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BDFC9" w14:textId="0B05A112" w:rsidR="007C3BD6" w:rsidRDefault="007C3BD6" w:rsidP="007C3BD6">
      <w:pPr>
        <w:spacing w:line="744" w:lineRule="exact"/>
        <w:ind w:left="258"/>
        <w:rPr>
          <w:rFonts w:ascii="Raleway ExtraBold"/>
          <w:b/>
          <w:sz w:val="61"/>
        </w:rPr>
      </w:pPr>
      <w:r>
        <w:rPr>
          <w:rFonts w:ascii="Raleway ExtraBold"/>
          <w:b/>
          <w:noProof/>
          <w:color w:val="D91921"/>
          <w:sz w:val="61"/>
        </w:rPr>
        <w:drawing>
          <wp:anchor distT="0" distB="0" distL="114300" distR="114300" simplePos="0" relativeHeight="251427840" behindDoc="1" locked="0" layoutInCell="1" allowOverlap="1" wp14:anchorId="62CEEC0D" wp14:editId="14FB9B3D">
            <wp:simplePos x="0" y="0"/>
            <wp:positionH relativeFrom="column">
              <wp:posOffset>4775200</wp:posOffset>
            </wp:positionH>
            <wp:positionV relativeFrom="paragraph">
              <wp:posOffset>50800</wp:posOffset>
            </wp:positionV>
            <wp:extent cx="1000125" cy="5118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0125" cy="511810"/>
                    </a:xfrm>
                    <a:prstGeom prst="rect">
                      <a:avLst/>
                    </a:prstGeom>
                    <a:noFill/>
                  </pic:spPr>
                </pic:pic>
              </a:graphicData>
            </a:graphic>
          </wp:anchor>
        </w:drawing>
      </w:r>
      <w:r>
        <w:rPr>
          <w:rFonts w:ascii="Raleway ExtraBold"/>
          <w:b/>
          <w:color w:val="D91921"/>
          <w:sz w:val="61"/>
        </w:rPr>
        <w:t>Stalking</w:t>
      </w:r>
    </w:p>
    <w:p w14:paraId="0404F831" w14:textId="3745992A" w:rsidR="007C3BD6" w:rsidRDefault="007C3BD6" w:rsidP="007C3BD6">
      <w:pPr>
        <w:spacing w:line="786" w:lineRule="exact"/>
        <w:ind w:left="258"/>
        <w:rPr>
          <w:color w:val="D91921"/>
          <w:spacing w:val="-21"/>
          <w:sz w:val="61"/>
        </w:rPr>
      </w:pPr>
      <w:r>
        <w:rPr>
          <w:color w:val="D91921"/>
          <w:spacing w:val="-16"/>
          <w:sz w:val="61"/>
        </w:rPr>
        <w:t xml:space="preserve">Final </w:t>
      </w:r>
      <w:r>
        <w:rPr>
          <w:color w:val="D91921"/>
          <w:spacing w:val="-21"/>
          <w:sz w:val="61"/>
        </w:rPr>
        <w:t>Report</w:t>
      </w:r>
    </w:p>
    <w:p w14:paraId="67D99AF5" w14:textId="77777777" w:rsidR="007C3BD6" w:rsidRDefault="007C3BD6" w:rsidP="007C3BD6">
      <w:pPr>
        <w:ind w:left="7458" w:firstLine="55"/>
        <w:rPr>
          <w:rFonts w:ascii="Raleway Light"/>
          <w:sz w:val="24"/>
        </w:rPr>
      </w:pPr>
      <w:r>
        <w:rPr>
          <w:rFonts w:ascii="Raleway Light"/>
          <w:color w:val="D91921"/>
          <w:w w:val="110"/>
          <w:sz w:val="24"/>
        </w:rPr>
        <w:t>June 2022</w:t>
      </w:r>
    </w:p>
    <w:p w14:paraId="0411A13A" w14:textId="3362CDB1" w:rsidR="007C3BD6" w:rsidRDefault="007C3BD6" w:rsidP="007C3BD6">
      <w:pPr>
        <w:spacing w:line="786" w:lineRule="exact"/>
        <w:ind w:left="258"/>
        <w:rPr>
          <w:color w:val="D91921"/>
          <w:spacing w:val="-21"/>
          <w:sz w:val="61"/>
        </w:rPr>
      </w:pPr>
    </w:p>
    <w:p w14:paraId="7079CBCD" w14:textId="77777777" w:rsidR="007C3BD6" w:rsidRDefault="007C3BD6" w:rsidP="007C3BD6">
      <w:pPr>
        <w:spacing w:line="786" w:lineRule="exact"/>
        <w:ind w:left="258"/>
        <w:rPr>
          <w:sz w:val="61"/>
        </w:rPr>
      </w:pPr>
    </w:p>
    <w:p w14:paraId="399FBC10" w14:textId="77777777" w:rsidR="00894070" w:rsidRDefault="00894070">
      <w:pPr>
        <w:jc w:val="right"/>
        <w:rPr>
          <w:rFonts w:ascii="Times New Roman"/>
          <w:sz w:val="24"/>
        </w:rPr>
        <w:sectPr w:rsidR="00894070">
          <w:headerReference w:type="even" r:id="rId8"/>
          <w:headerReference w:type="default" r:id="rId9"/>
          <w:footerReference w:type="even" r:id="rId10"/>
          <w:footerReference w:type="default" r:id="rId11"/>
          <w:headerReference w:type="first" r:id="rId12"/>
          <w:footerReference w:type="first" r:id="rId13"/>
          <w:type w:val="continuous"/>
          <w:pgSz w:w="11960" w:h="16860"/>
          <w:pgMar w:top="560" w:right="880" w:bottom="280" w:left="1680" w:header="720" w:footer="720" w:gutter="0"/>
          <w:cols w:space="720"/>
        </w:sectPr>
      </w:pPr>
    </w:p>
    <w:p w14:paraId="3FFE9637" w14:textId="77777777" w:rsidR="00894070" w:rsidRDefault="009B7AFD">
      <w:pPr>
        <w:pStyle w:val="BodyText"/>
        <w:ind w:left="5461"/>
        <w:rPr>
          <w:rFonts w:ascii="Times New Roman"/>
        </w:rPr>
      </w:pPr>
      <w:r>
        <w:rPr>
          <w:rFonts w:ascii="Times New Roman"/>
          <w:noProof/>
        </w:rPr>
        <w:lastRenderedPageBreak/>
        <w:drawing>
          <wp:anchor distT="0" distB="0" distL="114300" distR="114300" simplePos="0" relativeHeight="251426816" behindDoc="1" locked="0" layoutInCell="1" allowOverlap="1" wp14:anchorId="4EEDF72A" wp14:editId="137F406A">
            <wp:simplePos x="0" y="0"/>
            <wp:positionH relativeFrom="column">
              <wp:posOffset>5435600</wp:posOffset>
            </wp:positionH>
            <wp:positionV relativeFrom="paragraph">
              <wp:posOffset>-88900</wp:posOffset>
            </wp:positionV>
            <wp:extent cx="990490" cy="50482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0490" cy="504825"/>
                    </a:xfrm>
                    <a:prstGeom prst="rect">
                      <a:avLst/>
                    </a:prstGeom>
                  </pic:spPr>
                </pic:pic>
              </a:graphicData>
            </a:graphic>
          </wp:anchor>
        </w:drawing>
      </w:r>
    </w:p>
    <w:p w14:paraId="24D5A51B" w14:textId="77777777" w:rsidR="00894070" w:rsidRDefault="00894070">
      <w:pPr>
        <w:pStyle w:val="BodyText"/>
        <w:rPr>
          <w:rFonts w:ascii="Times New Roman"/>
        </w:rPr>
      </w:pPr>
    </w:p>
    <w:p w14:paraId="332BD094" w14:textId="77777777" w:rsidR="00894070" w:rsidRDefault="00894070">
      <w:pPr>
        <w:pStyle w:val="BodyText"/>
        <w:rPr>
          <w:rFonts w:ascii="Times New Roman"/>
        </w:rPr>
      </w:pPr>
    </w:p>
    <w:p w14:paraId="32ED9A74" w14:textId="77777777" w:rsidR="00894070" w:rsidRDefault="00894070">
      <w:pPr>
        <w:pStyle w:val="BodyText"/>
        <w:rPr>
          <w:rFonts w:ascii="Times New Roman"/>
        </w:rPr>
      </w:pPr>
    </w:p>
    <w:p w14:paraId="604B2210" w14:textId="77777777" w:rsidR="00894070" w:rsidRDefault="00894070">
      <w:pPr>
        <w:pStyle w:val="BodyText"/>
        <w:rPr>
          <w:rFonts w:ascii="Times New Roman"/>
        </w:rPr>
      </w:pPr>
    </w:p>
    <w:p w14:paraId="3D66BC6B" w14:textId="77777777" w:rsidR="00894070" w:rsidRDefault="00894070">
      <w:pPr>
        <w:pStyle w:val="BodyText"/>
        <w:spacing w:before="5"/>
        <w:rPr>
          <w:rFonts w:ascii="Times New Roman"/>
          <w:sz w:val="29"/>
        </w:rPr>
      </w:pPr>
    </w:p>
    <w:p w14:paraId="29573156" w14:textId="77777777" w:rsidR="00894070" w:rsidRDefault="00894070">
      <w:pPr>
        <w:rPr>
          <w:rFonts w:ascii="Times New Roman"/>
          <w:sz w:val="29"/>
        </w:rPr>
        <w:sectPr w:rsidR="00894070">
          <w:pgSz w:w="11910" w:h="16840"/>
          <w:pgMar w:top="700" w:right="420" w:bottom="280" w:left="580" w:header="720" w:footer="720" w:gutter="0"/>
          <w:cols w:space="720"/>
        </w:sectPr>
      </w:pPr>
    </w:p>
    <w:p w14:paraId="110C6944" w14:textId="77777777" w:rsidR="00894070" w:rsidRDefault="009B7AFD">
      <w:pPr>
        <w:spacing w:before="61"/>
        <w:ind w:left="565"/>
        <w:rPr>
          <w:b/>
          <w:sz w:val="18"/>
        </w:rPr>
      </w:pPr>
      <w:r>
        <w:rPr>
          <w:b/>
          <w:color w:val="231F20"/>
          <w:sz w:val="18"/>
        </w:rPr>
        <w:t>Published by the Victorian Law Reform Commission</w:t>
      </w:r>
    </w:p>
    <w:p w14:paraId="242F11F3" w14:textId="77777777" w:rsidR="00894070" w:rsidRDefault="009B7AFD">
      <w:pPr>
        <w:spacing w:before="54" w:line="230" w:lineRule="auto"/>
        <w:ind w:left="565"/>
        <w:rPr>
          <w:sz w:val="18"/>
        </w:rPr>
      </w:pPr>
      <w:r>
        <w:rPr>
          <w:color w:val="231F20"/>
          <w:spacing w:val="-4"/>
          <w:sz w:val="18"/>
        </w:rPr>
        <w:t xml:space="preserve">The </w:t>
      </w:r>
      <w:r>
        <w:rPr>
          <w:color w:val="231F20"/>
          <w:spacing w:val="-6"/>
          <w:sz w:val="18"/>
        </w:rPr>
        <w:t xml:space="preserve">Victorian </w:t>
      </w:r>
      <w:r>
        <w:rPr>
          <w:color w:val="231F20"/>
          <w:spacing w:val="-5"/>
          <w:sz w:val="18"/>
        </w:rPr>
        <w:t xml:space="preserve">Law </w:t>
      </w:r>
      <w:r>
        <w:rPr>
          <w:color w:val="231F20"/>
          <w:spacing w:val="-7"/>
          <w:sz w:val="18"/>
        </w:rPr>
        <w:t xml:space="preserve">Reform </w:t>
      </w:r>
      <w:r>
        <w:rPr>
          <w:color w:val="231F20"/>
          <w:spacing w:val="-6"/>
          <w:sz w:val="18"/>
        </w:rPr>
        <w:t xml:space="preserve">Commission </w:t>
      </w:r>
      <w:r>
        <w:rPr>
          <w:color w:val="231F20"/>
          <w:spacing w:val="-5"/>
          <w:sz w:val="18"/>
        </w:rPr>
        <w:t xml:space="preserve">was </w:t>
      </w:r>
      <w:r>
        <w:rPr>
          <w:color w:val="231F20"/>
          <w:spacing w:val="-6"/>
          <w:sz w:val="18"/>
        </w:rPr>
        <w:t xml:space="preserve">established </w:t>
      </w:r>
      <w:r>
        <w:rPr>
          <w:color w:val="231F20"/>
          <w:spacing w:val="-5"/>
          <w:sz w:val="18"/>
        </w:rPr>
        <w:t>under</w:t>
      </w:r>
      <w:r>
        <w:rPr>
          <w:color w:val="231F20"/>
          <w:spacing w:val="-16"/>
          <w:sz w:val="18"/>
        </w:rPr>
        <w:t xml:space="preserve"> </w:t>
      </w:r>
      <w:r>
        <w:rPr>
          <w:color w:val="231F20"/>
          <w:spacing w:val="-4"/>
          <w:sz w:val="18"/>
        </w:rPr>
        <w:t>the</w:t>
      </w:r>
      <w:r>
        <w:rPr>
          <w:color w:val="231F20"/>
          <w:spacing w:val="-11"/>
          <w:sz w:val="18"/>
        </w:rPr>
        <w:t xml:space="preserve"> </w:t>
      </w:r>
      <w:r>
        <w:rPr>
          <w:i/>
          <w:color w:val="231F20"/>
          <w:spacing w:val="-6"/>
          <w:sz w:val="18"/>
        </w:rPr>
        <w:t>Victorian</w:t>
      </w:r>
      <w:r>
        <w:rPr>
          <w:i/>
          <w:color w:val="231F20"/>
          <w:spacing w:val="-11"/>
          <w:sz w:val="18"/>
        </w:rPr>
        <w:t xml:space="preserve"> </w:t>
      </w:r>
      <w:r>
        <w:rPr>
          <w:i/>
          <w:color w:val="231F20"/>
          <w:spacing w:val="-6"/>
          <w:sz w:val="18"/>
        </w:rPr>
        <w:t>Law</w:t>
      </w:r>
      <w:r>
        <w:rPr>
          <w:i/>
          <w:color w:val="231F20"/>
          <w:spacing w:val="-15"/>
          <w:sz w:val="18"/>
        </w:rPr>
        <w:t xml:space="preserve"> </w:t>
      </w:r>
      <w:r>
        <w:rPr>
          <w:i/>
          <w:color w:val="231F20"/>
          <w:spacing w:val="-6"/>
          <w:sz w:val="18"/>
        </w:rPr>
        <w:t>Reform</w:t>
      </w:r>
      <w:r>
        <w:rPr>
          <w:i/>
          <w:color w:val="231F20"/>
          <w:spacing w:val="-11"/>
          <w:sz w:val="18"/>
        </w:rPr>
        <w:t xml:space="preserve"> </w:t>
      </w:r>
      <w:r>
        <w:rPr>
          <w:i/>
          <w:color w:val="231F20"/>
          <w:spacing w:val="-6"/>
          <w:sz w:val="18"/>
        </w:rPr>
        <w:t>Commission</w:t>
      </w:r>
      <w:r>
        <w:rPr>
          <w:i/>
          <w:color w:val="231F20"/>
          <w:spacing w:val="-16"/>
          <w:sz w:val="18"/>
        </w:rPr>
        <w:t xml:space="preserve"> </w:t>
      </w:r>
      <w:r>
        <w:rPr>
          <w:i/>
          <w:color w:val="231F20"/>
          <w:spacing w:val="-5"/>
          <w:sz w:val="18"/>
        </w:rPr>
        <w:t>Act</w:t>
      </w:r>
      <w:r>
        <w:rPr>
          <w:i/>
          <w:color w:val="231F20"/>
          <w:spacing w:val="-11"/>
          <w:sz w:val="18"/>
        </w:rPr>
        <w:t xml:space="preserve"> </w:t>
      </w:r>
      <w:r>
        <w:rPr>
          <w:i/>
          <w:color w:val="231F20"/>
          <w:spacing w:val="-5"/>
          <w:sz w:val="18"/>
        </w:rPr>
        <w:t>2000</w:t>
      </w:r>
      <w:r>
        <w:rPr>
          <w:i/>
          <w:color w:val="231F20"/>
          <w:spacing w:val="-10"/>
          <w:sz w:val="18"/>
        </w:rPr>
        <w:t xml:space="preserve"> </w:t>
      </w:r>
      <w:r>
        <w:rPr>
          <w:color w:val="231F20"/>
          <w:spacing w:val="-6"/>
          <w:sz w:val="18"/>
        </w:rPr>
        <w:t xml:space="preserve">(Vic) </w:t>
      </w:r>
      <w:r>
        <w:rPr>
          <w:color w:val="231F20"/>
          <w:spacing w:val="-3"/>
          <w:sz w:val="18"/>
        </w:rPr>
        <w:t>as</w:t>
      </w:r>
      <w:r>
        <w:rPr>
          <w:color w:val="231F20"/>
          <w:spacing w:val="-11"/>
          <w:sz w:val="18"/>
        </w:rPr>
        <w:t xml:space="preserve"> </w:t>
      </w:r>
      <w:r>
        <w:rPr>
          <w:color w:val="231F20"/>
          <w:sz w:val="18"/>
        </w:rPr>
        <w:t>a</w:t>
      </w:r>
      <w:r>
        <w:rPr>
          <w:color w:val="231F20"/>
          <w:spacing w:val="-10"/>
          <w:sz w:val="18"/>
        </w:rPr>
        <w:t xml:space="preserve"> </w:t>
      </w:r>
      <w:r>
        <w:rPr>
          <w:color w:val="231F20"/>
          <w:spacing w:val="-6"/>
          <w:sz w:val="18"/>
        </w:rPr>
        <w:t>central</w:t>
      </w:r>
      <w:r>
        <w:rPr>
          <w:color w:val="231F20"/>
          <w:spacing w:val="-17"/>
          <w:sz w:val="18"/>
        </w:rPr>
        <w:t xml:space="preserve"> </w:t>
      </w:r>
      <w:r>
        <w:rPr>
          <w:color w:val="231F20"/>
          <w:spacing w:val="-6"/>
          <w:sz w:val="18"/>
        </w:rPr>
        <w:t>agency</w:t>
      </w:r>
      <w:r>
        <w:rPr>
          <w:color w:val="231F20"/>
          <w:spacing w:val="-15"/>
          <w:sz w:val="18"/>
        </w:rPr>
        <w:t xml:space="preserve"> </w:t>
      </w:r>
      <w:r>
        <w:rPr>
          <w:color w:val="231F20"/>
          <w:spacing w:val="-5"/>
          <w:sz w:val="18"/>
        </w:rPr>
        <w:t>for</w:t>
      </w:r>
      <w:r>
        <w:rPr>
          <w:color w:val="231F20"/>
          <w:spacing w:val="-16"/>
          <w:sz w:val="18"/>
        </w:rPr>
        <w:t xml:space="preserve"> </w:t>
      </w:r>
      <w:r>
        <w:rPr>
          <w:color w:val="231F20"/>
          <w:spacing w:val="-6"/>
          <w:sz w:val="18"/>
        </w:rPr>
        <w:t>developing</w:t>
      </w:r>
      <w:r>
        <w:rPr>
          <w:color w:val="231F20"/>
          <w:spacing w:val="-10"/>
          <w:sz w:val="18"/>
        </w:rPr>
        <w:t xml:space="preserve"> </w:t>
      </w:r>
      <w:r>
        <w:rPr>
          <w:color w:val="231F20"/>
          <w:spacing w:val="-5"/>
          <w:sz w:val="18"/>
        </w:rPr>
        <w:t>law</w:t>
      </w:r>
      <w:r>
        <w:rPr>
          <w:color w:val="231F20"/>
          <w:spacing w:val="-16"/>
          <w:sz w:val="18"/>
        </w:rPr>
        <w:t xml:space="preserve"> </w:t>
      </w:r>
      <w:r>
        <w:rPr>
          <w:color w:val="231F20"/>
          <w:spacing w:val="-7"/>
          <w:sz w:val="18"/>
        </w:rPr>
        <w:t>reform</w:t>
      </w:r>
      <w:r>
        <w:rPr>
          <w:color w:val="231F20"/>
          <w:spacing w:val="-10"/>
          <w:sz w:val="18"/>
        </w:rPr>
        <w:t xml:space="preserve"> </w:t>
      </w:r>
      <w:r>
        <w:rPr>
          <w:color w:val="231F20"/>
          <w:spacing w:val="-3"/>
          <w:sz w:val="18"/>
        </w:rPr>
        <w:t>in</w:t>
      </w:r>
      <w:r>
        <w:rPr>
          <w:color w:val="231F20"/>
          <w:spacing w:val="-18"/>
          <w:sz w:val="18"/>
        </w:rPr>
        <w:t xml:space="preserve"> </w:t>
      </w:r>
      <w:r>
        <w:rPr>
          <w:color w:val="231F20"/>
          <w:spacing w:val="-7"/>
          <w:sz w:val="18"/>
        </w:rPr>
        <w:t>Victoria.</w:t>
      </w:r>
    </w:p>
    <w:p w14:paraId="3CD04C41" w14:textId="77777777" w:rsidR="00894070" w:rsidRDefault="009B7AFD">
      <w:pPr>
        <w:spacing w:before="46"/>
        <w:ind w:left="565"/>
        <w:rPr>
          <w:sz w:val="18"/>
        </w:rPr>
      </w:pPr>
      <w:r>
        <w:rPr>
          <w:color w:val="231F20"/>
          <w:sz w:val="18"/>
        </w:rPr>
        <w:t>© Victorian Law Reform Commission 2022</w:t>
      </w:r>
    </w:p>
    <w:p w14:paraId="1E0A1D33" w14:textId="77777777" w:rsidR="00894070" w:rsidRDefault="009B7AFD">
      <w:pPr>
        <w:spacing w:before="54" w:line="230" w:lineRule="auto"/>
        <w:ind w:left="565" w:right="13"/>
        <w:jc w:val="both"/>
        <w:rPr>
          <w:sz w:val="18"/>
        </w:rPr>
      </w:pPr>
      <w:r>
        <w:rPr>
          <w:color w:val="231F20"/>
          <w:spacing w:val="-5"/>
          <w:sz w:val="18"/>
        </w:rPr>
        <w:t xml:space="preserve">This </w:t>
      </w:r>
      <w:r>
        <w:rPr>
          <w:color w:val="231F20"/>
          <w:spacing w:val="-6"/>
          <w:sz w:val="18"/>
        </w:rPr>
        <w:t xml:space="preserve">publication </w:t>
      </w:r>
      <w:r>
        <w:rPr>
          <w:color w:val="231F20"/>
          <w:spacing w:val="-4"/>
          <w:sz w:val="18"/>
        </w:rPr>
        <w:t xml:space="preserve">of the </w:t>
      </w:r>
      <w:r>
        <w:rPr>
          <w:color w:val="231F20"/>
          <w:spacing w:val="-6"/>
          <w:sz w:val="18"/>
        </w:rPr>
        <w:t xml:space="preserve">Victorian </w:t>
      </w:r>
      <w:r>
        <w:rPr>
          <w:color w:val="231F20"/>
          <w:spacing w:val="-5"/>
          <w:sz w:val="18"/>
        </w:rPr>
        <w:t xml:space="preserve">Law </w:t>
      </w:r>
      <w:r>
        <w:rPr>
          <w:color w:val="231F20"/>
          <w:spacing w:val="-7"/>
          <w:sz w:val="18"/>
        </w:rPr>
        <w:t xml:space="preserve">Reform </w:t>
      </w:r>
      <w:r>
        <w:rPr>
          <w:color w:val="231F20"/>
          <w:spacing w:val="-6"/>
          <w:sz w:val="18"/>
        </w:rPr>
        <w:t xml:space="preserve">Commission </w:t>
      </w:r>
      <w:r>
        <w:rPr>
          <w:color w:val="231F20"/>
          <w:spacing w:val="-7"/>
          <w:sz w:val="18"/>
        </w:rPr>
        <w:t>follows</w:t>
      </w:r>
      <w:r>
        <w:rPr>
          <w:color w:val="231F20"/>
          <w:spacing w:val="-10"/>
          <w:sz w:val="18"/>
        </w:rPr>
        <w:t xml:space="preserve"> </w:t>
      </w:r>
      <w:r>
        <w:rPr>
          <w:color w:val="231F20"/>
          <w:spacing w:val="-4"/>
          <w:sz w:val="18"/>
        </w:rPr>
        <w:t>the</w:t>
      </w:r>
      <w:r>
        <w:rPr>
          <w:color w:val="231F20"/>
          <w:spacing w:val="-10"/>
          <w:sz w:val="18"/>
        </w:rPr>
        <w:t xml:space="preserve"> </w:t>
      </w:r>
      <w:r>
        <w:rPr>
          <w:color w:val="231F20"/>
          <w:spacing w:val="-6"/>
          <w:sz w:val="18"/>
        </w:rPr>
        <w:t>Melbourne</w:t>
      </w:r>
      <w:r>
        <w:rPr>
          <w:color w:val="231F20"/>
          <w:spacing w:val="-9"/>
          <w:sz w:val="18"/>
        </w:rPr>
        <w:t xml:space="preserve"> </w:t>
      </w:r>
      <w:r>
        <w:rPr>
          <w:color w:val="231F20"/>
          <w:spacing w:val="-6"/>
          <w:sz w:val="18"/>
        </w:rPr>
        <w:t>University</w:t>
      </w:r>
      <w:r>
        <w:rPr>
          <w:color w:val="231F20"/>
          <w:spacing w:val="-15"/>
          <w:sz w:val="18"/>
        </w:rPr>
        <w:t xml:space="preserve"> </w:t>
      </w:r>
      <w:r>
        <w:rPr>
          <w:color w:val="231F20"/>
          <w:spacing w:val="-5"/>
          <w:sz w:val="18"/>
        </w:rPr>
        <w:t>Law</w:t>
      </w:r>
      <w:r>
        <w:rPr>
          <w:color w:val="231F20"/>
          <w:spacing w:val="-15"/>
          <w:sz w:val="18"/>
        </w:rPr>
        <w:t xml:space="preserve"> </w:t>
      </w:r>
      <w:r>
        <w:rPr>
          <w:color w:val="231F20"/>
          <w:spacing w:val="-7"/>
          <w:sz w:val="18"/>
        </w:rPr>
        <w:t>Review</w:t>
      </w:r>
      <w:r>
        <w:rPr>
          <w:color w:val="231F20"/>
          <w:spacing w:val="-21"/>
          <w:sz w:val="18"/>
        </w:rPr>
        <w:t xml:space="preserve"> </w:t>
      </w:r>
      <w:r>
        <w:rPr>
          <w:color w:val="231F20"/>
          <w:spacing w:val="-7"/>
          <w:sz w:val="18"/>
        </w:rPr>
        <w:t xml:space="preserve">Association </w:t>
      </w:r>
      <w:r>
        <w:rPr>
          <w:i/>
          <w:color w:val="231F20"/>
          <w:spacing w:val="-6"/>
          <w:sz w:val="18"/>
        </w:rPr>
        <w:t>Australian</w:t>
      </w:r>
      <w:r>
        <w:rPr>
          <w:i/>
          <w:color w:val="231F20"/>
          <w:spacing w:val="-11"/>
          <w:sz w:val="18"/>
        </w:rPr>
        <w:t xml:space="preserve"> </w:t>
      </w:r>
      <w:r>
        <w:rPr>
          <w:i/>
          <w:color w:val="231F20"/>
          <w:spacing w:val="-5"/>
          <w:sz w:val="18"/>
        </w:rPr>
        <w:t>Guide</w:t>
      </w:r>
      <w:r>
        <w:rPr>
          <w:i/>
          <w:color w:val="231F20"/>
          <w:spacing w:val="-10"/>
          <w:sz w:val="18"/>
        </w:rPr>
        <w:t xml:space="preserve"> </w:t>
      </w:r>
      <w:r>
        <w:rPr>
          <w:i/>
          <w:color w:val="231F20"/>
          <w:spacing w:val="-4"/>
          <w:sz w:val="18"/>
        </w:rPr>
        <w:t>to</w:t>
      </w:r>
      <w:r>
        <w:rPr>
          <w:i/>
          <w:color w:val="231F20"/>
          <w:spacing w:val="-10"/>
          <w:sz w:val="18"/>
        </w:rPr>
        <w:t xml:space="preserve"> </w:t>
      </w:r>
      <w:r>
        <w:rPr>
          <w:i/>
          <w:color w:val="231F20"/>
          <w:spacing w:val="-6"/>
          <w:sz w:val="18"/>
        </w:rPr>
        <w:t>Legal</w:t>
      </w:r>
      <w:r>
        <w:rPr>
          <w:i/>
          <w:color w:val="231F20"/>
          <w:spacing w:val="-16"/>
          <w:sz w:val="18"/>
        </w:rPr>
        <w:t xml:space="preserve"> </w:t>
      </w:r>
      <w:r>
        <w:rPr>
          <w:i/>
          <w:color w:val="231F20"/>
          <w:spacing w:val="-6"/>
          <w:sz w:val="18"/>
        </w:rPr>
        <w:t>Citation</w:t>
      </w:r>
      <w:r>
        <w:rPr>
          <w:i/>
          <w:color w:val="231F20"/>
          <w:spacing w:val="-9"/>
          <w:sz w:val="18"/>
        </w:rPr>
        <w:t xml:space="preserve"> </w:t>
      </w:r>
      <w:r>
        <w:rPr>
          <w:color w:val="231F20"/>
          <w:spacing w:val="-6"/>
          <w:sz w:val="18"/>
        </w:rPr>
        <w:t>(4th</w:t>
      </w:r>
      <w:r>
        <w:rPr>
          <w:color w:val="231F20"/>
          <w:spacing w:val="-10"/>
          <w:sz w:val="18"/>
        </w:rPr>
        <w:t xml:space="preserve"> </w:t>
      </w:r>
      <w:r>
        <w:rPr>
          <w:color w:val="231F20"/>
          <w:spacing w:val="-4"/>
          <w:sz w:val="18"/>
        </w:rPr>
        <w:t>ed,</w:t>
      </w:r>
      <w:r>
        <w:rPr>
          <w:color w:val="231F20"/>
          <w:spacing w:val="-10"/>
          <w:sz w:val="18"/>
        </w:rPr>
        <w:t xml:space="preserve"> </w:t>
      </w:r>
      <w:r>
        <w:rPr>
          <w:color w:val="231F20"/>
          <w:spacing w:val="-6"/>
          <w:sz w:val="18"/>
        </w:rPr>
        <w:t>2017).</w:t>
      </w:r>
    </w:p>
    <w:p w14:paraId="050F013A" w14:textId="77777777" w:rsidR="00894070" w:rsidRDefault="009B7AFD">
      <w:pPr>
        <w:spacing w:before="46"/>
        <w:ind w:left="565"/>
        <w:rPr>
          <w:sz w:val="18"/>
        </w:rPr>
      </w:pPr>
      <w:r>
        <w:rPr>
          <w:color w:val="231F20"/>
          <w:sz w:val="18"/>
        </w:rPr>
        <w:t xml:space="preserve">This report reflects the law </w:t>
      </w:r>
      <w:proofErr w:type="gramStart"/>
      <w:r>
        <w:rPr>
          <w:color w:val="231F20"/>
          <w:sz w:val="18"/>
        </w:rPr>
        <w:t>at</w:t>
      </w:r>
      <w:proofErr w:type="gramEnd"/>
      <w:r>
        <w:rPr>
          <w:color w:val="231F20"/>
          <w:sz w:val="18"/>
        </w:rPr>
        <w:t xml:space="preserve"> 30 April 2022.</w:t>
      </w:r>
    </w:p>
    <w:p w14:paraId="2BAEBD6D" w14:textId="77777777" w:rsidR="00894070" w:rsidRDefault="009B7AFD">
      <w:pPr>
        <w:spacing w:before="54" w:line="230" w:lineRule="auto"/>
        <w:ind w:left="565" w:right="148"/>
        <w:rPr>
          <w:sz w:val="18"/>
        </w:rPr>
      </w:pPr>
      <w:r>
        <w:rPr>
          <w:color w:val="231F20"/>
          <w:spacing w:val="-4"/>
          <w:sz w:val="18"/>
        </w:rPr>
        <w:t xml:space="preserve">The </w:t>
      </w:r>
      <w:r>
        <w:rPr>
          <w:color w:val="231F20"/>
          <w:spacing w:val="-6"/>
          <w:sz w:val="18"/>
        </w:rPr>
        <w:t xml:space="preserve">Commission notes </w:t>
      </w:r>
      <w:r>
        <w:rPr>
          <w:color w:val="231F20"/>
          <w:spacing w:val="-5"/>
          <w:sz w:val="18"/>
        </w:rPr>
        <w:t xml:space="preserve">that </w:t>
      </w:r>
      <w:r>
        <w:rPr>
          <w:color w:val="231F20"/>
          <w:spacing w:val="-4"/>
          <w:sz w:val="18"/>
        </w:rPr>
        <w:t xml:space="preserve">the </w:t>
      </w:r>
      <w:r>
        <w:rPr>
          <w:color w:val="231F20"/>
          <w:spacing w:val="-6"/>
          <w:sz w:val="18"/>
        </w:rPr>
        <w:t xml:space="preserve">Victims </w:t>
      </w:r>
      <w:r>
        <w:rPr>
          <w:color w:val="231F20"/>
          <w:spacing w:val="-4"/>
          <w:sz w:val="18"/>
        </w:rPr>
        <w:t xml:space="preserve">of </w:t>
      </w:r>
      <w:r>
        <w:rPr>
          <w:color w:val="231F20"/>
          <w:spacing w:val="-6"/>
          <w:sz w:val="18"/>
        </w:rPr>
        <w:t xml:space="preserve">Crime (Financial Assistance Scheme) </w:t>
      </w:r>
      <w:r>
        <w:rPr>
          <w:color w:val="231F20"/>
          <w:spacing w:val="-5"/>
          <w:sz w:val="18"/>
        </w:rPr>
        <w:t xml:space="preserve">Act 2022 was </w:t>
      </w:r>
      <w:r>
        <w:rPr>
          <w:color w:val="231F20"/>
          <w:spacing w:val="-7"/>
          <w:sz w:val="18"/>
        </w:rPr>
        <w:t xml:space="preserve">assented </w:t>
      </w:r>
      <w:r>
        <w:rPr>
          <w:color w:val="231F20"/>
          <w:spacing w:val="-4"/>
          <w:sz w:val="18"/>
        </w:rPr>
        <w:t xml:space="preserve">to </w:t>
      </w:r>
      <w:r>
        <w:rPr>
          <w:color w:val="231F20"/>
          <w:spacing w:val="-3"/>
          <w:sz w:val="18"/>
        </w:rPr>
        <w:t xml:space="preserve">on </w:t>
      </w:r>
      <w:r>
        <w:rPr>
          <w:color w:val="231F20"/>
          <w:sz w:val="18"/>
        </w:rPr>
        <w:t xml:space="preserve">7 </w:t>
      </w:r>
      <w:r>
        <w:rPr>
          <w:color w:val="231F20"/>
          <w:spacing w:val="-5"/>
          <w:sz w:val="18"/>
        </w:rPr>
        <w:t xml:space="preserve">June 2022. </w:t>
      </w:r>
      <w:r>
        <w:rPr>
          <w:color w:val="231F20"/>
          <w:spacing w:val="-4"/>
          <w:sz w:val="18"/>
        </w:rPr>
        <w:t xml:space="preserve">It </w:t>
      </w:r>
      <w:r>
        <w:rPr>
          <w:color w:val="231F20"/>
          <w:spacing w:val="-6"/>
          <w:sz w:val="18"/>
        </w:rPr>
        <w:t xml:space="preserve">establishes </w:t>
      </w:r>
      <w:r>
        <w:rPr>
          <w:color w:val="231F20"/>
          <w:sz w:val="18"/>
        </w:rPr>
        <w:t xml:space="preserve">a </w:t>
      </w:r>
      <w:r>
        <w:rPr>
          <w:color w:val="231F20"/>
          <w:spacing w:val="-5"/>
          <w:sz w:val="18"/>
        </w:rPr>
        <w:t xml:space="preserve">new </w:t>
      </w:r>
      <w:r>
        <w:rPr>
          <w:color w:val="231F20"/>
          <w:spacing w:val="-6"/>
          <w:sz w:val="18"/>
        </w:rPr>
        <w:t xml:space="preserve">administrative </w:t>
      </w:r>
      <w:r>
        <w:rPr>
          <w:color w:val="231F20"/>
          <w:spacing w:val="-5"/>
          <w:sz w:val="18"/>
        </w:rPr>
        <w:t xml:space="preserve">financial </w:t>
      </w:r>
      <w:r>
        <w:rPr>
          <w:color w:val="231F20"/>
          <w:spacing w:val="-6"/>
          <w:sz w:val="18"/>
        </w:rPr>
        <w:t xml:space="preserve">assistance </w:t>
      </w:r>
      <w:r>
        <w:rPr>
          <w:color w:val="231F20"/>
          <w:spacing w:val="-5"/>
          <w:sz w:val="18"/>
        </w:rPr>
        <w:t xml:space="preserve">scheme </w:t>
      </w:r>
      <w:r>
        <w:rPr>
          <w:color w:val="231F20"/>
          <w:spacing w:val="-4"/>
          <w:sz w:val="18"/>
        </w:rPr>
        <w:t xml:space="preserve">to </w:t>
      </w:r>
      <w:r>
        <w:rPr>
          <w:color w:val="231F20"/>
          <w:spacing w:val="-5"/>
          <w:sz w:val="18"/>
        </w:rPr>
        <w:t xml:space="preserve">assist </w:t>
      </w:r>
      <w:r>
        <w:rPr>
          <w:color w:val="231F20"/>
          <w:spacing w:val="-6"/>
          <w:sz w:val="18"/>
        </w:rPr>
        <w:t xml:space="preserve">victims </w:t>
      </w:r>
      <w:r>
        <w:rPr>
          <w:color w:val="231F20"/>
          <w:spacing w:val="-4"/>
          <w:sz w:val="18"/>
        </w:rPr>
        <w:t xml:space="preserve">of </w:t>
      </w:r>
      <w:r>
        <w:rPr>
          <w:color w:val="231F20"/>
          <w:spacing w:val="-5"/>
          <w:sz w:val="18"/>
        </w:rPr>
        <w:t xml:space="preserve">crime </w:t>
      </w:r>
      <w:r>
        <w:rPr>
          <w:color w:val="231F20"/>
          <w:spacing w:val="-6"/>
          <w:sz w:val="18"/>
        </w:rPr>
        <w:t xml:space="preserve">in </w:t>
      </w:r>
      <w:r>
        <w:rPr>
          <w:color w:val="231F20"/>
          <w:spacing w:val="-5"/>
          <w:sz w:val="18"/>
        </w:rPr>
        <w:t xml:space="preserve">their </w:t>
      </w:r>
      <w:r>
        <w:rPr>
          <w:color w:val="231F20"/>
          <w:spacing w:val="-7"/>
          <w:sz w:val="18"/>
        </w:rPr>
        <w:t xml:space="preserve">recovery </w:t>
      </w:r>
      <w:r>
        <w:rPr>
          <w:color w:val="231F20"/>
          <w:spacing w:val="-6"/>
          <w:sz w:val="18"/>
        </w:rPr>
        <w:t xml:space="preserve">from </w:t>
      </w:r>
      <w:r>
        <w:rPr>
          <w:color w:val="231F20"/>
          <w:spacing w:val="-5"/>
          <w:sz w:val="18"/>
        </w:rPr>
        <w:t xml:space="preserve">acts </w:t>
      </w:r>
      <w:r>
        <w:rPr>
          <w:color w:val="231F20"/>
          <w:spacing w:val="-4"/>
          <w:sz w:val="18"/>
        </w:rPr>
        <w:t xml:space="preserve">of </w:t>
      </w:r>
      <w:r>
        <w:rPr>
          <w:color w:val="231F20"/>
          <w:spacing w:val="-7"/>
          <w:sz w:val="18"/>
        </w:rPr>
        <w:t>violence.</w:t>
      </w:r>
    </w:p>
    <w:p w14:paraId="69A5D0A4" w14:textId="77777777" w:rsidR="00894070" w:rsidRDefault="009B7AFD">
      <w:pPr>
        <w:spacing w:before="61" w:line="244" w:lineRule="exact"/>
        <w:ind w:left="323"/>
        <w:rPr>
          <w:b/>
          <w:sz w:val="18"/>
        </w:rPr>
      </w:pPr>
      <w:r>
        <w:br w:type="column"/>
      </w:r>
      <w:r>
        <w:rPr>
          <w:b/>
          <w:color w:val="D91921"/>
          <w:sz w:val="18"/>
        </w:rPr>
        <w:t>Chair</w:t>
      </w:r>
    </w:p>
    <w:p w14:paraId="19421FD0" w14:textId="77777777" w:rsidR="00894070" w:rsidRDefault="009B7AFD">
      <w:pPr>
        <w:spacing w:line="244" w:lineRule="exact"/>
        <w:ind w:left="323"/>
        <w:rPr>
          <w:sz w:val="18"/>
        </w:rPr>
      </w:pPr>
      <w:r>
        <w:rPr>
          <w:color w:val="231F20"/>
          <w:sz w:val="18"/>
        </w:rPr>
        <w:t>The Hon. Anthony North QC</w:t>
      </w:r>
    </w:p>
    <w:p w14:paraId="18CB282F" w14:textId="77777777" w:rsidR="00894070" w:rsidRDefault="009B7AFD">
      <w:pPr>
        <w:spacing w:before="103" w:line="244" w:lineRule="exact"/>
        <w:ind w:left="323"/>
        <w:rPr>
          <w:b/>
          <w:sz w:val="18"/>
        </w:rPr>
      </w:pPr>
      <w:r>
        <w:rPr>
          <w:b/>
          <w:color w:val="D91921"/>
          <w:spacing w:val="-6"/>
          <w:sz w:val="18"/>
        </w:rPr>
        <w:t>Commissioners</w:t>
      </w:r>
    </w:p>
    <w:p w14:paraId="44D160B3" w14:textId="77777777" w:rsidR="00894070" w:rsidRDefault="009B7AFD">
      <w:pPr>
        <w:spacing w:line="239" w:lineRule="exact"/>
        <w:ind w:left="323"/>
        <w:rPr>
          <w:sz w:val="18"/>
        </w:rPr>
      </w:pPr>
      <w:r>
        <w:rPr>
          <w:color w:val="231F20"/>
          <w:spacing w:val="-5"/>
          <w:sz w:val="18"/>
        </w:rPr>
        <w:t>Liana</w:t>
      </w:r>
      <w:r>
        <w:rPr>
          <w:color w:val="231F20"/>
          <w:spacing w:val="-15"/>
          <w:sz w:val="18"/>
        </w:rPr>
        <w:t xml:space="preserve"> </w:t>
      </w:r>
      <w:r>
        <w:rPr>
          <w:color w:val="231F20"/>
          <w:spacing w:val="-6"/>
          <w:sz w:val="18"/>
        </w:rPr>
        <w:t>Buchanan</w:t>
      </w:r>
    </w:p>
    <w:p w14:paraId="2F7793C3" w14:textId="77777777" w:rsidR="00894070" w:rsidRDefault="009B7AFD">
      <w:pPr>
        <w:spacing w:line="239" w:lineRule="exact"/>
        <w:ind w:left="323"/>
        <w:rPr>
          <w:sz w:val="18"/>
        </w:rPr>
      </w:pPr>
      <w:r>
        <w:rPr>
          <w:color w:val="231F20"/>
          <w:sz w:val="18"/>
        </w:rPr>
        <w:t>The Hon. Jennifer Coate AO</w:t>
      </w:r>
    </w:p>
    <w:p w14:paraId="196C666D" w14:textId="77777777" w:rsidR="00894070" w:rsidRDefault="009B7AFD">
      <w:pPr>
        <w:spacing w:line="239" w:lineRule="exact"/>
        <w:ind w:left="323"/>
        <w:rPr>
          <w:sz w:val="18"/>
        </w:rPr>
      </w:pPr>
      <w:r>
        <w:rPr>
          <w:color w:val="231F20"/>
          <w:sz w:val="18"/>
        </w:rPr>
        <w:t>Kathleen Foley SC</w:t>
      </w:r>
    </w:p>
    <w:p w14:paraId="6EA21B1E" w14:textId="77777777" w:rsidR="00894070" w:rsidRDefault="009B7AFD">
      <w:pPr>
        <w:spacing w:before="2" w:line="230" w:lineRule="auto"/>
        <w:ind w:left="323" w:right="3081"/>
        <w:rPr>
          <w:sz w:val="18"/>
        </w:rPr>
      </w:pPr>
      <w:r>
        <w:rPr>
          <w:color w:val="231F20"/>
          <w:spacing w:val="-5"/>
          <w:sz w:val="18"/>
        </w:rPr>
        <w:t xml:space="preserve">Bruce   </w:t>
      </w:r>
      <w:r>
        <w:rPr>
          <w:color w:val="231F20"/>
          <w:spacing w:val="-6"/>
          <w:sz w:val="18"/>
        </w:rPr>
        <w:t xml:space="preserve">Gardner   PSM </w:t>
      </w:r>
      <w:r>
        <w:rPr>
          <w:color w:val="231F20"/>
          <w:spacing w:val="-7"/>
          <w:sz w:val="18"/>
        </w:rPr>
        <w:t xml:space="preserve">Professor </w:t>
      </w:r>
      <w:r>
        <w:rPr>
          <w:color w:val="231F20"/>
          <w:spacing w:val="-6"/>
          <w:sz w:val="18"/>
        </w:rPr>
        <w:t xml:space="preserve">Bernadette </w:t>
      </w:r>
      <w:r>
        <w:rPr>
          <w:color w:val="231F20"/>
          <w:spacing w:val="-7"/>
          <w:sz w:val="18"/>
        </w:rPr>
        <w:t xml:space="preserve">McSherry </w:t>
      </w:r>
      <w:r>
        <w:rPr>
          <w:color w:val="231F20"/>
          <w:spacing w:val="-5"/>
          <w:sz w:val="18"/>
        </w:rPr>
        <w:t>Dan</w:t>
      </w:r>
      <w:r>
        <w:rPr>
          <w:color w:val="231F20"/>
          <w:spacing w:val="-12"/>
          <w:sz w:val="18"/>
        </w:rPr>
        <w:t xml:space="preserve"> </w:t>
      </w:r>
      <w:r>
        <w:rPr>
          <w:color w:val="231F20"/>
          <w:spacing w:val="-6"/>
          <w:sz w:val="18"/>
        </w:rPr>
        <w:t>Nicholson</w:t>
      </w:r>
    </w:p>
    <w:p w14:paraId="5BF73E97" w14:textId="77777777" w:rsidR="00894070" w:rsidRDefault="009B7AFD">
      <w:pPr>
        <w:spacing w:line="230" w:lineRule="auto"/>
        <w:ind w:left="323" w:right="3787"/>
        <w:rPr>
          <w:sz w:val="18"/>
        </w:rPr>
      </w:pPr>
      <w:r>
        <w:rPr>
          <w:color w:val="231F20"/>
          <w:spacing w:val="-5"/>
          <w:sz w:val="18"/>
        </w:rPr>
        <w:t xml:space="preserve">Gemma </w:t>
      </w:r>
      <w:r>
        <w:rPr>
          <w:color w:val="231F20"/>
          <w:spacing w:val="-7"/>
          <w:sz w:val="18"/>
        </w:rPr>
        <w:t xml:space="preserve">Varley </w:t>
      </w:r>
      <w:r>
        <w:rPr>
          <w:color w:val="231F20"/>
          <w:spacing w:val="-6"/>
          <w:sz w:val="18"/>
        </w:rPr>
        <w:t xml:space="preserve">PSM </w:t>
      </w:r>
      <w:r>
        <w:rPr>
          <w:color w:val="231F20"/>
          <w:spacing w:val="-3"/>
          <w:sz w:val="18"/>
        </w:rPr>
        <w:t xml:space="preserve">Dr </w:t>
      </w:r>
      <w:r>
        <w:rPr>
          <w:color w:val="231F20"/>
          <w:spacing w:val="-5"/>
          <w:sz w:val="18"/>
        </w:rPr>
        <w:t xml:space="preserve">Vivian </w:t>
      </w:r>
      <w:r>
        <w:rPr>
          <w:color w:val="231F20"/>
          <w:spacing w:val="-8"/>
          <w:sz w:val="18"/>
        </w:rPr>
        <w:t>Waller</w:t>
      </w:r>
    </w:p>
    <w:p w14:paraId="372907E3" w14:textId="77777777" w:rsidR="00894070" w:rsidRDefault="009B7AFD">
      <w:pPr>
        <w:spacing w:before="102" w:line="244" w:lineRule="exact"/>
        <w:ind w:left="323"/>
        <w:rPr>
          <w:b/>
          <w:sz w:val="18"/>
        </w:rPr>
      </w:pPr>
      <w:r>
        <w:rPr>
          <w:b/>
          <w:color w:val="D91921"/>
          <w:sz w:val="18"/>
        </w:rPr>
        <w:t>Chief executive officer</w:t>
      </w:r>
    </w:p>
    <w:p w14:paraId="3C2071EC" w14:textId="77777777" w:rsidR="00894070" w:rsidRDefault="009B7AFD">
      <w:pPr>
        <w:spacing w:line="244" w:lineRule="exact"/>
        <w:ind w:left="323"/>
        <w:rPr>
          <w:sz w:val="18"/>
        </w:rPr>
      </w:pPr>
      <w:r>
        <w:rPr>
          <w:color w:val="231F20"/>
          <w:sz w:val="18"/>
        </w:rPr>
        <w:t>Merrin Mason PSM</w:t>
      </w:r>
    </w:p>
    <w:p w14:paraId="43BF3823" w14:textId="77777777" w:rsidR="00894070" w:rsidRDefault="009B7AFD">
      <w:pPr>
        <w:spacing w:before="46"/>
        <w:ind w:left="323"/>
        <w:rPr>
          <w:b/>
          <w:sz w:val="18"/>
        </w:rPr>
      </w:pPr>
      <w:r>
        <w:rPr>
          <w:b/>
          <w:color w:val="D91921"/>
          <w:sz w:val="18"/>
        </w:rPr>
        <w:t>Reference team</w:t>
      </w:r>
    </w:p>
    <w:p w14:paraId="19D9628C" w14:textId="77777777" w:rsidR="00894070" w:rsidRDefault="00894070">
      <w:pPr>
        <w:rPr>
          <w:sz w:val="18"/>
        </w:rPr>
        <w:sectPr w:rsidR="00894070">
          <w:type w:val="continuous"/>
          <w:pgSz w:w="11910" w:h="16840"/>
          <w:pgMar w:top="560" w:right="420" w:bottom="280" w:left="580" w:header="720" w:footer="720" w:gutter="0"/>
          <w:cols w:num="2" w:space="720" w:equalWidth="0">
            <w:col w:w="5021" w:space="40"/>
            <w:col w:w="5849"/>
          </w:cols>
        </w:sectPr>
      </w:pPr>
    </w:p>
    <w:p w14:paraId="43A64171" w14:textId="77777777" w:rsidR="00894070" w:rsidRDefault="009B7AFD">
      <w:pPr>
        <w:tabs>
          <w:tab w:val="left" w:pos="5038"/>
          <w:tab w:val="left" w:pos="5384"/>
        </w:tabs>
        <w:spacing w:line="238" w:lineRule="exact"/>
        <w:ind w:left="570"/>
        <w:rPr>
          <w:sz w:val="18"/>
        </w:rPr>
      </w:pPr>
      <w:r>
        <w:rPr>
          <w:rFonts w:ascii="Times New Roman"/>
          <w:color w:val="231F20"/>
          <w:w w:val="99"/>
          <w:sz w:val="18"/>
          <w:u w:val="single" w:color="231F20"/>
        </w:rPr>
        <w:t xml:space="preserve"> </w:t>
      </w:r>
      <w:r>
        <w:rPr>
          <w:rFonts w:ascii="Times New Roman"/>
          <w:color w:val="231F20"/>
          <w:sz w:val="18"/>
          <w:u w:val="single" w:color="231F20"/>
        </w:rPr>
        <w:tab/>
      </w:r>
      <w:r>
        <w:rPr>
          <w:rFonts w:ascii="Times New Roman"/>
          <w:color w:val="231F20"/>
          <w:sz w:val="18"/>
        </w:rPr>
        <w:tab/>
      </w:r>
      <w:r>
        <w:rPr>
          <w:color w:val="231F20"/>
          <w:spacing w:val="-6"/>
          <w:sz w:val="18"/>
        </w:rPr>
        <w:t>Jacinth</w:t>
      </w:r>
      <w:r>
        <w:rPr>
          <w:color w:val="231F20"/>
          <w:spacing w:val="-11"/>
          <w:sz w:val="18"/>
        </w:rPr>
        <w:t xml:space="preserve"> </w:t>
      </w:r>
      <w:r>
        <w:rPr>
          <w:color w:val="231F20"/>
          <w:spacing w:val="-7"/>
          <w:sz w:val="18"/>
        </w:rPr>
        <w:t>Pathmanathan</w:t>
      </w:r>
    </w:p>
    <w:p w14:paraId="5C2968D0" w14:textId="77777777" w:rsidR="00894070" w:rsidRDefault="00894070">
      <w:pPr>
        <w:spacing w:line="238" w:lineRule="exact"/>
        <w:rPr>
          <w:sz w:val="18"/>
        </w:rPr>
        <w:sectPr w:rsidR="00894070">
          <w:type w:val="continuous"/>
          <w:pgSz w:w="11910" w:h="16840"/>
          <w:pgMar w:top="560" w:right="420" w:bottom="280" w:left="580" w:header="720" w:footer="720" w:gutter="0"/>
          <w:cols w:space="720"/>
        </w:sectPr>
      </w:pPr>
    </w:p>
    <w:p w14:paraId="3BA6C875" w14:textId="77777777" w:rsidR="00894070" w:rsidRDefault="009B7AFD">
      <w:pPr>
        <w:spacing w:before="45"/>
        <w:ind w:left="565"/>
        <w:rPr>
          <w:b/>
          <w:sz w:val="18"/>
        </w:rPr>
      </w:pPr>
      <w:r>
        <w:rPr>
          <w:b/>
          <w:color w:val="231F20"/>
          <w:sz w:val="18"/>
        </w:rPr>
        <w:t>Stalking: Final Report</w:t>
      </w:r>
    </w:p>
    <w:p w14:paraId="086502A1" w14:textId="77777777" w:rsidR="00894070" w:rsidRDefault="009B7AFD">
      <w:pPr>
        <w:spacing w:before="46" w:line="264" w:lineRule="auto"/>
        <w:ind w:left="565" w:right="25"/>
        <w:rPr>
          <w:sz w:val="18"/>
        </w:rPr>
      </w:pPr>
      <w:r>
        <w:rPr>
          <w:rFonts w:ascii="Raleway SemiBold"/>
          <w:b/>
          <w:color w:val="231F20"/>
          <w:spacing w:val="-6"/>
          <w:sz w:val="18"/>
        </w:rPr>
        <w:t xml:space="preserve">Series: </w:t>
      </w:r>
      <w:r>
        <w:rPr>
          <w:color w:val="231F20"/>
          <w:spacing w:val="-6"/>
          <w:sz w:val="18"/>
        </w:rPr>
        <w:t xml:space="preserve">Report (Victorian </w:t>
      </w:r>
      <w:r>
        <w:rPr>
          <w:color w:val="231F20"/>
          <w:spacing w:val="-5"/>
          <w:sz w:val="18"/>
        </w:rPr>
        <w:t xml:space="preserve">Law </w:t>
      </w:r>
      <w:r>
        <w:rPr>
          <w:color w:val="231F20"/>
          <w:spacing w:val="-7"/>
          <w:sz w:val="18"/>
        </w:rPr>
        <w:t xml:space="preserve">Reform </w:t>
      </w:r>
      <w:r>
        <w:rPr>
          <w:color w:val="231F20"/>
          <w:spacing w:val="-6"/>
          <w:sz w:val="18"/>
        </w:rPr>
        <w:t xml:space="preserve">Commission) 45 </w:t>
      </w:r>
      <w:r>
        <w:rPr>
          <w:color w:val="231F20"/>
          <w:spacing w:val="-5"/>
          <w:sz w:val="18"/>
        </w:rPr>
        <w:t>ISBN</w:t>
      </w:r>
      <w:r>
        <w:rPr>
          <w:color w:val="231F20"/>
          <w:spacing w:val="-5"/>
          <w:position w:val="2"/>
          <w:sz w:val="18"/>
        </w:rPr>
        <w:t xml:space="preserve">: </w:t>
      </w:r>
      <w:r>
        <w:rPr>
          <w:color w:val="231F20"/>
          <w:spacing w:val="-7"/>
          <w:sz w:val="18"/>
        </w:rPr>
        <w:t>978-0-6452812-4-8</w:t>
      </w:r>
    </w:p>
    <w:p w14:paraId="262290F7" w14:textId="77777777" w:rsidR="00894070" w:rsidRDefault="00894070">
      <w:pPr>
        <w:pStyle w:val="BodyText"/>
        <w:spacing w:before="5"/>
        <w:rPr>
          <w:sz w:val="19"/>
        </w:rPr>
      </w:pPr>
    </w:p>
    <w:p w14:paraId="1720093B" w14:textId="77777777" w:rsidR="00894070" w:rsidRDefault="009B7AFD">
      <w:pPr>
        <w:spacing w:line="230" w:lineRule="auto"/>
        <w:ind w:left="565" w:right="1909"/>
        <w:rPr>
          <w:rFonts w:ascii="Raleway SemiBold" w:hAnsi="Raleway SemiBold"/>
          <w:b/>
          <w:sz w:val="18"/>
        </w:rPr>
      </w:pPr>
      <w:r>
        <w:rPr>
          <w:color w:val="231F20"/>
          <w:spacing w:val="-6"/>
          <w:sz w:val="18"/>
        </w:rPr>
        <w:t xml:space="preserve">Ordered </w:t>
      </w:r>
      <w:r>
        <w:rPr>
          <w:color w:val="231F20"/>
          <w:spacing w:val="-4"/>
          <w:sz w:val="18"/>
        </w:rPr>
        <w:t xml:space="preserve">to </w:t>
      </w:r>
      <w:r>
        <w:rPr>
          <w:color w:val="231F20"/>
          <w:spacing w:val="-3"/>
          <w:sz w:val="18"/>
        </w:rPr>
        <w:t xml:space="preserve">be </w:t>
      </w:r>
      <w:r>
        <w:rPr>
          <w:color w:val="231F20"/>
          <w:spacing w:val="-6"/>
          <w:sz w:val="18"/>
        </w:rPr>
        <w:t xml:space="preserve">published Victorian </w:t>
      </w:r>
      <w:r>
        <w:rPr>
          <w:color w:val="231F20"/>
          <w:spacing w:val="-7"/>
          <w:sz w:val="18"/>
        </w:rPr>
        <w:t xml:space="preserve">Government Printer </w:t>
      </w:r>
      <w:r>
        <w:rPr>
          <w:rFonts w:ascii="Raleway SemiBold" w:hAnsi="Raleway SemiBold"/>
          <w:b/>
          <w:color w:val="231F20"/>
          <w:spacing w:val="-3"/>
          <w:sz w:val="18"/>
        </w:rPr>
        <w:t xml:space="preserve">PP </w:t>
      </w:r>
      <w:r>
        <w:rPr>
          <w:rFonts w:ascii="Raleway SemiBold" w:hAnsi="Raleway SemiBold"/>
          <w:b/>
          <w:color w:val="231F20"/>
          <w:spacing w:val="-5"/>
          <w:sz w:val="18"/>
        </w:rPr>
        <w:t xml:space="preserve">354, </w:t>
      </w:r>
      <w:r>
        <w:rPr>
          <w:rFonts w:ascii="Raleway SemiBold" w:hAnsi="Raleway SemiBold"/>
          <w:b/>
          <w:color w:val="231F20"/>
          <w:spacing w:val="-6"/>
          <w:sz w:val="18"/>
        </w:rPr>
        <w:t>Session 2018‐2022.</w:t>
      </w:r>
    </w:p>
    <w:p w14:paraId="430EEA6F" w14:textId="77777777" w:rsidR="00894070" w:rsidRDefault="009B7AFD">
      <w:pPr>
        <w:spacing w:line="239" w:lineRule="exact"/>
        <w:ind w:left="565"/>
        <w:rPr>
          <w:i/>
          <w:sz w:val="18"/>
        </w:rPr>
      </w:pPr>
      <w:r>
        <w:br w:type="column"/>
      </w:r>
      <w:r>
        <w:rPr>
          <w:i/>
          <w:color w:val="231F20"/>
          <w:sz w:val="18"/>
        </w:rPr>
        <w:t>(</w:t>
      </w:r>
      <w:proofErr w:type="gramStart"/>
      <w:r>
        <w:rPr>
          <w:i/>
          <w:color w:val="231F20"/>
          <w:sz w:val="18"/>
        </w:rPr>
        <w:t>team</w:t>
      </w:r>
      <w:proofErr w:type="gramEnd"/>
      <w:r>
        <w:rPr>
          <w:i/>
          <w:color w:val="231F20"/>
          <w:sz w:val="18"/>
        </w:rPr>
        <w:t xml:space="preserve"> leader)</w:t>
      </w:r>
    </w:p>
    <w:p w14:paraId="2E448189" w14:textId="77777777" w:rsidR="00894070" w:rsidRDefault="009B7AFD">
      <w:pPr>
        <w:spacing w:before="46" w:line="244" w:lineRule="exact"/>
        <w:ind w:left="565"/>
        <w:rPr>
          <w:sz w:val="18"/>
        </w:rPr>
      </w:pPr>
      <w:r>
        <w:rPr>
          <w:color w:val="231F20"/>
          <w:sz w:val="18"/>
        </w:rPr>
        <w:t>Dr Emma Larking</w:t>
      </w:r>
    </w:p>
    <w:p w14:paraId="152A3D1D" w14:textId="77777777" w:rsidR="00894070" w:rsidRDefault="009B7AFD">
      <w:pPr>
        <w:spacing w:line="244" w:lineRule="exact"/>
        <w:ind w:left="565"/>
        <w:rPr>
          <w:i/>
          <w:sz w:val="18"/>
        </w:rPr>
      </w:pPr>
      <w:r>
        <w:rPr>
          <w:i/>
          <w:color w:val="231F20"/>
          <w:sz w:val="18"/>
        </w:rPr>
        <w:t>(</w:t>
      </w:r>
      <w:proofErr w:type="gramStart"/>
      <w:r>
        <w:rPr>
          <w:i/>
          <w:color w:val="231F20"/>
          <w:sz w:val="18"/>
        </w:rPr>
        <w:t>senior</w:t>
      </w:r>
      <w:proofErr w:type="gramEnd"/>
      <w:r>
        <w:rPr>
          <w:i/>
          <w:color w:val="231F20"/>
          <w:sz w:val="18"/>
        </w:rPr>
        <w:t xml:space="preserve"> research and policy officer)</w:t>
      </w:r>
    </w:p>
    <w:p w14:paraId="10773AEF" w14:textId="77777777" w:rsidR="00894070" w:rsidRDefault="009B7AFD">
      <w:pPr>
        <w:spacing w:before="45" w:line="244" w:lineRule="exact"/>
        <w:ind w:left="565"/>
        <w:rPr>
          <w:sz w:val="18"/>
        </w:rPr>
      </w:pPr>
      <w:r>
        <w:rPr>
          <w:color w:val="231F20"/>
          <w:sz w:val="18"/>
        </w:rPr>
        <w:t>Natalie Lilford</w:t>
      </w:r>
    </w:p>
    <w:p w14:paraId="491C9B8B" w14:textId="77777777" w:rsidR="00894070" w:rsidRDefault="009B7AFD">
      <w:pPr>
        <w:spacing w:line="244" w:lineRule="exact"/>
        <w:ind w:left="565"/>
        <w:rPr>
          <w:i/>
          <w:sz w:val="18"/>
        </w:rPr>
      </w:pPr>
      <w:r>
        <w:rPr>
          <w:i/>
          <w:color w:val="231F20"/>
          <w:sz w:val="18"/>
        </w:rPr>
        <w:t>(</w:t>
      </w:r>
      <w:proofErr w:type="gramStart"/>
      <w:r>
        <w:rPr>
          <w:i/>
          <w:color w:val="231F20"/>
          <w:sz w:val="18"/>
        </w:rPr>
        <w:t>manager</w:t>
      </w:r>
      <w:proofErr w:type="gramEnd"/>
      <w:r>
        <w:rPr>
          <w:i/>
          <w:color w:val="231F20"/>
          <w:sz w:val="18"/>
        </w:rPr>
        <w:t>, community law reform)</w:t>
      </w:r>
    </w:p>
    <w:p w14:paraId="69881097" w14:textId="77777777" w:rsidR="00894070" w:rsidRDefault="009B7AFD">
      <w:pPr>
        <w:spacing w:before="46" w:line="244" w:lineRule="exact"/>
        <w:ind w:left="565"/>
        <w:rPr>
          <w:sz w:val="18"/>
        </w:rPr>
      </w:pPr>
      <w:r>
        <w:rPr>
          <w:color w:val="231F20"/>
          <w:sz w:val="18"/>
        </w:rPr>
        <w:t>Hana Shahkhan</w:t>
      </w:r>
    </w:p>
    <w:p w14:paraId="23F15CAE" w14:textId="77777777" w:rsidR="00894070" w:rsidRDefault="009B7AFD">
      <w:pPr>
        <w:spacing w:line="244" w:lineRule="exact"/>
        <w:ind w:left="565"/>
        <w:rPr>
          <w:i/>
          <w:sz w:val="18"/>
        </w:rPr>
      </w:pPr>
      <w:r>
        <w:rPr>
          <w:i/>
          <w:color w:val="231F20"/>
          <w:sz w:val="18"/>
        </w:rPr>
        <w:t>(</w:t>
      </w:r>
      <w:proofErr w:type="gramStart"/>
      <w:r>
        <w:rPr>
          <w:i/>
          <w:color w:val="231F20"/>
          <w:sz w:val="18"/>
        </w:rPr>
        <w:t>senior</w:t>
      </w:r>
      <w:proofErr w:type="gramEnd"/>
      <w:r>
        <w:rPr>
          <w:i/>
          <w:color w:val="231F20"/>
          <w:sz w:val="18"/>
        </w:rPr>
        <w:t xml:space="preserve"> research and policy officer)</w:t>
      </w:r>
    </w:p>
    <w:p w14:paraId="7D7D414B" w14:textId="77777777" w:rsidR="00894070" w:rsidRDefault="00894070">
      <w:pPr>
        <w:spacing w:line="244" w:lineRule="exact"/>
        <w:rPr>
          <w:sz w:val="18"/>
        </w:rPr>
        <w:sectPr w:rsidR="00894070">
          <w:type w:val="continuous"/>
          <w:pgSz w:w="11910" w:h="16840"/>
          <w:pgMar w:top="560" w:right="420" w:bottom="280" w:left="580" w:header="720" w:footer="720" w:gutter="0"/>
          <w:cols w:num="2" w:space="720" w:equalWidth="0">
            <w:col w:w="4724" w:space="95"/>
            <w:col w:w="6091"/>
          </w:cols>
        </w:sectPr>
      </w:pPr>
    </w:p>
    <w:p w14:paraId="493EE264" w14:textId="77777777" w:rsidR="00894070" w:rsidRDefault="009B7AFD">
      <w:pPr>
        <w:tabs>
          <w:tab w:val="left" w:pos="5038"/>
          <w:tab w:val="left" w:pos="5384"/>
        </w:tabs>
        <w:spacing w:line="240" w:lineRule="exact"/>
        <w:ind w:left="570"/>
        <w:rPr>
          <w:sz w:val="18"/>
        </w:rPr>
      </w:pPr>
      <w:r>
        <w:rPr>
          <w:color w:val="231F20"/>
          <w:w w:val="99"/>
          <w:sz w:val="18"/>
          <w:u w:val="single" w:color="231F20"/>
        </w:rPr>
        <w:t xml:space="preserve"> </w:t>
      </w:r>
      <w:r>
        <w:rPr>
          <w:color w:val="231F20"/>
          <w:sz w:val="18"/>
          <w:u w:val="single" w:color="231F20"/>
        </w:rPr>
        <w:tab/>
      </w:r>
      <w:r>
        <w:rPr>
          <w:color w:val="231F20"/>
          <w:sz w:val="18"/>
        </w:rPr>
        <w:tab/>
      </w:r>
      <w:r>
        <w:rPr>
          <w:color w:val="231F20"/>
          <w:spacing w:val="-3"/>
          <w:sz w:val="18"/>
        </w:rPr>
        <w:t xml:space="preserve">Dr </w:t>
      </w:r>
      <w:r>
        <w:rPr>
          <w:color w:val="231F20"/>
          <w:spacing w:val="-6"/>
          <w:sz w:val="18"/>
        </w:rPr>
        <w:t>Madeleine</w:t>
      </w:r>
      <w:r>
        <w:rPr>
          <w:color w:val="231F20"/>
          <w:spacing w:val="-24"/>
          <w:sz w:val="18"/>
        </w:rPr>
        <w:t xml:space="preserve"> </w:t>
      </w:r>
      <w:r>
        <w:rPr>
          <w:color w:val="231F20"/>
          <w:spacing w:val="-7"/>
          <w:sz w:val="18"/>
        </w:rPr>
        <w:t>Ulbrick</w:t>
      </w:r>
    </w:p>
    <w:p w14:paraId="0C7FF1D2" w14:textId="77777777" w:rsidR="00894070" w:rsidRDefault="00894070">
      <w:pPr>
        <w:spacing w:line="240" w:lineRule="exact"/>
        <w:rPr>
          <w:sz w:val="18"/>
        </w:rPr>
        <w:sectPr w:rsidR="00894070">
          <w:type w:val="continuous"/>
          <w:pgSz w:w="11910" w:h="16840"/>
          <w:pgMar w:top="560" w:right="420" w:bottom="280" w:left="580" w:header="720" w:footer="720" w:gutter="0"/>
          <w:cols w:space="720"/>
        </w:sectPr>
      </w:pPr>
    </w:p>
    <w:p w14:paraId="236CB073" w14:textId="77777777" w:rsidR="00894070" w:rsidRDefault="009B7AFD">
      <w:pPr>
        <w:spacing w:before="102"/>
        <w:ind w:left="565"/>
        <w:rPr>
          <w:rFonts w:ascii="Raleway SemiBold"/>
          <w:b/>
          <w:sz w:val="18"/>
        </w:rPr>
      </w:pPr>
      <w:r>
        <w:rPr>
          <w:rFonts w:ascii="Raleway SemiBold"/>
          <w:b/>
          <w:color w:val="231F20"/>
          <w:sz w:val="18"/>
        </w:rPr>
        <w:t>A note on the cover design</w:t>
      </w:r>
    </w:p>
    <w:p w14:paraId="1BB9F73C" w14:textId="77777777" w:rsidR="00894070" w:rsidRDefault="009B7AFD">
      <w:pPr>
        <w:spacing w:before="54" w:line="230" w:lineRule="auto"/>
        <w:ind w:left="565" w:right="11"/>
        <w:rPr>
          <w:sz w:val="18"/>
        </w:rPr>
      </w:pPr>
      <w:r>
        <w:rPr>
          <w:color w:val="231F20"/>
          <w:spacing w:val="-4"/>
          <w:sz w:val="18"/>
        </w:rPr>
        <w:t>On</w:t>
      </w:r>
      <w:r>
        <w:rPr>
          <w:color w:val="231F20"/>
          <w:spacing w:val="-11"/>
          <w:sz w:val="18"/>
        </w:rPr>
        <w:t xml:space="preserve"> </w:t>
      </w:r>
      <w:r>
        <w:rPr>
          <w:color w:val="231F20"/>
          <w:spacing w:val="-4"/>
          <w:sz w:val="18"/>
        </w:rPr>
        <w:t>the</w:t>
      </w:r>
      <w:r>
        <w:rPr>
          <w:color w:val="231F20"/>
          <w:spacing w:val="-11"/>
          <w:sz w:val="18"/>
        </w:rPr>
        <w:t xml:space="preserve"> </w:t>
      </w:r>
      <w:r>
        <w:rPr>
          <w:color w:val="231F20"/>
          <w:spacing w:val="-7"/>
          <w:sz w:val="18"/>
        </w:rPr>
        <w:t>cover</w:t>
      </w:r>
      <w:r>
        <w:rPr>
          <w:color w:val="231F20"/>
          <w:spacing w:val="-16"/>
          <w:sz w:val="18"/>
        </w:rPr>
        <w:t xml:space="preserve"> </w:t>
      </w:r>
      <w:r>
        <w:rPr>
          <w:color w:val="231F20"/>
          <w:spacing w:val="-4"/>
          <w:sz w:val="18"/>
        </w:rPr>
        <w:t>the</w:t>
      </w:r>
      <w:r>
        <w:rPr>
          <w:color w:val="231F20"/>
          <w:spacing w:val="-16"/>
          <w:sz w:val="18"/>
        </w:rPr>
        <w:t xml:space="preserve"> </w:t>
      </w:r>
      <w:r>
        <w:rPr>
          <w:color w:val="231F20"/>
          <w:spacing w:val="-6"/>
          <w:sz w:val="18"/>
        </w:rPr>
        <w:t>word</w:t>
      </w:r>
      <w:r>
        <w:rPr>
          <w:color w:val="231F20"/>
          <w:spacing w:val="-10"/>
          <w:sz w:val="18"/>
        </w:rPr>
        <w:t xml:space="preserve"> </w:t>
      </w:r>
      <w:r>
        <w:rPr>
          <w:color w:val="231F20"/>
          <w:spacing w:val="-6"/>
          <w:sz w:val="18"/>
        </w:rPr>
        <w:t>stalking</w:t>
      </w:r>
      <w:r>
        <w:rPr>
          <w:color w:val="231F20"/>
          <w:spacing w:val="-11"/>
          <w:sz w:val="18"/>
        </w:rPr>
        <w:t xml:space="preserve"> </w:t>
      </w:r>
      <w:r>
        <w:rPr>
          <w:color w:val="231F20"/>
          <w:spacing w:val="-6"/>
          <w:sz w:val="18"/>
        </w:rPr>
        <w:t>appears</w:t>
      </w:r>
      <w:r>
        <w:rPr>
          <w:color w:val="231F20"/>
          <w:spacing w:val="-11"/>
          <w:sz w:val="18"/>
        </w:rPr>
        <w:t xml:space="preserve"> </w:t>
      </w:r>
      <w:r>
        <w:rPr>
          <w:color w:val="231F20"/>
          <w:spacing w:val="-3"/>
          <w:sz w:val="18"/>
        </w:rPr>
        <w:t>on</w:t>
      </w:r>
      <w:r>
        <w:rPr>
          <w:color w:val="231F20"/>
          <w:spacing w:val="-11"/>
          <w:sz w:val="18"/>
        </w:rPr>
        <w:t xml:space="preserve"> </w:t>
      </w:r>
      <w:r>
        <w:rPr>
          <w:color w:val="231F20"/>
          <w:spacing w:val="-4"/>
          <w:sz w:val="18"/>
        </w:rPr>
        <w:t>the</w:t>
      </w:r>
      <w:r>
        <w:rPr>
          <w:color w:val="231F20"/>
          <w:spacing w:val="-11"/>
          <w:sz w:val="18"/>
        </w:rPr>
        <w:t xml:space="preserve"> </w:t>
      </w:r>
      <w:r>
        <w:rPr>
          <w:color w:val="231F20"/>
          <w:spacing w:val="-6"/>
          <w:sz w:val="18"/>
        </w:rPr>
        <w:t>diagonal, highlighted</w:t>
      </w:r>
      <w:r>
        <w:rPr>
          <w:color w:val="231F20"/>
          <w:spacing w:val="-11"/>
          <w:sz w:val="18"/>
        </w:rPr>
        <w:t xml:space="preserve"> </w:t>
      </w:r>
      <w:r>
        <w:rPr>
          <w:color w:val="231F20"/>
          <w:spacing w:val="-5"/>
          <w:sz w:val="18"/>
        </w:rPr>
        <w:t>by</w:t>
      </w:r>
      <w:r>
        <w:rPr>
          <w:color w:val="231F20"/>
          <w:spacing w:val="-16"/>
          <w:sz w:val="18"/>
        </w:rPr>
        <w:t xml:space="preserve"> </w:t>
      </w:r>
      <w:r>
        <w:rPr>
          <w:color w:val="231F20"/>
          <w:sz w:val="18"/>
        </w:rPr>
        <w:t>a</w:t>
      </w:r>
      <w:r>
        <w:rPr>
          <w:color w:val="231F20"/>
          <w:spacing w:val="-11"/>
          <w:sz w:val="18"/>
        </w:rPr>
        <w:t xml:space="preserve"> </w:t>
      </w:r>
      <w:r>
        <w:rPr>
          <w:color w:val="231F20"/>
          <w:spacing w:val="-5"/>
          <w:sz w:val="18"/>
        </w:rPr>
        <w:t>beam</w:t>
      </w:r>
      <w:r>
        <w:rPr>
          <w:color w:val="231F20"/>
          <w:spacing w:val="-10"/>
          <w:sz w:val="18"/>
        </w:rPr>
        <w:t xml:space="preserve"> </w:t>
      </w:r>
      <w:r>
        <w:rPr>
          <w:color w:val="231F20"/>
          <w:spacing w:val="-4"/>
          <w:sz w:val="18"/>
        </w:rPr>
        <w:t>of</w:t>
      </w:r>
      <w:r>
        <w:rPr>
          <w:color w:val="231F20"/>
          <w:spacing w:val="-15"/>
          <w:sz w:val="18"/>
        </w:rPr>
        <w:t xml:space="preserve"> </w:t>
      </w:r>
      <w:r>
        <w:rPr>
          <w:color w:val="231F20"/>
          <w:spacing w:val="-6"/>
          <w:sz w:val="18"/>
        </w:rPr>
        <w:t>light.</w:t>
      </w:r>
      <w:r>
        <w:rPr>
          <w:color w:val="231F20"/>
          <w:spacing w:val="-17"/>
          <w:sz w:val="18"/>
        </w:rPr>
        <w:t xml:space="preserve"> </w:t>
      </w:r>
      <w:r>
        <w:rPr>
          <w:color w:val="231F20"/>
          <w:spacing w:val="-5"/>
          <w:sz w:val="18"/>
        </w:rPr>
        <w:t>This</w:t>
      </w:r>
      <w:r>
        <w:rPr>
          <w:color w:val="231F20"/>
          <w:spacing w:val="-10"/>
          <w:sz w:val="18"/>
        </w:rPr>
        <w:t xml:space="preserve"> </w:t>
      </w:r>
      <w:r>
        <w:rPr>
          <w:color w:val="231F20"/>
          <w:spacing w:val="-6"/>
          <w:sz w:val="18"/>
        </w:rPr>
        <w:t>indicates</w:t>
      </w:r>
      <w:r>
        <w:rPr>
          <w:color w:val="231F20"/>
          <w:spacing w:val="-11"/>
          <w:sz w:val="18"/>
        </w:rPr>
        <w:t xml:space="preserve"> </w:t>
      </w:r>
      <w:r>
        <w:rPr>
          <w:color w:val="231F20"/>
          <w:spacing w:val="-4"/>
          <w:sz w:val="18"/>
        </w:rPr>
        <w:t>the</w:t>
      </w:r>
      <w:r>
        <w:rPr>
          <w:color w:val="231F20"/>
          <w:spacing w:val="-11"/>
          <w:sz w:val="18"/>
        </w:rPr>
        <w:t xml:space="preserve"> </w:t>
      </w:r>
      <w:r>
        <w:rPr>
          <w:color w:val="231F20"/>
          <w:spacing w:val="-6"/>
          <w:sz w:val="18"/>
        </w:rPr>
        <w:t xml:space="preserve">mission </w:t>
      </w:r>
      <w:r>
        <w:rPr>
          <w:color w:val="231F20"/>
          <w:spacing w:val="-4"/>
          <w:sz w:val="18"/>
        </w:rPr>
        <w:t xml:space="preserve">of the </w:t>
      </w:r>
      <w:r>
        <w:rPr>
          <w:color w:val="231F20"/>
          <w:spacing w:val="-6"/>
          <w:sz w:val="18"/>
        </w:rPr>
        <w:t xml:space="preserve">Commission </w:t>
      </w:r>
      <w:r>
        <w:rPr>
          <w:color w:val="231F20"/>
          <w:spacing w:val="-4"/>
          <w:sz w:val="18"/>
        </w:rPr>
        <w:t xml:space="preserve">to </w:t>
      </w:r>
      <w:r>
        <w:rPr>
          <w:color w:val="231F20"/>
          <w:spacing w:val="-6"/>
          <w:sz w:val="18"/>
        </w:rPr>
        <w:t xml:space="preserve">throw </w:t>
      </w:r>
      <w:r>
        <w:rPr>
          <w:color w:val="231F20"/>
          <w:spacing w:val="-5"/>
          <w:sz w:val="18"/>
        </w:rPr>
        <w:t xml:space="preserve">light </w:t>
      </w:r>
      <w:proofErr w:type="gramStart"/>
      <w:r>
        <w:rPr>
          <w:color w:val="231F20"/>
          <w:spacing w:val="-3"/>
          <w:sz w:val="18"/>
        </w:rPr>
        <w:t xml:space="preserve">on </w:t>
      </w:r>
      <w:r>
        <w:rPr>
          <w:color w:val="231F20"/>
          <w:spacing w:val="-4"/>
          <w:sz w:val="18"/>
        </w:rPr>
        <w:t xml:space="preserve">the </w:t>
      </w:r>
      <w:r>
        <w:rPr>
          <w:color w:val="231F20"/>
          <w:spacing w:val="-6"/>
          <w:sz w:val="18"/>
        </w:rPr>
        <w:t xml:space="preserve">subject </w:t>
      </w:r>
      <w:r>
        <w:rPr>
          <w:color w:val="231F20"/>
          <w:spacing w:val="-4"/>
          <w:sz w:val="18"/>
        </w:rPr>
        <w:t xml:space="preserve">of </w:t>
      </w:r>
      <w:r>
        <w:rPr>
          <w:color w:val="231F20"/>
          <w:spacing w:val="-6"/>
          <w:sz w:val="18"/>
        </w:rPr>
        <w:t>stalking</w:t>
      </w:r>
      <w:proofErr w:type="gramEnd"/>
      <w:r>
        <w:rPr>
          <w:color w:val="231F20"/>
          <w:spacing w:val="-6"/>
          <w:sz w:val="18"/>
        </w:rPr>
        <w:t xml:space="preserve">. </w:t>
      </w:r>
      <w:r>
        <w:rPr>
          <w:color w:val="231F20"/>
          <w:spacing w:val="-4"/>
          <w:sz w:val="18"/>
        </w:rPr>
        <w:t xml:space="preserve">The </w:t>
      </w:r>
      <w:r>
        <w:rPr>
          <w:color w:val="231F20"/>
          <w:spacing w:val="-6"/>
          <w:sz w:val="18"/>
        </w:rPr>
        <w:t xml:space="preserve">intersecting horizontal words </w:t>
      </w:r>
      <w:r>
        <w:rPr>
          <w:color w:val="231F20"/>
          <w:spacing w:val="-5"/>
          <w:sz w:val="18"/>
        </w:rPr>
        <w:t xml:space="preserve">are </w:t>
      </w:r>
      <w:r>
        <w:rPr>
          <w:color w:val="231F20"/>
          <w:spacing w:val="-7"/>
          <w:sz w:val="18"/>
        </w:rPr>
        <w:t xml:space="preserve">examples </w:t>
      </w:r>
      <w:r>
        <w:rPr>
          <w:color w:val="231F20"/>
          <w:spacing w:val="-4"/>
          <w:sz w:val="18"/>
        </w:rPr>
        <w:t xml:space="preserve">of </w:t>
      </w:r>
      <w:proofErr w:type="spellStart"/>
      <w:r>
        <w:rPr>
          <w:color w:val="231F20"/>
          <w:spacing w:val="-6"/>
          <w:sz w:val="18"/>
        </w:rPr>
        <w:t>behaviour</w:t>
      </w:r>
      <w:proofErr w:type="spellEnd"/>
      <w:r>
        <w:rPr>
          <w:color w:val="231F20"/>
          <w:spacing w:val="-6"/>
          <w:sz w:val="18"/>
        </w:rPr>
        <w:t xml:space="preserve"> </w:t>
      </w:r>
      <w:r>
        <w:rPr>
          <w:color w:val="231F20"/>
          <w:spacing w:val="-5"/>
          <w:sz w:val="18"/>
        </w:rPr>
        <w:t xml:space="preserve">which might </w:t>
      </w:r>
      <w:r>
        <w:rPr>
          <w:color w:val="231F20"/>
          <w:spacing w:val="-6"/>
          <w:sz w:val="18"/>
        </w:rPr>
        <w:t xml:space="preserve">constitute stalking. They </w:t>
      </w:r>
      <w:r>
        <w:rPr>
          <w:color w:val="231F20"/>
          <w:spacing w:val="-5"/>
          <w:sz w:val="18"/>
        </w:rPr>
        <w:t xml:space="preserve">are </w:t>
      </w:r>
      <w:r>
        <w:rPr>
          <w:color w:val="231F20"/>
          <w:spacing w:val="-6"/>
          <w:sz w:val="18"/>
        </w:rPr>
        <w:t xml:space="preserve">confronting words, indicating </w:t>
      </w:r>
      <w:r>
        <w:rPr>
          <w:color w:val="231F20"/>
          <w:spacing w:val="-5"/>
          <w:sz w:val="18"/>
        </w:rPr>
        <w:t>that</w:t>
      </w:r>
      <w:r>
        <w:rPr>
          <w:color w:val="231F20"/>
          <w:spacing w:val="-35"/>
          <w:sz w:val="18"/>
        </w:rPr>
        <w:t xml:space="preserve"> </w:t>
      </w:r>
      <w:r>
        <w:rPr>
          <w:color w:val="231F20"/>
          <w:spacing w:val="-6"/>
          <w:sz w:val="18"/>
        </w:rPr>
        <w:t xml:space="preserve">stalking </w:t>
      </w:r>
      <w:proofErr w:type="spellStart"/>
      <w:r>
        <w:rPr>
          <w:color w:val="231F20"/>
          <w:spacing w:val="-7"/>
          <w:sz w:val="18"/>
        </w:rPr>
        <w:t>behaviour</w:t>
      </w:r>
      <w:proofErr w:type="spellEnd"/>
    </w:p>
    <w:p w14:paraId="484E68E7" w14:textId="77777777" w:rsidR="00894070" w:rsidRDefault="009B7AFD">
      <w:pPr>
        <w:spacing w:line="230" w:lineRule="auto"/>
        <w:ind w:left="565"/>
        <w:rPr>
          <w:sz w:val="18"/>
        </w:rPr>
      </w:pPr>
      <w:r>
        <w:rPr>
          <w:color w:val="231F20"/>
          <w:spacing w:val="-3"/>
          <w:sz w:val="18"/>
        </w:rPr>
        <w:t xml:space="preserve">is </w:t>
      </w:r>
      <w:r>
        <w:rPr>
          <w:color w:val="231F20"/>
          <w:spacing w:val="-6"/>
          <w:sz w:val="18"/>
        </w:rPr>
        <w:t xml:space="preserve">serious </w:t>
      </w:r>
      <w:r>
        <w:rPr>
          <w:color w:val="231F20"/>
          <w:spacing w:val="-4"/>
          <w:sz w:val="18"/>
        </w:rPr>
        <w:t xml:space="preserve">and can </w:t>
      </w:r>
      <w:r>
        <w:rPr>
          <w:color w:val="231F20"/>
          <w:spacing w:val="-3"/>
          <w:sz w:val="18"/>
        </w:rPr>
        <w:t xml:space="preserve">be </w:t>
      </w:r>
      <w:r>
        <w:rPr>
          <w:color w:val="231F20"/>
          <w:spacing w:val="-6"/>
          <w:sz w:val="18"/>
        </w:rPr>
        <w:t xml:space="preserve">very damaging </w:t>
      </w:r>
      <w:r>
        <w:rPr>
          <w:color w:val="231F20"/>
          <w:spacing w:val="-4"/>
          <w:sz w:val="18"/>
        </w:rPr>
        <w:t xml:space="preserve">to </w:t>
      </w:r>
      <w:r>
        <w:rPr>
          <w:color w:val="231F20"/>
          <w:spacing w:val="-5"/>
          <w:sz w:val="18"/>
        </w:rPr>
        <w:t xml:space="preserve">people </w:t>
      </w:r>
      <w:r>
        <w:rPr>
          <w:color w:val="231F20"/>
          <w:spacing w:val="-6"/>
          <w:sz w:val="18"/>
        </w:rPr>
        <w:t xml:space="preserve">who experience </w:t>
      </w:r>
      <w:r>
        <w:rPr>
          <w:color w:val="231F20"/>
          <w:spacing w:val="-4"/>
          <w:sz w:val="18"/>
        </w:rPr>
        <w:t xml:space="preserve">it. The </w:t>
      </w:r>
      <w:r>
        <w:rPr>
          <w:color w:val="231F20"/>
          <w:spacing w:val="-6"/>
          <w:sz w:val="18"/>
        </w:rPr>
        <w:t xml:space="preserve">intersecting words </w:t>
      </w:r>
      <w:r>
        <w:rPr>
          <w:color w:val="231F20"/>
          <w:spacing w:val="-5"/>
          <w:sz w:val="18"/>
        </w:rPr>
        <w:t xml:space="preserve">are </w:t>
      </w:r>
      <w:r>
        <w:rPr>
          <w:color w:val="231F20"/>
          <w:spacing w:val="-6"/>
          <w:sz w:val="18"/>
        </w:rPr>
        <w:t>included because</w:t>
      </w:r>
      <w:r>
        <w:rPr>
          <w:color w:val="231F20"/>
          <w:spacing w:val="-12"/>
          <w:sz w:val="18"/>
        </w:rPr>
        <w:t xml:space="preserve"> </w:t>
      </w:r>
      <w:r>
        <w:rPr>
          <w:color w:val="231F20"/>
          <w:spacing w:val="-4"/>
          <w:sz w:val="18"/>
        </w:rPr>
        <w:t>the</w:t>
      </w:r>
      <w:r>
        <w:rPr>
          <w:color w:val="231F20"/>
          <w:spacing w:val="-11"/>
          <w:sz w:val="18"/>
        </w:rPr>
        <w:t xml:space="preserve"> </w:t>
      </w:r>
      <w:r>
        <w:rPr>
          <w:color w:val="231F20"/>
          <w:spacing w:val="-6"/>
          <w:sz w:val="18"/>
        </w:rPr>
        <w:t>Commission</w:t>
      </w:r>
      <w:r>
        <w:rPr>
          <w:color w:val="231F20"/>
          <w:spacing w:val="-16"/>
          <w:sz w:val="18"/>
        </w:rPr>
        <w:t xml:space="preserve"> </w:t>
      </w:r>
      <w:r>
        <w:rPr>
          <w:color w:val="231F20"/>
          <w:spacing w:val="-5"/>
          <w:sz w:val="18"/>
        </w:rPr>
        <w:t>was</w:t>
      </w:r>
      <w:r>
        <w:rPr>
          <w:color w:val="231F20"/>
          <w:spacing w:val="-11"/>
          <w:sz w:val="18"/>
        </w:rPr>
        <w:t xml:space="preserve"> </w:t>
      </w:r>
      <w:r>
        <w:rPr>
          <w:color w:val="231F20"/>
          <w:spacing w:val="-5"/>
          <w:sz w:val="18"/>
        </w:rPr>
        <w:t>told</w:t>
      </w:r>
      <w:r>
        <w:rPr>
          <w:color w:val="231F20"/>
          <w:spacing w:val="-11"/>
          <w:sz w:val="18"/>
        </w:rPr>
        <w:t xml:space="preserve"> </w:t>
      </w:r>
      <w:r>
        <w:rPr>
          <w:color w:val="231F20"/>
          <w:spacing w:val="-5"/>
          <w:sz w:val="18"/>
        </w:rPr>
        <w:t>that</w:t>
      </w:r>
      <w:r>
        <w:rPr>
          <w:color w:val="231F20"/>
          <w:spacing w:val="-11"/>
          <w:sz w:val="18"/>
        </w:rPr>
        <w:t xml:space="preserve"> </w:t>
      </w:r>
      <w:r>
        <w:rPr>
          <w:color w:val="231F20"/>
          <w:spacing w:val="-5"/>
          <w:sz w:val="18"/>
        </w:rPr>
        <w:t>many</w:t>
      </w:r>
      <w:r>
        <w:rPr>
          <w:color w:val="231F20"/>
          <w:spacing w:val="-16"/>
          <w:sz w:val="18"/>
        </w:rPr>
        <w:t xml:space="preserve"> </w:t>
      </w:r>
      <w:r>
        <w:rPr>
          <w:color w:val="231F20"/>
          <w:spacing w:val="-5"/>
          <w:sz w:val="18"/>
        </w:rPr>
        <w:t>people</w:t>
      </w:r>
      <w:r>
        <w:rPr>
          <w:color w:val="231F20"/>
          <w:spacing w:val="-12"/>
          <w:sz w:val="18"/>
        </w:rPr>
        <w:t xml:space="preserve"> </w:t>
      </w:r>
      <w:r>
        <w:rPr>
          <w:color w:val="231F20"/>
          <w:spacing w:val="-5"/>
          <w:sz w:val="18"/>
        </w:rPr>
        <w:t xml:space="preserve">are not </w:t>
      </w:r>
      <w:r>
        <w:rPr>
          <w:color w:val="231F20"/>
          <w:spacing w:val="-7"/>
          <w:sz w:val="18"/>
        </w:rPr>
        <w:t xml:space="preserve">aware </w:t>
      </w:r>
      <w:r>
        <w:rPr>
          <w:color w:val="231F20"/>
          <w:spacing w:val="-5"/>
          <w:sz w:val="18"/>
        </w:rPr>
        <w:t xml:space="preserve">that such </w:t>
      </w:r>
      <w:r>
        <w:rPr>
          <w:color w:val="231F20"/>
          <w:spacing w:val="-6"/>
          <w:sz w:val="18"/>
        </w:rPr>
        <w:t xml:space="preserve">conduct </w:t>
      </w:r>
      <w:r>
        <w:rPr>
          <w:color w:val="231F20"/>
          <w:spacing w:val="-5"/>
          <w:sz w:val="18"/>
        </w:rPr>
        <w:t xml:space="preserve">could </w:t>
      </w:r>
      <w:r>
        <w:rPr>
          <w:color w:val="231F20"/>
          <w:spacing w:val="-6"/>
          <w:sz w:val="18"/>
        </w:rPr>
        <w:t xml:space="preserve">amount </w:t>
      </w:r>
      <w:r>
        <w:rPr>
          <w:color w:val="231F20"/>
          <w:spacing w:val="-4"/>
          <w:sz w:val="18"/>
        </w:rPr>
        <w:t xml:space="preserve">to </w:t>
      </w:r>
      <w:r>
        <w:rPr>
          <w:color w:val="231F20"/>
          <w:spacing w:val="-6"/>
          <w:sz w:val="18"/>
        </w:rPr>
        <w:t xml:space="preserve">stalking. They form </w:t>
      </w:r>
      <w:r>
        <w:rPr>
          <w:color w:val="231F20"/>
          <w:sz w:val="18"/>
        </w:rPr>
        <w:t xml:space="preserve">a </w:t>
      </w:r>
      <w:r>
        <w:rPr>
          <w:color w:val="231F20"/>
          <w:spacing w:val="-6"/>
          <w:sz w:val="18"/>
        </w:rPr>
        <w:t xml:space="preserve">pattern, intended </w:t>
      </w:r>
      <w:r>
        <w:rPr>
          <w:color w:val="231F20"/>
          <w:spacing w:val="-4"/>
          <w:sz w:val="18"/>
        </w:rPr>
        <w:t xml:space="preserve">to </w:t>
      </w:r>
      <w:r>
        <w:rPr>
          <w:color w:val="231F20"/>
          <w:spacing w:val="-6"/>
          <w:sz w:val="18"/>
        </w:rPr>
        <w:t xml:space="preserve">communicate </w:t>
      </w:r>
      <w:r>
        <w:rPr>
          <w:color w:val="231F20"/>
          <w:spacing w:val="-5"/>
          <w:sz w:val="18"/>
        </w:rPr>
        <w:t xml:space="preserve">that </w:t>
      </w:r>
      <w:r>
        <w:rPr>
          <w:color w:val="231F20"/>
          <w:spacing w:val="-6"/>
          <w:sz w:val="18"/>
        </w:rPr>
        <w:t>stalking</w:t>
      </w:r>
      <w:r>
        <w:rPr>
          <w:color w:val="231F20"/>
          <w:spacing w:val="-11"/>
          <w:sz w:val="18"/>
        </w:rPr>
        <w:t xml:space="preserve"> </w:t>
      </w:r>
      <w:r>
        <w:rPr>
          <w:color w:val="231F20"/>
          <w:spacing w:val="-3"/>
          <w:sz w:val="18"/>
        </w:rPr>
        <w:t>is</w:t>
      </w:r>
      <w:r>
        <w:rPr>
          <w:color w:val="231F20"/>
          <w:spacing w:val="-11"/>
          <w:sz w:val="18"/>
        </w:rPr>
        <w:t xml:space="preserve"> </w:t>
      </w:r>
      <w:r>
        <w:rPr>
          <w:color w:val="231F20"/>
          <w:sz w:val="18"/>
        </w:rPr>
        <w:t>a</w:t>
      </w:r>
      <w:r>
        <w:rPr>
          <w:color w:val="231F20"/>
          <w:spacing w:val="-11"/>
          <w:sz w:val="18"/>
        </w:rPr>
        <w:t xml:space="preserve"> </w:t>
      </w:r>
      <w:r>
        <w:rPr>
          <w:color w:val="231F20"/>
          <w:spacing w:val="-6"/>
          <w:sz w:val="18"/>
        </w:rPr>
        <w:t>pattern</w:t>
      </w:r>
      <w:r>
        <w:rPr>
          <w:color w:val="231F20"/>
          <w:spacing w:val="-11"/>
          <w:sz w:val="18"/>
        </w:rPr>
        <w:t xml:space="preserve"> </w:t>
      </w:r>
      <w:r>
        <w:rPr>
          <w:color w:val="231F20"/>
          <w:spacing w:val="-4"/>
          <w:sz w:val="18"/>
        </w:rPr>
        <w:t>of</w:t>
      </w:r>
      <w:r>
        <w:rPr>
          <w:color w:val="231F20"/>
          <w:spacing w:val="-15"/>
          <w:sz w:val="18"/>
        </w:rPr>
        <w:t xml:space="preserve"> </w:t>
      </w:r>
      <w:proofErr w:type="spellStart"/>
      <w:r>
        <w:rPr>
          <w:color w:val="231F20"/>
          <w:spacing w:val="-8"/>
          <w:sz w:val="18"/>
        </w:rPr>
        <w:t>behaviour</w:t>
      </w:r>
      <w:proofErr w:type="spellEnd"/>
      <w:r>
        <w:rPr>
          <w:color w:val="231F20"/>
          <w:spacing w:val="-8"/>
          <w:sz w:val="18"/>
        </w:rPr>
        <w:t>.</w:t>
      </w:r>
    </w:p>
    <w:p w14:paraId="031B30ED" w14:textId="77777777" w:rsidR="00894070" w:rsidRDefault="009B7AFD">
      <w:pPr>
        <w:spacing w:line="239" w:lineRule="exact"/>
        <w:ind w:left="407"/>
        <w:rPr>
          <w:i/>
          <w:sz w:val="18"/>
        </w:rPr>
      </w:pPr>
      <w:r>
        <w:br w:type="column"/>
      </w:r>
      <w:r>
        <w:rPr>
          <w:i/>
          <w:color w:val="231F20"/>
          <w:sz w:val="18"/>
        </w:rPr>
        <w:t>(</w:t>
      </w:r>
      <w:proofErr w:type="gramStart"/>
      <w:r>
        <w:rPr>
          <w:i/>
          <w:color w:val="231F20"/>
          <w:sz w:val="18"/>
        </w:rPr>
        <w:t>senior</w:t>
      </w:r>
      <w:proofErr w:type="gramEnd"/>
      <w:r>
        <w:rPr>
          <w:i/>
          <w:color w:val="231F20"/>
          <w:sz w:val="18"/>
        </w:rPr>
        <w:t xml:space="preserve"> research and policy officer)</w:t>
      </w:r>
    </w:p>
    <w:p w14:paraId="4530A0C1" w14:textId="77777777" w:rsidR="00894070" w:rsidRDefault="009B7AFD">
      <w:pPr>
        <w:spacing w:before="46" w:line="244" w:lineRule="exact"/>
        <w:ind w:left="407"/>
        <w:rPr>
          <w:sz w:val="18"/>
        </w:rPr>
      </w:pPr>
      <w:r>
        <w:rPr>
          <w:color w:val="231F20"/>
          <w:sz w:val="18"/>
        </w:rPr>
        <w:t xml:space="preserve">Marcus </w:t>
      </w:r>
      <w:proofErr w:type="spellStart"/>
      <w:r>
        <w:rPr>
          <w:color w:val="231F20"/>
          <w:sz w:val="18"/>
        </w:rPr>
        <w:t>Hickleton</w:t>
      </w:r>
      <w:proofErr w:type="spellEnd"/>
    </w:p>
    <w:p w14:paraId="7593EFD8" w14:textId="77777777" w:rsidR="00894070" w:rsidRDefault="009B7AFD">
      <w:pPr>
        <w:spacing w:line="244" w:lineRule="exact"/>
        <w:ind w:left="407"/>
        <w:rPr>
          <w:i/>
          <w:sz w:val="18"/>
        </w:rPr>
      </w:pPr>
      <w:r>
        <w:rPr>
          <w:i/>
          <w:color w:val="231F20"/>
          <w:sz w:val="18"/>
        </w:rPr>
        <w:t>(</w:t>
      </w:r>
      <w:proofErr w:type="gramStart"/>
      <w:r>
        <w:rPr>
          <w:i/>
          <w:color w:val="231F20"/>
          <w:sz w:val="18"/>
        </w:rPr>
        <w:t>research</w:t>
      </w:r>
      <w:proofErr w:type="gramEnd"/>
      <w:r>
        <w:rPr>
          <w:i/>
          <w:color w:val="231F20"/>
          <w:sz w:val="18"/>
        </w:rPr>
        <w:t xml:space="preserve"> assistant)</w:t>
      </w:r>
    </w:p>
    <w:p w14:paraId="4765193F" w14:textId="77777777" w:rsidR="00894070" w:rsidRDefault="009B7AFD">
      <w:pPr>
        <w:spacing w:before="84" w:line="276" w:lineRule="auto"/>
        <w:ind w:left="407" w:right="1795"/>
        <w:rPr>
          <w:rFonts w:ascii="Arial"/>
          <w:i/>
          <w:sz w:val="18"/>
        </w:rPr>
      </w:pPr>
      <w:r>
        <w:rPr>
          <w:rFonts w:ascii="Arial"/>
          <w:i/>
          <w:color w:val="231F20"/>
          <w:spacing w:val="-6"/>
          <w:w w:val="105"/>
          <w:sz w:val="18"/>
        </w:rPr>
        <w:t xml:space="preserve">Reference </w:t>
      </w:r>
      <w:r>
        <w:rPr>
          <w:rFonts w:ascii="Arial"/>
          <w:i/>
          <w:color w:val="231F20"/>
          <w:spacing w:val="-5"/>
          <w:w w:val="105"/>
          <w:sz w:val="18"/>
        </w:rPr>
        <w:t xml:space="preserve">team </w:t>
      </w:r>
      <w:r>
        <w:rPr>
          <w:rFonts w:ascii="Arial"/>
          <w:i/>
          <w:color w:val="231F20"/>
          <w:spacing w:val="-4"/>
          <w:w w:val="105"/>
          <w:sz w:val="18"/>
        </w:rPr>
        <w:t xml:space="preserve">who </w:t>
      </w:r>
      <w:r>
        <w:rPr>
          <w:rFonts w:ascii="Arial"/>
          <w:i/>
          <w:color w:val="231F20"/>
          <w:spacing w:val="-6"/>
          <w:w w:val="105"/>
          <w:sz w:val="18"/>
        </w:rPr>
        <w:t xml:space="preserve">worked </w:t>
      </w:r>
      <w:r>
        <w:rPr>
          <w:rFonts w:ascii="Arial"/>
          <w:i/>
          <w:color w:val="231F20"/>
          <w:spacing w:val="-3"/>
          <w:w w:val="105"/>
          <w:sz w:val="18"/>
        </w:rPr>
        <w:t xml:space="preserve">on </w:t>
      </w:r>
      <w:r>
        <w:rPr>
          <w:rFonts w:ascii="Arial"/>
          <w:i/>
          <w:color w:val="231F20"/>
          <w:spacing w:val="-6"/>
          <w:w w:val="105"/>
          <w:sz w:val="18"/>
        </w:rPr>
        <w:t xml:space="preserve">the consultation </w:t>
      </w:r>
      <w:r>
        <w:rPr>
          <w:rFonts w:ascii="Arial"/>
          <w:i/>
          <w:color w:val="231F20"/>
          <w:spacing w:val="-5"/>
          <w:w w:val="105"/>
          <w:sz w:val="18"/>
        </w:rPr>
        <w:t xml:space="preserve">paper </w:t>
      </w:r>
      <w:r>
        <w:rPr>
          <w:rFonts w:ascii="Arial"/>
          <w:i/>
          <w:color w:val="231F20"/>
          <w:spacing w:val="-4"/>
          <w:w w:val="105"/>
          <w:sz w:val="18"/>
        </w:rPr>
        <w:t xml:space="preserve">and </w:t>
      </w:r>
      <w:r>
        <w:rPr>
          <w:rFonts w:ascii="Arial"/>
          <w:i/>
          <w:color w:val="231F20"/>
          <w:spacing w:val="-6"/>
          <w:w w:val="105"/>
          <w:sz w:val="18"/>
        </w:rPr>
        <w:t xml:space="preserve">interim </w:t>
      </w:r>
      <w:r>
        <w:rPr>
          <w:rFonts w:ascii="Arial"/>
          <w:i/>
          <w:color w:val="231F20"/>
          <w:spacing w:val="-7"/>
          <w:w w:val="105"/>
          <w:sz w:val="18"/>
        </w:rPr>
        <w:t>report:</w:t>
      </w:r>
    </w:p>
    <w:p w14:paraId="0C864F65" w14:textId="77777777" w:rsidR="00894070" w:rsidRDefault="009B7AFD">
      <w:pPr>
        <w:spacing w:before="20" w:line="244" w:lineRule="exact"/>
        <w:ind w:left="407"/>
        <w:rPr>
          <w:sz w:val="18"/>
        </w:rPr>
      </w:pPr>
      <w:r>
        <w:rPr>
          <w:color w:val="231F20"/>
          <w:sz w:val="18"/>
        </w:rPr>
        <w:t>Marie Barnard</w:t>
      </w:r>
    </w:p>
    <w:p w14:paraId="17A09070" w14:textId="77777777" w:rsidR="00894070" w:rsidRDefault="009B7AFD">
      <w:pPr>
        <w:spacing w:line="244" w:lineRule="exact"/>
        <w:ind w:left="407"/>
        <w:rPr>
          <w:i/>
          <w:sz w:val="18"/>
        </w:rPr>
      </w:pPr>
      <w:r>
        <w:rPr>
          <w:i/>
          <w:color w:val="231F20"/>
          <w:sz w:val="18"/>
        </w:rPr>
        <w:t>(</w:t>
      </w:r>
      <w:proofErr w:type="gramStart"/>
      <w:r>
        <w:rPr>
          <w:i/>
          <w:color w:val="231F20"/>
          <w:sz w:val="18"/>
        </w:rPr>
        <w:t>team</w:t>
      </w:r>
      <w:proofErr w:type="gramEnd"/>
      <w:r>
        <w:rPr>
          <w:i/>
          <w:color w:val="231F20"/>
          <w:sz w:val="18"/>
        </w:rPr>
        <w:t xml:space="preserve"> leader to 26 October 2021)</w:t>
      </w:r>
    </w:p>
    <w:p w14:paraId="05D1DBC1" w14:textId="77777777" w:rsidR="00894070" w:rsidRDefault="009B7AFD">
      <w:pPr>
        <w:spacing w:before="46" w:line="244" w:lineRule="exact"/>
        <w:ind w:left="407"/>
        <w:rPr>
          <w:sz w:val="18"/>
        </w:rPr>
      </w:pPr>
      <w:r>
        <w:rPr>
          <w:color w:val="231F20"/>
          <w:sz w:val="18"/>
        </w:rPr>
        <w:t>Ann Jorgensen</w:t>
      </w:r>
    </w:p>
    <w:p w14:paraId="5EE81E07" w14:textId="77777777" w:rsidR="00894070" w:rsidRDefault="009B7AFD">
      <w:pPr>
        <w:spacing w:line="239" w:lineRule="exact"/>
        <w:ind w:left="407"/>
        <w:rPr>
          <w:i/>
          <w:sz w:val="18"/>
        </w:rPr>
      </w:pPr>
      <w:r>
        <w:rPr>
          <w:i/>
          <w:color w:val="231F20"/>
          <w:sz w:val="18"/>
        </w:rPr>
        <w:t>(</w:t>
      </w:r>
      <w:proofErr w:type="gramStart"/>
      <w:r>
        <w:rPr>
          <w:i/>
          <w:color w:val="231F20"/>
          <w:sz w:val="18"/>
        </w:rPr>
        <w:t>senior</w:t>
      </w:r>
      <w:proofErr w:type="gramEnd"/>
      <w:r>
        <w:rPr>
          <w:i/>
          <w:color w:val="231F20"/>
          <w:sz w:val="18"/>
        </w:rPr>
        <w:t xml:space="preserve"> research and policy officer; acting team leader</w:t>
      </w:r>
    </w:p>
    <w:p w14:paraId="09D4E51D" w14:textId="77777777" w:rsidR="00894070" w:rsidRDefault="009B7AFD">
      <w:pPr>
        <w:spacing w:line="244" w:lineRule="exact"/>
        <w:ind w:left="407"/>
        <w:rPr>
          <w:i/>
          <w:sz w:val="18"/>
        </w:rPr>
      </w:pPr>
      <w:r>
        <w:rPr>
          <w:i/>
          <w:color w:val="231F20"/>
          <w:sz w:val="18"/>
        </w:rPr>
        <w:t>27 October to 2 December 2021)</w:t>
      </w:r>
    </w:p>
    <w:p w14:paraId="47663299" w14:textId="77777777" w:rsidR="00894070" w:rsidRDefault="009B7AFD">
      <w:pPr>
        <w:spacing w:before="46" w:line="244" w:lineRule="exact"/>
        <w:ind w:left="407"/>
        <w:rPr>
          <w:sz w:val="18"/>
        </w:rPr>
      </w:pPr>
      <w:r>
        <w:rPr>
          <w:color w:val="231F20"/>
          <w:sz w:val="18"/>
        </w:rPr>
        <w:t>Michelle McDonnell</w:t>
      </w:r>
    </w:p>
    <w:p w14:paraId="36AFDFBD" w14:textId="77777777" w:rsidR="00894070" w:rsidRDefault="009B7AFD">
      <w:pPr>
        <w:spacing w:line="244" w:lineRule="exact"/>
        <w:ind w:left="407"/>
        <w:rPr>
          <w:i/>
          <w:sz w:val="18"/>
        </w:rPr>
      </w:pPr>
      <w:r>
        <w:rPr>
          <w:i/>
          <w:color w:val="231F20"/>
          <w:sz w:val="18"/>
        </w:rPr>
        <w:t>(</w:t>
      </w:r>
      <w:proofErr w:type="gramStart"/>
      <w:r>
        <w:rPr>
          <w:i/>
          <w:color w:val="231F20"/>
          <w:sz w:val="18"/>
        </w:rPr>
        <w:t>senior</w:t>
      </w:r>
      <w:proofErr w:type="gramEnd"/>
      <w:r>
        <w:rPr>
          <w:i/>
          <w:color w:val="231F20"/>
          <w:sz w:val="18"/>
        </w:rPr>
        <w:t xml:space="preserve"> research and policy officer to 13 January 2022)</w:t>
      </w:r>
    </w:p>
    <w:p w14:paraId="14272C6E" w14:textId="77777777" w:rsidR="00894070" w:rsidRDefault="009B7AFD">
      <w:pPr>
        <w:spacing w:before="46" w:line="244" w:lineRule="exact"/>
        <w:ind w:left="407"/>
        <w:rPr>
          <w:sz w:val="18"/>
        </w:rPr>
      </w:pPr>
      <w:r>
        <w:rPr>
          <w:color w:val="231F20"/>
          <w:sz w:val="18"/>
        </w:rPr>
        <w:t>Dr Madeleine Ulbrick</w:t>
      </w:r>
    </w:p>
    <w:p w14:paraId="3DE0387A" w14:textId="77777777" w:rsidR="00894070" w:rsidRDefault="009B7AFD">
      <w:pPr>
        <w:spacing w:line="244" w:lineRule="exact"/>
        <w:ind w:left="407"/>
        <w:rPr>
          <w:i/>
          <w:sz w:val="18"/>
        </w:rPr>
      </w:pPr>
      <w:r>
        <w:rPr>
          <w:i/>
          <w:color w:val="231F20"/>
          <w:sz w:val="18"/>
        </w:rPr>
        <w:t>(</w:t>
      </w:r>
      <w:proofErr w:type="gramStart"/>
      <w:r>
        <w:rPr>
          <w:i/>
          <w:color w:val="231F20"/>
          <w:sz w:val="18"/>
        </w:rPr>
        <w:t>senior</w:t>
      </w:r>
      <w:proofErr w:type="gramEnd"/>
      <w:r>
        <w:rPr>
          <w:i/>
          <w:color w:val="231F20"/>
          <w:sz w:val="18"/>
        </w:rPr>
        <w:t xml:space="preserve"> research and policy officer)</w:t>
      </w:r>
    </w:p>
    <w:p w14:paraId="5DE362DB" w14:textId="77777777" w:rsidR="00894070" w:rsidRDefault="009B7AFD">
      <w:pPr>
        <w:spacing w:before="46" w:line="244" w:lineRule="exact"/>
        <w:ind w:left="407"/>
        <w:rPr>
          <w:sz w:val="18"/>
        </w:rPr>
      </w:pPr>
      <w:r>
        <w:rPr>
          <w:color w:val="231F20"/>
          <w:sz w:val="18"/>
        </w:rPr>
        <w:t>Bethia Burgess</w:t>
      </w:r>
    </w:p>
    <w:p w14:paraId="775450C9" w14:textId="77777777" w:rsidR="00894070" w:rsidRDefault="009B7AFD">
      <w:pPr>
        <w:spacing w:line="244" w:lineRule="exact"/>
        <w:ind w:left="407"/>
        <w:rPr>
          <w:i/>
          <w:sz w:val="18"/>
        </w:rPr>
      </w:pPr>
      <w:r>
        <w:rPr>
          <w:i/>
          <w:color w:val="231F20"/>
          <w:sz w:val="18"/>
        </w:rPr>
        <w:t>(</w:t>
      </w:r>
      <w:proofErr w:type="gramStart"/>
      <w:r>
        <w:rPr>
          <w:i/>
          <w:color w:val="231F20"/>
          <w:sz w:val="18"/>
        </w:rPr>
        <w:t>research</w:t>
      </w:r>
      <w:proofErr w:type="gramEnd"/>
      <w:r>
        <w:rPr>
          <w:i/>
          <w:color w:val="231F20"/>
          <w:sz w:val="18"/>
        </w:rPr>
        <w:t xml:space="preserve"> assistant to 25 November 2021)</w:t>
      </w:r>
    </w:p>
    <w:p w14:paraId="78AC1811" w14:textId="77777777" w:rsidR="00894070" w:rsidRDefault="009B7AFD">
      <w:pPr>
        <w:spacing w:before="102" w:line="244" w:lineRule="exact"/>
        <w:ind w:left="407"/>
        <w:rPr>
          <w:sz w:val="18"/>
        </w:rPr>
      </w:pPr>
      <w:r>
        <w:rPr>
          <w:color w:val="D91921"/>
          <w:sz w:val="18"/>
        </w:rPr>
        <w:t>Cover design</w:t>
      </w:r>
    </w:p>
    <w:p w14:paraId="7D24377D" w14:textId="77777777" w:rsidR="00894070" w:rsidRDefault="009B7AFD">
      <w:pPr>
        <w:spacing w:line="244" w:lineRule="exact"/>
        <w:ind w:left="407"/>
        <w:rPr>
          <w:sz w:val="18"/>
        </w:rPr>
      </w:pPr>
      <w:r>
        <w:rPr>
          <w:color w:val="231F20"/>
          <w:sz w:val="18"/>
        </w:rPr>
        <w:t>Stephen Banham, Letterbox</w:t>
      </w:r>
    </w:p>
    <w:p w14:paraId="7171A53A" w14:textId="77777777" w:rsidR="00894070" w:rsidRDefault="009B7AFD">
      <w:pPr>
        <w:spacing w:before="103" w:line="244" w:lineRule="exact"/>
        <w:ind w:left="407"/>
        <w:rPr>
          <w:sz w:val="18"/>
        </w:rPr>
      </w:pPr>
      <w:r>
        <w:rPr>
          <w:color w:val="D91921"/>
          <w:sz w:val="18"/>
        </w:rPr>
        <w:t>Text layout</w:t>
      </w:r>
    </w:p>
    <w:p w14:paraId="2FDC94C9" w14:textId="77777777" w:rsidR="00894070" w:rsidRDefault="009B7AFD">
      <w:pPr>
        <w:spacing w:line="244" w:lineRule="exact"/>
        <w:ind w:left="407"/>
        <w:rPr>
          <w:sz w:val="18"/>
        </w:rPr>
      </w:pPr>
      <w:r>
        <w:rPr>
          <w:color w:val="231F20"/>
          <w:sz w:val="18"/>
        </w:rPr>
        <w:t>Georgie Hollins, GH2 Design</w:t>
      </w:r>
    </w:p>
    <w:p w14:paraId="3C44C075" w14:textId="77777777" w:rsidR="00894070" w:rsidRDefault="009B7AFD">
      <w:pPr>
        <w:spacing w:before="111" w:line="230" w:lineRule="auto"/>
        <w:ind w:left="407" w:right="4098"/>
        <w:rPr>
          <w:sz w:val="18"/>
        </w:rPr>
      </w:pPr>
      <w:r>
        <w:rPr>
          <w:color w:val="D91921"/>
          <w:sz w:val="18"/>
        </w:rPr>
        <w:t xml:space="preserve">Communications </w:t>
      </w:r>
      <w:r>
        <w:rPr>
          <w:color w:val="231F20"/>
          <w:sz w:val="18"/>
        </w:rPr>
        <w:t>Nick Gadd Gemma Walsh</w:t>
      </w:r>
    </w:p>
    <w:p w14:paraId="34980F63" w14:textId="77777777" w:rsidR="00894070" w:rsidRDefault="00894070">
      <w:pPr>
        <w:spacing w:line="230" w:lineRule="auto"/>
        <w:rPr>
          <w:sz w:val="18"/>
        </w:rPr>
        <w:sectPr w:rsidR="00894070">
          <w:type w:val="continuous"/>
          <w:pgSz w:w="11910" w:h="16840"/>
          <w:pgMar w:top="560" w:right="420" w:bottom="280" w:left="580" w:header="720" w:footer="720" w:gutter="0"/>
          <w:cols w:num="2" w:space="720" w:equalWidth="0">
            <w:col w:w="4937" w:space="40"/>
            <w:col w:w="5933"/>
          </w:cols>
        </w:sectPr>
      </w:pPr>
    </w:p>
    <w:p w14:paraId="48931C5C" w14:textId="77777777" w:rsidR="00894070" w:rsidRDefault="009B7AFD">
      <w:pPr>
        <w:spacing w:line="744" w:lineRule="exact"/>
        <w:ind w:left="258"/>
        <w:rPr>
          <w:rFonts w:ascii="Raleway ExtraBold"/>
          <w:b/>
          <w:sz w:val="61"/>
        </w:rPr>
      </w:pPr>
      <w:r>
        <w:rPr>
          <w:rFonts w:ascii="Raleway ExtraBold"/>
          <w:b/>
          <w:color w:val="D91921"/>
          <w:sz w:val="61"/>
        </w:rPr>
        <w:lastRenderedPageBreak/>
        <w:t>Stalking</w:t>
      </w:r>
    </w:p>
    <w:p w14:paraId="4EB3D5A1" w14:textId="77777777" w:rsidR="00894070" w:rsidRDefault="009B7AFD">
      <w:pPr>
        <w:spacing w:line="786" w:lineRule="exact"/>
        <w:ind w:left="258"/>
        <w:rPr>
          <w:sz w:val="61"/>
        </w:rPr>
      </w:pPr>
      <w:r>
        <w:rPr>
          <w:color w:val="D91921"/>
          <w:spacing w:val="-16"/>
          <w:sz w:val="61"/>
        </w:rPr>
        <w:t xml:space="preserve">Final </w:t>
      </w:r>
      <w:r>
        <w:rPr>
          <w:color w:val="D91921"/>
          <w:spacing w:val="-21"/>
          <w:sz w:val="61"/>
        </w:rPr>
        <w:t>Report</w:t>
      </w:r>
    </w:p>
    <w:p w14:paraId="64176404" w14:textId="77777777" w:rsidR="00894070" w:rsidRDefault="009B7AFD">
      <w:pPr>
        <w:pStyle w:val="BodyText"/>
        <w:spacing w:before="5"/>
        <w:rPr>
          <w:sz w:val="3"/>
        </w:rPr>
      </w:pPr>
      <w:r>
        <w:br w:type="column"/>
      </w:r>
    </w:p>
    <w:p w14:paraId="7064E82F" w14:textId="77777777" w:rsidR="00894070" w:rsidRDefault="009B7AFD">
      <w:pPr>
        <w:pStyle w:val="BodyText"/>
        <w:ind w:left="258"/>
      </w:pPr>
      <w:r>
        <w:rPr>
          <w:noProof/>
        </w:rPr>
        <w:drawing>
          <wp:inline distT="0" distB="0" distL="0" distR="0" wp14:anchorId="39BD905E" wp14:editId="13D6E067">
            <wp:extent cx="999831" cy="509587"/>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stretch>
                      <a:fillRect/>
                    </a:stretch>
                  </pic:blipFill>
                  <pic:spPr>
                    <a:xfrm>
                      <a:off x="0" y="0"/>
                      <a:ext cx="999831" cy="509587"/>
                    </a:xfrm>
                    <a:prstGeom prst="rect">
                      <a:avLst/>
                    </a:prstGeom>
                  </pic:spPr>
                </pic:pic>
              </a:graphicData>
            </a:graphic>
          </wp:inline>
        </w:drawing>
      </w:r>
    </w:p>
    <w:p w14:paraId="6A2C4124" w14:textId="77777777" w:rsidR="00894070" w:rsidRDefault="00894070">
      <w:pPr>
        <w:pStyle w:val="BodyText"/>
        <w:spacing w:before="6"/>
        <w:rPr>
          <w:sz w:val="36"/>
        </w:rPr>
      </w:pPr>
    </w:p>
    <w:p w14:paraId="3ECBFBD6" w14:textId="77777777" w:rsidR="00894070" w:rsidRDefault="009B7AFD">
      <w:pPr>
        <w:ind w:left="258"/>
        <w:rPr>
          <w:rFonts w:ascii="Raleway Light"/>
          <w:sz w:val="24"/>
        </w:rPr>
      </w:pPr>
      <w:r>
        <w:rPr>
          <w:rFonts w:ascii="Raleway Light"/>
          <w:color w:val="D91921"/>
          <w:w w:val="110"/>
          <w:sz w:val="24"/>
        </w:rPr>
        <w:t>June 2022</w:t>
      </w:r>
    </w:p>
    <w:p w14:paraId="328920F4" w14:textId="77777777" w:rsidR="00894070" w:rsidRDefault="00894070">
      <w:pPr>
        <w:rPr>
          <w:rFonts w:ascii="Raleway Light"/>
          <w:sz w:val="24"/>
        </w:rPr>
        <w:sectPr w:rsidR="00894070">
          <w:pgSz w:w="11910" w:h="16840"/>
          <w:pgMar w:top="900" w:right="420" w:bottom="280" w:left="580" w:header="720" w:footer="720" w:gutter="0"/>
          <w:cols w:num="2" w:space="720" w:equalWidth="0">
            <w:col w:w="3471" w:space="5454"/>
            <w:col w:w="1985"/>
          </w:cols>
        </w:sectPr>
      </w:pPr>
    </w:p>
    <w:p w14:paraId="51C1ECCF" w14:textId="77777777" w:rsidR="00894070" w:rsidRDefault="00894070">
      <w:pPr>
        <w:pStyle w:val="BodyText"/>
        <w:rPr>
          <w:rFonts w:ascii="Raleway Light"/>
        </w:rPr>
      </w:pPr>
    </w:p>
    <w:p w14:paraId="17A69592" w14:textId="77777777" w:rsidR="00894070" w:rsidRDefault="00894070">
      <w:pPr>
        <w:pStyle w:val="BodyText"/>
        <w:rPr>
          <w:rFonts w:ascii="Raleway Light"/>
        </w:rPr>
      </w:pPr>
    </w:p>
    <w:p w14:paraId="6CC4C9BE" w14:textId="77777777" w:rsidR="00894070" w:rsidRDefault="00894070">
      <w:pPr>
        <w:pStyle w:val="BodyText"/>
        <w:rPr>
          <w:rFonts w:ascii="Raleway Light"/>
        </w:rPr>
      </w:pPr>
    </w:p>
    <w:p w14:paraId="547C77B5" w14:textId="77777777" w:rsidR="00894070" w:rsidRDefault="00894070">
      <w:pPr>
        <w:pStyle w:val="BodyText"/>
        <w:rPr>
          <w:rFonts w:ascii="Raleway Light"/>
        </w:rPr>
      </w:pPr>
    </w:p>
    <w:p w14:paraId="460933FE" w14:textId="77777777" w:rsidR="00894070" w:rsidRDefault="00894070">
      <w:pPr>
        <w:pStyle w:val="BodyText"/>
        <w:rPr>
          <w:rFonts w:ascii="Raleway Light"/>
        </w:rPr>
      </w:pPr>
    </w:p>
    <w:p w14:paraId="6A1C7DEC" w14:textId="77777777" w:rsidR="00894070" w:rsidRDefault="00894070">
      <w:pPr>
        <w:pStyle w:val="BodyText"/>
        <w:rPr>
          <w:rFonts w:ascii="Raleway Light"/>
        </w:rPr>
      </w:pPr>
    </w:p>
    <w:p w14:paraId="6217C117" w14:textId="77777777" w:rsidR="00894070" w:rsidRDefault="00894070">
      <w:pPr>
        <w:pStyle w:val="BodyText"/>
        <w:rPr>
          <w:rFonts w:ascii="Raleway Light"/>
        </w:rPr>
      </w:pPr>
    </w:p>
    <w:p w14:paraId="445780F2" w14:textId="77777777" w:rsidR="00894070" w:rsidRDefault="00894070">
      <w:pPr>
        <w:pStyle w:val="BodyText"/>
        <w:rPr>
          <w:rFonts w:ascii="Raleway Light"/>
        </w:rPr>
      </w:pPr>
    </w:p>
    <w:p w14:paraId="6BFAABD6" w14:textId="77777777" w:rsidR="00894070" w:rsidRDefault="00894070">
      <w:pPr>
        <w:pStyle w:val="BodyText"/>
        <w:rPr>
          <w:rFonts w:ascii="Raleway Light"/>
        </w:rPr>
      </w:pPr>
    </w:p>
    <w:p w14:paraId="0A9F2E7A" w14:textId="77777777" w:rsidR="00894070" w:rsidRDefault="00894070">
      <w:pPr>
        <w:pStyle w:val="BodyText"/>
        <w:rPr>
          <w:rFonts w:ascii="Raleway Light"/>
        </w:rPr>
      </w:pPr>
    </w:p>
    <w:p w14:paraId="17C6AA02" w14:textId="77777777" w:rsidR="00894070" w:rsidRDefault="00894070">
      <w:pPr>
        <w:pStyle w:val="BodyText"/>
        <w:rPr>
          <w:rFonts w:ascii="Raleway Light"/>
        </w:rPr>
      </w:pPr>
    </w:p>
    <w:p w14:paraId="3B74BE3B" w14:textId="77777777" w:rsidR="00894070" w:rsidRDefault="00894070">
      <w:pPr>
        <w:pStyle w:val="BodyText"/>
        <w:rPr>
          <w:rFonts w:ascii="Raleway Light"/>
        </w:rPr>
      </w:pPr>
    </w:p>
    <w:p w14:paraId="08B2BD6C" w14:textId="77777777" w:rsidR="00894070" w:rsidRDefault="00894070">
      <w:pPr>
        <w:pStyle w:val="BodyText"/>
        <w:rPr>
          <w:rFonts w:ascii="Raleway Light"/>
        </w:rPr>
      </w:pPr>
    </w:p>
    <w:p w14:paraId="4C197F7F" w14:textId="77777777" w:rsidR="00894070" w:rsidRDefault="00894070">
      <w:pPr>
        <w:pStyle w:val="BodyText"/>
        <w:rPr>
          <w:rFonts w:ascii="Raleway Light"/>
        </w:rPr>
      </w:pPr>
    </w:p>
    <w:p w14:paraId="093D0BDF" w14:textId="77777777" w:rsidR="00894070" w:rsidRDefault="00894070">
      <w:pPr>
        <w:pStyle w:val="BodyText"/>
        <w:rPr>
          <w:rFonts w:ascii="Raleway Light"/>
        </w:rPr>
      </w:pPr>
    </w:p>
    <w:p w14:paraId="05FD3099" w14:textId="77777777" w:rsidR="00894070" w:rsidRDefault="00894070">
      <w:pPr>
        <w:pStyle w:val="BodyText"/>
        <w:rPr>
          <w:rFonts w:ascii="Raleway Light"/>
        </w:rPr>
      </w:pPr>
    </w:p>
    <w:p w14:paraId="5D3E151A" w14:textId="77777777" w:rsidR="00894070" w:rsidRDefault="00894070">
      <w:pPr>
        <w:pStyle w:val="BodyText"/>
        <w:rPr>
          <w:rFonts w:ascii="Raleway Light"/>
        </w:rPr>
      </w:pPr>
    </w:p>
    <w:p w14:paraId="31BC7723" w14:textId="77777777" w:rsidR="00894070" w:rsidRDefault="00894070">
      <w:pPr>
        <w:pStyle w:val="BodyText"/>
        <w:rPr>
          <w:rFonts w:ascii="Raleway Light"/>
        </w:rPr>
      </w:pPr>
    </w:p>
    <w:p w14:paraId="26335AC0" w14:textId="77777777" w:rsidR="00894070" w:rsidRDefault="00894070">
      <w:pPr>
        <w:pStyle w:val="BodyText"/>
        <w:rPr>
          <w:rFonts w:ascii="Raleway Light"/>
        </w:rPr>
      </w:pPr>
    </w:p>
    <w:p w14:paraId="1B2D33D8" w14:textId="77777777" w:rsidR="00894070" w:rsidRDefault="00894070">
      <w:pPr>
        <w:pStyle w:val="BodyText"/>
        <w:rPr>
          <w:rFonts w:ascii="Raleway Light"/>
        </w:rPr>
      </w:pPr>
    </w:p>
    <w:p w14:paraId="302AB2DF" w14:textId="77777777" w:rsidR="00894070" w:rsidRDefault="00894070">
      <w:pPr>
        <w:pStyle w:val="BodyText"/>
        <w:rPr>
          <w:rFonts w:ascii="Raleway Light"/>
        </w:rPr>
      </w:pPr>
    </w:p>
    <w:p w14:paraId="711CE0D6" w14:textId="77777777" w:rsidR="00894070" w:rsidRDefault="00894070">
      <w:pPr>
        <w:pStyle w:val="BodyText"/>
        <w:rPr>
          <w:rFonts w:ascii="Raleway Light"/>
        </w:rPr>
      </w:pPr>
    </w:p>
    <w:p w14:paraId="7BEA6B0C" w14:textId="77777777" w:rsidR="00894070" w:rsidRDefault="00894070">
      <w:pPr>
        <w:pStyle w:val="BodyText"/>
        <w:rPr>
          <w:rFonts w:ascii="Raleway Light"/>
        </w:rPr>
      </w:pPr>
    </w:p>
    <w:p w14:paraId="6B19AE8E" w14:textId="77777777" w:rsidR="00894070" w:rsidRDefault="00894070">
      <w:pPr>
        <w:pStyle w:val="BodyText"/>
        <w:rPr>
          <w:rFonts w:ascii="Raleway Light"/>
        </w:rPr>
      </w:pPr>
    </w:p>
    <w:p w14:paraId="534A7FE3" w14:textId="77777777" w:rsidR="00894070" w:rsidRDefault="00894070">
      <w:pPr>
        <w:pStyle w:val="BodyText"/>
        <w:rPr>
          <w:rFonts w:ascii="Raleway Light"/>
        </w:rPr>
      </w:pPr>
    </w:p>
    <w:p w14:paraId="6C18FC82" w14:textId="77777777" w:rsidR="00894070" w:rsidRDefault="00894070">
      <w:pPr>
        <w:pStyle w:val="BodyText"/>
        <w:rPr>
          <w:rFonts w:ascii="Raleway Light"/>
        </w:rPr>
      </w:pPr>
    </w:p>
    <w:p w14:paraId="159BE74A" w14:textId="77777777" w:rsidR="00894070" w:rsidRDefault="00894070">
      <w:pPr>
        <w:pStyle w:val="BodyText"/>
        <w:rPr>
          <w:rFonts w:ascii="Raleway Light"/>
        </w:rPr>
      </w:pPr>
    </w:p>
    <w:p w14:paraId="1904B044" w14:textId="77777777" w:rsidR="00894070" w:rsidRDefault="00894070">
      <w:pPr>
        <w:pStyle w:val="BodyText"/>
        <w:rPr>
          <w:rFonts w:ascii="Raleway Light"/>
        </w:rPr>
      </w:pPr>
    </w:p>
    <w:p w14:paraId="63EAE4E3" w14:textId="77777777" w:rsidR="00894070" w:rsidRDefault="00894070">
      <w:pPr>
        <w:pStyle w:val="BodyText"/>
        <w:rPr>
          <w:rFonts w:ascii="Raleway Light"/>
        </w:rPr>
      </w:pPr>
    </w:p>
    <w:p w14:paraId="455BBD8B" w14:textId="77777777" w:rsidR="00894070" w:rsidRDefault="00894070">
      <w:pPr>
        <w:pStyle w:val="BodyText"/>
        <w:rPr>
          <w:rFonts w:ascii="Raleway Light"/>
        </w:rPr>
      </w:pPr>
    </w:p>
    <w:p w14:paraId="6B83589B" w14:textId="77777777" w:rsidR="00894070" w:rsidRDefault="00894070">
      <w:pPr>
        <w:pStyle w:val="BodyText"/>
        <w:rPr>
          <w:rFonts w:ascii="Raleway Light"/>
        </w:rPr>
      </w:pPr>
    </w:p>
    <w:p w14:paraId="28EB2DB8" w14:textId="77777777" w:rsidR="00894070" w:rsidRDefault="00894070">
      <w:pPr>
        <w:pStyle w:val="BodyText"/>
        <w:rPr>
          <w:rFonts w:ascii="Raleway Light"/>
        </w:rPr>
      </w:pPr>
    </w:p>
    <w:p w14:paraId="6145A59D" w14:textId="77777777" w:rsidR="00894070" w:rsidRDefault="00894070">
      <w:pPr>
        <w:pStyle w:val="BodyText"/>
        <w:rPr>
          <w:rFonts w:ascii="Raleway Light"/>
        </w:rPr>
      </w:pPr>
    </w:p>
    <w:p w14:paraId="47EF5399" w14:textId="77777777" w:rsidR="00894070" w:rsidRDefault="00894070">
      <w:pPr>
        <w:pStyle w:val="BodyText"/>
        <w:rPr>
          <w:rFonts w:ascii="Raleway Light"/>
        </w:rPr>
      </w:pPr>
    </w:p>
    <w:p w14:paraId="4366ED13" w14:textId="77777777" w:rsidR="00894070" w:rsidRDefault="00894070">
      <w:pPr>
        <w:pStyle w:val="BodyText"/>
        <w:rPr>
          <w:rFonts w:ascii="Raleway Light"/>
        </w:rPr>
      </w:pPr>
    </w:p>
    <w:p w14:paraId="5EA1B93C" w14:textId="77777777" w:rsidR="00894070" w:rsidRDefault="00894070">
      <w:pPr>
        <w:pStyle w:val="BodyText"/>
        <w:rPr>
          <w:rFonts w:ascii="Raleway Light"/>
        </w:rPr>
      </w:pPr>
    </w:p>
    <w:p w14:paraId="7D4C09A3" w14:textId="77777777" w:rsidR="00894070" w:rsidRDefault="00894070">
      <w:pPr>
        <w:pStyle w:val="BodyText"/>
        <w:rPr>
          <w:rFonts w:ascii="Raleway Light"/>
        </w:rPr>
      </w:pPr>
    </w:p>
    <w:p w14:paraId="691AA00F" w14:textId="77777777" w:rsidR="00894070" w:rsidRDefault="00894070">
      <w:pPr>
        <w:pStyle w:val="BodyText"/>
        <w:rPr>
          <w:rFonts w:ascii="Raleway Light"/>
        </w:rPr>
      </w:pPr>
    </w:p>
    <w:p w14:paraId="3D7B4461" w14:textId="77777777" w:rsidR="00894070" w:rsidRDefault="009B7AFD">
      <w:pPr>
        <w:pStyle w:val="Heading5"/>
        <w:spacing w:before="216"/>
        <w:ind w:left="257"/>
      </w:pPr>
      <w:r>
        <w:rPr>
          <w:color w:val="D91921"/>
        </w:rPr>
        <w:t>Stalking</w:t>
      </w:r>
    </w:p>
    <w:p w14:paraId="3CFB0A6A" w14:textId="77777777" w:rsidR="00894070" w:rsidRDefault="009B7AFD">
      <w:pPr>
        <w:spacing w:before="95"/>
        <w:ind w:left="257"/>
        <w:rPr>
          <w:rFonts w:ascii="Arial"/>
          <w:i/>
          <w:sz w:val="18"/>
        </w:rPr>
      </w:pPr>
      <w:r>
        <w:rPr>
          <w:rFonts w:ascii="Arial"/>
          <w:i/>
          <w:color w:val="D91921"/>
          <w:w w:val="105"/>
          <w:sz w:val="18"/>
        </w:rPr>
        <w:t>Final Report</w:t>
      </w:r>
    </w:p>
    <w:p w14:paraId="05CB61CC" w14:textId="77777777" w:rsidR="00894070" w:rsidRDefault="009F6793">
      <w:pPr>
        <w:pStyle w:val="BodyText"/>
        <w:spacing w:before="4"/>
        <w:rPr>
          <w:rFonts w:ascii="Arial"/>
          <w:i/>
          <w:sz w:val="12"/>
        </w:rPr>
      </w:pPr>
      <w:r>
        <w:pict w14:anchorId="2AB014B3">
          <v:line id="_x0000_s1735" style="position:absolute;z-index:-251483136;mso-wrap-distance-left:0;mso-wrap-distance-right:0;mso-position-horizontal-relative:page" from="518.05pt,9.4pt" to="41.9pt,9.4pt" strokecolor="#d91921" strokeweight=".17956mm">
            <w10:wrap type="topAndBottom" anchorx="page"/>
          </v:line>
        </w:pict>
      </w:r>
    </w:p>
    <w:p w14:paraId="6673880E" w14:textId="77777777" w:rsidR="00894070" w:rsidRDefault="00894070">
      <w:pPr>
        <w:pStyle w:val="BodyText"/>
        <w:spacing w:before="7"/>
        <w:rPr>
          <w:rFonts w:ascii="Arial"/>
          <w:i/>
          <w:sz w:val="7"/>
        </w:rPr>
      </w:pPr>
    </w:p>
    <w:p w14:paraId="79375CB8" w14:textId="77777777" w:rsidR="00894070" w:rsidRDefault="00894070">
      <w:pPr>
        <w:rPr>
          <w:rFonts w:ascii="Arial"/>
          <w:sz w:val="7"/>
        </w:rPr>
        <w:sectPr w:rsidR="00894070">
          <w:type w:val="continuous"/>
          <w:pgSz w:w="11910" w:h="16840"/>
          <w:pgMar w:top="560" w:right="420" w:bottom="280" w:left="580" w:header="720" w:footer="720" w:gutter="0"/>
          <w:cols w:space="720"/>
        </w:sectPr>
      </w:pPr>
    </w:p>
    <w:p w14:paraId="5BED04AA" w14:textId="77777777" w:rsidR="00894070" w:rsidRDefault="009B7AFD">
      <w:pPr>
        <w:spacing w:before="104"/>
        <w:ind w:left="265"/>
        <w:rPr>
          <w:rFonts w:ascii="Trebuchet MS"/>
          <w:sz w:val="18"/>
        </w:rPr>
      </w:pPr>
      <w:r>
        <w:rPr>
          <w:rFonts w:ascii="Trebuchet MS"/>
          <w:color w:val="D91921"/>
          <w:spacing w:val="-4"/>
          <w:w w:val="110"/>
          <w:sz w:val="18"/>
        </w:rPr>
        <w:t xml:space="preserve">GPO </w:t>
      </w:r>
      <w:r>
        <w:rPr>
          <w:rFonts w:ascii="Trebuchet MS"/>
          <w:color w:val="D91921"/>
          <w:spacing w:val="-6"/>
          <w:w w:val="110"/>
          <w:sz w:val="18"/>
        </w:rPr>
        <w:t>Box 4637</w:t>
      </w:r>
    </w:p>
    <w:p w14:paraId="2ED8D77C" w14:textId="77777777" w:rsidR="00894070" w:rsidRDefault="009B7AFD">
      <w:pPr>
        <w:spacing w:before="15" w:line="256" w:lineRule="auto"/>
        <w:ind w:left="265"/>
        <w:rPr>
          <w:rFonts w:ascii="Trebuchet MS"/>
          <w:sz w:val="18"/>
        </w:rPr>
      </w:pPr>
      <w:r>
        <w:rPr>
          <w:rFonts w:ascii="Trebuchet MS"/>
          <w:color w:val="D91921"/>
          <w:spacing w:val="-7"/>
          <w:w w:val="110"/>
          <w:sz w:val="18"/>
        </w:rPr>
        <w:t xml:space="preserve">Melbourne </w:t>
      </w:r>
      <w:r>
        <w:rPr>
          <w:rFonts w:ascii="Trebuchet MS"/>
          <w:color w:val="D91921"/>
          <w:spacing w:val="-6"/>
          <w:w w:val="110"/>
          <w:sz w:val="18"/>
        </w:rPr>
        <w:t xml:space="preserve">Victoria </w:t>
      </w:r>
      <w:r>
        <w:rPr>
          <w:rFonts w:ascii="Trebuchet MS"/>
          <w:color w:val="D91921"/>
          <w:spacing w:val="-9"/>
          <w:w w:val="110"/>
          <w:sz w:val="18"/>
        </w:rPr>
        <w:t xml:space="preserve">3001 </w:t>
      </w:r>
      <w:r>
        <w:rPr>
          <w:rFonts w:ascii="Trebuchet MS"/>
          <w:color w:val="D91921"/>
          <w:spacing w:val="-7"/>
          <w:w w:val="110"/>
          <w:sz w:val="18"/>
        </w:rPr>
        <w:t>Australia</w:t>
      </w:r>
    </w:p>
    <w:p w14:paraId="4FCF6ED6" w14:textId="77777777" w:rsidR="00894070" w:rsidRDefault="009B7AFD">
      <w:pPr>
        <w:spacing w:before="104"/>
        <w:ind w:left="265"/>
        <w:rPr>
          <w:rFonts w:ascii="Trebuchet MS"/>
          <w:sz w:val="18"/>
        </w:rPr>
      </w:pPr>
      <w:r>
        <w:br w:type="column"/>
      </w:r>
      <w:r>
        <w:rPr>
          <w:rFonts w:ascii="Trebuchet MS"/>
          <w:color w:val="D91921"/>
          <w:w w:val="110"/>
          <w:sz w:val="18"/>
        </w:rPr>
        <w:t>Level 3</w:t>
      </w:r>
    </w:p>
    <w:p w14:paraId="63DBE9D2" w14:textId="77777777" w:rsidR="00894070" w:rsidRDefault="009B7AFD">
      <w:pPr>
        <w:spacing w:before="15" w:line="256" w:lineRule="auto"/>
        <w:ind w:left="265"/>
        <w:rPr>
          <w:rFonts w:ascii="Trebuchet MS"/>
          <w:sz w:val="18"/>
        </w:rPr>
      </w:pPr>
      <w:r>
        <w:rPr>
          <w:rFonts w:ascii="Trebuchet MS"/>
          <w:color w:val="D91921"/>
          <w:spacing w:val="-4"/>
          <w:w w:val="110"/>
          <w:sz w:val="18"/>
        </w:rPr>
        <w:t xml:space="preserve">333 </w:t>
      </w:r>
      <w:r>
        <w:rPr>
          <w:rFonts w:ascii="Trebuchet MS"/>
          <w:color w:val="D91921"/>
          <w:spacing w:val="-5"/>
          <w:w w:val="110"/>
          <w:sz w:val="18"/>
        </w:rPr>
        <w:t xml:space="preserve">Queen </w:t>
      </w:r>
      <w:r>
        <w:rPr>
          <w:rFonts w:ascii="Trebuchet MS"/>
          <w:color w:val="D91921"/>
          <w:spacing w:val="-9"/>
          <w:w w:val="110"/>
          <w:sz w:val="18"/>
        </w:rPr>
        <w:t xml:space="preserve">Street </w:t>
      </w:r>
      <w:r>
        <w:rPr>
          <w:rFonts w:ascii="Trebuchet MS"/>
          <w:color w:val="D91921"/>
          <w:spacing w:val="-7"/>
          <w:w w:val="110"/>
          <w:sz w:val="18"/>
        </w:rPr>
        <w:t xml:space="preserve">Melbourne </w:t>
      </w:r>
      <w:r>
        <w:rPr>
          <w:rFonts w:ascii="Trebuchet MS"/>
          <w:color w:val="D91921"/>
          <w:spacing w:val="-6"/>
          <w:w w:val="110"/>
          <w:sz w:val="18"/>
        </w:rPr>
        <w:t xml:space="preserve">Victoria 3000 </w:t>
      </w:r>
      <w:r>
        <w:rPr>
          <w:rFonts w:ascii="Trebuchet MS"/>
          <w:color w:val="D91921"/>
          <w:spacing w:val="-7"/>
          <w:w w:val="110"/>
          <w:sz w:val="18"/>
        </w:rPr>
        <w:t>Australia</w:t>
      </w:r>
    </w:p>
    <w:p w14:paraId="06A61494" w14:textId="77777777" w:rsidR="00894070" w:rsidRDefault="009B7AFD">
      <w:pPr>
        <w:spacing w:before="65"/>
        <w:ind w:left="265"/>
        <w:rPr>
          <w:b/>
          <w:sz w:val="18"/>
        </w:rPr>
      </w:pPr>
      <w:r>
        <w:br w:type="column"/>
      </w:r>
      <w:r>
        <w:rPr>
          <w:b/>
          <w:color w:val="D91921"/>
          <w:sz w:val="18"/>
        </w:rPr>
        <w:t>Telephone</w:t>
      </w:r>
    </w:p>
    <w:p w14:paraId="2C702BD6" w14:textId="77777777" w:rsidR="00894070" w:rsidRDefault="009B7AFD">
      <w:pPr>
        <w:spacing w:before="13"/>
        <w:ind w:left="265"/>
        <w:rPr>
          <w:rFonts w:ascii="Trebuchet MS"/>
          <w:sz w:val="18"/>
        </w:rPr>
      </w:pPr>
      <w:r>
        <w:rPr>
          <w:rFonts w:ascii="Trebuchet MS"/>
          <w:color w:val="D91921"/>
          <w:spacing w:val="-4"/>
          <w:w w:val="115"/>
          <w:sz w:val="18"/>
        </w:rPr>
        <w:t>+61</w:t>
      </w:r>
      <w:r>
        <w:rPr>
          <w:rFonts w:ascii="Trebuchet MS"/>
          <w:color w:val="D91921"/>
          <w:spacing w:val="-30"/>
          <w:w w:val="115"/>
          <w:sz w:val="18"/>
        </w:rPr>
        <w:t xml:space="preserve"> </w:t>
      </w:r>
      <w:r>
        <w:rPr>
          <w:rFonts w:ascii="Trebuchet MS"/>
          <w:color w:val="D91921"/>
          <w:w w:val="115"/>
          <w:sz w:val="18"/>
        </w:rPr>
        <w:t>3</w:t>
      </w:r>
      <w:r>
        <w:rPr>
          <w:rFonts w:ascii="Trebuchet MS"/>
          <w:color w:val="D91921"/>
          <w:spacing w:val="-29"/>
          <w:w w:val="115"/>
          <w:sz w:val="18"/>
        </w:rPr>
        <w:t xml:space="preserve"> </w:t>
      </w:r>
      <w:r>
        <w:rPr>
          <w:rFonts w:ascii="Trebuchet MS"/>
          <w:color w:val="D91921"/>
          <w:spacing w:val="-5"/>
          <w:w w:val="115"/>
          <w:sz w:val="18"/>
        </w:rPr>
        <w:t>8608</w:t>
      </w:r>
      <w:r>
        <w:rPr>
          <w:rFonts w:ascii="Trebuchet MS"/>
          <w:color w:val="D91921"/>
          <w:spacing w:val="-29"/>
          <w:w w:val="115"/>
          <w:sz w:val="18"/>
        </w:rPr>
        <w:t xml:space="preserve"> </w:t>
      </w:r>
      <w:r>
        <w:rPr>
          <w:rFonts w:ascii="Trebuchet MS"/>
          <w:color w:val="D91921"/>
          <w:spacing w:val="-6"/>
          <w:w w:val="115"/>
          <w:sz w:val="18"/>
        </w:rPr>
        <w:t>7800</w:t>
      </w:r>
    </w:p>
    <w:p w14:paraId="664E81D0" w14:textId="77777777" w:rsidR="00894070" w:rsidRDefault="009B7AFD">
      <w:pPr>
        <w:spacing w:before="91"/>
        <w:ind w:left="265"/>
        <w:rPr>
          <w:b/>
          <w:sz w:val="18"/>
        </w:rPr>
      </w:pPr>
      <w:proofErr w:type="spellStart"/>
      <w:r>
        <w:rPr>
          <w:b/>
          <w:color w:val="D91921"/>
          <w:sz w:val="18"/>
        </w:rPr>
        <w:t>Freecall</w:t>
      </w:r>
      <w:proofErr w:type="spellEnd"/>
    </w:p>
    <w:p w14:paraId="6CD6F6EE" w14:textId="77777777" w:rsidR="00894070" w:rsidRDefault="009B7AFD">
      <w:pPr>
        <w:spacing w:before="13"/>
        <w:ind w:left="265"/>
        <w:rPr>
          <w:rFonts w:ascii="Trebuchet MS"/>
          <w:sz w:val="18"/>
        </w:rPr>
      </w:pPr>
      <w:r>
        <w:rPr>
          <w:rFonts w:ascii="Trebuchet MS"/>
          <w:color w:val="D91921"/>
          <w:w w:val="115"/>
          <w:sz w:val="18"/>
        </w:rPr>
        <w:t>1300 666 555</w:t>
      </w:r>
    </w:p>
    <w:p w14:paraId="0DCBF7A8" w14:textId="77777777" w:rsidR="00894070" w:rsidRDefault="009B7AFD">
      <w:pPr>
        <w:spacing w:before="15"/>
        <w:ind w:left="265"/>
        <w:rPr>
          <w:rFonts w:ascii="Trebuchet MS"/>
          <w:sz w:val="18"/>
        </w:rPr>
      </w:pPr>
      <w:r>
        <w:rPr>
          <w:rFonts w:ascii="Trebuchet MS"/>
          <w:color w:val="D91921"/>
          <w:sz w:val="18"/>
        </w:rPr>
        <w:t>(</w:t>
      </w:r>
      <w:proofErr w:type="gramStart"/>
      <w:r>
        <w:rPr>
          <w:rFonts w:ascii="Trebuchet MS"/>
          <w:color w:val="D91921"/>
          <w:sz w:val="18"/>
        </w:rPr>
        <w:t>within</w:t>
      </w:r>
      <w:proofErr w:type="gramEnd"/>
      <w:r>
        <w:rPr>
          <w:rFonts w:ascii="Trebuchet MS"/>
          <w:color w:val="D91921"/>
          <w:sz w:val="18"/>
        </w:rPr>
        <w:t xml:space="preserve"> Victoria)</w:t>
      </w:r>
    </w:p>
    <w:p w14:paraId="64E8B0C9" w14:textId="77777777" w:rsidR="00894070" w:rsidRDefault="009B7AFD">
      <w:pPr>
        <w:spacing w:before="92"/>
        <w:ind w:left="265"/>
        <w:rPr>
          <w:b/>
          <w:sz w:val="18"/>
        </w:rPr>
      </w:pPr>
      <w:r>
        <w:rPr>
          <w:b/>
          <w:color w:val="D91921"/>
          <w:sz w:val="18"/>
        </w:rPr>
        <w:t>Fax</w:t>
      </w:r>
    </w:p>
    <w:p w14:paraId="4DD2F72B" w14:textId="77777777" w:rsidR="00894070" w:rsidRDefault="009B7AFD">
      <w:pPr>
        <w:spacing w:before="13"/>
        <w:ind w:left="265"/>
        <w:rPr>
          <w:rFonts w:ascii="Trebuchet MS"/>
          <w:sz w:val="18"/>
        </w:rPr>
      </w:pPr>
      <w:r>
        <w:rPr>
          <w:rFonts w:ascii="Trebuchet MS"/>
          <w:color w:val="D91921"/>
          <w:spacing w:val="-4"/>
          <w:w w:val="110"/>
          <w:sz w:val="18"/>
        </w:rPr>
        <w:t xml:space="preserve">+61 </w:t>
      </w:r>
      <w:r>
        <w:rPr>
          <w:rFonts w:ascii="Trebuchet MS"/>
          <w:color w:val="D91921"/>
          <w:w w:val="110"/>
          <w:sz w:val="18"/>
        </w:rPr>
        <w:t xml:space="preserve">3 </w:t>
      </w:r>
      <w:r>
        <w:rPr>
          <w:rFonts w:ascii="Trebuchet MS"/>
          <w:color w:val="D91921"/>
          <w:spacing w:val="-5"/>
          <w:w w:val="110"/>
          <w:sz w:val="18"/>
        </w:rPr>
        <w:t xml:space="preserve">8608 </w:t>
      </w:r>
      <w:r>
        <w:rPr>
          <w:rFonts w:ascii="Trebuchet MS"/>
          <w:color w:val="D91921"/>
          <w:spacing w:val="-6"/>
          <w:w w:val="110"/>
          <w:sz w:val="18"/>
        </w:rPr>
        <w:t>7888</w:t>
      </w:r>
    </w:p>
    <w:p w14:paraId="316118E5" w14:textId="77777777" w:rsidR="00894070" w:rsidRDefault="009B7AFD">
      <w:pPr>
        <w:spacing w:before="65"/>
        <w:ind w:left="265"/>
        <w:rPr>
          <w:b/>
          <w:sz w:val="18"/>
        </w:rPr>
      </w:pPr>
      <w:r>
        <w:br w:type="column"/>
      </w:r>
      <w:r>
        <w:rPr>
          <w:b/>
          <w:color w:val="D91921"/>
          <w:sz w:val="18"/>
        </w:rPr>
        <w:t>Email</w:t>
      </w:r>
    </w:p>
    <w:p w14:paraId="7504CEB9" w14:textId="77777777" w:rsidR="00894070" w:rsidRDefault="009F6793">
      <w:pPr>
        <w:spacing w:before="13"/>
        <w:ind w:left="265"/>
        <w:rPr>
          <w:rFonts w:ascii="Trebuchet MS"/>
          <w:sz w:val="18"/>
        </w:rPr>
      </w:pPr>
      <w:hyperlink r:id="rId16">
        <w:r w:rsidR="009B7AFD">
          <w:rPr>
            <w:rFonts w:ascii="Trebuchet MS"/>
            <w:color w:val="D91921"/>
            <w:sz w:val="18"/>
          </w:rPr>
          <w:t>law.reform@lawreform.vic.gov.au</w:t>
        </w:r>
      </w:hyperlink>
    </w:p>
    <w:p w14:paraId="547B7EA0" w14:textId="77777777" w:rsidR="00894070" w:rsidRDefault="009B7AFD">
      <w:pPr>
        <w:pStyle w:val="Heading6"/>
        <w:spacing w:before="128"/>
        <w:ind w:left="265"/>
      </w:pPr>
      <w:r>
        <w:rPr>
          <w:color w:val="D91921"/>
          <w:spacing w:val="-10"/>
          <w:w w:val="104"/>
        </w:rPr>
        <w:t>l</w:t>
      </w:r>
      <w:r>
        <w:rPr>
          <w:color w:val="D91921"/>
          <w:spacing w:val="-16"/>
          <w:w w:val="104"/>
        </w:rPr>
        <w:t>a</w:t>
      </w:r>
      <w:r>
        <w:rPr>
          <w:color w:val="D91921"/>
          <w:spacing w:val="-10"/>
          <w:w w:val="106"/>
        </w:rPr>
        <w:t>w</w:t>
      </w:r>
      <w:r>
        <w:rPr>
          <w:color w:val="D91921"/>
          <w:spacing w:val="-14"/>
          <w:w w:val="106"/>
        </w:rPr>
        <w:t>r</w:t>
      </w:r>
      <w:r>
        <w:rPr>
          <w:color w:val="D91921"/>
          <w:spacing w:val="-12"/>
          <w:w w:val="110"/>
        </w:rPr>
        <w:t>e</w:t>
      </w:r>
      <w:r>
        <w:rPr>
          <w:color w:val="D91921"/>
          <w:spacing w:val="-14"/>
          <w:w w:val="94"/>
        </w:rPr>
        <w:t>f</w:t>
      </w:r>
      <w:r>
        <w:rPr>
          <w:color w:val="D91921"/>
          <w:spacing w:val="-10"/>
          <w:w w:val="109"/>
        </w:rPr>
        <w:t>orm</w:t>
      </w:r>
      <w:r>
        <w:rPr>
          <w:color w:val="D91921"/>
          <w:spacing w:val="-33"/>
          <w:w w:val="56"/>
        </w:rPr>
        <w:t>.</w:t>
      </w:r>
      <w:r>
        <w:rPr>
          <w:color w:val="D91921"/>
          <w:spacing w:val="-10"/>
          <w:w w:val="104"/>
        </w:rPr>
        <w:t>vic.g</w:t>
      </w:r>
      <w:r>
        <w:rPr>
          <w:color w:val="D91921"/>
          <w:spacing w:val="-16"/>
          <w:w w:val="104"/>
        </w:rPr>
        <w:t>o</w:t>
      </w:r>
      <w:r>
        <w:rPr>
          <w:color w:val="D91921"/>
          <w:spacing w:val="-33"/>
          <w:w w:val="112"/>
        </w:rPr>
        <w:t>v</w:t>
      </w:r>
      <w:r>
        <w:rPr>
          <w:color w:val="D91921"/>
          <w:spacing w:val="-10"/>
          <w:w w:val="96"/>
        </w:rPr>
        <w:t>.au</w:t>
      </w:r>
    </w:p>
    <w:p w14:paraId="20B59DDD" w14:textId="77777777" w:rsidR="00894070" w:rsidRDefault="009B7AFD">
      <w:pPr>
        <w:spacing w:before="155"/>
        <w:ind w:left="265"/>
        <w:rPr>
          <w:rFonts w:ascii="Trebuchet MS"/>
          <w:sz w:val="12"/>
        </w:rPr>
      </w:pPr>
      <w:r>
        <w:rPr>
          <w:rFonts w:ascii="Trebuchet MS"/>
          <w:color w:val="D91921"/>
          <w:w w:val="110"/>
          <w:sz w:val="12"/>
        </w:rPr>
        <w:t>Printed on 100% recycled paper</w:t>
      </w:r>
    </w:p>
    <w:p w14:paraId="7275E3AD" w14:textId="77777777" w:rsidR="00894070" w:rsidRDefault="00894070">
      <w:pPr>
        <w:rPr>
          <w:rFonts w:ascii="Trebuchet MS"/>
          <w:sz w:val="12"/>
        </w:rPr>
        <w:sectPr w:rsidR="00894070">
          <w:type w:val="continuous"/>
          <w:pgSz w:w="11910" w:h="16840"/>
          <w:pgMar w:top="560" w:right="420" w:bottom="280" w:left="580" w:header="720" w:footer="720" w:gutter="0"/>
          <w:cols w:num="4" w:space="720" w:equalWidth="0">
            <w:col w:w="1459" w:space="369"/>
            <w:col w:w="1728" w:space="249"/>
            <w:col w:w="1655" w:space="358"/>
            <w:col w:w="5092"/>
          </w:cols>
        </w:sectPr>
      </w:pPr>
    </w:p>
    <w:p w14:paraId="2FAC4D20" w14:textId="77777777" w:rsidR="00894070" w:rsidRDefault="00894070">
      <w:pPr>
        <w:pStyle w:val="BodyText"/>
        <w:rPr>
          <w:rFonts w:ascii="Trebuchet MS"/>
        </w:rPr>
      </w:pPr>
    </w:p>
    <w:p w14:paraId="0017800C" w14:textId="77777777" w:rsidR="00894070" w:rsidRDefault="00894070">
      <w:pPr>
        <w:pStyle w:val="BodyText"/>
        <w:rPr>
          <w:rFonts w:ascii="Trebuchet MS"/>
        </w:rPr>
      </w:pPr>
    </w:p>
    <w:p w14:paraId="20980169" w14:textId="77777777" w:rsidR="00894070" w:rsidRDefault="00894070">
      <w:pPr>
        <w:pStyle w:val="BodyText"/>
        <w:rPr>
          <w:rFonts w:ascii="Trebuchet MS"/>
        </w:rPr>
      </w:pPr>
    </w:p>
    <w:p w14:paraId="027AE3B4" w14:textId="77777777" w:rsidR="00894070" w:rsidRDefault="00894070">
      <w:pPr>
        <w:pStyle w:val="BodyText"/>
        <w:rPr>
          <w:rFonts w:ascii="Trebuchet MS"/>
        </w:rPr>
      </w:pPr>
    </w:p>
    <w:p w14:paraId="3F7E273D" w14:textId="77777777" w:rsidR="00894070" w:rsidRDefault="00894070">
      <w:pPr>
        <w:pStyle w:val="BodyText"/>
        <w:rPr>
          <w:rFonts w:ascii="Trebuchet MS"/>
        </w:rPr>
      </w:pPr>
    </w:p>
    <w:p w14:paraId="65B42780" w14:textId="77777777" w:rsidR="00894070" w:rsidRDefault="00894070">
      <w:pPr>
        <w:pStyle w:val="BodyText"/>
        <w:rPr>
          <w:rFonts w:ascii="Trebuchet MS"/>
        </w:rPr>
      </w:pPr>
    </w:p>
    <w:p w14:paraId="4B5C5043" w14:textId="77777777" w:rsidR="00894070" w:rsidRDefault="00894070">
      <w:pPr>
        <w:pStyle w:val="BodyText"/>
        <w:rPr>
          <w:rFonts w:ascii="Trebuchet MS"/>
        </w:rPr>
      </w:pPr>
    </w:p>
    <w:p w14:paraId="2F7FF05C" w14:textId="77777777" w:rsidR="00894070" w:rsidRDefault="00894070">
      <w:pPr>
        <w:pStyle w:val="BodyText"/>
        <w:rPr>
          <w:rFonts w:ascii="Trebuchet MS"/>
        </w:rPr>
      </w:pPr>
    </w:p>
    <w:p w14:paraId="5A34C0FA" w14:textId="77777777" w:rsidR="00894070" w:rsidRDefault="00894070">
      <w:pPr>
        <w:pStyle w:val="BodyText"/>
        <w:rPr>
          <w:rFonts w:ascii="Trebuchet MS"/>
        </w:rPr>
      </w:pPr>
    </w:p>
    <w:p w14:paraId="34DC2291" w14:textId="77777777" w:rsidR="00894070" w:rsidRDefault="00894070">
      <w:pPr>
        <w:pStyle w:val="BodyText"/>
        <w:rPr>
          <w:rFonts w:ascii="Trebuchet MS"/>
        </w:rPr>
      </w:pPr>
    </w:p>
    <w:p w14:paraId="7C26F627" w14:textId="77777777" w:rsidR="00894070" w:rsidRDefault="00894070">
      <w:pPr>
        <w:pStyle w:val="BodyText"/>
        <w:rPr>
          <w:rFonts w:ascii="Trebuchet MS"/>
        </w:rPr>
      </w:pPr>
    </w:p>
    <w:p w14:paraId="7DBE426E" w14:textId="77777777" w:rsidR="00894070" w:rsidRDefault="00894070">
      <w:pPr>
        <w:pStyle w:val="BodyText"/>
        <w:rPr>
          <w:rFonts w:ascii="Trebuchet MS"/>
        </w:rPr>
      </w:pPr>
    </w:p>
    <w:p w14:paraId="0707775E" w14:textId="77777777" w:rsidR="00894070" w:rsidRDefault="00894070">
      <w:pPr>
        <w:pStyle w:val="BodyText"/>
        <w:rPr>
          <w:rFonts w:ascii="Trebuchet MS"/>
        </w:rPr>
      </w:pPr>
    </w:p>
    <w:p w14:paraId="447AF8EF" w14:textId="77777777" w:rsidR="00894070" w:rsidRDefault="00894070">
      <w:pPr>
        <w:pStyle w:val="BodyText"/>
        <w:rPr>
          <w:rFonts w:ascii="Trebuchet MS"/>
        </w:rPr>
      </w:pPr>
    </w:p>
    <w:p w14:paraId="3CACD3F9" w14:textId="77777777" w:rsidR="00894070" w:rsidRDefault="00894070">
      <w:pPr>
        <w:pStyle w:val="BodyText"/>
        <w:rPr>
          <w:rFonts w:ascii="Trebuchet MS"/>
        </w:rPr>
      </w:pPr>
    </w:p>
    <w:p w14:paraId="4D4CC78E" w14:textId="77777777" w:rsidR="00894070" w:rsidRDefault="00894070">
      <w:pPr>
        <w:pStyle w:val="BodyText"/>
        <w:rPr>
          <w:rFonts w:ascii="Trebuchet MS"/>
        </w:rPr>
      </w:pPr>
    </w:p>
    <w:p w14:paraId="15907319" w14:textId="77777777" w:rsidR="00894070" w:rsidRDefault="00894070">
      <w:pPr>
        <w:pStyle w:val="BodyText"/>
        <w:rPr>
          <w:rFonts w:ascii="Trebuchet MS"/>
        </w:rPr>
      </w:pPr>
    </w:p>
    <w:p w14:paraId="619C37C2" w14:textId="77777777" w:rsidR="00894070" w:rsidRDefault="00894070">
      <w:pPr>
        <w:pStyle w:val="BodyText"/>
        <w:rPr>
          <w:rFonts w:ascii="Trebuchet MS"/>
        </w:rPr>
      </w:pPr>
    </w:p>
    <w:p w14:paraId="4113F7BA" w14:textId="77777777" w:rsidR="00894070" w:rsidRDefault="00894070">
      <w:pPr>
        <w:pStyle w:val="BodyText"/>
        <w:rPr>
          <w:rFonts w:ascii="Trebuchet MS"/>
        </w:rPr>
      </w:pPr>
    </w:p>
    <w:p w14:paraId="361363C7" w14:textId="77777777" w:rsidR="00894070" w:rsidRDefault="00894070">
      <w:pPr>
        <w:pStyle w:val="BodyText"/>
        <w:rPr>
          <w:rFonts w:ascii="Trebuchet MS"/>
        </w:rPr>
      </w:pPr>
    </w:p>
    <w:p w14:paraId="20E78E87" w14:textId="77777777" w:rsidR="00894070" w:rsidRDefault="00894070">
      <w:pPr>
        <w:pStyle w:val="BodyText"/>
        <w:rPr>
          <w:rFonts w:ascii="Trebuchet MS"/>
        </w:rPr>
      </w:pPr>
    </w:p>
    <w:p w14:paraId="6E53A496" w14:textId="77777777" w:rsidR="00894070" w:rsidRDefault="00894070">
      <w:pPr>
        <w:pStyle w:val="BodyText"/>
        <w:rPr>
          <w:rFonts w:ascii="Trebuchet MS"/>
        </w:rPr>
      </w:pPr>
    </w:p>
    <w:p w14:paraId="19DDFCA4" w14:textId="77777777" w:rsidR="00894070" w:rsidRDefault="00894070">
      <w:pPr>
        <w:pStyle w:val="BodyText"/>
        <w:rPr>
          <w:rFonts w:ascii="Trebuchet MS"/>
        </w:rPr>
      </w:pPr>
    </w:p>
    <w:p w14:paraId="7431D3A7" w14:textId="77777777" w:rsidR="00894070" w:rsidRDefault="00894070">
      <w:pPr>
        <w:pStyle w:val="BodyText"/>
        <w:rPr>
          <w:rFonts w:ascii="Trebuchet MS"/>
        </w:rPr>
      </w:pPr>
    </w:p>
    <w:p w14:paraId="369190B9" w14:textId="77777777" w:rsidR="00894070" w:rsidRDefault="00894070">
      <w:pPr>
        <w:pStyle w:val="BodyText"/>
        <w:rPr>
          <w:rFonts w:ascii="Trebuchet MS"/>
        </w:rPr>
      </w:pPr>
    </w:p>
    <w:p w14:paraId="0969E825" w14:textId="77777777" w:rsidR="00894070" w:rsidRDefault="00894070">
      <w:pPr>
        <w:pStyle w:val="BodyText"/>
        <w:rPr>
          <w:rFonts w:ascii="Trebuchet MS"/>
        </w:rPr>
      </w:pPr>
    </w:p>
    <w:p w14:paraId="3EFB8C3D" w14:textId="77777777" w:rsidR="00894070" w:rsidRDefault="00894070">
      <w:pPr>
        <w:pStyle w:val="BodyText"/>
        <w:rPr>
          <w:rFonts w:ascii="Trebuchet MS"/>
        </w:rPr>
      </w:pPr>
    </w:p>
    <w:p w14:paraId="533FCDDC" w14:textId="77777777" w:rsidR="00894070" w:rsidRDefault="00894070">
      <w:pPr>
        <w:pStyle w:val="BodyText"/>
        <w:rPr>
          <w:rFonts w:ascii="Trebuchet MS"/>
        </w:rPr>
      </w:pPr>
    </w:p>
    <w:p w14:paraId="51C9589F" w14:textId="77777777" w:rsidR="00894070" w:rsidRDefault="00894070">
      <w:pPr>
        <w:pStyle w:val="BodyText"/>
        <w:rPr>
          <w:rFonts w:ascii="Trebuchet MS"/>
        </w:rPr>
      </w:pPr>
    </w:p>
    <w:p w14:paraId="3459B496" w14:textId="77777777" w:rsidR="00894070" w:rsidRDefault="00894070">
      <w:pPr>
        <w:pStyle w:val="BodyText"/>
        <w:rPr>
          <w:rFonts w:ascii="Trebuchet MS"/>
        </w:rPr>
      </w:pPr>
    </w:p>
    <w:p w14:paraId="7071BCC0" w14:textId="77777777" w:rsidR="00894070" w:rsidRDefault="00894070">
      <w:pPr>
        <w:pStyle w:val="BodyText"/>
        <w:rPr>
          <w:rFonts w:ascii="Trebuchet MS"/>
        </w:rPr>
      </w:pPr>
    </w:p>
    <w:p w14:paraId="5662FEEB" w14:textId="77777777" w:rsidR="00894070" w:rsidRDefault="00894070">
      <w:pPr>
        <w:pStyle w:val="BodyText"/>
        <w:rPr>
          <w:rFonts w:ascii="Trebuchet MS"/>
        </w:rPr>
      </w:pPr>
    </w:p>
    <w:p w14:paraId="2EDA703D" w14:textId="77777777" w:rsidR="00894070" w:rsidRDefault="00894070">
      <w:pPr>
        <w:pStyle w:val="BodyText"/>
        <w:rPr>
          <w:rFonts w:ascii="Trebuchet MS"/>
        </w:rPr>
      </w:pPr>
    </w:p>
    <w:p w14:paraId="0D109919" w14:textId="77777777" w:rsidR="00894070" w:rsidRDefault="00894070">
      <w:pPr>
        <w:pStyle w:val="BodyText"/>
        <w:rPr>
          <w:rFonts w:ascii="Trebuchet MS"/>
        </w:rPr>
      </w:pPr>
    </w:p>
    <w:p w14:paraId="50CE0BC1" w14:textId="77777777" w:rsidR="00894070" w:rsidRDefault="00894070">
      <w:pPr>
        <w:pStyle w:val="BodyText"/>
        <w:rPr>
          <w:rFonts w:ascii="Trebuchet MS"/>
        </w:rPr>
      </w:pPr>
    </w:p>
    <w:p w14:paraId="0BA5C362" w14:textId="77777777" w:rsidR="00894070" w:rsidRDefault="00894070">
      <w:pPr>
        <w:pStyle w:val="BodyText"/>
        <w:rPr>
          <w:rFonts w:ascii="Trebuchet MS"/>
        </w:rPr>
      </w:pPr>
    </w:p>
    <w:p w14:paraId="71453907" w14:textId="77777777" w:rsidR="00894070" w:rsidRDefault="00894070">
      <w:pPr>
        <w:pStyle w:val="BodyText"/>
        <w:rPr>
          <w:rFonts w:ascii="Trebuchet MS"/>
        </w:rPr>
      </w:pPr>
    </w:p>
    <w:p w14:paraId="07A9A4C0" w14:textId="77777777" w:rsidR="00894070" w:rsidRDefault="00894070">
      <w:pPr>
        <w:pStyle w:val="BodyText"/>
        <w:rPr>
          <w:rFonts w:ascii="Trebuchet MS"/>
        </w:rPr>
      </w:pPr>
    </w:p>
    <w:p w14:paraId="1222201C" w14:textId="77777777" w:rsidR="00894070" w:rsidRDefault="00894070">
      <w:pPr>
        <w:pStyle w:val="BodyText"/>
        <w:rPr>
          <w:rFonts w:ascii="Trebuchet MS"/>
        </w:rPr>
      </w:pPr>
    </w:p>
    <w:p w14:paraId="42369B27" w14:textId="77777777" w:rsidR="00894070" w:rsidRDefault="00894070">
      <w:pPr>
        <w:pStyle w:val="BodyText"/>
        <w:rPr>
          <w:rFonts w:ascii="Trebuchet MS"/>
        </w:rPr>
      </w:pPr>
    </w:p>
    <w:p w14:paraId="43EAFDDC" w14:textId="77777777" w:rsidR="00894070" w:rsidRDefault="00894070">
      <w:pPr>
        <w:pStyle w:val="BodyText"/>
        <w:rPr>
          <w:rFonts w:ascii="Trebuchet MS"/>
        </w:rPr>
      </w:pPr>
    </w:p>
    <w:p w14:paraId="2919C0D5" w14:textId="77777777" w:rsidR="00894070" w:rsidRDefault="00894070">
      <w:pPr>
        <w:pStyle w:val="BodyText"/>
        <w:rPr>
          <w:rFonts w:ascii="Trebuchet MS"/>
        </w:rPr>
      </w:pPr>
    </w:p>
    <w:p w14:paraId="5C077209" w14:textId="77777777" w:rsidR="00894070" w:rsidRDefault="00894070">
      <w:pPr>
        <w:pStyle w:val="BodyText"/>
        <w:rPr>
          <w:rFonts w:ascii="Trebuchet MS"/>
        </w:rPr>
      </w:pPr>
    </w:p>
    <w:p w14:paraId="24AEA820" w14:textId="77777777" w:rsidR="00894070" w:rsidRDefault="00894070">
      <w:pPr>
        <w:pStyle w:val="BodyText"/>
        <w:rPr>
          <w:rFonts w:ascii="Trebuchet MS"/>
        </w:rPr>
      </w:pPr>
    </w:p>
    <w:p w14:paraId="5B7499D5" w14:textId="77777777" w:rsidR="00894070" w:rsidRDefault="00894070">
      <w:pPr>
        <w:pStyle w:val="BodyText"/>
        <w:rPr>
          <w:rFonts w:ascii="Trebuchet MS"/>
        </w:rPr>
      </w:pPr>
    </w:p>
    <w:p w14:paraId="233E61CA" w14:textId="77777777" w:rsidR="00894070" w:rsidRDefault="00894070">
      <w:pPr>
        <w:pStyle w:val="BodyText"/>
        <w:rPr>
          <w:rFonts w:ascii="Trebuchet MS"/>
        </w:rPr>
      </w:pPr>
    </w:p>
    <w:p w14:paraId="2B3A3AF5" w14:textId="77777777" w:rsidR="00894070" w:rsidRDefault="00894070">
      <w:pPr>
        <w:pStyle w:val="BodyText"/>
        <w:rPr>
          <w:rFonts w:ascii="Trebuchet MS"/>
        </w:rPr>
      </w:pPr>
    </w:p>
    <w:p w14:paraId="73F481CC" w14:textId="77777777" w:rsidR="00894070" w:rsidRDefault="00894070">
      <w:pPr>
        <w:pStyle w:val="BodyText"/>
        <w:rPr>
          <w:rFonts w:ascii="Trebuchet MS"/>
        </w:rPr>
      </w:pPr>
    </w:p>
    <w:p w14:paraId="0624632D" w14:textId="77777777" w:rsidR="00894070" w:rsidRDefault="00894070">
      <w:pPr>
        <w:pStyle w:val="BodyText"/>
        <w:rPr>
          <w:rFonts w:ascii="Trebuchet MS"/>
        </w:rPr>
      </w:pPr>
    </w:p>
    <w:p w14:paraId="3CFD76C3" w14:textId="77777777" w:rsidR="00894070" w:rsidRDefault="00894070">
      <w:pPr>
        <w:pStyle w:val="BodyText"/>
        <w:rPr>
          <w:rFonts w:ascii="Trebuchet MS"/>
        </w:rPr>
      </w:pPr>
    </w:p>
    <w:p w14:paraId="62C1E045" w14:textId="77777777" w:rsidR="00894070" w:rsidRDefault="00894070">
      <w:pPr>
        <w:pStyle w:val="BodyText"/>
        <w:rPr>
          <w:rFonts w:ascii="Trebuchet MS"/>
        </w:rPr>
      </w:pPr>
    </w:p>
    <w:p w14:paraId="42C59135" w14:textId="77777777" w:rsidR="00894070" w:rsidRDefault="00894070">
      <w:pPr>
        <w:pStyle w:val="BodyText"/>
        <w:rPr>
          <w:rFonts w:ascii="Trebuchet MS"/>
        </w:rPr>
      </w:pPr>
    </w:p>
    <w:p w14:paraId="30606570" w14:textId="77777777" w:rsidR="00894070" w:rsidRDefault="00894070">
      <w:pPr>
        <w:pStyle w:val="BodyText"/>
        <w:rPr>
          <w:rFonts w:ascii="Trebuchet MS"/>
        </w:rPr>
      </w:pPr>
    </w:p>
    <w:p w14:paraId="7D204297" w14:textId="77777777" w:rsidR="00894070" w:rsidRDefault="00894070">
      <w:pPr>
        <w:pStyle w:val="BodyText"/>
        <w:rPr>
          <w:rFonts w:ascii="Trebuchet MS"/>
        </w:rPr>
      </w:pPr>
    </w:p>
    <w:p w14:paraId="59A790F1" w14:textId="77777777" w:rsidR="00894070" w:rsidRDefault="00894070">
      <w:pPr>
        <w:pStyle w:val="BodyText"/>
        <w:rPr>
          <w:rFonts w:ascii="Trebuchet MS"/>
        </w:rPr>
      </w:pPr>
    </w:p>
    <w:p w14:paraId="0C705195" w14:textId="77777777" w:rsidR="00894070" w:rsidRDefault="00894070">
      <w:pPr>
        <w:pStyle w:val="BodyText"/>
        <w:rPr>
          <w:rFonts w:ascii="Trebuchet MS"/>
        </w:rPr>
      </w:pPr>
    </w:p>
    <w:p w14:paraId="4BF68769" w14:textId="77777777" w:rsidR="00894070" w:rsidRDefault="00894070">
      <w:pPr>
        <w:pStyle w:val="BodyText"/>
        <w:rPr>
          <w:rFonts w:ascii="Trebuchet MS"/>
        </w:rPr>
      </w:pPr>
    </w:p>
    <w:p w14:paraId="4BB5AF85" w14:textId="77777777" w:rsidR="00894070" w:rsidRDefault="00894070">
      <w:pPr>
        <w:pStyle w:val="BodyText"/>
        <w:rPr>
          <w:rFonts w:ascii="Trebuchet MS"/>
        </w:rPr>
      </w:pPr>
    </w:p>
    <w:p w14:paraId="141B5C22" w14:textId="77777777" w:rsidR="00894070" w:rsidRDefault="00894070">
      <w:pPr>
        <w:pStyle w:val="BodyText"/>
        <w:rPr>
          <w:rFonts w:ascii="Trebuchet MS"/>
        </w:rPr>
      </w:pPr>
    </w:p>
    <w:p w14:paraId="78AA3D85" w14:textId="77777777" w:rsidR="00894070" w:rsidRDefault="00894070">
      <w:pPr>
        <w:pStyle w:val="BodyText"/>
        <w:rPr>
          <w:rFonts w:ascii="Trebuchet MS"/>
        </w:rPr>
      </w:pPr>
    </w:p>
    <w:p w14:paraId="360707DC" w14:textId="77777777" w:rsidR="00894070" w:rsidRDefault="00894070">
      <w:pPr>
        <w:pStyle w:val="BodyText"/>
        <w:rPr>
          <w:rFonts w:ascii="Trebuchet MS"/>
        </w:rPr>
      </w:pPr>
    </w:p>
    <w:p w14:paraId="46C5562B" w14:textId="77777777" w:rsidR="00894070" w:rsidRDefault="00894070">
      <w:pPr>
        <w:pStyle w:val="BodyText"/>
        <w:rPr>
          <w:rFonts w:ascii="Trebuchet MS"/>
        </w:rPr>
      </w:pPr>
    </w:p>
    <w:p w14:paraId="1B8781E5" w14:textId="77777777" w:rsidR="00894070" w:rsidRDefault="00894070">
      <w:pPr>
        <w:pStyle w:val="BodyText"/>
        <w:rPr>
          <w:rFonts w:ascii="Trebuchet MS"/>
        </w:rPr>
      </w:pPr>
    </w:p>
    <w:p w14:paraId="388EF29A" w14:textId="77777777" w:rsidR="00894070" w:rsidRDefault="00894070">
      <w:pPr>
        <w:pStyle w:val="BodyText"/>
        <w:rPr>
          <w:rFonts w:ascii="Trebuchet MS"/>
        </w:rPr>
      </w:pPr>
    </w:p>
    <w:p w14:paraId="5EFDD190" w14:textId="77777777" w:rsidR="00894070" w:rsidRDefault="00894070">
      <w:pPr>
        <w:pStyle w:val="BodyText"/>
        <w:spacing w:before="5"/>
        <w:rPr>
          <w:rFonts w:ascii="Trebuchet MS"/>
          <w:sz w:val="17"/>
        </w:rPr>
      </w:pPr>
    </w:p>
    <w:p w14:paraId="4A5D766D" w14:textId="77777777" w:rsidR="00894070" w:rsidRDefault="009B7AFD">
      <w:pPr>
        <w:pStyle w:val="Heading8"/>
        <w:spacing w:before="49"/>
        <w:ind w:left="140"/>
      </w:pPr>
      <w:r>
        <w:rPr>
          <w:color w:val="EA5B50"/>
        </w:rPr>
        <w:t>ii</w:t>
      </w:r>
    </w:p>
    <w:p w14:paraId="7E9509C3" w14:textId="77777777" w:rsidR="00894070" w:rsidRDefault="00894070">
      <w:pPr>
        <w:sectPr w:rsidR="00894070">
          <w:headerReference w:type="even" r:id="rId17"/>
          <w:headerReference w:type="default" r:id="rId18"/>
          <w:pgSz w:w="11910" w:h="16840"/>
          <w:pgMar w:top="860" w:right="420" w:bottom="280" w:left="580" w:header="567" w:footer="0" w:gutter="0"/>
          <w:cols w:space="720"/>
        </w:sectPr>
      </w:pPr>
    </w:p>
    <w:p w14:paraId="36A479B2" w14:textId="77777777" w:rsidR="00894070" w:rsidRDefault="009F6793">
      <w:pPr>
        <w:pStyle w:val="BodyText"/>
        <w:rPr>
          <w:b/>
        </w:rPr>
      </w:pPr>
      <w:r>
        <w:lastRenderedPageBreak/>
        <w:pict w14:anchorId="4016D837">
          <v:rect id="_x0000_s1734" style="position:absolute;margin-left:0;margin-top:99.2pt;width:14.15pt;height:85.75pt;z-index:251450368;mso-position-horizontal-relative:page;mso-position-vertical-relative:page" fillcolor="#ea5b50" stroked="f">
            <w10:wrap anchorx="page" anchory="page"/>
          </v:rect>
        </w:pict>
      </w:r>
    </w:p>
    <w:p w14:paraId="5EDD853E" w14:textId="77777777" w:rsidR="00894070" w:rsidRDefault="00894070">
      <w:pPr>
        <w:pStyle w:val="BodyText"/>
        <w:rPr>
          <w:b/>
        </w:rPr>
      </w:pPr>
    </w:p>
    <w:p w14:paraId="734D84B8" w14:textId="77777777" w:rsidR="00894070" w:rsidRDefault="00894070">
      <w:pPr>
        <w:pStyle w:val="BodyText"/>
        <w:rPr>
          <w:b/>
        </w:rPr>
      </w:pPr>
    </w:p>
    <w:p w14:paraId="7FE987F1" w14:textId="77777777" w:rsidR="00894070" w:rsidRDefault="00894070">
      <w:pPr>
        <w:pStyle w:val="BodyText"/>
        <w:rPr>
          <w:b/>
          <w:sz w:val="14"/>
        </w:rPr>
      </w:pPr>
    </w:p>
    <w:p w14:paraId="3D11278E" w14:textId="77777777" w:rsidR="00894070" w:rsidRDefault="009B7AFD">
      <w:pPr>
        <w:spacing w:line="758" w:lineRule="exact"/>
        <w:ind w:left="278"/>
        <w:rPr>
          <w:rFonts w:ascii="Raleway ExtraBold"/>
          <w:b/>
          <w:sz w:val="56"/>
        </w:rPr>
      </w:pPr>
      <w:bookmarkStart w:id="0" w:name="Contents"/>
      <w:bookmarkEnd w:id="0"/>
      <w:r>
        <w:rPr>
          <w:rFonts w:ascii="Raleway ExtraBold"/>
          <w:b/>
          <w:color w:val="EA5B50"/>
          <w:sz w:val="56"/>
        </w:rPr>
        <w:t>Contents</w:t>
      </w:r>
    </w:p>
    <w:p w14:paraId="562747EE" w14:textId="77777777" w:rsidR="00894070" w:rsidRDefault="00894070">
      <w:pPr>
        <w:pStyle w:val="BodyText"/>
        <w:rPr>
          <w:rFonts w:ascii="Raleway ExtraBold"/>
          <w:b/>
        </w:rPr>
      </w:pPr>
    </w:p>
    <w:p w14:paraId="3BFF4B08" w14:textId="77777777" w:rsidR="00894070" w:rsidRDefault="00894070">
      <w:pPr>
        <w:pStyle w:val="BodyText"/>
        <w:rPr>
          <w:rFonts w:ascii="Raleway ExtraBold"/>
          <w:b/>
        </w:rPr>
      </w:pPr>
    </w:p>
    <w:p w14:paraId="4BEE3604" w14:textId="77777777" w:rsidR="00894070" w:rsidRDefault="00894070">
      <w:pPr>
        <w:pStyle w:val="BodyText"/>
        <w:rPr>
          <w:rFonts w:ascii="Raleway ExtraBold"/>
          <w:b/>
        </w:rPr>
      </w:pPr>
    </w:p>
    <w:p w14:paraId="0C9B1591" w14:textId="77777777" w:rsidR="00894070" w:rsidRDefault="00894070">
      <w:pPr>
        <w:pStyle w:val="BodyText"/>
        <w:rPr>
          <w:rFonts w:ascii="Raleway ExtraBold"/>
          <w:b/>
        </w:rPr>
      </w:pPr>
    </w:p>
    <w:p w14:paraId="3497148C" w14:textId="77777777" w:rsidR="00894070" w:rsidRDefault="00894070">
      <w:pPr>
        <w:pStyle w:val="BodyText"/>
        <w:rPr>
          <w:rFonts w:ascii="Raleway ExtraBold"/>
          <w:b/>
        </w:rPr>
      </w:pPr>
    </w:p>
    <w:p w14:paraId="22FC1388" w14:textId="77777777" w:rsidR="00894070" w:rsidRDefault="00894070">
      <w:pPr>
        <w:pStyle w:val="BodyText"/>
        <w:rPr>
          <w:rFonts w:ascii="Raleway ExtraBold"/>
          <w:b/>
        </w:rPr>
      </w:pPr>
    </w:p>
    <w:p w14:paraId="3B8605A0" w14:textId="77777777" w:rsidR="00894070" w:rsidRDefault="00894070">
      <w:pPr>
        <w:pStyle w:val="BodyText"/>
        <w:rPr>
          <w:rFonts w:ascii="Raleway ExtraBold"/>
          <w:b/>
        </w:rPr>
      </w:pPr>
    </w:p>
    <w:p w14:paraId="1F928DF7" w14:textId="77777777" w:rsidR="00894070" w:rsidRDefault="00894070">
      <w:pPr>
        <w:pStyle w:val="BodyText"/>
        <w:rPr>
          <w:rFonts w:ascii="Raleway ExtraBold"/>
          <w:b/>
        </w:rPr>
      </w:pPr>
    </w:p>
    <w:p w14:paraId="545CF11B" w14:textId="77777777" w:rsidR="00894070" w:rsidRDefault="00894070">
      <w:pPr>
        <w:pStyle w:val="BodyText"/>
        <w:rPr>
          <w:rFonts w:ascii="Raleway ExtraBold"/>
          <w:b/>
        </w:rPr>
      </w:pPr>
    </w:p>
    <w:p w14:paraId="0C9A7161" w14:textId="77777777" w:rsidR="00894070" w:rsidRDefault="00894070">
      <w:pPr>
        <w:pStyle w:val="BodyText"/>
        <w:spacing w:before="3"/>
        <w:rPr>
          <w:rFonts w:ascii="Raleway ExtraBold"/>
          <w:b/>
          <w:sz w:val="27"/>
        </w:rPr>
      </w:pPr>
    </w:p>
    <w:p w14:paraId="1BFC3E2D" w14:textId="77777777" w:rsidR="00894070" w:rsidRDefault="009F6793">
      <w:pPr>
        <w:tabs>
          <w:tab w:val="right" w:leader="dot" w:pos="9701"/>
        </w:tabs>
        <w:spacing w:before="57"/>
        <w:ind w:left="1021"/>
        <w:rPr>
          <w:b/>
          <w:sz w:val="20"/>
        </w:rPr>
      </w:pPr>
      <w:hyperlink w:anchor="_bookmark0" w:history="1">
        <w:r w:rsidR="009B7AFD">
          <w:rPr>
            <w:b/>
            <w:color w:val="231F20"/>
            <w:sz w:val="20"/>
          </w:rPr>
          <w:t>Preface</w:t>
        </w:r>
        <w:r w:rsidR="009B7AFD">
          <w:rPr>
            <w:b/>
            <w:color w:val="231F20"/>
            <w:sz w:val="20"/>
          </w:rPr>
          <w:tab/>
          <w:t>viii</w:t>
        </w:r>
      </w:hyperlink>
    </w:p>
    <w:p w14:paraId="36EA1712" w14:textId="77777777" w:rsidR="00894070" w:rsidRDefault="009F6793">
      <w:pPr>
        <w:tabs>
          <w:tab w:val="right" w:leader="dot" w:pos="9701"/>
        </w:tabs>
        <w:spacing w:before="42"/>
        <w:ind w:left="1021"/>
        <w:rPr>
          <w:b/>
          <w:sz w:val="20"/>
        </w:rPr>
      </w:pPr>
      <w:hyperlink w:anchor="_bookmark1" w:history="1">
        <w:r w:rsidR="009B7AFD">
          <w:rPr>
            <w:b/>
            <w:color w:val="231F20"/>
            <w:spacing w:val="-4"/>
            <w:sz w:val="20"/>
          </w:rPr>
          <w:t>Terms</w:t>
        </w:r>
        <w:r w:rsidR="009B7AFD">
          <w:rPr>
            <w:b/>
            <w:color w:val="231F20"/>
            <w:spacing w:val="-3"/>
            <w:sz w:val="20"/>
          </w:rPr>
          <w:t xml:space="preserve"> </w:t>
        </w:r>
        <w:r w:rsidR="009B7AFD">
          <w:rPr>
            <w:b/>
            <w:color w:val="231F20"/>
            <w:sz w:val="20"/>
          </w:rPr>
          <w:t>of</w:t>
        </w:r>
        <w:r w:rsidR="009B7AFD">
          <w:rPr>
            <w:b/>
            <w:color w:val="231F20"/>
            <w:spacing w:val="-2"/>
            <w:sz w:val="20"/>
          </w:rPr>
          <w:t xml:space="preserve"> </w:t>
        </w:r>
        <w:r w:rsidR="009B7AFD">
          <w:rPr>
            <w:b/>
            <w:color w:val="231F20"/>
            <w:sz w:val="20"/>
          </w:rPr>
          <w:t>reference</w:t>
        </w:r>
        <w:r w:rsidR="009B7AFD">
          <w:rPr>
            <w:b/>
            <w:color w:val="231F20"/>
            <w:sz w:val="20"/>
          </w:rPr>
          <w:tab/>
          <w:t>x</w:t>
        </w:r>
      </w:hyperlink>
    </w:p>
    <w:p w14:paraId="4D83D565" w14:textId="77777777" w:rsidR="00894070" w:rsidRDefault="009F6793">
      <w:pPr>
        <w:tabs>
          <w:tab w:val="right" w:leader="dot" w:pos="9701"/>
        </w:tabs>
        <w:spacing w:before="41"/>
        <w:ind w:left="1021"/>
        <w:rPr>
          <w:b/>
          <w:sz w:val="20"/>
        </w:rPr>
      </w:pPr>
      <w:hyperlink w:anchor="_bookmark2" w:history="1">
        <w:r w:rsidR="009B7AFD">
          <w:rPr>
            <w:b/>
            <w:color w:val="231F20"/>
            <w:sz w:val="20"/>
          </w:rPr>
          <w:t>Executive</w:t>
        </w:r>
        <w:r w:rsidR="009B7AFD">
          <w:rPr>
            <w:b/>
            <w:color w:val="231F20"/>
            <w:spacing w:val="-3"/>
            <w:sz w:val="20"/>
          </w:rPr>
          <w:t xml:space="preserve"> </w:t>
        </w:r>
        <w:r w:rsidR="009B7AFD">
          <w:rPr>
            <w:b/>
            <w:color w:val="231F20"/>
            <w:sz w:val="20"/>
          </w:rPr>
          <w:t>summary</w:t>
        </w:r>
        <w:r w:rsidR="009B7AFD">
          <w:rPr>
            <w:b/>
            <w:color w:val="231F20"/>
            <w:sz w:val="20"/>
          </w:rPr>
          <w:tab/>
          <w:t>xii</w:t>
        </w:r>
      </w:hyperlink>
    </w:p>
    <w:p w14:paraId="559E64F3" w14:textId="77777777" w:rsidR="00894070" w:rsidRDefault="009F6793">
      <w:pPr>
        <w:tabs>
          <w:tab w:val="right" w:leader="dot" w:pos="9701"/>
        </w:tabs>
        <w:spacing w:before="42"/>
        <w:ind w:left="1021"/>
        <w:rPr>
          <w:b/>
          <w:sz w:val="20"/>
        </w:rPr>
      </w:pPr>
      <w:hyperlink w:anchor="_bookmark3" w:history="1">
        <w:r w:rsidR="009B7AFD">
          <w:rPr>
            <w:b/>
            <w:color w:val="231F20"/>
            <w:sz w:val="20"/>
          </w:rPr>
          <w:t>Glossary</w:t>
        </w:r>
        <w:r w:rsidR="009B7AFD">
          <w:rPr>
            <w:b/>
            <w:color w:val="231F20"/>
            <w:sz w:val="20"/>
          </w:rPr>
          <w:tab/>
          <w:t>xvi</w:t>
        </w:r>
      </w:hyperlink>
    </w:p>
    <w:p w14:paraId="38938F47" w14:textId="77777777" w:rsidR="00894070" w:rsidRDefault="009F6793">
      <w:pPr>
        <w:tabs>
          <w:tab w:val="right" w:leader="dot" w:pos="9701"/>
        </w:tabs>
        <w:spacing w:before="41"/>
        <w:ind w:left="1021"/>
        <w:rPr>
          <w:b/>
          <w:sz w:val="20"/>
        </w:rPr>
      </w:pPr>
      <w:hyperlink w:anchor="_bookmark4" w:history="1">
        <w:r w:rsidR="009B7AFD">
          <w:rPr>
            <w:b/>
            <w:color w:val="231F20"/>
            <w:sz w:val="20"/>
          </w:rPr>
          <w:t>Recommendations</w:t>
        </w:r>
        <w:r w:rsidR="009B7AFD">
          <w:rPr>
            <w:b/>
            <w:color w:val="231F20"/>
            <w:sz w:val="20"/>
          </w:rPr>
          <w:tab/>
          <w:t>xxi</w:t>
        </w:r>
      </w:hyperlink>
    </w:p>
    <w:p w14:paraId="0FEC57D6" w14:textId="77777777" w:rsidR="00894070" w:rsidRDefault="009F6793">
      <w:pPr>
        <w:numPr>
          <w:ilvl w:val="0"/>
          <w:numId w:val="1"/>
        </w:numPr>
        <w:tabs>
          <w:tab w:val="left" w:pos="1362"/>
          <w:tab w:val="right" w:leader="dot" w:pos="9701"/>
        </w:tabs>
        <w:spacing w:before="42"/>
        <w:ind w:hanging="340"/>
        <w:rPr>
          <w:b/>
          <w:sz w:val="20"/>
        </w:rPr>
      </w:pPr>
      <w:hyperlink w:anchor="_bookmark5" w:history="1">
        <w:r w:rsidR="009B7AFD">
          <w:rPr>
            <w:b/>
            <w:color w:val="EA5B50"/>
            <w:sz w:val="20"/>
          </w:rPr>
          <w:t>Introduction</w:t>
        </w:r>
        <w:r w:rsidR="009B7AFD">
          <w:rPr>
            <w:b/>
            <w:color w:val="EA5B50"/>
            <w:sz w:val="20"/>
          </w:rPr>
          <w:tab/>
          <w:t>2</w:t>
        </w:r>
      </w:hyperlink>
    </w:p>
    <w:p w14:paraId="78F25354" w14:textId="77777777" w:rsidR="00894070" w:rsidRDefault="009F6793">
      <w:pPr>
        <w:pStyle w:val="BodyText"/>
        <w:tabs>
          <w:tab w:val="right" w:leader="dot" w:pos="9701"/>
        </w:tabs>
        <w:spacing w:before="47"/>
        <w:ind w:left="1588"/>
      </w:pPr>
      <w:hyperlink w:anchor="_bookmark5" w:history="1">
        <w:r w:rsidR="009B7AFD">
          <w:rPr>
            <w:color w:val="231F20"/>
          </w:rPr>
          <w:t>Our terms</w:t>
        </w:r>
        <w:r w:rsidR="009B7AFD">
          <w:rPr>
            <w:color w:val="231F20"/>
            <w:spacing w:val="-4"/>
          </w:rPr>
          <w:t xml:space="preserve"> </w:t>
        </w:r>
        <w:r w:rsidR="009B7AFD">
          <w:rPr>
            <w:color w:val="231F20"/>
          </w:rPr>
          <w:t>of</w:t>
        </w:r>
        <w:r w:rsidR="009B7AFD">
          <w:rPr>
            <w:color w:val="231F20"/>
            <w:spacing w:val="-2"/>
          </w:rPr>
          <w:t xml:space="preserve"> </w:t>
        </w:r>
        <w:r w:rsidR="009B7AFD">
          <w:rPr>
            <w:color w:val="231F20"/>
            <w:spacing w:val="-3"/>
          </w:rPr>
          <w:t>reference</w:t>
        </w:r>
        <w:r w:rsidR="009B7AFD">
          <w:rPr>
            <w:color w:val="231F20"/>
            <w:spacing w:val="-3"/>
          </w:rPr>
          <w:tab/>
        </w:r>
        <w:r w:rsidR="009B7AFD">
          <w:rPr>
            <w:color w:val="231F20"/>
          </w:rPr>
          <w:t>2</w:t>
        </w:r>
      </w:hyperlink>
    </w:p>
    <w:p w14:paraId="0373AC44" w14:textId="77777777" w:rsidR="00894070" w:rsidRDefault="009F6793">
      <w:pPr>
        <w:pStyle w:val="BodyText"/>
        <w:tabs>
          <w:tab w:val="right" w:leader="dot" w:pos="9701"/>
        </w:tabs>
        <w:spacing w:before="48"/>
        <w:ind w:left="1588"/>
      </w:pPr>
      <w:hyperlink w:anchor="_bookmark6" w:history="1">
        <w:r w:rsidR="009B7AFD">
          <w:rPr>
            <w:color w:val="231F20"/>
          </w:rPr>
          <w:t>Our interim report and</w:t>
        </w:r>
        <w:r w:rsidR="009B7AFD">
          <w:rPr>
            <w:color w:val="231F20"/>
            <w:spacing w:val="-9"/>
          </w:rPr>
          <w:t xml:space="preserve"> </w:t>
        </w:r>
        <w:r w:rsidR="009B7AFD">
          <w:rPr>
            <w:color w:val="231F20"/>
          </w:rPr>
          <w:t>this</w:t>
        </w:r>
        <w:r w:rsidR="009B7AFD">
          <w:rPr>
            <w:color w:val="231F20"/>
            <w:spacing w:val="-2"/>
          </w:rPr>
          <w:t xml:space="preserve"> </w:t>
        </w:r>
        <w:r w:rsidR="009B7AFD">
          <w:rPr>
            <w:color w:val="231F20"/>
          </w:rPr>
          <w:t>report</w:t>
        </w:r>
        <w:r w:rsidR="009B7AFD">
          <w:rPr>
            <w:color w:val="231F20"/>
          </w:rPr>
          <w:tab/>
          <w:t>3</w:t>
        </w:r>
      </w:hyperlink>
    </w:p>
    <w:p w14:paraId="07A44BCD" w14:textId="77777777" w:rsidR="00894070" w:rsidRDefault="009F6793">
      <w:pPr>
        <w:pStyle w:val="BodyText"/>
        <w:tabs>
          <w:tab w:val="right" w:leader="dot" w:pos="9701"/>
        </w:tabs>
        <w:spacing w:before="47"/>
        <w:ind w:left="1588"/>
      </w:pPr>
      <w:hyperlink w:anchor="_bookmark6" w:history="1">
        <w:r w:rsidR="009B7AFD">
          <w:rPr>
            <w:color w:val="231F20"/>
          </w:rPr>
          <w:t>Our</w:t>
        </w:r>
        <w:r w:rsidR="009B7AFD">
          <w:rPr>
            <w:color w:val="231F20"/>
            <w:spacing w:val="-3"/>
          </w:rPr>
          <w:t xml:space="preserve"> </w:t>
        </w:r>
        <w:r w:rsidR="009B7AFD">
          <w:rPr>
            <w:color w:val="231F20"/>
          </w:rPr>
          <w:t>process</w:t>
        </w:r>
        <w:r w:rsidR="009B7AFD">
          <w:rPr>
            <w:color w:val="231F20"/>
          </w:rPr>
          <w:tab/>
          <w:t>3</w:t>
        </w:r>
      </w:hyperlink>
    </w:p>
    <w:p w14:paraId="44FCB98F" w14:textId="77777777" w:rsidR="00894070" w:rsidRDefault="009F6793">
      <w:pPr>
        <w:pStyle w:val="BodyText"/>
        <w:tabs>
          <w:tab w:val="right" w:leader="dot" w:pos="9701"/>
        </w:tabs>
        <w:spacing w:before="47"/>
        <w:ind w:left="1588"/>
      </w:pPr>
      <w:hyperlink w:anchor="_bookmark7" w:history="1">
        <w:r w:rsidR="009B7AFD">
          <w:rPr>
            <w:color w:val="231F20"/>
          </w:rPr>
          <w:t>An</w:t>
        </w:r>
        <w:r w:rsidR="009B7AFD">
          <w:rPr>
            <w:color w:val="231F20"/>
            <w:spacing w:val="-3"/>
          </w:rPr>
          <w:t xml:space="preserve"> </w:t>
        </w:r>
        <w:r w:rsidR="009B7AFD">
          <w:rPr>
            <w:color w:val="231F20"/>
          </w:rPr>
          <w:t>acknowledgement</w:t>
        </w:r>
        <w:r w:rsidR="009B7AFD">
          <w:rPr>
            <w:color w:val="231F20"/>
          </w:rPr>
          <w:tab/>
          <w:t>4</w:t>
        </w:r>
      </w:hyperlink>
    </w:p>
    <w:p w14:paraId="2E6784BB" w14:textId="77777777" w:rsidR="00894070" w:rsidRDefault="009F6793">
      <w:pPr>
        <w:pStyle w:val="BodyText"/>
        <w:tabs>
          <w:tab w:val="right" w:leader="dot" w:pos="9701"/>
        </w:tabs>
        <w:spacing w:before="48"/>
        <w:ind w:left="1588"/>
      </w:pPr>
      <w:hyperlink w:anchor="_bookmark7" w:history="1">
        <w:r w:rsidR="009B7AFD">
          <w:rPr>
            <w:color w:val="231F20"/>
          </w:rPr>
          <w:t>Why does the response to stalking need</w:t>
        </w:r>
        <w:r w:rsidR="009B7AFD">
          <w:rPr>
            <w:color w:val="231F20"/>
            <w:spacing w:val="-17"/>
          </w:rPr>
          <w:t xml:space="preserve"> </w:t>
        </w:r>
        <w:r w:rsidR="009B7AFD">
          <w:rPr>
            <w:color w:val="231F20"/>
          </w:rPr>
          <w:t>to</w:t>
        </w:r>
        <w:r w:rsidR="009B7AFD">
          <w:rPr>
            <w:color w:val="231F20"/>
            <w:spacing w:val="-3"/>
          </w:rPr>
          <w:t xml:space="preserve"> </w:t>
        </w:r>
        <w:r w:rsidR="009B7AFD">
          <w:rPr>
            <w:color w:val="231F20"/>
          </w:rPr>
          <w:t>change?</w:t>
        </w:r>
        <w:r w:rsidR="009B7AFD">
          <w:rPr>
            <w:color w:val="231F20"/>
          </w:rPr>
          <w:tab/>
          <w:t>4</w:t>
        </w:r>
      </w:hyperlink>
    </w:p>
    <w:p w14:paraId="545BD558" w14:textId="77777777" w:rsidR="00894070" w:rsidRDefault="009F6793">
      <w:pPr>
        <w:pStyle w:val="BodyText"/>
        <w:tabs>
          <w:tab w:val="right" w:leader="dot" w:pos="9701"/>
        </w:tabs>
        <w:spacing w:before="41"/>
        <w:ind w:left="1871"/>
      </w:pPr>
      <w:hyperlink w:anchor="_bookmark7" w:history="1">
        <w:r w:rsidR="009B7AFD">
          <w:rPr>
            <w:color w:val="231F20"/>
          </w:rPr>
          <w:t>Stalking is different to</w:t>
        </w:r>
        <w:r w:rsidR="009B7AFD">
          <w:rPr>
            <w:color w:val="231F20"/>
            <w:spacing w:val="-11"/>
          </w:rPr>
          <w:t xml:space="preserve"> </w:t>
        </w:r>
        <w:r w:rsidR="009B7AFD">
          <w:rPr>
            <w:color w:val="231F20"/>
          </w:rPr>
          <w:t>other</w:t>
        </w:r>
        <w:r w:rsidR="009B7AFD">
          <w:rPr>
            <w:color w:val="231F20"/>
            <w:spacing w:val="-3"/>
          </w:rPr>
          <w:t xml:space="preserve"> </w:t>
        </w:r>
        <w:r w:rsidR="009B7AFD">
          <w:rPr>
            <w:color w:val="231F20"/>
          </w:rPr>
          <w:t>offences</w:t>
        </w:r>
        <w:r w:rsidR="009B7AFD">
          <w:rPr>
            <w:color w:val="231F20"/>
          </w:rPr>
          <w:tab/>
          <w:t>4</w:t>
        </w:r>
      </w:hyperlink>
    </w:p>
    <w:p w14:paraId="621481E2" w14:textId="77777777" w:rsidR="00894070" w:rsidRDefault="009F6793">
      <w:pPr>
        <w:pStyle w:val="BodyText"/>
        <w:tabs>
          <w:tab w:val="right" w:leader="dot" w:pos="9701"/>
        </w:tabs>
        <w:spacing w:before="42"/>
        <w:ind w:left="1871"/>
      </w:pPr>
      <w:hyperlink w:anchor="_bookmark7" w:history="1">
        <w:r w:rsidR="009B7AFD">
          <w:rPr>
            <w:color w:val="231F20"/>
          </w:rPr>
          <w:t>The response is not</w:t>
        </w:r>
        <w:r w:rsidR="009B7AFD">
          <w:rPr>
            <w:color w:val="231F20"/>
            <w:spacing w:val="-9"/>
          </w:rPr>
          <w:t xml:space="preserve"> </w:t>
        </w:r>
        <w:r w:rsidR="009B7AFD">
          <w:rPr>
            <w:color w:val="231F20"/>
          </w:rPr>
          <w:t>tailored</w:t>
        </w:r>
        <w:r w:rsidR="009B7AFD">
          <w:rPr>
            <w:color w:val="231F20"/>
            <w:spacing w:val="-2"/>
          </w:rPr>
          <w:t xml:space="preserve"> </w:t>
        </w:r>
        <w:r w:rsidR="009B7AFD">
          <w:rPr>
            <w:color w:val="231F20"/>
          </w:rPr>
          <w:t>enough</w:t>
        </w:r>
        <w:r w:rsidR="009B7AFD">
          <w:rPr>
            <w:color w:val="231F20"/>
          </w:rPr>
          <w:tab/>
          <w:t>4</w:t>
        </w:r>
      </w:hyperlink>
    </w:p>
    <w:p w14:paraId="47C7B10A" w14:textId="77777777" w:rsidR="00894070" w:rsidRDefault="009F6793">
      <w:pPr>
        <w:pStyle w:val="BodyText"/>
        <w:tabs>
          <w:tab w:val="right" w:leader="dot" w:pos="9701"/>
        </w:tabs>
        <w:spacing w:before="41"/>
        <w:ind w:left="1871"/>
      </w:pPr>
      <w:hyperlink w:anchor="_bookmark8" w:history="1">
        <w:r w:rsidR="009B7AFD">
          <w:rPr>
            <w:color w:val="231F20"/>
          </w:rPr>
          <w:t>It is unclear how effective the</w:t>
        </w:r>
        <w:r w:rsidR="009B7AFD">
          <w:rPr>
            <w:color w:val="231F20"/>
            <w:spacing w:val="-16"/>
          </w:rPr>
          <w:t xml:space="preserve"> </w:t>
        </w:r>
        <w:r w:rsidR="009B7AFD">
          <w:rPr>
            <w:color w:val="231F20"/>
          </w:rPr>
          <w:t>response</w:t>
        </w:r>
        <w:r w:rsidR="009B7AFD">
          <w:rPr>
            <w:color w:val="231F20"/>
            <w:spacing w:val="-2"/>
          </w:rPr>
          <w:t xml:space="preserve"> </w:t>
        </w:r>
        <w:r w:rsidR="009B7AFD">
          <w:rPr>
            <w:color w:val="231F20"/>
          </w:rPr>
          <w:t>is</w:t>
        </w:r>
        <w:r w:rsidR="009B7AFD">
          <w:rPr>
            <w:color w:val="231F20"/>
          </w:rPr>
          <w:tab/>
          <w:t>5</w:t>
        </w:r>
      </w:hyperlink>
    </w:p>
    <w:p w14:paraId="52DFA2B9" w14:textId="77777777" w:rsidR="00894070" w:rsidRDefault="009F6793">
      <w:pPr>
        <w:pStyle w:val="BodyText"/>
        <w:tabs>
          <w:tab w:val="right" w:leader="dot" w:pos="9701"/>
        </w:tabs>
        <w:spacing w:before="48"/>
        <w:ind w:left="1588"/>
      </w:pPr>
      <w:hyperlink w:anchor="_bookmark8" w:history="1">
        <w:r w:rsidR="009B7AFD">
          <w:rPr>
            <w:color w:val="231F20"/>
          </w:rPr>
          <w:t>How does the response to stalking need</w:t>
        </w:r>
        <w:r w:rsidR="009B7AFD">
          <w:rPr>
            <w:color w:val="231F20"/>
            <w:spacing w:val="-17"/>
          </w:rPr>
          <w:t xml:space="preserve"> </w:t>
        </w:r>
        <w:r w:rsidR="009B7AFD">
          <w:rPr>
            <w:color w:val="231F20"/>
          </w:rPr>
          <w:t>to</w:t>
        </w:r>
        <w:r w:rsidR="009B7AFD">
          <w:rPr>
            <w:color w:val="231F20"/>
            <w:spacing w:val="-3"/>
          </w:rPr>
          <w:t xml:space="preserve"> </w:t>
        </w:r>
        <w:r w:rsidR="009B7AFD">
          <w:rPr>
            <w:color w:val="231F20"/>
          </w:rPr>
          <w:t>change?</w:t>
        </w:r>
        <w:r w:rsidR="009B7AFD">
          <w:rPr>
            <w:color w:val="231F20"/>
          </w:rPr>
          <w:tab/>
          <w:t>5</w:t>
        </w:r>
      </w:hyperlink>
    </w:p>
    <w:p w14:paraId="68728818" w14:textId="77777777" w:rsidR="00894070" w:rsidRDefault="009F6793">
      <w:pPr>
        <w:pStyle w:val="BodyText"/>
        <w:tabs>
          <w:tab w:val="right" w:leader="dot" w:pos="9701"/>
        </w:tabs>
        <w:spacing w:before="47"/>
        <w:ind w:left="1588"/>
      </w:pPr>
      <w:hyperlink w:anchor="_bookmark9" w:history="1">
        <w:r w:rsidR="009B7AFD">
          <w:rPr>
            <w:color w:val="231F20"/>
          </w:rPr>
          <w:t>What is our approach</w:t>
        </w:r>
        <w:r w:rsidR="009B7AFD">
          <w:rPr>
            <w:color w:val="231F20"/>
            <w:spacing w:val="-9"/>
          </w:rPr>
          <w:t xml:space="preserve"> </w:t>
        </w:r>
        <w:r w:rsidR="009B7AFD">
          <w:rPr>
            <w:color w:val="231F20"/>
          </w:rPr>
          <w:t>to</w:t>
        </w:r>
        <w:r w:rsidR="009B7AFD">
          <w:rPr>
            <w:color w:val="231F20"/>
            <w:spacing w:val="-2"/>
          </w:rPr>
          <w:t xml:space="preserve"> </w:t>
        </w:r>
        <w:r w:rsidR="009B7AFD">
          <w:rPr>
            <w:color w:val="231F20"/>
            <w:spacing w:val="-3"/>
          </w:rPr>
          <w:t>reform?</w:t>
        </w:r>
        <w:r w:rsidR="009B7AFD">
          <w:rPr>
            <w:color w:val="231F20"/>
            <w:spacing w:val="-3"/>
          </w:rPr>
          <w:tab/>
        </w:r>
        <w:r w:rsidR="009B7AFD">
          <w:rPr>
            <w:color w:val="231F20"/>
          </w:rPr>
          <w:t>6</w:t>
        </w:r>
      </w:hyperlink>
    </w:p>
    <w:p w14:paraId="0CDBE859" w14:textId="77777777" w:rsidR="00894070" w:rsidRDefault="009F6793">
      <w:pPr>
        <w:pStyle w:val="BodyText"/>
        <w:tabs>
          <w:tab w:val="right" w:leader="dot" w:pos="9701"/>
        </w:tabs>
        <w:spacing w:before="41"/>
        <w:ind w:left="1871"/>
      </w:pPr>
      <w:hyperlink w:anchor="_bookmark9" w:history="1">
        <w:r w:rsidR="009B7AFD">
          <w:rPr>
            <w:color w:val="231F20"/>
          </w:rPr>
          <w:t>Victim safety is the</w:t>
        </w:r>
        <w:r w:rsidR="009B7AFD">
          <w:rPr>
            <w:color w:val="231F20"/>
            <w:spacing w:val="-9"/>
          </w:rPr>
          <w:t xml:space="preserve"> </w:t>
        </w:r>
        <w:r w:rsidR="009B7AFD">
          <w:rPr>
            <w:color w:val="231F20"/>
          </w:rPr>
          <w:t>main</w:t>
        </w:r>
        <w:r w:rsidR="009B7AFD">
          <w:rPr>
            <w:color w:val="231F20"/>
            <w:spacing w:val="-2"/>
          </w:rPr>
          <w:t xml:space="preserve"> </w:t>
        </w:r>
        <w:r w:rsidR="009B7AFD">
          <w:rPr>
            <w:color w:val="231F20"/>
          </w:rPr>
          <w:t>concern</w:t>
        </w:r>
        <w:r w:rsidR="009B7AFD">
          <w:rPr>
            <w:color w:val="231F20"/>
          </w:rPr>
          <w:tab/>
          <w:t>6</w:t>
        </w:r>
      </w:hyperlink>
    </w:p>
    <w:p w14:paraId="6B6D59D3" w14:textId="77777777" w:rsidR="00894070" w:rsidRDefault="009F6793">
      <w:pPr>
        <w:pStyle w:val="BodyText"/>
        <w:tabs>
          <w:tab w:val="right" w:leader="dot" w:pos="9701"/>
        </w:tabs>
        <w:spacing w:before="42"/>
        <w:ind w:left="1871"/>
      </w:pPr>
      <w:hyperlink w:anchor="_bookmark9" w:history="1">
        <w:r w:rsidR="009B7AFD">
          <w:rPr>
            <w:color w:val="231F20"/>
          </w:rPr>
          <w:t xml:space="preserve">Victim survivors </w:t>
        </w:r>
        <w:r w:rsidR="009B7AFD">
          <w:rPr>
            <w:color w:val="231F20"/>
            <w:spacing w:val="-3"/>
          </w:rPr>
          <w:t xml:space="preserve">have </w:t>
        </w:r>
        <w:r w:rsidR="009B7AFD">
          <w:rPr>
            <w:color w:val="231F20"/>
          </w:rPr>
          <w:t>a range of</w:t>
        </w:r>
        <w:r w:rsidR="009B7AFD">
          <w:rPr>
            <w:color w:val="231F20"/>
            <w:spacing w:val="-10"/>
          </w:rPr>
          <w:t xml:space="preserve"> </w:t>
        </w:r>
        <w:r w:rsidR="009B7AFD">
          <w:rPr>
            <w:color w:val="231F20"/>
          </w:rPr>
          <w:t>justice</w:t>
        </w:r>
        <w:r w:rsidR="009B7AFD">
          <w:rPr>
            <w:color w:val="231F20"/>
            <w:spacing w:val="-2"/>
          </w:rPr>
          <w:t xml:space="preserve"> </w:t>
        </w:r>
        <w:r w:rsidR="009B7AFD">
          <w:rPr>
            <w:color w:val="231F20"/>
          </w:rPr>
          <w:t>needs</w:t>
        </w:r>
        <w:r w:rsidR="009B7AFD">
          <w:rPr>
            <w:color w:val="231F20"/>
          </w:rPr>
          <w:tab/>
          <w:t>6</w:t>
        </w:r>
      </w:hyperlink>
    </w:p>
    <w:p w14:paraId="5D1BD608" w14:textId="77777777" w:rsidR="00894070" w:rsidRDefault="009F6793">
      <w:pPr>
        <w:pStyle w:val="BodyText"/>
        <w:tabs>
          <w:tab w:val="right" w:leader="dot" w:pos="9701"/>
        </w:tabs>
        <w:spacing w:before="41"/>
        <w:ind w:left="1871"/>
      </w:pPr>
      <w:hyperlink w:anchor="_bookmark10" w:history="1">
        <w:r w:rsidR="009B7AFD">
          <w:rPr>
            <w:color w:val="231F20"/>
          </w:rPr>
          <w:t xml:space="preserve">The response to stalking must </w:t>
        </w:r>
        <w:proofErr w:type="spellStart"/>
        <w:r w:rsidR="009B7AFD">
          <w:rPr>
            <w:color w:val="231F20"/>
          </w:rPr>
          <w:t>recognise</w:t>
        </w:r>
        <w:proofErr w:type="spellEnd"/>
        <w:r w:rsidR="009B7AFD">
          <w:rPr>
            <w:color w:val="231F20"/>
          </w:rPr>
          <w:t xml:space="preserve"> the diversity</w:t>
        </w:r>
        <w:r w:rsidR="009B7AFD">
          <w:rPr>
            <w:color w:val="231F20"/>
            <w:spacing w:val="-24"/>
          </w:rPr>
          <w:t xml:space="preserve"> </w:t>
        </w:r>
        <w:r w:rsidR="009B7AFD">
          <w:rPr>
            <w:color w:val="231F20"/>
          </w:rPr>
          <w:t>of</w:t>
        </w:r>
        <w:r w:rsidR="009B7AFD">
          <w:rPr>
            <w:color w:val="231F20"/>
            <w:spacing w:val="-3"/>
          </w:rPr>
          <w:t xml:space="preserve"> </w:t>
        </w:r>
        <w:r w:rsidR="009B7AFD">
          <w:rPr>
            <w:color w:val="231F20"/>
          </w:rPr>
          <w:t>experiences</w:t>
        </w:r>
        <w:r w:rsidR="009B7AFD">
          <w:rPr>
            <w:color w:val="231F20"/>
          </w:rPr>
          <w:tab/>
          <w:t>7</w:t>
        </w:r>
      </w:hyperlink>
    </w:p>
    <w:p w14:paraId="0FEEDDC8" w14:textId="77777777" w:rsidR="00894070" w:rsidRDefault="009F6793">
      <w:pPr>
        <w:pStyle w:val="BodyText"/>
        <w:tabs>
          <w:tab w:val="right" w:leader="dot" w:pos="9701"/>
        </w:tabs>
        <w:spacing w:before="42"/>
        <w:ind w:left="1871"/>
      </w:pPr>
      <w:hyperlink w:anchor="_bookmark10" w:history="1">
        <w:r w:rsidR="009B7AFD">
          <w:rPr>
            <w:color w:val="231F20"/>
          </w:rPr>
          <w:t>People who stalk should</w:t>
        </w:r>
        <w:r w:rsidR="009B7AFD">
          <w:rPr>
            <w:color w:val="231F20"/>
            <w:spacing w:val="-9"/>
          </w:rPr>
          <w:t xml:space="preserve"> </w:t>
        </w:r>
        <w:r w:rsidR="009B7AFD">
          <w:rPr>
            <w:color w:val="231F20"/>
          </w:rPr>
          <w:t>be</w:t>
        </w:r>
        <w:r w:rsidR="009B7AFD">
          <w:rPr>
            <w:color w:val="231F20"/>
            <w:spacing w:val="-3"/>
          </w:rPr>
          <w:t xml:space="preserve"> </w:t>
        </w:r>
        <w:r w:rsidR="009B7AFD">
          <w:rPr>
            <w:color w:val="231F20"/>
          </w:rPr>
          <w:t>accountable</w:t>
        </w:r>
        <w:r w:rsidR="009B7AFD">
          <w:rPr>
            <w:color w:val="231F20"/>
          </w:rPr>
          <w:tab/>
          <w:t>7</w:t>
        </w:r>
      </w:hyperlink>
    </w:p>
    <w:p w14:paraId="59BEF235" w14:textId="77777777" w:rsidR="00894070" w:rsidRDefault="009F6793">
      <w:pPr>
        <w:pStyle w:val="BodyText"/>
        <w:tabs>
          <w:tab w:val="right" w:leader="dot" w:pos="9701"/>
        </w:tabs>
        <w:spacing w:before="41"/>
        <w:ind w:left="1871"/>
      </w:pPr>
      <w:hyperlink w:anchor="_bookmark11" w:history="1">
        <w:r w:rsidR="009B7AFD">
          <w:rPr>
            <w:color w:val="231F20"/>
          </w:rPr>
          <w:t>Other reforms should be</w:t>
        </w:r>
        <w:r w:rsidR="009B7AFD">
          <w:rPr>
            <w:color w:val="231F20"/>
            <w:spacing w:val="-9"/>
          </w:rPr>
          <w:t xml:space="preserve"> </w:t>
        </w:r>
        <w:r w:rsidR="009B7AFD">
          <w:rPr>
            <w:color w:val="231F20"/>
          </w:rPr>
          <w:t>built</w:t>
        </w:r>
        <w:r w:rsidR="009B7AFD">
          <w:rPr>
            <w:color w:val="231F20"/>
            <w:spacing w:val="-3"/>
          </w:rPr>
          <w:t xml:space="preserve"> </w:t>
        </w:r>
        <w:r w:rsidR="009B7AFD">
          <w:rPr>
            <w:color w:val="231F20"/>
          </w:rPr>
          <w:t>upon</w:t>
        </w:r>
        <w:r w:rsidR="009B7AFD">
          <w:rPr>
            <w:color w:val="231F20"/>
          </w:rPr>
          <w:tab/>
          <w:t>8</w:t>
        </w:r>
      </w:hyperlink>
    </w:p>
    <w:p w14:paraId="0D5ED012" w14:textId="77777777" w:rsidR="00894070" w:rsidRDefault="009F6793">
      <w:pPr>
        <w:pStyle w:val="BodyText"/>
        <w:tabs>
          <w:tab w:val="right" w:leader="dot" w:pos="9701"/>
        </w:tabs>
        <w:spacing w:before="48"/>
        <w:ind w:left="1588"/>
      </w:pPr>
      <w:hyperlink w:anchor="_bookmark12" w:history="1">
        <w:r w:rsidR="009B7AFD">
          <w:rPr>
            <w:color w:val="231F20"/>
          </w:rPr>
          <w:t>The process</w:t>
        </w:r>
        <w:r w:rsidR="009B7AFD">
          <w:rPr>
            <w:color w:val="231F20"/>
            <w:spacing w:val="-5"/>
          </w:rPr>
          <w:t xml:space="preserve"> </w:t>
        </w:r>
        <w:r w:rsidR="009B7AFD">
          <w:rPr>
            <w:color w:val="231F20"/>
          </w:rPr>
          <w:t>from</w:t>
        </w:r>
        <w:r w:rsidR="009B7AFD">
          <w:rPr>
            <w:color w:val="231F20"/>
            <w:spacing w:val="-2"/>
          </w:rPr>
          <w:t xml:space="preserve"> </w:t>
        </w:r>
        <w:r w:rsidR="009B7AFD">
          <w:rPr>
            <w:color w:val="231F20"/>
          </w:rPr>
          <w:t>here</w:t>
        </w:r>
        <w:r w:rsidR="009B7AFD">
          <w:rPr>
            <w:color w:val="231F20"/>
          </w:rPr>
          <w:tab/>
          <w:t>9</w:t>
        </w:r>
      </w:hyperlink>
    </w:p>
    <w:p w14:paraId="0960FCD6" w14:textId="77777777" w:rsidR="00894070" w:rsidRDefault="009F6793">
      <w:pPr>
        <w:numPr>
          <w:ilvl w:val="0"/>
          <w:numId w:val="1"/>
        </w:numPr>
        <w:tabs>
          <w:tab w:val="left" w:pos="1362"/>
          <w:tab w:val="right" w:leader="dot" w:pos="9702"/>
        </w:tabs>
        <w:spacing w:before="41"/>
        <w:ind w:hanging="340"/>
        <w:rPr>
          <w:b/>
          <w:sz w:val="20"/>
        </w:rPr>
      </w:pPr>
      <w:hyperlink w:anchor="_bookmark13" w:history="1">
        <w:r w:rsidR="009B7AFD">
          <w:rPr>
            <w:b/>
            <w:color w:val="EA5B50"/>
            <w:sz w:val="20"/>
          </w:rPr>
          <w:t>Stalking</w:t>
        </w:r>
        <w:r w:rsidR="009B7AFD">
          <w:rPr>
            <w:b/>
            <w:color w:val="EA5B50"/>
            <w:spacing w:val="-3"/>
            <w:sz w:val="20"/>
          </w:rPr>
          <w:t xml:space="preserve"> </w:t>
        </w:r>
        <w:r w:rsidR="009B7AFD">
          <w:rPr>
            <w:b/>
            <w:color w:val="EA5B50"/>
            <w:sz w:val="20"/>
          </w:rPr>
          <w:t>and</w:t>
        </w:r>
        <w:r w:rsidR="009B7AFD">
          <w:rPr>
            <w:b/>
            <w:color w:val="EA5B50"/>
            <w:spacing w:val="-2"/>
            <w:sz w:val="20"/>
          </w:rPr>
          <w:t xml:space="preserve"> </w:t>
        </w:r>
        <w:r w:rsidR="009B7AFD">
          <w:rPr>
            <w:b/>
            <w:color w:val="EA5B50"/>
            <w:sz w:val="20"/>
          </w:rPr>
          <w:t>justice</w:t>
        </w:r>
        <w:r w:rsidR="009B7AFD">
          <w:rPr>
            <w:b/>
            <w:color w:val="EA5B50"/>
            <w:sz w:val="20"/>
          </w:rPr>
          <w:tab/>
          <w:t>12</w:t>
        </w:r>
      </w:hyperlink>
    </w:p>
    <w:p w14:paraId="68D05D5B" w14:textId="77777777" w:rsidR="00894070" w:rsidRDefault="009F6793">
      <w:pPr>
        <w:pStyle w:val="BodyText"/>
        <w:tabs>
          <w:tab w:val="right" w:leader="dot" w:pos="9704"/>
        </w:tabs>
        <w:spacing w:before="48"/>
        <w:ind w:left="1588"/>
      </w:pPr>
      <w:hyperlink w:anchor="_bookmark13" w:history="1">
        <w:r w:rsidR="009B7AFD">
          <w:rPr>
            <w:color w:val="231F20"/>
          </w:rPr>
          <w:t>Overview</w:t>
        </w:r>
        <w:r w:rsidR="009B7AFD">
          <w:rPr>
            <w:color w:val="231F20"/>
          </w:rPr>
          <w:tab/>
          <w:t>12</w:t>
        </w:r>
      </w:hyperlink>
    </w:p>
    <w:p w14:paraId="1C9A4E11" w14:textId="77777777" w:rsidR="00894070" w:rsidRDefault="009F6793">
      <w:pPr>
        <w:pStyle w:val="BodyText"/>
        <w:tabs>
          <w:tab w:val="right" w:leader="dot" w:pos="9704"/>
        </w:tabs>
        <w:spacing w:before="47"/>
        <w:ind w:left="1588"/>
      </w:pPr>
      <w:hyperlink w:anchor="_bookmark13" w:history="1">
        <w:r w:rsidR="009B7AFD">
          <w:rPr>
            <w:color w:val="231F20"/>
          </w:rPr>
          <w:t>How is</w:t>
        </w:r>
        <w:r w:rsidR="009B7AFD">
          <w:rPr>
            <w:color w:val="231F20"/>
            <w:spacing w:val="-5"/>
          </w:rPr>
          <w:t xml:space="preserve"> </w:t>
        </w:r>
        <w:r w:rsidR="009B7AFD">
          <w:rPr>
            <w:color w:val="231F20"/>
          </w:rPr>
          <w:t>stalking</w:t>
        </w:r>
        <w:r w:rsidR="009B7AFD">
          <w:rPr>
            <w:color w:val="231F20"/>
            <w:spacing w:val="-2"/>
          </w:rPr>
          <w:t xml:space="preserve"> </w:t>
        </w:r>
        <w:r w:rsidR="009B7AFD">
          <w:rPr>
            <w:color w:val="231F20"/>
          </w:rPr>
          <w:t>defined?</w:t>
        </w:r>
        <w:r w:rsidR="009B7AFD">
          <w:rPr>
            <w:color w:val="231F20"/>
          </w:rPr>
          <w:tab/>
          <w:t>12</w:t>
        </w:r>
      </w:hyperlink>
    </w:p>
    <w:p w14:paraId="66B1AC21" w14:textId="77777777" w:rsidR="00894070" w:rsidRDefault="009F6793">
      <w:pPr>
        <w:pStyle w:val="BodyText"/>
        <w:tabs>
          <w:tab w:val="right" w:leader="dot" w:pos="9701"/>
        </w:tabs>
        <w:spacing w:before="47"/>
        <w:ind w:left="1588"/>
      </w:pPr>
      <w:hyperlink w:anchor="_bookmark14" w:history="1">
        <w:r w:rsidR="009B7AFD">
          <w:rPr>
            <w:color w:val="231F20"/>
          </w:rPr>
          <w:t>How does stalking affect people who</w:t>
        </w:r>
        <w:r w:rsidR="009B7AFD">
          <w:rPr>
            <w:color w:val="231F20"/>
            <w:spacing w:val="-16"/>
          </w:rPr>
          <w:t xml:space="preserve"> </w:t>
        </w:r>
        <w:r w:rsidR="009B7AFD">
          <w:rPr>
            <w:color w:val="231F20"/>
          </w:rPr>
          <w:t>experience</w:t>
        </w:r>
        <w:r w:rsidR="009B7AFD">
          <w:rPr>
            <w:color w:val="231F20"/>
            <w:spacing w:val="-3"/>
          </w:rPr>
          <w:t xml:space="preserve"> </w:t>
        </w:r>
        <w:r w:rsidR="009B7AFD">
          <w:rPr>
            <w:color w:val="231F20"/>
          </w:rPr>
          <w:t>it?</w:t>
        </w:r>
        <w:r w:rsidR="009B7AFD">
          <w:rPr>
            <w:color w:val="231F20"/>
          </w:rPr>
          <w:tab/>
          <w:t>14</w:t>
        </w:r>
      </w:hyperlink>
    </w:p>
    <w:p w14:paraId="4925528B" w14:textId="77777777" w:rsidR="00894070" w:rsidRDefault="009F6793">
      <w:pPr>
        <w:pStyle w:val="BodyText"/>
        <w:tabs>
          <w:tab w:val="right" w:leader="dot" w:pos="9703"/>
        </w:tabs>
        <w:spacing w:before="48"/>
        <w:ind w:left="1588"/>
      </w:pPr>
      <w:hyperlink w:anchor="_bookmark15" w:history="1">
        <w:r w:rsidR="009B7AFD">
          <w:rPr>
            <w:color w:val="231F20"/>
          </w:rPr>
          <w:t>What does research suggest about stalking and the justice response</w:t>
        </w:r>
        <w:r w:rsidR="009B7AFD">
          <w:rPr>
            <w:color w:val="231F20"/>
            <w:spacing w:val="-31"/>
          </w:rPr>
          <w:t xml:space="preserve"> </w:t>
        </w:r>
        <w:r w:rsidR="009B7AFD">
          <w:rPr>
            <w:color w:val="231F20"/>
          </w:rPr>
          <w:t>to</w:t>
        </w:r>
        <w:r w:rsidR="009B7AFD">
          <w:rPr>
            <w:color w:val="231F20"/>
            <w:spacing w:val="-3"/>
          </w:rPr>
          <w:t xml:space="preserve"> </w:t>
        </w:r>
        <w:r w:rsidR="009B7AFD">
          <w:rPr>
            <w:color w:val="231F20"/>
          </w:rPr>
          <w:t>it?</w:t>
        </w:r>
        <w:r w:rsidR="009B7AFD">
          <w:rPr>
            <w:color w:val="231F20"/>
          </w:rPr>
          <w:tab/>
          <w:t>15</w:t>
        </w:r>
      </w:hyperlink>
    </w:p>
    <w:p w14:paraId="37DC6F32" w14:textId="77777777" w:rsidR="00894070" w:rsidRDefault="009F6793">
      <w:pPr>
        <w:pStyle w:val="BodyText"/>
        <w:tabs>
          <w:tab w:val="right" w:leader="dot" w:pos="9698"/>
        </w:tabs>
        <w:spacing w:before="41"/>
        <w:ind w:left="1871"/>
      </w:pPr>
      <w:hyperlink w:anchor="_bookmark16" w:history="1">
        <w:r w:rsidR="009B7AFD">
          <w:rPr>
            <w:color w:val="231F20"/>
          </w:rPr>
          <w:t>Stalking is widespread, gendered, and mostly linked to</w:t>
        </w:r>
        <w:r w:rsidR="009B7AFD">
          <w:rPr>
            <w:color w:val="231F20"/>
            <w:spacing w:val="-28"/>
          </w:rPr>
          <w:t xml:space="preserve"> </w:t>
        </w:r>
        <w:r w:rsidR="009B7AFD">
          <w:rPr>
            <w:color w:val="231F20"/>
          </w:rPr>
          <w:t>family</w:t>
        </w:r>
        <w:r w:rsidR="009B7AFD">
          <w:rPr>
            <w:color w:val="231F20"/>
            <w:spacing w:val="-4"/>
          </w:rPr>
          <w:t xml:space="preserve"> </w:t>
        </w:r>
        <w:r w:rsidR="009B7AFD">
          <w:rPr>
            <w:color w:val="231F20"/>
          </w:rPr>
          <w:t>violence</w:t>
        </w:r>
        <w:r w:rsidR="009B7AFD">
          <w:rPr>
            <w:color w:val="231F20"/>
          </w:rPr>
          <w:tab/>
        </w:r>
        <w:r w:rsidR="009B7AFD">
          <w:rPr>
            <w:color w:val="231F20"/>
            <w:spacing w:val="-3"/>
          </w:rPr>
          <w:t>16</w:t>
        </w:r>
      </w:hyperlink>
    </w:p>
    <w:p w14:paraId="1EA29CB2" w14:textId="77777777" w:rsidR="00894070" w:rsidRDefault="009F6793">
      <w:pPr>
        <w:pStyle w:val="BodyText"/>
        <w:tabs>
          <w:tab w:val="right" w:leader="dot" w:pos="9698"/>
        </w:tabs>
        <w:spacing w:before="42"/>
        <w:ind w:left="1871"/>
      </w:pPr>
      <w:hyperlink w:anchor="_bookmark16" w:history="1">
        <w:r w:rsidR="009B7AFD">
          <w:rPr>
            <w:color w:val="231F20"/>
          </w:rPr>
          <w:t>Most people who are stalked do not contact the police</w:t>
        </w:r>
        <w:r w:rsidR="009B7AFD">
          <w:rPr>
            <w:color w:val="231F20"/>
            <w:spacing w:val="-26"/>
          </w:rPr>
          <w:t xml:space="preserve"> </w:t>
        </w:r>
        <w:r w:rsidR="009B7AFD">
          <w:rPr>
            <w:color w:val="231F20"/>
          </w:rPr>
          <w:t>about</w:t>
        </w:r>
        <w:r w:rsidR="009B7AFD">
          <w:rPr>
            <w:color w:val="231F20"/>
            <w:spacing w:val="-3"/>
          </w:rPr>
          <w:t xml:space="preserve"> </w:t>
        </w:r>
        <w:proofErr w:type="gramStart"/>
        <w:r w:rsidR="009B7AFD">
          <w:rPr>
            <w:color w:val="231F20"/>
          </w:rPr>
          <w:t>it</w:t>
        </w:r>
        <w:proofErr w:type="gramEnd"/>
        <w:r w:rsidR="009B7AFD">
          <w:rPr>
            <w:color w:val="231F20"/>
          </w:rPr>
          <w:tab/>
        </w:r>
        <w:r w:rsidR="009B7AFD">
          <w:rPr>
            <w:color w:val="231F20"/>
            <w:spacing w:val="-3"/>
          </w:rPr>
          <w:t>16</w:t>
        </w:r>
      </w:hyperlink>
    </w:p>
    <w:p w14:paraId="5F620FBC" w14:textId="77777777" w:rsidR="00894070" w:rsidRDefault="009F6793">
      <w:pPr>
        <w:pStyle w:val="BodyText"/>
        <w:spacing w:before="41" w:line="256" w:lineRule="exact"/>
        <w:ind w:left="1871"/>
      </w:pPr>
      <w:hyperlink w:anchor="_bookmark17" w:history="1">
        <w:r w:rsidR="009B7AFD">
          <w:rPr>
            <w:color w:val="231F20"/>
          </w:rPr>
          <w:t>Around two-thirds of stalking offences reported to police resulted in charges—</w:t>
        </w:r>
      </w:hyperlink>
    </w:p>
    <w:p w14:paraId="50028C8B" w14:textId="77777777" w:rsidR="00894070" w:rsidRDefault="009F6793">
      <w:pPr>
        <w:pStyle w:val="BodyText"/>
        <w:tabs>
          <w:tab w:val="right" w:leader="dot" w:pos="9693"/>
        </w:tabs>
        <w:spacing w:line="256" w:lineRule="exact"/>
        <w:ind w:left="1871"/>
      </w:pPr>
      <w:hyperlink w:anchor="_bookmark17" w:history="1">
        <w:r w:rsidR="009B7AFD">
          <w:rPr>
            <w:color w:val="231F20"/>
          </w:rPr>
          <w:t>one-third resulted in a finding</w:t>
        </w:r>
        <w:r w:rsidR="009B7AFD">
          <w:rPr>
            <w:color w:val="231F20"/>
            <w:spacing w:val="-13"/>
          </w:rPr>
          <w:t xml:space="preserve"> </w:t>
        </w:r>
        <w:r w:rsidR="009B7AFD">
          <w:rPr>
            <w:color w:val="231F20"/>
          </w:rPr>
          <w:t>of</w:t>
        </w:r>
        <w:r w:rsidR="009B7AFD">
          <w:rPr>
            <w:color w:val="231F20"/>
            <w:spacing w:val="-2"/>
          </w:rPr>
          <w:t xml:space="preserve"> </w:t>
        </w:r>
        <w:r w:rsidR="009B7AFD">
          <w:rPr>
            <w:color w:val="231F20"/>
          </w:rPr>
          <w:t>guilt</w:t>
        </w:r>
        <w:r w:rsidR="009B7AFD">
          <w:rPr>
            <w:color w:val="231F20"/>
          </w:rPr>
          <w:tab/>
        </w:r>
        <w:r w:rsidR="009B7AFD">
          <w:rPr>
            <w:color w:val="231F20"/>
            <w:spacing w:val="-8"/>
          </w:rPr>
          <w:t>17</w:t>
        </w:r>
      </w:hyperlink>
    </w:p>
    <w:p w14:paraId="0CD683E5" w14:textId="77777777" w:rsidR="00894070" w:rsidRDefault="009F6793">
      <w:pPr>
        <w:pStyle w:val="BodyText"/>
        <w:tabs>
          <w:tab w:val="right" w:leader="dot" w:pos="9699"/>
        </w:tabs>
        <w:spacing w:before="42"/>
        <w:ind w:left="1871"/>
      </w:pPr>
      <w:hyperlink w:anchor="_bookmark18" w:history="1">
        <w:r w:rsidR="009B7AFD">
          <w:rPr>
            <w:color w:val="231F20"/>
          </w:rPr>
          <w:t>More stalking cases now relate to</w:t>
        </w:r>
        <w:r w:rsidR="009B7AFD">
          <w:rPr>
            <w:color w:val="231F20"/>
            <w:spacing w:val="-16"/>
          </w:rPr>
          <w:t xml:space="preserve"> </w:t>
        </w:r>
        <w:r w:rsidR="009B7AFD">
          <w:rPr>
            <w:color w:val="231F20"/>
          </w:rPr>
          <w:t>family</w:t>
        </w:r>
        <w:r w:rsidR="009B7AFD">
          <w:rPr>
            <w:color w:val="231F20"/>
            <w:spacing w:val="-3"/>
          </w:rPr>
          <w:t xml:space="preserve"> </w:t>
        </w:r>
        <w:r w:rsidR="009B7AFD">
          <w:rPr>
            <w:color w:val="231F20"/>
          </w:rPr>
          <w:t>violence</w:t>
        </w:r>
        <w:r w:rsidR="009B7AFD">
          <w:rPr>
            <w:color w:val="231F20"/>
          </w:rPr>
          <w:tab/>
          <w:t>18</w:t>
        </w:r>
      </w:hyperlink>
    </w:p>
    <w:p w14:paraId="1C8EA20A" w14:textId="77777777" w:rsidR="00894070" w:rsidRDefault="009F6793">
      <w:pPr>
        <w:pStyle w:val="BodyText"/>
        <w:tabs>
          <w:tab w:val="right" w:leader="dot" w:pos="9699"/>
        </w:tabs>
        <w:spacing w:before="41" w:line="253" w:lineRule="exact"/>
        <w:ind w:left="1872"/>
      </w:pPr>
      <w:hyperlink w:anchor="_bookmark18" w:history="1">
        <w:r w:rsidR="009B7AFD">
          <w:rPr>
            <w:color w:val="231F20"/>
          </w:rPr>
          <w:t>What else does the data suggest about stalking offences</w:t>
        </w:r>
        <w:r w:rsidR="009B7AFD">
          <w:rPr>
            <w:color w:val="231F20"/>
            <w:spacing w:val="-31"/>
          </w:rPr>
          <w:t xml:space="preserve"> </w:t>
        </w:r>
        <w:r w:rsidR="009B7AFD">
          <w:rPr>
            <w:color w:val="231F20"/>
          </w:rPr>
          <w:t>in</w:t>
        </w:r>
        <w:r w:rsidR="009B7AFD">
          <w:rPr>
            <w:color w:val="231F20"/>
            <w:spacing w:val="-3"/>
          </w:rPr>
          <w:t xml:space="preserve"> </w:t>
        </w:r>
        <w:r w:rsidR="009B7AFD">
          <w:rPr>
            <w:color w:val="231F20"/>
          </w:rPr>
          <w:t>Victoria?</w:t>
        </w:r>
        <w:r w:rsidR="009B7AFD">
          <w:rPr>
            <w:color w:val="231F20"/>
          </w:rPr>
          <w:tab/>
          <w:t>18</w:t>
        </w:r>
      </w:hyperlink>
    </w:p>
    <w:p w14:paraId="26EB15CD" w14:textId="77777777" w:rsidR="00894070" w:rsidRDefault="009B7AFD">
      <w:pPr>
        <w:spacing w:line="308" w:lineRule="exact"/>
        <w:ind w:right="281"/>
        <w:jc w:val="right"/>
        <w:rPr>
          <w:b/>
          <w:sz w:val="24"/>
        </w:rPr>
      </w:pPr>
      <w:r>
        <w:rPr>
          <w:b/>
          <w:color w:val="EA5B50"/>
          <w:sz w:val="24"/>
        </w:rPr>
        <w:t>iii</w:t>
      </w:r>
    </w:p>
    <w:p w14:paraId="23B02DD8" w14:textId="77777777" w:rsidR="00894070" w:rsidRDefault="00894070">
      <w:pPr>
        <w:spacing w:line="308" w:lineRule="exact"/>
        <w:jc w:val="right"/>
        <w:rPr>
          <w:sz w:val="24"/>
        </w:rPr>
        <w:sectPr w:rsidR="00894070">
          <w:pgSz w:w="11910" w:h="16840"/>
          <w:pgMar w:top="840" w:right="420" w:bottom="280" w:left="580" w:header="0" w:footer="0" w:gutter="0"/>
          <w:cols w:space="720"/>
        </w:sectPr>
      </w:pPr>
    </w:p>
    <w:p w14:paraId="38DB7F2D" w14:textId="77777777" w:rsidR="00894070" w:rsidRDefault="00894070">
      <w:pPr>
        <w:pStyle w:val="BodyText"/>
        <w:rPr>
          <w:b/>
          <w:sz w:val="22"/>
        </w:rPr>
      </w:pPr>
    </w:p>
    <w:p w14:paraId="57AAB4AB" w14:textId="77777777" w:rsidR="00894070" w:rsidRDefault="00894070">
      <w:pPr>
        <w:pStyle w:val="BodyText"/>
        <w:rPr>
          <w:b/>
          <w:sz w:val="22"/>
        </w:rPr>
      </w:pPr>
    </w:p>
    <w:p w14:paraId="4AE1DD5C" w14:textId="77777777" w:rsidR="00894070" w:rsidRDefault="00894070">
      <w:pPr>
        <w:pStyle w:val="BodyText"/>
        <w:spacing w:before="12"/>
        <w:rPr>
          <w:b/>
          <w:sz w:val="31"/>
        </w:rPr>
      </w:pPr>
    </w:p>
    <w:p w14:paraId="55F5F913" w14:textId="77777777" w:rsidR="00894070" w:rsidRDefault="009F6793">
      <w:pPr>
        <w:pStyle w:val="BodyText"/>
        <w:tabs>
          <w:tab w:val="left" w:leader="dot" w:pos="9491"/>
        </w:tabs>
        <w:ind w:left="1588"/>
      </w:pPr>
      <w:hyperlink w:anchor="_bookmark19" w:history="1">
        <w:r w:rsidR="009B7AFD">
          <w:rPr>
            <w:color w:val="231F20"/>
          </w:rPr>
          <w:t>There</w:t>
        </w:r>
        <w:r w:rsidR="009B7AFD">
          <w:rPr>
            <w:color w:val="231F20"/>
            <w:spacing w:val="-5"/>
          </w:rPr>
          <w:t xml:space="preserve"> </w:t>
        </w:r>
        <w:r w:rsidR="009B7AFD">
          <w:rPr>
            <w:color w:val="231F20"/>
          </w:rPr>
          <w:t>is</w:t>
        </w:r>
        <w:r w:rsidR="009B7AFD">
          <w:rPr>
            <w:color w:val="231F20"/>
            <w:spacing w:val="-4"/>
          </w:rPr>
          <w:t xml:space="preserve"> </w:t>
        </w:r>
        <w:r w:rsidR="009B7AFD">
          <w:rPr>
            <w:color w:val="231F20"/>
          </w:rPr>
          <w:t>a</w:t>
        </w:r>
        <w:r w:rsidR="009B7AFD">
          <w:rPr>
            <w:color w:val="231F20"/>
            <w:spacing w:val="-4"/>
          </w:rPr>
          <w:t xml:space="preserve"> </w:t>
        </w:r>
        <w:r w:rsidR="009B7AFD">
          <w:rPr>
            <w:color w:val="231F20"/>
          </w:rPr>
          <w:t>need</w:t>
        </w:r>
        <w:r w:rsidR="009B7AFD">
          <w:rPr>
            <w:color w:val="231F20"/>
            <w:spacing w:val="-5"/>
          </w:rPr>
          <w:t xml:space="preserve"> </w:t>
        </w:r>
        <w:r w:rsidR="009B7AFD">
          <w:rPr>
            <w:color w:val="231F20"/>
          </w:rPr>
          <w:t>for</w:t>
        </w:r>
        <w:r w:rsidR="009B7AFD">
          <w:rPr>
            <w:color w:val="231F20"/>
            <w:spacing w:val="-4"/>
          </w:rPr>
          <w:t xml:space="preserve"> </w:t>
        </w:r>
        <w:r w:rsidR="009B7AFD">
          <w:rPr>
            <w:color w:val="231F20"/>
          </w:rPr>
          <w:t>additional</w:t>
        </w:r>
        <w:r w:rsidR="009B7AFD">
          <w:rPr>
            <w:color w:val="231F20"/>
            <w:spacing w:val="-4"/>
          </w:rPr>
          <w:t xml:space="preserve"> </w:t>
        </w:r>
        <w:r w:rsidR="009B7AFD">
          <w:rPr>
            <w:color w:val="231F20"/>
          </w:rPr>
          <w:t>research</w:t>
        </w:r>
        <w:r w:rsidR="009B7AFD">
          <w:rPr>
            <w:color w:val="231F20"/>
            <w:spacing w:val="-5"/>
          </w:rPr>
          <w:t xml:space="preserve"> </w:t>
        </w:r>
        <w:r w:rsidR="009B7AFD">
          <w:rPr>
            <w:color w:val="231F20"/>
          </w:rPr>
          <w:t>and</w:t>
        </w:r>
        <w:r w:rsidR="009B7AFD">
          <w:rPr>
            <w:color w:val="231F20"/>
            <w:spacing w:val="-4"/>
          </w:rPr>
          <w:t xml:space="preserve"> </w:t>
        </w:r>
        <w:r w:rsidR="009B7AFD">
          <w:rPr>
            <w:color w:val="231F20"/>
          </w:rPr>
          <w:t>data</w:t>
        </w:r>
        <w:r w:rsidR="009B7AFD">
          <w:rPr>
            <w:color w:val="231F20"/>
            <w:spacing w:val="-4"/>
          </w:rPr>
          <w:t xml:space="preserve"> </w:t>
        </w:r>
        <w:r w:rsidR="009B7AFD">
          <w:rPr>
            <w:color w:val="231F20"/>
          </w:rPr>
          <w:t>on</w:t>
        </w:r>
        <w:r w:rsidR="009B7AFD">
          <w:rPr>
            <w:color w:val="231F20"/>
            <w:spacing w:val="-5"/>
          </w:rPr>
          <w:t xml:space="preserve"> </w:t>
        </w:r>
        <w:r w:rsidR="009B7AFD">
          <w:rPr>
            <w:color w:val="231F20"/>
          </w:rPr>
          <w:t>stalking</w:t>
        </w:r>
        <w:r w:rsidR="009B7AFD">
          <w:rPr>
            <w:color w:val="231F20"/>
          </w:rPr>
          <w:tab/>
          <w:t>23</w:t>
        </w:r>
      </w:hyperlink>
    </w:p>
    <w:p w14:paraId="586121E5" w14:textId="77777777" w:rsidR="00894070" w:rsidRDefault="009F6793">
      <w:pPr>
        <w:pStyle w:val="BodyText"/>
        <w:tabs>
          <w:tab w:val="right" w:leader="dot" w:pos="9703"/>
        </w:tabs>
        <w:spacing w:before="48"/>
        <w:ind w:left="1588"/>
      </w:pPr>
      <w:hyperlink w:anchor="_bookmark20" w:history="1">
        <w:r w:rsidR="009B7AFD">
          <w:rPr>
            <w:color w:val="231F20"/>
          </w:rPr>
          <w:t>Some communities appear to experience stalking at higher rates</w:t>
        </w:r>
        <w:r w:rsidR="009B7AFD">
          <w:rPr>
            <w:color w:val="231F20"/>
            <w:spacing w:val="-32"/>
          </w:rPr>
          <w:t xml:space="preserve"> </w:t>
        </w:r>
        <w:r w:rsidR="009B7AFD">
          <w:rPr>
            <w:color w:val="231F20"/>
          </w:rPr>
          <w:t>than</w:t>
        </w:r>
        <w:r w:rsidR="009B7AFD">
          <w:rPr>
            <w:color w:val="231F20"/>
            <w:spacing w:val="-3"/>
          </w:rPr>
          <w:t xml:space="preserve"> </w:t>
        </w:r>
        <w:r w:rsidR="009B7AFD">
          <w:rPr>
            <w:color w:val="231F20"/>
          </w:rPr>
          <w:t>average</w:t>
        </w:r>
        <w:r w:rsidR="009B7AFD">
          <w:rPr>
            <w:color w:val="231F20"/>
          </w:rPr>
          <w:tab/>
          <w:t>24</w:t>
        </w:r>
      </w:hyperlink>
    </w:p>
    <w:p w14:paraId="215E3FC9" w14:textId="77777777" w:rsidR="00894070" w:rsidRDefault="009F6793">
      <w:pPr>
        <w:pStyle w:val="BodyText"/>
        <w:tabs>
          <w:tab w:val="right" w:leader="dot" w:pos="9698"/>
        </w:tabs>
        <w:spacing w:before="47"/>
        <w:ind w:left="1588"/>
      </w:pPr>
      <w:hyperlink w:anchor="_bookmark21" w:history="1">
        <w:r w:rsidR="009B7AFD">
          <w:rPr>
            <w:color w:val="231F20"/>
          </w:rPr>
          <w:t>What are the barriers to reporting stalking and</w:t>
        </w:r>
        <w:r w:rsidR="009B7AFD">
          <w:rPr>
            <w:color w:val="231F20"/>
            <w:spacing w:val="-22"/>
          </w:rPr>
          <w:t xml:space="preserve"> </w:t>
        </w:r>
        <w:r w:rsidR="009B7AFD">
          <w:rPr>
            <w:color w:val="231F20"/>
          </w:rPr>
          <w:t>getting</w:t>
        </w:r>
        <w:r w:rsidR="009B7AFD">
          <w:rPr>
            <w:color w:val="231F20"/>
            <w:spacing w:val="-2"/>
          </w:rPr>
          <w:t xml:space="preserve"> </w:t>
        </w:r>
        <w:r w:rsidR="009B7AFD">
          <w:rPr>
            <w:color w:val="231F20"/>
          </w:rPr>
          <w:t>justice?</w:t>
        </w:r>
        <w:r w:rsidR="009B7AFD">
          <w:rPr>
            <w:color w:val="231F20"/>
          </w:rPr>
          <w:tab/>
        </w:r>
        <w:r w:rsidR="009B7AFD">
          <w:rPr>
            <w:color w:val="231F20"/>
            <w:spacing w:val="-3"/>
          </w:rPr>
          <w:t>27</w:t>
        </w:r>
      </w:hyperlink>
    </w:p>
    <w:p w14:paraId="37C1C395" w14:textId="77777777" w:rsidR="00894070" w:rsidRDefault="009F6793">
      <w:pPr>
        <w:numPr>
          <w:ilvl w:val="0"/>
          <w:numId w:val="1"/>
        </w:numPr>
        <w:tabs>
          <w:tab w:val="left" w:pos="1362"/>
          <w:tab w:val="right" w:leader="dot" w:pos="9702"/>
        </w:tabs>
        <w:spacing w:before="42"/>
        <w:ind w:hanging="340"/>
        <w:rPr>
          <w:b/>
          <w:sz w:val="20"/>
        </w:rPr>
      </w:pPr>
      <w:hyperlink w:anchor="_bookmark22" w:history="1">
        <w:r w:rsidR="009B7AFD">
          <w:rPr>
            <w:b/>
            <w:color w:val="EA5B50"/>
            <w:sz w:val="20"/>
          </w:rPr>
          <w:t>Responses</w:t>
        </w:r>
        <w:r w:rsidR="009B7AFD">
          <w:rPr>
            <w:b/>
            <w:color w:val="EA5B50"/>
            <w:spacing w:val="-3"/>
            <w:sz w:val="20"/>
          </w:rPr>
          <w:t xml:space="preserve"> </w:t>
        </w:r>
        <w:r w:rsidR="009B7AFD">
          <w:rPr>
            <w:b/>
            <w:color w:val="EA5B50"/>
            <w:sz w:val="20"/>
          </w:rPr>
          <w:t>to</w:t>
        </w:r>
        <w:r w:rsidR="009B7AFD">
          <w:rPr>
            <w:b/>
            <w:color w:val="EA5B50"/>
            <w:spacing w:val="-2"/>
            <w:sz w:val="20"/>
          </w:rPr>
          <w:t xml:space="preserve"> </w:t>
        </w:r>
        <w:r w:rsidR="009B7AFD">
          <w:rPr>
            <w:b/>
            <w:color w:val="EA5B50"/>
            <w:sz w:val="20"/>
          </w:rPr>
          <w:t>cyberstalking</w:t>
        </w:r>
        <w:r w:rsidR="009B7AFD">
          <w:rPr>
            <w:b/>
            <w:color w:val="EA5B50"/>
            <w:sz w:val="20"/>
          </w:rPr>
          <w:tab/>
          <w:t>32</w:t>
        </w:r>
      </w:hyperlink>
    </w:p>
    <w:p w14:paraId="1F79027F" w14:textId="77777777" w:rsidR="00894070" w:rsidRDefault="009F6793">
      <w:pPr>
        <w:pStyle w:val="BodyText"/>
        <w:tabs>
          <w:tab w:val="right" w:leader="dot" w:pos="9701"/>
        </w:tabs>
        <w:spacing w:before="47"/>
        <w:ind w:left="1588"/>
      </w:pPr>
      <w:hyperlink w:anchor="_bookmark22" w:history="1">
        <w:r w:rsidR="009B7AFD">
          <w:rPr>
            <w:color w:val="231F20"/>
          </w:rPr>
          <w:t>Overview</w:t>
        </w:r>
        <w:r w:rsidR="009B7AFD">
          <w:rPr>
            <w:color w:val="231F20"/>
          </w:rPr>
          <w:tab/>
          <w:t>32</w:t>
        </w:r>
      </w:hyperlink>
    </w:p>
    <w:p w14:paraId="0061940A" w14:textId="77777777" w:rsidR="00894070" w:rsidRDefault="009F6793">
      <w:pPr>
        <w:pStyle w:val="BodyText"/>
        <w:tabs>
          <w:tab w:val="right" w:leader="dot" w:pos="9701"/>
        </w:tabs>
        <w:spacing w:before="47"/>
        <w:ind w:left="1588"/>
      </w:pPr>
      <w:hyperlink w:anchor="_bookmark23" w:history="1">
        <w:r w:rsidR="009B7AFD">
          <w:rPr>
            <w:color w:val="231F20"/>
          </w:rPr>
          <w:t>Cyberstalking is a growing</w:t>
        </w:r>
        <w:r w:rsidR="009B7AFD">
          <w:rPr>
            <w:color w:val="231F20"/>
            <w:spacing w:val="-10"/>
          </w:rPr>
          <w:t xml:space="preserve"> </w:t>
        </w:r>
        <w:r w:rsidR="009B7AFD">
          <w:rPr>
            <w:color w:val="231F20"/>
          </w:rPr>
          <w:t>social</w:t>
        </w:r>
        <w:r w:rsidR="009B7AFD">
          <w:rPr>
            <w:color w:val="231F20"/>
            <w:spacing w:val="-2"/>
          </w:rPr>
          <w:t xml:space="preserve"> </w:t>
        </w:r>
        <w:r w:rsidR="009B7AFD">
          <w:rPr>
            <w:color w:val="231F20"/>
          </w:rPr>
          <w:t>problem</w:t>
        </w:r>
        <w:r w:rsidR="009B7AFD">
          <w:rPr>
            <w:color w:val="231F20"/>
          </w:rPr>
          <w:tab/>
          <w:t>33</w:t>
        </w:r>
      </w:hyperlink>
    </w:p>
    <w:p w14:paraId="3A78E534" w14:textId="77777777" w:rsidR="00894070" w:rsidRDefault="009F6793">
      <w:pPr>
        <w:pStyle w:val="BodyText"/>
        <w:tabs>
          <w:tab w:val="right" w:leader="dot" w:pos="9701"/>
        </w:tabs>
        <w:spacing w:before="48"/>
        <w:ind w:left="1588"/>
      </w:pPr>
      <w:hyperlink w:anchor="_bookmark23" w:history="1">
        <w:r w:rsidR="009B7AFD">
          <w:rPr>
            <w:color w:val="231F20"/>
          </w:rPr>
          <w:t>What</w:t>
        </w:r>
        <w:r w:rsidR="009B7AFD">
          <w:rPr>
            <w:color w:val="231F20"/>
            <w:spacing w:val="-3"/>
          </w:rPr>
          <w:t xml:space="preserve"> </w:t>
        </w:r>
        <w:r w:rsidR="009B7AFD">
          <w:rPr>
            <w:color w:val="231F20"/>
          </w:rPr>
          <w:t>is</w:t>
        </w:r>
        <w:r w:rsidR="009B7AFD">
          <w:rPr>
            <w:color w:val="231F20"/>
            <w:spacing w:val="-2"/>
          </w:rPr>
          <w:t xml:space="preserve"> </w:t>
        </w:r>
        <w:r w:rsidR="009B7AFD">
          <w:rPr>
            <w:color w:val="231F20"/>
          </w:rPr>
          <w:t>cyberstalking?</w:t>
        </w:r>
        <w:r w:rsidR="009B7AFD">
          <w:rPr>
            <w:color w:val="231F20"/>
          </w:rPr>
          <w:tab/>
          <w:t>33</w:t>
        </w:r>
      </w:hyperlink>
    </w:p>
    <w:p w14:paraId="4AFDBDC1" w14:textId="77777777" w:rsidR="00894070" w:rsidRDefault="009F6793">
      <w:pPr>
        <w:pStyle w:val="BodyText"/>
        <w:tabs>
          <w:tab w:val="right" w:leader="dot" w:pos="9702"/>
        </w:tabs>
        <w:spacing w:before="47"/>
        <w:ind w:left="1588"/>
      </w:pPr>
      <w:hyperlink w:anchor="_bookmark24" w:history="1">
        <w:r w:rsidR="009B7AFD">
          <w:rPr>
            <w:color w:val="231F20"/>
          </w:rPr>
          <w:t xml:space="preserve">Cyberstalking can </w:t>
        </w:r>
        <w:r w:rsidR="009B7AFD">
          <w:rPr>
            <w:color w:val="231F20"/>
            <w:spacing w:val="-3"/>
          </w:rPr>
          <w:t>have</w:t>
        </w:r>
        <w:r w:rsidR="009B7AFD">
          <w:rPr>
            <w:color w:val="231F20"/>
            <w:spacing w:val="-7"/>
          </w:rPr>
          <w:t xml:space="preserve"> </w:t>
        </w:r>
        <w:r w:rsidR="009B7AFD">
          <w:rPr>
            <w:color w:val="231F20"/>
          </w:rPr>
          <w:t>serious</w:t>
        </w:r>
        <w:r w:rsidR="009B7AFD">
          <w:rPr>
            <w:color w:val="231F20"/>
            <w:spacing w:val="-2"/>
          </w:rPr>
          <w:t xml:space="preserve"> </w:t>
        </w:r>
        <w:r w:rsidR="009B7AFD">
          <w:rPr>
            <w:color w:val="231F20"/>
          </w:rPr>
          <w:t>effects</w:t>
        </w:r>
        <w:r w:rsidR="009B7AFD">
          <w:rPr>
            <w:color w:val="231F20"/>
          </w:rPr>
          <w:tab/>
          <w:t>35</w:t>
        </w:r>
      </w:hyperlink>
    </w:p>
    <w:p w14:paraId="03657061" w14:textId="77777777" w:rsidR="00894070" w:rsidRDefault="009F6793">
      <w:pPr>
        <w:pStyle w:val="BodyText"/>
        <w:tabs>
          <w:tab w:val="right" w:leader="dot" w:pos="9702"/>
        </w:tabs>
        <w:spacing w:before="48"/>
        <w:ind w:left="1588"/>
      </w:pPr>
      <w:hyperlink w:anchor="_bookmark24" w:history="1">
        <w:r w:rsidR="009B7AFD">
          <w:rPr>
            <w:color w:val="231F20"/>
          </w:rPr>
          <w:t xml:space="preserve">What do </w:t>
        </w:r>
        <w:r w:rsidR="009B7AFD">
          <w:rPr>
            <w:color w:val="231F20"/>
            <w:spacing w:val="-3"/>
          </w:rPr>
          <w:t xml:space="preserve">we </w:t>
        </w:r>
        <w:r w:rsidR="009B7AFD">
          <w:rPr>
            <w:color w:val="231F20"/>
          </w:rPr>
          <w:t>know about cyberstalking in</w:t>
        </w:r>
        <w:r w:rsidR="009B7AFD">
          <w:rPr>
            <w:color w:val="231F20"/>
            <w:spacing w:val="-14"/>
          </w:rPr>
          <w:t xml:space="preserve"> </w:t>
        </w:r>
        <w:r w:rsidR="009B7AFD">
          <w:rPr>
            <w:color w:val="231F20"/>
          </w:rPr>
          <w:t>the</w:t>
        </w:r>
        <w:r w:rsidR="009B7AFD">
          <w:rPr>
            <w:color w:val="231F20"/>
            <w:spacing w:val="-2"/>
          </w:rPr>
          <w:t xml:space="preserve"> </w:t>
        </w:r>
        <w:r w:rsidR="009B7AFD">
          <w:rPr>
            <w:color w:val="231F20"/>
          </w:rPr>
          <w:t>community?</w:t>
        </w:r>
        <w:r w:rsidR="009B7AFD">
          <w:rPr>
            <w:color w:val="231F20"/>
          </w:rPr>
          <w:tab/>
          <w:t>35</w:t>
        </w:r>
      </w:hyperlink>
    </w:p>
    <w:p w14:paraId="6594F5DA" w14:textId="77777777" w:rsidR="00894070" w:rsidRDefault="009F6793">
      <w:pPr>
        <w:pStyle w:val="BodyText"/>
        <w:tabs>
          <w:tab w:val="right" w:leader="dot" w:pos="9704"/>
        </w:tabs>
        <w:spacing w:before="41"/>
        <w:ind w:left="1871"/>
      </w:pPr>
      <w:hyperlink w:anchor="_bookmark25" w:history="1">
        <w:r w:rsidR="009B7AFD">
          <w:rPr>
            <w:color w:val="231F20"/>
          </w:rPr>
          <w:t>How common</w:t>
        </w:r>
        <w:r w:rsidR="009B7AFD">
          <w:rPr>
            <w:color w:val="231F20"/>
            <w:spacing w:val="-5"/>
          </w:rPr>
          <w:t xml:space="preserve"> </w:t>
        </w:r>
        <w:r w:rsidR="009B7AFD">
          <w:rPr>
            <w:color w:val="231F20"/>
          </w:rPr>
          <w:t>is</w:t>
        </w:r>
        <w:r w:rsidR="009B7AFD">
          <w:rPr>
            <w:color w:val="231F20"/>
            <w:spacing w:val="-2"/>
          </w:rPr>
          <w:t xml:space="preserve"> </w:t>
        </w:r>
        <w:r w:rsidR="009B7AFD">
          <w:rPr>
            <w:color w:val="231F20"/>
          </w:rPr>
          <w:t>cyberstalking?</w:t>
        </w:r>
        <w:r w:rsidR="009B7AFD">
          <w:rPr>
            <w:color w:val="231F20"/>
          </w:rPr>
          <w:tab/>
          <w:t>36</w:t>
        </w:r>
      </w:hyperlink>
    </w:p>
    <w:p w14:paraId="1EA8AA60" w14:textId="77777777" w:rsidR="00894070" w:rsidRDefault="009F6793">
      <w:pPr>
        <w:pStyle w:val="BodyText"/>
        <w:tabs>
          <w:tab w:val="right" w:leader="dot" w:pos="9704"/>
        </w:tabs>
        <w:spacing w:before="42"/>
        <w:ind w:left="1871"/>
      </w:pPr>
      <w:hyperlink w:anchor="_bookmark25" w:history="1">
        <w:r w:rsidR="009B7AFD">
          <w:rPr>
            <w:color w:val="231F20"/>
          </w:rPr>
          <w:t>Cyberstalking</w:t>
        </w:r>
        <w:r w:rsidR="009B7AFD">
          <w:rPr>
            <w:color w:val="231F20"/>
            <w:spacing w:val="-3"/>
          </w:rPr>
          <w:t xml:space="preserve"> </w:t>
        </w:r>
        <w:r w:rsidR="009B7AFD">
          <w:rPr>
            <w:color w:val="231F20"/>
          </w:rPr>
          <w:t>is</w:t>
        </w:r>
        <w:r w:rsidR="009B7AFD">
          <w:rPr>
            <w:color w:val="231F20"/>
            <w:spacing w:val="-2"/>
          </w:rPr>
          <w:t xml:space="preserve"> </w:t>
        </w:r>
        <w:r w:rsidR="009B7AFD">
          <w:rPr>
            <w:color w:val="231F20"/>
          </w:rPr>
          <w:t>gendered</w:t>
        </w:r>
        <w:r w:rsidR="009B7AFD">
          <w:rPr>
            <w:color w:val="231F20"/>
          </w:rPr>
          <w:tab/>
          <w:t>36</w:t>
        </w:r>
      </w:hyperlink>
    </w:p>
    <w:p w14:paraId="479CFA38" w14:textId="77777777" w:rsidR="00894070" w:rsidRDefault="009F6793">
      <w:pPr>
        <w:pStyle w:val="BodyText"/>
        <w:tabs>
          <w:tab w:val="right" w:leader="dot" w:pos="9697"/>
        </w:tabs>
        <w:spacing w:before="41"/>
        <w:ind w:left="1872"/>
      </w:pPr>
      <w:hyperlink w:anchor="_bookmark26" w:history="1">
        <w:r w:rsidR="009B7AFD">
          <w:rPr>
            <w:color w:val="231F20"/>
          </w:rPr>
          <w:t>Cyberstalking affects a range</w:t>
        </w:r>
        <w:r w:rsidR="009B7AFD">
          <w:rPr>
            <w:color w:val="231F20"/>
            <w:spacing w:val="-10"/>
          </w:rPr>
          <w:t xml:space="preserve"> </w:t>
        </w:r>
        <w:r w:rsidR="009B7AFD">
          <w:rPr>
            <w:color w:val="231F20"/>
          </w:rPr>
          <w:t>of</w:t>
        </w:r>
        <w:r w:rsidR="009B7AFD">
          <w:rPr>
            <w:color w:val="231F20"/>
            <w:spacing w:val="-2"/>
          </w:rPr>
          <w:t xml:space="preserve"> </w:t>
        </w:r>
        <w:r w:rsidR="009B7AFD">
          <w:rPr>
            <w:color w:val="231F20"/>
          </w:rPr>
          <w:t>people</w:t>
        </w:r>
        <w:r w:rsidR="009B7AFD">
          <w:rPr>
            <w:color w:val="231F20"/>
          </w:rPr>
          <w:tab/>
        </w:r>
        <w:r w:rsidR="009B7AFD">
          <w:rPr>
            <w:color w:val="231F20"/>
            <w:spacing w:val="-4"/>
          </w:rPr>
          <w:t>37</w:t>
        </w:r>
      </w:hyperlink>
    </w:p>
    <w:p w14:paraId="6C380BE9" w14:textId="77777777" w:rsidR="00894070" w:rsidRDefault="009F6793">
      <w:pPr>
        <w:pStyle w:val="BodyText"/>
        <w:tabs>
          <w:tab w:val="right" w:leader="dot" w:pos="9697"/>
        </w:tabs>
        <w:spacing w:before="41"/>
        <w:ind w:left="1871"/>
      </w:pPr>
      <w:hyperlink w:anchor="_bookmark26" w:history="1">
        <w:r w:rsidR="009B7AFD">
          <w:rPr>
            <w:color w:val="231F20"/>
          </w:rPr>
          <w:t xml:space="preserve">Children and young people </w:t>
        </w:r>
        <w:r w:rsidR="009B7AFD">
          <w:rPr>
            <w:color w:val="231F20"/>
            <w:spacing w:val="-3"/>
          </w:rPr>
          <w:t xml:space="preserve">have </w:t>
        </w:r>
        <w:r w:rsidR="009B7AFD">
          <w:rPr>
            <w:color w:val="231F20"/>
          </w:rPr>
          <w:t>a different experience</w:t>
        </w:r>
        <w:r w:rsidR="009B7AFD">
          <w:rPr>
            <w:color w:val="231F20"/>
            <w:spacing w:val="-30"/>
          </w:rPr>
          <w:t xml:space="preserve"> </w:t>
        </w:r>
        <w:r w:rsidR="009B7AFD">
          <w:rPr>
            <w:color w:val="231F20"/>
          </w:rPr>
          <w:t>of</w:t>
        </w:r>
        <w:r w:rsidR="009B7AFD">
          <w:rPr>
            <w:color w:val="231F20"/>
            <w:spacing w:val="-4"/>
          </w:rPr>
          <w:t xml:space="preserve"> </w:t>
        </w:r>
        <w:r w:rsidR="009B7AFD">
          <w:rPr>
            <w:color w:val="231F20"/>
          </w:rPr>
          <w:t>cyberstalking</w:t>
        </w:r>
        <w:r w:rsidR="009B7AFD">
          <w:rPr>
            <w:color w:val="231F20"/>
          </w:rPr>
          <w:tab/>
        </w:r>
        <w:r w:rsidR="009B7AFD">
          <w:rPr>
            <w:color w:val="231F20"/>
            <w:spacing w:val="-4"/>
          </w:rPr>
          <w:t>37</w:t>
        </w:r>
      </w:hyperlink>
    </w:p>
    <w:p w14:paraId="3D2DD41E" w14:textId="77777777" w:rsidR="00894070" w:rsidRDefault="009F6793">
      <w:pPr>
        <w:pStyle w:val="BodyText"/>
        <w:tabs>
          <w:tab w:val="right" w:leader="dot" w:pos="9702"/>
        </w:tabs>
        <w:spacing w:before="48"/>
        <w:ind w:left="1588"/>
      </w:pPr>
      <w:hyperlink w:anchor="_bookmark27" w:history="1">
        <w:r w:rsidR="009B7AFD">
          <w:rPr>
            <w:color w:val="231F20"/>
          </w:rPr>
          <w:t>What are the legal and regulatory responses</w:t>
        </w:r>
        <w:r w:rsidR="009B7AFD">
          <w:rPr>
            <w:color w:val="231F20"/>
            <w:spacing w:val="-20"/>
          </w:rPr>
          <w:t xml:space="preserve"> </w:t>
        </w:r>
        <w:r w:rsidR="009B7AFD">
          <w:rPr>
            <w:color w:val="231F20"/>
          </w:rPr>
          <w:t>to</w:t>
        </w:r>
        <w:r w:rsidR="009B7AFD">
          <w:rPr>
            <w:color w:val="231F20"/>
            <w:spacing w:val="-2"/>
          </w:rPr>
          <w:t xml:space="preserve"> </w:t>
        </w:r>
        <w:r w:rsidR="009B7AFD">
          <w:rPr>
            <w:color w:val="231F20"/>
          </w:rPr>
          <w:t>cyberstalking?</w:t>
        </w:r>
        <w:r w:rsidR="009B7AFD">
          <w:rPr>
            <w:color w:val="231F20"/>
          </w:rPr>
          <w:tab/>
          <w:t>38</w:t>
        </w:r>
      </w:hyperlink>
    </w:p>
    <w:p w14:paraId="222F6116" w14:textId="77777777" w:rsidR="00894070" w:rsidRDefault="009F6793">
      <w:pPr>
        <w:pStyle w:val="BodyText"/>
        <w:tabs>
          <w:tab w:val="right" w:leader="dot" w:pos="9700"/>
        </w:tabs>
        <w:spacing w:before="41"/>
        <w:ind w:left="1872"/>
      </w:pPr>
      <w:hyperlink w:anchor="_bookmark28" w:history="1">
        <w:r w:rsidR="009B7AFD">
          <w:rPr>
            <w:color w:val="231F20"/>
          </w:rPr>
          <w:t>Complexities of the legal and</w:t>
        </w:r>
        <w:r w:rsidR="009B7AFD">
          <w:rPr>
            <w:color w:val="231F20"/>
            <w:spacing w:val="-13"/>
          </w:rPr>
          <w:t xml:space="preserve"> </w:t>
        </w:r>
        <w:r w:rsidR="009B7AFD">
          <w:rPr>
            <w:color w:val="231F20"/>
          </w:rPr>
          <w:t>regulatory</w:t>
        </w:r>
        <w:r w:rsidR="009B7AFD">
          <w:rPr>
            <w:color w:val="231F20"/>
            <w:spacing w:val="-2"/>
          </w:rPr>
          <w:t xml:space="preserve"> </w:t>
        </w:r>
        <w:r w:rsidR="009B7AFD">
          <w:rPr>
            <w:color w:val="231F20"/>
          </w:rPr>
          <w:t>responses</w:t>
        </w:r>
        <w:r w:rsidR="009B7AFD">
          <w:rPr>
            <w:color w:val="231F20"/>
          </w:rPr>
          <w:tab/>
          <w:t>40</w:t>
        </w:r>
      </w:hyperlink>
    </w:p>
    <w:p w14:paraId="0EAC48D6" w14:textId="77777777" w:rsidR="00894070" w:rsidRDefault="009F6793">
      <w:pPr>
        <w:pStyle w:val="BodyText"/>
        <w:tabs>
          <w:tab w:val="right" w:leader="dot" w:pos="9700"/>
        </w:tabs>
        <w:spacing w:before="48"/>
        <w:ind w:left="1588"/>
      </w:pPr>
      <w:hyperlink w:anchor="_bookmark29" w:history="1">
        <w:r w:rsidR="009B7AFD">
          <w:rPr>
            <w:color w:val="231F20"/>
          </w:rPr>
          <w:t>What are the barriers to seeking help</w:t>
        </w:r>
        <w:r w:rsidR="009B7AFD">
          <w:rPr>
            <w:color w:val="231F20"/>
            <w:spacing w:val="-18"/>
          </w:rPr>
          <w:t xml:space="preserve"> </w:t>
        </w:r>
        <w:r w:rsidR="009B7AFD">
          <w:rPr>
            <w:color w:val="231F20"/>
          </w:rPr>
          <w:t>for</w:t>
        </w:r>
        <w:r w:rsidR="009B7AFD">
          <w:rPr>
            <w:color w:val="231F20"/>
            <w:spacing w:val="-3"/>
          </w:rPr>
          <w:t xml:space="preserve"> </w:t>
        </w:r>
        <w:r w:rsidR="009B7AFD">
          <w:rPr>
            <w:color w:val="231F20"/>
          </w:rPr>
          <w:t>cyberstalking?</w:t>
        </w:r>
        <w:r w:rsidR="009B7AFD">
          <w:rPr>
            <w:color w:val="231F20"/>
          </w:rPr>
          <w:tab/>
          <w:t>41</w:t>
        </w:r>
      </w:hyperlink>
    </w:p>
    <w:p w14:paraId="0272E3EE" w14:textId="77777777" w:rsidR="00894070" w:rsidRDefault="009F6793">
      <w:pPr>
        <w:pStyle w:val="BodyText"/>
        <w:tabs>
          <w:tab w:val="right" w:leader="dot" w:pos="9700"/>
        </w:tabs>
        <w:spacing w:before="47"/>
        <w:ind w:left="1588"/>
      </w:pPr>
      <w:hyperlink w:anchor="_bookmark29" w:history="1">
        <w:r w:rsidR="009B7AFD">
          <w:rPr>
            <w:color w:val="231F20"/>
          </w:rPr>
          <w:t>There should be public education</w:t>
        </w:r>
        <w:r w:rsidR="009B7AFD">
          <w:rPr>
            <w:color w:val="231F20"/>
            <w:spacing w:val="-12"/>
          </w:rPr>
          <w:t xml:space="preserve"> </w:t>
        </w:r>
        <w:r w:rsidR="009B7AFD">
          <w:rPr>
            <w:color w:val="231F20"/>
          </w:rPr>
          <w:t>about</w:t>
        </w:r>
        <w:r w:rsidR="009B7AFD">
          <w:rPr>
            <w:color w:val="231F20"/>
            <w:spacing w:val="-3"/>
          </w:rPr>
          <w:t xml:space="preserve"> </w:t>
        </w:r>
        <w:r w:rsidR="009B7AFD">
          <w:rPr>
            <w:color w:val="231F20"/>
          </w:rPr>
          <w:t>cyberstalking</w:t>
        </w:r>
        <w:r w:rsidR="009B7AFD">
          <w:rPr>
            <w:color w:val="231F20"/>
          </w:rPr>
          <w:tab/>
          <w:t>41</w:t>
        </w:r>
      </w:hyperlink>
    </w:p>
    <w:p w14:paraId="0C9EDF0E" w14:textId="77777777" w:rsidR="00894070" w:rsidRDefault="009F6793">
      <w:pPr>
        <w:pStyle w:val="BodyText"/>
        <w:tabs>
          <w:tab w:val="right" w:leader="dot" w:pos="9702"/>
        </w:tabs>
        <w:spacing w:before="42"/>
        <w:ind w:left="1871"/>
      </w:pPr>
      <w:hyperlink w:anchor="_bookmark30" w:history="1">
        <w:r w:rsidR="009B7AFD">
          <w:rPr>
            <w:color w:val="231F20"/>
          </w:rPr>
          <w:t>What information about cyberstalking</w:t>
        </w:r>
        <w:r w:rsidR="009B7AFD">
          <w:rPr>
            <w:color w:val="231F20"/>
            <w:spacing w:val="-10"/>
          </w:rPr>
          <w:t xml:space="preserve"> </w:t>
        </w:r>
        <w:r w:rsidR="009B7AFD">
          <w:rPr>
            <w:color w:val="231F20"/>
          </w:rPr>
          <w:t>is</w:t>
        </w:r>
        <w:r w:rsidR="009B7AFD">
          <w:rPr>
            <w:color w:val="231F20"/>
            <w:spacing w:val="-2"/>
          </w:rPr>
          <w:t xml:space="preserve"> </w:t>
        </w:r>
        <w:r w:rsidR="009B7AFD">
          <w:rPr>
            <w:color w:val="231F20"/>
          </w:rPr>
          <w:t>important?</w:t>
        </w:r>
        <w:r w:rsidR="009B7AFD">
          <w:rPr>
            <w:color w:val="231F20"/>
          </w:rPr>
          <w:tab/>
          <w:t>42</w:t>
        </w:r>
      </w:hyperlink>
    </w:p>
    <w:p w14:paraId="45DFDB67" w14:textId="77777777" w:rsidR="00894070" w:rsidRDefault="009F6793">
      <w:pPr>
        <w:pStyle w:val="BodyText"/>
        <w:tabs>
          <w:tab w:val="right" w:leader="dot" w:pos="9702"/>
        </w:tabs>
        <w:spacing w:before="41"/>
        <w:ind w:left="1871"/>
      </w:pPr>
      <w:hyperlink w:anchor="_bookmark30" w:history="1">
        <w:r w:rsidR="009B7AFD">
          <w:rPr>
            <w:color w:val="231F20"/>
          </w:rPr>
          <w:t>How should public education</w:t>
        </w:r>
        <w:r w:rsidR="009B7AFD">
          <w:rPr>
            <w:color w:val="231F20"/>
            <w:spacing w:val="-10"/>
          </w:rPr>
          <w:t xml:space="preserve"> </w:t>
        </w:r>
        <w:r w:rsidR="009B7AFD">
          <w:rPr>
            <w:color w:val="231F20"/>
          </w:rPr>
          <w:t>be</w:t>
        </w:r>
        <w:r w:rsidR="009B7AFD">
          <w:rPr>
            <w:color w:val="231F20"/>
            <w:spacing w:val="-2"/>
          </w:rPr>
          <w:t xml:space="preserve"> </w:t>
        </w:r>
        <w:r w:rsidR="009B7AFD">
          <w:rPr>
            <w:color w:val="231F20"/>
          </w:rPr>
          <w:t>delivered?</w:t>
        </w:r>
        <w:r w:rsidR="009B7AFD">
          <w:rPr>
            <w:color w:val="231F20"/>
          </w:rPr>
          <w:tab/>
          <w:t>42</w:t>
        </w:r>
      </w:hyperlink>
    </w:p>
    <w:p w14:paraId="37F0DB8C" w14:textId="77777777" w:rsidR="00894070" w:rsidRDefault="009F6793">
      <w:pPr>
        <w:pStyle w:val="BodyText"/>
        <w:tabs>
          <w:tab w:val="right" w:leader="dot" w:pos="9701"/>
        </w:tabs>
        <w:spacing w:before="48"/>
        <w:ind w:left="1588"/>
      </w:pPr>
      <w:hyperlink w:anchor="_bookmark31" w:history="1">
        <w:r w:rsidR="009B7AFD">
          <w:rPr>
            <w:color w:val="231F20"/>
          </w:rPr>
          <w:t>Where can people get help and support</w:t>
        </w:r>
        <w:r w:rsidR="009B7AFD">
          <w:rPr>
            <w:color w:val="231F20"/>
            <w:spacing w:val="-17"/>
          </w:rPr>
          <w:t xml:space="preserve"> </w:t>
        </w:r>
        <w:r w:rsidR="009B7AFD">
          <w:rPr>
            <w:color w:val="231F20"/>
          </w:rPr>
          <w:t>for</w:t>
        </w:r>
        <w:r w:rsidR="009B7AFD">
          <w:rPr>
            <w:color w:val="231F20"/>
            <w:spacing w:val="-2"/>
          </w:rPr>
          <w:t xml:space="preserve"> </w:t>
        </w:r>
        <w:r w:rsidR="009B7AFD">
          <w:rPr>
            <w:color w:val="231F20"/>
          </w:rPr>
          <w:t>cyberstalking?</w:t>
        </w:r>
        <w:r w:rsidR="009B7AFD">
          <w:rPr>
            <w:color w:val="231F20"/>
          </w:rPr>
          <w:tab/>
        </w:r>
        <w:r w:rsidR="009B7AFD">
          <w:rPr>
            <w:color w:val="231F20"/>
            <w:spacing w:val="-3"/>
          </w:rPr>
          <w:t>43</w:t>
        </w:r>
      </w:hyperlink>
    </w:p>
    <w:p w14:paraId="2E234BF3" w14:textId="77777777" w:rsidR="00894070" w:rsidRDefault="009F6793">
      <w:pPr>
        <w:pStyle w:val="BodyText"/>
        <w:tabs>
          <w:tab w:val="right" w:leader="dot" w:pos="9700"/>
        </w:tabs>
        <w:spacing w:before="47"/>
        <w:ind w:left="1588"/>
      </w:pPr>
      <w:hyperlink w:anchor="_bookmark32" w:history="1">
        <w:r w:rsidR="009B7AFD">
          <w:rPr>
            <w:color w:val="231F20"/>
          </w:rPr>
          <w:t>People who experience cyberstalking need</w:t>
        </w:r>
        <w:r w:rsidR="009B7AFD">
          <w:rPr>
            <w:color w:val="231F20"/>
            <w:spacing w:val="-12"/>
          </w:rPr>
          <w:t xml:space="preserve"> </w:t>
        </w:r>
        <w:r w:rsidR="009B7AFD">
          <w:rPr>
            <w:color w:val="231F20"/>
          </w:rPr>
          <w:t>more</w:t>
        </w:r>
        <w:r w:rsidR="009B7AFD">
          <w:rPr>
            <w:color w:val="231F20"/>
            <w:spacing w:val="-2"/>
          </w:rPr>
          <w:t xml:space="preserve"> </w:t>
        </w:r>
        <w:r w:rsidR="009B7AFD">
          <w:rPr>
            <w:color w:val="231F20"/>
          </w:rPr>
          <w:t>support</w:t>
        </w:r>
        <w:r w:rsidR="009B7AFD">
          <w:rPr>
            <w:color w:val="231F20"/>
          </w:rPr>
          <w:tab/>
          <w:t>45</w:t>
        </w:r>
      </w:hyperlink>
    </w:p>
    <w:p w14:paraId="1B2564B3" w14:textId="77777777" w:rsidR="00894070" w:rsidRDefault="009F6793">
      <w:pPr>
        <w:pStyle w:val="BodyText"/>
        <w:tabs>
          <w:tab w:val="right" w:leader="dot" w:pos="9700"/>
        </w:tabs>
        <w:spacing w:before="41"/>
        <w:ind w:left="1871"/>
      </w:pPr>
      <w:hyperlink w:anchor="_bookmark32" w:history="1">
        <w:r w:rsidR="009B7AFD">
          <w:rPr>
            <w:color w:val="231F20"/>
          </w:rPr>
          <w:t>Support needs to</w:t>
        </w:r>
        <w:r w:rsidR="009B7AFD">
          <w:rPr>
            <w:color w:val="231F20"/>
            <w:spacing w:val="-7"/>
          </w:rPr>
          <w:t xml:space="preserve"> </w:t>
        </w:r>
        <w:r w:rsidR="009B7AFD">
          <w:rPr>
            <w:color w:val="231F20"/>
          </w:rPr>
          <w:t>be</w:t>
        </w:r>
        <w:r w:rsidR="009B7AFD">
          <w:rPr>
            <w:color w:val="231F20"/>
            <w:spacing w:val="-2"/>
          </w:rPr>
          <w:t xml:space="preserve"> </w:t>
        </w:r>
        <w:r w:rsidR="009B7AFD">
          <w:rPr>
            <w:color w:val="231F20"/>
          </w:rPr>
          <w:t>practical</w:t>
        </w:r>
        <w:r w:rsidR="009B7AFD">
          <w:rPr>
            <w:color w:val="231F20"/>
          </w:rPr>
          <w:tab/>
          <w:t>45</w:t>
        </w:r>
      </w:hyperlink>
    </w:p>
    <w:p w14:paraId="0494DC15" w14:textId="77777777" w:rsidR="00894070" w:rsidRDefault="009F6793">
      <w:pPr>
        <w:pStyle w:val="BodyText"/>
        <w:tabs>
          <w:tab w:val="right" w:leader="dot" w:pos="9701"/>
        </w:tabs>
        <w:spacing w:before="42"/>
        <w:ind w:left="1871"/>
      </w:pPr>
      <w:hyperlink w:anchor="_bookmark33" w:history="1">
        <w:r w:rsidR="009B7AFD">
          <w:rPr>
            <w:color w:val="231F20"/>
          </w:rPr>
          <w:t>Support needs to</w:t>
        </w:r>
        <w:r w:rsidR="009B7AFD">
          <w:rPr>
            <w:color w:val="231F20"/>
            <w:spacing w:val="-7"/>
          </w:rPr>
          <w:t xml:space="preserve"> </w:t>
        </w:r>
        <w:r w:rsidR="009B7AFD">
          <w:rPr>
            <w:color w:val="231F20"/>
          </w:rPr>
          <w:t>be</w:t>
        </w:r>
        <w:r w:rsidR="009B7AFD">
          <w:rPr>
            <w:color w:val="231F20"/>
            <w:spacing w:val="-2"/>
          </w:rPr>
          <w:t xml:space="preserve"> </w:t>
        </w:r>
        <w:r w:rsidR="009B7AFD">
          <w:rPr>
            <w:color w:val="231F20"/>
          </w:rPr>
          <w:t>timely</w:t>
        </w:r>
        <w:r w:rsidR="009B7AFD">
          <w:rPr>
            <w:color w:val="231F20"/>
          </w:rPr>
          <w:tab/>
          <w:t>46</w:t>
        </w:r>
      </w:hyperlink>
    </w:p>
    <w:p w14:paraId="5DCBB5D1" w14:textId="77777777" w:rsidR="00894070" w:rsidRDefault="009F6793">
      <w:pPr>
        <w:pStyle w:val="BodyText"/>
        <w:tabs>
          <w:tab w:val="right" w:leader="dot" w:pos="9701"/>
        </w:tabs>
        <w:spacing w:before="41"/>
        <w:ind w:left="1871"/>
      </w:pPr>
      <w:hyperlink w:anchor="_bookmark33" w:history="1">
        <w:r w:rsidR="009B7AFD">
          <w:rPr>
            <w:color w:val="231F20"/>
          </w:rPr>
          <w:t>Support needs to be regulated</w:t>
        </w:r>
        <w:r w:rsidR="009B7AFD">
          <w:rPr>
            <w:color w:val="231F20"/>
            <w:spacing w:val="-11"/>
          </w:rPr>
          <w:t xml:space="preserve"> </w:t>
        </w:r>
        <w:r w:rsidR="009B7AFD">
          <w:rPr>
            <w:color w:val="231F20"/>
          </w:rPr>
          <w:t>and</w:t>
        </w:r>
        <w:r w:rsidR="009B7AFD">
          <w:rPr>
            <w:color w:val="231F20"/>
            <w:spacing w:val="-2"/>
          </w:rPr>
          <w:t xml:space="preserve"> </w:t>
        </w:r>
        <w:r w:rsidR="009B7AFD">
          <w:rPr>
            <w:color w:val="231F20"/>
          </w:rPr>
          <w:t>safe</w:t>
        </w:r>
        <w:r w:rsidR="009B7AFD">
          <w:rPr>
            <w:color w:val="231F20"/>
          </w:rPr>
          <w:tab/>
          <w:t>46</w:t>
        </w:r>
      </w:hyperlink>
    </w:p>
    <w:p w14:paraId="6B0B08DC" w14:textId="77777777" w:rsidR="00894070" w:rsidRDefault="009F6793">
      <w:pPr>
        <w:pStyle w:val="BodyText"/>
        <w:tabs>
          <w:tab w:val="right" w:leader="dot" w:pos="9695"/>
        </w:tabs>
        <w:spacing w:before="48"/>
        <w:ind w:left="1588"/>
      </w:pPr>
      <w:hyperlink w:anchor="_bookmark34" w:history="1">
        <w:r w:rsidR="009B7AFD">
          <w:rPr>
            <w:color w:val="231F20"/>
          </w:rPr>
          <w:t>Police responses to cyberstalking need</w:t>
        </w:r>
        <w:r w:rsidR="009B7AFD">
          <w:rPr>
            <w:color w:val="231F20"/>
            <w:spacing w:val="-12"/>
          </w:rPr>
          <w:t xml:space="preserve"> </w:t>
        </w:r>
        <w:r w:rsidR="009B7AFD">
          <w:rPr>
            <w:color w:val="231F20"/>
          </w:rPr>
          <w:t>to</w:t>
        </w:r>
        <w:r w:rsidR="009B7AFD">
          <w:rPr>
            <w:color w:val="231F20"/>
            <w:spacing w:val="-2"/>
          </w:rPr>
          <w:t xml:space="preserve"> </w:t>
        </w:r>
        <w:r w:rsidR="009B7AFD">
          <w:rPr>
            <w:color w:val="231F20"/>
            <w:spacing w:val="-3"/>
          </w:rPr>
          <w:t>improve</w:t>
        </w:r>
        <w:r w:rsidR="009B7AFD">
          <w:rPr>
            <w:color w:val="231F20"/>
            <w:spacing w:val="-3"/>
          </w:rPr>
          <w:tab/>
        </w:r>
        <w:r w:rsidR="009B7AFD">
          <w:rPr>
            <w:color w:val="231F20"/>
            <w:spacing w:val="-6"/>
          </w:rPr>
          <w:t>47</w:t>
        </w:r>
      </w:hyperlink>
    </w:p>
    <w:p w14:paraId="215FDC61" w14:textId="77777777" w:rsidR="00894070" w:rsidRDefault="009F6793">
      <w:pPr>
        <w:pStyle w:val="BodyText"/>
        <w:tabs>
          <w:tab w:val="right" w:leader="dot" w:pos="9701"/>
        </w:tabs>
        <w:spacing w:before="41"/>
        <w:ind w:left="1872"/>
      </w:pPr>
      <w:hyperlink w:anchor="_bookmark35" w:history="1">
        <w:r w:rsidR="009B7AFD">
          <w:rPr>
            <w:color w:val="231F20"/>
          </w:rPr>
          <w:t>The police response too often</w:t>
        </w:r>
        <w:r w:rsidR="009B7AFD">
          <w:rPr>
            <w:color w:val="231F20"/>
            <w:spacing w:val="-14"/>
          </w:rPr>
          <w:t xml:space="preserve"> </w:t>
        </w:r>
        <w:r w:rsidR="009B7AFD">
          <w:rPr>
            <w:color w:val="231F20"/>
          </w:rPr>
          <w:t>includes</w:t>
        </w:r>
        <w:r w:rsidR="009B7AFD">
          <w:rPr>
            <w:color w:val="231F20"/>
            <w:spacing w:val="-2"/>
          </w:rPr>
          <w:t xml:space="preserve"> </w:t>
        </w:r>
        <w:r w:rsidR="009B7AFD">
          <w:rPr>
            <w:color w:val="231F20"/>
          </w:rPr>
          <w:t>‘unplugging’</w:t>
        </w:r>
        <w:r w:rsidR="009B7AFD">
          <w:rPr>
            <w:color w:val="231F20"/>
          </w:rPr>
          <w:tab/>
          <w:t>48</w:t>
        </w:r>
      </w:hyperlink>
    </w:p>
    <w:p w14:paraId="759643D6" w14:textId="77777777" w:rsidR="00894070" w:rsidRDefault="009F6793">
      <w:pPr>
        <w:pStyle w:val="BodyText"/>
        <w:tabs>
          <w:tab w:val="right" w:leader="dot" w:pos="9701"/>
        </w:tabs>
        <w:spacing w:before="42"/>
        <w:ind w:left="1871"/>
      </w:pPr>
      <w:hyperlink w:anchor="_bookmark35" w:history="1">
        <w:r w:rsidR="009B7AFD">
          <w:rPr>
            <w:color w:val="231F20"/>
          </w:rPr>
          <w:t>Cyberstalking can be difficult for police</w:t>
        </w:r>
        <w:r w:rsidR="009B7AFD">
          <w:rPr>
            <w:color w:val="231F20"/>
            <w:spacing w:val="-19"/>
          </w:rPr>
          <w:t xml:space="preserve"> </w:t>
        </w:r>
        <w:r w:rsidR="009B7AFD">
          <w:rPr>
            <w:color w:val="231F20"/>
          </w:rPr>
          <w:t>to</w:t>
        </w:r>
        <w:r w:rsidR="009B7AFD">
          <w:rPr>
            <w:color w:val="231F20"/>
            <w:spacing w:val="-3"/>
          </w:rPr>
          <w:t xml:space="preserve"> </w:t>
        </w:r>
        <w:r w:rsidR="009B7AFD">
          <w:rPr>
            <w:color w:val="231F20"/>
          </w:rPr>
          <w:t>investigate</w:t>
        </w:r>
        <w:r w:rsidR="009B7AFD">
          <w:rPr>
            <w:color w:val="231F20"/>
          </w:rPr>
          <w:tab/>
          <w:t>48</w:t>
        </w:r>
      </w:hyperlink>
    </w:p>
    <w:p w14:paraId="20B55757" w14:textId="77777777" w:rsidR="00894070" w:rsidRDefault="009F6793">
      <w:pPr>
        <w:pStyle w:val="BodyText"/>
        <w:tabs>
          <w:tab w:val="right" w:leader="dot" w:pos="9699"/>
        </w:tabs>
        <w:spacing w:before="41"/>
        <w:ind w:left="1871"/>
      </w:pPr>
      <w:hyperlink w:anchor="_bookmark36" w:history="1">
        <w:r w:rsidR="009B7AFD">
          <w:rPr>
            <w:color w:val="231F20"/>
          </w:rPr>
          <w:t>Responses to cyberstalking should be part of the police response</w:t>
        </w:r>
        <w:r w:rsidR="009B7AFD">
          <w:rPr>
            <w:color w:val="231F20"/>
            <w:spacing w:val="-35"/>
          </w:rPr>
          <w:t xml:space="preserve"> </w:t>
        </w:r>
        <w:r w:rsidR="009B7AFD">
          <w:rPr>
            <w:color w:val="231F20"/>
          </w:rPr>
          <w:t>to</w:t>
        </w:r>
        <w:r w:rsidR="009B7AFD">
          <w:rPr>
            <w:color w:val="231F20"/>
            <w:spacing w:val="-3"/>
          </w:rPr>
          <w:t xml:space="preserve"> </w:t>
        </w:r>
        <w:r w:rsidR="009B7AFD">
          <w:rPr>
            <w:color w:val="231F20"/>
          </w:rPr>
          <w:t>stalking</w:t>
        </w:r>
        <w:r w:rsidR="009B7AFD">
          <w:rPr>
            <w:color w:val="231F20"/>
          </w:rPr>
          <w:tab/>
          <w:t>50</w:t>
        </w:r>
      </w:hyperlink>
    </w:p>
    <w:p w14:paraId="67E45BFA" w14:textId="77777777" w:rsidR="00894070" w:rsidRDefault="009F6793">
      <w:pPr>
        <w:pStyle w:val="BodyText"/>
        <w:tabs>
          <w:tab w:val="right" w:leader="dot" w:pos="9700"/>
        </w:tabs>
        <w:spacing w:before="47"/>
        <w:ind w:left="1588"/>
      </w:pPr>
      <w:hyperlink w:anchor="_bookmark37" w:history="1">
        <w:r w:rsidR="009B7AFD">
          <w:rPr>
            <w:color w:val="231F20"/>
            <w:spacing w:val="-3"/>
          </w:rPr>
          <w:t xml:space="preserve">Work </w:t>
        </w:r>
        <w:r w:rsidR="009B7AFD">
          <w:rPr>
            <w:color w:val="231F20"/>
          </w:rPr>
          <w:t xml:space="preserve">is under </w:t>
        </w:r>
        <w:r w:rsidR="009B7AFD">
          <w:rPr>
            <w:color w:val="231F20"/>
            <w:spacing w:val="-3"/>
          </w:rPr>
          <w:t xml:space="preserve">way </w:t>
        </w:r>
        <w:r w:rsidR="009B7AFD">
          <w:rPr>
            <w:color w:val="231F20"/>
          </w:rPr>
          <w:t>to keep people</w:t>
        </w:r>
        <w:r w:rsidR="009B7AFD">
          <w:rPr>
            <w:color w:val="231F20"/>
            <w:spacing w:val="-10"/>
          </w:rPr>
          <w:t xml:space="preserve"> </w:t>
        </w:r>
        <w:r w:rsidR="009B7AFD">
          <w:rPr>
            <w:color w:val="231F20"/>
          </w:rPr>
          <w:t>safe</w:t>
        </w:r>
        <w:r w:rsidR="009B7AFD">
          <w:rPr>
            <w:color w:val="231F20"/>
            <w:spacing w:val="-2"/>
          </w:rPr>
          <w:t xml:space="preserve"> </w:t>
        </w:r>
        <w:r w:rsidR="009B7AFD">
          <w:rPr>
            <w:color w:val="231F20"/>
          </w:rPr>
          <w:t>online</w:t>
        </w:r>
        <w:r w:rsidR="009B7AFD">
          <w:rPr>
            <w:color w:val="231F20"/>
          </w:rPr>
          <w:tab/>
          <w:t>51</w:t>
        </w:r>
      </w:hyperlink>
    </w:p>
    <w:p w14:paraId="3EA96894" w14:textId="77777777" w:rsidR="00894070" w:rsidRDefault="009F6793">
      <w:pPr>
        <w:numPr>
          <w:ilvl w:val="0"/>
          <w:numId w:val="1"/>
        </w:numPr>
        <w:tabs>
          <w:tab w:val="left" w:pos="1362"/>
          <w:tab w:val="right" w:leader="dot" w:pos="9703"/>
        </w:tabs>
        <w:spacing w:before="42"/>
        <w:ind w:hanging="340"/>
        <w:rPr>
          <w:b/>
          <w:sz w:val="20"/>
        </w:rPr>
      </w:pPr>
      <w:hyperlink w:anchor="_bookmark38" w:history="1">
        <w:r w:rsidR="009B7AFD">
          <w:rPr>
            <w:b/>
            <w:color w:val="EA5B50"/>
            <w:sz w:val="20"/>
          </w:rPr>
          <w:t>Understanding and responding effectively</w:t>
        </w:r>
        <w:r w:rsidR="009B7AFD">
          <w:rPr>
            <w:b/>
            <w:color w:val="EA5B50"/>
            <w:spacing w:val="-11"/>
            <w:sz w:val="20"/>
          </w:rPr>
          <w:t xml:space="preserve"> </w:t>
        </w:r>
        <w:r w:rsidR="009B7AFD">
          <w:rPr>
            <w:b/>
            <w:color w:val="EA5B50"/>
            <w:sz w:val="20"/>
          </w:rPr>
          <w:t>to</w:t>
        </w:r>
        <w:r w:rsidR="009B7AFD">
          <w:rPr>
            <w:b/>
            <w:color w:val="EA5B50"/>
            <w:spacing w:val="-3"/>
            <w:sz w:val="20"/>
          </w:rPr>
          <w:t xml:space="preserve"> </w:t>
        </w:r>
        <w:r w:rsidR="009B7AFD">
          <w:rPr>
            <w:b/>
            <w:color w:val="EA5B50"/>
            <w:sz w:val="20"/>
          </w:rPr>
          <w:t>stalking</w:t>
        </w:r>
        <w:r w:rsidR="009B7AFD">
          <w:rPr>
            <w:b/>
            <w:color w:val="EA5B50"/>
            <w:sz w:val="20"/>
          </w:rPr>
          <w:tab/>
          <w:t>54</w:t>
        </w:r>
      </w:hyperlink>
    </w:p>
    <w:p w14:paraId="041DB8AE" w14:textId="77777777" w:rsidR="00894070" w:rsidRDefault="009F6793">
      <w:pPr>
        <w:pStyle w:val="BodyText"/>
        <w:tabs>
          <w:tab w:val="right" w:leader="dot" w:pos="9704"/>
        </w:tabs>
        <w:spacing w:before="47"/>
        <w:ind w:left="1588"/>
      </w:pPr>
      <w:hyperlink w:anchor="_bookmark38" w:history="1">
        <w:r w:rsidR="009B7AFD">
          <w:rPr>
            <w:color w:val="231F20"/>
          </w:rPr>
          <w:t>Overview</w:t>
        </w:r>
        <w:r w:rsidR="009B7AFD">
          <w:rPr>
            <w:color w:val="231F20"/>
          </w:rPr>
          <w:tab/>
        </w:r>
        <w:r w:rsidR="009B7AFD">
          <w:rPr>
            <w:color w:val="231F20"/>
            <w:spacing w:val="3"/>
          </w:rPr>
          <w:t>54</w:t>
        </w:r>
      </w:hyperlink>
    </w:p>
    <w:p w14:paraId="0342A68F" w14:textId="77777777" w:rsidR="00894070" w:rsidRDefault="009F6793">
      <w:pPr>
        <w:pStyle w:val="BodyText"/>
        <w:tabs>
          <w:tab w:val="right" w:leader="dot" w:pos="9704"/>
        </w:tabs>
        <w:spacing w:before="48"/>
        <w:ind w:left="1588"/>
      </w:pPr>
      <w:hyperlink w:anchor="_bookmark38" w:history="1">
        <w:r w:rsidR="009B7AFD">
          <w:rPr>
            <w:color w:val="231F20"/>
          </w:rPr>
          <w:t>Stalking requires a</w:t>
        </w:r>
        <w:r w:rsidR="009B7AFD">
          <w:rPr>
            <w:color w:val="231F20"/>
            <w:spacing w:val="-7"/>
          </w:rPr>
          <w:t xml:space="preserve"> </w:t>
        </w:r>
        <w:r w:rsidR="009B7AFD">
          <w:rPr>
            <w:color w:val="231F20"/>
          </w:rPr>
          <w:t>community</w:t>
        </w:r>
        <w:r w:rsidR="009B7AFD">
          <w:rPr>
            <w:color w:val="231F20"/>
            <w:spacing w:val="-2"/>
          </w:rPr>
          <w:t xml:space="preserve"> </w:t>
        </w:r>
        <w:r w:rsidR="009B7AFD">
          <w:rPr>
            <w:color w:val="231F20"/>
          </w:rPr>
          <w:t>response</w:t>
        </w:r>
        <w:r w:rsidR="009B7AFD">
          <w:rPr>
            <w:color w:val="231F20"/>
          </w:rPr>
          <w:tab/>
        </w:r>
        <w:r w:rsidR="009B7AFD">
          <w:rPr>
            <w:color w:val="231F20"/>
            <w:spacing w:val="3"/>
          </w:rPr>
          <w:t>54</w:t>
        </w:r>
      </w:hyperlink>
    </w:p>
    <w:p w14:paraId="2EFC6A08" w14:textId="77777777" w:rsidR="00894070" w:rsidRDefault="009F6793">
      <w:pPr>
        <w:pStyle w:val="BodyText"/>
        <w:tabs>
          <w:tab w:val="right" w:leader="dot" w:pos="9702"/>
        </w:tabs>
        <w:spacing w:before="47"/>
        <w:ind w:left="1588"/>
      </w:pPr>
      <w:hyperlink w:anchor="_bookmark39" w:history="1">
        <w:r w:rsidR="009B7AFD">
          <w:rPr>
            <w:color w:val="231F20"/>
          </w:rPr>
          <w:t>What information about stalking needs to be</w:t>
        </w:r>
        <w:r w:rsidR="009B7AFD">
          <w:rPr>
            <w:color w:val="231F20"/>
            <w:spacing w:val="-20"/>
          </w:rPr>
          <w:t xml:space="preserve"> </w:t>
        </w:r>
        <w:r w:rsidR="009B7AFD">
          <w:rPr>
            <w:color w:val="231F20"/>
          </w:rPr>
          <w:t>common</w:t>
        </w:r>
        <w:r w:rsidR="009B7AFD">
          <w:rPr>
            <w:color w:val="231F20"/>
            <w:spacing w:val="-3"/>
          </w:rPr>
          <w:t xml:space="preserve"> </w:t>
        </w:r>
        <w:r w:rsidR="009B7AFD">
          <w:rPr>
            <w:color w:val="231F20"/>
          </w:rPr>
          <w:t>knowledge?</w:t>
        </w:r>
        <w:r w:rsidR="009B7AFD">
          <w:rPr>
            <w:color w:val="231F20"/>
          </w:rPr>
          <w:tab/>
          <w:t>55</w:t>
        </w:r>
      </w:hyperlink>
    </w:p>
    <w:p w14:paraId="247C8396" w14:textId="77777777" w:rsidR="00894070" w:rsidRDefault="009F6793">
      <w:pPr>
        <w:pStyle w:val="BodyText"/>
        <w:tabs>
          <w:tab w:val="right" w:leader="dot" w:pos="9701"/>
        </w:tabs>
        <w:spacing w:before="48"/>
        <w:ind w:left="1588"/>
      </w:pPr>
      <w:hyperlink w:anchor="_bookmark40" w:history="1">
        <w:r w:rsidR="009B7AFD">
          <w:rPr>
            <w:color w:val="231F20"/>
          </w:rPr>
          <w:t>Stalking is not</w:t>
        </w:r>
        <w:r w:rsidR="009B7AFD">
          <w:rPr>
            <w:color w:val="231F20"/>
            <w:spacing w:val="-7"/>
          </w:rPr>
          <w:t xml:space="preserve"> </w:t>
        </w:r>
        <w:r w:rsidR="009B7AFD">
          <w:rPr>
            <w:color w:val="231F20"/>
          </w:rPr>
          <w:t>well</w:t>
        </w:r>
        <w:r w:rsidR="009B7AFD">
          <w:rPr>
            <w:color w:val="231F20"/>
            <w:spacing w:val="-2"/>
          </w:rPr>
          <w:t xml:space="preserve"> </w:t>
        </w:r>
        <w:r w:rsidR="009B7AFD">
          <w:rPr>
            <w:color w:val="231F20"/>
          </w:rPr>
          <w:t>understood</w:t>
        </w:r>
        <w:r w:rsidR="009B7AFD">
          <w:rPr>
            <w:color w:val="231F20"/>
          </w:rPr>
          <w:tab/>
          <w:t>56</w:t>
        </w:r>
      </w:hyperlink>
    </w:p>
    <w:p w14:paraId="57D0D154" w14:textId="77777777" w:rsidR="00894070" w:rsidRDefault="009F6793">
      <w:pPr>
        <w:pStyle w:val="BodyText"/>
        <w:tabs>
          <w:tab w:val="right" w:leader="dot" w:pos="9699"/>
        </w:tabs>
        <w:spacing w:before="41"/>
        <w:ind w:left="1871"/>
      </w:pPr>
      <w:hyperlink w:anchor="_bookmark41" w:history="1">
        <w:r w:rsidR="009B7AFD">
          <w:rPr>
            <w:color w:val="231F20"/>
          </w:rPr>
          <w:t>People who experience stalking may</w:t>
        </w:r>
        <w:r w:rsidR="009B7AFD">
          <w:rPr>
            <w:color w:val="231F20"/>
            <w:spacing w:val="-13"/>
          </w:rPr>
          <w:t xml:space="preserve"> </w:t>
        </w:r>
        <w:r w:rsidR="009B7AFD">
          <w:rPr>
            <w:color w:val="231F20"/>
          </w:rPr>
          <w:t>feel</w:t>
        </w:r>
        <w:r w:rsidR="009B7AFD">
          <w:rPr>
            <w:color w:val="231F20"/>
            <w:spacing w:val="-2"/>
          </w:rPr>
          <w:t xml:space="preserve"> </w:t>
        </w:r>
        <w:r w:rsidR="009B7AFD">
          <w:rPr>
            <w:color w:val="231F20"/>
          </w:rPr>
          <w:t>alone</w:t>
        </w:r>
        <w:r w:rsidR="009B7AFD">
          <w:rPr>
            <w:color w:val="231F20"/>
          </w:rPr>
          <w:tab/>
          <w:t>59</w:t>
        </w:r>
      </w:hyperlink>
    </w:p>
    <w:p w14:paraId="00FB7A6E" w14:textId="77777777" w:rsidR="00894070" w:rsidRDefault="009F6793">
      <w:pPr>
        <w:pStyle w:val="BodyText"/>
        <w:tabs>
          <w:tab w:val="right" w:leader="dot" w:pos="9699"/>
        </w:tabs>
        <w:spacing w:before="48"/>
        <w:ind w:left="1588"/>
      </w:pPr>
      <w:hyperlink w:anchor="_bookmark41" w:history="1">
        <w:r w:rsidR="009B7AFD">
          <w:rPr>
            <w:color w:val="231F20"/>
          </w:rPr>
          <w:t>Current sources of information</w:t>
        </w:r>
        <w:r w:rsidR="009B7AFD">
          <w:rPr>
            <w:color w:val="231F20"/>
            <w:spacing w:val="-12"/>
          </w:rPr>
          <w:t xml:space="preserve"> </w:t>
        </w:r>
        <w:r w:rsidR="009B7AFD">
          <w:rPr>
            <w:color w:val="231F20"/>
          </w:rPr>
          <w:t>are</w:t>
        </w:r>
        <w:r w:rsidR="009B7AFD">
          <w:rPr>
            <w:color w:val="231F20"/>
            <w:spacing w:val="-3"/>
          </w:rPr>
          <w:t xml:space="preserve"> </w:t>
        </w:r>
        <w:r w:rsidR="009B7AFD">
          <w:rPr>
            <w:color w:val="231F20"/>
          </w:rPr>
          <w:t>limited</w:t>
        </w:r>
        <w:r w:rsidR="009B7AFD">
          <w:rPr>
            <w:color w:val="231F20"/>
          </w:rPr>
          <w:tab/>
          <w:t>59</w:t>
        </w:r>
      </w:hyperlink>
    </w:p>
    <w:p w14:paraId="4A948B8D" w14:textId="77777777" w:rsidR="00894070" w:rsidRDefault="009F6793">
      <w:pPr>
        <w:pStyle w:val="BodyText"/>
        <w:tabs>
          <w:tab w:val="right" w:leader="dot" w:pos="9701"/>
        </w:tabs>
        <w:spacing w:before="47"/>
        <w:ind w:left="1588"/>
      </w:pPr>
      <w:hyperlink w:anchor="_bookmark42" w:history="1">
        <w:r w:rsidR="009B7AFD">
          <w:rPr>
            <w:color w:val="231F20"/>
          </w:rPr>
          <w:t>There should be a commitment to public education</w:t>
        </w:r>
        <w:r w:rsidR="009B7AFD">
          <w:rPr>
            <w:color w:val="231F20"/>
            <w:spacing w:val="-21"/>
          </w:rPr>
          <w:t xml:space="preserve"> </w:t>
        </w:r>
        <w:r w:rsidR="009B7AFD">
          <w:rPr>
            <w:color w:val="231F20"/>
          </w:rPr>
          <w:t>about</w:t>
        </w:r>
        <w:r w:rsidR="009B7AFD">
          <w:rPr>
            <w:color w:val="231F20"/>
            <w:spacing w:val="-3"/>
          </w:rPr>
          <w:t xml:space="preserve"> </w:t>
        </w:r>
        <w:r w:rsidR="009B7AFD">
          <w:rPr>
            <w:color w:val="231F20"/>
          </w:rPr>
          <w:t>stalking</w:t>
        </w:r>
        <w:r w:rsidR="009B7AFD">
          <w:rPr>
            <w:color w:val="231F20"/>
          </w:rPr>
          <w:tab/>
          <w:t>60</w:t>
        </w:r>
      </w:hyperlink>
    </w:p>
    <w:p w14:paraId="3FBA85E7" w14:textId="77777777" w:rsidR="00894070" w:rsidRDefault="009F6793">
      <w:pPr>
        <w:pStyle w:val="BodyText"/>
        <w:tabs>
          <w:tab w:val="right" w:leader="dot" w:pos="9701"/>
        </w:tabs>
        <w:spacing w:before="41"/>
        <w:ind w:left="1871"/>
      </w:pPr>
      <w:hyperlink w:anchor="_bookmark42" w:history="1">
        <w:r w:rsidR="009B7AFD">
          <w:rPr>
            <w:color w:val="231F20"/>
          </w:rPr>
          <w:t xml:space="preserve">Education about stalking should be guided </w:t>
        </w:r>
        <w:r w:rsidR="009B7AFD">
          <w:rPr>
            <w:color w:val="231F20"/>
            <w:spacing w:val="-3"/>
          </w:rPr>
          <w:t xml:space="preserve">by </w:t>
        </w:r>
        <w:r w:rsidR="009B7AFD">
          <w:rPr>
            <w:color w:val="231F20"/>
          </w:rPr>
          <w:t>the</w:t>
        </w:r>
        <w:r w:rsidR="009B7AFD">
          <w:rPr>
            <w:color w:val="231F20"/>
            <w:spacing w:val="-20"/>
          </w:rPr>
          <w:t xml:space="preserve"> </w:t>
        </w:r>
        <w:r w:rsidR="009B7AFD">
          <w:rPr>
            <w:color w:val="231F20"/>
          </w:rPr>
          <w:t>latest</w:t>
        </w:r>
        <w:r w:rsidR="009B7AFD">
          <w:rPr>
            <w:color w:val="231F20"/>
            <w:spacing w:val="-3"/>
          </w:rPr>
          <w:t xml:space="preserve"> </w:t>
        </w:r>
        <w:r w:rsidR="009B7AFD">
          <w:rPr>
            <w:color w:val="231F20"/>
          </w:rPr>
          <w:t>research</w:t>
        </w:r>
        <w:r w:rsidR="009B7AFD">
          <w:rPr>
            <w:color w:val="231F20"/>
          </w:rPr>
          <w:tab/>
          <w:t>60</w:t>
        </w:r>
      </w:hyperlink>
    </w:p>
    <w:p w14:paraId="71AFC083" w14:textId="77777777" w:rsidR="00894070" w:rsidRDefault="009F6793">
      <w:pPr>
        <w:pStyle w:val="BodyText"/>
        <w:tabs>
          <w:tab w:val="right" w:leader="dot" w:pos="9696"/>
        </w:tabs>
        <w:spacing w:before="42"/>
        <w:ind w:left="1871"/>
      </w:pPr>
      <w:hyperlink w:anchor="_bookmark43" w:history="1">
        <w:r w:rsidR="009B7AFD">
          <w:rPr>
            <w:color w:val="231F20"/>
          </w:rPr>
          <w:t>How should public education</w:t>
        </w:r>
        <w:r w:rsidR="009B7AFD">
          <w:rPr>
            <w:color w:val="231F20"/>
            <w:spacing w:val="-10"/>
          </w:rPr>
          <w:t xml:space="preserve"> </w:t>
        </w:r>
        <w:r w:rsidR="009B7AFD">
          <w:rPr>
            <w:color w:val="231F20"/>
          </w:rPr>
          <w:t>be</w:t>
        </w:r>
        <w:r w:rsidR="009B7AFD">
          <w:rPr>
            <w:color w:val="231F20"/>
            <w:spacing w:val="-2"/>
          </w:rPr>
          <w:t xml:space="preserve"> </w:t>
        </w:r>
        <w:r w:rsidR="009B7AFD">
          <w:rPr>
            <w:color w:val="231F20"/>
          </w:rPr>
          <w:t>delivered?</w:t>
        </w:r>
        <w:r w:rsidR="009B7AFD">
          <w:rPr>
            <w:color w:val="231F20"/>
          </w:rPr>
          <w:tab/>
        </w:r>
        <w:r w:rsidR="009B7AFD">
          <w:rPr>
            <w:color w:val="231F20"/>
            <w:spacing w:val="-5"/>
          </w:rPr>
          <w:t>61</w:t>
        </w:r>
      </w:hyperlink>
    </w:p>
    <w:p w14:paraId="7E795A5F" w14:textId="77777777" w:rsidR="00894070" w:rsidRDefault="009F6793">
      <w:pPr>
        <w:pStyle w:val="BodyText"/>
        <w:tabs>
          <w:tab w:val="right" w:leader="dot" w:pos="9696"/>
        </w:tabs>
        <w:spacing w:before="41"/>
        <w:ind w:left="1872"/>
      </w:pPr>
      <w:hyperlink w:anchor="_bookmark43" w:history="1">
        <w:r w:rsidR="009B7AFD">
          <w:rPr>
            <w:color w:val="231F20"/>
          </w:rPr>
          <w:t>What groups and settings should be</w:t>
        </w:r>
        <w:r w:rsidR="009B7AFD">
          <w:rPr>
            <w:color w:val="231F20"/>
            <w:spacing w:val="-14"/>
          </w:rPr>
          <w:t xml:space="preserve"> </w:t>
        </w:r>
        <w:r w:rsidR="009B7AFD">
          <w:rPr>
            <w:color w:val="231F20"/>
          </w:rPr>
          <w:t>a</w:t>
        </w:r>
        <w:r w:rsidR="009B7AFD">
          <w:rPr>
            <w:color w:val="231F20"/>
            <w:spacing w:val="-2"/>
          </w:rPr>
          <w:t xml:space="preserve"> </w:t>
        </w:r>
        <w:r w:rsidR="009B7AFD">
          <w:rPr>
            <w:color w:val="231F20"/>
            <w:spacing w:val="-3"/>
          </w:rPr>
          <w:t>focus?</w:t>
        </w:r>
        <w:r w:rsidR="009B7AFD">
          <w:rPr>
            <w:color w:val="231F20"/>
            <w:spacing w:val="-3"/>
          </w:rPr>
          <w:tab/>
        </w:r>
        <w:r w:rsidR="009B7AFD">
          <w:rPr>
            <w:color w:val="231F20"/>
            <w:spacing w:val="-5"/>
          </w:rPr>
          <w:t>61</w:t>
        </w:r>
      </w:hyperlink>
    </w:p>
    <w:p w14:paraId="108CE739" w14:textId="77777777" w:rsidR="00894070" w:rsidRDefault="009F6793">
      <w:pPr>
        <w:pStyle w:val="BodyText"/>
        <w:tabs>
          <w:tab w:val="right" w:leader="dot" w:pos="9702"/>
        </w:tabs>
        <w:spacing w:before="48"/>
        <w:ind w:left="1588"/>
      </w:pPr>
      <w:hyperlink w:anchor="_bookmark44" w:history="1">
        <w:r w:rsidR="009B7AFD">
          <w:rPr>
            <w:color w:val="231F20"/>
          </w:rPr>
          <w:t>Education about stalking for people working in the</w:t>
        </w:r>
        <w:r w:rsidR="009B7AFD">
          <w:rPr>
            <w:color w:val="231F20"/>
            <w:spacing w:val="-23"/>
          </w:rPr>
          <w:t xml:space="preserve"> </w:t>
        </w:r>
        <w:r w:rsidR="009B7AFD">
          <w:rPr>
            <w:color w:val="231F20"/>
          </w:rPr>
          <w:t>justice</w:t>
        </w:r>
        <w:r w:rsidR="009B7AFD">
          <w:rPr>
            <w:color w:val="231F20"/>
            <w:spacing w:val="-3"/>
          </w:rPr>
          <w:t xml:space="preserve"> </w:t>
        </w:r>
        <w:r w:rsidR="009B7AFD">
          <w:rPr>
            <w:color w:val="231F20"/>
          </w:rPr>
          <w:t>system</w:t>
        </w:r>
        <w:r w:rsidR="009B7AFD">
          <w:rPr>
            <w:color w:val="231F20"/>
          </w:rPr>
          <w:tab/>
          <w:t>66</w:t>
        </w:r>
      </w:hyperlink>
    </w:p>
    <w:p w14:paraId="088F412A" w14:textId="77777777" w:rsidR="00894070" w:rsidRDefault="009F6793">
      <w:pPr>
        <w:pStyle w:val="BodyText"/>
        <w:tabs>
          <w:tab w:val="right" w:leader="dot" w:pos="9699"/>
        </w:tabs>
        <w:spacing w:before="41"/>
        <w:ind w:left="1872"/>
      </w:pPr>
      <w:hyperlink w:anchor="_bookmark45" w:history="1">
        <w:r w:rsidR="009B7AFD">
          <w:rPr>
            <w:color w:val="231F20"/>
          </w:rPr>
          <w:t>Education</w:t>
        </w:r>
        <w:r w:rsidR="009B7AFD">
          <w:rPr>
            <w:color w:val="231F20"/>
            <w:spacing w:val="-3"/>
          </w:rPr>
          <w:t xml:space="preserve"> </w:t>
        </w:r>
        <w:r w:rsidR="009B7AFD">
          <w:rPr>
            <w:color w:val="231F20"/>
          </w:rPr>
          <w:t>for</w:t>
        </w:r>
        <w:r w:rsidR="009B7AFD">
          <w:rPr>
            <w:color w:val="231F20"/>
            <w:spacing w:val="-2"/>
          </w:rPr>
          <w:t xml:space="preserve"> </w:t>
        </w:r>
        <w:r w:rsidR="009B7AFD">
          <w:rPr>
            <w:color w:val="231F20"/>
          </w:rPr>
          <w:t>police</w:t>
        </w:r>
        <w:r w:rsidR="009B7AFD">
          <w:rPr>
            <w:color w:val="231F20"/>
          </w:rPr>
          <w:tab/>
          <w:t>67</w:t>
        </w:r>
      </w:hyperlink>
    </w:p>
    <w:p w14:paraId="7AC3985C" w14:textId="77777777" w:rsidR="00894070" w:rsidRDefault="009B7AFD">
      <w:pPr>
        <w:pStyle w:val="Heading8"/>
        <w:spacing w:before="577"/>
        <w:ind w:left="140"/>
      </w:pPr>
      <w:r>
        <w:rPr>
          <w:color w:val="EA5B50"/>
        </w:rPr>
        <w:t>iv</w:t>
      </w:r>
    </w:p>
    <w:p w14:paraId="3CB8F2CA" w14:textId="77777777" w:rsidR="00894070" w:rsidRDefault="00894070">
      <w:pPr>
        <w:sectPr w:rsidR="00894070">
          <w:pgSz w:w="11910" w:h="16840"/>
          <w:pgMar w:top="860" w:right="420" w:bottom="280" w:left="580" w:header="567" w:footer="0" w:gutter="0"/>
          <w:cols w:space="720"/>
        </w:sectPr>
      </w:pPr>
    </w:p>
    <w:p w14:paraId="1E47027B" w14:textId="77777777" w:rsidR="00894070" w:rsidRDefault="00894070">
      <w:pPr>
        <w:pStyle w:val="BodyText"/>
        <w:rPr>
          <w:b/>
          <w:sz w:val="22"/>
        </w:rPr>
      </w:pPr>
    </w:p>
    <w:p w14:paraId="2536ED05" w14:textId="77777777" w:rsidR="00894070" w:rsidRDefault="00894070">
      <w:pPr>
        <w:pStyle w:val="BodyText"/>
        <w:rPr>
          <w:b/>
          <w:sz w:val="22"/>
        </w:rPr>
      </w:pPr>
    </w:p>
    <w:p w14:paraId="472FA578" w14:textId="77777777" w:rsidR="00894070" w:rsidRDefault="00894070">
      <w:pPr>
        <w:pStyle w:val="BodyText"/>
        <w:rPr>
          <w:b/>
          <w:sz w:val="22"/>
        </w:rPr>
      </w:pPr>
    </w:p>
    <w:p w14:paraId="09EBBF78" w14:textId="77777777" w:rsidR="00894070" w:rsidRDefault="00894070">
      <w:pPr>
        <w:pStyle w:val="BodyText"/>
        <w:spacing w:before="9"/>
        <w:rPr>
          <w:b/>
          <w:sz w:val="14"/>
        </w:rPr>
      </w:pPr>
    </w:p>
    <w:p w14:paraId="341D0E06" w14:textId="77777777" w:rsidR="00894070" w:rsidRDefault="009F6793">
      <w:pPr>
        <w:pStyle w:val="BodyText"/>
        <w:tabs>
          <w:tab w:val="left" w:leader="dot" w:pos="9461"/>
        </w:tabs>
        <w:ind w:left="1857"/>
      </w:pPr>
      <w:hyperlink w:anchor="_bookmark45" w:history="1">
        <w:r w:rsidR="009B7AFD">
          <w:rPr>
            <w:color w:val="231F20"/>
          </w:rPr>
          <w:t>Education</w:t>
        </w:r>
        <w:r w:rsidR="009B7AFD">
          <w:rPr>
            <w:color w:val="231F20"/>
            <w:spacing w:val="-6"/>
          </w:rPr>
          <w:t xml:space="preserve"> </w:t>
        </w:r>
        <w:r w:rsidR="009B7AFD">
          <w:rPr>
            <w:color w:val="231F20"/>
          </w:rPr>
          <w:t>for</w:t>
        </w:r>
        <w:r w:rsidR="009B7AFD">
          <w:rPr>
            <w:color w:val="231F20"/>
            <w:spacing w:val="-6"/>
          </w:rPr>
          <w:t xml:space="preserve"> </w:t>
        </w:r>
        <w:r w:rsidR="009B7AFD">
          <w:rPr>
            <w:color w:val="231F20"/>
          </w:rPr>
          <w:t>other</w:t>
        </w:r>
        <w:r w:rsidR="009B7AFD">
          <w:rPr>
            <w:color w:val="231F20"/>
            <w:spacing w:val="-6"/>
          </w:rPr>
          <w:t xml:space="preserve"> </w:t>
        </w:r>
        <w:r w:rsidR="009B7AFD">
          <w:rPr>
            <w:color w:val="231F20"/>
          </w:rPr>
          <w:t>people</w:t>
        </w:r>
        <w:r w:rsidR="009B7AFD">
          <w:rPr>
            <w:color w:val="231F20"/>
            <w:spacing w:val="-5"/>
          </w:rPr>
          <w:t xml:space="preserve"> </w:t>
        </w:r>
        <w:r w:rsidR="009B7AFD">
          <w:rPr>
            <w:color w:val="231F20"/>
          </w:rPr>
          <w:t>working</w:t>
        </w:r>
        <w:r w:rsidR="009B7AFD">
          <w:rPr>
            <w:color w:val="231F20"/>
            <w:spacing w:val="-6"/>
          </w:rPr>
          <w:t xml:space="preserve"> </w:t>
        </w:r>
        <w:r w:rsidR="009B7AFD">
          <w:rPr>
            <w:color w:val="231F20"/>
          </w:rPr>
          <w:t>in</w:t>
        </w:r>
        <w:r w:rsidR="009B7AFD">
          <w:rPr>
            <w:color w:val="231F20"/>
            <w:spacing w:val="-6"/>
          </w:rPr>
          <w:t xml:space="preserve"> </w:t>
        </w:r>
        <w:r w:rsidR="009B7AFD">
          <w:rPr>
            <w:color w:val="231F20"/>
          </w:rPr>
          <w:t>the</w:t>
        </w:r>
        <w:r w:rsidR="009B7AFD">
          <w:rPr>
            <w:color w:val="231F20"/>
            <w:spacing w:val="-6"/>
          </w:rPr>
          <w:t xml:space="preserve"> </w:t>
        </w:r>
        <w:r w:rsidR="009B7AFD">
          <w:rPr>
            <w:color w:val="231F20"/>
          </w:rPr>
          <w:t>justice</w:t>
        </w:r>
        <w:r w:rsidR="009B7AFD">
          <w:rPr>
            <w:color w:val="231F20"/>
            <w:spacing w:val="-5"/>
          </w:rPr>
          <w:t xml:space="preserve"> </w:t>
        </w:r>
        <w:r w:rsidR="009B7AFD">
          <w:rPr>
            <w:color w:val="231F20"/>
          </w:rPr>
          <w:t>system</w:t>
        </w:r>
        <w:r w:rsidR="009B7AFD">
          <w:rPr>
            <w:color w:val="231F20"/>
          </w:rPr>
          <w:tab/>
          <w:t>67</w:t>
        </w:r>
      </w:hyperlink>
    </w:p>
    <w:sdt>
      <w:sdtPr>
        <w:id w:val="171390524"/>
        <w:docPartObj>
          <w:docPartGallery w:val="Table of Contents"/>
          <w:docPartUnique/>
        </w:docPartObj>
      </w:sdtPr>
      <w:sdtEndPr/>
      <w:sdtContent>
        <w:p w14:paraId="59AFD531" w14:textId="77777777" w:rsidR="00894070" w:rsidRDefault="009F6793">
          <w:pPr>
            <w:pStyle w:val="TOC3"/>
            <w:tabs>
              <w:tab w:val="right" w:leader="dot" w:pos="9686"/>
            </w:tabs>
          </w:pPr>
          <w:hyperlink w:anchor="_bookmark46" w:history="1">
            <w:r w:rsidR="009B7AFD">
              <w:rPr>
                <w:color w:val="231F20"/>
              </w:rPr>
              <w:t>What education is</w:t>
            </w:r>
            <w:r w:rsidR="009B7AFD">
              <w:rPr>
                <w:color w:val="231F20"/>
                <w:spacing w:val="-7"/>
              </w:rPr>
              <w:t xml:space="preserve"> </w:t>
            </w:r>
            <w:r w:rsidR="009B7AFD">
              <w:rPr>
                <w:color w:val="231F20"/>
              </w:rPr>
              <w:t>available</w:t>
            </w:r>
            <w:r w:rsidR="009B7AFD">
              <w:rPr>
                <w:color w:val="231F20"/>
                <w:spacing w:val="-3"/>
              </w:rPr>
              <w:t xml:space="preserve"> </w:t>
            </w:r>
            <w:r w:rsidR="009B7AFD">
              <w:rPr>
                <w:color w:val="231F20"/>
              </w:rPr>
              <w:t>now?</w:t>
            </w:r>
            <w:r w:rsidR="009B7AFD">
              <w:rPr>
                <w:color w:val="231F20"/>
              </w:rPr>
              <w:tab/>
              <w:t>72</w:t>
            </w:r>
          </w:hyperlink>
        </w:p>
        <w:p w14:paraId="4992B0E9" w14:textId="77777777" w:rsidR="00894070" w:rsidRDefault="009F6793">
          <w:pPr>
            <w:pStyle w:val="TOC3"/>
            <w:tabs>
              <w:tab w:val="right" w:leader="dot" w:pos="9686"/>
            </w:tabs>
            <w:spacing w:before="42"/>
          </w:pPr>
          <w:hyperlink w:anchor="_bookmark46" w:history="1">
            <w:r w:rsidR="009B7AFD">
              <w:rPr>
                <w:color w:val="231F20"/>
              </w:rPr>
              <w:t>How should education</w:t>
            </w:r>
            <w:r w:rsidR="009B7AFD">
              <w:rPr>
                <w:color w:val="231F20"/>
                <w:spacing w:val="-7"/>
              </w:rPr>
              <w:t xml:space="preserve"> </w:t>
            </w:r>
            <w:r w:rsidR="009B7AFD">
              <w:rPr>
                <w:color w:val="231F20"/>
              </w:rPr>
              <w:t>be</w:t>
            </w:r>
            <w:r w:rsidR="009B7AFD">
              <w:rPr>
                <w:color w:val="231F20"/>
                <w:spacing w:val="-3"/>
              </w:rPr>
              <w:t xml:space="preserve"> </w:t>
            </w:r>
            <w:r w:rsidR="009B7AFD">
              <w:rPr>
                <w:color w:val="231F20"/>
              </w:rPr>
              <w:t>delivered?</w:t>
            </w:r>
            <w:r w:rsidR="009B7AFD">
              <w:rPr>
                <w:color w:val="231F20"/>
              </w:rPr>
              <w:tab/>
              <w:t>72</w:t>
            </w:r>
          </w:hyperlink>
        </w:p>
        <w:p w14:paraId="1B99BB01" w14:textId="77777777" w:rsidR="00894070" w:rsidRDefault="009F6793">
          <w:pPr>
            <w:pStyle w:val="TOC1"/>
            <w:numPr>
              <w:ilvl w:val="0"/>
              <w:numId w:val="1"/>
            </w:numPr>
            <w:tabs>
              <w:tab w:val="left" w:pos="1348"/>
              <w:tab w:val="right" w:leader="dot" w:pos="9685"/>
            </w:tabs>
            <w:ind w:left="1347" w:hanging="340"/>
          </w:pPr>
          <w:hyperlink w:anchor="_bookmark47" w:history="1">
            <w:r w:rsidR="009B7AFD">
              <w:rPr>
                <w:color w:val="EA5B50"/>
              </w:rPr>
              <w:t>Supporting people who</w:t>
            </w:r>
            <w:r w:rsidR="009B7AFD">
              <w:rPr>
                <w:color w:val="EA5B50"/>
                <w:spacing w:val="-8"/>
              </w:rPr>
              <w:t xml:space="preserve"> </w:t>
            </w:r>
            <w:r w:rsidR="009B7AFD">
              <w:rPr>
                <w:color w:val="EA5B50"/>
              </w:rPr>
              <w:t>experience</w:t>
            </w:r>
            <w:r w:rsidR="009B7AFD">
              <w:rPr>
                <w:color w:val="EA5B50"/>
                <w:spacing w:val="-2"/>
              </w:rPr>
              <w:t xml:space="preserve"> </w:t>
            </w:r>
            <w:r w:rsidR="009B7AFD">
              <w:rPr>
                <w:color w:val="EA5B50"/>
              </w:rPr>
              <w:t>stalking</w:t>
            </w:r>
            <w:r w:rsidR="009B7AFD">
              <w:rPr>
                <w:color w:val="EA5B50"/>
              </w:rPr>
              <w:tab/>
              <w:t>76</w:t>
            </w:r>
          </w:hyperlink>
        </w:p>
        <w:p w14:paraId="73A7DF77" w14:textId="77777777" w:rsidR="00894070" w:rsidRDefault="009F6793">
          <w:pPr>
            <w:pStyle w:val="TOC2"/>
            <w:tabs>
              <w:tab w:val="right" w:leader="dot" w:pos="9685"/>
            </w:tabs>
          </w:pPr>
          <w:hyperlink w:anchor="_bookmark47" w:history="1">
            <w:r w:rsidR="009B7AFD">
              <w:rPr>
                <w:color w:val="231F20"/>
              </w:rPr>
              <w:t>Overview</w:t>
            </w:r>
            <w:r w:rsidR="009B7AFD">
              <w:rPr>
                <w:color w:val="231F20"/>
              </w:rPr>
              <w:tab/>
              <w:t>76</w:t>
            </w:r>
          </w:hyperlink>
        </w:p>
        <w:p w14:paraId="0A34CAB9" w14:textId="77777777" w:rsidR="00894070" w:rsidRDefault="009F6793">
          <w:pPr>
            <w:pStyle w:val="TOC2"/>
            <w:tabs>
              <w:tab w:val="right" w:leader="dot" w:pos="9685"/>
            </w:tabs>
            <w:spacing w:before="48"/>
          </w:pPr>
          <w:hyperlink w:anchor="_bookmark47" w:history="1">
            <w:r w:rsidR="009B7AFD">
              <w:rPr>
                <w:color w:val="231F20"/>
              </w:rPr>
              <w:t>Victim survivors of stalking need</w:t>
            </w:r>
            <w:r w:rsidR="009B7AFD">
              <w:rPr>
                <w:color w:val="231F20"/>
                <w:spacing w:val="-11"/>
              </w:rPr>
              <w:t xml:space="preserve"> </w:t>
            </w:r>
            <w:r w:rsidR="009B7AFD">
              <w:rPr>
                <w:color w:val="231F20"/>
              </w:rPr>
              <w:t>more</w:t>
            </w:r>
            <w:r w:rsidR="009B7AFD">
              <w:rPr>
                <w:color w:val="231F20"/>
                <w:spacing w:val="-3"/>
              </w:rPr>
              <w:t xml:space="preserve"> </w:t>
            </w:r>
            <w:r w:rsidR="009B7AFD">
              <w:rPr>
                <w:color w:val="231F20"/>
              </w:rPr>
              <w:t>support</w:t>
            </w:r>
            <w:r w:rsidR="009B7AFD">
              <w:rPr>
                <w:color w:val="231F20"/>
              </w:rPr>
              <w:tab/>
              <w:t>76</w:t>
            </w:r>
          </w:hyperlink>
        </w:p>
        <w:p w14:paraId="2651E3AA" w14:textId="77777777" w:rsidR="00894070" w:rsidRDefault="009F6793">
          <w:pPr>
            <w:pStyle w:val="TOC2"/>
            <w:tabs>
              <w:tab w:val="right" w:leader="dot" w:pos="9692"/>
            </w:tabs>
          </w:pPr>
          <w:hyperlink w:anchor="_bookmark48" w:history="1">
            <w:r w:rsidR="009B7AFD">
              <w:rPr>
                <w:color w:val="231F20"/>
              </w:rPr>
              <w:t>Where can people get support</w:t>
            </w:r>
            <w:r w:rsidR="009B7AFD">
              <w:rPr>
                <w:color w:val="231F20"/>
                <w:spacing w:val="-12"/>
              </w:rPr>
              <w:t xml:space="preserve"> </w:t>
            </w:r>
            <w:r w:rsidR="009B7AFD">
              <w:rPr>
                <w:color w:val="231F20"/>
              </w:rPr>
              <w:t>for</w:t>
            </w:r>
            <w:r w:rsidR="009B7AFD">
              <w:rPr>
                <w:color w:val="231F20"/>
                <w:spacing w:val="-2"/>
              </w:rPr>
              <w:t xml:space="preserve"> </w:t>
            </w:r>
            <w:r w:rsidR="009B7AFD">
              <w:rPr>
                <w:color w:val="231F20"/>
              </w:rPr>
              <w:t>stalking?</w:t>
            </w:r>
            <w:r w:rsidR="009B7AFD">
              <w:rPr>
                <w:color w:val="231F20"/>
              </w:rPr>
              <w:tab/>
            </w:r>
            <w:r w:rsidR="009B7AFD">
              <w:rPr>
                <w:color w:val="231F20"/>
                <w:spacing w:val="4"/>
              </w:rPr>
              <w:t>77</w:t>
            </w:r>
          </w:hyperlink>
        </w:p>
        <w:p w14:paraId="2E97BD09" w14:textId="77777777" w:rsidR="00894070" w:rsidRDefault="009F6793">
          <w:pPr>
            <w:pStyle w:val="TOC2"/>
            <w:tabs>
              <w:tab w:val="right" w:leader="dot" w:pos="9687"/>
            </w:tabs>
            <w:spacing w:before="48"/>
          </w:pPr>
          <w:hyperlink w:anchor="_bookmark49" w:history="1">
            <w:r w:rsidR="009B7AFD">
              <w:rPr>
                <w:color w:val="231F20"/>
              </w:rPr>
              <w:t>People who experience stalking need specific kinds</w:t>
            </w:r>
            <w:r w:rsidR="009B7AFD">
              <w:rPr>
                <w:color w:val="231F20"/>
                <w:spacing w:val="-18"/>
              </w:rPr>
              <w:t xml:space="preserve"> </w:t>
            </w:r>
            <w:r w:rsidR="009B7AFD">
              <w:rPr>
                <w:color w:val="231F20"/>
              </w:rPr>
              <w:t>of</w:t>
            </w:r>
            <w:r w:rsidR="009B7AFD">
              <w:rPr>
                <w:color w:val="231F20"/>
                <w:spacing w:val="-2"/>
              </w:rPr>
              <w:t xml:space="preserve"> </w:t>
            </w:r>
            <w:r w:rsidR="009B7AFD">
              <w:rPr>
                <w:color w:val="231F20"/>
              </w:rPr>
              <w:t>support</w:t>
            </w:r>
            <w:r w:rsidR="009B7AFD">
              <w:rPr>
                <w:color w:val="231F20"/>
              </w:rPr>
              <w:tab/>
              <w:t>78</w:t>
            </w:r>
          </w:hyperlink>
        </w:p>
        <w:p w14:paraId="0E3BD8AA" w14:textId="77777777" w:rsidR="00894070" w:rsidRDefault="009F6793">
          <w:pPr>
            <w:pStyle w:val="TOC3"/>
            <w:tabs>
              <w:tab w:val="right" w:leader="dot" w:pos="9687"/>
            </w:tabs>
          </w:pPr>
          <w:hyperlink w:anchor="_bookmark50" w:history="1">
            <w:r w:rsidR="009B7AFD">
              <w:rPr>
                <w:color w:val="231F20"/>
              </w:rPr>
              <w:t>Support needs to</w:t>
            </w:r>
            <w:r w:rsidR="009B7AFD">
              <w:rPr>
                <w:color w:val="231F20"/>
                <w:spacing w:val="-7"/>
              </w:rPr>
              <w:t xml:space="preserve"> </w:t>
            </w:r>
            <w:r w:rsidR="009B7AFD">
              <w:rPr>
                <w:color w:val="231F20"/>
              </w:rPr>
              <w:t>be</w:t>
            </w:r>
            <w:r w:rsidR="009B7AFD">
              <w:rPr>
                <w:color w:val="231F20"/>
                <w:spacing w:val="-2"/>
              </w:rPr>
              <w:t xml:space="preserve"> </w:t>
            </w:r>
            <w:r w:rsidR="009B7AFD">
              <w:rPr>
                <w:color w:val="231F20"/>
              </w:rPr>
              <w:t>practical</w:t>
            </w:r>
            <w:r w:rsidR="009B7AFD">
              <w:rPr>
                <w:color w:val="231F20"/>
              </w:rPr>
              <w:tab/>
            </w:r>
            <w:r w:rsidR="009B7AFD">
              <w:rPr>
                <w:color w:val="231F20"/>
                <w:spacing w:val="-3"/>
              </w:rPr>
              <w:t>79</w:t>
            </w:r>
          </w:hyperlink>
        </w:p>
        <w:p w14:paraId="28F3B5CB" w14:textId="77777777" w:rsidR="00894070" w:rsidRDefault="009F6793">
          <w:pPr>
            <w:pStyle w:val="TOC3"/>
            <w:tabs>
              <w:tab w:val="right" w:leader="dot" w:pos="9687"/>
            </w:tabs>
            <w:spacing w:before="42"/>
          </w:pPr>
          <w:hyperlink w:anchor="_bookmark51" w:history="1">
            <w:r w:rsidR="009B7AFD">
              <w:rPr>
                <w:color w:val="231F20"/>
              </w:rPr>
              <w:t>Support needs to</w:t>
            </w:r>
            <w:r w:rsidR="009B7AFD">
              <w:rPr>
                <w:color w:val="231F20"/>
                <w:spacing w:val="-7"/>
              </w:rPr>
              <w:t xml:space="preserve"> </w:t>
            </w:r>
            <w:r w:rsidR="009B7AFD">
              <w:rPr>
                <w:color w:val="231F20"/>
              </w:rPr>
              <w:t>be</w:t>
            </w:r>
            <w:r w:rsidR="009B7AFD">
              <w:rPr>
                <w:color w:val="231F20"/>
                <w:spacing w:val="-2"/>
              </w:rPr>
              <w:t xml:space="preserve"> </w:t>
            </w:r>
            <w:r w:rsidR="009B7AFD">
              <w:rPr>
                <w:color w:val="231F20"/>
              </w:rPr>
              <w:t>timely</w:t>
            </w:r>
            <w:r w:rsidR="009B7AFD">
              <w:rPr>
                <w:color w:val="231F20"/>
              </w:rPr>
              <w:tab/>
              <w:t>80</w:t>
            </w:r>
          </w:hyperlink>
        </w:p>
        <w:p w14:paraId="289203E4" w14:textId="77777777" w:rsidR="00894070" w:rsidRDefault="009F6793">
          <w:pPr>
            <w:pStyle w:val="TOC3"/>
            <w:tabs>
              <w:tab w:val="right" w:leader="dot" w:pos="9684"/>
            </w:tabs>
          </w:pPr>
          <w:hyperlink w:anchor="_bookmark52" w:history="1">
            <w:r w:rsidR="009B7AFD">
              <w:rPr>
                <w:color w:val="231F20"/>
              </w:rPr>
              <w:t>Support needs to</w:t>
            </w:r>
            <w:r w:rsidR="009B7AFD">
              <w:rPr>
                <w:color w:val="231F20"/>
                <w:spacing w:val="-6"/>
              </w:rPr>
              <w:t xml:space="preserve"> </w:t>
            </w:r>
            <w:r w:rsidR="009B7AFD">
              <w:rPr>
                <w:color w:val="231F20"/>
              </w:rPr>
              <w:t>be</w:t>
            </w:r>
            <w:r w:rsidR="009B7AFD">
              <w:rPr>
                <w:color w:val="231F20"/>
                <w:spacing w:val="-2"/>
              </w:rPr>
              <w:t xml:space="preserve"> </w:t>
            </w:r>
            <w:r w:rsidR="009B7AFD">
              <w:rPr>
                <w:color w:val="231F20"/>
              </w:rPr>
              <w:t>ongoing</w:t>
            </w:r>
            <w:r w:rsidR="009B7AFD">
              <w:rPr>
                <w:color w:val="231F20"/>
              </w:rPr>
              <w:tab/>
            </w:r>
            <w:r w:rsidR="009B7AFD">
              <w:rPr>
                <w:color w:val="231F20"/>
                <w:spacing w:val="-4"/>
              </w:rPr>
              <w:t>81</w:t>
            </w:r>
          </w:hyperlink>
        </w:p>
        <w:p w14:paraId="04ABFED3" w14:textId="77777777" w:rsidR="00894070" w:rsidRDefault="009F6793">
          <w:pPr>
            <w:pStyle w:val="TOC2"/>
            <w:tabs>
              <w:tab w:val="right" w:leader="dot" w:pos="9684"/>
            </w:tabs>
          </w:pPr>
          <w:hyperlink w:anchor="_bookmark52" w:history="1">
            <w:r w:rsidR="009B7AFD">
              <w:rPr>
                <w:color w:val="231F20"/>
              </w:rPr>
              <w:t>Reforms of victim services are</w:t>
            </w:r>
            <w:r w:rsidR="009B7AFD">
              <w:rPr>
                <w:color w:val="231F20"/>
                <w:spacing w:val="-12"/>
              </w:rPr>
              <w:t xml:space="preserve"> </w:t>
            </w:r>
            <w:r w:rsidR="009B7AFD">
              <w:rPr>
                <w:color w:val="231F20"/>
              </w:rPr>
              <w:t>under</w:t>
            </w:r>
            <w:r w:rsidR="009B7AFD">
              <w:rPr>
                <w:color w:val="231F20"/>
                <w:spacing w:val="-2"/>
              </w:rPr>
              <w:t xml:space="preserve"> </w:t>
            </w:r>
            <w:r w:rsidR="009B7AFD">
              <w:rPr>
                <w:color w:val="231F20"/>
                <w:spacing w:val="-3"/>
              </w:rPr>
              <w:t>way</w:t>
            </w:r>
            <w:r w:rsidR="009B7AFD">
              <w:rPr>
                <w:color w:val="231F20"/>
                <w:spacing w:val="-3"/>
              </w:rPr>
              <w:tab/>
            </w:r>
            <w:r w:rsidR="009B7AFD">
              <w:rPr>
                <w:color w:val="231F20"/>
                <w:spacing w:val="-4"/>
              </w:rPr>
              <w:t>81</w:t>
            </w:r>
          </w:hyperlink>
        </w:p>
        <w:p w14:paraId="555B9295" w14:textId="77777777" w:rsidR="00894070" w:rsidRDefault="009F6793">
          <w:pPr>
            <w:pStyle w:val="TOC3"/>
            <w:spacing w:before="42" w:line="256" w:lineRule="exact"/>
          </w:pPr>
          <w:hyperlink w:anchor="_bookmark53" w:history="1">
            <w:r w:rsidR="009B7AFD">
              <w:rPr>
                <w:color w:val="231F20"/>
              </w:rPr>
              <w:t>The financial assistance scheme for victims of crime is the subject of</w:t>
            </w:r>
          </w:hyperlink>
        </w:p>
        <w:p w14:paraId="3513453B" w14:textId="77777777" w:rsidR="00894070" w:rsidRDefault="009F6793">
          <w:pPr>
            <w:pStyle w:val="TOC3"/>
            <w:tabs>
              <w:tab w:val="right" w:leader="dot" w:pos="9685"/>
            </w:tabs>
            <w:spacing w:before="0" w:line="256" w:lineRule="exact"/>
          </w:pPr>
          <w:hyperlink w:anchor="_bookmark53" w:history="1">
            <w:r w:rsidR="009B7AFD">
              <w:rPr>
                <w:color w:val="231F20"/>
              </w:rPr>
              <w:t>current</w:t>
            </w:r>
            <w:r w:rsidR="009B7AFD">
              <w:rPr>
                <w:color w:val="231F20"/>
                <w:spacing w:val="-3"/>
              </w:rPr>
              <w:t xml:space="preserve"> </w:t>
            </w:r>
            <w:r w:rsidR="009B7AFD">
              <w:rPr>
                <w:color w:val="231F20"/>
              </w:rPr>
              <w:t>reforms</w:t>
            </w:r>
            <w:r w:rsidR="009B7AFD">
              <w:rPr>
                <w:color w:val="231F20"/>
              </w:rPr>
              <w:tab/>
              <w:t>82</w:t>
            </w:r>
          </w:hyperlink>
        </w:p>
        <w:p w14:paraId="3F53BFE0" w14:textId="77777777" w:rsidR="00894070" w:rsidRDefault="009F6793">
          <w:pPr>
            <w:pStyle w:val="TOC2"/>
            <w:tabs>
              <w:tab w:val="right" w:leader="dot" w:pos="9683"/>
            </w:tabs>
          </w:pPr>
          <w:hyperlink w:anchor="_bookmark54" w:history="1">
            <w:r w:rsidR="009B7AFD">
              <w:rPr>
                <w:color w:val="231F20"/>
                <w:spacing w:val="-6"/>
              </w:rPr>
              <w:t xml:space="preserve">We </w:t>
            </w:r>
            <w:r w:rsidR="009B7AFD">
              <w:rPr>
                <w:color w:val="231F20"/>
              </w:rPr>
              <w:t>recommend enhanced support for victim survivors</w:t>
            </w:r>
            <w:r w:rsidR="009B7AFD">
              <w:rPr>
                <w:color w:val="231F20"/>
                <w:spacing w:val="-12"/>
              </w:rPr>
              <w:t xml:space="preserve"> </w:t>
            </w:r>
            <w:r w:rsidR="009B7AFD">
              <w:rPr>
                <w:color w:val="231F20"/>
              </w:rPr>
              <w:t>of</w:t>
            </w:r>
            <w:r w:rsidR="009B7AFD">
              <w:rPr>
                <w:color w:val="231F20"/>
                <w:spacing w:val="-2"/>
              </w:rPr>
              <w:t xml:space="preserve"> </w:t>
            </w:r>
            <w:r w:rsidR="009B7AFD">
              <w:rPr>
                <w:color w:val="231F20"/>
              </w:rPr>
              <w:t>stalking</w:t>
            </w:r>
            <w:r w:rsidR="009B7AFD">
              <w:rPr>
                <w:color w:val="231F20"/>
              </w:rPr>
              <w:tab/>
            </w:r>
            <w:r w:rsidR="009B7AFD">
              <w:rPr>
                <w:color w:val="231F20"/>
                <w:spacing w:val="-4"/>
              </w:rPr>
              <w:t>83</w:t>
            </w:r>
          </w:hyperlink>
        </w:p>
        <w:p w14:paraId="0AF4CD3E" w14:textId="77777777" w:rsidR="00894070" w:rsidRDefault="009F6793">
          <w:pPr>
            <w:pStyle w:val="TOC3"/>
            <w:tabs>
              <w:tab w:val="right" w:leader="dot" w:pos="9688"/>
            </w:tabs>
            <w:spacing w:before="42"/>
          </w:pPr>
          <w:hyperlink w:anchor="_bookmark55" w:history="1">
            <w:r w:rsidR="009B7AFD">
              <w:rPr>
                <w:color w:val="231F20"/>
              </w:rPr>
              <w:t>Support should</w:t>
            </w:r>
            <w:r w:rsidR="009B7AFD">
              <w:rPr>
                <w:color w:val="231F20"/>
                <w:spacing w:val="-5"/>
              </w:rPr>
              <w:t xml:space="preserve"> </w:t>
            </w:r>
            <w:r w:rsidR="009B7AFD">
              <w:rPr>
                <w:color w:val="231F20"/>
              </w:rPr>
              <w:t>be</w:t>
            </w:r>
            <w:r w:rsidR="009B7AFD">
              <w:rPr>
                <w:color w:val="231F20"/>
                <w:spacing w:val="-2"/>
              </w:rPr>
              <w:t xml:space="preserve"> </w:t>
            </w:r>
            <w:r w:rsidR="009B7AFD">
              <w:rPr>
                <w:color w:val="231F20"/>
              </w:rPr>
              <w:t>integrated</w:t>
            </w:r>
            <w:r w:rsidR="009B7AFD">
              <w:rPr>
                <w:color w:val="231F20"/>
              </w:rPr>
              <w:tab/>
              <w:t>84</w:t>
            </w:r>
          </w:hyperlink>
        </w:p>
        <w:p w14:paraId="6C728755" w14:textId="77777777" w:rsidR="00894070" w:rsidRDefault="009F6793">
          <w:pPr>
            <w:pStyle w:val="TOC3"/>
            <w:tabs>
              <w:tab w:val="right" w:leader="dot" w:pos="9687"/>
            </w:tabs>
          </w:pPr>
          <w:hyperlink w:anchor="_bookmark56" w:history="1">
            <w:r w:rsidR="009B7AFD">
              <w:rPr>
                <w:color w:val="231F20"/>
              </w:rPr>
              <w:t>Financial assistance should</w:t>
            </w:r>
            <w:r w:rsidR="009B7AFD">
              <w:rPr>
                <w:color w:val="231F20"/>
                <w:spacing w:val="-7"/>
              </w:rPr>
              <w:t xml:space="preserve"> </w:t>
            </w:r>
            <w:r w:rsidR="009B7AFD">
              <w:rPr>
                <w:color w:val="231F20"/>
              </w:rPr>
              <w:t>be</w:t>
            </w:r>
            <w:r w:rsidR="009B7AFD">
              <w:rPr>
                <w:color w:val="231F20"/>
                <w:spacing w:val="-2"/>
              </w:rPr>
              <w:t xml:space="preserve"> </w:t>
            </w:r>
            <w:r w:rsidR="009B7AFD">
              <w:rPr>
                <w:color w:val="231F20"/>
              </w:rPr>
              <w:t>immediate</w:t>
            </w:r>
            <w:r w:rsidR="009B7AFD">
              <w:rPr>
                <w:color w:val="231F20"/>
              </w:rPr>
              <w:tab/>
              <w:t>85</w:t>
            </w:r>
          </w:hyperlink>
        </w:p>
        <w:p w14:paraId="00BEB07C" w14:textId="77777777" w:rsidR="00894070" w:rsidRDefault="009F6793">
          <w:pPr>
            <w:pStyle w:val="TOC3"/>
            <w:tabs>
              <w:tab w:val="right" w:leader="dot" w:pos="9687"/>
            </w:tabs>
            <w:spacing w:before="42"/>
          </w:pPr>
          <w:hyperlink w:anchor="_bookmark56" w:history="1">
            <w:r w:rsidR="009B7AFD">
              <w:rPr>
                <w:color w:val="231F20"/>
              </w:rPr>
              <w:t>Any barriers to eligibility should</w:t>
            </w:r>
            <w:r w:rsidR="009B7AFD">
              <w:rPr>
                <w:color w:val="231F20"/>
                <w:spacing w:val="-12"/>
              </w:rPr>
              <w:t xml:space="preserve"> </w:t>
            </w:r>
            <w:r w:rsidR="009B7AFD">
              <w:rPr>
                <w:color w:val="231F20"/>
              </w:rPr>
              <w:t>be</w:t>
            </w:r>
            <w:r w:rsidR="009B7AFD">
              <w:rPr>
                <w:color w:val="231F20"/>
                <w:spacing w:val="-3"/>
              </w:rPr>
              <w:t xml:space="preserve"> </w:t>
            </w:r>
            <w:r w:rsidR="009B7AFD">
              <w:rPr>
                <w:color w:val="231F20"/>
              </w:rPr>
              <w:t>removed</w:t>
            </w:r>
            <w:r w:rsidR="009B7AFD">
              <w:rPr>
                <w:color w:val="231F20"/>
              </w:rPr>
              <w:tab/>
              <w:t>85</w:t>
            </w:r>
          </w:hyperlink>
        </w:p>
        <w:p w14:paraId="2E85280A" w14:textId="77777777" w:rsidR="00894070" w:rsidRDefault="009F6793">
          <w:pPr>
            <w:pStyle w:val="TOC3"/>
            <w:tabs>
              <w:tab w:val="right" w:leader="dot" w:pos="9688"/>
            </w:tabs>
          </w:pPr>
          <w:hyperlink w:anchor="_bookmark57" w:history="1">
            <w:r w:rsidR="009B7AFD">
              <w:rPr>
                <w:color w:val="231F20"/>
              </w:rPr>
              <w:t>Some groups are under-served and need</w:t>
            </w:r>
            <w:r w:rsidR="009B7AFD">
              <w:rPr>
                <w:color w:val="231F20"/>
                <w:spacing w:val="-15"/>
              </w:rPr>
              <w:t xml:space="preserve"> </w:t>
            </w:r>
            <w:r w:rsidR="009B7AFD">
              <w:rPr>
                <w:color w:val="231F20"/>
              </w:rPr>
              <w:t>more</w:t>
            </w:r>
            <w:r w:rsidR="009B7AFD">
              <w:rPr>
                <w:color w:val="231F20"/>
                <w:spacing w:val="-2"/>
              </w:rPr>
              <w:t xml:space="preserve"> </w:t>
            </w:r>
            <w:r w:rsidR="009B7AFD">
              <w:rPr>
                <w:color w:val="231F20"/>
              </w:rPr>
              <w:t>support</w:t>
            </w:r>
            <w:r w:rsidR="009B7AFD">
              <w:rPr>
                <w:color w:val="231F20"/>
              </w:rPr>
              <w:tab/>
              <w:t>86</w:t>
            </w:r>
          </w:hyperlink>
        </w:p>
        <w:p w14:paraId="455DDACE" w14:textId="77777777" w:rsidR="00894070" w:rsidRDefault="009F6793">
          <w:pPr>
            <w:pStyle w:val="TOC3"/>
            <w:tabs>
              <w:tab w:val="right" w:leader="dot" w:pos="9685"/>
            </w:tabs>
            <w:spacing w:before="42"/>
          </w:pPr>
          <w:hyperlink w:anchor="_bookmark58" w:history="1">
            <w:r w:rsidR="009B7AFD">
              <w:rPr>
                <w:color w:val="231F20"/>
              </w:rPr>
              <w:t>Victim support staff must be supported to</w:t>
            </w:r>
            <w:r w:rsidR="009B7AFD">
              <w:rPr>
                <w:color w:val="231F20"/>
                <w:spacing w:val="-18"/>
              </w:rPr>
              <w:t xml:space="preserve"> </w:t>
            </w:r>
            <w:r w:rsidR="009B7AFD">
              <w:rPr>
                <w:color w:val="231F20"/>
              </w:rPr>
              <w:t>understand</w:t>
            </w:r>
            <w:r w:rsidR="009B7AFD">
              <w:rPr>
                <w:color w:val="231F20"/>
                <w:spacing w:val="-2"/>
              </w:rPr>
              <w:t xml:space="preserve"> </w:t>
            </w:r>
            <w:r w:rsidR="009B7AFD">
              <w:rPr>
                <w:color w:val="231F20"/>
              </w:rPr>
              <w:t>stalking</w:t>
            </w:r>
            <w:r w:rsidR="009B7AFD">
              <w:rPr>
                <w:color w:val="231F20"/>
              </w:rPr>
              <w:tab/>
              <w:t>87</w:t>
            </w:r>
          </w:hyperlink>
        </w:p>
        <w:p w14:paraId="3C9FE7A4" w14:textId="77777777" w:rsidR="00894070" w:rsidRDefault="009F6793">
          <w:pPr>
            <w:pStyle w:val="TOC2"/>
            <w:tabs>
              <w:tab w:val="right" w:leader="dot" w:pos="9687"/>
            </w:tabs>
          </w:pPr>
          <w:hyperlink w:anchor="_bookmark59" w:history="1">
            <w:r w:rsidR="009B7AFD">
              <w:rPr>
                <w:color w:val="231F20"/>
              </w:rPr>
              <w:t>A new model of victim advocates could provide</w:t>
            </w:r>
            <w:r w:rsidR="009B7AFD">
              <w:rPr>
                <w:color w:val="231F20"/>
                <w:spacing w:val="-23"/>
              </w:rPr>
              <w:t xml:space="preserve"> </w:t>
            </w:r>
            <w:r w:rsidR="009B7AFD">
              <w:rPr>
                <w:color w:val="231F20"/>
              </w:rPr>
              <w:t>ongoing</w:t>
            </w:r>
            <w:r w:rsidR="009B7AFD">
              <w:rPr>
                <w:color w:val="231F20"/>
                <w:spacing w:val="-3"/>
              </w:rPr>
              <w:t xml:space="preserve"> </w:t>
            </w:r>
            <w:r w:rsidR="009B7AFD">
              <w:rPr>
                <w:color w:val="231F20"/>
              </w:rPr>
              <w:t>support</w:t>
            </w:r>
            <w:r w:rsidR="009B7AFD">
              <w:rPr>
                <w:color w:val="231F20"/>
              </w:rPr>
              <w:tab/>
              <w:t>88</w:t>
            </w:r>
          </w:hyperlink>
        </w:p>
        <w:p w14:paraId="5D8655CB" w14:textId="77777777" w:rsidR="00894070" w:rsidRDefault="009F6793">
          <w:pPr>
            <w:pStyle w:val="TOC3"/>
            <w:tabs>
              <w:tab w:val="right" w:leader="dot" w:pos="9690"/>
            </w:tabs>
          </w:pPr>
          <w:hyperlink w:anchor="_bookmark60" w:history="1">
            <w:r w:rsidR="009B7AFD">
              <w:rPr>
                <w:color w:val="231F20"/>
              </w:rPr>
              <w:t xml:space="preserve">Victim advocates </w:t>
            </w:r>
            <w:r w:rsidR="009B7AFD">
              <w:rPr>
                <w:color w:val="231F20"/>
                <w:spacing w:val="-3"/>
              </w:rPr>
              <w:t xml:space="preserve">have </w:t>
            </w:r>
            <w:r w:rsidR="009B7AFD">
              <w:rPr>
                <w:color w:val="231F20"/>
              </w:rPr>
              <w:t>worked</w:t>
            </w:r>
            <w:r w:rsidR="009B7AFD">
              <w:rPr>
                <w:color w:val="231F20"/>
                <w:spacing w:val="-8"/>
              </w:rPr>
              <w:t xml:space="preserve"> </w:t>
            </w:r>
            <w:r w:rsidR="009B7AFD">
              <w:rPr>
                <w:color w:val="231F20"/>
              </w:rPr>
              <w:t>well</w:t>
            </w:r>
            <w:r w:rsidR="009B7AFD">
              <w:rPr>
                <w:color w:val="231F20"/>
                <w:spacing w:val="-2"/>
              </w:rPr>
              <w:t xml:space="preserve"> </w:t>
            </w:r>
            <w:r w:rsidR="009B7AFD">
              <w:rPr>
                <w:color w:val="231F20"/>
              </w:rPr>
              <w:t>overseas</w:t>
            </w:r>
            <w:r w:rsidR="009B7AFD">
              <w:rPr>
                <w:color w:val="231F20"/>
              </w:rPr>
              <w:tab/>
            </w:r>
            <w:r w:rsidR="009B7AFD">
              <w:rPr>
                <w:color w:val="231F20"/>
                <w:spacing w:val="3"/>
              </w:rPr>
              <w:t>90</w:t>
            </w:r>
          </w:hyperlink>
        </w:p>
        <w:p w14:paraId="05963713" w14:textId="77777777" w:rsidR="00894070" w:rsidRDefault="009F6793">
          <w:pPr>
            <w:pStyle w:val="TOC3"/>
            <w:tabs>
              <w:tab w:val="right" w:leader="dot" w:pos="9687"/>
            </w:tabs>
            <w:spacing w:before="42"/>
          </w:pPr>
          <w:hyperlink w:anchor="_bookmark61" w:history="1">
            <w:r w:rsidR="009B7AFD">
              <w:rPr>
                <w:color w:val="231F20"/>
              </w:rPr>
              <w:t>Victim advocates ‘would be a</w:t>
            </w:r>
            <w:r w:rsidR="009B7AFD">
              <w:rPr>
                <w:color w:val="231F20"/>
                <w:spacing w:val="-12"/>
              </w:rPr>
              <w:t xml:space="preserve"> </w:t>
            </w:r>
            <w:r w:rsidR="009B7AFD">
              <w:rPr>
                <w:color w:val="231F20"/>
              </w:rPr>
              <w:t>game</w:t>
            </w:r>
            <w:r w:rsidR="009B7AFD">
              <w:rPr>
                <w:color w:val="231F20"/>
                <w:spacing w:val="-3"/>
              </w:rPr>
              <w:t xml:space="preserve"> </w:t>
            </w:r>
            <w:r w:rsidR="009B7AFD">
              <w:rPr>
                <w:color w:val="231F20"/>
              </w:rPr>
              <w:t>changer’</w:t>
            </w:r>
            <w:r w:rsidR="009B7AFD">
              <w:rPr>
                <w:color w:val="231F20"/>
              </w:rPr>
              <w:tab/>
              <w:t>91</w:t>
            </w:r>
          </w:hyperlink>
        </w:p>
        <w:p w14:paraId="6ECB7DB6" w14:textId="77777777" w:rsidR="00894070" w:rsidRDefault="009F6793">
          <w:pPr>
            <w:pStyle w:val="TOC3"/>
            <w:tabs>
              <w:tab w:val="right" w:leader="dot" w:pos="9686"/>
            </w:tabs>
          </w:pPr>
          <w:hyperlink w:anchor="_bookmark62" w:history="1">
            <w:r w:rsidR="009B7AFD">
              <w:rPr>
                <w:color w:val="231F20"/>
              </w:rPr>
              <w:t xml:space="preserve">What should be the </w:t>
            </w:r>
            <w:r w:rsidR="009B7AFD">
              <w:rPr>
                <w:color w:val="231F20"/>
                <w:spacing w:val="-3"/>
              </w:rPr>
              <w:t xml:space="preserve">features </w:t>
            </w:r>
            <w:r w:rsidR="009B7AFD">
              <w:rPr>
                <w:color w:val="231F20"/>
              </w:rPr>
              <w:t>of an independent</w:t>
            </w:r>
            <w:r w:rsidR="009B7AFD">
              <w:rPr>
                <w:color w:val="231F20"/>
                <w:spacing w:val="-20"/>
              </w:rPr>
              <w:t xml:space="preserve"> </w:t>
            </w:r>
            <w:r w:rsidR="009B7AFD">
              <w:rPr>
                <w:color w:val="231F20"/>
              </w:rPr>
              <w:t>advocate</w:t>
            </w:r>
            <w:r w:rsidR="009B7AFD">
              <w:rPr>
                <w:color w:val="231F20"/>
                <w:spacing w:val="-3"/>
              </w:rPr>
              <w:t xml:space="preserve"> </w:t>
            </w:r>
            <w:r w:rsidR="009B7AFD">
              <w:rPr>
                <w:color w:val="231F20"/>
              </w:rPr>
              <w:t>model?</w:t>
            </w:r>
            <w:r w:rsidR="009B7AFD">
              <w:rPr>
                <w:color w:val="231F20"/>
              </w:rPr>
              <w:tab/>
              <w:t>92</w:t>
            </w:r>
          </w:hyperlink>
        </w:p>
        <w:p w14:paraId="0FA29699" w14:textId="77777777" w:rsidR="00894070" w:rsidRDefault="009F6793">
          <w:pPr>
            <w:pStyle w:val="TOC3"/>
            <w:tabs>
              <w:tab w:val="right" w:leader="dot" w:pos="9683"/>
            </w:tabs>
            <w:spacing w:before="42"/>
          </w:pPr>
          <w:hyperlink w:anchor="_bookmark63" w:history="1">
            <w:r w:rsidR="009B7AFD">
              <w:rPr>
                <w:color w:val="231F20"/>
              </w:rPr>
              <w:t>Under-served groups should be</w:t>
            </w:r>
            <w:r w:rsidR="009B7AFD">
              <w:rPr>
                <w:color w:val="231F20"/>
                <w:spacing w:val="-10"/>
              </w:rPr>
              <w:t xml:space="preserve"> </w:t>
            </w:r>
            <w:r w:rsidR="009B7AFD">
              <w:rPr>
                <w:color w:val="231F20"/>
              </w:rPr>
              <w:t>a</w:t>
            </w:r>
            <w:r w:rsidR="009B7AFD">
              <w:rPr>
                <w:color w:val="231F20"/>
                <w:spacing w:val="-2"/>
              </w:rPr>
              <w:t xml:space="preserve"> </w:t>
            </w:r>
            <w:r w:rsidR="009B7AFD">
              <w:rPr>
                <w:color w:val="231F20"/>
              </w:rPr>
              <w:t>focus</w:t>
            </w:r>
            <w:r w:rsidR="009B7AFD">
              <w:rPr>
                <w:color w:val="231F20"/>
              </w:rPr>
              <w:tab/>
            </w:r>
            <w:r w:rsidR="009B7AFD">
              <w:rPr>
                <w:color w:val="231F20"/>
                <w:spacing w:val="-4"/>
              </w:rPr>
              <w:t>93</w:t>
            </w:r>
          </w:hyperlink>
        </w:p>
        <w:p w14:paraId="6B781936" w14:textId="77777777" w:rsidR="00894070" w:rsidRDefault="009F6793">
          <w:pPr>
            <w:pStyle w:val="TOC1"/>
            <w:numPr>
              <w:ilvl w:val="0"/>
              <w:numId w:val="1"/>
            </w:numPr>
            <w:tabs>
              <w:tab w:val="left" w:pos="1348"/>
              <w:tab w:val="right" w:leader="dot" w:pos="9690"/>
            </w:tabs>
            <w:ind w:left="1347" w:hanging="340"/>
          </w:pPr>
          <w:hyperlink w:anchor="_bookmark64" w:history="1">
            <w:r w:rsidR="009B7AFD">
              <w:rPr>
                <w:color w:val="EA5B50"/>
              </w:rPr>
              <w:t>Personal safety intervention orders and the civil response</w:t>
            </w:r>
            <w:r w:rsidR="009B7AFD">
              <w:rPr>
                <w:color w:val="EA5B50"/>
                <w:spacing w:val="-22"/>
              </w:rPr>
              <w:t xml:space="preserve"> </w:t>
            </w:r>
            <w:r w:rsidR="009B7AFD">
              <w:rPr>
                <w:color w:val="EA5B50"/>
              </w:rPr>
              <w:t>to</w:t>
            </w:r>
            <w:r w:rsidR="009B7AFD">
              <w:rPr>
                <w:color w:val="EA5B50"/>
                <w:spacing w:val="-2"/>
              </w:rPr>
              <w:t xml:space="preserve"> </w:t>
            </w:r>
            <w:r w:rsidR="009B7AFD">
              <w:rPr>
                <w:color w:val="EA5B50"/>
              </w:rPr>
              <w:t>stalking</w:t>
            </w:r>
            <w:r w:rsidR="009B7AFD">
              <w:rPr>
                <w:color w:val="EA5B50"/>
              </w:rPr>
              <w:tab/>
            </w:r>
            <w:r w:rsidR="009B7AFD">
              <w:rPr>
                <w:color w:val="EA5B50"/>
                <w:spacing w:val="3"/>
              </w:rPr>
              <w:t>96</w:t>
            </w:r>
          </w:hyperlink>
        </w:p>
        <w:p w14:paraId="796C1E35" w14:textId="77777777" w:rsidR="00894070" w:rsidRDefault="009F6793">
          <w:pPr>
            <w:pStyle w:val="TOC2"/>
            <w:tabs>
              <w:tab w:val="right" w:leader="dot" w:pos="9691"/>
            </w:tabs>
            <w:spacing w:before="48"/>
          </w:pPr>
          <w:hyperlink w:anchor="_bookmark64" w:history="1">
            <w:r w:rsidR="009B7AFD">
              <w:rPr>
                <w:color w:val="231F20"/>
              </w:rPr>
              <w:t>Overview</w:t>
            </w:r>
            <w:r w:rsidR="009B7AFD">
              <w:rPr>
                <w:color w:val="231F20"/>
              </w:rPr>
              <w:tab/>
            </w:r>
            <w:r w:rsidR="009B7AFD">
              <w:rPr>
                <w:color w:val="231F20"/>
                <w:spacing w:val="4"/>
              </w:rPr>
              <w:t>96</w:t>
            </w:r>
          </w:hyperlink>
        </w:p>
        <w:p w14:paraId="43CFBF2E" w14:textId="77777777" w:rsidR="00894070" w:rsidRDefault="009F6793">
          <w:pPr>
            <w:pStyle w:val="TOC2"/>
            <w:tabs>
              <w:tab w:val="right" w:leader="dot" w:pos="9691"/>
            </w:tabs>
          </w:pPr>
          <w:hyperlink w:anchor="_bookmark64" w:history="1">
            <w:r w:rsidR="009B7AFD">
              <w:rPr>
                <w:color w:val="231F20"/>
              </w:rPr>
              <w:t>The main response</w:t>
            </w:r>
            <w:r w:rsidR="009B7AFD">
              <w:rPr>
                <w:color w:val="231F20"/>
                <w:spacing w:val="-7"/>
              </w:rPr>
              <w:t xml:space="preserve"> </w:t>
            </w:r>
            <w:r w:rsidR="009B7AFD">
              <w:rPr>
                <w:color w:val="231F20"/>
              </w:rPr>
              <w:t>to</w:t>
            </w:r>
            <w:r w:rsidR="009B7AFD">
              <w:rPr>
                <w:color w:val="231F20"/>
                <w:spacing w:val="-2"/>
              </w:rPr>
              <w:t xml:space="preserve"> </w:t>
            </w:r>
            <w:r w:rsidR="009B7AFD">
              <w:rPr>
                <w:color w:val="231F20"/>
              </w:rPr>
              <w:t>stalking</w:t>
            </w:r>
            <w:r w:rsidR="009B7AFD">
              <w:rPr>
                <w:color w:val="231F20"/>
              </w:rPr>
              <w:tab/>
            </w:r>
            <w:r w:rsidR="009B7AFD">
              <w:rPr>
                <w:color w:val="231F20"/>
                <w:spacing w:val="4"/>
              </w:rPr>
              <w:t>96</w:t>
            </w:r>
          </w:hyperlink>
        </w:p>
        <w:p w14:paraId="13E61F28" w14:textId="77777777" w:rsidR="00894070" w:rsidRDefault="009F6793">
          <w:pPr>
            <w:pStyle w:val="TOC2"/>
            <w:tabs>
              <w:tab w:val="right" w:leader="dot" w:pos="9687"/>
            </w:tabs>
            <w:spacing w:before="48"/>
          </w:pPr>
          <w:hyperlink w:anchor="_bookmark65" w:history="1">
            <w:r w:rsidR="009B7AFD">
              <w:rPr>
                <w:color w:val="231F20"/>
              </w:rPr>
              <w:t>How does the PSIO</w:t>
            </w:r>
            <w:r w:rsidR="009B7AFD">
              <w:rPr>
                <w:color w:val="231F20"/>
                <w:spacing w:val="-9"/>
              </w:rPr>
              <w:t xml:space="preserve"> </w:t>
            </w:r>
            <w:r w:rsidR="009B7AFD">
              <w:rPr>
                <w:color w:val="231F20"/>
              </w:rPr>
              <w:t>process</w:t>
            </w:r>
            <w:r w:rsidR="009B7AFD">
              <w:rPr>
                <w:color w:val="231F20"/>
                <w:spacing w:val="-2"/>
              </w:rPr>
              <w:t xml:space="preserve"> </w:t>
            </w:r>
            <w:r w:rsidR="009B7AFD">
              <w:rPr>
                <w:color w:val="231F20"/>
              </w:rPr>
              <w:t>work?</w:t>
            </w:r>
            <w:r w:rsidR="009B7AFD">
              <w:rPr>
                <w:color w:val="231F20"/>
              </w:rPr>
              <w:tab/>
            </w:r>
            <w:r w:rsidR="009B7AFD">
              <w:rPr>
                <w:color w:val="231F20"/>
                <w:spacing w:val="-4"/>
              </w:rPr>
              <w:t>97</w:t>
            </w:r>
          </w:hyperlink>
        </w:p>
        <w:p w14:paraId="7E45F408" w14:textId="77777777" w:rsidR="00894070" w:rsidRDefault="009F6793">
          <w:pPr>
            <w:pStyle w:val="TOC3"/>
            <w:tabs>
              <w:tab w:val="right" w:leader="dot" w:pos="9689"/>
            </w:tabs>
          </w:pPr>
          <w:hyperlink w:anchor="_bookmark66" w:history="1">
            <w:r w:rsidR="009B7AFD">
              <w:rPr>
                <w:color w:val="231F20"/>
              </w:rPr>
              <w:t>The need for a</w:t>
            </w:r>
            <w:r w:rsidR="009B7AFD">
              <w:rPr>
                <w:color w:val="231F20"/>
                <w:spacing w:val="-9"/>
              </w:rPr>
              <w:t xml:space="preserve"> </w:t>
            </w:r>
            <w:r w:rsidR="009B7AFD">
              <w:rPr>
                <w:color w:val="231F20"/>
              </w:rPr>
              <w:t>focused</w:t>
            </w:r>
            <w:r w:rsidR="009B7AFD">
              <w:rPr>
                <w:color w:val="231F20"/>
                <w:spacing w:val="-2"/>
              </w:rPr>
              <w:t xml:space="preserve"> </w:t>
            </w:r>
            <w:r w:rsidR="009B7AFD">
              <w:rPr>
                <w:color w:val="231F20"/>
              </w:rPr>
              <w:t>response</w:t>
            </w:r>
            <w:r w:rsidR="009B7AFD">
              <w:rPr>
                <w:color w:val="231F20"/>
              </w:rPr>
              <w:tab/>
              <w:t>98</w:t>
            </w:r>
          </w:hyperlink>
        </w:p>
        <w:p w14:paraId="5CAFC114" w14:textId="77777777" w:rsidR="00894070" w:rsidRDefault="009F6793">
          <w:pPr>
            <w:pStyle w:val="TOC3"/>
            <w:tabs>
              <w:tab w:val="right" w:leader="dot" w:pos="9687"/>
            </w:tabs>
          </w:pPr>
          <w:hyperlink w:anchor="_bookmark67" w:history="1">
            <w:r w:rsidR="009B7AFD">
              <w:rPr>
                <w:color w:val="231F20"/>
              </w:rPr>
              <w:t>The need for a</w:t>
            </w:r>
            <w:r w:rsidR="009B7AFD">
              <w:rPr>
                <w:color w:val="231F20"/>
                <w:spacing w:val="-9"/>
              </w:rPr>
              <w:t xml:space="preserve"> </w:t>
            </w:r>
            <w:proofErr w:type="spellStart"/>
            <w:r w:rsidR="009B7AFD">
              <w:rPr>
                <w:color w:val="231F20"/>
              </w:rPr>
              <w:t>specialised</w:t>
            </w:r>
            <w:proofErr w:type="spellEnd"/>
            <w:r w:rsidR="009B7AFD">
              <w:rPr>
                <w:color w:val="231F20"/>
                <w:spacing w:val="-2"/>
              </w:rPr>
              <w:t xml:space="preserve"> </w:t>
            </w:r>
            <w:r w:rsidR="009B7AFD">
              <w:rPr>
                <w:color w:val="231F20"/>
              </w:rPr>
              <w:t>response</w:t>
            </w:r>
            <w:r w:rsidR="009B7AFD">
              <w:rPr>
                <w:color w:val="231F20"/>
              </w:rPr>
              <w:tab/>
              <w:t>100</w:t>
            </w:r>
          </w:hyperlink>
        </w:p>
        <w:p w14:paraId="5D8F04F0" w14:textId="77777777" w:rsidR="00894070" w:rsidRDefault="009F6793">
          <w:pPr>
            <w:pStyle w:val="TOC2"/>
            <w:tabs>
              <w:tab w:val="right" w:leader="dot" w:pos="9687"/>
            </w:tabs>
            <w:spacing w:before="48"/>
          </w:pPr>
          <w:hyperlink w:anchor="_bookmark68" w:history="1">
            <w:r w:rsidR="009B7AFD">
              <w:rPr>
                <w:color w:val="231F20"/>
              </w:rPr>
              <w:t>Identifying stalking among</w:t>
            </w:r>
            <w:r w:rsidR="009B7AFD">
              <w:rPr>
                <w:color w:val="231F20"/>
                <w:spacing w:val="-7"/>
              </w:rPr>
              <w:t xml:space="preserve"> </w:t>
            </w:r>
            <w:r w:rsidR="009B7AFD">
              <w:rPr>
                <w:color w:val="231F20"/>
              </w:rPr>
              <w:t>PSIO</w:t>
            </w:r>
            <w:r w:rsidR="009B7AFD">
              <w:rPr>
                <w:color w:val="231F20"/>
                <w:spacing w:val="-2"/>
              </w:rPr>
              <w:t xml:space="preserve"> </w:t>
            </w:r>
            <w:r w:rsidR="009B7AFD">
              <w:rPr>
                <w:color w:val="231F20"/>
              </w:rPr>
              <w:t>cases</w:t>
            </w:r>
            <w:r w:rsidR="009B7AFD">
              <w:rPr>
                <w:color w:val="231F20"/>
              </w:rPr>
              <w:tab/>
            </w:r>
            <w:r w:rsidR="009B7AFD">
              <w:rPr>
                <w:color w:val="231F20"/>
                <w:spacing w:val="-3"/>
              </w:rPr>
              <w:t>101</w:t>
            </w:r>
          </w:hyperlink>
        </w:p>
        <w:p w14:paraId="52BD61E0" w14:textId="77777777" w:rsidR="00894070" w:rsidRDefault="009F6793">
          <w:pPr>
            <w:pStyle w:val="TOC3"/>
            <w:tabs>
              <w:tab w:val="right" w:leader="dot" w:pos="9687"/>
            </w:tabs>
          </w:pPr>
          <w:hyperlink w:anchor="_bookmark68" w:history="1">
            <w:r w:rsidR="009B7AFD">
              <w:rPr>
                <w:color w:val="231F20"/>
              </w:rPr>
              <w:t>Guidance for courts should</w:t>
            </w:r>
            <w:r w:rsidR="009B7AFD">
              <w:rPr>
                <w:color w:val="231F20"/>
                <w:spacing w:val="-9"/>
              </w:rPr>
              <w:t xml:space="preserve"> </w:t>
            </w:r>
            <w:r w:rsidR="009B7AFD">
              <w:rPr>
                <w:color w:val="231F20"/>
              </w:rPr>
              <w:t>be</w:t>
            </w:r>
            <w:r w:rsidR="009B7AFD">
              <w:rPr>
                <w:color w:val="231F20"/>
                <w:spacing w:val="-2"/>
              </w:rPr>
              <w:t xml:space="preserve"> </w:t>
            </w:r>
            <w:r w:rsidR="009B7AFD">
              <w:rPr>
                <w:color w:val="231F20"/>
              </w:rPr>
              <w:t>developed</w:t>
            </w:r>
            <w:r w:rsidR="009B7AFD">
              <w:rPr>
                <w:color w:val="231F20"/>
              </w:rPr>
              <w:tab/>
            </w:r>
            <w:r w:rsidR="009B7AFD">
              <w:rPr>
                <w:color w:val="231F20"/>
                <w:spacing w:val="-3"/>
              </w:rPr>
              <w:t>101</w:t>
            </w:r>
          </w:hyperlink>
        </w:p>
        <w:p w14:paraId="46609D6D" w14:textId="77777777" w:rsidR="00894070" w:rsidRDefault="009F6793">
          <w:pPr>
            <w:pStyle w:val="TOC2"/>
            <w:tabs>
              <w:tab w:val="right" w:leader="dot" w:pos="9687"/>
            </w:tabs>
            <w:spacing w:before="48"/>
          </w:pPr>
          <w:hyperlink w:anchor="_bookmark69" w:history="1">
            <w:r w:rsidR="009B7AFD">
              <w:rPr>
                <w:color w:val="231F20"/>
              </w:rPr>
              <w:t xml:space="preserve">A </w:t>
            </w:r>
            <w:proofErr w:type="spellStart"/>
            <w:r w:rsidR="009B7AFD">
              <w:rPr>
                <w:color w:val="231F20"/>
              </w:rPr>
              <w:t>specialised</w:t>
            </w:r>
            <w:proofErr w:type="spellEnd"/>
            <w:r w:rsidR="009B7AFD">
              <w:rPr>
                <w:color w:val="231F20"/>
              </w:rPr>
              <w:t xml:space="preserve"> approach should</w:t>
            </w:r>
            <w:r w:rsidR="009B7AFD">
              <w:rPr>
                <w:color w:val="231F20"/>
                <w:spacing w:val="-9"/>
              </w:rPr>
              <w:t xml:space="preserve"> </w:t>
            </w:r>
            <w:r w:rsidR="009B7AFD">
              <w:rPr>
                <w:color w:val="231F20"/>
              </w:rPr>
              <w:t>be</w:t>
            </w:r>
            <w:r w:rsidR="009B7AFD">
              <w:rPr>
                <w:color w:val="231F20"/>
                <w:spacing w:val="-3"/>
              </w:rPr>
              <w:t xml:space="preserve"> </w:t>
            </w:r>
            <w:r w:rsidR="009B7AFD">
              <w:rPr>
                <w:color w:val="231F20"/>
              </w:rPr>
              <w:t>adopted</w:t>
            </w:r>
            <w:r w:rsidR="009B7AFD">
              <w:rPr>
                <w:color w:val="231F20"/>
              </w:rPr>
              <w:tab/>
            </w:r>
            <w:r w:rsidR="009B7AFD">
              <w:rPr>
                <w:color w:val="231F20"/>
                <w:spacing w:val="-3"/>
              </w:rPr>
              <w:t>103</w:t>
            </w:r>
          </w:hyperlink>
        </w:p>
        <w:p w14:paraId="03842A47" w14:textId="77777777" w:rsidR="00894070" w:rsidRDefault="009F6793">
          <w:pPr>
            <w:pStyle w:val="TOC3"/>
            <w:tabs>
              <w:tab w:val="right" w:leader="dot" w:pos="9687"/>
            </w:tabs>
          </w:pPr>
          <w:hyperlink w:anchor="_bookmark70" w:history="1">
            <w:r w:rsidR="009B7AFD">
              <w:rPr>
                <w:color w:val="231F20"/>
              </w:rPr>
              <w:t>Learning from the specialist family</w:t>
            </w:r>
            <w:r w:rsidR="009B7AFD">
              <w:rPr>
                <w:color w:val="231F20"/>
                <w:spacing w:val="-12"/>
              </w:rPr>
              <w:t xml:space="preserve"> </w:t>
            </w:r>
            <w:r w:rsidR="009B7AFD">
              <w:rPr>
                <w:color w:val="231F20"/>
              </w:rPr>
              <w:t>violence</w:t>
            </w:r>
            <w:r w:rsidR="009B7AFD">
              <w:rPr>
                <w:color w:val="231F20"/>
                <w:spacing w:val="-2"/>
              </w:rPr>
              <w:t xml:space="preserve"> </w:t>
            </w:r>
            <w:r w:rsidR="009B7AFD">
              <w:rPr>
                <w:color w:val="231F20"/>
              </w:rPr>
              <w:t>courts</w:t>
            </w:r>
            <w:r w:rsidR="009B7AFD">
              <w:rPr>
                <w:color w:val="231F20"/>
              </w:rPr>
              <w:tab/>
            </w:r>
            <w:r w:rsidR="009B7AFD">
              <w:rPr>
                <w:color w:val="231F20"/>
                <w:spacing w:val="-3"/>
              </w:rPr>
              <w:t>104</w:t>
            </w:r>
          </w:hyperlink>
        </w:p>
        <w:p w14:paraId="0056AACE" w14:textId="77777777" w:rsidR="00894070" w:rsidRDefault="009F6793">
          <w:pPr>
            <w:pStyle w:val="TOC3"/>
            <w:tabs>
              <w:tab w:val="right" w:leader="dot" w:pos="9687"/>
            </w:tabs>
            <w:spacing w:before="42"/>
          </w:pPr>
          <w:hyperlink w:anchor="_bookmark71" w:history="1">
            <w:r w:rsidR="009B7AFD">
              <w:rPr>
                <w:color w:val="231F20"/>
              </w:rPr>
              <w:t>A specialist stalking</w:t>
            </w:r>
            <w:r w:rsidR="009B7AFD">
              <w:rPr>
                <w:color w:val="231F20"/>
                <w:spacing w:val="-7"/>
              </w:rPr>
              <w:t xml:space="preserve"> </w:t>
            </w:r>
            <w:r w:rsidR="009B7AFD">
              <w:rPr>
                <w:color w:val="231F20"/>
              </w:rPr>
              <w:t>PSIO</w:t>
            </w:r>
            <w:r w:rsidR="009B7AFD">
              <w:rPr>
                <w:color w:val="231F20"/>
                <w:spacing w:val="-2"/>
              </w:rPr>
              <w:t xml:space="preserve"> </w:t>
            </w:r>
            <w:r w:rsidR="009B7AFD">
              <w:rPr>
                <w:color w:val="231F20"/>
              </w:rPr>
              <w:t>list</w:t>
            </w:r>
            <w:r w:rsidR="009B7AFD">
              <w:rPr>
                <w:color w:val="231F20"/>
              </w:rPr>
              <w:tab/>
              <w:t>105</w:t>
            </w:r>
          </w:hyperlink>
        </w:p>
        <w:p w14:paraId="17E35F7B" w14:textId="77777777" w:rsidR="00894070" w:rsidRDefault="009F6793">
          <w:pPr>
            <w:pStyle w:val="TOC3"/>
            <w:tabs>
              <w:tab w:val="right" w:leader="dot" w:pos="9680"/>
            </w:tabs>
          </w:pPr>
          <w:hyperlink w:anchor="_bookmark72" w:history="1">
            <w:r w:rsidR="009B7AFD">
              <w:rPr>
                <w:color w:val="231F20"/>
              </w:rPr>
              <w:t>Mediation of</w:t>
            </w:r>
            <w:r w:rsidR="009B7AFD">
              <w:rPr>
                <w:color w:val="231F20"/>
                <w:spacing w:val="-5"/>
              </w:rPr>
              <w:t xml:space="preserve"> </w:t>
            </w:r>
            <w:r w:rsidR="009B7AFD">
              <w:rPr>
                <w:color w:val="231F20"/>
              </w:rPr>
              <w:t>non-stalking</w:t>
            </w:r>
            <w:r w:rsidR="009B7AFD">
              <w:rPr>
                <w:color w:val="231F20"/>
                <w:spacing w:val="-2"/>
              </w:rPr>
              <w:t xml:space="preserve"> </w:t>
            </w:r>
            <w:r w:rsidR="009B7AFD">
              <w:rPr>
                <w:color w:val="231F20"/>
              </w:rPr>
              <w:t>matters</w:t>
            </w:r>
            <w:r w:rsidR="009B7AFD">
              <w:rPr>
                <w:color w:val="231F20"/>
              </w:rPr>
              <w:tab/>
            </w:r>
            <w:r w:rsidR="009B7AFD">
              <w:rPr>
                <w:color w:val="231F20"/>
                <w:spacing w:val="-7"/>
              </w:rPr>
              <w:t>107</w:t>
            </w:r>
          </w:hyperlink>
        </w:p>
        <w:p w14:paraId="08D29F78" w14:textId="77777777" w:rsidR="00894070" w:rsidRDefault="009F6793">
          <w:pPr>
            <w:pStyle w:val="TOC3"/>
            <w:tabs>
              <w:tab w:val="right" w:leader="dot" w:pos="9687"/>
            </w:tabs>
          </w:pPr>
          <w:hyperlink w:anchor="_bookmark73" w:history="1">
            <w:r w:rsidR="009B7AFD">
              <w:rPr>
                <w:color w:val="231F20"/>
              </w:rPr>
              <w:t>There are future options</w:t>
            </w:r>
            <w:r w:rsidR="009B7AFD">
              <w:rPr>
                <w:color w:val="231F20"/>
                <w:spacing w:val="-10"/>
              </w:rPr>
              <w:t xml:space="preserve"> </w:t>
            </w:r>
            <w:r w:rsidR="009B7AFD">
              <w:rPr>
                <w:color w:val="231F20"/>
              </w:rPr>
              <w:t>for</w:t>
            </w:r>
            <w:r w:rsidR="009B7AFD">
              <w:rPr>
                <w:color w:val="231F20"/>
                <w:spacing w:val="-3"/>
              </w:rPr>
              <w:t xml:space="preserve"> </w:t>
            </w:r>
            <w:proofErr w:type="spellStart"/>
            <w:r w:rsidR="009B7AFD">
              <w:rPr>
                <w:color w:val="231F20"/>
              </w:rPr>
              <w:t>specialisation</w:t>
            </w:r>
            <w:proofErr w:type="spellEnd"/>
            <w:r w:rsidR="009B7AFD">
              <w:rPr>
                <w:color w:val="231F20"/>
              </w:rPr>
              <w:tab/>
              <w:t>109</w:t>
            </w:r>
          </w:hyperlink>
        </w:p>
        <w:p w14:paraId="133C7FC4" w14:textId="77777777" w:rsidR="00894070" w:rsidRDefault="009F6793">
          <w:pPr>
            <w:pStyle w:val="TOC2"/>
            <w:tabs>
              <w:tab w:val="right" w:leader="dot" w:pos="9683"/>
            </w:tabs>
            <w:spacing w:before="48"/>
          </w:pPr>
          <w:hyperlink w:anchor="_bookmark74" w:history="1">
            <w:r w:rsidR="009B7AFD">
              <w:rPr>
                <w:color w:val="231F20"/>
                <w:spacing w:val="-3"/>
              </w:rPr>
              <w:t xml:space="preserve">System </w:t>
            </w:r>
            <w:r w:rsidR="009B7AFD">
              <w:rPr>
                <w:color w:val="231F20"/>
              </w:rPr>
              <w:t>improvements should be based on family</w:t>
            </w:r>
            <w:r w:rsidR="009B7AFD">
              <w:rPr>
                <w:color w:val="231F20"/>
                <w:spacing w:val="-17"/>
              </w:rPr>
              <w:t xml:space="preserve"> </w:t>
            </w:r>
            <w:r w:rsidR="009B7AFD">
              <w:rPr>
                <w:color w:val="231F20"/>
              </w:rPr>
              <w:t>violence</w:t>
            </w:r>
            <w:r w:rsidR="009B7AFD">
              <w:rPr>
                <w:color w:val="231F20"/>
                <w:spacing w:val="-3"/>
              </w:rPr>
              <w:t xml:space="preserve"> </w:t>
            </w:r>
            <w:r w:rsidR="009B7AFD">
              <w:rPr>
                <w:color w:val="231F20"/>
              </w:rPr>
              <w:t>legislation</w:t>
            </w:r>
            <w:r w:rsidR="009B7AFD">
              <w:rPr>
                <w:color w:val="231F20"/>
              </w:rPr>
              <w:tab/>
            </w:r>
            <w:r w:rsidR="009B7AFD">
              <w:rPr>
                <w:color w:val="231F20"/>
                <w:spacing w:val="-4"/>
              </w:rPr>
              <w:t>110</w:t>
            </w:r>
          </w:hyperlink>
        </w:p>
        <w:p w14:paraId="12FE3E94" w14:textId="77777777" w:rsidR="00894070" w:rsidRDefault="009F6793">
          <w:pPr>
            <w:pStyle w:val="TOC3"/>
            <w:tabs>
              <w:tab w:val="right" w:leader="dot" w:pos="9687"/>
            </w:tabs>
          </w:pPr>
          <w:hyperlink w:anchor="_bookmark75" w:history="1">
            <w:r w:rsidR="009B7AFD">
              <w:rPr>
                <w:color w:val="231F20"/>
              </w:rPr>
              <w:t>Restrictions on publication should</w:t>
            </w:r>
            <w:r w:rsidR="009B7AFD">
              <w:rPr>
                <w:color w:val="231F20"/>
                <w:spacing w:val="-9"/>
              </w:rPr>
              <w:t xml:space="preserve"> </w:t>
            </w:r>
            <w:r w:rsidR="009B7AFD">
              <w:rPr>
                <w:color w:val="231F20"/>
                <w:spacing w:val="-3"/>
              </w:rPr>
              <w:t>cover</w:t>
            </w:r>
            <w:r w:rsidR="009B7AFD">
              <w:rPr>
                <w:color w:val="231F20"/>
                <w:spacing w:val="-2"/>
              </w:rPr>
              <w:t xml:space="preserve"> </w:t>
            </w:r>
            <w:r w:rsidR="009B7AFD">
              <w:rPr>
                <w:color w:val="231F20"/>
              </w:rPr>
              <w:t>adults</w:t>
            </w:r>
            <w:r w:rsidR="009B7AFD">
              <w:rPr>
                <w:color w:val="231F20"/>
              </w:rPr>
              <w:tab/>
              <w:t>111</w:t>
            </w:r>
          </w:hyperlink>
        </w:p>
        <w:p w14:paraId="3EB37E87" w14:textId="77777777" w:rsidR="00894070" w:rsidRDefault="009F6793">
          <w:pPr>
            <w:pStyle w:val="TOC3"/>
            <w:tabs>
              <w:tab w:val="right" w:leader="dot" w:pos="9687"/>
            </w:tabs>
            <w:spacing w:before="42"/>
          </w:pPr>
          <w:hyperlink w:anchor="_bookmark76" w:history="1">
            <w:r w:rsidR="009B7AFD">
              <w:rPr>
                <w:color w:val="231F20"/>
              </w:rPr>
              <w:t xml:space="preserve">Protection from cross-examination </w:t>
            </w:r>
            <w:r w:rsidR="009B7AFD">
              <w:rPr>
                <w:color w:val="231F20"/>
                <w:spacing w:val="-3"/>
              </w:rPr>
              <w:t>by</w:t>
            </w:r>
            <w:r w:rsidR="009B7AFD">
              <w:rPr>
                <w:color w:val="231F20"/>
                <w:spacing w:val="-12"/>
              </w:rPr>
              <w:t xml:space="preserve"> </w:t>
            </w:r>
            <w:r w:rsidR="009B7AFD">
              <w:rPr>
                <w:color w:val="231F20"/>
              </w:rPr>
              <w:t>the</w:t>
            </w:r>
            <w:r w:rsidR="009B7AFD">
              <w:rPr>
                <w:color w:val="231F20"/>
                <w:spacing w:val="-3"/>
              </w:rPr>
              <w:t xml:space="preserve"> </w:t>
            </w:r>
            <w:r w:rsidR="009B7AFD">
              <w:rPr>
                <w:color w:val="231F20"/>
              </w:rPr>
              <w:t>respondent</w:t>
            </w:r>
            <w:r w:rsidR="009B7AFD">
              <w:rPr>
                <w:color w:val="231F20"/>
              </w:rPr>
              <w:tab/>
              <w:t>113</w:t>
            </w:r>
          </w:hyperlink>
        </w:p>
        <w:p w14:paraId="0709C703" w14:textId="77777777" w:rsidR="00894070" w:rsidRDefault="009F6793">
          <w:pPr>
            <w:pStyle w:val="TOC2"/>
            <w:tabs>
              <w:tab w:val="right" w:leader="dot" w:pos="9684"/>
            </w:tabs>
          </w:pPr>
          <w:hyperlink w:anchor="_bookmark77" w:history="1">
            <w:r w:rsidR="009B7AFD">
              <w:rPr>
                <w:color w:val="231F20"/>
              </w:rPr>
              <w:t>Legal representation and support should</w:t>
            </w:r>
            <w:r w:rsidR="009B7AFD">
              <w:rPr>
                <w:color w:val="231F20"/>
                <w:spacing w:val="-13"/>
              </w:rPr>
              <w:t xml:space="preserve"> </w:t>
            </w:r>
            <w:r w:rsidR="009B7AFD">
              <w:rPr>
                <w:color w:val="231F20"/>
              </w:rPr>
              <w:t>be</w:t>
            </w:r>
            <w:r w:rsidR="009B7AFD">
              <w:rPr>
                <w:color w:val="231F20"/>
                <w:spacing w:val="-3"/>
              </w:rPr>
              <w:t xml:space="preserve"> </w:t>
            </w:r>
            <w:r w:rsidR="009B7AFD">
              <w:rPr>
                <w:color w:val="231F20"/>
              </w:rPr>
              <w:t>strengthened</w:t>
            </w:r>
            <w:r w:rsidR="009B7AFD">
              <w:rPr>
                <w:color w:val="231F20"/>
              </w:rPr>
              <w:tab/>
              <w:t>116</w:t>
            </w:r>
          </w:hyperlink>
        </w:p>
        <w:p w14:paraId="1D246C19" w14:textId="77777777" w:rsidR="00894070" w:rsidRDefault="009F6793">
          <w:pPr>
            <w:pStyle w:val="TOC3"/>
            <w:tabs>
              <w:tab w:val="right" w:leader="dot" w:pos="9684"/>
            </w:tabs>
            <w:spacing w:before="42"/>
          </w:pPr>
          <w:hyperlink w:anchor="_bookmark77" w:history="1">
            <w:r w:rsidR="009B7AFD">
              <w:rPr>
                <w:color w:val="231F20"/>
              </w:rPr>
              <w:t>Gaps exist for applicants and respondents</w:t>
            </w:r>
            <w:r w:rsidR="009B7AFD">
              <w:rPr>
                <w:color w:val="231F20"/>
                <w:spacing w:val="-14"/>
              </w:rPr>
              <w:t xml:space="preserve"> </w:t>
            </w:r>
            <w:r w:rsidR="009B7AFD">
              <w:rPr>
                <w:color w:val="231F20"/>
              </w:rPr>
              <w:t>to</w:t>
            </w:r>
            <w:r w:rsidR="009B7AFD">
              <w:rPr>
                <w:color w:val="231F20"/>
                <w:spacing w:val="-3"/>
              </w:rPr>
              <w:t xml:space="preserve"> </w:t>
            </w:r>
            <w:r w:rsidR="009B7AFD">
              <w:rPr>
                <w:color w:val="231F20"/>
              </w:rPr>
              <w:t>PSIOs</w:t>
            </w:r>
            <w:r w:rsidR="009B7AFD">
              <w:rPr>
                <w:color w:val="231F20"/>
              </w:rPr>
              <w:tab/>
              <w:t>116</w:t>
            </w:r>
          </w:hyperlink>
        </w:p>
        <w:p w14:paraId="1953C2CB" w14:textId="77777777" w:rsidR="00894070" w:rsidRDefault="009F6793">
          <w:pPr>
            <w:pStyle w:val="TOC3"/>
            <w:tabs>
              <w:tab w:val="right" w:leader="dot" w:pos="9685"/>
            </w:tabs>
          </w:pPr>
          <w:hyperlink w:anchor="_bookmark78" w:history="1">
            <w:r w:rsidR="009B7AFD">
              <w:rPr>
                <w:color w:val="231F20"/>
              </w:rPr>
              <w:t>The need for legal advice</w:t>
            </w:r>
            <w:r w:rsidR="009B7AFD">
              <w:rPr>
                <w:color w:val="231F20"/>
                <w:spacing w:val="-13"/>
              </w:rPr>
              <w:t xml:space="preserve"> </w:t>
            </w:r>
            <w:r w:rsidR="009B7AFD">
              <w:rPr>
                <w:color w:val="231F20"/>
              </w:rPr>
              <w:t>and</w:t>
            </w:r>
            <w:r w:rsidR="009B7AFD">
              <w:rPr>
                <w:color w:val="231F20"/>
                <w:spacing w:val="-2"/>
              </w:rPr>
              <w:t xml:space="preserve"> </w:t>
            </w:r>
            <w:r w:rsidR="009B7AFD">
              <w:rPr>
                <w:color w:val="231F20"/>
              </w:rPr>
              <w:t>representation</w:t>
            </w:r>
            <w:r w:rsidR="009B7AFD">
              <w:rPr>
                <w:color w:val="231F20"/>
              </w:rPr>
              <w:tab/>
              <w:t>118</w:t>
            </w:r>
          </w:hyperlink>
        </w:p>
      </w:sdtContent>
    </w:sdt>
    <w:p w14:paraId="3D6492B4" w14:textId="77777777" w:rsidR="00894070" w:rsidRDefault="009B7AFD">
      <w:pPr>
        <w:pStyle w:val="Heading8"/>
        <w:spacing w:before="29"/>
        <w:ind w:right="305"/>
        <w:jc w:val="right"/>
      </w:pPr>
      <w:r>
        <w:rPr>
          <w:color w:val="EA5B50"/>
          <w:w w:val="99"/>
        </w:rPr>
        <w:t>v</w:t>
      </w:r>
    </w:p>
    <w:p w14:paraId="565CDCA1" w14:textId="77777777" w:rsidR="00894070" w:rsidRDefault="00894070">
      <w:pPr>
        <w:jc w:val="right"/>
        <w:sectPr w:rsidR="00894070">
          <w:pgSz w:w="11910" w:h="16840"/>
          <w:pgMar w:top="840" w:right="420" w:bottom="280" w:left="580" w:header="0" w:footer="0" w:gutter="0"/>
          <w:cols w:space="720"/>
        </w:sectPr>
      </w:pPr>
    </w:p>
    <w:p w14:paraId="4388F324" w14:textId="77777777" w:rsidR="00894070" w:rsidRDefault="00894070">
      <w:pPr>
        <w:pStyle w:val="BodyText"/>
        <w:rPr>
          <w:b/>
          <w:sz w:val="22"/>
        </w:rPr>
      </w:pPr>
    </w:p>
    <w:p w14:paraId="77E48012" w14:textId="77777777" w:rsidR="00894070" w:rsidRDefault="00894070">
      <w:pPr>
        <w:pStyle w:val="BodyText"/>
        <w:rPr>
          <w:b/>
          <w:sz w:val="22"/>
        </w:rPr>
      </w:pPr>
    </w:p>
    <w:p w14:paraId="14122422" w14:textId="77777777" w:rsidR="00894070" w:rsidRDefault="00894070">
      <w:pPr>
        <w:pStyle w:val="BodyText"/>
        <w:spacing w:before="7"/>
        <w:rPr>
          <w:b/>
          <w:sz w:val="32"/>
        </w:rPr>
      </w:pPr>
    </w:p>
    <w:p w14:paraId="1700EDEB" w14:textId="77777777" w:rsidR="00894070" w:rsidRDefault="009F6793">
      <w:pPr>
        <w:pStyle w:val="BodyText"/>
        <w:tabs>
          <w:tab w:val="left" w:leader="dot" w:pos="9375"/>
        </w:tabs>
        <w:ind w:left="1574"/>
      </w:pPr>
      <w:hyperlink w:anchor="_bookmark79" w:history="1">
        <w:r w:rsidR="009B7AFD">
          <w:rPr>
            <w:color w:val="231F20"/>
          </w:rPr>
          <w:t>Efficient</w:t>
        </w:r>
        <w:r w:rsidR="009B7AFD">
          <w:rPr>
            <w:color w:val="231F20"/>
            <w:spacing w:val="-11"/>
          </w:rPr>
          <w:t xml:space="preserve"> </w:t>
        </w:r>
        <w:r w:rsidR="009B7AFD">
          <w:rPr>
            <w:color w:val="231F20"/>
          </w:rPr>
          <w:t>protections</w:t>
        </w:r>
        <w:r w:rsidR="009B7AFD">
          <w:rPr>
            <w:color w:val="231F20"/>
            <w:spacing w:val="-11"/>
          </w:rPr>
          <w:t xml:space="preserve"> </w:t>
        </w:r>
        <w:r w:rsidR="009B7AFD">
          <w:rPr>
            <w:color w:val="231F20"/>
          </w:rPr>
          <w:t>and</w:t>
        </w:r>
        <w:r w:rsidR="009B7AFD">
          <w:rPr>
            <w:color w:val="231F20"/>
            <w:spacing w:val="-12"/>
          </w:rPr>
          <w:t xml:space="preserve"> </w:t>
        </w:r>
        <w:r w:rsidR="009B7AFD">
          <w:rPr>
            <w:color w:val="231F20"/>
          </w:rPr>
          <w:t>procedural</w:t>
        </w:r>
        <w:r w:rsidR="009B7AFD">
          <w:rPr>
            <w:color w:val="231F20"/>
            <w:spacing w:val="-11"/>
          </w:rPr>
          <w:t xml:space="preserve"> </w:t>
        </w:r>
        <w:r w:rsidR="009B7AFD">
          <w:rPr>
            <w:color w:val="231F20"/>
          </w:rPr>
          <w:t>fixes</w:t>
        </w:r>
        <w:r w:rsidR="009B7AFD">
          <w:rPr>
            <w:color w:val="231F20"/>
            <w:spacing w:val="-11"/>
          </w:rPr>
          <w:t xml:space="preserve"> </w:t>
        </w:r>
        <w:r w:rsidR="009B7AFD">
          <w:rPr>
            <w:color w:val="231F20"/>
          </w:rPr>
          <w:t>should</w:t>
        </w:r>
        <w:r w:rsidR="009B7AFD">
          <w:rPr>
            <w:color w:val="231F20"/>
            <w:spacing w:val="-11"/>
          </w:rPr>
          <w:t xml:space="preserve"> </w:t>
        </w:r>
        <w:r w:rsidR="009B7AFD">
          <w:rPr>
            <w:color w:val="231F20"/>
          </w:rPr>
          <w:t>be</w:t>
        </w:r>
        <w:r w:rsidR="009B7AFD">
          <w:rPr>
            <w:color w:val="231F20"/>
            <w:spacing w:val="-11"/>
          </w:rPr>
          <w:t xml:space="preserve"> </w:t>
        </w:r>
        <w:r w:rsidR="009B7AFD">
          <w:rPr>
            <w:color w:val="231F20"/>
          </w:rPr>
          <w:t>introduced</w:t>
        </w:r>
        <w:r w:rsidR="009B7AFD">
          <w:rPr>
            <w:color w:val="231F20"/>
          </w:rPr>
          <w:tab/>
          <w:t>120</w:t>
        </w:r>
      </w:hyperlink>
    </w:p>
    <w:p w14:paraId="19B40160" w14:textId="77777777" w:rsidR="00894070" w:rsidRDefault="009F6793">
      <w:pPr>
        <w:pStyle w:val="BodyText"/>
        <w:tabs>
          <w:tab w:val="right" w:leader="dot" w:pos="9687"/>
        </w:tabs>
        <w:spacing w:before="41"/>
        <w:ind w:left="1857"/>
      </w:pPr>
      <w:hyperlink w:anchor="_bookmark79" w:history="1">
        <w:r w:rsidR="009B7AFD">
          <w:rPr>
            <w:color w:val="231F20"/>
          </w:rPr>
          <w:t>Online applications are available</w:t>
        </w:r>
        <w:r w:rsidR="009B7AFD">
          <w:rPr>
            <w:color w:val="231F20"/>
            <w:spacing w:val="-10"/>
          </w:rPr>
          <w:t xml:space="preserve"> </w:t>
        </w:r>
        <w:r w:rsidR="009B7AFD">
          <w:rPr>
            <w:color w:val="231F20"/>
          </w:rPr>
          <w:t>for</w:t>
        </w:r>
        <w:r w:rsidR="009B7AFD">
          <w:rPr>
            <w:color w:val="231F20"/>
            <w:spacing w:val="-2"/>
          </w:rPr>
          <w:t xml:space="preserve"> </w:t>
        </w:r>
        <w:r w:rsidR="009B7AFD">
          <w:rPr>
            <w:color w:val="231F20"/>
          </w:rPr>
          <w:t>individuals</w:t>
        </w:r>
        <w:r w:rsidR="009B7AFD">
          <w:rPr>
            <w:color w:val="231F20"/>
          </w:rPr>
          <w:tab/>
          <w:t>120</w:t>
        </w:r>
      </w:hyperlink>
    </w:p>
    <w:p w14:paraId="29A591C6" w14:textId="77777777" w:rsidR="00894070" w:rsidRDefault="009F6793">
      <w:pPr>
        <w:pStyle w:val="BodyText"/>
        <w:tabs>
          <w:tab w:val="right" w:leader="dot" w:pos="9686"/>
        </w:tabs>
        <w:spacing w:before="42"/>
        <w:ind w:left="1857"/>
      </w:pPr>
      <w:hyperlink w:anchor="_bookmark80" w:history="1">
        <w:r w:rsidR="009B7AFD">
          <w:rPr>
            <w:color w:val="231F20"/>
          </w:rPr>
          <w:t>Allowing interim orders on the Court’s</w:t>
        </w:r>
        <w:r w:rsidR="009B7AFD">
          <w:rPr>
            <w:color w:val="231F20"/>
            <w:spacing w:val="-16"/>
          </w:rPr>
          <w:t xml:space="preserve"> </w:t>
        </w:r>
        <w:r w:rsidR="009B7AFD">
          <w:rPr>
            <w:color w:val="231F20"/>
          </w:rPr>
          <w:t>own</w:t>
        </w:r>
        <w:r w:rsidR="009B7AFD">
          <w:rPr>
            <w:color w:val="231F20"/>
            <w:spacing w:val="-3"/>
          </w:rPr>
          <w:t xml:space="preserve"> </w:t>
        </w:r>
        <w:r w:rsidR="009B7AFD">
          <w:rPr>
            <w:color w:val="231F20"/>
          </w:rPr>
          <w:t>motion</w:t>
        </w:r>
        <w:r w:rsidR="009B7AFD">
          <w:rPr>
            <w:color w:val="231F20"/>
          </w:rPr>
          <w:tab/>
          <w:t>121</w:t>
        </w:r>
      </w:hyperlink>
    </w:p>
    <w:p w14:paraId="4FD620DC" w14:textId="77777777" w:rsidR="00894070" w:rsidRDefault="009F6793">
      <w:pPr>
        <w:tabs>
          <w:tab w:val="right" w:leader="dot" w:pos="9687"/>
        </w:tabs>
        <w:spacing w:before="41"/>
        <w:ind w:left="1857"/>
        <w:rPr>
          <w:sz w:val="20"/>
        </w:rPr>
      </w:pPr>
      <w:hyperlink w:anchor="_bookmark81" w:history="1">
        <w:r w:rsidR="009B7AFD">
          <w:rPr>
            <w:color w:val="231F20"/>
            <w:sz w:val="20"/>
          </w:rPr>
          <w:t>Appeals</w:t>
        </w:r>
        <w:r w:rsidR="009B7AFD">
          <w:rPr>
            <w:color w:val="231F20"/>
            <w:spacing w:val="-3"/>
            <w:sz w:val="20"/>
          </w:rPr>
          <w:t xml:space="preserve"> </w:t>
        </w:r>
        <w:r w:rsidR="009B7AFD">
          <w:rPr>
            <w:i/>
            <w:color w:val="231F20"/>
            <w:sz w:val="20"/>
          </w:rPr>
          <w:t>de</w:t>
        </w:r>
        <w:r w:rsidR="009B7AFD">
          <w:rPr>
            <w:i/>
            <w:color w:val="231F20"/>
            <w:spacing w:val="-2"/>
            <w:sz w:val="20"/>
          </w:rPr>
          <w:t xml:space="preserve"> </w:t>
        </w:r>
        <w:r w:rsidR="009B7AFD">
          <w:rPr>
            <w:i/>
            <w:color w:val="231F20"/>
            <w:sz w:val="20"/>
          </w:rPr>
          <w:t>novo</w:t>
        </w:r>
        <w:r w:rsidR="009B7AFD">
          <w:rPr>
            <w:i/>
            <w:color w:val="231F20"/>
            <w:sz w:val="20"/>
          </w:rPr>
          <w:tab/>
        </w:r>
        <w:r w:rsidR="009B7AFD">
          <w:rPr>
            <w:color w:val="231F20"/>
            <w:sz w:val="20"/>
          </w:rPr>
          <w:t>122</w:t>
        </w:r>
      </w:hyperlink>
    </w:p>
    <w:p w14:paraId="64B78025" w14:textId="77777777" w:rsidR="00894070" w:rsidRDefault="009F6793">
      <w:pPr>
        <w:pStyle w:val="BodyText"/>
        <w:tabs>
          <w:tab w:val="right" w:leader="dot" w:pos="9687"/>
        </w:tabs>
        <w:spacing w:before="47"/>
        <w:ind w:left="1574"/>
      </w:pPr>
      <w:hyperlink w:anchor="_bookmark82" w:history="1">
        <w:r w:rsidR="009B7AFD">
          <w:rPr>
            <w:color w:val="231F20"/>
          </w:rPr>
          <w:t>The need for a different approach for children and</w:t>
        </w:r>
        <w:r w:rsidR="009B7AFD">
          <w:rPr>
            <w:color w:val="231F20"/>
            <w:spacing w:val="-30"/>
          </w:rPr>
          <w:t xml:space="preserve"> </w:t>
        </w:r>
        <w:r w:rsidR="009B7AFD">
          <w:rPr>
            <w:color w:val="231F20"/>
          </w:rPr>
          <w:t>young</w:t>
        </w:r>
        <w:r w:rsidR="009B7AFD">
          <w:rPr>
            <w:color w:val="231F20"/>
            <w:spacing w:val="-3"/>
          </w:rPr>
          <w:t xml:space="preserve"> </w:t>
        </w:r>
        <w:r w:rsidR="009B7AFD">
          <w:rPr>
            <w:color w:val="231F20"/>
          </w:rPr>
          <w:t>people</w:t>
        </w:r>
        <w:r w:rsidR="009B7AFD">
          <w:rPr>
            <w:color w:val="231F20"/>
          </w:rPr>
          <w:tab/>
          <w:t>123</w:t>
        </w:r>
      </w:hyperlink>
    </w:p>
    <w:p w14:paraId="6EBBFEAE" w14:textId="77777777" w:rsidR="00894070" w:rsidRDefault="009F6793">
      <w:pPr>
        <w:pStyle w:val="BodyText"/>
        <w:tabs>
          <w:tab w:val="right" w:leader="dot" w:pos="9689"/>
        </w:tabs>
        <w:spacing w:before="42"/>
        <w:ind w:left="1857"/>
      </w:pPr>
      <w:hyperlink w:anchor="_bookmark83" w:history="1">
        <w:r w:rsidR="009B7AFD">
          <w:rPr>
            <w:color w:val="231F20"/>
          </w:rPr>
          <w:t>PSIOs should be prohibited for those</w:t>
        </w:r>
        <w:r w:rsidR="009B7AFD">
          <w:rPr>
            <w:color w:val="231F20"/>
            <w:spacing w:val="-14"/>
          </w:rPr>
          <w:t xml:space="preserve"> </w:t>
        </w:r>
        <w:r w:rsidR="009B7AFD">
          <w:rPr>
            <w:color w:val="231F20"/>
          </w:rPr>
          <w:t>under</w:t>
        </w:r>
        <w:r w:rsidR="009B7AFD">
          <w:rPr>
            <w:color w:val="231F20"/>
            <w:spacing w:val="-2"/>
          </w:rPr>
          <w:t xml:space="preserve"> </w:t>
        </w:r>
        <w:r w:rsidR="009B7AFD">
          <w:rPr>
            <w:color w:val="231F20"/>
          </w:rPr>
          <w:t>14</w:t>
        </w:r>
        <w:r w:rsidR="009B7AFD">
          <w:rPr>
            <w:color w:val="231F20"/>
          </w:rPr>
          <w:tab/>
        </w:r>
        <w:r w:rsidR="009B7AFD">
          <w:rPr>
            <w:color w:val="231F20"/>
            <w:spacing w:val="2"/>
          </w:rPr>
          <w:t>124</w:t>
        </w:r>
      </w:hyperlink>
    </w:p>
    <w:p w14:paraId="3D2640FD" w14:textId="77777777" w:rsidR="00894070" w:rsidRDefault="009F6793">
      <w:pPr>
        <w:pStyle w:val="BodyText"/>
        <w:tabs>
          <w:tab w:val="right" w:leader="dot" w:pos="9686"/>
        </w:tabs>
        <w:spacing w:before="41"/>
        <w:ind w:left="1857"/>
      </w:pPr>
      <w:hyperlink w:anchor="_bookmark84" w:history="1">
        <w:r w:rsidR="009B7AFD">
          <w:rPr>
            <w:color w:val="231F20"/>
          </w:rPr>
          <w:t xml:space="preserve">Alternative </w:t>
        </w:r>
        <w:r w:rsidR="009B7AFD">
          <w:rPr>
            <w:color w:val="231F20"/>
            <w:spacing w:val="-3"/>
          </w:rPr>
          <w:t>pathways</w:t>
        </w:r>
        <w:r w:rsidR="009B7AFD">
          <w:rPr>
            <w:color w:val="231F20"/>
            <w:spacing w:val="-5"/>
          </w:rPr>
          <w:t xml:space="preserve"> </w:t>
        </w:r>
        <w:r w:rsidR="009B7AFD">
          <w:rPr>
            <w:color w:val="231F20"/>
          </w:rPr>
          <w:t>are</w:t>
        </w:r>
        <w:r w:rsidR="009B7AFD">
          <w:rPr>
            <w:color w:val="231F20"/>
            <w:spacing w:val="-2"/>
          </w:rPr>
          <w:t xml:space="preserve"> </w:t>
        </w:r>
        <w:r w:rsidR="009B7AFD">
          <w:rPr>
            <w:color w:val="231F20"/>
          </w:rPr>
          <w:t>needed</w:t>
        </w:r>
        <w:r w:rsidR="009B7AFD">
          <w:rPr>
            <w:color w:val="231F20"/>
          </w:rPr>
          <w:tab/>
          <w:t>126</w:t>
        </w:r>
      </w:hyperlink>
    </w:p>
    <w:p w14:paraId="7F97F369" w14:textId="77777777" w:rsidR="00894070" w:rsidRDefault="009F6793">
      <w:pPr>
        <w:pStyle w:val="BodyText"/>
        <w:tabs>
          <w:tab w:val="right" w:leader="dot" w:pos="9684"/>
        </w:tabs>
        <w:spacing w:before="42"/>
        <w:ind w:left="1857"/>
      </w:pPr>
      <w:hyperlink w:anchor="_bookmark85" w:history="1">
        <w:r w:rsidR="009B7AFD">
          <w:rPr>
            <w:color w:val="231F20"/>
          </w:rPr>
          <w:t>Other protections may</w:t>
        </w:r>
        <w:r w:rsidR="009B7AFD">
          <w:rPr>
            <w:color w:val="231F20"/>
            <w:spacing w:val="-7"/>
          </w:rPr>
          <w:t xml:space="preserve"> </w:t>
        </w:r>
        <w:r w:rsidR="009B7AFD">
          <w:rPr>
            <w:color w:val="231F20"/>
          </w:rPr>
          <w:t>be</w:t>
        </w:r>
        <w:r w:rsidR="009B7AFD">
          <w:rPr>
            <w:color w:val="231F20"/>
            <w:spacing w:val="-2"/>
          </w:rPr>
          <w:t xml:space="preserve"> </w:t>
        </w:r>
        <w:r w:rsidR="009B7AFD">
          <w:rPr>
            <w:color w:val="231F20"/>
          </w:rPr>
          <w:t>necessary</w:t>
        </w:r>
        <w:r w:rsidR="009B7AFD">
          <w:rPr>
            <w:color w:val="231F20"/>
          </w:rPr>
          <w:tab/>
          <w:t>128</w:t>
        </w:r>
      </w:hyperlink>
    </w:p>
    <w:p w14:paraId="03620A9E" w14:textId="77777777" w:rsidR="00894070" w:rsidRDefault="009F6793">
      <w:pPr>
        <w:pStyle w:val="BodyText"/>
        <w:tabs>
          <w:tab w:val="right" w:leader="dot" w:pos="9686"/>
        </w:tabs>
        <w:spacing w:before="41"/>
        <w:ind w:left="1857"/>
      </w:pPr>
      <w:hyperlink w:anchor="_bookmark86" w:history="1">
        <w:r w:rsidR="009B7AFD">
          <w:rPr>
            <w:color w:val="231F20"/>
          </w:rPr>
          <w:t>Legal assistance for children is</w:t>
        </w:r>
        <w:r w:rsidR="009B7AFD">
          <w:rPr>
            <w:color w:val="231F20"/>
            <w:spacing w:val="-12"/>
          </w:rPr>
          <w:t xml:space="preserve"> </w:t>
        </w:r>
        <w:r w:rsidR="009B7AFD">
          <w:rPr>
            <w:color w:val="231F20"/>
          </w:rPr>
          <w:t>a</w:t>
        </w:r>
        <w:r w:rsidR="009B7AFD">
          <w:rPr>
            <w:color w:val="231F20"/>
            <w:spacing w:val="-2"/>
          </w:rPr>
          <w:t xml:space="preserve"> </w:t>
        </w:r>
        <w:r w:rsidR="009B7AFD">
          <w:rPr>
            <w:color w:val="231F20"/>
          </w:rPr>
          <w:t>priority</w:t>
        </w:r>
        <w:r w:rsidR="009B7AFD">
          <w:rPr>
            <w:color w:val="231F20"/>
          </w:rPr>
          <w:tab/>
          <w:t>129</w:t>
        </w:r>
      </w:hyperlink>
    </w:p>
    <w:p w14:paraId="633E1275" w14:textId="77777777" w:rsidR="00894070" w:rsidRDefault="009F6793">
      <w:pPr>
        <w:numPr>
          <w:ilvl w:val="0"/>
          <w:numId w:val="1"/>
        </w:numPr>
        <w:tabs>
          <w:tab w:val="left" w:pos="1348"/>
          <w:tab w:val="right" w:leader="dot" w:pos="9687"/>
        </w:tabs>
        <w:spacing w:before="42"/>
        <w:ind w:left="1347" w:hanging="340"/>
        <w:rPr>
          <w:b/>
          <w:sz w:val="20"/>
        </w:rPr>
      </w:pPr>
      <w:hyperlink w:anchor="_bookmark87" w:history="1">
        <w:r w:rsidR="009B7AFD">
          <w:rPr>
            <w:b/>
            <w:color w:val="EA5B50"/>
            <w:sz w:val="20"/>
          </w:rPr>
          <w:t>Criminal law responses</w:t>
        </w:r>
        <w:r w:rsidR="009B7AFD">
          <w:rPr>
            <w:b/>
            <w:color w:val="EA5B50"/>
            <w:spacing w:val="-7"/>
            <w:sz w:val="20"/>
          </w:rPr>
          <w:t xml:space="preserve"> </w:t>
        </w:r>
        <w:r w:rsidR="009B7AFD">
          <w:rPr>
            <w:b/>
            <w:color w:val="EA5B50"/>
            <w:sz w:val="20"/>
          </w:rPr>
          <w:t>to</w:t>
        </w:r>
        <w:r w:rsidR="009B7AFD">
          <w:rPr>
            <w:b/>
            <w:color w:val="EA5B50"/>
            <w:spacing w:val="-2"/>
            <w:sz w:val="20"/>
          </w:rPr>
          <w:t xml:space="preserve"> </w:t>
        </w:r>
        <w:r w:rsidR="009B7AFD">
          <w:rPr>
            <w:b/>
            <w:color w:val="EA5B50"/>
            <w:sz w:val="20"/>
          </w:rPr>
          <w:t>stalking</w:t>
        </w:r>
        <w:r w:rsidR="009B7AFD">
          <w:rPr>
            <w:b/>
            <w:color w:val="EA5B50"/>
            <w:sz w:val="20"/>
          </w:rPr>
          <w:tab/>
          <w:t>132</w:t>
        </w:r>
      </w:hyperlink>
    </w:p>
    <w:p w14:paraId="5F570225" w14:textId="77777777" w:rsidR="00894070" w:rsidRDefault="009F6793">
      <w:pPr>
        <w:pStyle w:val="BodyText"/>
        <w:tabs>
          <w:tab w:val="right" w:leader="dot" w:pos="9687"/>
        </w:tabs>
        <w:spacing w:before="47"/>
        <w:ind w:left="1574"/>
      </w:pPr>
      <w:hyperlink w:anchor="_bookmark87" w:history="1">
        <w:r w:rsidR="009B7AFD">
          <w:rPr>
            <w:color w:val="231F20"/>
          </w:rPr>
          <w:t>Overview</w:t>
        </w:r>
        <w:r w:rsidR="009B7AFD">
          <w:rPr>
            <w:color w:val="231F20"/>
          </w:rPr>
          <w:tab/>
          <w:t>132</w:t>
        </w:r>
      </w:hyperlink>
    </w:p>
    <w:p w14:paraId="27FA3802" w14:textId="77777777" w:rsidR="00894070" w:rsidRDefault="009F6793">
      <w:pPr>
        <w:pStyle w:val="BodyText"/>
        <w:tabs>
          <w:tab w:val="right" w:leader="dot" w:pos="9687"/>
        </w:tabs>
        <w:spacing w:before="47"/>
        <w:ind w:left="1574"/>
      </w:pPr>
      <w:hyperlink w:anchor="_bookmark87" w:history="1">
        <w:r w:rsidR="009B7AFD">
          <w:rPr>
            <w:color w:val="231F20"/>
          </w:rPr>
          <w:t>Stalking is a crime and should be treated</w:t>
        </w:r>
        <w:r w:rsidR="009B7AFD">
          <w:rPr>
            <w:color w:val="231F20"/>
            <w:spacing w:val="-19"/>
          </w:rPr>
          <w:t xml:space="preserve"> </w:t>
        </w:r>
        <w:r w:rsidR="009B7AFD">
          <w:rPr>
            <w:color w:val="231F20"/>
          </w:rPr>
          <w:t>as</w:t>
        </w:r>
        <w:r w:rsidR="009B7AFD">
          <w:rPr>
            <w:color w:val="231F20"/>
            <w:spacing w:val="-2"/>
          </w:rPr>
          <w:t xml:space="preserve"> </w:t>
        </w:r>
        <w:r w:rsidR="009B7AFD">
          <w:rPr>
            <w:color w:val="231F20"/>
          </w:rPr>
          <w:t>such</w:t>
        </w:r>
        <w:r w:rsidR="009B7AFD">
          <w:rPr>
            <w:color w:val="231F20"/>
          </w:rPr>
          <w:tab/>
          <w:t>132</w:t>
        </w:r>
      </w:hyperlink>
    </w:p>
    <w:p w14:paraId="45437427" w14:textId="77777777" w:rsidR="00894070" w:rsidRDefault="009F6793">
      <w:pPr>
        <w:pStyle w:val="BodyText"/>
        <w:tabs>
          <w:tab w:val="right" w:leader="dot" w:pos="9687"/>
        </w:tabs>
        <w:spacing w:before="48"/>
        <w:ind w:left="1574"/>
      </w:pPr>
      <w:hyperlink w:anchor="_bookmark88" w:history="1">
        <w:r w:rsidR="009B7AFD">
          <w:rPr>
            <w:color w:val="231F20"/>
          </w:rPr>
          <w:t>The criminal offence</w:t>
        </w:r>
        <w:r w:rsidR="009B7AFD">
          <w:rPr>
            <w:color w:val="231F20"/>
            <w:spacing w:val="-8"/>
          </w:rPr>
          <w:t xml:space="preserve"> </w:t>
        </w:r>
        <w:r w:rsidR="009B7AFD">
          <w:rPr>
            <w:color w:val="231F20"/>
          </w:rPr>
          <w:t>of</w:t>
        </w:r>
        <w:r w:rsidR="009B7AFD">
          <w:rPr>
            <w:color w:val="231F20"/>
            <w:spacing w:val="-2"/>
          </w:rPr>
          <w:t xml:space="preserve"> </w:t>
        </w:r>
        <w:r w:rsidR="009B7AFD">
          <w:rPr>
            <w:color w:val="231F20"/>
          </w:rPr>
          <w:t>stalking</w:t>
        </w:r>
        <w:r w:rsidR="009B7AFD">
          <w:rPr>
            <w:color w:val="231F20"/>
          </w:rPr>
          <w:tab/>
          <w:t>133</w:t>
        </w:r>
      </w:hyperlink>
    </w:p>
    <w:p w14:paraId="47CBC453" w14:textId="77777777" w:rsidR="00894070" w:rsidRDefault="009F6793">
      <w:pPr>
        <w:pStyle w:val="BodyText"/>
        <w:tabs>
          <w:tab w:val="right" w:leader="dot" w:pos="9687"/>
        </w:tabs>
        <w:spacing w:before="47"/>
        <w:ind w:left="1574"/>
      </w:pPr>
      <w:hyperlink w:anchor="_bookmark89" w:history="1">
        <w:r w:rsidR="009B7AFD">
          <w:rPr>
            <w:color w:val="231F20"/>
          </w:rPr>
          <w:t>How well is the stalking</w:t>
        </w:r>
        <w:r w:rsidR="009B7AFD">
          <w:rPr>
            <w:color w:val="231F20"/>
            <w:spacing w:val="-13"/>
          </w:rPr>
          <w:t xml:space="preserve"> </w:t>
        </w:r>
        <w:r w:rsidR="009B7AFD">
          <w:rPr>
            <w:color w:val="231F20"/>
          </w:rPr>
          <w:t>offence</w:t>
        </w:r>
        <w:r w:rsidR="009B7AFD">
          <w:rPr>
            <w:color w:val="231F20"/>
            <w:spacing w:val="-3"/>
          </w:rPr>
          <w:t xml:space="preserve"> </w:t>
        </w:r>
        <w:r w:rsidR="009B7AFD">
          <w:rPr>
            <w:color w:val="231F20"/>
          </w:rPr>
          <w:t>working?</w:t>
        </w:r>
        <w:r w:rsidR="009B7AFD">
          <w:rPr>
            <w:color w:val="231F20"/>
          </w:rPr>
          <w:tab/>
          <w:t>135</w:t>
        </w:r>
      </w:hyperlink>
    </w:p>
    <w:p w14:paraId="6F377AEB" w14:textId="77777777" w:rsidR="00894070" w:rsidRDefault="009F6793">
      <w:pPr>
        <w:pStyle w:val="BodyText"/>
        <w:tabs>
          <w:tab w:val="right" w:leader="dot" w:pos="9687"/>
        </w:tabs>
        <w:spacing w:before="42"/>
        <w:ind w:left="1857"/>
      </w:pPr>
      <w:hyperlink w:anchor="_bookmark89" w:history="1">
        <w:r w:rsidR="009B7AFD">
          <w:rPr>
            <w:color w:val="231F20"/>
          </w:rPr>
          <w:t>The fault element is working well</w:t>
        </w:r>
        <w:r w:rsidR="009B7AFD">
          <w:rPr>
            <w:color w:val="231F20"/>
            <w:spacing w:val="-15"/>
          </w:rPr>
          <w:t xml:space="preserve"> </w:t>
        </w:r>
        <w:r w:rsidR="009B7AFD">
          <w:rPr>
            <w:color w:val="231F20"/>
          </w:rPr>
          <w:t>in</w:t>
        </w:r>
        <w:r w:rsidR="009B7AFD">
          <w:rPr>
            <w:color w:val="231F20"/>
            <w:spacing w:val="-2"/>
          </w:rPr>
          <w:t xml:space="preserve"> </w:t>
        </w:r>
        <w:r w:rsidR="009B7AFD">
          <w:rPr>
            <w:color w:val="231F20"/>
          </w:rPr>
          <w:t>practice</w:t>
        </w:r>
        <w:r w:rsidR="009B7AFD">
          <w:rPr>
            <w:color w:val="231F20"/>
          </w:rPr>
          <w:tab/>
          <w:t>135</w:t>
        </w:r>
      </w:hyperlink>
    </w:p>
    <w:p w14:paraId="3E737040" w14:textId="77777777" w:rsidR="00894070" w:rsidRDefault="009F6793">
      <w:pPr>
        <w:pStyle w:val="BodyText"/>
        <w:tabs>
          <w:tab w:val="right" w:leader="dot" w:pos="9687"/>
        </w:tabs>
        <w:spacing w:before="41"/>
        <w:ind w:left="1857"/>
      </w:pPr>
      <w:hyperlink w:anchor="_bookmark89" w:history="1">
        <w:r w:rsidR="009B7AFD">
          <w:rPr>
            <w:color w:val="231F20"/>
          </w:rPr>
          <w:t>Course of conduct can be difficult</w:t>
        </w:r>
        <w:r w:rsidR="009B7AFD">
          <w:rPr>
            <w:color w:val="231F20"/>
            <w:spacing w:val="-16"/>
          </w:rPr>
          <w:t xml:space="preserve"> </w:t>
        </w:r>
        <w:r w:rsidR="009B7AFD">
          <w:rPr>
            <w:color w:val="231F20"/>
          </w:rPr>
          <w:t>to</w:t>
        </w:r>
        <w:r w:rsidR="009B7AFD">
          <w:rPr>
            <w:color w:val="231F20"/>
            <w:spacing w:val="-3"/>
          </w:rPr>
          <w:t xml:space="preserve"> </w:t>
        </w:r>
        <w:r w:rsidR="009B7AFD">
          <w:rPr>
            <w:color w:val="231F20"/>
          </w:rPr>
          <w:t>understand</w:t>
        </w:r>
        <w:r w:rsidR="009B7AFD">
          <w:rPr>
            <w:color w:val="231F20"/>
          </w:rPr>
          <w:tab/>
          <w:t>135</w:t>
        </w:r>
      </w:hyperlink>
    </w:p>
    <w:p w14:paraId="6DA609DC" w14:textId="77777777" w:rsidR="00894070" w:rsidRDefault="009F6793">
      <w:pPr>
        <w:pStyle w:val="BodyText"/>
        <w:tabs>
          <w:tab w:val="right" w:leader="dot" w:pos="9687"/>
        </w:tabs>
        <w:spacing w:before="48"/>
        <w:ind w:left="1574"/>
      </w:pPr>
      <w:hyperlink w:anchor="_bookmark90" w:history="1">
        <w:r w:rsidR="009B7AFD">
          <w:rPr>
            <w:color w:val="231F20"/>
          </w:rPr>
          <w:t>The stalking offence should</w:t>
        </w:r>
        <w:r w:rsidR="009B7AFD">
          <w:rPr>
            <w:color w:val="231F20"/>
            <w:spacing w:val="-10"/>
          </w:rPr>
          <w:t xml:space="preserve"> </w:t>
        </w:r>
        <w:r w:rsidR="009B7AFD">
          <w:rPr>
            <w:color w:val="231F20"/>
          </w:rPr>
          <w:t>be</w:t>
        </w:r>
        <w:r w:rsidR="009B7AFD">
          <w:rPr>
            <w:color w:val="231F20"/>
            <w:spacing w:val="-2"/>
          </w:rPr>
          <w:t xml:space="preserve"> </w:t>
        </w:r>
        <w:r w:rsidR="009B7AFD">
          <w:rPr>
            <w:color w:val="231F20"/>
          </w:rPr>
          <w:t>redrafted</w:t>
        </w:r>
        <w:r w:rsidR="009B7AFD">
          <w:rPr>
            <w:color w:val="231F20"/>
          </w:rPr>
          <w:tab/>
          <w:t>136</w:t>
        </w:r>
      </w:hyperlink>
    </w:p>
    <w:p w14:paraId="15D5291F" w14:textId="77777777" w:rsidR="00894070" w:rsidRDefault="009F6793">
      <w:pPr>
        <w:pStyle w:val="BodyText"/>
        <w:tabs>
          <w:tab w:val="right" w:leader="dot" w:pos="9687"/>
        </w:tabs>
        <w:spacing w:before="41"/>
        <w:ind w:left="1857"/>
      </w:pPr>
      <w:hyperlink w:anchor="_bookmark90" w:history="1">
        <w:r w:rsidR="009B7AFD">
          <w:rPr>
            <w:color w:val="231F20"/>
          </w:rPr>
          <w:t>Improving the course of</w:t>
        </w:r>
        <w:r w:rsidR="009B7AFD">
          <w:rPr>
            <w:color w:val="231F20"/>
            <w:spacing w:val="-10"/>
          </w:rPr>
          <w:t xml:space="preserve"> </w:t>
        </w:r>
        <w:r w:rsidR="009B7AFD">
          <w:rPr>
            <w:color w:val="231F20"/>
          </w:rPr>
          <w:t>conduct</w:t>
        </w:r>
        <w:r w:rsidR="009B7AFD">
          <w:rPr>
            <w:color w:val="231F20"/>
            <w:spacing w:val="-2"/>
          </w:rPr>
          <w:t xml:space="preserve"> </w:t>
        </w:r>
        <w:r w:rsidR="009B7AFD">
          <w:rPr>
            <w:color w:val="231F20"/>
          </w:rPr>
          <w:t>element</w:t>
        </w:r>
        <w:r w:rsidR="009B7AFD">
          <w:rPr>
            <w:color w:val="231F20"/>
          </w:rPr>
          <w:tab/>
          <w:t>136</w:t>
        </w:r>
      </w:hyperlink>
    </w:p>
    <w:p w14:paraId="2D9748D4" w14:textId="77777777" w:rsidR="00894070" w:rsidRDefault="009F6793">
      <w:pPr>
        <w:pStyle w:val="BodyText"/>
        <w:tabs>
          <w:tab w:val="right" w:leader="dot" w:pos="9683"/>
        </w:tabs>
        <w:spacing w:before="42"/>
        <w:ind w:left="1857"/>
      </w:pPr>
      <w:hyperlink w:anchor="_bookmark91" w:history="1">
        <w:r w:rsidR="009B7AFD">
          <w:rPr>
            <w:color w:val="231F20"/>
          </w:rPr>
          <w:t>Redrafting the offence to make</w:t>
        </w:r>
        <w:r w:rsidR="009B7AFD">
          <w:rPr>
            <w:color w:val="231F20"/>
            <w:spacing w:val="-13"/>
          </w:rPr>
          <w:t xml:space="preserve"> </w:t>
        </w:r>
        <w:r w:rsidR="009B7AFD">
          <w:rPr>
            <w:color w:val="231F20"/>
          </w:rPr>
          <w:t>it</w:t>
        </w:r>
        <w:r w:rsidR="009B7AFD">
          <w:rPr>
            <w:color w:val="231F20"/>
            <w:spacing w:val="-2"/>
          </w:rPr>
          <w:t xml:space="preserve"> </w:t>
        </w:r>
        <w:r w:rsidR="009B7AFD">
          <w:rPr>
            <w:color w:val="231F20"/>
          </w:rPr>
          <w:t>clear</w:t>
        </w:r>
        <w:r w:rsidR="009B7AFD">
          <w:rPr>
            <w:color w:val="231F20"/>
          </w:rPr>
          <w:tab/>
        </w:r>
        <w:r w:rsidR="009B7AFD">
          <w:rPr>
            <w:color w:val="231F20"/>
            <w:spacing w:val="-3"/>
          </w:rPr>
          <w:t>137</w:t>
        </w:r>
      </w:hyperlink>
    </w:p>
    <w:p w14:paraId="1FD1BA32" w14:textId="77777777" w:rsidR="00894070" w:rsidRDefault="009F6793">
      <w:pPr>
        <w:pStyle w:val="BodyText"/>
        <w:tabs>
          <w:tab w:val="right" w:leader="dot" w:pos="9687"/>
        </w:tabs>
        <w:spacing w:before="47"/>
        <w:ind w:left="1574"/>
      </w:pPr>
      <w:hyperlink w:anchor="_bookmark92" w:history="1">
        <w:r w:rsidR="009B7AFD">
          <w:rPr>
            <w:color w:val="231F20"/>
          </w:rPr>
          <w:t>Other suggestions about the</w:t>
        </w:r>
        <w:r w:rsidR="009B7AFD">
          <w:rPr>
            <w:color w:val="231F20"/>
            <w:spacing w:val="-10"/>
          </w:rPr>
          <w:t xml:space="preserve"> </w:t>
        </w:r>
        <w:r w:rsidR="009B7AFD">
          <w:rPr>
            <w:color w:val="231F20"/>
          </w:rPr>
          <w:t>stalking</w:t>
        </w:r>
        <w:r w:rsidR="009B7AFD">
          <w:rPr>
            <w:color w:val="231F20"/>
            <w:spacing w:val="-2"/>
          </w:rPr>
          <w:t xml:space="preserve"> </w:t>
        </w:r>
        <w:r w:rsidR="009B7AFD">
          <w:rPr>
            <w:color w:val="231F20"/>
          </w:rPr>
          <w:t>offence</w:t>
        </w:r>
        <w:r w:rsidR="009B7AFD">
          <w:rPr>
            <w:color w:val="231F20"/>
          </w:rPr>
          <w:tab/>
          <w:t>139</w:t>
        </w:r>
      </w:hyperlink>
    </w:p>
    <w:p w14:paraId="4BE0C716" w14:textId="77777777" w:rsidR="00894070" w:rsidRDefault="009F6793">
      <w:pPr>
        <w:pStyle w:val="BodyText"/>
        <w:tabs>
          <w:tab w:val="right" w:leader="dot" w:pos="9686"/>
        </w:tabs>
        <w:spacing w:before="47"/>
        <w:ind w:left="1574"/>
      </w:pPr>
      <w:hyperlink w:anchor="_bookmark93" w:history="1">
        <w:r w:rsidR="009B7AFD">
          <w:rPr>
            <w:color w:val="231F20"/>
          </w:rPr>
          <w:t>The stalking offence is not applied well</w:t>
        </w:r>
        <w:r w:rsidR="009B7AFD">
          <w:rPr>
            <w:color w:val="231F20"/>
            <w:spacing w:val="-18"/>
          </w:rPr>
          <w:t xml:space="preserve"> </w:t>
        </w:r>
        <w:r w:rsidR="009B7AFD">
          <w:rPr>
            <w:color w:val="231F20"/>
          </w:rPr>
          <w:t>in</w:t>
        </w:r>
        <w:r w:rsidR="009B7AFD">
          <w:rPr>
            <w:color w:val="231F20"/>
            <w:spacing w:val="-3"/>
          </w:rPr>
          <w:t xml:space="preserve"> </w:t>
        </w:r>
        <w:r w:rsidR="009B7AFD">
          <w:rPr>
            <w:color w:val="231F20"/>
          </w:rPr>
          <w:t>practice</w:t>
        </w:r>
        <w:r w:rsidR="009B7AFD">
          <w:rPr>
            <w:color w:val="231F20"/>
          </w:rPr>
          <w:tab/>
          <w:t>140</w:t>
        </w:r>
      </w:hyperlink>
    </w:p>
    <w:p w14:paraId="0942764E" w14:textId="77777777" w:rsidR="00894070" w:rsidRDefault="009F6793">
      <w:pPr>
        <w:pStyle w:val="BodyText"/>
        <w:tabs>
          <w:tab w:val="right" w:leader="dot" w:pos="9686"/>
        </w:tabs>
        <w:spacing w:before="42"/>
        <w:ind w:left="1857"/>
      </w:pPr>
      <w:hyperlink w:anchor="_bookmark93" w:history="1">
        <w:r w:rsidR="009B7AFD">
          <w:rPr>
            <w:color w:val="231F20"/>
          </w:rPr>
          <w:t>There is a perception that the offence is hard</w:t>
        </w:r>
        <w:r w:rsidR="009B7AFD">
          <w:rPr>
            <w:color w:val="231F20"/>
            <w:spacing w:val="-26"/>
          </w:rPr>
          <w:t xml:space="preserve"> </w:t>
        </w:r>
        <w:r w:rsidR="009B7AFD">
          <w:rPr>
            <w:color w:val="231F20"/>
          </w:rPr>
          <w:t>to</w:t>
        </w:r>
        <w:r w:rsidR="009B7AFD">
          <w:rPr>
            <w:color w:val="231F20"/>
            <w:spacing w:val="-2"/>
          </w:rPr>
          <w:t xml:space="preserve"> </w:t>
        </w:r>
        <w:r w:rsidR="009B7AFD">
          <w:rPr>
            <w:color w:val="231F20"/>
            <w:spacing w:val="-3"/>
          </w:rPr>
          <w:t>prove</w:t>
        </w:r>
        <w:r w:rsidR="009B7AFD">
          <w:rPr>
            <w:color w:val="231F20"/>
            <w:spacing w:val="-3"/>
          </w:rPr>
          <w:tab/>
        </w:r>
        <w:r w:rsidR="009B7AFD">
          <w:rPr>
            <w:color w:val="231F20"/>
          </w:rPr>
          <w:t>140</w:t>
        </w:r>
      </w:hyperlink>
    </w:p>
    <w:p w14:paraId="55C1439C" w14:textId="77777777" w:rsidR="00894070" w:rsidRDefault="009F6793">
      <w:pPr>
        <w:pStyle w:val="BodyText"/>
        <w:tabs>
          <w:tab w:val="right" w:leader="dot" w:pos="9686"/>
        </w:tabs>
        <w:spacing w:before="41"/>
        <w:ind w:left="1857"/>
      </w:pPr>
      <w:hyperlink w:anchor="_bookmark94" w:history="1">
        <w:r w:rsidR="009B7AFD">
          <w:rPr>
            <w:color w:val="231F20"/>
          </w:rPr>
          <w:t>There are challenges with</w:t>
        </w:r>
        <w:r w:rsidR="009B7AFD">
          <w:rPr>
            <w:color w:val="231F20"/>
            <w:spacing w:val="-10"/>
          </w:rPr>
          <w:t xml:space="preserve"> </w:t>
        </w:r>
        <w:r w:rsidR="009B7AFD">
          <w:rPr>
            <w:color w:val="231F20"/>
          </w:rPr>
          <w:t>collecting</w:t>
        </w:r>
        <w:r w:rsidR="009B7AFD">
          <w:rPr>
            <w:color w:val="231F20"/>
            <w:spacing w:val="-3"/>
          </w:rPr>
          <w:t xml:space="preserve"> </w:t>
        </w:r>
        <w:r w:rsidR="009B7AFD">
          <w:rPr>
            <w:color w:val="231F20"/>
          </w:rPr>
          <w:t>evidence</w:t>
        </w:r>
        <w:r w:rsidR="009B7AFD">
          <w:rPr>
            <w:color w:val="231F20"/>
          </w:rPr>
          <w:tab/>
          <w:t>141</w:t>
        </w:r>
      </w:hyperlink>
    </w:p>
    <w:p w14:paraId="724B9721" w14:textId="77777777" w:rsidR="00894070" w:rsidRDefault="009F6793">
      <w:pPr>
        <w:pStyle w:val="BodyText"/>
        <w:tabs>
          <w:tab w:val="right" w:leader="dot" w:pos="9688"/>
        </w:tabs>
        <w:spacing w:before="48"/>
        <w:ind w:left="1574"/>
      </w:pPr>
      <w:hyperlink w:anchor="_bookmark95" w:history="1">
        <w:r w:rsidR="009B7AFD">
          <w:rPr>
            <w:color w:val="231F20"/>
          </w:rPr>
          <w:t>Application of the stalking offence</w:t>
        </w:r>
        <w:r w:rsidR="009B7AFD">
          <w:rPr>
            <w:color w:val="231F20"/>
            <w:spacing w:val="-12"/>
          </w:rPr>
          <w:t xml:space="preserve"> </w:t>
        </w:r>
        <w:r w:rsidR="009B7AFD">
          <w:rPr>
            <w:color w:val="231F20"/>
          </w:rPr>
          <w:t>must</w:t>
        </w:r>
        <w:r w:rsidR="009B7AFD">
          <w:rPr>
            <w:color w:val="231F20"/>
            <w:spacing w:val="-3"/>
          </w:rPr>
          <w:t xml:space="preserve"> improve</w:t>
        </w:r>
        <w:r w:rsidR="009B7AFD">
          <w:rPr>
            <w:color w:val="231F20"/>
            <w:spacing w:val="-3"/>
          </w:rPr>
          <w:tab/>
        </w:r>
        <w:r w:rsidR="009B7AFD">
          <w:rPr>
            <w:color w:val="231F20"/>
            <w:spacing w:val="2"/>
          </w:rPr>
          <w:t>142</w:t>
        </w:r>
      </w:hyperlink>
    </w:p>
    <w:p w14:paraId="58F1B690" w14:textId="77777777" w:rsidR="00894070" w:rsidRDefault="009F6793">
      <w:pPr>
        <w:pStyle w:val="BodyText"/>
        <w:tabs>
          <w:tab w:val="right" w:leader="dot" w:pos="9687"/>
        </w:tabs>
        <w:spacing w:before="41"/>
        <w:ind w:left="1857"/>
      </w:pPr>
      <w:hyperlink w:anchor="_bookmark96" w:history="1">
        <w:r w:rsidR="009B7AFD">
          <w:rPr>
            <w:color w:val="231F20"/>
          </w:rPr>
          <w:t>Police need improved guidance</w:t>
        </w:r>
        <w:r w:rsidR="009B7AFD">
          <w:rPr>
            <w:color w:val="231F20"/>
            <w:spacing w:val="-10"/>
          </w:rPr>
          <w:t xml:space="preserve"> </w:t>
        </w:r>
        <w:r w:rsidR="009B7AFD">
          <w:rPr>
            <w:color w:val="231F20"/>
          </w:rPr>
          <w:t>and</w:t>
        </w:r>
        <w:r w:rsidR="009B7AFD">
          <w:rPr>
            <w:color w:val="231F20"/>
            <w:spacing w:val="-2"/>
          </w:rPr>
          <w:t xml:space="preserve"> </w:t>
        </w:r>
        <w:r w:rsidR="009B7AFD">
          <w:rPr>
            <w:color w:val="231F20"/>
          </w:rPr>
          <w:t>training</w:t>
        </w:r>
        <w:r w:rsidR="009B7AFD">
          <w:rPr>
            <w:color w:val="231F20"/>
          </w:rPr>
          <w:tab/>
          <w:t>143</w:t>
        </w:r>
      </w:hyperlink>
    </w:p>
    <w:p w14:paraId="4BF5899B" w14:textId="77777777" w:rsidR="00894070" w:rsidRDefault="009F6793">
      <w:pPr>
        <w:pStyle w:val="BodyText"/>
        <w:tabs>
          <w:tab w:val="right" w:leader="dot" w:pos="9690"/>
        </w:tabs>
        <w:spacing w:before="48"/>
        <w:ind w:left="1574"/>
      </w:pPr>
      <w:hyperlink w:anchor="_bookmark97" w:history="1">
        <w:r w:rsidR="009B7AFD">
          <w:rPr>
            <w:color w:val="231F20"/>
          </w:rPr>
          <w:t>What</w:t>
        </w:r>
        <w:r w:rsidR="009B7AFD">
          <w:rPr>
            <w:color w:val="231F20"/>
            <w:spacing w:val="-4"/>
          </w:rPr>
          <w:t xml:space="preserve"> </w:t>
        </w:r>
        <w:r w:rsidR="009B7AFD">
          <w:rPr>
            <w:color w:val="231F20"/>
          </w:rPr>
          <w:t>are</w:t>
        </w:r>
        <w:r w:rsidR="009B7AFD">
          <w:rPr>
            <w:color w:val="231F20"/>
            <w:spacing w:val="-5"/>
          </w:rPr>
          <w:t xml:space="preserve"> </w:t>
        </w:r>
        <w:r w:rsidR="009B7AFD">
          <w:rPr>
            <w:color w:val="231F20"/>
          </w:rPr>
          <w:t>other</w:t>
        </w:r>
        <w:r w:rsidR="009B7AFD">
          <w:rPr>
            <w:color w:val="231F20"/>
            <w:spacing w:val="-4"/>
          </w:rPr>
          <w:t xml:space="preserve"> </w:t>
        </w:r>
        <w:r w:rsidR="009B7AFD">
          <w:rPr>
            <w:color w:val="231F20"/>
          </w:rPr>
          <w:t>barriers</w:t>
        </w:r>
        <w:r w:rsidR="009B7AFD">
          <w:rPr>
            <w:color w:val="231F20"/>
            <w:spacing w:val="-4"/>
          </w:rPr>
          <w:t xml:space="preserve"> </w:t>
        </w:r>
        <w:r w:rsidR="009B7AFD">
          <w:rPr>
            <w:color w:val="231F20"/>
          </w:rPr>
          <w:t>to</w:t>
        </w:r>
        <w:r w:rsidR="009B7AFD">
          <w:rPr>
            <w:color w:val="231F20"/>
            <w:spacing w:val="-4"/>
          </w:rPr>
          <w:t xml:space="preserve"> </w:t>
        </w:r>
        <w:r w:rsidR="009B7AFD">
          <w:rPr>
            <w:color w:val="231F20"/>
          </w:rPr>
          <w:t>stalking</w:t>
        </w:r>
        <w:r w:rsidR="009B7AFD">
          <w:rPr>
            <w:color w:val="231F20"/>
            <w:spacing w:val="-4"/>
          </w:rPr>
          <w:t xml:space="preserve"> </w:t>
        </w:r>
        <w:r w:rsidR="009B7AFD">
          <w:rPr>
            <w:color w:val="231F20"/>
          </w:rPr>
          <w:t>offences</w:t>
        </w:r>
        <w:r w:rsidR="009B7AFD">
          <w:rPr>
            <w:color w:val="231F20"/>
            <w:spacing w:val="-4"/>
          </w:rPr>
          <w:t xml:space="preserve"> </w:t>
        </w:r>
        <w:r w:rsidR="009B7AFD">
          <w:rPr>
            <w:color w:val="231F20"/>
          </w:rPr>
          <w:t>progressing</w:t>
        </w:r>
        <w:r w:rsidR="009B7AFD">
          <w:rPr>
            <w:color w:val="231F20"/>
            <w:spacing w:val="-4"/>
          </w:rPr>
          <w:t xml:space="preserve"> </w:t>
        </w:r>
        <w:r w:rsidR="009B7AFD">
          <w:rPr>
            <w:color w:val="231F20"/>
          </w:rPr>
          <w:t>in</w:t>
        </w:r>
        <w:r w:rsidR="009B7AFD">
          <w:rPr>
            <w:color w:val="231F20"/>
            <w:spacing w:val="-4"/>
          </w:rPr>
          <w:t xml:space="preserve"> </w:t>
        </w:r>
        <w:r w:rsidR="009B7AFD">
          <w:rPr>
            <w:color w:val="231F20"/>
          </w:rPr>
          <w:t>the</w:t>
        </w:r>
        <w:r w:rsidR="009B7AFD">
          <w:rPr>
            <w:color w:val="231F20"/>
            <w:spacing w:val="-4"/>
          </w:rPr>
          <w:t xml:space="preserve"> </w:t>
        </w:r>
        <w:r w:rsidR="009B7AFD">
          <w:rPr>
            <w:color w:val="231F20"/>
          </w:rPr>
          <w:t>justice</w:t>
        </w:r>
        <w:r w:rsidR="009B7AFD">
          <w:rPr>
            <w:color w:val="231F20"/>
            <w:spacing w:val="-4"/>
          </w:rPr>
          <w:t xml:space="preserve"> </w:t>
        </w:r>
        <w:r w:rsidR="009B7AFD">
          <w:rPr>
            <w:color w:val="231F20"/>
            <w:spacing w:val="-3"/>
          </w:rPr>
          <w:t>system?</w:t>
        </w:r>
        <w:r w:rsidR="009B7AFD">
          <w:rPr>
            <w:color w:val="231F20"/>
            <w:spacing w:val="-3"/>
          </w:rPr>
          <w:tab/>
        </w:r>
        <w:r w:rsidR="009B7AFD">
          <w:rPr>
            <w:color w:val="231F20"/>
            <w:spacing w:val="3"/>
          </w:rPr>
          <w:t>144</w:t>
        </w:r>
      </w:hyperlink>
    </w:p>
    <w:p w14:paraId="25ACCA3D" w14:textId="77777777" w:rsidR="00894070" w:rsidRDefault="009F6793">
      <w:pPr>
        <w:pStyle w:val="BodyText"/>
        <w:tabs>
          <w:tab w:val="right" w:leader="dot" w:pos="9686"/>
        </w:tabs>
        <w:spacing w:before="41"/>
        <w:ind w:left="1857"/>
      </w:pPr>
      <w:hyperlink w:anchor="_bookmark98" w:history="1">
        <w:r w:rsidR="009B7AFD">
          <w:rPr>
            <w:color w:val="231F20"/>
          </w:rPr>
          <w:t>There</w:t>
        </w:r>
        <w:r w:rsidR="009B7AFD">
          <w:rPr>
            <w:color w:val="231F20"/>
            <w:spacing w:val="-4"/>
          </w:rPr>
          <w:t xml:space="preserve"> </w:t>
        </w:r>
        <w:r w:rsidR="009B7AFD">
          <w:rPr>
            <w:color w:val="231F20"/>
          </w:rPr>
          <w:t>is</w:t>
        </w:r>
        <w:r w:rsidR="009B7AFD">
          <w:rPr>
            <w:color w:val="231F20"/>
            <w:spacing w:val="-4"/>
          </w:rPr>
          <w:t xml:space="preserve"> </w:t>
        </w:r>
        <w:r w:rsidR="009B7AFD">
          <w:rPr>
            <w:color w:val="231F20"/>
          </w:rPr>
          <w:t>more</w:t>
        </w:r>
        <w:r w:rsidR="009B7AFD">
          <w:rPr>
            <w:color w:val="231F20"/>
            <w:spacing w:val="-4"/>
          </w:rPr>
          <w:t xml:space="preserve"> </w:t>
        </w:r>
        <w:r w:rsidR="009B7AFD">
          <w:rPr>
            <w:color w:val="231F20"/>
          </w:rPr>
          <w:t>to</w:t>
        </w:r>
        <w:r w:rsidR="009B7AFD">
          <w:rPr>
            <w:color w:val="231F20"/>
            <w:spacing w:val="-4"/>
          </w:rPr>
          <w:t xml:space="preserve"> </w:t>
        </w:r>
        <w:r w:rsidR="009B7AFD">
          <w:rPr>
            <w:color w:val="231F20"/>
          </w:rPr>
          <w:t>learn</w:t>
        </w:r>
        <w:r w:rsidR="009B7AFD">
          <w:rPr>
            <w:color w:val="231F20"/>
            <w:spacing w:val="-4"/>
          </w:rPr>
          <w:t xml:space="preserve"> </w:t>
        </w:r>
        <w:r w:rsidR="009B7AFD">
          <w:rPr>
            <w:color w:val="231F20"/>
          </w:rPr>
          <w:t>about</w:t>
        </w:r>
        <w:r w:rsidR="009B7AFD">
          <w:rPr>
            <w:color w:val="231F20"/>
            <w:spacing w:val="-4"/>
          </w:rPr>
          <w:t xml:space="preserve"> </w:t>
        </w:r>
        <w:r w:rsidR="009B7AFD">
          <w:rPr>
            <w:color w:val="231F20"/>
          </w:rPr>
          <w:t>why</w:t>
        </w:r>
        <w:r w:rsidR="009B7AFD">
          <w:rPr>
            <w:color w:val="231F20"/>
            <w:spacing w:val="-4"/>
          </w:rPr>
          <w:t xml:space="preserve"> </w:t>
        </w:r>
        <w:r w:rsidR="009B7AFD">
          <w:rPr>
            <w:color w:val="231F20"/>
          </w:rPr>
          <w:t>cases</w:t>
        </w:r>
        <w:r w:rsidR="009B7AFD">
          <w:rPr>
            <w:color w:val="231F20"/>
            <w:spacing w:val="-3"/>
          </w:rPr>
          <w:t xml:space="preserve"> </w:t>
        </w:r>
        <w:r w:rsidR="009B7AFD">
          <w:rPr>
            <w:color w:val="231F20"/>
          </w:rPr>
          <w:t>do</w:t>
        </w:r>
        <w:r w:rsidR="009B7AFD">
          <w:rPr>
            <w:color w:val="231F20"/>
            <w:spacing w:val="-4"/>
          </w:rPr>
          <w:t xml:space="preserve"> </w:t>
        </w:r>
        <w:r w:rsidR="009B7AFD">
          <w:rPr>
            <w:color w:val="231F20"/>
          </w:rPr>
          <w:t>not</w:t>
        </w:r>
        <w:r w:rsidR="009B7AFD">
          <w:rPr>
            <w:color w:val="231F20"/>
            <w:spacing w:val="-4"/>
          </w:rPr>
          <w:t xml:space="preserve"> </w:t>
        </w:r>
        <w:r w:rsidR="009B7AFD">
          <w:rPr>
            <w:color w:val="231F20"/>
          </w:rPr>
          <w:t>progress</w:t>
        </w:r>
        <w:r w:rsidR="009B7AFD">
          <w:rPr>
            <w:color w:val="231F20"/>
            <w:spacing w:val="-4"/>
          </w:rPr>
          <w:t xml:space="preserve"> </w:t>
        </w:r>
        <w:r w:rsidR="009B7AFD">
          <w:rPr>
            <w:color w:val="231F20"/>
          </w:rPr>
          <w:t>in</w:t>
        </w:r>
        <w:r w:rsidR="009B7AFD">
          <w:rPr>
            <w:color w:val="231F20"/>
            <w:spacing w:val="-4"/>
          </w:rPr>
          <w:t xml:space="preserve"> </w:t>
        </w:r>
        <w:r w:rsidR="009B7AFD">
          <w:rPr>
            <w:color w:val="231F20"/>
          </w:rPr>
          <w:t>the</w:t>
        </w:r>
        <w:r w:rsidR="009B7AFD">
          <w:rPr>
            <w:color w:val="231F20"/>
            <w:spacing w:val="-4"/>
          </w:rPr>
          <w:t xml:space="preserve"> </w:t>
        </w:r>
        <w:r w:rsidR="009B7AFD">
          <w:rPr>
            <w:color w:val="231F20"/>
          </w:rPr>
          <w:t>justice</w:t>
        </w:r>
        <w:r w:rsidR="009B7AFD">
          <w:rPr>
            <w:color w:val="231F20"/>
            <w:spacing w:val="-4"/>
          </w:rPr>
          <w:t xml:space="preserve"> </w:t>
        </w:r>
        <w:r w:rsidR="009B7AFD">
          <w:rPr>
            <w:color w:val="231F20"/>
          </w:rPr>
          <w:t>system</w:t>
        </w:r>
        <w:r w:rsidR="009B7AFD">
          <w:rPr>
            <w:color w:val="231F20"/>
          </w:rPr>
          <w:tab/>
          <w:t>145</w:t>
        </w:r>
      </w:hyperlink>
    </w:p>
    <w:p w14:paraId="70D75236" w14:textId="77777777" w:rsidR="00894070" w:rsidRDefault="009F6793">
      <w:pPr>
        <w:pStyle w:val="BodyText"/>
        <w:tabs>
          <w:tab w:val="right" w:leader="dot" w:pos="9687"/>
        </w:tabs>
        <w:spacing w:before="48"/>
        <w:ind w:left="1574"/>
      </w:pPr>
      <w:hyperlink w:anchor="_bookmark99" w:history="1">
        <w:r w:rsidR="009B7AFD">
          <w:rPr>
            <w:color w:val="231F20"/>
          </w:rPr>
          <w:t>Breaching intervention orders: are new</w:t>
        </w:r>
        <w:r w:rsidR="009B7AFD">
          <w:rPr>
            <w:color w:val="231F20"/>
            <w:spacing w:val="-15"/>
          </w:rPr>
          <w:t xml:space="preserve"> </w:t>
        </w:r>
        <w:r w:rsidR="009B7AFD">
          <w:rPr>
            <w:color w:val="231F20"/>
          </w:rPr>
          <w:t>offences</w:t>
        </w:r>
        <w:r w:rsidR="009B7AFD">
          <w:rPr>
            <w:color w:val="231F20"/>
            <w:spacing w:val="-3"/>
          </w:rPr>
          <w:t xml:space="preserve"> </w:t>
        </w:r>
        <w:r w:rsidR="009B7AFD">
          <w:rPr>
            <w:color w:val="231F20"/>
          </w:rPr>
          <w:t>needed?</w:t>
        </w:r>
        <w:r w:rsidR="009B7AFD">
          <w:rPr>
            <w:color w:val="231F20"/>
          </w:rPr>
          <w:tab/>
          <w:t>146</w:t>
        </w:r>
      </w:hyperlink>
    </w:p>
    <w:p w14:paraId="0F79C979" w14:textId="77777777" w:rsidR="00894070" w:rsidRDefault="009F6793">
      <w:pPr>
        <w:pStyle w:val="BodyText"/>
        <w:tabs>
          <w:tab w:val="right" w:leader="dot" w:pos="9681"/>
        </w:tabs>
        <w:spacing w:before="41"/>
        <w:ind w:left="1857"/>
      </w:pPr>
      <w:hyperlink w:anchor="_bookmark100" w:history="1">
        <w:r w:rsidR="009B7AFD">
          <w:rPr>
            <w:color w:val="231F20"/>
          </w:rPr>
          <w:t xml:space="preserve">What do </w:t>
        </w:r>
        <w:r w:rsidR="009B7AFD">
          <w:rPr>
            <w:color w:val="231F20"/>
            <w:spacing w:val="-3"/>
          </w:rPr>
          <w:t xml:space="preserve">we </w:t>
        </w:r>
        <w:r w:rsidR="009B7AFD">
          <w:rPr>
            <w:color w:val="231F20"/>
          </w:rPr>
          <w:t>know about PSIO</w:t>
        </w:r>
        <w:r w:rsidR="009B7AFD">
          <w:rPr>
            <w:color w:val="231F20"/>
            <w:spacing w:val="-12"/>
          </w:rPr>
          <w:t xml:space="preserve"> </w:t>
        </w:r>
        <w:r w:rsidR="009B7AFD">
          <w:rPr>
            <w:color w:val="231F20"/>
          </w:rPr>
          <w:t>breach</w:t>
        </w:r>
        <w:r w:rsidR="009B7AFD">
          <w:rPr>
            <w:color w:val="231F20"/>
            <w:spacing w:val="-2"/>
          </w:rPr>
          <w:t xml:space="preserve"> </w:t>
        </w:r>
        <w:r w:rsidR="009B7AFD">
          <w:rPr>
            <w:color w:val="231F20"/>
            <w:spacing w:val="-3"/>
          </w:rPr>
          <w:t>offences?</w:t>
        </w:r>
        <w:r w:rsidR="009B7AFD">
          <w:rPr>
            <w:color w:val="231F20"/>
            <w:spacing w:val="-3"/>
          </w:rPr>
          <w:tab/>
          <w:t>147</w:t>
        </w:r>
      </w:hyperlink>
    </w:p>
    <w:p w14:paraId="4E32D124" w14:textId="77777777" w:rsidR="00894070" w:rsidRDefault="009F6793">
      <w:pPr>
        <w:pStyle w:val="BodyText"/>
        <w:tabs>
          <w:tab w:val="right" w:leader="dot" w:pos="9681"/>
        </w:tabs>
        <w:spacing w:before="41"/>
        <w:ind w:left="1857"/>
      </w:pPr>
      <w:hyperlink w:anchor="_bookmark100" w:history="1">
        <w:r w:rsidR="009B7AFD">
          <w:rPr>
            <w:color w:val="231F20"/>
          </w:rPr>
          <w:t>New PSIO breach offences are</w:t>
        </w:r>
        <w:r w:rsidR="009B7AFD">
          <w:rPr>
            <w:color w:val="231F20"/>
            <w:spacing w:val="-13"/>
          </w:rPr>
          <w:t xml:space="preserve"> </w:t>
        </w:r>
        <w:r w:rsidR="009B7AFD">
          <w:rPr>
            <w:color w:val="231F20"/>
          </w:rPr>
          <w:t>not</w:t>
        </w:r>
        <w:r w:rsidR="009B7AFD">
          <w:rPr>
            <w:color w:val="231F20"/>
            <w:spacing w:val="-2"/>
          </w:rPr>
          <w:t xml:space="preserve"> </w:t>
        </w:r>
        <w:r w:rsidR="009B7AFD">
          <w:rPr>
            <w:color w:val="231F20"/>
          </w:rPr>
          <w:t>needed</w:t>
        </w:r>
        <w:r w:rsidR="009B7AFD">
          <w:rPr>
            <w:color w:val="231F20"/>
          </w:rPr>
          <w:tab/>
        </w:r>
        <w:r w:rsidR="009B7AFD">
          <w:rPr>
            <w:color w:val="231F20"/>
            <w:spacing w:val="-3"/>
          </w:rPr>
          <w:t>147</w:t>
        </w:r>
      </w:hyperlink>
    </w:p>
    <w:p w14:paraId="0E8E3609" w14:textId="77777777" w:rsidR="00894070" w:rsidRDefault="009F6793">
      <w:pPr>
        <w:pStyle w:val="BodyText"/>
        <w:tabs>
          <w:tab w:val="right" w:leader="dot" w:pos="9686"/>
        </w:tabs>
        <w:spacing w:before="48"/>
        <w:ind w:left="1574"/>
      </w:pPr>
      <w:hyperlink w:anchor="_bookmark101" w:history="1">
        <w:r w:rsidR="009B7AFD">
          <w:rPr>
            <w:color w:val="231F20"/>
          </w:rPr>
          <w:t>Improving police responses to</w:t>
        </w:r>
        <w:r w:rsidR="009B7AFD">
          <w:rPr>
            <w:color w:val="231F20"/>
            <w:spacing w:val="-10"/>
          </w:rPr>
          <w:t xml:space="preserve"> </w:t>
        </w:r>
        <w:r w:rsidR="009B7AFD">
          <w:rPr>
            <w:color w:val="231F20"/>
          </w:rPr>
          <w:t>PSIO</w:t>
        </w:r>
        <w:r w:rsidR="009B7AFD">
          <w:rPr>
            <w:color w:val="231F20"/>
            <w:spacing w:val="-2"/>
          </w:rPr>
          <w:t xml:space="preserve"> </w:t>
        </w:r>
        <w:r w:rsidR="009B7AFD">
          <w:rPr>
            <w:color w:val="231F20"/>
          </w:rPr>
          <w:t>breaches</w:t>
        </w:r>
        <w:r w:rsidR="009B7AFD">
          <w:rPr>
            <w:color w:val="231F20"/>
          </w:rPr>
          <w:tab/>
          <w:t>149</w:t>
        </w:r>
      </w:hyperlink>
    </w:p>
    <w:p w14:paraId="00BBB697" w14:textId="77777777" w:rsidR="00894070" w:rsidRDefault="009F6793">
      <w:pPr>
        <w:pStyle w:val="BodyText"/>
        <w:tabs>
          <w:tab w:val="right" w:leader="dot" w:pos="9687"/>
        </w:tabs>
        <w:spacing w:before="47"/>
        <w:ind w:left="1574"/>
      </w:pPr>
      <w:hyperlink w:anchor="_bookmark102" w:history="1">
        <w:r w:rsidR="009B7AFD">
          <w:rPr>
            <w:color w:val="231F20"/>
          </w:rPr>
          <w:t>The criminal trial process should be improved for stalking</w:t>
        </w:r>
        <w:r w:rsidR="009B7AFD">
          <w:rPr>
            <w:color w:val="231F20"/>
            <w:spacing w:val="-32"/>
          </w:rPr>
          <w:t xml:space="preserve"> </w:t>
        </w:r>
        <w:r w:rsidR="009B7AFD">
          <w:rPr>
            <w:color w:val="231F20"/>
          </w:rPr>
          <w:t>victim</w:t>
        </w:r>
        <w:r w:rsidR="009B7AFD">
          <w:rPr>
            <w:color w:val="231F20"/>
            <w:spacing w:val="-3"/>
          </w:rPr>
          <w:t xml:space="preserve"> </w:t>
        </w:r>
        <w:r w:rsidR="009B7AFD">
          <w:rPr>
            <w:color w:val="231F20"/>
          </w:rPr>
          <w:t>survivors</w:t>
        </w:r>
        <w:r w:rsidR="009B7AFD">
          <w:rPr>
            <w:color w:val="231F20"/>
          </w:rPr>
          <w:tab/>
          <w:t>153</w:t>
        </w:r>
      </w:hyperlink>
    </w:p>
    <w:p w14:paraId="3C585EA0" w14:textId="77777777" w:rsidR="00894070" w:rsidRDefault="009F6793">
      <w:pPr>
        <w:pStyle w:val="BodyText"/>
        <w:tabs>
          <w:tab w:val="right" w:leader="dot" w:pos="9687"/>
        </w:tabs>
        <w:spacing w:before="42"/>
        <w:ind w:left="1857"/>
      </w:pPr>
      <w:hyperlink w:anchor="_bookmark103" w:history="1">
        <w:r w:rsidR="009B7AFD">
          <w:rPr>
            <w:color w:val="231F20"/>
          </w:rPr>
          <w:t>A ‘protected victim’ category for victim survivors</w:t>
        </w:r>
        <w:r w:rsidR="009B7AFD">
          <w:rPr>
            <w:color w:val="231F20"/>
            <w:spacing w:val="-20"/>
          </w:rPr>
          <w:t xml:space="preserve"> </w:t>
        </w:r>
        <w:r w:rsidR="009B7AFD">
          <w:rPr>
            <w:color w:val="231F20"/>
          </w:rPr>
          <w:t>of</w:t>
        </w:r>
        <w:r w:rsidR="009B7AFD">
          <w:rPr>
            <w:color w:val="231F20"/>
            <w:spacing w:val="-2"/>
          </w:rPr>
          <w:t xml:space="preserve"> </w:t>
        </w:r>
        <w:r w:rsidR="009B7AFD">
          <w:rPr>
            <w:color w:val="231F20"/>
          </w:rPr>
          <w:t>stalking</w:t>
        </w:r>
        <w:r w:rsidR="009B7AFD">
          <w:rPr>
            <w:color w:val="231F20"/>
          </w:rPr>
          <w:tab/>
          <w:t>154</w:t>
        </w:r>
      </w:hyperlink>
    </w:p>
    <w:p w14:paraId="2532FA91" w14:textId="77777777" w:rsidR="00894070" w:rsidRDefault="009F6793">
      <w:pPr>
        <w:pStyle w:val="BodyText"/>
        <w:tabs>
          <w:tab w:val="right" w:leader="dot" w:pos="9687"/>
        </w:tabs>
        <w:spacing w:before="41"/>
        <w:ind w:left="1857"/>
      </w:pPr>
      <w:hyperlink w:anchor="_bookmark104" w:history="1">
        <w:r w:rsidR="009B7AFD">
          <w:rPr>
            <w:color w:val="231F20"/>
          </w:rPr>
          <w:t>The courtroom experience should be safe for</w:t>
        </w:r>
        <w:r w:rsidR="009B7AFD">
          <w:rPr>
            <w:color w:val="231F20"/>
            <w:spacing w:val="-20"/>
          </w:rPr>
          <w:t xml:space="preserve"> </w:t>
        </w:r>
        <w:r w:rsidR="009B7AFD">
          <w:rPr>
            <w:color w:val="231F20"/>
          </w:rPr>
          <w:t>victim</w:t>
        </w:r>
        <w:r w:rsidR="009B7AFD">
          <w:rPr>
            <w:color w:val="231F20"/>
            <w:spacing w:val="-2"/>
          </w:rPr>
          <w:t xml:space="preserve"> </w:t>
        </w:r>
        <w:r w:rsidR="009B7AFD">
          <w:rPr>
            <w:color w:val="231F20"/>
          </w:rPr>
          <w:t>survivors</w:t>
        </w:r>
        <w:r w:rsidR="009B7AFD">
          <w:rPr>
            <w:color w:val="231F20"/>
          </w:rPr>
          <w:tab/>
          <w:t>158</w:t>
        </w:r>
      </w:hyperlink>
    </w:p>
    <w:p w14:paraId="2FC354D5" w14:textId="77777777" w:rsidR="00894070" w:rsidRDefault="009F6793">
      <w:pPr>
        <w:pStyle w:val="BodyText"/>
        <w:tabs>
          <w:tab w:val="right" w:leader="dot" w:pos="9685"/>
        </w:tabs>
        <w:spacing w:before="42"/>
        <w:ind w:left="1857"/>
      </w:pPr>
      <w:hyperlink w:anchor="_bookmark105" w:history="1">
        <w:r w:rsidR="009B7AFD">
          <w:rPr>
            <w:color w:val="231F20"/>
          </w:rPr>
          <w:t xml:space="preserve">Victim survivors should not be personally cross-examined </w:t>
        </w:r>
        <w:r w:rsidR="009B7AFD">
          <w:rPr>
            <w:color w:val="231F20"/>
            <w:spacing w:val="-3"/>
          </w:rPr>
          <w:t>by</w:t>
        </w:r>
        <w:r w:rsidR="009B7AFD">
          <w:rPr>
            <w:color w:val="231F20"/>
            <w:spacing w:val="-30"/>
          </w:rPr>
          <w:t xml:space="preserve"> </w:t>
        </w:r>
        <w:r w:rsidR="009B7AFD">
          <w:rPr>
            <w:color w:val="231F20"/>
          </w:rPr>
          <w:t>the</w:t>
        </w:r>
        <w:r w:rsidR="009B7AFD">
          <w:rPr>
            <w:color w:val="231F20"/>
            <w:spacing w:val="-3"/>
          </w:rPr>
          <w:t xml:space="preserve"> </w:t>
        </w:r>
        <w:r w:rsidR="009B7AFD">
          <w:rPr>
            <w:color w:val="231F20"/>
          </w:rPr>
          <w:t>accused</w:t>
        </w:r>
        <w:r w:rsidR="009B7AFD">
          <w:rPr>
            <w:color w:val="231F20"/>
          </w:rPr>
          <w:tab/>
          <w:t>159</w:t>
        </w:r>
      </w:hyperlink>
    </w:p>
    <w:p w14:paraId="739A4625" w14:textId="77777777" w:rsidR="00894070" w:rsidRDefault="00894070">
      <w:pPr>
        <w:pStyle w:val="BodyText"/>
        <w:rPr>
          <w:sz w:val="28"/>
        </w:rPr>
      </w:pPr>
    </w:p>
    <w:p w14:paraId="0081E052" w14:textId="77777777" w:rsidR="00894070" w:rsidRDefault="00894070">
      <w:pPr>
        <w:pStyle w:val="BodyText"/>
        <w:rPr>
          <w:sz w:val="28"/>
        </w:rPr>
      </w:pPr>
    </w:p>
    <w:p w14:paraId="11876C67" w14:textId="77777777" w:rsidR="00894070" w:rsidRDefault="00894070">
      <w:pPr>
        <w:pStyle w:val="BodyText"/>
        <w:rPr>
          <w:sz w:val="28"/>
        </w:rPr>
      </w:pPr>
    </w:p>
    <w:p w14:paraId="13567141" w14:textId="77777777" w:rsidR="00894070" w:rsidRDefault="00894070">
      <w:pPr>
        <w:pStyle w:val="BodyText"/>
        <w:rPr>
          <w:sz w:val="28"/>
        </w:rPr>
      </w:pPr>
    </w:p>
    <w:p w14:paraId="764394AD" w14:textId="77777777" w:rsidR="00894070" w:rsidRDefault="00894070">
      <w:pPr>
        <w:pStyle w:val="BodyText"/>
        <w:rPr>
          <w:sz w:val="28"/>
        </w:rPr>
      </w:pPr>
    </w:p>
    <w:p w14:paraId="19ABB30A" w14:textId="77777777" w:rsidR="00894070" w:rsidRDefault="00894070">
      <w:pPr>
        <w:pStyle w:val="BodyText"/>
        <w:rPr>
          <w:sz w:val="28"/>
        </w:rPr>
      </w:pPr>
    </w:p>
    <w:p w14:paraId="6B003E01" w14:textId="77777777" w:rsidR="00894070" w:rsidRDefault="00894070">
      <w:pPr>
        <w:pStyle w:val="BodyText"/>
        <w:spacing w:before="4"/>
        <w:rPr>
          <w:sz w:val="37"/>
        </w:rPr>
      </w:pPr>
    </w:p>
    <w:p w14:paraId="03578F1F" w14:textId="77777777" w:rsidR="00894070" w:rsidRDefault="009B7AFD">
      <w:pPr>
        <w:pStyle w:val="Heading8"/>
        <w:ind w:left="140"/>
      </w:pPr>
      <w:r>
        <w:rPr>
          <w:color w:val="EA5B50"/>
        </w:rPr>
        <w:t>vi</w:t>
      </w:r>
    </w:p>
    <w:p w14:paraId="511A5B52" w14:textId="77777777" w:rsidR="00894070" w:rsidRDefault="00894070">
      <w:pPr>
        <w:sectPr w:rsidR="00894070">
          <w:pgSz w:w="11910" w:h="16840"/>
          <w:pgMar w:top="860" w:right="420" w:bottom="280" w:left="580" w:header="567" w:footer="0" w:gutter="0"/>
          <w:cols w:space="720"/>
        </w:sectPr>
      </w:pPr>
    </w:p>
    <w:p w14:paraId="7B2E486E" w14:textId="77777777" w:rsidR="00894070" w:rsidRDefault="00894070">
      <w:pPr>
        <w:pStyle w:val="BodyText"/>
        <w:rPr>
          <w:b/>
        </w:rPr>
      </w:pPr>
    </w:p>
    <w:p w14:paraId="399D9687" w14:textId="77777777" w:rsidR="00894070" w:rsidRDefault="00894070">
      <w:pPr>
        <w:pStyle w:val="BodyText"/>
        <w:rPr>
          <w:b/>
        </w:rPr>
      </w:pPr>
    </w:p>
    <w:p w14:paraId="6DA4888A" w14:textId="77777777" w:rsidR="00894070" w:rsidRDefault="00894070">
      <w:pPr>
        <w:pStyle w:val="BodyText"/>
        <w:rPr>
          <w:b/>
        </w:rPr>
      </w:pPr>
    </w:p>
    <w:p w14:paraId="5C170B9E" w14:textId="77777777" w:rsidR="00894070" w:rsidRDefault="00894070">
      <w:pPr>
        <w:pStyle w:val="BodyText"/>
        <w:spacing w:before="6"/>
        <w:rPr>
          <w:b/>
          <w:sz w:val="14"/>
        </w:rPr>
      </w:pPr>
    </w:p>
    <w:p w14:paraId="7B25A568" w14:textId="77777777" w:rsidR="00894070" w:rsidRDefault="009F6793">
      <w:pPr>
        <w:numPr>
          <w:ilvl w:val="0"/>
          <w:numId w:val="1"/>
        </w:numPr>
        <w:tabs>
          <w:tab w:val="left" w:pos="1348"/>
          <w:tab w:val="right" w:leader="dot" w:pos="9685"/>
        </w:tabs>
        <w:spacing w:before="58"/>
        <w:ind w:left="1347" w:hanging="340"/>
        <w:rPr>
          <w:b/>
          <w:sz w:val="20"/>
        </w:rPr>
      </w:pPr>
      <w:hyperlink w:anchor="_bookmark106" w:history="1">
        <w:r w:rsidR="009B7AFD">
          <w:rPr>
            <w:b/>
            <w:color w:val="EA5B50"/>
            <w:sz w:val="20"/>
          </w:rPr>
          <w:t>Responding to people</w:t>
        </w:r>
        <w:r w:rsidR="009B7AFD">
          <w:rPr>
            <w:b/>
            <w:color w:val="EA5B50"/>
            <w:spacing w:val="-7"/>
            <w:sz w:val="20"/>
          </w:rPr>
          <w:t xml:space="preserve"> </w:t>
        </w:r>
        <w:r w:rsidR="009B7AFD">
          <w:rPr>
            <w:b/>
            <w:color w:val="EA5B50"/>
            <w:sz w:val="20"/>
          </w:rPr>
          <w:t>who</w:t>
        </w:r>
        <w:r w:rsidR="009B7AFD">
          <w:rPr>
            <w:b/>
            <w:color w:val="EA5B50"/>
            <w:spacing w:val="-2"/>
            <w:sz w:val="20"/>
          </w:rPr>
          <w:t xml:space="preserve"> </w:t>
        </w:r>
        <w:r w:rsidR="009B7AFD">
          <w:rPr>
            <w:b/>
            <w:color w:val="EA5B50"/>
            <w:sz w:val="20"/>
          </w:rPr>
          <w:t>stalk</w:t>
        </w:r>
        <w:r w:rsidR="009B7AFD">
          <w:rPr>
            <w:b/>
            <w:color w:val="EA5B50"/>
            <w:sz w:val="20"/>
          </w:rPr>
          <w:tab/>
        </w:r>
        <w:r w:rsidR="009B7AFD">
          <w:rPr>
            <w:b/>
            <w:color w:val="EA5B50"/>
            <w:spacing w:val="-2"/>
            <w:sz w:val="20"/>
          </w:rPr>
          <w:t>162</w:t>
        </w:r>
      </w:hyperlink>
    </w:p>
    <w:p w14:paraId="6E476E08" w14:textId="77777777" w:rsidR="00894070" w:rsidRDefault="009F6793">
      <w:pPr>
        <w:pStyle w:val="BodyText"/>
        <w:tabs>
          <w:tab w:val="right" w:leader="dot" w:pos="9684"/>
        </w:tabs>
        <w:spacing w:before="47"/>
        <w:ind w:left="1574"/>
      </w:pPr>
      <w:hyperlink w:anchor="_bookmark106" w:history="1">
        <w:r w:rsidR="009B7AFD">
          <w:rPr>
            <w:color w:val="231F20"/>
          </w:rPr>
          <w:t>Overview</w:t>
        </w:r>
        <w:r w:rsidR="009B7AFD">
          <w:rPr>
            <w:color w:val="231F20"/>
          </w:rPr>
          <w:tab/>
        </w:r>
        <w:r w:rsidR="009B7AFD">
          <w:rPr>
            <w:color w:val="231F20"/>
            <w:spacing w:val="-3"/>
          </w:rPr>
          <w:t>162</w:t>
        </w:r>
      </w:hyperlink>
    </w:p>
    <w:p w14:paraId="45550E6F" w14:textId="77777777" w:rsidR="00894070" w:rsidRDefault="009F6793">
      <w:pPr>
        <w:pStyle w:val="BodyText"/>
        <w:tabs>
          <w:tab w:val="right" w:leader="dot" w:pos="9684"/>
        </w:tabs>
        <w:spacing w:before="47"/>
        <w:ind w:left="1574"/>
      </w:pPr>
      <w:hyperlink w:anchor="_bookmark106" w:history="1">
        <w:r w:rsidR="009B7AFD">
          <w:rPr>
            <w:color w:val="231F20"/>
          </w:rPr>
          <w:t>The current response to stalking demands too much from</w:t>
        </w:r>
        <w:r w:rsidR="009B7AFD">
          <w:rPr>
            <w:color w:val="231F20"/>
            <w:spacing w:val="-31"/>
          </w:rPr>
          <w:t xml:space="preserve"> </w:t>
        </w:r>
        <w:r w:rsidR="009B7AFD">
          <w:rPr>
            <w:color w:val="231F20"/>
          </w:rPr>
          <w:t>victim</w:t>
        </w:r>
        <w:r w:rsidR="009B7AFD">
          <w:rPr>
            <w:color w:val="231F20"/>
            <w:spacing w:val="-3"/>
          </w:rPr>
          <w:t xml:space="preserve"> </w:t>
        </w:r>
        <w:r w:rsidR="009B7AFD">
          <w:rPr>
            <w:color w:val="231F20"/>
          </w:rPr>
          <w:t>survivors</w:t>
        </w:r>
        <w:r w:rsidR="009B7AFD">
          <w:rPr>
            <w:color w:val="231F20"/>
          </w:rPr>
          <w:tab/>
        </w:r>
        <w:r w:rsidR="009B7AFD">
          <w:rPr>
            <w:color w:val="231F20"/>
            <w:spacing w:val="-3"/>
          </w:rPr>
          <w:t>162</w:t>
        </w:r>
      </w:hyperlink>
    </w:p>
    <w:p w14:paraId="6B1796F5" w14:textId="77777777" w:rsidR="00894070" w:rsidRDefault="009F6793">
      <w:pPr>
        <w:pStyle w:val="BodyText"/>
        <w:tabs>
          <w:tab w:val="right" w:leader="dot" w:pos="9677"/>
        </w:tabs>
        <w:spacing w:before="48"/>
        <w:ind w:left="1574"/>
      </w:pPr>
      <w:hyperlink w:anchor="_bookmark107" w:history="1">
        <w:r w:rsidR="009B7AFD">
          <w:rPr>
            <w:color w:val="231F20"/>
          </w:rPr>
          <w:t xml:space="preserve">What do </w:t>
        </w:r>
        <w:r w:rsidR="009B7AFD">
          <w:rPr>
            <w:color w:val="231F20"/>
            <w:spacing w:val="-3"/>
          </w:rPr>
          <w:t xml:space="preserve">we </w:t>
        </w:r>
        <w:r w:rsidR="009B7AFD">
          <w:rPr>
            <w:color w:val="231F20"/>
          </w:rPr>
          <w:t>know about people</w:t>
        </w:r>
        <w:r w:rsidR="009B7AFD">
          <w:rPr>
            <w:color w:val="231F20"/>
            <w:spacing w:val="-11"/>
          </w:rPr>
          <w:t xml:space="preserve"> </w:t>
        </w:r>
        <w:r w:rsidR="009B7AFD">
          <w:rPr>
            <w:color w:val="231F20"/>
          </w:rPr>
          <w:t>who</w:t>
        </w:r>
        <w:r w:rsidR="009B7AFD">
          <w:rPr>
            <w:color w:val="231F20"/>
            <w:spacing w:val="-2"/>
          </w:rPr>
          <w:t xml:space="preserve"> </w:t>
        </w:r>
        <w:r w:rsidR="009B7AFD">
          <w:rPr>
            <w:color w:val="231F20"/>
          </w:rPr>
          <w:t>stalk?</w:t>
        </w:r>
        <w:r w:rsidR="009B7AFD">
          <w:rPr>
            <w:color w:val="231F20"/>
          </w:rPr>
          <w:tab/>
        </w:r>
        <w:r w:rsidR="009B7AFD">
          <w:rPr>
            <w:color w:val="231F20"/>
            <w:spacing w:val="-8"/>
          </w:rPr>
          <w:t>163</w:t>
        </w:r>
      </w:hyperlink>
    </w:p>
    <w:p w14:paraId="03071EA8" w14:textId="77777777" w:rsidR="00894070" w:rsidRDefault="009F6793">
      <w:pPr>
        <w:pStyle w:val="BodyText"/>
        <w:tabs>
          <w:tab w:val="right" w:leader="dot" w:pos="9677"/>
        </w:tabs>
        <w:spacing w:before="41"/>
        <w:ind w:left="1857"/>
      </w:pPr>
      <w:hyperlink w:anchor="_bookmark107" w:history="1">
        <w:r w:rsidR="009B7AFD">
          <w:rPr>
            <w:color w:val="231F20"/>
          </w:rPr>
          <w:t>People who stalk</w:t>
        </w:r>
        <w:r w:rsidR="009B7AFD">
          <w:rPr>
            <w:color w:val="231F20"/>
            <w:spacing w:val="-7"/>
          </w:rPr>
          <w:t xml:space="preserve"> </w:t>
        </w:r>
        <w:r w:rsidR="009B7AFD">
          <w:rPr>
            <w:color w:val="231F20"/>
          </w:rPr>
          <w:t>are</w:t>
        </w:r>
        <w:r w:rsidR="009B7AFD">
          <w:rPr>
            <w:color w:val="231F20"/>
            <w:spacing w:val="-2"/>
          </w:rPr>
          <w:t xml:space="preserve"> </w:t>
        </w:r>
        <w:r w:rsidR="009B7AFD">
          <w:rPr>
            <w:color w:val="231F20"/>
          </w:rPr>
          <w:t>diverse</w:t>
        </w:r>
        <w:r w:rsidR="009B7AFD">
          <w:rPr>
            <w:color w:val="231F20"/>
          </w:rPr>
          <w:tab/>
        </w:r>
        <w:r w:rsidR="009B7AFD">
          <w:rPr>
            <w:color w:val="231F20"/>
            <w:spacing w:val="-8"/>
          </w:rPr>
          <w:t>163</w:t>
        </w:r>
      </w:hyperlink>
    </w:p>
    <w:p w14:paraId="432FCB01" w14:textId="77777777" w:rsidR="00894070" w:rsidRDefault="009F6793">
      <w:pPr>
        <w:pStyle w:val="BodyText"/>
        <w:tabs>
          <w:tab w:val="right" w:leader="dot" w:pos="9687"/>
        </w:tabs>
        <w:spacing w:before="42"/>
        <w:ind w:left="1857"/>
      </w:pPr>
      <w:hyperlink w:anchor="_bookmark108" w:history="1">
        <w:r w:rsidR="009B7AFD">
          <w:rPr>
            <w:color w:val="231F20"/>
          </w:rPr>
          <w:t xml:space="preserve">Addressing an association between </w:t>
        </w:r>
        <w:r w:rsidR="009B7AFD">
          <w:rPr>
            <w:color w:val="231F20"/>
            <w:spacing w:val="-3"/>
          </w:rPr>
          <w:t xml:space="preserve">severe </w:t>
        </w:r>
        <w:r w:rsidR="009B7AFD">
          <w:rPr>
            <w:color w:val="231F20"/>
          </w:rPr>
          <w:t>mental disorders</w:t>
        </w:r>
        <w:r w:rsidR="009B7AFD">
          <w:rPr>
            <w:color w:val="231F20"/>
            <w:spacing w:val="-19"/>
          </w:rPr>
          <w:t xml:space="preserve"> </w:t>
        </w:r>
        <w:r w:rsidR="009B7AFD">
          <w:rPr>
            <w:color w:val="231F20"/>
          </w:rPr>
          <w:t>and</w:t>
        </w:r>
        <w:r w:rsidR="009B7AFD">
          <w:rPr>
            <w:color w:val="231F20"/>
            <w:spacing w:val="-3"/>
          </w:rPr>
          <w:t xml:space="preserve"> </w:t>
        </w:r>
        <w:r w:rsidR="009B7AFD">
          <w:rPr>
            <w:color w:val="231F20"/>
          </w:rPr>
          <w:t>stalking</w:t>
        </w:r>
        <w:r w:rsidR="009B7AFD">
          <w:rPr>
            <w:color w:val="231F20"/>
          </w:rPr>
          <w:tab/>
          <w:t>164</w:t>
        </w:r>
      </w:hyperlink>
    </w:p>
    <w:p w14:paraId="1B8BB325" w14:textId="77777777" w:rsidR="00894070" w:rsidRDefault="009F6793">
      <w:pPr>
        <w:pStyle w:val="BodyText"/>
        <w:tabs>
          <w:tab w:val="right" w:leader="dot" w:pos="9687"/>
        </w:tabs>
        <w:spacing w:before="47"/>
        <w:ind w:left="1574"/>
      </w:pPr>
      <w:hyperlink w:anchor="_bookmark109" w:history="1">
        <w:r w:rsidR="009B7AFD">
          <w:rPr>
            <w:color w:val="231F20"/>
          </w:rPr>
          <w:t>A coordinated response to stalking</w:t>
        </w:r>
        <w:r w:rsidR="009B7AFD">
          <w:rPr>
            <w:color w:val="231F20"/>
            <w:spacing w:val="-12"/>
          </w:rPr>
          <w:t xml:space="preserve"> </w:t>
        </w:r>
        <w:r w:rsidR="009B7AFD">
          <w:rPr>
            <w:color w:val="231F20"/>
          </w:rPr>
          <w:t>is</w:t>
        </w:r>
        <w:r w:rsidR="009B7AFD">
          <w:rPr>
            <w:color w:val="231F20"/>
            <w:spacing w:val="-2"/>
          </w:rPr>
          <w:t xml:space="preserve"> </w:t>
        </w:r>
        <w:r w:rsidR="009B7AFD">
          <w:rPr>
            <w:color w:val="231F20"/>
          </w:rPr>
          <w:t>needed</w:t>
        </w:r>
        <w:r w:rsidR="009B7AFD">
          <w:rPr>
            <w:color w:val="231F20"/>
          </w:rPr>
          <w:tab/>
          <w:t>165</w:t>
        </w:r>
      </w:hyperlink>
    </w:p>
    <w:p w14:paraId="59644B63" w14:textId="77777777" w:rsidR="00894070" w:rsidRDefault="009F6793">
      <w:pPr>
        <w:pStyle w:val="BodyText"/>
        <w:tabs>
          <w:tab w:val="right" w:leader="dot" w:pos="9687"/>
        </w:tabs>
        <w:spacing w:before="42"/>
        <w:ind w:left="1857"/>
      </w:pPr>
      <w:hyperlink w:anchor="_bookmark110" w:history="1">
        <w:r w:rsidR="009B7AFD">
          <w:rPr>
            <w:color w:val="231F20"/>
          </w:rPr>
          <w:t>A research base should</w:t>
        </w:r>
        <w:r w:rsidR="009B7AFD">
          <w:rPr>
            <w:color w:val="231F20"/>
            <w:spacing w:val="-9"/>
          </w:rPr>
          <w:t xml:space="preserve"> </w:t>
        </w:r>
        <w:r w:rsidR="009B7AFD">
          <w:rPr>
            <w:color w:val="231F20"/>
          </w:rPr>
          <w:t>be</w:t>
        </w:r>
        <w:r w:rsidR="009B7AFD">
          <w:rPr>
            <w:color w:val="231F20"/>
            <w:spacing w:val="-2"/>
          </w:rPr>
          <w:t xml:space="preserve"> </w:t>
        </w:r>
        <w:r w:rsidR="009B7AFD">
          <w:rPr>
            <w:color w:val="231F20"/>
          </w:rPr>
          <w:t>established</w:t>
        </w:r>
        <w:r w:rsidR="009B7AFD">
          <w:rPr>
            <w:color w:val="231F20"/>
          </w:rPr>
          <w:tab/>
          <w:t>166</w:t>
        </w:r>
      </w:hyperlink>
    </w:p>
    <w:p w14:paraId="77ACF099" w14:textId="77777777" w:rsidR="00894070" w:rsidRDefault="009F6793">
      <w:pPr>
        <w:pStyle w:val="BodyText"/>
        <w:tabs>
          <w:tab w:val="right" w:leader="dot" w:pos="9687"/>
        </w:tabs>
        <w:spacing w:before="41"/>
        <w:ind w:left="1857"/>
      </w:pPr>
      <w:hyperlink w:anchor="_bookmark110" w:history="1">
        <w:r w:rsidR="009B7AFD">
          <w:rPr>
            <w:color w:val="231F20"/>
          </w:rPr>
          <w:t>Services and funding should</w:t>
        </w:r>
        <w:r w:rsidR="009B7AFD">
          <w:rPr>
            <w:color w:val="231F20"/>
            <w:spacing w:val="-9"/>
          </w:rPr>
          <w:t xml:space="preserve"> </w:t>
        </w:r>
        <w:r w:rsidR="009B7AFD">
          <w:rPr>
            <w:color w:val="231F20"/>
          </w:rPr>
          <w:t>be</w:t>
        </w:r>
        <w:r w:rsidR="009B7AFD">
          <w:rPr>
            <w:color w:val="231F20"/>
            <w:spacing w:val="-3"/>
          </w:rPr>
          <w:t xml:space="preserve"> </w:t>
        </w:r>
        <w:r w:rsidR="009B7AFD">
          <w:rPr>
            <w:color w:val="231F20"/>
          </w:rPr>
          <w:t>available</w:t>
        </w:r>
        <w:r w:rsidR="009B7AFD">
          <w:rPr>
            <w:color w:val="231F20"/>
          </w:rPr>
          <w:tab/>
          <w:t>166</w:t>
        </w:r>
      </w:hyperlink>
    </w:p>
    <w:p w14:paraId="40972367" w14:textId="77777777" w:rsidR="00894070" w:rsidRDefault="009F6793">
      <w:pPr>
        <w:pStyle w:val="BodyText"/>
        <w:tabs>
          <w:tab w:val="right" w:leader="dot" w:pos="9687"/>
        </w:tabs>
        <w:spacing w:before="42"/>
        <w:ind w:left="1857"/>
      </w:pPr>
      <w:hyperlink w:anchor="_bookmark111" w:history="1">
        <w:r w:rsidR="009B7AFD">
          <w:rPr>
            <w:color w:val="231F20"/>
          </w:rPr>
          <w:t xml:space="preserve">Building </w:t>
        </w:r>
        <w:r w:rsidR="009B7AFD">
          <w:rPr>
            <w:color w:val="231F20"/>
            <w:spacing w:val="-3"/>
          </w:rPr>
          <w:t xml:space="preserve">pathways </w:t>
        </w:r>
        <w:r w:rsidR="009B7AFD">
          <w:rPr>
            <w:color w:val="231F20"/>
          </w:rPr>
          <w:t>to treatment</w:t>
        </w:r>
        <w:r w:rsidR="009B7AFD">
          <w:rPr>
            <w:color w:val="231F20"/>
            <w:spacing w:val="-6"/>
          </w:rPr>
          <w:t xml:space="preserve"> </w:t>
        </w:r>
        <w:r w:rsidR="009B7AFD">
          <w:rPr>
            <w:color w:val="231F20"/>
          </w:rPr>
          <w:t>and</w:t>
        </w:r>
        <w:r w:rsidR="009B7AFD">
          <w:rPr>
            <w:color w:val="231F20"/>
            <w:spacing w:val="-2"/>
          </w:rPr>
          <w:t xml:space="preserve"> </w:t>
        </w:r>
        <w:r w:rsidR="009B7AFD">
          <w:rPr>
            <w:color w:val="231F20"/>
          </w:rPr>
          <w:t>support</w:t>
        </w:r>
        <w:r w:rsidR="009B7AFD">
          <w:rPr>
            <w:color w:val="231F20"/>
          </w:rPr>
          <w:tab/>
        </w:r>
        <w:r w:rsidR="009B7AFD">
          <w:rPr>
            <w:color w:val="231F20"/>
            <w:spacing w:val="-4"/>
          </w:rPr>
          <w:t>172</w:t>
        </w:r>
      </w:hyperlink>
    </w:p>
    <w:p w14:paraId="01361025" w14:textId="77777777" w:rsidR="00894070" w:rsidRDefault="009F6793">
      <w:pPr>
        <w:pStyle w:val="BodyText"/>
        <w:tabs>
          <w:tab w:val="right" w:leader="dot" w:pos="9674"/>
        </w:tabs>
        <w:spacing w:before="41"/>
        <w:ind w:left="1857"/>
      </w:pPr>
      <w:hyperlink w:anchor="_bookmark112" w:history="1">
        <w:r w:rsidR="009B7AFD">
          <w:rPr>
            <w:color w:val="231F20"/>
          </w:rPr>
          <w:t>The</w:t>
        </w:r>
        <w:r w:rsidR="009B7AFD">
          <w:rPr>
            <w:color w:val="231F20"/>
            <w:spacing w:val="-6"/>
          </w:rPr>
          <w:t xml:space="preserve"> </w:t>
        </w:r>
        <w:r w:rsidR="009B7AFD">
          <w:rPr>
            <w:color w:val="231F20"/>
          </w:rPr>
          <w:t>use</w:t>
        </w:r>
        <w:r w:rsidR="009B7AFD">
          <w:rPr>
            <w:color w:val="231F20"/>
            <w:spacing w:val="-5"/>
          </w:rPr>
          <w:t xml:space="preserve"> </w:t>
        </w:r>
        <w:r w:rsidR="009B7AFD">
          <w:rPr>
            <w:color w:val="231F20"/>
          </w:rPr>
          <w:t>of</w:t>
        </w:r>
        <w:r w:rsidR="009B7AFD">
          <w:rPr>
            <w:color w:val="231F20"/>
            <w:spacing w:val="-6"/>
          </w:rPr>
          <w:t xml:space="preserve"> </w:t>
        </w:r>
        <w:r w:rsidR="009B7AFD">
          <w:rPr>
            <w:color w:val="231F20"/>
          </w:rPr>
          <w:t>‘stop</w:t>
        </w:r>
        <w:r w:rsidR="009B7AFD">
          <w:rPr>
            <w:color w:val="231F20"/>
            <w:spacing w:val="-5"/>
          </w:rPr>
          <w:t xml:space="preserve"> </w:t>
        </w:r>
        <w:r w:rsidR="009B7AFD">
          <w:rPr>
            <w:color w:val="231F20"/>
          </w:rPr>
          <w:t>conversations’</w:t>
        </w:r>
        <w:r w:rsidR="009B7AFD">
          <w:rPr>
            <w:color w:val="231F20"/>
            <w:spacing w:val="-5"/>
          </w:rPr>
          <w:t xml:space="preserve"> </w:t>
        </w:r>
        <w:r w:rsidR="009B7AFD">
          <w:rPr>
            <w:color w:val="231F20"/>
            <w:spacing w:val="-3"/>
          </w:rPr>
          <w:t>by</w:t>
        </w:r>
        <w:r w:rsidR="009B7AFD">
          <w:rPr>
            <w:color w:val="231F20"/>
            <w:spacing w:val="-6"/>
          </w:rPr>
          <w:t xml:space="preserve"> </w:t>
        </w:r>
        <w:r w:rsidR="009B7AFD">
          <w:rPr>
            <w:color w:val="231F20"/>
          </w:rPr>
          <w:t>Victoria</w:t>
        </w:r>
        <w:r w:rsidR="009B7AFD">
          <w:rPr>
            <w:color w:val="231F20"/>
            <w:spacing w:val="-5"/>
          </w:rPr>
          <w:t xml:space="preserve"> </w:t>
        </w:r>
        <w:r w:rsidR="009B7AFD">
          <w:rPr>
            <w:color w:val="231F20"/>
          </w:rPr>
          <w:t>Police</w:t>
        </w:r>
        <w:r w:rsidR="009B7AFD">
          <w:rPr>
            <w:color w:val="231F20"/>
            <w:spacing w:val="-5"/>
          </w:rPr>
          <w:t xml:space="preserve"> </w:t>
        </w:r>
        <w:r w:rsidR="009B7AFD">
          <w:rPr>
            <w:color w:val="231F20"/>
          </w:rPr>
          <w:t>as</w:t>
        </w:r>
        <w:r w:rsidR="009B7AFD">
          <w:rPr>
            <w:color w:val="231F20"/>
            <w:spacing w:val="-6"/>
          </w:rPr>
          <w:t xml:space="preserve"> </w:t>
        </w:r>
        <w:r w:rsidR="009B7AFD">
          <w:rPr>
            <w:color w:val="231F20"/>
          </w:rPr>
          <w:t>a</w:t>
        </w:r>
        <w:r w:rsidR="009B7AFD">
          <w:rPr>
            <w:color w:val="231F20"/>
            <w:spacing w:val="-5"/>
          </w:rPr>
          <w:t xml:space="preserve"> </w:t>
        </w:r>
        <w:r w:rsidR="009B7AFD">
          <w:rPr>
            <w:color w:val="231F20"/>
          </w:rPr>
          <w:t>form</w:t>
        </w:r>
        <w:r w:rsidR="009B7AFD">
          <w:rPr>
            <w:color w:val="231F20"/>
            <w:spacing w:val="-5"/>
          </w:rPr>
          <w:t xml:space="preserve"> </w:t>
        </w:r>
        <w:r w:rsidR="009B7AFD">
          <w:rPr>
            <w:color w:val="231F20"/>
          </w:rPr>
          <w:t>of</w:t>
        </w:r>
        <w:r w:rsidR="009B7AFD">
          <w:rPr>
            <w:color w:val="231F20"/>
            <w:spacing w:val="-6"/>
          </w:rPr>
          <w:t xml:space="preserve"> </w:t>
        </w:r>
        <w:r w:rsidR="009B7AFD">
          <w:rPr>
            <w:color w:val="231F20"/>
          </w:rPr>
          <w:t>early</w:t>
        </w:r>
        <w:r w:rsidR="009B7AFD">
          <w:rPr>
            <w:color w:val="231F20"/>
            <w:spacing w:val="-5"/>
          </w:rPr>
          <w:t xml:space="preserve"> </w:t>
        </w:r>
        <w:r w:rsidR="009B7AFD">
          <w:rPr>
            <w:color w:val="231F20"/>
          </w:rPr>
          <w:t>intervention</w:t>
        </w:r>
        <w:r w:rsidR="009B7AFD">
          <w:rPr>
            <w:color w:val="231F20"/>
          </w:rPr>
          <w:tab/>
        </w:r>
        <w:r w:rsidR="009B7AFD">
          <w:rPr>
            <w:color w:val="231F20"/>
            <w:spacing w:val="-12"/>
          </w:rPr>
          <w:t>174</w:t>
        </w:r>
      </w:hyperlink>
    </w:p>
    <w:p w14:paraId="12161A3C" w14:textId="77777777" w:rsidR="00894070" w:rsidRDefault="009F6793">
      <w:pPr>
        <w:pStyle w:val="BodyText"/>
        <w:tabs>
          <w:tab w:val="right" w:leader="dot" w:pos="9687"/>
        </w:tabs>
        <w:spacing w:before="47"/>
        <w:ind w:left="1574"/>
      </w:pPr>
      <w:hyperlink w:anchor="_bookmark113" w:history="1">
        <w:r w:rsidR="009B7AFD">
          <w:rPr>
            <w:color w:val="231F20"/>
          </w:rPr>
          <w:t>Court-ordered therapeutic orders</w:t>
        </w:r>
        <w:r w:rsidR="009B7AFD">
          <w:rPr>
            <w:color w:val="231F20"/>
            <w:spacing w:val="-7"/>
          </w:rPr>
          <w:t xml:space="preserve"> </w:t>
        </w:r>
        <w:r w:rsidR="009B7AFD">
          <w:rPr>
            <w:color w:val="231F20"/>
          </w:rPr>
          <w:t>for</w:t>
        </w:r>
        <w:r w:rsidR="009B7AFD">
          <w:rPr>
            <w:color w:val="231F20"/>
            <w:spacing w:val="-3"/>
          </w:rPr>
          <w:t xml:space="preserve"> </w:t>
        </w:r>
        <w:r w:rsidR="009B7AFD">
          <w:rPr>
            <w:color w:val="231F20"/>
          </w:rPr>
          <w:t>PSIOs</w:t>
        </w:r>
        <w:r w:rsidR="009B7AFD">
          <w:rPr>
            <w:color w:val="231F20"/>
          </w:rPr>
          <w:tab/>
        </w:r>
        <w:r w:rsidR="009B7AFD">
          <w:rPr>
            <w:color w:val="231F20"/>
            <w:spacing w:val="-4"/>
          </w:rPr>
          <w:t>176</w:t>
        </w:r>
      </w:hyperlink>
    </w:p>
    <w:p w14:paraId="74F92B83" w14:textId="77777777" w:rsidR="00894070" w:rsidRDefault="009F6793">
      <w:pPr>
        <w:pStyle w:val="BodyText"/>
        <w:tabs>
          <w:tab w:val="right" w:leader="dot" w:pos="9687"/>
        </w:tabs>
        <w:spacing w:before="48"/>
        <w:ind w:left="1574"/>
      </w:pPr>
      <w:hyperlink w:anchor="_bookmark114" w:history="1">
        <w:r w:rsidR="009B7AFD">
          <w:rPr>
            <w:color w:val="231F20"/>
          </w:rPr>
          <w:t>Electronic</w:t>
        </w:r>
        <w:r w:rsidR="009B7AFD">
          <w:rPr>
            <w:color w:val="231F20"/>
            <w:spacing w:val="-3"/>
          </w:rPr>
          <w:t xml:space="preserve"> </w:t>
        </w:r>
        <w:r w:rsidR="009B7AFD">
          <w:rPr>
            <w:color w:val="231F20"/>
          </w:rPr>
          <w:t>monitoring</w:t>
        </w:r>
        <w:r w:rsidR="009B7AFD">
          <w:rPr>
            <w:color w:val="231F20"/>
          </w:rPr>
          <w:tab/>
        </w:r>
        <w:r w:rsidR="009B7AFD">
          <w:rPr>
            <w:color w:val="231F20"/>
            <w:spacing w:val="-3"/>
          </w:rPr>
          <w:t>178</w:t>
        </w:r>
      </w:hyperlink>
    </w:p>
    <w:p w14:paraId="16074361" w14:textId="77777777" w:rsidR="00894070" w:rsidRDefault="009F6793">
      <w:pPr>
        <w:pStyle w:val="BodyText"/>
        <w:tabs>
          <w:tab w:val="right" w:leader="dot" w:pos="9687"/>
        </w:tabs>
        <w:spacing w:before="41"/>
        <w:ind w:left="1857"/>
      </w:pPr>
      <w:hyperlink w:anchor="_bookmark114" w:history="1">
        <w:r w:rsidR="009B7AFD">
          <w:rPr>
            <w:color w:val="231F20"/>
          </w:rPr>
          <w:t>What is</w:t>
        </w:r>
        <w:r w:rsidR="009B7AFD">
          <w:rPr>
            <w:color w:val="231F20"/>
            <w:spacing w:val="-5"/>
          </w:rPr>
          <w:t xml:space="preserve"> </w:t>
        </w:r>
        <w:r w:rsidR="009B7AFD">
          <w:rPr>
            <w:color w:val="231F20"/>
          </w:rPr>
          <w:t>electronic</w:t>
        </w:r>
        <w:r w:rsidR="009B7AFD">
          <w:rPr>
            <w:color w:val="231F20"/>
            <w:spacing w:val="-2"/>
          </w:rPr>
          <w:t xml:space="preserve"> </w:t>
        </w:r>
        <w:r w:rsidR="009B7AFD">
          <w:rPr>
            <w:color w:val="231F20"/>
          </w:rPr>
          <w:t>monitoring?</w:t>
        </w:r>
        <w:r w:rsidR="009B7AFD">
          <w:rPr>
            <w:color w:val="231F20"/>
          </w:rPr>
          <w:tab/>
        </w:r>
        <w:r w:rsidR="009B7AFD">
          <w:rPr>
            <w:color w:val="231F20"/>
            <w:spacing w:val="-3"/>
          </w:rPr>
          <w:t>178</w:t>
        </w:r>
      </w:hyperlink>
    </w:p>
    <w:p w14:paraId="2FB0A8FF" w14:textId="77777777" w:rsidR="00894070" w:rsidRDefault="009F6793">
      <w:pPr>
        <w:pStyle w:val="BodyText"/>
        <w:tabs>
          <w:tab w:val="right" w:leader="dot" w:pos="9687"/>
        </w:tabs>
        <w:spacing w:before="42"/>
        <w:ind w:left="1857"/>
      </w:pPr>
      <w:hyperlink w:anchor="_bookmark115" w:history="1">
        <w:r w:rsidR="009B7AFD">
          <w:rPr>
            <w:color w:val="231F20"/>
          </w:rPr>
          <w:t>How effective is</w:t>
        </w:r>
        <w:r w:rsidR="009B7AFD">
          <w:rPr>
            <w:color w:val="231F20"/>
            <w:spacing w:val="-8"/>
          </w:rPr>
          <w:t xml:space="preserve"> </w:t>
        </w:r>
        <w:r w:rsidR="009B7AFD">
          <w:rPr>
            <w:color w:val="231F20"/>
          </w:rPr>
          <w:t>electronic</w:t>
        </w:r>
        <w:r w:rsidR="009B7AFD">
          <w:rPr>
            <w:color w:val="231F20"/>
            <w:spacing w:val="-3"/>
          </w:rPr>
          <w:t xml:space="preserve"> </w:t>
        </w:r>
        <w:r w:rsidR="009B7AFD">
          <w:rPr>
            <w:color w:val="231F20"/>
          </w:rPr>
          <w:t>monitoring?</w:t>
        </w:r>
        <w:r w:rsidR="009B7AFD">
          <w:rPr>
            <w:color w:val="231F20"/>
          </w:rPr>
          <w:tab/>
        </w:r>
        <w:r w:rsidR="009B7AFD">
          <w:rPr>
            <w:color w:val="231F20"/>
            <w:spacing w:val="-5"/>
          </w:rPr>
          <w:t>179</w:t>
        </w:r>
      </w:hyperlink>
    </w:p>
    <w:p w14:paraId="2750006D" w14:textId="77777777" w:rsidR="00894070" w:rsidRDefault="009F6793">
      <w:pPr>
        <w:pStyle w:val="BodyText"/>
        <w:tabs>
          <w:tab w:val="right" w:leader="dot" w:pos="9687"/>
        </w:tabs>
        <w:spacing w:before="41"/>
        <w:ind w:left="1857"/>
      </w:pPr>
      <w:hyperlink w:anchor="_bookmark115" w:history="1">
        <w:r w:rsidR="009B7AFD">
          <w:rPr>
            <w:color w:val="231F20"/>
          </w:rPr>
          <w:t>Support for</w:t>
        </w:r>
        <w:r w:rsidR="009B7AFD">
          <w:rPr>
            <w:color w:val="231F20"/>
            <w:spacing w:val="-6"/>
          </w:rPr>
          <w:t xml:space="preserve"> </w:t>
        </w:r>
        <w:r w:rsidR="009B7AFD">
          <w:rPr>
            <w:color w:val="231F20"/>
          </w:rPr>
          <w:t>electronic</w:t>
        </w:r>
        <w:r w:rsidR="009B7AFD">
          <w:rPr>
            <w:color w:val="231F20"/>
            <w:spacing w:val="-2"/>
          </w:rPr>
          <w:t xml:space="preserve"> </w:t>
        </w:r>
        <w:r w:rsidR="009B7AFD">
          <w:rPr>
            <w:color w:val="231F20"/>
          </w:rPr>
          <w:t>monitoring</w:t>
        </w:r>
        <w:r w:rsidR="009B7AFD">
          <w:rPr>
            <w:color w:val="231F20"/>
          </w:rPr>
          <w:tab/>
        </w:r>
        <w:r w:rsidR="009B7AFD">
          <w:rPr>
            <w:color w:val="231F20"/>
            <w:spacing w:val="-5"/>
          </w:rPr>
          <w:t>179</w:t>
        </w:r>
      </w:hyperlink>
    </w:p>
    <w:p w14:paraId="432D1B82" w14:textId="77777777" w:rsidR="00894070" w:rsidRDefault="009F6793">
      <w:pPr>
        <w:pStyle w:val="BodyText"/>
        <w:tabs>
          <w:tab w:val="right" w:leader="dot" w:pos="9687"/>
        </w:tabs>
        <w:spacing w:before="42"/>
        <w:ind w:left="1857"/>
      </w:pPr>
      <w:hyperlink w:anchor="_bookmark116" w:history="1">
        <w:r w:rsidR="009B7AFD">
          <w:rPr>
            <w:color w:val="231F20"/>
          </w:rPr>
          <w:t>Opposition to</w:t>
        </w:r>
        <w:r w:rsidR="009B7AFD">
          <w:rPr>
            <w:color w:val="231F20"/>
            <w:spacing w:val="-5"/>
          </w:rPr>
          <w:t xml:space="preserve"> </w:t>
        </w:r>
        <w:r w:rsidR="009B7AFD">
          <w:rPr>
            <w:color w:val="231F20"/>
          </w:rPr>
          <w:t>electronic</w:t>
        </w:r>
        <w:r w:rsidR="009B7AFD">
          <w:rPr>
            <w:color w:val="231F20"/>
            <w:spacing w:val="-2"/>
          </w:rPr>
          <w:t xml:space="preserve"> </w:t>
        </w:r>
        <w:r w:rsidR="009B7AFD">
          <w:rPr>
            <w:color w:val="231F20"/>
          </w:rPr>
          <w:t>monitoring</w:t>
        </w:r>
        <w:r w:rsidR="009B7AFD">
          <w:rPr>
            <w:color w:val="231F20"/>
          </w:rPr>
          <w:tab/>
          <w:t>180</w:t>
        </w:r>
      </w:hyperlink>
    </w:p>
    <w:p w14:paraId="34850FC3" w14:textId="77777777" w:rsidR="00894070" w:rsidRDefault="009F6793">
      <w:pPr>
        <w:pStyle w:val="BodyText"/>
        <w:tabs>
          <w:tab w:val="right" w:leader="dot" w:pos="9684"/>
        </w:tabs>
        <w:spacing w:before="41"/>
        <w:ind w:left="1857"/>
      </w:pPr>
      <w:hyperlink w:anchor="_bookmark117" w:history="1">
        <w:r w:rsidR="009B7AFD">
          <w:rPr>
            <w:color w:val="231F20"/>
          </w:rPr>
          <w:t>Conclusion on</w:t>
        </w:r>
        <w:r w:rsidR="009B7AFD">
          <w:rPr>
            <w:color w:val="231F20"/>
            <w:spacing w:val="-5"/>
          </w:rPr>
          <w:t xml:space="preserve"> </w:t>
        </w:r>
        <w:r w:rsidR="009B7AFD">
          <w:rPr>
            <w:color w:val="231F20"/>
          </w:rPr>
          <w:t>electronic</w:t>
        </w:r>
        <w:r w:rsidR="009B7AFD">
          <w:rPr>
            <w:color w:val="231F20"/>
            <w:spacing w:val="-2"/>
          </w:rPr>
          <w:t xml:space="preserve"> </w:t>
        </w:r>
        <w:r w:rsidR="009B7AFD">
          <w:rPr>
            <w:color w:val="231F20"/>
          </w:rPr>
          <w:t>monitoring</w:t>
        </w:r>
        <w:r w:rsidR="009B7AFD">
          <w:rPr>
            <w:color w:val="231F20"/>
          </w:rPr>
          <w:tab/>
        </w:r>
        <w:r w:rsidR="009B7AFD">
          <w:rPr>
            <w:color w:val="231F20"/>
            <w:spacing w:val="-4"/>
          </w:rPr>
          <w:t>181</w:t>
        </w:r>
      </w:hyperlink>
    </w:p>
    <w:p w14:paraId="6FBA74E4" w14:textId="77777777" w:rsidR="00894070" w:rsidRDefault="009F6793">
      <w:pPr>
        <w:pStyle w:val="BodyText"/>
        <w:tabs>
          <w:tab w:val="right" w:leader="dot" w:pos="9687"/>
        </w:tabs>
        <w:spacing w:before="48"/>
        <w:ind w:left="1574"/>
      </w:pPr>
      <w:hyperlink w:anchor="_bookmark118" w:history="1">
        <w:r w:rsidR="009B7AFD">
          <w:rPr>
            <w:color w:val="231F20"/>
          </w:rPr>
          <w:t>Sentencing</w:t>
        </w:r>
        <w:r w:rsidR="009B7AFD">
          <w:rPr>
            <w:color w:val="231F20"/>
            <w:spacing w:val="-3"/>
          </w:rPr>
          <w:t xml:space="preserve"> </w:t>
        </w:r>
        <w:r w:rsidR="009B7AFD">
          <w:rPr>
            <w:color w:val="231F20"/>
          </w:rPr>
          <w:t>stalking</w:t>
        </w:r>
        <w:r w:rsidR="009B7AFD">
          <w:rPr>
            <w:color w:val="231F20"/>
          </w:rPr>
          <w:tab/>
          <w:t>182</w:t>
        </w:r>
      </w:hyperlink>
    </w:p>
    <w:p w14:paraId="5F2352DA" w14:textId="77777777" w:rsidR="00894070" w:rsidRDefault="009F6793">
      <w:pPr>
        <w:pStyle w:val="BodyText"/>
        <w:tabs>
          <w:tab w:val="right" w:leader="dot" w:pos="9687"/>
        </w:tabs>
        <w:spacing w:before="41"/>
        <w:ind w:left="1857"/>
      </w:pPr>
      <w:hyperlink w:anchor="_bookmark118" w:history="1">
        <w:r w:rsidR="009B7AFD">
          <w:rPr>
            <w:color w:val="231F20"/>
          </w:rPr>
          <w:t>How is stalking sentenced</w:t>
        </w:r>
        <w:r w:rsidR="009B7AFD">
          <w:rPr>
            <w:color w:val="231F20"/>
            <w:spacing w:val="-10"/>
          </w:rPr>
          <w:t xml:space="preserve"> </w:t>
        </w:r>
        <w:r w:rsidR="009B7AFD">
          <w:rPr>
            <w:color w:val="231F20"/>
          </w:rPr>
          <w:t>in</w:t>
        </w:r>
        <w:r w:rsidR="009B7AFD">
          <w:rPr>
            <w:color w:val="231F20"/>
            <w:spacing w:val="-2"/>
          </w:rPr>
          <w:t xml:space="preserve"> </w:t>
        </w:r>
        <w:r w:rsidR="009B7AFD">
          <w:rPr>
            <w:color w:val="231F20"/>
          </w:rPr>
          <w:t>Victoria?</w:t>
        </w:r>
        <w:r w:rsidR="009B7AFD">
          <w:rPr>
            <w:color w:val="231F20"/>
          </w:rPr>
          <w:tab/>
          <w:t>182</w:t>
        </w:r>
      </w:hyperlink>
    </w:p>
    <w:p w14:paraId="692E5121" w14:textId="77777777" w:rsidR="00894070" w:rsidRDefault="009F6793">
      <w:pPr>
        <w:pStyle w:val="BodyText"/>
        <w:tabs>
          <w:tab w:val="right" w:leader="dot" w:pos="9683"/>
        </w:tabs>
        <w:spacing w:before="41"/>
        <w:ind w:left="1857"/>
      </w:pPr>
      <w:hyperlink w:anchor="_bookmark119" w:history="1">
        <w:r w:rsidR="009B7AFD">
          <w:rPr>
            <w:color w:val="231F20"/>
          </w:rPr>
          <w:t>Support for</w:t>
        </w:r>
        <w:r w:rsidR="009B7AFD">
          <w:rPr>
            <w:color w:val="231F20"/>
            <w:spacing w:val="-6"/>
          </w:rPr>
          <w:t xml:space="preserve"> </w:t>
        </w:r>
        <w:r w:rsidR="009B7AFD">
          <w:rPr>
            <w:color w:val="231F20"/>
          </w:rPr>
          <w:t>increased</w:t>
        </w:r>
        <w:r w:rsidR="009B7AFD">
          <w:rPr>
            <w:color w:val="231F20"/>
            <w:spacing w:val="-2"/>
          </w:rPr>
          <w:t xml:space="preserve"> </w:t>
        </w:r>
        <w:r w:rsidR="009B7AFD">
          <w:rPr>
            <w:color w:val="231F20"/>
          </w:rPr>
          <w:t>sentences</w:t>
        </w:r>
        <w:r w:rsidR="009B7AFD">
          <w:rPr>
            <w:color w:val="231F20"/>
          </w:rPr>
          <w:tab/>
        </w:r>
        <w:r w:rsidR="009B7AFD">
          <w:rPr>
            <w:color w:val="231F20"/>
            <w:spacing w:val="-4"/>
          </w:rPr>
          <w:t>183</w:t>
        </w:r>
      </w:hyperlink>
    </w:p>
    <w:p w14:paraId="30EB5A52" w14:textId="77777777" w:rsidR="00894070" w:rsidRDefault="009F6793">
      <w:pPr>
        <w:pStyle w:val="BodyText"/>
        <w:tabs>
          <w:tab w:val="right" w:leader="dot" w:pos="9683"/>
        </w:tabs>
        <w:spacing w:before="42"/>
        <w:ind w:left="1857"/>
      </w:pPr>
      <w:hyperlink w:anchor="_bookmark119" w:history="1">
        <w:r w:rsidR="009B7AFD">
          <w:rPr>
            <w:color w:val="231F20"/>
          </w:rPr>
          <w:t>Guidance on sentencing should</w:t>
        </w:r>
        <w:r w:rsidR="009B7AFD">
          <w:rPr>
            <w:color w:val="231F20"/>
            <w:spacing w:val="-10"/>
          </w:rPr>
          <w:t xml:space="preserve"> </w:t>
        </w:r>
        <w:r w:rsidR="009B7AFD">
          <w:rPr>
            <w:color w:val="231F20"/>
          </w:rPr>
          <w:t>be</w:t>
        </w:r>
        <w:r w:rsidR="009B7AFD">
          <w:rPr>
            <w:color w:val="231F20"/>
            <w:spacing w:val="-2"/>
          </w:rPr>
          <w:t xml:space="preserve"> </w:t>
        </w:r>
        <w:r w:rsidR="009B7AFD">
          <w:rPr>
            <w:color w:val="231F20"/>
          </w:rPr>
          <w:t>introduced</w:t>
        </w:r>
        <w:r w:rsidR="009B7AFD">
          <w:rPr>
            <w:color w:val="231F20"/>
          </w:rPr>
          <w:tab/>
        </w:r>
        <w:r w:rsidR="009B7AFD">
          <w:rPr>
            <w:color w:val="231F20"/>
            <w:spacing w:val="-4"/>
          </w:rPr>
          <w:t>183</w:t>
        </w:r>
      </w:hyperlink>
    </w:p>
    <w:p w14:paraId="4FF4D4E1" w14:textId="77777777" w:rsidR="00894070" w:rsidRDefault="009F6793">
      <w:pPr>
        <w:tabs>
          <w:tab w:val="right" w:leader="dot" w:pos="9687"/>
        </w:tabs>
        <w:spacing w:before="41"/>
        <w:ind w:left="1007"/>
        <w:rPr>
          <w:b/>
          <w:sz w:val="20"/>
        </w:rPr>
      </w:pPr>
      <w:hyperlink w:anchor="_bookmark120" w:history="1">
        <w:r w:rsidR="009B7AFD">
          <w:rPr>
            <w:b/>
            <w:color w:val="231F20"/>
            <w:sz w:val="20"/>
          </w:rPr>
          <w:t>Appendix</w:t>
        </w:r>
        <w:r w:rsidR="009B7AFD">
          <w:rPr>
            <w:b/>
            <w:color w:val="231F20"/>
            <w:spacing w:val="-3"/>
            <w:sz w:val="20"/>
          </w:rPr>
          <w:t xml:space="preserve"> </w:t>
        </w:r>
        <w:r w:rsidR="009B7AFD">
          <w:rPr>
            <w:b/>
            <w:color w:val="231F20"/>
            <w:sz w:val="20"/>
          </w:rPr>
          <w:t>A:</w:t>
        </w:r>
        <w:r w:rsidR="009B7AFD">
          <w:rPr>
            <w:b/>
            <w:color w:val="231F20"/>
            <w:spacing w:val="-2"/>
            <w:sz w:val="20"/>
          </w:rPr>
          <w:t xml:space="preserve"> </w:t>
        </w:r>
        <w:r w:rsidR="009B7AFD">
          <w:rPr>
            <w:b/>
            <w:color w:val="231F20"/>
            <w:sz w:val="20"/>
          </w:rPr>
          <w:t>Submissions</w:t>
        </w:r>
        <w:r w:rsidR="009B7AFD">
          <w:rPr>
            <w:b/>
            <w:color w:val="231F20"/>
            <w:sz w:val="20"/>
          </w:rPr>
          <w:tab/>
          <w:t>186</w:t>
        </w:r>
      </w:hyperlink>
    </w:p>
    <w:p w14:paraId="7E979473" w14:textId="77777777" w:rsidR="00894070" w:rsidRDefault="009F6793">
      <w:pPr>
        <w:tabs>
          <w:tab w:val="right" w:leader="dot" w:pos="9687"/>
        </w:tabs>
        <w:spacing w:before="42"/>
        <w:ind w:left="1007"/>
        <w:rPr>
          <w:b/>
          <w:sz w:val="20"/>
        </w:rPr>
      </w:pPr>
      <w:hyperlink w:anchor="_bookmark121" w:history="1">
        <w:r w:rsidR="009B7AFD">
          <w:rPr>
            <w:b/>
            <w:color w:val="231F20"/>
            <w:sz w:val="20"/>
          </w:rPr>
          <w:t>Appendix</w:t>
        </w:r>
        <w:r w:rsidR="009B7AFD">
          <w:rPr>
            <w:b/>
            <w:color w:val="231F20"/>
            <w:spacing w:val="-3"/>
            <w:sz w:val="20"/>
          </w:rPr>
          <w:t xml:space="preserve"> </w:t>
        </w:r>
        <w:r w:rsidR="009B7AFD">
          <w:rPr>
            <w:b/>
            <w:color w:val="231F20"/>
            <w:sz w:val="20"/>
          </w:rPr>
          <w:t>B:</w:t>
        </w:r>
        <w:r w:rsidR="009B7AFD">
          <w:rPr>
            <w:b/>
            <w:color w:val="231F20"/>
            <w:spacing w:val="-2"/>
            <w:sz w:val="20"/>
          </w:rPr>
          <w:t xml:space="preserve"> </w:t>
        </w:r>
        <w:r w:rsidR="009B7AFD">
          <w:rPr>
            <w:b/>
            <w:color w:val="231F20"/>
            <w:sz w:val="20"/>
          </w:rPr>
          <w:t>Consultations</w:t>
        </w:r>
        <w:r w:rsidR="009B7AFD">
          <w:rPr>
            <w:b/>
            <w:color w:val="231F20"/>
            <w:sz w:val="20"/>
          </w:rPr>
          <w:tab/>
          <w:t>189</w:t>
        </w:r>
      </w:hyperlink>
    </w:p>
    <w:p w14:paraId="18270261" w14:textId="77777777" w:rsidR="00894070" w:rsidRDefault="009F6793">
      <w:pPr>
        <w:spacing w:before="41" w:line="256" w:lineRule="exact"/>
        <w:ind w:left="1007"/>
        <w:rPr>
          <w:b/>
          <w:sz w:val="20"/>
        </w:rPr>
      </w:pPr>
      <w:hyperlink w:anchor="_bookmark122" w:history="1">
        <w:r w:rsidR="009B7AFD">
          <w:rPr>
            <w:b/>
            <w:color w:val="231F20"/>
            <w:sz w:val="20"/>
          </w:rPr>
          <w:t>Appendix C: ‘Course of conduct’ element for stalking offence under s 21A of the</w:t>
        </w:r>
      </w:hyperlink>
    </w:p>
    <w:p w14:paraId="2B930DCB" w14:textId="77777777" w:rsidR="00894070" w:rsidRDefault="009F6793">
      <w:pPr>
        <w:tabs>
          <w:tab w:val="right" w:leader="dot" w:pos="9687"/>
        </w:tabs>
        <w:spacing w:line="256" w:lineRule="exact"/>
        <w:ind w:left="1007"/>
        <w:rPr>
          <w:b/>
          <w:sz w:val="20"/>
        </w:rPr>
      </w:pPr>
      <w:hyperlink w:anchor="_bookmark122" w:history="1">
        <w:r w:rsidR="009B7AFD">
          <w:rPr>
            <w:b/>
            <w:i/>
            <w:color w:val="231F20"/>
            <w:sz w:val="20"/>
          </w:rPr>
          <w:t>Crimes Act</w:t>
        </w:r>
        <w:r w:rsidR="009B7AFD">
          <w:rPr>
            <w:b/>
            <w:i/>
            <w:color w:val="231F20"/>
            <w:spacing w:val="-5"/>
            <w:sz w:val="20"/>
          </w:rPr>
          <w:t xml:space="preserve"> </w:t>
        </w:r>
        <w:r w:rsidR="009B7AFD">
          <w:rPr>
            <w:b/>
            <w:i/>
            <w:color w:val="231F20"/>
            <w:sz w:val="20"/>
          </w:rPr>
          <w:t>1958</w:t>
        </w:r>
        <w:r w:rsidR="009B7AFD">
          <w:rPr>
            <w:b/>
            <w:i/>
            <w:color w:val="231F20"/>
            <w:spacing w:val="-2"/>
            <w:sz w:val="20"/>
          </w:rPr>
          <w:t xml:space="preserve"> </w:t>
        </w:r>
        <w:r w:rsidR="009B7AFD">
          <w:rPr>
            <w:b/>
            <w:color w:val="231F20"/>
            <w:sz w:val="20"/>
          </w:rPr>
          <w:t>(Vic)</w:t>
        </w:r>
        <w:r w:rsidR="009B7AFD">
          <w:rPr>
            <w:b/>
            <w:color w:val="231F20"/>
            <w:sz w:val="20"/>
          </w:rPr>
          <w:tab/>
          <w:t>190</w:t>
        </w:r>
      </w:hyperlink>
    </w:p>
    <w:p w14:paraId="4384F452" w14:textId="77777777" w:rsidR="00894070" w:rsidRDefault="009F6793">
      <w:pPr>
        <w:tabs>
          <w:tab w:val="right" w:leader="dot" w:pos="9687"/>
        </w:tabs>
        <w:spacing w:before="42"/>
        <w:ind w:left="1007"/>
        <w:rPr>
          <w:b/>
          <w:sz w:val="20"/>
        </w:rPr>
      </w:pPr>
      <w:hyperlink w:anchor="_bookmark123" w:history="1">
        <w:r w:rsidR="009B7AFD">
          <w:rPr>
            <w:b/>
            <w:color w:val="231F20"/>
            <w:sz w:val="20"/>
          </w:rPr>
          <w:t>Bibliography</w:t>
        </w:r>
        <w:r w:rsidR="009B7AFD">
          <w:rPr>
            <w:b/>
            <w:color w:val="231F20"/>
            <w:sz w:val="20"/>
          </w:rPr>
          <w:tab/>
          <w:t>194</w:t>
        </w:r>
      </w:hyperlink>
    </w:p>
    <w:p w14:paraId="5E9DC3E1" w14:textId="77777777" w:rsidR="00894070" w:rsidRDefault="00894070">
      <w:pPr>
        <w:pStyle w:val="BodyText"/>
        <w:rPr>
          <w:b/>
          <w:sz w:val="28"/>
        </w:rPr>
      </w:pPr>
    </w:p>
    <w:p w14:paraId="657083A0" w14:textId="77777777" w:rsidR="00894070" w:rsidRDefault="00894070">
      <w:pPr>
        <w:pStyle w:val="BodyText"/>
        <w:rPr>
          <w:b/>
          <w:sz w:val="28"/>
        </w:rPr>
      </w:pPr>
    </w:p>
    <w:p w14:paraId="287678C1" w14:textId="77777777" w:rsidR="00894070" w:rsidRDefault="00894070">
      <w:pPr>
        <w:pStyle w:val="BodyText"/>
        <w:rPr>
          <w:b/>
          <w:sz w:val="28"/>
        </w:rPr>
      </w:pPr>
    </w:p>
    <w:p w14:paraId="64033F9B" w14:textId="77777777" w:rsidR="00894070" w:rsidRDefault="00894070">
      <w:pPr>
        <w:pStyle w:val="BodyText"/>
        <w:rPr>
          <w:b/>
          <w:sz w:val="28"/>
        </w:rPr>
      </w:pPr>
    </w:p>
    <w:p w14:paraId="6BABFFB0" w14:textId="77777777" w:rsidR="00894070" w:rsidRDefault="00894070">
      <w:pPr>
        <w:pStyle w:val="BodyText"/>
        <w:rPr>
          <w:b/>
          <w:sz w:val="28"/>
        </w:rPr>
      </w:pPr>
    </w:p>
    <w:p w14:paraId="407CEFBC" w14:textId="77777777" w:rsidR="00894070" w:rsidRDefault="00894070">
      <w:pPr>
        <w:pStyle w:val="BodyText"/>
        <w:rPr>
          <w:b/>
          <w:sz w:val="28"/>
        </w:rPr>
      </w:pPr>
    </w:p>
    <w:p w14:paraId="1405CF40" w14:textId="77777777" w:rsidR="00894070" w:rsidRDefault="00894070">
      <w:pPr>
        <w:pStyle w:val="BodyText"/>
        <w:rPr>
          <w:b/>
          <w:sz w:val="28"/>
        </w:rPr>
      </w:pPr>
    </w:p>
    <w:p w14:paraId="3DEC7675" w14:textId="77777777" w:rsidR="00894070" w:rsidRDefault="00894070">
      <w:pPr>
        <w:pStyle w:val="BodyText"/>
        <w:rPr>
          <w:b/>
          <w:sz w:val="28"/>
        </w:rPr>
      </w:pPr>
    </w:p>
    <w:p w14:paraId="338946CA" w14:textId="77777777" w:rsidR="00894070" w:rsidRDefault="00894070">
      <w:pPr>
        <w:pStyle w:val="BodyText"/>
        <w:rPr>
          <w:b/>
          <w:sz w:val="28"/>
        </w:rPr>
      </w:pPr>
    </w:p>
    <w:p w14:paraId="346D7685" w14:textId="77777777" w:rsidR="00894070" w:rsidRDefault="00894070">
      <w:pPr>
        <w:pStyle w:val="BodyText"/>
        <w:rPr>
          <w:b/>
          <w:sz w:val="28"/>
        </w:rPr>
      </w:pPr>
    </w:p>
    <w:p w14:paraId="66689C90" w14:textId="77777777" w:rsidR="00894070" w:rsidRDefault="00894070">
      <w:pPr>
        <w:pStyle w:val="BodyText"/>
        <w:rPr>
          <w:b/>
          <w:sz w:val="28"/>
        </w:rPr>
      </w:pPr>
    </w:p>
    <w:p w14:paraId="564B2EC1" w14:textId="77777777" w:rsidR="00894070" w:rsidRDefault="00894070">
      <w:pPr>
        <w:pStyle w:val="BodyText"/>
        <w:rPr>
          <w:b/>
          <w:sz w:val="28"/>
        </w:rPr>
      </w:pPr>
    </w:p>
    <w:p w14:paraId="1D4D9847" w14:textId="77777777" w:rsidR="00894070" w:rsidRDefault="00894070">
      <w:pPr>
        <w:pStyle w:val="BodyText"/>
        <w:rPr>
          <w:b/>
          <w:sz w:val="28"/>
        </w:rPr>
      </w:pPr>
    </w:p>
    <w:p w14:paraId="44D7A06D" w14:textId="77777777" w:rsidR="00894070" w:rsidRDefault="00894070">
      <w:pPr>
        <w:pStyle w:val="BodyText"/>
        <w:spacing w:before="12"/>
        <w:rPr>
          <w:b/>
          <w:sz w:val="33"/>
        </w:rPr>
      </w:pPr>
    </w:p>
    <w:p w14:paraId="1F325E20" w14:textId="77777777" w:rsidR="00894070" w:rsidRDefault="009B7AFD">
      <w:pPr>
        <w:ind w:right="245"/>
        <w:jc w:val="right"/>
        <w:rPr>
          <w:b/>
          <w:sz w:val="24"/>
        </w:rPr>
      </w:pPr>
      <w:r>
        <w:rPr>
          <w:b/>
          <w:color w:val="EA5B50"/>
          <w:sz w:val="24"/>
        </w:rPr>
        <w:t>vii</w:t>
      </w:r>
    </w:p>
    <w:p w14:paraId="6A51B402" w14:textId="77777777" w:rsidR="00894070" w:rsidRDefault="00894070">
      <w:pPr>
        <w:jc w:val="right"/>
        <w:rPr>
          <w:sz w:val="24"/>
        </w:rPr>
        <w:sectPr w:rsidR="00894070">
          <w:pgSz w:w="11910" w:h="16840"/>
          <w:pgMar w:top="840" w:right="420" w:bottom="280" w:left="580" w:header="0" w:footer="0" w:gutter="0"/>
          <w:cols w:space="720"/>
        </w:sectPr>
      </w:pPr>
    </w:p>
    <w:p w14:paraId="5B73AE61" w14:textId="77777777" w:rsidR="00894070" w:rsidRDefault="009F6793">
      <w:pPr>
        <w:pStyle w:val="BodyText"/>
        <w:rPr>
          <w:b/>
        </w:rPr>
      </w:pPr>
      <w:r>
        <w:lastRenderedPageBreak/>
        <w:pict w14:anchorId="477190DE">
          <v:rect id="_x0000_s1733" style="position:absolute;margin-left:0;margin-top:99.2pt;width:14.15pt;height:85.75pt;z-index:251452416;mso-position-horizontal-relative:page;mso-position-vertical-relative:page" fillcolor="#ea5b50" stroked="f">
            <w10:wrap anchorx="page" anchory="page"/>
          </v:rect>
        </w:pict>
      </w:r>
    </w:p>
    <w:p w14:paraId="7FF5B087" w14:textId="77777777" w:rsidR="00894070" w:rsidRDefault="00894070">
      <w:pPr>
        <w:pStyle w:val="BodyText"/>
        <w:rPr>
          <w:b/>
        </w:rPr>
      </w:pPr>
    </w:p>
    <w:p w14:paraId="0F821D76" w14:textId="77777777" w:rsidR="00894070" w:rsidRDefault="00894070">
      <w:pPr>
        <w:pStyle w:val="BodyText"/>
        <w:spacing w:before="10"/>
        <w:rPr>
          <w:b/>
          <w:sz w:val="25"/>
        </w:rPr>
      </w:pPr>
    </w:p>
    <w:p w14:paraId="0DB0F96F" w14:textId="77777777" w:rsidR="00894070" w:rsidRDefault="009B7AFD">
      <w:pPr>
        <w:spacing w:line="758" w:lineRule="exact"/>
        <w:ind w:left="270"/>
        <w:rPr>
          <w:rFonts w:ascii="Raleway ExtraBold"/>
          <w:b/>
          <w:sz w:val="56"/>
        </w:rPr>
      </w:pPr>
      <w:bookmarkStart w:id="1" w:name="Preface"/>
      <w:bookmarkStart w:id="2" w:name="_bookmark0"/>
      <w:bookmarkEnd w:id="1"/>
      <w:bookmarkEnd w:id="2"/>
      <w:r>
        <w:rPr>
          <w:rFonts w:ascii="Raleway ExtraBold"/>
          <w:b/>
          <w:color w:val="EA5B50"/>
          <w:sz w:val="56"/>
        </w:rPr>
        <w:t>Preface</w:t>
      </w:r>
    </w:p>
    <w:p w14:paraId="595DC853" w14:textId="77777777" w:rsidR="00894070" w:rsidRDefault="00894070">
      <w:pPr>
        <w:pStyle w:val="BodyText"/>
        <w:rPr>
          <w:rFonts w:ascii="Raleway ExtraBold"/>
          <w:b/>
          <w:sz w:val="66"/>
        </w:rPr>
      </w:pPr>
    </w:p>
    <w:p w14:paraId="7DDB1069" w14:textId="77777777" w:rsidR="00894070" w:rsidRDefault="00894070">
      <w:pPr>
        <w:pStyle w:val="BodyText"/>
        <w:rPr>
          <w:rFonts w:ascii="Raleway ExtraBold"/>
          <w:b/>
          <w:sz w:val="66"/>
        </w:rPr>
      </w:pPr>
    </w:p>
    <w:p w14:paraId="58117A70" w14:textId="77777777" w:rsidR="00894070" w:rsidRDefault="00894070">
      <w:pPr>
        <w:pStyle w:val="BodyText"/>
        <w:spacing w:before="12"/>
        <w:rPr>
          <w:rFonts w:ascii="Raleway ExtraBold"/>
          <w:b/>
          <w:sz w:val="87"/>
        </w:rPr>
      </w:pPr>
    </w:p>
    <w:p w14:paraId="319302EA" w14:textId="77777777" w:rsidR="00894070" w:rsidRDefault="009B7AFD">
      <w:pPr>
        <w:pStyle w:val="BodyText"/>
        <w:spacing w:before="1" w:line="206" w:lineRule="auto"/>
        <w:ind w:left="1007" w:right="1459"/>
      </w:pPr>
      <w:r>
        <w:rPr>
          <w:color w:val="231F20"/>
        </w:rPr>
        <w:t xml:space="preserve">This inquiry has revealed the dreadful consequences of stalking on people who have experienced it. It has also revealed that the problem predominantly affects women. At the same time the inquiry demonstrated that our knowledge of what causes people to engage in stalking </w:t>
      </w:r>
      <w:proofErr w:type="spellStart"/>
      <w:r>
        <w:rPr>
          <w:color w:val="231F20"/>
        </w:rPr>
        <w:t>behaviour</w:t>
      </w:r>
      <w:proofErr w:type="spellEnd"/>
      <w:r>
        <w:rPr>
          <w:color w:val="231F20"/>
        </w:rPr>
        <w:t xml:space="preserve"> and, hence, how it can be addressed, has significant gaps. This inquiry</w:t>
      </w:r>
    </w:p>
    <w:p w14:paraId="6FE397E2" w14:textId="77777777" w:rsidR="00894070" w:rsidRDefault="009B7AFD">
      <w:pPr>
        <w:pStyle w:val="BodyText"/>
        <w:spacing w:before="5" w:line="206" w:lineRule="auto"/>
        <w:ind w:left="1007" w:right="1219"/>
      </w:pPr>
      <w:r>
        <w:rPr>
          <w:color w:val="231F20"/>
        </w:rPr>
        <w:t>showed, as did our recent inquiry into the Response of the Justice System to Sexual Offences, that there is still much to be done to protect victim survivors who report the matter to the police and eventually participate in the prosecution in court.</w:t>
      </w:r>
    </w:p>
    <w:p w14:paraId="0946A0E2" w14:textId="77777777" w:rsidR="00894070" w:rsidRDefault="009B7AFD">
      <w:pPr>
        <w:pStyle w:val="BodyText"/>
        <w:spacing w:before="123" w:line="206" w:lineRule="auto"/>
        <w:ind w:left="1007" w:right="1312"/>
      </w:pPr>
      <w:r>
        <w:rPr>
          <w:color w:val="231F20"/>
        </w:rPr>
        <w:t xml:space="preserve">The recommendations made in this report chart a passage to improve the way people who have experienced stalking are treated. They also seek to address how people who engage in stalking </w:t>
      </w:r>
      <w:proofErr w:type="spellStart"/>
      <w:r>
        <w:rPr>
          <w:color w:val="231F20"/>
        </w:rPr>
        <w:t>behaviour</w:t>
      </w:r>
      <w:proofErr w:type="spellEnd"/>
      <w:r>
        <w:rPr>
          <w:color w:val="231F20"/>
        </w:rPr>
        <w:t xml:space="preserve"> might be diverted from that conduct.</w:t>
      </w:r>
    </w:p>
    <w:p w14:paraId="7596A13D" w14:textId="77777777" w:rsidR="00894070" w:rsidRDefault="009B7AFD">
      <w:pPr>
        <w:pStyle w:val="BodyText"/>
        <w:spacing w:before="124" w:line="206" w:lineRule="auto"/>
        <w:ind w:left="1007" w:right="1162"/>
      </w:pPr>
      <w:r>
        <w:rPr>
          <w:color w:val="231F20"/>
        </w:rPr>
        <w:t xml:space="preserve">The recommendations suggest creative and innovative </w:t>
      </w:r>
      <w:r>
        <w:rPr>
          <w:color w:val="231F20"/>
          <w:spacing w:val="-3"/>
        </w:rPr>
        <w:t xml:space="preserve">ways </w:t>
      </w:r>
      <w:r>
        <w:rPr>
          <w:color w:val="231F20"/>
        </w:rPr>
        <w:t xml:space="preserve">to </w:t>
      </w:r>
      <w:r>
        <w:rPr>
          <w:color w:val="231F20"/>
          <w:spacing w:val="-3"/>
        </w:rPr>
        <w:t xml:space="preserve">improve </w:t>
      </w:r>
      <w:r>
        <w:rPr>
          <w:color w:val="231F20"/>
        </w:rPr>
        <w:t>the system of responding</w:t>
      </w:r>
      <w:r>
        <w:rPr>
          <w:color w:val="231F20"/>
          <w:spacing w:val="-8"/>
        </w:rPr>
        <w:t xml:space="preserve"> </w:t>
      </w:r>
      <w:r>
        <w:rPr>
          <w:color w:val="231F20"/>
        </w:rPr>
        <w:t>to</w:t>
      </w:r>
      <w:r>
        <w:rPr>
          <w:color w:val="231F20"/>
          <w:spacing w:val="-7"/>
        </w:rPr>
        <w:t xml:space="preserve"> </w:t>
      </w:r>
      <w:r>
        <w:rPr>
          <w:color w:val="231F20"/>
        </w:rPr>
        <w:t>stalking,</w:t>
      </w:r>
      <w:r>
        <w:rPr>
          <w:color w:val="231F20"/>
          <w:spacing w:val="-7"/>
        </w:rPr>
        <w:t xml:space="preserve"> </w:t>
      </w:r>
      <w:r>
        <w:rPr>
          <w:color w:val="231F20"/>
        </w:rPr>
        <w:t>drawing</w:t>
      </w:r>
      <w:r>
        <w:rPr>
          <w:color w:val="231F20"/>
          <w:spacing w:val="-7"/>
        </w:rPr>
        <w:t xml:space="preserve"> </w:t>
      </w:r>
      <w:r>
        <w:rPr>
          <w:color w:val="231F20"/>
        </w:rPr>
        <w:t>on</w:t>
      </w:r>
      <w:r>
        <w:rPr>
          <w:color w:val="231F20"/>
          <w:spacing w:val="-7"/>
        </w:rPr>
        <w:t xml:space="preserve"> </w:t>
      </w:r>
      <w:r>
        <w:rPr>
          <w:color w:val="231F20"/>
        </w:rPr>
        <w:t>international</w:t>
      </w:r>
      <w:r>
        <w:rPr>
          <w:color w:val="231F20"/>
          <w:spacing w:val="-7"/>
        </w:rPr>
        <w:t xml:space="preserve"> </w:t>
      </w:r>
      <w:r>
        <w:rPr>
          <w:color w:val="231F20"/>
        </w:rPr>
        <w:t>practice.</w:t>
      </w:r>
      <w:r>
        <w:rPr>
          <w:color w:val="231F20"/>
          <w:spacing w:val="-7"/>
        </w:rPr>
        <w:t xml:space="preserve"> </w:t>
      </w:r>
      <w:r>
        <w:rPr>
          <w:color w:val="231F20"/>
        </w:rPr>
        <w:t>For</w:t>
      </w:r>
      <w:r>
        <w:rPr>
          <w:color w:val="231F20"/>
          <w:spacing w:val="-7"/>
        </w:rPr>
        <w:t xml:space="preserve"> </w:t>
      </w:r>
      <w:r>
        <w:rPr>
          <w:color w:val="231F20"/>
        </w:rPr>
        <w:t>example,</w:t>
      </w:r>
      <w:r>
        <w:rPr>
          <w:color w:val="231F20"/>
          <w:spacing w:val="-7"/>
        </w:rPr>
        <w:t xml:space="preserve"> </w:t>
      </w:r>
      <w:r>
        <w:rPr>
          <w:color w:val="231F20"/>
          <w:spacing w:val="-3"/>
        </w:rPr>
        <w:t>we</w:t>
      </w:r>
      <w:r>
        <w:rPr>
          <w:color w:val="231F20"/>
          <w:spacing w:val="-7"/>
        </w:rPr>
        <w:t xml:space="preserve"> </w:t>
      </w:r>
      <w:r>
        <w:rPr>
          <w:color w:val="231F20"/>
        </w:rPr>
        <w:t>suggest</w:t>
      </w:r>
      <w:r>
        <w:rPr>
          <w:color w:val="231F20"/>
          <w:spacing w:val="-8"/>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 xml:space="preserve">victim survivor of stalking should be supported </w:t>
      </w:r>
      <w:r>
        <w:rPr>
          <w:color w:val="231F20"/>
          <w:spacing w:val="-3"/>
        </w:rPr>
        <w:t xml:space="preserve">by </w:t>
      </w:r>
      <w:r>
        <w:rPr>
          <w:color w:val="231F20"/>
        </w:rPr>
        <w:t xml:space="preserve">a person who can guide them </w:t>
      </w:r>
      <w:proofErr w:type="gramStart"/>
      <w:r>
        <w:rPr>
          <w:color w:val="231F20"/>
        </w:rPr>
        <w:t>from reporting,</w:t>
      </w:r>
      <w:proofErr w:type="gramEnd"/>
      <w:r>
        <w:rPr>
          <w:color w:val="231F20"/>
        </w:rPr>
        <w:t xml:space="preserve"> to the availability of support services, and through any court</w:t>
      </w:r>
      <w:r>
        <w:rPr>
          <w:color w:val="231F20"/>
          <w:spacing w:val="-21"/>
        </w:rPr>
        <w:t xml:space="preserve"> </w:t>
      </w:r>
      <w:r>
        <w:rPr>
          <w:color w:val="231F20"/>
        </w:rPr>
        <w:t>actions.</w:t>
      </w:r>
    </w:p>
    <w:p w14:paraId="2EB4A8A2" w14:textId="77777777" w:rsidR="00894070" w:rsidRDefault="009B7AFD">
      <w:pPr>
        <w:pStyle w:val="BodyText"/>
        <w:spacing w:before="125" w:line="206" w:lineRule="auto"/>
        <w:ind w:left="1007" w:right="1263"/>
      </w:pPr>
      <w:r>
        <w:rPr>
          <w:color w:val="231F20"/>
        </w:rPr>
        <w:t xml:space="preserve">A special acknowledgement should be reserved for Aggie Di Mauro. In the depth of her despair from the death of her daughter Celeste </w:t>
      </w:r>
      <w:proofErr w:type="spellStart"/>
      <w:r>
        <w:rPr>
          <w:color w:val="231F20"/>
        </w:rPr>
        <w:t>Manno</w:t>
      </w:r>
      <w:proofErr w:type="spellEnd"/>
      <w:r>
        <w:rPr>
          <w:color w:val="231F20"/>
        </w:rPr>
        <w:t xml:space="preserve"> under terrible circumstances, she successfully pressed the Attorney-General to investigate the law relating to stalking to </w:t>
      </w:r>
      <w:r>
        <w:rPr>
          <w:color w:val="231F20"/>
          <w:spacing w:val="-3"/>
        </w:rPr>
        <w:t xml:space="preserve">save </w:t>
      </w:r>
      <w:r>
        <w:rPr>
          <w:color w:val="231F20"/>
        </w:rPr>
        <w:t xml:space="preserve">others the grief which she has suffered. I </w:t>
      </w:r>
      <w:r>
        <w:rPr>
          <w:color w:val="231F20"/>
          <w:spacing w:val="-3"/>
        </w:rPr>
        <w:t xml:space="preserve">have </w:t>
      </w:r>
      <w:r>
        <w:rPr>
          <w:color w:val="231F20"/>
        </w:rPr>
        <w:t>had the privilege of meeting with her during this inquiry. She has brought a perspective which has contributed to the scope and depth of the examination. Her relentless pursuit of justice has been an inspiration. She often said that nothing</w:t>
      </w:r>
      <w:r>
        <w:rPr>
          <w:color w:val="231F20"/>
          <w:spacing w:val="-5"/>
        </w:rPr>
        <w:t xml:space="preserve"> </w:t>
      </w:r>
      <w:r>
        <w:rPr>
          <w:color w:val="231F20"/>
        </w:rPr>
        <w:t>would</w:t>
      </w:r>
      <w:r>
        <w:rPr>
          <w:color w:val="231F20"/>
          <w:spacing w:val="-5"/>
        </w:rPr>
        <w:t xml:space="preserve"> </w:t>
      </w:r>
      <w:r>
        <w:rPr>
          <w:color w:val="231F20"/>
        </w:rPr>
        <w:t>bring</w:t>
      </w:r>
      <w:r>
        <w:rPr>
          <w:color w:val="231F20"/>
          <w:spacing w:val="-4"/>
        </w:rPr>
        <w:t xml:space="preserve"> </w:t>
      </w:r>
      <w:r>
        <w:rPr>
          <w:color w:val="231F20"/>
        </w:rPr>
        <w:t>Celeste</w:t>
      </w:r>
      <w:r>
        <w:rPr>
          <w:color w:val="231F20"/>
          <w:spacing w:val="-5"/>
        </w:rPr>
        <w:t xml:space="preserve"> </w:t>
      </w:r>
      <w:r>
        <w:rPr>
          <w:color w:val="231F20"/>
        </w:rPr>
        <w:t>back,</w:t>
      </w:r>
      <w:r>
        <w:rPr>
          <w:color w:val="231F20"/>
          <w:spacing w:val="-4"/>
        </w:rPr>
        <w:t xml:space="preserve"> </w:t>
      </w:r>
      <w:r>
        <w:rPr>
          <w:color w:val="231F20"/>
        </w:rPr>
        <w:t>but</w:t>
      </w:r>
      <w:r>
        <w:rPr>
          <w:color w:val="231F20"/>
          <w:spacing w:val="-5"/>
        </w:rPr>
        <w:t xml:space="preserve"> </w:t>
      </w:r>
      <w:r>
        <w:rPr>
          <w:color w:val="231F20"/>
        </w:rPr>
        <w:t>this</w:t>
      </w:r>
      <w:r>
        <w:rPr>
          <w:color w:val="231F20"/>
          <w:spacing w:val="-4"/>
        </w:rPr>
        <w:t xml:space="preserve"> </w:t>
      </w:r>
      <w:r>
        <w:rPr>
          <w:color w:val="231F20"/>
        </w:rPr>
        <w:t>report</w:t>
      </w:r>
      <w:r>
        <w:rPr>
          <w:color w:val="231F20"/>
          <w:spacing w:val="-5"/>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a</w:t>
      </w:r>
      <w:r>
        <w:rPr>
          <w:color w:val="231F20"/>
          <w:spacing w:val="-5"/>
        </w:rPr>
        <w:t xml:space="preserve"> </w:t>
      </w:r>
      <w:r>
        <w:rPr>
          <w:color w:val="231F20"/>
        </w:rPr>
        <w:t>fitting</w:t>
      </w:r>
      <w:r>
        <w:rPr>
          <w:color w:val="231F20"/>
          <w:spacing w:val="-4"/>
        </w:rPr>
        <w:t xml:space="preserve"> </w:t>
      </w:r>
      <w:r>
        <w:rPr>
          <w:color w:val="231F20"/>
        </w:rPr>
        <w:t>legacy</w:t>
      </w:r>
      <w:r>
        <w:rPr>
          <w:color w:val="231F20"/>
          <w:spacing w:val="-5"/>
        </w:rPr>
        <w:t xml:space="preserve"> </w:t>
      </w:r>
      <w:r>
        <w:rPr>
          <w:color w:val="231F20"/>
        </w:rPr>
        <w:t>of</w:t>
      </w:r>
      <w:r>
        <w:rPr>
          <w:color w:val="231F20"/>
          <w:spacing w:val="-4"/>
        </w:rPr>
        <w:t xml:space="preserve"> </w:t>
      </w:r>
      <w:r>
        <w:rPr>
          <w:color w:val="231F20"/>
        </w:rPr>
        <w:t>her</w:t>
      </w:r>
      <w:r>
        <w:rPr>
          <w:color w:val="231F20"/>
          <w:spacing w:val="-5"/>
        </w:rPr>
        <w:t xml:space="preserve"> </w:t>
      </w:r>
      <w:r>
        <w:rPr>
          <w:color w:val="231F20"/>
          <w:spacing w:val="-4"/>
        </w:rPr>
        <w:t>lovely</w:t>
      </w:r>
      <w:r>
        <w:rPr>
          <w:color w:val="231F20"/>
          <w:spacing w:val="-5"/>
        </w:rPr>
        <w:t xml:space="preserve"> </w:t>
      </w:r>
      <w:r>
        <w:rPr>
          <w:color w:val="231F20"/>
          <w:spacing w:val="-3"/>
        </w:rPr>
        <w:t>daughter.</w:t>
      </w:r>
    </w:p>
    <w:p w14:paraId="63B611E9" w14:textId="77777777" w:rsidR="00894070" w:rsidRDefault="009B7AFD">
      <w:pPr>
        <w:pStyle w:val="BodyText"/>
        <w:spacing w:before="129" w:line="206" w:lineRule="auto"/>
        <w:ind w:left="1007" w:right="1219"/>
      </w:pPr>
      <w:r>
        <w:rPr>
          <w:color w:val="231F20"/>
        </w:rPr>
        <w:t>A feature of this report has been the large number of people who have experienced stalking who responded to our call to tell us their stories. Hundreds did so online, and we met with others. Their voices were critical to our understanding, and we trust we have reflected their concerns in our report.</w:t>
      </w:r>
    </w:p>
    <w:p w14:paraId="5ADA0749" w14:textId="77777777" w:rsidR="00894070" w:rsidRDefault="009B7AFD">
      <w:pPr>
        <w:pStyle w:val="BodyText"/>
        <w:spacing w:before="125" w:line="206" w:lineRule="auto"/>
        <w:ind w:left="1007" w:right="1210"/>
      </w:pPr>
      <w:r>
        <w:rPr>
          <w:color w:val="231F20"/>
          <w:spacing w:val="-6"/>
        </w:rPr>
        <w:t xml:space="preserve">We </w:t>
      </w:r>
      <w:r>
        <w:rPr>
          <w:color w:val="231F20"/>
          <w:spacing w:val="-3"/>
        </w:rPr>
        <w:t xml:space="preserve">have </w:t>
      </w:r>
      <w:r>
        <w:rPr>
          <w:color w:val="231F20"/>
        </w:rPr>
        <w:t xml:space="preserve">received generous cooperation from a wide range of stakeholders. Thank you to all of them who, like all of us in our community, </w:t>
      </w:r>
      <w:r>
        <w:rPr>
          <w:color w:val="231F20"/>
          <w:spacing w:val="-3"/>
        </w:rPr>
        <w:t xml:space="preserve">have </w:t>
      </w:r>
      <w:r>
        <w:rPr>
          <w:color w:val="231F20"/>
        </w:rPr>
        <w:t>had to adapt to the strictures placed upon us</w:t>
      </w:r>
      <w:r>
        <w:rPr>
          <w:color w:val="231F20"/>
          <w:spacing w:val="-6"/>
        </w:rPr>
        <w:t xml:space="preserve"> </w:t>
      </w:r>
      <w:r>
        <w:rPr>
          <w:color w:val="231F20"/>
          <w:spacing w:val="-3"/>
        </w:rPr>
        <w:t>by</w:t>
      </w:r>
      <w:r>
        <w:rPr>
          <w:color w:val="231F20"/>
          <w:spacing w:val="-5"/>
        </w:rPr>
        <w:t xml:space="preserve"> </w:t>
      </w:r>
      <w:r>
        <w:rPr>
          <w:color w:val="231F20"/>
        </w:rPr>
        <w:t>the</w:t>
      </w:r>
      <w:r>
        <w:rPr>
          <w:color w:val="231F20"/>
          <w:spacing w:val="-5"/>
        </w:rPr>
        <w:t xml:space="preserve"> </w:t>
      </w:r>
      <w:r>
        <w:rPr>
          <w:color w:val="231F20"/>
          <w:spacing w:val="-3"/>
        </w:rPr>
        <w:t>COVID</w:t>
      </w:r>
      <w:r>
        <w:rPr>
          <w:color w:val="231F20"/>
          <w:spacing w:val="-6"/>
        </w:rPr>
        <w:t xml:space="preserve"> </w:t>
      </w:r>
      <w:r>
        <w:rPr>
          <w:color w:val="231F20"/>
        </w:rPr>
        <w:t>pandemic,</w:t>
      </w:r>
      <w:r>
        <w:rPr>
          <w:color w:val="231F20"/>
          <w:spacing w:val="-5"/>
        </w:rPr>
        <w:t xml:space="preserve"> </w:t>
      </w:r>
      <w:r>
        <w:rPr>
          <w:color w:val="231F20"/>
        </w:rPr>
        <w:t>including</w:t>
      </w:r>
      <w:r>
        <w:rPr>
          <w:color w:val="231F20"/>
          <w:spacing w:val="-5"/>
        </w:rPr>
        <w:t xml:space="preserve"> </w:t>
      </w:r>
      <w:r>
        <w:rPr>
          <w:color w:val="231F20"/>
        </w:rPr>
        <w:t>budget</w:t>
      </w:r>
      <w:r>
        <w:rPr>
          <w:color w:val="231F20"/>
          <w:spacing w:val="-5"/>
        </w:rPr>
        <w:t xml:space="preserve"> </w:t>
      </w:r>
      <w:r>
        <w:rPr>
          <w:color w:val="231F20"/>
        </w:rPr>
        <w:t>restrictions</w:t>
      </w:r>
      <w:r>
        <w:rPr>
          <w:color w:val="231F20"/>
          <w:spacing w:val="-6"/>
        </w:rPr>
        <w:t xml:space="preserve"> </w:t>
      </w:r>
      <w:r>
        <w:rPr>
          <w:color w:val="231F20"/>
        </w:rPr>
        <w:t>which</w:t>
      </w:r>
      <w:r>
        <w:rPr>
          <w:color w:val="231F20"/>
          <w:spacing w:val="-5"/>
        </w:rPr>
        <w:t xml:space="preserve"> </w:t>
      </w:r>
      <w:r>
        <w:rPr>
          <w:color w:val="231F20"/>
        </w:rPr>
        <w:t>meant</w:t>
      </w:r>
      <w:r>
        <w:rPr>
          <w:color w:val="231F20"/>
          <w:spacing w:val="-5"/>
        </w:rPr>
        <w:t xml:space="preserve"> </w:t>
      </w:r>
      <w:r>
        <w:rPr>
          <w:color w:val="231F20"/>
        </w:rPr>
        <w:t>that</w:t>
      </w:r>
      <w:r>
        <w:rPr>
          <w:color w:val="231F20"/>
          <w:spacing w:val="-6"/>
        </w:rPr>
        <w:t xml:space="preserve"> </w:t>
      </w:r>
      <w:r>
        <w:rPr>
          <w:color w:val="231F20"/>
        </w:rPr>
        <w:t>they</w:t>
      </w:r>
      <w:r>
        <w:rPr>
          <w:color w:val="231F20"/>
          <w:spacing w:val="-5"/>
        </w:rPr>
        <w:t xml:space="preserve"> </w:t>
      </w:r>
      <w:r>
        <w:rPr>
          <w:color w:val="231F20"/>
        </w:rPr>
        <w:t>had</w:t>
      </w:r>
      <w:r>
        <w:rPr>
          <w:color w:val="231F20"/>
          <w:spacing w:val="-5"/>
        </w:rPr>
        <w:t xml:space="preserve"> </w:t>
      </w:r>
      <w:r>
        <w:rPr>
          <w:color w:val="231F20"/>
        </w:rPr>
        <w:t>to</w:t>
      </w:r>
      <w:r>
        <w:rPr>
          <w:color w:val="231F20"/>
          <w:spacing w:val="-5"/>
        </w:rPr>
        <w:t xml:space="preserve"> </w:t>
      </w:r>
      <w:r>
        <w:rPr>
          <w:color w:val="231F20"/>
        </w:rPr>
        <w:t xml:space="preserve">provide input into our work with strained resources. </w:t>
      </w:r>
      <w:r>
        <w:rPr>
          <w:color w:val="231F20"/>
          <w:spacing w:val="-6"/>
        </w:rPr>
        <w:t xml:space="preserve">We </w:t>
      </w:r>
      <w:r>
        <w:rPr>
          <w:color w:val="231F20"/>
        </w:rPr>
        <w:t>are most appreciative of the work of the Sentencing</w:t>
      </w:r>
      <w:r>
        <w:rPr>
          <w:color w:val="231F20"/>
          <w:spacing w:val="-5"/>
        </w:rPr>
        <w:t xml:space="preserve"> </w:t>
      </w:r>
      <w:r>
        <w:rPr>
          <w:color w:val="231F20"/>
        </w:rPr>
        <w:t>Advisory</w:t>
      </w:r>
      <w:r>
        <w:rPr>
          <w:color w:val="231F20"/>
          <w:spacing w:val="-4"/>
        </w:rPr>
        <w:t xml:space="preserve"> </w:t>
      </w:r>
      <w:r>
        <w:rPr>
          <w:color w:val="231F20"/>
        </w:rPr>
        <w:t>Council,</w:t>
      </w:r>
      <w:r>
        <w:rPr>
          <w:color w:val="231F20"/>
          <w:spacing w:val="-4"/>
        </w:rPr>
        <w:t xml:space="preserve"> </w:t>
      </w:r>
      <w:r>
        <w:rPr>
          <w:color w:val="231F20"/>
        </w:rPr>
        <w:t>which</w:t>
      </w:r>
      <w:r>
        <w:rPr>
          <w:color w:val="231F20"/>
          <w:spacing w:val="-5"/>
        </w:rPr>
        <w:t xml:space="preserve"> </w:t>
      </w:r>
      <w:r>
        <w:rPr>
          <w:color w:val="231F20"/>
        </w:rPr>
        <w:t>produced</w:t>
      </w:r>
      <w:r>
        <w:rPr>
          <w:color w:val="231F20"/>
          <w:spacing w:val="-4"/>
        </w:rPr>
        <w:t xml:space="preserve"> </w:t>
      </w:r>
      <w:r>
        <w:rPr>
          <w:color w:val="231F20"/>
        </w:rPr>
        <w:t>three</w:t>
      </w:r>
      <w:r>
        <w:rPr>
          <w:color w:val="231F20"/>
          <w:spacing w:val="-4"/>
        </w:rPr>
        <w:t xml:space="preserve"> </w:t>
      </w:r>
      <w:r>
        <w:rPr>
          <w:color w:val="231F20"/>
          <w:spacing w:val="-2"/>
        </w:rPr>
        <w:t>excellent</w:t>
      </w:r>
      <w:r>
        <w:rPr>
          <w:color w:val="231F20"/>
          <w:spacing w:val="-4"/>
        </w:rPr>
        <w:t xml:space="preserve"> </w:t>
      </w:r>
      <w:r>
        <w:rPr>
          <w:color w:val="231F20"/>
        </w:rPr>
        <w:t>reports</w:t>
      </w:r>
      <w:r>
        <w:rPr>
          <w:color w:val="231F20"/>
          <w:spacing w:val="-5"/>
        </w:rPr>
        <w:t xml:space="preserve"> </w:t>
      </w:r>
      <w:r>
        <w:rPr>
          <w:color w:val="231F20"/>
        </w:rPr>
        <w:t>to</w:t>
      </w:r>
      <w:r>
        <w:rPr>
          <w:color w:val="231F20"/>
          <w:spacing w:val="-4"/>
        </w:rPr>
        <w:t xml:space="preserve"> </w:t>
      </w:r>
      <w:r>
        <w:rPr>
          <w:color w:val="231F20"/>
        </w:rPr>
        <w:t>inform</w:t>
      </w:r>
      <w:r>
        <w:rPr>
          <w:color w:val="231F20"/>
          <w:spacing w:val="-4"/>
        </w:rPr>
        <w:t xml:space="preserve"> </w:t>
      </w:r>
      <w:r>
        <w:rPr>
          <w:color w:val="231F20"/>
        </w:rPr>
        <w:t>the</w:t>
      </w:r>
      <w:r>
        <w:rPr>
          <w:color w:val="231F20"/>
          <w:spacing w:val="-4"/>
        </w:rPr>
        <w:t xml:space="preserve"> </w:t>
      </w:r>
      <w:r>
        <w:rPr>
          <w:color w:val="231F20"/>
        </w:rPr>
        <w:t>inquiry.</w:t>
      </w:r>
    </w:p>
    <w:p w14:paraId="79566E15" w14:textId="77777777" w:rsidR="00894070" w:rsidRDefault="009B7AFD">
      <w:pPr>
        <w:pStyle w:val="BodyText"/>
        <w:spacing w:before="126" w:line="206" w:lineRule="auto"/>
        <w:ind w:left="1007" w:right="1121"/>
      </w:pPr>
      <w:r>
        <w:rPr>
          <w:color w:val="231F20"/>
        </w:rPr>
        <w:t xml:space="preserve">It is usual in a preface such as this to thank the research team which produces the report. The circumstances of this report call for </w:t>
      </w:r>
      <w:proofErr w:type="gramStart"/>
      <w:r>
        <w:rPr>
          <w:color w:val="231F20"/>
        </w:rPr>
        <w:t>particular recognition</w:t>
      </w:r>
      <w:proofErr w:type="gramEnd"/>
      <w:r>
        <w:rPr>
          <w:color w:val="231F20"/>
        </w:rPr>
        <w:t xml:space="preserve">. Whilst Dr Madeleine Ulbrick has been a member of the team since inception, and was largely responsible for writing the interim report, the rest of the team, Dr Emma Larking, Natalie Lilford, Hana Shahkhan and Marcus </w:t>
      </w:r>
      <w:proofErr w:type="spellStart"/>
      <w:r>
        <w:rPr>
          <w:color w:val="231F20"/>
        </w:rPr>
        <w:t>Hickleton</w:t>
      </w:r>
      <w:proofErr w:type="spellEnd"/>
      <w:r>
        <w:rPr>
          <w:color w:val="231F20"/>
        </w:rPr>
        <w:t xml:space="preserve">, together with the team leader, Jacinth Pathmanathan, all took over the project after the delivery of the interim report. That was an unusual challenge and they rose to it with great skill and grace. The team was guided by the exceptional leadership of Jacinth </w:t>
      </w:r>
      <w:proofErr w:type="spellStart"/>
      <w:r>
        <w:rPr>
          <w:color w:val="231F20"/>
        </w:rPr>
        <w:t>characterised</w:t>
      </w:r>
      <w:proofErr w:type="spellEnd"/>
      <w:r>
        <w:rPr>
          <w:color w:val="231F20"/>
        </w:rPr>
        <w:t xml:space="preserve"> by</w:t>
      </w:r>
    </w:p>
    <w:p w14:paraId="03CA116C" w14:textId="77777777" w:rsidR="00894070" w:rsidRDefault="00894070">
      <w:pPr>
        <w:pStyle w:val="BodyText"/>
      </w:pPr>
    </w:p>
    <w:p w14:paraId="7A0AFE06" w14:textId="77777777" w:rsidR="00894070" w:rsidRDefault="00894070">
      <w:pPr>
        <w:pStyle w:val="BodyText"/>
      </w:pPr>
    </w:p>
    <w:p w14:paraId="12C02950" w14:textId="77777777" w:rsidR="00894070" w:rsidRDefault="00894070">
      <w:pPr>
        <w:pStyle w:val="BodyText"/>
        <w:spacing w:before="3"/>
        <w:rPr>
          <w:sz w:val="14"/>
        </w:rPr>
      </w:pPr>
    </w:p>
    <w:p w14:paraId="70FDA2B9" w14:textId="77777777" w:rsidR="00894070" w:rsidRDefault="009B7AFD">
      <w:pPr>
        <w:pStyle w:val="Heading8"/>
        <w:spacing w:before="49"/>
        <w:ind w:left="140"/>
      </w:pPr>
      <w:r>
        <w:rPr>
          <w:color w:val="EA5B50"/>
        </w:rPr>
        <w:t>viii</w:t>
      </w:r>
    </w:p>
    <w:p w14:paraId="4D588A0B" w14:textId="77777777" w:rsidR="00894070" w:rsidRDefault="00894070">
      <w:pPr>
        <w:sectPr w:rsidR="00894070">
          <w:pgSz w:w="11910" w:h="16840"/>
          <w:pgMar w:top="860" w:right="420" w:bottom="280" w:left="580" w:header="567" w:footer="0" w:gutter="0"/>
          <w:cols w:space="720"/>
        </w:sectPr>
      </w:pPr>
    </w:p>
    <w:p w14:paraId="58B4A521" w14:textId="77777777" w:rsidR="00894070" w:rsidRDefault="00894070">
      <w:pPr>
        <w:pStyle w:val="BodyText"/>
        <w:rPr>
          <w:b/>
        </w:rPr>
      </w:pPr>
    </w:p>
    <w:p w14:paraId="252FDABA" w14:textId="77777777" w:rsidR="00894070" w:rsidRDefault="00894070">
      <w:pPr>
        <w:pStyle w:val="BodyText"/>
        <w:rPr>
          <w:b/>
        </w:rPr>
      </w:pPr>
    </w:p>
    <w:p w14:paraId="37E6CF16" w14:textId="77777777" w:rsidR="00894070" w:rsidRDefault="00894070">
      <w:pPr>
        <w:pStyle w:val="BodyText"/>
        <w:rPr>
          <w:b/>
        </w:rPr>
      </w:pPr>
    </w:p>
    <w:p w14:paraId="2CA35DB4" w14:textId="77777777" w:rsidR="00894070" w:rsidRDefault="00894070">
      <w:pPr>
        <w:pStyle w:val="BodyText"/>
        <w:spacing w:before="12"/>
        <w:rPr>
          <w:b/>
          <w:sz w:val="18"/>
        </w:rPr>
      </w:pPr>
    </w:p>
    <w:p w14:paraId="124E8CA6" w14:textId="77777777" w:rsidR="00894070" w:rsidRDefault="009B7AFD">
      <w:pPr>
        <w:pStyle w:val="BodyText"/>
        <w:spacing w:line="206" w:lineRule="auto"/>
        <w:ind w:left="1010" w:right="1274"/>
      </w:pPr>
      <w:r>
        <w:rPr>
          <w:color w:val="231F20"/>
        </w:rPr>
        <w:t>her tolerance, patience and understanding, as well as her personal application to the subject matter. Their achievement was even greater because most of them had just completed the highly taxing job of completing the inquiry into the Response of the Justice System to Sexual Offences. And all that work was completed under the constraints imposed by COVID. This team built upon the research, consultations and thinking of the original team responsible for the consultation paper, and I thank them for their hard work. Nick Gadd, the Communications Manager and Gemma Walsh, the Information and Communications Officer, greatly assisted in the final stages with editing and proofreading.</w:t>
      </w:r>
    </w:p>
    <w:p w14:paraId="6A767001" w14:textId="77777777" w:rsidR="00894070" w:rsidRDefault="009B7AFD">
      <w:pPr>
        <w:pStyle w:val="BodyText"/>
        <w:spacing w:before="130" w:line="206" w:lineRule="auto"/>
        <w:ind w:left="1010" w:right="1162"/>
      </w:pPr>
      <w:r>
        <w:rPr>
          <w:color w:val="231F20"/>
        </w:rPr>
        <w:t xml:space="preserve">The Commission is composed of eight Commissioners and me. </w:t>
      </w:r>
      <w:r>
        <w:rPr>
          <w:color w:val="231F20"/>
          <w:spacing w:val="-6"/>
        </w:rPr>
        <w:t xml:space="preserve">We </w:t>
      </w:r>
      <w:r>
        <w:rPr>
          <w:color w:val="231F20"/>
        </w:rPr>
        <w:t xml:space="preserve">perform a very active </w:t>
      </w:r>
      <w:r>
        <w:rPr>
          <w:color w:val="231F20"/>
          <w:spacing w:val="-3"/>
        </w:rPr>
        <w:t xml:space="preserve">role </w:t>
      </w:r>
      <w:r>
        <w:rPr>
          <w:color w:val="231F20"/>
        </w:rPr>
        <w:t>in the production of the reports and are ultimately responsible for their contents. Each of the Commissioners</w:t>
      </w:r>
      <w:r>
        <w:rPr>
          <w:color w:val="231F20"/>
          <w:spacing w:val="-6"/>
        </w:rPr>
        <w:t xml:space="preserve"> </w:t>
      </w:r>
      <w:proofErr w:type="spellStart"/>
      <w:r>
        <w:rPr>
          <w:color w:val="231F20"/>
        </w:rPr>
        <w:t>scrutinises</w:t>
      </w:r>
      <w:proofErr w:type="spellEnd"/>
      <w:r>
        <w:rPr>
          <w:color w:val="231F20"/>
          <w:spacing w:val="-5"/>
        </w:rPr>
        <w:t xml:space="preserve"> </w:t>
      </w:r>
      <w:r>
        <w:rPr>
          <w:color w:val="231F20"/>
        </w:rPr>
        <w:t>the</w:t>
      </w:r>
      <w:r>
        <w:rPr>
          <w:color w:val="231F20"/>
          <w:spacing w:val="-6"/>
        </w:rPr>
        <w:t xml:space="preserve"> </w:t>
      </w:r>
      <w:r>
        <w:rPr>
          <w:color w:val="231F20"/>
        </w:rPr>
        <w:t>draft</w:t>
      </w:r>
      <w:r>
        <w:rPr>
          <w:color w:val="231F20"/>
          <w:spacing w:val="-5"/>
        </w:rPr>
        <w:t xml:space="preserve"> </w:t>
      </w:r>
      <w:r>
        <w:rPr>
          <w:color w:val="231F20"/>
        </w:rPr>
        <w:t>report</w:t>
      </w:r>
      <w:r>
        <w:rPr>
          <w:color w:val="231F20"/>
          <w:spacing w:val="-6"/>
        </w:rPr>
        <w:t xml:space="preserve"> </w:t>
      </w:r>
      <w:r>
        <w:rPr>
          <w:color w:val="231F20"/>
        </w:rPr>
        <w:t>in</w:t>
      </w:r>
      <w:r>
        <w:rPr>
          <w:color w:val="231F20"/>
          <w:spacing w:val="-5"/>
        </w:rPr>
        <w:t xml:space="preserve"> </w:t>
      </w:r>
      <w:r>
        <w:rPr>
          <w:color w:val="231F20"/>
        </w:rPr>
        <w:t>detail</w:t>
      </w:r>
      <w:r>
        <w:rPr>
          <w:color w:val="231F20"/>
          <w:spacing w:val="-6"/>
        </w:rPr>
        <w:t xml:space="preserve"> </w:t>
      </w:r>
      <w:r>
        <w:rPr>
          <w:color w:val="231F20"/>
        </w:rPr>
        <w:t>and</w:t>
      </w:r>
      <w:r>
        <w:rPr>
          <w:color w:val="231F20"/>
          <w:spacing w:val="-5"/>
        </w:rPr>
        <w:t xml:space="preserve"> </w:t>
      </w:r>
      <w:r>
        <w:rPr>
          <w:color w:val="231F20"/>
        </w:rPr>
        <w:t>provides</w:t>
      </w:r>
      <w:r>
        <w:rPr>
          <w:color w:val="231F20"/>
          <w:spacing w:val="-6"/>
        </w:rPr>
        <w:t xml:space="preserve"> </w:t>
      </w:r>
      <w:r>
        <w:rPr>
          <w:color w:val="231F20"/>
        </w:rPr>
        <w:t>written</w:t>
      </w:r>
      <w:r>
        <w:rPr>
          <w:color w:val="231F20"/>
          <w:spacing w:val="-5"/>
        </w:rPr>
        <w:t xml:space="preserve"> </w:t>
      </w:r>
      <w:r>
        <w:rPr>
          <w:color w:val="231F20"/>
        </w:rPr>
        <w:t>comments.</w:t>
      </w:r>
      <w:r>
        <w:rPr>
          <w:color w:val="231F20"/>
          <w:spacing w:val="-5"/>
        </w:rPr>
        <w:t xml:space="preserve"> </w:t>
      </w:r>
      <w:r>
        <w:rPr>
          <w:color w:val="231F20"/>
        </w:rPr>
        <w:t>They</w:t>
      </w:r>
      <w:r>
        <w:rPr>
          <w:color w:val="231F20"/>
          <w:spacing w:val="-6"/>
        </w:rPr>
        <w:t xml:space="preserve"> </w:t>
      </w:r>
      <w:r>
        <w:rPr>
          <w:color w:val="231F20"/>
        </w:rPr>
        <w:t xml:space="preserve">bring very diverse expertise to the task. I wish to thank Liana Buchanan, the Hon. Jennifer Coate </w:t>
      </w:r>
      <w:r>
        <w:rPr>
          <w:color w:val="231F20"/>
          <w:spacing w:val="-5"/>
        </w:rPr>
        <w:t xml:space="preserve">AO, </w:t>
      </w:r>
      <w:r>
        <w:rPr>
          <w:color w:val="231F20"/>
        </w:rPr>
        <w:t xml:space="preserve">Kathleen </w:t>
      </w:r>
      <w:r>
        <w:rPr>
          <w:color w:val="231F20"/>
          <w:spacing w:val="-3"/>
        </w:rPr>
        <w:t xml:space="preserve">Foley </w:t>
      </w:r>
      <w:r>
        <w:rPr>
          <w:color w:val="231F20"/>
        </w:rPr>
        <w:t xml:space="preserve">SC, Bruce Gardner PSM, Professor Bernadette McSherry, Dan Nicholson, Gemma </w:t>
      </w:r>
      <w:r>
        <w:rPr>
          <w:color w:val="231F20"/>
          <w:spacing w:val="-3"/>
        </w:rPr>
        <w:t xml:space="preserve">Varley </w:t>
      </w:r>
      <w:r>
        <w:rPr>
          <w:color w:val="231F20"/>
        </w:rPr>
        <w:t xml:space="preserve">PSM and Dr Vivian </w:t>
      </w:r>
      <w:r>
        <w:rPr>
          <w:color w:val="231F20"/>
          <w:spacing w:val="-3"/>
        </w:rPr>
        <w:t xml:space="preserve">Waller </w:t>
      </w:r>
      <w:r>
        <w:rPr>
          <w:color w:val="231F20"/>
        </w:rPr>
        <w:t xml:space="preserve">for their input and particularly for the generous and collegiate </w:t>
      </w:r>
      <w:r>
        <w:rPr>
          <w:color w:val="231F20"/>
          <w:spacing w:val="-3"/>
        </w:rPr>
        <w:t xml:space="preserve">way </w:t>
      </w:r>
      <w:r>
        <w:rPr>
          <w:color w:val="231F20"/>
        </w:rPr>
        <w:t>in which they approached the</w:t>
      </w:r>
      <w:r>
        <w:rPr>
          <w:color w:val="231F20"/>
          <w:spacing w:val="-13"/>
        </w:rPr>
        <w:t xml:space="preserve"> </w:t>
      </w:r>
      <w:r>
        <w:rPr>
          <w:color w:val="231F20"/>
        </w:rPr>
        <w:t>task.</w:t>
      </w:r>
    </w:p>
    <w:p w14:paraId="5CB3BCF0" w14:textId="77777777" w:rsidR="00894070" w:rsidRDefault="009B7AFD">
      <w:pPr>
        <w:pStyle w:val="BodyText"/>
        <w:spacing w:before="129" w:line="206" w:lineRule="auto"/>
        <w:ind w:left="1010" w:right="1326"/>
      </w:pPr>
      <w:r>
        <w:rPr>
          <w:color w:val="231F20"/>
        </w:rPr>
        <w:t>Merrin Mason PSM, the CEO of the Commission, as usual provided a wise and steady hand on</w:t>
      </w:r>
      <w:r>
        <w:rPr>
          <w:color w:val="231F20"/>
          <w:spacing w:val="-5"/>
        </w:rPr>
        <w:t xml:space="preserve"> </w:t>
      </w:r>
      <w:r>
        <w:rPr>
          <w:color w:val="231F20"/>
        </w:rPr>
        <w:t>the</w:t>
      </w:r>
      <w:r>
        <w:rPr>
          <w:color w:val="231F20"/>
          <w:spacing w:val="-5"/>
        </w:rPr>
        <w:t xml:space="preserve"> </w:t>
      </w:r>
      <w:r>
        <w:rPr>
          <w:color w:val="231F20"/>
        </w:rPr>
        <w:t>administration</w:t>
      </w:r>
      <w:r>
        <w:rPr>
          <w:color w:val="231F20"/>
          <w:spacing w:val="-4"/>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project,</w:t>
      </w:r>
      <w:r>
        <w:rPr>
          <w:color w:val="231F20"/>
          <w:spacing w:val="-4"/>
        </w:rPr>
        <w:t xml:space="preserve"> </w:t>
      </w:r>
      <w:r>
        <w:rPr>
          <w:color w:val="231F20"/>
        </w:rPr>
        <w:t>calming</w:t>
      </w:r>
      <w:r>
        <w:rPr>
          <w:color w:val="231F20"/>
          <w:spacing w:val="-5"/>
        </w:rPr>
        <w:t xml:space="preserve"> </w:t>
      </w:r>
      <w:r>
        <w:rPr>
          <w:color w:val="231F20"/>
        </w:rPr>
        <w:t>frazzled</w:t>
      </w:r>
      <w:r>
        <w:rPr>
          <w:color w:val="231F20"/>
          <w:spacing w:val="-5"/>
        </w:rPr>
        <w:t xml:space="preserve"> </w:t>
      </w:r>
      <w:r>
        <w:rPr>
          <w:color w:val="231F20"/>
          <w:spacing w:val="-3"/>
        </w:rPr>
        <w:t>COVID</w:t>
      </w:r>
      <w:r>
        <w:rPr>
          <w:color w:val="231F20"/>
          <w:spacing w:val="-4"/>
        </w:rPr>
        <w:t xml:space="preserve"> </w:t>
      </w:r>
      <w:r>
        <w:rPr>
          <w:color w:val="231F20"/>
        </w:rPr>
        <w:t>nerves</w:t>
      </w:r>
      <w:r>
        <w:rPr>
          <w:color w:val="231F20"/>
          <w:spacing w:val="-5"/>
        </w:rPr>
        <w:t xml:space="preserve"> </w:t>
      </w:r>
      <w:r>
        <w:rPr>
          <w:color w:val="231F20"/>
        </w:rPr>
        <w:t>at</w:t>
      </w:r>
      <w:r>
        <w:rPr>
          <w:color w:val="231F20"/>
          <w:spacing w:val="-5"/>
        </w:rPr>
        <w:t xml:space="preserve"> </w:t>
      </w:r>
      <w:r>
        <w:rPr>
          <w:color w:val="231F20"/>
        </w:rPr>
        <w:t>times,</w:t>
      </w:r>
      <w:r>
        <w:rPr>
          <w:color w:val="231F20"/>
          <w:spacing w:val="-4"/>
        </w:rPr>
        <w:t xml:space="preserve"> </w:t>
      </w:r>
      <w:r>
        <w:rPr>
          <w:color w:val="231F20"/>
        </w:rPr>
        <w:t>and</w:t>
      </w:r>
      <w:r>
        <w:rPr>
          <w:color w:val="231F20"/>
          <w:spacing w:val="-5"/>
        </w:rPr>
        <w:t xml:space="preserve"> </w:t>
      </w:r>
      <w:r>
        <w:rPr>
          <w:color w:val="231F20"/>
        </w:rPr>
        <w:t xml:space="preserve">contributing valuable insights into the substance of the work. The project could not happen without the administrative assistance of the Finance and Office Manager, Jennifer </w:t>
      </w:r>
      <w:r>
        <w:rPr>
          <w:color w:val="231F20"/>
          <w:spacing w:val="-3"/>
        </w:rPr>
        <w:t xml:space="preserve">Joyner, my </w:t>
      </w:r>
      <w:r>
        <w:rPr>
          <w:color w:val="231F20"/>
        </w:rPr>
        <w:t>Executive Assistant, Monika George, and our Office Administrator Janis Dunk. I am very grateful for the efforts of each of</w:t>
      </w:r>
      <w:r>
        <w:rPr>
          <w:color w:val="231F20"/>
          <w:spacing w:val="-9"/>
        </w:rPr>
        <w:t xml:space="preserve"> </w:t>
      </w:r>
      <w:r>
        <w:rPr>
          <w:color w:val="231F20"/>
        </w:rPr>
        <w:t>them.</w:t>
      </w:r>
    </w:p>
    <w:p w14:paraId="76643693" w14:textId="77777777" w:rsidR="00894070" w:rsidRDefault="009F6793">
      <w:pPr>
        <w:pStyle w:val="BodyText"/>
        <w:spacing w:before="128" w:line="206" w:lineRule="auto"/>
        <w:ind w:left="1010" w:right="2216"/>
      </w:pPr>
      <w:r>
        <w:pict w14:anchorId="6ACF7B26">
          <v:group id="_x0000_s1730" style="position:absolute;left:0;text-align:left;margin-left:58.45pt;margin-top:34.1pt;width:188.2pt;height:122.6pt;z-index:-251482112;mso-wrap-distance-left:0;mso-wrap-distance-right:0;mso-position-horizontal-relative:page" coordorigin="1169,682" coordsize="3764,2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32" type="#_x0000_t75" style="position:absolute;left:1168;top:681;width:3764;height:2401">
              <v:imagedata r:id="rId19" o:title=""/>
            </v:shape>
            <v:shapetype id="_x0000_t202" coordsize="21600,21600" o:spt="202" path="m,l,21600r21600,l21600,xe">
              <v:stroke joinstyle="miter"/>
              <v:path gradientshapeok="t" o:connecttype="rect"/>
            </v:shapetype>
            <v:shape id="_x0000_s1731" type="#_x0000_t202" style="position:absolute;left:1168;top:681;width:3764;height:2452" filled="f" stroked="f">
              <v:textbox inset="0,0,0,0">
                <w:txbxContent>
                  <w:p w14:paraId="01FCEB62" w14:textId="77777777" w:rsidR="00894070" w:rsidRDefault="00894070"/>
                  <w:p w14:paraId="5EDEB81C" w14:textId="77777777" w:rsidR="00894070" w:rsidRDefault="00894070"/>
                  <w:p w14:paraId="2149FC24" w14:textId="77777777" w:rsidR="00894070" w:rsidRDefault="00894070"/>
                  <w:p w14:paraId="2E5AC620" w14:textId="77777777" w:rsidR="00894070" w:rsidRDefault="00894070"/>
                  <w:p w14:paraId="6B6F7351" w14:textId="77777777" w:rsidR="00894070" w:rsidRDefault="00894070"/>
                  <w:p w14:paraId="2DA7E562" w14:textId="77777777" w:rsidR="00894070" w:rsidRDefault="00894070"/>
                  <w:p w14:paraId="1D17BD4A" w14:textId="77777777" w:rsidR="00894070" w:rsidRDefault="00894070">
                    <w:pPr>
                      <w:spacing w:before="8"/>
                      <w:rPr>
                        <w:sz w:val="24"/>
                      </w:rPr>
                    </w:pPr>
                  </w:p>
                  <w:p w14:paraId="32C58DCF" w14:textId="77777777" w:rsidR="00894070" w:rsidRDefault="009B7AFD">
                    <w:pPr>
                      <w:ind w:left="421"/>
                      <w:rPr>
                        <w:b/>
                        <w:sz w:val="20"/>
                      </w:rPr>
                    </w:pPr>
                    <w:r>
                      <w:rPr>
                        <w:b/>
                        <w:color w:val="231F20"/>
                        <w:sz w:val="20"/>
                      </w:rPr>
                      <w:t>The Hon. Anthony North QC</w:t>
                    </w:r>
                  </w:p>
                </w:txbxContent>
              </v:textbox>
            </v:shape>
            <w10:wrap type="topAndBottom" anchorx="page"/>
          </v:group>
        </w:pict>
      </w:r>
      <w:r w:rsidR="009B7AFD">
        <w:rPr>
          <w:color w:val="231F20"/>
        </w:rPr>
        <w:t>I trust you will find the report engaging to read and helpful to plot the future for the development of the law relating to stalking.</w:t>
      </w:r>
    </w:p>
    <w:p w14:paraId="7D8E9B1C" w14:textId="77777777" w:rsidR="00894070" w:rsidRDefault="009B7AFD">
      <w:pPr>
        <w:spacing w:before="53"/>
        <w:ind w:left="1010"/>
        <w:rPr>
          <w:b/>
          <w:sz w:val="20"/>
        </w:rPr>
      </w:pPr>
      <w:r>
        <w:rPr>
          <w:b/>
          <w:color w:val="231F20"/>
          <w:sz w:val="20"/>
        </w:rPr>
        <w:t>Chairperson</w:t>
      </w:r>
    </w:p>
    <w:p w14:paraId="62E18F29" w14:textId="77777777" w:rsidR="00894070" w:rsidRDefault="009B7AFD">
      <w:pPr>
        <w:spacing w:before="82"/>
        <w:ind w:left="1010"/>
        <w:rPr>
          <w:b/>
          <w:sz w:val="20"/>
        </w:rPr>
      </w:pPr>
      <w:r>
        <w:rPr>
          <w:b/>
          <w:color w:val="231F20"/>
          <w:sz w:val="20"/>
        </w:rPr>
        <w:t>Victorian Law Reform Commission</w:t>
      </w:r>
    </w:p>
    <w:p w14:paraId="023DF9D4" w14:textId="77777777" w:rsidR="00894070" w:rsidRDefault="009B7AFD">
      <w:pPr>
        <w:pStyle w:val="BodyText"/>
        <w:spacing w:before="83"/>
        <w:ind w:left="1010"/>
      </w:pPr>
      <w:r>
        <w:rPr>
          <w:color w:val="231F20"/>
        </w:rPr>
        <w:t>June 2022</w:t>
      </w:r>
    </w:p>
    <w:p w14:paraId="1EA5FD01" w14:textId="77777777" w:rsidR="00894070" w:rsidRDefault="00894070">
      <w:pPr>
        <w:pStyle w:val="BodyText"/>
      </w:pPr>
    </w:p>
    <w:p w14:paraId="60E7D1AD" w14:textId="77777777" w:rsidR="00894070" w:rsidRDefault="00894070">
      <w:pPr>
        <w:pStyle w:val="BodyText"/>
      </w:pPr>
    </w:p>
    <w:p w14:paraId="3863C12D" w14:textId="77777777" w:rsidR="00894070" w:rsidRDefault="00894070">
      <w:pPr>
        <w:pStyle w:val="BodyText"/>
      </w:pPr>
    </w:p>
    <w:p w14:paraId="65F6A154" w14:textId="77777777" w:rsidR="00894070" w:rsidRDefault="00894070">
      <w:pPr>
        <w:pStyle w:val="BodyText"/>
      </w:pPr>
    </w:p>
    <w:p w14:paraId="41980662" w14:textId="77777777" w:rsidR="00894070" w:rsidRDefault="00894070">
      <w:pPr>
        <w:pStyle w:val="BodyText"/>
      </w:pPr>
    </w:p>
    <w:p w14:paraId="0039A28A" w14:textId="77777777" w:rsidR="00894070" w:rsidRDefault="00894070">
      <w:pPr>
        <w:pStyle w:val="BodyText"/>
      </w:pPr>
    </w:p>
    <w:p w14:paraId="3E1D3FCE" w14:textId="77777777" w:rsidR="00894070" w:rsidRDefault="00894070">
      <w:pPr>
        <w:pStyle w:val="BodyText"/>
      </w:pPr>
    </w:p>
    <w:p w14:paraId="03259A1B" w14:textId="77777777" w:rsidR="00894070" w:rsidRDefault="00894070">
      <w:pPr>
        <w:pStyle w:val="BodyText"/>
      </w:pPr>
    </w:p>
    <w:p w14:paraId="5495BE9F" w14:textId="77777777" w:rsidR="00894070" w:rsidRDefault="00894070">
      <w:pPr>
        <w:pStyle w:val="BodyText"/>
      </w:pPr>
    </w:p>
    <w:p w14:paraId="0FBEB82D" w14:textId="77777777" w:rsidR="00894070" w:rsidRDefault="00894070">
      <w:pPr>
        <w:pStyle w:val="BodyText"/>
      </w:pPr>
    </w:p>
    <w:p w14:paraId="22AC5BBC" w14:textId="77777777" w:rsidR="00894070" w:rsidRDefault="00894070">
      <w:pPr>
        <w:pStyle w:val="BodyText"/>
      </w:pPr>
    </w:p>
    <w:p w14:paraId="4947F66A" w14:textId="77777777" w:rsidR="00894070" w:rsidRDefault="00894070">
      <w:pPr>
        <w:pStyle w:val="BodyText"/>
      </w:pPr>
    </w:p>
    <w:p w14:paraId="68C52668" w14:textId="77777777" w:rsidR="00894070" w:rsidRDefault="00894070">
      <w:pPr>
        <w:pStyle w:val="BodyText"/>
      </w:pPr>
    </w:p>
    <w:p w14:paraId="6E5F652E" w14:textId="77777777" w:rsidR="00894070" w:rsidRDefault="00894070">
      <w:pPr>
        <w:pStyle w:val="BodyText"/>
      </w:pPr>
    </w:p>
    <w:p w14:paraId="5CB98A26" w14:textId="77777777" w:rsidR="00894070" w:rsidRDefault="00894070">
      <w:pPr>
        <w:pStyle w:val="BodyText"/>
      </w:pPr>
    </w:p>
    <w:p w14:paraId="54F5B822" w14:textId="77777777" w:rsidR="00894070" w:rsidRDefault="00894070">
      <w:pPr>
        <w:pStyle w:val="BodyText"/>
        <w:spacing w:before="3"/>
        <w:rPr>
          <w:sz w:val="25"/>
        </w:rPr>
      </w:pPr>
    </w:p>
    <w:p w14:paraId="71A5D281" w14:textId="77777777" w:rsidR="00894070" w:rsidRDefault="009B7AFD">
      <w:pPr>
        <w:pStyle w:val="Heading8"/>
        <w:spacing w:before="49"/>
        <w:ind w:right="278"/>
        <w:jc w:val="right"/>
      </w:pPr>
      <w:r>
        <w:rPr>
          <w:color w:val="EA5B50"/>
        </w:rPr>
        <w:t>ix</w:t>
      </w:r>
    </w:p>
    <w:p w14:paraId="01899D1F" w14:textId="77777777" w:rsidR="00894070" w:rsidRDefault="00894070">
      <w:pPr>
        <w:jc w:val="right"/>
        <w:sectPr w:rsidR="00894070">
          <w:pgSz w:w="11910" w:h="16840"/>
          <w:pgMar w:top="840" w:right="420" w:bottom="280" w:left="580" w:header="0" w:footer="0" w:gutter="0"/>
          <w:cols w:space="720"/>
        </w:sectPr>
      </w:pPr>
    </w:p>
    <w:p w14:paraId="175D644A" w14:textId="77777777" w:rsidR="00894070" w:rsidRDefault="009F6793">
      <w:pPr>
        <w:pStyle w:val="BodyText"/>
        <w:rPr>
          <w:b/>
        </w:rPr>
      </w:pPr>
      <w:r>
        <w:lastRenderedPageBreak/>
        <w:pict w14:anchorId="34B44D3A">
          <v:rect id="_x0000_s1729" style="position:absolute;margin-left:0;margin-top:99.2pt;width:14.15pt;height:85.75pt;z-index:251455488;mso-position-horizontal-relative:page;mso-position-vertical-relative:page" fillcolor="#ea5b50" stroked="f">
            <w10:wrap anchorx="page" anchory="page"/>
          </v:rect>
        </w:pict>
      </w:r>
    </w:p>
    <w:p w14:paraId="74DD1CEF" w14:textId="77777777" w:rsidR="00894070" w:rsidRDefault="00894070">
      <w:pPr>
        <w:pStyle w:val="BodyText"/>
        <w:rPr>
          <w:b/>
        </w:rPr>
      </w:pPr>
    </w:p>
    <w:p w14:paraId="61ABEF0D" w14:textId="77777777" w:rsidR="00894070" w:rsidRDefault="00894070">
      <w:pPr>
        <w:pStyle w:val="BodyText"/>
        <w:spacing w:before="4"/>
        <w:rPr>
          <w:b/>
          <w:sz w:val="24"/>
        </w:rPr>
      </w:pPr>
    </w:p>
    <w:p w14:paraId="1BFEAF73" w14:textId="77777777" w:rsidR="00894070" w:rsidRDefault="009B7AFD">
      <w:pPr>
        <w:spacing w:line="758" w:lineRule="exact"/>
        <w:ind w:left="262"/>
        <w:rPr>
          <w:rFonts w:ascii="Raleway ExtraBold"/>
          <w:b/>
          <w:sz w:val="56"/>
        </w:rPr>
      </w:pPr>
      <w:bookmarkStart w:id="3" w:name="Terms_of_reference"/>
      <w:bookmarkStart w:id="4" w:name="_bookmark1"/>
      <w:bookmarkEnd w:id="3"/>
      <w:bookmarkEnd w:id="4"/>
      <w:r>
        <w:rPr>
          <w:rFonts w:ascii="Raleway ExtraBold"/>
          <w:b/>
          <w:color w:val="EA5B50"/>
          <w:sz w:val="56"/>
        </w:rPr>
        <w:t>Terms of reference</w:t>
      </w:r>
    </w:p>
    <w:p w14:paraId="149D8D92" w14:textId="77777777" w:rsidR="00894070" w:rsidRDefault="00894070">
      <w:pPr>
        <w:pStyle w:val="BodyText"/>
        <w:rPr>
          <w:rFonts w:ascii="Raleway ExtraBold"/>
          <w:b/>
          <w:sz w:val="66"/>
        </w:rPr>
      </w:pPr>
    </w:p>
    <w:p w14:paraId="7B4CD5C1" w14:textId="77777777" w:rsidR="00894070" w:rsidRDefault="00894070">
      <w:pPr>
        <w:pStyle w:val="BodyText"/>
        <w:rPr>
          <w:rFonts w:ascii="Raleway ExtraBold"/>
          <w:b/>
          <w:sz w:val="66"/>
        </w:rPr>
      </w:pPr>
    </w:p>
    <w:p w14:paraId="4DB14466" w14:textId="77777777" w:rsidR="00894070" w:rsidRDefault="00894070">
      <w:pPr>
        <w:pStyle w:val="BodyText"/>
        <w:spacing w:before="7"/>
        <w:rPr>
          <w:rFonts w:ascii="Raleway ExtraBold"/>
          <w:b/>
          <w:sz w:val="87"/>
        </w:rPr>
      </w:pPr>
    </w:p>
    <w:p w14:paraId="2499DD7D" w14:textId="77777777" w:rsidR="00894070" w:rsidRDefault="009B7AFD">
      <w:pPr>
        <w:ind w:left="1018"/>
        <w:rPr>
          <w:i/>
          <w:sz w:val="20"/>
        </w:rPr>
      </w:pPr>
      <w:r>
        <w:rPr>
          <w:color w:val="231F20"/>
          <w:sz w:val="20"/>
        </w:rPr>
        <w:t xml:space="preserve">Reference under section 5 of the </w:t>
      </w:r>
      <w:r>
        <w:rPr>
          <w:i/>
          <w:color w:val="231F20"/>
          <w:sz w:val="20"/>
        </w:rPr>
        <w:t>Victorian Law Reform Commission Act 2000.</w:t>
      </w:r>
    </w:p>
    <w:p w14:paraId="3DD2D57C" w14:textId="77777777" w:rsidR="00894070" w:rsidRDefault="009B7AFD">
      <w:pPr>
        <w:spacing w:before="115" w:line="206" w:lineRule="auto"/>
        <w:ind w:left="1018" w:right="1459"/>
        <w:rPr>
          <w:b/>
          <w:sz w:val="20"/>
        </w:rPr>
      </w:pPr>
      <w:r>
        <w:rPr>
          <w:b/>
          <w:color w:val="231F20"/>
          <w:sz w:val="20"/>
        </w:rPr>
        <w:t>Responses to stalking, harassment and similar conduct, and the related use of Personal Safety Intervention Orders</w:t>
      </w:r>
    </w:p>
    <w:p w14:paraId="5C54BE0D" w14:textId="77777777" w:rsidR="00894070" w:rsidRDefault="009B7AFD">
      <w:pPr>
        <w:pStyle w:val="BodyText"/>
        <w:spacing w:before="122" w:line="206" w:lineRule="auto"/>
        <w:ind w:left="1018" w:right="1110"/>
      </w:pPr>
      <w:r>
        <w:rPr>
          <w:color w:val="231F20"/>
        </w:rPr>
        <w:t xml:space="preserve">Stalking is a set of </w:t>
      </w:r>
      <w:proofErr w:type="spellStart"/>
      <w:r>
        <w:rPr>
          <w:color w:val="231F20"/>
        </w:rPr>
        <w:t>behaviours</w:t>
      </w:r>
      <w:proofErr w:type="spellEnd"/>
      <w:r>
        <w:rPr>
          <w:color w:val="231F20"/>
        </w:rPr>
        <w:t xml:space="preserve"> that can cause great harm to victims’ mental and physical health. If not addressed, it can also escalate to include other types of serious offending, more serious offending, including serious violence and—tragically—homicide and suicide.</w:t>
      </w:r>
    </w:p>
    <w:p w14:paraId="3A0BE7EB" w14:textId="77777777" w:rsidR="00894070" w:rsidRDefault="009B7AFD">
      <w:pPr>
        <w:pStyle w:val="BodyText"/>
        <w:spacing w:before="124" w:line="206" w:lineRule="auto"/>
        <w:ind w:left="1018" w:right="1554"/>
      </w:pPr>
      <w:r>
        <w:rPr>
          <w:color w:val="231F20"/>
        </w:rPr>
        <w:t xml:space="preserve">Due to technological advancements, types of stalking </w:t>
      </w:r>
      <w:proofErr w:type="spellStart"/>
      <w:r>
        <w:rPr>
          <w:color w:val="231F20"/>
        </w:rPr>
        <w:t>behaviour</w:t>
      </w:r>
      <w:proofErr w:type="spellEnd"/>
      <w:r>
        <w:rPr>
          <w:color w:val="231F20"/>
        </w:rPr>
        <w:t xml:space="preserve"> have evolved and can be carried out remotely, without physical proximity to the victim.</w:t>
      </w:r>
    </w:p>
    <w:p w14:paraId="75CCEB20" w14:textId="77777777" w:rsidR="00894070" w:rsidRDefault="009B7AFD">
      <w:pPr>
        <w:pStyle w:val="BodyText"/>
        <w:spacing w:before="123" w:line="206" w:lineRule="auto"/>
        <w:ind w:left="1018" w:right="1082"/>
      </w:pPr>
      <w:r>
        <w:rPr>
          <w:color w:val="231F20"/>
        </w:rPr>
        <w:t xml:space="preserve">The VLRC is asked to review and report on Victoria’s legal responses to stalking, harassment and similar conduct, including the statutory framework for and operation of the Personal Safety Intervention Order (PSIO) system, drawing upon best practice from the family violence system, criminological </w:t>
      </w:r>
      <w:proofErr w:type="gramStart"/>
      <w:r>
        <w:rPr>
          <w:color w:val="231F20"/>
        </w:rPr>
        <w:t>research</w:t>
      </w:r>
      <w:proofErr w:type="gramEnd"/>
      <w:r>
        <w:rPr>
          <w:color w:val="231F20"/>
        </w:rPr>
        <w:t xml:space="preserve"> and victim support services. The review should identify barriers to current law effectively responding to stalking, </w:t>
      </w:r>
      <w:proofErr w:type="gramStart"/>
      <w:r>
        <w:rPr>
          <w:color w:val="231F20"/>
        </w:rPr>
        <w:t>harassment</w:t>
      </w:r>
      <w:proofErr w:type="gramEnd"/>
      <w:r>
        <w:rPr>
          <w:color w:val="231F20"/>
        </w:rPr>
        <w:t xml:space="preserve"> and similar conduct, and make recommendations to address these barriers and improve the justice system’s response, with victim safety and wellbeing the paramount consideration.</w:t>
      </w:r>
    </w:p>
    <w:p w14:paraId="516512C6" w14:textId="77777777" w:rsidR="00894070" w:rsidRDefault="009B7AFD">
      <w:pPr>
        <w:pStyle w:val="BodyText"/>
        <w:spacing w:before="128" w:line="206" w:lineRule="auto"/>
        <w:ind w:left="1018" w:right="1134"/>
      </w:pPr>
      <w:r>
        <w:rPr>
          <w:color w:val="231F20"/>
        </w:rPr>
        <w:t xml:space="preserve">Stalking </w:t>
      </w:r>
      <w:proofErr w:type="spellStart"/>
      <w:r>
        <w:rPr>
          <w:color w:val="231F20"/>
        </w:rPr>
        <w:t>behaviours</w:t>
      </w:r>
      <w:proofErr w:type="spellEnd"/>
      <w:r>
        <w:rPr>
          <w:color w:val="231F20"/>
        </w:rPr>
        <w:t xml:space="preserve"> can occur in both a family violence and non-family violence context. However, while a specialist, cohesive approach to these </w:t>
      </w:r>
      <w:proofErr w:type="spellStart"/>
      <w:r>
        <w:rPr>
          <w:color w:val="231F20"/>
        </w:rPr>
        <w:t>behaviours</w:t>
      </w:r>
      <w:proofErr w:type="spellEnd"/>
      <w:r>
        <w:rPr>
          <w:color w:val="231F20"/>
        </w:rPr>
        <w:t xml:space="preserve"> has been developed in a family violence context, less attention has been devoted to the non-family violence response. Additional measures may be required to </w:t>
      </w:r>
      <w:proofErr w:type="spellStart"/>
      <w:r>
        <w:rPr>
          <w:color w:val="231F20"/>
        </w:rPr>
        <w:t>maximise</w:t>
      </w:r>
      <w:proofErr w:type="spellEnd"/>
      <w:r>
        <w:rPr>
          <w:color w:val="231F20"/>
        </w:rPr>
        <w:t xml:space="preserve"> victim safety and wellbeing and perpetrator accountability, and to allow for more effective early interventions in cases of high or escalating risk. The review may consider mechanisms from the family violence context, such as family violence safety notices and the prohibition on cross-examination by the respondent/accused person. New measures responding to stalking in both family violence and non-family violence contexts should also be considered, such as electronic monitoring as a condition of an intervention order, and responses that address technology-facilitated abuse.</w:t>
      </w:r>
    </w:p>
    <w:p w14:paraId="2D8E225A" w14:textId="77777777" w:rsidR="00894070" w:rsidRDefault="009B7AFD">
      <w:pPr>
        <w:pStyle w:val="BodyText"/>
        <w:spacing w:before="101" w:line="259" w:lineRule="exact"/>
        <w:ind w:left="1018"/>
      </w:pPr>
      <w:r>
        <w:rPr>
          <w:color w:val="231F20"/>
        </w:rPr>
        <w:t>While stalking is committed by people of all genders, the VLRC is requested to note that most</w:t>
      </w:r>
    </w:p>
    <w:p w14:paraId="40C8AA2A" w14:textId="77777777" w:rsidR="00894070" w:rsidRDefault="009B7AFD">
      <w:pPr>
        <w:pStyle w:val="BodyText"/>
        <w:spacing w:line="259" w:lineRule="exact"/>
        <w:ind w:left="1018"/>
      </w:pPr>
      <w:r>
        <w:rPr>
          <w:color w:val="231F20"/>
        </w:rPr>
        <w:t>perpetrators of stalking are men, and most victims of stalking are women.</w:t>
      </w:r>
    </w:p>
    <w:p w14:paraId="6D34F46E" w14:textId="77777777" w:rsidR="00894070" w:rsidRDefault="009B7AFD">
      <w:pPr>
        <w:pStyle w:val="BodyText"/>
        <w:spacing w:before="82"/>
        <w:ind w:left="1018"/>
      </w:pPr>
      <w:r>
        <w:rPr>
          <w:color w:val="231F20"/>
        </w:rPr>
        <w:t>The review should consider:</w:t>
      </w:r>
    </w:p>
    <w:p w14:paraId="239224BC" w14:textId="77777777" w:rsidR="00894070" w:rsidRDefault="009B7AFD">
      <w:pPr>
        <w:pStyle w:val="ListParagraph"/>
        <w:numPr>
          <w:ilvl w:val="0"/>
          <w:numId w:val="193"/>
        </w:numPr>
        <w:tabs>
          <w:tab w:val="left" w:pos="1358"/>
          <w:tab w:val="left" w:pos="1359"/>
        </w:tabs>
        <w:spacing w:before="83"/>
        <w:ind w:hanging="343"/>
        <w:rPr>
          <w:sz w:val="20"/>
        </w:rPr>
      </w:pPr>
      <w:r>
        <w:rPr>
          <w:color w:val="231F20"/>
          <w:sz w:val="20"/>
        </w:rPr>
        <w:t>the</w:t>
      </w:r>
      <w:r>
        <w:rPr>
          <w:color w:val="231F20"/>
          <w:spacing w:val="-5"/>
          <w:sz w:val="20"/>
        </w:rPr>
        <w:t xml:space="preserve"> </w:t>
      </w:r>
      <w:r>
        <w:rPr>
          <w:color w:val="231F20"/>
          <w:sz w:val="20"/>
        </w:rPr>
        <w:t>law</w:t>
      </w:r>
      <w:r>
        <w:rPr>
          <w:color w:val="231F20"/>
          <w:spacing w:val="-5"/>
          <w:sz w:val="20"/>
        </w:rPr>
        <w:t xml:space="preserve"> </w:t>
      </w:r>
      <w:r>
        <w:rPr>
          <w:color w:val="231F20"/>
          <w:sz w:val="20"/>
        </w:rPr>
        <w:t>on</w:t>
      </w:r>
      <w:r>
        <w:rPr>
          <w:color w:val="231F20"/>
          <w:spacing w:val="-5"/>
          <w:sz w:val="20"/>
        </w:rPr>
        <w:t xml:space="preserve"> </w:t>
      </w:r>
      <w:r>
        <w:rPr>
          <w:color w:val="231F20"/>
          <w:sz w:val="20"/>
        </w:rPr>
        <w:t>stalking,</w:t>
      </w:r>
      <w:r>
        <w:rPr>
          <w:color w:val="231F20"/>
          <w:spacing w:val="-4"/>
          <w:sz w:val="20"/>
        </w:rPr>
        <w:t xml:space="preserve"> </w:t>
      </w:r>
      <w:r>
        <w:rPr>
          <w:color w:val="231F20"/>
          <w:sz w:val="20"/>
        </w:rPr>
        <w:t>harassment</w:t>
      </w:r>
      <w:r>
        <w:rPr>
          <w:color w:val="231F20"/>
          <w:spacing w:val="-5"/>
          <w:sz w:val="20"/>
        </w:rPr>
        <w:t xml:space="preserve"> </w:t>
      </w:r>
      <w:r>
        <w:rPr>
          <w:color w:val="231F20"/>
          <w:sz w:val="20"/>
        </w:rPr>
        <w:t>or</w:t>
      </w:r>
      <w:r>
        <w:rPr>
          <w:color w:val="231F20"/>
          <w:spacing w:val="-5"/>
          <w:sz w:val="20"/>
        </w:rPr>
        <w:t xml:space="preserve"> </w:t>
      </w:r>
      <w:r>
        <w:rPr>
          <w:color w:val="231F20"/>
          <w:sz w:val="20"/>
        </w:rPr>
        <w:t>similar</w:t>
      </w:r>
      <w:r>
        <w:rPr>
          <w:color w:val="231F20"/>
          <w:spacing w:val="-4"/>
          <w:sz w:val="20"/>
        </w:rPr>
        <w:t xml:space="preserve"> </w:t>
      </w:r>
      <w:r>
        <w:rPr>
          <w:color w:val="231F20"/>
          <w:sz w:val="20"/>
        </w:rPr>
        <w:t>conduct</w:t>
      </w:r>
      <w:r>
        <w:rPr>
          <w:color w:val="231F20"/>
          <w:spacing w:val="-5"/>
          <w:sz w:val="20"/>
        </w:rPr>
        <w:t xml:space="preserve"> </w:t>
      </w:r>
      <w:r>
        <w:rPr>
          <w:color w:val="231F20"/>
          <w:sz w:val="20"/>
        </w:rPr>
        <w:t>including:</w:t>
      </w:r>
    </w:p>
    <w:p w14:paraId="3898150B" w14:textId="77777777" w:rsidR="00894070" w:rsidRDefault="009B7AFD">
      <w:pPr>
        <w:pStyle w:val="ListParagraph"/>
        <w:numPr>
          <w:ilvl w:val="1"/>
          <w:numId w:val="193"/>
        </w:numPr>
        <w:tabs>
          <w:tab w:val="left" w:pos="1698"/>
          <w:tab w:val="left" w:pos="1699"/>
        </w:tabs>
        <w:spacing w:before="79" w:line="206" w:lineRule="auto"/>
        <w:ind w:right="1155" w:hanging="340"/>
        <w:rPr>
          <w:i/>
          <w:sz w:val="20"/>
        </w:rPr>
      </w:pPr>
      <w:r>
        <w:rPr>
          <w:color w:val="231F20"/>
          <w:sz w:val="20"/>
        </w:rPr>
        <w:t>operation</w:t>
      </w:r>
      <w:r>
        <w:rPr>
          <w:color w:val="231F20"/>
          <w:spacing w:val="-15"/>
          <w:sz w:val="20"/>
        </w:rPr>
        <w:t xml:space="preserve"> </w:t>
      </w:r>
      <w:r>
        <w:rPr>
          <w:color w:val="231F20"/>
          <w:sz w:val="20"/>
        </w:rPr>
        <w:t>of</w:t>
      </w:r>
      <w:r>
        <w:rPr>
          <w:color w:val="231F20"/>
          <w:spacing w:val="-14"/>
          <w:sz w:val="20"/>
        </w:rPr>
        <w:t xml:space="preserve"> </w:t>
      </w:r>
      <w:r>
        <w:rPr>
          <w:color w:val="231F20"/>
          <w:sz w:val="20"/>
        </w:rPr>
        <w:t>the</w:t>
      </w:r>
      <w:r>
        <w:rPr>
          <w:color w:val="231F20"/>
          <w:spacing w:val="-13"/>
          <w:sz w:val="20"/>
        </w:rPr>
        <w:t xml:space="preserve"> </w:t>
      </w:r>
      <w:r>
        <w:rPr>
          <w:i/>
          <w:color w:val="231F20"/>
          <w:sz w:val="20"/>
        </w:rPr>
        <w:t>Personal</w:t>
      </w:r>
      <w:r>
        <w:rPr>
          <w:i/>
          <w:color w:val="231F20"/>
          <w:spacing w:val="-14"/>
          <w:sz w:val="20"/>
        </w:rPr>
        <w:t xml:space="preserve"> </w:t>
      </w:r>
      <w:r>
        <w:rPr>
          <w:i/>
          <w:color w:val="231F20"/>
          <w:sz w:val="20"/>
        </w:rPr>
        <w:t>Safety</w:t>
      </w:r>
      <w:r>
        <w:rPr>
          <w:i/>
          <w:color w:val="231F20"/>
          <w:spacing w:val="-14"/>
          <w:sz w:val="20"/>
        </w:rPr>
        <w:t xml:space="preserve"> </w:t>
      </w:r>
      <w:r>
        <w:rPr>
          <w:i/>
          <w:color w:val="231F20"/>
          <w:sz w:val="20"/>
        </w:rPr>
        <w:t>Intervention</w:t>
      </w:r>
      <w:r>
        <w:rPr>
          <w:i/>
          <w:color w:val="231F20"/>
          <w:spacing w:val="-14"/>
          <w:sz w:val="20"/>
        </w:rPr>
        <w:t xml:space="preserve"> </w:t>
      </w:r>
      <w:r>
        <w:rPr>
          <w:i/>
          <w:color w:val="231F20"/>
          <w:sz w:val="20"/>
        </w:rPr>
        <w:t>Orders</w:t>
      </w:r>
      <w:r>
        <w:rPr>
          <w:i/>
          <w:color w:val="231F20"/>
          <w:spacing w:val="-14"/>
          <w:sz w:val="20"/>
        </w:rPr>
        <w:t xml:space="preserve"> </w:t>
      </w:r>
      <w:r>
        <w:rPr>
          <w:i/>
          <w:color w:val="231F20"/>
          <w:sz w:val="20"/>
        </w:rPr>
        <w:t>Act</w:t>
      </w:r>
      <w:r>
        <w:rPr>
          <w:i/>
          <w:color w:val="231F20"/>
          <w:spacing w:val="-14"/>
          <w:sz w:val="20"/>
        </w:rPr>
        <w:t xml:space="preserve"> </w:t>
      </w:r>
      <w:r>
        <w:rPr>
          <w:i/>
          <w:color w:val="231F20"/>
          <w:spacing w:val="-3"/>
          <w:sz w:val="20"/>
        </w:rPr>
        <w:t>2010</w:t>
      </w:r>
      <w:r>
        <w:rPr>
          <w:i/>
          <w:color w:val="231F20"/>
          <w:spacing w:val="-13"/>
          <w:sz w:val="20"/>
        </w:rPr>
        <w:t xml:space="preserve"> </w:t>
      </w:r>
      <w:r>
        <w:rPr>
          <w:color w:val="231F20"/>
          <w:spacing w:val="-2"/>
          <w:sz w:val="20"/>
        </w:rPr>
        <w:t>(Vic),</w:t>
      </w:r>
      <w:r>
        <w:rPr>
          <w:color w:val="231F20"/>
          <w:spacing w:val="-14"/>
          <w:sz w:val="20"/>
        </w:rPr>
        <w:t xml:space="preserve"> </w:t>
      </w:r>
      <w:r>
        <w:rPr>
          <w:color w:val="231F20"/>
          <w:sz w:val="20"/>
        </w:rPr>
        <w:t>including</w:t>
      </w:r>
      <w:r>
        <w:rPr>
          <w:color w:val="231F20"/>
          <w:spacing w:val="-14"/>
          <w:sz w:val="20"/>
        </w:rPr>
        <w:t xml:space="preserve"> </w:t>
      </w:r>
      <w:r>
        <w:rPr>
          <w:color w:val="231F20"/>
          <w:sz w:val="20"/>
        </w:rPr>
        <w:t xml:space="preserve">consideration of </w:t>
      </w:r>
      <w:r>
        <w:rPr>
          <w:color w:val="231F20"/>
          <w:spacing w:val="-3"/>
          <w:sz w:val="20"/>
        </w:rPr>
        <w:t xml:space="preserve">how </w:t>
      </w:r>
      <w:r>
        <w:rPr>
          <w:color w:val="231F20"/>
          <w:sz w:val="20"/>
        </w:rPr>
        <w:t xml:space="preserve">the legislative </w:t>
      </w:r>
      <w:r>
        <w:rPr>
          <w:color w:val="231F20"/>
          <w:spacing w:val="-3"/>
          <w:sz w:val="20"/>
        </w:rPr>
        <w:t xml:space="preserve">framework </w:t>
      </w:r>
      <w:r>
        <w:rPr>
          <w:color w:val="231F20"/>
          <w:sz w:val="20"/>
        </w:rPr>
        <w:t xml:space="preserve">and operation differs </w:t>
      </w:r>
      <w:r>
        <w:rPr>
          <w:color w:val="231F20"/>
          <w:spacing w:val="-3"/>
          <w:sz w:val="20"/>
        </w:rPr>
        <w:t xml:space="preserve">from </w:t>
      </w:r>
      <w:r>
        <w:rPr>
          <w:color w:val="231F20"/>
          <w:sz w:val="20"/>
        </w:rPr>
        <w:t xml:space="preserve">the scheme </w:t>
      </w:r>
      <w:r>
        <w:rPr>
          <w:color w:val="231F20"/>
          <w:spacing w:val="-3"/>
          <w:sz w:val="20"/>
        </w:rPr>
        <w:t xml:space="preserve">for </w:t>
      </w:r>
      <w:r>
        <w:rPr>
          <w:color w:val="231F20"/>
          <w:spacing w:val="-4"/>
          <w:sz w:val="20"/>
        </w:rPr>
        <w:t xml:space="preserve">Family </w:t>
      </w:r>
      <w:r>
        <w:rPr>
          <w:color w:val="231F20"/>
          <w:sz w:val="20"/>
        </w:rPr>
        <w:t xml:space="preserve">Violence Safety Notices and </w:t>
      </w:r>
      <w:r>
        <w:rPr>
          <w:color w:val="231F20"/>
          <w:spacing w:val="-4"/>
          <w:sz w:val="20"/>
        </w:rPr>
        <w:t xml:space="preserve">Family </w:t>
      </w:r>
      <w:r>
        <w:rPr>
          <w:color w:val="231F20"/>
          <w:sz w:val="20"/>
        </w:rPr>
        <w:t xml:space="preserve">Violence </w:t>
      </w:r>
      <w:r>
        <w:rPr>
          <w:color w:val="231F20"/>
          <w:spacing w:val="-2"/>
          <w:sz w:val="20"/>
        </w:rPr>
        <w:t xml:space="preserve">Intervention </w:t>
      </w:r>
      <w:r>
        <w:rPr>
          <w:color w:val="231F20"/>
          <w:sz w:val="20"/>
        </w:rPr>
        <w:t xml:space="preserve">Orders under the </w:t>
      </w:r>
      <w:r>
        <w:rPr>
          <w:i/>
          <w:color w:val="231F20"/>
          <w:spacing w:val="-3"/>
          <w:sz w:val="20"/>
        </w:rPr>
        <w:t xml:space="preserve">Family </w:t>
      </w:r>
      <w:r>
        <w:rPr>
          <w:i/>
          <w:color w:val="231F20"/>
          <w:sz w:val="20"/>
        </w:rPr>
        <w:t xml:space="preserve">Violence </w:t>
      </w:r>
      <w:r>
        <w:rPr>
          <w:i/>
          <w:color w:val="231F20"/>
          <w:spacing w:val="-3"/>
          <w:sz w:val="20"/>
        </w:rPr>
        <w:t xml:space="preserve">Protection </w:t>
      </w:r>
      <w:r>
        <w:rPr>
          <w:i/>
          <w:color w:val="231F20"/>
          <w:sz w:val="20"/>
        </w:rPr>
        <w:t>Act</w:t>
      </w:r>
      <w:r>
        <w:rPr>
          <w:i/>
          <w:color w:val="231F20"/>
          <w:spacing w:val="-10"/>
          <w:sz w:val="20"/>
        </w:rPr>
        <w:t xml:space="preserve"> </w:t>
      </w:r>
      <w:r>
        <w:rPr>
          <w:i/>
          <w:color w:val="231F20"/>
          <w:sz w:val="20"/>
        </w:rPr>
        <w:t>2008</w:t>
      </w:r>
    </w:p>
    <w:p w14:paraId="3D6C0B2E" w14:textId="77777777" w:rsidR="00894070" w:rsidRDefault="009B7AFD">
      <w:pPr>
        <w:pStyle w:val="ListParagraph"/>
        <w:numPr>
          <w:ilvl w:val="1"/>
          <w:numId w:val="193"/>
        </w:numPr>
        <w:tabs>
          <w:tab w:val="left" w:pos="1698"/>
          <w:tab w:val="left" w:pos="1699"/>
        </w:tabs>
        <w:spacing w:before="90" w:line="206" w:lineRule="auto"/>
        <w:ind w:right="1703" w:hanging="340"/>
        <w:rPr>
          <w:sz w:val="20"/>
        </w:rPr>
      </w:pPr>
      <w:r>
        <w:rPr>
          <w:color w:val="231F20"/>
          <w:spacing w:val="-3"/>
          <w:sz w:val="20"/>
        </w:rPr>
        <w:t>how</w:t>
      </w:r>
      <w:r>
        <w:rPr>
          <w:color w:val="231F20"/>
          <w:spacing w:val="-9"/>
          <w:sz w:val="20"/>
        </w:rPr>
        <w:t xml:space="preserve"> </w:t>
      </w:r>
      <w:r>
        <w:rPr>
          <w:color w:val="231F20"/>
          <w:sz w:val="20"/>
        </w:rPr>
        <w:t>breaches</w:t>
      </w:r>
      <w:r>
        <w:rPr>
          <w:color w:val="231F20"/>
          <w:spacing w:val="-8"/>
          <w:sz w:val="20"/>
        </w:rPr>
        <w:t xml:space="preserve"> </w:t>
      </w:r>
      <w:r>
        <w:rPr>
          <w:color w:val="231F20"/>
          <w:sz w:val="20"/>
        </w:rPr>
        <w:t>of</w:t>
      </w:r>
      <w:r>
        <w:rPr>
          <w:color w:val="231F20"/>
          <w:spacing w:val="-8"/>
          <w:sz w:val="20"/>
        </w:rPr>
        <w:t xml:space="preserve"> </w:t>
      </w:r>
      <w:r>
        <w:rPr>
          <w:color w:val="231F20"/>
          <w:sz w:val="20"/>
        </w:rPr>
        <w:t>personal</w:t>
      </w:r>
      <w:r>
        <w:rPr>
          <w:color w:val="231F20"/>
          <w:spacing w:val="-8"/>
          <w:sz w:val="20"/>
        </w:rPr>
        <w:t xml:space="preserve"> </w:t>
      </w:r>
      <w:r>
        <w:rPr>
          <w:color w:val="231F20"/>
          <w:sz w:val="20"/>
        </w:rPr>
        <w:t>safety</w:t>
      </w:r>
      <w:r>
        <w:rPr>
          <w:color w:val="231F20"/>
          <w:spacing w:val="-9"/>
          <w:sz w:val="20"/>
        </w:rPr>
        <w:t xml:space="preserve"> </w:t>
      </w:r>
      <w:r>
        <w:rPr>
          <w:color w:val="231F20"/>
          <w:spacing w:val="-2"/>
          <w:sz w:val="20"/>
        </w:rPr>
        <w:t>intervention</w:t>
      </w:r>
      <w:r>
        <w:rPr>
          <w:color w:val="231F20"/>
          <w:spacing w:val="-8"/>
          <w:sz w:val="20"/>
        </w:rPr>
        <w:t xml:space="preserve"> </w:t>
      </w:r>
      <w:r>
        <w:rPr>
          <w:color w:val="231F20"/>
          <w:sz w:val="20"/>
        </w:rPr>
        <w:t>orders</w:t>
      </w:r>
      <w:r>
        <w:rPr>
          <w:color w:val="231F20"/>
          <w:spacing w:val="-8"/>
          <w:sz w:val="20"/>
        </w:rPr>
        <w:t xml:space="preserve"> </w:t>
      </w:r>
      <w:r>
        <w:rPr>
          <w:color w:val="231F20"/>
          <w:spacing w:val="-3"/>
          <w:sz w:val="20"/>
        </w:rPr>
        <w:t>are</w:t>
      </w:r>
      <w:r>
        <w:rPr>
          <w:color w:val="231F20"/>
          <w:spacing w:val="-8"/>
          <w:sz w:val="20"/>
        </w:rPr>
        <w:t xml:space="preserve"> </w:t>
      </w:r>
      <w:r>
        <w:rPr>
          <w:color w:val="231F20"/>
          <w:spacing w:val="-3"/>
          <w:sz w:val="20"/>
        </w:rPr>
        <w:t>treated</w:t>
      </w:r>
      <w:r>
        <w:rPr>
          <w:color w:val="231F20"/>
          <w:spacing w:val="-8"/>
          <w:sz w:val="20"/>
        </w:rPr>
        <w:t xml:space="preserve"> </w:t>
      </w:r>
      <w:r>
        <w:rPr>
          <w:color w:val="231F20"/>
          <w:sz w:val="20"/>
        </w:rPr>
        <w:t>under</w:t>
      </w:r>
      <w:r>
        <w:rPr>
          <w:color w:val="231F20"/>
          <w:spacing w:val="-9"/>
          <w:sz w:val="20"/>
        </w:rPr>
        <w:t xml:space="preserve"> </w:t>
      </w:r>
      <w:r>
        <w:rPr>
          <w:color w:val="231F20"/>
          <w:sz w:val="20"/>
        </w:rPr>
        <w:t>the</w:t>
      </w:r>
      <w:r>
        <w:rPr>
          <w:color w:val="231F20"/>
          <w:spacing w:val="-8"/>
          <w:sz w:val="20"/>
        </w:rPr>
        <w:t xml:space="preserve"> </w:t>
      </w:r>
      <w:r>
        <w:rPr>
          <w:color w:val="231F20"/>
          <w:spacing w:val="-3"/>
          <w:sz w:val="20"/>
        </w:rPr>
        <w:t xml:space="preserve">relevant </w:t>
      </w:r>
      <w:r>
        <w:rPr>
          <w:color w:val="231F20"/>
          <w:sz w:val="20"/>
        </w:rPr>
        <w:t>legislation</w:t>
      </w:r>
      <w:r>
        <w:rPr>
          <w:color w:val="231F20"/>
          <w:spacing w:val="-9"/>
          <w:sz w:val="20"/>
        </w:rPr>
        <w:t xml:space="preserve"> </w:t>
      </w:r>
      <w:r>
        <w:rPr>
          <w:color w:val="231F20"/>
          <w:sz w:val="20"/>
        </w:rPr>
        <w:t>and</w:t>
      </w:r>
      <w:r>
        <w:rPr>
          <w:color w:val="231F20"/>
          <w:spacing w:val="-8"/>
          <w:sz w:val="20"/>
        </w:rPr>
        <w:t xml:space="preserve"> </w:t>
      </w:r>
      <w:r>
        <w:rPr>
          <w:color w:val="231F20"/>
          <w:sz w:val="20"/>
        </w:rPr>
        <w:t>responded</w:t>
      </w:r>
      <w:r>
        <w:rPr>
          <w:color w:val="231F20"/>
          <w:spacing w:val="-8"/>
          <w:sz w:val="20"/>
        </w:rPr>
        <w:t xml:space="preserve"> </w:t>
      </w:r>
      <w:r>
        <w:rPr>
          <w:color w:val="231F20"/>
          <w:sz w:val="20"/>
        </w:rPr>
        <w:t>to</w:t>
      </w:r>
      <w:r>
        <w:rPr>
          <w:color w:val="231F20"/>
          <w:spacing w:val="-8"/>
          <w:sz w:val="20"/>
        </w:rPr>
        <w:t xml:space="preserve"> </w:t>
      </w:r>
      <w:r>
        <w:rPr>
          <w:color w:val="231F20"/>
          <w:sz w:val="20"/>
        </w:rPr>
        <w:t>within</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context</w:t>
      </w:r>
      <w:r>
        <w:rPr>
          <w:color w:val="231F20"/>
          <w:spacing w:val="-8"/>
          <w:sz w:val="20"/>
        </w:rPr>
        <w:t xml:space="preserve"> </w:t>
      </w:r>
      <w:r>
        <w:rPr>
          <w:color w:val="231F20"/>
          <w:sz w:val="20"/>
        </w:rPr>
        <w:t>of</w:t>
      </w:r>
      <w:r>
        <w:rPr>
          <w:color w:val="231F20"/>
          <w:spacing w:val="-8"/>
          <w:sz w:val="20"/>
        </w:rPr>
        <w:t xml:space="preserve"> </w:t>
      </w:r>
      <w:r>
        <w:rPr>
          <w:color w:val="231F20"/>
          <w:sz w:val="20"/>
        </w:rPr>
        <w:t>those</w:t>
      </w:r>
      <w:r>
        <w:rPr>
          <w:color w:val="231F20"/>
          <w:spacing w:val="-8"/>
          <w:sz w:val="20"/>
        </w:rPr>
        <w:t xml:space="preserve"> </w:t>
      </w:r>
      <w:r>
        <w:rPr>
          <w:color w:val="231F20"/>
          <w:sz w:val="20"/>
        </w:rPr>
        <w:t>statutory</w:t>
      </w:r>
      <w:r>
        <w:rPr>
          <w:color w:val="231F20"/>
          <w:spacing w:val="-8"/>
          <w:sz w:val="20"/>
        </w:rPr>
        <w:t xml:space="preserve"> </w:t>
      </w:r>
      <w:r>
        <w:rPr>
          <w:color w:val="231F20"/>
          <w:sz w:val="20"/>
        </w:rPr>
        <w:t>frameworks</w:t>
      </w:r>
    </w:p>
    <w:p w14:paraId="74F5C8C9" w14:textId="77777777" w:rsidR="00894070" w:rsidRDefault="00894070">
      <w:pPr>
        <w:pStyle w:val="BodyText"/>
      </w:pPr>
    </w:p>
    <w:p w14:paraId="1424C880" w14:textId="77777777" w:rsidR="00894070" w:rsidRDefault="00894070">
      <w:pPr>
        <w:pStyle w:val="BodyText"/>
      </w:pPr>
    </w:p>
    <w:p w14:paraId="622C852E" w14:textId="77777777" w:rsidR="00894070" w:rsidRDefault="00894070">
      <w:pPr>
        <w:pStyle w:val="BodyText"/>
        <w:spacing w:before="4"/>
        <w:rPr>
          <w:sz w:val="18"/>
        </w:rPr>
      </w:pPr>
    </w:p>
    <w:p w14:paraId="60FE15C4" w14:textId="77777777" w:rsidR="00894070" w:rsidRDefault="009B7AFD">
      <w:pPr>
        <w:pStyle w:val="Heading8"/>
        <w:spacing w:before="48"/>
        <w:ind w:left="140"/>
      </w:pPr>
      <w:r>
        <w:rPr>
          <w:color w:val="EA5B50"/>
        </w:rPr>
        <w:t>x</w:t>
      </w:r>
    </w:p>
    <w:p w14:paraId="0E95FB2A" w14:textId="77777777" w:rsidR="00894070" w:rsidRDefault="00894070">
      <w:pPr>
        <w:sectPr w:rsidR="00894070">
          <w:pgSz w:w="11910" w:h="16840"/>
          <w:pgMar w:top="860" w:right="420" w:bottom="280" w:left="580" w:header="567" w:footer="0" w:gutter="0"/>
          <w:cols w:space="720"/>
        </w:sectPr>
      </w:pPr>
    </w:p>
    <w:p w14:paraId="2AD13082" w14:textId="77777777" w:rsidR="00894070" w:rsidRDefault="00894070">
      <w:pPr>
        <w:pStyle w:val="BodyText"/>
        <w:rPr>
          <w:b/>
        </w:rPr>
      </w:pPr>
    </w:p>
    <w:p w14:paraId="363EB22F" w14:textId="77777777" w:rsidR="00894070" w:rsidRDefault="00894070">
      <w:pPr>
        <w:pStyle w:val="BodyText"/>
        <w:rPr>
          <w:b/>
        </w:rPr>
      </w:pPr>
    </w:p>
    <w:p w14:paraId="1E468F71" w14:textId="77777777" w:rsidR="00894070" w:rsidRDefault="00894070">
      <w:pPr>
        <w:pStyle w:val="BodyText"/>
        <w:rPr>
          <w:b/>
        </w:rPr>
      </w:pPr>
    </w:p>
    <w:p w14:paraId="13F997C7" w14:textId="77777777" w:rsidR="00894070" w:rsidRDefault="00894070">
      <w:pPr>
        <w:pStyle w:val="BodyText"/>
        <w:spacing w:before="8"/>
        <w:rPr>
          <w:b/>
          <w:sz w:val="13"/>
        </w:rPr>
      </w:pPr>
    </w:p>
    <w:p w14:paraId="694069D5" w14:textId="77777777" w:rsidR="00894070" w:rsidRDefault="009B7AFD">
      <w:pPr>
        <w:pStyle w:val="ListParagraph"/>
        <w:numPr>
          <w:ilvl w:val="1"/>
          <w:numId w:val="193"/>
        </w:numPr>
        <w:tabs>
          <w:tab w:val="left" w:pos="1701"/>
          <w:tab w:val="left" w:pos="1702"/>
        </w:tabs>
        <w:spacing w:before="90" w:line="206" w:lineRule="auto"/>
        <w:ind w:left="1701" w:right="1283" w:hanging="340"/>
        <w:rPr>
          <w:sz w:val="20"/>
        </w:rPr>
      </w:pPr>
      <w:r>
        <w:rPr>
          <w:color w:val="231F20"/>
          <w:sz w:val="20"/>
        </w:rPr>
        <w:t xml:space="preserve">the existing criminal offences applying to stalking, </w:t>
      </w:r>
      <w:proofErr w:type="gramStart"/>
      <w:r>
        <w:rPr>
          <w:color w:val="231F20"/>
          <w:sz w:val="20"/>
        </w:rPr>
        <w:t>harassment</w:t>
      </w:r>
      <w:proofErr w:type="gramEnd"/>
      <w:r>
        <w:rPr>
          <w:color w:val="231F20"/>
          <w:sz w:val="20"/>
        </w:rPr>
        <w:t xml:space="preserve"> and similar conduct, including</w:t>
      </w:r>
      <w:r>
        <w:rPr>
          <w:color w:val="231F20"/>
          <w:spacing w:val="-14"/>
          <w:sz w:val="20"/>
        </w:rPr>
        <w:t xml:space="preserve"> </w:t>
      </w:r>
      <w:r>
        <w:rPr>
          <w:color w:val="231F20"/>
          <w:sz w:val="20"/>
        </w:rPr>
        <w:t>consideration</w:t>
      </w:r>
      <w:r>
        <w:rPr>
          <w:color w:val="231F20"/>
          <w:spacing w:val="-14"/>
          <w:sz w:val="20"/>
        </w:rPr>
        <w:t xml:space="preserve"> </w:t>
      </w:r>
      <w:r>
        <w:rPr>
          <w:color w:val="231F20"/>
          <w:sz w:val="20"/>
        </w:rPr>
        <w:t>of</w:t>
      </w:r>
      <w:r>
        <w:rPr>
          <w:color w:val="231F20"/>
          <w:spacing w:val="-13"/>
          <w:sz w:val="20"/>
        </w:rPr>
        <w:t xml:space="preserve"> </w:t>
      </w:r>
      <w:r>
        <w:rPr>
          <w:color w:val="231F20"/>
          <w:sz w:val="20"/>
        </w:rPr>
        <w:t>the</w:t>
      </w:r>
      <w:r>
        <w:rPr>
          <w:color w:val="231F20"/>
          <w:spacing w:val="-14"/>
          <w:sz w:val="20"/>
        </w:rPr>
        <w:t xml:space="preserve"> </w:t>
      </w:r>
      <w:r>
        <w:rPr>
          <w:color w:val="231F20"/>
          <w:sz w:val="20"/>
        </w:rPr>
        <w:t>scope,</w:t>
      </w:r>
      <w:r>
        <w:rPr>
          <w:color w:val="231F20"/>
          <w:spacing w:val="-13"/>
          <w:sz w:val="20"/>
        </w:rPr>
        <w:t xml:space="preserve"> </w:t>
      </w:r>
      <w:r>
        <w:rPr>
          <w:color w:val="231F20"/>
          <w:sz w:val="20"/>
        </w:rPr>
        <w:t>elements</w:t>
      </w:r>
      <w:r>
        <w:rPr>
          <w:color w:val="231F20"/>
          <w:spacing w:val="-14"/>
          <w:sz w:val="20"/>
        </w:rPr>
        <w:t xml:space="preserve"> </w:t>
      </w:r>
      <w:r>
        <w:rPr>
          <w:color w:val="231F20"/>
          <w:sz w:val="20"/>
        </w:rPr>
        <w:t>and</w:t>
      </w:r>
      <w:r>
        <w:rPr>
          <w:color w:val="231F20"/>
          <w:spacing w:val="-13"/>
          <w:sz w:val="20"/>
        </w:rPr>
        <w:t xml:space="preserve"> </w:t>
      </w:r>
      <w:r>
        <w:rPr>
          <w:color w:val="231F20"/>
          <w:sz w:val="20"/>
        </w:rPr>
        <w:t>adequacy</w:t>
      </w:r>
      <w:r>
        <w:rPr>
          <w:color w:val="231F20"/>
          <w:spacing w:val="-14"/>
          <w:sz w:val="20"/>
        </w:rPr>
        <w:t xml:space="preserve"> </w:t>
      </w:r>
      <w:r>
        <w:rPr>
          <w:color w:val="231F20"/>
          <w:sz w:val="20"/>
        </w:rPr>
        <w:t>of</w:t>
      </w:r>
      <w:r>
        <w:rPr>
          <w:color w:val="231F20"/>
          <w:spacing w:val="-13"/>
          <w:sz w:val="20"/>
        </w:rPr>
        <w:t xml:space="preserve"> </w:t>
      </w:r>
      <w:r>
        <w:rPr>
          <w:color w:val="231F20"/>
          <w:sz w:val="20"/>
        </w:rPr>
        <w:t>the</w:t>
      </w:r>
      <w:r>
        <w:rPr>
          <w:color w:val="231F20"/>
          <w:spacing w:val="-14"/>
          <w:sz w:val="20"/>
        </w:rPr>
        <w:t xml:space="preserve"> </w:t>
      </w:r>
      <w:r>
        <w:rPr>
          <w:color w:val="231F20"/>
          <w:sz w:val="20"/>
        </w:rPr>
        <w:t>offence</w:t>
      </w:r>
      <w:r>
        <w:rPr>
          <w:color w:val="231F20"/>
          <w:spacing w:val="-14"/>
          <w:sz w:val="20"/>
        </w:rPr>
        <w:t xml:space="preserve"> </w:t>
      </w:r>
      <w:r>
        <w:rPr>
          <w:color w:val="231F20"/>
          <w:sz w:val="20"/>
        </w:rPr>
        <w:t>of</w:t>
      </w:r>
      <w:r>
        <w:rPr>
          <w:color w:val="231F20"/>
          <w:spacing w:val="-13"/>
          <w:sz w:val="20"/>
        </w:rPr>
        <w:t xml:space="preserve"> </w:t>
      </w:r>
      <w:r>
        <w:rPr>
          <w:color w:val="231F20"/>
          <w:sz w:val="20"/>
        </w:rPr>
        <w:t>stalking in</w:t>
      </w:r>
      <w:r>
        <w:rPr>
          <w:color w:val="231F20"/>
          <w:spacing w:val="-7"/>
          <w:sz w:val="20"/>
        </w:rPr>
        <w:t xml:space="preserve"> </w:t>
      </w:r>
      <w:r>
        <w:rPr>
          <w:color w:val="231F20"/>
          <w:sz w:val="20"/>
        </w:rPr>
        <w:t>the</w:t>
      </w:r>
      <w:r>
        <w:rPr>
          <w:color w:val="231F20"/>
          <w:spacing w:val="-6"/>
          <w:sz w:val="20"/>
        </w:rPr>
        <w:t xml:space="preserve"> </w:t>
      </w:r>
      <w:r>
        <w:rPr>
          <w:i/>
          <w:color w:val="231F20"/>
          <w:sz w:val="20"/>
        </w:rPr>
        <w:t>Crimes</w:t>
      </w:r>
      <w:r>
        <w:rPr>
          <w:i/>
          <w:color w:val="231F20"/>
          <w:spacing w:val="-6"/>
          <w:sz w:val="20"/>
        </w:rPr>
        <w:t xml:space="preserve"> </w:t>
      </w:r>
      <w:r>
        <w:rPr>
          <w:i/>
          <w:color w:val="231F20"/>
          <w:sz w:val="20"/>
        </w:rPr>
        <w:t>Act</w:t>
      </w:r>
      <w:r>
        <w:rPr>
          <w:i/>
          <w:color w:val="231F20"/>
          <w:spacing w:val="-6"/>
          <w:sz w:val="20"/>
        </w:rPr>
        <w:t xml:space="preserve"> </w:t>
      </w:r>
      <w:r>
        <w:rPr>
          <w:i/>
          <w:color w:val="231F20"/>
          <w:sz w:val="20"/>
        </w:rPr>
        <w:t>1958</w:t>
      </w:r>
      <w:r>
        <w:rPr>
          <w:i/>
          <w:color w:val="231F20"/>
          <w:spacing w:val="-5"/>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z w:val="20"/>
        </w:rPr>
        <w:t>evidence</w:t>
      </w:r>
      <w:r>
        <w:rPr>
          <w:color w:val="231F20"/>
          <w:spacing w:val="-6"/>
          <w:sz w:val="20"/>
        </w:rPr>
        <w:t xml:space="preserve"> </w:t>
      </w:r>
      <w:r>
        <w:rPr>
          <w:color w:val="231F20"/>
          <w:spacing w:val="-3"/>
          <w:sz w:val="20"/>
        </w:rPr>
        <w:t>required</w:t>
      </w:r>
      <w:r>
        <w:rPr>
          <w:color w:val="231F20"/>
          <w:spacing w:val="-6"/>
          <w:sz w:val="20"/>
        </w:rPr>
        <w:t xml:space="preserve"> </w:t>
      </w:r>
      <w:r>
        <w:rPr>
          <w:color w:val="231F20"/>
          <w:sz w:val="20"/>
        </w:rPr>
        <w:t>to</w:t>
      </w:r>
      <w:r>
        <w:rPr>
          <w:color w:val="231F20"/>
          <w:spacing w:val="-6"/>
          <w:sz w:val="20"/>
        </w:rPr>
        <w:t xml:space="preserve"> </w:t>
      </w:r>
      <w:r>
        <w:rPr>
          <w:color w:val="231F20"/>
          <w:sz w:val="20"/>
        </w:rPr>
        <w:t>establish</w:t>
      </w:r>
      <w:r>
        <w:rPr>
          <w:color w:val="231F20"/>
          <w:spacing w:val="-6"/>
          <w:sz w:val="20"/>
        </w:rPr>
        <w:t xml:space="preserve"> </w:t>
      </w:r>
      <w:r>
        <w:rPr>
          <w:color w:val="231F20"/>
          <w:sz w:val="20"/>
        </w:rPr>
        <w:t>the</w:t>
      </w:r>
      <w:r>
        <w:rPr>
          <w:color w:val="231F20"/>
          <w:spacing w:val="-6"/>
          <w:sz w:val="20"/>
        </w:rPr>
        <w:t xml:space="preserve"> </w:t>
      </w:r>
      <w:r>
        <w:rPr>
          <w:color w:val="231F20"/>
          <w:sz w:val="20"/>
        </w:rPr>
        <w:t>offence</w:t>
      </w:r>
    </w:p>
    <w:p w14:paraId="67290796" w14:textId="77777777" w:rsidR="00894070" w:rsidRDefault="009B7AFD">
      <w:pPr>
        <w:pStyle w:val="ListParagraph"/>
        <w:numPr>
          <w:ilvl w:val="1"/>
          <w:numId w:val="193"/>
        </w:numPr>
        <w:tabs>
          <w:tab w:val="left" w:pos="1701"/>
          <w:tab w:val="left" w:pos="1702"/>
        </w:tabs>
        <w:spacing w:before="57" w:line="259" w:lineRule="exact"/>
        <w:ind w:left="1701" w:hanging="340"/>
        <w:rPr>
          <w:sz w:val="20"/>
        </w:rPr>
      </w:pPr>
      <w:r>
        <w:rPr>
          <w:color w:val="231F20"/>
          <w:spacing w:val="-3"/>
          <w:sz w:val="20"/>
        </w:rPr>
        <w:t>how</w:t>
      </w:r>
      <w:r>
        <w:rPr>
          <w:color w:val="231F20"/>
          <w:spacing w:val="-6"/>
          <w:sz w:val="20"/>
        </w:rPr>
        <w:t xml:space="preserve"> </w:t>
      </w:r>
      <w:r>
        <w:rPr>
          <w:color w:val="231F20"/>
          <w:sz w:val="20"/>
        </w:rPr>
        <w:t>the</w:t>
      </w:r>
      <w:r>
        <w:rPr>
          <w:color w:val="231F20"/>
          <w:spacing w:val="-5"/>
          <w:sz w:val="20"/>
        </w:rPr>
        <w:t xml:space="preserve"> </w:t>
      </w:r>
      <w:r>
        <w:rPr>
          <w:color w:val="231F20"/>
          <w:sz w:val="20"/>
        </w:rPr>
        <w:t>law</w:t>
      </w:r>
      <w:r>
        <w:rPr>
          <w:color w:val="231F20"/>
          <w:spacing w:val="-5"/>
          <w:sz w:val="20"/>
        </w:rPr>
        <w:t xml:space="preserve"> </w:t>
      </w:r>
      <w:r>
        <w:rPr>
          <w:color w:val="231F20"/>
          <w:sz w:val="20"/>
        </w:rPr>
        <w:t>could</w:t>
      </w:r>
      <w:r>
        <w:rPr>
          <w:color w:val="231F20"/>
          <w:spacing w:val="-5"/>
          <w:sz w:val="20"/>
        </w:rPr>
        <w:t xml:space="preserve"> </w:t>
      </w:r>
      <w:r>
        <w:rPr>
          <w:color w:val="231F20"/>
          <w:sz w:val="20"/>
        </w:rPr>
        <w:t>be</w:t>
      </w:r>
      <w:r>
        <w:rPr>
          <w:color w:val="231F20"/>
          <w:spacing w:val="-6"/>
          <w:sz w:val="20"/>
        </w:rPr>
        <w:t xml:space="preserve"> </w:t>
      </w:r>
      <w:r>
        <w:rPr>
          <w:color w:val="231F20"/>
          <w:sz w:val="20"/>
        </w:rPr>
        <w:t>strengthened</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promote</w:t>
      </w:r>
      <w:r>
        <w:rPr>
          <w:color w:val="231F20"/>
          <w:spacing w:val="-5"/>
          <w:sz w:val="20"/>
        </w:rPr>
        <w:t xml:space="preserve"> </w:t>
      </w:r>
      <w:r>
        <w:rPr>
          <w:color w:val="231F20"/>
          <w:sz w:val="20"/>
        </w:rPr>
        <w:t>and</w:t>
      </w:r>
      <w:r>
        <w:rPr>
          <w:color w:val="231F20"/>
          <w:spacing w:val="-5"/>
          <w:sz w:val="20"/>
        </w:rPr>
        <w:t xml:space="preserve"> </w:t>
      </w:r>
      <w:r>
        <w:rPr>
          <w:color w:val="231F20"/>
          <w:sz w:val="20"/>
        </w:rPr>
        <w:t>enhance</w:t>
      </w:r>
      <w:r>
        <w:rPr>
          <w:color w:val="231F20"/>
          <w:spacing w:val="-6"/>
          <w:sz w:val="20"/>
        </w:rPr>
        <w:t xml:space="preserve"> </w:t>
      </w:r>
      <w:r>
        <w:rPr>
          <w:color w:val="231F20"/>
          <w:sz w:val="20"/>
        </w:rPr>
        <w:t>victim</w:t>
      </w:r>
      <w:r>
        <w:rPr>
          <w:color w:val="231F20"/>
          <w:spacing w:val="-5"/>
          <w:sz w:val="20"/>
        </w:rPr>
        <w:t xml:space="preserve"> </w:t>
      </w:r>
      <w:r>
        <w:rPr>
          <w:color w:val="231F20"/>
          <w:sz w:val="20"/>
        </w:rPr>
        <w:t>safety</w:t>
      </w:r>
      <w:r>
        <w:rPr>
          <w:color w:val="231F20"/>
          <w:spacing w:val="-5"/>
          <w:sz w:val="20"/>
        </w:rPr>
        <w:t xml:space="preserve"> </w:t>
      </w:r>
      <w:r>
        <w:rPr>
          <w:color w:val="231F20"/>
          <w:sz w:val="20"/>
        </w:rPr>
        <w:t>and</w:t>
      </w:r>
    </w:p>
    <w:p w14:paraId="2C150552" w14:textId="77777777" w:rsidR="00894070" w:rsidRDefault="009B7AFD">
      <w:pPr>
        <w:pStyle w:val="BodyText"/>
        <w:spacing w:line="259" w:lineRule="exact"/>
        <w:ind w:left="1701"/>
      </w:pPr>
      <w:r>
        <w:rPr>
          <w:color w:val="231F20"/>
        </w:rPr>
        <w:t>wellbeing</w:t>
      </w:r>
    </w:p>
    <w:p w14:paraId="3D79EFFC" w14:textId="77777777" w:rsidR="00894070" w:rsidRDefault="009B7AFD">
      <w:pPr>
        <w:pStyle w:val="ListParagraph"/>
        <w:numPr>
          <w:ilvl w:val="1"/>
          <w:numId w:val="193"/>
        </w:numPr>
        <w:tabs>
          <w:tab w:val="left" w:pos="1701"/>
          <w:tab w:val="left" w:pos="1702"/>
        </w:tabs>
        <w:spacing w:before="47"/>
        <w:ind w:left="1701" w:hanging="340"/>
        <w:rPr>
          <w:sz w:val="20"/>
        </w:rPr>
      </w:pPr>
      <w:r>
        <w:rPr>
          <w:color w:val="231F20"/>
          <w:sz w:val="20"/>
        </w:rPr>
        <w:t>the</w:t>
      </w:r>
      <w:r>
        <w:rPr>
          <w:color w:val="231F20"/>
          <w:spacing w:val="-6"/>
          <w:sz w:val="20"/>
        </w:rPr>
        <w:t xml:space="preserve"> </w:t>
      </w:r>
      <w:r>
        <w:rPr>
          <w:color w:val="231F20"/>
          <w:sz w:val="20"/>
        </w:rPr>
        <w:t>interaction</w:t>
      </w:r>
      <w:r>
        <w:rPr>
          <w:color w:val="231F20"/>
          <w:spacing w:val="-5"/>
          <w:sz w:val="20"/>
        </w:rPr>
        <w:t xml:space="preserve"> </w:t>
      </w:r>
      <w:r>
        <w:rPr>
          <w:color w:val="231F20"/>
          <w:sz w:val="20"/>
        </w:rPr>
        <w:t>between</w:t>
      </w:r>
      <w:r>
        <w:rPr>
          <w:color w:val="231F20"/>
          <w:spacing w:val="-5"/>
          <w:sz w:val="20"/>
        </w:rPr>
        <w:t xml:space="preserve"> </w:t>
      </w:r>
      <w:r>
        <w:rPr>
          <w:color w:val="231F20"/>
          <w:sz w:val="20"/>
        </w:rPr>
        <w:t>existing</w:t>
      </w:r>
      <w:r>
        <w:rPr>
          <w:color w:val="231F20"/>
          <w:spacing w:val="-5"/>
          <w:sz w:val="20"/>
        </w:rPr>
        <w:t xml:space="preserve"> </w:t>
      </w:r>
      <w:r>
        <w:rPr>
          <w:color w:val="231F20"/>
          <w:spacing w:val="-3"/>
          <w:sz w:val="20"/>
        </w:rPr>
        <w:t>laws</w:t>
      </w:r>
      <w:r>
        <w:rPr>
          <w:color w:val="231F20"/>
          <w:spacing w:val="-6"/>
          <w:sz w:val="20"/>
        </w:rPr>
        <w:t xml:space="preserve"> </w:t>
      </w:r>
      <w:r>
        <w:rPr>
          <w:color w:val="231F20"/>
          <w:sz w:val="20"/>
        </w:rPr>
        <w:t>where</w:t>
      </w:r>
      <w:r>
        <w:rPr>
          <w:color w:val="231F20"/>
          <w:spacing w:val="-5"/>
          <w:sz w:val="20"/>
        </w:rPr>
        <w:t xml:space="preserve"> </w:t>
      </w:r>
      <w:r>
        <w:rPr>
          <w:color w:val="231F20"/>
          <w:sz w:val="20"/>
        </w:rPr>
        <w:t>the</w:t>
      </w:r>
      <w:r>
        <w:rPr>
          <w:color w:val="231F20"/>
          <w:spacing w:val="-5"/>
          <w:sz w:val="20"/>
        </w:rPr>
        <w:t xml:space="preserve"> </w:t>
      </w:r>
      <w:r>
        <w:rPr>
          <w:color w:val="231F20"/>
          <w:sz w:val="20"/>
        </w:rPr>
        <w:t>conduct</w:t>
      </w:r>
      <w:r>
        <w:rPr>
          <w:color w:val="231F20"/>
          <w:spacing w:val="-5"/>
          <w:sz w:val="20"/>
        </w:rPr>
        <w:t xml:space="preserve"> </w:t>
      </w:r>
      <w:r>
        <w:rPr>
          <w:color w:val="231F20"/>
          <w:sz w:val="20"/>
        </w:rPr>
        <w:t>occurs</w:t>
      </w:r>
      <w:r>
        <w:rPr>
          <w:color w:val="231F20"/>
          <w:spacing w:val="-6"/>
          <w:sz w:val="20"/>
        </w:rPr>
        <w:t xml:space="preserve"> </w:t>
      </w:r>
      <w:r>
        <w:rPr>
          <w:color w:val="231F20"/>
          <w:sz w:val="20"/>
        </w:rPr>
        <w:t>online</w:t>
      </w:r>
    </w:p>
    <w:p w14:paraId="09F85E2F" w14:textId="77777777" w:rsidR="00894070" w:rsidRDefault="009B7AFD">
      <w:pPr>
        <w:pStyle w:val="ListParagraph"/>
        <w:numPr>
          <w:ilvl w:val="1"/>
          <w:numId w:val="193"/>
        </w:numPr>
        <w:tabs>
          <w:tab w:val="left" w:pos="1701"/>
          <w:tab w:val="left" w:pos="1702"/>
        </w:tabs>
        <w:spacing w:before="48"/>
        <w:ind w:left="1701" w:hanging="340"/>
        <w:rPr>
          <w:sz w:val="20"/>
        </w:rPr>
      </w:pPr>
      <w:r>
        <w:rPr>
          <w:color w:val="231F20"/>
          <w:sz w:val="20"/>
        </w:rPr>
        <w:t xml:space="preserve">ancillary </w:t>
      </w:r>
      <w:r>
        <w:rPr>
          <w:color w:val="231F20"/>
          <w:spacing w:val="-3"/>
          <w:sz w:val="20"/>
        </w:rPr>
        <w:t xml:space="preserve">laws </w:t>
      </w:r>
      <w:r>
        <w:rPr>
          <w:color w:val="231F20"/>
          <w:sz w:val="20"/>
        </w:rPr>
        <w:t>of evidence and</w:t>
      </w:r>
      <w:r>
        <w:rPr>
          <w:color w:val="231F20"/>
          <w:spacing w:val="-18"/>
          <w:sz w:val="20"/>
        </w:rPr>
        <w:t xml:space="preserve"> </w:t>
      </w:r>
      <w:r>
        <w:rPr>
          <w:color w:val="231F20"/>
          <w:spacing w:val="-3"/>
          <w:sz w:val="20"/>
        </w:rPr>
        <w:t>procedure</w:t>
      </w:r>
    </w:p>
    <w:p w14:paraId="1841D711" w14:textId="77777777" w:rsidR="00894070" w:rsidRDefault="009B7AFD">
      <w:pPr>
        <w:pStyle w:val="ListParagraph"/>
        <w:numPr>
          <w:ilvl w:val="0"/>
          <w:numId w:val="193"/>
        </w:numPr>
        <w:tabs>
          <w:tab w:val="left" w:pos="1361"/>
          <w:tab w:val="left" w:pos="1362"/>
        </w:tabs>
        <w:spacing w:before="47"/>
        <w:ind w:hanging="340"/>
        <w:rPr>
          <w:sz w:val="20"/>
        </w:rPr>
      </w:pPr>
      <w:r>
        <w:rPr>
          <w:color w:val="231F20"/>
          <w:sz w:val="20"/>
        </w:rPr>
        <w:t xml:space="preserve">barriers to reporting </w:t>
      </w:r>
      <w:r>
        <w:rPr>
          <w:color w:val="231F20"/>
          <w:spacing w:val="-3"/>
          <w:sz w:val="20"/>
        </w:rPr>
        <w:t xml:space="preserve">for </w:t>
      </w:r>
      <w:r>
        <w:rPr>
          <w:color w:val="231F20"/>
          <w:sz w:val="20"/>
        </w:rPr>
        <w:t>victims of</w:t>
      </w:r>
      <w:r>
        <w:rPr>
          <w:color w:val="231F20"/>
          <w:spacing w:val="-24"/>
          <w:sz w:val="20"/>
        </w:rPr>
        <w:t xml:space="preserve"> </w:t>
      </w:r>
      <w:r>
        <w:rPr>
          <w:color w:val="231F20"/>
          <w:sz w:val="20"/>
        </w:rPr>
        <w:t>stalking</w:t>
      </w:r>
    </w:p>
    <w:p w14:paraId="30E45E2D" w14:textId="77777777" w:rsidR="00894070" w:rsidRDefault="009B7AFD">
      <w:pPr>
        <w:pStyle w:val="ListParagraph"/>
        <w:numPr>
          <w:ilvl w:val="0"/>
          <w:numId w:val="193"/>
        </w:numPr>
        <w:tabs>
          <w:tab w:val="left" w:pos="1361"/>
          <w:tab w:val="left" w:pos="1362"/>
        </w:tabs>
        <w:spacing w:before="47"/>
        <w:ind w:hanging="340"/>
        <w:rPr>
          <w:sz w:val="20"/>
        </w:rPr>
      </w:pPr>
      <w:r>
        <w:rPr>
          <w:color w:val="231F20"/>
          <w:sz w:val="20"/>
        </w:rPr>
        <w:t>sentencing practices and available sentencing</w:t>
      </w:r>
      <w:r>
        <w:rPr>
          <w:color w:val="231F20"/>
          <w:spacing w:val="-24"/>
          <w:sz w:val="20"/>
        </w:rPr>
        <w:t xml:space="preserve"> </w:t>
      </w:r>
      <w:r>
        <w:rPr>
          <w:color w:val="231F20"/>
          <w:sz w:val="20"/>
        </w:rPr>
        <w:t>options.</w:t>
      </w:r>
    </w:p>
    <w:p w14:paraId="43FDA443" w14:textId="77777777" w:rsidR="00894070" w:rsidRDefault="009B7AFD">
      <w:pPr>
        <w:pStyle w:val="BodyText"/>
        <w:spacing w:before="48"/>
        <w:ind w:left="1021"/>
      </w:pPr>
      <w:r>
        <w:rPr>
          <w:color w:val="231F20"/>
        </w:rPr>
        <w:t>In conducting this review, the Commission should have regard to:</w:t>
      </w:r>
    </w:p>
    <w:p w14:paraId="749375DA" w14:textId="77777777" w:rsidR="00894070" w:rsidRDefault="009B7AFD">
      <w:pPr>
        <w:pStyle w:val="ListParagraph"/>
        <w:numPr>
          <w:ilvl w:val="0"/>
          <w:numId w:val="193"/>
        </w:numPr>
        <w:tabs>
          <w:tab w:val="left" w:pos="1362"/>
        </w:tabs>
        <w:spacing w:before="115" w:line="206" w:lineRule="auto"/>
        <w:ind w:right="1647" w:hanging="340"/>
        <w:jc w:val="both"/>
        <w:rPr>
          <w:sz w:val="20"/>
        </w:rPr>
      </w:pPr>
      <w:r>
        <w:rPr>
          <w:color w:val="231F20"/>
          <w:sz w:val="20"/>
        </w:rPr>
        <w:t>The</w:t>
      </w:r>
      <w:r>
        <w:rPr>
          <w:color w:val="231F20"/>
          <w:spacing w:val="-9"/>
          <w:sz w:val="20"/>
        </w:rPr>
        <w:t xml:space="preserve"> </w:t>
      </w:r>
      <w:r>
        <w:rPr>
          <w:color w:val="231F20"/>
          <w:sz w:val="20"/>
        </w:rPr>
        <w:t>findings</w:t>
      </w:r>
      <w:r>
        <w:rPr>
          <w:color w:val="231F20"/>
          <w:spacing w:val="-9"/>
          <w:sz w:val="20"/>
        </w:rPr>
        <w:t xml:space="preserve"> </w:t>
      </w:r>
      <w:r>
        <w:rPr>
          <w:color w:val="231F20"/>
          <w:sz w:val="20"/>
        </w:rPr>
        <w:t>of</w:t>
      </w:r>
      <w:r>
        <w:rPr>
          <w:color w:val="231F20"/>
          <w:spacing w:val="-8"/>
          <w:sz w:val="20"/>
        </w:rPr>
        <w:t xml:space="preserve"> </w:t>
      </w:r>
      <w:r>
        <w:rPr>
          <w:color w:val="231F20"/>
          <w:sz w:val="20"/>
        </w:rPr>
        <w:t>the</w:t>
      </w:r>
      <w:r>
        <w:rPr>
          <w:color w:val="231F20"/>
          <w:spacing w:val="-9"/>
          <w:sz w:val="20"/>
        </w:rPr>
        <w:t xml:space="preserve"> </w:t>
      </w:r>
      <w:r>
        <w:rPr>
          <w:color w:val="231F20"/>
          <w:spacing w:val="-3"/>
          <w:sz w:val="20"/>
        </w:rPr>
        <w:t>Royal</w:t>
      </w:r>
      <w:r>
        <w:rPr>
          <w:color w:val="231F20"/>
          <w:spacing w:val="-9"/>
          <w:sz w:val="20"/>
        </w:rPr>
        <w:t xml:space="preserve"> </w:t>
      </w:r>
      <w:r>
        <w:rPr>
          <w:color w:val="231F20"/>
          <w:sz w:val="20"/>
        </w:rPr>
        <w:t>Commission</w:t>
      </w:r>
      <w:r>
        <w:rPr>
          <w:color w:val="231F20"/>
          <w:spacing w:val="-8"/>
          <w:sz w:val="20"/>
        </w:rPr>
        <w:t xml:space="preserve"> </w:t>
      </w:r>
      <w:r>
        <w:rPr>
          <w:color w:val="231F20"/>
          <w:spacing w:val="-3"/>
          <w:sz w:val="20"/>
        </w:rPr>
        <w:t>into</w:t>
      </w:r>
      <w:r>
        <w:rPr>
          <w:color w:val="231F20"/>
          <w:spacing w:val="-9"/>
          <w:sz w:val="20"/>
        </w:rPr>
        <w:t xml:space="preserve"> </w:t>
      </w:r>
      <w:r>
        <w:rPr>
          <w:color w:val="231F20"/>
          <w:spacing w:val="-4"/>
          <w:sz w:val="20"/>
        </w:rPr>
        <w:t>Family</w:t>
      </w:r>
      <w:r>
        <w:rPr>
          <w:color w:val="231F20"/>
          <w:spacing w:val="-9"/>
          <w:sz w:val="20"/>
        </w:rPr>
        <w:t xml:space="preserve"> </w:t>
      </w:r>
      <w:r>
        <w:rPr>
          <w:color w:val="231F20"/>
          <w:sz w:val="20"/>
        </w:rPr>
        <w:t>Violence</w:t>
      </w:r>
      <w:r>
        <w:rPr>
          <w:color w:val="231F20"/>
          <w:spacing w:val="-8"/>
          <w:sz w:val="20"/>
        </w:rPr>
        <w:t xml:space="preserve"> </w:t>
      </w:r>
      <w:r>
        <w:rPr>
          <w:color w:val="231F20"/>
          <w:spacing w:val="-3"/>
          <w:sz w:val="20"/>
        </w:rPr>
        <w:t>(2016)</w:t>
      </w:r>
      <w:r>
        <w:rPr>
          <w:color w:val="231F20"/>
          <w:spacing w:val="-9"/>
          <w:sz w:val="20"/>
        </w:rPr>
        <w:t xml:space="preserve"> </w:t>
      </w:r>
      <w:r>
        <w:rPr>
          <w:color w:val="231F20"/>
          <w:sz w:val="20"/>
        </w:rPr>
        <w:t>and</w:t>
      </w:r>
      <w:r>
        <w:rPr>
          <w:color w:val="231F20"/>
          <w:spacing w:val="-8"/>
          <w:sz w:val="20"/>
        </w:rPr>
        <w:t xml:space="preserve"> </w:t>
      </w:r>
      <w:r>
        <w:rPr>
          <w:color w:val="231F20"/>
          <w:sz w:val="20"/>
        </w:rPr>
        <w:t>the</w:t>
      </w:r>
      <w:r>
        <w:rPr>
          <w:color w:val="231F20"/>
          <w:spacing w:val="-9"/>
          <w:sz w:val="20"/>
        </w:rPr>
        <w:t xml:space="preserve"> </w:t>
      </w:r>
      <w:r>
        <w:rPr>
          <w:color w:val="231F20"/>
          <w:sz w:val="20"/>
        </w:rPr>
        <w:t>actions</w:t>
      </w:r>
      <w:r>
        <w:rPr>
          <w:color w:val="231F20"/>
          <w:spacing w:val="-9"/>
          <w:sz w:val="20"/>
        </w:rPr>
        <w:t xml:space="preserve"> </w:t>
      </w:r>
      <w:r>
        <w:rPr>
          <w:color w:val="231F20"/>
          <w:sz w:val="20"/>
        </w:rPr>
        <w:t xml:space="preserve">taken </w:t>
      </w:r>
      <w:r>
        <w:rPr>
          <w:color w:val="231F20"/>
          <w:spacing w:val="-3"/>
          <w:sz w:val="20"/>
        </w:rPr>
        <w:t>by</w:t>
      </w:r>
      <w:r>
        <w:rPr>
          <w:color w:val="231F20"/>
          <w:spacing w:val="-9"/>
          <w:sz w:val="20"/>
        </w:rPr>
        <w:t xml:space="preserve"> </w:t>
      </w:r>
      <w:r>
        <w:rPr>
          <w:color w:val="231F20"/>
          <w:sz w:val="20"/>
        </w:rPr>
        <w:t>the</w:t>
      </w:r>
      <w:r>
        <w:rPr>
          <w:color w:val="231F20"/>
          <w:spacing w:val="-9"/>
          <w:sz w:val="20"/>
        </w:rPr>
        <w:t xml:space="preserve"> </w:t>
      </w:r>
      <w:r>
        <w:rPr>
          <w:color w:val="231F20"/>
          <w:sz w:val="20"/>
        </w:rPr>
        <w:t>Victorian</w:t>
      </w:r>
      <w:r>
        <w:rPr>
          <w:color w:val="231F20"/>
          <w:spacing w:val="-8"/>
          <w:sz w:val="20"/>
        </w:rPr>
        <w:t xml:space="preserve"> </w:t>
      </w:r>
      <w:r>
        <w:rPr>
          <w:color w:val="231F20"/>
          <w:spacing w:val="-3"/>
          <w:sz w:val="20"/>
        </w:rPr>
        <w:t>Government</w:t>
      </w:r>
      <w:r>
        <w:rPr>
          <w:color w:val="231F20"/>
          <w:spacing w:val="-9"/>
          <w:sz w:val="20"/>
        </w:rPr>
        <w:t xml:space="preserve"> </w:t>
      </w:r>
      <w:r>
        <w:rPr>
          <w:color w:val="231F20"/>
          <w:sz w:val="20"/>
        </w:rPr>
        <w:t>and</w:t>
      </w:r>
      <w:r>
        <w:rPr>
          <w:color w:val="231F20"/>
          <w:spacing w:val="-8"/>
          <w:sz w:val="20"/>
        </w:rPr>
        <w:t xml:space="preserve"> </w:t>
      </w:r>
      <w:r>
        <w:rPr>
          <w:color w:val="231F20"/>
          <w:sz w:val="20"/>
        </w:rPr>
        <w:t>justice</w:t>
      </w:r>
      <w:r>
        <w:rPr>
          <w:color w:val="231F20"/>
          <w:spacing w:val="-9"/>
          <w:sz w:val="20"/>
        </w:rPr>
        <w:t xml:space="preserve"> </w:t>
      </w:r>
      <w:r>
        <w:rPr>
          <w:color w:val="231F20"/>
          <w:spacing w:val="-2"/>
          <w:sz w:val="20"/>
        </w:rPr>
        <w:t>system</w:t>
      </w:r>
      <w:r>
        <w:rPr>
          <w:color w:val="231F20"/>
          <w:spacing w:val="-8"/>
          <w:sz w:val="20"/>
        </w:rPr>
        <w:t xml:space="preserve"> </w:t>
      </w:r>
      <w:r>
        <w:rPr>
          <w:color w:val="231F20"/>
          <w:sz w:val="20"/>
        </w:rPr>
        <w:t>in</w:t>
      </w:r>
      <w:r>
        <w:rPr>
          <w:color w:val="231F20"/>
          <w:spacing w:val="-9"/>
          <w:sz w:val="20"/>
        </w:rPr>
        <w:t xml:space="preserve"> </w:t>
      </w:r>
      <w:r>
        <w:rPr>
          <w:color w:val="231F20"/>
          <w:sz w:val="20"/>
        </w:rPr>
        <w:t>response</w:t>
      </w:r>
      <w:r>
        <w:rPr>
          <w:color w:val="231F20"/>
          <w:spacing w:val="-8"/>
          <w:sz w:val="20"/>
        </w:rPr>
        <w:t xml:space="preserve"> </w:t>
      </w:r>
      <w:r>
        <w:rPr>
          <w:color w:val="231F20"/>
          <w:sz w:val="20"/>
        </w:rPr>
        <w:t>to</w:t>
      </w:r>
      <w:r>
        <w:rPr>
          <w:color w:val="231F20"/>
          <w:spacing w:val="-9"/>
          <w:sz w:val="20"/>
        </w:rPr>
        <w:t xml:space="preserve"> </w:t>
      </w:r>
      <w:r>
        <w:rPr>
          <w:color w:val="231F20"/>
          <w:sz w:val="20"/>
        </w:rPr>
        <w:t>the</w:t>
      </w:r>
      <w:r>
        <w:rPr>
          <w:color w:val="231F20"/>
          <w:spacing w:val="-8"/>
          <w:sz w:val="20"/>
        </w:rPr>
        <w:t xml:space="preserve"> </w:t>
      </w:r>
      <w:r>
        <w:rPr>
          <w:color w:val="231F20"/>
          <w:spacing w:val="-3"/>
          <w:sz w:val="20"/>
        </w:rPr>
        <w:t>Royal</w:t>
      </w:r>
      <w:r>
        <w:rPr>
          <w:color w:val="231F20"/>
          <w:spacing w:val="-9"/>
          <w:sz w:val="20"/>
        </w:rPr>
        <w:t xml:space="preserve"> </w:t>
      </w:r>
      <w:r>
        <w:rPr>
          <w:color w:val="231F20"/>
          <w:sz w:val="20"/>
        </w:rPr>
        <w:t>Commission’s recommendations.</w:t>
      </w:r>
    </w:p>
    <w:p w14:paraId="581D3264" w14:textId="77777777" w:rsidR="00894070" w:rsidRDefault="009B7AFD">
      <w:pPr>
        <w:pStyle w:val="ListParagraph"/>
        <w:numPr>
          <w:ilvl w:val="0"/>
          <w:numId w:val="193"/>
        </w:numPr>
        <w:tabs>
          <w:tab w:val="left" w:pos="1361"/>
          <w:tab w:val="left" w:pos="1362"/>
        </w:tabs>
        <w:spacing w:before="56" w:line="280" w:lineRule="auto"/>
        <w:ind w:left="1021" w:right="2594" w:firstLine="0"/>
        <w:rPr>
          <w:sz w:val="20"/>
        </w:rPr>
      </w:pPr>
      <w:r>
        <w:rPr>
          <w:color w:val="231F20"/>
          <w:sz w:val="20"/>
        </w:rPr>
        <w:t>Reports</w:t>
      </w:r>
      <w:r>
        <w:rPr>
          <w:color w:val="231F20"/>
          <w:spacing w:val="-7"/>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Royal</w:t>
      </w:r>
      <w:r>
        <w:rPr>
          <w:color w:val="231F20"/>
          <w:spacing w:val="-6"/>
          <w:sz w:val="20"/>
        </w:rPr>
        <w:t xml:space="preserve"> </w:t>
      </w:r>
      <w:r>
        <w:rPr>
          <w:color w:val="231F20"/>
          <w:sz w:val="20"/>
        </w:rPr>
        <w:t>Commission</w:t>
      </w:r>
      <w:r>
        <w:rPr>
          <w:color w:val="231F20"/>
          <w:spacing w:val="-6"/>
          <w:sz w:val="20"/>
        </w:rPr>
        <w:t xml:space="preserve"> </w:t>
      </w:r>
      <w:r>
        <w:rPr>
          <w:color w:val="231F20"/>
          <w:spacing w:val="-3"/>
          <w:sz w:val="20"/>
        </w:rPr>
        <w:t>into</w:t>
      </w:r>
      <w:r>
        <w:rPr>
          <w:color w:val="231F20"/>
          <w:spacing w:val="-6"/>
          <w:sz w:val="20"/>
        </w:rPr>
        <w:t xml:space="preserve"> </w:t>
      </w:r>
      <w:r>
        <w:rPr>
          <w:color w:val="231F20"/>
          <w:spacing w:val="-3"/>
          <w:sz w:val="20"/>
        </w:rPr>
        <w:t>Victoria’s</w:t>
      </w:r>
      <w:r>
        <w:rPr>
          <w:color w:val="231F20"/>
          <w:spacing w:val="-7"/>
          <w:sz w:val="20"/>
        </w:rPr>
        <w:t xml:space="preserve"> </w:t>
      </w:r>
      <w:r>
        <w:rPr>
          <w:color w:val="231F20"/>
          <w:sz w:val="20"/>
        </w:rPr>
        <w:t>Mental</w:t>
      </w:r>
      <w:r>
        <w:rPr>
          <w:color w:val="231F20"/>
          <w:spacing w:val="-6"/>
          <w:sz w:val="20"/>
        </w:rPr>
        <w:t xml:space="preserve"> </w:t>
      </w:r>
      <w:r>
        <w:rPr>
          <w:color w:val="231F20"/>
          <w:sz w:val="20"/>
        </w:rPr>
        <w:t>Health</w:t>
      </w:r>
      <w:r>
        <w:rPr>
          <w:color w:val="231F20"/>
          <w:spacing w:val="-6"/>
          <w:sz w:val="20"/>
        </w:rPr>
        <w:t xml:space="preserve"> </w:t>
      </w:r>
      <w:r>
        <w:rPr>
          <w:color w:val="231F20"/>
          <w:spacing w:val="-3"/>
          <w:sz w:val="20"/>
        </w:rPr>
        <w:t>System</w:t>
      </w:r>
      <w:r>
        <w:rPr>
          <w:color w:val="231F20"/>
          <w:spacing w:val="-6"/>
          <w:sz w:val="20"/>
        </w:rPr>
        <w:t xml:space="preserve"> </w:t>
      </w:r>
      <w:r>
        <w:rPr>
          <w:color w:val="231F20"/>
          <w:spacing w:val="-3"/>
          <w:sz w:val="20"/>
        </w:rPr>
        <w:t xml:space="preserve">(2019). </w:t>
      </w:r>
      <w:r>
        <w:rPr>
          <w:color w:val="231F20"/>
          <w:sz w:val="20"/>
        </w:rPr>
        <w:t>The VLRC is required</w:t>
      </w:r>
      <w:r>
        <w:rPr>
          <w:color w:val="231F20"/>
          <w:spacing w:val="-9"/>
          <w:sz w:val="20"/>
        </w:rPr>
        <w:t xml:space="preserve"> </w:t>
      </w:r>
      <w:r>
        <w:rPr>
          <w:color w:val="231F20"/>
          <w:sz w:val="20"/>
        </w:rPr>
        <w:t>to:</w:t>
      </w:r>
    </w:p>
    <w:p w14:paraId="73230C74" w14:textId="77777777" w:rsidR="00894070" w:rsidRDefault="009B7AFD">
      <w:pPr>
        <w:pStyle w:val="ListParagraph"/>
        <w:numPr>
          <w:ilvl w:val="0"/>
          <w:numId w:val="193"/>
        </w:numPr>
        <w:tabs>
          <w:tab w:val="left" w:pos="1361"/>
          <w:tab w:val="left" w:pos="1362"/>
        </w:tabs>
        <w:spacing w:before="68" w:line="206" w:lineRule="auto"/>
        <w:ind w:right="1710" w:hanging="340"/>
        <w:rPr>
          <w:sz w:val="20"/>
        </w:rPr>
      </w:pPr>
      <w:r>
        <w:rPr>
          <w:color w:val="231F20"/>
          <w:spacing w:val="-3"/>
          <w:sz w:val="20"/>
        </w:rPr>
        <w:t xml:space="preserve">prepare </w:t>
      </w:r>
      <w:r>
        <w:rPr>
          <w:color w:val="231F20"/>
          <w:sz w:val="20"/>
        </w:rPr>
        <w:t xml:space="preserve">an </w:t>
      </w:r>
      <w:r>
        <w:rPr>
          <w:color w:val="231F20"/>
          <w:spacing w:val="-3"/>
          <w:sz w:val="20"/>
        </w:rPr>
        <w:t xml:space="preserve">interim </w:t>
      </w:r>
      <w:r>
        <w:rPr>
          <w:color w:val="231F20"/>
          <w:sz w:val="20"/>
        </w:rPr>
        <w:t xml:space="preserve">report </w:t>
      </w:r>
      <w:r>
        <w:rPr>
          <w:color w:val="231F20"/>
          <w:spacing w:val="-3"/>
          <w:sz w:val="20"/>
        </w:rPr>
        <w:t xml:space="preserve">by </w:t>
      </w:r>
      <w:r>
        <w:rPr>
          <w:color w:val="231F20"/>
          <w:sz w:val="20"/>
        </w:rPr>
        <w:t xml:space="preserve">31 December 2021, with the </w:t>
      </w:r>
      <w:r>
        <w:rPr>
          <w:color w:val="231F20"/>
          <w:spacing w:val="-3"/>
          <w:sz w:val="20"/>
        </w:rPr>
        <w:t xml:space="preserve">content </w:t>
      </w:r>
      <w:r>
        <w:rPr>
          <w:color w:val="231F20"/>
          <w:sz w:val="20"/>
        </w:rPr>
        <w:t>of such a report to be</w:t>
      </w:r>
      <w:r>
        <w:rPr>
          <w:color w:val="231F20"/>
          <w:spacing w:val="-11"/>
          <w:sz w:val="20"/>
        </w:rPr>
        <w:t xml:space="preserve"> </w:t>
      </w:r>
      <w:r>
        <w:rPr>
          <w:color w:val="231F20"/>
          <w:sz w:val="20"/>
        </w:rPr>
        <w:t>determined</w:t>
      </w:r>
      <w:r>
        <w:rPr>
          <w:color w:val="231F20"/>
          <w:spacing w:val="-11"/>
          <w:sz w:val="20"/>
        </w:rPr>
        <w:t xml:space="preserve"> </w:t>
      </w:r>
      <w:r>
        <w:rPr>
          <w:color w:val="231F20"/>
          <w:spacing w:val="-3"/>
          <w:sz w:val="20"/>
        </w:rPr>
        <w:t>by</w:t>
      </w:r>
      <w:r>
        <w:rPr>
          <w:color w:val="231F20"/>
          <w:spacing w:val="-11"/>
          <w:sz w:val="20"/>
        </w:rPr>
        <w:t xml:space="preserve"> </w:t>
      </w:r>
      <w:r>
        <w:rPr>
          <w:color w:val="231F20"/>
          <w:sz w:val="20"/>
        </w:rPr>
        <w:t>the</w:t>
      </w:r>
      <w:r>
        <w:rPr>
          <w:color w:val="231F20"/>
          <w:spacing w:val="-10"/>
          <w:sz w:val="20"/>
        </w:rPr>
        <w:t xml:space="preserve"> </w:t>
      </w:r>
      <w:r>
        <w:rPr>
          <w:color w:val="231F20"/>
          <w:sz w:val="20"/>
        </w:rPr>
        <w:t>Commission,</w:t>
      </w:r>
      <w:r>
        <w:rPr>
          <w:color w:val="231F20"/>
          <w:spacing w:val="-11"/>
          <w:sz w:val="20"/>
        </w:rPr>
        <w:t xml:space="preserve"> </w:t>
      </w:r>
      <w:r>
        <w:rPr>
          <w:color w:val="231F20"/>
          <w:sz w:val="20"/>
        </w:rPr>
        <w:t>in</w:t>
      </w:r>
      <w:r>
        <w:rPr>
          <w:color w:val="231F20"/>
          <w:spacing w:val="-11"/>
          <w:sz w:val="20"/>
        </w:rPr>
        <w:t xml:space="preserve"> </w:t>
      </w:r>
      <w:r>
        <w:rPr>
          <w:color w:val="231F20"/>
          <w:sz w:val="20"/>
        </w:rPr>
        <w:t>consultation</w:t>
      </w:r>
      <w:r>
        <w:rPr>
          <w:color w:val="231F20"/>
          <w:spacing w:val="-10"/>
          <w:sz w:val="20"/>
        </w:rPr>
        <w:t xml:space="preserve"> </w:t>
      </w:r>
      <w:r>
        <w:rPr>
          <w:color w:val="231F20"/>
          <w:sz w:val="20"/>
        </w:rPr>
        <w:t>with</w:t>
      </w:r>
      <w:r>
        <w:rPr>
          <w:color w:val="231F20"/>
          <w:spacing w:val="-11"/>
          <w:sz w:val="20"/>
        </w:rPr>
        <w:t xml:space="preserve"> </w:t>
      </w:r>
      <w:r>
        <w:rPr>
          <w:color w:val="231F20"/>
          <w:sz w:val="20"/>
        </w:rPr>
        <w:t>the</w:t>
      </w:r>
      <w:r>
        <w:rPr>
          <w:color w:val="231F20"/>
          <w:spacing w:val="-11"/>
          <w:sz w:val="20"/>
        </w:rPr>
        <w:t xml:space="preserve"> </w:t>
      </w:r>
      <w:r>
        <w:rPr>
          <w:color w:val="231F20"/>
          <w:sz w:val="20"/>
        </w:rPr>
        <w:t>Department</w:t>
      </w:r>
      <w:r>
        <w:rPr>
          <w:color w:val="231F20"/>
          <w:spacing w:val="-10"/>
          <w:sz w:val="20"/>
        </w:rPr>
        <w:t xml:space="preserve"> </w:t>
      </w:r>
      <w:r>
        <w:rPr>
          <w:color w:val="231F20"/>
          <w:sz w:val="20"/>
        </w:rPr>
        <w:t>of</w:t>
      </w:r>
      <w:r>
        <w:rPr>
          <w:color w:val="231F20"/>
          <w:spacing w:val="-11"/>
          <w:sz w:val="20"/>
        </w:rPr>
        <w:t xml:space="preserve"> </w:t>
      </w:r>
      <w:r>
        <w:rPr>
          <w:color w:val="231F20"/>
          <w:sz w:val="20"/>
        </w:rPr>
        <w:t>Justice</w:t>
      </w:r>
      <w:r>
        <w:rPr>
          <w:color w:val="231F20"/>
          <w:spacing w:val="-11"/>
          <w:sz w:val="20"/>
        </w:rPr>
        <w:t xml:space="preserve"> </w:t>
      </w:r>
      <w:r>
        <w:rPr>
          <w:color w:val="231F20"/>
          <w:sz w:val="20"/>
        </w:rPr>
        <w:t>and Community Safety;</w:t>
      </w:r>
      <w:r>
        <w:rPr>
          <w:color w:val="231F20"/>
          <w:spacing w:val="-9"/>
          <w:sz w:val="20"/>
        </w:rPr>
        <w:t xml:space="preserve"> </w:t>
      </w:r>
      <w:r>
        <w:rPr>
          <w:color w:val="231F20"/>
          <w:sz w:val="20"/>
        </w:rPr>
        <w:t>and</w:t>
      </w:r>
    </w:p>
    <w:p w14:paraId="22A1AE16" w14:textId="77777777" w:rsidR="00894070" w:rsidRDefault="009B7AFD">
      <w:pPr>
        <w:pStyle w:val="ListParagraph"/>
        <w:numPr>
          <w:ilvl w:val="0"/>
          <w:numId w:val="193"/>
        </w:numPr>
        <w:tabs>
          <w:tab w:val="left" w:pos="1361"/>
          <w:tab w:val="left" w:pos="1362"/>
        </w:tabs>
        <w:spacing w:before="56"/>
        <w:ind w:hanging="340"/>
        <w:rPr>
          <w:sz w:val="20"/>
        </w:rPr>
      </w:pPr>
      <w:r>
        <w:rPr>
          <w:color w:val="231F20"/>
          <w:spacing w:val="-3"/>
          <w:sz w:val="20"/>
        </w:rPr>
        <w:t xml:space="preserve">prepare </w:t>
      </w:r>
      <w:r>
        <w:rPr>
          <w:color w:val="231F20"/>
          <w:sz w:val="20"/>
        </w:rPr>
        <w:t xml:space="preserve">a final report on the </w:t>
      </w:r>
      <w:r>
        <w:rPr>
          <w:color w:val="231F20"/>
          <w:spacing w:val="-3"/>
          <w:sz w:val="20"/>
        </w:rPr>
        <w:t xml:space="preserve">reference by </w:t>
      </w:r>
      <w:r>
        <w:rPr>
          <w:color w:val="231F20"/>
          <w:sz w:val="20"/>
        </w:rPr>
        <w:t>30 June</w:t>
      </w:r>
      <w:r>
        <w:rPr>
          <w:color w:val="231F20"/>
          <w:spacing w:val="-33"/>
          <w:sz w:val="20"/>
        </w:rPr>
        <w:t xml:space="preserve"> </w:t>
      </w:r>
      <w:r>
        <w:rPr>
          <w:color w:val="231F20"/>
          <w:spacing w:val="-3"/>
          <w:sz w:val="20"/>
        </w:rPr>
        <w:t>2022.</w:t>
      </w:r>
    </w:p>
    <w:p w14:paraId="2FA043DB" w14:textId="77777777" w:rsidR="00894070" w:rsidRDefault="00894070">
      <w:pPr>
        <w:pStyle w:val="BodyText"/>
      </w:pPr>
    </w:p>
    <w:p w14:paraId="3257F570" w14:textId="77777777" w:rsidR="00894070" w:rsidRDefault="00894070">
      <w:pPr>
        <w:pStyle w:val="BodyText"/>
      </w:pPr>
    </w:p>
    <w:p w14:paraId="736F8B19" w14:textId="77777777" w:rsidR="00894070" w:rsidRDefault="00894070">
      <w:pPr>
        <w:pStyle w:val="BodyText"/>
      </w:pPr>
    </w:p>
    <w:p w14:paraId="19382DE1" w14:textId="77777777" w:rsidR="00894070" w:rsidRDefault="00894070">
      <w:pPr>
        <w:pStyle w:val="BodyText"/>
      </w:pPr>
    </w:p>
    <w:p w14:paraId="1B44C484" w14:textId="77777777" w:rsidR="00894070" w:rsidRDefault="00894070">
      <w:pPr>
        <w:pStyle w:val="BodyText"/>
      </w:pPr>
    </w:p>
    <w:p w14:paraId="3833C323" w14:textId="77777777" w:rsidR="00894070" w:rsidRDefault="00894070">
      <w:pPr>
        <w:pStyle w:val="BodyText"/>
      </w:pPr>
    </w:p>
    <w:p w14:paraId="34D1DE9F" w14:textId="77777777" w:rsidR="00894070" w:rsidRDefault="00894070">
      <w:pPr>
        <w:pStyle w:val="BodyText"/>
      </w:pPr>
    </w:p>
    <w:p w14:paraId="7256497C" w14:textId="77777777" w:rsidR="00894070" w:rsidRDefault="00894070">
      <w:pPr>
        <w:pStyle w:val="BodyText"/>
      </w:pPr>
    </w:p>
    <w:p w14:paraId="734DFE13" w14:textId="77777777" w:rsidR="00894070" w:rsidRDefault="00894070">
      <w:pPr>
        <w:pStyle w:val="BodyText"/>
      </w:pPr>
    </w:p>
    <w:p w14:paraId="12190BA0" w14:textId="77777777" w:rsidR="00894070" w:rsidRDefault="00894070">
      <w:pPr>
        <w:pStyle w:val="BodyText"/>
      </w:pPr>
    </w:p>
    <w:p w14:paraId="65DFC22E" w14:textId="77777777" w:rsidR="00894070" w:rsidRDefault="00894070">
      <w:pPr>
        <w:pStyle w:val="BodyText"/>
      </w:pPr>
    </w:p>
    <w:p w14:paraId="54293C5F" w14:textId="77777777" w:rsidR="00894070" w:rsidRDefault="00894070">
      <w:pPr>
        <w:pStyle w:val="BodyText"/>
      </w:pPr>
    </w:p>
    <w:p w14:paraId="4CFDE44C" w14:textId="77777777" w:rsidR="00894070" w:rsidRDefault="00894070">
      <w:pPr>
        <w:pStyle w:val="BodyText"/>
      </w:pPr>
    </w:p>
    <w:p w14:paraId="432C2501" w14:textId="77777777" w:rsidR="00894070" w:rsidRDefault="00894070">
      <w:pPr>
        <w:pStyle w:val="BodyText"/>
      </w:pPr>
    </w:p>
    <w:p w14:paraId="0F9478B3" w14:textId="77777777" w:rsidR="00894070" w:rsidRDefault="00894070">
      <w:pPr>
        <w:pStyle w:val="BodyText"/>
      </w:pPr>
    </w:p>
    <w:p w14:paraId="4DE71CA1" w14:textId="77777777" w:rsidR="00894070" w:rsidRDefault="00894070">
      <w:pPr>
        <w:pStyle w:val="BodyText"/>
      </w:pPr>
    </w:p>
    <w:p w14:paraId="36422FC5" w14:textId="77777777" w:rsidR="00894070" w:rsidRDefault="00894070">
      <w:pPr>
        <w:pStyle w:val="BodyText"/>
      </w:pPr>
    </w:p>
    <w:p w14:paraId="242F65E5" w14:textId="77777777" w:rsidR="00894070" w:rsidRDefault="00894070">
      <w:pPr>
        <w:pStyle w:val="BodyText"/>
      </w:pPr>
    </w:p>
    <w:p w14:paraId="4964C70D" w14:textId="77777777" w:rsidR="00894070" w:rsidRDefault="00894070">
      <w:pPr>
        <w:pStyle w:val="BodyText"/>
      </w:pPr>
    </w:p>
    <w:p w14:paraId="3A3514CA" w14:textId="77777777" w:rsidR="00894070" w:rsidRDefault="00894070">
      <w:pPr>
        <w:pStyle w:val="BodyText"/>
      </w:pPr>
    </w:p>
    <w:p w14:paraId="216B65C6" w14:textId="77777777" w:rsidR="00894070" w:rsidRDefault="00894070">
      <w:pPr>
        <w:pStyle w:val="BodyText"/>
      </w:pPr>
    </w:p>
    <w:p w14:paraId="302C0EFC" w14:textId="77777777" w:rsidR="00894070" w:rsidRDefault="00894070">
      <w:pPr>
        <w:pStyle w:val="BodyText"/>
      </w:pPr>
    </w:p>
    <w:p w14:paraId="254799EA" w14:textId="77777777" w:rsidR="00894070" w:rsidRDefault="00894070">
      <w:pPr>
        <w:pStyle w:val="BodyText"/>
      </w:pPr>
    </w:p>
    <w:p w14:paraId="46E85A9B" w14:textId="77777777" w:rsidR="00894070" w:rsidRDefault="00894070">
      <w:pPr>
        <w:pStyle w:val="BodyText"/>
      </w:pPr>
    </w:p>
    <w:p w14:paraId="5AE8D9C7" w14:textId="77777777" w:rsidR="00894070" w:rsidRDefault="00894070">
      <w:pPr>
        <w:pStyle w:val="BodyText"/>
      </w:pPr>
    </w:p>
    <w:p w14:paraId="31F78F98" w14:textId="77777777" w:rsidR="00894070" w:rsidRDefault="00894070">
      <w:pPr>
        <w:pStyle w:val="BodyText"/>
      </w:pPr>
    </w:p>
    <w:p w14:paraId="014C8E11" w14:textId="77777777" w:rsidR="00894070" w:rsidRDefault="00894070">
      <w:pPr>
        <w:pStyle w:val="BodyText"/>
      </w:pPr>
    </w:p>
    <w:p w14:paraId="70F2DF77" w14:textId="77777777" w:rsidR="00894070" w:rsidRDefault="00894070">
      <w:pPr>
        <w:pStyle w:val="BodyText"/>
      </w:pPr>
    </w:p>
    <w:p w14:paraId="3073C867" w14:textId="77777777" w:rsidR="00894070" w:rsidRDefault="00894070">
      <w:pPr>
        <w:pStyle w:val="BodyText"/>
      </w:pPr>
    </w:p>
    <w:p w14:paraId="64DBD349" w14:textId="77777777" w:rsidR="00894070" w:rsidRDefault="00894070">
      <w:pPr>
        <w:pStyle w:val="BodyText"/>
        <w:spacing w:before="1"/>
        <w:rPr>
          <w:sz w:val="26"/>
        </w:rPr>
      </w:pPr>
    </w:p>
    <w:p w14:paraId="60457661" w14:textId="77777777" w:rsidR="00894070" w:rsidRDefault="009B7AFD">
      <w:pPr>
        <w:pStyle w:val="Heading8"/>
        <w:spacing w:before="49"/>
        <w:ind w:right="278"/>
        <w:jc w:val="right"/>
      </w:pPr>
      <w:r>
        <w:rPr>
          <w:color w:val="EA5B50"/>
        </w:rPr>
        <w:t>xi</w:t>
      </w:r>
    </w:p>
    <w:p w14:paraId="63DB3F6D" w14:textId="77777777" w:rsidR="00894070" w:rsidRDefault="00894070">
      <w:pPr>
        <w:jc w:val="right"/>
        <w:sectPr w:rsidR="00894070">
          <w:pgSz w:w="11910" w:h="16840"/>
          <w:pgMar w:top="840" w:right="420" w:bottom="280" w:left="580" w:header="0" w:footer="0" w:gutter="0"/>
          <w:cols w:space="720"/>
        </w:sectPr>
      </w:pPr>
    </w:p>
    <w:p w14:paraId="6D1D30C8" w14:textId="77777777" w:rsidR="00894070" w:rsidRDefault="009F6793">
      <w:pPr>
        <w:pStyle w:val="BodyText"/>
        <w:rPr>
          <w:b/>
        </w:rPr>
      </w:pPr>
      <w:r>
        <w:lastRenderedPageBreak/>
        <w:pict w14:anchorId="04037D9F">
          <v:rect id="_x0000_s1728" style="position:absolute;margin-left:0;margin-top:99.2pt;width:14.15pt;height:85.75pt;z-index:251456512;mso-position-horizontal-relative:page;mso-position-vertical-relative:page" fillcolor="#ea5b50" stroked="f">
            <w10:wrap anchorx="page" anchory="page"/>
          </v:rect>
        </w:pict>
      </w:r>
    </w:p>
    <w:p w14:paraId="13E54FFC" w14:textId="77777777" w:rsidR="00894070" w:rsidRDefault="00894070">
      <w:pPr>
        <w:pStyle w:val="BodyText"/>
        <w:rPr>
          <w:b/>
        </w:rPr>
      </w:pPr>
    </w:p>
    <w:p w14:paraId="5F3A3C9A" w14:textId="77777777" w:rsidR="00894070" w:rsidRDefault="00894070">
      <w:pPr>
        <w:pStyle w:val="BodyText"/>
        <w:spacing w:before="7"/>
        <w:rPr>
          <w:b/>
          <w:sz w:val="22"/>
        </w:rPr>
      </w:pPr>
    </w:p>
    <w:p w14:paraId="5833D9C7" w14:textId="77777777" w:rsidR="00894070" w:rsidRDefault="009B7AFD">
      <w:pPr>
        <w:spacing w:line="758" w:lineRule="exact"/>
        <w:ind w:left="270"/>
        <w:rPr>
          <w:rFonts w:ascii="Raleway ExtraBold"/>
          <w:b/>
          <w:sz w:val="56"/>
        </w:rPr>
      </w:pPr>
      <w:bookmarkStart w:id="5" w:name="Executive_summary"/>
      <w:bookmarkStart w:id="6" w:name="_bookmark2"/>
      <w:bookmarkEnd w:id="5"/>
      <w:bookmarkEnd w:id="6"/>
      <w:r>
        <w:rPr>
          <w:rFonts w:ascii="Raleway ExtraBold"/>
          <w:b/>
          <w:color w:val="EA5B50"/>
          <w:spacing w:val="-7"/>
          <w:sz w:val="56"/>
        </w:rPr>
        <w:t>Executive</w:t>
      </w:r>
      <w:r>
        <w:rPr>
          <w:rFonts w:ascii="Raleway ExtraBold"/>
          <w:b/>
          <w:color w:val="EA5B50"/>
          <w:sz w:val="56"/>
        </w:rPr>
        <w:t xml:space="preserve"> summary</w:t>
      </w:r>
    </w:p>
    <w:p w14:paraId="58368E78" w14:textId="77777777" w:rsidR="00894070" w:rsidRDefault="00894070">
      <w:pPr>
        <w:pStyle w:val="BodyText"/>
        <w:rPr>
          <w:rFonts w:ascii="Raleway ExtraBold"/>
          <w:b/>
          <w:sz w:val="66"/>
        </w:rPr>
      </w:pPr>
    </w:p>
    <w:p w14:paraId="40047001" w14:textId="77777777" w:rsidR="00894070" w:rsidRDefault="00894070">
      <w:pPr>
        <w:pStyle w:val="BodyText"/>
        <w:rPr>
          <w:rFonts w:ascii="Raleway ExtraBold"/>
          <w:b/>
          <w:sz w:val="66"/>
        </w:rPr>
      </w:pPr>
    </w:p>
    <w:p w14:paraId="0549AB1C" w14:textId="77777777" w:rsidR="00894070" w:rsidRDefault="00894070">
      <w:pPr>
        <w:pStyle w:val="BodyText"/>
        <w:spacing w:before="1"/>
        <w:rPr>
          <w:rFonts w:ascii="Raleway ExtraBold"/>
          <w:b/>
          <w:sz w:val="91"/>
        </w:rPr>
      </w:pPr>
    </w:p>
    <w:p w14:paraId="7636155B" w14:textId="77777777" w:rsidR="00894070" w:rsidRDefault="009B7AFD">
      <w:pPr>
        <w:pStyle w:val="ListParagraph"/>
        <w:numPr>
          <w:ilvl w:val="0"/>
          <w:numId w:val="192"/>
        </w:numPr>
        <w:tabs>
          <w:tab w:val="left" w:pos="1806"/>
          <w:tab w:val="left" w:pos="1808"/>
        </w:tabs>
        <w:spacing w:before="1" w:line="206" w:lineRule="auto"/>
        <w:ind w:right="1243" w:hanging="793"/>
        <w:rPr>
          <w:sz w:val="20"/>
        </w:rPr>
      </w:pPr>
      <w:r>
        <w:rPr>
          <w:color w:val="231F20"/>
          <w:sz w:val="20"/>
        </w:rPr>
        <w:t>This</w:t>
      </w:r>
      <w:r>
        <w:rPr>
          <w:color w:val="231F20"/>
          <w:spacing w:val="-6"/>
          <w:sz w:val="20"/>
        </w:rPr>
        <w:t xml:space="preserve"> </w:t>
      </w:r>
      <w:r>
        <w:rPr>
          <w:color w:val="231F20"/>
          <w:sz w:val="20"/>
        </w:rPr>
        <w:t>report</w:t>
      </w:r>
      <w:r>
        <w:rPr>
          <w:color w:val="231F20"/>
          <w:spacing w:val="-5"/>
          <w:sz w:val="20"/>
        </w:rPr>
        <w:t xml:space="preserve"> </w:t>
      </w:r>
      <w:r>
        <w:rPr>
          <w:color w:val="231F20"/>
          <w:sz w:val="20"/>
        </w:rPr>
        <w:t>recommends</w:t>
      </w:r>
      <w:r>
        <w:rPr>
          <w:color w:val="231F20"/>
          <w:spacing w:val="-5"/>
          <w:sz w:val="20"/>
        </w:rPr>
        <w:t xml:space="preserve"> </w:t>
      </w:r>
      <w:r>
        <w:rPr>
          <w:color w:val="231F20"/>
          <w:spacing w:val="-3"/>
          <w:sz w:val="20"/>
        </w:rPr>
        <w:t>ways</w:t>
      </w:r>
      <w:r>
        <w:rPr>
          <w:color w:val="231F20"/>
          <w:spacing w:val="-6"/>
          <w:sz w:val="20"/>
        </w:rPr>
        <w:t xml:space="preserve"> </w:t>
      </w:r>
      <w:r>
        <w:rPr>
          <w:color w:val="231F20"/>
          <w:sz w:val="20"/>
        </w:rPr>
        <w:t>to</w:t>
      </w:r>
      <w:r>
        <w:rPr>
          <w:color w:val="231F20"/>
          <w:spacing w:val="-5"/>
          <w:sz w:val="20"/>
        </w:rPr>
        <w:t xml:space="preserve"> </w:t>
      </w:r>
      <w:r>
        <w:rPr>
          <w:color w:val="231F20"/>
          <w:spacing w:val="-3"/>
          <w:sz w:val="20"/>
        </w:rPr>
        <w:t>improve</w:t>
      </w:r>
      <w:r>
        <w:rPr>
          <w:color w:val="231F20"/>
          <w:spacing w:val="-5"/>
          <w:sz w:val="20"/>
        </w:rPr>
        <w:t xml:space="preserve"> </w:t>
      </w:r>
      <w:r>
        <w:rPr>
          <w:color w:val="231F20"/>
          <w:sz w:val="20"/>
        </w:rPr>
        <w:t>the</w:t>
      </w:r>
      <w:r>
        <w:rPr>
          <w:color w:val="231F20"/>
          <w:spacing w:val="-6"/>
          <w:sz w:val="20"/>
        </w:rPr>
        <w:t xml:space="preserve"> </w:t>
      </w:r>
      <w:r>
        <w:rPr>
          <w:color w:val="231F20"/>
          <w:sz w:val="20"/>
        </w:rPr>
        <w:t>justice</w:t>
      </w:r>
      <w:r>
        <w:rPr>
          <w:color w:val="231F20"/>
          <w:spacing w:val="-5"/>
          <w:sz w:val="20"/>
        </w:rPr>
        <w:t xml:space="preserve"> </w:t>
      </w:r>
      <w:r>
        <w:rPr>
          <w:color w:val="231F20"/>
          <w:sz w:val="20"/>
        </w:rPr>
        <w:t>system’s</w:t>
      </w:r>
      <w:r>
        <w:rPr>
          <w:color w:val="231F20"/>
          <w:spacing w:val="-5"/>
          <w:sz w:val="20"/>
        </w:rPr>
        <w:t xml:space="preserve"> </w:t>
      </w:r>
      <w:r>
        <w:rPr>
          <w:color w:val="231F20"/>
          <w:sz w:val="20"/>
        </w:rPr>
        <w:t>response</w:t>
      </w:r>
      <w:r>
        <w:rPr>
          <w:color w:val="231F20"/>
          <w:spacing w:val="-6"/>
          <w:sz w:val="20"/>
        </w:rPr>
        <w:t xml:space="preserve"> </w:t>
      </w:r>
      <w:r>
        <w:rPr>
          <w:color w:val="231F20"/>
          <w:sz w:val="20"/>
        </w:rPr>
        <w:t>to</w:t>
      </w:r>
      <w:r>
        <w:rPr>
          <w:color w:val="231F20"/>
          <w:spacing w:val="-5"/>
          <w:sz w:val="20"/>
        </w:rPr>
        <w:t xml:space="preserve"> </w:t>
      </w:r>
      <w:r>
        <w:rPr>
          <w:color w:val="231F20"/>
          <w:sz w:val="20"/>
        </w:rPr>
        <w:t>non-family violence</w:t>
      </w:r>
      <w:r>
        <w:rPr>
          <w:color w:val="231F20"/>
          <w:spacing w:val="-3"/>
          <w:sz w:val="20"/>
        </w:rPr>
        <w:t xml:space="preserve"> </w:t>
      </w:r>
      <w:r>
        <w:rPr>
          <w:color w:val="231F20"/>
          <w:sz w:val="20"/>
        </w:rPr>
        <w:t>stalking.</w:t>
      </w:r>
    </w:p>
    <w:p w14:paraId="13DE2924" w14:textId="77777777" w:rsidR="00894070" w:rsidRDefault="009B7AFD">
      <w:pPr>
        <w:pStyle w:val="ListParagraph"/>
        <w:numPr>
          <w:ilvl w:val="0"/>
          <w:numId w:val="192"/>
        </w:numPr>
        <w:tabs>
          <w:tab w:val="left" w:pos="1806"/>
          <w:tab w:val="left" w:pos="1808"/>
        </w:tabs>
        <w:spacing w:before="122" w:line="206" w:lineRule="auto"/>
        <w:ind w:right="1343" w:hanging="793"/>
        <w:jc w:val="both"/>
        <w:rPr>
          <w:sz w:val="20"/>
        </w:rPr>
      </w:pPr>
      <w:r>
        <w:rPr>
          <w:color w:val="231F20"/>
          <w:sz w:val="20"/>
        </w:rPr>
        <w:t>People who experience stalking can be trapped in a frightening situation that is hard to</w:t>
      </w:r>
      <w:r>
        <w:rPr>
          <w:color w:val="231F20"/>
          <w:spacing w:val="-5"/>
          <w:sz w:val="20"/>
        </w:rPr>
        <w:t xml:space="preserve"> </w:t>
      </w:r>
      <w:r>
        <w:rPr>
          <w:color w:val="231F20"/>
          <w:sz w:val="20"/>
        </w:rPr>
        <w:t>identify</w:t>
      </w:r>
      <w:r>
        <w:rPr>
          <w:color w:val="231F20"/>
          <w:spacing w:val="-4"/>
          <w:sz w:val="20"/>
        </w:rPr>
        <w:t xml:space="preserve"> </w:t>
      </w:r>
      <w:r>
        <w:rPr>
          <w:color w:val="231F20"/>
          <w:sz w:val="20"/>
        </w:rPr>
        <w:t>and</w:t>
      </w:r>
      <w:r>
        <w:rPr>
          <w:color w:val="231F20"/>
          <w:spacing w:val="-5"/>
          <w:sz w:val="20"/>
        </w:rPr>
        <w:t xml:space="preserve"> </w:t>
      </w:r>
      <w:r>
        <w:rPr>
          <w:color w:val="231F20"/>
          <w:sz w:val="20"/>
        </w:rPr>
        <w:t>escape.</w:t>
      </w:r>
      <w:r>
        <w:rPr>
          <w:color w:val="231F20"/>
          <w:spacing w:val="-4"/>
          <w:sz w:val="20"/>
        </w:rPr>
        <w:t xml:space="preserve"> </w:t>
      </w:r>
      <w:r>
        <w:rPr>
          <w:color w:val="231F20"/>
          <w:sz w:val="20"/>
        </w:rPr>
        <w:t>Many</w:t>
      </w:r>
      <w:r>
        <w:rPr>
          <w:color w:val="231F20"/>
          <w:spacing w:val="-5"/>
          <w:sz w:val="20"/>
        </w:rPr>
        <w:t xml:space="preserve"> </w:t>
      </w:r>
      <w:r>
        <w:rPr>
          <w:color w:val="231F20"/>
          <w:sz w:val="20"/>
        </w:rPr>
        <w:t>do</w:t>
      </w:r>
      <w:r>
        <w:rPr>
          <w:color w:val="231F20"/>
          <w:spacing w:val="-4"/>
          <w:sz w:val="20"/>
        </w:rPr>
        <w:t xml:space="preserve"> </w:t>
      </w:r>
      <w:r>
        <w:rPr>
          <w:color w:val="231F20"/>
          <w:sz w:val="20"/>
        </w:rPr>
        <w:t>not</w:t>
      </w:r>
      <w:r>
        <w:rPr>
          <w:color w:val="231F20"/>
          <w:spacing w:val="-4"/>
          <w:sz w:val="20"/>
        </w:rPr>
        <w:t xml:space="preserve"> </w:t>
      </w:r>
      <w:r>
        <w:rPr>
          <w:color w:val="231F20"/>
          <w:sz w:val="20"/>
        </w:rPr>
        <w:t>report</w:t>
      </w:r>
      <w:r>
        <w:rPr>
          <w:color w:val="231F20"/>
          <w:spacing w:val="-5"/>
          <w:sz w:val="20"/>
        </w:rPr>
        <w:t xml:space="preserve"> </w:t>
      </w:r>
      <w:r>
        <w:rPr>
          <w:color w:val="231F20"/>
          <w:sz w:val="20"/>
        </w:rPr>
        <w:t>it</w:t>
      </w:r>
      <w:r>
        <w:rPr>
          <w:color w:val="231F20"/>
          <w:spacing w:val="-4"/>
          <w:sz w:val="20"/>
        </w:rPr>
        <w:t xml:space="preserve"> </w:t>
      </w:r>
      <w:r>
        <w:rPr>
          <w:color w:val="231F20"/>
          <w:sz w:val="20"/>
        </w:rPr>
        <w:t>to</w:t>
      </w:r>
      <w:r>
        <w:rPr>
          <w:color w:val="231F20"/>
          <w:spacing w:val="-5"/>
          <w:sz w:val="20"/>
        </w:rPr>
        <w:t xml:space="preserve"> </w:t>
      </w:r>
      <w:r>
        <w:rPr>
          <w:color w:val="231F20"/>
          <w:sz w:val="20"/>
        </w:rPr>
        <w:t>police,</w:t>
      </w:r>
      <w:r>
        <w:rPr>
          <w:color w:val="231F20"/>
          <w:spacing w:val="-4"/>
          <w:sz w:val="20"/>
        </w:rPr>
        <w:t xml:space="preserve"> </w:t>
      </w:r>
      <w:r>
        <w:rPr>
          <w:color w:val="231F20"/>
          <w:sz w:val="20"/>
        </w:rPr>
        <w:t>and</w:t>
      </w:r>
      <w:r>
        <w:rPr>
          <w:color w:val="231F20"/>
          <w:spacing w:val="-5"/>
          <w:sz w:val="20"/>
        </w:rPr>
        <w:t xml:space="preserve"> </w:t>
      </w:r>
      <w:r>
        <w:rPr>
          <w:color w:val="231F20"/>
          <w:sz w:val="20"/>
        </w:rPr>
        <w:t>they</w:t>
      </w:r>
      <w:r>
        <w:rPr>
          <w:color w:val="231F20"/>
          <w:spacing w:val="-4"/>
          <w:sz w:val="20"/>
        </w:rPr>
        <w:t xml:space="preserve"> </w:t>
      </w:r>
      <w:r>
        <w:rPr>
          <w:color w:val="231F20"/>
          <w:sz w:val="20"/>
        </w:rPr>
        <w:t>may</w:t>
      </w:r>
      <w:r>
        <w:rPr>
          <w:color w:val="231F20"/>
          <w:spacing w:val="-4"/>
          <w:sz w:val="20"/>
        </w:rPr>
        <w:t xml:space="preserve"> </w:t>
      </w:r>
      <w:r>
        <w:rPr>
          <w:color w:val="231F20"/>
          <w:sz w:val="20"/>
        </w:rPr>
        <w:t>not</w:t>
      </w:r>
      <w:r>
        <w:rPr>
          <w:color w:val="231F20"/>
          <w:spacing w:val="-5"/>
          <w:sz w:val="20"/>
        </w:rPr>
        <w:t xml:space="preserve"> </w:t>
      </w:r>
      <w:r>
        <w:rPr>
          <w:color w:val="231F20"/>
          <w:spacing w:val="-3"/>
          <w:sz w:val="20"/>
        </w:rPr>
        <w:t>even</w:t>
      </w:r>
      <w:r>
        <w:rPr>
          <w:color w:val="231F20"/>
          <w:spacing w:val="-4"/>
          <w:sz w:val="20"/>
        </w:rPr>
        <w:t xml:space="preserve"> </w:t>
      </w:r>
      <w:proofErr w:type="spellStart"/>
      <w:r>
        <w:rPr>
          <w:color w:val="231F20"/>
          <w:sz w:val="20"/>
        </w:rPr>
        <w:t>realise</w:t>
      </w:r>
      <w:proofErr w:type="spellEnd"/>
      <w:r>
        <w:rPr>
          <w:color w:val="231F20"/>
          <w:sz w:val="20"/>
        </w:rPr>
        <w:t xml:space="preserve"> that stalking is a</w:t>
      </w:r>
      <w:r>
        <w:rPr>
          <w:color w:val="231F20"/>
          <w:spacing w:val="-9"/>
          <w:sz w:val="20"/>
        </w:rPr>
        <w:t xml:space="preserve"> </w:t>
      </w:r>
      <w:r>
        <w:rPr>
          <w:color w:val="231F20"/>
          <w:sz w:val="20"/>
        </w:rPr>
        <w:t>crime.</w:t>
      </w:r>
    </w:p>
    <w:p w14:paraId="4CDCFEE7" w14:textId="77777777" w:rsidR="00894070" w:rsidRDefault="009B7AFD">
      <w:pPr>
        <w:pStyle w:val="ListParagraph"/>
        <w:numPr>
          <w:ilvl w:val="0"/>
          <w:numId w:val="192"/>
        </w:numPr>
        <w:tabs>
          <w:tab w:val="left" w:pos="1806"/>
          <w:tab w:val="left" w:pos="1808"/>
        </w:tabs>
        <w:spacing w:before="92" w:line="259" w:lineRule="exact"/>
        <w:ind w:left="1807"/>
        <w:rPr>
          <w:sz w:val="20"/>
        </w:rPr>
      </w:pPr>
      <w:r>
        <w:rPr>
          <w:color w:val="231F20"/>
          <w:sz w:val="20"/>
        </w:rPr>
        <w:t>If</w:t>
      </w:r>
      <w:r>
        <w:rPr>
          <w:color w:val="231F20"/>
          <w:spacing w:val="-3"/>
          <w:sz w:val="20"/>
        </w:rPr>
        <w:t xml:space="preserve"> </w:t>
      </w:r>
      <w:r>
        <w:rPr>
          <w:color w:val="231F20"/>
          <w:sz w:val="20"/>
        </w:rPr>
        <w:t>they</w:t>
      </w:r>
      <w:r>
        <w:rPr>
          <w:color w:val="231F20"/>
          <w:spacing w:val="-3"/>
          <w:sz w:val="20"/>
        </w:rPr>
        <w:t xml:space="preserve"> </w:t>
      </w:r>
      <w:r>
        <w:rPr>
          <w:color w:val="231F20"/>
          <w:sz w:val="20"/>
        </w:rPr>
        <w:t>do</w:t>
      </w:r>
      <w:r>
        <w:rPr>
          <w:color w:val="231F20"/>
          <w:spacing w:val="-3"/>
          <w:sz w:val="20"/>
        </w:rPr>
        <w:t xml:space="preserve"> </w:t>
      </w:r>
      <w:r>
        <w:rPr>
          <w:color w:val="231F20"/>
          <w:sz w:val="20"/>
        </w:rPr>
        <w:t>report</w:t>
      </w:r>
      <w:r>
        <w:rPr>
          <w:color w:val="231F20"/>
          <w:spacing w:val="-3"/>
          <w:sz w:val="20"/>
        </w:rPr>
        <w:t xml:space="preserve"> </w:t>
      </w:r>
      <w:r>
        <w:rPr>
          <w:color w:val="231F20"/>
          <w:sz w:val="20"/>
        </w:rPr>
        <w:t>stalking,</w:t>
      </w:r>
      <w:r>
        <w:rPr>
          <w:color w:val="231F20"/>
          <w:spacing w:val="-3"/>
          <w:sz w:val="20"/>
        </w:rPr>
        <w:t xml:space="preserve"> </w:t>
      </w:r>
      <w:r>
        <w:rPr>
          <w:color w:val="231F20"/>
          <w:sz w:val="20"/>
        </w:rPr>
        <w:t>they</w:t>
      </w:r>
      <w:r>
        <w:rPr>
          <w:color w:val="231F20"/>
          <w:spacing w:val="-3"/>
          <w:sz w:val="20"/>
        </w:rPr>
        <w:t xml:space="preserve"> </w:t>
      </w:r>
      <w:r>
        <w:rPr>
          <w:color w:val="231F20"/>
          <w:sz w:val="20"/>
        </w:rPr>
        <w:t>may</w:t>
      </w:r>
      <w:r>
        <w:rPr>
          <w:color w:val="231F20"/>
          <w:spacing w:val="-3"/>
          <w:sz w:val="20"/>
        </w:rPr>
        <w:t xml:space="preserve"> </w:t>
      </w:r>
      <w:r>
        <w:rPr>
          <w:color w:val="231F20"/>
          <w:sz w:val="20"/>
        </w:rPr>
        <w:t>not</w:t>
      </w:r>
      <w:r>
        <w:rPr>
          <w:color w:val="231F20"/>
          <w:spacing w:val="-3"/>
          <w:sz w:val="20"/>
        </w:rPr>
        <w:t xml:space="preserve"> </w:t>
      </w:r>
      <w:r>
        <w:rPr>
          <w:color w:val="231F20"/>
          <w:sz w:val="20"/>
        </w:rPr>
        <w:t>get</w:t>
      </w:r>
      <w:r>
        <w:rPr>
          <w:color w:val="231F20"/>
          <w:spacing w:val="-3"/>
          <w:sz w:val="20"/>
        </w:rPr>
        <w:t xml:space="preserve"> </w:t>
      </w:r>
      <w:r>
        <w:rPr>
          <w:color w:val="231F20"/>
          <w:sz w:val="20"/>
        </w:rPr>
        <w:t>the</w:t>
      </w:r>
      <w:r>
        <w:rPr>
          <w:color w:val="231F20"/>
          <w:spacing w:val="-3"/>
          <w:sz w:val="20"/>
        </w:rPr>
        <w:t xml:space="preserve"> </w:t>
      </w:r>
      <w:r>
        <w:rPr>
          <w:color w:val="231F20"/>
          <w:sz w:val="20"/>
        </w:rPr>
        <w:t>response</w:t>
      </w:r>
      <w:r>
        <w:rPr>
          <w:color w:val="231F20"/>
          <w:spacing w:val="-3"/>
          <w:sz w:val="20"/>
        </w:rPr>
        <w:t xml:space="preserve"> </w:t>
      </w:r>
      <w:r>
        <w:rPr>
          <w:color w:val="231F20"/>
          <w:sz w:val="20"/>
        </w:rPr>
        <w:t>they</w:t>
      </w:r>
      <w:r>
        <w:rPr>
          <w:color w:val="231F20"/>
          <w:spacing w:val="-3"/>
          <w:sz w:val="20"/>
        </w:rPr>
        <w:t xml:space="preserve"> </w:t>
      </w:r>
      <w:r>
        <w:rPr>
          <w:color w:val="231F20"/>
          <w:sz w:val="20"/>
        </w:rPr>
        <w:t>need</w:t>
      </w:r>
      <w:r>
        <w:rPr>
          <w:color w:val="231F20"/>
          <w:spacing w:val="-3"/>
          <w:sz w:val="20"/>
        </w:rPr>
        <w:t xml:space="preserve"> </w:t>
      </w:r>
      <w:r>
        <w:rPr>
          <w:color w:val="231F20"/>
          <w:sz w:val="20"/>
        </w:rPr>
        <w:t>from</w:t>
      </w:r>
      <w:r>
        <w:rPr>
          <w:color w:val="231F20"/>
          <w:spacing w:val="-3"/>
          <w:sz w:val="20"/>
        </w:rPr>
        <w:t xml:space="preserve"> </w:t>
      </w:r>
      <w:r>
        <w:rPr>
          <w:color w:val="231F20"/>
          <w:sz w:val="20"/>
        </w:rPr>
        <w:t>the</w:t>
      </w:r>
      <w:r>
        <w:rPr>
          <w:color w:val="231F20"/>
          <w:spacing w:val="-3"/>
          <w:sz w:val="20"/>
        </w:rPr>
        <w:t xml:space="preserve"> </w:t>
      </w:r>
      <w:r>
        <w:rPr>
          <w:color w:val="231F20"/>
          <w:sz w:val="20"/>
        </w:rPr>
        <w:t>justice</w:t>
      </w:r>
    </w:p>
    <w:p w14:paraId="552BBFEE" w14:textId="77777777" w:rsidR="00894070" w:rsidRDefault="009B7AFD">
      <w:pPr>
        <w:pStyle w:val="BodyText"/>
        <w:spacing w:line="259" w:lineRule="exact"/>
        <w:ind w:left="1806"/>
      </w:pPr>
      <w:r>
        <w:rPr>
          <w:color w:val="231F20"/>
        </w:rPr>
        <w:t>system.</w:t>
      </w:r>
    </w:p>
    <w:p w14:paraId="0A6EE967" w14:textId="77777777" w:rsidR="00894070" w:rsidRDefault="009B7AFD">
      <w:pPr>
        <w:pStyle w:val="ListParagraph"/>
        <w:numPr>
          <w:ilvl w:val="0"/>
          <w:numId w:val="192"/>
        </w:numPr>
        <w:tabs>
          <w:tab w:val="left" w:pos="1806"/>
          <w:tab w:val="left" w:pos="1808"/>
        </w:tabs>
        <w:spacing w:before="114" w:line="206" w:lineRule="auto"/>
        <w:ind w:right="1981" w:hanging="793"/>
        <w:rPr>
          <w:sz w:val="20"/>
        </w:rPr>
      </w:pPr>
      <w:r>
        <w:rPr>
          <w:color w:val="231F20"/>
          <w:sz w:val="20"/>
        </w:rPr>
        <w:t>Getting</w:t>
      </w:r>
      <w:r>
        <w:rPr>
          <w:color w:val="231F20"/>
          <w:spacing w:val="-5"/>
          <w:sz w:val="20"/>
        </w:rPr>
        <w:t xml:space="preserve"> </w:t>
      </w:r>
      <w:r>
        <w:rPr>
          <w:color w:val="231F20"/>
          <w:sz w:val="20"/>
        </w:rPr>
        <w:t>help</w:t>
      </w:r>
      <w:r>
        <w:rPr>
          <w:color w:val="231F20"/>
          <w:spacing w:val="-4"/>
          <w:sz w:val="20"/>
        </w:rPr>
        <w:t xml:space="preserve"> </w:t>
      </w:r>
      <w:r>
        <w:rPr>
          <w:color w:val="231F20"/>
          <w:sz w:val="20"/>
        </w:rPr>
        <w:t>through</w:t>
      </w:r>
      <w:r>
        <w:rPr>
          <w:color w:val="231F20"/>
          <w:spacing w:val="-4"/>
          <w:sz w:val="20"/>
        </w:rPr>
        <w:t xml:space="preserve"> </w:t>
      </w:r>
      <w:r>
        <w:rPr>
          <w:color w:val="231F20"/>
          <w:sz w:val="20"/>
        </w:rPr>
        <w:t>the</w:t>
      </w:r>
      <w:r>
        <w:rPr>
          <w:color w:val="231F20"/>
          <w:spacing w:val="-4"/>
          <w:sz w:val="20"/>
        </w:rPr>
        <w:t xml:space="preserve"> </w:t>
      </w:r>
      <w:r>
        <w:rPr>
          <w:color w:val="231F20"/>
          <w:sz w:val="20"/>
        </w:rPr>
        <w:t>justice</w:t>
      </w:r>
      <w:r>
        <w:rPr>
          <w:color w:val="231F20"/>
          <w:spacing w:val="-4"/>
          <w:sz w:val="20"/>
        </w:rPr>
        <w:t xml:space="preserve"> </w:t>
      </w:r>
      <w:r>
        <w:rPr>
          <w:color w:val="231F20"/>
          <w:sz w:val="20"/>
        </w:rPr>
        <w:t>system</w:t>
      </w:r>
      <w:r>
        <w:rPr>
          <w:color w:val="231F20"/>
          <w:spacing w:val="-5"/>
          <w:sz w:val="20"/>
        </w:rPr>
        <w:t xml:space="preserve"> </w:t>
      </w:r>
      <w:r>
        <w:rPr>
          <w:color w:val="231F20"/>
          <w:sz w:val="20"/>
        </w:rPr>
        <w:t>in</w:t>
      </w:r>
      <w:r>
        <w:rPr>
          <w:color w:val="231F20"/>
          <w:spacing w:val="-4"/>
          <w:sz w:val="20"/>
        </w:rPr>
        <w:t xml:space="preserve"> </w:t>
      </w:r>
      <w:r>
        <w:rPr>
          <w:color w:val="231F20"/>
          <w:sz w:val="20"/>
        </w:rPr>
        <w:t>court</w:t>
      </w:r>
      <w:r>
        <w:rPr>
          <w:color w:val="231F20"/>
          <w:spacing w:val="-4"/>
          <w:sz w:val="20"/>
        </w:rPr>
        <w:t xml:space="preserve"> </w:t>
      </w:r>
      <w:r>
        <w:rPr>
          <w:color w:val="231F20"/>
          <w:sz w:val="20"/>
        </w:rPr>
        <w:t>can</w:t>
      </w:r>
      <w:r>
        <w:rPr>
          <w:color w:val="231F20"/>
          <w:spacing w:val="-4"/>
          <w:sz w:val="20"/>
        </w:rPr>
        <w:t xml:space="preserve"> </w:t>
      </w:r>
      <w:r>
        <w:rPr>
          <w:color w:val="231F20"/>
          <w:sz w:val="20"/>
        </w:rPr>
        <w:t>be</w:t>
      </w:r>
      <w:r>
        <w:rPr>
          <w:color w:val="231F20"/>
          <w:spacing w:val="-4"/>
          <w:sz w:val="20"/>
        </w:rPr>
        <w:t xml:space="preserve"> </w:t>
      </w:r>
      <w:r>
        <w:rPr>
          <w:color w:val="231F20"/>
          <w:sz w:val="20"/>
        </w:rPr>
        <w:t>a</w:t>
      </w:r>
      <w:r>
        <w:rPr>
          <w:color w:val="231F20"/>
          <w:spacing w:val="-4"/>
          <w:sz w:val="20"/>
        </w:rPr>
        <w:t xml:space="preserve"> </w:t>
      </w:r>
      <w:r>
        <w:rPr>
          <w:color w:val="231F20"/>
          <w:sz w:val="20"/>
        </w:rPr>
        <w:t>long,</w:t>
      </w:r>
      <w:r>
        <w:rPr>
          <w:color w:val="231F20"/>
          <w:spacing w:val="-5"/>
          <w:sz w:val="20"/>
        </w:rPr>
        <w:t xml:space="preserve"> </w:t>
      </w:r>
      <w:proofErr w:type="gramStart"/>
      <w:r>
        <w:rPr>
          <w:color w:val="231F20"/>
          <w:sz w:val="20"/>
        </w:rPr>
        <w:t>frustrating</w:t>
      </w:r>
      <w:proofErr w:type="gramEnd"/>
      <w:r>
        <w:rPr>
          <w:color w:val="231F20"/>
          <w:spacing w:val="-4"/>
          <w:sz w:val="20"/>
        </w:rPr>
        <w:t xml:space="preserve"> </w:t>
      </w:r>
      <w:r>
        <w:rPr>
          <w:color w:val="231F20"/>
          <w:sz w:val="20"/>
        </w:rPr>
        <w:t>and traumatic</w:t>
      </w:r>
      <w:r>
        <w:rPr>
          <w:color w:val="231F20"/>
          <w:spacing w:val="-4"/>
          <w:sz w:val="20"/>
        </w:rPr>
        <w:t xml:space="preserve"> </w:t>
      </w:r>
      <w:r>
        <w:rPr>
          <w:color w:val="231F20"/>
          <w:sz w:val="20"/>
        </w:rPr>
        <w:t>experience.</w:t>
      </w:r>
    </w:p>
    <w:p w14:paraId="5BFCC306" w14:textId="77777777" w:rsidR="00894070" w:rsidRDefault="009B7AFD">
      <w:pPr>
        <w:pStyle w:val="ListParagraph"/>
        <w:numPr>
          <w:ilvl w:val="0"/>
          <w:numId w:val="192"/>
        </w:numPr>
        <w:tabs>
          <w:tab w:val="left" w:pos="1806"/>
          <w:tab w:val="left" w:pos="1808"/>
        </w:tabs>
        <w:spacing w:before="91" w:line="259" w:lineRule="exact"/>
        <w:ind w:left="1807"/>
        <w:rPr>
          <w:sz w:val="20"/>
        </w:rPr>
      </w:pPr>
      <w:r>
        <w:rPr>
          <w:color w:val="231F20"/>
          <w:spacing w:val="-6"/>
          <w:sz w:val="20"/>
        </w:rPr>
        <w:t xml:space="preserve">Too </w:t>
      </w:r>
      <w:r>
        <w:rPr>
          <w:color w:val="231F20"/>
          <w:sz w:val="20"/>
        </w:rPr>
        <w:t xml:space="preserve">often people who stalk do not change their </w:t>
      </w:r>
      <w:proofErr w:type="spellStart"/>
      <w:r>
        <w:rPr>
          <w:color w:val="231F20"/>
          <w:sz w:val="20"/>
        </w:rPr>
        <w:t>behaviour</w:t>
      </w:r>
      <w:proofErr w:type="spellEnd"/>
      <w:r>
        <w:rPr>
          <w:color w:val="231F20"/>
          <w:sz w:val="20"/>
        </w:rPr>
        <w:t>. They may stalk with</w:t>
      </w:r>
      <w:r>
        <w:rPr>
          <w:color w:val="231F20"/>
          <w:spacing w:val="-36"/>
          <w:sz w:val="20"/>
        </w:rPr>
        <w:t xml:space="preserve"> </w:t>
      </w:r>
      <w:r>
        <w:rPr>
          <w:color w:val="231F20"/>
          <w:sz w:val="20"/>
        </w:rPr>
        <w:t>no</w:t>
      </w:r>
    </w:p>
    <w:p w14:paraId="0AD29646" w14:textId="77777777" w:rsidR="00894070" w:rsidRDefault="009B7AFD">
      <w:pPr>
        <w:pStyle w:val="BodyText"/>
        <w:spacing w:line="259" w:lineRule="exact"/>
        <w:ind w:left="1806"/>
      </w:pPr>
      <w:r>
        <w:rPr>
          <w:color w:val="231F20"/>
        </w:rPr>
        <w:t>consequence.</w:t>
      </w:r>
    </w:p>
    <w:p w14:paraId="4BDBADC8" w14:textId="77777777" w:rsidR="00894070" w:rsidRDefault="009B7AFD">
      <w:pPr>
        <w:pStyle w:val="ListParagraph"/>
        <w:numPr>
          <w:ilvl w:val="0"/>
          <w:numId w:val="192"/>
        </w:numPr>
        <w:tabs>
          <w:tab w:val="left" w:pos="1806"/>
          <w:tab w:val="left" w:pos="1808"/>
        </w:tabs>
        <w:spacing w:before="82"/>
        <w:ind w:left="1807"/>
        <w:rPr>
          <w:sz w:val="20"/>
        </w:rPr>
      </w:pPr>
      <w:r>
        <w:rPr>
          <w:color w:val="231F20"/>
          <w:sz w:val="20"/>
        </w:rPr>
        <w:t>The law and justice system must change so</w:t>
      </w:r>
      <w:r>
        <w:rPr>
          <w:color w:val="231F20"/>
          <w:spacing w:val="-18"/>
          <w:sz w:val="20"/>
        </w:rPr>
        <w:t xml:space="preserve"> </w:t>
      </w:r>
      <w:r>
        <w:rPr>
          <w:color w:val="231F20"/>
          <w:sz w:val="20"/>
        </w:rPr>
        <w:t>that:</w:t>
      </w:r>
    </w:p>
    <w:p w14:paraId="45A6ADE5" w14:textId="77777777" w:rsidR="00894070" w:rsidRDefault="009B7AFD">
      <w:pPr>
        <w:pStyle w:val="ListParagraph"/>
        <w:numPr>
          <w:ilvl w:val="1"/>
          <w:numId w:val="192"/>
        </w:numPr>
        <w:tabs>
          <w:tab w:val="left" w:pos="2203"/>
          <w:tab w:val="left" w:pos="2204"/>
        </w:tabs>
        <w:spacing w:before="82"/>
        <w:rPr>
          <w:sz w:val="20"/>
        </w:rPr>
      </w:pPr>
      <w:r>
        <w:rPr>
          <w:color w:val="231F20"/>
          <w:sz w:val="20"/>
        </w:rPr>
        <w:t xml:space="preserve">People who experience stalking are protected </w:t>
      </w:r>
      <w:r>
        <w:rPr>
          <w:color w:val="231F20"/>
          <w:spacing w:val="-3"/>
          <w:sz w:val="20"/>
        </w:rPr>
        <w:t xml:space="preserve">by </w:t>
      </w:r>
      <w:r>
        <w:rPr>
          <w:color w:val="231F20"/>
          <w:sz w:val="20"/>
        </w:rPr>
        <w:t>adequate safety</w:t>
      </w:r>
      <w:r>
        <w:rPr>
          <w:color w:val="231F20"/>
          <w:spacing w:val="-26"/>
          <w:sz w:val="20"/>
        </w:rPr>
        <w:t xml:space="preserve"> </w:t>
      </w:r>
      <w:r>
        <w:rPr>
          <w:color w:val="231F20"/>
          <w:sz w:val="20"/>
        </w:rPr>
        <w:t>measures.</w:t>
      </w:r>
    </w:p>
    <w:p w14:paraId="2669F4AC" w14:textId="77777777" w:rsidR="00894070" w:rsidRDefault="009B7AFD">
      <w:pPr>
        <w:pStyle w:val="ListParagraph"/>
        <w:numPr>
          <w:ilvl w:val="1"/>
          <w:numId w:val="192"/>
        </w:numPr>
        <w:tabs>
          <w:tab w:val="left" w:pos="2203"/>
          <w:tab w:val="left" w:pos="2204"/>
        </w:tabs>
        <w:spacing w:before="83"/>
        <w:rPr>
          <w:sz w:val="20"/>
        </w:rPr>
      </w:pPr>
      <w:r>
        <w:rPr>
          <w:color w:val="231F20"/>
          <w:sz w:val="20"/>
        </w:rPr>
        <w:t>The justice system responds to the justice needs of victim</w:t>
      </w:r>
      <w:r>
        <w:rPr>
          <w:color w:val="231F20"/>
          <w:spacing w:val="-25"/>
          <w:sz w:val="20"/>
        </w:rPr>
        <w:t xml:space="preserve"> </w:t>
      </w:r>
      <w:r>
        <w:rPr>
          <w:color w:val="231F20"/>
          <w:sz w:val="20"/>
        </w:rPr>
        <w:t>survivors.</w:t>
      </w:r>
    </w:p>
    <w:p w14:paraId="49DC3317" w14:textId="77777777" w:rsidR="00894070" w:rsidRDefault="009B7AFD">
      <w:pPr>
        <w:pStyle w:val="ListParagraph"/>
        <w:numPr>
          <w:ilvl w:val="1"/>
          <w:numId w:val="192"/>
        </w:numPr>
        <w:tabs>
          <w:tab w:val="left" w:pos="2203"/>
          <w:tab w:val="left" w:pos="2204"/>
        </w:tabs>
        <w:spacing w:before="82" w:line="259" w:lineRule="exact"/>
        <w:rPr>
          <w:sz w:val="20"/>
        </w:rPr>
      </w:pPr>
      <w:r>
        <w:rPr>
          <w:color w:val="231F20"/>
          <w:sz w:val="20"/>
        </w:rPr>
        <w:t xml:space="preserve">People who stalk are accountable for their </w:t>
      </w:r>
      <w:proofErr w:type="spellStart"/>
      <w:r>
        <w:rPr>
          <w:color w:val="231F20"/>
          <w:sz w:val="20"/>
        </w:rPr>
        <w:t>behaviour</w:t>
      </w:r>
      <w:proofErr w:type="spellEnd"/>
      <w:r>
        <w:rPr>
          <w:color w:val="231F20"/>
          <w:sz w:val="20"/>
        </w:rPr>
        <w:t xml:space="preserve"> and are given</w:t>
      </w:r>
      <w:r>
        <w:rPr>
          <w:color w:val="231F20"/>
          <w:spacing w:val="-32"/>
          <w:sz w:val="20"/>
        </w:rPr>
        <w:t xml:space="preserve"> </w:t>
      </w:r>
      <w:r>
        <w:rPr>
          <w:color w:val="231F20"/>
          <w:sz w:val="20"/>
        </w:rPr>
        <w:t>the</w:t>
      </w:r>
    </w:p>
    <w:p w14:paraId="1FA0D392" w14:textId="77777777" w:rsidR="00894070" w:rsidRDefault="009B7AFD">
      <w:pPr>
        <w:pStyle w:val="BodyText"/>
        <w:spacing w:line="259" w:lineRule="exact"/>
        <w:ind w:left="2203"/>
      </w:pPr>
      <w:r>
        <w:rPr>
          <w:color w:val="231F20"/>
        </w:rPr>
        <w:t>opportunity to address it.</w:t>
      </w:r>
    </w:p>
    <w:p w14:paraId="77E15630" w14:textId="77777777" w:rsidR="00894070" w:rsidRDefault="00894070">
      <w:pPr>
        <w:pStyle w:val="BodyText"/>
        <w:spacing w:before="12"/>
        <w:rPr>
          <w:sz w:val="15"/>
        </w:rPr>
      </w:pPr>
    </w:p>
    <w:p w14:paraId="1AB45A96" w14:textId="77777777" w:rsidR="00894070" w:rsidRDefault="009B7AFD">
      <w:pPr>
        <w:ind w:left="1013"/>
        <w:rPr>
          <w:rFonts w:ascii="Raleway ExtraBold"/>
          <w:b/>
          <w:sz w:val="28"/>
        </w:rPr>
      </w:pPr>
      <w:r>
        <w:rPr>
          <w:rFonts w:ascii="Raleway ExtraBold"/>
          <w:b/>
          <w:color w:val="EA5B50"/>
          <w:sz w:val="28"/>
        </w:rPr>
        <w:t>Understanding and responding to stalking</w:t>
      </w:r>
    </w:p>
    <w:p w14:paraId="1403FCBE" w14:textId="77777777" w:rsidR="00894070" w:rsidRDefault="009B7AFD">
      <w:pPr>
        <w:pStyle w:val="ListParagraph"/>
        <w:numPr>
          <w:ilvl w:val="0"/>
          <w:numId w:val="192"/>
        </w:numPr>
        <w:tabs>
          <w:tab w:val="left" w:pos="1806"/>
          <w:tab w:val="left" w:pos="1808"/>
        </w:tabs>
        <w:spacing w:before="114" w:line="259" w:lineRule="exact"/>
        <w:ind w:left="1807"/>
        <w:rPr>
          <w:sz w:val="20"/>
        </w:rPr>
      </w:pPr>
      <w:r>
        <w:rPr>
          <w:color w:val="231F20"/>
          <w:sz w:val="20"/>
        </w:rPr>
        <w:t>Stalking</w:t>
      </w:r>
      <w:r>
        <w:rPr>
          <w:color w:val="231F20"/>
          <w:spacing w:val="-4"/>
          <w:sz w:val="20"/>
        </w:rPr>
        <w:t xml:space="preserve"> </w:t>
      </w:r>
      <w:r>
        <w:rPr>
          <w:color w:val="231F20"/>
          <w:sz w:val="20"/>
        </w:rPr>
        <w:t>is</w:t>
      </w:r>
      <w:r>
        <w:rPr>
          <w:color w:val="231F20"/>
          <w:spacing w:val="-3"/>
          <w:sz w:val="20"/>
        </w:rPr>
        <w:t xml:space="preserve"> </w:t>
      </w:r>
      <w:r>
        <w:rPr>
          <w:color w:val="231F20"/>
          <w:sz w:val="20"/>
        </w:rPr>
        <w:t>not</w:t>
      </w:r>
      <w:r>
        <w:rPr>
          <w:color w:val="231F20"/>
          <w:spacing w:val="-4"/>
          <w:sz w:val="20"/>
        </w:rPr>
        <w:t xml:space="preserve"> </w:t>
      </w:r>
      <w:r>
        <w:rPr>
          <w:color w:val="231F20"/>
          <w:sz w:val="20"/>
        </w:rPr>
        <w:t>well</w:t>
      </w:r>
      <w:r>
        <w:rPr>
          <w:color w:val="231F20"/>
          <w:spacing w:val="-3"/>
          <w:sz w:val="20"/>
        </w:rPr>
        <w:t xml:space="preserve"> </w:t>
      </w:r>
      <w:r>
        <w:rPr>
          <w:color w:val="231F20"/>
          <w:sz w:val="20"/>
        </w:rPr>
        <w:t>understood.</w:t>
      </w:r>
      <w:r>
        <w:rPr>
          <w:color w:val="231F20"/>
          <w:spacing w:val="-4"/>
          <w:sz w:val="20"/>
        </w:rPr>
        <w:t xml:space="preserve"> </w:t>
      </w:r>
      <w:r>
        <w:rPr>
          <w:color w:val="231F20"/>
          <w:sz w:val="20"/>
        </w:rPr>
        <w:t>Information</w:t>
      </w:r>
      <w:r>
        <w:rPr>
          <w:color w:val="231F20"/>
          <w:spacing w:val="-3"/>
          <w:sz w:val="20"/>
        </w:rPr>
        <w:t xml:space="preserve"> </w:t>
      </w:r>
      <w:r>
        <w:rPr>
          <w:color w:val="231F20"/>
          <w:sz w:val="20"/>
        </w:rPr>
        <w:t>about</w:t>
      </w:r>
      <w:r>
        <w:rPr>
          <w:color w:val="231F20"/>
          <w:spacing w:val="-4"/>
          <w:sz w:val="20"/>
        </w:rPr>
        <w:t xml:space="preserve"> </w:t>
      </w:r>
      <w:r>
        <w:rPr>
          <w:color w:val="231F20"/>
          <w:sz w:val="20"/>
        </w:rPr>
        <w:t>stalking</w:t>
      </w:r>
      <w:r>
        <w:rPr>
          <w:color w:val="231F20"/>
          <w:spacing w:val="-3"/>
          <w:sz w:val="20"/>
        </w:rPr>
        <w:t xml:space="preserve"> </w:t>
      </w:r>
      <w:r>
        <w:rPr>
          <w:color w:val="231F20"/>
          <w:sz w:val="20"/>
        </w:rPr>
        <w:t>is</w:t>
      </w:r>
      <w:r>
        <w:rPr>
          <w:color w:val="231F20"/>
          <w:spacing w:val="-4"/>
          <w:sz w:val="20"/>
        </w:rPr>
        <w:t xml:space="preserve"> </w:t>
      </w:r>
      <w:r>
        <w:rPr>
          <w:color w:val="231F20"/>
          <w:sz w:val="20"/>
        </w:rPr>
        <w:t>hard</w:t>
      </w:r>
      <w:r>
        <w:rPr>
          <w:color w:val="231F20"/>
          <w:spacing w:val="-3"/>
          <w:sz w:val="20"/>
        </w:rPr>
        <w:t xml:space="preserve"> </w:t>
      </w:r>
      <w:r>
        <w:rPr>
          <w:color w:val="231F20"/>
          <w:sz w:val="20"/>
        </w:rPr>
        <w:t>to</w:t>
      </w:r>
      <w:r>
        <w:rPr>
          <w:color w:val="231F20"/>
          <w:spacing w:val="-4"/>
          <w:sz w:val="20"/>
        </w:rPr>
        <w:t xml:space="preserve"> </w:t>
      </w:r>
      <w:r>
        <w:rPr>
          <w:color w:val="231F20"/>
          <w:sz w:val="20"/>
        </w:rPr>
        <w:t>find,</w:t>
      </w:r>
      <w:r>
        <w:rPr>
          <w:color w:val="231F20"/>
          <w:spacing w:val="-3"/>
          <w:sz w:val="20"/>
        </w:rPr>
        <w:t xml:space="preserve"> </w:t>
      </w:r>
      <w:r>
        <w:rPr>
          <w:color w:val="231F20"/>
          <w:sz w:val="20"/>
        </w:rPr>
        <w:t>incomplete</w:t>
      </w:r>
    </w:p>
    <w:p w14:paraId="7803CD1A" w14:textId="77777777" w:rsidR="00894070" w:rsidRDefault="009B7AFD">
      <w:pPr>
        <w:pStyle w:val="BodyText"/>
        <w:spacing w:line="259" w:lineRule="exact"/>
        <w:ind w:left="1806"/>
      </w:pPr>
      <w:r>
        <w:rPr>
          <w:color w:val="231F20"/>
        </w:rPr>
        <w:t>or not clear enough.</w:t>
      </w:r>
    </w:p>
    <w:p w14:paraId="44E0549B" w14:textId="77777777" w:rsidR="00894070" w:rsidRDefault="009B7AFD">
      <w:pPr>
        <w:pStyle w:val="ListParagraph"/>
        <w:numPr>
          <w:ilvl w:val="0"/>
          <w:numId w:val="192"/>
        </w:numPr>
        <w:tabs>
          <w:tab w:val="left" w:pos="1806"/>
          <w:tab w:val="left" w:pos="1808"/>
        </w:tabs>
        <w:spacing w:before="82" w:line="259" w:lineRule="exact"/>
        <w:ind w:left="1807"/>
        <w:rPr>
          <w:sz w:val="20"/>
        </w:rPr>
      </w:pPr>
      <w:r>
        <w:rPr>
          <w:color w:val="231F20"/>
          <w:sz w:val="20"/>
        </w:rPr>
        <w:t>There should be education about stalking for people in the community and those</w:t>
      </w:r>
      <w:r>
        <w:rPr>
          <w:color w:val="231F20"/>
          <w:spacing w:val="-36"/>
          <w:sz w:val="20"/>
        </w:rPr>
        <w:t xml:space="preserve"> </w:t>
      </w:r>
      <w:r>
        <w:rPr>
          <w:color w:val="231F20"/>
          <w:sz w:val="20"/>
        </w:rPr>
        <w:t>who</w:t>
      </w:r>
    </w:p>
    <w:p w14:paraId="6D1AA961" w14:textId="77777777" w:rsidR="00894070" w:rsidRDefault="009B7AFD">
      <w:pPr>
        <w:pStyle w:val="BodyText"/>
        <w:spacing w:line="259" w:lineRule="exact"/>
        <w:ind w:left="1806"/>
      </w:pPr>
      <w:r>
        <w:rPr>
          <w:color w:val="231F20"/>
        </w:rPr>
        <w:t>work in the justice system.</w:t>
      </w:r>
    </w:p>
    <w:p w14:paraId="32E0DDBC" w14:textId="77777777" w:rsidR="00894070" w:rsidRDefault="009B7AFD">
      <w:pPr>
        <w:pStyle w:val="ListParagraph"/>
        <w:numPr>
          <w:ilvl w:val="0"/>
          <w:numId w:val="192"/>
        </w:numPr>
        <w:tabs>
          <w:tab w:val="left" w:pos="1806"/>
          <w:tab w:val="left" w:pos="1808"/>
        </w:tabs>
        <w:spacing w:before="83" w:line="259" w:lineRule="exact"/>
        <w:ind w:left="1807"/>
        <w:rPr>
          <w:sz w:val="20"/>
        </w:rPr>
      </w:pPr>
      <w:r>
        <w:rPr>
          <w:color w:val="231F20"/>
          <w:sz w:val="20"/>
        </w:rPr>
        <w:t>People</w:t>
      </w:r>
      <w:r>
        <w:rPr>
          <w:color w:val="231F20"/>
          <w:spacing w:val="-3"/>
          <w:sz w:val="20"/>
        </w:rPr>
        <w:t xml:space="preserve"> </w:t>
      </w:r>
      <w:r>
        <w:rPr>
          <w:color w:val="231F20"/>
          <w:sz w:val="20"/>
        </w:rPr>
        <w:t>need</w:t>
      </w:r>
      <w:r>
        <w:rPr>
          <w:color w:val="231F20"/>
          <w:spacing w:val="-3"/>
          <w:sz w:val="20"/>
        </w:rPr>
        <w:t xml:space="preserve"> </w:t>
      </w:r>
      <w:r>
        <w:rPr>
          <w:color w:val="231F20"/>
          <w:sz w:val="20"/>
        </w:rPr>
        <w:t>to</w:t>
      </w:r>
      <w:r>
        <w:rPr>
          <w:color w:val="231F20"/>
          <w:spacing w:val="-3"/>
          <w:sz w:val="20"/>
        </w:rPr>
        <w:t xml:space="preserve"> </w:t>
      </w:r>
      <w:r>
        <w:rPr>
          <w:color w:val="231F20"/>
          <w:sz w:val="20"/>
        </w:rPr>
        <w:t>know</w:t>
      </w:r>
      <w:r>
        <w:rPr>
          <w:color w:val="231F20"/>
          <w:spacing w:val="-3"/>
          <w:sz w:val="20"/>
        </w:rPr>
        <w:t xml:space="preserve"> </w:t>
      </w:r>
      <w:r>
        <w:rPr>
          <w:color w:val="231F20"/>
          <w:sz w:val="20"/>
        </w:rPr>
        <w:t>more</w:t>
      </w:r>
      <w:r>
        <w:rPr>
          <w:color w:val="231F20"/>
          <w:spacing w:val="-3"/>
          <w:sz w:val="20"/>
        </w:rPr>
        <w:t xml:space="preserve"> </w:t>
      </w:r>
      <w:r>
        <w:rPr>
          <w:color w:val="231F20"/>
          <w:sz w:val="20"/>
        </w:rPr>
        <w:t>about</w:t>
      </w:r>
      <w:r>
        <w:rPr>
          <w:color w:val="231F20"/>
          <w:spacing w:val="-3"/>
          <w:sz w:val="20"/>
        </w:rPr>
        <w:t xml:space="preserve"> </w:t>
      </w:r>
      <w:r>
        <w:rPr>
          <w:color w:val="231F20"/>
          <w:sz w:val="20"/>
        </w:rPr>
        <w:t>what</w:t>
      </w:r>
      <w:r>
        <w:rPr>
          <w:color w:val="231F20"/>
          <w:spacing w:val="-3"/>
          <w:sz w:val="20"/>
        </w:rPr>
        <w:t xml:space="preserve"> </w:t>
      </w:r>
      <w:r>
        <w:rPr>
          <w:color w:val="231F20"/>
          <w:sz w:val="20"/>
        </w:rPr>
        <w:t>stalking</w:t>
      </w:r>
      <w:r>
        <w:rPr>
          <w:color w:val="231F20"/>
          <w:spacing w:val="-3"/>
          <w:sz w:val="20"/>
        </w:rPr>
        <w:t xml:space="preserve"> </w:t>
      </w:r>
      <w:r>
        <w:rPr>
          <w:color w:val="231F20"/>
          <w:sz w:val="20"/>
        </w:rPr>
        <w:t>is,</w:t>
      </w:r>
      <w:r>
        <w:rPr>
          <w:color w:val="231F20"/>
          <w:spacing w:val="-3"/>
          <w:sz w:val="20"/>
        </w:rPr>
        <w:t xml:space="preserve"> </w:t>
      </w:r>
      <w:r>
        <w:rPr>
          <w:color w:val="231F20"/>
          <w:sz w:val="20"/>
        </w:rPr>
        <w:t>how</w:t>
      </w:r>
      <w:r>
        <w:rPr>
          <w:color w:val="231F20"/>
          <w:spacing w:val="-3"/>
          <w:sz w:val="20"/>
        </w:rPr>
        <w:t xml:space="preserve"> </w:t>
      </w:r>
      <w:r>
        <w:rPr>
          <w:color w:val="231F20"/>
          <w:sz w:val="20"/>
        </w:rPr>
        <w:t>best</w:t>
      </w:r>
      <w:r>
        <w:rPr>
          <w:color w:val="231F20"/>
          <w:spacing w:val="-3"/>
          <w:sz w:val="20"/>
        </w:rPr>
        <w:t xml:space="preserve"> </w:t>
      </w:r>
      <w:r>
        <w:rPr>
          <w:color w:val="231F20"/>
          <w:sz w:val="20"/>
        </w:rPr>
        <w:t>to</w:t>
      </w:r>
      <w:r>
        <w:rPr>
          <w:color w:val="231F20"/>
          <w:spacing w:val="-3"/>
          <w:sz w:val="20"/>
        </w:rPr>
        <w:t xml:space="preserve"> </w:t>
      </w:r>
      <w:r>
        <w:rPr>
          <w:color w:val="231F20"/>
          <w:sz w:val="20"/>
        </w:rPr>
        <w:t>respond</w:t>
      </w:r>
      <w:r>
        <w:rPr>
          <w:color w:val="231F20"/>
          <w:spacing w:val="-3"/>
          <w:sz w:val="20"/>
        </w:rPr>
        <w:t xml:space="preserve"> </w:t>
      </w:r>
      <w:r>
        <w:rPr>
          <w:color w:val="231F20"/>
          <w:sz w:val="20"/>
        </w:rPr>
        <w:t>to</w:t>
      </w:r>
      <w:r>
        <w:rPr>
          <w:color w:val="231F20"/>
          <w:spacing w:val="-3"/>
          <w:sz w:val="20"/>
        </w:rPr>
        <w:t xml:space="preserve"> </w:t>
      </w:r>
      <w:r>
        <w:rPr>
          <w:color w:val="231F20"/>
          <w:sz w:val="20"/>
        </w:rPr>
        <w:t>it</w:t>
      </w:r>
      <w:r>
        <w:rPr>
          <w:color w:val="231F20"/>
          <w:spacing w:val="-3"/>
          <w:sz w:val="20"/>
        </w:rPr>
        <w:t xml:space="preserve"> </w:t>
      </w:r>
      <w:r>
        <w:rPr>
          <w:color w:val="231F20"/>
          <w:sz w:val="20"/>
        </w:rPr>
        <w:t>and</w:t>
      </w:r>
      <w:r>
        <w:rPr>
          <w:color w:val="231F20"/>
          <w:spacing w:val="-3"/>
          <w:sz w:val="20"/>
        </w:rPr>
        <w:t xml:space="preserve"> </w:t>
      </w:r>
      <w:r>
        <w:rPr>
          <w:color w:val="231F20"/>
          <w:sz w:val="20"/>
        </w:rPr>
        <w:t>the</w:t>
      </w:r>
    </w:p>
    <w:p w14:paraId="77A7338F" w14:textId="77777777" w:rsidR="00894070" w:rsidRDefault="009B7AFD">
      <w:pPr>
        <w:pStyle w:val="BodyText"/>
        <w:spacing w:line="259" w:lineRule="exact"/>
        <w:ind w:left="1806"/>
      </w:pPr>
      <w:r>
        <w:rPr>
          <w:color w:val="231F20"/>
        </w:rPr>
        <w:t>justice and support options available.</w:t>
      </w:r>
    </w:p>
    <w:p w14:paraId="6471F2FA" w14:textId="77777777" w:rsidR="00894070" w:rsidRDefault="009B7AFD">
      <w:pPr>
        <w:pStyle w:val="ListParagraph"/>
        <w:numPr>
          <w:ilvl w:val="0"/>
          <w:numId w:val="192"/>
        </w:numPr>
        <w:tabs>
          <w:tab w:val="left" w:pos="1806"/>
          <w:tab w:val="left" w:pos="1808"/>
        </w:tabs>
        <w:spacing w:before="114" w:line="206" w:lineRule="auto"/>
        <w:ind w:right="1944" w:hanging="793"/>
        <w:rPr>
          <w:sz w:val="20"/>
        </w:rPr>
      </w:pPr>
      <w:r>
        <w:rPr>
          <w:color w:val="231F20"/>
          <w:sz w:val="20"/>
        </w:rPr>
        <w:t>For</w:t>
      </w:r>
      <w:r>
        <w:rPr>
          <w:color w:val="231F20"/>
          <w:spacing w:val="-6"/>
          <w:sz w:val="20"/>
        </w:rPr>
        <w:t xml:space="preserve"> </w:t>
      </w:r>
      <w:r>
        <w:rPr>
          <w:color w:val="231F20"/>
          <w:sz w:val="20"/>
        </w:rPr>
        <w:t>people</w:t>
      </w:r>
      <w:r>
        <w:rPr>
          <w:color w:val="231F20"/>
          <w:spacing w:val="-6"/>
          <w:sz w:val="20"/>
        </w:rPr>
        <w:t xml:space="preserve"> </w:t>
      </w:r>
      <w:r>
        <w:rPr>
          <w:color w:val="231F20"/>
          <w:sz w:val="20"/>
        </w:rPr>
        <w:t>who</w:t>
      </w:r>
      <w:r>
        <w:rPr>
          <w:color w:val="231F20"/>
          <w:spacing w:val="-6"/>
          <w:sz w:val="20"/>
        </w:rPr>
        <w:t xml:space="preserve"> </w:t>
      </w:r>
      <w:r>
        <w:rPr>
          <w:color w:val="231F20"/>
          <w:sz w:val="20"/>
        </w:rPr>
        <w:t>work</w:t>
      </w:r>
      <w:r>
        <w:rPr>
          <w:color w:val="231F20"/>
          <w:spacing w:val="-5"/>
          <w:sz w:val="20"/>
        </w:rPr>
        <w:t xml:space="preserve"> </w:t>
      </w:r>
      <w:r>
        <w:rPr>
          <w:color w:val="231F20"/>
          <w:sz w:val="20"/>
        </w:rPr>
        <w:t>in</w:t>
      </w:r>
      <w:r>
        <w:rPr>
          <w:color w:val="231F20"/>
          <w:spacing w:val="-6"/>
          <w:sz w:val="20"/>
        </w:rPr>
        <w:t xml:space="preserve"> </w:t>
      </w:r>
      <w:r>
        <w:rPr>
          <w:color w:val="231F20"/>
          <w:sz w:val="20"/>
        </w:rPr>
        <w:t>the</w:t>
      </w:r>
      <w:r>
        <w:rPr>
          <w:color w:val="231F20"/>
          <w:spacing w:val="-6"/>
          <w:sz w:val="20"/>
        </w:rPr>
        <w:t xml:space="preserve"> </w:t>
      </w:r>
      <w:r>
        <w:rPr>
          <w:color w:val="231F20"/>
          <w:sz w:val="20"/>
        </w:rPr>
        <w:t>justice</w:t>
      </w:r>
      <w:r>
        <w:rPr>
          <w:color w:val="231F20"/>
          <w:spacing w:val="-6"/>
          <w:sz w:val="20"/>
        </w:rPr>
        <w:t xml:space="preserve"> </w:t>
      </w:r>
      <w:r>
        <w:rPr>
          <w:color w:val="231F20"/>
          <w:sz w:val="20"/>
        </w:rPr>
        <w:t>system,</w:t>
      </w:r>
      <w:r>
        <w:rPr>
          <w:color w:val="231F20"/>
          <w:spacing w:val="-5"/>
          <w:sz w:val="20"/>
        </w:rPr>
        <w:t xml:space="preserve"> </w:t>
      </w:r>
      <w:r>
        <w:rPr>
          <w:color w:val="231F20"/>
          <w:sz w:val="20"/>
        </w:rPr>
        <w:t>education</w:t>
      </w:r>
      <w:r>
        <w:rPr>
          <w:color w:val="231F20"/>
          <w:spacing w:val="-6"/>
          <w:sz w:val="20"/>
        </w:rPr>
        <w:t xml:space="preserve"> </w:t>
      </w:r>
      <w:r>
        <w:rPr>
          <w:color w:val="231F20"/>
          <w:sz w:val="20"/>
        </w:rPr>
        <w:t>should</w:t>
      </w:r>
      <w:r>
        <w:rPr>
          <w:color w:val="231F20"/>
          <w:spacing w:val="-6"/>
          <w:sz w:val="20"/>
        </w:rPr>
        <w:t xml:space="preserve"> </w:t>
      </w:r>
      <w:r>
        <w:rPr>
          <w:color w:val="231F20"/>
          <w:sz w:val="20"/>
        </w:rPr>
        <w:t>include</w:t>
      </w:r>
      <w:r>
        <w:rPr>
          <w:color w:val="231F20"/>
          <w:spacing w:val="-6"/>
          <w:sz w:val="20"/>
        </w:rPr>
        <w:t xml:space="preserve"> </w:t>
      </w:r>
      <w:r>
        <w:rPr>
          <w:color w:val="231F20"/>
          <w:sz w:val="20"/>
        </w:rPr>
        <w:t>practical information that will help them respond to stalking</w:t>
      </w:r>
      <w:r>
        <w:rPr>
          <w:color w:val="231F20"/>
          <w:spacing w:val="-25"/>
          <w:sz w:val="20"/>
        </w:rPr>
        <w:t xml:space="preserve"> </w:t>
      </w:r>
      <w:r>
        <w:rPr>
          <w:color w:val="231F20"/>
          <w:spacing w:val="-3"/>
          <w:sz w:val="20"/>
        </w:rPr>
        <w:t>effectively.</w:t>
      </w:r>
    </w:p>
    <w:p w14:paraId="02834EBF" w14:textId="77777777" w:rsidR="00894070" w:rsidRDefault="00894070">
      <w:pPr>
        <w:pStyle w:val="BodyText"/>
        <w:spacing w:before="6"/>
        <w:rPr>
          <w:sz w:val="16"/>
        </w:rPr>
      </w:pPr>
    </w:p>
    <w:p w14:paraId="02709469" w14:textId="77777777" w:rsidR="00894070" w:rsidRDefault="009B7AFD">
      <w:pPr>
        <w:pStyle w:val="Heading7"/>
        <w:ind w:left="1013"/>
      </w:pPr>
      <w:r>
        <w:rPr>
          <w:color w:val="EA5B50"/>
        </w:rPr>
        <w:t>Supporting people who experience stalking</w:t>
      </w:r>
    </w:p>
    <w:p w14:paraId="33FA3B44" w14:textId="77777777" w:rsidR="00894070" w:rsidRDefault="009B7AFD">
      <w:pPr>
        <w:pStyle w:val="ListParagraph"/>
        <w:numPr>
          <w:ilvl w:val="0"/>
          <w:numId w:val="192"/>
        </w:numPr>
        <w:tabs>
          <w:tab w:val="left" w:pos="1806"/>
          <w:tab w:val="left" w:pos="1808"/>
        </w:tabs>
        <w:spacing w:before="114" w:line="259" w:lineRule="exact"/>
        <w:ind w:left="1807"/>
        <w:rPr>
          <w:sz w:val="20"/>
        </w:rPr>
      </w:pPr>
      <w:r>
        <w:rPr>
          <w:color w:val="231F20"/>
          <w:sz w:val="20"/>
        </w:rPr>
        <w:t>It can be isolating, all-consuming and frightening to be stalked. People</w:t>
      </w:r>
      <w:r>
        <w:rPr>
          <w:color w:val="231F20"/>
          <w:spacing w:val="-29"/>
          <w:sz w:val="20"/>
        </w:rPr>
        <w:t xml:space="preserve"> </w:t>
      </w:r>
      <w:r>
        <w:rPr>
          <w:color w:val="231F20"/>
          <w:sz w:val="20"/>
        </w:rPr>
        <w:t>who</w:t>
      </w:r>
    </w:p>
    <w:p w14:paraId="21C0763E" w14:textId="77777777" w:rsidR="00894070" w:rsidRDefault="009B7AFD">
      <w:pPr>
        <w:pStyle w:val="BodyText"/>
        <w:spacing w:line="259" w:lineRule="exact"/>
        <w:ind w:left="1806"/>
      </w:pPr>
      <w:r>
        <w:rPr>
          <w:color w:val="231F20"/>
        </w:rPr>
        <w:t>experience stalking should be well supported.</w:t>
      </w:r>
    </w:p>
    <w:p w14:paraId="6F84F2DA" w14:textId="77777777" w:rsidR="00894070" w:rsidRDefault="009B7AFD">
      <w:pPr>
        <w:pStyle w:val="ListParagraph"/>
        <w:numPr>
          <w:ilvl w:val="0"/>
          <w:numId w:val="192"/>
        </w:numPr>
        <w:tabs>
          <w:tab w:val="left" w:pos="1806"/>
          <w:tab w:val="left" w:pos="1808"/>
        </w:tabs>
        <w:spacing w:before="115" w:line="206" w:lineRule="auto"/>
        <w:ind w:right="1594" w:hanging="793"/>
        <w:rPr>
          <w:sz w:val="20"/>
        </w:rPr>
      </w:pPr>
      <w:r>
        <w:rPr>
          <w:color w:val="231F20"/>
          <w:sz w:val="20"/>
        </w:rPr>
        <w:t xml:space="preserve">People who experience stalking need quick, </w:t>
      </w:r>
      <w:proofErr w:type="gramStart"/>
      <w:r>
        <w:rPr>
          <w:color w:val="231F20"/>
          <w:sz w:val="20"/>
        </w:rPr>
        <w:t>practical</w:t>
      </w:r>
      <w:proofErr w:type="gramEnd"/>
      <w:r>
        <w:rPr>
          <w:color w:val="231F20"/>
          <w:sz w:val="20"/>
        </w:rPr>
        <w:t xml:space="preserve"> and ongoing support</w:t>
      </w:r>
      <w:r>
        <w:rPr>
          <w:color w:val="231F20"/>
          <w:spacing w:val="-37"/>
          <w:sz w:val="20"/>
        </w:rPr>
        <w:t xml:space="preserve"> </w:t>
      </w:r>
      <w:r>
        <w:rPr>
          <w:color w:val="231F20"/>
          <w:sz w:val="20"/>
        </w:rPr>
        <w:t>which might be different to other victims of crime. For example, those who experience cyberstalking may need tracking software removed from their</w:t>
      </w:r>
      <w:r>
        <w:rPr>
          <w:color w:val="231F20"/>
          <w:spacing w:val="-26"/>
          <w:sz w:val="20"/>
        </w:rPr>
        <w:t xml:space="preserve"> </w:t>
      </w:r>
      <w:r>
        <w:rPr>
          <w:color w:val="231F20"/>
          <w:sz w:val="20"/>
        </w:rPr>
        <w:t>phones.</w:t>
      </w:r>
    </w:p>
    <w:p w14:paraId="5A65763A" w14:textId="77777777" w:rsidR="00894070" w:rsidRDefault="00894070">
      <w:pPr>
        <w:pStyle w:val="BodyText"/>
      </w:pPr>
    </w:p>
    <w:p w14:paraId="0175719B" w14:textId="77777777" w:rsidR="00894070" w:rsidRDefault="009B7AFD">
      <w:pPr>
        <w:pStyle w:val="Heading8"/>
        <w:spacing w:before="197"/>
        <w:ind w:left="140"/>
      </w:pPr>
      <w:r>
        <w:rPr>
          <w:color w:val="EA5B50"/>
        </w:rPr>
        <w:t>xii</w:t>
      </w:r>
    </w:p>
    <w:p w14:paraId="1193F551" w14:textId="77777777" w:rsidR="00894070" w:rsidRDefault="00894070">
      <w:pPr>
        <w:sectPr w:rsidR="00894070">
          <w:pgSz w:w="11910" w:h="16840"/>
          <w:pgMar w:top="860" w:right="420" w:bottom="280" w:left="580" w:header="567" w:footer="0" w:gutter="0"/>
          <w:cols w:space="720"/>
        </w:sectPr>
      </w:pPr>
    </w:p>
    <w:p w14:paraId="7436EC21" w14:textId="77777777" w:rsidR="00894070" w:rsidRDefault="00894070">
      <w:pPr>
        <w:pStyle w:val="BodyText"/>
        <w:rPr>
          <w:b/>
        </w:rPr>
      </w:pPr>
    </w:p>
    <w:p w14:paraId="7A0DB32C" w14:textId="77777777" w:rsidR="00894070" w:rsidRDefault="00894070">
      <w:pPr>
        <w:pStyle w:val="BodyText"/>
        <w:rPr>
          <w:b/>
        </w:rPr>
      </w:pPr>
    </w:p>
    <w:p w14:paraId="7A9F86E8" w14:textId="77777777" w:rsidR="00894070" w:rsidRDefault="00894070">
      <w:pPr>
        <w:pStyle w:val="BodyText"/>
        <w:rPr>
          <w:b/>
        </w:rPr>
      </w:pPr>
    </w:p>
    <w:p w14:paraId="55077016" w14:textId="77777777" w:rsidR="00894070" w:rsidRDefault="00894070">
      <w:pPr>
        <w:pStyle w:val="BodyText"/>
        <w:spacing w:before="12"/>
        <w:rPr>
          <w:b/>
          <w:sz w:val="13"/>
        </w:rPr>
      </w:pPr>
    </w:p>
    <w:p w14:paraId="1963D4EF" w14:textId="77777777" w:rsidR="00894070" w:rsidRDefault="009B7AFD">
      <w:pPr>
        <w:pStyle w:val="ListParagraph"/>
        <w:numPr>
          <w:ilvl w:val="0"/>
          <w:numId w:val="192"/>
        </w:numPr>
        <w:tabs>
          <w:tab w:val="left" w:pos="1815"/>
          <w:tab w:val="left" w:pos="1816"/>
        </w:tabs>
        <w:spacing w:before="89" w:line="206" w:lineRule="auto"/>
        <w:ind w:left="1815" w:right="1371"/>
        <w:rPr>
          <w:sz w:val="20"/>
        </w:rPr>
      </w:pPr>
      <w:r>
        <w:rPr>
          <w:color w:val="231F20"/>
          <w:sz w:val="20"/>
        </w:rPr>
        <w:t>Victoria</w:t>
      </w:r>
      <w:r>
        <w:rPr>
          <w:color w:val="231F20"/>
          <w:spacing w:val="-5"/>
          <w:sz w:val="20"/>
        </w:rPr>
        <w:t xml:space="preserve"> </w:t>
      </w:r>
      <w:r>
        <w:rPr>
          <w:color w:val="231F20"/>
          <w:sz w:val="20"/>
        </w:rPr>
        <w:t>has</w:t>
      </w:r>
      <w:r>
        <w:rPr>
          <w:color w:val="231F20"/>
          <w:spacing w:val="-5"/>
          <w:sz w:val="20"/>
        </w:rPr>
        <w:t xml:space="preserve"> </w:t>
      </w:r>
      <w:r>
        <w:rPr>
          <w:color w:val="231F20"/>
          <w:sz w:val="20"/>
        </w:rPr>
        <w:t>the</w:t>
      </w:r>
      <w:r>
        <w:rPr>
          <w:color w:val="231F20"/>
          <w:spacing w:val="-5"/>
          <w:sz w:val="20"/>
        </w:rPr>
        <w:t xml:space="preserve"> </w:t>
      </w:r>
      <w:r>
        <w:rPr>
          <w:color w:val="231F20"/>
          <w:sz w:val="20"/>
        </w:rPr>
        <w:t>foundations</w:t>
      </w:r>
      <w:r>
        <w:rPr>
          <w:color w:val="231F20"/>
          <w:spacing w:val="-5"/>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z w:val="20"/>
        </w:rPr>
        <w:t>strong</w:t>
      </w:r>
      <w:r>
        <w:rPr>
          <w:color w:val="231F20"/>
          <w:spacing w:val="-5"/>
          <w:sz w:val="20"/>
        </w:rPr>
        <w:t xml:space="preserve"> </w:t>
      </w:r>
      <w:r>
        <w:rPr>
          <w:color w:val="231F20"/>
          <w:sz w:val="20"/>
        </w:rPr>
        <w:t>support</w:t>
      </w:r>
      <w:r>
        <w:rPr>
          <w:color w:val="231F20"/>
          <w:spacing w:val="-5"/>
          <w:sz w:val="20"/>
        </w:rPr>
        <w:t xml:space="preserve"> </w:t>
      </w:r>
      <w:r>
        <w:rPr>
          <w:color w:val="231F20"/>
          <w:sz w:val="20"/>
        </w:rPr>
        <w:t>system.</w:t>
      </w:r>
      <w:r>
        <w:rPr>
          <w:color w:val="231F20"/>
          <w:spacing w:val="-5"/>
          <w:sz w:val="20"/>
        </w:rPr>
        <w:t xml:space="preserve"> </w:t>
      </w:r>
      <w:r>
        <w:rPr>
          <w:color w:val="231F20"/>
          <w:sz w:val="20"/>
        </w:rPr>
        <w:t>But</w:t>
      </w:r>
      <w:r>
        <w:rPr>
          <w:color w:val="231F20"/>
          <w:spacing w:val="-4"/>
          <w:sz w:val="20"/>
        </w:rPr>
        <w:t xml:space="preserve"> </w:t>
      </w:r>
      <w:r>
        <w:rPr>
          <w:color w:val="231F20"/>
          <w:sz w:val="20"/>
        </w:rPr>
        <w:t>it</w:t>
      </w:r>
      <w:r>
        <w:rPr>
          <w:color w:val="231F20"/>
          <w:spacing w:val="-5"/>
          <w:sz w:val="20"/>
        </w:rPr>
        <w:t xml:space="preserve"> </w:t>
      </w:r>
      <w:r>
        <w:rPr>
          <w:color w:val="231F20"/>
          <w:sz w:val="20"/>
        </w:rPr>
        <w:t>needs</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improved to make it accessible and effective for stalking victim</w:t>
      </w:r>
      <w:r>
        <w:rPr>
          <w:color w:val="231F20"/>
          <w:spacing w:val="-29"/>
          <w:sz w:val="20"/>
        </w:rPr>
        <w:t xml:space="preserve"> </w:t>
      </w:r>
      <w:r>
        <w:rPr>
          <w:color w:val="231F20"/>
          <w:sz w:val="20"/>
        </w:rPr>
        <w:t>survivors.</w:t>
      </w:r>
    </w:p>
    <w:p w14:paraId="25EC9F9B" w14:textId="77777777" w:rsidR="00894070" w:rsidRDefault="009B7AFD">
      <w:pPr>
        <w:pStyle w:val="ListParagraph"/>
        <w:numPr>
          <w:ilvl w:val="0"/>
          <w:numId w:val="192"/>
        </w:numPr>
        <w:tabs>
          <w:tab w:val="left" w:pos="1815"/>
          <w:tab w:val="left" w:pos="1816"/>
        </w:tabs>
        <w:spacing w:before="123" w:line="206" w:lineRule="auto"/>
        <w:ind w:left="1815" w:right="1205"/>
        <w:rPr>
          <w:sz w:val="20"/>
        </w:rPr>
      </w:pPr>
      <w:r>
        <w:rPr>
          <w:color w:val="231F20"/>
          <w:sz w:val="20"/>
        </w:rPr>
        <w:t>The Victorian Government should implement recommendations on victim support from</w:t>
      </w:r>
      <w:r>
        <w:rPr>
          <w:color w:val="231F20"/>
          <w:spacing w:val="-6"/>
          <w:sz w:val="20"/>
        </w:rPr>
        <w:t xml:space="preserve"> </w:t>
      </w:r>
      <w:r>
        <w:rPr>
          <w:color w:val="231F20"/>
          <w:sz w:val="20"/>
        </w:rPr>
        <w:t>recent</w:t>
      </w:r>
      <w:r>
        <w:rPr>
          <w:color w:val="231F20"/>
          <w:spacing w:val="-5"/>
          <w:sz w:val="20"/>
        </w:rPr>
        <w:t xml:space="preserve"> </w:t>
      </w:r>
      <w:r>
        <w:rPr>
          <w:color w:val="231F20"/>
          <w:sz w:val="20"/>
        </w:rPr>
        <w:t>inquiries.</w:t>
      </w:r>
      <w:r>
        <w:rPr>
          <w:color w:val="231F20"/>
          <w:spacing w:val="-6"/>
          <w:sz w:val="20"/>
        </w:rPr>
        <w:t xml:space="preserve"> </w:t>
      </w:r>
      <w:r>
        <w:rPr>
          <w:color w:val="231F20"/>
          <w:sz w:val="20"/>
        </w:rPr>
        <w:t>It</w:t>
      </w:r>
      <w:r>
        <w:rPr>
          <w:color w:val="231F20"/>
          <w:spacing w:val="-5"/>
          <w:sz w:val="20"/>
        </w:rPr>
        <w:t xml:space="preserve"> </w:t>
      </w:r>
      <w:r>
        <w:rPr>
          <w:color w:val="231F20"/>
          <w:sz w:val="20"/>
        </w:rPr>
        <w:t>should</w:t>
      </w:r>
      <w:r>
        <w:rPr>
          <w:color w:val="231F20"/>
          <w:spacing w:val="-6"/>
          <w:sz w:val="20"/>
        </w:rPr>
        <w:t xml:space="preserve"> </w:t>
      </w:r>
      <w:r>
        <w:rPr>
          <w:color w:val="231F20"/>
          <w:spacing w:val="-3"/>
          <w:sz w:val="20"/>
        </w:rPr>
        <w:t>remove</w:t>
      </w:r>
      <w:r>
        <w:rPr>
          <w:color w:val="231F20"/>
          <w:spacing w:val="-5"/>
          <w:sz w:val="20"/>
        </w:rPr>
        <w:t xml:space="preserve"> </w:t>
      </w:r>
      <w:r>
        <w:rPr>
          <w:color w:val="231F20"/>
          <w:sz w:val="20"/>
        </w:rPr>
        <w:t>any</w:t>
      </w:r>
      <w:r>
        <w:rPr>
          <w:color w:val="231F20"/>
          <w:spacing w:val="-6"/>
          <w:sz w:val="20"/>
        </w:rPr>
        <w:t xml:space="preserve"> </w:t>
      </w:r>
      <w:r>
        <w:rPr>
          <w:color w:val="231F20"/>
          <w:sz w:val="20"/>
        </w:rPr>
        <w:t>barriers</w:t>
      </w:r>
      <w:r>
        <w:rPr>
          <w:color w:val="231F20"/>
          <w:spacing w:val="-5"/>
          <w:sz w:val="20"/>
        </w:rPr>
        <w:t xml:space="preserve"> </w:t>
      </w:r>
      <w:r>
        <w:rPr>
          <w:color w:val="231F20"/>
          <w:sz w:val="20"/>
        </w:rPr>
        <w:t>to</w:t>
      </w:r>
      <w:r>
        <w:rPr>
          <w:color w:val="231F20"/>
          <w:spacing w:val="-6"/>
          <w:sz w:val="20"/>
        </w:rPr>
        <w:t xml:space="preserve"> </w:t>
      </w:r>
      <w:r>
        <w:rPr>
          <w:color w:val="231F20"/>
          <w:sz w:val="20"/>
        </w:rPr>
        <w:t>eligibility</w:t>
      </w:r>
      <w:r>
        <w:rPr>
          <w:color w:val="231F20"/>
          <w:spacing w:val="-5"/>
          <w:sz w:val="20"/>
        </w:rPr>
        <w:t xml:space="preserve"> </w:t>
      </w:r>
      <w:r>
        <w:rPr>
          <w:color w:val="231F20"/>
          <w:sz w:val="20"/>
        </w:rPr>
        <w:t>that</w:t>
      </w:r>
      <w:r>
        <w:rPr>
          <w:color w:val="231F20"/>
          <w:spacing w:val="-6"/>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6"/>
          <w:sz w:val="20"/>
        </w:rPr>
        <w:t xml:space="preserve"> </w:t>
      </w:r>
      <w:r>
        <w:rPr>
          <w:color w:val="231F20"/>
          <w:sz w:val="20"/>
        </w:rPr>
        <w:t>of stalking</w:t>
      </w:r>
      <w:r>
        <w:rPr>
          <w:color w:val="231F20"/>
          <w:spacing w:val="-3"/>
          <w:sz w:val="20"/>
        </w:rPr>
        <w:t xml:space="preserve"> </w:t>
      </w:r>
      <w:r>
        <w:rPr>
          <w:color w:val="231F20"/>
          <w:sz w:val="20"/>
        </w:rPr>
        <w:t>face.</w:t>
      </w:r>
    </w:p>
    <w:p w14:paraId="01B3BB6E" w14:textId="77777777" w:rsidR="00894070" w:rsidRDefault="009B7AFD">
      <w:pPr>
        <w:pStyle w:val="ListParagraph"/>
        <w:numPr>
          <w:ilvl w:val="0"/>
          <w:numId w:val="192"/>
        </w:numPr>
        <w:tabs>
          <w:tab w:val="left" w:pos="1815"/>
          <w:tab w:val="left" w:pos="1816"/>
        </w:tabs>
        <w:spacing w:before="91" w:line="259" w:lineRule="exact"/>
        <w:ind w:left="1815"/>
        <w:rPr>
          <w:sz w:val="20"/>
        </w:rPr>
      </w:pPr>
      <w:r>
        <w:rPr>
          <w:color w:val="231F20"/>
          <w:sz w:val="20"/>
        </w:rPr>
        <w:t>It</w:t>
      </w:r>
      <w:r>
        <w:rPr>
          <w:color w:val="231F20"/>
          <w:spacing w:val="-4"/>
          <w:sz w:val="20"/>
        </w:rPr>
        <w:t xml:space="preserve"> </w:t>
      </w:r>
      <w:r>
        <w:rPr>
          <w:color w:val="231F20"/>
          <w:sz w:val="20"/>
        </w:rPr>
        <w:t>should</w:t>
      </w:r>
      <w:r>
        <w:rPr>
          <w:color w:val="231F20"/>
          <w:spacing w:val="-3"/>
          <w:sz w:val="20"/>
        </w:rPr>
        <w:t xml:space="preserve"> </w:t>
      </w:r>
      <w:r>
        <w:rPr>
          <w:color w:val="231F20"/>
          <w:sz w:val="20"/>
        </w:rPr>
        <w:t>fund</w:t>
      </w:r>
      <w:r>
        <w:rPr>
          <w:color w:val="231F20"/>
          <w:spacing w:val="-3"/>
          <w:sz w:val="20"/>
        </w:rPr>
        <w:t xml:space="preserve"> </w:t>
      </w:r>
      <w:r>
        <w:rPr>
          <w:color w:val="231F20"/>
          <w:sz w:val="20"/>
        </w:rPr>
        <w:t>a</w:t>
      </w:r>
      <w:r>
        <w:rPr>
          <w:color w:val="231F20"/>
          <w:spacing w:val="-3"/>
          <w:sz w:val="20"/>
        </w:rPr>
        <w:t xml:space="preserve"> </w:t>
      </w:r>
      <w:r>
        <w:rPr>
          <w:color w:val="231F20"/>
          <w:sz w:val="20"/>
        </w:rPr>
        <w:t>stream</w:t>
      </w:r>
      <w:r>
        <w:rPr>
          <w:color w:val="231F20"/>
          <w:spacing w:val="-3"/>
          <w:sz w:val="20"/>
        </w:rPr>
        <w:t xml:space="preserve"> </w:t>
      </w:r>
      <w:r>
        <w:rPr>
          <w:color w:val="231F20"/>
          <w:sz w:val="20"/>
        </w:rPr>
        <w:t>of</w:t>
      </w:r>
      <w:r>
        <w:rPr>
          <w:color w:val="231F20"/>
          <w:spacing w:val="-3"/>
          <w:sz w:val="20"/>
        </w:rPr>
        <w:t xml:space="preserve"> </w:t>
      </w:r>
      <w:r>
        <w:rPr>
          <w:color w:val="231F20"/>
          <w:sz w:val="20"/>
        </w:rPr>
        <w:t>quick</w:t>
      </w:r>
      <w:r>
        <w:rPr>
          <w:color w:val="231F20"/>
          <w:spacing w:val="-3"/>
          <w:sz w:val="20"/>
        </w:rPr>
        <w:t xml:space="preserve"> </w:t>
      </w:r>
      <w:r>
        <w:rPr>
          <w:color w:val="231F20"/>
          <w:sz w:val="20"/>
        </w:rPr>
        <w:t>financial</w:t>
      </w:r>
      <w:r>
        <w:rPr>
          <w:color w:val="231F20"/>
          <w:spacing w:val="-3"/>
          <w:sz w:val="20"/>
        </w:rPr>
        <w:t xml:space="preserve"> </w:t>
      </w:r>
      <w:r>
        <w:rPr>
          <w:color w:val="231F20"/>
          <w:sz w:val="20"/>
        </w:rPr>
        <w:t>assistance</w:t>
      </w:r>
      <w:r>
        <w:rPr>
          <w:color w:val="231F20"/>
          <w:spacing w:val="-3"/>
          <w:sz w:val="20"/>
        </w:rPr>
        <w:t xml:space="preserve"> </w:t>
      </w:r>
      <w:r>
        <w:rPr>
          <w:color w:val="231F20"/>
          <w:sz w:val="20"/>
        </w:rPr>
        <w:t>to</w:t>
      </w:r>
      <w:r>
        <w:rPr>
          <w:color w:val="231F20"/>
          <w:spacing w:val="-3"/>
          <w:sz w:val="20"/>
        </w:rPr>
        <w:t xml:space="preserve"> </w:t>
      </w:r>
      <w:r>
        <w:rPr>
          <w:color w:val="231F20"/>
          <w:sz w:val="20"/>
        </w:rPr>
        <w:t>help</w:t>
      </w:r>
      <w:r>
        <w:rPr>
          <w:color w:val="231F20"/>
          <w:spacing w:val="-3"/>
          <w:sz w:val="20"/>
        </w:rPr>
        <w:t xml:space="preserve"> </w:t>
      </w:r>
      <w:r>
        <w:rPr>
          <w:color w:val="231F20"/>
          <w:sz w:val="20"/>
        </w:rPr>
        <w:t>victim</w:t>
      </w:r>
      <w:r>
        <w:rPr>
          <w:color w:val="231F20"/>
          <w:spacing w:val="-3"/>
          <w:sz w:val="20"/>
        </w:rPr>
        <w:t xml:space="preserve"> </w:t>
      </w:r>
      <w:r>
        <w:rPr>
          <w:color w:val="231F20"/>
          <w:sz w:val="20"/>
        </w:rPr>
        <w:t>survivors</w:t>
      </w:r>
      <w:r>
        <w:rPr>
          <w:color w:val="231F20"/>
          <w:spacing w:val="-3"/>
          <w:sz w:val="20"/>
        </w:rPr>
        <w:t xml:space="preserve"> </w:t>
      </w:r>
      <w:r>
        <w:rPr>
          <w:color w:val="231F20"/>
          <w:sz w:val="20"/>
        </w:rPr>
        <w:t>pay</w:t>
      </w:r>
      <w:r>
        <w:rPr>
          <w:color w:val="231F20"/>
          <w:spacing w:val="-3"/>
          <w:sz w:val="20"/>
        </w:rPr>
        <w:t xml:space="preserve"> </w:t>
      </w:r>
      <w:r>
        <w:rPr>
          <w:color w:val="231F20"/>
          <w:sz w:val="20"/>
        </w:rPr>
        <w:t>for</w:t>
      </w:r>
    </w:p>
    <w:p w14:paraId="672A0E53" w14:textId="77777777" w:rsidR="00894070" w:rsidRDefault="009B7AFD">
      <w:pPr>
        <w:pStyle w:val="BodyText"/>
        <w:spacing w:line="259" w:lineRule="exact"/>
        <w:ind w:left="1815"/>
      </w:pPr>
      <w:r>
        <w:rPr>
          <w:color w:val="231F20"/>
        </w:rPr>
        <w:t>practical things such as home security.</w:t>
      </w:r>
    </w:p>
    <w:p w14:paraId="53747C2A" w14:textId="77777777" w:rsidR="00894070" w:rsidRDefault="009B7AFD">
      <w:pPr>
        <w:pStyle w:val="ListParagraph"/>
        <w:numPr>
          <w:ilvl w:val="0"/>
          <w:numId w:val="192"/>
        </w:numPr>
        <w:tabs>
          <w:tab w:val="left" w:pos="1815"/>
          <w:tab w:val="left" w:pos="1816"/>
        </w:tabs>
        <w:spacing w:before="83" w:line="259" w:lineRule="exact"/>
        <w:ind w:left="1815"/>
        <w:rPr>
          <w:sz w:val="20"/>
        </w:rPr>
      </w:pPr>
      <w:r>
        <w:rPr>
          <w:color w:val="231F20"/>
          <w:sz w:val="20"/>
        </w:rPr>
        <w:t>People who experience stalking should be quickly connected with the services</w:t>
      </w:r>
      <w:r>
        <w:rPr>
          <w:color w:val="231F20"/>
          <w:spacing w:val="-34"/>
          <w:sz w:val="20"/>
        </w:rPr>
        <w:t xml:space="preserve"> </w:t>
      </w:r>
      <w:r>
        <w:rPr>
          <w:color w:val="231F20"/>
          <w:sz w:val="20"/>
        </w:rPr>
        <w:t>that</w:t>
      </w:r>
    </w:p>
    <w:p w14:paraId="36CC4B53" w14:textId="77777777" w:rsidR="00894070" w:rsidRDefault="009B7AFD">
      <w:pPr>
        <w:pStyle w:val="BodyText"/>
        <w:spacing w:line="259" w:lineRule="exact"/>
        <w:ind w:left="1815"/>
      </w:pPr>
      <w:r>
        <w:rPr>
          <w:color w:val="231F20"/>
        </w:rPr>
        <w:t>can support them.</w:t>
      </w:r>
    </w:p>
    <w:p w14:paraId="5672707D" w14:textId="77777777" w:rsidR="00894070" w:rsidRDefault="009B7AFD">
      <w:pPr>
        <w:pStyle w:val="ListParagraph"/>
        <w:numPr>
          <w:ilvl w:val="0"/>
          <w:numId w:val="192"/>
        </w:numPr>
        <w:tabs>
          <w:tab w:val="left" w:pos="1815"/>
          <w:tab w:val="left" w:pos="1816"/>
        </w:tabs>
        <w:spacing w:before="115" w:line="206" w:lineRule="auto"/>
        <w:ind w:left="1815" w:right="1371"/>
        <w:rPr>
          <w:sz w:val="20"/>
        </w:rPr>
      </w:pPr>
      <w:r>
        <w:rPr>
          <w:color w:val="231F20"/>
          <w:sz w:val="20"/>
        </w:rPr>
        <w:t>Independent</w:t>
      </w:r>
      <w:r>
        <w:rPr>
          <w:color w:val="231F20"/>
          <w:spacing w:val="-8"/>
          <w:sz w:val="20"/>
        </w:rPr>
        <w:t xml:space="preserve"> </w:t>
      </w:r>
      <w:r>
        <w:rPr>
          <w:color w:val="231F20"/>
          <w:sz w:val="20"/>
        </w:rPr>
        <w:t>advocates</w:t>
      </w:r>
      <w:r>
        <w:rPr>
          <w:color w:val="231F20"/>
          <w:spacing w:val="-7"/>
          <w:sz w:val="20"/>
        </w:rPr>
        <w:t xml:space="preserve"> </w:t>
      </w:r>
      <w:r>
        <w:rPr>
          <w:color w:val="231F20"/>
          <w:sz w:val="20"/>
        </w:rPr>
        <w:t>should</w:t>
      </w:r>
      <w:r>
        <w:rPr>
          <w:color w:val="231F20"/>
          <w:spacing w:val="-7"/>
          <w:sz w:val="20"/>
        </w:rPr>
        <w:t xml:space="preserve"> </w:t>
      </w:r>
      <w:r>
        <w:rPr>
          <w:color w:val="231F20"/>
          <w:sz w:val="20"/>
        </w:rPr>
        <w:t>provide</w:t>
      </w:r>
      <w:r>
        <w:rPr>
          <w:color w:val="231F20"/>
          <w:spacing w:val="-7"/>
          <w:sz w:val="20"/>
        </w:rPr>
        <w:t xml:space="preserve"> </w:t>
      </w:r>
      <w:r>
        <w:rPr>
          <w:color w:val="231F20"/>
          <w:sz w:val="20"/>
        </w:rPr>
        <w:t>victim</w:t>
      </w:r>
      <w:r>
        <w:rPr>
          <w:color w:val="231F20"/>
          <w:spacing w:val="-7"/>
          <w:sz w:val="20"/>
        </w:rPr>
        <w:t xml:space="preserve"> </w:t>
      </w:r>
      <w:r>
        <w:rPr>
          <w:color w:val="231F20"/>
          <w:sz w:val="20"/>
        </w:rPr>
        <w:t>survivors</w:t>
      </w:r>
      <w:r>
        <w:rPr>
          <w:color w:val="231F20"/>
          <w:spacing w:val="-8"/>
          <w:sz w:val="20"/>
        </w:rPr>
        <w:t xml:space="preserve"> </w:t>
      </w:r>
      <w:r>
        <w:rPr>
          <w:color w:val="231F20"/>
          <w:sz w:val="20"/>
        </w:rPr>
        <w:t>with</w:t>
      </w:r>
      <w:r>
        <w:rPr>
          <w:color w:val="231F20"/>
          <w:spacing w:val="-7"/>
          <w:sz w:val="20"/>
        </w:rPr>
        <w:t xml:space="preserve"> </w:t>
      </w:r>
      <w:r>
        <w:rPr>
          <w:color w:val="231F20"/>
          <w:sz w:val="20"/>
        </w:rPr>
        <w:t>ongoing</w:t>
      </w:r>
      <w:r>
        <w:rPr>
          <w:color w:val="231F20"/>
          <w:spacing w:val="-7"/>
          <w:sz w:val="20"/>
        </w:rPr>
        <w:t xml:space="preserve"> </w:t>
      </w:r>
      <w:r>
        <w:rPr>
          <w:color w:val="231F20"/>
          <w:sz w:val="20"/>
        </w:rPr>
        <w:t>and</w:t>
      </w:r>
      <w:r>
        <w:rPr>
          <w:color w:val="231F20"/>
          <w:spacing w:val="-7"/>
          <w:sz w:val="20"/>
        </w:rPr>
        <w:t xml:space="preserve"> </w:t>
      </w:r>
      <w:r>
        <w:rPr>
          <w:color w:val="231F20"/>
          <w:sz w:val="20"/>
        </w:rPr>
        <w:t>‘joined</w:t>
      </w:r>
      <w:r>
        <w:rPr>
          <w:color w:val="231F20"/>
          <w:spacing w:val="-7"/>
          <w:sz w:val="20"/>
        </w:rPr>
        <w:t xml:space="preserve"> </w:t>
      </w:r>
      <w:r>
        <w:rPr>
          <w:color w:val="231F20"/>
          <w:sz w:val="20"/>
        </w:rPr>
        <w:t>up’ support</w:t>
      </w:r>
      <w:r>
        <w:rPr>
          <w:color w:val="231F20"/>
          <w:spacing w:val="-5"/>
          <w:sz w:val="20"/>
        </w:rPr>
        <w:t xml:space="preserve"> </w:t>
      </w:r>
      <w:r>
        <w:rPr>
          <w:color w:val="231F20"/>
          <w:sz w:val="20"/>
        </w:rPr>
        <w:t>and</w:t>
      </w:r>
      <w:r>
        <w:rPr>
          <w:color w:val="231F20"/>
          <w:spacing w:val="-4"/>
          <w:sz w:val="20"/>
        </w:rPr>
        <w:t xml:space="preserve"> </w:t>
      </w:r>
      <w:r>
        <w:rPr>
          <w:color w:val="231F20"/>
          <w:sz w:val="20"/>
        </w:rPr>
        <w:t>information,</w:t>
      </w:r>
      <w:r>
        <w:rPr>
          <w:color w:val="231F20"/>
          <w:spacing w:val="-5"/>
          <w:sz w:val="20"/>
        </w:rPr>
        <w:t xml:space="preserve"> </w:t>
      </w:r>
      <w:r>
        <w:rPr>
          <w:color w:val="231F20"/>
          <w:sz w:val="20"/>
        </w:rPr>
        <w:t>to</w:t>
      </w:r>
      <w:r>
        <w:rPr>
          <w:color w:val="231F20"/>
          <w:spacing w:val="-4"/>
          <w:sz w:val="20"/>
        </w:rPr>
        <w:t xml:space="preserve"> </w:t>
      </w:r>
      <w:r>
        <w:rPr>
          <w:color w:val="231F20"/>
          <w:sz w:val="20"/>
        </w:rPr>
        <w:t>help</w:t>
      </w:r>
      <w:r>
        <w:rPr>
          <w:color w:val="231F20"/>
          <w:spacing w:val="-4"/>
          <w:sz w:val="20"/>
        </w:rPr>
        <w:t xml:space="preserve"> </w:t>
      </w:r>
      <w:r>
        <w:rPr>
          <w:color w:val="231F20"/>
          <w:sz w:val="20"/>
        </w:rPr>
        <w:t>meet</w:t>
      </w:r>
      <w:r>
        <w:rPr>
          <w:color w:val="231F20"/>
          <w:spacing w:val="-5"/>
          <w:sz w:val="20"/>
        </w:rPr>
        <w:t xml:space="preserve"> </w:t>
      </w:r>
      <w:r>
        <w:rPr>
          <w:color w:val="231F20"/>
          <w:sz w:val="20"/>
        </w:rPr>
        <w:t>their</w:t>
      </w:r>
      <w:r>
        <w:rPr>
          <w:color w:val="231F20"/>
          <w:spacing w:val="-4"/>
          <w:sz w:val="20"/>
        </w:rPr>
        <w:t xml:space="preserve"> </w:t>
      </w:r>
      <w:r>
        <w:rPr>
          <w:color w:val="231F20"/>
          <w:sz w:val="20"/>
        </w:rPr>
        <w:t>needs</w:t>
      </w:r>
      <w:r>
        <w:rPr>
          <w:color w:val="231F20"/>
          <w:spacing w:val="-4"/>
          <w:sz w:val="20"/>
        </w:rPr>
        <w:t xml:space="preserve"> </w:t>
      </w:r>
      <w:r>
        <w:rPr>
          <w:color w:val="231F20"/>
          <w:sz w:val="20"/>
        </w:rPr>
        <w:t>and</w:t>
      </w:r>
      <w:r>
        <w:rPr>
          <w:color w:val="231F20"/>
          <w:spacing w:val="-5"/>
          <w:sz w:val="20"/>
        </w:rPr>
        <w:t xml:space="preserve"> </w:t>
      </w:r>
      <w:r>
        <w:rPr>
          <w:color w:val="231F20"/>
          <w:sz w:val="20"/>
        </w:rPr>
        <w:t>enable</w:t>
      </w:r>
      <w:r>
        <w:rPr>
          <w:color w:val="231F20"/>
          <w:spacing w:val="-4"/>
          <w:sz w:val="20"/>
        </w:rPr>
        <w:t xml:space="preserve"> </w:t>
      </w:r>
      <w:r>
        <w:rPr>
          <w:color w:val="231F20"/>
          <w:sz w:val="20"/>
        </w:rPr>
        <w:t>them</w:t>
      </w:r>
      <w:r>
        <w:rPr>
          <w:color w:val="231F20"/>
          <w:spacing w:val="-4"/>
          <w:sz w:val="20"/>
        </w:rPr>
        <w:t xml:space="preserve"> </w:t>
      </w:r>
      <w:r>
        <w:rPr>
          <w:color w:val="231F20"/>
          <w:sz w:val="20"/>
        </w:rPr>
        <w:t>to</w:t>
      </w:r>
      <w:r>
        <w:rPr>
          <w:color w:val="231F20"/>
          <w:spacing w:val="-5"/>
          <w:sz w:val="20"/>
        </w:rPr>
        <w:t xml:space="preserve"> </w:t>
      </w:r>
      <w:r>
        <w:rPr>
          <w:color w:val="231F20"/>
          <w:sz w:val="20"/>
        </w:rPr>
        <w:t>feel</w:t>
      </w:r>
      <w:r>
        <w:rPr>
          <w:color w:val="231F20"/>
          <w:spacing w:val="-4"/>
          <w:sz w:val="20"/>
        </w:rPr>
        <w:t xml:space="preserve"> </w:t>
      </w:r>
      <w:r>
        <w:rPr>
          <w:color w:val="231F20"/>
          <w:sz w:val="20"/>
        </w:rPr>
        <w:t>safe.</w:t>
      </w:r>
      <w:r>
        <w:rPr>
          <w:color w:val="231F20"/>
          <w:spacing w:val="-4"/>
          <w:sz w:val="20"/>
        </w:rPr>
        <w:t xml:space="preserve"> </w:t>
      </w:r>
      <w:r>
        <w:rPr>
          <w:color w:val="231F20"/>
          <w:sz w:val="20"/>
        </w:rPr>
        <w:t xml:space="preserve">The </w:t>
      </w:r>
      <w:r>
        <w:rPr>
          <w:color w:val="231F20"/>
          <w:spacing w:val="-3"/>
          <w:sz w:val="20"/>
        </w:rPr>
        <w:t xml:space="preserve">ever-present </w:t>
      </w:r>
      <w:r>
        <w:rPr>
          <w:color w:val="231F20"/>
          <w:sz w:val="20"/>
        </w:rPr>
        <w:t>nature of stalking makes it the kind of crime that justifies this intensive support.</w:t>
      </w:r>
    </w:p>
    <w:p w14:paraId="7F52543B" w14:textId="77777777" w:rsidR="00894070" w:rsidRDefault="00894070">
      <w:pPr>
        <w:pStyle w:val="BodyText"/>
        <w:spacing w:before="8"/>
        <w:rPr>
          <w:sz w:val="16"/>
        </w:rPr>
      </w:pPr>
    </w:p>
    <w:p w14:paraId="1476600F" w14:textId="77777777" w:rsidR="00894070" w:rsidRDefault="009B7AFD">
      <w:pPr>
        <w:pStyle w:val="Heading7"/>
        <w:ind w:left="1021"/>
      </w:pPr>
      <w:r>
        <w:rPr>
          <w:color w:val="EA5B50"/>
        </w:rPr>
        <w:t>The civil response and stalking</w:t>
      </w:r>
    </w:p>
    <w:p w14:paraId="1C4FE669" w14:textId="77777777" w:rsidR="00894070" w:rsidRDefault="009B7AFD">
      <w:pPr>
        <w:pStyle w:val="ListParagraph"/>
        <w:numPr>
          <w:ilvl w:val="0"/>
          <w:numId w:val="192"/>
        </w:numPr>
        <w:tabs>
          <w:tab w:val="left" w:pos="1815"/>
          <w:tab w:val="left" w:pos="1816"/>
        </w:tabs>
        <w:spacing w:before="146" w:line="206" w:lineRule="auto"/>
        <w:ind w:left="1815" w:right="1764"/>
        <w:rPr>
          <w:sz w:val="20"/>
        </w:rPr>
      </w:pPr>
      <w:r>
        <w:rPr>
          <w:color w:val="231F20"/>
          <w:sz w:val="20"/>
        </w:rPr>
        <w:t>The main civil response to non-family violence stalking, the personal safety intervention</w:t>
      </w:r>
      <w:r>
        <w:rPr>
          <w:color w:val="231F20"/>
          <w:spacing w:val="-7"/>
          <w:sz w:val="20"/>
        </w:rPr>
        <w:t xml:space="preserve"> </w:t>
      </w:r>
      <w:r>
        <w:rPr>
          <w:color w:val="231F20"/>
          <w:sz w:val="20"/>
        </w:rPr>
        <w:t>order</w:t>
      </w:r>
      <w:r>
        <w:rPr>
          <w:color w:val="231F20"/>
          <w:spacing w:val="-6"/>
          <w:sz w:val="20"/>
        </w:rPr>
        <w:t xml:space="preserve"> </w:t>
      </w:r>
      <w:r>
        <w:rPr>
          <w:color w:val="231F20"/>
          <w:sz w:val="20"/>
        </w:rPr>
        <w:t>(PSIO)</w:t>
      </w:r>
      <w:r>
        <w:rPr>
          <w:color w:val="231F20"/>
          <w:spacing w:val="-6"/>
          <w:sz w:val="20"/>
        </w:rPr>
        <w:t xml:space="preserve"> </w:t>
      </w:r>
      <w:r>
        <w:rPr>
          <w:color w:val="231F20"/>
          <w:sz w:val="20"/>
        </w:rPr>
        <w:t>system,</w:t>
      </w:r>
      <w:r>
        <w:rPr>
          <w:color w:val="231F20"/>
          <w:spacing w:val="-6"/>
          <w:sz w:val="20"/>
        </w:rPr>
        <w:t xml:space="preserve"> </w:t>
      </w:r>
      <w:r>
        <w:rPr>
          <w:color w:val="231F20"/>
          <w:sz w:val="20"/>
        </w:rPr>
        <w:t>is</w:t>
      </w:r>
      <w:r>
        <w:rPr>
          <w:color w:val="231F20"/>
          <w:spacing w:val="-6"/>
          <w:sz w:val="20"/>
        </w:rPr>
        <w:t xml:space="preserve"> </w:t>
      </w:r>
      <w:r>
        <w:rPr>
          <w:color w:val="231F20"/>
          <w:sz w:val="20"/>
        </w:rPr>
        <w:t>under</w:t>
      </w:r>
      <w:r>
        <w:rPr>
          <w:color w:val="231F20"/>
          <w:spacing w:val="-6"/>
          <w:sz w:val="20"/>
        </w:rPr>
        <w:t xml:space="preserve"> </w:t>
      </w:r>
      <w:r>
        <w:rPr>
          <w:color w:val="231F20"/>
          <w:sz w:val="20"/>
        </w:rPr>
        <w:t>strain.</w:t>
      </w:r>
      <w:r>
        <w:rPr>
          <w:color w:val="231F20"/>
          <w:spacing w:val="-6"/>
          <w:sz w:val="20"/>
        </w:rPr>
        <w:t xml:space="preserve"> </w:t>
      </w:r>
      <w:r>
        <w:rPr>
          <w:color w:val="231F20"/>
          <w:sz w:val="20"/>
        </w:rPr>
        <w:t>This</w:t>
      </w:r>
      <w:r>
        <w:rPr>
          <w:color w:val="231F20"/>
          <w:spacing w:val="-6"/>
          <w:sz w:val="20"/>
        </w:rPr>
        <w:t xml:space="preserve"> </w:t>
      </w:r>
      <w:r>
        <w:rPr>
          <w:color w:val="231F20"/>
          <w:sz w:val="20"/>
        </w:rPr>
        <w:t>makes</w:t>
      </w:r>
      <w:r>
        <w:rPr>
          <w:color w:val="231F20"/>
          <w:spacing w:val="-6"/>
          <w:sz w:val="20"/>
        </w:rPr>
        <w:t xml:space="preserve"> </w:t>
      </w:r>
      <w:r>
        <w:rPr>
          <w:color w:val="231F20"/>
          <w:sz w:val="20"/>
        </w:rPr>
        <w:t>it</w:t>
      </w:r>
      <w:r>
        <w:rPr>
          <w:color w:val="231F20"/>
          <w:spacing w:val="-7"/>
          <w:sz w:val="20"/>
        </w:rPr>
        <w:t xml:space="preserve"> </w:t>
      </w:r>
      <w:r>
        <w:rPr>
          <w:color w:val="231F20"/>
          <w:sz w:val="20"/>
        </w:rPr>
        <w:t>challenging</w:t>
      </w:r>
      <w:r>
        <w:rPr>
          <w:color w:val="231F20"/>
          <w:spacing w:val="-6"/>
          <w:sz w:val="20"/>
        </w:rPr>
        <w:t xml:space="preserve"> </w:t>
      </w:r>
      <w:r>
        <w:rPr>
          <w:color w:val="231F20"/>
          <w:sz w:val="20"/>
        </w:rPr>
        <w:t>for</w:t>
      </w:r>
      <w:r>
        <w:rPr>
          <w:color w:val="231F20"/>
          <w:spacing w:val="-6"/>
          <w:sz w:val="20"/>
        </w:rPr>
        <w:t xml:space="preserve"> </w:t>
      </w:r>
      <w:r>
        <w:rPr>
          <w:color w:val="231F20"/>
          <w:sz w:val="20"/>
        </w:rPr>
        <w:t>all stalking matters to get the attention they</w:t>
      </w:r>
      <w:r>
        <w:rPr>
          <w:color w:val="231F20"/>
          <w:spacing w:val="-17"/>
          <w:sz w:val="20"/>
        </w:rPr>
        <w:t xml:space="preserve"> </w:t>
      </w:r>
      <w:r>
        <w:rPr>
          <w:color w:val="231F20"/>
          <w:sz w:val="20"/>
        </w:rPr>
        <w:t>need.</w:t>
      </w:r>
    </w:p>
    <w:p w14:paraId="4046FE25" w14:textId="77777777" w:rsidR="00894070" w:rsidRDefault="009B7AFD">
      <w:pPr>
        <w:pStyle w:val="ListParagraph"/>
        <w:numPr>
          <w:ilvl w:val="0"/>
          <w:numId w:val="192"/>
        </w:numPr>
        <w:tabs>
          <w:tab w:val="left" w:pos="1815"/>
          <w:tab w:val="left" w:pos="1816"/>
        </w:tabs>
        <w:spacing w:before="124" w:line="206" w:lineRule="auto"/>
        <w:ind w:left="1815" w:right="1207"/>
        <w:rPr>
          <w:sz w:val="20"/>
        </w:rPr>
      </w:pPr>
      <w:r>
        <w:rPr>
          <w:color w:val="231F20"/>
          <w:sz w:val="20"/>
        </w:rPr>
        <w:t>The</w:t>
      </w:r>
      <w:r>
        <w:rPr>
          <w:color w:val="231F20"/>
          <w:spacing w:val="-6"/>
          <w:sz w:val="20"/>
        </w:rPr>
        <w:t xml:space="preserve"> </w:t>
      </w:r>
      <w:r>
        <w:rPr>
          <w:color w:val="231F20"/>
          <w:sz w:val="20"/>
        </w:rPr>
        <w:t>civil</w:t>
      </w:r>
      <w:r>
        <w:rPr>
          <w:color w:val="231F20"/>
          <w:spacing w:val="-5"/>
          <w:sz w:val="20"/>
        </w:rPr>
        <w:t xml:space="preserve"> </w:t>
      </w:r>
      <w:r>
        <w:rPr>
          <w:color w:val="231F20"/>
          <w:sz w:val="20"/>
        </w:rPr>
        <w:t>response</w:t>
      </w:r>
      <w:r>
        <w:rPr>
          <w:color w:val="231F20"/>
          <w:spacing w:val="-5"/>
          <w:sz w:val="20"/>
        </w:rPr>
        <w:t xml:space="preserve"> </w:t>
      </w:r>
      <w:r>
        <w:rPr>
          <w:color w:val="231F20"/>
          <w:sz w:val="20"/>
        </w:rPr>
        <w:t>should</w:t>
      </w:r>
      <w:r>
        <w:rPr>
          <w:color w:val="231F20"/>
          <w:spacing w:val="-5"/>
          <w:sz w:val="20"/>
        </w:rPr>
        <w:t xml:space="preserve"> </w:t>
      </w:r>
      <w:r>
        <w:rPr>
          <w:color w:val="231F20"/>
          <w:sz w:val="20"/>
        </w:rPr>
        <w:t>be</w:t>
      </w:r>
      <w:r>
        <w:rPr>
          <w:color w:val="231F20"/>
          <w:spacing w:val="-6"/>
          <w:sz w:val="20"/>
        </w:rPr>
        <w:t xml:space="preserve"> </w:t>
      </w:r>
      <w:r>
        <w:rPr>
          <w:color w:val="231F20"/>
          <w:sz w:val="20"/>
        </w:rPr>
        <w:t>more</w:t>
      </w:r>
      <w:r>
        <w:rPr>
          <w:color w:val="231F20"/>
          <w:spacing w:val="-5"/>
          <w:sz w:val="20"/>
        </w:rPr>
        <w:t xml:space="preserve"> </w:t>
      </w:r>
      <w:r>
        <w:rPr>
          <w:color w:val="231F20"/>
          <w:sz w:val="20"/>
        </w:rPr>
        <w:t>focused</w:t>
      </w:r>
      <w:r>
        <w:rPr>
          <w:color w:val="231F20"/>
          <w:spacing w:val="-5"/>
          <w:sz w:val="20"/>
        </w:rPr>
        <w:t xml:space="preserve"> </w:t>
      </w:r>
      <w:r>
        <w:rPr>
          <w:color w:val="231F20"/>
          <w:sz w:val="20"/>
        </w:rPr>
        <w:t>than</w:t>
      </w:r>
      <w:r>
        <w:rPr>
          <w:color w:val="231F20"/>
          <w:spacing w:val="-5"/>
          <w:sz w:val="20"/>
        </w:rPr>
        <w:t xml:space="preserve"> </w:t>
      </w:r>
      <w:r>
        <w:rPr>
          <w:color w:val="231F20"/>
          <w:sz w:val="20"/>
        </w:rPr>
        <w:t>it</w:t>
      </w:r>
      <w:r>
        <w:rPr>
          <w:color w:val="231F20"/>
          <w:spacing w:val="-6"/>
          <w:sz w:val="20"/>
        </w:rPr>
        <w:t xml:space="preserve"> </w:t>
      </w:r>
      <w:r>
        <w:rPr>
          <w:color w:val="231F20"/>
          <w:sz w:val="20"/>
        </w:rPr>
        <w:t>is</w:t>
      </w:r>
      <w:r>
        <w:rPr>
          <w:color w:val="231F20"/>
          <w:spacing w:val="-5"/>
          <w:sz w:val="20"/>
        </w:rPr>
        <w:t xml:space="preserve"> now. </w:t>
      </w:r>
      <w:r>
        <w:rPr>
          <w:color w:val="231F20"/>
          <w:spacing w:val="-6"/>
          <w:sz w:val="20"/>
        </w:rPr>
        <w:t>We</w:t>
      </w:r>
      <w:r>
        <w:rPr>
          <w:color w:val="231F20"/>
          <w:spacing w:val="-5"/>
          <w:sz w:val="20"/>
        </w:rPr>
        <w:t xml:space="preserve"> </w:t>
      </w:r>
      <w:r>
        <w:rPr>
          <w:color w:val="231F20"/>
          <w:sz w:val="20"/>
        </w:rPr>
        <w:t>recommend</w:t>
      </w:r>
      <w:r>
        <w:rPr>
          <w:color w:val="231F20"/>
          <w:spacing w:val="-5"/>
          <w:sz w:val="20"/>
        </w:rPr>
        <w:t xml:space="preserve"> </w:t>
      </w:r>
      <w:r>
        <w:rPr>
          <w:color w:val="231F20"/>
          <w:sz w:val="20"/>
        </w:rPr>
        <w:t xml:space="preserve">developing evidence-informed guidance for identifying and </w:t>
      </w:r>
      <w:proofErr w:type="spellStart"/>
      <w:r>
        <w:rPr>
          <w:color w:val="231F20"/>
          <w:sz w:val="20"/>
        </w:rPr>
        <w:t>prioritising</w:t>
      </w:r>
      <w:proofErr w:type="spellEnd"/>
      <w:r>
        <w:rPr>
          <w:color w:val="231F20"/>
          <w:sz w:val="20"/>
        </w:rPr>
        <w:t xml:space="preserve"> stalking</w:t>
      </w:r>
      <w:r>
        <w:rPr>
          <w:color w:val="231F20"/>
          <w:spacing w:val="-25"/>
          <w:sz w:val="20"/>
        </w:rPr>
        <w:t xml:space="preserve"> </w:t>
      </w:r>
      <w:r>
        <w:rPr>
          <w:color w:val="231F20"/>
          <w:sz w:val="20"/>
        </w:rPr>
        <w:t>matters.</w:t>
      </w:r>
    </w:p>
    <w:p w14:paraId="7E90AD86" w14:textId="77777777" w:rsidR="00894070" w:rsidRDefault="009B7AFD">
      <w:pPr>
        <w:pStyle w:val="ListParagraph"/>
        <w:numPr>
          <w:ilvl w:val="0"/>
          <w:numId w:val="192"/>
        </w:numPr>
        <w:tabs>
          <w:tab w:val="left" w:pos="1815"/>
          <w:tab w:val="left" w:pos="1816"/>
        </w:tabs>
        <w:spacing w:before="122" w:line="206" w:lineRule="auto"/>
        <w:ind w:left="1815" w:right="1607"/>
        <w:rPr>
          <w:sz w:val="20"/>
        </w:rPr>
      </w:pPr>
      <w:r>
        <w:rPr>
          <w:color w:val="231F20"/>
          <w:sz w:val="20"/>
        </w:rPr>
        <w:t>The</w:t>
      </w:r>
      <w:r>
        <w:rPr>
          <w:color w:val="231F20"/>
          <w:spacing w:val="-6"/>
          <w:sz w:val="20"/>
        </w:rPr>
        <w:t xml:space="preserve"> </w:t>
      </w:r>
      <w:r>
        <w:rPr>
          <w:color w:val="231F20"/>
          <w:sz w:val="20"/>
        </w:rPr>
        <w:t>Magistrates’</w:t>
      </w:r>
      <w:r>
        <w:rPr>
          <w:color w:val="231F20"/>
          <w:spacing w:val="-6"/>
          <w:sz w:val="20"/>
        </w:rPr>
        <w:t xml:space="preserve"> </w:t>
      </w:r>
      <w:r>
        <w:rPr>
          <w:color w:val="231F20"/>
          <w:sz w:val="20"/>
        </w:rPr>
        <w:t>Court</w:t>
      </w:r>
      <w:r>
        <w:rPr>
          <w:color w:val="231F20"/>
          <w:spacing w:val="-6"/>
          <w:sz w:val="20"/>
        </w:rPr>
        <w:t xml:space="preserve"> </w:t>
      </w:r>
      <w:r>
        <w:rPr>
          <w:color w:val="231F20"/>
          <w:sz w:val="20"/>
        </w:rPr>
        <w:t>should</w:t>
      </w:r>
      <w:r>
        <w:rPr>
          <w:color w:val="231F20"/>
          <w:spacing w:val="-6"/>
          <w:sz w:val="20"/>
        </w:rPr>
        <w:t xml:space="preserve"> </w:t>
      </w:r>
      <w:r>
        <w:rPr>
          <w:color w:val="231F20"/>
          <w:sz w:val="20"/>
        </w:rPr>
        <w:t>apply</w:t>
      </w:r>
      <w:r>
        <w:rPr>
          <w:color w:val="231F20"/>
          <w:spacing w:val="-6"/>
          <w:sz w:val="20"/>
        </w:rPr>
        <w:t xml:space="preserve"> </w:t>
      </w:r>
      <w:r>
        <w:rPr>
          <w:color w:val="231F20"/>
          <w:sz w:val="20"/>
        </w:rPr>
        <w:t>the</w:t>
      </w:r>
      <w:r>
        <w:rPr>
          <w:color w:val="231F20"/>
          <w:spacing w:val="-6"/>
          <w:sz w:val="20"/>
        </w:rPr>
        <w:t xml:space="preserve"> </w:t>
      </w:r>
      <w:r>
        <w:rPr>
          <w:color w:val="231F20"/>
          <w:sz w:val="20"/>
        </w:rPr>
        <w:t>guidance</w:t>
      </w:r>
      <w:r>
        <w:rPr>
          <w:color w:val="231F20"/>
          <w:spacing w:val="-6"/>
          <w:sz w:val="20"/>
        </w:rPr>
        <w:t xml:space="preserve"> </w:t>
      </w:r>
      <w:r>
        <w:rPr>
          <w:color w:val="231F20"/>
          <w:sz w:val="20"/>
        </w:rPr>
        <w:t>to</w:t>
      </w:r>
      <w:r>
        <w:rPr>
          <w:color w:val="231F20"/>
          <w:spacing w:val="-6"/>
          <w:sz w:val="20"/>
        </w:rPr>
        <w:t xml:space="preserve"> </w:t>
      </w:r>
      <w:r>
        <w:rPr>
          <w:color w:val="231F20"/>
          <w:sz w:val="20"/>
        </w:rPr>
        <w:t>identify</w:t>
      </w:r>
      <w:r>
        <w:rPr>
          <w:color w:val="231F20"/>
          <w:spacing w:val="-6"/>
          <w:sz w:val="20"/>
        </w:rPr>
        <w:t xml:space="preserve"> </w:t>
      </w:r>
      <w:r>
        <w:rPr>
          <w:color w:val="231F20"/>
          <w:sz w:val="20"/>
        </w:rPr>
        <w:t>stalking</w:t>
      </w:r>
      <w:r>
        <w:rPr>
          <w:color w:val="231F20"/>
          <w:spacing w:val="-6"/>
          <w:sz w:val="20"/>
        </w:rPr>
        <w:t xml:space="preserve"> </w:t>
      </w:r>
      <w:r>
        <w:rPr>
          <w:color w:val="231F20"/>
          <w:sz w:val="20"/>
        </w:rPr>
        <w:t>matters</w:t>
      </w:r>
      <w:r>
        <w:rPr>
          <w:color w:val="231F20"/>
          <w:spacing w:val="-6"/>
          <w:sz w:val="20"/>
        </w:rPr>
        <w:t xml:space="preserve"> </w:t>
      </w:r>
      <w:r>
        <w:rPr>
          <w:color w:val="231F20"/>
          <w:sz w:val="20"/>
        </w:rPr>
        <w:t xml:space="preserve">that need a </w:t>
      </w:r>
      <w:proofErr w:type="spellStart"/>
      <w:r>
        <w:rPr>
          <w:color w:val="231F20"/>
          <w:sz w:val="20"/>
        </w:rPr>
        <w:t>specialised</w:t>
      </w:r>
      <w:proofErr w:type="spellEnd"/>
      <w:r>
        <w:rPr>
          <w:color w:val="231F20"/>
          <w:spacing w:val="-8"/>
          <w:sz w:val="20"/>
        </w:rPr>
        <w:t xml:space="preserve"> </w:t>
      </w:r>
      <w:r>
        <w:rPr>
          <w:color w:val="231F20"/>
          <w:sz w:val="20"/>
        </w:rPr>
        <w:t>approach.</w:t>
      </w:r>
    </w:p>
    <w:p w14:paraId="0F5DF6F4" w14:textId="77777777" w:rsidR="00894070" w:rsidRDefault="009B7AFD">
      <w:pPr>
        <w:pStyle w:val="ListParagraph"/>
        <w:numPr>
          <w:ilvl w:val="0"/>
          <w:numId w:val="192"/>
        </w:numPr>
        <w:tabs>
          <w:tab w:val="left" w:pos="1815"/>
          <w:tab w:val="left" w:pos="1816"/>
        </w:tabs>
        <w:spacing w:before="123" w:line="206" w:lineRule="auto"/>
        <w:ind w:left="1815" w:right="2023"/>
        <w:rPr>
          <w:sz w:val="20"/>
        </w:rPr>
      </w:pPr>
      <w:r>
        <w:rPr>
          <w:color w:val="231F20"/>
          <w:sz w:val="20"/>
        </w:rPr>
        <w:t xml:space="preserve">A </w:t>
      </w:r>
      <w:proofErr w:type="spellStart"/>
      <w:r>
        <w:rPr>
          <w:color w:val="231F20"/>
          <w:sz w:val="20"/>
        </w:rPr>
        <w:t>specialised</w:t>
      </w:r>
      <w:proofErr w:type="spellEnd"/>
      <w:r>
        <w:rPr>
          <w:color w:val="231F20"/>
          <w:sz w:val="20"/>
        </w:rPr>
        <w:t xml:space="preserve"> approach—which could include a specialist workforce, court infrastructure</w:t>
      </w:r>
      <w:r>
        <w:rPr>
          <w:color w:val="231F20"/>
          <w:spacing w:val="-7"/>
          <w:sz w:val="20"/>
        </w:rPr>
        <w:t xml:space="preserve"> </w:t>
      </w:r>
      <w:r>
        <w:rPr>
          <w:color w:val="231F20"/>
          <w:sz w:val="20"/>
        </w:rPr>
        <w:t>and</w:t>
      </w:r>
      <w:r>
        <w:rPr>
          <w:color w:val="231F20"/>
          <w:spacing w:val="-7"/>
          <w:sz w:val="20"/>
        </w:rPr>
        <w:t xml:space="preserve"> </w:t>
      </w:r>
      <w:r>
        <w:rPr>
          <w:color w:val="231F20"/>
          <w:sz w:val="20"/>
        </w:rPr>
        <w:t>supports—would</w:t>
      </w:r>
      <w:r>
        <w:rPr>
          <w:color w:val="231F20"/>
          <w:spacing w:val="-7"/>
          <w:sz w:val="20"/>
        </w:rPr>
        <w:t xml:space="preserve"> </w:t>
      </w:r>
      <w:r>
        <w:rPr>
          <w:color w:val="231F20"/>
          <w:sz w:val="20"/>
        </w:rPr>
        <w:t>help</w:t>
      </w:r>
      <w:r>
        <w:rPr>
          <w:color w:val="231F20"/>
          <w:spacing w:val="-7"/>
          <w:sz w:val="20"/>
        </w:rPr>
        <w:t xml:space="preserve"> </w:t>
      </w:r>
      <w:r>
        <w:rPr>
          <w:color w:val="231F20"/>
          <w:sz w:val="20"/>
        </w:rPr>
        <w:t>make</w:t>
      </w:r>
      <w:r>
        <w:rPr>
          <w:color w:val="231F20"/>
          <w:spacing w:val="-6"/>
          <w:sz w:val="20"/>
        </w:rPr>
        <w:t xml:space="preserve"> </w:t>
      </w:r>
      <w:r>
        <w:rPr>
          <w:color w:val="231F20"/>
          <w:sz w:val="20"/>
        </w:rPr>
        <w:t>the</w:t>
      </w:r>
      <w:r>
        <w:rPr>
          <w:color w:val="231F20"/>
          <w:spacing w:val="-7"/>
          <w:sz w:val="20"/>
        </w:rPr>
        <w:t xml:space="preserve"> </w:t>
      </w:r>
      <w:r>
        <w:rPr>
          <w:color w:val="231F20"/>
          <w:sz w:val="20"/>
        </w:rPr>
        <w:t>response</w:t>
      </w:r>
      <w:r>
        <w:rPr>
          <w:color w:val="231F20"/>
          <w:spacing w:val="-7"/>
          <w:sz w:val="20"/>
        </w:rPr>
        <w:t xml:space="preserve"> </w:t>
      </w:r>
      <w:r>
        <w:rPr>
          <w:color w:val="231F20"/>
          <w:sz w:val="20"/>
        </w:rPr>
        <w:t>to</w:t>
      </w:r>
      <w:r>
        <w:rPr>
          <w:color w:val="231F20"/>
          <w:spacing w:val="-7"/>
          <w:sz w:val="20"/>
        </w:rPr>
        <w:t xml:space="preserve"> </w:t>
      </w:r>
      <w:r>
        <w:rPr>
          <w:color w:val="231F20"/>
          <w:sz w:val="20"/>
        </w:rPr>
        <w:t>stalking</w:t>
      </w:r>
      <w:r>
        <w:rPr>
          <w:color w:val="231F20"/>
          <w:spacing w:val="-7"/>
          <w:sz w:val="20"/>
        </w:rPr>
        <w:t xml:space="preserve"> </w:t>
      </w:r>
      <w:r>
        <w:rPr>
          <w:color w:val="231F20"/>
          <w:sz w:val="20"/>
        </w:rPr>
        <w:t>more effective,</w:t>
      </w:r>
      <w:r>
        <w:rPr>
          <w:color w:val="231F20"/>
          <w:spacing w:val="-6"/>
          <w:sz w:val="20"/>
        </w:rPr>
        <w:t xml:space="preserve"> </w:t>
      </w:r>
      <w:proofErr w:type="gramStart"/>
      <w:r>
        <w:rPr>
          <w:color w:val="231F20"/>
          <w:sz w:val="20"/>
        </w:rPr>
        <w:t>efficient</w:t>
      </w:r>
      <w:proofErr w:type="gramEnd"/>
      <w:r>
        <w:rPr>
          <w:color w:val="231F20"/>
          <w:spacing w:val="-5"/>
          <w:sz w:val="20"/>
        </w:rPr>
        <w:t xml:space="preserve"> </w:t>
      </w:r>
      <w:r>
        <w:rPr>
          <w:color w:val="231F20"/>
          <w:sz w:val="20"/>
        </w:rPr>
        <w:t>and</w:t>
      </w:r>
      <w:r>
        <w:rPr>
          <w:color w:val="231F20"/>
          <w:spacing w:val="-5"/>
          <w:sz w:val="20"/>
        </w:rPr>
        <w:t xml:space="preserve"> </w:t>
      </w:r>
      <w:r>
        <w:rPr>
          <w:color w:val="231F20"/>
          <w:sz w:val="20"/>
        </w:rPr>
        <w:t>less</w:t>
      </w:r>
      <w:r>
        <w:rPr>
          <w:color w:val="231F20"/>
          <w:spacing w:val="-6"/>
          <w:sz w:val="20"/>
        </w:rPr>
        <w:t xml:space="preserve"> </w:t>
      </w:r>
      <w:r>
        <w:rPr>
          <w:color w:val="231F20"/>
          <w:sz w:val="20"/>
        </w:rPr>
        <w:t>traumatic</w:t>
      </w:r>
      <w:r>
        <w:rPr>
          <w:color w:val="231F20"/>
          <w:spacing w:val="-5"/>
          <w:sz w:val="20"/>
        </w:rPr>
        <w:t xml:space="preserve"> </w:t>
      </w:r>
      <w:r>
        <w:rPr>
          <w:color w:val="231F20"/>
          <w:sz w:val="20"/>
        </w:rPr>
        <w:t>for</w:t>
      </w:r>
      <w:r>
        <w:rPr>
          <w:color w:val="231F20"/>
          <w:spacing w:val="-5"/>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5"/>
          <w:sz w:val="20"/>
        </w:rPr>
        <w:t xml:space="preserve"> </w:t>
      </w:r>
      <w:r>
        <w:rPr>
          <w:color w:val="231F20"/>
          <w:sz w:val="20"/>
        </w:rPr>
        <w:t>than</w:t>
      </w:r>
      <w:r>
        <w:rPr>
          <w:color w:val="231F20"/>
          <w:spacing w:val="-5"/>
          <w:sz w:val="20"/>
        </w:rPr>
        <w:t xml:space="preserve"> </w:t>
      </w:r>
      <w:r>
        <w:rPr>
          <w:color w:val="231F20"/>
          <w:sz w:val="20"/>
        </w:rPr>
        <w:t>it</w:t>
      </w:r>
      <w:r>
        <w:rPr>
          <w:color w:val="231F20"/>
          <w:spacing w:val="-6"/>
          <w:sz w:val="20"/>
        </w:rPr>
        <w:t xml:space="preserve"> </w:t>
      </w:r>
      <w:r>
        <w:rPr>
          <w:color w:val="231F20"/>
          <w:sz w:val="20"/>
        </w:rPr>
        <w:t>is</w:t>
      </w:r>
      <w:r>
        <w:rPr>
          <w:color w:val="231F20"/>
          <w:spacing w:val="-5"/>
          <w:sz w:val="20"/>
        </w:rPr>
        <w:t xml:space="preserve"> now.</w:t>
      </w:r>
    </w:p>
    <w:p w14:paraId="22D79921" w14:textId="77777777" w:rsidR="00894070" w:rsidRDefault="009B7AFD">
      <w:pPr>
        <w:pStyle w:val="ListParagraph"/>
        <w:numPr>
          <w:ilvl w:val="0"/>
          <w:numId w:val="192"/>
        </w:numPr>
        <w:tabs>
          <w:tab w:val="left" w:pos="1815"/>
          <w:tab w:val="left" w:pos="1816"/>
        </w:tabs>
        <w:spacing w:before="124" w:line="206" w:lineRule="auto"/>
        <w:ind w:left="1815" w:right="1269"/>
        <w:rPr>
          <w:sz w:val="20"/>
        </w:rPr>
      </w:pPr>
      <w:r>
        <w:rPr>
          <w:color w:val="231F20"/>
          <w:sz w:val="20"/>
        </w:rPr>
        <w:t>A</w:t>
      </w:r>
      <w:r>
        <w:rPr>
          <w:color w:val="231F20"/>
          <w:spacing w:val="-7"/>
          <w:sz w:val="20"/>
        </w:rPr>
        <w:t xml:space="preserve"> </w:t>
      </w:r>
      <w:r>
        <w:rPr>
          <w:color w:val="231F20"/>
          <w:sz w:val="20"/>
        </w:rPr>
        <w:t>potential</w:t>
      </w:r>
      <w:r>
        <w:rPr>
          <w:color w:val="231F20"/>
          <w:spacing w:val="-6"/>
          <w:sz w:val="20"/>
        </w:rPr>
        <w:t xml:space="preserve"> </w:t>
      </w:r>
      <w:r>
        <w:rPr>
          <w:color w:val="231F20"/>
          <w:spacing w:val="-3"/>
          <w:sz w:val="20"/>
        </w:rPr>
        <w:t>way</w:t>
      </w:r>
      <w:r>
        <w:rPr>
          <w:color w:val="231F20"/>
          <w:spacing w:val="-6"/>
          <w:sz w:val="20"/>
        </w:rPr>
        <w:t xml:space="preserve"> </w:t>
      </w:r>
      <w:r>
        <w:rPr>
          <w:color w:val="231F20"/>
          <w:sz w:val="20"/>
        </w:rPr>
        <w:t>to</w:t>
      </w:r>
      <w:r>
        <w:rPr>
          <w:color w:val="231F20"/>
          <w:spacing w:val="-6"/>
          <w:sz w:val="20"/>
        </w:rPr>
        <w:t xml:space="preserve"> </w:t>
      </w:r>
      <w:r>
        <w:rPr>
          <w:color w:val="231F20"/>
          <w:sz w:val="20"/>
        </w:rPr>
        <w:t>implement</w:t>
      </w:r>
      <w:r>
        <w:rPr>
          <w:color w:val="231F20"/>
          <w:spacing w:val="-7"/>
          <w:sz w:val="20"/>
        </w:rPr>
        <w:t xml:space="preserve"> </w:t>
      </w:r>
      <w:r>
        <w:rPr>
          <w:color w:val="231F20"/>
          <w:sz w:val="20"/>
        </w:rPr>
        <w:t>a</w:t>
      </w:r>
      <w:r>
        <w:rPr>
          <w:color w:val="231F20"/>
          <w:spacing w:val="-6"/>
          <w:sz w:val="20"/>
        </w:rPr>
        <w:t xml:space="preserve"> </w:t>
      </w:r>
      <w:proofErr w:type="spellStart"/>
      <w:r>
        <w:rPr>
          <w:color w:val="231F20"/>
          <w:sz w:val="20"/>
        </w:rPr>
        <w:t>specialised</w:t>
      </w:r>
      <w:proofErr w:type="spellEnd"/>
      <w:r>
        <w:rPr>
          <w:color w:val="231F20"/>
          <w:spacing w:val="-6"/>
          <w:sz w:val="20"/>
        </w:rPr>
        <w:t xml:space="preserve"> </w:t>
      </w:r>
      <w:r>
        <w:rPr>
          <w:color w:val="231F20"/>
          <w:sz w:val="20"/>
        </w:rPr>
        <w:t>approach</w:t>
      </w:r>
      <w:r>
        <w:rPr>
          <w:color w:val="231F20"/>
          <w:spacing w:val="-6"/>
          <w:sz w:val="20"/>
        </w:rPr>
        <w:t xml:space="preserve"> </w:t>
      </w:r>
      <w:r>
        <w:rPr>
          <w:color w:val="231F20"/>
          <w:sz w:val="20"/>
        </w:rPr>
        <w:t>for</w:t>
      </w:r>
      <w:r>
        <w:rPr>
          <w:color w:val="231F20"/>
          <w:spacing w:val="-7"/>
          <w:sz w:val="20"/>
        </w:rPr>
        <w:t xml:space="preserve"> </w:t>
      </w:r>
      <w:r>
        <w:rPr>
          <w:color w:val="231F20"/>
          <w:sz w:val="20"/>
        </w:rPr>
        <w:t>non-family</w:t>
      </w:r>
      <w:r>
        <w:rPr>
          <w:color w:val="231F20"/>
          <w:spacing w:val="-6"/>
          <w:sz w:val="20"/>
        </w:rPr>
        <w:t xml:space="preserve"> </w:t>
      </w:r>
      <w:r>
        <w:rPr>
          <w:color w:val="231F20"/>
          <w:sz w:val="20"/>
        </w:rPr>
        <w:t>violence</w:t>
      </w:r>
      <w:r>
        <w:rPr>
          <w:color w:val="231F20"/>
          <w:spacing w:val="-6"/>
          <w:sz w:val="20"/>
        </w:rPr>
        <w:t xml:space="preserve"> </w:t>
      </w:r>
      <w:r>
        <w:rPr>
          <w:color w:val="231F20"/>
          <w:sz w:val="20"/>
        </w:rPr>
        <w:t>stalking matters is through the current system of family violence courts. If that is done, these matters</w:t>
      </w:r>
      <w:r>
        <w:rPr>
          <w:color w:val="231F20"/>
          <w:spacing w:val="-6"/>
          <w:sz w:val="20"/>
        </w:rPr>
        <w:t xml:space="preserve"> </w:t>
      </w:r>
      <w:r>
        <w:rPr>
          <w:color w:val="231F20"/>
          <w:sz w:val="20"/>
        </w:rPr>
        <w:t>should</w:t>
      </w:r>
      <w:r>
        <w:rPr>
          <w:color w:val="231F20"/>
          <w:spacing w:val="-5"/>
          <w:sz w:val="20"/>
        </w:rPr>
        <w:t xml:space="preserve"> </w:t>
      </w:r>
      <w:r>
        <w:rPr>
          <w:color w:val="231F20"/>
          <w:sz w:val="20"/>
        </w:rPr>
        <w:t>be</w:t>
      </w:r>
      <w:r>
        <w:rPr>
          <w:color w:val="231F20"/>
          <w:spacing w:val="-6"/>
          <w:sz w:val="20"/>
        </w:rPr>
        <w:t xml:space="preserve"> </w:t>
      </w:r>
      <w:r>
        <w:rPr>
          <w:color w:val="231F20"/>
          <w:sz w:val="20"/>
        </w:rPr>
        <w:t>separate</w:t>
      </w:r>
      <w:r>
        <w:rPr>
          <w:color w:val="231F20"/>
          <w:spacing w:val="-5"/>
          <w:sz w:val="20"/>
        </w:rPr>
        <w:t xml:space="preserve"> </w:t>
      </w:r>
      <w:r>
        <w:rPr>
          <w:color w:val="231F20"/>
          <w:sz w:val="20"/>
        </w:rPr>
        <w:t>and</w:t>
      </w:r>
      <w:r>
        <w:rPr>
          <w:color w:val="231F20"/>
          <w:spacing w:val="-6"/>
          <w:sz w:val="20"/>
        </w:rPr>
        <w:t xml:space="preserve"> </w:t>
      </w:r>
      <w:r>
        <w:rPr>
          <w:color w:val="231F20"/>
          <w:sz w:val="20"/>
        </w:rPr>
        <w:t>clearly</w:t>
      </w:r>
      <w:r>
        <w:rPr>
          <w:color w:val="231F20"/>
          <w:spacing w:val="-5"/>
          <w:sz w:val="20"/>
        </w:rPr>
        <w:t xml:space="preserve"> </w:t>
      </w:r>
      <w:r>
        <w:rPr>
          <w:color w:val="231F20"/>
          <w:sz w:val="20"/>
        </w:rPr>
        <w:t>identified</w:t>
      </w:r>
      <w:r>
        <w:rPr>
          <w:color w:val="231F20"/>
          <w:spacing w:val="-6"/>
          <w:sz w:val="20"/>
        </w:rPr>
        <w:t xml:space="preserve"> </w:t>
      </w:r>
      <w:r>
        <w:rPr>
          <w:color w:val="231F20"/>
          <w:sz w:val="20"/>
        </w:rPr>
        <w:t>as</w:t>
      </w:r>
      <w:r>
        <w:rPr>
          <w:color w:val="231F20"/>
          <w:spacing w:val="-5"/>
          <w:sz w:val="20"/>
        </w:rPr>
        <w:t xml:space="preserve"> </w:t>
      </w:r>
      <w:r>
        <w:rPr>
          <w:color w:val="231F20"/>
          <w:sz w:val="20"/>
        </w:rPr>
        <w:t>non-family</w:t>
      </w:r>
      <w:r>
        <w:rPr>
          <w:color w:val="231F20"/>
          <w:spacing w:val="-6"/>
          <w:sz w:val="20"/>
        </w:rPr>
        <w:t xml:space="preserve"> </w:t>
      </w:r>
      <w:r>
        <w:rPr>
          <w:color w:val="231F20"/>
          <w:sz w:val="20"/>
        </w:rPr>
        <w:t>violence</w:t>
      </w:r>
      <w:r>
        <w:rPr>
          <w:color w:val="231F20"/>
          <w:spacing w:val="-5"/>
          <w:sz w:val="20"/>
        </w:rPr>
        <w:t xml:space="preserve"> </w:t>
      </w:r>
      <w:r>
        <w:rPr>
          <w:color w:val="231F20"/>
          <w:sz w:val="20"/>
        </w:rPr>
        <w:t>matters.</w:t>
      </w:r>
    </w:p>
    <w:p w14:paraId="441A3A17" w14:textId="77777777" w:rsidR="00894070" w:rsidRDefault="009B7AFD">
      <w:pPr>
        <w:pStyle w:val="ListParagraph"/>
        <w:numPr>
          <w:ilvl w:val="0"/>
          <w:numId w:val="192"/>
        </w:numPr>
        <w:tabs>
          <w:tab w:val="left" w:pos="1815"/>
          <w:tab w:val="left" w:pos="1816"/>
        </w:tabs>
        <w:spacing w:before="124" w:line="206" w:lineRule="auto"/>
        <w:ind w:left="1815" w:right="1663"/>
        <w:jc w:val="both"/>
        <w:rPr>
          <w:sz w:val="20"/>
        </w:rPr>
      </w:pPr>
      <w:r>
        <w:rPr>
          <w:color w:val="231F20"/>
          <w:sz w:val="20"/>
        </w:rPr>
        <w:t xml:space="preserve">Mediation should be used for cases that are assessed as not </w:t>
      </w:r>
      <w:r>
        <w:rPr>
          <w:color w:val="231F20"/>
          <w:spacing w:val="-3"/>
          <w:sz w:val="20"/>
        </w:rPr>
        <w:t xml:space="preserve">involving </w:t>
      </w:r>
      <w:r>
        <w:rPr>
          <w:color w:val="231F20"/>
          <w:sz w:val="20"/>
        </w:rPr>
        <w:t>stalking or other</w:t>
      </w:r>
      <w:r>
        <w:rPr>
          <w:color w:val="231F20"/>
          <w:spacing w:val="-5"/>
          <w:sz w:val="20"/>
        </w:rPr>
        <w:t xml:space="preserve"> </w:t>
      </w:r>
      <w:r>
        <w:rPr>
          <w:color w:val="231F20"/>
          <w:sz w:val="20"/>
        </w:rPr>
        <w:t>serious</w:t>
      </w:r>
      <w:r>
        <w:rPr>
          <w:color w:val="231F20"/>
          <w:spacing w:val="-5"/>
          <w:sz w:val="20"/>
        </w:rPr>
        <w:t xml:space="preserve"> </w:t>
      </w:r>
      <w:r>
        <w:rPr>
          <w:color w:val="231F20"/>
          <w:sz w:val="20"/>
        </w:rPr>
        <w:t>harm.</w:t>
      </w:r>
      <w:r>
        <w:rPr>
          <w:color w:val="231F20"/>
          <w:spacing w:val="-4"/>
          <w:sz w:val="20"/>
        </w:rPr>
        <w:t xml:space="preserve"> </w:t>
      </w:r>
      <w:r>
        <w:rPr>
          <w:color w:val="231F20"/>
          <w:sz w:val="20"/>
        </w:rPr>
        <w:t>This</w:t>
      </w:r>
      <w:r>
        <w:rPr>
          <w:color w:val="231F20"/>
          <w:spacing w:val="-5"/>
          <w:sz w:val="20"/>
        </w:rPr>
        <w:t xml:space="preserve"> </w:t>
      </w:r>
      <w:r>
        <w:rPr>
          <w:color w:val="231F20"/>
          <w:sz w:val="20"/>
        </w:rPr>
        <w:t>would</w:t>
      </w:r>
      <w:r>
        <w:rPr>
          <w:color w:val="231F20"/>
          <w:spacing w:val="-5"/>
          <w:sz w:val="20"/>
        </w:rPr>
        <w:t xml:space="preserve"> </w:t>
      </w:r>
      <w:r>
        <w:rPr>
          <w:color w:val="231F20"/>
          <w:sz w:val="20"/>
        </w:rPr>
        <w:t>free</w:t>
      </w:r>
      <w:r>
        <w:rPr>
          <w:color w:val="231F20"/>
          <w:spacing w:val="-4"/>
          <w:sz w:val="20"/>
        </w:rPr>
        <w:t xml:space="preserve"> </w:t>
      </w:r>
      <w:r>
        <w:rPr>
          <w:color w:val="231F20"/>
          <w:sz w:val="20"/>
        </w:rPr>
        <w:t>up</w:t>
      </w:r>
      <w:r>
        <w:rPr>
          <w:color w:val="231F20"/>
          <w:spacing w:val="-5"/>
          <w:sz w:val="20"/>
        </w:rPr>
        <w:t xml:space="preserve"> </w:t>
      </w:r>
      <w:r>
        <w:rPr>
          <w:color w:val="231F20"/>
          <w:sz w:val="20"/>
        </w:rPr>
        <w:t>the</w:t>
      </w:r>
      <w:r>
        <w:rPr>
          <w:color w:val="231F20"/>
          <w:spacing w:val="-5"/>
          <w:sz w:val="20"/>
        </w:rPr>
        <w:t xml:space="preserve"> </w:t>
      </w:r>
      <w:r>
        <w:rPr>
          <w:color w:val="231F20"/>
          <w:sz w:val="20"/>
        </w:rPr>
        <w:t>civil</w:t>
      </w:r>
      <w:r>
        <w:rPr>
          <w:color w:val="231F20"/>
          <w:spacing w:val="-4"/>
          <w:sz w:val="20"/>
        </w:rPr>
        <w:t xml:space="preserve"> </w:t>
      </w:r>
      <w:r>
        <w:rPr>
          <w:color w:val="231F20"/>
          <w:sz w:val="20"/>
        </w:rPr>
        <w:t>response</w:t>
      </w:r>
      <w:r>
        <w:rPr>
          <w:color w:val="231F20"/>
          <w:spacing w:val="-5"/>
          <w:sz w:val="20"/>
        </w:rPr>
        <w:t xml:space="preserve"> </w:t>
      </w:r>
      <w:r>
        <w:rPr>
          <w:color w:val="231F20"/>
          <w:sz w:val="20"/>
        </w:rPr>
        <w:t>to</w:t>
      </w:r>
      <w:r>
        <w:rPr>
          <w:color w:val="231F20"/>
          <w:spacing w:val="-4"/>
          <w:sz w:val="20"/>
        </w:rPr>
        <w:t xml:space="preserve"> </w:t>
      </w:r>
      <w:r>
        <w:rPr>
          <w:color w:val="231F20"/>
          <w:sz w:val="20"/>
        </w:rPr>
        <w:t>focus</w:t>
      </w:r>
      <w:r>
        <w:rPr>
          <w:color w:val="231F20"/>
          <w:spacing w:val="-5"/>
          <w:sz w:val="20"/>
        </w:rPr>
        <w:t xml:space="preserve"> </w:t>
      </w:r>
      <w:r>
        <w:rPr>
          <w:color w:val="231F20"/>
          <w:sz w:val="20"/>
        </w:rPr>
        <w:t>on</w:t>
      </w:r>
      <w:r>
        <w:rPr>
          <w:color w:val="231F20"/>
          <w:spacing w:val="-5"/>
          <w:sz w:val="20"/>
        </w:rPr>
        <w:t xml:space="preserve"> </w:t>
      </w:r>
      <w:r>
        <w:rPr>
          <w:color w:val="231F20"/>
          <w:sz w:val="20"/>
        </w:rPr>
        <w:t>stalking</w:t>
      </w:r>
      <w:r>
        <w:rPr>
          <w:color w:val="231F20"/>
          <w:spacing w:val="-4"/>
          <w:sz w:val="20"/>
        </w:rPr>
        <w:t xml:space="preserve"> </w:t>
      </w:r>
      <w:r>
        <w:rPr>
          <w:color w:val="231F20"/>
          <w:sz w:val="20"/>
        </w:rPr>
        <w:t>and other serious</w:t>
      </w:r>
      <w:r>
        <w:rPr>
          <w:color w:val="231F20"/>
          <w:spacing w:val="-5"/>
          <w:sz w:val="20"/>
        </w:rPr>
        <w:t xml:space="preserve"> </w:t>
      </w:r>
      <w:r>
        <w:rPr>
          <w:color w:val="231F20"/>
          <w:sz w:val="20"/>
        </w:rPr>
        <w:t>harm.</w:t>
      </w:r>
    </w:p>
    <w:p w14:paraId="3D33598D" w14:textId="77777777" w:rsidR="00894070" w:rsidRDefault="009B7AFD">
      <w:pPr>
        <w:pStyle w:val="ListParagraph"/>
        <w:numPr>
          <w:ilvl w:val="0"/>
          <w:numId w:val="192"/>
        </w:numPr>
        <w:tabs>
          <w:tab w:val="left" w:pos="1815"/>
          <w:tab w:val="left" w:pos="1816"/>
        </w:tabs>
        <w:spacing w:before="123" w:line="206" w:lineRule="auto"/>
        <w:ind w:left="1815" w:right="1285"/>
        <w:rPr>
          <w:sz w:val="20"/>
        </w:rPr>
      </w:pPr>
      <w:r>
        <w:rPr>
          <w:color w:val="231F20"/>
          <w:sz w:val="20"/>
        </w:rPr>
        <w:t>People</w:t>
      </w:r>
      <w:r>
        <w:rPr>
          <w:color w:val="231F20"/>
          <w:spacing w:val="-6"/>
          <w:sz w:val="20"/>
        </w:rPr>
        <w:t xml:space="preserve"> </w:t>
      </w:r>
      <w:r>
        <w:rPr>
          <w:color w:val="231F20"/>
          <w:sz w:val="20"/>
        </w:rPr>
        <w:t>who</w:t>
      </w:r>
      <w:r>
        <w:rPr>
          <w:color w:val="231F20"/>
          <w:spacing w:val="-5"/>
          <w:sz w:val="20"/>
        </w:rPr>
        <w:t xml:space="preserve"> </w:t>
      </w:r>
      <w:r>
        <w:rPr>
          <w:color w:val="231F20"/>
          <w:sz w:val="20"/>
        </w:rPr>
        <w:t>experience</w:t>
      </w:r>
      <w:r>
        <w:rPr>
          <w:color w:val="231F20"/>
          <w:spacing w:val="-5"/>
          <w:sz w:val="20"/>
        </w:rPr>
        <w:t xml:space="preserve"> </w:t>
      </w:r>
      <w:r>
        <w:rPr>
          <w:color w:val="231F20"/>
          <w:sz w:val="20"/>
        </w:rPr>
        <w:t>stalking</w:t>
      </w:r>
      <w:r>
        <w:rPr>
          <w:color w:val="231F20"/>
          <w:spacing w:val="-5"/>
          <w:sz w:val="20"/>
        </w:rPr>
        <w:t xml:space="preserve"> </w:t>
      </w:r>
      <w:r>
        <w:rPr>
          <w:color w:val="231F20"/>
          <w:sz w:val="20"/>
        </w:rPr>
        <w:t>should</w:t>
      </w:r>
      <w:r>
        <w:rPr>
          <w:color w:val="231F20"/>
          <w:spacing w:val="-5"/>
          <w:sz w:val="20"/>
        </w:rPr>
        <w:t xml:space="preserve"> </w:t>
      </w:r>
      <w:r>
        <w:rPr>
          <w:color w:val="231F20"/>
          <w:sz w:val="20"/>
        </w:rPr>
        <w:t>be</w:t>
      </w:r>
      <w:r>
        <w:rPr>
          <w:color w:val="231F20"/>
          <w:spacing w:val="-5"/>
          <w:sz w:val="20"/>
        </w:rPr>
        <w:t xml:space="preserve"> </w:t>
      </w:r>
      <w:r>
        <w:rPr>
          <w:color w:val="231F20"/>
          <w:sz w:val="20"/>
        </w:rPr>
        <w:t>treated</w:t>
      </w:r>
      <w:r>
        <w:rPr>
          <w:color w:val="231F20"/>
          <w:spacing w:val="-5"/>
          <w:sz w:val="20"/>
        </w:rPr>
        <w:t xml:space="preserve"> </w:t>
      </w:r>
      <w:r>
        <w:rPr>
          <w:color w:val="231F20"/>
          <w:spacing w:val="-4"/>
          <w:sz w:val="20"/>
        </w:rPr>
        <w:t>fairly,</w:t>
      </w:r>
      <w:r>
        <w:rPr>
          <w:color w:val="231F20"/>
          <w:spacing w:val="-5"/>
          <w:sz w:val="20"/>
        </w:rPr>
        <w:t xml:space="preserve"> </w:t>
      </w:r>
      <w:r>
        <w:rPr>
          <w:color w:val="231F20"/>
          <w:sz w:val="20"/>
        </w:rPr>
        <w:t>be</w:t>
      </w:r>
      <w:r>
        <w:rPr>
          <w:color w:val="231F20"/>
          <w:spacing w:val="-5"/>
          <w:sz w:val="20"/>
        </w:rPr>
        <w:t xml:space="preserve"> </w:t>
      </w:r>
      <w:r>
        <w:rPr>
          <w:color w:val="231F20"/>
          <w:sz w:val="20"/>
        </w:rPr>
        <w:t>able</w:t>
      </w:r>
      <w:r>
        <w:rPr>
          <w:color w:val="231F20"/>
          <w:spacing w:val="-5"/>
          <w:sz w:val="20"/>
        </w:rPr>
        <w:t xml:space="preserve"> </w:t>
      </w:r>
      <w:r>
        <w:rPr>
          <w:color w:val="231F20"/>
          <w:sz w:val="20"/>
        </w:rPr>
        <w:t>to</w:t>
      </w:r>
      <w:r>
        <w:rPr>
          <w:color w:val="231F20"/>
          <w:spacing w:val="-6"/>
          <w:sz w:val="20"/>
        </w:rPr>
        <w:t xml:space="preserve"> </w:t>
      </w:r>
      <w:r>
        <w:rPr>
          <w:color w:val="231F20"/>
          <w:sz w:val="20"/>
        </w:rPr>
        <w:t>present</w:t>
      </w:r>
      <w:r>
        <w:rPr>
          <w:color w:val="231F20"/>
          <w:spacing w:val="-5"/>
          <w:sz w:val="20"/>
        </w:rPr>
        <w:t xml:space="preserve"> </w:t>
      </w:r>
      <w:r>
        <w:rPr>
          <w:color w:val="231F20"/>
          <w:sz w:val="20"/>
        </w:rPr>
        <w:t>their</w:t>
      </w:r>
      <w:r>
        <w:rPr>
          <w:color w:val="231F20"/>
          <w:spacing w:val="-5"/>
          <w:sz w:val="20"/>
        </w:rPr>
        <w:t xml:space="preserve"> </w:t>
      </w:r>
      <w:r>
        <w:rPr>
          <w:color w:val="231F20"/>
          <w:sz w:val="20"/>
        </w:rPr>
        <w:t>best evidence and avoid further distress. This</w:t>
      </w:r>
      <w:r>
        <w:rPr>
          <w:color w:val="231F20"/>
          <w:spacing w:val="-14"/>
          <w:sz w:val="20"/>
        </w:rPr>
        <w:t xml:space="preserve"> </w:t>
      </w:r>
      <w:r>
        <w:rPr>
          <w:color w:val="231F20"/>
          <w:sz w:val="20"/>
        </w:rPr>
        <w:t>means:</w:t>
      </w:r>
    </w:p>
    <w:p w14:paraId="75FF3DDA" w14:textId="77777777" w:rsidR="00894070" w:rsidRDefault="009B7AFD">
      <w:pPr>
        <w:pStyle w:val="ListParagraph"/>
        <w:numPr>
          <w:ilvl w:val="1"/>
          <w:numId w:val="192"/>
        </w:numPr>
        <w:tabs>
          <w:tab w:val="left" w:pos="2211"/>
          <w:tab w:val="left" w:pos="2213"/>
        </w:tabs>
        <w:spacing w:before="91"/>
        <w:ind w:left="2212"/>
        <w:rPr>
          <w:sz w:val="20"/>
        </w:rPr>
      </w:pPr>
      <w:r>
        <w:rPr>
          <w:color w:val="231F20"/>
          <w:sz w:val="20"/>
        </w:rPr>
        <w:t>expanding the ban on publishing what happens in court, with some</w:t>
      </w:r>
      <w:r>
        <w:rPr>
          <w:color w:val="231F20"/>
          <w:spacing w:val="-31"/>
          <w:sz w:val="20"/>
        </w:rPr>
        <w:t xml:space="preserve"> </w:t>
      </w:r>
      <w:r>
        <w:rPr>
          <w:color w:val="231F20"/>
          <w:sz w:val="20"/>
        </w:rPr>
        <w:t>exceptions</w:t>
      </w:r>
    </w:p>
    <w:p w14:paraId="5BF4C6E9" w14:textId="77777777" w:rsidR="00894070" w:rsidRDefault="009B7AFD">
      <w:pPr>
        <w:pStyle w:val="ListParagraph"/>
        <w:numPr>
          <w:ilvl w:val="1"/>
          <w:numId w:val="192"/>
        </w:numPr>
        <w:tabs>
          <w:tab w:val="left" w:pos="2211"/>
          <w:tab w:val="left" w:pos="2213"/>
        </w:tabs>
        <w:spacing w:before="114" w:line="206" w:lineRule="auto"/>
        <w:ind w:left="2212" w:right="1292"/>
        <w:rPr>
          <w:sz w:val="20"/>
        </w:rPr>
      </w:pPr>
      <w:r>
        <w:rPr>
          <w:color w:val="231F20"/>
          <w:sz w:val="20"/>
        </w:rPr>
        <w:t>preventing</w:t>
      </w:r>
      <w:r>
        <w:rPr>
          <w:color w:val="231F20"/>
          <w:spacing w:val="-12"/>
          <w:sz w:val="20"/>
        </w:rPr>
        <w:t xml:space="preserve"> </w:t>
      </w:r>
      <w:r>
        <w:rPr>
          <w:color w:val="231F20"/>
          <w:sz w:val="20"/>
        </w:rPr>
        <w:t>respondents</w:t>
      </w:r>
      <w:r>
        <w:rPr>
          <w:color w:val="231F20"/>
          <w:spacing w:val="-11"/>
          <w:sz w:val="20"/>
        </w:rPr>
        <w:t xml:space="preserve"> </w:t>
      </w:r>
      <w:r>
        <w:rPr>
          <w:color w:val="231F20"/>
          <w:sz w:val="20"/>
        </w:rPr>
        <w:t>from</w:t>
      </w:r>
      <w:r>
        <w:rPr>
          <w:color w:val="231F20"/>
          <w:spacing w:val="-12"/>
          <w:sz w:val="20"/>
        </w:rPr>
        <w:t xml:space="preserve"> </w:t>
      </w:r>
      <w:r>
        <w:rPr>
          <w:color w:val="231F20"/>
          <w:sz w:val="20"/>
        </w:rPr>
        <w:t>personally</w:t>
      </w:r>
      <w:r>
        <w:rPr>
          <w:color w:val="231F20"/>
          <w:spacing w:val="-11"/>
          <w:sz w:val="20"/>
        </w:rPr>
        <w:t xml:space="preserve"> </w:t>
      </w:r>
      <w:r>
        <w:rPr>
          <w:color w:val="231F20"/>
          <w:sz w:val="20"/>
        </w:rPr>
        <w:t>cross-examining</w:t>
      </w:r>
      <w:r>
        <w:rPr>
          <w:color w:val="231F20"/>
          <w:spacing w:val="-12"/>
          <w:sz w:val="20"/>
        </w:rPr>
        <w:t xml:space="preserve"> </w:t>
      </w:r>
      <w:r>
        <w:rPr>
          <w:color w:val="231F20"/>
          <w:sz w:val="20"/>
        </w:rPr>
        <w:t>protected</w:t>
      </w:r>
      <w:r>
        <w:rPr>
          <w:color w:val="231F20"/>
          <w:spacing w:val="-11"/>
          <w:sz w:val="20"/>
        </w:rPr>
        <w:t xml:space="preserve"> </w:t>
      </w:r>
      <w:r>
        <w:rPr>
          <w:color w:val="231F20"/>
          <w:sz w:val="20"/>
        </w:rPr>
        <w:t>witnesses</w:t>
      </w:r>
      <w:r>
        <w:rPr>
          <w:color w:val="231F20"/>
          <w:spacing w:val="-12"/>
          <w:sz w:val="20"/>
        </w:rPr>
        <w:t xml:space="preserve"> </w:t>
      </w:r>
      <w:r>
        <w:rPr>
          <w:color w:val="231F20"/>
          <w:sz w:val="20"/>
        </w:rPr>
        <w:t>in court, and funding Victoria Legal Aid to conduct the</w:t>
      </w:r>
      <w:r>
        <w:rPr>
          <w:color w:val="231F20"/>
          <w:spacing w:val="-30"/>
          <w:sz w:val="20"/>
        </w:rPr>
        <w:t xml:space="preserve"> </w:t>
      </w:r>
      <w:r>
        <w:rPr>
          <w:color w:val="231F20"/>
          <w:sz w:val="20"/>
        </w:rPr>
        <w:t>cross-examination</w:t>
      </w:r>
    </w:p>
    <w:p w14:paraId="587FB614" w14:textId="77777777" w:rsidR="00894070" w:rsidRDefault="009B7AFD">
      <w:pPr>
        <w:pStyle w:val="ListParagraph"/>
        <w:numPr>
          <w:ilvl w:val="1"/>
          <w:numId w:val="192"/>
        </w:numPr>
        <w:tabs>
          <w:tab w:val="left" w:pos="2211"/>
          <w:tab w:val="left" w:pos="2213"/>
        </w:tabs>
        <w:spacing w:before="90"/>
        <w:ind w:left="2212"/>
        <w:rPr>
          <w:sz w:val="20"/>
        </w:rPr>
      </w:pPr>
      <w:r>
        <w:rPr>
          <w:color w:val="231F20"/>
          <w:sz w:val="20"/>
        </w:rPr>
        <w:t>expanding access to legal advice and representation for PSIO</w:t>
      </w:r>
      <w:r>
        <w:rPr>
          <w:color w:val="231F20"/>
          <w:spacing w:val="-26"/>
          <w:sz w:val="20"/>
        </w:rPr>
        <w:t xml:space="preserve"> </w:t>
      </w:r>
      <w:r>
        <w:rPr>
          <w:color w:val="231F20"/>
          <w:sz w:val="20"/>
        </w:rPr>
        <w:t>applicants.</w:t>
      </w:r>
    </w:p>
    <w:p w14:paraId="36790A83" w14:textId="77777777" w:rsidR="00894070" w:rsidRDefault="009B7AFD">
      <w:pPr>
        <w:pStyle w:val="ListParagraph"/>
        <w:numPr>
          <w:ilvl w:val="0"/>
          <w:numId w:val="192"/>
        </w:numPr>
        <w:tabs>
          <w:tab w:val="left" w:pos="1815"/>
          <w:tab w:val="left" w:pos="1816"/>
        </w:tabs>
        <w:spacing w:before="83" w:line="259" w:lineRule="exact"/>
        <w:ind w:left="1815"/>
        <w:rPr>
          <w:sz w:val="20"/>
        </w:rPr>
      </w:pPr>
      <w:r>
        <w:rPr>
          <w:color w:val="231F20"/>
          <w:sz w:val="20"/>
        </w:rPr>
        <w:t xml:space="preserve">Respondents, not just applicants, in PSIO matters should </w:t>
      </w:r>
      <w:r>
        <w:rPr>
          <w:color w:val="231F20"/>
          <w:spacing w:val="-3"/>
          <w:sz w:val="20"/>
        </w:rPr>
        <w:t xml:space="preserve">have </w:t>
      </w:r>
      <w:r>
        <w:rPr>
          <w:color w:val="231F20"/>
          <w:sz w:val="20"/>
        </w:rPr>
        <w:t>access to legal</w:t>
      </w:r>
      <w:r>
        <w:rPr>
          <w:color w:val="231F20"/>
          <w:spacing w:val="-31"/>
          <w:sz w:val="20"/>
        </w:rPr>
        <w:t xml:space="preserve"> </w:t>
      </w:r>
      <w:r>
        <w:rPr>
          <w:color w:val="231F20"/>
          <w:sz w:val="20"/>
        </w:rPr>
        <w:t>advice</w:t>
      </w:r>
    </w:p>
    <w:p w14:paraId="5C9516FC" w14:textId="77777777" w:rsidR="00894070" w:rsidRDefault="009B7AFD">
      <w:pPr>
        <w:pStyle w:val="BodyText"/>
        <w:spacing w:line="259" w:lineRule="exact"/>
        <w:ind w:left="1815"/>
      </w:pPr>
      <w:r>
        <w:rPr>
          <w:color w:val="231F20"/>
        </w:rPr>
        <w:t>and representation.</w:t>
      </w:r>
    </w:p>
    <w:p w14:paraId="5E9FA1C1" w14:textId="77777777" w:rsidR="00894070" w:rsidRDefault="009B7AFD">
      <w:pPr>
        <w:pStyle w:val="ListParagraph"/>
        <w:numPr>
          <w:ilvl w:val="0"/>
          <w:numId w:val="192"/>
        </w:numPr>
        <w:tabs>
          <w:tab w:val="left" w:pos="1815"/>
          <w:tab w:val="left" w:pos="1816"/>
        </w:tabs>
        <w:spacing w:before="82"/>
        <w:ind w:left="1815"/>
        <w:rPr>
          <w:sz w:val="20"/>
        </w:rPr>
      </w:pPr>
      <w:r>
        <w:rPr>
          <w:color w:val="231F20"/>
          <w:sz w:val="20"/>
        </w:rPr>
        <w:t>Other</w:t>
      </w:r>
      <w:r>
        <w:rPr>
          <w:color w:val="231F20"/>
          <w:spacing w:val="-4"/>
          <w:sz w:val="20"/>
        </w:rPr>
        <w:t xml:space="preserve"> </w:t>
      </w:r>
      <w:r>
        <w:rPr>
          <w:color w:val="231F20"/>
          <w:sz w:val="20"/>
        </w:rPr>
        <w:t>changes</w:t>
      </w:r>
      <w:r>
        <w:rPr>
          <w:color w:val="231F20"/>
          <w:spacing w:val="-4"/>
          <w:sz w:val="20"/>
        </w:rPr>
        <w:t xml:space="preserve"> </w:t>
      </w:r>
      <w:r>
        <w:rPr>
          <w:color w:val="231F20"/>
          <w:sz w:val="20"/>
        </w:rPr>
        <w:t>could</w:t>
      </w:r>
      <w:r>
        <w:rPr>
          <w:color w:val="231F20"/>
          <w:spacing w:val="-4"/>
          <w:sz w:val="20"/>
        </w:rPr>
        <w:t xml:space="preserve"> </w:t>
      </w:r>
      <w:r>
        <w:rPr>
          <w:color w:val="231F20"/>
          <w:sz w:val="20"/>
        </w:rPr>
        <w:t>be</w:t>
      </w:r>
      <w:r>
        <w:rPr>
          <w:color w:val="231F20"/>
          <w:spacing w:val="-3"/>
          <w:sz w:val="20"/>
        </w:rPr>
        <w:t xml:space="preserve"> </w:t>
      </w:r>
      <w:r>
        <w:rPr>
          <w:color w:val="231F20"/>
          <w:sz w:val="20"/>
        </w:rPr>
        <w:t>made</w:t>
      </w:r>
      <w:r>
        <w:rPr>
          <w:color w:val="231F20"/>
          <w:spacing w:val="-4"/>
          <w:sz w:val="20"/>
        </w:rPr>
        <w:t xml:space="preserve"> </w:t>
      </w:r>
      <w:r>
        <w:rPr>
          <w:color w:val="231F20"/>
          <w:sz w:val="20"/>
        </w:rPr>
        <w:t>to</w:t>
      </w:r>
      <w:r>
        <w:rPr>
          <w:color w:val="231F20"/>
          <w:spacing w:val="-4"/>
          <w:sz w:val="20"/>
        </w:rPr>
        <w:t xml:space="preserve"> </w:t>
      </w:r>
      <w:r>
        <w:rPr>
          <w:color w:val="231F20"/>
          <w:sz w:val="20"/>
        </w:rPr>
        <w:t>help</w:t>
      </w:r>
      <w:r>
        <w:rPr>
          <w:color w:val="231F20"/>
          <w:spacing w:val="-3"/>
          <w:sz w:val="20"/>
        </w:rPr>
        <w:t xml:space="preserve"> </w:t>
      </w:r>
      <w:r>
        <w:rPr>
          <w:color w:val="231F20"/>
          <w:sz w:val="20"/>
        </w:rPr>
        <w:t>the</w:t>
      </w:r>
      <w:r>
        <w:rPr>
          <w:color w:val="231F20"/>
          <w:spacing w:val="-4"/>
          <w:sz w:val="20"/>
        </w:rPr>
        <w:t xml:space="preserve"> </w:t>
      </w:r>
      <w:r>
        <w:rPr>
          <w:color w:val="231F20"/>
          <w:sz w:val="20"/>
        </w:rPr>
        <w:t>civil</w:t>
      </w:r>
      <w:r>
        <w:rPr>
          <w:color w:val="231F20"/>
          <w:spacing w:val="-4"/>
          <w:sz w:val="20"/>
        </w:rPr>
        <w:t xml:space="preserve"> </w:t>
      </w:r>
      <w:r>
        <w:rPr>
          <w:color w:val="231F20"/>
          <w:sz w:val="20"/>
        </w:rPr>
        <w:t>response</w:t>
      </w:r>
      <w:r>
        <w:rPr>
          <w:color w:val="231F20"/>
          <w:spacing w:val="-4"/>
          <w:sz w:val="20"/>
        </w:rPr>
        <w:t xml:space="preserve"> </w:t>
      </w:r>
      <w:r>
        <w:rPr>
          <w:color w:val="231F20"/>
          <w:sz w:val="20"/>
        </w:rPr>
        <w:t>run</w:t>
      </w:r>
      <w:r>
        <w:rPr>
          <w:color w:val="231F20"/>
          <w:spacing w:val="-3"/>
          <w:sz w:val="20"/>
        </w:rPr>
        <w:t xml:space="preserve"> </w:t>
      </w:r>
      <w:r>
        <w:rPr>
          <w:color w:val="231F20"/>
          <w:sz w:val="20"/>
        </w:rPr>
        <w:t>efficiently</w:t>
      </w:r>
      <w:r>
        <w:rPr>
          <w:color w:val="231F20"/>
          <w:spacing w:val="-4"/>
          <w:sz w:val="20"/>
        </w:rPr>
        <w:t xml:space="preserve"> </w:t>
      </w:r>
      <w:r>
        <w:rPr>
          <w:color w:val="231F20"/>
          <w:sz w:val="20"/>
        </w:rPr>
        <w:t>and</w:t>
      </w:r>
      <w:r>
        <w:rPr>
          <w:color w:val="231F20"/>
          <w:spacing w:val="-4"/>
          <w:sz w:val="20"/>
        </w:rPr>
        <w:t xml:space="preserve"> </w:t>
      </w:r>
      <w:r>
        <w:rPr>
          <w:color w:val="231F20"/>
          <w:sz w:val="20"/>
        </w:rPr>
        <w:t>safely:</w:t>
      </w:r>
    </w:p>
    <w:p w14:paraId="2D0D4BA5" w14:textId="77777777" w:rsidR="00894070" w:rsidRDefault="009B7AFD">
      <w:pPr>
        <w:pStyle w:val="ListParagraph"/>
        <w:numPr>
          <w:ilvl w:val="1"/>
          <w:numId w:val="192"/>
        </w:numPr>
        <w:tabs>
          <w:tab w:val="left" w:pos="2211"/>
          <w:tab w:val="left" w:pos="2213"/>
        </w:tabs>
        <w:spacing w:before="83" w:line="259" w:lineRule="exact"/>
        <w:ind w:left="2212"/>
        <w:rPr>
          <w:sz w:val="20"/>
        </w:rPr>
      </w:pPr>
      <w:r>
        <w:rPr>
          <w:color w:val="231F20"/>
          <w:sz w:val="20"/>
        </w:rPr>
        <w:t>The recent implementation of online applications for PSIOs should be</w:t>
      </w:r>
      <w:r>
        <w:rPr>
          <w:color w:val="231F20"/>
          <w:spacing w:val="-34"/>
          <w:sz w:val="20"/>
        </w:rPr>
        <w:t xml:space="preserve"> </w:t>
      </w:r>
      <w:r>
        <w:rPr>
          <w:color w:val="231F20"/>
          <w:sz w:val="20"/>
        </w:rPr>
        <w:t>monitored</w:t>
      </w:r>
    </w:p>
    <w:p w14:paraId="721BCD4F" w14:textId="77777777" w:rsidR="00894070" w:rsidRDefault="009B7AFD">
      <w:pPr>
        <w:pStyle w:val="BodyText"/>
        <w:spacing w:line="259" w:lineRule="exact"/>
        <w:ind w:left="2212"/>
      </w:pPr>
      <w:r>
        <w:rPr>
          <w:color w:val="231F20"/>
        </w:rPr>
        <w:t>and evaluated.</w:t>
      </w:r>
    </w:p>
    <w:p w14:paraId="2FA03DC5" w14:textId="77777777" w:rsidR="00894070" w:rsidRDefault="009B7AFD">
      <w:pPr>
        <w:pStyle w:val="ListParagraph"/>
        <w:numPr>
          <w:ilvl w:val="1"/>
          <w:numId w:val="192"/>
        </w:numPr>
        <w:tabs>
          <w:tab w:val="left" w:pos="2211"/>
          <w:tab w:val="left" w:pos="2213"/>
        </w:tabs>
        <w:spacing w:before="82" w:line="259" w:lineRule="exact"/>
        <w:ind w:left="2212"/>
        <w:rPr>
          <w:sz w:val="20"/>
        </w:rPr>
      </w:pPr>
      <w:r>
        <w:rPr>
          <w:color w:val="231F20"/>
          <w:sz w:val="20"/>
        </w:rPr>
        <w:t xml:space="preserve">The court should be able to choose to make orders </w:t>
      </w:r>
      <w:r>
        <w:rPr>
          <w:color w:val="231F20"/>
          <w:spacing w:val="-3"/>
          <w:sz w:val="20"/>
        </w:rPr>
        <w:t xml:space="preserve">even </w:t>
      </w:r>
      <w:r>
        <w:rPr>
          <w:color w:val="231F20"/>
          <w:sz w:val="20"/>
        </w:rPr>
        <w:t>when no one</w:t>
      </w:r>
      <w:r>
        <w:rPr>
          <w:color w:val="231F20"/>
          <w:spacing w:val="-32"/>
          <w:sz w:val="20"/>
        </w:rPr>
        <w:t xml:space="preserve"> </w:t>
      </w:r>
      <w:r>
        <w:rPr>
          <w:color w:val="231F20"/>
          <w:sz w:val="20"/>
        </w:rPr>
        <w:t>has</w:t>
      </w:r>
    </w:p>
    <w:p w14:paraId="316E81F6" w14:textId="77777777" w:rsidR="00894070" w:rsidRDefault="009B7AFD">
      <w:pPr>
        <w:pStyle w:val="BodyText"/>
        <w:spacing w:line="259" w:lineRule="exact"/>
        <w:ind w:left="2212"/>
      </w:pPr>
      <w:r>
        <w:rPr>
          <w:color w:val="231F20"/>
        </w:rPr>
        <w:t>applied.</w:t>
      </w:r>
    </w:p>
    <w:p w14:paraId="777C9A92" w14:textId="77777777" w:rsidR="00894070" w:rsidRDefault="009B7AFD">
      <w:pPr>
        <w:pStyle w:val="ListParagraph"/>
        <w:numPr>
          <w:ilvl w:val="1"/>
          <w:numId w:val="192"/>
        </w:numPr>
        <w:tabs>
          <w:tab w:val="left" w:pos="2211"/>
          <w:tab w:val="left" w:pos="2213"/>
        </w:tabs>
        <w:spacing w:before="82"/>
        <w:ind w:left="2212"/>
        <w:rPr>
          <w:sz w:val="20"/>
        </w:rPr>
      </w:pPr>
      <w:r>
        <w:rPr>
          <w:color w:val="231F20"/>
          <w:sz w:val="20"/>
        </w:rPr>
        <w:t xml:space="preserve">Higher courts should </w:t>
      </w:r>
      <w:r>
        <w:rPr>
          <w:color w:val="231F20"/>
          <w:spacing w:val="-3"/>
          <w:sz w:val="20"/>
        </w:rPr>
        <w:t xml:space="preserve">rely </w:t>
      </w:r>
      <w:r>
        <w:rPr>
          <w:color w:val="231F20"/>
          <w:sz w:val="20"/>
        </w:rPr>
        <w:t xml:space="preserve">on material from the </w:t>
      </w:r>
      <w:r>
        <w:rPr>
          <w:color w:val="231F20"/>
          <w:spacing w:val="-3"/>
          <w:sz w:val="20"/>
        </w:rPr>
        <w:t xml:space="preserve">lower </w:t>
      </w:r>
      <w:r>
        <w:rPr>
          <w:color w:val="231F20"/>
          <w:sz w:val="20"/>
        </w:rPr>
        <w:t>courts for PSIO</w:t>
      </w:r>
      <w:r>
        <w:rPr>
          <w:color w:val="231F20"/>
          <w:spacing w:val="-20"/>
          <w:sz w:val="20"/>
        </w:rPr>
        <w:t xml:space="preserve"> </w:t>
      </w:r>
      <w:r>
        <w:rPr>
          <w:color w:val="231F20"/>
          <w:sz w:val="20"/>
        </w:rPr>
        <w:t>appeals.</w:t>
      </w:r>
    </w:p>
    <w:p w14:paraId="0242DBF0" w14:textId="77777777" w:rsidR="00894070" w:rsidRDefault="00894070">
      <w:pPr>
        <w:pStyle w:val="BodyText"/>
      </w:pPr>
    </w:p>
    <w:p w14:paraId="59FC3444" w14:textId="77777777" w:rsidR="00894070" w:rsidRDefault="00894070">
      <w:pPr>
        <w:pStyle w:val="BodyText"/>
      </w:pPr>
    </w:p>
    <w:p w14:paraId="3B6E09BE" w14:textId="77777777" w:rsidR="00894070" w:rsidRDefault="009B7AFD">
      <w:pPr>
        <w:pStyle w:val="Heading8"/>
        <w:spacing w:before="228"/>
        <w:ind w:right="217"/>
        <w:jc w:val="right"/>
      </w:pPr>
      <w:r>
        <w:rPr>
          <w:color w:val="EA5B50"/>
        </w:rPr>
        <w:t>xiii</w:t>
      </w:r>
    </w:p>
    <w:p w14:paraId="0778A43B" w14:textId="77777777" w:rsidR="00894070" w:rsidRDefault="00894070">
      <w:pPr>
        <w:jc w:val="right"/>
        <w:sectPr w:rsidR="00894070">
          <w:pgSz w:w="11910" w:h="16840"/>
          <w:pgMar w:top="840" w:right="420" w:bottom="280" w:left="580" w:header="0" w:footer="0" w:gutter="0"/>
          <w:cols w:space="720"/>
        </w:sectPr>
      </w:pPr>
    </w:p>
    <w:p w14:paraId="3A41159E" w14:textId="77777777" w:rsidR="00894070" w:rsidRDefault="00894070">
      <w:pPr>
        <w:pStyle w:val="BodyText"/>
        <w:rPr>
          <w:b/>
        </w:rPr>
      </w:pPr>
    </w:p>
    <w:p w14:paraId="6DE7325A" w14:textId="77777777" w:rsidR="00894070" w:rsidRDefault="00894070">
      <w:pPr>
        <w:pStyle w:val="BodyText"/>
        <w:rPr>
          <w:b/>
        </w:rPr>
      </w:pPr>
    </w:p>
    <w:p w14:paraId="59838C5F" w14:textId="77777777" w:rsidR="00894070" w:rsidRDefault="00894070">
      <w:pPr>
        <w:pStyle w:val="BodyText"/>
        <w:rPr>
          <w:b/>
        </w:rPr>
      </w:pPr>
    </w:p>
    <w:p w14:paraId="26AD0516" w14:textId="77777777" w:rsidR="00894070" w:rsidRDefault="00894070">
      <w:pPr>
        <w:pStyle w:val="BodyText"/>
        <w:spacing w:before="11"/>
        <w:rPr>
          <w:b/>
          <w:sz w:val="18"/>
        </w:rPr>
      </w:pPr>
    </w:p>
    <w:p w14:paraId="56A8D809" w14:textId="77777777" w:rsidR="00894070" w:rsidRDefault="009B7AFD">
      <w:pPr>
        <w:pStyle w:val="ListParagraph"/>
        <w:numPr>
          <w:ilvl w:val="0"/>
          <w:numId w:val="192"/>
        </w:numPr>
        <w:tabs>
          <w:tab w:val="left" w:pos="1815"/>
          <w:tab w:val="left" w:pos="1816"/>
        </w:tabs>
        <w:spacing w:line="206" w:lineRule="auto"/>
        <w:ind w:left="1815" w:right="1400"/>
        <w:rPr>
          <w:sz w:val="20"/>
        </w:rPr>
      </w:pPr>
      <w:r>
        <w:rPr>
          <w:color w:val="231F20"/>
          <w:sz w:val="20"/>
        </w:rPr>
        <w:t>The</w:t>
      </w:r>
      <w:r>
        <w:rPr>
          <w:color w:val="231F20"/>
          <w:spacing w:val="-7"/>
          <w:sz w:val="20"/>
        </w:rPr>
        <w:t xml:space="preserve"> </w:t>
      </w:r>
      <w:r>
        <w:rPr>
          <w:color w:val="231F20"/>
          <w:sz w:val="20"/>
        </w:rPr>
        <w:t>response</w:t>
      </w:r>
      <w:r>
        <w:rPr>
          <w:color w:val="231F20"/>
          <w:spacing w:val="-6"/>
          <w:sz w:val="20"/>
        </w:rPr>
        <w:t xml:space="preserve"> </w:t>
      </w:r>
      <w:r>
        <w:rPr>
          <w:color w:val="231F20"/>
          <w:sz w:val="20"/>
        </w:rPr>
        <w:t>to</w:t>
      </w:r>
      <w:r>
        <w:rPr>
          <w:color w:val="231F20"/>
          <w:spacing w:val="-6"/>
          <w:sz w:val="20"/>
        </w:rPr>
        <w:t xml:space="preserve"> </w:t>
      </w:r>
      <w:r>
        <w:rPr>
          <w:color w:val="231F20"/>
          <w:sz w:val="20"/>
        </w:rPr>
        <w:t>children</w:t>
      </w:r>
      <w:r>
        <w:rPr>
          <w:color w:val="231F20"/>
          <w:spacing w:val="-6"/>
          <w:sz w:val="20"/>
        </w:rPr>
        <w:t xml:space="preserve"> </w:t>
      </w:r>
      <w:r>
        <w:rPr>
          <w:color w:val="231F20"/>
          <w:sz w:val="20"/>
        </w:rPr>
        <w:t>in</w:t>
      </w:r>
      <w:r>
        <w:rPr>
          <w:color w:val="231F20"/>
          <w:spacing w:val="-6"/>
          <w:sz w:val="20"/>
        </w:rPr>
        <w:t xml:space="preserve"> </w:t>
      </w:r>
      <w:r>
        <w:rPr>
          <w:color w:val="231F20"/>
          <w:sz w:val="20"/>
        </w:rPr>
        <w:t>the</w:t>
      </w:r>
      <w:r>
        <w:rPr>
          <w:color w:val="231F20"/>
          <w:spacing w:val="-6"/>
          <w:sz w:val="20"/>
        </w:rPr>
        <w:t xml:space="preserve"> </w:t>
      </w:r>
      <w:r>
        <w:rPr>
          <w:color w:val="231F20"/>
          <w:sz w:val="20"/>
        </w:rPr>
        <w:t>PSIO</w:t>
      </w:r>
      <w:r>
        <w:rPr>
          <w:color w:val="231F20"/>
          <w:spacing w:val="-7"/>
          <w:sz w:val="20"/>
        </w:rPr>
        <w:t xml:space="preserve"> </w:t>
      </w:r>
      <w:r>
        <w:rPr>
          <w:color w:val="231F20"/>
          <w:sz w:val="20"/>
        </w:rPr>
        <w:t>system</w:t>
      </w:r>
      <w:r>
        <w:rPr>
          <w:color w:val="231F20"/>
          <w:spacing w:val="-6"/>
          <w:sz w:val="20"/>
        </w:rPr>
        <w:t xml:space="preserve"> </w:t>
      </w:r>
      <w:r>
        <w:rPr>
          <w:color w:val="231F20"/>
          <w:sz w:val="20"/>
        </w:rPr>
        <w:t>must</w:t>
      </w:r>
      <w:r>
        <w:rPr>
          <w:color w:val="231F20"/>
          <w:spacing w:val="-6"/>
          <w:sz w:val="20"/>
        </w:rPr>
        <w:t xml:space="preserve"> </w:t>
      </w:r>
      <w:proofErr w:type="gramStart"/>
      <w:r>
        <w:rPr>
          <w:color w:val="231F20"/>
          <w:sz w:val="20"/>
        </w:rPr>
        <w:t>take</w:t>
      </w:r>
      <w:r>
        <w:rPr>
          <w:color w:val="231F20"/>
          <w:spacing w:val="-6"/>
          <w:sz w:val="20"/>
        </w:rPr>
        <w:t xml:space="preserve"> </w:t>
      </w:r>
      <w:r>
        <w:rPr>
          <w:color w:val="231F20"/>
          <w:sz w:val="20"/>
        </w:rPr>
        <w:t>into</w:t>
      </w:r>
      <w:r>
        <w:rPr>
          <w:color w:val="231F20"/>
          <w:spacing w:val="-6"/>
          <w:sz w:val="20"/>
        </w:rPr>
        <w:t xml:space="preserve"> </w:t>
      </w:r>
      <w:r>
        <w:rPr>
          <w:color w:val="231F20"/>
          <w:sz w:val="20"/>
        </w:rPr>
        <w:t>account</w:t>
      </w:r>
      <w:proofErr w:type="gramEnd"/>
      <w:r>
        <w:rPr>
          <w:color w:val="231F20"/>
          <w:spacing w:val="-6"/>
          <w:sz w:val="20"/>
        </w:rPr>
        <w:t xml:space="preserve"> </w:t>
      </w:r>
      <w:r>
        <w:rPr>
          <w:color w:val="231F20"/>
          <w:sz w:val="20"/>
        </w:rPr>
        <w:t>evidence</w:t>
      </w:r>
      <w:r>
        <w:rPr>
          <w:color w:val="231F20"/>
          <w:spacing w:val="-7"/>
          <w:sz w:val="20"/>
        </w:rPr>
        <w:t xml:space="preserve"> </w:t>
      </w:r>
      <w:r>
        <w:rPr>
          <w:color w:val="231F20"/>
          <w:sz w:val="20"/>
        </w:rPr>
        <w:t>about their</w:t>
      </w:r>
      <w:r>
        <w:rPr>
          <w:color w:val="231F20"/>
          <w:spacing w:val="-5"/>
          <w:sz w:val="20"/>
        </w:rPr>
        <w:t xml:space="preserve"> </w:t>
      </w:r>
      <w:r>
        <w:rPr>
          <w:color w:val="231F20"/>
          <w:sz w:val="20"/>
        </w:rPr>
        <w:t>development</w:t>
      </w:r>
      <w:r>
        <w:rPr>
          <w:color w:val="231F20"/>
          <w:spacing w:val="-4"/>
          <w:sz w:val="20"/>
        </w:rPr>
        <w:t xml:space="preserve"> </w:t>
      </w:r>
      <w:r>
        <w:rPr>
          <w:color w:val="231F20"/>
          <w:sz w:val="20"/>
        </w:rPr>
        <w:t>and</w:t>
      </w:r>
      <w:r>
        <w:rPr>
          <w:color w:val="231F20"/>
          <w:spacing w:val="-4"/>
          <w:sz w:val="20"/>
        </w:rPr>
        <w:t xml:space="preserve"> </w:t>
      </w:r>
      <w:r>
        <w:rPr>
          <w:color w:val="231F20"/>
          <w:sz w:val="20"/>
        </w:rPr>
        <w:t>try</w:t>
      </w:r>
      <w:r>
        <w:rPr>
          <w:color w:val="231F20"/>
          <w:spacing w:val="-4"/>
          <w:sz w:val="20"/>
        </w:rPr>
        <w:t xml:space="preserve"> </w:t>
      </w:r>
      <w:r>
        <w:rPr>
          <w:color w:val="231F20"/>
          <w:sz w:val="20"/>
        </w:rPr>
        <w:t>to</w:t>
      </w:r>
      <w:r>
        <w:rPr>
          <w:color w:val="231F20"/>
          <w:spacing w:val="-4"/>
          <w:sz w:val="20"/>
        </w:rPr>
        <w:t xml:space="preserve"> </w:t>
      </w:r>
      <w:r>
        <w:rPr>
          <w:color w:val="231F20"/>
          <w:spacing w:val="-3"/>
          <w:sz w:val="20"/>
        </w:rPr>
        <w:t>prevent</w:t>
      </w:r>
      <w:r>
        <w:rPr>
          <w:color w:val="231F20"/>
          <w:spacing w:val="-4"/>
          <w:sz w:val="20"/>
        </w:rPr>
        <w:t xml:space="preserve"> </w:t>
      </w:r>
      <w:r>
        <w:rPr>
          <w:color w:val="231F20"/>
          <w:sz w:val="20"/>
        </w:rPr>
        <w:t>long-term</w:t>
      </w:r>
      <w:r>
        <w:rPr>
          <w:color w:val="231F20"/>
          <w:spacing w:val="-4"/>
          <w:sz w:val="20"/>
        </w:rPr>
        <w:t xml:space="preserve"> </w:t>
      </w:r>
      <w:r>
        <w:rPr>
          <w:color w:val="231F20"/>
          <w:sz w:val="20"/>
        </w:rPr>
        <w:t>contact</w:t>
      </w:r>
      <w:r>
        <w:rPr>
          <w:color w:val="231F20"/>
          <w:spacing w:val="-4"/>
          <w:sz w:val="20"/>
        </w:rPr>
        <w:t xml:space="preserve"> </w:t>
      </w:r>
      <w:r>
        <w:rPr>
          <w:color w:val="231F20"/>
          <w:sz w:val="20"/>
        </w:rPr>
        <w:t>with</w:t>
      </w:r>
      <w:r>
        <w:rPr>
          <w:color w:val="231F20"/>
          <w:spacing w:val="-5"/>
          <w:sz w:val="20"/>
        </w:rPr>
        <w:t xml:space="preserve"> </w:t>
      </w:r>
      <w:r>
        <w:rPr>
          <w:color w:val="231F20"/>
          <w:sz w:val="20"/>
        </w:rPr>
        <w:t>the</w:t>
      </w:r>
      <w:r>
        <w:rPr>
          <w:color w:val="231F20"/>
          <w:spacing w:val="-4"/>
          <w:sz w:val="20"/>
        </w:rPr>
        <w:t xml:space="preserve"> </w:t>
      </w:r>
      <w:r>
        <w:rPr>
          <w:color w:val="231F20"/>
          <w:sz w:val="20"/>
        </w:rPr>
        <w:t>justice</w:t>
      </w:r>
      <w:r>
        <w:rPr>
          <w:color w:val="231F20"/>
          <w:spacing w:val="-4"/>
          <w:sz w:val="20"/>
        </w:rPr>
        <w:t xml:space="preserve"> </w:t>
      </w:r>
      <w:r>
        <w:rPr>
          <w:color w:val="231F20"/>
          <w:sz w:val="20"/>
        </w:rPr>
        <w:t>system.</w:t>
      </w:r>
    </w:p>
    <w:p w14:paraId="2674B035" w14:textId="77777777" w:rsidR="00894070" w:rsidRDefault="009B7AFD">
      <w:pPr>
        <w:pStyle w:val="ListParagraph"/>
        <w:numPr>
          <w:ilvl w:val="0"/>
          <w:numId w:val="192"/>
        </w:numPr>
        <w:tabs>
          <w:tab w:val="left" w:pos="1815"/>
          <w:tab w:val="left" w:pos="1816"/>
        </w:tabs>
        <w:spacing w:before="90"/>
        <w:ind w:left="1815"/>
        <w:rPr>
          <w:sz w:val="20"/>
        </w:rPr>
      </w:pPr>
      <w:r>
        <w:rPr>
          <w:color w:val="231F20"/>
          <w:sz w:val="20"/>
        </w:rPr>
        <w:t>PSIOs should not be made against children under the age of</w:t>
      </w:r>
      <w:r>
        <w:rPr>
          <w:color w:val="231F20"/>
          <w:spacing w:val="-26"/>
          <w:sz w:val="20"/>
        </w:rPr>
        <w:t xml:space="preserve"> </w:t>
      </w:r>
      <w:r>
        <w:rPr>
          <w:color w:val="231F20"/>
          <w:spacing w:val="3"/>
          <w:sz w:val="20"/>
        </w:rPr>
        <w:t>14.</w:t>
      </w:r>
    </w:p>
    <w:p w14:paraId="65989A0C" w14:textId="77777777" w:rsidR="00894070" w:rsidRDefault="009B7AFD">
      <w:pPr>
        <w:pStyle w:val="ListParagraph"/>
        <w:numPr>
          <w:ilvl w:val="0"/>
          <w:numId w:val="192"/>
        </w:numPr>
        <w:tabs>
          <w:tab w:val="left" w:pos="1815"/>
          <w:tab w:val="left" w:pos="1816"/>
        </w:tabs>
        <w:spacing w:before="115" w:line="206" w:lineRule="auto"/>
        <w:ind w:left="1815" w:right="1298"/>
        <w:rPr>
          <w:sz w:val="20"/>
        </w:rPr>
      </w:pPr>
      <w:r>
        <w:rPr>
          <w:color w:val="231F20"/>
          <w:sz w:val="20"/>
        </w:rPr>
        <w:t xml:space="preserve">Alternative </w:t>
      </w:r>
      <w:r>
        <w:rPr>
          <w:color w:val="231F20"/>
          <w:spacing w:val="-3"/>
          <w:sz w:val="20"/>
        </w:rPr>
        <w:t xml:space="preserve">pathways </w:t>
      </w:r>
      <w:r>
        <w:rPr>
          <w:color w:val="231F20"/>
          <w:sz w:val="20"/>
        </w:rPr>
        <w:t xml:space="preserve">should be available for children aged 14 and </w:t>
      </w:r>
      <w:r>
        <w:rPr>
          <w:color w:val="231F20"/>
          <w:spacing w:val="-3"/>
          <w:sz w:val="20"/>
        </w:rPr>
        <w:t xml:space="preserve">over </w:t>
      </w:r>
      <w:r>
        <w:rPr>
          <w:color w:val="231F20"/>
          <w:sz w:val="20"/>
        </w:rPr>
        <w:t>who engage in</w:t>
      </w:r>
      <w:r>
        <w:rPr>
          <w:color w:val="231F20"/>
          <w:spacing w:val="-8"/>
          <w:sz w:val="20"/>
        </w:rPr>
        <w:t xml:space="preserve"> </w:t>
      </w:r>
      <w:r>
        <w:rPr>
          <w:color w:val="231F20"/>
          <w:sz w:val="20"/>
        </w:rPr>
        <w:t>stalking</w:t>
      </w:r>
      <w:r>
        <w:rPr>
          <w:color w:val="231F20"/>
          <w:spacing w:val="-7"/>
          <w:sz w:val="20"/>
        </w:rPr>
        <w:t xml:space="preserve"> </w:t>
      </w:r>
      <w:proofErr w:type="spellStart"/>
      <w:r>
        <w:rPr>
          <w:color w:val="231F20"/>
          <w:sz w:val="20"/>
        </w:rPr>
        <w:t>behaviour</w:t>
      </w:r>
      <w:proofErr w:type="spellEnd"/>
      <w:r>
        <w:rPr>
          <w:color w:val="231F20"/>
          <w:sz w:val="20"/>
        </w:rPr>
        <w:t>.</w:t>
      </w:r>
      <w:r>
        <w:rPr>
          <w:color w:val="231F20"/>
          <w:spacing w:val="-7"/>
          <w:sz w:val="20"/>
        </w:rPr>
        <w:t xml:space="preserve"> </w:t>
      </w:r>
      <w:r>
        <w:rPr>
          <w:color w:val="231F20"/>
          <w:sz w:val="20"/>
        </w:rPr>
        <w:t>The</w:t>
      </w:r>
      <w:r>
        <w:rPr>
          <w:color w:val="231F20"/>
          <w:spacing w:val="-7"/>
          <w:sz w:val="20"/>
        </w:rPr>
        <w:t xml:space="preserve"> </w:t>
      </w:r>
      <w:r>
        <w:rPr>
          <w:color w:val="231F20"/>
          <w:sz w:val="20"/>
        </w:rPr>
        <w:t>law</w:t>
      </w:r>
      <w:r>
        <w:rPr>
          <w:color w:val="231F20"/>
          <w:spacing w:val="-8"/>
          <w:sz w:val="20"/>
        </w:rPr>
        <w:t xml:space="preserve"> </w:t>
      </w:r>
      <w:r>
        <w:rPr>
          <w:color w:val="231F20"/>
          <w:sz w:val="20"/>
        </w:rPr>
        <w:t>should</w:t>
      </w:r>
      <w:r>
        <w:rPr>
          <w:color w:val="231F20"/>
          <w:spacing w:val="-7"/>
          <w:sz w:val="20"/>
        </w:rPr>
        <w:t xml:space="preserve"> </w:t>
      </w:r>
      <w:r>
        <w:rPr>
          <w:color w:val="231F20"/>
          <w:sz w:val="20"/>
        </w:rPr>
        <w:t>require</w:t>
      </w:r>
      <w:r>
        <w:rPr>
          <w:color w:val="231F20"/>
          <w:spacing w:val="-7"/>
          <w:sz w:val="20"/>
        </w:rPr>
        <w:t xml:space="preserve"> </w:t>
      </w:r>
      <w:r>
        <w:rPr>
          <w:color w:val="231F20"/>
          <w:sz w:val="20"/>
        </w:rPr>
        <w:t>that</w:t>
      </w:r>
      <w:r>
        <w:rPr>
          <w:color w:val="231F20"/>
          <w:spacing w:val="-7"/>
          <w:sz w:val="20"/>
        </w:rPr>
        <w:t xml:space="preserve"> </w:t>
      </w:r>
      <w:r>
        <w:rPr>
          <w:color w:val="231F20"/>
          <w:sz w:val="20"/>
        </w:rPr>
        <w:t>these</w:t>
      </w:r>
      <w:r>
        <w:rPr>
          <w:color w:val="231F20"/>
          <w:spacing w:val="-7"/>
          <w:sz w:val="20"/>
        </w:rPr>
        <w:t xml:space="preserve"> </w:t>
      </w:r>
      <w:r>
        <w:rPr>
          <w:color w:val="231F20"/>
          <w:spacing w:val="-3"/>
          <w:sz w:val="20"/>
        </w:rPr>
        <w:t>pathways</w:t>
      </w:r>
      <w:r>
        <w:rPr>
          <w:color w:val="231F20"/>
          <w:spacing w:val="-8"/>
          <w:sz w:val="20"/>
        </w:rPr>
        <w:t xml:space="preserve"> </w:t>
      </w:r>
      <w:r>
        <w:rPr>
          <w:color w:val="231F20"/>
          <w:sz w:val="20"/>
        </w:rPr>
        <w:t>be</w:t>
      </w:r>
      <w:r>
        <w:rPr>
          <w:color w:val="231F20"/>
          <w:spacing w:val="-7"/>
          <w:sz w:val="20"/>
        </w:rPr>
        <w:t xml:space="preserve"> </w:t>
      </w:r>
      <w:r>
        <w:rPr>
          <w:color w:val="231F20"/>
          <w:sz w:val="20"/>
        </w:rPr>
        <w:t>explored</w:t>
      </w:r>
      <w:r>
        <w:rPr>
          <w:color w:val="231F20"/>
          <w:spacing w:val="-7"/>
          <w:sz w:val="20"/>
        </w:rPr>
        <w:t xml:space="preserve"> </w:t>
      </w:r>
      <w:r>
        <w:rPr>
          <w:color w:val="231F20"/>
          <w:sz w:val="20"/>
        </w:rPr>
        <w:t>before making a final PSIO against child</w:t>
      </w:r>
      <w:r>
        <w:rPr>
          <w:color w:val="231F20"/>
          <w:spacing w:val="-14"/>
          <w:sz w:val="20"/>
        </w:rPr>
        <w:t xml:space="preserve"> </w:t>
      </w:r>
      <w:r>
        <w:rPr>
          <w:color w:val="231F20"/>
          <w:sz w:val="20"/>
        </w:rPr>
        <w:t>respondents.</w:t>
      </w:r>
    </w:p>
    <w:p w14:paraId="2A5AB26D" w14:textId="77777777" w:rsidR="00894070" w:rsidRDefault="009B7AFD">
      <w:pPr>
        <w:pStyle w:val="ListParagraph"/>
        <w:numPr>
          <w:ilvl w:val="0"/>
          <w:numId w:val="192"/>
        </w:numPr>
        <w:tabs>
          <w:tab w:val="left" w:pos="1815"/>
          <w:tab w:val="left" w:pos="1816"/>
        </w:tabs>
        <w:spacing w:before="124" w:line="206" w:lineRule="auto"/>
        <w:ind w:left="1815" w:right="1246"/>
        <w:rPr>
          <w:sz w:val="20"/>
        </w:rPr>
      </w:pPr>
      <w:r>
        <w:rPr>
          <w:color w:val="231F20"/>
          <w:sz w:val="20"/>
        </w:rPr>
        <w:t>Access to legal advice and representation should be expanded for child applicants and</w:t>
      </w:r>
      <w:r>
        <w:rPr>
          <w:color w:val="231F20"/>
          <w:spacing w:val="-5"/>
          <w:sz w:val="20"/>
        </w:rPr>
        <w:t xml:space="preserve"> </w:t>
      </w:r>
      <w:r>
        <w:rPr>
          <w:color w:val="231F20"/>
          <w:sz w:val="20"/>
        </w:rPr>
        <w:t>respondents</w:t>
      </w:r>
      <w:r>
        <w:rPr>
          <w:color w:val="231F20"/>
          <w:spacing w:val="-5"/>
          <w:sz w:val="20"/>
        </w:rPr>
        <w:t xml:space="preserve"> </w:t>
      </w:r>
      <w:r>
        <w:rPr>
          <w:color w:val="231F20"/>
          <w:sz w:val="20"/>
        </w:rPr>
        <w:t>in</w:t>
      </w:r>
      <w:r>
        <w:rPr>
          <w:color w:val="231F20"/>
          <w:spacing w:val="-4"/>
          <w:sz w:val="20"/>
        </w:rPr>
        <w:t xml:space="preserve"> </w:t>
      </w:r>
      <w:r>
        <w:rPr>
          <w:color w:val="231F20"/>
          <w:sz w:val="20"/>
        </w:rPr>
        <w:t>PSIO</w:t>
      </w:r>
      <w:r>
        <w:rPr>
          <w:color w:val="231F20"/>
          <w:spacing w:val="-5"/>
          <w:sz w:val="20"/>
        </w:rPr>
        <w:t xml:space="preserve"> </w:t>
      </w:r>
      <w:r>
        <w:rPr>
          <w:color w:val="231F20"/>
          <w:sz w:val="20"/>
        </w:rPr>
        <w:t>matters.</w:t>
      </w:r>
      <w:r>
        <w:rPr>
          <w:color w:val="231F20"/>
          <w:spacing w:val="-5"/>
          <w:sz w:val="20"/>
        </w:rPr>
        <w:t xml:space="preserve"> </w:t>
      </w:r>
      <w:r>
        <w:rPr>
          <w:color w:val="231F20"/>
          <w:sz w:val="20"/>
        </w:rPr>
        <w:t>Courts</w:t>
      </w:r>
      <w:r>
        <w:rPr>
          <w:color w:val="231F20"/>
          <w:spacing w:val="-4"/>
          <w:sz w:val="20"/>
        </w:rPr>
        <w:t xml:space="preserve"> </w:t>
      </w:r>
      <w:r>
        <w:rPr>
          <w:color w:val="231F20"/>
          <w:sz w:val="20"/>
        </w:rPr>
        <w:t>should</w:t>
      </w:r>
      <w:r>
        <w:rPr>
          <w:color w:val="231F20"/>
          <w:spacing w:val="-5"/>
          <w:sz w:val="20"/>
        </w:rPr>
        <w:t xml:space="preserve"> </w:t>
      </w:r>
      <w:r>
        <w:rPr>
          <w:color w:val="231F20"/>
          <w:sz w:val="20"/>
        </w:rPr>
        <w:t>be</w:t>
      </w:r>
      <w:r>
        <w:rPr>
          <w:color w:val="231F20"/>
          <w:spacing w:val="-4"/>
          <w:sz w:val="20"/>
        </w:rPr>
        <w:t xml:space="preserve"> </w:t>
      </w:r>
      <w:r>
        <w:rPr>
          <w:color w:val="231F20"/>
          <w:sz w:val="20"/>
        </w:rPr>
        <w:t>able</w:t>
      </w:r>
      <w:r>
        <w:rPr>
          <w:color w:val="231F20"/>
          <w:spacing w:val="-5"/>
          <w:sz w:val="20"/>
        </w:rPr>
        <w:t xml:space="preserve"> </w:t>
      </w:r>
      <w:r>
        <w:rPr>
          <w:color w:val="231F20"/>
          <w:sz w:val="20"/>
        </w:rPr>
        <w:t>to</w:t>
      </w:r>
      <w:r>
        <w:rPr>
          <w:color w:val="231F20"/>
          <w:spacing w:val="-5"/>
          <w:sz w:val="20"/>
        </w:rPr>
        <w:t xml:space="preserve"> </w:t>
      </w:r>
      <w:r>
        <w:rPr>
          <w:color w:val="231F20"/>
          <w:sz w:val="20"/>
        </w:rPr>
        <w:t>order</w:t>
      </w:r>
      <w:r>
        <w:rPr>
          <w:color w:val="231F20"/>
          <w:spacing w:val="-4"/>
          <w:sz w:val="20"/>
        </w:rPr>
        <w:t xml:space="preserve"> </w:t>
      </w:r>
      <w:r>
        <w:rPr>
          <w:color w:val="231F20"/>
          <w:sz w:val="20"/>
        </w:rPr>
        <w:t>that</w:t>
      </w:r>
      <w:r>
        <w:rPr>
          <w:color w:val="231F20"/>
          <w:spacing w:val="-5"/>
          <w:sz w:val="20"/>
        </w:rPr>
        <w:t xml:space="preserve"> </w:t>
      </w:r>
      <w:r>
        <w:rPr>
          <w:color w:val="231F20"/>
          <w:sz w:val="20"/>
        </w:rPr>
        <w:t>a</w:t>
      </w:r>
      <w:r>
        <w:rPr>
          <w:color w:val="231F20"/>
          <w:spacing w:val="-5"/>
          <w:sz w:val="20"/>
        </w:rPr>
        <w:t xml:space="preserve"> </w:t>
      </w:r>
      <w:r>
        <w:rPr>
          <w:color w:val="231F20"/>
          <w:sz w:val="20"/>
        </w:rPr>
        <w:t>child</w:t>
      </w:r>
      <w:r>
        <w:rPr>
          <w:color w:val="231F20"/>
          <w:spacing w:val="-4"/>
          <w:sz w:val="20"/>
        </w:rPr>
        <w:t xml:space="preserve"> </w:t>
      </w:r>
      <w:r>
        <w:rPr>
          <w:color w:val="231F20"/>
          <w:sz w:val="20"/>
        </w:rPr>
        <w:t>is</w:t>
      </w:r>
      <w:r>
        <w:rPr>
          <w:color w:val="231F20"/>
          <w:spacing w:val="-5"/>
          <w:sz w:val="20"/>
        </w:rPr>
        <w:t xml:space="preserve"> </w:t>
      </w:r>
      <w:r>
        <w:rPr>
          <w:color w:val="231F20"/>
          <w:sz w:val="20"/>
        </w:rPr>
        <w:t>legally represented.</w:t>
      </w:r>
    </w:p>
    <w:p w14:paraId="747BC0EF" w14:textId="77777777" w:rsidR="00894070" w:rsidRDefault="00894070">
      <w:pPr>
        <w:pStyle w:val="BodyText"/>
        <w:spacing w:before="7"/>
        <w:rPr>
          <w:sz w:val="16"/>
        </w:rPr>
      </w:pPr>
    </w:p>
    <w:p w14:paraId="4AA579A6" w14:textId="77777777" w:rsidR="00894070" w:rsidRDefault="009B7AFD">
      <w:pPr>
        <w:pStyle w:val="Heading7"/>
        <w:ind w:left="1021"/>
      </w:pPr>
      <w:r>
        <w:rPr>
          <w:color w:val="EA5B50"/>
        </w:rPr>
        <w:t>The criminal response and stalking</w:t>
      </w:r>
    </w:p>
    <w:p w14:paraId="4938B3A4" w14:textId="77777777" w:rsidR="00894070" w:rsidRDefault="009B7AFD">
      <w:pPr>
        <w:pStyle w:val="ListParagraph"/>
        <w:numPr>
          <w:ilvl w:val="0"/>
          <w:numId w:val="192"/>
        </w:numPr>
        <w:tabs>
          <w:tab w:val="left" w:pos="1815"/>
          <w:tab w:val="left" w:pos="1816"/>
        </w:tabs>
        <w:spacing w:before="114"/>
        <w:ind w:left="1815"/>
        <w:rPr>
          <w:sz w:val="20"/>
        </w:rPr>
      </w:pPr>
      <w:r>
        <w:rPr>
          <w:color w:val="231F20"/>
          <w:sz w:val="20"/>
        </w:rPr>
        <w:t>The criminal justice system is not dealing effectively with</w:t>
      </w:r>
      <w:r>
        <w:rPr>
          <w:color w:val="231F20"/>
          <w:spacing w:val="-26"/>
          <w:sz w:val="20"/>
        </w:rPr>
        <w:t xml:space="preserve"> </w:t>
      </w:r>
      <w:r>
        <w:rPr>
          <w:color w:val="231F20"/>
          <w:sz w:val="20"/>
        </w:rPr>
        <w:t>stalking.</w:t>
      </w:r>
    </w:p>
    <w:p w14:paraId="1F50685B" w14:textId="77777777" w:rsidR="00894070" w:rsidRDefault="009B7AFD">
      <w:pPr>
        <w:pStyle w:val="ListParagraph"/>
        <w:numPr>
          <w:ilvl w:val="0"/>
          <w:numId w:val="192"/>
        </w:numPr>
        <w:tabs>
          <w:tab w:val="left" w:pos="1815"/>
          <w:tab w:val="left" w:pos="1816"/>
        </w:tabs>
        <w:spacing w:before="115" w:line="206" w:lineRule="auto"/>
        <w:ind w:left="1815" w:right="1150"/>
        <w:rPr>
          <w:sz w:val="20"/>
        </w:rPr>
      </w:pPr>
      <w:r>
        <w:rPr>
          <w:color w:val="231F20"/>
          <w:sz w:val="20"/>
        </w:rPr>
        <w:t>People who work in the justice system can find the stalking offence hard to understand</w:t>
      </w:r>
      <w:r>
        <w:rPr>
          <w:color w:val="231F20"/>
          <w:spacing w:val="-7"/>
          <w:sz w:val="20"/>
        </w:rPr>
        <w:t xml:space="preserve"> </w:t>
      </w:r>
      <w:r>
        <w:rPr>
          <w:color w:val="231F20"/>
          <w:sz w:val="20"/>
        </w:rPr>
        <w:t>and</w:t>
      </w:r>
      <w:r>
        <w:rPr>
          <w:color w:val="231F20"/>
          <w:spacing w:val="-7"/>
          <w:sz w:val="20"/>
        </w:rPr>
        <w:t xml:space="preserve"> </w:t>
      </w:r>
      <w:r>
        <w:rPr>
          <w:color w:val="231F20"/>
          <w:spacing w:val="-3"/>
          <w:sz w:val="20"/>
        </w:rPr>
        <w:t>apply.</w:t>
      </w:r>
      <w:r>
        <w:rPr>
          <w:color w:val="231F20"/>
          <w:spacing w:val="-7"/>
          <w:sz w:val="20"/>
        </w:rPr>
        <w:t xml:space="preserve"> </w:t>
      </w:r>
      <w:r>
        <w:rPr>
          <w:color w:val="231F20"/>
          <w:sz w:val="20"/>
        </w:rPr>
        <w:t>Some</w:t>
      </w:r>
      <w:r>
        <w:rPr>
          <w:color w:val="231F20"/>
          <w:spacing w:val="-7"/>
          <w:sz w:val="20"/>
        </w:rPr>
        <w:t xml:space="preserve"> </w:t>
      </w:r>
      <w:r>
        <w:rPr>
          <w:color w:val="231F20"/>
          <w:sz w:val="20"/>
        </w:rPr>
        <w:t>of</w:t>
      </w:r>
      <w:r>
        <w:rPr>
          <w:color w:val="231F20"/>
          <w:spacing w:val="-7"/>
          <w:sz w:val="20"/>
        </w:rPr>
        <w:t xml:space="preserve"> </w:t>
      </w:r>
      <w:r>
        <w:rPr>
          <w:color w:val="231F20"/>
          <w:sz w:val="20"/>
        </w:rPr>
        <w:t>them</w:t>
      </w:r>
      <w:r>
        <w:rPr>
          <w:color w:val="231F20"/>
          <w:spacing w:val="-7"/>
          <w:sz w:val="20"/>
        </w:rPr>
        <w:t xml:space="preserve"> </w:t>
      </w:r>
      <w:r>
        <w:rPr>
          <w:color w:val="231F20"/>
          <w:sz w:val="20"/>
        </w:rPr>
        <w:t>think</w:t>
      </w:r>
      <w:r>
        <w:rPr>
          <w:color w:val="231F20"/>
          <w:spacing w:val="-7"/>
          <w:sz w:val="20"/>
        </w:rPr>
        <w:t xml:space="preserve"> </w:t>
      </w:r>
      <w:r>
        <w:rPr>
          <w:color w:val="231F20"/>
          <w:sz w:val="20"/>
        </w:rPr>
        <w:t>the</w:t>
      </w:r>
      <w:r>
        <w:rPr>
          <w:color w:val="231F20"/>
          <w:spacing w:val="-7"/>
          <w:sz w:val="20"/>
        </w:rPr>
        <w:t xml:space="preserve"> </w:t>
      </w:r>
      <w:r>
        <w:rPr>
          <w:color w:val="231F20"/>
          <w:sz w:val="20"/>
        </w:rPr>
        <w:t>offence</w:t>
      </w:r>
      <w:r>
        <w:rPr>
          <w:color w:val="231F20"/>
          <w:spacing w:val="-6"/>
          <w:sz w:val="20"/>
        </w:rPr>
        <w:t xml:space="preserve"> </w:t>
      </w:r>
      <w:r>
        <w:rPr>
          <w:color w:val="231F20"/>
          <w:sz w:val="20"/>
        </w:rPr>
        <w:t>is</w:t>
      </w:r>
      <w:r>
        <w:rPr>
          <w:color w:val="231F20"/>
          <w:spacing w:val="-7"/>
          <w:sz w:val="20"/>
        </w:rPr>
        <w:t xml:space="preserve"> </w:t>
      </w:r>
      <w:r>
        <w:rPr>
          <w:color w:val="231F20"/>
          <w:sz w:val="20"/>
        </w:rPr>
        <w:t>hard</w:t>
      </w:r>
      <w:r>
        <w:rPr>
          <w:color w:val="231F20"/>
          <w:spacing w:val="-7"/>
          <w:sz w:val="20"/>
        </w:rPr>
        <w:t xml:space="preserve"> </w:t>
      </w:r>
      <w:r>
        <w:rPr>
          <w:color w:val="231F20"/>
          <w:sz w:val="20"/>
        </w:rPr>
        <w:t>to</w:t>
      </w:r>
      <w:r>
        <w:rPr>
          <w:color w:val="231F20"/>
          <w:spacing w:val="-7"/>
          <w:sz w:val="20"/>
        </w:rPr>
        <w:t xml:space="preserve"> </w:t>
      </w:r>
      <w:r>
        <w:rPr>
          <w:color w:val="231F20"/>
          <w:sz w:val="20"/>
        </w:rPr>
        <w:t>investigate</w:t>
      </w:r>
      <w:r>
        <w:rPr>
          <w:color w:val="231F20"/>
          <w:spacing w:val="-7"/>
          <w:sz w:val="20"/>
        </w:rPr>
        <w:t xml:space="preserve"> </w:t>
      </w:r>
      <w:r>
        <w:rPr>
          <w:color w:val="231F20"/>
          <w:sz w:val="20"/>
        </w:rPr>
        <w:t>and</w:t>
      </w:r>
      <w:r>
        <w:rPr>
          <w:color w:val="231F20"/>
          <w:spacing w:val="-7"/>
          <w:sz w:val="20"/>
        </w:rPr>
        <w:t xml:space="preserve"> </w:t>
      </w:r>
      <w:r>
        <w:rPr>
          <w:color w:val="231F20"/>
          <w:spacing w:val="-3"/>
          <w:sz w:val="20"/>
        </w:rPr>
        <w:t>prove.</w:t>
      </w:r>
    </w:p>
    <w:p w14:paraId="6AC0335D" w14:textId="77777777" w:rsidR="00894070" w:rsidRDefault="009B7AFD">
      <w:pPr>
        <w:pStyle w:val="ListParagraph"/>
        <w:numPr>
          <w:ilvl w:val="0"/>
          <w:numId w:val="192"/>
        </w:numPr>
        <w:tabs>
          <w:tab w:val="left" w:pos="1815"/>
          <w:tab w:val="left" w:pos="1816"/>
        </w:tabs>
        <w:spacing w:before="90"/>
        <w:ind w:left="1815"/>
        <w:rPr>
          <w:sz w:val="20"/>
        </w:rPr>
      </w:pPr>
      <w:r>
        <w:rPr>
          <w:color w:val="231F20"/>
          <w:sz w:val="20"/>
        </w:rPr>
        <w:t>The</w:t>
      </w:r>
      <w:r>
        <w:rPr>
          <w:color w:val="231F20"/>
          <w:spacing w:val="-4"/>
          <w:sz w:val="20"/>
        </w:rPr>
        <w:t xml:space="preserve"> </w:t>
      </w:r>
      <w:r>
        <w:rPr>
          <w:color w:val="231F20"/>
          <w:sz w:val="20"/>
        </w:rPr>
        <w:t>stalking</w:t>
      </w:r>
      <w:r>
        <w:rPr>
          <w:color w:val="231F20"/>
          <w:spacing w:val="-3"/>
          <w:sz w:val="20"/>
        </w:rPr>
        <w:t xml:space="preserve"> </w:t>
      </w:r>
      <w:r>
        <w:rPr>
          <w:color w:val="231F20"/>
          <w:sz w:val="20"/>
        </w:rPr>
        <w:t>offence</w:t>
      </w:r>
      <w:r>
        <w:rPr>
          <w:color w:val="231F20"/>
          <w:spacing w:val="-4"/>
          <w:sz w:val="20"/>
        </w:rPr>
        <w:t xml:space="preserve"> </w:t>
      </w:r>
      <w:r>
        <w:rPr>
          <w:color w:val="231F20"/>
          <w:sz w:val="20"/>
        </w:rPr>
        <w:t>should</w:t>
      </w:r>
      <w:r>
        <w:rPr>
          <w:color w:val="231F20"/>
          <w:spacing w:val="-3"/>
          <w:sz w:val="20"/>
        </w:rPr>
        <w:t xml:space="preserve"> </w:t>
      </w:r>
      <w:r>
        <w:rPr>
          <w:color w:val="231F20"/>
          <w:sz w:val="20"/>
        </w:rPr>
        <w:t>be</w:t>
      </w:r>
      <w:r>
        <w:rPr>
          <w:color w:val="231F20"/>
          <w:spacing w:val="-3"/>
          <w:sz w:val="20"/>
        </w:rPr>
        <w:t xml:space="preserve"> </w:t>
      </w:r>
      <w:r>
        <w:rPr>
          <w:color w:val="231F20"/>
          <w:sz w:val="20"/>
        </w:rPr>
        <w:t>drafted</w:t>
      </w:r>
      <w:r>
        <w:rPr>
          <w:color w:val="231F20"/>
          <w:spacing w:val="-4"/>
          <w:sz w:val="20"/>
        </w:rPr>
        <w:t xml:space="preserve"> </w:t>
      </w:r>
      <w:r>
        <w:rPr>
          <w:color w:val="231F20"/>
          <w:sz w:val="20"/>
        </w:rPr>
        <w:t>clearly</w:t>
      </w:r>
      <w:r>
        <w:rPr>
          <w:color w:val="231F20"/>
          <w:spacing w:val="-3"/>
          <w:sz w:val="20"/>
        </w:rPr>
        <w:t xml:space="preserve"> </w:t>
      </w:r>
      <w:r>
        <w:rPr>
          <w:color w:val="231F20"/>
          <w:sz w:val="20"/>
        </w:rPr>
        <w:t>so</w:t>
      </w:r>
      <w:r>
        <w:rPr>
          <w:color w:val="231F20"/>
          <w:spacing w:val="-4"/>
          <w:sz w:val="20"/>
        </w:rPr>
        <w:t xml:space="preserve"> </w:t>
      </w:r>
      <w:r>
        <w:rPr>
          <w:color w:val="231F20"/>
          <w:sz w:val="20"/>
        </w:rPr>
        <w:t>that</w:t>
      </w:r>
      <w:r>
        <w:rPr>
          <w:color w:val="231F20"/>
          <w:spacing w:val="-3"/>
          <w:sz w:val="20"/>
        </w:rPr>
        <w:t xml:space="preserve"> </w:t>
      </w:r>
      <w:r>
        <w:rPr>
          <w:color w:val="231F20"/>
          <w:sz w:val="20"/>
        </w:rPr>
        <w:t>it</w:t>
      </w:r>
      <w:r>
        <w:rPr>
          <w:color w:val="231F20"/>
          <w:spacing w:val="-3"/>
          <w:sz w:val="20"/>
        </w:rPr>
        <w:t xml:space="preserve"> </w:t>
      </w:r>
      <w:r>
        <w:rPr>
          <w:color w:val="231F20"/>
          <w:sz w:val="20"/>
        </w:rPr>
        <w:t>is</w:t>
      </w:r>
      <w:r>
        <w:rPr>
          <w:color w:val="231F20"/>
          <w:spacing w:val="-4"/>
          <w:sz w:val="20"/>
        </w:rPr>
        <w:t xml:space="preserve"> </w:t>
      </w:r>
      <w:r>
        <w:rPr>
          <w:color w:val="231F20"/>
          <w:sz w:val="20"/>
        </w:rPr>
        <w:t>more</w:t>
      </w:r>
      <w:r>
        <w:rPr>
          <w:color w:val="231F20"/>
          <w:spacing w:val="-3"/>
          <w:sz w:val="20"/>
        </w:rPr>
        <w:t xml:space="preserve"> </w:t>
      </w:r>
      <w:r>
        <w:rPr>
          <w:color w:val="231F20"/>
          <w:sz w:val="20"/>
        </w:rPr>
        <w:t>easily</w:t>
      </w:r>
      <w:r>
        <w:rPr>
          <w:color w:val="231F20"/>
          <w:spacing w:val="-4"/>
          <w:sz w:val="20"/>
        </w:rPr>
        <w:t xml:space="preserve"> </w:t>
      </w:r>
      <w:r>
        <w:rPr>
          <w:color w:val="231F20"/>
          <w:sz w:val="20"/>
        </w:rPr>
        <w:t>understood.</w:t>
      </w:r>
    </w:p>
    <w:p w14:paraId="6A7F5B7D" w14:textId="77777777" w:rsidR="00894070" w:rsidRDefault="009B7AFD">
      <w:pPr>
        <w:pStyle w:val="ListParagraph"/>
        <w:numPr>
          <w:ilvl w:val="0"/>
          <w:numId w:val="192"/>
        </w:numPr>
        <w:tabs>
          <w:tab w:val="left" w:pos="1815"/>
          <w:tab w:val="left" w:pos="1816"/>
        </w:tabs>
        <w:spacing w:before="115" w:line="206" w:lineRule="auto"/>
        <w:ind w:left="1815" w:right="1987"/>
        <w:rPr>
          <w:sz w:val="20"/>
        </w:rPr>
      </w:pPr>
      <w:r>
        <w:rPr>
          <w:color w:val="231F20"/>
          <w:sz w:val="20"/>
        </w:rPr>
        <w:t>Victoria</w:t>
      </w:r>
      <w:r>
        <w:rPr>
          <w:color w:val="231F20"/>
          <w:spacing w:val="-7"/>
          <w:sz w:val="20"/>
        </w:rPr>
        <w:t xml:space="preserve"> </w:t>
      </w:r>
      <w:r>
        <w:rPr>
          <w:color w:val="231F20"/>
          <w:sz w:val="20"/>
        </w:rPr>
        <w:t>Police</w:t>
      </w:r>
      <w:r>
        <w:rPr>
          <w:color w:val="231F20"/>
          <w:spacing w:val="-6"/>
          <w:sz w:val="20"/>
        </w:rPr>
        <w:t xml:space="preserve"> </w:t>
      </w:r>
      <w:r>
        <w:rPr>
          <w:color w:val="231F20"/>
          <w:sz w:val="20"/>
        </w:rPr>
        <w:t>should</w:t>
      </w:r>
      <w:r>
        <w:rPr>
          <w:color w:val="231F20"/>
          <w:spacing w:val="-6"/>
          <w:sz w:val="20"/>
        </w:rPr>
        <w:t xml:space="preserve"> </w:t>
      </w:r>
      <w:r>
        <w:rPr>
          <w:color w:val="231F20"/>
          <w:sz w:val="20"/>
        </w:rPr>
        <w:t>ensure</w:t>
      </w:r>
      <w:r>
        <w:rPr>
          <w:color w:val="231F20"/>
          <w:spacing w:val="-6"/>
          <w:sz w:val="20"/>
        </w:rPr>
        <w:t xml:space="preserve"> </w:t>
      </w:r>
      <w:r>
        <w:rPr>
          <w:color w:val="231F20"/>
          <w:sz w:val="20"/>
        </w:rPr>
        <w:t>that</w:t>
      </w:r>
      <w:r>
        <w:rPr>
          <w:color w:val="231F20"/>
          <w:spacing w:val="-7"/>
          <w:sz w:val="20"/>
        </w:rPr>
        <w:t xml:space="preserve"> </w:t>
      </w:r>
      <w:r>
        <w:rPr>
          <w:color w:val="231F20"/>
          <w:sz w:val="20"/>
        </w:rPr>
        <w:t>guidance</w:t>
      </w:r>
      <w:r>
        <w:rPr>
          <w:color w:val="231F20"/>
          <w:spacing w:val="-6"/>
          <w:sz w:val="20"/>
        </w:rPr>
        <w:t xml:space="preserve"> </w:t>
      </w:r>
      <w:r>
        <w:rPr>
          <w:color w:val="231F20"/>
          <w:sz w:val="20"/>
        </w:rPr>
        <w:t>and</w:t>
      </w:r>
      <w:r>
        <w:rPr>
          <w:color w:val="231F20"/>
          <w:spacing w:val="-6"/>
          <w:sz w:val="20"/>
        </w:rPr>
        <w:t xml:space="preserve"> </w:t>
      </w:r>
      <w:r>
        <w:rPr>
          <w:color w:val="231F20"/>
          <w:sz w:val="20"/>
        </w:rPr>
        <w:t>training</w:t>
      </w:r>
      <w:r>
        <w:rPr>
          <w:color w:val="231F20"/>
          <w:spacing w:val="-6"/>
          <w:sz w:val="20"/>
        </w:rPr>
        <w:t xml:space="preserve"> </w:t>
      </w:r>
      <w:r>
        <w:rPr>
          <w:color w:val="231F20"/>
          <w:sz w:val="20"/>
        </w:rPr>
        <w:t>are</w:t>
      </w:r>
      <w:r>
        <w:rPr>
          <w:color w:val="231F20"/>
          <w:spacing w:val="-6"/>
          <w:sz w:val="20"/>
        </w:rPr>
        <w:t xml:space="preserve"> </w:t>
      </w:r>
      <w:r>
        <w:rPr>
          <w:color w:val="231F20"/>
          <w:sz w:val="20"/>
        </w:rPr>
        <w:t>given</w:t>
      </w:r>
      <w:r>
        <w:rPr>
          <w:color w:val="231F20"/>
          <w:spacing w:val="-7"/>
          <w:sz w:val="20"/>
        </w:rPr>
        <w:t xml:space="preserve"> </w:t>
      </w:r>
      <w:r>
        <w:rPr>
          <w:color w:val="231F20"/>
          <w:sz w:val="20"/>
        </w:rPr>
        <w:t>to</w:t>
      </w:r>
      <w:r>
        <w:rPr>
          <w:color w:val="231F20"/>
          <w:spacing w:val="-6"/>
          <w:sz w:val="20"/>
        </w:rPr>
        <w:t xml:space="preserve"> </w:t>
      </w:r>
      <w:r>
        <w:rPr>
          <w:color w:val="231F20"/>
          <w:sz w:val="20"/>
        </w:rPr>
        <w:t>police</w:t>
      </w:r>
      <w:r>
        <w:rPr>
          <w:color w:val="231F20"/>
          <w:spacing w:val="-6"/>
          <w:sz w:val="20"/>
        </w:rPr>
        <w:t xml:space="preserve"> </w:t>
      </w:r>
      <w:r>
        <w:rPr>
          <w:color w:val="231F20"/>
          <w:sz w:val="20"/>
        </w:rPr>
        <w:t>to strengthen stalking</w:t>
      </w:r>
      <w:r>
        <w:rPr>
          <w:color w:val="231F20"/>
          <w:spacing w:val="-5"/>
          <w:sz w:val="20"/>
        </w:rPr>
        <w:t xml:space="preserve"> </w:t>
      </w:r>
      <w:r>
        <w:rPr>
          <w:color w:val="231F20"/>
          <w:sz w:val="20"/>
        </w:rPr>
        <w:t>investigations.</w:t>
      </w:r>
    </w:p>
    <w:p w14:paraId="32E5A90C" w14:textId="77777777" w:rsidR="00894070" w:rsidRDefault="009B7AFD">
      <w:pPr>
        <w:pStyle w:val="ListParagraph"/>
        <w:numPr>
          <w:ilvl w:val="0"/>
          <w:numId w:val="192"/>
        </w:numPr>
        <w:tabs>
          <w:tab w:val="left" w:pos="1815"/>
          <w:tab w:val="left" w:pos="1816"/>
        </w:tabs>
        <w:spacing w:before="122" w:line="206" w:lineRule="auto"/>
        <w:ind w:left="1815" w:right="1564"/>
        <w:rPr>
          <w:sz w:val="20"/>
        </w:rPr>
      </w:pPr>
      <w:r>
        <w:rPr>
          <w:color w:val="231F20"/>
          <w:sz w:val="20"/>
        </w:rPr>
        <w:t>Victim</w:t>
      </w:r>
      <w:r>
        <w:rPr>
          <w:color w:val="231F20"/>
          <w:spacing w:val="-6"/>
          <w:sz w:val="20"/>
        </w:rPr>
        <w:t xml:space="preserve"> </w:t>
      </w:r>
      <w:r>
        <w:rPr>
          <w:color w:val="231F20"/>
          <w:sz w:val="20"/>
        </w:rPr>
        <w:t>survivors</w:t>
      </w:r>
      <w:r>
        <w:rPr>
          <w:color w:val="231F20"/>
          <w:spacing w:val="-5"/>
          <w:sz w:val="20"/>
        </w:rPr>
        <w:t xml:space="preserve"> </w:t>
      </w:r>
      <w:r>
        <w:rPr>
          <w:color w:val="231F20"/>
          <w:sz w:val="20"/>
        </w:rPr>
        <w:t>are</w:t>
      </w:r>
      <w:r>
        <w:rPr>
          <w:color w:val="231F20"/>
          <w:spacing w:val="-5"/>
          <w:sz w:val="20"/>
        </w:rPr>
        <w:t xml:space="preserve"> </w:t>
      </w:r>
      <w:r>
        <w:rPr>
          <w:color w:val="231F20"/>
          <w:sz w:val="20"/>
        </w:rPr>
        <w:t>often</w:t>
      </w:r>
      <w:r>
        <w:rPr>
          <w:color w:val="231F20"/>
          <w:spacing w:val="-5"/>
          <w:sz w:val="20"/>
        </w:rPr>
        <w:t xml:space="preserve"> </w:t>
      </w:r>
      <w:r>
        <w:rPr>
          <w:color w:val="231F20"/>
          <w:sz w:val="20"/>
        </w:rPr>
        <w:t>told</w:t>
      </w:r>
      <w:r>
        <w:rPr>
          <w:color w:val="231F20"/>
          <w:spacing w:val="-6"/>
          <w:sz w:val="20"/>
        </w:rPr>
        <w:t xml:space="preserve"> </w:t>
      </w:r>
      <w:r>
        <w:rPr>
          <w:color w:val="231F20"/>
          <w:sz w:val="20"/>
        </w:rPr>
        <w:t>to</w:t>
      </w:r>
      <w:r>
        <w:rPr>
          <w:color w:val="231F20"/>
          <w:spacing w:val="-5"/>
          <w:sz w:val="20"/>
        </w:rPr>
        <w:t xml:space="preserve"> </w:t>
      </w:r>
      <w:r>
        <w:rPr>
          <w:color w:val="231F20"/>
          <w:sz w:val="20"/>
        </w:rPr>
        <w:t>stop</w:t>
      </w:r>
      <w:r>
        <w:rPr>
          <w:color w:val="231F20"/>
          <w:spacing w:val="-5"/>
          <w:sz w:val="20"/>
        </w:rPr>
        <w:t xml:space="preserve"> </w:t>
      </w:r>
      <w:r>
        <w:rPr>
          <w:color w:val="231F20"/>
          <w:sz w:val="20"/>
        </w:rPr>
        <w:t>using</w:t>
      </w:r>
      <w:r>
        <w:rPr>
          <w:color w:val="231F20"/>
          <w:spacing w:val="-5"/>
          <w:sz w:val="20"/>
        </w:rPr>
        <w:t xml:space="preserve"> </w:t>
      </w:r>
      <w:r>
        <w:rPr>
          <w:color w:val="231F20"/>
          <w:sz w:val="20"/>
        </w:rPr>
        <w:t>their</w:t>
      </w:r>
      <w:r>
        <w:rPr>
          <w:color w:val="231F20"/>
          <w:spacing w:val="-6"/>
          <w:sz w:val="20"/>
        </w:rPr>
        <w:t xml:space="preserve"> </w:t>
      </w:r>
      <w:r>
        <w:rPr>
          <w:color w:val="231F20"/>
          <w:sz w:val="20"/>
        </w:rPr>
        <w:t>devices</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prevent</w:t>
      </w:r>
      <w:r>
        <w:rPr>
          <w:color w:val="231F20"/>
          <w:spacing w:val="-5"/>
          <w:sz w:val="20"/>
        </w:rPr>
        <w:t xml:space="preserve"> </w:t>
      </w:r>
      <w:r>
        <w:rPr>
          <w:color w:val="231F20"/>
          <w:sz w:val="20"/>
        </w:rPr>
        <w:t xml:space="preserve">cyberstalking. ‘Unplugging’ is not the appropriate solution. Victoria Police should </w:t>
      </w:r>
      <w:r>
        <w:rPr>
          <w:color w:val="231F20"/>
          <w:spacing w:val="-3"/>
          <w:sz w:val="20"/>
        </w:rPr>
        <w:t xml:space="preserve">improve </w:t>
      </w:r>
      <w:r>
        <w:rPr>
          <w:color w:val="231F20"/>
          <w:sz w:val="20"/>
        </w:rPr>
        <w:t>its capability to respond to</w:t>
      </w:r>
      <w:r>
        <w:rPr>
          <w:color w:val="231F20"/>
          <w:spacing w:val="-9"/>
          <w:sz w:val="20"/>
        </w:rPr>
        <w:t xml:space="preserve"> </w:t>
      </w:r>
      <w:r>
        <w:rPr>
          <w:color w:val="231F20"/>
          <w:sz w:val="20"/>
        </w:rPr>
        <w:t>cyberstalking.</w:t>
      </w:r>
    </w:p>
    <w:p w14:paraId="2F92F4A5" w14:textId="77777777" w:rsidR="00894070" w:rsidRDefault="009B7AFD">
      <w:pPr>
        <w:pStyle w:val="ListParagraph"/>
        <w:numPr>
          <w:ilvl w:val="0"/>
          <w:numId w:val="192"/>
        </w:numPr>
        <w:tabs>
          <w:tab w:val="left" w:pos="1815"/>
          <w:tab w:val="left" w:pos="1816"/>
        </w:tabs>
        <w:spacing w:before="92"/>
        <w:ind w:left="1815"/>
        <w:rPr>
          <w:sz w:val="20"/>
        </w:rPr>
      </w:pPr>
      <w:r>
        <w:rPr>
          <w:color w:val="231F20"/>
          <w:sz w:val="20"/>
        </w:rPr>
        <w:t>There is no need for new criminal offences for breaches of</w:t>
      </w:r>
      <w:r>
        <w:rPr>
          <w:color w:val="231F20"/>
          <w:spacing w:val="-31"/>
          <w:sz w:val="20"/>
        </w:rPr>
        <w:t xml:space="preserve"> </w:t>
      </w:r>
      <w:r>
        <w:rPr>
          <w:color w:val="231F20"/>
          <w:sz w:val="20"/>
        </w:rPr>
        <w:t>PSIOs.</w:t>
      </w:r>
    </w:p>
    <w:p w14:paraId="33C03C21" w14:textId="77777777" w:rsidR="00894070" w:rsidRDefault="009B7AFD">
      <w:pPr>
        <w:pStyle w:val="ListParagraph"/>
        <w:numPr>
          <w:ilvl w:val="0"/>
          <w:numId w:val="192"/>
        </w:numPr>
        <w:tabs>
          <w:tab w:val="left" w:pos="1815"/>
          <w:tab w:val="left" w:pos="1816"/>
        </w:tabs>
        <w:spacing w:before="114" w:line="206" w:lineRule="auto"/>
        <w:ind w:left="1815" w:right="1255"/>
        <w:rPr>
          <w:sz w:val="20"/>
        </w:rPr>
      </w:pPr>
      <w:r>
        <w:rPr>
          <w:color w:val="231F20"/>
          <w:sz w:val="20"/>
        </w:rPr>
        <w:t>While the police are increasingly responding to breaches, there are still some victim survivors</w:t>
      </w:r>
      <w:r>
        <w:rPr>
          <w:color w:val="231F20"/>
          <w:spacing w:val="-6"/>
          <w:sz w:val="20"/>
        </w:rPr>
        <w:t xml:space="preserve"> </w:t>
      </w:r>
      <w:r>
        <w:rPr>
          <w:color w:val="231F20"/>
          <w:sz w:val="20"/>
        </w:rPr>
        <w:t>who</w:t>
      </w:r>
      <w:r>
        <w:rPr>
          <w:color w:val="231F20"/>
          <w:spacing w:val="-5"/>
          <w:sz w:val="20"/>
        </w:rPr>
        <w:t xml:space="preserve"> </w:t>
      </w:r>
      <w:r>
        <w:rPr>
          <w:color w:val="231F20"/>
          <w:sz w:val="20"/>
        </w:rPr>
        <w:t>feel</w:t>
      </w:r>
      <w:r>
        <w:rPr>
          <w:color w:val="231F20"/>
          <w:spacing w:val="-5"/>
          <w:sz w:val="20"/>
        </w:rPr>
        <w:t xml:space="preserve"> </w:t>
      </w:r>
      <w:r>
        <w:rPr>
          <w:color w:val="231F20"/>
          <w:sz w:val="20"/>
        </w:rPr>
        <w:t>let</w:t>
      </w:r>
      <w:r>
        <w:rPr>
          <w:color w:val="231F20"/>
          <w:spacing w:val="-5"/>
          <w:sz w:val="20"/>
        </w:rPr>
        <w:t xml:space="preserve"> </w:t>
      </w:r>
      <w:r>
        <w:rPr>
          <w:color w:val="231F20"/>
          <w:sz w:val="20"/>
        </w:rPr>
        <w:t>down</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the</w:t>
      </w:r>
      <w:r>
        <w:rPr>
          <w:color w:val="231F20"/>
          <w:spacing w:val="-5"/>
          <w:sz w:val="20"/>
        </w:rPr>
        <w:t xml:space="preserve"> </w:t>
      </w:r>
      <w:r>
        <w:rPr>
          <w:color w:val="231F20"/>
          <w:sz w:val="20"/>
        </w:rPr>
        <w:t>justice</w:t>
      </w:r>
      <w:r>
        <w:rPr>
          <w:color w:val="231F20"/>
          <w:spacing w:val="-5"/>
          <w:sz w:val="20"/>
        </w:rPr>
        <w:t xml:space="preserve"> </w:t>
      </w:r>
      <w:r>
        <w:rPr>
          <w:color w:val="231F20"/>
          <w:sz w:val="20"/>
        </w:rPr>
        <w:t>system.</w:t>
      </w:r>
      <w:r>
        <w:rPr>
          <w:color w:val="231F20"/>
          <w:spacing w:val="-5"/>
          <w:sz w:val="20"/>
        </w:rPr>
        <w:t xml:space="preserve"> </w:t>
      </w:r>
      <w:r>
        <w:rPr>
          <w:color w:val="231F20"/>
          <w:sz w:val="20"/>
        </w:rPr>
        <w:t>Victoria</w:t>
      </w:r>
      <w:r>
        <w:rPr>
          <w:color w:val="231F20"/>
          <w:spacing w:val="-5"/>
          <w:sz w:val="20"/>
        </w:rPr>
        <w:t xml:space="preserve"> </w:t>
      </w:r>
      <w:r>
        <w:rPr>
          <w:color w:val="231F20"/>
          <w:sz w:val="20"/>
        </w:rPr>
        <w:t>Police</w:t>
      </w:r>
      <w:r>
        <w:rPr>
          <w:color w:val="231F20"/>
          <w:spacing w:val="-5"/>
          <w:sz w:val="20"/>
        </w:rPr>
        <w:t xml:space="preserve"> </w:t>
      </w:r>
      <w:r>
        <w:rPr>
          <w:color w:val="231F20"/>
          <w:sz w:val="20"/>
        </w:rPr>
        <w:t>should</w:t>
      </w:r>
      <w:r>
        <w:rPr>
          <w:color w:val="231F20"/>
          <w:spacing w:val="-6"/>
          <w:sz w:val="20"/>
        </w:rPr>
        <w:t xml:space="preserve"> </w:t>
      </w:r>
      <w:r>
        <w:rPr>
          <w:color w:val="231F20"/>
          <w:spacing w:val="-3"/>
          <w:sz w:val="20"/>
        </w:rPr>
        <w:t>improve</w:t>
      </w:r>
      <w:r>
        <w:rPr>
          <w:color w:val="231F20"/>
          <w:spacing w:val="-5"/>
          <w:sz w:val="20"/>
        </w:rPr>
        <w:t xml:space="preserve"> </w:t>
      </w:r>
      <w:r>
        <w:rPr>
          <w:color w:val="231F20"/>
          <w:sz w:val="20"/>
        </w:rPr>
        <w:t>how it</w:t>
      </w:r>
      <w:r>
        <w:rPr>
          <w:color w:val="231F20"/>
          <w:spacing w:val="-7"/>
          <w:sz w:val="20"/>
        </w:rPr>
        <w:t xml:space="preserve"> </w:t>
      </w:r>
      <w:r>
        <w:rPr>
          <w:color w:val="231F20"/>
          <w:sz w:val="20"/>
        </w:rPr>
        <w:t>responds</w:t>
      </w:r>
      <w:r>
        <w:rPr>
          <w:color w:val="231F20"/>
          <w:spacing w:val="-6"/>
          <w:sz w:val="20"/>
        </w:rPr>
        <w:t xml:space="preserve"> </w:t>
      </w:r>
      <w:r>
        <w:rPr>
          <w:color w:val="231F20"/>
          <w:sz w:val="20"/>
        </w:rPr>
        <w:t>to</w:t>
      </w:r>
      <w:r>
        <w:rPr>
          <w:color w:val="231F20"/>
          <w:spacing w:val="-6"/>
          <w:sz w:val="20"/>
        </w:rPr>
        <w:t xml:space="preserve"> </w:t>
      </w:r>
      <w:r>
        <w:rPr>
          <w:color w:val="231F20"/>
          <w:sz w:val="20"/>
        </w:rPr>
        <w:t>breaches.</w:t>
      </w:r>
      <w:r>
        <w:rPr>
          <w:color w:val="231F20"/>
          <w:spacing w:val="-6"/>
          <w:sz w:val="20"/>
        </w:rPr>
        <w:t xml:space="preserve"> </w:t>
      </w:r>
      <w:r>
        <w:rPr>
          <w:color w:val="231F20"/>
          <w:sz w:val="20"/>
        </w:rPr>
        <w:t>If</w:t>
      </w:r>
      <w:r>
        <w:rPr>
          <w:color w:val="231F20"/>
          <w:spacing w:val="-6"/>
          <w:sz w:val="20"/>
        </w:rPr>
        <w:t xml:space="preserve"> </w:t>
      </w:r>
      <w:r>
        <w:rPr>
          <w:color w:val="231F20"/>
          <w:sz w:val="20"/>
        </w:rPr>
        <w:t>it</w:t>
      </w:r>
      <w:r>
        <w:rPr>
          <w:color w:val="231F20"/>
          <w:spacing w:val="-6"/>
          <w:sz w:val="20"/>
        </w:rPr>
        <w:t xml:space="preserve"> </w:t>
      </w:r>
      <w:r>
        <w:rPr>
          <w:color w:val="231F20"/>
          <w:sz w:val="20"/>
        </w:rPr>
        <w:t>decides</w:t>
      </w:r>
      <w:r>
        <w:rPr>
          <w:color w:val="231F20"/>
          <w:spacing w:val="-6"/>
          <w:sz w:val="20"/>
        </w:rPr>
        <w:t xml:space="preserve"> </w:t>
      </w:r>
      <w:r>
        <w:rPr>
          <w:color w:val="231F20"/>
          <w:sz w:val="20"/>
        </w:rPr>
        <w:t>not</w:t>
      </w:r>
      <w:r>
        <w:rPr>
          <w:color w:val="231F20"/>
          <w:spacing w:val="-6"/>
          <w:sz w:val="20"/>
        </w:rPr>
        <w:t xml:space="preserve"> </w:t>
      </w:r>
      <w:r>
        <w:rPr>
          <w:color w:val="231F20"/>
          <w:sz w:val="20"/>
        </w:rPr>
        <w:t>to</w:t>
      </w:r>
      <w:r>
        <w:rPr>
          <w:color w:val="231F20"/>
          <w:spacing w:val="-6"/>
          <w:sz w:val="20"/>
        </w:rPr>
        <w:t xml:space="preserve"> </w:t>
      </w:r>
      <w:r>
        <w:rPr>
          <w:color w:val="231F20"/>
          <w:sz w:val="20"/>
        </w:rPr>
        <w:t>file</w:t>
      </w:r>
      <w:r>
        <w:rPr>
          <w:color w:val="231F20"/>
          <w:spacing w:val="-7"/>
          <w:sz w:val="20"/>
        </w:rPr>
        <w:t xml:space="preserve"> </w:t>
      </w:r>
      <w:r>
        <w:rPr>
          <w:color w:val="231F20"/>
          <w:sz w:val="20"/>
        </w:rPr>
        <w:t>a</w:t>
      </w:r>
      <w:r>
        <w:rPr>
          <w:color w:val="231F20"/>
          <w:spacing w:val="-6"/>
          <w:sz w:val="20"/>
        </w:rPr>
        <w:t xml:space="preserve"> </w:t>
      </w:r>
      <w:r>
        <w:rPr>
          <w:color w:val="231F20"/>
          <w:sz w:val="20"/>
        </w:rPr>
        <w:t>charge</w:t>
      </w:r>
      <w:r>
        <w:rPr>
          <w:color w:val="231F20"/>
          <w:spacing w:val="-6"/>
          <w:sz w:val="20"/>
        </w:rPr>
        <w:t xml:space="preserve"> </w:t>
      </w:r>
      <w:r>
        <w:rPr>
          <w:color w:val="231F20"/>
          <w:sz w:val="20"/>
        </w:rPr>
        <w:t>for</w:t>
      </w:r>
      <w:r>
        <w:rPr>
          <w:color w:val="231F20"/>
          <w:spacing w:val="-6"/>
          <w:sz w:val="20"/>
        </w:rPr>
        <w:t xml:space="preserve"> </w:t>
      </w:r>
      <w:r>
        <w:rPr>
          <w:color w:val="231F20"/>
          <w:sz w:val="20"/>
        </w:rPr>
        <w:t>a</w:t>
      </w:r>
      <w:r>
        <w:rPr>
          <w:color w:val="231F20"/>
          <w:spacing w:val="-6"/>
          <w:sz w:val="20"/>
        </w:rPr>
        <w:t xml:space="preserve"> </w:t>
      </w:r>
      <w:r>
        <w:rPr>
          <w:color w:val="231F20"/>
          <w:sz w:val="20"/>
        </w:rPr>
        <w:t>breach,</w:t>
      </w:r>
      <w:r>
        <w:rPr>
          <w:color w:val="231F20"/>
          <w:spacing w:val="-6"/>
          <w:sz w:val="20"/>
        </w:rPr>
        <w:t xml:space="preserve"> </w:t>
      </w:r>
      <w:r>
        <w:rPr>
          <w:color w:val="231F20"/>
          <w:sz w:val="20"/>
        </w:rPr>
        <w:t>it</w:t>
      </w:r>
      <w:r>
        <w:rPr>
          <w:color w:val="231F20"/>
          <w:spacing w:val="-6"/>
          <w:sz w:val="20"/>
        </w:rPr>
        <w:t xml:space="preserve"> </w:t>
      </w:r>
      <w:r>
        <w:rPr>
          <w:color w:val="231F20"/>
          <w:sz w:val="20"/>
        </w:rPr>
        <w:t>should</w:t>
      </w:r>
      <w:r>
        <w:rPr>
          <w:color w:val="231F20"/>
          <w:spacing w:val="-6"/>
          <w:sz w:val="20"/>
        </w:rPr>
        <w:t xml:space="preserve"> </w:t>
      </w:r>
      <w:r>
        <w:rPr>
          <w:color w:val="231F20"/>
          <w:sz w:val="20"/>
        </w:rPr>
        <w:t>provide its reasons to the victim</w:t>
      </w:r>
      <w:r>
        <w:rPr>
          <w:color w:val="231F20"/>
          <w:spacing w:val="-11"/>
          <w:sz w:val="20"/>
        </w:rPr>
        <w:t xml:space="preserve"> </w:t>
      </w:r>
      <w:r>
        <w:rPr>
          <w:color w:val="231F20"/>
          <w:sz w:val="20"/>
        </w:rPr>
        <w:t>survivors.</w:t>
      </w:r>
    </w:p>
    <w:p w14:paraId="70CF7DD3" w14:textId="77777777" w:rsidR="00894070" w:rsidRDefault="009B7AFD">
      <w:pPr>
        <w:pStyle w:val="ListParagraph"/>
        <w:numPr>
          <w:ilvl w:val="0"/>
          <w:numId w:val="192"/>
        </w:numPr>
        <w:tabs>
          <w:tab w:val="left" w:pos="1815"/>
          <w:tab w:val="left" w:pos="1816"/>
        </w:tabs>
        <w:spacing w:before="125" w:line="206" w:lineRule="auto"/>
        <w:ind w:left="1815" w:right="2381"/>
        <w:rPr>
          <w:sz w:val="20"/>
        </w:rPr>
      </w:pPr>
      <w:r>
        <w:rPr>
          <w:color w:val="231F20"/>
          <w:sz w:val="20"/>
        </w:rPr>
        <w:t>People</w:t>
      </w:r>
      <w:r>
        <w:rPr>
          <w:color w:val="231F20"/>
          <w:spacing w:val="-6"/>
          <w:sz w:val="20"/>
        </w:rPr>
        <w:t xml:space="preserve"> </w:t>
      </w:r>
      <w:r>
        <w:rPr>
          <w:color w:val="231F20"/>
          <w:sz w:val="20"/>
        </w:rPr>
        <w:t>who</w:t>
      </w:r>
      <w:r>
        <w:rPr>
          <w:color w:val="231F20"/>
          <w:spacing w:val="-6"/>
          <w:sz w:val="20"/>
        </w:rPr>
        <w:t xml:space="preserve"> </w:t>
      </w:r>
      <w:r>
        <w:rPr>
          <w:color w:val="231F20"/>
          <w:sz w:val="20"/>
        </w:rPr>
        <w:t>experience</w:t>
      </w:r>
      <w:r>
        <w:rPr>
          <w:color w:val="231F20"/>
          <w:spacing w:val="-6"/>
          <w:sz w:val="20"/>
        </w:rPr>
        <w:t xml:space="preserve"> </w:t>
      </w:r>
      <w:r>
        <w:rPr>
          <w:color w:val="231F20"/>
          <w:sz w:val="20"/>
        </w:rPr>
        <w:t>stalking</w:t>
      </w:r>
      <w:r>
        <w:rPr>
          <w:color w:val="231F20"/>
          <w:spacing w:val="-6"/>
          <w:sz w:val="20"/>
        </w:rPr>
        <w:t xml:space="preserve"> </w:t>
      </w:r>
      <w:r>
        <w:rPr>
          <w:color w:val="231F20"/>
          <w:sz w:val="20"/>
        </w:rPr>
        <w:t>should</w:t>
      </w:r>
      <w:r>
        <w:rPr>
          <w:color w:val="231F20"/>
          <w:spacing w:val="-6"/>
          <w:sz w:val="20"/>
        </w:rPr>
        <w:t xml:space="preserve"> </w:t>
      </w:r>
      <w:r>
        <w:rPr>
          <w:color w:val="231F20"/>
          <w:spacing w:val="-3"/>
          <w:sz w:val="20"/>
        </w:rPr>
        <w:t>have</w:t>
      </w:r>
      <w:r>
        <w:rPr>
          <w:color w:val="231F20"/>
          <w:spacing w:val="-6"/>
          <w:sz w:val="20"/>
        </w:rPr>
        <w:t xml:space="preserve"> </w:t>
      </w:r>
      <w:r>
        <w:rPr>
          <w:color w:val="231F20"/>
          <w:sz w:val="20"/>
        </w:rPr>
        <w:t>extra</w:t>
      </w:r>
      <w:r>
        <w:rPr>
          <w:color w:val="231F20"/>
          <w:spacing w:val="-6"/>
          <w:sz w:val="20"/>
        </w:rPr>
        <w:t xml:space="preserve"> </w:t>
      </w:r>
      <w:r>
        <w:rPr>
          <w:color w:val="231F20"/>
          <w:sz w:val="20"/>
        </w:rPr>
        <w:t>protections</w:t>
      </w:r>
      <w:r>
        <w:rPr>
          <w:color w:val="231F20"/>
          <w:spacing w:val="-6"/>
          <w:sz w:val="20"/>
        </w:rPr>
        <w:t xml:space="preserve"> </w:t>
      </w:r>
      <w:r>
        <w:rPr>
          <w:color w:val="231F20"/>
          <w:sz w:val="20"/>
        </w:rPr>
        <w:t>in</w:t>
      </w:r>
      <w:r>
        <w:rPr>
          <w:color w:val="231F20"/>
          <w:spacing w:val="-6"/>
          <w:sz w:val="20"/>
        </w:rPr>
        <w:t xml:space="preserve"> </w:t>
      </w:r>
      <w:r>
        <w:rPr>
          <w:color w:val="231F20"/>
          <w:sz w:val="20"/>
        </w:rPr>
        <w:t>criminal proceedings:</w:t>
      </w:r>
    </w:p>
    <w:p w14:paraId="631AFE90" w14:textId="77777777" w:rsidR="00894070" w:rsidRDefault="009B7AFD">
      <w:pPr>
        <w:pStyle w:val="ListParagraph"/>
        <w:numPr>
          <w:ilvl w:val="1"/>
          <w:numId w:val="192"/>
        </w:numPr>
        <w:tabs>
          <w:tab w:val="left" w:pos="2211"/>
          <w:tab w:val="left" w:pos="2213"/>
        </w:tabs>
        <w:spacing w:before="123" w:line="206" w:lineRule="auto"/>
        <w:ind w:left="2212" w:right="1530"/>
        <w:rPr>
          <w:sz w:val="20"/>
        </w:rPr>
      </w:pPr>
      <w:r>
        <w:rPr>
          <w:color w:val="231F20"/>
          <w:sz w:val="20"/>
        </w:rPr>
        <w:t>They</w:t>
      </w:r>
      <w:r>
        <w:rPr>
          <w:color w:val="231F20"/>
          <w:spacing w:val="-10"/>
          <w:sz w:val="20"/>
        </w:rPr>
        <w:t xml:space="preserve"> </w:t>
      </w:r>
      <w:r>
        <w:rPr>
          <w:color w:val="231F20"/>
          <w:sz w:val="20"/>
        </w:rPr>
        <w:t>should</w:t>
      </w:r>
      <w:r>
        <w:rPr>
          <w:color w:val="231F20"/>
          <w:spacing w:val="-9"/>
          <w:sz w:val="20"/>
        </w:rPr>
        <w:t xml:space="preserve"> </w:t>
      </w:r>
      <w:r>
        <w:rPr>
          <w:color w:val="231F20"/>
          <w:spacing w:val="-3"/>
          <w:sz w:val="20"/>
        </w:rPr>
        <w:t>have</w:t>
      </w:r>
      <w:r>
        <w:rPr>
          <w:color w:val="231F20"/>
          <w:spacing w:val="-9"/>
          <w:sz w:val="20"/>
        </w:rPr>
        <w:t xml:space="preserve"> </w:t>
      </w:r>
      <w:r>
        <w:rPr>
          <w:color w:val="231F20"/>
          <w:sz w:val="20"/>
        </w:rPr>
        <w:t>access</w:t>
      </w:r>
      <w:r>
        <w:rPr>
          <w:color w:val="231F20"/>
          <w:spacing w:val="-9"/>
          <w:sz w:val="20"/>
        </w:rPr>
        <w:t xml:space="preserve"> </w:t>
      </w:r>
      <w:r>
        <w:rPr>
          <w:color w:val="231F20"/>
          <w:sz w:val="20"/>
        </w:rPr>
        <w:t>to</w:t>
      </w:r>
      <w:r>
        <w:rPr>
          <w:color w:val="231F20"/>
          <w:spacing w:val="-10"/>
          <w:sz w:val="20"/>
        </w:rPr>
        <w:t xml:space="preserve"> </w:t>
      </w:r>
      <w:r>
        <w:rPr>
          <w:color w:val="231F20"/>
          <w:sz w:val="20"/>
        </w:rPr>
        <w:t>alternative</w:t>
      </w:r>
      <w:r>
        <w:rPr>
          <w:color w:val="231F20"/>
          <w:spacing w:val="-9"/>
          <w:sz w:val="20"/>
        </w:rPr>
        <w:t xml:space="preserve"> </w:t>
      </w:r>
      <w:r>
        <w:rPr>
          <w:color w:val="231F20"/>
          <w:sz w:val="20"/>
        </w:rPr>
        <w:t>arrangements</w:t>
      </w:r>
      <w:r>
        <w:rPr>
          <w:color w:val="231F20"/>
          <w:spacing w:val="-9"/>
          <w:sz w:val="20"/>
        </w:rPr>
        <w:t xml:space="preserve"> </w:t>
      </w:r>
      <w:r>
        <w:rPr>
          <w:color w:val="231F20"/>
          <w:sz w:val="20"/>
        </w:rPr>
        <w:t>that</w:t>
      </w:r>
      <w:r>
        <w:rPr>
          <w:color w:val="231F20"/>
          <w:spacing w:val="-9"/>
          <w:sz w:val="20"/>
        </w:rPr>
        <w:t xml:space="preserve"> </w:t>
      </w:r>
      <w:r>
        <w:rPr>
          <w:color w:val="231F20"/>
          <w:sz w:val="20"/>
        </w:rPr>
        <w:t>make</w:t>
      </w:r>
      <w:r>
        <w:rPr>
          <w:color w:val="231F20"/>
          <w:spacing w:val="-10"/>
          <w:sz w:val="20"/>
        </w:rPr>
        <w:t xml:space="preserve"> </w:t>
      </w:r>
      <w:r>
        <w:rPr>
          <w:color w:val="231F20"/>
          <w:sz w:val="20"/>
        </w:rPr>
        <w:t>it</w:t>
      </w:r>
      <w:r>
        <w:rPr>
          <w:color w:val="231F20"/>
          <w:spacing w:val="-9"/>
          <w:sz w:val="20"/>
        </w:rPr>
        <w:t xml:space="preserve"> </w:t>
      </w:r>
      <w:r>
        <w:rPr>
          <w:color w:val="231F20"/>
          <w:sz w:val="20"/>
        </w:rPr>
        <w:t>less</w:t>
      </w:r>
      <w:r>
        <w:rPr>
          <w:color w:val="231F20"/>
          <w:spacing w:val="-9"/>
          <w:sz w:val="20"/>
        </w:rPr>
        <w:t xml:space="preserve"> </w:t>
      </w:r>
      <w:r>
        <w:rPr>
          <w:color w:val="231F20"/>
          <w:sz w:val="20"/>
        </w:rPr>
        <w:t>difficult and less traumatic to give their evidence than it is</w:t>
      </w:r>
      <w:r>
        <w:rPr>
          <w:color w:val="231F20"/>
          <w:spacing w:val="-26"/>
          <w:sz w:val="20"/>
        </w:rPr>
        <w:t xml:space="preserve"> </w:t>
      </w:r>
      <w:r>
        <w:rPr>
          <w:color w:val="231F20"/>
          <w:spacing w:val="-5"/>
          <w:sz w:val="20"/>
        </w:rPr>
        <w:t>now.</w:t>
      </w:r>
    </w:p>
    <w:p w14:paraId="1DA4BE58" w14:textId="77777777" w:rsidR="00894070" w:rsidRDefault="009B7AFD">
      <w:pPr>
        <w:pStyle w:val="ListParagraph"/>
        <w:numPr>
          <w:ilvl w:val="1"/>
          <w:numId w:val="192"/>
        </w:numPr>
        <w:tabs>
          <w:tab w:val="left" w:pos="2211"/>
          <w:tab w:val="left" w:pos="2213"/>
        </w:tabs>
        <w:spacing w:before="90"/>
        <w:ind w:left="2212"/>
        <w:rPr>
          <w:sz w:val="20"/>
        </w:rPr>
      </w:pPr>
      <w:r>
        <w:rPr>
          <w:color w:val="231F20"/>
          <w:sz w:val="20"/>
        </w:rPr>
        <w:t>Court infrastructure and facilities should be designed to protect</w:t>
      </w:r>
      <w:r>
        <w:rPr>
          <w:color w:val="231F20"/>
          <w:spacing w:val="-25"/>
          <w:sz w:val="20"/>
        </w:rPr>
        <w:t xml:space="preserve"> </w:t>
      </w:r>
      <w:r>
        <w:rPr>
          <w:color w:val="231F20"/>
          <w:sz w:val="20"/>
        </w:rPr>
        <w:t>them.</w:t>
      </w:r>
    </w:p>
    <w:p w14:paraId="5426FC40" w14:textId="77777777" w:rsidR="00894070" w:rsidRDefault="009B7AFD">
      <w:pPr>
        <w:pStyle w:val="ListParagraph"/>
        <w:numPr>
          <w:ilvl w:val="1"/>
          <w:numId w:val="192"/>
        </w:numPr>
        <w:tabs>
          <w:tab w:val="left" w:pos="2211"/>
          <w:tab w:val="left" w:pos="2213"/>
        </w:tabs>
        <w:spacing w:before="115" w:line="206" w:lineRule="auto"/>
        <w:ind w:left="2212" w:right="1517"/>
        <w:rPr>
          <w:sz w:val="20"/>
        </w:rPr>
      </w:pPr>
      <w:r>
        <w:rPr>
          <w:color w:val="231F20"/>
          <w:sz w:val="20"/>
        </w:rPr>
        <w:t>The</w:t>
      </w:r>
      <w:r>
        <w:rPr>
          <w:color w:val="231F20"/>
          <w:spacing w:val="-8"/>
          <w:sz w:val="20"/>
        </w:rPr>
        <w:t xml:space="preserve"> </w:t>
      </w:r>
      <w:r>
        <w:rPr>
          <w:color w:val="231F20"/>
          <w:sz w:val="20"/>
        </w:rPr>
        <w:t>accused</w:t>
      </w:r>
      <w:r>
        <w:rPr>
          <w:color w:val="231F20"/>
          <w:spacing w:val="-7"/>
          <w:sz w:val="20"/>
        </w:rPr>
        <w:t xml:space="preserve"> </w:t>
      </w:r>
      <w:r>
        <w:rPr>
          <w:color w:val="231F20"/>
          <w:sz w:val="20"/>
        </w:rPr>
        <w:t>should</w:t>
      </w:r>
      <w:r>
        <w:rPr>
          <w:color w:val="231F20"/>
          <w:spacing w:val="-7"/>
          <w:sz w:val="20"/>
        </w:rPr>
        <w:t xml:space="preserve"> </w:t>
      </w:r>
      <w:r>
        <w:rPr>
          <w:color w:val="231F20"/>
          <w:sz w:val="20"/>
        </w:rPr>
        <w:t>be</w:t>
      </w:r>
      <w:r>
        <w:rPr>
          <w:color w:val="231F20"/>
          <w:spacing w:val="-8"/>
          <w:sz w:val="20"/>
        </w:rPr>
        <w:t xml:space="preserve"> </w:t>
      </w:r>
      <w:r>
        <w:rPr>
          <w:color w:val="231F20"/>
          <w:spacing w:val="-3"/>
          <w:sz w:val="20"/>
        </w:rPr>
        <w:t>prevented</w:t>
      </w:r>
      <w:r>
        <w:rPr>
          <w:color w:val="231F20"/>
          <w:spacing w:val="-7"/>
          <w:sz w:val="20"/>
        </w:rPr>
        <w:t xml:space="preserve"> </w:t>
      </w:r>
      <w:r>
        <w:rPr>
          <w:color w:val="231F20"/>
          <w:sz w:val="20"/>
        </w:rPr>
        <w:t>from</w:t>
      </w:r>
      <w:r>
        <w:rPr>
          <w:color w:val="231F20"/>
          <w:spacing w:val="-7"/>
          <w:sz w:val="20"/>
        </w:rPr>
        <w:t xml:space="preserve"> </w:t>
      </w:r>
      <w:r>
        <w:rPr>
          <w:color w:val="231F20"/>
          <w:sz w:val="20"/>
        </w:rPr>
        <w:t>personally</w:t>
      </w:r>
      <w:r>
        <w:rPr>
          <w:color w:val="231F20"/>
          <w:spacing w:val="-8"/>
          <w:sz w:val="20"/>
        </w:rPr>
        <w:t xml:space="preserve"> </w:t>
      </w:r>
      <w:r>
        <w:rPr>
          <w:color w:val="231F20"/>
          <w:sz w:val="20"/>
        </w:rPr>
        <w:t>cross-examining</w:t>
      </w:r>
      <w:r>
        <w:rPr>
          <w:color w:val="231F20"/>
          <w:spacing w:val="-7"/>
          <w:sz w:val="20"/>
        </w:rPr>
        <w:t xml:space="preserve"> </w:t>
      </w:r>
      <w:r>
        <w:rPr>
          <w:color w:val="231F20"/>
          <w:sz w:val="20"/>
        </w:rPr>
        <w:t>protected victims, and Victoria Legal Aid should receive funding to conduct the cross- examination.</w:t>
      </w:r>
    </w:p>
    <w:p w14:paraId="76A80B9F" w14:textId="77777777" w:rsidR="00894070" w:rsidRDefault="00894070">
      <w:pPr>
        <w:pStyle w:val="BodyText"/>
        <w:spacing w:before="7"/>
        <w:rPr>
          <w:sz w:val="16"/>
        </w:rPr>
      </w:pPr>
    </w:p>
    <w:p w14:paraId="27D2D3F1" w14:textId="77777777" w:rsidR="00894070" w:rsidRDefault="009B7AFD">
      <w:pPr>
        <w:pStyle w:val="Heading7"/>
        <w:ind w:left="1021"/>
      </w:pPr>
      <w:r>
        <w:rPr>
          <w:color w:val="EA5B50"/>
        </w:rPr>
        <w:t>Responding to people who stalk</w:t>
      </w:r>
    </w:p>
    <w:p w14:paraId="5E197DB8" w14:textId="77777777" w:rsidR="00894070" w:rsidRDefault="009B7AFD">
      <w:pPr>
        <w:pStyle w:val="ListParagraph"/>
        <w:numPr>
          <w:ilvl w:val="0"/>
          <w:numId w:val="192"/>
        </w:numPr>
        <w:tabs>
          <w:tab w:val="left" w:pos="1815"/>
          <w:tab w:val="left" w:pos="1816"/>
        </w:tabs>
        <w:spacing w:before="146" w:line="206" w:lineRule="auto"/>
        <w:ind w:left="1815" w:right="1763"/>
        <w:rPr>
          <w:sz w:val="20"/>
        </w:rPr>
      </w:pPr>
      <w:r>
        <w:rPr>
          <w:color w:val="231F20"/>
          <w:sz w:val="20"/>
        </w:rPr>
        <w:t>For too long the response to stalking has focused on what the victim survivor is expected</w:t>
      </w:r>
      <w:r>
        <w:rPr>
          <w:color w:val="231F20"/>
          <w:spacing w:val="-6"/>
          <w:sz w:val="20"/>
        </w:rPr>
        <w:t xml:space="preserve"> </w:t>
      </w:r>
      <w:r>
        <w:rPr>
          <w:color w:val="231F20"/>
          <w:sz w:val="20"/>
        </w:rPr>
        <w:t>to</w:t>
      </w:r>
      <w:r>
        <w:rPr>
          <w:color w:val="231F20"/>
          <w:spacing w:val="-5"/>
          <w:sz w:val="20"/>
        </w:rPr>
        <w:t xml:space="preserve"> </w:t>
      </w:r>
      <w:r>
        <w:rPr>
          <w:color w:val="231F20"/>
          <w:sz w:val="20"/>
        </w:rPr>
        <w:t>do</w:t>
      </w:r>
      <w:r>
        <w:rPr>
          <w:color w:val="231F20"/>
          <w:spacing w:val="-5"/>
          <w:sz w:val="20"/>
        </w:rPr>
        <w:t xml:space="preserve"> </w:t>
      </w:r>
      <w:r>
        <w:rPr>
          <w:color w:val="231F20"/>
          <w:sz w:val="20"/>
        </w:rPr>
        <w:t>to</w:t>
      </w:r>
      <w:r>
        <w:rPr>
          <w:color w:val="231F20"/>
          <w:spacing w:val="-5"/>
          <w:sz w:val="20"/>
        </w:rPr>
        <w:t xml:space="preserve"> </w:t>
      </w:r>
      <w:r>
        <w:rPr>
          <w:color w:val="231F20"/>
          <w:sz w:val="20"/>
        </w:rPr>
        <w:t>avoid</w:t>
      </w:r>
      <w:r>
        <w:rPr>
          <w:color w:val="231F20"/>
          <w:spacing w:val="-5"/>
          <w:sz w:val="20"/>
        </w:rPr>
        <w:t xml:space="preserve"> </w:t>
      </w:r>
      <w:r>
        <w:rPr>
          <w:color w:val="231F20"/>
          <w:sz w:val="20"/>
        </w:rPr>
        <w:t>being</w:t>
      </w:r>
      <w:r>
        <w:rPr>
          <w:color w:val="231F20"/>
          <w:spacing w:val="-5"/>
          <w:sz w:val="20"/>
        </w:rPr>
        <w:t xml:space="preserve"> </w:t>
      </w:r>
      <w:r>
        <w:rPr>
          <w:color w:val="231F20"/>
          <w:sz w:val="20"/>
        </w:rPr>
        <w:t>stalked.</w:t>
      </w:r>
      <w:r>
        <w:rPr>
          <w:color w:val="231F20"/>
          <w:spacing w:val="-5"/>
          <w:sz w:val="20"/>
        </w:rPr>
        <w:t xml:space="preserve"> </w:t>
      </w:r>
      <w:r>
        <w:rPr>
          <w:color w:val="231F20"/>
          <w:sz w:val="20"/>
        </w:rPr>
        <w:t>The</w:t>
      </w:r>
      <w:r>
        <w:rPr>
          <w:color w:val="231F20"/>
          <w:spacing w:val="-5"/>
          <w:sz w:val="20"/>
        </w:rPr>
        <w:t xml:space="preserve"> </w:t>
      </w:r>
      <w:r>
        <w:rPr>
          <w:color w:val="231F20"/>
          <w:sz w:val="20"/>
        </w:rPr>
        <w:t>focus</w:t>
      </w:r>
      <w:r>
        <w:rPr>
          <w:color w:val="231F20"/>
          <w:spacing w:val="-5"/>
          <w:sz w:val="20"/>
        </w:rPr>
        <w:t xml:space="preserve"> </w:t>
      </w:r>
      <w:r>
        <w:rPr>
          <w:color w:val="231F20"/>
          <w:sz w:val="20"/>
        </w:rPr>
        <w:t>should</w:t>
      </w:r>
      <w:r>
        <w:rPr>
          <w:color w:val="231F20"/>
          <w:spacing w:val="-5"/>
          <w:sz w:val="20"/>
        </w:rPr>
        <w:t xml:space="preserve"> </w:t>
      </w:r>
      <w:r>
        <w:rPr>
          <w:color w:val="231F20"/>
          <w:sz w:val="20"/>
        </w:rPr>
        <w:t>shift</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5"/>
          <w:sz w:val="20"/>
        </w:rPr>
        <w:t xml:space="preserve"> </w:t>
      </w:r>
      <w:r>
        <w:rPr>
          <w:color w:val="231F20"/>
          <w:sz w:val="20"/>
        </w:rPr>
        <w:t>people</w:t>
      </w:r>
      <w:r>
        <w:rPr>
          <w:color w:val="231F20"/>
          <w:spacing w:val="-5"/>
          <w:sz w:val="20"/>
        </w:rPr>
        <w:t xml:space="preserve"> </w:t>
      </w:r>
      <w:r>
        <w:rPr>
          <w:color w:val="231F20"/>
          <w:sz w:val="20"/>
        </w:rPr>
        <w:t>who commit the</w:t>
      </w:r>
      <w:r>
        <w:rPr>
          <w:color w:val="231F20"/>
          <w:spacing w:val="-5"/>
          <w:sz w:val="20"/>
        </w:rPr>
        <w:t xml:space="preserve"> </w:t>
      </w:r>
      <w:r>
        <w:rPr>
          <w:color w:val="231F20"/>
          <w:sz w:val="20"/>
        </w:rPr>
        <w:t>crime.</w:t>
      </w:r>
    </w:p>
    <w:p w14:paraId="12F8EC64" w14:textId="77777777" w:rsidR="00894070" w:rsidRDefault="009B7AFD">
      <w:pPr>
        <w:pStyle w:val="ListParagraph"/>
        <w:numPr>
          <w:ilvl w:val="0"/>
          <w:numId w:val="192"/>
        </w:numPr>
        <w:tabs>
          <w:tab w:val="left" w:pos="1815"/>
          <w:tab w:val="left" w:pos="1816"/>
        </w:tabs>
        <w:spacing w:before="124" w:line="206" w:lineRule="auto"/>
        <w:ind w:left="1815" w:right="2004"/>
        <w:rPr>
          <w:sz w:val="20"/>
        </w:rPr>
      </w:pPr>
      <w:r>
        <w:rPr>
          <w:color w:val="231F20"/>
          <w:sz w:val="20"/>
        </w:rPr>
        <w:t>There</w:t>
      </w:r>
      <w:r>
        <w:rPr>
          <w:color w:val="231F20"/>
          <w:spacing w:val="-7"/>
          <w:sz w:val="20"/>
        </w:rPr>
        <w:t xml:space="preserve"> </w:t>
      </w:r>
      <w:r>
        <w:rPr>
          <w:color w:val="231F20"/>
          <w:sz w:val="20"/>
        </w:rPr>
        <w:t>is</w:t>
      </w:r>
      <w:r>
        <w:rPr>
          <w:color w:val="231F20"/>
          <w:spacing w:val="-6"/>
          <w:sz w:val="20"/>
        </w:rPr>
        <w:t xml:space="preserve"> </w:t>
      </w:r>
      <w:r>
        <w:rPr>
          <w:color w:val="231F20"/>
          <w:sz w:val="20"/>
        </w:rPr>
        <w:t>some</w:t>
      </w:r>
      <w:r>
        <w:rPr>
          <w:color w:val="231F20"/>
          <w:spacing w:val="-7"/>
          <w:sz w:val="20"/>
        </w:rPr>
        <w:t xml:space="preserve"> </w:t>
      </w:r>
      <w:r>
        <w:rPr>
          <w:color w:val="231F20"/>
          <w:sz w:val="20"/>
        </w:rPr>
        <w:t>evidence</w:t>
      </w:r>
      <w:r>
        <w:rPr>
          <w:color w:val="231F20"/>
          <w:spacing w:val="-6"/>
          <w:sz w:val="20"/>
        </w:rPr>
        <w:t xml:space="preserve"> </w:t>
      </w:r>
      <w:r>
        <w:rPr>
          <w:color w:val="231F20"/>
          <w:sz w:val="20"/>
        </w:rPr>
        <w:t>that</w:t>
      </w:r>
      <w:r>
        <w:rPr>
          <w:color w:val="231F20"/>
          <w:spacing w:val="-6"/>
          <w:sz w:val="20"/>
        </w:rPr>
        <w:t xml:space="preserve"> </w:t>
      </w:r>
      <w:r>
        <w:rPr>
          <w:color w:val="231F20"/>
          <w:sz w:val="20"/>
        </w:rPr>
        <w:t>therapeutic</w:t>
      </w:r>
      <w:r>
        <w:rPr>
          <w:color w:val="231F20"/>
          <w:spacing w:val="-7"/>
          <w:sz w:val="20"/>
        </w:rPr>
        <w:t xml:space="preserve"> </w:t>
      </w:r>
      <w:r>
        <w:rPr>
          <w:color w:val="231F20"/>
          <w:sz w:val="20"/>
        </w:rPr>
        <w:t>treatment</w:t>
      </w:r>
      <w:r>
        <w:rPr>
          <w:color w:val="231F20"/>
          <w:spacing w:val="-6"/>
          <w:sz w:val="20"/>
        </w:rPr>
        <w:t xml:space="preserve"> </w:t>
      </w:r>
      <w:r>
        <w:rPr>
          <w:color w:val="231F20"/>
          <w:sz w:val="20"/>
        </w:rPr>
        <w:t>may</w:t>
      </w:r>
      <w:r>
        <w:rPr>
          <w:color w:val="231F20"/>
          <w:spacing w:val="-6"/>
          <w:sz w:val="20"/>
        </w:rPr>
        <w:t xml:space="preserve"> </w:t>
      </w:r>
      <w:r>
        <w:rPr>
          <w:color w:val="231F20"/>
          <w:sz w:val="20"/>
        </w:rPr>
        <w:t>reduce</w:t>
      </w:r>
      <w:r>
        <w:rPr>
          <w:color w:val="231F20"/>
          <w:spacing w:val="-7"/>
          <w:sz w:val="20"/>
        </w:rPr>
        <w:t xml:space="preserve"> </w:t>
      </w:r>
      <w:r>
        <w:rPr>
          <w:color w:val="231F20"/>
          <w:sz w:val="20"/>
        </w:rPr>
        <w:t>the</w:t>
      </w:r>
      <w:r>
        <w:rPr>
          <w:color w:val="231F20"/>
          <w:spacing w:val="-6"/>
          <w:sz w:val="20"/>
        </w:rPr>
        <w:t xml:space="preserve"> </w:t>
      </w:r>
      <w:r>
        <w:rPr>
          <w:color w:val="231F20"/>
          <w:sz w:val="20"/>
        </w:rPr>
        <w:t>risk</w:t>
      </w:r>
      <w:r>
        <w:rPr>
          <w:color w:val="231F20"/>
          <w:spacing w:val="-7"/>
          <w:sz w:val="20"/>
        </w:rPr>
        <w:t xml:space="preserve"> </w:t>
      </w:r>
      <w:r>
        <w:rPr>
          <w:color w:val="231F20"/>
          <w:sz w:val="20"/>
        </w:rPr>
        <w:t>of</w:t>
      </w:r>
      <w:r>
        <w:rPr>
          <w:color w:val="231F20"/>
          <w:spacing w:val="-6"/>
          <w:sz w:val="20"/>
        </w:rPr>
        <w:t xml:space="preserve"> </w:t>
      </w:r>
      <w:r>
        <w:rPr>
          <w:color w:val="231F20"/>
          <w:sz w:val="20"/>
        </w:rPr>
        <w:t>re- offending.</w:t>
      </w:r>
    </w:p>
    <w:p w14:paraId="7291650F" w14:textId="77777777" w:rsidR="00894070" w:rsidRDefault="009B7AFD">
      <w:pPr>
        <w:pStyle w:val="ListParagraph"/>
        <w:numPr>
          <w:ilvl w:val="0"/>
          <w:numId w:val="192"/>
        </w:numPr>
        <w:tabs>
          <w:tab w:val="left" w:pos="1815"/>
          <w:tab w:val="left" w:pos="1816"/>
        </w:tabs>
        <w:spacing w:before="122" w:line="206" w:lineRule="auto"/>
        <w:ind w:left="1815" w:right="1224"/>
        <w:rPr>
          <w:sz w:val="20"/>
        </w:rPr>
      </w:pPr>
      <w:r>
        <w:rPr>
          <w:color w:val="231F20"/>
          <w:sz w:val="20"/>
        </w:rPr>
        <w:t xml:space="preserve">People who stalk need to get the appropriate intervention early to stop their </w:t>
      </w:r>
      <w:proofErr w:type="spellStart"/>
      <w:r>
        <w:rPr>
          <w:color w:val="231F20"/>
          <w:sz w:val="20"/>
        </w:rPr>
        <w:t>behaviour</w:t>
      </w:r>
      <w:proofErr w:type="spellEnd"/>
      <w:r>
        <w:rPr>
          <w:color w:val="231F20"/>
          <w:sz w:val="20"/>
        </w:rPr>
        <w:t>.</w:t>
      </w:r>
      <w:r>
        <w:rPr>
          <w:color w:val="231F20"/>
          <w:spacing w:val="-9"/>
          <w:sz w:val="20"/>
        </w:rPr>
        <w:t xml:space="preserve"> </w:t>
      </w:r>
      <w:r>
        <w:rPr>
          <w:color w:val="231F20"/>
          <w:sz w:val="20"/>
        </w:rPr>
        <w:t>But</w:t>
      </w:r>
      <w:r>
        <w:rPr>
          <w:color w:val="231F20"/>
          <w:spacing w:val="-9"/>
          <w:sz w:val="20"/>
        </w:rPr>
        <w:t xml:space="preserve"> </w:t>
      </w:r>
      <w:r>
        <w:rPr>
          <w:color w:val="231F20"/>
          <w:sz w:val="20"/>
        </w:rPr>
        <w:t>reforms,</w:t>
      </w:r>
      <w:r>
        <w:rPr>
          <w:color w:val="231F20"/>
          <w:spacing w:val="-9"/>
          <w:sz w:val="20"/>
        </w:rPr>
        <w:t xml:space="preserve"> </w:t>
      </w:r>
      <w:r>
        <w:rPr>
          <w:color w:val="231F20"/>
          <w:sz w:val="20"/>
        </w:rPr>
        <w:t>including</w:t>
      </w:r>
      <w:r>
        <w:rPr>
          <w:color w:val="231F20"/>
          <w:spacing w:val="-9"/>
          <w:sz w:val="20"/>
        </w:rPr>
        <w:t xml:space="preserve"> </w:t>
      </w:r>
      <w:r>
        <w:rPr>
          <w:color w:val="231F20"/>
          <w:sz w:val="20"/>
        </w:rPr>
        <w:t>early</w:t>
      </w:r>
      <w:r>
        <w:rPr>
          <w:color w:val="231F20"/>
          <w:spacing w:val="-8"/>
          <w:sz w:val="20"/>
        </w:rPr>
        <w:t xml:space="preserve"> </w:t>
      </w:r>
      <w:r>
        <w:rPr>
          <w:color w:val="231F20"/>
          <w:sz w:val="20"/>
        </w:rPr>
        <w:t>intervention,</w:t>
      </w:r>
      <w:r>
        <w:rPr>
          <w:color w:val="231F20"/>
          <w:spacing w:val="-9"/>
          <w:sz w:val="20"/>
        </w:rPr>
        <w:t xml:space="preserve"> </w:t>
      </w:r>
      <w:r>
        <w:rPr>
          <w:color w:val="231F20"/>
          <w:sz w:val="20"/>
        </w:rPr>
        <w:t>will</w:t>
      </w:r>
      <w:r>
        <w:rPr>
          <w:color w:val="231F20"/>
          <w:spacing w:val="-9"/>
          <w:sz w:val="20"/>
        </w:rPr>
        <w:t xml:space="preserve"> </w:t>
      </w:r>
      <w:r>
        <w:rPr>
          <w:color w:val="231F20"/>
          <w:sz w:val="20"/>
        </w:rPr>
        <w:t>only</w:t>
      </w:r>
      <w:r>
        <w:rPr>
          <w:color w:val="231F20"/>
          <w:spacing w:val="-9"/>
          <w:sz w:val="20"/>
        </w:rPr>
        <w:t xml:space="preserve"> </w:t>
      </w:r>
      <w:r>
        <w:rPr>
          <w:color w:val="231F20"/>
          <w:sz w:val="20"/>
        </w:rPr>
        <w:t>work</w:t>
      </w:r>
      <w:r>
        <w:rPr>
          <w:color w:val="231F20"/>
          <w:spacing w:val="-8"/>
          <w:sz w:val="20"/>
        </w:rPr>
        <w:t xml:space="preserve"> </w:t>
      </w:r>
      <w:r>
        <w:rPr>
          <w:color w:val="231F20"/>
          <w:sz w:val="20"/>
        </w:rPr>
        <w:t>if</w:t>
      </w:r>
      <w:r>
        <w:rPr>
          <w:color w:val="231F20"/>
          <w:spacing w:val="-9"/>
          <w:sz w:val="20"/>
        </w:rPr>
        <w:t xml:space="preserve"> </w:t>
      </w:r>
      <w:r>
        <w:rPr>
          <w:color w:val="231F20"/>
          <w:sz w:val="20"/>
        </w:rPr>
        <w:t>there</w:t>
      </w:r>
      <w:r>
        <w:rPr>
          <w:color w:val="231F20"/>
          <w:spacing w:val="-9"/>
          <w:sz w:val="20"/>
        </w:rPr>
        <w:t xml:space="preserve"> </w:t>
      </w:r>
      <w:r>
        <w:rPr>
          <w:color w:val="231F20"/>
          <w:sz w:val="20"/>
        </w:rPr>
        <w:t>are</w:t>
      </w:r>
      <w:r>
        <w:rPr>
          <w:color w:val="231F20"/>
          <w:spacing w:val="-9"/>
          <w:sz w:val="20"/>
        </w:rPr>
        <w:t xml:space="preserve"> </w:t>
      </w:r>
      <w:r>
        <w:rPr>
          <w:color w:val="231F20"/>
          <w:sz w:val="20"/>
        </w:rPr>
        <w:t>services in</w:t>
      </w:r>
      <w:r>
        <w:rPr>
          <w:color w:val="231F20"/>
          <w:spacing w:val="-3"/>
          <w:sz w:val="20"/>
        </w:rPr>
        <w:t xml:space="preserve"> </w:t>
      </w:r>
      <w:r>
        <w:rPr>
          <w:color w:val="231F20"/>
          <w:sz w:val="20"/>
        </w:rPr>
        <w:t>place.</w:t>
      </w:r>
    </w:p>
    <w:p w14:paraId="4EDEDB26" w14:textId="77777777" w:rsidR="00894070" w:rsidRDefault="009B7AFD">
      <w:pPr>
        <w:pStyle w:val="ListParagraph"/>
        <w:numPr>
          <w:ilvl w:val="0"/>
          <w:numId w:val="192"/>
        </w:numPr>
        <w:tabs>
          <w:tab w:val="left" w:pos="1815"/>
          <w:tab w:val="left" w:pos="1816"/>
        </w:tabs>
        <w:spacing w:before="124" w:line="206" w:lineRule="auto"/>
        <w:ind w:left="1815" w:right="1155"/>
        <w:rPr>
          <w:sz w:val="20"/>
        </w:rPr>
      </w:pPr>
      <w:r>
        <w:rPr>
          <w:color w:val="231F20"/>
          <w:spacing w:val="-9"/>
          <w:sz w:val="20"/>
        </w:rPr>
        <w:t>To</w:t>
      </w:r>
      <w:r>
        <w:rPr>
          <w:color w:val="231F20"/>
          <w:spacing w:val="-7"/>
          <w:sz w:val="20"/>
        </w:rPr>
        <w:t xml:space="preserve"> </w:t>
      </w:r>
      <w:r>
        <w:rPr>
          <w:color w:val="231F20"/>
          <w:sz w:val="20"/>
        </w:rPr>
        <w:t>protect</w:t>
      </w:r>
      <w:r>
        <w:rPr>
          <w:color w:val="231F20"/>
          <w:spacing w:val="-6"/>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6"/>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z w:val="20"/>
        </w:rPr>
        <w:t>community</w:t>
      </w:r>
      <w:r>
        <w:rPr>
          <w:color w:val="231F20"/>
          <w:spacing w:val="-6"/>
          <w:sz w:val="20"/>
        </w:rPr>
        <w:t xml:space="preserve"> </w:t>
      </w:r>
      <w:r>
        <w:rPr>
          <w:color w:val="231F20"/>
          <w:sz w:val="20"/>
        </w:rPr>
        <w:t>there</w:t>
      </w:r>
      <w:r>
        <w:rPr>
          <w:color w:val="231F20"/>
          <w:spacing w:val="-6"/>
          <w:sz w:val="20"/>
        </w:rPr>
        <w:t xml:space="preserve"> </w:t>
      </w:r>
      <w:r>
        <w:rPr>
          <w:color w:val="231F20"/>
          <w:sz w:val="20"/>
        </w:rPr>
        <w:t>should</w:t>
      </w:r>
      <w:r>
        <w:rPr>
          <w:color w:val="231F20"/>
          <w:spacing w:val="-6"/>
          <w:sz w:val="20"/>
        </w:rPr>
        <w:t xml:space="preserve"> </w:t>
      </w:r>
      <w:r>
        <w:rPr>
          <w:color w:val="231F20"/>
          <w:sz w:val="20"/>
        </w:rPr>
        <w:t>be</w:t>
      </w:r>
      <w:r>
        <w:rPr>
          <w:color w:val="231F20"/>
          <w:spacing w:val="-6"/>
          <w:sz w:val="20"/>
        </w:rPr>
        <w:t xml:space="preserve"> </w:t>
      </w:r>
      <w:r>
        <w:rPr>
          <w:color w:val="231F20"/>
          <w:sz w:val="20"/>
        </w:rPr>
        <w:t>a</w:t>
      </w:r>
      <w:r>
        <w:rPr>
          <w:color w:val="231F20"/>
          <w:spacing w:val="-6"/>
          <w:sz w:val="20"/>
        </w:rPr>
        <w:t xml:space="preserve"> </w:t>
      </w:r>
      <w:r>
        <w:rPr>
          <w:color w:val="231F20"/>
          <w:sz w:val="20"/>
        </w:rPr>
        <w:t>coordinated,</w:t>
      </w:r>
      <w:r>
        <w:rPr>
          <w:color w:val="231F20"/>
          <w:spacing w:val="-7"/>
          <w:sz w:val="20"/>
        </w:rPr>
        <w:t xml:space="preserve"> </w:t>
      </w:r>
      <w:r>
        <w:rPr>
          <w:color w:val="231F20"/>
          <w:sz w:val="20"/>
        </w:rPr>
        <w:t xml:space="preserve">system- wide response to stalking </w:t>
      </w:r>
      <w:proofErr w:type="spellStart"/>
      <w:r>
        <w:rPr>
          <w:color w:val="231F20"/>
          <w:spacing w:val="-3"/>
          <w:sz w:val="20"/>
        </w:rPr>
        <w:t>behaviour</w:t>
      </w:r>
      <w:proofErr w:type="spellEnd"/>
      <w:r>
        <w:rPr>
          <w:color w:val="231F20"/>
          <w:spacing w:val="-3"/>
          <w:sz w:val="20"/>
        </w:rPr>
        <w:t xml:space="preserve">, </w:t>
      </w:r>
      <w:r>
        <w:rPr>
          <w:color w:val="231F20"/>
          <w:sz w:val="20"/>
        </w:rPr>
        <w:t>focusing on early</w:t>
      </w:r>
      <w:r>
        <w:rPr>
          <w:color w:val="231F20"/>
          <w:spacing w:val="-19"/>
          <w:sz w:val="20"/>
        </w:rPr>
        <w:t xml:space="preserve"> </w:t>
      </w:r>
      <w:r>
        <w:rPr>
          <w:color w:val="231F20"/>
          <w:sz w:val="20"/>
        </w:rPr>
        <w:t>intervention.</w:t>
      </w:r>
    </w:p>
    <w:p w14:paraId="568A0D75" w14:textId="77777777" w:rsidR="00894070" w:rsidRDefault="00894070">
      <w:pPr>
        <w:pStyle w:val="BodyText"/>
      </w:pPr>
    </w:p>
    <w:p w14:paraId="09331461" w14:textId="77777777" w:rsidR="00894070" w:rsidRDefault="00894070">
      <w:pPr>
        <w:pStyle w:val="BodyText"/>
      </w:pPr>
    </w:p>
    <w:p w14:paraId="07A17CAC" w14:textId="77777777" w:rsidR="00894070" w:rsidRDefault="009B7AFD">
      <w:pPr>
        <w:pStyle w:val="Heading8"/>
        <w:spacing w:before="187"/>
        <w:ind w:left="140"/>
      </w:pPr>
      <w:r>
        <w:rPr>
          <w:color w:val="EA5B50"/>
        </w:rPr>
        <w:t>xiv</w:t>
      </w:r>
    </w:p>
    <w:p w14:paraId="59388522" w14:textId="77777777" w:rsidR="00894070" w:rsidRDefault="00894070">
      <w:pPr>
        <w:sectPr w:rsidR="00894070">
          <w:pgSz w:w="11910" w:h="16840"/>
          <w:pgMar w:top="860" w:right="420" w:bottom="280" w:left="580" w:header="567" w:footer="0" w:gutter="0"/>
          <w:cols w:space="720"/>
        </w:sectPr>
      </w:pPr>
    </w:p>
    <w:p w14:paraId="68586176" w14:textId="77777777" w:rsidR="00894070" w:rsidRDefault="00894070">
      <w:pPr>
        <w:pStyle w:val="BodyText"/>
        <w:rPr>
          <w:b/>
        </w:rPr>
      </w:pPr>
    </w:p>
    <w:p w14:paraId="219FCC3A" w14:textId="77777777" w:rsidR="00894070" w:rsidRDefault="00894070">
      <w:pPr>
        <w:pStyle w:val="BodyText"/>
        <w:rPr>
          <w:b/>
        </w:rPr>
      </w:pPr>
    </w:p>
    <w:p w14:paraId="0A6A972E" w14:textId="77777777" w:rsidR="00894070" w:rsidRDefault="00894070">
      <w:pPr>
        <w:pStyle w:val="BodyText"/>
        <w:rPr>
          <w:b/>
        </w:rPr>
      </w:pPr>
    </w:p>
    <w:p w14:paraId="3636657A" w14:textId="77777777" w:rsidR="00894070" w:rsidRDefault="00894070">
      <w:pPr>
        <w:pStyle w:val="BodyText"/>
        <w:spacing w:before="3"/>
        <w:rPr>
          <w:b/>
          <w:sz w:val="14"/>
        </w:rPr>
      </w:pPr>
    </w:p>
    <w:p w14:paraId="5FDFC1C6" w14:textId="77777777" w:rsidR="00894070" w:rsidRDefault="009B7AFD">
      <w:pPr>
        <w:pStyle w:val="ListParagraph"/>
        <w:numPr>
          <w:ilvl w:val="0"/>
          <w:numId w:val="192"/>
        </w:numPr>
        <w:tabs>
          <w:tab w:val="left" w:pos="1801"/>
          <w:tab w:val="left" w:pos="1802"/>
        </w:tabs>
        <w:spacing w:before="57" w:line="259" w:lineRule="exact"/>
        <w:ind w:left="1801"/>
        <w:rPr>
          <w:sz w:val="20"/>
        </w:rPr>
      </w:pPr>
      <w:r>
        <w:rPr>
          <w:color w:val="231F20"/>
          <w:sz w:val="20"/>
        </w:rPr>
        <w:t>The</w:t>
      </w:r>
      <w:r>
        <w:rPr>
          <w:color w:val="231F20"/>
          <w:spacing w:val="-6"/>
          <w:sz w:val="20"/>
        </w:rPr>
        <w:t xml:space="preserve"> </w:t>
      </w:r>
      <w:r>
        <w:rPr>
          <w:color w:val="231F20"/>
          <w:sz w:val="20"/>
        </w:rPr>
        <w:t>response</w:t>
      </w:r>
      <w:r>
        <w:rPr>
          <w:color w:val="231F20"/>
          <w:spacing w:val="-5"/>
          <w:sz w:val="20"/>
        </w:rPr>
        <w:t xml:space="preserve"> </w:t>
      </w:r>
      <w:r>
        <w:rPr>
          <w:color w:val="231F20"/>
          <w:sz w:val="20"/>
        </w:rPr>
        <w:t>should</w:t>
      </w:r>
      <w:r>
        <w:rPr>
          <w:color w:val="231F20"/>
          <w:spacing w:val="-5"/>
          <w:sz w:val="20"/>
        </w:rPr>
        <w:t xml:space="preserve"> </w:t>
      </w:r>
      <w:r>
        <w:rPr>
          <w:color w:val="231F20"/>
          <w:sz w:val="20"/>
        </w:rPr>
        <w:t>deliver</w:t>
      </w:r>
      <w:r>
        <w:rPr>
          <w:color w:val="231F20"/>
          <w:spacing w:val="-5"/>
          <w:sz w:val="20"/>
        </w:rPr>
        <w:t xml:space="preserve"> </w:t>
      </w:r>
      <w:r>
        <w:rPr>
          <w:color w:val="231F20"/>
          <w:sz w:val="20"/>
        </w:rPr>
        <w:t>accessible</w:t>
      </w:r>
      <w:r>
        <w:rPr>
          <w:color w:val="231F20"/>
          <w:spacing w:val="-5"/>
          <w:sz w:val="20"/>
        </w:rPr>
        <w:t xml:space="preserve"> </w:t>
      </w:r>
      <w:r>
        <w:rPr>
          <w:color w:val="231F20"/>
          <w:sz w:val="20"/>
        </w:rPr>
        <w:t>and</w:t>
      </w:r>
      <w:r>
        <w:rPr>
          <w:color w:val="231F20"/>
          <w:spacing w:val="-5"/>
          <w:sz w:val="20"/>
        </w:rPr>
        <w:t xml:space="preserve"> </w:t>
      </w:r>
      <w:r>
        <w:rPr>
          <w:color w:val="231F20"/>
          <w:sz w:val="20"/>
        </w:rPr>
        <w:t>effective</w:t>
      </w:r>
      <w:r>
        <w:rPr>
          <w:color w:val="231F20"/>
          <w:spacing w:val="-5"/>
          <w:sz w:val="20"/>
        </w:rPr>
        <w:t xml:space="preserve"> </w:t>
      </w:r>
      <w:r>
        <w:rPr>
          <w:color w:val="231F20"/>
          <w:sz w:val="20"/>
        </w:rPr>
        <w:t>treatment</w:t>
      </w:r>
      <w:r>
        <w:rPr>
          <w:color w:val="231F20"/>
          <w:spacing w:val="-5"/>
          <w:sz w:val="20"/>
        </w:rPr>
        <w:t xml:space="preserve"> </w:t>
      </w:r>
      <w:r>
        <w:rPr>
          <w:color w:val="231F20"/>
          <w:sz w:val="20"/>
        </w:rPr>
        <w:t>and</w:t>
      </w:r>
      <w:r>
        <w:rPr>
          <w:color w:val="231F20"/>
          <w:spacing w:val="-5"/>
          <w:sz w:val="20"/>
        </w:rPr>
        <w:t xml:space="preserve"> </w:t>
      </w:r>
      <w:r>
        <w:rPr>
          <w:color w:val="231F20"/>
          <w:sz w:val="20"/>
        </w:rPr>
        <w:t>support</w:t>
      </w:r>
      <w:r>
        <w:rPr>
          <w:color w:val="231F20"/>
          <w:spacing w:val="-5"/>
          <w:sz w:val="20"/>
        </w:rPr>
        <w:t xml:space="preserve"> </w:t>
      </w:r>
      <w:r>
        <w:rPr>
          <w:color w:val="231F20"/>
          <w:sz w:val="20"/>
        </w:rPr>
        <w:t>programs</w:t>
      </w:r>
    </w:p>
    <w:p w14:paraId="2619BB92" w14:textId="77777777" w:rsidR="00894070" w:rsidRDefault="009B7AFD">
      <w:pPr>
        <w:pStyle w:val="BodyText"/>
        <w:spacing w:line="259" w:lineRule="exact"/>
        <w:ind w:left="1801"/>
      </w:pPr>
      <w:r>
        <w:rPr>
          <w:color w:val="231F20"/>
        </w:rPr>
        <w:t>to people who stalk.</w:t>
      </w:r>
    </w:p>
    <w:p w14:paraId="443DA66E" w14:textId="77777777" w:rsidR="00894070" w:rsidRDefault="009B7AFD">
      <w:pPr>
        <w:pStyle w:val="ListParagraph"/>
        <w:numPr>
          <w:ilvl w:val="0"/>
          <w:numId w:val="192"/>
        </w:numPr>
        <w:tabs>
          <w:tab w:val="left" w:pos="1801"/>
          <w:tab w:val="left" w:pos="1802"/>
        </w:tabs>
        <w:spacing w:before="115" w:line="206" w:lineRule="auto"/>
        <w:ind w:left="1801" w:right="1233"/>
        <w:jc w:val="both"/>
        <w:rPr>
          <w:sz w:val="20"/>
        </w:rPr>
      </w:pPr>
      <w:r>
        <w:rPr>
          <w:color w:val="231F20"/>
          <w:sz w:val="20"/>
        </w:rPr>
        <w:t xml:space="preserve">If in the future there are strong indicators that compelling people to </w:t>
      </w:r>
      <w:r>
        <w:rPr>
          <w:color w:val="231F20"/>
          <w:spacing w:val="-3"/>
          <w:sz w:val="20"/>
        </w:rPr>
        <w:t xml:space="preserve">have </w:t>
      </w:r>
      <w:r>
        <w:rPr>
          <w:color w:val="231F20"/>
          <w:sz w:val="20"/>
        </w:rPr>
        <w:t>treatment is an</w:t>
      </w:r>
      <w:r>
        <w:rPr>
          <w:color w:val="231F20"/>
          <w:spacing w:val="-8"/>
          <w:sz w:val="20"/>
        </w:rPr>
        <w:t xml:space="preserve"> </w:t>
      </w:r>
      <w:r>
        <w:rPr>
          <w:color w:val="231F20"/>
          <w:sz w:val="20"/>
        </w:rPr>
        <w:t>effective</w:t>
      </w:r>
      <w:r>
        <w:rPr>
          <w:color w:val="231F20"/>
          <w:spacing w:val="-7"/>
          <w:sz w:val="20"/>
        </w:rPr>
        <w:t xml:space="preserve"> </w:t>
      </w:r>
      <w:r>
        <w:rPr>
          <w:color w:val="231F20"/>
          <w:sz w:val="20"/>
        </w:rPr>
        <w:t>response</w:t>
      </w:r>
      <w:r>
        <w:rPr>
          <w:color w:val="231F20"/>
          <w:spacing w:val="-8"/>
          <w:sz w:val="20"/>
        </w:rPr>
        <w:t xml:space="preserve"> </w:t>
      </w:r>
      <w:r>
        <w:rPr>
          <w:color w:val="231F20"/>
          <w:sz w:val="20"/>
        </w:rPr>
        <w:t>to</w:t>
      </w:r>
      <w:r>
        <w:rPr>
          <w:color w:val="231F20"/>
          <w:spacing w:val="-7"/>
          <w:sz w:val="20"/>
        </w:rPr>
        <w:t xml:space="preserve"> </w:t>
      </w:r>
      <w:r>
        <w:rPr>
          <w:color w:val="231F20"/>
          <w:sz w:val="20"/>
        </w:rPr>
        <w:t>stalking</w:t>
      </w:r>
      <w:r>
        <w:rPr>
          <w:color w:val="231F20"/>
          <w:spacing w:val="-8"/>
          <w:sz w:val="20"/>
        </w:rPr>
        <w:t xml:space="preserve"> </w:t>
      </w:r>
      <w:r>
        <w:rPr>
          <w:color w:val="231F20"/>
          <w:sz w:val="20"/>
        </w:rPr>
        <w:t>in</w:t>
      </w:r>
      <w:r>
        <w:rPr>
          <w:color w:val="231F20"/>
          <w:spacing w:val="-7"/>
          <w:sz w:val="20"/>
        </w:rPr>
        <w:t xml:space="preserve"> </w:t>
      </w:r>
      <w:r>
        <w:rPr>
          <w:color w:val="231F20"/>
          <w:sz w:val="20"/>
        </w:rPr>
        <w:t>the</w:t>
      </w:r>
      <w:r>
        <w:rPr>
          <w:color w:val="231F20"/>
          <w:spacing w:val="-8"/>
          <w:sz w:val="20"/>
        </w:rPr>
        <w:t xml:space="preserve"> </w:t>
      </w:r>
      <w:r>
        <w:rPr>
          <w:color w:val="231F20"/>
          <w:sz w:val="20"/>
        </w:rPr>
        <w:t>PSIO</w:t>
      </w:r>
      <w:r>
        <w:rPr>
          <w:color w:val="231F20"/>
          <w:spacing w:val="-7"/>
          <w:sz w:val="20"/>
        </w:rPr>
        <w:t xml:space="preserve"> </w:t>
      </w:r>
      <w:r>
        <w:rPr>
          <w:color w:val="231F20"/>
          <w:sz w:val="20"/>
        </w:rPr>
        <w:t>system,</w:t>
      </w:r>
      <w:r>
        <w:rPr>
          <w:color w:val="231F20"/>
          <w:spacing w:val="-8"/>
          <w:sz w:val="20"/>
        </w:rPr>
        <w:t xml:space="preserve"> </w:t>
      </w:r>
      <w:r>
        <w:rPr>
          <w:color w:val="231F20"/>
          <w:sz w:val="20"/>
        </w:rPr>
        <w:t>the</w:t>
      </w:r>
      <w:r>
        <w:rPr>
          <w:color w:val="231F20"/>
          <w:spacing w:val="-7"/>
          <w:sz w:val="20"/>
        </w:rPr>
        <w:t xml:space="preserve"> </w:t>
      </w:r>
      <w:r>
        <w:rPr>
          <w:color w:val="231F20"/>
          <w:sz w:val="20"/>
        </w:rPr>
        <w:t>Victorian</w:t>
      </w:r>
      <w:r>
        <w:rPr>
          <w:color w:val="231F20"/>
          <w:spacing w:val="-8"/>
          <w:sz w:val="20"/>
        </w:rPr>
        <w:t xml:space="preserve"> </w:t>
      </w:r>
      <w:r>
        <w:rPr>
          <w:color w:val="231F20"/>
          <w:sz w:val="20"/>
        </w:rPr>
        <w:t>Government</w:t>
      </w:r>
      <w:r>
        <w:rPr>
          <w:color w:val="231F20"/>
          <w:spacing w:val="-7"/>
          <w:sz w:val="20"/>
        </w:rPr>
        <w:t xml:space="preserve"> </w:t>
      </w:r>
      <w:r>
        <w:rPr>
          <w:color w:val="231F20"/>
          <w:sz w:val="20"/>
        </w:rPr>
        <w:t>should consider introducing court-ordered</w:t>
      </w:r>
      <w:r>
        <w:rPr>
          <w:color w:val="231F20"/>
          <w:spacing w:val="-8"/>
          <w:sz w:val="20"/>
        </w:rPr>
        <w:t xml:space="preserve"> </w:t>
      </w:r>
      <w:r>
        <w:rPr>
          <w:color w:val="231F20"/>
          <w:sz w:val="20"/>
        </w:rPr>
        <w:t>treatment.</w:t>
      </w:r>
    </w:p>
    <w:p w14:paraId="0C26B45D" w14:textId="77777777" w:rsidR="00894070" w:rsidRDefault="009B7AFD">
      <w:pPr>
        <w:pStyle w:val="ListParagraph"/>
        <w:numPr>
          <w:ilvl w:val="0"/>
          <w:numId w:val="192"/>
        </w:numPr>
        <w:tabs>
          <w:tab w:val="left" w:pos="1801"/>
          <w:tab w:val="left" w:pos="1802"/>
        </w:tabs>
        <w:spacing w:before="124" w:line="206" w:lineRule="auto"/>
        <w:ind w:left="1801" w:right="1409"/>
        <w:rPr>
          <w:sz w:val="20"/>
        </w:rPr>
      </w:pPr>
      <w:r>
        <w:rPr>
          <w:color w:val="231F20"/>
          <w:sz w:val="20"/>
        </w:rPr>
        <w:t>In Australia, Victoria has the highest maximum penalty for the offence of stalking. Changes</w:t>
      </w:r>
      <w:r>
        <w:rPr>
          <w:color w:val="231F20"/>
          <w:spacing w:val="-5"/>
          <w:sz w:val="20"/>
        </w:rPr>
        <w:t xml:space="preserve"> </w:t>
      </w:r>
      <w:r>
        <w:rPr>
          <w:color w:val="231F20"/>
          <w:sz w:val="20"/>
        </w:rPr>
        <w:t>to</w:t>
      </w:r>
      <w:r>
        <w:rPr>
          <w:color w:val="231F20"/>
          <w:spacing w:val="-4"/>
          <w:sz w:val="20"/>
        </w:rPr>
        <w:t xml:space="preserve"> </w:t>
      </w:r>
      <w:r>
        <w:rPr>
          <w:color w:val="231F20"/>
          <w:sz w:val="20"/>
        </w:rPr>
        <w:t>sentencing</w:t>
      </w:r>
      <w:r>
        <w:rPr>
          <w:color w:val="231F20"/>
          <w:spacing w:val="-5"/>
          <w:sz w:val="20"/>
        </w:rPr>
        <w:t xml:space="preserve"> </w:t>
      </w:r>
      <w:r>
        <w:rPr>
          <w:color w:val="231F20"/>
          <w:sz w:val="20"/>
        </w:rPr>
        <w:t>legislation</w:t>
      </w:r>
      <w:r>
        <w:rPr>
          <w:color w:val="231F20"/>
          <w:spacing w:val="-4"/>
          <w:sz w:val="20"/>
        </w:rPr>
        <w:t xml:space="preserve"> </w:t>
      </w:r>
      <w:r>
        <w:rPr>
          <w:color w:val="231F20"/>
          <w:sz w:val="20"/>
        </w:rPr>
        <w:t>are</w:t>
      </w:r>
      <w:r>
        <w:rPr>
          <w:color w:val="231F20"/>
          <w:spacing w:val="-4"/>
          <w:sz w:val="20"/>
        </w:rPr>
        <w:t xml:space="preserve"> </w:t>
      </w:r>
      <w:r>
        <w:rPr>
          <w:color w:val="231F20"/>
          <w:sz w:val="20"/>
        </w:rPr>
        <w:t>not</w:t>
      </w:r>
      <w:r>
        <w:rPr>
          <w:color w:val="231F20"/>
          <w:spacing w:val="-5"/>
          <w:sz w:val="20"/>
        </w:rPr>
        <w:t xml:space="preserve"> </w:t>
      </w:r>
      <w:r>
        <w:rPr>
          <w:color w:val="231F20"/>
          <w:sz w:val="20"/>
        </w:rPr>
        <w:t>needed,</w:t>
      </w:r>
      <w:r>
        <w:rPr>
          <w:color w:val="231F20"/>
          <w:spacing w:val="-4"/>
          <w:sz w:val="20"/>
        </w:rPr>
        <w:t xml:space="preserve"> </w:t>
      </w:r>
      <w:r>
        <w:rPr>
          <w:color w:val="231F20"/>
          <w:sz w:val="20"/>
        </w:rPr>
        <w:t>but</w:t>
      </w:r>
      <w:r>
        <w:rPr>
          <w:color w:val="231F20"/>
          <w:spacing w:val="-5"/>
          <w:sz w:val="20"/>
        </w:rPr>
        <w:t xml:space="preserve"> </w:t>
      </w:r>
      <w:r>
        <w:rPr>
          <w:color w:val="231F20"/>
          <w:sz w:val="20"/>
        </w:rPr>
        <w:t>courts</w:t>
      </w:r>
      <w:r>
        <w:rPr>
          <w:color w:val="231F20"/>
          <w:spacing w:val="-4"/>
          <w:sz w:val="20"/>
        </w:rPr>
        <w:t xml:space="preserve"> </w:t>
      </w:r>
      <w:r>
        <w:rPr>
          <w:color w:val="231F20"/>
          <w:sz w:val="20"/>
        </w:rPr>
        <w:t>should</w:t>
      </w:r>
      <w:r>
        <w:rPr>
          <w:color w:val="231F20"/>
          <w:spacing w:val="-4"/>
          <w:sz w:val="20"/>
        </w:rPr>
        <w:t xml:space="preserve"> </w:t>
      </w:r>
      <w:r>
        <w:rPr>
          <w:color w:val="231F20"/>
          <w:spacing w:val="-3"/>
          <w:sz w:val="20"/>
        </w:rPr>
        <w:t>have</w:t>
      </w:r>
      <w:r>
        <w:rPr>
          <w:color w:val="231F20"/>
          <w:spacing w:val="-5"/>
          <w:sz w:val="20"/>
        </w:rPr>
        <w:t xml:space="preserve"> </w:t>
      </w:r>
      <w:r>
        <w:rPr>
          <w:color w:val="231F20"/>
          <w:sz w:val="20"/>
        </w:rPr>
        <w:t>guidance on sentencing people who</w:t>
      </w:r>
      <w:r>
        <w:rPr>
          <w:color w:val="231F20"/>
          <w:spacing w:val="-9"/>
          <w:sz w:val="20"/>
        </w:rPr>
        <w:t xml:space="preserve"> </w:t>
      </w:r>
      <w:r>
        <w:rPr>
          <w:color w:val="231F20"/>
          <w:sz w:val="20"/>
        </w:rPr>
        <w:t>stalk.</w:t>
      </w:r>
    </w:p>
    <w:p w14:paraId="43E20490" w14:textId="77777777" w:rsidR="00894070" w:rsidRDefault="00894070">
      <w:pPr>
        <w:pStyle w:val="BodyText"/>
        <w:spacing w:before="7"/>
        <w:rPr>
          <w:sz w:val="16"/>
        </w:rPr>
      </w:pPr>
    </w:p>
    <w:p w14:paraId="50D5EBAB" w14:textId="77777777" w:rsidR="00894070" w:rsidRDefault="009B7AFD">
      <w:pPr>
        <w:pStyle w:val="Heading7"/>
      </w:pPr>
      <w:r>
        <w:rPr>
          <w:color w:val="EA5B50"/>
        </w:rPr>
        <w:t>Future improvements</w:t>
      </w:r>
    </w:p>
    <w:p w14:paraId="39BED36B" w14:textId="77777777" w:rsidR="00894070" w:rsidRDefault="009B7AFD">
      <w:pPr>
        <w:pStyle w:val="ListParagraph"/>
        <w:numPr>
          <w:ilvl w:val="0"/>
          <w:numId w:val="192"/>
        </w:numPr>
        <w:tabs>
          <w:tab w:val="left" w:pos="1801"/>
          <w:tab w:val="left" w:pos="1802"/>
        </w:tabs>
        <w:spacing w:before="146" w:line="206" w:lineRule="auto"/>
        <w:ind w:left="1801" w:right="1622"/>
        <w:rPr>
          <w:sz w:val="20"/>
        </w:rPr>
      </w:pPr>
      <w:r>
        <w:rPr>
          <w:color w:val="231F20"/>
          <w:sz w:val="20"/>
        </w:rPr>
        <w:t>Relevant data and research about stalking is urgently needed. The Victorian Government</w:t>
      </w:r>
      <w:r>
        <w:rPr>
          <w:color w:val="231F20"/>
          <w:spacing w:val="-6"/>
          <w:sz w:val="20"/>
        </w:rPr>
        <w:t xml:space="preserve"> </w:t>
      </w:r>
      <w:r>
        <w:rPr>
          <w:color w:val="231F20"/>
          <w:sz w:val="20"/>
        </w:rPr>
        <w:t>should</w:t>
      </w:r>
      <w:r>
        <w:rPr>
          <w:color w:val="231F20"/>
          <w:spacing w:val="-6"/>
          <w:sz w:val="20"/>
        </w:rPr>
        <w:t xml:space="preserve"> </w:t>
      </w:r>
      <w:r>
        <w:rPr>
          <w:color w:val="231F20"/>
          <w:sz w:val="20"/>
        </w:rPr>
        <w:t>address</w:t>
      </w:r>
      <w:r>
        <w:rPr>
          <w:color w:val="231F20"/>
          <w:spacing w:val="-5"/>
          <w:sz w:val="20"/>
        </w:rPr>
        <w:t xml:space="preserve"> </w:t>
      </w:r>
      <w:r>
        <w:rPr>
          <w:color w:val="231F20"/>
          <w:sz w:val="20"/>
        </w:rPr>
        <w:t>gaps</w:t>
      </w:r>
      <w:r>
        <w:rPr>
          <w:color w:val="231F20"/>
          <w:spacing w:val="-6"/>
          <w:sz w:val="20"/>
        </w:rPr>
        <w:t xml:space="preserve"> </w:t>
      </w:r>
      <w:r>
        <w:rPr>
          <w:color w:val="231F20"/>
          <w:sz w:val="20"/>
        </w:rPr>
        <w:t>in</w:t>
      </w:r>
      <w:r>
        <w:rPr>
          <w:color w:val="231F20"/>
          <w:spacing w:val="-5"/>
          <w:sz w:val="20"/>
        </w:rPr>
        <w:t xml:space="preserve"> </w:t>
      </w:r>
      <w:r>
        <w:rPr>
          <w:color w:val="231F20"/>
          <w:sz w:val="20"/>
        </w:rPr>
        <w:t>data</w:t>
      </w:r>
      <w:r>
        <w:rPr>
          <w:color w:val="231F20"/>
          <w:spacing w:val="-6"/>
          <w:sz w:val="20"/>
        </w:rPr>
        <w:t xml:space="preserve"> </w:t>
      </w:r>
      <w:r>
        <w:rPr>
          <w:color w:val="231F20"/>
          <w:sz w:val="20"/>
        </w:rPr>
        <w:t>and</w:t>
      </w:r>
      <w:r>
        <w:rPr>
          <w:color w:val="231F20"/>
          <w:spacing w:val="-5"/>
          <w:sz w:val="20"/>
        </w:rPr>
        <w:t xml:space="preserve"> </w:t>
      </w:r>
      <w:r>
        <w:rPr>
          <w:color w:val="231F20"/>
          <w:sz w:val="20"/>
        </w:rPr>
        <w:t>research</w:t>
      </w:r>
      <w:r>
        <w:rPr>
          <w:color w:val="231F20"/>
          <w:spacing w:val="-6"/>
          <w:sz w:val="20"/>
        </w:rPr>
        <w:t xml:space="preserve"> </w:t>
      </w:r>
      <w:r>
        <w:rPr>
          <w:color w:val="231F20"/>
          <w:sz w:val="20"/>
        </w:rPr>
        <w:t>on</w:t>
      </w:r>
      <w:r>
        <w:rPr>
          <w:color w:val="231F20"/>
          <w:spacing w:val="-6"/>
          <w:sz w:val="20"/>
        </w:rPr>
        <w:t xml:space="preserve"> </w:t>
      </w:r>
      <w:r>
        <w:rPr>
          <w:color w:val="231F20"/>
          <w:sz w:val="20"/>
        </w:rPr>
        <w:t>stalking</w:t>
      </w:r>
      <w:r>
        <w:rPr>
          <w:color w:val="231F20"/>
          <w:spacing w:val="-5"/>
          <w:sz w:val="20"/>
        </w:rPr>
        <w:t xml:space="preserve"> </w:t>
      </w:r>
      <w:r>
        <w:rPr>
          <w:color w:val="231F20"/>
          <w:sz w:val="20"/>
        </w:rPr>
        <w:t>and</w:t>
      </w:r>
      <w:r>
        <w:rPr>
          <w:color w:val="231F20"/>
          <w:spacing w:val="-6"/>
          <w:sz w:val="20"/>
        </w:rPr>
        <w:t xml:space="preserve"> </w:t>
      </w:r>
      <w:r>
        <w:rPr>
          <w:color w:val="231F20"/>
          <w:sz w:val="20"/>
        </w:rPr>
        <w:t>the</w:t>
      </w:r>
      <w:r>
        <w:rPr>
          <w:color w:val="231F20"/>
          <w:spacing w:val="-5"/>
          <w:sz w:val="20"/>
        </w:rPr>
        <w:t xml:space="preserve"> </w:t>
      </w:r>
      <w:r>
        <w:rPr>
          <w:color w:val="231F20"/>
          <w:sz w:val="20"/>
        </w:rPr>
        <w:t>justice system’s response to</w:t>
      </w:r>
      <w:r>
        <w:rPr>
          <w:color w:val="231F20"/>
          <w:spacing w:val="-8"/>
          <w:sz w:val="20"/>
        </w:rPr>
        <w:t xml:space="preserve"> </w:t>
      </w:r>
      <w:r>
        <w:rPr>
          <w:color w:val="231F20"/>
          <w:sz w:val="20"/>
        </w:rPr>
        <w:t>it.</w:t>
      </w:r>
    </w:p>
    <w:p w14:paraId="68C1709B" w14:textId="77777777" w:rsidR="00894070" w:rsidRDefault="009B7AFD">
      <w:pPr>
        <w:pStyle w:val="ListParagraph"/>
        <w:numPr>
          <w:ilvl w:val="0"/>
          <w:numId w:val="192"/>
        </w:numPr>
        <w:tabs>
          <w:tab w:val="left" w:pos="1801"/>
          <w:tab w:val="left" w:pos="1802"/>
        </w:tabs>
        <w:spacing w:before="92"/>
        <w:ind w:left="1801"/>
        <w:rPr>
          <w:sz w:val="20"/>
        </w:rPr>
      </w:pPr>
      <w:r>
        <w:rPr>
          <w:color w:val="231F20"/>
          <w:sz w:val="20"/>
        </w:rPr>
        <w:t>As the knowledge base on stalking improves, so should the response to</w:t>
      </w:r>
      <w:r>
        <w:rPr>
          <w:color w:val="231F20"/>
          <w:spacing w:val="-34"/>
          <w:sz w:val="20"/>
        </w:rPr>
        <w:t xml:space="preserve"> </w:t>
      </w:r>
      <w:r>
        <w:rPr>
          <w:color w:val="231F20"/>
          <w:sz w:val="20"/>
        </w:rPr>
        <w:t>stalking.</w:t>
      </w:r>
    </w:p>
    <w:p w14:paraId="6009E81D" w14:textId="77777777" w:rsidR="00894070" w:rsidRDefault="00894070">
      <w:pPr>
        <w:pStyle w:val="BodyText"/>
      </w:pPr>
    </w:p>
    <w:p w14:paraId="771A7966" w14:textId="77777777" w:rsidR="00894070" w:rsidRDefault="00894070">
      <w:pPr>
        <w:pStyle w:val="BodyText"/>
      </w:pPr>
    </w:p>
    <w:p w14:paraId="4DB0283A" w14:textId="77777777" w:rsidR="00894070" w:rsidRDefault="00894070">
      <w:pPr>
        <w:pStyle w:val="BodyText"/>
      </w:pPr>
    </w:p>
    <w:p w14:paraId="7A0421BE" w14:textId="77777777" w:rsidR="00894070" w:rsidRDefault="00894070">
      <w:pPr>
        <w:pStyle w:val="BodyText"/>
      </w:pPr>
    </w:p>
    <w:p w14:paraId="0B8F6CB7" w14:textId="77777777" w:rsidR="00894070" w:rsidRDefault="00894070">
      <w:pPr>
        <w:pStyle w:val="BodyText"/>
      </w:pPr>
    </w:p>
    <w:p w14:paraId="184A512B" w14:textId="77777777" w:rsidR="00894070" w:rsidRDefault="00894070">
      <w:pPr>
        <w:pStyle w:val="BodyText"/>
      </w:pPr>
    </w:p>
    <w:p w14:paraId="7618AA4C" w14:textId="77777777" w:rsidR="00894070" w:rsidRDefault="00894070">
      <w:pPr>
        <w:pStyle w:val="BodyText"/>
      </w:pPr>
    </w:p>
    <w:p w14:paraId="2B4A10FC" w14:textId="77777777" w:rsidR="00894070" w:rsidRDefault="00894070">
      <w:pPr>
        <w:pStyle w:val="BodyText"/>
      </w:pPr>
    </w:p>
    <w:p w14:paraId="537A5243" w14:textId="77777777" w:rsidR="00894070" w:rsidRDefault="00894070">
      <w:pPr>
        <w:pStyle w:val="BodyText"/>
      </w:pPr>
    </w:p>
    <w:p w14:paraId="16B2AF75" w14:textId="77777777" w:rsidR="00894070" w:rsidRDefault="00894070">
      <w:pPr>
        <w:pStyle w:val="BodyText"/>
      </w:pPr>
    </w:p>
    <w:p w14:paraId="6001CA2F" w14:textId="77777777" w:rsidR="00894070" w:rsidRDefault="00894070">
      <w:pPr>
        <w:pStyle w:val="BodyText"/>
      </w:pPr>
    </w:p>
    <w:p w14:paraId="3FB64D22" w14:textId="77777777" w:rsidR="00894070" w:rsidRDefault="00894070">
      <w:pPr>
        <w:pStyle w:val="BodyText"/>
      </w:pPr>
    </w:p>
    <w:p w14:paraId="4FB9E5F2" w14:textId="77777777" w:rsidR="00894070" w:rsidRDefault="00894070">
      <w:pPr>
        <w:pStyle w:val="BodyText"/>
      </w:pPr>
    </w:p>
    <w:p w14:paraId="29B75187" w14:textId="77777777" w:rsidR="00894070" w:rsidRDefault="00894070">
      <w:pPr>
        <w:pStyle w:val="BodyText"/>
      </w:pPr>
    </w:p>
    <w:p w14:paraId="78BF6EFF" w14:textId="77777777" w:rsidR="00894070" w:rsidRDefault="00894070">
      <w:pPr>
        <w:pStyle w:val="BodyText"/>
      </w:pPr>
    </w:p>
    <w:p w14:paraId="63122D5D" w14:textId="77777777" w:rsidR="00894070" w:rsidRDefault="00894070">
      <w:pPr>
        <w:pStyle w:val="BodyText"/>
      </w:pPr>
    </w:p>
    <w:p w14:paraId="4B632506" w14:textId="77777777" w:rsidR="00894070" w:rsidRDefault="00894070">
      <w:pPr>
        <w:pStyle w:val="BodyText"/>
      </w:pPr>
    </w:p>
    <w:p w14:paraId="359021A9" w14:textId="77777777" w:rsidR="00894070" w:rsidRDefault="00894070">
      <w:pPr>
        <w:pStyle w:val="BodyText"/>
      </w:pPr>
    </w:p>
    <w:p w14:paraId="756818FF" w14:textId="77777777" w:rsidR="00894070" w:rsidRDefault="00894070">
      <w:pPr>
        <w:pStyle w:val="BodyText"/>
      </w:pPr>
    </w:p>
    <w:p w14:paraId="3593EF37" w14:textId="77777777" w:rsidR="00894070" w:rsidRDefault="00894070">
      <w:pPr>
        <w:pStyle w:val="BodyText"/>
      </w:pPr>
    </w:p>
    <w:p w14:paraId="074CDF22" w14:textId="77777777" w:rsidR="00894070" w:rsidRDefault="00894070">
      <w:pPr>
        <w:pStyle w:val="BodyText"/>
      </w:pPr>
    </w:p>
    <w:p w14:paraId="2B18E023" w14:textId="77777777" w:rsidR="00894070" w:rsidRDefault="00894070">
      <w:pPr>
        <w:pStyle w:val="BodyText"/>
      </w:pPr>
    </w:p>
    <w:p w14:paraId="745B6ECF" w14:textId="77777777" w:rsidR="00894070" w:rsidRDefault="00894070">
      <w:pPr>
        <w:pStyle w:val="BodyText"/>
      </w:pPr>
    </w:p>
    <w:p w14:paraId="72B70211" w14:textId="77777777" w:rsidR="00894070" w:rsidRDefault="00894070">
      <w:pPr>
        <w:pStyle w:val="BodyText"/>
      </w:pPr>
    </w:p>
    <w:p w14:paraId="71D74494" w14:textId="77777777" w:rsidR="00894070" w:rsidRDefault="00894070">
      <w:pPr>
        <w:pStyle w:val="BodyText"/>
      </w:pPr>
    </w:p>
    <w:p w14:paraId="6A6ECC16" w14:textId="77777777" w:rsidR="00894070" w:rsidRDefault="00894070">
      <w:pPr>
        <w:pStyle w:val="BodyText"/>
      </w:pPr>
    </w:p>
    <w:p w14:paraId="37985E9B" w14:textId="77777777" w:rsidR="00894070" w:rsidRDefault="00894070">
      <w:pPr>
        <w:pStyle w:val="BodyText"/>
      </w:pPr>
    </w:p>
    <w:p w14:paraId="6B722863" w14:textId="77777777" w:rsidR="00894070" w:rsidRDefault="00894070">
      <w:pPr>
        <w:pStyle w:val="BodyText"/>
      </w:pPr>
    </w:p>
    <w:p w14:paraId="15845421" w14:textId="77777777" w:rsidR="00894070" w:rsidRDefault="00894070">
      <w:pPr>
        <w:pStyle w:val="BodyText"/>
      </w:pPr>
    </w:p>
    <w:p w14:paraId="109C3AB3" w14:textId="77777777" w:rsidR="00894070" w:rsidRDefault="00894070">
      <w:pPr>
        <w:pStyle w:val="BodyText"/>
      </w:pPr>
    </w:p>
    <w:p w14:paraId="5484AE28" w14:textId="77777777" w:rsidR="00894070" w:rsidRDefault="00894070">
      <w:pPr>
        <w:pStyle w:val="BodyText"/>
      </w:pPr>
    </w:p>
    <w:p w14:paraId="011A192A" w14:textId="77777777" w:rsidR="00894070" w:rsidRDefault="00894070">
      <w:pPr>
        <w:pStyle w:val="BodyText"/>
      </w:pPr>
    </w:p>
    <w:p w14:paraId="6144118F" w14:textId="77777777" w:rsidR="00894070" w:rsidRDefault="00894070">
      <w:pPr>
        <w:pStyle w:val="BodyText"/>
      </w:pPr>
    </w:p>
    <w:p w14:paraId="0B6288B9" w14:textId="77777777" w:rsidR="00894070" w:rsidRDefault="00894070">
      <w:pPr>
        <w:pStyle w:val="BodyText"/>
      </w:pPr>
    </w:p>
    <w:p w14:paraId="5E23E41E" w14:textId="77777777" w:rsidR="00894070" w:rsidRDefault="00894070">
      <w:pPr>
        <w:pStyle w:val="BodyText"/>
      </w:pPr>
    </w:p>
    <w:p w14:paraId="21F3349B" w14:textId="77777777" w:rsidR="00894070" w:rsidRDefault="00894070">
      <w:pPr>
        <w:pStyle w:val="BodyText"/>
        <w:spacing w:before="3"/>
        <w:rPr>
          <w:sz w:val="18"/>
        </w:rPr>
      </w:pPr>
    </w:p>
    <w:p w14:paraId="0A35F2C2" w14:textId="77777777" w:rsidR="00894070" w:rsidRDefault="009B7AFD">
      <w:pPr>
        <w:pStyle w:val="Heading8"/>
        <w:spacing w:before="49"/>
        <w:ind w:right="234"/>
        <w:jc w:val="right"/>
      </w:pPr>
      <w:r>
        <w:rPr>
          <w:color w:val="EA5B50"/>
          <w:w w:val="95"/>
        </w:rPr>
        <w:t>xv</w:t>
      </w:r>
    </w:p>
    <w:p w14:paraId="52AEA4CA" w14:textId="77777777" w:rsidR="00894070" w:rsidRDefault="00894070">
      <w:pPr>
        <w:jc w:val="right"/>
        <w:sectPr w:rsidR="00894070">
          <w:pgSz w:w="11910" w:h="16840"/>
          <w:pgMar w:top="840" w:right="420" w:bottom="280" w:left="580" w:header="0" w:footer="0" w:gutter="0"/>
          <w:cols w:space="720"/>
        </w:sectPr>
      </w:pPr>
    </w:p>
    <w:p w14:paraId="10F4A896" w14:textId="77777777" w:rsidR="00894070" w:rsidRDefault="009F6793">
      <w:pPr>
        <w:pStyle w:val="BodyText"/>
        <w:rPr>
          <w:b/>
        </w:rPr>
      </w:pPr>
      <w:r>
        <w:lastRenderedPageBreak/>
        <w:pict w14:anchorId="14F6DE2F">
          <v:rect id="_x0000_s1727" style="position:absolute;margin-left:0;margin-top:99.2pt;width:14.15pt;height:85.75pt;z-index:251458560;mso-position-horizontal-relative:page;mso-position-vertical-relative:page" fillcolor="#ea5b50" stroked="f">
            <w10:wrap anchorx="page" anchory="page"/>
          </v:rect>
        </w:pict>
      </w:r>
    </w:p>
    <w:p w14:paraId="14F435BF" w14:textId="77777777" w:rsidR="00894070" w:rsidRDefault="00894070">
      <w:pPr>
        <w:pStyle w:val="BodyText"/>
        <w:rPr>
          <w:b/>
        </w:rPr>
      </w:pPr>
    </w:p>
    <w:p w14:paraId="77BE9D27" w14:textId="77777777" w:rsidR="00894070" w:rsidRDefault="00894070">
      <w:pPr>
        <w:pStyle w:val="BodyText"/>
        <w:rPr>
          <w:b/>
        </w:rPr>
      </w:pPr>
    </w:p>
    <w:p w14:paraId="669FC6EB" w14:textId="77777777" w:rsidR="00894070" w:rsidRDefault="009B7AFD">
      <w:pPr>
        <w:spacing w:before="152"/>
        <w:ind w:left="269"/>
        <w:rPr>
          <w:rFonts w:ascii="Raleway ExtraBold"/>
          <w:b/>
          <w:sz w:val="56"/>
        </w:rPr>
      </w:pPr>
      <w:bookmarkStart w:id="7" w:name="Glossary"/>
      <w:bookmarkStart w:id="8" w:name="_bookmark3"/>
      <w:bookmarkEnd w:id="7"/>
      <w:bookmarkEnd w:id="8"/>
      <w:r>
        <w:rPr>
          <w:rFonts w:ascii="Raleway ExtraBold"/>
          <w:b/>
          <w:color w:val="EA5B50"/>
          <w:sz w:val="56"/>
        </w:rPr>
        <w:t>Glossary</w:t>
      </w:r>
    </w:p>
    <w:p w14:paraId="1A9F18FD" w14:textId="77777777" w:rsidR="00894070" w:rsidRDefault="00894070">
      <w:pPr>
        <w:pStyle w:val="BodyText"/>
        <w:rPr>
          <w:rFonts w:ascii="Raleway ExtraBold"/>
          <w:b/>
        </w:rPr>
      </w:pPr>
    </w:p>
    <w:p w14:paraId="648E5FCD" w14:textId="77777777" w:rsidR="00894070" w:rsidRDefault="00894070">
      <w:pPr>
        <w:pStyle w:val="BodyText"/>
        <w:rPr>
          <w:rFonts w:ascii="Raleway ExtraBold"/>
          <w:b/>
        </w:rPr>
      </w:pPr>
    </w:p>
    <w:p w14:paraId="44FE16A9" w14:textId="77777777" w:rsidR="00894070" w:rsidRDefault="00894070">
      <w:pPr>
        <w:pStyle w:val="BodyText"/>
        <w:rPr>
          <w:rFonts w:ascii="Raleway ExtraBold"/>
          <w:b/>
        </w:rPr>
      </w:pPr>
    </w:p>
    <w:p w14:paraId="62B82D68" w14:textId="77777777" w:rsidR="00894070" w:rsidRDefault="00894070">
      <w:pPr>
        <w:pStyle w:val="BodyText"/>
        <w:rPr>
          <w:rFonts w:ascii="Raleway ExtraBold"/>
          <w:b/>
        </w:rPr>
      </w:pPr>
    </w:p>
    <w:p w14:paraId="4EB2CAB8" w14:textId="77777777" w:rsidR="00894070" w:rsidRDefault="00894070">
      <w:pPr>
        <w:pStyle w:val="BodyText"/>
        <w:rPr>
          <w:rFonts w:ascii="Raleway ExtraBold"/>
          <w:b/>
        </w:rPr>
      </w:pPr>
    </w:p>
    <w:p w14:paraId="3C17C9D0" w14:textId="77777777" w:rsidR="00894070" w:rsidRDefault="00894070">
      <w:pPr>
        <w:pStyle w:val="BodyText"/>
        <w:rPr>
          <w:rFonts w:ascii="Raleway ExtraBold"/>
          <w:b/>
        </w:rPr>
      </w:pPr>
    </w:p>
    <w:p w14:paraId="77A609A6" w14:textId="77777777" w:rsidR="00894070" w:rsidRDefault="00894070">
      <w:pPr>
        <w:pStyle w:val="BodyText"/>
        <w:rPr>
          <w:rFonts w:ascii="Raleway ExtraBold"/>
          <w:b/>
        </w:rPr>
      </w:pPr>
    </w:p>
    <w:p w14:paraId="37CD2462" w14:textId="77777777" w:rsidR="00894070" w:rsidRDefault="00894070">
      <w:pPr>
        <w:pStyle w:val="BodyText"/>
        <w:rPr>
          <w:rFonts w:ascii="Raleway ExtraBold"/>
          <w:b/>
        </w:rPr>
      </w:pPr>
    </w:p>
    <w:p w14:paraId="53F99FD6" w14:textId="77777777" w:rsidR="00894070" w:rsidRDefault="00894070">
      <w:pPr>
        <w:pStyle w:val="BodyText"/>
        <w:rPr>
          <w:rFonts w:ascii="Raleway ExtraBold"/>
          <w:b/>
        </w:rPr>
      </w:pPr>
    </w:p>
    <w:p w14:paraId="2A75C596" w14:textId="77777777" w:rsidR="00894070" w:rsidRDefault="00894070">
      <w:pPr>
        <w:pStyle w:val="BodyText"/>
        <w:rPr>
          <w:rFonts w:ascii="Raleway ExtraBold"/>
          <w:b/>
        </w:rPr>
      </w:pPr>
    </w:p>
    <w:p w14:paraId="0329D41A" w14:textId="77777777" w:rsidR="00894070" w:rsidRDefault="00894070">
      <w:pPr>
        <w:pStyle w:val="BodyText"/>
        <w:spacing w:before="6"/>
        <w:rPr>
          <w:rFonts w:ascii="Raleway ExtraBold"/>
          <w:b/>
          <w:sz w:val="13"/>
        </w:rPr>
      </w:pPr>
    </w:p>
    <w:tbl>
      <w:tblPr>
        <w:tblW w:w="0" w:type="auto"/>
        <w:tblInd w:w="1028"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773"/>
        <w:gridCol w:w="5948"/>
      </w:tblGrid>
      <w:tr w:rsidR="00894070" w14:paraId="6CDEB598" w14:textId="77777777">
        <w:trPr>
          <w:trHeight w:val="644"/>
        </w:trPr>
        <w:tc>
          <w:tcPr>
            <w:tcW w:w="2773" w:type="dxa"/>
          </w:tcPr>
          <w:p w14:paraId="76BA9D4B" w14:textId="77777777" w:rsidR="00894070" w:rsidRDefault="009B7AFD">
            <w:pPr>
              <w:pStyle w:val="TableParagraph"/>
              <w:spacing w:before="65"/>
              <w:rPr>
                <w:b/>
                <w:sz w:val="20"/>
              </w:rPr>
            </w:pPr>
            <w:r>
              <w:rPr>
                <w:b/>
                <w:color w:val="231F20"/>
                <w:sz w:val="20"/>
              </w:rPr>
              <w:t>Accused</w:t>
            </w:r>
          </w:p>
        </w:tc>
        <w:tc>
          <w:tcPr>
            <w:tcW w:w="5948" w:type="dxa"/>
          </w:tcPr>
          <w:p w14:paraId="70313AC2" w14:textId="77777777" w:rsidR="00894070" w:rsidRDefault="009B7AFD">
            <w:pPr>
              <w:pStyle w:val="TableParagraph"/>
              <w:spacing w:before="65" w:line="259" w:lineRule="exact"/>
              <w:rPr>
                <w:sz w:val="20"/>
              </w:rPr>
            </w:pPr>
            <w:r>
              <w:rPr>
                <w:color w:val="231F20"/>
                <w:sz w:val="20"/>
              </w:rPr>
              <w:t xml:space="preserve">A person </w:t>
            </w:r>
            <w:r>
              <w:rPr>
                <w:b/>
                <w:color w:val="231F20"/>
                <w:sz w:val="20"/>
              </w:rPr>
              <w:t xml:space="preserve">charged </w:t>
            </w:r>
            <w:r>
              <w:rPr>
                <w:color w:val="231F20"/>
                <w:sz w:val="20"/>
              </w:rPr>
              <w:t>with a criminal offence or offences. Also</w:t>
            </w:r>
          </w:p>
          <w:p w14:paraId="2BA826A1" w14:textId="77777777" w:rsidR="00894070" w:rsidRDefault="009B7AFD">
            <w:pPr>
              <w:pStyle w:val="TableParagraph"/>
              <w:spacing w:line="259" w:lineRule="exact"/>
              <w:rPr>
                <w:sz w:val="20"/>
              </w:rPr>
            </w:pPr>
            <w:r>
              <w:rPr>
                <w:color w:val="231F20"/>
                <w:sz w:val="20"/>
              </w:rPr>
              <w:t>known as the defendant.</w:t>
            </w:r>
          </w:p>
        </w:tc>
      </w:tr>
      <w:tr w:rsidR="00894070" w14:paraId="57BE728C" w14:textId="77777777">
        <w:trPr>
          <w:trHeight w:val="1124"/>
        </w:trPr>
        <w:tc>
          <w:tcPr>
            <w:tcW w:w="2773" w:type="dxa"/>
          </w:tcPr>
          <w:p w14:paraId="36E97085" w14:textId="77777777" w:rsidR="00894070" w:rsidRDefault="009B7AFD">
            <w:pPr>
              <w:pStyle w:val="TableParagraph"/>
              <w:spacing w:before="65"/>
              <w:rPr>
                <w:b/>
                <w:sz w:val="20"/>
              </w:rPr>
            </w:pPr>
            <w:r>
              <w:rPr>
                <w:b/>
                <w:color w:val="231F20"/>
                <w:sz w:val="20"/>
              </w:rPr>
              <w:t>Appeal</w:t>
            </w:r>
          </w:p>
        </w:tc>
        <w:tc>
          <w:tcPr>
            <w:tcW w:w="5948" w:type="dxa"/>
          </w:tcPr>
          <w:p w14:paraId="348E722A" w14:textId="77777777" w:rsidR="00894070" w:rsidRDefault="009B7AFD">
            <w:pPr>
              <w:pStyle w:val="TableParagraph"/>
              <w:spacing w:before="98" w:line="206" w:lineRule="auto"/>
              <w:ind w:right="6"/>
              <w:rPr>
                <w:sz w:val="20"/>
              </w:rPr>
            </w:pPr>
            <w:r>
              <w:rPr>
                <w:color w:val="231F20"/>
                <w:sz w:val="20"/>
              </w:rPr>
              <w:t xml:space="preserve">A </w:t>
            </w:r>
            <w:r>
              <w:rPr>
                <w:b/>
                <w:color w:val="231F20"/>
                <w:sz w:val="20"/>
              </w:rPr>
              <w:t xml:space="preserve">party </w:t>
            </w:r>
            <w:r>
              <w:rPr>
                <w:color w:val="231F20"/>
                <w:sz w:val="20"/>
              </w:rPr>
              <w:t xml:space="preserve">to a legal proceeding may be unhappy with the outcome, or with a particular ruling made by the </w:t>
            </w:r>
            <w:r>
              <w:rPr>
                <w:b/>
                <w:color w:val="231F20"/>
                <w:sz w:val="20"/>
              </w:rPr>
              <w:t xml:space="preserve">judicial officer </w:t>
            </w:r>
            <w:r>
              <w:rPr>
                <w:color w:val="231F20"/>
                <w:sz w:val="20"/>
              </w:rPr>
              <w:t xml:space="preserve">hearing the matter; usually, they can apply (appeal) to a </w:t>
            </w:r>
            <w:r>
              <w:rPr>
                <w:b/>
                <w:color w:val="231F20"/>
                <w:sz w:val="20"/>
              </w:rPr>
              <w:t xml:space="preserve">higher court </w:t>
            </w:r>
            <w:r>
              <w:rPr>
                <w:color w:val="231F20"/>
                <w:sz w:val="20"/>
              </w:rPr>
              <w:t>to have that outcome or ruling changed.</w:t>
            </w:r>
          </w:p>
        </w:tc>
      </w:tr>
      <w:tr w:rsidR="00894070" w14:paraId="21B931D6" w14:textId="77777777">
        <w:trPr>
          <w:trHeight w:val="644"/>
        </w:trPr>
        <w:tc>
          <w:tcPr>
            <w:tcW w:w="2773" w:type="dxa"/>
          </w:tcPr>
          <w:p w14:paraId="403D5507" w14:textId="77777777" w:rsidR="00894070" w:rsidRDefault="009B7AFD">
            <w:pPr>
              <w:pStyle w:val="TableParagraph"/>
              <w:spacing w:before="65"/>
              <w:rPr>
                <w:b/>
                <w:sz w:val="20"/>
              </w:rPr>
            </w:pPr>
            <w:r>
              <w:rPr>
                <w:b/>
                <w:color w:val="231F20"/>
                <w:sz w:val="20"/>
              </w:rPr>
              <w:t>Affected family member</w:t>
            </w:r>
          </w:p>
        </w:tc>
        <w:tc>
          <w:tcPr>
            <w:tcW w:w="5948" w:type="dxa"/>
          </w:tcPr>
          <w:p w14:paraId="0BF3C42A" w14:textId="77777777" w:rsidR="00894070" w:rsidRDefault="009B7AFD">
            <w:pPr>
              <w:pStyle w:val="TableParagraph"/>
              <w:spacing w:before="98" w:line="206" w:lineRule="auto"/>
              <w:rPr>
                <w:sz w:val="20"/>
              </w:rPr>
            </w:pPr>
            <w:r>
              <w:rPr>
                <w:color w:val="231F20"/>
                <w:sz w:val="20"/>
              </w:rPr>
              <w:t xml:space="preserve">A person in need of protection under a </w:t>
            </w:r>
            <w:r>
              <w:rPr>
                <w:b/>
                <w:color w:val="231F20"/>
                <w:sz w:val="20"/>
              </w:rPr>
              <w:t xml:space="preserve">family violence intervention order </w:t>
            </w:r>
            <w:r>
              <w:rPr>
                <w:color w:val="231F20"/>
                <w:sz w:val="20"/>
              </w:rPr>
              <w:t xml:space="preserve">or a </w:t>
            </w:r>
            <w:r>
              <w:rPr>
                <w:b/>
                <w:color w:val="231F20"/>
                <w:sz w:val="20"/>
              </w:rPr>
              <w:t>family violence safety notice</w:t>
            </w:r>
            <w:r>
              <w:rPr>
                <w:color w:val="231F20"/>
                <w:sz w:val="20"/>
              </w:rPr>
              <w:t>.</w:t>
            </w:r>
          </w:p>
        </w:tc>
      </w:tr>
      <w:tr w:rsidR="00894070" w14:paraId="27CE56D7" w14:textId="77777777">
        <w:trPr>
          <w:trHeight w:val="644"/>
        </w:trPr>
        <w:tc>
          <w:tcPr>
            <w:tcW w:w="2773" w:type="dxa"/>
          </w:tcPr>
          <w:p w14:paraId="58B9A985" w14:textId="77777777" w:rsidR="00894070" w:rsidRDefault="009B7AFD">
            <w:pPr>
              <w:pStyle w:val="TableParagraph"/>
              <w:spacing w:before="65"/>
              <w:rPr>
                <w:b/>
                <w:sz w:val="20"/>
              </w:rPr>
            </w:pPr>
            <w:r>
              <w:rPr>
                <w:b/>
                <w:color w:val="231F20"/>
                <w:sz w:val="20"/>
              </w:rPr>
              <w:t>Affected person</w:t>
            </w:r>
          </w:p>
        </w:tc>
        <w:tc>
          <w:tcPr>
            <w:tcW w:w="5948" w:type="dxa"/>
          </w:tcPr>
          <w:p w14:paraId="65A937CB" w14:textId="77777777" w:rsidR="00894070" w:rsidRDefault="009B7AFD">
            <w:pPr>
              <w:pStyle w:val="TableParagraph"/>
              <w:spacing w:before="98" w:line="206" w:lineRule="auto"/>
              <w:rPr>
                <w:sz w:val="20"/>
              </w:rPr>
            </w:pPr>
            <w:r>
              <w:rPr>
                <w:color w:val="231F20"/>
                <w:sz w:val="20"/>
              </w:rPr>
              <w:t xml:space="preserve">A person in need of protection under a </w:t>
            </w:r>
            <w:r>
              <w:rPr>
                <w:b/>
                <w:color w:val="231F20"/>
                <w:sz w:val="20"/>
              </w:rPr>
              <w:t>personal safety intervention order</w:t>
            </w:r>
            <w:r>
              <w:rPr>
                <w:color w:val="231F20"/>
                <w:sz w:val="20"/>
              </w:rPr>
              <w:t>.</w:t>
            </w:r>
          </w:p>
        </w:tc>
      </w:tr>
      <w:tr w:rsidR="00894070" w14:paraId="56D4BAC0" w14:textId="77777777">
        <w:trPr>
          <w:trHeight w:val="884"/>
        </w:trPr>
        <w:tc>
          <w:tcPr>
            <w:tcW w:w="2773" w:type="dxa"/>
          </w:tcPr>
          <w:p w14:paraId="31E645C1" w14:textId="77777777" w:rsidR="00894070" w:rsidRDefault="009B7AFD">
            <w:pPr>
              <w:pStyle w:val="TableParagraph"/>
              <w:spacing w:before="65"/>
              <w:rPr>
                <w:b/>
                <w:sz w:val="20"/>
              </w:rPr>
            </w:pPr>
            <w:r>
              <w:rPr>
                <w:b/>
                <w:color w:val="231F20"/>
                <w:sz w:val="20"/>
              </w:rPr>
              <w:t>Applicant</w:t>
            </w:r>
          </w:p>
        </w:tc>
        <w:tc>
          <w:tcPr>
            <w:tcW w:w="5948" w:type="dxa"/>
          </w:tcPr>
          <w:p w14:paraId="6A0EDA2C" w14:textId="77777777" w:rsidR="00894070" w:rsidRDefault="009B7AFD">
            <w:pPr>
              <w:pStyle w:val="TableParagraph"/>
              <w:spacing w:before="98" w:line="206" w:lineRule="auto"/>
              <w:ind w:right="121"/>
              <w:jc w:val="both"/>
              <w:rPr>
                <w:sz w:val="20"/>
              </w:rPr>
            </w:pPr>
            <w:r>
              <w:rPr>
                <w:color w:val="231F20"/>
                <w:sz w:val="20"/>
              </w:rPr>
              <w:t xml:space="preserve">A person applying for a legal </w:t>
            </w:r>
            <w:r>
              <w:rPr>
                <w:b/>
                <w:color w:val="231F20"/>
                <w:spacing w:val="-4"/>
                <w:sz w:val="20"/>
              </w:rPr>
              <w:t>order</w:t>
            </w:r>
            <w:r>
              <w:rPr>
                <w:color w:val="231F20"/>
                <w:spacing w:val="-4"/>
                <w:sz w:val="20"/>
              </w:rPr>
              <w:t xml:space="preserve">, </w:t>
            </w:r>
            <w:r>
              <w:rPr>
                <w:color w:val="231F20"/>
                <w:sz w:val="20"/>
              </w:rPr>
              <w:t xml:space="preserve">such as a </w:t>
            </w:r>
            <w:r>
              <w:rPr>
                <w:b/>
                <w:color w:val="231F20"/>
                <w:sz w:val="20"/>
              </w:rPr>
              <w:t>personal safety intervention</w:t>
            </w:r>
            <w:r>
              <w:rPr>
                <w:b/>
                <w:color w:val="231F20"/>
                <w:spacing w:val="-6"/>
                <w:sz w:val="20"/>
              </w:rPr>
              <w:t xml:space="preserve"> </w:t>
            </w:r>
            <w:r>
              <w:rPr>
                <w:b/>
                <w:color w:val="231F20"/>
                <w:spacing w:val="-3"/>
                <w:sz w:val="20"/>
              </w:rPr>
              <w:t>order</w:t>
            </w:r>
            <w:r>
              <w:rPr>
                <w:color w:val="231F20"/>
                <w:spacing w:val="-3"/>
                <w:sz w:val="20"/>
              </w:rPr>
              <w:t>,</w:t>
            </w:r>
            <w:r>
              <w:rPr>
                <w:color w:val="231F20"/>
                <w:spacing w:val="-5"/>
                <w:sz w:val="20"/>
              </w:rPr>
              <w:t xml:space="preserve"> </w:t>
            </w:r>
            <w:r>
              <w:rPr>
                <w:color w:val="231F20"/>
                <w:sz w:val="20"/>
              </w:rPr>
              <w:t>or</w:t>
            </w:r>
            <w:r>
              <w:rPr>
                <w:color w:val="231F20"/>
                <w:spacing w:val="-6"/>
                <w:sz w:val="20"/>
              </w:rPr>
              <w:t xml:space="preserve"> </w:t>
            </w:r>
            <w:r>
              <w:rPr>
                <w:color w:val="231F20"/>
                <w:sz w:val="20"/>
              </w:rPr>
              <w:t>for</w:t>
            </w:r>
            <w:r>
              <w:rPr>
                <w:color w:val="231F20"/>
                <w:spacing w:val="-5"/>
                <w:sz w:val="20"/>
              </w:rPr>
              <w:t xml:space="preserve"> </w:t>
            </w:r>
            <w:r>
              <w:rPr>
                <w:color w:val="231F20"/>
                <w:sz w:val="20"/>
              </w:rPr>
              <w:t>financial</w:t>
            </w:r>
            <w:r>
              <w:rPr>
                <w:color w:val="231F20"/>
                <w:spacing w:val="-6"/>
                <w:sz w:val="20"/>
              </w:rPr>
              <w:t xml:space="preserve"> </w:t>
            </w:r>
            <w:r>
              <w:rPr>
                <w:color w:val="231F20"/>
                <w:sz w:val="20"/>
              </w:rPr>
              <w:t>assistance</w:t>
            </w:r>
            <w:r>
              <w:rPr>
                <w:color w:val="231F20"/>
                <w:spacing w:val="-5"/>
                <w:sz w:val="20"/>
              </w:rPr>
              <w:t xml:space="preserve"> </w:t>
            </w:r>
            <w:r>
              <w:rPr>
                <w:color w:val="231F20"/>
                <w:sz w:val="20"/>
              </w:rPr>
              <w:t>at</w:t>
            </w:r>
            <w:r>
              <w:rPr>
                <w:color w:val="231F20"/>
                <w:spacing w:val="-6"/>
                <w:sz w:val="20"/>
              </w:rPr>
              <w:t xml:space="preserve"> </w:t>
            </w:r>
            <w:r>
              <w:rPr>
                <w:color w:val="231F20"/>
                <w:sz w:val="20"/>
              </w:rPr>
              <w:t>the</w:t>
            </w:r>
            <w:r>
              <w:rPr>
                <w:color w:val="231F20"/>
                <w:spacing w:val="-5"/>
                <w:sz w:val="20"/>
              </w:rPr>
              <w:t xml:space="preserve"> </w:t>
            </w:r>
            <w:r>
              <w:rPr>
                <w:b/>
                <w:color w:val="231F20"/>
                <w:sz w:val="20"/>
              </w:rPr>
              <w:t>Victims</w:t>
            </w:r>
            <w:r>
              <w:rPr>
                <w:b/>
                <w:color w:val="231F20"/>
                <w:spacing w:val="-7"/>
                <w:sz w:val="20"/>
              </w:rPr>
              <w:t xml:space="preserve"> </w:t>
            </w:r>
            <w:r>
              <w:rPr>
                <w:b/>
                <w:color w:val="231F20"/>
                <w:sz w:val="20"/>
              </w:rPr>
              <w:t xml:space="preserve">of Crime Assistance </w:t>
            </w:r>
            <w:r>
              <w:rPr>
                <w:b/>
                <w:color w:val="231F20"/>
                <w:spacing w:val="-3"/>
                <w:sz w:val="20"/>
              </w:rPr>
              <w:t>Tribunal</w:t>
            </w:r>
            <w:r>
              <w:rPr>
                <w:b/>
                <w:color w:val="231F20"/>
                <w:spacing w:val="-6"/>
                <w:sz w:val="20"/>
              </w:rPr>
              <w:t xml:space="preserve"> </w:t>
            </w:r>
            <w:r>
              <w:rPr>
                <w:b/>
                <w:color w:val="231F20"/>
                <w:spacing w:val="-4"/>
                <w:sz w:val="20"/>
              </w:rPr>
              <w:t>(VOCAT)</w:t>
            </w:r>
            <w:r>
              <w:rPr>
                <w:color w:val="231F20"/>
                <w:spacing w:val="-4"/>
                <w:sz w:val="20"/>
              </w:rPr>
              <w:t>.</w:t>
            </w:r>
          </w:p>
        </w:tc>
      </w:tr>
      <w:tr w:rsidR="00894070" w14:paraId="047224C6" w14:textId="77777777">
        <w:trPr>
          <w:trHeight w:val="884"/>
        </w:trPr>
        <w:tc>
          <w:tcPr>
            <w:tcW w:w="2773" w:type="dxa"/>
          </w:tcPr>
          <w:p w14:paraId="3A0D3FC0" w14:textId="77777777" w:rsidR="00894070" w:rsidRDefault="009B7AFD">
            <w:pPr>
              <w:pStyle w:val="TableParagraph"/>
              <w:spacing w:before="65"/>
              <w:rPr>
                <w:b/>
                <w:sz w:val="20"/>
              </w:rPr>
            </w:pPr>
            <w:r>
              <w:rPr>
                <w:b/>
                <w:color w:val="231F20"/>
                <w:sz w:val="20"/>
              </w:rPr>
              <w:t>Balance of probabilities</w:t>
            </w:r>
          </w:p>
        </w:tc>
        <w:tc>
          <w:tcPr>
            <w:tcW w:w="5948" w:type="dxa"/>
          </w:tcPr>
          <w:p w14:paraId="29538716" w14:textId="77777777" w:rsidR="00894070" w:rsidRDefault="009B7AFD">
            <w:pPr>
              <w:pStyle w:val="TableParagraph"/>
              <w:spacing w:before="98" w:line="206" w:lineRule="auto"/>
              <w:ind w:right="120"/>
              <w:rPr>
                <w:sz w:val="20"/>
              </w:rPr>
            </w:pPr>
            <w:r>
              <w:rPr>
                <w:color w:val="231F20"/>
                <w:sz w:val="20"/>
              </w:rPr>
              <w:t xml:space="preserve">The </w:t>
            </w:r>
            <w:r>
              <w:rPr>
                <w:b/>
                <w:color w:val="231F20"/>
                <w:sz w:val="20"/>
              </w:rPr>
              <w:t xml:space="preserve">standard of proof </w:t>
            </w:r>
            <w:r>
              <w:rPr>
                <w:color w:val="231F20"/>
                <w:sz w:val="20"/>
              </w:rPr>
              <w:t xml:space="preserve">in </w:t>
            </w:r>
            <w:r>
              <w:rPr>
                <w:b/>
                <w:color w:val="231F20"/>
                <w:sz w:val="20"/>
              </w:rPr>
              <w:t>civil proceedings</w:t>
            </w:r>
            <w:r>
              <w:rPr>
                <w:color w:val="231F20"/>
                <w:sz w:val="20"/>
              </w:rPr>
              <w:t>. Often described as ‘more likely than not’ or ‘more probable than not’. A lower standard than ‘</w:t>
            </w:r>
            <w:r>
              <w:rPr>
                <w:b/>
                <w:color w:val="231F20"/>
                <w:sz w:val="20"/>
              </w:rPr>
              <w:t>beyond reasonable doubt</w:t>
            </w:r>
            <w:r>
              <w:rPr>
                <w:color w:val="231F20"/>
                <w:sz w:val="20"/>
              </w:rPr>
              <w:t>’.</w:t>
            </w:r>
          </w:p>
        </w:tc>
      </w:tr>
      <w:tr w:rsidR="00894070" w14:paraId="4B1F271D" w14:textId="77777777">
        <w:trPr>
          <w:trHeight w:val="644"/>
        </w:trPr>
        <w:tc>
          <w:tcPr>
            <w:tcW w:w="2773" w:type="dxa"/>
          </w:tcPr>
          <w:p w14:paraId="29F961E0" w14:textId="77777777" w:rsidR="00894070" w:rsidRDefault="009B7AFD">
            <w:pPr>
              <w:pStyle w:val="TableParagraph"/>
              <w:spacing w:before="65"/>
              <w:rPr>
                <w:b/>
                <w:sz w:val="20"/>
              </w:rPr>
            </w:pPr>
            <w:r>
              <w:rPr>
                <w:b/>
                <w:color w:val="231F20"/>
                <w:sz w:val="20"/>
              </w:rPr>
              <w:t>Beyond reasonable doubt</w:t>
            </w:r>
          </w:p>
        </w:tc>
        <w:tc>
          <w:tcPr>
            <w:tcW w:w="5948" w:type="dxa"/>
          </w:tcPr>
          <w:p w14:paraId="5F2C8CB7" w14:textId="77777777" w:rsidR="00894070" w:rsidRDefault="009B7AFD">
            <w:pPr>
              <w:pStyle w:val="TableParagraph"/>
              <w:spacing w:before="98" w:line="206" w:lineRule="auto"/>
              <w:ind w:hanging="1"/>
              <w:rPr>
                <w:sz w:val="20"/>
              </w:rPr>
            </w:pPr>
            <w:r>
              <w:rPr>
                <w:color w:val="231F20"/>
                <w:sz w:val="20"/>
              </w:rPr>
              <w:t xml:space="preserve">The </w:t>
            </w:r>
            <w:r>
              <w:rPr>
                <w:b/>
                <w:color w:val="231F20"/>
                <w:sz w:val="20"/>
              </w:rPr>
              <w:t xml:space="preserve">standard of proof </w:t>
            </w:r>
            <w:r>
              <w:rPr>
                <w:color w:val="231F20"/>
                <w:sz w:val="20"/>
              </w:rPr>
              <w:t xml:space="preserve">in </w:t>
            </w:r>
            <w:r>
              <w:rPr>
                <w:b/>
                <w:color w:val="231F20"/>
                <w:sz w:val="20"/>
              </w:rPr>
              <w:t>criminal proceedings</w:t>
            </w:r>
            <w:r>
              <w:rPr>
                <w:color w:val="231F20"/>
                <w:sz w:val="20"/>
              </w:rPr>
              <w:t>. A higher standard than the ‘</w:t>
            </w:r>
            <w:r>
              <w:rPr>
                <w:b/>
                <w:color w:val="231F20"/>
                <w:sz w:val="20"/>
              </w:rPr>
              <w:t xml:space="preserve">balance of </w:t>
            </w:r>
            <w:proofErr w:type="gramStart"/>
            <w:r>
              <w:rPr>
                <w:b/>
                <w:color w:val="231F20"/>
                <w:sz w:val="20"/>
              </w:rPr>
              <w:t>probabilities</w:t>
            </w:r>
            <w:r>
              <w:rPr>
                <w:color w:val="231F20"/>
                <w:sz w:val="20"/>
              </w:rPr>
              <w:t>’</w:t>
            </w:r>
            <w:proofErr w:type="gramEnd"/>
            <w:r>
              <w:rPr>
                <w:color w:val="231F20"/>
                <w:sz w:val="20"/>
              </w:rPr>
              <w:t>.</w:t>
            </w:r>
          </w:p>
        </w:tc>
      </w:tr>
      <w:tr w:rsidR="00894070" w14:paraId="47042942" w14:textId="77777777">
        <w:trPr>
          <w:trHeight w:val="644"/>
        </w:trPr>
        <w:tc>
          <w:tcPr>
            <w:tcW w:w="2773" w:type="dxa"/>
          </w:tcPr>
          <w:p w14:paraId="052C6D30" w14:textId="77777777" w:rsidR="00894070" w:rsidRDefault="009B7AFD">
            <w:pPr>
              <w:pStyle w:val="TableParagraph"/>
              <w:spacing w:before="66"/>
              <w:rPr>
                <w:b/>
                <w:sz w:val="20"/>
              </w:rPr>
            </w:pPr>
            <w:r>
              <w:rPr>
                <w:b/>
                <w:color w:val="231F20"/>
                <w:sz w:val="20"/>
              </w:rPr>
              <w:t>Breach</w:t>
            </w:r>
          </w:p>
        </w:tc>
        <w:tc>
          <w:tcPr>
            <w:tcW w:w="5948" w:type="dxa"/>
          </w:tcPr>
          <w:p w14:paraId="14658243" w14:textId="77777777" w:rsidR="00894070" w:rsidRDefault="009B7AFD">
            <w:pPr>
              <w:pStyle w:val="TableParagraph"/>
              <w:spacing w:before="66" w:line="259" w:lineRule="exact"/>
              <w:rPr>
                <w:sz w:val="20"/>
              </w:rPr>
            </w:pPr>
            <w:r>
              <w:rPr>
                <w:color w:val="231F20"/>
                <w:sz w:val="20"/>
              </w:rPr>
              <w:t xml:space="preserve">A contravention of an </w:t>
            </w:r>
            <w:r>
              <w:rPr>
                <w:b/>
                <w:color w:val="231F20"/>
                <w:sz w:val="20"/>
              </w:rPr>
              <w:t xml:space="preserve">order </w:t>
            </w:r>
            <w:r>
              <w:rPr>
                <w:color w:val="231F20"/>
                <w:sz w:val="20"/>
              </w:rPr>
              <w:t>or a law—when a person does</w:t>
            </w:r>
          </w:p>
          <w:p w14:paraId="1543042F" w14:textId="77777777" w:rsidR="00894070" w:rsidRDefault="009B7AFD">
            <w:pPr>
              <w:pStyle w:val="TableParagraph"/>
              <w:spacing w:line="259" w:lineRule="exact"/>
              <w:rPr>
                <w:sz w:val="20"/>
              </w:rPr>
            </w:pPr>
            <w:r>
              <w:rPr>
                <w:color w:val="231F20"/>
                <w:sz w:val="20"/>
              </w:rPr>
              <w:t>something that the order or law says they must not do.</w:t>
            </w:r>
          </w:p>
        </w:tc>
      </w:tr>
      <w:tr w:rsidR="00894070" w14:paraId="654FFD0E" w14:textId="77777777">
        <w:trPr>
          <w:trHeight w:val="644"/>
        </w:trPr>
        <w:tc>
          <w:tcPr>
            <w:tcW w:w="2773" w:type="dxa"/>
          </w:tcPr>
          <w:p w14:paraId="05AFACEF" w14:textId="77777777" w:rsidR="00894070" w:rsidRDefault="009B7AFD">
            <w:pPr>
              <w:pStyle w:val="TableParagraph"/>
              <w:spacing w:before="66"/>
              <w:rPr>
                <w:b/>
                <w:sz w:val="20"/>
              </w:rPr>
            </w:pPr>
            <w:r>
              <w:rPr>
                <w:b/>
                <w:color w:val="231F20"/>
                <w:sz w:val="20"/>
              </w:rPr>
              <w:t>Brief of evidence</w:t>
            </w:r>
          </w:p>
        </w:tc>
        <w:tc>
          <w:tcPr>
            <w:tcW w:w="5948" w:type="dxa"/>
          </w:tcPr>
          <w:p w14:paraId="3F8A0C24" w14:textId="77777777" w:rsidR="00894070" w:rsidRDefault="009B7AFD">
            <w:pPr>
              <w:pStyle w:val="TableParagraph"/>
              <w:spacing w:before="66" w:line="259" w:lineRule="exact"/>
              <w:rPr>
                <w:sz w:val="20"/>
              </w:rPr>
            </w:pPr>
            <w:r>
              <w:rPr>
                <w:color w:val="231F20"/>
                <w:sz w:val="20"/>
              </w:rPr>
              <w:t xml:space="preserve">The material relied on by the </w:t>
            </w:r>
            <w:r>
              <w:rPr>
                <w:b/>
                <w:color w:val="231F20"/>
                <w:sz w:val="20"/>
              </w:rPr>
              <w:t xml:space="preserve">prosecution </w:t>
            </w:r>
            <w:r>
              <w:rPr>
                <w:color w:val="231F20"/>
                <w:sz w:val="20"/>
              </w:rPr>
              <w:t>to prove the</w:t>
            </w:r>
          </w:p>
          <w:p w14:paraId="2E008736" w14:textId="77777777" w:rsidR="00894070" w:rsidRDefault="009B7AFD">
            <w:pPr>
              <w:pStyle w:val="TableParagraph"/>
              <w:spacing w:line="259" w:lineRule="exact"/>
              <w:rPr>
                <w:sz w:val="20"/>
              </w:rPr>
            </w:pPr>
            <w:r>
              <w:rPr>
                <w:b/>
                <w:color w:val="231F20"/>
                <w:sz w:val="20"/>
              </w:rPr>
              <w:t xml:space="preserve">charges </w:t>
            </w:r>
            <w:r>
              <w:rPr>
                <w:color w:val="231F20"/>
                <w:sz w:val="20"/>
              </w:rPr>
              <w:t>in a criminal case.</w:t>
            </w:r>
          </w:p>
        </w:tc>
      </w:tr>
      <w:tr w:rsidR="00894070" w14:paraId="78CA1381" w14:textId="77777777">
        <w:trPr>
          <w:trHeight w:val="404"/>
        </w:trPr>
        <w:tc>
          <w:tcPr>
            <w:tcW w:w="2773" w:type="dxa"/>
          </w:tcPr>
          <w:p w14:paraId="48ABE524" w14:textId="77777777" w:rsidR="00894070" w:rsidRDefault="009B7AFD">
            <w:pPr>
              <w:pStyle w:val="TableParagraph"/>
              <w:spacing w:before="66"/>
              <w:rPr>
                <w:b/>
                <w:sz w:val="20"/>
              </w:rPr>
            </w:pPr>
            <w:r>
              <w:rPr>
                <w:b/>
                <w:color w:val="231F20"/>
                <w:sz w:val="20"/>
              </w:rPr>
              <w:t>Charge</w:t>
            </w:r>
          </w:p>
        </w:tc>
        <w:tc>
          <w:tcPr>
            <w:tcW w:w="5948" w:type="dxa"/>
          </w:tcPr>
          <w:p w14:paraId="058274DE" w14:textId="77777777" w:rsidR="00894070" w:rsidRDefault="009B7AFD">
            <w:pPr>
              <w:pStyle w:val="TableParagraph"/>
              <w:spacing w:before="66"/>
              <w:rPr>
                <w:sz w:val="20"/>
              </w:rPr>
            </w:pPr>
            <w:r>
              <w:rPr>
                <w:color w:val="231F20"/>
                <w:sz w:val="20"/>
              </w:rPr>
              <w:t xml:space="preserve">Details of a crime a person is </w:t>
            </w:r>
            <w:r>
              <w:rPr>
                <w:b/>
                <w:color w:val="231F20"/>
                <w:sz w:val="20"/>
              </w:rPr>
              <w:t xml:space="preserve">accused </w:t>
            </w:r>
            <w:r>
              <w:rPr>
                <w:color w:val="231F20"/>
                <w:sz w:val="20"/>
              </w:rPr>
              <w:t>of committing.</w:t>
            </w:r>
          </w:p>
        </w:tc>
      </w:tr>
      <w:tr w:rsidR="00894070" w14:paraId="4B33A0DA" w14:textId="77777777">
        <w:trPr>
          <w:trHeight w:val="404"/>
        </w:trPr>
        <w:tc>
          <w:tcPr>
            <w:tcW w:w="2773" w:type="dxa"/>
          </w:tcPr>
          <w:p w14:paraId="7B5B382B" w14:textId="77777777" w:rsidR="00894070" w:rsidRDefault="009B7AFD">
            <w:pPr>
              <w:pStyle w:val="TableParagraph"/>
              <w:spacing w:before="66"/>
              <w:rPr>
                <w:b/>
                <w:sz w:val="20"/>
              </w:rPr>
            </w:pPr>
            <w:r>
              <w:rPr>
                <w:b/>
                <w:color w:val="231F20"/>
                <w:sz w:val="20"/>
              </w:rPr>
              <w:t>Child</w:t>
            </w:r>
          </w:p>
        </w:tc>
        <w:tc>
          <w:tcPr>
            <w:tcW w:w="5948" w:type="dxa"/>
          </w:tcPr>
          <w:p w14:paraId="7586B0A5" w14:textId="77777777" w:rsidR="00894070" w:rsidRDefault="009B7AFD">
            <w:pPr>
              <w:pStyle w:val="TableParagraph"/>
              <w:spacing w:before="66"/>
              <w:rPr>
                <w:sz w:val="20"/>
              </w:rPr>
            </w:pPr>
            <w:r>
              <w:rPr>
                <w:color w:val="231F20"/>
                <w:sz w:val="20"/>
              </w:rPr>
              <w:t xml:space="preserve">A person under the age of 18 years. See </w:t>
            </w:r>
            <w:r>
              <w:rPr>
                <w:b/>
                <w:color w:val="231F20"/>
                <w:sz w:val="20"/>
              </w:rPr>
              <w:t>young person</w:t>
            </w:r>
            <w:r>
              <w:rPr>
                <w:color w:val="231F20"/>
                <w:sz w:val="20"/>
              </w:rPr>
              <w:t>.</w:t>
            </w:r>
          </w:p>
        </w:tc>
      </w:tr>
      <w:tr w:rsidR="00894070" w14:paraId="6B7B185A" w14:textId="77777777">
        <w:trPr>
          <w:trHeight w:val="644"/>
        </w:trPr>
        <w:tc>
          <w:tcPr>
            <w:tcW w:w="2773" w:type="dxa"/>
          </w:tcPr>
          <w:p w14:paraId="16AEAF3A" w14:textId="77777777" w:rsidR="00894070" w:rsidRDefault="009B7AFD">
            <w:pPr>
              <w:pStyle w:val="TableParagraph"/>
              <w:spacing w:before="98" w:line="206" w:lineRule="auto"/>
              <w:ind w:right="136"/>
              <w:rPr>
                <w:b/>
                <w:sz w:val="20"/>
              </w:rPr>
            </w:pPr>
            <w:r>
              <w:rPr>
                <w:b/>
                <w:color w:val="231F20"/>
                <w:sz w:val="20"/>
              </w:rPr>
              <w:t>Children’s Court of Victoria</w:t>
            </w:r>
          </w:p>
        </w:tc>
        <w:tc>
          <w:tcPr>
            <w:tcW w:w="5948" w:type="dxa"/>
          </w:tcPr>
          <w:p w14:paraId="46850A5A" w14:textId="77777777" w:rsidR="00894070" w:rsidRDefault="009B7AFD">
            <w:pPr>
              <w:pStyle w:val="TableParagraph"/>
              <w:spacing w:before="66" w:line="259" w:lineRule="exact"/>
              <w:rPr>
                <w:sz w:val="20"/>
              </w:rPr>
            </w:pPr>
            <w:r>
              <w:rPr>
                <w:color w:val="231F20"/>
                <w:sz w:val="20"/>
              </w:rPr>
              <w:t>A specialist court that hears and decides cases involving</w:t>
            </w:r>
          </w:p>
          <w:p w14:paraId="78EB0711" w14:textId="77777777" w:rsidR="00894070" w:rsidRDefault="009B7AFD">
            <w:pPr>
              <w:pStyle w:val="TableParagraph"/>
              <w:spacing w:line="259" w:lineRule="exact"/>
              <w:rPr>
                <w:sz w:val="20"/>
              </w:rPr>
            </w:pPr>
            <w:r>
              <w:rPr>
                <w:color w:val="231F20"/>
                <w:sz w:val="20"/>
              </w:rPr>
              <w:t>children and young people.</w:t>
            </w:r>
          </w:p>
        </w:tc>
      </w:tr>
      <w:tr w:rsidR="00894070" w14:paraId="15AE6B14" w14:textId="77777777">
        <w:trPr>
          <w:trHeight w:val="1602"/>
        </w:trPr>
        <w:tc>
          <w:tcPr>
            <w:tcW w:w="2773" w:type="dxa"/>
            <w:tcBorders>
              <w:bottom w:val="single" w:sz="6" w:space="0" w:color="EA5B50"/>
            </w:tcBorders>
          </w:tcPr>
          <w:p w14:paraId="6C62143A" w14:textId="77777777" w:rsidR="00894070" w:rsidRDefault="009B7AFD">
            <w:pPr>
              <w:pStyle w:val="TableParagraph"/>
              <w:spacing w:before="66"/>
              <w:rPr>
                <w:b/>
                <w:sz w:val="20"/>
              </w:rPr>
            </w:pPr>
            <w:r>
              <w:rPr>
                <w:b/>
                <w:color w:val="231F20"/>
                <w:sz w:val="20"/>
              </w:rPr>
              <w:t>Civil proceeding</w:t>
            </w:r>
          </w:p>
        </w:tc>
        <w:tc>
          <w:tcPr>
            <w:tcW w:w="5948" w:type="dxa"/>
            <w:tcBorders>
              <w:bottom w:val="single" w:sz="6" w:space="0" w:color="EA5B50"/>
            </w:tcBorders>
          </w:tcPr>
          <w:p w14:paraId="09AEE5B1" w14:textId="77777777" w:rsidR="00894070" w:rsidRDefault="009B7AFD">
            <w:pPr>
              <w:pStyle w:val="TableParagraph"/>
              <w:spacing w:before="98" w:line="206" w:lineRule="auto"/>
              <w:ind w:right="398"/>
              <w:rPr>
                <w:sz w:val="20"/>
              </w:rPr>
            </w:pPr>
            <w:r>
              <w:rPr>
                <w:color w:val="231F20"/>
                <w:sz w:val="20"/>
              </w:rPr>
              <w:t xml:space="preserve">A case under civil (non-criminal) </w:t>
            </w:r>
            <w:r>
              <w:rPr>
                <w:color w:val="231F20"/>
                <w:spacing w:val="-4"/>
                <w:sz w:val="20"/>
              </w:rPr>
              <w:t xml:space="preserve">law, </w:t>
            </w:r>
            <w:r>
              <w:rPr>
                <w:color w:val="231F20"/>
                <w:sz w:val="20"/>
              </w:rPr>
              <w:t xml:space="preserve">where one person or </w:t>
            </w:r>
            <w:proofErr w:type="spellStart"/>
            <w:r>
              <w:rPr>
                <w:color w:val="231F20"/>
                <w:sz w:val="20"/>
              </w:rPr>
              <w:t>organisation</w:t>
            </w:r>
            <w:proofErr w:type="spellEnd"/>
            <w:r>
              <w:rPr>
                <w:color w:val="231F20"/>
                <w:sz w:val="20"/>
              </w:rPr>
              <w:t xml:space="preserve"> sues another for </w:t>
            </w:r>
            <w:r>
              <w:rPr>
                <w:b/>
                <w:color w:val="231F20"/>
                <w:sz w:val="20"/>
              </w:rPr>
              <w:t xml:space="preserve">breaching </w:t>
            </w:r>
            <w:r>
              <w:rPr>
                <w:color w:val="231F20"/>
                <w:sz w:val="20"/>
              </w:rPr>
              <w:t>their legal rights or failing to do something they are legally obliged to do. Also</w:t>
            </w:r>
            <w:r>
              <w:rPr>
                <w:color w:val="231F20"/>
                <w:spacing w:val="-7"/>
                <w:sz w:val="20"/>
              </w:rPr>
              <w:t xml:space="preserve"> </w:t>
            </w:r>
            <w:r>
              <w:rPr>
                <w:color w:val="231F20"/>
                <w:sz w:val="20"/>
              </w:rPr>
              <w:t>includes</w:t>
            </w:r>
            <w:r>
              <w:rPr>
                <w:color w:val="231F20"/>
                <w:spacing w:val="-7"/>
                <w:sz w:val="20"/>
              </w:rPr>
              <w:t xml:space="preserve"> </w:t>
            </w:r>
            <w:r>
              <w:rPr>
                <w:color w:val="231F20"/>
                <w:sz w:val="20"/>
              </w:rPr>
              <w:t>applications</w:t>
            </w:r>
            <w:r>
              <w:rPr>
                <w:color w:val="231F20"/>
                <w:spacing w:val="-7"/>
                <w:sz w:val="20"/>
              </w:rPr>
              <w:t xml:space="preserve"> </w:t>
            </w:r>
            <w:r>
              <w:rPr>
                <w:color w:val="231F20"/>
                <w:sz w:val="20"/>
              </w:rPr>
              <w:t>for</w:t>
            </w:r>
            <w:r>
              <w:rPr>
                <w:color w:val="231F20"/>
                <w:spacing w:val="-7"/>
                <w:sz w:val="20"/>
              </w:rPr>
              <w:t xml:space="preserve"> </w:t>
            </w:r>
            <w:r>
              <w:rPr>
                <w:color w:val="231F20"/>
                <w:sz w:val="20"/>
              </w:rPr>
              <w:t>protective</w:t>
            </w:r>
            <w:r>
              <w:rPr>
                <w:color w:val="231F20"/>
                <w:spacing w:val="-7"/>
                <w:sz w:val="20"/>
              </w:rPr>
              <w:t xml:space="preserve"> </w:t>
            </w:r>
            <w:r>
              <w:rPr>
                <w:color w:val="231F20"/>
                <w:sz w:val="20"/>
              </w:rPr>
              <w:t>court</w:t>
            </w:r>
            <w:r>
              <w:rPr>
                <w:color w:val="231F20"/>
                <w:spacing w:val="-6"/>
                <w:sz w:val="20"/>
              </w:rPr>
              <w:t xml:space="preserve"> </w:t>
            </w:r>
            <w:r>
              <w:rPr>
                <w:b/>
                <w:color w:val="231F20"/>
                <w:sz w:val="20"/>
              </w:rPr>
              <w:t>orders</w:t>
            </w:r>
            <w:r>
              <w:rPr>
                <w:color w:val="231F20"/>
                <w:sz w:val="20"/>
              </w:rPr>
              <w:t>,</w:t>
            </w:r>
            <w:r>
              <w:rPr>
                <w:color w:val="231F20"/>
                <w:spacing w:val="-7"/>
                <w:sz w:val="20"/>
              </w:rPr>
              <w:t xml:space="preserve"> </w:t>
            </w:r>
            <w:r>
              <w:rPr>
                <w:color w:val="231F20"/>
                <w:sz w:val="20"/>
              </w:rPr>
              <w:t xml:space="preserve">such as </w:t>
            </w:r>
            <w:r>
              <w:rPr>
                <w:b/>
                <w:color w:val="231F20"/>
                <w:sz w:val="20"/>
              </w:rPr>
              <w:t xml:space="preserve">personal safety intervention orders </w:t>
            </w:r>
            <w:r>
              <w:rPr>
                <w:color w:val="231F20"/>
                <w:sz w:val="20"/>
              </w:rPr>
              <w:t xml:space="preserve">or </w:t>
            </w:r>
            <w:r>
              <w:rPr>
                <w:b/>
                <w:color w:val="231F20"/>
                <w:sz w:val="20"/>
              </w:rPr>
              <w:t>family violence intervention</w:t>
            </w:r>
            <w:r>
              <w:rPr>
                <w:b/>
                <w:color w:val="231F20"/>
                <w:spacing w:val="-3"/>
                <w:sz w:val="20"/>
              </w:rPr>
              <w:t xml:space="preserve"> </w:t>
            </w:r>
            <w:r>
              <w:rPr>
                <w:b/>
                <w:color w:val="231F20"/>
                <w:sz w:val="20"/>
              </w:rPr>
              <w:t>orders</w:t>
            </w:r>
            <w:r>
              <w:rPr>
                <w:color w:val="231F20"/>
                <w:sz w:val="20"/>
              </w:rPr>
              <w:t>.</w:t>
            </w:r>
          </w:p>
        </w:tc>
      </w:tr>
    </w:tbl>
    <w:p w14:paraId="5F4EA572" w14:textId="77777777" w:rsidR="00894070" w:rsidRDefault="00894070">
      <w:pPr>
        <w:pStyle w:val="BodyText"/>
        <w:spacing w:before="4"/>
        <w:rPr>
          <w:rFonts w:ascii="Raleway ExtraBold"/>
          <w:b/>
          <w:sz w:val="27"/>
        </w:rPr>
      </w:pPr>
    </w:p>
    <w:p w14:paraId="672DF5AE" w14:textId="77777777" w:rsidR="00894070" w:rsidRDefault="009B7AFD">
      <w:pPr>
        <w:spacing w:before="49"/>
        <w:ind w:left="140"/>
        <w:rPr>
          <w:b/>
          <w:sz w:val="24"/>
        </w:rPr>
      </w:pPr>
      <w:r>
        <w:rPr>
          <w:b/>
          <w:color w:val="EA5B50"/>
          <w:sz w:val="24"/>
        </w:rPr>
        <w:t>xvi</w:t>
      </w:r>
    </w:p>
    <w:p w14:paraId="69370A4C" w14:textId="77777777" w:rsidR="00894070" w:rsidRDefault="00894070">
      <w:pPr>
        <w:rPr>
          <w:sz w:val="24"/>
        </w:rPr>
        <w:sectPr w:rsidR="00894070">
          <w:pgSz w:w="11910" w:h="16840"/>
          <w:pgMar w:top="860" w:right="420" w:bottom="280" w:left="580" w:header="567" w:footer="0" w:gutter="0"/>
          <w:cols w:space="720"/>
        </w:sectPr>
      </w:pPr>
    </w:p>
    <w:p w14:paraId="7F92E9A3" w14:textId="77777777" w:rsidR="00894070" w:rsidRDefault="00894070">
      <w:pPr>
        <w:pStyle w:val="BodyText"/>
        <w:rPr>
          <w:b/>
        </w:rPr>
      </w:pPr>
    </w:p>
    <w:p w14:paraId="4219FEDC" w14:textId="77777777" w:rsidR="00894070" w:rsidRDefault="00894070">
      <w:pPr>
        <w:pStyle w:val="BodyText"/>
        <w:rPr>
          <w:b/>
        </w:rPr>
      </w:pPr>
    </w:p>
    <w:p w14:paraId="7A532672" w14:textId="77777777" w:rsidR="00894070" w:rsidRDefault="00894070">
      <w:pPr>
        <w:pStyle w:val="BodyText"/>
        <w:rPr>
          <w:b/>
        </w:rPr>
      </w:pPr>
    </w:p>
    <w:p w14:paraId="62F6CC29" w14:textId="77777777" w:rsidR="00894070" w:rsidRDefault="00894070">
      <w:pPr>
        <w:pStyle w:val="BodyText"/>
        <w:spacing w:before="4"/>
        <w:rPr>
          <w:b/>
          <w:sz w:val="22"/>
        </w:rPr>
      </w:pPr>
    </w:p>
    <w:tbl>
      <w:tblPr>
        <w:tblW w:w="0" w:type="auto"/>
        <w:tblInd w:w="10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773"/>
        <w:gridCol w:w="5948"/>
      </w:tblGrid>
      <w:tr w:rsidR="00894070" w14:paraId="7E4BE1FF" w14:textId="77777777">
        <w:trPr>
          <w:trHeight w:val="884"/>
        </w:trPr>
        <w:tc>
          <w:tcPr>
            <w:tcW w:w="2773" w:type="dxa"/>
          </w:tcPr>
          <w:p w14:paraId="31033EB3" w14:textId="77777777" w:rsidR="00894070" w:rsidRDefault="009B7AFD">
            <w:pPr>
              <w:pStyle w:val="TableParagraph"/>
              <w:spacing w:before="65"/>
              <w:rPr>
                <w:b/>
                <w:sz w:val="20"/>
              </w:rPr>
            </w:pPr>
            <w:r>
              <w:rPr>
                <w:b/>
                <w:color w:val="231F20"/>
                <w:sz w:val="20"/>
              </w:rPr>
              <w:t>Complainant</w:t>
            </w:r>
          </w:p>
        </w:tc>
        <w:tc>
          <w:tcPr>
            <w:tcW w:w="5948" w:type="dxa"/>
          </w:tcPr>
          <w:p w14:paraId="648931E4" w14:textId="77777777" w:rsidR="00894070" w:rsidRDefault="009B7AFD">
            <w:pPr>
              <w:pStyle w:val="TableParagraph"/>
              <w:spacing w:before="98" w:line="206" w:lineRule="auto"/>
              <w:ind w:right="120"/>
              <w:rPr>
                <w:sz w:val="20"/>
              </w:rPr>
            </w:pPr>
            <w:r>
              <w:rPr>
                <w:color w:val="231F20"/>
                <w:sz w:val="20"/>
              </w:rPr>
              <w:t xml:space="preserve">A technical term used to describe the </w:t>
            </w:r>
            <w:r>
              <w:rPr>
                <w:b/>
                <w:color w:val="231F20"/>
                <w:sz w:val="20"/>
              </w:rPr>
              <w:t xml:space="preserve">victim/victim survivor </w:t>
            </w:r>
            <w:r>
              <w:rPr>
                <w:color w:val="231F20"/>
                <w:sz w:val="20"/>
              </w:rPr>
              <w:t xml:space="preserve">in a criminal </w:t>
            </w:r>
            <w:r>
              <w:rPr>
                <w:b/>
                <w:color w:val="231F20"/>
                <w:sz w:val="20"/>
              </w:rPr>
              <w:t xml:space="preserve">prosecution </w:t>
            </w:r>
            <w:r>
              <w:rPr>
                <w:color w:val="231F20"/>
                <w:sz w:val="20"/>
              </w:rPr>
              <w:t xml:space="preserve">before it has been proved </w:t>
            </w:r>
            <w:proofErr w:type="gramStart"/>
            <w:r>
              <w:rPr>
                <w:color w:val="231F20"/>
                <w:sz w:val="20"/>
              </w:rPr>
              <w:t>whether or not</w:t>
            </w:r>
            <w:proofErr w:type="gramEnd"/>
            <w:r>
              <w:rPr>
                <w:color w:val="231F20"/>
                <w:sz w:val="20"/>
              </w:rPr>
              <w:t xml:space="preserve"> the </w:t>
            </w:r>
            <w:r>
              <w:rPr>
                <w:b/>
                <w:color w:val="231F20"/>
                <w:sz w:val="20"/>
              </w:rPr>
              <w:t xml:space="preserve">accused </w:t>
            </w:r>
            <w:r>
              <w:rPr>
                <w:color w:val="231F20"/>
                <w:sz w:val="20"/>
              </w:rPr>
              <w:t>committed the crime.</w:t>
            </w:r>
          </w:p>
        </w:tc>
      </w:tr>
      <w:tr w:rsidR="00894070" w14:paraId="0BD59DEC" w14:textId="77777777">
        <w:trPr>
          <w:trHeight w:val="1604"/>
        </w:trPr>
        <w:tc>
          <w:tcPr>
            <w:tcW w:w="2773" w:type="dxa"/>
          </w:tcPr>
          <w:p w14:paraId="402A029A" w14:textId="77777777" w:rsidR="00894070" w:rsidRDefault="009B7AFD">
            <w:pPr>
              <w:pStyle w:val="TableParagraph"/>
              <w:spacing w:before="65"/>
              <w:rPr>
                <w:b/>
                <w:sz w:val="20"/>
              </w:rPr>
            </w:pPr>
            <w:r>
              <w:rPr>
                <w:b/>
                <w:color w:val="231F20"/>
                <w:sz w:val="20"/>
              </w:rPr>
              <w:t>County Court of Victoria</w:t>
            </w:r>
          </w:p>
        </w:tc>
        <w:tc>
          <w:tcPr>
            <w:tcW w:w="5948" w:type="dxa"/>
          </w:tcPr>
          <w:p w14:paraId="26B2974D" w14:textId="77777777" w:rsidR="00894070" w:rsidRDefault="009B7AFD">
            <w:pPr>
              <w:pStyle w:val="TableParagraph"/>
              <w:spacing w:before="98" w:line="206" w:lineRule="auto"/>
              <w:ind w:right="348"/>
              <w:rPr>
                <w:sz w:val="20"/>
              </w:rPr>
            </w:pPr>
            <w:r>
              <w:rPr>
                <w:color w:val="231F20"/>
                <w:sz w:val="20"/>
              </w:rPr>
              <w:t xml:space="preserve">The County Court sits above the </w:t>
            </w:r>
            <w:r>
              <w:rPr>
                <w:b/>
                <w:color w:val="231F20"/>
                <w:sz w:val="20"/>
              </w:rPr>
              <w:t xml:space="preserve">Magistrates’ Court </w:t>
            </w:r>
            <w:r>
              <w:rPr>
                <w:color w:val="231F20"/>
                <w:sz w:val="20"/>
              </w:rPr>
              <w:t xml:space="preserve">and below the </w:t>
            </w:r>
            <w:r>
              <w:rPr>
                <w:b/>
                <w:color w:val="231F20"/>
                <w:sz w:val="20"/>
              </w:rPr>
              <w:t xml:space="preserve">Supreme Court </w:t>
            </w:r>
            <w:r>
              <w:rPr>
                <w:color w:val="231F20"/>
                <w:sz w:val="20"/>
              </w:rPr>
              <w:t xml:space="preserve">in the Victorian court hierarchy. In its criminal jurisdiction it hears </w:t>
            </w:r>
            <w:r>
              <w:rPr>
                <w:b/>
                <w:color w:val="231F20"/>
                <w:sz w:val="20"/>
              </w:rPr>
              <w:t xml:space="preserve">indictable </w:t>
            </w:r>
            <w:r>
              <w:rPr>
                <w:color w:val="231F20"/>
                <w:sz w:val="20"/>
              </w:rPr>
              <w:t>criminal cases, except the most serious offences, which are heard in the</w:t>
            </w:r>
          </w:p>
          <w:p w14:paraId="2C633825" w14:textId="77777777" w:rsidR="00894070" w:rsidRDefault="009B7AFD">
            <w:pPr>
              <w:pStyle w:val="TableParagraph"/>
              <w:spacing w:line="232" w:lineRule="exact"/>
              <w:rPr>
                <w:sz w:val="20"/>
              </w:rPr>
            </w:pPr>
            <w:r>
              <w:rPr>
                <w:color w:val="231F20"/>
                <w:sz w:val="20"/>
              </w:rPr>
              <w:t>Supreme Court. Criminal trials in the County Court are usually</w:t>
            </w:r>
          </w:p>
          <w:p w14:paraId="756DAEBE" w14:textId="77777777" w:rsidR="00894070" w:rsidRDefault="009B7AFD">
            <w:pPr>
              <w:pStyle w:val="TableParagraph"/>
              <w:spacing w:line="259" w:lineRule="exact"/>
              <w:rPr>
                <w:sz w:val="20"/>
              </w:rPr>
            </w:pPr>
            <w:r>
              <w:rPr>
                <w:color w:val="231F20"/>
                <w:sz w:val="20"/>
              </w:rPr>
              <w:t>heard by a judge and jury.</w:t>
            </w:r>
          </w:p>
        </w:tc>
      </w:tr>
      <w:tr w:rsidR="00894070" w14:paraId="2D3098E5" w14:textId="77777777">
        <w:trPr>
          <w:trHeight w:val="1844"/>
        </w:trPr>
        <w:tc>
          <w:tcPr>
            <w:tcW w:w="2773" w:type="dxa"/>
          </w:tcPr>
          <w:p w14:paraId="1D18139E" w14:textId="77777777" w:rsidR="00894070" w:rsidRDefault="009B7AFD">
            <w:pPr>
              <w:pStyle w:val="TableParagraph"/>
              <w:spacing w:before="65"/>
              <w:rPr>
                <w:b/>
                <w:sz w:val="20"/>
              </w:rPr>
            </w:pPr>
            <w:r>
              <w:rPr>
                <w:b/>
                <w:color w:val="231F20"/>
                <w:sz w:val="20"/>
              </w:rPr>
              <w:t>Court list</w:t>
            </w:r>
          </w:p>
        </w:tc>
        <w:tc>
          <w:tcPr>
            <w:tcW w:w="5948" w:type="dxa"/>
          </w:tcPr>
          <w:p w14:paraId="3FB566AC" w14:textId="77777777" w:rsidR="00894070" w:rsidRDefault="009B7AFD">
            <w:pPr>
              <w:pStyle w:val="TableParagraph"/>
              <w:spacing w:before="98" w:line="206" w:lineRule="auto"/>
              <w:ind w:right="261"/>
              <w:rPr>
                <w:sz w:val="20"/>
              </w:rPr>
            </w:pPr>
            <w:r>
              <w:rPr>
                <w:color w:val="231F20"/>
                <w:sz w:val="20"/>
              </w:rPr>
              <w:t xml:space="preserve">A schedule of the cases listed for hearing in a court on a particular </w:t>
            </w:r>
            <w:r>
              <w:rPr>
                <w:color w:val="231F20"/>
                <w:spacing w:val="-5"/>
                <w:sz w:val="20"/>
              </w:rPr>
              <w:t xml:space="preserve">day. </w:t>
            </w:r>
            <w:r>
              <w:rPr>
                <w:color w:val="231F20"/>
                <w:sz w:val="20"/>
              </w:rPr>
              <w:t xml:space="preserve">Also </w:t>
            </w:r>
            <w:r>
              <w:rPr>
                <w:color w:val="231F20"/>
                <w:spacing w:val="-3"/>
                <w:sz w:val="20"/>
              </w:rPr>
              <w:t xml:space="preserve">refers </w:t>
            </w:r>
            <w:r>
              <w:rPr>
                <w:color w:val="231F20"/>
                <w:sz w:val="20"/>
              </w:rPr>
              <w:t xml:space="preserve">to the specialist management of some cases </w:t>
            </w:r>
            <w:r>
              <w:rPr>
                <w:color w:val="231F20"/>
                <w:spacing w:val="-3"/>
                <w:sz w:val="20"/>
              </w:rPr>
              <w:t xml:space="preserve">(for </w:t>
            </w:r>
            <w:r>
              <w:rPr>
                <w:color w:val="231F20"/>
                <w:sz w:val="20"/>
              </w:rPr>
              <w:t xml:space="preserve">example, cases </w:t>
            </w:r>
            <w:r>
              <w:rPr>
                <w:color w:val="231F20"/>
                <w:spacing w:val="-3"/>
                <w:sz w:val="20"/>
              </w:rPr>
              <w:t xml:space="preserve">involving </w:t>
            </w:r>
            <w:r>
              <w:rPr>
                <w:color w:val="231F20"/>
                <w:sz w:val="20"/>
              </w:rPr>
              <w:t xml:space="preserve">sexual offences) </w:t>
            </w:r>
            <w:r>
              <w:rPr>
                <w:color w:val="231F20"/>
                <w:spacing w:val="-3"/>
                <w:sz w:val="20"/>
              </w:rPr>
              <w:t xml:space="preserve">by </w:t>
            </w:r>
            <w:r>
              <w:rPr>
                <w:color w:val="231F20"/>
                <w:sz w:val="20"/>
              </w:rPr>
              <w:t xml:space="preserve">a dedicated group of </w:t>
            </w:r>
            <w:r>
              <w:rPr>
                <w:b/>
                <w:color w:val="231F20"/>
                <w:sz w:val="20"/>
              </w:rPr>
              <w:t xml:space="preserve">judicial officers </w:t>
            </w:r>
            <w:r>
              <w:rPr>
                <w:color w:val="231F20"/>
                <w:sz w:val="20"/>
              </w:rPr>
              <w:t xml:space="preserve">who actively engage with the </w:t>
            </w:r>
            <w:r>
              <w:rPr>
                <w:b/>
                <w:color w:val="231F20"/>
                <w:sz w:val="20"/>
              </w:rPr>
              <w:t xml:space="preserve">parties </w:t>
            </w:r>
            <w:r>
              <w:rPr>
                <w:color w:val="231F20"/>
                <w:sz w:val="20"/>
              </w:rPr>
              <w:t xml:space="preserve">or their </w:t>
            </w:r>
            <w:r>
              <w:rPr>
                <w:b/>
                <w:color w:val="231F20"/>
                <w:sz w:val="20"/>
              </w:rPr>
              <w:t xml:space="preserve">legal representatives </w:t>
            </w:r>
            <w:r>
              <w:rPr>
                <w:color w:val="231F20"/>
                <w:spacing w:val="-3"/>
                <w:sz w:val="20"/>
              </w:rPr>
              <w:t xml:space="preserve">to </w:t>
            </w:r>
            <w:r>
              <w:rPr>
                <w:color w:val="231F20"/>
                <w:sz w:val="20"/>
              </w:rPr>
              <w:t xml:space="preserve">reduce </w:t>
            </w:r>
            <w:r>
              <w:rPr>
                <w:color w:val="231F20"/>
                <w:spacing w:val="-3"/>
                <w:sz w:val="20"/>
              </w:rPr>
              <w:t xml:space="preserve">delay, </w:t>
            </w:r>
            <w:r>
              <w:rPr>
                <w:color w:val="231F20"/>
                <w:sz w:val="20"/>
              </w:rPr>
              <w:t>see if cases can be resolved, or ensure proper preparation for and conduct of trials.</w:t>
            </w:r>
          </w:p>
        </w:tc>
      </w:tr>
      <w:tr w:rsidR="00894070" w14:paraId="2378E13B" w14:textId="77777777">
        <w:trPr>
          <w:trHeight w:val="884"/>
        </w:trPr>
        <w:tc>
          <w:tcPr>
            <w:tcW w:w="2773" w:type="dxa"/>
          </w:tcPr>
          <w:p w14:paraId="3C665CD0" w14:textId="77777777" w:rsidR="00894070" w:rsidRDefault="009B7AFD">
            <w:pPr>
              <w:pStyle w:val="TableParagraph"/>
              <w:spacing w:before="65"/>
              <w:rPr>
                <w:b/>
                <w:sz w:val="20"/>
              </w:rPr>
            </w:pPr>
            <w:r>
              <w:rPr>
                <w:b/>
                <w:color w:val="231F20"/>
                <w:sz w:val="20"/>
              </w:rPr>
              <w:t>Criminal proceeding</w:t>
            </w:r>
          </w:p>
        </w:tc>
        <w:tc>
          <w:tcPr>
            <w:tcW w:w="5948" w:type="dxa"/>
          </w:tcPr>
          <w:p w14:paraId="3E036650" w14:textId="77777777" w:rsidR="00894070" w:rsidRDefault="009B7AFD">
            <w:pPr>
              <w:pStyle w:val="TableParagraph"/>
              <w:spacing w:before="98" w:line="206" w:lineRule="auto"/>
              <w:ind w:right="643"/>
              <w:rPr>
                <w:sz w:val="20"/>
              </w:rPr>
            </w:pPr>
            <w:r>
              <w:rPr>
                <w:color w:val="231F20"/>
                <w:sz w:val="20"/>
              </w:rPr>
              <w:t>A case against a person accused of a criminal offence, or a part of the case, including preliminary hearings and procedures.</w:t>
            </w:r>
          </w:p>
        </w:tc>
      </w:tr>
      <w:tr w:rsidR="00894070" w14:paraId="5727D22D" w14:textId="77777777">
        <w:trPr>
          <w:trHeight w:val="1124"/>
        </w:trPr>
        <w:tc>
          <w:tcPr>
            <w:tcW w:w="2773" w:type="dxa"/>
          </w:tcPr>
          <w:p w14:paraId="6F6569ED" w14:textId="77777777" w:rsidR="00894070" w:rsidRDefault="009B7AFD">
            <w:pPr>
              <w:pStyle w:val="TableParagraph"/>
              <w:spacing w:before="65"/>
              <w:rPr>
                <w:b/>
                <w:sz w:val="20"/>
              </w:rPr>
            </w:pPr>
            <w:r>
              <w:rPr>
                <w:b/>
                <w:color w:val="231F20"/>
                <w:sz w:val="20"/>
              </w:rPr>
              <w:t>Cross-examination</w:t>
            </w:r>
          </w:p>
        </w:tc>
        <w:tc>
          <w:tcPr>
            <w:tcW w:w="5948" w:type="dxa"/>
          </w:tcPr>
          <w:p w14:paraId="209D8C9B" w14:textId="77777777" w:rsidR="00894070" w:rsidRDefault="009B7AFD">
            <w:pPr>
              <w:pStyle w:val="TableParagraph"/>
              <w:spacing w:before="98" w:line="206" w:lineRule="auto"/>
              <w:ind w:right="120"/>
              <w:rPr>
                <w:sz w:val="20"/>
              </w:rPr>
            </w:pPr>
            <w:r>
              <w:rPr>
                <w:color w:val="231F20"/>
                <w:sz w:val="20"/>
              </w:rPr>
              <w:t xml:space="preserve">When a </w:t>
            </w:r>
            <w:r>
              <w:rPr>
                <w:b/>
                <w:color w:val="231F20"/>
                <w:sz w:val="20"/>
              </w:rPr>
              <w:t xml:space="preserve">witness </w:t>
            </w:r>
            <w:r>
              <w:rPr>
                <w:color w:val="231F20"/>
                <w:sz w:val="20"/>
              </w:rPr>
              <w:t xml:space="preserve">for one party (for example, the </w:t>
            </w:r>
            <w:r>
              <w:rPr>
                <w:b/>
                <w:color w:val="231F20"/>
                <w:sz w:val="20"/>
              </w:rPr>
              <w:t>prosecution</w:t>
            </w:r>
            <w:r>
              <w:rPr>
                <w:color w:val="231F20"/>
                <w:sz w:val="20"/>
              </w:rPr>
              <w:t xml:space="preserve">) is asked questions in court by the lawyer for the other party (for example, the </w:t>
            </w:r>
            <w:r>
              <w:rPr>
                <w:b/>
                <w:color w:val="231F20"/>
                <w:sz w:val="20"/>
              </w:rPr>
              <w:t>accused</w:t>
            </w:r>
            <w:r>
              <w:rPr>
                <w:color w:val="231F20"/>
                <w:sz w:val="20"/>
              </w:rPr>
              <w:t>) to test the evidence the witness has already given.</w:t>
            </w:r>
          </w:p>
        </w:tc>
      </w:tr>
      <w:tr w:rsidR="00894070" w14:paraId="4DA74B3C" w14:textId="77777777">
        <w:trPr>
          <w:trHeight w:val="404"/>
        </w:trPr>
        <w:tc>
          <w:tcPr>
            <w:tcW w:w="2773" w:type="dxa"/>
          </w:tcPr>
          <w:p w14:paraId="2DB6E735" w14:textId="77777777" w:rsidR="00894070" w:rsidRDefault="009B7AFD">
            <w:pPr>
              <w:pStyle w:val="TableParagraph"/>
              <w:spacing w:before="65"/>
              <w:rPr>
                <w:b/>
                <w:sz w:val="20"/>
              </w:rPr>
            </w:pPr>
            <w:r>
              <w:rPr>
                <w:b/>
                <w:color w:val="231F20"/>
                <w:sz w:val="20"/>
              </w:rPr>
              <w:t>Cyberstalking</w:t>
            </w:r>
          </w:p>
        </w:tc>
        <w:tc>
          <w:tcPr>
            <w:tcW w:w="5948" w:type="dxa"/>
          </w:tcPr>
          <w:p w14:paraId="5CD0B471" w14:textId="77777777" w:rsidR="00894070" w:rsidRDefault="009B7AFD">
            <w:pPr>
              <w:pStyle w:val="TableParagraph"/>
              <w:spacing w:before="65"/>
              <w:rPr>
                <w:sz w:val="20"/>
              </w:rPr>
            </w:pPr>
            <w:r>
              <w:rPr>
                <w:b/>
                <w:color w:val="231F20"/>
                <w:sz w:val="20"/>
              </w:rPr>
              <w:t xml:space="preserve">Stalking </w:t>
            </w:r>
            <w:r>
              <w:rPr>
                <w:color w:val="231F20"/>
                <w:sz w:val="20"/>
              </w:rPr>
              <w:t>using information and communication technology.</w:t>
            </w:r>
          </w:p>
        </w:tc>
      </w:tr>
      <w:tr w:rsidR="00894070" w14:paraId="5D2A1E2C" w14:textId="77777777">
        <w:trPr>
          <w:trHeight w:val="644"/>
        </w:trPr>
        <w:tc>
          <w:tcPr>
            <w:tcW w:w="2773" w:type="dxa"/>
          </w:tcPr>
          <w:p w14:paraId="25FE2420" w14:textId="77777777" w:rsidR="00894070" w:rsidRDefault="009B7AFD">
            <w:pPr>
              <w:pStyle w:val="TableParagraph"/>
              <w:spacing w:before="65"/>
              <w:rPr>
                <w:b/>
                <w:sz w:val="20"/>
              </w:rPr>
            </w:pPr>
            <w:proofErr w:type="spellStart"/>
            <w:r>
              <w:rPr>
                <w:b/>
                <w:color w:val="231F20"/>
                <w:sz w:val="20"/>
              </w:rPr>
              <w:t>Defence</w:t>
            </w:r>
            <w:proofErr w:type="spellEnd"/>
          </w:p>
        </w:tc>
        <w:tc>
          <w:tcPr>
            <w:tcW w:w="5948" w:type="dxa"/>
          </w:tcPr>
          <w:p w14:paraId="21BCA59C" w14:textId="77777777" w:rsidR="00894070" w:rsidRDefault="009B7AFD">
            <w:pPr>
              <w:pStyle w:val="TableParagraph"/>
              <w:spacing w:before="98" w:line="206" w:lineRule="auto"/>
              <w:rPr>
                <w:sz w:val="20"/>
              </w:rPr>
            </w:pPr>
            <w:r>
              <w:rPr>
                <w:color w:val="231F20"/>
                <w:sz w:val="20"/>
              </w:rPr>
              <w:t xml:space="preserve">A term used to describe the </w:t>
            </w:r>
            <w:r>
              <w:rPr>
                <w:b/>
                <w:color w:val="231F20"/>
                <w:sz w:val="20"/>
              </w:rPr>
              <w:t xml:space="preserve">accused </w:t>
            </w:r>
            <w:r>
              <w:rPr>
                <w:color w:val="231F20"/>
                <w:sz w:val="20"/>
              </w:rPr>
              <w:t xml:space="preserve">person’s legal team and how they defend the </w:t>
            </w:r>
            <w:r>
              <w:rPr>
                <w:b/>
                <w:color w:val="231F20"/>
                <w:sz w:val="20"/>
              </w:rPr>
              <w:t>charges</w:t>
            </w:r>
            <w:r>
              <w:rPr>
                <w:color w:val="231F20"/>
                <w:sz w:val="20"/>
              </w:rPr>
              <w:t>.</w:t>
            </w:r>
          </w:p>
        </w:tc>
      </w:tr>
      <w:tr w:rsidR="00894070" w14:paraId="4FE7A911" w14:textId="77777777">
        <w:trPr>
          <w:trHeight w:val="1604"/>
        </w:trPr>
        <w:tc>
          <w:tcPr>
            <w:tcW w:w="2773" w:type="dxa"/>
          </w:tcPr>
          <w:p w14:paraId="33D46948" w14:textId="77777777" w:rsidR="00894070" w:rsidRDefault="009B7AFD">
            <w:pPr>
              <w:pStyle w:val="TableParagraph"/>
              <w:spacing w:before="98" w:line="206" w:lineRule="auto"/>
              <w:rPr>
                <w:b/>
                <w:sz w:val="20"/>
              </w:rPr>
            </w:pPr>
            <w:r>
              <w:rPr>
                <w:b/>
                <w:color w:val="231F20"/>
                <w:sz w:val="20"/>
              </w:rPr>
              <w:t>Director of Public Prosecutions (DPP)</w:t>
            </w:r>
          </w:p>
        </w:tc>
        <w:tc>
          <w:tcPr>
            <w:tcW w:w="5948" w:type="dxa"/>
          </w:tcPr>
          <w:p w14:paraId="76D7CD30" w14:textId="77777777" w:rsidR="00894070" w:rsidRDefault="009B7AFD">
            <w:pPr>
              <w:pStyle w:val="TableParagraph"/>
              <w:spacing w:before="98" w:line="206" w:lineRule="auto"/>
              <w:ind w:right="120"/>
              <w:rPr>
                <w:sz w:val="20"/>
              </w:rPr>
            </w:pPr>
            <w:r>
              <w:rPr>
                <w:color w:val="231F20"/>
                <w:sz w:val="20"/>
              </w:rPr>
              <w:t xml:space="preserve">The official who makes decisions about whether to prosecute serious criminal matters, and who is independent of government. The Victorian DPP is responsible for prosecuting criminal offences under Victorian law. The </w:t>
            </w:r>
            <w:r>
              <w:rPr>
                <w:b/>
                <w:color w:val="231F20"/>
                <w:sz w:val="20"/>
              </w:rPr>
              <w:t xml:space="preserve">Office of Public Prosecutions </w:t>
            </w:r>
            <w:r>
              <w:rPr>
                <w:color w:val="231F20"/>
                <w:sz w:val="20"/>
              </w:rPr>
              <w:t xml:space="preserve">conducts these </w:t>
            </w:r>
            <w:r>
              <w:rPr>
                <w:b/>
                <w:color w:val="231F20"/>
                <w:sz w:val="20"/>
              </w:rPr>
              <w:t xml:space="preserve">prosecutions </w:t>
            </w:r>
            <w:r>
              <w:rPr>
                <w:color w:val="231F20"/>
                <w:sz w:val="20"/>
              </w:rPr>
              <w:t>on behalf of the DPP.</w:t>
            </w:r>
          </w:p>
        </w:tc>
      </w:tr>
      <w:tr w:rsidR="00894070" w14:paraId="4F79F053" w14:textId="77777777">
        <w:trPr>
          <w:trHeight w:val="644"/>
        </w:trPr>
        <w:tc>
          <w:tcPr>
            <w:tcW w:w="2773" w:type="dxa"/>
          </w:tcPr>
          <w:p w14:paraId="054DCA1F" w14:textId="77777777" w:rsidR="00894070" w:rsidRDefault="009B7AFD">
            <w:pPr>
              <w:pStyle w:val="TableParagraph"/>
              <w:spacing w:before="66"/>
              <w:rPr>
                <w:b/>
                <w:sz w:val="20"/>
              </w:rPr>
            </w:pPr>
            <w:r>
              <w:rPr>
                <w:b/>
                <w:color w:val="231F20"/>
                <w:sz w:val="20"/>
              </w:rPr>
              <w:t>Evidence-in-chief</w:t>
            </w:r>
          </w:p>
        </w:tc>
        <w:tc>
          <w:tcPr>
            <w:tcW w:w="5948" w:type="dxa"/>
          </w:tcPr>
          <w:p w14:paraId="144FABAE" w14:textId="77777777" w:rsidR="00894070" w:rsidRDefault="009B7AFD">
            <w:pPr>
              <w:pStyle w:val="TableParagraph"/>
              <w:spacing w:before="98" w:line="206" w:lineRule="auto"/>
              <w:rPr>
                <w:sz w:val="20"/>
              </w:rPr>
            </w:pPr>
            <w:r>
              <w:rPr>
                <w:color w:val="231F20"/>
                <w:sz w:val="20"/>
              </w:rPr>
              <w:t xml:space="preserve">The evidence given by a </w:t>
            </w:r>
            <w:r>
              <w:rPr>
                <w:b/>
                <w:color w:val="231F20"/>
                <w:sz w:val="20"/>
              </w:rPr>
              <w:t xml:space="preserve">witness </w:t>
            </w:r>
            <w:r>
              <w:rPr>
                <w:color w:val="231F20"/>
                <w:sz w:val="20"/>
              </w:rPr>
              <w:t>for the party who called the witness.</w:t>
            </w:r>
          </w:p>
        </w:tc>
      </w:tr>
      <w:tr w:rsidR="00894070" w14:paraId="497A19C8" w14:textId="77777777">
        <w:trPr>
          <w:trHeight w:val="2444"/>
        </w:trPr>
        <w:tc>
          <w:tcPr>
            <w:tcW w:w="2773" w:type="dxa"/>
          </w:tcPr>
          <w:p w14:paraId="14059040" w14:textId="77777777" w:rsidR="00894070" w:rsidRDefault="009B7AFD">
            <w:pPr>
              <w:pStyle w:val="TableParagraph"/>
              <w:spacing w:before="66"/>
              <w:rPr>
                <w:b/>
                <w:sz w:val="20"/>
              </w:rPr>
            </w:pPr>
            <w:r>
              <w:rPr>
                <w:b/>
                <w:color w:val="231F20"/>
                <w:sz w:val="20"/>
              </w:rPr>
              <w:t>Family member</w:t>
            </w:r>
          </w:p>
        </w:tc>
        <w:tc>
          <w:tcPr>
            <w:tcW w:w="5948" w:type="dxa"/>
          </w:tcPr>
          <w:p w14:paraId="347B9089" w14:textId="77777777" w:rsidR="00894070" w:rsidRDefault="009B7AFD">
            <w:pPr>
              <w:pStyle w:val="TableParagraph"/>
              <w:spacing w:before="98" w:line="206" w:lineRule="auto"/>
              <w:ind w:right="288"/>
              <w:rPr>
                <w:sz w:val="20"/>
              </w:rPr>
            </w:pPr>
            <w:r>
              <w:rPr>
                <w:color w:val="231F20"/>
                <w:sz w:val="20"/>
              </w:rPr>
              <w:t xml:space="preserve">Defined in the </w:t>
            </w:r>
            <w:r>
              <w:rPr>
                <w:i/>
                <w:color w:val="231F20"/>
                <w:sz w:val="20"/>
              </w:rPr>
              <w:t xml:space="preserve">Family Violence Protection Act 2008 </w:t>
            </w:r>
            <w:r>
              <w:rPr>
                <w:color w:val="231F20"/>
                <w:sz w:val="20"/>
              </w:rPr>
              <w:t>(Vic) to include current or former partners, people who are or have been in intimate relationships (and their children), current or former relatives, and children who normally or regularly live (or previously lived) with the relevant person.</w:t>
            </w:r>
          </w:p>
          <w:p w14:paraId="0364B4D6" w14:textId="77777777" w:rsidR="00894070" w:rsidRDefault="009B7AFD">
            <w:pPr>
              <w:pStyle w:val="TableParagraph"/>
              <w:spacing w:before="126" w:line="206" w:lineRule="auto"/>
              <w:ind w:right="348"/>
              <w:rPr>
                <w:sz w:val="20"/>
              </w:rPr>
            </w:pPr>
            <w:r>
              <w:rPr>
                <w:color w:val="231F20"/>
                <w:sz w:val="20"/>
              </w:rPr>
              <w:t xml:space="preserve">May also include people who are or were thought of as being family members, given the overall circumstances of the relationship (for example, a </w:t>
            </w:r>
            <w:proofErr w:type="spellStart"/>
            <w:r>
              <w:rPr>
                <w:color w:val="231F20"/>
                <w:sz w:val="20"/>
              </w:rPr>
              <w:t>carer</w:t>
            </w:r>
            <w:proofErr w:type="spellEnd"/>
            <w:r>
              <w:rPr>
                <w:color w:val="231F20"/>
                <w:sz w:val="20"/>
              </w:rPr>
              <w:t xml:space="preserve"> or someone culturally </w:t>
            </w:r>
            <w:proofErr w:type="spellStart"/>
            <w:r>
              <w:rPr>
                <w:color w:val="231F20"/>
                <w:sz w:val="20"/>
              </w:rPr>
              <w:t>recognised</w:t>
            </w:r>
            <w:proofErr w:type="spellEnd"/>
            <w:r>
              <w:rPr>
                <w:color w:val="231F20"/>
                <w:sz w:val="20"/>
              </w:rPr>
              <w:t xml:space="preserve"> as a relative).</w:t>
            </w:r>
          </w:p>
        </w:tc>
      </w:tr>
      <w:tr w:rsidR="00894070" w14:paraId="27834000" w14:textId="77777777">
        <w:trPr>
          <w:trHeight w:val="1604"/>
        </w:trPr>
        <w:tc>
          <w:tcPr>
            <w:tcW w:w="2773" w:type="dxa"/>
          </w:tcPr>
          <w:p w14:paraId="6C3BF5A8" w14:textId="77777777" w:rsidR="00894070" w:rsidRDefault="009B7AFD">
            <w:pPr>
              <w:pStyle w:val="TableParagraph"/>
              <w:spacing w:before="66"/>
              <w:rPr>
                <w:b/>
                <w:sz w:val="20"/>
              </w:rPr>
            </w:pPr>
            <w:r>
              <w:rPr>
                <w:b/>
                <w:color w:val="231F20"/>
                <w:sz w:val="20"/>
              </w:rPr>
              <w:t>Family violence</w:t>
            </w:r>
          </w:p>
        </w:tc>
        <w:tc>
          <w:tcPr>
            <w:tcW w:w="5948" w:type="dxa"/>
          </w:tcPr>
          <w:p w14:paraId="534C0C5D" w14:textId="77777777" w:rsidR="00894070" w:rsidRDefault="009B7AFD">
            <w:pPr>
              <w:pStyle w:val="TableParagraph"/>
              <w:spacing w:before="98" w:line="206" w:lineRule="auto"/>
              <w:ind w:right="464"/>
              <w:rPr>
                <w:sz w:val="20"/>
              </w:rPr>
            </w:pPr>
            <w:r>
              <w:rPr>
                <w:color w:val="231F20"/>
                <w:sz w:val="20"/>
              </w:rPr>
              <w:t xml:space="preserve">Defined in the </w:t>
            </w:r>
            <w:r>
              <w:rPr>
                <w:i/>
                <w:color w:val="231F20"/>
                <w:sz w:val="20"/>
              </w:rPr>
              <w:t xml:space="preserve">Family Violence Protection Act 2008 </w:t>
            </w:r>
            <w:r>
              <w:rPr>
                <w:color w:val="231F20"/>
                <w:sz w:val="20"/>
              </w:rPr>
              <w:t xml:space="preserve">(Vic) to include a wide range of abusive, threatening and coercive </w:t>
            </w:r>
            <w:proofErr w:type="spellStart"/>
            <w:r>
              <w:rPr>
                <w:color w:val="231F20"/>
                <w:sz w:val="20"/>
              </w:rPr>
              <w:t>behaviours</w:t>
            </w:r>
            <w:proofErr w:type="spellEnd"/>
            <w:r>
              <w:rPr>
                <w:color w:val="231F20"/>
                <w:sz w:val="20"/>
              </w:rPr>
              <w:t xml:space="preserve"> by someone to a </w:t>
            </w:r>
            <w:r>
              <w:rPr>
                <w:b/>
                <w:color w:val="231F20"/>
                <w:sz w:val="20"/>
              </w:rPr>
              <w:t xml:space="preserve">family </w:t>
            </w:r>
            <w:proofErr w:type="gramStart"/>
            <w:r>
              <w:rPr>
                <w:b/>
                <w:color w:val="231F20"/>
                <w:sz w:val="20"/>
              </w:rPr>
              <w:t>member</w:t>
            </w:r>
            <w:r>
              <w:rPr>
                <w:color w:val="231F20"/>
                <w:sz w:val="20"/>
              </w:rPr>
              <w:t>, or</w:t>
            </w:r>
            <w:proofErr w:type="gramEnd"/>
            <w:r>
              <w:rPr>
                <w:color w:val="231F20"/>
                <w:sz w:val="20"/>
              </w:rPr>
              <w:t xml:space="preserve"> acts that cause a child to be exposed to such </w:t>
            </w:r>
            <w:proofErr w:type="spellStart"/>
            <w:r>
              <w:rPr>
                <w:color w:val="231F20"/>
                <w:sz w:val="20"/>
              </w:rPr>
              <w:t>behaviours</w:t>
            </w:r>
            <w:proofErr w:type="spellEnd"/>
            <w:r>
              <w:rPr>
                <w:color w:val="231F20"/>
                <w:sz w:val="20"/>
              </w:rPr>
              <w:t xml:space="preserve">. It covers physical, sexual, emotional, </w:t>
            </w:r>
            <w:proofErr w:type="gramStart"/>
            <w:r>
              <w:rPr>
                <w:color w:val="231F20"/>
                <w:sz w:val="20"/>
              </w:rPr>
              <w:t>psychological</w:t>
            </w:r>
            <w:proofErr w:type="gramEnd"/>
            <w:r>
              <w:rPr>
                <w:color w:val="231F20"/>
                <w:sz w:val="20"/>
              </w:rPr>
              <w:t xml:space="preserve"> and economic abuse.</w:t>
            </w:r>
          </w:p>
        </w:tc>
      </w:tr>
    </w:tbl>
    <w:p w14:paraId="713B0F45" w14:textId="77777777" w:rsidR="00894070" w:rsidRDefault="00894070">
      <w:pPr>
        <w:pStyle w:val="BodyText"/>
        <w:spacing w:before="1"/>
        <w:rPr>
          <w:b/>
          <w:sz w:val="10"/>
        </w:rPr>
      </w:pPr>
    </w:p>
    <w:p w14:paraId="01C5D104" w14:textId="77777777" w:rsidR="00894070" w:rsidRDefault="009B7AFD">
      <w:pPr>
        <w:spacing w:before="49"/>
        <w:ind w:right="179"/>
        <w:jc w:val="right"/>
        <w:rPr>
          <w:b/>
          <w:sz w:val="24"/>
        </w:rPr>
      </w:pPr>
      <w:r>
        <w:rPr>
          <w:b/>
          <w:color w:val="EA5B50"/>
          <w:sz w:val="24"/>
        </w:rPr>
        <w:t>xvii</w:t>
      </w:r>
    </w:p>
    <w:p w14:paraId="1CF03F2D" w14:textId="77777777" w:rsidR="00894070" w:rsidRDefault="00894070">
      <w:pPr>
        <w:jc w:val="right"/>
        <w:rPr>
          <w:sz w:val="24"/>
        </w:rPr>
        <w:sectPr w:rsidR="00894070">
          <w:pgSz w:w="11910" w:h="16840"/>
          <w:pgMar w:top="840" w:right="420" w:bottom="280" w:left="580" w:header="0" w:footer="0" w:gutter="0"/>
          <w:cols w:space="720"/>
        </w:sectPr>
      </w:pPr>
    </w:p>
    <w:p w14:paraId="47B46815" w14:textId="77777777" w:rsidR="00894070" w:rsidRDefault="00894070">
      <w:pPr>
        <w:pStyle w:val="BodyText"/>
        <w:rPr>
          <w:b/>
        </w:rPr>
      </w:pPr>
    </w:p>
    <w:p w14:paraId="6F09CA16" w14:textId="77777777" w:rsidR="00894070" w:rsidRDefault="00894070">
      <w:pPr>
        <w:pStyle w:val="BodyText"/>
        <w:rPr>
          <w:b/>
        </w:rPr>
      </w:pPr>
    </w:p>
    <w:p w14:paraId="659AB3BD" w14:textId="77777777" w:rsidR="00894070" w:rsidRDefault="00894070">
      <w:pPr>
        <w:pStyle w:val="BodyText"/>
        <w:rPr>
          <w:b/>
        </w:rPr>
      </w:pPr>
    </w:p>
    <w:p w14:paraId="7AEE3C56" w14:textId="77777777" w:rsidR="00894070" w:rsidRDefault="00894070">
      <w:pPr>
        <w:pStyle w:val="BodyText"/>
        <w:spacing w:before="8"/>
        <w:rPr>
          <w:b/>
          <w:sz w:val="19"/>
        </w:rPr>
      </w:pPr>
    </w:p>
    <w:tbl>
      <w:tblPr>
        <w:tblW w:w="0" w:type="auto"/>
        <w:tblInd w:w="103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773"/>
        <w:gridCol w:w="5948"/>
      </w:tblGrid>
      <w:tr w:rsidR="00894070" w14:paraId="4CBD3507" w14:textId="77777777">
        <w:trPr>
          <w:trHeight w:val="644"/>
        </w:trPr>
        <w:tc>
          <w:tcPr>
            <w:tcW w:w="2773" w:type="dxa"/>
          </w:tcPr>
          <w:p w14:paraId="208DB7EA" w14:textId="77777777" w:rsidR="00894070" w:rsidRDefault="009B7AFD">
            <w:pPr>
              <w:pStyle w:val="TableParagraph"/>
              <w:spacing w:before="98" w:line="206" w:lineRule="auto"/>
              <w:rPr>
                <w:b/>
                <w:sz w:val="20"/>
              </w:rPr>
            </w:pPr>
            <w:r>
              <w:rPr>
                <w:b/>
                <w:color w:val="231F20"/>
                <w:sz w:val="20"/>
              </w:rPr>
              <w:t>Family violence intervention order (FVIO)</w:t>
            </w:r>
          </w:p>
        </w:tc>
        <w:tc>
          <w:tcPr>
            <w:tcW w:w="5948" w:type="dxa"/>
          </w:tcPr>
          <w:p w14:paraId="77D54B78" w14:textId="77777777" w:rsidR="00894070" w:rsidRDefault="009B7AFD">
            <w:pPr>
              <w:pStyle w:val="TableParagraph"/>
              <w:spacing w:before="98" w:line="206" w:lineRule="auto"/>
              <w:ind w:right="465"/>
              <w:rPr>
                <w:sz w:val="20"/>
              </w:rPr>
            </w:pPr>
            <w:r>
              <w:rPr>
                <w:color w:val="231F20"/>
                <w:sz w:val="20"/>
              </w:rPr>
              <w:t xml:space="preserve">An </w:t>
            </w:r>
            <w:r>
              <w:rPr>
                <w:b/>
                <w:color w:val="231F20"/>
                <w:sz w:val="20"/>
              </w:rPr>
              <w:t xml:space="preserve">interim </w:t>
            </w:r>
            <w:r>
              <w:rPr>
                <w:color w:val="231F20"/>
                <w:sz w:val="20"/>
              </w:rPr>
              <w:t xml:space="preserve">or final </w:t>
            </w:r>
            <w:r>
              <w:rPr>
                <w:b/>
                <w:color w:val="231F20"/>
                <w:sz w:val="20"/>
              </w:rPr>
              <w:t xml:space="preserve">order </w:t>
            </w:r>
            <w:r>
              <w:rPr>
                <w:color w:val="231F20"/>
                <w:sz w:val="20"/>
              </w:rPr>
              <w:t xml:space="preserve">issued by the Magistrates’ or Children’s Court to protect a person from </w:t>
            </w:r>
            <w:r>
              <w:rPr>
                <w:b/>
                <w:color w:val="231F20"/>
                <w:sz w:val="20"/>
              </w:rPr>
              <w:t>family violence</w:t>
            </w:r>
            <w:r>
              <w:rPr>
                <w:color w:val="231F20"/>
                <w:sz w:val="20"/>
              </w:rPr>
              <w:t>.</w:t>
            </w:r>
          </w:p>
        </w:tc>
      </w:tr>
      <w:tr w:rsidR="00894070" w14:paraId="108B75C2" w14:textId="77777777">
        <w:trPr>
          <w:trHeight w:val="884"/>
        </w:trPr>
        <w:tc>
          <w:tcPr>
            <w:tcW w:w="2773" w:type="dxa"/>
          </w:tcPr>
          <w:p w14:paraId="11A81FE4" w14:textId="77777777" w:rsidR="00894070" w:rsidRDefault="009B7AFD">
            <w:pPr>
              <w:pStyle w:val="TableParagraph"/>
              <w:spacing w:before="98" w:line="206" w:lineRule="auto"/>
              <w:rPr>
                <w:b/>
                <w:sz w:val="20"/>
              </w:rPr>
            </w:pPr>
            <w:r>
              <w:rPr>
                <w:b/>
                <w:color w:val="231F20"/>
                <w:sz w:val="20"/>
              </w:rPr>
              <w:t>Family violence safety notice (FVSN)</w:t>
            </w:r>
          </w:p>
        </w:tc>
        <w:tc>
          <w:tcPr>
            <w:tcW w:w="5948" w:type="dxa"/>
          </w:tcPr>
          <w:p w14:paraId="79DC3934" w14:textId="77777777" w:rsidR="00894070" w:rsidRDefault="009B7AFD">
            <w:pPr>
              <w:pStyle w:val="TableParagraph"/>
              <w:spacing w:before="98" w:line="206" w:lineRule="auto"/>
              <w:rPr>
                <w:sz w:val="20"/>
              </w:rPr>
            </w:pPr>
            <w:r>
              <w:rPr>
                <w:color w:val="231F20"/>
                <w:sz w:val="20"/>
              </w:rPr>
              <w:t xml:space="preserve">A temporary notice issued by police to protect a person from </w:t>
            </w:r>
            <w:r>
              <w:rPr>
                <w:b/>
                <w:color w:val="231F20"/>
                <w:sz w:val="20"/>
              </w:rPr>
              <w:t xml:space="preserve">family violence </w:t>
            </w:r>
            <w:r>
              <w:rPr>
                <w:color w:val="231F20"/>
                <w:sz w:val="20"/>
              </w:rPr>
              <w:t xml:space="preserve">until a court can decide whether to issue an </w:t>
            </w:r>
            <w:r>
              <w:rPr>
                <w:b/>
                <w:color w:val="231F20"/>
                <w:sz w:val="20"/>
              </w:rPr>
              <w:t xml:space="preserve">interim </w:t>
            </w:r>
            <w:r>
              <w:rPr>
                <w:color w:val="231F20"/>
                <w:sz w:val="20"/>
              </w:rPr>
              <w:t xml:space="preserve">or a final </w:t>
            </w:r>
            <w:r>
              <w:rPr>
                <w:b/>
                <w:color w:val="231F20"/>
                <w:sz w:val="20"/>
              </w:rPr>
              <w:t>family violence intervention order</w:t>
            </w:r>
            <w:r>
              <w:rPr>
                <w:color w:val="231F20"/>
                <w:sz w:val="20"/>
              </w:rPr>
              <w:t>.</w:t>
            </w:r>
          </w:p>
        </w:tc>
      </w:tr>
      <w:tr w:rsidR="00894070" w14:paraId="0259C194" w14:textId="77777777">
        <w:trPr>
          <w:trHeight w:val="644"/>
        </w:trPr>
        <w:tc>
          <w:tcPr>
            <w:tcW w:w="2773" w:type="dxa"/>
          </w:tcPr>
          <w:p w14:paraId="51313C50" w14:textId="77777777" w:rsidR="00894070" w:rsidRDefault="009B7AFD">
            <w:pPr>
              <w:pStyle w:val="TableParagraph"/>
              <w:spacing w:before="65"/>
              <w:rPr>
                <w:b/>
                <w:sz w:val="20"/>
              </w:rPr>
            </w:pPr>
            <w:r>
              <w:rPr>
                <w:b/>
                <w:color w:val="231F20"/>
                <w:sz w:val="20"/>
              </w:rPr>
              <w:t>Financial assistance</w:t>
            </w:r>
          </w:p>
        </w:tc>
        <w:tc>
          <w:tcPr>
            <w:tcW w:w="5948" w:type="dxa"/>
          </w:tcPr>
          <w:p w14:paraId="68E3A2AD" w14:textId="77777777" w:rsidR="00894070" w:rsidRDefault="009B7AFD">
            <w:pPr>
              <w:pStyle w:val="TableParagraph"/>
              <w:spacing w:before="65" w:line="259" w:lineRule="exact"/>
              <w:rPr>
                <w:sz w:val="20"/>
              </w:rPr>
            </w:pPr>
            <w:r>
              <w:rPr>
                <w:color w:val="231F20"/>
                <w:sz w:val="20"/>
              </w:rPr>
              <w:t>Money paid by the state to people who have been injured as a</w:t>
            </w:r>
          </w:p>
          <w:p w14:paraId="7FE4A9F9" w14:textId="77777777" w:rsidR="00894070" w:rsidRDefault="009B7AFD">
            <w:pPr>
              <w:pStyle w:val="TableParagraph"/>
              <w:spacing w:line="259" w:lineRule="exact"/>
              <w:rPr>
                <w:sz w:val="20"/>
              </w:rPr>
            </w:pPr>
            <w:r>
              <w:rPr>
                <w:color w:val="231F20"/>
                <w:sz w:val="20"/>
              </w:rPr>
              <w:t>result of a crime.</w:t>
            </w:r>
          </w:p>
        </w:tc>
      </w:tr>
      <w:tr w:rsidR="00894070" w14:paraId="07178AEE" w14:textId="77777777">
        <w:trPr>
          <w:trHeight w:val="404"/>
        </w:trPr>
        <w:tc>
          <w:tcPr>
            <w:tcW w:w="2773" w:type="dxa"/>
          </w:tcPr>
          <w:p w14:paraId="4863F1A7" w14:textId="77777777" w:rsidR="00894070" w:rsidRDefault="009B7AFD">
            <w:pPr>
              <w:pStyle w:val="TableParagraph"/>
              <w:spacing w:before="65"/>
              <w:rPr>
                <w:b/>
                <w:sz w:val="20"/>
              </w:rPr>
            </w:pPr>
            <w:r>
              <w:rPr>
                <w:b/>
                <w:color w:val="231F20"/>
                <w:sz w:val="20"/>
              </w:rPr>
              <w:t>Higher courts</w:t>
            </w:r>
          </w:p>
        </w:tc>
        <w:tc>
          <w:tcPr>
            <w:tcW w:w="5948" w:type="dxa"/>
          </w:tcPr>
          <w:p w14:paraId="3D3A77ED" w14:textId="77777777" w:rsidR="00894070" w:rsidRDefault="009B7AFD">
            <w:pPr>
              <w:pStyle w:val="TableParagraph"/>
              <w:spacing w:before="65"/>
              <w:rPr>
                <w:sz w:val="20"/>
              </w:rPr>
            </w:pPr>
            <w:r>
              <w:rPr>
                <w:color w:val="231F20"/>
                <w:sz w:val="20"/>
              </w:rPr>
              <w:t xml:space="preserve">In Victoria, the </w:t>
            </w:r>
            <w:r>
              <w:rPr>
                <w:b/>
                <w:color w:val="231F20"/>
                <w:sz w:val="20"/>
              </w:rPr>
              <w:t xml:space="preserve">County </w:t>
            </w:r>
            <w:proofErr w:type="gramStart"/>
            <w:r>
              <w:rPr>
                <w:b/>
                <w:color w:val="231F20"/>
                <w:sz w:val="20"/>
              </w:rPr>
              <w:t>Court</w:t>
            </w:r>
            <w:proofErr w:type="gramEnd"/>
            <w:r>
              <w:rPr>
                <w:b/>
                <w:color w:val="231F20"/>
                <w:sz w:val="20"/>
              </w:rPr>
              <w:t xml:space="preserve"> </w:t>
            </w:r>
            <w:r>
              <w:rPr>
                <w:color w:val="231F20"/>
                <w:sz w:val="20"/>
              </w:rPr>
              <w:t xml:space="preserve">and the </w:t>
            </w:r>
            <w:r>
              <w:rPr>
                <w:b/>
                <w:color w:val="231F20"/>
                <w:sz w:val="20"/>
              </w:rPr>
              <w:t>Supreme Court</w:t>
            </w:r>
            <w:r>
              <w:rPr>
                <w:color w:val="231F20"/>
                <w:sz w:val="20"/>
              </w:rPr>
              <w:t>.</w:t>
            </w:r>
          </w:p>
        </w:tc>
      </w:tr>
      <w:tr w:rsidR="00894070" w14:paraId="27A368A3" w14:textId="77777777">
        <w:trPr>
          <w:trHeight w:val="644"/>
        </w:trPr>
        <w:tc>
          <w:tcPr>
            <w:tcW w:w="2773" w:type="dxa"/>
          </w:tcPr>
          <w:p w14:paraId="2D39790B" w14:textId="77777777" w:rsidR="00894070" w:rsidRDefault="009B7AFD">
            <w:pPr>
              <w:pStyle w:val="TableParagraph"/>
              <w:spacing w:before="65"/>
              <w:rPr>
                <w:b/>
                <w:sz w:val="20"/>
              </w:rPr>
            </w:pPr>
            <w:r>
              <w:rPr>
                <w:b/>
                <w:color w:val="231F20"/>
                <w:sz w:val="20"/>
              </w:rPr>
              <w:t>Indictable offence</w:t>
            </w:r>
          </w:p>
        </w:tc>
        <w:tc>
          <w:tcPr>
            <w:tcW w:w="5948" w:type="dxa"/>
          </w:tcPr>
          <w:p w14:paraId="10E577C3" w14:textId="77777777" w:rsidR="00894070" w:rsidRDefault="009B7AFD">
            <w:pPr>
              <w:pStyle w:val="TableParagraph"/>
              <w:spacing w:before="65" w:line="259" w:lineRule="exact"/>
              <w:rPr>
                <w:sz w:val="20"/>
              </w:rPr>
            </w:pPr>
            <w:r>
              <w:rPr>
                <w:color w:val="231F20"/>
                <w:sz w:val="20"/>
              </w:rPr>
              <w:t xml:space="preserve">A serious crime that is usually tried in a </w:t>
            </w:r>
            <w:r>
              <w:rPr>
                <w:b/>
                <w:color w:val="231F20"/>
                <w:sz w:val="20"/>
              </w:rPr>
              <w:t xml:space="preserve">higher court </w:t>
            </w:r>
            <w:r>
              <w:rPr>
                <w:color w:val="231F20"/>
                <w:sz w:val="20"/>
              </w:rPr>
              <w:t>before a</w:t>
            </w:r>
          </w:p>
          <w:p w14:paraId="4E30225F" w14:textId="77777777" w:rsidR="00894070" w:rsidRDefault="009B7AFD">
            <w:pPr>
              <w:pStyle w:val="TableParagraph"/>
              <w:spacing w:line="259" w:lineRule="exact"/>
              <w:rPr>
                <w:sz w:val="20"/>
              </w:rPr>
            </w:pPr>
            <w:r>
              <w:rPr>
                <w:color w:val="231F20"/>
                <w:sz w:val="20"/>
              </w:rPr>
              <w:t>judge and jury.</w:t>
            </w:r>
          </w:p>
        </w:tc>
      </w:tr>
      <w:tr w:rsidR="00894070" w14:paraId="3C80972B" w14:textId="77777777">
        <w:trPr>
          <w:trHeight w:val="644"/>
        </w:trPr>
        <w:tc>
          <w:tcPr>
            <w:tcW w:w="2773" w:type="dxa"/>
          </w:tcPr>
          <w:p w14:paraId="42F1EBB0" w14:textId="77777777" w:rsidR="00894070" w:rsidRDefault="009B7AFD">
            <w:pPr>
              <w:pStyle w:val="TableParagraph"/>
              <w:spacing w:before="65"/>
              <w:rPr>
                <w:b/>
                <w:sz w:val="20"/>
              </w:rPr>
            </w:pPr>
            <w:r>
              <w:rPr>
                <w:b/>
                <w:color w:val="231F20"/>
                <w:sz w:val="20"/>
              </w:rPr>
              <w:t>Interim</w:t>
            </w:r>
          </w:p>
        </w:tc>
        <w:tc>
          <w:tcPr>
            <w:tcW w:w="5948" w:type="dxa"/>
          </w:tcPr>
          <w:p w14:paraId="55EB9ACC" w14:textId="77777777" w:rsidR="00894070" w:rsidRDefault="009B7AFD">
            <w:pPr>
              <w:pStyle w:val="TableParagraph"/>
              <w:spacing w:before="65" w:line="259" w:lineRule="exact"/>
              <w:rPr>
                <w:b/>
                <w:sz w:val="20"/>
              </w:rPr>
            </w:pPr>
            <w:r>
              <w:rPr>
                <w:color w:val="231F20"/>
                <w:sz w:val="20"/>
              </w:rPr>
              <w:t xml:space="preserve">Temporary. For example, an </w:t>
            </w:r>
            <w:r>
              <w:rPr>
                <w:b/>
                <w:color w:val="231F20"/>
                <w:sz w:val="20"/>
              </w:rPr>
              <w:t xml:space="preserve">order </w:t>
            </w:r>
            <w:r>
              <w:rPr>
                <w:color w:val="231F20"/>
                <w:sz w:val="20"/>
              </w:rPr>
              <w:t xml:space="preserve">that applies until a </w:t>
            </w:r>
            <w:r>
              <w:rPr>
                <w:b/>
                <w:color w:val="231F20"/>
                <w:sz w:val="20"/>
              </w:rPr>
              <w:t>judicial</w:t>
            </w:r>
          </w:p>
          <w:p w14:paraId="4A9E7879" w14:textId="77777777" w:rsidR="00894070" w:rsidRDefault="009B7AFD">
            <w:pPr>
              <w:pStyle w:val="TableParagraph"/>
              <w:spacing w:line="259" w:lineRule="exact"/>
              <w:rPr>
                <w:sz w:val="20"/>
              </w:rPr>
            </w:pPr>
            <w:r>
              <w:rPr>
                <w:b/>
                <w:color w:val="231F20"/>
                <w:sz w:val="20"/>
              </w:rPr>
              <w:t xml:space="preserve">officer </w:t>
            </w:r>
            <w:r>
              <w:rPr>
                <w:color w:val="231F20"/>
                <w:sz w:val="20"/>
              </w:rPr>
              <w:t>has an opportunity to fully consider the matter.</w:t>
            </w:r>
          </w:p>
        </w:tc>
      </w:tr>
      <w:tr w:rsidR="00894070" w14:paraId="6DB597B5" w14:textId="77777777">
        <w:trPr>
          <w:trHeight w:val="884"/>
        </w:trPr>
        <w:tc>
          <w:tcPr>
            <w:tcW w:w="2773" w:type="dxa"/>
          </w:tcPr>
          <w:p w14:paraId="2C3424F7" w14:textId="77777777" w:rsidR="00894070" w:rsidRDefault="009B7AFD">
            <w:pPr>
              <w:pStyle w:val="TableParagraph"/>
              <w:spacing w:before="65"/>
              <w:rPr>
                <w:b/>
                <w:sz w:val="20"/>
              </w:rPr>
            </w:pPr>
            <w:r>
              <w:rPr>
                <w:b/>
                <w:color w:val="231F20"/>
                <w:sz w:val="20"/>
              </w:rPr>
              <w:t>Judicial officer</w:t>
            </w:r>
          </w:p>
        </w:tc>
        <w:tc>
          <w:tcPr>
            <w:tcW w:w="5948" w:type="dxa"/>
          </w:tcPr>
          <w:p w14:paraId="677AD120" w14:textId="77777777" w:rsidR="00894070" w:rsidRDefault="009B7AFD">
            <w:pPr>
              <w:pStyle w:val="TableParagraph"/>
              <w:spacing w:before="98" w:line="206" w:lineRule="auto"/>
              <w:ind w:right="133"/>
              <w:rPr>
                <w:sz w:val="20"/>
              </w:rPr>
            </w:pPr>
            <w:r>
              <w:rPr>
                <w:color w:val="231F20"/>
                <w:sz w:val="20"/>
              </w:rPr>
              <w:t xml:space="preserve">A judge, </w:t>
            </w:r>
            <w:r>
              <w:rPr>
                <w:b/>
                <w:color w:val="231F20"/>
                <w:sz w:val="20"/>
              </w:rPr>
              <w:t>magistrate</w:t>
            </w:r>
            <w:r>
              <w:rPr>
                <w:color w:val="231F20"/>
                <w:sz w:val="20"/>
              </w:rPr>
              <w:t xml:space="preserve">, or </w:t>
            </w:r>
            <w:r>
              <w:rPr>
                <w:b/>
                <w:color w:val="231F20"/>
                <w:sz w:val="20"/>
              </w:rPr>
              <w:t>judicial registrar</w:t>
            </w:r>
            <w:r>
              <w:rPr>
                <w:color w:val="231F20"/>
                <w:sz w:val="20"/>
              </w:rPr>
              <w:t xml:space="preserve">. Judicial officers can make decisions and directions about the law. They can also impose </w:t>
            </w:r>
            <w:r>
              <w:rPr>
                <w:b/>
                <w:color w:val="231F20"/>
                <w:sz w:val="20"/>
              </w:rPr>
              <w:t>sentences</w:t>
            </w:r>
            <w:r>
              <w:rPr>
                <w:color w:val="231F20"/>
                <w:sz w:val="20"/>
              </w:rPr>
              <w:t>.</w:t>
            </w:r>
          </w:p>
        </w:tc>
      </w:tr>
      <w:tr w:rsidR="00894070" w14:paraId="0818FE1F" w14:textId="77777777">
        <w:trPr>
          <w:trHeight w:val="1124"/>
        </w:trPr>
        <w:tc>
          <w:tcPr>
            <w:tcW w:w="2773" w:type="dxa"/>
          </w:tcPr>
          <w:p w14:paraId="6A89E7D9" w14:textId="77777777" w:rsidR="00894070" w:rsidRDefault="009B7AFD">
            <w:pPr>
              <w:pStyle w:val="TableParagraph"/>
              <w:spacing w:before="66"/>
              <w:rPr>
                <w:b/>
                <w:sz w:val="20"/>
              </w:rPr>
            </w:pPr>
            <w:r>
              <w:rPr>
                <w:b/>
                <w:color w:val="231F20"/>
                <w:sz w:val="20"/>
              </w:rPr>
              <w:t>Justice system</w:t>
            </w:r>
          </w:p>
        </w:tc>
        <w:tc>
          <w:tcPr>
            <w:tcW w:w="5948" w:type="dxa"/>
          </w:tcPr>
          <w:p w14:paraId="47905BA7" w14:textId="77777777" w:rsidR="00894070" w:rsidRDefault="009B7AFD">
            <w:pPr>
              <w:pStyle w:val="TableParagraph"/>
              <w:spacing w:before="98" w:line="206" w:lineRule="auto"/>
              <w:ind w:right="133"/>
              <w:rPr>
                <w:sz w:val="20"/>
              </w:rPr>
            </w:pPr>
            <w:r>
              <w:rPr>
                <w:color w:val="231F20"/>
                <w:sz w:val="20"/>
              </w:rPr>
              <w:t xml:space="preserve">The system that responds to criminal </w:t>
            </w:r>
            <w:proofErr w:type="spellStart"/>
            <w:r>
              <w:rPr>
                <w:color w:val="231F20"/>
                <w:sz w:val="20"/>
              </w:rPr>
              <w:t>behaviour</w:t>
            </w:r>
            <w:proofErr w:type="spellEnd"/>
            <w:r>
              <w:rPr>
                <w:color w:val="231F20"/>
                <w:sz w:val="20"/>
              </w:rPr>
              <w:t xml:space="preserve"> and other harms, including </w:t>
            </w:r>
            <w:r>
              <w:rPr>
                <w:b/>
                <w:color w:val="231F20"/>
                <w:sz w:val="20"/>
              </w:rPr>
              <w:t xml:space="preserve">breaches </w:t>
            </w:r>
            <w:r>
              <w:rPr>
                <w:color w:val="231F20"/>
                <w:sz w:val="20"/>
              </w:rPr>
              <w:t xml:space="preserve">of civil law (see </w:t>
            </w:r>
            <w:r>
              <w:rPr>
                <w:b/>
                <w:color w:val="231F20"/>
                <w:sz w:val="20"/>
              </w:rPr>
              <w:t>civil proceeding</w:t>
            </w:r>
            <w:r>
              <w:rPr>
                <w:color w:val="231F20"/>
                <w:sz w:val="20"/>
              </w:rPr>
              <w:t xml:space="preserve">). It includes the criminal and civil courts, and the </w:t>
            </w:r>
            <w:r>
              <w:rPr>
                <w:b/>
                <w:color w:val="231F20"/>
                <w:sz w:val="20"/>
              </w:rPr>
              <w:t>Victims of Crime Assistance Tribunal</w:t>
            </w:r>
            <w:r>
              <w:rPr>
                <w:color w:val="231F20"/>
                <w:sz w:val="20"/>
              </w:rPr>
              <w:t>.</w:t>
            </w:r>
          </w:p>
        </w:tc>
      </w:tr>
      <w:tr w:rsidR="00894070" w14:paraId="32D132C9" w14:textId="77777777">
        <w:trPr>
          <w:trHeight w:val="1124"/>
        </w:trPr>
        <w:tc>
          <w:tcPr>
            <w:tcW w:w="2773" w:type="dxa"/>
          </w:tcPr>
          <w:p w14:paraId="41D9A6AE" w14:textId="77777777" w:rsidR="00894070" w:rsidRDefault="009B7AFD">
            <w:pPr>
              <w:pStyle w:val="TableParagraph"/>
              <w:spacing w:before="66"/>
              <w:rPr>
                <w:b/>
                <w:sz w:val="20"/>
              </w:rPr>
            </w:pPr>
            <w:r>
              <w:rPr>
                <w:b/>
                <w:color w:val="231F20"/>
                <w:sz w:val="20"/>
              </w:rPr>
              <w:t>Legal representation</w:t>
            </w:r>
          </w:p>
        </w:tc>
        <w:tc>
          <w:tcPr>
            <w:tcW w:w="5948" w:type="dxa"/>
          </w:tcPr>
          <w:p w14:paraId="55DC3C9F" w14:textId="77777777" w:rsidR="00894070" w:rsidRDefault="009B7AFD">
            <w:pPr>
              <w:pStyle w:val="TableParagraph"/>
              <w:spacing w:before="66" w:line="259" w:lineRule="exact"/>
              <w:rPr>
                <w:sz w:val="20"/>
              </w:rPr>
            </w:pPr>
            <w:r>
              <w:rPr>
                <w:color w:val="231F20"/>
                <w:sz w:val="20"/>
              </w:rPr>
              <w:t>The lawyers providing advice to or acting on behalf of the</w:t>
            </w:r>
          </w:p>
          <w:p w14:paraId="7D0E90AD" w14:textId="77777777" w:rsidR="00894070" w:rsidRDefault="009B7AFD">
            <w:pPr>
              <w:pStyle w:val="TableParagraph"/>
              <w:spacing w:before="13" w:line="206" w:lineRule="auto"/>
              <w:ind w:right="393"/>
              <w:rPr>
                <w:sz w:val="20"/>
              </w:rPr>
            </w:pPr>
            <w:r>
              <w:rPr>
                <w:b/>
                <w:color w:val="231F20"/>
                <w:sz w:val="20"/>
              </w:rPr>
              <w:t xml:space="preserve">parties </w:t>
            </w:r>
            <w:r>
              <w:rPr>
                <w:color w:val="231F20"/>
                <w:sz w:val="20"/>
              </w:rPr>
              <w:t xml:space="preserve">in a </w:t>
            </w:r>
            <w:r>
              <w:rPr>
                <w:b/>
                <w:color w:val="231F20"/>
                <w:sz w:val="20"/>
              </w:rPr>
              <w:t xml:space="preserve">criminal proceeding </w:t>
            </w:r>
            <w:r>
              <w:rPr>
                <w:color w:val="231F20"/>
                <w:sz w:val="20"/>
              </w:rPr>
              <w:t xml:space="preserve">or a </w:t>
            </w:r>
            <w:r>
              <w:rPr>
                <w:b/>
                <w:color w:val="231F20"/>
                <w:sz w:val="20"/>
              </w:rPr>
              <w:t>civil proceeding</w:t>
            </w:r>
            <w:r>
              <w:rPr>
                <w:color w:val="231F20"/>
                <w:sz w:val="20"/>
              </w:rPr>
              <w:t xml:space="preserve">. </w:t>
            </w:r>
            <w:r>
              <w:rPr>
                <w:b/>
                <w:color w:val="231F20"/>
                <w:sz w:val="20"/>
              </w:rPr>
              <w:t xml:space="preserve">Affected persons </w:t>
            </w:r>
            <w:r>
              <w:rPr>
                <w:color w:val="231F20"/>
                <w:sz w:val="20"/>
              </w:rPr>
              <w:t xml:space="preserve">and </w:t>
            </w:r>
            <w:r>
              <w:rPr>
                <w:b/>
                <w:color w:val="231F20"/>
                <w:sz w:val="20"/>
              </w:rPr>
              <w:t xml:space="preserve">affected family members </w:t>
            </w:r>
            <w:r>
              <w:rPr>
                <w:color w:val="231F20"/>
                <w:sz w:val="20"/>
              </w:rPr>
              <w:t>may also have legal representation.</w:t>
            </w:r>
          </w:p>
        </w:tc>
      </w:tr>
      <w:tr w:rsidR="00894070" w14:paraId="275CC02B" w14:textId="77777777">
        <w:trPr>
          <w:trHeight w:val="1124"/>
        </w:trPr>
        <w:tc>
          <w:tcPr>
            <w:tcW w:w="2773" w:type="dxa"/>
          </w:tcPr>
          <w:p w14:paraId="1E961F44" w14:textId="77777777" w:rsidR="00894070" w:rsidRDefault="009B7AFD">
            <w:pPr>
              <w:pStyle w:val="TableParagraph"/>
              <w:spacing w:before="66"/>
              <w:rPr>
                <w:b/>
                <w:sz w:val="20"/>
              </w:rPr>
            </w:pPr>
            <w:r>
              <w:rPr>
                <w:b/>
                <w:color w:val="231F20"/>
                <w:sz w:val="20"/>
              </w:rPr>
              <w:t>Magistrate</w:t>
            </w:r>
          </w:p>
        </w:tc>
        <w:tc>
          <w:tcPr>
            <w:tcW w:w="5948" w:type="dxa"/>
          </w:tcPr>
          <w:p w14:paraId="003A29CE" w14:textId="77777777" w:rsidR="00894070" w:rsidRDefault="009B7AFD">
            <w:pPr>
              <w:pStyle w:val="TableParagraph"/>
              <w:spacing w:before="66" w:line="259" w:lineRule="exact"/>
              <w:rPr>
                <w:sz w:val="20"/>
              </w:rPr>
            </w:pPr>
            <w:r>
              <w:rPr>
                <w:color w:val="231F20"/>
                <w:sz w:val="20"/>
              </w:rPr>
              <w:t>A person who hears (considers and decides on) cases in</w:t>
            </w:r>
          </w:p>
          <w:p w14:paraId="52627CDB" w14:textId="77777777" w:rsidR="00894070" w:rsidRDefault="009B7AFD">
            <w:pPr>
              <w:pStyle w:val="TableParagraph"/>
              <w:spacing w:before="13" w:line="206" w:lineRule="auto"/>
              <w:rPr>
                <w:sz w:val="20"/>
              </w:rPr>
            </w:pPr>
            <w:r>
              <w:rPr>
                <w:color w:val="231F20"/>
                <w:sz w:val="20"/>
              </w:rPr>
              <w:t xml:space="preserve">the </w:t>
            </w:r>
            <w:r>
              <w:rPr>
                <w:b/>
                <w:color w:val="231F20"/>
                <w:sz w:val="20"/>
              </w:rPr>
              <w:t xml:space="preserve">Magistrates’ Court </w:t>
            </w:r>
            <w:r>
              <w:rPr>
                <w:color w:val="231F20"/>
                <w:sz w:val="20"/>
              </w:rPr>
              <w:t xml:space="preserve">or in the </w:t>
            </w:r>
            <w:r>
              <w:rPr>
                <w:b/>
                <w:color w:val="231F20"/>
                <w:sz w:val="20"/>
              </w:rPr>
              <w:t>Children’s Court</w:t>
            </w:r>
            <w:r>
              <w:rPr>
                <w:color w:val="231F20"/>
                <w:sz w:val="20"/>
              </w:rPr>
              <w:t xml:space="preserve">, or who decides applications for assistance in the </w:t>
            </w:r>
            <w:r>
              <w:rPr>
                <w:b/>
                <w:color w:val="231F20"/>
                <w:sz w:val="20"/>
              </w:rPr>
              <w:t>Victims of Crimes Assistance Tribunal</w:t>
            </w:r>
            <w:r>
              <w:rPr>
                <w:color w:val="231F20"/>
                <w:sz w:val="20"/>
              </w:rPr>
              <w:t>.</w:t>
            </w:r>
          </w:p>
        </w:tc>
      </w:tr>
      <w:tr w:rsidR="00894070" w14:paraId="32069353" w14:textId="77777777">
        <w:trPr>
          <w:trHeight w:val="884"/>
        </w:trPr>
        <w:tc>
          <w:tcPr>
            <w:tcW w:w="2773" w:type="dxa"/>
          </w:tcPr>
          <w:p w14:paraId="2C44F4FC" w14:textId="77777777" w:rsidR="00894070" w:rsidRDefault="009B7AFD">
            <w:pPr>
              <w:pStyle w:val="TableParagraph"/>
              <w:spacing w:before="98" w:line="206" w:lineRule="auto"/>
              <w:rPr>
                <w:b/>
                <w:sz w:val="20"/>
              </w:rPr>
            </w:pPr>
            <w:r>
              <w:rPr>
                <w:b/>
                <w:color w:val="231F20"/>
                <w:sz w:val="20"/>
              </w:rPr>
              <w:t>Magistrates’ Court of Victoria</w:t>
            </w:r>
          </w:p>
        </w:tc>
        <w:tc>
          <w:tcPr>
            <w:tcW w:w="5948" w:type="dxa"/>
          </w:tcPr>
          <w:p w14:paraId="6C772656" w14:textId="77777777" w:rsidR="00894070" w:rsidRDefault="009B7AFD">
            <w:pPr>
              <w:pStyle w:val="TableParagraph"/>
              <w:spacing w:before="98" w:line="206" w:lineRule="auto"/>
              <w:ind w:right="126"/>
              <w:rPr>
                <w:sz w:val="20"/>
              </w:rPr>
            </w:pPr>
            <w:r>
              <w:rPr>
                <w:color w:val="231F20"/>
                <w:sz w:val="20"/>
              </w:rPr>
              <w:t xml:space="preserve">A </w:t>
            </w:r>
            <w:r>
              <w:rPr>
                <w:color w:val="231F20"/>
                <w:spacing w:val="-3"/>
                <w:sz w:val="20"/>
              </w:rPr>
              <w:t xml:space="preserve">lower </w:t>
            </w:r>
            <w:r>
              <w:rPr>
                <w:color w:val="231F20"/>
                <w:sz w:val="20"/>
              </w:rPr>
              <w:t>court that hears less serious matters without a jury. It is</w:t>
            </w:r>
            <w:r>
              <w:rPr>
                <w:color w:val="231F20"/>
                <w:spacing w:val="-9"/>
                <w:sz w:val="20"/>
              </w:rPr>
              <w:t xml:space="preserve"> </w:t>
            </w:r>
            <w:r>
              <w:rPr>
                <w:color w:val="231F20"/>
                <w:sz w:val="20"/>
              </w:rPr>
              <w:t>responsible</w:t>
            </w:r>
            <w:r>
              <w:rPr>
                <w:color w:val="231F20"/>
                <w:spacing w:val="-8"/>
                <w:sz w:val="20"/>
              </w:rPr>
              <w:t xml:space="preserve"> </w:t>
            </w:r>
            <w:r>
              <w:rPr>
                <w:color w:val="231F20"/>
                <w:sz w:val="20"/>
              </w:rPr>
              <w:t>for</w:t>
            </w:r>
            <w:r>
              <w:rPr>
                <w:color w:val="231F20"/>
                <w:spacing w:val="-9"/>
                <w:sz w:val="20"/>
              </w:rPr>
              <w:t xml:space="preserve"> </w:t>
            </w:r>
            <w:r>
              <w:rPr>
                <w:color w:val="231F20"/>
                <w:sz w:val="20"/>
              </w:rPr>
              <w:t>hearing</w:t>
            </w:r>
            <w:r>
              <w:rPr>
                <w:color w:val="231F20"/>
                <w:spacing w:val="-8"/>
                <w:sz w:val="20"/>
              </w:rPr>
              <w:t xml:space="preserve"> </w:t>
            </w:r>
            <w:r>
              <w:rPr>
                <w:color w:val="231F20"/>
                <w:sz w:val="20"/>
              </w:rPr>
              <w:t>and</w:t>
            </w:r>
            <w:r>
              <w:rPr>
                <w:color w:val="231F20"/>
                <w:spacing w:val="-9"/>
                <w:sz w:val="20"/>
              </w:rPr>
              <w:t xml:space="preserve"> </w:t>
            </w:r>
            <w:r>
              <w:rPr>
                <w:color w:val="231F20"/>
                <w:sz w:val="20"/>
              </w:rPr>
              <w:t>determining</w:t>
            </w:r>
            <w:r>
              <w:rPr>
                <w:color w:val="231F20"/>
                <w:spacing w:val="-8"/>
                <w:sz w:val="20"/>
              </w:rPr>
              <w:t xml:space="preserve"> </w:t>
            </w:r>
            <w:r>
              <w:rPr>
                <w:b/>
                <w:color w:val="231F20"/>
                <w:sz w:val="20"/>
              </w:rPr>
              <w:t>summary</w:t>
            </w:r>
            <w:r>
              <w:rPr>
                <w:b/>
                <w:color w:val="231F20"/>
                <w:spacing w:val="-8"/>
                <w:sz w:val="20"/>
              </w:rPr>
              <w:t xml:space="preserve"> </w:t>
            </w:r>
            <w:r>
              <w:rPr>
                <w:b/>
                <w:color w:val="231F20"/>
                <w:sz w:val="20"/>
              </w:rPr>
              <w:t xml:space="preserve">offences </w:t>
            </w:r>
            <w:r>
              <w:rPr>
                <w:color w:val="231F20"/>
                <w:sz w:val="20"/>
              </w:rPr>
              <w:t>and</w:t>
            </w:r>
            <w:r>
              <w:rPr>
                <w:color w:val="231F20"/>
                <w:spacing w:val="-6"/>
                <w:sz w:val="20"/>
              </w:rPr>
              <w:t xml:space="preserve"> </w:t>
            </w:r>
            <w:r>
              <w:rPr>
                <w:color w:val="231F20"/>
                <w:sz w:val="20"/>
              </w:rPr>
              <w:t>some</w:t>
            </w:r>
            <w:r>
              <w:rPr>
                <w:color w:val="231F20"/>
                <w:spacing w:val="-5"/>
                <w:sz w:val="20"/>
              </w:rPr>
              <w:t xml:space="preserve"> </w:t>
            </w:r>
            <w:r>
              <w:rPr>
                <w:b/>
                <w:color w:val="231F20"/>
                <w:sz w:val="20"/>
              </w:rPr>
              <w:t>indictable</w:t>
            </w:r>
            <w:r>
              <w:rPr>
                <w:b/>
                <w:color w:val="231F20"/>
                <w:spacing w:val="-5"/>
                <w:sz w:val="20"/>
              </w:rPr>
              <w:t xml:space="preserve"> </w:t>
            </w:r>
            <w:r>
              <w:rPr>
                <w:b/>
                <w:color w:val="231F20"/>
                <w:sz w:val="20"/>
              </w:rPr>
              <w:t>offences</w:t>
            </w:r>
            <w:r>
              <w:rPr>
                <w:b/>
                <w:color w:val="231F20"/>
                <w:spacing w:val="-2"/>
                <w:sz w:val="20"/>
              </w:rPr>
              <w:t xml:space="preserve"> </w:t>
            </w:r>
            <w:r>
              <w:rPr>
                <w:color w:val="231F20"/>
                <w:sz w:val="20"/>
              </w:rPr>
              <w:t>that</w:t>
            </w:r>
            <w:r>
              <w:rPr>
                <w:color w:val="231F20"/>
                <w:spacing w:val="-5"/>
                <w:sz w:val="20"/>
              </w:rPr>
              <w:t xml:space="preserve"> </w:t>
            </w:r>
            <w:r>
              <w:rPr>
                <w:color w:val="231F20"/>
                <w:sz w:val="20"/>
              </w:rPr>
              <w:t>can</w:t>
            </w:r>
            <w:r>
              <w:rPr>
                <w:color w:val="231F20"/>
                <w:spacing w:val="-6"/>
                <w:sz w:val="20"/>
              </w:rPr>
              <w:t xml:space="preserve"> </w:t>
            </w:r>
            <w:r>
              <w:rPr>
                <w:color w:val="231F20"/>
                <w:sz w:val="20"/>
              </w:rPr>
              <w:t>be</w:t>
            </w:r>
            <w:r>
              <w:rPr>
                <w:color w:val="231F20"/>
                <w:spacing w:val="-5"/>
                <w:sz w:val="20"/>
              </w:rPr>
              <w:t xml:space="preserve"> </w:t>
            </w:r>
            <w:r>
              <w:rPr>
                <w:color w:val="231F20"/>
                <w:sz w:val="20"/>
              </w:rPr>
              <w:t>tried</w:t>
            </w:r>
            <w:r>
              <w:rPr>
                <w:color w:val="231F20"/>
                <w:spacing w:val="-5"/>
                <w:sz w:val="20"/>
              </w:rPr>
              <w:t xml:space="preserve"> </w:t>
            </w:r>
            <w:r>
              <w:rPr>
                <w:color w:val="231F20"/>
                <w:sz w:val="20"/>
              </w:rPr>
              <w:t>summarily.</w:t>
            </w:r>
          </w:p>
        </w:tc>
      </w:tr>
      <w:tr w:rsidR="00894070" w14:paraId="64563B34" w14:textId="77777777">
        <w:trPr>
          <w:trHeight w:val="1364"/>
        </w:trPr>
        <w:tc>
          <w:tcPr>
            <w:tcW w:w="2773" w:type="dxa"/>
          </w:tcPr>
          <w:p w14:paraId="414EA826" w14:textId="77777777" w:rsidR="00894070" w:rsidRDefault="009B7AFD">
            <w:pPr>
              <w:pStyle w:val="TableParagraph"/>
              <w:spacing w:before="66"/>
              <w:rPr>
                <w:b/>
                <w:sz w:val="20"/>
              </w:rPr>
            </w:pPr>
            <w:r>
              <w:rPr>
                <w:b/>
                <w:color w:val="231F20"/>
                <w:sz w:val="20"/>
              </w:rPr>
              <w:t>Mediation</w:t>
            </w:r>
          </w:p>
        </w:tc>
        <w:tc>
          <w:tcPr>
            <w:tcW w:w="5948" w:type="dxa"/>
          </w:tcPr>
          <w:p w14:paraId="0195A136" w14:textId="77777777" w:rsidR="00894070" w:rsidRDefault="009B7AFD">
            <w:pPr>
              <w:pStyle w:val="TableParagraph"/>
              <w:spacing w:before="98" w:line="206" w:lineRule="auto"/>
              <w:ind w:right="41"/>
              <w:rPr>
                <w:sz w:val="20"/>
              </w:rPr>
            </w:pPr>
            <w:r>
              <w:rPr>
                <w:color w:val="231F20"/>
                <w:sz w:val="20"/>
              </w:rPr>
              <w:t xml:space="preserve">A process where people who have a dispute (disagreement) try to reach a </w:t>
            </w:r>
            <w:proofErr w:type="gramStart"/>
            <w:r>
              <w:rPr>
                <w:color w:val="231F20"/>
                <w:sz w:val="20"/>
              </w:rPr>
              <w:t>mutually-acceptable</w:t>
            </w:r>
            <w:proofErr w:type="gramEnd"/>
            <w:r>
              <w:rPr>
                <w:color w:val="231F20"/>
                <w:sz w:val="20"/>
              </w:rPr>
              <w:t xml:space="preserve"> agreement through discussion, with the help of a trained facilitator (assistant) who is impartial (does not have an interest in the outcome of the dispute).</w:t>
            </w:r>
          </w:p>
        </w:tc>
      </w:tr>
      <w:tr w:rsidR="00894070" w14:paraId="04CB682D" w14:textId="77777777">
        <w:trPr>
          <w:trHeight w:val="644"/>
        </w:trPr>
        <w:tc>
          <w:tcPr>
            <w:tcW w:w="2773" w:type="dxa"/>
          </w:tcPr>
          <w:p w14:paraId="5B2A28A2" w14:textId="77777777" w:rsidR="00894070" w:rsidRDefault="009B7AFD">
            <w:pPr>
              <w:pStyle w:val="TableParagraph"/>
              <w:spacing w:before="66"/>
              <w:rPr>
                <w:b/>
                <w:sz w:val="20"/>
              </w:rPr>
            </w:pPr>
            <w:r>
              <w:rPr>
                <w:b/>
                <w:color w:val="231F20"/>
                <w:sz w:val="20"/>
              </w:rPr>
              <w:t>Offender</w:t>
            </w:r>
          </w:p>
        </w:tc>
        <w:tc>
          <w:tcPr>
            <w:tcW w:w="5948" w:type="dxa"/>
          </w:tcPr>
          <w:p w14:paraId="7B65C5FC" w14:textId="77777777" w:rsidR="00894070" w:rsidRDefault="009B7AFD">
            <w:pPr>
              <w:pStyle w:val="TableParagraph"/>
              <w:spacing w:before="66" w:line="259" w:lineRule="exact"/>
              <w:rPr>
                <w:sz w:val="20"/>
              </w:rPr>
            </w:pPr>
            <w:r>
              <w:rPr>
                <w:color w:val="231F20"/>
                <w:sz w:val="20"/>
              </w:rPr>
              <w:t>A person who has been found or has pleaded guilty to a</w:t>
            </w:r>
          </w:p>
          <w:p w14:paraId="0A694D69" w14:textId="77777777" w:rsidR="00894070" w:rsidRDefault="009B7AFD">
            <w:pPr>
              <w:pStyle w:val="TableParagraph"/>
              <w:spacing w:line="259" w:lineRule="exact"/>
              <w:rPr>
                <w:sz w:val="20"/>
              </w:rPr>
            </w:pPr>
            <w:r>
              <w:rPr>
                <w:color w:val="231F20"/>
                <w:sz w:val="20"/>
              </w:rPr>
              <w:t>criminal offence.</w:t>
            </w:r>
          </w:p>
        </w:tc>
      </w:tr>
      <w:tr w:rsidR="00894070" w14:paraId="0517A54C" w14:textId="77777777">
        <w:trPr>
          <w:trHeight w:val="884"/>
        </w:trPr>
        <w:tc>
          <w:tcPr>
            <w:tcW w:w="2773" w:type="dxa"/>
          </w:tcPr>
          <w:p w14:paraId="0A682E37" w14:textId="77777777" w:rsidR="00894070" w:rsidRDefault="009B7AFD">
            <w:pPr>
              <w:pStyle w:val="TableParagraph"/>
              <w:spacing w:before="66" w:line="259" w:lineRule="exact"/>
              <w:rPr>
                <w:b/>
                <w:sz w:val="20"/>
              </w:rPr>
            </w:pPr>
            <w:r>
              <w:rPr>
                <w:b/>
                <w:color w:val="231F20"/>
                <w:sz w:val="20"/>
              </w:rPr>
              <w:t>Office of Public</w:t>
            </w:r>
          </w:p>
          <w:p w14:paraId="59C1995E" w14:textId="77777777" w:rsidR="00894070" w:rsidRDefault="009B7AFD">
            <w:pPr>
              <w:pStyle w:val="TableParagraph"/>
              <w:spacing w:line="259" w:lineRule="exact"/>
              <w:rPr>
                <w:b/>
                <w:sz w:val="20"/>
              </w:rPr>
            </w:pPr>
            <w:r>
              <w:rPr>
                <w:b/>
                <w:color w:val="231F20"/>
                <w:sz w:val="20"/>
              </w:rPr>
              <w:t>Prosecutions (OPP)</w:t>
            </w:r>
          </w:p>
        </w:tc>
        <w:tc>
          <w:tcPr>
            <w:tcW w:w="5948" w:type="dxa"/>
          </w:tcPr>
          <w:p w14:paraId="73259D7C" w14:textId="77777777" w:rsidR="00894070" w:rsidRDefault="009B7AFD">
            <w:pPr>
              <w:pStyle w:val="TableParagraph"/>
              <w:spacing w:before="98" w:line="206" w:lineRule="auto"/>
              <w:rPr>
                <w:sz w:val="20"/>
              </w:rPr>
            </w:pPr>
            <w:r>
              <w:rPr>
                <w:color w:val="231F20"/>
                <w:sz w:val="20"/>
              </w:rPr>
              <w:t xml:space="preserve">The agency that is independent of government and that prepares and conducts criminal </w:t>
            </w:r>
            <w:r>
              <w:rPr>
                <w:b/>
                <w:color w:val="231F20"/>
                <w:sz w:val="20"/>
              </w:rPr>
              <w:t xml:space="preserve">prosecutions </w:t>
            </w:r>
            <w:r>
              <w:rPr>
                <w:color w:val="231F20"/>
                <w:sz w:val="20"/>
              </w:rPr>
              <w:t>on behalf of the Director of Public Prosecutions.</w:t>
            </w:r>
          </w:p>
        </w:tc>
      </w:tr>
      <w:tr w:rsidR="00894070" w14:paraId="76512FCC" w14:textId="77777777">
        <w:trPr>
          <w:trHeight w:val="404"/>
        </w:trPr>
        <w:tc>
          <w:tcPr>
            <w:tcW w:w="2773" w:type="dxa"/>
          </w:tcPr>
          <w:p w14:paraId="772D02D6" w14:textId="77777777" w:rsidR="00894070" w:rsidRDefault="009B7AFD">
            <w:pPr>
              <w:pStyle w:val="TableParagraph"/>
              <w:spacing w:before="66"/>
              <w:rPr>
                <w:b/>
                <w:sz w:val="20"/>
              </w:rPr>
            </w:pPr>
            <w:r>
              <w:rPr>
                <w:b/>
                <w:color w:val="231F20"/>
                <w:sz w:val="20"/>
              </w:rPr>
              <w:t>Order</w:t>
            </w:r>
          </w:p>
        </w:tc>
        <w:tc>
          <w:tcPr>
            <w:tcW w:w="5948" w:type="dxa"/>
          </w:tcPr>
          <w:p w14:paraId="14D2CEB8" w14:textId="77777777" w:rsidR="00894070" w:rsidRDefault="009B7AFD">
            <w:pPr>
              <w:pStyle w:val="TableParagraph"/>
              <w:spacing w:before="66"/>
              <w:rPr>
                <w:sz w:val="20"/>
              </w:rPr>
            </w:pPr>
            <w:r>
              <w:rPr>
                <w:color w:val="231F20"/>
                <w:sz w:val="20"/>
              </w:rPr>
              <w:t>A binding direction by a court or tribunal in a legal proceeding.</w:t>
            </w:r>
          </w:p>
        </w:tc>
      </w:tr>
      <w:tr w:rsidR="00894070" w14:paraId="0D000DAA" w14:textId="77777777">
        <w:trPr>
          <w:trHeight w:val="884"/>
        </w:trPr>
        <w:tc>
          <w:tcPr>
            <w:tcW w:w="2773" w:type="dxa"/>
          </w:tcPr>
          <w:p w14:paraId="23A3A5D7" w14:textId="77777777" w:rsidR="00894070" w:rsidRDefault="009B7AFD">
            <w:pPr>
              <w:pStyle w:val="TableParagraph"/>
              <w:spacing w:before="66"/>
              <w:rPr>
                <w:b/>
                <w:sz w:val="20"/>
              </w:rPr>
            </w:pPr>
            <w:r>
              <w:rPr>
                <w:b/>
                <w:color w:val="231F20"/>
                <w:sz w:val="20"/>
              </w:rPr>
              <w:t>Parties</w:t>
            </w:r>
          </w:p>
        </w:tc>
        <w:tc>
          <w:tcPr>
            <w:tcW w:w="5948" w:type="dxa"/>
          </w:tcPr>
          <w:p w14:paraId="581DDEFA" w14:textId="77777777" w:rsidR="00894070" w:rsidRDefault="009B7AFD">
            <w:pPr>
              <w:pStyle w:val="TableParagraph"/>
              <w:spacing w:before="98" w:line="206" w:lineRule="auto"/>
              <w:rPr>
                <w:sz w:val="20"/>
              </w:rPr>
            </w:pPr>
            <w:r>
              <w:rPr>
                <w:color w:val="231F20"/>
                <w:sz w:val="20"/>
              </w:rPr>
              <w:t xml:space="preserve">The </w:t>
            </w:r>
            <w:r>
              <w:rPr>
                <w:b/>
                <w:color w:val="231F20"/>
                <w:sz w:val="20"/>
              </w:rPr>
              <w:t xml:space="preserve">prosecution </w:t>
            </w:r>
            <w:r>
              <w:rPr>
                <w:color w:val="231F20"/>
                <w:sz w:val="20"/>
              </w:rPr>
              <w:t xml:space="preserve">and the </w:t>
            </w:r>
            <w:r>
              <w:rPr>
                <w:b/>
                <w:color w:val="231F20"/>
                <w:sz w:val="20"/>
              </w:rPr>
              <w:t xml:space="preserve">accused </w:t>
            </w:r>
            <w:r>
              <w:rPr>
                <w:color w:val="231F20"/>
                <w:sz w:val="20"/>
              </w:rPr>
              <w:t xml:space="preserve">in a </w:t>
            </w:r>
            <w:r>
              <w:rPr>
                <w:b/>
                <w:color w:val="231F20"/>
                <w:sz w:val="20"/>
              </w:rPr>
              <w:t>criminal proceeding</w:t>
            </w:r>
            <w:r>
              <w:rPr>
                <w:color w:val="231F20"/>
                <w:sz w:val="20"/>
              </w:rPr>
              <w:t xml:space="preserve">; the plaintiff and the defendant, or the </w:t>
            </w:r>
            <w:r>
              <w:rPr>
                <w:b/>
                <w:color w:val="231F20"/>
                <w:sz w:val="20"/>
              </w:rPr>
              <w:t xml:space="preserve">applicant </w:t>
            </w:r>
            <w:r>
              <w:rPr>
                <w:color w:val="231F20"/>
                <w:sz w:val="20"/>
              </w:rPr>
              <w:t xml:space="preserve">and </w:t>
            </w:r>
            <w:r>
              <w:rPr>
                <w:b/>
                <w:color w:val="231F20"/>
                <w:sz w:val="20"/>
              </w:rPr>
              <w:t>respondent</w:t>
            </w:r>
            <w:r>
              <w:rPr>
                <w:color w:val="231F20"/>
                <w:sz w:val="20"/>
              </w:rPr>
              <w:t xml:space="preserve">, in a </w:t>
            </w:r>
            <w:r>
              <w:rPr>
                <w:b/>
                <w:color w:val="231F20"/>
                <w:sz w:val="20"/>
              </w:rPr>
              <w:t>civil proceeding</w:t>
            </w:r>
            <w:r>
              <w:rPr>
                <w:color w:val="231F20"/>
                <w:sz w:val="20"/>
              </w:rPr>
              <w:t>.</w:t>
            </w:r>
          </w:p>
        </w:tc>
      </w:tr>
    </w:tbl>
    <w:p w14:paraId="5618FB5D" w14:textId="77777777" w:rsidR="00894070" w:rsidRDefault="00894070">
      <w:pPr>
        <w:pStyle w:val="BodyText"/>
        <w:rPr>
          <w:b/>
        </w:rPr>
      </w:pPr>
    </w:p>
    <w:p w14:paraId="176FF900" w14:textId="77777777" w:rsidR="00894070" w:rsidRDefault="00894070">
      <w:pPr>
        <w:pStyle w:val="BodyText"/>
        <w:spacing w:before="11"/>
        <w:rPr>
          <w:b/>
          <w:sz w:val="22"/>
        </w:rPr>
      </w:pPr>
    </w:p>
    <w:p w14:paraId="3DB04327" w14:textId="77777777" w:rsidR="00894070" w:rsidRDefault="009B7AFD">
      <w:pPr>
        <w:spacing w:before="49"/>
        <w:ind w:left="140"/>
        <w:rPr>
          <w:b/>
          <w:sz w:val="24"/>
        </w:rPr>
      </w:pPr>
      <w:r>
        <w:rPr>
          <w:b/>
          <w:color w:val="EA5B50"/>
          <w:sz w:val="24"/>
        </w:rPr>
        <w:t>xviii</w:t>
      </w:r>
    </w:p>
    <w:p w14:paraId="2E0CF3F4" w14:textId="77777777" w:rsidR="00894070" w:rsidRDefault="00894070">
      <w:pPr>
        <w:rPr>
          <w:sz w:val="24"/>
        </w:rPr>
        <w:sectPr w:rsidR="00894070">
          <w:pgSz w:w="11910" w:h="16840"/>
          <w:pgMar w:top="860" w:right="420" w:bottom="280" w:left="580" w:header="567" w:footer="0" w:gutter="0"/>
          <w:cols w:space="720"/>
        </w:sectPr>
      </w:pPr>
    </w:p>
    <w:p w14:paraId="41F7A7BD" w14:textId="77777777" w:rsidR="00894070" w:rsidRDefault="00894070">
      <w:pPr>
        <w:pStyle w:val="BodyText"/>
        <w:rPr>
          <w:b/>
        </w:rPr>
      </w:pPr>
    </w:p>
    <w:p w14:paraId="54EADE2B" w14:textId="77777777" w:rsidR="00894070" w:rsidRDefault="00894070">
      <w:pPr>
        <w:pStyle w:val="BodyText"/>
        <w:rPr>
          <w:b/>
        </w:rPr>
      </w:pPr>
    </w:p>
    <w:p w14:paraId="5159EFA9" w14:textId="77777777" w:rsidR="00894070" w:rsidRDefault="00894070">
      <w:pPr>
        <w:pStyle w:val="BodyText"/>
        <w:rPr>
          <w:b/>
        </w:rPr>
      </w:pPr>
    </w:p>
    <w:p w14:paraId="024C10A6" w14:textId="77777777" w:rsidR="00894070" w:rsidRDefault="00894070">
      <w:pPr>
        <w:pStyle w:val="BodyText"/>
        <w:spacing w:before="1"/>
        <w:rPr>
          <w:b/>
          <w:sz w:val="21"/>
        </w:rPr>
      </w:pPr>
    </w:p>
    <w:tbl>
      <w:tblPr>
        <w:tblW w:w="0" w:type="auto"/>
        <w:tblInd w:w="1000"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773"/>
        <w:gridCol w:w="5948"/>
      </w:tblGrid>
      <w:tr w:rsidR="00894070" w14:paraId="1594D02F" w14:textId="77777777">
        <w:trPr>
          <w:trHeight w:val="1844"/>
        </w:trPr>
        <w:tc>
          <w:tcPr>
            <w:tcW w:w="2773" w:type="dxa"/>
          </w:tcPr>
          <w:p w14:paraId="3B275326" w14:textId="77777777" w:rsidR="00894070" w:rsidRDefault="009B7AFD">
            <w:pPr>
              <w:pStyle w:val="TableParagraph"/>
              <w:spacing w:before="98" w:line="206" w:lineRule="auto"/>
              <w:rPr>
                <w:b/>
                <w:sz w:val="20"/>
              </w:rPr>
            </w:pPr>
            <w:r>
              <w:rPr>
                <w:b/>
                <w:color w:val="231F20"/>
                <w:sz w:val="20"/>
              </w:rPr>
              <w:t>Person with a cognitive impairment</w:t>
            </w:r>
          </w:p>
        </w:tc>
        <w:tc>
          <w:tcPr>
            <w:tcW w:w="5948" w:type="dxa"/>
          </w:tcPr>
          <w:p w14:paraId="6EAD9E0A" w14:textId="77777777" w:rsidR="00894070" w:rsidRDefault="009B7AFD">
            <w:pPr>
              <w:pStyle w:val="TableParagraph"/>
              <w:spacing w:before="98" w:line="206" w:lineRule="auto"/>
              <w:ind w:right="117"/>
              <w:rPr>
                <w:sz w:val="20"/>
              </w:rPr>
            </w:pPr>
            <w:r>
              <w:rPr>
                <w:color w:val="231F20"/>
                <w:sz w:val="20"/>
              </w:rPr>
              <w:t xml:space="preserve">The </w:t>
            </w:r>
            <w:r>
              <w:rPr>
                <w:i/>
                <w:color w:val="231F20"/>
                <w:sz w:val="20"/>
              </w:rPr>
              <w:t xml:space="preserve">Criminal Procedure Act 2009 </w:t>
            </w:r>
            <w:r>
              <w:rPr>
                <w:color w:val="231F20"/>
                <w:sz w:val="20"/>
              </w:rPr>
              <w:t xml:space="preserve">(Vic) defines ‘cognitive impairment’ to include ‘impairment because of mental illness, intellectual disability, </w:t>
            </w:r>
            <w:proofErr w:type="gramStart"/>
            <w:r>
              <w:rPr>
                <w:color w:val="231F20"/>
                <w:sz w:val="20"/>
              </w:rPr>
              <w:t>dementia</w:t>
            </w:r>
            <w:proofErr w:type="gramEnd"/>
            <w:r>
              <w:rPr>
                <w:color w:val="231F20"/>
                <w:sz w:val="20"/>
              </w:rPr>
              <w:t xml:space="preserve"> or brain injury’. In this report, the term ‘person with a cognitive impairment’ is used when </w:t>
            </w:r>
            <w:r>
              <w:rPr>
                <w:color w:val="231F20"/>
                <w:spacing w:val="-3"/>
                <w:sz w:val="20"/>
              </w:rPr>
              <w:t xml:space="preserve">we </w:t>
            </w:r>
            <w:r>
              <w:rPr>
                <w:color w:val="231F20"/>
                <w:sz w:val="20"/>
              </w:rPr>
              <w:t xml:space="preserve">discuss support programs </w:t>
            </w:r>
            <w:proofErr w:type="spellStart"/>
            <w:r>
              <w:rPr>
                <w:color w:val="231F20"/>
                <w:sz w:val="20"/>
              </w:rPr>
              <w:t>authorised</w:t>
            </w:r>
            <w:proofErr w:type="spellEnd"/>
            <w:r>
              <w:rPr>
                <w:color w:val="231F20"/>
                <w:sz w:val="20"/>
              </w:rPr>
              <w:t xml:space="preserve"> </w:t>
            </w:r>
            <w:r>
              <w:rPr>
                <w:color w:val="231F20"/>
                <w:spacing w:val="-3"/>
                <w:sz w:val="20"/>
              </w:rPr>
              <w:t xml:space="preserve">by </w:t>
            </w:r>
            <w:r>
              <w:rPr>
                <w:color w:val="231F20"/>
                <w:sz w:val="20"/>
              </w:rPr>
              <w:t xml:space="preserve">the Criminal Procedure Act and other similar initiatives. More </w:t>
            </w:r>
            <w:r>
              <w:rPr>
                <w:color w:val="231F20"/>
                <w:spacing w:val="-3"/>
                <w:sz w:val="20"/>
              </w:rPr>
              <w:t xml:space="preserve">generally, </w:t>
            </w:r>
            <w:r>
              <w:rPr>
                <w:color w:val="231F20"/>
                <w:sz w:val="20"/>
              </w:rPr>
              <w:t>the term ‘person with a cognitive disability’ is used.</w:t>
            </w:r>
          </w:p>
        </w:tc>
      </w:tr>
      <w:tr w:rsidR="00894070" w14:paraId="306D31F7" w14:textId="77777777">
        <w:trPr>
          <w:trHeight w:val="1124"/>
        </w:trPr>
        <w:tc>
          <w:tcPr>
            <w:tcW w:w="2773" w:type="dxa"/>
          </w:tcPr>
          <w:p w14:paraId="090359F1" w14:textId="77777777" w:rsidR="00894070" w:rsidRDefault="009B7AFD">
            <w:pPr>
              <w:pStyle w:val="TableParagraph"/>
              <w:spacing w:before="98" w:line="206" w:lineRule="auto"/>
              <w:ind w:right="136"/>
              <w:rPr>
                <w:b/>
                <w:sz w:val="20"/>
              </w:rPr>
            </w:pPr>
            <w:r>
              <w:rPr>
                <w:b/>
                <w:color w:val="231F20"/>
                <w:sz w:val="20"/>
              </w:rPr>
              <w:t>Personal safety intervention order (PSIO)</w:t>
            </w:r>
          </w:p>
        </w:tc>
        <w:tc>
          <w:tcPr>
            <w:tcW w:w="5948" w:type="dxa"/>
          </w:tcPr>
          <w:p w14:paraId="609E353C" w14:textId="77777777" w:rsidR="00894070" w:rsidRDefault="009B7AFD">
            <w:pPr>
              <w:pStyle w:val="TableParagraph"/>
              <w:spacing w:before="98" w:line="206" w:lineRule="auto"/>
              <w:ind w:right="6"/>
              <w:rPr>
                <w:sz w:val="20"/>
              </w:rPr>
            </w:pPr>
            <w:r>
              <w:rPr>
                <w:color w:val="231F20"/>
                <w:sz w:val="20"/>
              </w:rPr>
              <w:t xml:space="preserve">An </w:t>
            </w:r>
            <w:r>
              <w:rPr>
                <w:b/>
                <w:color w:val="231F20"/>
                <w:sz w:val="20"/>
              </w:rPr>
              <w:t xml:space="preserve">interim </w:t>
            </w:r>
            <w:r>
              <w:rPr>
                <w:color w:val="231F20"/>
                <w:sz w:val="20"/>
              </w:rPr>
              <w:t xml:space="preserve">or final </w:t>
            </w:r>
            <w:r>
              <w:rPr>
                <w:b/>
                <w:color w:val="231F20"/>
                <w:sz w:val="20"/>
              </w:rPr>
              <w:t xml:space="preserve">order </w:t>
            </w:r>
            <w:r>
              <w:rPr>
                <w:color w:val="231F20"/>
                <w:sz w:val="20"/>
              </w:rPr>
              <w:t xml:space="preserve">issued by the Magistrates’ or Children’s Court to protect a person from </w:t>
            </w:r>
            <w:r>
              <w:rPr>
                <w:b/>
                <w:color w:val="231F20"/>
                <w:sz w:val="20"/>
              </w:rPr>
              <w:t>stalking</w:t>
            </w:r>
            <w:r>
              <w:rPr>
                <w:color w:val="231F20"/>
                <w:sz w:val="20"/>
              </w:rPr>
              <w:t xml:space="preserve">, assault, harassment, property damage and other prohibited </w:t>
            </w:r>
            <w:proofErr w:type="spellStart"/>
            <w:r>
              <w:rPr>
                <w:color w:val="231F20"/>
                <w:sz w:val="20"/>
              </w:rPr>
              <w:t>behaviour</w:t>
            </w:r>
            <w:proofErr w:type="spellEnd"/>
            <w:r>
              <w:rPr>
                <w:color w:val="231F20"/>
                <w:sz w:val="20"/>
              </w:rPr>
              <w:t xml:space="preserve"> by another person who is not a </w:t>
            </w:r>
            <w:r>
              <w:rPr>
                <w:b/>
                <w:color w:val="231F20"/>
                <w:sz w:val="20"/>
              </w:rPr>
              <w:t>family member</w:t>
            </w:r>
            <w:r>
              <w:rPr>
                <w:color w:val="231F20"/>
                <w:sz w:val="20"/>
              </w:rPr>
              <w:t>.</w:t>
            </w:r>
          </w:p>
        </w:tc>
      </w:tr>
      <w:tr w:rsidR="00894070" w14:paraId="50A8F351" w14:textId="77777777">
        <w:trPr>
          <w:trHeight w:val="644"/>
        </w:trPr>
        <w:tc>
          <w:tcPr>
            <w:tcW w:w="2773" w:type="dxa"/>
          </w:tcPr>
          <w:p w14:paraId="68228B2C" w14:textId="77777777" w:rsidR="00894070" w:rsidRDefault="009B7AFD">
            <w:pPr>
              <w:pStyle w:val="TableParagraph"/>
              <w:spacing w:before="65"/>
              <w:rPr>
                <w:b/>
                <w:sz w:val="20"/>
              </w:rPr>
            </w:pPr>
            <w:r>
              <w:rPr>
                <w:b/>
                <w:color w:val="231F20"/>
                <w:sz w:val="20"/>
              </w:rPr>
              <w:t>Plea</w:t>
            </w:r>
          </w:p>
        </w:tc>
        <w:tc>
          <w:tcPr>
            <w:tcW w:w="5948" w:type="dxa"/>
          </w:tcPr>
          <w:p w14:paraId="10420AE7" w14:textId="77777777" w:rsidR="00894070" w:rsidRDefault="009B7AFD">
            <w:pPr>
              <w:pStyle w:val="TableParagraph"/>
              <w:spacing w:before="98" w:line="206" w:lineRule="auto"/>
              <w:rPr>
                <w:sz w:val="20"/>
              </w:rPr>
            </w:pPr>
            <w:r>
              <w:rPr>
                <w:color w:val="231F20"/>
                <w:sz w:val="20"/>
              </w:rPr>
              <w:t xml:space="preserve">When the </w:t>
            </w:r>
            <w:r>
              <w:rPr>
                <w:b/>
                <w:color w:val="231F20"/>
                <w:sz w:val="20"/>
              </w:rPr>
              <w:t xml:space="preserve">accused </w:t>
            </w:r>
            <w:r>
              <w:rPr>
                <w:color w:val="231F20"/>
                <w:sz w:val="20"/>
              </w:rPr>
              <w:t>person tells the court whether they are guilty or not guilty of the charge.</w:t>
            </w:r>
          </w:p>
        </w:tc>
      </w:tr>
      <w:tr w:rsidR="00894070" w14:paraId="04AFCFCA" w14:textId="77777777">
        <w:trPr>
          <w:trHeight w:val="2204"/>
        </w:trPr>
        <w:tc>
          <w:tcPr>
            <w:tcW w:w="2773" w:type="dxa"/>
          </w:tcPr>
          <w:p w14:paraId="7C8B5B7D" w14:textId="77777777" w:rsidR="00894070" w:rsidRDefault="009B7AFD">
            <w:pPr>
              <w:pStyle w:val="TableParagraph"/>
              <w:spacing w:before="65"/>
              <w:rPr>
                <w:b/>
                <w:sz w:val="20"/>
              </w:rPr>
            </w:pPr>
            <w:r>
              <w:rPr>
                <w:b/>
                <w:color w:val="231F20"/>
                <w:sz w:val="20"/>
              </w:rPr>
              <w:t>Prosecution</w:t>
            </w:r>
          </w:p>
        </w:tc>
        <w:tc>
          <w:tcPr>
            <w:tcW w:w="5948" w:type="dxa"/>
          </w:tcPr>
          <w:p w14:paraId="0941CE4A" w14:textId="77777777" w:rsidR="00894070" w:rsidRDefault="009B7AFD">
            <w:pPr>
              <w:pStyle w:val="TableParagraph"/>
              <w:spacing w:before="98" w:line="206" w:lineRule="auto"/>
              <w:rPr>
                <w:sz w:val="20"/>
              </w:rPr>
            </w:pPr>
            <w:r>
              <w:rPr>
                <w:color w:val="231F20"/>
                <w:sz w:val="20"/>
              </w:rPr>
              <w:t xml:space="preserve">The lawyers, individual (for example, the </w:t>
            </w:r>
            <w:r>
              <w:rPr>
                <w:b/>
                <w:color w:val="231F20"/>
                <w:sz w:val="20"/>
              </w:rPr>
              <w:t>Director of Public Prosecutions</w:t>
            </w:r>
            <w:r>
              <w:rPr>
                <w:color w:val="231F20"/>
                <w:sz w:val="20"/>
              </w:rPr>
              <w:t xml:space="preserve">) or agency (for example, the </w:t>
            </w:r>
            <w:r>
              <w:rPr>
                <w:b/>
                <w:color w:val="231F20"/>
                <w:sz w:val="20"/>
              </w:rPr>
              <w:t>Office of Public Prosecutions</w:t>
            </w:r>
            <w:r>
              <w:rPr>
                <w:color w:val="231F20"/>
                <w:sz w:val="20"/>
              </w:rPr>
              <w:t>) conducting a criminal case before the court on behalf of the investigating agency.</w:t>
            </w:r>
          </w:p>
          <w:p w14:paraId="3C93945F" w14:textId="77777777" w:rsidR="00894070" w:rsidRDefault="009B7AFD">
            <w:pPr>
              <w:pStyle w:val="TableParagraph"/>
              <w:spacing w:before="125" w:line="206" w:lineRule="auto"/>
              <w:ind w:right="464"/>
              <w:rPr>
                <w:sz w:val="20"/>
              </w:rPr>
            </w:pPr>
            <w:r>
              <w:rPr>
                <w:color w:val="231F20"/>
                <w:sz w:val="20"/>
              </w:rPr>
              <w:t xml:space="preserve">In the </w:t>
            </w:r>
            <w:r>
              <w:rPr>
                <w:b/>
                <w:color w:val="231F20"/>
                <w:sz w:val="20"/>
              </w:rPr>
              <w:t>Magistrates’ Court</w:t>
            </w:r>
            <w:r>
              <w:rPr>
                <w:color w:val="231F20"/>
                <w:sz w:val="20"/>
              </w:rPr>
              <w:t>, the investigating agency, such as Victoria Police, may itself conduct a criminal case. A ‘prosecution’ may also refer to the case against a person accused of a criminal offence.</w:t>
            </w:r>
          </w:p>
        </w:tc>
      </w:tr>
      <w:tr w:rsidR="00894070" w14:paraId="2F58A2C5" w14:textId="77777777">
        <w:trPr>
          <w:trHeight w:val="884"/>
        </w:trPr>
        <w:tc>
          <w:tcPr>
            <w:tcW w:w="2773" w:type="dxa"/>
          </w:tcPr>
          <w:p w14:paraId="67C3329A" w14:textId="77777777" w:rsidR="00894070" w:rsidRDefault="009B7AFD">
            <w:pPr>
              <w:pStyle w:val="TableParagraph"/>
              <w:spacing w:before="65"/>
              <w:rPr>
                <w:b/>
                <w:sz w:val="20"/>
              </w:rPr>
            </w:pPr>
            <w:r>
              <w:rPr>
                <w:b/>
                <w:color w:val="231F20"/>
                <w:sz w:val="20"/>
              </w:rPr>
              <w:t>Protected person</w:t>
            </w:r>
          </w:p>
        </w:tc>
        <w:tc>
          <w:tcPr>
            <w:tcW w:w="5948" w:type="dxa"/>
          </w:tcPr>
          <w:p w14:paraId="46791CF4" w14:textId="77777777" w:rsidR="00894070" w:rsidRDefault="009B7AFD">
            <w:pPr>
              <w:pStyle w:val="TableParagraph"/>
              <w:spacing w:before="98" w:line="206" w:lineRule="auto"/>
              <w:ind w:right="628"/>
              <w:rPr>
                <w:sz w:val="20"/>
              </w:rPr>
            </w:pPr>
            <w:r>
              <w:rPr>
                <w:color w:val="231F20"/>
                <w:sz w:val="20"/>
              </w:rPr>
              <w:t xml:space="preserve">A person who is protected by an </w:t>
            </w:r>
            <w:r>
              <w:rPr>
                <w:b/>
                <w:color w:val="231F20"/>
                <w:sz w:val="20"/>
              </w:rPr>
              <w:t>order</w:t>
            </w:r>
            <w:r>
              <w:rPr>
                <w:color w:val="231F20"/>
                <w:sz w:val="20"/>
              </w:rPr>
              <w:t xml:space="preserve">, such as a </w:t>
            </w:r>
            <w:r>
              <w:rPr>
                <w:b/>
                <w:color w:val="231F20"/>
                <w:sz w:val="20"/>
              </w:rPr>
              <w:t xml:space="preserve">family violence intervention order </w:t>
            </w:r>
            <w:r>
              <w:rPr>
                <w:color w:val="231F20"/>
                <w:sz w:val="20"/>
              </w:rPr>
              <w:t xml:space="preserve">or a </w:t>
            </w:r>
            <w:r>
              <w:rPr>
                <w:b/>
                <w:color w:val="231F20"/>
                <w:sz w:val="20"/>
              </w:rPr>
              <w:t>personal safety intervention order</w:t>
            </w:r>
            <w:r>
              <w:rPr>
                <w:color w:val="231F20"/>
                <w:sz w:val="20"/>
              </w:rPr>
              <w:t>.</w:t>
            </w:r>
          </w:p>
        </w:tc>
      </w:tr>
      <w:tr w:rsidR="00894070" w14:paraId="401F7E81" w14:textId="77777777">
        <w:trPr>
          <w:trHeight w:val="1964"/>
        </w:trPr>
        <w:tc>
          <w:tcPr>
            <w:tcW w:w="2773" w:type="dxa"/>
          </w:tcPr>
          <w:p w14:paraId="76692925" w14:textId="77777777" w:rsidR="00894070" w:rsidRDefault="009B7AFD">
            <w:pPr>
              <w:pStyle w:val="TableParagraph"/>
              <w:spacing w:before="65"/>
              <w:rPr>
                <w:b/>
                <w:sz w:val="20"/>
              </w:rPr>
            </w:pPr>
            <w:r>
              <w:rPr>
                <w:b/>
                <w:color w:val="231F20"/>
                <w:sz w:val="20"/>
              </w:rPr>
              <w:t>Registrar</w:t>
            </w:r>
          </w:p>
        </w:tc>
        <w:tc>
          <w:tcPr>
            <w:tcW w:w="5948" w:type="dxa"/>
          </w:tcPr>
          <w:p w14:paraId="3B5C5884" w14:textId="77777777" w:rsidR="00894070" w:rsidRDefault="009B7AFD">
            <w:pPr>
              <w:pStyle w:val="TableParagraph"/>
              <w:spacing w:before="98" w:line="206" w:lineRule="auto"/>
              <w:ind w:right="741"/>
              <w:jc w:val="both"/>
              <w:rPr>
                <w:sz w:val="20"/>
              </w:rPr>
            </w:pPr>
            <w:r>
              <w:rPr>
                <w:color w:val="231F20"/>
                <w:sz w:val="20"/>
              </w:rPr>
              <w:t>A</w:t>
            </w:r>
            <w:r>
              <w:rPr>
                <w:color w:val="231F20"/>
                <w:spacing w:val="-7"/>
                <w:sz w:val="20"/>
              </w:rPr>
              <w:t xml:space="preserve"> </w:t>
            </w:r>
            <w:r>
              <w:rPr>
                <w:color w:val="231F20"/>
                <w:sz w:val="20"/>
              </w:rPr>
              <w:t>person</w:t>
            </w:r>
            <w:r>
              <w:rPr>
                <w:color w:val="231F20"/>
                <w:spacing w:val="-6"/>
                <w:sz w:val="20"/>
              </w:rPr>
              <w:t xml:space="preserve"> </w:t>
            </w:r>
            <w:r>
              <w:rPr>
                <w:color w:val="231F20"/>
                <w:sz w:val="20"/>
              </w:rPr>
              <w:t>who</w:t>
            </w:r>
            <w:r>
              <w:rPr>
                <w:color w:val="231F20"/>
                <w:spacing w:val="-7"/>
                <w:sz w:val="20"/>
              </w:rPr>
              <w:t xml:space="preserve"> </w:t>
            </w:r>
            <w:r>
              <w:rPr>
                <w:color w:val="231F20"/>
                <w:sz w:val="20"/>
              </w:rPr>
              <w:t>is</w:t>
            </w:r>
            <w:r>
              <w:rPr>
                <w:color w:val="231F20"/>
                <w:spacing w:val="-6"/>
                <w:sz w:val="20"/>
              </w:rPr>
              <w:t xml:space="preserve"> </w:t>
            </w:r>
            <w:r>
              <w:rPr>
                <w:color w:val="231F20"/>
                <w:sz w:val="20"/>
              </w:rPr>
              <w:t>responsible</w:t>
            </w:r>
            <w:r>
              <w:rPr>
                <w:color w:val="231F20"/>
                <w:spacing w:val="-7"/>
                <w:sz w:val="20"/>
              </w:rPr>
              <w:t xml:space="preserve"> </w:t>
            </w:r>
            <w:r>
              <w:rPr>
                <w:color w:val="231F20"/>
                <w:sz w:val="20"/>
              </w:rPr>
              <w:t>for</w:t>
            </w:r>
            <w:r>
              <w:rPr>
                <w:color w:val="231F20"/>
                <w:spacing w:val="-6"/>
                <w:sz w:val="20"/>
              </w:rPr>
              <w:t xml:space="preserve"> </w:t>
            </w:r>
            <w:r>
              <w:rPr>
                <w:color w:val="231F20"/>
                <w:sz w:val="20"/>
              </w:rPr>
              <w:t>the</w:t>
            </w:r>
            <w:r>
              <w:rPr>
                <w:color w:val="231F20"/>
                <w:spacing w:val="-7"/>
                <w:sz w:val="20"/>
              </w:rPr>
              <w:t xml:space="preserve"> </w:t>
            </w:r>
            <w:r>
              <w:rPr>
                <w:color w:val="231F20"/>
                <w:sz w:val="20"/>
              </w:rPr>
              <w:t>administrative</w:t>
            </w:r>
            <w:r>
              <w:rPr>
                <w:color w:val="231F20"/>
                <w:spacing w:val="-6"/>
                <w:sz w:val="20"/>
              </w:rPr>
              <w:t xml:space="preserve"> </w:t>
            </w:r>
            <w:r>
              <w:rPr>
                <w:color w:val="231F20"/>
                <w:sz w:val="20"/>
              </w:rPr>
              <w:t xml:space="preserve">work of courts. Registrars process court documents, answer enquiries, and manage </w:t>
            </w:r>
            <w:r>
              <w:rPr>
                <w:b/>
                <w:color w:val="231F20"/>
                <w:sz w:val="20"/>
              </w:rPr>
              <w:t>court</w:t>
            </w:r>
            <w:r>
              <w:rPr>
                <w:b/>
                <w:color w:val="231F20"/>
                <w:spacing w:val="-9"/>
                <w:sz w:val="20"/>
              </w:rPr>
              <w:t xml:space="preserve"> </w:t>
            </w:r>
            <w:r>
              <w:rPr>
                <w:b/>
                <w:color w:val="231F20"/>
                <w:sz w:val="20"/>
              </w:rPr>
              <w:t>lists</w:t>
            </w:r>
            <w:r>
              <w:rPr>
                <w:color w:val="231F20"/>
                <w:sz w:val="20"/>
              </w:rPr>
              <w:t>.</w:t>
            </w:r>
          </w:p>
          <w:p w14:paraId="60BCA554" w14:textId="77777777" w:rsidR="00894070" w:rsidRDefault="009B7AFD">
            <w:pPr>
              <w:pStyle w:val="TableParagraph"/>
              <w:spacing w:before="124" w:line="206" w:lineRule="auto"/>
              <w:ind w:right="6"/>
              <w:rPr>
                <w:sz w:val="20"/>
              </w:rPr>
            </w:pPr>
            <w:r>
              <w:rPr>
                <w:color w:val="231F20"/>
                <w:sz w:val="20"/>
              </w:rPr>
              <w:t xml:space="preserve">A </w:t>
            </w:r>
            <w:r>
              <w:rPr>
                <w:b/>
                <w:color w:val="231F20"/>
                <w:sz w:val="20"/>
              </w:rPr>
              <w:t xml:space="preserve">judicial registrar </w:t>
            </w:r>
            <w:r>
              <w:rPr>
                <w:color w:val="231F20"/>
                <w:sz w:val="20"/>
              </w:rPr>
              <w:t xml:space="preserve">helps manage a court’s workload by hearing (considering and deciding on) certain matters. For example, in the </w:t>
            </w:r>
            <w:r>
              <w:rPr>
                <w:b/>
                <w:color w:val="231F20"/>
                <w:sz w:val="20"/>
              </w:rPr>
              <w:t>Magistrates’ Court</w:t>
            </w:r>
            <w:r>
              <w:rPr>
                <w:color w:val="231F20"/>
                <w:sz w:val="20"/>
              </w:rPr>
              <w:t xml:space="preserve">, judicial registrars can hear </w:t>
            </w:r>
            <w:r>
              <w:rPr>
                <w:b/>
                <w:color w:val="231F20"/>
                <w:sz w:val="20"/>
              </w:rPr>
              <w:t xml:space="preserve">personal safety intervention order </w:t>
            </w:r>
            <w:r>
              <w:rPr>
                <w:color w:val="231F20"/>
                <w:sz w:val="20"/>
              </w:rPr>
              <w:t>applications.</w:t>
            </w:r>
          </w:p>
        </w:tc>
      </w:tr>
      <w:tr w:rsidR="00894070" w14:paraId="1FD01942" w14:textId="77777777">
        <w:trPr>
          <w:trHeight w:val="884"/>
        </w:trPr>
        <w:tc>
          <w:tcPr>
            <w:tcW w:w="2773" w:type="dxa"/>
          </w:tcPr>
          <w:p w14:paraId="1344DF6D" w14:textId="77777777" w:rsidR="00894070" w:rsidRDefault="009B7AFD">
            <w:pPr>
              <w:pStyle w:val="TableParagraph"/>
              <w:spacing w:before="65"/>
              <w:rPr>
                <w:b/>
                <w:sz w:val="20"/>
              </w:rPr>
            </w:pPr>
            <w:r>
              <w:rPr>
                <w:b/>
                <w:color w:val="231F20"/>
                <w:sz w:val="20"/>
              </w:rPr>
              <w:t>Respondent</w:t>
            </w:r>
          </w:p>
        </w:tc>
        <w:tc>
          <w:tcPr>
            <w:tcW w:w="5948" w:type="dxa"/>
          </w:tcPr>
          <w:p w14:paraId="543C13CA" w14:textId="77777777" w:rsidR="00894070" w:rsidRDefault="009B7AFD">
            <w:pPr>
              <w:pStyle w:val="TableParagraph"/>
              <w:spacing w:before="98" w:line="206" w:lineRule="auto"/>
              <w:rPr>
                <w:sz w:val="20"/>
              </w:rPr>
            </w:pPr>
            <w:r>
              <w:rPr>
                <w:color w:val="231F20"/>
                <w:sz w:val="20"/>
              </w:rPr>
              <w:t xml:space="preserve">A person who has had an </w:t>
            </w:r>
            <w:r>
              <w:rPr>
                <w:b/>
                <w:color w:val="231F20"/>
                <w:sz w:val="20"/>
              </w:rPr>
              <w:t>order</w:t>
            </w:r>
            <w:r>
              <w:rPr>
                <w:color w:val="231F20"/>
                <w:sz w:val="20"/>
              </w:rPr>
              <w:t xml:space="preserve">, or an application for an order (such as a </w:t>
            </w:r>
            <w:r>
              <w:rPr>
                <w:b/>
                <w:color w:val="231F20"/>
                <w:sz w:val="20"/>
              </w:rPr>
              <w:t xml:space="preserve">personal safety intervention order </w:t>
            </w:r>
            <w:r>
              <w:rPr>
                <w:color w:val="231F20"/>
                <w:sz w:val="20"/>
              </w:rPr>
              <w:t xml:space="preserve">or a </w:t>
            </w:r>
            <w:r>
              <w:rPr>
                <w:b/>
                <w:color w:val="231F20"/>
                <w:sz w:val="20"/>
              </w:rPr>
              <w:t>family violence intervention order</w:t>
            </w:r>
            <w:r>
              <w:rPr>
                <w:color w:val="231F20"/>
                <w:sz w:val="20"/>
              </w:rPr>
              <w:t>), made against them.</w:t>
            </w:r>
          </w:p>
        </w:tc>
      </w:tr>
      <w:tr w:rsidR="00894070" w14:paraId="0CCC7638" w14:textId="77777777">
        <w:trPr>
          <w:trHeight w:val="644"/>
        </w:trPr>
        <w:tc>
          <w:tcPr>
            <w:tcW w:w="2773" w:type="dxa"/>
          </w:tcPr>
          <w:p w14:paraId="0D65A989" w14:textId="77777777" w:rsidR="00894070" w:rsidRDefault="009B7AFD">
            <w:pPr>
              <w:pStyle w:val="TableParagraph"/>
              <w:spacing w:before="65"/>
              <w:rPr>
                <w:b/>
                <w:sz w:val="20"/>
              </w:rPr>
            </w:pPr>
            <w:r>
              <w:rPr>
                <w:b/>
                <w:color w:val="231F20"/>
                <w:sz w:val="20"/>
              </w:rPr>
              <w:t>Sentence</w:t>
            </w:r>
          </w:p>
        </w:tc>
        <w:tc>
          <w:tcPr>
            <w:tcW w:w="5948" w:type="dxa"/>
          </w:tcPr>
          <w:p w14:paraId="102594DC" w14:textId="77777777" w:rsidR="00894070" w:rsidRDefault="009B7AFD">
            <w:pPr>
              <w:pStyle w:val="TableParagraph"/>
              <w:spacing w:before="98" w:line="206" w:lineRule="auto"/>
              <w:ind w:right="308"/>
              <w:rPr>
                <w:sz w:val="20"/>
              </w:rPr>
            </w:pPr>
            <w:r>
              <w:rPr>
                <w:color w:val="231F20"/>
                <w:sz w:val="20"/>
              </w:rPr>
              <w:t xml:space="preserve">The penalty given to an </w:t>
            </w:r>
            <w:r>
              <w:rPr>
                <w:b/>
                <w:color w:val="231F20"/>
                <w:sz w:val="20"/>
              </w:rPr>
              <w:t xml:space="preserve">offender </w:t>
            </w:r>
            <w:r>
              <w:rPr>
                <w:color w:val="231F20"/>
                <w:sz w:val="20"/>
              </w:rPr>
              <w:t>by a court. For example, a fine or a term of imprisonment.</w:t>
            </w:r>
          </w:p>
        </w:tc>
      </w:tr>
      <w:tr w:rsidR="00894070" w14:paraId="6EAB1742" w14:textId="77777777">
        <w:trPr>
          <w:trHeight w:val="3644"/>
        </w:trPr>
        <w:tc>
          <w:tcPr>
            <w:tcW w:w="2773" w:type="dxa"/>
          </w:tcPr>
          <w:p w14:paraId="1AE001F6" w14:textId="77777777" w:rsidR="00894070" w:rsidRDefault="009B7AFD">
            <w:pPr>
              <w:pStyle w:val="TableParagraph"/>
              <w:spacing w:before="66"/>
              <w:rPr>
                <w:b/>
                <w:sz w:val="20"/>
              </w:rPr>
            </w:pPr>
            <w:r>
              <w:rPr>
                <w:b/>
                <w:color w:val="231F20"/>
                <w:sz w:val="20"/>
              </w:rPr>
              <w:t>Stalking</w:t>
            </w:r>
          </w:p>
        </w:tc>
        <w:tc>
          <w:tcPr>
            <w:tcW w:w="5948" w:type="dxa"/>
          </w:tcPr>
          <w:p w14:paraId="1EB7F603" w14:textId="77777777" w:rsidR="00894070" w:rsidRDefault="009B7AFD">
            <w:pPr>
              <w:pStyle w:val="TableParagraph"/>
              <w:spacing w:before="98" w:line="206" w:lineRule="auto"/>
              <w:ind w:right="227"/>
              <w:rPr>
                <w:sz w:val="20"/>
              </w:rPr>
            </w:pPr>
            <w:r>
              <w:rPr>
                <w:color w:val="231F20"/>
                <w:sz w:val="20"/>
              </w:rPr>
              <w:t xml:space="preserve">A crime </w:t>
            </w:r>
            <w:r>
              <w:rPr>
                <w:color w:val="231F20"/>
                <w:spacing w:val="-3"/>
                <w:sz w:val="20"/>
              </w:rPr>
              <w:t xml:space="preserve">involving </w:t>
            </w:r>
            <w:r>
              <w:rPr>
                <w:color w:val="231F20"/>
                <w:sz w:val="20"/>
              </w:rPr>
              <w:t xml:space="preserve">one or more of a range of </w:t>
            </w:r>
            <w:proofErr w:type="spellStart"/>
            <w:r>
              <w:rPr>
                <w:color w:val="231F20"/>
                <w:sz w:val="20"/>
              </w:rPr>
              <w:t>behaviours</w:t>
            </w:r>
            <w:proofErr w:type="spellEnd"/>
            <w:r>
              <w:rPr>
                <w:color w:val="231F20"/>
                <w:sz w:val="20"/>
              </w:rPr>
              <w:t>,</w:t>
            </w:r>
            <w:r>
              <w:rPr>
                <w:color w:val="231F20"/>
                <w:spacing w:val="-33"/>
                <w:sz w:val="20"/>
              </w:rPr>
              <w:t xml:space="preserve"> </w:t>
            </w:r>
            <w:r>
              <w:rPr>
                <w:color w:val="231F20"/>
                <w:sz w:val="20"/>
              </w:rPr>
              <w:t xml:space="preserve">done more than once or for an extended period. Examples of </w:t>
            </w:r>
            <w:proofErr w:type="spellStart"/>
            <w:r>
              <w:rPr>
                <w:color w:val="231F20"/>
                <w:sz w:val="20"/>
              </w:rPr>
              <w:t>behaviours</w:t>
            </w:r>
            <w:proofErr w:type="spellEnd"/>
            <w:r>
              <w:rPr>
                <w:color w:val="231F20"/>
                <w:sz w:val="20"/>
              </w:rPr>
              <w:t xml:space="preserve"> include following a person, tracing their internet use, or keeping them under surveillance. The </w:t>
            </w:r>
            <w:proofErr w:type="spellStart"/>
            <w:r>
              <w:rPr>
                <w:color w:val="231F20"/>
                <w:sz w:val="20"/>
              </w:rPr>
              <w:t>behaviours</w:t>
            </w:r>
            <w:proofErr w:type="spellEnd"/>
            <w:r>
              <w:rPr>
                <w:color w:val="231F20"/>
                <w:sz w:val="20"/>
              </w:rPr>
              <w:t xml:space="preserve"> on their own may not be illegal, but when they come together in a ‘course of conduct’ directed at a person, with a specific intent, the </w:t>
            </w:r>
            <w:proofErr w:type="spellStart"/>
            <w:r>
              <w:rPr>
                <w:color w:val="231F20"/>
                <w:sz w:val="20"/>
              </w:rPr>
              <w:t>behaviour</w:t>
            </w:r>
            <w:proofErr w:type="spellEnd"/>
            <w:r>
              <w:rPr>
                <w:color w:val="231F20"/>
                <w:sz w:val="20"/>
              </w:rPr>
              <w:t xml:space="preserve"> becomes</w:t>
            </w:r>
            <w:r>
              <w:rPr>
                <w:color w:val="231F20"/>
                <w:spacing w:val="-10"/>
                <w:sz w:val="20"/>
              </w:rPr>
              <w:t xml:space="preserve"> </w:t>
            </w:r>
            <w:r>
              <w:rPr>
                <w:color w:val="231F20"/>
                <w:sz w:val="20"/>
              </w:rPr>
              <w:t>criminal.</w:t>
            </w:r>
          </w:p>
          <w:p w14:paraId="12659B0C" w14:textId="77777777" w:rsidR="00894070" w:rsidRDefault="009B7AFD">
            <w:pPr>
              <w:pStyle w:val="TableParagraph"/>
              <w:spacing w:before="129" w:line="206" w:lineRule="auto"/>
              <w:rPr>
                <w:sz w:val="20"/>
              </w:rPr>
            </w:pPr>
            <w:r>
              <w:rPr>
                <w:b/>
                <w:color w:val="231F20"/>
                <w:sz w:val="20"/>
              </w:rPr>
              <w:t xml:space="preserve">Family violence stalking </w:t>
            </w:r>
            <w:r>
              <w:rPr>
                <w:color w:val="231F20"/>
                <w:sz w:val="20"/>
              </w:rPr>
              <w:t xml:space="preserve">is stalking that is linked to </w:t>
            </w:r>
            <w:r>
              <w:rPr>
                <w:b/>
                <w:color w:val="231F20"/>
                <w:sz w:val="20"/>
              </w:rPr>
              <w:t>family violence</w:t>
            </w:r>
            <w:r>
              <w:rPr>
                <w:color w:val="231F20"/>
                <w:sz w:val="20"/>
              </w:rPr>
              <w:t>. For example, stalking by a partner or ex-partner.</w:t>
            </w:r>
          </w:p>
          <w:p w14:paraId="5EF9D98C" w14:textId="77777777" w:rsidR="00894070" w:rsidRDefault="009B7AFD">
            <w:pPr>
              <w:pStyle w:val="TableParagraph"/>
              <w:spacing w:before="122" w:line="206" w:lineRule="auto"/>
              <w:ind w:right="149" w:hanging="1"/>
              <w:rPr>
                <w:sz w:val="20"/>
              </w:rPr>
            </w:pPr>
            <w:r>
              <w:rPr>
                <w:b/>
                <w:color w:val="231F20"/>
                <w:sz w:val="20"/>
              </w:rPr>
              <w:t xml:space="preserve">Non-family violence stalking </w:t>
            </w:r>
            <w:r>
              <w:rPr>
                <w:color w:val="231F20"/>
                <w:sz w:val="20"/>
              </w:rPr>
              <w:t xml:space="preserve">is stalking by a person outside a </w:t>
            </w:r>
            <w:r>
              <w:rPr>
                <w:b/>
                <w:color w:val="231F20"/>
                <w:sz w:val="20"/>
              </w:rPr>
              <w:t xml:space="preserve">family violence </w:t>
            </w:r>
            <w:r>
              <w:rPr>
                <w:color w:val="231F20"/>
                <w:sz w:val="20"/>
              </w:rPr>
              <w:t xml:space="preserve">context. For example, stalking by an acquaintance, colleague, or </w:t>
            </w:r>
            <w:proofErr w:type="spellStart"/>
            <w:r>
              <w:rPr>
                <w:color w:val="231F20"/>
                <w:sz w:val="20"/>
              </w:rPr>
              <w:t>neighbour</w:t>
            </w:r>
            <w:proofErr w:type="spellEnd"/>
            <w:r>
              <w:rPr>
                <w:color w:val="231F20"/>
                <w:sz w:val="20"/>
              </w:rPr>
              <w:t>.</w:t>
            </w:r>
          </w:p>
          <w:p w14:paraId="321BC6EC" w14:textId="77777777" w:rsidR="00894070" w:rsidRDefault="009B7AFD">
            <w:pPr>
              <w:pStyle w:val="TableParagraph"/>
              <w:spacing w:before="92"/>
              <w:rPr>
                <w:b/>
                <w:sz w:val="20"/>
              </w:rPr>
            </w:pPr>
            <w:r>
              <w:rPr>
                <w:b/>
                <w:color w:val="231F20"/>
                <w:sz w:val="20"/>
              </w:rPr>
              <w:t>In this report, our focus is on non-family violence stalking.</w:t>
            </w:r>
          </w:p>
        </w:tc>
      </w:tr>
    </w:tbl>
    <w:p w14:paraId="34A842C7" w14:textId="77777777" w:rsidR="00894070" w:rsidRDefault="009B7AFD">
      <w:pPr>
        <w:spacing w:before="75"/>
        <w:ind w:right="215"/>
        <w:jc w:val="right"/>
        <w:rPr>
          <w:b/>
          <w:sz w:val="24"/>
        </w:rPr>
      </w:pPr>
      <w:r>
        <w:rPr>
          <w:b/>
          <w:color w:val="EA5B50"/>
          <w:sz w:val="24"/>
        </w:rPr>
        <w:t>xix</w:t>
      </w:r>
    </w:p>
    <w:p w14:paraId="36169340" w14:textId="77777777" w:rsidR="00894070" w:rsidRDefault="00894070">
      <w:pPr>
        <w:jc w:val="right"/>
        <w:rPr>
          <w:sz w:val="24"/>
        </w:rPr>
        <w:sectPr w:rsidR="00894070">
          <w:pgSz w:w="11910" w:h="16840"/>
          <w:pgMar w:top="840" w:right="420" w:bottom="280" w:left="580" w:header="0" w:footer="0" w:gutter="0"/>
          <w:cols w:space="720"/>
        </w:sectPr>
      </w:pPr>
    </w:p>
    <w:p w14:paraId="1B1BD89E" w14:textId="77777777" w:rsidR="00894070" w:rsidRDefault="00894070">
      <w:pPr>
        <w:pStyle w:val="BodyText"/>
        <w:rPr>
          <w:b/>
        </w:rPr>
      </w:pPr>
    </w:p>
    <w:p w14:paraId="1651DB20" w14:textId="77777777" w:rsidR="00894070" w:rsidRDefault="00894070">
      <w:pPr>
        <w:pStyle w:val="BodyText"/>
        <w:rPr>
          <w:b/>
        </w:rPr>
      </w:pPr>
    </w:p>
    <w:p w14:paraId="5D50172A" w14:textId="77777777" w:rsidR="00894070" w:rsidRDefault="00894070">
      <w:pPr>
        <w:pStyle w:val="BodyText"/>
        <w:rPr>
          <w:b/>
        </w:rPr>
      </w:pPr>
    </w:p>
    <w:p w14:paraId="64959D78" w14:textId="77777777" w:rsidR="00894070" w:rsidRDefault="00894070">
      <w:pPr>
        <w:pStyle w:val="BodyText"/>
        <w:spacing w:before="8"/>
        <w:rPr>
          <w:b/>
          <w:sz w:val="19"/>
        </w:rPr>
      </w:pPr>
    </w:p>
    <w:tbl>
      <w:tblPr>
        <w:tblW w:w="0" w:type="auto"/>
        <w:tblInd w:w="1034"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773"/>
        <w:gridCol w:w="5948"/>
      </w:tblGrid>
      <w:tr w:rsidR="00894070" w14:paraId="72D5BAC0" w14:textId="77777777">
        <w:trPr>
          <w:trHeight w:val="1484"/>
        </w:trPr>
        <w:tc>
          <w:tcPr>
            <w:tcW w:w="2773" w:type="dxa"/>
          </w:tcPr>
          <w:p w14:paraId="5AC6DE0F" w14:textId="77777777" w:rsidR="00894070" w:rsidRDefault="009B7AFD">
            <w:pPr>
              <w:pStyle w:val="TableParagraph"/>
              <w:spacing w:before="65"/>
              <w:rPr>
                <w:b/>
                <w:sz w:val="20"/>
              </w:rPr>
            </w:pPr>
            <w:r>
              <w:rPr>
                <w:b/>
                <w:color w:val="231F20"/>
                <w:sz w:val="20"/>
              </w:rPr>
              <w:t>Standard of proof</w:t>
            </w:r>
          </w:p>
        </w:tc>
        <w:tc>
          <w:tcPr>
            <w:tcW w:w="5948" w:type="dxa"/>
          </w:tcPr>
          <w:p w14:paraId="1A41BAA5" w14:textId="77777777" w:rsidR="00894070" w:rsidRDefault="009B7AFD">
            <w:pPr>
              <w:pStyle w:val="TableParagraph"/>
              <w:spacing w:before="98" w:line="206" w:lineRule="auto"/>
              <w:ind w:right="120"/>
              <w:rPr>
                <w:sz w:val="20"/>
              </w:rPr>
            </w:pPr>
            <w:r>
              <w:rPr>
                <w:color w:val="231F20"/>
                <w:sz w:val="20"/>
              </w:rPr>
              <w:t>The level of certainty and the degree of evidence necessary to establish that a criminal or civil case has been proved.</w:t>
            </w:r>
          </w:p>
          <w:p w14:paraId="66A21392" w14:textId="77777777" w:rsidR="00894070" w:rsidRDefault="009B7AFD">
            <w:pPr>
              <w:pStyle w:val="TableParagraph"/>
              <w:spacing w:before="122" w:line="206" w:lineRule="auto"/>
              <w:ind w:right="120"/>
              <w:rPr>
                <w:sz w:val="20"/>
              </w:rPr>
            </w:pPr>
            <w:r>
              <w:rPr>
                <w:color w:val="231F20"/>
                <w:sz w:val="20"/>
              </w:rPr>
              <w:t xml:space="preserve">The standard of proof for criminal cases is </w:t>
            </w:r>
            <w:r>
              <w:rPr>
                <w:b/>
                <w:color w:val="231F20"/>
                <w:sz w:val="20"/>
              </w:rPr>
              <w:t>beyond reasonable doubt</w:t>
            </w:r>
            <w:r>
              <w:rPr>
                <w:color w:val="231F20"/>
                <w:sz w:val="20"/>
              </w:rPr>
              <w:t xml:space="preserve">; for civil cases it is the </w:t>
            </w:r>
            <w:r>
              <w:rPr>
                <w:b/>
                <w:color w:val="231F20"/>
                <w:sz w:val="20"/>
              </w:rPr>
              <w:t>balance of probabilities</w:t>
            </w:r>
            <w:r>
              <w:rPr>
                <w:color w:val="231F20"/>
                <w:sz w:val="20"/>
              </w:rPr>
              <w:t>.</w:t>
            </w:r>
          </w:p>
        </w:tc>
      </w:tr>
      <w:tr w:rsidR="00894070" w14:paraId="3A41F00E" w14:textId="77777777">
        <w:trPr>
          <w:trHeight w:val="884"/>
        </w:trPr>
        <w:tc>
          <w:tcPr>
            <w:tcW w:w="2773" w:type="dxa"/>
          </w:tcPr>
          <w:p w14:paraId="0C6A5B7A" w14:textId="77777777" w:rsidR="00894070" w:rsidRDefault="009B7AFD">
            <w:pPr>
              <w:pStyle w:val="TableParagraph"/>
              <w:spacing w:before="65"/>
              <w:rPr>
                <w:b/>
                <w:sz w:val="20"/>
              </w:rPr>
            </w:pPr>
            <w:r>
              <w:rPr>
                <w:b/>
                <w:color w:val="231F20"/>
                <w:sz w:val="20"/>
              </w:rPr>
              <w:t>Summary offence</w:t>
            </w:r>
          </w:p>
        </w:tc>
        <w:tc>
          <w:tcPr>
            <w:tcW w:w="5948" w:type="dxa"/>
          </w:tcPr>
          <w:p w14:paraId="67441762" w14:textId="77777777" w:rsidR="00894070" w:rsidRDefault="009B7AFD">
            <w:pPr>
              <w:pStyle w:val="TableParagraph"/>
              <w:spacing w:before="98" w:line="206" w:lineRule="auto"/>
              <w:rPr>
                <w:sz w:val="20"/>
              </w:rPr>
            </w:pPr>
            <w:r>
              <w:rPr>
                <w:color w:val="231F20"/>
                <w:sz w:val="20"/>
              </w:rPr>
              <w:t xml:space="preserve">A criminal offence that may be dealt with ‘summarily’ by a </w:t>
            </w:r>
            <w:r>
              <w:rPr>
                <w:b/>
                <w:color w:val="231F20"/>
                <w:sz w:val="20"/>
              </w:rPr>
              <w:t>magistrate</w:t>
            </w:r>
            <w:r>
              <w:rPr>
                <w:color w:val="231F20"/>
                <w:sz w:val="20"/>
              </w:rPr>
              <w:t xml:space="preserve">, without a jury. Less serious than an </w:t>
            </w:r>
            <w:r>
              <w:rPr>
                <w:b/>
                <w:color w:val="231F20"/>
                <w:sz w:val="20"/>
              </w:rPr>
              <w:t>indictable offence</w:t>
            </w:r>
            <w:r>
              <w:rPr>
                <w:color w:val="231F20"/>
                <w:sz w:val="20"/>
              </w:rPr>
              <w:t>.</w:t>
            </w:r>
          </w:p>
        </w:tc>
      </w:tr>
      <w:tr w:rsidR="00894070" w14:paraId="0846893D" w14:textId="77777777">
        <w:trPr>
          <w:trHeight w:val="1124"/>
        </w:trPr>
        <w:tc>
          <w:tcPr>
            <w:tcW w:w="2773" w:type="dxa"/>
          </w:tcPr>
          <w:p w14:paraId="0EA320AE" w14:textId="77777777" w:rsidR="00894070" w:rsidRDefault="009B7AFD">
            <w:pPr>
              <w:pStyle w:val="TableParagraph"/>
              <w:spacing w:before="65"/>
              <w:rPr>
                <w:b/>
                <w:sz w:val="20"/>
              </w:rPr>
            </w:pPr>
            <w:r>
              <w:rPr>
                <w:b/>
                <w:color w:val="231F20"/>
                <w:sz w:val="20"/>
              </w:rPr>
              <w:t>Supreme Court of Victoria</w:t>
            </w:r>
          </w:p>
        </w:tc>
        <w:tc>
          <w:tcPr>
            <w:tcW w:w="5948" w:type="dxa"/>
          </w:tcPr>
          <w:p w14:paraId="232973A7" w14:textId="77777777" w:rsidR="00894070" w:rsidRDefault="009B7AFD">
            <w:pPr>
              <w:pStyle w:val="TableParagraph"/>
              <w:spacing w:before="98" w:line="206" w:lineRule="auto"/>
              <w:ind w:right="120"/>
              <w:rPr>
                <w:sz w:val="20"/>
              </w:rPr>
            </w:pPr>
            <w:r>
              <w:rPr>
                <w:color w:val="231F20"/>
                <w:sz w:val="20"/>
              </w:rPr>
              <w:t xml:space="preserve">The highest court in Victoria that deals with the most serious criminal offences. The Court of Appeal is a division of the Supreme </w:t>
            </w:r>
            <w:proofErr w:type="gramStart"/>
            <w:r>
              <w:rPr>
                <w:color w:val="231F20"/>
                <w:sz w:val="20"/>
              </w:rPr>
              <w:t>Court</w:t>
            </w:r>
            <w:proofErr w:type="gramEnd"/>
            <w:r>
              <w:rPr>
                <w:color w:val="231F20"/>
                <w:sz w:val="20"/>
              </w:rPr>
              <w:t xml:space="preserve"> and it hears criminal </w:t>
            </w:r>
            <w:r>
              <w:rPr>
                <w:b/>
                <w:color w:val="231F20"/>
                <w:sz w:val="20"/>
              </w:rPr>
              <w:t xml:space="preserve">appeals </w:t>
            </w:r>
            <w:r>
              <w:rPr>
                <w:color w:val="231F20"/>
                <w:sz w:val="20"/>
              </w:rPr>
              <w:t xml:space="preserve">from the Supreme Court or </w:t>
            </w:r>
            <w:r>
              <w:rPr>
                <w:b/>
                <w:color w:val="231F20"/>
                <w:sz w:val="20"/>
              </w:rPr>
              <w:t>County Court</w:t>
            </w:r>
            <w:r>
              <w:rPr>
                <w:color w:val="231F20"/>
                <w:sz w:val="20"/>
              </w:rPr>
              <w:t>.</w:t>
            </w:r>
          </w:p>
        </w:tc>
      </w:tr>
      <w:tr w:rsidR="00894070" w14:paraId="26237F39" w14:textId="77777777">
        <w:trPr>
          <w:trHeight w:val="884"/>
        </w:trPr>
        <w:tc>
          <w:tcPr>
            <w:tcW w:w="2773" w:type="dxa"/>
          </w:tcPr>
          <w:p w14:paraId="150BAC26" w14:textId="77777777" w:rsidR="00894070" w:rsidRDefault="009B7AFD">
            <w:pPr>
              <w:pStyle w:val="TableParagraph"/>
              <w:spacing w:before="65"/>
              <w:rPr>
                <w:b/>
                <w:sz w:val="20"/>
              </w:rPr>
            </w:pPr>
            <w:r>
              <w:rPr>
                <w:b/>
                <w:color w:val="231F20"/>
                <w:sz w:val="20"/>
              </w:rPr>
              <w:t>Therapeutic intervention</w:t>
            </w:r>
          </w:p>
        </w:tc>
        <w:tc>
          <w:tcPr>
            <w:tcW w:w="5948" w:type="dxa"/>
          </w:tcPr>
          <w:p w14:paraId="7BD7F01D" w14:textId="77777777" w:rsidR="00894070" w:rsidRDefault="009B7AFD">
            <w:pPr>
              <w:pStyle w:val="TableParagraph"/>
              <w:spacing w:before="98" w:line="206" w:lineRule="auto"/>
              <w:ind w:right="398"/>
              <w:rPr>
                <w:sz w:val="20"/>
              </w:rPr>
            </w:pPr>
            <w:r>
              <w:rPr>
                <w:color w:val="231F20"/>
                <w:sz w:val="20"/>
              </w:rPr>
              <w:t xml:space="preserve">Problem-solving approaches that try to address the issues or causes contributing to a person’s unlawful or criminal </w:t>
            </w:r>
            <w:proofErr w:type="spellStart"/>
            <w:r>
              <w:rPr>
                <w:color w:val="231F20"/>
                <w:sz w:val="20"/>
              </w:rPr>
              <w:t>behaviour</w:t>
            </w:r>
            <w:proofErr w:type="spellEnd"/>
            <w:r>
              <w:rPr>
                <w:color w:val="231F20"/>
                <w:sz w:val="20"/>
              </w:rPr>
              <w:t>.</w:t>
            </w:r>
          </w:p>
        </w:tc>
      </w:tr>
      <w:tr w:rsidR="00894070" w14:paraId="5B4A9F29" w14:textId="77777777">
        <w:trPr>
          <w:trHeight w:val="2804"/>
        </w:trPr>
        <w:tc>
          <w:tcPr>
            <w:tcW w:w="2773" w:type="dxa"/>
          </w:tcPr>
          <w:p w14:paraId="3AD47CC2" w14:textId="77777777" w:rsidR="00894070" w:rsidRDefault="009B7AFD">
            <w:pPr>
              <w:pStyle w:val="TableParagraph"/>
              <w:spacing w:before="65"/>
              <w:rPr>
                <w:b/>
                <w:sz w:val="20"/>
              </w:rPr>
            </w:pPr>
            <w:r>
              <w:rPr>
                <w:b/>
                <w:color w:val="231F20"/>
                <w:sz w:val="20"/>
              </w:rPr>
              <w:t>Victim/victim survivor</w:t>
            </w:r>
          </w:p>
        </w:tc>
        <w:tc>
          <w:tcPr>
            <w:tcW w:w="5948" w:type="dxa"/>
          </w:tcPr>
          <w:p w14:paraId="04C2EA28" w14:textId="77777777" w:rsidR="00894070" w:rsidRDefault="009B7AFD">
            <w:pPr>
              <w:pStyle w:val="TableParagraph"/>
              <w:spacing w:before="98" w:line="206" w:lineRule="auto"/>
              <w:ind w:right="120"/>
              <w:rPr>
                <w:sz w:val="20"/>
              </w:rPr>
            </w:pPr>
            <w:r>
              <w:rPr>
                <w:color w:val="231F20"/>
                <w:sz w:val="20"/>
              </w:rPr>
              <w:t xml:space="preserve">In a </w:t>
            </w:r>
            <w:r>
              <w:rPr>
                <w:b/>
                <w:color w:val="231F20"/>
                <w:sz w:val="20"/>
              </w:rPr>
              <w:t>criminal proceeding</w:t>
            </w:r>
            <w:r>
              <w:rPr>
                <w:color w:val="231F20"/>
                <w:sz w:val="20"/>
              </w:rPr>
              <w:t xml:space="preserve">, a victim is a person who has suffered harm </w:t>
            </w:r>
            <w:proofErr w:type="gramStart"/>
            <w:r>
              <w:rPr>
                <w:color w:val="231F20"/>
                <w:sz w:val="20"/>
              </w:rPr>
              <w:t>as a result of</w:t>
            </w:r>
            <w:proofErr w:type="gramEnd"/>
            <w:r>
              <w:rPr>
                <w:color w:val="231F20"/>
                <w:sz w:val="20"/>
              </w:rPr>
              <w:t xml:space="preserve"> a crime.</w:t>
            </w:r>
          </w:p>
          <w:p w14:paraId="449DC58A" w14:textId="77777777" w:rsidR="00894070" w:rsidRDefault="009B7AFD">
            <w:pPr>
              <w:pStyle w:val="TableParagraph"/>
              <w:spacing w:before="122" w:line="206" w:lineRule="auto"/>
              <w:ind w:right="542"/>
              <w:rPr>
                <w:sz w:val="20"/>
              </w:rPr>
            </w:pPr>
            <w:r>
              <w:rPr>
                <w:color w:val="231F20"/>
                <w:sz w:val="20"/>
              </w:rPr>
              <w:t xml:space="preserve">In this report, the term applies to a person alleged by the </w:t>
            </w:r>
            <w:r>
              <w:rPr>
                <w:b/>
                <w:color w:val="231F20"/>
                <w:sz w:val="20"/>
              </w:rPr>
              <w:t xml:space="preserve">prosecution </w:t>
            </w:r>
            <w:r>
              <w:rPr>
                <w:color w:val="231F20"/>
                <w:sz w:val="20"/>
              </w:rPr>
              <w:t xml:space="preserve">to be a victim before the </w:t>
            </w:r>
            <w:r>
              <w:rPr>
                <w:b/>
                <w:color w:val="231F20"/>
                <w:sz w:val="20"/>
              </w:rPr>
              <w:t xml:space="preserve">accused </w:t>
            </w:r>
            <w:r>
              <w:rPr>
                <w:color w:val="231F20"/>
                <w:sz w:val="20"/>
              </w:rPr>
              <w:t xml:space="preserve">has been found guilty, as well as a person who has suffered due to an offence (such as </w:t>
            </w:r>
            <w:r>
              <w:rPr>
                <w:b/>
                <w:color w:val="231F20"/>
                <w:sz w:val="20"/>
              </w:rPr>
              <w:t>stalking</w:t>
            </w:r>
            <w:r>
              <w:rPr>
                <w:color w:val="231F20"/>
                <w:sz w:val="20"/>
              </w:rPr>
              <w:t xml:space="preserve">) for which the </w:t>
            </w:r>
            <w:r>
              <w:rPr>
                <w:b/>
                <w:color w:val="231F20"/>
                <w:sz w:val="20"/>
              </w:rPr>
              <w:t xml:space="preserve">offender </w:t>
            </w:r>
            <w:r>
              <w:rPr>
                <w:color w:val="231F20"/>
                <w:sz w:val="20"/>
              </w:rPr>
              <w:t>has been found guilty. It may also refer to a person who has</w:t>
            </w:r>
          </w:p>
          <w:p w14:paraId="73B02422" w14:textId="77777777" w:rsidR="00894070" w:rsidRDefault="009B7AFD">
            <w:pPr>
              <w:pStyle w:val="TableParagraph"/>
              <w:spacing w:before="7" w:line="206" w:lineRule="auto"/>
              <w:ind w:right="120"/>
              <w:rPr>
                <w:sz w:val="20"/>
              </w:rPr>
            </w:pPr>
            <w:r>
              <w:rPr>
                <w:color w:val="231F20"/>
                <w:sz w:val="20"/>
              </w:rPr>
              <w:t xml:space="preserve">experienced a crime (such as </w:t>
            </w:r>
            <w:r>
              <w:rPr>
                <w:b/>
                <w:color w:val="231F20"/>
                <w:sz w:val="20"/>
              </w:rPr>
              <w:t>stalking</w:t>
            </w:r>
            <w:r>
              <w:rPr>
                <w:color w:val="231F20"/>
                <w:sz w:val="20"/>
              </w:rPr>
              <w:t>) that was not reported or prosecuted.</w:t>
            </w:r>
          </w:p>
          <w:p w14:paraId="476726DC" w14:textId="77777777" w:rsidR="00894070" w:rsidRDefault="009B7AFD">
            <w:pPr>
              <w:pStyle w:val="TableParagraph"/>
              <w:spacing w:before="90"/>
              <w:rPr>
                <w:sz w:val="20"/>
              </w:rPr>
            </w:pPr>
            <w:r>
              <w:rPr>
                <w:b/>
                <w:color w:val="231F20"/>
                <w:sz w:val="20"/>
              </w:rPr>
              <w:t xml:space="preserve">Victim survivor </w:t>
            </w:r>
            <w:r>
              <w:rPr>
                <w:color w:val="231F20"/>
                <w:sz w:val="20"/>
              </w:rPr>
              <w:t>is sometimes used instead of victim.</w:t>
            </w:r>
          </w:p>
        </w:tc>
      </w:tr>
      <w:tr w:rsidR="00894070" w14:paraId="22C930CA" w14:textId="77777777">
        <w:trPr>
          <w:trHeight w:val="884"/>
        </w:trPr>
        <w:tc>
          <w:tcPr>
            <w:tcW w:w="2773" w:type="dxa"/>
          </w:tcPr>
          <w:p w14:paraId="58C8CE8C" w14:textId="77777777" w:rsidR="00894070" w:rsidRDefault="009B7AFD">
            <w:pPr>
              <w:pStyle w:val="TableParagraph"/>
              <w:spacing w:before="65"/>
              <w:rPr>
                <w:b/>
                <w:sz w:val="20"/>
              </w:rPr>
            </w:pPr>
            <w:r>
              <w:rPr>
                <w:b/>
                <w:color w:val="231F20"/>
                <w:sz w:val="20"/>
              </w:rPr>
              <w:t>Victim impact statement</w:t>
            </w:r>
          </w:p>
        </w:tc>
        <w:tc>
          <w:tcPr>
            <w:tcW w:w="5948" w:type="dxa"/>
          </w:tcPr>
          <w:p w14:paraId="2AA8A4DB" w14:textId="77777777" w:rsidR="00894070" w:rsidRDefault="009B7AFD">
            <w:pPr>
              <w:pStyle w:val="TableParagraph"/>
              <w:spacing w:before="98" w:line="206" w:lineRule="auto"/>
              <w:rPr>
                <w:sz w:val="20"/>
              </w:rPr>
            </w:pPr>
            <w:r>
              <w:rPr>
                <w:color w:val="231F20"/>
                <w:sz w:val="20"/>
              </w:rPr>
              <w:t xml:space="preserve">A statement in which a </w:t>
            </w:r>
            <w:r>
              <w:rPr>
                <w:b/>
                <w:color w:val="231F20"/>
                <w:sz w:val="20"/>
              </w:rPr>
              <w:t xml:space="preserve">victim </w:t>
            </w:r>
            <w:r>
              <w:rPr>
                <w:color w:val="231F20"/>
                <w:sz w:val="20"/>
              </w:rPr>
              <w:t xml:space="preserve">can tell the court how the crime affected them. The statement is provided to the court at a sentencing hearing, after the </w:t>
            </w:r>
            <w:r>
              <w:rPr>
                <w:b/>
                <w:color w:val="231F20"/>
                <w:sz w:val="20"/>
              </w:rPr>
              <w:t xml:space="preserve">offender </w:t>
            </w:r>
            <w:r>
              <w:rPr>
                <w:color w:val="231F20"/>
                <w:sz w:val="20"/>
              </w:rPr>
              <w:t>has been found guilty.</w:t>
            </w:r>
          </w:p>
        </w:tc>
      </w:tr>
      <w:tr w:rsidR="00894070" w14:paraId="4394110E" w14:textId="77777777">
        <w:trPr>
          <w:trHeight w:val="884"/>
        </w:trPr>
        <w:tc>
          <w:tcPr>
            <w:tcW w:w="2773" w:type="dxa"/>
          </w:tcPr>
          <w:p w14:paraId="1B6176F3" w14:textId="77777777" w:rsidR="00894070" w:rsidRDefault="009B7AFD">
            <w:pPr>
              <w:pStyle w:val="TableParagraph"/>
              <w:spacing w:before="98" w:line="206" w:lineRule="auto"/>
              <w:ind w:right="136"/>
              <w:rPr>
                <w:b/>
                <w:sz w:val="20"/>
              </w:rPr>
            </w:pPr>
            <w:r>
              <w:rPr>
                <w:b/>
                <w:color w:val="231F20"/>
                <w:sz w:val="20"/>
              </w:rPr>
              <w:t>Victims of Crime Assistance Tribunal (VOCAT)</w:t>
            </w:r>
          </w:p>
        </w:tc>
        <w:tc>
          <w:tcPr>
            <w:tcW w:w="5948" w:type="dxa"/>
          </w:tcPr>
          <w:p w14:paraId="051CF949" w14:textId="77777777" w:rsidR="00894070" w:rsidRDefault="009B7AFD">
            <w:pPr>
              <w:pStyle w:val="TableParagraph"/>
              <w:spacing w:before="98" w:line="206" w:lineRule="auto"/>
              <w:ind w:right="659"/>
              <w:jc w:val="both"/>
              <w:rPr>
                <w:sz w:val="20"/>
              </w:rPr>
            </w:pPr>
            <w:r>
              <w:rPr>
                <w:color w:val="231F20"/>
                <w:sz w:val="20"/>
              </w:rPr>
              <w:t xml:space="preserve">A body established </w:t>
            </w:r>
            <w:r>
              <w:rPr>
                <w:color w:val="231F20"/>
                <w:spacing w:val="-3"/>
                <w:sz w:val="20"/>
              </w:rPr>
              <w:t xml:space="preserve">by </w:t>
            </w:r>
            <w:r>
              <w:rPr>
                <w:color w:val="231F20"/>
                <w:sz w:val="20"/>
              </w:rPr>
              <w:t xml:space="preserve">legislation to hear and determine applications for </w:t>
            </w:r>
            <w:r>
              <w:rPr>
                <w:b/>
                <w:color w:val="231F20"/>
                <w:sz w:val="20"/>
              </w:rPr>
              <w:t xml:space="preserve">financial assistance </w:t>
            </w:r>
            <w:r>
              <w:rPr>
                <w:color w:val="231F20"/>
                <w:sz w:val="20"/>
              </w:rPr>
              <w:t xml:space="preserve">made </w:t>
            </w:r>
            <w:r>
              <w:rPr>
                <w:color w:val="231F20"/>
                <w:spacing w:val="-3"/>
                <w:sz w:val="20"/>
              </w:rPr>
              <w:t xml:space="preserve">by </w:t>
            </w:r>
            <w:r>
              <w:rPr>
                <w:b/>
                <w:color w:val="231F20"/>
                <w:sz w:val="20"/>
              </w:rPr>
              <w:t>victims</w:t>
            </w:r>
            <w:r>
              <w:rPr>
                <w:b/>
                <w:color w:val="231F20"/>
                <w:spacing w:val="-29"/>
                <w:sz w:val="20"/>
              </w:rPr>
              <w:t xml:space="preserve"> </w:t>
            </w:r>
            <w:r>
              <w:rPr>
                <w:color w:val="231F20"/>
                <w:spacing w:val="-3"/>
                <w:sz w:val="20"/>
              </w:rPr>
              <w:t xml:space="preserve">of </w:t>
            </w:r>
            <w:r>
              <w:rPr>
                <w:color w:val="231F20"/>
                <w:sz w:val="20"/>
              </w:rPr>
              <w:t>violent crime committed in</w:t>
            </w:r>
            <w:r>
              <w:rPr>
                <w:color w:val="231F20"/>
                <w:spacing w:val="-10"/>
                <w:sz w:val="20"/>
              </w:rPr>
              <w:t xml:space="preserve"> </w:t>
            </w:r>
            <w:r>
              <w:rPr>
                <w:color w:val="231F20"/>
                <w:sz w:val="20"/>
              </w:rPr>
              <w:t>Victoria.</w:t>
            </w:r>
          </w:p>
        </w:tc>
      </w:tr>
      <w:tr w:rsidR="00894070" w14:paraId="0C2CBB17" w14:textId="77777777">
        <w:trPr>
          <w:trHeight w:val="404"/>
        </w:trPr>
        <w:tc>
          <w:tcPr>
            <w:tcW w:w="2773" w:type="dxa"/>
          </w:tcPr>
          <w:p w14:paraId="225F0E05" w14:textId="77777777" w:rsidR="00894070" w:rsidRDefault="009B7AFD">
            <w:pPr>
              <w:pStyle w:val="TableParagraph"/>
              <w:spacing w:before="66"/>
              <w:rPr>
                <w:b/>
                <w:sz w:val="20"/>
              </w:rPr>
            </w:pPr>
            <w:r>
              <w:rPr>
                <w:b/>
                <w:color w:val="231F20"/>
                <w:sz w:val="20"/>
              </w:rPr>
              <w:t>Witness</w:t>
            </w:r>
          </w:p>
        </w:tc>
        <w:tc>
          <w:tcPr>
            <w:tcW w:w="5948" w:type="dxa"/>
          </w:tcPr>
          <w:p w14:paraId="33A997AE" w14:textId="77777777" w:rsidR="00894070" w:rsidRDefault="009B7AFD">
            <w:pPr>
              <w:pStyle w:val="TableParagraph"/>
              <w:spacing w:before="66"/>
              <w:rPr>
                <w:sz w:val="20"/>
              </w:rPr>
            </w:pPr>
            <w:r>
              <w:rPr>
                <w:color w:val="231F20"/>
                <w:sz w:val="20"/>
              </w:rPr>
              <w:t>A person who gives evidence in a case.</w:t>
            </w:r>
          </w:p>
        </w:tc>
      </w:tr>
      <w:tr w:rsidR="00894070" w14:paraId="5ACF518C" w14:textId="77777777">
        <w:trPr>
          <w:trHeight w:val="644"/>
        </w:trPr>
        <w:tc>
          <w:tcPr>
            <w:tcW w:w="2773" w:type="dxa"/>
          </w:tcPr>
          <w:p w14:paraId="2B1222C5" w14:textId="77777777" w:rsidR="00894070" w:rsidRDefault="009B7AFD">
            <w:pPr>
              <w:pStyle w:val="TableParagraph"/>
              <w:spacing w:before="98" w:line="206" w:lineRule="auto"/>
              <w:rPr>
                <w:b/>
                <w:sz w:val="20"/>
              </w:rPr>
            </w:pPr>
            <w:r>
              <w:rPr>
                <w:b/>
                <w:color w:val="231F20"/>
                <w:sz w:val="20"/>
              </w:rPr>
              <w:t>Young person/young people</w:t>
            </w:r>
          </w:p>
        </w:tc>
        <w:tc>
          <w:tcPr>
            <w:tcW w:w="5948" w:type="dxa"/>
          </w:tcPr>
          <w:p w14:paraId="71CCA8FE" w14:textId="77777777" w:rsidR="00894070" w:rsidRDefault="009B7AFD">
            <w:pPr>
              <w:pStyle w:val="TableParagraph"/>
              <w:spacing w:before="66" w:line="259" w:lineRule="exact"/>
              <w:rPr>
                <w:sz w:val="20"/>
              </w:rPr>
            </w:pPr>
            <w:r>
              <w:rPr>
                <w:color w:val="231F20"/>
                <w:sz w:val="20"/>
              </w:rPr>
              <w:t>In this report, ‘young person’ is used to refer to someone over</w:t>
            </w:r>
          </w:p>
          <w:p w14:paraId="537C18C6" w14:textId="77777777" w:rsidR="00894070" w:rsidRDefault="009B7AFD">
            <w:pPr>
              <w:pStyle w:val="TableParagraph"/>
              <w:spacing w:line="259" w:lineRule="exact"/>
              <w:rPr>
                <w:sz w:val="20"/>
              </w:rPr>
            </w:pPr>
            <w:r>
              <w:rPr>
                <w:color w:val="231F20"/>
                <w:sz w:val="20"/>
              </w:rPr>
              <w:t>18 years of age but under 25 years of age.</w:t>
            </w:r>
          </w:p>
        </w:tc>
      </w:tr>
    </w:tbl>
    <w:p w14:paraId="5E785E18" w14:textId="77777777" w:rsidR="00894070" w:rsidRDefault="00894070">
      <w:pPr>
        <w:pStyle w:val="BodyText"/>
        <w:rPr>
          <w:b/>
        </w:rPr>
      </w:pPr>
    </w:p>
    <w:p w14:paraId="4ABEB0AF" w14:textId="77777777" w:rsidR="00894070" w:rsidRDefault="00894070">
      <w:pPr>
        <w:pStyle w:val="BodyText"/>
        <w:rPr>
          <w:b/>
        </w:rPr>
      </w:pPr>
    </w:p>
    <w:p w14:paraId="108D0DFB" w14:textId="77777777" w:rsidR="00894070" w:rsidRDefault="00894070">
      <w:pPr>
        <w:pStyle w:val="BodyText"/>
        <w:rPr>
          <w:b/>
        </w:rPr>
      </w:pPr>
    </w:p>
    <w:p w14:paraId="0E5E18F3" w14:textId="77777777" w:rsidR="00894070" w:rsidRDefault="00894070">
      <w:pPr>
        <w:pStyle w:val="BodyText"/>
        <w:rPr>
          <w:b/>
        </w:rPr>
      </w:pPr>
    </w:p>
    <w:p w14:paraId="4AEFCFAF" w14:textId="77777777" w:rsidR="00894070" w:rsidRDefault="00894070">
      <w:pPr>
        <w:pStyle w:val="BodyText"/>
        <w:rPr>
          <w:b/>
        </w:rPr>
      </w:pPr>
    </w:p>
    <w:p w14:paraId="6CFF4942" w14:textId="77777777" w:rsidR="00894070" w:rsidRDefault="00894070">
      <w:pPr>
        <w:pStyle w:val="BodyText"/>
        <w:rPr>
          <w:b/>
        </w:rPr>
      </w:pPr>
    </w:p>
    <w:p w14:paraId="18AA5D45" w14:textId="77777777" w:rsidR="00894070" w:rsidRDefault="00894070">
      <w:pPr>
        <w:pStyle w:val="BodyText"/>
        <w:rPr>
          <w:b/>
        </w:rPr>
      </w:pPr>
    </w:p>
    <w:p w14:paraId="5AC8CFF2" w14:textId="77777777" w:rsidR="00894070" w:rsidRDefault="00894070">
      <w:pPr>
        <w:pStyle w:val="BodyText"/>
        <w:rPr>
          <w:b/>
        </w:rPr>
      </w:pPr>
    </w:p>
    <w:p w14:paraId="64DE5360" w14:textId="77777777" w:rsidR="00894070" w:rsidRDefault="00894070">
      <w:pPr>
        <w:pStyle w:val="BodyText"/>
        <w:rPr>
          <w:b/>
        </w:rPr>
      </w:pPr>
    </w:p>
    <w:p w14:paraId="40316942" w14:textId="77777777" w:rsidR="00894070" w:rsidRDefault="00894070">
      <w:pPr>
        <w:pStyle w:val="BodyText"/>
        <w:rPr>
          <w:b/>
        </w:rPr>
      </w:pPr>
    </w:p>
    <w:p w14:paraId="429FEB95" w14:textId="77777777" w:rsidR="00894070" w:rsidRDefault="00894070">
      <w:pPr>
        <w:pStyle w:val="BodyText"/>
        <w:rPr>
          <w:b/>
        </w:rPr>
      </w:pPr>
    </w:p>
    <w:p w14:paraId="0C1D8E78" w14:textId="77777777" w:rsidR="00894070" w:rsidRDefault="00894070">
      <w:pPr>
        <w:pStyle w:val="BodyText"/>
        <w:rPr>
          <w:b/>
        </w:rPr>
      </w:pPr>
    </w:p>
    <w:p w14:paraId="64EF552D" w14:textId="77777777" w:rsidR="00894070" w:rsidRDefault="00894070">
      <w:pPr>
        <w:pStyle w:val="BodyText"/>
        <w:rPr>
          <w:b/>
        </w:rPr>
      </w:pPr>
    </w:p>
    <w:p w14:paraId="4CA39968" w14:textId="77777777" w:rsidR="00894070" w:rsidRDefault="00894070">
      <w:pPr>
        <w:pStyle w:val="BodyText"/>
        <w:spacing w:before="13"/>
        <w:rPr>
          <w:b/>
          <w:sz w:val="17"/>
        </w:rPr>
      </w:pPr>
    </w:p>
    <w:p w14:paraId="3B410080" w14:textId="77777777" w:rsidR="00894070" w:rsidRDefault="009B7AFD">
      <w:pPr>
        <w:spacing w:before="49"/>
        <w:ind w:left="140"/>
        <w:rPr>
          <w:b/>
          <w:sz w:val="24"/>
        </w:rPr>
      </w:pPr>
      <w:r>
        <w:rPr>
          <w:b/>
          <w:color w:val="EA5B50"/>
          <w:sz w:val="24"/>
        </w:rPr>
        <w:t>xx</w:t>
      </w:r>
    </w:p>
    <w:p w14:paraId="47BD008C" w14:textId="77777777" w:rsidR="00894070" w:rsidRDefault="00894070">
      <w:pPr>
        <w:rPr>
          <w:sz w:val="24"/>
        </w:rPr>
        <w:sectPr w:rsidR="00894070">
          <w:pgSz w:w="11910" w:h="16840"/>
          <w:pgMar w:top="860" w:right="420" w:bottom="280" w:left="580" w:header="567" w:footer="0" w:gutter="0"/>
          <w:cols w:space="720"/>
        </w:sectPr>
      </w:pPr>
    </w:p>
    <w:p w14:paraId="38CAD0BA" w14:textId="77777777" w:rsidR="00894070" w:rsidRDefault="009F6793">
      <w:pPr>
        <w:pStyle w:val="BodyText"/>
        <w:rPr>
          <w:b/>
        </w:rPr>
      </w:pPr>
      <w:r>
        <w:lastRenderedPageBreak/>
        <w:pict w14:anchorId="5DB664FF">
          <v:rect id="_x0000_s1726" style="position:absolute;margin-left:0;margin-top:99.2pt;width:14.15pt;height:85.75pt;z-index:251459584;mso-position-horizontal-relative:page;mso-position-vertical-relative:page" fillcolor="#ea5b50" stroked="f">
            <w10:wrap anchorx="page" anchory="page"/>
          </v:rect>
        </w:pict>
      </w:r>
    </w:p>
    <w:p w14:paraId="57B64F8D" w14:textId="77777777" w:rsidR="00894070" w:rsidRDefault="00894070">
      <w:pPr>
        <w:pStyle w:val="BodyText"/>
        <w:rPr>
          <w:b/>
        </w:rPr>
      </w:pPr>
    </w:p>
    <w:p w14:paraId="0816C837" w14:textId="77777777" w:rsidR="00894070" w:rsidRDefault="00894070">
      <w:pPr>
        <w:pStyle w:val="BodyText"/>
        <w:spacing w:before="13"/>
        <w:rPr>
          <w:b/>
          <w:sz w:val="24"/>
        </w:rPr>
      </w:pPr>
    </w:p>
    <w:p w14:paraId="6D0BA059" w14:textId="77777777" w:rsidR="00894070" w:rsidRDefault="009B7AFD">
      <w:pPr>
        <w:spacing w:line="758" w:lineRule="exact"/>
        <w:ind w:left="250"/>
        <w:rPr>
          <w:rFonts w:ascii="Raleway ExtraBold"/>
          <w:b/>
          <w:sz w:val="56"/>
        </w:rPr>
      </w:pPr>
      <w:bookmarkStart w:id="9" w:name="Recommendations"/>
      <w:bookmarkStart w:id="10" w:name="_bookmark4"/>
      <w:bookmarkEnd w:id="9"/>
      <w:bookmarkEnd w:id="10"/>
      <w:r>
        <w:rPr>
          <w:rFonts w:ascii="Raleway ExtraBold"/>
          <w:b/>
          <w:color w:val="EA5B50"/>
          <w:sz w:val="56"/>
        </w:rPr>
        <w:t>Recommendations</w:t>
      </w:r>
    </w:p>
    <w:p w14:paraId="72136346" w14:textId="77777777" w:rsidR="00894070" w:rsidRDefault="00894070">
      <w:pPr>
        <w:pStyle w:val="BodyText"/>
        <w:rPr>
          <w:rFonts w:ascii="Raleway ExtraBold"/>
          <w:b/>
          <w:sz w:val="66"/>
        </w:rPr>
      </w:pPr>
    </w:p>
    <w:p w14:paraId="6CD478D3" w14:textId="77777777" w:rsidR="00894070" w:rsidRDefault="00894070">
      <w:pPr>
        <w:pStyle w:val="BodyText"/>
        <w:rPr>
          <w:rFonts w:ascii="Raleway ExtraBold"/>
          <w:b/>
          <w:sz w:val="66"/>
        </w:rPr>
      </w:pPr>
    </w:p>
    <w:p w14:paraId="2E2C355C" w14:textId="77777777" w:rsidR="00894070" w:rsidRDefault="00894070">
      <w:pPr>
        <w:pStyle w:val="BodyText"/>
        <w:spacing w:before="12"/>
        <w:rPr>
          <w:rFonts w:ascii="Raleway ExtraBold"/>
          <w:b/>
          <w:sz w:val="91"/>
        </w:rPr>
      </w:pPr>
    </w:p>
    <w:p w14:paraId="7107C3E4" w14:textId="77777777" w:rsidR="00894070" w:rsidRDefault="009B7AFD">
      <w:pPr>
        <w:pStyle w:val="ListParagraph"/>
        <w:numPr>
          <w:ilvl w:val="0"/>
          <w:numId w:val="191"/>
        </w:numPr>
        <w:tabs>
          <w:tab w:val="left" w:pos="1795"/>
          <w:tab w:val="left" w:pos="1796"/>
        </w:tabs>
        <w:rPr>
          <w:rFonts w:ascii="Trebuchet MS"/>
          <w:sz w:val="20"/>
        </w:rPr>
      </w:pPr>
      <w:r>
        <w:rPr>
          <w:rFonts w:ascii="Trebuchet MS"/>
          <w:color w:val="231F20"/>
          <w:spacing w:val="-2"/>
          <w:w w:val="105"/>
          <w:sz w:val="20"/>
        </w:rPr>
        <w:t>T</w:t>
      </w:r>
      <w:r>
        <w:rPr>
          <w:rFonts w:ascii="Trebuchet MS"/>
          <w:color w:val="231F20"/>
          <w:spacing w:val="-1"/>
          <w:w w:val="108"/>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96"/>
          <w:sz w:val="20"/>
        </w:rPr>
        <w:t>i</w:t>
      </w:r>
      <w:r>
        <w:rPr>
          <w:rFonts w:ascii="Trebuchet MS"/>
          <w:color w:val="231F20"/>
          <w:spacing w:val="-2"/>
          <w:w w:val="96"/>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7"/>
          <w:sz w:val="20"/>
        </w:rPr>
        <w:t>n</w:t>
      </w:r>
      <w:r>
        <w:rPr>
          <w:rFonts w:ascii="Trebuchet MS"/>
          <w:color w:val="231F20"/>
          <w:spacing w:val="-1"/>
          <w:w w:val="110"/>
          <w:sz w:val="20"/>
        </w:rPr>
        <w:t>me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ho</w:t>
      </w:r>
      <w:r>
        <w:rPr>
          <w:rFonts w:ascii="Trebuchet MS"/>
          <w:color w:val="231F20"/>
          <w:spacing w:val="-2"/>
          <w:w w:val="109"/>
          <w:sz w:val="20"/>
        </w:rPr>
        <w:t>u</w:t>
      </w:r>
      <w:r>
        <w:rPr>
          <w:rFonts w:ascii="Trebuchet MS"/>
          <w:color w:val="231F20"/>
          <w:spacing w:val="-3"/>
          <w:w w:val="96"/>
          <w:sz w:val="20"/>
        </w:rPr>
        <w:t>l</w:t>
      </w:r>
      <w:r>
        <w:rPr>
          <w:rFonts w:ascii="Trebuchet MS"/>
          <w:color w:val="231F20"/>
          <w:spacing w:val="-3"/>
          <w:w w:val="112"/>
          <w:sz w:val="20"/>
        </w:rPr>
        <w:t>d</w:t>
      </w:r>
      <w:r>
        <w:rPr>
          <w:rFonts w:ascii="Trebuchet MS"/>
          <w:color w:val="231F20"/>
          <w:w w:val="54"/>
          <w:sz w:val="20"/>
        </w:rPr>
        <w:t>:</w:t>
      </w:r>
    </w:p>
    <w:p w14:paraId="51F2E7E1" w14:textId="77777777" w:rsidR="00894070" w:rsidRDefault="009B7AFD">
      <w:pPr>
        <w:pStyle w:val="ListParagraph"/>
        <w:numPr>
          <w:ilvl w:val="1"/>
          <w:numId w:val="191"/>
        </w:numPr>
        <w:tabs>
          <w:tab w:val="left" w:pos="2475"/>
          <w:tab w:val="left" w:pos="2476"/>
        </w:tabs>
        <w:spacing w:before="93" w:line="247" w:lineRule="auto"/>
        <w:ind w:right="1622" w:hanging="680"/>
        <w:rPr>
          <w:rFonts w:ascii="Trebuchet MS" w:hAnsi="Trebuchet MS"/>
          <w:sz w:val="20"/>
        </w:rPr>
      </w:pPr>
      <w:r>
        <w:rPr>
          <w:rFonts w:ascii="Trebuchet MS" w:hAnsi="Trebuchet MS"/>
          <w:color w:val="231F20"/>
          <w:w w:val="105"/>
          <w:sz w:val="20"/>
        </w:rPr>
        <w:t>identify</w:t>
      </w:r>
      <w:r>
        <w:rPr>
          <w:rFonts w:ascii="Trebuchet MS" w:hAnsi="Trebuchet MS"/>
          <w:color w:val="231F20"/>
          <w:spacing w:val="-17"/>
          <w:w w:val="105"/>
          <w:sz w:val="20"/>
        </w:rPr>
        <w:t xml:space="preserve"> </w:t>
      </w:r>
      <w:r>
        <w:rPr>
          <w:rFonts w:ascii="Trebuchet MS" w:hAnsi="Trebuchet MS"/>
          <w:color w:val="231F20"/>
          <w:w w:val="105"/>
          <w:sz w:val="20"/>
        </w:rPr>
        <w:t>gaps</w:t>
      </w:r>
      <w:r>
        <w:rPr>
          <w:rFonts w:ascii="Trebuchet MS" w:hAnsi="Trebuchet MS"/>
          <w:color w:val="231F20"/>
          <w:spacing w:val="-16"/>
          <w:w w:val="105"/>
          <w:sz w:val="20"/>
        </w:rPr>
        <w:t xml:space="preserve"> </w:t>
      </w:r>
      <w:r>
        <w:rPr>
          <w:rFonts w:ascii="Trebuchet MS" w:hAnsi="Trebuchet MS"/>
          <w:color w:val="231F20"/>
          <w:w w:val="105"/>
          <w:sz w:val="20"/>
        </w:rPr>
        <w:t>in</w:t>
      </w:r>
      <w:r>
        <w:rPr>
          <w:rFonts w:ascii="Trebuchet MS" w:hAnsi="Trebuchet MS"/>
          <w:color w:val="231F20"/>
          <w:spacing w:val="-16"/>
          <w:w w:val="105"/>
          <w:sz w:val="20"/>
        </w:rPr>
        <w:t xml:space="preserve"> </w:t>
      </w:r>
      <w:r>
        <w:rPr>
          <w:rFonts w:ascii="Trebuchet MS" w:hAnsi="Trebuchet MS"/>
          <w:color w:val="231F20"/>
          <w:w w:val="105"/>
          <w:sz w:val="20"/>
        </w:rPr>
        <w:t>data</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research</w:t>
      </w:r>
      <w:r>
        <w:rPr>
          <w:rFonts w:ascii="Trebuchet MS" w:hAnsi="Trebuchet MS"/>
          <w:color w:val="231F20"/>
          <w:spacing w:val="-16"/>
          <w:w w:val="105"/>
          <w:sz w:val="20"/>
        </w:rPr>
        <w:t xml:space="preserve"> </w:t>
      </w:r>
      <w:r>
        <w:rPr>
          <w:rFonts w:ascii="Trebuchet MS" w:hAnsi="Trebuchet MS"/>
          <w:color w:val="231F20"/>
          <w:w w:val="105"/>
          <w:sz w:val="20"/>
        </w:rPr>
        <w:t>on</w:t>
      </w:r>
      <w:r>
        <w:rPr>
          <w:rFonts w:ascii="Trebuchet MS" w:hAnsi="Trebuchet MS"/>
          <w:color w:val="231F20"/>
          <w:spacing w:val="-17"/>
          <w:w w:val="105"/>
          <w:sz w:val="20"/>
        </w:rPr>
        <w:t xml:space="preserve"> </w:t>
      </w:r>
      <w:r>
        <w:rPr>
          <w:rFonts w:ascii="Trebuchet MS" w:hAnsi="Trebuchet MS"/>
          <w:color w:val="231F20"/>
          <w:spacing w:val="-3"/>
          <w:w w:val="105"/>
          <w:sz w:val="20"/>
        </w:rPr>
        <w:t>non-family</w:t>
      </w:r>
      <w:r>
        <w:rPr>
          <w:rFonts w:ascii="Trebuchet MS" w:hAnsi="Trebuchet MS"/>
          <w:color w:val="231F20"/>
          <w:spacing w:val="-16"/>
          <w:w w:val="105"/>
          <w:sz w:val="20"/>
        </w:rPr>
        <w:t xml:space="preserve"> </w:t>
      </w:r>
      <w:r>
        <w:rPr>
          <w:rFonts w:ascii="Trebuchet MS" w:hAnsi="Trebuchet MS"/>
          <w:color w:val="231F20"/>
          <w:w w:val="105"/>
          <w:sz w:val="20"/>
        </w:rPr>
        <w:t>violence</w:t>
      </w:r>
      <w:r>
        <w:rPr>
          <w:rFonts w:ascii="Trebuchet MS" w:hAnsi="Trebuchet MS"/>
          <w:color w:val="231F20"/>
          <w:spacing w:val="-16"/>
          <w:w w:val="105"/>
          <w:sz w:val="20"/>
        </w:rPr>
        <w:t xml:space="preserve"> </w:t>
      </w:r>
      <w:r>
        <w:rPr>
          <w:rFonts w:ascii="Trebuchet MS" w:hAnsi="Trebuchet MS"/>
          <w:color w:val="231F20"/>
          <w:w w:val="105"/>
          <w:sz w:val="20"/>
        </w:rPr>
        <w:t>stalking</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 xml:space="preserve">the </w:t>
      </w:r>
      <w:r>
        <w:rPr>
          <w:rFonts w:ascii="Trebuchet MS" w:hAnsi="Trebuchet MS"/>
          <w:color w:val="231F20"/>
          <w:spacing w:val="-2"/>
          <w:w w:val="64"/>
          <w:sz w:val="20"/>
        </w:rPr>
        <w:t>j</w:t>
      </w:r>
      <w:r>
        <w:rPr>
          <w:rFonts w:ascii="Trebuchet MS" w:hAnsi="Trebuchet MS"/>
          <w:color w:val="231F20"/>
          <w:spacing w:val="-1"/>
          <w:w w:val="107"/>
          <w:sz w:val="20"/>
        </w:rPr>
        <w:t>us</w:t>
      </w:r>
      <w:r>
        <w:rPr>
          <w:rFonts w:ascii="Trebuchet MS" w:hAnsi="Trebuchet MS"/>
          <w:color w:val="231F20"/>
          <w:spacing w:val="-2"/>
          <w:w w:val="107"/>
          <w:sz w:val="20"/>
        </w:rPr>
        <w:t>t</w:t>
      </w:r>
      <w:r>
        <w:rPr>
          <w:rFonts w:ascii="Trebuchet MS" w:hAnsi="Trebuchet MS"/>
          <w:color w:val="231F20"/>
          <w:spacing w:val="-1"/>
          <w:w w:val="80"/>
          <w:sz w:val="20"/>
        </w:rPr>
        <w:t>i</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05"/>
          <w:sz w:val="20"/>
        </w:rPr>
        <w:t>s</w:t>
      </w:r>
      <w:r>
        <w:rPr>
          <w:rFonts w:ascii="Trebuchet MS" w:hAnsi="Trebuchet MS"/>
          <w:color w:val="231F20"/>
          <w:spacing w:val="-4"/>
          <w:w w:val="105"/>
          <w:sz w:val="20"/>
        </w:rPr>
        <w:t>t</w:t>
      </w:r>
      <w:r>
        <w:rPr>
          <w:rFonts w:ascii="Trebuchet MS" w:hAnsi="Trebuchet MS"/>
          <w:color w:val="231F20"/>
          <w:spacing w:val="-1"/>
          <w:w w:val="110"/>
          <w:sz w:val="20"/>
        </w:rPr>
        <w:t>e</w:t>
      </w:r>
      <w:r>
        <w:rPr>
          <w:rFonts w:ascii="Trebuchet MS" w:hAnsi="Trebuchet MS"/>
          <w:color w:val="231F20"/>
          <w:spacing w:val="-7"/>
          <w:w w:val="110"/>
          <w:sz w:val="20"/>
        </w:rPr>
        <w:t>m</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po</w:t>
      </w:r>
      <w:r>
        <w:rPr>
          <w:rFonts w:ascii="Trebuchet MS" w:hAnsi="Trebuchet MS"/>
          <w:color w:val="231F20"/>
          <w:spacing w:val="-2"/>
          <w:w w:val="107"/>
          <w:sz w:val="20"/>
        </w:rPr>
        <w:t>n</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3"/>
          <w:w w:val="80"/>
          <w:sz w:val="20"/>
        </w:rPr>
        <w:t>i</w:t>
      </w:r>
      <w:r>
        <w:rPr>
          <w:rFonts w:ascii="Trebuchet MS" w:hAnsi="Trebuchet MS"/>
          <w:color w:val="231F20"/>
          <w:w w:val="88"/>
          <w:sz w:val="20"/>
        </w:rPr>
        <w:t>t</w:t>
      </w:r>
    </w:p>
    <w:p w14:paraId="6EB68BDC" w14:textId="77777777" w:rsidR="00894070" w:rsidRDefault="009B7AFD">
      <w:pPr>
        <w:pStyle w:val="ListParagraph"/>
        <w:numPr>
          <w:ilvl w:val="1"/>
          <w:numId w:val="191"/>
        </w:numPr>
        <w:tabs>
          <w:tab w:val="left" w:pos="2475"/>
          <w:tab w:val="left" w:pos="2476"/>
        </w:tabs>
        <w:spacing w:before="87" w:line="247" w:lineRule="auto"/>
        <w:ind w:right="1572" w:hanging="680"/>
        <w:rPr>
          <w:rFonts w:ascii="Trebuchet MS" w:hAnsi="Trebuchet MS"/>
          <w:sz w:val="20"/>
        </w:rPr>
      </w:pPr>
      <w:r>
        <w:rPr>
          <w:rFonts w:ascii="Trebuchet MS" w:hAnsi="Trebuchet MS"/>
          <w:color w:val="231F20"/>
          <w:w w:val="105"/>
          <w:sz w:val="20"/>
        </w:rPr>
        <w:t>identify</w:t>
      </w:r>
      <w:r>
        <w:rPr>
          <w:rFonts w:ascii="Trebuchet MS" w:hAnsi="Trebuchet MS"/>
          <w:color w:val="231F20"/>
          <w:spacing w:val="-19"/>
          <w:w w:val="105"/>
          <w:sz w:val="20"/>
        </w:rPr>
        <w:t xml:space="preserve"> </w:t>
      </w:r>
      <w:r>
        <w:rPr>
          <w:rFonts w:ascii="Trebuchet MS" w:hAnsi="Trebuchet MS"/>
          <w:color w:val="231F20"/>
          <w:w w:val="105"/>
          <w:sz w:val="20"/>
        </w:rPr>
        <w:t>shortcomings</w:t>
      </w:r>
      <w:r>
        <w:rPr>
          <w:rFonts w:ascii="Trebuchet MS" w:hAnsi="Trebuchet MS"/>
          <w:color w:val="231F20"/>
          <w:spacing w:val="-18"/>
          <w:w w:val="105"/>
          <w:sz w:val="20"/>
        </w:rPr>
        <w:t xml:space="preserve"> </w:t>
      </w:r>
      <w:r>
        <w:rPr>
          <w:rFonts w:ascii="Trebuchet MS" w:hAnsi="Trebuchet MS"/>
          <w:color w:val="231F20"/>
          <w:w w:val="105"/>
          <w:sz w:val="20"/>
        </w:rPr>
        <w:t>in</w:t>
      </w:r>
      <w:r>
        <w:rPr>
          <w:rFonts w:ascii="Trebuchet MS" w:hAnsi="Trebuchet MS"/>
          <w:color w:val="231F20"/>
          <w:spacing w:val="-19"/>
          <w:w w:val="105"/>
          <w:sz w:val="20"/>
        </w:rPr>
        <w:t xml:space="preserve"> </w:t>
      </w:r>
      <w:r>
        <w:rPr>
          <w:rFonts w:ascii="Trebuchet MS" w:hAnsi="Trebuchet MS"/>
          <w:color w:val="231F20"/>
          <w:w w:val="105"/>
          <w:sz w:val="20"/>
        </w:rPr>
        <w:t>existing</w:t>
      </w:r>
      <w:r>
        <w:rPr>
          <w:rFonts w:ascii="Trebuchet MS" w:hAnsi="Trebuchet MS"/>
          <w:color w:val="231F20"/>
          <w:spacing w:val="-18"/>
          <w:w w:val="105"/>
          <w:sz w:val="20"/>
        </w:rPr>
        <w:t xml:space="preserve"> </w:t>
      </w:r>
      <w:r>
        <w:rPr>
          <w:rFonts w:ascii="Trebuchet MS" w:hAnsi="Trebuchet MS"/>
          <w:color w:val="231F20"/>
          <w:w w:val="105"/>
          <w:sz w:val="20"/>
        </w:rPr>
        <w:t>data</w:t>
      </w:r>
      <w:r>
        <w:rPr>
          <w:rFonts w:ascii="Trebuchet MS" w:hAnsi="Trebuchet MS"/>
          <w:color w:val="231F20"/>
          <w:spacing w:val="-18"/>
          <w:w w:val="105"/>
          <w:sz w:val="20"/>
        </w:rPr>
        <w:t xml:space="preserve"> </w:t>
      </w:r>
      <w:r>
        <w:rPr>
          <w:rFonts w:ascii="Trebuchet MS" w:hAnsi="Trebuchet MS"/>
          <w:color w:val="231F20"/>
          <w:w w:val="105"/>
          <w:sz w:val="20"/>
        </w:rPr>
        <w:t>and</w:t>
      </w:r>
      <w:r>
        <w:rPr>
          <w:rFonts w:ascii="Trebuchet MS" w:hAnsi="Trebuchet MS"/>
          <w:color w:val="231F20"/>
          <w:spacing w:val="-19"/>
          <w:w w:val="105"/>
          <w:sz w:val="20"/>
        </w:rPr>
        <w:t xml:space="preserve"> </w:t>
      </w:r>
      <w:r>
        <w:rPr>
          <w:rFonts w:ascii="Trebuchet MS" w:hAnsi="Trebuchet MS"/>
          <w:color w:val="231F20"/>
          <w:w w:val="105"/>
          <w:sz w:val="20"/>
        </w:rPr>
        <w:t>research</w:t>
      </w:r>
      <w:r>
        <w:rPr>
          <w:rFonts w:ascii="Trebuchet MS" w:hAnsi="Trebuchet MS"/>
          <w:color w:val="231F20"/>
          <w:spacing w:val="-18"/>
          <w:w w:val="105"/>
          <w:sz w:val="20"/>
        </w:rPr>
        <w:t xml:space="preserve"> </w:t>
      </w:r>
      <w:r>
        <w:rPr>
          <w:rFonts w:ascii="Trebuchet MS" w:hAnsi="Trebuchet MS"/>
          <w:color w:val="231F20"/>
          <w:w w:val="105"/>
          <w:sz w:val="20"/>
        </w:rPr>
        <w:t>on</w:t>
      </w:r>
      <w:r>
        <w:rPr>
          <w:rFonts w:ascii="Trebuchet MS" w:hAnsi="Trebuchet MS"/>
          <w:color w:val="231F20"/>
          <w:spacing w:val="-18"/>
          <w:w w:val="105"/>
          <w:sz w:val="20"/>
        </w:rPr>
        <w:t xml:space="preserve"> </w:t>
      </w:r>
      <w:r>
        <w:rPr>
          <w:rFonts w:ascii="Trebuchet MS" w:hAnsi="Trebuchet MS"/>
          <w:color w:val="231F20"/>
          <w:spacing w:val="-3"/>
          <w:w w:val="105"/>
          <w:sz w:val="20"/>
        </w:rPr>
        <w:t>non-family</w:t>
      </w:r>
      <w:r>
        <w:rPr>
          <w:rFonts w:ascii="Trebuchet MS" w:hAnsi="Trebuchet MS"/>
          <w:color w:val="231F20"/>
          <w:spacing w:val="-19"/>
          <w:w w:val="105"/>
          <w:sz w:val="20"/>
        </w:rPr>
        <w:t xml:space="preserve"> </w:t>
      </w:r>
      <w:r>
        <w:rPr>
          <w:rFonts w:ascii="Trebuchet MS" w:hAnsi="Trebuchet MS"/>
          <w:color w:val="231F20"/>
          <w:w w:val="105"/>
          <w:sz w:val="20"/>
        </w:rPr>
        <w:t xml:space="preserve">violence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64"/>
          <w:sz w:val="20"/>
        </w:rPr>
        <w:t>j</w:t>
      </w:r>
      <w:r>
        <w:rPr>
          <w:rFonts w:ascii="Trebuchet MS" w:hAnsi="Trebuchet MS"/>
          <w:color w:val="231F20"/>
          <w:spacing w:val="-1"/>
          <w:w w:val="109"/>
          <w:sz w:val="20"/>
        </w:rPr>
        <w:t>u</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22"/>
          <w:sz w:val="20"/>
        </w:rPr>
        <w:t>s</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7"/>
          <w:w w:val="111"/>
          <w:sz w:val="20"/>
        </w:rPr>
        <w:t>m</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po</w:t>
      </w:r>
      <w:r>
        <w:rPr>
          <w:rFonts w:ascii="Trebuchet MS" w:hAnsi="Trebuchet MS"/>
          <w:color w:val="231F20"/>
          <w:spacing w:val="-2"/>
          <w:w w:val="107"/>
          <w:sz w:val="20"/>
        </w:rPr>
        <w:t>n</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3"/>
          <w:w w:val="80"/>
          <w:sz w:val="20"/>
        </w:rPr>
        <w:t>i</w:t>
      </w:r>
      <w:r>
        <w:rPr>
          <w:rFonts w:ascii="Trebuchet MS" w:hAnsi="Trebuchet MS"/>
          <w:color w:val="231F20"/>
          <w:w w:val="88"/>
          <w:sz w:val="20"/>
        </w:rPr>
        <w:t>t</w:t>
      </w:r>
    </w:p>
    <w:p w14:paraId="6C20710D" w14:textId="77777777" w:rsidR="00894070" w:rsidRDefault="009B7AFD">
      <w:pPr>
        <w:pStyle w:val="ListParagraph"/>
        <w:numPr>
          <w:ilvl w:val="1"/>
          <w:numId w:val="191"/>
        </w:numPr>
        <w:tabs>
          <w:tab w:val="left" w:pos="2475"/>
          <w:tab w:val="left" w:pos="2476"/>
        </w:tabs>
        <w:spacing w:before="86" w:line="247" w:lineRule="auto"/>
        <w:ind w:right="1307" w:hanging="680"/>
        <w:rPr>
          <w:rFonts w:ascii="Trebuchet MS"/>
          <w:sz w:val="20"/>
        </w:rPr>
      </w:pPr>
      <w:r>
        <w:rPr>
          <w:rFonts w:ascii="Trebuchet MS"/>
          <w:color w:val="231F20"/>
          <w:w w:val="105"/>
          <w:sz w:val="20"/>
        </w:rPr>
        <w:t>support</w:t>
      </w:r>
      <w:r>
        <w:rPr>
          <w:rFonts w:ascii="Trebuchet MS"/>
          <w:color w:val="231F20"/>
          <w:spacing w:val="-19"/>
          <w:w w:val="105"/>
          <w:sz w:val="20"/>
        </w:rPr>
        <w:t xml:space="preserve"> </w:t>
      </w:r>
      <w:r>
        <w:rPr>
          <w:rFonts w:ascii="Trebuchet MS"/>
          <w:color w:val="231F20"/>
          <w:w w:val="105"/>
          <w:sz w:val="20"/>
        </w:rPr>
        <w:t>additional</w:t>
      </w:r>
      <w:r>
        <w:rPr>
          <w:rFonts w:ascii="Trebuchet MS"/>
          <w:color w:val="231F20"/>
          <w:spacing w:val="-18"/>
          <w:w w:val="105"/>
          <w:sz w:val="20"/>
        </w:rPr>
        <w:t xml:space="preserve"> </w:t>
      </w:r>
      <w:r>
        <w:rPr>
          <w:rFonts w:ascii="Trebuchet MS"/>
          <w:color w:val="231F20"/>
          <w:w w:val="105"/>
          <w:sz w:val="20"/>
        </w:rPr>
        <w:t>data</w:t>
      </w:r>
      <w:r>
        <w:rPr>
          <w:rFonts w:ascii="Trebuchet MS"/>
          <w:color w:val="231F20"/>
          <w:spacing w:val="-18"/>
          <w:w w:val="105"/>
          <w:sz w:val="20"/>
        </w:rPr>
        <w:t xml:space="preserve"> </w:t>
      </w:r>
      <w:r>
        <w:rPr>
          <w:rFonts w:ascii="Trebuchet MS"/>
          <w:color w:val="231F20"/>
          <w:w w:val="105"/>
          <w:sz w:val="20"/>
        </w:rPr>
        <w:t>collection</w:t>
      </w:r>
      <w:r>
        <w:rPr>
          <w:rFonts w:ascii="Trebuchet MS"/>
          <w:color w:val="231F20"/>
          <w:spacing w:val="-18"/>
          <w:w w:val="105"/>
          <w:sz w:val="20"/>
        </w:rPr>
        <w:t xml:space="preserve"> </w:t>
      </w:r>
      <w:r>
        <w:rPr>
          <w:rFonts w:ascii="Trebuchet MS"/>
          <w:color w:val="231F20"/>
          <w:w w:val="105"/>
          <w:sz w:val="20"/>
        </w:rPr>
        <w:t>and</w:t>
      </w:r>
      <w:r>
        <w:rPr>
          <w:rFonts w:ascii="Trebuchet MS"/>
          <w:color w:val="231F20"/>
          <w:spacing w:val="-18"/>
          <w:w w:val="105"/>
          <w:sz w:val="20"/>
        </w:rPr>
        <w:t xml:space="preserve"> </w:t>
      </w:r>
      <w:r>
        <w:rPr>
          <w:rFonts w:ascii="Trebuchet MS"/>
          <w:color w:val="231F20"/>
          <w:w w:val="105"/>
          <w:sz w:val="20"/>
        </w:rPr>
        <w:t>research</w:t>
      </w:r>
      <w:r>
        <w:rPr>
          <w:rFonts w:ascii="Trebuchet MS"/>
          <w:color w:val="231F20"/>
          <w:spacing w:val="-18"/>
          <w:w w:val="105"/>
          <w:sz w:val="20"/>
        </w:rPr>
        <w:t xml:space="preserve"> </w:t>
      </w:r>
      <w:r>
        <w:rPr>
          <w:rFonts w:ascii="Trebuchet MS"/>
          <w:color w:val="231F20"/>
          <w:w w:val="105"/>
          <w:sz w:val="20"/>
        </w:rPr>
        <w:t>to</w:t>
      </w:r>
      <w:r>
        <w:rPr>
          <w:rFonts w:ascii="Trebuchet MS"/>
          <w:color w:val="231F20"/>
          <w:spacing w:val="-18"/>
          <w:w w:val="105"/>
          <w:sz w:val="20"/>
        </w:rPr>
        <w:t xml:space="preserve"> </w:t>
      </w:r>
      <w:r>
        <w:rPr>
          <w:rFonts w:ascii="Trebuchet MS"/>
          <w:color w:val="231F20"/>
          <w:w w:val="105"/>
          <w:sz w:val="20"/>
        </w:rPr>
        <w:t>fill</w:t>
      </w:r>
      <w:r>
        <w:rPr>
          <w:rFonts w:ascii="Trebuchet MS"/>
          <w:color w:val="231F20"/>
          <w:spacing w:val="-18"/>
          <w:w w:val="105"/>
          <w:sz w:val="20"/>
        </w:rPr>
        <w:t xml:space="preserve"> </w:t>
      </w:r>
      <w:r>
        <w:rPr>
          <w:rFonts w:ascii="Trebuchet MS"/>
          <w:color w:val="231F20"/>
          <w:w w:val="105"/>
          <w:sz w:val="20"/>
        </w:rPr>
        <w:t>these</w:t>
      </w:r>
      <w:r>
        <w:rPr>
          <w:rFonts w:ascii="Trebuchet MS"/>
          <w:color w:val="231F20"/>
          <w:spacing w:val="-18"/>
          <w:w w:val="105"/>
          <w:sz w:val="20"/>
        </w:rPr>
        <w:t xml:space="preserve"> </w:t>
      </w:r>
      <w:r>
        <w:rPr>
          <w:rFonts w:ascii="Trebuchet MS"/>
          <w:color w:val="231F20"/>
          <w:w w:val="105"/>
          <w:sz w:val="20"/>
        </w:rPr>
        <w:t>gaps</w:t>
      </w:r>
      <w:r>
        <w:rPr>
          <w:rFonts w:ascii="Trebuchet MS"/>
          <w:color w:val="231F20"/>
          <w:spacing w:val="-18"/>
          <w:w w:val="105"/>
          <w:sz w:val="20"/>
        </w:rPr>
        <w:t xml:space="preserve"> </w:t>
      </w:r>
      <w:r>
        <w:rPr>
          <w:rFonts w:ascii="Trebuchet MS"/>
          <w:color w:val="231F20"/>
          <w:w w:val="105"/>
          <w:sz w:val="20"/>
        </w:rPr>
        <w:t>and</w:t>
      </w:r>
      <w:r>
        <w:rPr>
          <w:rFonts w:ascii="Trebuchet MS"/>
          <w:color w:val="231F20"/>
          <w:spacing w:val="-18"/>
          <w:w w:val="105"/>
          <w:sz w:val="20"/>
        </w:rPr>
        <w:t xml:space="preserve"> </w:t>
      </w:r>
      <w:r>
        <w:rPr>
          <w:rFonts w:ascii="Trebuchet MS"/>
          <w:color w:val="231F20"/>
          <w:w w:val="105"/>
          <w:sz w:val="20"/>
        </w:rPr>
        <w:t>address these</w:t>
      </w:r>
      <w:r>
        <w:rPr>
          <w:rFonts w:ascii="Trebuchet MS"/>
          <w:color w:val="231F20"/>
          <w:spacing w:val="-17"/>
          <w:w w:val="105"/>
          <w:sz w:val="20"/>
        </w:rPr>
        <w:t xml:space="preserve"> </w:t>
      </w:r>
      <w:r>
        <w:rPr>
          <w:rFonts w:ascii="Trebuchet MS"/>
          <w:color w:val="231F20"/>
          <w:w w:val="105"/>
          <w:sz w:val="20"/>
        </w:rPr>
        <w:t>shortcomings</w:t>
      </w:r>
    </w:p>
    <w:p w14:paraId="339E02EC" w14:textId="77777777" w:rsidR="00894070" w:rsidRDefault="009B7AFD">
      <w:pPr>
        <w:pStyle w:val="ListParagraph"/>
        <w:numPr>
          <w:ilvl w:val="1"/>
          <w:numId w:val="191"/>
        </w:numPr>
        <w:tabs>
          <w:tab w:val="left" w:pos="2475"/>
          <w:tab w:val="left" w:pos="2476"/>
        </w:tabs>
        <w:spacing w:before="87" w:line="247" w:lineRule="auto"/>
        <w:ind w:right="1363" w:hanging="680"/>
        <w:rPr>
          <w:rFonts w:ascii="Trebuchet MS" w:hAnsi="Trebuchet MS"/>
          <w:sz w:val="20"/>
        </w:rPr>
      </w:pPr>
      <w:r>
        <w:rPr>
          <w:rFonts w:ascii="Trebuchet MS" w:hAnsi="Trebuchet MS"/>
          <w:color w:val="231F20"/>
          <w:w w:val="105"/>
          <w:sz w:val="20"/>
        </w:rPr>
        <w:t>monitor</w:t>
      </w:r>
      <w:r>
        <w:rPr>
          <w:rFonts w:ascii="Trebuchet MS" w:hAnsi="Trebuchet MS"/>
          <w:color w:val="231F20"/>
          <w:spacing w:val="-15"/>
          <w:w w:val="105"/>
          <w:sz w:val="20"/>
        </w:rPr>
        <w:t xml:space="preserve"> </w:t>
      </w:r>
      <w:r>
        <w:rPr>
          <w:rFonts w:ascii="Trebuchet MS" w:hAnsi="Trebuchet MS"/>
          <w:color w:val="231F20"/>
          <w:w w:val="105"/>
          <w:sz w:val="20"/>
        </w:rPr>
        <w:t>the</w:t>
      </w:r>
      <w:r>
        <w:rPr>
          <w:rFonts w:ascii="Trebuchet MS" w:hAnsi="Trebuchet MS"/>
          <w:color w:val="231F20"/>
          <w:spacing w:val="-14"/>
          <w:w w:val="105"/>
          <w:sz w:val="20"/>
        </w:rPr>
        <w:t xml:space="preserve"> </w:t>
      </w:r>
      <w:r>
        <w:rPr>
          <w:rFonts w:ascii="Trebuchet MS" w:hAnsi="Trebuchet MS"/>
          <w:color w:val="231F20"/>
          <w:w w:val="105"/>
          <w:sz w:val="20"/>
        </w:rPr>
        <w:t>emerging</w:t>
      </w:r>
      <w:r>
        <w:rPr>
          <w:rFonts w:ascii="Trebuchet MS" w:hAnsi="Trebuchet MS"/>
          <w:color w:val="231F20"/>
          <w:spacing w:val="-15"/>
          <w:w w:val="105"/>
          <w:sz w:val="20"/>
        </w:rPr>
        <w:t xml:space="preserve"> </w:t>
      </w:r>
      <w:r>
        <w:rPr>
          <w:rFonts w:ascii="Trebuchet MS" w:hAnsi="Trebuchet MS"/>
          <w:color w:val="231F20"/>
          <w:w w:val="105"/>
          <w:sz w:val="20"/>
        </w:rPr>
        <w:t>data</w:t>
      </w:r>
      <w:r>
        <w:rPr>
          <w:rFonts w:ascii="Trebuchet MS" w:hAnsi="Trebuchet MS"/>
          <w:color w:val="231F20"/>
          <w:spacing w:val="-14"/>
          <w:w w:val="105"/>
          <w:sz w:val="20"/>
        </w:rPr>
        <w:t xml:space="preserve"> </w:t>
      </w:r>
      <w:r>
        <w:rPr>
          <w:rFonts w:ascii="Trebuchet MS" w:hAnsi="Trebuchet MS"/>
          <w:color w:val="231F20"/>
          <w:w w:val="105"/>
          <w:sz w:val="20"/>
        </w:rPr>
        <w:t>and</w:t>
      </w:r>
      <w:r>
        <w:rPr>
          <w:rFonts w:ascii="Trebuchet MS" w:hAnsi="Trebuchet MS"/>
          <w:color w:val="231F20"/>
          <w:spacing w:val="-15"/>
          <w:w w:val="105"/>
          <w:sz w:val="20"/>
        </w:rPr>
        <w:t xml:space="preserve"> </w:t>
      </w:r>
      <w:r>
        <w:rPr>
          <w:rFonts w:ascii="Trebuchet MS" w:hAnsi="Trebuchet MS"/>
          <w:color w:val="231F20"/>
          <w:w w:val="105"/>
          <w:sz w:val="20"/>
        </w:rPr>
        <w:t>research</w:t>
      </w:r>
      <w:r>
        <w:rPr>
          <w:rFonts w:ascii="Trebuchet MS" w:hAnsi="Trebuchet MS"/>
          <w:color w:val="231F20"/>
          <w:spacing w:val="-14"/>
          <w:w w:val="105"/>
          <w:sz w:val="20"/>
        </w:rPr>
        <w:t xml:space="preserve"> </w:t>
      </w:r>
      <w:r>
        <w:rPr>
          <w:rFonts w:ascii="Trebuchet MS" w:hAnsi="Trebuchet MS"/>
          <w:color w:val="231F20"/>
          <w:w w:val="105"/>
          <w:sz w:val="20"/>
        </w:rPr>
        <w:t>on</w:t>
      </w:r>
      <w:r>
        <w:rPr>
          <w:rFonts w:ascii="Trebuchet MS" w:hAnsi="Trebuchet MS"/>
          <w:color w:val="231F20"/>
          <w:spacing w:val="-15"/>
          <w:w w:val="105"/>
          <w:sz w:val="20"/>
        </w:rPr>
        <w:t xml:space="preserve"> </w:t>
      </w:r>
      <w:r>
        <w:rPr>
          <w:rFonts w:ascii="Trebuchet MS" w:hAnsi="Trebuchet MS"/>
          <w:color w:val="231F20"/>
          <w:spacing w:val="-3"/>
          <w:w w:val="105"/>
          <w:sz w:val="20"/>
        </w:rPr>
        <w:t>non-family</w:t>
      </w:r>
      <w:r>
        <w:rPr>
          <w:rFonts w:ascii="Trebuchet MS" w:hAnsi="Trebuchet MS"/>
          <w:color w:val="231F20"/>
          <w:spacing w:val="-14"/>
          <w:w w:val="105"/>
          <w:sz w:val="20"/>
        </w:rPr>
        <w:t xml:space="preserve"> </w:t>
      </w:r>
      <w:r>
        <w:rPr>
          <w:rFonts w:ascii="Trebuchet MS" w:hAnsi="Trebuchet MS"/>
          <w:color w:val="231F20"/>
          <w:w w:val="105"/>
          <w:sz w:val="20"/>
        </w:rPr>
        <w:t>violence</w:t>
      </w:r>
      <w:r>
        <w:rPr>
          <w:rFonts w:ascii="Trebuchet MS" w:hAnsi="Trebuchet MS"/>
          <w:color w:val="231F20"/>
          <w:spacing w:val="-15"/>
          <w:w w:val="105"/>
          <w:sz w:val="20"/>
        </w:rPr>
        <w:t xml:space="preserve"> </w:t>
      </w:r>
      <w:r>
        <w:rPr>
          <w:rFonts w:ascii="Trebuchet MS" w:hAnsi="Trebuchet MS"/>
          <w:color w:val="231F20"/>
          <w:w w:val="105"/>
          <w:sz w:val="20"/>
        </w:rPr>
        <w:t>stalking</w:t>
      </w:r>
      <w:r>
        <w:rPr>
          <w:rFonts w:ascii="Trebuchet MS" w:hAnsi="Trebuchet MS"/>
          <w:color w:val="231F20"/>
          <w:spacing w:val="-14"/>
          <w:w w:val="105"/>
          <w:sz w:val="20"/>
        </w:rPr>
        <w:t xml:space="preserve"> </w:t>
      </w:r>
      <w:r>
        <w:rPr>
          <w:rFonts w:ascii="Trebuchet MS" w:hAnsi="Trebuchet MS"/>
          <w:color w:val="231F20"/>
          <w:w w:val="105"/>
          <w:sz w:val="20"/>
        </w:rPr>
        <w:t xml:space="preserve">and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64"/>
          <w:sz w:val="20"/>
        </w:rPr>
        <w:t>j</w:t>
      </w:r>
      <w:r>
        <w:rPr>
          <w:rFonts w:ascii="Trebuchet MS" w:hAnsi="Trebuchet MS"/>
          <w:color w:val="231F20"/>
          <w:spacing w:val="-1"/>
          <w:w w:val="109"/>
          <w:sz w:val="20"/>
        </w:rPr>
        <w:t>u</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22"/>
          <w:sz w:val="20"/>
        </w:rPr>
        <w:t>s</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7"/>
          <w:w w:val="111"/>
          <w:sz w:val="20"/>
        </w:rPr>
        <w:t>m</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po</w:t>
      </w:r>
      <w:r>
        <w:rPr>
          <w:rFonts w:ascii="Trebuchet MS" w:hAnsi="Trebuchet MS"/>
          <w:color w:val="231F20"/>
          <w:spacing w:val="-2"/>
          <w:w w:val="107"/>
          <w:sz w:val="20"/>
        </w:rPr>
        <w:t>n</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3"/>
          <w:w w:val="80"/>
          <w:sz w:val="20"/>
        </w:rPr>
        <w:t>i</w:t>
      </w:r>
      <w:r>
        <w:rPr>
          <w:rFonts w:ascii="Trebuchet MS" w:hAnsi="Trebuchet MS"/>
          <w:color w:val="231F20"/>
          <w:w w:val="88"/>
          <w:sz w:val="20"/>
        </w:rPr>
        <w:t>t</w:t>
      </w:r>
    </w:p>
    <w:p w14:paraId="4FE2F3AC" w14:textId="77777777" w:rsidR="00894070" w:rsidRDefault="009B7AFD">
      <w:pPr>
        <w:pStyle w:val="ListParagraph"/>
        <w:numPr>
          <w:ilvl w:val="1"/>
          <w:numId w:val="191"/>
        </w:numPr>
        <w:tabs>
          <w:tab w:val="left" w:pos="2475"/>
          <w:tab w:val="left" w:pos="2476"/>
        </w:tabs>
        <w:spacing w:before="87" w:line="247" w:lineRule="auto"/>
        <w:ind w:right="1278" w:hanging="680"/>
        <w:rPr>
          <w:rFonts w:ascii="Trebuchet MS"/>
          <w:sz w:val="20"/>
        </w:rPr>
      </w:pPr>
      <w:r>
        <w:rPr>
          <w:rFonts w:ascii="Trebuchet MS"/>
          <w:color w:val="231F20"/>
          <w:w w:val="110"/>
          <w:sz w:val="20"/>
        </w:rPr>
        <w:t>ensure</w:t>
      </w:r>
      <w:r>
        <w:rPr>
          <w:rFonts w:ascii="Trebuchet MS"/>
          <w:color w:val="231F20"/>
          <w:spacing w:val="-43"/>
          <w:w w:val="110"/>
          <w:sz w:val="20"/>
        </w:rPr>
        <w:t xml:space="preserve"> </w:t>
      </w:r>
      <w:r>
        <w:rPr>
          <w:rFonts w:ascii="Trebuchet MS"/>
          <w:color w:val="231F20"/>
          <w:w w:val="110"/>
          <w:sz w:val="20"/>
        </w:rPr>
        <w:t>that</w:t>
      </w:r>
      <w:r>
        <w:rPr>
          <w:rFonts w:ascii="Trebuchet MS"/>
          <w:color w:val="231F20"/>
          <w:spacing w:val="-42"/>
          <w:w w:val="110"/>
          <w:sz w:val="20"/>
        </w:rPr>
        <w:t xml:space="preserve"> </w:t>
      </w:r>
      <w:r>
        <w:rPr>
          <w:rFonts w:ascii="Trebuchet MS"/>
          <w:color w:val="231F20"/>
          <w:spacing w:val="-3"/>
          <w:w w:val="110"/>
          <w:sz w:val="20"/>
        </w:rPr>
        <w:t>any</w:t>
      </w:r>
      <w:r>
        <w:rPr>
          <w:rFonts w:ascii="Trebuchet MS"/>
          <w:color w:val="231F20"/>
          <w:spacing w:val="-42"/>
          <w:w w:val="110"/>
          <w:sz w:val="20"/>
        </w:rPr>
        <w:t xml:space="preserve"> </w:t>
      </w:r>
      <w:r>
        <w:rPr>
          <w:rFonts w:ascii="Trebuchet MS"/>
          <w:color w:val="231F20"/>
          <w:w w:val="110"/>
          <w:sz w:val="20"/>
        </w:rPr>
        <w:t>emerging</w:t>
      </w:r>
      <w:r>
        <w:rPr>
          <w:rFonts w:ascii="Trebuchet MS"/>
          <w:color w:val="231F20"/>
          <w:spacing w:val="-42"/>
          <w:w w:val="110"/>
          <w:sz w:val="20"/>
        </w:rPr>
        <w:t xml:space="preserve"> </w:t>
      </w:r>
      <w:r>
        <w:rPr>
          <w:rFonts w:ascii="Trebuchet MS"/>
          <w:color w:val="231F20"/>
          <w:w w:val="110"/>
          <w:sz w:val="20"/>
        </w:rPr>
        <w:t>data</w:t>
      </w:r>
      <w:r>
        <w:rPr>
          <w:rFonts w:ascii="Trebuchet MS"/>
          <w:color w:val="231F20"/>
          <w:spacing w:val="-43"/>
          <w:w w:val="110"/>
          <w:sz w:val="20"/>
        </w:rPr>
        <w:t xml:space="preserve"> </w:t>
      </w:r>
      <w:r>
        <w:rPr>
          <w:rFonts w:ascii="Trebuchet MS"/>
          <w:color w:val="231F20"/>
          <w:w w:val="110"/>
          <w:sz w:val="20"/>
        </w:rPr>
        <w:t>and</w:t>
      </w:r>
      <w:r>
        <w:rPr>
          <w:rFonts w:ascii="Trebuchet MS"/>
          <w:color w:val="231F20"/>
          <w:spacing w:val="-42"/>
          <w:w w:val="110"/>
          <w:sz w:val="20"/>
        </w:rPr>
        <w:t xml:space="preserve"> </w:t>
      </w:r>
      <w:r>
        <w:rPr>
          <w:rFonts w:ascii="Trebuchet MS"/>
          <w:color w:val="231F20"/>
          <w:w w:val="110"/>
          <w:sz w:val="20"/>
        </w:rPr>
        <w:t>research</w:t>
      </w:r>
      <w:r>
        <w:rPr>
          <w:rFonts w:ascii="Trebuchet MS"/>
          <w:color w:val="231F20"/>
          <w:spacing w:val="-42"/>
          <w:w w:val="110"/>
          <w:sz w:val="20"/>
        </w:rPr>
        <w:t xml:space="preserve"> </w:t>
      </w:r>
      <w:r>
        <w:rPr>
          <w:rFonts w:ascii="Trebuchet MS"/>
          <w:color w:val="231F20"/>
          <w:w w:val="110"/>
          <w:sz w:val="20"/>
        </w:rPr>
        <w:t>gaps</w:t>
      </w:r>
      <w:r>
        <w:rPr>
          <w:rFonts w:ascii="Trebuchet MS"/>
          <w:color w:val="231F20"/>
          <w:spacing w:val="-42"/>
          <w:w w:val="110"/>
          <w:sz w:val="20"/>
        </w:rPr>
        <w:t xml:space="preserve"> </w:t>
      </w:r>
      <w:r>
        <w:rPr>
          <w:rFonts w:ascii="Trebuchet MS"/>
          <w:color w:val="231F20"/>
          <w:spacing w:val="-2"/>
          <w:w w:val="110"/>
          <w:sz w:val="20"/>
        </w:rPr>
        <w:t>are</w:t>
      </w:r>
      <w:r>
        <w:rPr>
          <w:rFonts w:ascii="Trebuchet MS"/>
          <w:color w:val="231F20"/>
          <w:spacing w:val="-43"/>
          <w:w w:val="110"/>
          <w:sz w:val="20"/>
        </w:rPr>
        <w:t xml:space="preserve"> </w:t>
      </w:r>
      <w:proofErr w:type="gramStart"/>
      <w:r>
        <w:rPr>
          <w:rFonts w:ascii="Trebuchet MS"/>
          <w:color w:val="231F20"/>
          <w:w w:val="110"/>
          <w:sz w:val="20"/>
        </w:rPr>
        <w:t>filled</w:t>
      </w:r>
      <w:proofErr w:type="gramEnd"/>
      <w:r>
        <w:rPr>
          <w:rFonts w:ascii="Trebuchet MS"/>
          <w:color w:val="231F20"/>
          <w:spacing w:val="-42"/>
          <w:w w:val="110"/>
          <w:sz w:val="20"/>
        </w:rPr>
        <w:t xml:space="preserve"> </w:t>
      </w:r>
      <w:r>
        <w:rPr>
          <w:rFonts w:ascii="Trebuchet MS"/>
          <w:color w:val="231F20"/>
          <w:w w:val="110"/>
          <w:sz w:val="20"/>
        </w:rPr>
        <w:t>and</w:t>
      </w:r>
      <w:r>
        <w:rPr>
          <w:rFonts w:ascii="Trebuchet MS"/>
          <w:color w:val="231F20"/>
          <w:spacing w:val="-42"/>
          <w:w w:val="110"/>
          <w:sz w:val="20"/>
        </w:rPr>
        <w:t xml:space="preserve"> </w:t>
      </w:r>
      <w:r>
        <w:rPr>
          <w:rFonts w:ascii="Trebuchet MS"/>
          <w:color w:val="231F20"/>
          <w:w w:val="110"/>
          <w:sz w:val="20"/>
        </w:rPr>
        <w:t xml:space="preserve">shortcomings </w:t>
      </w:r>
      <w:r>
        <w:rPr>
          <w:rFonts w:ascii="Trebuchet MS"/>
          <w:color w:val="231F20"/>
          <w:spacing w:val="-2"/>
          <w:w w:val="110"/>
          <w:sz w:val="20"/>
        </w:rPr>
        <w:t>ad</w:t>
      </w:r>
      <w:r>
        <w:rPr>
          <w:rFonts w:ascii="Trebuchet MS"/>
          <w:color w:val="231F20"/>
          <w:spacing w:val="-1"/>
          <w:w w:val="110"/>
          <w:sz w:val="20"/>
        </w:rPr>
        <w:t>d</w:t>
      </w:r>
      <w:r>
        <w:rPr>
          <w:rFonts w:ascii="Trebuchet MS"/>
          <w:color w:val="231F20"/>
          <w:spacing w:val="-4"/>
          <w:w w:val="93"/>
          <w:sz w:val="20"/>
        </w:rPr>
        <w:t>r</w:t>
      </w:r>
      <w:r>
        <w:rPr>
          <w:rFonts w:ascii="Trebuchet MS"/>
          <w:color w:val="231F20"/>
          <w:spacing w:val="-2"/>
          <w:w w:val="114"/>
          <w:sz w:val="20"/>
        </w:rPr>
        <w:t>e</w:t>
      </w:r>
      <w:r>
        <w:rPr>
          <w:rFonts w:ascii="Trebuchet MS"/>
          <w:color w:val="231F20"/>
          <w:spacing w:val="-1"/>
          <w:w w:val="114"/>
          <w:sz w:val="20"/>
        </w:rPr>
        <w:t>s</w:t>
      </w:r>
      <w:r>
        <w:rPr>
          <w:rFonts w:ascii="Trebuchet MS"/>
          <w:color w:val="231F20"/>
          <w:spacing w:val="-1"/>
          <w:w w:val="122"/>
          <w:sz w:val="20"/>
        </w:rPr>
        <w:t>s</w:t>
      </w:r>
      <w:r>
        <w:rPr>
          <w:rFonts w:ascii="Trebuchet MS"/>
          <w:color w:val="231F20"/>
          <w:w w:val="108"/>
          <w:sz w:val="20"/>
        </w:rPr>
        <w:t>e</w:t>
      </w:r>
      <w:r>
        <w:rPr>
          <w:rFonts w:ascii="Trebuchet MS"/>
          <w:color w:val="231F20"/>
          <w:w w:val="112"/>
          <w:sz w:val="20"/>
        </w:rPr>
        <w:t>d</w:t>
      </w:r>
      <w:r>
        <w:rPr>
          <w:rFonts w:ascii="Trebuchet MS"/>
          <w:color w:val="231F20"/>
          <w:w w:val="55"/>
          <w:sz w:val="20"/>
        </w:rPr>
        <w:t>.</w:t>
      </w:r>
    </w:p>
    <w:p w14:paraId="50AAE274" w14:textId="77777777" w:rsidR="00894070" w:rsidRDefault="009B7AFD">
      <w:pPr>
        <w:pStyle w:val="ListParagraph"/>
        <w:numPr>
          <w:ilvl w:val="0"/>
          <w:numId w:val="191"/>
        </w:numPr>
        <w:tabs>
          <w:tab w:val="left" w:pos="1795"/>
          <w:tab w:val="left" w:pos="1796"/>
        </w:tabs>
        <w:spacing w:before="86" w:line="247" w:lineRule="auto"/>
        <w:ind w:right="1472"/>
        <w:rPr>
          <w:rFonts w:ascii="Trebuchet MS"/>
          <w:sz w:val="20"/>
        </w:rPr>
      </w:pPr>
      <w:r>
        <w:rPr>
          <w:rFonts w:ascii="Trebuchet MS"/>
          <w:color w:val="231F20"/>
          <w:sz w:val="20"/>
        </w:rPr>
        <w:t xml:space="preserve">In implementing Recommendations 1-9 of the </w:t>
      </w:r>
      <w:r>
        <w:rPr>
          <w:rFonts w:ascii="Trebuchet MS"/>
          <w:color w:val="231F20"/>
          <w:spacing w:val="-3"/>
          <w:sz w:val="20"/>
        </w:rPr>
        <w:t xml:space="preserve">interim </w:t>
      </w:r>
      <w:r>
        <w:rPr>
          <w:rFonts w:ascii="Trebuchet MS"/>
          <w:color w:val="231F20"/>
          <w:sz w:val="20"/>
        </w:rPr>
        <w:t xml:space="preserve">report, Victoria Police should ensure that frontline and specialist police </w:t>
      </w:r>
      <w:r>
        <w:rPr>
          <w:rFonts w:ascii="Trebuchet MS"/>
          <w:color w:val="231F20"/>
          <w:spacing w:val="-3"/>
          <w:sz w:val="20"/>
        </w:rPr>
        <w:t xml:space="preserve">improve </w:t>
      </w:r>
      <w:r>
        <w:rPr>
          <w:rFonts w:ascii="Trebuchet MS"/>
          <w:color w:val="231F20"/>
          <w:sz w:val="20"/>
        </w:rPr>
        <w:t xml:space="preserve">their capability to </w:t>
      </w:r>
      <w:r>
        <w:rPr>
          <w:rFonts w:ascii="Trebuchet MS"/>
          <w:color w:val="231F20"/>
          <w:spacing w:val="-3"/>
          <w:sz w:val="20"/>
        </w:rPr>
        <w:t xml:space="preserve">identify, </w:t>
      </w:r>
      <w:r>
        <w:rPr>
          <w:rFonts w:ascii="Trebuchet MS"/>
          <w:color w:val="231F20"/>
          <w:spacing w:val="-2"/>
          <w:w w:val="80"/>
          <w:sz w:val="20"/>
        </w:rPr>
        <w:t>i</w:t>
      </w:r>
      <w:r>
        <w:rPr>
          <w:rFonts w:ascii="Trebuchet MS"/>
          <w:color w:val="231F20"/>
          <w:spacing w:val="-6"/>
          <w:w w:val="107"/>
          <w:sz w:val="20"/>
        </w:rPr>
        <w:t>n</w:t>
      </w:r>
      <w:r>
        <w:rPr>
          <w:rFonts w:ascii="Trebuchet MS"/>
          <w:color w:val="231F20"/>
          <w:spacing w:val="-6"/>
          <w:w w:val="109"/>
          <w:sz w:val="20"/>
        </w:rPr>
        <w:t>v</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24"/>
          <w:sz w:val="20"/>
        </w:rPr>
        <w:t>g</w:t>
      </w:r>
      <w:r>
        <w:rPr>
          <w:rFonts w:ascii="Trebuchet MS"/>
          <w:color w:val="231F20"/>
          <w:spacing w:val="-4"/>
          <w:w w:val="105"/>
          <w:sz w:val="20"/>
        </w:rPr>
        <w:t>a</w:t>
      </w:r>
      <w:r>
        <w:rPr>
          <w:rFonts w:ascii="Trebuchet MS"/>
          <w:color w:val="231F20"/>
          <w:spacing w:val="-4"/>
          <w:w w:val="88"/>
          <w:sz w:val="20"/>
        </w:rPr>
        <w:t>t</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1"/>
          <w:sz w:val="20"/>
        </w:rPr>
        <w:t>cy</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p w14:paraId="46BE553B" w14:textId="77777777" w:rsidR="00894070" w:rsidRDefault="009B7AFD">
      <w:pPr>
        <w:pStyle w:val="ListParagraph"/>
        <w:numPr>
          <w:ilvl w:val="0"/>
          <w:numId w:val="191"/>
        </w:numPr>
        <w:tabs>
          <w:tab w:val="left" w:pos="1795"/>
          <w:tab w:val="left" w:pos="1796"/>
        </w:tabs>
        <w:spacing w:before="88" w:line="247" w:lineRule="auto"/>
        <w:ind w:right="1203"/>
        <w:rPr>
          <w:rFonts w:ascii="Trebuchet MS"/>
          <w:sz w:val="20"/>
        </w:rPr>
      </w:pPr>
      <w:r>
        <w:rPr>
          <w:rFonts w:ascii="Trebuchet MS"/>
          <w:color w:val="231F20"/>
          <w:w w:val="105"/>
          <w:sz w:val="20"/>
        </w:rPr>
        <w:t xml:space="preserve">In implementing Recommendation 8 of the </w:t>
      </w:r>
      <w:r>
        <w:rPr>
          <w:rFonts w:ascii="Trebuchet MS"/>
          <w:color w:val="231F20"/>
          <w:spacing w:val="-3"/>
          <w:w w:val="105"/>
          <w:sz w:val="20"/>
        </w:rPr>
        <w:t xml:space="preserve">interim </w:t>
      </w:r>
      <w:r>
        <w:rPr>
          <w:rFonts w:ascii="Trebuchet MS"/>
          <w:color w:val="231F20"/>
          <w:w w:val="105"/>
          <w:sz w:val="20"/>
        </w:rPr>
        <w:t>report, Victoria Police should ensure</w:t>
      </w:r>
      <w:r>
        <w:rPr>
          <w:rFonts w:ascii="Trebuchet MS"/>
          <w:color w:val="231F20"/>
          <w:spacing w:val="-30"/>
          <w:w w:val="105"/>
          <w:sz w:val="20"/>
        </w:rPr>
        <w:t xml:space="preserve"> </w:t>
      </w:r>
      <w:r>
        <w:rPr>
          <w:rFonts w:ascii="Trebuchet MS"/>
          <w:color w:val="231F20"/>
          <w:w w:val="105"/>
          <w:sz w:val="20"/>
        </w:rPr>
        <w:t>that</w:t>
      </w:r>
      <w:r>
        <w:rPr>
          <w:rFonts w:ascii="Trebuchet MS"/>
          <w:color w:val="231F20"/>
          <w:spacing w:val="-30"/>
          <w:w w:val="105"/>
          <w:sz w:val="20"/>
        </w:rPr>
        <w:t xml:space="preserve"> </w:t>
      </w:r>
      <w:r>
        <w:rPr>
          <w:rFonts w:ascii="Trebuchet MS"/>
          <w:color w:val="231F20"/>
          <w:w w:val="105"/>
          <w:sz w:val="20"/>
        </w:rPr>
        <w:t>referrals</w:t>
      </w:r>
      <w:r>
        <w:rPr>
          <w:rFonts w:ascii="Trebuchet MS"/>
          <w:color w:val="231F20"/>
          <w:spacing w:val="-30"/>
          <w:w w:val="105"/>
          <w:sz w:val="20"/>
        </w:rPr>
        <w:t xml:space="preserve"> </w:t>
      </w:r>
      <w:r>
        <w:rPr>
          <w:rFonts w:ascii="Trebuchet MS"/>
          <w:color w:val="231F20"/>
          <w:spacing w:val="-2"/>
          <w:w w:val="105"/>
          <w:sz w:val="20"/>
        </w:rPr>
        <w:t>are</w:t>
      </w:r>
      <w:r>
        <w:rPr>
          <w:rFonts w:ascii="Trebuchet MS"/>
          <w:color w:val="231F20"/>
          <w:spacing w:val="-30"/>
          <w:w w:val="105"/>
          <w:sz w:val="20"/>
        </w:rPr>
        <w:t xml:space="preserve"> </w:t>
      </w:r>
      <w:r>
        <w:rPr>
          <w:rFonts w:ascii="Trebuchet MS"/>
          <w:color w:val="231F20"/>
          <w:w w:val="105"/>
          <w:sz w:val="20"/>
        </w:rPr>
        <w:t>made</w:t>
      </w:r>
      <w:r>
        <w:rPr>
          <w:rFonts w:ascii="Trebuchet MS"/>
          <w:color w:val="231F20"/>
          <w:spacing w:val="-30"/>
          <w:w w:val="105"/>
          <w:sz w:val="20"/>
        </w:rPr>
        <w:t xml:space="preserve"> </w:t>
      </w:r>
      <w:r>
        <w:rPr>
          <w:rFonts w:ascii="Trebuchet MS"/>
          <w:color w:val="231F20"/>
          <w:w w:val="105"/>
          <w:sz w:val="20"/>
        </w:rPr>
        <w:t>efficiently</w:t>
      </w:r>
      <w:r>
        <w:rPr>
          <w:rFonts w:ascii="Trebuchet MS"/>
          <w:color w:val="231F20"/>
          <w:spacing w:val="-30"/>
          <w:w w:val="105"/>
          <w:sz w:val="20"/>
        </w:rPr>
        <w:t xml:space="preserve"> </w:t>
      </w:r>
      <w:r>
        <w:rPr>
          <w:rFonts w:ascii="Trebuchet MS"/>
          <w:color w:val="231F20"/>
          <w:w w:val="105"/>
          <w:sz w:val="20"/>
        </w:rPr>
        <w:t>to</w:t>
      </w:r>
      <w:r>
        <w:rPr>
          <w:rFonts w:ascii="Trebuchet MS"/>
          <w:color w:val="231F20"/>
          <w:spacing w:val="-30"/>
          <w:w w:val="105"/>
          <w:sz w:val="20"/>
        </w:rPr>
        <w:t xml:space="preserve"> </w:t>
      </w:r>
      <w:r>
        <w:rPr>
          <w:rFonts w:ascii="Trebuchet MS"/>
          <w:color w:val="231F20"/>
          <w:w w:val="105"/>
          <w:sz w:val="20"/>
        </w:rPr>
        <w:t>services</w:t>
      </w:r>
      <w:r>
        <w:rPr>
          <w:rFonts w:ascii="Trebuchet MS"/>
          <w:color w:val="231F20"/>
          <w:spacing w:val="-30"/>
          <w:w w:val="105"/>
          <w:sz w:val="20"/>
        </w:rPr>
        <w:t xml:space="preserve"> </w:t>
      </w:r>
      <w:r>
        <w:rPr>
          <w:rFonts w:ascii="Trebuchet MS"/>
          <w:color w:val="231F20"/>
          <w:w w:val="105"/>
          <w:sz w:val="20"/>
        </w:rPr>
        <w:t>that</w:t>
      </w:r>
      <w:r>
        <w:rPr>
          <w:rFonts w:ascii="Trebuchet MS"/>
          <w:color w:val="231F20"/>
          <w:spacing w:val="-30"/>
          <w:w w:val="105"/>
          <w:sz w:val="20"/>
        </w:rPr>
        <w:t xml:space="preserve"> </w:t>
      </w:r>
      <w:r>
        <w:rPr>
          <w:rFonts w:ascii="Trebuchet MS"/>
          <w:color w:val="231F20"/>
          <w:spacing w:val="-3"/>
          <w:w w:val="105"/>
          <w:sz w:val="20"/>
        </w:rPr>
        <w:t>provide</w:t>
      </w:r>
      <w:r>
        <w:rPr>
          <w:rFonts w:ascii="Trebuchet MS"/>
          <w:color w:val="231F20"/>
          <w:spacing w:val="-29"/>
          <w:w w:val="105"/>
          <w:sz w:val="20"/>
        </w:rPr>
        <w:t xml:space="preserve"> </w:t>
      </w:r>
      <w:r>
        <w:rPr>
          <w:rFonts w:ascii="Trebuchet MS"/>
          <w:color w:val="231F20"/>
          <w:w w:val="105"/>
          <w:sz w:val="20"/>
        </w:rPr>
        <w:t>technical</w:t>
      </w:r>
      <w:r>
        <w:rPr>
          <w:rFonts w:ascii="Trebuchet MS"/>
          <w:color w:val="231F20"/>
          <w:spacing w:val="-30"/>
          <w:w w:val="105"/>
          <w:sz w:val="20"/>
        </w:rPr>
        <w:t xml:space="preserve"> </w:t>
      </w:r>
      <w:r>
        <w:rPr>
          <w:rFonts w:ascii="Trebuchet MS"/>
          <w:color w:val="231F20"/>
          <w:w w:val="105"/>
          <w:sz w:val="20"/>
        </w:rPr>
        <w:t>support</w:t>
      </w:r>
      <w:r>
        <w:rPr>
          <w:rFonts w:ascii="Trebuchet MS"/>
          <w:color w:val="231F20"/>
          <w:spacing w:val="-30"/>
          <w:w w:val="105"/>
          <w:sz w:val="20"/>
        </w:rPr>
        <w:t xml:space="preserve"> </w:t>
      </w:r>
      <w:r>
        <w:rPr>
          <w:rFonts w:ascii="Trebuchet MS"/>
          <w:color w:val="231F20"/>
          <w:w w:val="105"/>
          <w:sz w:val="20"/>
        </w:rPr>
        <w:t xml:space="preserve">for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1"/>
          <w:sz w:val="20"/>
        </w:rPr>
        <w:t>cy</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2"/>
          <w:w w:val="88"/>
          <w:sz w:val="20"/>
        </w:rPr>
        <w:t>t</w:t>
      </w:r>
      <w:r>
        <w:rPr>
          <w:rFonts w:ascii="Trebuchet MS"/>
          <w:color w:val="231F20"/>
          <w:spacing w:val="-2"/>
          <w:w w:val="80"/>
          <w:sz w:val="20"/>
        </w:rPr>
        <w:t>i</w:t>
      </w:r>
      <w:r>
        <w:rPr>
          <w:rFonts w:ascii="Trebuchet MS"/>
          <w:color w:val="231F20"/>
          <w:w w:val="111"/>
          <w:sz w:val="20"/>
        </w:rPr>
        <w:t>m</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3"/>
          <w:w w:val="93"/>
          <w:sz w:val="20"/>
        </w:rPr>
        <w:t>r</w:t>
      </w:r>
      <w:r>
        <w:rPr>
          <w:rFonts w:ascii="Trebuchet MS"/>
          <w:color w:val="231F20"/>
          <w:spacing w:val="-2"/>
          <w:w w:val="109"/>
          <w:sz w:val="20"/>
        </w:rPr>
        <w:t>v</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11"/>
          <w:sz w:val="20"/>
        </w:rPr>
        <w:t>o</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w w:val="105"/>
          <w:sz w:val="20"/>
        </w:rPr>
        <w:t>a</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22"/>
          <w:sz w:val="20"/>
        </w:rPr>
        <w:t>s</w:t>
      </w:r>
      <w:r>
        <w:rPr>
          <w:rFonts w:ascii="Trebuchet MS"/>
          <w:color w:val="231F20"/>
          <w:spacing w:val="-3"/>
          <w:w w:val="108"/>
          <w:sz w:val="20"/>
        </w:rPr>
        <w:t>e</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3"/>
          <w:w w:val="109"/>
          <w:sz w:val="20"/>
        </w:rPr>
        <w:t>u</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3"/>
          <w:w w:val="112"/>
          <w:sz w:val="20"/>
        </w:rPr>
        <w:t>R</w:t>
      </w:r>
      <w:r>
        <w:rPr>
          <w:rFonts w:ascii="Trebuchet MS"/>
          <w:color w:val="231F20"/>
          <w:w w:val="108"/>
          <w:sz w:val="20"/>
        </w:rPr>
        <w:t>e</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11"/>
          <w:sz w:val="20"/>
        </w:rPr>
        <w:t>m</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 xml:space="preserve">n </w:t>
      </w:r>
      <w:r>
        <w:rPr>
          <w:rFonts w:ascii="Trebuchet MS"/>
          <w:color w:val="231F20"/>
          <w:w w:val="102"/>
          <w:sz w:val="20"/>
        </w:rPr>
        <w:t>7</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2"/>
          <w:w w:val="107"/>
          <w:sz w:val="20"/>
        </w:rPr>
        <w:t>h</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1"/>
          <w:w w:val="108"/>
          <w:sz w:val="20"/>
        </w:rPr>
        <w:t>e</w:t>
      </w:r>
      <w:r>
        <w:rPr>
          <w:rFonts w:ascii="Trebuchet MS"/>
          <w:color w:val="231F20"/>
          <w:spacing w:val="-1"/>
          <w:w w:val="111"/>
          <w:sz w:val="20"/>
        </w:rPr>
        <w:t>po</w:t>
      </w:r>
      <w:r>
        <w:rPr>
          <w:rFonts w:ascii="Trebuchet MS"/>
          <w:color w:val="231F20"/>
          <w:spacing w:val="2"/>
          <w:w w:val="93"/>
          <w:sz w:val="20"/>
        </w:rPr>
        <w:t>r</w:t>
      </w:r>
      <w:r>
        <w:rPr>
          <w:rFonts w:ascii="Trebuchet MS"/>
          <w:color w:val="231F20"/>
          <w:spacing w:val="1"/>
          <w:w w:val="88"/>
          <w:sz w:val="20"/>
        </w:rPr>
        <w:t>t</w:t>
      </w:r>
      <w:r>
        <w:rPr>
          <w:rFonts w:ascii="Trebuchet MS"/>
          <w:color w:val="231F20"/>
          <w:w w:val="55"/>
          <w:sz w:val="20"/>
        </w:rPr>
        <w:t>.</w:t>
      </w:r>
    </w:p>
    <w:p w14:paraId="0ED89127" w14:textId="77777777" w:rsidR="00894070" w:rsidRDefault="009B7AFD">
      <w:pPr>
        <w:pStyle w:val="ListParagraph"/>
        <w:numPr>
          <w:ilvl w:val="0"/>
          <w:numId w:val="191"/>
        </w:numPr>
        <w:tabs>
          <w:tab w:val="left" w:pos="1795"/>
          <w:tab w:val="left" w:pos="1796"/>
          <w:tab w:val="left" w:pos="2475"/>
        </w:tabs>
        <w:spacing w:before="88" w:line="247" w:lineRule="auto"/>
        <w:ind w:left="2475" w:right="1405" w:hanging="1474"/>
        <w:rPr>
          <w:rFonts w:ascii="Trebuchet MS"/>
          <w:sz w:val="20"/>
        </w:rPr>
      </w:pPr>
      <w:r>
        <w:rPr>
          <w:rFonts w:ascii="Trebuchet MS"/>
          <w:color w:val="231F20"/>
          <w:sz w:val="20"/>
        </w:rPr>
        <w:t>a.</w:t>
      </w:r>
      <w:r>
        <w:rPr>
          <w:rFonts w:ascii="Trebuchet MS"/>
          <w:color w:val="231F20"/>
          <w:sz w:val="20"/>
        </w:rPr>
        <w:tab/>
        <w:t xml:space="preserve">The Victorian </w:t>
      </w:r>
      <w:r>
        <w:rPr>
          <w:rFonts w:ascii="Trebuchet MS"/>
          <w:color w:val="231F20"/>
          <w:spacing w:val="-3"/>
          <w:sz w:val="20"/>
        </w:rPr>
        <w:t xml:space="preserve">Government </w:t>
      </w:r>
      <w:r>
        <w:rPr>
          <w:rFonts w:ascii="Trebuchet MS"/>
          <w:color w:val="231F20"/>
          <w:sz w:val="20"/>
        </w:rPr>
        <w:t xml:space="preserve">should </w:t>
      </w:r>
      <w:r>
        <w:rPr>
          <w:rFonts w:ascii="Trebuchet MS"/>
          <w:color w:val="231F20"/>
          <w:spacing w:val="-2"/>
          <w:sz w:val="20"/>
        </w:rPr>
        <w:t xml:space="preserve">resource </w:t>
      </w:r>
      <w:r>
        <w:rPr>
          <w:rFonts w:ascii="Trebuchet MS"/>
          <w:color w:val="231F20"/>
          <w:sz w:val="20"/>
        </w:rPr>
        <w:t xml:space="preserve">and support public education </w:t>
      </w:r>
      <w:r>
        <w:rPr>
          <w:rFonts w:ascii="Trebuchet MS"/>
          <w:color w:val="231F20"/>
          <w:spacing w:val="-2"/>
          <w:w w:val="105"/>
          <w:sz w:val="20"/>
        </w:rPr>
        <w:t>a</w:t>
      </w:r>
      <w:r>
        <w:rPr>
          <w:rFonts w:ascii="Trebuchet MS"/>
          <w:color w:val="231F20"/>
          <w:spacing w:val="-1"/>
          <w:w w:val="111"/>
          <w:sz w:val="20"/>
        </w:rPr>
        <w:t>bo</w:t>
      </w:r>
      <w:r>
        <w:rPr>
          <w:rFonts w:ascii="Trebuchet MS"/>
          <w:color w:val="231F20"/>
          <w:spacing w:val="-3"/>
          <w:w w:val="109"/>
          <w:sz w:val="20"/>
        </w:rPr>
        <w:t>u</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11"/>
          <w:sz w:val="20"/>
        </w:rPr>
        <w:t>cy</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r>
        <w:rPr>
          <w:rFonts w:ascii="Trebuchet MS"/>
          <w:color w:val="231F20"/>
          <w:spacing w:val="-14"/>
          <w:sz w:val="20"/>
        </w:rPr>
        <w:t xml:space="preserve"> </w:t>
      </w:r>
      <w:r>
        <w:rPr>
          <w:rFonts w:ascii="Trebuchet MS"/>
          <w:color w:val="231F20"/>
          <w:spacing w:val="-2"/>
          <w:w w:val="105"/>
          <w:sz w:val="20"/>
        </w:rPr>
        <w:t>T</w:t>
      </w:r>
      <w:r>
        <w:rPr>
          <w:rFonts w:ascii="Trebuchet MS"/>
          <w:color w:val="231F20"/>
          <w:spacing w:val="-2"/>
          <w:w w:val="107"/>
          <w:sz w:val="20"/>
        </w:rPr>
        <w:t>h</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w w:val="108"/>
          <w:sz w:val="20"/>
        </w:rPr>
        <w:t>e</w:t>
      </w:r>
      <w:r>
        <w:rPr>
          <w:rFonts w:ascii="Trebuchet MS"/>
          <w:color w:val="231F20"/>
          <w:spacing w:val="-2"/>
          <w:w w:val="112"/>
          <w:sz w:val="20"/>
        </w:rPr>
        <w:t>d</w:t>
      </w:r>
      <w:r>
        <w:rPr>
          <w:rFonts w:ascii="Trebuchet MS"/>
          <w:color w:val="231F20"/>
          <w:spacing w:val="-2"/>
          <w:w w:val="109"/>
          <w:sz w:val="20"/>
        </w:rPr>
        <w:t>u</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 xml:space="preserve">d </w:t>
      </w:r>
      <w:r>
        <w:rPr>
          <w:rFonts w:ascii="Trebuchet MS"/>
          <w:color w:val="231F20"/>
          <w:spacing w:val="-1"/>
          <w:w w:val="111"/>
          <w:sz w:val="20"/>
        </w:rPr>
        <w:t>b</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5"/>
          <w:sz w:val="20"/>
        </w:rPr>
        <w:t>a</w:t>
      </w:r>
      <w:r>
        <w:rPr>
          <w:rFonts w:ascii="Trebuchet MS"/>
          <w:color w:val="231F20"/>
          <w:spacing w:val="-1"/>
          <w:w w:val="122"/>
          <w:sz w:val="20"/>
        </w:rPr>
        <w:t>s</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1"/>
          <w:w w:val="108"/>
          <w:sz w:val="20"/>
        </w:rPr>
        <w:t>e</w:t>
      </w:r>
      <w:r>
        <w:rPr>
          <w:rFonts w:ascii="Trebuchet MS"/>
          <w:color w:val="231F20"/>
          <w:spacing w:val="-3"/>
          <w:w w:val="96"/>
          <w:sz w:val="20"/>
        </w:rPr>
        <w:t>l</w:t>
      </w:r>
      <w:r>
        <w:rPr>
          <w:rFonts w:ascii="Trebuchet MS"/>
          <w:color w:val="231F20"/>
          <w:spacing w:val="-5"/>
          <w:w w:val="108"/>
          <w:sz w:val="20"/>
        </w:rPr>
        <w:t>e</w:t>
      </w:r>
      <w:r>
        <w:rPr>
          <w:rFonts w:ascii="Trebuchet MS"/>
          <w:color w:val="231F20"/>
          <w:spacing w:val="-3"/>
          <w:w w:val="109"/>
          <w:sz w:val="20"/>
        </w:rPr>
        <w:t>v</w:t>
      </w:r>
      <w:r>
        <w:rPr>
          <w:rFonts w:ascii="Trebuchet MS"/>
          <w:color w:val="231F20"/>
          <w:spacing w:val="-2"/>
          <w:w w:val="105"/>
          <w:sz w:val="20"/>
        </w:rPr>
        <w:t>a</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1"/>
          <w:w w:val="108"/>
          <w:sz w:val="20"/>
        </w:rPr>
        <w:t>e</w:t>
      </w:r>
      <w:r>
        <w:rPr>
          <w:rFonts w:ascii="Trebuchet MS"/>
          <w:color w:val="231F20"/>
          <w:spacing w:val="-2"/>
          <w:w w:val="105"/>
          <w:sz w:val="20"/>
        </w:rPr>
        <w:t>a</w:t>
      </w:r>
      <w:r>
        <w:rPr>
          <w:rFonts w:ascii="Trebuchet MS"/>
          <w:color w:val="231F20"/>
          <w:spacing w:val="-4"/>
          <w:w w:val="93"/>
          <w:sz w:val="20"/>
        </w:rPr>
        <w:t>r</w:t>
      </w:r>
      <w:r>
        <w:rPr>
          <w:rFonts w:ascii="Trebuchet MS"/>
          <w:color w:val="231F20"/>
          <w:spacing w:val="-2"/>
          <w:w w:val="111"/>
          <w:sz w:val="20"/>
        </w:rPr>
        <w:t>c</w:t>
      </w:r>
      <w:r>
        <w:rPr>
          <w:rFonts w:ascii="Trebuchet MS"/>
          <w:color w:val="231F20"/>
          <w:spacing w:val="-1"/>
          <w:w w:val="107"/>
          <w:sz w:val="20"/>
        </w:rPr>
        <w:t>h</w:t>
      </w:r>
      <w:r>
        <w:rPr>
          <w:rFonts w:ascii="Trebuchet MS"/>
          <w:color w:val="231F20"/>
          <w:w w:val="55"/>
          <w:sz w:val="20"/>
        </w:rPr>
        <w:t>.</w:t>
      </w:r>
      <w:r>
        <w:rPr>
          <w:rFonts w:ascii="Trebuchet MS"/>
          <w:color w:val="231F20"/>
          <w:spacing w:val="-14"/>
          <w:sz w:val="20"/>
        </w:rPr>
        <w:t xml:space="preserve"> </w:t>
      </w:r>
      <w:r>
        <w:rPr>
          <w:rFonts w:ascii="Trebuchet MS"/>
          <w:color w:val="231F20"/>
          <w:spacing w:val="-2"/>
          <w:w w:val="90"/>
          <w:sz w:val="20"/>
        </w:rPr>
        <w:t>I</w:t>
      </w:r>
      <w:r>
        <w:rPr>
          <w:rFonts w:ascii="Trebuchet MS"/>
          <w:color w:val="231F20"/>
          <w:w w:val="90"/>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1"/>
          <w:w w:val="107"/>
          <w:sz w:val="20"/>
        </w:rPr>
        <w:t>n</w:t>
      </w:r>
      <w:r>
        <w:rPr>
          <w:rFonts w:ascii="Trebuchet MS"/>
          <w:color w:val="231F20"/>
          <w:spacing w:val="-3"/>
          <w:w w:val="111"/>
          <w:sz w:val="20"/>
        </w:rPr>
        <w:t>c</w:t>
      </w:r>
      <w:r>
        <w:rPr>
          <w:rFonts w:ascii="Trebuchet MS"/>
          <w:color w:val="231F20"/>
          <w:spacing w:val="-3"/>
          <w:w w:val="96"/>
          <w:sz w:val="20"/>
        </w:rPr>
        <w:t>l</w:t>
      </w:r>
      <w:r>
        <w:rPr>
          <w:rFonts w:ascii="Trebuchet MS"/>
          <w:color w:val="231F20"/>
          <w:spacing w:val="-2"/>
          <w:w w:val="109"/>
          <w:sz w:val="20"/>
        </w:rPr>
        <w:t>u</w:t>
      </w:r>
      <w:r>
        <w:rPr>
          <w:rFonts w:ascii="Trebuchet MS"/>
          <w:color w:val="231F20"/>
          <w:spacing w:val="-2"/>
          <w:w w:val="112"/>
          <w:sz w:val="20"/>
        </w:rPr>
        <w:t>d</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4"/>
          <w:w w:val="88"/>
          <w:sz w:val="20"/>
        </w:rPr>
        <w:t>t</w:t>
      </w:r>
      <w:r>
        <w:rPr>
          <w:rFonts w:ascii="Trebuchet MS"/>
          <w:color w:val="231F20"/>
          <w:spacing w:val="-1"/>
          <w:w w:val="108"/>
          <w:sz w:val="20"/>
        </w:rPr>
        <w:t>e</w:t>
      </w:r>
      <w:r>
        <w:rPr>
          <w:rFonts w:ascii="Trebuchet MS"/>
          <w:color w:val="231F20"/>
          <w:spacing w:val="-2"/>
          <w:w w:val="93"/>
          <w:sz w:val="20"/>
        </w:rPr>
        <w:t>r</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3"/>
          <w:w w:val="107"/>
          <w:sz w:val="20"/>
        </w:rPr>
        <w:t>n</w:t>
      </w:r>
      <w:r>
        <w:rPr>
          <w:rFonts w:ascii="Trebuchet MS"/>
          <w:color w:val="231F20"/>
          <w:w w:val="54"/>
          <w:sz w:val="20"/>
        </w:rPr>
        <w:t>:</w:t>
      </w:r>
    </w:p>
    <w:p w14:paraId="25453B0B" w14:textId="77777777" w:rsidR="00894070" w:rsidRDefault="009B7AFD">
      <w:pPr>
        <w:pStyle w:val="ListParagraph"/>
        <w:numPr>
          <w:ilvl w:val="0"/>
          <w:numId w:val="190"/>
        </w:numPr>
        <w:tabs>
          <w:tab w:val="left" w:pos="3155"/>
          <w:tab w:val="left" w:pos="3156"/>
        </w:tabs>
        <w:spacing w:before="88"/>
        <w:ind w:hanging="680"/>
        <w:rPr>
          <w:rFonts w:ascii="Trebuchet MS" w:hAnsi="Trebuchet MS"/>
          <w:sz w:val="20"/>
        </w:rPr>
      </w:pPr>
      <w:r>
        <w:rPr>
          <w:rFonts w:ascii="Trebuchet MS" w:hAnsi="Trebuchet MS"/>
          <w:color w:val="231F20"/>
          <w:sz w:val="20"/>
        </w:rPr>
        <w:t>identifying</w:t>
      </w:r>
      <w:r>
        <w:rPr>
          <w:rFonts w:ascii="Trebuchet MS" w:hAnsi="Trebuchet MS"/>
          <w:color w:val="231F20"/>
          <w:spacing w:val="-13"/>
          <w:sz w:val="20"/>
        </w:rPr>
        <w:t xml:space="preserve"> </w:t>
      </w:r>
      <w:r>
        <w:rPr>
          <w:rFonts w:ascii="Trebuchet MS" w:hAnsi="Trebuchet MS"/>
          <w:color w:val="231F20"/>
          <w:sz w:val="20"/>
        </w:rPr>
        <w:t>stalking</w:t>
      </w:r>
      <w:r>
        <w:rPr>
          <w:rFonts w:ascii="Trebuchet MS" w:hAnsi="Trebuchet MS"/>
          <w:color w:val="231F20"/>
          <w:spacing w:val="-13"/>
          <w:sz w:val="20"/>
        </w:rPr>
        <w:t xml:space="preserve"> </w:t>
      </w:r>
      <w:r>
        <w:rPr>
          <w:rFonts w:ascii="Trebuchet MS" w:hAnsi="Trebuchet MS"/>
          <w:color w:val="231F20"/>
          <w:sz w:val="20"/>
        </w:rPr>
        <w:t>and</w:t>
      </w:r>
      <w:r>
        <w:rPr>
          <w:rFonts w:ascii="Trebuchet MS" w:hAnsi="Trebuchet MS"/>
          <w:color w:val="231F20"/>
          <w:spacing w:val="-13"/>
          <w:sz w:val="20"/>
        </w:rPr>
        <w:t xml:space="preserve"> </w:t>
      </w:r>
      <w:r>
        <w:rPr>
          <w:rFonts w:ascii="Trebuchet MS" w:hAnsi="Trebuchet MS"/>
          <w:color w:val="231F20"/>
          <w:spacing w:val="-3"/>
          <w:sz w:val="20"/>
        </w:rPr>
        <w:t>how</w:t>
      </w:r>
      <w:r>
        <w:rPr>
          <w:rFonts w:ascii="Trebuchet MS" w:hAnsi="Trebuchet MS"/>
          <w:color w:val="231F20"/>
          <w:spacing w:val="-13"/>
          <w:sz w:val="20"/>
        </w:rPr>
        <w:t xml:space="preserve"> </w:t>
      </w:r>
      <w:r>
        <w:rPr>
          <w:rFonts w:ascii="Trebuchet MS" w:hAnsi="Trebuchet MS"/>
          <w:color w:val="231F20"/>
          <w:sz w:val="20"/>
        </w:rPr>
        <w:t>it</w:t>
      </w:r>
      <w:r>
        <w:rPr>
          <w:rFonts w:ascii="Trebuchet MS" w:hAnsi="Trebuchet MS"/>
          <w:color w:val="231F20"/>
          <w:spacing w:val="-12"/>
          <w:sz w:val="20"/>
        </w:rPr>
        <w:t xml:space="preserve"> </w:t>
      </w:r>
      <w:r>
        <w:rPr>
          <w:rFonts w:ascii="Trebuchet MS" w:hAnsi="Trebuchet MS"/>
          <w:color w:val="231F20"/>
          <w:sz w:val="20"/>
        </w:rPr>
        <w:t>is</w:t>
      </w:r>
      <w:r>
        <w:rPr>
          <w:rFonts w:ascii="Trebuchet MS" w:hAnsi="Trebuchet MS"/>
          <w:color w:val="231F20"/>
          <w:spacing w:val="-13"/>
          <w:sz w:val="20"/>
        </w:rPr>
        <w:t xml:space="preserve"> </w:t>
      </w:r>
      <w:r>
        <w:rPr>
          <w:rFonts w:ascii="Trebuchet MS" w:hAnsi="Trebuchet MS"/>
          <w:color w:val="231F20"/>
          <w:sz w:val="20"/>
        </w:rPr>
        <w:t>a</w:t>
      </w:r>
      <w:r>
        <w:rPr>
          <w:rFonts w:ascii="Trebuchet MS" w:hAnsi="Trebuchet MS"/>
          <w:color w:val="231F20"/>
          <w:spacing w:val="-13"/>
          <w:sz w:val="20"/>
        </w:rPr>
        <w:t xml:space="preserve"> </w:t>
      </w:r>
      <w:r>
        <w:rPr>
          <w:rFonts w:ascii="Trebuchet MS" w:hAnsi="Trebuchet MS"/>
          <w:color w:val="231F20"/>
          <w:sz w:val="20"/>
        </w:rPr>
        <w:t>crime</w:t>
      </w:r>
    </w:p>
    <w:p w14:paraId="6BF6DF79" w14:textId="77777777" w:rsidR="00894070" w:rsidRDefault="009B7AFD">
      <w:pPr>
        <w:pStyle w:val="ListParagraph"/>
        <w:numPr>
          <w:ilvl w:val="0"/>
          <w:numId w:val="190"/>
        </w:numPr>
        <w:tabs>
          <w:tab w:val="left" w:pos="3155"/>
          <w:tab w:val="left" w:pos="3156"/>
        </w:tabs>
        <w:spacing w:before="92"/>
        <w:ind w:hanging="680"/>
        <w:rPr>
          <w:rFonts w:ascii="Trebuchet MS" w:hAnsi="Trebuchet MS"/>
          <w:sz w:val="20"/>
        </w:rPr>
      </w:pP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w w:val="105"/>
          <w:sz w:val="20"/>
        </w:rPr>
        <w:t>harms</w:t>
      </w:r>
      <w:r>
        <w:rPr>
          <w:rFonts w:ascii="Trebuchet MS" w:hAnsi="Trebuchet MS"/>
          <w:color w:val="231F20"/>
          <w:spacing w:val="-17"/>
          <w:w w:val="105"/>
          <w:sz w:val="20"/>
        </w:rPr>
        <w:t xml:space="preserve"> </w:t>
      </w:r>
      <w:r>
        <w:rPr>
          <w:rFonts w:ascii="Trebuchet MS" w:hAnsi="Trebuchet MS"/>
          <w:color w:val="231F20"/>
          <w:w w:val="105"/>
          <w:sz w:val="20"/>
        </w:rPr>
        <w:t>caused</w:t>
      </w:r>
      <w:r>
        <w:rPr>
          <w:rFonts w:ascii="Trebuchet MS" w:hAnsi="Trebuchet MS"/>
          <w:color w:val="231F20"/>
          <w:spacing w:val="-16"/>
          <w:w w:val="105"/>
          <w:sz w:val="20"/>
        </w:rPr>
        <w:t xml:space="preserve"> </w:t>
      </w:r>
      <w:r>
        <w:rPr>
          <w:rFonts w:ascii="Trebuchet MS" w:hAnsi="Trebuchet MS"/>
          <w:color w:val="231F20"/>
          <w:spacing w:val="-3"/>
          <w:w w:val="105"/>
          <w:sz w:val="20"/>
        </w:rPr>
        <w:t>by</w:t>
      </w:r>
      <w:r>
        <w:rPr>
          <w:rFonts w:ascii="Trebuchet MS" w:hAnsi="Trebuchet MS"/>
          <w:color w:val="231F20"/>
          <w:spacing w:val="-17"/>
          <w:w w:val="105"/>
          <w:sz w:val="20"/>
        </w:rPr>
        <w:t xml:space="preserve"> </w:t>
      </w:r>
      <w:r>
        <w:rPr>
          <w:rFonts w:ascii="Trebuchet MS" w:hAnsi="Trebuchet MS"/>
          <w:color w:val="231F20"/>
          <w:w w:val="105"/>
          <w:sz w:val="20"/>
        </w:rPr>
        <w:t>stalking</w:t>
      </w:r>
    </w:p>
    <w:p w14:paraId="78E813EC" w14:textId="77777777" w:rsidR="00894070" w:rsidRDefault="009B7AFD">
      <w:pPr>
        <w:pStyle w:val="ListParagraph"/>
        <w:numPr>
          <w:ilvl w:val="0"/>
          <w:numId w:val="190"/>
        </w:numPr>
        <w:tabs>
          <w:tab w:val="left" w:pos="3155"/>
          <w:tab w:val="left" w:pos="3156"/>
        </w:tabs>
        <w:spacing w:before="93"/>
        <w:ind w:hanging="680"/>
        <w:rPr>
          <w:rFonts w:ascii="Trebuchet MS" w:hAnsi="Trebuchet MS"/>
          <w:sz w:val="20"/>
        </w:rPr>
      </w:pPr>
      <w:r>
        <w:rPr>
          <w:rFonts w:ascii="Trebuchet MS" w:hAnsi="Trebuchet MS"/>
          <w:color w:val="231F20"/>
          <w:w w:val="105"/>
          <w:sz w:val="20"/>
        </w:rPr>
        <w:t>the</w:t>
      </w:r>
      <w:r>
        <w:rPr>
          <w:rFonts w:ascii="Trebuchet MS" w:hAnsi="Trebuchet MS"/>
          <w:color w:val="231F20"/>
          <w:spacing w:val="-18"/>
          <w:w w:val="105"/>
          <w:sz w:val="20"/>
        </w:rPr>
        <w:t xml:space="preserve"> </w:t>
      </w:r>
      <w:r>
        <w:rPr>
          <w:rFonts w:ascii="Trebuchet MS" w:hAnsi="Trebuchet MS"/>
          <w:color w:val="231F20"/>
          <w:spacing w:val="-2"/>
          <w:w w:val="105"/>
          <w:sz w:val="20"/>
        </w:rPr>
        <w:t>different</w:t>
      </w:r>
      <w:r>
        <w:rPr>
          <w:rFonts w:ascii="Trebuchet MS" w:hAnsi="Trebuchet MS"/>
          <w:color w:val="231F20"/>
          <w:spacing w:val="-18"/>
          <w:w w:val="105"/>
          <w:sz w:val="20"/>
        </w:rPr>
        <w:t xml:space="preserve"> </w:t>
      </w:r>
      <w:r>
        <w:rPr>
          <w:rFonts w:ascii="Trebuchet MS" w:hAnsi="Trebuchet MS"/>
          <w:color w:val="231F20"/>
          <w:w w:val="105"/>
          <w:sz w:val="20"/>
        </w:rPr>
        <w:t>forms</w:t>
      </w:r>
      <w:r>
        <w:rPr>
          <w:rFonts w:ascii="Trebuchet MS" w:hAnsi="Trebuchet MS"/>
          <w:color w:val="231F20"/>
          <w:spacing w:val="-17"/>
          <w:w w:val="105"/>
          <w:sz w:val="20"/>
        </w:rPr>
        <w:t xml:space="preserve"> </w:t>
      </w:r>
      <w:r>
        <w:rPr>
          <w:rFonts w:ascii="Trebuchet MS" w:hAnsi="Trebuchet MS"/>
          <w:color w:val="231F20"/>
          <w:w w:val="105"/>
          <w:sz w:val="20"/>
        </w:rPr>
        <w:t>stalking</w:t>
      </w:r>
      <w:r>
        <w:rPr>
          <w:rFonts w:ascii="Trebuchet MS" w:hAnsi="Trebuchet MS"/>
          <w:color w:val="231F20"/>
          <w:spacing w:val="-18"/>
          <w:w w:val="105"/>
          <w:sz w:val="20"/>
        </w:rPr>
        <w:t xml:space="preserve"> </w:t>
      </w:r>
      <w:r>
        <w:rPr>
          <w:rFonts w:ascii="Trebuchet MS" w:hAnsi="Trebuchet MS"/>
          <w:color w:val="231F20"/>
          <w:w w:val="105"/>
          <w:sz w:val="20"/>
        </w:rPr>
        <w:t>can</w:t>
      </w:r>
      <w:r>
        <w:rPr>
          <w:rFonts w:ascii="Trebuchet MS" w:hAnsi="Trebuchet MS"/>
          <w:color w:val="231F20"/>
          <w:spacing w:val="-18"/>
          <w:w w:val="105"/>
          <w:sz w:val="20"/>
        </w:rPr>
        <w:t xml:space="preserve"> </w:t>
      </w:r>
      <w:r>
        <w:rPr>
          <w:rFonts w:ascii="Trebuchet MS" w:hAnsi="Trebuchet MS"/>
          <w:color w:val="231F20"/>
          <w:w w:val="105"/>
          <w:sz w:val="20"/>
        </w:rPr>
        <w:t>take</w:t>
      </w:r>
    </w:p>
    <w:p w14:paraId="7A514562" w14:textId="77777777" w:rsidR="00894070" w:rsidRDefault="009B7AFD">
      <w:pPr>
        <w:pStyle w:val="ListParagraph"/>
        <w:numPr>
          <w:ilvl w:val="0"/>
          <w:numId w:val="190"/>
        </w:numPr>
        <w:tabs>
          <w:tab w:val="left" w:pos="3155"/>
          <w:tab w:val="left" w:pos="3156"/>
        </w:tabs>
        <w:spacing w:before="93"/>
        <w:ind w:hanging="680"/>
        <w:rPr>
          <w:rFonts w:ascii="Trebuchet MS" w:hAnsi="Trebuchet MS"/>
          <w:sz w:val="20"/>
        </w:rPr>
      </w:pPr>
      <w:r>
        <w:rPr>
          <w:rFonts w:ascii="Trebuchet MS" w:hAnsi="Trebuchet MS"/>
          <w:color w:val="231F20"/>
          <w:spacing w:val="-3"/>
          <w:w w:val="105"/>
          <w:sz w:val="20"/>
        </w:rPr>
        <w:t>how</w:t>
      </w:r>
      <w:r>
        <w:rPr>
          <w:rFonts w:ascii="Trebuchet MS" w:hAnsi="Trebuchet MS"/>
          <w:color w:val="231F20"/>
          <w:spacing w:val="-18"/>
          <w:w w:val="105"/>
          <w:sz w:val="20"/>
        </w:rPr>
        <w:t xml:space="preserve"> </w:t>
      </w:r>
      <w:r>
        <w:rPr>
          <w:rFonts w:ascii="Trebuchet MS" w:hAnsi="Trebuchet MS"/>
          <w:color w:val="231F20"/>
          <w:w w:val="105"/>
          <w:sz w:val="20"/>
        </w:rPr>
        <w:t>stalking</w:t>
      </w:r>
      <w:r>
        <w:rPr>
          <w:rFonts w:ascii="Trebuchet MS" w:hAnsi="Trebuchet MS"/>
          <w:color w:val="231F20"/>
          <w:spacing w:val="-18"/>
          <w:w w:val="105"/>
          <w:sz w:val="20"/>
        </w:rPr>
        <w:t xml:space="preserve"> </w:t>
      </w:r>
      <w:r>
        <w:rPr>
          <w:rFonts w:ascii="Trebuchet MS" w:hAnsi="Trebuchet MS"/>
          <w:color w:val="231F20"/>
          <w:w w:val="105"/>
          <w:sz w:val="20"/>
        </w:rPr>
        <w:t>is</w:t>
      </w:r>
      <w:r>
        <w:rPr>
          <w:rFonts w:ascii="Trebuchet MS" w:hAnsi="Trebuchet MS"/>
          <w:color w:val="231F20"/>
          <w:spacing w:val="-17"/>
          <w:w w:val="105"/>
          <w:sz w:val="20"/>
        </w:rPr>
        <w:t xml:space="preserve"> </w:t>
      </w:r>
      <w:r>
        <w:rPr>
          <w:rFonts w:ascii="Trebuchet MS" w:hAnsi="Trebuchet MS"/>
          <w:color w:val="231F20"/>
          <w:spacing w:val="-2"/>
          <w:w w:val="105"/>
          <w:sz w:val="20"/>
        </w:rPr>
        <w:t>different</w:t>
      </w:r>
      <w:r>
        <w:rPr>
          <w:rFonts w:ascii="Trebuchet MS" w:hAnsi="Trebuchet MS"/>
          <w:color w:val="231F20"/>
          <w:spacing w:val="-18"/>
          <w:w w:val="105"/>
          <w:sz w:val="20"/>
        </w:rPr>
        <w:t xml:space="preserve"> </w:t>
      </w:r>
      <w:r>
        <w:rPr>
          <w:rFonts w:ascii="Trebuchet MS" w:hAnsi="Trebuchet MS"/>
          <w:color w:val="231F20"/>
          <w:w w:val="105"/>
          <w:sz w:val="20"/>
        </w:rPr>
        <w:t>from</w:t>
      </w:r>
      <w:r>
        <w:rPr>
          <w:rFonts w:ascii="Trebuchet MS" w:hAnsi="Trebuchet MS"/>
          <w:color w:val="231F20"/>
          <w:spacing w:val="-17"/>
          <w:w w:val="105"/>
          <w:sz w:val="20"/>
        </w:rPr>
        <w:t xml:space="preserve"> </w:t>
      </w:r>
      <w:r>
        <w:rPr>
          <w:rFonts w:ascii="Trebuchet MS" w:hAnsi="Trebuchet MS"/>
          <w:color w:val="231F20"/>
          <w:w w:val="105"/>
          <w:sz w:val="20"/>
        </w:rPr>
        <w:t>harassment</w:t>
      </w:r>
      <w:r>
        <w:rPr>
          <w:rFonts w:ascii="Trebuchet MS" w:hAnsi="Trebuchet MS"/>
          <w:color w:val="231F20"/>
          <w:spacing w:val="-18"/>
          <w:w w:val="105"/>
          <w:sz w:val="20"/>
        </w:rPr>
        <w:t xml:space="preserve"> </w:t>
      </w:r>
      <w:r>
        <w:rPr>
          <w:rFonts w:ascii="Trebuchet MS" w:hAnsi="Trebuchet MS"/>
          <w:color w:val="231F20"/>
          <w:w w:val="105"/>
          <w:sz w:val="20"/>
        </w:rPr>
        <w:t>and</w:t>
      </w:r>
      <w:r>
        <w:rPr>
          <w:rFonts w:ascii="Trebuchet MS" w:hAnsi="Trebuchet MS"/>
          <w:color w:val="231F20"/>
          <w:spacing w:val="-17"/>
          <w:w w:val="105"/>
          <w:sz w:val="20"/>
        </w:rPr>
        <w:t xml:space="preserve"> </w:t>
      </w:r>
      <w:r>
        <w:rPr>
          <w:rFonts w:ascii="Trebuchet MS" w:hAnsi="Trebuchet MS"/>
          <w:color w:val="231F20"/>
          <w:w w:val="105"/>
          <w:sz w:val="20"/>
        </w:rPr>
        <w:t>similar</w:t>
      </w:r>
      <w:r>
        <w:rPr>
          <w:rFonts w:ascii="Trebuchet MS" w:hAnsi="Trebuchet MS"/>
          <w:color w:val="231F20"/>
          <w:spacing w:val="-18"/>
          <w:w w:val="105"/>
          <w:sz w:val="20"/>
        </w:rPr>
        <w:t xml:space="preserve"> </w:t>
      </w:r>
      <w:r>
        <w:rPr>
          <w:rFonts w:ascii="Trebuchet MS" w:hAnsi="Trebuchet MS"/>
          <w:color w:val="231F20"/>
          <w:w w:val="105"/>
          <w:sz w:val="20"/>
        </w:rPr>
        <w:t>conduct</w:t>
      </w:r>
    </w:p>
    <w:p w14:paraId="1ADFBC29" w14:textId="77777777" w:rsidR="00894070" w:rsidRDefault="009B7AFD">
      <w:pPr>
        <w:pStyle w:val="ListParagraph"/>
        <w:numPr>
          <w:ilvl w:val="0"/>
          <w:numId w:val="190"/>
        </w:numPr>
        <w:tabs>
          <w:tab w:val="left" w:pos="3155"/>
          <w:tab w:val="left" w:pos="3156"/>
        </w:tabs>
        <w:spacing w:before="93"/>
        <w:ind w:hanging="680"/>
        <w:rPr>
          <w:rFonts w:ascii="Trebuchet MS" w:hAnsi="Trebuchet MS"/>
          <w:sz w:val="20"/>
        </w:rPr>
      </w:pPr>
      <w:r>
        <w:rPr>
          <w:rFonts w:ascii="Trebuchet MS" w:hAnsi="Trebuchet MS"/>
          <w:color w:val="231F20"/>
          <w:w w:val="110"/>
          <w:sz w:val="20"/>
        </w:rPr>
        <w:t>common stalking</w:t>
      </w:r>
      <w:r>
        <w:rPr>
          <w:rFonts w:ascii="Trebuchet MS" w:hAnsi="Trebuchet MS"/>
          <w:color w:val="231F20"/>
          <w:spacing w:val="-41"/>
          <w:w w:val="110"/>
          <w:sz w:val="20"/>
        </w:rPr>
        <w:t xml:space="preserve"> </w:t>
      </w:r>
      <w:r>
        <w:rPr>
          <w:rFonts w:ascii="Trebuchet MS" w:hAnsi="Trebuchet MS"/>
          <w:color w:val="231F20"/>
          <w:w w:val="110"/>
          <w:sz w:val="20"/>
        </w:rPr>
        <w:t>myths</w:t>
      </w:r>
    </w:p>
    <w:p w14:paraId="1442389B" w14:textId="77777777" w:rsidR="00894070" w:rsidRDefault="009B7AFD">
      <w:pPr>
        <w:pStyle w:val="ListParagraph"/>
        <w:numPr>
          <w:ilvl w:val="0"/>
          <w:numId w:val="190"/>
        </w:numPr>
        <w:tabs>
          <w:tab w:val="left" w:pos="3155"/>
          <w:tab w:val="left" w:pos="3156"/>
        </w:tabs>
        <w:spacing w:before="93" w:line="247" w:lineRule="auto"/>
        <w:ind w:right="1543" w:hanging="680"/>
        <w:rPr>
          <w:rFonts w:ascii="Trebuchet MS" w:hAnsi="Trebuchet MS"/>
          <w:sz w:val="20"/>
        </w:rPr>
      </w:pPr>
      <w:r>
        <w:rPr>
          <w:rFonts w:ascii="Trebuchet MS" w:hAnsi="Trebuchet MS"/>
          <w:color w:val="231F20"/>
          <w:spacing w:val="-3"/>
          <w:w w:val="105"/>
          <w:sz w:val="20"/>
        </w:rPr>
        <w:t>how</w:t>
      </w:r>
      <w:r>
        <w:rPr>
          <w:rFonts w:ascii="Trebuchet MS" w:hAnsi="Trebuchet MS"/>
          <w:color w:val="231F20"/>
          <w:spacing w:val="-12"/>
          <w:w w:val="105"/>
          <w:sz w:val="20"/>
        </w:rPr>
        <w:t xml:space="preserve"> </w:t>
      </w:r>
      <w:r>
        <w:rPr>
          <w:rFonts w:ascii="Trebuchet MS" w:hAnsi="Trebuchet MS"/>
          <w:color w:val="231F20"/>
          <w:w w:val="105"/>
          <w:sz w:val="20"/>
        </w:rPr>
        <w:t>people</w:t>
      </w:r>
      <w:r>
        <w:rPr>
          <w:rFonts w:ascii="Trebuchet MS" w:hAnsi="Trebuchet MS"/>
          <w:color w:val="231F20"/>
          <w:spacing w:val="-11"/>
          <w:w w:val="105"/>
          <w:sz w:val="20"/>
        </w:rPr>
        <w:t xml:space="preserve"> </w:t>
      </w:r>
      <w:r>
        <w:rPr>
          <w:rFonts w:ascii="Trebuchet MS" w:hAnsi="Trebuchet MS"/>
          <w:color w:val="231F20"/>
          <w:w w:val="105"/>
          <w:sz w:val="20"/>
        </w:rPr>
        <w:t>engaging</w:t>
      </w:r>
      <w:r>
        <w:rPr>
          <w:rFonts w:ascii="Trebuchet MS" w:hAnsi="Trebuchet MS"/>
          <w:color w:val="231F20"/>
          <w:spacing w:val="-12"/>
          <w:w w:val="105"/>
          <w:sz w:val="20"/>
        </w:rPr>
        <w:t xml:space="preserve"> </w:t>
      </w:r>
      <w:r>
        <w:rPr>
          <w:rFonts w:ascii="Trebuchet MS" w:hAnsi="Trebuchet MS"/>
          <w:color w:val="231F20"/>
          <w:w w:val="105"/>
          <w:sz w:val="20"/>
        </w:rPr>
        <w:t>in</w:t>
      </w:r>
      <w:r>
        <w:rPr>
          <w:rFonts w:ascii="Trebuchet MS" w:hAnsi="Trebuchet MS"/>
          <w:color w:val="231F20"/>
          <w:spacing w:val="-11"/>
          <w:w w:val="105"/>
          <w:sz w:val="20"/>
        </w:rPr>
        <w:t xml:space="preserve"> </w:t>
      </w:r>
      <w:r>
        <w:rPr>
          <w:rFonts w:ascii="Trebuchet MS" w:hAnsi="Trebuchet MS"/>
          <w:color w:val="231F20"/>
          <w:w w:val="105"/>
          <w:sz w:val="20"/>
        </w:rPr>
        <w:t>stalking</w:t>
      </w:r>
      <w:r>
        <w:rPr>
          <w:rFonts w:ascii="Trebuchet MS" w:hAnsi="Trebuchet MS"/>
          <w:color w:val="231F20"/>
          <w:spacing w:val="-11"/>
          <w:w w:val="105"/>
          <w:sz w:val="20"/>
        </w:rPr>
        <w:t xml:space="preserve"> </w:t>
      </w:r>
      <w:r>
        <w:rPr>
          <w:rFonts w:ascii="Trebuchet MS" w:hAnsi="Trebuchet MS"/>
          <w:color w:val="231F20"/>
          <w:w w:val="105"/>
          <w:sz w:val="20"/>
        </w:rPr>
        <w:t>can</w:t>
      </w:r>
      <w:r>
        <w:rPr>
          <w:rFonts w:ascii="Trebuchet MS" w:hAnsi="Trebuchet MS"/>
          <w:color w:val="231F20"/>
          <w:spacing w:val="-12"/>
          <w:w w:val="105"/>
          <w:sz w:val="20"/>
        </w:rPr>
        <w:t xml:space="preserve"> </w:t>
      </w:r>
      <w:r>
        <w:rPr>
          <w:rFonts w:ascii="Trebuchet MS" w:hAnsi="Trebuchet MS"/>
          <w:color w:val="231F20"/>
          <w:w w:val="105"/>
          <w:sz w:val="20"/>
        </w:rPr>
        <w:t>get</w:t>
      </w:r>
      <w:r>
        <w:rPr>
          <w:rFonts w:ascii="Trebuchet MS" w:hAnsi="Trebuchet MS"/>
          <w:color w:val="231F20"/>
          <w:spacing w:val="-11"/>
          <w:w w:val="105"/>
          <w:sz w:val="20"/>
        </w:rPr>
        <w:t xml:space="preserve"> </w:t>
      </w:r>
      <w:r>
        <w:rPr>
          <w:rFonts w:ascii="Trebuchet MS" w:hAnsi="Trebuchet MS"/>
          <w:color w:val="231F20"/>
          <w:w w:val="105"/>
          <w:sz w:val="20"/>
        </w:rPr>
        <w:t>help</w:t>
      </w:r>
      <w:r>
        <w:rPr>
          <w:rFonts w:ascii="Trebuchet MS" w:hAnsi="Trebuchet MS"/>
          <w:color w:val="231F20"/>
          <w:spacing w:val="-12"/>
          <w:w w:val="105"/>
          <w:sz w:val="20"/>
        </w:rPr>
        <w:t xml:space="preserve"> </w:t>
      </w:r>
      <w:r>
        <w:rPr>
          <w:rFonts w:ascii="Trebuchet MS" w:hAnsi="Trebuchet MS"/>
          <w:color w:val="231F20"/>
          <w:w w:val="105"/>
          <w:sz w:val="20"/>
        </w:rPr>
        <w:t>to</w:t>
      </w:r>
      <w:r>
        <w:rPr>
          <w:rFonts w:ascii="Trebuchet MS" w:hAnsi="Trebuchet MS"/>
          <w:color w:val="231F20"/>
          <w:spacing w:val="-11"/>
          <w:w w:val="105"/>
          <w:sz w:val="20"/>
        </w:rPr>
        <w:t xml:space="preserve"> </w:t>
      </w:r>
      <w:r>
        <w:rPr>
          <w:rFonts w:ascii="Trebuchet MS" w:hAnsi="Trebuchet MS"/>
          <w:color w:val="231F20"/>
          <w:w w:val="105"/>
          <w:sz w:val="20"/>
        </w:rPr>
        <w:t>stop</w:t>
      </w:r>
      <w:r>
        <w:rPr>
          <w:rFonts w:ascii="Trebuchet MS" w:hAnsi="Trebuchet MS"/>
          <w:color w:val="231F20"/>
          <w:spacing w:val="-11"/>
          <w:w w:val="105"/>
          <w:sz w:val="20"/>
        </w:rPr>
        <w:t xml:space="preserve"> </w:t>
      </w:r>
      <w:r>
        <w:rPr>
          <w:rFonts w:ascii="Trebuchet MS" w:hAnsi="Trebuchet MS"/>
          <w:color w:val="231F20"/>
          <w:w w:val="105"/>
          <w:sz w:val="20"/>
        </w:rPr>
        <w:t>what</w:t>
      </w:r>
      <w:r>
        <w:rPr>
          <w:rFonts w:ascii="Trebuchet MS" w:hAnsi="Trebuchet MS"/>
          <w:color w:val="231F20"/>
          <w:spacing w:val="-12"/>
          <w:w w:val="105"/>
          <w:sz w:val="20"/>
        </w:rPr>
        <w:t xml:space="preserve"> </w:t>
      </w:r>
      <w:r>
        <w:rPr>
          <w:rFonts w:ascii="Trebuchet MS" w:hAnsi="Trebuchet MS"/>
          <w:color w:val="231F20"/>
          <w:w w:val="105"/>
          <w:sz w:val="20"/>
        </w:rPr>
        <w:t>they</w:t>
      </w:r>
      <w:r>
        <w:rPr>
          <w:rFonts w:ascii="Trebuchet MS" w:hAnsi="Trebuchet MS"/>
          <w:color w:val="231F20"/>
          <w:spacing w:val="-11"/>
          <w:w w:val="105"/>
          <w:sz w:val="20"/>
        </w:rPr>
        <w:t xml:space="preserve"> </w:t>
      </w:r>
      <w:r>
        <w:rPr>
          <w:rFonts w:ascii="Trebuchet MS" w:hAnsi="Trebuchet MS"/>
          <w:color w:val="231F20"/>
          <w:spacing w:val="-2"/>
          <w:w w:val="105"/>
          <w:sz w:val="20"/>
        </w:rPr>
        <w:t xml:space="preserve">are </w:t>
      </w:r>
      <w:r>
        <w:rPr>
          <w:rFonts w:ascii="Trebuchet MS" w:hAnsi="Trebuchet MS"/>
          <w:color w:val="231F20"/>
          <w:w w:val="105"/>
          <w:sz w:val="20"/>
        </w:rPr>
        <w:t>doing</w:t>
      </w:r>
    </w:p>
    <w:p w14:paraId="4B823F44" w14:textId="77777777" w:rsidR="00894070" w:rsidRDefault="009B7AFD">
      <w:pPr>
        <w:pStyle w:val="ListParagraph"/>
        <w:numPr>
          <w:ilvl w:val="0"/>
          <w:numId w:val="190"/>
        </w:numPr>
        <w:tabs>
          <w:tab w:val="left" w:pos="3155"/>
          <w:tab w:val="left" w:pos="3156"/>
        </w:tabs>
        <w:spacing w:before="86" w:line="247" w:lineRule="auto"/>
        <w:ind w:right="1462" w:hanging="680"/>
        <w:rPr>
          <w:rFonts w:ascii="Trebuchet MS" w:hAnsi="Trebuchet MS"/>
          <w:sz w:val="20"/>
        </w:rPr>
      </w:pPr>
      <w:r>
        <w:rPr>
          <w:rFonts w:ascii="Trebuchet MS" w:hAnsi="Trebuchet MS"/>
          <w:color w:val="231F20"/>
          <w:spacing w:val="-1"/>
          <w:w w:val="107"/>
          <w:sz w:val="20"/>
        </w:rPr>
        <w:t>h</w:t>
      </w:r>
      <w:r>
        <w:rPr>
          <w:rFonts w:ascii="Trebuchet MS" w:hAnsi="Trebuchet MS"/>
          <w:color w:val="231F20"/>
          <w:spacing w:val="-6"/>
          <w:w w:val="111"/>
          <w:sz w:val="20"/>
        </w:rPr>
        <w:t>o</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1"/>
          <w:w w:val="111"/>
          <w:sz w:val="20"/>
        </w:rPr>
        <w:t>o</w:t>
      </w:r>
      <w:r>
        <w:rPr>
          <w:rFonts w:ascii="Trebuchet MS" w:hAnsi="Trebuchet MS"/>
          <w:color w:val="231F20"/>
          <w:spacing w:val="-2"/>
          <w:w w:val="111"/>
          <w:sz w:val="20"/>
        </w:rPr>
        <w:t>p</w:t>
      </w:r>
      <w:r>
        <w:rPr>
          <w:rFonts w:ascii="Trebuchet MS" w:hAnsi="Trebuchet MS"/>
          <w:color w:val="231F20"/>
          <w:spacing w:val="-3"/>
          <w:w w:val="9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5"/>
          <w:w w:val="108"/>
          <w:sz w:val="20"/>
        </w:rPr>
        <w:t>e</w:t>
      </w:r>
      <w:r>
        <w:rPr>
          <w:rFonts w:ascii="Trebuchet MS" w:hAnsi="Trebuchet MS"/>
          <w:color w:val="231F20"/>
          <w:spacing w:val="-2"/>
          <w:w w:val="102"/>
          <w:sz w:val="20"/>
        </w:rPr>
        <w:t>x</w:t>
      </w:r>
      <w:r>
        <w:rPr>
          <w:rFonts w:ascii="Trebuchet MS" w:hAnsi="Trebuchet MS"/>
          <w:color w:val="231F20"/>
          <w:spacing w:val="-1"/>
          <w:w w:val="111"/>
          <w:sz w:val="20"/>
        </w:rPr>
        <w:t>p</w:t>
      </w:r>
      <w:r>
        <w:rPr>
          <w:rFonts w:ascii="Trebuchet MS" w:hAnsi="Trebuchet MS"/>
          <w:color w:val="231F20"/>
          <w:spacing w:val="-1"/>
          <w:w w:val="108"/>
          <w:sz w:val="20"/>
        </w:rPr>
        <w:t>e</w:t>
      </w:r>
      <w:r>
        <w:rPr>
          <w:rFonts w:ascii="Trebuchet MS" w:hAnsi="Trebuchet MS"/>
          <w:color w:val="231F20"/>
          <w:spacing w:val="-2"/>
          <w:w w:val="93"/>
          <w:sz w:val="20"/>
        </w:rPr>
        <w:t>r</w:t>
      </w:r>
      <w:r>
        <w:rPr>
          <w:rFonts w:ascii="Trebuchet MS" w:hAnsi="Trebuchet MS"/>
          <w:color w:val="231F20"/>
          <w:spacing w:val="-1"/>
          <w:w w:val="80"/>
          <w:sz w:val="20"/>
        </w:rPr>
        <w:t>i</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w w:val="111"/>
          <w:sz w:val="20"/>
        </w:rPr>
        <w:t>c</w:t>
      </w:r>
      <w:r>
        <w:rPr>
          <w:rFonts w:ascii="Trebuchet MS" w:hAnsi="Trebuchet MS"/>
          <w:color w:val="231F20"/>
          <w:spacing w:val="-2"/>
          <w:w w:val="105"/>
          <w:sz w:val="20"/>
        </w:rPr>
        <w:t>a</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po</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3"/>
          <w:w w:val="111"/>
          <w:sz w:val="20"/>
        </w:rPr>
        <w:t>c</w:t>
      </w:r>
      <w:r>
        <w:rPr>
          <w:rFonts w:ascii="Trebuchet MS" w:hAnsi="Trebuchet MS"/>
          <w:color w:val="231F20"/>
          <w:spacing w:val="-3"/>
          <w:w w:val="96"/>
          <w:sz w:val="20"/>
        </w:rPr>
        <w:t>l</w:t>
      </w:r>
      <w:r>
        <w:rPr>
          <w:rFonts w:ascii="Trebuchet MS" w:hAnsi="Trebuchet MS"/>
          <w:color w:val="231F20"/>
          <w:spacing w:val="-2"/>
          <w:w w:val="109"/>
          <w:sz w:val="20"/>
        </w:rPr>
        <w:t>u</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111"/>
          <w:sz w:val="20"/>
        </w:rPr>
        <w:t>p</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w w:val="122"/>
          <w:sz w:val="20"/>
        </w:rPr>
        <w:t xml:space="preserve">s </w:t>
      </w:r>
      <w:r>
        <w:rPr>
          <w:rFonts w:ascii="Trebuchet MS" w:hAnsi="Trebuchet MS"/>
          <w:color w:val="231F20"/>
          <w:spacing w:val="-3"/>
          <w:w w:val="105"/>
          <w:sz w:val="20"/>
        </w:rPr>
        <w:t>available</w:t>
      </w:r>
      <w:r>
        <w:rPr>
          <w:rFonts w:ascii="Trebuchet MS" w:hAnsi="Trebuchet MS"/>
          <w:color w:val="231F20"/>
          <w:spacing w:val="-17"/>
          <w:w w:val="105"/>
          <w:sz w:val="20"/>
        </w:rPr>
        <w:t xml:space="preserve"> </w:t>
      </w:r>
      <w:r>
        <w:rPr>
          <w:rFonts w:ascii="Trebuchet MS" w:hAnsi="Trebuchet MS"/>
          <w:color w:val="231F20"/>
          <w:w w:val="105"/>
          <w:sz w:val="20"/>
        </w:rPr>
        <w:t>through</w:t>
      </w:r>
      <w:r>
        <w:rPr>
          <w:rFonts w:ascii="Trebuchet MS" w:hAnsi="Trebuchet MS"/>
          <w:color w:val="231F20"/>
          <w:spacing w:val="-17"/>
          <w:w w:val="105"/>
          <w:sz w:val="20"/>
        </w:rPr>
        <w:t xml:space="preserve"> </w:t>
      </w:r>
      <w:r>
        <w:rPr>
          <w:rFonts w:ascii="Trebuchet MS" w:hAnsi="Trebuchet MS"/>
          <w:color w:val="231F20"/>
          <w:w w:val="105"/>
          <w:sz w:val="20"/>
        </w:rPr>
        <w:t>the</w:t>
      </w:r>
      <w:r>
        <w:rPr>
          <w:rFonts w:ascii="Trebuchet MS" w:hAnsi="Trebuchet MS"/>
          <w:color w:val="231F20"/>
          <w:spacing w:val="-16"/>
          <w:w w:val="105"/>
          <w:sz w:val="20"/>
        </w:rPr>
        <w:t xml:space="preserve"> </w:t>
      </w:r>
      <w:proofErr w:type="spellStart"/>
      <w:r>
        <w:rPr>
          <w:rFonts w:ascii="Trebuchet MS" w:hAnsi="Trebuchet MS"/>
          <w:color w:val="231F20"/>
          <w:w w:val="105"/>
          <w:sz w:val="20"/>
        </w:rPr>
        <w:t>eSafety</w:t>
      </w:r>
      <w:proofErr w:type="spellEnd"/>
      <w:r>
        <w:rPr>
          <w:rFonts w:ascii="Trebuchet MS" w:hAnsi="Trebuchet MS"/>
          <w:color w:val="231F20"/>
          <w:spacing w:val="-17"/>
          <w:w w:val="105"/>
          <w:sz w:val="20"/>
        </w:rPr>
        <w:t xml:space="preserve"> </w:t>
      </w:r>
      <w:r>
        <w:rPr>
          <w:rFonts w:ascii="Trebuchet MS" w:hAnsi="Trebuchet MS"/>
          <w:color w:val="231F20"/>
          <w:w w:val="105"/>
          <w:sz w:val="20"/>
        </w:rPr>
        <w:t>Commissioner</w:t>
      </w:r>
    </w:p>
    <w:p w14:paraId="5EC1ECF1" w14:textId="77777777" w:rsidR="00894070" w:rsidRDefault="009B7AFD">
      <w:pPr>
        <w:pStyle w:val="ListParagraph"/>
        <w:numPr>
          <w:ilvl w:val="0"/>
          <w:numId w:val="190"/>
        </w:numPr>
        <w:tabs>
          <w:tab w:val="left" w:pos="3155"/>
          <w:tab w:val="left" w:pos="3156"/>
        </w:tabs>
        <w:spacing w:before="87"/>
        <w:ind w:hanging="680"/>
        <w:rPr>
          <w:rFonts w:ascii="Trebuchet MS" w:hAnsi="Trebuchet MS"/>
          <w:sz w:val="20"/>
        </w:rPr>
      </w:pPr>
      <w:r>
        <w:rPr>
          <w:rFonts w:ascii="Trebuchet MS" w:hAnsi="Trebuchet MS"/>
          <w:color w:val="231F20"/>
          <w:w w:val="105"/>
          <w:sz w:val="20"/>
        </w:rPr>
        <w:t>the</w:t>
      </w:r>
      <w:r>
        <w:rPr>
          <w:rFonts w:ascii="Trebuchet MS" w:hAnsi="Trebuchet MS"/>
          <w:color w:val="231F20"/>
          <w:spacing w:val="-18"/>
          <w:w w:val="105"/>
          <w:sz w:val="20"/>
        </w:rPr>
        <w:t xml:space="preserve"> </w:t>
      </w:r>
      <w:r>
        <w:rPr>
          <w:rFonts w:ascii="Trebuchet MS" w:hAnsi="Trebuchet MS"/>
          <w:color w:val="231F20"/>
          <w:spacing w:val="-3"/>
          <w:w w:val="105"/>
          <w:sz w:val="20"/>
        </w:rPr>
        <w:t>available</w:t>
      </w:r>
      <w:r>
        <w:rPr>
          <w:rFonts w:ascii="Trebuchet MS" w:hAnsi="Trebuchet MS"/>
          <w:color w:val="231F20"/>
          <w:spacing w:val="-17"/>
          <w:w w:val="105"/>
          <w:sz w:val="20"/>
        </w:rPr>
        <w:t xml:space="preserve"> </w:t>
      </w:r>
      <w:r>
        <w:rPr>
          <w:rFonts w:ascii="Trebuchet MS" w:hAnsi="Trebuchet MS"/>
          <w:color w:val="231F20"/>
          <w:w w:val="105"/>
          <w:sz w:val="20"/>
        </w:rPr>
        <w:t>support</w:t>
      </w:r>
      <w:r>
        <w:rPr>
          <w:rFonts w:ascii="Trebuchet MS" w:hAnsi="Trebuchet MS"/>
          <w:color w:val="231F20"/>
          <w:spacing w:val="-18"/>
          <w:w w:val="105"/>
          <w:sz w:val="20"/>
        </w:rPr>
        <w:t xml:space="preserve"> </w:t>
      </w:r>
      <w:r>
        <w:rPr>
          <w:rFonts w:ascii="Trebuchet MS" w:hAnsi="Trebuchet MS"/>
          <w:color w:val="231F20"/>
          <w:w w:val="105"/>
          <w:sz w:val="20"/>
        </w:rPr>
        <w:t>options</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8"/>
          <w:w w:val="105"/>
          <w:sz w:val="20"/>
        </w:rPr>
        <w:t xml:space="preserve"> </w:t>
      </w:r>
      <w:r>
        <w:rPr>
          <w:rFonts w:ascii="Trebuchet MS" w:hAnsi="Trebuchet MS"/>
          <w:color w:val="231F20"/>
          <w:w w:val="105"/>
          <w:sz w:val="20"/>
        </w:rPr>
        <w:t>what</w:t>
      </w:r>
      <w:r>
        <w:rPr>
          <w:rFonts w:ascii="Trebuchet MS" w:hAnsi="Trebuchet MS"/>
          <w:color w:val="231F20"/>
          <w:spacing w:val="-17"/>
          <w:w w:val="105"/>
          <w:sz w:val="20"/>
        </w:rPr>
        <w:t xml:space="preserve"> </w:t>
      </w:r>
      <w:r>
        <w:rPr>
          <w:rFonts w:ascii="Trebuchet MS" w:hAnsi="Trebuchet MS"/>
          <w:color w:val="231F20"/>
          <w:w w:val="105"/>
          <w:sz w:val="20"/>
        </w:rPr>
        <w:t>to</w:t>
      </w:r>
      <w:r>
        <w:rPr>
          <w:rFonts w:ascii="Trebuchet MS" w:hAnsi="Trebuchet MS"/>
          <w:color w:val="231F20"/>
          <w:spacing w:val="-18"/>
          <w:w w:val="105"/>
          <w:sz w:val="20"/>
        </w:rPr>
        <w:t xml:space="preserve"> </w:t>
      </w:r>
      <w:r>
        <w:rPr>
          <w:rFonts w:ascii="Trebuchet MS" w:hAnsi="Trebuchet MS"/>
          <w:color w:val="231F20"/>
          <w:w w:val="105"/>
          <w:sz w:val="20"/>
        </w:rPr>
        <w:t>expect</w:t>
      </w:r>
      <w:r>
        <w:rPr>
          <w:rFonts w:ascii="Trebuchet MS" w:hAnsi="Trebuchet MS"/>
          <w:color w:val="231F20"/>
          <w:spacing w:val="-17"/>
          <w:w w:val="105"/>
          <w:sz w:val="20"/>
        </w:rPr>
        <w:t xml:space="preserve"> </w:t>
      </w:r>
      <w:r>
        <w:rPr>
          <w:rFonts w:ascii="Trebuchet MS" w:hAnsi="Trebuchet MS"/>
          <w:color w:val="231F20"/>
          <w:w w:val="105"/>
          <w:sz w:val="20"/>
        </w:rPr>
        <w:t>from</w:t>
      </w:r>
      <w:r>
        <w:rPr>
          <w:rFonts w:ascii="Trebuchet MS" w:hAnsi="Trebuchet MS"/>
          <w:color w:val="231F20"/>
          <w:spacing w:val="-18"/>
          <w:w w:val="105"/>
          <w:sz w:val="20"/>
        </w:rPr>
        <w:t xml:space="preserve"> </w:t>
      </w:r>
      <w:r>
        <w:rPr>
          <w:rFonts w:ascii="Trebuchet MS" w:hAnsi="Trebuchet MS"/>
          <w:color w:val="231F20"/>
          <w:w w:val="105"/>
          <w:sz w:val="20"/>
        </w:rPr>
        <w:t>these</w:t>
      </w:r>
    </w:p>
    <w:p w14:paraId="50ABC034" w14:textId="77777777" w:rsidR="00894070" w:rsidRDefault="009B7AFD">
      <w:pPr>
        <w:pStyle w:val="ListParagraph"/>
        <w:numPr>
          <w:ilvl w:val="0"/>
          <w:numId w:val="190"/>
        </w:numPr>
        <w:tabs>
          <w:tab w:val="left" w:pos="3155"/>
          <w:tab w:val="left" w:pos="3156"/>
        </w:tabs>
        <w:spacing w:before="93"/>
        <w:ind w:hanging="680"/>
        <w:rPr>
          <w:rFonts w:ascii="Trebuchet MS" w:hAnsi="Trebuchet MS"/>
          <w:sz w:val="20"/>
        </w:rPr>
      </w:pP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6"/>
          <w:w w:val="105"/>
          <w:sz w:val="20"/>
        </w:rPr>
        <w:t>a</w:t>
      </w:r>
      <w:r>
        <w:rPr>
          <w:rFonts w:ascii="Trebuchet MS" w:hAnsi="Trebuchet MS"/>
          <w:color w:val="231F20"/>
          <w:spacing w:val="-3"/>
          <w:w w:val="109"/>
          <w:sz w:val="20"/>
        </w:rPr>
        <w:t>v</w:t>
      </w:r>
      <w:r>
        <w:rPr>
          <w:rFonts w:ascii="Trebuchet MS" w:hAnsi="Trebuchet MS"/>
          <w:color w:val="231F20"/>
          <w:spacing w:val="-2"/>
          <w:w w:val="105"/>
          <w:sz w:val="20"/>
        </w:rPr>
        <w:t>a</w:t>
      </w:r>
      <w:r>
        <w:rPr>
          <w:rFonts w:ascii="Trebuchet MS" w:hAnsi="Trebuchet MS"/>
          <w:color w:val="231F20"/>
          <w:spacing w:val="-2"/>
          <w:w w:val="80"/>
          <w:sz w:val="20"/>
        </w:rPr>
        <w:t>i</w:t>
      </w:r>
      <w:r>
        <w:rPr>
          <w:rFonts w:ascii="Trebuchet MS" w:hAnsi="Trebuchet MS"/>
          <w:color w:val="231F20"/>
          <w:spacing w:val="1"/>
          <w:w w:val="96"/>
          <w:sz w:val="20"/>
        </w:rPr>
        <w:t>l</w:t>
      </w:r>
      <w:r>
        <w:rPr>
          <w:rFonts w:ascii="Trebuchet MS" w:hAnsi="Trebuchet MS"/>
          <w:color w:val="231F20"/>
          <w:spacing w:val="-2"/>
          <w:w w:val="105"/>
          <w:sz w:val="20"/>
        </w:rPr>
        <w:t>a</w:t>
      </w:r>
      <w:r>
        <w:rPr>
          <w:rFonts w:ascii="Trebuchet MS" w:hAnsi="Trebuchet MS"/>
          <w:color w:val="231F20"/>
          <w:spacing w:val="-2"/>
          <w:w w:val="111"/>
          <w:sz w:val="20"/>
        </w:rPr>
        <w:t>b</w:t>
      </w:r>
      <w:r>
        <w:rPr>
          <w:rFonts w:ascii="Trebuchet MS" w:hAnsi="Trebuchet MS"/>
          <w:color w:val="231F20"/>
          <w:spacing w:val="-3"/>
          <w:w w:val="9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64"/>
          <w:sz w:val="20"/>
        </w:rPr>
        <w:t>j</w:t>
      </w:r>
      <w:r>
        <w:rPr>
          <w:rFonts w:ascii="Trebuchet MS" w:hAnsi="Trebuchet MS"/>
          <w:color w:val="231F20"/>
          <w:spacing w:val="-1"/>
          <w:w w:val="109"/>
          <w:sz w:val="20"/>
        </w:rPr>
        <w:t>u</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111"/>
          <w:sz w:val="20"/>
        </w:rPr>
        <w:t>p</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spacing w:val="-4"/>
          <w:w w:val="105"/>
          <w:sz w:val="20"/>
        </w:rPr>
        <w:t>a</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5"/>
          <w:w w:val="108"/>
          <w:sz w:val="20"/>
        </w:rPr>
        <w:t>e</w:t>
      </w:r>
      <w:r>
        <w:rPr>
          <w:rFonts w:ascii="Trebuchet MS" w:hAnsi="Trebuchet MS"/>
          <w:color w:val="231F20"/>
          <w:spacing w:val="-2"/>
          <w:w w:val="102"/>
          <w:sz w:val="20"/>
        </w:rPr>
        <w:t>x</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93"/>
          <w:sz w:val="20"/>
        </w:rPr>
        <w:t>f</w:t>
      </w:r>
      <w:r>
        <w:rPr>
          <w:rFonts w:ascii="Trebuchet MS" w:hAnsi="Trebuchet MS"/>
          <w:color w:val="231F20"/>
          <w:spacing w:val="-4"/>
          <w:w w:val="93"/>
          <w:sz w:val="20"/>
        </w:rPr>
        <w:t>r</w:t>
      </w:r>
      <w:r>
        <w:rPr>
          <w:rFonts w:ascii="Trebuchet MS" w:hAnsi="Trebuchet MS"/>
          <w:color w:val="231F20"/>
          <w:spacing w:val="-1"/>
          <w:w w:val="111"/>
          <w:sz w:val="20"/>
        </w:rPr>
        <w:t>o</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spacing w:val="-3"/>
          <w:w w:val="108"/>
          <w:sz w:val="20"/>
        </w:rPr>
        <w:t>e</w:t>
      </w:r>
      <w:r>
        <w:rPr>
          <w:rFonts w:ascii="Trebuchet MS" w:hAnsi="Trebuchet MS"/>
          <w:color w:val="231F20"/>
          <w:w w:val="55"/>
          <w:sz w:val="20"/>
        </w:rPr>
        <w:t>.</w:t>
      </w:r>
    </w:p>
    <w:p w14:paraId="67F95EE2" w14:textId="77777777" w:rsidR="00894070" w:rsidRDefault="00894070">
      <w:pPr>
        <w:pStyle w:val="BodyText"/>
        <w:rPr>
          <w:rFonts w:ascii="Trebuchet MS"/>
        </w:rPr>
      </w:pPr>
    </w:p>
    <w:p w14:paraId="64B9F5B1" w14:textId="77777777" w:rsidR="00894070" w:rsidRDefault="00894070">
      <w:pPr>
        <w:pStyle w:val="BodyText"/>
        <w:rPr>
          <w:rFonts w:ascii="Trebuchet MS"/>
        </w:rPr>
      </w:pPr>
    </w:p>
    <w:p w14:paraId="4D136F3A" w14:textId="77777777" w:rsidR="00894070" w:rsidRDefault="00894070">
      <w:pPr>
        <w:pStyle w:val="BodyText"/>
        <w:rPr>
          <w:rFonts w:ascii="Trebuchet MS"/>
        </w:rPr>
      </w:pPr>
    </w:p>
    <w:p w14:paraId="7D9EDB6F" w14:textId="77777777" w:rsidR="00894070" w:rsidRDefault="00894070">
      <w:pPr>
        <w:pStyle w:val="BodyText"/>
        <w:rPr>
          <w:rFonts w:ascii="Trebuchet MS"/>
        </w:rPr>
      </w:pPr>
    </w:p>
    <w:p w14:paraId="52552995" w14:textId="77777777" w:rsidR="00894070" w:rsidRDefault="00894070">
      <w:pPr>
        <w:pStyle w:val="BodyText"/>
        <w:spacing w:before="1"/>
        <w:rPr>
          <w:rFonts w:ascii="Trebuchet MS"/>
          <w:sz w:val="24"/>
        </w:rPr>
      </w:pPr>
    </w:p>
    <w:p w14:paraId="28292780" w14:textId="77777777" w:rsidR="00894070" w:rsidRDefault="009B7AFD">
      <w:pPr>
        <w:pStyle w:val="Heading8"/>
        <w:spacing w:before="49"/>
        <w:ind w:right="211"/>
        <w:jc w:val="right"/>
      </w:pPr>
      <w:r>
        <w:rPr>
          <w:color w:val="EA5B50"/>
        </w:rPr>
        <w:t>xxi</w:t>
      </w:r>
    </w:p>
    <w:p w14:paraId="4DDD2254" w14:textId="77777777" w:rsidR="00894070" w:rsidRDefault="00894070">
      <w:pPr>
        <w:jc w:val="right"/>
        <w:sectPr w:rsidR="00894070">
          <w:pgSz w:w="11910" w:h="16840"/>
          <w:pgMar w:top="840" w:right="420" w:bottom="280" w:left="580" w:header="0" w:footer="0" w:gutter="0"/>
          <w:cols w:space="720"/>
        </w:sectPr>
      </w:pPr>
    </w:p>
    <w:p w14:paraId="377ADFA3" w14:textId="77777777" w:rsidR="00894070" w:rsidRDefault="009F6793">
      <w:pPr>
        <w:pStyle w:val="BodyText"/>
        <w:rPr>
          <w:b/>
        </w:rPr>
      </w:pPr>
      <w:r>
        <w:lastRenderedPageBreak/>
        <w:pict w14:anchorId="394D861F">
          <v:rect id="_x0000_s1725" style="position:absolute;margin-left:0;margin-top:99.2pt;width:14.15pt;height:85.75pt;z-index:251461632;mso-position-horizontal-relative:page;mso-position-vertical-relative:page" fillcolor="#ea5b50" stroked="f">
            <w10:wrap anchorx="page" anchory="page"/>
          </v:rect>
        </w:pict>
      </w:r>
    </w:p>
    <w:p w14:paraId="7FE23200" w14:textId="77777777" w:rsidR="00894070" w:rsidRDefault="00894070">
      <w:pPr>
        <w:pStyle w:val="BodyText"/>
        <w:rPr>
          <w:b/>
        </w:rPr>
      </w:pPr>
    </w:p>
    <w:p w14:paraId="23A51646" w14:textId="77777777" w:rsidR="00894070" w:rsidRDefault="00894070">
      <w:pPr>
        <w:pStyle w:val="BodyText"/>
        <w:rPr>
          <w:b/>
        </w:rPr>
      </w:pPr>
    </w:p>
    <w:p w14:paraId="0F54410B" w14:textId="77777777" w:rsidR="00894070" w:rsidRDefault="00894070">
      <w:pPr>
        <w:pStyle w:val="BodyText"/>
        <w:spacing w:before="8"/>
        <w:rPr>
          <w:b/>
          <w:sz w:val="19"/>
        </w:rPr>
      </w:pPr>
    </w:p>
    <w:p w14:paraId="2E4FECA8" w14:textId="77777777" w:rsidR="00894070" w:rsidRDefault="009B7AFD">
      <w:pPr>
        <w:pStyle w:val="ListParagraph"/>
        <w:numPr>
          <w:ilvl w:val="0"/>
          <w:numId w:val="189"/>
        </w:numPr>
        <w:tabs>
          <w:tab w:val="left" w:pos="2481"/>
          <w:tab w:val="left" w:pos="2482"/>
        </w:tabs>
        <w:rPr>
          <w:rFonts w:ascii="Trebuchet MS"/>
          <w:sz w:val="20"/>
        </w:rPr>
      </w:pPr>
      <w:r>
        <w:rPr>
          <w:rFonts w:ascii="Trebuchet MS"/>
          <w:color w:val="231F20"/>
          <w:spacing w:val="-2"/>
          <w:w w:val="110"/>
          <w:sz w:val="20"/>
        </w:rPr>
        <w:t>P</w:t>
      </w:r>
      <w:r>
        <w:rPr>
          <w:rFonts w:ascii="Trebuchet MS"/>
          <w:color w:val="231F20"/>
          <w:spacing w:val="-1"/>
          <w:w w:val="110"/>
          <w:sz w:val="20"/>
        </w:rPr>
        <w:t>u</w:t>
      </w:r>
      <w:r>
        <w:rPr>
          <w:rFonts w:ascii="Trebuchet MS"/>
          <w:color w:val="231F20"/>
          <w:spacing w:val="-2"/>
          <w:w w:val="111"/>
          <w:sz w:val="20"/>
        </w:rPr>
        <w:t>b</w:t>
      </w:r>
      <w:r>
        <w:rPr>
          <w:rFonts w:ascii="Trebuchet MS"/>
          <w:color w:val="231F20"/>
          <w:w w:val="96"/>
          <w:sz w:val="20"/>
        </w:rPr>
        <w:t>l</w:t>
      </w:r>
      <w:r>
        <w:rPr>
          <w:rFonts w:ascii="Trebuchet MS"/>
          <w:color w:val="231F20"/>
          <w:spacing w:val="-1"/>
          <w:w w:val="80"/>
          <w:sz w:val="20"/>
        </w:rPr>
        <w:t>i</w:t>
      </w:r>
      <w:r>
        <w:rPr>
          <w:rFonts w:ascii="Trebuchet MS"/>
          <w:color w:val="231F20"/>
          <w:w w:val="111"/>
          <w:sz w:val="20"/>
        </w:rPr>
        <w:t>c</w:t>
      </w:r>
      <w:r>
        <w:rPr>
          <w:rFonts w:ascii="Trebuchet MS"/>
          <w:color w:val="231F20"/>
          <w:spacing w:val="-14"/>
          <w:sz w:val="20"/>
        </w:rPr>
        <w:t xml:space="preserve"> </w:t>
      </w:r>
      <w:r>
        <w:rPr>
          <w:rFonts w:ascii="Trebuchet MS"/>
          <w:color w:val="231F20"/>
          <w:w w:val="108"/>
          <w:sz w:val="20"/>
        </w:rPr>
        <w:t>e</w:t>
      </w:r>
      <w:r>
        <w:rPr>
          <w:rFonts w:ascii="Trebuchet MS"/>
          <w:color w:val="231F20"/>
          <w:spacing w:val="-2"/>
          <w:w w:val="112"/>
          <w:sz w:val="20"/>
        </w:rPr>
        <w:t>d</w:t>
      </w:r>
      <w:r>
        <w:rPr>
          <w:rFonts w:ascii="Trebuchet MS"/>
          <w:color w:val="231F20"/>
          <w:spacing w:val="-2"/>
          <w:w w:val="109"/>
          <w:sz w:val="20"/>
        </w:rPr>
        <w:t>u</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spacing w:val="-3"/>
          <w:w w:val="112"/>
          <w:sz w:val="20"/>
        </w:rPr>
        <w:t>d</w:t>
      </w:r>
      <w:r>
        <w:rPr>
          <w:rFonts w:ascii="Trebuchet MS"/>
          <w:color w:val="231F20"/>
          <w:w w:val="54"/>
          <w:sz w:val="20"/>
        </w:rPr>
        <w:t>:</w:t>
      </w:r>
    </w:p>
    <w:p w14:paraId="4B36C292" w14:textId="77777777" w:rsidR="00894070" w:rsidRDefault="009B7AFD">
      <w:pPr>
        <w:pStyle w:val="ListParagraph"/>
        <w:numPr>
          <w:ilvl w:val="1"/>
          <w:numId w:val="189"/>
        </w:numPr>
        <w:tabs>
          <w:tab w:val="left" w:pos="3161"/>
          <w:tab w:val="left" w:pos="3162"/>
        </w:tabs>
        <w:spacing w:before="128"/>
        <w:ind w:hanging="680"/>
        <w:rPr>
          <w:rFonts w:ascii="Trebuchet MS" w:hAnsi="Trebuchet MS"/>
          <w:sz w:val="20"/>
        </w:rPr>
      </w:pPr>
      <w:r>
        <w:rPr>
          <w:rFonts w:ascii="Trebuchet MS" w:hAnsi="Trebuchet MS"/>
          <w:color w:val="231F20"/>
          <w:w w:val="110"/>
          <w:sz w:val="20"/>
        </w:rPr>
        <w:t>be</w:t>
      </w:r>
      <w:r>
        <w:rPr>
          <w:rFonts w:ascii="Trebuchet MS" w:hAnsi="Trebuchet MS"/>
          <w:color w:val="231F20"/>
          <w:spacing w:val="-21"/>
          <w:w w:val="110"/>
          <w:sz w:val="20"/>
        </w:rPr>
        <w:t xml:space="preserve"> </w:t>
      </w:r>
      <w:r>
        <w:rPr>
          <w:rFonts w:ascii="Trebuchet MS" w:hAnsi="Trebuchet MS"/>
          <w:color w:val="231F20"/>
          <w:w w:val="110"/>
          <w:sz w:val="20"/>
        </w:rPr>
        <w:t>ongoing</w:t>
      </w:r>
      <w:r>
        <w:rPr>
          <w:rFonts w:ascii="Trebuchet MS" w:hAnsi="Trebuchet MS"/>
          <w:color w:val="231F20"/>
          <w:spacing w:val="-21"/>
          <w:w w:val="110"/>
          <w:sz w:val="20"/>
        </w:rPr>
        <w:t xml:space="preserve"> </w:t>
      </w:r>
      <w:r>
        <w:rPr>
          <w:rFonts w:ascii="Trebuchet MS" w:hAnsi="Trebuchet MS"/>
          <w:color w:val="231F20"/>
          <w:w w:val="110"/>
          <w:sz w:val="20"/>
        </w:rPr>
        <w:t>and</w:t>
      </w:r>
      <w:r>
        <w:rPr>
          <w:rFonts w:ascii="Trebuchet MS" w:hAnsi="Trebuchet MS"/>
          <w:color w:val="231F20"/>
          <w:spacing w:val="-20"/>
          <w:w w:val="110"/>
          <w:sz w:val="20"/>
        </w:rPr>
        <w:t xml:space="preserve"> </w:t>
      </w:r>
      <w:r>
        <w:rPr>
          <w:rFonts w:ascii="Trebuchet MS" w:hAnsi="Trebuchet MS"/>
          <w:color w:val="231F20"/>
          <w:spacing w:val="-3"/>
          <w:w w:val="110"/>
          <w:sz w:val="20"/>
        </w:rPr>
        <w:t>adequately</w:t>
      </w:r>
      <w:r>
        <w:rPr>
          <w:rFonts w:ascii="Trebuchet MS" w:hAnsi="Trebuchet MS"/>
          <w:color w:val="231F20"/>
          <w:spacing w:val="-21"/>
          <w:w w:val="110"/>
          <w:sz w:val="20"/>
        </w:rPr>
        <w:t xml:space="preserve"> </w:t>
      </w:r>
      <w:r>
        <w:rPr>
          <w:rFonts w:ascii="Trebuchet MS" w:hAnsi="Trebuchet MS"/>
          <w:color w:val="231F20"/>
          <w:w w:val="110"/>
          <w:sz w:val="20"/>
        </w:rPr>
        <w:t>resourced</w:t>
      </w:r>
    </w:p>
    <w:p w14:paraId="0ED33734" w14:textId="77777777" w:rsidR="00894070" w:rsidRDefault="009B7AFD">
      <w:pPr>
        <w:pStyle w:val="ListParagraph"/>
        <w:numPr>
          <w:ilvl w:val="1"/>
          <w:numId w:val="189"/>
        </w:numPr>
        <w:tabs>
          <w:tab w:val="left" w:pos="3161"/>
          <w:tab w:val="left" w:pos="3162"/>
        </w:tabs>
        <w:spacing w:before="93"/>
        <w:ind w:hanging="680"/>
        <w:rPr>
          <w:rFonts w:ascii="Trebuchet MS" w:hAnsi="Trebuchet MS"/>
          <w:sz w:val="20"/>
        </w:rPr>
      </w:pPr>
      <w:r>
        <w:rPr>
          <w:rFonts w:ascii="Trebuchet MS" w:hAnsi="Trebuchet MS"/>
          <w:color w:val="231F20"/>
          <w:w w:val="110"/>
          <w:sz w:val="20"/>
        </w:rPr>
        <w:t>be</w:t>
      </w:r>
      <w:r>
        <w:rPr>
          <w:rFonts w:ascii="Trebuchet MS" w:hAnsi="Trebuchet MS"/>
          <w:color w:val="231F20"/>
          <w:spacing w:val="-21"/>
          <w:w w:val="110"/>
          <w:sz w:val="20"/>
        </w:rPr>
        <w:t xml:space="preserve"> </w:t>
      </w:r>
      <w:r>
        <w:rPr>
          <w:rFonts w:ascii="Trebuchet MS" w:hAnsi="Trebuchet MS"/>
          <w:color w:val="231F20"/>
          <w:w w:val="110"/>
          <w:sz w:val="20"/>
        </w:rPr>
        <w:t>accessible</w:t>
      </w:r>
    </w:p>
    <w:p w14:paraId="57F98966" w14:textId="77777777" w:rsidR="00894070" w:rsidRDefault="009B7AFD">
      <w:pPr>
        <w:pStyle w:val="ListParagraph"/>
        <w:numPr>
          <w:ilvl w:val="1"/>
          <w:numId w:val="189"/>
        </w:numPr>
        <w:tabs>
          <w:tab w:val="left" w:pos="3161"/>
          <w:tab w:val="left" w:pos="3162"/>
        </w:tabs>
        <w:spacing w:before="92"/>
        <w:ind w:hanging="680"/>
        <w:rPr>
          <w:rFonts w:ascii="Trebuchet MS" w:hAnsi="Trebuchet MS"/>
          <w:sz w:val="20"/>
        </w:rPr>
      </w:pPr>
      <w:r>
        <w:rPr>
          <w:rFonts w:ascii="Trebuchet MS" w:hAnsi="Trebuchet MS"/>
          <w:color w:val="231F20"/>
          <w:w w:val="105"/>
          <w:sz w:val="20"/>
        </w:rPr>
        <w:t>include</w:t>
      </w:r>
      <w:r>
        <w:rPr>
          <w:rFonts w:ascii="Trebuchet MS" w:hAnsi="Trebuchet MS"/>
          <w:color w:val="231F20"/>
          <w:spacing w:val="-20"/>
          <w:w w:val="105"/>
          <w:sz w:val="20"/>
        </w:rPr>
        <w:t xml:space="preserve"> </w:t>
      </w:r>
      <w:r>
        <w:rPr>
          <w:rFonts w:ascii="Trebuchet MS" w:hAnsi="Trebuchet MS"/>
          <w:color w:val="231F20"/>
          <w:w w:val="105"/>
          <w:sz w:val="20"/>
        </w:rPr>
        <w:t>strategies</w:t>
      </w:r>
      <w:r>
        <w:rPr>
          <w:rFonts w:ascii="Trebuchet MS" w:hAnsi="Trebuchet MS"/>
          <w:color w:val="231F20"/>
          <w:spacing w:val="-19"/>
          <w:w w:val="105"/>
          <w:sz w:val="20"/>
        </w:rPr>
        <w:t xml:space="preserve"> </w:t>
      </w:r>
      <w:r>
        <w:rPr>
          <w:rFonts w:ascii="Trebuchet MS" w:hAnsi="Trebuchet MS"/>
          <w:color w:val="231F20"/>
          <w:w w:val="105"/>
          <w:sz w:val="20"/>
        </w:rPr>
        <w:t>and</w:t>
      </w:r>
      <w:r>
        <w:rPr>
          <w:rFonts w:ascii="Trebuchet MS" w:hAnsi="Trebuchet MS"/>
          <w:color w:val="231F20"/>
          <w:spacing w:val="-20"/>
          <w:w w:val="105"/>
          <w:sz w:val="20"/>
        </w:rPr>
        <w:t xml:space="preserve"> </w:t>
      </w:r>
      <w:r>
        <w:rPr>
          <w:rFonts w:ascii="Trebuchet MS" w:hAnsi="Trebuchet MS"/>
          <w:color w:val="231F20"/>
          <w:w w:val="105"/>
          <w:sz w:val="20"/>
        </w:rPr>
        <w:t>material</w:t>
      </w:r>
      <w:r>
        <w:rPr>
          <w:rFonts w:ascii="Trebuchet MS" w:hAnsi="Trebuchet MS"/>
          <w:color w:val="231F20"/>
          <w:spacing w:val="-19"/>
          <w:w w:val="105"/>
          <w:sz w:val="20"/>
        </w:rPr>
        <w:t xml:space="preserve"> </w:t>
      </w:r>
      <w:r>
        <w:rPr>
          <w:rFonts w:ascii="Trebuchet MS" w:hAnsi="Trebuchet MS"/>
          <w:color w:val="231F20"/>
          <w:w w:val="105"/>
          <w:sz w:val="20"/>
        </w:rPr>
        <w:t>tailored</w:t>
      </w:r>
      <w:r>
        <w:rPr>
          <w:rFonts w:ascii="Trebuchet MS" w:hAnsi="Trebuchet MS"/>
          <w:color w:val="231F20"/>
          <w:spacing w:val="-20"/>
          <w:w w:val="105"/>
          <w:sz w:val="20"/>
        </w:rPr>
        <w:t xml:space="preserve"> </w:t>
      </w:r>
      <w:r>
        <w:rPr>
          <w:rFonts w:ascii="Trebuchet MS" w:hAnsi="Trebuchet MS"/>
          <w:color w:val="231F20"/>
          <w:w w:val="105"/>
          <w:sz w:val="20"/>
        </w:rPr>
        <w:t>to</w:t>
      </w:r>
      <w:r>
        <w:rPr>
          <w:rFonts w:ascii="Trebuchet MS" w:hAnsi="Trebuchet MS"/>
          <w:color w:val="231F20"/>
          <w:spacing w:val="-19"/>
          <w:w w:val="105"/>
          <w:sz w:val="20"/>
        </w:rPr>
        <w:t xml:space="preserve"> </w:t>
      </w:r>
      <w:r>
        <w:rPr>
          <w:rFonts w:ascii="Trebuchet MS" w:hAnsi="Trebuchet MS"/>
          <w:color w:val="231F20"/>
          <w:w w:val="105"/>
          <w:sz w:val="20"/>
        </w:rPr>
        <w:t>reach</w:t>
      </w:r>
      <w:r>
        <w:rPr>
          <w:rFonts w:ascii="Trebuchet MS" w:hAnsi="Trebuchet MS"/>
          <w:color w:val="231F20"/>
          <w:spacing w:val="-20"/>
          <w:w w:val="105"/>
          <w:sz w:val="20"/>
        </w:rPr>
        <w:t xml:space="preserve"> </w:t>
      </w:r>
      <w:r>
        <w:rPr>
          <w:rFonts w:ascii="Trebuchet MS" w:hAnsi="Trebuchet MS"/>
          <w:color w:val="231F20"/>
          <w:w w:val="105"/>
          <w:sz w:val="20"/>
        </w:rPr>
        <w:t>diverse</w:t>
      </w:r>
      <w:r>
        <w:rPr>
          <w:rFonts w:ascii="Trebuchet MS" w:hAnsi="Trebuchet MS"/>
          <w:color w:val="231F20"/>
          <w:spacing w:val="-19"/>
          <w:w w:val="105"/>
          <w:sz w:val="20"/>
        </w:rPr>
        <w:t xml:space="preserve"> </w:t>
      </w:r>
      <w:r>
        <w:rPr>
          <w:rFonts w:ascii="Trebuchet MS" w:hAnsi="Trebuchet MS"/>
          <w:color w:val="231F20"/>
          <w:w w:val="105"/>
          <w:sz w:val="20"/>
        </w:rPr>
        <w:t>communities</w:t>
      </w:r>
    </w:p>
    <w:p w14:paraId="1B190126" w14:textId="77777777" w:rsidR="00894070" w:rsidRDefault="009B7AFD">
      <w:pPr>
        <w:pStyle w:val="ListParagraph"/>
        <w:numPr>
          <w:ilvl w:val="1"/>
          <w:numId w:val="189"/>
        </w:numPr>
        <w:tabs>
          <w:tab w:val="left" w:pos="3161"/>
          <w:tab w:val="left" w:pos="3162"/>
        </w:tabs>
        <w:spacing w:before="93"/>
        <w:ind w:hanging="680"/>
        <w:rPr>
          <w:rFonts w:ascii="Trebuchet MS" w:hAnsi="Trebuchet MS"/>
          <w:sz w:val="20"/>
        </w:rPr>
      </w:pPr>
      <w:r>
        <w:rPr>
          <w:rFonts w:ascii="Trebuchet MS" w:hAnsi="Trebuchet MS"/>
          <w:color w:val="231F20"/>
          <w:w w:val="105"/>
          <w:sz w:val="20"/>
        </w:rPr>
        <w:t>equip</w:t>
      </w:r>
      <w:r>
        <w:rPr>
          <w:rFonts w:ascii="Trebuchet MS" w:hAnsi="Trebuchet MS"/>
          <w:color w:val="231F20"/>
          <w:spacing w:val="-17"/>
          <w:w w:val="105"/>
          <w:sz w:val="20"/>
        </w:rPr>
        <w:t xml:space="preserve"> </w:t>
      </w:r>
      <w:r>
        <w:rPr>
          <w:rFonts w:ascii="Trebuchet MS" w:hAnsi="Trebuchet MS"/>
          <w:color w:val="231F20"/>
          <w:spacing w:val="-3"/>
          <w:w w:val="105"/>
          <w:sz w:val="20"/>
        </w:rPr>
        <w:t>family</w:t>
      </w:r>
      <w:r>
        <w:rPr>
          <w:rFonts w:ascii="Trebuchet MS" w:hAnsi="Trebuchet MS"/>
          <w:color w:val="231F20"/>
          <w:spacing w:val="-16"/>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friends</w:t>
      </w:r>
      <w:r>
        <w:rPr>
          <w:rFonts w:ascii="Trebuchet MS" w:hAnsi="Trebuchet MS"/>
          <w:color w:val="231F20"/>
          <w:spacing w:val="-16"/>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w w:val="105"/>
          <w:sz w:val="20"/>
        </w:rPr>
        <w:t>respond</w:t>
      </w:r>
      <w:r>
        <w:rPr>
          <w:rFonts w:ascii="Trebuchet MS" w:hAnsi="Trebuchet MS"/>
          <w:color w:val="231F20"/>
          <w:spacing w:val="-17"/>
          <w:w w:val="105"/>
          <w:sz w:val="20"/>
        </w:rPr>
        <w:t xml:space="preserve"> </w:t>
      </w:r>
      <w:r>
        <w:rPr>
          <w:rFonts w:ascii="Trebuchet MS" w:hAnsi="Trebuchet MS"/>
          <w:color w:val="231F20"/>
          <w:spacing w:val="-3"/>
          <w:w w:val="105"/>
          <w:sz w:val="20"/>
        </w:rPr>
        <w:t>constructively</w:t>
      </w:r>
      <w:r>
        <w:rPr>
          <w:rFonts w:ascii="Trebuchet MS" w:hAnsi="Trebuchet MS"/>
          <w:color w:val="231F20"/>
          <w:spacing w:val="-16"/>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w w:val="105"/>
          <w:sz w:val="20"/>
        </w:rPr>
        <w:t>disclosures</w:t>
      </w:r>
    </w:p>
    <w:p w14:paraId="294DC248" w14:textId="77777777" w:rsidR="00894070" w:rsidRDefault="009B7AFD">
      <w:pPr>
        <w:pStyle w:val="ListParagraph"/>
        <w:numPr>
          <w:ilvl w:val="1"/>
          <w:numId w:val="189"/>
        </w:numPr>
        <w:tabs>
          <w:tab w:val="left" w:pos="3161"/>
          <w:tab w:val="left" w:pos="3162"/>
        </w:tabs>
        <w:spacing w:before="93" w:line="247" w:lineRule="auto"/>
        <w:ind w:right="1703" w:hanging="680"/>
        <w:rPr>
          <w:rFonts w:ascii="Trebuchet MS" w:hAnsi="Trebuchet MS"/>
          <w:sz w:val="20"/>
        </w:rPr>
      </w:pPr>
      <w:r>
        <w:rPr>
          <w:rFonts w:ascii="Trebuchet MS" w:hAnsi="Trebuchet MS"/>
          <w:color w:val="231F20"/>
          <w:w w:val="105"/>
          <w:sz w:val="20"/>
        </w:rPr>
        <w:t>include</w:t>
      </w:r>
      <w:r>
        <w:rPr>
          <w:rFonts w:ascii="Trebuchet MS" w:hAnsi="Trebuchet MS"/>
          <w:color w:val="231F20"/>
          <w:spacing w:val="-12"/>
          <w:w w:val="105"/>
          <w:sz w:val="20"/>
        </w:rPr>
        <w:t xml:space="preserve"> </w:t>
      </w:r>
      <w:r>
        <w:rPr>
          <w:rFonts w:ascii="Trebuchet MS" w:hAnsi="Trebuchet MS"/>
          <w:color w:val="231F20"/>
          <w:w w:val="105"/>
          <w:sz w:val="20"/>
        </w:rPr>
        <w:t>a</w:t>
      </w:r>
      <w:r>
        <w:rPr>
          <w:rFonts w:ascii="Trebuchet MS" w:hAnsi="Trebuchet MS"/>
          <w:color w:val="231F20"/>
          <w:spacing w:val="-12"/>
          <w:w w:val="105"/>
          <w:sz w:val="20"/>
        </w:rPr>
        <w:t xml:space="preserve"> </w:t>
      </w:r>
      <w:r>
        <w:rPr>
          <w:rFonts w:ascii="Trebuchet MS" w:hAnsi="Trebuchet MS"/>
          <w:color w:val="231F20"/>
          <w:w w:val="105"/>
          <w:sz w:val="20"/>
        </w:rPr>
        <w:t>focus</w:t>
      </w:r>
      <w:r>
        <w:rPr>
          <w:rFonts w:ascii="Trebuchet MS" w:hAnsi="Trebuchet MS"/>
          <w:color w:val="231F20"/>
          <w:spacing w:val="-12"/>
          <w:w w:val="105"/>
          <w:sz w:val="20"/>
        </w:rPr>
        <w:t xml:space="preserve"> </w:t>
      </w:r>
      <w:r>
        <w:rPr>
          <w:rFonts w:ascii="Trebuchet MS" w:hAnsi="Trebuchet MS"/>
          <w:color w:val="231F20"/>
          <w:w w:val="105"/>
          <w:sz w:val="20"/>
        </w:rPr>
        <w:t>on</w:t>
      </w:r>
      <w:r>
        <w:rPr>
          <w:rFonts w:ascii="Trebuchet MS" w:hAnsi="Trebuchet MS"/>
          <w:color w:val="231F20"/>
          <w:spacing w:val="-12"/>
          <w:w w:val="105"/>
          <w:sz w:val="20"/>
        </w:rPr>
        <w:t xml:space="preserve"> </w:t>
      </w:r>
      <w:r>
        <w:rPr>
          <w:rFonts w:ascii="Trebuchet MS" w:hAnsi="Trebuchet MS"/>
          <w:color w:val="231F20"/>
          <w:w w:val="105"/>
          <w:sz w:val="20"/>
        </w:rPr>
        <w:t>children</w:t>
      </w:r>
      <w:r>
        <w:rPr>
          <w:rFonts w:ascii="Trebuchet MS" w:hAnsi="Trebuchet MS"/>
          <w:color w:val="231F20"/>
          <w:spacing w:val="-11"/>
          <w:w w:val="105"/>
          <w:sz w:val="20"/>
        </w:rPr>
        <w:t xml:space="preserve"> </w:t>
      </w:r>
      <w:r>
        <w:rPr>
          <w:rFonts w:ascii="Trebuchet MS" w:hAnsi="Trebuchet MS"/>
          <w:color w:val="231F20"/>
          <w:w w:val="105"/>
          <w:sz w:val="20"/>
        </w:rPr>
        <w:t>and</w:t>
      </w:r>
      <w:r>
        <w:rPr>
          <w:rFonts w:ascii="Trebuchet MS" w:hAnsi="Trebuchet MS"/>
          <w:color w:val="231F20"/>
          <w:spacing w:val="-12"/>
          <w:w w:val="105"/>
          <w:sz w:val="20"/>
        </w:rPr>
        <w:t xml:space="preserve"> </w:t>
      </w:r>
      <w:r>
        <w:rPr>
          <w:rFonts w:ascii="Trebuchet MS" w:hAnsi="Trebuchet MS"/>
          <w:color w:val="231F20"/>
          <w:w w:val="105"/>
          <w:sz w:val="20"/>
        </w:rPr>
        <w:t>young</w:t>
      </w:r>
      <w:r>
        <w:rPr>
          <w:rFonts w:ascii="Trebuchet MS" w:hAnsi="Trebuchet MS"/>
          <w:color w:val="231F20"/>
          <w:spacing w:val="-12"/>
          <w:w w:val="105"/>
          <w:sz w:val="20"/>
        </w:rPr>
        <w:t xml:space="preserve"> </w:t>
      </w:r>
      <w:r>
        <w:rPr>
          <w:rFonts w:ascii="Trebuchet MS" w:hAnsi="Trebuchet MS"/>
          <w:color w:val="231F20"/>
          <w:w w:val="105"/>
          <w:sz w:val="20"/>
        </w:rPr>
        <w:t>people</w:t>
      </w:r>
      <w:r>
        <w:rPr>
          <w:rFonts w:ascii="Trebuchet MS" w:hAnsi="Trebuchet MS"/>
          <w:color w:val="231F20"/>
          <w:spacing w:val="-12"/>
          <w:w w:val="105"/>
          <w:sz w:val="20"/>
        </w:rPr>
        <w:t xml:space="preserve"> </w:t>
      </w:r>
      <w:r>
        <w:rPr>
          <w:rFonts w:ascii="Trebuchet MS" w:hAnsi="Trebuchet MS"/>
          <w:color w:val="231F20"/>
          <w:w w:val="105"/>
          <w:sz w:val="20"/>
        </w:rPr>
        <w:t>and</w:t>
      </w:r>
      <w:r>
        <w:rPr>
          <w:rFonts w:ascii="Trebuchet MS" w:hAnsi="Trebuchet MS"/>
          <w:color w:val="231F20"/>
          <w:spacing w:val="-12"/>
          <w:w w:val="105"/>
          <w:sz w:val="20"/>
        </w:rPr>
        <w:t xml:space="preserve"> </w:t>
      </w:r>
      <w:r>
        <w:rPr>
          <w:rFonts w:ascii="Trebuchet MS" w:hAnsi="Trebuchet MS"/>
          <w:color w:val="231F20"/>
          <w:w w:val="105"/>
          <w:sz w:val="20"/>
        </w:rPr>
        <w:t>be</w:t>
      </w:r>
      <w:r>
        <w:rPr>
          <w:rFonts w:ascii="Trebuchet MS" w:hAnsi="Trebuchet MS"/>
          <w:color w:val="231F20"/>
          <w:spacing w:val="-11"/>
          <w:w w:val="105"/>
          <w:sz w:val="20"/>
        </w:rPr>
        <w:t xml:space="preserve"> </w:t>
      </w:r>
      <w:r>
        <w:rPr>
          <w:rFonts w:ascii="Trebuchet MS" w:hAnsi="Trebuchet MS"/>
          <w:color w:val="231F20"/>
          <w:w w:val="105"/>
          <w:sz w:val="20"/>
        </w:rPr>
        <w:t>delivered</w:t>
      </w:r>
      <w:r>
        <w:rPr>
          <w:rFonts w:ascii="Trebuchet MS" w:hAnsi="Trebuchet MS"/>
          <w:color w:val="231F20"/>
          <w:spacing w:val="-12"/>
          <w:w w:val="105"/>
          <w:sz w:val="20"/>
        </w:rPr>
        <w:t xml:space="preserve"> </w:t>
      </w:r>
      <w:r>
        <w:rPr>
          <w:rFonts w:ascii="Trebuchet MS" w:hAnsi="Trebuchet MS"/>
          <w:color w:val="231F20"/>
          <w:w w:val="105"/>
          <w:sz w:val="20"/>
        </w:rPr>
        <w:t xml:space="preserve">in </w:t>
      </w:r>
      <w:r>
        <w:rPr>
          <w:rFonts w:ascii="Trebuchet MS" w:hAnsi="Trebuchet MS"/>
          <w:color w:val="231F20"/>
          <w:spacing w:val="-1"/>
          <w:w w:val="122"/>
          <w:sz w:val="20"/>
        </w:rPr>
        <w:t>s</w:t>
      </w:r>
      <w:r>
        <w:rPr>
          <w:rFonts w:ascii="Trebuchet MS" w:hAnsi="Trebuchet MS"/>
          <w:color w:val="231F20"/>
          <w:spacing w:val="-2"/>
          <w:w w:val="111"/>
          <w:sz w:val="20"/>
        </w:rPr>
        <w:t>c</w:t>
      </w:r>
      <w:r>
        <w:rPr>
          <w:rFonts w:ascii="Trebuchet MS" w:hAnsi="Trebuchet MS"/>
          <w:color w:val="231F20"/>
          <w:spacing w:val="-1"/>
          <w:w w:val="107"/>
          <w:sz w:val="20"/>
        </w:rPr>
        <w:t>h</w:t>
      </w:r>
      <w:r>
        <w:rPr>
          <w:rFonts w:ascii="Trebuchet MS" w:hAnsi="Trebuchet MS"/>
          <w:color w:val="231F20"/>
          <w:spacing w:val="-1"/>
          <w:w w:val="111"/>
          <w:sz w:val="20"/>
        </w:rPr>
        <w:t>o</w:t>
      </w:r>
      <w:r>
        <w:rPr>
          <w:rFonts w:ascii="Trebuchet MS" w:hAnsi="Trebuchet MS"/>
          <w:color w:val="231F20"/>
          <w:spacing w:val="-2"/>
          <w:w w:val="111"/>
          <w:sz w:val="20"/>
        </w:rPr>
        <w:t>o</w:t>
      </w:r>
      <w:r>
        <w:rPr>
          <w:rFonts w:ascii="Trebuchet MS" w:hAnsi="Trebuchet MS"/>
          <w:color w:val="231F20"/>
          <w:spacing w:val="3"/>
          <w:w w:val="96"/>
          <w:sz w:val="20"/>
        </w:rPr>
        <w:t>l</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07"/>
          <w:sz w:val="20"/>
        </w:rPr>
        <w:t>h</w:t>
      </w:r>
      <w:r>
        <w:rPr>
          <w:rFonts w:ascii="Trebuchet MS" w:hAnsi="Trebuchet MS"/>
          <w:color w:val="231F20"/>
          <w:spacing w:val="-1"/>
          <w:w w:val="80"/>
          <w:sz w:val="20"/>
        </w:rPr>
        <w:t>i</w:t>
      </w:r>
      <w:r>
        <w:rPr>
          <w:rFonts w:ascii="Trebuchet MS" w:hAnsi="Trebuchet MS"/>
          <w:color w:val="231F20"/>
          <w:spacing w:val="-2"/>
          <w:w w:val="124"/>
          <w:sz w:val="20"/>
        </w:rPr>
        <w:t>g</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w w:val="108"/>
          <w:sz w:val="20"/>
        </w:rPr>
        <w:t>e</w:t>
      </w:r>
      <w:r>
        <w:rPr>
          <w:rFonts w:ascii="Trebuchet MS" w:hAnsi="Trebuchet MS"/>
          <w:color w:val="231F20"/>
          <w:spacing w:val="-2"/>
          <w:w w:val="112"/>
          <w:sz w:val="20"/>
        </w:rPr>
        <w:t>d</w:t>
      </w:r>
      <w:r>
        <w:rPr>
          <w:rFonts w:ascii="Trebuchet MS" w:hAnsi="Trebuchet MS"/>
          <w:color w:val="231F20"/>
          <w:spacing w:val="-2"/>
          <w:w w:val="109"/>
          <w:sz w:val="20"/>
        </w:rPr>
        <w:t>u</w:t>
      </w:r>
      <w:r>
        <w:rPr>
          <w:rFonts w:ascii="Trebuchet MS" w:hAnsi="Trebuchet MS"/>
          <w:color w:val="231F20"/>
          <w:w w:val="111"/>
          <w:sz w:val="20"/>
        </w:rPr>
        <w:t>c</w:t>
      </w:r>
      <w:r>
        <w:rPr>
          <w:rFonts w:ascii="Trebuchet MS" w:hAnsi="Trebuchet MS"/>
          <w:color w:val="231F20"/>
          <w:spacing w:val="-4"/>
          <w:w w:val="105"/>
          <w:sz w:val="20"/>
        </w:rPr>
        <w:t>a</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3"/>
          <w:w w:val="108"/>
          <w:sz w:val="20"/>
        </w:rPr>
        <w:t>e</w:t>
      </w:r>
      <w:r>
        <w:rPr>
          <w:rFonts w:ascii="Trebuchet MS" w:hAnsi="Trebuchet MS"/>
          <w:color w:val="231F20"/>
          <w:spacing w:val="-1"/>
          <w:w w:val="88"/>
          <w:sz w:val="20"/>
        </w:rPr>
        <w:t>t</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1"/>
          <w:w w:val="124"/>
          <w:sz w:val="20"/>
        </w:rPr>
        <w:t>g</w:t>
      </w:r>
      <w:r>
        <w:rPr>
          <w:rFonts w:ascii="Trebuchet MS" w:hAnsi="Trebuchet MS"/>
          <w:color w:val="231F20"/>
          <w:spacing w:val="1"/>
          <w:w w:val="122"/>
          <w:sz w:val="20"/>
        </w:rPr>
        <w:t>s</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6"/>
          <w:w w:val="110"/>
          <w:sz w:val="20"/>
        </w:rPr>
        <w:t>w</w:t>
      </w:r>
      <w:r>
        <w:rPr>
          <w:rFonts w:ascii="Trebuchet MS" w:hAnsi="Trebuchet MS"/>
          <w:color w:val="231F20"/>
          <w:spacing w:val="-1"/>
          <w:w w:val="108"/>
          <w:sz w:val="20"/>
        </w:rPr>
        <w:t>e</w:t>
      </w:r>
      <w:r>
        <w:rPr>
          <w:rFonts w:ascii="Trebuchet MS" w:hAnsi="Trebuchet MS"/>
          <w:color w:val="231F20"/>
          <w:spacing w:val="-2"/>
          <w:w w:val="96"/>
          <w:sz w:val="20"/>
        </w:rPr>
        <w:t>l</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b</w:t>
      </w:r>
      <w:r>
        <w:rPr>
          <w:rFonts w:ascii="Trebuchet MS" w:hAnsi="Trebuchet MS"/>
          <w:color w:val="231F20"/>
          <w:spacing w:val="-4"/>
          <w:w w:val="93"/>
          <w:sz w:val="20"/>
        </w:rPr>
        <w:t>r</w:t>
      </w:r>
      <w:r>
        <w:rPr>
          <w:rFonts w:ascii="Trebuchet MS" w:hAnsi="Trebuchet MS"/>
          <w:color w:val="231F20"/>
          <w:spacing w:val="-1"/>
          <w:w w:val="111"/>
          <w:sz w:val="20"/>
        </w:rPr>
        <w:t>o</w:t>
      </w:r>
      <w:r>
        <w:rPr>
          <w:rFonts w:ascii="Trebuchet MS" w:hAnsi="Trebuchet MS"/>
          <w:color w:val="231F20"/>
          <w:spacing w:val="-2"/>
          <w:w w:val="105"/>
          <w:sz w:val="20"/>
        </w:rPr>
        <w:t>a</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3"/>
          <w:sz w:val="20"/>
        </w:rPr>
        <w:t xml:space="preserve">r </w:t>
      </w:r>
      <w:r>
        <w:rPr>
          <w:rFonts w:ascii="Trebuchet MS" w:hAnsi="Trebuchet MS"/>
          <w:color w:val="231F20"/>
          <w:w w:val="105"/>
          <w:sz w:val="20"/>
        </w:rPr>
        <w:t>community</w:t>
      </w:r>
    </w:p>
    <w:p w14:paraId="272315D4" w14:textId="77777777" w:rsidR="00894070" w:rsidRDefault="009B7AFD">
      <w:pPr>
        <w:pStyle w:val="ListParagraph"/>
        <w:numPr>
          <w:ilvl w:val="1"/>
          <w:numId w:val="189"/>
        </w:numPr>
        <w:tabs>
          <w:tab w:val="left" w:pos="3161"/>
          <w:tab w:val="left" w:pos="3162"/>
        </w:tabs>
        <w:spacing w:before="88"/>
        <w:ind w:hanging="680"/>
        <w:rPr>
          <w:rFonts w:ascii="Trebuchet MS" w:hAnsi="Trebuchet MS"/>
          <w:sz w:val="20"/>
        </w:rPr>
      </w:pPr>
      <w:r>
        <w:rPr>
          <w:rFonts w:ascii="Trebuchet MS" w:hAnsi="Trebuchet MS"/>
          <w:color w:val="231F20"/>
          <w:w w:val="108"/>
          <w:sz w:val="20"/>
        </w:rPr>
        <w:t>e</w:t>
      </w:r>
      <w:r>
        <w:rPr>
          <w:rFonts w:ascii="Trebuchet MS" w:hAnsi="Trebuchet MS"/>
          <w:color w:val="231F20"/>
          <w:spacing w:val="-2"/>
          <w:w w:val="111"/>
          <w:sz w:val="20"/>
        </w:rPr>
        <w:t>q</w:t>
      </w:r>
      <w:r>
        <w:rPr>
          <w:rFonts w:ascii="Trebuchet MS" w:hAnsi="Trebuchet MS"/>
          <w:color w:val="231F20"/>
          <w:spacing w:val="-1"/>
          <w:w w:val="109"/>
          <w:sz w:val="20"/>
        </w:rPr>
        <w:t>u</w:t>
      </w:r>
      <w:r>
        <w:rPr>
          <w:rFonts w:ascii="Trebuchet MS" w:hAnsi="Trebuchet MS"/>
          <w:color w:val="231F20"/>
          <w:spacing w:val="-2"/>
          <w:w w:val="80"/>
          <w:sz w:val="20"/>
        </w:rPr>
        <w:t>i</w:t>
      </w:r>
      <w:r>
        <w:rPr>
          <w:rFonts w:ascii="Trebuchet MS" w:hAnsi="Trebuchet MS"/>
          <w:color w:val="231F20"/>
          <w:w w:val="111"/>
          <w:sz w:val="20"/>
        </w:rPr>
        <w:t>p</w:t>
      </w:r>
      <w:r>
        <w:rPr>
          <w:rFonts w:ascii="Trebuchet MS" w:hAnsi="Trebuchet MS"/>
          <w:color w:val="231F20"/>
          <w:spacing w:val="-14"/>
          <w:sz w:val="20"/>
        </w:rPr>
        <w:t xml:space="preserve"> </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spacing w:val="-3"/>
          <w:w w:val="105"/>
          <w:sz w:val="20"/>
        </w:rPr>
        <w:t>a</w:t>
      </w:r>
      <w:r>
        <w:rPr>
          <w:rFonts w:ascii="Trebuchet MS" w:hAnsi="Trebuchet MS"/>
          <w:color w:val="231F20"/>
          <w:spacing w:val="-4"/>
          <w:w w:val="96"/>
          <w:sz w:val="20"/>
        </w:rPr>
        <w:t>l</w:t>
      </w:r>
      <w:r>
        <w:rPr>
          <w:rFonts w:ascii="Trebuchet MS" w:hAnsi="Trebuchet MS"/>
          <w:color w:val="231F20"/>
          <w:spacing w:val="-2"/>
          <w:w w:val="88"/>
          <w:sz w:val="20"/>
        </w:rPr>
        <w:t>t</w:t>
      </w:r>
      <w:r>
        <w:rPr>
          <w:rFonts w:ascii="Trebuchet MS" w:hAnsi="Trebuchet MS"/>
          <w:color w:val="231F20"/>
          <w:w w:val="107"/>
          <w:sz w:val="20"/>
        </w:rPr>
        <w:t>h</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6"/>
          <w:w w:val="111"/>
          <w:sz w:val="20"/>
        </w:rPr>
        <w:t>o</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po</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2"/>
          <w:w w:val="109"/>
          <w:sz w:val="20"/>
        </w:rPr>
        <w:t>u</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7"/>
          <w:w w:val="96"/>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2"/>
          <w:sz w:val="20"/>
        </w:rPr>
        <w:t>d</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3"/>
          <w:w w:val="111"/>
          <w:sz w:val="20"/>
        </w:rPr>
        <w:t>c</w:t>
      </w:r>
      <w:r>
        <w:rPr>
          <w:rFonts w:ascii="Trebuchet MS" w:hAnsi="Trebuchet MS"/>
          <w:color w:val="231F20"/>
          <w:spacing w:val="-3"/>
          <w:w w:val="96"/>
          <w:sz w:val="20"/>
        </w:rPr>
        <w:t>l</w:t>
      </w:r>
      <w:r>
        <w:rPr>
          <w:rFonts w:ascii="Trebuchet MS" w:hAnsi="Trebuchet MS"/>
          <w:color w:val="231F20"/>
          <w:spacing w:val="-2"/>
          <w:w w:val="116"/>
          <w:sz w:val="20"/>
        </w:rPr>
        <w:t>os</w:t>
      </w:r>
      <w:r>
        <w:rPr>
          <w:rFonts w:ascii="Trebuchet MS" w:hAnsi="Trebuchet MS"/>
          <w:color w:val="231F20"/>
          <w:spacing w:val="-1"/>
          <w:w w:val="109"/>
          <w:sz w:val="20"/>
        </w:rPr>
        <w:t>u</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w w:val="55"/>
          <w:sz w:val="20"/>
        </w:rPr>
        <w:t>.</w:t>
      </w:r>
    </w:p>
    <w:p w14:paraId="08093F69" w14:textId="77777777" w:rsidR="00894070" w:rsidRDefault="009B7AFD">
      <w:pPr>
        <w:pStyle w:val="ListParagraph"/>
        <w:numPr>
          <w:ilvl w:val="0"/>
          <w:numId w:val="191"/>
        </w:numPr>
        <w:tabs>
          <w:tab w:val="left" w:pos="1801"/>
          <w:tab w:val="left" w:pos="1802"/>
          <w:tab w:val="left" w:pos="2481"/>
        </w:tabs>
        <w:spacing w:before="92" w:line="247" w:lineRule="auto"/>
        <w:ind w:left="2481" w:right="1280" w:hanging="1474"/>
        <w:rPr>
          <w:rFonts w:ascii="Trebuchet MS"/>
          <w:sz w:val="20"/>
        </w:rPr>
      </w:pPr>
      <w:r>
        <w:rPr>
          <w:rFonts w:ascii="Trebuchet MS"/>
          <w:color w:val="231F20"/>
          <w:sz w:val="20"/>
        </w:rPr>
        <w:t>a.</w:t>
      </w:r>
      <w:r>
        <w:rPr>
          <w:rFonts w:ascii="Trebuchet MS"/>
          <w:color w:val="231F20"/>
          <w:sz w:val="20"/>
        </w:rPr>
        <w:tab/>
        <w:t xml:space="preserve">The Victorian </w:t>
      </w:r>
      <w:r>
        <w:rPr>
          <w:rFonts w:ascii="Trebuchet MS"/>
          <w:color w:val="231F20"/>
          <w:spacing w:val="-3"/>
          <w:sz w:val="20"/>
        </w:rPr>
        <w:t xml:space="preserve">Government </w:t>
      </w:r>
      <w:r>
        <w:rPr>
          <w:rFonts w:ascii="Trebuchet MS"/>
          <w:color w:val="231F20"/>
          <w:sz w:val="20"/>
        </w:rPr>
        <w:t xml:space="preserve">should </w:t>
      </w:r>
      <w:r>
        <w:rPr>
          <w:rFonts w:ascii="Trebuchet MS"/>
          <w:color w:val="231F20"/>
          <w:spacing w:val="-3"/>
          <w:sz w:val="20"/>
        </w:rPr>
        <w:t xml:space="preserve">provide </w:t>
      </w:r>
      <w:r>
        <w:rPr>
          <w:rFonts w:ascii="Trebuchet MS"/>
          <w:color w:val="231F20"/>
          <w:sz w:val="20"/>
        </w:rPr>
        <w:t xml:space="preserve">funding and support to the Judicial </w:t>
      </w:r>
      <w:r>
        <w:rPr>
          <w:rFonts w:ascii="Trebuchet MS"/>
          <w:color w:val="231F20"/>
          <w:spacing w:val="-1"/>
          <w:w w:val="114"/>
          <w:sz w:val="20"/>
        </w:rPr>
        <w:t>C</w:t>
      </w:r>
      <w:r>
        <w:rPr>
          <w:rFonts w:ascii="Trebuchet MS"/>
          <w:color w:val="231F20"/>
          <w:spacing w:val="-2"/>
          <w:w w:val="111"/>
          <w:sz w:val="20"/>
        </w:rPr>
        <w:t>o</w:t>
      </w:r>
      <w:r>
        <w:rPr>
          <w:rFonts w:ascii="Trebuchet MS"/>
          <w:color w:val="231F20"/>
          <w:spacing w:val="-2"/>
          <w:w w:val="96"/>
          <w:sz w:val="20"/>
        </w:rPr>
        <w:t>l</w:t>
      </w:r>
      <w:r>
        <w:rPr>
          <w:rFonts w:ascii="Trebuchet MS"/>
          <w:color w:val="231F20"/>
          <w:spacing w:val="-3"/>
          <w:w w:val="96"/>
          <w:sz w:val="20"/>
        </w:rPr>
        <w:t>l</w:t>
      </w:r>
      <w:r>
        <w:rPr>
          <w:rFonts w:ascii="Trebuchet MS"/>
          <w:color w:val="231F20"/>
          <w:w w:val="108"/>
          <w:sz w:val="20"/>
        </w:rPr>
        <w:t>e</w:t>
      </w:r>
      <w:r>
        <w:rPr>
          <w:rFonts w:ascii="Trebuchet MS"/>
          <w:color w:val="231F20"/>
          <w:spacing w:val="-1"/>
          <w:w w:val="124"/>
          <w:sz w:val="20"/>
        </w:rPr>
        <w:t>g</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spacing w:val="1"/>
          <w:w w:val="105"/>
          <w:sz w:val="20"/>
        </w:rPr>
        <w:t>a</w:t>
      </w:r>
      <w:r>
        <w:rPr>
          <w:rFonts w:ascii="Trebuchet MS"/>
          <w:color w:val="231F20"/>
          <w:w w:val="57"/>
          <w:sz w:val="20"/>
        </w:rPr>
        <w:t>,</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111"/>
          <w:sz w:val="20"/>
        </w:rPr>
        <w:t>o</w:t>
      </w:r>
      <w:r>
        <w:rPr>
          <w:rFonts w:ascii="Trebuchet MS"/>
          <w:color w:val="231F20"/>
          <w:spacing w:val="-2"/>
          <w:w w:val="88"/>
          <w:sz w:val="20"/>
        </w:rPr>
        <w:t>t</w:t>
      </w:r>
      <w:r>
        <w:rPr>
          <w:rFonts w:ascii="Trebuchet MS"/>
          <w:color w:val="231F20"/>
          <w:spacing w:val="-1"/>
          <w:w w:val="107"/>
          <w:sz w:val="20"/>
        </w:rPr>
        <w:t>h</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24"/>
          <w:sz w:val="20"/>
        </w:rPr>
        <w:t>g</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2"/>
          <w:w w:val="111"/>
          <w:sz w:val="20"/>
        </w:rPr>
        <w:t>c</w:t>
      </w:r>
      <w:r>
        <w:rPr>
          <w:rFonts w:ascii="Trebuchet MS"/>
          <w:color w:val="231F20"/>
          <w:spacing w:val="-1"/>
          <w:w w:val="80"/>
          <w:sz w:val="20"/>
        </w:rPr>
        <w:t>i</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3"/>
          <w:w w:val="80"/>
          <w:sz w:val="20"/>
        </w:rPr>
        <w:t>i</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05"/>
          <w:sz w:val="20"/>
        </w:rPr>
        <w:t>a</w:t>
      </w:r>
      <w:r>
        <w:rPr>
          <w:rFonts w:ascii="Trebuchet MS"/>
          <w:color w:val="231F20"/>
          <w:spacing w:val="-1"/>
          <w:w w:val="111"/>
          <w:sz w:val="20"/>
        </w:rPr>
        <w:t>pp</w:t>
      </w:r>
      <w:r>
        <w:rPr>
          <w:rFonts w:ascii="Trebuchet MS"/>
          <w:color w:val="231F20"/>
          <w:spacing w:val="-4"/>
          <w:w w:val="93"/>
          <w:sz w:val="20"/>
        </w:rPr>
        <w:t>r</w:t>
      </w:r>
      <w:r>
        <w:rPr>
          <w:rFonts w:ascii="Trebuchet MS"/>
          <w:color w:val="231F20"/>
          <w:spacing w:val="-1"/>
          <w:w w:val="111"/>
          <w:sz w:val="20"/>
        </w:rPr>
        <w:t>op</w:t>
      </w:r>
      <w:r>
        <w:rPr>
          <w:rFonts w:ascii="Trebuchet MS"/>
          <w:color w:val="231F20"/>
          <w:spacing w:val="-2"/>
          <w:w w:val="93"/>
          <w:sz w:val="20"/>
        </w:rPr>
        <w:t>r</w:t>
      </w:r>
      <w:r>
        <w:rPr>
          <w:rFonts w:ascii="Trebuchet MS"/>
          <w:color w:val="231F20"/>
          <w:spacing w:val="-1"/>
          <w:w w:val="80"/>
          <w:sz w:val="20"/>
        </w:rPr>
        <w:t>i</w:t>
      </w:r>
      <w:r>
        <w:rPr>
          <w:rFonts w:ascii="Trebuchet MS"/>
          <w:color w:val="231F20"/>
          <w:spacing w:val="-4"/>
          <w:w w:val="105"/>
          <w:sz w:val="20"/>
        </w:rPr>
        <w:t>a</w:t>
      </w:r>
      <w:r>
        <w:rPr>
          <w:rFonts w:ascii="Trebuchet MS"/>
          <w:color w:val="231F20"/>
          <w:spacing w:val="-4"/>
          <w:w w:val="88"/>
          <w:sz w:val="20"/>
        </w:rPr>
        <w:t>t</w:t>
      </w:r>
      <w:r>
        <w:rPr>
          <w:rFonts w:ascii="Trebuchet MS"/>
          <w:color w:val="231F20"/>
          <w:spacing w:val="-3"/>
          <w:w w:val="108"/>
          <w:sz w:val="20"/>
        </w:rPr>
        <w:t>e</w:t>
      </w:r>
      <w:r>
        <w:rPr>
          <w:rFonts w:ascii="Trebuchet MS"/>
          <w:color w:val="231F20"/>
          <w:w w:val="57"/>
          <w:sz w:val="20"/>
        </w:rPr>
        <w:t>,</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2"/>
          <w:w w:val="112"/>
          <w:sz w:val="20"/>
        </w:rPr>
        <w:t>d</w:t>
      </w:r>
      <w:r>
        <w:rPr>
          <w:rFonts w:ascii="Trebuchet MS"/>
          <w:color w:val="231F20"/>
          <w:spacing w:val="-5"/>
          <w:w w:val="108"/>
          <w:sz w:val="20"/>
        </w:rPr>
        <w:t>e</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3"/>
          <w:w w:val="96"/>
          <w:sz w:val="20"/>
        </w:rPr>
        <w:t>l</w:t>
      </w:r>
      <w:r>
        <w:rPr>
          <w:rFonts w:ascii="Trebuchet MS"/>
          <w:color w:val="231F20"/>
          <w:spacing w:val="-1"/>
          <w:w w:val="111"/>
          <w:sz w:val="20"/>
        </w:rPr>
        <w:t>o</w:t>
      </w:r>
      <w:r>
        <w:rPr>
          <w:rFonts w:ascii="Trebuchet MS"/>
          <w:color w:val="231F20"/>
          <w:w w:val="111"/>
          <w:sz w:val="20"/>
        </w:rPr>
        <w:t>p</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12"/>
          <w:sz w:val="20"/>
        </w:rPr>
        <w:t>d</w:t>
      </w:r>
      <w:r>
        <w:rPr>
          <w:rFonts w:ascii="Trebuchet MS"/>
          <w:color w:val="231F20"/>
          <w:spacing w:val="-1"/>
          <w:w w:val="108"/>
          <w:sz w:val="20"/>
        </w:rPr>
        <w:t>e</w:t>
      </w:r>
      <w:r>
        <w:rPr>
          <w:rFonts w:ascii="Trebuchet MS"/>
          <w:color w:val="231F20"/>
          <w:w w:val="96"/>
          <w:sz w:val="20"/>
        </w:rPr>
        <w:t>l</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08"/>
          <w:sz w:val="20"/>
        </w:rPr>
        <w:t>e</w:t>
      </w:r>
      <w:r>
        <w:rPr>
          <w:rFonts w:ascii="Trebuchet MS"/>
          <w:color w:val="231F20"/>
          <w:w w:val="93"/>
          <w:sz w:val="20"/>
        </w:rPr>
        <w:t xml:space="preserve">r </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1"/>
          <w:w w:val="124"/>
          <w:sz w:val="20"/>
        </w:rPr>
        <w:t>g</w:t>
      </w:r>
      <w:r>
        <w:rPr>
          <w:rFonts w:ascii="Trebuchet MS"/>
          <w:color w:val="231F20"/>
          <w:spacing w:val="-1"/>
          <w:w w:val="111"/>
          <w:sz w:val="20"/>
        </w:rPr>
        <w:t>o</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2"/>
          <w:w w:val="93"/>
          <w:sz w:val="20"/>
        </w:rPr>
        <w:t>r</w:t>
      </w:r>
      <w:r>
        <w:rPr>
          <w:rFonts w:ascii="Trebuchet MS"/>
          <w:color w:val="231F20"/>
          <w:spacing w:val="-2"/>
          <w:w w:val="105"/>
          <w:sz w:val="20"/>
        </w:rPr>
        <w:t>a</w:t>
      </w:r>
      <w:r>
        <w:rPr>
          <w:rFonts w:ascii="Trebuchet MS"/>
          <w:color w:val="231F20"/>
          <w:spacing w:val="-2"/>
          <w:w w:val="80"/>
          <w:sz w:val="20"/>
        </w:rPr>
        <w:t>i</w:t>
      </w:r>
      <w:r>
        <w:rPr>
          <w:rFonts w:ascii="Trebuchet MS"/>
          <w:color w:val="231F20"/>
          <w:spacing w:val="-2"/>
          <w:w w:val="107"/>
          <w:sz w:val="20"/>
        </w:rPr>
        <w:t>n</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5"/>
          <w:sz w:val="20"/>
        </w:rPr>
        <w:t>a</w:t>
      </w:r>
      <w:r>
        <w:rPr>
          <w:rFonts w:ascii="Trebuchet MS"/>
          <w:color w:val="231F20"/>
          <w:spacing w:val="-1"/>
          <w:w w:val="122"/>
          <w:sz w:val="20"/>
        </w:rPr>
        <w:t>s</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3"/>
          <w:w w:val="96"/>
          <w:sz w:val="20"/>
        </w:rPr>
        <w:t>l</w:t>
      </w:r>
      <w:r>
        <w:rPr>
          <w:rFonts w:ascii="Trebuchet MS"/>
          <w:color w:val="231F20"/>
          <w:spacing w:val="-5"/>
          <w:w w:val="108"/>
          <w:sz w:val="20"/>
        </w:rPr>
        <w:t>e</w:t>
      </w:r>
      <w:r>
        <w:rPr>
          <w:rFonts w:ascii="Trebuchet MS"/>
          <w:color w:val="231F20"/>
          <w:spacing w:val="-3"/>
          <w:w w:val="109"/>
          <w:sz w:val="20"/>
        </w:rPr>
        <w:t>v</w:t>
      </w:r>
      <w:r>
        <w:rPr>
          <w:rFonts w:ascii="Trebuchet MS"/>
          <w:color w:val="231F20"/>
          <w:spacing w:val="-2"/>
          <w:w w:val="105"/>
          <w:sz w:val="20"/>
        </w:rPr>
        <w:t>a</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1"/>
          <w:w w:val="108"/>
          <w:sz w:val="20"/>
        </w:rPr>
        <w:t>e</w:t>
      </w:r>
      <w:r>
        <w:rPr>
          <w:rFonts w:ascii="Trebuchet MS"/>
          <w:color w:val="231F20"/>
          <w:spacing w:val="-2"/>
          <w:w w:val="105"/>
          <w:sz w:val="20"/>
        </w:rPr>
        <w:t>a</w:t>
      </w:r>
      <w:r>
        <w:rPr>
          <w:rFonts w:ascii="Trebuchet MS"/>
          <w:color w:val="231F20"/>
          <w:spacing w:val="-4"/>
          <w:w w:val="93"/>
          <w:sz w:val="20"/>
        </w:rPr>
        <w:t>r</w:t>
      </w:r>
      <w:r>
        <w:rPr>
          <w:rFonts w:ascii="Trebuchet MS"/>
          <w:color w:val="231F20"/>
          <w:spacing w:val="-2"/>
          <w:w w:val="111"/>
          <w:sz w:val="20"/>
        </w:rPr>
        <w:t>c</w:t>
      </w:r>
      <w:r>
        <w:rPr>
          <w:rFonts w:ascii="Trebuchet MS"/>
          <w:color w:val="231F20"/>
          <w:spacing w:val="-1"/>
          <w:w w:val="107"/>
          <w:sz w:val="20"/>
        </w:rPr>
        <w:t>h</w:t>
      </w:r>
      <w:r>
        <w:rPr>
          <w:rFonts w:ascii="Trebuchet MS"/>
          <w:color w:val="231F20"/>
          <w:w w:val="57"/>
          <w:sz w:val="20"/>
        </w:rPr>
        <w:t>,</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3"/>
          <w:w w:val="111"/>
          <w:sz w:val="20"/>
        </w:rPr>
        <w:t>o</w:t>
      </w:r>
      <w:r>
        <w:rPr>
          <w:rFonts w:ascii="Trebuchet MS"/>
          <w:color w:val="231F20"/>
          <w:w w:val="74"/>
          <w:sz w:val="20"/>
        </w:rPr>
        <w:t>ff</w:t>
      </w:r>
      <w:r>
        <w:rPr>
          <w:rFonts w:ascii="Trebuchet MS"/>
          <w:color w:val="231F20"/>
          <w:spacing w:val="-1"/>
          <w:w w:val="74"/>
          <w:sz w:val="20"/>
        </w:rPr>
        <w:t>i</w:t>
      </w:r>
      <w:r>
        <w:rPr>
          <w:rFonts w:ascii="Trebuchet MS"/>
          <w:color w:val="231F20"/>
          <w:spacing w:val="-3"/>
          <w:w w:val="111"/>
          <w:sz w:val="20"/>
        </w:rPr>
        <w:t>c</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 xml:space="preserve">l </w:t>
      </w:r>
      <w:r>
        <w:rPr>
          <w:rFonts w:ascii="Trebuchet MS"/>
          <w:color w:val="231F20"/>
          <w:spacing w:val="-4"/>
          <w:w w:val="93"/>
          <w:sz w:val="20"/>
        </w:rPr>
        <w:t>r</w:t>
      </w:r>
      <w:r>
        <w:rPr>
          <w:rFonts w:ascii="Trebuchet MS"/>
          <w:color w:val="231F20"/>
          <w:w w:val="108"/>
          <w:sz w:val="20"/>
        </w:rPr>
        <w:t>e</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22"/>
          <w:sz w:val="20"/>
        </w:rPr>
        <w:t>s</w:t>
      </w:r>
      <w:r>
        <w:rPr>
          <w:rFonts w:ascii="Trebuchet MS"/>
          <w:color w:val="231F20"/>
          <w:spacing w:val="-2"/>
          <w:w w:val="88"/>
          <w:sz w:val="20"/>
        </w:rPr>
        <w:t>t</w:t>
      </w:r>
      <w:r>
        <w:rPr>
          <w:rFonts w:ascii="Trebuchet MS"/>
          <w:color w:val="231F20"/>
          <w:spacing w:val="-2"/>
          <w:w w:val="93"/>
          <w:sz w:val="20"/>
        </w:rPr>
        <w:t>r</w:t>
      </w:r>
      <w:r>
        <w:rPr>
          <w:rFonts w:ascii="Trebuchet MS"/>
          <w:color w:val="231F20"/>
          <w:spacing w:val="-2"/>
          <w:w w:val="105"/>
          <w:sz w:val="20"/>
        </w:rPr>
        <w:t>a</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2"/>
          <w:w w:val="93"/>
          <w:sz w:val="20"/>
        </w:rPr>
        <w:t>r</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81"/>
          <w:sz w:val="20"/>
        </w:rPr>
        <w:t>ff</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2"/>
          <w:w w:val="116"/>
          <w:sz w:val="20"/>
        </w:rPr>
        <w:t>o</w:t>
      </w:r>
      <w:r>
        <w:rPr>
          <w:rFonts w:ascii="Trebuchet MS"/>
          <w:color w:val="231F20"/>
          <w:spacing w:val="-1"/>
          <w:w w:val="116"/>
          <w:sz w:val="20"/>
        </w:rPr>
        <w:t>s</w:t>
      </w:r>
      <w:r>
        <w:rPr>
          <w:rFonts w:ascii="Trebuchet MS"/>
          <w:color w:val="231F20"/>
          <w:w w:val="108"/>
          <w:sz w:val="20"/>
        </w:rPr>
        <w:t>e</w:t>
      </w:r>
      <w:r>
        <w:rPr>
          <w:rFonts w:ascii="Trebuchet MS"/>
          <w:color w:val="231F20"/>
          <w:spacing w:val="-2"/>
          <w:w w:val="110"/>
          <w:sz w:val="20"/>
        </w:rPr>
        <w:t>c</w:t>
      </w:r>
      <w:r>
        <w:rPr>
          <w:rFonts w:ascii="Trebuchet MS"/>
          <w:color w:val="231F20"/>
          <w:spacing w:val="-3"/>
          <w:w w:val="110"/>
          <w:sz w:val="20"/>
        </w:rPr>
        <w:t>u</w:t>
      </w:r>
      <w:r>
        <w:rPr>
          <w:rFonts w:ascii="Trebuchet MS"/>
          <w:color w:val="231F20"/>
          <w:spacing w:val="-4"/>
          <w:w w:val="88"/>
          <w:sz w:val="20"/>
        </w:rPr>
        <w:t>t</w:t>
      </w:r>
      <w:r>
        <w:rPr>
          <w:rFonts w:ascii="Trebuchet MS"/>
          <w:color w:val="231F20"/>
          <w:spacing w:val="-1"/>
          <w:w w:val="111"/>
          <w:sz w:val="20"/>
        </w:rPr>
        <w:t>o</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2"/>
          <w:w w:val="111"/>
          <w:sz w:val="20"/>
        </w:rPr>
        <w:t>m</w:t>
      </w:r>
      <w:r>
        <w:rPr>
          <w:rFonts w:ascii="Trebuchet MS"/>
          <w:color w:val="231F20"/>
          <w:spacing w:val="-1"/>
          <w:w w:val="111"/>
          <w:sz w:val="20"/>
        </w:rPr>
        <w:t>p</w:t>
      </w:r>
      <w:r>
        <w:rPr>
          <w:rFonts w:ascii="Trebuchet MS"/>
          <w:color w:val="231F20"/>
          <w:spacing w:val="-4"/>
          <w:w w:val="93"/>
          <w:sz w:val="20"/>
        </w:rPr>
        <w:t>r</w:t>
      </w:r>
      <w:r>
        <w:rPr>
          <w:rFonts w:ascii="Trebuchet MS"/>
          <w:color w:val="231F20"/>
          <w:spacing w:val="-6"/>
          <w:w w:val="111"/>
          <w:sz w:val="20"/>
        </w:rPr>
        <w:t>o</w:t>
      </w:r>
      <w:r>
        <w:rPr>
          <w:rFonts w:ascii="Trebuchet MS"/>
          <w:color w:val="231F20"/>
          <w:spacing w:val="-6"/>
          <w:w w:val="109"/>
          <w:sz w:val="20"/>
        </w:rPr>
        <w:t>v</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1"/>
          <w:w w:val="108"/>
          <w:sz w:val="20"/>
        </w:rPr>
        <w:t>e</w:t>
      </w:r>
      <w:r>
        <w:rPr>
          <w:rFonts w:ascii="Trebuchet MS"/>
          <w:color w:val="231F20"/>
          <w:spacing w:val="-2"/>
          <w:w w:val="80"/>
          <w:sz w:val="20"/>
        </w:rPr>
        <w:t>i</w:t>
      </w:r>
      <w:r>
        <w:rPr>
          <w:rFonts w:ascii="Trebuchet MS"/>
          <w:color w:val="231F20"/>
          <w:w w:val="93"/>
          <w:sz w:val="20"/>
        </w:rPr>
        <w:t>r</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2"/>
          <w:w w:val="107"/>
          <w:sz w:val="20"/>
        </w:rPr>
        <w:t>n</w:t>
      </w:r>
      <w:r>
        <w:rPr>
          <w:rFonts w:ascii="Trebuchet MS"/>
          <w:color w:val="231F20"/>
          <w:spacing w:val="-1"/>
          <w:w w:val="122"/>
          <w:sz w:val="20"/>
        </w:rPr>
        <w:t>s</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 xml:space="preserve">y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11"/>
          <w:sz w:val="20"/>
        </w:rPr>
        <w:t>cy</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r>
        <w:rPr>
          <w:rFonts w:ascii="Trebuchet MS"/>
          <w:color w:val="231F20"/>
          <w:spacing w:val="-14"/>
          <w:sz w:val="20"/>
        </w:rPr>
        <w:t xml:space="preserve"> </w:t>
      </w:r>
      <w:r>
        <w:rPr>
          <w:rFonts w:ascii="Trebuchet MS"/>
          <w:color w:val="231F20"/>
          <w:spacing w:val="-5"/>
          <w:w w:val="112"/>
          <w:sz w:val="20"/>
        </w:rPr>
        <w:t>E</w:t>
      </w:r>
      <w:r>
        <w:rPr>
          <w:rFonts w:ascii="Trebuchet MS"/>
          <w:color w:val="231F20"/>
          <w:spacing w:val="-2"/>
          <w:w w:val="112"/>
          <w:sz w:val="20"/>
        </w:rPr>
        <w:t>d</w:t>
      </w:r>
      <w:r>
        <w:rPr>
          <w:rFonts w:ascii="Trebuchet MS"/>
          <w:color w:val="231F20"/>
          <w:spacing w:val="-2"/>
          <w:w w:val="109"/>
          <w:sz w:val="20"/>
        </w:rPr>
        <w:t>u</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2"/>
          <w:w w:val="112"/>
          <w:sz w:val="20"/>
        </w:rPr>
        <w:t>d</w:t>
      </w:r>
      <w:r>
        <w:rPr>
          <w:rFonts w:ascii="Trebuchet MS"/>
          <w:color w:val="231F20"/>
          <w:spacing w:val="-1"/>
          <w:w w:val="112"/>
          <w:sz w:val="20"/>
        </w:rPr>
        <w:t>d</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3"/>
          <w:w w:val="122"/>
          <w:sz w:val="20"/>
        </w:rPr>
        <w:t>s</w:t>
      </w:r>
      <w:r>
        <w:rPr>
          <w:rFonts w:ascii="Trebuchet MS"/>
          <w:color w:val="231F20"/>
          <w:w w:val="54"/>
          <w:sz w:val="20"/>
        </w:rPr>
        <w:t>:</w:t>
      </w:r>
    </w:p>
    <w:p w14:paraId="65D24701" w14:textId="77777777" w:rsidR="00894070" w:rsidRDefault="009B7AFD">
      <w:pPr>
        <w:pStyle w:val="ListParagraph"/>
        <w:numPr>
          <w:ilvl w:val="0"/>
          <w:numId w:val="188"/>
        </w:numPr>
        <w:tabs>
          <w:tab w:val="left" w:pos="3161"/>
          <w:tab w:val="left" w:pos="3162"/>
        </w:tabs>
        <w:spacing w:before="89" w:line="247" w:lineRule="auto"/>
        <w:ind w:right="1650" w:hanging="680"/>
        <w:rPr>
          <w:rFonts w:ascii="Trebuchet MS" w:hAnsi="Trebuchet MS"/>
          <w:sz w:val="20"/>
        </w:rPr>
      </w:pPr>
      <w:r>
        <w:rPr>
          <w:rFonts w:ascii="Trebuchet MS" w:hAnsi="Trebuchet MS"/>
          <w:color w:val="231F20"/>
          <w:w w:val="105"/>
          <w:sz w:val="20"/>
        </w:rPr>
        <w:t>barriers</w:t>
      </w:r>
      <w:r>
        <w:rPr>
          <w:rFonts w:ascii="Trebuchet MS" w:hAnsi="Trebuchet MS"/>
          <w:color w:val="231F20"/>
          <w:spacing w:val="-17"/>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w w:val="105"/>
          <w:sz w:val="20"/>
        </w:rPr>
        <w:t>accessing</w:t>
      </w:r>
      <w:r>
        <w:rPr>
          <w:rFonts w:ascii="Trebuchet MS" w:hAnsi="Trebuchet MS"/>
          <w:color w:val="231F20"/>
          <w:spacing w:val="-16"/>
          <w:w w:val="105"/>
          <w:sz w:val="20"/>
        </w:rPr>
        <w:t xml:space="preserve"> </w:t>
      </w:r>
      <w:r>
        <w:rPr>
          <w:rFonts w:ascii="Trebuchet MS" w:hAnsi="Trebuchet MS"/>
          <w:color w:val="231F20"/>
          <w:w w:val="105"/>
          <w:sz w:val="20"/>
        </w:rPr>
        <w:t>the</w:t>
      </w:r>
      <w:r>
        <w:rPr>
          <w:rFonts w:ascii="Trebuchet MS" w:hAnsi="Trebuchet MS"/>
          <w:color w:val="231F20"/>
          <w:spacing w:val="-16"/>
          <w:w w:val="105"/>
          <w:sz w:val="20"/>
        </w:rPr>
        <w:t xml:space="preserve"> </w:t>
      </w:r>
      <w:r>
        <w:rPr>
          <w:rFonts w:ascii="Trebuchet MS" w:hAnsi="Trebuchet MS"/>
          <w:color w:val="231F20"/>
          <w:w w:val="105"/>
          <w:sz w:val="20"/>
        </w:rPr>
        <w:t>justice</w:t>
      </w:r>
      <w:r>
        <w:rPr>
          <w:rFonts w:ascii="Trebuchet MS" w:hAnsi="Trebuchet MS"/>
          <w:color w:val="231F20"/>
          <w:spacing w:val="-16"/>
          <w:w w:val="105"/>
          <w:sz w:val="20"/>
        </w:rPr>
        <w:t xml:space="preserve"> </w:t>
      </w:r>
      <w:r>
        <w:rPr>
          <w:rFonts w:ascii="Trebuchet MS" w:hAnsi="Trebuchet MS"/>
          <w:color w:val="231F20"/>
          <w:w w:val="105"/>
          <w:sz w:val="20"/>
        </w:rPr>
        <w:t>system</w:t>
      </w:r>
      <w:r>
        <w:rPr>
          <w:rFonts w:ascii="Trebuchet MS" w:hAnsi="Trebuchet MS"/>
          <w:color w:val="231F20"/>
          <w:spacing w:val="-16"/>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responding</w:t>
      </w:r>
      <w:r>
        <w:rPr>
          <w:rFonts w:ascii="Trebuchet MS" w:hAnsi="Trebuchet MS"/>
          <w:color w:val="231F20"/>
          <w:spacing w:val="-16"/>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w w:val="105"/>
          <w:sz w:val="20"/>
        </w:rPr>
        <w:t>diverse experiences of</w:t>
      </w:r>
      <w:r>
        <w:rPr>
          <w:rFonts w:ascii="Trebuchet MS" w:hAnsi="Trebuchet MS"/>
          <w:color w:val="231F20"/>
          <w:spacing w:val="-35"/>
          <w:w w:val="105"/>
          <w:sz w:val="20"/>
        </w:rPr>
        <w:t xml:space="preserve"> </w:t>
      </w:r>
      <w:r>
        <w:rPr>
          <w:rFonts w:ascii="Trebuchet MS" w:hAnsi="Trebuchet MS"/>
          <w:color w:val="231F20"/>
          <w:w w:val="105"/>
          <w:sz w:val="20"/>
        </w:rPr>
        <w:t>stalking</w:t>
      </w:r>
    </w:p>
    <w:p w14:paraId="4EFAE37A" w14:textId="77777777" w:rsidR="00894070" w:rsidRDefault="009B7AFD">
      <w:pPr>
        <w:pStyle w:val="ListParagraph"/>
        <w:numPr>
          <w:ilvl w:val="0"/>
          <w:numId w:val="188"/>
        </w:numPr>
        <w:tabs>
          <w:tab w:val="left" w:pos="3161"/>
          <w:tab w:val="left" w:pos="3162"/>
        </w:tabs>
        <w:spacing w:before="87"/>
        <w:ind w:hanging="680"/>
        <w:rPr>
          <w:rFonts w:ascii="Trebuchet MS" w:hAnsi="Trebuchet MS"/>
          <w:sz w:val="20"/>
        </w:rPr>
      </w:pP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spacing w:val="-3"/>
          <w:w w:val="105"/>
          <w:sz w:val="20"/>
        </w:rPr>
        <w:t>nature</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7"/>
          <w:w w:val="105"/>
          <w:sz w:val="20"/>
        </w:rPr>
        <w:t xml:space="preserve"> </w:t>
      </w:r>
      <w:r>
        <w:rPr>
          <w:rFonts w:ascii="Trebuchet MS" w:hAnsi="Trebuchet MS"/>
          <w:color w:val="231F20"/>
          <w:w w:val="105"/>
          <w:sz w:val="20"/>
        </w:rPr>
        <w:t>dynamics</w:t>
      </w:r>
      <w:r>
        <w:rPr>
          <w:rFonts w:ascii="Trebuchet MS" w:hAnsi="Trebuchet MS"/>
          <w:color w:val="231F20"/>
          <w:spacing w:val="-17"/>
          <w:w w:val="105"/>
          <w:sz w:val="20"/>
        </w:rPr>
        <w:t xml:space="preserve"> </w:t>
      </w:r>
      <w:r>
        <w:rPr>
          <w:rFonts w:ascii="Trebuchet MS" w:hAnsi="Trebuchet MS"/>
          <w:color w:val="231F20"/>
          <w:w w:val="105"/>
          <w:sz w:val="20"/>
        </w:rPr>
        <w:t>of</w:t>
      </w:r>
      <w:r>
        <w:rPr>
          <w:rFonts w:ascii="Trebuchet MS" w:hAnsi="Trebuchet MS"/>
          <w:color w:val="231F20"/>
          <w:spacing w:val="-17"/>
          <w:w w:val="105"/>
          <w:sz w:val="20"/>
        </w:rPr>
        <w:t xml:space="preserve"> </w:t>
      </w:r>
      <w:r>
        <w:rPr>
          <w:rFonts w:ascii="Trebuchet MS" w:hAnsi="Trebuchet MS"/>
          <w:color w:val="231F20"/>
          <w:w w:val="105"/>
          <w:sz w:val="20"/>
        </w:rPr>
        <w:t>stalking</w:t>
      </w:r>
    </w:p>
    <w:p w14:paraId="09F5B1AA" w14:textId="77777777" w:rsidR="00894070" w:rsidRDefault="009B7AFD">
      <w:pPr>
        <w:pStyle w:val="ListParagraph"/>
        <w:numPr>
          <w:ilvl w:val="0"/>
          <w:numId w:val="188"/>
        </w:numPr>
        <w:tabs>
          <w:tab w:val="left" w:pos="3161"/>
          <w:tab w:val="left" w:pos="3162"/>
        </w:tabs>
        <w:spacing w:before="93" w:line="247" w:lineRule="auto"/>
        <w:ind w:right="1771" w:hanging="680"/>
        <w:rPr>
          <w:rFonts w:ascii="Trebuchet MS" w:hAnsi="Trebuchet MS"/>
          <w:sz w:val="20"/>
        </w:rPr>
      </w:pPr>
      <w:r>
        <w:rPr>
          <w:rFonts w:ascii="Trebuchet MS" w:hAnsi="Trebuchet MS"/>
          <w:color w:val="231F20"/>
          <w:w w:val="105"/>
          <w:sz w:val="20"/>
        </w:rPr>
        <w:t>the</w:t>
      </w:r>
      <w:r>
        <w:rPr>
          <w:rFonts w:ascii="Trebuchet MS" w:hAnsi="Trebuchet MS"/>
          <w:color w:val="231F20"/>
          <w:spacing w:val="-19"/>
          <w:w w:val="105"/>
          <w:sz w:val="20"/>
        </w:rPr>
        <w:t xml:space="preserve"> </w:t>
      </w:r>
      <w:r>
        <w:rPr>
          <w:rFonts w:ascii="Trebuchet MS" w:hAnsi="Trebuchet MS"/>
          <w:color w:val="231F20"/>
          <w:w w:val="105"/>
          <w:sz w:val="20"/>
        </w:rPr>
        <w:t>effects</w:t>
      </w:r>
      <w:r>
        <w:rPr>
          <w:rFonts w:ascii="Trebuchet MS" w:hAnsi="Trebuchet MS"/>
          <w:color w:val="231F20"/>
          <w:spacing w:val="-18"/>
          <w:w w:val="105"/>
          <w:sz w:val="20"/>
        </w:rPr>
        <w:t xml:space="preserve"> </w:t>
      </w:r>
      <w:r>
        <w:rPr>
          <w:rFonts w:ascii="Trebuchet MS" w:hAnsi="Trebuchet MS"/>
          <w:color w:val="231F20"/>
          <w:w w:val="105"/>
          <w:sz w:val="20"/>
        </w:rPr>
        <w:t>of</w:t>
      </w:r>
      <w:r>
        <w:rPr>
          <w:rFonts w:ascii="Trebuchet MS" w:hAnsi="Trebuchet MS"/>
          <w:color w:val="231F20"/>
          <w:spacing w:val="-18"/>
          <w:w w:val="105"/>
          <w:sz w:val="20"/>
        </w:rPr>
        <w:t xml:space="preserve"> </w:t>
      </w:r>
      <w:r>
        <w:rPr>
          <w:rFonts w:ascii="Trebuchet MS" w:hAnsi="Trebuchet MS"/>
          <w:color w:val="231F20"/>
          <w:w w:val="105"/>
          <w:sz w:val="20"/>
        </w:rPr>
        <w:t>trauma</w:t>
      </w:r>
      <w:r>
        <w:rPr>
          <w:rFonts w:ascii="Trebuchet MS" w:hAnsi="Trebuchet MS"/>
          <w:color w:val="231F20"/>
          <w:spacing w:val="-18"/>
          <w:w w:val="105"/>
          <w:sz w:val="20"/>
        </w:rPr>
        <w:t xml:space="preserve"> </w:t>
      </w:r>
      <w:r>
        <w:rPr>
          <w:rFonts w:ascii="Trebuchet MS" w:hAnsi="Trebuchet MS"/>
          <w:color w:val="231F20"/>
          <w:w w:val="105"/>
          <w:sz w:val="20"/>
        </w:rPr>
        <w:t>from</w:t>
      </w:r>
      <w:r>
        <w:rPr>
          <w:rFonts w:ascii="Trebuchet MS" w:hAnsi="Trebuchet MS"/>
          <w:color w:val="231F20"/>
          <w:spacing w:val="-19"/>
          <w:w w:val="105"/>
          <w:sz w:val="20"/>
        </w:rPr>
        <w:t xml:space="preserve"> </w:t>
      </w:r>
      <w:r>
        <w:rPr>
          <w:rFonts w:ascii="Trebuchet MS" w:hAnsi="Trebuchet MS"/>
          <w:color w:val="231F20"/>
          <w:w w:val="105"/>
          <w:sz w:val="20"/>
        </w:rPr>
        <w:t>being</w:t>
      </w:r>
      <w:r>
        <w:rPr>
          <w:rFonts w:ascii="Trebuchet MS" w:hAnsi="Trebuchet MS"/>
          <w:color w:val="231F20"/>
          <w:spacing w:val="-18"/>
          <w:w w:val="105"/>
          <w:sz w:val="20"/>
        </w:rPr>
        <w:t xml:space="preserve"> </w:t>
      </w:r>
      <w:r>
        <w:rPr>
          <w:rFonts w:ascii="Trebuchet MS" w:hAnsi="Trebuchet MS"/>
          <w:color w:val="231F20"/>
          <w:w w:val="105"/>
          <w:sz w:val="20"/>
        </w:rPr>
        <w:t>stalked</w:t>
      </w:r>
      <w:r>
        <w:rPr>
          <w:rFonts w:ascii="Trebuchet MS" w:hAnsi="Trebuchet MS"/>
          <w:color w:val="231F20"/>
          <w:spacing w:val="-18"/>
          <w:w w:val="105"/>
          <w:sz w:val="20"/>
        </w:rPr>
        <w:t xml:space="preserve"> </w:t>
      </w:r>
      <w:r>
        <w:rPr>
          <w:rFonts w:ascii="Trebuchet MS" w:hAnsi="Trebuchet MS"/>
          <w:color w:val="231F20"/>
          <w:w w:val="105"/>
          <w:sz w:val="20"/>
        </w:rPr>
        <w:t>and</w:t>
      </w:r>
      <w:r>
        <w:rPr>
          <w:rFonts w:ascii="Trebuchet MS" w:hAnsi="Trebuchet MS"/>
          <w:color w:val="231F20"/>
          <w:spacing w:val="-18"/>
          <w:w w:val="105"/>
          <w:sz w:val="20"/>
        </w:rPr>
        <w:t xml:space="preserve"> </w:t>
      </w:r>
      <w:r>
        <w:rPr>
          <w:rFonts w:ascii="Trebuchet MS" w:hAnsi="Trebuchet MS"/>
          <w:color w:val="231F20"/>
          <w:spacing w:val="-3"/>
          <w:w w:val="105"/>
          <w:sz w:val="20"/>
        </w:rPr>
        <w:t>how</w:t>
      </w:r>
      <w:r>
        <w:rPr>
          <w:rFonts w:ascii="Trebuchet MS" w:hAnsi="Trebuchet MS"/>
          <w:color w:val="231F20"/>
          <w:spacing w:val="-18"/>
          <w:w w:val="105"/>
          <w:sz w:val="20"/>
        </w:rPr>
        <w:t xml:space="preserve"> </w:t>
      </w:r>
      <w:r>
        <w:rPr>
          <w:rFonts w:ascii="Trebuchet MS" w:hAnsi="Trebuchet MS"/>
          <w:color w:val="231F20"/>
          <w:w w:val="105"/>
          <w:sz w:val="20"/>
        </w:rPr>
        <w:t>to</w:t>
      </w:r>
      <w:r>
        <w:rPr>
          <w:rFonts w:ascii="Trebuchet MS" w:hAnsi="Trebuchet MS"/>
          <w:color w:val="231F20"/>
          <w:spacing w:val="-19"/>
          <w:w w:val="105"/>
          <w:sz w:val="20"/>
        </w:rPr>
        <w:t xml:space="preserve"> </w:t>
      </w:r>
      <w:r>
        <w:rPr>
          <w:rFonts w:ascii="Trebuchet MS" w:hAnsi="Trebuchet MS"/>
          <w:color w:val="231F20"/>
          <w:w w:val="105"/>
          <w:sz w:val="20"/>
        </w:rPr>
        <w:t>respond</w:t>
      </w:r>
      <w:r>
        <w:rPr>
          <w:rFonts w:ascii="Trebuchet MS" w:hAnsi="Trebuchet MS"/>
          <w:color w:val="231F20"/>
          <w:spacing w:val="-18"/>
          <w:w w:val="105"/>
          <w:sz w:val="20"/>
        </w:rPr>
        <w:t xml:space="preserve"> </w:t>
      </w:r>
      <w:r>
        <w:rPr>
          <w:rFonts w:ascii="Trebuchet MS" w:hAnsi="Trebuchet MS"/>
          <w:color w:val="231F20"/>
          <w:w w:val="105"/>
          <w:sz w:val="20"/>
        </w:rPr>
        <w:t>in</w:t>
      </w:r>
      <w:r>
        <w:rPr>
          <w:rFonts w:ascii="Trebuchet MS" w:hAnsi="Trebuchet MS"/>
          <w:color w:val="231F20"/>
          <w:spacing w:val="-18"/>
          <w:w w:val="105"/>
          <w:sz w:val="20"/>
        </w:rPr>
        <w:t xml:space="preserve"> </w:t>
      </w:r>
      <w:r>
        <w:rPr>
          <w:rFonts w:ascii="Trebuchet MS" w:hAnsi="Trebuchet MS"/>
          <w:color w:val="231F20"/>
          <w:w w:val="105"/>
          <w:sz w:val="20"/>
        </w:rPr>
        <w:t>a trauma-informed</w:t>
      </w:r>
      <w:r>
        <w:rPr>
          <w:rFonts w:ascii="Trebuchet MS" w:hAnsi="Trebuchet MS"/>
          <w:color w:val="231F20"/>
          <w:spacing w:val="-18"/>
          <w:w w:val="105"/>
          <w:sz w:val="20"/>
        </w:rPr>
        <w:t xml:space="preserve"> </w:t>
      </w:r>
      <w:r>
        <w:rPr>
          <w:rFonts w:ascii="Trebuchet MS" w:hAnsi="Trebuchet MS"/>
          <w:color w:val="231F20"/>
          <w:spacing w:val="-4"/>
          <w:w w:val="105"/>
          <w:sz w:val="20"/>
        </w:rPr>
        <w:t>way</w:t>
      </w:r>
    </w:p>
    <w:p w14:paraId="31AD8147" w14:textId="77777777" w:rsidR="00894070" w:rsidRDefault="009B7AFD">
      <w:pPr>
        <w:pStyle w:val="ListParagraph"/>
        <w:numPr>
          <w:ilvl w:val="0"/>
          <w:numId w:val="188"/>
        </w:numPr>
        <w:tabs>
          <w:tab w:val="left" w:pos="3161"/>
          <w:tab w:val="left" w:pos="3162"/>
        </w:tabs>
        <w:spacing w:before="87"/>
        <w:ind w:hanging="680"/>
        <w:rPr>
          <w:rFonts w:ascii="Trebuchet MS" w:hAnsi="Trebuchet MS"/>
          <w:sz w:val="20"/>
        </w:rPr>
      </w:pPr>
      <w:r>
        <w:rPr>
          <w:rFonts w:ascii="Trebuchet MS" w:hAnsi="Trebuchet MS"/>
          <w:color w:val="231F20"/>
          <w:w w:val="105"/>
          <w:sz w:val="20"/>
        </w:rPr>
        <w:t>support</w:t>
      </w:r>
      <w:r>
        <w:rPr>
          <w:rFonts w:ascii="Trebuchet MS" w:hAnsi="Trebuchet MS"/>
          <w:color w:val="231F20"/>
          <w:spacing w:val="-18"/>
          <w:w w:val="105"/>
          <w:sz w:val="20"/>
        </w:rPr>
        <w:t xml:space="preserve"> </w:t>
      </w:r>
      <w:r>
        <w:rPr>
          <w:rFonts w:ascii="Trebuchet MS" w:hAnsi="Trebuchet MS"/>
          <w:color w:val="231F20"/>
          <w:w w:val="105"/>
          <w:sz w:val="20"/>
        </w:rPr>
        <w:t>and</w:t>
      </w:r>
      <w:r>
        <w:rPr>
          <w:rFonts w:ascii="Trebuchet MS" w:hAnsi="Trebuchet MS"/>
          <w:color w:val="231F20"/>
          <w:spacing w:val="-18"/>
          <w:w w:val="105"/>
          <w:sz w:val="20"/>
        </w:rPr>
        <w:t xml:space="preserve"> </w:t>
      </w:r>
      <w:r>
        <w:rPr>
          <w:rFonts w:ascii="Trebuchet MS" w:hAnsi="Trebuchet MS"/>
          <w:color w:val="231F20"/>
          <w:w w:val="105"/>
          <w:sz w:val="20"/>
        </w:rPr>
        <w:t>justice</w:t>
      </w:r>
      <w:r>
        <w:rPr>
          <w:rFonts w:ascii="Trebuchet MS" w:hAnsi="Trebuchet MS"/>
          <w:color w:val="231F20"/>
          <w:spacing w:val="-18"/>
          <w:w w:val="105"/>
          <w:sz w:val="20"/>
        </w:rPr>
        <w:t xml:space="preserve"> </w:t>
      </w:r>
      <w:r>
        <w:rPr>
          <w:rFonts w:ascii="Trebuchet MS" w:hAnsi="Trebuchet MS"/>
          <w:color w:val="231F20"/>
          <w:w w:val="105"/>
          <w:sz w:val="20"/>
        </w:rPr>
        <w:t>options</w:t>
      </w:r>
      <w:r>
        <w:rPr>
          <w:rFonts w:ascii="Trebuchet MS" w:hAnsi="Trebuchet MS"/>
          <w:color w:val="231F20"/>
          <w:spacing w:val="-18"/>
          <w:w w:val="105"/>
          <w:sz w:val="20"/>
        </w:rPr>
        <w:t xml:space="preserve"> </w:t>
      </w:r>
      <w:r>
        <w:rPr>
          <w:rFonts w:ascii="Trebuchet MS" w:hAnsi="Trebuchet MS"/>
          <w:color w:val="231F20"/>
          <w:w w:val="105"/>
          <w:sz w:val="20"/>
        </w:rPr>
        <w:t>for</w:t>
      </w:r>
      <w:r>
        <w:rPr>
          <w:rFonts w:ascii="Trebuchet MS" w:hAnsi="Trebuchet MS"/>
          <w:color w:val="231F20"/>
          <w:spacing w:val="-17"/>
          <w:w w:val="105"/>
          <w:sz w:val="20"/>
        </w:rPr>
        <w:t xml:space="preserve"> </w:t>
      </w:r>
      <w:r>
        <w:rPr>
          <w:rFonts w:ascii="Trebuchet MS" w:hAnsi="Trebuchet MS"/>
          <w:color w:val="231F20"/>
          <w:w w:val="105"/>
          <w:sz w:val="20"/>
        </w:rPr>
        <w:t>stalking</w:t>
      </w:r>
      <w:r>
        <w:rPr>
          <w:rFonts w:ascii="Trebuchet MS" w:hAnsi="Trebuchet MS"/>
          <w:color w:val="231F20"/>
          <w:spacing w:val="-18"/>
          <w:w w:val="105"/>
          <w:sz w:val="20"/>
        </w:rPr>
        <w:t xml:space="preserve"> </w:t>
      </w:r>
      <w:r>
        <w:rPr>
          <w:rFonts w:ascii="Trebuchet MS" w:hAnsi="Trebuchet MS"/>
          <w:color w:val="231F20"/>
          <w:w w:val="105"/>
          <w:sz w:val="20"/>
        </w:rPr>
        <w:t>victim</w:t>
      </w:r>
      <w:r>
        <w:rPr>
          <w:rFonts w:ascii="Trebuchet MS" w:hAnsi="Trebuchet MS"/>
          <w:color w:val="231F20"/>
          <w:spacing w:val="-18"/>
          <w:w w:val="105"/>
          <w:sz w:val="20"/>
        </w:rPr>
        <w:t xml:space="preserve"> </w:t>
      </w:r>
      <w:r>
        <w:rPr>
          <w:rFonts w:ascii="Trebuchet MS" w:hAnsi="Trebuchet MS"/>
          <w:color w:val="231F20"/>
          <w:w w:val="105"/>
          <w:sz w:val="20"/>
        </w:rPr>
        <w:t>survivors</w:t>
      </w:r>
    </w:p>
    <w:p w14:paraId="6845554F" w14:textId="77777777" w:rsidR="00894070" w:rsidRDefault="009B7AFD">
      <w:pPr>
        <w:pStyle w:val="ListParagraph"/>
        <w:numPr>
          <w:ilvl w:val="0"/>
          <w:numId w:val="188"/>
        </w:numPr>
        <w:tabs>
          <w:tab w:val="left" w:pos="3161"/>
          <w:tab w:val="left" w:pos="3162"/>
        </w:tabs>
        <w:spacing w:before="92"/>
        <w:ind w:hanging="680"/>
        <w:rPr>
          <w:rFonts w:ascii="Trebuchet MS" w:hAnsi="Trebuchet MS"/>
          <w:sz w:val="20"/>
        </w:rPr>
      </w:pPr>
      <w:r>
        <w:rPr>
          <w:rFonts w:ascii="Trebuchet MS" w:hAnsi="Trebuchet MS"/>
          <w:color w:val="231F20"/>
          <w:w w:val="105"/>
          <w:sz w:val="20"/>
        </w:rPr>
        <w:t>a</w:t>
      </w:r>
      <w:r>
        <w:rPr>
          <w:rFonts w:ascii="Trebuchet MS" w:hAnsi="Trebuchet MS"/>
          <w:color w:val="231F20"/>
          <w:spacing w:val="-1"/>
          <w:w w:val="122"/>
          <w:sz w:val="20"/>
        </w:rPr>
        <w:t>ss</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spacing w:val="-2"/>
          <w:w w:val="122"/>
          <w:sz w:val="20"/>
        </w:rPr>
        <w:t>s</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4"/>
          <w:w w:val="108"/>
          <w:sz w:val="20"/>
        </w:rPr>
        <w:t>e</w:t>
      </w:r>
      <w:r>
        <w:rPr>
          <w:rFonts w:ascii="Trebuchet MS" w:hAnsi="Trebuchet MS"/>
          <w:color w:val="231F20"/>
          <w:spacing w:val="-5"/>
          <w:w w:val="92"/>
          <w:sz w:val="20"/>
        </w:rPr>
        <w:t>f</w:t>
      </w:r>
      <w:r>
        <w:rPr>
          <w:rFonts w:ascii="Trebuchet MS" w:hAnsi="Trebuchet MS"/>
          <w:color w:val="231F20"/>
          <w:spacing w:val="-1"/>
          <w:w w:val="108"/>
          <w:sz w:val="20"/>
        </w:rPr>
        <w:t>e</w:t>
      </w:r>
      <w:r>
        <w:rPr>
          <w:rFonts w:ascii="Trebuchet MS" w:hAnsi="Trebuchet MS"/>
          <w:color w:val="231F20"/>
          <w:spacing w:val="-2"/>
          <w:w w:val="93"/>
          <w:sz w:val="20"/>
        </w:rPr>
        <w:t>rr</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105"/>
          <w:sz w:val="20"/>
        </w:rPr>
        <w:t>a</w:t>
      </w:r>
      <w:r>
        <w:rPr>
          <w:rFonts w:ascii="Trebuchet MS" w:hAnsi="Trebuchet MS"/>
          <w:color w:val="231F20"/>
          <w:spacing w:val="-2"/>
          <w:w w:val="88"/>
          <w:sz w:val="20"/>
        </w:rPr>
        <w:t>t</w:t>
      </w:r>
      <w:r>
        <w:rPr>
          <w:rFonts w:ascii="Trebuchet MS" w:hAnsi="Trebuchet MS"/>
          <w:color w:val="231F20"/>
          <w:spacing w:val="-6"/>
          <w:w w:val="107"/>
          <w:sz w:val="20"/>
        </w:rPr>
        <w:t>h</w:t>
      </w:r>
      <w:r>
        <w:rPr>
          <w:rFonts w:ascii="Trebuchet MS" w:hAnsi="Trebuchet MS"/>
          <w:color w:val="231F20"/>
          <w:spacing w:val="-3"/>
          <w:w w:val="110"/>
          <w:sz w:val="20"/>
        </w:rPr>
        <w:t>w</w:t>
      </w:r>
      <w:r>
        <w:rPr>
          <w:rFonts w:ascii="Trebuchet MS" w:hAnsi="Trebuchet MS"/>
          <w:color w:val="231F20"/>
          <w:spacing w:val="-7"/>
          <w:w w:val="105"/>
          <w:sz w:val="20"/>
        </w:rPr>
        <w:t>a</w:t>
      </w:r>
      <w:r>
        <w:rPr>
          <w:rFonts w:ascii="Trebuchet MS" w:hAnsi="Trebuchet MS"/>
          <w:color w:val="231F20"/>
          <w:spacing w:val="-4"/>
          <w:w w:val="110"/>
          <w:sz w:val="20"/>
        </w:rPr>
        <w:t>y</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1"/>
          <w:w w:val="111"/>
          <w:sz w:val="20"/>
        </w:rPr>
        <w:t>o</w:t>
      </w:r>
      <w:r>
        <w:rPr>
          <w:rFonts w:ascii="Trebuchet MS" w:hAnsi="Trebuchet MS"/>
          <w:color w:val="231F20"/>
          <w:spacing w:val="-2"/>
          <w:w w:val="111"/>
          <w:sz w:val="20"/>
        </w:rPr>
        <w:t>p</w:t>
      </w:r>
      <w:r>
        <w:rPr>
          <w:rFonts w:ascii="Trebuchet MS" w:hAnsi="Trebuchet MS"/>
          <w:color w:val="231F20"/>
          <w:spacing w:val="-3"/>
          <w:w w:val="9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w w:val="55"/>
          <w:sz w:val="20"/>
        </w:rPr>
        <w:t>.</w:t>
      </w:r>
    </w:p>
    <w:p w14:paraId="46E6B3B5" w14:textId="77777777" w:rsidR="00894070" w:rsidRDefault="009B7AFD">
      <w:pPr>
        <w:pStyle w:val="ListParagraph"/>
        <w:numPr>
          <w:ilvl w:val="0"/>
          <w:numId w:val="187"/>
        </w:numPr>
        <w:tabs>
          <w:tab w:val="left" w:pos="2481"/>
          <w:tab w:val="left" w:pos="2482"/>
        </w:tabs>
        <w:spacing w:before="93" w:line="247" w:lineRule="auto"/>
        <w:ind w:right="1315"/>
        <w:rPr>
          <w:rFonts w:ascii="Trebuchet MS"/>
          <w:sz w:val="20"/>
        </w:rPr>
      </w:pPr>
      <w:r>
        <w:rPr>
          <w:rFonts w:ascii="Trebuchet MS"/>
          <w:color w:val="231F20"/>
          <w:w w:val="105"/>
          <w:sz w:val="20"/>
        </w:rPr>
        <w:t>Education</w:t>
      </w:r>
      <w:r>
        <w:rPr>
          <w:rFonts w:ascii="Trebuchet MS"/>
          <w:color w:val="231F20"/>
          <w:spacing w:val="-14"/>
          <w:w w:val="105"/>
          <w:sz w:val="20"/>
        </w:rPr>
        <w:t xml:space="preserve"> </w:t>
      </w:r>
      <w:r>
        <w:rPr>
          <w:rFonts w:ascii="Trebuchet MS"/>
          <w:color w:val="231F20"/>
          <w:w w:val="105"/>
          <w:sz w:val="20"/>
        </w:rPr>
        <w:t>for</w:t>
      </w:r>
      <w:r>
        <w:rPr>
          <w:rFonts w:ascii="Trebuchet MS"/>
          <w:color w:val="231F20"/>
          <w:spacing w:val="-14"/>
          <w:w w:val="105"/>
          <w:sz w:val="20"/>
        </w:rPr>
        <w:t xml:space="preserve"> </w:t>
      </w:r>
      <w:r>
        <w:rPr>
          <w:rFonts w:ascii="Trebuchet MS"/>
          <w:color w:val="231F20"/>
          <w:w w:val="105"/>
          <w:sz w:val="20"/>
        </w:rPr>
        <w:t>prosecutors</w:t>
      </w:r>
      <w:r>
        <w:rPr>
          <w:rFonts w:ascii="Trebuchet MS"/>
          <w:color w:val="231F20"/>
          <w:spacing w:val="-13"/>
          <w:w w:val="105"/>
          <w:sz w:val="20"/>
        </w:rPr>
        <w:t xml:space="preserve"> </w:t>
      </w:r>
      <w:r>
        <w:rPr>
          <w:rFonts w:ascii="Trebuchet MS"/>
          <w:color w:val="231F20"/>
          <w:w w:val="105"/>
          <w:sz w:val="20"/>
        </w:rPr>
        <w:t>should</w:t>
      </w:r>
      <w:r>
        <w:rPr>
          <w:rFonts w:ascii="Trebuchet MS"/>
          <w:color w:val="231F20"/>
          <w:spacing w:val="-14"/>
          <w:w w:val="105"/>
          <w:sz w:val="20"/>
        </w:rPr>
        <w:t xml:space="preserve"> </w:t>
      </w:r>
      <w:r>
        <w:rPr>
          <w:rFonts w:ascii="Trebuchet MS"/>
          <w:color w:val="231F20"/>
          <w:w w:val="105"/>
          <w:sz w:val="20"/>
        </w:rPr>
        <w:t>also</w:t>
      </w:r>
      <w:r>
        <w:rPr>
          <w:rFonts w:ascii="Trebuchet MS"/>
          <w:color w:val="231F20"/>
          <w:spacing w:val="-13"/>
          <w:w w:val="105"/>
          <w:sz w:val="20"/>
        </w:rPr>
        <w:t xml:space="preserve"> </w:t>
      </w:r>
      <w:r>
        <w:rPr>
          <w:rFonts w:ascii="Trebuchet MS"/>
          <w:color w:val="231F20"/>
          <w:w w:val="105"/>
          <w:sz w:val="20"/>
        </w:rPr>
        <w:t>include</w:t>
      </w:r>
      <w:r>
        <w:rPr>
          <w:rFonts w:ascii="Trebuchet MS"/>
          <w:color w:val="231F20"/>
          <w:spacing w:val="-14"/>
          <w:w w:val="105"/>
          <w:sz w:val="20"/>
        </w:rPr>
        <w:t xml:space="preserve"> </w:t>
      </w:r>
      <w:r>
        <w:rPr>
          <w:rFonts w:ascii="Trebuchet MS"/>
          <w:color w:val="231F20"/>
          <w:w w:val="105"/>
          <w:sz w:val="20"/>
        </w:rPr>
        <w:t>the</w:t>
      </w:r>
      <w:r>
        <w:rPr>
          <w:rFonts w:ascii="Trebuchet MS"/>
          <w:color w:val="231F20"/>
          <w:spacing w:val="-13"/>
          <w:w w:val="105"/>
          <w:sz w:val="20"/>
        </w:rPr>
        <w:t xml:space="preserve"> </w:t>
      </w:r>
      <w:r>
        <w:rPr>
          <w:rFonts w:ascii="Trebuchet MS"/>
          <w:color w:val="231F20"/>
          <w:w w:val="105"/>
          <w:sz w:val="20"/>
        </w:rPr>
        <w:t>possible</w:t>
      </w:r>
      <w:r>
        <w:rPr>
          <w:rFonts w:ascii="Trebuchet MS"/>
          <w:color w:val="231F20"/>
          <w:spacing w:val="-14"/>
          <w:w w:val="105"/>
          <w:sz w:val="20"/>
        </w:rPr>
        <w:t xml:space="preserve"> </w:t>
      </w:r>
      <w:r>
        <w:rPr>
          <w:rFonts w:ascii="Trebuchet MS"/>
          <w:color w:val="231F20"/>
          <w:spacing w:val="-2"/>
          <w:w w:val="105"/>
          <w:sz w:val="20"/>
        </w:rPr>
        <w:t>adverse</w:t>
      </w:r>
      <w:r>
        <w:rPr>
          <w:rFonts w:ascii="Trebuchet MS"/>
          <w:color w:val="231F20"/>
          <w:spacing w:val="-13"/>
          <w:w w:val="105"/>
          <w:sz w:val="20"/>
        </w:rPr>
        <w:t xml:space="preserve"> </w:t>
      </w:r>
      <w:r>
        <w:rPr>
          <w:rFonts w:ascii="Trebuchet MS"/>
          <w:color w:val="231F20"/>
          <w:w w:val="105"/>
          <w:sz w:val="20"/>
        </w:rPr>
        <w:t>effects</w:t>
      </w:r>
      <w:r>
        <w:rPr>
          <w:rFonts w:ascii="Trebuchet MS"/>
          <w:color w:val="231F20"/>
          <w:spacing w:val="-14"/>
          <w:w w:val="105"/>
          <w:sz w:val="20"/>
        </w:rPr>
        <w:t xml:space="preserve"> </w:t>
      </w:r>
      <w:r>
        <w:rPr>
          <w:rFonts w:ascii="Trebuchet MS"/>
          <w:color w:val="231F20"/>
          <w:w w:val="105"/>
          <w:sz w:val="20"/>
        </w:rPr>
        <w:t xml:space="preserve">of </w:t>
      </w:r>
      <w:r>
        <w:rPr>
          <w:rFonts w:ascii="Trebuchet MS"/>
          <w:color w:val="231F20"/>
          <w:spacing w:val="-1"/>
          <w:w w:val="107"/>
          <w:sz w:val="20"/>
        </w:rPr>
        <w:t>n</w:t>
      </w:r>
      <w:r>
        <w:rPr>
          <w:rFonts w:ascii="Trebuchet MS"/>
          <w:color w:val="231F20"/>
          <w:w w:val="108"/>
          <w:sz w:val="20"/>
        </w:rPr>
        <w:t>e</w:t>
      </w:r>
      <w:r>
        <w:rPr>
          <w:rFonts w:ascii="Trebuchet MS"/>
          <w:color w:val="231F20"/>
          <w:spacing w:val="-1"/>
          <w:w w:val="124"/>
          <w:sz w:val="20"/>
        </w:rPr>
        <w:t>g</w:t>
      </w:r>
      <w:r>
        <w:rPr>
          <w:rFonts w:ascii="Trebuchet MS"/>
          <w:color w:val="231F20"/>
          <w:spacing w:val="-4"/>
          <w:w w:val="111"/>
          <w:sz w:val="20"/>
        </w:rPr>
        <w:t>o</w:t>
      </w:r>
      <w:r>
        <w:rPr>
          <w:rFonts w:ascii="Trebuchet MS"/>
          <w:color w:val="231F20"/>
          <w:spacing w:val="-2"/>
          <w:w w:val="88"/>
          <w:sz w:val="20"/>
        </w:rPr>
        <w:t>t</w:t>
      </w:r>
      <w:r>
        <w:rPr>
          <w:rFonts w:ascii="Trebuchet MS"/>
          <w:color w:val="231F20"/>
          <w:spacing w:val="-1"/>
          <w:w w:val="80"/>
          <w:sz w:val="20"/>
        </w:rPr>
        <w:t>i</w:t>
      </w:r>
      <w:r>
        <w:rPr>
          <w:rFonts w:ascii="Trebuchet MS"/>
          <w:color w:val="231F20"/>
          <w:spacing w:val="-4"/>
          <w:w w:val="105"/>
          <w:sz w:val="20"/>
        </w:rPr>
        <w:t>a</w:t>
      </w:r>
      <w:r>
        <w:rPr>
          <w:rFonts w:ascii="Trebuchet MS"/>
          <w:color w:val="231F20"/>
          <w:spacing w:val="-2"/>
          <w:w w:val="88"/>
          <w:sz w:val="20"/>
        </w:rPr>
        <w:t>t</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7"/>
          <w:w w:val="105"/>
          <w:sz w:val="20"/>
        </w:rPr>
        <w:t>a</w:t>
      </w:r>
      <w:r>
        <w:rPr>
          <w:rFonts w:ascii="Trebuchet MS"/>
          <w:color w:val="231F20"/>
          <w:spacing w:val="-3"/>
          <w:w w:val="110"/>
          <w:sz w:val="20"/>
        </w:rPr>
        <w:t>w</w:t>
      </w:r>
      <w:r>
        <w:rPr>
          <w:rFonts w:ascii="Trebuchet MS"/>
          <w:color w:val="231F20"/>
          <w:spacing w:val="-7"/>
          <w:w w:val="105"/>
          <w:sz w:val="20"/>
        </w:rPr>
        <w:t>a</w:t>
      </w:r>
      <w:r>
        <w:rPr>
          <w:rFonts w:ascii="Trebuchet MS"/>
          <w:color w:val="231F20"/>
          <w:w w:val="110"/>
          <w:sz w:val="20"/>
        </w:rPr>
        <w:t>y</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1"/>
          <w:w w:val="107"/>
          <w:sz w:val="20"/>
        </w:rPr>
        <w:t>h</w:t>
      </w:r>
      <w:r>
        <w:rPr>
          <w:rFonts w:ascii="Trebuchet MS"/>
          <w:color w:val="231F20"/>
          <w:spacing w:val="-2"/>
          <w:w w:val="105"/>
          <w:sz w:val="20"/>
        </w:rPr>
        <w:t>a</w:t>
      </w:r>
      <w:r>
        <w:rPr>
          <w:rFonts w:ascii="Trebuchet MS"/>
          <w:color w:val="231F20"/>
          <w:spacing w:val="-4"/>
          <w:w w:val="93"/>
          <w:sz w:val="20"/>
        </w:rPr>
        <w:t>r</w:t>
      </w:r>
      <w:r>
        <w:rPr>
          <w:rFonts w:ascii="Trebuchet MS"/>
          <w:color w:val="231F20"/>
          <w:spacing w:val="-1"/>
          <w:w w:val="124"/>
          <w:sz w:val="20"/>
        </w:rPr>
        <w:t>g</w:t>
      </w:r>
      <w:r>
        <w:rPr>
          <w:rFonts w:ascii="Trebuchet MS"/>
          <w:color w:val="231F20"/>
          <w:spacing w:val="-2"/>
          <w:w w:val="108"/>
          <w:sz w:val="20"/>
        </w:rPr>
        <w:t>e</w:t>
      </w:r>
      <w:r>
        <w:rPr>
          <w:rFonts w:ascii="Trebuchet MS"/>
          <w:color w:val="231F20"/>
          <w:spacing w:val="1"/>
          <w:w w:val="122"/>
          <w:sz w:val="20"/>
        </w:rPr>
        <w:t>s</w:t>
      </w:r>
      <w:r>
        <w:rPr>
          <w:rFonts w:ascii="Trebuchet MS"/>
          <w:color w:val="231F20"/>
          <w:w w:val="55"/>
          <w:sz w:val="20"/>
        </w:rPr>
        <w:t>.</w:t>
      </w:r>
    </w:p>
    <w:p w14:paraId="1B88F1D6" w14:textId="77777777" w:rsidR="00894070" w:rsidRDefault="009B7AFD">
      <w:pPr>
        <w:pStyle w:val="ListParagraph"/>
        <w:numPr>
          <w:ilvl w:val="0"/>
          <w:numId w:val="187"/>
        </w:numPr>
        <w:tabs>
          <w:tab w:val="left" w:pos="2481"/>
          <w:tab w:val="left" w:pos="2482"/>
        </w:tabs>
        <w:spacing w:before="122" w:line="247" w:lineRule="auto"/>
        <w:ind w:right="1613"/>
        <w:rPr>
          <w:rFonts w:ascii="Trebuchet MS"/>
          <w:sz w:val="20"/>
        </w:rPr>
      </w:pPr>
      <w:r>
        <w:rPr>
          <w:rFonts w:ascii="Trebuchet MS"/>
          <w:color w:val="231F20"/>
          <w:spacing w:val="-5"/>
          <w:w w:val="112"/>
          <w:sz w:val="20"/>
        </w:rPr>
        <w:t>E</w:t>
      </w:r>
      <w:r>
        <w:rPr>
          <w:rFonts w:ascii="Trebuchet MS"/>
          <w:color w:val="231F20"/>
          <w:spacing w:val="-2"/>
          <w:w w:val="112"/>
          <w:sz w:val="20"/>
        </w:rPr>
        <w:t>d</w:t>
      </w:r>
      <w:r>
        <w:rPr>
          <w:rFonts w:ascii="Trebuchet MS"/>
          <w:color w:val="231F20"/>
          <w:spacing w:val="-2"/>
          <w:w w:val="109"/>
          <w:sz w:val="20"/>
        </w:rPr>
        <w:t>u</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3"/>
          <w:w w:val="111"/>
          <w:sz w:val="20"/>
        </w:rPr>
        <w:t>o</w:t>
      </w:r>
      <w:r>
        <w:rPr>
          <w:rFonts w:ascii="Trebuchet MS"/>
          <w:color w:val="231F20"/>
          <w:w w:val="74"/>
          <w:sz w:val="20"/>
        </w:rPr>
        <w:t>ff</w:t>
      </w:r>
      <w:r>
        <w:rPr>
          <w:rFonts w:ascii="Trebuchet MS"/>
          <w:color w:val="231F20"/>
          <w:spacing w:val="-1"/>
          <w:w w:val="74"/>
          <w:sz w:val="20"/>
        </w:rPr>
        <w:t>i</w:t>
      </w:r>
      <w:r>
        <w:rPr>
          <w:rFonts w:ascii="Trebuchet MS"/>
          <w:color w:val="231F20"/>
          <w:spacing w:val="-3"/>
          <w:w w:val="111"/>
          <w:sz w:val="20"/>
        </w:rPr>
        <w:t>c</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22"/>
          <w:sz w:val="20"/>
        </w:rPr>
        <w:t>s</w:t>
      </w:r>
      <w:r>
        <w:rPr>
          <w:rFonts w:ascii="Trebuchet MS"/>
          <w:color w:val="231F20"/>
          <w:spacing w:val="-2"/>
          <w:w w:val="88"/>
          <w:sz w:val="20"/>
        </w:rPr>
        <w:t>t</w:t>
      </w:r>
      <w:r>
        <w:rPr>
          <w:rFonts w:ascii="Trebuchet MS"/>
          <w:color w:val="231F20"/>
          <w:spacing w:val="-2"/>
          <w:w w:val="93"/>
          <w:sz w:val="20"/>
        </w:rPr>
        <w:t>r</w:t>
      </w:r>
      <w:r>
        <w:rPr>
          <w:rFonts w:ascii="Trebuchet MS"/>
          <w:color w:val="231F20"/>
          <w:spacing w:val="-2"/>
          <w:w w:val="105"/>
          <w:sz w:val="20"/>
        </w:rPr>
        <w:t>a</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2"/>
          <w:w w:val="93"/>
          <w:sz w:val="20"/>
        </w:rPr>
        <w:t>r</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81"/>
          <w:sz w:val="20"/>
        </w:rPr>
        <w:t>ff</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3"/>
          <w:w w:val="105"/>
          <w:sz w:val="20"/>
        </w:rPr>
        <w:t>a</w:t>
      </w:r>
      <w:r>
        <w:rPr>
          <w:rFonts w:ascii="Trebuchet MS"/>
          <w:color w:val="231F20"/>
          <w:spacing w:val="3"/>
          <w:w w:val="96"/>
          <w:sz w:val="20"/>
        </w:rPr>
        <w:t>l</w:t>
      </w:r>
      <w:r>
        <w:rPr>
          <w:rFonts w:ascii="Trebuchet MS"/>
          <w:color w:val="231F20"/>
          <w:spacing w:val="-1"/>
          <w:w w:val="122"/>
          <w:sz w:val="20"/>
        </w:rPr>
        <w:t>s</w:t>
      </w:r>
      <w:r>
        <w:rPr>
          <w:rFonts w:ascii="Trebuchet MS"/>
          <w:color w:val="231F20"/>
          <w:w w:val="111"/>
          <w:sz w:val="20"/>
        </w:rPr>
        <w:t xml:space="preserve">o </w:t>
      </w:r>
      <w:r>
        <w:rPr>
          <w:rFonts w:ascii="Trebuchet MS"/>
          <w:color w:val="231F20"/>
          <w:spacing w:val="-2"/>
          <w:w w:val="98"/>
          <w:sz w:val="20"/>
        </w:rPr>
        <w:t>i</w:t>
      </w:r>
      <w:r>
        <w:rPr>
          <w:rFonts w:ascii="Trebuchet MS"/>
          <w:color w:val="231F20"/>
          <w:spacing w:val="-1"/>
          <w:w w:val="98"/>
          <w:sz w:val="20"/>
        </w:rPr>
        <w:t>n</w:t>
      </w:r>
      <w:r>
        <w:rPr>
          <w:rFonts w:ascii="Trebuchet MS"/>
          <w:color w:val="231F20"/>
          <w:spacing w:val="-3"/>
          <w:w w:val="111"/>
          <w:sz w:val="20"/>
        </w:rPr>
        <w:t>c</w:t>
      </w:r>
      <w:r>
        <w:rPr>
          <w:rFonts w:ascii="Trebuchet MS"/>
          <w:color w:val="231F20"/>
          <w:spacing w:val="-3"/>
          <w:w w:val="96"/>
          <w:sz w:val="20"/>
        </w:rPr>
        <w:t>l</w:t>
      </w:r>
      <w:r>
        <w:rPr>
          <w:rFonts w:ascii="Trebuchet MS"/>
          <w:color w:val="231F20"/>
          <w:spacing w:val="-2"/>
          <w:w w:val="110"/>
          <w:sz w:val="20"/>
        </w:rPr>
        <w:t>ud</w:t>
      </w:r>
      <w:r>
        <w:rPr>
          <w:rFonts w:ascii="Trebuchet MS"/>
          <w:color w:val="231F20"/>
          <w:spacing w:val="-4"/>
          <w:w w:val="110"/>
          <w:sz w:val="20"/>
        </w:rPr>
        <w:t>e</w:t>
      </w:r>
      <w:r>
        <w:rPr>
          <w:rFonts w:ascii="Trebuchet MS"/>
          <w:color w:val="231F20"/>
          <w:w w:val="54"/>
          <w:sz w:val="20"/>
        </w:rPr>
        <w:t>:</w:t>
      </w:r>
    </w:p>
    <w:p w14:paraId="6FB2525D" w14:textId="77777777" w:rsidR="00894070" w:rsidRDefault="009B7AFD">
      <w:pPr>
        <w:pStyle w:val="ListParagraph"/>
        <w:numPr>
          <w:ilvl w:val="1"/>
          <w:numId w:val="187"/>
        </w:numPr>
        <w:tabs>
          <w:tab w:val="left" w:pos="3161"/>
          <w:tab w:val="left" w:pos="3162"/>
        </w:tabs>
        <w:spacing w:before="121"/>
        <w:ind w:hanging="680"/>
        <w:rPr>
          <w:rFonts w:ascii="Trebuchet MS" w:hAnsi="Trebuchet MS"/>
          <w:sz w:val="20"/>
        </w:rPr>
      </w:pPr>
      <w:r>
        <w:rPr>
          <w:rFonts w:ascii="Trebuchet MS" w:hAnsi="Trebuchet MS"/>
          <w:color w:val="231F20"/>
          <w:w w:val="105"/>
          <w:sz w:val="20"/>
        </w:rPr>
        <w:t>identifying stalking</w:t>
      </w:r>
      <w:r>
        <w:rPr>
          <w:rFonts w:ascii="Trebuchet MS" w:hAnsi="Trebuchet MS"/>
          <w:color w:val="231F20"/>
          <w:spacing w:val="-35"/>
          <w:w w:val="105"/>
          <w:sz w:val="20"/>
        </w:rPr>
        <w:t xml:space="preserve"> </w:t>
      </w:r>
      <w:proofErr w:type="spellStart"/>
      <w:r>
        <w:rPr>
          <w:rFonts w:ascii="Trebuchet MS" w:hAnsi="Trebuchet MS"/>
          <w:color w:val="231F20"/>
          <w:w w:val="105"/>
          <w:sz w:val="20"/>
        </w:rPr>
        <w:t>behaviour</w:t>
      </w:r>
      <w:proofErr w:type="spellEnd"/>
    </w:p>
    <w:p w14:paraId="270EBFC2" w14:textId="77777777" w:rsidR="00894070" w:rsidRDefault="009B7AFD">
      <w:pPr>
        <w:pStyle w:val="ListParagraph"/>
        <w:numPr>
          <w:ilvl w:val="1"/>
          <w:numId w:val="187"/>
        </w:numPr>
        <w:tabs>
          <w:tab w:val="left" w:pos="3161"/>
          <w:tab w:val="left" w:pos="3162"/>
        </w:tabs>
        <w:spacing w:before="93"/>
        <w:ind w:hanging="680"/>
        <w:rPr>
          <w:rFonts w:ascii="Trebuchet MS" w:hAnsi="Trebuchet MS"/>
          <w:sz w:val="20"/>
        </w:rPr>
      </w:pPr>
      <w:r>
        <w:rPr>
          <w:rFonts w:ascii="Trebuchet MS" w:hAnsi="Trebuchet MS"/>
          <w:color w:val="231F20"/>
          <w:sz w:val="20"/>
        </w:rPr>
        <w:t>the</w:t>
      </w:r>
      <w:r>
        <w:rPr>
          <w:rFonts w:ascii="Trebuchet MS" w:hAnsi="Trebuchet MS"/>
          <w:color w:val="231F20"/>
          <w:spacing w:val="-11"/>
          <w:sz w:val="20"/>
        </w:rPr>
        <w:t xml:space="preserve"> </w:t>
      </w:r>
      <w:r>
        <w:rPr>
          <w:rFonts w:ascii="Trebuchet MS" w:hAnsi="Trebuchet MS"/>
          <w:color w:val="231F20"/>
          <w:sz w:val="20"/>
        </w:rPr>
        <w:t>impact</w:t>
      </w:r>
      <w:r>
        <w:rPr>
          <w:rFonts w:ascii="Trebuchet MS" w:hAnsi="Trebuchet MS"/>
          <w:color w:val="231F20"/>
          <w:spacing w:val="-11"/>
          <w:sz w:val="20"/>
        </w:rPr>
        <w:t xml:space="preserve"> </w:t>
      </w:r>
      <w:r>
        <w:rPr>
          <w:rFonts w:ascii="Trebuchet MS" w:hAnsi="Trebuchet MS"/>
          <w:color w:val="231F20"/>
          <w:sz w:val="20"/>
        </w:rPr>
        <w:t>of</w:t>
      </w:r>
      <w:r>
        <w:rPr>
          <w:rFonts w:ascii="Trebuchet MS" w:hAnsi="Trebuchet MS"/>
          <w:color w:val="231F20"/>
          <w:spacing w:val="-11"/>
          <w:sz w:val="20"/>
        </w:rPr>
        <w:t xml:space="preserve"> </w:t>
      </w:r>
      <w:r>
        <w:rPr>
          <w:rFonts w:ascii="Trebuchet MS" w:hAnsi="Trebuchet MS"/>
          <w:color w:val="231F20"/>
          <w:sz w:val="20"/>
        </w:rPr>
        <w:t>personal</w:t>
      </w:r>
      <w:r>
        <w:rPr>
          <w:rFonts w:ascii="Trebuchet MS" w:hAnsi="Trebuchet MS"/>
          <w:color w:val="231F20"/>
          <w:spacing w:val="-11"/>
          <w:sz w:val="20"/>
        </w:rPr>
        <w:t xml:space="preserve"> </w:t>
      </w:r>
      <w:r>
        <w:rPr>
          <w:rFonts w:ascii="Trebuchet MS" w:hAnsi="Trebuchet MS"/>
          <w:color w:val="231F20"/>
          <w:sz w:val="20"/>
        </w:rPr>
        <w:t>safety</w:t>
      </w:r>
      <w:r>
        <w:rPr>
          <w:rFonts w:ascii="Trebuchet MS" w:hAnsi="Trebuchet MS"/>
          <w:color w:val="231F20"/>
          <w:spacing w:val="-11"/>
          <w:sz w:val="20"/>
        </w:rPr>
        <w:t xml:space="preserve"> </w:t>
      </w:r>
      <w:r>
        <w:rPr>
          <w:rFonts w:ascii="Trebuchet MS" w:hAnsi="Trebuchet MS"/>
          <w:color w:val="231F20"/>
          <w:sz w:val="20"/>
        </w:rPr>
        <w:t>intervention</w:t>
      </w:r>
      <w:r>
        <w:rPr>
          <w:rFonts w:ascii="Trebuchet MS" w:hAnsi="Trebuchet MS"/>
          <w:color w:val="231F20"/>
          <w:spacing w:val="-11"/>
          <w:sz w:val="20"/>
        </w:rPr>
        <w:t xml:space="preserve"> </w:t>
      </w:r>
      <w:r>
        <w:rPr>
          <w:rFonts w:ascii="Trebuchet MS" w:hAnsi="Trebuchet MS"/>
          <w:color w:val="231F20"/>
          <w:sz w:val="20"/>
        </w:rPr>
        <w:t>orders</w:t>
      </w:r>
      <w:r>
        <w:rPr>
          <w:rFonts w:ascii="Trebuchet MS" w:hAnsi="Trebuchet MS"/>
          <w:color w:val="231F20"/>
          <w:spacing w:val="-11"/>
          <w:sz w:val="20"/>
        </w:rPr>
        <w:t xml:space="preserve"> </w:t>
      </w:r>
      <w:r>
        <w:rPr>
          <w:rFonts w:ascii="Trebuchet MS" w:hAnsi="Trebuchet MS"/>
          <w:color w:val="231F20"/>
          <w:sz w:val="20"/>
        </w:rPr>
        <w:t>on</w:t>
      </w:r>
      <w:r>
        <w:rPr>
          <w:rFonts w:ascii="Trebuchet MS" w:hAnsi="Trebuchet MS"/>
          <w:color w:val="231F20"/>
          <w:spacing w:val="-11"/>
          <w:sz w:val="20"/>
        </w:rPr>
        <w:t xml:space="preserve"> </w:t>
      </w:r>
      <w:r>
        <w:rPr>
          <w:rFonts w:ascii="Trebuchet MS" w:hAnsi="Trebuchet MS"/>
          <w:color w:val="231F20"/>
          <w:sz w:val="20"/>
        </w:rPr>
        <w:t>children</w:t>
      </w:r>
    </w:p>
    <w:p w14:paraId="7BDF469F" w14:textId="77777777" w:rsidR="00894070" w:rsidRDefault="009B7AFD">
      <w:pPr>
        <w:pStyle w:val="ListParagraph"/>
        <w:numPr>
          <w:ilvl w:val="1"/>
          <w:numId w:val="187"/>
        </w:numPr>
        <w:tabs>
          <w:tab w:val="left" w:pos="3161"/>
          <w:tab w:val="left" w:pos="3162"/>
        </w:tabs>
        <w:spacing w:before="93" w:line="247" w:lineRule="auto"/>
        <w:ind w:right="1701" w:hanging="680"/>
        <w:rPr>
          <w:rFonts w:ascii="Trebuchet MS" w:hAnsi="Trebuchet MS"/>
          <w:sz w:val="20"/>
        </w:rPr>
      </w:pPr>
      <w:r>
        <w:rPr>
          <w:rFonts w:ascii="Trebuchet MS" w:hAnsi="Trebuchet MS"/>
          <w:color w:val="231F20"/>
          <w:spacing w:val="-3"/>
          <w:w w:val="105"/>
          <w:sz w:val="20"/>
        </w:rPr>
        <w:t>how</w:t>
      </w:r>
      <w:r>
        <w:rPr>
          <w:rFonts w:ascii="Trebuchet MS" w:hAnsi="Trebuchet MS"/>
          <w:color w:val="231F20"/>
          <w:spacing w:val="-25"/>
          <w:w w:val="105"/>
          <w:sz w:val="20"/>
        </w:rPr>
        <w:t xml:space="preserve"> </w:t>
      </w:r>
      <w:r>
        <w:rPr>
          <w:rFonts w:ascii="Trebuchet MS" w:hAnsi="Trebuchet MS"/>
          <w:color w:val="231F20"/>
          <w:w w:val="105"/>
          <w:sz w:val="20"/>
        </w:rPr>
        <w:t>to</w:t>
      </w:r>
      <w:r>
        <w:rPr>
          <w:rFonts w:ascii="Trebuchet MS" w:hAnsi="Trebuchet MS"/>
          <w:color w:val="231F20"/>
          <w:spacing w:val="-25"/>
          <w:w w:val="105"/>
          <w:sz w:val="20"/>
        </w:rPr>
        <w:t xml:space="preserve"> </w:t>
      </w:r>
      <w:r>
        <w:rPr>
          <w:rFonts w:ascii="Trebuchet MS" w:hAnsi="Trebuchet MS"/>
          <w:color w:val="231F20"/>
          <w:w w:val="105"/>
          <w:sz w:val="20"/>
        </w:rPr>
        <w:t>frame</w:t>
      </w:r>
      <w:r>
        <w:rPr>
          <w:rFonts w:ascii="Trebuchet MS" w:hAnsi="Trebuchet MS"/>
          <w:color w:val="231F20"/>
          <w:spacing w:val="-25"/>
          <w:w w:val="105"/>
          <w:sz w:val="20"/>
        </w:rPr>
        <w:t xml:space="preserve"> </w:t>
      </w:r>
      <w:r>
        <w:rPr>
          <w:rFonts w:ascii="Trebuchet MS" w:hAnsi="Trebuchet MS"/>
          <w:color w:val="231F20"/>
          <w:w w:val="105"/>
          <w:sz w:val="20"/>
        </w:rPr>
        <w:t>conditions</w:t>
      </w:r>
      <w:r>
        <w:rPr>
          <w:rFonts w:ascii="Trebuchet MS" w:hAnsi="Trebuchet MS"/>
          <w:color w:val="231F20"/>
          <w:spacing w:val="-25"/>
          <w:w w:val="105"/>
          <w:sz w:val="20"/>
        </w:rPr>
        <w:t xml:space="preserve"> </w:t>
      </w:r>
      <w:r>
        <w:rPr>
          <w:rFonts w:ascii="Trebuchet MS" w:hAnsi="Trebuchet MS"/>
          <w:color w:val="231F20"/>
          <w:w w:val="105"/>
          <w:sz w:val="20"/>
        </w:rPr>
        <w:t>of</w:t>
      </w:r>
      <w:r>
        <w:rPr>
          <w:rFonts w:ascii="Trebuchet MS" w:hAnsi="Trebuchet MS"/>
          <w:color w:val="231F20"/>
          <w:spacing w:val="-25"/>
          <w:w w:val="105"/>
          <w:sz w:val="20"/>
        </w:rPr>
        <w:t xml:space="preserve"> </w:t>
      </w:r>
      <w:r>
        <w:rPr>
          <w:rFonts w:ascii="Trebuchet MS" w:hAnsi="Trebuchet MS"/>
          <w:color w:val="231F20"/>
          <w:w w:val="105"/>
          <w:sz w:val="20"/>
        </w:rPr>
        <w:t>personal</w:t>
      </w:r>
      <w:r>
        <w:rPr>
          <w:rFonts w:ascii="Trebuchet MS" w:hAnsi="Trebuchet MS"/>
          <w:color w:val="231F20"/>
          <w:spacing w:val="-25"/>
          <w:w w:val="105"/>
          <w:sz w:val="20"/>
        </w:rPr>
        <w:t xml:space="preserve"> </w:t>
      </w:r>
      <w:r>
        <w:rPr>
          <w:rFonts w:ascii="Trebuchet MS" w:hAnsi="Trebuchet MS"/>
          <w:color w:val="231F20"/>
          <w:w w:val="105"/>
          <w:sz w:val="20"/>
        </w:rPr>
        <w:t>safety</w:t>
      </w:r>
      <w:r>
        <w:rPr>
          <w:rFonts w:ascii="Trebuchet MS" w:hAnsi="Trebuchet MS"/>
          <w:color w:val="231F20"/>
          <w:spacing w:val="-24"/>
          <w:w w:val="105"/>
          <w:sz w:val="20"/>
        </w:rPr>
        <w:t xml:space="preserve"> </w:t>
      </w:r>
      <w:r>
        <w:rPr>
          <w:rFonts w:ascii="Trebuchet MS" w:hAnsi="Trebuchet MS"/>
          <w:color w:val="231F20"/>
          <w:w w:val="105"/>
          <w:sz w:val="20"/>
        </w:rPr>
        <w:t>intervention</w:t>
      </w:r>
      <w:r>
        <w:rPr>
          <w:rFonts w:ascii="Trebuchet MS" w:hAnsi="Trebuchet MS"/>
          <w:color w:val="231F20"/>
          <w:spacing w:val="-25"/>
          <w:w w:val="105"/>
          <w:sz w:val="20"/>
        </w:rPr>
        <w:t xml:space="preserve"> </w:t>
      </w:r>
      <w:r>
        <w:rPr>
          <w:rFonts w:ascii="Trebuchet MS" w:hAnsi="Trebuchet MS"/>
          <w:color w:val="231F20"/>
          <w:w w:val="105"/>
          <w:sz w:val="20"/>
        </w:rPr>
        <w:t>orders</w:t>
      </w:r>
      <w:r>
        <w:rPr>
          <w:rFonts w:ascii="Trebuchet MS" w:hAnsi="Trebuchet MS"/>
          <w:color w:val="231F20"/>
          <w:spacing w:val="-25"/>
          <w:w w:val="105"/>
          <w:sz w:val="20"/>
        </w:rPr>
        <w:t xml:space="preserve"> </w:t>
      </w:r>
      <w:r>
        <w:rPr>
          <w:rFonts w:ascii="Trebuchet MS" w:hAnsi="Trebuchet MS"/>
          <w:color w:val="231F20"/>
          <w:w w:val="105"/>
          <w:sz w:val="20"/>
        </w:rPr>
        <w:t>for cyberstalking</w:t>
      </w:r>
    </w:p>
    <w:p w14:paraId="3FA5371A" w14:textId="77777777" w:rsidR="00894070" w:rsidRDefault="009B7AFD">
      <w:pPr>
        <w:pStyle w:val="ListParagraph"/>
        <w:numPr>
          <w:ilvl w:val="1"/>
          <w:numId w:val="187"/>
        </w:numPr>
        <w:tabs>
          <w:tab w:val="left" w:pos="3161"/>
          <w:tab w:val="left" w:pos="3162"/>
        </w:tabs>
        <w:spacing w:before="87"/>
        <w:ind w:hanging="680"/>
        <w:rPr>
          <w:rFonts w:ascii="Trebuchet MS" w:hAnsi="Trebuchet MS"/>
          <w:sz w:val="20"/>
        </w:rPr>
      </w:pP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3"/>
          <w:w w:val="115"/>
          <w:sz w:val="20"/>
        </w:rPr>
        <w:t>-</w:t>
      </w:r>
      <w:r>
        <w:rPr>
          <w:rFonts w:ascii="Trebuchet MS" w:hAnsi="Trebuchet MS"/>
          <w:color w:val="231F20"/>
          <w:spacing w:val="-1"/>
          <w:w w:val="122"/>
          <w:sz w:val="20"/>
        </w:rPr>
        <w:t>s</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
          <w:w w:val="122"/>
          <w:sz w:val="20"/>
        </w:rPr>
        <w:t>ss</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spacing w:val="-2"/>
          <w:w w:val="122"/>
          <w:sz w:val="20"/>
        </w:rPr>
        <w:t>s</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1"/>
          <w:w w:val="111"/>
          <w:sz w:val="20"/>
        </w:rPr>
        <w:t>po</w:t>
      </w:r>
      <w:r>
        <w:rPr>
          <w:rFonts w:ascii="Trebuchet MS" w:hAnsi="Trebuchet MS"/>
          <w:color w:val="231F20"/>
          <w:spacing w:val="2"/>
          <w:w w:val="93"/>
          <w:sz w:val="20"/>
        </w:rPr>
        <w:t>r</w:t>
      </w:r>
      <w:r>
        <w:rPr>
          <w:rFonts w:ascii="Trebuchet MS" w:hAnsi="Trebuchet MS"/>
          <w:color w:val="231F20"/>
          <w:spacing w:val="1"/>
          <w:w w:val="88"/>
          <w:sz w:val="20"/>
        </w:rPr>
        <w:t>t</w:t>
      </w:r>
      <w:r>
        <w:rPr>
          <w:rFonts w:ascii="Trebuchet MS" w:hAnsi="Trebuchet MS"/>
          <w:color w:val="231F20"/>
          <w:w w:val="55"/>
          <w:sz w:val="20"/>
        </w:rPr>
        <w:t>.</w:t>
      </w:r>
    </w:p>
    <w:p w14:paraId="403FA54E" w14:textId="77777777" w:rsidR="00894070" w:rsidRDefault="009B7AFD">
      <w:pPr>
        <w:pStyle w:val="ListParagraph"/>
        <w:numPr>
          <w:ilvl w:val="0"/>
          <w:numId w:val="191"/>
        </w:numPr>
        <w:tabs>
          <w:tab w:val="left" w:pos="1801"/>
          <w:tab w:val="left" w:pos="1802"/>
        </w:tabs>
        <w:spacing w:before="92" w:line="247" w:lineRule="auto"/>
        <w:ind w:left="1801" w:right="1341"/>
        <w:rPr>
          <w:rFonts w:ascii="Trebuchet MS" w:hAnsi="Trebuchet MS"/>
          <w:sz w:val="20"/>
        </w:rPr>
      </w:pPr>
      <w:r>
        <w:rPr>
          <w:rFonts w:ascii="Trebuchet MS" w:hAnsi="Trebuchet MS"/>
          <w:color w:val="231F20"/>
          <w:w w:val="105"/>
          <w:sz w:val="20"/>
        </w:rPr>
        <w:t xml:space="preserve">The Victorian </w:t>
      </w:r>
      <w:r>
        <w:rPr>
          <w:rFonts w:ascii="Trebuchet MS" w:hAnsi="Trebuchet MS"/>
          <w:color w:val="231F20"/>
          <w:spacing w:val="-3"/>
          <w:w w:val="105"/>
          <w:sz w:val="20"/>
        </w:rPr>
        <w:t xml:space="preserve">Government </w:t>
      </w:r>
      <w:r>
        <w:rPr>
          <w:rFonts w:ascii="Trebuchet MS" w:hAnsi="Trebuchet MS"/>
          <w:color w:val="231F20"/>
          <w:w w:val="105"/>
          <w:sz w:val="20"/>
        </w:rPr>
        <w:t>should implement the victim support recommendations in</w:t>
      </w:r>
      <w:r>
        <w:rPr>
          <w:rFonts w:ascii="Trebuchet MS" w:hAnsi="Trebuchet MS"/>
          <w:color w:val="231F20"/>
          <w:spacing w:val="-28"/>
          <w:w w:val="105"/>
          <w:sz w:val="20"/>
        </w:rPr>
        <w:t xml:space="preserve"> </w:t>
      </w:r>
      <w:r>
        <w:rPr>
          <w:rFonts w:ascii="Trebuchet MS" w:hAnsi="Trebuchet MS"/>
          <w:color w:val="231F20"/>
          <w:w w:val="105"/>
          <w:sz w:val="20"/>
        </w:rPr>
        <w:t>the</w:t>
      </w:r>
      <w:r>
        <w:rPr>
          <w:rFonts w:ascii="Trebuchet MS" w:hAnsi="Trebuchet MS"/>
          <w:color w:val="231F20"/>
          <w:spacing w:val="-28"/>
          <w:w w:val="105"/>
          <w:sz w:val="20"/>
        </w:rPr>
        <w:t xml:space="preserve"> </w:t>
      </w:r>
      <w:r>
        <w:rPr>
          <w:rFonts w:ascii="Trebuchet MS" w:hAnsi="Trebuchet MS"/>
          <w:color w:val="231F20"/>
          <w:spacing w:val="-2"/>
          <w:w w:val="105"/>
          <w:sz w:val="20"/>
        </w:rPr>
        <w:t>Centre</w:t>
      </w:r>
      <w:r>
        <w:rPr>
          <w:rFonts w:ascii="Trebuchet MS" w:hAnsi="Trebuchet MS"/>
          <w:color w:val="231F20"/>
          <w:spacing w:val="-28"/>
          <w:w w:val="105"/>
          <w:sz w:val="20"/>
        </w:rPr>
        <w:t xml:space="preserve"> </w:t>
      </w:r>
      <w:r>
        <w:rPr>
          <w:rFonts w:ascii="Trebuchet MS" w:hAnsi="Trebuchet MS"/>
          <w:color w:val="231F20"/>
          <w:w w:val="105"/>
          <w:sz w:val="20"/>
        </w:rPr>
        <w:t>for</w:t>
      </w:r>
      <w:r>
        <w:rPr>
          <w:rFonts w:ascii="Trebuchet MS" w:hAnsi="Trebuchet MS"/>
          <w:color w:val="231F20"/>
          <w:spacing w:val="-28"/>
          <w:w w:val="105"/>
          <w:sz w:val="20"/>
        </w:rPr>
        <w:t xml:space="preserve"> </w:t>
      </w:r>
      <w:r>
        <w:rPr>
          <w:rFonts w:ascii="Trebuchet MS" w:hAnsi="Trebuchet MS"/>
          <w:color w:val="231F20"/>
          <w:spacing w:val="-3"/>
          <w:w w:val="105"/>
          <w:sz w:val="20"/>
        </w:rPr>
        <w:t>Innovative</w:t>
      </w:r>
      <w:r>
        <w:rPr>
          <w:rFonts w:ascii="Trebuchet MS" w:hAnsi="Trebuchet MS"/>
          <w:color w:val="231F20"/>
          <w:spacing w:val="-28"/>
          <w:w w:val="105"/>
          <w:sz w:val="20"/>
        </w:rPr>
        <w:t xml:space="preserve"> </w:t>
      </w:r>
      <w:r>
        <w:rPr>
          <w:rFonts w:ascii="Trebuchet MS" w:hAnsi="Trebuchet MS"/>
          <w:color w:val="231F20"/>
          <w:w w:val="105"/>
          <w:sz w:val="20"/>
        </w:rPr>
        <w:t>Justice</w:t>
      </w:r>
      <w:r>
        <w:rPr>
          <w:rFonts w:ascii="Trebuchet MS" w:hAnsi="Trebuchet MS"/>
          <w:color w:val="231F20"/>
          <w:spacing w:val="-28"/>
          <w:w w:val="105"/>
          <w:sz w:val="20"/>
        </w:rPr>
        <w:t xml:space="preserve"> </w:t>
      </w:r>
      <w:r>
        <w:rPr>
          <w:rFonts w:ascii="Arial" w:hAnsi="Arial"/>
          <w:i/>
          <w:color w:val="231F20"/>
          <w:w w:val="105"/>
          <w:sz w:val="20"/>
        </w:rPr>
        <w:t>Strengthening</w:t>
      </w:r>
      <w:r>
        <w:rPr>
          <w:rFonts w:ascii="Arial" w:hAnsi="Arial"/>
          <w:i/>
          <w:color w:val="231F20"/>
          <w:spacing w:val="-24"/>
          <w:w w:val="105"/>
          <w:sz w:val="20"/>
        </w:rPr>
        <w:t xml:space="preserve"> </w:t>
      </w:r>
      <w:r>
        <w:rPr>
          <w:rFonts w:ascii="Arial" w:hAnsi="Arial"/>
          <w:i/>
          <w:color w:val="231F20"/>
          <w:spacing w:val="-3"/>
          <w:w w:val="105"/>
          <w:sz w:val="20"/>
        </w:rPr>
        <w:t>Victoria’s</w:t>
      </w:r>
      <w:r>
        <w:rPr>
          <w:rFonts w:ascii="Arial" w:hAnsi="Arial"/>
          <w:i/>
          <w:color w:val="231F20"/>
          <w:spacing w:val="-24"/>
          <w:w w:val="105"/>
          <w:sz w:val="20"/>
        </w:rPr>
        <w:t xml:space="preserve"> </w:t>
      </w:r>
      <w:r>
        <w:rPr>
          <w:rFonts w:ascii="Arial" w:hAnsi="Arial"/>
          <w:i/>
          <w:color w:val="231F20"/>
          <w:w w:val="105"/>
          <w:sz w:val="20"/>
        </w:rPr>
        <w:t>Victim</w:t>
      </w:r>
      <w:r>
        <w:rPr>
          <w:rFonts w:ascii="Arial" w:hAnsi="Arial"/>
          <w:i/>
          <w:color w:val="231F20"/>
          <w:spacing w:val="-25"/>
          <w:w w:val="105"/>
          <w:sz w:val="20"/>
        </w:rPr>
        <w:t xml:space="preserve"> </w:t>
      </w:r>
      <w:r>
        <w:rPr>
          <w:rFonts w:ascii="Arial" w:hAnsi="Arial"/>
          <w:i/>
          <w:color w:val="231F20"/>
          <w:w w:val="105"/>
          <w:sz w:val="20"/>
        </w:rPr>
        <w:t>Support</w:t>
      </w:r>
      <w:r>
        <w:rPr>
          <w:rFonts w:ascii="Arial" w:hAnsi="Arial"/>
          <w:i/>
          <w:color w:val="231F20"/>
          <w:spacing w:val="-24"/>
          <w:w w:val="105"/>
          <w:sz w:val="20"/>
        </w:rPr>
        <w:t xml:space="preserve"> </w:t>
      </w:r>
      <w:r>
        <w:rPr>
          <w:rFonts w:ascii="Arial" w:hAnsi="Arial"/>
          <w:i/>
          <w:color w:val="231F20"/>
          <w:spacing w:val="-3"/>
          <w:w w:val="105"/>
          <w:sz w:val="20"/>
        </w:rPr>
        <w:t xml:space="preserve">System: </w:t>
      </w:r>
      <w:r>
        <w:rPr>
          <w:rFonts w:ascii="Arial" w:hAnsi="Arial"/>
          <w:i/>
          <w:color w:val="231F20"/>
          <w:w w:val="105"/>
          <w:sz w:val="20"/>
        </w:rPr>
        <w:t>Victim</w:t>
      </w:r>
      <w:r>
        <w:rPr>
          <w:rFonts w:ascii="Arial" w:hAnsi="Arial"/>
          <w:i/>
          <w:color w:val="231F20"/>
          <w:spacing w:val="-23"/>
          <w:w w:val="105"/>
          <w:sz w:val="20"/>
        </w:rPr>
        <w:t xml:space="preserve"> </w:t>
      </w:r>
      <w:r>
        <w:rPr>
          <w:rFonts w:ascii="Arial" w:hAnsi="Arial"/>
          <w:i/>
          <w:color w:val="231F20"/>
          <w:w w:val="105"/>
          <w:sz w:val="20"/>
        </w:rPr>
        <w:t>Services</w:t>
      </w:r>
      <w:r>
        <w:rPr>
          <w:rFonts w:ascii="Arial" w:hAnsi="Arial"/>
          <w:i/>
          <w:color w:val="231F20"/>
          <w:spacing w:val="-23"/>
          <w:w w:val="105"/>
          <w:sz w:val="20"/>
        </w:rPr>
        <w:t xml:space="preserve"> </w:t>
      </w:r>
      <w:r>
        <w:rPr>
          <w:rFonts w:ascii="Arial" w:hAnsi="Arial"/>
          <w:i/>
          <w:color w:val="231F20"/>
          <w:spacing w:val="-3"/>
          <w:w w:val="105"/>
          <w:sz w:val="20"/>
        </w:rPr>
        <w:t>Review</w:t>
      </w:r>
      <w:r>
        <w:rPr>
          <w:rFonts w:ascii="Arial" w:hAnsi="Arial"/>
          <w:i/>
          <w:color w:val="231F20"/>
          <w:spacing w:val="-21"/>
          <w:w w:val="105"/>
          <w:sz w:val="20"/>
        </w:rPr>
        <w:t xml:space="preserve"> </w:t>
      </w:r>
      <w:r>
        <w:rPr>
          <w:rFonts w:ascii="Trebuchet MS" w:hAnsi="Trebuchet MS"/>
          <w:color w:val="231F20"/>
          <w:w w:val="105"/>
          <w:sz w:val="20"/>
        </w:rPr>
        <w:t>report</w:t>
      </w:r>
      <w:r>
        <w:rPr>
          <w:rFonts w:ascii="Trebuchet MS" w:hAnsi="Trebuchet MS"/>
          <w:color w:val="231F20"/>
          <w:spacing w:val="-26"/>
          <w:w w:val="105"/>
          <w:sz w:val="20"/>
        </w:rPr>
        <w:t xml:space="preserve"> </w:t>
      </w:r>
      <w:r>
        <w:rPr>
          <w:rFonts w:ascii="Trebuchet MS" w:hAnsi="Trebuchet MS"/>
          <w:color w:val="231F20"/>
          <w:w w:val="105"/>
          <w:sz w:val="20"/>
        </w:rPr>
        <w:t>and</w:t>
      </w:r>
      <w:r>
        <w:rPr>
          <w:rFonts w:ascii="Trebuchet MS" w:hAnsi="Trebuchet MS"/>
          <w:color w:val="231F20"/>
          <w:spacing w:val="-26"/>
          <w:w w:val="105"/>
          <w:sz w:val="20"/>
        </w:rPr>
        <w:t xml:space="preserve"> </w:t>
      </w:r>
      <w:r>
        <w:rPr>
          <w:rFonts w:ascii="Trebuchet MS" w:hAnsi="Trebuchet MS"/>
          <w:color w:val="231F20"/>
          <w:w w:val="105"/>
          <w:sz w:val="20"/>
        </w:rPr>
        <w:t>recommendations</w:t>
      </w:r>
      <w:r>
        <w:rPr>
          <w:rFonts w:ascii="Trebuchet MS" w:hAnsi="Trebuchet MS"/>
          <w:color w:val="231F20"/>
          <w:spacing w:val="-27"/>
          <w:w w:val="105"/>
          <w:sz w:val="20"/>
        </w:rPr>
        <w:t xml:space="preserve"> </w:t>
      </w:r>
      <w:r>
        <w:rPr>
          <w:rFonts w:ascii="Trebuchet MS" w:hAnsi="Trebuchet MS"/>
          <w:color w:val="231F20"/>
          <w:w w:val="105"/>
          <w:sz w:val="20"/>
        </w:rPr>
        <w:t>in</w:t>
      </w:r>
      <w:r>
        <w:rPr>
          <w:rFonts w:ascii="Trebuchet MS" w:hAnsi="Trebuchet MS"/>
          <w:color w:val="231F20"/>
          <w:spacing w:val="-26"/>
          <w:w w:val="105"/>
          <w:sz w:val="20"/>
        </w:rPr>
        <w:t xml:space="preserve"> </w:t>
      </w:r>
      <w:r>
        <w:rPr>
          <w:rFonts w:ascii="Trebuchet MS" w:hAnsi="Trebuchet MS"/>
          <w:color w:val="231F20"/>
          <w:w w:val="105"/>
          <w:sz w:val="20"/>
        </w:rPr>
        <w:t>the</w:t>
      </w:r>
      <w:r>
        <w:rPr>
          <w:rFonts w:ascii="Trebuchet MS" w:hAnsi="Trebuchet MS"/>
          <w:color w:val="231F20"/>
          <w:spacing w:val="-26"/>
          <w:w w:val="105"/>
          <w:sz w:val="20"/>
        </w:rPr>
        <w:t xml:space="preserve"> </w:t>
      </w:r>
      <w:r>
        <w:rPr>
          <w:rFonts w:ascii="Trebuchet MS" w:hAnsi="Trebuchet MS"/>
          <w:color w:val="231F20"/>
          <w:w w:val="105"/>
          <w:sz w:val="20"/>
        </w:rPr>
        <w:t>Legislative</w:t>
      </w:r>
      <w:r>
        <w:rPr>
          <w:rFonts w:ascii="Trebuchet MS" w:hAnsi="Trebuchet MS"/>
          <w:color w:val="231F20"/>
          <w:spacing w:val="-26"/>
          <w:w w:val="105"/>
          <w:sz w:val="20"/>
        </w:rPr>
        <w:t xml:space="preserve"> </w:t>
      </w:r>
      <w:r>
        <w:rPr>
          <w:rFonts w:ascii="Trebuchet MS" w:hAnsi="Trebuchet MS"/>
          <w:color w:val="231F20"/>
          <w:w w:val="105"/>
          <w:sz w:val="20"/>
        </w:rPr>
        <w:t>Council</w:t>
      </w:r>
      <w:r>
        <w:rPr>
          <w:rFonts w:ascii="Trebuchet MS" w:hAnsi="Trebuchet MS"/>
          <w:color w:val="231F20"/>
          <w:spacing w:val="-27"/>
          <w:w w:val="105"/>
          <w:sz w:val="20"/>
        </w:rPr>
        <w:t xml:space="preserve"> </w:t>
      </w:r>
      <w:r>
        <w:rPr>
          <w:rFonts w:ascii="Trebuchet MS" w:hAnsi="Trebuchet MS"/>
          <w:color w:val="231F20"/>
          <w:w w:val="105"/>
          <w:sz w:val="20"/>
        </w:rPr>
        <w:t xml:space="preserve">Legal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w w:val="126"/>
          <w:sz w:val="20"/>
        </w:rPr>
        <w:t>S</w:t>
      </w:r>
      <w:r>
        <w:rPr>
          <w:rFonts w:ascii="Trebuchet MS" w:hAnsi="Trebuchet MS"/>
          <w:color w:val="231F20"/>
          <w:spacing w:val="-1"/>
          <w:w w:val="111"/>
          <w:sz w:val="20"/>
        </w:rPr>
        <w:t>o</w:t>
      </w:r>
      <w:r>
        <w:rPr>
          <w:rFonts w:ascii="Trebuchet MS" w:hAnsi="Trebuchet MS"/>
          <w:color w:val="231F20"/>
          <w:spacing w:val="-2"/>
          <w:w w:val="111"/>
          <w:sz w:val="20"/>
        </w:rPr>
        <w:t>c</w:t>
      </w:r>
      <w:r>
        <w:rPr>
          <w:rFonts w:ascii="Trebuchet MS" w:hAnsi="Trebuchet MS"/>
          <w:color w:val="231F20"/>
          <w:spacing w:val="-1"/>
          <w:w w:val="80"/>
          <w:sz w:val="20"/>
        </w:rPr>
        <w:t>i</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spacing w:val="-1"/>
          <w:w w:val="93"/>
          <w:sz w:val="20"/>
        </w:rPr>
        <w:t>I</w:t>
      </w:r>
      <w:r>
        <w:rPr>
          <w:rFonts w:ascii="Trebuchet MS" w:hAnsi="Trebuchet MS"/>
          <w:color w:val="231F20"/>
          <w:spacing w:val="-1"/>
          <w:w w:val="122"/>
          <w:sz w:val="20"/>
        </w:rPr>
        <w:t>s</w:t>
      </w:r>
      <w:r>
        <w:rPr>
          <w:rFonts w:ascii="Trebuchet MS" w:hAnsi="Trebuchet MS"/>
          <w:color w:val="231F20"/>
          <w:spacing w:val="-2"/>
          <w:w w:val="122"/>
          <w:sz w:val="20"/>
        </w:rPr>
        <w:t>s</w:t>
      </w:r>
      <w:r>
        <w:rPr>
          <w:rFonts w:ascii="Trebuchet MS" w:hAnsi="Trebuchet MS"/>
          <w:color w:val="231F20"/>
          <w:spacing w:val="-2"/>
          <w:w w:val="109"/>
          <w:sz w:val="20"/>
        </w:rPr>
        <w:t>u</w:t>
      </w:r>
      <w:r>
        <w:rPr>
          <w:rFonts w:ascii="Trebuchet MS" w:hAnsi="Trebuchet MS"/>
          <w:color w:val="231F20"/>
          <w:spacing w:val="-2"/>
          <w:w w:val="108"/>
          <w:sz w:val="20"/>
        </w:rPr>
        <w:t>e</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11"/>
          <w:sz w:val="20"/>
        </w:rPr>
        <w:t>o</w:t>
      </w:r>
      <w:r>
        <w:rPr>
          <w:rFonts w:ascii="Trebuchet MS" w:hAnsi="Trebuchet MS"/>
          <w:color w:val="231F20"/>
          <w:spacing w:val="-2"/>
          <w:w w:val="111"/>
          <w:sz w:val="20"/>
        </w:rPr>
        <w:t>mm</w:t>
      </w:r>
      <w:r>
        <w:rPr>
          <w:rFonts w:ascii="Trebuchet MS" w:hAnsi="Trebuchet MS"/>
          <w:color w:val="231F20"/>
          <w:spacing w:val="-3"/>
          <w:w w:val="80"/>
          <w:sz w:val="20"/>
        </w:rPr>
        <w:t>i</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w w:val="108"/>
          <w:sz w:val="20"/>
        </w:rPr>
        <w:t>ee</w:t>
      </w:r>
      <w:r>
        <w:rPr>
          <w:rFonts w:ascii="Trebuchet MS" w:hAnsi="Trebuchet MS"/>
          <w:color w:val="231F20"/>
          <w:spacing w:val="-14"/>
          <w:sz w:val="20"/>
        </w:rPr>
        <w:t xml:space="preserve"> </w:t>
      </w:r>
      <w:r>
        <w:rPr>
          <w:rFonts w:ascii="Arial" w:hAnsi="Arial"/>
          <w:i/>
          <w:color w:val="231F20"/>
          <w:spacing w:val="-1"/>
          <w:w w:val="92"/>
          <w:sz w:val="20"/>
        </w:rPr>
        <w:t>I</w:t>
      </w:r>
      <w:r>
        <w:rPr>
          <w:rFonts w:ascii="Arial" w:hAnsi="Arial"/>
          <w:i/>
          <w:color w:val="231F20"/>
          <w:spacing w:val="-1"/>
          <w:w w:val="104"/>
          <w:sz w:val="20"/>
        </w:rPr>
        <w:t>nqui</w:t>
      </w:r>
      <w:r>
        <w:rPr>
          <w:rFonts w:ascii="Arial" w:hAnsi="Arial"/>
          <w:i/>
          <w:color w:val="231F20"/>
          <w:spacing w:val="3"/>
          <w:w w:val="104"/>
          <w:sz w:val="20"/>
        </w:rPr>
        <w:t>r</w:t>
      </w:r>
      <w:r>
        <w:rPr>
          <w:rFonts w:ascii="Arial" w:hAnsi="Arial"/>
          <w:i/>
          <w:color w:val="231F20"/>
          <w:sz w:val="20"/>
        </w:rPr>
        <w:t>y</w:t>
      </w:r>
      <w:r>
        <w:rPr>
          <w:rFonts w:ascii="Arial" w:hAnsi="Arial"/>
          <w:i/>
          <w:color w:val="231F20"/>
          <w:spacing w:val="-11"/>
          <w:sz w:val="20"/>
        </w:rPr>
        <w:t xml:space="preserve"> </w:t>
      </w:r>
      <w:r>
        <w:rPr>
          <w:rFonts w:ascii="Arial" w:hAnsi="Arial"/>
          <w:i/>
          <w:color w:val="231F20"/>
          <w:spacing w:val="-1"/>
          <w:w w:val="101"/>
          <w:sz w:val="20"/>
        </w:rPr>
        <w:t>i</w:t>
      </w:r>
      <w:r>
        <w:rPr>
          <w:rFonts w:ascii="Arial" w:hAnsi="Arial"/>
          <w:i/>
          <w:color w:val="231F20"/>
          <w:spacing w:val="-3"/>
          <w:w w:val="101"/>
          <w:sz w:val="20"/>
        </w:rPr>
        <w:t>n</w:t>
      </w:r>
      <w:r>
        <w:rPr>
          <w:rFonts w:ascii="Arial" w:hAnsi="Arial"/>
          <w:i/>
          <w:color w:val="231F20"/>
          <w:spacing w:val="-5"/>
          <w:w w:val="121"/>
          <w:sz w:val="20"/>
        </w:rPr>
        <w:t>t</w:t>
      </w:r>
      <w:r>
        <w:rPr>
          <w:rFonts w:ascii="Arial" w:hAnsi="Arial"/>
          <w:i/>
          <w:color w:val="231F20"/>
          <w:w w:val="103"/>
          <w:sz w:val="20"/>
        </w:rPr>
        <w:t>o</w:t>
      </w:r>
      <w:r>
        <w:rPr>
          <w:rFonts w:ascii="Arial" w:hAnsi="Arial"/>
          <w:i/>
          <w:color w:val="231F20"/>
          <w:spacing w:val="-11"/>
          <w:sz w:val="20"/>
        </w:rPr>
        <w:t xml:space="preserve"> </w:t>
      </w:r>
      <w:r>
        <w:rPr>
          <w:rFonts w:ascii="Arial" w:hAnsi="Arial"/>
          <w:i/>
          <w:color w:val="231F20"/>
          <w:spacing w:val="-3"/>
          <w:w w:val="97"/>
          <w:sz w:val="20"/>
        </w:rPr>
        <w:t>V</w:t>
      </w:r>
      <w:r>
        <w:rPr>
          <w:rFonts w:ascii="Arial" w:hAnsi="Arial"/>
          <w:i/>
          <w:color w:val="231F20"/>
          <w:spacing w:val="-1"/>
          <w:w w:val="101"/>
          <w:sz w:val="20"/>
        </w:rPr>
        <w:t>i</w:t>
      </w:r>
      <w:r>
        <w:rPr>
          <w:rFonts w:ascii="Arial" w:hAnsi="Arial"/>
          <w:i/>
          <w:color w:val="231F20"/>
          <w:spacing w:val="-3"/>
          <w:w w:val="106"/>
          <w:sz w:val="20"/>
        </w:rPr>
        <w:t>c</w:t>
      </w:r>
      <w:r>
        <w:rPr>
          <w:rFonts w:ascii="Arial" w:hAnsi="Arial"/>
          <w:i/>
          <w:color w:val="231F20"/>
          <w:spacing w:val="-5"/>
          <w:w w:val="121"/>
          <w:sz w:val="20"/>
        </w:rPr>
        <w:t>t</w:t>
      </w:r>
      <w:r>
        <w:rPr>
          <w:rFonts w:ascii="Arial" w:hAnsi="Arial"/>
          <w:i/>
          <w:color w:val="231F20"/>
          <w:spacing w:val="-1"/>
          <w:w w:val="103"/>
          <w:sz w:val="20"/>
        </w:rPr>
        <w:t>o</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6"/>
          <w:w w:val="108"/>
          <w:sz w:val="20"/>
        </w:rPr>
        <w:t>a</w:t>
      </w:r>
      <w:r>
        <w:rPr>
          <w:rFonts w:ascii="Arial" w:hAnsi="Arial"/>
          <w:i/>
          <w:color w:val="231F20"/>
          <w:spacing w:val="-2"/>
          <w:w w:val="90"/>
          <w:sz w:val="20"/>
        </w:rPr>
        <w:t>’</w:t>
      </w:r>
      <w:r>
        <w:rPr>
          <w:rFonts w:ascii="Arial" w:hAnsi="Arial"/>
          <w:i/>
          <w:color w:val="231F20"/>
          <w:w w:val="95"/>
          <w:sz w:val="20"/>
        </w:rPr>
        <w:t>s</w:t>
      </w:r>
      <w:r>
        <w:rPr>
          <w:rFonts w:ascii="Arial" w:hAnsi="Arial"/>
          <w:i/>
          <w:color w:val="231F20"/>
          <w:spacing w:val="-11"/>
          <w:sz w:val="20"/>
        </w:rPr>
        <w:t xml:space="preserve"> </w:t>
      </w:r>
      <w:r>
        <w:rPr>
          <w:rFonts w:ascii="Arial" w:hAnsi="Arial"/>
          <w:i/>
          <w:color w:val="231F20"/>
          <w:spacing w:val="-2"/>
          <w:w w:val="90"/>
          <w:sz w:val="20"/>
        </w:rPr>
        <w:t>C</w:t>
      </w:r>
      <w:r>
        <w:rPr>
          <w:rFonts w:ascii="Arial" w:hAnsi="Arial"/>
          <w:i/>
          <w:color w:val="231F20"/>
          <w:spacing w:val="-3"/>
          <w:w w:val="106"/>
          <w:sz w:val="20"/>
        </w:rPr>
        <w:t>r</w:t>
      </w:r>
      <w:r>
        <w:rPr>
          <w:rFonts w:ascii="Arial" w:hAnsi="Arial"/>
          <w:i/>
          <w:color w:val="231F20"/>
          <w:spacing w:val="-1"/>
          <w:w w:val="105"/>
          <w:sz w:val="20"/>
        </w:rPr>
        <w:t>im</w:t>
      </w:r>
      <w:r>
        <w:rPr>
          <w:rFonts w:ascii="Arial" w:hAnsi="Arial"/>
          <w:i/>
          <w:color w:val="231F20"/>
          <w:spacing w:val="-1"/>
          <w:w w:val="104"/>
          <w:sz w:val="20"/>
        </w:rPr>
        <w:t>ina</w:t>
      </w:r>
      <w:r>
        <w:rPr>
          <w:rFonts w:ascii="Arial" w:hAnsi="Arial"/>
          <w:i/>
          <w:color w:val="231F20"/>
          <w:w w:val="126"/>
          <w:sz w:val="20"/>
        </w:rPr>
        <w:t>l</w:t>
      </w:r>
      <w:r>
        <w:rPr>
          <w:rFonts w:ascii="Arial" w:hAnsi="Arial"/>
          <w:i/>
          <w:color w:val="231F20"/>
          <w:spacing w:val="-11"/>
          <w:sz w:val="20"/>
        </w:rPr>
        <w:t xml:space="preserve"> </w:t>
      </w:r>
      <w:r>
        <w:rPr>
          <w:rFonts w:ascii="Arial" w:hAnsi="Arial"/>
          <w:i/>
          <w:color w:val="231F20"/>
          <w:spacing w:val="-2"/>
          <w:w w:val="94"/>
          <w:sz w:val="20"/>
        </w:rPr>
        <w:t>J</w:t>
      </w:r>
      <w:r>
        <w:rPr>
          <w:rFonts w:ascii="Arial" w:hAnsi="Arial"/>
          <w:i/>
          <w:color w:val="231F20"/>
          <w:spacing w:val="-1"/>
          <w:w w:val="99"/>
          <w:sz w:val="20"/>
        </w:rPr>
        <w:t>u</w:t>
      </w:r>
      <w:r>
        <w:rPr>
          <w:rFonts w:ascii="Arial" w:hAnsi="Arial"/>
          <w:i/>
          <w:color w:val="231F20"/>
          <w:spacing w:val="-2"/>
          <w:w w:val="99"/>
          <w:sz w:val="20"/>
        </w:rPr>
        <w:t>s</w:t>
      </w:r>
      <w:r>
        <w:rPr>
          <w:rFonts w:ascii="Arial" w:hAnsi="Arial"/>
          <w:i/>
          <w:color w:val="231F20"/>
          <w:spacing w:val="-2"/>
          <w:w w:val="121"/>
          <w:sz w:val="20"/>
        </w:rPr>
        <w:t>t</w:t>
      </w:r>
      <w:r>
        <w:rPr>
          <w:rFonts w:ascii="Arial" w:hAnsi="Arial"/>
          <w:i/>
          <w:color w:val="231F20"/>
          <w:spacing w:val="-1"/>
          <w:w w:val="101"/>
          <w:sz w:val="20"/>
        </w:rPr>
        <w:t>i</w:t>
      </w:r>
      <w:r>
        <w:rPr>
          <w:rFonts w:ascii="Arial" w:hAnsi="Arial"/>
          <w:i/>
          <w:color w:val="231F20"/>
          <w:spacing w:val="-2"/>
          <w:w w:val="106"/>
          <w:sz w:val="20"/>
        </w:rPr>
        <w:t>c</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5"/>
          <w:w w:val="88"/>
          <w:sz w:val="20"/>
        </w:rPr>
        <w:t>S</w:t>
      </w:r>
      <w:r>
        <w:rPr>
          <w:rFonts w:ascii="Arial" w:hAnsi="Arial"/>
          <w:i/>
          <w:color w:val="231F20"/>
          <w:spacing w:val="-3"/>
          <w:sz w:val="20"/>
        </w:rPr>
        <w:t>y</w:t>
      </w:r>
      <w:r>
        <w:rPr>
          <w:rFonts w:ascii="Arial" w:hAnsi="Arial"/>
          <w:i/>
          <w:color w:val="231F20"/>
          <w:spacing w:val="-2"/>
          <w:w w:val="95"/>
          <w:sz w:val="20"/>
        </w:rPr>
        <w:t>s</w:t>
      </w:r>
      <w:r>
        <w:rPr>
          <w:rFonts w:ascii="Arial" w:hAnsi="Arial"/>
          <w:i/>
          <w:color w:val="231F20"/>
          <w:spacing w:val="-6"/>
          <w:w w:val="121"/>
          <w:sz w:val="20"/>
        </w:rPr>
        <w:t>t</w:t>
      </w:r>
      <w:r>
        <w:rPr>
          <w:rFonts w:ascii="Arial" w:hAnsi="Arial"/>
          <w:i/>
          <w:color w:val="231F20"/>
          <w:w w:val="96"/>
          <w:sz w:val="20"/>
        </w:rPr>
        <w:t>e</w:t>
      </w:r>
      <w:r>
        <w:rPr>
          <w:rFonts w:ascii="Arial" w:hAnsi="Arial"/>
          <w:i/>
          <w:color w:val="231F20"/>
          <w:spacing w:val="-6"/>
          <w:w w:val="106"/>
          <w:sz w:val="20"/>
        </w:rPr>
        <w:t>m</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1"/>
          <w:w w:val="80"/>
          <w:sz w:val="20"/>
        </w:rPr>
        <w:t>i</w:t>
      </w:r>
      <w:r>
        <w:rPr>
          <w:rFonts w:ascii="Trebuchet MS" w:hAnsi="Trebuchet MS"/>
          <w:color w:val="231F20"/>
          <w:spacing w:val="-3"/>
          <w:w w:val="105"/>
          <w:sz w:val="20"/>
        </w:rPr>
        <w:t>a</w:t>
      </w:r>
      <w:r>
        <w:rPr>
          <w:rFonts w:ascii="Trebuchet MS" w:hAnsi="Trebuchet MS"/>
          <w:color w:val="231F20"/>
          <w:spacing w:val="-2"/>
          <w:w w:val="96"/>
          <w:sz w:val="20"/>
        </w:rPr>
        <w:t>l</w:t>
      </w:r>
      <w:r>
        <w:rPr>
          <w:rFonts w:ascii="Trebuchet MS" w:hAnsi="Trebuchet MS"/>
          <w:color w:val="231F20"/>
          <w:spacing w:val="-7"/>
          <w:w w:val="96"/>
          <w:sz w:val="20"/>
        </w:rPr>
        <w:t>l</w:t>
      </w:r>
      <w:r>
        <w:rPr>
          <w:rFonts w:ascii="Trebuchet MS" w:hAnsi="Trebuchet MS"/>
          <w:color w:val="231F20"/>
          <w:w w:val="110"/>
          <w:sz w:val="20"/>
        </w:rPr>
        <w:t xml:space="preserve">y </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2"/>
          <w:w w:val="111"/>
          <w:sz w:val="20"/>
        </w:rPr>
        <w:t>m</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2"/>
          <w:w w:val="112"/>
          <w:sz w:val="20"/>
        </w:rPr>
        <w:t>d</w:t>
      </w:r>
      <w:r>
        <w:rPr>
          <w:rFonts w:ascii="Trebuchet MS" w:hAnsi="Trebuchet MS"/>
          <w:color w:val="231F20"/>
          <w:spacing w:val="-4"/>
          <w:w w:val="105"/>
          <w:sz w:val="20"/>
        </w:rPr>
        <w:t>a</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1"/>
          <w:w w:val="102"/>
          <w:sz w:val="20"/>
        </w:rPr>
        <w:t>3</w:t>
      </w:r>
      <w:r>
        <w:rPr>
          <w:rFonts w:ascii="Trebuchet MS" w:hAnsi="Trebuchet MS"/>
          <w:color w:val="231F20"/>
          <w:spacing w:val="-1"/>
          <w:w w:val="115"/>
          <w:sz w:val="20"/>
        </w:rPr>
        <w:t>6</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4"/>
          <w:w w:val="102"/>
          <w:sz w:val="20"/>
        </w:rPr>
        <w:t>3</w:t>
      </w:r>
      <w:r>
        <w:rPr>
          <w:rFonts w:ascii="Trebuchet MS" w:hAnsi="Trebuchet MS"/>
          <w:color w:val="231F20"/>
          <w:spacing w:val="-17"/>
          <w:w w:val="102"/>
          <w:sz w:val="20"/>
        </w:rPr>
        <w:t>7</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3"/>
          <w:w w:val="106"/>
          <w:sz w:val="20"/>
        </w:rPr>
        <w:t>4</w:t>
      </w:r>
      <w:r>
        <w:rPr>
          <w:rFonts w:ascii="Trebuchet MS" w:hAnsi="Trebuchet MS"/>
          <w:color w:val="231F20"/>
          <w:spacing w:val="-3"/>
          <w:w w:val="117"/>
          <w:sz w:val="20"/>
        </w:rPr>
        <w:t>0</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1"/>
          <w:w w:val="106"/>
          <w:sz w:val="20"/>
        </w:rPr>
        <w:t>4</w:t>
      </w:r>
      <w:r>
        <w:rPr>
          <w:rFonts w:ascii="Trebuchet MS" w:hAnsi="Trebuchet MS"/>
          <w:color w:val="231F20"/>
          <w:spacing w:val="1"/>
          <w:w w:val="102"/>
          <w:sz w:val="20"/>
        </w:rPr>
        <w:t>2</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3"/>
          <w:w w:val="106"/>
          <w:sz w:val="20"/>
        </w:rPr>
        <w:t>4</w:t>
      </w:r>
      <w:r>
        <w:rPr>
          <w:rFonts w:ascii="Trebuchet MS" w:hAnsi="Trebuchet MS"/>
          <w:color w:val="231F20"/>
          <w:w w:val="112"/>
          <w:sz w:val="20"/>
        </w:rPr>
        <w:t>9</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4"/>
          <w:w w:val="104"/>
          <w:sz w:val="20"/>
        </w:rPr>
        <w:t>5</w:t>
      </w:r>
      <w:r>
        <w:rPr>
          <w:rFonts w:ascii="Trebuchet MS" w:hAnsi="Trebuchet MS"/>
          <w:color w:val="231F20"/>
          <w:spacing w:val="-3"/>
          <w:w w:val="117"/>
          <w:sz w:val="20"/>
        </w:rPr>
        <w:t>0</w:t>
      </w:r>
      <w:r>
        <w:rPr>
          <w:rFonts w:ascii="Trebuchet MS" w:hAnsi="Trebuchet MS"/>
          <w:color w:val="231F20"/>
          <w:w w:val="55"/>
          <w:sz w:val="20"/>
        </w:rPr>
        <w:t>.</w:t>
      </w:r>
    </w:p>
    <w:p w14:paraId="64B57867" w14:textId="77777777" w:rsidR="00894070" w:rsidRDefault="009B7AFD">
      <w:pPr>
        <w:pStyle w:val="ListParagraph"/>
        <w:numPr>
          <w:ilvl w:val="0"/>
          <w:numId w:val="191"/>
        </w:numPr>
        <w:tabs>
          <w:tab w:val="left" w:pos="1801"/>
          <w:tab w:val="left" w:pos="1802"/>
          <w:tab w:val="left" w:pos="2481"/>
        </w:tabs>
        <w:spacing w:before="90" w:line="247" w:lineRule="auto"/>
        <w:ind w:left="2481" w:right="1390" w:hanging="1474"/>
        <w:rPr>
          <w:rFonts w:ascii="Trebuchet MS"/>
          <w:sz w:val="20"/>
        </w:rPr>
      </w:pPr>
      <w:r>
        <w:rPr>
          <w:rFonts w:ascii="Trebuchet MS"/>
          <w:color w:val="231F20"/>
          <w:spacing w:val="1"/>
          <w:w w:val="105"/>
          <w:sz w:val="20"/>
        </w:rPr>
        <w:t>a</w:t>
      </w:r>
      <w:r>
        <w:rPr>
          <w:rFonts w:ascii="Trebuchet MS"/>
          <w:color w:val="231F20"/>
          <w:w w:val="55"/>
          <w:sz w:val="20"/>
        </w:rPr>
        <w:t>.</w:t>
      </w:r>
      <w:r>
        <w:rPr>
          <w:rFonts w:ascii="Trebuchet MS"/>
          <w:color w:val="231F20"/>
          <w:sz w:val="20"/>
        </w:rPr>
        <w:tab/>
      </w:r>
      <w:r>
        <w:rPr>
          <w:rFonts w:ascii="Trebuchet MS"/>
          <w:color w:val="231F20"/>
          <w:spacing w:val="-2"/>
          <w:w w:val="103"/>
          <w:sz w:val="20"/>
        </w:rPr>
        <w:t>I</w:t>
      </w:r>
      <w:r>
        <w:rPr>
          <w:rFonts w:ascii="Trebuchet MS"/>
          <w:color w:val="231F20"/>
          <w:w w:val="103"/>
          <w:sz w:val="20"/>
        </w:rPr>
        <w:t>n</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2"/>
          <w:w w:val="108"/>
          <w:sz w:val="20"/>
        </w:rPr>
        <w:t>mp</w:t>
      </w:r>
      <w:r>
        <w:rPr>
          <w:rFonts w:ascii="Trebuchet MS"/>
          <w:color w:val="231F20"/>
          <w:spacing w:val="-3"/>
          <w:w w:val="108"/>
          <w:sz w:val="20"/>
        </w:rPr>
        <w:t>l</w:t>
      </w:r>
      <w:r>
        <w:rPr>
          <w:rFonts w:ascii="Trebuchet MS"/>
          <w:color w:val="231F20"/>
          <w:spacing w:val="-1"/>
          <w:w w:val="108"/>
          <w:sz w:val="20"/>
        </w:rPr>
        <w:t>e</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5"/>
          <w:sz w:val="20"/>
        </w:rPr>
        <w:t>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4"/>
          <w:w w:val="108"/>
          <w:sz w:val="20"/>
        </w:rPr>
        <w:t>e</w:t>
      </w:r>
      <w:r>
        <w:rPr>
          <w:rFonts w:ascii="Trebuchet MS"/>
          <w:color w:val="231F20"/>
          <w:spacing w:val="-5"/>
          <w:w w:val="92"/>
          <w:sz w:val="20"/>
        </w:rPr>
        <w:t>f</w:t>
      </w:r>
      <w:r>
        <w:rPr>
          <w:rFonts w:ascii="Trebuchet MS"/>
          <w:color w:val="231F20"/>
          <w:spacing w:val="-1"/>
          <w:w w:val="111"/>
          <w:sz w:val="20"/>
        </w:rPr>
        <w:t>o</w:t>
      </w:r>
      <w:r>
        <w:rPr>
          <w:rFonts w:ascii="Trebuchet MS"/>
          <w:color w:val="231F20"/>
          <w:spacing w:val="-2"/>
          <w:w w:val="93"/>
          <w:sz w:val="20"/>
        </w:rPr>
        <w:t>r</w:t>
      </w:r>
      <w:r>
        <w:rPr>
          <w:rFonts w:ascii="Trebuchet MS"/>
          <w:color w:val="231F20"/>
          <w:spacing w:val="-2"/>
          <w:w w:val="114"/>
          <w:sz w:val="20"/>
        </w:rPr>
        <w:t>m</w:t>
      </w:r>
      <w:r>
        <w:rPr>
          <w:rFonts w:ascii="Trebuchet MS"/>
          <w:color w:val="231F20"/>
          <w:w w:val="114"/>
          <w:sz w:val="20"/>
        </w:rPr>
        <w:t>s</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96"/>
          <w:sz w:val="20"/>
        </w:rPr>
        <w:t>cti</w:t>
      </w:r>
      <w:r>
        <w:rPr>
          <w:rFonts w:ascii="Trebuchet MS"/>
          <w:color w:val="231F20"/>
          <w:w w:val="111"/>
          <w:sz w:val="20"/>
        </w:rPr>
        <w:t>m</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1"/>
          <w:w w:val="111"/>
          <w:sz w:val="20"/>
        </w:rPr>
        <w:t>ppo</w:t>
      </w:r>
      <w:r>
        <w:rPr>
          <w:rFonts w:ascii="Trebuchet MS"/>
          <w:color w:val="231F20"/>
          <w:spacing w:val="2"/>
          <w:w w:val="93"/>
          <w:sz w:val="20"/>
        </w:rPr>
        <w:t>r</w:t>
      </w:r>
      <w:r>
        <w:rPr>
          <w:rFonts w:ascii="Trebuchet MS"/>
          <w:color w:val="231F20"/>
          <w:spacing w:val="1"/>
          <w:w w:val="88"/>
          <w:sz w:val="20"/>
        </w:rPr>
        <w:t>t</w:t>
      </w:r>
      <w:r>
        <w:rPr>
          <w:rFonts w:ascii="Trebuchet MS"/>
          <w:color w:val="231F20"/>
          <w:w w:val="57"/>
          <w:sz w:val="20"/>
        </w:rPr>
        <w:t>,</w:t>
      </w:r>
      <w:r>
        <w:rPr>
          <w:rFonts w:ascii="Trebuchet MS"/>
          <w:color w:val="231F20"/>
          <w:spacing w:val="-14"/>
          <w:sz w:val="20"/>
        </w:rPr>
        <w:t xml:space="preserve"> </w:t>
      </w:r>
      <w:r>
        <w:rPr>
          <w:rFonts w:ascii="Trebuchet MS"/>
          <w:color w:val="231F20"/>
          <w:spacing w:val="-2"/>
          <w:w w:val="99"/>
          <w:sz w:val="20"/>
        </w:rPr>
        <w:t>t</w:t>
      </w:r>
      <w:r>
        <w:rPr>
          <w:rFonts w:ascii="Trebuchet MS"/>
          <w:color w:val="231F20"/>
          <w:spacing w:val="-1"/>
          <w:w w:val="99"/>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01"/>
          <w:sz w:val="20"/>
        </w:rPr>
        <w:t>c</w:t>
      </w:r>
      <w:r>
        <w:rPr>
          <w:rFonts w:ascii="Trebuchet MS"/>
          <w:color w:val="231F20"/>
          <w:spacing w:val="-4"/>
          <w:w w:val="101"/>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spacing w:val="-2"/>
          <w:w w:val="106"/>
          <w:sz w:val="20"/>
        </w:rPr>
        <w:t>a</w:t>
      </w:r>
      <w:r>
        <w:rPr>
          <w:rFonts w:ascii="Trebuchet MS"/>
          <w:color w:val="231F20"/>
          <w:w w:val="106"/>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9"/>
          <w:sz w:val="20"/>
        </w:rPr>
        <w:t>n</w:t>
      </w:r>
      <w:r>
        <w:rPr>
          <w:rFonts w:ascii="Trebuchet MS"/>
          <w:color w:val="231F20"/>
          <w:spacing w:val="-1"/>
          <w:w w:val="109"/>
          <w:sz w:val="20"/>
        </w:rPr>
        <w:t>m</w:t>
      </w:r>
      <w:r>
        <w:rPr>
          <w:rFonts w:ascii="Trebuchet MS"/>
          <w:color w:val="231F20"/>
          <w:spacing w:val="-1"/>
          <w:w w:val="108"/>
          <w:sz w:val="20"/>
        </w:rPr>
        <w:t>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 xml:space="preserve">d </w:t>
      </w:r>
      <w:r>
        <w:rPr>
          <w:rFonts w:ascii="Trebuchet MS"/>
          <w:color w:val="231F20"/>
          <w:w w:val="105"/>
          <w:sz w:val="20"/>
        </w:rPr>
        <w:t>ensure</w:t>
      </w:r>
      <w:r>
        <w:rPr>
          <w:rFonts w:ascii="Trebuchet MS"/>
          <w:color w:val="231F20"/>
          <w:spacing w:val="-18"/>
          <w:w w:val="105"/>
          <w:sz w:val="20"/>
        </w:rPr>
        <w:t xml:space="preserve"> </w:t>
      </w:r>
      <w:r>
        <w:rPr>
          <w:rFonts w:ascii="Trebuchet MS"/>
          <w:color w:val="231F20"/>
          <w:w w:val="105"/>
          <w:sz w:val="20"/>
        </w:rPr>
        <w:t>that</w:t>
      </w:r>
      <w:r>
        <w:rPr>
          <w:rFonts w:ascii="Trebuchet MS"/>
          <w:color w:val="231F20"/>
          <w:spacing w:val="-18"/>
          <w:w w:val="105"/>
          <w:sz w:val="20"/>
        </w:rPr>
        <w:t xml:space="preserve"> </w:t>
      </w:r>
      <w:r>
        <w:rPr>
          <w:rFonts w:ascii="Trebuchet MS"/>
          <w:color w:val="231F20"/>
          <w:w w:val="105"/>
          <w:sz w:val="20"/>
        </w:rPr>
        <w:t>victim</w:t>
      </w:r>
      <w:r>
        <w:rPr>
          <w:rFonts w:ascii="Trebuchet MS"/>
          <w:color w:val="231F20"/>
          <w:spacing w:val="-18"/>
          <w:w w:val="105"/>
          <w:sz w:val="20"/>
        </w:rPr>
        <w:t xml:space="preserve"> </w:t>
      </w:r>
      <w:r>
        <w:rPr>
          <w:rFonts w:ascii="Trebuchet MS"/>
          <w:color w:val="231F20"/>
          <w:w w:val="105"/>
          <w:sz w:val="20"/>
        </w:rPr>
        <w:t>survivors</w:t>
      </w:r>
      <w:r>
        <w:rPr>
          <w:rFonts w:ascii="Trebuchet MS"/>
          <w:color w:val="231F20"/>
          <w:spacing w:val="-18"/>
          <w:w w:val="105"/>
          <w:sz w:val="20"/>
        </w:rPr>
        <w:t xml:space="preserve"> </w:t>
      </w:r>
      <w:r>
        <w:rPr>
          <w:rFonts w:ascii="Trebuchet MS"/>
          <w:color w:val="231F20"/>
          <w:w w:val="105"/>
          <w:sz w:val="20"/>
        </w:rPr>
        <w:t>of</w:t>
      </w:r>
      <w:r>
        <w:rPr>
          <w:rFonts w:ascii="Trebuchet MS"/>
          <w:color w:val="231F20"/>
          <w:spacing w:val="-18"/>
          <w:w w:val="105"/>
          <w:sz w:val="20"/>
        </w:rPr>
        <w:t xml:space="preserve"> </w:t>
      </w:r>
      <w:r>
        <w:rPr>
          <w:rFonts w:ascii="Trebuchet MS"/>
          <w:color w:val="231F20"/>
          <w:spacing w:val="-3"/>
          <w:w w:val="105"/>
          <w:sz w:val="20"/>
        </w:rPr>
        <w:t>non-family</w:t>
      </w:r>
      <w:r>
        <w:rPr>
          <w:rFonts w:ascii="Trebuchet MS"/>
          <w:color w:val="231F20"/>
          <w:spacing w:val="-18"/>
          <w:w w:val="105"/>
          <w:sz w:val="20"/>
        </w:rPr>
        <w:t xml:space="preserve"> </w:t>
      </w:r>
      <w:r>
        <w:rPr>
          <w:rFonts w:ascii="Trebuchet MS"/>
          <w:color w:val="231F20"/>
          <w:w w:val="105"/>
          <w:sz w:val="20"/>
        </w:rPr>
        <w:t>violence</w:t>
      </w:r>
      <w:r>
        <w:rPr>
          <w:rFonts w:ascii="Trebuchet MS"/>
          <w:color w:val="231F20"/>
          <w:spacing w:val="-18"/>
          <w:w w:val="105"/>
          <w:sz w:val="20"/>
        </w:rPr>
        <w:t xml:space="preserve"> </w:t>
      </w:r>
      <w:r>
        <w:rPr>
          <w:rFonts w:ascii="Trebuchet MS"/>
          <w:color w:val="231F20"/>
          <w:w w:val="105"/>
          <w:sz w:val="20"/>
        </w:rPr>
        <w:t>stalking</w:t>
      </w:r>
      <w:r>
        <w:rPr>
          <w:rFonts w:ascii="Trebuchet MS"/>
          <w:color w:val="231F20"/>
          <w:spacing w:val="-18"/>
          <w:w w:val="105"/>
          <w:sz w:val="20"/>
        </w:rPr>
        <w:t xml:space="preserve"> </w:t>
      </w:r>
      <w:r>
        <w:rPr>
          <w:rFonts w:ascii="Trebuchet MS"/>
          <w:color w:val="231F20"/>
          <w:spacing w:val="-3"/>
          <w:w w:val="105"/>
          <w:sz w:val="20"/>
        </w:rPr>
        <w:t>receive</w:t>
      </w:r>
      <w:r>
        <w:rPr>
          <w:rFonts w:ascii="Trebuchet MS"/>
          <w:color w:val="231F20"/>
          <w:spacing w:val="-18"/>
          <w:w w:val="105"/>
          <w:sz w:val="20"/>
        </w:rPr>
        <w:t xml:space="preserve"> </w:t>
      </w:r>
      <w:r>
        <w:rPr>
          <w:rFonts w:ascii="Trebuchet MS"/>
          <w:color w:val="231F20"/>
          <w:w w:val="105"/>
          <w:sz w:val="20"/>
        </w:rPr>
        <w:t xml:space="preserve">support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4"/>
          <w:w w:val="105"/>
          <w:sz w:val="20"/>
        </w:rPr>
        <w:t>a</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2"/>
          <w:w w:val="93"/>
          <w:sz w:val="20"/>
        </w:rPr>
        <w:t>r</w:t>
      </w:r>
      <w:r>
        <w:rPr>
          <w:rFonts w:ascii="Trebuchet MS"/>
          <w:color w:val="231F20"/>
          <w:spacing w:val="-2"/>
          <w:w w:val="108"/>
          <w:sz w:val="20"/>
        </w:rPr>
        <w:t>ac</w:t>
      </w:r>
      <w:r>
        <w:rPr>
          <w:rFonts w:ascii="Trebuchet MS"/>
          <w:color w:val="231F20"/>
          <w:spacing w:val="-2"/>
          <w:w w:val="88"/>
          <w:sz w:val="20"/>
        </w:rPr>
        <w:t>t</w:t>
      </w:r>
      <w:r>
        <w:rPr>
          <w:rFonts w:ascii="Trebuchet MS"/>
          <w:color w:val="231F20"/>
          <w:spacing w:val="-1"/>
          <w:w w:val="80"/>
          <w:sz w:val="20"/>
        </w:rPr>
        <w:t>i</w:t>
      </w:r>
      <w:r>
        <w:rPr>
          <w:rFonts w:ascii="Trebuchet MS"/>
          <w:color w:val="231F20"/>
          <w:w w:val="111"/>
          <w:sz w:val="20"/>
        </w:rPr>
        <w:t>c</w:t>
      </w:r>
      <w:r>
        <w:rPr>
          <w:rFonts w:ascii="Trebuchet MS"/>
          <w:color w:val="231F20"/>
          <w:spacing w:val="-3"/>
          <w:w w:val="105"/>
          <w:sz w:val="20"/>
        </w:rPr>
        <w:t>a</w:t>
      </w:r>
      <w:r>
        <w:rPr>
          <w:rFonts w:ascii="Trebuchet MS"/>
          <w:color w:val="231F20"/>
          <w:spacing w:val="2"/>
          <w:w w:val="96"/>
          <w:sz w:val="20"/>
        </w:rPr>
        <w:t>l</w:t>
      </w:r>
      <w:r>
        <w:rPr>
          <w:rFonts w:ascii="Trebuchet MS"/>
          <w:color w:val="231F20"/>
          <w:w w:val="57"/>
          <w:sz w:val="20"/>
        </w:rPr>
        <w:t>,</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2"/>
          <w:w w:val="80"/>
          <w:sz w:val="20"/>
        </w:rPr>
        <w:t>i</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1"/>
          <w:w w:val="124"/>
          <w:sz w:val="20"/>
        </w:rPr>
        <w:t>g</w:t>
      </w:r>
      <w:r>
        <w:rPr>
          <w:rFonts w:ascii="Trebuchet MS"/>
          <w:color w:val="231F20"/>
          <w:spacing w:val="-1"/>
          <w:w w:val="111"/>
          <w:sz w:val="20"/>
        </w:rPr>
        <w:t>o</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p w14:paraId="20D8E3CF" w14:textId="77777777" w:rsidR="00894070" w:rsidRDefault="009B7AFD">
      <w:pPr>
        <w:pStyle w:val="ListParagraph"/>
        <w:numPr>
          <w:ilvl w:val="0"/>
          <w:numId w:val="186"/>
        </w:numPr>
        <w:tabs>
          <w:tab w:val="left" w:pos="2481"/>
          <w:tab w:val="left" w:pos="2482"/>
        </w:tabs>
        <w:spacing w:before="87" w:line="247" w:lineRule="auto"/>
        <w:ind w:right="2002"/>
        <w:rPr>
          <w:rFonts w:ascii="Trebuchet MS"/>
          <w:sz w:val="20"/>
        </w:rPr>
      </w:pPr>
      <w:r>
        <w:rPr>
          <w:rFonts w:ascii="Trebuchet MS"/>
          <w:color w:val="231F20"/>
          <w:spacing w:val="-3"/>
          <w:w w:val="105"/>
          <w:sz w:val="20"/>
        </w:rPr>
        <w:t>For</w:t>
      </w:r>
      <w:r>
        <w:rPr>
          <w:rFonts w:ascii="Trebuchet MS"/>
          <w:color w:val="231F20"/>
          <w:spacing w:val="-22"/>
          <w:w w:val="105"/>
          <w:sz w:val="20"/>
        </w:rPr>
        <w:t xml:space="preserve"> </w:t>
      </w:r>
      <w:r>
        <w:rPr>
          <w:rFonts w:ascii="Trebuchet MS"/>
          <w:color w:val="231F20"/>
          <w:w w:val="105"/>
          <w:sz w:val="20"/>
        </w:rPr>
        <w:t>victim</w:t>
      </w:r>
      <w:r>
        <w:rPr>
          <w:rFonts w:ascii="Trebuchet MS"/>
          <w:color w:val="231F20"/>
          <w:spacing w:val="-22"/>
          <w:w w:val="105"/>
          <w:sz w:val="20"/>
        </w:rPr>
        <w:t xml:space="preserve"> </w:t>
      </w:r>
      <w:r>
        <w:rPr>
          <w:rFonts w:ascii="Trebuchet MS"/>
          <w:color w:val="231F20"/>
          <w:w w:val="105"/>
          <w:sz w:val="20"/>
        </w:rPr>
        <w:t>survivors</w:t>
      </w:r>
      <w:r>
        <w:rPr>
          <w:rFonts w:ascii="Trebuchet MS"/>
          <w:color w:val="231F20"/>
          <w:spacing w:val="-22"/>
          <w:w w:val="105"/>
          <w:sz w:val="20"/>
        </w:rPr>
        <w:t xml:space="preserve"> </w:t>
      </w:r>
      <w:r>
        <w:rPr>
          <w:rFonts w:ascii="Trebuchet MS"/>
          <w:color w:val="231F20"/>
          <w:w w:val="105"/>
          <w:sz w:val="20"/>
        </w:rPr>
        <w:t>of</w:t>
      </w:r>
      <w:r>
        <w:rPr>
          <w:rFonts w:ascii="Trebuchet MS"/>
          <w:color w:val="231F20"/>
          <w:spacing w:val="-22"/>
          <w:w w:val="105"/>
          <w:sz w:val="20"/>
        </w:rPr>
        <w:t xml:space="preserve"> </w:t>
      </w:r>
      <w:r>
        <w:rPr>
          <w:rFonts w:ascii="Trebuchet MS"/>
          <w:color w:val="231F20"/>
          <w:spacing w:val="-3"/>
          <w:w w:val="105"/>
          <w:sz w:val="20"/>
        </w:rPr>
        <w:t>non-family</w:t>
      </w:r>
      <w:r>
        <w:rPr>
          <w:rFonts w:ascii="Trebuchet MS"/>
          <w:color w:val="231F20"/>
          <w:spacing w:val="-22"/>
          <w:w w:val="105"/>
          <w:sz w:val="20"/>
        </w:rPr>
        <w:t xml:space="preserve"> </w:t>
      </w:r>
      <w:r>
        <w:rPr>
          <w:rFonts w:ascii="Trebuchet MS"/>
          <w:color w:val="231F20"/>
          <w:w w:val="105"/>
          <w:sz w:val="20"/>
        </w:rPr>
        <w:t>violence</w:t>
      </w:r>
      <w:r>
        <w:rPr>
          <w:rFonts w:ascii="Trebuchet MS"/>
          <w:color w:val="231F20"/>
          <w:spacing w:val="-22"/>
          <w:w w:val="105"/>
          <w:sz w:val="20"/>
        </w:rPr>
        <w:t xml:space="preserve"> </w:t>
      </w:r>
      <w:r>
        <w:rPr>
          <w:rFonts w:ascii="Trebuchet MS"/>
          <w:color w:val="231F20"/>
          <w:w w:val="105"/>
          <w:sz w:val="20"/>
        </w:rPr>
        <w:t>cyberstalking</w:t>
      </w:r>
      <w:r>
        <w:rPr>
          <w:rFonts w:ascii="Trebuchet MS"/>
          <w:color w:val="231F20"/>
          <w:spacing w:val="-22"/>
          <w:w w:val="105"/>
          <w:sz w:val="20"/>
        </w:rPr>
        <w:t xml:space="preserve"> </w:t>
      </w:r>
      <w:r>
        <w:rPr>
          <w:rFonts w:ascii="Trebuchet MS"/>
          <w:color w:val="231F20"/>
          <w:w w:val="105"/>
          <w:sz w:val="20"/>
        </w:rPr>
        <w:t>the</w:t>
      </w:r>
      <w:r>
        <w:rPr>
          <w:rFonts w:ascii="Trebuchet MS"/>
          <w:color w:val="231F20"/>
          <w:spacing w:val="-22"/>
          <w:w w:val="105"/>
          <w:sz w:val="20"/>
        </w:rPr>
        <w:t xml:space="preserve"> </w:t>
      </w:r>
      <w:r>
        <w:rPr>
          <w:rFonts w:ascii="Trebuchet MS"/>
          <w:color w:val="231F20"/>
          <w:w w:val="105"/>
          <w:sz w:val="20"/>
        </w:rPr>
        <w:t xml:space="preserve">Victorian </w:t>
      </w:r>
      <w:r>
        <w:rPr>
          <w:rFonts w:ascii="Trebuchet MS"/>
          <w:color w:val="231F20"/>
          <w:spacing w:val="-3"/>
          <w:w w:val="105"/>
          <w:sz w:val="20"/>
        </w:rPr>
        <w:t xml:space="preserve">Government </w:t>
      </w:r>
      <w:r>
        <w:rPr>
          <w:rFonts w:ascii="Trebuchet MS"/>
          <w:color w:val="231F20"/>
          <w:w w:val="105"/>
          <w:sz w:val="20"/>
        </w:rPr>
        <w:t xml:space="preserve">should also ensure that the support provided </w:t>
      </w:r>
      <w:r>
        <w:rPr>
          <w:rFonts w:ascii="Trebuchet MS"/>
          <w:color w:val="231F20"/>
          <w:spacing w:val="-3"/>
          <w:w w:val="105"/>
          <w:sz w:val="20"/>
        </w:rPr>
        <w:t xml:space="preserve">by private </w:t>
      </w:r>
      <w:r>
        <w:rPr>
          <w:rFonts w:ascii="Trebuchet MS"/>
          <w:color w:val="231F20"/>
          <w:spacing w:val="-4"/>
          <w:w w:val="88"/>
          <w:sz w:val="20"/>
        </w:rPr>
        <w:t>t</w:t>
      </w:r>
      <w:r>
        <w:rPr>
          <w:rFonts w:ascii="Trebuchet MS"/>
          <w:color w:val="231F20"/>
          <w:w w:val="108"/>
          <w:sz w:val="20"/>
        </w:rPr>
        <w:t>e</w:t>
      </w:r>
      <w:r>
        <w:rPr>
          <w:rFonts w:ascii="Trebuchet MS"/>
          <w:color w:val="231F20"/>
          <w:spacing w:val="-2"/>
          <w:w w:val="111"/>
          <w:sz w:val="20"/>
        </w:rPr>
        <w:t>c</w:t>
      </w:r>
      <w:r>
        <w:rPr>
          <w:rFonts w:ascii="Trebuchet MS"/>
          <w:color w:val="231F20"/>
          <w:spacing w:val="-2"/>
          <w:w w:val="107"/>
          <w:sz w:val="20"/>
        </w:rPr>
        <w:t>h</w:t>
      </w:r>
      <w:r>
        <w:rPr>
          <w:rFonts w:ascii="Trebuchet MS"/>
          <w:color w:val="231F20"/>
          <w:spacing w:val="-1"/>
          <w:w w:val="107"/>
          <w:sz w:val="20"/>
        </w:rPr>
        <w:t>n</w:t>
      </w:r>
      <w:r>
        <w:rPr>
          <w:rFonts w:ascii="Trebuchet MS"/>
          <w:color w:val="231F20"/>
          <w:spacing w:val="-2"/>
          <w:w w:val="106"/>
          <w:sz w:val="20"/>
        </w:rPr>
        <w:t>o</w:t>
      </w:r>
      <w:r>
        <w:rPr>
          <w:rFonts w:ascii="Trebuchet MS"/>
          <w:color w:val="231F20"/>
          <w:spacing w:val="-3"/>
          <w:w w:val="106"/>
          <w:sz w:val="20"/>
        </w:rPr>
        <w:t>l</w:t>
      </w:r>
      <w:r>
        <w:rPr>
          <w:rFonts w:ascii="Trebuchet MS"/>
          <w:color w:val="231F20"/>
          <w:spacing w:val="-1"/>
          <w:w w:val="111"/>
          <w:sz w:val="20"/>
        </w:rPr>
        <w:t>o</w:t>
      </w:r>
      <w:r>
        <w:rPr>
          <w:rFonts w:ascii="Trebuchet MS"/>
          <w:color w:val="231F20"/>
          <w:spacing w:val="-2"/>
          <w:w w:val="124"/>
          <w:sz w:val="20"/>
        </w:rPr>
        <w:t>g</w:t>
      </w:r>
      <w:r>
        <w:rPr>
          <w:rFonts w:ascii="Trebuchet MS"/>
          <w:color w:val="231F20"/>
          <w:w w:val="110"/>
          <w:sz w:val="20"/>
        </w:rPr>
        <w:t>y</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11"/>
          <w:sz w:val="20"/>
        </w:rPr>
        <w:t>m</w:t>
      </w:r>
      <w:r>
        <w:rPr>
          <w:rFonts w:ascii="Trebuchet MS"/>
          <w:color w:val="231F20"/>
          <w:spacing w:val="-1"/>
          <w:w w:val="111"/>
          <w:sz w:val="20"/>
        </w:rPr>
        <w:t>p</w:t>
      </w:r>
      <w:r>
        <w:rPr>
          <w:rFonts w:ascii="Trebuchet MS"/>
          <w:color w:val="231F20"/>
          <w:spacing w:val="-2"/>
          <w:w w:val="101"/>
          <w:sz w:val="20"/>
        </w:rPr>
        <w:t>an</w:t>
      </w:r>
      <w:r>
        <w:rPr>
          <w:rFonts w:ascii="Trebuchet MS"/>
          <w:color w:val="231F20"/>
          <w:spacing w:val="-1"/>
          <w:w w:val="101"/>
          <w:sz w:val="20"/>
        </w:rPr>
        <w:t>i</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16"/>
          <w:sz w:val="20"/>
        </w:rPr>
        <w:t>gu</w:t>
      </w:r>
      <w:r>
        <w:rPr>
          <w:rFonts w:ascii="Trebuchet MS"/>
          <w:color w:val="231F20"/>
          <w:spacing w:val="1"/>
          <w:w w:val="96"/>
          <w:sz w:val="20"/>
        </w:rPr>
        <w:t>l</w:t>
      </w:r>
      <w:r>
        <w:rPr>
          <w:rFonts w:ascii="Trebuchet MS"/>
          <w:color w:val="231F20"/>
          <w:spacing w:val="-4"/>
          <w:w w:val="105"/>
          <w:sz w:val="20"/>
        </w:rPr>
        <w:t>a</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06"/>
          <w:sz w:val="20"/>
        </w:rPr>
        <w:t>a</w:t>
      </w:r>
      <w:r>
        <w:rPr>
          <w:rFonts w:ascii="Trebuchet MS"/>
          <w:color w:val="231F20"/>
          <w:spacing w:val="-1"/>
          <w:w w:val="106"/>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55"/>
          <w:sz w:val="20"/>
        </w:rPr>
        <w:t>.</w:t>
      </w:r>
    </w:p>
    <w:p w14:paraId="3BA82E40" w14:textId="77777777" w:rsidR="00894070" w:rsidRDefault="009B7AFD">
      <w:pPr>
        <w:pStyle w:val="ListParagraph"/>
        <w:numPr>
          <w:ilvl w:val="0"/>
          <w:numId w:val="186"/>
        </w:numPr>
        <w:tabs>
          <w:tab w:val="left" w:pos="2481"/>
          <w:tab w:val="left" w:pos="2482"/>
        </w:tabs>
        <w:spacing w:before="122" w:line="247" w:lineRule="auto"/>
        <w:ind w:right="1165"/>
        <w:rPr>
          <w:rFonts w:ascii="Trebuchet MS"/>
          <w:sz w:val="20"/>
        </w:rPr>
      </w:pPr>
      <w:r>
        <w:rPr>
          <w:rFonts w:ascii="Trebuchet MS"/>
          <w:color w:val="231F20"/>
          <w:sz w:val="20"/>
        </w:rPr>
        <w:t xml:space="preserve">The Victorian </w:t>
      </w:r>
      <w:r>
        <w:rPr>
          <w:rFonts w:ascii="Trebuchet MS"/>
          <w:color w:val="231F20"/>
          <w:spacing w:val="-3"/>
          <w:sz w:val="20"/>
        </w:rPr>
        <w:t xml:space="preserve">Government </w:t>
      </w:r>
      <w:r>
        <w:rPr>
          <w:rFonts w:ascii="Trebuchet MS"/>
          <w:color w:val="231F20"/>
          <w:sz w:val="20"/>
        </w:rPr>
        <w:t xml:space="preserve">should ensure that for victim survivors of </w:t>
      </w:r>
      <w:r>
        <w:rPr>
          <w:rFonts w:ascii="Trebuchet MS"/>
          <w:color w:val="231F20"/>
          <w:spacing w:val="-3"/>
          <w:sz w:val="20"/>
        </w:rPr>
        <w:t xml:space="preserve">non-family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7"/>
          <w:sz w:val="20"/>
        </w:rPr>
        <w:t>,</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1"/>
          <w:w w:val="107"/>
          <w:sz w:val="20"/>
        </w:rPr>
        <w:t>n</w:t>
      </w:r>
      <w:r>
        <w:rPr>
          <w:rFonts w:ascii="Trebuchet MS"/>
          <w:color w:val="231F20"/>
          <w:spacing w:val="-3"/>
          <w:w w:val="111"/>
          <w:sz w:val="20"/>
        </w:rPr>
        <w:t>c</w:t>
      </w:r>
      <w:r>
        <w:rPr>
          <w:rFonts w:ascii="Trebuchet MS"/>
          <w:color w:val="231F20"/>
          <w:spacing w:val="-3"/>
          <w:w w:val="96"/>
          <w:sz w:val="20"/>
        </w:rPr>
        <w:t>l</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11"/>
          <w:sz w:val="20"/>
        </w:rPr>
        <w:t>cy</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2"/>
          <w:w w:val="124"/>
          <w:sz w:val="20"/>
        </w:rPr>
        <w:t>g</w:t>
      </w:r>
      <w:r>
        <w:rPr>
          <w:rFonts w:ascii="Trebuchet MS"/>
          <w:color w:val="231F20"/>
          <w:w w:val="54"/>
          <w:sz w:val="20"/>
        </w:rPr>
        <w:t>:</w:t>
      </w:r>
    </w:p>
    <w:p w14:paraId="3E0333FA" w14:textId="77777777" w:rsidR="00894070" w:rsidRDefault="009B7AFD">
      <w:pPr>
        <w:pStyle w:val="ListParagraph"/>
        <w:numPr>
          <w:ilvl w:val="1"/>
          <w:numId w:val="186"/>
        </w:numPr>
        <w:tabs>
          <w:tab w:val="left" w:pos="3161"/>
          <w:tab w:val="left" w:pos="3162"/>
        </w:tabs>
        <w:spacing w:before="122"/>
        <w:ind w:hanging="680"/>
        <w:rPr>
          <w:rFonts w:ascii="Trebuchet MS" w:hAnsi="Trebuchet MS"/>
          <w:sz w:val="20"/>
        </w:rPr>
      </w:pPr>
      <w:r>
        <w:rPr>
          <w:rFonts w:ascii="Trebuchet MS" w:hAnsi="Trebuchet MS"/>
          <w:color w:val="231F20"/>
          <w:spacing w:val="-4"/>
          <w:w w:val="105"/>
          <w:sz w:val="20"/>
        </w:rPr>
        <w:t>pathways</w:t>
      </w:r>
      <w:r>
        <w:rPr>
          <w:rFonts w:ascii="Trebuchet MS" w:hAnsi="Trebuchet MS"/>
          <w:color w:val="231F20"/>
          <w:spacing w:val="-17"/>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spacing w:val="-3"/>
          <w:w w:val="105"/>
          <w:sz w:val="20"/>
        </w:rPr>
        <w:t>early</w:t>
      </w:r>
      <w:r>
        <w:rPr>
          <w:rFonts w:ascii="Trebuchet MS" w:hAnsi="Trebuchet MS"/>
          <w:color w:val="231F20"/>
          <w:spacing w:val="-16"/>
          <w:w w:val="105"/>
          <w:sz w:val="20"/>
        </w:rPr>
        <w:t xml:space="preserve"> </w:t>
      </w:r>
      <w:r>
        <w:rPr>
          <w:rFonts w:ascii="Trebuchet MS" w:hAnsi="Trebuchet MS"/>
          <w:color w:val="231F20"/>
          <w:w w:val="105"/>
          <w:sz w:val="20"/>
        </w:rPr>
        <w:t>support</w:t>
      </w:r>
      <w:r>
        <w:rPr>
          <w:rFonts w:ascii="Trebuchet MS" w:hAnsi="Trebuchet MS"/>
          <w:color w:val="231F20"/>
          <w:spacing w:val="-16"/>
          <w:w w:val="105"/>
          <w:sz w:val="20"/>
        </w:rPr>
        <w:t xml:space="preserve"> </w:t>
      </w:r>
      <w:r>
        <w:rPr>
          <w:rFonts w:ascii="Trebuchet MS" w:hAnsi="Trebuchet MS"/>
          <w:color w:val="231F20"/>
          <w:spacing w:val="-2"/>
          <w:w w:val="105"/>
          <w:sz w:val="20"/>
        </w:rPr>
        <w:t>are</w:t>
      </w:r>
      <w:r>
        <w:rPr>
          <w:rFonts w:ascii="Trebuchet MS" w:hAnsi="Trebuchet MS"/>
          <w:color w:val="231F20"/>
          <w:spacing w:val="-16"/>
          <w:w w:val="105"/>
          <w:sz w:val="20"/>
        </w:rPr>
        <w:t xml:space="preserve"> </w:t>
      </w:r>
      <w:r>
        <w:rPr>
          <w:rFonts w:ascii="Trebuchet MS" w:hAnsi="Trebuchet MS"/>
          <w:color w:val="231F20"/>
          <w:spacing w:val="-3"/>
          <w:w w:val="105"/>
          <w:sz w:val="20"/>
        </w:rPr>
        <w:t>developed</w:t>
      </w:r>
    </w:p>
    <w:p w14:paraId="1BEDD8C9" w14:textId="77777777" w:rsidR="00894070" w:rsidRDefault="009B7AFD">
      <w:pPr>
        <w:pStyle w:val="ListParagraph"/>
        <w:numPr>
          <w:ilvl w:val="1"/>
          <w:numId w:val="186"/>
        </w:numPr>
        <w:tabs>
          <w:tab w:val="left" w:pos="3161"/>
          <w:tab w:val="left" w:pos="3162"/>
        </w:tabs>
        <w:spacing w:before="93"/>
        <w:ind w:hanging="680"/>
        <w:rPr>
          <w:rFonts w:ascii="Trebuchet MS" w:hAnsi="Trebuchet MS"/>
          <w:sz w:val="20"/>
        </w:rPr>
      </w:pPr>
      <w:r>
        <w:rPr>
          <w:rFonts w:ascii="Trebuchet MS" w:hAnsi="Trebuchet MS"/>
          <w:color w:val="231F20"/>
          <w:spacing w:val="-3"/>
          <w:sz w:val="20"/>
        </w:rPr>
        <w:t>any</w:t>
      </w:r>
      <w:r>
        <w:rPr>
          <w:rFonts w:ascii="Trebuchet MS" w:hAnsi="Trebuchet MS"/>
          <w:color w:val="231F20"/>
          <w:spacing w:val="-13"/>
          <w:sz w:val="20"/>
        </w:rPr>
        <w:t xml:space="preserve"> </w:t>
      </w:r>
      <w:r>
        <w:rPr>
          <w:rFonts w:ascii="Trebuchet MS" w:hAnsi="Trebuchet MS"/>
          <w:color w:val="231F20"/>
          <w:sz w:val="20"/>
        </w:rPr>
        <w:t>barriers</w:t>
      </w:r>
      <w:r>
        <w:rPr>
          <w:rFonts w:ascii="Trebuchet MS" w:hAnsi="Trebuchet MS"/>
          <w:color w:val="231F20"/>
          <w:spacing w:val="-13"/>
          <w:sz w:val="20"/>
        </w:rPr>
        <w:t xml:space="preserve"> </w:t>
      </w:r>
      <w:r>
        <w:rPr>
          <w:rFonts w:ascii="Trebuchet MS" w:hAnsi="Trebuchet MS"/>
          <w:color w:val="231F20"/>
          <w:sz w:val="20"/>
        </w:rPr>
        <w:t>to</w:t>
      </w:r>
      <w:r>
        <w:rPr>
          <w:rFonts w:ascii="Trebuchet MS" w:hAnsi="Trebuchet MS"/>
          <w:color w:val="231F20"/>
          <w:spacing w:val="-13"/>
          <w:sz w:val="20"/>
        </w:rPr>
        <w:t xml:space="preserve"> </w:t>
      </w:r>
      <w:r>
        <w:rPr>
          <w:rFonts w:ascii="Trebuchet MS" w:hAnsi="Trebuchet MS"/>
          <w:color w:val="231F20"/>
          <w:sz w:val="20"/>
        </w:rPr>
        <w:t>eligibility</w:t>
      </w:r>
      <w:r>
        <w:rPr>
          <w:rFonts w:ascii="Trebuchet MS" w:hAnsi="Trebuchet MS"/>
          <w:color w:val="231F20"/>
          <w:spacing w:val="-13"/>
          <w:sz w:val="20"/>
        </w:rPr>
        <w:t xml:space="preserve"> </w:t>
      </w:r>
      <w:r>
        <w:rPr>
          <w:rFonts w:ascii="Trebuchet MS" w:hAnsi="Trebuchet MS"/>
          <w:color w:val="231F20"/>
          <w:spacing w:val="-2"/>
          <w:sz w:val="20"/>
        </w:rPr>
        <w:t>are</w:t>
      </w:r>
      <w:r>
        <w:rPr>
          <w:rFonts w:ascii="Trebuchet MS" w:hAnsi="Trebuchet MS"/>
          <w:color w:val="231F20"/>
          <w:spacing w:val="-12"/>
          <w:sz w:val="20"/>
        </w:rPr>
        <w:t xml:space="preserve"> </w:t>
      </w:r>
      <w:r>
        <w:rPr>
          <w:rFonts w:ascii="Trebuchet MS" w:hAnsi="Trebuchet MS"/>
          <w:color w:val="231F20"/>
          <w:sz w:val="20"/>
        </w:rPr>
        <w:t>addressed</w:t>
      </w:r>
    </w:p>
    <w:p w14:paraId="0EA25E21" w14:textId="77777777" w:rsidR="00894070" w:rsidRDefault="009B7AFD">
      <w:pPr>
        <w:pStyle w:val="ListParagraph"/>
        <w:numPr>
          <w:ilvl w:val="1"/>
          <w:numId w:val="186"/>
        </w:numPr>
        <w:tabs>
          <w:tab w:val="left" w:pos="3161"/>
          <w:tab w:val="left" w:pos="3162"/>
        </w:tabs>
        <w:spacing w:before="93"/>
        <w:ind w:hanging="680"/>
        <w:rPr>
          <w:rFonts w:ascii="Trebuchet MS" w:hAnsi="Trebuchet MS"/>
          <w:sz w:val="20"/>
        </w:rPr>
      </w:pPr>
      <w:r>
        <w:rPr>
          <w:rFonts w:ascii="Trebuchet MS" w:hAnsi="Trebuchet MS"/>
          <w:color w:val="231F20"/>
          <w:w w:val="105"/>
          <w:sz w:val="20"/>
        </w:rPr>
        <w:t>access</w:t>
      </w:r>
      <w:r>
        <w:rPr>
          <w:rFonts w:ascii="Trebuchet MS" w:hAnsi="Trebuchet MS"/>
          <w:color w:val="231F20"/>
          <w:spacing w:val="-16"/>
          <w:w w:val="105"/>
          <w:sz w:val="20"/>
        </w:rPr>
        <w:t xml:space="preserve"> </w:t>
      </w:r>
      <w:r>
        <w:rPr>
          <w:rFonts w:ascii="Trebuchet MS" w:hAnsi="Trebuchet MS"/>
          <w:color w:val="231F20"/>
          <w:w w:val="105"/>
          <w:sz w:val="20"/>
        </w:rPr>
        <w:t>to</w:t>
      </w:r>
      <w:r>
        <w:rPr>
          <w:rFonts w:ascii="Trebuchet MS" w:hAnsi="Trebuchet MS"/>
          <w:color w:val="231F20"/>
          <w:spacing w:val="-15"/>
          <w:w w:val="105"/>
          <w:sz w:val="20"/>
        </w:rPr>
        <w:t xml:space="preserve"> </w:t>
      </w:r>
      <w:r>
        <w:rPr>
          <w:rFonts w:ascii="Trebuchet MS" w:hAnsi="Trebuchet MS"/>
          <w:color w:val="231F20"/>
          <w:w w:val="105"/>
          <w:sz w:val="20"/>
        </w:rPr>
        <w:t>support</w:t>
      </w:r>
      <w:r>
        <w:rPr>
          <w:rFonts w:ascii="Trebuchet MS" w:hAnsi="Trebuchet MS"/>
          <w:color w:val="231F20"/>
          <w:spacing w:val="-15"/>
          <w:w w:val="105"/>
          <w:sz w:val="20"/>
        </w:rPr>
        <w:t xml:space="preserve"> </w:t>
      </w:r>
      <w:r>
        <w:rPr>
          <w:rFonts w:ascii="Trebuchet MS" w:hAnsi="Trebuchet MS"/>
          <w:color w:val="231F20"/>
          <w:w w:val="105"/>
          <w:sz w:val="20"/>
        </w:rPr>
        <w:t>is</w:t>
      </w:r>
      <w:r>
        <w:rPr>
          <w:rFonts w:ascii="Trebuchet MS" w:hAnsi="Trebuchet MS"/>
          <w:color w:val="231F20"/>
          <w:spacing w:val="-16"/>
          <w:w w:val="105"/>
          <w:sz w:val="20"/>
        </w:rPr>
        <w:t xml:space="preserve"> </w:t>
      </w:r>
      <w:r>
        <w:rPr>
          <w:rFonts w:ascii="Trebuchet MS" w:hAnsi="Trebuchet MS"/>
          <w:color w:val="231F20"/>
          <w:spacing w:val="-3"/>
          <w:w w:val="105"/>
          <w:sz w:val="20"/>
        </w:rPr>
        <w:t>improved</w:t>
      </w:r>
      <w:r>
        <w:rPr>
          <w:rFonts w:ascii="Trebuchet MS" w:hAnsi="Trebuchet MS"/>
          <w:color w:val="231F20"/>
          <w:spacing w:val="-15"/>
          <w:w w:val="105"/>
          <w:sz w:val="20"/>
        </w:rPr>
        <w:t xml:space="preserve"> </w:t>
      </w:r>
      <w:r>
        <w:rPr>
          <w:rFonts w:ascii="Trebuchet MS" w:hAnsi="Trebuchet MS"/>
          <w:color w:val="231F20"/>
          <w:w w:val="105"/>
          <w:sz w:val="20"/>
        </w:rPr>
        <w:t>for</w:t>
      </w:r>
      <w:r>
        <w:rPr>
          <w:rFonts w:ascii="Trebuchet MS" w:hAnsi="Trebuchet MS"/>
          <w:color w:val="231F20"/>
          <w:spacing w:val="-15"/>
          <w:w w:val="105"/>
          <w:sz w:val="20"/>
        </w:rPr>
        <w:t xml:space="preserve"> </w:t>
      </w:r>
      <w:r>
        <w:rPr>
          <w:rFonts w:ascii="Trebuchet MS" w:hAnsi="Trebuchet MS"/>
          <w:color w:val="231F20"/>
          <w:w w:val="105"/>
          <w:sz w:val="20"/>
        </w:rPr>
        <w:t>underserved</w:t>
      </w:r>
      <w:r>
        <w:rPr>
          <w:rFonts w:ascii="Trebuchet MS" w:hAnsi="Trebuchet MS"/>
          <w:color w:val="231F20"/>
          <w:spacing w:val="-15"/>
          <w:w w:val="105"/>
          <w:sz w:val="20"/>
        </w:rPr>
        <w:t xml:space="preserve"> </w:t>
      </w:r>
      <w:r>
        <w:rPr>
          <w:rFonts w:ascii="Trebuchet MS" w:hAnsi="Trebuchet MS"/>
          <w:color w:val="231F20"/>
          <w:spacing w:val="-2"/>
          <w:w w:val="105"/>
          <w:sz w:val="20"/>
        </w:rPr>
        <w:t>groups</w:t>
      </w:r>
    </w:p>
    <w:p w14:paraId="0601D9EE" w14:textId="77777777" w:rsidR="00894070" w:rsidRDefault="009B7AFD">
      <w:pPr>
        <w:pStyle w:val="ListParagraph"/>
        <w:numPr>
          <w:ilvl w:val="1"/>
          <w:numId w:val="186"/>
        </w:numPr>
        <w:tabs>
          <w:tab w:val="left" w:pos="3161"/>
          <w:tab w:val="left" w:pos="3162"/>
        </w:tabs>
        <w:spacing w:before="92"/>
        <w:ind w:hanging="680"/>
        <w:rPr>
          <w:rFonts w:ascii="Trebuchet MS" w:hAnsi="Trebuchet MS"/>
          <w:sz w:val="20"/>
        </w:rPr>
      </w:pPr>
      <w:r>
        <w:rPr>
          <w:rFonts w:ascii="Trebuchet MS" w:hAnsi="Trebuchet MS"/>
          <w:color w:val="231F20"/>
          <w:spacing w:val="-2"/>
          <w:w w:val="124"/>
          <w:sz w:val="20"/>
        </w:rPr>
        <w:t>g</w:t>
      </w:r>
      <w:r>
        <w:rPr>
          <w:rFonts w:ascii="Trebuchet MS" w:hAnsi="Trebuchet MS"/>
          <w:color w:val="231F20"/>
          <w:spacing w:val="-1"/>
          <w:w w:val="109"/>
          <w:sz w:val="20"/>
        </w:rPr>
        <w:t>u</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6"/>
          <w:sz w:val="20"/>
        </w:rPr>
        <w:t>l</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2"/>
          <w:w w:val="108"/>
          <w:sz w:val="20"/>
        </w:rPr>
        <w:t>e</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2"/>
          <w:w w:val="105"/>
          <w:sz w:val="20"/>
        </w:rPr>
        <w:t>a</w:t>
      </w:r>
      <w:r>
        <w:rPr>
          <w:rFonts w:ascii="Trebuchet MS" w:hAnsi="Trebuchet MS"/>
          <w:color w:val="231F20"/>
          <w:spacing w:val="-2"/>
          <w:w w:val="80"/>
          <w:sz w:val="20"/>
        </w:rPr>
        <w:t>i</w:t>
      </w:r>
      <w:r>
        <w:rPr>
          <w:rFonts w:ascii="Trebuchet MS" w:hAnsi="Trebuchet MS"/>
          <w:color w:val="231F20"/>
          <w:spacing w:val="-2"/>
          <w:w w:val="107"/>
          <w:sz w:val="20"/>
        </w:rPr>
        <w:t>n</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6"/>
          <w:w w:val="111"/>
          <w:sz w:val="20"/>
        </w:rPr>
        <w:t>o</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u</w:t>
      </w:r>
      <w:r>
        <w:rPr>
          <w:rFonts w:ascii="Trebuchet MS" w:hAnsi="Trebuchet MS"/>
          <w:color w:val="231F20"/>
          <w:spacing w:val="-1"/>
          <w:w w:val="111"/>
          <w:sz w:val="20"/>
        </w:rPr>
        <w:t>ppo</w:t>
      </w:r>
      <w:r>
        <w:rPr>
          <w:rFonts w:ascii="Trebuchet MS" w:hAnsi="Trebuchet MS"/>
          <w:color w:val="231F20"/>
          <w:spacing w:val="2"/>
          <w:w w:val="93"/>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81"/>
          <w:sz w:val="20"/>
        </w:rPr>
        <w:t>ff</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1"/>
          <w:w w:val="124"/>
          <w:sz w:val="20"/>
        </w:rPr>
        <w:t>g</w:t>
      </w:r>
      <w:r>
        <w:rPr>
          <w:rFonts w:ascii="Trebuchet MS" w:hAnsi="Trebuchet MS"/>
          <w:color w:val="231F20"/>
          <w:w w:val="55"/>
          <w:sz w:val="20"/>
        </w:rPr>
        <w:t>.</w:t>
      </w:r>
    </w:p>
    <w:p w14:paraId="10122CF2" w14:textId="77777777" w:rsidR="00894070" w:rsidRDefault="00894070">
      <w:pPr>
        <w:pStyle w:val="BodyText"/>
        <w:spacing w:before="1"/>
        <w:rPr>
          <w:rFonts w:ascii="Trebuchet MS"/>
          <w:sz w:val="26"/>
        </w:rPr>
      </w:pPr>
    </w:p>
    <w:p w14:paraId="2452FD35" w14:textId="77777777" w:rsidR="00894070" w:rsidRDefault="009B7AFD">
      <w:pPr>
        <w:pStyle w:val="Heading8"/>
        <w:spacing w:before="49"/>
        <w:ind w:left="140"/>
      </w:pPr>
      <w:r>
        <w:rPr>
          <w:color w:val="EA5B50"/>
        </w:rPr>
        <w:t>xxii</w:t>
      </w:r>
    </w:p>
    <w:p w14:paraId="1EC8A410" w14:textId="77777777" w:rsidR="00894070" w:rsidRDefault="00894070">
      <w:pPr>
        <w:sectPr w:rsidR="00894070">
          <w:pgSz w:w="11910" w:h="16840"/>
          <w:pgMar w:top="860" w:right="420" w:bottom="280" w:left="580" w:header="567" w:footer="0" w:gutter="0"/>
          <w:cols w:space="720"/>
        </w:sectPr>
      </w:pPr>
    </w:p>
    <w:p w14:paraId="124AAA12" w14:textId="77777777" w:rsidR="00894070" w:rsidRDefault="00894070">
      <w:pPr>
        <w:pStyle w:val="BodyText"/>
        <w:rPr>
          <w:b/>
        </w:rPr>
      </w:pPr>
    </w:p>
    <w:p w14:paraId="556B271D" w14:textId="77777777" w:rsidR="00894070" w:rsidRDefault="00894070">
      <w:pPr>
        <w:pStyle w:val="BodyText"/>
        <w:rPr>
          <w:b/>
        </w:rPr>
      </w:pPr>
    </w:p>
    <w:p w14:paraId="0AC874AE" w14:textId="77777777" w:rsidR="00894070" w:rsidRDefault="00894070">
      <w:pPr>
        <w:pStyle w:val="BodyText"/>
        <w:rPr>
          <w:b/>
        </w:rPr>
      </w:pPr>
    </w:p>
    <w:p w14:paraId="4730F554" w14:textId="77777777" w:rsidR="00894070" w:rsidRDefault="00894070">
      <w:pPr>
        <w:pStyle w:val="BodyText"/>
        <w:spacing w:before="3"/>
        <w:rPr>
          <w:b/>
          <w:sz w:val="14"/>
        </w:rPr>
      </w:pPr>
    </w:p>
    <w:p w14:paraId="3C40613F" w14:textId="77777777" w:rsidR="00894070" w:rsidRDefault="009B7AFD">
      <w:pPr>
        <w:pStyle w:val="ListParagraph"/>
        <w:numPr>
          <w:ilvl w:val="0"/>
          <w:numId w:val="191"/>
        </w:numPr>
        <w:tabs>
          <w:tab w:val="left" w:pos="1801"/>
          <w:tab w:val="left" w:pos="1802"/>
        </w:tabs>
        <w:spacing w:before="100" w:line="247" w:lineRule="auto"/>
        <w:ind w:left="1801" w:right="1234"/>
        <w:rPr>
          <w:rFonts w:ascii="Trebuchet MS"/>
          <w:sz w:val="20"/>
        </w:rPr>
      </w:pPr>
      <w:r>
        <w:rPr>
          <w:rFonts w:ascii="Trebuchet MS"/>
          <w:color w:val="231F20"/>
          <w:sz w:val="20"/>
        </w:rPr>
        <w:t xml:space="preserve">The Victorian </w:t>
      </w:r>
      <w:r>
        <w:rPr>
          <w:rFonts w:ascii="Trebuchet MS"/>
          <w:color w:val="231F20"/>
          <w:spacing w:val="-3"/>
          <w:sz w:val="20"/>
        </w:rPr>
        <w:t xml:space="preserve">Government </w:t>
      </w:r>
      <w:r>
        <w:rPr>
          <w:rFonts w:ascii="Trebuchet MS"/>
          <w:color w:val="231F20"/>
          <w:sz w:val="20"/>
        </w:rPr>
        <w:t xml:space="preserve">should fund a stream of </w:t>
      </w:r>
      <w:r>
        <w:rPr>
          <w:rFonts w:ascii="Trebuchet MS"/>
          <w:color w:val="231F20"/>
          <w:spacing w:val="-3"/>
          <w:sz w:val="20"/>
        </w:rPr>
        <w:t xml:space="preserve">timely </w:t>
      </w:r>
      <w:r>
        <w:rPr>
          <w:rFonts w:ascii="Trebuchet MS"/>
          <w:color w:val="231F20"/>
          <w:sz w:val="20"/>
        </w:rPr>
        <w:t xml:space="preserve">financial assistance so that victim services can administer </w:t>
      </w:r>
      <w:r>
        <w:rPr>
          <w:rFonts w:ascii="Trebuchet MS"/>
          <w:color w:val="231F20"/>
          <w:spacing w:val="-3"/>
          <w:sz w:val="20"/>
        </w:rPr>
        <w:t xml:space="preserve">flexible </w:t>
      </w:r>
      <w:r>
        <w:rPr>
          <w:rFonts w:ascii="Trebuchet MS"/>
          <w:color w:val="231F20"/>
          <w:sz w:val="20"/>
        </w:rPr>
        <w:t xml:space="preserve">support packages or brokerage to assist victim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3"/>
          <w:w w:val="93"/>
          <w:sz w:val="20"/>
        </w:rPr>
        <w:t>r</w:t>
      </w:r>
      <w:r>
        <w:rPr>
          <w:rFonts w:ascii="Trebuchet MS"/>
          <w:color w:val="231F20"/>
          <w:spacing w:val="-2"/>
          <w:w w:val="109"/>
          <w:sz w:val="20"/>
        </w:rPr>
        <w:t>v</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11"/>
          <w:sz w:val="20"/>
        </w:rPr>
        <w:t>o</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7"/>
          <w:sz w:val="20"/>
        </w:rPr>
        <w:t>,</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1"/>
          <w:w w:val="107"/>
          <w:sz w:val="20"/>
        </w:rPr>
        <w:t>n</w:t>
      </w:r>
      <w:r>
        <w:rPr>
          <w:rFonts w:ascii="Trebuchet MS"/>
          <w:color w:val="231F20"/>
          <w:spacing w:val="-3"/>
          <w:w w:val="111"/>
          <w:sz w:val="20"/>
        </w:rPr>
        <w:t>c</w:t>
      </w:r>
      <w:r>
        <w:rPr>
          <w:rFonts w:ascii="Trebuchet MS"/>
          <w:color w:val="231F20"/>
          <w:spacing w:val="-3"/>
          <w:w w:val="96"/>
          <w:sz w:val="20"/>
        </w:rPr>
        <w:t>l</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11"/>
          <w:sz w:val="20"/>
        </w:rPr>
        <w:t>cy</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r>
        <w:rPr>
          <w:rFonts w:ascii="Trebuchet MS"/>
          <w:color w:val="231F20"/>
          <w:spacing w:val="-14"/>
          <w:sz w:val="20"/>
        </w:rPr>
        <w:t xml:space="preserve"> </w:t>
      </w:r>
      <w:r>
        <w:rPr>
          <w:rFonts w:ascii="Trebuchet MS"/>
          <w:color w:val="231F20"/>
          <w:spacing w:val="-2"/>
          <w:w w:val="105"/>
          <w:sz w:val="20"/>
        </w:rPr>
        <w:t>T</w:t>
      </w:r>
      <w:r>
        <w:rPr>
          <w:rFonts w:ascii="Trebuchet MS"/>
          <w:color w:val="231F20"/>
          <w:spacing w:val="-2"/>
          <w:w w:val="107"/>
          <w:sz w:val="20"/>
        </w:rPr>
        <w:t>h</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1"/>
          <w:w w:val="107"/>
          <w:sz w:val="20"/>
        </w:rPr>
        <w:t>n</w:t>
      </w:r>
      <w:r>
        <w:rPr>
          <w:rFonts w:ascii="Trebuchet MS"/>
          <w:color w:val="231F20"/>
          <w:spacing w:val="-3"/>
          <w:w w:val="111"/>
          <w:sz w:val="20"/>
        </w:rPr>
        <w:t>c</w:t>
      </w:r>
      <w:r>
        <w:rPr>
          <w:rFonts w:ascii="Trebuchet MS"/>
          <w:color w:val="231F20"/>
          <w:spacing w:val="-3"/>
          <w:w w:val="96"/>
          <w:sz w:val="20"/>
        </w:rPr>
        <w:t>l</w:t>
      </w:r>
      <w:r>
        <w:rPr>
          <w:rFonts w:ascii="Trebuchet MS"/>
          <w:color w:val="231F20"/>
          <w:spacing w:val="-2"/>
          <w:w w:val="109"/>
          <w:sz w:val="20"/>
        </w:rPr>
        <w:t>u</w:t>
      </w:r>
      <w:r>
        <w:rPr>
          <w:rFonts w:ascii="Trebuchet MS"/>
          <w:color w:val="231F20"/>
          <w:spacing w:val="-2"/>
          <w:w w:val="112"/>
          <w:sz w:val="20"/>
        </w:rPr>
        <w:t>d</w:t>
      </w:r>
      <w:r>
        <w:rPr>
          <w:rFonts w:ascii="Trebuchet MS"/>
          <w:color w:val="231F20"/>
          <w:w w:val="108"/>
          <w:sz w:val="20"/>
        </w:rPr>
        <w:t xml:space="preserve">e </w:t>
      </w:r>
      <w:r>
        <w:rPr>
          <w:rFonts w:ascii="Trebuchet MS"/>
          <w:color w:val="231F20"/>
          <w:w w:val="80"/>
          <w:sz w:val="20"/>
        </w:rPr>
        <w:t>f</w:t>
      </w:r>
      <w:r>
        <w:rPr>
          <w:rFonts w:ascii="Trebuchet MS"/>
          <w:color w:val="231F20"/>
          <w:spacing w:val="-2"/>
          <w:w w:val="80"/>
          <w:sz w:val="20"/>
        </w:rPr>
        <w:t>i</w:t>
      </w:r>
      <w:r>
        <w:rPr>
          <w:rFonts w:ascii="Trebuchet MS"/>
          <w:color w:val="231F20"/>
          <w:spacing w:val="-1"/>
          <w:w w:val="107"/>
          <w:sz w:val="20"/>
        </w:rPr>
        <w:t>n</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05"/>
          <w:sz w:val="20"/>
        </w:rPr>
        <w:t>a</w:t>
      </w:r>
      <w:r>
        <w:rPr>
          <w:rFonts w:ascii="Trebuchet MS"/>
          <w:color w:val="231F20"/>
          <w:spacing w:val="-1"/>
          <w:w w:val="122"/>
          <w:sz w:val="20"/>
        </w:rPr>
        <w:t>s</w:t>
      </w:r>
      <w:r>
        <w:rPr>
          <w:rFonts w:ascii="Trebuchet MS"/>
          <w:color w:val="231F20"/>
          <w:spacing w:val="-2"/>
          <w:w w:val="122"/>
          <w:sz w:val="20"/>
        </w:rPr>
        <w:t>s</w:t>
      </w:r>
      <w:r>
        <w:rPr>
          <w:rFonts w:ascii="Trebuchet MS"/>
          <w:color w:val="231F20"/>
          <w:spacing w:val="-1"/>
          <w:w w:val="80"/>
          <w:sz w:val="20"/>
        </w:rPr>
        <w:t>i</w:t>
      </w:r>
      <w:r>
        <w:rPr>
          <w:rFonts w:ascii="Trebuchet MS"/>
          <w:color w:val="231F20"/>
          <w:spacing w:val="-1"/>
          <w:w w:val="122"/>
          <w:sz w:val="20"/>
        </w:rPr>
        <w:t>s</w:t>
      </w:r>
      <w:r>
        <w:rPr>
          <w:rFonts w:ascii="Trebuchet MS"/>
          <w:color w:val="231F20"/>
          <w:w w:val="88"/>
          <w:sz w:val="20"/>
        </w:rPr>
        <w:t>t</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2"/>
          <w:w w:val="111"/>
          <w:sz w:val="20"/>
        </w:rPr>
        <w:t>mp</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11"/>
          <w:sz w:val="20"/>
        </w:rPr>
        <w:t>p</w:t>
      </w:r>
      <w:r>
        <w:rPr>
          <w:rFonts w:ascii="Trebuchet MS"/>
          <w:color w:val="231F20"/>
          <w:spacing w:val="1"/>
          <w:w w:val="96"/>
          <w:sz w:val="20"/>
        </w:rPr>
        <w:t>l</w:t>
      </w:r>
      <w:r>
        <w:rPr>
          <w:rFonts w:ascii="Trebuchet MS"/>
          <w:color w:val="231F20"/>
          <w:spacing w:val="-2"/>
          <w:w w:val="105"/>
          <w:sz w:val="20"/>
        </w:rPr>
        <w:t>a</w:t>
      </w:r>
      <w:r>
        <w:rPr>
          <w:rFonts w:ascii="Trebuchet MS"/>
          <w:color w:val="231F20"/>
          <w:spacing w:val="-2"/>
          <w:w w:val="107"/>
          <w:sz w:val="20"/>
        </w:rPr>
        <w:t>n</w:t>
      </w:r>
      <w:r>
        <w:rPr>
          <w:rFonts w:ascii="Trebuchet MS"/>
          <w:color w:val="231F20"/>
          <w:spacing w:val="1"/>
          <w:w w:val="122"/>
          <w:sz w:val="20"/>
        </w:rPr>
        <w:t>s</w:t>
      </w:r>
      <w:r>
        <w:rPr>
          <w:rFonts w:ascii="Trebuchet MS"/>
          <w:color w:val="231F20"/>
          <w:w w:val="55"/>
          <w:sz w:val="20"/>
        </w:rPr>
        <w:t>.</w:t>
      </w:r>
    </w:p>
    <w:p w14:paraId="0CDF7D8A" w14:textId="77777777" w:rsidR="00894070" w:rsidRDefault="009B7AFD">
      <w:pPr>
        <w:pStyle w:val="ListParagraph"/>
        <w:numPr>
          <w:ilvl w:val="0"/>
          <w:numId w:val="191"/>
        </w:numPr>
        <w:tabs>
          <w:tab w:val="left" w:pos="1801"/>
          <w:tab w:val="left" w:pos="1802"/>
          <w:tab w:val="left" w:pos="2481"/>
        </w:tabs>
        <w:spacing w:before="89" w:line="247" w:lineRule="auto"/>
        <w:ind w:left="2481" w:right="1223" w:hanging="1474"/>
        <w:rPr>
          <w:rFonts w:ascii="Trebuchet MS"/>
          <w:sz w:val="20"/>
        </w:rPr>
      </w:pPr>
      <w:r>
        <w:rPr>
          <w:rFonts w:ascii="Trebuchet MS"/>
          <w:color w:val="231F20"/>
          <w:w w:val="105"/>
          <w:sz w:val="20"/>
        </w:rPr>
        <w:t>a.</w:t>
      </w:r>
      <w:r>
        <w:rPr>
          <w:rFonts w:ascii="Trebuchet MS"/>
          <w:color w:val="231F20"/>
          <w:w w:val="105"/>
          <w:sz w:val="20"/>
        </w:rPr>
        <w:tab/>
        <w:t>The</w:t>
      </w:r>
      <w:r>
        <w:rPr>
          <w:rFonts w:ascii="Trebuchet MS"/>
          <w:color w:val="231F20"/>
          <w:spacing w:val="-12"/>
          <w:w w:val="105"/>
          <w:sz w:val="20"/>
        </w:rPr>
        <w:t xml:space="preserve"> </w:t>
      </w:r>
      <w:r>
        <w:rPr>
          <w:rFonts w:ascii="Trebuchet MS"/>
          <w:color w:val="231F20"/>
          <w:w w:val="105"/>
          <w:sz w:val="20"/>
        </w:rPr>
        <w:t>Victorian</w:t>
      </w:r>
      <w:r>
        <w:rPr>
          <w:rFonts w:ascii="Trebuchet MS"/>
          <w:color w:val="231F20"/>
          <w:spacing w:val="-11"/>
          <w:w w:val="105"/>
          <w:sz w:val="20"/>
        </w:rPr>
        <w:t xml:space="preserve"> </w:t>
      </w:r>
      <w:r>
        <w:rPr>
          <w:rFonts w:ascii="Trebuchet MS"/>
          <w:color w:val="231F20"/>
          <w:spacing w:val="-3"/>
          <w:w w:val="105"/>
          <w:sz w:val="20"/>
        </w:rPr>
        <w:t>Government</w:t>
      </w:r>
      <w:r>
        <w:rPr>
          <w:rFonts w:ascii="Trebuchet MS"/>
          <w:color w:val="231F20"/>
          <w:spacing w:val="-11"/>
          <w:w w:val="105"/>
          <w:sz w:val="20"/>
        </w:rPr>
        <w:t xml:space="preserve"> </w:t>
      </w:r>
      <w:r>
        <w:rPr>
          <w:rFonts w:ascii="Trebuchet MS"/>
          <w:color w:val="231F20"/>
          <w:w w:val="105"/>
          <w:sz w:val="20"/>
        </w:rPr>
        <w:t>should</w:t>
      </w:r>
      <w:r>
        <w:rPr>
          <w:rFonts w:ascii="Trebuchet MS"/>
          <w:color w:val="231F20"/>
          <w:spacing w:val="-11"/>
          <w:w w:val="105"/>
          <w:sz w:val="20"/>
        </w:rPr>
        <w:t xml:space="preserve"> </w:t>
      </w:r>
      <w:r>
        <w:rPr>
          <w:rFonts w:ascii="Trebuchet MS"/>
          <w:color w:val="231F20"/>
          <w:w w:val="105"/>
          <w:sz w:val="20"/>
        </w:rPr>
        <w:t>consult</w:t>
      </w:r>
      <w:r>
        <w:rPr>
          <w:rFonts w:ascii="Trebuchet MS"/>
          <w:color w:val="231F20"/>
          <w:spacing w:val="-11"/>
          <w:w w:val="105"/>
          <w:sz w:val="20"/>
        </w:rPr>
        <w:t xml:space="preserve"> </w:t>
      </w:r>
      <w:r>
        <w:rPr>
          <w:rFonts w:ascii="Trebuchet MS"/>
          <w:color w:val="231F20"/>
          <w:w w:val="105"/>
          <w:sz w:val="20"/>
        </w:rPr>
        <w:t>on</w:t>
      </w:r>
      <w:r>
        <w:rPr>
          <w:rFonts w:ascii="Trebuchet MS"/>
          <w:color w:val="231F20"/>
          <w:spacing w:val="-11"/>
          <w:w w:val="105"/>
          <w:sz w:val="20"/>
        </w:rPr>
        <w:t xml:space="preserve"> </w:t>
      </w:r>
      <w:r>
        <w:rPr>
          <w:rFonts w:ascii="Trebuchet MS"/>
          <w:color w:val="231F20"/>
          <w:w w:val="105"/>
          <w:sz w:val="20"/>
        </w:rPr>
        <w:t>and</w:t>
      </w:r>
      <w:r>
        <w:rPr>
          <w:rFonts w:ascii="Trebuchet MS"/>
          <w:color w:val="231F20"/>
          <w:spacing w:val="-11"/>
          <w:w w:val="105"/>
          <w:sz w:val="20"/>
        </w:rPr>
        <w:t xml:space="preserve"> </w:t>
      </w:r>
      <w:r>
        <w:rPr>
          <w:rFonts w:ascii="Trebuchet MS"/>
          <w:color w:val="231F20"/>
          <w:w w:val="105"/>
          <w:sz w:val="20"/>
        </w:rPr>
        <w:t>co-design</w:t>
      </w:r>
      <w:r>
        <w:rPr>
          <w:rFonts w:ascii="Trebuchet MS"/>
          <w:color w:val="231F20"/>
          <w:spacing w:val="-11"/>
          <w:w w:val="105"/>
          <w:sz w:val="20"/>
        </w:rPr>
        <w:t xml:space="preserve"> </w:t>
      </w:r>
      <w:r>
        <w:rPr>
          <w:rFonts w:ascii="Trebuchet MS"/>
          <w:color w:val="231F20"/>
          <w:w w:val="105"/>
          <w:sz w:val="20"/>
        </w:rPr>
        <w:t>a</w:t>
      </w:r>
      <w:r>
        <w:rPr>
          <w:rFonts w:ascii="Trebuchet MS"/>
          <w:color w:val="231F20"/>
          <w:spacing w:val="-11"/>
          <w:w w:val="105"/>
          <w:sz w:val="20"/>
        </w:rPr>
        <w:t xml:space="preserve"> </w:t>
      </w:r>
      <w:r>
        <w:rPr>
          <w:rFonts w:ascii="Trebuchet MS"/>
          <w:color w:val="231F20"/>
          <w:w w:val="105"/>
          <w:sz w:val="20"/>
        </w:rPr>
        <w:t>model</w:t>
      </w:r>
      <w:r>
        <w:rPr>
          <w:rFonts w:ascii="Trebuchet MS"/>
          <w:color w:val="231F20"/>
          <w:spacing w:val="-11"/>
          <w:w w:val="105"/>
          <w:sz w:val="20"/>
        </w:rPr>
        <w:t xml:space="preserve"> </w:t>
      </w:r>
      <w:r>
        <w:rPr>
          <w:rFonts w:ascii="Trebuchet MS"/>
          <w:color w:val="231F20"/>
          <w:w w:val="105"/>
          <w:sz w:val="20"/>
        </w:rPr>
        <w:t>of</w:t>
      </w:r>
      <w:r>
        <w:rPr>
          <w:rFonts w:ascii="Trebuchet MS"/>
          <w:color w:val="231F20"/>
          <w:spacing w:val="-11"/>
          <w:w w:val="105"/>
          <w:sz w:val="20"/>
        </w:rPr>
        <w:t xml:space="preserve"> </w:t>
      </w:r>
      <w:r>
        <w:rPr>
          <w:rFonts w:ascii="Trebuchet MS"/>
          <w:color w:val="231F20"/>
          <w:w w:val="105"/>
          <w:sz w:val="20"/>
        </w:rPr>
        <w:t xml:space="preserve">victim support that uses </w:t>
      </w:r>
      <w:r>
        <w:rPr>
          <w:rFonts w:ascii="Trebuchet MS"/>
          <w:color w:val="231F20"/>
          <w:spacing w:val="-3"/>
          <w:w w:val="105"/>
          <w:sz w:val="20"/>
        </w:rPr>
        <w:t xml:space="preserve">advocates </w:t>
      </w:r>
      <w:r>
        <w:rPr>
          <w:rFonts w:ascii="Trebuchet MS"/>
          <w:color w:val="231F20"/>
          <w:w w:val="105"/>
          <w:sz w:val="20"/>
        </w:rPr>
        <w:t xml:space="preserve">to </w:t>
      </w:r>
      <w:r>
        <w:rPr>
          <w:rFonts w:ascii="Trebuchet MS"/>
          <w:color w:val="231F20"/>
          <w:spacing w:val="-3"/>
          <w:w w:val="105"/>
          <w:sz w:val="20"/>
        </w:rPr>
        <w:t xml:space="preserve">provide </w:t>
      </w:r>
      <w:r>
        <w:rPr>
          <w:rFonts w:ascii="Trebuchet MS"/>
          <w:color w:val="231F20"/>
          <w:w w:val="105"/>
          <w:sz w:val="20"/>
        </w:rPr>
        <w:t xml:space="preserve">continuous support for people who </w:t>
      </w:r>
      <w:r>
        <w:rPr>
          <w:rFonts w:ascii="Trebuchet MS"/>
          <w:color w:val="231F20"/>
          <w:spacing w:val="-1"/>
          <w:w w:val="107"/>
          <w:sz w:val="20"/>
        </w:rPr>
        <w:t>h</w:t>
      </w:r>
      <w:r>
        <w:rPr>
          <w:rFonts w:ascii="Trebuchet MS"/>
          <w:color w:val="231F20"/>
          <w:spacing w:val="-6"/>
          <w:w w:val="105"/>
          <w:sz w:val="20"/>
        </w:rPr>
        <w:t>a</w:t>
      </w:r>
      <w:r>
        <w:rPr>
          <w:rFonts w:ascii="Trebuchet MS"/>
          <w:color w:val="231F20"/>
          <w:spacing w:val="-6"/>
          <w:w w:val="109"/>
          <w:sz w:val="20"/>
        </w:rPr>
        <w:t>v</w:t>
      </w:r>
      <w:r>
        <w:rPr>
          <w:rFonts w:ascii="Trebuchet MS"/>
          <w:color w:val="231F20"/>
          <w:w w:val="108"/>
          <w:sz w:val="20"/>
        </w:rPr>
        <w:t>e</w:t>
      </w:r>
      <w:r>
        <w:rPr>
          <w:rFonts w:ascii="Trebuchet MS"/>
          <w:color w:val="231F20"/>
          <w:spacing w:val="-14"/>
          <w:sz w:val="20"/>
        </w:rPr>
        <w:t xml:space="preserve"> </w:t>
      </w:r>
      <w:r>
        <w:rPr>
          <w:rFonts w:ascii="Trebuchet MS"/>
          <w:color w:val="231F20"/>
          <w:spacing w:val="-5"/>
          <w:w w:val="108"/>
          <w:sz w:val="20"/>
        </w:rPr>
        <w:t>e</w:t>
      </w:r>
      <w:r>
        <w:rPr>
          <w:rFonts w:ascii="Trebuchet MS"/>
          <w:color w:val="231F20"/>
          <w:spacing w:val="-2"/>
          <w:w w:val="102"/>
          <w:sz w:val="20"/>
        </w:rPr>
        <w:t>x</w:t>
      </w:r>
      <w:r>
        <w:rPr>
          <w:rFonts w:ascii="Trebuchet MS"/>
          <w:color w:val="231F20"/>
          <w:spacing w:val="-1"/>
          <w:w w:val="105"/>
          <w:sz w:val="20"/>
        </w:rPr>
        <w:t>pe</w:t>
      </w:r>
      <w:r>
        <w:rPr>
          <w:rFonts w:ascii="Trebuchet MS"/>
          <w:color w:val="231F20"/>
          <w:spacing w:val="-2"/>
          <w:w w:val="105"/>
          <w:sz w:val="20"/>
        </w:rPr>
        <w:t>r</w:t>
      </w:r>
      <w:r>
        <w:rPr>
          <w:rFonts w:ascii="Trebuchet MS"/>
          <w:color w:val="231F20"/>
          <w:spacing w:val="-1"/>
          <w:w w:val="80"/>
          <w:sz w:val="20"/>
        </w:rPr>
        <w:t>i</w:t>
      </w:r>
      <w:r>
        <w:rPr>
          <w:rFonts w:ascii="Trebuchet MS"/>
          <w:color w:val="231F20"/>
          <w:spacing w:val="-1"/>
          <w:w w:val="108"/>
          <w:sz w:val="20"/>
        </w:rPr>
        <w:t>en</w:t>
      </w:r>
      <w:r>
        <w:rPr>
          <w:rFonts w:ascii="Trebuchet MS"/>
          <w:color w:val="231F20"/>
          <w:spacing w:val="-3"/>
          <w:w w:val="111"/>
          <w:sz w:val="20"/>
        </w:rPr>
        <w:t>c</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05"/>
          <w:sz w:val="20"/>
        </w:rPr>
        <w:t>s</w:t>
      </w:r>
      <w:r>
        <w:rPr>
          <w:rFonts w:ascii="Trebuchet MS"/>
          <w:color w:val="231F20"/>
          <w:w w:val="105"/>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r>
        <w:rPr>
          <w:rFonts w:ascii="Trebuchet MS"/>
          <w:color w:val="231F20"/>
          <w:spacing w:val="-14"/>
          <w:sz w:val="20"/>
        </w:rPr>
        <w:t xml:space="preserve"> </w:t>
      </w:r>
      <w:r>
        <w:rPr>
          <w:rFonts w:ascii="Trebuchet MS"/>
          <w:color w:val="231F20"/>
          <w:spacing w:val="-2"/>
          <w:w w:val="105"/>
          <w:sz w:val="20"/>
        </w:rPr>
        <w:t>T</w:t>
      </w:r>
      <w:r>
        <w:rPr>
          <w:rFonts w:ascii="Trebuchet MS"/>
          <w:color w:val="231F20"/>
          <w:spacing w:val="-1"/>
          <w:w w:val="107"/>
          <w:sz w:val="20"/>
        </w:rPr>
        <w:t>h</w:t>
      </w:r>
      <w:r>
        <w:rPr>
          <w:rFonts w:ascii="Trebuchet MS"/>
          <w:color w:val="231F20"/>
          <w:spacing w:val="-2"/>
          <w:w w:val="108"/>
          <w:sz w:val="20"/>
        </w:rPr>
        <w:t>e</w:t>
      </w:r>
      <w:r>
        <w:rPr>
          <w:rFonts w:ascii="Trebuchet MS"/>
          <w:color w:val="231F20"/>
          <w:spacing w:val="-1"/>
          <w:w w:val="122"/>
          <w:sz w:val="20"/>
        </w:rPr>
        <w:t>s</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9"/>
          <w:sz w:val="20"/>
        </w:rPr>
        <w:t>epen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4"/>
          <w:w w:val="108"/>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3"/>
          <w:w w:val="112"/>
          <w:sz w:val="20"/>
        </w:rPr>
        <w:t>d</w:t>
      </w:r>
      <w:r>
        <w:rPr>
          <w:rFonts w:ascii="Trebuchet MS"/>
          <w:color w:val="231F20"/>
          <w:spacing w:val="-6"/>
          <w:w w:val="109"/>
          <w:sz w:val="20"/>
        </w:rPr>
        <w:t>v</w:t>
      </w:r>
      <w:r>
        <w:rPr>
          <w:rFonts w:ascii="Trebuchet MS"/>
          <w:color w:val="231F20"/>
          <w:spacing w:val="-1"/>
          <w:w w:val="111"/>
          <w:sz w:val="20"/>
        </w:rPr>
        <w:t>o</w:t>
      </w:r>
      <w:r>
        <w:rPr>
          <w:rFonts w:ascii="Trebuchet MS"/>
          <w:color w:val="231F20"/>
          <w:w w:val="111"/>
          <w:sz w:val="20"/>
        </w:rPr>
        <w:t>c</w:t>
      </w:r>
      <w:r>
        <w:rPr>
          <w:rFonts w:ascii="Trebuchet MS"/>
          <w:color w:val="231F20"/>
          <w:spacing w:val="-4"/>
          <w:w w:val="105"/>
          <w:sz w:val="20"/>
        </w:rPr>
        <w:t>a</w:t>
      </w:r>
      <w:r>
        <w:rPr>
          <w:rFonts w:ascii="Trebuchet MS"/>
          <w:color w:val="231F20"/>
          <w:spacing w:val="-4"/>
          <w:w w:val="88"/>
          <w:sz w:val="20"/>
        </w:rPr>
        <w:t>t</w:t>
      </w:r>
      <w:r>
        <w:rPr>
          <w:rFonts w:ascii="Trebuchet MS"/>
          <w:color w:val="231F20"/>
          <w:spacing w:val="-2"/>
          <w:w w:val="108"/>
          <w:sz w:val="20"/>
        </w:rPr>
        <w:t>e</w:t>
      </w:r>
      <w:r>
        <w:rPr>
          <w:rFonts w:ascii="Trebuchet MS"/>
          <w:color w:val="231F20"/>
          <w:w w:val="122"/>
          <w:sz w:val="20"/>
        </w:rPr>
        <w:t xml:space="preserve">s </w:t>
      </w:r>
      <w:r>
        <w:rPr>
          <w:rFonts w:ascii="Trebuchet MS"/>
          <w:color w:val="231F20"/>
          <w:spacing w:val="-2"/>
          <w:w w:val="122"/>
          <w:sz w:val="20"/>
        </w:rPr>
        <w:t>s</w:t>
      </w:r>
      <w:r>
        <w:rPr>
          <w:rFonts w:ascii="Trebuchet MS"/>
          <w:color w:val="231F20"/>
          <w:spacing w:val="-1"/>
          <w:w w:val="109"/>
          <w:sz w:val="20"/>
        </w:rPr>
        <w:t>ho</w:t>
      </w:r>
      <w:r>
        <w:rPr>
          <w:rFonts w:ascii="Trebuchet MS"/>
          <w:color w:val="231F20"/>
          <w:spacing w:val="-2"/>
          <w:w w:val="109"/>
          <w:sz w:val="20"/>
        </w:rPr>
        <w:t>u</w:t>
      </w:r>
      <w:r>
        <w:rPr>
          <w:rFonts w:ascii="Trebuchet MS"/>
          <w:color w:val="231F20"/>
          <w:spacing w:val="-3"/>
          <w:w w:val="96"/>
          <w:sz w:val="20"/>
        </w:rPr>
        <w:t>l</w:t>
      </w:r>
      <w:r>
        <w:rPr>
          <w:rFonts w:ascii="Trebuchet MS"/>
          <w:color w:val="231F20"/>
          <w:spacing w:val="-3"/>
          <w:w w:val="112"/>
          <w:sz w:val="20"/>
        </w:rPr>
        <w:t>d</w:t>
      </w:r>
      <w:r>
        <w:rPr>
          <w:rFonts w:ascii="Trebuchet MS"/>
          <w:color w:val="231F20"/>
          <w:w w:val="54"/>
          <w:sz w:val="20"/>
        </w:rPr>
        <w:t>:</w:t>
      </w:r>
    </w:p>
    <w:p w14:paraId="74DFCDD4" w14:textId="77777777" w:rsidR="00894070" w:rsidRDefault="009B7AFD">
      <w:pPr>
        <w:pStyle w:val="ListParagraph"/>
        <w:numPr>
          <w:ilvl w:val="0"/>
          <w:numId w:val="185"/>
        </w:numPr>
        <w:tabs>
          <w:tab w:val="left" w:pos="3161"/>
          <w:tab w:val="left" w:pos="3162"/>
        </w:tabs>
        <w:spacing w:before="88" w:line="247" w:lineRule="auto"/>
        <w:ind w:right="1569" w:hanging="680"/>
        <w:rPr>
          <w:rFonts w:ascii="Trebuchet MS" w:hAnsi="Trebuchet MS"/>
          <w:sz w:val="20"/>
        </w:rPr>
      </w:pPr>
      <w:r>
        <w:rPr>
          <w:rFonts w:ascii="Trebuchet MS" w:hAnsi="Trebuchet MS"/>
          <w:color w:val="231F20"/>
          <w:spacing w:val="-3"/>
          <w:w w:val="105"/>
          <w:sz w:val="20"/>
        </w:rPr>
        <w:t>provide</w:t>
      </w:r>
      <w:r>
        <w:rPr>
          <w:rFonts w:ascii="Trebuchet MS" w:hAnsi="Trebuchet MS"/>
          <w:color w:val="231F20"/>
          <w:spacing w:val="-18"/>
          <w:w w:val="105"/>
          <w:sz w:val="20"/>
        </w:rPr>
        <w:t xml:space="preserve"> </w:t>
      </w:r>
      <w:r>
        <w:rPr>
          <w:rFonts w:ascii="Trebuchet MS" w:hAnsi="Trebuchet MS"/>
          <w:color w:val="231F20"/>
          <w:spacing w:val="-3"/>
          <w:w w:val="105"/>
          <w:sz w:val="20"/>
        </w:rPr>
        <w:t>information</w:t>
      </w:r>
      <w:r>
        <w:rPr>
          <w:rFonts w:ascii="Trebuchet MS" w:hAnsi="Trebuchet MS"/>
          <w:color w:val="231F20"/>
          <w:spacing w:val="-17"/>
          <w:w w:val="105"/>
          <w:sz w:val="20"/>
        </w:rPr>
        <w:t xml:space="preserve"> </w:t>
      </w:r>
      <w:r>
        <w:rPr>
          <w:rFonts w:ascii="Trebuchet MS" w:hAnsi="Trebuchet MS"/>
          <w:color w:val="231F20"/>
          <w:w w:val="105"/>
          <w:sz w:val="20"/>
        </w:rPr>
        <w:t>about</w:t>
      </w:r>
      <w:r>
        <w:rPr>
          <w:rFonts w:ascii="Trebuchet MS" w:hAnsi="Trebuchet MS"/>
          <w:color w:val="231F20"/>
          <w:spacing w:val="-17"/>
          <w:w w:val="105"/>
          <w:sz w:val="20"/>
        </w:rPr>
        <w:t xml:space="preserve"> </w:t>
      </w:r>
      <w:r>
        <w:rPr>
          <w:rFonts w:ascii="Trebuchet MS" w:hAnsi="Trebuchet MS"/>
          <w:color w:val="231F20"/>
          <w:w w:val="105"/>
          <w:sz w:val="20"/>
        </w:rPr>
        <w:t>justice</w:t>
      </w:r>
      <w:r>
        <w:rPr>
          <w:rFonts w:ascii="Trebuchet MS" w:hAnsi="Trebuchet MS"/>
          <w:color w:val="231F20"/>
          <w:spacing w:val="-17"/>
          <w:w w:val="105"/>
          <w:sz w:val="20"/>
        </w:rPr>
        <w:t xml:space="preserve"> </w:t>
      </w:r>
      <w:r>
        <w:rPr>
          <w:rFonts w:ascii="Trebuchet MS" w:hAnsi="Trebuchet MS"/>
          <w:color w:val="231F20"/>
          <w:w w:val="105"/>
          <w:sz w:val="20"/>
        </w:rPr>
        <w:t>options</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7"/>
          <w:w w:val="105"/>
          <w:sz w:val="20"/>
        </w:rPr>
        <w:t xml:space="preserve"> </w:t>
      </w:r>
      <w:r>
        <w:rPr>
          <w:rFonts w:ascii="Trebuchet MS" w:hAnsi="Trebuchet MS"/>
          <w:color w:val="231F20"/>
          <w:w w:val="105"/>
          <w:sz w:val="20"/>
        </w:rPr>
        <w:t>progress</w:t>
      </w:r>
      <w:r>
        <w:rPr>
          <w:rFonts w:ascii="Trebuchet MS" w:hAnsi="Trebuchet MS"/>
          <w:color w:val="231F20"/>
          <w:spacing w:val="-18"/>
          <w:w w:val="105"/>
          <w:sz w:val="20"/>
        </w:rPr>
        <w:t xml:space="preserve"> </w:t>
      </w:r>
      <w:r>
        <w:rPr>
          <w:rFonts w:ascii="Trebuchet MS" w:hAnsi="Trebuchet MS"/>
          <w:color w:val="231F20"/>
          <w:w w:val="105"/>
          <w:sz w:val="20"/>
        </w:rPr>
        <w:t>through</w:t>
      </w:r>
      <w:r>
        <w:rPr>
          <w:rFonts w:ascii="Trebuchet MS" w:hAnsi="Trebuchet MS"/>
          <w:color w:val="231F20"/>
          <w:spacing w:val="-17"/>
          <w:w w:val="105"/>
          <w:sz w:val="20"/>
        </w:rPr>
        <w:t xml:space="preserve"> </w:t>
      </w:r>
      <w:r>
        <w:rPr>
          <w:rFonts w:ascii="Trebuchet MS" w:hAnsi="Trebuchet MS"/>
          <w:color w:val="231F20"/>
          <w:w w:val="105"/>
          <w:sz w:val="20"/>
        </w:rPr>
        <w:t>the justice</w:t>
      </w:r>
      <w:r>
        <w:rPr>
          <w:rFonts w:ascii="Trebuchet MS" w:hAnsi="Trebuchet MS"/>
          <w:color w:val="231F20"/>
          <w:spacing w:val="-18"/>
          <w:w w:val="105"/>
          <w:sz w:val="20"/>
        </w:rPr>
        <w:t xml:space="preserve"> </w:t>
      </w:r>
      <w:r>
        <w:rPr>
          <w:rFonts w:ascii="Trebuchet MS" w:hAnsi="Trebuchet MS"/>
          <w:color w:val="231F20"/>
          <w:w w:val="105"/>
          <w:sz w:val="20"/>
        </w:rPr>
        <w:t>system</w:t>
      </w:r>
    </w:p>
    <w:p w14:paraId="48E82EC8" w14:textId="77777777" w:rsidR="00894070" w:rsidRDefault="009B7AFD">
      <w:pPr>
        <w:pStyle w:val="ListParagraph"/>
        <w:numPr>
          <w:ilvl w:val="0"/>
          <w:numId w:val="185"/>
        </w:numPr>
        <w:tabs>
          <w:tab w:val="left" w:pos="3161"/>
          <w:tab w:val="left" w:pos="3162"/>
        </w:tabs>
        <w:spacing w:before="87"/>
        <w:ind w:hanging="680"/>
        <w:rPr>
          <w:rFonts w:ascii="Trebuchet MS" w:hAnsi="Trebuchet MS"/>
          <w:sz w:val="20"/>
        </w:rPr>
      </w:pPr>
      <w:r>
        <w:rPr>
          <w:rFonts w:ascii="Trebuchet MS" w:hAnsi="Trebuchet MS"/>
          <w:color w:val="231F20"/>
          <w:w w:val="105"/>
          <w:sz w:val="20"/>
        </w:rPr>
        <w:t>support</w:t>
      </w:r>
      <w:r>
        <w:rPr>
          <w:rFonts w:ascii="Trebuchet MS" w:hAnsi="Trebuchet MS"/>
          <w:color w:val="231F20"/>
          <w:spacing w:val="-18"/>
          <w:w w:val="105"/>
          <w:sz w:val="20"/>
        </w:rPr>
        <w:t xml:space="preserve"> </w:t>
      </w:r>
      <w:r>
        <w:rPr>
          <w:rFonts w:ascii="Trebuchet MS" w:hAnsi="Trebuchet MS"/>
          <w:color w:val="231F20"/>
          <w:w w:val="105"/>
          <w:sz w:val="20"/>
        </w:rPr>
        <w:t>victim</w:t>
      </w:r>
      <w:r>
        <w:rPr>
          <w:rFonts w:ascii="Trebuchet MS" w:hAnsi="Trebuchet MS"/>
          <w:color w:val="231F20"/>
          <w:spacing w:val="-17"/>
          <w:w w:val="105"/>
          <w:sz w:val="20"/>
        </w:rPr>
        <w:t xml:space="preserve"> </w:t>
      </w:r>
      <w:r>
        <w:rPr>
          <w:rFonts w:ascii="Trebuchet MS" w:hAnsi="Trebuchet MS"/>
          <w:color w:val="231F20"/>
          <w:w w:val="105"/>
          <w:sz w:val="20"/>
        </w:rPr>
        <w:t>survivors</w:t>
      </w:r>
      <w:r>
        <w:rPr>
          <w:rFonts w:ascii="Trebuchet MS" w:hAnsi="Trebuchet MS"/>
          <w:color w:val="231F20"/>
          <w:spacing w:val="-18"/>
          <w:w w:val="105"/>
          <w:sz w:val="20"/>
        </w:rPr>
        <w:t xml:space="preserve"> </w:t>
      </w:r>
      <w:r>
        <w:rPr>
          <w:rFonts w:ascii="Trebuchet MS" w:hAnsi="Trebuchet MS"/>
          <w:color w:val="231F20"/>
          <w:w w:val="105"/>
          <w:sz w:val="20"/>
        </w:rPr>
        <w:t>to</w:t>
      </w:r>
      <w:r>
        <w:rPr>
          <w:rFonts w:ascii="Trebuchet MS" w:hAnsi="Trebuchet MS"/>
          <w:color w:val="231F20"/>
          <w:spacing w:val="-17"/>
          <w:w w:val="105"/>
          <w:sz w:val="20"/>
        </w:rPr>
        <w:t xml:space="preserve"> </w:t>
      </w:r>
      <w:r>
        <w:rPr>
          <w:rFonts w:ascii="Trebuchet MS" w:hAnsi="Trebuchet MS"/>
          <w:color w:val="231F20"/>
          <w:w w:val="105"/>
          <w:sz w:val="20"/>
        </w:rPr>
        <w:t>understand</w:t>
      </w:r>
      <w:r>
        <w:rPr>
          <w:rFonts w:ascii="Trebuchet MS" w:hAnsi="Trebuchet MS"/>
          <w:color w:val="231F20"/>
          <w:spacing w:val="-18"/>
          <w:w w:val="105"/>
          <w:sz w:val="20"/>
        </w:rPr>
        <w:t xml:space="preserve"> </w:t>
      </w:r>
      <w:r>
        <w:rPr>
          <w:rFonts w:ascii="Trebuchet MS" w:hAnsi="Trebuchet MS"/>
          <w:color w:val="231F20"/>
          <w:w w:val="105"/>
          <w:sz w:val="20"/>
        </w:rPr>
        <w:t>and</w:t>
      </w:r>
      <w:r>
        <w:rPr>
          <w:rFonts w:ascii="Trebuchet MS" w:hAnsi="Trebuchet MS"/>
          <w:color w:val="231F20"/>
          <w:spacing w:val="-17"/>
          <w:w w:val="105"/>
          <w:sz w:val="20"/>
        </w:rPr>
        <w:t xml:space="preserve"> </w:t>
      </w:r>
      <w:r>
        <w:rPr>
          <w:rFonts w:ascii="Trebuchet MS" w:hAnsi="Trebuchet MS"/>
          <w:color w:val="231F20"/>
          <w:spacing w:val="-3"/>
          <w:w w:val="105"/>
          <w:sz w:val="20"/>
        </w:rPr>
        <w:t>exercise</w:t>
      </w:r>
      <w:r>
        <w:rPr>
          <w:rFonts w:ascii="Trebuchet MS" w:hAnsi="Trebuchet MS"/>
          <w:color w:val="231F20"/>
          <w:spacing w:val="-17"/>
          <w:w w:val="105"/>
          <w:sz w:val="20"/>
        </w:rPr>
        <w:t xml:space="preserve"> </w:t>
      </w:r>
      <w:r>
        <w:rPr>
          <w:rFonts w:ascii="Trebuchet MS" w:hAnsi="Trebuchet MS"/>
          <w:color w:val="231F20"/>
          <w:w w:val="105"/>
          <w:sz w:val="20"/>
        </w:rPr>
        <w:t>their</w:t>
      </w:r>
      <w:r>
        <w:rPr>
          <w:rFonts w:ascii="Trebuchet MS" w:hAnsi="Trebuchet MS"/>
          <w:color w:val="231F20"/>
          <w:spacing w:val="-18"/>
          <w:w w:val="105"/>
          <w:sz w:val="20"/>
        </w:rPr>
        <w:t xml:space="preserve"> </w:t>
      </w:r>
      <w:r>
        <w:rPr>
          <w:rFonts w:ascii="Trebuchet MS" w:hAnsi="Trebuchet MS"/>
          <w:color w:val="231F20"/>
          <w:w w:val="105"/>
          <w:sz w:val="20"/>
        </w:rPr>
        <w:t>rights</w:t>
      </w:r>
    </w:p>
    <w:p w14:paraId="0E5796BC" w14:textId="77777777" w:rsidR="00894070" w:rsidRDefault="009B7AFD">
      <w:pPr>
        <w:pStyle w:val="ListParagraph"/>
        <w:numPr>
          <w:ilvl w:val="0"/>
          <w:numId w:val="185"/>
        </w:numPr>
        <w:tabs>
          <w:tab w:val="left" w:pos="3161"/>
          <w:tab w:val="left" w:pos="3162"/>
        </w:tabs>
        <w:spacing w:before="92" w:line="247" w:lineRule="auto"/>
        <w:ind w:right="1928" w:hanging="680"/>
        <w:rPr>
          <w:rFonts w:ascii="Trebuchet MS" w:hAnsi="Trebuchet MS"/>
          <w:sz w:val="20"/>
        </w:rPr>
      </w:pPr>
      <w:r>
        <w:rPr>
          <w:rFonts w:ascii="Trebuchet MS" w:hAnsi="Trebuchet MS"/>
          <w:color w:val="231F20"/>
          <w:w w:val="105"/>
          <w:sz w:val="20"/>
        </w:rPr>
        <w:t>assist</w:t>
      </w:r>
      <w:r>
        <w:rPr>
          <w:rFonts w:ascii="Trebuchet MS" w:hAnsi="Trebuchet MS"/>
          <w:color w:val="231F20"/>
          <w:spacing w:val="-25"/>
          <w:w w:val="105"/>
          <w:sz w:val="20"/>
        </w:rPr>
        <w:t xml:space="preserve"> </w:t>
      </w:r>
      <w:r>
        <w:rPr>
          <w:rFonts w:ascii="Trebuchet MS" w:hAnsi="Trebuchet MS"/>
          <w:color w:val="231F20"/>
          <w:w w:val="105"/>
          <w:sz w:val="20"/>
        </w:rPr>
        <w:t>with</w:t>
      </w:r>
      <w:r>
        <w:rPr>
          <w:rFonts w:ascii="Trebuchet MS" w:hAnsi="Trebuchet MS"/>
          <w:color w:val="231F20"/>
          <w:spacing w:val="-25"/>
          <w:w w:val="105"/>
          <w:sz w:val="20"/>
        </w:rPr>
        <w:t xml:space="preserve"> </w:t>
      </w:r>
      <w:r>
        <w:rPr>
          <w:rFonts w:ascii="Trebuchet MS" w:hAnsi="Trebuchet MS"/>
          <w:color w:val="231F20"/>
          <w:w w:val="105"/>
          <w:sz w:val="20"/>
        </w:rPr>
        <w:t>planning</w:t>
      </w:r>
      <w:r>
        <w:rPr>
          <w:rFonts w:ascii="Trebuchet MS" w:hAnsi="Trebuchet MS"/>
          <w:color w:val="231F20"/>
          <w:spacing w:val="-24"/>
          <w:w w:val="105"/>
          <w:sz w:val="20"/>
        </w:rPr>
        <w:t xml:space="preserve"> </w:t>
      </w:r>
      <w:r>
        <w:rPr>
          <w:rFonts w:ascii="Trebuchet MS" w:hAnsi="Trebuchet MS"/>
          <w:color w:val="231F20"/>
          <w:w w:val="105"/>
          <w:sz w:val="20"/>
        </w:rPr>
        <w:t>for</w:t>
      </w:r>
      <w:r>
        <w:rPr>
          <w:rFonts w:ascii="Trebuchet MS" w:hAnsi="Trebuchet MS"/>
          <w:color w:val="231F20"/>
          <w:spacing w:val="-25"/>
          <w:w w:val="105"/>
          <w:sz w:val="20"/>
        </w:rPr>
        <w:t xml:space="preserve"> </w:t>
      </w:r>
      <w:r>
        <w:rPr>
          <w:rFonts w:ascii="Trebuchet MS" w:hAnsi="Trebuchet MS"/>
          <w:color w:val="231F20"/>
          <w:w w:val="105"/>
          <w:sz w:val="20"/>
        </w:rPr>
        <w:t>their</w:t>
      </w:r>
      <w:r>
        <w:rPr>
          <w:rFonts w:ascii="Trebuchet MS" w:hAnsi="Trebuchet MS"/>
          <w:color w:val="231F20"/>
          <w:spacing w:val="-24"/>
          <w:w w:val="105"/>
          <w:sz w:val="20"/>
        </w:rPr>
        <w:t xml:space="preserve"> </w:t>
      </w:r>
      <w:r>
        <w:rPr>
          <w:rFonts w:ascii="Trebuchet MS" w:hAnsi="Trebuchet MS"/>
          <w:color w:val="231F20"/>
          <w:w w:val="105"/>
          <w:sz w:val="20"/>
        </w:rPr>
        <w:t>safety</w:t>
      </w:r>
      <w:r>
        <w:rPr>
          <w:rFonts w:ascii="Trebuchet MS" w:hAnsi="Trebuchet MS"/>
          <w:color w:val="231F20"/>
          <w:spacing w:val="-25"/>
          <w:w w:val="105"/>
          <w:sz w:val="20"/>
        </w:rPr>
        <w:t xml:space="preserve"> </w:t>
      </w:r>
      <w:r>
        <w:rPr>
          <w:rFonts w:ascii="Trebuchet MS" w:hAnsi="Trebuchet MS"/>
          <w:color w:val="231F20"/>
          <w:w w:val="105"/>
          <w:sz w:val="20"/>
        </w:rPr>
        <w:t>when</w:t>
      </w:r>
      <w:r>
        <w:rPr>
          <w:rFonts w:ascii="Trebuchet MS" w:hAnsi="Trebuchet MS"/>
          <w:color w:val="231F20"/>
          <w:spacing w:val="-24"/>
          <w:w w:val="105"/>
          <w:sz w:val="20"/>
        </w:rPr>
        <w:t xml:space="preserve"> </w:t>
      </w:r>
      <w:r>
        <w:rPr>
          <w:rFonts w:ascii="Trebuchet MS" w:hAnsi="Trebuchet MS"/>
          <w:color w:val="231F20"/>
          <w:w w:val="105"/>
          <w:sz w:val="20"/>
        </w:rPr>
        <w:t>they</w:t>
      </w:r>
      <w:r>
        <w:rPr>
          <w:rFonts w:ascii="Trebuchet MS" w:hAnsi="Trebuchet MS"/>
          <w:color w:val="231F20"/>
          <w:spacing w:val="-25"/>
          <w:w w:val="105"/>
          <w:sz w:val="20"/>
        </w:rPr>
        <w:t xml:space="preserve"> </w:t>
      </w:r>
      <w:r>
        <w:rPr>
          <w:rFonts w:ascii="Trebuchet MS" w:hAnsi="Trebuchet MS"/>
          <w:color w:val="231F20"/>
          <w:spacing w:val="-2"/>
          <w:w w:val="105"/>
          <w:sz w:val="20"/>
        </w:rPr>
        <w:t>are</w:t>
      </w:r>
      <w:r>
        <w:rPr>
          <w:rFonts w:ascii="Trebuchet MS" w:hAnsi="Trebuchet MS"/>
          <w:color w:val="231F20"/>
          <w:spacing w:val="-25"/>
          <w:w w:val="105"/>
          <w:sz w:val="20"/>
        </w:rPr>
        <w:t xml:space="preserve"> </w:t>
      </w:r>
      <w:r>
        <w:rPr>
          <w:rFonts w:ascii="Trebuchet MS" w:hAnsi="Trebuchet MS"/>
          <w:color w:val="231F20"/>
          <w:w w:val="105"/>
          <w:sz w:val="20"/>
        </w:rPr>
        <w:t>experiencing stalking</w:t>
      </w:r>
    </w:p>
    <w:p w14:paraId="513E693C" w14:textId="77777777" w:rsidR="00894070" w:rsidRDefault="009B7AFD">
      <w:pPr>
        <w:pStyle w:val="ListParagraph"/>
        <w:numPr>
          <w:ilvl w:val="0"/>
          <w:numId w:val="185"/>
        </w:numPr>
        <w:tabs>
          <w:tab w:val="left" w:pos="3161"/>
          <w:tab w:val="left" w:pos="3162"/>
        </w:tabs>
        <w:spacing w:before="87"/>
        <w:ind w:hanging="680"/>
        <w:rPr>
          <w:rFonts w:ascii="Trebuchet MS" w:hAnsi="Trebuchet MS"/>
          <w:sz w:val="20"/>
        </w:rPr>
      </w:pPr>
      <w:r>
        <w:rPr>
          <w:rFonts w:ascii="Trebuchet MS" w:hAnsi="Trebuchet MS"/>
          <w:color w:val="231F20"/>
          <w:w w:val="105"/>
          <w:sz w:val="20"/>
        </w:rPr>
        <w:t>support</w:t>
      </w:r>
      <w:r>
        <w:rPr>
          <w:rFonts w:ascii="Trebuchet MS" w:hAnsi="Trebuchet MS"/>
          <w:color w:val="231F20"/>
          <w:spacing w:val="-18"/>
          <w:w w:val="105"/>
          <w:sz w:val="20"/>
        </w:rPr>
        <w:t xml:space="preserve"> </w:t>
      </w:r>
      <w:r>
        <w:rPr>
          <w:rFonts w:ascii="Trebuchet MS" w:hAnsi="Trebuchet MS"/>
          <w:color w:val="231F20"/>
          <w:w w:val="105"/>
          <w:sz w:val="20"/>
        </w:rPr>
        <w:t>their</w:t>
      </w:r>
      <w:r>
        <w:rPr>
          <w:rFonts w:ascii="Trebuchet MS" w:hAnsi="Trebuchet MS"/>
          <w:color w:val="231F20"/>
          <w:spacing w:val="-17"/>
          <w:w w:val="105"/>
          <w:sz w:val="20"/>
        </w:rPr>
        <w:t xml:space="preserve"> </w:t>
      </w:r>
      <w:r>
        <w:rPr>
          <w:rFonts w:ascii="Trebuchet MS" w:hAnsi="Trebuchet MS"/>
          <w:color w:val="231F20"/>
          <w:w w:val="105"/>
          <w:sz w:val="20"/>
        </w:rPr>
        <w:t>individual</w:t>
      </w:r>
      <w:r>
        <w:rPr>
          <w:rFonts w:ascii="Trebuchet MS" w:hAnsi="Trebuchet MS"/>
          <w:color w:val="231F20"/>
          <w:spacing w:val="-17"/>
          <w:w w:val="105"/>
          <w:sz w:val="20"/>
        </w:rPr>
        <w:t xml:space="preserve"> </w:t>
      </w:r>
      <w:r>
        <w:rPr>
          <w:rFonts w:ascii="Trebuchet MS" w:hAnsi="Trebuchet MS"/>
          <w:color w:val="231F20"/>
          <w:w w:val="105"/>
          <w:sz w:val="20"/>
        </w:rPr>
        <w:t>needs</w:t>
      </w:r>
    </w:p>
    <w:p w14:paraId="625812D0" w14:textId="77777777" w:rsidR="00894070" w:rsidRDefault="009B7AFD">
      <w:pPr>
        <w:pStyle w:val="ListParagraph"/>
        <w:numPr>
          <w:ilvl w:val="0"/>
          <w:numId w:val="185"/>
        </w:numPr>
        <w:tabs>
          <w:tab w:val="left" w:pos="3161"/>
          <w:tab w:val="left" w:pos="3162"/>
        </w:tabs>
        <w:spacing w:before="93" w:line="247" w:lineRule="auto"/>
        <w:ind w:right="1205" w:hanging="680"/>
        <w:rPr>
          <w:rFonts w:ascii="Trebuchet MS" w:hAnsi="Trebuchet MS"/>
          <w:sz w:val="20"/>
        </w:rPr>
      </w:pPr>
      <w:r>
        <w:rPr>
          <w:rFonts w:ascii="Trebuchet MS" w:hAnsi="Trebuchet MS"/>
          <w:color w:val="231F20"/>
          <w:sz w:val="20"/>
        </w:rPr>
        <w:t xml:space="preserve">liaise with, and </w:t>
      </w:r>
      <w:r>
        <w:rPr>
          <w:rFonts w:ascii="Trebuchet MS" w:hAnsi="Trebuchet MS"/>
          <w:color w:val="231F20"/>
          <w:spacing w:val="-3"/>
          <w:sz w:val="20"/>
        </w:rPr>
        <w:t xml:space="preserve">advocate </w:t>
      </w:r>
      <w:r>
        <w:rPr>
          <w:rFonts w:ascii="Trebuchet MS" w:hAnsi="Trebuchet MS"/>
          <w:color w:val="231F20"/>
          <w:sz w:val="20"/>
        </w:rPr>
        <w:t xml:space="preserve">for victim survivors </w:t>
      </w:r>
      <w:r>
        <w:rPr>
          <w:rFonts w:ascii="Trebuchet MS" w:hAnsi="Trebuchet MS"/>
          <w:color w:val="231F20"/>
          <w:spacing w:val="-3"/>
          <w:sz w:val="20"/>
        </w:rPr>
        <w:t xml:space="preserve">to, </w:t>
      </w:r>
      <w:r>
        <w:rPr>
          <w:rFonts w:ascii="Trebuchet MS" w:hAnsi="Trebuchet MS"/>
          <w:color w:val="231F20"/>
          <w:sz w:val="20"/>
        </w:rPr>
        <w:t xml:space="preserve">services and the justice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05"/>
          <w:sz w:val="20"/>
        </w:rPr>
        <w:t>s</w:t>
      </w:r>
      <w:r>
        <w:rPr>
          <w:rFonts w:ascii="Trebuchet MS" w:hAnsi="Trebuchet MS"/>
          <w:color w:val="231F20"/>
          <w:spacing w:val="-4"/>
          <w:w w:val="105"/>
          <w:sz w:val="20"/>
        </w:rPr>
        <w:t>t</w:t>
      </w:r>
      <w:r>
        <w:rPr>
          <w:rFonts w:ascii="Trebuchet MS" w:hAnsi="Trebuchet MS"/>
          <w:color w:val="231F20"/>
          <w:spacing w:val="-1"/>
          <w:w w:val="110"/>
          <w:sz w:val="20"/>
        </w:rPr>
        <w:t>em</w:t>
      </w:r>
      <w:r>
        <w:rPr>
          <w:rFonts w:ascii="Trebuchet MS" w:hAnsi="Trebuchet MS"/>
          <w:color w:val="231F20"/>
          <w:w w:val="55"/>
          <w:sz w:val="20"/>
        </w:rPr>
        <w:t>.</w:t>
      </w:r>
    </w:p>
    <w:p w14:paraId="67D6A49B" w14:textId="77777777" w:rsidR="00894070" w:rsidRDefault="009B7AFD">
      <w:pPr>
        <w:pStyle w:val="ListParagraph"/>
        <w:numPr>
          <w:ilvl w:val="0"/>
          <w:numId w:val="184"/>
        </w:numPr>
        <w:tabs>
          <w:tab w:val="left" w:pos="2481"/>
          <w:tab w:val="left" w:pos="2482"/>
        </w:tabs>
        <w:spacing w:before="86"/>
        <w:rPr>
          <w:rFonts w:ascii="Trebuchet MS"/>
          <w:sz w:val="20"/>
        </w:rPr>
      </w:pPr>
      <w:r>
        <w:rPr>
          <w:rFonts w:ascii="Trebuchet MS"/>
          <w:color w:val="231F20"/>
          <w:spacing w:val="-2"/>
          <w:w w:val="105"/>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mo</w:t>
      </w:r>
      <w:r>
        <w:rPr>
          <w:rFonts w:ascii="Trebuchet MS"/>
          <w:color w:val="231F20"/>
          <w:spacing w:val="-2"/>
          <w:w w:val="112"/>
          <w:sz w:val="20"/>
        </w:rPr>
        <w:t>d</w:t>
      </w:r>
      <w:r>
        <w:rPr>
          <w:rFonts w:ascii="Trebuchet MS"/>
          <w:color w:val="231F20"/>
          <w:spacing w:val="-1"/>
          <w:w w:val="108"/>
          <w:sz w:val="20"/>
        </w:rPr>
        <w:t>e</w:t>
      </w:r>
      <w:r>
        <w:rPr>
          <w:rFonts w:ascii="Trebuchet MS"/>
          <w:color w:val="231F20"/>
          <w:w w:val="96"/>
          <w:sz w:val="20"/>
        </w:rPr>
        <w:t>l</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105"/>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3"/>
          <w:w w:val="112"/>
          <w:sz w:val="20"/>
        </w:rPr>
        <w:t>d</w:t>
      </w:r>
      <w:r>
        <w:rPr>
          <w:rFonts w:ascii="Trebuchet MS"/>
          <w:color w:val="231F20"/>
          <w:spacing w:val="-6"/>
          <w:w w:val="109"/>
          <w:sz w:val="20"/>
        </w:rPr>
        <w:t>v</w:t>
      </w:r>
      <w:r>
        <w:rPr>
          <w:rFonts w:ascii="Trebuchet MS"/>
          <w:color w:val="231F20"/>
          <w:spacing w:val="-1"/>
          <w:w w:val="111"/>
          <w:sz w:val="20"/>
        </w:rPr>
        <w:t>o</w:t>
      </w:r>
      <w:r>
        <w:rPr>
          <w:rFonts w:ascii="Trebuchet MS"/>
          <w:color w:val="231F20"/>
          <w:w w:val="111"/>
          <w:sz w:val="20"/>
        </w:rPr>
        <w:t>c</w:t>
      </w:r>
      <w:r>
        <w:rPr>
          <w:rFonts w:ascii="Trebuchet MS"/>
          <w:color w:val="231F20"/>
          <w:spacing w:val="-4"/>
          <w:w w:val="105"/>
          <w:sz w:val="20"/>
        </w:rPr>
        <w:t>a</w:t>
      </w:r>
      <w:r>
        <w:rPr>
          <w:rFonts w:ascii="Trebuchet MS"/>
          <w:color w:val="231F20"/>
          <w:spacing w:val="-4"/>
          <w:w w:val="88"/>
          <w:sz w:val="20"/>
        </w:rPr>
        <w:t>t</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spacing w:val="-3"/>
          <w:w w:val="112"/>
          <w:sz w:val="20"/>
        </w:rPr>
        <w:t>d</w:t>
      </w:r>
      <w:r>
        <w:rPr>
          <w:rFonts w:ascii="Trebuchet MS"/>
          <w:color w:val="231F20"/>
          <w:w w:val="54"/>
          <w:sz w:val="20"/>
        </w:rPr>
        <w:t>:</w:t>
      </w:r>
    </w:p>
    <w:p w14:paraId="3075AF7E" w14:textId="77777777" w:rsidR="00894070" w:rsidRDefault="009B7AFD">
      <w:pPr>
        <w:pStyle w:val="ListParagraph"/>
        <w:numPr>
          <w:ilvl w:val="1"/>
          <w:numId w:val="184"/>
        </w:numPr>
        <w:tabs>
          <w:tab w:val="left" w:pos="3161"/>
          <w:tab w:val="left" w:pos="3162"/>
        </w:tabs>
        <w:spacing w:before="128" w:line="247" w:lineRule="auto"/>
        <w:ind w:right="1564" w:hanging="680"/>
        <w:rPr>
          <w:rFonts w:ascii="Trebuchet MS" w:hAnsi="Trebuchet MS"/>
          <w:sz w:val="20"/>
        </w:rPr>
      </w:pPr>
      <w:r>
        <w:rPr>
          <w:rFonts w:ascii="Trebuchet MS" w:hAnsi="Trebuchet MS"/>
          <w:color w:val="231F20"/>
          <w:w w:val="105"/>
          <w:sz w:val="20"/>
        </w:rPr>
        <w:t xml:space="preserve">be </w:t>
      </w:r>
      <w:r>
        <w:rPr>
          <w:rFonts w:ascii="Trebuchet MS" w:hAnsi="Trebuchet MS"/>
          <w:color w:val="231F20"/>
          <w:spacing w:val="-3"/>
          <w:w w:val="105"/>
          <w:sz w:val="20"/>
        </w:rPr>
        <w:t xml:space="preserve">available </w:t>
      </w:r>
      <w:r>
        <w:rPr>
          <w:rFonts w:ascii="Trebuchet MS" w:hAnsi="Trebuchet MS"/>
          <w:color w:val="231F20"/>
          <w:w w:val="105"/>
          <w:sz w:val="20"/>
        </w:rPr>
        <w:t xml:space="preserve">as soon as a disclosure of stalking is made and not </w:t>
      </w:r>
      <w:r>
        <w:rPr>
          <w:rFonts w:ascii="Trebuchet MS" w:hAnsi="Trebuchet MS"/>
          <w:color w:val="231F20"/>
          <w:spacing w:val="-2"/>
          <w:w w:val="112"/>
          <w:sz w:val="20"/>
        </w:rPr>
        <w:t>d</w:t>
      </w:r>
      <w:r>
        <w:rPr>
          <w:rFonts w:ascii="Trebuchet MS" w:hAnsi="Trebuchet MS"/>
          <w:color w:val="231F20"/>
          <w:spacing w:val="-1"/>
          <w:w w:val="109"/>
          <w:sz w:val="20"/>
        </w:rPr>
        <w:t>epen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1"/>
          <w:w w:val="105"/>
          <w:sz w:val="20"/>
        </w:rPr>
        <w:t>per</w:t>
      </w:r>
      <w:r>
        <w:rPr>
          <w:rFonts w:ascii="Trebuchet MS" w:hAnsi="Trebuchet MS"/>
          <w:color w:val="231F20"/>
          <w:spacing w:val="-1"/>
          <w:w w:val="122"/>
          <w:sz w:val="20"/>
        </w:rPr>
        <w:t>s</w:t>
      </w:r>
      <w:r>
        <w:rPr>
          <w:rFonts w:ascii="Trebuchet MS" w:hAnsi="Trebuchet MS"/>
          <w:color w:val="231F20"/>
          <w:spacing w:val="-1"/>
          <w:w w:val="111"/>
          <w:sz w:val="20"/>
        </w:rPr>
        <w:t>o</w:t>
      </w:r>
      <w:r>
        <w:rPr>
          <w:rFonts w:ascii="Trebuchet MS" w:hAnsi="Trebuchet MS"/>
          <w:color w:val="231F20"/>
          <w:spacing w:val="-6"/>
          <w:w w:val="107"/>
          <w:sz w:val="20"/>
        </w:rPr>
        <w:t>n</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1"/>
          <w:w w:val="108"/>
          <w:sz w:val="20"/>
        </w:rPr>
        <w:t>en</w:t>
      </w:r>
      <w:r>
        <w:rPr>
          <w:rFonts w:ascii="Trebuchet MS" w:hAnsi="Trebuchet MS"/>
          <w:color w:val="231F20"/>
          <w:spacing w:val="-1"/>
          <w:w w:val="124"/>
          <w:sz w:val="20"/>
        </w:rPr>
        <w:t>g</w:t>
      </w:r>
      <w:r>
        <w:rPr>
          <w:rFonts w:ascii="Trebuchet MS" w:hAnsi="Trebuchet MS"/>
          <w:color w:val="231F20"/>
          <w:spacing w:val="-2"/>
          <w:w w:val="105"/>
          <w:sz w:val="20"/>
        </w:rPr>
        <w:t>a</w:t>
      </w:r>
      <w:r>
        <w:rPr>
          <w:rFonts w:ascii="Trebuchet MS" w:hAnsi="Trebuchet MS"/>
          <w:color w:val="231F20"/>
          <w:spacing w:val="-1"/>
          <w:w w:val="124"/>
          <w:sz w:val="20"/>
        </w:rPr>
        <w:t>g</w:t>
      </w:r>
      <w:r>
        <w:rPr>
          <w:rFonts w:ascii="Trebuchet MS" w:hAnsi="Trebuchet MS"/>
          <w:color w:val="231F20"/>
          <w:spacing w:val="-1"/>
          <w:w w:val="110"/>
          <w:sz w:val="20"/>
        </w:rPr>
        <w:t>em</w:t>
      </w:r>
      <w:r>
        <w:rPr>
          <w:rFonts w:ascii="Trebuchet MS" w:hAnsi="Trebuchet MS"/>
          <w:color w:val="231F20"/>
          <w:spacing w:val="-1"/>
          <w:w w:val="108"/>
          <w:sz w:val="20"/>
        </w:rPr>
        <w:t>e</w:t>
      </w:r>
      <w:r>
        <w:rPr>
          <w:rFonts w:ascii="Trebuchet MS" w:hAnsi="Trebuchet MS"/>
          <w:color w:val="231F20"/>
          <w:spacing w:val="-4"/>
          <w:w w:val="108"/>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3"/>
          <w:w w:val="80"/>
          <w:sz w:val="20"/>
        </w:rPr>
        <w:t>i</w:t>
      </w:r>
      <w:r>
        <w:rPr>
          <w:rFonts w:ascii="Trebuchet MS" w:hAnsi="Trebuchet MS"/>
          <w:color w:val="231F20"/>
          <w:spacing w:val="-2"/>
          <w:w w:val="88"/>
          <w:sz w:val="20"/>
        </w:rPr>
        <w:t>t</w:t>
      </w:r>
      <w:r>
        <w:rPr>
          <w:rFonts w:ascii="Trebuchet MS" w:hAnsi="Trebuchet MS"/>
          <w:color w:val="231F20"/>
          <w:w w:val="107"/>
          <w:sz w:val="20"/>
        </w:rPr>
        <w:t>h</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1"/>
          <w:sz w:val="20"/>
        </w:rPr>
        <w:t>c</w:t>
      </w:r>
      <w:r>
        <w:rPr>
          <w:rFonts w:ascii="Trebuchet MS" w:hAnsi="Trebuchet MS"/>
          <w:color w:val="231F20"/>
          <w:spacing w:val="-2"/>
          <w:w w:val="93"/>
          <w:sz w:val="20"/>
        </w:rPr>
        <w:t>r</w:t>
      </w:r>
      <w:r>
        <w:rPr>
          <w:rFonts w:ascii="Trebuchet MS" w:hAnsi="Trebuchet MS"/>
          <w:color w:val="231F20"/>
          <w:spacing w:val="-2"/>
          <w:w w:val="80"/>
          <w:sz w:val="20"/>
        </w:rPr>
        <w:t>i</w:t>
      </w:r>
      <w:r>
        <w:rPr>
          <w:rFonts w:ascii="Trebuchet MS" w:hAnsi="Trebuchet MS"/>
          <w:color w:val="231F20"/>
          <w:spacing w:val="-2"/>
          <w:w w:val="111"/>
          <w:sz w:val="20"/>
        </w:rPr>
        <w:t>m</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spacing w:val="-2"/>
          <w:w w:val="64"/>
          <w:sz w:val="20"/>
        </w:rPr>
        <w:t>j</w:t>
      </w:r>
      <w:r>
        <w:rPr>
          <w:rFonts w:ascii="Trebuchet MS" w:hAnsi="Trebuchet MS"/>
          <w:color w:val="231F20"/>
          <w:spacing w:val="-1"/>
          <w:w w:val="107"/>
          <w:sz w:val="20"/>
        </w:rPr>
        <w:t>us</w:t>
      </w:r>
      <w:r>
        <w:rPr>
          <w:rFonts w:ascii="Trebuchet MS" w:hAnsi="Trebuchet MS"/>
          <w:color w:val="231F20"/>
          <w:spacing w:val="-2"/>
          <w:w w:val="107"/>
          <w:sz w:val="20"/>
        </w:rPr>
        <w:t>t</w:t>
      </w:r>
      <w:r>
        <w:rPr>
          <w:rFonts w:ascii="Trebuchet MS" w:hAnsi="Trebuchet MS"/>
          <w:color w:val="231F20"/>
          <w:spacing w:val="-1"/>
          <w:w w:val="80"/>
          <w:sz w:val="20"/>
        </w:rPr>
        <w:t>i</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05"/>
          <w:sz w:val="20"/>
        </w:rPr>
        <w:t>s</w:t>
      </w:r>
      <w:r>
        <w:rPr>
          <w:rFonts w:ascii="Trebuchet MS" w:hAnsi="Trebuchet MS"/>
          <w:color w:val="231F20"/>
          <w:spacing w:val="-4"/>
          <w:w w:val="105"/>
          <w:sz w:val="20"/>
        </w:rPr>
        <w:t>t</w:t>
      </w:r>
      <w:r>
        <w:rPr>
          <w:rFonts w:ascii="Trebuchet MS" w:hAnsi="Trebuchet MS"/>
          <w:color w:val="231F20"/>
          <w:spacing w:val="-1"/>
          <w:w w:val="110"/>
          <w:sz w:val="20"/>
        </w:rPr>
        <w:t>em</w:t>
      </w:r>
    </w:p>
    <w:p w14:paraId="2DDA3ECE" w14:textId="77777777" w:rsidR="00894070" w:rsidRDefault="009B7AFD">
      <w:pPr>
        <w:pStyle w:val="ListParagraph"/>
        <w:numPr>
          <w:ilvl w:val="1"/>
          <w:numId w:val="184"/>
        </w:numPr>
        <w:tabs>
          <w:tab w:val="left" w:pos="3161"/>
          <w:tab w:val="left" w:pos="3162"/>
        </w:tabs>
        <w:spacing w:before="87"/>
        <w:ind w:hanging="680"/>
        <w:rPr>
          <w:rFonts w:ascii="Trebuchet MS" w:hAnsi="Trebuchet MS"/>
          <w:sz w:val="20"/>
        </w:rPr>
      </w:pPr>
      <w:r>
        <w:rPr>
          <w:rFonts w:ascii="Trebuchet MS" w:hAnsi="Trebuchet MS"/>
          <w:color w:val="231F20"/>
          <w:w w:val="105"/>
          <w:sz w:val="20"/>
        </w:rPr>
        <w:t>include</w:t>
      </w:r>
      <w:r>
        <w:rPr>
          <w:rFonts w:ascii="Trebuchet MS" w:hAnsi="Trebuchet MS"/>
          <w:color w:val="231F20"/>
          <w:spacing w:val="-17"/>
          <w:w w:val="105"/>
          <w:sz w:val="20"/>
        </w:rPr>
        <w:t xml:space="preserve"> </w:t>
      </w:r>
      <w:r>
        <w:rPr>
          <w:rFonts w:ascii="Trebuchet MS" w:hAnsi="Trebuchet MS"/>
          <w:color w:val="231F20"/>
          <w:w w:val="105"/>
          <w:sz w:val="20"/>
        </w:rPr>
        <w:t>diverse</w:t>
      </w:r>
      <w:r>
        <w:rPr>
          <w:rFonts w:ascii="Trebuchet MS" w:hAnsi="Trebuchet MS"/>
          <w:color w:val="231F20"/>
          <w:spacing w:val="-16"/>
          <w:w w:val="105"/>
          <w:sz w:val="20"/>
        </w:rPr>
        <w:t xml:space="preserve"> </w:t>
      </w:r>
      <w:r>
        <w:rPr>
          <w:rFonts w:ascii="Trebuchet MS" w:hAnsi="Trebuchet MS"/>
          <w:color w:val="231F20"/>
          <w:w w:val="105"/>
          <w:sz w:val="20"/>
        </w:rPr>
        <w:t>points</w:t>
      </w:r>
      <w:r>
        <w:rPr>
          <w:rFonts w:ascii="Trebuchet MS" w:hAnsi="Trebuchet MS"/>
          <w:color w:val="231F20"/>
          <w:spacing w:val="-17"/>
          <w:w w:val="105"/>
          <w:sz w:val="20"/>
        </w:rPr>
        <w:t xml:space="preserve"> </w:t>
      </w:r>
      <w:r>
        <w:rPr>
          <w:rFonts w:ascii="Trebuchet MS" w:hAnsi="Trebuchet MS"/>
          <w:color w:val="231F20"/>
          <w:w w:val="105"/>
          <w:sz w:val="20"/>
        </w:rPr>
        <w:t>of</w:t>
      </w:r>
      <w:r>
        <w:rPr>
          <w:rFonts w:ascii="Trebuchet MS" w:hAnsi="Trebuchet MS"/>
          <w:color w:val="231F20"/>
          <w:spacing w:val="-16"/>
          <w:w w:val="105"/>
          <w:sz w:val="20"/>
        </w:rPr>
        <w:t xml:space="preserve"> </w:t>
      </w:r>
      <w:r>
        <w:rPr>
          <w:rFonts w:ascii="Trebuchet MS" w:hAnsi="Trebuchet MS"/>
          <w:color w:val="231F20"/>
          <w:spacing w:val="-3"/>
          <w:w w:val="105"/>
          <w:sz w:val="20"/>
        </w:rPr>
        <w:t>referral</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access</w:t>
      </w:r>
      <w:r>
        <w:rPr>
          <w:rFonts w:ascii="Trebuchet MS" w:hAnsi="Trebuchet MS"/>
          <w:color w:val="231F20"/>
          <w:spacing w:val="-17"/>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w w:val="105"/>
          <w:sz w:val="20"/>
        </w:rPr>
        <w:t>such</w:t>
      </w:r>
      <w:r>
        <w:rPr>
          <w:rFonts w:ascii="Trebuchet MS" w:hAnsi="Trebuchet MS"/>
          <w:color w:val="231F20"/>
          <w:spacing w:val="-16"/>
          <w:w w:val="105"/>
          <w:sz w:val="20"/>
        </w:rPr>
        <w:t xml:space="preserve"> </w:t>
      </w:r>
      <w:r>
        <w:rPr>
          <w:rFonts w:ascii="Trebuchet MS" w:hAnsi="Trebuchet MS"/>
          <w:color w:val="231F20"/>
          <w:w w:val="105"/>
          <w:sz w:val="20"/>
        </w:rPr>
        <w:t>support</w:t>
      </w:r>
    </w:p>
    <w:p w14:paraId="28A829FF" w14:textId="77777777" w:rsidR="00894070" w:rsidRDefault="009B7AFD">
      <w:pPr>
        <w:pStyle w:val="ListParagraph"/>
        <w:numPr>
          <w:ilvl w:val="1"/>
          <w:numId w:val="184"/>
        </w:numPr>
        <w:tabs>
          <w:tab w:val="left" w:pos="3161"/>
          <w:tab w:val="left" w:pos="3162"/>
        </w:tabs>
        <w:spacing w:before="93" w:line="247" w:lineRule="auto"/>
        <w:ind w:right="1332" w:hanging="680"/>
        <w:rPr>
          <w:rFonts w:ascii="Trebuchet MS" w:hAnsi="Trebuchet MS"/>
          <w:sz w:val="20"/>
        </w:rPr>
      </w:pP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2"/>
          <w:w w:val="105"/>
          <w:sz w:val="20"/>
        </w:rPr>
        <w:t>a</w:t>
      </w:r>
      <w:r>
        <w:rPr>
          <w:rFonts w:ascii="Trebuchet MS" w:hAnsi="Trebuchet MS"/>
          <w:color w:val="231F20"/>
          <w:spacing w:val="-2"/>
          <w:w w:val="111"/>
          <w:sz w:val="20"/>
        </w:rPr>
        <w:t>b</w:t>
      </w:r>
      <w:r>
        <w:rPr>
          <w:rFonts w:ascii="Trebuchet MS" w:hAnsi="Trebuchet MS"/>
          <w:color w:val="231F20"/>
          <w:spacing w:val="-3"/>
          <w:w w:val="9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3"/>
          <w:w w:val="112"/>
          <w:sz w:val="20"/>
        </w:rPr>
        <w:t>d</w:t>
      </w:r>
      <w:r>
        <w:rPr>
          <w:rFonts w:ascii="Trebuchet MS" w:hAnsi="Trebuchet MS"/>
          <w:color w:val="231F20"/>
          <w:spacing w:val="-6"/>
          <w:w w:val="109"/>
          <w:sz w:val="20"/>
        </w:rPr>
        <w:t>v</w:t>
      </w:r>
      <w:r>
        <w:rPr>
          <w:rFonts w:ascii="Trebuchet MS" w:hAnsi="Trebuchet MS"/>
          <w:color w:val="231F20"/>
          <w:spacing w:val="-1"/>
          <w:w w:val="111"/>
          <w:sz w:val="20"/>
        </w:rPr>
        <w:t>o</w:t>
      </w:r>
      <w:r>
        <w:rPr>
          <w:rFonts w:ascii="Trebuchet MS" w:hAnsi="Trebuchet MS"/>
          <w:color w:val="231F20"/>
          <w:w w:val="111"/>
          <w:sz w:val="20"/>
        </w:rPr>
        <w:t>c</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04"/>
          <w:sz w:val="20"/>
        </w:rPr>
        <w:t>p</w:t>
      </w:r>
      <w:r>
        <w:rPr>
          <w:rFonts w:ascii="Trebuchet MS" w:hAnsi="Trebuchet MS"/>
          <w:color w:val="231F20"/>
          <w:spacing w:val="-4"/>
          <w:w w:val="104"/>
          <w:sz w:val="20"/>
        </w:rPr>
        <w:t>r</w:t>
      </w:r>
      <w:r>
        <w:rPr>
          <w:rFonts w:ascii="Trebuchet MS" w:hAnsi="Trebuchet MS"/>
          <w:color w:val="231F20"/>
          <w:spacing w:val="-6"/>
          <w:w w:val="111"/>
          <w:sz w:val="20"/>
        </w:rPr>
        <w:t>o</w:t>
      </w:r>
      <w:r>
        <w:rPr>
          <w:rFonts w:ascii="Trebuchet MS" w:hAnsi="Trebuchet MS"/>
          <w:color w:val="231F20"/>
          <w:spacing w:val="-2"/>
          <w:w w:val="109"/>
          <w:sz w:val="20"/>
        </w:rPr>
        <w:t>v</w:t>
      </w:r>
      <w:r>
        <w:rPr>
          <w:rFonts w:ascii="Trebuchet MS" w:hAnsi="Trebuchet MS"/>
          <w:color w:val="231F20"/>
          <w:spacing w:val="-1"/>
          <w:w w:val="101"/>
          <w:sz w:val="20"/>
        </w:rPr>
        <w:t>i</w:t>
      </w:r>
      <w:r>
        <w:rPr>
          <w:rFonts w:ascii="Trebuchet MS" w:hAnsi="Trebuchet MS"/>
          <w:color w:val="231F20"/>
          <w:spacing w:val="-2"/>
          <w:w w:val="101"/>
          <w:sz w:val="20"/>
        </w:rPr>
        <w:t>d</w:t>
      </w:r>
      <w:r>
        <w:rPr>
          <w:rFonts w:ascii="Trebuchet MS" w:hAnsi="Trebuchet MS"/>
          <w:color w:val="231F20"/>
          <w:w w:val="108"/>
          <w:sz w:val="20"/>
        </w:rPr>
        <w:t>e</w:t>
      </w:r>
      <w:r>
        <w:rPr>
          <w:rFonts w:ascii="Trebuchet MS" w:hAnsi="Trebuchet MS"/>
          <w:color w:val="231F20"/>
          <w:spacing w:val="-14"/>
          <w:sz w:val="20"/>
        </w:rPr>
        <w:t xml:space="preserve"> </w:t>
      </w:r>
      <w:proofErr w:type="spellStart"/>
      <w:r>
        <w:rPr>
          <w:rFonts w:ascii="Trebuchet MS" w:hAnsi="Trebuchet MS"/>
          <w:color w:val="231F20"/>
          <w:spacing w:val="-2"/>
          <w:w w:val="80"/>
          <w:sz w:val="20"/>
        </w:rPr>
        <w:t>i</w:t>
      </w:r>
      <w:r>
        <w:rPr>
          <w:rFonts w:ascii="Trebuchet MS" w:hAnsi="Trebuchet MS"/>
          <w:color w:val="231F20"/>
          <w:spacing w:val="-1"/>
          <w:w w:val="104"/>
          <w:sz w:val="20"/>
        </w:rPr>
        <w:t>nd</w:t>
      </w:r>
      <w:r>
        <w:rPr>
          <w:rFonts w:ascii="Trebuchet MS" w:hAnsi="Trebuchet MS"/>
          <w:color w:val="231F20"/>
          <w:spacing w:val="-2"/>
          <w:w w:val="104"/>
          <w:sz w:val="20"/>
        </w:rPr>
        <w:t>i</w:t>
      </w:r>
      <w:r>
        <w:rPr>
          <w:rFonts w:ascii="Trebuchet MS" w:hAnsi="Trebuchet MS"/>
          <w:color w:val="231F20"/>
          <w:spacing w:val="-2"/>
          <w:w w:val="109"/>
          <w:sz w:val="20"/>
        </w:rPr>
        <w:t>v</w:t>
      </w:r>
      <w:r>
        <w:rPr>
          <w:rFonts w:ascii="Trebuchet MS" w:hAnsi="Trebuchet MS"/>
          <w:color w:val="231F20"/>
          <w:spacing w:val="-1"/>
          <w:w w:val="101"/>
          <w:sz w:val="20"/>
        </w:rPr>
        <w:t>i</w:t>
      </w:r>
      <w:r>
        <w:rPr>
          <w:rFonts w:ascii="Trebuchet MS" w:hAnsi="Trebuchet MS"/>
          <w:color w:val="231F20"/>
          <w:spacing w:val="-2"/>
          <w:w w:val="101"/>
          <w:sz w:val="20"/>
        </w:rPr>
        <w:t>d</w:t>
      </w:r>
      <w:r>
        <w:rPr>
          <w:rFonts w:ascii="Trebuchet MS" w:hAnsi="Trebuchet MS"/>
          <w:color w:val="231F20"/>
          <w:spacing w:val="-2"/>
          <w:w w:val="109"/>
          <w:sz w:val="20"/>
        </w:rPr>
        <w:t>u</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w w:val="112"/>
          <w:sz w:val="20"/>
        </w:rPr>
        <w:t>d</w:t>
      </w:r>
      <w:proofErr w:type="spellEnd"/>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u</w:t>
      </w:r>
      <w:r>
        <w:rPr>
          <w:rFonts w:ascii="Trebuchet MS" w:hAnsi="Trebuchet MS"/>
          <w:color w:val="231F20"/>
          <w:spacing w:val="-1"/>
          <w:w w:val="111"/>
          <w:sz w:val="20"/>
        </w:rPr>
        <w:t>ppo</w:t>
      </w:r>
      <w:r>
        <w:rPr>
          <w:rFonts w:ascii="Trebuchet MS" w:hAnsi="Trebuchet MS"/>
          <w:color w:val="231F20"/>
          <w:spacing w:val="2"/>
          <w:w w:val="93"/>
          <w:sz w:val="20"/>
        </w:rPr>
        <w:t>r</w:t>
      </w:r>
      <w:r>
        <w:rPr>
          <w:rFonts w:ascii="Trebuchet MS" w:hAnsi="Trebuchet MS"/>
          <w:color w:val="231F20"/>
          <w:spacing w:val="1"/>
          <w:w w:val="88"/>
          <w:sz w:val="20"/>
        </w:rPr>
        <w:t>t</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1"/>
          <w:w w:val="109"/>
          <w:sz w:val="20"/>
        </w:rPr>
        <w:t>n</w:t>
      </w:r>
      <w:r>
        <w:rPr>
          <w:rFonts w:ascii="Trebuchet MS" w:hAnsi="Trebuchet MS"/>
          <w:color w:val="231F20"/>
          <w:spacing w:val="-3"/>
          <w:w w:val="109"/>
          <w:sz w:val="20"/>
        </w:rPr>
        <w:t>c</w:t>
      </w:r>
      <w:r>
        <w:rPr>
          <w:rFonts w:ascii="Trebuchet MS" w:hAnsi="Trebuchet MS"/>
          <w:color w:val="231F20"/>
          <w:spacing w:val="-3"/>
          <w:w w:val="96"/>
          <w:sz w:val="20"/>
        </w:rPr>
        <w:t>l</w:t>
      </w:r>
      <w:r>
        <w:rPr>
          <w:rFonts w:ascii="Trebuchet MS" w:hAnsi="Trebuchet MS"/>
          <w:color w:val="231F20"/>
          <w:spacing w:val="-2"/>
          <w:w w:val="109"/>
          <w:sz w:val="20"/>
        </w:rPr>
        <w:t>u</w:t>
      </w:r>
      <w:r>
        <w:rPr>
          <w:rFonts w:ascii="Trebuchet MS" w:hAnsi="Trebuchet MS"/>
          <w:color w:val="231F20"/>
          <w:spacing w:val="-1"/>
          <w:w w:val="101"/>
          <w:sz w:val="20"/>
        </w:rPr>
        <w:t>d</w:t>
      </w:r>
      <w:r>
        <w:rPr>
          <w:rFonts w:ascii="Trebuchet MS" w:hAnsi="Trebuchet MS"/>
          <w:color w:val="231F20"/>
          <w:spacing w:val="-2"/>
          <w:w w:val="101"/>
          <w:sz w:val="20"/>
        </w:rPr>
        <w:t>i</w:t>
      </w:r>
      <w:r>
        <w:rPr>
          <w:rFonts w:ascii="Trebuchet MS" w:hAnsi="Trebuchet MS"/>
          <w:color w:val="231F20"/>
          <w:spacing w:val="-1"/>
          <w:w w:val="107"/>
          <w:sz w:val="20"/>
        </w:rPr>
        <w:t>n</w:t>
      </w:r>
      <w:r>
        <w:rPr>
          <w:rFonts w:ascii="Trebuchet MS" w:hAnsi="Trebuchet MS"/>
          <w:color w:val="231F20"/>
          <w:w w:val="124"/>
          <w:sz w:val="20"/>
        </w:rPr>
        <w:t xml:space="preserve">g </w:t>
      </w:r>
      <w:proofErr w:type="spellStart"/>
      <w:r>
        <w:rPr>
          <w:rFonts w:ascii="Trebuchet MS" w:hAnsi="Trebuchet MS"/>
          <w:color w:val="231F20"/>
          <w:w w:val="105"/>
          <w:sz w:val="20"/>
        </w:rPr>
        <w:t>specialised</w:t>
      </w:r>
      <w:proofErr w:type="spellEnd"/>
      <w:r>
        <w:rPr>
          <w:rFonts w:ascii="Trebuchet MS" w:hAnsi="Trebuchet MS"/>
          <w:color w:val="231F20"/>
          <w:spacing w:val="-16"/>
          <w:w w:val="105"/>
          <w:sz w:val="20"/>
        </w:rPr>
        <w:t xml:space="preserve"> </w:t>
      </w:r>
      <w:r>
        <w:rPr>
          <w:rFonts w:ascii="Trebuchet MS" w:hAnsi="Trebuchet MS"/>
          <w:color w:val="231F20"/>
          <w:w w:val="105"/>
          <w:sz w:val="20"/>
        </w:rPr>
        <w:t>expertise</w:t>
      </w:r>
      <w:r>
        <w:rPr>
          <w:rFonts w:ascii="Trebuchet MS" w:hAnsi="Trebuchet MS"/>
          <w:color w:val="231F20"/>
          <w:spacing w:val="-15"/>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understanding</w:t>
      </w:r>
      <w:r>
        <w:rPr>
          <w:rFonts w:ascii="Trebuchet MS" w:hAnsi="Trebuchet MS"/>
          <w:color w:val="231F20"/>
          <w:spacing w:val="-15"/>
          <w:w w:val="105"/>
          <w:sz w:val="20"/>
        </w:rPr>
        <w:t xml:space="preserve"> </w:t>
      </w:r>
      <w:r>
        <w:rPr>
          <w:rFonts w:ascii="Trebuchet MS" w:hAnsi="Trebuchet MS"/>
          <w:color w:val="231F20"/>
          <w:w w:val="105"/>
          <w:sz w:val="20"/>
        </w:rPr>
        <w:t>of</w:t>
      </w:r>
      <w:r>
        <w:rPr>
          <w:rFonts w:ascii="Trebuchet MS" w:hAnsi="Trebuchet MS"/>
          <w:color w:val="231F20"/>
          <w:spacing w:val="-16"/>
          <w:w w:val="105"/>
          <w:sz w:val="20"/>
        </w:rPr>
        <w:t xml:space="preserve"> </w:t>
      </w:r>
      <w:r>
        <w:rPr>
          <w:rFonts w:ascii="Trebuchet MS" w:hAnsi="Trebuchet MS"/>
          <w:color w:val="231F20"/>
          <w:w w:val="105"/>
          <w:sz w:val="20"/>
        </w:rPr>
        <w:t>working</w:t>
      </w:r>
      <w:r>
        <w:rPr>
          <w:rFonts w:ascii="Trebuchet MS" w:hAnsi="Trebuchet MS"/>
          <w:color w:val="231F20"/>
          <w:spacing w:val="-15"/>
          <w:w w:val="105"/>
          <w:sz w:val="20"/>
        </w:rPr>
        <w:t xml:space="preserve"> </w:t>
      </w:r>
      <w:r>
        <w:rPr>
          <w:rFonts w:ascii="Trebuchet MS" w:hAnsi="Trebuchet MS"/>
          <w:color w:val="231F20"/>
          <w:w w:val="105"/>
          <w:sz w:val="20"/>
        </w:rPr>
        <w:t>with</w:t>
      </w:r>
      <w:r>
        <w:rPr>
          <w:rFonts w:ascii="Trebuchet MS" w:hAnsi="Trebuchet MS"/>
          <w:color w:val="231F20"/>
          <w:spacing w:val="-15"/>
          <w:w w:val="105"/>
          <w:sz w:val="20"/>
        </w:rPr>
        <w:t xml:space="preserve"> </w:t>
      </w:r>
      <w:r>
        <w:rPr>
          <w:rFonts w:ascii="Trebuchet MS" w:hAnsi="Trebuchet MS"/>
          <w:color w:val="231F20"/>
          <w:w w:val="105"/>
          <w:sz w:val="20"/>
        </w:rPr>
        <w:t>people</w:t>
      </w:r>
      <w:r>
        <w:rPr>
          <w:rFonts w:ascii="Trebuchet MS" w:hAnsi="Trebuchet MS"/>
          <w:color w:val="231F20"/>
          <w:spacing w:val="-16"/>
          <w:w w:val="105"/>
          <w:sz w:val="20"/>
        </w:rPr>
        <w:t xml:space="preserve"> </w:t>
      </w:r>
      <w:r>
        <w:rPr>
          <w:rFonts w:ascii="Trebuchet MS" w:hAnsi="Trebuchet MS"/>
          <w:color w:val="231F20"/>
          <w:w w:val="105"/>
          <w:sz w:val="20"/>
        </w:rPr>
        <w:t>from diverse</w:t>
      </w:r>
      <w:r>
        <w:rPr>
          <w:rFonts w:ascii="Trebuchet MS" w:hAnsi="Trebuchet MS"/>
          <w:color w:val="231F20"/>
          <w:spacing w:val="-17"/>
          <w:w w:val="105"/>
          <w:sz w:val="20"/>
        </w:rPr>
        <w:t xml:space="preserve"> </w:t>
      </w:r>
      <w:r>
        <w:rPr>
          <w:rFonts w:ascii="Trebuchet MS" w:hAnsi="Trebuchet MS"/>
          <w:color w:val="231F20"/>
          <w:w w:val="105"/>
          <w:sz w:val="20"/>
        </w:rPr>
        <w:t>backgrounds</w:t>
      </w:r>
    </w:p>
    <w:p w14:paraId="565FE836" w14:textId="77777777" w:rsidR="00894070" w:rsidRDefault="009B7AFD">
      <w:pPr>
        <w:pStyle w:val="ListParagraph"/>
        <w:numPr>
          <w:ilvl w:val="1"/>
          <w:numId w:val="184"/>
        </w:numPr>
        <w:tabs>
          <w:tab w:val="left" w:pos="3161"/>
          <w:tab w:val="left" w:pos="3162"/>
        </w:tabs>
        <w:spacing w:before="87"/>
        <w:ind w:hanging="680"/>
        <w:rPr>
          <w:rFonts w:ascii="Trebuchet MS" w:hAnsi="Trebuchet MS"/>
          <w:sz w:val="20"/>
        </w:rPr>
      </w:pPr>
      <w:r>
        <w:rPr>
          <w:rFonts w:ascii="Trebuchet MS" w:hAnsi="Trebuchet MS"/>
          <w:color w:val="231F20"/>
          <w:spacing w:val="-2"/>
          <w:w w:val="124"/>
          <w:sz w:val="20"/>
        </w:rPr>
        <w:t>g</w:t>
      </w:r>
      <w:r>
        <w:rPr>
          <w:rFonts w:ascii="Trebuchet MS" w:hAnsi="Trebuchet MS"/>
          <w:color w:val="231F20"/>
          <w:spacing w:val="-2"/>
          <w:w w:val="80"/>
          <w:sz w:val="20"/>
        </w:rPr>
        <w:t>i</w:t>
      </w:r>
      <w:r>
        <w:rPr>
          <w:rFonts w:ascii="Trebuchet MS" w:hAnsi="Trebuchet MS"/>
          <w:color w:val="231F20"/>
          <w:spacing w:val="-6"/>
          <w:w w:val="109"/>
          <w:sz w:val="20"/>
        </w:rPr>
        <w:t>v</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2"/>
          <w:w w:val="93"/>
          <w:sz w:val="20"/>
        </w:rPr>
        <w:t>r</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3"/>
          <w:w w:val="80"/>
          <w:sz w:val="20"/>
        </w:rPr>
        <w:t>i</w:t>
      </w:r>
      <w:r>
        <w:rPr>
          <w:rFonts w:ascii="Trebuchet MS" w:hAnsi="Trebuchet MS"/>
          <w:color w:val="231F20"/>
          <w:w w:val="88"/>
          <w:sz w:val="20"/>
        </w:rPr>
        <w:t>t</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1"/>
          <w:w w:val="111"/>
          <w:sz w:val="20"/>
        </w:rPr>
        <w:t>o</w:t>
      </w:r>
      <w:r>
        <w:rPr>
          <w:rFonts w:ascii="Trebuchet MS" w:hAnsi="Trebuchet MS"/>
          <w:color w:val="231F20"/>
          <w:spacing w:val="-2"/>
          <w:w w:val="111"/>
          <w:sz w:val="20"/>
        </w:rPr>
        <w:t>p</w:t>
      </w:r>
      <w:r>
        <w:rPr>
          <w:rFonts w:ascii="Trebuchet MS" w:hAnsi="Trebuchet MS"/>
          <w:color w:val="231F20"/>
          <w:spacing w:val="-3"/>
          <w:w w:val="9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0"/>
          <w:sz w:val="20"/>
        </w:rPr>
        <w:t>c</w:t>
      </w:r>
      <w:r>
        <w:rPr>
          <w:rFonts w:ascii="Trebuchet MS" w:hAnsi="Trebuchet MS"/>
          <w:color w:val="231F20"/>
          <w:spacing w:val="-1"/>
          <w:w w:val="110"/>
          <w:sz w:val="20"/>
        </w:rPr>
        <w:t>u</w:t>
      </w:r>
      <w:r>
        <w:rPr>
          <w:rFonts w:ascii="Trebuchet MS" w:hAnsi="Trebuchet MS"/>
          <w:color w:val="231F20"/>
          <w:spacing w:val="-2"/>
          <w:w w:val="93"/>
          <w:sz w:val="20"/>
        </w:rPr>
        <w:t>r</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3"/>
          <w:w w:val="88"/>
          <w:sz w:val="20"/>
        </w:rPr>
        <w:t>t</w:t>
      </w:r>
      <w:r>
        <w:rPr>
          <w:rFonts w:ascii="Trebuchet MS" w:hAnsi="Trebuchet MS"/>
          <w:color w:val="231F20"/>
          <w:spacing w:val="-7"/>
          <w:w w:val="96"/>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1"/>
          <w:w w:val="109"/>
          <w:sz w:val="20"/>
        </w:rPr>
        <w:t>u</w:t>
      </w:r>
      <w:r>
        <w:rPr>
          <w:rFonts w:ascii="Trebuchet MS" w:hAnsi="Trebuchet MS"/>
          <w:color w:val="231F20"/>
          <w:spacing w:val="-1"/>
          <w:w w:val="107"/>
          <w:sz w:val="20"/>
        </w:rPr>
        <w:t>n</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spacing w:val="-1"/>
          <w:w w:val="108"/>
          <w:sz w:val="20"/>
        </w:rPr>
        <w:t>e</w:t>
      </w:r>
      <w:r>
        <w:rPr>
          <w:rFonts w:ascii="Trebuchet MS" w:hAnsi="Trebuchet MS"/>
          <w:color w:val="231F20"/>
          <w:spacing w:val="3"/>
          <w:w w:val="93"/>
          <w:sz w:val="20"/>
        </w:rPr>
        <w:t>r</w:t>
      </w:r>
      <w:r>
        <w:rPr>
          <w:rFonts w:ascii="Trebuchet MS" w:hAnsi="Trebuchet MS"/>
          <w:color w:val="231F20"/>
          <w:spacing w:val="-6"/>
          <w:w w:val="109"/>
          <w:sz w:val="20"/>
        </w:rPr>
        <w:t>v</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w w:val="55"/>
          <w:sz w:val="20"/>
        </w:rPr>
        <w:t>.</w:t>
      </w:r>
    </w:p>
    <w:p w14:paraId="385C51E2" w14:textId="77777777" w:rsidR="00894070" w:rsidRDefault="009B7AFD">
      <w:pPr>
        <w:pStyle w:val="ListParagraph"/>
        <w:numPr>
          <w:ilvl w:val="0"/>
          <w:numId w:val="191"/>
        </w:numPr>
        <w:tabs>
          <w:tab w:val="left" w:pos="1801"/>
          <w:tab w:val="left" w:pos="1802"/>
        </w:tabs>
        <w:spacing w:before="93" w:line="247" w:lineRule="auto"/>
        <w:ind w:left="1801" w:right="1217"/>
        <w:rPr>
          <w:rFonts w:ascii="Trebuchet MS" w:hAnsi="Trebuchet MS"/>
          <w:sz w:val="20"/>
        </w:rPr>
      </w:pPr>
      <w:r>
        <w:rPr>
          <w:rFonts w:ascii="Trebuchet MS" w:hAnsi="Trebuchet MS"/>
          <w:color w:val="231F20"/>
          <w:spacing w:val="-2"/>
          <w:w w:val="105"/>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80"/>
          <w:sz w:val="20"/>
        </w:rPr>
        <w:t>i</w:t>
      </w:r>
      <w:r>
        <w:rPr>
          <w:rFonts w:ascii="Trebuchet MS" w:hAnsi="Trebuchet MS"/>
          <w:color w:val="231F20"/>
          <w:spacing w:val="-2"/>
          <w:w w:val="105"/>
          <w:sz w:val="20"/>
        </w:rPr>
        <w:t>a</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05"/>
          <w:sz w:val="20"/>
        </w:rPr>
        <w:t>G</w:t>
      </w:r>
      <w:r>
        <w:rPr>
          <w:rFonts w:ascii="Trebuchet MS" w:hAnsi="Trebuchet MS"/>
          <w:color w:val="231F20"/>
          <w:spacing w:val="-6"/>
          <w:w w:val="111"/>
          <w:sz w:val="20"/>
        </w:rPr>
        <w:t>o</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2"/>
          <w:w w:val="93"/>
          <w:sz w:val="20"/>
        </w:rPr>
        <w:t>r</w:t>
      </w:r>
      <w:r>
        <w:rPr>
          <w:rFonts w:ascii="Trebuchet MS" w:hAnsi="Trebuchet MS"/>
          <w:color w:val="231F20"/>
          <w:spacing w:val="-2"/>
          <w:w w:val="107"/>
          <w:sz w:val="20"/>
        </w:rPr>
        <w:t>n</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spacing w:val="-1"/>
          <w:w w:val="111"/>
          <w:sz w:val="20"/>
        </w:rPr>
        <w:t>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6"/>
          <w:w w:val="111"/>
          <w:sz w:val="20"/>
        </w:rPr>
        <w:t>o</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3"/>
          <w:w w:val="105"/>
          <w:sz w:val="20"/>
        </w:rPr>
        <w:t>a</w:t>
      </w:r>
      <w:r>
        <w:rPr>
          <w:rFonts w:ascii="Trebuchet MS" w:hAnsi="Trebuchet MS"/>
          <w:color w:val="231F20"/>
          <w:spacing w:val="-2"/>
          <w:w w:val="96"/>
          <w:sz w:val="20"/>
        </w:rPr>
        <w:t>l</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spacing w:val="-1"/>
          <w:w w:val="107"/>
          <w:sz w:val="20"/>
        </w:rPr>
        <w:t>n</w:t>
      </w:r>
      <w:r>
        <w:rPr>
          <w:rFonts w:ascii="Trebuchet MS" w:hAnsi="Trebuchet MS"/>
          <w:color w:val="231F20"/>
          <w:w w:val="108"/>
          <w:sz w:val="20"/>
        </w:rPr>
        <w:t>e</w:t>
      </w:r>
      <w:r>
        <w:rPr>
          <w:rFonts w:ascii="Trebuchet MS" w:hAnsi="Trebuchet MS"/>
          <w:color w:val="231F20"/>
          <w:spacing w:val="-3"/>
          <w:w w:val="111"/>
          <w:sz w:val="20"/>
        </w:rPr>
        <w:t>c</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w w:val="122"/>
          <w:sz w:val="20"/>
        </w:rPr>
        <w:t>s</w:t>
      </w:r>
      <w:r>
        <w:rPr>
          <w:rFonts w:ascii="Trebuchet MS" w:hAnsi="Trebuchet MS"/>
          <w:color w:val="231F20"/>
          <w:spacing w:val="-2"/>
          <w:w w:val="105"/>
          <w:sz w:val="20"/>
        </w:rPr>
        <w:t>a</w:t>
      </w:r>
      <w:r>
        <w:rPr>
          <w:rFonts w:ascii="Trebuchet MS" w:hAnsi="Trebuchet MS"/>
          <w:color w:val="231F20"/>
          <w:spacing w:val="3"/>
          <w:w w:val="93"/>
          <w:sz w:val="20"/>
        </w:rPr>
        <w:t>r</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
          <w:w w:val="122"/>
          <w:sz w:val="20"/>
        </w:rPr>
        <w:t>s</w:t>
      </w:r>
      <w:r>
        <w:rPr>
          <w:rFonts w:ascii="Trebuchet MS" w:hAnsi="Trebuchet MS"/>
          <w:color w:val="231F20"/>
          <w:spacing w:val="-2"/>
          <w:w w:val="122"/>
          <w:sz w:val="20"/>
        </w:rPr>
        <w:t>s</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3"/>
          <w:sz w:val="20"/>
        </w:rPr>
        <w:t>M</w:t>
      </w:r>
      <w:r>
        <w:rPr>
          <w:rFonts w:ascii="Trebuchet MS" w:hAnsi="Trebuchet MS"/>
          <w:color w:val="231F20"/>
          <w:spacing w:val="-2"/>
          <w:w w:val="10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 xml:space="preserve">’ </w:t>
      </w:r>
      <w:r>
        <w:rPr>
          <w:rFonts w:ascii="Trebuchet MS" w:hAnsi="Trebuchet MS"/>
          <w:color w:val="231F20"/>
          <w:w w:val="105"/>
          <w:sz w:val="20"/>
        </w:rPr>
        <w:t xml:space="preserve">Court of Victoria to enable the Court to </w:t>
      </w:r>
      <w:r>
        <w:rPr>
          <w:rFonts w:ascii="Trebuchet MS" w:hAnsi="Trebuchet MS"/>
          <w:color w:val="231F20"/>
          <w:spacing w:val="-3"/>
          <w:w w:val="105"/>
          <w:sz w:val="20"/>
        </w:rPr>
        <w:t xml:space="preserve">develop </w:t>
      </w:r>
      <w:r>
        <w:rPr>
          <w:rFonts w:ascii="Trebuchet MS" w:hAnsi="Trebuchet MS"/>
          <w:color w:val="231F20"/>
          <w:w w:val="105"/>
          <w:sz w:val="20"/>
        </w:rPr>
        <w:t>evidence-informed guidance for identifying</w:t>
      </w:r>
      <w:r>
        <w:rPr>
          <w:rFonts w:ascii="Trebuchet MS" w:hAnsi="Trebuchet MS"/>
          <w:color w:val="231F20"/>
          <w:spacing w:val="-31"/>
          <w:w w:val="105"/>
          <w:sz w:val="20"/>
        </w:rPr>
        <w:t xml:space="preserve"> </w:t>
      </w:r>
      <w:r>
        <w:rPr>
          <w:rFonts w:ascii="Trebuchet MS" w:hAnsi="Trebuchet MS"/>
          <w:color w:val="231F20"/>
          <w:w w:val="105"/>
          <w:sz w:val="20"/>
        </w:rPr>
        <w:t>and</w:t>
      </w:r>
      <w:r>
        <w:rPr>
          <w:rFonts w:ascii="Trebuchet MS" w:hAnsi="Trebuchet MS"/>
          <w:color w:val="231F20"/>
          <w:spacing w:val="-30"/>
          <w:w w:val="105"/>
          <w:sz w:val="20"/>
        </w:rPr>
        <w:t xml:space="preserve"> </w:t>
      </w:r>
      <w:proofErr w:type="spellStart"/>
      <w:r>
        <w:rPr>
          <w:rFonts w:ascii="Trebuchet MS" w:hAnsi="Trebuchet MS"/>
          <w:color w:val="231F20"/>
          <w:w w:val="105"/>
          <w:sz w:val="20"/>
        </w:rPr>
        <w:t>prioritising</w:t>
      </w:r>
      <w:proofErr w:type="spellEnd"/>
      <w:r>
        <w:rPr>
          <w:rFonts w:ascii="Trebuchet MS" w:hAnsi="Trebuchet MS"/>
          <w:color w:val="231F20"/>
          <w:spacing w:val="-30"/>
          <w:w w:val="105"/>
          <w:sz w:val="20"/>
        </w:rPr>
        <w:t xml:space="preserve"> </w:t>
      </w:r>
      <w:r>
        <w:rPr>
          <w:rFonts w:ascii="Trebuchet MS" w:hAnsi="Trebuchet MS"/>
          <w:color w:val="231F20"/>
          <w:spacing w:val="-3"/>
          <w:w w:val="105"/>
          <w:sz w:val="20"/>
        </w:rPr>
        <w:t>non-family</w:t>
      </w:r>
      <w:r>
        <w:rPr>
          <w:rFonts w:ascii="Trebuchet MS" w:hAnsi="Trebuchet MS"/>
          <w:color w:val="231F20"/>
          <w:spacing w:val="-31"/>
          <w:w w:val="105"/>
          <w:sz w:val="20"/>
        </w:rPr>
        <w:t xml:space="preserve"> </w:t>
      </w:r>
      <w:r>
        <w:rPr>
          <w:rFonts w:ascii="Trebuchet MS" w:hAnsi="Trebuchet MS"/>
          <w:color w:val="231F20"/>
          <w:w w:val="105"/>
          <w:sz w:val="20"/>
        </w:rPr>
        <w:t>violence</w:t>
      </w:r>
      <w:r>
        <w:rPr>
          <w:rFonts w:ascii="Trebuchet MS" w:hAnsi="Trebuchet MS"/>
          <w:color w:val="231F20"/>
          <w:spacing w:val="-30"/>
          <w:w w:val="105"/>
          <w:sz w:val="20"/>
        </w:rPr>
        <w:t xml:space="preserve"> </w:t>
      </w:r>
      <w:r>
        <w:rPr>
          <w:rFonts w:ascii="Trebuchet MS" w:hAnsi="Trebuchet MS"/>
          <w:color w:val="231F20"/>
          <w:w w:val="105"/>
          <w:sz w:val="20"/>
        </w:rPr>
        <w:t>stalking</w:t>
      </w:r>
      <w:r>
        <w:rPr>
          <w:rFonts w:ascii="Trebuchet MS" w:hAnsi="Trebuchet MS"/>
          <w:color w:val="231F20"/>
          <w:spacing w:val="-30"/>
          <w:w w:val="105"/>
          <w:sz w:val="20"/>
        </w:rPr>
        <w:t xml:space="preserve"> </w:t>
      </w:r>
      <w:r>
        <w:rPr>
          <w:rFonts w:ascii="Trebuchet MS" w:hAnsi="Trebuchet MS"/>
          <w:color w:val="231F20"/>
          <w:w w:val="105"/>
          <w:sz w:val="20"/>
        </w:rPr>
        <w:t>in</w:t>
      </w:r>
      <w:r>
        <w:rPr>
          <w:rFonts w:ascii="Trebuchet MS" w:hAnsi="Trebuchet MS"/>
          <w:color w:val="231F20"/>
          <w:spacing w:val="-30"/>
          <w:w w:val="105"/>
          <w:sz w:val="20"/>
        </w:rPr>
        <w:t xml:space="preserve"> </w:t>
      </w:r>
      <w:r>
        <w:rPr>
          <w:rFonts w:ascii="Trebuchet MS" w:hAnsi="Trebuchet MS"/>
          <w:color w:val="231F20"/>
          <w:w w:val="105"/>
          <w:sz w:val="20"/>
        </w:rPr>
        <w:t>personal</w:t>
      </w:r>
      <w:r>
        <w:rPr>
          <w:rFonts w:ascii="Trebuchet MS" w:hAnsi="Trebuchet MS"/>
          <w:color w:val="231F20"/>
          <w:spacing w:val="-31"/>
          <w:w w:val="105"/>
          <w:sz w:val="20"/>
        </w:rPr>
        <w:t xml:space="preserve"> </w:t>
      </w:r>
      <w:r>
        <w:rPr>
          <w:rFonts w:ascii="Trebuchet MS" w:hAnsi="Trebuchet MS"/>
          <w:color w:val="231F20"/>
          <w:w w:val="105"/>
          <w:sz w:val="20"/>
        </w:rPr>
        <w:t>safety</w:t>
      </w:r>
      <w:r>
        <w:rPr>
          <w:rFonts w:ascii="Trebuchet MS" w:hAnsi="Trebuchet MS"/>
          <w:color w:val="231F20"/>
          <w:spacing w:val="-30"/>
          <w:w w:val="105"/>
          <w:sz w:val="20"/>
        </w:rPr>
        <w:t xml:space="preserve"> </w:t>
      </w:r>
      <w:r>
        <w:rPr>
          <w:rFonts w:ascii="Trebuchet MS" w:hAnsi="Trebuchet MS"/>
          <w:color w:val="231F20"/>
          <w:w w:val="105"/>
          <w:sz w:val="20"/>
        </w:rPr>
        <w:t xml:space="preserve">intervention </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4"/>
          <w:w w:val="105"/>
          <w:sz w:val="20"/>
        </w:rPr>
        <w:t>a</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spacing w:val="-1"/>
          <w:w w:val="108"/>
          <w:sz w:val="20"/>
        </w:rPr>
        <w:t>er</w:t>
      </w:r>
      <w:r>
        <w:rPr>
          <w:rFonts w:ascii="Trebuchet MS" w:hAnsi="Trebuchet MS"/>
          <w:color w:val="231F20"/>
          <w:spacing w:val="1"/>
          <w:w w:val="108"/>
          <w:sz w:val="20"/>
        </w:rPr>
        <w:t>s</w:t>
      </w:r>
      <w:r>
        <w:rPr>
          <w:rFonts w:ascii="Trebuchet MS" w:hAnsi="Trebuchet MS"/>
          <w:color w:val="231F20"/>
          <w:w w:val="55"/>
          <w:sz w:val="20"/>
        </w:rPr>
        <w:t>.</w:t>
      </w:r>
    </w:p>
    <w:p w14:paraId="48BE2504" w14:textId="77777777" w:rsidR="00894070" w:rsidRDefault="009B7AFD">
      <w:pPr>
        <w:pStyle w:val="ListParagraph"/>
        <w:numPr>
          <w:ilvl w:val="0"/>
          <w:numId w:val="191"/>
        </w:numPr>
        <w:tabs>
          <w:tab w:val="left" w:pos="1801"/>
          <w:tab w:val="left" w:pos="1802"/>
        </w:tabs>
        <w:spacing w:before="88" w:line="247" w:lineRule="auto"/>
        <w:ind w:left="1801" w:right="1216"/>
        <w:rPr>
          <w:rFonts w:ascii="Trebuchet MS" w:hAnsi="Trebuchet MS"/>
          <w:sz w:val="20"/>
        </w:rPr>
      </w:pPr>
      <w:r>
        <w:rPr>
          <w:rFonts w:ascii="Trebuchet MS" w:hAnsi="Trebuchet MS"/>
          <w:color w:val="231F20"/>
          <w:spacing w:val="-2"/>
          <w:w w:val="105"/>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5"/>
          <w:sz w:val="20"/>
        </w:rPr>
        <w:t>M</w:t>
      </w:r>
      <w:r>
        <w:rPr>
          <w:rFonts w:ascii="Trebuchet MS" w:hAnsi="Trebuchet MS"/>
          <w:color w:val="231F20"/>
          <w:spacing w:val="-2"/>
          <w:w w:val="11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06"/>
          <w:sz w:val="20"/>
        </w:rPr>
        <w:t>ou</w:t>
      </w:r>
      <w:r>
        <w:rPr>
          <w:rFonts w:ascii="Trebuchet MS" w:hAnsi="Trebuchet MS"/>
          <w:color w:val="231F20"/>
          <w:spacing w:val="2"/>
          <w:w w:val="106"/>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96"/>
          <w:sz w:val="20"/>
        </w:rPr>
        <w:t>i</w:t>
      </w:r>
      <w:r>
        <w:rPr>
          <w:rFonts w:ascii="Trebuchet MS" w:hAnsi="Trebuchet MS"/>
          <w:color w:val="231F20"/>
          <w:w w:val="96"/>
          <w:sz w:val="20"/>
        </w:rPr>
        <w:t>a</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ho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05"/>
          <w:sz w:val="20"/>
        </w:rPr>
        <w:t>a</w:t>
      </w:r>
      <w:r>
        <w:rPr>
          <w:rFonts w:ascii="Trebuchet MS" w:hAnsi="Trebuchet MS"/>
          <w:color w:val="231F20"/>
          <w:spacing w:val="-1"/>
          <w:w w:val="111"/>
          <w:sz w:val="20"/>
        </w:rPr>
        <w:t>p</w:t>
      </w:r>
      <w:r>
        <w:rPr>
          <w:rFonts w:ascii="Trebuchet MS" w:hAnsi="Trebuchet MS"/>
          <w:color w:val="231F20"/>
          <w:spacing w:val="-2"/>
          <w:w w:val="111"/>
          <w:sz w:val="20"/>
        </w:rPr>
        <w:t>p</w:t>
      </w:r>
      <w:r>
        <w:rPr>
          <w:rFonts w:ascii="Trebuchet MS" w:hAnsi="Trebuchet MS"/>
          <w:color w:val="231F20"/>
          <w:spacing w:val="-7"/>
          <w:w w:val="96"/>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24"/>
          <w:sz w:val="20"/>
        </w:rPr>
        <w:t>g</w:t>
      </w:r>
      <w:r>
        <w:rPr>
          <w:rFonts w:ascii="Trebuchet MS" w:hAnsi="Trebuchet MS"/>
          <w:color w:val="231F20"/>
          <w:spacing w:val="-1"/>
          <w:w w:val="109"/>
          <w:sz w:val="20"/>
        </w:rPr>
        <w:t>u</w:t>
      </w:r>
      <w:r>
        <w:rPr>
          <w:rFonts w:ascii="Trebuchet MS" w:hAnsi="Trebuchet MS"/>
          <w:color w:val="231F20"/>
          <w:spacing w:val="-1"/>
          <w:w w:val="101"/>
          <w:sz w:val="20"/>
        </w:rPr>
        <w:t>i</w:t>
      </w:r>
      <w:r>
        <w:rPr>
          <w:rFonts w:ascii="Trebuchet MS" w:hAnsi="Trebuchet MS"/>
          <w:color w:val="231F20"/>
          <w:spacing w:val="-2"/>
          <w:w w:val="101"/>
          <w:sz w:val="20"/>
        </w:rPr>
        <w:t>d</w:t>
      </w:r>
      <w:r>
        <w:rPr>
          <w:rFonts w:ascii="Trebuchet MS" w:hAnsi="Trebuchet MS"/>
          <w:color w:val="231F20"/>
          <w:spacing w:val="-2"/>
          <w:w w:val="105"/>
          <w:sz w:val="20"/>
        </w:rPr>
        <w:t>a</w:t>
      </w:r>
      <w:r>
        <w:rPr>
          <w:rFonts w:ascii="Trebuchet MS" w:hAnsi="Trebuchet MS"/>
          <w:color w:val="231F20"/>
          <w:spacing w:val="-1"/>
          <w:w w:val="109"/>
          <w:sz w:val="20"/>
        </w:rPr>
        <w:t>n</w:t>
      </w:r>
      <w:r>
        <w:rPr>
          <w:rFonts w:ascii="Trebuchet MS" w:hAnsi="Trebuchet MS"/>
          <w:color w:val="231F20"/>
          <w:spacing w:val="-3"/>
          <w:w w:val="109"/>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2"/>
          <w:sz w:val="20"/>
        </w:rPr>
        <w:t>d</w:t>
      </w:r>
      <w:r>
        <w:rPr>
          <w:rFonts w:ascii="Trebuchet MS" w:hAnsi="Trebuchet MS"/>
          <w:color w:val="231F20"/>
          <w:spacing w:val="-5"/>
          <w:w w:val="108"/>
          <w:sz w:val="20"/>
        </w:rPr>
        <w:t>e</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3"/>
          <w:w w:val="96"/>
          <w:sz w:val="20"/>
        </w:rPr>
        <w:t>l</w:t>
      </w:r>
      <w:r>
        <w:rPr>
          <w:rFonts w:ascii="Trebuchet MS" w:hAnsi="Trebuchet MS"/>
          <w:color w:val="231F20"/>
          <w:spacing w:val="-1"/>
          <w:w w:val="111"/>
          <w:sz w:val="20"/>
        </w:rPr>
        <w:t>op</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w w:val="107"/>
          <w:sz w:val="20"/>
        </w:rPr>
        <w:t xml:space="preserve">n </w:t>
      </w:r>
      <w:r>
        <w:rPr>
          <w:rFonts w:ascii="Trebuchet MS" w:hAnsi="Trebuchet MS"/>
          <w:color w:val="231F20"/>
          <w:w w:val="105"/>
          <w:sz w:val="20"/>
        </w:rPr>
        <w:t xml:space="preserve">Recommendation </w:t>
      </w:r>
      <w:r>
        <w:rPr>
          <w:rFonts w:ascii="Trebuchet MS" w:hAnsi="Trebuchet MS"/>
          <w:color w:val="231F20"/>
          <w:spacing w:val="-3"/>
          <w:w w:val="105"/>
          <w:sz w:val="20"/>
        </w:rPr>
        <w:t xml:space="preserve">10 </w:t>
      </w:r>
      <w:r>
        <w:rPr>
          <w:rFonts w:ascii="Trebuchet MS" w:hAnsi="Trebuchet MS"/>
          <w:color w:val="231F20"/>
          <w:w w:val="105"/>
          <w:sz w:val="20"/>
        </w:rPr>
        <w:t xml:space="preserve">to identify </w:t>
      </w:r>
      <w:r>
        <w:rPr>
          <w:rFonts w:ascii="Trebuchet MS" w:hAnsi="Trebuchet MS"/>
          <w:color w:val="231F20"/>
          <w:spacing w:val="-3"/>
          <w:w w:val="105"/>
          <w:sz w:val="20"/>
        </w:rPr>
        <w:t xml:space="preserve">non-family </w:t>
      </w:r>
      <w:r>
        <w:rPr>
          <w:rFonts w:ascii="Trebuchet MS" w:hAnsi="Trebuchet MS"/>
          <w:color w:val="231F20"/>
          <w:w w:val="105"/>
          <w:sz w:val="20"/>
        </w:rPr>
        <w:t xml:space="preserve">violence stalking personal safety </w:t>
      </w:r>
      <w:r>
        <w:rPr>
          <w:rFonts w:ascii="Trebuchet MS" w:hAnsi="Trebuchet MS"/>
          <w:color w:val="231F20"/>
          <w:spacing w:val="-2"/>
          <w:w w:val="80"/>
          <w:sz w:val="20"/>
        </w:rPr>
        <w:t>i</w:t>
      </w:r>
      <w:r>
        <w:rPr>
          <w:rFonts w:ascii="Trebuchet MS" w:hAnsi="Trebuchet MS"/>
          <w:color w:val="231F20"/>
          <w:spacing w:val="-4"/>
          <w:w w:val="107"/>
          <w:sz w:val="20"/>
        </w:rPr>
        <w:t>n</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3"/>
          <w:w w:val="93"/>
          <w:sz w:val="20"/>
        </w:rPr>
        <w:t>r</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4"/>
          <w:w w:val="105"/>
          <w:sz w:val="20"/>
        </w:rPr>
        <w:t>a</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4"/>
          <w:w w:val="105"/>
          <w:sz w:val="20"/>
        </w:rPr>
        <w:t>a</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2"/>
          <w:w w:val="111"/>
          <w:sz w:val="20"/>
        </w:rPr>
        <w:t>q</w:t>
      </w:r>
      <w:r>
        <w:rPr>
          <w:rFonts w:ascii="Trebuchet MS" w:hAnsi="Trebuchet MS"/>
          <w:color w:val="231F20"/>
          <w:spacing w:val="-1"/>
          <w:w w:val="109"/>
          <w:sz w:val="20"/>
        </w:rPr>
        <w:t>u</w:t>
      </w:r>
      <w:r>
        <w:rPr>
          <w:rFonts w:ascii="Trebuchet MS" w:hAnsi="Trebuchet MS"/>
          <w:color w:val="231F20"/>
          <w:spacing w:val="-2"/>
          <w:w w:val="80"/>
          <w:sz w:val="20"/>
        </w:rPr>
        <w:t>i</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proofErr w:type="spellStart"/>
      <w:r>
        <w:rPr>
          <w:rFonts w:ascii="Trebuchet MS" w:hAnsi="Trebuchet MS"/>
          <w:color w:val="231F20"/>
          <w:spacing w:val="-2"/>
          <w:w w:val="122"/>
          <w:sz w:val="20"/>
        </w:rPr>
        <w:t>s</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1"/>
          <w:w w:val="80"/>
          <w:sz w:val="20"/>
        </w:rPr>
        <w:t>i</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w w:val="112"/>
          <w:sz w:val="20"/>
        </w:rPr>
        <w:t>d</w:t>
      </w:r>
      <w:proofErr w:type="spellEnd"/>
      <w:r>
        <w:rPr>
          <w:rFonts w:ascii="Trebuchet MS" w:hAnsi="Trebuchet MS"/>
          <w:color w:val="231F20"/>
          <w:spacing w:val="-14"/>
          <w:sz w:val="20"/>
        </w:rPr>
        <w:t xml:space="preserve"> </w:t>
      </w:r>
      <w:r>
        <w:rPr>
          <w:rFonts w:ascii="Trebuchet MS" w:hAnsi="Trebuchet MS"/>
          <w:color w:val="231F20"/>
          <w:spacing w:val="-1"/>
          <w:w w:val="105"/>
          <w:sz w:val="20"/>
        </w:rPr>
        <w:t>a</w:t>
      </w:r>
      <w:r>
        <w:rPr>
          <w:rFonts w:ascii="Trebuchet MS" w:hAnsi="Trebuchet MS"/>
          <w:color w:val="231F20"/>
          <w:spacing w:val="-1"/>
          <w:w w:val="111"/>
          <w:sz w:val="20"/>
        </w:rPr>
        <w:t>pp</w:t>
      </w:r>
      <w:r>
        <w:rPr>
          <w:rFonts w:ascii="Trebuchet MS" w:hAnsi="Trebuchet MS"/>
          <w:color w:val="231F20"/>
          <w:spacing w:val="-4"/>
          <w:w w:val="93"/>
          <w:sz w:val="20"/>
        </w:rPr>
        <w:t>r</w:t>
      </w:r>
      <w:r>
        <w:rPr>
          <w:rFonts w:ascii="Trebuchet MS" w:hAnsi="Trebuchet MS"/>
          <w:color w:val="231F20"/>
          <w:spacing w:val="-1"/>
          <w:w w:val="111"/>
          <w:sz w:val="20"/>
        </w:rPr>
        <w:t>o</w:t>
      </w:r>
      <w:r>
        <w:rPr>
          <w:rFonts w:ascii="Trebuchet MS" w:hAnsi="Trebuchet MS"/>
          <w:color w:val="231F20"/>
          <w:spacing w:val="-2"/>
          <w:w w:val="108"/>
          <w:sz w:val="20"/>
        </w:rPr>
        <w:t>ac</w:t>
      </w:r>
      <w:r>
        <w:rPr>
          <w:rFonts w:ascii="Trebuchet MS" w:hAnsi="Trebuchet MS"/>
          <w:color w:val="231F20"/>
          <w:spacing w:val="-1"/>
          <w:w w:val="107"/>
          <w:sz w:val="20"/>
        </w:rPr>
        <w:t>h</w:t>
      </w:r>
      <w:r>
        <w:rPr>
          <w:rFonts w:ascii="Trebuchet MS" w:hAnsi="Trebuchet MS"/>
          <w:color w:val="231F20"/>
          <w:w w:val="55"/>
          <w:sz w:val="20"/>
        </w:rPr>
        <w:t>.</w:t>
      </w:r>
      <w:r>
        <w:rPr>
          <w:rFonts w:ascii="Trebuchet MS" w:hAnsi="Trebuchet MS"/>
          <w:color w:val="231F20"/>
          <w:spacing w:val="-14"/>
          <w:sz w:val="20"/>
        </w:rPr>
        <w:t xml:space="preserve"> </w:t>
      </w:r>
      <w:r>
        <w:rPr>
          <w:rFonts w:ascii="Trebuchet MS" w:hAnsi="Trebuchet MS"/>
          <w:color w:val="231F20"/>
          <w:spacing w:val="-2"/>
          <w:w w:val="105"/>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3"/>
          <w:sz w:val="20"/>
        </w:rPr>
        <w:t>M</w:t>
      </w:r>
      <w:r>
        <w:rPr>
          <w:rFonts w:ascii="Trebuchet MS" w:hAnsi="Trebuchet MS"/>
          <w:color w:val="231F20"/>
          <w:spacing w:val="-2"/>
          <w:w w:val="10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11"/>
          <w:sz w:val="20"/>
        </w:rPr>
        <w:t>o</w:t>
      </w:r>
      <w:r>
        <w:rPr>
          <w:rFonts w:ascii="Trebuchet MS" w:hAnsi="Trebuchet MS"/>
          <w:color w:val="231F20"/>
          <w:spacing w:val="-1"/>
          <w:w w:val="109"/>
          <w:sz w:val="20"/>
        </w:rPr>
        <w:t>u</w:t>
      </w:r>
      <w:r>
        <w:rPr>
          <w:rFonts w:ascii="Trebuchet MS" w:hAnsi="Trebuchet MS"/>
          <w:color w:val="231F20"/>
          <w:spacing w:val="2"/>
          <w:w w:val="93"/>
          <w:sz w:val="20"/>
        </w:rPr>
        <w:t>r</w:t>
      </w:r>
      <w:r>
        <w:rPr>
          <w:rFonts w:ascii="Trebuchet MS" w:hAnsi="Trebuchet MS"/>
          <w:color w:val="231F20"/>
          <w:w w:val="88"/>
          <w:sz w:val="20"/>
        </w:rPr>
        <w:t xml:space="preserve">t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80"/>
          <w:sz w:val="20"/>
        </w:rPr>
        <w:t>i</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spacing w:val="-1"/>
          <w:w w:val="111"/>
          <w:sz w:val="20"/>
        </w:rPr>
        <w:t>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2"/>
          <w:w w:val="111"/>
          <w:sz w:val="20"/>
        </w:rPr>
        <w:t>mp</w:t>
      </w:r>
      <w:r>
        <w:rPr>
          <w:rFonts w:ascii="Trebuchet MS" w:hAnsi="Trebuchet MS"/>
          <w:color w:val="231F20"/>
          <w:spacing w:val="-3"/>
          <w:w w:val="96"/>
          <w:sz w:val="20"/>
        </w:rPr>
        <w:t>l</w:t>
      </w:r>
      <w:r>
        <w:rPr>
          <w:rFonts w:ascii="Trebuchet MS" w:hAnsi="Trebuchet MS"/>
          <w:color w:val="231F20"/>
          <w:spacing w:val="-1"/>
          <w:w w:val="108"/>
          <w:sz w:val="20"/>
        </w:rPr>
        <w:t>e</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proofErr w:type="spellStart"/>
      <w:r>
        <w:rPr>
          <w:rFonts w:ascii="Trebuchet MS" w:hAnsi="Trebuchet MS"/>
          <w:color w:val="231F20"/>
          <w:spacing w:val="-2"/>
          <w:w w:val="122"/>
          <w:sz w:val="20"/>
        </w:rPr>
        <w:t>s</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1"/>
          <w:w w:val="80"/>
          <w:sz w:val="20"/>
        </w:rPr>
        <w:t>i</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w w:val="112"/>
          <w:sz w:val="20"/>
        </w:rPr>
        <w:t>d</w:t>
      </w:r>
      <w:proofErr w:type="spellEnd"/>
      <w:r>
        <w:rPr>
          <w:rFonts w:ascii="Trebuchet MS" w:hAnsi="Trebuchet MS"/>
          <w:color w:val="231F20"/>
          <w:spacing w:val="-14"/>
          <w:sz w:val="20"/>
        </w:rPr>
        <w:t xml:space="preserve"> </w:t>
      </w:r>
      <w:r>
        <w:rPr>
          <w:rFonts w:ascii="Trebuchet MS" w:hAnsi="Trebuchet MS"/>
          <w:color w:val="231F20"/>
          <w:spacing w:val="-1"/>
          <w:w w:val="105"/>
          <w:sz w:val="20"/>
        </w:rPr>
        <w:t>a</w:t>
      </w:r>
      <w:r>
        <w:rPr>
          <w:rFonts w:ascii="Trebuchet MS" w:hAnsi="Trebuchet MS"/>
          <w:color w:val="231F20"/>
          <w:spacing w:val="-1"/>
          <w:w w:val="111"/>
          <w:sz w:val="20"/>
        </w:rPr>
        <w:t>pp</w:t>
      </w:r>
      <w:r>
        <w:rPr>
          <w:rFonts w:ascii="Trebuchet MS" w:hAnsi="Trebuchet MS"/>
          <w:color w:val="231F20"/>
          <w:spacing w:val="-4"/>
          <w:w w:val="93"/>
          <w:sz w:val="20"/>
        </w:rPr>
        <w:t>r</w:t>
      </w:r>
      <w:r>
        <w:rPr>
          <w:rFonts w:ascii="Trebuchet MS" w:hAnsi="Trebuchet MS"/>
          <w:color w:val="231F20"/>
          <w:spacing w:val="-1"/>
          <w:w w:val="111"/>
          <w:sz w:val="20"/>
        </w:rPr>
        <w:t>o</w:t>
      </w:r>
      <w:r>
        <w:rPr>
          <w:rFonts w:ascii="Trebuchet MS" w:hAnsi="Trebuchet MS"/>
          <w:color w:val="231F20"/>
          <w:spacing w:val="-2"/>
          <w:w w:val="108"/>
          <w:sz w:val="20"/>
        </w:rPr>
        <w:t>ac</w:t>
      </w:r>
      <w:r>
        <w:rPr>
          <w:rFonts w:ascii="Trebuchet MS" w:hAnsi="Trebuchet MS"/>
          <w:color w:val="231F20"/>
          <w:w w:val="107"/>
          <w:sz w:val="20"/>
        </w:rPr>
        <w:t>h</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4"/>
          <w:w w:val="105"/>
          <w:sz w:val="20"/>
        </w:rPr>
        <w:t>a</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w w:val="55"/>
          <w:sz w:val="20"/>
        </w:rPr>
        <w:t>.</w:t>
      </w:r>
    </w:p>
    <w:p w14:paraId="419EE318" w14:textId="77777777" w:rsidR="00894070" w:rsidRDefault="009B7AFD">
      <w:pPr>
        <w:pStyle w:val="ListParagraph"/>
        <w:numPr>
          <w:ilvl w:val="0"/>
          <w:numId w:val="191"/>
        </w:numPr>
        <w:tabs>
          <w:tab w:val="left" w:pos="1801"/>
          <w:tab w:val="left" w:pos="1802"/>
        </w:tabs>
        <w:spacing w:before="88" w:line="247" w:lineRule="auto"/>
        <w:ind w:left="1801" w:right="1165"/>
        <w:rPr>
          <w:rFonts w:ascii="Trebuchet MS" w:hAnsi="Trebuchet MS"/>
          <w:sz w:val="20"/>
        </w:rPr>
      </w:pPr>
      <w:r>
        <w:rPr>
          <w:rFonts w:ascii="Trebuchet MS" w:hAnsi="Trebuchet MS"/>
          <w:color w:val="231F20"/>
          <w:spacing w:val="-2"/>
          <w:w w:val="105"/>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3"/>
          <w:sz w:val="20"/>
        </w:rPr>
        <w:t>M</w:t>
      </w:r>
      <w:r>
        <w:rPr>
          <w:rFonts w:ascii="Trebuchet MS" w:hAnsi="Trebuchet MS"/>
          <w:color w:val="231F20"/>
          <w:spacing w:val="-2"/>
          <w:w w:val="10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11"/>
          <w:sz w:val="20"/>
        </w:rPr>
        <w:t>o</w:t>
      </w:r>
      <w:r>
        <w:rPr>
          <w:rFonts w:ascii="Trebuchet MS" w:hAnsi="Trebuchet MS"/>
          <w:color w:val="231F20"/>
          <w:spacing w:val="-1"/>
          <w:w w:val="109"/>
          <w:sz w:val="20"/>
        </w:rPr>
        <w:t>u</w:t>
      </w:r>
      <w:r>
        <w:rPr>
          <w:rFonts w:ascii="Trebuchet MS" w:hAnsi="Trebuchet MS"/>
          <w:color w:val="231F20"/>
          <w:spacing w:val="2"/>
          <w:w w:val="93"/>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80"/>
          <w:sz w:val="20"/>
        </w:rPr>
        <w:t>i</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spacing w:val="-1"/>
          <w:w w:val="111"/>
          <w:sz w:val="20"/>
        </w:rPr>
        <w:t>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spacing w:val="-2"/>
          <w:w w:val="122"/>
          <w:sz w:val="20"/>
        </w:rPr>
        <w:t>s</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5"/>
          <w:w w:val="108"/>
          <w:sz w:val="20"/>
        </w:rPr>
        <w:t>e</w:t>
      </w:r>
      <w:r>
        <w:rPr>
          <w:rFonts w:ascii="Trebuchet MS" w:hAnsi="Trebuchet MS"/>
          <w:color w:val="231F20"/>
          <w:spacing w:val="2"/>
          <w:w w:val="102"/>
          <w:sz w:val="20"/>
        </w:rPr>
        <w:t>x</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2"/>
          <w:w w:val="107"/>
          <w:sz w:val="20"/>
        </w:rPr>
        <w:t>h</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w w:val="107"/>
          <w:sz w:val="20"/>
        </w:rPr>
        <w:t>h</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1"/>
          <w:w w:val="80"/>
          <w:sz w:val="20"/>
        </w:rPr>
        <w:t>i</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w w:val="88"/>
          <w:sz w:val="20"/>
        </w:rPr>
        <w:t xml:space="preserve">t </w:t>
      </w:r>
      <w:r>
        <w:rPr>
          <w:rFonts w:ascii="Trebuchet MS" w:hAnsi="Trebuchet MS"/>
          <w:color w:val="231F20"/>
          <w:spacing w:val="-3"/>
          <w:w w:val="105"/>
          <w:sz w:val="20"/>
        </w:rPr>
        <w:t>family</w:t>
      </w:r>
      <w:r>
        <w:rPr>
          <w:rFonts w:ascii="Trebuchet MS" w:hAnsi="Trebuchet MS"/>
          <w:color w:val="231F20"/>
          <w:spacing w:val="-13"/>
          <w:w w:val="105"/>
          <w:sz w:val="20"/>
        </w:rPr>
        <w:t xml:space="preserve"> </w:t>
      </w:r>
      <w:r>
        <w:rPr>
          <w:rFonts w:ascii="Trebuchet MS" w:hAnsi="Trebuchet MS"/>
          <w:color w:val="231F20"/>
          <w:w w:val="105"/>
          <w:sz w:val="20"/>
        </w:rPr>
        <w:t>violence</w:t>
      </w:r>
      <w:r>
        <w:rPr>
          <w:rFonts w:ascii="Trebuchet MS" w:hAnsi="Trebuchet MS"/>
          <w:color w:val="231F20"/>
          <w:spacing w:val="-13"/>
          <w:w w:val="105"/>
          <w:sz w:val="20"/>
        </w:rPr>
        <w:t xml:space="preserve"> </w:t>
      </w:r>
      <w:r>
        <w:rPr>
          <w:rFonts w:ascii="Trebuchet MS" w:hAnsi="Trebuchet MS"/>
          <w:color w:val="231F20"/>
          <w:w w:val="105"/>
          <w:sz w:val="20"/>
        </w:rPr>
        <w:t>courts</w:t>
      </w:r>
      <w:r>
        <w:rPr>
          <w:rFonts w:ascii="Trebuchet MS" w:hAnsi="Trebuchet MS"/>
          <w:color w:val="231F20"/>
          <w:spacing w:val="-13"/>
          <w:w w:val="105"/>
          <w:sz w:val="20"/>
        </w:rPr>
        <w:t xml:space="preserve"> </w:t>
      </w:r>
      <w:r>
        <w:rPr>
          <w:rFonts w:ascii="Trebuchet MS" w:hAnsi="Trebuchet MS"/>
          <w:color w:val="231F20"/>
          <w:w w:val="105"/>
          <w:sz w:val="20"/>
        </w:rPr>
        <w:t>should</w:t>
      </w:r>
      <w:r>
        <w:rPr>
          <w:rFonts w:ascii="Trebuchet MS" w:hAnsi="Trebuchet MS"/>
          <w:color w:val="231F20"/>
          <w:spacing w:val="-12"/>
          <w:w w:val="105"/>
          <w:sz w:val="20"/>
        </w:rPr>
        <w:t xml:space="preserve"> </w:t>
      </w:r>
      <w:r>
        <w:rPr>
          <w:rFonts w:ascii="Trebuchet MS" w:hAnsi="Trebuchet MS"/>
          <w:color w:val="231F20"/>
          <w:w w:val="105"/>
          <w:sz w:val="20"/>
        </w:rPr>
        <w:t>be</w:t>
      </w:r>
      <w:r>
        <w:rPr>
          <w:rFonts w:ascii="Trebuchet MS" w:hAnsi="Trebuchet MS"/>
          <w:color w:val="231F20"/>
          <w:spacing w:val="-13"/>
          <w:w w:val="105"/>
          <w:sz w:val="20"/>
        </w:rPr>
        <w:t xml:space="preserve"> </w:t>
      </w:r>
      <w:r>
        <w:rPr>
          <w:rFonts w:ascii="Trebuchet MS" w:hAnsi="Trebuchet MS"/>
          <w:color w:val="231F20"/>
          <w:w w:val="105"/>
          <w:sz w:val="20"/>
        </w:rPr>
        <w:t>used</w:t>
      </w:r>
      <w:r>
        <w:rPr>
          <w:rFonts w:ascii="Trebuchet MS" w:hAnsi="Trebuchet MS"/>
          <w:color w:val="231F20"/>
          <w:spacing w:val="-13"/>
          <w:w w:val="105"/>
          <w:sz w:val="20"/>
        </w:rPr>
        <w:t xml:space="preserve"> </w:t>
      </w:r>
      <w:r>
        <w:rPr>
          <w:rFonts w:ascii="Trebuchet MS" w:hAnsi="Trebuchet MS"/>
          <w:color w:val="231F20"/>
          <w:w w:val="105"/>
          <w:sz w:val="20"/>
        </w:rPr>
        <w:t>for</w:t>
      </w:r>
      <w:r>
        <w:rPr>
          <w:rFonts w:ascii="Trebuchet MS" w:hAnsi="Trebuchet MS"/>
          <w:color w:val="231F20"/>
          <w:spacing w:val="-12"/>
          <w:w w:val="105"/>
          <w:sz w:val="20"/>
        </w:rPr>
        <w:t xml:space="preserve"> </w:t>
      </w:r>
      <w:r>
        <w:rPr>
          <w:rFonts w:ascii="Trebuchet MS" w:hAnsi="Trebuchet MS"/>
          <w:color w:val="231F20"/>
          <w:spacing w:val="-3"/>
          <w:w w:val="105"/>
          <w:sz w:val="20"/>
        </w:rPr>
        <w:t>non-family</w:t>
      </w:r>
      <w:r>
        <w:rPr>
          <w:rFonts w:ascii="Trebuchet MS" w:hAnsi="Trebuchet MS"/>
          <w:color w:val="231F20"/>
          <w:spacing w:val="-13"/>
          <w:w w:val="105"/>
          <w:sz w:val="20"/>
        </w:rPr>
        <w:t xml:space="preserve"> </w:t>
      </w:r>
      <w:r>
        <w:rPr>
          <w:rFonts w:ascii="Trebuchet MS" w:hAnsi="Trebuchet MS"/>
          <w:color w:val="231F20"/>
          <w:w w:val="105"/>
          <w:sz w:val="20"/>
        </w:rPr>
        <w:t>violence</w:t>
      </w:r>
      <w:r>
        <w:rPr>
          <w:rFonts w:ascii="Trebuchet MS" w:hAnsi="Trebuchet MS"/>
          <w:color w:val="231F20"/>
          <w:spacing w:val="-13"/>
          <w:w w:val="105"/>
          <w:sz w:val="20"/>
        </w:rPr>
        <w:t xml:space="preserve"> </w:t>
      </w:r>
      <w:r>
        <w:rPr>
          <w:rFonts w:ascii="Trebuchet MS" w:hAnsi="Trebuchet MS"/>
          <w:color w:val="231F20"/>
          <w:w w:val="105"/>
          <w:sz w:val="20"/>
        </w:rPr>
        <w:t>stalking</w:t>
      </w:r>
      <w:r>
        <w:rPr>
          <w:rFonts w:ascii="Trebuchet MS" w:hAnsi="Trebuchet MS"/>
          <w:color w:val="231F20"/>
          <w:spacing w:val="-12"/>
          <w:w w:val="105"/>
          <w:sz w:val="20"/>
        </w:rPr>
        <w:t xml:space="preserve"> </w:t>
      </w:r>
      <w:r>
        <w:rPr>
          <w:rFonts w:ascii="Trebuchet MS" w:hAnsi="Trebuchet MS"/>
          <w:color w:val="231F20"/>
          <w:w w:val="105"/>
          <w:sz w:val="20"/>
        </w:rPr>
        <w:t>personal</w:t>
      </w:r>
      <w:r>
        <w:rPr>
          <w:rFonts w:ascii="Trebuchet MS" w:hAnsi="Trebuchet MS"/>
          <w:color w:val="231F20"/>
          <w:spacing w:val="-13"/>
          <w:w w:val="105"/>
          <w:sz w:val="20"/>
        </w:rPr>
        <w:t xml:space="preserve"> </w:t>
      </w:r>
      <w:r>
        <w:rPr>
          <w:rFonts w:ascii="Trebuchet MS" w:hAnsi="Trebuchet MS"/>
          <w:color w:val="231F20"/>
          <w:w w:val="105"/>
          <w:sz w:val="20"/>
        </w:rPr>
        <w:t xml:space="preserve">safety </w:t>
      </w:r>
      <w:r>
        <w:rPr>
          <w:rFonts w:ascii="Trebuchet MS" w:hAnsi="Trebuchet MS"/>
          <w:color w:val="231F20"/>
          <w:spacing w:val="-2"/>
          <w:w w:val="80"/>
          <w:sz w:val="20"/>
        </w:rPr>
        <w:t>i</w:t>
      </w:r>
      <w:r>
        <w:rPr>
          <w:rFonts w:ascii="Trebuchet MS" w:hAnsi="Trebuchet MS"/>
          <w:color w:val="231F20"/>
          <w:spacing w:val="-4"/>
          <w:w w:val="107"/>
          <w:sz w:val="20"/>
        </w:rPr>
        <w:t>n</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3"/>
          <w:w w:val="93"/>
          <w:sz w:val="20"/>
        </w:rPr>
        <w:t>r</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4"/>
          <w:w w:val="105"/>
          <w:sz w:val="20"/>
        </w:rPr>
        <w:t>a</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07"/>
          <w:sz w:val="20"/>
        </w:rPr>
        <w:t>h</w:t>
      </w:r>
      <w:r>
        <w:rPr>
          <w:rFonts w:ascii="Trebuchet MS" w:hAnsi="Trebuchet MS"/>
          <w:color w:val="231F20"/>
          <w:spacing w:val="-6"/>
          <w:w w:val="111"/>
          <w:sz w:val="20"/>
        </w:rPr>
        <w:t>o</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07"/>
          <w:sz w:val="20"/>
        </w:rPr>
        <w:t>n</w:t>
      </w:r>
      <w:r>
        <w:rPr>
          <w:rFonts w:ascii="Trebuchet MS" w:hAnsi="Trebuchet MS"/>
          <w:color w:val="231F20"/>
          <w:spacing w:val="-1"/>
          <w:w w:val="111"/>
          <w:sz w:val="20"/>
        </w:rPr>
        <w:t>o</w:t>
      </w:r>
      <w:r>
        <w:rPr>
          <w:rFonts w:ascii="Trebuchet MS" w:hAnsi="Trebuchet MS"/>
          <w:color w:val="231F20"/>
          <w:spacing w:val="-1"/>
          <w:w w:val="107"/>
          <w:sz w:val="20"/>
        </w:rPr>
        <w:t>n</w:t>
      </w:r>
      <w:r>
        <w:rPr>
          <w:rFonts w:ascii="Trebuchet MS" w:hAnsi="Trebuchet MS"/>
          <w:color w:val="231F20"/>
          <w:spacing w:val="-5"/>
          <w:w w:val="115"/>
          <w:sz w:val="20"/>
        </w:rPr>
        <w:t>-</w:t>
      </w:r>
      <w:r>
        <w:rPr>
          <w:rFonts w:ascii="Trebuchet MS" w:hAnsi="Trebuchet MS"/>
          <w:color w:val="231F20"/>
          <w:spacing w:val="-2"/>
          <w:w w:val="92"/>
          <w:sz w:val="20"/>
        </w:rPr>
        <w:t>f</w:t>
      </w:r>
      <w:r>
        <w:rPr>
          <w:rFonts w:ascii="Trebuchet MS" w:hAnsi="Trebuchet MS"/>
          <w:color w:val="231F20"/>
          <w:spacing w:val="-2"/>
          <w:w w:val="105"/>
          <w:sz w:val="20"/>
        </w:rPr>
        <w:t>a</w:t>
      </w:r>
      <w:r>
        <w:rPr>
          <w:rFonts w:ascii="Trebuchet MS" w:hAnsi="Trebuchet MS"/>
          <w:color w:val="231F20"/>
          <w:spacing w:val="-2"/>
          <w:w w:val="111"/>
          <w:sz w:val="20"/>
        </w:rPr>
        <w:t>m</w:t>
      </w:r>
      <w:r>
        <w:rPr>
          <w:rFonts w:ascii="Trebuchet MS" w:hAnsi="Trebuchet MS"/>
          <w:color w:val="231F20"/>
          <w:spacing w:val="-2"/>
          <w:w w:val="80"/>
          <w:sz w:val="20"/>
        </w:rPr>
        <w:t>i</w:t>
      </w:r>
      <w:r>
        <w:rPr>
          <w:rFonts w:ascii="Trebuchet MS" w:hAnsi="Trebuchet MS"/>
          <w:color w:val="231F20"/>
          <w:spacing w:val="-7"/>
          <w:w w:val="96"/>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1"/>
          <w:w w:val="107"/>
          <w:sz w:val="20"/>
        </w:rPr>
        <w:t>n</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1"/>
          <w:w w:val="109"/>
          <w:sz w:val="20"/>
        </w:rPr>
        <w:t>u</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2"/>
          <w:w w:val="116"/>
          <w:sz w:val="20"/>
        </w:rPr>
        <w:t>o</w:t>
      </w:r>
      <w:r>
        <w:rPr>
          <w:rFonts w:ascii="Trebuchet MS" w:hAnsi="Trebuchet MS"/>
          <w:color w:val="231F20"/>
          <w:spacing w:val="-1"/>
          <w:w w:val="116"/>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w w:val="111"/>
          <w:sz w:val="20"/>
        </w:rPr>
        <w:t>c</w:t>
      </w:r>
      <w:r>
        <w:rPr>
          <w:rFonts w:ascii="Trebuchet MS" w:hAnsi="Trebuchet MS"/>
          <w:color w:val="231F20"/>
          <w:w w:val="105"/>
          <w:sz w:val="20"/>
        </w:rPr>
        <w:t>a</w:t>
      </w:r>
      <w:r>
        <w:rPr>
          <w:rFonts w:ascii="Trebuchet MS" w:hAnsi="Trebuchet MS"/>
          <w:color w:val="231F20"/>
          <w:spacing w:val="-1"/>
          <w:w w:val="122"/>
          <w:sz w:val="20"/>
        </w:rPr>
        <w:t>s</w:t>
      </w:r>
      <w:r>
        <w:rPr>
          <w:rFonts w:ascii="Trebuchet MS" w:hAnsi="Trebuchet MS"/>
          <w:color w:val="231F20"/>
          <w:spacing w:val="-2"/>
          <w:w w:val="108"/>
          <w:sz w:val="20"/>
        </w:rPr>
        <w:t>e</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spacing w:val="-1"/>
          <w:w w:val="111"/>
          <w:sz w:val="20"/>
        </w:rPr>
        <w:t>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b</w:t>
      </w:r>
      <w:r>
        <w:rPr>
          <w:rFonts w:ascii="Trebuchet MS" w:hAnsi="Trebuchet MS"/>
          <w:color w:val="231F20"/>
          <w:w w:val="108"/>
          <w:sz w:val="20"/>
        </w:rPr>
        <w:t xml:space="preserve">e </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w w:val="81"/>
          <w:sz w:val="20"/>
        </w:rPr>
        <w:t>f</w:t>
      </w:r>
      <w:r>
        <w:rPr>
          <w:rFonts w:ascii="Trebuchet MS" w:hAnsi="Trebuchet MS"/>
          <w:color w:val="231F20"/>
          <w:spacing w:val="-5"/>
          <w:w w:val="81"/>
          <w:sz w:val="20"/>
        </w:rPr>
        <w:t>f</w:t>
      </w:r>
      <w:r>
        <w:rPr>
          <w:rFonts w:ascii="Trebuchet MS" w:hAnsi="Trebuchet MS"/>
          <w:color w:val="231F20"/>
          <w:spacing w:val="-1"/>
          <w:w w:val="108"/>
          <w:sz w:val="20"/>
        </w:rPr>
        <w:t>e</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3"/>
          <w:w w:val="80"/>
          <w:sz w:val="20"/>
        </w:rPr>
        <w:t>i</w:t>
      </w:r>
      <w:r>
        <w:rPr>
          <w:rFonts w:ascii="Trebuchet MS" w:hAnsi="Trebuchet MS"/>
          <w:color w:val="231F20"/>
          <w:spacing w:val="-2"/>
          <w:w w:val="88"/>
          <w:sz w:val="20"/>
        </w:rPr>
        <w:t>t</w:t>
      </w:r>
      <w:r>
        <w:rPr>
          <w:rFonts w:ascii="Trebuchet MS" w:hAnsi="Trebuchet MS"/>
          <w:color w:val="231F20"/>
          <w:spacing w:val="-2"/>
          <w:w w:val="107"/>
          <w:sz w:val="20"/>
        </w:rPr>
        <w:t>h</w:t>
      </w:r>
      <w:r>
        <w:rPr>
          <w:rFonts w:ascii="Trebuchet MS" w:hAnsi="Trebuchet MS"/>
          <w:color w:val="231F20"/>
          <w:spacing w:val="-2"/>
          <w:w w:val="80"/>
          <w:sz w:val="20"/>
        </w:rPr>
        <w:t>i</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0"/>
          <w:sz w:val="20"/>
        </w:rPr>
        <w:t>c</w:t>
      </w:r>
      <w:r>
        <w:rPr>
          <w:rFonts w:ascii="Trebuchet MS" w:hAnsi="Trebuchet MS"/>
          <w:color w:val="231F20"/>
          <w:spacing w:val="-1"/>
          <w:w w:val="110"/>
          <w:sz w:val="20"/>
        </w:rPr>
        <w:t>u</w:t>
      </w:r>
      <w:r>
        <w:rPr>
          <w:rFonts w:ascii="Trebuchet MS" w:hAnsi="Trebuchet MS"/>
          <w:color w:val="231F20"/>
          <w:spacing w:val="-2"/>
          <w:w w:val="93"/>
          <w:sz w:val="20"/>
        </w:rPr>
        <w:t>r</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22"/>
          <w:sz w:val="20"/>
        </w:rPr>
        <w:t>s</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111"/>
          <w:sz w:val="20"/>
        </w:rPr>
        <w:t>m</w:t>
      </w:r>
      <w:r>
        <w:rPr>
          <w:rFonts w:ascii="Trebuchet MS" w:hAnsi="Trebuchet MS"/>
          <w:color w:val="231F20"/>
          <w:w w:val="55"/>
          <w:sz w:val="20"/>
        </w:rPr>
        <w:t>.</w:t>
      </w:r>
    </w:p>
    <w:p w14:paraId="077AE4FE" w14:textId="77777777" w:rsidR="00894070" w:rsidRDefault="009B7AFD">
      <w:pPr>
        <w:pStyle w:val="ListParagraph"/>
        <w:numPr>
          <w:ilvl w:val="0"/>
          <w:numId w:val="191"/>
        </w:numPr>
        <w:tabs>
          <w:tab w:val="left" w:pos="1801"/>
          <w:tab w:val="left" w:pos="1802"/>
        </w:tabs>
        <w:spacing w:before="89" w:line="247" w:lineRule="auto"/>
        <w:ind w:left="1801" w:right="1845"/>
        <w:rPr>
          <w:rFonts w:ascii="Trebuchet MS" w:hAnsi="Trebuchet MS"/>
          <w:sz w:val="20"/>
        </w:rPr>
      </w:pPr>
      <w:r>
        <w:rPr>
          <w:rFonts w:ascii="Trebuchet MS" w:hAnsi="Trebuchet MS"/>
          <w:color w:val="231F20"/>
          <w:spacing w:val="-2"/>
          <w:w w:val="105"/>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96"/>
          <w:sz w:val="20"/>
        </w:rPr>
        <w:t>i</w:t>
      </w:r>
      <w:r>
        <w:rPr>
          <w:rFonts w:ascii="Trebuchet MS" w:hAnsi="Trebuchet MS"/>
          <w:color w:val="231F20"/>
          <w:spacing w:val="-2"/>
          <w:w w:val="96"/>
          <w:sz w:val="20"/>
        </w:rPr>
        <w:t>a</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05"/>
          <w:sz w:val="20"/>
        </w:rPr>
        <w:t>G</w:t>
      </w:r>
      <w:r>
        <w:rPr>
          <w:rFonts w:ascii="Trebuchet MS" w:hAnsi="Trebuchet MS"/>
          <w:color w:val="231F20"/>
          <w:spacing w:val="-6"/>
          <w:w w:val="111"/>
          <w:sz w:val="20"/>
        </w:rPr>
        <w:t>o</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2"/>
          <w:w w:val="93"/>
          <w:sz w:val="20"/>
        </w:rPr>
        <w:t>r</w:t>
      </w:r>
      <w:r>
        <w:rPr>
          <w:rFonts w:ascii="Trebuchet MS" w:hAnsi="Trebuchet MS"/>
          <w:color w:val="231F20"/>
          <w:spacing w:val="-2"/>
          <w:w w:val="107"/>
          <w:sz w:val="20"/>
        </w:rPr>
        <w:t>n</w:t>
      </w:r>
      <w:r>
        <w:rPr>
          <w:rFonts w:ascii="Trebuchet MS" w:hAnsi="Trebuchet MS"/>
          <w:color w:val="231F20"/>
          <w:spacing w:val="-1"/>
          <w:w w:val="110"/>
          <w:sz w:val="20"/>
        </w:rPr>
        <w:t>me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ho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spacing w:val="-1"/>
          <w:w w:val="106"/>
          <w:sz w:val="20"/>
        </w:rPr>
        <w:t>ou</w:t>
      </w:r>
      <w:r>
        <w:rPr>
          <w:rFonts w:ascii="Trebuchet MS" w:hAnsi="Trebuchet MS"/>
          <w:color w:val="231F20"/>
          <w:spacing w:val="-4"/>
          <w:w w:val="106"/>
          <w:sz w:val="20"/>
        </w:rPr>
        <w:t>r</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5"/>
          <w:sz w:val="20"/>
        </w:rPr>
        <w:t>M</w:t>
      </w:r>
      <w:r>
        <w:rPr>
          <w:rFonts w:ascii="Trebuchet MS" w:hAnsi="Trebuchet MS"/>
          <w:color w:val="231F20"/>
          <w:spacing w:val="-2"/>
          <w:w w:val="11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06"/>
          <w:sz w:val="20"/>
        </w:rPr>
        <w:t>ou</w:t>
      </w:r>
      <w:r>
        <w:rPr>
          <w:rFonts w:ascii="Trebuchet MS" w:hAnsi="Trebuchet MS"/>
          <w:color w:val="231F20"/>
          <w:spacing w:val="2"/>
          <w:w w:val="106"/>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96"/>
          <w:sz w:val="20"/>
        </w:rPr>
        <w:t>i</w:t>
      </w:r>
      <w:r>
        <w:rPr>
          <w:rFonts w:ascii="Trebuchet MS" w:hAnsi="Trebuchet MS"/>
          <w:color w:val="231F20"/>
          <w:w w:val="96"/>
          <w:sz w:val="20"/>
        </w:rPr>
        <w:t>a</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 xml:space="preserve">o </w:t>
      </w:r>
      <w:r>
        <w:rPr>
          <w:rFonts w:ascii="Trebuchet MS" w:hAnsi="Trebuchet MS"/>
          <w:color w:val="231F20"/>
          <w:w w:val="105"/>
          <w:sz w:val="20"/>
        </w:rPr>
        <w:t>implement Recommendation</w:t>
      </w:r>
      <w:r>
        <w:rPr>
          <w:rFonts w:ascii="Trebuchet MS" w:hAnsi="Trebuchet MS"/>
          <w:color w:val="231F20"/>
          <w:spacing w:val="-36"/>
          <w:w w:val="105"/>
          <w:sz w:val="20"/>
        </w:rPr>
        <w:t xml:space="preserve"> </w:t>
      </w:r>
      <w:r>
        <w:rPr>
          <w:rFonts w:ascii="Trebuchet MS" w:hAnsi="Trebuchet MS"/>
          <w:color w:val="231F20"/>
          <w:w w:val="105"/>
          <w:sz w:val="20"/>
        </w:rPr>
        <w:t>11.</w:t>
      </w:r>
    </w:p>
    <w:p w14:paraId="10AF8C83" w14:textId="77777777" w:rsidR="00894070" w:rsidRDefault="009B7AFD">
      <w:pPr>
        <w:pStyle w:val="ListParagraph"/>
        <w:numPr>
          <w:ilvl w:val="0"/>
          <w:numId w:val="191"/>
        </w:numPr>
        <w:tabs>
          <w:tab w:val="left" w:pos="1801"/>
          <w:tab w:val="left" w:pos="1802"/>
        </w:tabs>
        <w:spacing w:before="86" w:line="247" w:lineRule="auto"/>
        <w:ind w:left="1801" w:right="1699"/>
        <w:rPr>
          <w:rFonts w:ascii="Trebuchet MS"/>
          <w:sz w:val="20"/>
        </w:rPr>
      </w:pPr>
      <w:r>
        <w:rPr>
          <w:rFonts w:ascii="Trebuchet MS"/>
          <w:color w:val="231F20"/>
          <w:w w:val="105"/>
          <w:sz w:val="20"/>
        </w:rPr>
        <w:t>The</w:t>
      </w:r>
      <w:r>
        <w:rPr>
          <w:rFonts w:ascii="Trebuchet MS"/>
          <w:color w:val="231F20"/>
          <w:spacing w:val="-14"/>
          <w:w w:val="105"/>
          <w:sz w:val="20"/>
        </w:rPr>
        <w:t xml:space="preserve"> </w:t>
      </w:r>
      <w:r>
        <w:rPr>
          <w:rFonts w:ascii="Trebuchet MS"/>
          <w:color w:val="231F20"/>
          <w:w w:val="105"/>
          <w:sz w:val="20"/>
        </w:rPr>
        <w:t>Victorian</w:t>
      </w:r>
      <w:r>
        <w:rPr>
          <w:rFonts w:ascii="Trebuchet MS"/>
          <w:color w:val="231F20"/>
          <w:spacing w:val="-13"/>
          <w:w w:val="105"/>
          <w:sz w:val="20"/>
        </w:rPr>
        <w:t xml:space="preserve"> </w:t>
      </w:r>
      <w:r>
        <w:rPr>
          <w:rFonts w:ascii="Trebuchet MS"/>
          <w:color w:val="231F20"/>
          <w:spacing w:val="-3"/>
          <w:w w:val="105"/>
          <w:sz w:val="20"/>
        </w:rPr>
        <w:t>Government</w:t>
      </w:r>
      <w:r>
        <w:rPr>
          <w:rFonts w:ascii="Trebuchet MS"/>
          <w:color w:val="231F20"/>
          <w:spacing w:val="-13"/>
          <w:w w:val="105"/>
          <w:sz w:val="20"/>
        </w:rPr>
        <w:t xml:space="preserve"> </w:t>
      </w:r>
      <w:r>
        <w:rPr>
          <w:rFonts w:ascii="Trebuchet MS"/>
          <w:color w:val="231F20"/>
          <w:w w:val="105"/>
          <w:sz w:val="20"/>
        </w:rPr>
        <w:t>should</w:t>
      </w:r>
      <w:r>
        <w:rPr>
          <w:rFonts w:ascii="Trebuchet MS"/>
          <w:color w:val="231F20"/>
          <w:spacing w:val="-14"/>
          <w:w w:val="105"/>
          <w:sz w:val="20"/>
        </w:rPr>
        <w:t xml:space="preserve"> </w:t>
      </w:r>
      <w:r>
        <w:rPr>
          <w:rFonts w:ascii="Trebuchet MS"/>
          <w:color w:val="231F20"/>
          <w:w w:val="105"/>
          <w:sz w:val="20"/>
        </w:rPr>
        <w:t>strengthen</w:t>
      </w:r>
      <w:r>
        <w:rPr>
          <w:rFonts w:ascii="Trebuchet MS"/>
          <w:color w:val="231F20"/>
          <w:spacing w:val="-13"/>
          <w:w w:val="105"/>
          <w:sz w:val="20"/>
        </w:rPr>
        <w:t xml:space="preserve"> </w:t>
      </w:r>
      <w:r>
        <w:rPr>
          <w:rFonts w:ascii="Trebuchet MS"/>
          <w:color w:val="231F20"/>
          <w:spacing w:val="-4"/>
          <w:w w:val="105"/>
          <w:sz w:val="20"/>
        </w:rPr>
        <w:t>pathways</w:t>
      </w:r>
      <w:r>
        <w:rPr>
          <w:rFonts w:ascii="Trebuchet MS"/>
          <w:color w:val="231F20"/>
          <w:spacing w:val="-13"/>
          <w:w w:val="105"/>
          <w:sz w:val="20"/>
        </w:rPr>
        <w:t xml:space="preserve"> </w:t>
      </w:r>
      <w:r>
        <w:rPr>
          <w:rFonts w:ascii="Trebuchet MS"/>
          <w:color w:val="231F20"/>
          <w:w w:val="105"/>
          <w:sz w:val="20"/>
        </w:rPr>
        <w:t>from</w:t>
      </w:r>
      <w:r>
        <w:rPr>
          <w:rFonts w:ascii="Trebuchet MS"/>
          <w:color w:val="231F20"/>
          <w:spacing w:val="-14"/>
          <w:w w:val="105"/>
          <w:sz w:val="20"/>
        </w:rPr>
        <w:t xml:space="preserve"> </w:t>
      </w:r>
      <w:r>
        <w:rPr>
          <w:rFonts w:ascii="Trebuchet MS"/>
          <w:color w:val="231F20"/>
          <w:w w:val="105"/>
          <w:sz w:val="20"/>
        </w:rPr>
        <w:t>the</w:t>
      </w:r>
      <w:r>
        <w:rPr>
          <w:rFonts w:ascii="Trebuchet MS"/>
          <w:color w:val="231F20"/>
          <w:spacing w:val="-13"/>
          <w:w w:val="105"/>
          <w:sz w:val="20"/>
        </w:rPr>
        <w:t xml:space="preserve"> </w:t>
      </w:r>
      <w:r>
        <w:rPr>
          <w:rFonts w:ascii="Trebuchet MS"/>
          <w:color w:val="231F20"/>
          <w:w w:val="105"/>
          <w:sz w:val="20"/>
        </w:rPr>
        <w:t>personal</w:t>
      </w:r>
      <w:r>
        <w:rPr>
          <w:rFonts w:ascii="Trebuchet MS"/>
          <w:color w:val="231F20"/>
          <w:spacing w:val="-13"/>
          <w:w w:val="105"/>
          <w:sz w:val="20"/>
        </w:rPr>
        <w:t xml:space="preserve"> </w:t>
      </w:r>
      <w:r>
        <w:rPr>
          <w:rFonts w:ascii="Trebuchet MS"/>
          <w:color w:val="231F20"/>
          <w:w w:val="105"/>
          <w:sz w:val="20"/>
        </w:rPr>
        <w:t xml:space="preserve">safety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22"/>
          <w:sz w:val="20"/>
        </w:rPr>
        <w:t>s</w:t>
      </w:r>
      <w:r>
        <w:rPr>
          <w:rFonts w:ascii="Trebuchet MS"/>
          <w:color w:val="231F20"/>
          <w:spacing w:val="-4"/>
          <w:w w:val="110"/>
          <w:sz w:val="20"/>
        </w:rPr>
        <w:t>y</w:t>
      </w:r>
      <w:r>
        <w:rPr>
          <w:rFonts w:ascii="Trebuchet MS"/>
          <w:color w:val="231F20"/>
          <w:spacing w:val="-1"/>
          <w:w w:val="122"/>
          <w:sz w:val="20"/>
        </w:rPr>
        <w:t>s</w:t>
      </w:r>
      <w:r>
        <w:rPr>
          <w:rFonts w:ascii="Trebuchet MS"/>
          <w:color w:val="231F20"/>
          <w:spacing w:val="-4"/>
          <w:w w:val="88"/>
          <w:sz w:val="20"/>
        </w:rPr>
        <w:t>t</w:t>
      </w:r>
      <w:r>
        <w:rPr>
          <w:rFonts w:ascii="Trebuchet MS"/>
          <w:color w:val="231F20"/>
          <w:spacing w:val="-1"/>
          <w:w w:val="108"/>
          <w:sz w:val="20"/>
        </w:rPr>
        <w:t>e</w:t>
      </w:r>
      <w:r>
        <w:rPr>
          <w:rFonts w:ascii="Trebuchet MS"/>
          <w:color w:val="231F20"/>
          <w:w w:val="111"/>
          <w:sz w:val="20"/>
        </w:rPr>
        <w:t>m</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11"/>
          <w:sz w:val="20"/>
        </w:rPr>
        <w:t>m</w:t>
      </w:r>
      <w:r>
        <w:rPr>
          <w:rFonts w:ascii="Trebuchet MS"/>
          <w:color w:val="231F20"/>
          <w:w w:val="108"/>
          <w:sz w:val="20"/>
        </w:rPr>
        <w:t>e</w:t>
      </w:r>
      <w:r>
        <w:rPr>
          <w:rFonts w:ascii="Trebuchet MS"/>
          <w:color w:val="231F20"/>
          <w:spacing w:val="-1"/>
          <w:w w:val="112"/>
          <w:sz w:val="20"/>
        </w:rPr>
        <w:t>d</w:t>
      </w:r>
      <w:r>
        <w:rPr>
          <w:rFonts w:ascii="Trebuchet MS"/>
          <w:color w:val="231F20"/>
          <w:spacing w:val="-1"/>
          <w:w w:val="80"/>
          <w:sz w:val="20"/>
        </w:rPr>
        <w:t>i</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w w:val="57"/>
          <w:sz w:val="20"/>
        </w:rPr>
        <w:t>,</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15"/>
          <w:sz w:val="20"/>
        </w:rPr>
        <w:t>-</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2"/>
          <w:w w:val="107"/>
          <w:sz w:val="20"/>
        </w:rPr>
        <w:t>n</w:t>
      </w:r>
      <w:r>
        <w:rPr>
          <w:rFonts w:ascii="Trebuchet MS"/>
          <w:color w:val="231F20"/>
          <w:spacing w:val="-7"/>
          <w:w w:val="96"/>
          <w:sz w:val="20"/>
        </w:rPr>
        <w:t>l</w:t>
      </w:r>
      <w:r>
        <w:rPr>
          <w:rFonts w:ascii="Trebuchet MS"/>
          <w:color w:val="231F20"/>
          <w:spacing w:val="-13"/>
          <w:w w:val="110"/>
          <w:sz w:val="20"/>
        </w:rPr>
        <w:t>y</w:t>
      </w:r>
      <w:r>
        <w:rPr>
          <w:rFonts w:ascii="Trebuchet MS"/>
          <w:color w:val="231F20"/>
          <w:w w:val="57"/>
          <w:sz w:val="20"/>
        </w:rPr>
        <w:t>,</w:t>
      </w:r>
      <w:r>
        <w:rPr>
          <w:rFonts w:ascii="Trebuchet MS"/>
          <w:color w:val="231F20"/>
          <w:spacing w:val="-14"/>
          <w:sz w:val="20"/>
        </w:rPr>
        <w:t xml:space="preserve"> </w:t>
      </w:r>
      <w:r>
        <w:rPr>
          <w:rFonts w:ascii="Trebuchet MS"/>
          <w:color w:val="231F20"/>
          <w:spacing w:val="-6"/>
          <w:w w:val="111"/>
          <w:sz w:val="20"/>
        </w:rPr>
        <w:t>b</w:t>
      </w:r>
      <w:r>
        <w:rPr>
          <w:rFonts w:ascii="Trebuchet MS"/>
          <w:color w:val="231F20"/>
          <w:spacing w:val="-1"/>
          <w:w w:val="110"/>
          <w:sz w:val="20"/>
        </w:rPr>
        <w:t>y</w:t>
      </w:r>
      <w:r>
        <w:rPr>
          <w:rFonts w:ascii="Trebuchet MS"/>
          <w:color w:val="231F20"/>
          <w:w w:val="54"/>
          <w:sz w:val="20"/>
        </w:rPr>
        <w:t>:</w:t>
      </w:r>
    </w:p>
    <w:p w14:paraId="39AE45D2" w14:textId="77777777" w:rsidR="00894070" w:rsidRDefault="009B7AFD">
      <w:pPr>
        <w:pStyle w:val="ListParagraph"/>
        <w:numPr>
          <w:ilvl w:val="1"/>
          <w:numId w:val="191"/>
        </w:numPr>
        <w:tabs>
          <w:tab w:val="left" w:pos="2481"/>
          <w:tab w:val="left" w:pos="2482"/>
        </w:tabs>
        <w:spacing w:before="87" w:line="247" w:lineRule="auto"/>
        <w:ind w:left="2481" w:right="1212" w:hanging="674"/>
        <w:rPr>
          <w:rFonts w:ascii="Trebuchet MS"/>
          <w:sz w:val="20"/>
        </w:rPr>
      </w:pPr>
      <w:r>
        <w:rPr>
          <w:rFonts w:ascii="Trebuchet MS"/>
          <w:color w:val="231F20"/>
          <w:sz w:val="20"/>
        </w:rPr>
        <w:t xml:space="preserve">making the Dispute Settlement </w:t>
      </w:r>
      <w:r>
        <w:rPr>
          <w:rFonts w:ascii="Trebuchet MS"/>
          <w:color w:val="231F20"/>
          <w:spacing w:val="-2"/>
          <w:sz w:val="20"/>
        </w:rPr>
        <w:t xml:space="preserve">Centre </w:t>
      </w:r>
      <w:r>
        <w:rPr>
          <w:rFonts w:ascii="Trebuchet MS"/>
          <w:color w:val="231F20"/>
          <w:sz w:val="20"/>
        </w:rPr>
        <w:t xml:space="preserve">of Victoria (DSCV) mediation guidelines </w:t>
      </w:r>
      <w:r>
        <w:rPr>
          <w:rFonts w:ascii="Trebuchet MS"/>
          <w:color w:val="231F20"/>
          <w:spacing w:val="-1"/>
          <w:w w:val="111"/>
          <w:sz w:val="20"/>
        </w:rPr>
        <w:t>mo</w:t>
      </w:r>
      <w:r>
        <w:rPr>
          <w:rFonts w:ascii="Trebuchet MS"/>
          <w:color w:val="231F20"/>
          <w:spacing w:val="-4"/>
          <w:w w:val="93"/>
          <w:sz w:val="20"/>
        </w:rPr>
        <w:t>r</w:t>
      </w:r>
      <w:r>
        <w:rPr>
          <w:rFonts w:ascii="Trebuchet MS"/>
          <w:color w:val="231F20"/>
          <w:w w:val="108"/>
          <w:sz w:val="20"/>
        </w:rPr>
        <w:t>e</w:t>
      </w:r>
      <w:r>
        <w:rPr>
          <w:rFonts w:ascii="Trebuchet MS"/>
          <w:color w:val="231F20"/>
          <w:spacing w:val="-14"/>
          <w:sz w:val="20"/>
        </w:rPr>
        <w:t xml:space="preserve"> </w:t>
      </w:r>
      <w:r>
        <w:rPr>
          <w:rFonts w:ascii="Trebuchet MS"/>
          <w:color w:val="231F20"/>
          <w:spacing w:val="-6"/>
          <w:w w:val="105"/>
          <w:sz w:val="20"/>
        </w:rPr>
        <w:t>a</w:t>
      </w:r>
      <w:r>
        <w:rPr>
          <w:rFonts w:ascii="Trebuchet MS"/>
          <w:color w:val="231F20"/>
          <w:spacing w:val="-3"/>
          <w:w w:val="109"/>
          <w:sz w:val="20"/>
        </w:rPr>
        <w:t>v</w:t>
      </w:r>
      <w:r>
        <w:rPr>
          <w:rFonts w:ascii="Trebuchet MS"/>
          <w:color w:val="231F20"/>
          <w:spacing w:val="-2"/>
          <w:w w:val="105"/>
          <w:sz w:val="20"/>
        </w:rPr>
        <w:t>a</w:t>
      </w:r>
      <w:r>
        <w:rPr>
          <w:rFonts w:ascii="Trebuchet MS"/>
          <w:color w:val="231F20"/>
          <w:spacing w:val="-2"/>
          <w:w w:val="80"/>
          <w:sz w:val="20"/>
        </w:rPr>
        <w:t>i</w:t>
      </w:r>
      <w:r>
        <w:rPr>
          <w:rFonts w:ascii="Trebuchet MS"/>
          <w:color w:val="231F20"/>
          <w:spacing w:val="1"/>
          <w:w w:val="96"/>
          <w:sz w:val="20"/>
        </w:rPr>
        <w:t>l</w:t>
      </w:r>
      <w:r>
        <w:rPr>
          <w:rFonts w:ascii="Trebuchet MS"/>
          <w:color w:val="231F20"/>
          <w:spacing w:val="-2"/>
          <w:w w:val="105"/>
          <w:sz w:val="20"/>
        </w:rPr>
        <w:t>a</w:t>
      </w:r>
      <w:r>
        <w:rPr>
          <w:rFonts w:ascii="Trebuchet MS"/>
          <w:color w:val="231F20"/>
          <w:spacing w:val="-2"/>
          <w:w w:val="111"/>
          <w:sz w:val="20"/>
        </w:rPr>
        <w:t>b</w:t>
      </w:r>
      <w:r>
        <w:rPr>
          <w:rFonts w:ascii="Trebuchet MS"/>
          <w:color w:val="231F20"/>
          <w:spacing w:val="-3"/>
          <w:w w:val="96"/>
          <w:sz w:val="20"/>
        </w:rPr>
        <w:t>l</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2"/>
          <w:w w:val="111"/>
          <w:sz w:val="20"/>
        </w:rPr>
        <w:t>o</w:t>
      </w:r>
      <w:r>
        <w:rPr>
          <w:rFonts w:ascii="Trebuchet MS"/>
          <w:color w:val="231F20"/>
          <w:w w:val="96"/>
          <w:sz w:val="20"/>
        </w:rPr>
        <w:t>l</w:t>
      </w:r>
      <w:r>
        <w:rPr>
          <w:rFonts w:ascii="Trebuchet MS"/>
          <w:color w:val="231F20"/>
          <w:spacing w:val="-1"/>
          <w:w w:val="80"/>
          <w:sz w:val="20"/>
        </w:rPr>
        <w:t>i</w:t>
      </w:r>
      <w:r>
        <w:rPr>
          <w:rFonts w:ascii="Trebuchet MS"/>
          <w:color w:val="231F20"/>
          <w:spacing w:val="-3"/>
          <w:w w:val="111"/>
          <w:sz w:val="20"/>
        </w:rPr>
        <w:t>c</w:t>
      </w:r>
      <w:r>
        <w:rPr>
          <w:rFonts w:ascii="Trebuchet MS"/>
          <w:color w:val="231F20"/>
          <w:spacing w:val="-3"/>
          <w:w w:val="108"/>
          <w:sz w:val="20"/>
        </w:rPr>
        <w:t>e</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2"/>
          <w:w w:val="105"/>
          <w:sz w:val="20"/>
        </w:rPr>
        <w:t>a</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22"/>
          <w:sz w:val="20"/>
        </w:rPr>
        <w:t>s</w:t>
      </w:r>
      <w:r>
        <w:rPr>
          <w:rFonts w:ascii="Trebuchet MS"/>
          <w:color w:val="231F20"/>
          <w:spacing w:val="-2"/>
          <w:w w:val="88"/>
          <w:sz w:val="20"/>
        </w:rPr>
        <w:t>t</w:t>
      </w:r>
      <w:r>
        <w:rPr>
          <w:rFonts w:ascii="Trebuchet MS"/>
          <w:color w:val="231F20"/>
          <w:spacing w:val="-2"/>
          <w:w w:val="93"/>
          <w:sz w:val="20"/>
        </w:rPr>
        <w:t>r</w:t>
      </w:r>
      <w:r>
        <w:rPr>
          <w:rFonts w:ascii="Trebuchet MS"/>
          <w:color w:val="231F20"/>
          <w:spacing w:val="-4"/>
          <w:w w:val="105"/>
          <w:sz w:val="20"/>
        </w:rPr>
        <w:t>a</w:t>
      </w:r>
      <w:r>
        <w:rPr>
          <w:rFonts w:ascii="Trebuchet MS"/>
          <w:color w:val="231F20"/>
          <w:spacing w:val="-4"/>
          <w:w w:val="88"/>
          <w:sz w:val="20"/>
        </w:rPr>
        <w:t>t</w:t>
      </w:r>
      <w:r>
        <w:rPr>
          <w:rFonts w:ascii="Trebuchet MS"/>
          <w:color w:val="231F20"/>
          <w:spacing w:val="-2"/>
          <w:w w:val="108"/>
          <w:sz w:val="20"/>
        </w:rPr>
        <w:t>e</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proofErr w:type="gramStart"/>
      <w:r>
        <w:rPr>
          <w:rFonts w:ascii="Trebuchet MS"/>
          <w:color w:val="231F20"/>
          <w:spacing w:val="-4"/>
          <w:w w:val="93"/>
          <w:sz w:val="20"/>
        </w:rPr>
        <w:t>r</w:t>
      </w:r>
      <w:r>
        <w:rPr>
          <w:rFonts w:ascii="Trebuchet MS"/>
          <w:color w:val="231F20"/>
          <w:w w:val="108"/>
          <w:sz w:val="20"/>
        </w:rPr>
        <w:t>e</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22"/>
          <w:sz w:val="20"/>
        </w:rPr>
        <w:t>s</w:t>
      </w:r>
      <w:r>
        <w:rPr>
          <w:rFonts w:ascii="Trebuchet MS"/>
          <w:color w:val="231F20"/>
          <w:spacing w:val="-2"/>
          <w:w w:val="88"/>
          <w:sz w:val="20"/>
        </w:rPr>
        <w:t>t</w:t>
      </w:r>
      <w:r>
        <w:rPr>
          <w:rFonts w:ascii="Trebuchet MS"/>
          <w:color w:val="231F20"/>
          <w:spacing w:val="-2"/>
          <w:w w:val="93"/>
          <w:sz w:val="20"/>
        </w:rPr>
        <w:t>r</w:t>
      </w:r>
      <w:r>
        <w:rPr>
          <w:rFonts w:ascii="Trebuchet MS"/>
          <w:color w:val="231F20"/>
          <w:spacing w:val="-2"/>
          <w:w w:val="105"/>
          <w:sz w:val="20"/>
        </w:rPr>
        <w:t>a</w:t>
      </w:r>
      <w:r>
        <w:rPr>
          <w:rFonts w:ascii="Trebuchet MS"/>
          <w:color w:val="231F20"/>
          <w:spacing w:val="-1"/>
          <w:w w:val="93"/>
          <w:sz w:val="20"/>
        </w:rPr>
        <w:t>r</w:t>
      </w:r>
      <w:r>
        <w:rPr>
          <w:rFonts w:ascii="Trebuchet MS"/>
          <w:color w:val="231F20"/>
          <w:w w:val="122"/>
          <w:sz w:val="20"/>
        </w:rPr>
        <w:t>s</w:t>
      </w:r>
      <w:proofErr w:type="gramEnd"/>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2"/>
          <w:w w:val="93"/>
          <w:sz w:val="20"/>
        </w:rPr>
        <w:t>r</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81"/>
          <w:sz w:val="20"/>
        </w:rPr>
        <w:t>ff</w:t>
      </w:r>
    </w:p>
    <w:p w14:paraId="6DB96706" w14:textId="77777777" w:rsidR="00894070" w:rsidRDefault="009B7AFD">
      <w:pPr>
        <w:pStyle w:val="ListParagraph"/>
        <w:numPr>
          <w:ilvl w:val="1"/>
          <w:numId w:val="191"/>
        </w:numPr>
        <w:tabs>
          <w:tab w:val="left" w:pos="2481"/>
          <w:tab w:val="left" w:pos="2482"/>
        </w:tabs>
        <w:spacing w:before="122" w:line="247" w:lineRule="auto"/>
        <w:ind w:left="2481" w:right="1637" w:hanging="674"/>
        <w:rPr>
          <w:rFonts w:ascii="Trebuchet MS"/>
          <w:sz w:val="20"/>
        </w:rPr>
      </w:pPr>
      <w:r>
        <w:rPr>
          <w:rFonts w:ascii="Trebuchet MS"/>
          <w:color w:val="231F20"/>
          <w:w w:val="105"/>
          <w:sz w:val="20"/>
        </w:rPr>
        <w:t>funding</w:t>
      </w:r>
      <w:r>
        <w:rPr>
          <w:rFonts w:ascii="Trebuchet MS"/>
          <w:color w:val="231F20"/>
          <w:spacing w:val="-20"/>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DSCV</w:t>
      </w:r>
      <w:r>
        <w:rPr>
          <w:rFonts w:ascii="Trebuchet MS"/>
          <w:color w:val="231F20"/>
          <w:spacing w:val="-19"/>
          <w:w w:val="105"/>
          <w:sz w:val="20"/>
        </w:rPr>
        <w:t xml:space="preserve"> </w:t>
      </w:r>
      <w:r>
        <w:rPr>
          <w:rFonts w:ascii="Trebuchet MS"/>
          <w:color w:val="231F20"/>
          <w:w w:val="105"/>
          <w:sz w:val="20"/>
        </w:rPr>
        <w:t>police</w:t>
      </w:r>
      <w:r>
        <w:rPr>
          <w:rFonts w:ascii="Trebuchet MS"/>
          <w:color w:val="231F20"/>
          <w:spacing w:val="-19"/>
          <w:w w:val="105"/>
          <w:sz w:val="20"/>
        </w:rPr>
        <w:t xml:space="preserve"> </w:t>
      </w:r>
      <w:r>
        <w:rPr>
          <w:rFonts w:ascii="Trebuchet MS"/>
          <w:color w:val="231F20"/>
          <w:spacing w:val="-3"/>
          <w:w w:val="105"/>
          <w:sz w:val="20"/>
        </w:rPr>
        <w:t>referral</w:t>
      </w:r>
      <w:r>
        <w:rPr>
          <w:rFonts w:ascii="Trebuchet MS"/>
          <w:color w:val="231F20"/>
          <w:spacing w:val="-19"/>
          <w:w w:val="105"/>
          <w:sz w:val="20"/>
        </w:rPr>
        <w:t xml:space="preserve"> </w:t>
      </w:r>
      <w:r>
        <w:rPr>
          <w:rFonts w:ascii="Trebuchet MS"/>
          <w:color w:val="231F20"/>
          <w:w w:val="105"/>
          <w:sz w:val="20"/>
        </w:rPr>
        <w:t>program</w:t>
      </w:r>
      <w:r>
        <w:rPr>
          <w:rFonts w:ascii="Trebuchet MS"/>
          <w:color w:val="231F20"/>
          <w:spacing w:val="-19"/>
          <w:w w:val="105"/>
          <w:sz w:val="20"/>
        </w:rPr>
        <w:t xml:space="preserve"> </w:t>
      </w:r>
      <w:r>
        <w:rPr>
          <w:rFonts w:ascii="Trebuchet MS"/>
          <w:color w:val="231F20"/>
          <w:w w:val="105"/>
          <w:sz w:val="20"/>
        </w:rPr>
        <w:t>to</w:t>
      </w:r>
      <w:r>
        <w:rPr>
          <w:rFonts w:ascii="Trebuchet MS"/>
          <w:color w:val="231F20"/>
          <w:spacing w:val="-19"/>
          <w:w w:val="105"/>
          <w:sz w:val="20"/>
        </w:rPr>
        <w:t xml:space="preserve"> </w:t>
      </w:r>
      <w:r>
        <w:rPr>
          <w:rFonts w:ascii="Trebuchet MS"/>
          <w:color w:val="231F20"/>
          <w:w w:val="105"/>
          <w:sz w:val="20"/>
        </w:rPr>
        <w:t>re-establish</w:t>
      </w:r>
      <w:r>
        <w:rPr>
          <w:rFonts w:ascii="Trebuchet MS"/>
          <w:color w:val="231F20"/>
          <w:spacing w:val="-19"/>
          <w:w w:val="105"/>
          <w:sz w:val="20"/>
        </w:rPr>
        <w:t xml:space="preserve"> </w:t>
      </w:r>
      <w:r>
        <w:rPr>
          <w:rFonts w:ascii="Trebuchet MS"/>
          <w:color w:val="231F20"/>
          <w:w w:val="105"/>
          <w:sz w:val="20"/>
        </w:rPr>
        <w:t>referrals</w:t>
      </w:r>
      <w:r>
        <w:rPr>
          <w:rFonts w:ascii="Trebuchet MS"/>
          <w:color w:val="231F20"/>
          <w:spacing w:val="-19"/>
          <w:w w:val="105"/>
          <w:sz w:val="20"/>
        </w:rPr>
        <w:t xml:space="preserve"> </w:t>
      </w:r>
      <w:r>
        <w:rPr>
          <w:rFonts w:ascii="Trebuchet MS"/>
          <w:color w:val="231F20"/>
          <w:spacing w:val="-3"/>
          <w:w w:val="105"/>
          <w:sz w:val="20"/>
        </w:rPr>
        <w:t xml:space="preserve">directly </w:t>
      </w:r>
      <w:r>
        <w:rPr>
          <w:rFonts w:ascii="Trebuchet MS"/>
          <w:color w:val="231F20"/>
          <w:w w:val="105"/>
          <w:sz w:val="20"/>
        </w:rPr>
        <w:t>from</w:t>
      </w:r>
      <w:r>
        <w:rPr>
          <w:rFonts w:ascii="Trebuchet MS"/>
          <w:color w:val="231F20"/>
          <w:spacing w:val="-18"/>
          <w:w w:val="105"/>
          <w:sz w:val="20"/>
        </w:rPr>
        <w:t xml:space="preserve"> </w:t>
      </w:r>
      <w:r>
        <w:rPr>
          <w:rFonts w:ascii="Trebuchet MS"/>
          <w:color w:val="231F20"/>
          <w:w w:val="105"/>
          <w:sz w:val="20"/>
        </w:rPr>
        <w:t>police</w:t>
      </w:r>
    </w:p>
    <w:p w14:paraId="7CB233EF" w14:textId="77777777" w:rsidR="00894070" w:rsidRDefault="009B7AFD">
      <w:pPr>
        <w:pStyle w:val="ListParagraph"/>
        <w:numPr>
          <w:ilvl w:val="1"/>
          <w:numId w:val="191"/>
        </w:numPr>
        <w:tabs>
          <w:tab w:val="left" w:pos="2481"/>
          <w:tab w:val="left" w:pos="2482"/>
        </w:tabs>
        <w:spacing w:before="121" w:line="247" w:lineRule="auto"/>
        <w:ind w:left="2481" w:right="1610" w:hanging="674"/>
        <w:rPr>
          <w:rFonts w:ascii="Trebuchet MS"/>
          <w:sz w:val="20"/>
        </w:rPr>
      </w:pPr>
      <w:r>
        <w:rPr>
          <w:rFonts w:ascii="Trebuchet MS"/>
          <w:color w:val="231F20"/>
          <w:w w:val="105"/>
          <w:sz w:val="20"/>
        </w:rPr>
        <w:t xml:space="preserve">funding DSCV to increase Dispute Assessment Officer </w:t>
      </w:r>
      <w:proofErr w:type="gramStart"/>
      <w:r>
        <w:rPr>
          <w:rFonts w:ascii="Trebuchet MS"/>
          <w:color w:val="231F20"/>
          <w:w w:val="105"/>
          <w:sz w:val="20"/>
        </w:rPr>
        <w:t>attendance, and</w:t>
      </w:r>
      <w:proofErr w:type="gramEnd"/>
      <w:r>
        <w:rPr>
          <w:rFonts w:ascii="Trebuchet MS"/>
          <w:color w:val="231F20"/>
          <w:w w:val="105"/>
          <w:sz w:val="20"/>
        </w:rPr>
        <w:t xml:space="preserve"> ensuring</w:t>
      </w:r>
      <w:r>
        <w:rPr>
          <w:rFonts w:ascii="Trebuchet MS"/>
          <w:color w:val="231F20"/>
          <w:spacing w:val="-12"/>
          <w:w w:val="105"/>
          <w:sz w:val="20"/>
        </w:rPr>
        <w:t xml:space="preserve"> </w:t>
      </w:r>
      <w:r>
        <w:rPr>
          <w:rFonts w:ascii="Trebuchet MS"/>
          <w:color w:val="231F20"/>
          <w:w w:val="105"/>
          <w:sz w:val="20"/>
        </w:rPr>
        <w:t>that</w:t>
      </w:r>
      <w:r>
        <w:rPr>
          <w:rFonts w:ascii="Trebuchet MS"/>
          <w:color w:val="231F20"/>
          <w:spacing w:val="-12"/>
          <w:w w:val="105"/>
          <w:sz w:val="20"/>
        </w:rPr>
        <w:t xml:space="preserve"> </w:t>
      </w:r>
      <w:r>
        <w:rPr>
          <w:rFonts w:ascii="Trebuchet MS"/>
          <w:color w:val="231F20"/>
          <w:w w:val="105"/>
          <w:sz w:val="20"/>
        </w:rPr>
        <w:t>as</w:t>
      </w:r>
      <w:r>
        <w:rPr>
          <w:rFonts w:ascii="Trebuchet MS"/>
          <w:color w:val="231F20"/>
          <w:spacing w:val="-12"/>
          <w:w w:val="105"/>
          <w:sz w:val="20"/>
        </w:rPr>
        <w:t xml:space="preserve"> </w:t>
      </w:r>
      <w:r>
        <w:rPr>
          <w:rFonts w:ascii="Trebuchet MS"/>
          <w:color w:val="231F20"/>
          <w:spacing w:val="-3"/>
          <w:w w:val="105"/>
          <w:sz w:val="20"/>
        </w:rPr>
        <w:t>many</w:t>
      </w:r>
      <w:r>
        <w:rPr>
          <w:rFonts w:ascii="Trebuchet MS"/>
          <w:color w:val="231F20"/>
          <w:spacing w:val="-12"/>
          <w:w w:val="105"/>
          <w:sz w:val="20"/>
        </w:rPr>
        <w:t xml:space="preserve"> </w:t>
      </w:r>
      <w:r>
        <w:rPr>
          <w:rFonts w:ascii="Trebuchet MS"/>
          <w:color w:val="231F20"/>
          <w:w w:val="105"/>
          <w:sz w:val="20"/>
        </w:rPr>
        <w:t>matters</w:t>
      </w:r>
      <w:r>
        <w:rPr>
          <w:rFonts w:ascii="Trebuchet MS"/>
          <w:color w:val="231F20"/>
          <w:spacing w:val="-12"/>
          <w:w w:val="105"/>
          <w:sz w:val="20"/>
        </w:rPr>
        <w:t xml:space="preserve"> </w:t>
      </w:r>
      <w:r>
        <w:rPr>
          <w:rFonts w:ascii="Trebuchet MS"/>
          <w:color w:val="231F20"/>
          <w:w w:val="105"/>
          <w:sz w:val="20"/>
        </w:rPr>
        <w:t>as</w:t>
      </w:r>
      <w:r>
        <w:rPr>
          <w:rFonts w:ascii="Trebuchet MS"/>
          <w:color w:val="231F20"/>
          <w:spacing w:val="-12"/>
          <w:w w:val="105"/>
          <w:sz w:val="20"/>
        </w:rPr>
        <w:t xml:space="preserve"> </w:t>
      </w:r>
      <w:r>
        <w:rPr>
          <w:rFonts w:ascii="Trebuchet MS"/>
          <w:color w:val="231F20"/>
          <w:w w:val="105"/>
          <w:sz w:val="20"/>
        </w:rPr>
        <w:t>possible</w:t>
      </w:r>
      <w:r>
        <w:rPr>
          <w:rFonts w:ascii="Trebuchet MS"/>
          <w:color w:val="231F20"/>
          <w:spacing w:val="-12"/>
          <w:w w:val="105"/>
          <w:sz w:val="20"/>
        </w:rPr>
        <w:t xml:space="preserve"> </w:t>
      </w:r>
      <w:r>
        <w:rPr>
          <w:rFonts w:ascii="Trebuchet MS"/>
          <w:color w:val="231F20"/>
          <w:w w:val="105"/>
          <w:sz w:val="20"/>
        </w:rPr>
        <w:t>and</w:t>
      </w:r>
      <w:r>
        <w:rPr>
          <w:rFonts w:ascii="Trebuchet MS"/>
          <w:color w:val="231F20"/>
          <w:spacing w:val="-11"/>
          <w:w w:val="105"/>
          <w:sz w:val="20"/>
        </w:rPr>
        <w:t xml:space="preserve"> </w:t>
      </w:r>
      <w:r>
        <w:rPr>
          <w:rFonts w:ascii="Trebuchet MS"/>
          <w:color w:val="231F20"/>
          <w:w w:val="105"/>
          <w:sz w:val="20"/>
        </w:rPr>
        <w:t>appropriate</w:t>
      </w:r>
      <w:r>
        <w:rPr>
          <w:rFonts w:ascii="Trebuchet MS"/>
          <w:color w:val="231F20"/>
          <w:spacing w:val="-12"/>
          <w:w w:val="105"/>
          <w:sz w:val="20"/>
        </w:rPr>
        <w:t xml:space="preserve"> </w:t>
      </w:r>
      <w:r>
        <w:rPr>
          <w:rFonts w:ascii="Trebuchet MS"/>
          <w:color w:val="231F20"/>
          <w:spacing w:val="-4"/>
          <w:w w:val="105"/>
          <w:sz w:val="20"/>
        </w:rPr>
        <w:t>have</w:t>
      </w:r>
      <w:r>
        <w:rPr>
          <w:rFonts w:ascii="Trebuchet MS"/>
          <w:color w:val="231F20"/>
          <w:spacing w:val="-12"/>
          <w:w w:val="105"/>
          <w:sz w:val="20"/>
        </w:rPr>
        <w:t xml:space="preserve"> </w:t>
      </w:r>
      <w:r>
        <w:rPr>
          <w:rFonts w:ascii="Trebuchet MS"/>
          <w:color w:val="231F20"/>
          <w:w w:val="105"/>
          <w:sz w:val="20"/>
        </w:rPr>
        <w:t>access</w:t>
      </w:r>
      <w:r>
        <w:rPr>
          <w:rFonts w:ascii="Trebuchet MS"/>
          <w:color w:val="231F20"/>
          <w:spacing w:val="-12"/>
          <w:w w:val="105"/>
          <w:sz w:val="20"/>
        </w:rPr>
        <w:t xml:space="preserve"> </w:t>
      </w:r>
      <w:r>
        <w:rPr>
          <w:rFonts w:ascii="Trebuchet MS"/>
          <w:color w:val="231F20"/>
          <w:w w:val="105"/>
          <w:sz w:val="20"/>
        </w:rPr>
        <w:t xml:space="preserve">to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m</w:t>
      </w:r>
      <w:r>
        <w:rPr>
          <w:rFonts w:ascii="Trebuchet MS"/>
          <w:color w:val="231F20"/>
          <w:w w:val="108"/>
          <w:sz w:val="20"/>
        </w:rPr>
        <w:t>e</w:t>
      </w:r>
      <w:r>
        <w:rPr>
          <w:rFonts w:ascii="Trebuchet MS"/>
          <w:color w:val="231F20"/>
          <w:spacing w:val="-1"/>
          <w:w w:val="112"/>
          <w:sz w:val="20"/>
        </w:rPr>
        <w:t>d</w:t>
      </w:r>
      <w:r>
        <w:rPr>
          <w:rFonts w:ascii="Trebuchet MS"/>
          <w:color w:val="231F20"/>
          <w:spacing w:val="-1"/>
          <w:w w:val="80"/>
          <w:sz w:val="20"/>
        </w:rPr>
        <w:t>i</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1"/>
          <w:w w:val="111"/>
          <w:sz w:val="20"/>
        </w:rPr>
        <w:t>o</w:t>
      </w:r>
      <w:r>
        <w:rPr>
          <w:rFonts w:ascii="Trebuchet MS"/>
          <w:color w:val="231F20"/>
          <w:spacing w:val="-2"/>
          <w:w w:val="124"/>
          <w:sz w:val="20"/>
        </w:rPr>
        <w:t>g</w:t>
      </w:r>
      <w:r>
        <w:rPr>
          <w:rFonts w:ascii="Trebuchet MS"/>
          <w:color w:val="231F20"/>
          <w:spacing w:val="-2"/>
          <w:w w:val="93"/>
          <w:sz w:val="20"/>
        </w:rPr>
        <w:t>r</w:t>
      </w:r>
      <w:r>
        <w:rPr>
          <w:rFonts w:ascii="Trebuchet MS"/>
          <w:color w:val="231F20"/>
          <w:spacing w:val="-2"/>
          <w:w w:val="105"/>
          <w:sz w:val="20"/>
        </w:rPr>
        <w:t>a</w:t>
      </w:r>
      <w:r>
        <w:rPr>
          <w:rFonts w:ascii="Trebuchet MS"/>
          <w:color w:val="231F20"/>
          <w:spacing w:val="-1"/>
          <w:w w:val="111"/>
          <w:sz w:val="20"/>
        </w:rPr>
        <w:t>m</w:t>
      </w:r>
      <w:r>
        <w:rPr>
          <w:rFonts w:ascii="Trebuchet MS"/>
          <w:color w:val="231F20"/>
          <w:w w:val="57"/>
          <w:sz w:val="20"/>
        </w:rPr>
        <w:t>,</w:t>
      </w:r>
      <w:r>
        <w:rPr>
          <w:rFonts w:ascii="Trebuchet MS"/>
          <w:color w:val="231F20"/>
          <w:spacing w:val="-14"/>
          <w:sz w:val="20"/>
        </w:rPr>
        <w:t xml:space="preserve"> </w:t>
      </w:r>
      <w:r>
        <w:rPr>
          <w:rFonts w:ascii="Trebuchet MS"/>
          <w:color w:val="231F20"/>
          <w:spacing w:val="-2"/>
          <w:w w:val="110"/>
          <w:sz w:val="20"/>
        </w:rPr>
        <w:t>w</w:t>
      </w:r>
      <w:r>
        <w:rPr>
          <w:rFonts w:ascii="Trebuchet MS"/>
          <w:color w:val="231F20"/>
          <w:spacing w:val="-3"/>
          <w:w w:val="80"/>
          <w:sz w:val="20"/>
        </w:rPr>
        <w:t>i</w:t>
      </w:r>
      <w:r>
        <w:rPr>
          <w:rFonts w:ascii="Trebuchet MS"/>
          <w:color w:val="231F20"/>
          <w:spacing w:val="-2"/>
          <w:w w:val="88"/>
          <w:sz w:val="20"/>
        </w:rPr>
        <w:t>t</w:t>
      </w:r>
      <w:r>
        <w:rPr>
          <w:rFonts w:ascii="Trebuchet MS"/>
          <w:color w:val="231F20"/>
          <w:w w:val="107"/>
          <w:sz w:val="20"/>
        </w:rPr>
        <w:t>h</w:t>
      </w:r>
      <w:r>
        <w:rPr>
          <w:rFonts w:ascii="Trebuchet MS"/>
          <w:color w:val="231F20"/>
          <w:spacing w:val="-14"/>
          <w:sz w:val="20"/>
        </w:rPr>
        <w:t xml:space="preserve"> </w:t>
      </w:r>
      <w:r>
        <w:rPr>
          <w:rFonts w:ascii="Trebuchet MS"/>
          <w:color w:val="231F20"/>
          <w:w w:val="105"/>
          <w:sz w:val="20"/>
        </w:rPr>
        <w:t>a</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spacing w:val="-2"/>
          <w:w w:val="110"/>
          <w:sz w:val="20"/>
        </w:rPr>
        <w:t>c</w:t>
      </w:r>
      <w:r>
        <w:rPr>
          <w:rFonts w:ascii="Trebuchet MS"/>
          <w:color w:val="231F20"/>
          <w:spacing w:val="-1"/>
          <w:w w:val="110"/>
          <w:sz w:val="20"/>
        </w:rPr>
        <w:t>u</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107"/>
          <w:sz w:val="20"/>
        </w:rPr>
        <w:t xml:space="preserve">n </w:t>
      </w:r>
      <w:r>
        <w:rPr>
          <w:rFonts w:ascii="Trebuchet MS"/>
          <w:color w:val="231F20"/>
          <w:spacing w:val="-1"/>
          <w:w w:val="108"/>
          <w:sz w:val="20"/>
        </w:rPr>
        <w:t>e</w:t>
      </w:r>
      <w:r>
        <w:rPr>
          <w:rFonts w:ascii="Trebuchet MS"/>
          <w:color w:val="231F20"/>
          <w:spacing w:val="-2"/>
          <w:w w:val="107"/>
          <w:sz w:val="20"/>
        </w:rPr>
        <w:t>n</w:t>
      </w:r>
      <w:r>
        <w:rPr>
          <w:rFonts w:ascii="Trebuchet MS"/>
          <w:color w:val="231F20"/>
          <w:spacing w:val="-1"/>
          <w:w w:val="107"/>
          <w:sz w:val="20"/>
        </w:rPr>
        <w:t>h</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2"/>
          <w:w w:val="111"/>
          <w:sz w:val="20"/>
        </w:rPr>
        <w:t>c</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4"/>
          <w:w w:val="93"/>
          <w:sz w:val="20"/>
        </w:rPr>
        <w:t>r</w:t>
      </w:r>
      <w:r>
        <w:rPr>
          <w:rFonts w:ascii="Trebuchet MS"/>
          <w:color w:val="231F20"/>
          <w:spacing w:val="-3"/>
          <w:w w:val="111"/>
          <w:sz w:val="20"/>
        </w:rPr>
        <w:t>c</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93"/>
          <w:sz w:val="20"/>
        </w:rPr>
        <w:t>r</w:t>
      </w:r>
      <w:r>
        <w:rPr>
          <w:rFonts w:ascii="Trebuchet MS"/>
          <w:color w:val="231F20"/>
          <w:spacing w:val="-1"/>
          <w:w w:val="109"/>
          <w:sz w:val="20"/>
        </w:rPr>
        <w:t>u</w:t>
      </w:r>
      <w:r>
        <w:rPr>
          <w:rFonts w:ascii="Trebuchet MS"/>
          <w:color w:val="231F20"/>
          <w:spacing w:val="-2"/>
          <w:w w:val="93"/>
          <w:sz w:val="20"/>
        </w:rPr>
        <w:t>r</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spacing w:val="1"/>
          <w:w w:val="105"/>
          <w:sz w:val="20"/>
        </w:rPr>
        <w:t>a</w:t>
      </w:r>
      <w:r>
        <w:rPr>
          <w:rFonts w:ascii="Trebuchet MS"/>
          <w:color w:val="231F20"/>
          <w:w w:val="55"/>
          <w:sz w:val="20"/>
        </w:rPr>
        <w:t>.</w:t>
      </w:r>
    </w:p>
    <w:p w14:paraId="5B7F413F" w14:textId="77777777" w:rsidR="00894070" w:rsidRDefault="00894070">
      <w:pPr>
        <w:pStyle w:val="BodyText"/>
        <w:rPr>
          <w:rFonts w:ascii="Trebuchet MS"/>
        </w:rPr>
      </w:pPr>
    </w:p>
    <w:p w14:paraId="3BF6FD9B" w14:textId="77777777" w:rsidR="00894070" w:rsidRDefault="00894070">
      <w:pPr>
        <w:pStyle w:val="BodyText"/>
        <w:rPr>
          <w:rFonts w:ascii="Trebuchet MS"/>
        </w:rPr>
      </w:pPr>
    </w:p>
    <w:p w14:paraId="0D6BF67B" w14:textId="77777777" w:rsidR="00894070" w:rsidRDefault="00894070">
      <w:pPr>
        <w:pStyle w:val="BodyText"/>
        <w:spacing w:before="7"/>
        <w:rPr>
          <w:rFonts w:ascii="Trebuchet MS"/>
          <w:sz w:val="22"/>
        </w:rPr>
      </w:pPr>
    </w:p>
    <w:p w14:paraId="01DB97FE" w14:textId="77777777" w:rsidR="00894070" w:rsidRDefault="009B7AFD">
      <w:pPr>
        <w:pStyle w:val="Heading8"/>
        <w:spacing w:before="49"/>
        <w:ind w:right="151"/>
        <w:jc w:val="right"/>
      </w:pPr>
      <w:r>
        <w:rPr>
          <w:color w:val="EA5B50"/>
        </w:rPr>
        <w:t>xxiii</w:t>
      </w:r>
    </w:p>
    <w:p w14:paraId="60628D70" w14:textId="77777777" w:rsidR="00894070" w:rsidRDefault="00894070">
      <w:pPr>
        <w:jc w:val="right"/>
        <w:sectPr w:rsidR="00894070">
          <w:pgSz w:w="11910" w:h="16840"/>
          <w:pgMar w:top="840" w:right="420" w:bottom="280" w:left="580" w:header="0" w:footer="0" w:gutter="0"/>
          <w:cols w:space="720"/>
        </w:sectPr>
      </w:pPr>
    </w:p>
    <w:p w14:paraId="3FD8FB4C" w14:textId="77777777" w:rsidR="00894070" w:rsidRDefault="00894070">
      <w:pPr>
        <w:pStyle w:val="BodyText"/>
        <w:rPr>
          <w:b/>
        </w:rPr>
      </w:pPr>
    </w:p>
    <w:p w14:paraId="022D7BE3" w14:textId="77777777" w:rsidR="00894070" w:rsidRDefault="00894070">
      <w:pPr>
        <w:pStyle w:val="BodyText"/>
        <w:rPr>
          <w:b/>
        </w:rPr>
      </w:pPr>
    </w:p>
    <w:p w14:paraId="25F66ECF" w14:textId="77777777" w:rsidR="00894070" w:rsidRDefault="00894070">
      <w:pPr>
        <w:pStyle w:val="BodyText"/>
        <w:rPr>
          <w:b/>
        </w:rPr>
      </w:pPr>
    </w:p>
    <w:p w14:paraId="7A05CFA4" w14:textId="77777777" w:rsidR="00894070" w:rsidRDefault="00894070">
      <w:pPr>
        <w:pStyle w:val="BodyText"/>
        <w:spacing w:before="8"/>
        <w:rPr>
          <w:b/>
          <w:sz w:val="19"/>
        </w:rPr>
      </w:pPr>
    </w:p>
    <w:p w14:paraId="4BFBD29E" w14:textId="77777777" w:rsidR="00894070" w:rsidRDefault="009B7AFD">
      <w:pPr>
        <w:pStyle w:val="ListParagraph"/>
        <w:numPr>
          <w:ilvl w:val="0"/>
          <w:numId w:val="191"/>
        </w:numPr>
        <w:tabs>
          <w:tab w:val="left" w:pos="1801"/>
          <w:tab w:val="left" w:pos="1802"/>
        </w:tabs>
        <w:spacing w:line="247" w:lineRule="auto"/>
        <w:ind w:left="1801" w:right="1496"/>
        <w:rPr>
          <w:rFonts w:ascii="Trebuchet MS"/>
          <w:sz w:val="20"/>
        </w:rPr>
      </w:pPr>
      <w:r>
        <w:rPr>
          <w:rFonts w:ascii="Trebuchet MS"/>
          <w:color w:val="231F20"/>
          <w:w w:val="105"/>
          <w:sz w:val="20"/>
        </w:rPr>
        <w:t xml:space="preserve">In implementing Recommendations 1 and 3 of the </w:t>
      </w:r>
      <w:r>
        <w:rPr>
          <w:rFonts w:ascii="Trebuchet MS"/>
          <w:color w:val="231F20"/>
          <w:spacing w:val="-3"/>
          <w:w w:val="105"/>
          <w:sz w:val="20"/>
        </w:rPr>
        <w:t xml:space="preserve">interim </w:t>
      </w:r>
      <w:r>
        <w:rPr>
          <w:rFonts w:ascii="Trebuchet MS"/>
          <w:color w:val="231F20"/>
          <w:w w:val="105"/>
          <w:sz w:val="20"/>
        </w:rPr>
        <w:t>report, Victoria Police should</w:t>
      </w:r>
      <w:r>
        <w:rPr>
          <w:rFonts w:ascii="Trebuchet MS"/>
          <w:color w:val="231F20"/>
          <w:spacing w:val="-23"/>
          <w:w w:val="105"/>
          <w:sz w:val="20"/>
        </w:rPr>
        <w:t xml:space="preserve"> </w:t>
      </w:r>
      <w:r>
        <w:rPr>
          <w:rFonts w:ascii="Trebuchet MS"/>
          <w:color w:val="231F20"/>
          <w:w w:val="105"/>
          <w:sz w:val="20"/>
        </w:rPr>
        <w:t>ensure</w:t>
      </w:r>
      <w:r>
        <w:rPr>
          <w:rFonts w:ascii="Trebuchet MS"/>
          <w:color w:val="231F20"/>
          <w:spacing w:val="-22"/>
          <w:w w:val="105"/>
          <w:sz w:val="20"/>
        </w:rPr>
        <w:t xml:space="preserve"> </w:t>
      </w:r>
      <w:r>
        <w:rPr>
          <w:rFonts w:ascii="Trebuchet MS"/>
          <w:color w:val="231F20"/>
          <w:w w:val="105"/>
          <w:sz w:val="20"/>
        </w:rPr>
        <w:t>that</w:t>
      </w:r>
      <w:r>
        <w:rPr>
          <w:rFonts w:ascii="Trebuchet MS"/>
          <w:color w:val="231F20"/>
          <w:spacing w:val="-22"/>
          <w:w w:val="105"/>
          <w:sz w:val="20"/>
        </w:rPr>
        <w:t xml:space="preserve"> </w:t>
      </w:r>
      <w:r>
        <w:rPr>
          <w:rFonts w:ascii="Trebuchet MS"/>
          <w:color w:val="231F20"/>
          <w:w w:val="105"/>
          <w:sz w:val="20"/>
        </w:rPr>
        <w:t>appropriate</w:t>
      </w:r>
      <w:r>
        <w:rPr>
          <w:rFonts w:ascii="Trebuchet MS"/>
          <w:color w:val="231F20"/>
          <w:spacing w:val="-22"/>
          <w:w w:val="105"/>
          <w:sz w:val="20"/>
        </w:rPr>
        <w:t xml:space="preserve"> </w:t>
      </w:r>
      <w:r>
        <w:rPr>
          <w:rFonts w:ascii="Trebuchet MS"/>
          <w:color w:val="231F20"/>
          <w:w w:val="105"/>
          <w:sz w:val="20"/>
        </w:rPr>
        <w:t>referrals</w:t>
      </w:r>
      <w:r>
        <w:rPr>
          <w:rFonts w:ascii="Trebuchet MS"/>
          <w:color w:val="231F20"/>
          <w:spacing w:val="-22"/>
          <w:w w:val="105"/>
          <w:sz w:val="20"/>
        </w:rPr>
        <w:t xml:space="preserve"> </w:t>
      </w:r>
      <w:r>
        <w:rPr>
          <w:rFonts w:ascii="Trebuchet MS"/>
          <w:color w:val="231F20"/>
          <w:w w:val="105"/>
          <w:sz w:val="20"/>
        </w:rPr>
        <w:t>to</w:t>
      </w:r>
      <w:r>
        <w:rPr>
          <w:rFonts w:ascii="Trebuchet MS"/>
          <w:color w:val="231F20"/>
          <w:spacing w:val="-22"/>
          <w:w w:val="105"/>
          <w:sz w:val="20"/>
        </w:rPr>
        <w:t xml:space="preserve"> </w:t>
      </w:r>
      <w:r>
        <w:rPr>
          <w:rFonts w:ascii="Trebuchet MS"/>
          <w:color w:val="231F20"/>
          <w:w w:val="105"/>
          <w:sz w:val="20"/>
        </w:rPr>
        <w:t>mediation</w:t>
      </w:r>
      <w:r>
        <w:rPr>
          <w:rFonts w:ascii="Trebuchet MS"/>
          <w:color w:val="231F20"/>
          <w:spacing w:val="-22"/>
          <w:w w:val="105"/>
          <w:sz w:val="20"/>
        </w:rPr>
        <w:t xml:space="preserve"> </w:t>
      </w:r>
      <w:r>
        <w:rPr>
          <w:rFonts w:ascii="Trebuchet MS"/>
          <w:color w:val="231F20"/>
          <w:spacing w:val="-2"/>
          <w:w w:val="105"/>
          <w:sz w:val="20"/>
        </w:rPr>
        <w:t>are</w:t>
      </w:r>
      <w:r>
        <w:rPr>
          <w:rFonts w:ascii="Trebuchet MS"/>
          <w:color w:val="231F20"/>
          <w:spacing w:val="-22"/>
          <w:w w:val="105"/>
          <w:sz w:val="20"/>
        </w:rPr>
        <w:t xml:space="preserve"> </w:t>
      </w:r>
      <w:r>
        <w:rPr>
          <w:rFonts w:ascii="Trebuchet MS"/>
          <w:color w:val="231F20"/>
          <w:w w:val="105"/>
          <w:sz w:val="20"/>
        </w:rPr>
        <w:t>made</w:t>
      </w:r>
      <w:r>
        <w:rPr>
          <w:rFonts w:ascii="Trebuchet MS"/>
          <w:color w:val="231F20"/>
          <w:spacing w:val="-22"/>
          <w:w w:val="105"/>
          <w:sz w:val="20"/>
        </w:rPr>
        <w:t xml:space="preserve"> </w:t>
      </w:r>
      <w:r>
        <w:rPr>
          <w:rFonts w:ascii="Trebuchet MS"/>
          <w:color w:val="231F20"/>
          <w:w w:val="105"/>
          <w:sz w:val="20"/>
        </w:rPr>
        <w:t>for</w:t>
      </w:r>
      <w:r>
        <w:rPr>
          <w:rFonts w:ascii="Trebuchet MS"/>
          <w:color w:val="231F20"/>
          <w:spacing w:val="-22"/>
          <w:w w:val="105"/>
          <w:sz w:val="20"/>
        </w:rPr>
        <w:t xml:space="preserve"> </w:t>
      </w:r>
      <w:r>
        <w:rPr>
          <w:rFonts w:ascii="Trebuchet MS"/>
          <w:color w:val="231F20"/>
          <w:w w:val="105"/>
          <w:sz w:val="20"/>
        </w:rPr>
        <w:t>people</w:t>
      </w:r>
      <w:r>
        <w:rPr>
          <w:rFonts w:ascii="Trebuchet MS"/>
          <w:color w:val="231F20"/>
          <w:spacing w:val="-22"/>
          <w:w w:val="105"/>
          <w:sz w:val="20"/>
        </w:rPr>
        <w:t xml:space="preserve"> </w:t>
      </w:r>
      <w:r>
        <w:rPr>
          <w:rFonts w:ascii="Trebuchet MS"/>
          <w:color w:val="231F20"/>
          <w:w w:val="105"/>
          <w:sz w:val="20"/>
        </w:rPr>
        <w:t>who</w:t>
      </w:r>
      <w:r>
        <w:rPr>
          <w:rFonts w:ascii="Trebuchet MS"/>
          <w:color w:val="231F20"/>
          <w:spacing w:val="-22"/>
          <w:w w:val="105"/>
          <w:sz w:val="20"/>
        </w:rPr>
        <w:t xml:space="preserve"> </w:t>
      </w:r>
      <w:r>
        <w:rPr>
          <w:rFonts w:ascii="Trebuchet MS"/>
          <w:color w:val="231F20"/>
          <w:spacing w:val="-2"/>
          <w:w w:val="105"/>
          <w:sz w:val="20"/>
        </w:rPr>
        <w:t xml:space="preserve">are </w:t>
      </w:r>
      <w:r>
        <w:rPr>
          <w:rFonts w:ascii="Trebuchet MS"/>
          <w:color w:val="231F20"/>
          <w:spacing w:val="-1"/>
          <w:w w:val="107"/>
          <w:sz w:val="20"/>
        </w:rPr>
        <w:t>n</w:t>
      </w:r>
      <w:r>
        <w:rPr>
          <w:rFonts w:ascii="Trebuchet MS"/>
          <w:color w:val="231F20"/>
          <w:spacing w:val="-4"/>
          <w:w w:val="111"/>
          <w:sz w:val="20"/>
        </w:rPr>
        <w:t>o</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2"/>
          <w:w w:val="88"/>
          <w:sz w:val="20"/>
        </w:rPr>
        <w:t>t</w:t>
      </w:r>
      <w:r>
        <w:rPr>
          <w:rFonts w:ascii="Trebuchet MS"/>
          <w:color w:val="231F20"/>
          <w:spacing w:val="-2"/>
          <w:w w:val="80"/>
          <w:sz w:val="20"/>
        </w:rPr>
        <w:t>i</w:t>
      </w:r>
      <w:r>
        <w:rPr>
          <w:rFonts w:ascii="Trebuchet MS"/>
          <w:color w:val="231F20"/>
          <w:w w:val="111"/>
          <w:sz w:val="20"/>
        </w:rPr>
        <w:t>m</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3"/>
          <w:w w:val="93"/>
          <w:sz w:val="20"/>
        </w:rPr>
        <w:t>r</w:t>
      </w:r>
      <w:r>
        <w:rPr>
          <w:rFonts w:ascii="Trebuchet MS"/>
          <w:color w:val="231F20"/>
          <w:spacing w:val="-2"/>
          <w:w w:val="109"/>
          <w:sz w:val="20"/>
        </w:rPr>
        <w:t>v</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11"/>
          <w:sz w:val="20"/>
        </w:rPr>
        <w:t>o</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p w14:paraId="16CBE3F9" w14:textId="77777777" w:rsidR="00894070" w:rsidRDefault="009B7AFD">
      <w:pPr>
        <w:pStyle w:val="ListParagraph"/>
        <w:numPr>
          <w:ilvl w:val="0"/>
          <w:numId w:val="191"/>
        </w:numPr>
        <w:tabs>
          <w:tab w:val="left" w:pos="1801"/>
          <w:tab w:val="left" w:pos="1802"/>
        </w:tabs>
        <w:spacing w:before="88" w:line="247" w:lineRule="auto"/>
        <w:ind w:left="1801" w:right="1454"/>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amend section 123 of the </w:t>
      </w:r>
      <w:r>
        <w:rPr>
          <w:rFonts w:ascii="Arial"/>
          <w:i/>
          <w:color w:val="231F20"/>
          <w:w w:val="105"/>
          <w:sz w:val="20"/>
        </w:rPr>
        <w:t>Personal Safety Intervention</w:t>
      </w:r>
      <w:r>
        <w:rPr>
          <w:rFonts w:ascii="Arial"/>
          <w:i/>
          <w:color w:val="231F20"/>
          <w:spacing w:val="-35"/>
          <w:w w:val="105"/>
          <w:sz w:val="20"/>
        </w:rPr>
        <w:t xml:space="preserve"> </w:t>
      </w:r>
      <w:r>
        <w:rPr>
          <w:rFonts w:ascii="Arial"/>
          <w:i/>
          <w:color w:val="231F20"/>
          <w:w w:val="105"/>
          <w:sz w:val="20"/>
        </w:rPr>
        <w:t>Orders</w:t>
      </w:r>
      <w:r>
        <w:rPr>
          <w:rFonts w:ascii="Arial"/>
          <w:i/>
          <w:color w:val="231F20"/>
          <w:spacing w:val="-34"/>
          <w:w w:val="105"/>
          <w:sz w:val="20"/>
        </w:rPr>
        <w:t xml:space="preserve"> </w:t>
      </w:r>
      <w:r>
        <w:rPr>
          <w:rFonts w:ascii="Arial"/>
          <w:i/>
          <w:color w:val="231F20"/>
          <w:w w:val="105"/>
          <w:sz w:val="20"/>
        </w:rPr>
        <w:t>Act</w:t>
      </w:r>
      <w:r>
        <w:rPr>
          <w:rFonts w:ascii="Arial"/>
          <w:i/>
          <w:color w:val="231F20"/>
          <w:spacing w:val="-35"/>
          <w:w w:val="105"/>
          <w:sz w:val="20"/>
        </w:rPr>
        <w:t xml:space="preserve"> </w:t>
      </w:r>
      <w:r>
        <w:rPr>
          <w:rFonts w:ascii="Arial"/>
          <w:i/>
          <w:color w:val="231F20"/>
          <w:spacing w:val="-3"/>
          <w:w w:val="105"/>
          <w:sz w:val="20"/>
        </w:rPr>
        <w:t>2010</w:t>
      </w:r>
      <w:r>
        <w:rPr>
          <w:rFonts w:ascii="Arial"/>
          <w:i/>
          <w:color w:val="231F20"/>
          <w:spacing w:val="-34"/>
          <w:w w:val="105"/>
          <w:sz w:val="20"/>
        </w:rPr>
        <w:t xml:space="preserve"> </w:t>
      </w:r>
      <w:r>
        <w:rPr>
          <w:rFonts w:ascii="Trebuchet MS"/>
          <w:color w:val="231F20"/>
          <w:w w:val="105"/>
          <w:sz w:val="20"/>
        </w:rPr>
        <w:t>(Vic)</w:t>
      </w:r>
      <w:r>
        <w:rPr>
          <w:rFonts w:ascii="Trebuchet MS"/>
          <w:color w:val="231F20"/>
          <w:spacing w:val="-39"/>
          <w:w w:val="105"/>
          <w:sz w:val="20"/>
        </w:rPr>
        <w:t xml:space="preserve"> </w:t>
      </w:r>
      <w:r>
        <w:rPr>
          <w:rFonts w:ascii="Trebuchet MS"/>
          <w:color w:val="231F20"/>
          <w:w w:val="105"/>
          <w:sz w:val="20"/>
        </w:rPr>
        <w:t>to</w:t>
      </w:r>
      <w:r>
        <w:rPr>
          <w:rFonts w:ascii="Trebuchet MS"/>
          <w:color w:val="231F20"/>
          <w:spacing w:val="-38"/>
          <w:w w:val="105"/>
          <w:sz w:val="20"/>
        </w:rPr>
        <w:t xml:space="preserve"> </w:t>
      </w:r>
      <w:r>
        <w:rPr>
          <w:rFonts w:ascii="Trebuchet MS"/>
          <w:color w:val="231F20"/>
          <w:w w:val="105"/>
          <w:sz w:val="20"/>
        </w:rPr>
        <w:t>extend</w:t>
      </w:r>
      <w:r>
        <w:rPr>
          <w:rFonts w:ascii="Trebuchet MS"/>
          <w:color w:val="231F20"/>
          <w:spacing w:val="-39"/>
          <w:w w:val="105"/>
          <w:sz w:val="20"/>
        </w:rPr>
        <w:t xml:space="preserve"> </w:t>
      </w:r>
      <w:r>
        <w:rPr>
          <w:rFonts w:ascii="Trebuchet MS"/>
          <w:color w:val="231F20"/>
          <w:w w:val="105"/>
          <w:sz w:val="20"/>
        </w:rPr>
        <w:t>the</w:t>
      </w:r>
      <w:r>
        <w:rPr>
          <w:rFonts w:ascii="Trebuchet MS"/>
          <w:color w:val="231F20"/>
          <w:spacing w:val="-38"/>
          <w:w w:val="105"/>
          <w:sz w:val="20"/>
        </w:rPr>
        <w:t xml:space="preserve"> </w:t>
      </w:r>
      <w:r>
        <w:rPr>
          <w:rFonts w:ascii="Trebuchet MS"/>
          <w:color w:val="231F20"/>
          <w:w w:val="105"/>
          <w:sz w:val="20"/>
        </w:rPr>
        <w:t>prohibition</w:t>
      </w:r>
      <w:r>
        <w:rPr>
          <w:rFonts w:ascii="Trebuchet MS"/>
          <w:color w:val="231F20"/>
          <w:spacing w:val="-39"/>
          <w:w w:val="105"/>
          <w:sz w:val="20"/>
        </w:rPr>
        <w:t xml:space="preserve"> </w:t>
      </w:r>
      <w:r>
        <w:rPr>
          <w:rFonts w:ascii="Trebuchet MS"/>
          <w:color w:val="231F20"/>
          <w:w w:val="105"/>
          <w:sz w:val="20"/>
        </w:rPr>
        <w:t>on</w:t>
      </w:r>
      <w:r>
        <w:rPr>
          <w:rFonts w:ascii="Trebuchet MS"/>
          <w:color w:val="231F20"/>
          <w:spacing w:val="-38"/>
          <w:w w:val="105"/>
          <w:sz w:val="20"/>
        </w:rPr>
        <w:t xml:space="preserve"> </w:t>
      </w:r>
      <w:r>
        <w:rPr>
          <w:rFonts w:ascii="Trebuchet MS"/>
          <w:color w:val="231F20"/>
          <w:w w:val="105"/>
          <w:sz w:val="20"/>
        </w:rPr>
        <w:t>publication</w:t>
      </w:r>
      <w:r>
        <w:rPr>
          <w:rFonts w:ascii="Trebuchet MS"/>
          <w:color w:val="231F20"/>
          <w:spacing w:val="-39"/>
          <w:w w:val="105"/>
          <w:sz w:val="20"/>
        </w:rPr>
        <w:t xml:space="preserve"> </w:t>
      </w:r>
      <w:r>
        <w:rPr>
          <w:rFonts w:ascii="Trebuchet MS"/>
          <w:color w:val="231F20"/>
          <w:w w:val="105"/>
          <w:sz w:val="20"/>
        </w:rPr>
        <w:t>to</w:t>
      </w:r>
      <w:r>
        <w:rPr>
          <w:rFonts w:ascii="Trebuchet MS"/>
          <w:color w:val="231F20"/>
          <w:spacing w:val="-38"/>
          <w:w w:val="105"/>
          <w:sz w:val="20"/>
        </w:rPr>
        <w:t xml:space="preserve"> </w:t>
      </w:r>
      <w:r>
        <w:rPr>
          <w:rFonts w:ascii="Trebuchet MS"/>
          <w:color w:val="231F20"/>
          <w:w w:val="105"/>
          <w:sz w:val="20"/>
        </w:rPr>
        <w:t xml:space="preserve">matters </w:t>
      </w:r>
      <w:r>
        <w:rPr>
          <w:rFonts w:ascii="Trebuchet MS"/>
          <w:color w:val="231F20"/>
          <w:spacing w:val="-2"/>
          <w:w w:val="98"/>
          <w:sz w:val="20"/>
        </w:rPr>
        <w:t>i</w:t>
      </w:r>
      <w:r>
        <w:rPr>
          <w:rFonts w:ascii="Trebuchet MS"/>
          <w:color w:val="231F20"/>
          <w:spacing w:val="-6"/>
          <w:w w:val="98"/>
          <w:sz w:val="20"/>
        </w:rPr>
        <w:t>n</w:t>
      </w:r>
      <w:r>
        <w:rPr>
          <w:rFonts w:ascii="Trebuchet MS"/>
          <w:color w:val="231F20"/>
          <w:spacing w:val="-6"/>
          <w:w w:val="109"/>
          <w:sz w:val="20"/>
        </w:rPr>
        <w:t>v</w:t>
      </w:r>
      <w:r>
        <w:rPr>
          <w:rFonts w:ascii="Trebuchet MS"/>
          <w:color w:val="231F20"/>
          <w:spacing w:val="-2"/>
          <w:w w:val="111"/>
          <w:sz w:val="20"/>
        </w:rPr>
        <w:t>o</w:t>
      </w:r>
      <w:r>
        <w:rPr>
          <w:rFonts w:ascii="Trebuchet MS"/>
          <w:color w:val="231F20"/>
          <w:spacing w:val="-7"/>
          <w:w w:val="96"/>
          <w:sz w:val="20"/>
        </w:rPr>
        <w:t>l</w:t>
      </w:r>
      <w:r>
        <w:rPr>
          <w:rFonts w:ascii="Trebuchet MS"/>
          <w:color w:val="231F20"/>
          <w:spacing w:val="-2"/>
          <w:w w:val="109"/>
          <w:sz w:val="20"/>
        </w:rPr>
        <w:t>v</w:t>
      </w:r>
      <w:r>
        <w:rPr>
          <w:rFonts w:ascii="Trebuchet MS"/>
          <w:color w:val="231F20"/>
          <w:spacing w:val="-2"/>
          <w:w w:val="98"/>
          <w:sz w:val="20"/>
        </w:rPr>
        <w:t>i</w:t>
      </w:r>
      <w:r>
        <w:rPr>
          <w:rFonts w:ascii="Trebuchet MS"/>
          <w:color w:val="231F20"/>
          <w:spacing w:val="-1"/>
          <w:w w:val="98"/>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07"/>
          <w:sz w:val="20"/>
        </w:rPr>
        <w:t>adu</w:t>
      </w:r>
      <w:r>
        <w:rPr>
          <w:rFonts w:ascii="Trebuchet MS"/>
          <w:color w:val="231F20"/>
          <w:spacing w:val="-4"/>
          <w:w w:val="107"/>
          <w:sz w:val="20"/>
        </w:rPr>
        <w:t>l</w:t>
      </w:r>
      <w:r>
        <w:rPr>
          <w:rFonts w:ascii="Trebuchet MS"/>
          <w:color w:val="231F20"/>
          <w:spacing w:val="2"/>
          <w:w w:val="88"/>
          <w:sz w:val="20"/>
        </w:rPr>
        <w:t>t</w:t>
      </w:r>
      <w:r>
        <w:rPr>
          <w:rFonts w:ascii="Trebuchet MS"/>
          <w:color w:val="231F20"/>
          <w:spacing w:val="1"/>
          <w:w w:val="122"/>
          <w:sz w:val="20"/>
        </w:rPr>
        <w:t>s</w:t>
      </w:r>
      <w:r>
        <w:rPr>
          <w:rFonts w:ascii="Trebuchet MS"/>
          <w:color w:val="231F20"/>
          <w:w w:val="55"/>
          <w:sz w:val="20"/>
        </w:rPr>
        <w:t>.</w:t>
      </w:r>
    </w:p>
    <w:p w14:paraId="26F58281" w14:textId="77777777" w:rsidR="00894070" w:rsidRDefault="009B7AFD">
      <w:pPr>
        <w:pStyle w:val="ListParagraph"/>
        <w:numPr>
          <w:ilvl w:val="0"/>
          <w:numId w:val="191"/>
        </w:numPr>
        <w:tabs>
          <w:tab w:val="left" w:pos="1801"/>
          <w:tab w:val="left" w:pos="1802"/>
        </w:tabs>
        <w:spacing w:before="87" w:line="247" w:lineRule="auto"/>
        <w:ind w:left="1801" w:right="1512"/>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include a </w:t>
      </w:r>
      <w:r>
        <w:rPr>
          <w:rFonts w:ascii="Trebuchet MS"/>
          <w:color w:val="231F20"/>
          <w:spacing w:val="-2"/>
          <w:w w:val="105"/>
          <w:sz w:val="20"/>
        </w:rPr>
        <w:t xml:space="preserve">provision </w:t>
      </w:r>
      <w:r>
        <w:rPr>
          <w:rFonts w:ascii="Trebuchet MS"/>
          <w:color w:val="231F20"/>
          <w:w w:val="105"/>
          <w:sz w:val="20"/>
        </w:rPr>
        <w:t xml:space="preserve">in the </w:t>
      </w:r>
      <w:r>
        <w:rPr>
          <w:rFonts w:ascii="Arial"/>
          <w:i/>
          <w:color w:val="231F20"/>
          <w:w w:val="105"/>
          <w:sz w:val="20"/>
        </w:rPr>
        <w:t>Personal Safety Intervention</w:t>
      </w:r>
      <w:r>
        <w:rPr>
          <w:rFonts w:ascii="Arial"/>
          <w:i/>
          <w:color w:val="231F20"/>
          <w:spacing w:val="-31"/>
          <w:w w:val="105"/>
          <w:sz w:val="20"/>
        </w:rPr>
        <w:t xml:space="preserve"> </w:t>
      </w:r>
      <w:r>
        <w:rPr>
          <w:rFonts w:ascii="Arial"/>
          <w:i/>
          <w:color w:val="231F20"/>
          <w:w w:val="105"/>
          <w:sz w:val="20"/>
        </w:rPr>
        <w:t>Orders</w:t>
      </w:r>
      <w:r>
        <w:rPr>
          <w:rFonts w:ascii="Arial"/>
          <w:i/>
          <w:color w:val="231F20"/>
          <w:spacing w:val="-31"/>
          <w:w w:val="105"/>
          <w:sz w:val="20"/>
        </w:rPr>
        <w:t xml:space="preserve"> </w:t>
      </w:r>
      <w:r>
        <w:rPr>
          <w:rFonts w:ascii="Arial"/>
          <w:i/>
          <w:color w:val="231F20"/>
          <w:w w:val="105"/>
          <w:sz w:val="20"/>
        </w:rPr>
        <w:t>Act</w:t>
      </w:r>
      <w:r>
        <w:rPr>
          <w:rFonts w:ascii="Arial"/>
          <w:i/>
          <w:color w:val="231F20"/>
          <w:spacing w:val="-31"/>
          <w:w w:val="105"/>
          <w:sz w:val="20"/>
        </w:rPr>
        <w:t xml:space="preserve"> </w:t>
      </w:r>
      <w:r>
        <w:rPr>
          <w:rFonts w:ascii="Arial"/>
          <w:i/>
          <w:color w:val="231F20"/>
          <w:spacing w:val="-3"/>
          <w:w w:val="105"/>
          <w:sz w:val="20"/>
        </w:rPr>
        <w:t>2010</w:t>
      </w:r>
      <w:r>
        <w:rPr>
          <w:rFonts w:ascii="Arial"/>
          <w:i/>
          <w:color w:val="231F20"/>
          <w:spacing w:val="-30"/>
          <w:w w:val="105"/>
          <w:sz w:val="20"/>
        </w:rPr>
        <w:t xml:space="preserve"> </w:t>
      </w:r>
      <w:r>
        <w:rPr>
          <w:rFonts w:ascii="Trebuchet MS"/>
          <w:color w:val="231F20"/>
          <w:w w:val="105"/>
          <w:sz w:val="20"/>
        </w:rPr>
        <w:t>(Vic)</w:t>
      </w:r>
      <w:r>
        <w:rPr>
          <w:rFonts w:ascii="Trebuchet MS"/>
          <w:color w:val="231F20"/>
          <w:spacing w:val="-34"/>
          <w:w w:val="105"/>
          <w:sz w:val="20"/>
        </w:rPr>
        <w:t xml:space="preserve"> </w:t>
      </w:r>
      <w:r>
        <w:rPr>
          <w:rFonts w:ascii="Trebuchet MS"/>
          <w:color w:val="231F20"/>
          <w:w w:val="105"/>
          <w:sz w:val="20"/>
        </w:rPr>
        <w:t>to</w:t>
      </w:r>
      <w:r>
        <w:rPr>
          <w:rFonts w:ascii="Trebuchet MS"/>
          <w:color w:val="231F20"/>
          <w:spacing w:val="-35"/>
          <w:w w:val="105"/>
          <w:sz w:val="20"/>
        </w:rPr>
        <w:t xml:space="preserve"> </w:t>
      </w:r>
      <w:r>
        <w:rPr>
          <w:rFonts w:ascii="Trebuchet MS"/>
          <w:color w:val="231F20"/>
          <w:w w:val="105"/>
          <w:sz w:val="20"/>
        </w:rPr>
        <w:t>the</w:t>
      </w:r>
      <w:r>
        <w:rPr>
          <w:rFonts w:ascii="Trebuchet MS"/>
          <w:color w:val="231F20"/>
          <w:spacing w:val="-35"/>
          <w:w w:val="105"/>
          <w:sz w:val="20"/>
        </w:rPr>
        <w:t xml:space="preserve"> </w:t>
      </w:r>
      <w:r>
        <w:rPr>
          <w:rFonts w:ascii="Trebuchet MS"/>
          <w:color w:val="231F20"/>
          <w:w w:val="105"/>
          <w:sz w:val="20"/>
        </w:rPr>
        <w:t>effect</w:t>
      </w:r>
      <w:r>
        <w:rPr>
          <w:rFonts w:ascii="Trebuchet MS"/>
          <w:color w:val="231F20"/>
          <w:spacing w:val="-35"/>
          <w:w w:val="105"/>
          <w:sz w:val="20"/>
        </w:rPr>
        <w:t xml:space="preserve"> </w:t>
      </w:r>
      <w:r>
        <w:rPr>
          <w:rFonts w:ascii="Trebuchet MS"/>
          <w:color w:val="231F20"/>
          <w:w w:val="105"/>
          <w:sz w:val="20"/>
        </w:rPr>
        <w:t>of</w:t>
      </w:r>
      <w:r>
        <w:rPr>
          <w:rFonts w:ascii="Trebuchet MS"/>
          <w:color w:val="231F20"/>
          <w:spacing w:val="-34"/>
          <w:w w:val="105"/>
          <w:sz w:val="20"/>
        </w:rPr>
        <w:t xml:space="preserve"> </w:t>
      </w:r>
      <w:r>
        <w:rPr>
          <w:rFonts w:ascii="Trebuchet MS"/>
          <w:color w:val="231F20"/>
          <w:w w:val="105"/>
          <w:sz w:val="20"/>
        </w:rPr>
        <w:t>section</w:t>
      </w:r>
      <w:r>
        <w:rPr>
          <w:rFonts w:ascii="Trebuchet MS"/>
          <w:color w:val="231F20"/>
          <w:spacing w:val="-35"/>
          <w:w w:val="105"/>
          <w:sz w:val="20"/>
        </w:rPr>
        <w:t xml:space="preserve"> </w:t>
      </w:r>
      <w:r>
        <w:rPr>
          <w:rFonts w:ascii="Trebuchet MS"/>
          <w:color w:val="231F20"/>
          <w:w w:val="105"/>
          <w:sz w:val="20"/>
        </w:rPr>
        <w:t>169</w:t>
      </w:r>
      <w:r>
        <w:rPr>
          <w:rFonts w:ascii="Trebuchet MS"/>
          <w:color w:val="231F20"/>
          <w:spacing w:val="-35"/>
          <w:w w:val="105"/>
          <w:sz w:val="20"/>
        </w:rPr>
        <w:t xml:space="preserve"> </w:t>
      </w:r>
      <w:r>
        <w:rPr>
          <w:rFonts w:ascii="Trebuchet MS"/>
          <w:color w:val="231F20"/>
          <w:w w:val="105"/>
          <w:sz w:val="20"/>
        </w:rPr>
        <w:t>of</w:t>
      </w:r>
      <w:r>
        <w:rPr>
          <w:rFonts w:ascii="Trebuchet MS"/>
          <w:color w:val="231F20"/>
          <w:spacing w:val="-35"/>
          <w:w w:val="105"/>
          <w:sz w:val="20"/>
        </w:rPr>
        <w:t xml:space="preserve"> </w:t>
      </w:r>
      <w:r>
        <w:rPr>
          <w:rFonts w:ascii="Trebuchet MS"/>
          <w:color w:val="231F20"/>
          <w:w w:val="105"/>
          <w:sz w:val="20"/>
        </w:rPr>
        <w:t>the</w:t>
      </w:r>
      <w:r>
        <w:rPr>
          <w:rFonts w:ascii="Trebuchet MS"/>
          <w:color w:val="231F20"/>
          <w:spacing w:val="-34"/>
          <w:w w:val="105"/>
          <w:sz w:val="20"/>
        </w:rPr>
        <w:t xml:space="preserve"> </w:t>
      </w:r>
      <w:r>
        <w:rPr>
          <w:rFonts w:ascii="Arial"/>
          <w:i/>
          <w:color w:val="231F20"/>
          <w:spacing w:val="-3"/>
          <w:w w:val="105"/>
          <w:sz w:val="20"/>
        </w:rPr>
        <w:t>Family</w:t>
      </w:r>
      <w:r>
        <w:rPr>
          <w:rFonts w:ascii="Arial"/>
          <w:i/>
          <w:color w:val="231F20"/>
          <w:spacing w:val="-31"/>
          <w:w w:val="105"/>
          <w:sz w:val="20"/>
        </w:rPr>
        <w:t xml:space="preserve"> </w:t>
      </w:r>
      <w:r>
        <w:rPr>
          <w:rFonts w:ascii="Arial"/>
          <w:i/>
          <w:color w:val="231F20"/>
          <w:w w:val="105"/>
          <w:sz w:val="20"/>
        </w:rPr>
        <w:t xml:space="preserve">Violence </w:t>
      </w:r>
      <w:r>
        <w:rPr>
          <w:rFonts w:ascii="Arial"/>
          <w:i/>
          <w:color w:val="231F20"/>
          <w:spacing w:val="-3"/>
          <w:w w:val="105"/>
          <w:sz w:val="20"/>
        </w:rPr>
        <w:t>Protection</w:t>
      </w:r>
      <w:r>
        <w:rPr>
          <w:rFonts w:ascii="Arial"/>
          <w:i/>
          <w:color w:val="231F20"/>
          <w:spacing w:val="-24"/>
          <w:w w:val="105"/>
          <w:sz w:val="20"/>
        </w:rPr>
        <w:t xml:space="preserve"> </w:t>
      </w:r>
      <w:r>
        <w:rPr>
          <w:rFonts w:ascii="Arial"/>
          <w:i/>
          <w:color w:val="231F20"/>
          <w:w w:val="105"/>
          <w:sz w:val="20"/>
        </w:rPr>
        <w:t>Act</w:t>
      </w:r>
      <w:r>
        <w:rPr>
          <w:rFonts w:ascii="Arial"/>
          <w:i/>
          <w:color w:val="231F20"/>
          <w:spacing w:val="-23"/>
          <w:w w:val="105"/>
          <w:sz w:val="20"/>
        </w:rPr>
        <w:t xml:space="preserve"> </w:t>
      </w:r>
      <w:r>
        <w:rPr>
          <w:rFonts w:ascii="Arial"/>
          <w:i/>
          <w:color w:val="231F20"/>
          <w:w w:val="105"/>
          <w:sz w:val="20"/>
        </w:rPr>
        <w:t>2008</w:t>
      </w:r>
      <w:r>
        <w:rPr>
          <w:rFonts w:ascii="Arial"/>
          <w:i/>
          <w:color w:val="231F20"/>
          <w:spacing w:val="-23"/>
          <w:w w:val="105"/>
          <w:sz w:val="20"/>
        </w:rPr>
        <w:t xml:space="preserve"> </w:t>
      </w:r>
      <w:r>
        <w:rPr>
          <w:rFonts w:ascii="Trebuchet MS"/>
          <w:color w:val="231F20"/>
          <w:w w:val="105"/>
          <w:sz w:val="20"/>
        </w:rPr>
        <w:t>(Vic)</w:t>
      </w:r>
      <w:r>
        <w:rPr>
          <w:rFonts w:ascii="Trebuchet MS"/>
          <w:color w:val="231F20"/>
          <w:spacing w:val="-27"/>
          <w:w w:val="105"/>
          <w:sz w:val="20"/>
        </w:rPr>
        <w:t xml:space="preserve"> </w:t>
      </w:r>
      <w:r>
        <w:rPr>
          <w:rFonts w:ascii="Trebuchet MS"/>
          <w:color w:val="231F20"/>
          <w:w w:val="105"/>
          <w:sz w:val="20"/>
        </w:rPr>
        <w:t>to</w:t>
      </w:r>
      <w:r>
        <w:rPr>
          <w:rFonts w:ascii="Trebuchet MS"/>
          <w:color w:val="231F20"/>
          <w:spacing w:val="-27"/>
          <w:w w:val="105"/>
          <w:sz w:val="20"/>
        </w:rPr>
        <w:t xml:space="preserve"> </w:t>
      </w:r>
      <w:r>
        <w:rPr>
          <w:rFonts w:ascii="Trebuchet MS"/>
          <w:color w:val="231F20"/>
          <w:spacing w:val="-3"/>
          <w:w w:val="105"/>
          <w:sz w:val="20"/>
        </w:rPr>
        <w:t>provide</w:t>
      </w:r>
      <w:r>
        <w:rPr>
          <w:rFonts w:ascii="Trebuchet MS"/>
          <w:color w:val="231F20"/>
          <w:spacing w:val="-26"/>
          <w:w w:val="105"/>
          <w:sz w:val="20"/>
        </w:rPr>
        <w:t xml:space="preserve"> </w:t>
      </w:r>
      <w:r>
        <w:rPr>
          <w:rFonts w:ascii="Trebuchet MS"/>
          <w:color w:val="231F20"/>
          <w:w w:val="105"/>
          <w:sz w:val="20"/>
        </w:rPr>
        <w:t>for</w:t>
      </w:r>
      <w:r>
        <w:rPr>
          <w:rFonts w:ascii="Trebuchet MS"/>
          <w:color w:val="231F20"/>
          <w:spacing w:val="-27"/>
          <w:w w:val="105"/>
          <w:sz w:val="20"/>
        </w:rPr>
        <w:t xml:space="preserve"> </w:t>
      </w:r>
      <w:r>
        <w:rPr>
          <w:rFonts w:ascii="Trebuchet MS"/>
          <w:color w:val="231F20"/>
          <w:w w:val="105"/>
          <w:sz w:val="20"/>
        </w:rPr>
        <w:t>judicial</w:t>
      </w:r>
      <w:r>
        <w:rPr>
          <w:rFonts w:ascii="Trebuchet MS"/>
          <w:color w:val="231F20"/>
          <w:spacing w:val="-27"/>
          <w:w w:val="105"/>
          <w:sz w:val="20"/>
        </w:rPr>
        <w:t xml:space="preserve"> </w:t>
      </w:r>
      <w:r>
        <w:rPr>
          <w:rFonts w:ascii="Trebuchet MS"/>
          <w:color w:val="231F20"/>
          <w:w w:val="105"/>
          <w:sz w:val="20"/>
        </w:rPr>
        <w:t>discretion</w:t>
      </w:r>
      <w:r>
        <w:rPr>
          <w:rFonts w:ascii="Trebuchet MS"/>
          <w:color w:val="231F20"/>
          <w:spacing w:val="-27"/>
          <w:w w:val="105"/>
          <w:sz w:val="20"/>
        </w:rPr>
        <w:t xml:space="preserve"> </w:t>
      </w:r>
      <w:r>
        <w:rPr>
          <w:rFonts w:ascii="Trebuchet MS"/>
          <w:color w:val="231F20"/>
          <w:w w:val="105"/>
          <w:sz w:val="20"/>
        </w:rPr>
        <w:t>to</w:t>
      </w:r>
      <w:r>
        <w:rPr>
          <w:rFonts w:ascii="Trebuchet MS"/>
          <w:color w:val="231F20"/>
          <w:spacing w:val="-26"/>
          <w:w w:val="105"/>
          <w:sz w:val="20"/>
        </w:rPr>
        <w:t xml:space="preserve"> </w:t>
      </w:r>
      <w:r>
        <w:rPr>
          <w:rFonts w:ascii="Trebuchet MS"/>
          <w:color w:val="231F20"/>
          <w:spacing w:val="-3"/>
          <w:w w:val="105"/>
          <w:sz w:val="20"/>
        </w:rPr>
        <w:t>make</w:t>
      </w:r>
      <w:r>
        <w:rPr>
          <w:rFonts w:ascii="Trebuchet MS"/>
          <w:color w:val="231F20"/>
          <w:spacing w:val="-27"/>
          <w:w w:val="105"/>
          <w:sz w:val="20"/>
        </w:rPr>
        <w:t xml:space="preserve"> </w:t>
      </w:r>
      <w:r>
        <w:rPr>
          <w:rFonts w:ascii="Trebuchet MS"/>
          <w:color w:val="231F20"/>
          <w:w w:val="105"/>
          <w:sz w:val="20"/>
        </w:rPr>
        <w:t>an</w:t>
      </w:r>
      <w:r>
        <w:rPr>
          <w:rFonts w:ascii="Trebuchet MS"/>
          <w:color w:val="231F20"/>
          <w:spacing w:val="-27"/>
          <w:w w:val="105"/>
          <w:sz w:val="20"/>
        </w:rPr>
        <w:t xml:space="preserve"> </w:t>
      </w:r>
      <w:r>
        <w:rPr>
          <w:rFonts w:ascii="Trebuchet MS"/>
          <w:color w:val="231F20"/>
          <w:w w:val="105"/>
          <w:sz w:val="20"/>
        </w:rPr>
        <w:t>order</w:t>
      </w:r>
      <w:r>
        <w:rPr>
          <w:rFonts w:ascii="Trebuchet MS"/>
          <w:color w:val="231F20"/>
          <w:spacing w:val="-27"/>
          <w:w w:val="105"/>
          <w:sz w:val="20"/>
        </w:rPr>
        <w:t xml:space="preserve"> </w:t>
      </w:r>
      <w:r>
        <w:rPr>
          <w:rFonts w:ascii="Trebuchet MS"/>
          <w:color w:val="231F20"/>
          <w:spacing w:val="-3"/>
          <w:w w:val="105"/>
          <w:sz w:val="20"/>
        </w:rPr>
        <w:t xml:space="preserve">allowing </w:t>
      </w:r>
      <w:r>
        <w:rPr>
          <w:rFonts w:ascii="Trebuchet MS"/>
          <w:color w:val="231F20"/>
          <w:spacing w:val="-1"/>
          <w:w w:val="111"/>
          <w:sz w:val="20"/>
        </w:rPr>
        <w:t>p</w:t>
      </w:r>
      <w:r>
        <w:rPr>
          <w:rFonts w:ascii="Trebuchet MS"/>
          <w:color w:val="231F20"/>
          <w:spacing w:val="-1"/>
          <w:w w:val="110"/>
          <w:sz w:val="20"/>
        </w:rPr>
        <w:t>u</w:t>
      </w:r>
      <w:r>
        <w:rPr>
          <w:rFonts w:ascii="Trebuchet MS"/>
          <w:color w:val="231F20"/>
          <w:spacing w:val="-2"/>
          <w:w w:val="110"/>
          <w:sz w:val="20"/>
        </w:rPr>
        <w:t>b</w:t>
      </w:r>
      <w:r>
        <w:rPr>
          <w:rFonts w:ascii="Trebuchet MS"/>
          <w:color w:val="231F20"/>
          <w:w w:val="96"/>
          <w:sz w:val="20"/>
        </w:rPr>
        <w:t>l</w:t>
      </w:r>
      <w:r>
        <w:rPr>
          <w:rFonts w:ascii="Trebuchet MS"/>
          <w:color w:val="231F20"/>
          <w:spacing w:val="-1"/>
          <w:w w:val="80"/>
          <w:sz w:val="20"/>
        </w:rPr>
        <w:t>i</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110"/>
          <w:sz w:val="20"/>
        </w:rPr>
        <w:t>w</w:t>
      </w:r>
      <w:r>
        <w:rPr>
          <w:rFonts w:ascii="Trebuchet MS"/>
          <w:color w:val="231F20"/>
          <w:spacing w:val="-1"/>
          <w:w w:val="108"/>
          <w:sz w:val="20"/>
        </w:rPr>
        <w:t>he</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8"/>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06"/>
          <w:sz w:val="20"/>
        </w:rPr>
        <w:t>ou</w:t>
      </w:r>
      <w:r>
        <w:rPr>
          <w:rFonts w:ascii="Trebuchet MS"/>
          <w:color w:val="231F20"/>
          <w:spacing w:val="2"/>
          <w:w w:val="106"/>
          <w:sz w:val="20"/>
        </w:rPr>
        <w:t>r</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1"/>
          <w:w w:val="108"/>
          <w:sz w:val="20"/>
        </w:rPr>
        <w:t>e</w:t>
      </w:r>
      <w:r>
        <w:rPr>
          <w:rFonts w:ascii="Trebuchet MS"/>
          <w:color w:val="231F20"/>
          <w:w w:val="105"/>
          <w:sz w:val="20"/>
        </w:rPr>
        <w:t>a</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2"/>
          <w:w w:val="105"/>
          <w:sz w:val="20"/>
        </w:rPr>
        <w:t>a</w:t>
      </w:r>
      <w:r>
        <w:rPr>
          <w:rFonts w:ascii="Trebuchet MS"/>
          <w:color w:val="231F20"/>
          <w:spacing w:val="-2"/>
          <w:w w:val="111"/>
          <w:sz w:val="20"/>
        </w:rPr>
        <w:t>b</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07"/>
          <w:sz w:val="20"/>
        </w:rPr>
        <w:t>n</w:t>
      </w:r>
      <w:r>
        <w:rPr>
          <w:rFonts w:ascii="Trebuchet MS"/>
          <w:color w:val="231F20"/>
          <w:spacing w:val="-2"/>
          <w:w w:val="122"/>
          <w:sz w:val="20"/>
        </w:rPr>
        <w:t>s</w:t>
      </w:r>
      <w:r>
        <w:rPr>
          <w:rFonts w:ascii="Trebuchet MS"/>
          <w:color w:val="231F20"/>
          <w:spacing w:val="-1"/>
          <w:w w:val="101"/>
          <w:sz w:val="20"/>
        </w:rPr>
        <w:t>i</w:t>
      </w:r>
      <w:r>
        <w:rPr>
          <w:rFonts w:ascii="Trebuchet MS"/>
          <w:color w:val="231F20"/>
          <w:spacing w:val="-2"/>
          <w:w w:val="101"/>
          <w:sz w:val="20"/>
        </w:rPr>
        <w:t>d</w:t>
      </w:r>
      <w:r>
        <w:rPr>
          <w:rFonts w:ascii="Trebuchet MS"/>
          <w:color w:val="231F20"/>
          <w:spacing w:val="-1"/>
          <w:w w:val="108"/>
          <w:sz w:val="20"/>
        </w:rPr>
        <w:t>er</w:t>
      </w:r>
      <w:r>
        <w:rPr>
          <w:rFonts w:ascii="Trebuchet MS"/>
          <w:color w:val="231F20"/>
          <w:w w:val="108"/>
          <w:sz w:val="20"/>
        </w:rPr>
        <w:t>s</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4"/>
          <w:w w:val="105"/>
          <w:sz w:val="20"/>
        </w:rPr>
        <w:t>a</w:t>
      </w:r>
      <w:r>
        <w:rPr>
          <w:rFonts w:ascii="Trebuchet MS"/>
          <w:color w:val="231F20"/>
          <w:w w:val="88"/>
          <w:sz w:val="20"/>
        </w:rPr>
        <w:t>t</w:t>
      </w:r>
      <w:r>
        <w:rPr>
          <w:rFonts w:ascii="Trebuchet MS"/>
          <w:color w:val="231F20"/>
          <w:spacing w:val="-14"/>
          <w:sz w:val="20"/>
        </w:rPr>
        <w:t xml:space="preserve"> </w:t>
      </w:r>
      <w:r>
        <w:rPr>
          <w:rFonts w:ascii="Trebuchet MS"/>
          <w:color w:val="231F20"/>
          <w:spacing w:val="-3"/>
          <w:w w:val="80"/>
          <w:sz w:val="20"/>
        </w:rPr>
        <w:t>i</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80"/>
          <w:sz w:val="20"/>
        </w:rPr>
        <w:t>i</w:t>
      </w:r>
      <w:r>
        <w:rPr>
          <w:rFonts w:ascii="Trebuchet MS"/>
          <w:color w:val="231F20"/>
          <w:spacing w:val="-3"/>
          <w:w w:val="122"/>
          <w:sz w:val="20"/>
        </w:rPr>
        <w:t>s</w:t>
      </w:r>
      <w:r>
        <w:rPr>
          <w:rFonts w:ascii="Trebuchet MS"/>
          <w:color w:val="231F20"/>
          <w:w w:val="54"/>
          <w:sz w:val="20"/>
        </w:rPr>
        <w:t>:</w:t>
      </w:r>
    </w:p>
    <w:p w14:paraId="339C476F" w14:textId="77777777" w:rsidR="00894070" w:rsidRDefault="009B7AFD">
      <w:pPr>
        <w:pStyle w:val="ListParagraph"/>
        <w:numPr>
          <w:ilvl w:val="1"/>
          <w:numId w:val="191"/>
        </w:numPr>
        <w:tabs>
          <w:tab w:val="left" w:pos="2481"/>
          <w:tab w:val="left" w:pos="2482"/>
        </w:tabs>
        <w:spacing w:before="88"/>
        <w:ind w:left="2481" w:hanging="674"/>
        <w:rPr>
          <w:rFonts w:ascii="Trebuchet MS"/>
          <w:sz w:val="20"/>
        </w:rPr>
      </w:pPr>
      <w:r>
        <w:rPr>
          <w:rFonts w:ascii="Trebuchet MS"/>
          <w:color w:val="231F20"/>
          <w:sz w:val="20"/>
        </w:rPr>
        <w:t>in the public</w:t>
      </w:r>
      <w:r>
        <w:rPr>
          <w:rFonts w:ascii="Trebuchet MS"/>
          <w:color w:val="231F20"/>
          <w:spacing w:val="-41"/>
          <w:sz w:val="20"/>
        </w:rPr>
        <w:t xml:space="preserve"> </w:t>
      </w:r>
      <w:r>
        <w:rPr>
          <w:rFonts w:ascii="Trebuchet MS"/>
          <w:color w:val="231F20"/>
          <w:spacing w:val="-3"/>
          <w:sz w:val="20"/>
        </w:rPr>
        <w:t>interest</w:t>
      </w:r>
    </w:p>
    <w:p w14:paraId="0D6D4C7D" w14:textId="77777777" w:rsidR="00894070" w:rsidRDefault="009B7AFD">
      <w:pPr>
        <w:pStyle w:val="ListParagraph"/>
        <w:numPr>
          <w:ilvl w:val="1"/>
          <w:numId w:val="191"/>
        </w:numPr>
        <w:tabs>
          <w:tab w:val="left" w:pos="2481"/>
          <w:tab w:val="left" w:pos="2482"/>
        </w:tabs>
        <w:spacing w:before="128"/>
        <w:ind w:left="2481" w:hanging="674"/>
        <w:rPr>
          <w:rFonts w:ascii="Trebuchet MS"/>
          <w:sz w:val="20"/>
        </w:rPr>
      </w:pPr>
      <w:r>
        <w:rPr>
          <w:rFonts w:ascii="Trebuchet MS"/>
          <w:color w:val="231F20"/>
          <w:spacing w:val="-2"/>
          <w:w w:val="64"/>
          <w:sz w:val="20"/>
        </w:rPr>
        <w:t>j</w:t>
      </w:r>
      <w:r>
        <w:rPr>
          <w:rFonts w:ascii="Trebuchet MS"/>
          <w:color w:val="231F20"/>
          <w:spacing w:val="-1"/>
          <w:w w:val="109"/>
          <w:sz w:val="20"/>
        </w:rPr>
        <w:t>u</w:t>
      </w:r>
      <w:r>
        <w:rPr>
          <w:rFonts w:ascii="Trebuchet MS"/>
          <w:color w:val="231F20"/>
          <w:spacing w:val="-1"/>
          <w:w w:val="122"/>
          <w:sz w:val="20"/>
        </w:rPr>
        <w:t>s</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2"/>
          <w:w w:val="80"/>
          <w:sz w:val="20"/>
        </w:rPr>
        <w:t>i</w:t>
      </w:r>
      <w:r>
        <w:rPr>
          <w:rFonts w:ascii="Trebuchet MS"/>
          <w:color w:val="231F20"/>
          <w:spacing w:val="-4"/>
          <w:w w:val="93"/>
          <w:sz w:val="20"/>
        </w:rPr>
        <w:t>r</w:t>
      </w:r>
      <w:r>
        <w:rPr>
          <w:rFonts w:ascii="Trebuchet MS"/>
          <w:color w:val="231F20"/>
          <w:spacing w:val="-2"/>
          <w:w w:val="110"/>
          <w:sz w:val="20"/>
        </w:rPr>
        <w:t>c</w:t>
      </w:r>
      <w:r>
        <w:rPr>
          <w:rFonts w:ascii="Trebuchet MS"/>
          <w:color w:val="231F20"/>
          <w:spacing w:val="-1"/>
          <w:w w:val="110"/>
          <w:sz w:val="20"/>
        </w:rPr>
        <w:t>u</w:t>
      </w:r>
      <w:r>
        <w:rPr>
          <w:rFonts w:ascii="Trebuchet MS"/>
          <w:color w:val="231F20"/>
          <w:spacing w:val="-2"/>
          <w:w w:val="111"/>
          <w:sz w:val="20"/>
        </w:rPr>
        <w:t>m</w:t>
      </w:r>
      <w:r>
        <w:rPr>
          <w:rFonts w:ascii="Trebuchet MS"/>
          <w:color w:val="231F20"/>
          <w:spacing w:val="-1"/>
          <w:w w:val="122"/>
          <w:sz w:val="20"/>
        </w:rPr>
        <w:t>s</w:t>
      </w:r>
      <w:r>
        <w:rPr>
          <w:rFonts w:ascii="Trebuchet MS"/>
          <w:color w:val="231F20"/>
          <w:w w:val="88"/>
          <w:sz w:val="20"/>
        </w:rPr>
        <w:t>t</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3"/>
          <w:w w:val="111"/>
          <w:sz w:val="20"/>
        </w:rPr>
        <w:t>c</w:t>
      </w:r>
      <w:r>
        <w:rPr>
          <w:rFonts w:ascii="Trebuchet MS"/>
          <w:color w:val="231F20"/>
          <w:spacing w:val="-2"/>
          <w:w w:val="108"/>
          <w:sz w:val="20"/>
        </w:rPr>
        <w:t>e</w:t>
      </w:r>
      <w:r>
        <w:rPr>
          <w:rFonts w:ascii="Trebuchet MS"/>
          <w:color w:val="231F20"/>
          <w:spacing w:val="1"/>
          <w:w w:val="122"/>
          <w:sz w:val="20"/>
        </w:rPr>
        <w:t>s</w:t>
      </w:r>
      <w:r>
        <w:rPr>
          <w:rFonts w:ascii="Trebuchet MS"/>
          <w:color w:val="231F20"/>
          <w:w w:val="55"/>
          <w:sz w:val="20"/>
        </w:rPr>
        <w:t>.</w:t>
      </w:r>
    </w:p>
    <w:p w14:paraId="351BFEC0" w14:textId="77777777" w:rsidR="00894070" w:rsidRDefault="009B7AFD">
      <w:pPr>
        <w:pStyle w:val="ListParagraph"/>
        <w:numPr>
          <w:ilvl w:val="0"/>
          <w:numId w:val="191"/>
        </w:numPr>
        <w:tabs>
          <w:tab w:val="left" w:pos="1801"/>
          <w:tab w:val="left" w:pos="1802"/>
        </w:tabs>
        <w:spacing w:before="128" w:line="247" w:lineRule="auto"/>
        <w:ind w:left="1801" w:right="1327"/>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include a </w:t>
      </w:r>
      <w:r>
        <w:rPr>
          <w:rFonts w:ascii="Trebuchet MS"/>
          <w:color w:val="231F20"/>
          <w:spacing w:val="-2"/>
          <w:w w:val="105"/>
          <w:sz w:val="20"/>
        </w:rPr>
        <w:t xml:space="preserve">provision </w:t>
      </w:r>
      <w:r>
        <w:rPr>
          <w:rFonts w:ascii="Trebuchet MS"/>
          <w:color w:val="231F20"/>
          <w:w w:val="105"/>
          <w:sz w:val="20"/>
        </w:rPr>
        <w:t xml:space="preserve">in the </w:t>
      </w:r>
      <w:r>
        <w:rPr>
          <w:rFonts w:ascii="Arial"/>
          <w:i/>
          <w:color w:val="231F20"/>
          <w:w w:val="105"/>
          <w:sz w:val="20"/>
        </w:rPr>
        <w:t>Personal Safety Intervention</w:t>
      </w:r>
      <w:r>
        <w:rPr>
          <w:rFonts w:ascii="Arial"/>
          <w:i/>
          <w:color w:val="231F20"/>
          <w:spacing w:val="-29"/>
          <w:w w:val="105"/>
          <w:sz w:val="20"/>
        </w:rPr>
        <w:t xml:space="preserve"> </w:t>
      </w:r>
      <w:r>
        <w:rPr>
          <w:rFonts w:ascii="Arial"/>
          <w:i/>
          <w:color w:val="231F20"/>
          <w:w w:val="105"/>
          <w:sz w:val="20"/>
        </w:rPr>
        <w:t>Orders</w:t>
      </w:r>
      <w:r>
        <w:rPr>
          <w:rFonts w:ascii="Arial"/>
          <w:i/>
          <w:color w:val="231F20"/>
          <w:spacing w:val="-29"/>
          <w:w w:val="105"/>
          <w:sz w:val="20"/>
        </w:rPr>
        <w:t xml:space="preserve"> </w:t>
      </w:r>
      <w:r>
        <w:rPr>
          <w:rFonts w:ascii="Arial"/>
          <w:i/>
          <w:color w:val="231F20"/>
          <w:w w:val="105"/>
          <w:sz w:val="20"/>
        </w:rPr>
        <w:t>Act</w:t>
      </w:r>
      <w:r>
        <w:rPr>
          <w:rFonts w:ascii="Arial"/>
          <w:i/>
          <w:color w:val="231F20"/>
          <w:spacing w:val="-29"/>
          <w:w w:val="105"/>
          <w:sz w:val="20"/>
        </w:rPr>
        <w:t xml:space="preserve"> </w:t>
      </w:r>
      <w:r>
        <w:rPr>
          <w:rFonts w:ascii="Arial"/>
          <w:i/>
          <w:color w:val="231F20"/>
          <w:spacing w:val="-3"/>
          <w:w w:val="105"/>
          <w:sz w:val="20"/>
        </w:rPr>
        <w:t>2010</w:t>
      </w:r>
      <w:r>
        <w:rPr>
          <w:rFonts w:ascii="Arial"/>
          <w:i/>
          <w:color w:val="231F20"/>
          <w:spacing w:val="-28"/>
          <w:w w:val="105"/>
          <w:sz w:val="20"/>
        </w:rPr>
        <w:t xml:space="preserve"> </w:t>
      </w:r>
      <w:r>
        <w:rPr>
          <w:rFonts w:ascii="Trebuchet MS"/>
          <w:color w:val="231F20"/>
          <w:w w:val="105"/>
          <w:sz w:val="20"/>
        </w:rPr>
        <w:t>(Vic)</w:t>
      </w:r>
      <w:r>
        <w:rPr>
          <w:rFonts w:ascii="Trebuchet MS"/>
          <w:color w:val="231F20"/>
          <w:spacing w:val="-33"/>
          <w:w w:val="105"/>
          <w:sz w:val="20"/>
        </w:rPr>
        <w:t xml:space="preserve"> </w:t>
      </w:r>
      <w:r>
        <w:rPr>
          <w:rFonts w:ascii="Trebuchet MS"/>
          <w:color w:val="231F20"/>
          <w:w w:val="105"/>
          <w:sz w:val="20"/>
        </w:rPr>
        <w:t>to</w:t>
      </w:r>
      <w:r>
        <w:rPr>
          <w:rFonts w:ascii="Trebuchet MS"/>
          <w:color w:val="231F20"/>
          <w:spacing w:val="-32"/>
          <w:w w:val="105"/>
          <w:sz w:val="20"/>
        </w:rPr>
        <w:t xml:space="preserve"> </w:t>
      </w:r>
      <w:r>
        <w:rPr>
          <w:rFonts w:ascii="Trebuchet MS"/>
          <w:color w:val="231F20"/>
          <w:w w:val="105"/>
          <w:sz w:val="20"/>
        </w:rPr>
        <w:t>the</w:t>
      </w:r>
      <w:r>
        <w:rPr>
          <w:rFonts w:ascii="Trebuchet MS"/>
          <w:color w:val="231F20"/>
          <w:spacing w:val="-33"/>
          <w:w w:val="105"/>
          <w:sz w:val="20"/>
        </w:rPr>
        <w:t xml:space="preserve"> </w:t>
      </w:r>
      <w:r>
        <w:rPr>
          <w:rFonts w:ascii="Trebuchet MS"/>
          <w:color w:val="231F20"/>
          <w:w w:val="105"/>
          <w:sz w:val="20"/>
        </w:rPr>
        <w:t>effect</w:t>
      </w:r>
      <w:r>
        <w:rPr>
          <w:rFonts w:ascii="Trebuchet MS"/>
          <w:color w:val="231F20"/>
          <w:spacing w:val="-33"/>
          <w:w w:val="105"/>
          <w:sz w:val="20"/>
        </w:rPr>
        <w:t xml:space="preserve"> </w:t>
      </w:r>
      <w:r>
        <w:rPr>
          <w:rFonts w:ascii="Trebuchet MS"/>
          <w:color w:val="231F20"/>
          <w:w w:val="105"/>
          <w:sz w:val="20"/>
        </w:rPr>
        <w:t>of</w:t>
      </w:r>
      <w:r>
        <w:rPr>
          <w:rFonts w:ascii="Trebuchet MS"/>
          <w:color w:val="231F20"/>
          <w:spacing w:val="-33"/>
          <w:w w:val="105"/>
          <w:sz w:val="20"/>
        </w:rPr>
        <w:t xml:space="preserve"> </w:t>
      </w:r>
      <w:r>
        <w:rPr>
          <w:rFonts w:ascii="Trebuchet MS"/>
          <w:color w:val="231F20"/>
          <w:w w:val="105"/>
          <w:sz w:val="20"/>
        </w:rPr>
        <w:t>section</w:t>
      </w:r>
      <w:r>
        <w:rPr>
          <w:rFonts w:ascii="Trebuchet MS"/>
          <w:color w:val="231F20"/>
          <w:spacing w:val="-32"/>
          <w:w w:val="105"/>
          <w:sz w:val="20"/>
        </w:rPr>
        <w:t xml:space="preserve"> </w:t>
      </w:r>
      <w:r>
        <w:rPr>
          <w:rFonts w:ascii="Trebuchet MS"/>
          <w:color w:val="231F20"/>
          <w:w w:val="105"/>
          <w:sz w:val="20"/>
        </w:rPr>
        <w:t>169B</w:t>
      </w:r>
      <w:r>
        <w:rPr>
          <w:rFonts w:ascii="Trebuchet MS"/>
          <w:color w:val="231F20"/>
          <w:spacing w:val="-33"/>
          <w:w w:val="105"/>
          <w:sz w:val="20"/>
        </w:rPr>
        <w:t xml:space="preserve"> </w:t>
      </w:r>
      <w:r>
        <w:rPr>
          <w:rFonts w:ascii="Trebuchet MS"/>
          <w:color w:val="231F20"/>
          <w:w w:val="105"/>
          <w:sz w:val="20"/>
        </w:rPr>
        <w:t>of</w:t>
      </w:r>
      <w:r>
        <w:rPr>
          <w:rFonts w:ascii="Trebuchet MS"/>
          <w:color w:val="231F20"/>
          <w:spacing w:val="-33"/>
          <w:w w:val="105"/>
          <w:sz w:val="20"/>
        </w:rPr>
        <w:t xml:space="preserve"> </w:t>
      </w:r>
      <w:r>
        <w:rPr>
          <w:rFonts w:ascii="Trebuchet MS"/>
          <w:color w:val="231F20"/>
          <w:w w:val="105"/>
          <w:sz w:val="20"/>
        </w:rPr>
        <w:t>the</w:t>
      </w:r>
      <w:r>
        <w:rPr>
          <w:rFonts w:ascii="Trebuchet MS"/>
          <w:color w:val="231F20"/>
          <w:spacing w:val="-32"/>
          <w:w w:val="105"/>
          <w:sz w:val="20"/>
        </w:rPr>
        <w:t xml:space="preserve"> </w:t>
      </w:r>
      <w:r>
        <w:rPr>
          <w:rFonts w:ascii="Arial"/>
          <w:i/>
          <w:color w:val="231F20"/>
          <w:spacing w:val="-3"/>
          <w:w w:val="105"/>
          <w:sz w:val="20"/>
        </w:rPr>
        <w:t>Family</w:t>
      </w:r>
      <w:r>
        <w:rPr>
          <w:rFonts w:ascii="Arial"/>
          <w:i/>
          <w:color w:val="231F20"/>
          <w:spacing w:val="-29"/>
          <w:w w:val="105"/>
          <w:sz w:val="20"/>
        </w:rPr>
        <w:t xml:space="preserve"> </w:t>
      </w:r>
      <w:r>
        <w:rPr>
          <w:rFonts w:ascii="Arial"/>
          <w:i/>
          <w:color w:val="231F20"/>
          <w:w w:val="105"/>
          <w:sz w:val="20"/>
        </w:rPr>
        <w:t xml:space="preserve">Violence </w:t>
      </w:r>
      <w:r>
        <w:rPr>
          <w:rFonts w:ascii="Arial"/>
          <w:i/>
          <w:color w:val="231F20"/>
          <w:spacing w:val="-3"/>
          <w:w w:val="105"/>
          <w:sz w:val="20"/>
        </w:rPr>
        <w:t>Protection</w:t>
      </w:r>
      <w:r>
        <w:rPr>
          <w:rFonts w:ascii="Arial"/>
          <w:i/>
          <w:color w:val="231F20"/>
          <w:spacing w:val="-30"/>
          <w:w w:val="105"/>
          <w:sz w:val="20"/>
        </w:rPr>
        <w:t xml:space="preserve"> </w:t>
      </w:r>
      <w:r>
        <w:rPr>
          <w:rFonts w:ascii="Arial"/>
          <w:i/>
          <w:color w:val="231F20"/>
          <w:w w:val="105"/>
          <w:sz w:val="20"/>
        </w:rPr>
        <w:t>Act</w:t>
      </w:r>
      <w:r>
        <w:rPr>
          <w:rFonts w:ascii="Arial"/>
          <w:i/>
          <w:color w:val="231F20"/>
          <w:spacing w:val="-29"/>
          <w:w w:val="105"/>
          <w:sz w:val="20"/>
        </w:rPr>
        <w:t xml:space="preserve"> </w:t>
      </w:r>
      <w:r>
        <w:rPr>
          <w:rFonts w:ascii="Arial"/>
          <w:i/>
          <w:color w:val="231F20"/>
          <w:w w:val="105"/>
          <w:sz w:val="20"/>
        </w:rPr>
        <w:t>2008</w:t>
      </w:r>
      <w:r>
        <w:rPr>
          <w:rFonts w:ascii="Arial"/>
          <w:i/>
          <w:color w:val="231F20"/>
          <w:spacing w:val="-28"/>
          <w:w w:val="105"/>
          <w:sz w:val="20"/>
        </w:rPr>
        <w:t xml:space="preserve"> </w:t>
      </w:r>
      <w:r>
        <w:rPr>
          <w:rFonts w:ascii="Trebuchet MS"/>
          <w:color w:val="231F20"/>
          <w:w w:val="105"/>
          <w:sz w:val="20"/>
        </w:rPr>
        <w:t>(Vic)</w:t>
      </w:r>
      <w:r>
        <w:rPr>
          <w:rFonts w:ascii="Trebuchet MS"/>
          <w:color w:val="231F20"/>
          <w:spacing w:val="-34"/>
          <w:w w:val="105"/>
          <w:sz w:val="20"/>
        </w:rPr>
        <w:t xml:space="preserve"> </w:t>
      </w:r>
      <w:r>
        <w:rPr>
          <w:rFonts w:ascii="Trebuchet MS"/>
          <w:color w:val="231F20"/>
          <w:w w:val="105"/>
          <w:sz w:val="20"/>
        </w:rPr>
        <w:t>to</w:t>
      </w:r>
      <w:r>
        <w:rPr>
          <w:rFonts w:ascii="Trebuchet MS"/>
          <w:color w:val="231F20"/>
          <w:spacing w:val="-33"/>
          <w:w w:val="105"/>
          <w:sz w:val="20"/>
        </w:rPr>
        <w:t xml:space="preserve"> </w:t>
      </w:r>
      <w:r>
        <w:rPr>
          <w:rFonts w:ascii="Trebuchet MS"/>
          <w:color w:val="231F20"/>
          <w:w w:val="105"/>
          <w:sz w:val="20"/>
        </w:rPr>
        <w:t>enable</w:t>
      </w:r>
      <w:r>
        <w:rPr>
          <w:rFonts w:ascii="Trebuchet MS"/>
          <w:color w:val="231F20"/>
          <w:spacing w:val="-33"/>
          <w:w w:val="105"/>
          <w:sz w:val="20"/>
        </w:rPr>
        <w:t xml:space="preserve"> </w:t>
      </w:r>
      <w:r>
        <w:rPr>
          <w:rFonts w:ascii="Trebuchet MS"/>
          <w:color w:val="231F20"/>
          <w:w w:val="105"/>
          <w:sz w:val="20"/>
        </w:rPr>
        <w:t>victims</w:t>
      </w:r>
      <w:r>
        <w:rPr>
          <w:rFonts w:ascii="Trebuchet MS"/>
          <w:color w:val="231F20"/>
          <w:spacing w:val="-33"/>
          <w:w w:val="105"/>
          <w:sz w:val="20"/>
        </w:rPr>
        <w:t xml:space="preserve"> </w:t>
      </w:r>
      <w:r>
        <w:rPr>
          <w:rFonts w:ascii="Trebuchet MS"/>
          <w:color w:val="231F20"/>
          <w:w w:val="105"/>
          <w:sz w:val="20"/>
        </w:rPr>
        <w:t>to</w:t>
      </w:r>
      <w:r>
        <w:rPr>
          <w:rFonts w:ascii="Trebuchet MS"/>
          <w:color w:val="231F20"/>
          <w:spacing w:val="-33"/>
          <w:w w:val="105"/>
          <w:sz w:val="20"/>
        </w:rPr>
        <w:t xml:space="preserve"> </w:t>
      </w:r>
      <w:r>
        <w:rPr>
          <w:rFonts w:ascii="Trebuchet MS"/>
          <w:color w:val="231F20"/>
          <w:w w:val="105"/>
          <w:sz w:val="20"/>
        </w:rPr>
        <w:t>consent</w:t>
      </w:r>
      <w:r>
        <w:rPr>
          <w:rFonts w:ascii="Trebuchet MS"/>
          <w:color w:val="231F20"/>
          <w:spacing w:val="-34"/>
          <w:w w:val="105"/>
          <w:sz w:val="20"/>
        </w:rPr>
        <w:t xml:space="preserve"> </w:t>
      </w:r>
      <w:r>
        <w:rPr>
          <w:rFonts w:ascii="Trebuchet MS"/>
          <w:color w:val="231F20"/>
          <w:w w:val="105"/>
          <w:sz w:val="20"/>
        </w:rPr>
        <w:t>to</w:t>
      </w:r>
      <w:r>
        <w:rPr>
          <w:rFonts w:ascii="Trebuchet MS"/>
          <w:color w:val="231F20"/>
          <w:spacing w:val="-33"/>
          <w:w w:val="105"/>
          <w:sz w:val="20"/>
        </w:rPr>
        <w:t xml:space="preserve"> </w:t>
      </w:r>
      <w:r>
        <w:rPr>
          <w:rFonts w:ascii="Trebuchet MS"/>
          <w:color w:val="231F20"/>
          <w:w w:val="105"/>
          <w:sz w:val="20"/>
        </w:rPr>
        <w:t>publication,</w:t>
      </w:r>
      <w:r>
        <w:rPr>
          <w:rFonts w:ascii="Trebuchet MS"/>
          <w:color w:val="231F20"/>
          <w:spacing w:val="-33"/>
          <w:w w:val="105"/>
          <w:sz w:val="20"/>
        </w:rPr>
        <w:t xml:space="preserve"> </w:t>
      </w:r>
      <w:r>
        <w:rPr>
          <w:rFonts w:ascii="Trebuchet MS"/>
          <w:color w:val="231F20"/>
          <w:w w:val="105"/>
          <w:sz w:val="20"/>
        </w:rPr>
        <w:t>with</w:t>
      </w:r>
      <w:r>
        <w:rPr>
          <w:rFonts w:ascii="Trebuchet MS"/>
          <w:color w:val="231F20"/>
          <w:spacing w:val="-33"/>
          <w:w w:val="105"/>
          <w:sz w:val="20"/>
        </w:rPr>
        <w:t xml:space="preserve"> </w:t>
      </w:r>
      <w:r>
        <w:rPr>
          <w:rFonts w:ascii="Trebuchet MS"/>
          <w:color w:val="231F20"/>
          <w:w w:val="105"/>
          <w:sz w:val="20"/>
        </w:rPr>
        <w:t xml:space="preserve">appropriate </w:t>
      </w:r>
      <w:r>
        <w:rPr>
          <w:rFonts w:ascii="Trebuchet MS"/>
          <w:color w:val="231F20"/>
          <w:w w:val="122"/>
          <w:sz w:val="20"/>
        </w:rPr>
        <w:t>s</w:t>
      </w:r>
      <w:r>
        <w:rPr>
          <w:rFonts w:ascii="Trebuchet MS"/>
          <w:color w:val="231F20"/>
          <w:spacing w:val="-4"/>
          <w:sz w:val="20"/>
        </w:rPr>
        <w:t>a</w:t>
      </w:r>
      <w:r>
        <w:rPr>
          <w:rFonts w:ascii="Trebuchet MS"/>
          <w:color w:val="231F20"/>
          <w:spacing w:val="-5"/>
          <w:sz w:val="20"/>
        </w:rPr>
        <w:t>f</w:t>
      </w:r>
      <w:r>
        <w:rPr>
          <w:rFonts w:ascii="Trebuchet MS"/>
          <w:color w:val="231F20"/>
          <w:w w:val="108"/>
          <w:sz w:val="20"/>
        </w:rPr>
        <w:t>e</w:t>
      </w:r>
      <w:r>
        <w:rPr>
          <w:rFonts w:ascii="Trebuchet MS"/>
          <w:color w:val="231F20"/>
          <w:spacing w:val="-2"/>
          <w:w w:val="124"/>
          <w:sz w:val="20"/>
        </w:rPr>
        <w:t>g</w:t>
      </w:r>
      <w:r>
        <w:rPr>
          <w:rFonts w:ascii="Trebuchet MS"/>
          <w:color w:val="231F20"/>
          <w:spacing w:val="-2"/>
          <w:w w:val="109"/>
          <w:sz w:val="20"/>
        </w:rPr>
        <w:t>u</w:t>
      </w:r>
      <w:r>
        <w:rPr>
          <w:rFonts w:ascii="Trebuchet MS"/>
          <w:color w:val="231F20"/>
          <w:spacing w:val="-2"/>
          <w:w w:val="105"/>
          <w:sz w:val="20"/>
        </w:rPr>
        <w:t>a</w:t>
      </w:r>
      <w:r>
        <w:rPr>
          <w:rFonts w:ascii="Trebuchet MS"/>
          <w:color w:val="231F20"/>
          <w:spacing w:val="-4"/>
          <w:w w:val="104"/>
          <w:sz w:val="20"/>
        </w:rPr>
        <w:t>r</w:t>
      </w:r>
      <w:r>
        <w:rPr>
          <w:rFonts w:ascii="Trebuchet MS"/>
          <w:color w:val="231F20"/>
          <w:spacing w:val="-1"/>
          <w:w w:val="104"/>
          <w:sz w:val="20"/>
        </w:rPr>
        <w:t>d</w:t>
      </w:r>
      <w:r>
        <w:rPr>
          <w:rFonts w:ascii="Trebuchet MS"/>
          <w:color w:val="231F20"/>
          <w:spacing w:val="1"/>
          <w:w w:val="122"/>
          <w:sz w:val="20"/>
        </w:rPr>
        <w:t>s</w:t>
      </w:r>
      <w:r>
        <w:rPr>
          <w:rFonts w:ascii="Trebuchet MS"/>
          <w:color w:val="231F20"/>
          <w:w w:val="55"/>
          <w:sz w:val="20"/>
        </w:rPr>
        <w:t>.</w:t>
      </w:r>
    </w:p>
    <w:p w14:paraId="0E08CD17" w14:textId="77777777" w:rsidR="00894070" w:rsidRDefault="009B7AFD">
      <w:pPr>
        <w:pStyle w:val="ListParagraph"/>
        <w:numPr>
          <w:ilvl w:val="0"/>
          <w:numId w:val="191"/>
        </w:numPr>
        <w:tabs>
          <w:tab w:val="left" w:pos="1801"/>
          <w:tab w:val="left" w:pos="1802"/>
          <w:tab w:val="left" w:pos="2481"/>
        </w:tabs>
        <w:spacing w:before="88" w:line="247" w:lineRule="auto"/>
        <w:ind w:left="2481" w:right="1176" w:hanging="1474"/>
        <w:rPr>
          <w:rFonts w:ascii="Trebuchet MS" w:hAnsi="Trebuchet MS"/>
          <w:sz w:val="20"/>
        </w:rPr>
      </w:pPr>
      <w:r>
        <w:rPr>
          <w:rFonts w:ascii="Trebuchet MS" w:hAnsi="Trebuchet MS"/>
          <w:color w:val="231F20"/>
          <w:w w:val="105"/>
          <w:sz w:val="20"/>
        </w:rPr>
        <w:t>a.</w:t>
      </w:r>
      <w:r>
        <w:rPr>
          <w:rFonts w:ascii="Trebuchet MS" w:hAnsi="Trebuchet MS"/>
          <w:color w:val="231F20"/>
          <w:w w:val="105"/>
          <w:sz w:val="20"/>
        </w:rPr>
        <w:tab/>
        <w:t xml:space="preserve">The Victorian </w:t>
      </w:r>
      <w:r>
        <w:rPr>
          <w:rFonts w:ascii="Trebuchet MS" w:hAnsi="Trebuchet MS"/>
          <w:color w:val="231F20"/>
          <w:spacing w:val="-3"/>
          <w:w w:val="105"/>
          <w:sz w:val="20"/>
        </w:rPr>
        <w:t xml:space="preserve">Government </w:t>
      </w:r>
      <w:r>
        <w:rPr>
          <w:rFonts w:ascii="Trebuchet MS" w:hAnsi="Trebuchet MS"/>
          <w:color w:val="231F20"/>
          <w:w w:val="105"/>
          <w:sz w:val="20"/>
        </w:rPr>
        <w:t xml:space="preserve">should amend the </w:t>
      </w:r>
      <w:r>
        <w:rPr>
          <w:rFonts w:ascii="Arial" w:hAnsi="Arial"/>
          <w:i/>
          <w:color w:val="231F20"/>
          <w:w w:val="105"/>
          <w:sz w:val="20"/>
        </w:rPr>
        <w:t xml:space="preserve">Personal Safety Intervention </w:t>
      </w:r>
      <w:r>
        <w:rPr>
          <w:rFonts w:ascii="Arial" w:hAnsi="Arial"/>
          <w:i/>
          <w:color w:val="231F20"/>
          <w:spacing w:val="1"/>
          <w:w w:val="92"/>
          <w:sz w:val="20"/>
        </w:rPr>
        <w:t>O</w:t>
      </w:r>
      <w:r>
        <w:rPr>
          <w:rFonts w:ascii="Arial" w:hAnsi="Arial"/>
          <w:i/>
          <w:color w:val="231F20"/>
          <w:spacing w:val="-4"/>
          <w:w w:val="106"/>
          <w:sz w:val="20"/>
        </w:rPr>
        <w:t>r</w:t>
      </w:r>
      <w:r>
        <w:rPr>
          <w:rFonts w:ascii="Arial" w:hAnsi="Arial"/>
          <w:i/>
          <w:color w:val="231F20"/>
          <w:spacing w:val="-2"/>
          <w:w w:val="108"/>
          <w:sz w:val="20"/>
        </w:rPr>
        <w:t>d</w:t>
      </w:r>
      <w:r>
        <w:rPr>
          <w:rFonts w:ascii="Arial" w:hAnsi="Arial"/>
          <w:i/>
          <w:color w:val="231F20"/>
          <w:w w:val="96"/>
          <w:sz w:val="20"/>
        </w:rPr>
        <w:t>e</w:t>
      </w:r>
      <w:r>
        <w:rPr>
          <w:rFonts w:ascii="Arial" w:hAnsi="Arial"/>
          <w:i/>
          <w:color w:val="231F20"/>
          <w:spacing w:val="-2"/>
          <w:w w:val="106"/>
          <w:sz w:val="20"/>
        </w:rPr>
        <w:t>r</w:t>
      </w:r>
      <w:r>
        <w:rPr>
          <w:rFonts w:ascii="Arial" w:hAnsi="Arial"/>
          <w:i/>
          <w:color w:val="231F20"/>
          <w:w w:val="95"/>
          <w:sz w:val="20"/>
        </w:rPr>
        <w:t>s</w:t>
      </w:r>
      <w:r>
        <w:rPr>
          <w:rFonts w:ascii="Arial" w:hAnsi="Arial"/>
          <w:i/>
          <w:color w:val="231F20"/>
          <w:spacing w:val="-11"/>
          <w:sz w:val="20"/>
        </w:rPr>
        <w:t xml:space="preserve"> </w:t>
      </w:r>
      <w:r>
        <w:rPr>
          <w:rFonts w:ascii="Arial" w:hAnsi="Arial"/>
          <w:i/>
          <w:color w:val="231F20"/>
          <w:spacing w:val="-3"/>
          <w:w w:val="97"/>
          <w:sz w:val="20"/>
        </w:rPr>
        <w:t>A</w:t>
      </w:r>
      <w:r>
        <w:rPr>
          <w:rFonts w:ascii="Arial" w:hAnsi="Arial"/>
          <w:i/>
          <w:color w:val="231F20"/>
          <w:spacing w:val="-3"/>
          <w:w w:val="106"/>
          <w:sz w:val="20"/>
        </w:rPr>
        <w:t>c</w:t>
      </w:r>
      <w:r>
        <w:rPr>
          <w:rFonts w:ascii="Arial" w:hAnsi="Arial"/>
          <w:i/>
          <w:color w:val="231F20"/>
          <w:w w:val="121"/>
          <w:sz w:val="20"/>
        </w:rPr>
        <w:t>t</w:t>
      </w:r>
      <w:r>
        <w:rPr>
          <w:rFonts w:ascii="Arial" w:hAnsi="Arial"/>
          <w:i/>
          <w:color w:val="231F20"/>
          <w:spacing w:val="-11"/>
          <w:sz w:val="20"/>
        </w:rPr>
        <w:t xml:space="preserve"> </w:t>
      </w:r>
      <w:r>
        <w:rPr>
          <w:rFonts w:ascii="Arial" w:hAnsi="Arial"/>
          <w:i/>
          <w:color w:val="231F20"/>
          <w:spacing w:val="-2"/>
          <w:w w:val="92"/>
          <w:sz w:val="20"/>
        </w:rPr>
        <w:t>2</w:t>
      </w:r>
      <w:r>
        <w:rPr>
          <w:rFonts w:ascii="Arial" w:hAnsi="Arial"/>
          <w:i/>
          <w:color w:val="231F20"/>
          <w:spacing w:val="-4"/>
          <w:w w:val="106"/>
          <w:sz w:val="20"/>
        </w:rPr>
        <w:t>0</w:t>
      </w:r>
      <w:r>
        <w:rPr>
          <w:rFonts w:ascii="Arial" w:hAnsi="Arial"/>
          <w:i/>
          <w:color w:val="231F20"/>
          <w:spacing w:val="-5"/>
          <w:w w:val="78"/>
          <w:sz w:val="20"/>
        </w:rPr>
        <w:t>1</w:t>
      </w:r>
      <w:r>
        <w:rPr>
          <w:rFonts w:ascii="Arial" w:hAnsi="Arial"/>
          <w:i/>
          <w:color w:val="231F20"/>
          <w:w w:val="106"/>
          <w:sz w:val="20"/>
        </w:rPr>
        <w:t>0</w:t>
      </w:r>
      <w:r>
        <w:rPr>
          <w:rFonts w:ascii="Arial" w:hAnsi="Arial"/>
          <w:i/>
          <w:color w:val="231F20"/>
          <w:spacing w:val="-9"/>
          <w:sz w:val="20"/>
        </w:rPr>
        <w:t xml:space="preserve"> </w:t>
      </w:r>
      <w:r>
        <w:rPr>
          <w:rFonts w:ascii="Trebuchet MS" w:hAnsi="Trebuchet MS"/>
          <w:color w:val="231F20"/>
          <w:spacing w:val="3"/>
          <w:w w:val="77"/>
          <w:sz w:val="20"/>
        </w:rPr>
        <w:t>(</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5"/>
          <w:w w:val="111"/>
          <w:sz w:val="20"/>
        </w:rPr>
        <w:t>c</w:t>
      </w:r>
      <w:r>
        <w:rPr>
          <w:rFonts w:ascii="Trebuchet MS" w:hAnsi="Trebuchet MS"/>
          <w:color w:val="231F20"/>
          <w:w w:val="77"/>
          <w:sz w:val="20"/>
        </w:rPr>
        <w: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6"/>
          <w:w w:val="111"/>
          <w:sz w:val="20"/>
        </w:rPr>
        <w:t>o</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w w:val="111"/>
          <w:sz w:val="20"/>
        </w:rPr>
        <w:t>c</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1"/>
          <w:w w:val="124"/>
          <w:sz w:val="20"/>
        </w:rPr>
        <w:t>g</w:t>
      </w:r>
      <w:r>
        <w:rPr>
          <w:rFonts w:ascii="Trebuchet MS" w:hAnsi="Trebuchet MS"/>
          <w:color w:val="231F20"/>
          <w:spacing w:val="-1"/>
          <w:w w:val="111"/>
          <w:sz w:val="20"/>
        </w:rPr>
        <w:t>o</w:t>
      </w:r>
      <w:r>
        <w:rPr>
          <w:rFonts w:ascii="Trebuchet MS" w:hAnsi="Trebuchet MS"/>
          <w:color w:val="231F20"/>
          <w:spacing w:val="3"/>
          <w:w w:val="93"/>
          <w:sz w:val="20"/>
        </w:rPr>
        <w:t>r</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4"/>
          <w:w w:val="56"/>
          <w:sz w:val="20"/>
        </w:rPr>
        <w:t>‘</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3"/>
          <w:w w:val="80"/>
          <w:sz w:val="20"/>
        </w:rPr>
        <w:t>i</w:t>
      </w:r>
      <w:r>
        <w:rPr>
          <w:rFonts w:ascii="Trebuchet MS" w:hAnsi="Trebuchet MS"/>
          <w:color w:val="231F20"/>
          <w:spacing w:val="-2"/>
          <w:w w:val="88"/>
          <w:sz w:val="20"/>
        </w:rPr>
        <w:t>t</w:t>
      </w:r>
      <w:r>
        <w:rPr>
          <w:rFonts w:ascii="Trebuchet MS" w:hAnsi="Trebuchet MS"/>
          <w:color w:val="231F20"/>
          <w:spacing w:val="-1"/>
          <w:w w:val="107"/>
          <w:sz w:val="20"/>
        </w:rPr>
        <w:t>n</w:t>
      </w:r>
      <w:r>
        <w:rPr>
          <w:rFonts w:ascii="Trebuchet MS" w:hAnsi="Trebuchet MS"/>
          <w:color w:val="231F20"/>
          <w:spacing w:val="-2"/>
          <w:w w:val="108"/>
          <w:sz w:val="20"/>
        </w:rPr>
        <w:t>e</w:t>
      </w:r>
      <w:r>
        <w:rPr>
          <w:rFonts w:ascii="Trebuchet MS" w:hAnsi="Trebuchet MS"/>
          <w:color w:val="231F20"/>
          <w:spacing w:val="-1"/>
          <w:w w:val="122"/>
          <w:sz w:val="20"/>
        </w:rPr>
        <w:t>ss</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 xml:space="preserve">e </w:t>
      </w:r>
      <w:r>
        <w:rPr>
          <w:rFonts w:ascii="Arial" w:hAnsi="Arial"/>
          <w:i/>
          <w:color w:val="231F20"/>
          <w:spacing w:val="-3"/>
          <w:w w:val="105"/>
          <w:sz w:val="20"/>
        </w:rPr>
        <w:t>Family</w:t>
      </w:r>
      <w:r>
        <w:rPr>
          <w:rFonts w:ascii="Arial" w:hAnsi="Arial"/>
          <w:i/>
          <w:color w:val="231F20"/>
          <w:spacing w:val="-24"/>
          <w:w w:val="105"/>
          <w:sz w:val="20"/>
        </w:rPr>
        <w:t xml:space="preserve"> </w:t>
      </w:r>
      <w:r>
        <w:rPr>
          <w:rFonts w:ascii="Arial" w:hAnsi="Arial"/>
          <w:i/>
          <w:color w:val="231F20"/>
          <w:w w:val="105"/>
          <w:sz w:val="20"/>
        </w:rPr>
        <w:t>Violence</w:t>
      </w:r>
      <w:r>
        <w:rPr>
          <w:rFonts w:ascii="Arial" w:hAnsi="Arial"/>
          <w:i/>
          <w:color w:val="231F20"/>
          <w:spacing w:val="-24"/>
          <w:w w:val="105"/>
          <w:sz w:val="20"/>
        </w:rPr>
        <w:t xml:space="preserve"> </w:t>
      </w:r>
      <w:r>
        <w:rPr>
          <w:rFonts w:ascii="Arial" w:hAnsi="Arial"/>
          <w:i/>
          <w:color w:val="231F20"/>
          <w:spacing w:val="-3"/>
          <w:w w:val="105"/>
          <w:sz w:val="20"/>
        </w:rPr>
        <w:t>Protection</w:t>
      </w:r>
      <w:r>
        <w:rPr>
          <w:rFonts w:ascii="Arial" w:hAnsi="Arial"/>
          <w:i/>
          <w:color w:val="231F20"/>
          <w:spacing w:val="-23"/>
          <w:w w:val="105"/>
          <w:sz w:val="20"/>
        </w:rPr>
        <w:t xml:space="preserve"> </w:t>
      </w:r>
      <w:r>
        <w:rPr>
          <w:rFonts w:ascii="Arial" w:hAnsi="Arial"/>
          <w:i/>
          <w:color w:val="231F20"/>
          <w:w w:val="105"/>
          <w:sz w:val="20"/>
        </w:rPr>
        <w:t>Act</w:t>
      </w:r>
      <w:r>
        <w:rPr>
          <w:rFonts w:ascii="Arial" w:hAnsi="Arial"/>
          <w:i/>
          <w:color w:val="231F20"/>
          <w:spacing w:val="-24"/>
          <w:w w:val="105"/>
          <w:sz w:val="20"/>
        </w:rPr>
        <w:t xml:space="preserve"> </w:t>
      </w:r>
      <w:r>
        <w:rPr>
          <w:rFonts w:ascii="Arial" w:hAnsi="Arial"/>
          <w:i/>
          <w:color w:val="231F20"/>
          <w:w w:val="105"/>
          <w:sz w:val="20"/>
        </w:rPr>
        <w:t>2008</w:t>
      </w:r>
      <w:r>
        <w:rPr>
          <w:rFonts w:ascii="Arial" w:hAnsi="Arial"/>
          <w:i/>
          <w:color w:val="231F20"/>
          <w:spacing w:val="-22"/>
          <w:w w:val="105"/>
          <w:sz w:val="20"/>
        </w:rPr>
        <w:t xml:space="preserve"> </w:t>
      </w:r>
      <w:r>
        <w:rPr>
          <w:rFonts w:ascii="Trebuchet MS" w:hAnsi="Trebuchet MS"/>
          <w:color w:val="231F20"/>
          <w:w w:val="105"/>
          <w:sz w:val="20"/>
        </w:rPr>
        <w:t>(Vic)</w:t>
      </w:r>
      <w:r>
        <w:rPr>
          <w:rFonts w:ascii="Trebuchet MS" w:hAnsi="Trebuchet MS"/>
          <w:color w:val="231F20"/>
          <w:spacing w:val="-27"/>
          <w:w w:val="105"/>
          <w:sz w:val="20"/>
        </w:rPr>
        <w:t xml:space="preserve"> </w:t>
      </w:r>
      <w:r>
        <w:rPr>
          <w:rFonts w:ascii="Trebuchet MS" w:hAnsi="Trebuchet MS"/>
          <w:color w:val="231F20"/>
          <w:w w:val="105"/>
          <w:sz w:val="20"/>
        </w:rPr>
        <w:t>that</w:t>
      </w:r>
      <w:r>
        <w:rPr>
          <w:rFonts w:ascii="Trebuchet MS" w:hAnsi="Trebuchet MS"/>
          <w:color w:val="231F20"/>
          <w:spacing w:val="-28"/>
          <w:w w:val="105"/>
          <w:sz w:val="20"/>
        </w:rPr>
        <w:t xml:space="preserve"> </w:t>
      </w:r>
      <w:r>
        <w:rPr>
          <w:rFonts w:ascii="Trebuchet MS" w:hAnsi="Trebuchet MS"/>
          <w:color w:val="231F20"/>
          <w:w w:val="105"/>
          <w:sz w:val="20"/>
        </w:rPr>
        <w:t>bars</w:t>
      </w:r>
      <w:r>
        <w:rPr>
          <w:rFonts w:ascii="Trebuchet MS" w:hAnsi="Trebuchet MS"/>
          <w:color w:val="231F20"/>
          <w:spacing w:val="-27"/>
          <w:w w:val="105"/>
          <w:sz w:val="20"/>
        </w:rPr>
        <w:t xml:space="preserve"> </w:t>
      </w:r>
      <w:r>
        <w:rPr>
          <w:rFonts w:ascii="Trebuchet MS" w:hAnsi="Trebuchet MS"/>
          <w:color w:val="231F20"/>
          <w:w w:val="105"/>
          <w:sz w:val="20"/>
        </w:rPr>
        <w:t>respondents</w:t>
      </w:r>
      <w:r>
        <w:rPr>
          <w:rFonts w:ascii="Trebuchet MS" w:hAnsi="Trebuchet MS"/>
          <w:color w:val="231F20"/>
          <w:spacing w:val="-27"/>
          <w:w w:val="105"/>
          <w:sz w:val="20"/>
        </w:rPr>
        <w:t xml:space="preserve"> </w:t>
      </w:r>
      <w:r>
        <w:rPr>
          <w:rFonts w:ascii="Trebuchet MS" w:hAnsi="Trebuchet MS"/>
          <w:color w:val="231F20"/>
          <w:w w:val="105"/>
          <w:sz w:val="20"/>
        </w:rPr>
        <w:t>from</w:t>
      </w:r>
      <w:r>
        <w:rPr>
          <w:rFonts w:ascii="Trebuchet MS" w:hAnsi="Trebuchet MS"/>
          <w:color w:val="231F20"/>
          <w:spacing w:val="-27"/>
          <w:w w:val="105"/>
          <w:sz w:val="20"/>
        </w:rPr>
        <w:t xml:space="preserve"> </w:t>
      </w:r>
      <w:r>
        <w:rPr>
          <w:rFonts w:ascii="Trebuchet MS" w:hAnsi="Trebuchet MS"/>
          <w:color w:val="231F20"/>
          <w:w w:val="105"/>
          <w:sz w:val="20"/>
        </w:rPr>
        <w:t xml:space="preserve">personally </w:t>
      </w:r>
      <w:r>
        <w:rPr>
          <w:rFonts w:ascii="Trebuchet MS" w:hAnsi="Trebuchet MS"/>
          <w:color w:val="231F20"/>
          <w:spacing w:val="-2"/>
          <w:w w:val="111"/>
          <w:sz w:val="20"/>
        </w:rPr>
        <w:t>c</w:t>
      </w:r>
      <w:r>
        <w:rPr>
          <w:rFonts w:ascii="Trebuchet MS" w:hAnsi="Trebuchet MS"/>
          <w:color w:val="231F20"/>
          <w:spacing w:val="-4"/>
          <w:w w:val="93"/>
          <w:sz w:val="20"/>
        </w:rPr>
        <w:t>r</w:t>
      </w:r>
      <w:r>
        <w:rPr>
          <w:rFonts w:ascii="Trebuchet MS" w:hAnsi="Trebuchet MS"/>
          <w:color w:val="231F20"/>
          <w:spacing w:val="-2"/>
          <w:w w:val="111"/>
          <w:sz w:val="20"/>
        </w:rPr>
        <w:t>o</w:t>
      </w:r>
      <w:r>
        <w:rPr>
          <w:rFonts w:ascii="Trebuchet MS" w:hAnsi="Trebuchet MS"/>
          <w:color w:val="231F20"/>
          <w:spacing w:val="-1"/>
          <w:w w:val="122"/>
          <w:sz w:val="20"/>
        </w:rPr>
        <w:t>s</w:t>
      </w:r>
      <w:r>
        <w:rPr>
          <w:rFonts w:ascii="Trebuchet MS" w:hAnsi="Trebuchet MS"/>
          <w:color w:val="231F20"/>
          <w:spacing w:val="-4"/>
          <w:w w:val="122"/>
          <w:sz w:val="20"/>
        </w:rPr>
        <w:t>s</w:t>
      </w:r>
      <w:r>
        <w:rPr>
          <w:rFonts w:ascii="Trebuchet MS" w:hAnsi="Trebuchet MS"/>
          <w:color w:val="231F20"/>
          <w:spacing w:val="1"/>
          <w:w w:val="115"/>
          <w:sz w:val="20"/>
        </w:rPr>
        <w:t>-</w:t>
      </w:r>
      <w:r>
        <w:rPr>
          <w:rFonts w:ascii="Trebuchet MS" w:hAnsi="Trebuchet MS"/>
          <w:color w:val="231F20"/>
          <w:spacing w:val="-5"/>
          <w:w w:val="108"/>
          <w:sz w:val="20"/>
        </w:rPr>
        <w:t>e</w:t>
      </w:r>
      <w:r>
        <w:rPr>
          <w:rFonts w:ascii="Trebuchet MS" w:hAnsi="Trebuchet MS"/>
          <w:color w:val="231F20"/>
          <w:spacing w:val="-4"/>
          <w:w w:val="102"/>
          <w:sz w:val="20"/>
        </w:rPr>
        <w:t>x</w:t>
      </w:r>
      <w:r>
        <w:rPr>
          <w:rFonts w:ascii="Trebuchet MS" w:hAnsi="Trebuchet MS"/>
          <w:color w:val="231F20"/>
          <w:spacing w:val="-2"/>
          <w:w w:val="104"/>
          <w:sz w:val="20"/>
        </w:rPr>
        <w:t>ami</w:t>
      </w:r>
      <w:r>
        <w:rPr>
          <w:rFonts w:ascii="Trebuchet MS" w:hAnsi="Trebuchet MS"/>
          <w:color w:val="231F20"/>
          <w:spacing w:val="-2"/>
          <w:w w:val="98"/>
          <w:sz w:val="20"/>
        </w:rPr>
        <w:t>ni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01"/>
          <w:sz w:val="20"/>
        </w:rPr>
        <w:t>c</w:t>
      </w:r>
      <w:r>
        <w:rPr>
          <w:rFonts w:ascii="Trebuchet MS" w:hAnsi="Trebuchet MS"/>
          <w:color w:val="231F20"/>
          <w:spacing w:val="-4"/>
          <w:w w:val="101"/>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02"/>
          <w:sz w:val="20"/>
        </w:rPr>
        <w:t>w</w:t>
      </w:r>
      <w:r>
        <w:rPr>
          <w:rFonts w:ascii="Trebuchet MS" w:hAnsi="Trebuchet MS"/>
          <w:color w:val="231F20"/>
          <w:spacing w:val="-3"/>
          <w:w w:val="102"/>
          <w:sz w:val="20"/>
        </w:rPr>
        <w:t>i</w:t>
      </w:r>
      <w:r>
        <w:rPr>
          <w:rFonts w:ascii="Trebuchet MS" w:hAnsi="Trebuchet MS"/>
          <w:color w:val="231F20"/>
          <w:spacing w:val="-2"/>
          <w:w w:val="99"/>
          <w:sz w:val="20"/>
        </w:rPr>
        <w:t>t</w:t>
      </w:r>
      <w:r>
        <w:rPr>
          <w:rFonts w:ascii="Trebuchet MS" w:hAnsi="Trebuchet MS"/>
          <w:color w:val="231F20"/>
          <w:spacing w:val="-1"/>
          <w:w w:val="99"/>
          <w:sz w:val="20"/>
        </w:rPr>
        <w:t>n</w:t>
      </w:r>
      <w:r>
        <w:rPr>
          <w:rFonts w:ascii="Trebuchet MS" w:hAnsi="Trebuchet MS"/>
          <w:color w:val="231F20"/>
          <w:spacing w:val="-2"/>
          <w:w w:val="108"/>
          <w:sz w:val="20"/>
        </w:rPr>
        <w:t>e</w:t>
      </w:r>
      <w:r>
        <w:rPr>
          <w:rFonts w:ascii="Trebuchet MS" w:hAnsi="Trebuchet MS"/>
          <w:color w:val="231F20"/>
          <w:spacing w:val="-1"/>
          <w:w w:val="122"/>
          <w:sz w:val="20"/>
        </w:rPr>
        <w:t>ss</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w w:val="55"/>
          <w:sz w:val="20"/>
        </w:rPr>
        <w:t>.</w:t>
      </w:r>
    </w:p>
    <w:p w14:paraId="02B0ADD2" w14:textId="77777777" w:rsidR="00894070" w:rsidRDefault="009B7AFD">
      <w:pPr>
        <w:pStyle w:val="ListParagraph"/>
        <w:numPr>
          <w:ilvl w:val="0"/>
          <w:numId w:val="183"/>
        </w:numPr>
        <w:tabs>
          <w:tab w:val="left" w:pos="2481"/>
          <w:tab w:val="left" w:pos="2482"/>
        </w:tabs>
        <w:spacing w:before="88" w:line="247" w:lineRule="auto"/>
        <w:ind w:right="1825"/>
        <w:rPr>
          <w:rFonts w:ascii="Trebuchet MS" w:hAnsi="Trebuchet MS"/>
          <w:sz w:val="20"/>
        </w:rPr>
      </w:pPr>
      <w:r>
        <w:rPr>
          <w:rFonts w:ascii="Trebuchet MS" w:hAnsi="Trebuchet MS"/>
          <w:color w:val="231F20"/>
          <w:spacing w:val="-2"/>
          <w:w w:val="93"/>
          <w:sz w:val="20"/>
        </w:rPr>
        <w:t>I</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112"/>
          <w:sz w:val="20"/>
        </w:rPr>
        <w:t>d</w:t>
      </w:r>
      <w:r>
        <w:rPr>
          <w:rFonts w:ascii="Trebuchet MS" w:hAnsi="Trebuchet MS"/>
          <w:color w:val="231F20"/>
          <w:spacing w:val="-3"/>
          <w:w w:val="108"/>
          <w:sz w:val="20"/>
        </w:rPr>
        <w:t>e</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2"/>
          <w:w w:val="93"/>
          <w:sz w:val="20"/>
        </w:rPr>
        <w:t>r</w:t>
      </w:r>
      <w:r>
        <w:rPr>
          <w:rFonts w:ascii="Trebuchet MS" w:hAnsi="Trebuchet MS"/>
          <w:color w:val="231F20"/>
          <w:spacing w:val="-2"/>
          <w:w w:val="111"/>
          <w:sz w:val="20"/>
        </w:rPr>
        <w:t>m</w:t>
      </w:r>
      <w:r>
        <w:rPr>
          <w:rFonts w:ascii="Trebuchet MS" w:hAnsi="Trebuchet MS"/>
          <w:color w:val="231F20"/>
          <w:spacing w:val="-2"/>
          <w:w w:val="80"/>
          <w:sz w:val="20"/>
        </w:rPr>
        <w:t>i</w:t>
      </w:r>
      <w:r>
        <w:rPr>
          <w:rFonts w:ascii="Trebuchet MS" w:hAnsi="Trebuchet MS"/>
          <w:color w:val="231F20"/>
          <w:spacing w:val="-2"/>
          <w:w w:val="107"/>
          <w:sz w:val="20"/>
        </w:rPr>
        <w:t>n</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spacing w:val="-3"/>
          <w:w w:val="108"/>
          <w:sz w:val="20"/>
        </w:rPr>
        <w:t>e</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spacing w:val="-3"/>
          <w:w w:val="111"/>
          <w:sz w:val="20"/>
        </w:rPr>
        <w:t>c</w:t>
      </w:r>
      <w:r>
        <w:rPr>
          <w:rFonts w:ascii="Trebuchet MS" w:hAnsi="Trebuchet MS"/>
          <w:color w:val="231F20"/>
          <w:spacing w:val="1"/>
          <w:w w:val="96"/>
          <w:sz w:val="20"/>
        </w:rPr>
        <w:t>l</w:t>
      </w:r>
      <w:r>
        <w:rPr>
          <w:rFonts w:ascii="Trebuchet MS" w:hAnsi="Trebuchet MS"/>
          <w:color w:val="231F20"/>
          <w:spacing w:val="-2"/>
          <w:w w:val="105"/>
          <w:sz w:val="20"/>
        </w:rPr>
        <w:t>a</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4"/>
          <w:w w:val="56"/>
          <w:sz w:val="20"/>
        </w:rPr>
        <w:t>‘</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3"/>
          <w:w w:val="80"/>
          <w:sz w:val="20"/>
        </w:rPr>
        <w:t>i</w:t>
      </w:r>
      <w:r>
        <w:rPr>
          <w:rFonts w:ascii="Trebuchet MS" w:hAnsi="Trebuchet MS"/>
          <w:color w:val="231F20"/>
          <w:spacing w:val="-2"/>
          <w:w w:val="88"/>
          <w:sz w:val="20"/>
        </w:rPr>
        <w:t>t</w:t>
      </w:r>
      <w:r>
        <w:rPr>
          <w:rFonts w:ascii="Trebuchet MS" w:hAnsi="Trebuchet MS"/>
          <w:color w:val="231F20"/>
          <w:spacing w:val="-1"/>
          <w:w w:val="107"/>
          <w:sz w:val="20"/>
        </w:rPr>
        <w:t>n</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 xml:space="preserve">e </w:t>
      </w:r>
      <w:r>
        <w:rPr>
          <w:rFonts w:ascii="Trebuchet MS" w:hAnsi="Trebuchet MS"/>
          <w:color w:val="231F20"/>
          <w:spacing w:val="-1"/>
          <w:w w:val="104"/>
          <w:sz w:val="20"/>
        </w:rPr>
        <w:t>p</w:t>
      </w:r>
      <w:r>
        <w:rPr>
          <w:rFonts w:ascii="Trebuchet MS" w:hAnsi="Trebuchet MS"/>
          <w:color w:val="231F20"/>
          <w:spacing w:val="-4"/>
          <w:w w:val="104"/>
          <w:sz w:val="20"/>
        </w:rPr>
        <w:t>r</w:t>
      </w:r>
      <w:r>
        <w:rPr>
          <w:rFonts w:ascii="Trebuchet MS" w:hAnsi="Trebuchet MS"/>
          <w:color w:val="231F20"/>
          <w:spacing w:val="-1"/>
          <w:w w:val="111"/>
          <w:sz w:val="20"/>
        </w:rPr>
        <w:t>o</w:t>
      </w:r>
      <w:r>
        <w:rPr>
          <w:rFonts w:ascii="Trebuchet MS" w:hAnsi="Trebuchet MS"/>
          <w:color w:val="231F20"/>
          <w:spacing w:val="-3"/>
          <w:w w:val="111"/>
          <w:sz w:val="20"/>
        </w:rPr>
        <w:t>c</w:t>
      </w:r>
      <w:r>
        <w:rPr>
          <w:rFonts w:ascii="Trebuchet MS" w:hAnsi="Trebuchet MS"/>
          <w:color w:val="231F20"/>
          <w:w w:val="108"/>
          <w:sz w:val="20"/>
        </w:rPr>
        <w:t>ee</w:t>
      </w:r>
      <w:r>
        <w:rPr>
          <w:rFonts w:ascii="Trebuchet MS" w:hAnsi="Trebuchet MS"/>
          <w:color w:val="231F20"/>
          <w:spacing w:val="-1"/>
          <w:w w:val="101"/>
          <w:sz w:val="20"/>
        </w:rPr>
        <w:t>d</w:t>
      </w:r>
      <w:r>
        <w:rPr>
          <w:rFonts w:ascii="Trebuchet MS" w:hAnsi="Trebuchet MS"/>
          <w:color w:val="231F20"/>
          <w:spacing w:val="-2"/>
          <w:w w:val="101"/>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06"/>
          <w:sz w:val="20"/>
        </w:rPr>
        <w:t>ou</w:t>
      </w:r>
      <w:r>
        <w:rPr>
          <w:rFonts w:ascii="Trebuchet MS" w:hAnsi="Trebuchet MS"/>
          <w:color w:val="231F20"/>
          <w:spacing w:val="2"/>
          <w:w w:val="106"/>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ho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spacing w:val="-2"/>
          <w:w w:val="122"/>
          <w:sz w:val="20"/>
        </w:rPr>
        <w:t>s</w:t>
      </w:r>
      <w:r>
        <w:rPr>
          <w:rFonts w:ascii="Trebuchet MS" w:hAnsi="Trebuchet MS"/>
          <w:color w:val="231F20"/>
          <w:spacing w:val="-1"/>
          <w:w w:val="101"/>
          <w:sz w:val="20"/>
        </w:rPr>
        <w:t>i</w:t>
      </w:r>
      <w:r>
        <w:rPr>
          <w:rFonts w:ascii="Trebuchet MS" w:hAnsi="Trebuchet MS"/>
          <w:color w:val="231F20"/>
          <w:spacing w:val="-2"/>
          <w:w w:val="101"/>
          <w:sz w:val="20"/>
        </w:rPr>
        <w:t>d</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2"/>
          <w:w w:val="111"/>
          <w:sz w:val="20"/>
        </w:rPr>
        <w:t>o</w:t>
      </w:r>
      <w:r>
        <w:rPr>
          <w:rFonts w:ascii="Trebuchet MS" w:hAnsi="Trebuchet MS"/>
          <w:color w:val="231F20"/>
          <w:spacing w:val="-2"/>
          <w:w w:val="96"/>
          <w:sz w:val="20"/>
        </w:rPr>
        <w:t>l</w:t>
      </w:r>
      <w:r>
        <w:rPr>
          <w:rFonts w:ascii="Trebuchet MS" w:hAnsi="Trebuchet MS"/>
          <w:color w:val="231F20"/>
          <w:spacing w:val="-3"/>
          <w:w w:val="96"/>
          <w:sz w:val="20"/>
        </w:rPr>
        <w:t>l</w:t>
      </w:r>
      <w:r>
        <w:rPr>
          <w:rFonts w:ascii="Trebuchet MS" w:hAnsi="Trebuchet MS"/>
          <w:color w:val="231F20"/>
          <w:spacing w:val="-6"/>
          <w:w w:val="111"/>
          <w:sz w:val="20"/>
        </w:rPr>
        <w:t>o</w:t>
      </w:r>
      <w:r>
        <w:rPr>
          <w:rFonts w:ascii="Trebuchet MS" w:hAnsi="Trebuchet MS"/>
          <w:color w:val="231F20"/>
          <w:spacing w:val="-2"/>
          <w:w w:val="110"/>
          <w:sz w:val="20"/>
        </w:rPr>
        <w:t>w</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2"/>
          <w:w w:val="111"/>
          <w:sz w:val="20"/>
        </w:rPr>
        <w:t>c</w:t>
      </w:r>
      <w:r>
        <w:rPr>
          <w:rFonts w:ascii="Trebuchet MS" w:hAnsi="Trebuchet MS"/>
          <w:color w:val="231F20"/>
          <w:spacing w:val="-2"/>
          <w:w w:val="80"/>
          <w:sz w:val="20"/>
        </w:rPr>
        <w:t>i</w:t>
      </w:r>
      <w:r>
        <w:rPr>
          <w:rFonts w:ascii="Trebuchet MS" w:hAnsi="Trebuchet MS"/>
          <w:color w:val="231F20"/>
          <w:spacing w:val="-4"/>
          <w:w w:val="93"/>
          <w:sz w:val="20"/>
        </w:rPr>
        <w:t>r</w:t>
      </w:r>
      <w:r>
        <w:rPr>
          <w:rFonts w:ascii="Trebuchet MS" w:hAnsi="Trebuchet MS"/>
          <w:color w:val="231F20"/>
          <w:spacing w:val="-3"/>
          <w:w w:val="111"/>
          <w:sz w:val="20"/>
        </w:rPr>
        <w:t>c</w:t>
      </w:r>
      <w:r>
        <w:rPr>
          <w:rFonts w:ascii="Trebuchet MS" w:hAnsi="Trebuchet MS"/>
          <w:color w:val="231F20"/>
          <w:spacing w:val="-1"/>
          <w:w w:val="109"/>
          <w:sz w:val="20"/>
        </w:rPr>
        <w:t>u</w:t>
      </w:r>
      <w:r>
        <w:rPr>
          <w:rFonts w:ascii="Trebuchet MS" w:hAnsi="Trebuchet MS"/>
          <w:color w:val="231F20"/>
          <w:spacing w:val="-2"/>
          <w:w w:val="111"/>
          <w:sz w:val="20"/>
        </w:rPr>
        <w:t>m</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2"/>
          <w:w w:val="105"/>
          <w:sz w:val="20"/>
        </w:rPr>
        <w:t>a</w:t>
      </w:r>
      <w:r>
        <w:rPr>
          <w:rFonts w:ascii="Trebuchet MS" w:hAnsi="Trebuchet MS"/>
          <w:color w:val="231F20"/>
          <w:spacing w:val="-1"/>
          <w:w w:val="109"/>
          <w:sz w:val="20"/>
        </w:rPr>
        <w:t>n</w:t>
      </w:r>
      <w:r>
        <w:rPr>
          <w:rFonts w:ascii="Trebuchet MS" w:hAnsi="Trebuchet MS"/>
          <w:color w:val="231F20"/>
          <w:spacing w:val="-3"/>
          <w:w w:val="109"/>
          <w:sz w:val="20"/>
        </w:rPr>
        <w:t>c</w:t>
      </w:r>
      <w:r>
        <w:rPr>
          <w:rFonts w:ascii="Trebuchet MS" w:hAnsi="Trebuchet MS"/>
          <w:color w:val="231F20"/>
          <w:spacing w:val="-2"/>
          <w:w w:val="108"/>
          <w:sz w:val="20"/>
        </w:rPr>
        <w:t>e</w:t>
      </w:r>
      <w:r>
        <w:rPr>
          <w:rFonts w:ascii="Trebuchet MS" w:hAnsi="Trebuchet MS"/>
          <w:color w:val="231F20"/>
          <w:spacing w:val="-3"/>
          <w:w w:val="122"/>
          <w:sz w:val="20"/>
        </w:rPr>
        <w:t>s</w:t>
      </w:r>
      <w:r>
        <w:rPr>
          <w:rFonts w:ascii="Trebuchet MS" w:hAnsi="Trebuchet MS"/>
          <w:color w:val="231F20"/>
          <w:w w:val="54"/>
          <w:sz w:val="20"/>
        </w:rPr>
        <w:t>:</w:t>
      </w:r>
    </w:p>
    <w:p w14:paraId="4F09092F" w14:textId="77777777" w:rsidR="00894070" w:rsidRDefault="009B7AFD">
      <w:pPr>
        <w:pStyle w:val="ListParagraph"/>
        <w:numPr>
          <w:ilvl w:val="1"/>
          <w:numId w:val="183"/>
        </w:numPr>
        <w:tabs>
          <w:tab w:val="left" w:pos="3161"/>
          <w:tab w:val="left" w:pos="3162"/>
        </w:tabs>
        <w:spacing w:before="122"/>
        <w:ind w:hanging="680"/>
        <w:rPr>
          <w:rFonts w:ascii="Trebuchet MS" w:hAnsi="Trebuchet MS"/>
          <w:sz w:val="20"/>
        </w:rPr>
      </w:pPr>
      <w:r>
        <w:rPr>
          <w:rFonts w:ascii="Trebuchet MS" w:hAnsi="Trebuchet MS"/>
          <w:color w:val="231F20"/>
          <w:w w:val="105"/>
          <w:sz w:val="20"/>
        </w:rPr>
        <w:t>the</w:t>
      </w:r>
      <w:r>
        <w:rPr>
          <w:rFonts w:ascii="Trebuchet MS" w:hAnsi="Trebuchet MS"/>
          <w:color w:val="231F20"/>
          <w:spacing w:val="-18"/>
          <w:w w:val="105"/>
          <w:sz w:val="20"/>
        </w:rPr>
        <w:t xml:space="preserve"> </w:t>
      </w:r>
      <w:r>
        <w:rPr>
          <w:rFonts w:ascii="Trebuchet MS" w:hAnsi="Trebuchet MS"/>
          <w:color w:val="231F20"/>
          <w:spacing w:val="-3"/>
          <w:w w:val="105"/>
          <w:sz w:val="20"/>
        </w:rPr>
        <w:t>nature</w:t>
      </w:r>
      <w:r>
        <w:rPr>
          <w:rFonts w:ascii="Trebuchet MS" w:hAnsi="Trebuchet MS"/>
          <w:color w:val="231F20"/>
          <w:spacing w:val="-17"/>
          <w:w w:val="105"/>
          <w:sz w:val="20"/>
        </w:rPr>
        <w:t xml:space="preserve"> </w:t>
      </w:r>
      <w:r>
        <w:rPr>
          <w:rFonts w:ascii="Trebuchet MS" w:hAnsi="Trebuchet MS"/>
          <w:color w:val="231F20"/>
          <w:w w:val="105"/>
          <w:sz w:val="20"/>
        </w:rPr>
        <w:t>or</w:t>
      </w:r>
      <w:r>
        <w:rPr>
          <w:rFonts w:ascii="Trebuchet MS" w:hAnsi="Trebuchet MS"/>
          <w:color w:val="231F20"/>
          <w:spacing w:val="-17"/>
          <w:w w:val="105"/>
          <w:sz w:val="20"/>
        </w:rPr>
        <w:t xml:space="preserve"> </w:t>
      </w:r>
      <w:r>
        <w:rPr>
          <w:rFonts w:ascii="Trebuchet MS" w:hAnsi="Trebuchet MS"/>
          <w:color w:val="231F20"/>
          <w:w w:val="105"/>
          <w:sz w:val="20"/>
        </w:rPr>
        <w:t>seriousness</w:t>
      </w:r>
      <w:r>
        <w:rPr>
          <w:rFonts w:ascii="Trebuchet MS" w:hAnsi="Trebuchet MS"/>
          <w:color w:val="231F20"/>
          <w:spacing w:val="-17"/>
          <w:w w:val="105"/>
          <w:sz w:val="20"/>
        </w:rPr>
        <w:t xml:space="preserve"> </w:t>
      </w:r>
      <w:r>
        <w:rPr>
          <w:rFonts w:ascii="Trebuchet MS" w:hAnsi="Trebuchet MS"/>
          <w:color w:val="231F20"/>
          <w:w w:val="105"/>
          <w:sz w:val="20"/>
        </w:rPr>
        <w:t>of</w:t>
      </w:r>
      <w:r>
        <w:rPr>
          <w:rFonts w:ascii="Trebuchet MS" w:hAnsi="Trebuchet MS"/>
          <w:color w:val="231F20"/>
          <w:spacing w:val="-17"/>
          <w:w w:val="105"/>
          <w:sz w:val="20"/>
        </w:rPr>
        <w:t xml:space="preserve"> </w:t>
      </w: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w w:val="105"/>
          <w:sz w:val="20"/>
        </w:rPr>
        <w:t>alleged</w:t>
      </w:r>
      <w:r>
        <w:rPr>
          <w:rFonts w:ascii="Trebuchet MS" w:hAnsi="Trebuchet MS"/>
          <w:color w:val="231F20"/>
          <w:spacing w:val="-17"/>
          <w:w w:val="105"/>
          <w:sz w:val="20"/>
        </w:rPr>
        <w:t xml:space="preserve"> </w:t>
      </w:r>
      <w:r>
        <w:rPr>
          <w:rFonts w:ascii="Trebuchet MS" w:hAnsi="Trebuchet MS"/>
          <w:color w:val="231F20"/>
          <w:w w:val="105"/>
          <w:sz w:val="20"/>
        </w:rPr>
        <w:t>prohibited</w:t>
      </w:r>
      <w:r>
        <w:rPr>
          <w:rFonts w:ascii="Trebuchet MS" w:hAnsi="Trebuchet MS"/>
          <w:color w:val="231F20"/>
          <w:spacing w:val="-18"/>
          <w:w w:val="105"/>
          <w:sz w:val="20"/>
        </w:rPr>
        <w:t xml:space="preserve"> </w:t>
      </w:r>
      <w:proofErr w:type="spellStart"/>
      <w:r>
        <w:rPr>
          <w:rFonts w:ascii="Trebuchet MS" w:hAnsi="Trebuchet MS"/>
          <w:color w:val="231F20"/>
          <w:w w:val="105"/>
          <w:sz w:val="20"/>
        </w:rPr>
        <w:t>behaviour</w:t>
      </w:r>
      <w:proofErr w:type="spellEnd"/>
    </w:p>
    <w:p w14:paraId="28B23D40" w14:textId="77777777" w:rsidR="00894070" w:rsidRDefault="009B7AFD">
      <w:pPr>
        <w:pStyle w:val="ListParagraph"/>
        <w:numPr>
          <w:ilvl w:val="1"/>
          <w:numId w:val="183"/>
        </w:numPr>
        <w:tabs>
          <w:tab w:val="left" w:pos="3161"/>
          <w:tab w:val="left" w:pos="3162"/>
        </w:tabs>
        <w:spacing w:before="93"/>
        <w:ind w:hanging="680"/>
        <w:rPr>
          <w:rFonts w:ascii="Trebuchet MS" w:hAnsi="Trebuchet MS"/>
          <w:sz w:val="20"/>
        </w:rPr>
      </w:pPr>
      <w:r>
        <w:rPr>
          <w:rFonts w:ascii="Trebuchet MS" w:hAnsi="Trebuchet MS"/>
          <w:color w:val="231F20"/>
          <w:w w:val="105"/>
          <w:sz w:val="20"/>
        </w:rPr>
        <w:t>relationship</w:t>
      </w:r>
      <w:r>
        <w:rPr>
          <w:rFonts w:ascii="Trebuchet MS" w:hAnsi="Trebuchet MS"/>
          <w:color w:val="231F20"/>
          <w:spacing w:val="-18"/>
          <w:w w:val="105"/>
          <w:sz w:val="20"/>
        </w:rPr>
        <w:t xml:space="preserve"> </w:t>
      </w:r>
      <w:r>
        <w:rPr>
          <w:rFonts w:ascii="Trebuchet MS" w:hAnsi="Trebuchet MS"/>
          <w:color w:val="231F20"/>
          <w:w w:val="105"/>
          <w:sz w:val="20"/>
        </w:rPr>
        <w:t>between</w:t>
      </w:r>
      <w:r>
        <w:rPr>
          <w:rFonts w:ascii="Trebuchet MS" w:hAnsi="Trebuchet MS"/>
          <w:color w:val="231F20"/>
          <w:spacing w:val="-18"/>
          <w:w w:val="105"/>
          <w:sz w:val="20"/>
        </w:rPr>
        <w:t xml:space="preserve"> </w:t>
      </w: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w w:val="105"/>
          <w:sz w:val="20"/>
        </w:rPr>
        <w:t>affected</w:t>
      </w:r>
      <w:r>
        <w:rPr>
          <w:rFonts w:ascii="Trebuchet MS" w:hAnsi="Trebuchet MS"/>
          <w:color w:val="231F20"/>
          <w:spacing w:val="-18"/>
          <w:w w:val="105"/>
          <w:sz w:val="20"/>
        </w:rPr>
        <w:t xml:space="preserve"> </w:t>
      </w:r>
      <w:r>
        <w:rPr>
          <w:rFonts w:ascii="Trebuchet MS" w:hAnsi="Trebuchet MS"/>
          <w:color w:val="231F20"/>
          <w:w w:val="105"/>
          <w:sz w:val="20"/>
        </w:rPr>
        <w:t>person</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8"/>
          <w:w w:val="105"/>
          <w:sz w:val="20"/>
        </w:rPr>
        <w:t xml:space="preserve"> </w:t>
      </w:r>
      <w:r>
        <w:rPr>
          <w:rFonts w:ascii="Trebuchet MS" w:hAnsi="Trebuchet MS"/>
          <w:color w:val="231F20"/>
          <w:w w:val="105"/>
          <w:sz w:val="20"/>
        </w:rPr>
        <w:t>respondent</w:t>
      </w:r>
    </w:p>
    <w:p w14:paraId="58E47D51" w14:textId="77777777" w:rsidR="00894070" w:rsidRDefault="009B7AFD">
      <w:pPr>
        <w:pStyle w:val="ListParagraph"/>
        <w:numPr>
          <w:ilvl w:val="1"/>
          <w:numId w:val="183"/>
        </w:numPr>
        <w:tabs>
          <w:tab w:val="left" w:pos="3161"/>
          <w:tab w:val="left" w:pos="3162"/>
        </w:tabs>
        <w:spacing w:before="93"/>
        <w:ind w:hanging="680"/>
        <w:rPr>
          <w:rFonts w:ascii="Trebuchet MS" w:hAnsi="Trebuchet MS"/>
          <w:sz w:val="20"/>
        </w:rPr>
      </w:pPr>
      <w:r>
        <w:rPr>
          <w:rFonts w:ascii="Trebuchet MS" w:hAnsi="Trebuchet MS"/>
          <w:color w:val="231F20"/>
          <w:sz w:val="20"/>
        </w:rPr>
        <w:t>the</w:t>
      </w:r>
      <w:r>
        <w:rPr>
          <w:rFonts w:ascii="Trebuchet MS" w:hAnsi="Trebuchet MS"/>
          <w:color w:val="231F20"/>
          <w:spacing w:val="-14"/>
          <w:sz w:val="20"/>
        </w:rPr>
        <w:t xml:space="preserve"> </w:t>
      </w:r>
      <w:r>
        <w:rPr>
          <w:rFonts w:ascii="Trebuchet MS" w:hAnsi="Trebuchet MS"/>
          <w:color w:val="231F20"/>
          <w:spacing w:val="-3"/>
          <w:sz w:val="20"/>
        </w:rPr>
        <w:t>level</w:t>
      </w:r>
      <w:r>
        <w:rPr>
          <w:rFonts w:ascii="Trebuchet MS" w:hAnsi="Trebuchet MS"/>
          <w:color w:val="231F20"/>
          <w:spacing w:val="-13"/>
          <w:sz w:val="20"/>
        </w:rPr>
        <w:t xml:space="preserve"> </w:t>
      </w:r>
      <w:r>
        <w:rPr>
          <w:rFonts w:ascii="Trebuchet MS" w:hAnsi="Trebuchet MS"/>
          <w:color w:val="231F20"/>
          <w:sz w:val="20"/>
        </w:rPr>
        <w:t>of</w:t>
      </w:r>
      <w:r>
        <w:rPr>
          <w:rFonts w:ascii="Trebuchet MS" w:hAnsi="Trebuchet MS"/>
          <w:color w:val="231F20"/>
          <w:spacing w:val="-13"/>
          <w:sz w:val="20"/>
        </w:rPr>
        <w:t xml:space="preserve"> </w:t>
      </w:r>
      <w:r>
        <w:rPr>
          <w:rFonts w:ascii="Trebuchet MS" w:hAnsi="Trebuchet MS"/>
          <w:color w:val="231F20"/>
          <w:sz w:val="20"/>
        </w:rPr>
        <w:t>fear</w:t>
      </w:r>
      <w:r>
        <w:rPr>
          <w:rFonts w:ascii="Trebuchet MS" w:hAnsi="Trebuchet MS"/>
          <w:color w:val="231F20"/>
          <w:spacing w:val="-13"/>
          <w:sz w:val="20"/>
        </w:rPr>
        <w:t xml:space="preserve"> </w:t>
      </w:r>
      <w:r>
        <w:rPr>
          <w:rFonts w:ascii="Trebuchet MS" w:hAnsi="Trebuchet MS"/>
          <w:color w:val="231F20"/>
          <w:sz w:val="20"/>
        </w:rPr>
        <w:t>of</w:t>
      </w:r>
      <w:r>
        <w:rPr>
          <w:rFonts w:ascii="Trebuchet MS" w:hAnsi="Trebuchet MS"/>
          <w:color w:val="231F20"/>
          <w:spacing w:val="-13"/>
          <w:sz w:val="20"/>
        </w:rPr>
        <w:t xml:space="preserve"> </w:t>
      </w:r>
      <w:r>
        <w:rPr>
          <w:rFonts w:ascii="Trebuchet MS" w:hAnsi="Trebuchet MS"/>
          <w:color w:val="231F20"/>
          <w:sz w:val="20"/>
        </w:rPr>
        <w:t>the</w:t>
      </w:r>
      <w:r>
        <w:rPr>
          <w:rFonts w:ascii="Trebuchet MS" w:hAnsi="Trebuchet MS"/>
          <w:color w:val="231F20"/>
          <w:spacing w:val="-13"/>
          <w:sz w:val="20"/>
        </w:rPr>
        <w:t xml:space="preserve"> </w:t>
      </w:r>
      <w:r>
        <w:rPr>
          <w:rFonts w:ascii="Trebuchet MS" w:hAnsi="Trebuchet MS"/>
          <w:color w:val="231F20"/>
          <w:sz w:val="20"/>
        </w:rPr>
        <w:t>affected</w:t>
      </w:r>
      <w:r>
        <w:rPr>
          <w:rFonts w:ascii="Trebuchet MS" w:hAnsi="Trebuchet MS"/>
          <w:color w:val="231F20"/>
          <w:spacing w:val="-13"/>
          <w:sz w:val="20"/>
        </w:rPr>
        <w:t xml:space="preserve"> </w:t>
      </w:r>
      <w:r>
        <w:rPr>
          <w:rFonts w:ascii="Trebuchet MS" w:hAnsi="Trebuchet MS"/>
          <w:color w:val="231F20"/>
          <w:sz w:val="20"/>
        </w:rPr>
        <w:t>person</w:t>
      </w:r>
    </w:p>
    <w:p w14:paraId="50A867B0" w14:textId="77777777" w:rsidR="00894070" w:rsidRDefault="009B7AFD">
      <w:pPr>
        <w:pStyle w:val="ListParagraph"/>
        <w:numPr>
          <w:ilvl w:val="1"/>
          <w:numId w:val="183"/>
        </w:numPr>
        <w:tabs>
          <w:tab w:val="left" w:pos="3161"/>
          <w:tab w:val="left" w:pos="3162"/>
        </w:tabs>
        <w:spacing w:before="92"/>
        <w:ind w:hanging="680"/>
        <w:rPr>
          <w:rFonts w:ascii="Trebuchet MS" w:hAnsi="Trebuchet MS"/>
          <w:sz w:val="20"/>
        </w:rPr>
      </w:pPr>
      <w:r>
        <w:rPr>
          <w:rFonts w:ascii="Trebuchet MS" w:hAnsi="Trebuchet MS"/>
          <w:color w:val="231F20"/>
          <w:w w:val="105"/>
          <w:sz w:val="20"/>
        </w:rPr>
        <w:t>whether</w:t>
      </w:r>
      <w:r>
        <w:rPr>
          <w:rFonts w:ascii="Trebuchet MS" w:hAnsi="Trebuchet MS"/>
          <w:color w:val="231F20"/>
          <w:spacing w:val="-17"/>
          <w:w w:val="105"/>
          <w:sz w:val="20"/>
        </w:rPr>
        <w:t xml:space="preserve"> </w:t>
      </w:r>
      <w:r>
        <w:rPr>
          <w:rFonts w:ascii="Trebuchet MS" w:hAnsi="Trebuchet MS"/>
          <w:color w:val="231F20"/>
          <w:spacing w:val="-3"/>
          <w:w w:val="105"/>
          <w:sz w:val="20"/>
        </w:rPr>
        <w:t>cross-examination</w:t>
      </w:r>
      <w:r>
        <w:rPr>
          <w:rFonts w:ascii="Trebuchet MS" w:hAnsi="Trebuchet MS"/>
          <w:color w:val="231F20"/>
          <w:spacing w:val="-16"/>
          <w:w w:val="105"/>
          <w:sz w:val="20"/>
        </w:rPr>
        <w:t xml:space="preserve"> </w:t>
      </w:r>
      <w:r>
        <w:rPr>
          <w:rFonts w:ascii="Trebuchet MS" w:hAnsi="Trebuchet MS"/>
          <w:color w:val="231F20"/>
          <w:w w:val="105"/>
          <w:sz w:val="20"/>
        </w:rPr>
        <w:t>could</w:t>
      </w:r>
      <w:r>
        <w:rPr>
          <w:rFonts w:ascii="Trebuchet MS" w:hAnsi="Trebuchet MS"/>
          <w:color w:val="231F20"/>
          <w:spacing w:val="-16"/>
          <w:w w:val="105"/>
          <w:sz w:val="20"/>
        </w:rPr>
        <w:t xml:space="preserve"> </w:t>
      </w:r>
      <w:r>
        <w:rPr>
          <w:rFonts w:ascii="Trebuchet MS" w:hAnsi="Trebuchet MS"/>
          <w:color w:val="231F20"/>
          <w:spacing w:val="-3"/>
          <w:w w:val="105"/>
          <w:sz w:val="20"/>
        </w:rPr>
        <w:t>perpetuate</w:t>
      </w:r>
      <w:r>
        <w:rPr>
          <w:rFonts w:ascii="Trebuchet MS" w:hAnsi="Trebuchet MS"/>
          <w:color w:val="231F20"/>
          <w:spacing w:val="-16"/>
          <w:w w:val="105"/>
          <w:sz w:val="20"/>
        </w:rPr>
        <w:t xml:space="preserve"> </w:t>
      </w:r>
      <w:r>
        <w:rPr>
          <w:rFonts w:ascii="Trebuchet MS" w:hAnsi="Trebuchet MS"/>
          <w:color w:val="231F20"/>
          <w:w w:val="105"/>
          <w:sz w:val="20"/>
        </w:rPr>
        <w:t>stalking</w:t>
      </w:r>
    </w:p>
    <w:p w14:paraId="679EADEA" w14:textId="77777777" w:rsidR="00894070" w:rsidRDefault="009B7AFD">
      <w:pPr>
        <w:pStyle w:val="ListParagraph"/>
        <w:numPr>
          <w:ilvl w:val="1"/>
          <w:numId w:val="183"/>
        </w:numPr>
        <w:tabs>
          <w:tab w:val="left" w:pos="3161"/>
          <w:tab w:val="left" w:pos="3162"/>
        </w:tabs>
        <w:spacing w:before="93"/>
        <w:ind w:hanging="680"/>
        <w:rPr>
          <w:rFonts w:ascii="Trebuchet MS" w:hAnsi="Trebuchet MS"/>
          <w:sz w:val="20"/>
        </w:rPr>
      </w:pPr>
      <w:r>
        <w:rPr>
          <w:rFonts w:ascii="Trebuchet MS" w:hAnsi="Trebuchet MS"/>
          <w:color w:val="231F20"/>
          <w:spacing w:val="-2"/>
          <w:w w:val="105"/>
          <w:sz w:val="20"/>
        </w:rPr>
        <w:t>a</w:t>
      </w:r>
      <w:r>
        <w:rPr>
          <w:rFonts w:ascii="Trebuchet MS" w:hAnsi="Trebuchet MS"/>
          <w:color w:val="231F20"/>
          <w:spacing w:val="-6"/>
          <w:w w:val="107"/>
          <w:sz w:val="20"/>
        </w:rPr>
        <w:t>n</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2"/>
          <w:w w:val="80"/>
          <w:sz w:val="20"/>
        </w:rPr>
        <w:t>i</w:t>
      </w:r>
      <w:r>
        <w:rPr>
          <w:rFonts w:ascii="Trebuchet MS" w:hAnsi="Trebuchet MS"/>
          <w:color w:val="231F20"/>
          <w:w w:val="80"/>
          <w:sz w:val="20"/>
        </w:rPr>
        <w:t>f</w:t>
      </w:r>
      <w:r>
        <w:rPr>
          <w:rFonts w:ascii="Trebuchet MS" w:hAnsi="Trebuchet MS"/>
          <w:color w:val="231F20"/>
          <w:spacing w:val="-1"/>
          <w:w w:val="80"/>
          <w:sz w:val="20"/>
        </w:rPr>
        <w:t>i</w:t>
      </w:r>
      <w:r>
        <w:rPr>
          <w:rFonts w:ascii="Trebuchet MS" w:hAnsi="Trebuchet MS"/>
          <w:color w:val="231F20"/>
          <w:w w:val="111"/>
          <w:sz w:val="20"/>
        </w:rPr>
        <w:t>c</w:t>
      </w:r>
      <w:r>
        <w:rPr>
          <w:rFonts w:ascii="Trebuchet MS" w:hAnsi="Trebuchet MS"/>
          <w:color w:val="231F20"/>
          <w:spacing w:val="-14"/>
          <w:sz w:val="20"/>
        </w:rPr>
        <w:t xml:space="preserve"> </w:t>
      </w:r>
      <w:r>
        <w:rPr>
          <w:rFonts w:ascii="Trebuchet MS" w:hAnsi="Trebuchet MS"/>
          <w:color w:val="231F20"/>
          <w:spacing w:val="-1"/>
          <w:w w:val="107"/>
          <w:sz w:val="20"/>
        </w:rPr>
        <w:t>n</w:t>
      </w:r>
      <w:r>
        <w:rPr>
          <w:rFonts w:ascii="Trebuchet MS" w:hAnsi="Trebuchet MS"/>
          <w:color w:val="231F20"/>
          <w:w w:val="108"/>
          <w:sz w:val="20"/>
        </w:rPr>
        <w:t>ee</w:t>
      </w:r>
      <w:r>
        <w:rPr>
          <w:rFonts w:ascii="Trebuchet MS" w:hAnsi="Trebuchet MS"/>
          <w:color w:val="231F20"/>
          <w:spacing w:val="-1"/>
          <w:w w:val="112"/>
          <w:sz w:val="20"/>
        </w:rPr>
        <w:t>d</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3"/>
          <w:w w:val="105"/>
          <w:sz w:val="20"/>
        </w:rPr>
        <w:t>a</w:t>
      </w:r>
      <w:r>
        <w:rPr>
          <w:rFonts w:ascii="Trebuchet MS" w:hAnsi="Trebuchet MS"/>
          <w:color w:val="231F20"/>
          <w:w w:val="81"/>
          <w:sz w:val="20"/>
        </w:rPr>
        <w:t>f</w:t>
      </w:r>
      <w:r>
        <w:rPr>
          <w:rFonts w:ascii="Trebuchet MS" w:hAnsi="Trebuchet MS"/>
          <w:color w:val="231F20"/>
          <w:spacing w:val="-5"/>
          <w:w w:val="81"/>
          <w:sz w:val="20"/>
        </w:rPr>
        <w:t>f</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spacing w:val="-1"/>
          <w:w w:val="111"/>
          <w:sz w:val="20"/>
        </w:rPr>
        <w:t>o</w:t>
      </w:r>
      <w:r>
        <w:rPr>
          <w:rFonts w:ascii="Trebuchet MS" w:hAnsi="Trebuchet MS"/>
          <w:color w:val="231F20"/>
          <w:spacing w:val="-1"/>
          <w:w w:val="107"/>
          <w:sz w:val="20"/>
        </w:rPr>
        <w:t>n</w:t>
      </w:r>
      <w:r>
        <w:rPr>
          <w:rFonts w:ascii="Trebuchet MS" w:hAnsi="Trebuchet MS"/>
          <w:color w:val="231F20"/>
          <w:w w:val="55"/>
          <w:sz w:val="20"/>
        </w:rPr>
        <w:t>.</w:t>
      </w:r>
    </w:p>
    <w:p w14:paraId="4D82E830" w14:textId="77777777" w:rsidR="00894070" w:rsidRDefault="009B7AFD">
      <w:pPr>
        <w:pStyle w:val="ListParagraph"/>
        <w:numPr>
          <w:ilvl w:val="0"/>
          <w:numId w:val="191"/>
        </w:numPr>
        <w:tabs>
          <w:tab w:val="left" w:pos="1801"/>
          <w:tab w:val="left" w:pos="1802"/>
        </w:tabs>
        <w:spacing w:before="93" w:line="247" w:lineRule="auto"/>
        <w:ind w:left="1801" w:right="1350"/>
        <w:rPr>
          <w:rFonts w:ascii="Trebuchet MS"/>
          <w:sz w:val="20"/>
        </w:rPr>
      </w:pPr>
      <w:r>
        <w:rPr>
          <w:rFonts w:ascii="Trebuchet MS"/>
          <w:color w:val="231F20"/>
          <w:w w:val="105"/>
          <w:sz w:val="20"/>
        </w:rPr>
        <w:t>The</w:t>
      </w:r>
      <w:r>
        <w:rPr>
          <w:rFonts w:ascii="Trebuchet MS"/>
          <w:color w:val="231F20"/>
          <w:spacing w:val="-31"/>
          <w:w w:val="105"/>
          <w:sz w:val="20"/>
        </w:rPr>
        <w:t xml:space="preserve"> </w:t>
      </w:r>
      <w:r>
        <w:rPr>
          <w:rFonts w:ascii="Arial"/>
          <w:i/>
          <w:color w:val="231F20"/>
          <w:w w:val="105"/>
          <w:sz w:val="20"/>
        </w:rPr>
        <w:t>Personal</w:t>
      </w:r>
      <w:r>
        <w:rPr>
          <w:rFonts w:ascii="Arial"/>
          <w:i/>
          <w:color w:val="231F20"/>
          <w:spacing w:val="-27"/>
          <w:w w:val="105"/>
          <w:sz w:val="20"/>
        </w:rPr>
        <w:t xml:space="preserve"> </w:t>
      </w:r>
      <w:r>
        <w:rPr>
          <w:rFonts w:ascii="Arial"/>
          <w:i/>
          <w:color w:val="231F20"/>
          <w:w w:val="105"/>
          <w:sz w:val="20"/>
        </w:rPr>
        <w:t>Safety</w:t>
      </w:r>
      <w:r>
        <w:rPr>
          <w:rFonts w:ascii="Arial"/>
          <w:i/>
          <w:color w:val="231F20"/>
          <w:spacing w:val="-27"/>
          <w:w w:val="105"/>
          <w:sz w:val="20"/>
        </w:rPr>
        <w:t xml:space="preserve"> </w:t>
      </w:r>
      <w:r>
        <w:rPr>
          <w:rFonts w:ascii="Arial"/>
          <w:i/>
          <w:color w:val="231F20"/>
          <w:w w:val="105"/>
          <w:sz w:val="20"/>
        </w:rPr>
        <w:t>Intervention</w:t>
      </w:r>
      <w:r>
        <w:rPr>
          <w:rFonts w:ascii="Arial"/>
          <w:i/>
          <w:color w:val="231F20"/>
          <w:spacing w:val="-27"/>
          <w:w w:val="105"/>
          <w:sz w:val="20"/>
        </w:rPr>
        <w:t xml:space="preserve"> </w:t>
      </w:r>
      <w:r>
        <w:rPr>
          <w:rFonts w:ascii="Arial"/>
          <w:i/>
          <w:color w:val="231F20"/>
          <w:w w:val="105"/>
          <w:sz w:val="20"/>
        </w:rPr>
        <w:t>Orders</w:t>
      </w:r>
      <w:r>
        <w:rPr>
          <w:rFonts w:ascii="Arial"/>
          <w:i/>
          <w:color w:val="231F20"/>
          <w:spacing w:val="-26"/>
          <w:w w:val="105"/>
          <w:sz w:val="20"/>
        </w:rPr>
        <w:t xml:space="preserve"> </w:t>
      </w:r>
      <w:r>
        <w:rPr>
          <w:rFonts w:ascii="Arial"/>
          <w:i/>
          <w:color w:val="231F20"/>
          <w:w w:val="105"/>
          <w:sz w:val="20"/>
        </w:rPr>
        <w:t>Act</w:t>
      </w:r>
      <w:r>
        <w:rPr>
          <w:rFonts w:ascii="Arial"/>
          <w:i/>
          <w:color w:val="231F20"/>
          <w:spacing w:val="-27"/>
          <w:w w:val="105"/>
          <w:sz w:val="20"/>
        </w:rPr>
        <w:t xml:space="preserve"> </w:t>
      </w:r>
      <w:r>
        <w:rPr>
          <w:rFonts w:ascii="Arial"/>
          <w:i/>
          <w:color w:val="231F20"/>
          <w:spacing w:val="-3"/>
          <w:w w:val="105"/>
          <w:sz w:val="20"/>
        </w:rPr>
        <w:t>2010</w:t>
      </w:r>
      <w:r>
        <w:rPr>
          <w:rFonts w:ascii="Arial"/>
          <w:i/>
          <w:color w:val="231F20"/>
          <w:spacing w:val="-26"/>
          <w:w w:val="105"/>
          <w:sz w:val="20"/>
        </w:rPr>
        <w:t xml:space="preserve"> </w:t>
      </w:r>
      <w:r>
        <w:rPr>
          <w:rFonts w:ascii="Trebuchet MS"/>
          <w:color w:val="231F20"/>
          <w:w w:val="105"/>
          <w:sz w:val="20"/>
        </w:rPr>
        <w:t>(Vic)</w:t>
      </w:r>
      <w:r>
        <w:rPr>
          <w:rFonts w:ascii="Trebuchet MS"/>
          <w:color w:val="231F20"/>
          <w:spacing w:val="-30"/>
          <w:w w:val="105"/>
          <w:sz w:val="20"/>
        </w:rPr>
        <w:t xml:space="preserve"> </w:t>
      </w:r>
      <w:r>
        <w:rPr>
          <w:rFonts w:ascii="Trebuchet MS"/>
          <w:color w:val="231F20"/>
          <w:w w:val="105"/>
          <w:sz w:val="20"/>
        </w:rPr>
        <w:t>should</w:t>
      </w:r>
      <w:r>
        <w:rPr>
          <w:rFonts w:ascii="Trebuchet MS"/>
          <w:color w:val="231F20"/>
          <w:spacing w:val="-31"/>
          <w:w w:val="105"/>
          <w:sz w:val="20"/>
        </w:rPr>
        <w:t xml:space="preserve"> </w:t>
      </w:r>
      <w:r>
        <w:rPr>
          <w:rFonts w:ascii="Trebuchet MS"/>
          <w:color w:val="231F20"/>
          <w:w w:val="105"/>
          <w:sz w:val="20"/>
        </w:rPr>
        <w:t>include</w:t>
      </w:r>
      <w:r>
        <w:rPr>
          <w:rFonts w:ascii="Trebuchet MS"/>
          <w:color w:val="231F20"/>
          <w:spacing w:val="-31"/>
          <w:w w:val="105"/>
          <w:sz w:val="20"/>
        </w:rPr>
        <w:t xml:space="preserve"> </w:t>
      </w:r>
      <w:r>
        <w:rPr>
          <w:rFonts w:ascii="Trebuchet MS"/>
          <w:color w:val="231F20"/>
          <w:w w:val="105"/>
          <w:sz w:val="20"/>
        </w:rPr>
        <w:t>an</w:t>
      </w:r>
      <w:r>
        <w:rPr>
          <w:rFonts w:ascii="Trebuchet MS"/>
          <w:color w:val="231F20"/>
          <w:spacing w:val="-30"/>
          <w:w w:val="105"/>
          <w:sz w:val="20"/>
        </w:rPr>
        <w:t xml:space="preserve"> </w:t>
      </w:r>
      <w:r>
        <w:rPr>
          <w:rFonts w:ascii="Trebuchet MS"/>
          <w:color w:val="231F20"/>
          <w:w w:val="105"/>
          <w:sz w:val="20"/>
        </w:rPr>
        <w:t xml:space="preserve">equivalent </w:t>
      </w:r>
      <w:r>
        <w:rPr>
          <w:rFonts w:ascii="Trebuchet MS"/>
          <w:color w:val="231F20"/>
          <w:spacing w:val="-3"/>
          <w:w w:val="105"/>
          <w:sz w:val="20"/>
        </w:rPr>
        <w:t>provision</w:t>
      </w:r>
      <w:r>
        <w:rPr>
          <w:rFonts w:ascii="Trebuchet MS"/>
          <w:color w:val="231F20"/>
          <w:spacing w:val="-28"/>
          <w:w w:val="105"/>
          <w:sz w:val="20"/>
        </w:rPr>
        <w:t xml:space="preserve"> </w:t>
      </w:r>
      <w:r>
        <w:rPr>
          <w:rFonts w:ascii="Trebuchet MS"/>
          <w:color w:val="231F20"/>
          <w:w w:val="105"/>
          <w:sz w:val="20"/>
        </w:rPr>
        <w:t>as</w:t>
      </w:r>
      <w:r>
        <w:rPr>
          <w:rFonts w:ascii="Trebuchet MS"/>
          <w:color w:val="231F20"/>
          <w:spacing w:val="-28"/>
          <w:w w:val="105"/>
          <w:sz w:val="20"/>
        </w:rPr>
        <w:t xml:space="preserve"> </w:t>
      </w:r>
      <w:r>
        <w:rPr>
          <w:rFonts w:ascii="Trebuchet MS"/>
          <w:color w:val="231F20"/>
          <w:w w:val="105"/>
          <w:sz w:val="20"/>
        </w:rPr>
        <w:t>in</w:t>
      </w:r>
      <w:r>
        <w:rPr>
          <w:rFonts w:ascii="Trebuchet MS"/>
          <w:color w:val="231F20"/>
          <w:spacing w:val="-28"/>
          <w:w w:val="105"/>
          <w:sz w:val="20"/>
        </w:rPr>
        <w:t xml:space="preserve"> </w:t>
      </w:r>
      <w:r>
        <w:rPr>
          <w:rFonts w:ascii="Trebuchet MS"/>
          <w:color w:val="231F20"/>
          <w:w w:val="105"/>
          <w:sz w:val="20"/>
        </w:rPr>
        <w:t>section</w:t>
      </w:r>
      <w:r>
        <w:rPr>
          <w:rFonts w:ascii="Trebuchet MS"/>
          <w:color w:val="231F20"/>
          <w:spacing w:val="-27"/>
          <w:w w:val="105"/>
          <w:sz w:val="20"/>
        </w:rPr>
        <w:t xml:space="preserve"> </w:t>
      </w:r>
      <w:r>
        <w:rPr>
          <w:rFonts w:ascii="Trebuchet MS"/>
          <w:color w:val="231F20"/>
          <w:w w:val="105"/>
          <w:sz w:val="20"/>
        </w:rPr>
        <w:t>71</w:t>
      </w:r>
      <w:r>
        <w:rPr>
          <w:rFonts w:ascii="Trebuchet MS"/>
          <w:color w:val="231F20"/>
          <w:spacing w:val="-28"/>
          <w:w w:val="105"/>
          <w:sz w:val="20"/>
        </w:rPr>
        <w:t xml:space="preserve"> </w:t>
      </w:r>
      <w:r>
        <w:rPr>
          <w:rFonts w:ascii="Trebuchet MS"/>
          <w:color w:val="231F20"/>
          <w:w w:val="105"/>
          <w:sz w:val="20"/>
        </w:rPr>
        <w:t>of</w:t>
      </w:r>
      <w:r>
        <w:rPr>
          <w:rFonts w:ascii="Trebuchet MS"/>
          <w:color w:val="231F20"/>
          <w:spacing w:val="-28"/>
          <w:w w:val="105"/>
          <w:sz w:val="20"/>
        </w:rPr>
        <w:t xml:space="preserve"> </w:t>
      </w:r>
      <w:r>
        <w:rPr>
          <w:rFonts w:ascii="Trebuchet MS"/>
          <w:color w:val="231F20"/>
          <w:w w:val="105"/>
          <w:sz w:val="20"/>
        </w:rPr>
        <w:t>the</w:t>
      </w:r>
      <w:r>
        <w:rPr>
          <w:rFonts w:ascii="Trebuchet MS"/>
          <w:color w:val="231F20"/>
          <w:spacing w:val="-27"/>
          <w:w w:val="105"/>
          <w:sz w:val="20"/>
        </w:rPr>
        <w:t xml:space="preserve"> </w:t>
      </w:r>
      <w:r>
        <w:rPr>
          <w:rFonts w:ascii="Arial"/>
          <w:i/>
          <w:color w:val="231F20"/>
          <w:spacing w:val="-3"/>
          <w:w w:val="105"/>
          <w:sz w:val="20"/>
        </w:rPr>
        <w:t>Family</w:t>
      </w:r>
      <w:r>
        <w:rPr>
          <w:rFonts w:ascii="Arial"/>
          <w:i/>
          <w:color w:val="231F20"/>
          <w:spacing w:val="-24"/>
          <w:w w:val="105"/>
          <w:sz w:val="20"/>
        </w:rPr>
        <w:t xml:space="preserve"> </w:t>
      </w:r>
      <w:r>
        <w:rPr>
          <w:rFonts w:ascii="Arial"/>
          <w:i/>
          <w:color w:val="231F20"/>
          <w:w w:val="105"/>
          <w:sz w:val="20"/>
        </w:rPr>
        <w:t>Violence</w:t>
      </w:r>
      <w:r>
        <w:rPr>
          <w:rFonts w:ascii="Arial"/>
          <w:i/>
          <w:color w:val="231F20"/>
          <w:spacing w:val="-24"/>
          <w:w w:val="105"/>
          <w:sz w:val="20"/>
        </w:rPr>
        <w:t xml:space="preserve"> </w:t>
      </w:r>
      <w:r>
        <w:rPr>
          <w:rFonts w:ascii="Arial"/>
          <w:i/>
          <w:color w:val="231F20"/>
          <w:spacing w:val="-3"/>
          <w:w w:val="105"/>
          <w:sz w:val="20"/>
        </w:rPr>
        <w:t>Protection</w:t>
      </w:r>
      <w:r>
        <w:rPr>
          <w:rFonts w:ascii="Arial"/>
          <w:i/>
          <w:color w:val="231F20"/>
          <w:spacing w:val="-24"/>
          <w:w w:val="105"/>
          <w:sz w:val="20"/>
        </w:rPr>
        <w:t xml:space="preserve"> </w:t>
      </w:r>
      <w:r>
        <w:rPr>
          <w:rFonts w:ascii="Arial"/>
          <w:i/>
          <w:color w:val="231F20"/>
          <w:w w:val="105"/>
          <w:sz w:val="20"/>
        </w:rPr>
        <w:t>Act</w:t>
      </w:r>
      <w:r>
        <w:rPr>
          <w:rFonts w:ascii="Arial"/>
          <w:i/>
          <w:color w:val="231F20"/>
          <w:spacing w:val="-25"/>
          <w:w w:val="105"/>
          <w:sz w:val="20"/>
        </w:rPr>
        <w:t xml:space="preserve"> </w:t>
      </w:r>
      <w:r>
        <w:rPr>
          <w:rFonts w:ascii="Arial"/>
          <w:i/>
          <w:color w:val="231F20"/>
          <w:w w:val="105"/>
          <w:sz w:val="20"/>
        </w:rPr>
        <w:t>2008</w:t>
      </w:r>
      <w:r>
        <w:rPr>
          <w:rFonts w:ascii="Arial"/>
          <w:i/>
          <w:color w:val="231F20"/>
          <w:spacing w:val="-22"/>
          <w:w w:val="105"/>
          <w:sz w:val="20"/>
        </w:rPr>
        <w:t xml:space="preserve"> </w:t>
      </w:r>
      <w:r>
        <w:rPr>
          <w:rFonts w:ascii="Trebuchet MS"/>
          <w:color w:val="231F20"/>
          <w:w w:val="105"/>
          <w:sz w:val="20"/>
        </w:rPr>
        <w:t>(Vic)</w:t>
      </w:r>
      <w:r>
        <w:rPr>
          <w:rFonts w:ascii="Trebuchet MS"/>
          <w:color w:val="231F20"/>
          <w:spacing w:val="-28"/>
          <w:w w:val="105"/>
          <w:sz w:val="20"/>
        </w:rPr>
        <w:t xml:space="preserve"> </w:t>
      </w:r>
      <w:r>
        <w:rPr>
          <w:rFonts w:ascii="Trebuchet MS"/>
          <w:color w:val="231F20"/>
          <w:w w:val="105"/>
          <w:sz w:val="20"/>
        </w:rPr>
        <w:t>for</w:t>
      </w:r>
      <w:r>
        <w:rPr>
          <w:rFonts w:ascii="Trebuchet MS"/>
          <w:color w:val="231F20"/>
          <w:spacing w:val="-27"/>
          <w:w w:val="105"/>
          <w:sz w:val="20"/>
        </w:rPr>
        <w:t xml:space="preserve"> </w:t>
      </w:r>
      <w:r>
        <w:rPr>
          <w:rFonts w:ascii="Trebuchet MS"/>
          <w:color w:val="231F20"/>
          <w:w w:val="105"/>
          <w:sz w:val="20"/>
        </w:rPr>
        <w:t>the</w:t>
      </w:r>
      <w:r>
        <w:rPr>
          <w:rFonts w:ascii="Trebuchet MS"/>
          <w:color w:val="231F20"/>
          <w:spacing w:val="-28"/>
          <w:w w:val="105"/>
          <w:sz w:val="20"/>
        </w:rPr>
        <w:t xml:space="preserve"> </w:t>
      </w:r>
      <w:r>
        <w:rPr>
          <w:rFonts w:ascii="Trebuchet MS"/>
          <w:color w:val="231F20"/>
          <w:w w:val="105"/>
          <w:sz w:val="20"/>
        </w:rPr>
        <w:t xml:space="preserve">court to order Victoria Legal Aid to </w:t>
      </w:r>
      <w:r>
        <w:rPr>
          <w:rFonts w:ascii="Trebuchet MS"/>
          <w:color w:val="231F20"/>
          <w:spacing w:val="-2"/>
          <w:w w:val="105"/>
          <w:sz w:val="20"/>
        </w:rPr>
        <w:t xml:space="preserve">represent </w:t>
      </w:r>
      <w:r>
        <w:rPr>
          <w:rFonts w:ascii="Trebuchet MS"/>
          <w:color w:val="231F20"/>
          <w:w w:val="105"/>
          <w:sz w:val="20"/>
        </w:rPr>
        <w:t xml:space="preserve">otherwise unrepresented respondents for </w:t>
      </w:r>
      <w:r>
        <w:rPr>
          <w:rFonts w:ascii="Trebuchet MS"/>
          <w:color w:val="231F20"/>
          <w:spacing w:val="-2"/>
          <w:w w:val="111"/>
          <w:sz w:val="20"/>
        </w:rPr>
        <w:t>c</w:t>
      </w:r>
      <w:r>
        <w:rPr>
          <w:rFonts w:ascii="Trebuchet MS"/>
          <w:color w:val="231F20"/>
          <w:spacing w:val="-4"/>
          <w:w w:val="93"/>
          <w:sz w:val="20"/>
        </w:rPr>
        <w:t>r</w:t>
      </w:r>
      <w:r>
        <w:rPr>
          <w:rFonts w:ascii="Trebuchet MS"/>
          <w:color w:val="231F20"/>
          <w:spacing w:val="-2"/>
          <w:w w:val="111"/>
          <w:sz w:val="20"/>
        </w:rPr>
        <w:t>o</w:t>
      </w:r>
      <w:r>
        <w:rPr>
          <w:rFonts w:ascii="Trebuchet MS"/>
          <w:color w:val="231F20"/>
          <w:spacing w:val="-1"/>
          <w:w w:val="122"/>
          <w:sz w:val="20"/>
        </w:rPr>
        <w:t>s</w:t>
      </w:r>
      <w:r>
        <w:rPr>
          <w:rFonts w:ascii="Trebuchet MS"/>
          <w:color w:val="231F20"/>
          <w:spacing w:val="-4"/>
          <w:w w:val="122"/>
          <w:sz w:val="20"/>
        </w:rPr>
        <w:t>s</w:t>
      </w:r>
      <w:r>
        <w:rPr>
          <w:rFonts w:ascii="Trebuchet MS"/>
          <w:color w:val="231F20"/>
          <w:spacing w:val="1"/>
          <w:w w:val="115"/>
          <w:sz w:val="20"/>
        </w:rPr>
        <w:t>-</w:t>
      </w:r>
      <w:r>
        <w:rPr>
          <w:rFonts w:ascii="Trebuchet MS"/>
          <w:color w:val="231F20"/>
          <w:spacing w:val="-5"/>
          <w:w w:val="108"/>
          <w:sz w:val="20"/>
        </w:rPr>
        <w:t>e</w:t>
      </w:r>
      <w:r>
        <w:rPr>
          <w:rFonts w:ascii="Trebuchet MS"/>
          <w:color w:val="231F20"/>
          <w:spacing w:val="-4"/>
          <w:w w:val="102"/>
          <w:sz w:val="20"/>
        </w:rPr>
        <w:t>x</w:t>
      </w:r>
      <w:r>
        <w:rPr>
          <w:rFonts w:ascii="Trebuchet MS"/>
          <w:color w:val="231F20"/>
          <w:spacing w:val="-2"/>
          <w:w w:val="104"/>
          <w:sz w:val="20"/>
        </w:rPr>
        <w:t>ami</w:t>
      </w:r>
      <w:r>
        <w:rPr>
          <w:rFonts w:ascii="Trebuchet MS"/>
          <w:color w:val="231F20"/>
          <w:spacing w:val="-1"/>
          <w:w w:val="107"/>
          <w:sz w:val="20"/>
        </w:rPr>
        <w:t>n</w:t>
      </w:r>
      <w:r>
        <w:rPr>
          <w:rFonts w:ascii="Trebuchet MS"/>
          <w:color w:val="231F20"/>
          <w:spacing w:val="-4"/>
          <w:w w:val="105"/>
          <w:sz w:val="20"/>
        </w:rPr>
        <w:t>a</w:t>
      </w:r>
      <w:r>
        <w:rPr>
          <w:rFonts w:ascii="Trebuchet MS"/>
          <w:color w:val="231F20"/>
          <w:spacing w:val="-2"/>
          <w:w w:val="85"/>
          <w:sz w:val="20"/>
        </w:rPr>
        <w:t>t</w:t>
      </w:r>
      <w:r>
        <w:rPr>
          <w:rFonts w:ascii="Trebuchet MS"/>
          <w:color w:val="231F20"/>
          <w:spacing w:val="-1"/>
          <w:w w:val="85"/>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99"/>
          <w:sz w:val="20"/>
        </w:rPr>
        <w:t>t</w:t>
      </w:r>
      <w:r>
        <w:rPr>
          <w:rFonts w:ascii="Trebuchet MS"/>
          <w:color w:val="231F20"/>
          <w:spacing w:val="-1"/>
          <w:w w:val="99"/>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4"/>
          <w:w w:val="111"/>
          <w:sz w:val="20"/>
        </w:rPr>
        <w:t>o</w:t>
      </w:r>
      <w:r>
        <w:rPr>
          <w:rFonts w:ascii="Trebuchet MS"/>
          <w:color w:val="231F20"/>
          <w:spacing w:val="-4"/>
          <w:w w:val="88"/>
          <w:sz w:val="20"/>
        </w:rPr>
        <w:t>t</w:t>
      </w:r>
      <w:r>
        <w:rPr>
          <w:rFonts w:ascii="Trebuchet MS"/>
          <w:color w:val="231F20"/>
          <w:w w:val="108"/>
          <w:sz w:val="20"/>
        </w:rPr>
        <w:t>e</w:t>
      </w:r>
      <w:r>
        <w:rPr>
          <w:rFonts w:ascii="Trebuchet MS"/>
          <w:color w:val="231F20"/>
          <w:spacing w:val="-2"/>
          <w:w w:val="101"/>
          <w:sz w:val="20"/>
        </w:rPr>
        <w:t>c</w:t>
      </w:r>
      <w:r>
        <w:rPr>
          <w:rFonts w:ascii="Trebuchet MS"/>
          <w:color w:val="231F20"/>
          <w:spacing w:val="-4"/>
          <w:w w:val="101"/>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02"/>
          <w:sz w:val="20"/>
        </w:rPr>
        <w:t>w</w:t>
      </w:r>
      <w:r>
        <w:rPr>
          <w:rFonts w:ascii="Trebuchet MS"/>
          <w:color w:val="231F20"/>
          <w:spacing w:val="-3"/>
          <w:w w:val="102"/>
          <w:sz w:val="20"/>
        </w:rPr>
        <w:t>i</w:t>
      </w:r>
      <w:r>
        <w:rPr>
          <w:rFonts w:ascii="Trebuchet MS"/>
          <w:color w:val="231F20"/>
          <w:spacing w:val="-2"/>
          <w:w w:val="99"/>
          <w:sz w:val="20"/>
        </w:rPr>
        <w:t>t</w:t>
      </w:r>
      <w:r>
        <w:rPr>
          <w:rFonts w:ascii="Trebuchet MS"/>
          <w:color w:val="231F20"/>
          <w:spacing w:val="-1"/>
          <w:w w:val="99"/>
          <w:sz w:val="20"/>
        </w:rPr>
        <w:t>n</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1"/>
          <w:w w:val="122"/>
          <w:sz w:val="20"/>
        </w:rPr>
        <w:t>s</w:t>
      </w:r>
      <w:r>
        <w:rPr>
          <w:rFonts w:ascii="Trebuchet MS"/>
          <w:color w:val="231F20"/>
          <w:w w:val="55"/>
          <w:sz w:val="20"/>
        </w:rPr>
        <w:t>.</w:t>
      </w:r>
    </w:p>
    <w:p w14:paraId="32124EC8" w14:textId="77777777" w:rsidR="00894070" w:rsidRDefault="009B7AFD">
      <w:pPr>
        <w:pStyle w:val="ListParagraph"/>
        <w:numPr>
          <w:ilvl w:val="0"/>
          <w:numId w:val="191"/>
        </w:numPr>
        <w:tabs>
          <w:tab w:val="left" w:pos="1801"/>
          <w:tab w:val="left" w:pos="1802"/>
        </w:tabs>
        <w:spacing w:before="88" w:line="247" w:lineRule="auto"/>
        <w:ind w:left="1801" w:right="1564"/>
        <w:rPr>
          <w:rFonts w:ascii="Trebuchet MS"/>
          <w:sz w:val="20"/>
        </w:rPr>
      </w:pPr>
      <w:r>
        <w:rPr>
          <w:rFonts w:ascii="Trebuchet MS"/>
          <w:color w:val="231F20"/>
          <w:w w:val="105"/>
          <w:sz w:val="20"/>
        </w:rPr>
        <w:t>The</w:t>
      </w:r>
      <w:r>
        <w:rPr>
          <w:rFonts w:ascii="Trebuchet MS"/>
          <w:color w:val="231F20"/>
          <w:spacing w:val="-36"/>
          <w:w w:val="105"/>
          <w:sz w:val="20"/>
        </w:rPr>
        <w:t xml:space="preserve"> </w:t>
      </w:r>
      <w:r>
        <w:rPr>
          <w:rFonts w:ascii="Arial"/>
          <w:i/>
          <w:color w:val="231F20"/>
          <w:w w:val="105"/>
          <w:sz w:val="20"/>
        </w:rPr>
        <w:t>Personal</w:t>
      </w:r>
      <w:r>
        <w:rPr>
          <w:rFonts w:ascii="Arial"/>
          <w:i/>
          <w:color w:val="231F20"/>
          <w:spacing w:val="-32"/>
          <w:w w:val="105"/>
          <w:sz w:val="20"/>
        </w:rPr>
        <w:t xml:space="preserve"> </w:t>
      </w:r>
      <w:r>
        <w:rPr>
          <w:rFonts w:ascii="Arial"/>
          <w:i/>
          <w:color w:val="231F20"/>
          <w:w w:val="105"/>
          <w:sz w:val="20"/>
        </w:rPr>
        <w:t>Safety</w:t>
      </w:r>
      <w:r>
        <w:rPr>
          <w:rFonts w:ascii="Arial"/>
          <w:i/>
          <w:color w:val="231F20"/>
          <w:spacing w:val="-33"/>
          <w:w w:val="105"/>
          <w:sz w:val="20"/>
        </w:rPr>
        <w:t xml:space="preserve"> </w:t>
      </w:r>
      <w:r>
        <w:rPr>
          <w:rFonts w:ascii="Arial"/>
          <w:i/>
          <w:color w:val="231F20"/>
          <w:w w:val="105"/>
          <w:sz w:val="20"/>
        </w:rPr>
        <w:t>Intervention</w:t>
      </w:r>
      <w:r>
        <w:rPr>
          <w:rFonts w:ascii="Arial"/>
          <w:i/>
          <w:color w:val="231F20"/>
          <w:spacing w:val="-32"/>
          <w:w w:val="105"/>
          <w:sz w:val="20"/>
        </w:rPr>
        <w:t xml:space="preserve"> </w:t>
      </w:r>
      <w:r>
        <w:rPr>
          <w:rFonts w:ascii="Arial"/>
          <w:i/>
          <w:color w:val="231F20"/>
          <w:w w:val="105"/>
          <w:sz w:val="20"/>
        </w:rPr>
        <w:t>Orders</w:t>
      </w:r>
      <w:r>
        <w:rPr>
          <w:rFonts w:ascii="Arial"/>
          <w:i/>
          <w:color w:val="231F20"/>
          <w:spacing w:val="-32"/>
          <w:w w:val="105"/>
          <w:sz w:val="20"/>
        </w:rPr>
        <w:t xml:space="preserve"> </w:t>
      </w:r>
      <w:r>
        <w:rPr>
          <w:rFonts w:ascii="Arial"/>
          <w:i/>
          <w:color w:val="231F20"/>
          <w:w w:val="105"/>
          <w:sz w:val="20"/>
        </w:rPr>
        <w:t>Act</w:t>
      </w:r>
      <w:r>
        <w:rPr>
          <w:rFonts w:ascii="Arial"/>
          <w:i/>
          <w:color w:val="231F20"/>
          <w:spacing w:val="-32"/>
          <w:w w:val="105"/>
          <w:sz w:val="20"/>
        </w:rPr>
        <w:t xml:space="preserve"> </w:t>
      </w:r>
      <w:r>
        <w:rPr>
          <w:rFonts w:ascii="Arial"/>
          <w:i/>
          <w:color w:val="231F20"/>
          <w:spacing w:val="-3"/>
          <w:w w:val="105"/>
          <w:sz w:val="20"/>
        </w:rPr>
        <w:t>2010</w:t>
      </w:r>
      <w:r>
        <w:rPr>
          <w:rFonts w:ascii="Arial"/>
          <w:i/>
          <w:color w:val="231F20"/>
          <w:spacing w:val="-30"/>
          <w:w w:val="105"/>
          <w:sz w:val="20"/>
        </w:rPr>
        <w:t xml:space="preserve"> </w:t>
      </w:r>
      <w:r>
        <w:rPr>
          <w:rFonts w:ascii="Trebuchet MS"/>
          <w:color w:val="231F20"/>
          <w:w w:val="105"/>
          <w:sz w:val="20"/>
        </w:rPr>
        <w:t>(Vic)</w:t>
      </w:r>
      <w:r>
        <w:rPr>
          <w:rFonts w:ascii="Trebuchet MS"/>
          <w:color w:val="231F20"/>
          <w:spacing w:val="-36"/>
          <w:w w:val="105"/>
          <w:sz w:val="20"/>
        </w:rPr>
        <w:t xml:space="preserve"> </w:t>
      </w:r>
      <w:r>
        <w:rPr>
          <w:rFonts w:ascii="Trebuchet MS"/>
          <w:color w:val="231F20"/>
          <w:w w:val="105"/>
          <w:sz w:val="20"/>
        </w:rPr>
        <w:t>should</w:t>
      </w:r>
      <w:r>
        <w:rPr>
          <w:rFonts w:ascii="Trebuchet MS"/>
          <w:color w:val="231F20"/>
          <w:spacing w:val="-36"/>
          <w:w w:val="105"/>
          <w:sz w:val="20"/>
        </w:rPr>
        <w:t xml:space="preserve"> </w:t>
      </w:r>
      <w:r>
        <w:rPr>
          <w:rFonts w:ascii="Trebuchet MS"/>
          <w:color w:val="231F20"/>
          <w:w w:val="105"/>
          <w:sz w:val="20"/>
        </w:rPr>
        <w:t>include</w:t>
      </w:r>
      <w:r>
        <w:rPr>
          <w:rFonts w:ascii="Trebuchet MS"/>
          <w:color w:val="231F20"/>
          <w:spacing w:val="-36"/>
          <w:w w:val="105"/>
          <w:sz w:val="20"/>
        </w:rPr>
        <w:t xml:space="preserve"> </w:t>
      </w:r>
      <w:r>
        <w:rPr>
          <w:rFonts w:ascii="Trebuchet MS"/>
          <w:color w:val="231F20"/>
          <w:w w:val="105"/>
          <w:sz w:val="20"/>
        </w:rPr>
        <w:t>an</w:t>
      </w:r>
      <w:r>
        <w:rPr>
          <w:rFonts w:ascii="Trebuchet MS"/>
          <w:color w:val="231F20"/>
          <w:spacing w:val="-36"/>
          <w:w w:val="105"/>
          <w:sz w:val="20"/>
        </w:rPr>
        <w:t xml:space="preserve"> </w:t>
      </w:r>
      <w:r>
        <w:rPr>
          <w:rFonts w:ascii="Trebuchet MS"/>
          <w:color w:val="231F20"/>
          <w:w w:val="105"/>
          <w:sz w:val="20"/>
        </w:rPr>
        <w:t>equivalent of</w:t>
      </w:r>
      <w:r>
        <w:rPr>
          <w:rFonts w:ascii="Trebuchet MS"/>
          <w:color w:val="231F20"/>
          <w:spacing w:val="-28"/>
          <w:w w:val="105"/>
          <w:sz w:val="20"/>
        </w:rPr>
        <w:t xml:space="preserve"> </w:t>
      </w:r>
      <w:r>
        <w:rPr>
          <w:rFonts w:ascii="Trebuchet MS"/>
          <w:color w:val="231F20"/>
          <w:w w:val="105"/>
          <w:sz w:val="20"/>
        </w:rPr>
        <w:t>section</w:t>
      </w:r>
      <w:r>
        <w:rPr>
          <w:rFonts w:ascii="Trebuchet MS"/>
          <w:color w:val="231F20"/>
          <w:spacing w:val="-28"/>
          <w:w w:val="105"/>
          <w:sz w:val="20"/>
        </w:rPr>
        <w:t xml:space="preserve"> </w:t>
      </w:r>
      <w:r>
        <w:rPr>
          <w:rFonts w:ascii="Trebuchet MS"/>
          <w:color w:val="231F20"/>
          <w:w w:val="105"/>
          <w:sz w:val="20"/>
        </w:rPr>
        <w:t>72</w:t>
      </w:r>
      <w:r>
        <w:rPr>
          <w:rFonts w:ascii="Trebuchet MS"/>
          <w:color w:val="231F20"/>
          <w:spacing w:val="-27"/>
          <w:w w:val="105"/>
          <w:sz w:val="20"/>
        </w:rPr>
        <w:t xml:space="preserve"> </w:t>
      </w:r>
      <w:r>
        <w:rPr>
          <w:rFonts w:ascii="Trebuchet MS"/>
          <w:color w:val="231F20"/>
          <w:w w:val="105"/>
          <w:sz w:val="20"/>
        </w:rPr>
        <w:t>of</w:t>
      </w:r>
      <w:r>
        <w:rPr>
          <w:rFonts w:ascii="Trebuchet MS"/>
          <w:color w:val="231F20"/>
          <w:spacing w:val="-28"/>
          <w:w w:val="105"/>
          <w:sz w:val="20"/>
        </w:rPr>
        <w:t xml:space="preserve"> </w:t>
      </w:r>
      <w:r>
        <w:rPr>
          <w:rFonts w:ascii="Trebuchet MS"/>
          <w:color w:val="231F20"/>
          <w:w w:val="105"/>
          <w:sz w:val="20"/>
        </w:rPr>
        <w:t>the</w:t>
      </w:r>
      <w:r>
        <w:rPr>
          <w:rFonts w:ascii="Trebuchet MS"/>
          <w:color w:val="231F20"/>
          <w:spacing w:val="-27"/>
          <w:w w:val="105"/>
          <w:sz w:val="20"/>
        </w:rPr>
        <w:t xml:space="preserve"> </w:t>
      </w:r>
      <w:r>
        <w:rPr>
          <w:rFonts w:ascii="Arial"/>
          <w:i/>
          <w:color w:val="231F20"/>
          <w:spacing w:val="-3"/>
          <w:w w:val="105"/>
          <w:sz w:val="20"/>
        </w:rPr>
        <w:t>Family</w:t>
      </w:r>
      <w:r>
        <w:rPr>
          <w:rFonts w:ascii="Arial"/>
          <w:i/>
          <w:color w:val="231F20"/>
          <w:spacing w:val="-24"/>
          <w:w w:val="105"/>
          <w:sz w:val="20"/>
        </w:rPr>
        <w:t xml:space="preserve"> </w:t>
      </w:r>
      <w:r>
        <w:rPr>
          <w:rFonts w:ascii="Arial"/>
          <w:i/>
          <w:color w:val="231F20"/>
          <w:w w:val="105"/>
          <w:sz w:val="20"/>
        </w:rPr>
        <w:t>Violence</w:t>
      </w:r>
      <w:r>
        <w:rPr>
          <w:rFonts w:ascii="Arial"/>
          <w:i/>
          <w:color w:val="231F20"/>
          <w:spacing w:val="-24"/>
          <w:w w:val="105"/>
          <w:sz w:val="20"/>
        </w:rPr>
        <w:t xml:space="preserve"> </w:t>
      </w:r>
      <w:r>
        <w:rPr>
          <w:rFonts w:ascii="Arial"/>
          <w:i/>
          <w:color w:val="231F20"/>
          <w:spacing w:val="-3"/>
          <w:w w:val="105"/>
          <w:sz w:val="20"/>
        </w:rPr>
        <w:t>Protection</w:t>
      </w:r>
      <w:r>
        <w:rPr>
          <w:rFonts w:ascii="Arial"/>
          <w:i/>
          <w:color w:val="231F20"/>
          <w:spacing w:val="-24"/>
          <w:w w:val="105"/>
          <w:sz w:val="20"/>
        </w:rPr>
        <w:t xml:space="preserve"> </w:t>
      </w:r>
      <w:r>
        <w:rPr>
          <w:rFonts w:ascii="Arial"/>
          <w:i/>
          <w:color w:val="231F20"/>
          <w:w w:val="105"/>
          <w:sz w:val="20"/>
        </w:rPr>
        <w:t>Act</w:t>
      </w:r>
      <w:r>
        <w:rPr>
          <w:rFonts w:ascii="Arial"/>
          <w:i/>
          <w:color w:val="231F20"/>
          <w:spacing w:val="-24"/>
          <w:w w:val="105"/>
          <w:sz w:val="20"/>
        </w:rPr>
        <w:t xml:space="preserve"> </w:t>
      </w:r>
      <w:r>
        <w:rPr>
          <w:rFonts w:ascii="Arial"/>
          <w:i/>
          <w:color w:val="231F20"/>
          <w:w w:val="105"/>
          <w:sz w:val="20"/>
        </w:rPr>
        <w:t>2008</w:t>
      </w:r>
      <w:r>
        <w:rPr>
          <w:rFonts w:ascii="Arial"/>
          <w:i/>
          <w:color w:val="231F20"/>
          <w:spacing w:val="-22"/>
          <w:w w:val="105"/>
          <w:sz w:val="20"/>
        </w:rPr>
        <w:t xml:space="preserve"> </w:t>
      </w:r>
      <w:r>
        <w:rPr>
          <w:rFonts w:ascii="Trebuchet MS"/>
          <w:color w:val="231F20"/>
          <w:w w:val="105"/>
          <w:sz w:val="20"/>
        </w:rPr>
        <w:t>(Vic)</w:t>
      </w:r>
      <w:r>
        <w:rPr>
          <w:rFonts w:ascii="Trebuchet MS"/>
          <w:color w:val="231F20"/>
          <w:spacing w:val="-28"/>
          <w:w w:val="105"/>
          <w:sz w:val="20"/>
        </w:rPr>
        <w:t xml:space="preserve"> </w:t>
      </w:r>
      <w:r>
        <w:rPr>
          <w:rFonts w:ascii="Trebuchet MS"/>
          <w:color w:val="231F20"/>
          <w:w w:val="105"/>
          <w:sz w:val="20"/>
        </w:rPr>
        <w:t>for</w:t>
      </w:r>
      <w:r>
        <w:rPr>
          <w:rFonts w:ascii="Trebuchet MS"/>
          <w:color w:val="231F20"/>
          <w:spacing w:val="-28"/>
          <w:w w:val="105"/>
          <w:sz w:val="20"/>
        </w:rPr>
        <w:t xml:space="preserve"> </w:t>
      </w:r>
      <w:r>
        <w:rPr>
          <w:rFonts w:ascii="Trebuchet MS"/>
          <w:color w:val="231F20"/>
          <w:w w:val="105"/>
          <w:sz w:val="20"/>
        </w:rPr>
        <w:t>the</w:t>
      </w:r>
      <w:r>
        <w:rPr>
          <w:rFonts w:ascii="Trebuchet MS"/>
          <w:color w:val="231F20"/>
          <w:spacing w:val="-27"/>
          <w:w w:val="105"/>
          <w:sz w:val="20"/>
        </w:rPr>
        <w:t xml:space="preserve"> </w:t>
      </w:r>
      <w:r>
        <w:rPr>
          <w:rFonts w:ascii="Trebuchet MS"/>
          <w:color w:val="231F20"/>
          <w:w w:val="105"/>
          <w:sz w:val="20"/>
        </w:rPr>
        <w:t>court</w:t>
      </w:r>
      <w:r>
        <w:rPr>
          <w:rFonts w:ascii="Trebuchet MS"/>
          <w:color w:val="231F20"/>
          <w:spacing w:val="-28"/>
          <w:w w:val="105"/>
          <w:sz w:val="20"/>
        </w:rPr>
        <w:t xml:space="preserve"> </w:t>
      </w:r>
      <w:r>
        <w:rPr>
          <w:rFonts w:ascii="Trebuchet MS"/>
          <w:color w:val="231F20"/>
          <w:w w:val="105"/>
          <w:sz w:val="20"/>
        </w:rPr>
        <w:t>to</w:t>
      </w:r>
      <w:r>
        <w:rPr>
          <w:rFonts w:ascii="Trebuchet MS"/>
          <w:color w:val="231F20"/>
          <w:spacing w:val="-27"/>
          <w:w w:val="105"/>
          <w:sz w:val="20"/>
        </w:rPr>
        <w:t xml:space="preserve"> </w:t>
      </w:r>
      <w:r>
        <w:rPr>
          <w:rFonts w:ascii="Trebuchet MS"/>
          <w:color w:val="231F20"/>
          <w:w w:val="105"/>
          <w:sz w:val="20"/>
        </w:rPr>
        <w:t xml:space="preserve">order Victoria Legal Aid to </w:t>
      </w:r>
      <w:r>
        <w:rPr>
          <w:rFonts w:ascii="Trebuchet MS"/>
          <w:color w:val="231F20"/>
          <w:spacing w:val="-2"/>
          <w:w w:val="105"/>
          <w:sz w:val="20"/>
        </w:rPr>
        <w:t xml:space="preserve">represent </w:t>
      </w:r>
      <w:r>
        <w:rPr>
          <w:rFonts w:ascii="Trebuchet MS"/>
          <w:color w:val="231F20"/>
          <w:w w:val="105"/>
          <w:sz w:val="20"/>
        </w:rPr>
        <w:t xml:space="preserve">otherwise unrepresented applicants or </w:t>
      </w:r>
      <w:r>
        <w:rPr>
          <w:rFonts w:ascii="Trebuchet MS"/>
          <w:color w:val="231F20"/>
          <w:spacing w:val="-3"/>
          <w:w w:val="105"/>
          <w:sz w:val="20"/>
        </w:rPr>
        <w:t xml:space="preserve">protected </w:t>
      </w:r>
      <w:r>
        <w:rPr>
          <w:rFonts w:ascii="Trebuchet MS"/>
          <w:color w:val="231F20"/>
          <w:spacing w:val="-2"/>
          <w:w w:val="102"/>
          <w:sz w:val="20"/>
        </w:rPr>
        <w:t>w</w:t>
      </w:r>
      <w:r>
        <w:rPr>
          <w:rFonts w:ascii="Trebuchet MS"/>
          <w:color w:val="231F20"/>
          <w:spacing w:val="-3"/>
          <w:w w:val="102"/>
          <w:sz w:val="20"/>
        </w:rPr>
        <w:t>i</w:t>
      </w:r>
      <w:r>
        <w:rPr>
          <w:rFonts w:ascii="Trebuchet MS"/>
          <w:color w:val="231F20"/>
          <w:spacing w:val="-2"/>
          <w:w w:val="99"/>
          <w:sz w:val="20"/>
        </w:rPr>
        <w:t>t</w:t>
      </w:r>
      <w:r>
        <w:rPr>
          <w:rFonts w:ascii="Trebuchet MS"/>
          <w:color w:val="231F20"/>
          <w:spacing w:val="-1"/>
          <w:w w:val="99"/>
          <w:sz w:val="20"/>
        </w:rPr>
        <w:t>n</w:t>
      </w:r>
      <w:r>
        <w:rPr>
          <w:rFonts w:ascii="Trebuchet MS"/>
          <w:color w:val="231F20"/>
          <w:spacing w:val="-2"/>
          <w:w w:val="108"/>
          <w:sz w:val="20"/>
        </w:rPr>
        <w:t>e</w:t>
      </w:r>
      <w:r>
        <w:rPr>
          <w:rFonts w:ascii="Trebuchet MS"/>
          <w:color w:val="231F20"/>
          <w:spacing w:val="-1"/>
          <w:w w:val="122"/>
          <w:sz w:val="20"/>
        </w:rPr>
        <w:t>ss</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4"/>
          <w:w w:val="93"/>
          <w:sz w:val="20"/>
        </w:rPr>
        <w:t>r</w:t>
      </w:r>
      <w:r>
        <w:rPr>
          <w:rFonts w:ascii="Trebuchet MS"/>
          <w:color w:val="231F20"/>
          <w:spacing w:val="-2"/>
          <w:w w:val="111"/>
          <w:sz w:val="20"/>
        </w:rPr>
        <w:t>o</w:t>
      </w:r>
      <w:r>
        <w:rPr>
          <w:rFonts w:ascii="Trebuchet MS"/>
          <w:color w:val="231F20"/>
          <w:spacing w:val="-1"/>
          <w:w w:val="122"/>
          <w:sz w:val="20"/>
        </w:rPr>
        <w:t>s</w:t>
      </w:r>
      <w:r>
        <w:rPr>
          <w:rFonts w:ascii="Trebuchet MS"/>
          <w:color w:val="231F20"/>
          <w:spacing w:val="-4"/>
          <w:w w:val="122"/>
          <w:sz w:val="20"/>
        </w:rPr>
        <w:t>s</w:t>
      </w:r>
      <w:r>
        <w:rPr>
          <w:rFonts w:ascii="Trebuchet MS"/>
          <w:color w:val="231F20"/>
          <w:spacing w:val="1"/>
          <w:w w:val="115"/>
          <w:sz w:val="20"/>
        </w:rPr>
        <w:t>-</w:t>
      </w:r>
      <w:r>
        <w:rPr>
          <w:rFonts w:ascii="Trebuchet MS"/>
          <w:color w:val="231F20"/>
          <w:spacing w:val="-5"/>
          <w:w w:val="108"/>
          <w:sz w:val="20"/>
        </w:rPr>
        <w:t>e</w:t>
      </w:r>
      <w:r>
        <w:rPr>
          <w:rFonts w:ascii="Trebuchet MS"/>
          <w:color w:val="231F20"/>
          <w:spacing w:val="-4"/>
          <w:w w:val="102"/>
          <w:sz w:val="20"/>
        </w:rPr>
        <w:t>x</w:t>
      </w:r>
      <w:r>
        <w:rPr>
          <w:rFonts w:ascii="Trebuchet MS"/>
          <w:color w:val="231F20"/>
          <w:spacing w:val="-2"/>
          <w:w w:val="104"/>
          <w:sz w:val="20"/>
        </w:rPr>
        <w:t>ami</w:t>
      </w:r>
      <w:r>
        <w:rPr>
          <w:rFonts w:ascii="Trebuchet MS"/>
          <w:color w:val="231F20"/>
          <w:spacing w:val="-1"/>
          <w:w w:val="107"/>
          <w:sz w:val="20"/>
        </w:rPr>
        <w:t>n</w:t>
      </w:r>
      <w:r>
        <w:rPr>
          <w:rFonts w:ascii="Trebuchet MS"/>
          <w:color w:val="231F20"/>
          <w:spacing w:val="-4"/>
          <w:w w:val="105"/>
          <w:sz w:val="20"/>
        </w:rPr>
        <w:t>a</w:t>
      </w:r>
      <w:r>
        <w:rPr>
          <w:rFonts w:ascii="Trebuchet MS"/>
          <w:color w:val="231F20"/>
          <w:spacing w:val="-2"/>
          <w:w w:val="85"/>
          <w:sz w:val="20"/>
        </w:rPr>
        <w:t>t</w:t>
      </w:r>
      <w:r>
        <w:rPr>
          <w:rFonts w:ascii="Trebuchet MS"/>
          <w:color w:val="231F20"/>
          <w:spacing w:val="-1"/>
          <w:w w:val="85"/>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99"/>
          <w:sz w:val="20"/>
        </w:rPr>
        <w:t>t</w:t>
      </w:r>
      <w:r>
        <w:rPr>
          <w:rFonts w:ascii="Trebuchet MS"/>
          <w:color w:val="231F20"/>
          <w:spacing w:val="-1"/>
          <w:w w:val="99"/>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4"/>
          <w:w w:val="111"/>
          <w:sz w:val="20"/>
        </w:rPr>
        <w:t>o</w:t>
      </w:r>
      <w:r>
        <w:rPr>
          <w:rFonts w:ascii="Trebuchet MS"/>
          <w:color w:val="231F20"/>
          <w:spacing w:val="-4"/>
          <w:w w:val="88"/>
          <w:sz w:val="20"/>
        </w:rPr>
        <w:t>t</w:t>
      </w:r>
      <w:r>
        <w:rPr>
          <w:rFonts w:ascii="Trebuchet MS"/>
          <w:color w:val="231F20"/>
          <w:w w:val="108"/>
          <w:sz w:val="20"/>
        </w:rPr>
        <w:t>e</w:t>
      </w:r>
      <w:r>
        <w:rPr>
          <w:rFonts w:ascii="Trebuchet MS"/>
          <w:color w:val="231F20"/>
          <w:spacing w:val="-2"/>
          <w:w w:val="101"/>
          <w:sz w:val="20"/>
        </w:rPr>
        <w:t>c</w:t>
      </w:r>
      <w:r>
        <w:rPr>
          <w:rFonts w:ascii="Trebuchet MS"/>
          <w:color w:val="231F20"/>
          <w:spacing w:val="-4"/>
          <w:w w:val="101"/>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02"/>
          <w:sz w:val="20"/>
        </w:rPr>
        <w:t>w</w:t>
      </w:r>
      <w:r>
        <w:rPr>
          <w:rFonts w:ascii="Trebuchet MS"/>
          <w:color w:val="231F20"/>
          <w:spacing w:val="-3"/>
          <w:w w:val="102"/>
          <w:sz w:val="20"/>
        </w:rPr>
        <w:t>i</w:t>
      </w:r>
      <w:r>
        <w:rPr>
          <w:rFonts w:ascii="Trebuchet MS"/>
          <w:color w:val="231F20"/>
          <w:spacing w:val="-2"/>
          <w:w w:val="99"/>
          <w:sz w:val="20"/>
        </w:rPr>
        <w:t>t</w:t>
      </w:r>
      <w:r>
        <w:rPr>
          <w:rFonts w:ascii="Trebuchet MS"/>
          <w:color w:val="231F20"/>
          <w:spacing w:val="-1"/>
          <w:w w:val="99"/>
          <w:sz w:val="20"/>
        </w:rPr>
        <w:t>n</w:t>
      </w:r>
      <w:r>
        <w:rPr>
          <w:rFonts w:ascii="Trebuchet MS"/>
          <w:color w:val="231F20"/>
          <w:spacing w:val="-2"/>
          <w:w w:val="108"/>
          <w:sz w:val="20"/>
        </w:rPr>
        <w:t>e</w:t>
      </w:r>
      <w:r>
        <w:rPr>
          <w:rFonts w:ascii="Trebuchet MS"/>
          <w:color w:val="231F20"/>
          <w:spacing w:val="-1"/>
          <w:w w:val="122"/>
          <w:sz w:val="20"/>
        </w:rPr>
        <w:t>ss</w:t>
      </w:r>
      <w:r>
        <w:rPr>
          <w:rFonts w:ascii="Trebuchet MS"/>
          <w:color w:val="231F20"/>
          <w:spacing w:val="-2"/>
          <w:w w:val="108"/>
          <w:sz w:val="20"/>
        </w:rPr>
        <w:t>e</w:t>
      </w:r>
      <w:r>
        <w:rPr>
          <w:rFonts w:ascii="Trebuchet MS"/>
          <w:color w:val="231F20"/>
          <w:spacing w:val="1"/>
          <w:w w:val="122"/>
          <w:sz w:val="20"/>
        </w:rPr>
        <w:t>s</w:t>
      </w:r>
      <w:r>
        <w:rPr>
          <w:rFonts w:ascii="Trebuchet MS"/>
          <w:color w:val="231F20"/>
          <w:w w:val="55"/>
          <w:sz w:val="20"/>
        </w:rPr>
        <w:t>.</w:t>
      </w:r>
    </w:p>
    <w:p w14:paraId="0365243A" w14:textId="77777777" w:rsidR="00894070" w:rsidRDefault="009B7AFD">
      <w:pPr>
        <w:pStyle w:val="ListParagraph"/>
        <w:numPr>
          <w:ilvl w:val="0"/>
          <w:numId w:val="191"/>
        </w:numPr>
        <w:tabs>
          <w:tab w:val="left" w:pos="1801"/>
          <w:tab w:val="left" w:pos="1802"/>
        </w:tabs>
        <w:spacing w:before="89" w:line="247" w:lineRule="auto"/>
        <w:ind w:left="1801" w:right="1362"/>
        <w:rPr>
          <w:rFonts w:ascii="Trebuchet MS"/>
          <w:sz w:val="20"/>
        </w:rPr>
      </w:pPr>
      <w:r>
        <w:rPr>
          <w:rFonts w:ascii="Trebuchet MS"/>
          <w:color w:val="231F20"/>
          <w:w w:val="105"/>
          <w:sz w:val="20"/>
        </w:rPr>
        <w:t>Victoria</w:t>
      </w:r>
      <w:r>
        <w:rPr>
          <w:rFonts w:ascii="Trebuchet MS"/>
          <w:color w:val="231F20"/>
          <w:spacing w:val="-17"/>
          <w:w w:val="105"/>
          <w:sz w:val="20"/>
        </w:rPr>
        <w:t xml:space="preserve"> </w:t>
      </w:r>
      <w:r>
        <w:rPr>
          <w:rFonts w:ascii="Trebuchet MS"/>
          <w:color w:val="231F20"/>
          <w:w w:val="105"/>
          <w:sz w:val="20"/>
        </w:rPr>
        <w:t>Legal</w:t>
      </w:r>
      <w:r>
        <w:rPr>
          <w:rFonts w:ascii="Trebuchet MS"/>
          <w:color w:val="231F20"/>
          <w:spacing w:val="-16"/>
          <w:w w:val="105"/>
          <w:sz w:val="20"/>
        </w:rPr>
        <w:t xml:space="preserve"> </w:t>
      </w:r>
      <w:r>
        <w:rPr>
          <w:rFonts w:ascii="Trebuchet MS"/>
          <w:color w:val="231F20"/>
          <w:w w:val="105"/>
          <w:sz w:val="20"/>
        </w:rPr>
        <w:t>Aid</w:t>
      </w:r>
      <w:r>
        <w:rPr>
          <w:rFonts w:ascii="Trebuchet MS"/>
          <w:color w:val="231F20"/>
          <w:spacing w:val="-16"/>
          <w:w w:val="105"/>
          <w:sz w:val="20"/>
        </w:rPr>
        <w:t xml:space="preserve"> </w:t>
      </w:r>
      <w:r>
        <w:rPr>
          <w:rFonts w:ascii="Trebuchet MS"/>
          <w:color w:val="231F20"/>
          <w:w w:val="105"/>
          <w:sz w:val="20"/>
        </w:rPr>
        <w:t>should</w:t>
      </w:r>
      <w:r>
        <w:rPr>
          <w:rFonts w:ascii="Trebuchet MS"/>
          <w:color w:val="231F20"/>
          <w:spacing w:val="-16"/>
          <w:w w:val="105"/>
          <w:sz w:val="20"/>
        </w:rPr>
        <w:t xml:space="preserve"> </w:t>
      </w:r>
      <w:r>
        <w:rPr>
          <w:rFonts w:ascii="Trebuchet MS"/>
          <w:color w:val="231F20"/>
          <w:w w:val="105"/>
          <w:sz w:val="20"/>
        </w:rPr>
        <w:t>be</w:t>
      </w:r>
      <w:r>
        <w:rPr>
          <w:rFonts w:ascii="Trebuchet MS"/>
          <w:color w:val="231F20"/>
          <w:spacing w:val="-16"/>
          <w:w w:val="105"/>
          <w:sz w:val="20"/>
        </w:rPr>
        <w:t xml:space="preserve"> </w:t>
      </w:r>
      <w:r>
        <w:rPr>
          <w:rFonts w:ascii="Trebuchet MS"/>
          <w:color w:val="231F20"/>
          <w:w w:val="105"/>
          <w:sz w:val="20"/>
        </w:rPr>
        <w:t>funded</w:t>
      </w:r>
      <w:r>
        <w:rPr>
          <w:rFonts w:ascii="Trebuchet MS"/>
          <w:color w:val="231F20"/>
          <w:spacing w:val="-16"/>
          <w:w w:val="105"/>
          <w:sz w:val="20"/>
        </w:rPr>
        <w:t xml:space="preserve"> </w:t>
      </w:r>
      <w:r>
        <w:rPr>
          <w:rFonts w:ascii="Trebuchet MS"/>
          <w:color w:val="231F20"/>
          <w:w w:val="105"/>
          <w:sz w:val="20"/>
        </w:rPr>
        <w:t>to</w:t>
      </w:r>
      <w:r>
        <w:rPr>
          <w:rFonts w:ascii="Trebuchet MS"/>
          <w:color w:val="231F20"/>
          <w:spacing w:val="-16"/>
          <w:w w:val="105"/>
          <w:sz w:val="20"/>
        </w:rPr>
        <w:t xml:space="preserve"> </w:t>
      </w:r>
      <w:r>
        <w:rPr>
          <w:rFonts w:ascii="Trebuchet MS"/>
          <w:color w:val="231F20"/>
          <w:spacing w:val="-3"/>
          <w:w w:val="105"/>
          <w:sz w:val="20"/>
        </w:rPr>
        <w:t>provide</w:t>
      </w:r>
      <w:r>
        <w:rPr>
          <w:rFonts w:ascii="Trebuchet MS"/>
          <w:color w:val="231F20"/>
          <w:spacing w:val="-16"/>
          <w:w w:val="105"/>
          <w:sz w:val="20"/>
        </w:rPr>
        <w:t xml:space="preserve"> </w:t>
      </w:r>
      <w:r>
        <w:rPr>
          <w:rFonts w:ascii="Trebuchet MS"/>
          <w:color w:val="231F20"/>
          <w:w w:val="105"/>
          <w:sz w:val="20"/>
        </w:rPr>
        <w:t>the</w:t>
      </w:r>
      <w:r>
        <w:rPr>
          <w:rFonts w:ascii="Trebuchet MS"/>
          <w:color w:val="231F20"/>
          <w:spacing w:val="-16"/>
          <w:w w:val="105"/>
          <w:sz w:val="20"/>
        </w:rPr>
        <w:t xml:space="preserve"> </w:t>
      </w:r>
      <w:r>
        <w:rPr>
          <w:rFonts w:ascii="Trebuchet MS"/>
          <w:color w:val="231F20"/>
          <w:w w:val="105"/>
          <w:sz w:val="20"/>
        </w:rPr>
        <w:t>legal</w:t>
      </w:r>
      <w:r>
        <w:rPr>
          <w:rFonts w:ascii="Trebuchet MS"/>
          <w:color w:val="231F20"/>
          <w:spacing w:val="-16"/>
          <w:w w:val="105"/>
          <w:sz w:val="20"/>
        </w:rPr>
        <w:t xml:space="preserve"> </w:t>
      </w:r>
      <w:r>
        <w:rPr>
          <w:rFonts w:ascii="Trebuchet MS"/>
          <w:color w:val="231F20"/>
          <w:w w:val="105"/>
          <w:sz w:val="20"/>
        </w:rPr>
        <w:t>representation</w:t>
      </w:r>
      <w:r>
        <w:rPr>
          <w:rFonts w:ascii="Trebuchet MS"/>
          <w:color w:val="231F20"/>
          <w:spacing w:val="-16"/>
          <w:w w:val="105"/>
          <w:sz w:val="20"/>
        </w:rPr>
        <w:t xml:space="preserve"> </w:t>
      </w:r>
      <w:r>
        <w:rPr>
          <w:rFonts w:ascii="Trebuchet MS"/>
          <w:color w:val="231F20"/>
          <w:w w:val="105"/>
          <w:sz w:val="20"/>
        </w:rPr>
        <w:t>described</w:t>
      </w:r>
      <w:r>
        <w:rPr>
          <w:rFonts w:ascii="Trebuchet MS"/>
          <w:color w:val="231F20"/>
          <w:spacing w:val="-16"/>
          <w:w w:val="105"/>
          <w:sz w:val="20"/>
        </w:rPr>
        <w:t xml:space="preserve"> </w:t>
      </w:r>
      <w:r>
        <w:rPr>
          <w:rFonts w:ascii="Trebuchet MS"/>
          <w:color w:val="231F20"/>
          <w:w w:val="105"/>
          <w:sz w:val="20"/>
        </w:rPr>
        <w:t>in Recommendations</w:t>
      </w:r>
      <w:r>
        <w:rPr>
          <w:rFonts w:ascii="Trebuchet MS"/>
          <w:color w:val="231F20"/>
          <w:spacing w:val="-18"/>
          <w:w w:val="105"/>
          <w:sz w:val="20"/>
        </w:rPr>
        <w:t xml:space="preserve"> </w:t>
      </w:r>
      <w:r>
        <w:rPr>
          <w:rFonts w:ascii="Trebuchet MS"/>
          <w:color w:val="231F20"/>
          <w:w w:val="105"/>
          <w:sz w:val="20"/>
        </w:rPr>
        <w:t>20</w:t>
      </w:r>
      <w:r>
        <w:rPr>
          <w:rFonts w:ascii="Trebuchet MS"/>
          <w:color w:val="231F20"/>
          <w:spacing w:val="-17"/>
          <w:w w:val="105"/>
          <w:sz w:val="20"/>
        </w:rPr>
        <w:t xml:space="preserve"> </w:t>
      </w:r>
      <w:r>
        <w:rPr>
          <w:rFonts w:ascii="Trebuchet MS"/>
          <w:color w:val="231F20"/>
          <w:w w:val="105"/>
          <w:sz w:val="20"/>
        </w:rPr>
        <w:t>and</w:t>
      </w:r>
      <w:r>
        <w:rPr>
          <w:rFonts w:ascii="Trebuchet MS"/>
          <w:color w:val="231F20"/>
          <w:spacing w:val="-17"/>
          <w:w w:val="105"/>
          <w:sz w:val="20"/>
        </w:rPr>
        <w:t xml:space="preserve"> </w:t>
      </w:r>
      <w:r>
        <w:rPr>
          <w:rFonts w:ascii="Trebuchet MS"/>
          <w:color w:val="231F20"/>
          <w:w w:val="105"/>
          <w:sz w:val="20"/>
        </w:rPr>
        <w:t>21.</w:t>
      </w:r>
    </w:p>
    <w:p w14:paraId="5A2B892E" w14:textId="77777777" w:rsidR="00894070" w:rsidRDefault="009B7AFD">
      <w:pPr>
        <w:pStyle w:val="ListParagraph"/>
        <w:numPr>
          <w:ilvl w:val="0"/>
          <w:numId w:val="191"/>
        </w:numPr>
        <w:tabs>
          <w:tab w:val="left" w:pos="1801"/>
          <w:tab w:val="left" w:pos="1802"/>
        </w:tabs>
        <w:spacing w:before="86" w:line="247" w:lineRule="auto"/>
        <w:ind w:left="1801" w:right="1333"/>
        <w:rPr>
          <w:rFonts w:ascii="Trebuchet MS"/>
          <w:sz w:val="20"/>
        </w:rPr>
      </w:pPr>
      <w:r>
        <w:rPr>
          <w:rFonts w:ascii="Trebuchet MS"/>
          <w:color w:val="231F20"/>
          <w:spacing w:val="-2"/>
          <w:w w:val="105"/>
          <w:sz w:val="20"/>
        </w:rPr>
        <w:t>T</w:t>
      </w:r>
      <w:r>
        <w:rPr>
          <w:rFonts w:ascii="Trebuchet MS"/>
          <w:color w:val="231F20"/>
          <w:spacing w:val="-1"/>
          <w:w w:val="108"/>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96"/>
          <w:sz w:val="20"/>
        </w:rPr>
        <w:t>i</w:t>
      </w:r>
      <w:r>
        <w:rPr>
          <w:rFonts w:ascii="Trebuchet MS"/>
          <w:color w:val="231F20"/>
          <w:spacing w:val="-2"/>
          <w:w w:val="96"/>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7"/>
          <w:sz w:val="20"/>
        </w:rPr>
        <w:t>n</w:t>
      </w:r>
      <w:r>
        <w:rPr>
          <w:rFonts w:ascii="Trebuchet MS"/>
          <w:color w:val="231F20"/>
          <w:spacing w:val="-1"/>
          <w:w w:val="110"/>
          <w:sz w:val="20"/>
        </w:rPr>
        <w:t>me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ho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04"/>
          <w:sz w:val="20"/>
        </w:rPr>
        <w:t>p</w:t>
      </w:r>
      <w:r>
        <w:rPr>
          <w:rFonts w:ascii="Trebuchet MS"/>
          <w:color w:val="231F20"/>
          <w:spacing w:val="-4"/>
          <w:w w:val="104"/>
          <w:sz w:val="20"/>
        </w:rPr>
        <w:t>r</w:t>
      </w:r>
      <w:r>
        <w:rPr>
          <w:rFonts w:ascii="Trebuchet MS"/>
          <w:color w:val="231F20"/>
          <w:spacing w:val="-6"/>
          <w:w w:val="111"/>
          <w:sz w:val="20"/>
        </w:rPr>
        <w:t>o</w:t>
      </w:r>
      <w:r>
        <w:rPr>
          <w:rFonts w:ascii="Trebuchet MS"/>
          <w:color w:val="231F20"/>
          <w:spacing w:val="-2"/>
          <w:w w:val="109"/>
          <w:sz w:val="20"/>
        </w:rPr>
        <w:t>v</w:t>
      </w:r>
      <w:r>
        <w:rPr>
          <w:rFonts w:ascii="Trebuchet MS"/>
          <w:color w:val="231F20"/>
          <w:spacing w:val="-1"/>
          <w:w w:val="101"/>
          <w:sz w:val="20"/>
        </w:rPr>
        <w:t>i</w:t>
      </w:r>
      <w:r>
        <w:rPr>
          <w:rFonts w:ascii="Trebuchet MS"/>
          <w:color w:val="231F20"/>
          <w:spacing w:val="-2"/>
          <w:w w:val="101"/>
          <w:sz w:val="20"/>
        </w:rPr>
        <w:t>d</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92"/>
          <w:sz w:val="20"/>
        </w:rPr>
        <w:t>f</w:t>
      </w:r>
      <w:r>
        <w:rPr>
          <w:rFonts w:ascii="Trebuchet MS"/>
          <w:color w:val="231F20"/>
          <w:spacing w:val="-1"/>
          <w:w w:val="105"/>
          <w:sz w:val="20"/>
        </w:rPr>
        <w:t>und</w:t>
      </w:r>
      <w:r>
        <w:rPr>
          <w:rFonts w:ascii="Trebuchet MS"/>
          <w:color w:val="231F20"/>
          <w:spacing w:val="-2"/>
          <w:w w:val="105"/>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11"/>
          <w:sz w:val="20"/>
        </w:rPr>
        <w:t>mm</w:t>
      </w:r>
      <w:r>
        <w:rPr>
          <w:rFonts w:ascii="Trebuchet MS"/>
          <w:color w:val="231F20"/>
          <w:spacing w:val="-1"/>
          <w:w w:val="108"/>
          <w:sz w:val="20"/>
        </w:rPr>
        <w:t>u</w:t>
      </w:r>
      <w:r>
        <w:rPr>
          <w:rFonts w:ascii="Trebuchet MS"/>
          <w:color w:val="231F20"/>
          <w:spacing w:val="-2"/>
          <w:w w:val="108"/>
          <w:sz w:val="20"/>
        </w:rPr>
        <w:t>n</w:t>
      </w:r>
      <w:r>
        <w:rPr>
          <w:rFonts w:ascii="Trebuchet MS"/>
          <w:color w:val="231F20"/>
          <w:spacing w:val="-3"/>
          <w:w w:val="80"/>
          <w:sz w:val="20"/>
        </w:rPr>
        <w:t>i</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3"/>
          <w:w w:val="96"/>
          <w:sz w:val="20"/>
        </w:rPr>
        <w:t>l</w:t>
      </w:r>
      <w:r>
        <w:rPr>
          <w:rFonts w:ascii="Trebuchet MS"/>
          <w:color w:val="231F20"/>
          <w:w w:val="108"/>
          <w:sz w:val="20"/>
        </w:rPr>
        <w:t>e</w:t>
      </w:r>
      <w:r>
        <w:rPr>
          <w:rFonts w:ascii="Trebuchet MS"/>
          <w:color w:val="231F20"/>
          <w:spacing w:val="-1"/>
          <w:w w:val="124"/>
          <w:sz w:val="20"/>
        </w:rPr>
        <w:t>g</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proofErr w:type="spellStart"/>
      <w:r>
        <w:rPr>
          <w:rFonts w:ascii="Trebuchet MS"/>
          <w:color w:val="231F20"/>
          <w:spacing w:val="-3"/>
          <w:w w:val="111"/>
          <w:sz w:val="20"/>
        </w:rPr>
        <w:t>c</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proofErr w:type="spellEnd"/>
      <w:r>
        <w:rPr>
          <w:rFonts w:ascii="Trebuchet MS"/>
          <w:color w:val="231F20"/>
          <w:w w:val="57"/>
          <w:sz w:val="20"/>
        </w:rPr>
        <w:t xml:space="preserve">, </w:t>
      </w:r>
      <w:r>
        <w:rPr>
          <w:rFonts w:ascii="Trebuchet MS"/>
          <w:color w:val="231F20"/>
          <w:w w:val="105"/>
          <w:sz w:val="20"/>
        </w:rPr>
        <w:t>Aboriginal-controlled</w:t>
      </w:r>
      <w:r>
        <w:rPr>
          <w:rFonts w:ascii="Trebuchet MS"/>
          <w:color w:val="231F20"/>
          <w:spacing w:val="-14"/>
          <w:w w:val="105"/>
          <w:sz w:val="20"/>
        </w:rPr>
        <w:t xml:space="preserve"> </w:t>
      </w:r>
      <w:r>
        <w:rPr>
          <w:rFonts w:ascii="Trebuchet MS"/>
          <w:color w:val="231F20"/>
          <w:w w:val="105"/>
          <w:sz w:val="20"/>
        </w:rPr>
        <w:t>legal</w:t>
      </w:r>
      <w:r>
        <w:rPr>
          <w:rFonts w:ascii="Trebuchet MS"/>
          <w:color w:val="231F20"/>
          <w:spacing w:val="-14"/>
          <w:w w:val="105"/>
          <w:sz w:val="20"/>
        </w:rPr>
        <w:t xml:space="preserve"> </w:t>
      </w:r>
      <w:proofErr w:type="gramStart"/>
      <w:r>
        <w:rPr>
          <w:rFonts w:ascii="Trebuchet MS"/>
          <w:color w:val="231F20"/>
          <w:w w:val="105"/>
          <w:sz w:val="20"/>
        </w:rPr>
        <w:t>services</w:t>
      </w:r>
      <w:proofErr w:type="gramEnd"/>
      <w:r>
        <w:rPr>
          <w:rFonts w:ascii="Trebuchet MS"/>
          <w:color w:val="231F20"/>
          <w:spacing w:val="-14"/>
          <w:w w:val="105"/>
          <w:sz w:val="20"/>
        </w:rPr>
        <w:t xml:space="preserve"> </w:t>
      </w:r>
      <w:r>
        <w:rPr>
          <w:rFonts w:ascii="Trebuchet MS"/>
          <w:color w:val="231F20"/>
          <w:w w:val="105"/>
          <w:sz w:val="20"/>
        </w:rPr>
        <w:t>and</w:t>
      </w:r>
      <w:r>
        <w:rPr>
          <w:rFonts w:ascii="Trebuchet MS"/>
          <w:color w:val="231F20"/>
          <w:spacing w:val="-14"/>
          <w:w w:val="105"/>
          <w:sz w:val="20"/>
        </w:rPr>
        <w:t xml:space="preserve"> </w:t>
      </w:r>
      <w:r>
        <w:rPr>
          <w:rFonts w:ascii="Trebuchet MS"/>
          <w:color w:val="231F20"/>
          <w:w w:val="105"/>
          <w:sz w:val="20"/>
        </w:rPr>
        <w:t>Victoria</w:t>
      </w:r>
      <w:r>
        <w:rPr>
          <w:rFonts w:ascii="Trebuchet MS"/>
          <w:color w:val="231F20"/>
          <w:spacing w:val="-14"/>
          <w:w w:val="105"/>
          <w:sz w:val="20"/>
        </w:rPr>
        <w:t xml:space="preserve"> </w:t>
      </w:r>
      <w:r>
        <w:rPr>
          <w:rFonts w:ascii="Trebuchet MS"/>
          <w:color w:val="231F20"/>
          <w:w w:val="105"/>
          <w:sz w:val="20"/>
        </w:rPr>
        <w:t>Legal</w:t>
      </w:r>
      <w:r>
        <w:rPr>
          <w:rFonts w:ascii="Trebuchet MS"/>
          <w:color w:val="231F20"/>
          <w:spacing w:val="-14"/>
          <w:w w:val="105"/>
          <w:sz w:val="20"/>
        </w:rPr>
        <w:t xml:space="preserve"> </w:t>
      </w:r>
      <w:r>
        <w:rPr>
          <w:rFonts w:ascii="Trebuchet MS"/>
          <w:color w:val="231F20"/>
          <w:w w:val="105"/>
          <w:sz w:val="20"/>
        </w:rPr>
        <w:t>Aid</w:t>
      </w:r>
      <w:r>
        <w:rPr>
          <w:rFonts w:ascii="Trebuchet MS"/>
          <w:color w:val="231F20"/>
          <w:spacing w:val="-13"/>
          <w:w w:val="105"/>
          <w:sz w:val="20"/>
        </w:rPr>
        <w:t xml:space="preserve"> </w:t>
      </w:r>
      <w:r>
        <w:rPr>
          <w:rFonts w:ascii="Trebuchet MS"/>
          <w:color w:val="231F20"/>
          <w:w w:val="105"/>
          <w:sz w:val="20"/>
        </w:rPr>
        <w:t>to</w:t>
      </w:r>
      <w:r>
        <w:rPr>
          <w:rFonts w:ascii="Trebuchet MS"/>
          <w:color w:val="231F20"/>
          <w:spacing w:val="-14"/>
          <w:w w:val="105"/>
          <w:sz w:val="20"/>
        </w:rPr>
        <w:t xml:space="preserve"> </w:t>
      </w:r>
      <w:r>
        <w:rPr>
          <w:rFonts w:ascii="Trebuchet MS"/>
          <w:color w:val="231F20"/>
          <w:w w:val="105"/>
          <w:sz w:val="20"/>
        </w:rPr>
        <w:t>expand</w:t>
      </w:r>
      <w:r>
        <w:rPr>
          <w:rFonts w:ascii="Trebuchet MS"/>
          <w:color w:val="231F20"/>
          <w:spacing w:val="-14"/>
          <w:w w:val="105"/>
          <w:sz w:val="20"/>
        </w:rPr>
        <w:t xml:space="preserve"> </w:t>
      </w:r>
      <w:r>
        <w:rPr>
          <w:rFonts w:ascii="Trebuchet MS"/>
          <w:color w:val="231F20"/>
          <w:w w:val="105"/>
          <w:sz w:val="20"/>
        </w:rPr>
        <w:t>access</w:t>
      </w:r>
      <w:r>
        <w:rPr>
          <w:rFonts w:ascii="Trebuchet MS"/>
          <w:color w:val="231F20"/>
          <w:spacing w:val="-14"/>
          <w:w w:val="105"/>
          <w:sz w:val="20"/>
        </w:rPr>
        <w:t xml:space="preserve"> </w:t>
      </w:r>
      <w:r>
        <w:rPr>
          <w:rFonts w:ascii="Trebuchet MS"/>
          <w:color w:val="231F20"/>
          <w:w w:val="105"/>
          <w:sz w:val="20"/>
        </w:rPr>
        <w:t>to</w:t>
      </w:r>
      <w:r>
        <w:rPr>
          <w:rFonts w:ascii="Trebuchet MS"/>
          <w:color w:val="231F20"/>
          <w:spacing w:val="-14"/>
          <w:w w:val="105"/>
          <w:sz w:val="20"/>
        </w:rPr>
        <w:t xml:space="preserve"> </w:t>
      </w:r>
      <w:r>
        <w:rPr>
          <w:rFonts w:ascii="Trebuchet MS"/>
          <w:color w:val="231F20"/>
          <w:w w:val="105"/>
          <w:sz w:val="20"/>
        </w:rPr>
        <w:t>legal advice</w:t>
      </w:r>
      <w:r>
        <w:rPr>
          <w:rFonts w:ascii="Trebuchet MS"/>
          <w:color w:val="231F20"/>
          <w:spacing w:val="-21"/>
          <w:w w:val="105"/>
          <w:sz w:val="20"/>
        </w:rPr>
        <w:t xml:space="preserve"> </w:t>
      </w:r>
      <w:r>
        <w:rPr>
          <w:rFonts w:ascii="Trebuchet MS"/>
          <w:color w:val="231F20"/>
          <w:w w:val="105"/>
          <w:sz w:val="20"/>
        </w:rPr>
        <w:t>and</w:t>
      </w:r>
      <w:r>
        <w:rPr>
          <w:rFonts w:ascii="Trebuchet MS"/>
          <w:color w:val="231F20"/>
          <w:spacing w:val="-21"/>
          <w:w w:val="105"/>
          <w:sz w:val="20"/>
        </w:rPr>
        <w:t xml:space="preserve"> </w:t>
      </w:r>
      <w:r>
        <w:rPr>
          <w:rFonts w:ascii="Trebuchet MS"/>
          <w:color w:val="231F20"/>
          <w:w w:val="105"/>
          <w:sz w:val="20"/>
        </w:rPr>
        <w:t>representation</w:t>
      </w:r>
      <w:r>
        <w:rPr>
          <w:rFonts w:ascii="Trebuchet MS"/>
          <w:color w:val="231F20"/>
          <w:spacing w:val="-20"/>
          <w:w w:val="105"/>
          <w:sz w:val="20"/>
        </w:rPr>
        <w:t xml:space="preserve"> </w:t>
      </w:r>
      <w:r>
        <w:rPr>
          <w:rFonts w:ascii="Trebuchet MS"/>
          <w:color w:val="231F20"/>
          <w:w w:val="105"/>
          <w:sz w:val="20"/>
        </w:rPr>
        <w:t>for</w:t>
      </w:r>
      <w:r>
        <w:rPr>
          <w:rFonts w:ascii="Trebuchet MS"/>
          <w:color w:val="231F20"/>
          <w:spacing w:val="-21"/>
          <w:w w:val="105"/>
          <w:sz w:val="20"/>
        </w:rPr>
        <w:t xml:space="preserve"> </w:t>
      </w:r>
      <w:r>
        <w:rPr>
          <w:rFonts w:ascii="Trebuchet MS"/>
          <w:color w:val="231F20"/>
          <w:w w:val="105"/>
          <w:sz w:val="20"/>
        </w:rPr>
        <w:t>applicants</w:t>
      </w:r>
      <w:r>
        <w:rPr>
          <w:rFonts w:ascii="Trebuchet MS"/>
          <w:color w:val="231F20"/>
          <w:spacing w:val="-20"/>
          <w:w w:val="105"/>
          <w:sz w:val="20"/>
        </w:rPr>
        <w:t xml:space="preserve"> </w:t>
      </w:r>
      <w:r>
        <w:rPr>
          <w:rFonts w:ascii="Trebuchet MS"/>
          <w:color w:val="231F20"/>
          <w:w w:val="105"/>
          <w:sz w:val="20"/>
        </w:rPr>
        <w:t>and</w:t>
      </w:r>
      <w:r>
        <w:rPr>
          <w:rFonts w:ascii="Trebuchet MS"/>
          <w:color w:val="231F20"/>
          <w:spacing w:val="-21"/>
          <w:w w:val="105"/>
          <w:sz w:val="20"/>
        </w:rPr>
        <w:t xml:space="preserve"> </w:t>
      </w:r>
      <w:r>
        <w:rPr>
          <w:rFonts w:ascii="Trebuchet MS"/>
          <w:color w:val="231F20"/>
          <w:w w:val="105"/>
          <w:sz w:val="20"/>
        </w:rPr>
        <w:t>respondents</w:t>
      </w:r>
      <w:r>
        <w:rPr>
          <w:rFonts w:ascii="Trebuchet MS"/>
          <w:color w:val="231F20"/>
          <w:spacing w:val="-20"/>
          <w:w w:val="105"/>
          <w:sz w:val="20"/>
        </w:rPr>
        <w:t xml:space="preserve"> </w:t>
      </w:r>
      <w:r>
        <w:rPr>
          <w:rFonts w:ascii="Trebuchet MS"/>
          <w:color w:val="231F20"/>
          <w:w w:val="105"/>
          <w:sz w:val="20"/>
        </w:rPr>
        <w:t>in</w:t>
      </w:r>
      <w:r>
        <w:rPr>
          <w:rFonts w:ascii="Trebuchet MS"/>
          <w:color w:val="231F20"/>
          <w:spacing w:val="-21"/>
          <w:w w:val="105"/>
          <w:sz w:val="20"/>
        </w:rPr>
        <w:t xml:space="preserve"> </w:t>
      </w:r>
      <w:r>
        <w:rPr>
          <w:rFonts w:ascii="Trebuchet MS"/>
          <w:color w:val="231F20"/>
          <w:w w:val="105"/>
          <w:sz w:val="20"/>
        </w:rPr>
        <w:t>relation</w:t>
      </w:r>
      <w:r>
        <w:rPr>
          <w:rFonts w:ascii="Trebuchet MS"/>
          <w:color w:val="231F20"/>
          <w:spacing w:val="-20"/>
          <w:w w:val="105"/>
          <w:sz w:val="20"/>
        </w:rPr>
        <w:t xml:space="preserve"> </w:t>
      </w:r>
      <w:r>
        <w:rPr>
          <w:rFonts w:ascii="Trebuchet MS"/>
          <w:color w:val="231F20"/>
          <w:w w:val="105"/>
          <w:sz w:val="20"/>
        </w:rPr>
        <w:t>to</w:t>
      </w:r>
      <w:r>
        <w:rPr>
          <w:rFonts w:ascii="Trebuchet MS"/>
          <w:color w:val="231F20"/>
          <w:spacing w:val="-21"/>
          <w:w w:val="105"/>
          <w:sz w:val="20"/>
        </w:rPr>
        <w:t xml:space="preserve"> </w:t>
      </w:r>
      <w:r>
        <w:rPr>
          <w:rFonts w:ascii="Trebuchet MS"/>
          <w:color w:val="231F20"/>
          <w:spacing w:val="-3"/>
          <w:w w:val="105"/>
          <w:sz w:val="20"/>
        </w:rPr>
        <w:t xml:space="preserve">non-family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5"/>
          <w:sz w:val="20"/>
        </w:rPr>
        <w:t>.</w:t>
      </w:r>
    </w:p>
    <w:p w14:paraId="533A87D2" w14:textId="77777777" w:rsidR="00894070" w:rsidRDefault="009B7AFD">
      <w:pPr>
        <w:pStyle w:val="ListParagraph"/>
        <w:numPr>
          <w:ilvl w:val="0"/>
          <w:numId w:val="191"/>
        </w:numPr>
        <w:tabs>
          <w:tab w:val="left" w:pos="1801"/>
          <w:tab w:val="left" w:pos="1802"/>
        </w:tabs>
        <w:spacing w:before="88" w:line="247" w:lineRule="auto"/>
        <w:ind w:left="1801" w:right="1304"/>
        <w:rPr>
          <w:rFonts w:ascii="Trebuchet MS"/>
          <w:sz w:val="20"/>
        </w:rPr>
      </w:pPr>
      <w:r>
        <w:rPr>
          <w:rFonts w:ascii="Trebuchet MS"/>
          <w:color w:val="231F20"/>
          <w:w w:val="105"/>
          <w:sz w:val="20"/>
        </w:rPr>
        <w:t>Eligibility</w:t>
      </w:r>
      <w:r>
        <w:rPr>
          <w:rFonts w:ascii="Trebuchet MS"/>
          <w:color w:val="231F20"/>
          <w:spacing w:val="-22"/>
          <w:w w:val="105"/>
          <w:sz w:val="20"/>
        </w:rPr>
        <w:t xml:space="preserve"> </w:t>
      </w:r>
      <w:r>
        <w:rPr>
          <w:rFonts w:ascii="Trebuchet MS"/>
          <w:color w:val="231F20"/>
          <w:w w:val="105"/>
          <w:sz w:val="20"/>
        </w:rPr>
        <w:t>for</w:t>
      </w:r>
      <w:r>
        <w:rPr>
          <w:rFonts w:ascii="Trebuchet MS"/>
          <w:color w:val="231F20"/>
          <w:spacing w:val="-22"/>
          <w:w w:val="105"/>
          <w:sz w:val="20"/>
        </w:rPr>
        <w:t xml:space="preserve"> </w:t>
      </w:r>
      <w:r>
        <w:rPr>
          <w:rFonts w:ascii="Trebuchet MS"/>
          <w:color w:val="231F20"/>
          <w:w w:val="105"/>
          <w:sz w:val="20"/>
        </w:rPr>
        <w:t>access</w:t>
      </w:r>
      <w:r>
        <w:rPr>
          <w:rFonts w:ascii="Trebuchet MS"/>
          <w:color w:val="231F20"/>
          <w:spacing w:val="-22"/>
          <w:w w:val="105"/>
          <w:sz w:val="20"/>
        </w:rPr>
        <w:t xml:space="preserve"> </w:t>
      </w:r>
      <w:r>
        <w:rPr>
          <w:rFonts w:ascii="Trebuchet MS"/>
          <w:color w:val="231F20"/>
          <w:w w:val="105"/>
          <w:sz w:val="20"/>
        </w:rPr>
        <w:t>to</w:t>
      </w:r>
      <w:r>
        <w:rPr>
          <w:rFonts w:ascii="Trebuchet MS"/>
          <w:color w:val="231F20"/>
          <w:spacing w:val="-22"/>
          <w:w w:val="105"/>
          <w:sz w:val="20"/>
        </w:rPr>
        <w:t xml:space="preserve"> </w:t>
      </w:r>
      <w:r>
        <w:rPr>
          <w:rFonts w:ascii="Trebuchet MS"/>
          <w:color w:val="231F20"/>
          <w:w w:val="105"/>
          <w:sz w:val="20"/>
        </w:rPr>
        <w:t>legal</w:t>
      </w:r>
      <w:r>
        <w:rPr>
          <w:rFonts w:ascii="Trebuchet MS"/>
          <w:color w:val="231F20"/>
          <w:spacing w:val="-22"/>
          <w:w w:val="105"/>
          <w:sz w:val="20"/>
        </w:rPr>
        <w:t xml:space="preserve"> </w:t>
      </w:r>
      <w:r>
        <w:rPr>
          <w:rFonts w:ascii="Trebuchet MS"/>
          <w:color w:val="231F20"/>
          <w:w w:val="105"/>
          <w:sz w:val="20"/>
        </w:rPr>
        <w:t>advice</w:t>
      </w:r>
      <w:r>
        <w:rPr>
          <w:rFonts w:ascii="Trebuchet MS"/>
          <w:color w:val="231F20"/>
          <w:spacing w:val="-22"/>
          <w:w w:val="105"/>
          <w:sz w:val="20"/>
        </w:rPr>
        <w:t xml:space="preserve"> </w:t>
      </w:r>
      <w:r>
        <w:rPr>
          <w:rFonts w:ascii="Trebuchet MS"/>
          <w:color w:val="231F20"/>
          <w:w w:val="105"/>
          <w:sz w:val="20"/>
        </w:rPr>
        <w:t>or</w:t>
      </w:r>
      <w:r>
        <w:rPr>
          <w:rFonts w:ascii="Trebuchet MS"/>
          <w:color w:val="231F20"/>
          <w:spacing w:val="-22"/>
          <w:w w:val="105"/>
          <w:sz w:val="20"/>
        </w:rPr>
        <w:t xml:space="preserve"> </w:t>
      </w:r>
      <w:r>
        <w:rPr>
          <w:rFonts w:ascii="Trebuchet MS"/>
          <w:color w:val="231F20"/>
          <w:w w:val="105"/>
          <w:sz w:val="20"/>
        </w:rPr>
        <w:t>representation</w:t>
      </w:r>
      <w:r>
        <w:rPr>
          <w:rFonts w:ascii="Trebuchet MS"/>
          <w:color w:val="231F20"/>
          <w:spacing w:val="-22"/>
          <w:w w:val="105"/>
          <w:sz w:val="20"/>
        </w:rPr>
        <w:t xml:space="preserve"> </w:t>
      </w:r>
      <w:r>
        <w:rPr>
          <w:rFonts w:ascii="Trebuchet MS"/>
          <w:color w:val="231F20"/>
          <w:w w:val="105"/>
          <w:sz w:val="20"/>
        </w:rPr>
        <w:t>for</w:t>
      </w:r>
      <w:r>
        <w:rPr>
          <w:rFonts w:ascii="Trebuchet MS"/>
          <w:color w:val="231F20"/>
          <w:spacing w:val="-22"/>
          <w:w w:val="105"/>
          <w:sz w:val="20"/>
        </w:rPr>
        <w:t xml:space="preserve"> </w:t>
      </w:r>
      <w:r>
        <w:rPr>
          <w:rFonts w:ascii="Trebuchet MS"/>
          <w:color w:val="231F20"/>
          <w:w w:val="105"/>
          <w:sz w:val="20"/>
        </w:rPr>
        <w:t>applicants</w:t>
      </w:r>
      <w:r>
        <w:rPr>
          <w:rFonts w:ascii="Trebuchet MS"/>
          <w:color w:val="231F20"/>
          <w:spacing w:val="-22"/>
          <w:w w:val="105"/>
          <w:sz w:val="20"/>
        </w:rPr>
        <w:t xml:space="preserve"> </w:t>
      </w:r>
      <w:r>
        <w:rPr>
          <w:rFonts w:ascii="Trebuchet MS"/>
          <w:color w:val="231F20"/>
          <w:w w:val="105"/>
          <w:sz w:val="20"/>
        </w:rPr>
        <w:t>and</w:t>
      </w:r>
      <w:r>
        <w:rPr>
          <w:rFonts w:ascii="Trebuchet MS"/>
          <w:color w:val="231F20"/>
          <w:spacing w:val="-22"/>
          <w:w w:val="105"/>
          <w:sz w:val="20"/>
        </w:rPr>
        <w:t xml:space="preserve"> </w:t>
      </w:r>
      <w:r>
        <w:rPr>
          <w:rFonts w:ascii="Trebuchet MS"/>
          <w:color w:val="231F20"/>
          <w:w w:val="105"/>
          <w:sz w:val="20"/>
        </w:rPr>
        <w:t>respondents in</w:t>
      </w:r>
      <w:r>
        <w:rPr>
          <w:rFonts w:ascii="Trebuchet MS"/>
          <w:color w:val="231F20"/>
          <w:spacing w:val="-21"/>
          <w:w w:val="105"/>
          <w:sz w:val="20"/>
        </w:rPr>
        <w:t xml:space="preserve"> </w:t>
      </w:r>
      <w:r>
        <w:rPr>
          <w:rFonts w:ascii="Trebuchet MS"/>
          <w:color w:val="231F20"/>
          <w:spacing w:val="-3"/>
          <w:w w:val="105"/>
          <w:sz w:val="20"/>
        </w:rPr>
        <w:t>non-family</w:t>
      </w:r>
      <w:r>
        <w:rPr>
          <w:rFonts w:ascii="Trebuchet MS"/>
          <w:color w:val="231F20"/>
          <w:spacing w:val="-20"/>
          <w:w w:val="105"/>
          <w:sz w:val="20"/>
        </w:rPr>
        <w:t xml:space="preserve"> </w:t>
      </w:r>
      <w:r>
        <w:rPr>
          <w:rFonts w:ascii="Trebuchet MS"/>
          <w:color w:val="231F20"/>
          <w:w w:val="105"/>
          <w:sz w:val="20"/>
        </w:rPr>
        <w:t>violence</w:t>
      </w:r>
      <w:r>
        <w:rPr>
          <w:rFonts w:ascii="Trebuchet MS"/>
          <w:color w:val="231F20"/>
          <w:spacing w:val="-21"/>
          <w:w w:val="105"/>
          <w:sz w:val="20"/>
        </w:rPr>
        <w:t xml:space="preserve"> </w:t>
      </w:r>
      <w:r>
        <w:rPr>
          <w:rFonts w:ascii="Trebuchet MS"/>
          <w:color w:val="231F20"/>
          <w:w w:val="105"/>
          <w:sz w:val="20"/>
        </w:rPr>
        <w:t>stalking</w:t>
      </w:r>
      <w:r>
        <w:rPr>
          <w:rFonts w:ascii="Trebuchet MS"/>
          <w:color w:val="231F20"/>
          <w:spacing w:val="-20"/>
          <w:w w:val="105"/>
          <w:sz w:val="20"/>
        </w:rPr>
        <w:t xml:space="preserve"> </w:t>
      </w:r>
      <w:r>
        <w:rPr>
          <w:rFonts w:ascii="Trebuchet MS"/>
          <w:color w:val="231F20"/>
          <w:w w:val="105"/>
          <w:sz w:val="20"/>
        </w:rPr>
        <w:t>personal</w:t>
      </w:r>
      <w:r>
        <w:rPr>
          <w:rFonts w:ascii="Trebuchet MS"/>
          <w:color w:val="231F20"/>
          <w:spacing w:val="-21"/>
          <w:w w:val="105"/>
          <w:sz w:val="20"/>
        </w:rPr>
        <w:t xml:space="preserve"> </w:t>
      </w:r>
      <w:r>
        <w:rPr>
          <w:rFonts w:ascii="Trebuchet MS"/>
          <w:color w:val="231F20"/>
          <w:w w:val="105"/>
          <w:sz w:val="20"/>
        </w:rPr>
        <w:t>safety</w:t>
      </w:r>
      <w:r>
        <w:rPr>
          <w:rFonts w:ascii="Trebuchet MS"/>
          <w:color w:val="231F20"/>
          <w:spacing w:val="-20"/>
          <w:w w:val="105"/>
          <w:sz w:val="20"/>
        </w:rPr>
        <w:t xml:space="preserve"> </w:t>
      </w:r>
      <w:r>
        <w:rPr>
          <w:rFonts w:ascii="Trebuchet MS"/>
          <w:color w:val="231F20"/>
          <w:w w:val="105"/>
          <w:sz w:val="20"/>
        </w:rPr>
        <w:t>intervention</w:t>
      </w:r>
      <w:r>
        <w:rPr>
          <w:rFonts w:ascii="Trebuchet MS"/>
          <w:color w:val="231F20"/>
          <w:spacing w:val="-20"/>
          <w:w w:val="105"/>
          <w:sz w:val="20"/>
        </w:rPr>
        <w:t xml:space="preserve"> </w:t>
      </w:r>
      <w:r>
        <w:rPr>
          <w:rFonts w:ascii="Trebuchet MS"/>
          <w:color w:val="231F20"/>
          <w:w w:val="105"/>
          <w:sz w:val="20"/>
        </w:rPr>
        <w:t>order</w:t>
      </w:r>
      <w:r>
        <w:rPr>
          <w:rFonts w:ascii="Trebuchet MS"/>
          <w:color w:val="231F20"/>
          <w:spacing w:val="-21"/>
          <w:w w:val="105"/>
          <w:sz w:val="20"/>
        </w:rPr>
        <w:t xml:space="preserve"> </w:t>
      </w:r>
      <w:r>
        <w:rPr>
          <w:rFonts w:ascii="Trebuchet MS"/>
          <w:color w:val="231F20"/>
          <w:w w:val="105"/>
          <w:sz w:val="20"/>
        </w:rPr>
        <w:t>matters</w:t>
      </w:r>
      <w:r>
        <w:rPr>
          <w:rFonts w:ascii="Trebuchet MS"/>
          <w:color w:val="231F20"/>
          <w:spacing w:val="-20"/>
          <w:w w:val="105"/>
          <w:sz w:val="20"/>
        </w:rPr>
        <w:t xml:space="preserve"> </w:t>
      </w:r>
      <w:r>
        <w:rPr>
          <w:rFonts w:ascii="Trebuchet MS"/>
          <w:color w:val="231F20"/>
          <w:w w:val="105"/>
          <w:sz w:val="20"/>
        </w:rPr>
        <w:t>should</w:t>
      </w:r>
      <w:r>
        <w:rPr>
          <w:rFonts w:ascii="Trebuchet MS"/>
          <w:color w:val="231F20"/>
          <w:spacing w:val="-21"/>
          <w:w w:val="105"/>
          <w:sz w:val="20"/>
        </w:rPr>
        <w:t xml:space="preserve"> </w:t>
      </w:r>
      <w:r>
        <w:rPr>
          <w:rFonts w:ascii="Trebuchet MS"/>
          <w:color w:val="231F20"/>
          <w:w w:val="105"/>
          <w:sz w:val="20"/>
        </w:rPr>
        <w:t xml:space="preserve">be </w:t>
      </w:r>
      <w:r>
        <w:rPr>
          <w:rFonts w:ascii="Trebuchet MS"/>
          <w:color w:val="231F20"/>
          <w:spacing w:val="-2"/>
          <w:w w:val="112"/>
          <w:sz w:val="20"/>
        </w:rPr>
        <w:t>d</w:t>
      </w:r>
      <w:r>
        <w:rPr>
          <w:rFonts w:ascii="Trebuchet MS"/>
          <w:color w:val="231F20"/>
          <w:spacing w:val="-3"/>
          <w:w w:val="108"/>
          <w:sz w:val="20"/>
        </w:rPr>
        <w:t>e</w:t>
      </w:r>
      <w:r>
        <w:rPr>
          <w:rFonts w:ascii="Trebuchet MS"/>
          <w:color w:val="231F20"/>
          <w:spacing w:val="-4"/>
          <w:w w:val="88"/>
          <w:sz w:val="20"/>
        </w:rPr>
        <w:t>t</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11"/>
          <w:sz w:val="20"/>
        </w:rPr>
        <w:t>m</w:t>
      </w:r>
      <w:r>
        <w:rPr>
          <w:rFonts w:ascii="Trebuchet MS"/>
          <w:color w:val="231F20"/>
          <w:spacing w:val="-2"/>
          <w:w w:val="80"/>
          <w:sz w:val="20"/>
        </w:rPr>
        <w:t>i</w:t>
      </w:r>
      <w:r>
        <w:rPr>
          <w:rFonts w:ascii="Trebuchet MS"/>
          <w:color w:val="231F20"/>
          <w:spacing w:val="-1"/>
          <w:w w:val="107"/>
          <w:sz w:val="20"/>
        </w:rPr>
        <w:t>n</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5"/>
          <w:sz w:val="20"/>
        </w:rPr>
        <w:t>a</w:t>
      </w:r>
      <w:r>
        <w:rPr>
          <w:rFonts w:ascii="Trebuchet MS"/>
          <w:color w:val="231F20"/>
          <w:spacing w:val="-1"/>
          <w:w w:val="122"/>
          <w:sz w:val="20"/>
        </w:rPr>
        <w:t>s</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24"/>
          <w:sz w:val="20"/>
        </w:rPr>
        <w:t>g</w:t>
      </w:r>
      <w:r>
        <w:rPr>
          <w:rFonts w:ascii="Trebuchet MS"/>
          <w:color w:val="231F20"/>
          <w:spacing w:val="-1"/>
          <w:w w:val="109"/>
          <w:sz w:val="20"/>
        </w:rPr>
        <w:t>u</w:t>
      </w:r>
      <w:r>
        <w:rPr>
          <w:rFonts w:ascii="Trebuchet MS"/>
          <w:color w:val="231F20"/>
          <w:spacing w:val="-1"/>
          <w:w w:val="80"/>
          <w:sz w:val="20"/>
        </w:rPr>
        <w:t>i</w:t>
      </w:r>
      <w:r>
        <w:rPr>
          <w:rFonts w:ascii="Trebuchet MS"/>
          <w:color w:val="231F20"/>
          <w:spacing w:val="-2"/>
          <w:w w:val="112"/>
          <w:sz w:val="20"/>
        </w:rPr>
        <w:t>d</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2"/>
          <w:sz w:val="20"/>
        </w:rPr>
        <w:t>d</w:t>
      </w:r>
      <w:r>
        <w:rPr>
          <w:rFonts w:ascii="Trebuchet MS"/>
          <w:color w:val="231F20"/>
          <w:spacing w:val="-5"/>
          <w:w w:val="108"/>
          <w:sz w:val="20"/>
        </w:rPr>
        <w:t>e</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3"/>
          <w:w w:val="96"/>
          <w:sz w:val="20"/>
        </w:rPr>
        <w:t>l</w:t>
      </w:r>
      <w:r>
        <w:rPr>
          <w:rFonts w:ascii="Trebuchet MS"/>
          <w:color w:val="231F20"/>
          <w:spacing w:val="-1"/>
          <w:w w:val="111"/>
          <w:sz w:val="20"/>
        </w:rPr>
        <w:t>op</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3"/>
          <w:w w:val="112"/>
          <w:sz w:val="20"/>
        </w:rPr>
        <w:t>R</w:t>
      </w:r>
      <w:r>
        <w:rPr>
          <w:rFonts w:ascii="Trebuchet MS"/>
          <w:color w:val="231F20"/>
          <w:w w:val="108"/>
          <w:sz w:val="20"/>
        </w:rPr>
        <w:t>e</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11"/>
          <w:sz w:val="20"/>
        </w:rPr>
        <w:t>m</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6"/>
          <w:w w:val="85"/>
          <w:sz w:val="20"/>
        </w:rPr>
        <w:t>1</w:t>
      </w:r>
      <w:r>
        <w:rPr>
          <w:rFonts w:ascii="Trebuchet MS"/>
          <w:color w:val="231F20"/>
          <w:spacing w:val="-3"/>
          <w:w w:val="117"/>
          <w:sz w:val="20"/>
        </w:rPr>
        <w:t>0</w:t>
      </w:r>
      <w:r>
        <w:rPr>
          <w:rFonts w:ascii="Trebuchet MS"/>
          <w:color w:val="231F20"/>
          <w:w w:val="55"/>
          <w:sz w:val="20"/>
        </w:rPr>
        <w:t>.</w:t>
      </w:r>
    </w:p>
    <w:p w14:paraId="07796287" w14:textId="77777777" w:rsidR="00894070" w:rsidRDefault="009B7AFD">
      <w:pPr>
        <w:pStyle w:val="ListParagraph"/>
        <w:numPr>
          <w:ilvl w:val="0"/>
          <w:numId w:val="191"/>
        </w:numPr>
        <w:tabs>
          <w:tab w:val="left" w:pos="1801"/>
          <w:tab w:val="left" w:pos="1802"/>
        </w:tabs>
        <w:spacing w:before="88" w:line="247" w:lineRule="auto"/>
        <w:ind w:left="1801" w:right="1565"/>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monitor and </w:t>
      </w:r>
      <w:r>
        <w:rPr>
          <w:rFonts w:ascii="Trebuchet MS"/>
          <w:color w:val="231F20"/>
          <w:spacing w:val="-3"/>
          <w:w w:val="105"/>
          <w:sz w:val="20"/>
        </w:rPr>
        <w:t xml:space="preserve">evaluate </w:t>
      </w:r>
      <w:r>
        <w:rPr>
          <w:rFonts w:ascii="Trebuchet MS"/>
          <w:color w:val="231F20"/>
          <w:w w:val="105"/>
          <w:sz w:val="20"/>
        </w:rPr>
        <w:t xml:space="preserve">the implementation of </w:t>
      </w:r>
      <w:r>
        <w:rPr>
          <w:rFonts w:ascii="Trebuchet MS"/>
          <w:color w:val="231F20"/>
          <w:spacing w:val="-1"/>
          <w:w w:val="111"/>
          <w:sz w:val="20"/>
        </w:rPr>
        <w:t>o</w:t>
      </w:r>
      <w:r>
        <w:rPr>
          <w:rFonts w:ascii="Trebuchet MS"/>
          <w:color w:val="231F20"/>
          <w:spacing w:val="-2"/>
          <w:w w:val="107"/>
          <w:sz w:val="20"/>
        </w:rPr>
        <w:t>n</w:t>
      </w:r>
      <w:r>
        <w:rPr>
          <w:rFonts w:ascii="Trebuchet MS"/>
          <w:color w:val="231F20"/>
          <w:w w:val="96"/>
          <w:sz w:val="20"/>
        </w:rPr>
        <w:t>l</w:t>
      </w:r>
      <w:r>
        <w:rPr>
          <w:rFonts w:ascii="Trebuchet MS"/>
          <w:color w:val="231F20"/>
          <w:spacing w:val="-2"/>
          <w:w w:val="80"/>
          <w:sz w:val="20"/>
        </w:rPr>
        <w:t>i</w:t>
      </w:r>
      <w:r>
        <w:rPr>
          <w:rFonts w:ascii="Trebuchet MS"/>
          <w:color w:val="231F20"/>
          <w:spacing w:val="-1"/>
          <w:w w:val="108"/>
          <w:sz w:val="20"/>
        </w:rPr>
        <w:t>n</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05"/>
          <w:sz w:val="20"/>
        </w:rPr>
        <w:t>a</w:t>
      </w:r>
      <w:r>
        <w:rPr>
          <w:rFonts w:ascii="Trebuchet MS"/>
          <w:color w:val="231F20"/>
          <w:spacing w:val="-1"/>
          <w:w w:val="111"/>
          <w:sz w:val="20"/>
        </w:rPr>
        <w:t>p</w:t>
      </w:r>
      <w:r>
        <w:rPr>
          <w:rFonts w:ascii="Trebuchet MS"/>
          <w:color w:val="231F20"/>
          <w:spacing w:val="-2"/>
          <w:w w:val="111"/>
          <w:sz w:val="20"/>
        </w:rPr>
        <w:t>p</w:t>
      </w:r>
      <w:r>
        <w:rPr>
          <w:rFonts w:ascii="Trebuchet MS"/>
          <w:color w:val="231F20"/>
          <w:w w:val="96"/>
          <w:sz w:val="20"/>
        </w:rPr>
        <w:t>l</w:t>
      </w:r>
      <w:r>
        <w:rPr>
          <w:rFonts w:ascii="Trebuchet MS"/>
          <w:color w:val="231F20"/>
          <w:spacing w:val="-1"/>
          <w:w w:val="80"/>
          <w:sz w:val="20"/>
        </w:rPr>
        <w:t>i</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spacing w:val="-2"/>
          <w:w w:val="107"/>
          <w:sz w:val="20"/>
        </w:rPr>
        <w:t>n</w:t>
      </w:r>
      <w:r>
        <w:rPr>
          <w:rFonts w:ascii="Trebuchet MS"/>
          <w:color w:val="231F20"/>
          <w:w w:val="122"/>
          <w:sz w:val="20"/>
        </w:rPr>
        <w:t>s</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ers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er</w:t>
      </w:r>
      <w:r>
        <w:rPr>
          <w:rFonts w:ascii="Trebuchet MS"/>
          <w:color w:val="231F20"/>
          <w:spacing w:val="1"/>
          <w:w w:val="108"/>
          <w:sz w:val="20"/>
        </w:rPr>
        <w:t>s</w:t>
      </w:r>
      <w:r>
        <w:rPr>
          <w:rFonts w:ascii="Trebuchet MS"/>
          <w:color w:val="231F20"/>
          <w:w w:val="55"/>
          <w:sz w:val="20"/>
        </w:rPr>
        <w:t>.</w:t>
      </w:r>
      <w:r>
        <w:rPr>
          <w:rFonts w:ascii="Trebuchet MS"/>
          <w:color w:val="231F20"/>
          <w:spacing w:val="-14"/>
          <w:sz w:val="20"/>
        </w:rPr>
        <w:t xml:space="preserve"> </w:t>
      </w:r>
      <w:r>
        <w:rPr>
          <w:rFonts w:ascii="Trebuchet MS"/>
          <w:color w:val="231F20"/>
          <w:spacing w:val="-3"/>
          <w:w w:val="111"/>
          <w:sz w:val="20"/>
        </w:rPr>
        <w:t>F</w:t>
      </w:r>
      <w:r>
        <w:rPr>
          <w:rFonts w:ascii="Trebuchet MS"/>
          <w:color w:val="231F20"/>
          <w:spacing w:val="-2"/>
          <w:w w:val="80"/>
          <w:sz w:val="20"/>
        </w:rPr>
        <w:t>i</w:t>
      </w:r>
      <w:r>
        <w:rPr>
          <w:rFonts w:ascii="Trebuchet MS"/>
          <w:color w:val="231F20"/>
          <w:spacing w:val="-1"/>
          <w:w w:val="104"/>
          <w:sz w:val="20"/>
        </w:rPr>
        <w:t>nd</w:t>
      </w:r>
      <w:r>
        <w:rPr>
          <w:rFonts w:ascii="Trebuchet MS"/>
          <w:color w:val="231F20"/>
          <w:spacing w:val="-2"/>
          <w:w w:val="104"/>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ho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p>
    <w:p w14:paraId="56C58359" w14:textId="77777777" w:rsidR="00894070" w:rsidRDefault="009B7AFD">
      <w:pPr>
        <w:pStyle w:val="BodyText"/>
        <w:spacing w:before="2" w:line="247" w:lineRule="auto"/>
        <w:ind w:left="1801" w:right="1251"/>
        <w:jc w:val="both"/>
        <w:rPr>
          <w:rFonts w:ascii="Trebuchet MS"/>
        </w:rPr>
      </w:pPr>
      <w:r>
        <w:rPr>
          <w:rFonts w:ascii="Trebuchet MS"/>
          <w:color w:val="231F20"/>
          <w:spacing w:val="-3"/>
          <w:w w:val="105"/>
        </w:rPr>
        <w:t>inform</w:t>
      </w:r>
      <w:r>
        <w:rPr>
          <w:rFonts w:ascii="Trebuchet MS"/>
          <w:color w:val="231F20"/>
          <w:spacing w:val="-20"/>
          <w:w w:val="105"/>
        </w:rPr>
        <w:t xml:space="preserve"> </w:t>
      </w:r>
      <w:r>
        <w:rPr>
          <w:rFonts w:ascii="Trebuchet MS"/>
          <w:color w:val="231F20"/>
          <w:w w:val="105"/>
        </w:rPr>
        <w:t>the</w:t>
      </w:r>
      <w:r>
        <w:rPr>
          <w:rFonts w:ascii="Trebuchet MS"/>
          <w:color w:val="231F20"/>
          <w:spacing w:val="-19"/>
          <w:w w:val="105"/>
        </w:rPr>
        <w:t xml:space="preserve"> </w:t>
      </w:r>
      <w:r>
        <w:rPr>
          <w:rFonts w:ascii="Trebuchet MS"/>
          <w:color w:val="231F20"/>
          <w:w w:val="105"/>
        </w:rPr>
        <w:t>use</w:t>
      </w:r>
      <w:r>
        <w:rPr>
          <w:rFonts w:ascii="Trebuchet MS"/>
          <w:color w:val="231F20"/>
          <w:spacing w:val="-19"/>
          <w:w w:val="105"/>
        </w:rPr>
        <w:t xml:space="preserve"> </w:t>
      </w:r>
      <w:r>
        <w:rPr>
          <w:rFonts w:ascii="Trebuchet MS"/>
          <w:color w:val="231F20"/>
          <w:w w:val="105"/>
        </w:rPr>
        <w:t>of</w:t>
      </w:r>
      <w:r>
        <w:rPr>
          <w:rFonts w:ascii="Trebuchet MS"/>
          <w:color w:val="231F20"/>
          <w:spacing w:val="-19"/>
          <w:w w:val="105"/>
        </w:rPr>
        <w:t xml:space="preserve"> </w:t>
      </w:r>
      <w:r>
        <w:rPr>
          <w:rFonts w:ascii="Trebuchet MS"/>
          <w:color w:val="231F20"/>
          <w:w w:val="105"/>
        </w:rPr>
        <w:t>online</w:t>
      </w:r>
      <w:r>
        <w:rPr>
          <w:rFonts w:ascii="Trebuchet MS"/>
          <w:color w:val="231F20"/>
          <w:spacing w:val="-19"/>
          <w:w w:val="105"/>
        </w:rPr>
        <w:t xml:space="preserve"> </w:t>
      </w:r>
      <w:r>
        <w:rPr>
          <w:rFonts w:ascii="Trebuchet MS"/>
          <w:color w:val="231F20"/>
          <w:w w:val="105"/>
        </w:rPr>
        <w:t>applications</w:t>
      </w:r>
      <w:r>
        <w:rPr>
          <w:rFonts w:ascii="Trebuchet MS"/>
          <w:color w:val="231F20"/>
          <w:spacing w:val="-19"/>
          <w:w w:val="105"/>
        </w:rPr>
        <w:t xml:space="preserve"> </w:t>
      </w:r>
      <w:r>
        <w:rPr>
          <w:rFonts w:ascii="Trebuchet MS"/>
          <w:color w:val="231F20"/>
          <w:w w:val="105"/>
        </w:rPr>
        <w:t>to</w:t>
      </w:r>
      <w:r>
        <w:rPr>
          <w:rFonts w:ascii="Trebuchet MS"/>
          <w:color w:val="231F20"/>
          <w:spacing w:val="-19"/>
          <w:w w:val="105"/>
        </w:rPr>
        <w:t xml:space="preserve"> </w:t>
      </w:r>
      <w:r>
        <w:rPr>
          <w:rFonts w:ascii="Trebuchet MS"/>
          <w:color w:val="231F20"/>
          <w:w w:val="105"/>
        </w:rPr>
        <w:t>ensure</w:t>
      </w:r>
      <w:r>
        <w:rPr>
          <w:rFonts w:ascii="Trebuchet MS"/>
          <w:color w:val="231F20"/>
          <w:spacing w:val="-19"/>
          <w:w w:val="105"/>
        </w:rPr>
        <w:t xml:space="preserve"> </w:t>
      </w:r>
      <w:r>
        <w:rPr>
          <w:rFonts w:ascii="Trebuchet MS"/>
          <w:color w:val="231F20"/>
          <w:w w:val="105"/>
        </w:rPr>
        <w:t>it</w:t>
      </w:r>
      <w:r>
        <w:rPr>
          <w:rFonts w:ascii="Trebuchet MS"/>
          <w:color w:val="231F20"/>
          <w:spacing w:val="-19"/>
          <w:w w:val="105"/>
        </w:rPr>
        <w:t xml:space="preserve"> </w:t>
      </w:r>
      <w:r>
        <w:rPr>
          <w:rFonts w:ascii="Trebuchet MS"/>
          <w:color w:val="231F20"/>
          <w:w w:val="105"/>
        </w:rPr>
        <w:t>is</w:t>
      </w:r>
      <w:r>
        <w:rPr>
          <w:rFonts w:ascii="Trebuchet MS"/>
          <w:color w:val="231F20"/>
          <w:spacing w:val="-19"/>
          <w:w w:val="105"/>
        </w:rPr>
        <w:t xml:space="preserve"> </w:t>
      </w:r>
      <w:r>
        <w:rPr>
          <w:rFonts w:ascii="Trebuchet MS"/>
          <w:color w:val="231F20"/>
          <w:spacing w:val="-3"/>
          <w:w w:val="105"/>
        </w:rPr>
        <w:t>safe</w:t>
      </w:r>
      <w:r>
        <w:rPr>
          <w:rFonts w:ascii="Trebuchet MS"/>
          <w:color w:val="231F20"/>
          <w:spacing w:val="-19"/>
          <w:w w:val="105"/>
        </w:rPr>
        <w:t xml:space="preserve"> </w:t>
      </w:r>
      <w:r>
        <w:rPr>
          <w:rFonts w:ascii="Trebuchet MS"/>
          <w:color w:val="231F20"/>
          <w:w w:val="105"/>
        </w:rPr>
        <w:t>for</w:t>
      </w:r>
      <w:r>
        <w:rPr>
          <w:rFonts w:ascii="Trebuchet MS"/>
          <w:color w:val="231F20"/>
          <w:spacing w:val="-19"/>
          <w:w w:val="105"/>
        </w:rPr>
        <w:t xml:space="preserve"> </w:t>
      </w:r>
      <w:r>
        <w:rPr>
          <w:rFonts w:ascii="Trebuchet MS"/>
          <w:color w:val="231F20"/>
          <w:w w:val="105"/>
        </w:rPr>
        <w:t>use</w:t>
      </w:r>
      <w:r>
        <w:rPr>
          <w:rFonts w:ascii="Trebuchet MS"/>
          <w:color w:val="231F20"/>
          <w:spacing w:val="-20"/>
          <w:w w:val="105"/>
        </w:rPr>
        <w:t xml:space="preserve"> </w:t>
      </w:r>
      <w:r>
        <w:rPr>
          <w:rFonts w:ascii="Trebuchet MS"/>
          <w:color w:val="231F20"/>
          <w:w w:val="105"/>
        </w:rPr>
        <w:t>in</w:t>
      </w:r>
      <w:r>
        <w:rPr>
          <w:rFonts w:ascii="Trebuchet MS"/>
          <w:color w:val="231F20"/>
          <w:spacing w:val="-19"/>
          <w:w w:val="105"/>
        </w:rPr>
        <w:t xml:space="preserve"> </w:t>
      </w:r>
      <w:r>
        <w:rPr>
          <w:rFonts w:ascii="Trebuchet MS"/>
          <w:color w:val="231F20"/>
          <w:spacing w:val="-3"/>
          <w:w w:val="105"/>
        </w:rPr>
        <w:t>non-family</w:t>
      </w:r>
      <w:r>
        <w:rPr>
          <w:rFonts w:ascii="Trebuchet MS"/>
          <w:color w:val="231F20"/>
          <w:spacing w:val="-19"/>
          <w:w w:val="105"/>
        </w:rPr>
        <w:t xml:space="preserve"> </w:t>
      </w:r>
      <w:r>
        <w:rPr>
          <w:rFonts w:ascii="Trebuchet MS"/>
          <w:color w:val="231F20"/>
          <w:w w:val="105"/>
        </w:rPr>
        <w:t>violence stalking</w:t>
      </w:r>
      <w:r>
        <w:rPr>
          <w:rFonts w:ascii="Trebuchet MS"/>
          <w:color w:val="231F20"/>
          <w:spacing w:val="-20"/>
          <w:w w:val="105"/>
        </w:rPr>
        <w:t xml:space="preserve"> </w:t>
      </w:r>
      <w:r>
        <w:rPr>
          <w:rFonts w:ascii="Trebuchet MS"/>
          <w:color w:val="231F20"/>
          <w:w w:val="105"/>
        </w:rPr>
        <w:t>matters</w:t>
      </w:r>
      <w:r>
        <w:rPr>
          <w:rFonts w:ascii="Trebuchet MS"/>
          <w:color w:val="231F20"/>
          <w:spacing w:val="-20"/>
          <w:w w:val="105"/>
        </w:rPr>
        <w:t xml:space="preserve"> </w:t>
      </w:r>
      <w:r>
        <w:rPr>
          <w:rFonts w:ascii="Trebuchet MS"/>
          <w:color w:val="231F20"/>
          <w:w w:val="105"/>
        </w:rPr>
        <w:t>and</w:t>
      </w:r>
      <w:r>
        <w:rPr>
          <w:rFonts w:ascii="Trebuchet MS"/>
          <w:color w:val="231F20"/>
          <w:spacing w:val="-20"/>
          <w:w w:val="105"/>
        </w:rPr>
        <w:t xml:space="preserve"> </w:t>
      </w:r>
      <w:r>
        <w:rPr>
          <w:rFonts w:ascii="Trebuchet MS"/>
          <w:color w:val="231F20"/>
          <w:w w:val="105"/>
        </w:rPr>
        <w:t>does</w:t>
      </w:r>
      <w:r>
        <w:rPr>
          <w:rFonts w:ascii="Trebuchet MS"/>
          <w:color w:val="231F20"/>
          <w:spacing w:val="-20"/>
          <w:w w:val="105"/>
        </w:rPr>
        <w:t xml:space="preserve"> </w:t>
      </w:r>
      <w:r>
        <w:rPr>
          <w:rFonts w:ascii="Trebuchet MS"/>
          <w:color w:val="231F20"/>
          <w:w w:val="105"/>
        </w:rPr>
        <w:t>not</w:t>
      </w:r>
      <w:r>
        <w:rPr>
          <w:rFonts w:ascii="Trebuchet MS"/>
          <w:color w:val="231F20"/>
          <w:spacing w:val="-20"/>
          <w:w w:val="105"/>
        </w:rPr>
        <w:t xml:space="preserve"> </w:t>
      </w:r>
      <w:r>
        <w:rPr>
          <w:rFonts w:ascii="Trebuchet MS"/>
          <w:color w:val="231F20"/>
          <w:w w:val="105"/>
        </w:rPr>
        <w:t>reduce</w:t>
      </w:r>
      <w:r>
        <w:rPr>
          <w:rFonts w:ascii="Trebuchet MS"/>
          <w:color w:val="231F20"/>
          <w:spacing w:val="-20"/>
          <w:w w:val="105"/>
        </w:rPr>
        <w:t xml:space="preserve"> </w:t>
      </w:r>
      <w:r>
        <w:rPr>
          <w:rFonts w:ascii="Trebuchet MS"/>
          <w:color w:val="231F20"/>
          <w:w w:val="105"/>
        </w:rPr>
        <w:t>the</w:t>
      </w:r>
      <w:r>
        <w:rPr>
          <w:rFonts w:ascii="Trebuchet MS"/>
          <w:color w:val="231F20"/>
          <w:spacing w:val="-20"/>
          <w:w w:val="105"/>
        </w:rPr>
        <w:t xml:space="preserve"> </w:t>
      </w:r>
      <w:r>
        <w:rPr>
          <w:rFonts w:ascii="Trebuchet MS"/>
          <w:color w:val="231F20"/>
          <w:w w:val="105"/>
        </w:rPr>
        <w:t>capacity</w:t>
      </w:r>
      <w:r>
        <w:rPr>
          <w:rFonts w:ascii="Trebuchet MS"/>
          <w:color w:val="231F20"/>
          <w:spacing w:val="-20"/>
          <w:w w:val="105"/>
        </w:rPr>
        <w:t xml:space="preserve"> </w:t>
      </w:r>
      <w:r>
        <w:rPr>
          <w:rFonts w:ascii="Trebuchet MS"/>
          <w:color w:val="231F20"/>
          <w:w w:val="105"/>
        </w:rPr>
        <w:t>of</w:t>
      </w:r>
      <w:r>
        <w:rPr>
          <w:rFonts w:ascii="Trebuchet MS"/>
          <w:color w:val="231F20"/>
          <w:spacing w:val="-20"/>
          <w:w w:val="105"/>
        </w:rPr>
        <w:t xml:space="preserve"> </w:t>
      </w:r>
      <w:r>
        <w:rPr>
          <w:rFonts w:ascii="Trebuchet MS"/>
          <w:color w:val="231F20"/>
          <w:w w:val="105"/>
        </w:rPr>
        <w:t>the</w:t>
      </w:r>
      <w:r>
        <w:rPr>
          <w:rFonts w:ascii="Trebuchet MS"/>
          <w:color w:val="231F20"/>
          <w:spacing w:val="-20"/>
          <w:w w:val="105"/>
        </w:rPr>
        <w:t xml:space="preserve"> </w:t>
      </w:r>
      <w:r>
        <w:rPr>
          <w:rFonts w:ascii="Trebuchet MS"/>
          <w:color w:val="231F20"/>
          <w:w w:val="105"/>
        </w:rPr>
        <w:t>court</w:t>
      </w:r>
      <w:r>
        <w:rPr>
          <w:rFonts w:ascii="Trebuchet MS"/>
          <w:color w:val="231F20"/>
          <w:spacing w:val="-20"/>
          <w:w w:val="105"/>
        </w:rPr>
        <w:t xml:space="preserve"> </w:t>
      </w:r>
      <w:r>
        <w:rPr>
          <w:rFonts w:ascii="Trebuchet MS"/>
          <w:color w:val="231F20"/>
          <w:w w:val="105"/>
        </w:rPr>
        <w:t>to</w:t>
      </w:r>
      <w:r>
        <w:rPr>
          <w:rFonts w:ascii="Trebuchet MS"/>
          <w:color w:val="231F20"/>
          <w:spacing w:val="-20"/>
          <w:w w:val="105"/>
        </w:rPr>
        <w:t xml:space="preserve"> </w:t>
      </w:r>
      <w:r>
        <w:rPr>
          <w:rFonts w:ascii="Trebuchet MS"/>
          <w:color w:val="231F20"/>
          <w:spacing w:val="-3"/>
          <w:w w:val="105"/>
        </w:rPr>
        <w:t>provide</w:t>
      </w:r>
      <w:r>
        <w:rPr>
          <w:rFonts w:ascii="Trebuchet MS"/>
          <w:color w:val="231F20"/>
          <w:spacing w:val="-20"/>
          <w:w w:val="105"/>
        </w:rPr>
        <w:t xml:space="preserve"> </w:t>
      </w:r>
      <w:r>
        <w:rPr>
          <w:rFonts w:ascii="Trebuchet MS"/>
          <w:color w:val="231F20"/>
          <w:w w:val="105"/>
        </w:rPr>
        <w:t>an</w:t>
      </w:r>
      <w:r>
        <w:rPr>
          <w:rFonts w:ascii="Trebuchet MS"/>
          <w:color w:val="231F20"/>
          <w:spacing w:val="-20"/>
          <w:w w:val="105"/>
        </w:rPr>
        <w:t xml:space="preserve"> </w:t>
      </w:r>
      <w:r>
        <w:rPr>
          <w:rFonts w:ascii="Trebuchet MS"/>
          <w:color w:val="231F20"/>
          <w:spacing w:val="-3"/>
          <w:w w:val="105"/>
        </w:rPr>
        <w:t xml:space="preserve">effective </w:t>
      </w:r>
      <w:r>
        <w:rPr>
          <w:rFonts w:ascii="Trebuchet MS"/>
          <w:color w:val="231F20"/>
          <w:spacing w:val="-4"/>
          <w:w w:val="102"/>
        </w:rPr>
        <w:t>r</w:t>
      </w:r>
      <w:r>
        <w:rPr>
          <w:rFonts w:ascii="Trebuchet MS"/>
          <w:color w:val="231F20"/>
          <w:spacing w:val="-2"/>
          <w:w w:val="102"/>
        </w:rPr>
        <w:t>e</w:t>
      </w:r>
      <w:r>
        <w:rPr>
          <w:rFonts w:ascii="Trebuchet MS"/>
          <w:color w:val="231F20"/>
          <w:spacing w:val="-2"/>
          <w:w w:val="122"/>
        </w:rPr>
        <w:t>s</w:t>
      </w:r>
      <w:r>
        <w:rPr>
          <w:rFonts w:ascii="Trebuchet MS"/>
          <w:color w:val="231F20"/>
          <w:spacing w:val="-1"/>
          <w:w w:val="111"/>
        </w:rPr>
        <w:t>po</w:t>
      </w:r>
      <w:r>
        <w:rPr>
          <w:rFonts w:ascii="Trebuchet MS"/>
          <w:color w:val="231F20"/>
          <w:spacing w:val="-2"/>
          <w:w w:val="107"/>
        </w:rPr>
        <w:t>n</w:t>
      </w:r>
      <w:r>
        <w:rPr>
          <w:rFonts w:ascii="Trebuchet MS"/>
          <w:color w:val="231F20"/>
          <w:spacing w:val="-1"/>
          <w:w w:val="122"/>
        </w:rPr>
        <w:t>s</w:t>
      </w:r>
      <w:r>
        <w:rPr>
          <w:rFonts w:ascii="Trebuchet MS"/>
          <w:color w:val="231F20"/>
          <w:w w:val="108"/>
        </w:rPr>
        <w:t>e</w:t>
      </w:r>
      <w:r>
        <w:rPr>
          <w:rFonts w:ascii="Trebuchet MS"/>
          <w:color w:val="231F20"/>
          <w:spacing w:val="-14"/>
        </w:rPr>
        <w:t xml:space="preserve"> </w:t>
      </w:r>
      <w:r>
        <w:rPr>
          <w:rFonts w:ascii="Trebuchet MS"/>
          <w:color w:val="231F20"/>
          <w:spacing w:val="-4"/>
          <w:w w:val="101"/>
        </w:rPr>
        <w:t>t</w:t>
      </w:r>
      <w:r>
        <w:rPr>
          <w:rFonts w:ascii="Trebuchet MS"/>
          <w:color w:val="231F20"/>
          <w:w w:val="101"/>
        </w:rPr>
        <w:t>o</w:t>
      </w:r>
      <w:r>
        <w:rPr>
          <w:rFonts w:ascii="Trebuchet MS"/>
          <w:color w:val="231F20"/>
          <w:spacing w:val="-14"/>
        </w:rPr>
        <w:t xml:space="preserve"> </w:t>
      </w:r>
      <w:r>
        <w:rPr>
          <w:rFonts w:ascii="Trebuchet MS"/>
          <w:color w:val="231F20"/>
          <w:spacing w:val="-2"/>
          <w:w w:val="88"/>
        </w:rPr>
        <w:t>t</w:t>
      </w:r>
      <w:r>
        <w:rPr>
          <w:rFonts w:ascii="Trebuchet MS"/>
          <w:color w:val="231F20"/>
          <w:spacing w:val="-1"/>
          <w:w w:val="107"/>
        </w:rPr>
        <w:t>h</w:t>
      </w:r>
      <w:r>
        <w:rPr>
          <w:rFonts w:ascii="Trebuchet MS"/>
          <w:color w:val="231F20"/>
          <w:spacing w:val="-2"/>
          <w:w w:val="108"/>
        </w:rPr>
        <w:t>e</w:t>
      </w:r>
      <w:r>
        <w:rPr>
          <w:rFonts w:ascii="Trebuchet MS"/>
          <w:color w:val="231F20"/>
          <w:spacing w:val="-1"/>
          <w:w w:val="122"/>
        </w:rPr>
        <w:t>s</w:t>
      </w:r>
      <w:r>
        <w:rPr>
          <w:rFonts w:ascii="Trebuchet MS"/>
          <w:color w:val="231F20"/>
          <w:w w:val="108"/>
        </w:rPr>
        <w:t>e</w:t>
      </w:r>
      <w:r>
        <w:rPr>
          <w:rFonts w:ascii="Trebuchet MS"/>
          <w:color w:val="231F20"/>
          <w:spacing w:val="-14"/>
        </w:rPr>
        <w:t xml:space="preserve"> </w:t>
      </w:r>
      <w:r>
        <w:rPr>
          <w:rFonts w:ascii="Trebuchet MS"/>
          <w:color w:val="231F20"/>
          <w:spacing w:val="-1"/>
          <w:w w:val="111"/>
        </w:rPr>
        <w:t>m</w:t>
      </w:r>
      <w:r>
        <w:rPr>
          <w:rFonts w:ascii="Trebuchet MS"/>
          <w:color w:val="231F20"/>
          <w:spacing w:val="-4"/>
          <w:w w:val="105"/>
        </w:rPr>
        <w:t>a</w:t>
      </w:r>
      <w:r>
        <w:rPr>
          <w:rFonts w:ascii="Trebuchet MS"/>
          <w:color w:val="231F20"/>
          <w:spacing w:val="-1"/>
          <w:w w:val="88"/>
        </w:rPr>
        <w:t>t</w:t>
      </w:r>
      <w:r>
        <w:rPr>
          <w:rFonts w:ascii="Trebuchet MS"/>
          <w:color w:val="231F20"/>
          <w:spacing w:val="-4"/>
        </w:rPr>
        <w:t>t</w:t>
      </w:r>
      <w:r>
        <w:rPr>
          <w:rFonts w:ascii="Trebuchet MS"/>
          <w:color w:val="231F20"/>
          <w:spacing w:val="-1"/>
        </w:rPr>
        <w:t>e</w:t>
      </w:r>
      <w:r>
        <w:rPr>
          <w:rFonts w:ascii="Trebuchet MS"/>
          <w:color w:val="231F20"/>
          <w:spacing w:val="-1"/>
          <w:w w:val="93"/>
        </w:rPr>
        <w:t>r</w:t>
      </w:r>
      <w:r>
        <w:rPr>
          <w:rFonts w:ascii="Trebuchet MS"/>
          <w:color w:val="231F20"/>
          <w:spacing w:val="1"/>
          <w:w w:val="122"/>
        </w:rPr>
        <w:t>s</w:t>
      </w:r>
      <w:r>
        <w:rPr>
          <w:rFonts w:ascii="Trebuchet MS"/>
          <w:color w:val="231F20"/>
          <w:w w:val="55"/>
        </w:rPr>
        <w:t>.</w:t>
      </w:r>
    </w:p>
    <w:p w14:paraId="724CD0E9" w14:textId="77777777" w:rsidR="00894070" w:rsidRDefault="00894070">
      <w:pPr>
        <w:pStyle w:val="BodyText"/>
        <w:rPr>
          <w:rFonts w:ascii="Trebuchet MS"/>
        </w:rPr>
      </w:pPr>
    </w:p>
    <w:p w14:paraId="07F763D9" w14:textId="77777777" w:rsidR="00894070" w:rsidRDefault="00894070">
      <w:pPr>
        <w:pStyle w:val="BodyText"/>
        <w:spacing w:before="10"/>
        <w:rPr>
          <w:rFonts w:ascii="Trebuchet MS"/>
          <w:sz w:val="28"/>
        </w:rPr>
      </w:pPr>
    </w:p>
    <w:p w14:paraId="38BE3035" w14:textId="77777777" w:rsidR="00894070" w:rsidRDefault="009B7AFD">
      <w:pPr>
        <w:pStyle w:val="Heading8"/>
        <w:spacing w:before="48"/>
        <w:ind w:left="140"/>
      </w:pPr>
      <w:r>
        <w:rPr>
          <w:color w:val="EA5B50"/>
        </w:rPr>
        <w:t>xxiv</w:t>
      </w:r>
    </w:p>
    <w:p w14:paraId="734C39D1" w14:textId="77777777" w:rsidR="00894070" w:rsidRDefault="00894070">
      <w:pPr>
        <w:sectPr w:rsidR="00894070">
          <w:pgSz w:w="11910" w:h="16840"/>
          <w:pgMar w:top="860" w:right="420" w:bottom="280" w:left="580" w:header="567" w:footer="0" w:gutter="0"/>
          <w:cols w:space="720"/>
        </w:sectPr>
      </w:pPr>
    </w:p>
    <w:p w14:paraId="4E52FB97" w14:textId="77777777" w:rsidR="00894070" w:rsidRDefault="00894070">
      <w:pPr>
        <w:pStyle w:val="BodyText"/>
        <w:rPr>
          <w:b/>
        </w:rPr>
      </w:pPr>
    </w:p>
    <w:p w14:paraId="608AA2A6" w14:textId="77777777" w:rsidR="00894070" w:rsidRDefault="00894070">
      <w:pPr>
        <w:pStyle w:val="BodyText"/>
        <w:rPr>
          <w:b/>
        </w:rPr>
      </w:pPr>
    </w:p>
    <w:p w14:paraId="418EAF7E" w14:textId="77777777" w:rsidR="00894070" w:rsidRDefault="00894070">
      <w:pPr>
        <w:pStyle w:val="BodyText"/>
        <w:rPr>
          <w:b/>
        </w:rPr>
      </w:pPr>
    </w:p>
    <w:p w14:paraId="19EF51E9" w14:textId="77777777" w:rsidR="00894070" w:rsidRDefault="00894070">
      <w:pPr>
        <w:pStyle w:val="BodyText"/>
        <w:spacing w:before="6"/>
        <w:rPr>
          <w:b/>
          <w:sz w:val="14"/>
        </w:rPr>
      </w:pPr>
    </w:p>
    <w:p w14:paraId="0D262905" w14:textId="77777777" w:rsidR="00894070" w:rsidRDefault="009B7AFD">
      <w:pPr>
        <w:pStyle w:val="ListParagraph"/>
        <w:numPr>
          <w:ilvl w:val="0"/>
          <w:numId w:val="191"/>
        </w:numPr>
        <w:tabs>
          <w:tab w:val="left" w:pos="1801"/>
          <w:tab w:val="left" w:pos="1802"/>
        </w:tabs>
        <w:spacing w:before="101" w:line="247" w:lineRule="auto"/>
        <w:ind w:left="1801" w:right="1390"/>
        <w:rPr>
          <w:rFonts w:ascii="Trebuchet MS" w:hAnsi="Trebuchet MS"/>
          <w:sz w:val="20"/>
        </w:rPr>
      </w:pPr>
      <w:r>
        <w:rPr>
          <w:rFonts w:ascii="Trebuchet MS" w:hAnsi="Trebuchet MS"/>
          <w:color w:val="231F20"/>
          <w:w w:val="105"/>
          <w:sz w:val="20"/>
        </w:rPr>
        <w:t>The</w:t>
      </w:r>
      <w:r>
        <w:rPr>
          <w:rFonts w:ascii="Trebuchet MS" w:hAnsi="Trebuchet MS"/>
          <w:color w:val="231F20"/>
          <w:spacing w:val="-28"/>
          <w:w w:val="105"/>
          <w:sz w:val="20"/>
        </w:rPr>
        <w:t xml:space="preserve"> </w:t>
      </w:r>
      <w:r>
        <w:rPr>
          <w:rFonts w:ascii="Trebuchet MS" w:hAnsi="Trebuchet MS"/>
          <w:color w:val="231F20"/>
          <w:w w:val="105"/>
          <w:sz w:val="20"/>
        </w:rPr>
        <w:t>Victorian</w:t>
      </w:r>
      <w:r>
        <w:rPr>
          <w:rFonts w:ascii="Trebuchet MS" w:hAnsi="Trebuchet MS"/>
          <w:color w:val="231F20"/>
          <w:spacing w:val="-28"/>
          <w:w w:val="105"/>
          <w:sz w:val="20"/>
        </w:rPr>
        <w:t xml:space="preserve"> </w:t>
      </w:r>
      <w:r>
        <w:rPr>
          <w:rFonts w:ascii="Trebuchet MS" w:hAnsi="Trebuchet MS"/>
          <w:color w:val="231F20"/>
          <w:spacing w:val="-3"/>
          <w:w w:val="105"/>
          <w:sz w:val="20"/>
        </w:rPr>
        <w:t>Government</w:t>
      </w:r>
      <w:r>
        <w:rPr>
          <w:rFonts w:ascii="Trebuchet MS" w:hAnsi="Trebuchet MS"/>
          <w:color w:val="231F20"/>
          <w:spacing w:val="-28"/>
          <w:w w:val="105"/>
          <w:sz w:val="20"/>
        </w:rPr>
        <w:t xml:space="preserve"> </w:t>
      </w:r>
      <w:r>
        <w:rPr>
          <w:rFonts w:ascii="Trebuchet MS" w:hAnsi="Trebuchet MS"/>
          <w:color w:val="231F20"/>
          <w:w w:val="105"/>
          <w:sz w:val="20"/>
        </w:rPr>
        <w:t>should</w:t>
      </w:r>
      <w:r>
        <w:rPr>
          <w:rFonts w:ascii="Trebuchet MS" w:hAnsi="Trebuchet MS"/>
          <w:color w:val="231F20"/>
          <w:spacing w:val="-28"/>
          <w:w w:val="105"/>
          <w:sz w:val="20"/>
        </w:rPr>
        <w:t xml:space="preserve"> </w:t>
      </w:r>
      <w:r>
        <w:rPr>
          <w:rFonts w:ascii="Trebuchet MS" w:hAnsi="Trebuchet MS"/>
          <w:color w:val="231F20"/>
          <w:w w:val="105"/>
          <w:sz w:val="20"/>
        </w:rPr>
        <w:t>amend</w:t>
      </w:r>
      <w:r>
        <w:rPr>
          <w:rFonts w:ascii="Trebuchet MS" w:hAnsi="Trebuchet MS"/>
          <w:color w:val="231F20"/>
          <w:spacing w:val="-28"/>
          <w:w w:val="105"/>
          <w:sz w:val="20"/>
        </w:rPr>
        <w:t xml:space="preserve"> </w:t>
      </w:r>
      <w:r>
        <w:rPr>
          <w:rFonts w:ascii="Trebuchet MS" w:hAnsi="Trebuchet MS"/>
          <w:color w:val="231F20"/>
          <w:w w:val="105"/>
          <w:sz w:val="20"/>
        </w:rPr>
        <w:t>the</w:t>
      </w:r>
      <w:r>
        <w:rPr>
          <w:rFonts w:ascii="Trebuchet MS" w:hAnsi="Trebuchet MS"/>
          <w:color w:val="231F20"/>
          <w:spacing w:val="-28"/>
          <w:w w:val="105"/>
          <w:sz w:val="20"/>
        </w:rPr>
        <w:t xml:space="preserve"> </w:t>
      </w:r>
      <w:r>
        <w:rPr>
          <w:rFonts w:ascii="Arial" w:hAnsi="Arial"/>
          <w:i/>
          <w:color w:val="231F20"/>
          <w:w w:val="105"/>
          <w:sz w:val="20"/>
        </w:rPr>
        <w:t>Personal</w:t>
      </w:r>
      <w:r>
        <w:rPr>
          <w:rFonts w:ascii="Arial" w:hAnsi="Arial"/>
          <w:i/>
          <w:color w:val="231F20"/>
          <w:spacing w:val="-25"/>
          <w:w w:val="105"/>
          <w:sz w:val="20"/>
        </w:rPr>
        <w:t xml:space="preserve"> </w:t>
      </w:r>
      <w:r>
        <w:rPr>
          <w:rFonts w:ascii="Arial" w:hAnsi="Arial"/>
          <w:i/>
          <w:color w:val="231F20"/>
          <w:w w:val="105"/>
          <w:sz w:val="20"/>
        </w:rPr>
        <w:t>Safety</w:t>
      </w:r>
      <w:r>
        <w:rPr>
          <w:rFonts w:ascii="Arial" w:hAnsi="Arial"/>
          <w:i/>
          <w:color w:val="231F20"/>
          <w:spacing w:val="-24"/>
          <w:w w:val="105"/>
          <w:sz w:val="20"/>
        </w:rPr>
        <w:t xml:space="preserve"> </w:t>
      </w:r>
      <w:r>
        <w:rPr>
          <w:rFonts w:ascii="Arial" w:hAnsi="Arial"/>
          <w:i/>
          <w:color w:val="231F20"/>
          <w:w w:val="105"/>
          <w:sz w:val="20"/>
        </w:rPr>
        <w:t>Intervention</w:t>
      </w:r>
      <w:r>
        <w:rPr>
          <w:rFonts w:ascii="Arial" w:hAnsi="Arial"/>
          <w:i/>
          <w:color w:val="231F20"/>
          <w:spacing w:val="-24"/>
          <w:w w:val="105"/>
          <w:sz w:val="20"/>
        </w:rPr>
        <w:t xml:space="preserve"> </w:t>
      </w:r>
      <w:r>
        <w:rPr>
          <w:rFonts w:ascii="Arial" w:hAnsi="Arial"/>
          <w:i/>
          <w:color w:val="231F20"/>
          <w:w w:val="105"/>
          <w:sz w:val="20"/>
        </w:rPr>
        <w:t>Orders</w:t>
      </w:r>
      <w:r>
        <w:rPr>
          <w:rFonts w:ascii="Arial" w:hAnsi="Arial"/>
          <w:i/>
          <w:color w:val="231F20"/>
          <w:spacing w:val="-25"/>
          <w:w w:val="105"/>
          <w:sz w:val="20"/>
        </w:rPr>
        <w:t xml:space="preserve"> </w:t>
      </w:r>
      <w:r>
        <w:rPr>
          <w:rFonts w:ascii="Arial" w:hAnsi="Arial"/>
          <w:i/>
          <w:color w:val="231F20"/>
          <w:w w:val="105"/>
          <w:sz w:val="20"/>
        </w:rPr>
        <w:t xml:space="preserve">Act </w:t>
      </w:r>
      <w:r>
        <w:rPr>
          <w:rFonts w:ascii="Arial" w:hAnsi="Arial"/>
          <w:i/>
          <w:color w:val="231F20"/>
          <w:spacing w:val="-2"/>
          <w:w w:val="92"/>
          <w:sz w:val="20"/>
        </w:rPr>
        <w:t>2</w:t>
      </w:r>
      <w:r>
        <w:rPr>
          <w:rFonts w:ascii="Arial" w:hAnsi="Arial"/>
          <w:i/>
          <w:color w:val="231F20"/>
          <w:spacing w:val="-4"/>
          <w:w w:val="106"/>
          <w:sz w:val="20"/>
        </w:rPr>
        <w:t>0</w:t>
      </w:r>
      <w:r>
        <w:rPr>
          <w:rFonts w:ascii="Arial" w:hAnsi="Arial"/>
          <w:i/>
          <w:color w:val="231F20"/>
          <w:spacing w:val="-5"/>
          <w:w w:val="92"/>
          <w:sz w:val="20"/>
        </w:rPr>
        <w:t>1</w:t>
      </w:r>
      <w:r>
        <w:rPr>
          <w:rFonts w:ascii="Arial" w:hAnsi="Arial"/>
          <w:i/>
          <w:color w:val="231F20"/>
          <w:w w:val="92"/>
          <w:sz w:val="20"/>
        </w:rPr>
        <w:t>0</w:t>
      </w:r>
      <w:r>
        <w:rPr>
          <w:rFonts w:ascii="Arial" w:hAnsi="Arial"/>
          <w:i/>
          <w:color w:val="231F20"/>
          <w:spacing w:val="-9"/>
          <w:sz w:val="20"/>
        </w:rPr>
        <w:t xml:space="preserve"> </w:t>
      </w:r>
      <w:r>
        <w:rPr>
          <w:rFonts w:ascii="Trebuchet MS" w:hAnsi="Trebuchet MS"/>
          <w:color w:val="231F20"/>
          <w:spacing w:val="3"/>
          <w:w w:val="77"/>
          <w:sz w:val="20"/>
        </w:rPr>
        <w:t>(</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5"/>
          <w:w w:val="111"/>
          <w:sz w:val="20"/>
        </w:rPr>
        <w:t>c</w:t>
      </w:r>
      <w:r>
        <w:rPr>
          <w:rFonts w:ascii="Trebuchet MS" w:hAnsi="Trebuchet MS"/>
          <w:color w:val="231F20"/>
          <w:w w:val="77"/>
          <w:sz w:val="20"/>
        </w:rPr>
        <w: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3"/>
          <w:w w:val="105"/>
          <w:sz w:val="20"/>
        </w:rPr>
        <w:t>a</w:t>
      </w:r>
      <w:r>
        <w:rPr>
          <w:rFonts w:ascii="Trebuchet MS" w:hAnsi="Trebuchet MS"/>
          <w:color w:val="231F20"/>
          <w:spacing w:val="-2"/>
          <w:w w:val="96"/>
          <w:sz w:val="20"/>
        </w:rPr>
        <w:t>l</w:t>
      </w:r>
      <w:r>
        <w:rPr>
          <w:rFonts w:ascii="Trebuchet MS" w:hAnsi="Trebuchet MS"/>
          <w:color w:val="231F20"/>
          <w:spacing w:val="-3"/>
          <w:w w:val="96"/>
          <w:sz w:val="20"/>
        </w:rPr>
        <w:t>l</w:t>
      </w:r>
      <w:r>
        <w:rPr>
          <w:rFonts w:ascii="Trebuchet MS" w:hAnsi="Trebuchet MS"/>
          <w:color w:val="231F20"/>
          <w:spacing w:val="-6"/>
          <w:w w:val="111"/>
          <w:sz w:val="20"/>
        </w:rPr>
        <w:t>o</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4"/>
          <w:w w:val="107"/>
          <w:sz w:val="20"/>
        </w:rPr>
        <w:t>n</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2"/>
          <w:w w:val="93"/>
          <w:sz w:val="20"/>
        </w:rPr>
        <w:t>r</w:t>
      </w:r>
      <w:r>
        <w:rPr>
          <w:rFonts w:ascii="Trebuchet MS" w:hAnsi="Trebuchet MS"/>
          <w:color w:val="231F20"/>
          <w:spacing w:val="-2"/>
          <w:w w:val="80"/>
          <w:sz w:val="20"/>
        </w:rPr>
        <w:t>i</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1"/>
          <w:sz w:val="20"/>
        </w:rPr>
        <w:t>b</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2"/>
          <w:w w:val="105"/>
          <w:sz w:val="20"/>
        </w:rPr>
        <w:t>a</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1"/>
          <w:w w:val="109"/>
          <w:sz w:val="20"/>
        </w:rPr>
        <w:t>u</w:t>
      </w:r>
      <w:r>
        <w:rPr>
          <w:rFonts w:ascii="Trebuchet MS" w:hAnsi="Trebuchet MS"/>
          <w:color w:val="231F20"/>
          <w:spacing w:val="2"/>
          <w:w w:val="93"/>
          <w:sz w:val="20"/>
        </w:rPr>
        <w:t>r</w:t>
      </w:r>
      <w:r>
        <w:rPr>
          <w:rFonts w:ascii="Trebuchet MS" w:hAnsi="Trebuchet MS"/>
          <w:color w:val="231F20"/>
          <w:w w:val="88"/>
          <w:sz w:val="20"/>
        </w:rPr>
        <w:t>t</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6"/>
          <w:w w:val="111"/>
          <w:sz w:val="20"/>
        </w:rPr>
        <w:t>o</w:t>
      </w:r>
      <w:r>
        <w:rPr>
          <w:rFonts w:ascii="Trebuchet MS" w:hAnsi="Trebuchet MS"/>
          <w:color w:val="231F20"/>
          <w:spacing w:val="-2"/>
          <w:w w:val="110"/>
          <w:sz w:val="20"/>
        </w:rPr>
        <w:t>w</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4"/>
          <w:w w:val="111"/>
          <w:sz w:val="20"/>
        </w:rPr>
        <w:t>o</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1"/>
          <w:w w:val="80"/>
          <w:sz w:val="20"/>
        </w:rPr>
        <w:t>i</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 xml:space="preserve">e </w:t>
      </w:r>
      <w:r>
        <w:rPr>
          <w:rFonts w:ascii="Trebuchet MS" w:hAnsi="Trebuchet MS"/>
          <w:color w:val="231F20"/>
          <w:w w:val="105"/>
          <w:sz w:val="20"/>
        </w:rPr>
        <w:t>case</w:t>
      </w:r>
      <w:r>
        <w:rPr>
          <w:rFonts w:ascii="Trebuchet MS" w:hAnsi="Trebuchet MS"/>
          <w:color w:val="231F20"/>
          <w:spacing w:val="-19"/>
          <w:w w:val="105"/>
          <w:sz w:val="20"/>
        </w:rPr>
        <w:t xml:space="preserve"> </w:t>
      </w:r>
      <w:r>
        <w:rPr>
          <w:rFonts w:ascii="Trebuchet MS" w:hAnsi="Trebuchet MS"/>
          <w:color w:val="231F20"/>
          <w:w w:val="105"/>
          <w:sz w:val="20"/>
        </w:rPr>
        <w:t>in</w:t>
      </w:r>
      <w:r>
        <w:rPr>
          <w:rFonts w:ascii="Trebuchet MS" w:hAnsi="Trebuchet MS"/>
          <w:color w:val="231F20"/>
          <w:spacing w:val="-19"/>
          <w:w w:val="105"/>
          <w:sz w:val="20"/>
        </w:rPr>
        <w:t xml:space="preserve"> </w:t>
      </w:r>
      <w:r>
        <w:rPr>
          <w:rFonts w:ascii="Trebuchet MS" w:hAnsi="Trebuchet MS"/>
          <w:color w:val="231F20"/>
          <w:w w:val="105"/>
          <w:sz w:val="20"/>
        </w:rPr>
        <w:t>the</w:t>
      </w:r>
      <w:r>
        <w:rPr>
          <w:rFonts w:ascii="Trebuchet MS" w:hAnsi="Trebuchet MS"/>
          <w:color w:val="231F20"/>
          <w:spacing w:val="-20"/>
          <w:w w:val="105"/>
          <w:sz w:val="20"/>
        </w:rPr>
        <w:t xml:space="preserve"> </w:t>
      </w:r>
      <w:r>
        <w:rPr>
          <w:rFonts w:ascii="Arial" w:hAnsi="Arial"/>
          <w:i/>
          <w:color w:val="231F20"/>
          <w:spacing w:val="-3"/>
          <w:w w:val="105"/>
          <w:sz w:val="20"/>
        </w:rPr>
        <w:t>Family</w:t>
      </w:r>
      <w:r>
        <w:rPr>
          <w:rFonts w:ascii="Arial" w:hAnsi="Arial"/>
          <w:i/>
          <w:color w:val="231F20"/>
          <w:spacing w:val="-16"/>
          <w:w w:val="105"/>
          <w:sz w:val="20"/>
        </w:rPr>
        <w:t xml:space="preserve"> </w:t>
      </w:r>
      <w:r>
        <w:rPr>
          <w:rFonts w:ascii="Arial" w:hAnsi="Arial"/>
          <w:i/>
          <w:color w:val="231F20"/>
          <w:w w:val="105"/>
          <w:sz w:val="20"/>
        </w:rPr>
        <w:t>Violence</w:t>
      </w:r>
      <w:r>
        <w:rPr>
          <w:rFonts w:ascii="Arial" w:hAnsi="Arial"/>
          <w:i/>
          <w:color w:val="231F20"/>
          <w:spacing w:val="-16"/>
          <w:w w:val="105"/>
          <w:sz w:val="20"/>
        </w:rPr>
        <w:t xml:space="preserve"> </w:t>
      </w:r>
      <w:r>
        <w:rPr>
          <w:rFonts w:ascii="Arial" w:hAnsi="Arial"/>
          <w:i/>
          <w:color w:val="231F20"/>
          <w:spacing w:val="-3"/>
          <w:w w:val="105"/>
          <w:sz w:val="20"/>
        </w:rPr>
        <w:t>Protection</w:t>
      </w:r>
      <w:r>
        <w:rPr>
          <w:rFonts w:ascii="Arial" w:hAnsi="Arial"/>
          <w:i/>
          <w:color w:val="231F20"/>
          <w:spacing w:val="-15"/>
          <w:w w:val="105"/>
          <w:sz w:val="20"/>
        </w:rPr>
        <w:t xml:space="preserve"> </w:t>
      </w:r>
      <w:r>
        <w:rPr>
          <w:rFonts w:ascii="Arial" w:hAnsi="Arial"/>
          <w:i/>
          <w:color w:val="231F20"/>
          <w:w w:val="105"/>
          <w:sz w:val="20"/>
        </w:rPr>
        <w:t>Act</w:t>
      </w:r>
      <w:r>
        <w:rPr>
          <w:rFonts w:ascii="Arial" w:hAnsi="Arial"/>
          <w:i/>
          <w:color w:val="231F20"/>
          <w:spacing w:val="-16"/>
          <w:w w:val="105"/>
          <w:sz w:val="20"/>
        </w:rPr>
        <w:t xml:space="preserve"> </w:t>
      </w:r>
      <w:r>
        <w:rPr>
          <w:rFonts w:ascii="Arial" w:hAnsi="Arial"/>
          <w:i/>
          <w:color w:val="231F20"/>
          <w:w w:val="105"/>
          <w:sz w:val="20"/>
        </w:rPr>
        <w:t>2008</w:t>
      </w:r>
      <w:r>
        <w:rPr>
          <w:rFonts w:ascii="Arial" w:hAnsi="Arial"/>
          <w:i/>
          <w:color w:val="231F20"/>
          <w:spacing w:val="-14"/>
          <w:w w:val="105"/>
          <w:sz w:val="20"/>
        </w:rPr>
        <w:t xml:space="preserve"> </w:t>
      </w:r>
      <w:r>
        <w:rPr>
          <w:rFonts w:ascii="Trebuchet MS" w:hAnsi="Trebuchet MS"/>
          <w:color w:val="231F20"/>
          <w:spacing w:val="-3"/>
          <w:w w:val="105"/>
          <w:sz w:val="20"/>
        </w:rPr>
        <w:t>(Vic).</w:t>
      </w:r>
    </w:p>
    <w:p w14:paraId="0C006256" w14:textId="77777777" w:rsidR="00894070" w:rsidRDefault="009B7AFD">
      <w:pPr>
        <w:pStyle w:val="ListParagraph"/>
        <w:numPr>
          <w:ilvl w:val="0"/>
          <w:numId w:val="191"/>
        </w:numPr>
        <w:tabs>
          <w:tab w:val="left" w:pos="1801"/>
          <w:tab w:val="left" w:pos="1802"/>
        </w:tabs>
        <w:spacing w:before="87" w:line="247" w:lineRule="auto"/>
        <w:ind w:left="1801" w:right="1368"/>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amend the appeals process that applies to personal safety intervention orders to align with the amendments in the </w:t>
      </w:r>
      <w:r>
        <w:rPr>
          <w:rFonts w:ascii="Arial"/>
          <w:i/>
          <w:color w:val="231F20"/>
          <w:w w:val="105"/>
          <w:sz w:val="20"/>
        </w:rPr>
        <w:t>Justice Legislation</w:t>
      </w:r>
      <w:r>
        <w:rPr>
          <w:rFonts w:ascii="Arial"/>
          <w:i/>
          <w:color w:val="231F20"/>
          <w:spacing w:val="-28"/>
          <w:w w:val="105"/>
          <w:sz w:val="20"/>
        </w:rPr>
        <w:t xml:space="preserve"> </w:t>
      </w:r>
      <w:r>
        <w:rPr>
          <w:rFonts w:ascii="Arial"/>
          <w:i/>
          <w:color w:val="231F20"/>
          <w:w w:val="105"/>
          <w:sz w:val="20"/>
        </w:rPr>
        <w:t>Amendment</w:t>
      </w:r>
      <w:r>
        <w:rPr>
          <w:rFonts w:ascii="Arial"/>
          <w:i/>
          <w:color w:val="231F20"/>
          <w:spacing w:val="-27"/>
          <w:w w:val="105"/>
          <w:sz w:val="20"/>
        </w:rPr>
        <w:t xml:space="preserve"> </w:t>
      </w:r>
      <w:r>
        <w:rPr>
          <w:rFonts w:ascii="Arial"/>
          <w:i/>
          <w:color w:val="231F20"/>
          <w:w w:val="105"/>
          <w:sz w:val="20"/>
        </w:rPr>
        <w:t>(Criminal</w:t>
      </w:r>
      <w:r>
        <w:rPr>
          <w:rFonts w:ascii="Arial"/>
          <w:i/>
          <w:color w:val="231F20"/>
          <w:spacing w:val="-28"/>
          <w:w w:val="105"/>
          <w:sz w:val="20"/>
        </w:rPr>
        <w:t xml:space="preserve"> </w:t>
      </w:r>
      <w:r>
        <w:rPr>
          <w:rFonts w:ascii="Arial"/>
          <w:i/>
          <w:color w:val="231F20"/>
          <w:w w:val="105"/>
          <w:sz w:val="20"/>
        </w:rPr>
        <w:t>Appeals)</w:t>
      </w:r>
      <w:r>
        <w:rPr>
          <w:rFonts w:ascii="Arial"/>
          <w:i/>
          <w:color w:val="231F20"/>
          <w:spacing w:val="-27"/>
          <w:w w:val="105"/>
          <w:sz w:val="20"/>
        </w:rPr>
        <w:t xml:space="preserve"> </w:t>
      </w:r>
      <w:r>
        <w:rPr>
          <w:rFonts w:ascii="Arial"/>
          <w:i/>
          <w:color w:val="231F20"/>
          <w:w w:val="105"/>
          <w:sz w:val="20"/>
        </w:rPr>
        <w:t>Act</w:t>
      </w:r>
      <w:r>
        <w:rPr>
          <w:rFonts w:ascii="Arial"/>
          <w:i/>
          <w:color w:val="231F20"/>
          <w:spacing w:val="-27"/>
          <w:w w:val="105"/>
          <w:sz w:val="20"/>
        </w:rPr>
        <w:t xml:space="preserve"> </w:t>
      </w:r>
      <w:r>
        <w:rPr>
          <w:rFonts w:ascii="Arial"/>
          <w:i/>
          <w:color w:val="231F20"/>
          <w:spacing w:val="-3"/>
          <w:w w:val="105"/>
          <w:sz w:val="20"/>
        </w:rPr>
        <w:t>2019</w:t>
      </w:r>
      <w:r>
        <w:rPr>
          <w:rFonts w:ascii="Arial"/>
          <w:i/>
          <w:color w:val="231F20"/>
          <w:spacing w:val="-26"/>
          <w:w w:val="105"/>
          <w:sz w:val="20"/>
        </w:rPr>
        <w:t xml:space="preserve"> </w:t>
      </w:r>
      <w:r>
        <w:rPr>
          <w:rFonts w:ascii="Trebuchet MS"/>
          <w:color w:val="231F20"/>
          <w:w w:val="105"/>
          <w:sz w:val="20"/>
        </w:rPr>
        <w:t>(Vic)</w:t>
      </w:r>
      <w:r>
        <w:rPr>
          <w:rFonts w:ascii="Trebuchet MS"/>
          <w:color w:val="231F20"/>
          <w:spacing w:val="-31"/>
          <w:w w:val="105"/>
          <w:sz w:val="20"/>
        </w:rPr>
        <w:t xml:space="preserve"> </w:t>
      </w:r>
      <w:r>
        <w:rPr>
          <w:rFonts w:ascii="Trebuchet MS"/>
          <w:color w:val="231F20"/>
          <w:w w:val="105"/>
          <w:sz w:val="20"/>
        </w:rPr>
        <w:t>to</w:t>
      </w:r>
      <w:r>
        <w:rPr>
          <w:rFonts w:ascii="Trebuchet MS"/>
          <w:color w:val="231F20"/>
          <w:spacing w:val="-32"/>
          <w:w w:val="105"/>
          <w:sz w:val="20"/>
        </w:rPr>
        <w:t xml:space="preserve"> </w:t>
      </w:r>
      <w:r>
        <w:rPr>
          <w:rFonts w:ascii="Trebuchet MS"/>
          <w:color w:val="231F20"/>
          <w:w w:val="105"/>
          <w:sz w:val="20"/>
        </w:rPr>
        <w:t>de</w:t>
      </w:r>
      <w:r>
        <w:rPr>
          <w:rFonts w:ascii="Trebuchet MS"/>
          <w:color w:val="231F20"/>
          <w:spacing w:val="-31"/>
          <w:w w:val="105"/>
          <w:sz w:val="20"/>
        </w:rPr>
        <w:t xml:space="preserve"> </w:t>
      </w:r>
      <w:r>
        <w:rPr>
          <w:rFonts w:ascii="Trebuchet MS"/>
          <w:color w:val="231F20"/>
          <w:spacing w:val="-4"/>
          <w:w w:val="105"/>
          <w:sz w:val="20"/>
        </w:rPr>
        <w:t>novo</w:t>
      </w:r>
      <w:r>
        <w:rPr>
          <w:rFonts w:ascii="Trebuchet MS"/>
          <w:color w:val="231F20"/>
          <w:spacing w:val="-31"/>
          <w:w w:val="105"/>
          <w:sz w:val="20"/>
        </w:rPr>
        <w:t xml:space="preserve"> </w:t>
      </w:r>
      <w:r>
        <w:rPr>
          <w:rFonts w:ascii="Trebuchet MS"/>
          <w:color w:val="231F20"/>
          <w:w w:val="105"/>
          <w:sz w:val="20"/>
        </w:rPr>
        <w:t>appeals</w:t>
      </w:r>
      <w:r>
        <w:rPr>
          <w:rFonts w:ascii="Trebuchet MS"/>
          <w:color w:val="231F20"/>
          <w:spacing w:val="-31"/>
          <w:w w:val="105"/>
          <w:sz w:val="20"/>
        </w:rPr>
        <w:t xml:space="preserve"> </w:t>
      </w:r>
      <w:r>
        <w:rPr>
          <w:rFonts w:ascii="Trebuchet MS"/>
          <w:color w:val="231F20"/>
          <w:w w:val="105"/>
          <w:sz w:val="20"/>
        </w:rPr>
        <w:t>from</w:t>
      </w:r>
      <w:r>
        <w:rPr>
          <w:rFonts w:ascii="Trebuchet MS"/>
          <w:color w:val="231F20"/>
          <w:spacing w:val="-31"/>
          <w:w w:val="105"/>
          <w:sz w:val="20"/>
        </w:rPr>
        <w:t xml:space="preserve"> </w:t>
      </w:r>
      <w:r>
        <w:rPr>
          <w:rFonts w:ascii="Trebuchet MS"/>
          <w:color w:val="231F20"/>
          <w:w w:val="105"/>
          <w:sz w:val="20"/>
        </w:rPr>
        <w:t xml:space="preserve">the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2"/>
          <w:w w:val="111"/>
          <w:sz w:val="20"/>
        </w:rPr>
        <w:t>m</w:t>
      </w:r>
      <w:r>
        <w:rPr>
          <w:rFonts w:ascii="Trebuchet MS"/>
          <w:color w:val="231F20"/>
          <w:spacing w:val="-1"/>
          <w:w w:val="111"/>
          <w:sz w:val="20"/>
        </w:rPr>
        <w:t>m</w:t>
      </w:r>
      <w:r>
        <w:rPr>
          <w:rFonts w:ascii="Trebuchet MS"/>
          <w:color w:val="231F20"/>
          <w:spacing w:val="-2"/>
          <w:sz w:val="20"/>
        </w:rPr>
        <w:t>a</w:t>
      </w:r>
      <w:r>
        <w:rPr>
          <w:rFonts w:ascii="Trebuchet MS"/>
          <w:color w:val="231F20"/>
          <w:spacing w:val="3"/>
          <w:sz w:val="20"/>
        </w:rPr>
        <w:t>r</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91"/>
          <w:sz w:val="20"/>
        </w:rPr>
        <w:t>j</w:t>
      </w:r>
      <w:r>
        <w:rPr>
          <w:rFonts w:ascii="Trebuchet MS"/>
          <w:color w:val="231F20"/>
          <w:spacing w:val="-1"/>
          <w:w w:val="91"/>
          <w:sz w:val="20"/>
        </w:rPr>
        <w:t>u</w:t>
      </w:r>
      <w:r>
        <w:rPr>
          <w:rFonts w:ascii="Trebuchet MS"/>
          <w:color w:val="231F20"/>
          <w:spacing w:val="-2"/>
          <w:w w:val="93"/>
          <w:sz w:val="20"/>
        </w:rPr>
        <w:t>r</w:t>
      </w:r>
      <w:r>
        <w:rPr>
          <w:rFonts w:ascii="Trebuchet MS"/>
          <w:color w:val="231F20"/>
          <w:spacing w:val="-1"/>
          <w:w w:val="80"/>
          <w:sz w:val="20"/>
        </w:rPr>
        <w:t>i</w:t>
      </w:r>
      <w:r>
        <w:rPr>
          <w:rFonts w:ascii="Trebuchet MS"/>
          <w:color w:val="231F20"/>
          <w:spacing w:val="-2"/>
          <w:w w:val="122"/>
          <w:sz w:val="20"/>
        </w:rPr>
        <w:t>s</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96"/>
          <w:sz w:val="20"/>
        </w:rPr>
        <w:t>ct</w:t>
      </w:r>
      <w:r>
        <w:rPr>
          <w:rFonts w:ascii="Trebuchet MS"/>
          <w:color w:val="231F20"/>
          <w:spacing w:val="-1"/>
          <w:w w:val="96"/>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w w:val="55"/>
          <w:sz w:val="20"/>
        </w:rPr>
        <w:t>.</w:t>
      </w:r>
    </w:p>
    <w:p w14:paraId="05C93598" w14:textId="77777777" w:rsidR="00894070" w:rsidRDefault="009B7AFD">
      <w:pPr>
        <w:pStyle w:val="ListParagraph"/>
        <w:numPr>
          <w:ilvl w:val="0"/>
          <w:numId w:val="191"/>
        </w:numPr>
        <w:tabs>
          <w:tab w:val="left" w:pos="1802"/>
        </w:tabs>
        <w:spacing w:before="88" w:line="247" w:lineRule="auto"/>
        <w:ind w:left="1801" w:right="1735"/>
        <w:jc w:val="both"/>
        <w:rPr>
          <w:rFonts w:ascii="Trebuchet MS"/>
          <w:sz w:val="20"/>
        </w:rPr>
      </w:pPr>
      <w:r>
        <w:rPr>
          <w:rFonts w:ascii="Trebuchet MS"/>
          <w:color w:val="231F20"/>
          <w:w w:val="105"/>
          <w:sz w:val="20"/>
        </w:rPr>
        <w:t>The</w:t>
      </w:r>
      <w:r>
        <w:rPr>
          <w:rFonts w:ascii="Trebuchet MS"/>
          <w:color w:val="231F20"/>
          <w:spacing w:val="-29"/>
          <w:w w:val="105"/>
          <w:sz w:val="20"/>
        </w:rPr>
        <w:t xml:space="preserve"> </w:t>
      </w:r>
      <w:r>
        <w:rPr>
          <w:rFonts w:ascii="Trebuchet MS"/>
          <w:color w:val="231F20"/>
          <w:w w:val="105"/>
          <w:sz w:val="20"/>
        </w:rPr>
        <w:t>Victorian</w:t>
      </w:r>
      <w:r>
        <w:rPr>
          <w:rFonts w:ascii="Trebuchet MS"/>
          <w:color w:val="231F20"/>
          <w:spacing w:val="-29"/>
          <w:w w:val="105"/>
          <w:sz w:val="20"/>
        </w:rPr>
        <w:t xml:space="preserve"> </w:t>
      </w:r>
      <w:r>
        <w:rPr>
          <w:rFonts w:ascii="Trebuchet MS"/>
          <w:color w:val="231F20"/>
          <w:spacing w:val="-3"/>
          <w:w w:val="105"/>
          <w:sz w:val="20"/>
        </w:rPr>
        <w:t>Government</w:t>
      </w:r>
      <w:r>
        <w:rPr>
          <w:rFonts w:ascii="Trebuchet MS"/>
          <w:color w:val="231F20"/>
          <w:spacing w:val="-28"/>
          <w:w w:val="105"/>
          <w:sz w:val="20"/>
        </w:rPr>
        <w:t xml:space="preserve"> </w:t>
      </w:r>
      <w:r>
        <w:rPr>
          <w:rFonts w:ascii="Trebuchet MS"/>
          <w:color w:val="231F20"/>
          <w:w w:val="105"/>
          <w:sz w:val="20"/>
        </w:rPr>
        <w:t>should</w:t>
      </w:r>
      <w:r>
        <w:rPr>
          <w:rFonts w:ascii="Trebuchet MS"/>
          <w:color w:val="231F20"/>
          <w:spacing w:val="-29"/>
          <w:w w:val="105"/>
          <w:sz w:val="20"/>
        </w:rPr>
        <w:t xml:space="preserve"> </w:t>
      </w:r>
      <w:r>
        <w:rPr>
          <w:rFonts w:ascii="Trebuchet MS"/>
          <w:color w:val="231F20"/>
          <w:w w:val="105"/>
          <w:sz w:val="20"/>
        </w:rPr>
        <w:t>amend</w:t>
      </w:r>
      <w:r>
        <w:rPr>
          <w:rFonts w:ascii="Trebuchet MS"/>
          <w:color w:val="231F20"/>
          <w:spacing w:val="-28"/>
          <w:w w:val="105"/>
          <w:sz w:val="20"/>
        </w:rPr>
        <w:t xml:space="preserve"> </w:t>
      </w:r>
      <w:r>
        <w:rPr>
          <w:rFonts w:ascii="Trebuchet MS"/>
          <w:color w:val="231F20"/>
          <w:w w:val="105"/>
          <w:sz w:val="20"/>
        </w:rPr>
        <w:t>the</w:t>
      </w:r>
      <w:r>
        <w:rPr>
          <w:rFonts w:ascii="Trebuchet MS"/>
          <w:color w:val="231F20"/>
          <w:spacing w:val="-29"/>
          <w:w w:val="105"/>
          <w:sz w:val="20"/>
        </w:rPr>
        <w:t xml:space="preserve"> </w:t>
      </w:r>
      <w:r>
        <w:rPr>
          <w:rFonts w:ascii="Arial"/>
          <w:i/>
          <w:color w:val="231F20"/>
          <w:w w:val="105"/>
          <w:sz w:val="20"/>
        </w:rPr>
        <w:t>Personal</w:t>
      </w:r>
      <w:r>
        <w:rPr>
          <w:rFonts w:ascii="Arial"/>
          <w:i/>
          <w:color w:val="231F20"/>
          <w:spacing w:val="-25"/>
          <w:w w:val="105"/>
          <w:sz w:val="20"/>
        </w:rPr>
        <w:t xml:space="preserve"> </w:t>
      </w:r>
      <w:r>
        <w:rPr>
          <w:rFonts w:ascii="Arial"/>
          <w:i/>
          <w:color w:val="231F20"/>
          <w:w w:val="105"/>
          <w:sz w:val="20"/>
        </w:rPr>
        <w:t>Safety</w:t>
      </w:r>
      <w:r>
        <w:rPr>
          <w:rFonts w:ascii="Arial"/>
          <w:i/>
          <w:color w:val="231F20"/>
          <w:spacing w:val="-25"/>
          <w:w w:val="105"/>
          <w:sz w:val="20"/>
        </w:rPr>
        <w:t xml:space="preserve"> </w:t>
      </w:r>
      <w:r>
        <w:rPr>
          <w:rFonts w:ascii="Arial"/>
          <w:i/>
          <w:color w:val="231F20"/>
          <w:w w:val="105"/>
          <w:sz w:val="20"/>
        </w:rPr>
        <w:t>Intervention</w:t>
      </w:r>
      <w:r>
        <w:rPr>
          <w:rFonts w:ascii="Arial"/>
          <w:i/>
          <w:color w:val="231F20"/>
          <w:spacing w:val="-25"/>
          <w:w w:val="105"/>
          <w:sz w:val="20"/>
        </w:rPr>
        <w:t xml:space="preserve"> </w:t>
      </w:r>
      <w:r>
        <w:rPr>
          <w:rFonts w:ascii="Arial"/>
          <w:i/>
          <w:color w:val="231F20"/>
          <w:w w:val="105"/>
          <w:sz w:val="20"/>
        </w:rPr>
        <w:t>Orders Act</w:t>
      </w:r>
      <w:r>
        <w:rPr>
          <w:rFonts w:ascii="Arial"/>
          <w:i/>
          <w:color w:val="231F20"/>
          <w:spacing w:val="-23"/>
          <w:w w:val="105"/>
          <w:sz w:val="20"/>
        </w:rPr>
        <w:t xml:space="preserve"> </w:t>
      </w:r>
      <w:r>
        <w:rPr>
          <w:rFonts w:ascii="Arial"/>
          <w:i/>
          <w:color w:val="231F20"/>
          <w:spacing w:val="-3"/>
          <w:w w:val="105"/>
          <w:sz w:val="20"/>
        </w:rPr>
        <w:t>2010</w:t>
      </w:r>
      <w:r>
        <w:rPr>
          <w:rFonts w:ascii="Arial"/>
          <w:i/>
          <w:color w:val="231F20"/>
          <w:spacing w:val="-20"/>
          <w:w w:val="105"/>
          <w:sz w:val="20"/>
        </w:rPr>
        <w:t xml:space="preserve"> </w:t>
      </w:r>
      <w:r>
        <w:rPr>
          <w:rFonts w:ascii="Trebuchet MS"/>
          <w:color w:val="231F20"/>
          <w:w w:val="105"/>
          <w:sz w:val="20"/>
        </w:rPr>
        <w:t>(Vic)</w:t>
      </w:r>
      <w:r>
        <w:rPr>
          <w:rFonts w:ascii="Trebuchet MS"/>
          <w:color w:val="231F20"/>
          <w:spacing w:val="-26"/>
          <w:w w:val="105"/>
          <w:sz w:val="20"/>
        </w:rPr>
        <w:t xml:space="preserve"> </w:t>
      </w:r>
      <w:r>
        <w:rPr>
          <w:rFonts w:ascii="Trebuchet MS"/>
          <w:color w:val="231F20"/>
          <w:w w:val="105"/>
          <w:sz w:val="20"/>
        </w:rPr>
        <w:t>to</w:t>
      </w:r>
      <w:r>
        <w:rPr>
          <w:rFonts w:ascii="Trebuchet MS"/>
          <w:color w:val="231F20"/>
          <w:spacing w:val="-26"/>
          <w:w w:val="105"/>
          <w:sz w:val="20"/>
        </w:rPr>
        <w:t xml:space="preserve"> </w:t>
      </w:r>
      <w:r>
        <w:rPr>
          <w:rFonts w:ascii="Trebuchet MS"/>
          <w:color w:val="231F20"/>
          <w:spacing w:val="-3"/>
          <w:w w:val="105"/>
          <w:sz w:val="20"/>
        </w:rPr>
        <w:t>prevent</w:t>
      </w:r>
      <w:r>
        <w:rPr>
          <w:rFonts w:ascii="Trebuchet MS"/>
          <w:color w:val="231F20"/>
          <w:spacing w:val="-26"/>
          <w:w w:val="105"/>
          <w:sz w:val="20"/>
        </w:rPr>
        <w:t xml:space="preserve"> </w:t>
      </w:r>
      <w:r>
        <w:rPr>
          <w:rFonts w:ascii="Trebuchet MS"/>
          <w:color w:val="231F20"/>
          <w:w w:val="105"/>
          <w:sz w:val="20"/>
        </w:rPr>
        <w:t>personal</w:t>
      </w:r>
      <w:r>
        <w:rPr>
          <w:rFonts w:ascii="Trebuchet MS"/>
          <w:color w:val="231F20"/>
          <w:spacing w:val="-25"/>
          <w:w w:val="105"/>
          <w:sz w:val="20"/>
        </w:rPr>
        <w:t xml:space="preserve"> </w:t>
      </w:r>
      <w:r>
        <w:rPr>
          <w:rFonts w:ascii="Trebuchet MS"/>
          <w:color w:val="231F20"/>
          <w:w w:val="105"/>
          <w:sz w:val="20"/>
        </w:rPr>
        <w:t>safety</w:t>
      </w:r>
      <w:r>
        <w:rPr>
          <w:rFonts w:ascii="Trebuchet MS"/>
          <w:color w:val="231F20"/>
          <w:spacing w:val="-26"/>
          <w:w w:val="105"/>
          <w:sz w:val="20"/>
        </w:rPr>
        <w:t xml:space="preserve"> </w:t>
      </w:r>
      <w:r>
        <w:rPr>
          <w:rFonts w:ascii="Trebuchet MS"/>
          <w:color w:val="231F20"/>
          <w:w w:val="105"/>
          <w:sz w:val="20"/>
        </w:rPr>
        <w:t>intervention</w:t>
      </w:r>
      <w:r>
        <w:rPr>
          <w:rFonts w:ascii="Trebuchet MS"/>
          <w:color w:val="231F20"/>
          <w:spacing w:val="-26"/>
          <w:w w:val="105"/>
          <w:sz w:val="20"/>
        </w:rPr>
        <w:t xml:space="preserve"> </w:t>
      </w:r>
      <w:r>
        <w:rPr>
          <w:rFonts w:ascii="Trebuchet MS"/>
          <w:color w:val="231F20"/>
          <w:w w:val="105"/>
          <w:sz w:val="20"/>
        </w:rPr>
        <w:t>orders</w:t>
      </w:r>
      <w:r>
        <w:rPr>
          <w:rFonts w:ascii="Trebuchet MS"/>
          <w:color w:val="231F20"/>
          <w:spacing w:val="-26"/>
          <w:w w:val="105"/>
          <w:sz w:val="20"/>
        </w:rPr>
        <w:t xml:space="preserve"> </w:t>
      </w:r>
      <w:r>
        <w:rPr>
          <w:rFonts w:ascii="Trebuchet MS"/>
          <w:color w:val="231F20"/>
          <w:w w:val="105"/>
          <w:sz w:val="20"/>
        </w:rPr>
        <w:t>being</w:t>
      </w:r>
      <w:r>
        <w:rPr>
          <w:rFonts w:ascii="Trebuchet MS"/>
          <w:color w:val="231F20"/>
          <w:spacing w:val="-26"/>
          <w:w w:val="105"/>
          <w:sz w:val="20"/>
        </w:rPr>
        <w:t xml:space="preserve"> </w:t>
      </w:r>
      <w:r>
        <w:rPr>
          <w:rFonts w:ascii="Trebuchet MS"/>
          <w:color w:val="231F20"/>
          <w:w w:val="105"/>
          <w:sz w:val="20"/>
        </w:rPr>
        <w:t>made</w:t>
      </w:r>
      <w:r>
        <w:rPr>
          <w:rFonts w:ascii="Trebuchet MS"/>
          <w:color w:val="231F20"/>
          <w:spacing w:val="-25"/>
          <w:w w:val="105"/>
          <w:sz w:val="20"/>
        </w:rPr>
        <w:t xml:space="preserve"> </w:t>
      </w:r>
      <w:r>
        <w:rPr>
          <w:rFonts w:ascii="Trebuchet MS"/>
          <w:color w:val="231F20"/>
          <w:w w:val="105"/>
          <w:sz w:val="20"/>
        </w:rPr>
        <w:t xml:space="preserve">against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09"/>
          <w:sz w:val="20"/>
        </w:rPr>
        <w:t>u</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24"/>
          <w:sz w:val="20"/>
        </w:rPr>
        <w:t>g</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5"/>
          <w:sz w:val="20"/>
        </w:rPr>
        <w:t>1</w:t>
      </w:r>
      <w:r>
        <w:rPr>
          <w:rFonts w:ascii="Trebuchet MS"/>
          <w:color w:val="231F20"/>
          <w:w w:val="106"/>
          <w:sz w:val="20"/>
        </w:rPr>
        <w:t>4</w:t>
      </w:r>
      <w:r>
        <w:rPr>
          <w:rFonts w:ascii="Trebuchet MS"/>
          <w:color w:val="231F20"/>
          <w:spacing w:val="-14"/>
          <w:sz w:val="20"/>
        </w:rPr>
        <w:t xml:space="preserve"> </w:t>
      </w:r>
      <w:r>
        <w:rPr>
          <w:rFonts w:ascii="Trebuchet MS"/>
          <w:color w:val="231F20"/>
          <w:spacing w:val="-6"/>
          <w:w w:val="110"/>
          <w:sz w:val="20"/>
        </w:rPr>
        <w:t>y</w:t>
      </w:r>
      <w:r>
        <w:rPr>
          <w:rFonts w:ascii="Trebuchet MS"/>
          <w:color w:val="231F20"/>
          <w:spacing w:val="-1"/>
          <w:w w:val="108"/>
          <w:sz w:val="20"/>
        </w:rPr>
        <w:t>e</w:t>
      </w:r>
      <w:r>
        <w:rPr>
          <w:rFonts w:ascii="Trebuchet MS"/>
          <w:color w:val="231F20"/>
          <w:spacing w:val="-2"/>
          <w:w w:val="105"/>
          <w:sz w:val="20"/>
        </w:rPr>
        <w:t>a</w:t>
      </w:r>
      <w:r>
        <w:rPr>
          <w:rFonts w:ascii="Trebuchet MS"/>
          <w:color w:val="231F20"/>
          <w:spacing w:val="-1"/>
          <w:w w:val="93"/>
          <w:sz w:val="20"/>
        </w:rPr>
        <w:t>r</w:t>
      </w:r>
      <w:r>
        <w:rPr>
          <w:rFonts w:ascii="Trebuchet MS"/>
          <w:color w:val="231F20"/>
          <w:spacing w:val="1"/>
          <w:w w:val="122"/>
          <w:sz w:val="20"/>
        </w:rPr>
        <w:t>s</w:t>
      </w:r>
      <w:r>
        <w:rPr>
          <w:rFonts w:ascii="Trebuchet MS"/>
          <w:color w:val="231F20"/>
          <w:w w:val="55"/>
          <w:sz w:val="20"/>
        </w:rPr>
        <w:t>.</w:t>
      </w:r>
    </w:p>
    <w:p w14:paraId="1319AC1D" w14:textId="77777777" w:rsidR="00894070" w:rsidRDefault="009B7AFD">
      <w:pPr>
        <w:pStyle w:val="ListParagraph"/>
        <w:numPr>
          <w:ilvl w:val="0"/>
          <w:numId w:val="191"/>
        </w:numPr>
        <w:tabs>
          <w:tab w:val="left" w:pos="1802"/>
        </w:tabs>
        <w:spacing w:before="88" w:line="247" w:lineRule="auto"/>
        <w:ind w:left="2481" w:right="1412" w:hanging="1474"/>
        <w:jc w:val="both"/>
        <w:rPr>
          <w:rFonts w:ascii="Trebuchet MS"/>
          <w:sz w:val="20"/>
        </w:rPr>
      </w:pPr>
      <w:r>
        <w:rPr>
          <w:rFonts w:ascii="Trebuchet MS"/>
          <w:color w:val="231F20"/>
          <w:w w:val="105"/>
          <w:sz w:val="20"/>
        </w:rPr>
        <w:t>a.</w:t>
      </w:r>
      <w:r>
        <w:rPr>
          <w:rFonts w:ascii="Trebuchet MS"/>
          <w:color w:val="231F20"/>
          <w:spacing w:val="14"/>
          <w:w w:val="105"/>
          <w:sz w:val="20"/>
        </w:rPr>
        <w:t xml:space="preserve"> </w:t>
      </w: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should establish and fund an evidence-informed therapeutic</w:t>
      </w:r>
      <w:r>
        <w:rPr>
          <w:rFonts w:ascii="Trebuchet MS"/>
          <w:color w:val="231F20"/>
          <w:spacing w:val="-16"/>
          <w:w w:val="105"/>
          <w:sz w:val="20"/>
        </w:rPr>
        <w:t xml:space="preserve"> </w:t>
      </w:r>
      <w:r>
        <w:rPr>
          <w:rFonts w:ascii="Trebuchet MS"/>
          <w:color w:val="231F20"/>
          <w:w w:val="105"/>
          <w:sz w:val="20"/>
        </w:rPr>
        <w:t>program</w:t>
      </w:r>
      <w:r>
        <w:rPr>
          <w:rFonts w:ascii="Trebuchet MS"/>
          <w:color w:val="231F20"/>
          <w:spacing w:val="-15"/>
          <w:w w:val="105"/>
          <w:sz w:val="20"/>
        </w:rPr>
        <w:t xml:space="preserve"> </w:t>
      </w:r>
      <w:r>
        <w:rPr>
          <w:rFonts w:ascii="Trebuchet MS"/>
          <w:color w:val="231F20"/>
          <w:w w:val="105"/>
          <w:sz w:val="20"/>
        </w:rPr>
        <w:t>to</w:t>
      </w:r>
      <w:r>
        <w:rPr>
          <w:rFonts w:ascii="Trebuchet MS"/>
          <w:color w:val="231F20"/>
          <w:spacing w:val="-15"/>
          <w:w w:val="105"/>
          <w:sz w:val="20"/>
        </w:rPr>
        <w:t xml:space="preserve"> </w:t>
      </w:r>
      <w:r>
        <w:rPr>
          <w:rFonts w:ascii="Trebuchet MS"/>
          <w:color w:val="231F20"/>
          <w:w w:val="105"/>
          <w:sz w:val="20"/>
        </w:rPr>
        <w:t>respond</w:t>
      </w:r>
      <w:r>
        <w:rPr>
          <w:rFonts w:ascii="Trebuchet MS"/>
          <w:color w:val="231F20"/>
          <w:spacing w:val="-16"/>
          <w:w w:val="105"/>
          <w:sz w:val="20"/>
        </w:rPr>
        <w:t xml:space="preserve"> </w:t>
      </w:r>
      <w:r>
        <w:rPr>
          <w:rFonts w:ascii="Trebuchet MS"/>
          <w:color w:val="231F20"/>
          <w:w w:val="105"/>
          <w:sz w:val="20"/>
        </w:rPr>
        <w:t>to</w:t>
      </w:r>
      <w:r>
        <w:rPr>
          <w:rFonts w:ascii="Trebuchet MS"/>
          <w:color w:val="231F20"/>
          <w:spacing w:val="-15"/>
          <w:w w:val="105"/>
          <w:sz w:val="20"/>
        </w:rPr>
        <w:t xml:space="preserve"> </w:t>
      </w:r>
      <w:r>
        <w:rPr>
          <w:rFonts w:ascii="Trebuchet MS"/>
          <w:color w:val="231F20"/>
          <w:w w:val="105"/>
          <w:sz w:val="20"/>
        </w:rPr>
        <w:t>children</w:t>
      </w:r>
      <w:r>
        <w:rPr>
          <w:rFonts w:ascii="Trebuchet MS"/>
          <w:color w:val="231F20"/>
          <w:spacing w:val="-15"/>
          <w:w w:val="105"/>
          <w:sz w:val="20"/>
        </w:rPr>
        <w:t xml:space="preserve"> </w:t>
      </w:r>
      <w:r>
        <w:rPr>
          <w:rFonts w:ascii="Trebuchet MS"/>
          <w:color w:val="231F20"/>
          <w:w w:val="105"/>
          <w:sz w:val="20"/>
        </w:rPr>
        <w:t>engaging</w:t>
      </w:r>
      <w:r>
        <w:rPr>
          <w:rFonts w:ascii="Trebuchet MS"/>
          <w:color w:val="231F20"/>
          <w:spacing w:val="-15"/>
          <w:w w:val="105"/>
          <w:sz w:val="20"/>
        </w:rPr>
        <w:t xml:space="preserve"> </w:t>
      </w:r>
      <w:r>
        <w:rPr>
          <w:rFonts w:ascii="Trebuchet MS"/>
          <w:color w:val="231F20"/>
          <w:w w:val="105"/>
          <w:sz w:val="20"/>
        </w:rPr>
        <w:t>in</w:t>
      </w:r>
      <w:r>
        <w:rPr>
          <w:rFonts w:ascii="Trebuchet MS"/>
          <w:color w:val="231F20"/>
          <w:spacing w:val="-16"/>
          <w:w w:val="105"/>
          <w:sz w:val="20"/>
        </w:rPr>
        <w:t xml:space="preserve"> </w:t>
      </w:r>
      <w:r>
        <w:rPr>
          <w:rFonts w:ascii="Trebuchet MS"/>
          <w:color w:val="231F20"/>
          <w:spacing w:val="-3"/>
          <w:w w:val="105"/>
          <w:sz w:val="20"/>
        </w:rPr>
        <w:t>non-family</w:t>
      </w:r>
      <w:r>
        <w:rPr>
          <w:rFonts w:ascii="Trebuchet MS"/>
          <w:color w:val="231F20"/>
          <w:spacing w:val="-15"/>
          <w:w w:val="105"/>
          <w:sz w:val="20"/>
        </w:rPr>
        <w:t xml:space="preserve"> </w:t>
      </w:r>
      <w:r>
        <w:rPr>
          <w:rFonts w:ascii="Trebuchet MS"/>
          <w:color w:val="231F20"/>
          <w:w w:val="105"/>
          <w:sz w:val="20"/>
        </w:rPr>
        <w:t xml:space="preserve">violence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proofErr w:type="spellStart"/>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107"/>
          <w:sz w:val="20"/>
        </w:rPr>
        <w:t>h</w:t>
      </w:r>
      <w:r>
        <w:rPr>
          <w:rFonts w:ascii="Trebuchet MS"/>
          <w:color w:val="231F20"/>
          <w:spacing w:val="-6"/>
          <w:w w:val="105"/>
          <w:sz w:val="20"/>
        </w:rPr>
        <w:t>a</w:t>
      </w:r>
      <w:r>
        <w:rPr>
          <w:rFonts w:ascii="Trebuchet MS"/>
          <w:color w:val="231F20"/>
          <w:spacing w:val="-2"/>
          <w:w w:val="109"/>
          <w:sz w:val="20"/>
        </w:rPr>
        <w:t>v</w:t>
      </w:r>
      <w:r>
        <w:rPr>
          <w:rFonts w:ascii="Trebuchet MS"/>
          <w:color w:val="231F20"/>
          <w:spacing w:val="-1"/>
          <w:w w:val="80"/>
          <w:sz w:val="20"/>
        </w:rPr>
        <w:t>i</w:t>
      </w:r>
      <w:r>
        <w:rPr>
          <w:rFonts w:ascii="Trebuchet MS"/>
          <w:color w:val="231F20"/>
          <w:spacing w:val="-1"/>
          <w:w w:val="106"/>
          <w:sz w:val="20"/>
        </w:rPr>
        <w:t>ou</w:t>
      </w:r>
      <w:r>
        <w:rPr>
          <w:rFonts w:ascii="Trebuchet MS"/>
          <w:color w:val="231F20"/>
          <w:spacing w:val="-14"/>
          <w:w w:val="106"/>
          <w:sz w:val="20"/>
        </w:rPr>
        <w:t>r</w:t>
      </w:r>
      <w:proofErr w:type="spellEnd"/>
      <w:r>
        <w:rPr>
          <w:rFonts w:ascii="Trebuchet MS"/>
          <w:color w:val="231F20"/>
          <w:w w:val="55"/>
          <w:sz w:val="20"/>
        </w:rPr>
        <w:t>.</w:t>
      </w:r>
    </w:p>
    <w:p w14:paraId="5AEC883C" w14:textId="77777777" w:rsidR="00894070" w:rsidRDefault="009B7AFD">
      <w:pPr>
        <w:pStyle w:val="ListParagraph"/>
        <w:numPr>
          <w:ilvl w:val="0"/>
          <w:numId w:val="182"/>
        </w:numPr>
        <w:tabs>
          <w:tab w:val="left" w:pos="2481"/>
          <w:tab w:val="left" w:pos="2482"/>
        </w:tabs>
        <w:spacing w:before="87" w:line="247" w:lineRule="auto"/>
        <w:ind w:right="1483"/>
        <w:rPr>
          <w:rFonts w:ascii="Trebuchet MS"/>
          <w:sz w:val="20"/>
        </w:rPr>
      </w:pPr>
      <w:r>
        <w:rPr>
          <w:rFonts w:ascii="Trebuchet MS"/>
          <w:color w:val="231F20"/>
          <w:sz w:val="20"/>
        </w:rPr>
        <w:t xml:space="preserve">A purpose of the program should be to </w:t>
      </w:r>
      <w:r>
        <w:rPr>
          <w:rFonts w:ascii="Trebuchet MS"/>
          <w:color w:val="231F20"/>
          <w:spacing w:val="-3"/>
          <w:sz w:val="20"/>
        </w:rPr>
        <w:t xml:space="preserve">avoid </w:t>
      </w:r>
      <w:r>
        <w:rPr>
          <w:rFonts w:ascii="Trebuchet MS"/>
          <w:color w:val="231F20"/>
          <w:sz w:val="20"/>
        </w:rPr>
        <w:t xml:space="preserve">the need for a personal safety </w:t>
      </w:r>
      <w:r>
        <w:rPr>
          <w:rFonts w:ascii="Trebuchet MS"/>
          <w:color w:val="231F20"/>
          <w:spacing w:val="-2"/>
          <w:w w:val="98"/>
          <w:sz w:val="20"/>
        </w:rPr>
        <w:t>i</w:t>
      </w:r>
      <w:r>
        <w:rPr>
          <w:rFonts w:ascii="Trebuchet MS"/>
          <w:color w:val="231F20"/>
          <w:spacing w:val="-4"/>
          <w:w w:val="98"/>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0"/>
          <w:sz w:val="20"/>
        </w:rPr>
        <w:t>d</w:t>
      </w:r>
      <w:r>
        <w:rPr>
          <w:rFonts w:ascii="Trebuchet MS"/>
          <w:color w:val="231F20"/>
          <w:spacing w:val="-1"/>
          <w:w w:val="110"/>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2"/>
          <w:w w:val="98"/>
          <w:sz w:val="20"/>
        </w:rPr>
        <w:t>i</w:t>
      </w:r>
      <w:r>
        <w:rPr>
          <w:rFonts w:ascii="Trebuchet MS"/>
          <w:color w:val="231F20"/>
          <w:spacing w:val="-1"/>
          <w:w w:val="98"/>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2"/>
          <w:w w:val="108"/>
          <w:sz w:val="20"/>
        </w:rPr>
        <w:t>ad</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4"/>
          <w:sz w:val="20"/>
        </w:rPr>
        <w:t>a</w:t>
      </w:r>
      <w:r>
        <w:rPr>
          <w:rFonts w:ascii="Trebuchet MS"/>
          <w:color w:val="231F20"/>
          <w:spacing w:val="-1"/>
          <w:w w:val="114"/>
          <w:sz w:val="20"/>
        </w:rPr>
        <w:t>g</w:t>
      </w:r>
      <w:r>
        <w:rPr>
          <w:rFonts w:ascii="Trebuchet MS"/>
          <w:color w:val="231F20"/>
          <w:spacing w:val="-2"/>
          <w:w w:val="105"/>
          <w:sz w:val="20"/>
        </w:rPr>
        <w:t>a</w:t>
      </w:r>
      <w:r>
        <w:rPr>
          <w:rFonts w:ascii="Trebuchet MS"/>
          <w:color w:val="231F20"/>
          <w:spacing w:val="-2"/>
          <w:w w:val="98"/>
          <w:sz w:val="20"/>
        </w:rPr>
        <w:t>in</w:t>
      </w:r>
      <w:r>
        <w:rPr>
          <w:rFonts w:ascii="Trebuchet MS"/>
          <w:color w:val="231F20"/>
          <w:spacing w:val="-1"/>
          <w:w w:val="122"/>
          <w:sz w:val="20"/>
        </w:rPr>
        <w:t>s</w:t>
      </w:r>
      <w:r>
        <w:rPr>
          <w:rFonts w:ascii="Trebuchet MS"/>
          <w:color w:val="231F20"/>
          <w:w w:val="88"/>
          <w:sz w:val="20"/>
        </w:rPr>
        <w:t>t</w:t>
      </w:r>
      <w:r>
        <w:rPr>
          <w:rFonts w:ascii="Trebuchet MS"/>
          <w:color w:val="231F20"/>
          <w:spacing w:val="-14"/>
          <w:sz w:val="20"/>
        </w:rPr>
        <w:t xml:space="preserve"> </w:t>
      </w:r>
      <w:r>
        <w:rPr>
          <w:rFonts w:ascii="Trebuchet MS"/>
          <w:color w:val="231F20"/>
          <w:w w:val="105"/>
          <w:sz w:val="20"/>
        </w:rPr>
        <w:t>a</w:t>
      </w:r>
      <w:r>
        <w:rPr>
          <w:rFonts w:ascii="Trebuchet MS"/>
          <w:color w:val="231F20"/>
          <w:spacing w:val="-14"/>
          <w:sz w:val="20"/>
        </w:rPr>
        <w:t xml:space="preserve"> </w:t>
      </w:r>
      <w:r>
        <w:rPr>
          <w:rFonts w:ascii="Trebuchet MS"/>
          <w:color w:val="231F20"/>
          <w:spacing w:val="-2"/>
          <w:w w:val="109"/>
          <w:sz w:val="20"/>
        </w:rPr>
        <w:t>ch</w:t>
      </w:r>
      <w:r>
        <w:rPr>
          <w:rFonts w:ascii="Trebuchet MS"/>
          <w:color w:val="231F20"/>
          <w:spacing w:val="-2"/>
          <w:w w:val="80"/>
          <w:sz w:val="20"/>
        </w:rPr>
        <w:t>i</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14"/>
          <w:sz w:val="20"/>
        </w:rPr>
        <w:t>es</w:t>
      </w:r>
      <w:r>
        <w:rPr>
          <w:rFonts w:ascii="Trebuchet MS"/>
          <w:color w:val="231F20"/>
          <w:spacing w:val="-1"/>
          <w:w w:val="111"/>
          <w:sz w:val="20"/>
        </w:rPr>
        <w:t>po</w:t>
      </w:r>
      <w:r>
        <w:rPr>
          <w:rFonts w:ascii="Trebuchet MS"/>
          <w:color w:val="231F20"/>
          <w:spacing w:val="-1"/>
          <w:w w:val="107"/>
          <w:sz w:val="20"/>
        </w:rPr>
        <w:t>n</w:t>
      </w:r>
      <w:r>
        <w:rPr>
          <w:rFonts w:ascii="Trebuchet MS"/>
          <w:color w:val="231F20"/>
          <w:spacing w:val="-2"/>
          <w:w w:val="110"/>
          <w:sz w:val="20"/>
        </w:rPr>
        <w:t>d</w:t>
      </w:r>
      <w:r>
        <w:rPr>
          <w:rFonts w:ascii="Trebuchet MS"/>
          <w:color w:val="231F20"/>
          <w:spacing w:val="-1"/>
          <w:w w:val="110"/>
          <w:sz w:val="20"/>
        </w:rPr>
        <w:t>e</w:t>
      </w:r>
      <w:r>
        <w:rPr>
          <w:rFonts w:ascii="Trebuchet MS"/>
          <w:color w:val="231F20"/>
          <w:spacing w:val="-4"/>
          <w:w w:val="107"/>
          <w:sz w:val="20"/>
        </w:rPr>
        <w:t>n</w:t>
      </w:r>
      <w:r>
        <w:rPr>
          <w:rFonts w:ascii="Trebuchet MS"/>
          <w:color w:val="231F20"/>
          <w:spacing w:val="1"/>
          <w:w w:val="88"/>
          <w:sz w:val="20"/>
        </w:rPr>
        <w:t>t</w:t>
      </w:r>
      <w:r>
        <w:rPr>
          <w:rFonts w:ascii="Trebuchet MS"/>
          <w:color w:val="231F20"/>
          <w:w w:val="55"/>
          <w:sz w:val="20"/>
        </w:rPr>
        <w:t>.</w:t>
      </w:r>
    </w:p>
    <w:p w14:paraId="3F334C60" w14:textId="77777777" w:rsidR="00894070" w:rsidRDefault="009B7AFD">
      <w:pPr>
        <w:pStyle w:val="ListParagraph"/>
        <w:numPr>
          <w:ilvl w:val="0"/>
          <w:numId w:val="182"/>
        </w:numPr>
        <w:tabs>
          <w:tab w:val="left" w:pos="2481"/>
          <w:tab w:val="left" w:pos="2482"/>
        </w:tabs>
        <w:spacing w:before="122" w:line="247" w:lineRule="auto"/>
        <w:ind w:right="1428"/>
        <w:rPr>
          <w:rFonts w:ascii="Trebuchet MS"/>
          <w:sz w:val="20"/>
        </w:rPr>
      </w:pP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Victorian</w:t>
      </w:r>
      <w:r>
        <w:rPr>
          <w:rFonts w:ascii="Trebuchet MS"/>
          <w:color w:val="231F20"/>
          <w:spacing w:val="-19"/>
          <w:w w:val="105"/>
          <w:sz w:val="20"/>
        </w:rPr>
        <w:t xml:space="preserve"> </w:t>
      </w:r>
      <w:r>
        <w:rPr>
          <w:rFonts w:ascii="Trebuchet MS"/>
          <w:color w:val="231F20"/>
          <w:spacing w:val="-3"/>
          <w:w w:val="105"/>
          <w:sz w:val="20"/>
        </w:rPr>
        <w:t>Government</w:t>
      </w:r>
      <w:r>
        <w:rPr>
          <w:rFonts w:ascii="Trebuchet MS"/>
          <w:color w:val="231F20"/>
          <w:spacing w:val="-19"/>
          <w:w w:val="105"/>
          <w:sz w:val="20"/>
        </w:rPr>
        <w:t xml:space="preserve"> </w:t>
      </w:r>
      <w:r>
        <w:rPr>
          <w:rFonts w:ascii="Trebuchet MS"/>
          <w:color w:val="231F20"/>
          <w:w w:val="105"/>
          <w:sz w:val="20"/>
        </w:rPr>
        <w:t>should</w:t>
      </w:r>
      <w:r>
        <w:rPr>
          <w:rFonts w:ascii="Trebuchet MS"/>
          <w:color w:val="231F20"/>
          <w:spacing w:val="-19"/>
          <w:w w:val="105"/>
          <w:sz w:val="20"/>
        </w:rPr>
        <w:t xml:space="preserve"> </w:t>
      </w:r>
      <w:r>
        <w:rPr>
          <w:rFonts w:ascii="Trebuchet MS"/>
          <w:color w:val="231F20"/>
          <w:spacing w:val="-3"/>
          <w:w w:val="105"/>
          <w:sz w:val="20"/>
        </w:rPr>
        <w:t>evaluate</w:t>
      </w:r>
      <w:r>
        <w:rPr>
          <w:rFonts w:ascii="Trebuchet MS"/>
          <w:color w:val="231F20"/>
          <w:spacing w:val="-19"/>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effectiveness</w:t>
      </w:r>
      <w:r>
        <w:rPr>
          <w:rFonts w:ascii="Trebuchet MS"/>
          <w:color w:val="231F20"/>
          <w:spacing w:val="-19"/>
          <w:w w:val="105"/>
          <w:sz w:val="20"/>
        </w:rPr>
        <w:t xml:space="preserve"> </w:t>
      </w:r>
      <w:r>
        <w:rPr>
          <w:rFonts w:ascii="Trebuchet MS"/>
          <w:color w:val="231F20"/>
          <w:w w:val="105"/>
          <w:sz w:val="20"/>
        </w:rPr>
        <w:t>of</w:t>
      </w:r>
      <w:r>
        <w:rPr>
          <w:rFonts w:ascii="Trebuchet MS"/>
          <w:color w:val="231F20"/>
          <w:spacing w:val="-19"/>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 xml:space="preserve">program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2"/>
          <w:w w:val="111"/>
          <w:sz w:val="20"/>
        </w:rPr>
        <w:t>m</w:t>
      </w:r>
      <w:r>
        <w:rPr>
          <w:rFonts w:ascii="Trebuchet MS"/>
          <w:color w:val="231F20"/>
          <w:spacing w:val="-1"/>
          <w:w w:val="111"/>
          <w:sz w:val="20"/>
        </w:rPr>
        <w:t>p</w:t>
      </w:r>
      <w:r>
        <w:rPr>
          <w:rFonts w:ascii="Trebuchet MS"/>
          <w:color w:val="231F20"/>
          <w:spacing w:val="-4"/>
          <w:w w:val="93"/>
          <w:sz w:val="20"/>
        </w:rPr>
        <w:t>r</w:t>
      </w:r>
      <w:r>
        <w:rPr>
          <w:rFonts w:ascii="Trebuchet MS"/>
          <w:color w:val="231F20"/>
          <w:spacing w:val="-6"/>
          <w:w w:val="111"/>
          <w:sz w:val="20"/>
        </w:rPr>
        <w:t>o</w:t>
      </w:r>
      <w:r>
        <w:rPr>
          <w:rFonts w:ascii="Trebuchet MS"/>
          <w:color w:val="231F20"/>
          <w:spacing w:val="-6"/>
          <w:w w:val="109"/>
          <w:sz w:val="20"/>
        </w:rPr>
        <w:t>v</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1"/>
          <w:w w:val="111"/>
          <w:sz w:val="20"/>
        </w:rPr>
        <w:t>o</w:t>
      </w:r>
      <w:r>
        <w:rPr>
          <w:rFonts w:ascii="Trebuchet MS"/>
          <w:color w:val="231F20"/>
          <w:spacing w:val="-2"/>
          <w:w w:val="124"/>
          <w:sz w:val="20"/>
        </w:rPr>
        <w:t>g</w:t>
      </w:r>
      <w:r>
        <w:rPr>
          <w:rFonts w:ascii="Trebuchet MS"/>
          <w:color w:val="231F20"/>
          <w:spacing w:val="-2"/>
          <w:w w:val="93"/>
          <w:sz w:val="20"/>
        </w:rPr>
        <w:t>r</w:t>
      </w:r>
      <w:r>
        <w:rPr>
          <w:rFonts w:ascii="Trebuchet MS"/>
          <w:color w:val="231F20"/>
          <w:spacing w:val="-2"/>
          <w:w w:val="105"/>
          <w:sz w:val="20"/>
        </w:rPr>
        <w:t>a</w:t>
      </w:r>
      <w:r>
        <w:rPr>
          <w:rFonts w:ascii="Trebuchet MS"/>
          <w:color w:val="231F20"/>
          <w:w w:val="111"/>
          <w:sz w:val="20"/>
        </w:rPr>
        <w:t>m</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5"/>
          <w:sz w:val="20"/>
        </w:rPr>
        <w:t>a</w:t>
      </w:r>
      <w:r>
        <w:rPr>
          <w:rFonts w:ascii="Trebuchet MS"/>
          <w:color w:val="231F20"/>
          <w:spacing w:val="-1"/>
          <w:w w:val="122"/>
          <w:sz w:val="20"/>
        </w:rPr>
        <w:t>s</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w w:val="80"/>
          <w:sz w:val="20"/>
        </w:rPr>
        <w:t>f</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12"/>
          <w:sz w:val="20"/>
        </w:rPr>
        <w:t>d</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5"/>
          <w:w w:val="108"/>
          <w:sz w:val="20"/>
        </w:rPr>
        <w:t>e</w:t>
      </w:r>
      <w:r>
        <w:rPr>
          <w:rFonts w:ascii="Trebuchet MS"/>
          <w:color w:val="231F20"/>
          <w:spacing w:val="-3"/>
          <w:w w:val="109"/>
          <w:sz w:val="20"/>
        </w:rPr>
        <w:t>v</w:t>
      </w:r>
      <w:r>
        <w:rPr>
          <w:rFonts w:ascii="Trebuchet MS"/>
          <w:color w:val="231F20"/>
          <w:spacing w:val="-3"/>
          <w:w w:val="105"/>
          <w:sz w:val="20"/>
        </w:rPr>
        <w:t>a</w:t>
      </w:r>
      <w:r>
        <w:rPr>
          <w:rFonts w:ascii="Trebuchet MS"/>
          <w:color w:val="231F20"/>
          <w:spacing w:val="-3"/>
          <w:w w:val="96"/>
          <w:sz w:val="20"/>
        </w:rPr>
        <w:t>l</w:t>
      </w:r>
      <w:r>
        <w:rPr>
          <w:rFonts w:ascii="Trebuchet MS"/>
          <w:color w:val="231F20"/>
          <w:spacing w:val="-2"/>
          <w:w w:val="109"/>
          <w:sz w:val="20"/>
        </w:rPr>
        <w:t>u</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w w:val="55"/>
          <w:sz w:val="20"/>
        </w:rPr>
        <w:t>.</w:t>
      </w:r>
    </w:p>
    <w:p w14:paraId="2E05CBE7" w14:textId="77777777" w:rsidR="00894070" w:rsidRDefault="009B7AFD">
      <w:pPr>
        <w:pStyle w:val="ListParagraph"/>
        <w:numPr>
          <w:ilvl w:val="0"/>
          <w:numId w:val="191"/>
        </w:numPr>
        <w:tabs>
          <w:tab w:val="left" w:pos="1801"/>
          <w:tab w:val="left" w:pos="1802"/>
        </w:tabs>
        <w:spacing w:before="122" w:line="247" w:lineRule="auto"/>
        <w:ind w:left="1801" w:right="1185"/>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should include a legislative presumption against the making</w:t>
      </w:r>
      <w:r>
        <w:rPr>
          <w:rFonts w:ascii="Trebuchet MS"/>
          <w:color w:val="231F20"/>
          <w:spacing w:val="-24"/>
          <w:w w:val="105"/>
          <w:sz w:val="20"/>
        </w:rPr>
        <w:t xml:space="preserve"> </w:t>
      </w:r>
      <w:r>
        <w:rPr>
          <w:rFonts w:ascii="Trebuchet MS"/>
          <w:color w:val="231F20"/>
          <w:w w:val="105"/>
          <w:sz w:val="20"/>
        </w:rPr>
        <w:t>of</w:t>
      </w:r>
      <w:r>
        <w:rPr>
          <w:rFonts w:ascii="Trebuchet MS"/>
          <w:color w:val="231F20"/>
          <w:spacing w:val="-24"/>
          <w:w w:val="105"/>
          <w:sz w:val="20"/>
        </w:rPr>
        <w:t xml:space="preserve"> </w:t>
      </w:r>
      <w:r>
        <w:rPr>
          <w:rFonts w:ascii="Trebuchet MS"/>
          <w:color w:val="231F20"/>
          <w:w w:val="105"/>
          <w:sz w:val="20"/>
        </w:rPr>
        <w:t>a</w:t>
      </w:r>
      <w:r>
        <w:rPr>
          <w:rFonts w:ascii="Trebuchet MS"/>
          <w:color w:val="231F20"/>
          <w:spacing w:val="-23"/>
          <w:w w:val="105"/>
          <w:sz w:val="20"/>
        </w:rPr>
        <w:t xml:space="preserve"> </w:t>
      </w:r>
      <w:r>
        <w:rPr>
          <w:rFonts w:ascii="Trebuchet MS"/>
          <w:color w:val="231F20"/>
          <w:w w:val="105"/>
          <w:sz w:val="20"/>
        </w:rPr>
        <w:t>final</w:t>
      </w:r>
      <w:r>
        <w:rPr>
          <w:rFonts w:ascii="Trebuchet MS"/>
          <w:color w:val="231F20"/>
          <w:spacing w:val="-24"/>
          <w:w w:val="105"/>
          <w:sz w:val="20"/>
        </w:rPr>
        <w:t xml:space="preserve"> </w:t>
      </w:r>
      <w:r>
        <w:rPr>
          <w:rFonts w:ascii="Trebuchet MS"/>
          <w:color w:val="231F20"/>
          <w:w w:val="105"/>
          <w:sz w:val="20"/>
        </w:rPr>
        <w:t>personal</w:t>
      </w:r>
      <w:r>
        <w:rPr>
          <w:rFonts w:ascii="Trebuchet MS"/>
          <w:color w:val="231F20"/>
          <w:spacing w:val="-23"/>
          <w:w w:val="105"/>
          <w:sz w:val="20"/>
        </w:rPr>
        <w:t xml:space="preserve"> </w:t>
      </w:r>
      <w:r>
        <w:rPr>
          <w:rFonts w:ascii="Trebuchet MS"/>
          <w:color w:val="231F20"/>
          <w:w w:val="105"/>
          <w:sz w:val="20"/>
        </w:rPr>
        <w:t>safety</w:t>
      </w:r>
      <w:r>
        <w:rPr>
          <w:rFonts w:ascii="Trebuchet MS"/>
          <w:color w:val="231F20"/>
          <w:spacing w:val="-24"/>
          <w:w w:val="105"/>
          <w:sz w:val="20"/>
        </w:rPr>
        <w:t xml:space="preserve"> </w:t>
      </w:r>
      <w:r>
        <w:rPr>
          <w:rFonts w:ascii="Trebuchet MS"/>
          <w:color w:val="231F20"/>
          <w:w w:val="105"/>
          <w:sz w:val="20"/>
        </w:rPr>
        <w:t>intervention</w:t>
      </w:r>
      <w:r>
        <w:rPr>
          <w:rFonts w:ascii="Trebuchet MS"/>
          <w:color w:val="231F20"/>
          <w:spacing w:val="-23"/>
          <w:w w:val="105"/>
          <w:sz w:val="20"/>
        </w:rPr>
        <w:t xml:space="preserve"> </w:t>
      </w:r>
      <w:r>
        <w:rPr>
          <w:rFonts w:ascii="Trebuchet MS"/>
          <w:color w:val="231F20"/>
          <w:w w:val="105"/>
          <w:sz w:val="20"/>
        </w:rPr>
        <w:t>order</w:t>
      </w:r>
      <w:r>
        <w:rPr>
          <w:rFonts w:ascii="Trebuchet MS"/>
          <w:color w:val="231F20"/>
          <w:spacing w:val="-24"/>
          <w:w w:val="105"/>
          <w:sz w:val="20"/>
        </w:rPr>
        <w:t xml:space="preserve"> </w:t>
      </w:r>
      <w:r>
        <w:rPr>
          <w:rFonts w:ascii="Trebuchet MS"/>
          <w:color w:val="231F20"/>
          <w:w w:val="105"/>
          <w:sz w:val="20"/>
        </w:rPr>
        <w:t>against</w:t>
      </w:r>
      <w:r>
        <w:rPr>
          <w:rFonts w:ascii="Trebuchet MS"/>
          <w:color w:val="231F20"/>
          <w:spacing w:val="-24"/>
          <w:w w:val="105"/>
          <w:sz w:val="20"/>
        </w:rPr>
        <w:t xml:space="preserve"> </w:t>
      </w:r>
      <w:r>
        <w:rPr>
          <w:rFonts w:ascii="Trebuchet MS"/>
          <w:color w:val="231F20"/>
          <w:w w:val="105"/>
          <w:sz w:val="20"/>
        </w:rPr>
        <w:t>child</w:t>
      </w:r>
      <w:r>
        <w:rPr>
          <w:rFonts w:ascii="Trebuchet MS"/>
          <w:color w:val="231F20"/>
          <w:spacing w:val="-23"/>
          <w:w w:val="105"/>
          <w:sz w:val="20"/>
        </w:rPr>
        <w:t xml:space="preserve"> </w:t>
      </w:r>
      <w:r>
        <w:rPr>
          <w:rFonts w:ascii="Trebuchet MS"/>
          <w:color w:val="231F20"/>
          <w:w w:val="105"/>
          <w:sz w:val="20"/>
        </w:rPr>
        <w:t>respondents</w:t>
      </w:r>
      <w:r>
        <w:rPr>
          <w:rFonts w:ascii="Trebuchet MS"/>
          <w:color w:val="231F20"/>
          <w:spacing w:val="-24"/>
          <w:w w:val="105"/>
          <w:sz w:val="20"/>
        </w:rPr>
        <w:t xml:space="preserve"> </w:t>
      </w:r>
      <w:r>
        <w:rPr>
          <w:rFonts w:ascii="Trebuchet MS"/>
          <w:color w:val="231F20"/>
          <w:w w:val="105"/>
          <w:sz w:val="20"/>
        </w:rPr>
        <w:t>14</w:t>
      </w:r>
      <w:r>
        <w:rPr>
          <w:rFonts w:ascii="Trebuchet MS"/>
          <w:color w:val="231F20"/>
          <w:spacing w:val="-23"/>
          <w:w w:val="105"/>
          <w:sz w:val="20"/>
        </w:rPr>
        <w:t xml:space="preserve"> </w:t>
      </w:r>
      <w:r>
        <w:rPr>
          <w:rFonts w:ascii="Trebuchet MS"/>
          <w:color w:val="231F20"/>
          <w:w w:val="105"/>
          <w:sz w:val="20"/>
        </w:rPr>
        <w:t>years and</w:t>
      </w:r>
      <w:r>
        <w:rPr>
          <w:rFonts w:ascii="Trebuchet MS"/>
          <w:color w:val="231F20"/>
          <w:spacing w:val="-22"/>
          <w:w w:val="105"/>
          <w:sz w:val="20"/>
        </w:rPr>
        <w:t xml:space="preserve"> </w:t>
      </w:r>
      <w:r>
        <w:rPr>
          <w:rFonts w:ascii="Trebuchet MS"/>
          <w:color w:val="231F20"/>
          <w:spacing w:val="-4"/>
          <w:w w:val="105"/>
          <w:sz w:val="20"/>
        </w:rPr>
        <w:t>over</w:t>
      </w:r>
      <w:r>
        <w:rPr>
          <w:rFonts w:ascii="Trebuchet MS"/>
          <w:color w:val="231F20"/>
          <w:spacing w:val="-22"/>
          <w:w w:val="105"/>
          <w:sz w:val="20"/>
        </w:rPr>
        <w:t xml:space="preserve"> </w:t>
      </w:r>
      <w:r>
        <w:rPr>
          <w:rFonts w:ascii="Trebuchet MS"/>
          <w:color w:val="231F20"/>
          <w:w w:val="105"/>
          <w:sz w:val="20"/>
        </w:rPr>
        <w:t>in</w:t>
      </w:r>
      <w:r>
        <w:rPr>
          <w:rFonts w:ascii="Trebuchet MS"/>
          <w:color w:val="231F20"/>
          <w:spacing w:val="-22"/>
          <w:w w:val="105"/>
          <w:sz w:val="20"/>
        </w:rPr>
        <w:t xml:space="preserve"> </w:t>
      </w:r>
      <w:r>
        <w:rPr>
          <w:rFonts w:ascii="Trebuchet MS"/>
          <w:color w:val="231F20"/>
          <w:w w:val="105"/>
          <w:sz w:val="20"/>
        </w:rPr>
        <w:t>the</w:t>
      </w:r>
      <w:r>
        <w:rPr>
          <w:rFonts w:ascii="Trebuchet MS"/>
          <w:color w:val="231F20"/>
          <w:spacing w:val="-22"/>
          <w:w w:val="105"/>
          <w:sz w:val="20"/>
        </w:rPr>
        <w:t xml:space="preserve"> </w:t>
      </w:r>
      <w:r>
        <w:rPr>
          <w:rFonts w:ascii="Arial"/>
          <w:i/>
          <w:color w:val="231F20"/>
          <w:w w:val="105"/>
          <w:sz w:val="20"/>
        </w:rPr>
        <w:t>Personal</w:t>
      </w:r>
      <w:r>
        <w:rPr>
          <w:rFonts w:ascii="Arial"/>
          <w:i/>
          <w:color w:val="231F20"/>
          <w:spacing w:val="-18"/>
          <w:w w:val="105"/>
          <w:sz w:val="20"/>
        </w:rPr>
        <w:t xml:space="preserve"> </w:t>
      </w:r>
      <w:r>
        <w:rPr>
          <w:rFonts w:ascii="Arial"/>
          <w:i/>
          <w:color w:val="231F20"/>
          <w:w w:val="105"/>
          <w:sz w:val="20"/>
        </w:rPr>
        <w:t>Safety</w:t>
      </w:r>
      <w:r>
        <w:rPr>
          <w:rFonts w:ascii="Arial"/>
          <w:i/>
          <w:color w:val="231F20"/>
          <w:spacing w:val="-18"/>
          <w:w w:val="105"/>
          <w:sz w:val="20"/>
        </w:rPr>
        <w:t xml:space="preserve"> </w:t>
      </w:r>
      <w:r>
        <w:rPr>
          <w:rFonts w:ascii="Arial"/>
          <w:i/>
          <w:color w:val="231F20"/>
          <w:w w:val="105"/>
          <w:sz w:val="20"/>
        </w:rPr>
        <w:t>Intervention</w:t>
      </w:r>
      <w:r>
        <w:rPr>
          <w:rFonts w:ascii="Arial"/>
          <w:i/>
          <w:color w:val="231F20"/>
          <w:spacing w:val="-19"/>
          <w:w w:val="105"/>
          <w:sz w:val="20"/>
        </w:rPr>
        <w:t xml:space="preserve"> </w:t>
      </w:r>
      <w:r>
        <w:rPr>
          <w:rFonts w:ascii="Arial"/>
          <w:i/>
          <w:color w:val="231F20"/>
          <w:w w:val="105"/>
          <w:sz w:val="20"/>
        </w:rPr>
        <w:t>Orders</w:t>
      </w:r>
      <w:r>
        <w:rPr>
          <w:rFonts w:ascii="Arial"/>
          <w:i/>
          <w:color w:val="231F20"/>
          <w:spacing w:val="-18"/>
          <w:w w:val="105"/>
          <w:sz w:val="20"/>
        </w:rPr>
        <w:t xml:space="preserve"> </w:t>
      </w:r>
      <w:r>
        <w:rPr>
          <w:rFonts w:ascii="Arial"/>
          <w:i/>
          <w:color w:val="231F20"/>
          <w:w w:val="105"/>
          <w:sz w:val="20"/>
        </w:rPr>
        <w:t>Act</w:t>
      </w:r>
      <w:r>
        <w:rPr>
          <w:rFonts w:ascii="Arial"/>
          <w:i/>
          <w:color w:val="231F20"/>
          <w:spacing w:val="-19"/>
          <w:w w:val="105"/>
          <w:sz w:val="20"/>
        </w:rPr>
        <w:t xml:space="preserve"> </w:t>
      </w:r>
      <w:r>
        <w:rPr>
          <w:rFonts w:ascii="Arial"/>
          <w:i/>
          <w:color w:val="231F20"/>
          <w:spacing w:val="-3"/>
          <w:w w:val="105"/>
          <w:sz w:val="20"/>
        </w:rPr>
        <w:t>2010</w:t>
      </w:r>
      <w:r>
        <w:rPr>
          <w:rFonts w:ascii="Arial"/>
          <w:i/>
          <w:color w:val="231F20"/>
          <w:spacing w:val="-16"/>
          <w:w w:val="105"/>
          <w:sz w:val="20"/>
        </w:rPr>
        <w:t xml:space="preserve"> </w:t>
      </w:r>
      <w:r>
        <w:rPr>
          <w:rFonts w:ascii="Trebuchet MS"/>
          <w:color w:val="231F20"/>
          <w:spacing w:val="-3"/>
          <w:w w:val="105"/>
          <w:sz w:val="20"/>
        </w:rPr>
        <w:t>(Vic).</w:t>
      </w:r>
    </w:p>
    <w:p w14:paraId="2F6C2C45" w14:textId="77777777" w:rsidR="00894070" w:rsidRDefault="009B7AFD">
      <w:pPr>
        <w:pStyle w:val="BodyText"/>
        <w:spacing w:before="87"/>
        <w:ind w:left="1801"/>
        <w:rPr>
          <w:rFonts w:ascii="Trebuchet MS"/>
        </w:rPr>
      </w:pPr>
      <w:r>
        <w:rPr>
          <w:rFonts w:ascii="Trebuchet MS"/>
          <w:color w:val="231F20"/>
          <w:spacing w:val="-1"/>
          <w:w w:val="111"/>
        </w:rPr>
        <w:t>P</w:t>
      </w:r>
      <w:r>
        <w:rPr>
          <w:rFonts w:ascii="Trebuchet MS"/>
          <w:color w:val="231F20"/>
          <w:spacing w:val="-1"/>
          <w:w w:val="126"/>
        </w:rPr>
        <w:t>S</w:t>
      </w:r>
      <w:r>
        <w:rPr>
          <w:rFonts w:ascii="Trebuchet MS"/>
          <w:color w:val="231F20"/>
          <w:spacing w:val="-1"/>
          <w:w w:val="93"/>
        </w:rPr>
        <w:t>I</w:t>
      </w:r>
      <w:r>
        <w:rPr>
          <w:rFonts w:ascii="Trebuchet MS"/>
          <w:color w:val="231F20"/>
          <w:spacing w:val="-1"/>
          <w:w w:val="111"/>
        </w:rPr>
        <w:t>O</w:t>
      </w:r>
      <w:r>
        <w:rPr>
          <w:rFonts w:ascii="Trebuchet MS"/>
          <w:color w:val="231F20"/>
          <w:w w:val="122"/>
        </w:rPr>
        <w:t>s</w:t>
      </w:r>
      <w:r>
        <w:rPr>
          <w:rFonts w:ascii="Trebuchet MS"/>
          <w:color w:val="231F20"/>
          <w:spacing w:val="-14"/>
        </w:rPr>
        <w:t xml:space="preserve"> </w:t>
      </w:r>
      <w:r>
        <w:rPr>
          <w:rFonts w:ascii="Trebuchet MS"/>
          <w:color w:val="231F20"/>
          <w:spacing w:val="-2"/>
          <w:w w:val="122"/>
        </w:rPr>
        <w:t>s</w:t>
      </w:r>
      <w:r>
        <w:rPr>
          <w:rFonts w:ascii="Trebuchet MS"/>
          <w:color w:val="231F20"/>
          <w:spacing w:val="-1"/>
          <w:w w:val="107"/>
        </w:rPr>
        <w:t>h</w:t>
      </w:r>
      <w:r>
        <w:rPr>
          <w:rFonts w:ascii="Trebuchet MS"/>
          <w:color w:val="231F20"/>
          <w:spacing w:val="-1"/>
          <w:w w:val="111"/>
        </w:rPr>
        <w:t>o</w:t>
      </w:r>
      <w:r>
        <w:rPr>
          <w:rFonts w:ascii="Trebuchet MS"/>
          <w:color w:val="231F20"/>
          <w:spacing w:val="-2"/>
          <w:w w:val="109"/>
        </w:rPr>
        <w:t>u</w:t>
      </w:r>
      <w:r>
        <w:rPr>
          <w:rFonts w:ascii="Trebuchet MS"/>
          <w:color w:val="231F20"/>
          <w:spacing w:val="-3"/>
          <w:w w:val="96"/>
        </w:rPr>
        <w:t>l</w:t>
      </w:r>
      <w:r>
        <w:rPr>
          <w:rFonts w:ascii="Trebuchet MS"/>
          <w:color w:val="231F20"/>
          <w:w w:val="112"/>
        </w:rPr>
        <w:t>d</w:t>
      </w:r>
      <w:r>
        <w:rPr>
          <w:rFonts w:ascii="Trebuchet MS"/>
          <w:color w:val="231F20"/>
          <w:spacing w:val="-14"/>
        </w:rPr>
        <w:t xml:space="preserve"> </w:t>
      </w:r>
      <w:r>
        <w:rPr>
          <w:rFonts w:ascii="Trebuchet MS"/>
          <w:color w:val="231F20"/>
          <w:spacing w:val="-1"/>
          <w:w w:val="111"/>
        </w:rPr>
        <w:t>o</w:t>
      </w:r>
      <w:r>
        <w:rPr>
          <w:rFonts w:ascii="Trebuchet MS"/>
          <w:color w:val="231F20"/>
          <w:spacing w:val="-2"/>
          <w:w w:val="107"/>
        </w:rPr>
        <w:t>n</w:t>
      </w:r>
      <w:r>
        <w:rPr>
          <w:rFonts w:ascii="Trebuchet MS"/>
          <w:color w:val="231F20"/>
          <w:spacing w:val="-7"/>
          <w:w w:val="96"/>
        </w:rPr>
        <w:t>l</w:t>
      </w:r>
      <w:r>
        <w:rPr>
          <w:rFonts w:ascii="Trebuchet MS"/>
          <w:color w:val="231F20"/>
          <w:w w:val="110"/>
        </w:rPr>
        <w:t>y</w:t>
      </w:r>
      <w:r>
        <w:rPr>
          <w:rFonts w:ascii="Trebuchet MS"/>
          <w:color w:val="231F20"/>
          <w:spacing w:val="-14"/>
        </w:rPr>
        <w:t xml:space="preserve"> </w:t>
      </w:r>
      <w:r>
        <w:rPr>
          <w:rFonts w:ascii="Trebuchet MS"/>
          <w:color w:val="231F20"/>
          <w:spacing w:val="-1"/>
          <w:w w:val="111"/>
        </w:rPr>
        <w:t>b</w:t>
      </w:r>
      <w:r>
        <w:rPr>
          <w:rFonts w:ascii="Trebuchet MS"/>
          <w:color w:val="231F20"/>
          <w:w w:val="108"/>
        </w:rPr>
        <w:t>e</w:t>
      </w:r>
      <w:r>
        <w:rPr>
          <w:rFonts w:ascii="Trebuchet MS"/>
          <w:color w:val="231F20"/>
          <w:spacing w:val="-14"/>
        </w:rPr>
        <w:t xml:space="preserve"> </w:t>
      </w:r>
      <w:r>
        <w:rPr>
          <w:rFonts w:ascii="Trebuchet MS"/>
          <w:color w:val="231F20"/>
          <w:spacing w:val="-6"/>
          <w:w w:val="105"/>
        </w:rPr>
        <w:t>a</w:t>
      </w:r>
      <w:r>
        <w:rPr>
          <w:rFonts w:ascii="Trebuchet MS"/>
          <w:color w:val="231F20"/>
          <w:spacing w:val="-3"/>
          <w:w w:val="109"/>
        </w:rPr>
        <w:t>v</w:t>
      </w:r>
      <w:r>
        <w:rPr>
          <w:rFonts w:ascii="Trebuchet MS"/>
          <w:color w:val="231F20"/>
          <w:spacing w:val="-2"/>
          <w:w w:val="105"/>
        </w:rPr>
        <w:t>a</w:t>
      </w:r>
      <w:r>
        <w:rPr>
          <w:rFonts w:ascii="Trebuchet MS"/>
          <w:color w:val="231F20"/>
          <w:spacing w:val="-2"/>
          <w:w w:val="80"/>
        </w:rPr>
        <w:t>i</w:t>
      </w:r>
      <w:r>
        <w:rPr>
          <w:rFonts w:ascii="Trebuchet MS"/>
          <w:color w:val="231F20"/>
          <w:spacing w:val="1"/>
          <w:w w:val="96"/>
        </w:rPr>
        <w:t>l</w:t>
      </w:r>
      <w:r>
        <w:rPr>
          <w:rFonts w:ascii="Trebuchet MS"/>
          <w:color w:val="231F20"/>
          <w:spacing w:val="-2"/>
          <w:w w:val="105"/>
        </w:rPr>
        <w:t>a</w:t>
      </w:r>
      <w:r>
        <w:rPr>
          <w:rFonts w:ascii="Trebuchet MS"/>
          <w:color w:val="231F20"/>
          <w:spacing w:val="-2"/>
          <w:w w:val="111"/>
        </w:rPr>
        <w:t>b</w:t>
      </w:r>
      <w:r>
        <w:rPr>
          <w:rFonts w:ascii="Trebuchet MS"/>
          <w:color w:val="231F20"/>
          <w:spacing w:val="-3"/>
          <w:w w:val="96"/>
        </w:rPr>
        <w:t>l</w:t>
      </w:r>
      <w:r>
        <w:rPr>
          <w:rFonts w:ascii="Trebuchet MS"/>
          <w:color w:val="231F20"/>
          <w:w w:val="108"/>
        </w:rPr>
        <w:t>e</w:t>
      </w:r>
      <w:r>
        <w:rPr>
          <w:rFonts w:ascii="Trebuchet MS"/>
          <w:color w:val="231F20"/>
          <w:spacing w:val="-14"/>
        </w:rPr>
        <w:t xml:space="preserve"> </w:t>
      </w:r>
      <w:r>
        <w:rPr>
          <w:rFonts w:ascii="Trebuchet MS"/>
          <w:color w:val="231F20"/>
          <w:spacing w:val="-2"/>
          <w:w w:val="105"/>
        </w:rPr>
        <w:t>a</w:t>
      </w:r>
      <w:r>
        <w:rPr>
          <w:rFonts w:ascii="Trebuchet MS"/>
          <w:color w:val="231F20"/>
          <w:spacing w:val="-2"/>
          <w:w w:val="124"/>
        </w:rPr>
        <w:t>g</w:t>
      </w:r>
      <w:r>
        <w:rPr>
          <w:rFonts w:ascii="Trebuchet MS"/>
          <w:color w:val="231F20"/>
          <w:spacing w:val="-2"/>
          <w:w w:val="105"/>
        </w:rPr>
        <w:t>a</w:t>
      </w:r>
      <w:r>
        <w:rPr>
          <w:rFonts w:ascii="Trebuchet MS"/>
          <w:color w:val="231F20"/>
          <w:spacing w:val="-2"/>
          <w:w w:val="80"/>
        </w:rPr>
        <w:t>i</w:t>
      </w:r>
      <w:r>
        <w:rPr>
          <w:rFonts w:ascii="Trebuchet MS"/>
          <w:color w:val="231F20"/>
          <w:spacing w:val="-2"/>
          <w:w w:val="107"/>
        </w:rPr>
        <w:t>n</w:t>
      </w:r>
      <w:r>
        <w:rPr>
          <w:rFonts w:ascii="Trebuchet MS"/>
          <w:color w:val="231F20"/>
          <w:spacing w:val="-1"/>
          <w:w w:val="122"/>
        </w:rPr>
        <w:t>s</w:t>
      </w:r>
      <w:r>
        <w:rPr>
          <w:rFonts w:ascii="Trebuchet MS"/>
          <w:color w:val="231F20"/>
          <w:w w:val="88"/>
        </w:rPr>
        <w:t>t</w:t>
      </w:r>
      <w:r>
        <w:rPr>
          <w:rFonts w:ascii="Trebuchet MS"/>
          <w:color w:val="231F20"/>
          <w:spacing w:val="-14"/>
        </w:rPr>
        <w:t xml:space="preserve"> </w:t>
      </w:r>
      <w:r>
        <w:rPr>
          <w:rFonts w:ascii="Trebuchet MS"/>
          <w:color w:val="231F20"/>
          <w:spacing w:val="-4"/>
          <w:w w:val="93"/>
        </w:rPr>
        <w:t>r</w:t>
      </w:r>
      <w:r>
        <w:rPr>
          <w:rFonts w:ascii="Trebuchet MS"/>
          <w:color w:val="231F20"/>
          <w:spacing w:val="-2"/>
          <w:w w:val="108"/>
        </w:rPr>
        <w:t>e</w:t>
      </w:r>
      <w:r>
        <w:rPr>
          <w:rFonts w:ascii="Trebuchet MS"/>
          <w:color w:val="231F20"/>
          <w:spacing w:val="-2"/>
          <w:w w:val="122"/>
        </w:rPr>
        <w:t>s</w:t>
      </w:r>
      <w:r>
        <w:rPr>
          <w:rFonts w:ascii="Trebuchet MS"/>
          <w:color w:val="231F20"/>
          <w:spacing w:val="-1"/>
          <w:w w:val="111"/>
        </w:rPr>
        <w:t>po</w:t>
      </w:r>
      <w:r>
        <w:rPr>
          <w:rFonts w:ascii="Trebuchet MS"/>
          <w:color w:val="231F20"/>
          <w:spacing w:val="-1"/>
          <w:w w:val="107"/>
        </w:rPr>
        <w:t>n</w:t>
      </w:r>
      <w:r>
        <w:rPr>
          <w:rFonts w:ascii="Trebuchet MS"/>
          <w:color w:val="231F20"/>
          <w:spacing w:val="-2"/>
          <w:w w:val="112"/>
        </w:rPr>
        <w:t>d</w:t>
      </w:r>
      <w:r>
        <w:rPr>
          <w:rFonts w:ascii="Trebuchet MS"/>
          <w:color w:val="231F20"/>
          <w:spacing w:val="-1"/>
          <w:w w:val="108"/>
        </w:rPr>
        <w:t>e</w:t>
      </w:r>
      <w:r>
        <w:rPr>
          <w:rFonts w:ascii="Trebuchet MS"/>
          <w:color w:val="231F20"/>
          <w:spacing w:val="-4"/>
          <w:w w:val="107"/>
        </w:rPr>
        <w:t>n</w:t>
      </w:r>
      <w:r>
        <w:rPr>
          <w:rFonts w:ascii="Trebuchet MS"/>
          <w:color w:val="231F20"/>
          <w:spacing w:val="2"/>
          <w:w w:val="88"/>
        </w:rPr>
        <w:t>t</w:t>
      </w:r>
      <w:r>
        <w:rPr>
          <w:rFonts w:ascii="Trebuchet MS"/>
          <w:color w:val="231F20"/>
          <w:w w:val="122"/>
        </w:rPr>
        <w:t>s</w:t>
      </w:r>
      <w:r>
        <w:rPr>
          <w:rFonts w:ascii="Trebuchet MS"/>
          <w:color w:val="231F20"/>
          <w:spacing w:val="-14"/>
        </w:rPr>
        <w:t xml:space="preserve"> </w:t>
      </w:r>
      <w:r>
        <w:rPr>
          <w:rFonts w:ascii="Trebuchet MS"/>
          <w:color w:val="231F20"/>
          <w:spacing w:val="-4"/>
          <w:w w:val="111"/>
        </w:rPr>
        <w:t>o</w:t>
      </w:r>
      <w:r>
        <w:rPr>
          <w:rFonts w:ascii="Trebuchet MS"/>
          <w:color w:val="231F20"/>
          <w:w w:val="92"/>
        </w:rPr>
        <w:t>f</w:t>
      </w:r>
      <w:r>
        <w:rPr>
          <w:rFonts w:ascii="Trebuchet MS"/>
          <w:color w:val="231F20"/>
          <w:spacing w:val="-14"/>
        </w:rPr>
        <w:t xml:space="preserve"> </w:t>
      </w:r>
      <w:r>
        <w:rPr>
          <w:rFonts w:ascii="Trebuchet MS"/>
          <w:color w:val="231F20"/>
          <w:spacing w:val="-2"/>
          <w:w w:val="88"/>
        </w:rPr>
        <w:t>t</w:t>
      </w:r>
      <w:r>
        <w:rPr>
          <w:rFonts w:ascii="Trebuchet MS"/>
          <w:color w:val="231F20"/>
          <w:spacing w:val="-2"/>
          <w:w w:val="107"/>
        </w:rPr>
        <w:t>h</w:t>
      </w:r>
      <w:r>
        <w:rPr>
          <w:rFonts w:ascii="Trebuchet MS"/>
          <w:color w:val="231F20"/>
          <w:spacing w:val="-1"/>
          <w:w w:val="80"/>
        </w:rPr>
        <w:t>i</w:t>
      </w:r>
      <w:r>
        <w:rPr>
          <w:rFonts w:ascii="Trebuchet MS"/>
          <w:color w:val="231F20"/>
          <w:w w:val="122"/>
        </w:rPr>
        <w:t>s</w:t>
      </w:r>
      <w:r>
        <w:rPr>
          <w:rFonts w:ascii="Trebuchet MS"/>
          <w:color w:val="231F20"/>
          <w:spacing w:val="-14"/>
        </w:rPr>
        <w:t xml:space="preserve"> </w:t>
      </w:r>
      <w:r>
        <w:rPr>
          <w:rFonts w:ascii="Trebuchet MS"/>
          <w:color w:val="231F20"/>
          <w:spacing w:val="-2"/>
          <w:w w:val="105"/>
        </w:rPr>
        <w:t>a</w:t>
      </w:r>
      <w:r>
        <w:rPr>
          <w:rFonts w:ascii="Trebuchet MS"/>
          <w:color w:val="231F20"/>
          <w:spacing w:val="-1"/>
          <w:w w:val="124"/>
        </w:rPr>
        <w:t>g</w:t>
      </w:r>
      <w:r>
        <w:rPr>
          <w:rFonts w:ascii="Trebuchet MS"/>
          <w:color w:val="231F20"/>
          <w:w w:val="108"/>
        </w:rPr>
        <w:t>e</w:t>
      </w:r>
      <w:r>
        <w:rPr>
          <w:rFonts w:ascii="Trebuchet MS"/>
          <w:color w:val="231F20"/>
          <w:spacing w:val="-14"/>
        </w:rPr>
        <w:t xml:space="preserve"> </w:t>
      </w:r>
      <w:r>
        <w:rPr>
          <w:rFonts w:ascii="Trebuchet MS"/>
          <w:color w:val="231F20"/>
          <w:spacing w:val="-2"/>
          <w:w w:val="110"/>
        </w:rPr>
        <w:t>w</w:t>
      </w:r>
      <w:r>
        <w:rPr>
          <w:rFonts w:ascii="Trebuchet MS"/>
          <w:color w:val="231F20"/>
          <w:spacing w:val="-1"/>
          <w:w w:val="107"/>
        </w:rPr>
        <w:t>h</w:t>
      </w:r>
      <w:r>
        <w:rPr>
          <w:rFonts w:ascii="Trebuchet MS"/>
          <w:color w:val="231F20"/>
          <w:spacing w:val="-1"/>
          <w:w w:val="108"/>
        </w:rPr>
        <w:t>e</w:t>
      </w:r>
      <w:r>
        <w:rPr>
          <w:rFonts w:ascii="Trebuchet MS"/>
          <w:color w:val="231F20"/>
          <w:spacing w:val="-4"/>
          <w:w w:val="93"/>
        </w:rPr>
        <w:t>r</w:t>
      </w:r>
      <w:r>
        <w:rPr>
          <w:rFonts w:ascii="Trebuchet MS"/>
          <w:color w:val="231F20"/>
          <w:spacing w:val="-4"/>
          <w:w w:val="108"/>
        </w:rPr>
        <w:t>e</w:t>
      </w:r>
      <w:r>
        <w:rPr>
          <w:rFonts w:ascii="Trebuchet MS"/>
          <w:color w:val="231F20"/>
          <w:w w:val="54"/>
        </w:rPr>
        <w:t>:</w:t>
      </w:r>
    </w:p>
    <w:p w14:paraId="63EB1441" w14:textId="77777777" w:rsidR="00894070" w:rsidRDefault="009B7AFD">
      <w:pPr>
        <w:pStyle w:val="ListParagraph"/>
        <w:numPr>
          <w:ilvl w:val="1"/>
          <w:numId w:val="191"/>
        </w:numPr>
        <w:tabs>
          <w:tab w:val="left" w:pos="2481"/>
          <w:tab w:val="left" w:pos="2482"/>
        </w:tabs>
        <w:spacing w:before="93" w:line="247" w:lineRule="auto"/>
        <w:ind w:left="2481" w:right="1187" w:hanging="674"/>
        <w:rPr>
          <w:rFonts w:ascii="Trebuchet MS"/>
          <w:sz w:val="20"/>
        </w:rPr>
      </w:pPr>
      <w:r>
        <w:rPr>
          <w:rFonts w:ascii="Trebuchet MS"/>
          <w:color w:val="231F20"/>
          <w:w w:val="105"/>
          <w:sz w:val="20"/>
        </w:rPr>
        <w:t>a</w:t>
      </w:r>
      <w:r>
        <w:rPr>
          <w:rFonts w:ascii="Trebuchet MS"/>
          <w:color w:val="231F20"/>
          <w:spacing w:val="-10"/>
          <w:w w:val="105"/>
          <w:sz w:val="20"/>
        </w:rPr>
        <w:t xml:space="preserve"> </w:t>
      </w:r>
      <w:r>
        <w:rPr>
          <w:rFonts w:ascii="Trebuchet MS"/>
          <w:color w:val="231F20"/>
          <w:w w:val="105"/>
          <w:sz w:val="20"/>
        </w:rPr>
        <w:t>therapeutic</w:t>
      </w:r>
      <w:r>
        <w:rPr>
          <w:rFonts w:ascii="Trebuchet MS"/>
          <w:color w:val="231F20"/>
          <w:spacing w:val="-10"/>
          <w:w w:val="105"/>
          <w:sz w:val="20"/>
        </w:rPr>
        <w:t xml:space="preserve"> </w:t>
      </w:r>
      <w:r>
        <w:rPr>
          <w:rFonts w:ascii="Trebuchet MS"/>
          <w:color w:val="231F20"/>
          <w:w w:val="105"/>
          <w:sz w:val="20"/>
        </w:rPr>
        <w:t>process</w:t>
      </w:r>
      <w:r>
        <w:rPr>
          <w:rFonts w:ascii="Trebuchet MS"/>
          <w:color w:val="231F20"/>
          <w:spacing w:val="-9"/>
          <w:w w:val="105"/>
          <w:sz w:val="20"/>
        </w:rPr>
        <w:t xml:space="preserve"> </w:t>
      </w:r>
      <w:r>
        <w:rPr>
          <w:rFonts w:ascii="Trebuchet MS"/>
          <w:color w:val="231F20"/>
          <w:w w:val="105"/>
          <w:sz w:val="20"/>
        </w:rPr>
        <w:t>(such</w:t>
      </w:r>
      <w:r>
        <w:rPr>
          <w:rFonts w:ascii="Trebuchet MS"/>
          <w:color w:val="231F20"/>
          <w:spacing w:val="-10"/>
          <w:w w:val="105"/>
          <w:sz w:val="20"/>
        </w:rPr>
        <w:t xml:space="preserve"> </w:t>
      </w:r>
      <w:r>
        <w:rPr>
          <w:rFonts w:ascii="Trebuchet MS"/>
          <w:color w:val="231F20"/>
          <w:w w:val="105"/>
          <w:sz w:val="20"/>
        </w:rPr>
        <w:t>as</w:t>
      </w:r>
      <w:r>
        <w:rPr>
          <w:rFonts w:ascii="Trebuchet MS"/>
          <w:color w:val="231F20"/>
          <w:spacing w:val="-9"/>
          <w:w w:val="105"/>
          <w:sz w:val="20"/>
        </w:rPr>
        <w:t xml:space="preserve"> </w:t>
      </w:r>
      <w:r>
        <w:rPr>
          <w:rFonts w:ascii="Trebuchet MS"/>
          <w:color w:val="231F20"/>
          <w:w w:val="105"/>
          <w:sz w:val="20"/>
        </w:rPr>
        <w:t>the</w:t>
      </w:r>
      <w:r>
        <w:rPr>
          <w:rFonts w:ascii="Trebuchet MS"/>
          <w:color w:val="231F20"/>
          <w:spacing w:val="-10"/>
          <w:w w:val="105"/>
          <w:sz w:val="20"/>
        </w:rPr>
        <w:t xml:space="preserve"> </w:t>
      </w:r>
      <w:r>
        <w:rPr>
          <w:rFonts w:ascii="Trebuchet MS"/>
          <w:color w:val="231F20"/>
          <w:w w:val="105"/>
          <w:sz w:val="20"/>
        </w:rPr>
        <w:t>one</w:t>
      </w:r>
      <w:r>
        <w:rPr>
          <w:rFonts w:ascii="Trebuchet MS"/>
          <w:color w:val="231F20"/>
          <w:spacing w:val="-9"/>
          <w:w w:val="105"/>
          <w:sz w:val="20"/>
        </w:rPr>
        <w:t xml:space="preserve"> </w:t>
      </w:r>
      <w:r>
        <w:rPr>
          <w:rFonts w:ascii="Trebuchet MS"/>
          <w:color w:val="231F20"/>
          <w:spacing w:val="-3"/>
          <w:w w:val="105"/>
          <w:sz w:val="20"/>
        </w:rPr>
        <w:t>developed</w:t>
      </w:r>
      <w:r>
        <w:rPr>
          <w:rFonts w:ascii="Trebuchet MS"/>
          <w:color w:val="231F20"/>
          <w:spacing w:val="-10"/>
          <w:w w:val="105"/>
          <w:sz w:val="20"/>
        </w:rPr>
        <w:t xml:space="preserve"> </w:t>
      </w:r>
      <w:r>
        <w:rPr>
          <w:rFonts w:ascii="Trebuchet MS"/>
          <w:color w:val="231F20"/>
          <w:w w:val="105"/>
          <w:sz w:val="20"/>
        </w:rPr>
        <w:t>under</w:t>
      </w:r>
      <w:r>
        <w:rPr>
          <w:rFonts w:ascii="Trebuchet MS"/>
          <w:color w:val="231F20"/>
          <w:spacing w:val="-9"/>
          <w:w w:val="105"/>
          <w:sz w:val="20"/>
        </w:rPr>
        <w:t xml:space="preserve"> </w:t>
      </w:r>
      <w:r>
        <w:rPr>
          <w:rFonts w:ascii="Trebuchet MS"/>
          <w:color w:val="231F20"/>
          <w:w w:val="105"/>
          <w:sz w:val="20"/>
        </w:rPr>
        <w:t>Recommendation</w:t>
      </w:r>
      <w:r>
        <w:rPr>
          <w:rFonts w:ascii="Trebuchet MS"/>
          <w:color w:val="231F20"/>
          <w:spacing w:val="-10"/>
          <w:w w:val="105"/>
          <w:sz w:val="20"/>
        </w:rPr>
        <w:t xml:space="preserve"> </w:t>
      </w:r>
      <w:r>
        <w:rPr>
          <w:rFonts w:ascii="Trebuchet MS"/>
          <w:color w:val="231F20"/>
          <w:w w:val="105"/>
          <w:sz w:val="20"/>
        </w:rPr>
        <w:t xml:space="preserve">29) </w:t>
      </w:r>
      <w:r>
        <w:rPr>
          <w:rFonts w:ascii="Trebuchet MS"/>
          <w:color w:val="231F20"/>
          <w:spacing w:val="-1"/>
          <w:w w:val="107"/>
          <w:sz w:val="20"/>
        </w:rPr>
        <w:t>h</w:t>
      </w:r>
      <w:r>
        <w:rPr>
          <w:rFonts w:ascii="Trebuchet MS"/>
          <w:color w:val="231F20"/>
          <w:w w:val="105"/>
          <w:sz w:val="20"/>
        </w:rPr>
        <w:t>a</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8"/>
          <w:sz w:val="20"/>
        </w:rPr>
        <w:t>e</w:t>
      </w:r>
      <w:r>
        <w:rPr>
          <w:rFonts w:ascii="Trebuchet MS"/>
          <w:color w:val="231F20"/>
          <w:spacing w:val="-1"/>
          <w:w w:val="108"/>
          <w:sz w:val="20"/>
        </w:rPr>
        <w:t>e</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9"/>
          <w:sz w:val="20"/>
        </w:rPr>
        <w:t>u</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2"/>
          <w:w w:val="93"/>
          <w:sz w:val="20"/>
        </w:rPr>
        <w:t>r</w:t>
      </w:r>
      <w:r>
        <w:rPr>
          <w:rFonts w:ascii="Trebuchet MS"/>
          <w:color w:val="231F20"/>
          <w:w w:val="88"/>
          <w:sz w:val="20"/>
        </w:rPr>
        <w:t>t</w:t>
      </w:r>
      <w:r>
        <w:rPr>
          <w:rFonts w:ascii="Trebuchet MS"/>
          <w:color w:val="231F20"/>
          <w:spacing w:val="-2"/>
          <w:w w:val="105"/>
          <w:sz w:val="20"/>
        </w:rPr>
        <w:t>a</w:t>
      </w:r>
      <w:r>
        <w:rPr>
          <w:rFonts w:ascii="Trebuchet MS"/>
          <w:color w:val="231F20"/>
          <w:spacing w:val="-6"/>
          <w:w w:val="106"/>
          <w:sz w:val="20"/>
        </w:rPr>
        <w:t>k</w:t>
      </w:r>
      <w:r>
        <w:rPr>
          <w:rFonts w:ascii="Trebuchet MS"/>
          <w:color w:val="231F20"/>
          <w:spacing w:val="-1"/>
          <w:w w:val="108"/>
          <w:sz w:val="20"/>
        </w:rPr>
        <w:t>e</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b</w:t>
      </w:r>
      <w:r>
        <w:rPr>
          <w:rFonts w:ascii="Trebuchet MS"/>
          <w:color w:val="231F20"/>
          <w:spacing w:val="-3"/>
          <w:w w:val="109"/>
          <w:sz w:val="20"/>
        </w:rPr>
        <w:t>u</w:t>
      </w:r>
      <w:r>
        <w:rPr>
          <w:rFonts w:ascii="Trebuchet MS"/>
          <w:color w:val="231F20"/>
          <w:w w:val="88"/>
          <w:sz w:val="20"/>
        </w:rPr>
        <w:t>t</w:t>
      </w:r>
      <w:r>
        <w:rPr>
          <w:rFonts w:ascii="Trebuchet MS"/>
          <w:color w:val="231F20"/>
          <w:spacing w:val="-14"/>
          <w:sz w:val="20"/>
        </w:rPr>
        <w:t xml:space="preserve"> </w:t>
      </w:r>
      <w:r>
        <w:rPr>
          <w:rFonts w:ascii="Trebuchet MS"/>
          <w:color w:val="231F20"/>
          <w:spacing w:val="-3"/>
          <w:w w:val="110"/>
          <w:sz w:val="20"/>
        </w:rPr>
        <w:t>w</w:t>
      </w:r>
      <w:r>
        <w:rPr>
          <w:rFonts w:ascii="Trebuchet MS"/>
          <w:color w:val="231F20"/>
          <w:w w:val="105"/>
          <w:sz w:val="20"/>
        </w:rPr>
        <w:t>a</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09"/>
          <w:sz w:val="20"/>
        </w:rPr>
        <w:t>u</w:t>
      </w:r>
      <w:r>
        <w:rPr>
          <w:rFonts w:ascii="Trebuchet MS"/>
          <w:color w:val="231F20"/>
          <w:spacing w:val="-2"/>
          <w:w w:val="107"/>
          <w:sz w:val="20"/>
        </w:rPr>
        <w:t>n</w:t>
      </w:r>
      <w:r>
        <w:rPr>
          <w:rFonts w:ascii="Trebuchet MS"/>
          <w:color w:val="231F20"/>
          <w:spacing w:val="-2"/>
          <w:w w:val="122"/>
          <w:sz w:val="20"/>
        </w:rPr>
        <w:t>s</w:t>
      </w:r>
      <w:r>
        <w:rPr>
          <w:rFonts w:ascii="Trebuchet MS"/>
          <w:color w:val="231F20"/>
          <w:spacing w:val="-2"/>
          <w:w w:val="109"/>
          <w:sz w:val="20"/>
        </w:rPr>
        <w:t>u</w:t>
      </w:r>
      <w:r>
        <w:rPr>
          <w:rFonts w:ascii="Trebuchet MS"/>
          <w:color w:val="231F20"/>
          <w:spacing w:val="-3"/>
          <w:w w:val="111"/>
          <w:sz w:val="20"/>
        </w:rPr>
        <w:t>cc</w:t>
      </w:r>
      <w:r>
        <w:rPr>
          <w:rFonts w:ascii="Trebuchet MS"/>
          <w:color w:val="231F20"/>
          <w:spacing w:val="-2"/>
          <w:w w:val="108"/>
          <w:sz w:val="20"/>
        </w:rPr>
        <w:t>e</w:t>
      </w:r>
      <w:r>
        <w:rPr>
          <w:rFonts w:ascii="Trebuchet MS"/>
          <w:color w:val="231F20"/>
          <w:spacing w:val="-1"/>
          <w:w w:val="122"/>
          <w:sz w:val="20"/>
        </w:rPr>
        <w:t>ss</w:t>
      </w:r>
      <w:r>
        <w:rPr>
          <w:rFonts w:ascii="Trebuchet MS"/>
          <w:color w:val="231F20"/>
          <w:spacing w:val="-2"/>
          <w:w w:val="92"/>
          <w:sz w:val="20"/>
        </w:rPr>
        <w:t>f</w:t>
      </w:r>
      <w:r>
        <w:rPr>
          <w:rFonts w:ascii="Trebuchet MS"/>
          <w:color w:val="231F20"/>
          <w:spacing w:val="-2"/>
          <w:w w:val="109"/>
          <w:sz w:val="20"/>
        </w:rPr>
        <w:t>u</w:t>
      </w:r>
      <w:r>
        <w:rPr>
          <w:rFonts w:ascii="Trebuchet MS"/>
          <w:color w:val="231F20"/>
          <w:spacing w:val="2"/>
          <w:w w:val="96"/>
          <w:sz w:val="20"/>
        </w:rPr>
        <w:t>l</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93"/>
          <w:sz w:val="20"/>
        </w:rPr>
        <w:t>r</w:t>
      </w:r>
    </w:p>
    <w:p w14:paraId="4C74DC80" w14:textId="77777777" w:rsidR="00894070" w:rsidRDefault="009B7AFD">
      <w:pPr>
        <w:pStyle w:val="ListParagraph"/>
        <w:numPr>
          <w:ilvl w:val="1"/>
          <w:numId w:val="191"/>
        </w:numPr>
        <w:tabs>
          <w:tab w:val="left" w:pos="2481"/>
          <w:tab w:val="left" w:pos="2482"/>
        </w:tabs>
        <w:spacing w:before="121" w:line="247" w:lineRule="auto"/>
        <w:ind w:left="2481" w:right="2492" w:hanging="674"/>
        <w:rPr>
          <w:rFonts w:ascii="Trebuchet MS"/>
          <w:sz w:val="20"/>
        </w:rPr>
      </w:pPr>
      <w:r>
        <w:rPr>
          <w:rFonts w:ascii="Trebuchet MS"/>
          <w:color w:val="231F20"/>
          <w:sz w:val="20"/>
        </w:rPr>
        <w:t xml:space="preserve">in cases where the therapeutic process is inappropriate in all the </w:t>
      </w:r>
      <w:r>
        <w:rPr>
          <w:rFonts w:ascii="Trebuchet MS"/>
          <w:color w:val="231F20"/>
          <w:spacing w:val="-2"/>
          <w:w w:val="111"/>
          <w:sz w:val="20"/>
        </w:rPr>
        <w:t>c</w:t>
      </w:r>
      <w:r>
        <w:rPr>
          <w:rFonts w:ascii="Trebuchet MS"/>
          <w:color w:val="231F20"/>
          <w:spacing w:val="-2"/>
          <w:w w:val="80"/>
          <w:sz w:val="20"/>
        </w:rPr>
        <w:t>i</w:t>
      </w:r>
      <w:r>
        <w:rPr>
          <w:rFonts w:ascii="Trebuchet MS"/>
          <w:color w:val="231F20"/>
          <w:spacing w:val="-4"/>
          <w:w w:val="93"/>
          <w:sz w:val="20"/>
        </w:rPr>
        <w:t>r</w:t>
      </w:r>
      <w:r>
        <w:rPr>
          <w:rFonts w:ascii="Trebuchet MS"/>
          <w:color w:val="231F20"/>
          <w:spacing w:val="-2"/>
          <w:w w:val="110"/>
          <w:sz w:val="20"/>
        </w:rPr>
        <w:t>c</w:t>
      </w:r>
      <w:r>
        <w:rPr>
          <w:rFonts w:ascii="Trebuchet MS"/>
          <w:color w:val="231F20"/>
          <w:spacing w:val="-1"/>
          <w:w w:val="110"/>
          <w:sz w:val="20"/>
        </w:rPr>
        <w:t>u</w:t>
      </w:r>
      <w:r>
        <w:rPr>
          <w:rFonts w:ascii="Trebuchet MS"/>
          <w:color w:val="231F20"/>
          <w:spacing w:val="-2"/>
          <w:w w:val="111"/>
          <w:sz w:val="20"/>
        </w:rPr>
        <w:t>m</w:t>
      </w:r>
      <w:r>
        <w:rPr>
          <w:rFonts w:ascii="Trebuchet MS"/>
          <w:color w:val="231F20"/>
          <w:spacing w:val="-1"/>
          <w:w w:val="122"/>
          <w:sz w:val="20"/>
        </w:rPr>
        <w:t>s</w:t>
      </w:r>
      <w:r>
        <w:rPr>
          <w:rFonts w:ascii="Trebuchet MS"/>
          <w:color w:val="231F20"/>
          <w:w w:val="88"/>
          <w:sz w:val="20"/>
        </w:rPr>
        <w:t>t</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3"/>
          <w:w w:val="111"/>
          <w:sz w:val="20"/>
        </w:rPr>
        <w:t>c</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w w:val="111"/>
          <w:sz w:val="20"/>
        </w:rPr>
        <w:t>c</w:t>
      </w:r>
      <w:r>
        <w:rPr>
          <w:rFonts w:ascii="Trebuchet MS"/>
          <w:color w:val="231F20"/>
          <w:w w:val="105"/>
          <w:sz w:val="20"/>
        </w:rPr>
        <w:t>a</w:t>
      </w:r>
      <w:r>
        <w:rPr>
          <w:rFonts w:ascii="Trebuchet MS"/>
          <w:color w:val="231F20"/>
          <w:spacing w:val="-1"/>
          <w:w w:val="122"/>
          <w:sz w:val="20"/>
        </w:rPr>
        <w:t>s</w:t>
      </w:r>
      <w:r>
        <w:rPr>
          <w:rFonts w:ascii="Trebuchet MS"/>
          <w:color w:val="231F20"/>
          <w:spacing w:val="-3"/>
          <w:w w:val="108"/>
          <w:sz w:val="20"/>
        </w:rPr>
        <w:t>e</w:t>
      </w:r>
      <w:r>
        <w:rPr>
          <w:rFonts w:ascii="Trebuchet MS"/>
          <w:color w:val="231F20"/>
          <w:w w:val="55"/>
          <w:sz w:val="20"/>
        </w:rPr>
        <w:t>.</w:t>
      </w:r>
    </w:p>
    <w:p w14:paraId="3A3C0101" w14:textId="77777777" w:rsidR="00894070" w:rsidRDefault="009B7AFD">
      <w:pPr>
        <w:pStyle w:val="ListParagraph"/>
        <w:numPr>
          <w:ilvl w:val="0"/>
          <w:numId w:val="191"/>
        </w:numPr>
        <w:tabs>
          <w:tab w:val="left" w:pos="1802"/>
        </w:tabs>
        <w:spacing w:before="122" w:line="247" w:lineRule="auto"/>
        <w:ind w:left="1801" w:right="1337"/>
        <w:jc w:val="both"/>
        <w:rPr>
          <w:rFonts w:ascii="Trebuchet MS"/>
          <w:sz w:val="20"/>
        </w:rPr>
      </w:pPr>
      <w:r>
        <w:rPr>
          <w:rFonts w:ascii="Trebuchet MS"/>
          <w:color w:val="231F20"/>
          <w:w w:val="105"/>
          <w:sz w:val="20"/>
        </w:rPr>
        <w:t>The</w:t>
      </w:r>
      <w:r>
        <w:rPr>
          <w:rFonts w:ascii="Trebuchet MS"/>
          <w:color w:val="231F20"/>
          <w:spacing w:val="-27"/>
          <w:w w:val="105"/>
          <w:sz w:val="20"/>
        </w:rPr>
        <w:t xml:space="preserve"> </w:t>
      </w:r>
      <w:r>
        <w:rPr>
          <w:rFonts w:ascii="Trebuchet MS"/>
          <w:color w:val="231F20"/>
          <w:w w:val="105"/>
          <w:sz w:val="20"/>
        </w:rPr>
        <w:t>Victorian</w:t>
      </w:r>
      <w:r>
        <w:rPr>
          <w:rFonts w:ascii="Trebuchet MS"/>
          <w:color w:val="231F20"/>
          <w:spacing w:val="-27"/>
          <w:w w:val="105"/>
          <w:sz w:val="20"/>
        </w:rPr>
        <w:t xml:space="preserve"> </w:t>
      </w:r>
      <w:r>
        <w:rPr>
          <w:rFonts w:ascii="Trebuchet MS"/>
          <w:color w:val="231F20"/>
          <w:spacing w:val="-3"/>
          <w:w w:val="105"/>
          <w:sz w:val="20"/>
        </w:rPr>
        <w:t>Government</w:t>
      </w:r>
      <w:r>
        <w:rPr>
          <w:rFonts w:ascii="Trebuchet MS"/>
          <w:color w:val="231F20"/>
          <w:spacing w:val="-27"/>
          <w:w w:val="105"/>
          <w:sz w:val="20"/>
        </w:rPr>
        <w:t xml:space="preserve"> </w:t>
      </w:r>
      <w:r>
        <w:rPr>
          <w:rFonts w:ascii="Trebuchet MS"/>
          <w:color w:val="231F20"/>
          <w:w w:val="105"/>
          <w:sz w:val="20"/>
        </w:rPr>
        <w:t>should</w:t>
      </w:r>
      <w:r>
        <w:rPr>
          <w:rFonts w:ascii="Trebuchet MS"/>
          <w:color w:val="231F20"/>
          <w:spacing w:val="-27"/>
          <w:w w:val="105"/>
          <w:sz w:val="20"/>
        </w:rPr>
        <w:t xml:space="preserve"> </w:t>
      </w:r>
      <w:r>
        <w:rPr>
          <w:rFonts w:ascii="Trebuchet MS"/>
          <w:color w:val="231F20"/>
          <w:w w:val="105"/>
          <w:sz w:val="20"/>
        </w:rPr>
        <w:t>amend</w:t>
      </w:r>
      <w:r>
        <w:rPr>
          <w:rFonts w:ascii="Trebuchet MS"/>
          <w:color w:val="231F20"/>
          <w:spacing w:val="-27"/>
          <w:w w:val="105"/>
          <w:sz w:val="20"/>
        </w:rPr>
        <w:t xml:space="preserve"> </w:t>
      </w:r>
      <w:r>
        <w:rPr>
          <w:rFonts w:ascii="Trebuchet MS"/>
          <w:color w:val="231F20"/>
          <w:w w:val="105"/>
          <w:sz w:val="20"/>
        </w:rPr>
        <w:t>the</w:t>
      </w:r>
      <w:r>
        <w:rPr>
          <w:rFonts w:ascii="Trebuchet MS"/>
          <w:color w:val="231F20"/>
          <w:spacing w:val="-27"/>
          <w:w w:val="105"/>
          <w:sz w:val="20"/>
        </w:rPr>
        <w:t xml:space="preserve"> </w:t>
      </w:r>
      <w:r>
        <w:rPr>
          <w:rFonts w:ascii="Arial"/>
          <w:i/>
          <w:color w:val="231F20"/>
          <w:w w:val="105"/>
          <w:sz w:val="20"/>
        </w:rPr>
        <w:t>Personal</w:t>
      </w:r>
      <w:r>
        <w:rPr>
          <w:rFonts w:ascii="Arial"/>
          <w:i/>
          <w:color w:val="231F20"/>
          <w:spacing w:val="-23"/>
          <w:w w:val="105"/>
          <w:sz w:val="20"/>
        </w:rPr>
        <w:t xml:space="preserve"> </w:t>
      </w:r>
      <w:r>
        <w:rPr>
          <w:rFonts w:ascii="Arial"/>
          <w:i/>
          <w:color w:val="231F20"/>
          <w:w w:val="105"/>
          <w:sz w:val="20"/>
        </w:rPr>
        <w:t>Safety</w:t>
      </w:r>
      <w:r>
        <w:rPr>
          <w:rFonts w:ascii="Arial"/>
          <w:i/>
          <w:color w:val="231F20"/>
          <w:spacing w:val="-24"/>
          <w:w w:val="105"/>
          <w:sz w:val="20"/>
        </w:rPr>
        <w:t xml:space="preserve"> </w:t>
      </w:r>
      <w:r>
        <w:rPr>
          <w:rFonts w:ascii="Arial"/>
          <w:i/>
          <w:color w:val="231F20"/>
          <w:w w:val="105"/>
          <w:sz w:val="20"/>
        </w:rPr>
        <w:t>Intervention</w:t>
      </w:r>
      <w:r>
        <w:rPr>
          <w:rFonts w:ascii="Arial"/>
          <w:i/>
          <w:color w:val="231F20"/>
          <w:spacing w:val="-23"/>
          <w:w w:val="105"/>
          <w:sz w:val="20"/>
        </w:rPr>
        <w:t xml:space="preserve"> </w:t>
      </w:r>
      <w:r>
        <w:rPr>
          <w:rFonts w:ascii="Arial"/>
          <w:i/>
          <w:color w:val="231F20"/>
          <w:w w:val="105"/>
          <w:sz w:val="20"/>
        </w:rPr>
        <w:t>Orders</w:t>
      </w:r>
      <w:r>
        <w:rPr>
          <w:rFonts w:ascii="Arial"/>
          <w:i/>
          <w:color w:val="231F20"/>
          <w:spacing w:val="-23"/>
          <w:w w:val="105"/>
          <w:sz w:val="20"/>
        </w:rPr>
        <w:t xml:space="preserve"> </w:t>
      </w:r>
      <w:r>
        <w:rPr>
          <w:rFonts w:ascii="Arial"/>
          <w:i/>
          <w:color w:val="231F20"/>
          <w:w w:val="105"/>
          <w:sz w:val="20"/>
        </w:rPr>
        <w:t xml:space="preserve">Act </w:t>
      </w:r>
      <w:r>
        <w:rPr>
          <w:rFonts w:ascii="Arial"/>
          <w:i/>
          <w:color w:val="231F20"/>
          <w:spacing w:val="-3"/>
          <w:w w:val="105"/>
          <w:sz w:val="20"/>
        </w:rPr>
        <w:t>2010</w:t>
      </w:r>
      <w:r>
        <w:rPr>
          <w:rFonts w:ascii="Arial"/>
          <w:i/>
          <w:color w:val="231F20"/>
          <w:spacing w:val="-24"/>
          <w:w w:val="105"/>
          <w:sz w:val="20"/>
        </w:rPr>
        <w:t xml:space="preserve"> </w:t>
      </w:r>
      <w:r>
        <w:rPr>
          <w:rFonts w:ascii="Trebuchet MS"/>
          <w:color w:val="231F20"/>
          <w:w w:val="105"/>
          <w:sz w:val="20"/>
        </w:rPr>
        <w:t>(Vic)</w:t>
      </w:r>
      <w:r>
        <w:rPr>
          <w:rFonts w:ascii="Trebuchet MS"/>
          <w:color w:val="231F20"/>
          <w:spacing w:val="-29"/>
          <w:w w:val="105"/>
          <w:sz w:val="20"/>
        </w:rPr>
        <w:t xml:space="preserve"> </w:t>
      </w:r>
      <w:r>
        <w:rPr>
          <w:rFonts w:ascii="Trebuchet MS"/>
          <w:color w:val="231F20"/>
          <w:w w:val="105"/>
          <w:sz w:val="20"/>
        </w:rPr>
        <w:t>to</w:t>
      </w:r>
      <w:r>
        <w:rPr>
          <w:rFonts w:ascii="Trebuchet MS"/>
          <w:color w:val="231F20"/>
          <w:spacing w:val="-29"/>
          <w:w w:val="105"/>
          <w:sz w:val="20"/>
        </w:rPr>
        <w:t xml:space="preserve"> </w:t>
      </w:r>
      <w:r>
        <w:rPr>
          <w:rFonts w:ascii="Trebuchet MS"/>
          <w:color w:val="231F20"/>
          <w:w w:val="105"/>
          <w:sz w:val="20"/>
        </w:rPr>
        <w:t>include</w:t>
      </w:r>
      <w:r>
        <w:rPr>
          <w:rFonts w:ascii="Trebuchet MS"/>
          <w:color w:val="231F20"/>
          <w:spacing w:val="-29"/>
          <w:w w:val="105"/>
          <w:sz w:val="20"/>
        </w:rPr>
        <w:t xml:space="preserve"> </w:t>
      </w:r>
      <w:r>
        <w:rPr>
          <w:rFonts w:ascii="Trebuchet MS"/>
          <w:color w:val="231F20"/>
          <w:w w:val="105"/>
          <w:sz w:val="20"/>
        </w:rPr>
        <w:t>a</w:t>
      </w:r>
      <w:r>
        <w:rPr>
          <w:rFonts w:ascii="Trebuchet MS"/>
          <w:color w:val="231F20"/>
          <w:spacing w:val="-29"/>
          <w:w w:val="105"/>
          <w:sz w:val="20"/>
        </w:rPr>
        <w:t xml:space="preserve"> </w:t>
      </w:r>
      <w:r>
        <w:rPr>
          <w:rFonts w:ascii="Trebuchet MS"/>
          <w:color w:val="231F20"/>
          <w:spacing w:val="-2"/>
          <w:w w:val="105"/>
          <w:sz w:val="20"/>
        </w:rPr>
        <w:t>provision</w:t>
      </w:r>
      <w:r>
        <w:rPr>
          <w:rFonts w:ascii="Trebuchet MS"/>
          <w:color w:val="231F20"/>
          <w:spacing w:val="-29"/>
          <w:w w:val="105"/>
          <w:sz w:val="20"/>
        </w:rPr>
        <w:t xml:space="preserve"> </w:t>
      </w:r>
      <w:proofErr w:type="gramStart"/>
      <w:r>
        <w:rPr>
          <w:rFonts w:ascii="Trebuchet MS"/>
          <w:color w:val="231F20"/>
          <w:w w:val="105"/>
          <w:sz w:val="20"/>
        </w:rPr>
        <w:t>similar</w:t>
      </w:r>
      <w:r>
        <w:rPr>
          <w:rFonts w:ascii="Trebuchet MS"/>
          <w:color w:val="231F20"/>
          <w:spacing w:val="-29"/>
          <w:w w:val="105"/>
          <w:sz w:val="20"/>
        </w:rPr>
        <w:t xml:space="preserve"> </w:t>
      </w:r>
      <w:r>
        <w:rPr>
          <w:rFonts w:ascii="Trebuchet MS"/>
          <w:color w:val="231F20"/>
          <w:w w:val="105"/>
          <w:sz w:val="20"/>
        </w:rPr>
        <w:t>to</w:t>
      </w:r>
      <w:proofErr w:type="gramEnd"/>
      <w:r>
        <w:rPr>
          <w:rFonts w:ascii="Trebuchet MS"/>
          <w:color w:val="231F20"/>
          <w:spacing w:val="-29"/>
          <w:w w:val="105"/>
          <w:sz w:val="20"/>
        </w:rPr>
        <w:t xml:space="preserve"> </w:t>
      </w:r>
      <w:r>
        <w:rPr>
          <w:rFonts w:ascii="Trebuchet MS"/>
          <w:color w:val="231F20"/>
          <w:w w:val="105"/>
          <w:sz w:val="20"/>
        </w:rPr>
        <w:t>section</w:t>
      </w:r>
      <w:r>
        <w:rPr>
          <w:rFonts w:ascii="Trebuchet MS"/>
          <w:color w:val="231F20"/>
          <w:spacing w:val="-29"/>
          <w:w w:val="105"/>
          <w:sz w:val="20"/>
        </w:rPr>
        <w:t xml:space="preserve"> </w:t>
      </w:r>
      <w:r>
        <w:rPr>
          <w:rFonts w:ascii="Trebuchet MS"/>
          <w:color w:val="231F20"/>
          <w:spacing w:val="-3"/>
          <w:w w:val="105"/>
          <w:sz w:val="20"/>
        </w:rPr>
        <w:t>62</w:t>
      </w:r>
      <w:r>
        <w:rPr>
          <w:rFonts w:ascii="Trebuchet MS"/>
          <w:color w:val="231F20"/>
          <w:spacing w:val="-29"/>
          <w:w w:val="105"/>
          <w:sz w:val="20"/>
        </w:rPr>
        <w:t xml:space="preserve"> </w:t>
      </w:r>
      <w:r>
        <w:rPr>
          <w:rFonts w:ascii="Trebuchet MS"/>
          <w:color w:val="231F20"/>
          <w:w w:val="105"/>
          <w:sz w:val="20"/>
        </w:rPr>
        <w:t>of</w:t>
      </w:r>
      <w:r>
        <w:rPr>
          <w:rFonts w:ascii="Trebuchet MS"/>
          <w:color w:val="231F20"/>
          <w:spacing w:val="-29"/>
          <w:w w:val="105"/>
          <w:sz w:val="20"/>
        </w:rPr>
        <w:t xml:space="preserve"> </w:t>
      </w:r>
      <w:r>
        <w:rPr>
          <w:rFonts w:ascii="Trebuchet MS"/>
          <w:color w:val="231F20"/>
          <w:w w:val="105"/>
          <w:sz w:val="20"/>
        </w:rPr>
        <w:t>the</w:t>
      </w:r>
      <w:r>
        <w:rPr>
          <w:rFonts w:ascii="Trebuchet MS"/>
          <w:color w:val="231F20"/>
          <w:spacing w:val="-29"/>
          <w:w w:val="105"/>
          <w:sz w:val="20"/>
        </w:rPr>
        <w:t xml:space="preserve"> </w:t>
      </w:r>
      <w:r>
        <w:rPr>
          <w:rFonts w:ascii="Arial"/>
          <w:i/>
          <w:color w:val="231F20"/>
          <w:spacing w:val="-3"/>
          <w:w w:val="105"/>
          <w:sz w:val="20"/>
        </w:rPr>
        <w:t>Family</w:t>
      </w:r>
      <w:r>
        <w:rPr>
          <w:rFonts w:ascii="Arial"/>
          <w:i/>
          <w:color w:val="231F20"/>
          <w:spacing w:val="-25"/>
          <w:w w:val="105"/>
          <w:sz w:val="20"/>
        </w:rPr>
        <w:t xml:space="preserve"> </w:t>
      </w:r>
      <w:r>
        <w:rPr>
          <w:rFonts w:ascii="Arial"/>
          <w:i/>
          <w:color w:val="231F20"/>
          <w:w w:val="105"/>
          <w:sz w:val="20"/>
        </w:rPr>
        <w:t>Violence</w:t>
      </w:r>
      <w:r>
        <w:rPr>
          <w:rFonts w:ascii="Arial"/>
          <w:i/>
          <w:color w:val="231F20"/>
          <w:spacing w:val="-25"/>
          <w:w w:val="105"/>
          <w:sz w:val="20"/>
        </w:rPr>
        <w:t xml:space="preserve"> </w:t>
      </w:r>
      <w:r>
        <w:rPr>
          <w:rFonts w:ascii="Arial"/>
          <w:i/>
          <w:color w:val="231F20"/>
          <w:spacing w:val="-3"/>
          <w:w w:val="105"/>
          <w:sz w:val="20"/>
        </w:rPr>
        <w:t xml:space="preserve">Protection </w:t>
      </w:r>
      <w:r>
        <w:rPr>
          <w:rFonts w:ascii="Arial"/>
          <w:i/>
          <w:color w:val="231F20"/>
          <w:spacing w:val="-3"/>
          <w:w w:val="97"/>
          <w:sz w:val="20"/>
        </w:rPr>
        <w:t>A</w:t>
      </w:r>
      <w:r>
        <w:rPr>
          <w:rFonts w:ascii="Arial"/>
          <w:i/>
          <w:color w:val="231F20"/>
          <w:spacing w:val="-3"/>
          <w:w w:val="106"/>
          <w:sz w:val="20"/>
        </w:rPr>
        <w:t>c</w:t>
      </w:r>
      <w:r>
        <w:rPr>
          <w:rFonts w:ascii="Arial"/>
          <w:i/>
          <w:color w:val="231F20"/>
          <w:w w:val="121"/>
          <w:sz w:val="20"/>
        </w:rPr>
        <w:t>t</w:t>
      </w:r>
      <w:r>
        <w:rPr>
          <w:rFonts w:ascii="Arial"/>
          <w:i/>
          <w:color w:val="231F20"/>
          <w:spacing w:val="-11"/>
          <w:sz w:val="20"/>
        </w:rPr>
        <w:t xml:space="preserve"> </w:t>
      </w:r>
      <w:r>
        <w:rPr>
          <w:rFonts w:ascii="Arial"/>
          <w:i/>
          <w:color w:val="231F20"/>
          <w:spacing w:val="-2"/>
          <w:w w:val="92"/>
          <w:sz w:val="20"/>
        </w:rPr>
        <w:t>2</w:t>
      </w:r>
      <w:r>
        <w:rPr>
          <w:rFonts w:ascii="Arial"/>
          <w:i/>
          <w:color w:val="231F20"/>
          <w:spacing w:val="-1"/>
          <w:w w:val="106"/>
          <w:sz w:val="20"/>
        </w:rPr>
        <w:t>00</w:t>
      </w:r>
      <w:r>
        <w:rPr>
          <w:rFonts w:ascii="Arial"/>
          <w:i/>
          <w:color w:val="231F20"/>
          <w:w w:val="103"/>
          <w:sz w:val="20"/>
        </w:rPr>
        <w:t>8</w:t>
      </w:r>
      <w:r>
        <w:rPr>
          <w:rFonts w:ascii="Arial"/>
          <w:i/>
          <w:color w:val="231F20"/>
          <w:spacing w:val="-11"/>
          <w:sz w:val="20"/>
        </w:rPr>
        <w:t xml:space="preserve"> </w:t>
      </w:r>
      <w:r>
        <w:rPr>
          <w:rFonts w:ascii="Trebuchet MS"/>
          <w:color w:val="231F20"/>
          <w:spacing w:val="3"/>
          <w:w w:val="77"/>
          <w:sz w:val="20"/>
        </w:rPr>
        <w:t>(</w:t>
      </w:r>
      <w:r>
        <w:rPr>
          <w:rFonts w:ascii="Trebuchet MS"/>
          <w:color w:val="231F20"/>
          <w:spacing w:val="-1"/>
          <w:w w:val="115"/>
          <w:sz w:val="20"/>
        </w:rPr>
        <w:t>V</w:t>
      </w:r>
      <w:r>
        <w:rPr>
          <w:rFonts w:ascii="Trebuchet MS"/>
          <w:color w:val="231F20"/>
          <w:spacing w:val="-1"/>
          <w:w w:val="80"/>
          <w:sz w:val="20"/>
        </w:rPr>
        <w:t>i</w:t>
      </w:r>
      <w:r>
        <w:rPr>
          <w:rFonts w:ascii="Trebuchet MS"/>
          <w:color w:val="231F20"/>
          <w:spacing w:val="-5"/>
          <w:w w:val="111"/>
          <w:sz w:val="20"/>
        </w:rPr>
        <w:t>c</w:t>
      </w:r>
      <w:r>
        <w:rPr>
          <w:rFonts w:ascii="Trebuchet MS"/>
          <w:color w:val="231F20"/>
          <w:spacing w:val="-7"/>
          <w:w w:val="77"/>
          <w:sz w:val="20"/>
        </w:rPr>
        <w:t>)</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08"/>
          <w:sz w:val="20"/>
        </w:rPr>
        <w:t>e</w:t>
      </w:r>
      <w:r>
        <w:rPr>
          <w:rFonts w:ascii="Trebuchet MS"/>
          <w:color w:val="231F20"/>
          <w:spacing w:val="-2"/>
          <w:w w:val="111"/>
          <w:sz w:val="20"/>
        </w:rPr>
        <w:t>m</w:t>
      </w:r>
      <w:r>
        <w:rPr>
          <w:rFonts w:ascii="Trebuchet MS"/>
          <w:color w:val="231F20"/>
          <w:spacing w:val="-1"/>
          <w:w w:val="111"/>
          <w:sz w:val="20"/>
        </w:rPr>
        <w:t>p</w:t>
      </w:r>
      <w:r>
        <w:rPr>
          <w:rFonts w:ascii="Trebuchet MS"/>
          <w:color w:val="231F20"/>
          <w:spacing w:val="-6"/>
          <w:w w:val="111"/>
          <w:sz w:val="20"/>
        </w:rPr>
        <w:t>o</w:t>
      </w:r>
      <w:r>
        <w:rPr>
          <w:rFonts w:ascii="Trebuchet MS"/>
          <w:color w:val="231F20"/>
          <w:spacing w:val="-6"/>
          <w:w w:val="110"/>
          <w:sz w:val="20"/>
        </w:rPr>
        <w:t>w</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2"/>
          <w:w w:val="93"/>
          <w:sz w:val="20"/>
        </w:rPr>
        <w:t>r</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4"/>
          <w:w w:val="105"/>
          <w:sz w:val="20"/>
        </w:rPr>
        <w:t>a</w:t>
      </w:r>
      <w:r>
        <w:rPr>
          <w:rFonts w:ascii="Trebuchet MS"/>
          <w:color w:val="231F20"/>
          <w:w w:val="88"/>
          <w:sz w:val="20"/>
        </w:rPr>
        <w:t>t</w:t>
      </w:r>
      <w:r>
        <w:rPr>
          <w:rFonts w:ascii="Trebuchet MS"/>
          <w:color w:val="231F20"/>
          <w:spacing w:val="-14"/>
          <w:sz w:val="20"/>
        </w:rPr>
        <w:t xml:space="preserve"> </w:t>
      </w:r>
      <w:r>
        <w:rPr>
          <w:rFonts w:ascii="Trebuchet MS"/>
          <w:color w:val="231F20"/>
          <w:w w:val="105"/>
          <w:sz w:val="20"/>
        </w:rPr>
        <w:t>a</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2"/>
          <w:w w:val="107"/>
          <w:sz w:val="20"/>
        </w:rPr>
        <w:t>h</w:t>
      </w:r>
      <w:r>
        <w:rPr>
          <w:rFonts w:ascii="Trebuchet MS"/>
          <w:color w:val="231F20"/>
          <w:spacing w:val="-2"/>
          <w:w w:val="80"/>
          <w:sz w:val="20"/>
        </w:rPr>
        <w:t>i</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10"/>
          <w:sz w:val="20"/>
        </w:rPr>
        <w:t>w</w:t>
      </w:r>
      <w:r>
        <w:rPr>
          <w:rFonts w:ascii="Trebuchet MS"/>
          <w:color w:val="231F20"/>
          <w:spacing w:val="-1"/>
          <w:w w:val="107"/>
          <w:sz w:val="20"/>
        </w:rPr>
        <w:t>h</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08"/>
          <w:sz w:val="20"/>
        </w:rPr>
        <w:t>e</w:t>
      </w:r>
      <w:r>
        <w:rPr>
          <w:rFonts w:ascii="Trebuchet MS"/>
          <w:color w:val="231F20"/>
          <w:spacing w:val="-3"/>
          <w:w w:val="80"/>
          <w:sz w:val="20"/>
        </w:rPr>
        <w:t>i</w:t>
      </w:r>
      <w:r>
        <w:rPr>
          <w:rFonts w:ascii="Trebuchet MS"/>
          <w:color w:val="231F20"/>
          <w:spacing w:val="-2"/>
          <w:w w:val="88"/>
          <w:sz w:val="20"/>
        </w:rPr>
        <w:t>t</w:t>
      </w:r>
      <w:r>
        <w:rPr>
          <w:rFonts w:ascii="Trebuchet MS"/>
          <w:color w:val="231F20"/>
          <w:spacing w:val="-1"/>
          <w:w w:val="107"/>
          <w:sz w:val="20"/>
        </w:rPr>
        <w:t>h</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105"/>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a</w:t>
      </w:r>
      <w:r>
        <w:rPr>
          <w:rFonts w:ascii="Trebuchet MS"/>
          <w:color w:val="231F20"/>
          <w:spacing w:val="-1"/>
          <w:w w:val="111"/>
          <w:sz w:val="20"/>
        </w:rPr>
        <w:t>p</w:t>
      </w:r>
      <w:r>
        <w:rPr>
          <w:rFonts w:ascii="Trebuchet MS"/>
          <w:color w:val="231F20"/>
          <w:spacing w:val="-2"/>
          <w:w w:val="111"/>
          <w:sz w:val="20"/>
        </w:rPr>
        <w:t>p</w:t>
      </w:r>
      <w:r>
        <w:rPr>
          <w:rFonts w:ascii="Trebuchet MS"/>
          <w:color w:val="231F20"/>
          <w:w w:val="96"/>
          <w:sz w:val="20"/>
        </w:rPr>
        <w:t>l</w:t>
      </w:r>
      <w:r>
        <w:rPr>
          <w:rFonts w:ascii="Trebuchet MS"/>
          <w:color w:val="231F20"/>
          <w:spacing w:val="-1"/>
          <w:w w:val="80"/>
          <w:sz w:val="20"/>
        </w:rPr>
        <w:t>i</w:t>
      </w:r>
      <w:r>
        <w:rPr>
          <w:rFonts w:ascii="Trebuchet MS"/>
          <w:color w:val="231F20"/>
          <w:w w:val="111"/>
          <w:sz w:val="20"/>
        </w:rPr>
        <w:t>c</w:t>
      </w:r>
      <w:r>
        <w:rPr>
          <w:rFonts w:ascii="Trebuchet MS"/>
          <w:color w:val="231F20"/>
          <w:spacing w:val="-2"/>
          <w:w w:val="105"/>
          <w:sz w:val="20"/>
        </w:rPr>
        <w:t>a</w:t>
      </w:r>
      <w:r>
        <w:rPr>
          <w:rFonts w:ascii="Trebuchet MS"/>
          <w:color w:val="231F20"/>
          <w:spacing w:val="-4"/>
          <w:w w:val="107"/>
          <w:sz w:val="20"/>
        </w:rPr>
        <w:t>n</w:t>
      </w:r>
      <w:r>
        <w:rPr>
          <w:rFonts w:ascii="Trebuchet MS"/>
          <w:color w:val="231F20"/>
          <w:w w:val="88"/>
          <w:sz w:val="20"/>
        </w:rPr>
        <w:t xml:space="preserve">t </w:t>
      </w:r>
      <w:r>
        <w:rPr>
          <w:rFonts w:ascii="Trebuchet MS"/>
          <w:color w:val="231F20"/>
          <w:spacing w:val="-1"/>
          <w:w w:val="107"/>
          <w:sz w:val="20"/>
        </w:rPr>
        <w:t>n</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8"/>
          <w:sz w:val="20"/>
        </w:rPr>
        <w:t>e</w:t>
      </w:r>
      <w:r>
        <w:rPr>
          <w:rFonts w:ascii="Trebuchet MS"/>
          <w:color w:val="231F20"/>
          <w:spacing w:val="-14"/>
          <w:sz w:val="20"/>
        </w:rPr>
        <w:t xml:space="preserve"> </w:t>
      </w:r>
      <w:r>
        <w:rPr>
          <w:rFonts w:ascii="Trebuchet MS"/>
          <w:color w:val="231F20"/>
          <w:spacing w:val="-3"/>
          <w:w w:val="96"/>
          <w:sz w:val="20"/>
        </w:rPr>
        <w:t>l</w:t>
      </w:r>
      <w:r>
        <w:rPr>
          <w:rFonts w:ascii="Trebuchet MS"/>
          <w:color w:val="231F20"/>
          <w:w w:val="108"/>
          <w:sz w:val="20"/>
        </w:rPr>
        <w:t>e</w:t>
      </w:r>
      <w:r>
        <w:rPr>
          <w:rFonts w:ascii="Trebuchet MS"/>
          <w:color w:val="231F20"/>
          <w:spacing w:val="-1"/>
          <w:w w:val="124"/>
          <w:sz w:val="20"/>
        </w:rPr>
        <w:t>g</w:t>
      </w:r>
      <w:r>
        <w:rPr>
          <w:rFonts w:ascii="Trebuchet MS"/>
          <w:color w:val="231F20"/>
          <w:spacing w:val="-3"/>
          <w:w w:val="105"/>
          <w:sz w:val="20"/>
        </w:rPr>
        <w:t>a</w:t>
      </w:r>
      <w:r>
        <w:rPr>
          <w:rFonts w:ascii="Trebuchet MS"/>
          <w:color w:val="231F20"/>
          <w:spacing w:val="-2"/>
          <w:w w:val="96"/>
          <w:sz w:val="20"/>
        </w:rPr>
        <w:t>l</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1"/>
          <w:w w:val="108"/>
          <w:sz w:val="20"/>
        </w:rPr>
        <w:t>e</w:t>
      </w:r>
      <w:r>
        <w:rPr>
          <w:rFonts w:ascii="Trebuchet MS"/>
          <w:color w:val="231F20"/>
          <w:spacing w:val="-1"/>
          <w:w w:val="111"/>
          <w:sz w:val="20"/>
        </w:rPr>
        <w:t>p</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w w:val="55"/>
          <w:sz w:val="20"/>
        </w:rPr>
        <w:t>.</w:t>
      </w:r>
    </w:p>
    <w:p w14:paraId="2AFF496C" w14:textId="77777777" w:rsidR="00894070" w:rsidRDefault="009B7AFD">
      <w:pPr>
        <w:pStyle w:val="ListParagraph"/>
        <w:numPr>
          <w:ilvl w:val="0"/>
          <w:numId w:val="191"/>
        </w:numPr>
        <w:tabs>
          <w:tab w:val="left" w:pos="1801"/>
          <w:tab w:val="left" w:pos="1802"/>
        </w:tabs>
        <w:spacing w:before="88" w:line="247" w:lineRule="auto"/>
        <w:ind w:left="1801" w:right="1333"/>
        <w:rPr>
          <w:rFonts w:ascii="Trebuchet MS"/>
          <w:sz w:val="20"/>
        </w:rPr>
      </w:pPr>
      <w:r>
        <w:rPr>
          <w:rFonts w:ascii="Trebuchet MS"/>
          <w:color w:val="231F20"/>
          <w:spacing w:val="-2"/>
          <w:w w:val="105"/>
          <w:sz w:val="20"/>
        </w:rPr>
        <w:t>T</w:t>
      </w:r>
      <w:r>
        <w:rPr>
          <w:rFonts w:ascii="Trebuchet MS"/>
          <w:color w:val="231F20"/>
          <w:spacing w:val="-1"/>
          <w:w w:val="108"/>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96"/>
          <w:sz w:val="20"/>
        </w:rPr>
        <w:t>i</w:t>
      </w:r>
      <w:r>
        <w:rPr>
          <w:rFonts w:ascii="Trebuchet MS"/>
          <w:color w:val="231F20"/>
          <w:spacing w:val="-2"/>
          <w:w w:val="96"/>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7"/>
          <w:sz w:val="20"/>
        </w:rPr>
        <w:t>n</w:t>
      </w:r>
      <w:r>
        <w:rPr>
          <w:rFonts w:ascii="Trebuchet MS"/>
          <w:color w:val="231F20"/>
          <w:spacing w:val="-1"/>
          <w:w w:val="110"/>
          <w:sz w:val="20"/>
        </w:rPr>
        <w:t>me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ho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04"/>
          <w:sz w:val="20"/>
        </w:rPr>
        <w:t>p</w:t>
      </w:r>
      <w:r>
        <w:rPr>
          <w:rFonts w:ascii="Trebuchet MS"/>
          <w:color w:val="231F20"/>
          <w:spacing w:val="-4"/>
          <w:w w:val="104"/>
          <w:sz w:val="20"/>
        </w:rPr>
        <w:t>r</w:t>
      </w:r>
      <w:r>
        <w:rPr>
          <w:rFonts w:ascii="Trebuchet MS"/>
          <w:color w:val="231F20"/>
          <w:spacing w:val="-6"/>
          <w:w w:val="111"/>
          <w:sz w:val="20"/>
        </w:rPr>
        <w:t>o</w:t>
      </w:r>
      <w:r>
        <w:rPr>
          <w:rFonts w:ascii="Trebuchet MS"/>
          <w:color w:val="231F20"/>
          <w:spacing w:val="-2"/>
          <w:w w:val="109"/>
          <w:sz w:val="20"/>
        </w:rPr>
        <w:t>v</w:t>
      </w:r>
      <w:r>
        <w:rPr>
          <w:rFonts w:ascii="Trebuchet MS"/>
          <w:color w:val="231F20"/>
          <w:spacing w:val="-1"/>
          <w:w w:val="101"/>
          <w:sz w:val="20"/>
        </w:rPr>
        <w:t>i</w:t>
      </w:r>
      <w:r>
        <w:rPr>
          <w:rFonts w:ascii="Trebuchet MS"/>
          <w:color w:val="231F20"/>
          <w:spacing w:val="-2"/>
          <w:w w:val="101"/>
          <w:sz w:val="20"/>
        </w:rPr>
        <w:t>d</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92"/>
          <w:sz w:val="20"/>
        </w:rPr>
        <w:t>f</w:t>
      </w:r>
      <w:r>
        <w:rPr>
          <w:rFonts w:ascii="Trebuchet MS"/>
          <w:color w:val="231F20"/>
          <w:spacing w:val="-1"/>
          <w:w w:val="105"/>
          <w:sz w:val="20"/>
        </w:rPr>
        <w:t>und</w:t>
      </w:r>
      <w:r>
        <w:rPr>
          <w:rFonts w:ascii="Trebuchet MS"/>
          <w:color w:val="231F20"/>
          <w:spacing w:val="-2"/>
          <w:w w:val="105"/>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11"/>
          <w:sz w:val="20"/>
        </w:rPr>
        <w:t>mm</w:t>
      </w:r>
      <w:r>
        <w:rPr>
          <w:rFonts w:ascii="Trebuchet MS"/>
          <w:color w:val="231F20"/>
          <w:spacing w:val="-1"/>
          <w:w w:val="108"/>
          <w:sz w:val="20"/>
        </w:rPr>
        <w:t>u</w:t>
      </w:r>
      <w:r>
        <w:rPr>
          <w:rFonts w:ascii="Trebuchet MS"/>
          <w:color w:val="231F20"/>
          <w:spacing w:val="-2"/>
          <w:w w:val="108"/>
          <w:sz w:val="20"/>
        </w:rPr>
        <w:t>n</w:t>
      </w:r>
      <w:r>
        <w:rPr>
          <w:rFonts w:ascii="Trebuchet MS"/>
          <w:color w:val="231F20"/>
          <w:spacing w:val="-3"/>
          <w:w w:val="80"/>
          <w:sz w:val="20"/>
        </w:rPr>
        <w:t>i</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3"/>
          <w:w w:val="96"/>
          <w:sz w:val="20"/>
        </w:rPr>
        <w:t>l</w:t>
      </w:r>
      <w:r>
        <w:rPr>
          <w:rFonts w:ascii="Trebuchet MS"/>
          <w:color w:val="231F20"/>
          <w:w w:val="108"/>
          <w:sz w:val="20"/>
        </w:rPr>
        <w:t>e</w:t>
      </w:r>
      <w:r>
        <w:rPr>
          <w:rFonts w:ascii="Trebuchet MS"/>
          <w:color w:val="231F20"/>
          <w:spacing w:val="-1"/>
          <w:w w:val="124"/>
          <w:sz w:val="20"/>
        </w:rPr>
        <w:t>g</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proofErr w:type="spellStart"/>
      <w:r>
        <w:rPr>
          <w:rFonts w:ascii="Trebuchet MS"/>
          <w:color w:val="231F20"/>
          <w:spacing w:val="-3"/>
          <w:w w:val="111"/>
          <w:sz w:val="20"/>
        </w:rPr>
        <w:t>c</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proofErr w:type="spellEnd"/>
      <w:r>
        <w:rPr>
          <w:rFonts w:ascii="Trebuchet MS"/>
          <w:color w:val="231F20"/>
          <w:w w:val="57"/>
          <w:sz w:val="20"/>
        </w:rPr>
        <w:t xml:space="preserve">, </w:t>
      </w:r>
      <w:r>
        <w:rPr>
          <w:rFonts w:ascii="Trebuchet MS"/>
          <w:color w:val="231F20"/>
          <w:w w:val="105"/>
          <w:sz w:val="20"/>
        </w:rPr>
        <w:t>Aboriginal-controlled</w:t>
      </w:r>
      <w:r>
        <w:rPr>
          <w:rFonts w:ascii="Trebuchet MS"/>
          <w:color w:val="231F20"/>
          <w:spacing w:val="-14"/>
          <w:w w:val="105"/>
          <w:sz w:val="20"/>
        </w:rPr>
        <w:t xml:space="preserve"> </w:t>
      </w:r>
      <w:r>
        <w:rPr>
          <w:rFonts w:ascii="Trebuchet MS"/>
          <w:color w:val="231F20"/>
          <w:w w:val="105"/>
          <w:sz w:val="20"/>
        </w:rPr>
        <w:t>legal</w:t>
      </w:r>
      <w:r>
        <w:rPr>
          <w:rFonts w:ascii="Trebuchet MS"/>
          <w:color w:val="231F20"/>
          <w:spacing w:val="-14"/>
          <w:w w:val="105"/>
          <w:sz w:val="20"/>
        </w:rPr>
        <w:t xml:space="preserve"> </w:t>
      </w:r>
      <w:proofErr w:type="gramStart"/>
      <w:r>
        <w:rPr>
          <w:rFonts w:ascii="Trebuchet MS"/>
          <w:color w:val="231F20"/>
          <w:w w:val="105"/>
          <w:sz w:val="20"/>
        </w:rPr>
        <w:t>services</w:t>
      </w:r>
      <w:proofErr w:type="gramEnd"/>
      <w:r>
        <w:rPr>
          <w:rFonts w:ascii="Trebuchet MS"/>
          <w:color w:val="231F20"/>
          <w:spacing w:val="-14"/>
          <w:w w:val="105"/>
          <w:sz w:val="20"/>
        </w:rPr>
        <w:t xml:space="preserve"> </w:t>
      </w:r>
      <w:r>
        <w:rPr>
          <w:rFonts w:ascii="Trebuchet MS"/>
          <w:color w:val="231F20"/>
          <w:w w:val="105"/>
          <w:sz w:val="20"/>
        </w:rPr>
        <w:t>and</w:t>
      </w:r>
      <w:r>
        <w:rPr>
          <w:rFonts w:ascii="Trebuchet MS"/>
          <w:color w:val="231F20"/>
          <w:spacing w:val="-14"/>
          <w:w w:val="105"/>
          <w:sz w:val="20"/>
        </w:rPr>
        <w:t xml:space="preserve"> </w:t>
      </w:r>
      <w:r>
        <w:rPr>
          <w:rFonts w:ascii="Trebuchet MS"/>
          <w:color w:val="231F20"/>
          <w:w w:val="105"/>
          <w:sz w:val="20"/>
        </w:rPr>
        <w:t>Victoria</w:t>
      </w:r>
      <w:r>
        <w:rPr>
          <w:rFonts w:ascii="Trebuchet MS"/>
          <w:color w:val="231F20"/>
          <w:spacing w:val="-14"/>
          <w:w w:val="105"/>
          <w:sz w:val="20"/>
        </w:rPr>
        <w:t xml:space="preserve"> </w:t>
      </w:r>
      <w:r>
        <w:rPr>
          <w:rFonts w:ascii="Trebuchet MS"/>
          <w:color w:val="231F20"/>
          <w:w w:val="105"/>
          <w:sz w:val="20"/>
        </w:rPr>
        <w:t>Legal</w:t>
      </w:r>
      <w:r>
        <w:rPr>
          <w:rFonts w:ascii="Trebuchet MS"/>
          <w:color w:val="231F20"/>
          <w:spacing w:val="-14"/>
          <w:w w:val="105"/>
          <w:sz w:val="20"/>
        </w:rPr>
        <w:t xml:space="preserve"> </w:t>
      </w:r>
      <w:r>
        <w:rPr>
          <w:rFonts w:ascii="Trebuchet MS"/>
          <w:color w:val="231F20"/>
          <w:w w:val="105"/>
          <w:sz w:val="20"/>
        </w:rPr>
        <w:t>Aid</w:t>
      </w:r>
      <w:r>
        <w:rPr>
          <w:rFonts w:ascii="Trebuchet MS"/>
          <w:color w:val="231F20"/>
          <w:spacing w:val="-13"/>
          <w:w w:val="105"/>
          <w:sz w:val="20"/>
        </w:rPr>
        <w:t xml:space="preserve"> </w:t>
      </w:r>
      <w:r>
        <w:rPr>
          <w:rFonts w:ascii="Trebuchet MS"/>
          <w:color w:val="231F20"/>
          <w:w w:val="105"/>
          <w:sz w:val="20"/>
        </w:rPr>
        <w:t>to</w:t>
      </w:r>
      <w:r>
        <w:rPr>
          <w:rFonts w:ascii="Trebuchet MS"/>
          <w:color w:val="231F20"/>
          <w:spacing w:val="-14"/>
          <w:w w:val="105"/>
          <w:sz w:val="20"/>
        </w:rPr>
        <w:t xml:space="preserve"> </w:t>
      </w:r>
      <w:r>
        <w:rPr>
          <w:rFonts w:ascii="Trebuchet MS"/>
          <w:color w:val="231F20"/>
          <w:w w:val="105"/>
          <w:sz w:val="20"/>
        </w:rPr>
        <w:t>expand</w:t>
      </w:r>
      <w:r>
        <w:rPr>
          <w:rFonts w:ascii="Trebuchet MS"/>
          <w:color w:val="231F20"/>
          <w:spacing w:val="-14"/>
          <w:w w:val="105"/>
          <w:sz w:val="20"/>
        </w:rPr>
        <w:t xml:space="preserve"> </w:t>
      </w:r>
      <w:r>
        <w:rPr>
          <w:rFonts w:ascii="Trebuchet MS"/>
          <w:color w:val="231F20"/>
          <w:w w:val="105"/>
          <w:sz w:val="20"/>
        </w:rPr>
        <w:t>access</w:t>
      </w:r>
      <w:r>
        <w:rPr>
          <w:rFonts w:ascii="Trebuchet MS"/>
          <w:color w:val="231F20"/>
          <w:spacing w:val="-14"/>
          <w:w w:val="105"/>
          <w:sz w:val="20"/>
        </w:rPr>
        <w:t xml:space="preserve"> </w:t>
      </w:r>
      <w:r>
        <w:rPr>
          <w:rFonts w:ascii="Trebuchet MS"/>
          <w:color w:val="231F20"/>
          <w:w w:val="105"/>
          <w:sz w:val="20"/>
        </w:rPr>
        <w:t>to</w:t>
      </w:r>
      <w:r>
        <w:rPr>
          <w:rFonts w:ascii="Trebuchet MS"/>
          <w:color w:val="231F20"/>
          <w:spacing w:val="-14"/>
          <w:w w:val="105"/>
          <w:sz w:val="20"/>
        </w:rPr>
        <w:t xml:space="preserve"> </w:t>
      </w:r>
      <w:r>
        <w:rPr>
          <w:rFonts w:ascii="Trebuchet MS"/>
          <w:color w:val="231F20"/>
          <w:w w:val="105"/>
          <w:sz w:val="20"/>
        </w:rPr>
        <w:t xml:space="preserve">legal advice and representation for child applicants and respondents in relation to non- </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5"/>
          <w:sz w:val="20"/>
        </w:rPr>
        <w:t>.</w:t>
      </w:r>
    </w:p>
    <w:p w14:paraId="1EB087B5" w14:textId="77777777" w:rsidR="00894070" w:rsidRDefault="009B7AFD">
      <w:pPr>
        <w:pStyle w:val="ListParagraph"/>
        <w:numPr>
          <w:ilvl w:val="0"/>
          <w:numId w:val="191"/>
        </w:numPr>
        <w:tabs>
          <w:tab w:val="left" w:pos="1801"/>
          <w:tab w:val="left" w:pos="1802"/>
        </w:tabs>
        <w:spacing w:before="89"/>
        <w:ind w:left="1801"/>
        <w:rPr>
          <w:rFonts w:ascii="Trebuchet MS"/>
          <w:sz w:val="20"/>
        </w:rPr>
      </w:pPr>
      <w:r>
        <w:rPr>
          <w:rFonts w:ascii="Trebuchet MS"/>
          <w:color w:val="231F20"/>
          <w:w w:val="105"/>
          <w:sz w:val="20"/>
        </w:rPr>
        <w:t>The</w:t>
      </w:r>
      <w:r>
        <w:rPr>
          <w:rFonts w:ascii="Trebuchet MS"/>
          <w:color w:val="231F20"/>
          <w:spacing w:val="-18"/>
          <w:w w:val="105"/>
          <w:sz w:val="20"/>
        </w:rPr>
        <w:t xml:space="preserve"> </w:t>
      </w:r>
      <w:r>
        <w:rPr>
          <w:rFonts w:ascii="Trebuchet MS"/>
          <w:color w:val="231F20"/>
          <w:w w:val="105"/>
          <w:sz w:val="20"/>
        </w:rPr>
        <w:t>Victorian</w:t>
      </w:r>
      <w:r>
        <w:rPr>
          <w:rFonts w:ascii="Trebuchet MS"/>
          <w:color w:val="231F20"/>
          <w:spacing w:val="-18"/>
          <w:w w:val="105"/>
          <w:sz w:val="20"/>
        </w:rPr>
        <w:t xml:space="preserve"> </w:t>
      </w:r>
      <w:r>
        <w:rPr>
          <w:rFonts w:ascii="Trebuchet MS"/>
          <w:color w:val="231F20"/>
          <w:spacing w:val="-3"/>
          <w:w w:val="105"/>
          <w:sz w:val="20"/>
        </w:rPr>
        <w:t>Government</w:t>
      </w:r>
      <w:r>
        <w:rPr>
          <w:rFonts w:ascii="Trebuchet MS"/>
          <w:color w:val="231F20"/>
          <w:spacing w:val="-17"/>
          <w:w w:val="105"/>
          <w:sz w:val="20"/>
        </w:rPr>
        <w:t xml:space="preserve"> </w:t>
      </w:r>
      <w:r>
        <w:rPr>
          <w:rFonts w:ascii="Trebuchet MS"/>
          <w:color w:val="231F20"/>
          <w:w w:val="105"/>
          <w:sz w:val="20"/>
        </w:rPr>
        <w:t>should</w:t>
      </w:r>
      <w:r>
        <w:rPr>
          <w:rFonts w:ascii="Trebuchet MS"/>
          <w:color w:val="231F20"/>
          <w:spacing w:val="-18"/>
          <w:w w:val="105"/>
          <w:sz w:val="20"/>
        </w:rPr>
        <w:t xml:space="preserve"> </w:t>
      </w:r>
      <w:r>
        <w:rPr>
          <w:rFonts w:ascii="Trebuchet MS"/>
          <w:color w:val="231F20"/>
          <w:w w:val="105"/>
          <w:sz w:val="20"/>
        </w:rPr>
        <w:t>amend</w:t>
      </w:r>
      <w:r>
        <w:rPr>
          <w:rFonts w:ascii="Trebuchet MS"/>
          <w:color w:val="231F20"/>
          <w:spacing w:val="-18"/>
          <w:w w:val="105"/>
          <w:sz w:val="20"/>
        </w:rPr>
        <w:t xml:space="preserve"> </w:t>
      </w:r>
      <w:r>
        <w:rPr>
          <w:rFonts w:ascii="Trebuchet MS"/>
          <w:color w:val="231F20"/>
          <w:w w:val="105"/>
          <w:sz w:val="20"/>
        </w:rPr>
        <w:t>the</w:t>
      </w:r>
      <w:r>
        <w:rPr>
          <w:rFonts w:ascii="Trebuchet MS"/>
          <w:color w:val="231F20"/>
          <w:spacing w:val="-17"/>
          <w:w w:val="105"/>
          <w:sz w:val="20"/>
        </w:rPr>
        <w:t xml:space="preserve"> </w:t>
      </w:r>
      <w:r>
        <w:rPr>
          <w:rFonts w:ascii="Trebuchet MS"/>
          <w:color w:val="231F20"/>
          <w:w w:val="105"/>
          <w:sz w:val="20"/>
        </w:rPr>
        <w:t>stalking</w:t>
      </w:r>
      <w:r>
        <w:rPr>
          <w:rFonts w:ascii="Trebuchet MS"/>
          <w:color w:val="231F20"/>
          <w:spacing w:val="-18"/>
          <w:w w:val="105"/>
          <w:sz w:val="20"/>
        </w:rPr>
        <w:t xml:space="preserve"> </w:t>
      </w:r>
      <w:r>
        <w:rPr>
          <w:rFonts w:ascii="Trebuchet MS"/>
          <w:color w:val="231F20"/>
          <w:w w:val="105"/>
          <w:sz w:val="20"/>
        </w:rPr>
        <w:t>offence</w:t>
      </w:r>
      <w:r>
        <w:rPr>
          <w:rFonts w:ascii="Trebuchet MS"/>
          <w:color w:val="231F20"/>
          <w:spacing w:val="-18"/>
          <w:w w:val="105"/>
          <w:sz w:val="20"/>
        </w:rPr>
        <w:t xml:space="preserve"> </w:t>
      </w:r>
      <w:r>
        <w:rPr>
          <w:rFonts w:ascii="Trebuchet MS"/>
          <w:color w:val="231F20"/>
          <w:w w:val="105"/>
          <w:sz w:val="20"/>
        </w:rPr>
        <w:t>in</w:t>
      </w:r>
      <w:r>
        <w:rPr>
          <w:rFonts w:ascii="Trebuchet MS"/>
          <w:color w:val="231F20"/>
          <w:spacing w:val="-17"/>
          <w:w w:val="105"/>
          <w:sz w:val="20"/>
        </w:rPr>
        <w:t xml:space="preserve"> </w:t>
      </w:r>
      <w:r>
        <w:rPr>
          <w:rFonts w:ascii="Trebuchet MS"/>
          <w:color w:val="231F20"/>
          <w:w w:val="105"/>
          <w:sz w:val="20"/>
        </w:rPr>
        <w:t>section</w:t>
      </w:r>
      <w:r>
        <w:rPr>
          <w:rFonts w:ascii="Trebuchet MS"/>
          <w:color w:val="231F20"/>
          <w:spacing w:val="-18"/>
          <w:w w:val="105"/>
          <w:sz w:val="20"/>
        </w:rPr>
        <w:t xml:space="preserve"> </w:t>
      </w:r>
      <w:r>
        <w:rPr>
          <w:rFonts w:ascii="Trebuchet MS"/>
          <w:color w:val="231F20"/>
          <w:w w:val="105"/>
          <w:sz w:val="20"/>
        </w:rPr>
        <w:t>21A</w:t>
      </w:r>
      <w:r>
        <w:rPr>
          <w:rFonts w:ascii="Trebuchet MS"/>
          <w:color w:val="231F20"/>
          <w:spacing w:val="-18"/>
          <w:w w:val="105"/>
          <w:sz w:val="20"/>
        </w:rPr>
        <w:t xml:space="preserve"> </w:t>
      </w:r>
      <w:r>
        <w:rPr>
          <w:rFonts w:ascii="Trebuchet MS"/>
          <w:color w:val="231F20"/>
          <w:w w:val="105"/>
          <w:sz w:val="20"/>
        </w:rPr>
        <w:t>of</w:t>
      </w:r>
      <w:r>
        <w:rPr>
          <w:rFonts w:ascii="Trebuchet MS"/>
          <w:color w:val="231F20"/>
          <w:spacing w:val="-17"/>
          <w:w w:val="105"/>
          <w:sz w:val="20"/>
        </w:rPr>
        <w:t xml:space="preserve"> </w:t>
      </w:r>
      <w:r>
        <w:rPr>
          <w:rFonts w:ascii="Trebuchet MS"/>
          <w:color w:val="231F20"/>
          <w:w w:val="105"/>
          <w:sz w:val="20"/>
        </w:rPr>
        <w:t>the</w:t>
      </w:r>
    </w:p>
    <w:p w14:paraId="7552EB90" w14:textId="77777777" w:rsidR="00894070" w:rsidRDefault="009B7AFD">
      <w:pPr>
        <w:pStyle w:val="BodyText"/>
        <w:spacing w:before="7" w:line="336" w:lineRule="auto"/>
        <w:ind w:left="1801" w:right="2822"/>
        <w:rPr>
          <w:rFonts w:ascii="Trebuchet MS"/>
        </w:rPr>
      </w:pPr>
      <w:r>
        <w:rPr>
          <w:rFonts w:ascii="Arial"/>
          <w:i/>
          <w:color w:val="231F20"/>
          <w:spacing w:val="-2"/>
          <w:w w:val="90"/>
        </w:rPr>
        <w:t>C</w:t>
      </w:r>
      <w:r>
        <w:rPr>
          <w:rFonts w:ascii="Arial"/>
          <w:i/>
          <w:color w:val="231F20"/>
          <w:spacing w:val="-3"/>
          <w:w w:val="106"/>
        </w:rPr>
        <w:t>r</w:t>
      </w:r>
      <w:r>
        <w:rPr>
          <w:rFonts w:ascii="Arial"/>
          <w:i/>
          <w:color w:val="231F20"/>
          <w:spacing w:val="-1"/>
          <w:w w:val="101"/>
        </w:rPr>
        <w:t>i</w:t>
      </w:r>
      <w:r>
        <w:rPr>
          <w:rFonts w:ascii="Arial"/>
          <w:i/>
          <w:color w:val="231F20"/>
          <w:spacing w:val="-2"/>
          <w:w w:val="106"/>
        </w:rPr>
        <w:t>m</w:t>
      </w:r>
      <w:r>
        <w:rPr>
          <w:rFonts w:ascii="Arial"/>
          <w:i/>
          <w:color w:val="231F20"/>
          <w:spacing w:val="-1"/>
          <w:w w:val="96"/>
        </w:rPr>
        <w:t>e</w:t>
      </w:r>
      <w:r>
        <w:rPr>
          <w:rFonts w:ascii="Arial"/>
          <w:i/>
          <w:color w:val="231F20"/>
          <w:w w:val="95"/>
        </w:rPr>
        <w:t>s</w:t>
      </w:r>
      <w:r>
        <w:rPr>
          <w:rFonts w:ascii="Arial"/>
          <w:i/>
          <w:color w:val="231F20"/>
          <w:spacing w:val="-11"/>
        </w:rPr>
        <w:t xml:space="preserve"> </w:t>
      </w:r>
      <w:r>
        <w:rPr>
          <w:rFonts w:ascii="Arial"/>
          <w:i/>
          <w:color w:val="231F20"/>
          <w:spacing w:val="-3"/>
          <w:w w:val="97"/>
        </w:rPr>
        <w:t>A</w:t>
      </w:r>
      <w:r>
        <w:rPr>
          <w:rFonts w:ascii="Arial"/>
          <w:i/>
          <w:color w:val="231F20"/>
          <w:spacing w:val="-3"/>
          <w:w w:val="106"/>
        </w:rPr>
        <w:t>c</w:t>
      </w:r>
      <w:r>
        <w:rPr>
          <w:rFonts w:ascii="Arial"/>
          <w:i/>
          <w:color w:val="231F20"/>
          <w:w w:val="121"/>
        </w:rPr>
        <w:t>t</w:t>
      </w:r>
      <w:r>
        <w:rPr>
          <w:rFonts w:ascii="Arial"/>
          <w:i/>
          <w:color w:val="231F20"/>
          <w:spacing w:val="-11"/>
        </w:rPr>
        <w:t xml:space="preserve"> </w:t>
      </w:r>
      <w:r>
        <w:rPr>
          <w:rFonts w:ascii="Arial"/>
          <w:i/>
          <w:color w:val="231F20"/>
          <w:spacing w:val="-4"/>
          <w:w w:val="78"/>
        </w:rPr>
        <w:t>1</w:t>
      </w:r>
      <w:r>
        <w:rPr>
          <w:rFonts w:ascii="Arial"/>
          <w:i/>
          <w:color w:val="231F20"/>
          <w:spacing w:val="1"/>
          <w:w w:val="103"/>
        </w:rPr>
        <w:t>9</w:t>
      </w:r>
      <w:r>
        <w:rPr>
          <w:rFonts w:ascii="Arial"/>
          <w:i/>
          <w:color w:val="231F20"/>
          <w:spacing w:val="-2"/>
          <w:w w:val="99"/>
        </w:rPr>
        <w:t>5</w:t>
      </w:r>
      <w:r>
        <w:rPr>
          <w:rFonts w:ascii="Arial"/>
          <w:i/>
          <w:color w:val="231F20"/>
          <w:w w:val="99"/>
        </w:rPr>
        <w:t>8</w:t>
      </w:r>
      <w:r>
        <w:rPr>
          <w:rFonts w:ascii="Arial"/>
          <w:i/>
          <w:color w:val="231F20"/>
          <w:spacing w:val="-9"/>
        </w:rPr>
        <w:t xml:space="preserve"> </w:t>
      </w:r>
      <w:r>
        <w:rPr>
          <w:rFonts w:ascii="Trebuchet MS"/>
          <w:color w:val="231F20"/>
          <w:spacing w:val="3"/>
          <w:w w:val="77"/>
        </w:rPr>
        <w:t>(</w:t>
      </w:r>
      <w:r>
        <w:rPr>
          <w:rFonts w:ascii="Trebuchet MS"/>
          <w:color w:val="231F20"/>
          <w:spacing w:val="-1"/>
          <w:w w:val="115"/>
        </w:rPr>
        <w:t>V</w:t>
      </w:r>
      <w:r>
        <w:rPr>
          <w:rFonts w:ascii="Trebuchet MS"/>
          <w:color w:val="231F20"/>
          <w:spacing w:val="-1"/>
          <w:w w:val="80"/>
        </w:rPr>
        <w:t>i</w:t>
      </w:r>
      <w:r>
        <w:rPr>
          <w:rFonts w:ascii="Trebuchet MS"/>
          <w:color w:val="231F20"/>
          <w:spacing w:val="-5"/>
          <w:w w:val="111"/>
        </w:rPr>
        <w:t>c</w:t>
      </w:r>
      <w:r>
        <w:rPr>
          <w:rFonts w:ascii="Trebuchet MS"/>
          <w:color w:val="231F20"/>
          <w:w w:val="77"/>
        </w:rPr>
        <w:t>)</w:t>
      </w:r>
      <w:r>
        <w:rPr>
          <w:rFonts w:ascii="Trebuchet MS"/>
          <w:color w:val="231F20"/>
          <w:spacing w:val="-14"/>
        </w:rPr>
        <w:t xml:space="preserve"> </w:t>
      </w:r>
      <w:r>
        <w:rPr>
          <w:rFonts w:ascii="Trebuchet MS"/>
          <w:color w:val="231F20"/>
          <w:spacing w:val="-4"/>
          <w:w w:val="88"/>
        </w:rPr>
        <w:t>t</w:t>
      </w:r>
      <w:r>
        <w:rPr>
          <w:rFonts w:ascii="Trebuchet MS"/>
          <w:color w:val="231F20"/>
          <w:w w:val="111"/>
        </w:rPr>
        <w:t>o</w:t>
      </w:r>
      <w:r>
        <w:rPr>
          <w:rFonts w:ascii="Trebuchet MS"/>
          <w:color w:val="231F20"/>
          <w:spacing w:val="-14"/>
        </w:rPr>
        <w:t xml:space="preserve"> </w:t>
      </w:r>
      <w:r>
        <w:rPr>
          <w:rFonts w:ascii="Trebuchet MS"/>
          <w:color w:val="231F20"/>
          <w:spacing w:val="-2"/>
          <w:w w:val="80"/>
        </w:rPr>
        <w:t>i</w:t>
      </w:r>
      <w:r>
        <w:rPr>
          <w:rFonts w:ascii="Trebuchet MS"/>
          <w:color w:val="231F20"/>
          <w:spacing w:val="-2"/>
          <w:w w:val="111"/>
        </w:rPr>
        <w:t>m</w:t>
      </w:r>
      <w:r>
        <w:rPr>
          <w:rFonts w:ascii="Trebuchet MS"/>
          <w:color w:val="231F20"/>
          <w:spacing w:val="-1"/>
          <w:w w:val="111"/>
        </w:rPr>
        <w:t>p</w:t>
      </w:r>
      <w:r>
        <w:rPr>
          <w:rFonts w:ascii="Trebuchet MS"/>
          <w:color w:val="231F20"/>
          <w:spacing w:val="-4"/>
          <w:w w:val="93"/>
        </w:rPr>
        <w:t>r</w:t>
      </w:r>
      <w:r>
        <w:rPr>
          <w:rFonts w:ascii="Trebuchet MS"/>
          <w:color w:val="231F20"/>
          <w:spacing w:val="-6"/>
          <w:w w:val="111"/>
        </w:rPr>
        <w:t>o</w:t>
      </w:r>
      <w:r>
        <w:rPr>
          <w:rFonts w:ascii="Trebuchet MS"/>
          <w:color w:val="231F20"/>
          <w:spacing w:val="-6"/>
          <w:w w:val="109"/>
        </w:rPr>
        <w:t>v</w:t>
      </w:r>
      <w:r>
        <w:rPr>
          <w:rFonts w:ascii="Trebuchet MS"/>
          <w:color w:val="231F20"/>
          <w:w w:val="108"/>
        </w:rPr>
        <w:t>e</w:t>
      </w:r>
      <w:r>
        <w:rPr>
          <w:rFonts w:ascii="Trebuchet MS"/>
          <w:color w:val="231F20"/>
          <w:spacing w:val="-14"/>
        </w:rPr>
        <w:t xml:space="preserve"> </w:t>
      </w:r>
      <w:r>
        <w:rPr>
          <w:rFonts w:ascii="Trebuchet MS"/>
          <w:color w:val="231F20"/>
          <w:spacing w:val="-3"/>
          <w:w w:val="80"/>
        </w:rPr>
        <w:t>i</w:t>
      </w:r>
      <w:r>
        <w:rPr>
          <w:rFonts w:ascii="Trebuchet MS"/>
          <w:color w:val="231F20"/>
          <w:spacing w:val="2"/>
          <w:w w:val="88"/>
        </w:rPr>
        <w:t>t</w:t>
      </w:r>
      <w:r>
        <w:rPr>
          <w:rFonts w:ascii="Trebuchet MS"/>
          <w:color w:val="231F20"/>
          <w:w w:val="122"/>
        </w:rPr>
        <w:t>s</w:t>
      </w:r>
      <w:r>
        <w:rPr>
          <w:rFonts w:ascii="Trebuchet MS"/>
          <w:color w:val="231F20"/>
          <w:spacing w:val="-14"/>
        </w:rPr>
        <w:t xml:space="preserve"> </w:t>
      </w:r>
      <w:r>
        <w:rPr>
          <w:rFonts w:ascii="Trebuchet MS"/>
          <w:color w:val="231F20"/>
          <w:spacing w:val="-3"/>
          <w:w w:val="111"/>
        </w:rPr>
        <w:t>c</w:t>
      </w:r>
      <w:r>
        <w:rPr>
          <w:rFonts w:ascii="Trebuchet MS"/>
          <w:color w:val="231F20"/>
          <w:spacing w:val="1"/>
          <w:w w:val="96"/>
        </w:rPr>
        <w:t>l</w:t>
      </w:r>
      <w:r>
        <w:rPr>
          <w:rFonts w:ascii="Trebuchet MS"/>
          <w:color w:val="231F20"/>
          <w:spacing w:val="-2"/>
          <w:w w:val="105"/>
        </w:rPr>
        <w:t>a</w:t>
      </w:r>
      <w:r>
        <w:rPr>
          <w:rFonts w:ascii="Trebuchet MS"/>
          <w:color w:val="231F20"/>
          <w:spacing w:val="-2"/>
          <w:w w:val="93"/>
        </w:rPr>
        <w:t>r</w:t>
      </w:r>
      <w:r>
        <w:rPr>
          <w:rFonts w:ascii="Trebuchet MS"/>
          <w:color w:val="231F20"/>
          <w:spacing w:val="-3"/>
          <w:w w:val="80"/>
        </w:rPr>
        <w:t>i</w:t>
      </w:r>
      <w:r>
        <w:rPr>
          <w:rFonts w:ascii="Trebuchet MS"/>
          <w:color w:val="231F20"/>
          <w:w w:val="88"/>
        </w:rPr>
        <w:t>t</w:t>
      </w:r>
      <w:r>
        <w:rPr>
          <w:rFonts w:ascii="Trebuchet MS"/>
          <w:color w:val="231F20"/>
          <w:w w:val="110"/>
        </w:rPr>
        <w:t>y</w:t>
      </w:r>
      <w:r>
        <w:rPr>
          <w:rFonts w:ascii="Trebuchet MS"/>
          <w:color w:val="231F20"/>
          <w:spacing w:val="-14"/>
        </w:rPr>
        <w:t xml:space="preserve"> </w:t>
      </w:r>
      <w:r>
        <w:rPr>
          <w:rFonts w:ascii="Trebuchet MS"/>
          <w:color w:val="231F20"/>
          <w:spacing w:val="-2"/>
          <w:w w:val="105"/>
        </w:rPr>
        <w:t>a</w:t>
      </w:r>
      <w:r>
        <w:rPr>
          <w:rFonts w:ascii="Trebuchet MS"/>
          <w:color w:val="231F20"/>
          <w:spacing w:val="-1"/>
          <w:w w:val="107"/>
        </w:rPr>
        <w:t>n</w:t>
      </w:r>
      <w:r>
        <w:rPr>
          <w:rFonts w:ascii="Trebuchet MS"/>
          <w:color w:val="231F20"/>
          <w:w w:val="112"/>
        </w:rPr>
        <w:t>d</w:t>
      </w:r>
      <w:r>
        <w:rPr>
          <w:rFonts w:ascii="Trebuchet MS"/>
          <w:color w:val="231F20"/>
          <w:spacing w:val="-14"/>
        </w:rPr>
        <w:t xml:space="preserve"> </w:t>
      </w:r>
      <w:r>
        <w:rPr>
          <w:rFonts w:ascii="Trebuchet MS"/>
          <w:color w:val="231F20"/>
          <w:spacing w:val="-1"/>
          <w:w w:val="111"/>
        </w:rPr>
        <w:t>p</w:t>
      </w:r>
      <w:r>
        <w:rPr>
          <w:rFonts w:ascii="Trebuchet MS"/>
          <w:color w:val="231F20"/>
          <w:spacing w:val="-2"/>
          <w:w w:val="93"/>
        </w:rPr>
        <w:t>r</w:t>
      </w:r>
      <w:r>
        <w:rPr>
          <w:rFonts w:ascii="Trebuchet MS"/>
          <w:color w:val="231F20"/>
          <w:spacing w:val="-2"/>
          <w:w w:val="108"/>
        </w:rPr>
        <w:t>ac</w:t>
      </w:r>
      <w:r>
        <w:rPr>
          <w:rFonts w:ascii="Trebuchet MS"/>
          <w:color w:val="231F20"/>
          <w:spacing w:val="-2"/>
          <w:w w:val="88"/>
        </w:rPr>
        <w:t>t</w:t>
      </w:r>
      <w:r>
        <w:rPr>
          <w:rFonts w:ascii="Trebuchet MS"/>
          <w:color w:val="231F20"/>
          <w:spacing w:val="-1"/>
          <w:w w:val="80"/>
        </w:rPr>
        <w:t>i</w:t>
      </w:r>
      <w:r>
        <w:rPr>
          <w:rFonts w:ascii="Trebuchet MS"/>
          <w:color w:val="231F20"/>
          <w:w w:val="111"/>
        </w:rPr>
        <w:t>c</w:t>
      </w:r>
      <w:r>
        <w:rPr>
          <w:rFonts w:ascii="Trebuchet MS"/>
          <w:color w:val="231F20"/>
          <w:spacing w:val="-3"/>
          <w:w w:val="105"/>
        </w:rPr>
        <w:t>a</w:t>
      </w:r>
      <w:r>
        <w:rPr>
          <w:rFonts w:ascii="Trebuchet MS"/>
          <w:color w:val="231F20"/>
          <w:w w:val="96"/>
        </w:rPr>
        <w:t>l</w:t>
      </w:r>
      <w:r>
        <w:rPr>
          <w:rFonts w:ascii="Trebuchet MS"/>
          <w:color w:val="231F20"/>
          <w:spacing w:val="-14"/>
        </w:rPr>
        <w:t xml:space="preserve"> </w:t>
      </w:r>
      <w:r>
        <w:rPr>
          <w:rFonts w:ascii="Trebuchet MS"/>
          <w:color w:val="231F20"/>
          <w:spacing w:val="-1"/>
          <w:w w:val="105"/>
        </w:rPr>
        <w:t>a</w:t>
      </w:r>
      <w:r>
        <w:rPr>
          <w:rFonts w:ascii="Trebuchet MS"/>
          <w:color w:val="231F20"/>
          <w:spacing w:val="-1"/>
          <w:w w:val="111"/>
        </w:rPr>
        <w:t>p</w:t>
      </w:r>
      <w:r>
        <w:rPr>
          <w:rFonts w:ascii="Trebuchet MS"/>
          <w:color w:val="231F20"/>
          <w:spacing w:val="-2"/>
          <w:w w:val="111"/>
        </w:rPr>
        <w:t>p</w:t>
      </w:r>
      <w:r>
        <w:rPr>
          <w:rFonts w:ascii="Trebuchet MS"/>
          <w:color w:val="231F20"/>
          <w:w w:val="96"/>
        </w:rPr>
        <w:t>l</w:t>
      </w:r>
      <w:r>
        <w:rPr>
          <w:rFonts w:ascii="Trebuchet MS"/>
          <w:color w:val="231F20"/>
          <w:spacing w:val="-1"/>
          <w:w w:val="80"/>
        </w:rPr>
        <w:t>i</w:t>
      </w:r>
      <w:r>
        <w:rPr>
          <w:rFonts w:ascii="Trebuchet MS"/>
          <w:color w:val="231F20"/>
          <w:w w:val="111"/>
        </w:rPr>
        <w:t>c</w:t>
      </w:r>
      <w:r>
        <w:rPr>
          <w:rFonts w:ascii="Trebuchet MS"/>
          <w:color w:val="231F20"/>
          <w:spacing w:val="-4"/>
          <w:w w:val="105"/>
        </w:rPr>
        <w:t>a</w:t>
      </w:r>
      <w:r>
        <w:rPr>
          <w:rFonts w:ascii="Trebuchet MS"/>
          <w:color w:val="231F20"/>
          <w:spacing w:val="-2"/>
          <w:w w:val="88"/>
        </w:rPr>
        <w:t>t</w:t>
      </w:r>
      <w:r>
        <w:rPr>
          <w:rFonts w:ascii="Trebuchet MS"/>
          <w:color w:val="231F20"/>
          <w:spacing w:val="-1"/>
          <w:w w:val="80"/>
        </w:rPr>
        <w:t>i</w:t>
      </w:r>
      <w:r>
        <w:rPr>
          <w:rFonts w:ascii="Trebuchet MS"/>
          <w:color w:val="231F20"/>
          <w:spacing w:val="-1"/>
          <w:w w:val="111"/>
        </w:rPr>
        <w:t>o</w:t>
      </w:r>
      <w:r>
        <w:rPr>
          <w:rFonts w:ascii="Trebuchet MS"/>
          <w:color w:val="231F20"/>
          <w:spacing w:val="-1"/>
          <w:w w:val="107"/>
        </w:rPr>
        <w:t>n</w:t>
      </w:r>
      <w:r>
        <w:rPr>
          <w:rFonts w:ascii="Trebuchet MS"/>
          <w:color w:val="231F20"/>
          <w:w w:val="55"/>
        </w:rPr>
        <w:t xml:space="preserve">. </w:t>
      </w:r>
      <w:r>
        <w:rPr>
          <w:rFonts w:ascii="Trebuchet MS"/>
          <w:color w:val="231F20"/>
          <w:spacing w:val="-2"/>
          <w:w w:val="105"/>
        </w:rPr>
        <w:t>T</w:t>
      </w:r>
      <w:r>
        <w:rPr>
          <w:rFonts w:ascii="Trebuchet MS"/>
          <w:color w:val="231F20"/>
          <w:spacing w:val="-1"/>
          <w:w w:val="108"/>
        </w:rPr>
        <w:t>h</w:t>
      </w:r>
      <w:r>
        <w:rPr>
          <w:rFonts w:ascii="Trebuchet MS"/>
          <w:color w:val="231F20"/>
          <w:w w:val="108"/>
        </w:rPr>
        <w:t>e</w:t>
      </w:r>
      <w:r>
        <w:rPr>
          <w:rFonts w:ascii="Trebuchet MS"/>
          <w:color w:val="231F20"/>
          <w:spacing w:val="-14"/>
        </w:rPr>
        <w:t xml:space="preserve"> </w:t>
      </w:r>
      <w:r>
        <w:rPr>
          <w:rFonts w:ascii="Trebuchet MS"/>
          <w:color w:val="231F20"/>
          <w:spacing w:val="-2"/>
          <w:w w:val="105"/>
        </w:rPr>
        <w:t>a</w:t>
      </w:r>
      <w:r>
        <w:rPr>
          <w:rFonts w:ascii="Trebuchet MS"/>
          <w:color w:val="231F20"/>
          <w:spacing w:val="-1"/>
          <w:w w:val="110"/>
        </w:rPr>
        <w:t>mendme</w:t>
      </w:r>
      <w:r>
        <w:rPr>
          <w:rFonts w:ascii="Trebuchet MS"/>
          <w:color w:val="231F20"/>
          <w:spacing w:val="-4"/>
          <w:w w:val="107"/>
        </w:rPr>
        <w:t>n</w:t>
      </w:r>
      <w:r>
        <w:rPr>
          <w:rFonts w:ascii="Trebuchet MS"/>
          <w:color w:val="231F20"/>
          <w:spacing w:val="2"/>
          <w:w w:val="88"/>
        </w:rPr>
        <w:t>t</w:t>
      </w:r>
      <w:r>
        <w:rPr>
          <w:rFonts w:ascii="Trebuchet MS"/>
          <w:color w:val="231F20"/>
          <w:w w:val="122"/>
        </w:rPr>
        <w:t>s</w:t>
      </w:r>
      <w:r>
        <w:rPr>
          <w:rFonts w:ascii="Trebuchet MS"/>
          <w:color w:val="231F20"/>
          <w:spacing w:val="-14"/>
        </w:rPr>
        <w:t xml:space="preserve"> </w:t>
      </w:r>
      <w:r>
        <w:rPr>
          <w:rFonts w:ascii="Trebuchet MS"/>
          <w:color w:val="231F20"/>
          <w:spacing w:val="-2"/>
          <w:w w:val="122"/>
        </w:rPr>
        <w:t>s</w:t>
      </w:r>
      <w:r>
        <w:rPr>
          <w:rFonts w:ascii="Trebuchet MS"/>
          <w:color w:val="231F20"/>
          <w:spacing w:val="-1"/>
          <w:w w:val="109"/>
        </w:rPr>
        <w:t>ho</w:t>
      </w:r>
      <w:r>
        <w:rPr>
          <w:rFonts w:ascii="Trebuchet MS"/>
          <w:color w:val="231F20"/>
          <w:spacing w:val="-2"/>
          <w:w w:val="109"/>
        </w:rPr>
        <w:t>u</w:t>
      </w:r>
      <w:r>
        <w:rPr>
          <w:rFonts w:ascii="Trebuchet MS"/>
          <w:color w:val="231F20"/>
          <w:spacing w:val="-3"/>
          <w:w w:val="96"/>
        </w:rPr>
        <w:t>l</w:t>
      </w:r>
      <w:r>
        <w:rPr>
          <w:rFonts w:ascii="Trebuchet MS"/>
          <w:color w:val="231F20"/>
          <w:spacing w:val="-3"/>
          <w:w w:val="112"/>
        </w:rPr>
        <w:t>d</w:t>
      </w:r>
      <w:r>
        <w:rPr>
          <w:rFonts w:ascii="Trebuchet MS"/>
          <w:color w:val="231F20"/>
          <w:w w:val="54"/>
        </w:rPr>
        <w:t>:</w:t>
      </w:r>
    </w:p>
    <w:p w14:paraId="0923F817" w14:textId="77777777" w:rsidR="00894070" w:rsidRDefault="009B7AFD">
      <w:pPr>
        <w:pStyle w:val="ListParagraph"/>
        <w:numPr>
          <w:ilvl w:val="1"/>
          <w:numId w:val="191"/>
        </w:numPr>
        <w:tabs>
          <w:tab w:val="left" w:pos="2481"/>
          <w:tab w:val="left" w:pos="2482"/>
        </w:tabs>
        <w:spacing w:line="247" w:lineRule="auto"/>
        <w:ind w:left="2481" w:right="1393" w:hanging="674"/>
        <w:rPr>
          <w:rFonts w:ascii="Trebuchet MS" w:hAnsi="Trebuchet MS"/>
          <w:sz w:val="20"/>
        </w:rPr>
      </w:pPr>
      <w:r>
        <w:rPr>
          <w:rFonts w:ascii="Trebuchet MS" w:hAnsi="Trebuchet MS"/>
          <w:color w:val="231F20"/>
          <w:spacing w:val="-3"/>
          <w:w w:val="111"/>
          <w:sz w:val="20"/>
        </w:rPr>
        <w:t>c</w:t>
      </w:r>
      <w:r>
        <w:rPr>
          <w:rFonts w:ascii="Trebuchet MS" w:hAnsi="Trebuchet MS"/>
          <w:color w:val="231F20"/>
          <w:spacing w:val="1"/>
          <w:w w:val="96"/>
          <w:sz w:val="20"/>
        </w:rPr>
        <w:t>l</w:t>
      </w:r>
      <w:r>
        <w:rPr>
          <w:rFonts w:ascii="Trebuchet MS" w:hAnsi="Trebuchet MS"/>
          <w:color w:val="231F20"/>
          <w:spacing w:val="-2"/>
          <w:w w:val="105"/>
          <w:sz w:val="20"/>
        </w:rPr>
        <w:t>a</w:t>
      </w:r>
      <w:r>
        <w:rPr>
          <w:rFonts w:ascii="Trebuchet MS" w:hAnsi="Trebuchet MS"/>
          <w:color w:val="231F20"/>
          <w:spacing w:val="-2"/>
          <w:w w:val="93"/>
          <w:sz w:val="20"/>
        </w:rPr>
        <w:t>r</w:t>
      </w:r>
      <w:r>
        <w:rPr>
          <w:rFonts w:ascii="Trebuchet MS" w:hAnsi="Trebuchet MS"/>
          <w:color w:val="231F20"/>
          <w:spacing w:val="-3"/>
          <w:w w:val="80"/>
          <w:sz w:val="20"/>
        </w:rPr>
        <w:t>i</w:t>
      </w:r>
      <w:r>
        <w:rPr>
          <w:rFonts w:ascii="Trebuchet MS" w:hAnsi="Trebuchet MS"/>
          <w:color w:val="231F20"/>
          <w:spacing w:val="3"/>
          <w:w w:val="92"/>
          <w:sz w:val="20"/>
        </w:rPr>
        <w:t>f</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2"/>
          <w:w w:val="105"/>
          <w:sz w:val="20"/>
        </w:rPr>
        <w:t>a</w:t>
      </w:r>
      <w:r>
        <w:rPr>
          <w:rFonts w:ascii="Trebuchet MS" w:hAnsi="Trebuchet MS"/>
          <w:color w:val="231F20"/>
          <w:spacing w:val="-2"/>
          <w:w w:val="107"/>
          <w:sz w:val="20"/>
        </w:rPr>
        <w:t>n</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6"/>
          <w:w w:val="56"/>
          <w:sz w:val="20"/>
        </w:rPr>
        <w:t>‘</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1"/>
          <w:w w:val="109"/>
          <w:sz w:val="20"/>
        </w:rPr>
        <w:t>u</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1"/>
          <w:w w:val="107"/>
          <w:sz w:val="20"/>
        </w:rPr>
        <w:t>n</w:t>
      </w:r>
      <w:r>
        <w:rPr>
          <w:rFonts w:ascii="Trebuchet MS" w:hAnsi="Trebuchet MS"/>
          <w:color w:val="231F20"/>
          <w:spacing w:val="-2"/>
          <w:w w:val="112"/>
          <w:sz w:val="20"/>
        </w:rPr>
        <w:t>d</w:t>
      </w:r>
      <w:r>
        <w:rPr>
          <w:rFonts w:ascii="Trebuchet MS" w:hAnsi="Trebuchet MS"/>
          <w:color w:val="231F20"/>
          <w:spacing w:val="-2"/>
          <w:w w:val="109"/>
          <w:sz w:val="20"/>
        </w:rPr>
        <w:t>u</w:t>
      </w:r>
      <w:r>
        <w:rPr>
          <w:rFonts w:ascii="Trebuchet MS" w:hAnsi="Trebuchet MS"/>
          <w:color w:val="231F20"/>
          <w:spacing w:val="-2"/>
          <w:w w:val="111"/>
          <w:sz w:val="20"/>
        </w:rPr>
        <w:t>c</w:t>
      </w:r>
      <w:r>
        <w:rPr>
          <w:rFonts w:ascii="Trebuchet MS" w:hAnsi="Trebuchet MS"/>
          <w:color w:val="231F20"/>
          <w:w w:val="88"/>
          <w:sz w:val="20"/>
        </w:rPr>
        <w:t>t</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08"/>
          <w:sz w:val="20"/>
        </w:rPr>
        <w:t>e</w:t>
      </w:r>
      <w:r>
        <w:rPr>
          <w:rFonts w:ascii="Trebuchet MS" w:hAnsi="Trebuchet MS"/>
          <w:color w:val="231F20"/>
          <w:spacing w:val="-3"/>
          <w:w w:val="96"/>
          <w:sz w:val="20"/>
        </w:rPr>
        <w:t>l</w:t>
      </w:r>
      <w:r>
        <w:rPr>
          <w:rFonts w:ascii="Trebuchet MS" w:hAnsi="Trebuchet MS"/>
          <w:color w:val="231F20"/>
          <w:spacing w:val="-1"/>
          <w:w w:val="108"/>
          <w:sz w:val="20"/>
        </w:rPr>
        <w:t>e</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1"/>
          <w:w w:val="111"/>
          <w:sz w:val="20"/>
        </w:rPr>
        <w:t>b</w:t>
      </w:r>
      <w:r>
        <w:rPr>
          <w:rFonts w:ascii="Trebuchet MS" w:hAnsi="Trebuchet MS"/>
          <w:color w:val="231F20"/>
          <w:w w:val="105"/>
          <w:sz w:val="20"/>
        </w:rPr>
        <w:t>a</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2"/>
          <w:w w:val="105"/>
          <w:sz w:val="20"/>
        </w:rPr>
        <w:t>a</w:t>
      </w:r>
      <w:r>
        <w:rPr>
          <w:rFonts w:ascii="Trebuchet MS" w:hAnsi="Trebuchet MS"/>
          <w:color w:val="231F20"/>
          <w:spacing w:val="-2"/>
          <w:w w:val="111"/>
          <w:sz w:val="20"/>
        </w:rPr>
        <w:t>b</w:t>
      </w:r>
      <w:r>
        <w:rPr>
          <w:rFonts w:ascii="Trebuchet MS" w:hAnsi="Trebuchet MS"/>
          <w:color w:val="231F20"/>
          <w:w w:val="96"/>
          <w:sz w:val="20"/>
        </w:rPr>
        <w:t>l</w:t>
      </w:r>
      <w:r>
        <w:rPr>
          <w:rFonts w:ascii="Trebuchet MS" w:hAnsi="Trebuchet MS"/>
          <w:color w:val="231F20"/>
          <w:spacing w:val="-1"/>
          <w:w w:val="80"/>
          <w:sz w:val="20"/>
        </w:rPr>
        <w:t>i</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w w:val="112"/>
          <w:sz w:val="20"/>
        </w:rPr>
        <w:t xml:space="preserve">d </w:t>
      </w:r>
      <w:r>
        <w:rPr>
          <w:rFonts w:ascii="Trebuchet MS" w:hAnsi="Trebuchet MS"/>
          <w:color w:val="231F20"/>
          <w:w w:val="105"/>
          <w:sz w:val="20"/>
        </w:rPr>
        <w:t>case law</w:t>
      </w:r>
      <w:r>
        <w:rPr>
          <w:rFonts w:ascii="Trebuchet MS" w:hAnsi="Trebuchet MS"/>
          <w:color w:val="231F20"/>
          <w:spacing w:val="-34"/>
          <w:w w:val="105"/>
          <w:sz w:val="20"/>
        </w:rPr>
        <w:t xml:space="preserve"> </w:t>
      </w:r>
      <w:r>
        <w:rPr>
          <w:rFonts w:ascii="Trebuchet MS" w:hAnsi="Trebuchet MS"/>
          <w:color w:val="231F20"/>
          <w:w w:val="105"/>
          <w:sz w:val="20"/>
        </w:rPr>
        <w:t>principles</w:t>
      </w:r>
    </w:p>
    <w:p w14:paraId="43F138BC" w14:textId="77777777" w:rsidR="00894070" w:rsidRDefault="009B7AFD">
      <w:pPr>
        <w:pStyle w:val="ListParagraph"/>
        <w:numPr>
          <w:ilvl w:val="1"/>
          <w:numId w:val="191"/>
        </w:numPr>
        <w:tabs>
          <w:tab w:val="left" w:pos="2481"/>
          <w:tab w:val="left" w:pos="2482"/>
        </w:tabs>
        <w:spacing w:before="122" w:line="247" w:lineRule="auto"/>
        <w:ind w:left="2481" w:right="1262" w:hanging="674"/>
        <w:rPr>
          <w:rFonts w:ascii="Trebuchet MS" w:hAnsi="Trebuchet MS"/>
          <w:sz w:val="20"/>
        </w:rPr>
      </w:pPr>
      <w:r>
        <w:rPr>
          <w:rFonts w:ascii="Trebuchet MS" w:hAnsi="Trebuchet MS"/>
          <w:color w:val="231F20"/>
          <w:sz w:val="20"/>
        </w:rPr>
        <w:t xml:space="preserve">redraft the offence to </w:t>
      </w:r>
      <w:r>
        <w:rPr>
          <w:rFonts w:ascii="Trebuchet MS" w:hAnsi="Trebuchet MS"/>
          <w:color w:val="231F20"/>
          <w:spacing w:val="-3"/>
          <w:sz w:val="20"/>
        </w:rPr>
        <w:t xml:space="preserve">create </w:t>
      </w:r>
      <w:r>
        <w:rPr>
          <w:rFonts w:ascii="Trebuchet MS" w:hAnsi="Trebuchet MS"/>
          <w:color w:val="231F20"/>
          <w:sz w:val="20"/>
        </w:rPr>
        <w:t xml:space="preserve">three offences based on intentional, reckless and </w:t>
      </w:r>
      <w:r>
        <w:rPr>
          <w:rFonts w:ascii="Trebuchet MS" w:hAnsi="Trebuchet MS"/>
          <w:color w:val="231F20"/>
          <w:spacing w:val="-6"/>
          <w:w w:val="56"/>
          <w:sz w:val="20"/>
        </w:rPr>
        <w:t>‘</w:t>
      </w:r>
      <w:r>
        <w:rPr>
          <w:rFonts w:ascii="Trebuchet MS" w:hAnsi="Trebuchet MS"/>
          <w:color w:val="231F20"/>
          <w:spacing w:val="-1"/>
          <w:w w:val="111"/>
          <w:sz w:val="20"/>
        </w:rPr>
        <w:t>o</w:t>
      </w:r>
      <w:r>
        <w:rPr>
          <w:rFonts w:ascii="Trebuchet MS" w:hAnsi="Trebuchet MS"/>
          <w:color w:val="231F20"/>
          <w:spacing w:val="-3"/>
          <w:w w:val="111"/>
          <w:sz w:val="20"/>
        </w:rPr>
        <w:t>b</w:t>
      </w:r>
      <w:r>
        <w:rPr>
          <w:rFonts w:ascii="Trebuchet MS" w:hAnsi="Trebuchet MS"/>
          <w:color w:val="231F20"/>
          <w:spacing w:val="-1"/>
          <w:w w:val="64"/>
          <w:sz w:val="20"/>
        </w:rPr>
        <w:t>j</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spacing w:val="-6"/>
          <w:w w:val="109"/>
          <w:sz w:val="20"/>
        </w:rPr>
        <w:t>v</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92"/>
          <w:sz w:val="20"/>
        </w:rPr>
        <w:t>f</w:t>
      </w:r>
      <w:r>
        <w:rPr>
          <w:rFonts w:ascii="Trebuchet MS" w:hAnsi="Trebuchet MS"/>
          <w:color w:val="231F20"/>
          <w:spacing w:val="-2"/>
          <w:w w:val="105"/>
          <w:sz w:val="20"/>
        </w:rPr>
        <w:t>a</w:t>
      </w:r>
      <w:r>
        <w:rPr>
          <w:rFonts w:ascii="Trebuchet MS" w:hAnsi="Trebuchet MS"/>
          <w:color w:val="231F20"/>
          <w:spacing w:val="-2"/>
          <w:w w:val="109"/>
          <w:sz w:val="20"/>
        </w:rPr>
        <w:t>u</w:t>
      </w:r>
      <w:r>
        <w:rPr>
          <w:rFonts w:ascii="Trebuchet MS" w:hAnsi="Trebuchet MS"/>
          <w:color w:val="231F20"/>
          <w:spacing w:val="-4"/>
          <w:w w:val="96"/>
          <w:sz w:val="20"/>
        </w:rPr>
        <w:t>l</w:t>
      </w:r>
      <w:r>
        <w:rPr>
          <w:rFonts w:ascii="Trebuchet MS" w:hAnsi="Trebuchet MS"/>
          <w:color w:val="231F20"/>
          <w:w w:val="88"/>
          <w:sz w:val="20"/>
        </w:rPr>
        <w:t>t</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2"/>
          <w:w w:val="111"/>
          <w:sz w:val="20"/>
        </w:rPr>
        <w:t>m</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1"/>
          <w:w w:val="124"/>
          <w:sz w:val="20"/>
        </w:rPr>
        <w:t>g</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3"/>
          <w:w w:val="80"/>
          <w:sz w:val="20"/>
        </w:rPr>
        <w:t>i</w:t>
      </w:r>
      <w:r>
        <w:rPr>
          <w:rFonts w:ascii="Trebuchet MS" w:hAnsi="Trebuchet MS"/>
          <w:color w:val="231F20"/>
          <w:spacing w:val="-2"/>
          <w:w w:val="88"/>
          <w:sz w:val="20"/>
        </w:rPr>
        <w:t>t</w:t>
      </w:r>
      <w:r>
        <w:rPr>
          <w:rFonts w:ascii="Trebuchet MS" w:hAnsi="Trebuchet MS"/>
          <w:color w:val="231F20"/>
          <w:w w:val="107"/>
          <w:sz w:val="20"/>
        </w:rPr>
        <w:t>h</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08"/>
          <w:sz w:val="20"/>
        </w:rPr>
        <w:t>e</w:t>
      </w:r>
      <w:r>
        <w:rPr>
          <w:rFonts w:ascii="Trebuchet MS" w:hAnsi="Trebuchet MS"/>
          <w:color w:val="231F20"/>
          <w:spacing w:val="-3"/>
          <w:w w:val="96"/>
          <w:sz w:val="20"/>
        </w:rPr>
        <w:t>l</w:t>
      </w:r>
      <w:r>
        <w:rPr>
          <w:rFonts w:ascii="Trebuchet MS" w:hAnsi="Trebuchet MS"/>
          <w:color w:val="231F20"/>
          <w:spacing w:val="-1"/>
          <w:w w:val="108"/>
          <w:sz w:val="20"/>
        </w:rPr>
        <w:t>e</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2"/>
          <w:w w:val="88"/>
          <w:sz w:val="20"/>
        </w:rPr>
        <w:t>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3"/>
          <w:w w:val="96"/>
          <w:sz w:val="20"/>
        </w:rPr>
        <w:t>l</w:t>
      </w:r>
      <w:r>
        <w:rPr>
          <w:rFonts w:ascii="Trebuchet MS" w:hAnsi="Trebuchet MS"/>
          <w:color w:val="231F20"/>
          <w:spacing w:val="-1"/>
          <w:w w:val="108"/>
          <w:sz w:val="20"/>
        </w:rPr>
        <w:t>e</w:t>
      </w:r>
      <w:r>
        <w:rPr>
          <w:rFonts w:ascii="Trebuchet MS" w:hAnsi="Trebuchet MS"/>
          <w:color w:val="231F20"/>
          <w:spacing w:val="-2"/>
          <w:w w:val="105"/>
          <w:sz w:val="20"/>
        </w:rPr>
        <w:t>a</w:t>
      </w:r>
      <w:r>
        <w:rPr>
          <w:rFonts w:ascii="Trebuchet MS" w:hAnsi="Trebuchet MS"/>
          <w:color w:val="231F20"/>
          <w:spacing w:val="-2"/>
          <w:w w:val="94"/>
          <w:sz w:val="20"/>
        </w:rPr>
        <w:t>r</w:t>
      </w:r>
      <w:r>
        <w:rPr>
          <w:rFonts w:ascii="Trebuchet MS" w:hAnsi="Trebuchet MS"/>
          <w:color w:val="231F20"/>
          <w:spacing w:val="-7"/>
          <w:w w:val="94"/>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1"/>
          <w:w w:val="96"/>
          <w:sz w:val="20"/>
        </w:rPr>
        <w:t>l</w:t>
      </w:r>
      <w:r>
        <w:rPr>
          <w:rFonts w:ascii="Trebuchet MS" w:hAnsi="Trebuchet MS"/>
          <w:color w:val="231F20"/>
          <w:spacing w:val="-2"/>
          <w:w w:val="105"/>
          <w:sz w:val="20"/>
        </w:rPr>
        <w:t>a</w:t>
      </w:r>
      <w:r>
        <w:rPr>
          <w:rFonts w:ascii="Trebuchet MS" w:hAnsi="Trebuchet MS"/>
          <w:color w:val="231F20"/>
          <w:spacing w:val="-1"/>
          <w:w w:val="80"/>
          <w:sz w:val="20"/>
        </w:rPr>
        <w:t>i</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3"/>
          <w:w w:val="109"/>
          <w:sz w:val="20"/>
        </w:rPr>
        <w:t>u</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 xml:space="preserve">e </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w w:val="81"/>
          <w:sz w:val="20"/>
        </w:rPr>
        <w:t>f</w:t>
      </w:r>
      <w:r>
        <w:rPr>
          <w:rFonts w:ascii="Trebuchet MS" w:hAnsi="Trebuchet MS"/>
          <w:color w:val="231F20"/>
          <w:spacing w:val="-5"/>
          <w:w w:val="81"/>
          <w:sz w:val="20"/>
        </w:rPr>
        <w:t>f</w:t>
      </w:r>
      <w:r>
        <w:rPr>
          <w:rFonts w:ascii="Trebuchet MS" w:hAnsi="Trebuchet MS"/>
          <w:color w:val="231F20"/>
          <w:spacing w:val="-1"/>
          <w:w w:val="108"/>
          <w:sz w:val="20"/>
        </w:rPr>
        <w:t>e</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spacing w:val="-2"/>
          <w:w w:val="124"/>
          <w:sz w:val="20"/>
        </w:rPr>
        <w:t>g</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2"/>
          <w:w w:val="108"/>
          <w:sz w:val="20"/>
        </w:rPr>
        <w:t>e</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2"/>
          <w:w w:val="110"/>
          <w:sz w:val="20"/>
        </w:rPr>
        <w:t>cu</w:t>
      </w:r>
      <w:r>
        <w:rPr>
          <w:rFonts w:ascii="Trebuchet MS" w:hAnsi="Trebuchet MS"/>
          <w:color w:val="231F20"/>
          <w:w w:val="96"/>
          <w:sz w:val="20"/>
        </w:rPr>
        <w:t>l</w:t>
      </w:r>
      <w:r>
        <w:rPr>
          <w:rFonts w:ascii="Trebuchet MS" w:hAnsi="Trebuchet MS"/>
          <w:color w:val="231F20"/>
          <w:spacing w:val="-1"/>
          <w:w w:val="111"/>
          <w:sz w:val="20"/>
        </w:rPr>
        <w:t>p</w:t>
      </w:r>
      <w:r>
        <w:rPr>
          <w:rFonts w:ascii="Trebuchet MS" w:hAnsi="Trebuchet MS"/>
          <w:color w:val="231F20"/>
          <w:spacing w:val="-2"/>
          <w:w w:val="105"/>
          <w:sz w:val="20"/>
        </w:rPr>
        <w:t>a</w:t>
      </w:r>
      <w:r>
        <w:rPr>
          <w:rFonts w:ascii="Trebuchet MS" w:hAnsi="Trebuchet MS"/>
          <w:color w:val="231F20"/>
          <w:spacing w:val="-1"/>
          <w:w w:val="111"/>
          <w:sz w:val="20"/>
        </w:rPr>
        <w:t>b</w:t>
      </w:r>
      <w:r>
        <w:rPr>
          <w:rFonts w:ascii="Trebuchet MS" w:hAnsi="Trebuchet MS"/>
          <w:color w:val="231F20"/>
          <w:spacing w:val="-2"/>
          <w:w w:val="80"/>
          <w:sz w:val="20"/>
        </w:rPr>
        <w:t>i</w:t>
      </w:r>
      <w:r>
        <w:rPr>
          <w:rFonts w:ascii="Trebuchet MS" w:hAnsi="Trebuchet MS"/>
          <w:color w:val="231F20"/>
          <w:w w:val="96"/>
          <w:sz w:val="20"/>
        </w:rPr>
        <w:t>l</w:t>
      </w:r>
      <w:r>
        <w:rPr>
          <w:rFonts w:ascii="Trebuchet MS" w:hAnsi="Trebuchet MS"/>
          <w:color w:val="231F20"/>
          <w:spacing w:val="-3"/>
          <w:w w:val="80"/>
          <w:sz w:val="20"/>
        </w:rPr>
        <w:t>i</w:t>
      </w:r>
      <w:r>
        <w:rPr>
          <w:rFonts w:ascii="Trebuchet MS" w:hAnsi="Trebuchet MS"/>
          <w:color w:val="231F20"/>
          <w:w w:val="88"/>
          <w:sz w:val="20"/>
        </w:rPr>
        <w:t>t</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3"/>
          <w:w w:val="96"/>
          <w:sz w:val="20"/>
        </w:rPr>
        <w:t>l</w:t>
      </w:r>
      <w:r>
        <w:rPr>
          <w:rFonts w:ascii="Trebuchet MS" w:hAnsi="Trebuchet MS"/>
          <w:color w:val="231F20"/>
          <w:spacing w:val="-1"/>
          <w:w w:val="108"/>
          <w:sz w:val="20"/>
        </w:rPr>
        <w:t>e</w:t>
      </w:r>
      <w:r>
        <w:rPr>
          <w:rFonts w:ascii="Trebuchet MS" w:hAnsi="Trebuchet MS"/>
          <w:color w:val="231F20"/>
          <w:spacing w:val="-2"/>
          <w:w w:val="105"/>
          <w:sz w:val="20"/>
        </w:rPr>
        <w:t>a</w:t>
      </w:r>
      <w:r>
        <w:rPr>
          <w:rFonts w:ascii="Trebuchet MS" w:hAnsi="Trebuchet MS"/>
          <w:color w:val="231F20"/>
          <w:spacing w:val="-2"/>
          <w:w w:val="94"/>
          <w:sz w:val="20"/>
        </w:rPr>
        <w:t>r</w:t>
      </w:r>
      <w:r>
        <w:rPr>
          <w:rFonts w:ascii="Trebuchet MS" w:hAnsi="Trebuchet MS"/>
          <w:color w:val="231F20"/>
          <w:spacing w:val="-7"/>
          <w:w w:val="94"/>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spacing w:val="-6"/>
          <w:w w:val="111"/>
          <w:sz w:val="20"/>
        </w:rPr>
        <w:t>o</w:t>
      </w:r>
      <w:r>
        <w:rPr>
          <w:rFonts w:ascii="Trebuchet MS" w:hAnsi="Trebuchet MS"/>
          <w:color w:val="231F20"/>
          <w:spacing w:val="-2"/>
          <w:w w:val="110"/>
          <w:sz w:val="20"/>
        </w:rPr>
        <w:t>w</w:t>
      </w:r>
      <w:r>
        <w:rPr>
          <w:rFonts w:ascii="Trebuchet MS" w:hAnsi="Trebuchet MS"/>
          <w:color w:val="231F20"/>
          <w:spacing w:val="-1"/>
          <w:w w:val="107"/>
          <w:sz w:val="20"/>
        </w:rPr>
        <w:t>n</w:t>
      </w:r>
      <w:r>
        <w:rPr>
          <w:rFonts w:ascii="Trebuchet MS" w:hAnsi="Trebuchet MS"/>
          <w:color w:val="231F20"/>
          <w:w w:val="55"/>
          <w:sz w:val="20"/>
        </w:rPr>
        <w:t>.</w:t>
      </w:r>
    </w:p>
    <w:p w14:paraId="181A6ED9" w14:textId="77777777" w:rsidR="00894070" w:rsidRDefault="009B7AFD">
      <w:pPr>
        <w:pStyle w:val="ListParagraph"/>
        <w:numPr>
          <w:ilvl w:val="0"/>
          <w:numId w:val="191"/>
        </w:numPr>
        <w:tabs>
          <w:tab w:val="left" w:pos="1801"/>
          <w:tab w:val="left" w:pos="1802"/>
        </w:tabs>
        <w:spacing w:before="122" w:line="247" w:lineRule="auto"/>
        <w:ind w:left="1801" w:right="1215"/>
        <w:rPr>
          <w:rFonts w:ascii="Trebuchet MS"/>
          <w:sz w:val="20"/>
        </w:rPr>
      </w:pPr>
      <w:r>
        <w:rPr>
          <w:rFonts w:ascii="Trebuchet MS"/>
          <w:color w:val="231F20"/>
          <w:spacing w:val="-2"/>
          <w:w w:val="93"/>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2"/>
          <w:w w:val="111"/>
          <w:sz w:val="20"/>
        </w:rPr>
        <w:t>mp</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3"/>
          <w:w w:val="112"/>
          <w:sz w:val="20"/>
        </w:rPr>
        <w:t>R</w:t>
      </w:r>
      <w:r>
        <w:rPr>
          <w:rFonts w:ascii="Trebuchet MS"/>
          <w:color w:val="231F20"/>
          <w:w w:val="108"/>
          <w:sz w:val="20"/>
        </w:rPr>
        <w:t>e</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11"/>
          <w:sz w:val="20"/>
        </w:rPr>
        <w:t>m</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spacing w:val="-2"/>
          <w:w w:val="107"/>
          <w:sz w:val="20"/>
        </w:rPr>
        <w:t>n</w:t>
      </w:r>
      <w:r>
        <w:rPr>
          <w:rFonts w:ascii="Trebuchet MS"/>
          <w:color w:val="231F20"/>
          <w:w w:val="122"/>
          <w:sz w:val="20"/>
        </w:rPr>
        <w:t>s</w:t>
      </w:r>
      <w:r>
        <w:rPr>
          <w:rFonts w:ascii="Trebuchet MS"/>
          <w:color w:val="231F20"/>
          <w:spacing w:val="-14"/>
          <w:sz w:val="20"/>
        </w:rPr>
        <w:t xml:space="preserve"> </w:t>
      </w:r>
      <w:r>
        <w:rPr>
          <w:rFonts w:ascii="Trebuchet MS"/>
          <w:color w:val="231F20"/>
          <w:spacing w:val="-7"/>
          <w:w w:val="85"/>
          <w:sz w:val="20"/>
        </w:rPr>
        <w:t>1</w:t>
      </w:r>
      <w:r>
        <w:rPr>
          <w:rFonts w:ascii="Trebuchet MS"/>
          <w:color w:val="231F20"/>
          <w:spacing w:val="-5"/>
          <w:w w:val="115"/>
          <w:sz w:val="20"/>
        </w:rPr>
        <w:t>-</w:t>
      </w:r>
      <w:r>
        <w:rPr>
          <w:rFonts w:ascii="Trebuchet MS"/>
          <w:color w:val="231F20"/>
          <w:spacing w:val="5"/>
          <w:w w:val="106"/>
          <w:sz w:val="20"/>
        </w:rPr>
        <w:t>4</w:t>
      </w:r>
      <w:r>
        <w:rPr>
          <w:rFonts w:ascii="Trebuchet MS"/>
          <w:color w:val="231F20"/>
          <w:w w:val="57"/>
          <w:sz w:val="20"/>
        </w:rPr>
        <w:t>,</w:t>
      </w:r>
      <w:r>
        <w:rPr>
          <w:rFonts w:ascii="Trebuchet MS"/>
          <w:color w:val="231F20"/>
          <w:spacing w:val="-14"/>
          <w:sz w:val="20"/>
        </w:rPr>
        <w:t xml:space="preserve"> </w:t>
      </w:r>
      <w:r>
        <w:rPr>
          <w:rFonts w:ascii="Trebuchet MS"/>
          <w:color w:val="231F20"/>
          <w:w w:val="115"/>
          <w:sz w:val="20"/>
        </w:rPr>
        <w:t>6</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w w:val="112"/>
          <w:sz w:val="20"/>
        </w:rPr>
        <w:t>9</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80"/>
          <w:sz w:val="20"/>
        </w:rPr>
        <w:t>i</w:t>
      </w:r>
      <w:r>
        <w:rPr>
          <w:rFonts w:ascii="Trebuchet MS"/>
          <w:color w:val="231F20"/>
          <w:w w:val="111"/>
          <w:sz w:val="20"/>
        </w:rPr>
        <w:t>m</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1"/>
          <w:w w:val="108"/>
          <w:sz w:val="20"/>
        </w:rPr>
        <w:t>e</w:t>
      </w:r>
      <w:r>
        <w:rPr>
          <w:rFonts w:ascii="Trebuchet MS"/>
          <w:color w:val="231F20"/>
          <w:spacing w:val="-1"/>
          <w:w w:val="111"/>
          <w:sz w:val="20"/>
        </w:rPr>
        <w:t>po</w:t>
      </w:r>
      <w:r>
        <w:rPr>
          <w:rFonts w:ascii="Trebuchet MS"/>
          <w:color w:val="231F20"/>
          <w:spacing w:val="2"/>
          <w:w w:val="93"/>
          <w:sz w:val="20"/>
        </w:rPr>
        <w:t>r</w:t>
      </w:r>
      <w:r>
        <w:rPr>
          <w:rFonts w:ascii="Trebuchet MS"/>
          <w:color w:val="231F20"/>
          <w:spacing w:val="1"/>
          <w:w w:val="88"/>
          <w:sz w:val="20"/>
        </w:rPr>
        <w:t>t</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w w:val="105"/>
          <w:sz w:val="20"/>
        </w:rPr>
        <w:t>a</w:t>
      </w:r>
      <w:r>
        <w:rPr>
          <w:rFonts w:ascii="Trebuchet MS"/>
          <w:color w:val="231F20"/>
          <w:spacing w:val="-14"/>
          <w:sz w:val="20"/>
        </w:rPr>
        <w:t xml:space="preserve"> </w:t>
      </w:r>
      <w:r>
        <w:rPr>
          <w:rFonts w:ascii="Trebuchet MS"/>
          <w:color w:val="231F20"/>
          <w:spacing w:val="-3"/>
          <w:w w:val="111"/>
          <w:sz w:val="20"/>
        </w:rPr>
        <w:t>P</w:t>
      </w:r>
      <w:r>
        <w:rPr>
          <w:rFonts w:ascii="Trebuchet MS"/>
          <w:color w:val="231F20"/>
          <w:spacing w:val="-2"/>
          <w:w w:val="111"/>
          <w:sz w:val="20"/>
        </w:rPr>
        <w:t>o</w:t>
      </w:r>
      <w:r>
        <w:rPr>
          <w:rFonts w:ascii="Trebuchet MS"/>
          <w:color w:val="231F20"/>
          <w:w w:val="96"/>
          <w:sz w:val="20"/>
        </w:rPr>
        <w:t>l</w:t>
      </w:r>
      <w:r>
        <w:rPr>
          <w:rFonts w:ascii="Trebuchet MS"/>
          <w:color w:val="231F20"/>
          <w:spacing w:val="-1"/>
          <w:w w:val="80"/>
          <w:sz w:val="20"/>
        </w:rPr>
        <w:t>i</w:t>
      </w:r>
      <w:r>
        <w:rPr>
          <w:rFonts w:ascii="Trebuchet MS"/>
          <w:color w:val="231F20"/>
          <w:spacing w:val="-3"/>
          <w:w w:val="111"/>
          <w:sz w:val="20"/>
        </w:rPr>
        <w:t>c</w:t>
      </w:r>
      <w:r>
        <w:rPr>
          <w:rFonts w:ascii="Trebuchet MS"/>
          <w:color w:val="231F20"/>
          <w:w w:val="108"/>
          <w:sz w:val="20"/>
        </w:rPr>
        <w:t xml:space="preserve">e </w:t>
      </w:r>
      <w:r>
        <w:rPr>
          <w:rFonts w:ascii="Trebuchet MS"/>
          <w:color w:val="231F20"/>
          <w:sz w:val="20"/>
        </w:rPr>
        <w:t xml:space="preserve">should ensure that sufficient guidance and training is </w:t>
      </w:r>
      <w:r>
        <w:rPr>
          <w:rFonts w:ascii="Trebuchet MS"/>
          <w:color w:val="231F20"/>
          <w:spacing w:val="-3"/>
          <w:sz w:val="20"/>
        </w:rPr>
        <w:t xml:space="preserve">given </w:t>
      </w:r>
      <w:r>
        <w:rPr>
          <w:rFonts w:ascii="Trebuchet MS"/>
          <w:color w:val="231F20"/>
          <w:sz w:val="20"/>
        </w:rPr>
        <w:t xml:space="preserve">to frontline and specialist police to facilitate strong and </w:t>
      </w:r>
      <w:r>
        <w:rPr>
          <w:rFonts w:ascii="Trebuchet MS"/>
          <w:color w:val="231F20"/>
          <w:spacing w:val="-3"/>
          <w:sz w:val="20"/>
        </w:rPr>
        <w:t xml:space="preserve">effective investigative </w:t>
      </w:r>
      <w:r>
        <w:rPr>
          <w:rFonts w:ascii="Trebuchet MS"/>
          <w:color w:val="231F20"/>
          <w:sz w:val="20"/>
        </w:rPr>
        <w:t xml:space="preserve">and evidentiary practices when considering and </w:t>
      </w:r>
      <w:proofErr w:type="spellStart"/>
      <w:r>
        <w:rPr>
          <w:rFonts w:ascii="Trebuchet MS"/>
          <w:color w:val="231F20"/>
          <w:sz w:val="20"/>
        </w:rPr>
        <w:t>authorising</w:t>
      </w:r>
      <w:proofErr w:type="spellEnd"/>
      <w:r>
        <w:rPr>
          <w:rFonts w:ascii="Trebuchet MS"/>
          <w:color w:val="231F20"/>
          <w:sz w:val="20"/>
        </w:rPr>
        <w:t xml:space="preserve"> stalking charges under section 21A of the </w:t>
      </w:r>
      <w:r>
        <w:rPr>
          <w:rFonts w:ascii="Arial"/>
          <w:i/>
          <w:color w:val="231F20"/>
          <w:sz w:val="20"/>
        </w:rPr>
        <w:t xml:space="preserve">Crimes Act 1958 </w:t>
      </w:r>
      <w:r>
        <w:rPr>
          <w:rFonts w:ascii="Trebuchet MS"/>
          <w:color w:val="231F20"/>
          <w:spacing w:val="-3"/>
          <w:sz w:val="20"/>
        </w:rPr>
        <w:t>(Vic).</w:t>
      </w:r>
    </w:p>
    <w:p w14:paraId="491B398C" w14:textId="77777777" w:rsidR="00894070" w:rsidRDefault="00894070">
      <w:pPr>
        <w:pStyle w:val="BodyText"/>
        <w:rPr>
          <w:rFonts w:ascii="Trebuchet MS"/>
        </w:rPr>
      </w:pPr>
    </w:p>
    <w:p w14:paraId="347B8AF9" w14:textId="77777777" w:rsidR="00894070" w:rsidRDefault="00894070">
      <w:pPr>
        <w:pStyle w:val="BodyText"/>
        <w:rPr>
          <w:rFonts w:ascii="Trebuchet MS"/>
        </w:rPr>
      </w:pPr>
    </w:p>
    <w:p w14:paraId="028F4781" w14:textId="77777777" w:rsidR="00894070" w:rsidRDefault="00894070">
      <w:pPr>
        <w:pStyle w:val="BodyText"/>
        <w:rPr>
          <w:rFonts w:ascii="Trebuchet MS"/>
        </w:rPr>
      </w:pPr>
    </w:p>
    <w:p w14:paraId="4DB6D98F" w14:textId="77777777" w:rsidR="00894070" w:rsidRDefault="00894070">
      <w:pPr>
        <w:pStyle w:val="BodyText"/>
        <w:rPr>
          <w:rFonts w:ascii="Trebuchet MS"/>
        </w:rPr>
      </w:pPr>
    </w:p>
    <w:p w14:paraId="7AC5178B" w14:textId="77777777" w:rsidR="00894070" w:rsidRDefault="00894070">
      <w:pPr>
        <w:pStyle w:val="BodyText"/>
        <w:rPr>
          <w:rFonts w:ascii="Trebuchet MS"/>
        </w:rPr>
      </w:pPr>
    </w:p>
    <w:p w14:paraId="7625231C" w14:textId="77777777" w:rsidR="00894070" w:rsidRDefault="00894070">
      <w:pPr>
        <w:pStyle w:val="BodyText"/>
        <w:spacing w:before="8"/>
        <w:rPr>
          <w:rFonts w:ascii="Trebuchet MS"/>
          <w:sz w:val="16"/>
        </w:rPr>
      </w:pPr>
    </w:p>
    <w:p w14:paraId="09C0CD81" w14:textId="77777777" w:rsidR="00894070" w:rsidRDefault="009B7AFD">
      <w:pPr>
        <w:pStyle w:val="Heading8"/>
        <w:spacing w:before="48"/>
        <w:ind w:right="167"/>
        <w:jc w:val="right"/>
      </w:pPr>
      <w:r>
        <w:rPr>
          <w:color w:val="EA5B50"/>
        </w:rPr>
        <w:t>xxv</w:t>
      </w:r>
    </w:p>
    <w:p w14:paraId="449889BB" w14:textId="77777777" w:rsidR="00894070" w:rsidRDefault="00894070">
      <w:pPr>
        <w:jc w:val="right"/>
        <w:sectPr w:rsidR="00894070">
          <w:pgSz w:w="11910" w:h="16840"/>
          <w:pgMar w:top="840" w:right="420" w:bottom="280" w:left="580" w:header="0" w:footer="0" w:gutter="0"/>
          <w:cols w:space="720"/>
        </w:sectPr>
      </w:pPr>
    </w:p>
    <w:p w14:paraId="2AE8A9CB" w14:textId="77777777" w:rsidR="00894070" w:rsidRDefault="00894070">
      <w:pPr>
        <w:pStyle w:val="BodyText"/>
        <w:rPr>
          <w:b/>
        </w:rPr>
      </w:pPr>
    </w:p>
    <w:p w14:paraId="3AC6A8F0" w14:textId="77777777" w:rsidR="00894070" w:rsidRDefault="00894070">
      <w:pPr>
        <w:pStyle w:val="BodyText"/>
        <w:rPr>
          <w:b/>
        </w:rPr>
      </w:pPr>
    </w:p>
    <w:p w14:paraId="724BD102" w14:textId="77777777" w:rsidR="00894070" w:rsidRDefault="00894070">
      <w:pPr>
        <w:pStyle w:val="BodyText"/>
        <w:rPr>
          <w:b/>
        </w:rPr>
      </w:pPr>
    </w:p>
    <w:p w14:paraId="619E210D" w14:textId="77777777" w:rsidR="00894070" w:rsidRDefault="00894070">
      <w:pPr>
        <w:pStyle w:val="BodyText"/>
        <w:spacing w:before="8"/>
        <w:rPr>
          <w:b/>
          <w:sz w:val="19"/>
        </w:rPr>
      </w:pPr>
    </w:p>
    <w:p w14:paraId="0A66DC26" w14:textId="77777777" w:rsidR="00894070" w:rsidRDefault="009B7AFD">
      <w:pPr>
        <w:pStyle w:val="ListParagraph"/>
        <w:numPr>
          <w:ilvl w:val="0"/>
          <w:numId w:val="191"/>
        </w:numPr>
        <w:tabs>
          <w:tab w:val="left" w:pos="1801"/>
          <w:tab w:val="left" w:pos="1802"/>
        </w:tabs>
        <w:spacing w:line="247" w:lineRule="auto"/>
        <w:ind w:left="1801" w:right="1441"/>
        <w:rPr>
          <w:rFonts w:ascii="Trebuchet MS"/>
          <w:sz w:val="20"/>
        </w:rPr>
      </w:pPr>
      <w:r>
        <w:rPr>
          <w:rFonts w:ascii="Trebuchet MS"/>
          <w:color w:val="231F20"/>
          <w:sz w:val="20"/>
        </w:rPr>
        <w:t xml:space="preserve">The Crime Statistics Agency should conduct a </w:t>
      </w:r>
      <w:r>
        <w:rPr>
          <w:rFonts w:ascii="Trebuchet MS"/>
          <w:color w:val="231F20"/>
          <w:spacing w:val="-3"/>
          <w:sz w:val="20"/>
        </w:rPr>
        <w:t xml:space="preserve">qualitative review </w:t>
      </w:r>
      <w:r>
        <w:rPr>
          <w:rFonts w:ascii="Trebuchet MS"/>
          <w:color w:val="231F20"/>
          <w:sz w:val="20"/>
        </w:rPr>
        <w:t xml:space="preserve">to identify reasons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105"/>
          <w:sz w:val="20"/>
        </w:rPr>
        <w:t>a</w:t>
      </w:r>
      <w:r>
        <w:rPr>
          <w:rFonts w:ascii="Trebuchet MS"/>
          <w:color w:val="231F20"/>
          <w:spacing w:val="-1"/>
          <w:w w:val="88"/>
          <w:sz w:val="20"/>
        </w:rPr>
        <w:t>t</w:t>
      </w:r>
      <w:r>
        <w:rPr>
          <w:rFonts w:ascii="Trebuchet MS"/>
          <w:color w:val="231F20"/>
          <w:spacing w:val="-2"/>
          <w:w w:val="88"/>
          <w:sz w:val="20"/>
        </w:rPr>
        <w:t>t</w:t>
      </w:r>
      <w:r>
        <w:rPr>
          <w:rFonts w:ascii="Trebuchet MS"/>
          <w:color w:val="231F20"/>
          <w:spacing w:val="-2"/>
          <w:w w:val="93"/>
          <w:sz w:val="20"/>
        </w:rPr>
        <w:t>r</w:t>
      </w:r>
      <w:r>
        <w:rPr>
          <w:rFonts w:ascii="Trebuchet MS"/>
          <w:color w:val="231F20"/>
          <w:spacing w:val="-3"/>
          <w:w w:val="80"/>
          <w:sz w:val="20"/>
        </w:rPr>
        <w:t>i</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3"/>
          <w:w w:val="111"/>
          <w:sz w:val="20"/>
        </w:rPr>
        <w:t>o</w:t>
      </w:r>
      <w:r>
        <w:rPr>
          <w:rFonts w:ascii="Trebuchet MS"/>
          <w:color w:val="231F20"/>
          <w:w w:val="81"/>
          <w:sz w:val="20"/>
        </w:rPr>
        <w:t>f</w:t>
      </w:r>
      <w:r>
        <w:rPr>
          <w:rFonts w:ascii="Trebuchet MS"/>
          <w:color w:val="231F20"/>
          <w:spacing w:val="-5"/>
          <w:w w:val="81"/>
          <w:sz w:val="20"/>
        </w:rPr>
        <w:t>f</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2"/>
          <w:w w:val="93"/>
          <w:sz w:val="20"/>
        </w:rPr>
        <w:t>r</w:t>
      </w:r>
      <w:r>
        <w:rPr>
          <w:rFonts w:ascii="Trebuchet MS"/>
          <w:color w:val="231F20"/>
          <w:spacing w:val="-2"/>
          <w:w w:val="80"/>
          <w:sz w:val="20"/>
        </w:rPr>
        <w:t>i</w:t>
      </w:r>
      <w:r>
        <w:rPr>
          <w:rFonts w:ascii="Trebuchet MS"/>
          <w:color w:val="231F20"/>
          <w:spacing w:val="-2"/>
          <w:w w:val="111"/>
          <w:sz w:val="20"/>
        </w:rPr>
        <w:t>m</w:t>
      </w:r>
      <w:r>
        <w:rPr>
          <w:rFonts w:ascii="Trebuchet MS"/>
          <w:color w:val="231F20"/>
          <w:spacing w:val="-2"/>
          <w:w w:val="80"/>
          <w:sz w:val="20"/>
        </w:rPr>
        <w:t>i</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1"/>
          <w:w w:val="109"/>
          <w:sz w:val="20"/>
        </w:rPr>
        <w:t>u</w:t>
      </w:r>
      <w:r>
        <w:rPr>
          <w:rFonts w:ascii="Trebuchet MS"/>
          <w:color w:val="231F20"/>
          <w:spacing w:val="-1"/>
          <w:w w:val="122"/>
          <w:sz w:val="20"/>
        </w:rPr>
        <w:t>s</w:t>
      </w:r>
      <w:r>
        <w:rPr>
          <w:rFonts w:ascii="Trebuchet MS"/>
          <w:color w:val="231F20"/>
          <w:spacing w:val="-2"/>
          <w:w w:val="88"/>
          <w:sz w:val="20"/>
        </w:rPr>
        <w:t>t</w:t>
      </w:r>
      <w:r>
        <w:rPr>
          <w:rFonts w:ascii="Trebuchet MS"/>
          <w:color w:val="231F20"/>
          <w:spacing w:val="-1"/>
          <w:w w:val="80"/>
          <w:sz w:val="20"/>
        </w:rPr>
        <w:t>i</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spacing w:val="-4"/>
          <w:w w:val="110"/>
          <w:sz w:val="20"/>
        </w:rPr>
        <w:t>y</w:t>
      </w:r>
      <w:r>
        <w:rPr>
          <w:rFonts w:ascii="Trebuchet MS"/>
          <w:color w:val="231F20"/>
          <w:spacing w:val="-1"/>
          <w:w w:val="122"/>
          <w:sz w:val="20"/>
        </w:rPr>
        <w:t>s</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111"/>
          <w:sz w:val="20"/>
        </w:rPr>
        <w:t>m</w:t>
      </w:r>
      <w:r>
        <w:rPr>
          <w:rFonts w:ascii="Trebuchet MS"/>
          <w:color w:val="231F20"/>
          <w:w w:val="55"/>
          <w:sz w:val="20"/>
        </w:rPr>
        <w:t>.</w:t>
      </w:r>
      <w:r>
        <w:rPr>
          <w:rFonts w:ascii="Trebuchet MS"/>
          <w:color w:val="231F20"/>
          <w:spacing w:val="-14"/>
          <w:sz w:val="20"/>
        </w:rPr>
        <w:t xml:space="preserve"> </w:t>
      </w:r>
      <w:r>
        <w:rPr>
          <w:rFonts w:ascii="Trebuchet MS"/>
          <w:color w:val="231F20"/>
          <w:spacing w:val="-2"/>
          <w:w w:val="105"/>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5"/>
          <w:w w:val="108"/>
          <w:sz w:val="20"/>
        </w:rPr>
        <w:t>e</w:t>
      </w:r>
      <w:r>
        <w:rPr>
          <w:rFonts w:ascii="Trebuchet MS"/>
          <w:color w:val="231F20"/>
          <w:spacing w:val="-2"/>
          <w:w w:val="109"/>
          <w:sz w:val="20"/>
        </w:rPr>
        <w:t>v</w:t>
      </w:r>
      <w:r>
        <w:rPr>
          <w:rFonts w:ascii="Trebuchet MS"/>
          <w:color w:val="231F20"/>
          <w:spacing w:val="-1"/>
          <w:w w:val="80"/>
          <w:sz w:val="20"/>
        </w:rPr>
        <w:t>i</w:t>
      </w:r>
      <w:r>
        <w:rPr>
          <w:rFonts w:ascii="Trebuchet MS"/>
          <w:color w:val="231F20"/>
          <w:spacing w:val="-5"/>
          <w:w w:val="108"/>
          <w:sz w:val="20"/>
        </w:rPr>
        <w:t>e</w:t>
      </w:r>
      <w:r>
        <w:rPr>
          <w:rFonts w:ascii="Trebuchet MS"/>
          <w:color w:val="231F20"/>
          <w:w w:val="110"/>
          <w:sz w:val="20"/>
        </w:rPr>
        <w:t xml:space="preserve">w </w:t>
      </w:r>
      <w:r>
        <w:rPr>
          <w:rFonts w:ascii="Trebuchet MS"/>
          <w:color w:val="231F20"/>
          <w:sz w:val="20"/>
        </w:rPr>
        <w:t>should</w:t>
      </w:r>
      <w:r>
        <w:rPr>
          <w:rFonts w:ascii="Trebuchet MS"/>
          <w:color w:val="231F20"/>
          <w:spacing w:val="-14"/>
          <w:sz w:val="20"/>
        </w:rPr>
        <w:t xml:space="preserve"> </w:t>
      </w:r>
      <w:r>
        <w:rPr>
          <w:rFonts w:ascii="Trebuchet MS"/>
          <w:color w:val="231F20"/>
          <w:spacing w:val="-3"/>
          <w:sz w:val="20"/>
        </w:rPr>
        <w:t>examine:</w:t>
      </w:r>
    </w:p>
    <w:p w14:paraId="27184AEA" w14:textId="77777777" w:rsidR="00894070" w:rsidRDefault="00894070">
      <w:pPr>
        <w:pStyle w:val="BodyText"/>
        <w:spacing w:before="6"/>
        <w:rPr>
          <w:rFonts w:ascii="Trebuchet MS"/>
          <w:sz w:val="7"/>
        </w:rPr>
      </w:pPr>
    </w:p>
    <w:tbl>
      <w:tblPr>
        <w:tblW w:w="0" w:type="auto"/>
        <w:tblInd w:w="981" w:type="dxa"/>
        <w:tblLayout w:type="fixed"/>
        <w:tblCellMar>
          <w:left w:w="0" w:type="dxa"/>
          <w:right w:w="0" w:type="dxa"/>
        </w:tblCellMar>
        <w:tblLook w:val="01E0" w:firstRow="1" w:lastRow="1" w:firstColumn="1" w:lastColumn="1" w:noHBand="0" w:noVBand="0"/>
      </w:tblPr>
      <w:tblGrid>
        <w:gridCol w:w="566"/>
        <w:gridCol w:w="686"/>
        <w:gridCol w:w="7507"/>
      </w:tblGrid>
      <w:tr w:rsidR="00894070" w14:paraId="2D7B2031" w14:textId="77777777">
        <w:trPr>
          <w:trHeight w:val="297"/>
        </w:trPr>
        <w:tc>
          <w:tcPr>
            <w:tcW w:w="566" w:type="dxa"/>
            <w:vMerge w:val="restart"/>
          </w:tcPr>
          <w:p w14:paraId="69FEB3D2" w14:textId="77777777" w:rsidR="00894070" w:rsidRDefault="00894070">
            <w:pPr>
              <w:pStyle w:val="TableParagraph"/>
              <w:ind w:left="0"/>
              <w:rPr>
                <w:rFonts w:ascii="Times New Roman"/>
                <w:sz w:val="18"/>
              </w:rPr>
            </w:pPr>
          </w:p>
        </w:tc>
        <w:tc>
          <w:tcPr>
            <w:tcW w:w="686" w:type="dxa"/>
          </w:tcPr>
          <w:p w14:paraId="6B455DB2" w14:textId="77777777" w:rsidR="00894070" w:rsidRDefault="009B7AFD">
            <w:pPr>
              <w:pStyle w:val="TableParagraph"/>
              <w:ind w:left="0" w:right="263"/>
              <w:jc w:val="right"/>
              <w:rPr>
                <w:rFonts w:ascii="Trebuchet MS"/>
                <w:sz w:val="20"/>
              </w:rPr>
            </w:pPr>
            <w:r>
              <w:rPr>
                <w:rFonts w:ascii="Trebuchet MS"/>
                <w:color w:val="231F20"/>
                <w:w w:val="85"/>
                <w:sz w:val="20"/>
              </w:rPr>
              <w:t>a.</w:t>
            </w:r>
          </w:p>
        </w:tc>
        <w:tc>
          <w:tcPr>
            <w:tcW w:w="7507" w:type="dxa"/>
          </w:tcPr>
          <w:p w14:paraId="5F2870C5" w14:textId="77777777" w:rsidR="00894070" w:rsidRDefault="009B7AFD">
            <w:pPr>
              <w:pStyle w:val="TableParagraph"/>
              <w:ind w:left="255"/>
              <w:rPr>
                <w:rFonts w:ascii="Trebuchet MS"/>
                <w:sz w:val="20"/>
              </w:rPr>
            </w:pPr>
            <w:r>
              <w:rPr>
                <w:rFonts w:ascii="Trebuchet MS"/>
                <w:color w:val="231F20"/>
                <w:w w:val="105"/>
                <w:sz w:val="20"/>
              </w:rPr>
              <w:t>police and prosecution stalking files</w:t>
            </w:r>
          </w:p>
        </w:tc>
      </w:tr>
      <w:tr w:rsidR="00894070" w14:paraId="72BB2D42" w14:textId="77777777">
        <w:trPr>
          <w:trHeight w:val="600"/>
        </w:trPr>
        <w:tc>
          <w:tcPr>
            <w:tcW w:w="566" w:type="dxa"/>
            <w:vMerge/>
            <w:tcBorders>
              <w:top w:val="nil"/>
            </w:tcBorders>
          </w:tcPr>
          <w:p w14:paraId="678EBD7B" w14:textId="77777777" w:rsidR="00894070" w:rsidRDefault="00894070">
            <w:pPr>
              <w:rPr>
                <w:sz w:val="2"/>
                <w:szCs w:val="2"/>
              </w:rPr>
            </w:pPr>
          </w:p>
        </w:tc>
        <w:tc>
          <w:tcPr>
            <w:tcW w:w="686" w:type="dxa"/>
          </w:tcPr>
          <w:p w14:paraId="6A081509" w14:textId="77777777" w:rsidR="00894070" w:rsidRDefault="009B7AFD">
            <w:pPr>
              <w:pStyle w:val="TableParagraph"/>
              <w:spacing w:before="63"/>
              <w:ind w:left="0" w:right="254"/>
              <w:jc w:val="right"/>
              <w:rPr>
                <w:rFonts w:ascii="Trebuchet MS"/>
                <w:sz w:val="20"/>
              </w:rPr>
            </w:pPr>
            <w:r>
              <w:rPr>
                <w:rFonts w:ascii="Trebuchet MS"/>
                <w:color w:val="231F20"/>
                <w:spacing w:val="-3"/>
                <w:w w:val="111"/>
                <w:sz w:val="20"/>
              </w:rPr>
              <w:t>b</w:t>
            </w:r>
            <w:r>
              <w:rPr>
                <w:rFonts w:ascii="Trebuchet MS"/>
                <w:color w:val="231F20"/>
                <w:w w:val="55"/>
                <w:sz w:val="20"/>
              </w:rPr>
              <w:t>.</w:t>
            </w:r>
          </w:p>
        </w:tc>
        <w:tc>
          <w:tcPr>
            <w:tcW w:w="7507" w:type="dxa"/>
          </w:tcPr>
          <w:p w14:paraId="531BF60D" w14:textId="77777777" w:rsidR="00894070" w:rsidRDefault="009B7AFD">
            <w:pPr>
              <w:pStyle w:val="TableParagraph"/>
              <w:spacing w:before="63" w:line="247" w:lineRule="auto"/>
              <w:ind w:left="255" w:hanging="1"/>
              <w:rPr>
                <w:rFonts w:ascii="Trebuchet MS" w:hAnsi="Trebuchet MS"/>
                <w:sz w:val="20"/>
              </w:rPr>
            </w:pPr>
            <w:r>
              <w:rPr>
                <w:rFonts w:ascii="Trebuchet MS" w:hAnsi="Trebuchet MS"/>
                <w:color w:val="231F20"/>
                <w:sz w:val="20"/>
              </w:rPr>
              <w:t xml:space="preserve">judicial reasons for not finding charges are proved in contested hearings in the </w:t>
            </w:r>
            <w:r>
              <w:rPr>
                <w:rFonts w:ascii="Trebuchet MS" w:hAnsi="Trebuchet MS"/>
                <w:color w:val="231F20"/>
                <w:w w:val="123"/>
                <w:sz w:val="20"/>
              </w:rPr>
              <w:t>M</w:t>
            </w:r>
            <w:r>
              <w:rPr>
                <w:rFonts w:ascii="Trebuchet MS" w:hAnsi="Trebuchet MS"/>
                <w:color w:val="231F20"/>
                <w:w w:val="105"/>
                <w:sz w:val="20"/>
              </w:rPr>
              <w:t>a</w:t>
            </w:r>
            <w:r>
              <w:rPr>
                <w:rFonts w:ascii="Trebuchet MS" w:hAnsi="Trebuchet MS"/>
                <w:color w:val="231F20"/>
                <w:w w:val="124"/>
                <w:sz w:val="20"/>
              </w:rPr>
              <w:t>g</w:t>
            </w:r>
            <w:r>
              <w:rPr>
                <w:rFonts w:ascii="Trebuchet MS" w:hAnsi="Trebuchet MS"/>
                <w:color w:val="231F20"/>
                <w:w w:val="104"/>
                <w:sz w:val="20"/>
              </w:rPr>
              <w:t>is</w:t>
            </w:r>
            <w:r>
              <w:rPr>
                <w:rFonts w:ascii="Trebuchet MS" w:hAnsi="Trebuchet MS"/>
                <w:color w:val="231F20"/>
                <w:w w:val="88"/>
                <w:sz w:val="20"/>
              </w:rPr>
              <w:t>t</w:t>
            </w:r>
            <w:r>
              <w:rPr>
                <w:rFonts w:ascii="Trebuchet MS" w:hAnsi="Trebuchet MS"/>
                <w:color w:val="231F20"/>
                <w:sz w:val="20"/>
              </w:rPr>
              <w:t>ra</w:t>
            </w:r>
            <w:r>
              <w:rPr>
                <w:rFonts w:ascii="Trebuchet MS" w:hAnsi="Trebuchet MS"/>
                <w:color w:val="231F20"/>
                <w:w w:val="88"/>
                <w:sz w:val="20"/>
              </w:rPr>
              <w:t>t</w:t>
            </w:r>
            <w:r>
              <w:rPr>
                <w:rFonts w:ascii="Trebuchet MS" w:hAnsi="Trebuchet MS"/>
                <w:color w:val="231F20"/>
                <w:w w:val="108"/>
                <w:sz w:val="20"/>
              </w:rPr>
              <w:t>e</w:t>
            </w:r>
            <w:r>
              <w:rPr>
                <w:rFonts w:ascii="Trebuchet MS" w:hAnsi="Trebuchet MS"/>
                <w:color w:val="231F20"/>
                <w:w w:val="122"/>
                <w:sz w:val="20"/>
              </w:rPr>
              <w:t>s</w:t>
            </w:r>
            <w:r>
              <w:rPr>
                <w:rFonts w:ascii="Trebuchet MS" w:hAnsi="Trebuchet MS"/>
                <w:color w:val="231F20"/>
                <w:w w:val="54"/>
                <w:sz w:val="20"/>
              </w:rPr>
              <w:t>’</w:t>
            </w:r>
            <w:r>
              <w:rPr>
                <w:rFonts w:ascii="Trebuchet MS" w:hAnsi="Trebuchet MS"/>
                <w:color w:val="231F20"/>
                <w:sz w:val="20"/>
              </w:rPr>
              <w:t xml:space="preserve"> </w:t>
            </w:r>
            <w:r>
              <w:rPr>
                <w:rFonts w:ascii="Trebuchet MS" w:hAnsi="Trebuchet MS"/>
                <w:color w:val="231F20"/>
                <w:w w:val="114"/>
                <w:sz w:val="20"/>
              </w:rPr>
              <w:t>C</w:t>
            </w:r>
            <w:r>
              <w:rPr>
                <w:rFonts w:ascii="Trebuchet MS" w:hAnsi="Trebuchet MS"/>
                <w:color w:val="231F20"/>
                <w:w w:val="111"/>
                <w:sz w:val="20"/>
              </w:rPr>
              <w:t>o</w:t>
            </w:r>
            <w:r>
              <w:rPr>
                <w:rFonts w:ascii="Trebuchet MS" w:hAnsi="Trebuchet MS"/>
                <w:color w:val="231F20"/>
                <w:w w:val="109"/>
                <w:sz w:val="20"/>
              </w:rPr>
              <w:t>u</w:t>
            </w:r>
            <w:r>
              <w:rPr>
                <w:rFonts w:ascii="Trebuchet MS" w:hAnsi="Trebuchet MS"/>
                <w:color w:val="231F20"/>
                <w:w w:val="93"/>
                <w:sz w:val="20"/>
              </w:rPr>
              <w:t>r</w:t>
            </w:r>
            <w:r>
              <w:rPr>
                <w:rFonts w:ascii="Trebuchet MS" w:hAnsi="Trebuchet MS"/>
                <w:color w:val="231F20"/>
                <w:w w:val="88"/>
                <w:sz w:val="20"/>
              </w:rPr>
              <w:t>t</w:t>
            </w:r>
            <w:r>
              <w:rPr>
                <w:rFonts w:ascii="Trebuchet MS" w:hAnsi="Trebuchet MS"/>
                <w:color w:val="231F20"/>
                <w:sz w:val="20"/>
              </w:rPr>
              <w:t xml:space="preserve"> </w:t>
            </w:r>
            <w:r>
              <w:rPr>
                <w:rFonts w:ascii="Trebuchet MS" w:hAnsi="Trebuchet MS"/>
                <w:color w:val="231F20"/>
                <w:w w:val="111"/>
                <w:sz w:val="20"/>
              </w:rPr>
              <w:t>o</w:t>
            </w:r>
            <w:r>
              <w:rPr>
                <w:rFonts w:ascii="Trebuchet MS" w:hAnsi="Trebuchet MS"/>
                <w:color w:val="231F20"/>
                <w:w w:val="92"/>
                <w:sz w:val="20"/>
              </w:rPr>
              <w:t>f</w:t>
            </w:r>
            <w:r>
              <w:rPr>
                <w:rFonts w:ascii="Trebuchet MS" w:hAnsi="Trebuchet MS"/>
                <w:color w:val="231F20"/>
                <w:sz w:val="20"/>
              </w:rPr>
              <w:t xml:space="preserve"> </w:t>
            </w:r>
            <w:r>
              <w:rPr>
                <w:rFonts w:ascii="Trebuchet MS" w:hAnsi="Trebuchet MS"/>
                <w:color w:val="231F20"/>
                <w:w w:val="104"/>
                <w:sz w:val="20"/>
              </w:rPr>
              <w:t>Vi</w:t>
            </w:r>
            <w:r>
              <w:rPr>
                <w:rFonts w:ascii="Trebuchet MS" w:hAnsi="Trebuchet MS"/>
                <w:color w:val="231F20"/>
                <w:w w:val="111"/>
                <w:sz w:val="20"/>
              </w:rPr>
              <w:t>c</w:t>
            </w:r>
            <w:r>
              <w:rPr>
                <w:rFonts w:ascii="Trebuchet MS" w:hAnsi="Trebuchet MS"/>
                <w:color w:val="231F20"/>
                <w:w w:val="88"/>
                <w:sz w:val="20"/>
              </w:rPr>
              <w:t>t</w:t>
            </w:r>
            <w:r>
              <w:rPr>
                <w:rFonts w:ascii="Trebuchet MS" w:hAnsi="Trebuchet MS"/>
                <w:color w:val="231F20"/>
                <w:w w:val="103"/>
                <w:sz w:val="20"/>
              </w:rPr>
              <w:t>or</w:t>
            </w:r>
            <w:r>
              <w:rPr>
                <w:rFonts w:ascii="Trebuchet MS" w:hAnsi="Trebuchet MS"/>
                <w:color w:val="231F20"/>
                <w:w w:val="80"/>
                <w:sz w:val="20"/>
              </w:rPr>
              <w:t>i</w:t>
            </w:r>
            <w:r>
              <w:rPr>
                <w:rFonts w:ascii="Trebuchet MS" w:hAnsi="Trebuchet MS"/>
                <w:color w:val="231F20"/>
                <w:w w:val="105"/>
                <w:sz w:val="20"/>
              </w:rPr>
              <w:t>a</w:t>
            </w:r>
            <w:r>
              <w:rPr>
                <w:rFonts w:ascii="Trebuchet MS" w:hAnsi="Trebuchet MS"/>
                <w:color w:val="231F20"/>
                <w:w w:val="55"/>
                <w:sz w:val="20"/>
              </w:rPr>
              <w:t>.</w:t>
            </w:r>
          </w:p>
        </w:tc>
      </w:tr>
      <w:tr w:rsidR="00894070" w14:paraId="7E6D1B52" w14:textId="77777777">
        <w:trPr>
          <w:trHeight w:val="1062"/>
        </w:trPr>
        <w:tc>
          <w:tcPr>
            <w:tcW w:w="566" w:type="dxa"/>
          </w:tcPr>
          <w:p w14:paraId="11C42355" w14:textId="77777777" w:rsidR="00894070" w:rsidRDefault="009B7AFD">
            <w:pPr>
              <w:pStyle w:val="TableParagraph"/>
              <w:spacing w:before="63"/>
              <w:ind w:left="33"/>
              <w:rPr>
                <w:rFonts w:ascii="Trebuchet MS"/>
                <w:sz w:val="20"/>
              </w:rPr>
            </w:pPr>
            <w:r>
              <w:rPr>
                <w:rFonts w:ascii="Trebuchet MS"/>
                <w:color w:val="231F20"/>
                <w:spacing w:val="1"/>
                <w:w w:val="102"/>
                <w:sz w:val="20"/>
              </w:rPr>
              <w:t>3</w:t>
            </w:r>
            <w:r>
              <w:rPr>
                <w:rFonts w:ascii="Trebuchet MS"/>
                <w:color w:val="231F20"/>
                <w:spacing w:val="-1"/>
                <w:w w:val="115"/>
                <w:sz w:val="20"/>
              </w:rPr>
              <w:t>6</w:t>
            </w:r>
            <w:r>
              <w:rPr>
                <w:rFonts w:ascii="Trebuchet MS"/>
                <w:color w:val="231F20"/>
                <w:w w:val="55"/>
                <w:sz w:val="20"/>
              </w:rPr>
              <w:t>.</w:t>
            </w:r>
          </w:p>
        </w:tc>
        <w:tc>
          <w:tcPr>
            <w:tcW w:w="686" w:type="dxa"/>
          </w:tcPr>
          <w:p w14:paraId="2C8C2C27" w14:textId="77777777" w:rsidR="00894070" w:rsidRDefault="009B7AFD">
            <w:pPr>
              <w:pStyle w:val="TableParagraph"/>
              <w:spacing w:before="63"/>
              <w:ind w:left="0" w:right="269"/>
              <w:jc w:val="right"/>
              <w:rPr>
                <w:rFonts w:ascii="Trebuchet MS"/>
                <w:sz w:val="20"/>
              </w:rPr>
            </w:pPr>
            <w:r>
              <w:rPr>
                <w:rFonts w:ascii="Trebuchet MS"/>
                <w:color w:val="231F20"/>
                <w:w w:val="85"/>
                <w:sz w:val="20"/>
              </w:rPr>
              <w:t>a.</w:t>
            </w:r>
          </w:p>
        </w:tc>
        <w:tc>
          <w:tcPr>
            <w:tcW w:w="7507" w:type="dxa"/>
          </w:tcPr>
          <w:p w14:paraId="18869775" w14:textId="77777777" w:rsidR="00894070" w:rsidRDefault="009B7AFD">
            <w:pPr>
              <w:pStyle w:val="TableParagraph"/>
              <w:spacing w:before="63" w:line="247" w:lineRule="auto"/>
              <w:ind w:left="255"/>
              <w:rPr>
                <w:rFonts w:ascii="Trebuchet MS"/>
                <w:sz w:val="20"/>
              </w:rPr>
            </w:pPr>
            <w:r>
              <w:rPr>
                <w:rFonts w:ascii="Trebuchet MS"/>
                <w:color w:val="231F20"/>
                <w:w w:val="105"/>
                <w:sz w:val="20"/>
              </w:rPr>
              <w:t>Victoria</w:t>
            </w:r>
            <w:r>
              <w:rPr>
                <w:rFonts w:ascii="Trebuchet MS"/>
                <w:color w:val="231F20"/>
                <w:spacing w:val="-28"/>
                <w:w w:val="105"/>
                <w:sz w:val="20"/>
              </w:rPr>
              <w:t xml:space="preserve"> </w:t>
            </w:r>
            <w:r>
              <w:rPr>
                <w:rFonts w:ascii="Trebuchet MS"/>
                <w:color w:val="231F20"/>
                <w:w w:val="105"/>
                <w:sz w:val="20"/>
              </w:rPr>
              <w:t>Police</w:t>
            </w:r>
            <w:r>
              <w:rPr>
                <w:rFonts w:ascii="Trebuchet MS"/>
                <w:color w:val="231F20"/>
                <w:spacing w:val="-27"/>
                <w:w w:val="105"/>
                <w:sz w:val="20"/>
              </w:rPr>
              <w:t xml:space="preserve"> </w:t>
            </w:r>
            <w:r>
              <w:rPr>
                <w:rFonts w:ascii="Trebuchet MS"/>
                <w:color w:val="231F20"/>
                <w:w w:val="105"/>
                <w:sz w:val="20"/>
              </w:rPr>
              <w:t>should</w:t>
            </w:r>
            <w:r>
              <w:rPr>
                <w:rFonts w:ascii="Trebuchet MS"/>
                <w:color w:val="231F20"/>
                <w:spacing w:val="-27"/>
                <w:w w:val="105"/>
                <w:sz w:val="20"/>
              </w:rPr>
              <w:t xml:space="preserve"> </w:t>
            </w:r>
            <w:r>
              <w:rPr>
                <w:rFonts w:ascii="Trebuchet MS"/>
                <w:color w:val="231F20"/>
                <w:spacing w:val="-3"/>
                <w:w w:val="105"/>
                <w:sz w:val="20"/>
              </w:rPr>
              <w:t>review</w:t>
            </w:r>
            <w:r>
              <w:rPr>
                <w:rFonts w:ascii="Trebuchet MS"/>
                <w:color w:val="231F20"/>
                <w:spacing w:val="-27"/>
                <w:w w:val="105"/>
                <w:sz w:val="20"/>
              </w:rPr>
              <w:t xml:space="preserve"> </w:t>
            </w:r>
            <w:r>
              <w:rPr>
                <w:rFonts w:ascii="Trebuchet MS"/>
                <w:color w:val="231F20"/>
                <w:w w:val="105"/>
                <w:sz w:val="20"/>
              </w:rPr>
              <w:t>its</w:t>
            </w:r>
            <w:r>
              <w:rPr>
                <w:rFonts w:ascii="Trebuchet MS"/>
                <w:color w:val="231F20"/>
                <w:spacing w:val="-28"/>
                <w:w w:val="105"/>
                <w:sz w:val="20"/>
              </w:rPr>
              <w:t xml:space="preserve"> </w:t>
            </w:r>
            <w:r>
              <w:rPr>
                <w:rFonts w:ascii="Trebuchet MS"/>
                <w:color w:val="231F20"/>
                <w:w w:val="105"/>
                <w:sz w:val="20"/>
              </w:rPr>
              <w:t>operational</w:t>
            </w:r>
            <w:r>
              <w:rPr>
                <w:rFonts w:ascii="Trebuchet MS"/>
                <w:color w:val="231F20"/>
                <w:spacing w:val="-27"/>
                <w:w w:val="105"/>
                <w:sz w:val="20"/>
              </w:rPr>
              <w:t xml:space="preserve"> </w:t>
            </w:r>
            <w:r>
              <w:rPr>
                <w:rFonts w:ascii="Trebuchet MS"/>
                <w:color w:val="231F20"/>
                <w:w w:val="105"/>
                <w:sz w:val="20"/>
              </w:rPr>
              <w:t>policy</w:t>
            </w:r>
            <w:r>
              <w:rPr>
                <w:rFonts w:ascii="Trebuchet MS"/>
                <w:color w:val="231F20"/>
                <w:spacing w:val="-27"/>
                <w:w w:val="105"/>
                <w:sz w:val="20"/>
              </w:rPr>
              <w:t xml:space="preserve"> </w:t>
            </w:r>
            <w:r>
              <w:rPr>
                <w:rFonts w:ascii="Trebuchet MS"/>
                <w:color w:val="231F20"/>
                <w:w w:val="105"/>
                <w:sz w:val="20"/>
              </w:rPr>
              <w:t>and</w:t>
            </w:r>
            <w:r>
              <w:rPr>
                <w:rFonts w:ascii="Trebuchet MS"/>
                <w:color w:val="231F20"/>
                <w:spacing w:val="-27"/>
                <w:w w:val="105"/>
                <w:sz w:val="20"/>
              </w:rPr>
              <w:t xml:space="preserve"> </w:t>
            </w:r>
            <w:r>
              <w:rPr>
                <w:rFonts w:ascii="Trebuchet MS"/>
                <w:color w:val="231F20"/>
                <w:w w:val="105"/>
                <w:sz w:val="20"/>
              </w:rPr>
              <w:t>practice</w:t>
            </w:r>
            <w:r>
              <w:rPr>
                <w:rFonts w:ascii="Trebuchet MS"/>
                <w:color w:val="231F20"/>
                <w:spacing w:val="-27"/>
                <w:w w:val="105"/>
                <w:sz w:val="20"/>
              </w:rPr>
              <w:t xml:space="preserve"> </w:t>
            </w:r>
            <w:r>
              <w:rPr>
                <w:rFonts w:ascii="Trebuchet MS"/>
                <w:color w:val="231F20"/>
                <w:w w:val="105"/>
                <w:sz w:val="20"/>
              </w:rPr>
              <w:t>material</w:t>
            </w:r>
            <w:r>
              <w:rPr>
                <w:rFonts w:ascii="Trebuchet MS"/>
                <w:color w:val="231F20"/>
                <w:spacing w:val="-28"/>
                <w:w w:val="105"/>
                <w:sz w:val="20"/>
              </w:rPr>
              <w:t xml:space="preserve"> </w:t>
            </w:r>
            <w:r>
              <w:rPr>
                <w:rFonts w:ascii="Trebuchet MS"/>
                <w:color w:val="231F20"/>
                <w:w w:val="105"/>
                <w:sz w:val="20"/>
              </w:rPr>
              <w:t xml:space="preserve">to </w:t>
            </w:r>
            <w:r>
              <w:rPr>
                <w:rFonts w:ascii="Trebuchet MS"/>
                <w:color w:val="231F20"/>
                <w:spacing w:val="-3"/>
                <w:w w:val="105"/>
                <w:sz w:val="20"/>
              </w:rPr>
              <w:t xml:space="preserve">develop </w:t>
            </w:r>
            <w:r>
              <w:rPr>
                <w:rFonts w:ascii="Trebuchet MS"/>
                <w:color w:val="231F20"/>
                <w:w w:val="105"/>
                <w:sz w:val="20"/>
              </w:rPr>
              <w:t xml:space="preserve">clear guidance for police members to </w:t>
            </w:r>
            <w:r>
              <w:rPr>
                <w:rFonts w:ascii="Trebuchet MS"/>
                <w:color w:val="231F20"/>
                <w:spacing w:val="-3"/>
                <w:w w:val="105"/>
                <w:sz w:val="20"/>
              </w:rPr>
              <w:t xml:space="preserve">follow </w:t>
            </w:r>
            <w:r>
              <w:rPr>
                <w:rFonts w:ascii="Trebuchet MS"/>
                <w:color w:val="231F20"/>
                <w:w w:val="105"/>
                <w:sz w:val="20"/>
              </w:rPr>
              <w:t>when responding to alleged</w:t>
            </w:r>
            <w:r>
              <w:rPr>
                <w:rFonts w:ascii="Trebuchet MS"/>
                <w:color w:val="231F20"/>
                <w:spacing w:val="-28"/>
                <w:w w:val="105"/>
                <w:sz w:val="20"/>
              </w:rPr>
              <w:t xml:space="preserve"> </w:t>
            </w:r>
            <w:r>
              <w:rPr>
                <w:rFonts w:ascii="Trebuchet MS"/>
                <w:color w:val="231F20"/>
                <w:w w:val="105"/>
                <w:sz w:val="20"/>
              </w:rPr>
              <w:t>breaches</w:t>
            </w:r>
            <w:r>
              <w:rPr>
                <w:rFonts w:ascii="Trebuchet MS"/>
                <w:color w:val="231F20"/>
                <w:spacing w:val="-27"/>
                <w:w w:val="105"/>
                <w:sz w:val="20"/>
              </w:rPr>
              <w:t xml:space="preserve"> </w:t>
            </w:r>
            <w:r>
              <w:rPr>
                <w:rFonts w:ascii="Trebuchet MS"/>
                <w:color w:val="231F20"/>
                <w:w w:val="105"/>
                <w:sz w:val="20"/>
              </w:rPr>
              <w:t>of</w:t>
            </w:r>
            <w:r>
              <w:rPr>
                <w:rFonts w:ascii="Trebuchet MS"/>
                <w:color w:val="231F20"/>
                <w:spacing w:val="-27"/>
                <w:w w:val="105"/>
                <w:sz w:val="20"/>
              </w:rPr>
              <w:t xml:space="preserve"> </w:t>
            </w:r>
            <w:r>
              <w:rPr>
                <w:rFonts w:ascii="Trebuchet MS"/>
                <w:color w:val="231F20"/>
                <w:w w:val="105"/>
                <w:sz w:val="20"/>
              </w:rPr>
              <w:t>personal</w:t>
            </w:r>
            <w:r>
              <w:rPr>
                <w:rFonts w:ascii="Trebuchet MS"/>
                <w:color w:val="231F20"/>
                <w:spacing w:val="-27"/>
                <w:w w:val="105"/>
                <w:sz w:val="20"/>
              </w:rPr>
              <w:t xml:space="preserve"> </w:t>
            </w:r>
            <w:r>
              <w:rPr>
                <w:rFonts w:ascii="Trebuchet MS"/>
                <w:color w:val="231F20"/>
                <w:w w:val="105"/>
                <w:sz w:val="20"/>
              </w:rPr>
              <w:t>safety</w:t>
            </w:r>
            <w:r>
              <w:rPr>
                <w:rFonts w:ascii="Trebuchet MS"/>
                <w:color w:val="231F20"/>
                <w:spacing w:val="-27"/>
                <w:w w:val="105"/>
                <w:sz w:val="20"/>
              </w:rPr>
              <w:t xml:space="preserve"> </w:t>
            </w:r>
            <w:r>
              <w:rPr>
                <w:rFonts w:ascii="Trebuchet MS"/>
                <w:color w:val="231F20"/>
                <w:w w:val="105"/>
                <w:sz w:val="20"/>
              </w:rPr>
              <w:t>intervention</w:t>
            </w:r>
            <w:r>
              <w:rPr>
                <w:rFonts w:ascii="Trebuchet MS"/>
                <w:color w:val="231F20"/>
                <w:spacing w:val="-27"/>
                <w:w w:val="105"/>
                <w:sz w:val="20"/>
              </w:rPr>
              <w:t xml:space="preserve"> </w:t>
            </w:r>
            <w:r>
              <w:rPr>
                <w:rFonts w:ascii="Trebuchet MS"/>
                <w:color w:val="231F20"/>
                <w:w w:val="105"/>
                <w:sz w:val="20"/>
              </w:rPr>
              <w:t>orders</w:t>
            </w:r>
            <w:r>
              <w:rPr>
                <w:rFonts w:ascii="Trebuchet MS"/>
                <w:color w:val="231F20"/>
                <w:spacing w:val="-27"/>
                <w:w w:val="105"/>
                <w:sz w:val="20"/>
              </w:rPr>
              <w:t xml:space="preserve"> </w:t>
            </w:r>
            <w:r>
              <w:rPr>
                <w:rFonts w:ascii="Trebuchet MS"/>
                <w:color w:val="231F20"/>
                <w:w w:val="105"/>
                <w:sz w:val="20"/>
              </w:rPr>
              <w:t>in</w:t>
            </w:r>
            <w:r>
              <w:rPr>
                <w:rFonts w:ascii="Trebuchet MS"/>
                <w:color w:val="231F20"/>
                <w:spacing w:val="-27"/>
                <w:w w:val="105"/>
                <w:sz w:val="20"/>
              </w:rPr>
              <w:t xml:space="preserve"> </w:t>
            </w:r>
            <w:r>
              <w:rPr>
                <w:rFonts w:ascii="Trebuchet MS"/>
                <w:color w:val="231F20"/>
                <w:w w:val="105"/>
                <w:sz w:val="20"/>
              </w:rPr>
              <w:t>relation</w:t>
            </w:r>
            <w:r>
              <w:rPr>
                <w:rFonts w:ascii="Trebuchet MS"/>
                <w:color w:val="231F20"/>
                <w:spacing w:val="-28"/>
                <w:w w:val="105"/>
                <w:sz w:val="20"/>
              </w:rPr>
              <w:t xml:space="preserve"> </w:t>
            </w:r>
            <w:r>
              <w:rPr>
                <w:rFonts w:ascii="Trebuchet MS"/>
                <w:color w:val="231F20"/>
                <w:w w:val="105"/>
                <w:sz w:val="20"/>
              </w:rPr>
              <w:t>to</w:t>
            </w:r>
            <w:r>
              <w:rPr>
                <w:rFonts w:ascii="Trebuchet MS"/>
                <w:color w:val="231F20"/>
                <w:spacing w:val="-27"/>
                <w:w w:val="105"/>
                <w:sz w:val="20"/>
              </w:rPr>
              <w:t xml:space="preserve"> </w:t>
            </w:r>
            <w:r>
              <w:rPr>
                <w:rFonts w:ascii="Trebuchet MS"/>
                <w:color w:val="231F20"/>
                <w:w w:val="105"/>
                <w:sz w:val="20"/>
              </w:rPr>
              <w:t xml:space="preserve">victim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3"/>
                <w:w w:val="93"/>
                <w:sz w:val="20"/>
              </w:rPr>
              <w:t>r</w:t>
            </w:r>
            <w:r>
              <w:rPr>
                <w:rFonts w:ascii="Trebuchet MS"/>
                <w:color w:val="231F20"/>
                <w:spacing w:val="-2"/>
                <w:w w:val="109"/>
                <w:sz w:val="20"/>
              </w:rPr>
              <w:t>v</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11"/>
                <w:sz w:val="20"/>
              </w:rPr>
              <w:t>o</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tc>
      </w:tr>
      <w:tr w:rsidR="00894070" w14:paraId="20F3DA05" w14:textId="77777777">
        <w:trPr>
          <w:trHeight w:val="582"/>
        </w:trPr>
        <w:tc>
          <w:tcPr>
            <w:tcW w:w="566" w:type="dxa"/>
          </w:tcPr>
          <w:p w14:paraId="3ABE255B" w14:textId="77777777" w:rsidR="00894070" w:rsidRDefault="00894070">
            <w:pPr>
              <w:pStyle w:val="TableParagraph"/>
              <w:ind w:left="0"/>
              <w:rPr>
                <w:rFonts w:ascii="Times New Roman"/>
                <w:sz w:val="18"/>
              </w:rPr>
            </w:pPr>
          </w:p>
        </w:tc>
        <w:tc>
          <w:tcPr>
            <w:tcW w:w="686" w:type="dxa"/>
          </w:tcPr>
          <w:p w14:paraId="2BABE49C" w14:textId="77777777" w:rsidR="00894070" w:rsidRDefault="009B7AFD">
            <w:pPr>
              <w:pStyle w:val="TableParagraph"/>
              <w:spacing w:before="45"/>
              <w:ind w:left="0" w:right="254"/>
              <w:jc w:val="right"/>
              <w:rPr>
                <w:rFonts w:ascii="Trebuchet MS"/>
                <w:sz w:val="20"/>
              </w:rPr>
            </w:pPr>
            <w:r>
              <w:rPr>
                <w:rFonts w:ascii="Trebuchet MS"/>
                <w:color w:val="231F20"/>
                <w:spacing w:val="-3"/>
                <w:w w:val="111"/>
                <w:sz w:val="20"/>
              </w:rPr>
              <w:t>b</w:t>
            </w:r>
            <w:r>
              <w:rPr>
                <w:rFonts w:ascii="Trebuchet MS"/>
                <w:color w:val="231F20"/>
                <w:w w:val="55"/>
                <w:sz w:val="20"/>
              </w:rPr>
              <w:t>.</w:t>
            </w:r>
          </w:p>
        </w:tc>
        <w:tc>
          <w:tcPr>
            <w:tcW w:w="7507" w:type="dxa"/>
          </w:tcPr>
          <w:p w14:paraId="7C6DF242" w14:textId="77777777" w:rsidR="00894070" w:rsidRDefault="009B7AFD">
            <w:pPr>
              <w:pStyle w:val="TableParagraph"/>
              <w:spacing w:before="45" w:line="247" w:lineRule="auto"/>
              <w:ind w:left="255" w:hanging="1"/>
              <w:rPr>
                <w:rFonts w:ascii="Trebuchet MS"/>
                <w:sz w:val="20"/>
              </w:rPr>
            </w:pPr>
            <w:r>
              <w:rPr>
                <w:rFonts w:ascii="Trebuchet MS"/>
                <w:color w:val="231F20"/>
                <w:w w:val="105"/>
                <w:sz w:val="20"/>
              </w:rPr>
              <w:t>Victoria</w:t>
            </w:r>
            <w:r>
              <w:rPr>
                <w:rFonts w:ascii="Trebuchet MS"/>
                <w:color w:val="231F20"/>
                <w:spacing w:val="-15"/>
                <w:w w:val="105"/>
                <w:sz w:val="20"/>
              </w:rPr>
              <w:t xml:space="preserve"> </w:t>
            </w:r>
            <w:r>
              <w:rPr>
                <w:rFonts w:ascii="Trebuchet MS"/>
                <w:color w:val="231F20"/>
                <w:w w:val="105"/>
                <w:sz w:val="20"/>
              </w:rPr>
              <w:t>Police</w:t>
            </w:r>
            <w:r>
              <w:rPr>
                <w:rFonts w:ascii="Trebuchet MS"/>
                <w:color w:val="231F20"/>
                <w:spacing w:val="-15"/>
                <w:w w:val="105"/>
                <w:sz w:val="20"/>
              </w:rPr>
              <w:t xml:space="preserve"> </w:t>
            </w:r>
            <w:r>
              <w:rPr>
                <w:rFonts w:ascii="Trebuchet MS"/>
                <w:color w:val="231F20"/>
                <w:w w:val="105"/>
                <w:sz w:val="20"/>
              </w:rPr>
              <w:t>should</w:t>
            </w:r>
            <w:r>
              <w:rPr>
                <w:rFonts w:ascii="Trebuchet MS"/>
                <w:color w:val="231F20"/>
                <w:spacing w:val="-14"/>
                <w:w w:val="105"/>
                <w:sz w:val="20"/>
              </w:rPr>
              <w:t xml:space="preserve"> </w:t>
            </w:r>
            <w:r>
              <w:rPr>
                <w:rFonts w:ascii="Trebuchet MS"/>
                <w:color w:val="231F20"/>
                <w:w w:val="105"/>
                <w:sz w:val="20"/>
              </w:rPr>
              <w:t>ensure</w:t>
            </w:r>
            <w:r>
              <w:rPr>
                <w:rFonts w:ascii="Trebuchet MS"/>
                <w:color w:val="231F20"/>
                <w:spacing w:val="-15"/>
                <w:w w:val="105"/>
                <w:sz w:val="20"/>
              </w:rPr>
              <w:t xml:space="preserve"> </w:t>
            </w:r>
            <w:r>
              <w:rPr>
                <w:rFonts w:ascii="Trebuchet MS"/>
                <w:color w:val="231F20"/>
                <w:w w:val="105"/>
                <w:sz w:val="20"/>
              </w:rPr>
              <w:t>that</w:t>
            </w:r>
            <w:r>
              <w:rPr>
                <w:rFonts w:ascii="Trebuchet MS"/>
                <w:color w:val="231F20"/>
                <w:spacing w:val="-15"/>
                <w:w w:val="105"/>
                <w:sz w:val="20"/>
              </w:rPr>
              <w:t xml:space="preserve"> </w:t>
            </w:r>
            <w:r>
              <w:rPr>
                <w:rFonts w:ascii="Trebuchet MS"/>
                <w:color w:val="231F20"/>
                <w:w w:val="105"/>
                <w:sz w:val="20"/>
              </w:rPr>
              <w:t>responses</w:t>
            </w:r>
            <w:r>
              <w:rPr>
                <w:rFonts w:ascii="Trebuchet MS"/>
                <w:color w:val="231F20"/>
                <w:spacing w:val="-14"/>
                <w:w w:val="105"/>
                <w:sz w:val="20"/>
              </w:rPr>
              <w:t xml:space="preserve"> </w:t>
            </w:r>
            <w:r>
              <w:rPr>
                <w:rFonts w:ascii="Trebuchet MS"/>
                <w:color w:val="231F20"/>
                <w:w w:val="105"/>
                <w:sz w:val="20"/>
              </w:rPr>
              <w:t>to</w:t>
            </w:r>
            <w:r>
              <w:rPr>
                <w:rFonts w:ascii="Trebuchet MS"/>
                <w:color w:val="231F20"/>
                <w:spacing w:val="-15"/>
                <w:w w:val="105"/>
                <w:sz w:val="20"/>
              </w:rPr>
              <w:t xml:space="preserve"> </w:t>
            </w:r>
            <w:r>
              <w:rPr>
                <w:rFonts w:ascii="Trebuchet MS"/>
                <w:color w:val="231F20"/>
                <w:w w:val="105"/>
                <w:sz w:val="20"/>
              </w:rPr>
              <w:t>alleged</w:t>
            </w:r>
            <w:r>
              <w:rPr>
                <w:rFonts w:ascii="Trebuchet MS"/>
                <w:color w:val="231F20"/>
                <w:spacing w:val="-14"/>
                <w:w w:val="105"/>
                <w:sz w:val="20"/>
              </w:rPr>
              <w:t xml:space="preserve"> </w:t>
            </w:r>
            <w:r>
              <w:rPr>
                <w:rFonts w:ascii="Trebuchet MS"/>
                <w:color w:val="231F20"/>
                <w:w w:val="105"/>
                <w:sz w:val="20"/>
              </w:rPr>
              <w:t>breaches</w:t>
            </w:r>
            <w:r>
              <w:rPr>
                <w:rFonts w:ascii="Trebuchet MS"/>
                <w:color w:val="231F20"/>
                <w:spacing w:val="-15"/>
                <w:w w:val="105"/>
                <w:sz w:val="20"/>
              </w:rPr>
              <w:t xml:space="preserve"> </w:t>
            </w:r>
            <w:r>
              <w:rPr>
                <w:rFonts w:ascii="Trebuchet MS"/>
                <w:color w:val="231F20"/>
                <w:spacing w:val="-2"/>
                <w:w w:val="105"/>
                <w:sz w:val="20"/>
              </w:rPr>
              <w:t>are</w:t>
            </w:r>
            <w:r>
              <w:rPr>
                <w:rFonts w:ascii="Trebuchet MS"/>
                <w:color w:val="231F20"/>
                <w:spacing w:val="-15"/>
                <w:w w:val="105"/>
                <w:sz w:val="20"/>
              </w:rPr>
              <w:t xml:space="preserve"> </w:t>
            </w:r>
            <w:r>
              <w:rPr>
                <w:rFonts w:ascii="Trebuchet MS"/>
                <w:color w:val="231F20"/>
                <w:spacing w:val="-3"/>
                <w:w w:val="105"/>
                <w:sz w:val="20"/>
              </w:rPr>
              <w:t xml:space="preserve">timely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w w:val="111"/>
                <w:sz w:val="20"/>
              </w:rPr>
              <w:t>c</w:t>
            </w:r>
            <w:r>
              <w:rPr>
                <w:rFonts w:ascii="Trebuchet MS"/>
                <w:color w:val="231F20"/>
                <w:spacing w:val="-1"/>
                <w:w w:val="105"/>
                <w:sz w:val="20"/>
              </w:rPr>
              <w:t>a</w:t>
            </w:r>
            <w:r>
              <w:rPr>
                <w:rFonts w:ascii="Trebuchet MS"/>
                <w:color w:val="231F20"/>
                <w:spacing w:val="-1"/>
                <w:w w:val="111"/>
                <w:sz w:val="20"/>
              </w:rPr>
              <w:t>p</w:t>
            </w:r>
            <w:r>
              <w:rPr>
                <w:rFonts w:ascii="Trebuchet MS"/>
                <w:color w:val="231F20"/>
                <w:spacing w:val="-2"/>
                <w:w w:val="105"/>
                <w:sz w:val="20"/>
              </w:rPr>
              <w:t>a</w:t>
            </w:r>
            <w:r>
              <w:rPr>
                <w:rFonts w:ascii="Trebuchet MS"/>
                <w:color w:val="231F20"/>
                <w:spacing w:val="-2"/>
                <w:w w:val="111"/>
                <w:sz w:val="20"/>
              </w:rPr>
              <w:t>b</w:t>
            </w:r>
            <w:r>
              <w:rPr>
                <w:rFonts w:ascii="Trebuchet MS"/>
                <w:color w:val="231F20"/>
                <w:spacing w:val="-3"/>
                <w:w w:val="96"/>
                <w:sz w:val="20"/>
              </w:rPr>
              <w:t>l</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11"/>
                <w:sz w:val="20"/>
              </w:rPr>
              <w:t>m</w:t>
            </w:r>
            <w:r>
              <w:rPr>
                <w:rFonts w:ascii="Trebuchet MS"/>
                <w:color w:val="231F20"/>
                <w:w w:val="108"/>
                <w:sz w:val="20"/>
              </w:rPr>
              <w:t>e</w:t>
            </w:r>
            <w:r>
              <w:rPr>
                <w:rFonts w:ascii="Trebuchet MS"/>
                <w:color w:val="231F20"/>
                <w:spacing w:val="-3"/>
                <w:w w:val="108"/>
                <w:sz w:val="20"/>
              </w:rPr>
              <w:t>e</w:t>
            </w:r>
            <w:r>
              <w:rPr>
                <w:rFonts w:ascii="Trebuchet MS"/>
                <w:color w:val="231F20"/>
                <w:spacing w:val="-2"/>
                <w:w w:val="88"/>
                <w:sz w:val="20"/>
              </w:rPr>
              <w:t>t</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1"/>
                <w:w w:val="107"/>
                <w:sz w:val="20"/>
              </w:rPr>
              <w:t>n</w:t>
            </w:r>
            <w:r>
              <w:rPr>
                <w:rFonts w:ascii="Trebuchet MS"/>
                <w:color w:val="231F20"/>
                <w:w w:val="108"/>
                <w:sz w:val="20"/>
              </w:rPr>
              <w:t>ee</w:t>
            </w:r>
            <w:r>
              <w:rPr>
                <w:rFonts w:ascii="Trebuchet MS"/>
                <w:color w:val="231F20"/>
                <w:spacing w:val="-1"/>
                <w:w w:val="112"/>
                <w:sz w:val="20"/>
              </w:rPr>
              <w:t>d</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2"/>
                <w:w w:val="88"/>
                <w:sz w:val="20"/>
              </w:rPr>
              <w:t>t</w:t>
            </w:r>
            <w:r>
              <w:rPr>
                <w:rFonts w:ascii="Trebuchet MS"/>
                <w:color w:val="231F20"/>
                <w:spacing w:val="-2"/>
                <w:w w:val="80"/>
                <w:sz w:val="20"/>
              </w:rPr>
              <w:t>i</w:t>
            </w:r>
            <w:r>
              <w:rPr>
                <w:rFonts w:ascii="Trebuchet MS"/>
                <w:color w:val="231F20"/>
                <w:w w:val="111"/>
                <w:sz w:val="20"/>
              </w:rPr>
              <w:t>m</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3"/>
                <w:w w:val="93"/>
                <w:sz w:val="20"/>
              </w:rPr>
              <w:t>r</w:t>
            </w:r>
            <w:r>
              <w:rPr>
                <w:rFonts w:ascii="Trebuchet MS"/>
                <w:color w:val="231F20"/>
                <w:spacing w:val="-2"/>
                <w:w w:val="109"/>
                <w:sz w:val="20"/>
              </w:rPr>
              <w:t>v</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11"/>
                <w:sz w:val="20"/>
              </w:rPr>
              <w:t>o</w:t>
            </w:r>
            <w:r>
              <w:rPr>
                <w:rFonts w:ascii="Trebuchet MS"/>
                <w:color w:val="231F20"/>
                <w:spacing w:val="-1"/>
                <w:w w:val="93"/>
                <w:sz w:val="20"/>
              </w:rPr>
              <w:t>r</w:t>
            </w:r>
            <w:r>
              <w:rPr>
                <w:rFonts w:ascii="Trebuchet MS"/>
                <w:color w:val="231F20"/>
                <w:spacing w:val="1"/>
                <w:w w:val="122"/>
                <w:sz w:val="20"/>
              </w:rPr>
              <w:t>s</w:t>
            </w:r>
            <w:r>
              <w:rPr>
                <w:rFonts w:ascii="Trebuchet MS"/>
                <w:color w:val="231F20"/>
                <w:w w:val="55"/>
                <w:sz w:val="20"/>
              </w:rPr>
              <w:t>.</w:t>
            </w:r>
          </w:p>
        </w:tc>
      </w:tr>
      <w:tr w:rsidR="00894070" w14:paraId="66A560D4" w14:textId="77777777">
        <w:trPr>
          <w:trHeight w:val="1062"/>
        </w:trPr>
        <w:tc>
          <w:tcPr>
            <w:tcW w:w="566" w:type="dxa"/>
          </w:tcPr>
          <w:p w14:paraId="45FFB806" w14:textId="77777777" w:rsidR="00894070" w:rsidRDefault="009B7AFD">
            <w:pPr>
              <w:pStyle w:val="TableParagraph"/>
              <w:spacing w:before="63"/>
              <w:ind w:left="33"/>
              <w:rPr>
                <w:rFonts w:ascii="Trebuchet MS"/>
                <w:sz w:val="20"/>
              </w:rPr>
            </w:pPr>
            <w:r>
              <w:rPr>
                <w:rFonts w:ascii="Trebuchet MS"/>
                <w:color w:val="231F20"/>
                <w:sz w:val="20"/>
              </w:rPr>
              <w:t>37.</w:t>
            </w:r>
          </w:p>
        </w:tc>
        <w:tc>
          <w:tcPr>
            <w:tcW w:w="686" w:type="dxa"/>
          </w:tcPr>
          <w:p w14:paraId="7E439F95" w14:textId="77777777" w:rsidR="00894070" w:rsidRDefault="009B7AFD">
            <w:pPr>
              <w:pStyle w:val="TableParagraph"/>
              <w:spacing w:before="63"/>
              <w:ind w:left="0" w:right="269"/>
              <w:jc w:val="right"/>
              <w:rPr>
                <w:rFonts w:ascii="Trebuchet MS"/>
                <w:sz w:val="20"/>
              </w:rPr>
            </w:pPr>
            <w:r>
              <w:rPr>
                <w:rFonts w:ascii="Trebuchet MS"/>
                <w:color w:val="231F20"/>
                <w:w w:val="85"/>
                <w:sz w:val="20"/>
              </w:rPr>
              <w:t>a.</w:t>
            </w:r>
          </w:p>
        </w:tc>
        <w:tc>
          <w:tcPr>
            <w:tcW w:w="7507" w:type="dxa"/>
          </w:tcPr>
          <w:p w14:paraId="034E1C6E" w14:textId="77777777" w:rsidR="00894070" w:rsidRDefault="009B7AFD">
            <w:pPr>
              <w:pStyle w:val="TableParagraph"/>
              <w:spacing w:before="63" w:line="247" w:lineRule="auto"/>
              <w:ind w:left="255" w:right="72"/>
              <w:rPr>
                <w:rFonts w:ascii="Trebuchet MS"/>
                <w:sz w:val="20"/>
              </w:rPr>
            </w:pPr>
            <w:r>
              <w:rPr>
                <w:rFonts w:ascii="Trebuchet MS"/>
                <w:color w:val="231F20"/>
                <w:sz w:val="20"/>
              </w:rPr>
              <w:t xml:space="preserve">Where an alleged breach of a personal safety intervention order has occurred, </w:t>
            </w:r>
            <w:r>
              <w:rPr>
                <w:rFonts w:ascii="Trebuchet MS"/>
                <w:color w:val="231F20"/>
                <w:spacing w:val="-1"/>
                <w:w w:val="111"/>
                <w:sz w:val="20"/>
              </w:rPr>
              <w:t>b</w:t>
            </w:r>
            <w:r>
              <w:rPr>
                <w:rFonts w:ascii="Trebuchet MS"/>
                <w:color w:val="231F20"/>
                <w:spacing w:val="-3"/>
                <w:w w:val="109"/>
                <w:sz w:val="20"/>
              </w:rPr>
              <w:t>u</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09"/>
                <w:sz w:val="20"/>
              </w:rPr>
              <w:t>u</w:t>
            </w:r>
            <w:r>
              <w:rPr>
                <w:rFonts w:ascii="Trebuchet MS"/>
                <w:color w:val="231F20"/>
                <w:spacing w:val="-1"/>
                <w:w w:val="111"/>
                <w:sz w:val="20"/>
              </w:rPr>
              <w:t>po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6"/>
                <w:w w:val="107"/>
                <w:sz w:val="20"/>
              </w:rPr>
              <w:t>n</w:t>
            </w:r>
            <w:r>
              <w:rPr>
                <w:rFonts w:ascii="Trebuchet MS"/>
                <w:color w:val="231F20"/>
                <w:spacing w:val="-6"/>
                <w:w w:val="109"/>
                <w:sz w:val="20"/>
              </w:rPr>
              <w:t>v</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24"/>
                <w:sz w:val="20"/>
              </w:rPr>
              <w:t>g</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w w:val="105"/>
                <w:sz w:val="20"/>
              </w:rPr>
              <w:t>a</w:t>
            </w:r>
            <w:r>
              <w:rPr>
                <w:rFonts w:ascii="Trebuchet MS"/>
                <w:color w:val="231F20"/>
                <w:spacing w:val="-14"/>
                <w:sz w:val="20"/>
              </w:rPr>
              <w:t xml:space="preserve"> </w:t>
            </w:r>
            <w:r>
              <w:rPr>
                <w:rFonts w:ascii="Trebuchet MS"/>
                <w:color w:val="231F20"/>
                <w:spacing w:val="-3"/>
                <w:w w:val="111"/>
                <w:sz w:val="20"/>
              </w:rPr>
              <w:t>P</w:t>
            </w:r>
            <w:r>
              <w:rPr>
                <w:rFonts w:ascii="Trebuchet MS"/>
                <w:color w:val="231F20"/>
                <w:spacing w:val="-2"/>
                <w:w w:val="111"/>
                <w:sz w:val="20"/>
              </w:rPr>
              <w:t>o</w:t>
            </w:r>
            <w:r>
              <w:rPr>
                <w:rFonts w:ascii="Trebuchet MS"/>
                <w:color w:val="231F20"/>
                <w:w w:val="96"/>
                <w:sz w:val="20"/>
              </w:rPr>
              <w:t>l</w:t>
            </w:r>
            <w:r>
              <w:rPr>
                <w:rFonts w:ascii="Trebuchet MS"/>
                <w:color w:val="231F20"/>
                <w:spacing w:val="-1"/>
                <w:w w:val="80"/>
                <w:sz w:val="20"/>
              </w:rPr>
              <w:t>i</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2"/>
                <w:sz w:val="20"/>
              </w:rPr>
              <w:t>d</w:t>
            </w:r>
            <w:r>
              <w:rPr>
                <w:rFonts w:ascii="Trebuchet MS"/>
                <w:color w:val="231F20"/>
                <w:w w:val="108"/>
                <w:sz w:val="20"/>
              </w:rPr>
              <w:t>e</w:t>
            </w:r>
            <w:r>
              <w:rPr>
                <w:rFonts w:ascii="Trebuchet MS"/>
                <w:color w:val="231F20"/>
                <w:spacing w:val="-2"/>
                <w:w w:val="111"/>
                <w:sz w:val="20"/>
              </w:rPr>
              <w:t>c</w:t>
            </w:r>
            <w:r>
              <w:rPr>
                <w:rFonts w:ascii="Trebuchet MS"/>
                <w:color w:val="231F20"/>
                <w:spacing w:val="-1"/>
                <w:w w:val="80"/>
                <w:sz w:val="20"/>
              </w:rPr>
              <w:t>i</w:t>
            </w:r>
            <w:r>
              <w:rPr>
                <w:rFonts w:ascii="Trebuchet MS"/>
                <w:color w:val="231F20"/>
                <w:spacing w:val="-2"/>
                <w:w w:val="112"/>
                <w:sz w:val="20"/>
              </w:rPr>
              <w:t>d</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4"/>
                <w:w w:val="111"/>
                <w:sz w:val="20"/>
              </w:rPr>
              <w:t>o</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w w:val="80"/>
                <w:sz w:val="20"/>
              </w:rPr>
              <w:t>f</w:t>
            </w:r>
            <w:r>
              <w:rPr>
                <w:rFonts w:ascii="Trebuchet MS"/>
                <w:color w:val="231F20"/>
                <w:spacing w:val="-2"/>
                <w:w w:val="80"/>
                <w:sz w:val="20"/>
              </w:rPr>
              <w:t>i</w:t>
            </w:r>
            <w:r>
              <w:rPr>
                <w:rFonts w:ascii="Trebuchet MS"/>
                <w:color w:val="231F20"/>
                <w:spacing w:val="-3"/>
                <w:w w:val="96"/>
                <w:sz w:val="20"/>
              </w:rPr>
              <w:t>l</w:t>
            </w:r>
            <w:r>
              <w:rPr>
                <w:rFonts w:ascii="Trebuchet MS"/>
                <w:color w:val="231F20"/>
                <w:w w:val="108"/>
                <w:sz w:val="20"/>
              </w:rPr>
              <w:t>e</w:t>
            </w:r>
            <w:r>
              <w:rPr>
                <w:rFonts w:ascii="Trebuchet MS"/>
                <w:color w:val="231F20"/>
                <w:spacing w:val="-14"/>
                <w:sz w:val="20"/>
              </w:rPr>
              <w:t xml:space="preserve"> </w:t>
            </w:r>
            <w:r>
              <w:rPr>
                <w:rFonts w:ascii="Trebuchet MS"/>
                <w:color w:val="231F20"/>
                <w:w w:val="105"/>
                <w:sz w:val="20"/>
              </w:rPr>
              <w:t>a</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1"/>
                <w:w w:val="107"/>
                <w:sz w:val="20"/>
              </w:rPr>
              <w:t>h</w:t>
            </w:r>
            <w:r>
              <w:rPr>
                <w:rFonts w:ascii="Trebuchet MS"/>
                <w:color w:val="231F20"/>
                <w:spacing w:val="-2"/>
                <w:w w:val="105"/>
                <w:sz w:val="20"/>
              </w:rPr>
              <w:t>a</w:t>
            </w:r>
            <w:r>
              <w:rPr>
                <w:rFonts w:ascii="Trebuchet MS"/>
                <w:color w:val="231F20"/>
                <w:spacing w:val="-4"/>
                <w:w w:val="93"/>
                <w:sz w:val="20"/>
              </w:rPr>
              <w:t>r</w:t>
            </w:r>
            <w:r>
              <w:rPr>
                <w:rFonts w:ascii="Trebuchet MS"/>
                <w:color w:val="231F20"/>
                <w:spacing w:val="-1"/>
                <w:w w:val="124"/>
                <w:sz w:val="20"/>
              </w:rPr>
              <w:t>g</w:t>
            </w:r>
            <w:r>
              <w:rPr>
                <w:rFonts w:ascii="Trebuchet MS"/>
                <w:color w:val="231F20"/>
                <w:spacing w:val="-3"/>
                <w:w w:val="108"/>
                <w:sz w:val="20"/>
              </w:rPr>
              <w:t>e</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w w:val="105"/>
                <w:sz w:val="20"/>
              </w:rPr>
              <w:t xml:space="preserve">a </w:t>
            </w:r>
            <w:r>
              <w:rPr>
                <w:rFonts w:ascii="Trebuchet MS"/>
                <w:color w:val="231F20"/>
                <w:sz w:val="20"/>
              </w:rPr>
              <w:t xml:space="preserve">Police should </w:t>
            </w:r>
            <w:r>
              <w:rPr>
                <w:rFonts w:ascii="Trebuchet MS"/>
                <w:color w:val="231F20"/>
                <w:spacing w:val="-3"/>
                <w:sz w:val="20"/>
              </w:rPr>
              <w:t xml:space="preserve">provide </w:t>
            </w:r>
            <w:r>
              <w:rPr>
                <w:rFonts w:ascii="Trebuchet MS"/>
                <w:color w:val="231F20"/>
                <w:sz w:val="20"/>
              </w:rPr>
              <w:t xml:space="preserve">an explanation for its decision not to charge to the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4"/>
                <w:w w:val="111"/>
                <w:sz w:val="20"/>
              </w:rPr>
              <w:t>o</w:t>
            </w:r>
            <w:r>
              <w:rPr>
                <w:rFonts w:ascii="Trebuchet MS"/>
                <w:color w:val="231F20"/>
                <w:spacing w:val="-4"/>
                <w:w w:val="88"/>
                <w:sz w:val="20"/>
              </w:rPr>
              <w:t>t</w:t>
            </w:r>
            <w:r>
              <w:rPr>
                <w:rFonts w:ascii="Trebuchet MS"/>
                <w:color w:val="231F20"/>
                <w:w w:val="108"/>
                <w:sz w:val="20"/>
              </w:rPr>
              <w:t>e</w:t>
            </w:r>
            <w:r>
              <w:rPr>
                <w:rFonts w:ascii="Trebuchet MS"/>
                <w:color w:val="231F20"/>
                <w:spacing w:val="-2"/>
                <w:w w:val="111"/>
                <w:sz w:val="20"/>
              </w:rPr>
              <w:t>c</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6"/>
                <w:w w:val="111"/>
                <w:sz w:val="20"/>
              </w:rPr>
              <w:t>b</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14"/>
                <w:w w:val="93"/>
                <w:sz w:val="20"/>
              </w:rPr>
              <w:t>r</w:t>
            </w:r>
            <w:r>
              <w:rPr>
                <w:rFonts w:ascii="Trebuchet MS"/>
                <w:color w:val="231F20"/>
                <w:w w:val="55"/>
                <w:sz w:val="20"/>
              </w:rPr>
              <w:t>.</w:t>
            </w:r>
          </w:p>
        </w:tc>
      </w:tr>
      <w:tr w:rsidR="00894070" w14:paraId="36CB9436" w14:textId="77777777">
        <w:trPr>
          <w:trHeight w:val="519"/>
        </w:trPr>
        <w:tc>
          <w:tcPr>
            <w:tcW w:w="566" w:type="dxa"/>
          </w:tcPr>
          <w:p w14:paraId="7180A00C" w14:textId="77777777" w:rsidR="00894070" w:rsidRDefault="00894070">
            <w:pPr>
              <w:pStyle w:val="TableParagraph"/>
              <w:ind w:left="0"/>
              <w:rPr>
                <w:rFonts w:ascii="Times New Roman"/>
                <w:sz w:val="18"/>
              </w:rPr>
            </w:pPr>
          </w:p>
        </w:tc>
        <w:tc>
          <w:tcPr>
            <w:tcW w:w="686" w:type="dxa"/>
          </w:tcPr>
          <w:p w14:paraId="6E88E6F1" w14:textId="77777777" w:rsidR="00894070" w:rsidRDefault="009B7AFD">
            <w:pPr>
              <w:pStyle w:val="TableParagraph"/>
              <w:spacing w:before="45"/>
              <w:ind w:left="0" w:right="254"/>
              <w:jc w:val="right"/>
              <w:rPr>
                <w:rFonts w:ascii="Trebuchet MS"/>
                <w:sz w:val="20"/>
              </w:rPr>
            </w:pPr>
            <w:r>
              <w:rPr>
                <w:rFonts w:ascii="Trebuchet MS"/>
                <w:color w:val="231F20"/>
                <w:spacing w:val="-3"/>
                <w:w w:val="111"/>
                <w:sz w:val="20"/>
              </w:rPr>
              <w:t>b</w:t>
            </w:r>
            <w:r>
              <w:rPr>
                <w:rFonts w:ascii="Trebuchet MS"/>
                <w:color w:val="231F20"/>
                <w:w w:val="55"/>
                <w:sz w:val="20"/>
              </w:rPr>
              <w:t>.</w:t>
            </w:r>
          </w:p>
        </w:tc>
        <w:tc>
          <w:tcPr>
            <w:tcW w:w="7507" w:type="dxa"/>
          </w:tcPr>
          <w:p w14:paraId="15108BB0" w14:textId="77777777" w:rsidR="00894070" w:rsidRDefault="009B7AFD">
            <w:pPr>
              <w:pStyle w:val="TableParagraph"/>
              <w:spacing w:before="37" w:line="240" w:lineRule="atLeast"/>
              <w:ind w:left="255" w:hanging="1"/>
              <w:rPr>
                <w:rFonts w:ascii="Trebuchet MS"/>
                <w:sz w:val="20"/>
              </w:rPr>
            </w:pPr>
            <w:r>
              <w:rPr>
                <w:rFonts w:ascii="Trebuchet MS"/>
                <w:color w:val="231F20"/>
                <w:spacing w:val="-2"/>
                <w:w w:val="93"/>
                <w:sz w:val="20"/>
              </w:rPr>
              <w:t>I</w:t>
            </w:r>
            <w:r>
              <w:rPr>
                <w:rFonts w:ascii="Trebuchet MS"/>
                <w:color w:val="231F20"/>
                <w:w w:val="92"/>
                <w:sz w:val="20"/>
              </w:rPr>
              <w:t>f</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11"/>
                <w:sz w:val="20"/>
              </w:rPr>
              <w:t>q</w:t>
            </w:r>
            <w:r>
              <w:rPr>
                <w:rFonts w:ascii="Trebuchet MS"/>
                <w:color w:val="231F20"/>
                <w:spacing w:val="-2"/>
                <w:w w:val="109"/>
                <w:sz w:val="20"/>
              </w:rPr>
              <w:t>u</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6"/>
                <w:w w:val="111"/>
                <w:sz w:val="20"/>
              </w:rPr>
              <w:t>b</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4"/>
                <w:w w:val="111"/>
                <w:sz w:val="20"/>
              </w:rPr>
              <w:t>o</w:t>
            </w:r>
            <w:r>
              <w:rPr>
                <w:rFonts w:ascii="Trebuchet MS"/>
                <w:color w:val="231F20"/>
                <w:spacing w:val="-4"/>
                <w:w w:val="88"/>
                <w:sz w:val="20"/>
              </w:rPr>
              <w:t>t</w:t>
            </w:r>
            <w:r>
              <w:rPr>
                <w:rFonts w:ascii="Trebuchet MS"/>
                <w:color w:val="231F20"/>
                <w:w w:val="108"/>
                <w:sz w:val="20"/>
              </w:rPr>
              <w:t>e</w:t>
            </w:r>
            <w:r>
              <w:rPr>
                <w:rFonts w:ascii="Trebuchet MS"/>
                <w:color w:val="231F20"/>
                <w:spacing w:val="-2"/>
                <w:w w:val="111"/>
                <w:sz w:val="20"/>
              </w:rPr>
              <w:t>c</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w w:val="57"/>
                <w:sz w:val="20"/>
              </w:rPr>
              <w:t>,</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2"/>
                <w:w w:val="107"/>
                <w:sz w:val="20"/>
              </w:rPr>
              <w:t>h</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12"/>
                <w:sz w:val="20"/>
              </w:rPr>
              <w:t>d</w:t>
            </w:r>
            <w:r>
              <w:rPr>
                <w:rFonts w:ascii="Trebuchet MS"/>
                <w:color w:val="231F20"/>
                <w:w w:val="108"/>
                <w:sz w:val="20"/>
              </w:rPr>
              <w:t>e</w:t>
            </w:r>
            <w:r>
              <w:rPr>
                <w:rFonts w:ascii="Trebuchet MS"/>
                <w:color w:val="231F20"/>
                <w:spacing w:val="-2"/>
                <w:w w:val="111"/>
                <w:sz w:val="20"/>
              </w:rPr>
              <w:t>c</w:t>
            </w:r>
            <w:r>
              <w:rPr>
                <w:rFonts w:ascii="Trebuchet MS"/>
                <w:color w:val="231F20"/>
                <w:spacing w:val="-1"/>
                <w:w w:val="80"/>
                <w:sz w:val="20"/>
              </w:rPr>
              <w:t>i</w:t>
            </w:r>
            <w:r>
              <w:rPr>
                <w:rFonts w:ascii="Trebuchet MS"/>
                <w:color w:val="231F20"/>
                <w:spacing w:val="-2"/>
                <w:w w:val="122"/>
                <w:sz w:val="20"/>
              </w:rPr>
              <w:t>s</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6"/>
                <w:w w:val="111"/>
                <w:sz w:val="20"/>
              </w:rPr>
              <w:t>o</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2"/>
                <w:sz w:val="20"/>
              </w:rPr>
              <w:t>d</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 xml:space="preserve">n </w:t>
            </w:r>
            <w:r>
              <w:rPr>
                <w:rFonts w:ascii="Trebuchet MS"/>
                <w:color w:val="231F20"/>
                <w:spacing w:val="-2"/>
                <w:w w:val="104"/>
                <w:sz w:val="20"/>
              </w:rPr>
              <w:t>wr</w:t>
            </w:r>
            <w:r>
              <w:rPr>
                <w:rFonts w:ascii="Trebuchet MS"/>
                <w:color w:val="231F20"/>
                <w:spacing w:val="-3"/>
                <w:w w:val="80"/>
                <w:sz w:val="20"/>
              </w:rPr>
              <w:t>i</w:t>
            </w:r>
            <w:r>
              <w:rPr>
                <w:rFonts w:ascii="Trebuchet MS"/>
                <w:color w:val="231F20"/>
                <w:spacing w:val="-2"/>
                <w:w w:val="85"/>
                <w:sz w:val="20"/>
              </w:rPr>
              <w:t>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tc>
      </w:tr>
    </w:tbl>
    <w:p w14:paraId="3B01BB14" w14:textId="77777777" w:rsidR="00894070" w:rsidRDefault="009B7AFD">
      <w:pPr>
        <w:pStyle w:val="ListParagraph"/>
        <w:numPr>
          <w:ilvl w:val="0"/>
          <w:numId w:val="181"/>
        </w:numPr>
        <w:tabs>
          <w:tab w:val="left" w:pos="1801"/>
          <w:tab w:val="left" w:pos="1802"/>
        </w:tabs>
        <w:spacing w:before="125" w:line="247" w:lineRule="auto"/>
        <w:ind w:right="1446"/>
        <w:rPr>
          <w:rFonts w:ascii="Trebuchet MS" w:hAnsi="Trebuchet MS"/>
          <w:sz w:val="20"/>
        </w:rPr>
      </w:pPr>
      <w:r>
        <w:rPr>
          <w:rFonts w:ascii="Trebuchet MS" w:hAnsi="Trebuchet MS"/>
          <w:color w:val="231F20"/>
          <w:w w:val="105"/>
          <w:sz w:val="20"/>
        </w:rPr>
        <w:t>The</w:t>
      </w:r>
      <w:r>
        <w:rPr>
          <w:rFonts w:ascii="Trebuchet MS" w:hAnsi="Trebuchet MS"/>
          <w:color w:val="231F20"/>
          <w:spacing w:val="-18"/>
          <w:w w:val="105"/>
          <w:sz w:val="20"/>
        </w:rPr>
        <w:t xml:space="preserve"> </w:t>
      </w:r>
      <w:r>
        <w:rPr>
          <w:rFonts w:ascii="Trebuchet MS" w:hAnsi="Trebuchet MS"/>
          <w:color w:val="231F20"/>
          <w:w w:val="105"/>
          <w:sz w:val="20"/>
        </w:rPr>
        <w:t>Victorian</w:t>
      </w:r>
      <w:r>
        <w:rPr>
          <w:rFonts w:ascii="Trebuchet MS" w:hAnsi="Trebuchet MS"/>
          <w:color w:val="231F20"/>
          <w:spacing w:val="-17"/>
          <w:w w:val="105"/>
          <w:sz w:val="20"/>
        </w:rPr>
        <w:t xml:space="preserve"> </w:t>
      </w:r>
      <w:r>
        <w:rPr>
          <w:rFonts w:ascii="Trebuchet MS" w:hAnsi="Trebuchet MS"/>
          <w:color w:val="231F20"/>
          <w:spacing w:val="-3"/>
          <w:w w:val="105"/>
          <w:sz w:val="20"/>
        </w:rPr>
        <w:t>Government</w:t>
      </w:r>
      <w:r>
        <w:rPr>
          <w:rFonts w:ascii="Trebuchet MS" w:hAnsi="Trebuchet MS"/>
          <w:color w:val="231F20"/>
          <w:spacing w:val="-17"/>
          <w:w w:val="105"/>
          <w:sz w:val="20"/>
        </w:rPr>
        <w:t xml:space="preserve"> </w:t>
      </w:r>
      <w:r>
        <w:rPr>
          <w:rFonts w:ascii="Trebuchet MS" w:hAnsi="Trebuchet MS"/>
          <w:color w:val="231F20"/>
          <w:w w:val="105"/>
          <w:sz w:val="20"/>
        </w:rPr>
        <w:t>should</w:t>
      </w:r>
      <w:r>
        <w:rPr>
          <w:rFonts w:ascii="Trebuchet MS" w:hAnsi="Trebuchet MS"/>
          <w:color w:val="231F20"/>
          <w:spacing w:val="-17"/>
          <w:w w:val="105"/>
          <w:sz w:val="20"/>
        </w:rPr>
        <w:t xml:space="preserve"> </w:t>
      </w:r>
      <w:r>
        <w:rPr>
          <w:rFonts w:ascii="Trebuchet MS" w:hAnsi="Trebuchet MS"/>
          <w:color w:val="231F20"/>
          <w:w w:val="105"/>
          <w:sz w:val="20"/>
        </w:rPr>
        <w:t>implement</w:t>
      </w:r>
      <w:r>
        <w:rPr>
          <w:rFonts w:ascii="Trebuchet MS" w:hAnsi="Trebuchet MS"/>
          <w:color w:val="231F20"/>
          <w:spacing w:val="-17"/>
          <w:w w:val="105"/>
          <w:sz w:val="20"/>
        </w:rPr>
        <w:t xml:space="preserve"> </w:t>
      </w:r>
      <w:r>
        <w:rPr>
          <w:rFonts w:ascii="Trebuchet MS" w:hAnsi="Trebuchet MS"/>
          <w:color w:val="231F20"/>
          <w:w w:val="105"/>
          <w:sz w:val="20"/>
        </w:rPr>
        <w:t>Recommendations</w:t>
      </w:r>
      <w:r>
        <w:rPr>
          <w:rFonts w:ascii="Trebuchet MS" w:hAnsi="Trebuchet MS"/>
          <w:color w:val="231F20"/>
          <w:spacing w:val="-17"/>
          <w:w w:val="105"/>
          <w:sz w:val="20"/>
        </w:rPr>
        <w:t xml:space="preserve"> </w:t>
      </w:r>
      <w:r>
        <w:rPr>
          <w:rFonts w:ascii="Trebuchet MS" w:hAnsi="Trebuchet MS"/>
          <w:color w:val="231F20"/>
          <w:spacing w:val="-7"/>
          <w:w w:val="105"/>
          <w:sz w:val="20"/>
        </w:rPr>
        <w:t>37,</w:t>
      </w:r>
      <w:r>
        <w:rPr>
          <w:rFonts w:ascii="Trebuchet MS" w:hAnsi="Trebuchet MS"/>
          <w:color w:val="231F20"/>
          <w:spacing w:val="-17"/>
          <w:w w:val="105"/>
          <w:sz w:val="20"/>
        </w:rPr>
        <w:t xml:space="preserve"> </w:t>
      </w:r>
      <w:r>
        <w:rPr>
          <w:rFonts w:ascii="Trebuchet MS" w:hAnsi="Trebuchet MS"/>
          <w:color w:val="231F20"/>
          <w:w w:val="105"/>
          <w:sz w:val="20"/>
        </w:rPr>
        <w:t>40</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7"/>
          <w:w w:val="105"/>
          <w:sz w:val="20"/>
        </w:rPr>
        <w:t xml:space="preserve"> </w:t>
      </w:r>
      <w:r>
        <w:rPr>
          <w:rFonts w:ascii="Trebuchet MS" w:hAnsi="Trebuchet MS"/>
          <w:color w:val="231F20"/>
          <w:w w:val="105"/>
          <w:sz w:val="20"/>
        </w:rPr>
        <w:t>41</w:t>
      </w:r>
      <w:r>
        <w:rPr>
          <w:rFonts w:ascii="Trebuchet MS" w:hAnsi="Trebuchet MS"/>
          <w:color w:val="231F20"/>
          <w:spacing w:val="-17"/>
          <w:w w:val="105"/>
          <w:sz w:val="20"/>
        </w:rPr>
        <w:t xml:space="preserve"> </w:t>
      </w:r>
      <w:r>
        <w:rPr>
          <w:rFonts w:ascii="Trebuchet MS" w:hAnsi="Trebuchet MS"/>
          <w:color w:val="231F20"/>
          <w:w w:val="105"/>
          <w:sz w:val="20"/>
        </w:rPr>
        <w:t xml:space="preserve">from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04"/>
          <w:sz w:val="20"/>
        </w:rPr>
        <w:t>Vi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03"/>
          <w:sz w:val="20"/>
        </w:rPr>
        <w:t>o</w:t>
      </w:r>
      <w:r>
        <w:rPr>
          <w:rFonts w:ascii="Trebuchet MS" w:hAnsi="Trebuchet MS"/>
          <w:color w:val="231F20"/>
          <w:spacing w:val="-2"/>
          <w:w w:val="103"/>
          <w:sz w:val="20"/>
        </w:rPr>
        <w:t>r</w:t>
      </w:r>
      <w:r>
        <w:rPr>
          <w:rFonts w:ascii="Trebuchet MS" w:hAnsi="Trebuchet MS"/>
          <w:color w:val="231F20"/>
          <w:spacing w:val="-1"/>
          <w:w w:val="80"/>
          <w:sz w:val="20"/>
        </w:rPr>
        <w:t>i</w:t>
      </w:r>
      <w:r>
        <w:rPr>
          <w:rFonts w:ascii="Trebuchet MS" w:hAnsi="Trebuchet MS"/>
          <w:color w:val="231F20"/>
          <w:spacing w:val="-2"/>
          <w:w w:val="105"/>
          <w:sz w:val="20"/>
        </w:rPr>
        <w:t>a</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115"/>
          <w:sz w:val="20"/>
        </w:rPr>
        <w:t>L</w:t>
      </w:r>
      <w:r>
        <w:rPr>
          <w:rFonts w:ascii="Trebuchet MS" w:hAnsi="Trebuchet MS"/>
          <w:color w:val="231F20"/>
          <w:spacing w:val="-7"/>
          <w:w w:val="105"/>
          <w:sz w:val="20"/>
        </w:rPr>
        <w:t>a</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3"/>
          <w:w w:val="112"/>
          <w:sz w:val="20"/>
        </w:rPr>
        <w:t>R</w:t>
      </w:r>
      <w:r>
        <w:rPr>
          <w:rFonts w:ascii="Trebuchet MS" w:hAnsi="Trebuchet MS"/>
          <w:color w:val="231F20"/>
          <w:spacing w:val="-4"/>
          <w:w w:val="108"/>
          <w:sz w:val="20"/>
        </w:rPr>
        <w:t>e</w:t>
      </w:r>
      <w:r>
        <w:rPr>
          <w:rFonts w:ascii="Trebuchet MS" w:hAnsi="Trebuchet MS"/>
          <w:color w:val="231F20"/>
          <w:spacing w:val="-5"/>
          <w:w w:val="92"/>
          <w:sz w:val="20"/>
        </w:rPr>
        <w:t>f</w:t>
      </w:r>
      <w:r>
        <w:rPr>
          <w:rFonts w:ascii="Trebuchet MS" w:hAnsi="Trebuchet MS"/>
          <w:color w:val="231F20"/>
          <w:spacing w:val="-1"/>
          <w:w w:val="103"/>
          <w:sz w:val="20"/>
        </w:rPr>
        <w:t>o</w:t>
      </w:r>
      <w:r>
        <w:rPr>
          <w:rFonts w:ascii="Trebuchet MS" w:hAnsi="Trebuchet MS"/>
          <w:color w:val="231F20"/>
          <w:spacing w:val="-2"/>
          <w:w w:val="103"/>
          <w:sz w:val="20"/>
        </w:rPr>
        <w:t>r</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11"/>
          <w:sz w:val="20"/>
        </w:rPr>
        <w:t>o</w:t>
      </w:r>
      <w:r>
        <w:rPr>
          <w:rFonts w:ascii="Trebuchet MS" w:hAnsi="Trebuchet MS"/>
          <w:color w:val="231F20"/>
          <w:spacing w:val="-2"/>
          <w:w w:val="111"/>
          <w:sz w:val="20"/>
        </w:rPr>
        <w:t>mm</w:t>
      </w:r>
      <w:r>
        <w:rPr>
          <w:rFonts w:ascii="Trebuchet MS" w:hAnsi="Trebuchet MS"/>
          <w:color w:val="231F20"/>
          <w:spacing w:val="-1"/>
          <w:w w:val="104"/>
          <w:sz w:val="20"/>
        </w:rPr>
        <w:t>issi</w:t>
      </w:r>
      <w:r>
        <w:rPr>
          <w:rFonts w:ascii="Trebuchet MS" w:hAnsi="Trebuchet MS"/>
          <w:color w:val="231F20"/>
          <w:spacing w:val="-1"/>
          <w:w w:val="109"/>
          <w:sz w:val="20"/>
        </w:rPr>
        <w:t>o</w:t>
      </w:r>
      <w:r>
        <w:rPr>
          <w:rFonts w:ascii="Trebuchet MS" w:hAnsi="Trebuchet MS"/>
          <w:color w:val="231F20"/>
          <w:spacing w:val="-6"/>
          <w:w w:val="109"/>
          <w:sz w:val="20"/>
        </w:rPr>
        <w:t>n</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Arial" w:hAnsi="Arial"/>
          <w:i/>
          <w:color w:val="231F20"/>
          <w:spacing w:val="-3"/>
          <w:w w:val="95"/>
          <w:sz w:val="20"/>
        </w:rPr>
        <w:t>T</w:t>
      </w:r>
      <w:r>
        <w:rPr>
          <w:rFonts w:ascii="Arial" w:hAnsi="Arial"/>
          <w:i/>
          <w:color w:val="231F20"/>
          <w:spacing w:val="-1"/>
          <w:w w:val="101"/>
          <w:sz w:val="20"/>
        </w:rPr>
        <w:t>h</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2"/>
          <w:w w:val="87"/>
          <w:sz w:val="20"/>
        </w:rPr>
        <w:t>R</w:t>
      </w:r>
      <w:r>
        <w:rPr>
          <w:rFonts w:ascii="Arial" w:hAnsi="Arial"/>
          <w:i/>
          <w:color w:val="231F20"/>
          <w:spacing w:val="-2"/>
          <w:w w:val="103"/>
          <w:sz w:val="20"/>
        </w:rPr>
        <w:t>o</w:t>
      </w:r>
      <w:r>
        <w:rPr>
          <w:rFonts w:ascii="Arial" w:hAnsi="Arial"/>
          <w:i/>
          <w:color w:val="231F20"/>
          <w:spacing w:val="-4"/>
          <w:w w:val="126"/>
          <w:sz w:val="20"/>
        </w:rPr>
        <w:t>l</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3"/>
          <w:w w:val="103"/>
          <w:sz w:val="20"/>
        </w:rPr>
        <w:t>o</w:t>
      </w:r>
      <w:r>
        <w:rPr>
          <w:rFonts w:ascii="Arial" w:hAnsi="Arial"/>
          <w:i/>
          <w:color w:val="231F20"/>
          <w:w w:val="120"/>
          <w:sz w:val="20"/>
        </w:rPr>
        <w:t>f</w:t>
      </w:r>
      <w:r>
        <w:rPr>
          <w:rFonts w:ascii="Arial" w:hAnsi="Arial"/>
          <w:i/>
          <w:color w:val="231F20"/>
          <w:spacing w:val="-11"/>
          <w:sz w:val="20"/>
        </w:rPr>
        <w:t xml:space="preserve"> </w:t>
      </w:r>
      <w:r>
        <w:rPr>
          <w:rFonts w:ascii="Arial" w:hAnsi="Arial"/>
          <w:i/>
          <w:color w:val="231F20"/>
          <w:spacing w:val="-2"/>
          <w:w w:val="98"/>
          <w:sz w:val="20"/>
        </w:rPr>
        <w:t>V</w:t>
      </w:r>
      <w:r>
        <w:rPr>
          <w:rFonts w:ascii="Arial" w:hAnsi="Arial"/>
          <w:i/>
          <w:color w:val="231F20"/>
          <w:spacing w:val="-1"/>
          <w:w w:val="98"/>
          <w:sz w:val="20"/>
        </w:rPr>
        <w:t>i</w:t>
      </w:r>
      <w:r>
        <w:rPr>
          <w:rFonts w:ascii="Arial" w:hAnsi="Arial"/>
          <w:i/>
          <w:color w:val="231F20"/>
          <w:spacing w:val="-3"/>
          <w:w w:val="106"/>
          <w:sz w:val="20"/>
        </w:rPr>
        <w:t>c</w:t>
      </w:r>
      <w:r>
        <w:rPr>
          <w:rFonts w:ascii="Arial" w:hAnsi="Arial"/>
          <w:i/>
          <w:color w:val="231F20"/>
          <w:spacing w:val="-2"/>
          <w:w w:val="121"/>
          <w:sz w:val="20"/>
        </w:rPr>
        <w:t>t</w:t>
      </w:r>
      <w:r>
        <w:rPr>
          <w:rFonts w:ascii="Arial" w:hAnsi="Arial"/>
          <w:i/>
          <w:color w:val="231F20"/>
          <w:spacing w:val="-1"/>
          <w:w w:val="101"/>
          <w:sz w:val="20"/>
        </w:rPr>
        <w:t>i</w:t>
      </w:r>
      <w:r>
        <w:rPr>
          <w:rFonts w:ascii="Arial" w:hAnsi="Arial"/>
          <w:i/>
          <w:color w:val="231F20"/>
          <w:spacing w:val="-1"/>
          <w:w w:val="106"/>
          <w:sz w:val="20"/>
        </w:rPr>
        <w:t>m</w:t>
      </w:r>
      <w:r>
        <w:rPr>
          <w:rFonts w:ascii="Arial" w:hAnsi="Arial"/>
          <w:i/>
          <w:color w:val="231F20"/>
          <w:w w:val="95"/>
          <w:sz w:val="20"/>
        </w:rPr>
        <w:t>s</w:t>
      </w:r>
      <w:r>
        <w:rPr>
          <w:rFonts w:ascii="Arial" w:hAnsi="Arial"/>
          <w:i/>
          <w:color w:val="231F20"/>
          <w:spacing w:val="-11"/>
          <w:sz w:val="20"/>
        </w:rPr>
        <w:t xml:space="preserve"> </w:t>
      </w:r>
      <w:r>
        <w:rPr>
          <w:rFonts w:ascii="Arial" w:hAnsi="Arial"/>
          <w:i/>
          <w:color w:val="231F20"/>
          <w:spacing w:val="-3"/>
          <w:w w:val="103"/>
          <w:sz w:val="20"/>
        </w:rPr>
        <w:t>o</w:t>
      </w:r>
      <w:r>
        <w:rPr>
          <w:rFonts w:ascii="Arial" w:hAnsi="Arial"/>
          <w:i/>
          <w:color w:val="231F20"/>
          <w:w w:val="120"/>
          <w:sz w:val="20"/>
        </w:rPr>
        <w:t>f</w:t>
      </w:r>
      <w:r>
        <w:rPr>
          <w:rFonts w:ascii="Arial" w:hAnsi="Arial"/>
          <w:i/>
          <w:color w:val="231F20"/>
          <w:spacing w:val="-11"/>
          <w:sz w:val="20"/>
        </w:rPr>
        <w:t xml:space="preserve"> </w:t>
      </w:r>
      <w:r>
        <w:rPr>
          <w:rFonts w:ascii="Arial" w:hAnsi="Arial"/>
          <w:i/>
          <w:color w:val="231F20"/>
          <w:spacing w:val="-2"/>
          <w:w w:val="90"/>
          <w:sz w:val="20"/>
        </w:rPr>
        <w:t>C</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2"/>
          <w:w w:val="106"/>
          <w:sz w:val="20"/>
        </w:rPr>
        <w:t>m</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1"/>
          <w:w w:val="101"/>
          <w:sz w:val="20"/>
        </w:rPr>
        <w:t>i</w:t>
      </w:r>
      <w:r>
        <w:rPr>
          <w:rFonts w:ascii="Arial" w:hAnsi="Arial"/>
          <w:i/>
          <w:color w:val="231F20"/>
          <w:w w:val="101"/>
          <w:sz w:val="20"/>
        </w:rPr>
        <w:t>n</w:t>
      </w:r>
      <w:r>
        <w:rPr>
          <w:rFonts w:ascii="Arial" w:hAnsi="Arial"/>
          <w:i/>
          <w:color w:val="231F20"/>
          <w:spacing w:val="-11"/>
          <w:sz w:val="20"/>
        </w:rPr>
        <w:t xml:space="preserve"> </w:t>
      </w:r>
      <w:r>
        <w:rPr>
          <w:rFonts w:ascii="Arial" w:hAnsi="Arial"/>
          <w:i/>
          <w:color w:val="231F20"/>
          <w:spacing w:val="-2"/>
          <w:w w:val="121"/>
          <w:sz w:val="20"/>
        </w:rPr>
        <w:t>t</w:t>
      </w:r>
      <w:r>
        <w:rPr>
          <w:rFonts w:ascii="Arial" w:hAnsi="Arial"/>
          <w:i/>
          <w:color w:val="231F20"/>
          <w:spacing w:val="-1"/>
          <w:w w:val="101"/>
          <w:sz w:val="20"/>
        </w:rPr>
        <w:t>h</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2"/>
          <w:w w:val="90"/>
          <w:sz w:val="20"/>
        </w:rPr>
        <w:t>C</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1"/>
          <w:w w:val="106"/>
          <w:sz w:val="20"/>
        </w:rPr>
        <w:t>m</w:t>
      </w:r>
      <w:r>
        <w:rPr>
          <w:rFonts w:ascii="Arial" w:hAnsi="Arial"/>
          <w:i/>
          <w:color w:val="231F20"/>
          <w:spacing w:val="-1"/>
          <w:w w:val="101"/>
          <w:sz w:val="20"/>
        </w:rPr>
        <w:t>in</w:t>
      </w:r>
      <w:r>
        <w:rPr>
          <w:rFonts w:ascii="Arial" w:hAnsi="Arial"/>
          <w:i/>
          <w:color w:val="231F20"/>
          <w:spacing w:val="-1"/>
          <w:w w:val="108"/>
          <w:sz w:val="20"/>
        </w:rPr>
        <w:t>a</w:t>
      </w:r>
      <w:r>
        <w:rPr>
          <w:rFonts w:ascii="Arial" w:hAnsi="Arial"/>
          <w:i/>
          <w:color w:val="231F20"/>
          <w:w w:val="126"/>
          <w:sz w:val="20"/>
        </w:rPr>
        <w:t xml:space="preserve">l </w:t>
      </w:r>
      <w:r>
        <w:rPr>
          <w:rFonts w:ascii="Arial" w:hAnsi="Arial"/>
          <w:i/>
          <w:color w:val="231F20"/>
          <w:spacing w:val="-5"/>
          <w:w w:val="105"/>
          <w:sz w:val="20"/>
        </w:rPr>
        <w:t>Trial</w:t>
      </w:r>
      <w:r>
        <w:rPr>
          <w:rFonts w:ascii="Arial" w:hAnsi="Arial"/>
          <w:i/>
          <w:color w:val="231F20"/>
          <w:spacing w:val="-21"/>
          <w:w w:val="105"/>
          <w:sz w:val="20"/>
        </w:rPr>
        <w:t xml:space="preserve"> </w:t>
      </w:r>
      <w:r>
        <w:rPr>
          <w:rFonts w:ascii="Arial" w:hAnsi="Arial"/>
          <w:i/>
          <w:color w:val="231F20"/>
          <w:w w:val="105"/>
          <w:sz w:val="20"/>
        </w:rPr>
        <w:t>Process</w:t>
      </w:r>
      <w:r>
        <w:rPr>
          <w:rFonts w:ascii="Arial" w:hAnsi="Arial"/>
          <w:i/>
          <w:color w:val="231F20"/>
          <w:spacing w:val="-18"/>
          <w:w w:val="105"/>
          <w:sz w:val="20"/>
        </w:rPr>
        <w:t xml:space="preserve"> </w:t>
      </w:r>
      <w:r>
        <w:rPr>
          <w:rFonts w:ascii="Trebuchet MS" w:hAnsi="Trebuchet MS"/>
          <w:color w:val="231F20"/>
          <w:w w:val="105"/>
          <w:sz w:val="20"/>
        </w:rPr>
        <w:t>report</w:t>
      </w:r>
      <w:r>
        <w:rPr>
          <w:rFonts w:ascii="Trebuchet MS" w:hAnsi="Trebuchet MS"/>
          <w:color w:val="231F20"/>
          <w:spacing w:val="-24"/>
          <w:w w:val="105"/>
          <w:sz w:val="20"/>
        </w:rPr>
        <w:t xml:space="preserve"> </w:t>
      </w:r>
      <w:r>
        <w:rPr>
          <w:rFonts w:ascii="Trebuchet MS" w:hAnsi="Trebuchet MS"/>
          <w:color w:val="231F20"/>
          <w:w w:val="105"/>
          <w:sz w:val="20"/>
        </w:rPr>
        <w:t>to</w:t>
      </w:r>
      <w:r>
        <w:rPr>
          <w:rFonts w:ascii="Trebuchet MS" w:hAnsi="Trebuchet MS"/>
          <w:color w:val="231F20"/>
          <w:spacing w:val="-24"/>
          <w:w w:val="105"/>
          <w:sz w:val="20"/>
        </w:rPr>
        <w:t xml:space="preserve"> </w:t>
      </w:r>
      <w:r>
        <w:rPr>
          <w:rFonts w:ascii="Trebuchet MS" w:hAnsi="Trebuchet MS"/>
          <w:color w:val="231F20"/>
          <w:w w:val="105"/>
          <w:sz w:val="20"/>
        </w:rPr>
        <w:t>amend</w:t>
      </w:r>
      <w:r>
        <w:rPr>
          <w:rFonts w:ascii="Trebuchet MS" w:hAnsi="Trebuchet MS"/>
          <w:color w:val="231F20"/>
          <w:spacing w:val="-23"/>
          <w:w w:val="105"/>
          <w:sz w:val="20"/>
        </w:rPr>
        <w:t xml:space="preserve"> </w:t>
      </w:r>
      <w:r>
        <w:rPr>
          <w:rFonts w:ascii="Trebuchet MS" w:hAnsi="Trebuchet MS"/>
          <w:color w:val="231F20"/>
          <w:w w:val="105"/>
          <w:sz w:val="20"/>
        </w:rPr>
        <w:t>the</w:t>
      </w:r>
      <w:r>
        <w:rPr>
          <w:rFonts w:ascii="Trebuchet MS" w:hAnsi="Trebuchet MS"/>
          <w:color w:val="231F20"/>
          <w:spacing w:val="-24"/>
          <w:w w:val="105"/>
          <w:sz w:val="20"/>
        </w:rPr>
        <w:t xml:space="preserve"> </w:t>
      </w:r>
      <w:r>
        <w:rPr>
          <w:rFonts w:ascii="Arial" w:hAnsi="Arial"/>
          <w:i/>
          <w:color w:val="231F20"/>
          <w:w w:val="105"/>
          <w:sz w:val="20"/>
        </w:rPr>
        <w:t>Criminal</w:t>
      </w:r>
      <w:r>
        <w:rPr>
          <w:rFonts w:ascii="Arial" w:hAnsi="Arial"/>
          <w:i/>
          <w:color w:val="231F20"/>
          <w:spacing w:val="-20"/>
          <w:w w:val="105"/>
          <w:sz w:val="20"/>
        </w:rPr>
        <w:t xml:space="preserve"> </w:t>
      </w:r>
      <w:r>
        <w:rPr>
          <w:rFonts w:ascii="Arial" w:hAnsi="Arial"/>
          <w:i/>
          <w:color w:val="231F20"/>
          <w:spacing w:val="-3"/>
          <w:w w:val="105"/>
          <w:sz w:val="20"/>
        </w:rPr>
        <w:t>Procedure</w:t>
      </w:r>
      <w:r>
        <w:rPr>
          <w:rFonts w:ascii="Arial" w:hAnsi="Arial"/>
          <w:i/>
          <w:color w:val="231F20"/>
          <w:spacing w:val="-21"/>
          <w:w w:val="105"/>
          <w:sz w:val="20"/>
        </w:rPr>
        <w:t xml:space="preserve"> </w:t>
      </w:r>
      <w:r>
        <w:rPr>
          <w:rFonts w:ascii="Arial" w:hAnsi="Arial"/>
          <w:i/>
          <w:color w:val="231F20"/>
          <w:w w:val="105"/>
          <w:sz w:val="20"/>
        </w:rPr>
        <w:t>Act</w:t>
      </w:r>
      <w:r>
        <w:rPr>
          <w:rFonts w:ascii="Arial" w:hAnsi="Arial"/>
          <w:i/>
          <w:color w:val="231F20"/>
          <w:spacing w:val="-20"/>
          <w:w w:val="105"/>
          <w:sz w:val="20"/>
        </w:rPr>
        <w:t xml:space="preserve"> </w:t>
      </w:r>
      <w:r>
        <w:rPr>
          <w:rFonts w:ascii="Arial" w:hAnsi="Arial"/>
          <w:i/>
          <w:color w:val="231F20"/>
          <w:w w:val="105"/>
          <w:sz w:val="20"/>
        </w:rPr>
        <w:t>2009</w:t>
      </w:r>
      <w:r>
        <w:rPr>
          <w:rFonts w:ascii="Arial" w:hAnsi="Arial"/>
          <w:i/>
          <w:color w:val="231F20"/>
          <w:spacing w:val="-18"/>
          <w:w w:val="105"/>
          <w:sz w:val="20"/>
        </w:rPr>
        <w:t xml:space="preserve"> </w:t>
      </w:r>
      <w:r>
        <w:rPr>
          <w:rFonts w:ascii="Trebuchet MS" w:hAnsi="Trebuchet MS"/>
          <w:color w:val="231F20"/>
          <w:w w:val="105"/>
          <w:sz w:val="20"/>
        </w:rPr>
        <w:t>(Vic)</w:t>
      </w:r>
      <w:r>
        <w:rPr>
          <w:rFonts w:ascii="Trebuchet MS" w:hAnsi="Trebuchet MS"/>
          <w:color w:val="231F20"/>
          <w:spacing w:val="-24"/>
          <w:w w:val="105"/>
          <w:sz w:val="20"/>
        </w:rPr>
        <w:t xml:space="preserve"> </w:t>
      </w:r>
      <w:r>
        <w:rPr>
          <w:rFonts w:ascii="Trebuchet MS" w:hAnsi="Trebuchet MS"/>
          <w:color w:val="231F20"/>
          <w:w w:val="105"/>
          <w:sz w:val="20"/>
        </w:rPr>
        <w:t>to</w:t>
      </w:r>
      <w:r>
        <w:rPr>
          <w:rFonts w:ascii="Trebuchet MS" w:hAnsi="Trebuchet MS"/>
          <w:color w:val="231F20"/>
          <w:spacing w:val="-24"/>
          <w:w w:val="105"/>
          <w:sz w:val="20"/>
        </w:rPr>
        <w:t xml:space="preserve"> </w:t>
      </w:r>
      <w:r>
        <w:rPr>
          <w:rFonts w:ascii="Trebuchet MS" w:hAnsi="Trebuchet MS"/>
          <w:color w:val="231F20"/>
          <w:spacing w:val="-3"/>
          <w:w w:val="105"/>
          <w:sz w:val="20"/>
        </w:rPr>
        <w:t>include</w:t>
      </w:r>
    </w:p>
    <w:p w14:paraId="4C72B17A" w14:textId="77777777" w:rsidR="00894070" w:rsidRDefault="009B7AFD">
      <w:pPr>
        <w:pStyle w:val="BodyText"/>
        <w:spacing w:before="3" w:line="247" w:lineRule="auto"/>
        <w:ind w:left="1801" w:right="1459"/>
        <w:rPr>
          <w:rFonts w:ascii="Trebuchet MS" w:hAnsi="Trebuchet MS"/>
        </w:rPr>
      </w:pPr>
      <w:r>
        <w:rPr>
          <w:rFonts w:ascii="Trebuchet MS" w:hAnsi="Trebuchet MS"/>
          <w:color w:val="231F20"/>
          <w:w w:val="105"/>
        </w:rPr>
        <w:t>a</w:t>
      </w:r>
      <w:r>
        <w:rPr>
          <w:rFonts w:ascii="Trebuchet MS" w:hAnsi="Trebuchet MS"/>
          <w:color w:val="231F20"/>
          <w:spacing w:val="-14"/>
        </w:rPr>
        <w:t xml:space="preserve"> </w:t>
      </w:r>
      <w:r>
        <w:rPr>
          <w:rFonts w:ascii="Trebuchet MS" w:hAnsi="Trebuchet MS"/>
          <w:color w:val="231F20"/>
          <w:spacing w:val="-4"/>
          <w:w w:val="56"/>
        </w:rPr>
        <w:t>‘</w:t>
      </w:r>
      <w:r>
        <w:rPr>
          <w:rFonts w:ascii="Trebuchet MS" w:hAnsi="Trebuchet MS"/>
          <w:color w:val="231F20"/>
          <w:spacing w:val="-1"/>
          <w:w w:val="111"/>
        </w:rPr>
        <w:t>p</w:t>
      </w:r>
      <w:r>
        <w:rPr>
          <w:rFonts w:ascii="Trebuchet MS" w:hAnsi="Trebuchet MS"/>
          <w:color w:val="231F20"/>
          <w:spacing w:val="-4"/>
          <w:w w:val="93"/>
        </w:rPr>
        <w:t>r</w:t>
      </w:r>
      <w:r>
        <w:rPr>
          <w:rFonts w:ascii="Trebuchet MS" w:hAnsi="Trebuchet MS"/>
          <w:color w:val="231F20"/>
          <w:spacing w:val="-4"/>
          <w:w w:val="111"/>
        </w:rPr>
        <w:t>o</w:t>
      </w:r>
      <w:r>
        <w:rPr>
          <w:rFonts w:ascii="Trebuchet MS" w:hAnsi="Trebuchet MS"/>
          <w:color w:val="231F20"/>
          <w:spacing w:val="-4"/>
          <w:w w:val="88"/>
        </w:rPr>
        <w:t>t</w:t>
      </w:r>
      <w:r>
        <w:rPr>
          <w:rFonts w:ascii="Trebuchet MS" w:hAnsi="Trebuchet MS"/>
          <w:color w:val="231F20"/>
          <w:w w:val="108"/>
        </w:rPr>
        <w:t>e</w:t>
      </w:r>
      <w:r>
        <w:rPr>
          <w:rFonts w:ascii="Trebuchet MS" w:hAnsi="Trebuchet MS"/>
          <w:color w:val="231F20"/>
          <w:spacing w:val="-2"/>
          <w:w w:val="111"/>
        </w:rPr>
        <w:t>c</w:t>
      </w:r>
      <w:r>
        <w:rPr>
          <w:rFonts w:ascii="Trebuchet MS" w:hAnsi="Trebuchet MS"/>
          <w:color w:val="231F20"/>
          <w:spacing w:val="-4"/>
          <w:w w:val="88"/>
        </w:rPr>
        <w:t>t</w:t>
      </w:r>
      <w:r>
        <w:rPr>
          <w:rFonts w:ascii="Trebuchet MS" w:hAnsi="Trebuchet MS"/>
          <w:color w:val="231F20"/>
          <w:w w:val="108"/>
        </w:rPr>
        <w:t>e</w:t>
      </w:r>
      <w:r>
        <w:rPr>
          <w:rFonts w:ascii="Trebuchet MS" w:hAnsi="Trebuchet MS"/>
          <w:color w:val="231F20"/>
          <w:w w:val="112"/>
        </w:rPr>
        <w:t>d</w:t>
      </w:r>
      <w:r>
        <w:rPr>
          <w:rFonts w:ascii="Trebuchet MS" w:hAnsi="Trebuchet MS"/>
          <w:color w:val="231F20"/>
          <w:spacing w:val="-14"/>
        </w:rPr>
        <w:t xml:space="preserve"> </w:t>
      </w:r>
      <w:r>
        <w:rPr>
          <w:rFonts w:ascii="Trebuchet MS" w:hAnsi="Trebuchet MS"/>
          <w:color w:val="231F20"/>
          <w:spacing w:val="-2"/>
          <w:w w:val="109"/>
        </w:rPr>
        <w:t>v</w:t>
      </w:r>
      <w:r>
        <w:rPr>
          <w:rFonts w:ascii="Trebuchet MS" w:hAnsi="Trebuchet MS"/>
          <w:color w:val="231F20"/>
          <w:spacing w:val="-1"/>
          <w:w w:val="80"/>
        </w:rPr>
        <w:t>i</w:t>
      </w:r>
      <w:r>
        <w:rPr>
          <w:rFonts w:ascii="Trebuchet MS" w:hAnsi="Trebuchet MS"/>
          <w:color w:val="231F20"/>
          <w:spacing w:val="-2"/>
          <w:w w:val="111"/>
        </w:rPr>
        <w:t>c</w:t>
      </w:r>
      <w:r>
        <w:rPr>
          <w:rFonts w:ascii="Trebuchet MS" w:hAnsi="Trebuchet MS"/>
          <w:color w:val="231F20"/>
          <w:spacing w:val="-2"/>
          <w:w w:val="88"/>
        </w:rPr>
        <w:t>t</w:t>
      </w:r>
      <w:r>
        <w:rPr>
          <w:rFonts w:ascii="Trebuchet MS" w:hAnsi="Trebuchet MS"/>
          <w:color w:val="231F20"/>
          <w:spacing w:val="-2"/>
          <w:w w:val="80"/>
        </w:rPr>
        <w:t>i</w:t>
      </w:r>
      <w:r>
        <w:rPr>
          <w:rFonts w:ascii="Trebuchet MS" w:hAnsi="Trebuchet MS"/>
          <w:color w:val="231F20"/>
          <w:spacing w:val="-7"/>
          <w:w w:val="111"/>
        </w:rPr>
        <w:t>m</w:t>
      </w:r>
      <w:r>
        <w:rPr>
          <w:rFonts w:ascii="Trebuchet MS" w:hAnsi="Trebuchet MS"/>
          <w:color w:val="231F20"/>
          <w:w w:val="54"/>
        </w:rPr>
        <w:t>’</w:t>
      </w:r>
      <w:r>
        <w:rPr>
          <w:rFonts w:ascii="Trebuchet MS" w:hAnsi="Trebuchet MS"/>
          <w:color w:val="231F20"/>
          <w:spacing w:val="-14"/>
        </w:rPr>
        <w:t xml:space="preserve"> </w:t>
      </w:r>
      <w:r>
        <w:rPr>
          <w:rFonts w:ascii="Trebuchet MS" w:hAnsi="Trebuchet MS"/>
          <w:color w:val="231F20"/>
          <w:w w:val="111"/>
        </w:rPr>
        <w:t>c</w:t>
      </w:r>
      <w:r>
        <w:rPr>
          <w:rFonts w:ascii="Trebuchet MS" w:hAnsi="Trebuchet MS"/>
          <w:color w:val="231F20"/>
          <w:spacing w:val="-4"/>
          <w:w w:val="105"/>
        </w:rPr>
        <w:t>a</w:t>
      </w:r>
      <w:r>
        <w:rPr>
          <w:rFonts w:ascii="Trebuchet MS" w:hAnsi="Trebuchet MS"/>
          <w:color w:val="231F20"/>
          <w:spacing w:val="-4"/>
          <w:w w:val="88"/>
        </w:rPr>
        <w:t>t</w:t>
      </w:r>
      <w:r>
        <w:rPr>
          <w:rFonts w:ascii="Trebuchet MS" w:hAnsi="Trebuchet MS"/>
          <w:color w:val="231F20"/>
          <w:w w:val="108"/>
        </w:rPr>
        <w:t>e</w:t>
      </w:r>
      <w:r>
        <w:rPr>
          <w:rFonts w:ascii="Trebuchet MS" w:hAnsi="Trebuchet MS"/>
          <w:color w:val="231F20"/>
          <w:spacing w:val="-1"/>
          <w:w w:val="124"/>
        </w:rPr>
        <w:t>g</w:t>
      </w:r>
      <w:r>
        <w:rPr>
          <w:rFonts w:ascii="Trebuchet MS" w:hAnsi="Trebuchet MS"/>
          <w:color w:val="231F20"/>
          <w:spacing w:val="-1"/>
          <w:w w:val="111"/>
        </w:rPr>
        <w:t>o</w:t>
      </w:r>
      <w:r>
        <w:rPr>
          <w:rFonts w:ascii="Trebuchet MS" w:hAnsi="Trebuchet MS"/>
          <w:color w:val="231F20"/>
          <w:spacing w:val="3"/>
          <w:w w:val="93"/>
        </w:rPr>
        <w:t>r</w:t>
      </w:r>
      <w:r>
        <w:rPr>
          <w:rFonts w:ascii="Trebuchet MS" w:hAnsi="Trebuchet MS"/>
          <w:color w:val="231F20"/>
          <w:w w:val="110"/>
        </w:rPr>
        <w:t>y</w:t>
      </w:r>
      <w:r>
        <w:rPr>
          <w:rFonts w:ascii="Trebuchet MS" w:hAnsi="Trebuchet MS"/>
          <w:color w:val="231F20"/>
          <w:spacing w:val="-14"/>
        </w:rPr>
        <w:t xml:space="preserve"> </w:t>
      </w:r>
      <w:r>
        <w:rPr>
          <w:rFonts w:ascii="Trebuchet MS" w:hAnsi="Trebuchet MS"/>
          <w:color w:val="231F20"/>
          <w:spacing w:val="-2"/>
          <w:w w:val="105"/>
        </w:rPr>
        <w:t>a</w:t>
      </w:r>
      <w:r>
        <w:rPr>
          <w:rFonts w:ascii="Trebuchet MS" w:hAnsi="Trebuchet MS"/>
          <w:color w:val="231F20"/>
          <w:spacing w:val="-1"/>
          <w:w w:val="107"/>
        </w:rPr>
        <w:t>n</w:t>
      </w:r>
      <w:r>
        <w:rPr>
          <w:rFonts w:ascii="Trebuchet MS" w:hAnsi="Trebuchet MS"/>
          <w:color w:val="231F20"/>
          <w:w w:val="112"/>
        </w:rPr>
        <w:t>d</w:t>
      </w:r>
      <w:r>
        <w:rPr>
          <w:rFonts w:ascii="Trebuchet MS" w:hAnsi="Trebuchet MS"/>
          <w:color w:val="231F20"/>
          <w:spacing w:val="-14"/>
        </w:rPr>
        <w:t xml:space="preserve"> </w:t>
      </w:r>
      <w:r>
        <w:rPr>
          <w:rFonts w:ascii="Trebuchet MS" w:hAnsi="Trebuchet MS"/>
          <w:color w:val="231F20"/>
          <w:spacing w:val="-1"/>
          <w:w w:val="111"/>
        </w:rPr>
        <w:t>p</w:t>
      </w:r>
      <w:r>
        <w:rPr>
          <w:rFonts w:ascii="Trebuchet MS" w:hAnsi="Trebuchet MS"/>
          <w:color w:val="231F20"/>
          <w:spacing w:val="-4"/>
          <w:w w:val="93"/>
        </w:rPr>
        <w:t>r</w:t>
      </w:r>
      <w:r>
        <w:rPr>
          <w:rFonts w:ascii="Trebuchet MS" w:hAnsi="Trebuchet MS"/>
          <w:color w:val="231F20"/>
          <w:spacing w:val="-6"/>
          <w:w w:val="111"/>
        </w:rPr>
        <w:t>o</w:t>
      </w:r>
      <w:r>
        <w:rPr>
          <w:rFonts w:ascii="Trebuchet MS" w:hAnsi="Trebuchet MS"/>
          <w:color w:val="231F20"/>
          <w:spacing w:val="-2"/>
          <w:w w:val="109"/>
        </w:rPr>
        <w:t>v</w:t>
      </w:r>
      <w:r>
        <w:rPr>
          <w:rFonts w:ascii="Trebuchet MS" w:hAnsi="Trebuchet MS"/>
          <w:color w:val="231F20"/>
          <w:spacing w:val="-1"/>
          <w:w w:val="80"/>
        </w:rPr>
        <w:t>i</w:t>
      </w:r>
      <w:r>
        <w:rPr>
          <w:rFonts w:ascii="Trebuchet MS" w:hAnsi="Trebuchet MS"/>
          <w:color w:val="231F20"/>
          <w:spacing w:val="-2"/>
          <w:w w:val="112"/>
        </w:rPr>
        <w:t>d</w:t>
      </w:r>
      <w:r>
        <w:rPr>
          <w:rFonts w:ascii="Trebuchet MS" w:hAnsi="Trebuchet MS"/>
          <w:color w:val="231F20"/>
          <w:w w:val="108"/>
        </w:rPr>
        <w:t>e</w:t>
      </w:r>
      <w:r>
        <w:rPr>
          <w:rFonts w:ascii="Trebuchet MS" w:hAnsi="Trebuchet MS"/>
          <w:color w:val="231F20"/>
          <w:spacing w:val="-14"/>
        </w:rPr>
        <w:t xml:space="preserve"> </w:t>
      </w:r>
      <w:r>
        <w:rPr>
          <w:rFonts w:ascii="Trebuchet MS" w:hAnsi="Trebuchet MS"/>
          <w:color w:val="231F20"/>
          <w:spacing w:val="-1"/>
          <w:w w:val="111"/>
        </w:rPr>
        <w:t>p</w:t>
      </w:r>
      <w:r>
        <w:rPr>
          <w:rFonts w:ascii="Trebuchet MS" w:hAnsi="Trebuchet MS"/>
          <w:color w:val="231F20"/>
          <w:spacing w:val="-4"/>
          <w:w w:val="93"/>
        </w:rPr>
        <w:t>r</w:t>
      </w:r>
      <w:r>
        <w:rPr>
          <w:rFonts w:ascii="Trebuchet MS" w:hAnsi="Trebuchet MS"/>
          <w:color w:val="231F20"/>
          <w:spacing w:val="-4"/>
          <w:w w:val="111"/>
        </w:rPr>
        <w:t>o</w:t>
      </w:r>
      <w:r>
        <w:rPr>
          <w:rFonts w:ascii="Trebuchet MS" w:hAnsi="Trebuchet MS"/>
          <w:color w:val="231F20"/>
          <w:spacing w:val="-4"/>
          <w:w w:val="88"/>
        </w:rPr>
        <w:t>t</w:t>
      </w:r>
      <w:r>
        <w:rPr>
          <w:rFonts w:ascii="Trebuchet MS" w:hAnsi="Trebuchet MS"/>
          <w:color w:val="231F20"/>
          <w:w w:val="108"/>
        </w:rPr>
        <w:t>e</w:t>
      </w:r>
      <w:r>
        <w:rPr>
          <w:rFonts w:ascii="Trebuchet MS" w:hAnsi="Trebuchet MS"/>
          <w:color w:val="231F20"/>
          <w:spacing w:val="-2"/>
          <w:w w:val="111"/>
        </w:rPr>
        <w:t>c</w:t>
      </w:r>
      <w:r>
        <w:rPr>
          <w:rFonts w:ascii="Trebuchet MS" w:hAnsi="Trebuchet MS"/>
          <w:color w:val="231F20"/>
          <w:spacing w:val="-2"/>
          <w:w w:val="88"/>
        </w:rPr>
        <w:t>t</w:t>
      </w:r>
      <w:r>
        <w:rPr>
          <w:rFonts w:ascii="Trebuchet MS" w:hAnsi="Trebuchet MS"/>
          <w:color w:val="231F20"/>
          <w:spacing w:val="-1"/>
          <w:w w:val="80"/>
        </w:rPr>
        <w:t>i</w:t>
      </w:r>
      <w:r>
        <w:rPr>
          <w:rFonts w:ascii="Trebuchet MS" w:hAnsi="Trebuchet MS"/>
          <w:color w:val="231F20"/>
          <w:spacing w:val="-1"/>
          <w:w w:val="111"/>
        </w:rPr>
        <w:t>o</w:t>
      </w:r>
      <w:r>
        <w:rPr>
          <w:rFonts w:ascii="Trebuchet MS" w:hAnsi="Trebuchet MS"/>
          <w:color w:val="231F20"/>
          <w:spacing w:val="-2"/>
          <w:w w:val="107"/>
        </w:rPr>
        <w:t>n</w:t>
      </w:r>
      <w:r>
        <w:rPr>
          <w:rFonts w:ascii="Trebuchet MS" w:hAnsi="Trebuchet MS"/>
          <w:color w:val="231F20"/>
          <w:w w:val="122"/>
        </w:rPr>
        <w:t>s</w:t>
      </w:r>
      <w:r>
        <w:rPr>
          <w:rFonts w:ascii="Trebuchet MS" w:hAnsi="Trebuchet MS"/>
          <w:color w:val="231F20"/>
          <w:spacing w:val="-14"/>
        </w:rPr>
        <w:t xml:space="preserve"> </w:t>
      </w:r>
      <w:r>
        <w:rPr>
          <w:rFonts w:ascii="Trebuchet MS" w:hAnsi="Trebuchet MS"/>
          <w:color w:val="231F20"/>
          <w:spacing w:val="-2"/>
          <w:w w:val="80"/>
        </w:rPr>
        <w:t>i</w:t>
      </w:r>
      <w:r>
        <w:rPr>
          <w:rFonts w:ascii="Trebuchet MS" w:hAnsi="Trebuchet MS"/>
          <w:color w:val="231F20"/>
          <w:w w:val="107"/>
        </w:rPr>
        <w:t>n</w:t>
      </w:r>
      <w:r>
        <w:rPr>
          <w:rFonts w:ascii="Trebuchet MS" w:hAnsi="Trebuchet MS"/>
          <w:color w:val="231F20"/>
          <w:spacing w:val="-14"/>
        </w:rPr>
        <w:t xml:space="preserve"> </w:t>
      </w:r>
      <w:r>
        <w:rPr>
          <w:rFonts w:ascii="Trebuchet MS" w:hAnsi="Trebuchet MS"/>
          <w:color w:val="231F20"/>
          <w:spacing w:val="-2"/>
          <w:w w:val="88"/>
        </w:rPr>
        <w:t>t</w:t>
      </w:r>
      <w:r>
        <w:rPr>
          <w:rFonts w:ascii="Trebuchet MS" w:hAnsi="Trebuchet MS"/>
          <w:color w:val="231F20"/>
          <w:spacing w:val="-1"/>
          <w:w w:val="107"/>
        </w:rPr>
        <w:t>h</w:t>
      </w:r>
      <w:r>
        <w:rPr>
          <w:rFonts w:ascii="Trebuchet MS" w:hAnsi="Trebuchet MS"/>
          <w:color w:val="231F20"/>
          <w:w w:val="108"/>
        </w:rPr>
        <w:t>e</w:t>
      </w:r>
      <w:r>
        <w:rPr>
          <w:rFonts w:ascii="Trebuchet MS" w:hAnsi="Trebuchet MS"/>
          <w:color w:val="231F20"/>
          <w:spacing w:val="-14"/>
        </w:rPr>
        <w:t xml:space="preserve"> </w:t>
      </w:r>
      <w:r>
        <w:rPr>
          <w:rFonts w:ascii="Trebuchet MS" w:hAnsi="Trebuchet MS"/>
          <w:color w:val="231F20"/>
          <w:spacing w:val="-5"/>
          <w:w w:val="92"/>
        </w:rPr>
        <w:t>f</w:t>
      </w:r>
      <w:r>
        <w:rPr>
          <w:rFonts w:ascii="Trebuchet MS" w:hAnsi="Trebuchet MS"/>
          <w:color w:val="231F20"/>
          <w:spacing w:val="-1"/>
          <w:w w:val="111"/>
        </w:rPr>
        <w:t>o</w:t>
      </w:r>
      <w:r>
        <w:rPr>
          <w:rFonts w:ascii="Trebuchet MS" w:hAnsi="Trebuchet MS"/>
          <w:color w:val="231F20"/>
          <w:spacing w:val="-2"/>
          <w:w w:val="93"/>
        </w:rPr>
        <w:t>r</w:t>
      </w:r>
      <w:r>
        <w:rPr>
          <w:rFonts w:ascii="Trebuchet MS" w:hAnsi="Trebuchet MS"/>
          <w:color w:val="231F20"/>
          <w:w w:val="111"/>
        </w:rPr>
        <w:t>m</w:t>
      </w:r>
      <w:r>
        <w:rPr>
          <w:rFonts w:ascii="Trebuchet MS" w:hAnsi="Trebuchet MS"/>
          <w:color w:val="231F20"/>
          <w:spacing w:val="-14"/>
        </w:rPr>
        <w:t xml:space="preserve"> </w:t>
      </w:r>
      <w:r>
        <w:rPr>
          <w:rFonts w:ascii="Trebuchet MS" w:hAnsi="Trebuchet MS"/>
          <w:color w:val="231F20"/>
          <w:spacing w:val="-4"/>
          <w:w w:val="111"/>
        </w:rPr>
        <w:t>o</w:t>
      </w:r>
      <w:r>
        <w:rPr>
          <w:rFonts w:ascii="Trebuchet MS" w:hAnsi="Trebuchet MS"/>
          <w:color w:val="231F20"/>
          <w:w w:val="92"/>
        </w:rPr>
        <w:t>f</w:t>
      </w:r>
      <w:r>
        <w:rPr>
          <w:rFonts w:ascii="Trebuchet MS" w:hAnsi="Trebuchet MS"/>
          <w:color w:val="231F20"/>
          <w:spacing w:val="-14"/>
        </w:rPr>
        <w:t xml:space="preserve"> </w:t>
      </w:r>
      <w:r>
        <w:rPr>
          <w:rFonts w:ascii="Trebuchet MS" w:hAnsi="Trebuchet MS"/>
          <w:color w:val="231F20"/>
          <w:spacing w:val="-3"/>
          <w:w w:val="105"/>
        </w:rPr>
        <w:t>a</w:t>
      </w:r>
      <w:r>
        <w:rPr>
          <w:rFonts w:ascii="Trebuchet MS" w:hAnsi="Trebuchet MS"/>
          <w:color w:val="231F20"/>
          <w:spacing w:val="-4"/>
          <w:w w:val="96"/>
        </w:rPr>
        <w:t>l</w:t>
      </w:r>
      <w:r>
        <w:rPr>
          <w:rFonts w:ascii="Trebuchet MS" w:hAnsi="Trebuchet MS"/>
          <w:color w:val="231F20"/>
          <w:spacing w:val="-4"/>
          <w:w w:val="88"/>
        </w:rPr>
        <w:t>t</w:t>
      </w:r>
      <w:r>
        <w:rPr>
          <w:rFonts w:ascii="Trebuchet MS" w:hAnsi="Trebuchet MS"/>
          <w:color w:val="231F20"/>
          <w:spacing w:val="-1"/>
          <w:w w:val="108"/>
        </w:rPr>
        <w:t>e</w:t>
      </w:r>
      <w:r>
        <w:rPr>
          <w:rFonts w:ascii="Trebuchet MS" w:hAnsi="Trebuchet MS"/>
          <w:color w:val="231F20"/>
          <w:spacing w:val="-2"/>
          <w:w w:val="93"/>
        </w:rPr>
        <w:t>r</w:t>
      </w:r>
      <w:r>
        <w:rPr>
          <w:rFonts w:ascii="Trebuchet MS" w:hAnsi="Trebuchet MS"/>
          <w:color w:val="231F20"/>
          <w:spacing w:val="-1"/>
          <w:w w:val="107"/>
        </w:rPr>
        <w:t>n</w:t>
      </w:r>
      <w:r>
        <w:rPr>
          <w:rFonts w:ascii="Trebuchet MS" w:hAnsi="Trebuchet MS"/>
          <w:color w:val="231F20"/>
          <w:spacing w:val="-4"/>
          <w:w w:val="105"/>
        </w:rPr>
        <w:t>a</w:t>
      </w:r>
      <w:r>
        <w:rPr>
          <w:rFonts w:ascii="Trebuchet MS" w:hAnsi="Trebuchet MS"/>
          <w:color w:val="231F20"/>
          <w:spacing w:val="-2"/>
          <w:w w:val="88"/>
        </w:rPr>
        <w:t>t</w:t>
      </w:r>
      <w:r>
        <w:rPr>
          <w:rFonts w:ascii="Trebuchet MS" w:hAnsi="Trebuchet MS"/>
          <w:color w:val="231F20"/>
          <w:spacing w:val="-2"/>
          <w:w w:val="80"/>
        </w:rPr>
        <w:t>i</w:t>
      </w:r>
      <w:r>
        <w:rPr>
          <w:rFonts w:ascii="Trebuchet MS" w:hAnsi="Trebuchet MS"/>
          <w:color w:val="231F20"/>
          <w:spacing w:val="-6"/>
          <w:w w:val="109"/>
        </w:rPr>
        <w:t>v</w:t>
      </w:r>
      <w:r>
        <w:rPr>
          <w:rFonts w:ascii="Trebuchet MS" w:hAnsi="Trebuchet MS"/>
          <w:color w:val="231F20"/>
          <w:w w:val="108"/>
        </w:rPr>
        <w:t xml:space="preserve">e </w:t>
      </w:r>
      <w:r>
        <w:rPr>
          <w:rFonts w:ascii="Trebuchet MS" w:hAnsi="Trebuchet MS"/>
          <w:color w:val="231F20"/>
          <w:spacing w:val="-2"/>
          <w:w w:val="105"/>
        </w:rPr>
        <w:t>a</w:t>
      </w:r>
      <w:r>
        <w:rPr>
          <w:rFonts w:ascii="Trebuchet MS" w:hAnsi="Trebuchet MS"/>
          <w:color w:val="231F20"/>
          <w:spacing w:val="-2"/>
          <w:w w:val="93"/>
        </w:rPr>
        <w:t>rr</w:t>
      </w:r>
      <w:r>
        <w:rPr>
          <w:rFonts w:ascii="Trebuchet MS" w:hAnsi="Trebuchet MS"/>
          <w:color w:val="231F20"/>
          <w:spacing w:val="-2"/>
          <w:w w:val="105"/>
        </w:rPr>
        <w:t>a</w:t>
      </w:r>
      <w:r>
        <w:rPr>
          <w:rFonts w:ascii="Trebuchet MS" w:hAnsi="Trebuchet MS"/>
          <w:color w:val="231F20"/>
          <w:spacing w:val="-1"/>
          <w:w w:val="107"/>
        </w:rPr>
        <w:t>n</w:t>
      </w:r>
      <w:r>
        <w:rPr>
          <w:rFonts w:ascii="Trebuchet MS" w:hAnsi="Trebuchet MS"/>
          <w:color w:val="231F20"/>
          <w:spacing w:val="-1"/>
          <w:w w:val="124"/>
        </w:rPr>
        <w:t>g</w:t>
      </w:r>
      <w:r>
        <w:rPr>
          <w:rFonts w:ascii="Trebuchet MS" w:hAnsi="Trebuchet MS"/>
          <w:color w:val="231F20"/>
          <w:spacing w:val="-1"/>
          <w:w w:val="108"/>
        </w:rPr>
        <w:t>e</w:t>
      </w:r>
      <w:r>
        <w:rPr>
          <w:rFonts w:ascii="Trebuchet MS" w:hAnsi="Trebuchet MS"/>
          <w:color w:val="231F20"/>
          <w:spacing w:val="-1"/>
          <w:w w:val="111"/>
        </w:rPr>
        <w:t>m</w:t>
      </w:r>
      <w:r>
        <w:rPr>
          <w:rFonts w:ascii="Trebuchet MS" w:hAnsi="Trebuchet MS"/>
          <w:color w:val="231F20"/>
          <w:spacing w:val="-1"/>
          <w:w w:val="108"/>
        </w:rPr>
        <w:t>e</w:t>
      </w:r>
      <w:r>
        <w:rPr>
          <w:rFonts w:ascii="Trebuchet MS" w:hAnsi="Trebuchet MS"/>
          <w:color w:val="231F20"/>
          <w:spacing w:val="-4"/>
          <w:w w:val="107"/>
        </w:rPr>
        <w:t>n</w:t>
      </w:r>
      <w:r>
        <w:rPr>
          <w:rFonts w:ascii="Trebuchet MS" w:hAnsi="Trebuchet MS"/>
          <w:color w:val="231F20"/>
          <w:spacing w:val="2"/>
          <w:w w:val="88"/>
        </w:rPr>
        <w:t>t</w:t>
      </w:r>
      <w:r>
        <w:rPr>
          <w:rFonts w:ascii="Trebuchet MS" w:hAnsi="Trebuchet MS"/>
          <w:color w:val="231F20"/>
          <w:w w:val="122"/>
        </w:rPr>
        <w:t>s</w:t>
      </w:r>
      <w:r>
        <w:rPr>
          <w:rFonts w:ascii="Trebuchet MS" w:hAnsi="Trebuchet MS"/>
          <w:color w:val="231F20"/>
          <w:spacing w:val="-14"/>
        </w:rPr>
        <w:t xml:space="preserve"> </w:t>
      </w:r>
      <w:r>
        <w:rPr>
          <w:rFonts w:ascii="Trebuchet MS" w:hAnsi="Trebuchet MS"/>
          <w:color w:val="231F20"/>
          <w:spacing w:val="-5"/>
          <w:w w:val="92"/>
        </w:rPr>
        <w:t>f</w:t>
      </w:r>
      <w:r>
        <w:rPr>
          <w:rFonts w:ascii="Trebuchet MS" w:hAnsi="Trebuchet MS"/>
          <w:color w:val="231F20"/>
          <w:spacing w:val="-1"/>
          <w:w w:val="111"/>
        </w:rPr>
        <w:t>o</w:t>
      </w:r>
      <w:r>
        <w:rPr>
          <w:rFonts w:ascii="Trebuchet MS" w:hAnsi="Trebuchet MS"/>
          <w:color w:val="231F20"/>
          <w:w w:val="93"/>
        </w:rPr>
        <w:t>r</w:t>
      </w:r>
      <w:r>
        <w:rPr>
          <w:rFonts w:ascii="Trebuchet MS" w:hAnsi="Trebuchet MS"/>
          <w:color w:val="231F20"/>
          <w:spacing w:val="-14"/>
        </w:rPr>
        <w:t xml:space="preserve"> </w:t>
      </w:r>
      <w:r>
        <w:rPr>
          <w:rFonts w:ascii="Trebuchet MS" w:hAnsi="Trebuchet MS"/>
          <w:color w:val="231F20"/>
          <w:spacing w:val="-2"/>
          <w:w w:val="124"/>
        </w:rPr>
        <w:t>g</w:t>
      </w:r>
      <w:r>
        <w:rPr>
          <w:rFonts w:ascii="Trebuchet MS" w:hAnsi="Trebuchet MS"/>
          <w:color w:val="231F20"/>
          <w:spacing w:val="-2"/>
          <w:w w:val="94"/>
        </w:rPr>
        <w:t>ivi</w:t>
      </w:r>
      <w:r>
        <w:rPr>
          <w:rFonts w:ascii="Trebuchet MS" w:hAnsi="Trebuchet MS"/>
          <w:color w:val="231F20"/>
          <w:spacing w:val="-1"/>
          <w:w w:val="107"/>
        </w:rPr>
        <w:t>n</w:t>
      </w:r>
      <w:r>
        <w:rPr>
          <w:rFonts w:ascii="Trebuchet MS" w:hAnsi="Trebuchet MS"/>
          <w:color w:val="231F20"/>
          <w:w w:val="124"/>
        </w:rPr>
        <w:t>g</w:t>
      </w:r>
      <w:r>
        <w:rPr>
          <w:rFonts w:ascii="Trebuchet MS" w:hAnsi="Trebuchet MS"/>
          <w:color w:val="231F20"/>
          <w:spacing w:val="-14"/>
        </w:rPr>
        <w:t xml:space="preserve"> </w:t>
      </w:r>
      <w:r>
        <w:rPr>
          <w:rFonts w:ascii="Trebuchet MS" w:hAnsi="Trebuchet MS"/>
          <w:color w:val="231F20"/>
          <w:spacing w:val="-5"/>
          <w:w w:val="108"/>
        </w:rPr>
        <w:t>e</w:t>
      </w:r>
      <w:r>
        <w:rPr>
          <w:rFonts w:ascii="Trebuchet MS" w:hAnsi="Trebuchet MS"/>
          <w:color w:val="231F20"/>
          <w:spacing w:val="-2"/>
          <w:w w:val="99"/>
        </w:rPr>
        <w:t>v</w:t>
      </w:r>
      <w:r>
        <w:rPr>
          <w:rFonts w:ascii="Trebuchet MS" w:hAnsi="Trebuchet MS"/>
          <w:color w:val="231F20"/>
          <w:spacing w:val="-1"/>
          <w:w w:val="99"/>
        </w:rPr>
        <w:t>i</w:t>
      </w:r>
      <w:r>
        <w:rPr>
          <w:rFonts w:ascii="Trebuchet MS" w:hAnsi="Trebuchet MS"/>
          <w:color w:val="231F20"/>
          <w:spacing w:val="-2"/>
          <w:w w:val="112"/>
        </w:rPr>
        <w:t>d</w:t>
      </w:r>
      <w:r>
        <w:rPr>
          <w:rFonts w:ascii="Trebuchet MS" w:hAnsi="Trebuchet MS"/>
          <w:color w:val="231F20"/>
          <w:spacing w:val="-1"/>
          <w:w w:val="108"/>
        </w:rPr>
        <w:t>e</w:t>
      </w:r>
      <w:r>
        <w:rPr>
          <w:rFonts w:ascii="Trebuchet MS" w:hAnsi="Trebuchet MS"/>
          <w:color w:val="231F20"/>
          <w:spacing w:val="-1"/>
          <w:w w:val="107"/>
        </w:rPr>
        <w:t>n</w:t>
      </w:r>
      <w:r>
        <w:rPr>
          <w:rFonts w:ascii="Trebuchet MS" w:hAnsi="Trebuchet MS"/>
          <w:color w:val="231F20"/>
          <w:spacing w:val="-3"/>
          <w:w w:val="111"/>
        </w:rPr>
        <w:t>c</w:t>
      </w:r>
      <w:r>
        <w:rPr>
          <w:rFonts w:ascii="Trebuchet MS" w:hAnsi="Trebuchet MS"/>
          <w:color w:val="231F20"/>
          <w:spacing w:val="-3"/>
          <w:w w:val="108"/>
        </w:rPr>
        <w:t>e</w:t>
      </w:r>
      <w:r>
        <w:rPr>
          <w:rFonts w:ascii="Trebuchet MS" w:hAnsi="Trebuchet MS"/>
          <w:color w:val="231F20"/>
          <w:w w:val="55"/>
        </w:rPr>
        <w:t>.</w:t>
      </w:r>
    </w:p>
    <w:p w14:paraId="670F6C89" w14:textId="77777777" w:rsidR="00894070" w:rsidRDefault="009B7AFD">
      <w:pPr>
        <w:pStyle w:val="ListParagraph"/>
        <w:numPr>
          <w:ilvl w:val="0"/>
          <w:numId w:val="181"/>
        </w:numPr>
        <w:tabs>
          <w:tab w:val="left" w:pos="1802"/>
        </w:tabs>
        <w:spacing w:before="87" w:line="247" w:lineRule="auto"/>
        <w:ind w:right="1393"/>
        <w:jc w:val="both"/>
        <w:rPr>
          <w:rFonts w:ascii="Trebuchet MS" w:hAnsi="Trebuchet MS"/>
          <w:sz w:val="20"/>
        </w:rPr>
      </w:pP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w w:val="105"/>
          <w:sz w:val="20"/>
        </w:rPr>
        <w:t>Victorian</w:t>
      </w:r>
      <w:r>
        <w:rPr>
          <w:rFonts w:ascii="Trebuchet MS" w:hAnsi="Trebuchet MS"/>
          <w:color w:val="231F20"/>
          <w:spacing w:val="-16"/>
          <w:w w:val="105"/>
          <w:sz w:val="20"/>
        </w:rPr>
        <w:t xml:space="preserve"> </w:t>
      </w:r>
      <w:r>
        <w:rPr>
          <w:rFonts w:ascii="Trebuchet MS" w:hAnsi="Trebuchet MS"/>
          <w:color w:val="231F20"/>
          <w:spacing w:val="-3"/>
          <w:w w:val="105"/>
          <w:sz w:val="20"/>
        </w:rPr>
        <w:t>Government</w:t>
      </w:r>
      <w:r>
        <w:rPr>
          <w:rFonts w:ascii="Trebuchet MS" w:hAnsi="Trebuchet MS"/>
          <w:color w:val="231F20"/>
          <w:spacing w:val="-16"/>
          <w:w w:val="105"/>
          <w:sz w:val="20"/>
        </w:rPr>
        <w:t xml:space="preserve"> </w:t>
      </w:r>
      <w:r>
        <w:rPr>
          <w:rFonts w:ascii="Trebuchet MS" w:hAnsi="Trebuchet MS"/>
          <w:color w:val="231F20"/>
          <w:w w:val="105"/>
          <w:sz w:val="20"/>
        </w:rPr>
        <w:t>should</w:t>
      </w:r>
      <w:r>
        <w:rPr>
          <w:rFonts w:ascii="Trebuchet MS" w:hAnsi="Trebuchet MS"/>
          <w:color w:val="231F20"/>
          <w:spacing w:val="-16"/>
          <w:w w:val="105"/>
          <w:sz w:val="20"/>
        </w:rPr>
        <w:t xml:space="preserve"> </w:t>
      </w:r>
      <w:r>
        <w:rPr>
          <w:rFonts w:ascii="Trebuchet MS" w:hAnsi="Trebuchet MS"/>
          <w:color w:val="231F20"/>
          <w:spacing w:val="-3"/>
          <w:w w:val="105"/>
          <w:sz w:val="20"/>
        </w:rPr>
        <w:t>introduce</w:t>
      </w:r>
      <w:r>
        <w:rPr>
          <w:rFonts w:ascii="Trebuchet MS" w:hAnsi="Trebuchet MS"/>
          <w:color w:val="231F20"/>
          <w:spacing w:val="-16"/>
          <w:w w:val="105"/>
          <w:sz w:val="20"/>
        </w:rPr>
        <w:t xml:space="preserve"> </w:t>
      </w:r>
      <w:r>
        <w:rPr>
          <w:rFonts w:ascii="Trebuchet MS" w:hAnsi="Trebuchet MS"/>
          <w:color w:val="231F20"/>
          <w:w w:val="105"/>
          <w:sz w:val="20"/>
        </w:rPr>
        <w:t>measures</w:t>
      </w:r>
      <w:r>
        <w:rPr>
          <w:rFonts w:ascii="Trebuchet MS" w:hAnsi="Trebuchet MS"/>
          <w:color w:val="231F20"/>
          <w:spacing w:val="-16"/>
          <w:w w:val="105"/>
          <w:sz w:val="20"/>
        </w:rPr>
        <w:t xml:space="preserve"> </w:t>
      </w:r>
      <w:r>
        <w:rPr>
          <w:rFonts w:ascii="Trebuchet MS" w:hAnsi="Trebuchet MS"/>
          <w:color w:val="231F20"/>
          <w:w w:val="105"/>
          <w:sz w:val="20"/>
        </w:rPr>
        <w:t>under</w:t>
      </w:r>
      <w:r>
        <w:rPr>
          <w:rFonts w:ascii="Trebuchet MS" w:hAnsi="Trebuchet MS"/>
          <w:color w:val="231F20"/>
          <w:spacing w:val="-16"/>
          <w:w w:val="105"/>
          <w:sz w:val="20"/>
        </w:rPr>
        <w:t xml:space="preserve"> </w:t>
      </w:r>
      <w:r>
        <w:rPr>
          <w:rFonts w:ascii="Trebuchet MS" w:hAnsi="Trebuchet MS"/>
          <w:color w:val="231F20"/>
          <w:w w:val="105"/>
          <w:sz w:val="20"/>
        </w:rPr>
        <w:t>the</w:t>
      </w:r>
      <w:r>
        <w:rPr>
          <w:rFonts w:ascii="Trebuchet MS" w:hAnsi="Trebuchet MS"/>
          <w:color w:val="231F20"/>
          <w:spacing w:val="-16"/>
          <w:w w:val="105"/>
          <w:sz w:val="20"/>
        </w:rPr>
        <w:t xml:space="preserve"> </w:t>
      </w:r>
      <w:r>
        <w:rPr>
          <w:rFonts w:ascii="Arial" w:hAnsi="Arial"/>
          <w:i/>
          <w:color w:val="231F20"/>
          <w:w w:val="105"/>
          <w:sz w:val="20"/>
        </w:rPr>
        <w:t>Criminal</w:t>
      </w:r>
      <w:r>
        <w:rPr>
          <w:rFonts w:ascii="Arial" w:hAnsi="Arial"/>
          <w:i/>
          <w:color w:val="231F20"/>
          <w:spacing w:val="-13"/>
          <w:w w:val="105"/>
          <w:sz w:val="20"/>
        </w:rPr>
        <w:t xml:space="preserve"> </w:t>
      </w:r>
      <w:r>
        <w:rPr>
          <w:rFonts w:ascii="Arial" w:hAnsi="Arial"/>
          <w:i/>
          <w:color w:val="231F20"/>
          <w:spacing w:val="-3"/>
          <w:w w:val="105"/>
          <w:sz w:val="20"/>
        </w:rPr>
        <w:t xml:space="preserve">Procedure </w:t>
      </w:r>
      <w:r>
        <w:rPr>
          <w:rFonts w:ascii="Arial" w:hAnsi="Arial"/>
          <w:i/>
          <w:color w:val="231F20"/>
          <w:spacing w:val="-3"/>
          <w:w w:val="97"/>
          <w:sz w:val="20"/>
        </w:rPr>
        <w:t>A</w:t>
      </w:r>
      <w:r>
        <w:rPr>
          <w:rFonts w:ascii="Arial" w:hAnsi="Arial"/>
          <w:i/>
          <w:color w:val="231F20"/>
          <w:spacing w:val="-3"/>
          <w:w w:val="106"/>
          <w:sz w:val="20"/>
        </w:rPr>
        <w:t>c</w:t>
      </w:r>
      <w:r>
        <w:rPr>
          <w:rFonts w:ascii="Arial" w:hAnsi="Arial"/>
          <w:i/>
          <w:color w:val="231F20"/>
          <w:w w:val="121"/>
          <w:sz w:val="20"/>
        </w:rPr>
        <w:t>t</w:t>
      </w:r>
      <w:r>
        <w:rPr>
          <w:rFonts w:ascii="Arial" w:hAnsi="Arial"/>
          <w:i/>
          <w:color w:val="231F20"/>
          <w:spacing w:val="-11"/>
          <w:sz w:val="20"/>
        </w:rPr>
        <w:t xml:space="preserve"> </w:t>
      </w:r>
      <w:r>
        <w:rPr>
          <w:rFonts w:ascii="Arial" w:hAnsi="Arial"/>
          <w:i/>
          <w:color w:val="231F20"/>
          <w:spacing w:val="-2"/>
          <w:w w:val="92"/>
          <w:sz w:val="20"/>
        </w:rPr>
        <w:t>2</w:t>
      </w:r>
      <w:r>
        <w:rPr>
          <w:rFonts w:ascii="Arial" w:hAnsi="Arial"/>
          <w:i/>
          <w:color w:val="231F20"/>
          <w:spacing w:val="-1"/>
          <w:w w:val="106"/>
          <w:sz w:val="20"/>
        </w:rPr>
        <w:t>00</w:t>
      </w:r>
      <w:r>
        <w:rPr>
          <w:rFonts w:ascii="Arial" w:hAnsi="Arial"/>
          <w:i/>
          <w:color w:val="231F20"/>
          <w:w w:val="103"/>
          <w:sz w:val="20"/>
        </w:rPr>
        <w:t>9</w:t>
      </w:r>
      <w:r>
        <w:rPr>
          <w:rFonts w:ascii="Arial" w:hAnsi="Arial"/>
          <w:i/>
          <w:color w:val="231F20"/>
          <w:spacing w:val="-11"/>
          <w:sz w:val="20"/>
        </w:rPr>
        <w:t xml:space="preserve"> </w:t>
      </w:r>
      <w:r>
        <w:rPr>
          <w:rFonts w:ascii="Trebuchet MS" w:hAnsi="Trebuchet MS"/>
          <w:color w:val="231F20"/>
          <w:spacing w:val="3"/>
          <w:w w:val="77"/>
          <w:sz w:val="20"/>
        </w:rPr>
        <w:t>(</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5"/>
          <w:w w:val="111"/>
          <w:sz w:val="20"/>
        </w:rPr>
        <w:t>c</w:t>
      </w:r>
      <w:r>
        <w:rPr>
          <w:rFonts w:ascii="Trebuchet MS" w:hAnsi="Trebuchet MS"/>
          <w:color w:val="231F20"/>
          <w:w w:val="77"/>
          <w:sz w:val="20"/>
        </w:rPr>
        <w: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3"/>
          <w:w w:val="105"/>
          <w:sz w:val="20"/>
        </w:rPr>
        <w:t>a</w:t>
      </w:r>
      <w:r>
        <w:rPr>
          <w:rFonts w:ascii="Trebuchet MS" w:hAnsi="Trebuchet MS"/>
          <w:color w:val="231F20"/>
          <w:spacing w:val="-2"/>
          <w:w w:val="96"/>
          <w:sz w:val="20"/>
        </w:rPr>
        <w:t>l</w:t>
      </w:r>
      <w:r>
        <w:rPr>
          <w:rFonts w:ascii="Trebuchet MS" w:hAnsi="Trebuchet MS"/>
          <w:color w:val="231F20"/>
          <w:spacing w:val="-3"/>
          <w:w w:val="96"/>
          <w:sz w:val="20"/>
        </w:rPr>
        <w:t>l</w:t>
      </w:r>
      <w:r>
        <w:rPr>
          <w:rFonts w:ascii="Trebuchet MS" w:hAnsi="Trebuchet MS"/>
          <w:color w:val="231F20"/>
          <w:spacing w:val="-6"/>
          <w:w w:val="111"/>
          <w:sz w:val="20"/>
        </w:rPr>
        <w:t>o</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4"/>
          <w:w w:val="56"/>
          <w:sz w:val="20"/>
        </w:rPr>
        <w:t>‘</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spacing w:val="-2"/>
          <w:w w:val="111"/>
          <w:sz w:val="20"/>
        </w:rPr>
        <w:t>m</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24"/>
          <w:sz w:val="20"/>
        </w:rPr>
        <w:t>g</w:t>
      </w:r>
      <w:r>
        <w:rPr>
          <w:rFonts w:ascii="Trebuchet MS" w:hAnsi="Trebuchet MS"/>
          <w:color w:val="231F20"/>
          <w:spacing w:val="-2"/>
          <w:w w:val="80"/>
          <w:sz w:val="20"/>
        </w:rPr>
        <w:t>i</w:t>
      </w:r>
      <w:r>
        <w:rPr>
          <w:rFonts w:ascii="Trebuchet MS" w:hAnsi="Trebuchet MS"/>
          <w:color w:val="231F20"/>
          <w:spacing w:val="-6"/>
          <w:w w:val="109"/>
          <w:sz w:val="20"/>
        </w:rPr>
        <w:t>v</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spacing w:val="-2"/>
          <w:w w:val="80"/>
          <w:sz w:val="20"/>
        </w:rPr>
        <w:t>i</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5"/>
          <w:w w:val="108"/>
          <w:sz w:val="20"/>
        </w:rPr>
        <w:t>e</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w w:val="115"/>
          <w:sz w:val="20"/>
        </w:rPr>
        <w:t xml:space="preserve">- </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3"/>
          <w:w w:val="111"/>
          <w:sz w:val="20"/>
        </w:rPr>
        <w:t>c</w:t>
      </w:r>
      <w:r>
        <w:rPr>
          <w:rFonts w:ascii="Trebuchet MS" w:hAnsi="Trebuchet MS"/>
          <w:color w:val="231F20"/>
          <w:spacing w:val="-1"/>
          <w:w w:val="103"/>
          <w:sz w:val="20"/>
        </w:rPr>
        <w:t>o</w:t>
      </w:r>
      <w:r>
        <w:rPr>
          <w:rFonts w:ascii="Trebuchet MS" w:hAnsi="Trebuchet MS"/>
          <w:color w:val="231F20"/>
          <w:spacing w:val="-4"/>
          <w:w w:val="103"/>
          <w:sz w:val="20"/>
        </w:rPr>
        <w:t>r</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spacing w:val="-1"/>
          <w:w w:val="115"/>
          <w:sz w:val="20"/>
        </w:rPr>
        <w:t>ng</w:t>
      </w:r>
      <w:r>
        <w:rPr>
          <w:rFonts w:ascii="Trebuchet MS" w:hAnsi="Trebuchet MS"/>
          <w:color w:val="231F20"/>
          <w:w w:val="55"/>
          <w:sz w:val="20"/>
        </w:rPr>
        <w:t>.</w:t>
      </w:r>
    </w:p>
    <w:p w14:paraId="55C3AE17" w14:textId="77777777" w:rsidR="00894070" w:rsidRDefault="009B7AFD">
      <w:pPr>
        <w:pStyle w:val="ListParagraph"/>
        <w:numPr>
          <w:ilvl w:val="0"/>
          <w:numId w:val="181"/>
        </w:numPr>
        <w:tabs>
          <w:tab w:val="left" w:pos="1801"/>
          <w:tab w:val="left" w:pos="1802"/>
        </w:tabs>
        <w:spacing w:before="87" w:line="247" w:lineRule="auto"/>
        <w:ind w:right="1199"/>
        <w:rPr>
          <w:rFonts w:ascii="Trebuchet MS" w:hAnsi="Trebuchet MS"/>
          <w:sz w:val="20"/>
        </w:rPr>
      </w:pPr>
      <w:r>
        <w:rPr>
          <w:rFonts w:ascii="Trebuchet MS" w:hAnsi="Trebuchet MS"/>
          <w:color w:val="231F20"/>
          <w:w w:val="105"/>
          <w:sz w:val="20"/>
        </w:rPr>
        <w:t xml:space="preserve">The Victorian </w:t>
      </w:r>
      <w:r>
        <w:rPr>
          <w:rFonts w:ascii="Trebuchet MS" w:hAnsi="Trebuchet MS"/>
          <w:color w:val="231F20"/>
          <w:spacing w:val="-3"/>
          <w:w w:val="105"/>
          <w:sz w:val="20"/>
        </w:rPr>
        <w:t xml:space="preserve">Government </w:t>
      </w:r>
      <w:r>
        <w:rPr>
          <w:rFonts w:ascii="Trebuchet MS" w:hAnsi="Trebuchet MS"/>
          <w:color w:val="231F20"/>
          <w:w w:val="105"/>
          <w:sz w:val="20"/>
        </w:rPr>
        <w:t xml:space="preserve">should implement Recommendation </w:t>
      </w:r>
      <w:r>
        <w:rPr>
          <w:rFonts w:ascii="Trebuchet MS" w:hAnsi="Trebuchet MS"/>
          <w:color w:val="231F20"/>
          <w:spacing w:val="-3"/>
          <w:w w:val="105"/>
          <w:sz w:val="20"/>
        </w:rPr>
        <w:t xml:space="preserve">43 </w:t>
      </w:r>
      <w:r>
        <w:rPr>
          <w:rFonts w:ascii="Trebuchet MS" w:hAnsi="Trebuchet MS"/>
          <w:color w:val="231F20"/>
          <w:w w:val="105"/>
          <w:sz w:val="20"/>
        </w:rPr>
        <w:t xml:space="preserve">of the Victorian </w:t>
      </w:r>
      <w:r>
        <w:rPr>
          <w:rFonts w:ascii="Trebuchet MS" w:hAnsi="Trebuchet MS"/>
          <w:color w:val="231F20"/>
          <w:spacing w:val="2"/>
          <w:w w:val="115"/>
          <w:sz w:val="20"/>
        </w:rPr>
        <w:t>L</w:t>
      </w:r>
      <w:r>
        <w:rPr>
          <w:rFonts w:ascii="Trebuchet MS" w:hAnsi="Trebuchet MS"/>
          <w:color w:val="231F20"/>
          <w:spacing w:val="-7"/>
          <w:w w:val="105"/>
          <w:sz w:val="20"/>
        </w:rPr>
        <w:t>a</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3"/>
          <w:w w:val="112"/>
          <w:sz w:val="20"/>
        </w:rPr>
        <w:t>R</w:t>
      </w:r>
      <w:r>
        <w:rPr>
          <w:rFonts w:ascii="Trebuchet MS" w:hAnsi="Trebuchet MS"/>
          <w:color w:val="231F20"/>
          <w:spacing w:val="-4"/>
          <w:w w:val="108"/>
          <w:sz w:val="20"/>
        </w:rPr>
        <w:t>e</w:t>
      </w:r>
      <w:r>
        <w:rPr>
          <w:rFonts w:ascii="Trebuchet MS" w:hAnsi="Trebuchet MS"/>
          <w:color w:val="231F20"/>
          <w:spacing w:val="-5"/>
          <w:w w:val="92"/>
          <w:sz w:val="20"/>
        </w:rPr>
        <w:t>f</w:t>
      </w:r>
      <w:r>
        <w:rPr>
          <w:rFonts w:ascii="Trebuchet MS" w:hAnsi="Trebuchet MS"/>
          <w:color w:val="231F20"/>
          <w:spacing w:val="-1"/>
          <w:w w:val="103"/>
          <w:sz w:val="20"/>
        </w:rPr>
        <w:t>o</w:t>
      </w:r>
      <w:r>
        <w:rPr>
          <w:rFonts w:ascii="Trebuchet MS" w:hAnsi="Trebuchet MS"/>
          <w:color w:val="231F20"/>
          <w:spacing w:val="-2"/>
          <w:w w:val="103"/>
          <w:sz w:val="20"/>
        </w:rPr>
        <w:t>r</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11"/>
          <w:sz w:val="20"/>
        </w:rPr>
        <w:t>o</w:t>
      </w:r>
      <w:r>
        <w:rPr>
          <w:rFonts w:ascii="Trebuchet MS" w:hAnsi="Trebuchet MS"/>
          <w:color w:val="231F20"/>
          <w:spacing w:val="-2"/>
          <w:w w:val="111"/>
          <w:sz w:val="20"/>
        </w:rPr>
        <w:t>mm</w:t>
      </w:r>
      <w:r>
        <w:rPr>
          <w:rFonts w:ascii="Trebuchet MS" w:hAnsi="Trebuchet MS"/>
          <w:color w:val="231F20"/>
          <w:spacing w:val="-1"/>
          <w:w w:val="104"/>
          <w:sz w:val="20"/>
        </w:rPr>
        <w:t>issi</w:t>
      </w:r>
      <w:r>
        <w:rPr>
          <w:rFonts w:ascii="Trebuchet MS" w:hAnsi="Trebuchet MS"/>
          <w:color w:val="231F20"/>
          <w:spacing w:val="-1"/>
          <w:w w:val="109"/>
          <w:sz w:val="20"/>
        </w:rPr>
        <w:t>o</w:t>
      </w:r>
      <w:r>
        <w:rPr>
          <w:rFonts w:ascii="Trebuchet MS" w:hAnsi="Trebuchet MS"/>
          <w:color w:val="231F20"/>
          <w:spacing w:val="-6"/>
          <w:w w:val="109"/>
          <w:sz w:val="20"/>
        </w:rPr>
        <w:t>n</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Arial" w:hAnsi="Arial"/>
          <w:i/>
          <w:color w:val="231F20"/>
          <w:spacing w:val="-3"/>
          <w:w w:val="95"/>
          <w:sz w:val="20"/>
        </w:rPr>
        <w:t>T</w:t>
      </w:r>
      <w:r>
        <w:rPr>
          <w:rFonts w:ascii="Arial" w:hAnsi="Arial"/>
          <w:i/>
          <w:color w:val="231F20"/>
          <w:spacing w:val="-1"/>
          <w:w w:val="101"/>
          <w:sz w:val="20"/>
        </w:rPr>
        <w:t>h</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2"/>
          <w:w w:val="87"/>
          <w:sz w:val="20"/>
        </w:rPr>
        <w:t>R</w:t>
      </w:r>
      <w:r>
        <w:rPr>
          <w:rFonts w:ascii="Arial" w:hAnsi="Arial"/>
          <w:i/>
          <w:color w:val="231F20"/>
          <w:spacing w:val="-2"/>
          <w:w w:val="103"/>
          <w:sz w:val="20"/>
        </w:rPr>
        <w:t>o</w:t>
      </w:r>
      <w:r>
        <w:rPr>
          <w:rFonts w:ascii="Arial" w:hAnsi="Arial"/>
          <w:i/>
          <w:color w:val="231F20"/>
          <w:spacing w:val="-4"/>
          <w:w w:val="126"/>
          <w:sz w:val="20"/>
        </w:rPr>
        <w:t>l</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3"/>
          <w:w w:val="103"/>
          <w:sz w:val="20"/>
        </w:rPr>
        <w:t>o</w:t>
      </w:r>
      <w:r>
        <w:rPr>
          <w:rFonts w:ascii="Arial" w:hAnsi="Arial"/>
          <w:i/>
          <w:color w:val="231F20"/>
          <w:w w:val="120"/>
          <w:sz w:val="20"/>
        </w:rPr>
        <w:t>f</w:t>
      </w:r>
      <w:r>
        <w:rPr>
          <w:rFonts w:ascii="Arial" w:hAnsi="Arial"/>
          <w:i/>
          <w:color w:val="231F20"/>
          <w:spacing w:val="-11"/>
          <w:sz w:val="20"/>
        </w:rPr>
        <w:t xml:space="preserve"> </w:t>
      </w:r>
      <w:r>
        <w:rPr>
          <w:rFonts w:ascii="Arial" w:hAnsi="Arial"/>
          <w:i/>
          <w:color w:val="231F20"/>
          <w:spacing w:val="-2"/>
          <w:w w:val="98"/>
          <w:sz w:val="20"/>
        </w:rPr>
        <w:t>V</w:t>
      </w:r>
      <w:r>
        <w:rPr>
          <w:rFonts w:ascii="Arial" w:hAnsi="Arial"/>
          <w:i/>
          <w:color w:val="231F20"/>
          <w:spacing w:val="-1"/>
          <w:w w:val="98"/>
          <w:sz w:val="20"/>
        </w:rPr>
        <w:t>i</w:t>
      </w:r>
      <w:r>
        <w:rPr>
          <w:rFonts w:ascii="Arial" w:hAnsi="Arial"/>
          <w:i/>
          <w:color w:val="231F20"/>
          <w:spacing w:val="-3"/>
          <w:w w:val="106"/>
          <w:sz w:val="20"/>
        </w:rPr>
        <w:t>c</w:t>
      </w:r>
      <w:r>
        <w:rPr>
          <w:rFonts w:ascii="Arial" w:hAnsi="Arial"/>
          <w:i/>
          <w:color w:val="231F20"/>
          <w:spacing w:val="-2"/>
          <w:w w:val="121"/>
          <w:sz w:val="20"/>
        </w:rPr>
        <w:t>t</w:t>
      </w:r>
      <w:r>
        <w:rPr>
          <w:rFonts w:ascii="Arial" w:hAnsi="Arial"/>
          <w:i/>
          <w:color w:val="231F20"/>
          <w:spacing w:val="-1"/>
          <w:w w:val="101"/>
          <w:sz w:val="20"/>
        </w:rPr>
        <w:t>i</w:t>
      </w:r>
      <w:r>
        <w:rPr>
          <w:rFonts w:ascii="Arial" w:hAnsi="Arial"/>
          <w:i/>
          <w:color w:val="231F20"/>
          <w:spacing w:val="-1"/>
          <w:w w:val="106"/>
          <w:sz w:val="20"/>
        </w:rPr>
        <w:t>m</w:t>
      </w:r>
      <w:r>
        <w:rPr>
          <w:rFonts w:ascii="Arial" w:hAnsi="Arial"/>
          <w:i/>
          <w:color w:val="231F20"/>
          <w:w w:val="95"/>
          <w:sz w:val="20"/>
        </w:rPr>
        <w:t>s</w:t>
      </w:r>
      <w:r>
        <w:rPr>
          <w:rFonts w:ascii="Arial" w:hAnsi="Arial"/>
          <w:i/>
          <w:color w:val="231F20"/>
          <w:spacing w:val="-11"/>
          <w:sz w:val="20"/>
        </w:rPr>
        <w:t xml:space="preserve"> </w:t>
      </w:r>
      <w:r>
        <w:rPr>
          <w:rFonts w:ascii="Arial" w:hAnsi="Arial"/>
          <w:i/>
          <w:color w:val="231F20"/>
          <w:spacing w:val="-3"/>
          <w:w w:val="103"/>
          <w:sz w:val="20"/>
        </w:rPr>
        <w:t>o</w:t>
      </w:r>
      <w:r>
        <w:rPr>
          <w:rFonts w:ascii="Arial" w:hAnsi="Arial"/>
          <w:i/>
          <w:color w:val="231F20"/>
          <w:w w:val="120"/>
          <w:sz w:val="20"/>
        </w:rPr>
        <w:t>f</w:t>
      </w:r>
      <w:r>
        <w:rPr>
          <w:rFonts w:ascii="Arial" w:hAnsi="Arial"/>
          <w:i/>
          <w:color w:val="231F20"/>
          <w:spacing w:val="-11"/>
          <w:sz w:val="20"/>
        </w:rPr>
        <w:t xml:space="preserve"> </w:t>
      </w:r>
      <w:r>
        <w:rPr>
          <w:rFonts w:ascii="Arial" w:hAnsi="Arial"/>
          <w:i/>
          <w:color w:val="231F20"/>
          <w:spacing w:val="-2"/>
          <w:w w:val="90"/>
          <w:sz w:val="20"/>
        </w:rPr>
        <w:t>C</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2"/>
          <w:w w:val="106"/>
          <w:sz w:val="20"/>
        </w:rPr>
        <w:t>m</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1"/>
          <w:w w:val="101"/>
          <w:sz w:val="20"/>
        </w:rPr>
        <w:t>i</w:t>
      </w:r>
      <w:r>
        <w:rPr>
          <w:rFonts w:ascii="Arial" w:hAnsi="Arial"/>
          <w:i/>
          <w:color w:val="231F20"/>
          <w:w w:val="101"/>
          <w:sz w:val="20"/>
        </w:rPr>
        <w:t>n</w:t>
      </w:r>
      <w:r>
        <w:rPr>
          <w:rFonts w:ascii="Arial" w:hAnsi="Arial"/>
          <w:i/>
          <w:color w:val="231F20"/>
          <w:spacing w:val="-11"/>
          <w:sz w:val="20"/>
        </w:rPr>
        <w:t xml:space="preserve"> </w:t>
      </w:r>
      <w:r>
        <w:rPr>
          <w:rFonts w:ascii="Arial" w:hAnsi="Arial"/>
          <w:i/>
          <w:color w:val="231F20"/>
          <w:spacing w:val="-2"/>
          <w:w w:val="121"/>
          <w:sz w:val="20"/>
        </w:rPr>
        <w:t>t</w:t>
      </w:r>
      <w:r>
        <w:rPr>
          <w:rFonts w:ascii="Arial" w:hAnsi="Arial"/>
          <w:i/>
          <w:color w:val="231F20"/>
          <w:spacing w:val="-1"/>
          <w:w w:val="101"/>
          <w:sz w:val="20"/>
        </w:rPr>
        <w:t>h</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2"/>
          <w:w w:val="90"/>
          <w:sz w:val="20"/>
        </w:rPr>
        <w:t>C</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1"/>
          <w:w w:val="106"/>
          <w:sz w:val="20"/>
        </w:rPr>
        <w:t>m</w:t>
      </w:r>
      <w:r>
        <w:rPr>
          <w:rFonts w:ascii="Arial" w:hAnsi="Arial"/>
          <w:i/>
          <w:color w:val="231F20"/>
          <w:spacing w:val="-1"/>
          <w:w w:val="101"/>
          <w:sz w:val="20"/>
        </w:rPr>
        <w:t>in</w:t>
      </w:r>
      <w:r>
        <w:rPr>
          <w:rFonts w:ascii="Arial" w:hAnsi="Arial"/>
          <w:i/>
          <w:color w:val="231F20"/>
          <w:spacing w:val="-1"/>
          <w:w w:val="108"/>
          <w:sz w:val="20"/>
        </w:rPr>
        <w:t>a</w:t>
      </w:r>
      <w:r>
        <w:rPr>
          <w:rFonts w:ascii="Arial" w:hAnsi="Arial"/>
          <w:i/>
          <w:color w:val="231F20"/>
          <w:w w:val="126"/>
          <w:sz w:val="20"/>
        </w:rPr>
        <w:t>l</w:t>
      </w:r>
      <w:r>
        <w:rPr>
          <w:rFonts w:ascii="Arial" w:hAnsi="Arial"/>
          <w:i/>
          <w:color w:val="231F20"/>
          <w:spacing w:val="-11"/>
          <w:sz w:val="20"/>
        </w:rPr>
        <w:t xml:space="preserve"> </w:t>
      </w:r>
      <w:r>
        <w:rPr>
          <w:rFonts w:ascii="Arial" w:hAnsi="Arial"/>
          <w:i/>
          <w:color w:val="231F20"/>
          <w:spacing w:val="-16"/>
          <w:w w:val="95"/>
          <w:sz w:val="20"/>
        </w:rPr>
        <w:t>T</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1"/>
          <w:w w:val="108"/>
          <w:sz w:val="20"/>
        </w:rPr>
        <w:t>a</w:t>
      </w:r>
      <w:r>
        <w:rPr>
          <w:rFonts w:ascii="Arial" w:hAnsi="Arial"/>
          <w:i/>
          <w:color w:val="231F20"/>
          <w:w w:val="126"/>
          <w:sz w:val="20"/>
        </w:rPr>
        <w:t>l</w:t>
      </w:r>
      <w:r>
        <w:rPr>
          <w:rFonts w:ascii="Arial" w:hAnsi="Arial"/>
          <w:i/>
          <w:color w:val="231F20"/>
          <w:spacing w:val="-11"/>
          <w:sz w:val="20"/>
        </w:rPr>
        <w:t xml:space="preserve"> </w:t>
      </w:r>
      <w:r>
        <w:rPr>
          <w:rFonts w:ascii="Arial" w:hAnsi="Arial"/>
          <w:i/>
          <w:color w:val="231F20"/>
          <w:spacing w:val="-3"/>
          <w:w w:val="90"/>
          <w:sz w:val="20"/>
        </w:rPr>
        <w:t>P</w:t>
      </w:r>
      <w:r>
        <w:rPr>
          <w:rFonts w:ascii="Arial" w:hAnsi="Arial"/>
          <w:i/>
          <w:color w:val="231F20"/>
          <w:spacing w:val="-5"/>
          <w:w w:val="106"/>
          <w:sz w:val="20"/>
        </w:rPr>
        <w:t>r</w:t>
      </w:r>
      <w:r>
        <w:rPr>
          <w:rFonts w:ascii="Arial" w:hAnsi="Arial"/>
          <w:i/>
          <w:color w:val="231F20"/>
          <w:spacing w:val="-1"/>
          <w:w w:val="103"/>
          <w:sz w:val="20"/>
        </w:rPr>
        <w:t>o</w:t>
      </w:r>
      <w:r>
        <w:rPr>
          <w:rFonts w:ascii="Arial" w:hAnsi="Arial"/>
          <w:i/>
          <w:color w:val="231F20"/>
          <w:spacing w:val="-2"/>
          <w:w w:val="106"/>
          <w:sz w:val="20"/>
        </w:rPr>
        <w:t>c</w:t>
      </w:r>
      <w:r>
        <w:rPr>
          <w:rFonts w:ascii="Arial" w:hAnsi="Arial"/>
          <w:i/>
          <w:color w:val="231F20"/>
          <w:spacing w:val="-1"/>
          <w:w w:val="96"/>
          <w:sz w:val="20"/>
        </w:rPr>
        <w:t>e</w:t>
      </w:r>
      <w:r>
        <w:rPr>
          <w:rFonts w:ascii="Arial" w:hAnsi="Arial"/>
          <w:i/>
          <w:color w:val="231F20"/>
          <w:spacing w:val="-1"/>
          <w:w w:val="95"/>
          <w:sz w:val="20"/>
        </w:rPr>
        <w:t>s</w:t>
      </w:r>
      <w:r>
        <w:rPr>
          <w:rFonts w:ascii="Arial" w:hAnsi="Arial"/>
          <w:i/>
          <w:color w:val="231F20"/>
          <w:w w:val="95"/>
          <w:sz w:val="20"/>
        </w:rPr>
        <w:t>s</w:t>
      </w:r>
      <w:r>
        <w:rPr>
          <w:rFonts w:ascii="Arial" w:hAnsi="Arial"/>
          <w:i/>
          <w:color w:val="231F20"/>
          <w:spacing w:val="-10"/>
          <w:sz w:val="20"/>
        </w:rPr>
        <w:t xml:space="preserve"> </w:t>
      </w:r>
      <w:r>
        <w:rPr>
          <w:rFonts w:ascii="Trebuchet MS" w:hAnsi="Trebuchet MS"/>
          <w:color w:val="231F20"/>
          <w:spacing w:val="-2"/>
          <w:w w:val="106"/>
          <w:sz w:val="20"/>
        </w:rPr>
        <w:t>a</w:t>
      </w:r>
      <w:r>
        <w:rPr>
          <w:rFonts w:ascii="Trebuchet MS" w:hAnsi="Trebuchet MS"/>
          <w:color w:val="231F20"/>
          <w:spacing w:val="-1"/>
          <w:w w:val="106"/>
          <w:sz w:val="20"/>
        </w:rPr>
        <w:t>n</w:t>
      </w:r>
      <w:r>
        <w:rPr>
          <w:rFonts w:ascii="Trebuchet MS" w:hAnsi="Trebuchet MS"/>
          <w:color w:val="231F20"/>
          <w:w w:val="112"/>
          <w:sz w:val="20"/>
        </w:rPr>
        <w:t xml:space="preserve">d </w:t>
      </w:r>
      <w:r>
        <w:rPr>
          <w:rFonts w:ascii="Trebuchet MS" w:hAnsi="Trebuchet MS"/>
          <w:color w:val="231F20"/>
          <w:w w:val="105"/>
          <w:sz w:val="20"/>
        </w:rPr>
        <w:t>Recommendation</w:t>
      </w:r>
      <w:r>
        <w:rPr>
          <w:rFonts w:ascii="Trebuchet MS" w:hAnsi="Trebuchet MS"/>
          <w:color w:val="231F20"/>
          <w:spacing w:val="-27"/>
          <w:w w:val="105"/>
          <w:sz w:val="20"/>
        </w:rPr>
        <w:t xml:space="preserve"> </w:t>
      </w:r>
      <w:r>
        <w:rPr>
          <w:rFonts w:ascii="Trebuchet MS" w:hAnsi="Trebuchet MS"/>
          <w:color w:val="231F20"/>
          <w:w w:val="105"/>
          <w:sz w:val="20"/>
        </w:rPr>
        <w:t>85</w:t>
      </w:r>
      <w:r>
        <w:rPr>
          <w:rFonts w:ascii="Trebuchet MS" w:hAnsi="Trebuchet MS"/>
          <w:color w:val="231F20"/>
          <w:spacing w:val="-27"/>
          <w:w w:val="105"/>
          <w:sz w:val="20"/>
        </w:rPr>
        <w:t xml:space="preserve"> </w:t>
      </w:r>
      <w:r>
        <w:rPr>
          <w:rFonts w:ascii="Trebuchet MS" w:hAnsi="Trebuchet MS"/>
          <w:color w:val="231F20"/>
          <w:w w:val="105"/>
          <w:sz w:val="20"/>
        </w:rPr>
        <w:t>of</w:t>
      </w:r>
      <w:r>
        <w:rPr>
          <w:rFonts w:ascii="Trebuchet MS" w:hAnsi="Trebuchet MS"/>
          <w:color w:val="231F20"/>
          <w:spacing w:val="-26"/>
          <w:w w:val="105"/>
          <w:sz w:val="20"/>
        </w:rPr>
        <w:t xml:space="preserve"> </w:t>
      </w:r>
      <w:r>
        <w:rPr>
          <w:rFonts w:ascii="Trebuchet MS" w:hAnsi="Trebuchet MS"/>
          <w:color w:val="231F20"/>
          <w:w w:val="105"/>
          <w:sz w:val="20"/>
        </w:rPr>
        <w:t>the</w:t>
      </w:r>
      <w:r>
        <w:rPr>
          <w:rFonts w:ascii="Trebuchet MS" w:hAnsi="Trebuchet MS"/>
          <w:color w:val="231F20"/>
          <w:spacing w:val="-27"/>
          <w:w w:val="105"/>
          <w:sz w:val="20"/>
        </w:rPr>
        <w:t xml:space="preserve"> </w:t>
      </w:r>
      <w:r>
        <w:rPr>
          <w:rFonts w:ascii="Trebuchet MS" w:hAnsi="Trebuchet MS"/>
          <w:i/>
          <w:color w:val="231F20"/>
          <w:spacing w:val="-3"/>
          <w:w w:val="105"/>
          <w:sz w:val="20"/>
        </w:rPr>
        <w:t>Improving</w:t>
      </w:r>
      <w:r>
        <w:rPr>
          <w:rFonts w:ascii="Trebuchet MS" w:hAnsi="Trebuchet MS"/>
          <w:i/>
          <w:color w:val="231F20"/>
          <w:spacing w:val="-27"/>
          <w:w w:val="105"/>
          <w:sz w:val="20"/>
        </w:rPr>
        <w:t xml:space="preserve"> </w:t>
      </w:r>
      <w:r>
        <w:rPr>
          <w:rFonts w:ascii="Trebuchet MS" w:hAnsi="Trebuchet MS"/>
          <w:i/>
          <w:color w:val="231F20"/>
          <w:w w:val="105"/>
          <w:sz w:val="20"/>
        </w:rPr>
        <w:t>the</w:t>
      </w:r>
      <w:r>
        <w:rPr>
          <w:rFonts w:ascii="Trebuchet MS" w:hAnsi="Trebuchet MS"/>
          <w:i/>
          <w:color w:val="231F20"/>
          <w:spacing w:val="-28"/>
          <w:w w:val="105"/>
          <w:sz w:val="20"/>
        </w:rPr>
        <w:t xml:space="preserve"> </w:t>
      </w:r>
      <w:r>
        <w:rPr>
          <w:rFonts w:ascii="Trebuchet MS" w:hAnsi="Trebuchet MS"/>
          <w:i/>
          <w:color w:val="231F20"/>
          <w:w w:val="105"/>
          <w:sz w:val="20"/>
        </w:rPr>
        <w:t>Justice</w:t>
      </w:r>
      <w:r>
        <w:rPr>
          <w:rFonts w:ascii="Trebuchet MS" w:hAnsi="Trebuchet MS"/>
          <w:i/>
          <w:color w:val="231F20"/>
          <w:spacing w:val="-27"/>
          <w:w w:val="105"/>
          <w:sz w:val="20"/>
        </w:rPr>
        <w:t xml:space="preserve"> </w:t>
      </w:r>
      <w:r>
        <w:rPr>
          <w:rFonts w:ascii="Trebuchet MS" w:hAnsi="Trebuchet MS"/>
          <w:i/>
          <w:color w:val="231F20"/>
          <w:spacing w:val="-3"/>
          <w:w w:val="105"/>
          <w:sz w:val="20"/>
        </w:rPr>
        <w:t>System</w:t>
      </w:r>
      <w:r>
        <w:rPr>
          <w:rFonts w:ascii="Trebuchet MS" w:hAnsi="Trebuchet MS"/>
          <w:i/>
          <w:color w:val="231F20"/>
          <w:spacing w:val="-28"/>
          <w:w w:val="105"/>
          <w:sz w:val="20"/>
        </w:rPr>
        <w:t xml:space="preserve"> </w:t>
      </w:r>
      <w:r>
        <w:rPr>
          <w:rFonts w:ascii="Trebuchet MS" w:hAnsi="Trebuchet MS"/>
          <w:i/>
          <w:color w:val="231F20"/>
          <w:w w:val="105"/>
          <w:sz w:val="20"/>
        </w:rPr>
        <w:t>Response</w:t>
      </w:r>
      <w:r>
        <w:rPr>
          <w:rFonts w:ascii="Trebuchet MS" w:hAnsi="Trebuchet MS"/>
          <w:i/>
          <w:color w:val="231F20"/>
          <w:spacing w:val="-27"/>
          <w:w w:val="105"/>
          <w:sz w:val="20"/>
        </w:rPr>
        <w:t xml:space="preserve"> </w:t>
      </w:r>
      <w:r>
        <w:rPr>
          <w:rFonts w:ascii="Trebuchet MS" w:hAnsi="Trebuchet MS"/>
          <w:i/>
          <w:color w:val="231F20"/>
          <w:spacing w:val="-3"/>
          <w:w w:val="105"/>
          <w:sz w:val="20"/>
        </w:rPr>
        <w:t>to</w:t>
      </w:r>
      <w:r>
        <w:rPr>
          <w:rFonts w:ascii="Trebuchet MS" w:hAnsi="Trebuchet MS"/>
          <w:i/>
          <w:color w:val="231F20"/>
          <w:spacing w:val="-27"/>
          <w:w w:val="105"/>
          <w:sz w:val="20"/>
        </w:rPr>
        <w:t xml:space="preserve"> </w:t>
      </w:r>
      <w:r>
        <w:rPr>
          <w:rFonts w:ascii="Trebuchet MS" w:hAnsi="Trebuchet MS"/>
          <w:i/>
          <w:color w:val="231F20"/>
          <w:w w:val="105"/>
          <w:sz w:val="20"/>
        </w:rPr>
        <w:t>Sexual</w:t>
      </w:r>
      <w:r>
        <w:rPr>
          <w:rFonts w:ascii="Trebuchet MS" w:hAnsi="Trebuchet MS"/>
          <w:i/>
          <w:color w:val="231F20"/>
          <w:spacing w:val="-28"/>
          <w:w w:val="105"/>
          <w:sz w:val="20"/>
        </w:rPr>
        <w:t xml:space="preserve"> </w:t>
      </w:r>
      <w:r>
        <w:rPr>
          <w:rFonts w:ascii="Trebuchet MS" w:hAnsi="Trebuchet MS"/>
          <w:i/>
          <w:color w:val="231F20"/>
          <w:w w:val="105"/>
          <w:sz w:val="20"/>
        </w:rPr>
        <w:t xml:space="preserve">Offences </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1"/>
          <w:w w:val="111"/>
          <w:sz w:val="20"/>
        </w:rPr>
        <w:t>po</w:t>
      </w:r>
      <w:r>
        <w:rPr>
          <w:rFonts w:ascii="Trebuchet MS" w:hAnsi="Trebuchet MS"/>
          <w:color w:val="231F20"/>
          <w:spacing w:val="2"/>
          <w:w w:val="93"/>
          <w:sz w:val="20"/>
        </w:rPr>
        <w:t>r</w:t>
      </w:r>
      <w:r>
        <w:rPr>
          <w:rFonts w:ascii="Trebuchet MS" w:hAnsi="Trebuchet MS"/>
          <w:color w:val="231F20"/>
          <w:spacing w:val="2"/>
          <w:w w:val="88"/>
          <w:sz w:val="20"/>
        </w:rPr>
        <w:t>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3"/>
          <w:w w:val="124"/>
          <w:sz w:val="20"/>
        </w:rPr>
        <w:t>g</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w w:val="105"/>
          <w:sz w:val="20"/>
        </w:rPr>
        <w:t>a</w:t>
      </w:r>
      <w:r>
        <w:rPr>
          <w:rFonts w:ascii="Trebuchet MS" w:hAnsi="Trebuchet MS"/>
          <w:color w:val="231F20"/>
          <w:spacing w:val="-2"/>
          <w:w w:val="122"/>
          <w:sz w:val="20"/>
        </w:rPr>
        <w:t>s</w:t>
      </w:r>
      <w:r>
        <w:rPr>
          <w:rFonts w:ascii="Trebuchet MS" w:hAnsi="Trebuchet MS"/>
          <w:color w:val="231F20"/>
          <w:spacing w:val="-1"/>
          <w:w w:val="109"/>
          <w:sz w:val="20"/>
        </w:rPr>
        <w:t>u</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u</w:t>
      </w:r>
      <w:r>
        <w:rPr>
          <w:rFonts w:ascii="Trebuchet MS" w:hAnsi="Trebuchet MS"/>
          <w:color w:val="231F20"/>
          <w:spacing w:val="3"/>
          <w:w w:val="93"/>
          <w:sz w:val="20"/>
        </w:rPr>
        <w:t>r</w:t>
      </w:r>
      <w:r>
        <w:rPr>
          <w:rFonts w:ascii="Trebuchet MS" w:hAnsi="Trebuchet MS"/>
          <w:color w:val="231F20"/>
          <w:spacing w:val="-2"/>
          <w:w w:val="109"/>
          <w:sz w:val="20"/>
        </w:rPr>
        <w:t>v</w:t>
      </w:r>
      <w:r>
        <w:rPr>
          <w:rFonts w:ascii="Trebuchet MS" w:hAnsi="Trebuchet MS"/>
          <w:color w:val="231F20"/>
          <w:spacing w:val="-2"/>
          <w:w w:val="80"/>
          <w:sz w:val="20"/>
        </w:rPr>
        <w:t>i</w:t>
      </w:r>
      <w:r>
        <w:rPr>
          <w:rFonts w:ascii="Trebuchet MS" w:hAnsi="Trebuchet MS"/>
          <w:color w:val="231F20"/>
          <w:spacing w:val="-6"/>
          <w:w w:val="109"/>
          <w:sz w:val="20"/>
        </w:rPr>
        <w:t>v</w:t>
      </w:r>
      <w:r>
        <w:rPr>
          <w:rFonts w:ascii="Trebuchet MS" w:hAnsi="Trebuchet MS"/>
          <w:color w:val="231F20"/>
          <w:spacing w:val="-1"/>
          <w:w w:val="111"/>
          <w:sz w:val="20"/>
        </w:rPr>
        <w:t>o</w:t>
      </w:r>
      <w:r>
        <w:rPr>
          <w:rFonts w:ascii="Trebuchet MS" w:hAnsi="Trebuchet MS"/>
          <w:color w:val="231F20"/>
          <w:spacing w:val="-1"/>
          <w:w w:val="93"/>
          <w:sz w:val="20"/>
        </w:rPr>
        <w:t>r</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4"/>
          <w:w w:val="105"/>
          <w:sz w:val="20"/>
        </w:rPr>
        <w:t>a</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1"/>
          <w:w w:val="109"/>
          <w:sz w:val="20"/>
        </w:rPr>
        <w:t>u</w:t>
      </w:r>
      <w:r>
        <w:rPr>
          <w:rFonts w:ascii="Trebuchet MS" w:hAnsi="Trebuchet MS"/>
          <w:color w:val="231F20"/>
          <w:spacing w:val="2"/>
          <w:w w:val="93"/>
          <w:sz w:val="20"/>
        </w:rPr>
        <w:t>r</w:t>
      </w:r>
      <w:r>
        <w:rPr>
          <w:rFonts w:ascii="Trebuchet MS" w:hAnsi="Trebuchet MS"/>
          <w:color w:val="231F20"/>
          <w:spacing w:val="1"/>
          <w:w w:val="88"/>
          <w:sz w:val="20"/>
        </w:rPr>
        <w:t>t</w:t>
      </w:r>
      <w:r>
        <w:rPr>
          <w:rFonts w:ascii="Trebuchet MS" w:hAnsi="Trebuchet MS"/>
          <w:color w:val="231F20"/>
          <w:w w:val="55"/>
          <w:sz w:val="20"/>
        </w:rPr>
        <w:t>.</w:t>
      </w:r>
    </w:p>
    <w:p w14:paraId="4EFA9EE4" w14:textId="77777777" w:rsidR="00894070" w:rsidRDefault="009B7AFD">
      <w:pPr>
        <w:pStyle w:val="ListParagraph"/>
        <w:numPr>
          <w:ilvl w:val="0"/>
          <w:numId w:val="181"/>
        </w:numPr>
        <w:tabs>
          <w:tab w:val="left" w:pos="1801"/>
          <w:tab w:val="left" w:pos="1802"/>
        </w:tabs>
        <w:spacing w:before="88" w:line="247" w:lineRule="auto"/>
        <w:ind w:right="1244"/>
        <w:rPr>
          <w:rFonts w:ascii="Trebuchet MS"/>
          <w:sz w:val="20"/>
        </w:rPr>
      </w:pPr>
      <w:r>
        <w:rPr>
          <w:rFonts w:ascii="Trebuchet MS"/>
          <w:color w:val="231F20"/>
          <w:spacing w:val="-2"/>
          <w:w w:val="105"/>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spacing w:val="-2"/>
          <w:w w:val="105"/>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7"/>
          <w:sz w:val="20"/>
        </w:rPr>
        <w:t>n</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11"/>
          <w:sz w:val="20"/>
        </w:rPr>
        <w:t>P</w:t>
      </w:r>
      <w:r>
        <w:rPr>
          <w:rFonts w:ascii="Trebuchet MS"/>
          <w:color w:val="231F20"/>
          <w:spacing w:val="-2"/>
          <w:w w:val="105"/>
          <w:sz w:val="20"/>
        </w:rPr>
        <w:t>a</w:t>
      </w:r>
      <w:r>
        <w:rPr>
          <w:rFonts w:ascii="Trebuchet MS"/>
          <w:color w:val="231F20"/>
          <w:spacing w:val="2"/>
          <w:w w:val="93"/>
          <w:sz w:val="20"/>
        </w:rPr>
        <w:t>r</w:t>
      </w:r>
      <w:r>
        <w:rPr>
          <w:rFonts w:ascii="Trebuchet MS"/>
          <w:color w:val="231F20"/>
          <w:w w:val="88"/>
          <w:sz w:val="20"/>
        </w:rPr>
        <w:t>t</w:t>
      </w:r>
      <w:r>
        <w:rPr>
          <w:rFonts w:ascii="Trebuchet MS"/>
          <w:color w:val="231F20"/>
          <w:spacing w:val="-14"/>
          <w:sz w:val="20"/>
        </w:rPr>
        <w:t xml:space="preserve"> </w:t>
      </w:r>
      <w:r>
        <w:rPr>
          <w:rFonts w:ascii="Trebuchet MS"/>
          <w:color w:val="231F20"/>
          <w:w w:val="114"/>
          <w:sz w:val="20"/>
        </w:rPr>
        <w:t>8</w:t>
      </w:r>
      <w:r>
        <w:rPr>
          <w:rFonts w:ascii="Trebuchet MS"/>
          <w:color w:val="231F20"/>
          <w:spacing w:val="4"/>
          <w:w w:val="55"/>
          <w:sz w:val="20"/>
        </w:rPr>
        <w:t>.</w:t>
      </w:r>
      <w:r>
        <w:rPr>
          <w:rFonts w:ascii="Trebuchet MS"/>
          <w:color w:val="231F20"/>
          <w:spacing w:val="1"/>
          <w:w w:val="102"/>
          <w:sz w:val="20"/>
        </w:rPr>
        <w:t>2</w:t>
      </w:r>
      <w:r>
        <w:rPr>
          <w:rFonts w:ascii="Trebuchet MS"/>
          <w:color w:val="231F20"/>
          <w:w w:val="57"/>
          <w:sz w:val="20"/>
        </w:rPr>
        <w:t>,</w:t>
      </w:r>
      <w:r>
        <w:rPr>
          <w:rFonts w:ascii="Trebuchet MS"/>
          <w:color w:val="231F20"/>
          <w:spacing w:val="-14"/>
          <w:sz w:val="20"/>
        </w:rPr>
        <w:t xml:space="preserve"> </w:t>
      </w:r>
      <w:r>
        <w:rPr>
          <w:rFonts w:ascii="Trebuchet MS"/>
          <w:color w:val="231F20"/>
          <w:w w:val="116"/>
          <w:sz w:val="20"/>
        </w:rPr>
        <w:t>D</w:t>
      </w:r>
      <w:r>
        <w:rPr>
          <w:rFonts w:ascii="Trebuchet MS"/>
          <w:color w:val="231F20"/>
          <w:spacing w:val="-2"/>
          <w:w w:val="80"/>
          <w:sz w:val="20"/>
        </w:rPr>
        <w:t>i</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22"/>
          <w:sz w:val="20"/>
        </w:rPr>
        <w:t>s</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w w:val="102"/>
          <w:sz w:val="20"/>
        </w:rPr>
        <w:t>3</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Arial"/>
          <w:i/>
          <w:color w:val="231F20"/>
          <w:spacing w:val="-2"/>
          <w:w w:val="90"/>
          <w:sz w:val="20"/>
        </w:rPr>
        <w:t>C</w:t>
      </w:r>
      <w:r>
        <w:rPr>
          <w:rFonts w:ascii="Arial"/>
          <w:i/>
          <w:color w:val="231F20"/>
          <w:spacing w:val="-3"/>
          <w:w w:val="106"/>
          <w:sz w:val="20"/>
        </w:rPr>
        <w:t>r</w:t>
      </w:r>
      <w:r>
        <w:rPr>
          <w:rFonts w:ascii="Arial"/>
          <w:i/>
          <w:color w:val="231F20"/>
          <w:spacing w:val="-1"/>
          <w:w w:val="105"/>
          <w:sz w:val="20"/>
        </w:rPr>
        <w:t>im</w:t>
      </w:r>
      <w:r>
        <w:rPr>
          <w:rFonts w:ascii="Arial"/>
          <w:i/>
          <w:color w:val="231F20"/>
          <w:spacing w:val="-1"/>
          <w:w w:val="104"/>
          <w:sz w:val="20"/>
        </w:rPr>
        <w:t>ina</w:t>
      </w:r>
      <w:r>
        <w:rPr>
          <w:rFonts w:ascii="Arial"/>
          <w:i/>
          <w:color w:val="231F20"/>
          <w:w w:val="126"/>
          <w:sz w:val="20"/>
        </w:rPr>
        <w:t>l</w:t>
      </w:r>
      <w:r>
        <w:rPr>
          <w:rFonts w:ascii="Arial"/>
          <w:i/>
          <w:color w:val="231F20"/>
          <w:spacing w:val="-11"/>
          <w:sz w:val="20"/>
        </w:rPr>
        <w:t xml:space="preserve"> </w:t>
      </w:r>
      <w:r>
        <w:rPr>
          <w:rFonts w:ascii="Arial"/>
          <w:i/>
          <w:color w:val="231F20"/>
          <w:spacing w:val="-3"/>
          <w:w w:val="90"/>
          <w:sz w:val="20"/>
        </w:rPr>
        <w:t>P</w:t>
      </w:r>
      <w:r>
        <w:rPr>
          <w:rFonts w:ascii="Arial"/>
          <w:i/>
          <w:color w:val="231F20"/>
          <w:spacing w:val="-5"/>
          <w:w w:val="106"/>
          <w:sz w:val="20"/>
        </w:rPr>
        <w:t>r</w:t>
      </w:r>
      <w:r>
        <w:rPr>
          <w:rFonts w:ascii="Arial"/>
          <w:i/>
          <w:color w:val="231F20"/>
          <w:spacing w:val="-1"/>
          <w:w w:val="103"/>
          <w:sz w:val="20"/>
        </w:rPr>
        <w:t>o</w:t>
      </w:r>
      <w:r>
        <w:rPr>
          <w:rFonts w:ascii="Arial"/>
          <w:i/>
          <w:color w:val="231F20"/>
          <w:spacing w:val="-2"/>
          <w:w w:val="106"/>
          <w:sz w:val="20"/>
        </w:rPr>
        <w:t>c</w:t>
      </w:r>
      <w:r>
        <w:rPr>
          <w:rFonts w:ascii="Arial"/>
          <w:i/>
          <w:color w:val="231F20"/>
          <w:spacing w:val="-1"/>
          <w:w w:val="96"/>
          <w:sz w:val="20"/>
        </w:rPr>
        <w:t>e</w:t>
      </w:r>
      <w:r>
        <w:rPr>
          <w:rFonts w:ascii="Arial"/>
          <w:i/>
          <w:color w:val="231F20"/>
          <w:spacing w:val="-1"/>
          <w:w w:val="108"/>
          <w:sz w:val="20"/>
        </w:rPr>
        <w:t>d</w:t>
      </w:r>
      <w:r>
        <w:rPr>
          <w:rFonts w:ascii="Arial"/>
          <w:i/>
          <w:color w:val="231F20"/>
          <w:spacing w:val="-1"/>
          <w:w w:val="103"/>
          <w:sz w:val="20"/>
        </w:rPr>
        <w:t>u</w:t>
      </w:r>
      <w:r>
        <w:rPr>
          <w:rFonts w:ascii="Arial"/>
          <w:i/>
          <w:color w:val="231F20"/>
          <w:spacing w:val="-5"/>
          <w:w w:val="106"/>
          <w:sz w:val="20"/>
        </w:rPr>
        <w:t>r</w:t>
      </w:r>
      <w:r>
        <w:rPr>
          <w:rFonts w:ascii="Arial"/>
          <w:i/>
          <w:color w:val="231F20"/>
          <w:w w:val="96"/>
          <w:sz w:val="20"/>
        </w:rPr>
        <w:t xml:space="preserve">e </w:t>
      </w:r>
      <w:r>
        <w:rPr>
          <w:rFonts w:ascii="Arial"/>
          <w:i/>
          <w:color w:val="231F20"/>
          <w:w w:val="105"/>
          <w:sz w:val="20"/>
        </w:rPr>
        <w:t xml:space="preserve">Act 2009 </w:t>
      </w:r>
      <w:r>
        <w:rPr>
          <w:rFonts w:ascii="Trebuchet MS"/>
          <w:color w:val="231F20"/>
          <w:w w:val="105"/>
          <w:sz w:val="20"/>
        </w:rPr>
        <w:t xml:space="preserve">(Vic) so that the Division on </w:t>
      </w:r>
      <w:r>
        <w:rPr>
          <w:rFonts w:ascii="Trebuchet MS"/>
          <w:color w:val="231F20"/>
          <w:spacing w:val="-3"/>
          <w:w w:val="105"/>
          <w:sz w:val="20"/>
        </w:rPr>
        <w:t xml:space="preserve">cross-examination </w:t>
      </w:r>
      <w:r>
        <w:rPr>
          <w:rFonts w:ascii="Trebuchet MS"/>
          <w:color w:val="231F20"/>
          <w:w w:val="105"/>
          <w:sz w:val="20"/>
        </w:rPr>
        <w:t xml:space="preserve">of </w:t>
      </w:r>
      <w:r>
        <w:rPr>
          <w:rFonts w:ascii="Trebuchet MS"/>
          <w:color w:val="231F20"/>
          <w:spacing w:val="-3"/>
          <w:w w:val="105"/>
          <w:sz w:val="20"/>
        </w:rPr>
        <w:t xml:space="preserve">protected </w:t>
      </w:r>
      <w:r>
        <w:rPr>
          <w:rFonts w:ascii="Trebuchet MS"/>
          <w:color w:val="231F20"/>
          <w:w w:val="105"/>
          <w:sz w:val="20"/>
        </w:rPr>
        <w:t xml:space="preserve">witnesses </w:t>
      </w:r>
      <w:r>
        <w:rPr>
          <w:rFonts w:ascii="Trebuchet MS"/>
          <w:color w:val="231F20"/>
          <w:spacing w:val="-1"/>
          <w:w w:val="105"/>
          <w:sz w:val="20"/>
        </w:rPr>
        <w:t>a</w:t>
      </w:r>
      <w:r>
        <w:rPr>
          <w:rFonts w:ascii="Trebuchet MS"/>
          <w:color w:val="231F20"/>
          <w:spacing w:val="-1"/>
          <w:w w:val="111"/>
          <w:sz w:val="20"/>
        </w:rPr>
        <w:t>p</w:t>
      </w:r>
      <w:r>
        <w:rPr>
          <w:rFonts w:ascii="Trebuchet MS"/>
          <w:color w:val="231F20"/>
          <w:spacing w:val="-2"/>
          <w:w w:val="111"/>
          <w:sz w:val="20"/>
        </w:rPr>
        <w:t>p</w:t>
      </w:r>
      <w:r>
        <w:rPr>
          <w:rFonts w:ascii="Trebuchet MS"/>
          <w:color w:val="231F20"/>
          <w:w w:val="96"/>
          <w:sz w:val="20"/>
        </w:rPr>
        <w:t>l</w:t>
      </w:r>
      <w:r>
        <w:rPr>
          <w:rFonts w:ascii="Trebuchet MS"/>
          <w:color w:val="231F20"/>
          <w:spacing w:val="-1"/>
          <w:w w:val="80"/>
          <w:sz w:val="20"/>
        </w:rPr>
        <w:t>i</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w w:val="105"/>
          <w:sz w:val="20"/>
        </w:rPr>
        <w:t>a</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2"/>
          <w:w w:val="93"/>
          <w:sz w:val="20"/>
        </w:rPr>
        <w:t>r</w:t>
      </w:r>
      <w:r>
        <w:rPr>
          <w:rFonts w:ascii="Trebuchet MS"/>
          <w:color w:val="231F20"/>
          <w:spacing w:val="-2"/>
          <w:w w:val="80"/>
          <w:sz w:val="20"/>
        </w:rPr>
        <w:t>i</w:t>
      </w:r>
      <w:r>
        <w:rPr>
          <w:rFonts w:ascii="Trebuchet MS"/>
          <w:color w:val="231F20"/>
          <w:spacing w:val="-2"/>
          <w:w w:val="111"/>
          <w:sz w:val="20"/>
        </w:rPr>
        <w:t>m</w:t>
      </w:r>
      <w:r>
        <w:rPr>
          <w:rFonts w:ascii="Trebuchet MS"/>
          <w:color w:val="231F20"/>
          <w:spacing w:val="-2"/>
          <w:w w:val="80"/>
          <w:sz w:val="20"/>
        </w:rPr>
        <w:t>i</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1"/>
          <w:w w:val="111"/>
          <w:sz w:val="20"/>
        </w:rPr>
        <w:t>o</w:t>
      </w:r>
      <w:r>
        <w:rPr>
          <w:rFonts w:ascii="Trebuchet MS"/>
          <w:color w:val="231F20"/>
          <w:spacing w:val="-3"/>
          <w:w w:val="111"/>
          <w:sz w:val="20"/>
        </w:rPr>
        <w:t>c</w:t>
      </w:r>
      <w:r>
        <w:rPr>
          <w:rFonts w:ascii="Trebuchet MS"/>
          <w:color w:val="231F20"/>
          <w:w w:val="108"/>
          <w:sz w:val="20"/>
        </w:rPr>
        <w:t>ee</w:t>
      </w:r>
      <w:r>
        <w:rPr>
          <w:rFonts w:ascii="Trebuchet MS"/>
          <w:color w:val="231F20"/>
          <w:spacing w:val="-1"/>
          <w:w w:val="112"/>
          <w:sz w:val="20"/>
        </w:rPr>
        <w:t>d</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4"/>
          <w:w w:val="105"/>
          <w:sz w:val="20"/>
        </w:rPr>
        <w:t>a</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96"/>
          <w:sz w:val="20"/>
        </w:rPr>
        <w:t>l</w:t>
      </w:r>
      <w:r>
        <w:rPr>
          <w:rFonts w:ascii="Trebuchet MS"/>
          <w:color w:val="231F20"/>
          <w:spacing w:val="-4"/>
          <w:w w:val="105"/>
          <w:sz w:val="20"/>
        </w:rPr>
        <w:t>a</w:t>
      </w:r>
      <w:r>
        <w:rPr>
          <w:rFonts w:ascii="Trebuchet MS"/>
          <w:color w:val="231F20"/>
          <w:spacing w:val="-4"/>
          <w:w w:val="88"/>
          <w:sz w:val="20"/>
        </w:rPr>
        <w:t>t</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6"/>
          <w:w w:val="77"/>
          <w:sz w:val="20"/>
        </w:rPr>
        <w:t>(</w:t>
      </w:r>
      <w:r>
        <w:rPr>
          <w:rFonts w:ascii="Trebuchet MS"/>
          <w:color w:val="231F20"/>
          <w:spacing w:val="-2"/>
          <w:w w:val="110"/>
          <w:sz w:val="20"/>
        </w:rPr>
        <w:t>w</w:t>
      </w:r>
      <w:r>
        <w:rPr>
          <w:rFonts w:ascii="Trebuchet MS"/>
          <w:color w:val="231F20"/>
          <w:spacing w:val="-1"/>
          <w:w w:val="107"/>
          <w:sz w:val="20"/>
        </w:rPr>
        <w:t>h</w:t>
      </w:r>
      <w:r>
        <w:rPr>
          <w:rFonts w:ascii="Trebuchet MS"/>
          <w:color w:val="231F20"/>
          <w:spacing w:val="-2"/>
          <w:w w:val="111"/>
          <w:sz w:val="20"/>
        </w:rPr>
        <w:t>o</w:t>
      </w:r>
      <w:r>
        <w:rPr>
          <w:rFonts w:ascii="Trebuchet MS"/>
          <w:color w:val="231F20"/>
          <w:spacing w:val="-2"/>
          <w:w w:val="96"/>
          <w:sz w:val="20"/>
        </w:rPr>
        <w:t>l</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2"/>
          <w:w w:val="105"/>
          <w:sz w:val="20"/>
        </w:rPr>
        <w:t>a</w:t>
      </w:r>
      <w:r>
        <w:rPr>
          <w:rFonts w:ascii="Trebuchet MS"/>
          <w:color w:val="231F20"/>
          <w:spacing w:val="2"/>
          <w:w w:val="93"/>
          <w:sz w:val="20"/>
        </w:rPr>
        <w:t>r</w:t>
      </w:r>
      <w:r>
        <w:rPr>
          <w:rFonts w:ascii="Trebuchet MS"/>
          <w:color w:val="231F20"/>
          <w:spacing w:val="-3"/>
          <w:w w:val="88"/>
          <w:sz w:val="20"/>
        </w:rPr>
        <w:t>t</w:t>
      </w:r>
      <w:r>
        <w:rPr>
          <w:rFonts w:ascii="Trebuchet MS"/>
          <w:color w:val="231F20"/>
          <w:spacing w:val="-7"/>
          <w:w w:val="96"/>
          <w:sz w:val="20"/>
        </w:rPr>
        <w:t>l</w:t>
      </w:r>
      <w:r>
        <w:rPr>
          <w:rFonts w:ascii="Trebuchet MS"/>
          <w:color w:val="231F20"/>
          <w:spacing w:val="-7"/>
          <w:w w:val="110"/>
          <w:sz w:val="20"/>
        </w:rPr>
        <w:t>y</w:t>
      </w:r>
      <w:r>
        <w:rPr>
          <w:rFonts w:ascii="Trebuchet MS"/>
          <w:color w:val="231F20"/>
          <w:w w:val="77"/>
          <w:sz w:val="20"/>
        </w:rPr>
        <w:t>)</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w w:val="105"/>
          <w:sz w:val="20"/>
        </w:rPr>
        <w:t>a</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1"/>
          <w:w w:val="107"/>
          <w:sz w:val="20"/>
        </w:rPr>
        <w:t>h</w:t>
      </w:r>
      <w:r>
        <w:rPr>
          <w:rFonts w:ascii="Trebuchet MS"/>
          <w:color w:val="231F20"/>
          <w:spacing w:val="-2"/>
          <w:w w:val="105"/>
          <w:sz w:val="20"/>
        </w:rPr>
        <w:t>a</w:t>
      </w:r>
      <w:r>
        <w:rPr>
          <w:rFonts w:ascii="Trebuchet MS"/>
          <w:color w:val="231F20"/>
          <w:spacing w:val="-4"/>
          <w:w w:val="93"/>
          <w:sz w:val="20"/>
        </w:rPr>
        <w:t>r</w:t>
      </w:r>
      <w:r>
        <w:rPr>
          <w:rFonts w:ascii="Trebuchet MS"/>
          <w:color w:val="231F20"/>
          <w:spacing w:val="-1"/>
          <w:w w:val="124"/>
          <w:sz w:val="20"/>
        </w:rPr>
        <w:t>g</w:t>
      </w:r>
      <w:r>
        <w:rPr>
          <w:rFonts w:ascii="Trebuchet MS"/>
          <w:color w:val="231F20"/>
          <w:w w:val="108"/>
          <w:sz w:val="20"/>
        </w:rPr>
        <w:t>e</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p w14:paraId="7FAE784D" w14:textId="77777777" w:rsidR="00894070" w:rsidRDefault="009B7AFD">
      <w:pPr>
        <w:pStyle w:val="ListParagraph"/>
        <w:numPr>
          <w:ilvl w:val="0"/>
          <w:numId w:val="181"/>
        </w:numPr>
        <w:tabs>
          <w:tab w:val="left" w:pos="1801"/>
          <w:tab w:val="left" w:pos="1802"/>
        </w:tabs>
        <w:spacing w:before="88" w:line="247" w:lineRule="auto"/>
        <w:ind w:right="1490"/>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ensure that Victoria Legal Aid is resourced to </w:t>
      </w:r>
      <w:r>
        <w:rPr>
          <w:rFonts w:ascii="Trebuchet MS"/>
          <w:color w:val="231F20"/>
          <w:spacing w:val="-3"/>
          <w:w w:val="105"/>
          <w:sz w:val="20"/>
        </w:rPr>
        <w:t>provide</w:t>
      </w:r>
      <w:r>
        <w:rPr>
          <w:rFonts w:ascii="Trebuchet MS"/>
          <w:color w:val="231F20"/>
          <w:spacing w:val="-15"/>
          <w:w w:val="105"/>
          <w:sz w:val="20"/>
        </w:rPr>
        <w:t xml:space="preserve"> </w:t>
      </w:r>
      <w:r>
        <w:rPr>
          <w:rFonts w:ascii="Trebuchet MS"/>
          <w:color w:val="231F20"/>
          <w:w w:val="105"/>
          <w:sz w:val="20"/>
        </w:rPr>
        <w:t>legal</w:t>
      </w:r>
      <w:r>
        <w:rPr>
          <w:rFonts w:ascii="Trebuchet MS"/>
          <w:color w:val="231F20"/>
          <w:spacing w:val="-15"/>
          <w:w w:val="105"/>
          <w:sz w:val="20"/>
        </w:rPr>
        <w:t xml:space="preserve"> </w:t>
      </w:r>
      <w:r>
        <w:rPr>
          <w:rFonts w:ascii="Trebuchet MS"/>
          <w:color w:val="231F20"/>
          <w:w w:val="105"/>
          <w:sz w:val="20"/>
        </w:rPr>
        <w:t>representation</w:t>
      </w:r>
      <w:r>
        <w:rPr>
          <w:rFonts w:ascii="Trebuchet MS"/>
          <w:color w:val="231F20"/>
          <w:spacing w:val="-15"/>
          <w:w w:val="105"/>
          <w:sz w:val="20"/>
        </w:rPr>
        <w:t xml:space="preserve"> </w:t>
      </w:r>
      <w:r>
        <w:rPr>
          <w:rFonts w:ascii="Trebuchet MS"/>
          <w:color w:val="231F20"/>
          <w:w w:val="105"/>
          <w:sz w:val="20"/>
        </w:rPr>
        <w:t>to</w:t>
      </w:r>
      <w:r>
        <w:rPr>
          <w:rFonts w:ascii="Trebuchet MS"/>
          <w:color w:val="231F20"/>
          <w:spacing w:val="-15"/>
          <w:w w:val="105"/>
          <w:sz w:val="20"/>
        </w:rPr>
        <w:t xml:space="preserve"> </w:t>
      </w:r>
      <w:r>
        <w:rPr>
          <w:rFonts w:ascii="Trebuchet MS"/>
          <w:color w:val="231F20"/>
          <w:w w:val="105"/>
          <w:sz w:val="20"/>
        </w:rPr>
        <w:t>unrepresented</w:t>
      </w:r>
      <w:r>
        <w:rPr>
          <w:rFonts w:ascii="Trebuchet MS"/>
          <w:color w:val="231F20"/>
          <w:spacing w:val="-14"/>
          <w:w w:val="105"/>
          <w:sz w:val="20"/>
        </w:rPr>
        <w:t xml:space="preserve"> </w:t>
      </w:r>
      <w:r>
        <w:rPr>
          <w:rFonts w:ascii="Trebuchet MS"/>
          <w:color w:val="231F20"/>
          <w:w w:val="105"/>
          <w:sz w:val="20"/>
        </w:rPr>
        <w:t>accused</w:t>
      </w:r>
      <w:r>
        <w:rPr>
          <w:rFonts w:ascii="Trebuchet MS"/>
          <w:color w:val="231F20"/>
          <w:spacing w:val="-15"/>
          <w:w w:val="105"/>
          <w:sz w:val="20"/>
        </w:rPr>
        <w:t xml:space="preserve"> </w:t>
      </w:r>
      <w:r>
        <w:rPr>
          <w:rFonts w:ascii="Trebuchet MS"/>
          <w:color w:val="231F20"/>
          <w:w w:val="105"/>
          <w:sz w:val="20"/>
        </w:rPr>
        <w:t>in</w:t>
      </w:r>
      <w:r>
        <w:rPr>
          <w:rFonts w:ascii="Trebuchet MS"/>
          <w:color w:val="231F20"/>
          <w:spacing w:val="-15"/>
          <w:w w:val="105"/>
          <w:sz w:val="20"/>
        </w:rPr>
        <w:t xml:space="preserve"> </w:t>
      </w:r>
      <w:r>
        <w:rPr>
          <w:rFonts w:ascii="Trebuchet MS"/>
          <w:color w:val="231F20"/>
          <w:spacing w:val="-3"/>
          <w:w w:val="105"/>
          <w:sz w:val="20"/>
        </w:rPr>
        <w:t>accordance</w:t>
      </w:r>
      <w:r>
        <w:rPr>
          <w:rFonts w:ascii="Trebuchet MS"/>
          <w:color w:val="231F20"/>
          <w:spacing w:val="-15"/>
          <w:w w:val="105"/>
          <w:sz w:val="20"/>
        </w:rPr>
        <w:t xml:space="preserve"> </w:t>
      </w:r>
      <w:r>
        <w:rPr>
          <w:rFonts w:ascii="Trebuchet MS"/>
          <w:color w:val="231F20"/>
          <w:w w:val="105"/>
          <w:sz w:val="20"/>
        </w:rPr>
        <w:t>with</w:t>
      </w:r>
      <w:r>
        <w:rPr>
          <w:rFonts w:ascii="Trebuchet MS"/>
          <w:color w:val="231F20"/>
          <w:spacing w:val="-14"/>
          <w:w w:val="105"/>
          <w:sz w:val="20"/>
        </w:rPr>
        <w:t xml:space="preserve"> </w:t>
      </w:r>
      <w:r>
        <w:rPr>
          <w:rFonts w:ascii="Trebuchet MS"/>
          <w:color w:val="231F20"/>
          <w:w w:val="105"/>
          <w:sz w:val="20"/>
        </w:rPr>
        <w:t>section 357(2)</w:t>
      </w:r>
      <w:r>
        <w:rPr>
          <w:rFonts w:ascii="Trebuchet MS"/>
          <w:color w:val="231F20"/>
          <w:spacing w:val="-20"/>
          <w:w w:val="105"/>
          <w:sz w:val="20"/>
        </w:rPr>
        <w:t xml:space="preserve"> </w:t>
      </w:r>
      <w:r>
        <w:rPr>
          <w:rFonts w:ascii="Trebuchet MS"/>
          <w:color w:val="231F20"/>
          <w:w w:val="105"/>
          <w:sz w:val="20"/>
        </w:rPr>
        <w:t>of</w:t>
      </w:r>
      <w:r>
        <w:rPr>
          <w:rFonts w:ascii="Trebuchet MS"/>
          <w:color w:val="231F20"/>
          <w:spacing w:val="-20"/>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Arial"/>
          <w:i/>
          <w:color w:val="231F20"/>
          <w:w w:val="105"/>
          <w:sz w:val="20"/>
        </w:rPr>
        <w:t>Criminal</w:t>
      </w:r>
      <w:r>
        <w:rPr>
          <w:rFonts w:ascii="Arial"/>
          <w:i/>
          <w:color w:val="231F20"/>
          <w:spacing w:val="-17"/>
          <w:w w:val="105"/>
          <w:sz w:val="20"/>
        </w:rPr>
        <w:t xml:space="preserve"> </w:t>
      </w:r>
      <w:r>
        <w:rPr>
          <w:rFonts w:ascii="Arial"/>
          <w:i/>
          <w:color w:val="231F20"/>
          <w:spacing w:val="-3"/>
          <w:w w:val="105"/>
          <w:sz w:val="20"/>
        </w:rPr>
        <w:t>Procedure</w:t>
      </w:r>
      <w:r>
        <w:rPr>
          <w:rFonts w:ascii="Arial"/>
          <w:i/>
          <w:color w:val="231F20"/>
          <w:spacing w:val="-16"/>
          <w:w w:val="105"/>
          <w:sz w:val="20"/>
        </w:rPr>
        <w:t xml:space="preserve"> </w:t>
      </w:r>
      <w:r>
        <w:rPr>
          <w:rFonts w:ascii="Arial"/>
          <w:i/>
          <w:color w:val="231F20"/>
          <w:w w:val="105"/>
          <w:sz w:val="20"/>
        </w:rPr>
        <w:t>Act</w:t>
      </w:r>
      <w:r>
        <w:rPr>
          <w:rFonts w:ascii="Arial"/>
          <w:i/>
          <w:color w:val="231F20"/>
          <w:spacing w:val="-16"/>
          <w:w w:val="105"/>
          <w:sz w:val="20"/>
        </w:rPr>
        <w:t xml:space="preserve"> </w:t>
      </w:r>
      <w:r>
        <w:rPr>
          <w:rFonts w:ascii="Arial"/>
          <w:i/>
          <w:color w:val="231F20"/>
          <w:w w:val="105"/>
          <w:sz w:val="20"/>
        </w:rPr>
        <w:t>2009</w:t>
      </w:r>
      <w:r>
        <w:rPr>
          <w:rFonts w:ascii="Arial"/>
          <w:i/>
          <w:color w:val="231F20"/>
          <w:spacing w:val="-15"/>
          <w:w w:val="105"/>
          <w:sz w:val="20"/>
        </w:rPr>
        <w:t xml:space="preserve"> </w:t>
      </w:r>
      <w:r>
        <w:rPr>
          <w:rFonts w:ascii="Trebuchet MS"/>
          <w:color w:val="231F20"/>
          <w:spacing w:val="-3"/>
          <w:w w:val="105"/>
          <w:sz w:val="20"/>
        </w:rPr>
        <w:t>(Vic).</w:t>
      </w:r>
    </w:p>
    <w:p w14:paraId="634A1C41" w14:textId="77777777" w:rsidR="00894070" w:rsidRDefault="009B7AFD">
      <w:pPr>
        <w:pStyle w:val="ListParagraph"/>
        <w:numPr>
          <w:ilvl w:val="0"/>
          <w:numId w:val="181"/>
        </w:numPr>
        <w:tabs>
          <w:tab w:val="left" w:pos="1801"/>
          <w:tab w:val="left" w:pos="1802"/>
        </w:tabs>
        <w:spacing w:before="87" w:line="247" w:lineRule="auto"/>
        <w:ind w:right="1274"/>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w:t>
      </w:r>
      <w:r>
        <w:rPr>
          <w:rFonts w:ascii="Trebuchet MS"/>
          <w:color w:val="231F20"/>
          <w:spacing w:val="-3"/>
          <w:w w:val="105"/>
          <w:sz w:val="20"/>
        </w:rPr>
        <w:t xml:space="preserve">develop </w:t>
      </w:r>
      <w:r>
        <w:rPr>
          <w:rFonts w:ascii="Trebuchet MS"/>
          <w:color w:val="231F20"/>
          <w:w w:val="105"/>
          <w:sz w:val="20"/>
        </w:rPr>
        <w:t xml:space="preserve">a coordinated response to </w:t>
      </w:r>
      <w:r>
        <w:rPr>
          <w:rFonts w:ascii="Trebuchet MS"/>
          <w:color w:val="231F20"/>
          <w:spacing w:val="-3"/>
          <w:w w:val="105"/>
          <w:sz w:val="20"/>
        </w:rPr>
        <w:t xml:space="preserve">non-family </w:t>
      </w:r>
      <w:r>
        <w:rPr>
          <w:rFonts w:ascii="Trebuchet MS"/>
          <w:color w:val="231F20"/>
          <w:w w:val="105"/>
          <w:sz w:val="20"/>
        </w:rPr>
        <w:t>violence</w:t>
      </w:r>
      <w:r>
        <w:rPr>
          <w:rFonts w:ascii="Trebuchet MS"/>
          <w:color w:val="231F20"/>
          <w:spacing w:val="-18"/>
          <w:w w:val="105"/>
          <w:sz w:val="20"/>
        </w:rPr>
        <w:t xml:space="preserve"> </w:t>
      </w:r>
      <w:r>
        <w:rPr>
          <w:rFonts w:ascii="Trebuchet MS"/>
          <w:color w:val="231F20"/>
          <w:w w:val="105"/>
          <w:sz w:val="20"/>
        </w:rPr>
        <w:t>stalking</w:t>
      </w:r>
      <w:r>
        <w:rPr>
          <w:rFonts w:ascii="Trebuchet MS"/>
          <w:color w:val="231F20"/>
          <w:spacing w:val="-17"/>
          <w:w w:val="105"/>
          <w:sz w:val="20"/>
        </w:rPr>
        <w:t xml:space="preserve"> </w:t>
      </w:r>
      <w:r>
        <w:rPr>
          <w:rFonts w:ascii="Trebuchet MS"/>
          <w:color w:val="231F20"/>
          <w:w w:val="105"/>
          <w:sz w:val="20"/>
        </w:rPr>
        <w:t>to</w:t>
      </w:r>
      <w:r>
        <w:rPr>
          <w:rFonts w:ascii="Trebuchet MS"/>
          <w:color w:val="231F20"/>
          <w:spacing w:val="-17"/>
          <w:w w:val="105"/>
          <w:sz w:val="20"/>
        </w:rPr>
        <w:t xml:space="preserve"> </w:t>
      </w:r>
      <w:r>
        <w:rPr>
          <w:rFonts w:ascii="Trebuchet MS"/>
          <w:color w:val="231F20"/>
          <w:w w:val="105"/>
          <w:sz w:val="20"/>
        </w:rPr>
        <w:t>deliver</w:t>
      </w:r>
      <w:r>
        <w:rPr>
          <w:rFonts w:ascii="Trebuchet MS"/>
          <w:color w:val="231F20"/>
          <w:spacing w:val="-17"/>
          <w:w w:val="105"/>
          <w:sz w:val="20"/>
        </w:rPr>
        <w:t xml:space="preserve"> </w:t>
      </w:r>
      <w:r>
        <w:rPr>
          <w:rFonts w:ascii="Trebuchet MS"/>
          <w:color w:val="231F20"/>
          <w:w w:val="105"/>
          <w:sz w:val="20"/>
        </w:rPr>
        <w:t>accessible</w:t>
      </w:r>
      <w:r>
        <w:rPr>
          <w:rFonts w:ascii="Trebuchet MS"/>
          <w:color w:val="231F20"/>
          <w:spacing w:val="-18"/>
          <w:w w:val="105"/>
          <w:sz w:val="20"/>
        </w:rPr>
        <w:t xml:space="preserve"> </w:t>
      </w:r>
      <w:r>
        <w:rPr>
          <w:rFonts w:ascii="Trebuchet MS"/>
          <w:color w:val="231F20"/>
          <w:w w:val="105"/>
          <w:sz w:val="20"/>
        </w:rPr>
        <w:t>and</w:t>
      </w:r>
      <w:r>
        <w:rPr>
          <w:rFonts w:ascii="Trebuchet MS"/>
          <w:color w:val="231F20"/>
          <w:spacing w:val="-17"/>
          <w:w w:val="105"/>
          <w:sz w:val="20"/>
        </w:rPr>
        <w:t xml:space="preserve"> </w:t>
      </w:r>
      <w:r>
        <w:rPr>
          <w:rFonts w:ascii="Trebuchet MS"/>
          <w:color w:val="231F20"/>
          <w:spacing w:val="-3"/>
          <w:w w:val="105"/>
          <w:sz w:val="20"/>
        </w:rPr>
        <w:t>effective</w:t>
      </w:r>
      <w:r>
        <w:rPr>
          <w:rFonts w:ascii="Trebuchet MS"/>
          <w:color w:val="231F20"/>
          <w:spacing w:val="-17"/>
          <w:w w:val="105"/>
          <w:sz w:val="20"/>
        </w:rPr>
        <w:t xml:space="preserve"> </w:t>
      </w:r>
      <w:r>
        <w:rPr>
          <w:rFonts w:ascii="Trebuchet MS"/>
          <w:color w:val="231F20"/>
          <w:spacing w:val="-3"/>
          <w:w w:val="105"/>
          <w:sz w:val="20"/>
        </w:rPr>
        <w:t>treatment</w:t>
      </w:r>
      <w:r>
        <w:rPr>
          <w:rFonts w:ascii="Trebuchet MS"/>
          <w:color w:val="231F20"/>
          <w:spacing w:val="-17"/>
          <w:w w:val="105"/>
          <w:sz w:val="20"/>
        </w:rPr>
        <w:t xml:space="preserve"> </w:t>
      </w:r>
      <w:r>
        <w:rPr>
          <w:rFonts w:ascii="Trebuchet MS"/>
          <w:color w:val="231F20"/>
          <w:w w:val="105"/>
          <w:sz w:val="20"/>
        </w:rPr>
        <w:t>and</w:t>
      </w:r>
      <w:r>
        <w:rPr>
          <w:rFonts w:ascii="Trebuchet MS"/>
          <w:color w:val="231F20"/>
          <w:spacing w:val="-17"/>
          <w:w w:val="105"/>
          <w:sz w:val="20"/>
        </w:rPr>
        <w:t xml:space="preserve"> </w:t>
      </w:r>
      <w:r>
        <w:rPr>
          <w:rFonts w:ascii="Trebuchet MS"/>
          <w:color w:val="231F20"/>
          <w:w w:val="105"/>
          <w:sz w:val="20"/>
        </w:rPr>
        <w:t>support</w:t>
      </w:r>
      <w:r>
        <w:rPr>
          <w:rFonts w:ascii="Trebuchet MS"/>
          <w:color w:val="231F20"/>
          <w:spacing w:val="-18"/>
          <w:w w:val="105"/>
          <w:sz w:val="20"/>
        </w:rPr>
        <w:t xml:space="preserve"> </w:t>
      </w:r>
      <w:r>
        <w:rPr>
          <w:rFonts w:ascii="Trebuchet MS"/>
          <w:color w:val="231F20"/>
          <w:w w:val="105"/>
          <w:sz w:val="20"/>
        </w:rPr>
        <w:t xml:space="preserve">programs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11"/>
          <w:sz w:val="20"/>
        </w:rPr>
        <w:t>p</w:t>
      </w:r>
      <w:r>
        <w:rPr>
          <w:rFonts w:ascii="Trebuchet MS"/>
          <w:color w:val="231F20"/>
          <w:w w:val="108"/>
          <w:sz w:val="20"/>
        </w:rPr>
        <w:t>e</w:t>
      </w:r>
      <w:r>
        <w:rPr>
          <w:rFonts w:ascii="Trebuchet MS"/>
          <w:color w:val="231F20"/>
          <w:spacing w:val="-1"/>
          <w:w w:val="111"/>
          <w:sz w:val="20"/>
        </w:rPr>
        <w:t>o</w:t>
      </w:r>
      <w:r>
        <w:rPr>
          <w:rFonts w:ascii="Trebuchet MS"/>
          <w:color w:val="231F20"/>
          <w:spacing w:val="-2"/>
          <w:w w:val="111"/>
          <w:sz w:val="20"/>
        </w:rPr>
        <w:t>p</w:t>
      </w:r>
      <w:r>
        <w:rPr>
          <w:rFonts w:ascii="Trebuchet MS"/>
          <w:color w:val="231F20"/>
          <w:spacing w:val="-3"/>
          <w:w w:val="96"/>
          <w:sz w:val="20"/>
        </w:rPr>
        <w:t>l</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0"/>
          <w:sz w:val="20"/>
        </w:rPr>
        <w:t>w</w:t>
      </w:r>
      <w:r>
        <w:rPr>
          <w:rFonts w:ascii="Trebuchet MS"/>
          <w:color w:val="231F20"/>
          <w:spacing w:val="-1"/>
          <w:w w:val="107"/>
          <w:sz w:val="20"/>
        </w:rPr>
        <w:t>h</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w w:val="55"/>
          <w:sz w:val="20"/>
        </w:rPr>
        <w:t>.</w:t>
      </w:r>
      <w:r>
        <w:rPr>
          <w:rFonts w:ascii="Trebuchet MS"/>
          <w:color w:val="231F20"/>
          <w:spacing w:val="-14"/>
          <w:sz w:val="20"/>
        </w:rPr>
        <w:t xml:space="preserve"> </w:t>
      </w:r>
      <w:r>
        <w:rPr>
          <w:rFonts w:ascii="Trebuchet MS"/>
          <w:color w:val="231F20"/>
          <w:spacing w:val="-2"/>
          <w:w w:val="105"/>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oo</w:t>
      </w:r>
      <w:r>
        <w:rPr>
          <w:rFonts w:ascii="Trebuchet MS"/>
          <w:color w:val="231F20"/>
          <w:spacing w:val="-4"/>
          <w:w w:val="93"/>
          <w:sz w:val="20"/>
        </w:rPr>
        <w:t>r</w:t>
      </w:r>
      <w:r>
        <w:rPr>
          <w:rFonts w:ascii="Trebuchet MS"/>
          <w:color w:val="231F20"/>
          <w:spacing w:val="-1"/>
          <w:w w:val="112"/>
          <w:sz w:val="20"/>
        </w:rPr>
        <w:t>d</w:t>
      </w:r>
      <w:r>
        <w:rPr>
          <w:rFonts w:ascii="Trebuchet MS"/>
          <w:color w:val="231F20"/>
          <w:spacing w:val="-2"/>
          <w:w w:val="80"/>
          <w:sz w:val="20"/>
        </w:rPr>
        <w:t>i</w:t>
      </w:r>
      <w:r>
        <w:rPr>
          <w:rFonts w:ascii="Trebuchet MS"/>
          <w:color w:val="231F20"/>
          <w:spacing w:val="-1"/>
          <w:w w:val="107"/>
          <w:sz w:val="20"/>
        </w:rPr>
        <w:t>n</w:t>
      </w:r>
      <w:r>
        <w:rPr>
          <w:rFonts w:ascii="Trebuchet MS"/>
          <w:color w:val="231F20"/>
          <w:spacing w:val="-4"/>
          <w:w w:val="105"/>
          <w:sz w:val="20"/>
        </w:rPr>
        <w:t>a</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2"/>
          <w:w w:val="107"/>
          <w:sz w:val="20"/>
        </w:rPr>
        <w:t>n</w:t>
      </w:r>
      <w:r>
        <w:rPr>
          <w:rFonts w:ascii="Trebuchet MS"/>
          <w:color w:val="231F20"/>
          <w:spacing w:val="-1"/>
          <w:w w:val="122"/>
          <w:sz w:val="20"/>
        </w:rPr>
        <w:t>s</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6"/>
          <w:w w:val="107"/>
          <w:sz w:val="20"/>
        </w:rPr>
        <w:t>n</w:t>
      </w:r>
      <w:r>
        <w:rPr>
          <w:rFonts w:ascii="Trebuchet MS"/>
          <w:color w:val="231F20"/>
          <w:spacing w:val="-6"/>
          <w:w w:val="109"/>
          <w:sz w:val="20"/>
        </w:rPr>
        <w:t>v</w:t>
      </w:r>
      <w:r>
        <w:rPr>
          <w:rFonts w:ascii="Trebuchet MS"/>
          <w:color w:val="231F20"/>
          <w:spacing w:val="-2"/>
          <w:w w:val="111"/>
          <w:sz w:val="20"/>
        </w:rPr>
        <w:t>o</w:t>
      </w:r>
      <w:r>
        <w:rPr>
          <w:rFonts w:ascii="Trebuchet MS"/>
          <w:color w:val="231F20"/>
          <w:spacing w:val="-7"/>
          <w:w w:val="96"/>
          <w:sz w:val="20"/>
        </w:rPr>
        <w:t>l</w:t>
      </w:r>
      <w:r>
        <w:rPr>
          <w:rFonts w:ascii="Trebuchet MS"/>
          <w:color w:val="231F20"/>
          <w:spacing w:val="-6"/>
          <w:w w:val="109"/>
          <w:sz w:val="20"/>
        </w:rPr>
        <w:t>v</w:t>
      </w:r>
      <w:r>
        <w:rPr>
          <w:rFonts w:ascii="Trebuchet MS"/>
          <w:color w:val="231F20"/>
          <w:spacing w:val="-4"/>
          <w:w w:val="108"/>
          <w:sz w:val="20"/>
        </w:rPr>
        <w:t>e</w:t>
      </w:r>
      <w:r>
        <w:rPr>
          <w:rFonts w:ascii="Trebuchet MS"/>
          <w:color w:val="231F20"/>
          <w:w w:val="54"/>
          <w:sz w:val="20"/>
        </w:rPr>
        <w:t>:</w:t>
      </w:r>
    </w:p>
    <w:p w14:paraId="2D2AD43D" w14:textId="77777777" w:rsidR="00894070" w:rsidRDefault="009B7AFD">
      <w:pPr>
        <w:pStyle w:val="ListParagraph"/>
        <w:numPr>
          <w:ilvl w:val="1"/>
          <w:numId w:val="181"/>
        </w:numPr>
        <w:tabs>
          <w:tab w:val="left" w:pos="2481"/>
          <w:tab w:val="left" w:pos="2482"/>
        </w:tabs>
        <w:spacing w:before="88" w:line="247" w:lineRule="auto"/>
        <w:ind w:right="1479"/>
        <w:rPr>
          <w:rFonts w:ascii="Trebuchet MS"/>
          <w:sz w:val="20"/>
        </w:rPr>
      </w:pPr>
      <w:r>
        <w:rPr>
          <w:rFonts w:ascii="Trebuchet MS"/>
          <w:color w:val="231F20"/>
          <w:w w:val="105"/>
          <w:sz w:val="20"/>
        </w:rPr>
        <w:t>ongoing</w:t>
      </w:r>
      <w:r>
        <w:rPr>
          <w:rFonts w:ascii="Trebuchet MS"/>
          <w:color w:val="231F20"/>
          <w:spacing w:val="-11"/>
          <w:w w:val="105"/>
          <w:sz w:val="20"/>
        </w:rPr>
        <w:t xml:space="preserve"> </w:t>
      </w:r>
      <w:r>
        <w:rPr>
          <w:rFonts w:ascii="Trebuchet MS"/>
          <w:color w:val="231F20"/>
          <w:w w:val="105"/>
          <w:sz w:val="20"/>
        </w:rPr>
        <w:t>research</w:t>
      </w:r>
      <w:r>
        <w:rPr>
          <w:rFonts w:ascii="Trebuchet MS"/>
          <w:color w:val="231F20"/>
          <w:spacing w:val="-11"/>
          <w:w w:val="105"/>
          <w:sz w:val="20"/>
        </w:rPr>
        <w:t xml:space="preserve"> </w:t>
      </w:r>
      <w:r>
        <w:rPr>
          <w:rFonts w:ascii="Trebuchet MS"/>
          <w:color w:val="231F20"/>
          <w:w w:val="105"/>
          <w:sz w:val="20"/>
        </w:rPr>
        <w:t>on</w:t>
      </w:r>
      <w:r>
        <w:rPr>
          <w:rFonts w:ascii="Trebuchet MS"/>
          <w:color w:val="231F20"/>
          <w:spacing w:val="-11"/>
          <w:w w:val="105"/>
          <w:sz w:val="20"/>
        </w:rPr>
        <w:t xml:space="preserve"> </w:t>
      </w:r>
      <w:r>
        <w:rPr>
          <w:rFonts w:ascii="Trebuchet MS"/>
          <w:color w:val="231F20"/>
          <w:w w:val="105"/>
          <w:sz w:val="20"/>
        </w:rPr>
        <w:t>the</w:t>
      </w:r>
      <w:r>
        <w:rPr>
          <w:rFonts w:ascii="Trebuchet MS"/>
          <w:color w:val="231F20"/>
          <w:spacing w:val="-10"/>
          <w:w w:val="105"/>
          <w:sz w:val="20"/>
        </w:rPr>
        <w:t xml:space="preserve"> </w:t>
      </w:r>
      <w:r>
        <w:rPr>
          <w:rFonts w:ascii="Trebuchet MS"/>
          <w:color w:val="231F20"/>
          <w:w w:val="105"/>
          <w:sz w:val="20"/>
        </w:rPr>
        <w:t>effectiveness</w:t>
      </w:r>
      <w:r>
        <w:rPr>
          <w:rFonts w:ascii="Trebuchet MS"/>
          <w:color w:val="231F20"/>
          <w:spacing w:val="-11"/>
          <w:w w:val="105"/>
          <w:sz w:val="20"/>
        </w:rPr>
        <w:t xml:space="preserve"> </w:t>
      </w:r>
      <w:r>
        <w:rPr>
          <w:rFonts w:ascii="Trebuchet MS"/>
          <w:color w:val="231F20"/>
          <w:w w:val="105"/>
          <w:sz w:val="20"/>
        </w:rPr>
        <w:t>of</w:t>
      </w:r>
      <w:r>
        <w:rPr>
          <w:rFonts w:ascii="Trebuchet MS"/>
          <w:color w:val="231F20"/>
          <w:spacing w:val="-11"/>
          <w:w w:val="105"/>
          <w:sz w:val="20"/>
        </w:rPr>
        <w:t xml:space="preserve"> </w:t>
      </w:r>
      <w:r>
        <w:rPr>
          <w:rFonts w:ascii="Trebuchet MS"/>
          <w:color w:val="231F20"/>
          <w:w w:val="105"/>
          <w:sz w:val="20"/>
        </w:rPr>
        <w:t>and</w:t>
      </w:r>
      <w:r>
        <w:rPr>
          <w:rFonts w:ascii="Trebuchet MS"/>
          <w:color w:val="231F20"/>
          <w:spacing w:val="-10"/>
          <w:w w:val="105"/>
          <w:sz w:val="20"/>
        </w:rPr>
        <w:t xml:space="preserve"> </w:t>
      </w:r>
      <w:r>
        <w:rPr>
          <w:rFonts w:ascii="Trebuchet MS"/>
          <w:color w:val="231F20"/>
          <w:spacing w:val="-4"/>
          <w:w w:val="105"/>
          <w:sz w:val="20"/>
        </w:rPr>
        <w:t>ways</w:t>
      </w:r>
      <w:r>
        <w:rPr>
          <w:rFonts w:ascii="Trebuchet MS"/>
          <w:color w:val="231F20"/>
          <w:spacing w:val="-11"/>
          <w:w w:val="105"/>
          <w:sz w:val="20"/>
        </w:rPr>
        <w:t xml:space="preserve"> </w:t>
      </w:r>
      <w:r>
        <w:rPr>
          <w:rFonts w:ascii="Trebuchet MS"/>
          <w:color w:val="231F20"/>
          <w:w w:val="105"/>
          <w:sz w:val="20"/>
        </w:rPr>
        <w:t>to</w:t>
      </w:r>
      <w:r>
        <w:rPr>
          <w:rFonts w:ascii="Trebuchet MS"/>
          <w:color w:val="231F20"/>
          <w:spacing w:val="-11"/>
          <w:w w:val="105"/>
          <w:sz w:val="20"/>
        </w:rPr>
        <w:t xml:space="preserve"> </w:t>
      </w:r>
      <w:r>
        <w:rPr>
          <w:rFonts w:ascii="Trebuchet MS"/>
          <w:color w:val="231F20"/>
          <w:spacing w:val="-3"/>
          <w:w w:val="105"/>
          <w:sz w:val="20"/>
        </w:rPr>
        <w:t>improve</w:t>
      </w:r>
      <w:r>
        <w:rPr>
          <w:rFonts w:ascii="Trebuchet MS"/>
          <w:color w:val="231F20"/>
          <w:spacing w:val="-10"/>
          <w:w w:val="105"/>
          <w:sz w:val="20"/>
        </w:rPr>
        <w:t xml:space="preserve"> </w:t>
      </w:r>
      <w:r>
        <w:rPr>
          <w:rFonts w:ascii="Trebuchet MS"/>
          <w:color w:val="231F20"/>
          <w:w w:val="105"/>
          <w:sz w:val="20"/>
        </w:rPr>
        <w:t>responses</w:t>
      </w:r>
      <w:r>
        <w:rPr>
          <w:rFonts w:ascii="Trebuchet MS"/>
          <w:color w:val="231F20"/>
          <w:spacing w:val="-11"/>
          <w:w w:val="105"/>
          <w:sz w:val="20"/>
        </w:rPr>
        <w:t xml:space="preserve"> </w:t>
      </w:r>
      <w:r>
        <w:rPr>
          <w:rFonts w:ascii="Trebuchet MS"/>
          <w:color w:val="231F20"/>
          <w:w w:val="105"/>
          <w:sz w:val="20"/>
        </w:rPr>
        <w:t>to stalking</w:t>
      </w:r>
      <w:r>
        <w:rPr>
          <w:rFonts w:ascii="Trebuchet MS"/>
          <w:color w:val="231F20"/>
          <w:spacing w:val="-18"/>
          <w:w w:val="105"/>
          <w:sz w:val="20"/>
        </w:rPr>
        <w:t xml:space="preserve"> </w:t>
      </w:r>
      <w:proofErr w:type="spellStart"/>
      <w:r>
        <w:rPr>
          <w:rFonts w:ascii="Trebuchet MS"/>
          <w:color w:val="231F20"/>
          <w:w w:val="105"/>
          <w:sz w:val="20"/>
        </w:rPr>
        <w:t>behaviour</w:t>
      </w:r>
      <w:proofErr w:type="spellEnd"/>
    </w:p>
    <w:p w14:paraId="5F1CEDD8" w14:textId="77777777" w:rsidR="00894070" w:rsidRDefault="009B7AFD">
      <w:pPr>
        <w:pStyle w:val="ListParagraph"/>
        <w:numPr>
          <w:ilvl w:val="1"/>
          <w:numId w:val="181"/>
        </w:numPr>
        <w:tabs>
          <w:tab w:val="left" w:pos="2481"/>
          <w:tab w:val="left" w:pos="2482"/>
        </w:tabs>
        <w:spacing w:before="121" w:line="247" w:lineRule="auto"/>
        <w:ind w:right="1296"/>
        <w:rPr>
          <w:rFonts w:ascii="Trebuchet MS"/>
          <w:sz w:val="20"/>
        </w:rPr>
      </w:pPr>
      <w:r>
        <w:rPr>
          <w:rFonts w:ascii="Trebuchet MS"/>
          <w:color w:val="231F20"/>
          <w:w w:val="105"/>
          <w:sz w:val="20"/>
        </w:rPr>
        <w:t>increasing</w:t>
      </w:r>
      <w:r>
        <w:rPr>
          <w:rFonts w:ascii="Trebuchet MS"/>
          <w:color w:val="231F20"/>
          <w:spacing w:val="-25"/>
          <w:w w:val="105"/>
          <w:sz w:val="20"/>
        </w:rPr>
        <w:t xml:space="preserve"> </w:t>
      </w:r>
      <w:r>
        <w:rPr>
          <w:rFonts w:ascii="Trebuchet MS"/>
          <w:color w:val="231F20"/>
          <w:w w:val="105"/>
          <w:sz w:val="20"/>
        </w:rPr>
        <w:t>the</w:t>
      </w:r>
      <w:r>
        <w:rPr>
          <w:rFonts w:ascii="Trebuchet MS"/>
          <w:color w:val="231F20"/>
          <w:spacing w:val="-24"/>
          <w:w w:val="105"/>
          <w:sz w:val="20"/>
        </w:rPr>
        <w:t xml:space="preserve"> </w:t>
      </w:r>
      <w:r>
        <w:rPr>
          <w:rFonts w:ascii="Trebuchet MS"/>
          <w:color w:val="231F20"/>
          <w:w w:val="105"/>
          <w:sz w:val="20"/>
        </w:rPr>
        <w:t>availability</w:t>
      </w:r>
      <w:r>
        <w:rPr>
          <w:rFonts w:ascii="Trebuchet MS"/>
          <w:color w:val="231F20"/>
          <w:spacing w:val="-25"/>
          <w:w w:val="105"/>
          <w:sz w:val="20"/>
        </w:rPr>
        <w:t xml:space="preserve"> </w:t>
      </w:r>
      <w:r>
        <w:rPr>
          <w:rFonts w:ascii="Trebuchet MS"/>
          <w:color w:val="231F20"/>
          <w:w w:val="105"/>
          <w:sz w:val="20"/>
        </w:rPr>
        <w:t>of</w:t>
      </w:r>
      <w:r>
        <w:rPr>
          <w:rFonts w:ascii="Trebuchet MS"/>
          <w:color w:val="231F20"/>
          <w:spacing w:val="-24"/>
          <w:w w:val="105"/>
          <w:sz w:val="20"/>
        </w:rPr>
        <w:t xml:space="preserve"> </w:t>
      </w:r>
      <w:r>
        <w:rPr>
          <w:rFonts w:ascii="Trebuchet MS"/>
          <w:color w:val="231F20"/>
          <w:w w:val="105"/>
          <w:sz w:val="20"/>
        </w:rPr>
        <w:t>general</w:t>
      </w:r>
      <w:r>
        <w:rPr>
          <w:rFonts w:ascii="Trebuchet MS"/>
          <w:color w:val="231F20"/>
          <w:spacing w:val="-24"/>
          <w:w w:val="105"/>
          <w:sz w:val="20"/>
        </w:rPr>
        <w:t xml:space="preserve"> </w:t>
      </w:r>
      <w:r>
        <w:rPr>
          <w:rFonts w:ascii="Trebuchet MS"/>
          <w:color w:val="231F20"/>
          <w:spacing w:val="-3"/>
          <w:w w:val="105"/>
          <w:sz w:val="20"/>
        </w:rPr>
        <w:t>treatment</w:t>
      </w:r>
      <w:r>
        <w:rPr>
          <w:rFonts w:ascii="Trebuchet MS"/>
          <w:color w:val="231F20"/>
          <w:spacing w:val="-25"/>
          <w:w w:val="105"/>
          <w:sz w:val="20"/>
        </w:rPr>
        <w:t xml:space="preserve"> </w:t>
      </w:r>
      <w:r>
        <w:rPr>
          <w:rFonts w:ascii="Trebuchet MS"/>
          <w:color w:val="231F20"/>
          <w:w w:val="105"/>
          <w:sz w:val="20"/>
        </w:rPr>
        <w:t>and</w:t>
      </w:r>
      <w:r>
        <w:rPr>
          <w:rFonts w:ascii="Trebuchet MS"/>
          <w:color w:val="231F20"/>
          <w:spacing w:val="-24"/>
          <w:w w:val="105"/>
          <w:sz w:val="20"/>
        </w:rPr>
        <w:t xml:space="preserve"> </w:t>
      </w:r>
      <w:r>
        <w:rPr>
          <w:rFonts w:ascii="Trebuchet MS"/>
          <w:color w:val="231F20"/>
          <w:w w:val="105"/>
          <w:sz w:val="20"/>
        </w:rPr>
        <w:t>support</w:t>
      </w:r>
      <w:r>
        <w:rPr>
          <w:rFonts w:ascii="Trebuchet MS"/>
          <w:color w:val="231F20"/>
          <w:spacing w:val="-24"/>
          <w:w w:val="105"/>
          <w:sz w:val="20"/>
        </w:rPr>
        <w:t xml:space="preserve"> </w:t>
      </w:r>
      <w:r>
        <w:rPr>
          <w:rFonts w:ascii="Trebuchet MS"/>
          <w:color w:val="231F20"/>
          <w:w w:val="105"/>
          <w:sz w:val="20"/>
        </w:rPr>
        <w:t>in</w:t>
      </w:r>
      <w:r>
        <w:rPr>
          <w:rFonts w:ascii="Trebuchet MS"/>
          <w:color w:val="231F20"/>
          <w:spacing w:val="-25"/>
          <w:w w:val="105"/>
          <w:sz w:val="20"/>
        </w:rPr>
        <w:t xml:space="preserve"> </w:t>
      </w:r>
      <w:r>
        <w:rPr>
          <w:rFonts w:ascii="Trebuchet MS"/>
          <w:color w:val="231F20"/>
          <w:w w:val="105"/>
          <w:sz w:val="20"/>
        </w:rPr>
        <w:t>the</w:t>
      </w:r>
      <w:r>
        <w:rPr>
          <w:rFonts w:ascii="Trebuchet MS"/>
          <w:color w:val="231F20"/>
          <w:spacing w:val="-24"/>
          <w:w w:val="105"/>
          <w:sz w:val="20"/>
        </w:rPr>
        <w:t xml:space="preserve"> </w:t>
      </w:r>
      <w:r>
        <w:rPr>
          <w:rFonts w:ascii="Trebuchet MS"/>
          <w:color w:val="231F20"/>
          <w:w w:val="105"/>
          <w:sz w:val="20"/>
        </w:rPr>
        <w:t>community and justice</w:t>
      </w:r>
      <w:r>
        <w:rPr>
          <w:rFonts w:ascii="Trebuchet MS"/>
          <w:color w:val="231F20"/>
          <w:spacing w:val="-35"/>
          <w:w w:val="105"/>
          <w:sz w:val="20"/>
        </w:rPr>
        <w:t xml:space="preserve"> </w:t>
      </w:r>
      <w:r>
        <w:rPr>
          <w:rFonts w:ascii="Trebuchet MS"/>
          <w:color w:val="231F20"/>
          <w:w w:val="105"/>
          <w:sz w:val="20"/>
        </w:rPr>
        <w:t>system</w:t>
      </w:r>
    </w:p>
    <w:p w14:paraId="73DD4E75" w14:textId="77777777" w:rsidR="00894070" w:rsidRDefault="009B7AFD">
      <w:pPr>
        <w:pStyle w:val="ListParagraph"/>
        <w:numPr>
          <w:ilvl w:val="1"/>
          <w:numId w:val="181"/>
        </w:numPr>
        <w:tabs>
          <w:tab w:val="left" w:pos="2481"/>
          <w:tab w:val="left" w:pos="2482"/>
        </w:tabs>
        <w:spacing w:before="122"/>
        <w:rPr>
          <w:rFonts w:ascii="Trebuchet MS" w:hAnsi="Trebuchet MS"/>
          <w:sz w:val="20"/>
        </w:rPr>
      </w:pPr>
      <w:r>
        <w:rPr>
          <w:rFonts w:ascii="Trebuchet MS" w:hAnsi="Trebuchet MS"/>
          <w:color w:val="231F20"/>
          <w:spacing w:val="-2"/>
          <w:w w:val="122"/>
          <w:sz w:val="20"/>
        </w:rPr>
        <w:t>s</w:t>
      </w:r>
      <w:r>
        <w:rPr>
          <w:rFonts w:ascii="Trebuchet MS" w:hAnsi="Trebuchet MS"/>
          <w:color w:val="231F20"/>
          <w:spacing w:val="-1"/>
          <w:w w:val="109"/>
          <w:sz w:val="20"/>
        </w:rPr>
        <w:t>u</w:t>
      </w:r>
      <w:r>
        <w:rPr>
          <w:rFonts w:ascii="Trebuchet MS" w:hAnsi="Trebuchet MS"/>
          <w:color w:val="231F20"/>
          <w:spacing w:val="-1"/>
          <w:w w:val="111"/>
          <w:sz w:val="20"/>
        </w:rPr>
        <w:t>ppo</w:t>
      </w:r>
      <w:r>
        <w:rPr>
          <w:rFonts w:ascii="Trebuchet MS" w:hAnsi="Trebuchet MS"/>
          <w:color w:val="231F20"/>
          <w:spacing w:val="2"/>
          <w:w w:val="93"/>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4"/>
          <w:w w:val="105"/>
          <w:sz w:val="20"/>
        </w:rPr>
        <w:t>a</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1"/>
          <w:w w:val="80"/>
          <w:sz w:val="20"/>
        </w:rPr>
        <w:t>i</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w w:val="88"/>
          <w:sz w:val="20"/>
        </w:rPr>
        <w:t>t</w:t>
      </w:r>
      <w:r>
        <w:rPr>
          <w:rFonts w:ascii="Trebuchet MS" w:hAnsi="Trebuchet MS"/>
          <w:color w:val="231F20"/>
          <w:spacing w:val="-2"/>
          <w:w w:val="105"/>
          <w:sz w:val="20"/>
        </w:rPr>
        <w:t>a</w:t>
      </w:r>
      <w:r>
        <w:rPr>
          <w:rFonts w:ascii="Trebuchet MS" w:hAnsi="Trebuchet MS"/>
          <w:color w:val="231F20"/>
          <w:spacing w:val="-2"/>
          <w:w w:val="80"/>
          <w:sz w:val="20"/>
        </w:rPr>
        <w:t>i</w:t>
      </w:r>
      <w:r>
        <w:rPr>
          <w:rFonts w:ascii="Trebuchet MS" w:hAnsi="Trebuchet MS"/>
          <w:color w:val="231F20"/>
          <w:spacing w:val="-3"/>
          <w:w w:val="96"/>
          <w:sz w:val="20"/>
        </w:rPr>
        <w:t>l</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spacing w:val="-1"/>
          <w:w w:val="111"/>
          <w:sz w:val="20"/>
        </w:rPr>
        <w:t>o</w:t>
      </w:r>
      <w:r>
        <w:rPr>
          <w:rFonts w:ascii="Trebuchet MS" w:hAnsi="Trebuchet MS"/>
          <w:color w:val="231F20"/>
          <w:spacing w:val="-6"/>
          <w:w w:val="107"/>
          <w:sz w:val="20"/>
        </w:rPr>
        <w:t>n</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spacing w:val="-2"/>
          <w:w w:val="109"/>
          <w:sz w:val="20"/>
        </w:rPr>
        <w:t>u</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spacing w:val="-1"/>
          <w:w w:val="107"/>
          <w:sz w:val="20"/>
        </w:rPr>
        <w:t>n</w:t>
      </w:r>
      <w:r>
        <w:rPr>
          <w:rFonts w:ascii="Trebuchet MS" w:hAnsi="Trebuchet MS"/>
          <w:color w:val="231F20"/>
          <w:w w:val="108"/>
          <w:sz w:val="20"/>
        </w:rPr>
        <w:t>ee</w:t>
      </w:r>
      <w:r>
        <w:rPr>
          <w:rFonts w:ascii="Trebuchet MS" w:hAnsi="Trebuchet MS"/>
          <w:color w:val="231F20"/>
          <w:spacing w:val="-1"/>
          <w:w w:val="112"/>
          <w:sz w:val="20"/>
        </w:rPr>
        <w:t>d</w:t>
      </w:r>
      <w:r>
        <w:rPr>
          <w:rFonts w:ascii="Trebuchet MS" w:hAnsi="Trebuchet MS"/>
          <w:color w:val="231F20"/>
          <w:w w:val="122"/>
          <w:sz w:val="20"/>
        </w:rPr>
        <w:t>s</w:t>
      </w:r>
    </w:p>
    <w:p w14:paraId="0C17DA4A" w14:textId="77777777" w:rsidR="00894070" w:rsidRDefault="009B7AFD">
      <w:pPr>
        <w:pStyle w:val="ListParagraph"/>
        <w:numPr>
          <w:ilvl w:val="1"/>
          <w:numId w:val="181"/>
        </w:numPr>
        <w:tabs>
          <w:tab w:val="left" w:pos="2481"/>
          <w:tab w:val="left" w:pos="2482"/>
        </w:tabs>
        <w:spacing w:before="128" w:line="247" w:lineRule="auto"/>
        <w:ind w:right="1309"/>
        <w:rPr>
          <w:rFonts w:ascii="Trebuchet MS"/>
          <w:sz w:val="20"/>
        </w:rPr>
      </w:pPr>
      <w:r>
        <w:rPr>
          <w:rFonts w:ascii="Trebuchet MS"/>
          <w:color w:val="231F20"/>
          <w:spacing w:val="-3"/>
          <w:sz w:val="20"/>
        </w:rPr>
        <w:t xml:space="preserve">improving </w:t>
      </w:r>
      <w:r>
        <w:rPr>
          <w:rFonts w:ascii="Trebuchet MS"/>
          <w:color w:val="231F20"/>
          <w:sz w:val="20"/>
        </w:rPr>
        <w:t xml:space="preserve">access to and availability of </w:t>
      </w:r>
      <w:r>
        <w:rPr>
          <w:rFonts w:ascii="Trebuchet MS"/>
          <w:color w:val="231F20"/>
          <w:spacing w:val="-3"/>
          <w:sz w:val="20"/>
        </w:rPr>
        <w:t xml:space="preserve">early </w:t>
      </w:r>
      <w:r>
        <w:rPr>
          <w:rFonts w:ascii="Trebuchet MS"/>
          <w:color w:val="231F20"/>
          <w:sz w:val="20"/>
        </w:rPr>
        <w:t xml:space="preserve">intervention programs for people </w:t>
      </w:r>
      <w:r>
        <w:rPr>
          <w:rFonts w:ascii="Trebuchet MS"/>
          <w:color w:val="231F20"/>
          <w:spacing w:val="-2"/>
          <w:w w:val="110"/>
          <w:sz w:val="20"/>
        </w:rPr>
        <w:t>w</w:t>
      </w:r>
      <w:r>
        <w:rPr>
          <w:rFonts w:ascii="Trebuchet MS"/>
          <w:color w:val="231F20"/>
          <w:spacing w:val="-1"/>
          <w:w w:val="107"/>
          <w:sz w:val="20"/>
        </w:rPr>
        <w:t>h</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w w:val="106"/>
          <w:sz w:val="20"/>
        </w:rPr>
        <w:t>k</w:t>
      </w:r>
      <w:r>
        <w:rPr>
          <w:rFonts w:ascii="Trebuchet MS"/>
          <w:color w:val="231F20"/>
          <w:w w:val="57"/>
          <w:sz w:val="20"/>
        </w:rPr>
        <w:t>,</w:t>
      </w:r>
      <w:r>
        <w:rPr>
          <w:rFonts w:ascii="Trebuchet MS"/>
          <w:color w:val="231F20"/>
          <w:spacing w:val="-14"/>
          <w:sz w:val="20"/>
        </w:rPr>
        <w:t xml:space="preserve"> </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w:t>
      </w:r>
      <w:r>
        <w:rPr>
          <w:rFonts w:ascii="Trebuchet MS"/>
          <w:color w:val="231F20"/>
          <w:w w:val="108"/>
          <w:sz w:val="20"/>
        </w:rPr>
        <w:t>e</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spacing w:val="-2"/>
          <w:w w:val="96"/>
          <w:sz w:val="20"/>
        </w:rPr>
        <w:t>l</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93"/>
          <w:sz w:val="20"/>
        </w:rPr>
        <w:t>r</w:t>
      </w:r>
      <w:r>
        <w:rPr>
          <w:rFonts w:ascii="Trebuchet MS"/>
          <w:color w:val="231F20"/>
          <w:spacing w:val="-1"/>
          <w:w w:val="109"/>
          <w:sz w:val="20"/>
        </w:rPr>
        <w:t>u</w:t>
      </w:r>
      <w:r>
        <w:rPr>
          <w:rFonts w:ascii="Trebuchet MS"/>
          <w:color w:val="231F20"/>
          <w:spacing w:val="-2"/>
          <w:w w:val="93"/>
          <w:sz w:val="20"/>
        </w:rPr>
        <w:t>r</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w w:val="105"/>
          <w:sz w:val="20"/>
        </w:rPr>
        <w:t>a</w:t>
      </w:r>
    </w:p>
    <w:p w14:paraId="0A1DFF0F" w14:textId="77777777" w:rsidR="00894070" w:rsidRDefault="009B7AFD">
      <w:pPr>
        <w:pStyle w:val="ListParagraph"/>
        <w:numPr>
          <w:ilvl w:val="1"/>
          <w:numId w:val="181"/>
        </w:numPr>
        <w:tabs>
          <w:tab w:val="left" w:pos="2481"/>
          <w:tab w:val="left" w:pos="2482"/>
        </w:tabs>
        <w:spacing w:before="121" w:line="247" w:lineRule="auto"/>
        <w:ind w:right="1979"/>
        <w:rPr>
          <w:rFonts w:ascii="Trebuchet MS"/>
          <w:sz w:val="20"/>
        </w:rPr>
      </w:pPr>
      <w:r>
        <w:rPr>
          <w:rFonts w:ascii="Trebuchet MS"/>
          <w:color w:val="231F20"/>
          <w:spacing w:val="-3"/>
          <w:w w:val="105"/>
          <w:sz w:val="20"/>
        </w:rPr>
        <w:t>improving</w:t>
      </w:r>
      <w:r>
        <w:rPr>
          <w:rFonts w:ascii="Trebuchet MS"/>
          <w:color w:val="231F20"/>
          <w:spacing w:val="-22"/>
          <w:w w:val="105"/>
          <w:sz w:val="20"/>
        </w:rPr>
        <w:t xml:space="preserve"> </w:t>
      </w:r>
      <w:r>
        <w:rPr>
          <w:rFonts w:ascii="Trebuchet MS"/>
          <w:color w:val="231F20"/>
          <w:w w:val="105"/>
          <w:sz w:val="20"/>
        </w:rPr>
        <w:t>access</w:t>
      </w:r>
      <w:r>
        <w:rPr>
          <w:rFonts w:ascii="Trebuchet MS"/>
          <w:color w:val="231F20"/>
          <w:spacing w:val="-22"/>
          <w:w w:val="105"/>
          <w:sz w:val="20"/>
        </w:rPr>
        <w:t xml:space="preserve"> </w:t>
      </w:r>
      <w:r>
        <w:rPr>
          <w:rFonts w:ascii="Trebuchet MS"/>
          <w:color w:val="231F20"/>
          <w:w w:val="105"/>
          <w:sz w:val="20"/>
        </w:rPr>
        <w:t>to</w:t>
      </w:r>
      <w:r>
        <w:rPr>
          <w:rFonts w:ascii="Trebuchet MS"/>
          <w:color w:val="231F20"/>
          <w:spacing w:val="-22"/>
          <w:w w:val="105"/>
          <w:sz w:val="20"/>
        </w:rPr>
        <w:t xml:space="preserve"> </w:t>
      </w:r>
      <w:r>
        <w:rPr>
          <w:rFonts w:ascii="Trebuchet MS"/>
          <w:color w:val="231F20"/>
          <w:w w:val="105"/>
          <w:sz w:val="20"/>
        </w:rPr>
        <w:t>and</w:t>
      </w:r>
      <w:r>
        <w:rPr>
          <w:rFonts w:ascii="Trebuchet MS"/>
          <w:color w:val="231F20"/>
          <w:spacing w:val="-22"/>
          <w:w w:val="105"/>
          <w:sz w:val="20"/>
        </w:rPr>
        <w:t xml:space="preserve"> </w:t>
      </w:r>
      <w:r>
        <w:rPr>
          <w:rFonts w:ascii="Trebuchet MS"/>
          <w:color w:val="231F20"/>
          <w:w w:val="105"/>
          <w:sz w:val="20"/>
        </w:rPr>
        <w:t>availability</w:t>
      </w:r>
      <w:r>
        <w:rPr>
          <w:rFonts w:ascii="Trebuchet MS"/>
          <w:color w:val="231F20"/>
          <w:spacing w:val="-22"/>
          <w:w w:val="105"/>
          <w:sz w:val="20"/>
        </w:rPr>
        <w:t xml:space="preserve"> </w:t>
      </w:r>
      <w:r>
        <w:rPr>
          <w:rFonts w:ascii="Trebuchet MS"/>
          <w:color w:val="231F20"/>
          <w:w w:val="105"/>
          <w:sz w:val="20"/>
        </w:rPr>
        <w:t>of</w:t>
      </w:r>
      <w:r>
        <w:rPr>
          <w:rFonts w:ascii="Trebuchet MS"/>
          <w:color w:val="231F20"/>
          <w:spacing w:val="-22"/>
          <w:w w:val="105"/>
          <w:sz w:val="20"/>
        </w:rPr>
        <w:t xml:space="preserve"> </w:t>
      </w:r>
      <w:r>
        <w:rPr>
          <w:rFonts w:ascii="Trebuchet MS"/>
          <w:color w:val="231F20"/>
          <w:w w:val="105"/>
          <w:sz w:val="20"/>
        </w:rPr>
        <w:t>prison-based</w:t>
      </w:r>
      <w:r>
        <w:rPr>
          <w:rFonts w:ascii="Trebuchet MS"/>
          <w:color w:val="231F20"/>
          <w:spacing w:val="-21"/>
          <w:w w:val="105"/>
          <w:sz w:val="20"/>
        </w:rPr>
        <w:t xml:space="preserve"> </w:t>
      </w:r>
      <w:r>
        <w:rPr>
          <w:rFonts w:ascii="Trebuchet MS"/>
          <w:color w:val="231F20"/>
          <w:w w:val="105"/>
          <w:sz w:val="20"/>
        </w:rPr>
        <w:t>rehabilitation</w:t>
      </w:r>
      <w:r>
        <w:rPr>
          <w:rFonts w:ascii="Trebuchet MS"/>
          <w:color w:val="231F20"/>
          <w:spacing w:val="-22"/>
          <w:w w:val="105"/>
          <w:sz w:val="20"/>
        </w:rPr>
        <w:t xml:space="preserve"> </w:t>
      </w:r>
      <w:r>
        <w:rPr>
          <w:rFonts w:ascii="Trebuchet MS"/>
          <w:color w:val="231F20"/>
          <w:w w:val="105"/>
          <w:sz w:val="20"/>
        </w:rPr>
        <w:t xml:space="preserve">and </w:t>
      </w:r>
      <w:r>
        <w:rPr>
          <w:rFonts w:ascii="Trebuchet MS"/>
          <w:color w:val="231F20"/>
          <w:spacing w:val="-3"/>
          <w:w w:val="105"/>
          <w:sz w:val="20"/>
        </w:rPr>
        <w:t>reintegration</w:t>
      </w:r>
      <w:r>
        <w:rPr>
          <w:rFonts w:ascii="Trebuchet MS"/>
          <w:color w:val="231F20"/>
          <w:spacing w:val="-17"/>
          <w:w w:val="105"/>
          <w:sz w:val="20"/>
        </w:rPr>
        <w:t xml:space="preserve"> </w:t>
      </w:r>
      <w:r>
        <w:rPr>
          <w:rFonts w:ascii="Trebuchet MS"/>
          <w:color w:val="231F20"/>
          <w:w w:val="105"/>
          <w:sz w:val="20"/>
        </w:rPr>
        <w:t>programs</w:t>
      </w:r>
    </w:p>
    <w:p w14:paraId="3BCEA270" w14:textId="77777777" w:rsidR="00894070" w:rsidRDefault="009B7AFD">
      <w:pPr>
        <w:pStyle w:val="ListParagraph"/>
        <w:numPr>
          <w:ilvl w:val="1"/>
          <w:numId w:val="181"/>
        </w:numPr>
        <w:tabs>
          <w:tab w:val="left" w:pos="2481"/>
          <w:tab w:val="left" w:pos="2482"/>
        </w:tabs>
        <w:spacing w:before="122" w:line="247" w:lineRule="auto"/>
        <w:ind w:right="1604"/>
        <w:rPr>
          <w:rFonts w:ascii="Trebuchet MS"/>
          <w:sz w:val="20"/>
        </w:rPr>
      </w:pPr>
      <w:r>
        <w:rPr>
          <w:rFonts w:ascii="Trebuchet MS"/>
          <w:color w:val="231F20"/>
          <w:w w:val="105"/>
          <w:sz w:val="20"/>
        </w:rPr>
        <w:t>strengthening</w:t>
      </w:r>
      <w:r>
        <w:rPr>
          <w:rFonts w:ascii="Trebuchet MS"/>
          <w:color w:val="231F20"/>
          <w:spacing w:val="-13"/>
          <w:w w:val="105"/>
          <w:sz w:val="20"/>
        </w:rPr>
        <w:t xml:space="preserve"> </w:t>
      </w:r>
      <w:r>
        <w:rPr>
          <w:rFonts w:ascii="Trebuchet MS"/>
          <w:color w:val="231F20"/>
          <w:w w:val="105"/>
          <w:sz w:val="20"/>
        </w:rPr>
        <w:t>assessment</w:t>
      </w:r>
      <w:r>
        <w:rPr>
          <w:rFonts w:ascii="Trebuchet MS"/>
          <w:color w:val="231F20"/>
          <w:spacing w:val="-13"/>
          <w:w w:val="105"/>
          <w:sz w:val="20"/>
        </w:rPr>
        <w:t xml:space="preserve"> </w:t>
      </w:r>
      <w:r>
        <w:rPr>
          <w:rFonts w:ascii="Trebuchet MS"/>
          <w:color w:val="231F20"/>
          <w:w w:val="105"/>
          <w:sz w:val="20"/>
        </w:rPr>
        <w:t>and</w:t>
      </w:r>
      <w:r>
        <w:rPr>
          <w:rFonts w:ascii="Trebuchet MS"/>
          <w:color w:val="231F20"/>
          <w:spacing w:val="-13"/>
          <w:w w:val="105"/>
          <w:sz w:val="20"/>
        </w:rPr>
        <w:t xml:space="preserve"> </w:t>
      </w:r>
      <w:r>
        <w:rPr>
          <w:rFonts w:ascii="Trebuchet MS"/>
          <w:color w:val="231F20"/>
          <w:spacing w:val="-3"/>
          <w:w w:val="105"/>
          <w:sz w:val="20"/>
        </w:rPr>
        <w:t>referral</w:t>
      </w:r>
      <w:r>
        <w:rPr>
          <w:rFonts w:ascii="Trebuchet MS"/>
          <w:color w:val="231F20"/>
          <w:spacing w:val="-13"/>
          <w:w w:val="105"/>
          <w:sz w:val="20"/>
        </w:rPr>
        <w:t xml:space="preserve"> </w:t>
      </w:r>
      <w:r>
        <w:rPr>
          <w:rFonts w:ascii="Trebuchet MS"/>
          <w:color w:val="231F20"/>
          <w:spacing w:val="-4"/>
          <w:w w:val="105"/>
          <w:sz w:val="20"/>
        </w:rPr>
        <w:t>pathways</w:t>
      </w:r>
      <w:r>
        <w:rPr>
          <w:rFonts w:ascii="Trebuchet MS"/>
          <w:color w:val="231F20"/>
          <w:spacing w:val="-13"/>
          <w:w w:val="105"/>
          <w:sz w:val="20"/>
        </w:rPr>
        <w:t xml:space="preserve"> </w:t>
      </w:r>
      <w:r>
        <w:rPr>
          <w:rFonts w:ascii="Trebuchet MS"/>
          <w:color w:val="231F20"/>
          <w:w w:val="105"/>
          <w:sz w:val="20"/>
        </w:rPr>
        <w:t>from</w:t>
      </w:r>
      <w:r>
        <w:rPr>
          <w:rFonts w:ascii="Trebuchet MS"/>
          <w:color w:val="231F20"/>
          <w:spacing w:val="-13"/>
          <w:w w:val="105"/>
          <w:sz w:val="20"/>
        </w:rPr>
        <w:t xml:space="preserve"> </w:t>
      </w:r>
      <w:r>
        <w:rPr>
          <w:rFonts w:ascii="Trebuchet MS"/>
          <w:color w:val="231F20"/>
          <w:w w:val="105"/>
          <w:sz w:val="20"/>
        </w:rPr>
        <w:t>police,</w:t>
      </w:r>
      <w:r>
        <w:rPr>
          <w:rFonts w:ascii="Trebuchet MS"/>
          <w:color w:val="231F20"/>
          <w:spacing w:val="-13"/>
          <w:w w:val="105"/>
          <w:sz w:val="20"/>
        </w:rPr>
        <w:t xml:space="preserve"> </w:t>
      </w:r>
      <w:proofErr w:type="gramStart"/>
      <w:r>
        <w:rPr>
          <w:rFonts w:ascii="Trebuchet MS"/>
          <w:color w:val="231F20"/>
          <w:w w:val="105"/>
          <w:sz w:val="20"/>
        </w:rPr>
        <w:t>lawyers</w:t>
      </w:r>
      <w:proofErr w:type="gramEnd"/>
      <w:r>
        <w:rPr>
          <w:rFonts w:ascii="Trebuchet MS"/>
          <w:color w:val="231F20"/>
          <w:spacing w:val="-13"/>
          <w:w w:val="105"/>
          <w:sz w:val="20"/>
        </w:rPr>
        <w:t xml:space="preserve"> </w:t>
      </w:r>
      <w:r>
        <w:rPr>
          <w:rFonts w:ascii="Trebuchet MS"/>
          <w:color w:val="231F20"/>
          <w:w w:val="105"/>
          <w:sz w:val="20"/>
        </w:rPr>
        <w:t xml:space="preserve">and </w:t>
      </w:r>
      <w:r>
        <w:rPr>
          <w:rFonts w:ascii="Trebuchet MS"/>
          <w:color w:val="231F20"/>
          <w:spacing w:val="-3"/>
          <w:w w:val="111"/>
          <w:sz w:val="20"/>
        </w:rPr>
        <w:t>c</w:t>
      </w:r>
      <w:r>
        <w:rPr>
          <w:rFonts w:ascii="Trebuchet MS"/>
          <w:color w:val="231F20"/>
          <w:spacing w:val="-1"/>
          <w:w w:val="106"/>
          <w:sz w:val="20"/>
        </w:rPr>
        <w:t>ou</w:t>
      </w:r>
      <w:r>
        <w:rPr>
          <w:rFonts w:ascii="Trebuchet MS"/>
          <w:color w:val="231F20"/>
          <w:spacing w:val="2"/>
          <w:w w:val="106"/>
          <w:sz w:val="20"/>
        </w:rPr>
        <w:t>r</w:t>
      </w:r>
      <w:r>
        <w:rPr>
          <w:rFonts w:ascii="Trebuchet MS"/>
          <w:color w:val="231F20"/>
          <w:spacing w:val="2"/>
          <w:w w:val="88"/>
          <w:sz w:val="20"/>
        </w:rPr>
        <w:t>t</w:t>
      </w:r>
      <w:r>
        <w:rPr>
          <w:rFonts w:ascii="Trebuchet MS"/>
          <w:color w:val="231F20"/>
          <w:spacing w:val="1"/>
          <w:w w:val="122"/>
          <w:sz w:val="20"/>
        </w:rPr>
        <w:t>s</w:t>
      </w:r>
      <w:r>
        <w:rPr>
          <w:rFonts w:ascii="Trebuchet MS"/>
          <w:color w:val="231F20"/>
          <w:w w:val="55"/>
          <w:sz w:val="20"/>
        </w:rPr>
        <w:t>.</w:t>
      </w:r>
    </w:p>
    <w:p w14:paraId="013A812D" w14:textId="77777777" w:rsidR="00894070" w:rsidRDefault="009B7AFD">
      <w:pPr>
        <w:pStyle w:val="Heading8"/>
        <w:spacing w:before="166"/>
        <w:ind w:left="140"/>
      </w:pPr>
      <w:r>
        <w:rPr>
          <w:color w:val="EA5B50"/>
        </w:rPr>
        <w:t>xxvi</w:t>
      </w:r>
    </w:p>
    <w:p w14:paraId="3C7A50B2" w14:textId="77777777" w:rsidR="00894070" w:rsidRDefault="00894070">
      <w:pPr>
        <w:sectPr w:rsidR="00894070">
          <w:pgSz w:w="11910" w:h="16840"/>
          <w:pgMar w:top="860" w:right="420" w:bottom="280" w:left="580" w:header="567" w:footer="0" w:gutter="0"/>
          <w:cols w:space="720"/>
        </w:sectPr>
      </w:pPr>
    </w:p>
    <w:p w14:paraId="3B76A318" w14:textId="77777777" w:rsidR="00894070" w:rsidRDefault="00894070">
      <w:pPr>
        <w:pStyle w:val="BodyText"/>
        <w:rPr>
          <w:b/>
        </w:rPr>
      </w:pPr>
    </w:p>
    <w:p w14:paraId="515B9A46" w14:textId="77777777" w:rsidR="00894070" w:rsidRDefault="00894070">
      <w:pPr>
        <w:pStyle w:val="BodyText"/>
        <w:rPr>
          <w:b/>
        </w:rPr>
      </w:pPr>
    </w:p>
    <w:p w14:paraId="423A3F01" w14:textId="77777777" w:rsidR="00894070" w:rsidRDefault="00894070">
      <w:pPr>
        <w:pStyle w:val="BodyText"/>
        <w:rPr>
          <w:b/>
        </w:rPr>
      </w:pPr>
    </w:p>
    <w:p w14:paraId="4F8FDF75" w14:textId="77777777" w:rsidR="00894070" w:rsidRDefault="00894070">
      <w:pPr>
        <w:pStyle w:val="BodyText"/>
        <w:spacing w:before="6"/>
        <w:rPr>
          <w:b/>
          <w:sz w:val="14"/>
        </w:rPr>
      </w:pPr>
    </w:p>
    <w:p w14:paraId="5D7C5A07" w14:textId="77777777" w:rsidR="00894070" w:rsidRDefault="009B7AFD">
      <w:pPr>
        <w:pStyle w:val="ListParagraph"/>
        <w:numPr>
          <w:ilvl w:val="0"/>
          <w:numId w:val="181"/>
        </w:numPr>
        <w:tabs>
          <w:tab w:val="left" w:pos="1801"/>
          <w:tab w:val="left" w:pos="1802"/>
        </w:tabs>
        <w:spacing w:before="101" w:line="247" w:lineRule="auto"/>
        <w:ind w:right="1290"/>
        <w:rPr>
          <w:rFonts w:ascii="Trebuchet MS"/>
          <w:sz w:val="20"/>
        </w:rPr>
      </w:pPr>
      <w:r>
        <w:rPr>
          <w:rFonts w:ascii="Trebuchet MS"/>
          <w:color w:val="231F20"/>
          <w:w w:val="105"/>
          <w:sz w:val="20"/>
        </w:rPr>
        <w:t xml:space="preserve">If there </w:t>
      </w:r>
      <w:r>
        <w:rPr>
          <w:rFonts w:ascii="Trebuchet MS"/>
          <w:color w:val="231F20"/>
          <w:spacing w:val="-2"/>
          <w:w w:val="105"/>
          <w:sz w:val="20"/>
        </w:rPr>
        <w:t xml:space="preserve">are </w:t>
      </w:r>
      <w:r>
        <w:rPr>
          <w:rFonts w:ascii="Trebuchet MS"/>
          <w:color w:val="231F20"/>
          <w:w w:val="105"/>
          <w:sz w:val="20"/>
        </w:rPr>
        <w:t xml:space="preserve">strong indicators that compelling </w:t>
      </w:r>
      <w:r>
        <w:rPr>
          <w:rFonts w:ascii="Trebuchet MS"/>
          <w:color w:val="231F20"/>
          <w:spacing w:val="-3"/>
          <w:w w:val="105"/>
          <w:sz w:val="20"/>
        </w:rPr>
        <w:t xml:space="preserve">treatment </w:t>
      </w:r>
      <w:r>
        <w:rPr>
          <w:rFonts w:ascii="Trebuchet MS"/>
          <w:color w:val="231F20"/>
          <w:w w:val="105"/>
          <w:sz w:val="20"/>
        </w:rPr>
        <w:t xml:space="preserve">is an </w:t>
      </w:r>
      <w:r>
        <w:rPr>
          <w:rFonts w:ascii="Trebuchet MS"/>
          <w:color w:val="231F20"/>
          <w:spacing w:val="-3"/>
          <w:w w:val="105"/>
          <w:sz w:val="20"/>
        </w:rPr>
        <w:t xml:space="preserve">effective </w:t>
      </w:r>
      <w:r>
        <w:rPr>
          <w:rFonts w:ascii="Trebuchet MS"/>
          <w:color w:val="231F20"/>
          <w:w w:val="105"/>
          <w:sz w:val="20"/>
        </w:rPr>
        <w:t xml:space="preserve">response to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22"/>
          <w:sz w:val="20"/>
        </w:rPr>
        <w:t>s</w:t>
      </w:r>
      <w:r>
        <w:rPr>
          <w:rFonts w:ascii="Trebuchet MS"/>
          <w:color w:val="231F20"/>
          <w:spacing w:val="-4"/>
          <w:w w:val="110"/>
          <w:sz w:val="20"/>
        </w:rPr>
        <w:t>y</w:t>
      </w:r>
      <w:r>
        <w:rPr>
          <w:rFonts w:ascii="Trebuchet MS"/>
          <w:color w:val="231F20"/>
          <w:spacing w:val="-1"/>
          <w:w w:val="122"/>
          <w:sz w:val="20"/>
        </w:rPr>
        <w:t>s</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111"/>
          <w:sz w:val="20"/>
        </w:rPr>
        <w:t>m</w:t>
      </w:r>
      <w:r>
        <w:rPr>
          <w:rFonts w:ascii="Trebuchet MS"/>
          <w:color w:val="231F20"/>
          <w:w w:val="57"/>
          <w:sz w:val="20"/>
        </w:rPr>
        <w:t>,</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 xml:space="preserve">e </w:t>
      </w:r>
      <w:r>
        <w:rPr>
          <w:rFonts w:ascii="Trebuchet MS"/>
          <w:color w:val="231F20"/>
          <w:spacing w:val="-1"/>
          <w:w w:val="104"/>
          <w:sz w:val="20"/>
        </w:rPr>
        <w:t>Vi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03"/>
          <w:sz w:val="20"/>
        </w:rPr>
        <w:t>o</w:t>
      </w:r>
      <w:r>
        <w:rPr>
          <w:rFonts w:ascii="Trebuchet MS"/>
          <w:color w:val="231F20"/>
          <w:spacing w:val="-2"/>
          <w:w w:val="103"/>
          <w:sz w:val="20"/>
        </w:rPr>
        <w:t>r</w:t>
      </w:r>
      <w:r>
        <w:rPr>
          <w:rFonts w:ascii="Trebuchet MS"/>
          <w:color w:val="231F20"/>
          <w:spacing w:val="-1"/>
          <w:w w:val="80"/>
          <w:sz w:val="20"/>
        </w:rPr>
        <w:t>i</w:t>
      </w:r>
      <w:r>
        <w:rPr>
          <w:rFonts w:ascii="Trebuchet MS"/>
          <w:color w:val="231F20"/>
          <w:spacing w:val="-2"/>
          <w:w w:val="105"/>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7"/>
          <w:sz w:val="20"/>
        </w:rPr>
        <w:t>n</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09"/>
          <w:sz w:val="20"/>
        </w:rPr>
        <w:t>o</w:t>
      </w:r>
      <w:r>
        <w:rPr>
          <w:rFonts w:ascii="Trebuchet MS"/>
          <w:color w:val="231F20"/>
          <w:spacing w:val="-2"/>
          <w:w w:val="109"/>
          <w:sz w:val="20"/>
        </w:rPr>
        <w:t>n</w:t>
      </w:r>
      <w:r>
        <w:rPr>
          <w:rFonts w:ascii="Trebuchet MS"/>
          <w:color w:val="231F20"/>
          <w:spacing w:val="-1"/>
          <w:w w:val="104"/>
          <w:sz w:val="20"/>
        </w:rPr>
        <w:t>si</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2"/>
          <w:w w:val="88"/>
          <w:sz w:val="20"/>
        </w:rPr>
        <w:t>t</w:t>
      </w:r>
      <w:r>
        <w:rPr>
          <w:rFonts w:ascii="Trebuchet MS"/>
          <w:color w:val="231F20"/>
          <w:spacing w:val="-4"/>
          <w:w w:val="93"/>
          <w:sz w:val="20"/>
        </w:rPr>
        <w:t>r</w:t>
      </w:r>
      <w:r>
        <w:rPr>
          <w:rFonts w:ascii="Trebuchet MS"/>
          <w:color w:val="231F20"/>
          <w:spacing w:val="-1"/>
          <w:w w:val="111"/>
          <w:sz w:val="20"/>
        </w:rPr>
        <w:t>o</w:t>
      </w:r>
      <w:r>
        <w:rPr>
          <w:rFonts w:ascii="Trebuchet MS"/>
          <w:color w:val="231F20"/>
          <w:spacing w:val="-2"/>
          <w:w w:val="112"/>
          <w:sz w:val="20"/>
        </w:rPr>
        <w:t>d</w:t>
      </w:r>
      <w:r>
        <w:rPr>
          <w:rFonts w:ascii="Trebuchet MS"/>
          <w:color w:val="231F20"/>
          <w:spacing w:val="-2"/>
          <w:w w:val="109"/>
          <w:sz w:val="20"/>
        </w:rPr>
        <w:t>u</w:t>
      </w:r>
      <w:r>
        <w:rPr>
          <w:rFonts w:ascii="Trebuchet MS"/>
          <w:color w:val="231F20"/>
          <w:spacing w:val="-2"/>
          <w:w w:val="111"/>
          <w:sz w:val="20"/>
        </w:rPr>
        <w:t>c</w:t>
      </w:r>
      <w:r>
        <w:rPr>
          <w:rFonts w:ascii="Trebuchet MS"/>
          <w:color w:val="231F20"/>
          <w:spacing w:val="-2"/>
          <w:w w:val="80"/>
          <w:sz w:val="20"/>
        </w:rPr>
        <w:t>i</w:t>
      </w:r>
      <w:r>
        <w:rPr>
          <w:rFonts w:ascii="Trebuchet MS"/>
          <w:color w:val="231F20"/>
          <w:spacing w:val="-1"/>
          <w:w w:val="115"/>
          <w:sz w:val="20"/>
        </w:rPr>
        <w:t>n</w:t>
      </w:r>
      <w:r>
        <w:rPr>
          <w:rFonts w:ascii="Trebuchet MS"/>
          <w:color w:val="231F20"/>
          <w:w w:val="115"/>
          <w:sz w:val="20"/>
        </w:rPr>
        <w:t>g</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2"/>
          <w:w w:val="93"/>
          <w:sz w:val="20"/>
        </w:rPr>
        <w:t>r</w:t>
      </w:r>
      <w:r>
        <w:rPr>
          <w:rFonts w:ascii="Trebuchet MS"/>
          <w:color w:val="231F20"/>
          <w:spacing w:val="-11"/>
          <w:w w:val="88"/>
          <w:sz w:val="20"/>
        </w:rPr>
        <w:t>t</w:t>
      </w:r>
      <w:r>
        <w:rPr>
          <w:rFonts w:ascii="Trebuchet MS"/>
          <w:color w:val="231F20"/>
          <w:spacing w:val="1"/>
          <w:w w:val="115"/>
          <w:sz w:val="20"/>
        </w:rPr>
        <w:t>-</w:t>
      </w:r>
      <w:r>
        <w:rPr>
          <w:rFonts w:ascii="Trebuchet MS"/>
          <w:color w:val="231F20"/>
          <w:spacing w:val="-1"/>
          <w:w w:val="103"/>
          <w:sz w:val="20"/>
        </w:rPr>
        <w:t>o</w:t>
      </w:r>
      <w:r>
        <w:rPr>
          <w:rFonts w:ascii="Trebuchet MS"/>
          <w:color w:val="231F20"/>
          <w:spacing w:val="-4"/>
          <w:w w:val="10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4"/>
          <w:w w:val="93"/>
          <w:sz w:val="20"/>
        </w:rPr>
        <w:t>r</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1"/>
          <w:w w:val="108"/>
          <w:sz w:val="20"/>
        </w:rPr>
        <w:t>e</w:t>
      </w:r>
      <w:r>
        <w:rPr>
          <w:rFonts w:ascii="Trebuchet MS"/>
          <w:color w:val="231F20"/>
          <w:spacing w:val="-1"/>
          <w:w w:val="104"/>
          <w:sz w:val="20"/>
        </w:rPr>
        <w:t>rap</w:t>
      </w:r>
      <w:r>
        <w:rPr>
          <w:rFonts w:ascii="Trebuchet MS"/>
          <w:color w:val="231F20"/>
          <w:spacing w:val="-1"/>
          <w:w w:val="108"/>
          <w:sz w:val="20"/>
        </w:rPr>
        <w:t>e</w:t>
      </w:r>
      <w:r>
        <w:rPr>
          <w:rFonts w:ascii="Trebuchet MS"/>
          <w:color w:val="231F20"/>
          <w:spacing w:val="-3"/>
          <w:w w:val="109"/>
          <w:sz w:val="20"/>
        </w:rPr>
        <w:t>u</w:t>
      </w:r>
      <w:r>
        <w:rPr>
          <w:rFonts w:ascii="Trebuchet MS"/>
          <w:color w:val="231F20"/>
          <w:spacing w:val="-2"/>
          <w:w w:val="88"/>
          <w:sz w:val="20"/>
        </w:rPr>
        <w:t>t</w:t>
      </w:r>
      <w:r>
        <w:rPr>
          <w:rFonts w:ascii="Trebuchet MS"/>
          <w:color w:val="231F20"/>
          <w:spacing w:val="-1"/>
          <w:w w:val="80"/>
          <w:sz w:val="20"/>
        </w:rPr>
        <w:t>i</w:t>
      </w:r>
      <w:r>
        <w:rPr>
          <w:rFonts w:ascii="Trebuchet MS"/>
          <w:color w:val="231F20"/>
          <w:w w:val="111"/>
          <w:sz w:val="20"/>
        </w:rPr>
        <w:t>c</w:t>
      </w:r>
      <w:r>
        <w:rPr>
          <w:rFonts w:ascii="Trebuchet MS"/>
          <w:color w:val="231F20"/>
          <w:spacing w:val="-14"/>
          <w:sz w:val="20"/>
        </w:rPr>
        <w:t xml:space="preserve"> </w:t>
      </w:r>
      <w:r>
        <w:rPr>
          <w:rFonts w:ascii="Trebuchet MS"/>
          <w:color w:val="231F20"/>
          <w:spacing w:val="-1"/>
          <w:w w:val="103"/>
          <w:sz w:val="20"/>
        </w:rPr>
        <w:t>o</w:t>
      </w:r>
      <w:r>
        <w:rPr>
          <w:rFonts w:ascii="Trebuchet MS"/>
          <w:color w:val="231F20"/>
          <w:spacing w:val="-4"/>
          <w:w w:val="10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 xml:space="preserve">, </w:t>
      </w:r>
      <w:r>
        <w:rPr>
          <w:rFonts w:ascii="Trebuchet MS"/>
          <w:color w:val="231F20"/>
          <w:w w:val="105"/>
          <w:sz w:val="20"/>
        </w:rPr>
        <w:t>as</w:t>
      </w:r>
      <w:r>
        <w:rPr>
          <w:rFonts w:ascii="Trebuchet MS"/>
          <w:color w:val="231F20"/>
          <w:spacing w:val="-20"/>
          <w:w w:val="105"/>
          <w:sz w:val="20"/>
        </w:rPr>
        <w:t xml:space="preserve"> </w:t>
      </w:r>
      <w:r>
        <w:rPr>
          <w:rFonts w:ascii="Trebuchet MS"/>
          <w:color w:val="231F20"/>
          <w:w w:val="105"/>
          <w:sz w:val="20"/>
        </w:rPr>
        <w:t>is</w:t>
      </w:r>
      <w:r>
        <w:rPr>
          <w:rFonts w:ascii="Trebuchet MS"/>
          <w:color w:val="231F20"/>
          <w:spacing w:val="-19"/>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case</w:t>
      </w:r>
      <w:r>
        <w:rPr>
          <w:rFonts w:ascii="Trebuchet MS"/>
          <w:color w:val="231F20"/>
          <w:spacing w:val="-20"/>
          <w:w w:val="105"/>
          <w:sz w:val="20"/>
        </w:rPr>
        <w:t xml:space="preserve"> </w:t>
      </w:r>
      <w:r>
        <w:rPr>
          <w:rFonts w:ascii="Trebuchet MS"/>
          <w:color w:val="231F20"/>
          <w:w w:val="105"/>
          <w:sz w:val="20"/>
        </w:rPr>
        <w:t>in</w:t>
      </w:r>
      <w:r>
        <w:rPr>
          <w:rFonts w:ascii="Trebuchet MS"/>
          <w:color w:val="231F20"/>
          <w:spacing w:val="-19"/>
          <w:w w:val="105"/>
          <w:sz w:val="20"/>
        </w:rPr>
        <w:t xml:space="preserve"> </w:t>
      </w:r>
      <w:r>
        <w:rPr>
          <w:rFonts w:ascii="Trebuchet MS"/>
          <w:color w:val="231F20"/>
          <w:w w:val="105"/>
          <w:sz w:val="20"/>
        </w:rPr>
        <w:t>the</w:t>
      </w:r>
      <w:r>
        <w:rPr>
          <w:rFonts w:ascii="Trebuchet MS"/>
          <w:color w:val="231F20"/>
          <w:spacing w:val="-20"/>
          <w:w w:val="105"/>
          <w:sz w:val="20"/>
        </w:rPr>
        <w:t xml:space="preserve"> </w:t>
      </w:r>
      <w:r>
        <w:rPr>
          <w:rFonts w:ascii="Arial"/>
          <w:i/>
          <w:color w:val="231F20"/>
          <w:spacing w:val="-3"/>
          <w:w w:val="105"/>
          <w:sz w:val="20"/>
        </w:rPr>
        <w:t>Family</w:t>
      </w:r>
      <w:r>
        <w:rPr>
          <w:rFonts w:ascii="Arial"/>
          <w:i/>
          <w:color w:val="231F20"/>
          <w:spacing w:val="-16"/>
          <w:w w:val="105"/>
          <w:sz w:val="20"/>
        </w:rPr>
        <w:t xml:space="preserve"> </w:t>
      </w:r>
      <w:r>
        <w:rPr>
          <w:rFonts w:ascii="Arial"/>
          <w:i/>
          <w:color w:val="231F20"/>
          <w:w w:val="105"/>
          <w:sz w:val="20"/>
        </w:rPr>
        <w:t>Violence</w:t>
      </w:r>
      <w:r>
        <w:rPr>
          <w:rFonts w:ascii="Arial"/>
          <w:i/>
          <w:color w:val="231F20"/>
          <w:spacing w:val="-16"/>
          <w:w w:val="105"/>
          <w:sz w:val="20"/>
        </w:rPr>
        <w:t xml:space="preserve"> </w:t>
      </w:r>
      <w:r>
        <w:rPr>
          <w:rFonts w:ascii="Arial"/>
          <w:i/>
          <w:color w:val="231F20"/>
          <w:spacing w:val="-3"/>
          <w:w w:val="105"/>
          <w:sz w:val="20"/>
        </w:rPr>
        <w:t>Protection</w:t>
      </w:r>
      <w:r>
        <w:rPr>
          <w:rFonts w:ascii="Arial"/>
          <w:i/>
          <w:color w:val="231F20"/>
          <w:spacing w:val="-16"/>
          <w:w w:val="105"/>
          <w:sz w:val="20"/>
        </w:rPr>
        <w:t xml:space="preserve"> </w:t>
      </w:r>
      <w:r>
        <w:rPr>
          <w:rFonts w:ascii="Arial"/>
          <w:i/>
          <w:color w:val="231F20"/>
          <w:w w:val="105"/>
          <w:sz w:val="20"/>
        </w:rPr>
        <w:t>Act</w:t>
      </w:r>
      <w:r>
        <w:rPr>
          <w:rFonts w:ascii="Arial"/>
          <w:i/>
          <w:color w:val="231F20"/>
          <w:spacing w:val="-16"/>
          <w:w w:val="105"/>
          <w:sz w:val="20"/>
        </w:rPr>
        <w:t xml:space="preserve"> </w:t>
      </w:r>
      <w:r>
        <w:rPr>
          <w:rFonts w:ascii="Arial"/>
          <w:i/>
          <w:color w:val="231F20"/>
          <w:w w:val="105"/>
          <w:sz w:val="20"/>
        </w:rPr>
        <w:t>2008</w:t>
      </w:r>
      <w:r>
        <w:rPr>
          <w:rFonts w:ascii="Arial"/>
          <w:i/>
          <w:color w:val="231F20"/>
          <w:spacing w:val="-14"/>
          <w:w w:val="105"/>
          <w:sz w:val="20"/>
        </w:rPr>
        <w:t xml:space="preserve"> </w:t>
      </w:r>
      <w:r>
        <w:rPr>
          <w:rFonts w:ascii="Trebuchet MS"/>
          <w:color w:val="231F20"/>
          <w:spacing w:val="-3"/>
          <w:w w:val="105"/>
          <w:sz w:val="20"/>
        </w:rPr>
        <w:t>(Vic).</w:t>
      </w:r>
    </w:p>
    <w:p w14:paraId="0696A62C" w14:textId="77777777" w:rsidR="00894070" w:rsidRDefault="009B7AFD">
      <w:pPr>
        <w:pStyle w:val="ListParagraph"/>
        <w:numPr>
          <w:ilvl w:val="0"/>
          <w:numId w:val="181"/>
        </w:numPr>
        <w:tabs>
          <w:tab w:val="left" w:pos="1801"/>
          <w:tab w:val="left" w:pos="1802"/>
        </w:tabs>
        <w:spacing w:before="88" w:line="247" w:lineRule="auto"/>
        <w:ind w:right="1316"/>
        <w:rPr>
          <w:rFonts w:ascii="Trebuchet MS"/>
          <w:sz w:val="20"/>
        </w:rPr>
      </w:pPr>
      <w:r>
        <w:rPr>
          <w:rFonts w:ascii="Trebuchet MS"/>
          <w:color w:val="231F20"/>
          <w:w w:val="105"/>
          <w:sz w:val="20"/>
        </w:rPr>
        <w:t>The</w:t>
      </w:r>
      <w:r>
        <w:rPr>
          <w:rFonts w:ascii="Trebuchet MS"/>
          <w:color w:val="231F20"/>
          <w:spacing w:val="-13"/>
          <w:w w:val="105"/>
          <w:sz w:val="20"/>
        </w:rPr>
        <w:t xml:space="preserve"> </w:t>
      </w:r>
      <w:r>
        <w:rPr>
          <w:rFonts w:ascii="Trebuchet MS"/>
          <w:color w:val="231F20"/>
          <w:w w:val="105"/>
          <w:sz w:val="20"/>
        </w:rPr>
        <w:t>Judicial</w:t>
      </w:r>
      <w:r>
        <w:rPr>
          <w:rFonts w:ascii="Trebuchet MS"/>
          <w:color w:val="231F20"/>
          <w:spacing w:val="-13"/>
          <w:w w:val="105"/>
          <w:sz w:val="20"/>
        </w:rPr>
        <w:t xml:space="preserve"> </w:t>
      </w:r>
      <w:r>
        <w:rPr>
          <w:rFonts w:ascii="Trebuchet MS"/>
          <w:color w:val="231F20"/>
          <w:w w:val="105"/>
          <w:sz w:val="20"/>
        </w:rPr>
        <w:t>College</w:t>
      </w:r>
      <w:r>
        <w:rPr>
          <w:rFonts w:ascii="Trebuchet MS"/>
          <w:color w:val="231F20"/>
          <w:spacing w:val="-12"/>
          <w:w w:val="105"/>
          <w:sz w:val="20"/>
        </w:rPr>
        <w:t xml:space="preserve"> </w:t>
      </w:r>
      <w:r>
        <w:rPr>
          <w:rFonts w:ascii="Trebuchet MS"/>
          <w:color w:val="231F20"/>
          <w:w w:val="105"/>
          <w:sz w:val="20"/>
        </w:rPr>
        <w:t>of</w:t>
      </w:r>
      <w:r>
        <w:rPr>
          <w:rFonts w:ascii="Trebuchet MS"/>
          <w:color w:val="231F20"/>
          <w:spacing w:val="-13"/>
          <w:w w:val="105"/>
          <w:sz w:val="20"/>
        </w:rPr>
        <w:t xml:space="preserve"> </w:t>
      </w:r>
      <w:r>
        <w:rPr>
          <w:rFonts w:ascii="Trebuchet MS"/>
          <w:color w:val="231F20"/>
          <w:w w:val="105"/>
          <w:sz w:val="20"/>
        </w:rPr>
        <w:t>Victoria</w:t>
      </w:r>
      <w:r>
        <w:rPr>
          <w:rFonts w:ascii="Trebuchet MS"/>
          <w:color w:val="231F20"/>
          <w:spacing w:val="-13"/>
          <w:w w:val="105"/>
          <w:sz w:val="20"/>
        </w:rPr>
        <w:t xml:space="preserve"> </w:t>
      </w:r>
      <w:r>
        <w:rPr>
          <w:rFonts w:ascii="Trebuchet MS"/>
          <w:color w:val="231F20"/>
          <w:w w:val="105"/>
          <w:sz w:val="20"/>
        </w:rPr>
        <w:t>should</w:t>
      </w:r>
      <w:r>
        <w:rPr>
          <w:rFonts w:ascii="Trebuchet MS"/>
          <w:color w:val="231F20"/>
          <w:spacing w:val="-12"/>
          <w:w w:val="105"/>
          <w:sz w:val="20"/>
        </w:rPr>
        <w:t xml:space="preserve"> </w:t>
      </w:r>
      <w:r>
        <w:rPr>
          <w:rFonts w:ascii="Trebuchet MS"/>
          <w:color w:val="231F20"/>
          <w:spacing w:val="-3"/>
          <w:w w:val="105"/>
          <w:sz w:val="20"/>
        </w:rPr>
        <w:t>develop</w:t>
      </w:r>
      <w:r>
        <w:rPr>
          <w:rFonts w:ascii="Trebuchet MS"/>
          <w:color w:val="231F20"/>
          <w:spacing w:val="-13"/>
          <w:w w:val="105"/>
          <w:sz w:val="20"/>
        </w:rPr>
        <w:t xml:space="preserve"> </w:t>
      </w:r>
      <w:r>
        <w:rPr>
          <w:rFonts w:ascii="Trebuchet MS"/>
          <w:color w:val="231F20"/>
          <w:w w:val="105"/>
          <w:sz w:val="20"/>
        </w:rPr>
        <w:t>guidance</w:t>
      </w:r>
      <w:r>
        <w:rPr>
          <w:rFonts w:ascii="Trebuchet MS"/>
          <w:color w:val="231F20"/>
          <w:spacing w:val="-13"/>
          <w:w w:val="105"/>
          <w:sz w:val="20"/>
        </w:rPr>
        <w:t xml:space="preserve"> </w:t>
      </w:r>
      <w:r>
        <w:rPr>
          <w:rFonts w:ascii="Trebuchet MS"/>
          <w:color w:val="231F20"/>
          <w:w w:val="105"/>
          <w:sz w:val="20"/>
        </w:rPr>
        <w:t>for</w:t>
      </w:r>
      <w:r>
        <w:rPr>
          <w:rFonts w:ascii="Trebuchet MS"/>
          <w:color w:val="231F20"/>
          <w:spacing w:val="-12"/>
          <w:w w:val="105"/>
          <w:sz w:val="20"/>
        </w:rPr>
        <w:t xml:space="preserve"> </w:t>
      </w:r>
      <w:r>
        <w:rPr>
          <w:rFonts w:ascii="Trebuchet MS"/>
          <w:color w:val="231F20"/>
          <w:w w:val="105"/>
          <w:sz w:val="20"/>
        </w:rPr>
        <w:t>sentencing</w:t>
      </w:r>
      <w:r>
        <w:rPr>
          <w:rFonts w:ascii="Trebuchet MS"/>
          <w:color w:val="231F20"/>
          <w:spacing w:val="-13"/>
          <w:w w:val="105"/>
          <w:sz w:val="20"/>
        </w:rPr>
        <w:t xml:space="preserve"> </w:t>
      </w:r>
      <w:r>
        <w:rPr>
          <w:rFonts w:ascii="Trebuchet MS"/>
          <w:color w:val="231F20"/>
          <w:w w:val="105"/>
          <w:sz w:val="20"/>
        </w:rPr>
        <w:t>breaches</w:t>
      </w:r>
      <w:r>
        <w:rPr>
          <w:rFonts w:ascii="Trebuchet MS"/>
          <w:color w:val="231F20"/>
          <w:spacing w:val="-13"/>
          <w:w w:val="105"/>
          <w:sz w:val="20"/>
        </w:rPr>
        <w:t xml:space="preserve"> </w:t>
      </w:r>
      <w:r>
        <w:rPr>
          <w:rFonts w:ascii="Trebuchet MS"/>
          <w:color w:val="231F20"/>
          <w:w w:val="105"/>
          <w:sz w:val="20"/>
        </w:rPr>
        <w:t xml:space="preserve">of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proofErr w:type="gramStart"/>
      <w:r>
        <w:rPr>
          <w:rFonts w:ascii="Trebuchet MS"/>
          <w:color w:val="231F20"/>
          <w:spacing w:val="-2"/>
          <w:w w:val="122"/>
          <w:sz w:val="20"/>
        </w:rPr>
        <w:t>s</w:t>
      </w:r>
      <w:r>
        <w:rPr>
          <w:rFonts w:ascii="Trebuchet MS"/>
          <w:color w:val="231F20"/>
          <w:spacing w:val="-2"/>
          <w:w w:val="80"/>
          <w:sz w:val="20"/>
        </w:rPr>
        <w:t>i</w:t>
      </w:r>
      <w:r>
        <w:rPr>
          <w:rFonts w:ascii="Trebuchet MS"/>
          <w:color w:val="231F20"/>
          <w:spacing w:val="-2"/>
          <w:w w:val="111"/>
          <w:sz w:val="20"/>
        </w:rPr>
        <w:t>m</w:t>
      </w:r>
      <w:r>
        <w:rPr>
          <w:rFonts w:ascii="Trebuchet MS"/>
          <w:color w:val="231F20"/>
          <w:spacing w:val="-2"/>
          <w:w w:val="80"/>
          <w:sz w:val="20"/>
        </w:rPr>
        <w:t>i</w:t>
      </w:r>
      <w:r>
        <w:rPr>
          <w:rFonts w:ascii="Trebuchet MS"/>
          <w:color w:val="231F20"/>
          <w:spacing w:val="1"/>
          <w:w w:val="96"/>
          <w:sz w:val="20"/>
        </w:rPr>
        <w:t>l</w:t>
      </w:r>
      <w:r>
        <w:rPr>
          <w:rFonts w:ascii="Trebuchet MS"/>
          <w:color w:val="231F20"/>
          <w:spacing w:val="-2"/>
          <w:w w:val="105"/>
          <w:sz w:val="20"/>
        </w:rPr>
        <w:t>a</w:t>
      </w:r>
      <w:r>
        <w:rPr>
          <w:rFonts w:ascii="Trebuchet MS"/>
          <w:color w:val="231F20"/>
          <w:w w:val="93"/>
          <w:sz w:val="20"/>
        </w:rPr>
        <w:t>r</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proofErr w:type="gramEnd"/>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24"/>
          <w:sz w:val="20"/>
        </w:rPr>
        <w:t>g</w:t>
      </w:r>
      <w:r>
        <w:rPr>
          <w:rFonts w:ascii="Trebuchet MS"/>
          <w:color w:val="231F20"/>
          <w:spacing w:val="-1"/>
          <w:w w:val="109"/>
          <w:sz w:val="20"/>
        </w:rPr>
        <w:t>u</w:t>
      </w:r>
      <w:r>
        <w:rPr>
          <w:rFonts w:ascii="Trebuchet MS"/>
          <w:color w:val="231F20"/>
          <w:spacing w:val="-1"/>
          <w:w w:val="80"/>
          <w:sz w:val="20"/>
        </w:rPr>
        <w:t>i</w:t>
      </w:r>
      <w:r>
        <w:rPr>
          <w:rFonts w:ascii="Trebuchet MS"/>
          <w:color w:val="231F20"/>
          <w:spacing w:val="-2"/>
          <w:w w:val="112"/>
          <w:sz w:val="20"/>
        </w:rPr>
        <w:t>d</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4"/>
          <w:w w:val="105"/>
          <w:sz w:val="20"/>
        </w:rPr>
        <w:t>a</w:t>
      </w:r>
      <w:r>
        <w:rPr>
          <w:rFonts w:ascii="Trebuchet MS"/>
          <w:color w:val="231F20"/>
          <w:w w:val="88"/>
          <w:sz w:val="20"/>
        </w:rPr>
        <w:t>t</w:t>
      </w:r>
      <w:r>
        <w:rPr>
          <w:rFonts w:ascii="Trebuchet MS"/>
          <w:color w:val="231F20"/>
          <w:spacing w:val="-14"/>
          <w:sz w:val="20"/>
        </w:rPr>
        <w:t xml:space="preserve"> </w:t>
      </w:r>
      <w:r>
        <w:rPr>
          <w:rFonts w:ascii="Trebuchet MS"/>
          <w:color w:val="231F20"/>
          <w:spacing w:val="-5"/>
          <w:w w:val="108"/>
          <w:sz w:val="20"/>
        </w:rPr>
        <w:t>e</w:t>
      </w:r>
      <w:r>
        <w:rPr>
          <w:rFonts w:ascii="Trebuchet MS"/>
          <w:color w:val="231F20"/>
          <w:spacing w:val="-2"/>
          <w:w w:val="102"/>
          <w:sz w:val="20"/>
        </w:rPr>
        <w:t>x</w:t>
      </w:r>
      <w:r>
        <w:rPr>
          <w:rFonts w:ascii="Trebuchet MS"/>
          <w:color w:val="231F20"/>
          <w:spacing w:val="-1"/>
          <w:w w:val="80"/>
          <w:sz w:val="20"/>
        </w:rPr>
        <w:t>i</w:t>
      </w:r>
      <w:r>
        <w:rPr>
          <w:rFonts w:ascii="Trebuchet MS"/>
          <w:color w:val="231F20"/>
          <w:spacing w:val="-1"/>
          <w:w w:val="122"/>
          <w:sz w:val="20"/>
        </w:rPr>
        <w:t>s</w:t>
      </w:r>
      <w:r>
        <w:rPr>
          <w:rFonts w:ascii="Trebuchet MS"/>
          <w:color w:val="231F20"/>
          <w:spacing w:val="2"/>
          <w:w w:val="88"/>
          <w:sz w:val="20"/>
        </w:rPr>
        <w:t>t</w:t>
      </w:r>
      <w:r>
        <w:rPr>
          <w:rFonts w:ascii="Trebuchet MS"/>
          <w:color w:val="231F20"/>
          <w:w w:val="122"/>
          <w:sz w:val="20"/>
        </w:rPr>
        <w:t>s</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22"/>
          <w:sz w:val="20"/>
        </w:rPr>
        <w:t>s</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2"/>
          <w:w w:val="111"/>
          <w:sz w:val="20"/>
        </w:rPr>
        <w:t>c</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 xml:space="preserve">g </w:t>
      </w:r>
      <w:r>
        <w:rPr>
          <w:rFonts w:ascii="Trebuchet MS"/>
          <w:color w:val="231F20"/>
          <w:w w:val="105"/>
          <w:sz w:val="20"/>
        </w:rPr>
        <w:t xml:space="preserve">breaches of </w:t>
      </w:r>
      <w:r>
        <w:rPr>
          <w:rFonts w:ascii="Trebuchet MS"/>
          <w:color w:val="231F20"/>
          <w:spacing w:val="-3"/>
          <w:w w:val="105"/>
          <w:sz w:val="20"/>
        </w:rPr>
        <w:t xml:space="preserve">family </w:t>
      </w:r>
      <w:r>
        <w:rPr>
          <w:rFonts w:ascii="Trebuchet MS"/>
          <w:color w:val="231F20"/>
          <w:w w:val="105"/>
          <w:sz w:val="20"/>
        </w:rPr>
        <w:t xml:space="preserve">violence intervention orders and </w:t>
      </w:r>
      <w:r>
        <w:rPr>
          <w:rFonts w:ascii="Trebuchet MS"/>
          <w:color w:val="231F20"/>
          <w:spacing w:val="-3"/>
          <w:w w:val="105"/>
          <w:sz w:val="20"/>
        </w:rPr>
        <w:t xml:space="preserve">family </w:t>
      </w:r>
      <w:r>
        <w:rPr>
          <w:rFonts w:ascii="Trebuchet MS"/>
          <w:color w:val="231F20"/>
          <w:w w:val="105"/>
          <w:sz w:val="20"/>
        </w:rPr>
        <w:t>violence safety notices under</w:t>
      </w:r>
      <w:r>
        <w:rPr>
          <w:rFonts w:ascii="Trebuchet MS"/>
          <w:color w:val="231F20"/>
          <w:spacing w:val="-19"/>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Arial"/>
          <w:i/>
          <w:color w:val="231F20"/>
          <w:spacing w:val="-3"/>
          <w:w w:val="105"/>
          <w:sz w:val="20"/>
        </w:rPr>
        <w:t>Family</w:t>
      </w:r>
      <w:r>
        <w:rPr>
          <w:rFonts w:ascii="Arial"/>
          <w:i/>
          <w:color w:val="231F20"/>
          <w:spacing w:val="-16"/>
          <w:w w:val="105"/>
          <w:sz w:val="20"/>
        </w:rPr>
        <w:t xml:space="preserve"> </w:t>
      </w:r>
      <w:r>
        <w:rPr>
          <w:rFonts w:ascii="Arial"/>
          <w:i/>
          <w:color w:val="231F20"/>
          <w:w w:val="105"/>
          <w:sz w:val="20"/>
        </w:rPr>
        <w:t>Violence</w:t>
      </w:r>
      <w:r>
        <w:rPr>
          <w:rFonts w:ascii="Arial"/>
          <w:i/>
          <w:color w:val="231F20"/>
          <w:spacing w:val="-16"/>
          <w:w w:val="105"/>
          <w:sz w:val="20"/>
        </w:rPr>
        <w:t xml:space="preserve"> </w:t>
      </w:r>
      <w:r>
        <w:rPr>
          <w:rFonts w:ascii="Arial"/>
          <w:i/>
          <w:color w:val="231F20"/>
          <w:spacing w:val="-3"/>
          <w:w w:val="105"/>
          <w:sz w:val="20"/>
        </w:rPr>
        <w:t>Protection</w:t>
      </w:r>
      <w:r>
        <w:rPr>
          <w:rFonts w:ascii="Arial"/>
          <w:i/>
          <w:color w:val="231F20"/>
          <w:spacing w:val="-15"/>
          <w:w w:val="105"/>
          <w:sz w:val="20"/>
        </w:rPr>
        <w:t xml:space="preserve"> </w:t>
      </w:r>
      <w:r>
        <w:rPr>
          <w:rFonts w:ascii="Arial"/>
          <w:i/>
          <w:color w:val="231F20"/>
          <w:w w:val="105"/>
          <w:sz w:val="20"/>
        </w:rPr>
        <w:t>Act</w:t>
      </w:r>
      <w:r>
        <w:rPr>
          <w:rFonts w:ascii="Arial"/>
          <w:i/>
          <w:color w:val="231F20"/>
          <w:spacing w:val="-16"/>
          <w:w w:val="105"/>
          <w:sz w:val="20"/>
        </w:rPr>
        <w:t xml:space="preserve"> </w:t>
      </w:r>
      <w:r>
        <w:rPr>
          <w:rFonts w:ascii="Arial"/>
          <w:i/>
          <w:color w:val="231F20"/>
          <w:w w:val="105"/>
          <w:sz w:val="20"/>
        </w:rPr>
        <w:t>2008</w:t>
      </w:r>
      <w:r>
        <w:rPr>
          <w:rFonts w:ascii="Arial"/>
          <w:i/>
          <w:color w:val="231F20"/>
          <w:spacing w:val="-14"/>
          <w:w w:val="105"/>
          <w:sz w:val="20"/>
        </w:rPr>
        <w:t xml:space="preserve"> </w:t>
      </w:r>
      <w:r>
        <w:rPr>
          <w:rFonts w:ascii="Trebuchet MS"/>
          <w:color w:val="231F20"/>
          <w:spacing w:val="-3"/>
          <w:w w:val="105"/>
          <w:sz w:val="20"/>
        </w:rPr>
        <w:t>(Vic).</w:t>
      </w:r>
    </w:p>
    <w:p w14:paraId="5C71A17A" w14:textId="77777777" w:rsidR="00894070" w:rsidRDefault="00894070">
      <w:pPr>
        <w:pStyle w:val="BodyText"/>
        <w:rPr>
          <w:rFonts w:ascii="Trebuchet MS"/>
        </w:rPr>
      </w:pPr>
    </w:p>
    <w:p w14:paraId="0E4CA7B4" w14:textId="77777777" w:rsidR="00894070" w:rsidRDefault="00894070">
      <w:pPr>
        <w:pStyle w:val="BodyText"/>
        <w:rPr>
          <w:rFonts w:ascii="Trebuchet MS"/>
        </w:rPr>
      </w:pPr>
    </w:p>
    <w:p w14:paraId="2DCA6AD3" w14:textId="77777777" w:rsidR="00894070" w:rsidRDefault="00894070">
      <w:pPr>
        <w:pStyle w:val="BodyText"/>
        <w:rPr>
          <w:rFonts w:ascii="Trebuchet MS"/>
        </w:rPr>
      </w:pPr>
    </w:p>
    <w:p w14:paraId="4970F09A" w14:textId="77777777" w:rsidR="00894070" w:rsidRDefault="00894070">
      <w:pPr>
        <w:pStyle w:val="BodyText"/>
        <w:rPr>
          <w:rFonts w:ascii="Trebuchet MS"/>
        </w:rPr>
      </w:pPr>
    </w:p>
    <w:p w14:paraId="0CCB1685" w14:textId="77777777" w:rsidR="00894070" w:rsidRDefault="00894070">
      <w:pPr>
        <w:pStyle w:val="BodyText"/>
        <w:rPr>
          <w:rFonts w:ascii="Trebuchet MS"/>
        </w:rPr>
      </w:pPr>
    </w:p>
    <w:p w14:paraId="662BA63C" w14:textId="77777777" w:rsidR="00894070" w:rsidRDefault="00894070">
      <w:pPr>
        <w:pStyle w:val="BodyText"/>
        <w:rPr>
          <w:rFonts w:ascii="Trebuchet MS"/>
        </w:rPr>
      </w:pPr>
    </w:p>
    <w:p w14:paraId="3395354C" w14:textId="77777777" w:rsidR="00894070" w:rsidRDefault="00894070">
      <w:pPr>
        <w:pStyle w:val="BodyText"/>
        <w:rPr>
          <w:rFonts w:ascii="Trebuchet MS"/>
        </w:rPr>
      </w:pPr>
    </w:p>
    <w:p w14:paraId="7E2A74DB" w14:textId="77777777" w:rsidR="00894070" w:rsidRDefault="00894070">
      <w:pPr>
        <w:pStyle w:val="BodyText"/>
        <w:rPr>
          <w:rFonts w:ascii="Trebuchet MS"/>
        </w:rPr>
      </w:pPr>
    </w:p>
    <w:p w14:paraId="3DD1E401" w14:textId="77777777" w:rsidR="00894070" w:rsidRDefault="00894070">
      <w:pPr>
        <w:pStyle w:val="BodyText"/>
        <w:rPr>
          <w:rFonts w:ascii="Trebuchet MS"/>
        </w:rPr>
      </w:pPr>
    </w:p>
    <w:p w14:paraId="3824CA50" w14:textId="77777777" w:rsidR="00894070" w:rsidRDefault="00894070">
      <w:pPr>
        <w:pStyle w:val="BodyText"/>
        <w:rPr>
          <w:rFonts w:ascii="Trebuchet MS"/>
        </w:rPr>
      </w:pPr>
    </w:p>
    <w:p w14:paraId="767231A1" w14:textId="77777777" w:rsidR="00894070" w:rsidRDefault="00894070">
      <w:pPr>
        <w:pStyle w:val="BodyText"/>
        <w:rPr>
          <w:rFonts w:ascii="Trebuchet MS"/>
        </w:rPr>
      </w:pPr>
    </w:p>
    <w:p w14:paraId="15E6F423" w14:textId="77777777" w:rsidR="00894070" w:rsidRDefault="00894070">
      <w:pPr>
        <w:pStyle w:val="BodyText"/>
        <w:rPr>
          <w:rFonts w:ascii="Trebuchet MS"/>
        </w:rPr>
      </w:pPr>
    </w:p>
    <w:p w14:paraId="5830A5ED" w14:textId="77777777" w:rsidR="00894070" w:rsidRDefault="00894070">
      <w:pPr>
        <w:pStyle w:val="BodyText"/>
        <w:rPr>
          <w:rFonts w:ascii="Trebuchet MS"/>
        </w:rPr>
      </w:pPr>
    </w:p>
    <w:p w14:paraId="5D5A4C50" w14:textId="77777777" w:rsidR="00894070" w:rsidRDefault="00894070">
      <w:pPr>
        <w:pStyle w:val="BodyText"/>
        <w:rPr>
          <w:rFonts w:ascii="Trebuchet MS"/>
        </w:rPr>
      </w:pPr>
    </w:p>
    <w:p w14:paraId="6C2E8362" w14:textId="77777777" w:rsidR="00894070" w:rsidRDefault="00894070">
      <w:pPr>
        <w:pStyle w:val="BodyText"/>
        <w:rPr>
          <w:rFonts w:ascii="Trebuchet MS"/>
        </w:rPr>
      </w:pPr>
    </w:p>
    <w:p w14:paraId="4F733D23" w14:textId="77777777" w:rsidR="00894070" w:rsidRDefault="00894070">
      <w:pPr>
        <w:pStyle w:val="BodyText"/>
        <w:rPr>
          <w:rFonts w:ascii="Trebuchet MS"/>
        </w:rPr>
      </w:pPr>
    </w:p>
    <w:p w14:paraId="12FD4F58" w14:textId="77777777" w:rsidR="00894070" w:rsidRDefault="00894070">
      <w:pPr>
        <w:pStyle w:val="BodyText"/>
        <w:rPr>
          <w:rFonts w:ascii="Trebuchet MS"/>
        </w:rPr>
      </w:pPr>
    </w:p>
    <w:p w14:paraId="1AD99E77" w14:textId="77777777" w:rsidR="00894070" w:rsidRDefault="00894070">
      <w:pPr>
        <w:pStyle w:val="BodyText"/>
        <w:rPr>
          <w:rFonts w:ascii="Trebuchet MS"/>
        </w:rPr>
      </w:pPr>
    </w:p>
    <w:p w14:paraId="29A0F740" w14:textId="77777777" w:rsidR="00894070" w:rsidRDefault="00894070">
      <w:pPr>
        <w:pStyle w:val="BodyText"/>
        <w:rPr>
          <w:rFonts w:ascii="Trebuchet MS"/>
        </w:rPr>
      </w:pPr>
    </w:p>
    <w:p w14:paraId="1F3A18AF" w14:textId="77777777" w:rsidR="00894070" w:rsidRDefault="00894070">
      <w:pPr>
        <w:pStyle w:val="BodyText"/>
        <w:rPr>
          <w:rFonts w:ascii="Trebuchet MS"/>
        </w:rPr>
      </w:pPr>
    </w:p>
    <w:p w14:paraId="12D1C187" w14:textId="77777777" w:rsidR="00894070" w:rsidRDefault="00894070">
      <w:pPr>
        <w:pStyle w:val="BodyText"/>
        <w:rPr>
          <w:rFonts w:ascii="Trebuchet MS"/>
        </w:rPr>
      </w:pPr>
    </w:p>
    <w:p w14:paraId="13FA0441" w14:textId="77777777" w:rsidR="00894070" w:rsidRDefault="00894070">
      <w:pPr>
        <w:pStyle w:val="BodyText"/>
        <w:rPr>
          <w:rFonts w:ascii="Trebuchet MS"/>
        </w:rPr>
      </w:pPr>
    </w:p>
    <w:p w14:paraId="7981EB88" w14:textId="77777777" w:rsidR="00894070" w:rsidRDefault="00894070">
      <w:pPr>
        <w:pStyle w:val="BodyText"/>
        <w:rPr>
          <w:rFonts w:ascii="Trebuchet MS"/>
        </w:rPr>
      </w:pPr>
    </w:p>
    <w:p w14:paraId="0835A9E9" w14:textId="77777777" w:rsidR="00894070" w:rsidRDefault="00894070">
      <w:pPr>
        <w:pStyle w:val="BodyText"/>
        <w:rPr>
          <w:rFonts w:ascii="Trebuchet MS"/>
        </w:rPr>
      </w:pPr>
    </w:p>
    <w:p w14:paraId="0DC3F988" w14:textId="77777777" w:rsidR="00894070" w:rsidRDefault="00894070">
      <w:pPr>
        <w:pStyle w:val="BodyText"/>
        <w:rPr>
          <w:rFonts w:ascii="Trebuchet MS"/>
        </w:rPr>
      </w:pPr>
    </w:p>
    <w:p w14:paraId="32489E7D" w14:textId="77777777" w:rsidR="00894070" w:rsidRDefault="00894070">
      <w:pPr>
        <w:pStyle w:val="BodyText"/>
        <w:rPr>
          <w:rFonts w:ascii="Trebuchet MS"/>
        </w:rPr>
      </w:pPr>
    </w:p>
    <w:p w14:paraId="26F4F136" w14:textId="77777777" w:rsidR="00894070" w:rsidRDefault="00894070">
      <w:pPr>
        <w:pStyle w:val="BodyText"/>
        <w:rPr>
          <w:rFonts w:ascii="Trebuchet MS"/>
        </w:rPr>
      </w:pPr>
    </w:p>
    <w:p w14:paraId="1DD66941" w14:textId="77777777" w:rsidR="00894070" w:rsidRDefault="00894070">
      <w:pPr>
        <w:pStyle w:val="BodyText"/>
        <w:rPr>
          <w:rFonts w:ascii="Trebuchet MS"/>
        </w:rPr>
      </w:pPr>
    </w:p>
    <w:p w14:paraId="4590A4C6" w14:textId="77777777" w:rsidR="00894070" w:rsidRDefault="00894070">
      <w:pPr>
        <w:pStyle w:val="BodyText"/>
        <w:rPr>
          <w:rFonts w:ascii="Trebuchet MS"/>
        </w:rPr>
      </w:pPr>
    </w:p>
    <w:p w14:paraId="590E28AE" w14:textId="77777777" w:rsidR="00894070" w:rsidRDefault="00894070">
      <w:pPr>
        <w:pStyle w:val="BodyText"/>
        <w:rPr>
          <w:rFonts w:ascii="Trebuchet MS"/>
        </w:rPr>
      </w:pPr>
    </w:p>
    <w:p w14:paraId="0F3B7281" w14:textId="77777777" w:rsidR="00894070" w:rsidRDefault="00894070">
      <w:pPr>
        <w:pStyle w:val="BodyText"/>
        <w:rPr>
          <w:rFonts w:ascii="Trebuchet MS"/>
        </w:rPr>
      </w:pPr>
    </w:p>
    <w:p w14:paraId="76A489CA" w14:textId="77777777" w:rsidR="00894070" w:rsidRDefault="00894070">
      <w:pPr>
        <w:pStyle w:val="BodyText"/>
        <w:rPr>
          <w:rFonts w:ascii="Trebuchet MS"/>
        </w:rPr>
      </w:pPr>
    </w:p>
    <w:p w14:paraId="2146FCCD" w14:textId="77777777" w:rsidR="00894070" w:rsidRDefault="00894070">
      <w:pPr>
        <w:pStyle w:val="BodyText"/>
        <w:rPr>
          <w:rFonts w:ascii="Trebuchet MS"/>
        </w:rPr>
      </w:pPr>
    </w:p>
    <w:p w14:paraId="3B5D0609" w14:textId="77777777" w:rsidR="00894070" w:rsidRDefault="00894070">
      <w:pPr>
        <w:pStyle w:val="BodyText"/>
        <w:rPr>
          <w:rFonts w:ascii="Trebuchet MS"/>
        </w:rPr>
      </w:pPr>
    </w:p>
    <w:p w14:paraId="7ABD5EA2" w14:textId="77777777" w:rsidR="00894070" w:rsidRDefault="00894070">
      <w:pPr>
        <w:pStyle w:val="BodyText"/>
        <w:rPr>
          <w:rFonts w:ascii="Trebuchet MS"/>
        </w:rPr>
      </w:pPr>
    </w:p>
    <w:p w14:paraId="4DE4651C" w14:textId="77777777" w:rsidR="00894070" w:rsidRDefault="00894070">
      <w:pPr>
        <w:pStyle w:val="BodyText"/>
        <w:rPr>
          <w:rFonts w:ascii="Trebuchet MS"/>
        </w:rPr>
      </w:pPr>
    </w:p>
    <w:p w14:paraId="4E07D18A" w14:textId="77777777" w:rsidR="00894070" w:rsidRDefault="00894070">
      <w:pPr>
        <w:pStyle w:val="BodyText"/>
        <w:rPr>
          <w:rFonts w:ascii="Trebuchet MS"/>
        </w:rPr>
      </w:pPr>
    </w:p>
    <w:p w14:paraId="1CFE8A54" w14:textId="77777777" w:rsidR="00894070" w:rsidRDefault="00894070">
      <w:pPr>
        <w:pStyle w:val="BodyText"/>
        <w:rPr>
          <w:rFonts w:ascii="Trebuchet MS"/>
        </w:rPr>
      </w:pPr>
    </w:p>
    <w:p w14:paraId="6C0D8145" w14:textId="77777777" w:rsidR="00894070" w:rsidRDefault="00894070">
      <w:pPr>
        <w:pStyle w:val="BodyText"/>
        <w:rPr>
          <w:rFonts w:ascii="Trebuchet MS"/>
        </w:rPr>
      </w:pPr>
    </w:p>
    <w:p w14:paraId="5D251C37" w14:textId="77777777" w:rsidR="00894070" w:rsidRDefault="00894070">
      <w:pPr>
        <w:pStyle w:val="BodyText"/>
        <w:rPr>
          <w:rFonts w:ascii="Trebuchet MS"/>
        </w:rPr>
      </w:pPr>
    </w:p>
    <w:p w14:paraId="73B85666" w14:textId="77777777" w:rsidR="00894070" w:rsidRDefault="00894070">
      <w:pPr>
        <w:pStyle w:val="BodyText"/>
        <w:rPr>
          <w:rFonts w:ascii="Trebuchet MS"/>
        </w:rPr>
      </w:pPr>
    </w:p>
    <w:p w14:paraId="01D780E4" w14:textId="77777777" w:rsidR="00894070" w:rsidRDefault="00894070">
      <w:pPr>
        <w:pStyle w:val="BodyText"/>
        <w:rPr>
          <w:rFonts w:ascii="Trebuchet MS"/>
        </w:rPr>
      </w:pPr>
    </w:p>
    <w:p w14:paraId="43786BCB" w14:textId="77777777" w:rsidR="00894070" w:rsidRDefault="00894070">
      <w:pPr>
        <w:pStyle w:val="BodyText"/>
        <w:rPr>
          <w:rFonts w:ascii="Trebuchet MS"/>
        </w:rPr>
      </w:pPr>
    </w:p>
    <w:p w14:paraId="7DCC10BA" w14:textId="77777777" w:rsidR="00894070" w:rsidRDefault="00894070">
      <w:pPr>
        <w:pStyle w:val="BodyText"/>
        <w:rPr>
          <w:rFonts w:ascii="Trebuchet MS"/>
        </w:rPr>
      </w:pPr>
    </w:p>
    <w:p w14:paraId="18AAB971" w14:textId="77777777" w:rsidR="00894070" w:rsidRDefault="00894070">
      <w:pPr>
        <w:pStyle w:val="BodyText"/>
        <w:rPr>
          <w:rFonts w:ascii="Trebuchet MS"/>
        </w:rPr>
      </w:pPr>
    </w:p>
    <w:p w14:paraId="6898DFEB" w14:textId="77777777" w:rsidR="00894070" w:rsidRDefault="00894070">
      <w:pPr>
        <w:pStyle w:val="BodyText"/>
        <w:rPr>
          <w:rFonts w:ascii="Trebuchet MS"/>
        </w:rPr>
      </w:pPr>
    </w:p>
    <w:p w14:paraId="4BD3193B" w14:textId="77777777" w:rsidR="00894070" w:rsidRDefault="00894070">
      <w:pPr>
        <w:pStyle w:val="BodyText"/>
        <w:rPr>
          <w:rFonts w:ascii="Trebuchet MS"/>
        </w:rPr>
      </w:pPr>
    </w:p>
    <w:p w14:paraId="7C7BC49F" w14:textId="77777777" w:rsidR="00894070" w:rsidRDefault="00894070">
      <w:pPr>
        <w:pStyle w:val="BodyText"/>
        <w:rPr>
          <w:rFonts w:ascii="Trebuchet MS"/>
        </w:rPr>
      </w:pPr>
    </w:p>
    <w:p w14:paraId="3332FFF3" w14:textId="77777777" w:rsidR="00894070" w:rsidRDefault="00894070">
      <w:pPr>
        <w:pStyle w:val="BodyText"/>
        <w:rPr>
          <w:rFonts w:ascii="Trebuchet MS"/>
        </w:rPr>
      </w:pPr>
    </w:p>
    <w:p w14:paraId="4691CE3D" w14:textId="77777777" w:rsidR="00894070" w:rsidRDefault="00894070">
      <w:pPr>
        <w:pStyle w:val="BodyText"/>
        <w:rPr>
          <w:rFonts w:ascii="Trebuchet MS"/>
        </w:rPr>
      </w:pPr>
    </w:p>
    <w:p w14:paraId="62A1E681" w14:textId="77777777" w:rsidR="00894070" w:rsidRDefault="00894070">
      <w:pPr>
        <w:pStyle w:val="BodyText"/>
        <w:spacing w:before="11"/>
        <w:rPr>
          <w:rFonts w:ascii="Trebuchet MS"/>
          <w:sz w:val="29"/>
        </w:rPr>
      </w:pPr>
    </w:p>
    <w:p w14:paraId="7814D5BA" w14:textId="77777777" w:rsidR="00894070" w:rsidRDefault="009B7AFD">
      <w:pPr>
        <w:pStyle w:val="Heading8"/>
        <w:spacing w:before="48"/>
        <w:ind w:right="112"/>
        <w:jc w:val="right"/>
      </w:pPr>
      <w:r>
        <w:rPr>
          <w:color w:val="EA5B50"/>
        </w:rPr>
        <w:t>xxvii</w:t>
      </w:r>
    </w:p>
    <w:p w14:paraId="52582BDE" w14:textId="77777777" w:rsidR="00894070" w:rsidRDefault="00894070">
      <w:pPr>
        <w:jc w:val="right"/>
        <w:sectPr w:rsidR="00894070">
          <w:pgSz w:w="11910" w:h="16840"/>
          <w:pgMar w:top="840" w:right="420" w:bottom="280" w:left="580" w:header="0" w:footer="0" w:gutter="0"/>
          <w:cols w:space="720"/>
        </w:sectPr>
      </w:pPr>
    </w:p>
    <w:p w14:paraId="1B97C1B0" w14:textId="77777777" w:rsidR="00894070" w:rsidRDefault="009F6793">
      <w:pPr>
        <w:pStyle w:val="BodyText"/>
        <w:rPr>
          <w:b/>
        </w:rPr>
      </w:pPr>
      <w:r>
        <w:lastRenderedPageBreak/>
        <w:pict w14:anchorId="6E1F13EC">
          <v:rect id="_x0000_s1724" style="position:absolute;margin-left:79.35pt;margin-top:0;width:515.9pt;height:841.9pt;z-index:251462656;mso-position-horizontal-relative:page;mso-position-vertical-relative:page" fillcolor="#ea5b50" stroked="f">
            <w10:wrap anchorx="page" anchory="page"/>
          </v:rect>
        </w:pict>
      </w:r>
    </w:p>
    <w:p w14:paraId="27EE2ED7" w14:textId="77777777" w:rsidR="00894070" w:rsidRDefault="00894070">
      <w:pPr>
        <w:pStyle w:val="BodyText"/>
        <w:rPr>
          <w:b/>
        </w:rPr>
      </w:pPr>
    </w:p>
    <w:p w14:paraId="7787C6E4" w14:textId="77777777" w:rsidR="00894070" w:rsidRDefault="00894070">
      <w:pPr>
        <w:pStyle w:val="BodyText"/>
        <w:rPr>
          <w:b/>
        </w:rPr>
      </w:pPr>
    </w:p>
    <w:p w14:paraId="2EE62266" w14:textId="77777777" w:rsidR="00894070" w:rsidRDefault="00894070">
      <w:pPr>
        <w:pStyle w:val="BodyText"/>
        <w:rPr>
          <w:b/>
        </w:rPr>
      </w:pPr>
    </w:p>
    <w:p w14:paraId="4DC26969" w14:textId="77777777" w:rsidR="00894070" w:rsidRDefault="00894070">
      <w:pPr>
        <w:pStyle w:val="BodyText"/>
        <w:rPr>
          <w:b/>
        </w:rPr>
      </w:pPr>
    </w:p>
    <w:p w14:paraId="3652D07D" w14:textId="77777777" w:rsidR="00894070" w:rsidRDefault="00894070">
      <w:pPr>
        <w:pStyle w:val="BodyText"/>
        <w:rPr>
          <w:b/>
        </w:rPr>
      </w:pPr>
    </w:p>
    <w:p w14:paraId="2215221B" w14:textId="77777777" w:rsidR="00894070" w:rsidRDefault="00894070">
      <w:pPr>
        <w:pStyle w:val="BodyText"/>
        <w:rPr>
          <w:b/>
        </w:rPr>
      </w:pPr>
    </w:p>
    <w:p w14:paraId="1FCA1F5B" w14:textId="77777777" w:rsidR="00894070" w:rsidRDefault="00894070">
      <w:pPr>
        <w:pStyle w:val="BodyText"/>
        <w:rPr>
          <w:b/>
        </w:rPr>
      </w:pPr>
    </w:p>
    <w:p w14:paraId="2821ACB8" w14:textId="77777777" w:rsidR="00894070" w:rsidRDefault="00894070">
      <w:pPr>
        <w:pStyle w:val="BodyText"/>
        <w:rPr>
          <w:b/>
        </w:rPr>
      </w:pPr>
    </w:p>
    <w:p w14:paraId="2EEBCD56" w14:textId="77777777" w:rsidR="00894070" w:rsidRDefault="00894070">
      <w:pPr>
        <w:pStyle w:val="BodyText"/>
        <w:rPr>
          <w:b/>
        </w:rPr>
      </w:pPr>
    </w:p>
    <w:p w14:paraId="27312274" w14:textId="77777777" w:rsidR="00894070" w:rsidRDefault="00894070">
      <w:pPr>
        <w:pStyle w:val="BodyText"/>
        <w:rPr>
          <w:b/>
        </w:rPr>
      </w:pPr>
    </w:p>
    <w:p w14:paraId="23037730" w14:textId="77777777" w:rsidR="00894070" w:rsidRDefault="00894070">
      <w:pPr>
        <w:pStyle w:val="BodyText"/>
        <w:rPr>
          <w:b/>
        </w:rPr>
      </w:pPr>
    </w:p>
    <w:p w14:paraId="57002502" w14:textId="77777777" w:rsidR="00894070" w:rsidRDefault="00894070">
      <w:pPr>
        <w:pStyle w:val="BodyText"/>
        <w:rPr>
          <w:b/>
        </w:rPr>
      </w:pPr>
    </w:p>
    <w:p w14:paraId="3B989CE3" w14:textId="77777777" w:rsidR="00894070" w:rsidRDefault="00894070">
      <w:pPr>
        <w:pStyle w:val="BodyText"/>
        <w:rPr>
          <w:b/>
        </w:rPr>
      </w:pPr>
    </w:p>
    <w:p w14:paraId="68C77E2A" w14:textId="77777777" w:rsidR="00894070" w:rsidRDefault="00894070">
      <w:pPr>
        <w:pStyle w:val="BodyText"/>
        <w:rPr>
          <w:b/>
        </w:rPr>
      </w:pPr>
    </w:p>
    <w:p w14:paraId="483FF8F5" w14:textId="77777777" w:rsidR="00894070" w:rsidRDefault="00894070">
      <w:pPr>
        <w:pStyle w:val="BodyText"/>
        <w:rPr>
          <w:b/>
        </w:rPr>
      </w:pPr>
    </w:p>
    <w:p w14:paraId="593EB7D4" w14:textId="77777777" w:rsidR="00894070" w:rsidRDefault="00894070">
      <w:pPr>
        <w:pStyle w:val="BodyText"/>
        <w:rPr>
          <w:b/>
        </w:rPr>
      </w:pPr>
    </w:p>
    <w:p w14:paraId="561F1E46" w14:textId="77777777" w:rsidR="00894070" w:rsidRDefault="00894070">
      <w:pPr>
        <w:pStyle w:val="BodyText"/>
        <w:rPr>
          <w:b/>
        </w:rPr>
      </w:pPr>
    </w:p>
    <w:p w14:paraId="02D9509B" w14:textId="77777777" w:rsidR="00894070" w:rsidRDefault="00894070">
      <w:pPr>
        <w:pStyle w:val="BodyText"/>
        <w:rPr>
          <w:b/>
        </w:rPr>
      </w:pPr>
    </w:p>
    <w:p w14:paraId="65F5F05F" w14:textId="77777777" w:rsidR="00894070" w:rsidRDefault="00894070">
      <w:pPr>
        <w:pStyle w:val="BodyText"/>
        <w:rPr>
          <w:b/>
        </w:rPr>
      </w:pPr>
    </w:p>
    <w:p w14:paraId="271350D8" w14:textId="77777777" w:rsidR="00894070" w:rsidRDefault="00894070">
      <w:pPr>
        <w:pStyle w:val="BodyText"/>
        <w:rPr>
          <w:b/>
        </w:rPr>
      </w:pPr>
    </w:p>
    <w:p w14:paraId="2B114144" w14:textId="77777777" w:rsidR="00894070" w:rsidRDefault="00894070">
      <w:pPr>
        <w:pStyle w:val="BodyText"/>
        <w:rPr>
          <w:b/>
        </w:rPr>
      </w:pPr>
    </w:p>
    <w:p w14:paraId="50019C87" w14:textId="77777777" w:rsidR="00894070" w:rsidRDefault="00894070">
      <w:pPr>
        <w:pStyle w:val="BodyText"/>
        <w:rPr>
          <w:b/>
        </w:rPr>
      </w:pPr>
    </w:p>
    <w:p w14:paraId="68DEC42D" w14:textId="77777777" w:rsidR="00894070" w:rsidRDefault="00894070">
      <w:pPr>
        <w:pStyle w:val="BodyText"/>
        <w:rPr>
          <w:b/>
        </w:rPr>
      </w:pPr>
    </w:p>
    <w:p w14:paraId="4518EA15" w14:textId="77777777" w:rsidR="00894070" w:rsidRDefault="00894070">
      <w:pPr>
        <w:pStyle w:val="BodyText"/>
        <w:rPr>
          <w:b/>
        </w:rPr>
      </w:pPr>
    </w:p>
    <w:p w14:paraId="67D90B82" w14:textId="77777777" w:rsidR="00894070" w:rsidRDefault="00894070">
      <w:pPr>
        <w:pStyle w:val="BodyText"/>
        <w:rPr>
          <w:b/>
        </w:rPr>
      </w:pPr>
    </w:p>
    <w:p w14:paraId="0C9B58F0" w14:textId="77777777" w:rsidR="00894070" w:rsidRDefault="00894070">
      <w:pPr>
        <w:pStyle w:val="BodyText"/>
        <w:rPr>
          <w:b/>
        </w:rPr>
      </w:pPr>
    </w:p>
    <w:p w14:paraId="3EAFB971" w14:textId="77777777" w:rsidR="00894070" w:rsidRDefault="00894070">
      <w:pPr>
        <w:pStyle w:val="BodyText"/>
        <w:rPr>
          <w:b/>
        </w:rPr>
      </w:pPr>
    </w:p>
    <w:p w14:paraId="7669FE1D" w14:textId="77777777" w:rsidR="00894070" w:rsidRDefault="00894070">
      <w:pPr>
        <w:pStyle w:val="BodyText"/>
        <w:rPr>
          <w:b/>
        </w:rPr>
      </w:pPr>
    </w:p>
    <w:p w14:paraId="5B46851C" w14:textId="77777777" w:rsidR="00894070" w:rsidRDefault="00894070">
      <w:pPr>
        <w:pStyle w:val="BodyText"/>
        <w:rPr>
          <w:b/>
        </w:rPr>
      </w:pPr>
    </w:p>
    <w:p w14:paraId="3B6D76A3" w14:textId="77777777" w:rsidR="00894070" w:rsidRDefault="00894070">
      <w:pPr>
        <w:pStyle w:val="BodyText"/>
        <w:rPr>
          <w:b/>
        </w:rPr>
      </w:pPr>
    </w:p>
    <w:p w14:paraId="716D2188" w14:textId="77777777" w:rsidR="00894070" w:rsidRDefault="00894070">
      <w:pPr>
        <w:pStyle w:val="BodyText"/>
        <w:rPr>
          <w:b/>
        </w:rPr>
      </w:pPr>
    </w:p>
    <w:p w14:paraId="02AC41D7" w14:textId="77777777" w:rsidR="00894070" w:rsidRDefault="00894070">
      <w:pPr>
        <w:pStyle w:val="BodyText"/>
        <w:rPr>
          <w:b/>
        </w:rPr>
      </w:pPr>
    </w:p>
    <w:p w14:paraId="25668A15" w14:textId="77777777" w:rsidR="00894070" w:rsidRDefault="00894070">
      <w:pPr>
        <w:pStyle w:val="BodyText"/>
        <w:rPr>
          <w:b/>
        </w:rPr>
      </w:pPr>
    </w:p>
    <w:p w14:paraId="69CC0B37" w14:textId="77777777" w:rsidR="00894070" w:rsidRDefault="00894070">
      <w:pPr>
        <w:pStyle w:val="BodyText"/>
        <w:rPr>
          <w:b/>
        </w:rPr>
      </w:pPr>
    </w:p>
    <w:p w14:paraId="53D727AD" w14:textId="77777777" w:rsidR="00894070" w:rsidRDefault="00894070">
      <w:pPr>
        <w:pStyle w:val="BodyText"/>
        <w:rPr>
          <w:b/>
        </w:rPr>
      </w:pPr>
    </w:p>
    <w:p w14:paraId="001A0ADE" w14:textId="77777777" w:rsidR="00894070" w:rsidRDefault="00894070">
      <w:pPr>
        <w:pStyle w:val="BodyText"/>
        <w:rPr>
          <w:b/>
        </w:rPr>
      </w:pPr>
    </w:p>
    <w:p w14:paraId="021F9329" w14:textId="77777777" w:rsidR="00894070" w:rsidRDefault="00894070">
      <w:pPr>
        <w:pStyle w:val="BodyText"/>
        <w:rPr>
          <w:b/>
        </w:rPr>
      </w:pPr>
    </w:p>
    <w:p w14:paraId="105D3B54" w14:textId="77777777" w:rsidR="00894070" w:rsidRDefault="00894070">
      <w:pPr>
        <w:pStyle w:val="BodyText"/>
        <w:rPr>
          <w:b/>
        </w:rPr>
      </w:pPr>
    </w:p>
    <w:p w14:paraId="63B9C68A" w14:textId="77777777" w:rsidR="00894070" w:rsidRDefault="00894070">
      <w:pPr>
        <w:pStyle w:val="BodyText"/>
        <w:rPr>
          <w:b/>
        </w:rPr>
      </w:pPr>
    </w:p>
    <w:p w14:paraId="69028F8F" w14:textId="77777777" w:rsidR="00894070" w:rsidRDefault="00894070">
      <w:pPr>
        <w:pStyle w:val="BodyText"/>
        <w:rPr>
          <w:b/>
        </w:rPr>
      </w:pPr>
    </w:p>
    <w:p w14:paraId="224A4701" w14:textId="77777777" w:rsidR="00894070" w:rsidRDefault="00894070">
      <w:pPr>
        <w:pStyle w:val="BodyText"/>
        <w:rPr>
          <w:b/>
        </w:rPr>
      </w:pPr>
    </w:p>
    <w:p w14:paraId="1692B3FA" w14:textId="77777777" w:rsidR="00894070" w:rsidRDefault="00894070">
      <w:pPr>
        <w:pStyle w:val="BodyText"/>
        <w:rPr>
          <w:b/>
        </w:rPr>
      </w:pPr>
    </w:p>
    <w:p w14:paraId="150F43A8" w14:textId="77777777" w:rsidR="00894070" w:rsidRDefault="00894070">
      <w:pPr>
        <w:pStyle w:val="BodyText"/>
        <w:rPr>
          <w:b/>
        </w:rPr>
      </w:pPr>
    </w:p>
    <w:p w14:paraId="05A3429A" w14:textId="77777777" w:rsidR="00894070" w:rsidRDefault="00894070">
      <w:pPr>
        <w:pStyle w:val="BodyText"/>
        <w:rPr>
          <w:b/>
        </w:rPr>
      </w:pPr>
    </w:p>
    <w:p w14:paraId="633EB4C2" w14:textId="77777777" w:rsidR="00894070" w:rsidRDefault="00894070">
      <w:pPr>
        <w:pStyle w:val="BodyText"/>
        <w:rPr>
          <w:b/>
        </w:rPr>
      </w:pPr>
    </w:p>
    <w:p w14:paraId="77A953C2" w14:textId="77777777" w:rsidR="00894070" w:rsidRDefault="00894070">
      <w:pPr>
        <w:pStyle w:val="BodyText"/>
        <w:rPr>
          <w:b/>
        </w:rPr>
      </w:pPr>
    </w:p>
    <w:p w14:paraId="35FF3F26" w14:textId="77777777" w:rsidR="00894070" w:rsidRDefault="00894070">
      <w:pPr>
        <w:pStyle w:val="BodyText"/>
        <w:rPr>
          <w:b/>
        </w:rPr>
      </w:pPr>
    </w:p>
    <w:p w14:paraId="1C267072" w14:textId="77777777" w:rsidR="00894070" w:rsidRDefault="00894070">
      <w:pPr>
        <w:pStyle w:val="BodyText"/>
        <w:rPr>
          <w:b/>
        </w:rPr>
      </w:pPr>
    </w:p>
    <w:p w14:paraId="09B47E83" w14:textId="77777777" w:rsidR="00894070" w:rsidRDefault="00894070">
      <w:pPr>
        <w:pStyle w:val="BodyText"/>
        <w:rPr>
          <w:b/>
        </w:rPr>
      </w:pPr>
    </w:p>
    <w:p w14:paraId="6C662ACC" w14:textId="77777777" w:rsidR="00894070" w:rsidRDefault="00894070">
      <w:pPr>
        <w:pStyle w:val="BodyText"/>
        <w:rPr>
          <w:b/>
        </w:rPr>
      </w:pPr>
    </w:p>
    <w:p w14:paraId="2684D1B1" w14:textId="77777777" w:rsidR="00894070" w:rsidRDefault="00894070">
      <w:pPr>
        <w:pStyle w:val="BodyText"/>
        <w:spacing w:before="10"/>
        <w:rPr>
          <w:b/>
          <w:sz w:val="14"/>
        </w:rPr>
      </w:pPr>
    </w:p>
    <w:p w14:paraId="506D3743" w14:textId="77777777" w:rsidR="00894070" w:rsidRDefault="009B7AFD">
      <w:pPr>
        <w:spacing w:before="49"/>
        <w:ind w:left="140"/>
        <w:rPr>
          <w:b/>
          <w:sz w:val="24"/>
        </w:rPr>
      </w:pPr>
      <w:r>
        <w:rPr>
          <w:b/>
          <w:color w:val="EA5B50"/>
          <w:sz w:val="24"/>
        </w:rPr>
        <w:t>xxviii</w:t>
      </w:r>
    </w:p>
    <w:p w14:paraId="08EDD584" w14:textId="77777777" w:rsidR="00894070" w:rsidRDefault="00894070">
      <w:pPr>
        <w:rPr>
          <w:sz w:val="24"/>
        </w:rPr>
        <w:sectPr w:rsidR="00894070">
          <w:headerReference w:type="even" r:id="rId20"/>
          <w:pgSz w:w="11910" w:h="16840"/>
          <w:pgMar w:top="1580" w:right="420" w:bottom="280" w:left="580" w:header="0" w:footer="0" w:gutter="0"/>
          <w:cols w:space="720"/>
        </w:sectPr>
      </w:pPr>
    </w:p>
    <w:p w14:paraId="2724EA11" w14:textId="77777777" w:rsidR="00894070" w:rsidRDefault="009F6793">
      <w:pPr>
        <w:pStyle w:val="BodyText"/>
        <w:rPr>
          <w:b/>
          <w:sz w:val="11"/>
        </w:rPr>
      </w:pPr>
      <w:r>
        <w:lastRenderedPageBreak/>
        <w:pict w14:anchorId="394C3B92">
          <v:rect id="_x0000_s1723" style="position:absolute;margin-left:0;margin-top:0;width:595.3pt;height:841.9pt;z-index:-251512832;mso-position-horizontal-relative:page;mso-position-vertical-relative:page" fillcolor="#ea5b50" stroked="f">
            <w10:wrap anchorx="page" anchory="page"/>
          </v:rect>
        </w:pict>
      </w:r>
    </w:p>
    <w:p w14:paraId="4E346218" w14:textId="77777777" w:rsidR="00894070" w:rsidRDefault="009F6793">
      <w:pPr>
        <w:spacing w:line="688" w:lineRule="exact"/>
        <w:ind w:right="705"/>
        <w:jc w:val="right"/>
        <w:rPr>
          <w:rFonts w:ascii="Raleway SemiBold"/>
          <w:b/>
          <w:sz w:val="50"/>
        </w:rPr>
      </w:pPr>
      <w:r>
        <w:pict w14:anchorId="3C962D2D">
          <v:shape id="_x0000_s1722" type="#_x0000_t202" style="position:absolute;left:0;text-align:left;margin-left:414.45pt;margin-top:-3.3pt;width:129.5pt;height:152.65pt;z-index:-251511808;mso-position-horizontal-relative:page" filled="f" stroked="f">
            <v:textbox inset="0,0,0,0">
              <w:txbxContent>
                <w:p w14:paraId="65C30F83" w14:textId="77777777" w:rsidR="00894070" w:rsidRDefault="009B7AFD">
                  <w:pPr>
                    <w:spacing w:line="3052" w:lineRule="exact"/>
                    <w:rPr>
                      <w:b/>
                      <w:sz w:val="260"/>
                    </w:rPr>
                  </w:pPr>
                  <w:r>
                    <w:rPr>
                      <w:b/>
                      <w:color w:val="FFFFFF"/>
                      <w:spacing w:val="-146"/>
                      <w:sz w:val="260"/>
                    </w:rPr>
                    <w:t>01</w:t>
                  </w:r>
                </w:p>
              </w:txbxContent>
            </v:textbox>
            <w10:wrap anchorx="page"/>
          </v:shape>
        </w:pict>
      </w:r>
      <w:r w:rsidR="009B7AFD">
        <w:rPr>
          <w:rFonts w:ascii="Raleway SemiBold"/>
          <w:b/>
          <w:color w:val="FFFFFF"/>
          <w:sz w:val="50"/>
        </w:rPr>
        <w:t>CHAPTER</w:t>
      </w:r>
    </w:p>
    <w:p w14:paraId="4AA41D57" w14:textId="77777777" w:rsidR="00894070" w:rsidRDefault="00894070">
      <w:pPr>
        <w:pStyle w:val="BodyText"/>
        <w:rPr>
          <w:rFonts w:ascii="Raleway SemiBold"/>
          <w:b/>
        </w:rPr>
      </w:pPr>
    </w:p>
    <w:p w14:paraId="15067EA8" w14:textId="77777777" w:rsidR="00894070" w:rsidRDefault="00894070">
      <w:pPr>
        <w:pStyle w:val="BodyText"/>
        <w:rPr>
          <w:rFonts w:ascii="Raleway SemiBold"/>
          <w:b/>
        </w:rPr>
      </w:pPr>
    </w:p>
    <w:p w14:paraId="3535A3A9" w14:textId="77777777" w:rsidR="00894070" w:rsidRDefault="00894070">
      <w:pPr>
        <w:pStyle w:val="BodyText"/>
        <w:rPr>
          <w:rFonts w:ascii="Raleway SemiBold"/>
          <w:b/>
        </w:rPr>
      </w:pPr>
    </w:p>
    <w:p w14:paraId="65D45FD0" w14:textId="77777777" w:rsidR="00894070" w:rsidRDefault="00894070">
      <w:pPr>
        <w:pStyle w:val="BodyText"/>
        <w:rPr>
          <w:rFonts w:ascii="Raleway SemiBold"/>
          <w:b/>
        </w:rPr>
      </w:pPr>
    </w:p>
    <w:p w14:paraId="1F6C8B1A" w14:textId="77777777" w:rsidR="00894070" w:rsidRDefault="00894070">
      <w:pPr>
        <w:pStyle w:val="BodyText"/>
        <w:rPr>
          <w:rFonts w:ascii="Raleway SemiBold"/>
          <w:b/>
        </w:rPr>
      </w:pPr>
    </w:p>
    <w:p w14:paraId="22212470" w14:textId="77777777" w:rsidR="00894070" w:rsidRDefault="00894070">
      <w:pPr>
        <w:pStyle w:val="BodyText"/>
        <w:rPr>
          <w:rFonts w:ascii="Raleway SemiBold"/>
          <w:b/>
        </w:rPr>
      </w:pPr>
    </w:p>
    <w:p w14:paraId="6C7F94CE" w14:textId="77777777" w:rsidR="00894070" w:rsidRDefault="00894070">
      <w:pPr>
        <w:pStyle w:val="BodyText"/>
        <w:rPr>
          <w:rFonts w:ascii="Raleway SemiBold"/>
          <w:b/>
        </w:rPr>
      </w:pPr>
    </w:p>
    <w:p w14:paraId="757CA4E9" w14:textId="77777777" w:rsidR="00894070" w:rsidRDefault="00894070">
      <w:pPr>
        <w:pStyle w:val="BodyText"/>
        <w:rPr>
          <w:rFonts w:ascii="Raleway SemiBold"/>
          <w:b/>
        </w:rPr>
      </w:pPr>
    </w:p>
    <w:p w14:paraId="49CF6512" w14:textId="77777777" w:rsidR="00894070" w:rsidRDefault="00894070">
      <w:pPr>
        <w:pStyle w:val="BodyText"/>
        <w:rPr>
          <w:rFonts w:ascii="Raleway SemiBold"/>
          <w:b/>
        </w:rPr>
      </w:pPr>
    </w:p>
    <w:p w14:paraId="34654911" w14:textId="77777777" w:rsidR="00894070" w:rsidRDefault="00894070">
      <w:pPr>
        <w:pStyle w:val="BodyText"/>
        <w:rPr>
          <w:rFonts w:ascii="Raleway SemiBold"/>
          <w:b/>
        </w:rPr>
      </w:pPr>
    </w:p>
    <w:p w14:paraId="2CB0EFBD" w14:textId="77777777" w:rsidR="00894070" w:rsidRDefault="00894070">
      <w:pPr>
        <w:pStyle w:val="BodyText"/>
        <w:rPr>
          <w:rFonts w:ascii="Raleway SemiBold"/>
          <w:b/>
        </w:rPr>
      </w:pPr>
    </w:p>
    <w:p w14:paraId="1AE9E1FB" w14:textId="77777777" w:rsidR="00894070" w:rsidRDefault="00894070">
      <w:pPr>
        <w:pStyle w:val="BodyText"/>
        <w:rPr>
          <w:rFonts w:ascii="Raleway SemiBold"/>
          <w:b/>
        </w:rPr>
      </w:pPr>
    </w:p>
    <w:p w14:paraId="198F1621" w14:textId="77777777" w:rsidR="00894070" w:rsidRDefault="00894070">
      <w:pPr>
        <w:pStyle w:val="BodyText"/>
        <w:rPr>
          <w:rFonts w:ascii="Raleway SemiBold"/>
          <w:b/>
        </w:rPr>
      </w:pPr>
    </w:p>
    <w:p w14:paraId="2150AF74" w14:textId="77777777" w:rsidR="00894070" w:rsidRDefault="00894070">
      <w:pPr>
        <w:pStyle w:val="BodyText"/>
        <w:rPr>
          <w:rFonts w:ascii="Raleway SemiBold"/>
          <w:b/>
        </w:rPr>
      </w:pPr>
    </w:p>
    <w:p w14:paraId="2F67C936" w14:textId="77777777" w:rsidR="00894070" w:rsidRDefault="00894070">
      <w:pPr>
        <w:pStyle w:val="BodyText"/>
        <w:rPr>
          <w:rFonts w:ascii="Raleway SemiBold"/>
          <w:b/>
        </w:rPr>
      </w:pPr>
    </w:p>
    <w:p w14:paraId="3B9EEED0" w14:textId="77777777" w:rsidR="00894070" w:rsidRDefault="00894070">
      <w:pPr>
        <w:pStyle w:val="BodyText"/>
        <w:rPr>
          <w:rFonts w:ascii="Raleway SemiBold"/>
          <w:b/>
        </w:rPr>
      </w:pPr>
    </w:p>
    <w:p w14:paraId="5B3C855E" w14:textId="77777777" w:rsidR="00894070" w:rsidRDefault="00894070">
      <w:pPr>
        <w:pStyle w:val="BodyText"/>
        <w:spacing w:before="9"/>
        <w:rPr>
          <w:rFonts w:ascii="Raleway SemiBold"/>
          <w:b/>
          <w:sz w:val="23"/>
        </w:rPr>
      </w:pPr>
    </w:p>
    <w:p w14:paraId="3BD53EE4" w14:textId="77777777" w:rsidR="00894070" w:rsidRDefault="009B7AFD">
      <w:pPr>
        <w:spacing w:line="1134" w:lineRule="exact"/>
        <w:ind w:left="1007"/>
        <w:rPr>
          <w:rFonts w:ascii="Raleway ExtraBold"/>
          <w:b/>
          <w:sz w:val="88"/>
        </w:rPr>
      </w:pPr>
      <w:r>
        <w:rPr>
          <w:rFonts w:ascii="Raleway ExtraBold"/>
          <w:b/>
          <w:color w:val="FFFFFF"/>
          <w:sz w:val="88"/>
        </w:rPr>
        <w:t>Introduction</w:t>
      </w:r>
    </w:p>
    <w:p w14:paraId="7EDA7F33" w14:textId="77777777" w:rsidR="00894070" w:rsidRDefault="00894070">
      <w:pPr>
        <w:pStyle w:val="BodyText"/>
        <w:rPr>
          <w:rFonts w:ascii="Raleway ExtraBold"/>
          <w:b/>
        </w:rPr>
      </w:pPr>
    </w:p>
    <w:p w14:paraId="1F4EC795" w14:textId="77777777" w:rsidR="00894070" w:rsidRDefault="00894070">
      <w:pPr>
        <w:pStyle w:val="BodyText"/>
        <w:rPr>
          <w:rFonts w:ascii="Raleway ExtraBold"/>
          <w:b/>
        </w:rPr>
      </w:pPr>
    </w:p>
    <w:p w14:paraId="2C4B62F1" w14:textId="77777777" w:rsidR="00894070" w:rsidRDefault="00894070">
      <w:pPr>
        <w:pStyle w:val="BodyText"/>
        <w:spacing w:before="4"/>
        <w:rPr>
          <w:rFonts w:ascii="Raleway ExtraBold"/>
          <w:b/>
          <w:sz w:val="23"/>
        </w:rPr>
      </w:pPr>
    </w:p>
    <w:p w14:paraId="631F79C9" w14:textId="77777777" w:rsidR="00894070" w:rsidRDefault="009F6793">
      <w:pPr>
        <w:pStyle w:val="ListParagraph"/>
        <w:numPr>
          <w:ilvl w:val="0"/>
          <w:numId w:val="180"/>
        </w:numPr>
        <w:tabs>
          <w:tab w:val="left" w:pos="1568"/>
          <w:tab w:val="left" w:pos="1569"/>
        </w:tabs>
        <w:spacing w:before="49"/>
        <w:rPr>
          <w:b/>
          <w:sz w:val="24"/>
        </w:rPr>
      </w:pPr>
      <w:r>
        <w:pict w14:anchorId="684FE8B8">
          <v:line id="_x0000_s1721" style="position:absolute;left:0;text-align:left;z-index:-251481088;mso-wrap-distance-left:0;mso-wrap-distance-right:0;mso-position-horizontal-relative:page" from="79.1pt,22.95pt" to="104.6pt,22.95pt" strokecolor="#f4a997" strokeweight="2pt">
            <w10:wrap type="topAndBottom" anchorx="page"/>
          </v:line>
        </w:pict>
      </w:r>
      <w:hyperlink w:anchor="_bookmark5" w:history="1">
        <w:r w:rsidR="009B7AFD">
          <w:rPr>
            <w:b/>
            <w:color w:val="FFFFFF"/>
            <w:sz w:val="24"/>
          </w:rPr>
          <w:t>Our terms of</w:t>
        </w:r>
        <w:r w:rsidR="009B7AFD">
          <w:rPr>
            <w:b/>
            <w:color w:val="FFFFFF"/>
            <w:spacing w:val="-1"/>
            <w:sz w:val="24"/>
          </w:rPr>
          <w:t xml:space="preserve"> </w:t>
        </w:r>
        <w:r w:rsidR="009B7AFD">
          <w:rPr>
            <w:b/>
            <w:color w:val="FFFFFF"/>
            <w:sz w:val="24"/>
          </w:rPr>
          <w:t>reference</w:t>
        </w:r>
      </w:hyperlink>
    </w:p>
    <w:p w14:paraId="499003BD" w14:textId="77777777" w:rsidR="00894070" w:rsidRDefault="009F6793">
      <w:pPr>
        <w:pStyle w:val="ListParagraph"/>
        <w:numPr>
          <w:ilvl w:val="0"/>
          <w:numId w:val="180"/>
        </w:numPr>
        <w:tabs>
          <w:tab w:val="left" w:pos="1568"/>
          <w:tab w:val="left" w:pos="1569"/>
        </w:tabs>
        <w:spacing w:before="14" w:after="57"/>
        <w:rPr>
          <w:b/>
          <w:sz w:val="24"/>
        </w:rPr>
      </w:pPr>
      <w:hyperlink w:anchor="_bookmark6" w:history="1">
        <w:r w:rsidR="009B7AFD">
          <w:rPr>
            <w:b/>
            <w:color w:val="FFFFFF"/>
            <w:sz w:val="24"/>
          </w:rPr>
          <w:t>Our interim report and this</w:t>
        </w:r>
        <w:r w:rsidR="009B7AFD">
          <w:rPr>
            <w:b/>
            <w:color w:val="FFFFFF"/>
            <w:spacing w:val="-1"/>
            <w:sz w:val="24"/>
          </w:rPr>
          <w:t xml:space="preserve"> </w:t>
        </w:r>
        <w:r w:rsidR="009B7AFD">
          <w:rPr>
            <w:b/>
            <w:color w:val="FFFFFF"/>
            <w:sz w:val="24"/>
          </w:rPr>
          <w:t>report</w:t>
        </w:r>
      </w:hyperlink>
    </w:p>
    <w:p w14:paraId="34EC3CD5" w14:textId="77777777" w:rsidR="00894070" w:rsidRDefault="009F6793">
      <w:pPr>
        <w:pStyle w:val="BodyText"/>
        <w:spacing w:line="40" w:lineRule="exact"/>
        <w:ind w:left="981"/>
        <w:rPr>
          <w:sz w:val="4"/>
        </w:rPr>
      </w:pPr>
      <w:r>
        <w:rPr>
          <w:sz w:val="4"/>
        </w:rPr>
      </w:r>
      <w:r>
        <w:rPr>
          <w:sz w:val="4"/>
        </w:rPr>
        <w:pict w14:anchorId="77649DEA">
          <v:group id="_x0000_s1719" style="width:25.55pt;height:2pt;mso-position-horizontal-relative:char;mso-position-vertical-relative:line" coordsize="511,40">
            <v:line id="_x0000_s1720" style="position:absolute" from="0,20" to="510,20" strokecolor="#f4a997" strokeweight="2pt"/>
            <w10:anchorlock/>
          </v:group>
        </w:pict>
      </w:r>
    </w:p>
    <w:p w14:paraId="65E682AE" w14:textId="77777777" w:rsidR="00894070" w:rsidRDefault="009F6793">
      <w:pPr>
        <w:pStyle w:val="ListParagraph"/>
        <w:numPr>
          <w:ilvl w:val="0"/>
          <w:numId w:val="179"/>
        </w:numPr>
        <w:tabs>
          <w:tab w:val="left" w:pos="1568"/>
          <w:tab w:val="left" w:pos="1569"/>
        </w:tabs>
        <w:spacing w:before="43"/>
        <w:rPr>
          <w:b/>
          <w:sz w:val="24"/>
        </w:rPr>
      </w:pPr>
      <w:r>
        <w:pict w14:anchorId="6A0B0A9F">
          <v:line id="_x0000_s1718" style="position:absolute;left:0;text-align:left;z-index:-251480064;mso-wrap-distance-left:0;mso-wrap-distance-right:0;mso-position-horizontal-relative:page" from="79.1pt,22.65pt" to="104.6pt,22.65pt" strokecolor="#f4a997" strokeweight="2pt">
            <w10:wrap type="topAndBottom" anchorx="page"/>
          </v:line>
        </w:pict>
      </w:r>
      <w:hyperlink w:anchor="_bookmark6" w:history="1">
        <w:r w:rsidR="009B7AFD">
          <w:rPr>
            <w:b/>
            <w:color w:val="FFFFFF"/>
            <w:sz w:val="24"/>
          </w:rPr>
          <w:t>Our</w:t>
        </w:r>
        <w:r w:rsidR="009B7AFD">
          <w:rPr>
            <w:b/>
            <w:color w:val="FFFFFF"/>
            <w:spacing w:val="-1"/>
            <w:sz w:val="24"/>
          </w:rPr>
          <w:t xml:space="preserve"> </w:t>
        </w:r>
        <w:r w:rsidR="009B7AFD">
          <w:rPr>
            <w:b/>
            <w:color w:val="FFFFFF"/>
            <w:sz w:val="24"/>
          </w:rPr>
          <w:t>process</w:t>
        </w:r>
      </w:hyperlink>
    </w:p>
    <w:p w14:paraId="57303C1B" w14:textId="77777777" w:rsidR="00894070" w:rsidRDefault="009F6793">
      <w:pPr>
        <w:pStyle w:val="ListParagraph"/>
        <w:numPr>
          <w:ilvl w:val="0"/>
          <w:numId w:val="179"/>
        </w:numPr>
        <w:tabs>
          <w:tab w:val="left" w:pos="1568"/>
          <w:tab w:val="left" w:pos="1569"/>
        </w:tabs>
        <w:spacing w:before="14" w:after="57"/>
        <w:rPr>
          <w:b/>
          <w:sz w:val="24"/>
        </w:rPr>
      </w:pPr>
      <w:hyperlink w:anchor="_bookmark7" w:history="1">
        <w:r w:rsidR="009B7AFD">
          <w:rPr>
            <w:b/>
            <w:color w:val="FFFFFF"/>
            <w:sz w:val="24"/>
          </w:rPr>
          <w:t>An</w:t>
        </w:r>
        <w:r w:rsidR="009B7AFD">
          <w:rPr>
            <w:b/>
            <w:color w:val="FFFFFF"/>
            <w:spacing w:val="-1"/>
            <w:sz w:val="24"/>
          </w:rPr>
          <w:t xml:space="preserve"> </w:t>
        </w:r>
        <w:r w:rsidR="009B7AFD">
          <w:rPr>
            <w:b/>
            <w:color w:val="FFFFFF"/>
            <w:sz w:val="24"/>
          </w:rPr>
          <w:t>acknowledgement</w:t>
        </w:r>
      </w:hyperlink>
    </w:p>
    <w:p w14:paraId="707EAB0D" w14:textId="77777777" w:rsidR="00894070" w:rsidRDefault="009F6793">
      <w:pPr>
        <w:pStyle w:val="BodyText"/>
        <w:spacing w:line="40" w:lineRule="exact"/>
        <w:ind w:left="981"/>
        <w:rPr>
          <w:sz w:val="4"/>
        </w:rPr>
      </w:pPr>
      <w:r>
        <w:rPr>
          <w:sz w:val="4"/>
        </w:rPr>
      </w:r>
      <w:r>
        <w:rPr>
          <w:sz w:val="4"/>
        </w:rPr>
        <w:pict w14:anchorId="4DFCD5E2">
          <v:group id="_x0000_s1716" style="width:25.55pt;height:2pt;mso-position-horizontal-relative:char;mso-position-vertical-relative:line" coordsize="511,40">
            <v:line id="_x0000_s1717" style="position:absolute" from="0,20" to="510,20" strokecolor="#f4a997" strokeweight="2pt"/>
            <w10:anchorlock/>
          </v:group>
        </w:pict>
      </w:r>
    </w:p>
    <w:p w14:paraId="46750A5B" w14:textId="77777777" w:rsidR="00894070" w:rsidRDefault="009F6793">
      <w:pPr>
        <w:pStyle w:val="ListParagraph"/>
        <w:numPr>
          <w:ilvl w:val="0"/>
          <w:numId w:val="178"/>
        </w:numPr>
        <w:tabs>
          <w:tab w:val="left" w:pos="1568"/>
          <w:tab w:val="left" w:pos="1569"/>
        </w:tabs>
        <w:spacing w:before="43"/>
        <w:rPr>
          <w:b/>
          <w:sz w:val="24"/>
        </w:rPr>
      </w:pPr>
      <w:r>
        <w:pict w14:anchorId="77A62E5E">
          <v:line id="_x0000_s1715" style="position:absolute;left:0;text-align:left;z-index:-251479040;mso-wrap-distance-left:0;mso-wrap-distance-right:0;mso-position-horizontal-relative:page" from="79.1pt,22.65pt" to="104.6pt,22.65pt" strokecolor="#f4a997" strokeweight="2pt">
            <w10:wrap type="topAndBottom" anchorx="page"/>
          </v:line>
        </w:pict>
      </w:r>
      <w:hyperlink w:anchor="_bookmark7" w:history="1">
        <w:r w:rsidR="009B7AFD">
          <w:rPr>
            <w:b/>
            <w:color w:val="FFFFFF"/>
            <w:sz w:val="24"/>
          </w:rPr>
          <w:t>Why does the response to stalking need to</w:t>
        </w:r>
        <w:r w:rsidR="009B7AFD">
          <w:rPr>
            <w:b/>
            <w:color w:val="FFFFFF"/>
            <w:spacing w:val="-41"/>
            <w:sz w:val="24"/>
          </w:rPr>
          <w:t xml:space="preserve"> </w:t>
        </w:r>
        <w:r w:rsidR="009B7AFD">
          <w:rPr>
            <w:b/>
            <w:color w:val="FFFFFF"/>
            <w:sz w:val="24"/>
          </w:rPr>
          <w:t>change?</w:t>
        </w:r>
      </w:hyperlink>
    </w:p>
    <w:p w14:paraId="131B2FFC" w14:textId="77777777" w:rsidR="00894070" w:rsidRDefault="009F6793">
      <w:pPr>
        <w:pStyle w:val="ListParagraph"/>
        <w:numPr>
          <w:ilvl w:val="0"/>
          <w:numId w:val="178"/>
        </w:numPr>
        <w:tabs>
          <w:tab w:val="left" w:pos="1568"/>
          <w:tab w:val="left" w:pos="1569"/>
        </w:tabs>
        <w:spacing w:before="14" w:after="57"/>
        <w:rPr>
          <w:b/>
          <w:sz w:val="24"/>
        </w:rPr>
      </w:pPr>
      <w:hyperlink w:anchor="_bookmark8" w:history="1">
        <w:r w:rsidR="009B7AFD">
          <w:rPr>
            <w:b/>
            <w:color w:val="FFFFFF"/>
            <w:sz w:val="24"/>
          </w:rPr>
          <w:t>How does the response to stalking need to</w:t>
        </w:r>
        <w:r w:rsidR="009B7AFD">
          <w:rPr>
            <w:b/>
            <w:color w:val="FFFFFF"/>
            <w:spacing w:val="-41"/>
            <w:sz w:val="24"/>
          </w:rPr>
          <w:t xml:space="preserve"> </w:t>
        </w:r>
        <w:r w:rsidR="009B7AFD">
          <w:rPr>
            <w:b/>
            <w:color w:val="FFFFFF"/>
            <w:sz w:val="24"/>
          </w:rPr>
          <w:t>change?</w:t>
        </w:r>
      </w:hyperlink>
    </w:p>
    <w:p w14:paraId="150C91BE" w14:textId="77777777" w:rsidR="00894070" w:rsidRDefault="009F6793">
      <w:pPr>
        <w:pStyle w:val="BodyText"/>
        <w:spacing w:line="40" w:lineRule="exact"/>
        <w:ind w:left="981"/>
        <w:rPr>
          <w:sz w:val="4"/>
        </w:rPr>
      </w:pPr>
      <w:r>
        <w:rPr>
          <w:sz w:val="4"/>
        </w:rPr>
      </w:r>
      <w:r>
        <w:rPr>
          <w:sz w:val="4"/>
        </w:rPr>
        <w:pict w14:anchorId="6B215BD3">
          <v:group id="_x0000_s1713" style="width:25.55pt;height:2pt;mso-position-horizontal-relative:char;mso-position-vertical-relative:line" coordsize="511,40">
            <v:line id="_x0000_s1714" style="position:absolute" from="0,20" to="510,20" strokecolor="#f4a997" strokeweight="2pt"/>
            <w10:anchorlock/>
          </v:group>
        </w:pict>
      </w:r>
    </w:p>
    <w:p w14:paraId="1E3FEC89" w14:textId="77777777" w:rsidR="00894070" w:rsidRDefault="009F6793">
      <w:pPr>
        <w:pStyle w:val="ListParagraph"/>
        <w:numPr>
          <w:ilvl w:val="0"/>
          <w:numId w:val="178"/>
        </w:numPr>
        <w:tabs>
          <w:tab w:val="left" w:pos="1568"/>
          <w:tab w:val="left" w:pos="1569"/>
        </w:tabs>
        <w:spacing w:before="43"/>
        <w:rPr>
          <w:b/>
          <w:sz w:val="24"/>
        </w:rPr>
      </w:pPr>
      <w:r>
        <w:pict w14:anchorId="79CC9A4C">
          <v:line id="_x0000_s1712" style="position:absolute;left:0;text-align:left;z-index:-251478016;mso-wrap-distance-left:0;mso-wrap-distance-right:0;mso-position-horizontal-relative:page" from="79.1pt,22.65pt" to="104.6pt,22.65pt" strokecolor="#f4a997" strokeweight="2pt">
            <w10:wrap type="topAndBottom" anchorx="page"/>
          </v:line>
        </w:pict>
      </w:r>
      <w:hyperlink w:anchor="_bookmark9" w:history="1">
        <w:r w:rsidR="009B7AFD">
          <w:rPr>
            <w:b/>
            <w:color w:val="FFFFFF"/>
            <w:sz w:val="24"/>
          </w:rPr>
          <w:t>What is our approach to</w:t>
        </w:r>
        <w:r w:rsidR="009B7AFD">
          <w:rPr>
            <w:b/>
            <w:color w:val="FFFFFF"/>
            <w:spacing w:val="-1"/>
            <w:sz w:val="24"/>
          </w:rPr>
          <w:t xml:space="preserve"> </w:t>
        </w:r>
        <w:r w:rsidR="009B7AFD">
          <w:rPr>
            <w:b/>
            <w:color w:val="FFFFFF"/>
            <w:spacing w:val="-3"/>
            <w:sz w:val="24"/>
          </w:rPr>
          <w:t>reform?</w:t>
        </w:r>
      </w:hyperlink>
    </w:p>
    <w:p w14:paraId="1561F453" w14:textId="77777777" w:rsidR="00894070" w:rsidRDefault="009F6793">
      <w:pPr>
        <w:tabs>
          <w:tab w:val="left" w:pos="1568"/>
        </w:tabs>
        <w:spacing w:before="14" w:after="57"/>
        <w:ind w:left="1001"/>
        <w:rPr>
          <w:b/>
          <w:sz w:val="24"/>
        </w:rPr>
      </w:pPr>
      <w:hyperlink w:anchor="_bookmark12" w:history="1">
        <w:r w:rsidR="009B7AFD">
          <w:rPr>
            <w:b/>
            <w:color w:val="FFFFFF"/>
            <w:sz w:val="24"/>
          </w:rPr>
          <w:t>9</w:t>
        </w:r>
        <w:r w:rsidR="009B7AFD">
          <w:rPr>
            <w:b/>
            <w:color w:val="FFFFFF"/>
            <w:sz w:val="24"/>
          </w:rPr>
          <w:tab/>
          <w:t>The process from</w:t>
        </w:r>
        <w:r w:rsidR="009B7AFD">
          <w:rPr>
            <w:b/>
            <w:color w:val="FFFFFF"/>
            <w:spacing w:val="-1"/>
            <w:sz w:val="24"/>
          </w:rPr>
          <w:t xml:space="preserve"> </w:t>
        </w:r>
        <w:r w:rsidR="009B7AFD">
          <w:rPr>
            <w:b/>
            <w:color w:val="FFFFFF"/>
            <w:sz w:val="24"/>
          </w:rPr>
          <w:t>here</w:t>
        </w:r>
      </w:hyperlink>
    </w:p>
    <w:p w14:paraId="69E6E29A" w14:textId="77777777" w:rsidR="00894070" w:rsidRDefault="009F6793">
      <w:pPr>
        <w:pStyle w:val="BodyText"/>
        <w:spacing w:line="40" w:lineRule="exact"/>
        <w:ind w:left="981"/>
        <w:rPr>
          <w:sz w:val="4"/>
        </w:rPr>
      </w:pPr>
      <w:r>
        <w:rPr>
          <w:sz w:val="4"/>
        </w:rPr>
      </w:r>
      <w:r>
        <w:rPr>
          <w:sz w:val="4"/>
        </w:rPr>
        <w:pict w14:anchorId="2384872E">
          <v:group id="_x0000_s1710" style="width:25.55pt;height:2pt;mso-position-horizontal-relative:char;mso-position-vertical-relative:line" coordsize="511,40">
            <v:line id="_x0000_s1711" style="position:absolute" from="0,20" to="510,20" strokecolor="#f4a997" strokeweight="2pt"/>
            <w10:anchorlock/>
          </v:group>
        </w:pict>
      </w:r>
    </w:p>
    <w:p w14:paraId="59900E9A" w14:textId="77777777" w:rsidR="00894070" w:rsidRDefault="00894070">
      <w:pPr>
        <w:spacing w:line="40" w:lineRule="exact"/>
        <w:rPr>
          <w:sz w:val="4"/>
        </w:rPr>
        <w:sectPr w:rsidR="00894070">
          <w:headerReference w:type="even" r:id="rId21"/>
          <w:headerReference w:type="default" r:id="rId22"/>
          <w:pgSz w:w="11910" w:h="16840"/>
          <w:pgMar w:top="480" w:right="420" w:bottom="280" w:left="580" w:header="0" w:footer="0" w:gutter="0"/>
          <w:cols w:space="720"/>
        </w:sectPr>
      </w:pPr>
    </w:p>
    <w:p w14:paraId="068D0FED" w14:textId="77777777" w:rsidR="00894070" w:rsidRDefault="009F6793">
      <w:pPr>
        <w:pStyle w:val="BodyText"/>
        <w:rPr>
          <w:b/>
        </w:rPr>
      </w:pPr>
      <w:r>
        <w:lastRenderedPageBreak/>
        <w:pict w14:anchorId="2E42A79C">
          <v:rect id="_x0000_s1709" style="position:absolute;margin-left:0;margin-top:99.2pt;width:14.15pt;height:85.75pt;z-index:251469824;mso-position-horizontal-relative:page;mso-position-vertical-relative:page" fillcolor="#ea5b50" stroked="f">
            <w10:wrap anchorx="page" anchory="page"/>
          </v:rect>
        </w:pict>
      </w:r>
    </w:p>
    <w:p w14:paraId="6CA8B2BD" w14:textId="77777777" w:rsidR="00894070" w:rsidRDefault="00894070">
      <w:pPr>
        <w:pStyle w:val="BodyText"/>
        <w:rPr>
          <w:b/>
        </w:rPr>
      </w:pPr>
    </w:p>
    <w:p w14:paraId="1EDDECFB" w14:textId="77777777" w:rsidR="00894070" w:rsidRDefault="00894070">
      <w:pPr>
        <w:pStyle w:val="BodyText"/>
        <w:spacing w:before="10"/>
        <w:rPr>
          <w:b/>
          <w:sz w:val="23"/>
        </w:rPr>
      </w:pPr>
    </w:p>
    <w:p w14:paraId="42D91773" w14:textId="77777777" w:rsidR="00894070" w:rsidRDefault="009B7AFD">
      <w:pPr>
        <w:pStyle w:val="ListParagraph"/>
        <w:numPr>
          <w:ilvl w:val="0"/>
          <w:numId w:val="177"/>
        </w:numPr>
        <w:tabs>
          <w:tab w:val="left" w:pos="762"/>
        </w:tabs>
        <w:spacing w:line="758" w:lineRule="exact"/>
        <w:ind w:hanging="510"/>
        <w:jc w:val="left"/>
        <w:rPr>
          <w:rFonts w:ascii="Raleway ExtraBold"/>
          <w:b/>
          <w:color w:val="EA5B50"/>
          <w:sz w:val="56"/>
        </w:rPr>
      </w:pPr>
      <w:bookmarkStart w:id="11" w:name="1._Introduction"/>
      <w:bookmarkStart w:id="12" w:name="Our_terms_of_reference"/>
      <w:bookmarkStart w:id="13" w:name="_bookmark5"/>
      <w:bookmarkEnd w:id="11"/>
      <w:bookmarkEnd w:id="12"/>
      <w:bookmarkEnd w:id="13"/>
      <w:r>
        <w:rPr>
          <w:rFonts w:ascii="Raleway ExtraBold"/>
          <w:b/>
          <w:color w:val="EA5B50"/>
          <w:spacing w:val="-4"/>
          <w:sz w:val="56"/>
        </w:rPr>
        <w:t>Introduction</w:t>
      </w:r>
    </w:p>
    <w:p w14:paraId="1D656E72" w14:textId="77777777" w:rsidR="00894070" w:rsidRDefault="00894070">
      <w:pPr>
        <w:pStyle w:val="BodyText"/>
        <w:rPr>
          <w:rFonts w:ascii="Raleway ExtraBold"/>
          <w:b/>
        </w:rPr>
      </w:pPr>
    </w:p>
    <w:p w14:paraId="574AD2D2" w14:textId="77777777" w:rsidR="00894070" w:rsidRDefault="00894070">
      <w:pPr>
        <w:pStyle w:val="BodyText"/>
        <w:rPr>
          <w:rFonts w:ascii="Raleway ExtraBold"/>
          <w:b/>
        </w:rPr>
      </w:pPr>
    </w:p>
    <w:p w14:paraId="6C86A019" w14:textId="77777777" w:rsidR="00894070" w:rsidRDefault="00894070">
      <w:pPr>
        <w:pStyle w:val="BodyText"/>
        <w:rPr>
          <w:rFonts w:ascii="Raleway ExtraBold"/>
          <w:b/>
        </w:rPr>
      </w:pPr>
    </w:p>
    <w:p w14:paraId="03B8C8CF" w14:textId="77777777" w:rsidR="00894070" w:rsidRDefault="00894070">
      <w:pPr>
        <w:pStyle w:val="BodyText"/>
        <w:rPr>
          <w:rFonts w:ascii="Raleway ExtraBold"/>
          <w:b/>
        </w:rPr>
      </w:pPr>
    </w:p>
    <w:p w14:paraId="62FC6C10" w14:textId="77777777" w:rsidR="00894070" w:rsidRDefault="00894070">
      <w:pPr>
        <w:pStyle w:val="BodyText"/>
        <w:rPr>
          <w:rFonts w:ascii="Raleway ExtraBold"/>
          <w:b/>
        </w:rPr>
      </w:pPr>
    </w:p>
    <w:p w14:paraId="08CA8ADE" w14:textId="77777777" w:rsidR="00894070" w:rsidRDefault="00894070">
      <w:pPr>
        <w:pStyle w:val="BodyText"/>
        <w:rPr>
          <w:rFonts w:ascii="Raleway ExtraBold"/>
          <w:b/>
        </w:rPr>
      </w:pPr>
    </w:p>
    <w:p w14:paraId="5D3E0D16" w14:textId="77777777" w:rsidR="00894070" w:rsidRDefault="00894070">
      <w:pPr>
        <w:pStyle w:val="BodyText"/>
        <w:rPr>
          <w:rFonts w:ascii="Raleway ExtraBold"/>
          <w:b/>
        </w:rPr>
      </w:pPr>
    </w:p>
    <w:p w14:paraId="3088E5CD" w14:textId="77777777" w:rsidR="00894070" w:rsidRDefault="00894070">
      <w:pPr>
        <w:pStyle w:val="BodyText"/>
        <w:rPr>
          <w:rFonts w:ascii="Raleway ExtraBold"/>
          <w:b/>
        </w:rPr>
      </w:pPr>
    </w:p>
    <w:p w14:paraId="0EE4B707" w14:textId="77777777" w:rsidR="00894070" w:rsidRDefault="00894070">
      <w:pPr>
        <w:pStyle w:val="BodyText"/>
        <w:rPr>
          <w:rFonts w:ascii="Raleway ExtraBold"/>
          <w:b/>
        </w:rPr>
      </w:pPr>
    </w:p>
    <w:p w14:paraId="774E3AF1" w14:textId="77777777" w:rsidR="00894070" w:rsidRDefault="00894070">
      <w:pPr>
        <w:pStyle w:val="BodyText"/>
        <w:rPr>
          <w:rFonts w:ascii="Raleway ExtraBold"/>
          <w:b/>
        </w:rPr>
      </w:pPr>
    </w:p>
    <w:p w14:paraId="0F38209F" w14:textId="77777777" w:rsidR="00894070" w:rsidRDefault="009F6793">
      <w:pPr>
        <w:pStyle w:val="BodyText"/>
        <w:spacing w:before="7"/>
        <w:rPr>
          <w:rFonts w:ascii="Raleway ExtraBold"/>
          <w:b/>
        </w:rPr>
      </w:pPr>
      <w:r>
        <w:pict w14:anchorId="4E24D27B">
          <v:shape id="_x0000_s1708" type="#_x0000_t202" style="position:absolute;margin-left:79.6pt;margin-top:16.45pt;width:436.05pt;height:290.1pt;z-index:-251476992;mso-wrap-distance-left:0;mso-wrap-distance-right:0;mso-position-horizontal-relative:page" fillcolor="#fee7de" strokecolor="#ea5b50" strokeweight=".5pt">
            <v:textbox inset="0,0,0,0">
              <w:txbxContent>
                <w:p w14:paraId="623A7A10" w14:textId="77777777" w:rsidR="00894070" w:rsidRDefault="009B7AFD">
                  <w:pPr>
                    <w:spacing w:before="179"/>
                    <w:ind w:left="221"/>
                    <w:rPr>
                      <w:b/>
                      <w:sz w:val="20"/>
                    </w:rPr>
                  </w:pPr>
                  <w:r>
                    <w:rPr>
                      <w:b/>
                      <w:color w:val="231F20"/>
                      <w:sz w:val="20"/>
                    </w:rPr>
                    <w:t>A note on language</w:t>
                  </w:r>
                </w:p>
                <w:p w14:paraId="78699326" w14:textId="77777777" w:rsidR="00894070" w:rsidRDefault="009B7AFD">
                  <w:pPr>
                    <w:pStyle w:val="BodyText"/>
                    <w:spacing w:before="114" w:line="206" w:lineRule="auto"/>
                    <w:ind w:left="221" w:right="429"/>
                  </w:pPr>
                  <w:r>
                    <w:rPr>
                      <w:b/>
                      <w:color w:val="231F20"/>
                    </w:rPr>
                    <w:t xml:space="preserve">Stalking </w:t>
                  </w:r>
                  <w:r>
                    <w:rPr>
                      <w:color w:val="231F20"/>
                    </w:rPr>
                    <w:t xml:space="preserve">is a crime in Victoria. The </w:t>
                  </w:r>
                  <w:r>
                    <w:rPr>
                      <w:b/>
                      <w:color w:val="231F20"/>
                    </w:rPr>
                    <w:t xml:space="preserve">stalking offence </w:t>
                  </w:r>
                  <w:r>
                    <w:rPr>
                      <w:color w:val="231F20"/>
                    </w:rPr>
                    <w:t>makes it a crime to engage in one or more of a range of behaviours, more than once or for an extended period. Examples of behaviours include following a person, tracing their internet use or keeping them</w:t>
                  </w:r>
                </w:p>
                <w:p w14:paraId="053F02C2" w14:textId="77777777" w:rsidR="00894070" w:rsidRDefault="009B7AFD">
                  <w:pPr>
                    <w:pStyle w:val="BodyText"/>
                    <w:spacing w:before="4" w:line="206" w:lineRule="auto"/>
                    <w:ind w:left="221" w:right="223"/>
                  </w:pPr>
                  <w:r>
                    <w:rPr>
                      <w:color w:val="231F20"/>
                    </w:rPr>
                    <w:t>under surveillance. The behaviours on their own may not be illegal, but when they come together in a ‘course of conduct’ directed at a person, with a specific intent, the behaviour becomes criminal.</w:t>
                  </w:r>
                </w:p>
                <w:p w14:paraId="5D5979F5" w14:textId="77777777" w:rsidR="00894070" w:rsidRDefault="009B7AFD">
                  <w:pPr>
                    <w:spacing w:before="92"/>
                    <w:ind w:left="221"/>
                    <w:rPr>
                      <w:b/>
                      <w:sz w:val="20"/>
                    </w:rPr>
                  </w:pPr>
                  <w:r>
                    <w:rPr>
                      <w:b/>
                      <w:color w:val="231F20"/>
                      <w:sz w:val="20"/>
                    </w:rPr>
                    <w:t>Family violence stalking and non-family violence stalking</w:t>
                  </w:r>
                </w:p>
                <w:p w14:paraId="4CA88FA8" w14:textId="77777777" w:rsidR="00894070" w:rsidRDefault="009B7AFD">
                  <w:pPr>
                    <w:spacing w:before="82" w:line="259" w:lineRule="exact"/>
                    <w:ind w:left="221"/>
                    <w:rPr>
                      <w:sz w:val="20"/>
                    </w:rPr>
                  </w:pPr>
                  <w:r>
                    <w:rPr>
                      <w:b/>
                      <w:color w:val="231F20"/>
                      <w:sz w:val="20"/>
                    </w:rPr>
                    <w:t xml:space="preserve">Family violence stalking </w:t>
                  </w:r>
                  <w:r>
                    <w:rPr>
                      <w:color w:val="231F20"/>
                      <w:sz w:val="20"/>
                    </w:rPr>
                    <w:t xml:space="preserve">refers to </w:t>
                  </w:r>
                  <w:r>
                    <w:rPr>
                      <w:b/>
                      <w:color w:val="231F20"/>
                      <w:sz w:val="20"/>
                    </w:rPr>
                    <w:t xml:space="preserve">stalking </w:t>
                  </w:r>
                  <w:r>
                    <w:rPr>
                      <w:color w:val="231F20"/>
                      <w:sz w:val="20"/>
                    </w:rPr>
                    <w:t>that is linked to family violence (for example,</w:t>
                  </w:r>
                </w:p>
                <w:p w14:paraId="799C1032" w14:textId="77777777" w:rsidR="00894070" w:rsidRDefault="009B7AFD">
                  <w:pPr>
                    <w:spacing w:line="259" w:lineRule="exact"/>
                    <w:ind w:left="221"/>
                    <w:rPr>
                      <w:sz w:val="20"/>
                    </w:rPr>
                  </w:pPr>
                  <w:r>
                    <w:rPr>
                      <w:b/>
                      <w:color w:val="231F20"/>
                      <w:sz w:val="20"/>
                    </w:rPr>
                    <w:t xml:space="preserve">stalking </w:t>
                  </w:r>
                  <w:r>
                    <w:rPr>
                      <w:color w:val="231F20"/>
                      <w:sz w:val="20"/>
                    </w:rPr>
                    <w:t>by a partner or ex-partner).</w:t>
                  </w:r>
                </w:p>
                <w:p w14:paraId="73264B24" w14:textId="77777777" w:rsidR="00894070" w:rsidRDefault="009B7AFD">
                  <w:pPr>
                    <w:pStyle w:val="BodyText"/>
                    <w:spacing w:before="115" w:line="206" w:lineRule="auto"/>
                    <w:ind w:left="221" w:right="285"/>
                  </w:pPr>
                  <w:r>
                    <w:rPr>
                      <w:color w:val="231F20"/>
                    </w:rPr>
                    <w:t xml:space="preserve">However, in this report we are mostly concerned with </w:t>
                  </w:r>
                  <w:r>
                    <w:rPr>
                      <w:b/>
                      <w:color w:val="231F20"/>
                    </w:rPr>
                    <w:t>non-family violence stalking</w:t>
                  </w:r>
                  <w:r>
                    <w:rPr>
                      <w:color w:val="231F20"/>
                    </w:rPr>
                    <w:t xml:space="preserve">. This is </w:t>
                  </w:r>
                  <w:r>
                    <w:rPr>
                      <w:b/>
                      <w:color w:val="231F20"/>
                    </w:rPr>
                    <w:t xml:space="preserve">stalking </w:t>
                  </w:r>
                  <w:r>
                    <w:rPr>
                      <w:color w:val="231F20"/>
                    </w:rPr>
                    <w:t xml:space="preserve">by a person outside a family violence context, for example </w:t>
                  </w:r>
                  <w:r>
                    <w:rPr>
                      <w:b/>
                      <w:color w:val="231F20"/>
                    </w:rPr>
                    <w:t xml:space="preserve">stalking </w:t>
                  </w:r>
                  <w:r>
                    <w:rPr>
                      <w:color w:val="231F20"/>
                    </w:rPr>
                    <w:t xml:space="preserve">by an acquaintance, colleague or neighbour—or even someone unknown. When we use the word ‘stalking’ in this report, that is what we mean. When we do refer to </w:t>
                  </w:r>
                  <w:r>
                    <w:rPr>
                      <w:b/>
                      <w:color w:val="231F20"/>
                    </w:rPr>
                    <w:t>family violence stalking</w:t>
                  </w:r>
                  <w:r>
                    <w:rPr>
                      <w:color w:val="231F20"/>
                    </w:rPr>
                    <w:t>, the words we use will make that clear.</w:t>
                  </w:r>
                </w:p>
                <w:p w14:paraId="1F1DA362" w14:textId="77777777" w:rsidR="00894070" w:rsidRDefault="009B7AFD">
                  <w:pPr>
                    <w:spacing w:before="94"/>
                    <w:ind w:left="221"/>
                    <w:rPr>
                      <w:b/>
                      <w:sz w:val="20"/>
                    </w:rPr>
                  </w:pPr>
                  <w:r>
                    <w:rPr>
                      <w:b/>
                      <w:color w:val="231F20"/>
                      <w:sz w:val="20"/>
                    </w:rPr>
                    <w:t>The courts</w:t>
                  </w:r>
                </w:p>
                <w:p w14:paraId="4F11B174" w14:textId="77777777" w:rsidR="00894070" w:rsidRDefault="009B7AFD">
                  <w:pPr>
                    <w:pStyle w:val="BodyText"/>
                    <w:spacing w:before="114" w:line="206" w:lineRule="auto"/>
                    <w:ind w:left="221" w:right="429"/>
                  </w:pPr>
                  <w:r>
                    <w:rPr>
                      <w:color w:val="231F20"/>
                    </w:rPr>
                    <w:t>References in this report to the Magistrates’ Court, the County Court and the Supreme Court refer to the Victorian courts unless otherwise noted.</w:t>
                  </w:r>
                </w:p>
                <w:p w14:paraId="74D19A96" w14:textId="77777777" w:rsidR="00894070" w:rsidRDefault="009B7AFD">
                  <w:pPr>
                    <w:pStyle w:val="BodyText"/>
                    <w:spacing w:before="91"/>
                    <w:ind w:left="221"/>
                  </w:pPr>
                  <w:r>
                    <w:rPr>
                      <w:color w:val="231F20"/>
                    </w:rPr>
                    <w:t>For definitions of terms used in this report, see the Glossary on page xvi.</w:t>
                  </w:r>
                </w:p>
              </w:txbxContent>
            </v:textbox>
            <w10:wrap type="topAndBottom" anchorx="page"/>
          </v:shape>
        </w:pict>
      </w:r>
    </w:p>
    <w:p w14:paraId="77482AFB" w14:textId="77777777" w:rsidR="00894070" w:rsidRDefault="00894070">
      <w:pPr>
        <w:pStyle w:val="BodyText"/>
        <w:rPr>
          <w:rFonts w:ascii="Raleway ExtraBold"/>
          <w:b/>
        </w:rPr>
      </w:pPr>
    </w:p>
    <w:p w14:paraId="26A5DA5E" w14:textId="77777777" w:rsidR="00894070" w:rsidRDefault="009B7AFD">
      <w:pPr>
        <w:spacing w:before="187"/>
        <w:ind w:left="1007"/>
        <w:rPr>
          <w:rFonts w:ascii="Raleway ExtraBold"/>
          <w:b/>
          <w:sz w:val="28"/>
        </w:rPr>
      </w:pPr>
      <w:r>
        <w:rPr>
          <w:rFonts w:ascii="Raleway ExtraBold"/>
          <w:b/>
          <w:color w:val="EA5B50"/>
          <w:sz w:val="28"/>
        </w:rPr>
        <w:t>Our terms of reference</w:t>
      </w:r>
    </w:p>
    <w:p w14:paraId="43B7134D" w14:textId="77777777" w:rsidR="00894070" w:rsidRDefault="009B7AFD">
      <w:pPr>
        <w:pStyle w:val="ListParagraph"/>
        <w:numPr>
          <w:ilvl w:val="1"/>
          <w:numId w:val="177"/>
        </w:numPr>
        <w:tabs>
          <w:tab w:val="left" w:pos="1801"/>
          <w:tab w:val="left" w:pos="1802"/>
        </w:tabs>
        <w:spacing w:before="114" w:line="259" w:lineRule="exact"/>
        <w:rPr>
          <w:sz w:val="20"/>
        </w:rPr>
      </w:pPr>
      <w:r>
        <w:rPr>
          <w:color w:val="231F20"/>
          <w:sz w:val="20"/>
        </w:rPr>
        <w:t>The</w:t>
      </w:r>
      <w:r>
        <w:rPr>
          <w:color w:val="231F20"/>
          <w:spacing w:val="-6"/>
          <w:sz w:val="20"/>
        </w:rPr>
        <w:t xml:space="preserve"> </w:t>
      </w:r>
      <w:r>
        <w:rPr>
          <w:color w:val="231F20"/>
          <w:sz w:val="20"/>
        </w:rPr>
        <w:t>Victorian</w:t>
      </w:r>
      <w:r>
        <w:rPr>
          <w:color w:val="231F20"/>
          <w:spacing w:val="-5"/>
          <w:sz w:val="20"/>
        </w:rPr>
        <w:t xml:space="preserve"> </w:t>
      </w:r>
      <w:r>
        <w:rPr>
          <w:color w:val="231F20"/>
          <w:sz w:val="20"/>
        </w:rPr>
        <w:t>Law</w:t>
      </w:r>
      <w:r>
        <w:rPr>
          <w:color w:val="231F20"/>
          <w:spacing w:val="-5"/>
          <w:sz w:val="20"/>
        </w:rPr>
        <w:t xml:space="preserve"> </w:t>
      </w:r>
      <w:r>
        <w:rPr>
          <w:color w:val="231F20"/>
          <w:spacing w:val="-3"/>
          <w:sz w:val="20"/>
        </w:rPr>
        <w:t>Reform</w:t>
      </w:r>
      <w:r>
        <w:rPr>
          <w:color w:val="231F20"/>
          <w:spacing w:val="-6"/>
          <w:sz w:val="20"/>
        </w:rPr>
        <w:t xml:space="preserve"> </w:t>
      </w:r>
      <w:r>
        <w:rPr>
          <w:color w:val="231F20"/>
          <w:sz w:val="20"/>
        </w:rPr>
        <w:t>Commission</w:t>
      </w:r>
      <w:r>
        <w:rPr>
          <w:color w:val="231F20"/>
          <w:spacing w:val="-5"/>
          <w:sz w:val="20"/>
        </w:rPr>
        <w:t xml:space="preserve"> </w:t>
      </w:r>
      <w:r>
        <w:rPr>
          <w:color w:val="231F20"/>
          <w:sz w:val="20"/>
        </w:rPr>
        <w:t>was</w:t>
      </w:r>
      <w:r>
        <w:rPr>
          <w:color w:val="231F20"/>
          <w:spacing w:val="-5"/>
          <w:sz w:val="20"/>
        </w:rPr>
        <w:t xml:space="preserve"> </w:t>
      </w:r>
      <w:r>
        <w:rPr>
          <w:color w:val="231F20"/>
          <w:sz w:val="20"/>
        </w:rPr>
        <w:t>asked</w:t>
      </w:r>
      <w:r>
        <w:rPr>
          <w:color w:val="231F20"/>
          <w:spacing w:val="-6"/>
          <w:sz w:val="20"/>
        </w:rPr>
        <w:t xml:space="preserve"> </w:t>
      </w:r>
      <w:r>
        <w:rPr>
          <w:color w:val="231F20"/>
          <w:sz w:val="20"/>
        </w:rPr>
        <w:t>to</w:t>
      </w:r>
      <w:r>
        <w:rPr>
          <w:color w:val="231F20"/>
          <w:spacing w:val="-5"/>
          <w:sz w:val="20"/>
        </w:rPr>
        <w:t xml:space="preserve"> </w:t>
      </w:r>
      <w:r>
        <w:rPr>
          <w:color w:val="231F20"/>
          <w:spacing w:val="-4"/>
          <w:sz w:val="20"/>
        </w:rPr>
        <w:t>review</w:t>
      </w:r>
      <w:r>
        <w:rPr>
          <w:color w:val="231F20"/>
          <w:spacing w:val="-5"/>
          <w:sz w:val="20"/>
        </w:rPr>
        <w:t xml:space="preserve"> </w:t>
      </w:r>
      <w:r>
        <w:rPr>
          <w:color w:val="231F20"/>
          <w:spacing w:val="-3"/>
          <w:sz w:val="20"/>
        </w:rPr>
        <w:t>Victoria’s</w:t>
      </w:r>
      <w:r>
        <w:rPr>
          <w:color w:val="231F20"/>
          <w:spacing w:val="-6"/>
          <w:sz w:val="20"/>
        </w:rPr>
        <w:t xml:space="preserve"> </w:t>
      </w:r>
      <w:r>
        <w:rPr>
          <w:color w:val="231F20"/>
          <w:sz w:val="20"/>
        </w:rPr>
        <w:t>legal</w:t>
      </w:r>
      <w:r>
        <w:rPr>
          <w:color w:val="231F20"/>
          <w:spacing w:val="-5"/>
          <w:sz w:val="20"/>
        </w:rPr>
        <w:t xml:space="preserve"> </w:t>
      </w:r>
      <w:r>
        <w:rPr>
          <w:color w:val="231F20"/>
          <w:sz w:val="20"/>
        </w:rPr>
        <w:t>responses</w:t>
      </w:r>
    </w:p>
    <w:p w14:paraId="616C51EE" w14:textId="77777777" w:rsidR="00894070" w:rsidRDefault="009B7AFD">
      <w:pPr>
        <w:pStyle w:val="BodyText"/>
        <w:spacing w:line="259" w:lineRule="exact"/>
        <w:ind w:left="1801"/>
      </w:pPr>
      <w:r>
        <w:rPr>
          <w:color w:val="231F20"/>
        </w:rPr>
        <w:t>to stalking, harassment and similar conduct.</w:t>
      </w:r>
    </w:p>
    <w:p w14:paraId="138FF2F4" w14:textId="77777777" w:rsidR="00894070" w:rsidRDefault="009B7AFD">
      <w:pPr>
        <w:pStyle w:val="ListParagraph"/>
        <w:numPr>
          <w:ilvl w:val="1"/>
          <w:numId w:val="177"/>
        </w:numPr>
        <w:tabs>
          <w:tab w:val="left" w:pos="1801"/>
          <w:tab w:val="left" w:pos="1802"/>
        </w:tabs>
        <w:spacing w:before="114" w:line="206" w:lineRule="auto"/>
        <w:ind w:right="1541"/>
        <w:rPr>
          <w:sz w:val="20"/>
        </w:rPr>
      </w:pPr>
      <w:r>
        <w:rPr>
          <w:color w:val="231F20"/>
          <w:spacing w:val="-6"/>
          <w:sz w:val="20"/>
        </w:rPr>
        <w:t>We</w:t>
      </w:r>
      <w:r>
        <w:rPr>
          <w:color w:val="231F20"/>
          <w:spacing w:val="-8"/>
          <w:sz w:val="20"/>
        </w:rPr>
        <w:t xml:space="preserve"> </w:t>
      </w:r>
      <w:r>
        <w:rPr>
          <w:color w:val="231F20"/>
          <w:spacing w:val="-4"/>
          <w:sz w:val="20"/>
        </w:rPr>
        <w:t>were</w:t>
      </w:r>
      <w:r>
        <w:rPr>
          <w:color w:val="231F20"/>
          <w:spacing w:val="-7"/>
          <w:sz w:val="20"/>
        </w:rPr>
        <w:t xml:space="preserve"> </w:t>
      </w:r>
      <w:r>
        <w:rPr>
          <w:color w:val="231F20"/>
          <w:sz w:val="20"/>
        </w:rPr>
        <w:t>guided</w:t>
      </w:r>
      <w:r>
        <w:rPr>
          <w:color w:val="231F20"/>
          <w:spacing w:val="-8"/>
          <w:sz w:val="20"/>
        </w:rPr>
        <w:t xml:space="preserve"> </w:t>
      </w:r>
      <w:r>
        <w:rPr>
          <w:color w:val="231F20"/>
          <w:spacing w:val="-3"/>
          <w:sz w:val="20"/>
        </w:rPr>
        <w:t>by</w:t>
      </w:r>
      <w:r>
        <w:rPr>
          <w:color w:val="231F20"/>
          <w:spacing w:val="-7"/>
          <w:sz w:val="20"/>
        </w:rPr>
        <w:t xml:space="preserve"> </w:t>
      </w:r>
      <w:r>
        <w:rPr>
          <w:color w:val="231F20"/>
          <w:sz w:val="20"/>
        </w:rPr>
        <w:t>our</w:t>
      </w:r>
      <w:r>
        <w:rPr>
          <w:color w:val="231F20"/>
          <w:spacing w:val="-8"/>
          <w:sz w:val="20"/>
        </w:rPr>
        <w:t xml:space="preserve"> </w:t>
      </w:r>
      <w:r>
        <w:rPr>
          <w:color w:val="231F20"/>
          <w:sz w:val="20"/>
        </w:rPr>
        <w:t>terms</w:t>
      </w:r>
      <w:r>
        <w:rPr>
          <w:color w:val="231F20"/>
          <w:spacing w:val="-7"/>
          <w:sz w:val="20"/>
        </w:rPr>
        <w:t xml:space="preserve"> </w:t>
      </w:r>
      <w:r>
        <w:rPr>
          <w:color w:val="231F20"/>
          <w:sz w:val="20"/>
        </w:rPr>
        <w:t>of</w:t>
      </w:r>
      <w:r>
        <w:rPr>
          <w:color w:val="231F20"/>
          <w:spacing w:val="-8"/>
          <w:sz w:val="20"/>
        </w:rPr>
        <w:t xml:space="preserve"> </w:t>
      </w:r>
      <w:r>
        <w:rPr>
          <w:color w:val="231F20"/>
          <w:spacing w:val="-3"/>
          <w:sz w:val="20"/>
        </w:rPr>
        <w:t>reference</w:t>
      </w:r>
      <w:r>
        <w:rPr>
          <w:color w:val="231F20"/>
          <w:spacing w:val="-7"/>
          <w:sz w:val="20"/>
        </w:rPr>
        <w:t xml:space="preserve"> </w:t>
      </w:r>
      <w:r>
        <w:rPr>
          <w:color w:val="231F20"/>
          <w:spacing w:val="-3"/>
          <w:sz w:val="20"/>
        </w:rPr>
        <w:t>given</w:t>
      </w:r>
      <w:r>
        <w:rPr>
          <w:color w:val="231F20"/>
          <w:spacing w:val="-7"/>
          <w:sz w:val="20"/>
        </w:rPr>
        <w:t xml:space="preserve"> </w:t>
      </w:r>
      <w:r>
        <w:rPr>
          <w:color w:val="231F20"/>
          <w:sz w:val="20"/>
        </w:rPr>
        <w:t>to</w:t>
      </w:r>
      <w:r>
        <w:rPr>
          <w:color w:val="231F20"/>
          <w:spacing w:val="-8"/>
          <w:sz w:val="20"/>
        </w:rPr>
        <w:t xml:space="preserve"> </w:t>
      </w:r>
      <w:r>
        <w:rPr>
          <w:color w:val="231F20"/>
          <w:sz w:val="20"/>
        </w:rPr>
        <w:t>us</w:t>
      </w:r>
      <w:r>
        <w:rPr>
          <w:color w:val="231F20"/>
          <w:spacing w:val="-7"/>
          <w:sz w:val="20"/>
        </w:rPr>
        <w:t xml:space="preserve"> </w:t>
      </w:r>
      <w:r>
        <w:rPr>
          <w:color w:val="231F20"/>
          <w:spacing w:val="-3"/>
          <w:sz w:val="20"/>
        </w:rPr>
        <w:t>by</w:t>
      </w:r>
      <w:r>
        <w:rPr>
          <w:color w:val="231F20"/>
          <w:spacing w:val="-8"/>
          <w:sz w:val="20"/>
        </w:rPr>
        <w:t xml:space="preserve"> </w:t>
      </w:r>
      <w:r>
        <w:rPr>
          <w:color w:val="231F20"/>
          <w:sz w:val="20"/>
        </w:rPr>
        <w:t>the</w:t>
      </w:r>
      <w:r>
        <w:rPr>
          <w:color w:val="231F20"/>
          <w:spacing w:val="-7"/>
          <w:sz w:val="20"/>
        </w:rPr>
        <w:t xml:space="preserve"> </w:t>
      </w:r>
      <w:r>
        <w:rPr>
          <w:color w:val="231F20"/>
          <w:sz w:val="20"/>
        </w:rPr>
        <w:t>Attorney-General,</w:t>
      </w:r>
      <w:r>
        <w:rPr>
          <w:color w:val="231F20"/>
          <w:spacing w:val="-8"/>
          <w:sz w:val="20"/>
        </w:rPr>
        <w:t xml:space="preserve"> </w:t>
      </w:r>
      <w:r>
        <w:rPr>
          <w:color w:val="231F20"/>
          <w:sz w:val="20"/>
        </w:rPr>
        <w:t xml:space="preserve">the Hon. </w:t>
      </w:r>
      <w:r>
        <w:rPr>
          <w:color w:val="231F20"/>
          <w:spacing w:val="-3"/>
          <w:sz w:val="20"/>
        </w:rPr>
        <w:t xml:space="preserve">Jaclyn Symes </w:t>
      </w:r>
      <w:r>
        <w:rPr>
          <w:color w:val="231F20"/>
          <w:spacing w:val="-8"/>
          <w:sz w:val="20"/>
        </w:rPr>
        <w:t xml:space="preserve">MP, </w:t>
      </w:r>
      <w:r>
        <w:rPr>
          <w:color w:val="231F20"/>
          <w:sz w:val="20"/>
        </w:rPr>
        <w:t xml:space="preserve">on </w:t>
      </w:r>
      <w:r>
        <w:rPr>
          <w:color w:val="231F20"/>
          <w:spacing w:val="-5"/>
          <w:sz w:val="20"/>
        </w:rPr>
        <w:t xml:space="preserve">17 </w:t>
      </w:r>
      <w:r>
        <w:rPr>
          <w:color w:val="231F20"/>
          <w:sz w:val="20"/>
        </w:rPr>
        <w:t xml:space="preserve">February </w:t>
      </w:r>
      <w:r>
        <w:rPr>
          <w:color w:val="231F20"/>
          <w:spacing w:val="-3"/>
          <w:sz w:val="20"/>
        </w:rPr>
        <w:t xml:space="preserve">2021 </w:t>
      </w:r>
      <w:r>
        <w:rPr>
          <w:color w:val="231F20"/>
          <w:sz w:val="20"/>
        </w:rPr>
        <w:t>(see page</w:t>
      </w:r>
      <w:r>
        <w:rPr>
          <w:color w:val="231F20"/>
          <w:spacing w:val="-21"/>
          <w:sz w:val="20"/>
        </w:rPr>
        <w:t xml:space="preserve"> </w:t>
      </w:r>
      <w:r>
        <w:rPr>
          <w:color w:val="231F20"/>
          <w:sz w:val="20"/>
        </w:rPr>
        <w:t>x).</w:t>
      </w:r>
    </w:p>
    <w:p w14:paraId="146825CD" w14:textId="77777777" w:rsidR="00894070" w:rsidRDefault="009B7AFD">
      <w:pPr>
        <w:pStyle w:val="ListParagraph"/>
        <w:numPr>
          <w:ilvl w:val="1"/>
          <w:numId w:val="177"/>
        </w:numPr>
        <w:tabs>
          <w:tab w:val="left" w:pos="1801"/>
          <w:tab w:val="left" w:pos="1802"/>
        </w:tabs>
        <w:spacing w:before="91"/>
        <w:rPr>
          <w:sz w:val="20"/>
        </w:rPr>
      </w:pPr>
      <w:r>
        <w:rPr>
          <w:color w:val="231F20"/>
          <w:sz w:val="20"/>
        </w:rPr>
        <w:t>Our</w:t>
      </w:r>
      <w:r>
        <w:rPr>
          <w:color w:val="231F20"/>
          <w:spacing w:val="-6"/>
          <w:sz w:val="20"/>
        </w:rPr>
        <w:t xml:space="preserve"> </w:t>
      </w:r>
      <w:r>
        <w:rPr>
          <w:color w:val="231F20"/>
          <w:sz w:val="20"/>
        </w:rPr>
        <w:t>terms</w:t>
      </w:r>
      <w:r>
        <w:rPr>
          <w:color w:val="231F20"/>
          <w:spacing w:val="-5"/>
          <w:sz w:val="20"/>
        </w:rPr>
        <w:t xml:space="preserve"> </w:t>
      </w:r>
      <w:r>
        <w:rPr>
          <w:color w:val="231F20"/>
          <w:sz w:val="20"/>
        </w:rPr>
        <w:t>of</w:t>
      </w:r>
      <w:r>
        <w:rPr>
          <w:color w:val="231F20"/>
          <w:spacing w:val="-6"/>
          <w:sz w:val="20"/>
        </w:rPr>
        <w:t xml:space="preserve"> </w:t>
      </w:r>
      <w:r>
        <w:rPr>
          <w:color w:val="231F20"/>
          <w:spacing w:val="-3"/>
          <w:sz w:val="20"/>
        </w:rPr>
        <w:t>reference</w:t>
      </w:r>
      <w:r>
        <w:rPr>
          <w:color w:val="231F20"/>
          <w:spacing w:val="-5"/>
          <w:sz w:val="20"/>
        </w:rPr>
        <w:t xml:space="preserve"> </w:t>
      </w:r>
      <w:r>
        <w:rPr>
          <w:color w:val="231F20"/>
          <w:spacing w:val="-3"/>
          <w:sz w:val="20"/>
        </w:rPr>
        <w:t>focus</w:t>
      </w:r>
      <w:r>
        <w:rPr>
          <w:color w:val="231F20"/>
          <w:spacing w:val="-6"/>
          <w:sz w:val="20"/>
        </w:rPr>
        <w:t xml:space="preserve"> </w:t>
      </w:r>
      <w:r>
        <w:rPr>
          <w:color w:val="231F20"/>
          <w:sz w:val="20"/>
        </w:rPr>
        <w:t>on</w:t>
      </w:r>
      <w:r>
        <w:rPr>
          <w:color w:val="231F20"/>
          <w:spacing w:val="-5"/>
          <w:sz w:val="20"/>
        </w:rPr>
        <w:t xml:space="preserve"> </w:t>
      </w:r>
      <w:r>
        <w:rPr>
          <w:color w:val="231F20"/>
          <w:sz w:val="20"/>
        </w:rPr>
        <w:t>non-family</w:t>
      </w:r>
      <w:r>
        <w:rPr>
          <w:color w:val="231F20"/>
          <w:spacing w:val="-5"/>
          <w:sz w:val="20"/>
        </w:rPr>
        <w:t xml:space="preserve"> </w:t>
      </w:r>
      <w:r>
        <w:rPr>
          <w:color w:val="231F20"/>
          <w:sz w:val="20"/>
        </w:rPr>
        <w:t>violence</w:t>
      </w:r>
      <w:r>
        <w:rPr>
          <w:color w:val="231F20"/>
          <w:spacing w:val="-6"/>
          <w:sz w:val="20"/>
        </w:rPr>
        <w:t xml:space="preserve"> </w:t>
      </w:r>
      <w:r>
        <w:rPr>
          <w:color w:val="231F20"/>
          <w:sz w:val="20"/>
        </w:rPr>
        <w:t>stalking</w:t>
      </w:r>
      <w:r>
        <w:rPr>
          <w:color w:val="231F20"/>
          <w:spacing w:val="-5"/>
          <w:sz w:val="20"/>
        </w:rPr>
        <w:t xml:space="preserve"> </w:t>
      </w:r>
      <w:r>
        <w:rPr>
          <w:color w:val="231F20"/>
          <w:sz w:val="20"/>
        </w:rPr>
        <w:t>and</w:t>
      </w:r>
      <w:r>
        <w:rPr>
          <w:color w:val="231F20"/>
          <w:spacing w:val="-6"/>
          <w:sz w:val="20"/>
        </w:rPr>
        <w:t xml:space="preserve"> </w:t>
      </w:r>
      <w:r>
        <w:rPr>
          <w:color w:val="231F20"/>
          <w:sz w:val="20"/>
        </w:rPr>
        <w:t>ask</w:t>
      </w:r>
      <w:r>
        <w:rPr>
          <w:color w:val="231F20"/>
          <w:spacing w:val="-5"/>
          <w:sz w:val="20"/>
        </w:rPr>
        <w:t xml:space="preserve"> </w:t>
      </w:r>
      <w:r>
        <w:rPr>
          <w:color w:val="231F20"/>
          <w:sz w:val="20"/>
        </w:rPr>
        <w:t>us</w:t>
      </w:r>
      <w:r>
        <w:rPr>
          <w:color w:val="231F20"/>
          <w:spacing w:val="-5"/>
          <w:sz w:val="20"/>
        </w:rPr>
        <w:t xml:space="preserve"> </w:t>
      </w:r>
      <w:r>
        <w:rPr>
          <w:color w:val="231F20"/>
          <w:sz w:val="20"/>
        </w:rPr>
        <w:t>to</w:t>
      </w:r>
      <w:r>
        <w:rPr>
          <w:color w:val="231F20"/>
          <w:spacing w:val="-6"/>
          <w:sz w:val="20"/>
        </w:rPr>
        <w:t xml:space="preserve"> </w:t>
      </w:r>
      <w:r>
        <w:rPr>
          <w:color w:val="231F20"/>
          <w:sz w:val="20"/>
        </w:rPr>
        <w:t>look</w:t>
      </w:r>
      <w:r>
        <w:rPr>
          <w:color w:val="231F20"/>
          <w:spacing w:val="-5"/>
          <w:sz w:val="20"/>
        </w:rPr>
        <w:t xml:space="preserve"> </w:t>
      </w:r>
      <w:r>
        <w:rPr>
          <w:color w:val="231F20"/>
          <w:sz w:val="20"/>
        </w:rPr>
        <w:t>at:</w:t>
      </w:r>
    </w:p>
    <w:p w14:paraId="7A7EF4EC"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 xml:space="preserve">the personal safety </w:t>
      </w:r>
      <w:r>
        <w:rPr>
          <w:color w:val="231F20"/>
          <w:spacing w:val="-2"/>
          <w:sz w:val="20"/>
        </w:rPr>
        <w:t xml:space="preserve">intervention </w:t>
      </w:r>
      <w:r>
        <w:rPr>
          <w:color w:val="231F20"/>
          <w:sz w:val="20"/>
        </w:rPr>
        <w:t>order (PSIO)</w:t>
      </w:r>
      <w:r>
        <w:rPr>
          <w:color w:val="231F20"/>
          <w:spacing w:val="-25"/>
          <w:sz w:val="20"/>
        </w:rPr>
        <w:t xml:space="preserve"> </w:t>
      </w:r>
      <w:r>
        <w:rPr>
          <w:color w:val="231F20"/>
          <w:spacing w:val="-2"/>
          <w:sz w:val="20"/>
        </w:rPr>
        <w:t>system</w:t>
      </w:r>
    </w:p>
    <w:p w14:paraId="7386FE90" w14:textId="77777777" w:rsidR="00894070" w:rsidRDefault="009B7AFD">
      <w:pPr>
        <w:pStyle w:val="ListParagraph"/>
        <w:numPr>
          <w:ilvl w:val="2"/>
          <w:numId w:val="177"/>
        </w:numPr>
        <w:tabs>
          <w:tab w:val="left" w:pos="2141"/>
          <w:tab w:val="left" w:pos="2142"/>
        </w:tabs>
        <w:spacing w:before="47" w:line="259" w:lineRule="exact"/>
        <w:ind w:hanging="340"/>
        <w:rPr>
          <w:sz w:val="20"/>
        </w:rPr>
      </w:pPr>
      <w:r>
        <w:rPr>
          <w:color w:val="231F20"/>
          <w:sz w:val="20"/>
        </w:rPr>
        <w:t>what</w:t>
      </w:r>
      <w:r>
        <w:rPr>
          <w:color w:val="231F20"/>
          <w:spacing w:val="-6"/>
          <w:sz w:val="20"/>
        </w:rPr>
        <w:t xml:space="preserve"> </w:t>
      </w:r>
      <w:r>
        <w:rPr>
          <w:color w:val="231F20"/>
          <w:spacing w:val="-3"/>
          <w:sz w:val="20"/>
        </w:rPr>
        <w:t>prevents</w:t>
      </w:r>
      <w:r>
        <w:rPr>
          <w:color w:val="231F20"/>
          <w:spacing w:val="-5"/>
          <w:sz w:val="20"/>
        </w:rPr>
        <w:t xml:space="preserve"> </w:t>
      </w:r>
      <w:r>
        <w:rPr>
          <w:color w:val="231F20"/>
          <w:sz w:val="20"/>
        </w:rPr>
        <w:t>the</w:t>
      </w:r>
      <w:r>
        <w:rPr>
          <w:color w:val="231F20"/>
          <w:spacing w:val="-6"/>
          <w:sz w:val="20"/>
        </w:rPr>
        <w:t xml:space="preserve"> </w:t>
      </w:r>
      <w:r>
        <w:rPr>
          <w:color w:val="231F20"/>
          <w:sz w:val="20"/>
        </w:rPr>
        <w:t>law</w:t>
      </w:r>
      <w:r>
        <w:rPr>
          <w:color w:val="231F20"/>
          <w:spacing w:val="-5"/>
          <w:sz w:val="20"/>
        </w:rPr>
        <w:t xml:space="preserve"> </w:t>
      </w:r>
      <w:r>
        <w:rPr>
          <w:color w:val="231F20"/>
          <w:spacing w:val="-3"/>
          <w:sz w:val="20"/>
        </w:rPr>
        <w:t>from</w:t>
      </w:r>
      <w:r>
        <w:rPr>
          <w:color w:val="231F20"/>
          <w:spacing w:val="-6"/>
          <w:sz w:val="20"/>
        </w:rPr>
        <w:t xml:space="preserve"> </w:t>
      </w:r>
      <w:r>
        <w:rPr>
          <w:color w:val="231F20"/>
          <w:spacing w:val="-3"/>
          <w:sz w:val="20"/>
        </w:rPr>
        <w:t>effectively</w:t>
      </w:r>
      <w:r>
        <w:rPr>
          <w:color w:val="231F20"/>
          <w:spacing w:val="-5"/>
          <w:sz w:val="20"/>
        </w:rPr>
        <w:t xml:space="preserve"> </w:t>
      </w:r>
      <w:r>
        <w:rPr>
          <w:color w:val="231F20"/>
          <w:sz w:val="20"/>
        </w:rPr>
        <w:t>responding</w:t>
      </w:r>
      <w:r>
        <w:rPr>
          <w:color w:val="231F20"/>
          <w:spacing w:val="-5"/>
          <w:sz w:val="20"/>
        </w:rPr>
        <w:t xml:space="preserve"> </w:t>
      </w:r>
      <w:r>
        <w:rPr>
          <w:color w:val="231F20"/>
          <w:sz w:val="20"/>
        </w:rPr>
        <w:t>to</w:t>
      </w:r>
      <w:r>
        <w:rPr>
          <w:color w:val="231F20"/>
          <w:spacing w:val="-6"/>
          <w:sz w:val="20"/>
        </w:rPr>
        <w:t xml:space="preserve"> </w:t>
      </w:r>
      <w:r>
        <w:rPr>
          <w:color w:val="231F20"/>
          <w:sz w:val="20"/>
        </w:rPr>
        <w:t>stalking,</w:t>
      </w:r>
      <w:r>
        <w:rPr>
          <w:color w:val="231F20"/>
          <w:spacing w:val="-5"/>
          <w:sz w:val="20"/>
        </w:rPr>
        <w:t xml:space="preserve"> </w:t>
      </w:r>
      <w:r>
        <w:rPr>
          <w:color w:val="231F20"/>
          <w:sz w:val="20"/>
        </w:rPr>
        <w:t>harassment</w:t>
      </w:r>
      <w:r>
        <w:rPr>
          <w:color w:val="231F20"/>
          <w:spacing w:val="-6"/>
          <w:sz w:val="20"/>
        </w:rPr>
        <w:t xml:space="preserve"> </w:t>
      </w:r>
      <w:r>
        <w:rPr>
          <w:color w:val="231F20"/>
          <w:sz w:val="20"/>
        </w:rPr>
        <w:t>and</w:t>
      </w:r>
    </w:p>
    <w:p w14:paraId="1CE0CBD5" w14:textId="77777777" w:rsidR="00894070" w:rsidRDefault="009B7AFD">
      <w:pPr>
        <w:pStyle w:val="BodyText"/>
        <w:spacing w:line="259" w:lineRule="exact"/>
        <w:ind w:left="2141"/>
      </w:pPr>
      <w:r>
        <w:rPr>
          <w:color w:val="231F20"/>
        </w:rPr>
        <w:t>similar conduct</w:t>
      </w:r>
    </w:p>
    <w:p w14:paraId="76F8650B" w14:textId="77777777" w:rsidR="00894070" w:rsidRDefault="009B7AFD">
      <w:pPr>
        <w:pStyle w:val="ListParagraph"/>
        <w:numPr>
          <w:ilvl w:val="2"/>
          <w:numId w:val="177"/>
        </w:numPr>
        <w:tabs>
          <w:tab w:val="left" w:pos="2141"/>
          <w:tab w:val="left" w:pos="2142"/>
        </w:tabs>
        <w:spacing w:before="48"/>
        <w:ind w:hanging="340"/>
        <w:rPr>
          <w:sz w:val="20"/>
        </w:rPr>
      </w:pPr>
      <w:r>
        <w:rPr>
          <w:color w:val="231F20"/>
          <w:spacing w:val="-3"/>
          <w:sz w:val="20"/>
        </w:rPr>
        <w:t xml:space="preserve">how </w:t>
      </w:r>
      <w:r>
        <w:rPr>
          <w:color w:val="231F20"/>
          <w:sz w:val="20"/>
        </w:rPr>
        <w:t xml:space="preserve">to </w:t>
      </w:r>
      <w:r>
        <w:rPr>
          <w:color w:val="231F20"/>
          <w:spacing w:val="-4"/>
          <w:sz w:val="20"/>
        </w:rPr>
        <w:t xml:space="preserve">improve </w:t>
      </w:r>
      <w:r>
        <w:rPr>
          <w:color w:val="231F20"/>
          <w:sz w:val="20"/>
        </w:rPr>
        <w:t xml:space="preserve">the law and the justice </w:t>
      </w:r>
      <w:r>
        <w:rPr>
          <w:color w:val="231F20"/>
          <w:spacing w:val="-3"/>
          <w:sz w:val="20"/>
        </w:rPr>
        <w:t>system’s</w:t>
      </w:r>
      <w:r>
        <w:rPr>
          <w:color w:val="231F20"/>
          <w:spacing w:val="-30"/>
          <w:sz w:val="20"/>
        </w:rPr>
        <w:t xml:space="preserve"> </w:t>
      </w:r>
      <w:r>
        <w:rPr>
          <w:color w:val="231F20"/>
          <w:spacing w:val="-3"/>
          <w:sz w:val="20"/>
        </w:rPr>
        <w:t>response.</w:t>
      </w:r>
    </w:p>
    <w:p w14:paraId="32495FD1" w14:textId="77777777" w:rsidR="00894070" w:rsidRDefault="00894070">
      <w:pPr>
        <w:pStyle w:val="BodyText"/>
      </w:pPr>
    </w:p>
    <w:p w14:paraId="43EDA27A" w14:textId="77777777" w:rsidR="00894070" w:rsidRDefault="00894070">
      <w:pPr>
        <w:pStyle w:val="BodyText"/>
      </w:pPr>
    </w:p>
    <w:p w14:paraId="0E7EFC16" w14:textId="77777777" w:rsidR="00894070" w:rsidRDefault="00894070">
      <w:pPr>
        <w:pStyle w:val="BodyText"/>
        <w:spacing w:before="10"/>
        <w:rPr>
          <w:sz w:val="16"/>
        </w:rPr>
      </w:pPr>
    </w:p>
    <w:p w14:paraId="3899A2B2" w14:textId="77777777" w:rsidR="00894070" w:rsidRDefault="009B7AFD">
      <w:pPr>
        <w:pStyle w:val="Heading8"/>
        <w:spacing w:before="49"/>
        <w:ind w:left="140"/>
      </w:pPr>
      <w:r>
        <w:rPr>
          <w:color w:val="EA5B50"/>
        </w:rPr>
        <w:t>2</w:t>
      </w:r>
    </w:p>
    <w:p w14:paraId="7903642C" w14:textId="77777777" w:rsidR="00894070" w:rsidRDefault="00894070">
      <w:pPr>
        <w:sectPr w:rsidR="00894070">
          <w:pgSz w:w="11910" w:h="16840"/>
          <w:pgMar w:top="860" w:right="420" w:bottom="280" w:left="580" w:header="567" w:footer="0" w:gutter="0"/>
          <w:cols w:space="720"/>
        </w:sectPr>
      </w:pPr>
    </w:p>
    <w:p w14:paraId="1226E034" w14:textId="77777777" w:rsidR="00894070" w:rsidRDefault="00894070">
      <w:pPr>
        <w:pStyle w:val="BodyText"/>
        <w:rPr>
          <w:b/>
        </w:rPr>
      </w:pPr>
    </w:p>
    <w:p w14:paraId="7873D3E0" w14:textId="77777777" w:rsidR="00894070" w:rsidRDefault="00894070">
      <w:pPr>
        <w:pStyle w:val="BodyText"/>
        <w:rPr>
          <w:b/>
        </w:rPr>
      </w:pPr>
    </w:p>
    <w:p w14:paraId="0E941FEE" w14:textId="77777777" w:rsidR="00894070" w:rsidRDefault="00894070">
      <w:pPr>
        <w:pStyle w:val="BodyText"/>
        <w:rPr>
          <w:b/>
        </w:rPr>
      </w:pPr>
    </w:p>
    <w:p w14:paraId="6399A222" w14:textId="77777777" w:rsidR="00894070" w:rsidRDefault="00894070">
      <w:pPr>
        <w:pStyle w:val="BodyText"/>
        <w:spacing w:before="6"/>
        <w:rPr>
          <w:b/>
          <w:sz w:val="14"/>
        </w:rPr>
      </w:pPr>
    </w:p>
    <w:p w14:paraId="17EDE6CB" w14:textId="77777777" w:rsidR="00894070" w:rsidRDefault="009B7AFD">
      <w:pPr>
        <w:spacing w:before="41"/>
        <w:ind w:left="1007"/>
        <w:rPr>
          <w:rFonts w:ascii="Raleway ExtraBold"/>
          <w:b/>
          <w:sz w:val="28"/>
        </w:rPr>
      </w:pPr>
      <w:bookmarkStart w:id="14" w:name="Our_interim_report_and_this_report"/>
      <w:bookmarkStart w:id="15" w:name="Our_process"/>
      <w:bookmarkStart w:id="16" w:name="_bookmark6"/>
      <w:bookmarkEnd w:id="14"/>
      <w:bookmarkEnd w:id="15"/>
      <w:bookmarkEnd w:id="16"/>
      <w:r>
        <w:rPr>
          <w:rFonts w:ascii="Raleway ExtraBold"/>
          <w:b/>
          <w:color w:val="EA5B50"/>
          <w:sz w:val="28"/>
        </w:rPr>
        <w:t>Our interim report and this report</w:t>
      </w:r>
    </w:p>
    <w:p w14:paraId="1CBBB790" w14:textId="77777777" w:rsidR="00894070" w:rsidRDefault="009B7AFD">
      <w:pPr>
        <w:pStyle w:val="ListParagraph"/>
        <w:numPr>
          <w:ilvl w:val="1"/>
          <w:numId w:val="177"/>
        </w:numPr>
        <w:tabs>
          <w:tab w:val="left" w:pos="1801"/>
          <w:tab w:val="left" w:pos="1802"/>
        </w:tabs>
        <w:spacing w:before="146" w:line="206" w:lineRule="auto"/>
        <w:ind w:right="1404"/>
        <w:jc w:val="both"/>
        <w:rPr>
          <w:sz w:val="20"/>
        </w:rPr>
      </w:pPr>
      <w:r>
        <w:rPr>
          <w:color w:val="231F20"/>
          <w:sz w:val="20"/>
        </w:rPr>
        <w:t xml:space="preserve">The Attorney-General asked us </w:t>
      </w:r>
      <w:r>
        <w:rPr>
          <w:color w:val="231F20"/>
          <w:spacing w:val="-3"/>
          <w:sz w:val="20"/>
        </w:rPr>
        <w:t xml:space="preserve">for </w:t>
      </w:r>
      <w:r>
        <w:rPr>
          <w:color w:val="231F20"/>
          <w:sz w:val="20"/>
        </w:rPr>
        <w:t xml:space="preserve">an </w:t>
      </w:r>
      <w:r>
        <w:rPr>
          <w:color w:val="231F20"/>
          <w:spacing w:val="-3"/>
          <w:sz w:val="20"/>
        </w:rPr>
        <w:t xml:space="preserve">interim </w:t>
      </w:r>
      <w:r>
        <w:rPr>
          <w:color w:val="231F20"/>
          <w:sz w:val="20"/>
        </w:rPr>
        <w:t xml:space="preserve">report and a final report. </w:t>
      </w:r>
      <w:r>
        <w:rPr>
          <w:color w:val="231F20"/>
          <w:spacing w:val="-6"/>
          <w:sz w:val="20"/>
        </w:rPr>
        <w:t xml:space="preserve">We </w:t>
      </w:r>
      <w:r>
        <w:rPr>
          <w:color w:val="231F20"/>
          <w:spacing w:val="-3"/>
          <w:sz w:val="20"/>
        </w:rPr>
        <w:t xml:space="preserve">delivered </w:t>
      </w:r>
      <w:r>
        <w:rPr>
          <w:color w:val="231F20"/>
          <w:sz w:val="20"/>
        </w:rPr>
        <w:t xml:space="preserve">our </w:t>
      </w:r>
      <w:r>
        <w:rPr>
          <w:color w:val="231F20"/>
          <w:spacing w:val="-3"/>
          <w:sz w:val="20"/>
        </w:rPr>
        <w:t xml:space="preserve">interim </w:t>
      </w:r>
      <w:r>
        <w:rPr>
          <w:color w:val="231F20"/>
          <w:sz w:val="20"/>
        </w:rPr>
        <w:t>report on 22 December 2021. It was tabled in the Victorian Parliament on 6</w:t>
      </w:r>
      <w:r>
        <w:rPr>
          <w:color w:val="231F20"/>
          <w:spacing w:val="-8"/>
          <w:sz w:val="20"/>
        </w:rPr>
        <w:t xml:space="preserve"> </w:t>
      </w:r>
      <w:r>
        <w:rPr>
          <w:color w:val="231F20"/>
          <w:sz w:val="20"/>
        </w:rPr>
        <w:t>April</w:t>
      </w:r>
      <w:r>
        <w:rPr>
          <w:color w:val="231F20"/>
          <w:spacing w:val="-8"/>
          <w:sz w:val="20"/>
        </w:rPr>
        <w:t xml:space="preserve"> </w:t>
      </w:r>
      <w:r>
        <w:rPr>
          <w:color w:val="231F20"/>
          <w:spacing w:val="-3"/>
          <w:sz w:val="20"/>
        </w:rPr>
        <w:t>2022.</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interim</w:t>
      </w:r>
      <w:r>
        <w:rPr>
          <w:color w:val="231F20"/>
          <w:spacing w:val="-7"/>
          <w:sz w:val="20"/>
        </w:rPr>
        <w:t xml:space="preserve"> </w:t>
      </w:r>
      <w:r>
        <w:rPr>
          <w:color w:val="231F20"/>
          <w:sz w:val="20"/>
        </w:rPr>
        <w:t>report</w:t>
      </w:r>
      <w:r>
        <w:rPr>
          <w:color w:val="231F20"/>
          <w:spacing w:val="-8"/>
          <w:sz w:val="20"/>
        </w:rPr>
        <w:t xml:space="preserve"> </w:t>
      </w:r>
      <w:r>
        <w:rPr>
          <w:color w:val="231F20"/>
          <w:sz w:val="20"/>
        </w:rPr>
        <w:t>focused</w:t>
      </w:r>
      <w:r>
        <w:rPr>
          <w:color w:val="231F20"/>
          <w:spacing w:val="-7"/>
          <w:sz w:val="20"/>
        </w:rPr>
        <w:t xml:space="preserve"> </w:t>
      </w:r>
      <w:r>
        <w:rPr>
          <w:color w:val="231F20"/>
          <w:sz w:val="20"/>
        </w:rPr>
        <w:t>on</w:t>
      </w:r>
      <w:r>
        <w:rPr>
          <w:color w:val="231F20"/>
          <w:spacing w:val="-8"/>
          <w:sz w:val="20"/>
        </w:rPr>
        <w:t xml:space="preserve"> </w:t>
      </w:r>
      <w:r>
        <w:rPr>
          <w:color w:val="231F20"/>
          <w:spacing w:val="-3"/>
          <w:sz w:val="20"/>
        </w:rPr>
        <w:t>improving</w:t>
      </w:r>
      <w:r>
        <w:rPr>
          <w:color w:val="231F20"/>
          <w:spacing w:val="-7"/>
          <w:sz w:val="20"/>
        </w:rPr>
        <w:t xml:space="preserve"> </w:t>
      </w:r>
      <w:r>
        <w:rPr>
          <w:color w:val="231F20"/>
          <w:sz w:val="20"/>
        </w:rPr>
        <w:t>the</w:t>
      </w:r>
      <w:r>
        <w:rPr>
          <w:color w:val="231F20"/>
          <w:spacing w:val="-8"/>
          <w:sz w:val="20"/>
        </w:rPr>
        <w:t xml:space="preserve"> </w:t>
      </w:r>
      <w:r>
        <w:rPr>
          <w:color w:val="231F20"/>
          <w:sz w:val="20"/>
        </w:rPr>
        <w:t>police</w:t>
      </w:r>
      <w:r>
        <w:rPr>
          <w:color w:val="231F20"/>
          <w:spacing w:val="-7"/>
          <w:sz w:val="20"/>
        </w:rPr>
        <w:t xml:space="preserve"> </w:t>
      </w:r>
      <w:r>
        <w:rPr>
          <w:color w:val="231F20"/>
          <w:sz w:val="20"/>
        </w:rPr>
        <w:t>response</w:t>
      </w:r>
      <w:r>
        <w:rPr>
          <w:color w:val="231F20"/>
          <w:spacing w:val="-8"/>
          <w:sz w:val="20"/>
        </w:rPr>
        <w:t xml:space="preserve"> </w:t>
      </w:r>
      <w:r>
        <w:rPr>
          <w:color w:val="231F20"/>
          <w:sz w:val="20"/>
        </w:rPr>
        <w:t>to</w:t>
      </w:r>
      <w:r>
        <w:rPr>
          <w:color w:val="231F20"/>
          <w:spacing w:val="-8"/>
          <w:sz w:val="20"/>
        </w:rPr>
        <w:t xml:space="preserve"> </w:t>
      </w:r>
      <w:r>
        <w:rPr>
          <w:color w:val="231F20"/>
          <w:sz w:val="20"/>
        </w:rPr>
        <w:t>stalking.</w:t>
      </w:r>
    </w:p>
    <w:p w14:paraId="687DE388" w14:textId="77777777" w:rsidR="00894070" w:rsidRDefault="009B7AFD">
      <w:pPr>
        <w:pStyle w:val="ListParagraph"/>
        <w:numPr>
          <w:ilvl w:val="1"/>
          <w:numId w:val="177"/>
        </w:numPr>
        <w:tabs>
          <w:tab w:val="left" w:pos="1801"/>
          <w:tab w:val="left" w:pos="1802"/>
        </w:tabs>
        <w:spacing w:before="91"/>
        <w:rPr>
          <w:sz w:val="20"/>
        </w:rPr>
      </w:pPr>
      <w:r>
        <w:rPr>
          <w:color w:val="231F20"/>
          <w:sz w:val="20"/>
        </w:rPr>
        <w:t>This</w:t>
      </w:r>
      <w:r>
        <w:rPr>
          <w:color w:val="231F20"/>
          <w:spacing w:val="-5"/>
          <w:sz w:val="20"/>
        </w:rPr>
        <w:t xml:space="preserve"> </w:t>
      </w:r>
      <w:r>
        <w:rPr>
          <w:color w:val="231F20"/>
          <w:sz w:val="20"/>
        </w:rPr>
        <w:t>report</w:t>
      </w:r>
      <w:r>
        <w:rPr>
          <w:color w:val="231F20"/>
          <w:spacing w:val="-4"/>
          <w:sz w:val="20"/>
        </w:rPr>
        <w:t xml:space="preserve"> </w:t>
      </w:r>
      <w:r>
        <w:rPr>
          <w:color w:val="231F20"/>
          <w:sz w:val="20"/>
        </w:rPr>
        <w:t>deals</w:t>
      </w:r>
      <w:r>
        <w:rPr>
          <w:color w:val="231F20"/>
          <w:spacing w:val="-5"/>
          <w:sz w:val="20"/>
        </w:rPr>
        <w:t xml:space="preserve"> </w:t>
      </w:r>
      <w:r>
        <w:rPr>
          <w:color w:val="231F20"/>
          <w:sz w:val="20"/>
        </w:rPr>
        <w:t>with</w:t>
      </w:r>
      <w:r>
        <w:rPr>
          <w:color w:val="231F20"/>
          <w:spacing w:val="-4"/>
          <w:sz w:val="20"/>
        </w:rPr>
        <w:t xml:space="preserve"> </w:t>
      </w:r>
      <w:r>
        <w:rPr>
          <w:color w:val="231F20"/>
          <w:sz w:val="20"/>
        </w:rPr>
        <w:t>other</w:t>
      </w:r>
      <w:r>
        <w:rPr>
          <w:color w:val="231F20"/>
          <w:spacing w:val="-5"/>
          <w:sz w:val="20"/>
        </w:rPr>
        <w:t xml:space="preserve"> </w:t>
      </w:r>
      <w:r>
        <w:rPr>
          <w:color w:val="231F20"/>
          <w:sz w:val="20"/>
        </w:rPr>
        <w:t>parts</w:t>
      </w:r>
      <w:r>
        <w:rPr>
          <w:color w:val="231F20"/>
          <w:spacing w:val="-4"/>
          <w:sz w:val="20"/>
        </w:rPr>
        <w:t xml:space="preserve"> </w:t>
      </w:r>
      <w:r>
        <w:rPr>
          <w:color w:val="231F20"/>
          <w:sz w:val="20"/>
        </w:rPr>
        <w:t>of</w:t>
      </w:r>
      <w:r>
        <w:rPr>
          <w:color w:val="231F20"/>
          <w:spacing w:val="-4"/>
          <w:sz w:val="20"/>
        </w:rPr>
        <w:t xml:space="preserve"> </w:t>
      </w:r>
      <w:r>
        <w:rPr>
          <w:color w:val="231F20"/>
          <w:sz w:val="20"/>
        </w:rPr>
        <w:t>our</w:t>
      </w:r>
      <w:r>
        <w:rPr>
          <w:color w:val="231F20"/>
          <w:spacing w:val="-5"/>
          <w:sz w:val="20"/>
        </w:rPr>
        <w:t xml:space="preserve"> </w:t>
      </w:r>
      <w:r>
        <w:rPr>
          <w:color w:val="231F20"/>
          <w:sz w:val="20"/>
        </w:rPr>
        <w:t>terms</w:t>
      </w:r>
      <w:r>
        <w:rPr>
          <w:color w:val="231F20"/>
          <w:spacing w:val="-4"/>
          <w:sz w:val="20"/>
        </w:rPr>
        <w:t xml:space="preserve"> </w:t>
      </w:r>
      <w:r>
        <w:rPr>
          <w:color w:val="231F20"/>
          <w:sz w:val="20"/>
        </w:rPr>
        <w:t>of</w:t>
      </w:r>
      <w:r>
        <w:rPr>
          <w:color w:val="231F20"/>
          <w:spacing w:val="-5"/>
          <w:sz w:val="20"/>
        </w:rPr>
        <w:t xml:space="preserve"> </w:t>
      </w:r>
      <w:r>
        <w:rPr>
          <w:color w:val="231F20"/>
          <w:spacing w:val="-3"/>
          <w:sz w:val="20"/>
        </w:rPr>
        <w:t>reference.</w:t>
      </w:r>
    </w:p>
    <w:p w14:paraId="408EB88A" w14:textId="77777777" w:rsidR="00894070" w:rsidRDefault="00894070">
      <w:pPr>
        <w:pStyle w:val="BodyText"/>
        <w:spacing w:before="12"/>
        <w:rPr>
          <w:sz w:val="15"/>
        </w:rPr>
      </w:pPr>
    </w:p>
    <w:p w14:paraId="3E4A61B2" w14:textId="77777777" w:rsidR="00894070" w:rsidRDefault="009B7AFD">
      <w:pPr>
        <w:pStyle w:val="Heading7"/>
      </w:pPr>
      <w:r>
        <w:rPr>
          <w:color w:val="EA5B50"/>
        </w:rPr>
        <w:t>Our process</w:t>
      </w:r>
    </w:p>
    <w:p w14:paraId="4692C228" w14:textId="77777777" w:rsidR="00894070" w:rsidRDefault="009B7AFD">
      <w:pPr>
        <w:pStyle w:val="ListParagraph"/>
        <w:numPr>
          <w:ilvl w:val="1"/>
          <w:numId w:val="177"/>
        </w:numPr>
        <w:tabs>
          <w:tab w:val="left" w:pos="1801"/>
          <w:tab w:val="left" w:pos="1802"/>
        </w:tabs>
        <w:spacing w:before="114"/>
        <w:rPr>
          <w:sz w:val="20"/>
        </w:rPr>
      </w:pPr>
      <w:r>
        <w:rPr>
          <w:color w:val="231F20"/>
          <w:sz w:val="20"/>
        </w:rPr>
        <w:t xml:space="preserve">Our </w:t>
      </w:r>
      <w:r>
        <w:rPr>
          <w:color w:val="231F20"/>
          <w:spacing w:val="-3"/>
          <w:sz w:val="20"/>
        </w:rPr>
        <w:t xml:space="preserve">interim </w:t>
      </w:r>
      <w:r>
        <w:rPr>
          <w:color w:val="231F20"/>
          <w:sz w:val="20"/>
        </w:rPr>
        <w:t>report describes this inquiry’s process in more detail.</w:t>
      </w:r>
      <w:r>
        <w:rPr>
          <w:color w:val="231F20"/>
          <w:position w:val="7"/>
          <w:sz w:val="11"/>
        </w:rPr>
        <w:t xml:space="preserve">1 </w:t>
      </w:r>
      <w:r>
        <w:rPr>
          <w:color w:val="231F20"/>
          <w:sz w:val="20"/>
        </w:rPr>
        <w:t>In</w:t>
      </w:r>
      <w:r>
        <w:rPr>
          <w:color w:val="231F20"/>
          <w:spacing w:val="-30"/>
          <w:sz w:val="20"/>
        </w:rPr>
        <w:t xml:space="preserve"> </w:t>
      </w:r>
      <w:r>
        <w:rPr>
          <w:color w:val="231F20"/>
          <w:sz w:val="20"/>
        </w:rPr>
        <w:t>summary:</w:t>
      </w:r>
    </w:p>
    <w:p w14:paraId="072F3FDE" w14:textId="77777777" w:rsidR="00894070" w:rsidRDefault="009B7AFD">
      <w:pPr>
        <w:pStyle w:val="ListParagraph"/>
        <w:numPr>
          <w:ilvl w:val="2"/>
          <w:numId w:val="177"/>
        </w:numPr>
        <w:tabs>
          <w:tab w:val="left" w:pos="2141"/>
          <w:tab w:val="left" w:pos="2142"/>
        </w:tabs>
        <w:spacing w:before="82"/>
        <w:ind w:hanging="340"/>
        <w:rPr>
          <w:sz w:val="20"/>
        </w:rPr>
      </w:pPr>
      <w:r>
        <w:rPr>
          <w:color w:val="231F20"/>
          <w:spacing w:val="-6"/>
          <w:sz w:val="20"/>
        </w:rPr>
        <w:t xml:space="preserve">We </w:t>
      </w:r>
      <w:r>
        <w:rPr>
          <w:color w:val="231F20"/>
          <w:spacing w:val="-3"/>
          <w:sz w:val="20"/>
        </w:rPr>
        <w:t xml:space="preserve">received </w:t>
      </w:r>
      <w:r>
        <w:rPr>
          <w:color w:val="231F20"/>
          <w:sz w:val="20"/>
        </w:rPr>
        <w:t>115 written submissions (see Appendix</w:t>
      </w:r>
      <w:r>
        <w:rPr>
          <w:color w:val="231F20"/>
          <w:spacing w:val="-22"/>
          <w:sz w:val="20"/>
        </w:rPr>
        <w:t xml:space="preserve"> </w:t>
      </w:r>
      <w:r>
        <w:rPr>
          <w:color w:val="231F20"/>
          <w:sz w:val="20"/>
        </w:rPr>
        <w:t>A).</w:t>
      </w:r>
    </w:p>
    <w:p w14:paraId="3AB1D821" w14:textId="77777777" w:rsidR="00894070" w:rsidRDefault="009B7AFD">
      <w:pPr>
        <w:pStyle w:val="ListParagraph"/>
        <w:numPr>
          <w:ilvl w:val="2"/>
          <w:numId w:val="177"/>
        </w:numPr>
        <w:tabs>
          <w:tab w:val="left" w:pos="2141"/>
          <w:tab w:val="left" w:pos="2142"/>
        </w:tabs>
        <w:spacing w:before="80" w:line="206" w:lineRule="auto"/>
        <w:ind w:right="1605" w:hanging="340"/>
        <w:rPr>
          <w:sz w:val="20"/>
        </w:rPr>
      </w:pPr>
      <w:r>
        <w:rPr>
          <w:color w:val="231F20"/>
          <w:spacing w:val="-6"/>
          <w:sz w:val="20"/>
        </w:rPr>
        <w:t>We</w:t>
      </w:r>
      <w:r>
        <w:rPr>
          <w:color w:val="231F20"/>
          <w:spacing w:val="-11"/>
          <w:sz w:val="20"/>
        </w:rPr>
        <w:t xml:space="preserve"> </w:t>
      </w:r>
      <w:r>
        <w:rPr>
          <w:color w:val="231F20"/>
          <w:sz w:val="20"/>
        </w:rPr>
        <w:t>held</w:t>
      </w:r>
      <w:r>
        <w:rPr>
          <w:color w:val="231F20"/>
          <w:spacing w:val="-11"/>
          <w:sz w:val="20"/>
        </w:rPr>
        <w:t xml:space="preserve"> </w:t>
      </w:r>
      <w:r>
        <w:rPr>
          <w:color w:val="231F20"/>
          <w:sz w:val="20"/>
        </w:rPr>
        <w:t>36</w:t>
      </w:r>
      <w:r>
        <w:rPr>
          <w:color w:val="231F20"/>
          <w:spacing w:val="-11"/>
          <w:sz w:val="20"/>
        </w:rPr>
        <w:t xml:space="preserve"> </w:t>
      </w:r>
      <w:r>
        <w:rPr>
          <w:color w:val="231F20"/>
          <w:sz w:val="20"/>
        </w:rPr>
        <w:t>consultations,</w:t>
      </w:r>
      <w:r>
        <w:rPr>
          <w:color w:val="231F20"/>
          <w:spacing w:val="-10"/>
          <w:sz w:val="20"/>
        </w:rPr>
        <w:t xml:space="preserve"> </w:t>
      </w:r>
      <w:r>
        <w:rPr>
          <w:color w:val="231F20"/>
          <w:sz w:val="20"/>
        </w:rPr>
        <w:t>including</w:t>
      </w:r>
      <w:r>
        <w:rPr>
          <w:color w:val="231F20"/>
          <w:spacing w:val="-11"/>
          <w:sz w:val="20"/>
        </w:rPr>
        <w:t xml:space="preserve"> </w:t>
      </w:r>
      <w:r>
        <w:rPr>
          <w:color w:val="231F20"/>
          <w:sz w:val="20"/>
        </w:rPr>
        <w:t>five</w:t>
      </w:r>
      <w:r>
        <w:rPr>
          <w:color w:val="231F20"/>
          <w:spacing w:val="-11"/>
          <w:sz w:val="20"/>
        </w:rPr>
        <w:t xml:space="preserve"> </w:t>
      </w:r>
      <w:r>
        <w:rPr>
          <w:color w:val="231F20"/>
          <w:sz w:val="20"/>
        </w:rPr>
        <w:t>after</w:t>
      </w:r>
      <w:r>
        <w:rPr>
          <w:color w:val="231F20"/>
          <w:spacing w:val="-10"/>
          <w:sz w:val="20"/>
        </w:rPr>
        <w:t xml:space="preserve"> </w:t>
      </w:r>
      <w:r>
        <w:rPr>
          <w:color w:val="231F20"/>
          <w:sz w:val="20"/>
        </w:rPr>
        <w:t>delivery</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0"/>
          <w:sz w:val="20"/>
        </w:rPr>
        <w:t xml:space="preserve"> </w:t>
      </w:r>
      <w:r>
        <w:rPr>
          <w:color w:val="231F20"/>
          <w:spacing w:val="-3"/>
          <w:sz w:val="20"/>
        </w:rPr>
        <w:t>interim</w:t>
      </w:r>
      <w:r>
        <w:rPr>
          <w:color w:val="231F20"/>
          <w:spacing w:val="-11"/>
          <w:sz w:val="20"/>
        </w:rPr>
        <w:t xml:space="preserve"> </w:t>
      </w:r>
      <w:r>
        <w:rPr>
          <w:color w:val="231F20"/>
          <w:sz w:val="20"/>
        </w:rPr>
        <w:t>report</w:t>
      </w:r>
      <w:r>
        <w:rPr>
          <w:color w:val="231F20"/>
          <w:spacing w:val="-11"/>
          <w:sz w:val="20"/>
        </w:rPr>
        <w:t xml:space="preserve"> </w:t>
      </w:r>
      <w:r>
        <w:rPr>
          <w:color w:val="231F20"/>
          <w:sz w:val="20"/>
        </w:rPr>
        <w:t>(see Appendix</w:t>
      </w:r>
      <w:r>
        <w:rPr>
          <w:color w:val="231F20"/>
          <w:spacing w:val="-5"/>
          <w:sz w:val="20"/>
        </w:rPr>
        <w:t xml:space="preserve"> </w:t>
      </w:r>
      <w:r>
        <w:rPr>
          <w:color w:val="231F20"/>
          <w:spacing w:val="-4"/>
          <w:sz w:val="20"/>
        </w:rPr>
        <w:t>B).</w:t>
      </w:r>
    </w:p>
    <w:p w14:paraId="53BD3178" w14:textId="77777777" w:rsidR="00894070" w:rsidRDefault="009B7AFD">
      <w:pPr>
        <w:pStyle w:val="ListParagraph"/>
        <w:numPr>
          <w:ilvl w:val="2"/>
          <w:numId w:val="177"/>
        </w:numPr>
        <w:tabs>
          <w:tab w:val="left" w:pos="2141"/>
          <w:tab w:val="left" w:pos="2142"/>
        </w:tabs>
        <w:spacing w:before="88" w:line="206" w:lineRule="auto"/>
        <w:ind w:right="1533" w:hanging="340"/>
        <w:rPr>
          <w:sz w:val="20"/>
        </w:rPr>
      </w:pPr>
      <w:r>
        <w:rPr>
          <w:color w:val="231F20"/>
          <w:spacing w:val="-6"/>
          <w:sz w:val="20"/>
        </w:rPr>
        <w:t>We</w:t>
      </w:r>
      <w:r>
        <w:rPr>
          <w:color w:val="231F20"/>
          <w:spacing w:val="-8"/>
          <w:sz w:val="20"/>
        </w:rPr>
        <w:t xml:space="preserve"> </w:t>
      </w:r>
      <w:r>
        <w:rPr>
          <w:color w:val="231F20"/>
          <w:spacing w:val="-3"/>
          <w:sz w:val="20"/>
        </w:rPr>
        <w:t>received</w:t>
      </w:r>
      <w:r>
        <w:rPr>
          <w:color w:val="231F20"/>
          <w:spacing w:val="-7"/>
          <w:sz w:val="20"/>
        </w:rPr>
        <w:t xml:space="preserve"> </w:t>
      </w:r>
      <w:r>
        <w:rPr>
          <w:color w:val="231F20"/>
          <w:sz w:val="20"/>
        </w:rPr>
        <w:t>254</w:t>
      </w:r>
      <w:r>
        <w:rPr>
          <w:color w:val="231F20"/>
          <w:spacing w:val="-7"/>
          <w:sz w:val="20"/>
        </w:rPr>
        <w:t xml:space="preserve"> </w:t>
      </w:r>
      <w:r>
        <w:rPr>
          <w:color w:val="231F20"/>
          <w:sz w:val="20"/>
        </w:rPr>
        <w:t>responses</w:t>
      </w:r>
      <w:r>
        <w:rPr>
          <w:color w:val="231F20"/>
          <w:spacing w:val="-8"/>
          <w:sz w:val="20"/>
        </w:rPr>
        <w:t xml:space="preserve"> </w:t>
      </w:r>
      <w:r>
        <w:rPr>
          <w:color w:val="231F20"/>
          <w:sz w:val="20"/>
        </w:rPr>
        <w:t>to</w:t>
      </w:r>
      <w:r>
        <w:rPr>
          <w:color w:val="231F20"/>
          <w:spacing w:val="-7"/>
          <w:sz w:val="20"/>
        </w:rPr>
        <w:t xml:space="preserve"> </w:t>
      </w:r>
      <w:r>
        <w:rPr>
          <w:color w:val="231F20"/>
          <w:sz w:val="20"/>
        </w:rPr>
        <w:t>our</w:t>
      </w:r>
      <w:r>
        <w:rPr>
          <w:color w:val="231F20"/>
          <w:spacing w:val="-7"/>
          <w:sz w:val="20"/>
        </w:rPr>
        <w:t xml:space="preserve"> </w:t>
      </w:r>
      <w:r>
        <w:rPr>
          <w:color w:val="231F20"/>
          <w:sz w:val="20"/>
        </w:rPr>
        <w:t>online</w:t>
      </w:r>
      <w:r>
        <w:rPr>
          <w:color w:val="231F20"/>
          <w:spacing w:val="-8"/>
          <w:sz w:val="20"/>
        </w:rPr>
        <w:t xml:space="preserve"> </w:t>
      </w:r>
      <w:r>
        <w:rPr>
          <w:color w:val="231F20"/>
          <w:spacing w:val="-3"/>
          <w:sz w:val="20"/>
        </w:rPr>
        <w:t>form</w:t>
      </w:r>
      <w:r>
        <w:rPr>
          <w:color w:val="231F20"/>
          <w:spacing w:val="-7"/>
          <w:sz w:val="20"/>
        </w:rPr>
        <w:t xml:space="preserve"> </w:t>
      </w:r>
      <w:r>
        <w:rPr>
          <w:color w:val="231F20"/>
          <w:sz w:val="20"/>
        </w:rPr>
        <w:t>on</w:t>
      </w:r>
      <w:r>
        <w:rPr>
          <w:color w:val="231F20"/>
          <w:spacing w:val="-7"/>
          <w:sz w:val="20"/>
        </w:rPr>
        <w:t xml:space="preserve"> </w:t>
      </w:r>
      <w:r>
        <w:rPr>
          <w:color w:val="231F20"/>
          <w:sz w:val="20"/>
        </w:rPr>
        <w:t>Engage</w:t>
      </w:r>
      <w:r>
        <w:rPr>
          <w:color w:val="231F20"/>
          <w:spacing w:val="-8"/>
          <w:sz w:val="20"/>
        </w:rPr>
        <w:t xml:space="preserve"> </w:t>
      </w:r>
      <w:r>
        <w:rPr>
          <w:color w:val="231F20"/>
          <w:sz w:val="20"/>
        </w:rPr>
        <w:t>Victoria.</w:t>
      </w:r>
      <w:r>
        <w:rPr>
          <w:color w:val="231F20"/>
          <w:spacing w:val="-7"/>
          <w:sz w:val="20"/>
        </w:rPr>
        <w:t xml:space="preserve"> </w:t>
      </w:r>
      <w:r>
        <w:rPr>
          <w:color w:val="231F20"/>
          <w:spacing w:val="-6"/>
          <w:sz w:val="20"/>
        </w:rPr>
        <w:t>We</w:t>
      </w:r>
      <w:r>
        <w:rPr>
          <w:color w:val="231F20"/>
          <w:spacing w:val="-7"/>
          <w:sz w:val="20"/>
        </w:rPr>
        <w:t xml:space="preserve"> </w:t>
      </w:r>
      <w:r>
        <w:rPr>
          <w:color w:val="231F20"/>
          <w:sz w:val="20"/>
        </w:rPr>
        <w:t>used</w:t>
      </w:r>
      <w:r>
        <w:rPr>
          <w:color w:val="231F20"/>
          <w:spacing w:val="-7"/>
          <w:sz w:val="20"/>
        </w:rPr>
        <w:t xml:space="preserve"> </w:t>
      </w:r>
      <w:r>
        <w:rPr>
          <w:color w:val="231F20"/>
          <w:sz w:val="20"/>
        </w:rPr>
        <w:t xml:space="preserve">this </w:t>
      </w:r>
      <w:r>
        <w:rPr>
          <w:color w:val="231F20"/>
          <w:spacing w:val="-3"/>
          <w:sz w:val="20"/>
        </w:rPr>
        <w:t xml:space="preserve">form </w:t>
      </w:r>
      <w:r>
        <w:rPr>
          <w:color w:val="231F20"/>
          <w:sz w:val="20"/>
        </w:rPr>
        <w:t xml:space="preserve">to seek </w:t>
      </w:r>
      <w:r>
        <w:rPr>
          <w:color w:val="231F20"/>
          <w:spacing w:val="-3"/>
          <w:sz w:val="20"/>
        </w:rPr>
        <w:t xml:space="preserve">views from </w:t>
      </w:r>
      <w:r>
        <w:rPr>
          <w:color w:val="231F20"/>
          <w:sz w:val="20"/>
        </w:rPr>
        <w:t>people who had experienced</w:t>
      </w:r>
      <w:r>
        <w:rPr>
          <w:color w:val="231F20"/>
          <w:spacing w:val="-35"/>
          <w:sz w:val="20"/>
        </w:rPr>
        <w:t xml:space="preserve"> </w:t>
      </w:r>
      <w:r>
        <w:rPr>
          <w:color w:val="231F20"/>
          <w:sz w:val="20"/>
        </w:rPr>
        <w:t>stalking.</w:t>
      </w:r>
    </w:p>
    <w:p w14:paraId="1C1FAD60" w14:textId="77777777" w:rsidR="00894070" w:rsidRDefault="009B7AFD">
      <w:pPr>
        <w:pStyle w:val="ListParagraph"/>
        <w:numPr>
          <w:ilvl w:val="1"/>
          <w:numId w:val="177"/>
        </w:numPr>
        <w:tabs>
          <w:tab w:val="left" w:pos="1801"/>
          <w:tab w:val="left" w:pos="1802"/>
        </w:tabs>
        <w:spacing w:before="55"/>
        <w:rPr>
          <w:sz w:val="20"/>
        </w:rPr>
      </w:pPr>
      <w:r>
        <w:rPr>
          <w:color w:val="231F20"/>
          <w:sz w:val="20"/>
        </w:rPr>
        <w:t>The</w:t>
      </w:r>
      <w:r>
        <w:rPr>
          <w:color w:val="231F20"/>
          <w:spacing w:val="-6"/>
          <w:sz w:val="20"/>
        </w:rPr>
        <w:t xml:space="preserve"> </w:t>
      </w:r>
      <w:r>
        <w:rPr>
          <w:color w:val="231F20"/>
          <w:sz w:val="20"/>
        </w:rPr>
        <w:t>Sentencing</w:t>
      </w:r>
      <w:r>
        <w:rPr>
          <w:color w:val="231F20"/>
          <w:spacing w:val="-5"/>
          <w:sz w:val="20"/>
        </w:rPr>
        <w:t xml:space="preserve"> </w:t>
      </w:r>
      <w:r>
        <w:rPr>
          <w:color w:val="231F20"/>
          <w:sz w:val="20"/>
        </w:rPr>
        <w:t>Advisory</w:t>
      </w:r>
      <w:r>
        <w:rPr>
          <w:color w:val="231F20"/>
          <w:spacing w:val="-6"/>
          <w:sz w:val="20"/>
        </w:rPr>
        <w:t xml:space="preserve"> </w:t>
      </w:r>
      <w:r>
        <w:rPr>
          <w:color w:val="231F20"/>
          <w:sz w:val="20"/>
        </w:rPr>
        <w:t>Council</w:t>
      </w:r>
      <w:r>
        <w:rPr>
          <w:color w:val="231F20"/>
          <w:spacing w:val="-5"/>
          <w:sz w:val="20"/>
        </w:rPr>
        <w:t xml:space="preserve"> </w:t>
      </w:r>
      <w:r>
        <w:rPr>
          <w:color w:val="231F20"/>
          <w:sz w:val="20"/>
        </w:rPr>
        <w:t>published</w:t>
      </w:r>
      <w:r>
        <w:rPr>
          <w:color w:val="231F20"/>
          <w:spacing w:val="-5"/>
          <w:sz w:val="20"/>
        </w:rPr>
        <w:t xml:space="preserve"> </w:t>
      </w:r>
      <w:r>
        <w:rPr>
          <w:color w:val="231F20"/>
          <w:sz w:val="20"/>
        </w:rPr>
        <w:t>three</w:t>
      </w:r>
      <w:r>
        <w:rPr>
          <w:color w:val="231F20"/>
          <w:spacing w:val="-6"/>
          <w:sz w:val="20"/>
        </w:rPr>
        <w:t xml:space="preserve"> </w:t>
      </w:r>
      <w:r>
        <w:rPr>
          <w:color w:val="231F20"/>
          <w:sz w:val="20"/>
        </w:rPr>
        <w:t>reports</w:t>
      </w:r>
      <w:r>
        <w:rPr>
          <w:color w:val="231F20"/>
          <w:spacing w:val="-5"/>
          <w:sz w:val="20"/>
        </w:rPr>
        <w:t xml:space="preserve"> </w:t>
      </w:r>
      <w:r>
        <w:rPr>
          <w:color w:val="231F20"/>
          <w:sz w:val="20"/>
        </w:rPr>
        <w:t>to</w:t>
      </w:r>
      <w:r>
        <w:rPr>
          <w:color w:val="231F20"/>
          <w:spacing w:val="-5"/>
          <w:sz w:val="20"/>
        </w:rPr>
        <w:t xml:space="preserve"> </w:t>
      </w:r>
      <w:r>
        <w:rPr>
          <w:color w:val="231F20"/>
          <w:sz w:val="20"/>
        </w:rPr>
        <w:t>assist</w:t>
      </w:r>
      <w:r>
        <w:rPr>
          <w:color w:val="231F20"/>
          <w:spacing w:val="-6"/>
          <w:sz w:val="20"/>
        </w:rPr>
        <w:t xml:space="preserve"> </w:t>
      </w:r>
      <w:r>
        <w:rPr>
          <w:color w:val="231F20"/>
          <w:sz w:val="20"/>
        </w:rPr>
        <w:t>this</w:t>
      </w:r>
      <w:r>
        <w:rPr>
          <w:color w:val="231F20"/>
          <w:spacing w:val="-5"/>
          <w:sz w:val="20"/>
        </w:rPr>
        <w:t xml:space="preserve"> </w:t>
      </w:r>
      <w:r>
        <w:rPr>
          <w:color w:val="231F20"/>
          <w:sz w:val="20"/>
        </w:rPr>
        <w:t>inquiry:</w:t>
      </w:r>
    </w:p>
    <w:p w14:paraId="064AFB1E" w14:textId="77777777" w:rsidR="00894070" w:rsidRDefault="009B7AFD">
      <w:pPr>
        <w:pStyle w:val="ListParagraph"/>
        <w:numPr>
          <w:ilvl w:val="2"/>
          <w:numId w:val="177"/>
        </w:numPr>
        <w:tabs>
          <w:tab w:val="left" w:pos="2141"/>
          <w:tab w:val="left" w:pos="2142"/>
        </w:tabs>
        <w:spacing w:before="82"/>
        <w:ind w:hanging="340"/>
        <w:rPr>
          <w:sz w:val="11"/>
        </w:rPr>
      </w:pPr>
      <w:r>
        <w:rPr>
          <w:i/>
          <w:color w:val="231F20"/>
          <w:sz w:val="20"/>
        </w:rPr>
        <w:t>Sentencing</w:t>
      </w:r>
      <w:r>
        <w:rPr>
          <w:i/>
          <w:color w:val="231F20"/>
          <w:spacing w:val="-6"/>
          <w:sz w:val="20"/>
        </w:rPr>
        <w:t xml:space="preserve"> </w:t>
      </w:r>
      <w:r>
        <w:rPr>
          <w:i/>
          <w:color w:val="231F20"/>
          <w:sz w:val="20"/>
        </w:rPr>
        <w:t>Breaches</w:t>
      </w:r>
      <w:r>
        <w:rPr>
          <w:i/>
          <w:color w:val="231F20"/>
          <w:spacing w:val="-5"/>
          <w:sz w:val="20"/>
        </w:rPr>
        <w:t xml:space="preserve"> </w:t>
      </w:r>
      <w:r>
        <w:rPr>
          <w:i/>
          <w:color w:val="231F20"/>
          <w:sz w:val="20"/>
        </w:rPr>
        <w:t>of</w:t>
      </w:r>
      <w:r>
        <w:rPr>
          <w:i/>
          <w:color w:val="231F20"/>
          <w:spacing w:val="-5"/>
          <w:sz w:val="20"/>
        </w:rPr>
        <w:t xml:space="preserve"> </w:t>
      </w:r>
      <w:r>
        <w:rPr>
          <w:i/>
          <w:color w:val="231F20"/>
          <w:sz w:val="20"/>
        </w:rPr>
        <w:t>Personal</w:t>
      </w:r>
      <w:r>
        <w:rPr>
          <w:i/>
          <w:color w:val="231F20"/>
          <w:spacing w:val="-5"/>
          <w:sz w:val="20"/>
        </w:rPr>
        <w:t xml:space="preserve"> </w:t>
      </w:r>
      <w:r>
        <w:rPr>
          <w:i/>
          <w:color w:val="231F20"/>
          <w:sz w:val="20"/>
        </w:rPr>
        <w:t>Safety</w:t>
      </w:r>
      <w:r>
        <w:rPr>
          <w:i/>
          <w:color w:val="231F20"/>
          <w:spacing w:val="-5"/>
          <w:sz w:val="20"/>
        </w:rPr>
        <w:t xml:space="preserve"> </w:t>
      </w:r>
      <w:r>
        <w:rPr>
          <w:i/>
          <w:color w:val="231F20"/>
          <w:sz w:val="20"/>
        </w:rPr>
        <w:t>Intervention</w:t>
      </w:r>
      <w:r>
        <w:rPr>
          <w:i/>
          <w:color w:val="231F20"/>
          <w:spacing w:val="-5"/>
          <w:sz w:val="20"/>
        </w:rPr>
        <w:t xml:space="preserve"> </w:t>
      </w:r>
      <w:r>
        <w:rPr>
          <w:i/>
          <w:color w:val="231F20"/>
          <w:sz w:val="20"/>
        </w:rPr>
        <w:t>Orders</w:t>
      </w:r>
      <w:r>
        <w:rPr>
          <w:i/>
          <w:color w:val="231F20"/>
          <w:spacing w:val="-5"/>
          <w:sz w:val="20"/>
        </w:rPr>
        <w:t xml:space="preserve"> </w:t>
      </w:r>
      <w:r>
        <w:rPr>
          <w:i/>
          <w:color w:val="231F20"/>
          <w:sz w:val="20"/>
        </w:rPr>
        <w:t>in</w:t>
      </w:r>
      <w:r>
        <w:rPr>
          <w:i/>
          <w:color w:val="231F20"/>
          <w:spacing w:val="-5"/>
          <w:sz w:val="20"/>
        </w:rPr>
        <w:t xml:space="preserve"> </w:t>
      </w:r>
      <w:r>
        <w:rPr>
          <w:i/>
          <w:color w:val="231F20"/>
          <w:spacing w:val="-3"/>
          <w:sz w:val="20"/>
        </w:rPr>
        <w:t>Victoria</w:t>
      </w:r>
      <w:r>
        <w:rPr>
          <w:i/>
          <w:color w:val="231F20"/>
          <w:spacing w:val="-26"/>
          <w:sz w:val="20"/>
        </w:rPr>
        <w:t xml:space="preserve"> </w:t>
      </w:r>
      <w:r>
        <w:rPr>
          <w:color w:val="231F20"/>
          <w:position w:val="7"/>
          <w:sz w:val="11"/>
        </w:rPr>
        <w:t>2</w:t>
      </w:r>
    </w:p>
    <w:p w14:paraId="05906D11" w14:textId="77777777" w:rsidR="00894070" w:rsidRDefault="009B7AFD">
      <w:pPr>
        <w:pStyle w:val="ListParagraph"/>
        <w:numPr>
          <w:ilvl w:val="2"/>
          <w:numId w:val="177"/>
        </w:numPr>
        <w:tabs>
          <w:tab w:val="left" w:pos="2141"/>
          <w:tab w:val="left" w:pos="2142"/>
        </w:tabs>
        <w:spacing w:before="48"/>
        <w:ind w:hanging="340"/>
        <w:rPr>
          <w:sz w:val="11"/>
        </w:rPr>
      </w:pPr>
      <w:r>
        <w:rPr>
          <w:i/>
          <w:color w:val="231F20"/>
          <w:sz w:val="20"/>
        </w:rPr>
        <w:t xml:space="preserve">Sentencing Stalking in </w:t>
      </w:r>
      <w:r>
        <w:rPr>
          <w:i/>
          <w:color w:val="231F20"/>
          <w:spacing w:val="-3"/>
          <w:sz w:val="20"/>
        </w:rPr>
        <w:t>Victoria</w:t>
      </w:r>
      <w:r>
        <w:rPr>
          <w:i/>
          <w:color w:val="231F20"/>
          <w:spacing w:val="-38"/>
          <w:sz w:val="20"/>
        </w:rPr>
        <w:t xml:space="preserve"> </w:t>
      </w:r>
      <w:r>
        <w:rPr>
          <w:color w:val="231F20"/>
          <w:position w:val="7"/>
          <w:sz w:val="11"/>
        </w:rPr>
        <w:t>3</w:t>
      </w:r>
    </w:p>
    <w:p w14:paraId="10B4DD60" w14:textId="77777777" w:rsidR="00894070" w:rsidRDefault="009B7AFD">
      <w:pPr>
        <w:pStyle w:val="ListParagraph"/>
        <w:numPr>
          <w:ilvl w:val="2"/>
          <w:numId w:val="177"/>
        </w:numPr>
        <w:tabs>
          <w:tab w:val="left" w:pos="2141"/>
          <w:tab w:val="left" w:pos="2142"/>
        </w:tabs>
        <w:spacing w:before="79" w:line="206" w:lineRule="auto"/>
        <w:ind w:right="1269" w:hanging="340"/>
        <w:rPr>
          <w:sz w:val="11"/>
        </w:rPr>
      </w:pPr>
      <w:r>
        <w:rPr>
          <w:i/>
          <w:color w:val="231F20"/>
          <w:sz w:val="20"/>
        </w:rPr>
        <w:t>Sentencing</w:t>
      </w:r>
      <w:r>
        <w:rPr>
          <w:i/>
          <w:color w:val="231F20"/>
          <w:spacing w:val="-13"/>
          <w:sz w:val="20"/>
        </w:rPr>
        <w:t xml:space="preserve"> </w:t>
      </w:r>
      <w:r>
        <w:rPr>
          <w:i/>
          <w:color w:val="231F20"/>
          <w:sz w:val="20"/>
        </w:rPr>
        <w:t>Breaches</w:t>
      </w:r>
      <w:r>
        <w:rPr>
          <w:i/>
          <w:color w:val="231F20"/>
          <w:spacing w:val="-13"/>
          <w:sz w:val="20"/>
        </w:rPr>
        <w:t xml:space="preserve"> </w:t>
      </w:r>
      <w:r>
        <w:rPr>
          <w:i/>
          <w:color w:val="231F20"/>
          <w:sz w:val="20"/>
        </w:rPr>
        <w:t>of</w:t>
      </w:r>
      <w:r>
        <w:rPr>
          <w:i/>
          <w:color w:val="231F20"/>
          <w:spacing w:val="-13"/>
          <w:sz w:val="20"/>
        </w:rPr>
        <w:t xml:space="preserve"> </w:t>
      </w:r>
      <w:r>
        <w:rPr>
          <w:i/>
          <w:color w:val="231F20"/>
          <w:spacing w:val="-3"/>
          <w:sz w:val="20"/>
        </w:rPr>
        <w:t>Family</w:t>
      </w:r>
      <w:r>
        <w:rPr>
          <w:i/>
          <w:color w:val="231F20"/>
          <w:spacing w:val="-12"/>
          <w:sz w:val="20"/>
        </w:rPr>
        <w:t xml:space="preserve"> </w:t>
      </w:r>
      <w:r>
        <w:rPr>
          <w:i/>
          <w:color w:val="231F20"/>
          <w:sz w:val="20"/>
        </w:rPr>
        <w:t>Violence</w:t>
      </w:r>
      <w:r>
        <w:rPr>
          <w:i/>
          <w:color w:val="231F20"/>
          <w:spacing w:val="-13"/>
          <w:sz w:val="20"/>
        </w:rPr>
        <w:t xml:space="preserve"> </w:t>
      </w:r>
      <w:r>
        <w:rPr>
          <w:i/>
          <w:color w:val="231F20"/>
          <w:sz w:val="20"/>
        </w:rPr>
        <w:t>Intervention</w:t>
      </w:r>
      <w:r>
        <w:rPr>
          <w:i/>
          <w:color w:val="231F20"/>
          <w:spacing w:val="-13"/>
          <w:sz w:val="20"/>
        </w:rPr>
        <w:t xml:space="preserve"> </w:t>
      </w:r>
      <w:r>
        <w:rPr>
          <w:i/>
          <w:color w:val="231F20"/>
          <w:sz w:val="20"/>
        </w:rPr>
        <w:t>Orders</w:t>
      </w:r>
      <w:r>
        <w:rPr>
          <w:i/>
          <w:color w:val="231F20"/>
          <w:spacing w:val="-12"/>
          <w:sz w:val="20"/>
        </w:rPr>
        <w:t xml:space="preserve"> </w:t>
      </w:r>
      <w:r>
        <w:rPr>
          <w:i/>
          <w:color w:val="231F20"/>
          <w:sz w:val="20"/>
        </w:rPr>
        <w:t>and</w:t>
      </w:r>
      <w:r>
        <w:rPr>
          <w:i/>
          <w:color w:val="231F20"/>
          <w:spacing w:val="-13"/>
          <w:sz w:val="20"/>
        </w:rPr>
        <w:t xml:space="preserve"> </w:t>
      </w:r>
      <w:r>
        <w:rPr>
          <w:i/>
          <w:color w:val="231F20"/>
          <w:sz w:val="20"/>
        </w:rPr>
        <w:t>Safety</w:t>
      </w:r>
      <w:r>
        <w:rPr>
          <w:i/>
          <w:color w:val="231F20"/>
          <w:spacing w:val="-13"/>
          <w:sz w:val="20"/>
        </w:rPr>
        <w:t xml:space="preserve"> </w:t>
      </w:r>
      <w:r>
        <w:rPr>
          <w:i/>
          <w:color w:val="231F20"/>
          <w:sz w:val="20"/>
        </w:rPr>
        <w:t>Notices:</w:t>
      </w:r>
      <w:r>
        <w:rPr>
          <w:i/>
          <w:color w:val="231F20"/>
          <w:spacing w:val="-12"/>
          <w:sz w:val="20"/>
        </w:rPr>
        <w:t xml:space="preserve"> </w:t>
      </w:r>
      <w:r>
        <w:rPr>
          <w:i/>
          <w:color w:val="231F20"/>
          <w:spacing w:val="-3"/>
          <w:sz w:val="20"/>
        </w:rPr>
        <w:t xml:space="preserve">Third </w:t>
      </w:r>
      <w:r>
        <w:rPr>
          <w:i/>
          <w:color w:val="231F20"/>
          <w:sz w:val="20"/>
        </w:rPr>
        <w:t>Monitoring</w:t>
      </w:r>
      <w:r>
        <w:rPr>
          <w:i/>
          <w:color w:val="231F20"/>
          <w:spacing w:val="-5"/>
          <w:sz w:val="20"/>
        </w:rPr>
        <w:t xml:space="preserve"> </w:t>
      </w:r>
      <w:r>
        <w:rPr>
          <w:i/>
          <w:color w:val="231F20"/>
          <w:sz w:val="20"/>
        </w:rPr>
        <w:t>Report</w:t>
      </w:r>
      <w:r>
        <w:rPr>
          <w:color w:val="231F20"/>
          <w:sz w:val="20"/>
        </w:rPr>
        <w:t>.</w:t>
      </w:r>
      <w:r>
        <w:rPr>
          <w:color w:val="231F20"/>
          <w:position w:val="7"/>
          <w:sz w:val="11"/>
        </w:rPr>
        <w:t>4</w:t>
      </w:r>
    </w:p>
    <w:p w14:paraId="059D6832" w14:textId="77777777" w:rsidR="00894070" w:rsidRDefault="009B7AFD">
      <w:pPr>
        <w:pStyle w:val="ListParagraph"/>
        <w:numPr>
          <w:ilvl w:val="1"/>
          <w:numId w:val="177"/>
        </w:numPr>
        <w:tabs>
          <w:tab w:val="left" w:pos="1801"/>
          <w:tab w:val="left" w:pos="1802"/>
        </w:tabs>
        <w:spacing w:before="88" w:line="206" w:lineRule="auto"/>
        <w:ind w:right="1268"/>
        <w:rPr>
          <w:sz w:val="11"/>
        </w:rPr>
      </w:pPr>
      <w:r>
        <w:rPr>
          <w:color w:val="231F20"/>
          <w:sz w:val="20"/>
        </w:rPr>
        <w:t>The Crime Statistics Agency conducted a study about what happens after a stalking incident</w:t>
      </w:r>
      <w:r>
        <w:rPr>
          <w:color w:val="231F20"/>
          <w:spacing w:val="-14"/>
          <w:sz w:val="20"/>
        </w:rPr>
        <w:t xml:space="preserve"> </w:t>
      </w:r>
      <w:r>
        <w:rPr>
          <w:color w:val="231F20"/>
          <w:sz w:val="20"/>
        </w:rPr>
        <w:t>is</w:t>
      </w:r>
      <w:r>
        <w:rPr>
          <w:color w:val="231F20"/>
          <w:spacing w:val="-14"/>
          <w:sz w:val="20"/>
        </w:rPr>
        <w:t xml:space="preserve"> </w:t>
      </w:r>
      <w:r>
        <w:rPr>
          <w:color w:val="231F20"/>
          <w:sz w:val="20"/>
        </w:rPr>
        <w:t>reported</w:t>
      </w:r>
      <w:r>
        <w:rPr>
          <w:color w:val="231F20"/>
          <w:spacing w:val="-14"/>
          <w:sz w:val="20"/>
        </w:rPr>
        <w:t xml:space="preserve"> </w:t>
      </w:r>
      <w:r>
        <w:rPr>
          <w:color w:val="231F20"/>
          <w:sz w:val="20"/>
        </w:rPr>
        <w:t>to</w:t>
      </w:r>
      <w:r>
        <w:rPr>
          <w:color w:val="231F20"/>
          <w:spacing w:val="-14"/>
          <w:sz w:val="20"/>
        </w:rPr>
        <w:t xml:space="preserve"> </w:t>
      </w:r>
      <w:r>
        <w:rPr>
          <w:color w:val="231F20"/>
          <w:sz w:val="20"/>
        </w:rPr>
        <w:t>police:</w:t>
      </w:r>
      <w:r>
        <w:rPr>
          <w:color w:val="231F20"/>
          <w:spacing w:val="-14"/>
          <w:sz w:val="20"/>
        </w:rPr>
        <w:t xml:space="preserve"> </w:t>
      </w:r>
      <w:r>
        <w:rPr>
          <w:i/>
          <w:color w:val="231F20"/>
          <w:sz w:val="20"/>
        </w:rPr>
        <w:t>Attrition</w:t>
      </w:r>
      <w:r>
        <w:rPr>
          <w:i/>
          <w:color w:val="231F20"/>
          <w:spacing w:val="-14"/>
          <w:sz w:val="20"/>
        </w:rPr>
        <w:t xml:space="preserve"> </w:t>
      </w:r>
      <w:r>
        <w:rPr>
          <w:i/>
          <w:color w:val="231F20"/>
          <w:sz w:val="20"/>
        </w:rPr>
        <w:t>of</w:t>
      </w:r>
      <w:r>
        <w:rPr>
          <w:i/>
          <w:color w:val="231F20"/>
          <w:spacing w:val="-13"/>
          <w:sz w:val="20"/>
        </w:rPr>
        <w:t xml:space="preserve"> </w:t>
      </w:r>
      <w:r>
        <w:rPr>
          <w:i/>
          <w:color w:val="231F20"/>
          <w:sz w:val="20"/>
        </w:rPr>
        <w:t>Stalking</w:t>
      </w:r>
      <w:r>
        <w:rPr>
          <w:i/>
          <w:color w:val="231F20"/>
          <w:spacing w:val="-14"/>
          <w:sz w:val="20"/>
        </w:rPr>
        <w:t xml:space="preserve"> </w:t>
      </w:r>
      <w:r>
        <w:rPr>
          <w:i/>
          <w:color w:val="231F20"/>
          <w:sz w:val="20"/>
        </w:rPr>
        <w:t>Offence</w:t>
      </w:r>
      <w:r>
        <w:rPr>
          <w:i/>
          <w:color w:val="231F20"/>
          <w:spacing w:val="-14"/>
          <w:sz w:val="20"/>
        </w:rPr>
        <w:t xml:space="preserve"> </w:t>
      </w:r>
      <w:r>
        <w:rPr>
          <w:i/>
          <w:color w:val="231F20"/>
          <w:sz w:val="20"/>
        </w:rPr>
        <w:t>Incidents</w:t>
      </w:r>
      <w:r>
        <w:rPr>
          <w:i/>
          <w:color w:val="231F20"/>
          <w:spacing w:val="-13"/>
          <w:sz w:val="20"/>
        </w:rPr>
        <w:t xml:space="preserve"> </w:t>
      </w:r>
      <w:r>
        <w:rPr>
          <w:i/>
          <w:color w:val="231F20"/>
          <w:sz w:val="20"/>
        </w:rPr>
        <w:t>through</w:t>
      </w:r>
      <w:r>
        <w:rPr>
          <w:i/>
          <w:color w:val="231F20"/>
          <w:spacing w:val="-14"/>
          <w:sz w:val="20"/>
        </w:rPr>
        <w:t xml:space="preserve"> </w:t>
      </w:r>
      <w:r>
        <w:rPr>
          <w:i/>
          <w:color w:val="231F20"/>
          <w:sz w:val="20"/>
        </w:rPr>
        <w:t>the</w:t>
      </w:r>
      <w:r>
        <w:rPr>
          <w:i/>
          <w:color w:val="231F20"/>
          <w:spacing w:val="-14"/>
          <w:sz w:val="20"/>
        </w:rPr>
        <w:t xml:space="preserve"> </w:t>
      </w:r>
      <w:r>
        <w:rPr>
          <w:i/>
          <w:color w:val="231F20"/>
          <w:spacing w:val="-2"/>
          <w:sz w:val="20"/>
        </w:rPr>
        <w:t xml:space="preserve">Victorian </w:t>
      </w:r>
      <w:r>
        <w:rPr>
          <w:i/>
          <w:color w:val="231F20"/>
          <w:sz w:val="20"/>
        </w:rPr>
        <w:t>Criminal Justice</w:t>
      </w:r>
      <w:r>
        <w:rPr>
          <w:i/>
          <w:color w:val="231F20"/>
          <w:spacing w:val="-9"/>
          <w:sz w:val="20"/>
        </w:rPr>
        <w:t xml:space="preserve"> </w:t>
      </w:r>
      <w:r>
        <w:rPr>
          <w:i/>
          <w:color w:val="231F20"/>
          <w:sz w:val="20"/>
        </w:rPr>
        <w:t>System.</w:t>
      </w:r>
      <w:r>
        <w:rPr>
          <w:color w:val="231F20"/>
          <w:position w:val="7"/>
          <w:sz w:val="11"/>
        </w:rPr>
        <w:t>5</w:t>
      </w:r>
    </w:p>
    <w:p w14:paraId="02B3021C" w14:textId="77777777" w:rsidR="00894070" w:rsidRDefault="009B7AFD">
      <w:pPr>
        <w:pStyle w:val="ListParagraph"/>
        <w:numPr>
          <w:ilvl w:val="1"/>
          <w:numId w:val="177"/>
        </w:numPr>
        <w:tabs>
          <w:tab w:val="left" w:pos="1801"/>
          <w:tab w:val="left" w:pos="1802"/>
        </w:tabs>
        <w:spacing w:before="91" w:line="259" w:lineRule="exact"/>
        <w:rPr>
          <w:sz w:val="20"/>
        </w:rPr>
      </w:pPr>
      <w:r>
        <w:rPr>
          <w:color w:val="231F20"/>
          <w:spacing w:val="-6"/>
          <w:sz w:val="20"/>
        </w:rPr>
        <w:t xml:space="preserve">We </w:t>
      </w:r>
      <w:r>
        <w:rPr>
          <w:color w:val="231F20"/>
          <w:spacing w:val="-3"/>
          <w:sz w:val="20"/>
        </w:rPr>
        <w:t>received</w:t>
      </w:r>
      <w:r>
        <w:rPr>
          <w:color w:val="231F20"/>
          <w:spacing w:val="-6"/>
          <w:sz w:val="20"/>
        </w:rPr>
        <w:t xml:space="preserve"> </w:t>
      </w:r>
      <w:r>
        <w:rPr>
          <w:color w:val="231F20"/>
          <w:sz w:val="20"/>
        </w:rPr>
        <w:t>helpful</w:t>
      </w:r>
      <w:r>
        <w:rPr>
          <w:color w:val="231F20"/>
          <w:spacing w:val="-5"/>
          <w:sz w:val="20"/>
        </w:rPr>
        <w:t xml:space="preserve"> </w:t>
      </w:r>
      <w:r>
        <w:rPr>
          <w:color w:val="231F20"/>
          <w:sz w:val="20"/>
        </w:rPr>
        <w:t>data</w:t>
      </w:r>
      <w:r>
        <w:rPr>
          <w:color w:val="231F20"/>
          <w:spacing w:val="-6"/>
          <w:sz w:val="20"/>
        </w:rPr>
        <w:t xml:space="preserve"> </w:t>
      </w:r>
      <w:r>
        <w:rPr>
          <w:color w:val="231F20"/>
          <w:spacing w:val="-3"/>
          <w:sz w:val="20"/>
        </w:rPr>
        <w:t>from</w:t>
      </w:r>
      <w:r>
        <w:rPr>
          <w:color w:val="231F20"/>
          <w:spacing w:val="-5"/>
          <w:sz w:val="20"/>
        </w:rPr>
        <w:t xml:space="preserve"> </w:t>
      </w:r>
      <w:r>
        <w:rPr>
          <w:color w:val="231F20"/>
          <w:sz w:val="20"/>
        </w:rPr>
        <w:t>the</w:t>
      </w:r>
      <w:r>
        <w:rPr>
          <w:color w:val="231F20"/>
          <w:spacing w:val="-6"/>
          <w:sz w:val="20"/>
        </w:rPr>
        <w:t xml:space="preserve"> </w:t>
      </w:r>
      <w:r>
        <w:rPr>
          <w:color w:val="231F20"/>
          <w:sz w:val="20"/>
        </w:rPr>
        <w:t>Dispute</w:t>
      </w:r>
      <w:r>
        <w:rPr>
          <w:color w:val="231F20"/>
          <w:spacing w:val="-5"/>
          <w:sz w:val="20"/>
        </w:rPr>
        <w:t xml:space="preserve"> </w:t>
      </w:r>
      <w:r>
        <w:rPr>
          <w:color w:val="231F20"/>
          <w:sz w:val="20"/>
        </w:rPr>
        <w:t>Settlement</w:t>
      </w:r>
      <w:r>
        <w:rPr>
          <w:color w:val="231F20"/>
          <w:spacing w:val="-6"/>
          <w:sz w:val="20"/>
        </w:rPr>
        <w:t xml:space="preserve"> </w:t>
      </w:r>
      <w:r>
        <w:rPr>
          <w:color w:val="231F20"/>
          <w:spacing w:val="-3"/>
          <w:sz w:val="20"/>
        </w:rPr>
        <w:t>Centre</w:t>
      </w:r>
      <w:r>
        <w:rPr>
          <w:color w:val="231F20"/>
          <w:spacing w:val="-5"/>
          <w:sz w:val="20"/>
        </w:rPr>
        <w:t xml:space="preserve"> </w:t>
      </w:r>
      <w:r>
        <w:rPr>
          <w:color w:val="231F20"/>
          <w:sz w:val="20"/>
        </w:rPr>
        <w:t>of</w:t>
      </w:r>
      <w:r>
        <w:rPr>
          <w:color w:val="231F20"/>
          <w:spacing w:val="-6"/>
          <w:sz w:val="20"/>
        </w:rPr>
        <w:t xml:space="preserve"> </w:t>
      </w:r>
      <w:r>
        <w:rPr>
          <w:color w:val="231F20"/>
          <w:sz w:val="20"/>
        </w:rPr>
        <w:t>Victoria</w:t>
      </w:r>
      <w:r>
        <w:rPr>
          <w:color w:val="231F20"/>
          <w:spacing w:val="-6"/>
          <w:sz w:val="20"/>
        </w:rPr>
        <w:t xml:space="preserve"> </w:t>
      </w:r>
      <w:r>
        <w:rPr>
          <w:color w:val="231F20"/>
          <w:sz w:val="20"/>
        </w:rPr>
        <w:t>and</w:t>
      </w:r>
      <w:r>
        <w:rPr>
          <w:color w:val="231F20"/>
          <w:spacing w:val="-5"/>
          <w:sz w:val="20"/>
        </w:rPr>
        <w:t xml:space="preserve"> </w:t>
      </w:r>
      <w:r>
        <w:rPr>
          <w:color w:val="231F20"/>
          <w:sz w:val="20"/>
        </w:rPr>
        <w:t>Victoria</w:t>
      </w:r>
    </w:p>
    <w:p w14:paraId="2864ABA3" w14:textId="77777777" w:rsidR="00894070" w:rsidRDefault="009B7AFD">
      <w:pPr>
        <w:pStyle w:val="BodyText"/>
        <w:spacing w:line="259" w:lineRule="exact"/>
        <w:ind w:left="1801"/>
      </w:pPr>
      <w:r>
        <w:rPr>
          <w:color w:val="231F20"/>
        </w:rPr>
        <w:t>Legal Aid.</w:t>
      </w:r>
    </w:p>
    <w:p w14:paraId="3919604A" w14:textId="77777777" w:rsidR="00894070" w:rsidRDefault="009B7AFD">
      <w:pPr>
        <w:pStyle w:val="ListParagraph"/>
        <w:numPr>
          <w:ilvl w:val="1"/>
          <w:numId w:val="177"/>
        </w:numPr>
        <w:tabs>
          <w:tab w:val="left" w:pos="1801"/>
          <w:tab w:val="left" w:pos="1802"/>
        </w:tabs>
        <w:spacing w:before="83" w:line="259" w:lineRule="exact"/>
        <w:rPr>
          <w:sz w:val="20"/>
        </w:rPr>
      </w:pPr>
      <w:r>
        <w:rPr>
          <w:color w:val="231F20"/>
          <w:sz w:val="20"/>
        </w:rPr>
        <w:t>These</w:t>
      </w:r>
      <w:r>
        <w:rPr>
          <w:color w:val="231F20"/>
          <w:spacing w:val="-6"/>
          <w:sz w:val="20"/>
        </w:rPr>
        <w:t xml:space="preserve"> </w:t>
      </w:r>
      <w:r>
        <w:rPr>
          <w:color w:val="231F20"/>
          <w:sz w:val="20"/>
        </w:rPr>
        <w:t>reports</w:t>
      </w:r>
      <w:r>
        <w:rPr>
          <w:color w:val="231F20"/>
          <w:spacing w:val="-5"/>
          <w:sz w:val="20"/>
        </w:rPr>
        <w:t xml:space="preserve"> </w:t>
      </w:r>
      <w:r>
        <w:rPr>
          <w:color w:val="231F20"/>
          <w:sz w:val="20"/>
        </w:rPr>
        <w:t>and</w:t>
      </w:r>
      <w:r>
        <w:rPr>
          <w:color w:val="231F20"/>
          <w:spacing w:val="-5"/>
          <w:sz w:val="20"/>
        </w:rPr>
        <w:t xml:space="preserve"> </w:t>
      </w:r>
      <w:r>
        <w:rPr>
          <w:color w:val="231F20"/>
          <w:sz w:val="20"/>
        </w:rPr>
        <w:t>data</w:t>
      </w:r>
      <w:r>
        <w:rPr>
          <w:color w:val="231F20"/>
          <w:spacing w:val="-6"/>
          <w:sz w:val="20"/>
        </w:rPr>
        <w:t xml:space="preserve"> </w:t>
      </w:r>
      <w:r>
        <w:rPr>
          <w:color w:val="231F20"/>
          <w:spacing w:val="-4"/>
          <w:sz w:val="20"/>
        </w:rPr>
        <w:t>gave</w:t>
      </w:r>
      <w:r>
        <w:rPr>
          <w:color w:val="231F20"/>
          <w:spacing w:val="-5"/>
          <w:sz w:val="20"/>
        </w:rPr>
        <w:t xml:space="preserve"> </w:t>
      </w:r>
      <w:r>
        <w:rPr>
          <w:color w:val="231F20"/>
          <w:sz w:val="20"/>
        </w:rPr>
        <w:t>us</w:t>
      </w:r>
      <w:r>
        <w:rPr>
          <w:color w:val="231F20"/>
          <w:spacing w:val="-5"/>
          <w:sz w:val="20"/>
        </w:rPr>
        <w:t xml:space="preserve"> </w:t>
      </w:r>
      <w:r>
        <w:rPr>
          <w:color w:val="231F20"/>
          <w:sz w:val="20"/>
        </w:rPr>
        <w:t>new</w:t>
      </w:r>
      <w:r>
        <w:rPr>
          <w:color w:val="231F20"/>
          <w:spacing w:val="-6"/>
          <w:sz w:val="20"/>
        </w:rPr>
        <w:t xml:space="preserve"> </w:t>
      </w:r>
      <w:r>
        <w:rPr>
          <w:color w:val="231F20"/>
          <w:sz w:val="20"/>
        </w:rPr>
        <w:t>insights</w:t>
      </w:r>
      <w:r>
        <w:rPr>
          <w:color w:val="231F20"/>
          <w:spacing w:val="-5"/>
          <w:sz w:val="20"/>
        </w:rPr>
        <w:t xml:space="preserve"> </w:t>
      </w:r>
      <w:r>
        <w:rPr>
          <w:color w:val="231F20"/>
          <w:spacing w:val="-3"/>
          <w:sz w:val="20"/>
        </w:rPr>
        <w:t>into</w:t>
      </w:r>
      <w:r>
        <w:rPr>
          <w:color w:val="231F20"/>
          <w:spacing w:val="-5"/>
          <w:sz w:val="20"/>
        </w:rPr>
        <w:t xml:space="preserve"> </w:t>
      </w:r>
      <w:r>
        <w:rPr>
          <w:color w:val="231F20"/>
          <w:sz w:val="20"/>
        </w:rPr>
        <w:t>the</w:t>
      </w:r>
      <w:r>
        <w:rPr>
          <w:color w:val="231F20"/>
          <w:spacing w:val="-6"/>
          <w:sz w:val="20"/>
        </w:rPr>
        <w:t xml:space="preserve"> </w:t>
      </w:r>
      <w:r>
        <w:rPr>
          <w:color w:val="231F20"/>
          <w:sz w:val="20"/>
        </w:rPr>
        <w:t>response</w:t>
      </w:r>
      <w:r>
        <w:rPr>
          <w:color w:val="231F20"/>
          <w:spacing w:val="-5"/>
          <w:sz w:val="20"/>
        </w:rPr>
        <w:t xml:space="preserve"> </w:t>
      </w:r>
      <w:r>
        <w:rPr>
          <w:color w:val="231F20"/>
          <w:sz w:val="20"/>
        </w:rPr>
        <w:t>to</w:t>
      </w:r>
      <w:r>
        <w:rPr>
          <w:color w:val="231F20"/>
          <w:spacing w:val="-5"/>
          <w:sz w:val="20"/>
        </w:rPr>
        <w:t xml:space="preserve"> </w:t>
      </w:r>
      <w:r>
        <w:rPr>
          <w:color w:val="231F20"/>
          <w:sz w:val="20"/>
        </w:rPr>
        <w:t>stalking.</w:t>
      </w:r>
      <w:r>
        <w:rPr>
          <w:color w:val="231F20"/>
          <w:spacing w:val="-6"/>
          <w:sz w:val="20"/>
        </w:rPr>
        <w:t xml:space="preserve"> We</w:t>
      </w:r>
      <w:r>
        <w:rPr>
          <w:color w:val="231F20"/>
          <w:spacing w:val="-5"/>
          <w:sz w:val="20"/>
        </w:rPr>
        <w:t xml:space="preserve"> </w:t>
      </w:r>
      <w:r>
        <w:rPr>
          <w:color w:val="231F20"/>
          <w:spacing w:val="-4"/>
          <w:sz w:val="20"/>
        </w:rPr>
        <w:t>refer</w:t>
      </w:r>
      <w:r>
        <w:rPr>
          <w:color w:val="231F20"/>
          <w:spacing w:val="-5"/>
          <w:sz w:val="20"/>
        </w:rPr>
        <w:t xml:space="preserve"> </w:t>
      </w:r>
      <w:r>
        <w:rPr>
          <w:color w:val="231F20"/>
          <w:sz w:val="20"/>
        </w:rPr>
        <w:t>to</w:t>
      </w:r>
    </w:p>
    <w:p w14:paraId="1D8FB9B9" w14:textId="77777777" w:rsidR="00894070" w:rsidRDefault="009B7AFD">
      <w:pPr>
        <w:pStyle w:val="BodyText"/>
        <w:spacing w:line="259" w:lineRule="exact"/>
        <w:ind w:left="1801"/>
      </w:pPr>
      <w:r>
        <w:rPr>
          <w:color w:val="231F20"/>
        </w:rPr>
        <w:t>them throughout this report.</w:t>
      </w:r>
    </w:p>
    <w:p w14:paraId="2DD4A295" w14:textId="77777777" w:rsidR="00894070" w:rsidRDefault="009B7AFD">
      <w:pPr>
        <w:pStyle w:val="ListParagraph"/>
        <w:numPr>
          <w:ilvl w:val="1"/>
          <w:numId w:val="177"/>
        </w:numPr>
        <w:tabs>
          <w:tab w:val="left" w:pos="1801"/>
          <w:tab w:val="left" w:pos="1802"/>
        </w:tabs>
        <w:spacing w:before="82" w:line="259" w:lineRule="exact"/>
        <w:rPr>
          <w:sz w:val="20"/>
        </w:rPr>
      </w:pPr>
      <w:r>
        <w:rPr>
          <w:color w:val="231F20"/>
          <w:spacing w:val="-6"/>
          <w:sz w:val="20"/>
        </w:rPr>
        <w:t>We</w:t>
      </w:r>
      <w:r>
        <w:rPr>
          <w:color w:val="231F20"/>
          <w:spacing w:val="-7"/>
          <w:sz w:val="20"/>
        </w:rPr>
        <w:t xml:space="preserve"> </w:t>
      </w:r>
      <w:r>
        <w:rPr>
          <w:color w:val="231F20"/>
          <w:spacing w:val="-3"/>
          <w:sz w:val="20"/>
        </w:rPr>
        <w:t>invited</w:t>
      </w:r>
      <w:r>
        <w:rPr>
          <w:color w:val="231F20"/>
          <w:spacing w:val="-6"/>
          <w:sz w:val="20"/>
        </w:rPr>
        <w:t xml:space="preserve"> </w:t>
      </w:r>
      <w:r>
        <w:rPr>
          <w:color w:val="231F20"/>
          <w:sz w:val="20"/>
        </w:rPr>
        <w:t>input</w:t>
      </w:r>
      <w:r>
        <w:rPr>
          <w:color w:val="231F20"/>
          <w:spacing w:val="-6"/>
          <w:sz w:val="20"/>
        </w:rPr>
        <w:t xml:space="preserve"> </w:t>
      </w:r>
      <w:r>
        <w:rPr>
          <w:color w:val="231F20"/>
          <w:spacing w:val="-3"/>
          <w:sz w:val="20"/>
        </w:rPr>
        <w:t>from</w:t>
      </w:r>
      <w:r>
        <w:rPr>
          <w:color w:val="231F20"/>
          <w:spacing w:val="-6"/>
          <w:sz w:val="20"/>
        </w:rPr>
        <w:t xml:space="preserve"> </w:t>
      </w:r>
      <w:r>
        <w:rPr>
          <w:color w:val="231F20"/>
          <w:sz w:val="20"/>
        </w:rPr>
        <w:t>the</w:t>
      </w:r>
      <w:r>
        <w:rPr>
          <w:color w:val="231F20"/>
          <w:spacing w:val="-7"/>
          <w:sz w:val="20"/>
        </w:rPr>
        <w:t xml:space="preserve"> </w:t>
      </w:r>
      <w:r>
        <w:rPr>
          <w:color w:val="231F20"/>
          <w:sz w:val="20"/>
        </w:rPr>
        <w:t>Office</w:t>
      </w:r>
      <w:r>
        <w:rPr>
          <w:color w:val="231F20"/>
          <w:spacing w:val="-6"/>
          <w:sz w:val="20"/>
        </w:rPr>
        <w:t xml:space="preserve"> </w:t>
      </w:r>
      <w:r>
        <w:rPr>
          <w:color w:val="231F20"/>
          <w:sz w:val="20"/>
        </w:rPr>
        <w:t>of</w:t>
      </w:r>
      <w:r>
        <w:rPr>
          <w:color w:val="231F20"/>
          <w:spacing w:val="-6"/>
          <w:sz w:val="20"/>
        </w:rPr>
        <w:t xml:space="preserve"> </w:t>
      </w:r>
      <w:r>
        <w:rPr>
          <w:color w:val="231F20"/>
          <w:sz w:val="20"/>
        </w:rPr>
        <w:t>Public</w:t>
      </w:r>
      <w:r>
        <w:rPr>
          <w:color w:val="231F20"/>
          <w:spacing w:val="-6"/>
          <w:sz w:val="20"/>
        </w:rPr>
        <w:t xml:space="preserve"> </w:t>
      </w:r>
      <w:r>
        <w:rPr>
          <w:color w:val="231F20"/>
          <w:sz w:val="20"/>
        </w:rPr>
        <w:t>Prosecutions,</w:t>
      </w:r>
      <w:r>
        <w:rPr>
          <w:color w:val="231F20"/>
          <w:spacing w:val="-6"/>
          <w:sz w:val="20"/>
        </w:rPr>
        <w:t xml:space="preserve"> </w:t>
      </w:r>
      <w:r>
        <w:rPr>
          <w:color w:val="231F20"/>
          <w:sz w:val="20"/>
        </w:rPr>
        <w:t>which</w:t>
      </w:r>
      <w:r>
        <w:rPr>
          <w:color w:val="231F20"/>
          <w:spacing w:val="-7"/>
          <w:sz w:val="20"/>
        </w:rPr>
        <w:t xml:space="preserve"> </w:t>
      </w:r>
      <w:r>
        <w:rPr>
          <w:color w:val="231F20"/>
          <w:sz w:val="20"/>
        </w:rPr>
        <w:t>was</w:t>
      </w:r>
      <w:r>
        <w:rPr>
          <w:color w:val="231F20"/>
          <w:spacing w:val="-6"/>
          <w:sz w:val="20"/>
        </w:rPr>
        <w:t xml:space="preserve"> </w:t>
      </w:r>
      <w:r>
        <w:rPr>
          <w:color w:val="231F20"/>
          <w:sz w:val="20"/>
        </w:rPr>
        <w:t>unable</w:t>
      </w:r>
      <w:r>
        <w:rPr>
          <w:color w:val="231F20"/>
          <w:spacing w:val="-6"/>
          <w:sz w:val="20"/>
        </w:rPr>
        <w:t xml:space="preserve"> </w:t>
      </w:r>
      <w:r>
        <w:rPr>
          <w:color w:val="231F20"/>
          <w:sz w:val="20"/>
        </w:rPr>
        <w:t>to</w:t>
      </w:r>
      <w:r>
        <w:rPr>
          <w:color w:val="231F20"/>
          <w:spacing w:val="-6"/>
          <w:sz w:val="20"/>
        </w:rPr>
        <w:t xml:space="preserve"> </w:t>
      </w:r>
      <w:r>
        <w:rPr>
          <w:color w:val="231F20"/>
          <w:spacing w:val="-3"/>
          <w:sz w:val="20"/>
        </w:rPr>
        <w:t>provide</w:t>
      </w:r>
      <w:r>
        <w:rPr>
          <w:color w:val="231F20"/>
          <w:spacing w:val="-7"/>
          <w:sz w:val="20"/>
        </w:rPr>
        <w:t xml:space="preserve"> </w:t>
      </w:r>
      <w:r>
        <w:rPr>
          <w:color w:val="231F20"/>
          <w:sz w:val="20"/>
        </w:rPr>
        <w:t>it</w:t>
      </w:r>
    </w:p>
    <w:p w14:paraId="516E06B2" w14:textId="77777777" w:rsidR="00894070" w:rsidRDefault="009B7AFD">
      <w:pPr>
        <w:pStyle w:val="BodyText"/>
        <w:spacing w:line="259" w:lineRule="exact"/>
        <w:ind w:left="1801"/>
      </w:pPr>
      <w:r>
        <w:rPr>
          <w:color w:val="231F20"/>
        </w:rPr>
        <w:t>because of its resourcing constraints.</w:t>
      </w:r>
    </w:p>
    <w:p w14:paraId="0503A8F8" w14:textId="77777777" w:rsidR="00894070" w:rsidRDefault="009B7AFD">
      <w:pPr>
        <w:pStyle w:val="ListParagraph"/>
        <w:numPr>
          <w:ilvl w:val="1"/>
          <w:numId w:val="177"/>
        </w:numPr>
        <w:tabs>
          <w:tab w:val="left" w:pos="1801"/>
          <w:tab w:val="left" w:pos="1802"/>
        </w:tabs>
        <w:spacing w:before="115" w:line="206" w:lineRule="auto"/>
        <w:ind w:right="1165"/>
        <w:rPr>
          <w:sz w:val="11"/>
        </w:rPr>
      </w:pPr>
      <w:r>
        <w:rPr>
          <w:color w:val="231F20"/>
          <w:sz w:val="20"/>
        </w:rPr>
        <w:t>There</w:t>
      </w:r>
      <w:r>
        <w:rPr>
          <w:color w:val="231F20"/>
          <w:spacing w:val="-8"/>
          <w:sz w:val="20"/>
        </w:rPr>
        <w:t xml:space="preserve"> </w:t>
      </w:r>
      <w:r>
        <w:rPr>
          <w:color w:val="231F20"/>
          <w:spacing w:val="-3"/>
          <w:sz w:val="20"/>
        </w:rPr>
        <w:t>are</w:t>
      </w:r>
      <w:r>
        <w:rPr>
          <w:color w:val="231F20"/>
          <w:spacing w:val="-7"/>
          <w:sz w:val="20"/>
        </w:rPr>
        <w:t xml:space="preserve"> </w:t>
      </w:r>
      <w:r>
        <w:rPr>
          <w:color w:val="231F20"/>
          <w:sz w:val="20"/>
        </w:rPr>
        <w:t>some</w:t>
      </w:r>
      <w:r>
        <w:rPr>
          <w:color w:val="231F20"/>
          <w:spacing w:val="-7"/>
          <w:sz w:val="20"/>
        </w:rPr>
        <w:t xml:space="preserve"> </w:t>
      </w:r>
      <w:r>
        <w:rPr>
          <w:color w:val="231F20"/>
          <w:sz w:val="20"/>
        </w:rPr>
        <w:t>issues</w:t>
      </w:r>
      <w:r>
        <w:rPr>
          <w:color w:val="231F20"/>
          <w:spacing w:val="-8"/>
          <w:sz w:val="20"/>
        </w:rPr>
        <w:t xml:space="preserve"> </w:t>
      </w:r>
      <w:r>
        <w:rPr>
          <w:color w:val="231F20"/>
          <w:spacing w:val="-3"/>
          <w:sz w:val="20"/>
        </w:rPr>
        <w:t>we</w:t>
      </w:r>
      <w:r>
        <w:rPr>
          <w:color w:val="231F20"/>
          <w:spacing w:val="-7"/>
          <w:sz w:val="20"/>
        </w:rPr>
        <w:t xml:space="preserve"> </w:t>
      </w:r>
      <w:r>
        <w:rPr>
          <w:color w:val="231F20"/>
          <w:sz w:val="20"/>
        </w:rPr>
        <w:t>do</w:t>
      </w:r>
      <w:r>
        <w:rPr>
          <w:color w:val="231F20"/>
          <w:spacing w:val="-7"/>
          <w:sz w:val="20"/>
        </w:rPr>
        <w:t xml:space="preserve"> </w:t>
      </w:r>
      <w:r>
        <w:rPr>
          <w:color w:val="231F20"/>
          <w:sz w:val="20"/>
        </w:rPr>
        <w:t>not</w:t>
      </w:r>
      <w:r>
        <w:rPr>
          <w:color w:val="231F20"/>
          <w:spacing w:val="-7"/>
          <w:sz w:val="20"/>
        </w:rPr>
        <w:t xml:space="preserve"> </w:t>
      </w:r>
      <w:r>
        <w:rPr>
          <w:color w:val="231F20"/>
          <w:spacing w:val="-4"/>
          <w:sz w:val="20"/>
        </w:rPr>
        <w:t>cover</w:t>
      </w:r>
      <w:r>
        <w:rPr>
          <w:color w:val="231F20"/>
          <w:spacing w:val="-8"/>
          <w:sz w:val="20"/>
        </w:rPr>
        <w:t xml:space="preserve"> </w:t>
      </w:r>
      <w:r>
        <w:rPr>
          <w:color w:val="231F20"/>
          <w:sz w:val="20"/>
        </w:rPr>
        <w:t>in</w:t>
      </w:r>
      <w:r>
        <w:rPr>
          <w:color w:val="231F20"/>
          <w:spacing w:val="-7"/>
          <w:sz w:val="20"/>
        </w:rPr>
        <w:t xml:space="preserve"> </w:t>
      </w:r>
      <w:r>
        <w:rPr>
          <w:color w:val="231F20"/>
          <w:sz w:val="20"/>
        </w:rPr>
        <w:t>this</w:t>
      </w:r>
      <w:r>
        <w:rPr>
          <w:color w:val="231F20"/>
          <w:spacing w:val="-7"/>
          <w:sz w:val="20"/>
        </w:rPr>
        <w:t xml:space="preserve"> </w:t>
      </w:r>
      <w:r>
        <w:rPr>
          <w:color w:val="231F20"/>
          <w:sz w:val="20"/>
        </w:rPr>
        <w:t>report.</w:t>
      </w:r>
      <w:r>
        <w:rPr>
          <w:color w:val="231F20"/>
          <w:spacing w:val="-7"/>
          <w:sz w:val="20"/>
        </w:rPr>
        <w:t xml:space="preserve"> </w:t>
      </w:r>
      <w:r>
        <w:rPr>
          <w:color w:val="231F20"/>
          <w:spacing w:val="-6"/>
          <w:sz w:val="20"/>
        </w:rPr>
        <w:t>We</w:t>
      </w:r>
      <w:r>
        <w:rPr>
          <w:color w:val="231F20"/>
          <w:spacing w:val="-8"/>
          <w:sz w:val="20"/>
        </w:rPr>
        <w:t xml:space="preserve"> </w:t>
      </w:r>
      <w:r>
        <w:rPr>
          <w:color w:val="231F20"/>
          <w:spacing w:val="-4"/>
          <w:sz w:val="20"/>
        </w:rPr>
        <w:t>have</w:t>
      </w:r>
      <w:r>
        <w:rPr>
          <w:color w:val="231F20"/>
          <w:spacing w:val="-7"/>
          <w:sz w:val="20"/>
        </w:rPr>
        <w:t xml:space="preserve"> </w:t>
      </w:r>
      <w:proofErr w:type="spellStart"/>
      <w:r>
        <w:rPr>
          <w:color w:val="231F20"/>
          <w:sz w:val="20"/>
        </w:rPr>
        <w:t>focussed</w:t>
      </w:r>
      <w:proofErr w:type="spellEnd"/>
      <w:r>
        <w:rPr>
          <w:color w:val="231F20"/>
          <w:spacing w:val="-7"/>
          <w:sz w:val="20"/>
        </w:rPr>
        <w:t xml:space="preserve"> </w:t>
      </w:r>
      <w:r>
        <w:rPr>
          <w:color w:val="231F20"/>
          <w:sz w:val="20"/>
        </w:rPr>
        <w:t>on</w:t>
      </w:r>
      <w:r>
        <w:rPr>
          <w:color w:val="231F20"/>
          <w:spacing w:val="-8"/>
          <w:sz w:val="20"/>
        </w:rPr>
        <w:t xml:space="preserve"> </w:t>
      </w:r>
      <w:r>
        <w:rPr>
          <w:color w:val="231F20"/>
          <w:sz w:val="20"/>
        </w:rPr>
        <w:t xml:space="preserve">responding to stalking after it happens to </w:t>
      </w:r>
      <w:r>
        <w:rPr>
          <w:color w:val="231F20"/>
          <w:spacing w:val="-4"/>
          <w:sz w:val="20"/>
        </w:rPr>
        <w:t xml:space="preserve">prevent </w:t>
      </w:r>
      <w:r>
        <w:rPr>
          <w:color w:val="231F20"/>
          <w:sz w:val="20"/>
        </w:rPr>
        <w:t xml:space="preserve">it </w:t>
      </w:r>
      <w:r>
        <w:rPr>
          <w:color w:val="231F20"/>
          <w:spacing w:val="-3"/>
          <w:sz w:val="20"/>
        </w:rPr>
        <w:t xml:space="preserve">from </w:t>
      </w:r>
      <w:r>
        <w:rPr>
          <w:color w:val="231F20"/>
          <w:sz w:val="20"/>
        </w:rPr>
        <w:t xml:space="preserve">happening again. </w:t>
      </w:r>
      <w:r>
        <w:rPr>
          <w:color w:val="231F20"/>
          <w:spacing w:val="-6"/>
          <w:sz w:val="20"/>
        </w:rPr>
        <w:t xml:space="preserve">We </w:t>
      </w:r>
      <w:r>
        <w:rPr>
          <w:color w:val="231F20"/>
          <w:sz w:val="20"/>
        </w:rPr>
        <w:t>do not make many recommendations</w:t>
      </w:r>
      <w:r>
        <w:rPr>
          <w:color w:val="231F20"/>
          <w:spacing w:val="-10"/>
          <w:sz w:val="20"/>
        </w:rPr>
        <w:t xml:space="preserve"> </w:t>
      </w:r>
      <w:r>
        <w:rPr>
          <w:color w:val="231F20"/>
          <w:sz w:val="20"/>
        </w:rPr>
        <w:t>about</w:t>
      </w:r>
      <w:r>
        <w:rPr>
          <w:color w:val="231F20"/>
          <w:spacing w:val="-10"/>
          <w:sz w:val="20"/>
        </w:rPr>
        <w:t xml:space="preserve"> </w:t>
      </w:r>
      <w:r>
        <w:rPr>
          <w:color w:val="231F20"/>
          <w:spacing w:val="-3"/>
          <w:sz w:val="20"/>
        </w:rPr>
        <w:t>preventing</w:t>
      </w:r>
      <w:r>
        <w:rPr>
          <w:color w:val="231F20"/>
          <w:spacing w:val="-9"/>
          <w:sz w:val="20"/>
        </w:rPr>
        <w:t xml:space="preserve"> </w:t>
      </w:r>
      <w:r>
        <w:rPr>
          <w:color w:val="231F20"/>
          <w:sz w:val="20"/>
        </w:rPr>
        <w:t>stalking</w:t>
      </w:r>
      <w:r>
        <w:rPr>
          <w:color w:val="231F20"/>
          <w:spacing w:val="-10"/>
          <w:sz w:val="20"/>
        </w:rPr>
        <w:t xml:space="preserve"> </w:t>
      </w:r>
      <w:r>
        <w:rPr>
          <w:color w:val="231F20"/>
          <w:spacing w:val="-3"/>
          <w:sz w:val="20"/>
        </w:rPr>
        <w:t>before</w:t>
      </w:r>
      <w:r>
        <w:rPr>
          <w:color w:val="231F20"/>
          <w:spacing w:val="-9"/>
          <w:sz w:val="20"/>
        </w:rPr>
        <w:t xml:space="preserve"> </w:t>
      </w:r>
      <w:r>
        <w:rPr>
          <w:color w:val="231F20"/>
          <w:sz w:val="20"/>
        </w:rPr>
        <w:t>it</w:t>
      </w:r>
      <w:r>
        <w:rPr>
          <w:color w:val="231F20"/>
          <w:spacing w:val="-10"/>
          <w:sz w:val="20"/>
        </w:rPr>
        <w:t xml:space="preserve"> </w:t>
      </w:r>
      <w:r>
        <w:rPr>
          <w:color w:val="231F20"/>
          <w:sz w:val="20"/>
        </w:rPr>
        <w:t>happens.</w:t>
      </w:r>
      <w:r>
        <w:rPr>
          <w:color w:val="231F20"/>
          <w:spacing w:val="-9"/>
          <w:sz w:val="20"/>
        </w:rPr>
        <w:t xml:space="preserve"> </w:t>
      </w:r>
      <w:r>
        <w:rPr>
          <w:color w:val="231F20"/>
          <w:spacing w:val="-6"/>
          <w:sz w:val="20"/>
        </w:rPr>
        <w:t>We</w:t>
      </w:r>
      <w:r>
        <w:rPr>
          <w:color w:val="231F20"/>
          <w:spacing w:val="-10"/>
          <w:sz w:val="20"/>
        </w:rPr>
        <w:t xml:space="preserve"> </w:t>
      </w:r>
      <w:r>
        <w:rPr>
          <w:color w:val="231F20"/>
          <w:sz w:val="20"/>
        </w:rPr>
        <w:t>also</w:t>
      </w:r>
      <w:r>
        <w:rPr>
          <w:color w:val="231F20"/>
          <w:spacing w:val="-9"/>
          <w:sz w:val="20"/>
        </w:rPr>
        <w:t xml:space="preserve"> </w:t>
      </w:r>
      <w:r>
        <w:rPr>
          <w:color w:val="231F20"/>
          <w:sz w:val="20"/>
        </w:rPr>
        <w:t>focused</w:t>
      </w:r>
      <w:r>
        <w:rPr>
          <w:color w:val="231F20"/>
          <w:spacing w:val="-10"/>
          <w:sz w:val="20"/>
        </w:rPr>
        <w:t xml:space="preserve"> </w:t>
      </w:r>
      <w:r>
        <w:rPr>
          <w:color w:val="231F20"/>
          <w:sz w:val="20"/>
        </w:rPr>
        <w:t>on</w:t>
      </w:r>
      <w:r>
        <w:rPr>
          <w:color w:val="231F20"/>
          <w:spacing w:val="-9"/>
          <w:sz w:val="20"/>
        </w:rPr>
        <w:t xml:space="preserve"> </w:t>
      </w:r>
      <w:r>
        <w:rPr>
          <w:color w:val="231F20"/>
          <w:sz w:val="20"/>
        </w:rPr>
        <w:t xml:space="preserve">the justice </w:t>
      </w:r>
      <w:r>
        <w:rPr>
          <w:color w:val="231F20"/>
          <w:spacing w:val="-2"/>
          <w:sz w:val="20"/>
        </w:rPr>
        <w:t xml:space="preserve">system </w:t>
      </w:r>
      <w:r>
        <w:rPr>
          <w:color w:val="231F20"/>
          <w:spacing w:val="-3"/>
          <w:sz w:val="20"/>
        </w:rPr>
        <w:t xml:space="preserve">response, </w:t>
      </w:r>
      <w:r>
        <w:rPr>
          <w:color w:val="231F20"/>
          <w:sz w:val="20"/>
        </w:rPr>
        <w:t xml:space="preserve">rather than other systems, such as education and health. </w:t>
      </w:r>
      <w:proofErr w:type="gramStart"/>
      <w:r>
        <w:rPr>
          <w:color w:val="231F20"/>
          <w:sz w:val="20"/>
        </w:rPr>
        <w:t>So</w:t>
      </w:r>
      <w:proofErr w:type="gramEnd"/>
      <w:r>
        <w:rPr>
          <w:color w:val="231F20"/>
          <w:sz w:val="20"/>
        </w:rPr>
        <w:t xml:space="preserve"> </w:t>
      </w:r>
      <w:r>
        <w:rPr>
          <w:color w:val="231F20"/>
          <w:spacing w:val="-3"/>
          <w:sz w:val="20"/>
        </w:rPr>
        <w:t xml:space="preserve">we </w:t>
      </w:r>
      <w:r>
        <w:rPr>
          <w:color w:val="231F20"/>
          <w:spacing w:val="-4"/>
          <w:sz w:val="20"/>
        </w:rPr>
        <w:t xml:space="preserve">have </w:t>
      </w:r>
      <w:r>
        <w:rPr>
          <w:color w:val="231F20"/>
          <w:sz w:val="20"/>
        </w:rPr>
        <w:t xml:space="preserve">not made findings about </w:t>
      </w:r>
      <w:r>
        <w:rPr>
          <w:color w:val="231F20"/>
          <w:spacing w:val="-3"/>
          <w:sz w:val="20"/>
        </w:rPr>
        <w:t xml:space="preserve">information </w:t>
      </w:r>
      <w:r>
        <w:rPr>
          <w:color w:val="231F20"/>
          <w:sz w:val="20"/>
        </w:rPr>
        <w:t>sharing between</w:t>
      </w:r>
      <w:r>
        <w:rPr>
          <w:color w:val="231F20"/>
          <w:spacing w:val="-37"/>
          <w:sz w:val="20"/>
        </w:rPr>
        <w:t xml:space="preserve"> </w:t>
      </w:r>
      <w:r>
        <w:rPr>
          <w:color w:val="231F20"/>
          <w:sz w:val="20"/>
        </w:rPr>
        <w:t>agencies.</w:t>
      </w:r>
      <w:r>
        <w:rPr>
          <w:color w:val="231F20"/>
          <w:position w:val="7"/>
          <w:sz w:val="11"/>
        </w:rPr>
        <w:t>6</w:t>
      </w:r>
    </w:p>
    <w:p w14:paraId="7875DE73" w14:textId="77777777" w:rsidR="00894070" w:rsidRDefault="00894070">
      <w:pPr>
        <w:pStyle w:val="BodyText"/>
      </w:pPr>
    </w:p>
    <w:p w14:paraId="5CE3CFFF" w14:textId="77777777" w:rsidR="00894070" w:rsidRDefault="00894070">
      <w:pPr>
        <w:pStyle w:val="BodyText"/>
      </w:pPr>
    </w:p>
    <w:p w14:paraId="2AAF4AF8" w14:textId="77777777" w:rsidR="00894070" w:rsidRDefault="00894070">
      <w:pPr>
        <w:pStyle w:val="BodyText"/>
      </w:pPr>
    </w:p>
    <w:p w14:paraId="21DBE410" w14:textId="77777777" w:rsidR="00894070" w:rsidRDefault="00894070">
      <w:pPr>
        <w:pStyle w:val="BodyText"/>
      </w:pPr>
    </w:p>
    <w:p w14:paraId="0BC8F6BC" w14:textId="77777777" w:rsidR="00894070" w:rsidRDefault="00894070">
      <w:pPr>
        <w:pStyle w:val="BodyText"/>
      </w:pPr>
    </w:p>
    <w:p w14:paraId="37AE3143" w14:textId="77777777" w:rsidR="00894070" w:rsidRDefault="00894070">
      <w:pPr>
        <w:pStyle w:val="BodyText"/>
      </w:pPr>
    </w:p>
    <w:p w14:paraId="30A49C33" w14:textId="77777777" w:rsidR="00894070" w:rsidRDefault="00894070">
      <w:pPr>
        <w:pStyle w:val="BodyText"/>
      </w:pPr>
    </w:p>
    <w:p w14:paraId="36092798" w14:textId="77777777" w:rsidR="00894070" w:rsidRDefault="009F6793">
      <w:pPr>
        <w:pStyle w:val="BodyText"/>
        <w:spacing w:before="7"/>
        <w:rPr>
          <w:sz w:val="28"/>
        </w:rPr>
      </w:pPr>
      <w:r>
        <w:pict w14:anchorId="75AB851C">
          <v:line id="_x0000_s1707" style="position:absolute;z-index:-251475968;mso-wrap-distance-left:0;mso-wrap-distance-right:0;mso-position-horizontal-relative:page" from="79.35pt,22.25pt" to="515.9pt,22.25pt" strokecolor="#f8cabc" strokeweight="1pt">
            <w10:wrap type="topAndBottom" anchorx="page"/>
          </v:line>
        </w:pict>
      </w:r>
    </w:p>
    <w:p w14:paraId="1840CE9C" w14:textId="77777777" w:rsidR="00894070" w:rsidRDefault="009B7AFD">
      <w:pPr>
        <w:pStyle w:val="ListParagraph"/>
        <w:numPr>
          <w:ilvl w:val="0"/>
          <w:numId w:val="176"/>
        </w:numPr>
        <w:tabs>
          <w:tab w:val="left" w:pos="1800"/>
          <w:tab w:val="left" w:pos="1802"/>
        </w:tabs>
        <w:spacing w:before="107" w:line="213" w:lineRule="auto"/>
        <w:ind w:right="1253"/>
        <w:rPr>
          <w:sz w:val="13"/>
        </w:rPr>
      </w:pPr>
      <w:r>
        <w:rPr>
          <w:color w:val="231F20"/>
          <w:sz w:val="13"/>
        </w:rPr>
        <w:t xml:space="preserve">We have </w:t>
      </w:r>
      <w:r>
        <w:rPr>
          <w:color w:val="231F20"/>
          <w:spacing w:val="2"/>
          <w:sz w:val="13"/>
        </w:rPr>
        <w:t xml:space="preserve">Commissioners </w:t>
      </w:r>
      <w:r>
        <w:rPr>
          <w:color w:val="231F20"/>
          <w:sz w:val="13"/>
        </w:rPr>
        <w:t xml:space="preserve">who guide and make decisions about the inquiry. The </w:t>
      </w:r>
      <w:r>
        <w:rPr>
          <w:color w:val="231F20"/>
          <w:spacing w:val="2"/>
          <w:sz w:val="13"/>
        </w:rPr>
        <w:t xml:space="preserve">Commissioners </w:t>
      </w:r>
      <w:r>
        <w:rPr>
          <w:color w:val="231F20"/>
          <w:sz w:val="13"/>
        </w:rPr>
        <w:t xml:space="preserve">come from varied professional backgrounds. </w:t>
      </w:r>
      <w:r>
        <w:rPr>
          <w:color w:val="231F20"/>
          <w:spacing w:val="2"/>
          <w:sz w:val="13"/>
        </w:rPr>
        <w:t xml:space="preserve">Commissioners </w:t>
      </w:r>
      <w:r>
        <w:rPr>
          <w:color w:val="231F20"/>
          <w:sz w:val="13"/>
        </w:rPr>
        <w:t xml:space="preserve">are required to declare any potential conflicts of interest where they may intersect with the Commission’s work, including the development of recommendations. It may be appropriate for a </w:t>
      </w:r>
      <w:proofErr w:type="gramStart"/>
      <w:r>
        <w:rPr>
          <w:color w:val="231F20"/>
          <w:spacing w:val="2"/>
          <w:sz w:val="13"/>
        </w:rPr>
        <w:t>Commissioner</w:t>
      </w:r>
      <w:proofErr w:type="gramEnd"/>
      <w:r>
        <w:rPr>
          <w:color w:val="231F20"/>
          <w:spacing w:val="2"/>
          <w:sz w:val="13"/>
        </w:rPr>
        <w:t xml:space="preserve"> </w:t>
      </w:r>
      <w:r>
        <w:rPr>
          <w:color w:val="231F20"/>
          <w:sz w:val="13"/>
        </w:rPr>
        <w:t xml:space="preserve">to recuse themselves from engaging with the </w:t>
      </w:r>
      <w:r>
        <w:rPr>
          <w:color w:val="231F20"/>
          <w:spacing w:val="2"/>
          <w:sz w:val="13"/>
        </w:rPr>
        <w:t xml:space="preserve">decision-making </w:t>
      </w:r>
      <w:r>
        <w:rPr>
          <w:color w:val="231F20"/>
          <w:sz w:val="13"/>
        </w:rPr>
        <w:t xml:space="preserve">around a </w:t>
      </w:r>
      <w:r>
        <w:rPr>
          <w:color w:val="231F20"/>
          <w:spacing w:val="2"/>
          <w:sz w:val="13"/>
        </w:rPr>
        <w:t xml:space="preserve">particular </w:t>
      </w:r>
      <w:r>
        <w:rPr>
          <w:color w:val="231F20"/>
          <w:sz w:val="13"/>
        </w:rPr>
        <w:t xml:space="preserve">issue when a potential conflict of interest arises. In this reference, Dan </w:t>
      </w:r>
      <w:r>
        <w:rPr>
          <w:color w:val="231F20"/>
          <w:spacing w:val="2"/>
          <w:sz w:val="13"/>
        </w:rPr>
        <w:t xml:space="preserve">Nicholson, </w:t>
      </w:r>
      <w:r>
        <w:rPr>
          <w:color w:val="231F20"/>
          <w:sz w:val="13"/>
        </w:rPr>
        <w:t xml:space="preserve">Executive Director, Criminal Law at Victoria Legal Aid, declared potential conflicts of interest and </w:t>
      </w:r>
      <w:proofErr w:type="gramStart"/>
      <w:r>
        <w:rPr>
          <w:color w:val="231F20"/>
          <w:sz w:val="13"/>
        </w:rPr>
        <w:t>did  not</w:t>
      </w:r>
      <w:proofErr w:type="gramEnd"/>
      <w:r>
        <w:rPr>
          <w:color w:val="231F20"/>
          <w:sz w:val="13"/>
        </w:rPr>
        <w:t xml:space="preserve"> engage in </w:t>
      </w:r>
      <w:r>
        <w:rPr>
          <w:color w:val="231F20"/>
          <w:spacing w:val="2"/>
          <w:sz w:val="13"/>
        </w:rPr>
        <w:t xml:space="preserve">decision-making </w:t>
      </w:r>
      <w:r>
        <w:rPr>
          <w:color w:val="231F20"/>
          <w:sz w:val="13"/>
        </w:rPr>
        <w:t>in relation to Recommendations 22, 23, 32 and 42. These recommendations relate to Victoria   Legal Aid.</w:t>
      </w:r>
    </w:p>
    <w:p w14:paraId="0942E8BA" w14:textId="77777777" w:rsidR="00894070" w:rsidRDefault="009B7AFD">
      <w:pPr>
        <w:pStyle w:val="ListParagraph"/>
        <w:numPr>
          <w:ilvl w:val="0"/>
          <w:numId w:val="176"/>
        </w:numPr>
        <w:tabs>
          <w:tab w:val="left" w:pos="1800"/>
          <w:tab w:val="left" w:pos="1802"/>
        </w:tabs>
        <w:spacing w:line="150" w:lineRule="exact"/>
        <w:rPr>
          <w:sz w:val="13"/>
        </w:rPr>
      </w:pPr>
      <w:r>
        <w:rPr>
          <w:color w:val="231F20"/>
          <w:sz w:val="13"/>
        </w:rPr>
        <w:t>Sentencing</w:t>
      </w:r>
      <w:r>
        <w:rPr>
          <w:color w:val="231F20"/>
          <w:spacing w:val="3"/>
          <w:sz w:val="13"/>
        </w:rPr>
        <w:t xml:space="preserve"> </w:t>
      </w:r>
      <w:r>
        <w:rPr>
          <w:color w:val="231F20"/>
          <w:sz w:val="13"/>
        </w:rPr>
        <w:t>Advisory</w:t>
      </w:r>
      <w:r>
        <w:rPr>
          <w:color w:val="231F20"/>
          <w:spacing w:val="3"/>
          <w:sz w:val="13"/>
        </w:rPr>
        <w:t xml:space="preserve"> </w:t>
      </w:r>
      <w:r>
        <w:rPr>
          <w:color w:val="231F20"/>
          <w:sz w:val="13"/>
        </w:rPr>
        <w:t>Council</w:t>
      </w:r>
      <w:r>
        <w:rPr>
          <w:color w:val="231F20"/>
          <w:spacing w:val="3"/>
          <w:sz w:val="13"/>
        </w:rPr>
        <w:t xml:space="preserve"> </w:t>
      </w:r>
      <w:r>
        <w:rPr>
          <w:color w:val="231F20"/>
          <w:sz w:val="13"/>
        </w:rPr>
        <w:t>(Vic),</w:t>
      </w:r>
      <w:r>
        <w:rPr>
          <w:color w:val="231F20"/>
          <w:spacing w:val="2"/>
          <w:sz w:val="13"/>
        </w:rPr>
        <w:t xml:space="preserve"> </w:t>
      </w:r>
      <w:r>
        <w:rPr>
          <w:i/>
          <w:color w:val="231F20"/>
          <w:sz w:val="13"/>
        </w:rPr>
        <w:t>Sentencing</w:t>
      </w:r>
      <w:r>
        <w:rPr>
          <w:i/>
          <w:color w:val="231F20"/>
          <w:spacing w:val="3"/>
          <w:sz w:val="13"/>
        </w:rPr>
        <w:t xml:space="preserve"> </w:t>
      </w:r>
      <w:r>
        <w:rPr>
          <w:i/>
          <w:color w:val="231F20"/>
          <w:sz w:val="13"/>
        </w:rPr>
        <w:t>Breaches</w:t>
      </w:r>
      <w:r>
        <w:rPr>
          <w:i/>
          <w:color w:val="231F20"/>
          <w:spacing w:val="3"/>
          <w:sz w:val="13"/>
        </w:rPr>
        <w:t xml:space="preserve"> </w:t>
      </w:r>
      <w:r>
        <w:rPr>
          <w:i/>
          <w:color w:val="231F20"/>
          <w:sz w:val="13"/>
        </w:rPr>
        <w:t>of</w:t>
      </w:r>
      <w:r>
        <w:rPr>
          <w:i/>
          <w:color w:val="231F20"/>
          <w:spacing w:val="3"/>
          <w:sz w:val="13"/>
        </w:rPr>
        <w:t xml:space="preserve"> </w:t>
      </w:r>
      <w:r>
        <w:rPr>
          <w:i/>
          <w:color w:val="231F20"/>
          <w:sz w:val="13"/>
        </w:rPr>
        <w:t>Personal</w:t>
      </w:r>
      <w:r>
        <w:rPr>
          <w:i/>
          <w:color w:val="231F20"/>
          <w:spacing w:val="4"/>
          <w:sz w:val="13"/>
        </w:rPr>
        <w:t xml:space="preserve"> </w:t>
      </w:r>
      <w:r>
        <w:rPr>
          <w:i/>
          <w:color w:val="231F20"/>
          <w:sz w:val="13"/>
        </w:rPr>
        <w:t>Safety</w:t>
      </w:r>
      <w:r>
        <w:rPr>
          <w:i/>
          <w:color w:val="231F20"/>
          <w:spacing w:val="3"/>
          <w:sz w:val="13"/>
        </w:rPr>
        <w:t xml:space="preserve"> </w:t>
      </w:r>
      <w:r>
        <w:rPr>
          <w:i/>
          <w:color w:val="231F20"/>
          <w:sz w:val="13"/>
        </w:rPr>
        <w:t>Intervention</w:t>
      </w:r>
      <w:r>
        <w:rPr>
          <w:i/>
          <w:color w:val="231F20"/>
          <w:spacing w:val="3"/>
          <w:sz w:val="13"/>
        </w:rPr>
        <w:t xml:space="preserve"> </w:t>
      </w:r>
      <w:r>
        <w:rPr>
          <w:i/>
          <w:color w:val="231F20"/>
          <w:sz w:val="13"/>
        </w:rPr>
        <w:t>Orders</w:t>
      </w:r>
      <w:r>
        <w:rPr>
          <w:i/>
          <w:color w:val="231F20"/>
          <w:spacing w:val="3"/>
          <w:sz w:val="13"/>
        </w:rPr>
        <w:t xml:space="preserve"> </w:t>
      </w:r>
      <w:r>
        <w:rPr>
          <w:i/>
          <w:color w:val="231F20"/>
          <w:sz w:val="13"/>
        </w:rPr>
        <w:t>in</w:t>
      </w:r>
      <w:r>
        <w:rPr>
          <w:i/>
          <w:color w:val="231F20"/>
          <w:spacing w:val="3"/>
          <w:sz w:val="13"/>
        </w:rPr>
        <w:t xml:space="preserve"> </w:t>
      </w:r>
      <w:r>
        <w:rPr>
          <w:i/>
          <w:color w:val="231F20"/>
          <w:sz w:val="13"/>
        </w:rPr>
        <w:t>Victoria</w:t>
      </w:r>
      <w:r>
        <w:rPr>
          <w:i/>
          <w:color w:val="231F20"/>
          <w:spacing w:val="3"/>
          <w:sz w:val="13"/>
        </w:rPr>
        <w:t xml:space="preserve"> </w:t>
      </w:r>
      <w:r>
        <w:rPr>
          <w:color w:val="231F20"/>
          <w:spacing w:val="2"/>
          <w:sz w:val="13"/>
        </w:rPr>
        <w:t>(Report,</w:t>
      </w:r>
      <w:r>
        <w:rPr>
          <w:color w:val="231F20"/>
          <w:spacing w:val="3"/>
          <w:sz w:val="13"/>
        </w:rPr>
        <w:t xml:space="preserve"> </w:t>
      </w:r>
      <w:r>
        <w:rPr>
          <w:color w:val="231F20"/>
          <w:sz w:val="13"/>
        </w:rPr>
        <w:t>February</w:t>
      </w:r>
      <w:r>
        <w:rPr>
          <w:color w:val="231F20"/>
          <w:spacing w:val="3"/>
          <w:sz w:val="13"/>
        </w:rPr>
        <w:t xml:space="preserve"> </w:t>
      </w:r>
      <w:r>
        <w:rPr>
          <w:color w:val="231F20"/>
          <w:sz w:val="13"/>
        </w:rPr>
        <w:t>2022).</w:t>
      </w:r>
    </w:p>
    <w:p w14:paraId="66E6E7EF" w14:textId="77777777" w:rsidR="00894070" w:rsidRDefault="009B7AFD">
      <w:pPr>
        <w:pStyle w:val="ListParagraph"/>
        <w:numPr>
          <w:ilvl w:val="0"/>
          <w:numId w:val="176"/>
        </w:numPr>
        <w:tabs>
          <w:tab w:val="left" w:pos="1800"/>
          <w:tab w:val="left" w:pos="1802"/>
        </w:tabs>
        <w:spacing w:line="160" w:lineRule="exac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w:t>
      </w:r>
      <w:r>
        <w:rPr>
          <w:color w:val="231F20"/>
          <w:spacing w:val="5"/>
          <w:sz w:val="13"/>
        </w:rPr>
        <w:t xml:space="preserve"> </w:t>
      </w:r>
      <w:r>
        <w:rPr>
          <w:color w:val="231F20"/>
          <w:sz w:val="13"/>
        </w:rPr>
        <w:t>2022).</w:t>
      </w:r>
    </w:p>
    <w:p w14:paraId="435C96CA" w14:textId="77777777" w:rsidR="00894070" w:rsidRDefault="009B7AFD">
      <w:pPr>
        <w:pStyle w:val="ListParagraph"/>
        <w:numPr>
          <w:ilvl w:val="0"/>
          <w:numId w:val="176"/>
        </w:numPr>
        <w:tabs>
          <w:tab w:val="left" w:pos="1800"/>
          <w:tab w:val="left" w:pos="1802"/>
        </w:tabs>
        <w:spacing w:before="6" w:line="213" w:lineRule="auto"/>
        <w:ind w:right="1396"/>
        <w:rPr>
          <w:sz w:val="13"/>
        </w:rPr>
      </w:pPr>
      <w:r>
        <w:rPr>
          <w:color w:val="231F20"/>
          <w:sz w:val="13"/>
        </w:rPr>
        <w:t xml:space="preserve">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May 2022).</w:t>
      </w:r>
    </w:p>
    <w:p w14:paraId="52118A7D" w14:textId="77777777" w:rsidR="00894070" w:rsidRDefault="009F6793">
      <w:pPr>
        <w:pStyle w:val="ListParagraph"/>
        <w:numPr>
          <w:ilvl w:val="0"/>
          <w:numId w:val="176"/>
        </w:numPr>
        <w:tabs>
          <w:tab w:val="left" w:pos="1800"/>
          <w:tab w:val="left" w:pos="1802"/>
        </w:tabs>
        <w:spacing w:line="213" w:lineRule="auto"/>
        <w:ind w:right="1322"/>
        <w:rPr>
          <w:sz w:val="13"/>
        </w:rPr>
      </w:pPr>
      <w:r>
        <w:pict w14:anchorId="501E6780">
          <v:shape id="_x0000_s1706" type="#_x0000_t202" style="position:absolute;left:0;text-align:left;margin-left:552.25pt;margin-top:11.4pt;width:6.7pt;height:14.1pt;z-index:251471872;mso-position-horizontal-relative:page" filled="f" stroked="f">
            <v:textbox inset="0,0,0,0">
              <w:txbxContent>
                <w:p w14:paraId="15629D55" w14:textId="77777777" w:rsidR="00894070" w:rsidRDefault="009B7AFD">
                  <w:pPr>
                    <w:spacing w:line="282" w:lineRule="exact"/>
                    <w:rPr>
                      <w:b/>
                      <w:sz w:val="24"/>
                    </w:rPr>
                  </w:pPr>
                  <w:r>
                    <w:rPr>
                      <w:b/>
                      <w:color w:val="EA5B50"/>
                      <w:sz w:val="24"/>
                    </w:rPr>
                    <w:t>3</w:t>
                  </w:r>
                </w:p>
              </w:txbxContent>
            </v:textbox>
            <w10:wrap anchorx="page"/>
          </v:shape>
        </w:pict>
      </w:r>
      <w:r w:rsidR="009B7AFD">
        <w:rPr>
          <w:color w:val="231F20"/>
          <w:sz w:val="13"/>
        </w:rPr>
        <w:t xml:space="preserve">Sarah Bright, Lauren Barnaba and </w:t>
      </w:r>
      <w:r w:rsidR="009B7AFD">
        <w:rPr>
          <w:color w:val="231F20"/>
          <w:spacing w:val="2"/>
          <w:sz w:val="13"/>
        </w:rPr>
        <w:t xml:space="preserve">Melanie </w:t>
      </w:r>
      <w:proofErr w:type="spellStart"/>
      <w:r w:rsidR="009B7AFD">
        <w:rPr>
          <w:color w:val="231F20"/>
          <w:spacing w:val="2"/>
          <w:sz w:val="13"/>
        </w:rPr>
        <w:t>Millsteed</w:t>
      </w:r>
      <w:proofErr w:type="spellEnd"/>
      <w:r w:rsidR="009B7AFD">
        <w:rPr>
          <w:color w:val="231F20"/>
          <w:spacing w:val="2"/>
          <w:sz w:val="13"/>
        </w:rPr>
        <w:t xml:space="preserve">, </w:t>
      </w:r>
      <w:r w:rsidR="009B7AFD">
        <w:rPr>
          <w:i/>
          <w:color w:val="231F20"/>
          <w:sz w:val="13"/>
        </w:rPr>
        <w:t xml:space="preserve">Attrition of Stalking Offence </w:t>
      </w:r>
      <w:r w:rsidR="009B7AFD">
        <w:rPr>
          <w:i/>
          <w:color w:val="231F20"/>
          <w:spacing w:val="2"/>
          <w:sz w:val="13"/>
        </w:rPr>
        <w:t xml:space="preserve">Incidents </w:t>
      </w:r>
      <w:r w:rsidR="009B7AFD">
        <w:rPr>
          <w:i/>
          <w:color w:val="231F20"/>
          <w:sz w:val="13"/>
        </w:rPr>
        <w:t xml:space="preserve">through the Victorian Criminal Justice System </w:t>
      </w:r>
      <w:r w:rsidR="009B7AFD">
        <w:rPr>
          <w:color w:val="231F20"/>
          <w:sz w:val="13"/>
        </w:rPr>
        <w:t>(Data Snapshot, Crime Statistics Agency,</w:t>
      </w:r>
      <w:r w:rsidR="009B7AFD">
        <w:rPr>
          <w:color w:val="231F20"/>
          <w:spacing w:val="4"/>
          <w:sz w:val="13"/>
        </w:rPr>
        <w:t xml:space="preserve"> </w:t>
      </w:r>
      <w:r w:rsidR="009B7AFD">
        <w:rPr>
          <w:color w:val="231F20"/>
          <w:sz w:val="13"/>
        </w:rPr>
        <w:t>forthcoming).</w:t>
      </w:r>
    </w:p>
    <w:p w14:paraId="05FAC5B7" w14:textId="77777777" w:rsidR="00894070" w:rsidRDefault="009B7AFD">
      <w:pPr>
        <w:pStyle w:val="ListParagraph"/>
        <w:numPr>
          <w:ilvl w:val="0"/>
          <w:numId w:val="176"/>
        </w:numPr>
        <w:tabs>
          <w:tab w:val="left" w:pos="1800"/>
          <w:tab w:val="left" w:pos="1802"/>
        </w:tabs>
        <w:spacing w:line="163" w:lineRule="exact"/>
        <w:rPr>
          <w:sz w:val="13"/>
        </w:rPr>
      </w:pPr>
      <w:r>
        <w:rPr>
          <w:color w:val="231F20"/>
          <w:sz w:val="13"/>
        </w:rPr>
        <w:t>However,</w:t>
      </w:r>
      <w:r>
        <w:rPr>
          <w:color w:val="231F20"/>
          <w:spacing w:val="8"/>
          <w:sz w:val="13"/>
        </w:rPr>
        <w:t xml:space="preserve"> </w:t>
      </w:r>
      <w:r>
        <w:rPr>
          <w:color w:val="231F20"/>
          <w:sz w:val="13"/>
        </w:rPr>
        <w:t>this</w:t>
      </w:r>
      <w:r>
        <w:rPr>
          <w:color w:val="231F20"/>
          <w:spacing w:val="8"/>
          <w:sz w:val="13"/>
        </w:rPr>
        <w:t xml:space="preserve"> </w:t>
      </w:r>
      <w:r>
        <w:rPr>
          <w:color w:val="231F20"/>
          <w:sz w:val="13"/>
        </w:rPr>
        <w:t>issue</w:t>
      </w:r>
      <w:r>
        <w:rPr>
          <w:color w:val="231F20"/>
          <w:spacing w:val="9"/>
          <w:sz w:val="13"/>
        </w:rPr>
        <w:t xml:space="preserve"> </w:t>
      </w:r>
      <w:r>
        <w:rPr>
          <w:color w:val="231F20"/>
          <w:sz w:val="13"/>
        </w:rPr>
        <w:t>was</w:t>
      </w:r>
      <w:r>
        <w:rPr>
          <w:color w:val="231F20"/>
          <w:spacing w:val="8"/>
          <w:sz w:val="13"/>
        </w:rPr>
        <w:t xml:space="preserve"> </w:t>
      </w:r>
      <w:r>
        <w:rPr>
          <w:color w:val="231F20"/>
          <w:sz w:val="13"/>
        </w:rPr>
        <w:t>addressed</w:t>
      </w:r>
      <w:r>
        <w:rPr>
          <w:color w:val="231F20"/>
          <w:spacing w:val="9"/>
          <w:sz w:val="13"/>
        </w:rPr>
        <w:t xml:space="preserve"> </w:t>
      </w:r>
      <w:r>
        <w:rPr>
          <w:color w:val="231F20"/>
          <w:sz w:val="13"/>
        </w:rPr>
        <w:t>in</w:t>
      </w:r>
      <w:r>
        <w:rPr>
          <w:color w:val="231F20"/>
          <w:spacing w:val="8"/>
          <w:sz w:val="13"/>
        </w:rPr>
        <w:t xml:space="preserve"> </w:t>
      </w:r>
      <w:r>
        <w:rPr>
          <w:color w:val="231F20"/>
          <w:sz w:val="13"/>
        </w:rPr>
        <w:t>our</w:t>
      </w:r>
      <w:r>
        <w:rPr>
          <w:color w:val="231F20"/>
          <w:spacing w:val="9"/>
          <w:sz w:val="13"/>
        </w:rPr>
        <w:t xml:space="preserve"> </w:t>
      </w:r>
      <w:r>
        <w:rPr>
          <w:color w:val="231F20"/>
          <w:sz w:val="13"/>
        </w:rPr>
        <w:t>consultation</w:t>
      </w:r>
      <w:r>
        <w:rPr>
          <w:color w:val="231F20"/>
          <w:spacing w:val="8"/>
          <w:sz w:val="13"/>
        </w:rPr>
        <w:t xml:space="preserve"> </w:t>
      </w:r>
      <w:r>
        <w:rPr>
          <w:color w:val="231F20"/>
          <w:sz w:val="13"/>
        </w:rPr>
        <w:t>paper.</w:t>
      </w:r>
    </w:p>
    <w:p w14:paraId="007FAAF7" w14:textId="77777777" w:rsidR="00894070" w:rsidRDefault="00894070">
      <w:pPr>
        <w:spacing w:line="163" w:lineRule="exact"/>
        <w:rPr>
          <w:sz w:val="13"/>
        </w:rPr>
        <w:sectPr w:rsidR="00894070">
          <w:headerReference w:type="even" r:id="rId23"/>
          <w:headerReference w:type="default" r:id="rId24"/>
          <w:pgSz w:w="11910" w:h="16840"/>
          <w:pgMar w:top="840" w:right="420" w:bottom="280" w:left="580" w:header="0" w:footer="0" w:gutter="0"/>
          <w:cols w:space="720"/>
        </w:sectPr>
      </w:pPr>
    </w:p>
    <w:p w14:paraId="3CCE8306" w14:textId="77777777" w:rsidR="00894070" w:rsidRDefault="00894070">
      <w:pPr>
        <w:pStyle w:val="BodyText"/>
      </w:pPr>
    </w:p>
    <w:p w14:paraId="598546FC" w14:textId="77777777" w:rsidR="00894070" w:rsidRDefault="00894070">
      <w:pPr>
        <w:pStyle w:val="BodyText"/>
      </w:pPr>
    </w:p>
    <w:p w14:paraId="690113A0" w14:textId="77777777" w:rsidR="00894070" w:rsidRDefault="00894070">
      <w:pPr>
        <w:pStyle w:val="BodyText"/>
      </w:pPr>
    </w:p>
    <w:p w14:paraId="695AD869" w14:textId="77777777" w:rsidR="00894070" w:rsidRDefault="009B7AFD">
      <w:pPr>
        <w:pStyle w:val="Heading7"/>
        <w:spacing w:before="212"/>
      </w:pPr>
      <w:bookmarkStart w:id="17" w:name="An_acknowledgement"/>
      <w:bookmarkStart w:id="18" w:name="Why_does_the_response_to_stalking_need_t"/>
      <w:bookmarkStart w:id="19" w:name="_bookmark7"/>
      <w:bookmarkEnd w:id="17"/>
      <w:bookmarkEnd w:id="18"/>
      <w:bookmarkEnd w:id="19"/>
      <w:r>
        <w:rPr>
          <w:color w:val="EA5B50"/>
        </w:rPr>
        <w:t>An acknowledgement</w:t>
      </w:r>
    </w:p>
    <w:p w14:paraId="5D2D1493" w14:textId="77777777" w:rsidR="00894070" w:rsidRDefault="009B7AFD">
      <w:pPr>
        <w:pStyle w:val="ListParagraph"/>
        <w:numPr>
          <w:ilvl w:val="1"/>
          <w:numId w:val="177"/>
        </w:numPr>
        <w:tabs>
          <w:tab w:val="left" w:pos="1801"/>
          <w:tab w:val="left" w:pos="1802"/>
        </w:tabs>
        <w:spacing w:before="146" w:line="206" w:lineRule="auto"/>
        <w:ind w:right="1563"/>
        <w:rPr>
          <w:sz w:val="20"/>
        </w:rPr>
      </w:pPr>
      <w:r>
        <w:rPr>
          <w:color w:val="231F20"/>
          <w:spacing w:val="-3"/>
          <w:sz w:val="20"/>
        </w:rPr>
        <w:t>At</w:t>
      </w:r>
      <w:r>
        <w:rPr>
          <w:color w:val="231F20"/>
          <w:spacing w:val="-7"/>
          <w:sz w:val="20"/>
        </w:rPr>
        <w:t xml:space="preserve"> </w:t>
      </w:r>
      <w:r>
        <w:rPr>
          <w:color w:val="231F20"/>
          <w:sz w:val="20"/>
        </w:rPr>
        <w:t>the</w:t>
      </w:r>
      <w:r>
        <w:rPr>
          <w:color w:val="231F20"/>
          <w:spacing w:val="-7"/>
          <w:sz w:val="20"/>
        </w:rPr>
        <w:t xml:space="preserve"> </w:t>
      </w:r>
      <w:r>
        <w:rPr>
          <w:color w:val="231F20"/>
          <w:sz w:val="20"/>
        </w:rPr>
        <w:t>heart</w:t>
      </w:r>
      <w:r>
        <w:rPr>
          <w:color w:val="231F20"/>
          <w:spacing w:val="-6"/>
          <w:sz w:val="20"/>
        </w:rPr>
        <w:t xml:space="preserve"> </w:t>
      </w:r>
      <w:r>
        <w:rPr>
          <w:color w:val="231F20"/>
          <w:sz w:val="20"/>
        </w:rPr>
        <w:t>of</w:t>
      </w:r>
      <w:r>
        <w:rPr>
          <w:color w:val="231F20"/>
          <w:spacing w:val="-7"/>
          <w:sz w:val="20"/>
        </w:rPr>
        <w:t xml:space="preserve"> </w:t>
      </w:r>
      <w:r>
        <w:rPr>
          <w:color w:val="231F20"/>
          <w:sz w:val="20"/>
        </w:rPr>
        <w:t>this</w:t>
      </w:r>
      <w:r>
        <w:rPr>
          <w:color w:val="231F20"/>
          <w:spacing w:val="-7"/>
          <w:sz w:val="20"/>
        </w:rPr>
        <w:t xml:space="preserve"> </w:t>
      </w:r>
      <w:r>
        <w:rPr>
          <w:color w:val="231F20"/>
          <w:spacing w:val="-3"/>
          <w:sz w:val="20"/>
        </w:rPr>
        <w:t>reference</w:t>
      </w:r>
      <w:r>
        <w:rPr>
          <w:color w:val="231F20"/>
          <w:spacing w:val="-6"/>
          <w:sz w:val="20"/>
        </w:rPr>
        <w:t xml:space="preserve"> </w:t>
      </w:r>
      <w:r>
        <w:rPr>
          <w:color w:val="231F20"/>
          <w:sz w:val="20"/>
        </w:rPr>
        <w:t>is</w:t>
      </w:r>
      <w:r>
        <w:rPr>
          <w:color w:val="231F20"/>
          <w:spacing w:val="-7"/>
          <w:sz w:val="20"/>
        </w:rPr>
        <w:t xml:space="preserve"> </w:t>
      </w:r>
      <w:r>
        <w:rPr>
          <w:color w:val="231F20"/>
          <w:sz w:val="20"/>
        </w:rPr>
        <w:t>the</w:t>
      </w:r>
      <w:r>
        <w:rPr>
          <w:color w:val="231F20"/>
          <w:spacing w:val="-7"/>
          <w:sz w:val="20"/>
        </w:rPr>
        <w:t xml:space="preserve"> </w:t>
      </w:r>
      <w:r>
        <w:rPr>
          <w:color w:val="231F20"/>
          <w:sz w:val="20"/>
        </w:rPr>
        <w:t>death</w:t>
      </w:r>
      <w:r>
        <w:rPr>
          <w:color w:val="231F20"/>
          <w:spacing w:val="-6"/>
          <w:sz w:val="20"/>
        </w:rPr>
        <w:t xml:space="preserve"> </w:t>
      </w:r>
      <w:r>
        <w:rPr>
          <w:color w:val="231F20"/>
          <w:sz w:val="20"/>
        </w:rPr>
        <w:t>of</w:t>
      </w:r>
      <w:r>
        <w:rPr>
          <w:color w:val="231F20"/>
          <w:spacing w:val="-7"/>
          <w:sz w:val="20"/>
        </w:rPr>
        <w:t xml:space="preserve"> </w:t>
      </w:r>
      <w:r>
        <w:rPr>
          <w:color w:val="231F20"/>
          <w:sz w:val="20"/>
        </w:rPr>
        <w:t>Celeste</w:t>
      </w:r>
      <w:r>
        <w:rPr>
          <w:color w:val="231F20"/>
          <w:spacing w:val="-7"/>
          <w:sz w:val="20"/>
        </w:rPr>
        <w:t xml:space="preserve"> </w:t>
      </w:r>
      <w:proofErr w:type="spellStart"/>
      <w:r>
        <w:rPr>
          <w:color w:val="231F20"/>
          <w:sz w:val="20"/>
        </w:rPr>
        <w:t>Manno</w:t>
      </w:r>
      <w:proofErr w:type="spellEnd"/>
      <w:r>
        <w:rPr>
          <w:color w:val="231F20"/>
          <w:spacing w:val="-6"/>
          <w:sz w:val="20"/>
        </w:rPr>
        <w:t xml:space="preserve"> </w:t>
      </w:r>
      <w:r>
        <w:rPr>
          <w:color w:val="231F20"/>
          <w:sz w:val="20"/>
        </w:rPr>
        <w:t>in</w:t>
      </w:r>
      <w:r>
        <w:rPr>
          <w:color w:val="231F20"/>
          <w:spacing w:val="-7"/>
          <w:sz w:val="20"/>
        </w:rPr>
        <w:t xml:space="preserve"> </w:t>
      </w:r>
      <w:r>
        <w:rPr>
          <w:color w:val="231F20"/>
          <w:spacing w:val="-3"/>
          <w:sz w:val="20"/>
        </w:rPr>
        <w:t>November</w:t>
      </w:r>
      <w:r>
        <w:rPr>
          <w:color w:val="231F20"/>
          <w:spacing w:val="-7"/>
          <w:sz w:val="20"/>
        </w:rPr>
        <w:t xml:space="preserve"> </w:t>
      </w:r>
      <w:r>
        <w:rPr>
          <w:color w:val="231F20"/>
          <w:spacing w:val="-3"/>
          <w:sz w:val="20"/>
        </w:rPr>
        <w:t>2020.</w:t>
      </w:r>
      <w:r>
        <w:rPr>
          <w:color w:val="231F20"/>
          <w:spacing w:val="-6"/>
          <w:sz w:val="20"/>
        </w:rPr>
        <w:t xml:space="preserve"> </w:t>
      </w:r>
      <w:r>
        <w:rPr>
          <w:color w:val="231F20"/>
          <w:sz w:val="20"/>
        </w:rPr>
        <w:t>This report</w:t>
      </w:r>
      <w:r>
        <w:rPr>
          <w:color w:val="231F20"/>
          <w:spacing w:val="-8"/>
          <w:sz w:val="20"/>
        </w:rPr>
        <w:t xml:space="preserve"> </w:t>
      </w:r>
      <w:r>
        <w:rPr>
          <w:color w:val="231F20"/>
          <w:sz w:val="20"/>
        </w:rPr>
        <w:t>does</w:t>
      </w:r>
      <w:r>
        <w:rPr>
          <w:color w:val="231F20"/>
          <w:spacing w:val="-7"/>
          <w:sz w:val="20"/>
        </w:rPr>
        <w:t xml:space="preserve"> </w:t>
      </w:r>
      <w:r>
        <w:rPr>
          <w:color w:val="231F20"/>
          <w:sz w:val="20"/>
        </w:rPr>
        <w:t>not</w:t>
      </w:r>
      <w:r>
        <w:rPr>
          <w:color w:val="231F20"/>
          <w:spacing w:val="-8"/>
          <w:sz w:val="20"/>
        </w:rPr>
        <w:t xml:space="preserve"> </w:t>
      </w:r>
      <w:r>
        <w:rPr>
          <w:color w:val="231F20"/>
          <w:sz w:val="20"/>
        </w:rPr>
        <w:t>discuss</w:t>
      </w:r>
      <w:r>
        <w:rPr>
          <w:color w:val="231F20"/>
          <w:spacing w:val="-7"/>
          <w:sz w:val="20"/>
        </w:rPr>
        <w:t xml:space="preserve"> </w:t>
      </w:r>
      <w:r>
        <w:rPr>
          <w:color w:val="231F20"/>
          <w:sz w:val="20"/>
        </w:rPr>
        <w:t>the</w:t>
      </w:r>
      <w:r>
        <w:rPr>
          <w:color w:val="231F20"/>
          <w:spacing w:val="-8"/>
          <w:sz w:val="20"/>
        </w:rPr>
        <w:t xml:space="preserve"> </w:t>
      </w:r>
      <w:r>
        <w:rPr>
          <w:color w:val="231F20"/>
          <w:sz w:val="20"/>
        </w:rPr>
        <w:t>details</w:t>
      </w:r>
      <w:r>
        <w:rPr>
          <w:color w:val="231F20"/>
          <w:spacing w:val="-7"/>
          <w:sz w:val="20"/>
        </w:rPr>
        <w:t xml:space="preserve"> </w:t>
      </w:r>
      <w:r>
        <w:rPr>
          <w:color w:val="231F20"/>
          <w:sz w:val="20"/>
        </w:rPr>
        <w:t>of</w:t>
      </w:r>
      <w:r>
        <w:rPr>
          <w:color w:val="231F20"/>
          <w:spacing w:val="-8"/>
          <w:sz w:val="20"/>
        </w:rPr>
        <w:t xml:space="preserve"> </w:t>
      </w:r>
      <w:proofErr w:type="spellStart"/>
      <w:r>
        <w:rPr>
          <w:color w:val="231F20"/>
          <w:sz w:val="20"/>
        </w:rPr>
        <w:t>Ms</w:t>
      </w:r>
      <w:proofErr w:type="spellEnd"/>
      <w:r>
        <w:rPr>
          <w:color w:val="231F20"/>
          <w:spacing w:val="-7"/>
          <w:sz w:val="20"/>
        </w:rPr>
        <w:t xml:space="preserve"> </w:t>
      </w:r>
      <w:proofErr w:type="spellStart"/>
      <w:r>
        <w:rPr>
          <w:color w:val="231F20"/>
          <w:spacing w:val="-3"/>
          <w:sz w:val="20"/>
        </w:rPr>
        <w:t>Manno’s</w:t>
      </w:r>
      <w:proofErr w:type="spellEnd"/>
      <w:r>
        <w:rPr>
          <w:color w:val="231F20"/>
          <w:spacing w:val="-8"/>
          <w:sz w:val="20"/>
        </w:rPr>
        <w:t xml:space="preserve"> </w:t>
      </w:r>
      <w:r>
        <w:rPr>
          <w:color w:val="231F20"/>
          <w:sz w:val="20"/>
        </w:rPr>
        <w:t>death</w:t>
      </w:r>
      <w:r>
        <w:rPr>
          <w:color w:val="231F20"/>
          <w:spacing w:val="-7"/>
          <w:sz w:val="20"/>
        </w:rPr>
        <w:t xml:space="preserve"> </w:t>
      </w:r>
      <w:r>
        <w:rPr>
          <w:color w:val="231F20"/>
          <w:sz w:val="20"/>
        </w:rPr>
        <w:t>because</w:t>
      </w:r>
      <w:r>
        <w:rPr>
          <w:color w:val="231F20"/>
          <w:spacing w:val="-8"/>
          <w:sz w:val="20"/>
        </w:rPr>
        <w:t xml:space="preserve"> </w:t>
      </w:r>
      <w:r>
        <w:rPr>
          <w:color w:val="231F20"/>
          <w:sz w:val="20"/>
        </w:rPr>
        <w:t>a</w:t>
      </w:r>
      <w:r>
        <w:rPr>
          <w:color w:val="231F20"/>
          <w:spacing w:val="-7"/>
          <w:sz w:val="20"/>
        </w:rPr>
        <w:t xml:space="preserve"> </w:t>
      </w:r>
      <w:r>
        <w:rPr>
          <w:color w:val="231F20"/>
          <w:sz w:val="20"/>
        </w:rPr>
        <w:t>criminal</w:t>
      </w:r>
      <w:r>
        <w:rPr>
          <w:color w:val="231F20"/>
          <w:spacing w:val="-8"/>
          <w:sz w:val="20"/>
        </w:rPr>
        <w:t xml:space="preserve"> </w:t>
      </w:r>
      <w:r>
        <w:rPr>
          <w:color w:val="231F20"/>
          <w:sz w:val="20"/>
        </w:rPr>
        <w:t>case</w:t>
      </w:r>
      <w:r>
        <w:rPr>
          <w:color w:val="231F20"/>
          <w:spacing w:val="-7"/>
          <w:sz w:val="20"/>
        </w:rPr>
        <w:t xml:space="preserve"> </w:t>
      </w:r>
      <w:r>
        <w:rPr>
          <w:color w:val="231F20"/>
          <w:sz w:val="20"/>
        </w:rPr>
        <w:t xml:space="preserve">is </w:t>
      </w:r>
      <w:r>
        <w:rPr>
          <w:color w:val="231F20"/>
          <w:spacing w:val="-3"/>
          <w:sz w:val="20"/>
        </w:rPr>
        <w:t xml:space="preserve">currently before </w:t>
      </w:r>
      <w:r>
        <w:rPr>
          <w:color w:val="231F20"/>
          <w:sz w:val="20"/>
        </w:rPr>
        <w:t xml:space="preserve">the courts. But it was in response to her death that the </w:t>
      </w:r>
      <w:r>
        <w:rPr>
          <w:color w:val="231F20"/>
          <w:spacing w:val="-3"/>
          <w:sz w:val="20"/>
        </w:rPr>
        <w:t xml:space="preserve">Attorney- </w:t>
      </w:r>
      <w:r>
        <w:rPr>
          <w:color w:val="231F20"/>
          <w:sz w:val="20"/>
        </w:rPr>
        <w:t>General asked us to conduct this</w:t>
      </w:r>
      <w:r>
        <w:rPr>
          <w:color w:val="231F20"/>
          <w:spacing w:val="-26"/>
          <w:sz w:val="20"/>
        </w:rPr>
        <w:t xml:space="preserve"> </w:t>
      </w:r>
      <w:r>
        <w:rPr>
          <w:color w:val="231F20"/>
          <w:spacing w:val="-5"/>
          <w:sz w:val="20"/>
        </w:rPr>
        <w:t>review.</w:t>
      </w:r>
    </w:p>
    <w:p w14:paraId="257B42D7" w14:textId="77777777" w:rsidR="00894070" w:rsidRDefault="009B7AFD">
      <w:pPr>
        <w:pStyle w:val="ListParagraph"/>
        <w:numPr>
          <w:ilvl w:val="1"/>
          <w:numId w:val="177"/>
        </w:numPr>
        <w:tabs>
          <w:tab w:val="left" w:pos="1801"/>
          <w:tab w:val="left" w:pos="1802"/>
        </w:tabs>
        <w:spacing w:before="125" w:line="206" w:lineRule="auto"/>
        <w:ind w:right="1401"/>
        <w:rPr>
          <w:sz w:val="20"/>
        </w:rPr>
      </w:pPr>
      <w:r>
        <w:rPr>
          <w:color w:val="231F20"/>
          <w:spacing w:val="-6"/>
          <w:sz w:val="20"/>
        </w:rPr>
        <w:t xml:space="preserve">We </w:t>
      </w:r>
      <w:r>
        <w:rPr>
          <w:color w:val="231F20"/>
          <w:sz w:val="20"/>
        </w:rPr>
        <w:t xml:space="preserve">thank </w:t>
      </w:r>
      <w:r>
        <w:rPr>
          <w:color w:val="231F20"/>
          <w:spacing w:val="-2"/>
          <w:sz w:val="20"/>
        </w:rPr>
        <w:t xml:space="preserve">everyone </w:t>
      </w:r>
      <w:r>
        <w:rPr>
          <w:color w:val="231F20"/>
          <w:sz w:val="20"/>
        </w:rPr>
        <w:t xml:space="preserve">who </w:t>
      </w:r>
      <w:r>
        <w:rPr>
          <w:color w:val="231F20"/>
          <w:spacing w:val="-3"/>
          <w:sz w:val="20"/>
        </w:rPr>
        <w:t xml:space="preserve">contributed </w:t>
      </w:r>
      <w:r>
        <w:rPr>
          <w:color w:val="231F20"/>
          <w:sz w:val="20"/>
        </w:rPr>
        <w:t xml:space="preserve">to this </w:t>
      </w:r>
      <w:r>
        <w:rPr>
          <w:color w:val="231F20"/>
          <w:spacing w:val="-3"/>
          <w:sz w:val="20"/>
        </w:rPr>
        <w:t xml:space="preserve">inquiry, </w:t>
      </w:r>
      <w:r>
        <w:rPr>
          <w:color w:val="231F20"/>
          <w:sz w:val="20"/>
        </w:rPr>
        <w:t xml:space="preserve">especially victim survivors and concerned members of the public. Many people </w:t>
      </w:r>
      <w:r>
        <w:rPr>
          <w:color w:val="231F20"/>
          <w:spacing w:val="-4"/>
          <w:sz w:val="20"/>
        </w:rPr>
        <w:t xml:space="preserve">were </w:t>
      </w:r>
      <w:r>
        <w:rPr>
          <w:color w:val="231F20"/>
          <w:spacing w:val="-3"/>
          <w:sz w:val="20"/>
        </w:rPr>
        <w:t xml:space="preserve">motivated </w:t>
      </w:r>
      <w:r>
        <w:rPr>
          <w:color w:val="231F20"/>
          <w:sz w:val="20"/>
        </w:rPr>
        <w:t xml:space="preserve">to </w:t>
      </w:r>
      <w:r>
        <w:rPr>
          <w:color w:val="231F20"/>
          <w:spacing w:val="-3"/>
          <w:sz w:val="20"/>
        </w:rPr>
        <w:t xml:space="preserve">write </w:t>
      </w:r>
      <w:r>
        <w:rPr>
          <w:color w:val="231F20"/>
          <w:sz w:val="20"/>
        </w:rPr>
        <w:t>to us in support</w:t>
      </w:r>
      <w:r>
        <w:rPr>
          <w:color w:val="231F20"/>
          <w:spacing w:val="-11"/>
          <w:sz w:val="20"/>
        </w:rPr>
        <w:t xml:space="preserve"> </w:t>
      </w:r>
      <w:r>
        <w:rPr>
          <w:color w:val="231F20"/>
          <w:sz w:val="20"/>
        </w:rPr>
        <w:t>of</w:t>
      </w:r>
      <w:r>
        <w:rPr>
          <w:color w:val="231F20"/>
          <w:spacing w:val="-10"/>
          <w:sz w:val="20"/>
        </w:rPr>
        <w:t xml:space="preserve"> </w:t>
      </w:r>
      <w:r>
        <w:rPr>
          <w:color w:val="231F20"/>
          <w:sz w:val="20"/>
        </w:rPr>
        <w:t>Celeste</w:t>
      </w:r>
      <w:r>
        <w:rPr>
          <w:color w:val="231F20"/>
          <w:spacing w:val="-10"/>
          <w:sz w:val="20"/>
        </w:rPr>
        <w:t xml:space="preserve"> </w:t>
      </w:r>
      <w:proofErr w:type="spellStart"/>
      <w:r>
        <w:rPr>
          <w:color w:val="231F20"/>
          <w:spacing w:val="-3"/>
          <w:sz w:val="20"/>
        </w:rPr>
        <w:t>Manno</w:t>
      </w:r>
      <w:proofErr w:type="spellEnd"/>
      <w:r>
        <w:rPr>
          <w:color w:val="231F20"/>
          <w:spacing w:val="-3"/>
          <w:sz w:val="20"/>
        </w:rPr>
        <w:t>.</w:t>
      </w:r>
      <w:r>
        <w:rPr>
          <w:color w:val="231F20"/>
          <w:spacing w:val="-3"/>
          <w:position w:val="7"/>
          <w:sz w:val="11"/>
        </w:rPr>
        <w:t>7</w:t>
      </w:r>
      <w:r>
        <w:rPr>
          <w:color w:val="231F20"/>
          <w:spacing w:val="14"/>
          <w:position w:val="7"/>
          <w:sz w:val="11"/>
        </w:rPr>
        <w:t xml:space="preserve"> </w:t>
      </w:r>
      <w:r>
        <w:rPr>
          <w:color w:val="231F20"/>
          <w:sz w:val="20"/>
        </w:rPr>
        <w:t>Many</w:t>
      </w:r>
      <w:r>
        <w:rPr>
          <w:color w:val="231F20"/>
          <w:spacing w:val="-10"/>
          <w:sz w:val="20"/>
        </w:rPr>
        <w:t xml:space="preserve"> </w:t>
      </w:r>
      <w:r>
        <w:rPr>
          <w:color w:val="231F20"/>
          <w:sz w:val="20"/>
        </w:rPr>
        <w:t>respondents</w:t>
      </w:r>
      <w:r>
        <w:rPr>
          <w:color w:val="231F20"/>
          <w:spacing w:val="-11"/>
          <w:sz w:val="20"/>
        </w:rPr>
        <w:t xml:space="preserve"> </w:t>
      </w:r>
      <w:r>
        <w:rPr>
          <w:color w:val="231F20"/>
          <w:sz w:val="20"/>
        </w:rPr>
        <w:t>shared</w:t>
      </w:r>
      <w:r>
        <w:rPr>
          <w:color w:val="231F20"/>
          <w:spacing w:val="-10"/>
          <w:sz w:val="20"/>
        </w:rPr>
        <w:t xml:space="preserve"> </w:t>
      </w:r>
      <w:r>
        <w:rPr>
          <w:color w:val="231F20"/>
          <w:sz w:val="20"/>
        </w:rPr>
        <w:t>their</w:t>
      </w:r>
      <w:r>
        <w:rPr>
          <w:color w:val="231F20"/>
          <w:spacing w:val="-10"/>
          <w:sz w:val="20"/>
        </w:rPr>
        <w:t xml:space="preserve"> </w:t>
      </w:r>
      <w:r>
        <w:rPr>
          <w:color w:val="231F20"/>
          <w:sz w:val="20"/>
        </w:rPr>
        <w:t>experiences</w:t>
      </w:r>
      <w:r>
        <w:rPr>
          <w:color w:val="231F20"/>
          <w:spacing w:val="-10"/>
          <w:sz w:val="20"/>
        </w:rPr>
        <w:t xml:space="preserve"> </w:t>
      </w:r>
      <w:r>
        <w:rPr>
          <w:color w:val="231F20"/>
          <w:sz w:val="20"/>
        </w:rPr>
        <w:t>and</w:t>
      </w:r>
      <w:r>
        <w:rPr>
          <w:color w:val="231F20"/>
          <w:spacing w:val="-10"/>
          <w:sz w:val="20"/>
        </w:rPr>
        <w:t xml:space="preserve"> </w:t>
      </w:r>
      <w:r>
        <w:rPr>
          <w:color w:val="231F20"/>
          <w:spacing w:val="-3"/>
          <w:sz w:val="20"/>
        </w:rPr>
        <w:t>views</w:t>
      </w:r>
      <w:r>
        <w:rPr>
          <w:color w:val="231F20"/>
          <w:spacing w:val="-10"/>
          <w:sz w:val="20"/>
        </w:rPr>
        <w:t xml:space="preserve"> </w:t>
      </w:r>
      <w:r>
        <w:rPr>
          <w:color w:val="231F20"/>
          <w:sz w:val="20"/>
        </w:rPr>
        <w:t xml:space="preserve">to </w:t>
      </w:r>
      <w:r>
        <w:rPr>
          <w:color w:val="231F20"/>
          <w:spacing w:val="-4"/>
          <w:sz w:val="20"/>
        </w:rPr>
        <w:t xml:space="preserve">improve </w:t>
      </w:r>
      <w:r>
        <w:rPr>
          <w:color w:val="231F20"/>
          <w:sz w:val="20"/>
        </w:rPr>
        <w:t>the response to</w:t>
      </w:r>
      <w:r>
        <w:rPr>
          <w:color w:val="231F20"/>
          <w:spacing w:val="-13"/>
          <w:sz w:val="20"/>
        </w:rPr>
        <w:t xml:space="preserve"> </w:t>
      </w:r>
      <w:r>
        <w:rPr>
          <w:color w:val="231F20"/>
          <w:sz w:val="20"/>
        </w:rPr>
        <w:t>stalking.</w:t>
      </w:r>
    </w:p>
    <w:p w14:paraId="04BFFA1E" w14:textId="77777777" w:rsidR="00894070" w:rsidRDefault="00894070">
      <w:pPr>
        <w:pStyle w:val="BodyText"/>
        <w:spacing w:before="8"/>
        <w:rPr>
          <w:sz w:val="16"/>
        </w:rPr>
      </w:pPr>
    </w:p>
    <w:p w14:paraId="53EAF35D" w14:textId="77777777" w:rsidR="00894070" w:rsidRDefault="009B7AFD">
      <w:pPr>
        <w:pStyle w:val="Heading7"/>
      </w:pPr>
      <w:r>
        <w:rPr>
          <w:color w:val="EA5B50"/>
        </w:rPr>
        <w:t>Why does the response to stalking need to change?</w:t>
      </w:r>
    </w:p>
    <w:p w14:paraId="778725E7" w14:textId="77777777" w:rsidR="00894070" w:rsidRDefault="009B7AFD">
      <w:pPr>
        <w:pStyle w:val="ListParagraph"/>
        <w:numPr>
          <w:ilvl w:val="1"/>
          <w:numId w:val="177"/>
        </w:numPr>
        <w:tabs>
          <w:tab w:val="left" w:pos="1801"/>
          <w:tab w:val="left" w:pos="1802"/>
        </w:tabs>
        <w:spacing w:before="114" w:line="259" w:lineRule="exact"/>
        <w:rPr>
          <w:sz w:val="20"/>
        </w:rPr>
      </w:pPr>
      <w:r>
        <w:rPr>
          <w:color w:val="231F20"/>
          <w:sz w:val="20"/>
        </w:rPr>
        <w:t>Stalking</w:t>
      </w:r>
      <w:r>
        <w:rPr>
          <w:color w:val="231F20"/>
          <w:spacing w:val="-6"/>
          <w:sz w:val="20"/>
        </w:rPr>
        <w:t xml:space="preserve"> </w:t>
      </w:r>
      <w:r>
        <w:rPr>
          <w:color w:val="231F20"/>
          <w:sz w:val="20"/>
        </w:rPr>
        <w:t>is</w:t>
      </w:r>
      <w:r>
        <w:rPr>
          <w:color w:val="231F20"/>
          <w:spacing w:val="-5"/>
          <w:sz w:val="20"/>
        </w:rPr>
        <w:t xml:space="preserve"> </w:t>
      </w:r>
      <w:r>
        <w:rPr>
          <w:color w:val="231F20"/>
          <w:sz w:val="20"/>
        </w:rPr>
        <w:t>a</w:t>
      </w:r>
      <w:r>
        <w:rPr>
          <w:color w:val="231F20"/>
          <w:spacing w:val="-5"/>
          <w:sz w:val="20"/>
        </w:rPr>
        <w:t xml:space="preserve"> </w:t>
      </w:r>
      <w:r>
        <w:rPr>
          <w:color w:val="231F20"/>
          <w:sz w:val="20"/>
        </w:rPr>
        <w:t>criminal</w:t>
      </w:r>
      <w:r>
        <w:rPr>
          <w:color w:val="231F20"/>
          <w:spacing w:val="-6"/>
          <w:sz w:val="20"/>
        </w:rPr>
        <w:t xml:space="preserve"> </w:t>
      </w:r>
      <w:r>
        <w:rPr>
          <w:color w:val="231F20"/>
          <w:spacing w:val="-3"/>
          <w:sz w:val="20"/>
        </w:rPr>
        <w:t>offence.</w:t>
      </w:r>
      <w:r>
        <w:rPr>
          <w:color w:val="231F20"/>
          <w:spacing w:val="-5"/>
          <w:sz w:val="20"/>
        </w:rPr>
        <w:t xml:space="preserve"> </w:t>
      </w:r>
      <w:r>
        <w:rPr>
          <w:color w:val="231F20"/>
          <w:sz w:val="20"/>
        </w:rPr>
        <w:t>It</w:t>
      </w:r>
      <w:r>
        <w:rPr>
          <w:color w:val="231F20"/>
          <w:spacing w:val="-5"/>
          <w:sz w:val="20"/>
        </w:rPr>
        <w:t xml:space="preserve"> </w:t>
      </w:r>
      <w:r>
        <w:rPr>
          <w:color w:val="231F20"/>
          <w:sz w:val="20"/>
        </w:rPr>
        <w:t>is</w:t>
      </w:r>
      <w:r>
        <w:rPr>
          <w:color w:val="231F20"/>
          <w:spacing w:val="-6"/>
          <w:sz w:val="20"/>
        </w:rPr>
        <w:t xml:space="preserve"> </w:t>
      </w:r>
      <w:r>
        <w:rPr>
          <w:color w:val="231F20"/>
          <w:sz w:val="20"/>
        </w:rPr>
        <w:t>also</w:t>
      </w:r>
      <w:r>
        <w:rPr>
          <w:color w:val="231F20"/>
          <w:spacing w:val="-5"/>
          <w:sz w:val="20"/>
        </w:rPr>
        <w:t xml:space="preserve"> </w:t>
      </w:r>
      <w:r>
        <w:rPr>
          <w:color w:val="231F20"/>
          <w:sz w:val="20"/>
        </w:rPr>
        <w:t>grounds</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a</w:t>
      </w:r>
      <w:r>
        <w:rPr>
          <w:color w:val="231F20"/>
          <w:spacing w:val="-5"/>
          <w:sz w:val="20"/>
        </w:rPr>
        <w:t xml:space="preserve"> </w:t>
      </w:r>
      <w:r>
        <w:rPr>
          <w:color w:val="231F20"/>
          <w:sz w:val="20"/>
        </w:rPr>
        <w:t>PSIO</w:t>
      </w:r>
      <w:r>
        <w:rPr>
          <w:color w:val="231F20"/>
          <w:spacing w:val="-5"/>
          <w:sz w:val="20"/>
        </w:rPr>
        <w:t xml:space="preserve"> </w:t>
      </w:r>
      <w:r>
        <w:rPr>
          <w:color w:val="231F20"/>
          <w:sz w:val="20"/>
        </w:rPr>
        <w:t>in</w:t>
      </w:r>
      <w:r>
        <w:rPr>
          <w:color w:val="231F20"/>
          <w:spacing w:val="-6"/>
          <w:sz w:val="20"/>
        </w:rPr>
        <w:t xml:space="preserve"> </w:t>
      </w:r>
      <w:r>
        <w:rPr>
          <w:color w:val="231F20"/>
          <w:sz w:val="20"/>
        </w:rPr>
        <w:t>the</w:t>
      </w:r>
      <w:r>
        <w:rPr>
          <w:color w:val="231F20"/>
          <w:spacing w:val="-5"/>
          <w:sz w:val="20"/>
        </w:rPr>
        <w:t xml:space="preserve"> </w:t>
      </w:r>
      <w:r>
        <w:rPr>
          <w:color w:val="231F20"/>
          <w:sz w:val="20"/>
        </w:rPr>
        <w:t>civil</w:t>
      </w:r>
      <w:r>
        <w:rPr>
          <w:color w:val="231F20"/>
          <w:spacing w:val="-5"/>
          <w:sz w:val="20"/>
        </w:rPr>
        <w:t xml:space="preserve"> </w:t>
      </w:r>
      <w:r>
        <w:rPr>
          <w:color w:val="231F20"/>
          <w:sz w:val="20"/>
        </w:rPr>
        <w:t>system.</w:t>
      </w:r>
      <w:r>
        <w:rPr>
          <w:color w:val="231F20"/>
          <w:position w:val="7"/>
          <w:sz w:val="11"/>
        </w:rPr>
        <w:t>8</w:t>
      </w:r>
      <w:r>
        <w:rPr>
          <w:color w:val="231F20"/>
          <w:spacing w:val="18"/>
          <w:position w:val="7"/>
          <w:sz w:val="11"/>
        </w:rPr>
        <w:t xml:space="preserve"> </w:t>
      </w:r>
      <w:r>
        <w:rPr>
          <w:color w:val="231F20"/>
          <w:sz w:val="20"/>
        </w:rPr>
        <w:t>Some</w:t>
      </w:r>
    </w:p>
    <w:p w14:paraId="16C5F712" w14:textId="77777777" w:rsidR="00894070" w:rsidRDefault="009B7AFD">
      <w:pPr>
        <w:pStyle w:val="BodyText"/>
        <w:spacing w:line="259" w:lineRule="exact"/>
        <w:ind w:left="1801"/>
        <w:rPr>
          <w:sz w:val="11"/>
        </w:rPr>
      </w:pPr>
      <w:r>
        <w:rPr>
          <w:color w:val="231F20"/>
        </w:rPr>
        <w:t xml:space="preserve">support and financial assistance </w:t>
      </w:r>
      <w:proofErr w:type="gramStart"/>
      <w:r>
        <w:rPr>
          <w:color w:val="231F20"/>
        </w:rPr>
        <w:t>is</w:t>
      </w:r>
      <w:proofErr w:type="gramEnd"/>
      <w:r>
        <w:rPr>
          <w:color w:val="231F20"/>
        </w:rPr>
        <w:t xml:space="preserve"> available for people who have experienced stalking.</w:t>
      </w:r>
      <w:r>
        <w:rPr>
          <w:color w:val="231F20"/>
          <w:position w:val="7"/>
          <w:sz w:val="11"/>
        </w:rPr>
        <w:t>9</w:t>
      </w:r>
    </w:p>
    <w:p w14:paraId="43A43399" w14:textId="77777777" w:rsidR="00894070" w:rsidRDefault="009B7AFD">
      <w:pPr>
        <w:pStyle w:val="ListParagraph"/>
        <w:numPr>
          <w:ilvl w:val="1"/>
          <w:numId w:val="177"/>
        </w:numPr>
        <w:tabs>
          <w:tab w:val="left" w:pos="1801"/>
          <w:tab w:val="left" w:pos="1802"/>
        </w:tabs>
        <w:spacing w:before="115" w:line="206" w:lineRule="auto"/>
        <w:ind w:right="1345"/>
        <w:rPr>
          <w:sz w:val="20"/>
        </w:rPr>
      </w:pPr>
      <w:r>
        <w:rPr>
          <w:color w:val="231F20"/>
          <w:sz w:val="20"/>
        </w:rPr>
        <w:t xml:space="preserve">Since the </w:t>
      </w:r>
      <w:r>
        <w:rPr>
          <w:color w:val="231F20"/>
          <w:spacing w:val="-3"/>
          <w:sz w:val="20"/>
        </w:rPr>
        <w:t xml:space="preserve">Royal </w:t>
      </w:r>
      <w:r>
        <w:rPr>
          <w:color w:val="231F20"/>
          <w:sz w:val="20"/>
        </w:rPr>
        <w:t xml:space="preserve">Commission </w:t>
      </w:r>
      <w:r>
        <w:rPr>
          <w:color w:val="231F20"/>
          <w:spacing w:val="-3"/>
          <w:sz w:val="20"/>
        </w:rPr>
        <w:t xml:space="preserve">into </w:t>
      </w:r>
      <w:r>
        <w:rPr>
          <w:color w:val="231F20"/>
          <w:spacing w:val="-4"/>
          <w:sz w:val="20"/>
        </w:rPr>
        <w:t xml:space="preserve">Family </w:t>
      </w:r>
      <w:r>
        <w:rPr>
          <w:color w:val="231F20"/>
          <w:sz w:val="20"/>
        </w:rPr>
        <w:t xml:space="preserve">Violence was </w:t>
      </w:r>
      <w:r>
        <w:rPr>
          <w:color w:val="231F20"/>
          <w:spacing w:val="-3"/>
          <w:sz w:val="20"/>
        </w:rPr>
        <w:t xml:space="preserve">completed </w:t>
      </w:r>
      <w:r>
        <w:rPr>
          <w:color w:val="231F20"/>
          <w:sz w:val="20"/>
        </w:rPr>
        <w:t xml:space="preserve">in </w:t>
      </w:r>
      <w:r>
        <w:rPr>
          <w:color w:val="231F20"/>
          <w:spacing w:val="-3"/>
          <w:sz w:val="20"/>
        </w:rPr>
        <w:t xml:space="preserve">2016, </w:t>
      </w:r>
      <w:r>
        <w:rPr>
          <w:color w:val="231F20"/>
          <w:sz w:val="20"/>
        </w:rPr>
        <w:t>a range of measures</w:t>
      </w:r>
      <w:r>
        <w:rPr>
          <w:color w:val="231F20"/>
          <w:spacing w:val="-12"/>
          <w:sz w:val="20"/>
        </w:rPr>
        <w:t xml:space="preserve"> </w:t>
      </w:r>
      <w:r>
        <w:rPr>
          <w:color w:val="231F20"/>
          <w:spacing w:val="-4"/>
          <w:sz w:val="20"/>
        </w:rPr>
        <w:t>have</w:t>
      </w:r>
      <w:r>
        <w:rPr>
          <w:color w:val="231F20"/>
          <w:spacing w:val="-11"/>
          <w:sz w:val="20"/>
        </w:rPr>
        <w:t xml:space="preserve"> </w:t>
      </w:r>
      <w:r>
        <w:rPr>
          <w:color w:val="231F20"/>
          <w:sz w:val="20"/>
        </w:rPr>
        <w:t>been</w:t>
      </w:r>
      <w:r>
        <w:rPr>
          <w:color w:val="231F20"/>
          <w:spacing w:val="-11"/>
          <w:sz w:val="20"/>
        </w:rPr>
        <w:t xml:space="preserve"> </w:t>
      </w:r>
      <w:r>
        <w:rPr>
          <w:color w:val="231F20"/>
          <w:sz w:val="20"/>
        </w:rPr>
        <w:t>implemented</w:t>
      </w:r>
      <w:r>
        <w:rPr>
          <w:color w:val="231F20"/>
          <w:spacing w:val="-11"/>
          <w:sz w:val="20"/>
        </w:rPr>
        <w:t xml:space="preserve"> </w:t>
      </w:r>
      <w:r>
        <w:rPr>
          <w:color w:val="231F20"/>
          <w:sz w:val="20"/>
        </w:rPr>
        <w:t>to</w:t>
      </w:r>
      <w:r>
        <w:rPr>
          <w:color w:val="231F20"/>
          <w:spacing w:val="-11"/>
          <w:sz w:val="20"/>
        </w:rPr>
        <w:t xml:space="preserve"> </w:t>
      </w:r>
      <w:r>
        <w:rPr>
          <w:color w:val="231F20"/>
          <w:sz w:val="20"/>
        </w:rPr>
        <w:t>better</w:t>
      </w:r>
      <w:r>
        <w:rPr>
          <w:color w:val="231F20"/>
          <w:spacing w:val="-11"/>
          <w:sz w:val="20"/>
        </w:rPr>
        <w:t xml:space="preserve"> </w:t>
      </w:r>
      <w:r>
        <w:rPr>
          <w:color w:val="231F20"/>
          <w:sz w:val="20"/>
        </w:rPr>
        <w:t>respond</w:t>
      </w:r>
      <w:r>
        <w:rPr>
          <w:color w:val="231F20"/>
          <w:spacing w:val="-11"/>
          <w:sz w:val="20"/>
        </w:rPr>
        <w:t xml:space="preserve"> </w:t>
      </w:r>
      <w:r>
        <w:rPr>
          <w:color w:val="231F20"/>
          <w:sz w:val="20"/>
        </w:rPr>
        <w:t>to</w:t>
      </w:r>
      <w:r>
        <w:rPr>
          <w:color w:val="231F20"/>
          <w:spacing w:val="-12"/>
          <w:sz w:val="20"/>
        </w:rPr>
        <w:t xml:space="preserve"> </w:t>
      </w:r>
      <w:r>
        <w:rPr>
          <w:color w:val="231F20"/>
          <w:spacing w:val="-3"/>
          <w:sz w:val="20"/>
        </w:rPr>
        <w:t>family</w:t>
      </w:r>
      <w:r>
        <w:rPr>
          <w:color w:val="231F20"/>
          <w:spacing w:val="-11"/>
          <w:sz w:val="20"/>
        </w:rPr>
        <w:t xml:space="preserve"> </w:t>
      </w:r>
      <w:r>
        <w:rPr>
          <w:color w:val="231F20"/>
          <w:sz w:val="20"/>
        </w:rPr>
        <w:t>violence</w:t>
      </w:r>
      <w:r>
        <w:rPr>
          <w:color w:val="231F20"/>
          <w:spacing w:val="-11"/>
          <w:sz w:val="20"/>
        </w:rPr>
        <w:t xml:space="preserve"> </w:t>
      </w:r>
      <w:r>
        <w:rPr>
          <w:color w:val="231F20"/>
          <w:sz w:val="20"/>
        </w:rPr>
        <w:t>stalking.</w:t>
      </w:r>
      <w:r>
        <w:rPr>
          <w:color w:val="231F20"/>
          <w:position w:val="7"/>
          <w:sz w:val="11"/>
        </w:rPr>
        <w:t>10</w:t>
      </w:r>
      <w:r>
        <w:rPr>
          <w:color w:val="231F20"/>
          <w:spacing w:val="13"/>
          <w:position w:val="7"/>
          <w:sz w:val="11"/>
        </w:rPr>
        <w:t xml:space="preserve"> </w:t>
      </w:r>
      <w:r>
        <w:rPr>
          <w:color w:val="231F20"/>
          <w:sz w:val="20"/>
        </w:rPr>
        <w:t xml:space="preserve">But </w:t>
      </w:r>
      <w:r>
        <w:rPr>
          <w:color w:val="231F20"/>
          <w:spacing w:val="-3"/>
          <w:sz w:val="20"/>
        </w:rPr>
        <w:t xml:space="preserve">we </w:t>
      </w:r>
      <w:r>
        <w:rPr>
          <w:color w:val="231F20"/>
          <w:sz w:val="20"/>
        </w:rPr>
        <w:t xml:space="preserve">found problems with the </w:t>
      </w:r>
      <w:r>
        <w:rPr>
          <w:color w:val="231F20"/>
          <w:spacing w:val="-3"/>
          <w:sz w:val="20"/>
        </w:rPr>
        <w:t xml:space="preserve">way </w:t>
      </w:r>
      <w:r>
        <w:rPr>
          <w:color w:val="231F20"/>
          <w:sz w:val="20"/>
        </w:rPr>
        <w:t xml:space="preserve">the justice </w:t>
      </w:r>
      <w:r>
        <w:rPr>
          <w:color w:val="231F20"/>
          <w:spacing w:val="-2"/>
          <w:sz w:val="20"/>
        </w:rPr>
        <w:t xml:space="preserve">system </w:t>
      </w:r>
      <w:r>
        <w:rPr>
          <w:color w:val="231F20"/>
          <w:sz w:val="20"/>
        </w:rPr>
        <w:t xml:space="preserve">responds to stalking that is not </w:t>
      </w:r>
      <w:r>
        <w:rPr>
          <w:color w:val="231F20"/>
          <w:spacing w:val="-3"/>
          <w:sz w:val="20"/>
        </w:rPr>
        <w:t xml:space="preserve">related </w:t>
      </w:r>
      <w:r>
        <w:rPr>
          <w:color w:val="231F20"/>
          <w:sz w:val="20"/>
        </w:rPr>
        <w:t xml:space="preserve">to </w:t>
      </w:r>
      <w:r>
        <w:rPr>
          <w:color w:val="231F20"/>
          <w:spacing w:val="-3"/>
          <w:sz w:val="20"/>
        </w:rPr>
        <w:t xml:space="preserve">family </w:t>
      </w:r>
      <w:r>
        <w:rPr>
          <w:color w:val="231F20"/>
          <w:spacing w:val="-2"/>
          <w:sz w:val="20"/>
        </w:rPr>
        <w:t xml:space="preserve">violence, </w:t>
      </w:r>
      <w:r>
        <w:rPr>
          <w:color w:val="231F20"/>
          <w:sz w:val="20"/>
        </w:rPr>
        <w:t xml:space="preserve">which is the </w:t>
      </w:r>
      <w:r>
        <w:rPr>
          <w:color w:val="231F20"/>
          <w:spacing w:val="-3"/>
          <w:sz w:val="20"/>
        </w:rPr>
        <w:t xml:space="preserve">focus </w:t>
      </w:r>
      <w:r>
        <w:rPr>
          <w:color w:val="231F20"/>
          <w:sz w:val="20"/>
        </w:rPr>
        <w:t>of our</w:t>
      </w:r>
      <w:r>
        <w:rPr>
          <w:color w:val="231F20"/>
          <w:spacing w:val="-33"/>
          <w:sz w:val="20"/>
        </w:rPr>
        <w:t xml:space="preserve"> </w:t>
      </w:r>
      <w:r>
        <w:rPr>
          <w:color w:val="231F20"/>
          <w:sz w:val="20"/>
        </w:rPr>
        <w:t>inquiry.</w:t>
      </w:r>
    </w:p>
    <w:p w14:paraId="0D5C480E" w14:textId="77777777" w:rsidR="00894070" w:rsidRDefault="009B7AFD">
      <w:pPr>
        <w:pStyle w:val="ListParagraph"/>
        <w:numPr>
          <w:ilvl w:val="1"/>
          <w:numId w:val="177"/>
        </w:numPr>
        <w:tabs>
          <w:tab w:val="left" w:pos="1801"/>
          <w:tab w:val="left" w:pos="1802"/>
        </w:tabs>
        <w:spacing w:before="125" w:line="206" w:lineRule="auto"/>
        <w:ind w:right="1341"/>
        <w:rPr>
          <w:sz w:val="20"/>
        </w:rPr>
      </w:pPr>
      <w:r>
        <w:rPr>
          <w:color w:val="231F20"/>
          <w:sz w:val="20"/>
        </w:rPr>
        <w:t xml:space="preserve">People who experience stalking can be trapped in a </w:t>
      </w:r>
      <w:r>
        <w:rPr>
          <w:color w:val="231F20"/>
          <w:spacing w:val="-3"/>
          <w:sz w:val="20"/>
        </w:rPr>
        <w:t xml:space="preserve">cycle </w:t>
      </w:r>
      <w:r>
        <w:rPr>
          <w:color w:val="231F20"/>
          <w:sz w:val="20"/>
        </w:rPr>
        <w:t xml:space="preserve">of abuse that is hard to </w:t>
      </w:r>
      <w:r>
        <w:rPr>
          <w:color w:val="231F20"/>
          <w:spacing w:val="-3"/>
          <w:sz w:val="20"/>
        </w:rPr>
        <w:t>identify,</w:t>
      </w:r>
      <w:r>
        <w:rPr>
          <w:color w:val="231F20"/>
          <w:spacing w:val="-8"/>
          <w:sz w:val="20"/>
        </w:rPr>
        <w:t xml:space="preserve"> </w:t>
      </w:r>
      <w:r>
        <w:rPr>
          <w:color w:val="231F20"/>
          <w:spacing w:val="-4"/>
          <w:sz w:val="20"/>
        </w:rPr>
        <w:t>prove,</w:t>
      </w:r>
      <w:r>
        <w:rPr>
          <w:color w:val="231F20"/>
          <w:spacing w:val="-7"/>
          <w:sz w:val="20"/>
        </w:rPr>
        <w:t xml:space="preserve"> </w:t>
      </w:r>
      <w:r>
        <w:rPr>
          <w:color w:val="231F20"/>
          <w:sz w:val="20"/>
        </w:rPr>
        <w:t>and</w:t>
      </w:r>
      <w:r>
        <w:rPr>
          <w:color w:val="231F20"/>
          <w:spacing w:val="-7"/>
          <w:sz w:val="20"/>
        </w:rPr>
        <w:t xml:space="preserve"> </w:t>
      </w:r>
      <w:r>
        <w:rPr>
          <w:color w:val="231F20"/>
          <w:spacing w:val="-4"/>
          <w:sz w:val="20"/>
        </w:rPr>
        <w:t>remove</w:t>
      </w:r>
      <w:r>
        <w:rPr>
          <w:color w:val="231F20"/>
          <w:spacing w:val="-7"/>
          <w:sz w:val="20"/>
        </w:rPr>
        <w:t xml:space="preserve"> </w:t>
      </w:r>
      <w:r>
        <w:rPr>
          <w:color w:val="231F20"/>
          <w:spacing w:val="-3"/>
          <w:sz w:val="20"/>
        </w:rPr>
        <w:t>themselves</w:t>
      </w:r>
      <w:r>
        <w:rPr>
          <w:color w:val="231F20"/>
          <w:spacing w:val="-7"/>
          <w:sz w:val="20"/>
        </w:rPr>
        <w:t xml:space="preserve"> </w:t>
      </w:r>
      <w:r>
        <w:rPr>
          <w:color w:val="231F20"/>
          <w:sz w:val="20"/>
        </w:rPr>
        <w:t>from.</w:t>
      </w:r>
      <w:r>
        <w:rPr>
          <w:color w:val="231F20"/>
          <w:spacing w:val="-8"/>
          <w:sz w:val="20"/>
        </w:rPr>
        <w:t xml:space="preserve"> </w:t>
      </w:r>
      <w:r>
        <w:rPr>
          <w:color w:val="231F20"/>
          <w:sz w:val="20"/>
        </w:rPr>
        <w:t>The</w:t>
      </w:r>
      <w:r>
        <w:rPr>
          <w:color w:val="231F20"/>
          <w:spacing w:val="-7"/>
          <w:sz w:val="20"/>
        </w:rPr>
        <w:t xml:space="preserve"> </w:t>
      </w:r>
      <w:r>
        <w:rPr>
          <w:color w:val="231F20"/>
          <w:sz w:val="20"/>
        </w:rPr>
        <w:t>justice</w:t>
      </w:r>
      <w:r>
        <w:rPr>
          <w:color w:val="231F20"/>
          <w:spacing w:val="-7"/>
          <w:sz w:val="20"/>
        </w:rPr>
        <w:t xml:space="preserve"> </w:t>
      </w:r>
      <w:r>
        <w:rPr>
          <w:color w:val="231F20"/>
          <w:spacing w:val="-2"/>
          <w:sz w:val="20"/>
        </w:rPr>
        <w:t>system</w:t>
      </w:r>
      <w:r>
        <w:rPr>
          <w:color w:val="231F20"/>
          <w:spacing w:val="-7"/>
          <w:sz w:val="20"/>
        </w:rPr>
        <w:t xml:space="preserve"> </w:t>
      </w:r>
      <w:r>
        <w:rPr>
          <w:color w:val="231F20"/>
          <w:sz w:val="20"/>
        </w:rPr>
        <w:t>process—often</w:t>
      </w:r>
      <w:r>
        <w:rPr>
          <w:color w:val="231F20"/>
          <w:spacing w:val="-7"/>
          <w:sz w:val="20"/>
        </w:rPr>
        <w:t xml:space="preserve"> </w:t>
      </w:r>
      <w:r>
        <w:rPr>
          <w:color w:val="231F20"/>
          <w:sz w:val="20"/>
        </w:rPr>
        <w:t xml:space="preserve">long, </w:t>
      </w:r>
      <w:proofErr w:type="gramStart"/>
      <w:r>
        <w:rPr>
          <w:color w:val="231F20"/>
          <w:sz w:val="20"/>
        </w:rPr>
        <w:t>frustrating</w:t>
      </w:r>
      <w:proofErr w:type="gramEnd"/>
      <w:r>
        <w:rPr>
          <w:color w:val="231F20"/>
          <w:sz w:val="20"/>
        </w:rPr>
        <w:t xml:space="preserve"> and traumatic—can make the experience</w:t>
      </w:r>
      <w:r>
        <w:rPr>
          <w:color w:val="231F20"/>
          <w:spacing w:val="-32"/>
          <w:sz w:val="20"/>
        </w:rPr>
        <w:t xml:space="preserve"> </w:t>
      </w:r>
      <w:r>
        <w:rPr>
          <w:color w:val="231F20"/>
          <w:spacing w:val="-3"/>
          <w:sz w:val="20"/>
        </w:rPr>
        <w:t>worse.</w:t>
      </w:r>
    </w:p>
    <w:p w14:paraId="284501E7" w14:textId="77777777" w:rsidR="00894070" w:rsidRDefault="00894070">
      <w:pPr>
        <w:pStyle w:val="BodyText"/>
        <w:spacing w:before="10"/>
        <w:rPr>
          <w:sz w:val="15"/>
        </w:rPr>
      </w:pPr>
    </w:p>
    <w:p w14:paraId="7A66B2F6" w14:textId="77777777" w:rsidR="00894070" w:rsidRDefault="009B7AFD">
      <w:pPr>
        <w:pStyle w:val="Heading8"/>
        <w:ind w:left="1007"/>
      </w:pPr>
      <w:r>
        <w:rPr>
          <w:color w:val="231F20"/>
        </w:rPr>
        <w:t>Stalking is different to other offences</w:t>
      </w:r>
    </w:p>
    <w:p w14:paraId="50EC8279" w14:textId="77777777" w:rsidR="00894070" w:rsidRDefault="009B7AFD">
      <w:pPr>
        <w:pStyle w:val="ListParagraph"/>
        <w:numPr>
          <w:ilvl w:val="1"/>
          <w:numId w:val="177"/>
        </w:numPr>
        <w:tabs>
          <w:tab w:val="left" w:pos="1801"/>
          <w:tab w:val="left" w:pos="1802"/>
        </w:tabs>
        <w:spacing w:before="127" w:line="206" w:lineRule="auto"/>
        <w:ind w:right="1209"/>
        <w:rPr>
          <w:sz w:val="11"/>
        </w:rPr>
      </w:pPr>
      <w:r>
        <w:rPr>
          <w:color w:val="231F20"/>
          <w:sz w:val="20"/>
        </w:rPr>
        <w:t>There</w:t>
      </w:r>
      <w:r>
        <w:rPr>
          <w:color w:val="231F20"/>
          <w:spacing w:val="-12"/>
          <w:sz w:val="20"/>
        </w:rPr>
        <w:t xml:space="preserve"> </w:t>
      </w:r>
      <w:r>
        <w:rPr>
          <w:color w:val="231F20"/>
          <w:spacing w:val="-3"/>
          <w:sz w:val="20"/>
        </w:rPr>
        <w:t>are</w:t>
      </w:r>
      <w:r>
        <w:rPr>
          <w:color w:val="231F20"/>
          <w:spacing w:val="-11"/>
          <w:sz w:val="20"/>
        </w:rPr>
        <w:t xml:space="preserve"> </w:t>
      </w:r>
      <w:r>
        <w:rPr>
          <w:color w:val="231F20"/>
          <w:sz w:val="20"/>
        </w:rPr>
        <w:t>a</w:t>
      </w:r>
      <w:r>
        <w:rPr>
          <w:color w:val="231F20"/>
          <w:spacing w:val="-11"/>
          <w:sz w:val="20"/>
        </w:rPr>
        <w:t xml:space="preserve"> </w:t>
      </w:r>
      <w:r>
        <w:rPr>
          <w:color w:val="231F20"/>
          <w:spacing w:val="-4"/>
          <w:sz w:val="20"/>
        </w:rPr>
        <w:t>few</w:t>
      </w:r>
      <w:r>
        <w:rPr>
          <w:color w:val="231F20"/>
          <w:spacing w:val="-11"/>
          <w:sz w:val="20"/>
        </w:rPr>
        <w:t xml:space="preserve"> </w:t>
      </w:r>
      <w:r>
        <w:rPr>
          <w:color w:val="231F20"/>
          <w:sz w:val="20"/>
        </w:rPr>
        <w:t>reasons</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the</w:t>
      </w:r>
      <w:r>
        <w:rPr>
          <w:color w:val="231F20"/>
          <w:spacing w:val="-11"/>
          <w:sz w:val="20"/>
        </w:rPr>
        <w:t xml:space="preserve"> </w:t>
      </w:r>
      <w:r>
        <w:rPr>
          <w:color w:val="231F20"/>
          <w:sz w:val="20"/>
        </w:rPr>
        <w:t>problems.</w:t>
      </w:r>
      <w:r>
        <w:rPr>
          <w:color w:val="231F20"/>
          <w:spacing w:val="-11"/>
          <w:sz w:val="20"/>
        </w:rPr>
        <w:t xml:space="preserve"> </w:t>
      </w:r>
      <w:r>
        <w:rPr>
          <w:color w:val="231F20"/>
          <w:sz w:val="20"/>
        </w:rPr>
        <w:t>Stalking</w:t>
      </w:r>
      <w:r>
        <w:rPr>
          <w:color w:val="231F20"/>
          <w:spacing w:val="-11"/>
          <w:sz w:val="20"/>
        </w:rPr>
        <w:t xml:space="preserve"> </w:t>
      </w:r>
      <w:r>
        <w:rPr>
          <w:color w:val="231F20"/>
          <w:sz w:val="20"/>
        </w:rPr>
        <w:t>is</w:t>
      </w:r>
      <w:r>
        <w:rPr>
          <w:color w:val="231F20"/>
          <w:spacing w:val="-11"/>
          <w:sz w:val="20"/>
        </w:rPr>
        <w:t xml:space="preserve"> </w:t>
      </w:r>
      <w:r>
        <w:rPr>
          <w:color w:val="231F20"/>
          <w:spacing w:val="-3"/>
          <w:sz w:val="20"/>
        </w:rPr>
        <w:t>different</w:t>
      </w:r>
      <w:r>
        <w:rPr>
          <w:color w:val="231F20"/>
          <w:spacing w:val="-11"/>
          <w:sz w:val="20"/>
        </w:rPr>
        <w:t xml:space="preserve"> </w:t>
      </w:r>
      <w:r>
        <w:rPr>
          <w:color w:val="231F20"/>
          <w:sz w:val="20"/>
        </w:rPr>
        <w:t>to</w:t>
      </w:r>
      <w:r>
        <w:rPr>
          <w:color w:val="231F20"/>
          <w:spacing w:val="-11"/>
          <w:sz w:val="20"/>
        </w:rPr>
        <w:t xml:space="preserve"> </w:t>
      </w:r>
      <w:r>
        <w:rPr>
          <w:color w:val="231F20"/>
          <w:sz w:val="20"/>
        </w:rPr>
        <w:t>most</w:t>
      </w:r>
      <w:r>
        <w:rPr>
          <w:color w:val="231F20"/>
          <w:spacing w:val="-11"/>
          <w:sz w:val="20"/>
        </w:rPr>
        <w:t xml:space="preserve"> </w:t>
      </w:r>
      <w:r>
        <w:rPr>
          <w:color w:val="231F20"/>
          <w:sz w:val="20"/>
        </w:rPr>
        <w:t>criminal</w:t>
      </w:r>
      <w:r>
        <w:rPr>
          <w:color w:val="231F20"/>
          <w:spacing w:val="-11"/>
          <w:sz w:val="20"/>
        </w:rPr>
        <w:t xml:space="preserve"> </w:t>
      </w:r>
      <w:r>
        <w:rPr>
          <w:color w:val="231F20"/>
          <w:sz w:val="20"/>
        </w:rPr>
        <w:t xml:space="preserve">offences that </w:t>
      </w:r>
      <w:r>
        <w:rPr>
          <w:color w:val="231F20"/>
          <w:spacing w:val="-3"/>
          <w:sz w:val="20"/>
        </w:rPr>
        <w:t xml:space="preserve">focus </w:t>
      </w:r>
      <w:r>
        <w:rPr>
          <w:color w:val="231F20"/>
          <w:sz w:val="20"/>
        </w:rPr>
        <w:t xml:space="preserve">on physical </w:t>
      </w:r>
      <w:r>
        <w:rPr>
          <w:color w:val="231F20"/>
          <w:spacing w:val="-2"/>
          <w:sz w:val="20"/>
        </w:rPr>
        <w:t xml:space="preserve">violence, </w:t>
      </w:r>
      <w:r>
        <w:rPr>
          <w:color w:val="231F20"/>
          <w:sz w:val="20"/>
        </w:rPr>
        <w:t xml:space="preserve">because it is made up of </w:t>
      </w:r>
      <w:r>
        <w:rPr>
          <w:color w:val="231F20"/>
          <w:spacing w:val="-3"/>
          <w:sz w:val="20"/>
        </w:rPr>
        <w:t xml:space="preserve">repeated </w:t>
      </w:r>
      <w:r>
        <w:rPr>
          <w:color w:val="231F20"/>
          <w:sz w:val="20"/>
        </w:rPr>
        <w:t>incidents, not just one</w:t>
      </w:r>
      <w:r>
        <w:rPr>
          <w:color w:val="231F20"/>
          <w:spacing w:val="-8"/>
          <w:sz w:val="20"/>
        </w:rPr>
        <w:t xml:space="preserve"> </w:t>
      </w:r>
      <w:r>
        <w:rPr>
          <w:color w:val="231F20"/>
          <w:sz w:val="20"/>
        </w:rPr>
        <w:t>event.</w:t>
      </w:r>
      <w:r>
        <w:rPr>
          <w:color w:val="231F20"/>
          <w:position w:val="7"/>
          <w:sz w:val="11"/>
        </w:rPr>
        <w:t>11</w:t>
      </w:r>
      <w:r>
        <w:rPr>
          <w:color w:val="231F20"/>
          <w:spacing w:val="16"/>
          <w:position w:val="7"/>
          <w:sz w:val="11"/>
        </w:rPr>
        <w:t xml:space="preserve"> </w:t>
      </w:r>
      <w:r>
        <w:rPr>
          <w:color w:val="231F20"/>
          <w:sz w:val="20"/>
        </w:rPr>
        <w:t>Also,</w:t>
      </w:r>
      <w:r>
        <w:rPr>
          <w:color w:val="231F20"/>
          <w:spacing w:val="-8"/>
          <w:sz w:val="20"/>
        </w:rPr>
        <w:t xml:space="preserve"> </w:t>
      </w:r>
      <w:r>
        <w:rPr>
          <w:color w:val="231F20"/>
          <w:sz w:val="20"/>
        </w:rPr>
        <w:t>the</w:t>
      </w:r>
      <w:r>
        <w:rPr>
          <w:color w:val="231F20"/>
          <w:spacing w:val="-7"/>
          <w:sz w:val="20"/>
        </w:rPr>
        <w:t xml:space="preserve"> </w:t>
      </w:r>
      <w:proofErr w:type="spellStart"/>
      <w:r>
        <w:rPr>
          <w:color w:val="231F20"/>
          <w:sz w:val="20"/>
        </w:rPr>
        <w:t>behaviours</w:t>
      </w:r>
      <w:proofErr w:type="spellEnd"/>
      <w:r>
        <w:rPr>
          <w:color w:val="231F20"/>
          <w:spacing w:val="-8"/>
          <w:sz w:val="20"/>
        </w:rPr>
        <w:t xml:space="preserve"> </w:t>
      </w:r>
      <w:r>
        <w:rPr>
          <w:color w:val="231F20"/>
          <w:sz w:val="20"/>
        </w:rPr>
        <w:t>that</w:t>
      </w:r>
      <w:r>
        <w:rPr>
          <w:color w:val="231F20"/>
          <w:spacing w:val="-8"/>
          <w:sz w:val="20"/>
        </w:rPr>
        <w:t xml:space="preserve"> </w:t>
      </w:r>
      <w:r>
        <w:rPr>
          <w:color w:val="231F20"/>
          <w:sz w:val="20"/>
        </w:rPr>
        <w:t>amount</w:t>
      </w:r>
      <w:r>
        <w:rPr>
          <w:color w:val="231F20"/>
          <w:spacing w:val="-7"/>
          <w:sz w:val="20"/>
        </w:rPr>
        <w:t xml:space="preserve"> </w:t>
      </w:r>
      <w:r>
        <w:rPr>
          <w:color w:val="231F20"/>
          <w:sz w:val="20"/>
        </w:rPr>
        <w:t>to</w:t>
      </w:r>
      <w:r>
        <w:rPr>
          <w:color w:val="231F20"/>
          <w:spacing w:val="-8"/>
          <w:sz w:val="20"/>
        </w:rPr>
        <w:t xml:space="preserve"> </w:t>
      </w:r>
      <w:r>
        <w:rPr>
          <w:color w:val="231F20"/>
          <w:sz w:val="20"/>
        </w:rPr>
        <w:t>stalking</w:t>
      </w:r>
      <w:r>
        <w:rPr>
          <w:color w:val="231F20"/>
          <w:spacing w:val="-8"/>
          <w:sz w:val="20"/>
        </w:rPr>
        <w:t xml:space="preserve"> </w:t>
      </w:r>
      <w:r>
        <w:rPr>
          <w:color w:val="231F20"/>
          <w:sz w:val="20"/>
        </w:rPr>
        <w:t>can</w:t>
      </w:r>
      <w:r>
        <w:rPr>
          <w:color w:val="231F20"/>
          <w:spacing w:val="-7"/>
          <w:sz w:val="20"/>
        </w:rPr>
        <w:t xml:space="preserve"> </w:t>
      </w:r>
      <w:r>
        <w:rPr>
          <w:color w:val="231F20"/>
          <w:sz w:val="20"/>
        </w:rPr>
        <w:t>be</w:t>
      </w:r>
      <w:r>
        <w:rPr>
          <w:color w:val="231F20"/>
          <w:spacing w:val="-8"/>
          <w:sz w:val="20"/>
        </w:rPr>
        <w:t xml:space="preserve"> </w:t>
      </w:r>
      <w:r>
        <w:rPr>
          <w:color w:val="231F20"/>
          <w:sz w:val="20"/>
        </w:rPr>
        <w:t>legal</w:t>
      </w:r>
      <w:r>
        <w:rPr>
          <w:color w:val="231F20"/>
          <w:spacing w:val="-8"/>
          <w:sz w:val="20"/>
        </w:rPr>
        <w:t xml:space="preserve"> </w:t>
      </w:r>
      <w:r>
        <w:rPr>
          <w:color w:val="231F20"/>
          <w:sz w:val="20"/>
        </w:rPr>
        <w:t>on</w:t>
      </w:r>
      <w:r>
        <w:rPr>
          <w:color w:val="231F20"/>
          <w:spacing w:val="-7"/>
          <w:sz w:val="20"/>
        </w:rPr>
        <w:t xml:space="preserve"> </w:t>
      </w:r>
      <w:r>
        <w:rPr>
          <w:color w:val="231F20"/>
          <w:sz w:val="20"/>
        </w:rPr>
        <w:t>their</w:t>
      </w:r>
      <w:r>
        <w:rPr>
          <w:color w:val="231F20"/>
          <w:spacing w:val="-8"/>
          <w:sz w:val="20"/>
        </w:rPr>
        <w:t xml:space="preserve"> </w:t>
      </w:r>
      <w:r>
        <w:rPr>
          <w:color w:val="231F20"/>
          <w:sz w:val="20"/>
        </w:rPr>
        <w:t>own.</w:t>
      </w:r>
      <w:r>
        <w:rPr>
          <w:color w:val="231F20"/>
          <w:position w:val="7"/>
          <w:sz w:val="11"/>
        </w:rPr>
        <w:t>12</w:t>
      </w:r>
    </w:p>
    <w:p w14:paraId="1C564695" w14:textId="77777777" w:rsidR="00894070" w:rsidRDefault="009B7AFD">
      <w:pPr>
        <w:pStyle w:val="ListParagraph"/>
        <w:numPr>
          <w:ilvl w:val="1"/>
          <w:numId w:val="177"/>
        </w:numPr>
        <w:tabs>
          <w:tab w:val="left" w:pos="1801"/>
          <w:tab w:val="left" w:pos="1802"/>
        </w:tabs>
        <w:spacing w:before="124" w:line="206" w:lineRule="auto"/>
        <w:ind w:right="1480"/>
        <w:rPr>
          <w:sz w:val="20"/>
        </w:rPr>
      </w:pPr>
      <w:r>
        <w:rPr>
          <w:color w:val="231F20"/>
          <w:sz w:val="20"/>
        </w:rPr>
        <w:t xml:space="preserve">It can be challenging </w:t>
      </w:r>
      <w:r>
        <w:rPr>
          <w:color w:val="231F20"/>
          <w:spacing w:val="-3"/>
          <w:sz w:val="20"/>
        </w:rPr>
        <w:t xml:space="preserve">for </w:t>
      </w:r>
      <w:r>
        <w:rPr>
          <w:color w:val="231F20"/>
          <w:sz w:val="20"/>
        </w:rPr>
        <w:t xml:space="preserve">people who </w:t>
      </w:r>
      <w:r>
        <w:rPr>
          <w:color w:val="231F20"/>
          <w:spacing w:val="-3"/>
          <w:sz w:val="20"/>
        </w:rPr>
        <w:t xml:space="preserve">work </w:t>
      </w:r>
      <w:r>
        <w:rPr>
          <w:color w:val="231F20"/>
          <w:sz w:val="20"/>
        </w:rPr>
        <w:t xml:space="preserve">in the justice system, and </w:t>
      </w:r>
      <w:r>
        <w:rPr>
          <w:color w:val="231F20"/>
          <w:spacing w:val="-3"/>
          <w:sz w:val="20"/>
        </w:rPr>
        <w:t xml:space="preserve">for </w:t>
      </w:r>
      <w:r>
        <w:rPr>
          <w:color w:val="231F20"/>
          <w:sz w:val="20"/>
        </w:rPr>
        <w:t>members of</w:t>
      </w:r>
      <w:r>
        <w:rPr>
          <w:color w:val="231F20"/>
          <w:spacing w:val="-9"/>
          <w:sz w:val="20"/>
        </w:rPr>
        <w:t xml:space="preserve"> </w:t>
      </w:r>
      <w:r>
        <w:rPr>
          <w:color w:val="231F20"/>
          <w:sz w:val="20"/>
        </w:rPr>
        <w:t>the</w:t>
      </w:r>
      <w:r>
        <w:rPr>
          <w:color w:val="231F20"/>
          <w:spacing w:val="-9"/>
          <w:sz w:val="20"/>
        </w:rPr>
        <w:t xml:space="preserve"> </w:t>
      </w:r>
      <w:r>
        <w:rPr>
          <w:color w:val="231F20"/>
          <w:sz w:val="20"/>
        </w:rPr>
        <w:t>community</w:t>
      </w:r>
      <w:r>
        <w:rPr>
          <w:color w:val="231F20"/>
          <w:spacing w:val="-9"/>
          <w:sz w:val="20"/>
        </w:rPr>
        <w:t xml:space="preserve"> </w:t>
      </w:r>
      <w:r>
        <w:rPr>
          <w:color w:val="231F20"/>
          <w:sz w:val="20"/>
        </w:rPr>
        <w:t>in</w:t>
      </w:r>
      <w:r>
        <w:rPr>
          <w:color w:val="231F20"/>
          <w:spacing w:val="-9"/>
          <w:sz w:val="20"/>
        </w:rPr>
        <w:t xml:space="preserve"> </w:t>
      </w:r>
      <w:r>
        <w:rPr>
          <w:color w:val="231F20"/>
          <w:sz w:val="20"/>
        </w:rPr>
        <w:t>general,</w:t>
      </w:r>
      <w:r>
        <w:rPr>
          <w:color w:val="231F20"/>
          <w:spacing w:val="-8"/>
          <w:sz w:val="20"/>
        </w:rPr>
        <w:t xml:space="preserve"> </w:t>
      </w:r>
      <w:r>
        <w:rPr>
          <w:color w:val="231F20"/>
          <w:sz w:val="20"/>
        </w:rPr>
        <w:t>to</w:t>
      </w:r>
      <w:r>
        <w:rPr>
          <w:color w:val="231F20"/>
          <w:spacing w:val="-9"/>
          <w:sz w:val="20"/>
        </w:rPr>
        <w:t xml:space="preserve"> </w:t>
      </w:r>
      <w:r>
        <w:rPr>
          <w:color w:val="231F20"/>
          <w:sz w:val="20"/>
        </w:rPr>
        <w:t>understand</w:t>
      </w:r>
      <w:r>
        <w:rPr>
          <w:color w:val="231F20"/>
          <w:spacing w:val="-9"/>
          <w:sz w:val="20"/>
        </w:rPr>
        <w:t xml:space="preserve"> </w:t>
      </w:r>
      <w:r>
        <w:rPr>
          <w:color w:val="231F20"/>
          <w:sz w:val="20"/>
        </w:rPr>
        <w:t>what</w:t>
      </w:r>
      <w:r>
        <w:rPr>
          <w:color w:val="231F20"/>
          <w:spacing w:val="-9"/>
          <w:sz w:val="20"/>
        </w:rPr>
        <w:t xml:space="preserve"> </w:t>
      </w:r>
      <w:r>
        <w:rPr>
          <w:color w:val="231F20"/>
          <w:sz w:val="20"/>
        </w:rPr>
        <w:t>is</w:t>
      </w:r>
      <w:r>
        <w:rPr>
          <w:color w:val="231F20"/>
          <w:spacing w:val="-9"/>
          <w:sz w:val="20"/>
        </w:rPr>
        <w:t xml:space="preserve"> </w:t>
      </w:r>
      <w:r>
        <w:rPr>
          <w:color w:val="231F20"/>
          <w:sz w:val="20"/>
        </w:rPr>
        <w:t>happening</w:t>
      </w:r>
      <w:r>
        <w:rPr>
          <w:color w:val="231F20"/>
          <w:spacing w:val="-8"/>
          <w:sz w:val="20"/>
        </w:rPr>
        <w:t xml:space="preserve"> </w:t>
      </w:r>
      <w:r>
        <w:rPr>
          <w:color w:val="231F20"/>
          <w:sz w:val="20"/>
        </w:rPr>
        <w:t>and</w:t>
      </w:r>
      <w:r>
        <w:rPr>
          <w:color w:val="231F20"/>
          <w:spacing w:val="-9"/>
          <w:sz w:val="20"/>
        </w:rPr>
        <w:t xml:space="preserve"> </w:t>
      </w:r>
      <w:r>
        <w:rPr>
          <w:color w:val="231F20"/>
          <w:spacing w:val="-3"/>
          <w:sz w:val="20"/>
        </w:rPr>
        <w:t>know</w:t>
      </w:r>
      <w:r>
        <w:rPr>
          <w:color w:val="231F20"/>
          <w:spacing w:val="-9"/>
          <w:sz w:val="20"/>
        </w:rPr>
        <w:t xml:space="preserve"> </w:t>
      </w:r>
      <w:r>
        <w:rPr>
          <w:color w:val="231F20"/>
          <w:sz w:val="20"/>
        </w:rPr>
        <w:t>what</w:t>
      </w:r>
      <w:r>
        <w:rPr>
          <w:color w:val="231F20"/>
          <w:spacing w:val="-9"/>
          <w:sz w:val="20"/>
        </w:rPr>
        <w:t xml:space="preserve"> </w:t>
      </w:r>
      <w:r>
        <w:rPr>
          <w:color w:val="231F20"/>
          <w:sz w:val="20"/>
        </w:rPr>
        <w:t>to</w:t>
      </w:r>
      <w:r>
        <w:rPr>
          <w:color w:val="231F20"/>
          <w:spacing w:val="-9"/>
          <w:sz w:val="20"/>
        </w:rPr>
        <w:t xml:space="preserve"> </w:t>
      </w:r>
      <w:r>
        <w:rPr>
          <w:color w:val="231F20"/>
          <w:sz w:val="20"/>
        </w:rPr>
        <w:t>do about</w:t>
      </w:r>
      <w:r>
        <w:rPr>
          <w:color w:val="231F20"/>
          <w:spacing w:val="-5"/>
          <w:sz w:val="20"/>
        </w:rPr>
        <w:t xml:space="preserve"> </w:t>
      </w:r>
      <w:r>
        <w:rPr>
          <w:color w:val="231F20"/>
          <w:sz w:val="20"/>
        </w:rPr>
        <w:t>it.</w:t>
      </w:r>
    </w:p>
    <w:p w14:paraId="34DE87D0" w14:textId="77777777" w:rsidR="00894070" w:rsidRDefault="009B7AFD">
      <w:pPr>
        <w:pStyle w:val="ListParagraph"/>
        <w:numPr>
          <w:ilvl w:val="1"/>
          <w:numId w:val="177"/>
        </w:numPr>
        <w:tabs>
          <w:tab w:val="left" w:pos="1801"/>
          <w:tab w:val="left" w:pos="1802"/>
        </w:tabs>
        <w:spacing w:before="92" w:line="259" w:lineRule="exact"/>
        <w:rPr>
          <w:sz w:val="20"/>
        </w:rPr>
      </w:pPr>
      <w:r>
        <w:rPr>
          <w:color w:val="231F20"/>
          <w:sz w:val="20"/>
        </w:rPr>
        <w:t>When</w:t>
      </w:r>
      <w:r>
        <w:rPr>
          <w:color w:val="231F20"/>
          <w:spacing w:val="-6"/>
          <w:sz w:val="20"/>
        </w:rPr>
        <w:t xml:space="preserve"> </w:t>
      </w:r>
      <w:r>
        <w:rPr>
          <w:color w:val="231F20"/>
          <w:sz w:val="20"/>
        </w:rPr>
        <w:t>people</w:t>
      </w:r>
      <w:r>
        <w:rPr>
          <w:color w:val="231F20"/>
          <w:spacing w:val="-5"/>
          <w:sz w:val="20"/>
        </w:rPr>
        <w:t xml:space="preserve"> </w:t>
      </w:r>
      <w:r>
        <w:rPr>
          <w:color w:val="231F20"/>
          <w:sz w:val="20"/>
        </w:rPr>
        <w:t>who</w:t>
      </w:r>
      <w:r>
        <w:rPr>
          <w:color w:val="231F20"/>
          <w:spacing w:val="-6"/>
          <w:sz w:val="20"/>
        </w:rPr>
        <w:t xml:space="preserve"> </w:t>
      </w:r>
      <w:r>
        <w:rPr>
          <w:color w:val="231F20"/>
          <w:sz w:val="20"/>
        </w:rPr>
        <w:t>experience</w:t>
      </w:r>
      <w:r>
        <w:rPr>
          <w:color w:val="231F20"/>
          <w:spacing w:val="-5"/>
          <w:sz w:val="20"/>
        </w:rPr>
        <w:t xml:space="preserve"> </w:t>
      </w:r>
      <w:r>
        <w:rPr>
          <w:color w:val="231F20"/>
          <w:sz w:val="20"/>
        </w:rPr>
        <w:t>stalking</w:t>
      </w:r>
      <w:r>
        <w:rPr>
          <w:color w:val="231F20"/>
          <w:spacing w:val="-6"/>
          <w:sz w:val="20"/>
        </w:rPr>
        <w:t xml:space="preserve"> </w:t>
      </w:r>
      <w:r>
        <w:rPr>
          <w:color w:val="231F20"/>
          <w:sz w:val="20"/>
        </w:rPr>
        <w:t>make</w:t>
      </w:r>
      <w:r>
        <w:rPr>
          <w:color w:val="231F20"/>
          <w:spacing w:val="-5"/>
          <w:sz w:val="20"/>
        </w:rPr>
        <w:t xml:space="preserve"> </w:t>
      </w:r>
      <w:r>
        <w:rPr>
          <w:color w:val="231F20"/>
          <w:sz w:val="20"/>
        </w:rPr>
        <w:t>a</w:t>
      </w:r>
      <w:r>
        <w:rPr>
          <w:color w:val="231F20"/>
          <w:spacing w:val="-6"/>
          <w:sz w:val="20"/>
        </w:rPr>
        <w:t xml:space="preserve"> </w:t>
      </w:r>
      <w:r>
        <w:rPr>
          <w:color w:val="231F20"/>
          <w:sz w:val="20"/>
        </w:rPr>
        <w:t>report,</w:t>
      </w:r>
      <w:r>
        <w:rPr>
          <w:color w:val="231F20"/>
          <w:spacing w:val="-5"/>
          <w:sz w:val="20"/>
        </w:rPr>
        <w:t xml:space="preserve"> </w:t>
      </w:r>
      <w:r>
        <w:rPr>
          <w:color w:val="231F20"/>
          <w:sz w:val="20"/>
        </w:rPr>
        <w:t>their</w:t>
      </w:r>
      <w:r>
        <w:rPr>
          <w:color w:val="231F20"/>
          <w:spacing w:val="-5"/>
          <w:sz w:val="20"/>
        </w:rPr>
        <w:t xml:space="preserve"> </w:t>
      </w:r>
      <w:r>
        <w:rPr>
          <w:color w:val="231F20"/>
          <w:sz w:val="20"/>
        </w:rPr>
        <w:t>experience</w:t>
      </w:r>
      <w:r>
        <w:rPr>
          <w:color w:val="231F20"/>
          <w:spacing w:val="-6"/>
          <w:sz w:val="20"/>
        </w:rPr>
        <w:t xml:space="preserve"> </w:t>
      </w:r>
      <w:r>
        <w:rPr>
          <w:color w:val="231F20"/>
          <w:sz w:val="20"/>
        </w:rPr>
        <w:t>can</w:t>
      </w:r>
      <w:r>
        <w:rPr>
          <w:color w:val="231F20"/>
          <w:spacing w:val="-5"/>
          <w:sz w:val="20"/>
        </w:rPr>
        <w:t xml:space="preserve"> </w:t>
      </w:r>
      <w:r>
        <w:rPr>
          <w:color w:val="231F20"/>
          <w:sz w:val="20"/>
        </w:rPr>
        <w:t>be</w:t>
      </w:r>
    </w:p>
    <w:p w14:paraId="580D0D8E" w14:textId="77777777" w:rsidR="00894070" w:rsidRDefault="009B7AFD">
      <w:pPr>
        <w:pStyle w:val="BodyText"/>
        <w:spacing w:line="259" w:lineRule="exact"/>
        <w:ind w:left="1801"/>
      </w:pPr>
      <w:proofErr w:type="spellStart"/>
      <w:r>
        <w:rPr>
          <w:color w:val="231F20"/>
        </w:rPr>
        <w:t>minimised</w:t>
      </w:r>
      <w:proofErr w:type="spellEnd"/>
      <w:r>
        <w:rPr>
          <w:color w:val="231F20"/>
        </w:rPr>
        <w:t>. They often do not get the response they need.</w:t>
      </w:r>
    </w:p>
    <w:p w14:paraId="07CDD602" w14:textId="77777777" w:rsidR="00894070" w:rsidRDefault="00894070">
      <w:pPr>
        <w:pStyle w:val="BodyText"/>
        <w:spacing w:before="1"/>
        <w:rPr>
          <w:sz w:val="15"/>
        </w:rPr>
      </w:pPr>
    </w:p>
    <w:p w14:paraId="7E97C0E5" w14:textId="77777777" w:rsidR="00894070" w:rsidRDefault="009B7AFD">
      <w:pPr>
        <w:pStyle w:val="Heading8"/>
        <w:ind w:left="1007"/>
      </w:pPr>
      <w:r>
        <w:rPr>
          <w:color w:val="231F20"/>
        </w:rPr>
        <w:t>The response is not tailored enough</w:t>
      </w:r>
    </w:p>
    <w:p w14:paraId="1ED01DE9" w14:textId="77777777" w:rsidR="00894070" w:rsidRDefault="009B7AFD">
      <w:pPr>
        <w:pStyle w:val="ListParagraph"/>
        <w:numPr>
          <w:ilvl w:val="1"/>
          <w:numId w:val="177"/>
        </w:numPr>
        <w:tabs>
          <w:tab w:val="left" w:pos="1801"/>
          <w:tab w:val="left" w:pos="1802"/>
        </w:tabs>
        <w:spacing w:before="95"/>
        <w:rPr>
          <w:sz w:val="20"/>
        </w:rPr>
      </w:pPr>
      <w:r>
        <w:rPr>
          <w:color w:val="231F20"/>
          <w:sz w:val="20"/>
        </w:rPr>
        <w:t>The</w:t>
      </w:r>
      <w:r>
        <w:rPr>
          <w:color w:val="231F20"/>
          <w:spacing w:val="-5"/>
          <w:sz w:val="20"/>
        </w:rPr>
        <w:t xml:space="preserve"> </w:t>
      </w:r>
      <w:r>
        <w:rPr>
          <w:color w:val="231F20"/>
          <w:sz w:val="20"/>
        </w:rPr>
        <w:t>response</w:t>
      </w:r>
      <w:r>
        <w:rPr>
          <w:color w:val="231F20"/>
          <w:spacing w:val="-5"/>
          <w:sz w:val="20"/>
        </w:rPr>
        <w:t xml:space="preserve"> </w:t>
      </w:r>
      <w:r>
        <w:rPr>
          <w:color w:val="231F20"/>
          <w:sz w:val="20"/>
        </w:rPr>
        <w:t>to</w:t>
      </w:r>
      <w:r>
        <w:rPr>
          <w:color w:val="231F20"/>
          <w:spacing w:val="-4"/>
          <w:sz w:val="20"/>
        </w:rPr>
        <w:t xml:space="preserve"> </w:t>
      </w:r>
      <w:r>
        <w:rPr>
          <w:color w:val="231F20"/>
          <w:sz w:val="20"/>
        </w:rPr>
        <w:t>stalking</w:t>
      </w:r>
      <w:r>
        <w:rPr>
          <w:color w:val="231F20"/>
          <w:spacing w:val="-5"/>
          <w:sz w:val="20"/>
        </w:rPr>
        <w:t xml:space="preserve"> </w:t>
      </w:r>
      <w:r>
        <w:rPr>
          <w:color w:val="231F20"/>
          <w:sz w:val="20"/>
        </w:rPr>
        <w:t>is</w:t>
      </w:r>
      <w:r>
        <w:rPr>
          <w:color w:val="231F20"/>
          <w:spacing w:val="-4"/>
          <w:sz w:val="20"/>
        </w:rPr>
        <w:t xml:space="preserve"> </w:t>
      </w:r>
      <w:r>
        <w:rPr>
          <w:color w:val="231F20"/>
          <w:sz w:val="20"/>
        </w:rPr>
        <w:t>not</w:t>
      </w:r>
      <w:r>
        <w:rPr>
          <w:color w:val="231F20"/>
          <w:spacing w:val="-5"/>
          <w:sz w:val="20"/>
        </w:rPr>
        <w:t xml:space="preserve"> </w:t>
      </w:r>
      <w:r>
        <w:rPr>
          <w:color w:val="231F20"/>
          <w:sz w:val="20"/>
        </w:rPr>
        <w:t>tailored</w:t>
      </w:r>
      <w:r>
        <w:rPr>
          <w:color w:val="231F20"/>
          <w:spacing w:val="-4"/>
          <w:sz w:val="20"/>
        </w:rPr>
        <w:t xml:space="preserve"> </w:t>
      </w:r>
      <w:r>
        <w:rPr>
          <w:color w:val="231F20"/>
          <w:sz w:val="20"/>
        </w:rPr>
        <w:t>enough.</w:t>
      </w:r>
      <w:r>
        <w:rPr>
          <w:color w:val="231F20"/>
          <w:spacing w:val="-5"/>
          <w:sz w:val="20"/>
        </w:rPr>
        <w:t xml:space="preserve"> </w:t>
      </w:r>
      <w:r>
        <w:rPr>
          <w:color w:val="231F20"/>
          <w:spacing w:val="-3"/>
          <w:sz w:val="20"/>
        </w:rPr>
        <w:t>For</w:t>
      </w:r>
      <w:r>
        <w:rPr>
          <w:color w:val="231F20"/>
          <w:spacing w:val="-5"/>
          <w:sz w:val="20"/>
        </w:rPr>
        <w:t xml:space="preserve"> </w:t>
      </w:r>
      <w:r>
        <w:rPr>
          <w:color w:val="231F20"/>
          <w:spacing w:val="-3"/>
          <w:sz w:val="20"/>
        </w:rPr>
        <w:t>example:</w:t>
      </w:r>
    </w:p>
    <w:p w14:paraId="31182BEB"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PSIOs</w:t>
      </w:r>
      <w:r>
        <w:rPr>
          <w:color w:val="231F20"/>
          <w:spacing w:val="-6"/>
          <w:sz w:val="20"/>
        </w:rPr>
        <w:t xml:space="preserve"> </w:t>
      </w:r>
      <w:r>
        <w:rPr>
          <w:color w:val="231F20"/>
          <w:sz w:val="20"/>
        </w:rPr>
        <w:t>can</w:t>
      </w:r>
      <w:r>
        <w:rPr>
          <w:color w:val="231F20"/>
          <w:spacing w:val="-6"/>
          <w:sz w:val="20"/>
        </w:rPr>
        <w:t xml:space="preserve"> </w:t>
      </w:r>
      <w:r>
        <w:rPr>
          <w:color w:val="231F20"/>
          <w:sz w:val="20"/>
        </w:rPr>
        <w:t>be</w:t>
      </w:r>
      <w:r>
        <w:rPr>
          <w:color w:val="231F20"/>
          <w:spacing w:val="-5"/>
          <w:sz w:val="20"/>
        </w:rPr>
        <w:t xml:space="preserve"> </w:t>
      </w:r>
      <w:r>
        <w:rPr>
          <w:color w:val="231F20"/>
          <w:sz w:val="20"/>
        </w:rPr>
        <w:t>taken</w:t>
      </w:r>
      <w:r>
        <w:rPr>
          <w:color w:val="231F20"/>
          <w:spacing w:val="-6"/>
          <w:sz w:val="20"/>
        </w:rPr>
        <w:t xml:space="preserve"> </w:t>
      </w:r>
      <w:r>
        <w:rPr>
          <w:color w:val="231F20"/>
          <w:sz w:val="20"/>
        </w:rPr>
        <w:t>out</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many</w:t>
      </w:r>
      <w:r>
        <w:rPr>
          <w:color w:val="231F20"/>
          <w:spacing w:val="-6"/>
          <w:sz w:val="20"/>
        </w:rPr>
        <w:t xml:space="preserve"> </w:t>
      </w:r>
      <w:r>
        <w:rPr>
          <w:color w:val="231F20"/>
          <w:sz w:val="20"/>
        </w:rPr>
        <w:t>other</w:t>
      </w:r>
      <w:r>
        <w:rPr>
          <w:color w:val="231F20"/>
          <w:spacing w:val="-5"/>
          <w:sz w:val="20"/>
        </w:rPr>
        <w:t xml:space="preserve"> </w:t>
      </w:r>
      <w:r>
        <w:rPr>
          <w:color w:val="231F20"/>
          <w:sz w:val="20"/>
        </w:rPr>
        <w:t>matters,</w:t>
      </w:r>
      <w:r>
        <w:rPr>
          <w:color w:val="231F20"/>
          <w:spacing w:val="-6"/>
          <w:sz w:val="20"/>
        </w:rPr>
        <w:t xml:space="preserve"> </w:t>
      </w:r>
      <w:r>
        <w:rPr>
          <w:color w:val="231F20"/>
          <w:sz w:val="20"/>
        </w:rPr>
        <w:t>often</w:t>
      </w:r>
      <w:r>
        <w:rPr>
          <w:color w:val="231F20"/>
          <w:spacing w:val="-5"/>
          <w:sz w:val="20"/>
        </w:rPr>
        <w:t xml:space="preserve"> </w:t>
      </w:r>
      <w:r>
        <w:rPr>
          <w:color w:val="231F20"/>
          <w:sz w:val="20"/>
        </w:rPr>
        <w:t>less</w:t>
      </w:r>
      <w:r>
        <w:rPr>
          <w:color w:val="231F20"/>
          <w:spacing w:val="-6"/>
          <w:sz w:val="20"/>
        </w:rPr>
        <w:t xml:space="preserve"> </w:t>
      </w:r>
      <w:r>
        <w:rPr>
          <w:color w:val="231F20"/>
          <w:sz w:val="20"/>
        </w:rPr>
        <w:t>serious</w:t>
      </w:r>
      <w:r>
        <w:rPr>
          <w:color w:val="231F20"/>
          <w:spacing w:val="-6"/>
          <w:sz w:val="20"/>
        </w:rPr>
        <w:t xml:space="preserve"> </w:t>
      </w:r>
      <w:r>
        <w:rPr>
          <w:color w:val="231F20"/>
          <w:sz w:val="20"/>
        </w:rPr>
        <w:t>than</w:t>
      </w:r>
      <w:r>
        <w:rPr>
          <w:color w:val="231F20"/>
          <w:spacing w:val="-5"/>
          <w:sz w:val="20"/>
        </w:rPr>
        <w:t xml:space="preserve"> </w:t>
      </w:r>
      <w:r>
        <w:rPr>
          <w:color w:val="231F20"/>
          <w:sz w:val="20"/>
        </w:rPr>
        <w:t>stalking.</w:t>
      </w:r>
    </w:p>
    <w:p w14:paraId="075999A9" w14:textId="77777777" w:rsidR="00894070" w:rsidRDefault="009B7AFD">
      <w:pPr>
        <w:pStyle w:val="ListParagraph"/>
        <w:numPr>
          <w:ilvl w:val="2"/>
          <w:numId w:val="177"/>
        </w:numPr>
        <w:tabs>
          <w:tab w:val="left" w:pos="2141"/>
          <w:tab w:val="left" w:pos="2142"/>
        </w:tabs>
        <w:spacing w:before="48"/>
        <w:ind w:hanging="340"/>
        <w:rPr>
          <w:sz w:val="20"/>
        </w:rPr>
      </w:pPr>
      <w:r>
        <w:rPr>
          <w:color w:val="231F20"/>
          <w:spacing w:val="-3"/>
          <w:sz w:val="20"/>
        </w:rPr>
        <w:t>Children</w:t>
      </w:r>
      <w:r>
        <w:rPr>
          <w:color w:val="231F20"/>
          <w:spacing w:val="-6"/>
          <w:sz w:val="20"/>
        </w:rPr>
        <w:t xml:space="preserve"> </w:t>
      </w:r>
      <w:r>
        <w:rPr>
          <w:color w:val="231F20"/>
          <w:sz w:val="20"/>
        </w:rPr>
        <w:t>and</w:t>
      </w:r>
      <w:r>
        <w:rPr>
          <w:color w:val="231F20"/>
          <w:spacing w:val="-5"/>
          <w:sz w:val="20"/>
        </w:rPr>
        <w:t xml:space="preserve"> </w:t>
      </w:r>
      <w:r>
        <w:rPr>
          <w:color w:val="231F20"/>
          <w:sz w:val="20"/>
        </w:rPr>
        <w:t>young</w:t>
      </w:r>
      <w:r>
        <w:rPr>
          <w:color w:val="231F20"/>
          <w:spacing w:val="-5"/>
          <w:sz w:val="20"/>
        </w:rPr>
        <w:t xml:space="preserve"> </w:t>
      </w:r>
      <w:r>
        <w:rPr>
          <w:color w:val="231F20"/>
          <w:sz w:val="20"/>
        </w:rPr>
        <w:t>people</w:t>
      </w:r>
      <w:r>
        <w:rPr>
          <w:color w:val="231F20"/>
          <w:spacing w:val="-6"/>
          <w:sz w:val="20"/>
        </w:rPr>
        <w:t xml:space="preserve"> </w:t>
      </w:r>
      <w:r>
        <w:rPr>
          <w:color w:val="231F20"/>
          <w:sz w:val="20"/>
        </w:rPr>
        <w:t>do</w:t>
      </w:r>
      <w:r>
        <w:rPr>
          <w:color w:val="231F20"/>
          <w:spacing w:val="-5"/>
          <w:sz w:val="20"/>
        </w:rPr>
        <w:t xml:space="preserve"> </w:t>
      </w:r>
      <w:r>
        <w:rPr>
          <w:color w:val="231F20"/>
          <w:sz w:val="20"/>
        </w:rPr>
        <w:t>not</w:t>
      </w:r>
      <w:r>
        <w:rPr>
          <w:color w:val="231F20"/>
          <w:spacing w:val="-5"/>
          <w:sz w:val="20"/>
        </w:rPr>
        <w:t xml:space="preserve"> </w:t>
      </w:r>
      <w:r>
        <w:rPr>
          <w:color w:val="231F20"/>
          <w:spacing w:val="-3"/>
          <w:sz w:val="20"/>
        </w:rPr>
        <w:t>receive</w:t>
      </w:r>
      <w:r>
        <w:rPr>
          <w:color w:val="231F20"/>
          <w:spacing w:val="-6"/>
          <w:sz w:val="20"/>
        </w:rPr>
        <w:t xml:space="preserve"> </w:t>
      </w:r>
      <w:r>
        <w:rPr>
          <w:color w:val="231F20"/>
          <w:sz w:val="20"/>
        </w:rPr>
        <w:t>a</w:t>
      </w:r>
      <w:r>
        <w:rPr>
          <w:color w:val="231F20"/>
          <w:spacing w:val="-5"/>
          <w:sz w:val="20"/>
        </w:rPr>
        <w:t xml:space="preserve"> </w:t>
      </w:r>
      <w:r>
        <w:rPr>
          <w:color w:val="231F20"/>
          <w:sz w:val="20"/>
        </w:rPr>
        <w:t>tailored,</w:t>
      </w:r>
      <w:r>
        <w:rPr>
          <w:color w:val="231F20"/>
          <w:spacing w:val="-5"/>
          <w:sz w:val="20"/>
        </w:rPr>
        <w:t xml:space="preserve"> </w:t>
      </w:r>
      <w:r>
        <w:rPr>
          <w:color w:val="231F20"/>
          <w:sz w:val="20"/>
        </w:rPr>
        <w:t>age-appropriate</w:t>
      </w:r>
      <w:r>
        <w:rPr>
          <w:color w:val="231F20"/>
          <w:spacing w:val="-6"/>
          <w:sz w:val="20"/>
        </w:rPr>
        <w:t xml:space="preserve"> </w:t>
      </w:r>
      <w:r>
        <w:rPr>
          <w:color w:val="231F20"/>
          <w:spacing w:val="-2"/>
          <w:sz w:val="20"/>
        </w:rPr>
        <w:t>response.</w:t>
      </w:r>
    </w:p>
    <w:p w14:paraId="1368A038" w14:textId="77777777" w:rsidR="00894070" w:rsidRDefault="009B7AFD">
      <w:pPr>
        <w:pStyle w:val="ListParagraph"/>
        <w:numPr>
          <w:ilvl w:val="2"/>
          <w:numId w:val="177"/>
        </w:numPr>
        <w:tabs>
          <w:tab w:val="left" w:pos="2141"/>
          <w:tab w:val="left" w:pos="2142"/>
        </w:tabs>
        <w:spacing w:before="79" w:line="206" w:lineRule="auto"/>
        <w:ind w:right="1383" w:hanging="340"/>
        <w:rPr>
          <w:sz w:val="20"/>
        </w:rPr>
      </w:pPr>
      <w:r>
        <w:rPr>
          <w:color w:val="231F20"/>
          <w:sz w:val="20"/>
        </w:rPr>
        <w:t xml:space="preserve">Stalking </w:t>
      </w:r>
      <w:proofErr w:type="spellStart"/>
      <w:r>
        <w:rPr>
          <w:color w:val="231F20"/>
          <w:sz w:val="20"/>
        </w:rPr>
        <w:t>behaviour</w:t>
      </w:r>
      <w:proofErr w:type="spellEnd"/>
      <w:r>
        <w:rPr>
          <w:color w:val="231F20"/>
          <w:sz w:val="20"/>
        </w:rPr>
        <w:t xml:space="preserve"> gets charged as other </w:t>
      </w:r>
      <w:r>
        <w:rPr>
          <w:color w:val="231F20"/>
          <w:spacing w:val="-3"/>
          <w:sz w:val="20"/>
        </w:rPr>
        <w:t xml:space="preserve">offences—for example, </w:t>
      </w:r>
      <w:r>
        <w:rPr>
          <w:color w:val="231F20"/>
          <w:sz w:val="20"/>
        </w:rPr>
        <w:t xml:space="preserve">property or assault </w:t>
      </w:r>
      <w:r>
        <w:rPr>
          <w:color w:val="231F20"/>
          <w:spacing w:val="-3"/>
          <w:sz w:val="20"/>
        </w:rPr>
        <w:t xml:space="preserve">offences—which </w:t>
      </w:r>
      <w:r>
        <w:rPr>
          <w:color w:val="231F20"/>
          <w:sz w:val="20"/>
        </w:rPr>
        <w:t xml:space="preserve">police might </w:t>
      </w:r>
      <w:r>
        <w:rPr>
          <w:color w:val="231F20"/>
          <w:spacing w:val="-3"/>
          <w:sz w:val="20"/>
        </w:rPr>
        <w:t xml:space="preserve">believe are </w:t>
      </w:r>
      <w:r>
        <w:rPr>
          <w:color w:val="231F20"/>
          <w:sz w:val="20"/>
        </w:rPr>
        <w:t xml:space="preserve">easier to </w:t>
      </w:r>
      <w:r>
        <w:rPr>
          <w:color w:val="231F20"/>
          <w:spacing w:val="-4"/>
          <w:sz w:val="20"/>
        </w:rPr>
        <w:t xml:space="preserve">prove. </w:t>
      </w:r>
      <w:r>
        <w:rPr>
          <w:color w:val="231F20"/>
          <w:sz w:val="20"/>
        </w:rPr>
        <w:t xml:space="preserve">This is partly </w:t>
      </w:r>
      <w:r>
        <w:rPr>
          <w:color w:val="231F20"/>
          <w:spacing w:val="-3"/>
          <w:sz w:val="20"/>
        </w:rPr>
        <w:t>why</w:t>
      </w:r>
      <w:r>
        <w:rPr>
          <w:color w:val="231F20"/>
          <w:spacing w:val="-9"/>
          <w:sz w:val="20"/>
        </w:rPr>
        <w:t xml:space="preserve"> </w:t>
      </w:r>
      <w:r>
        <w:rPr>
          <w:color w:val="231F20"/>
          <w:sz w:val="20"/>
        </w:rPr>
        <w:t>stalking</w:t>
      </w:r>
      <w:r>
        <w:rPr>
          <w:color w:val="231F20"/>
          <w:spacing w:val="-9"/>
          <w:sz w:val="20"/>
        </w:rPr>
        <w:t xml:space="preserve"> </w:t>
      </w:r>
      <w:r>
        <w:rPr>
          <w:color w:val="231F20"/>
          <w:sz w:val="20"/>
        </w:rPr>
        <w:t>does</w:t>
      </w:r>
      <w:r>
        <w:rPr>
          <w:color w:val="231F20"/>
          <w:spacing w:val="-9"/>
          <w:sz w:val="20"/>
        </w:rPr>
        <w:t xml:space="preserve"> </w:t>
      </w:r>
      <w:r>
        <w:rPr>
          <w:color w:val="231F20"/>
          <w:sz w:val="20"/>
        </w:rPr>
        <w:t>not</w:t>
      </w:r>
      <w:r>
        <w:rPr>
          <w:color w:val="231F20"/>
          <w:spacing w:val="-9"/>
          <w:sz w:val="20"/>
        </w:rPr>
        <w:t xml:space="preserve"> </w:t>
      </w:r>
      <w:r>
        <w:rPr>
          <w:color w:val="231F20"/>
          <w:spacing w:val="-3"/>
          <w:sz w:val="20"/>
        </w:rPr>
        <w:t>receive</w:t>
      </w:r>
      <w:r>
        <w:rPr>
          <w:color w:val="231F20"/>
          <w:spacing w:val="-9"/>
          <w:sz w:val="20"/>
        </w:rPr>
        <w:t xml:space="preserve"> </w:t>
      </w:r>
      <w:r>
        <w:rPr>
          <w:color w:val="231F20"/>
          <w:sz w:val="20"/>
        </w:rPr>
        <w:t>specialist</w:t>
      </w:r>
      <w:r>
        <w:rPr>
          <w:color w:val="231F20"/>
          <w:spacing w:val="-9"/>
          <w:sz w:val="20"/>
        </w:rPr>
        <w:t xml:space="preserve"> </w:t>
      </w:r>
      <w:r>
        <w:rPr>
          <w:color w:val="231F20"/>
          <w:sz w:val="20"/>
        </w:rPr>
        <w:t>management</w:t>
      </w:r>
      <w:r>
        <w:rPr>
          <w:color w:val="231F20"/>
          <w:spacing w:val="-9"/>
          <w:sz w:val="20"/>
        </w:rPr>
        <w:t xml:space="preserve"> </w:t>
      </w:r>
      <w:r>
        <w:rPr>
          <w:color w:val="231F20"/>
          <w:sz w:val="20"/>
        </w:rPr>
        <w:t>in</w:t>
      </w:r>
      <w:r>
        <w:rPr>
          <w:color w:val="231F20"/>
          <w:spacing w:val="-9"/>
          <w:sz w:val="20"/>
        </w:rPr>
        <w:t xml:space="preserve"> </w:t>
      </w:r>
      <w:r>
        <w:rPr>
          <w:color w:val="231F20"/>
          <w:sz w:val="20"/>
        </w:rPr>
        <w:t>prison</w:t>
      </w:r>
      <w:r>
        <w:rPr>
          <w:color w:val="231F20"/>
          <w:spacing w:val="-9"/>
          <w:sz w:val="20"/>
        </w:rPr>
        <w:t xml:space="preserve"> </w:t>
      </w:r>
      <w:r>
        <w:rPr>
          <w:color w:val="231F20"/>
          <w:sz w:val="20"/>
        </w:rPr>
        <w:t>or</w:t>
      </w:r>
      <w:r>
        <w:rPr>
          <w:color w:val="231F20"/>
          <w:spacing w:val="-9"/>
          <w:sz w:val="20"/>
        </w:rPr>
        <w:t xml:space="preserve"> </w:t>
      </w:r>
      <w:r>
        <w:rPr>
          <w:color w:val="231F20"/>
          <w:sz w:val="20"/>
        </w:rPr>
        <w:t>the</w:t>
      </w:r>
      <w:r>
        <w:rPr>
          <w:color w:val="231F20"/>
          <w:spacing w:val="-9"/>
          <w:sz w:val="20"/>
        </w:rPr>
        <w:t xml:space="preserve"> </w:t>
      </w:r>
      <w:r>
        <w:rPr>
          <w:color w:val="231F20"/>
          <w:sz w:val="20"/>
        </w:rPr>
        <w:t>community corrections</w:t>
      </w:r>
      <w:r>
        <w:rPr>
          <w:color w:val="231F20"/>
          <w:spacing w:val="-5"/>
          <w:sz w:val="20"/>
        </w:rPr>
        <w:t xml:space="preserve"> </w:t>
      </w:r>
      <w:r>
        <w:rPr>
          <w:color w:val="231F20"/>
          <w:sz w:val="20"/>
        </w:rPr>
        <w:t>system.</w:t>
      </w:r>
    </w:p>
    <w:p w14:paraId="2FD7442F" w14:textId="77777777" w:rsidR="00894070" w:rsidRDefault="009B7AFD">
      <w:pPr>
        <w:pStyle w:val="BodyText"/>
        <w:spacing w:before="58"/>
        <w:ind w:left="1801"/>
      </w:pPr>
      <w:r>
        <w:rPr>
          <w:color w:val="231F20"/>
        </w:rPr>
        <w:t>We discuss these issues in Chapters 6, 7 and 8.</w:t>
      </w:r>
    </w:p>
    <w:p w14:paraId="705F8F9F" w14:textId="77777777" w:rsidR="00894070" w:rsidRDefault="00894070">
      <w:pPr>
        <w:pStyle w:val="BodyText"/>
      </w:pPr>
    </w:p>
    <w:p w14:paraId="1D15AAB8" w14:textId="77777777" w:rsidR="00894070" w:rsidRDefault="00894070">
      <w:pPr>
        <w:pStyle w:val="BodyText"/>
      </w:pPr>
    </w:p>
    <w:p w14:paraId="6343144E" w14:textId="77777777" w:rsidR="00894070" w:rsidRDefault="009F6793">
      <w:pPr>
        <w:pStyle w:val="BodyText"/>
        <w:spacing w:before="11"/>
        <w:rPr>
          <w:sz w:val="22"/>
        </w:rPr>
      </w:pPr>
      <w:r>
        <w:pict w14:anchorId="39757BBB">
          <v:line id="_x0000_s1705" style="position:absolute;z-index:-251474944;mso-wrap-distance-left:0;mso-wrap-distance-right:0;mso-position-horizontal-relative:page" from="79.35pt,18.3pt" to="515.9pt,18.3pt" strokecolor="#f8cabc" strokeweight="1pt">
            <w10:wrap type="topAndBottom" anchorx="page"/>
          </v:line>
        </w:pict>
      </w:r>
    </w:p>
    <w:p w14:paraId="1F6EEEC5" w14:textId="77777777" w:rsidR="00894070" w:rsidRDefault="009B7AFD">
      <w:pPr>
        <w:pStyle w:val="ListParagraph"/>
        <w:numPr>
          <w:ilvl w:val="0"/>
          <w:numId w:val="176"/>
        </w:numPr>
        <w:tabs>
          <w:tab w:val="left" w:pos="1800"/>
          <w:tab w:val="left" w:pos="1802"/>
        </w:tabs>
        <w:spacing w:before="107" w:line="213" w:lineRule="auto"/>
        <w:ind w:right="1169"/>
        <w:rPr>
          <w:sz w:val="13"/>
        </w:rPr>
      </w:pPr>
      <w:r>
        <w:rPr>
          <w:color w:val="231F20"/>
          <w:sz w:val="13"/>
        </w:rPr>
        <w:t xml:space="preserve">See, </w:t>
      </w:r>
      <w:proofErr w:type="spellStart"/>
      <w:r>
        <w:rPr>
          <w:color w:val="231F20"/>
          <w:sz w:val="13"/>
        </w:rPr>
        <w:t>eg</w:t>
      </w:r>
      <w:proofErr w:type="spellEnd"/>
      <w:r>
        <w:rPr>
          <w:color w:val="231F20"/>
          <w:sz w:val="13"/>
        </w:rPr>
        <w:t xml:space="preserve">, </w:t>
      </w:r>
      <w:r>
        <w:rPr>
          <w:color w:val="231F20"/>
          <w:spacing w:val="2"/>
          <w:sz w:val="13"/>
        </w:rPr>
        <w:t xml:space="preserve">Submissions </w:t>
      </w:r>
      <w:r>
        <w:rPr>
          <w:color w:val="231F20"/>
          <w:sz w:val="13"/>
        </w:rPr>
        <w:t xml:space="preserve">10 (Rochelle Carli), </w:t>
      </w:r>
      <w:r>
        <w:rPr>
          <w:color w:val="231F20"/>
          <w:spacing w:val="2"/>
          <w:sz w:val="13"/>
        </w:rPr>
        <w:t xml:space="preserve">14 </w:t>
      </w:r>
      <w:r>
        <w:rPr>
          <w:color w:val="231F20"/>
          <w:sz w:val="13"/>
        </w:rPr>
        <w:t>(George Hart), 19 (Lyn Crocker), 22 (Name withheld), 25 (Deborah), 27 (Name withheld</w:t>
      </w:r>
      <w:proofErr w:type="gramStart"/>
      <w:r>
        <w:rPr>
          <w:color w:val="231F20"/>
          <w:sz w:val="13"/>
        </w:rPr>
        <w:t>),  28</w:t>
      </w:r>
      <w:proofErr w:type="gramEnd"/>
      <w:r>
        <w:rPr>
          <w:color w:val="231F20"/>
          <w:sz w:val="13"/>
        </w:rPr>
        <w:t xml:space="preserve"> (Name withheld), 30 (Name withheld), 33 (Name withheld), 40 (Name withheld), 42 (Name withheld), 43 (Name withheld), 53 (Barbara</w:t>
      </w:r>
      <w:r>
        <w:rPr>
          <w:color w:val="231F20"/>
          <w:spacing w:val="6"/>
          <w:sz w:val="13"/>
        </w:rPr>
        <w:t xml:space="preserve"> </w:t>
      </w:r>
      <w:r>
        <w:rPr>
          <w:color w:val="231F20"/>
          <w:sz w:val="13"/>
        </w:rPr>
        <w:t>Jackson),</w:t>
      </w:r>
      <w:r>
        <w:rPr>
          <w:color w:val="231F20"/>
          <w:spacing w:val="7"/>
          <w:sz w:val="13"/>
        </w:rPr>
        <w:t xml:space="preserve"> </w:t>
      </w:r>
      <w:r>
        <w:rPr>
          <w:color w:val="231F20"/>
          <w:sz w:val="13"/>
        </w:rPr>
        <w:t>69</w:t>
      </w:r>
      <w:r>
        <w:rPr>
          <w:color w:val="231F20"/>
          <w:spacing w:val="6"/>
          <w:sz w:val="13"/>
        </w:rPr>
        <w:t xml:space="preserve"> </w:t>
      </w:r>
      <w:r>
        <w:rPr>
          <w:color w:val="231F20"/>
          <w:sz w:val="13"/>
        </w:rPr>
        <w:t>(Daniel</w:t>
      </w:r>
      <w:r>
        <w:rPr>
          <w:color w:val="231F20"/>
          <w:spacing w:val="7"/>
          <w:sz w:val="13"/>
        </w:rPr>
        <w:t xml:space="preserve"> </w:t>
      </w:r>
      <w:proofErr w:type="spellStart"/>
      <w:r>
        <w:rPr>
          <w:color w:val="231F20"/>
          <w:sz w:val="13"/>
        </w:rPr>
        <w:t>Petrovski</w:t>
      </w:r>
      <w:proofErr w:type="spellEnd"/>
      <w:r>
        <w:rPr>
          <w:color w:val="231F20"/>
          <w:sz w:val="13"/>
        </w:rPr>
        <w:t>),</w:t>
      </w:r>
      <w:r>
        <w:rPr>
          <w:color w:val="231F20"/>
          <w:spacing w:val="6"/>
          <w:sz w:val="13"/>
        </w:rPr>
        <w:t xml:space="preserve"> </w:t>
      </w:r>
      <w:r>
        <w:rPr>
          <w:color w:val="231F20"/>
          <w:sz w:val="13"/>
        </w:rPr>
        <w:t>88</w:t>
      </w:r>
      <w:r>
        <w:rPr>
          <w:color w:val="231F20"/>
          <w:spacing w:val="7"/>
          <w:sz w:val="13"/>
        </w:rPr>
        <w:t xml:space="preserve"> </w:t>
      </w:r>
      <w:r>
        <w:rPr>
          <w:color w:val="231F20"/>
          <w:sz w:val="13"/>
        </w:rPr>
        <w:t>(Name</w:t>
      </w:r>
      <w:r>
        <w:rPr>
          <w:color w:val="231F20"/>
          <w:spacing w:val="7"/>
          <w:sz w:val="13"/>
        </w:rPr>
        <w:t xml:space="preserve"> </w:t>
      </w:r>
      <w:r>
        <w:rPr>
          <w:color w:val="231F20"/>
          <w:sz w:val="13"/>
        </w:rPr>
        <w:t>withheld),</w:t>
      </w:r>
      <w:r>
        <w:rPr>
          <w:color w:val="231F20"/>
          <w:spacing w:val="6"/>
          <w:sz w:val="13"/>
        </w:rPr>
        <w:t xml:space="preserve"> </w:t>
      </w:r>
      <w:r>
        <w:rPr>
          <w:color w:val="231F20"/>
          <w:sz w:val="13"/>
        </w:rPr>
        <w:t>92</w:t>
      </w:r>
      <w:r>
        <w:rPr>
          <w:color w:val="231F20"/>
          <w:spacing w:val="7"/>
          <w:sz w:val="13"/>
        </w:rPr>
        <w:t xml:space="preserve"> </w:t>
      </w:r>
      <w:r>
        <w:rPr>
          <w:color w:val="231F20"/>
          <w:sz w:val="13"/>
        </w:rPr>
        <w:t>(Name</w:t>
      </w:r>
      <w:r>
        <w:rPr>
          <w:color w:val="231F20"/>
          <w:spacing w:val="6"/>
          <w:sz w:val="13"/>
        </w:rPr>
        <w:t xml:space="preserve"> </w:t>
      </w:r>
      <w:r>
        <w:rPr>
          <w:color w:val="231F20"/>
          <w:sz w:val="13"/>
        </w:rPr>
        <w:t>withheld),</w:t>
      </w:r>
      <w:r>
        <w:rPr>
          <w:color w:val="231F20"/>
          <w:spacing w:val="7"/>
          <w:sz w:val="13"/>
        </w:rPr>
        <w:t xml:space="preserve"> </w:t>
      </w:r>
      <w:r>
        <w:rPr>
          <w:color w:val="231F20"/>
          <w:sz w:val="13"/>
        </w:rPr>
        <w:t>101</w:t>
      </w:r>
      <w:r>
        <w:rPr>
          <w:color w:val="231F20"/>
          <w:spacing w:val="6"/>
          <w:sz w:val="13"/>
        </w:rPr>
        <w:t xml:space="preserve"> </w:t>
      </w:r>
      <w:r>
        <w:rPr>
          <w:color w:val="231F20"/>
          <w:sz w:val="13"/>
        </w:rPr>
        <w:t>(Michael</w:t>
      </w:r>
      <w:r>
        <w:rPr>
          <w:color w:val="231F20"/>
          <w:spacing w:val="7"/>
          <w:sz w:val="13"/>
        </w:rPr>
        <w:t xml:space="preserve"> </w:t>
      </w:r>
      <w:r>
        <w:rPr>
          <w:color w:val="231F20"/>
          <w:sz w:val="13"/>
        </w:rPr>
        <w:t>Buckman),</w:t>
      </w:r>
      <w:r>
        <w:rPr>
          <w:color w:val="231F20"/>
          <w:spacing w:val="7"/>
          <w:sz w:val="13"/>
        </w:rPr>
        <w:t xml:space="preserve"> </w:t>
      </w:r>
      <w:r>
        <w:rPr>
          <w:color w:val="231F20"/>
          <w:sz w:val="13"/>
        </w:rPr>
        <w:t>113</w:t>
      </w:r>
      <w:r>
        <w:rPr>
          <w:color w:val="231F20"/>
          <w:spacing w:val="6"/>
          <w:sz w:val="13"/>
        </w:rPr>
        <w:t xml:space="preserve"> </w:t>
      </w:r>
      <w:r>
        <w:rPr>
          <w:color w:val="231F20"/>
          <w:sz w:val="13"/>
        </w:rPr>
        <w:t>(Name</w:t>
      </w:r>
      <w:r>
        <w:rPr>
          <w:color w:val="231F20"/>
          <w:spacing w:val="7"/>
          <w:sz w:val="13"/>
        </w:rPr>
        <w:t xml:space="preserve"> </w:t>
      </w:r>
      <w:r>
        <w:rPr>
          <w:color w:val="231F20"/>
          <w:sz w:val="13"/>
        </w:rPr>
        <w:t>withheld).</w:t>
      </w:r>
    </w:p>
    <w:p w14:paraId="7DCACDC2" w14:textId="77777777" w:rsidR="00894070" w:rsidRDefault="009B7AFD">
      <w:pPr>
        <w:pStyle w:val="ListParagraph"/>
        <w:numPr>
          <w:ilvl w:val="0"/>
          <w:numId w:val="176"/>
        </w:numPr>
        <w:tabs>
          <w:tab w:val="left" w:pos="1800"/>
          <w:tab w:val="left" w:pos="1802"/>
        </w:tabs>
        <w:spacing w:line="152" w:lineRule="exact"/>
        <w:rPr>
          <w:sz w:val="13"/>
        </w:rPr>
      </w:pPr>
      <w:r>
        <w:rPr>
          <w:color w:val="231F20"/>
          <w:sz w:val="13"/>
        </w:rPr>
        <w:t>See Chapters 6 and 7 of this</w:t>
      </w:r>
      <w:r>
        <w:rPr>
          <w:color w:val="231F20"/>
          <w:spacing w:val="1"/>
          <w:sz w:val="13"/>
        </w:rPr>
        <w:t xml:space="preserve"> </w:t>
      </w:r>
      <w:r>
        <w:rPr>
          <w:color w:val="231F20"/>
          <w:spacing w:val="2"/>
          <w:sz w:val="13"/>
        </w:rPr>
        <w:t>report.</w:t>
      </w:r>
    </w:p>
    <w:p w14:paraId="684495A4" w14:textId="77777777" w:rsidR="00894070" w:rsidRDefault="009B7AFD">
      <w:pPr>
        <w:pStyle w:val="ListParagraph"/>
        <w:numPr>
          <w:ilvl w:val="0"/>
          <w:numId w:val="176"/>
        </w:numPr>
        <w:tabs>
          <w:tab w:val="left" w:pos="1800"/>
          <w:tab w:val="left" w:pos="1802"/>
        </w:tabs>
        <w:spacing w:line="160" w:lineRule="exact"/>
        <w:rPr>
          <w:sz w:val="13"/>
        </w:rPr>
      </w:pPr>
      <w:r>
        <w:rPr>
          <w:color w:val="231F20"/>
          <w:sz w:val="13"/>
        </w:rPr>
        <w:t xml:space="preserve">See Chapter 5 of this </w:t>
      </w:r>
      <w:r>
        <w:rPr>
          <w:color w:val="231F20"/>
          <w:spacing w:val="2"/>
          <w:sz w:val="13"/>
        </w:rPr>
        <w:t>report.</w:t>
      </w:r>
    </w:p>
    <w:p w14:paraId="2A2DB2AF" w14:textId="77777777" w:rsidR="00894070" w:rsidRDefault="009B7AFD">
      <w:pPr>
        <w:pStyle w:val="ListParagraph"/>
        <w:numPr>
          <w:ilvl w:val="0"/>
          <w:numId w:val="176"/>
        </w:numPr>
        <w:tabs>
          <w:tab w:val="left" w:pos="1801"/>
          <w:tab w:val="left" w:pos="1802"/>
        </w:tabs>
        <w:spacing w:before="6" w:line="213" w:lineRule="auto"/>
        <w:ind w:right="1372"/>
        <w:rPr>
          <w:sz w:val="13"/>
        </w:rPr>
      </w:pPr>
      <w:r>
        <w:rPr>
          <w:color w:val="231F20"/>
          <w:sz w:val="13"/>
        </w:rPr>
        <w:t xml:space="preserve">Stalking by </w:t>
      </w:r>
      <w:r>
        <w:rPr>
          <w:color w:val="231F20"/>
          <w:spacing w:val="2"/>
          <w:sz w:val="13"/>
        </w:rPr>
        <w:t xml:space="preserve">partners </w:t>
      </w:r>
      <w:r>
        <w:rPr>
          <w:color w:val="231F20"/>
          <w:sz w:val="13"/>
        </w:rPr>
        <w:t xml:space="preserve">or former </w:t>
      </w:r>
      <w:r>
        <w:rPr>
          <w:color w:val="231F20"/>
          <w:spacing w:val="2"/>
          <w:sz w:val="13"/>
        </w:rPr>
        <w:t xml:space="preserve">partners falls </w:t>
      </w:r>
      <w:r>
        <w:rPr>
          <w:color w:val="231F20"/>
          <w:sz w:val="13"/>
        </w:rPr>
        <w:t xml:space="preserve">within a </w:t>
      </w:r>
      <w:r>
        <w:rPr>
          <w:color w:val="231F20"/>
          <w:spacing w:val="2"/>
          <w:sz w:val="13"/>
        </w:rPr>
        <w:t xml:space="preserve">specialist </w:t>
      </w:r>
      <w:r>
        <w:rPr>
          <w:color w:val="231F20"/>
          <w:sz w:val="13"/>
        </w:rPr>
        <w:t xml:space="preserve">system, which has processes to </w:t>
      </w:r>
      <w:r>
        <w:rPr>
          <w:color w:val="231F20"/>
          <w:spacing w:val="2"/>
          <w:sz w:val="13"/>
        </w:rPr>
        <w:t xml:space="preserve">assess </w:t>
      </w:r>
      <w:r>
        <w:rPr>
          <w:color w:val="231F20"/>
          <w:sz w:val="13"/>
        </w:rPr>
        <w:t>the risk posed to victim survivors and plan for victim safety and</w:t>
      </w:r>
      <w:r>
        <w:rPr>
          <w:color w:val="231F20"/>
          <w:spacing w:val="2"/>
          <w:sz w:val="13"/>
        </w:rPr>
        <w:t xml:space="preserve"> </w:t>
      </w:r>
      <w:r>
        <w:rPr>
          <w:color w:val="231F20"/>
          <w:sz w:val="13"/>
        </w:rPr>
        <w:t>recovery.</w:t>
      </w:r>
    </w:p>
    <w:p w14:paraId="362CB1F3" w14:textId="77777777" w:rsidR="00894070" w:rsidRDefault="009F6793">
      <w:pPr>
        <w:pStyle w:val="ListParagraph"/>
        <w:numPr>
          <w:ilvl w:val="0"/>
          <w:numId w:val="176"/>
        </w:numPr>
        <w:tabs>
          <w:tab w:val="left" w:pos="1801"/>
          <w:tab w:val="left" w:pos="1802"/>
        </w:tabs>
        <w:spacing w:line="213" w:lineRule="auto"/>
        <w:ind w:right="1252"/>
        <w:rPr>
          <w:sz w:val="13"/>
        </w:rPr>
      </w:pPr>
      <w:r>
        <w:pict w14:anchorId="6B1893CA">
          <v:shape id="_x0000_s1704" type="#_x0000_t202" style="position:absolute;left:0;text-align:left;margin-left:36pt;margin-top:19.4pt;width:6.9pt;height:14.1pt;z-index:251472896;mso-position-horizontal-relative:page" filled="f" stroked="f">
            <v:textbox inset="0,0,0,0">
              <w:txbxContent>
                <w:p w14:paraId="764E3E38" w14:textId="77777777" w:rsidR="00894070" w:rsidRDefault="009B7AFD">
                  <w:pPr>
                    <w:spacing w:line="282" w:lineRule="exact"/>
                    <w:rPr>
                      <w:b/>
                      <w:sz w:val="24"/>
                    </w:rPr>
                  </w:pPr>
                  <w:r>
                    <w:rPr>
                      <w:b/>
                      <w:color w:val="EA5B50"/>
                      <w:sz w:val="24"/>
                    </w:rPr>
                    <w:t>4</w:t>
                  </w:r>
                </w:p>
              </w:txbxContent>
            </v:textbox>
            <w10:wrap anchorx="page"/>
          </v:shape>
        </w:pict>
      </w:r>
      <w:r w:rsidR="009B7AFD">
        <w:rPr>
          <w:color w:val="231F20"/>
          <w:sz w:val="13"/>
        </w:rPr>
        <w:t xml:space="preserve">Marilyn McMahon, Paul </w:t>
      </w:r>
      <w:proofErr w:type="spellStart"/>
      <w:proofErr w:type="gramStart"/>
      <w:r w:rsidR="009B7AFD">
        <w:rPr>
          <w:color w:val="231F20"/>
          <w:spacing w:val="2"/>
          <w:sz w:val="13"/>
        </w:rPr>
        <w:t>McGorrery</w:t>
      </w:r>
      <w:proofErr w:type="spellEnd"/>
      <w:proofErr w:type="gramEnd"/>
      <w:r w:rsidR="009B7AFD">
        <w:rPr>
          <w:color w:val="231F20"/>
          <w:spacing w:val="2"/>
          <w:sz w:val="13"/>
        </w:rPr>
        <w:t xml:space="preserve"> </w:t>
      </w:r>
      <w:r w:rsidR="009B7AFD">
        <w:rPr>
          <w:color w:val="231F20"/>
          <w:sz w:val="13"/>
        </w:rPr>
        <w:t xml:space="preserve">and Kelley Burton, ‘Prosecuting Non-Physical Abuse between Current Intimate </w:t>
      </w:r>
      <w:r w:rsidR="009B7AFD">
        <w:rPr>
          <w:color w:val="231F20"/>
          <w:spacing w:val="2"/>
          <w:sz w:val="13"/>
        </w:rPr>
        <w:t xml:space="preserve">Partners: </w:t>
      </w:r>
      <w:r w:rsidR="009B7AFD">
        <w:rPr>
          <w:color w:val="231F20"/>
          <w:sz w:val="13"/>
        </w:rPr>
        <w:t>Are Stalking Laws an Under-</w:t>
      </w:r>
      <w:proofErr w:type="spellStart"/>
      <w:r w:rsidR="009B7AFD">
        <w:rPr>
          <w:color w:val="231F20"/>
          <w:sz w:val="13"/>
        </w:rPr>
        <w:t>Utilised</w:t>
      </w:r>
      <w:proofErr w:type="spellEnd"/>
      <w:r w:rsidR="009B7AFD">
        <w:rPr>
          <w:color w:val="231F20"/>
          <w:sz w:val="13"/>
        </w:rPr>
        <w:t xml:space="preserve"> Resource?’ (2019) </w:t>
      </w:r>
      <w:r w:rsidR="009B7AFD">
        <w:rPr>
          <w:color w:val="231F20"/>
          <w:spacing w:val="2"/>
          <w:sz w:val="13"/>
        </w:rPr>
        <w:t xml:space="preserve">42(2) </w:t>
      </w:r>
      <w:r w:rsidR="009B7AFD">
        <w:rPr>
          <w:i/>
          <w:color w:val="231F20"/>
          <w:sz w:val="13"/>
        </w:rPr>
        <w:t xml:space="preserve">Melbourne University Law Review </w:t>
      </w:r>
      <w:r w:rsidR="009B7AFD">
        <w:rPr>
          <w:color w:val="231F20"/>
          <w:spacing w:val="2"/>
          <w:sz w:val="13"/>
        </w:rPr>
        <w:t xml:space="preserve">551, 551. </w:t>
      </w:r>
      <w:r w:rsidR="009B7AFD">
        <w:rPr>
          <w:color w:val="231F20"/>
          <w:sz w:val="13"/>
        </w:rPr>
        <w:t xml:space="preserve">In Chapter </w:t>
      </w:r>
      <w:r w:rsidR="009B7AFD">
        <w:rPr>
          <w:color w:val="231F20"/>
          <w:spacing w:val="-5"/>
          <w:sz w:val="13"/>
        </w:rPr>
        <w:t xml:space="preserve">7, </w:t>
      </w:r>
      <w:r w:rsidR="009B7AFD">
        <w:rPr>
          <w:color w:val="231F20"/>
          <w:sz w:val="13"/>
        </w:rPr>
        <w:t xml:space="preserve">we discuss the challenges associated with investigating the </w:t>
      </w:r>
      <w:r w:rsidR="009B7AFD">
        <w:rPr>
          <w:color w:val="231F20"/>
          <w:spacing w:val="2"/>
          <w:sz w:val="13"/>
        </w:rPr>
        <w:t>stalking</w:t>
      </w:r>
      <w:r w:rsidR="009B7AFD">
        <w:rPr>
          <w:color w:val="231F20"/>
          <w:spacing w:val="3"/>
          <w:sz w:val="13"/>
        </w:rPr>
        <w:t xml:space="preserve"> </w:t>
      </w:r>
      <w:r w:rsidR="009B7AFD">
        <w:rPr>
          <w:color w:val="231F20"/>
          <w:sz w:val="13"/>
        </w:rPr>
        <w:t>offence.</w:t>
      </w:r>
    </w:p>
    <w:p w14:paraId="6BB390F7" w14:textId="77777777" w:rsidR="00894070" w:rsidRDefault="009B7AFD">
      <w:pPr>
        <w:pStyle w:val="ListParagraph"/>
        <w:numPr>
          <w:ilvl w:val="0"/>
          <w:numId w:val="176"/>
        </w:numPr>
        <w:tabs>
          <w:tab w:val="left" w:pos="1801"/>
          <w:tab w:val="left" w:pos="1802"/>
        </w:tabs>
        <w:spacing w:line="162" w:lineRule="exact"/>
        <w:rPr>
          <w:sz w:val="13"/>
        </w:rPr>
      </w:pPr>
      <w:r>
        <w:rPr>
          <w:color w:val="231F20"/>
          <w:sz w:val="13"/>
        </w:rPr>
        <w:t xml:space="preserve">See Chapter </w:t>
      </w:r>
      <w:r>
        <w:rPr>
          <w:color w:val="231F20"/>
          <w:spacing w:val="-3"/>
          <w:sz w:val="13"/>
        </w:rPr>
        <w:t>7.</w:t>
      </w:r>
    </w:p>
    <w:p w14:paraId="62CD3DD4" w14:textId="77777777" w:rsidR="00894070" w:rsidRDefault="00894070">
      <w:pPr>
        <w:spacing w:line="162" w:lineRule="exact"/>
        <w:rPr>
          <w:sz w:val="13"/>
        </w:rPr>
        <w:sectPr w:rsidR="00894070">
          <w:pgSz w:w="11910" w:h="16840"/>
          <w:pgMar w:top="860" w:right="420" w:bottom="280" w:left="580" w:header="567" w:footer="0" w:gutter="0"/>
          <w:cols w:space="720"/>
        </w:sectPr>
      </w:pPr>
    </w:p>
    <w:p w14:paraId="76C9CFA5" w14:textId="77777777" w:rsidR="00894070" w:rsidRDefault="00894070">
      <w:pPr>
        <w:pStyle w:val="BodyText"/>
      </w:pPr>
    </w:p>
    <w:p w14:paraId="372FE0C8" w14:textId="77777777" w:rsidR="00894070" w:rsidRDefault="00894070">
      <w:pPr>
        <w:pStyle w:val="BodyText"/>
      </w:pPr>
    </w:p>
    <w:p w14:paraId="42CF2B9A" w14:textId="77777777" w:rsidR="00894070" w:rsidRDefault="00894070">
      <w:pPr>
        <w:pStyle w:val="BodyText"/>
      </w:pPr>
    </w:p>
    <w:p w14:paraId="20C88FB5" w14:textId="77777777" w:rsidR="00894070" w:rsidRDefault="00894070">
      <w:pPr>
        <w:pStyle w:val="BodyText"/>
        <w:spacing w:before="6"/>
        <w:rPr>
          <w:sz w:val="14"/>
        </w:rPr>
      </w:pPr>
    </w:p>
    <w:p w14:paraId="493DE7A6" w14:textId="77777777" w:rsidR="00894070" w:rsidRDefault="009B7AFD">
      <w:pPr>
        <w:pStyle w:val="ListParagraph"/>
        <w:numPr>
          <w:ilvl w:val="1"/>
          <w:numId w:val="177"/>
        </w:numPr>
        <w:tabs>
          <w:tab w:val="left" w:pos="1801"/>
          <w:tab w:val="left" w:pos="1802"/>
        </w:tabs>
        <w:spacing w:before="90" w:line="206" w:lineRule="auto"/>
        <w:ind w:right="1183"/>
        <w:rPr>
          <w:sz w:val="11"/>
        </w:rPr>
      </w:pPr>
      <w:bookmarkStart w:id="20" w:name="How_does_the_response_to_stalking_need_t"/>
      <w:bookmarkStart w:id="21" w:name="_bookmark8"/>
      <w:bookmarkEnd w:id="20"/>
      <w:bookmarkEnd w:id="21"/>
      <w:r>
        <w:rPr>
          <w:color w:val="231F20"/>
          <w:sz w:val="20"/>
        </w:rPr>
        <w:t>The response to stalking does not acknowledge the specific needs of victim survivors of</w:t>
      </w:r>
      <w:r>
        <w:rPr>
          <w:color w:val="231F20"/>
          <w:spacing w:val="-10"/>
          <w:sz w:val="20"/>
        </w:rPr>
        <w:t xml:space="preserve"> </w:t>
      </w:r>
      <w:r>
        <w:rPr>
          <w:color w:val="231F20"/>
          <w:sz w:val="20"/>
        </w:rPr>
        <w:t>stalking,</w:t>
      </w:r>
      <w:r>
        <w:rPr>
          <w:color w:val="231F20"/>
          <w:spacing w:val="-9"/>
          <w:sz w:val="20"/>
        </w:rPr>
        <w:t xml:space="preserve"> </w:t>
      </w:r>
      <w:r>
        <w:rPr>
          <w:color w:val="231F20"/>
          <w:spacing w:val="-2"/>
          <w:sz w:val="20"/>
        </w:rPr>
        <w:t>unlike</w:t>
      </w:r>
      <w:r>
        <w:rPr>
          <w:color w:val="231F20"/>
          <w:spacing w:val="-10"/>
          <w:sz w:val="20"/>
        </w:rPr>
        <w:t xml:space="preserve"> </w:t>
      </w:r>
      <w:r>
        <w:rPr>
          <w:color w:val="231F20"/>
          <w:sz w:val="20"/>
        </w:rPr>
        <w:t>the</w:t>
      </w:r>
      <w:r>
        <w:rPr>
          <w:color w:val="231F20"/>
          <w:spacing w:val="-9"/>
          <w:sz w:val="20"/>
        </w:rPr>
        <w:t xml:space="preserve"> </w:t>
      </w:r>
      <w:r>
        <w:rPr>
          <w:color w:val="231F20"/>
          <w:sz w:val="20"/>
        </w:rPr>
        <w:t>victim</w:t>
      </w:r>
      <w:r>
        <w:rPr>
          <w:color w:val="231F20"/>
          <w:spacing w:val="-10"/>
          <w:sz w:val="20"/>
        </w:rPr>
        <w:t xml:space="preserve"> </w:t>
      </w:r>
      <w:r>
        <w:rPr>
          <w:color w:val="231F20"/>
          <w:sz w:val="20"/>
        </w:rPr>
        <w:t>survivors</w:t>
      </w:r>
      <w:r>
        <w:rPr>
          <w:color w:val="231F20"/>
          <w:spacing w:val="-9"/>
          <w:sz w:val="20"/>
        </w:rPr>
        <w:t xml:space="preserve"> </w:t>
      </w:r>
      <w:r>
        <w:rPr>
          <w:color w:val="231F20"/>
          <w:sz w:val="20"/>
        </w:rPr>
        <w:t>of</w:t>
      </w:r>
      <w:r>
        <w:rPr>
          <w:color w:val="231F20"/>
          <w:spacing w:val="-10"/>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spacing w:val="-10"/>
          <w:sz w:val="20"/>
        </w:rPr>
        <w:t xml:space="preserve"> </w:t>
      </w:r>
      <w:r>
        <w:rPr>
          <w:color w:val="231F20"/>
          <w:sz w:val="20"/>
        </w:rPr>
        <w:t>and</w:t>
      </w:r>
      <w:r>
        <w:rPr>
          <w:color w:val="231F20"/>
          <w:spacing w:val="-9"/>
          <w:sz w:val="20"/>
        </w:rPr>
        <w:t xml:space="preserve"> </w:t>
      </w:r>
      <w:r>
        <w:rPr>
          <w:color w:val="231F20"/>
          <w:sz w:val="20"/>
        </w:rPr>
        <w:t>sexual</w:t>
      </w:r>
      <w:r>
        <w:rPr>
          <w:color w:val="231F20"/>
          <w:spacing w:val="-10"/>
          <w:sz w:val="20"/>
        </w:rPr>
        <w:t xml:space="preserve"> </w:t>
      </w:r>
      <w:r>
        <w:rPr>
          <w:color w:val="231F20"/>
          <w:sz w:val="20"/>
        </w:rPr>
        <w:t>violence.</w:t>
      </w:r>
      <w:r>
        <w:rPr>
          <w:color w:val="231F20"/>
          <w:spacing w:val="-9"/>
          <w:sz w:val="20"/>
        </w:rPr>
        <w:t xml:space="preserve"> </w:t>
      </w:r>
      <w:r>
        <w:rPr>
          <w:color w:val="231F20"/>
          <w:sz w:val="20"/>
        </w:rPr>
        <w:t>But</w:t>
      </w:r>
      <w:r>
        <w:rPr>
          <w:color w:val="231F20"/>
          <w:spacing w:val="-10"/>
          <w:sz w:val="20"/>
        </w:rPr>
        <w:t xml:space="preserve"> </w:t>
      </w:r>
      <w:r>
        <w:rPr>
          <w:color w:val="231F20"/>
          <w:spacing w:val="-3"/>
          <w:sz w:val="20"/>
        </w:rPr>
        <w:t xml:space="preserve">family </w:t>
      </w:r>
      <w:r>
        <w:rPr>
          <w:color w:val="231F20"/>
          <w:spacing w:val="-2"/>
          <w:sz w:val="20"/>
        </w:rPr>
        <w:t xml:space="preserve">violence, </w:t>
      </w:r>
      <w:r>
        <w:rPr>
          <w:color w:val="231F20"/>
          <w:sz w:val="20"/>
        </w:rPr>
        <w:t xml:space="preserve">sexual violence and stalking </w:t>
      </w:r>
      <w:r>
        <w:rPr>
          <w:color w:val="231F20"/>
          <w:spacing w:val="-4"/>
          <w:sz w:val="20"/>
        </w:rPr>
        <w:t xml:space="preserve">have </w:t>
      </w:r>
      <w:r>
        <w:rPr>
          <w:color w:val="231F20"/>
          <w:sz w:val="20"/>
        </w:rPr>
        <w:t xml:space="preserve">some things in common. They can all </w:t>
      </w:r>
      <w:r>
        <w:rPr>
          <w:color w:val="231F20"/>
          <w:spacing w:val="-5"/>
          <w:sz w:val="20"/>
        </w:rPr>
        <w:t xml:space="preserve">involve </w:t>
      </w:r>
      <w:r>
        <w:rPr>
          <w:color w:val="231F20"/>
          <w:sz w:val="20"/>
        </w:rPr>
        <w:t xml:space="preserve">the </w:t>
      </w:r>
      <w:r>
        <w:rPr>
          <w:color w:val="231F20"/>
          <w:spacing w:val="-3"/>
          <w:sz w:val="20"/>
        </w:rPr>
        <w:t xml:space="preserve">exercise </w:t>
      </w:r>
      <w:r>
        <w:rPr>
          <w:color w:val="231F20"/>
          <w:sz w:val="20"/>
        </w:rPr>
        <w:t xml:space="preserve">of </w:t>
      </w:r>
      <w:r>
        <w:rPr>
          <w:color w:val="231F20"/>
          <w:spacing w:val="-3"/>
          <w:sz w:val="20"/>
        </w:rPr>
        <w:t xml:space="preserve">power by </w:t>
      </w:r>
      <w:r>
        <w:rPr>
          <w:color w:val="231F20"/>
          <w:sz w:val="20"/>
        </w:rPr>
        <w:t xml:space="preserve">one person </w:t>
      </w:r>
      <w:r>
        <w:rPr>
          <w:color w:val="231F20"/>
          <w:spacing w:val="-4"/>
          <w:sz w:val="20"/>
        </w:rPr>
        <w:t xml:space="preserve">over </w:t>
      </w:r>
      <w:r>
        <w:rPr>
          <w:color w:val="231F20"/>
          <w:spacing w:val="-3"/>
          <w:sz w:val="20"/>
        </w:rPr>
        <w:t>another.</w:t>
      </w:r>
      <w:r>
        <w:rPr>
          <w:color w:val="231F20"/>
          <w:spacing w:val="-3"/>
          <w:position w:val="7"/>
          <w:sz w:val="11"/>
        </w:rPr>
        <w:t xml:space="preserve">13 </w:t>
      </w:r>
      <w:r>
        <w:rPr>
          <w:color w:val="231F20"/>
          <w:sz w:val="20"/>
        </w:rPr>
        <w:t xml:space="preserve">Many of the impacts can be </w:t>
      </w:r>
      <w:r>
        <w:rPr>
          <w:color w:val="231F20"/>
          <w:spacing w:val="-3"/>
          <w:sz w:val="20"/>
        </w:rPr>
        <w:t xml:space="preserve">similar, </w:t>
      </w:r>
      <w:r>
        <w:rPr>
          <w:color w:val="231F20"/>
          <w:sz w:val="20"/>
        </w:rPr>
        <w:t xml:space="preserve">including isolation </w:t>
      </w:r>
      <w:r>
        <w:rPr>
          <w:color w:val="231F20"/>
          <w:spacing w:val="-3"/>
          <w:sz w:val="20"/>
        </w:rPr>
        <w:t xml:space="preserve">from </w:t>
      </w:r>
      <w:r>
        <w:rPr>
          <w:color w:val="231F20"/>
          <w:sz w:val="20"/>
        </w:rPr>
        <w:t>others and</w:t>
      </w:r>
      <w:r>
        <w:rPr>
          <w:color w:val="231F20"/>
          <w:spacing w:val="-20"/>
          <w:sz w:val="20"/>
        </w:rPr>
        <w:t xml:space="preserve"> </w:t>
      </w:r>
      <w:r>
        <w:rPr>
          <w:color w:val="231F20"/>
          <w:spacing w:val="-3"/>
          <w:sz w:val="20"/>
        </w:rPr>
        <w:t>fear.</w:t>
      </w:r>
      <w:r>
        <w:rPr>
          <w:color w:val="231F20"/>
          <w:spacing w:val="-3"/>
          <w:position w:val="7"/>
          <w:sz w:val="11"/>
        </w:rPr>
        <w:t>14</w:t>
      </w:r>
    </w:p>
    <w:p w14:paraId="66EC9D6D" w14:textId="77777777" w:rsidR="00894070" w:rsidRDefault="009B7AFD">
      <w:pPr>
        <w:pStyle w:val="ListParagraph"/>
        <w:numPr>
          <w:ilvl w:val="1"/>
          <w:numId w:val="177"/>
        </w:numPr>
        <w:tabs>
          <w:tab w:val="left" w:pos="1801"/>
          <w:tab w:val="left" w:pos="1802"/>
        </w:tabs>
        <w:spacing w:before="126" w:line="206" w:lineRule="auto"/>
        <w:ind w:right="1293"/>
        <w:rPr>
          <w:sz w:val="20"/>
        </w:rPr>
      </w:pPr>
      <w:r>
        <w:rPr>
          <w:color w:val="231F20"/>
          <w:sz w:val="20"/>
        </w:rPr>
        <w:t>The</w:t>
      </w:r>
      <w:r>
        <w:rPr>
          <w:color w:val="231F20"/>
          <w:spacing w:val="-8"/>
          <w:sz w:val="20"/>
        </w:rPr>
        <w:t xml:space="preserve"> </w:t>
      </w:r>
      <w:r>
        <w:rPr>
          <w:color w:val="231F20"/>
          <w:sz w:val="20"/>
        </w:rPr>
        <w:t>victim</w:t>
      </w:r>
      <w:r>
        <w:rPr>
          <w:color w:val="231F20"/>
          <w:spacing w:val="-7"/>
          <w:sz w:val="20"/>
        </w:rPr>
        <w:t xml:space="preserve"> </w:t>
      </w:r>
      <w:r>
        <w:rPr>
          <w:color w:val="231F20"/>
          <w:sz w:val="20"/>
        </w:rPr>
        <w:t>survivors</w:t>
      </w:r>
      <w:r>
        <w:rPr>
          <w:color w:val="231F20"/>
          <w:spacing w:val="-8"/>
          <w:sz w:val="20"/>
        </w:rPr>
        <w:t xml:space="preserve"> </w:t>
      </w:r>
      <w:r>
        <w:rPr>
          <w:color w:val="231F20"/>
          <w:sz w:val="20"/>
        </w:rPr>
        <w:t>of</w:t>
      </w:r>
      <w:r>
        <w:rPr>
          <w:color w:val="231F20"/>
          <w:spacing w:val="-7"/>
          <w:sz w:val="20"/>
        </w:rPr>
        <w:t xml:space="preserve"> </w:t>
      </w:r>
      <w:r>
        <w:rPr>
          <w:color w:val="231F20"/>
          <w:spacing w:val="-3"/>
          <w:sz w:val="20"/>
        </w:rPr>
        <w:t>family</w:t>
      </w:r>
      <w:r>
        <w:rPr>
          <w:color w:val="231F20"/>
          <w:spacing w:val="-7"/>
          <w:sz w:val="20"/>
        </w:rPr>
        <w:t xml:space="preserve"> </w:t>
      </w:r>
      <w:r>
        <w:rPr>
          <w:color w:val="231F20"/>
          <w:sz w:val="20"/>
        </w:rPr>
        <w:t>violence</w:t>
      </w:r>
      <w:r>
        <w:rPr>
          <w:color w:val="231F20"/>
          <w:spacing w:val="-8"/>
          <w:sz w:val="20"/>
        </w:rPr>
        <w:t xml:space="preserve"> </w:t>
      </w:r>
      <w:r>
        <w:rPr>
          <w:color w:val="231F20"/>
          <w:sz w:val="20"/>
        </w:rPr>
        <w:t>and</w:t>
      </w:r>
      <w:r>
        <w:rPr>
          <w:color w:val="231F20"/>
          <w:spacing w:val="-7"/>
          <w:sz w:val="20"/>
        </w:rPr>
        <w:t xml:space="preserve"> </w:t>
      </w:r>
      <w:r>
        <w:rPr>
          <w:color w:val="231F20"/>
          <w:spacing w:val="-3"/>
          <w:sz w:val="20"/>
        </w:rPr>
        <w:t>sexual</w:t>
      </w:r>
      <w:r>
        <w:rPr>
          <w:color w:val="231F20"/>
          <w:spacing w:val="-8"/>
          <w:sz w:val="20"/>
        </w:rPr>
        <w:t xml:space="preserve"> </w:t>
      </w:r>
      <w:r>
        <w:rPr>
          <w:color w:val="231F20"/>
          <w:sz w:val="20"/>
        </w:rPr>
        <w:t>violence</w:t>
      </w:r>
      <w:r>
        <w:rPr>
          <w:color w:val="231F20"/>
          <w:spacing w:val="-7"/>
          <w:sz w:val="20"/>
        </w:rPr>
        <w:t xml:space="preserve"> </w:t>
      </w:r>
      <w:r>
        <w:rPr>
          <w:color w:val="231F20"/>
          <w:spacing w:val="-3"/>
          <w:sz w:val="20"/>
        </w:rPr>
        <w:t>receive</w:t>
      </w:r>
      <w:r>
        <w:rPr>
          <w:color w:val="231F20"/>
          <w:spacing w:val="-7"/>
          <w:sz w:val="20"/>
        </w:rPr>
        <w:t xml:space="preserve"> </w:t>
      </w:r>
      <w:r>
        <w:rPr>
          <w:color w:val="231F20"/>
          <w:sz w:val="20"/>
        </w:rPr>
        <w:t>special</w:t>
      </w:r>
      <w:r>
        <w:rPr>
          <w:color w:val="231F20"/>
          <w:spacing w:val="-8"/>
          <w:sz w:val="20"/>
        </w:rPr>
        <w:t xml:space="preserve"> </w:t>
      </w:r>
      <w:r>
        <w:rPr>
          <w:color w:val="231F20"/>
          <w:spacing w:val="-3"/>
          <w:sz w:val="20"/>
        </w:rPr>
        <w:t xml:space="preserve">protections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justice</w:t>
      </w:r>
      <w:r>
        <w:rPr>
          <w:color w:val="231F20"/>
          <w:spacing w:val="-8"/>
          <w:sz w:val="20"/>
        </w:rPr>
        <w:t xml:space="preserve"> </w:t>
      </w:r>
      <w:r>
        <w:rPr>
          <w:color w:val="231F20"/>
          <w:sz w:val="20"/>
        </w:rPr>
        <w:t>system.</w:t>
      </w:r>
      <w:r>
        <w:rPr>
          <w:color w:val="231F20"/>
          <w:spacing w:val="-8"/>
          <w:sz w:val="20"/>
        </w:rPr>
        <w:t xml:space="preserve"> </w:t>
      </w:r>
      <w:r>
        <w:rPr>
          <w:color w:val="231F20"/>
          <w:sz w:val="20"/>
        </w:rPr>
        <w:t>They</w:t>
      </w:r>
      <w:r>
        <w:rPr>
          <w:color w:val="231F20"/>
          <w:spacing w:val="-8"/>
          <w:sz w:val="20"/>
        </w:rPr>
        <w:t xml:space="preserve"> </w:t>
      </w:r>
      <w:r>
        <w:rPr>
          <w:color w:val="231F20"/>
          <w:spacing w:val="-3"/>
          <w:sz w:val="20"/>
        </w:rPr>
        <w:t>are</w:t>
      </w:r>
      <w:r>
        <w:rPr>
          <w:color w:val="231F20"/>
          <w:spacing w:val="-8"/>
          <w:sz w:val="20"/>
        </w:rPr>
        <w:t xml:space="preserve"> </w:t>
      </w:r>
      <w:r>
        <w:rPr>
          <w:color w:val="231F20"/>
          <w:sz w:val="20"/>
        </w:rPr>
        <w:t>supported</w:t>
      </w:r>
      <w:r>
        <w:rPr>
          <w:color w:val="231F20"/>
          <w:spacing w:val="-7"/>
          <w:sz w:val="20"/>
        </w:rPr>
        <w:t xml:space="preserve"> </w:t>
      </w:r>
      <w:r>
        <w:rPr>
          <w:color w:val="231F20"/>
          <w:sz w:val="20"/>
        </w:rPr>
        <w:t>to</w:t>
      </w:r>
      <w:r>
        <w:rPr>
          <w:color w:val="231F20"/>
          <w:spacing w:val="-8"/>
          <w:sz w:val="20"/>
        </w:rPr>
        <w:t xml:space="preserve"> </w:t>
      </w:r>
      <w:r>
        <w:rPr>
          <w:color w:val="231F20"/>
          <w:spacing w:val="-3"/>
          <w:sz w:val="20"/>
        </w:rPr>
        <w:t>give</w:t>
      </w:r>
      <w:r>
        <w:rPr>
          <w:color w:val="231F20"/>
          <w:spacing w:val="-8"/>
          <w:sz w:val="20"/>
        </w:rPr>
        <w:t xml:space="preserve"> </w:t>
      </w:r>
      <w:r>
        <w:rPr>
          <w:color w:val="231F20"/>
          <w:sz w:val="20"/>
        </w:rPr>
        <w:t>their</w:t>
      </w:r>
      <w:r>
        <w:rPr>
          <w:color w:val="231F20"/>
          <w:spacing w:val="-8"/>
          <w:sz w:val="20"/>
        </w:rPr>
        <w:t xml:space="preserve"> </w:t>
      </w:r>
      <w:r>
        <w:rPr>
          <w:color w:val="231F20"/>
          <w:sz w:val="20"/>
        </w:rPr>
        <w:t>best</w:t>
      </w:r>
      <w:r>
        <w:rPr>
          <w:color w:val="231F20"/>
          <w:spacing w:val="-8"/>
          <w:sz w:val="20"/>
        </w:rPr>
        <w:t xml:space="preserve"> </w:t>
      </w:r>
      <w:r>
        <w:rPr>
          <w:color w:val="231F20"/>
          <w:spacing w:val="-2"/>
          <w:sz w:val="20"/>
        </w:rPr>
        <w:t>evidence.</w:t>
      </w:r>
      <w:r>
        <w:rPr>
          <w:color w:val="231F20"/>
          <w:spacing w:val="-8"/>
          <w:sz w:val="20"/>
        </w:rPr>
        <w:t xml:space="preserve"> </w:t>
      </w:r>
      <w:r>
        <w:rPr>
          <w:color w:val="231F20"/>
          <w:sz w:val="20"/>
        </w:rPr>
        <w:t>But</w:t>
      </w:r>
      <w:r>
        <w:rPr>
          <w:color w:val="231F20"/>
          <w:spacing w:val="-7"/>
          <w:sz w:val="20"/>
        </w:rPr>
        <w:t xml:space="preserve"> </w:t>
      </w:r>
      <w:r>
        <w:rPr>
          <w:color w:val="231F20"/>
          <w:sz w:val="20"/>
        </w:rPr>
        <w:t>people</w:t>
      </w:r>
      <w:r>
        <w:rPr>
          <w:color w:val="231F20"/>
          <w:spacing w:val="-8"/>
          <w:sz w:val="20"/>
        </w:rPr>
        <w:t xml:space="preserve"> </w:t>
      </w:r>
      <w:r>
        <w:rPr>
          <w:color w:val="231F20"/>
          <w:sz w:val="20"/>
        </w:rPr>
        <w:t xml:space="preserve">who </w:t>
      </w:r>
      <w:r>
        <w:rPr>
          <w:color w:val="231F20"/>
          <w:spacing w:val="-4"/>
          <w:sz w:val="20"/>
        </w:rPr>
        <w:t xml:space="preserve">have </w:t>
      </w:r>
      <w:r>
        <w:rPr>
          <w:color w:val="231F20"/>
          <w:sz w:val="20"/>
        </w:rPr>
        <w:t xml:space="preserve">experienced non-family violence stalking </w:t>
      </w:r>
      <w:r>
        <w:rPr>
          <w:color w:val="231F20"/>
          <w:spacing w:val="-4"/>
          <w:sz w:val="20"/>
        </w:rPr>
        <w:t xml:space="preserve">have </w:t>
      </w:r>
      <w:r>
        <w:rPr>
          <w:color w:val="231F20"/>
          <w:sz w:val="20"/>
        </w:rPr>
        <w:t xml:space="preserve">far less </w:t>
      </w:r>
      <w:r>
        <w:rPr>
          <w:color w:val="231F20"/>
          <w:spacing w:val="-3"/>
          <w:sz w:val="20"/>
        </w:rPr>
        <w:t xml:space="preserve">protection </w:t>
      </w:r>
      <w:r>
        <w:rPr>
          <w:color w:val="231F20"/>
          <w:sz w:val="20"/>
        </w:rPr>
        <w:t>and support.</w:t>
      </w:r>
      <w:r>
        <w:rPr>
          <w:color w:val="231F20"/>
          <w:position w:val="7"/>
          <w:sz w:val="11"/>
        </w:rPr>
        <w:t>15</w:t>
      </w:r>
      <w:r>
        <w:rPr>
          <w:color w:val="231F20"/>
          <w:sz w:val="11"/>
        </w:rPr>
        <w:t xml:space="preserve"> </w:t>
      </w:r>
      <w:r>
        <w:rPr>
          <w:color w:val="231F20"/>
          <w:sz w:val="20"/>
        </w:rPr>
        <w:t>This</w:t>
      </w:r>
      <w:r>
        <w:rPr>
          <w:color w:val="231F20"/>
          <w:spacing w:val="-5"/>
          <w:sz w:val="20"/>
        </w:rPr>
        <w:t xml:space="preserve"> </w:t>
      </w:r>
      <w:r>
        <w:rPr>
          <w:color w:val="231F20"/>
          <w:sz w:val="20"/>
        </w:rPr>
        <w:t>should</w:t>
      </w:r>
      <w:r>
        <w:rPr>
          <w:color w:val="231F20"/>
          <w:spacing w:val="-5"/>
          <w:sz w:val="20"/>
        </w:rPr>
        <w:t xml:space="preserve"> </w:t>
      </w:r>
      <w:r>
        <w:rPr>
          <w:color w:val="231F20"/>
          <w:sz w:val="20"/>
        </w:rPr>
        <w:t>change.</w:t>
      </w:r>
      <w:r>
        <w:rPr>
          <w:color w:val="231F20"/>
          <w:spacing w:val="-4"/>
          <w:sz w:val="20"/>
        </w:rPr>
        <w:t xml:space="preserve"> </w:t>
      </w:r>
      <w:r>
        <w:rPr>
          <w:color w:val="231F20"/>
          <w:spacing w:val="-6"/>
          <w:sz w:val="20"/>
        </w:rPr>
        <w:t>We</w:t>
      </w:r>
      <w:r>
        <w:rPr>
          <w:color w:val="231F20"/>
          <w:spacing w:val="-5"/>
          <w:sz w:val="20"/>
        </w:rPr>
        <w:t xml:space="preserve"> </w:t>
      </w:r>
      <w:r>
        <w:rPr>
          <w:color w:val="231F20"/>
          <w:sz w:val="20"/>
        </w:rPr>
        <w:t>discuss</w:t>
      </w:r>
      <w:r>
        <w:rPr>
          <w:color w:val="231F20"/>
          <w:spacing w:val="-4"/>
          <w:sz w:val="20"/>
        </w:rPr>
        <w:t xml:space="preserve"> </w:t>
      </w:r>
      <w:r>
        <w:rPr>
          <w:color w:val="231F20"/>
          <w:sz w:val="20"/>
        </w:rPr>
        <w:t>this</w:t>
      </w:r>
      <w:r>
        <w:rPr>
          <w:color w:val="231F20"/>
          <w:spacing w:val="-5"/>
          <w:sz w:val="20"/>
        </w:rPr>
        <w:t xml:space="preserve"> </w:t>
      </w:r>
      <w:r>
        <w:rPr>
          <w:color w:val="231F20"/>
          <w:sz w:val="20"/>
        </w:rPr>
        <w:t>further</w:t>
      </w:r>
      <w:r>
        <w:rPr>
          <w:color w:val="231F20"/>
          <w:spacing w:val="-5"/>
          <w:sz w:val="20"/>
        </w:rPr>
        <w:t xml:space="preserve"> </w:t>
      </w:r>
      <w:r>
        <w:rPr>
          <w:color w:val="231F20"/>
          <w:sz w:val="20"/>
        </w:rPr>
        <w:t>in</w:t>
      </w:r>
      <w:r>
        <w:rPr>
          <w:color w:val="231F20"/>
          <w:spacing w:val="-4"/>
          <w:sz w:val="20"/>
        </w:rPr>
        <w:t xml:space="preserve"> </w:t>
      </w:r>
      <w:r>
        <w:rPr>
          <w:color w:val="231F20"/>
          <w:spacing w:val="-3"/>
          <w:sz w:val="20"/>
        </w:rPr>
        <w:t>Chapters</w:t>
      </w:r>
      <w:r>
        <w:rPr>
          <w:color w:val="231F20"/>
          <w:spacing w:val="-5"/>
          <w:sz w:val="20"/>
        </w:rPr>
        <w:t xml:space="preserve"> </w:t>
      </w:r>
      <w:r>
        <w:rPr>
          <w:color w:val="231F20"/>
          <w:sz w:val="20"/>
        </w:rPr>
        <w:t>6</w:t>
      </w:r>
      <w:r>
        <w:rPr>
          <w:color w:val="231F20"/>
          <w:spacing w:val="-4"/>
          <w:sz w:val="20"/>
        </w:rPr>
        <w:t xml:space="preserve"> </w:t>
      </w:r>
      <w:r>
        <w:rPr>
          <w:color w:val="231F20"/>
          <w:sz w:val="20"/>
        </w:rPr>
        <w:t>and</w:t>
      </w:r>
      <w:r>
        <w:rPr>
          <w:color w:val="231F20"/>
          <w:spacing w:val="-5"/>
          <w:sz w:val="20"/>
        </w:rPr>
        <w:t xml:space="preserve"> </w:t>
      </w:r>
      <w:r>
        <w:rPr>
          <w:color w:val="231F20"/>
          <w:spacing w:val="-8"/>
          <w:sz w:val="20"/>
        </w:rPr>
        <w:t>7.</w:t>
      </w:r>
    </w:p>
    <w:p w14:paraId="1E603B70" w14:textId="77777777" w:rsidR="00894070" w:rsidRDefault="00894070">
      <w:pPr>
        <w:pStyle w:val="BodyText"/>
        <w:spacing w:before="12"/>
        <w:rPr>
          <w:sz w:val="15"/>
        </w:rPr>
      </w:pPr>
    </w:p>
    <w:p w14:paraId="6CD4ED2F" w14:textId="77777777" w:rsidR="00894070" w:rsidRDefault="009B7AFD">
      <w:pPr>
        <w:pStyle w:val="Heading8"/>
        <w:ind w:left="1007"/>
      </w:pPr>
      <w:r>
        <w:rPr>
          <w:color w:val="231F20"/>
        </w:rPr>
        <w:t>It is unclear how effective the response is</w:t>
      </w:r>
    </w:p>
    <w:p w14:paraId="3F9C1870" w14:textId="77777777" w:rsidR="00894070" w:rsidRDefault="009B7AFD">
      <w:pPr>
        <w:pStyle w:val="ListParagraph"/>
        <w:numPr>
          <w:ilvl w:val="1"/>
          <w:numId w:val="177"/>
        </w:numPr>
        <w:tabs>
          <w:tab w:val="left" w:pos="1801"/>
          <w:tab w:val="left" w:pos="1802"/>
        </w:tabs>
        <w:spacing w:before="127" w:line="206" w:lineRule="auto"/>
        <w:ind w:right="1175"/>
        <w:rPr>
          <w:sz w:val="20"/>
        </w:rPr>
      </w:pPr>
      <w:r>
        <w:rPr>
          <w:color w:val="231F20"/>
          <w:spacing w:val="-4"/>
          <w:sz w:val="20"/>
        </w:rPr>
        <w:t xml:space="preserve">Finally, </w:t>
      </w:r>
      <w:r>
        <w:rPr>
          <w:color w:val="231F20"/>
          <w:sz w:val="20"/>
        </w:rPr>
        <w:t xml:space="preserve">there has been little </w:t>
      </w:r>
      <w:r>
        <w:rPr>
          <w:color w:val="231F20"/>
          <w:spacing w:val="-3"/>
          <w:sz w:val="20"/>
        </w:rPr>
        <w:t xml:space="preserve">evaluation </w:t>
      </w:r>
      <w:r>
        <w:rPr>
          <w:color w:val="231F20"/>
          <w:sz w:val="20"/>
        </w:rPr>
        <w:t xml:space="preserve">of </w:t>
      </w:r>
      <w:r>
        <w:rPr>
          <w:color w:val="231F20"/>
          <w:spacing w:val="-3"/>
          <w:sz w:val="20"/>
        </w:rPr>
        <w:t xml:space="preserve">how effective </w:t>
      </w:r>
      <w:r>
        <w:rPr>
          <w:color w:val="231F20"/>
          <w:sz w:val="20"/>
        </w:rPr>
        <w:t xml:space="preserve">the criminal or civil responses </w:t>
      </w:r>
      <w:r>
        <w:rPr>
          <w:color w:val="231F20"/>
          <w:spacing w:val="-3"/>
          <w:sz w:val="20"/>
        </w:rPr>
        <w:t>are</w:t>
      </w:r>
      <w:r>
        <w:rPr>
          <w:color w:val="231F20"/>
          <w:spacing w:val="-9"/>
          <w:sz w:val="20"/>
        </w:rPr>
        <w:t xml:space="preserve"> </w:t>
      </w:r>
      <w:r>
        <w:rPr>
          <w:color w:val="231F20"/>
          <w:sz w:val="20"/>
        </w:rPr>
        <w:t>to</w:t>
      </w:r>
      <w:r>
        <w:rPr>
          <w:color w:val="231F20"/>
          <w:spacing w:val="-8"/>
          <w:sz w:val="20"/>
        </w:rPr>
        <w:t xml:space="preserve"> </w:t>
      </w:r>
      <w:r>
        <w:rPr>
          <w:color w:val="231F20"/>
          <w:spacing w:val="-4"/>
          <w:sz w:val="20"/>
        </w:rPr>
        <w:t>prevent</w:t>
      </w:r>
      <w:r>
        <w:rPr>
          <w:color w:val="231F20"/>
          <w:spacing w:val="-9"/>
          <w:sz w:val="20"/>
        </w:rPr>
        <w:t xml:space="preserve"> </w:t>
      </w:r>
      <w:r>
        <w:rPr>
          <w:color w:val="231F20"/>
          <w:sz w:val="20"/>
        </w:rPr>
        <w:t>stalking.</w:t>
      </w:r>
      <w:r>
        <w:rPr>
          <w:color w:val="231F20"/>
          <w:position w:val="7"/>
          <w:sz w:val="11"/>
        </w:rPr>
        <w:t>16</w:t>
      </w:r>
      <w:r>
        <w:rPr>
          <w:color w:val="231F20"/>
          <w:spacing w:val="16"/>
          <w:position w:val="7"/>
          <w:sz w:val="11"/>
        </w:rPr>
        <w:t xml:space="preserve"> </w:t>
      </w:r>
      <w:r>
        <w:rPr>
          <w:color w:val="231F20"/>
          <w:sz w:val="20"/>
        </w:rPr>
        <w:t>There</w:t>
      </w:r>
      <w:r>
        <w:rPr>
          <w:color w:val="231F20"/>
          <w:spacing w:val="-9"/>
          <w:sz w:val="20"/>
        </w:rPr>
        <w:t xml:space="preserve"> </w:t>
      </w:r>
      <w:r>
        <w:rPr>
          <w:color w:val="231F20"/>
          <w:spacing w:val="-3"/>
          <w:sz w:val="20"/>
        </w:rPr>
        <w:t>are</w:t>
      </w:r>
      <w:r>
        <w:rPr>
          <w:color w:val="231F20"/>
          <w:spacing w:val="-8"/>
          <w:sz w:val="20"/>
        </w:rPr>
        <w:t xml:space="preserve"> </w:t>
      </w:r>
      <w:r>
        <w:rPr>
          <w:color w:val="231F20"/>
          <w:sz w:val="20"/>
        </w:rPr>
        <w:t>signs</w:t>
      </w:r>
      <w:r>
        <w:rPr>
          <w:color w:val="231F20"/>
          <w:spacing w:val="-9"/>
          <w:sz w:val="20"/>
        </w:rPr>
        <w:t xml:space="preserve"> </w:t>
      </w:r>
      <w:r>
        <w:rPr>
          <w:color w:val="231F20"/>
          <w:sz w:val="20"/>
        </w:rPr>
        <w:t>that</w:t>
      </w:r>
      <w:r>
        <w:rPr>
          <w:color w:val="231F20"/>
          <w:spacing w:val="-8"/>
          <w:sz w:val="20"/>
        </w:rPr>
        <w:t xml:space="preserve"> </w:t>
      </w:r>
      <w:r>
        <w:rPr>
          <w:color w:val="231F20"/>
          <w:sz w:val="20"/>
        </w:rPr>
        <w:t>these</w:t>
      </w:r>
      <w:r>
        <w:rPr>
          <w:color w:val="231F20"/>
          <w:spacing w:val="-8"/>
          <w:sz w:val="20"/>
        </w:rPr>
        <w:t xml:space="preserve"> </w:t>
      </w:r>
      <w:r>
        <w:rPr>
          <w:color w:val="231F20"/>
          <w:sz w:val="20"/>
        </w:rPr>
        <w:t>responses</w:t>
      </w:r>
      <w:r>
        <w:rPr>
          <w:color w:val="231F20"/>
          <w:spacing w:val="-9"/>
          <w:sz w:val="20"/>
        </w:rPr>
        <w:t xml:space="preserve"> </w:t>
      </w:r>
      <w:r>
        <w:rPr>
          <w:color w:val="231F20"/>
          <w:spacing w:val="-3"/>
          <w:sz w:val="20"/>
        </w:rPr>
        <w:t>are</w:t>
      </w:r>
      <w:r>
        <w:rPr>
          <w:color w:val="231F20"/>
          <w:spacing w:val="-9"/>
          <w:sz w:val="20"/>
        </w:rPr>
        <w:t xml:space="preserve"> </w:t>
      </w:r>
      <w:r>
        <w:rPr>
          <w:color w:val="231F20"/>
          <w:sz w:val="20"/>
        </w:rPr>
        <w:t>not</w:t>
      </w:r>
      <w:r>
        <w:rPr>
          <w:color w:val="231F20"/>
          <w:spacing w:val="-9"/>
          <w:sz w:val="20"/>
        </w:rPr>
        <w:t xml:space="preserve"> </w:t>
      </w:r>
      <w:r>
        <w:rPr>
          <w:color w:val="231F20"/>
          <w:sz w:val="20"/>
        </w:rPr>
        <w:t>working</w:t>
      </w:r>
      <w:r>
        <w:rPr>
          <w:color w:val="231F20"/>
          <w:spacing w:val="-8"/>
          <w:sz w:val="20"/>
        </w:rPr>
        <w:t xml:space="preserve"> </w:t>
      </w:r>
      <w:r>
        <w:rPr>
          <w:color w:val="231F20"/>
          <w:sz w:val="20"/>
        </w:rPr>
        <w:t>well.</w:t>
      </w:r>
      <w:r>
        <w:rPr>
          <w:color w:val="231F20"/>
          <w:spacing w:val="-9"/>
          <w:sz w:val="20"/>
        </w:rPr>
        <w:t xml:space="preserve"> </w:t>
      </w:r>
      <w:r>
        <w:rPr>
          <w:color w:val="231F20"/>
          <w:sz w:val="20"/>
        </w:rPr>
        <w:t xml:space="preserve">Half of all people sentenced </w:t>
      </w:r>
      <w:r>
        <w:rPr>
          <w:color w:val="231F20"/>
          <w:spacing w:val="-3"/>
          <w:sz w:val="20"/>
        </w:rPr>
        <w:t xml:space="preserve">for </w:t>
      </w:r>
      <w:r>
        <w:rPr>
          <w:color w:val="231F20"/>
          <w:sz w:val="20"/>
        </w:rPr>
        <w:t xml:space="preserve">stalking </w:t>
      </w:r>
      <w:r>
        <w:rPr>
          <w:color w:val="231F20"/>
          <w:spacing w:val="-3"/>
          <w:sz w:val="20"/>
        </w:rPr>
        <w:t xml:space="preserve">reoffend </w:t>
      </w:r>
      <w:r>
        <w:rPr>
          <w:color w:val="231F20"/>
          <w:sz w:val="20"/>
        </w:rPr>
        <w:t>within four years.</w:t>
      </w:r>
      <w:r>
        <w:rPr>
          <w:color w:val="231F20"/>
          <w:position w:val="7"/>
          <w:sz w:val="11"/>
        </w:rPr>
        <w:t xml:space="preserve">17 </w:t>
      </w:r>
      <w:r>
        <w:rPr>
          <w:color w:val="231F20"/>
          <w:sz w:val="20"/>
        </w:rPr>
        <w:t xml:space="preserve">And PSIOs, which </w:t>
      </w:r>
      <w:r>
        <w:rPr>
          <w:color w:val="231F20"/>
          <w:spacing w:val="-3"/>
          <w:sz w:val="20"/>
        </w:rPr>
        <w:t xml:space="preserve">are </w:t>
      </w:r>
      <w:r>
        <w:rPr>
          <w:color w:val="231F20"/>
          <w:sz w:val="20"/>
        </w:rPr>
        <w:t xml:space="preserve">the main civil response to stalking, </w:t>
      </w:r>
      <w:r>
        <w:rPr>
          <w:color w:val="231F20"/>
          <w:spacing w:val="-3"/>
          <w:sz w:val="20"/>
        </w:rPr>
        <w:t xml:space="preserve">are </w:t>
      </w:r>
      <w:r>
        <w:rPr>
          <w:color w:val="231F20"/>
          <w:sz w:val="20"/>
        </w:rPr>
        <w:t>often breached.</w:t>
      </w:r>
      <w:r>
        <w:rPr>
          <w:color w:val="231F20"/>
          <w:position w:val="7"/>
          <w:sz w:val="11"/>
        </w:rPr>
        <w:t xml:space="preserve">18 </w:t>
      </w:r>
      <w:r>
        <w:rPr>
          <w:color w:val="231F20"/>
          <w:sz w:val="20"/>
        </w:rPr>
        <w:t>Our recommendations aim to make the response to stalking more</w:t>
      </w:r>
      <w:r>
        <w:rPr>
          <w:color w:val="231F20"/>
          <w:spacing w:val="-28"/>
          <w:sz w:val="20"/>
        </w:rPr>
        <w:t xml:space="preserve"> </w:t>
      </w:r>
      <w:r>
        <w:rPr>
          <w:color w:val="231F20"/>
          <w:spacing w:val="-3"/>
          <w:sz w:val="20"/>
        </w:rPr>
        <w:t>effective.</w:t>
      </w:r>
    </w:p>
    <w:p w14:paraId="62625DF9" w14:textId="77777777" w:rsidR="00894070" w:rsidRDefault="00894070">
      <w:pPr>
        <w:pStyle w:val="BodyText"/>
        <w:spacing w:before="10"/>
        <w:rPr>
          <w:sz w:val="16"/>
        </w:rPr>
      </w:pPr>
    </w:p>
    <w:p w14:paraId="72BBF8C3" w14:textId="77777777" w:rsidR="00894070" w:rsidRDefault="009B7AFD">
      <w:pPr>
        <w:pStyle w:val="Heading7"/>
      </w:pPr>
      <w:r>
        <w:rPr>
          <w:color w:val="EA5B50"/>
        </w:rPr>
        <w:t>How does the response to stalking need to change?</w:t>
      </w:r>
    </w:p>
    <w:p w14:paraId="304352D7" w14:textId="77777777" w:rsidR="00894070" w:rsidRDefault="009B7AFD">
      <w:pPr>
        <w:pStyle w:val="ListParagraph"/>
        <w:numPr>
          <w:ilvl w:val="1"/>
          <w:numId w:val="177"/>
        </w:numPr>
        <w:tabs>
          <w:tab w:val="left" w:pos="1801"/>
          <w:tab w:val="left" w:pos="1802"/>
        </w:tabs>
        <w:spacing w:before="114"/>
        <w:rPr>
          <w:sz w:val="20"/>
        </w:rPr>
      </w:pPr>
      <w:r>
        <w:rPr>
          <w:color w:val="231F20"/>
          <w:spacing w:val="-10"/>
          <w:sz w:val="20"/>
        </w:rPr>
        <w:t>To</w:t>
      </w:r>
      <w:r>
        <w:rPr>
          <w:color w:val="231F20"/>
          <w:spacing w:val="-5"/>
          <w:sz w:val="20"/>
        </w:rPr>
        <w:t xml:space="preserve"> </w:t>
      </w:r>
      <w:r>
        <w:rPr>
          <w:color w:val="231F20"/>
          <w:sz w:val="20"/>
        </w:rPr>
        <w:t>help</w:t>
      </w:r>
      <w:r>
        <w:rPr>
          <w:color w:val="231F20"/>
          <w:spacing w:val="-5"/>
          <w:sz w:val="20"/>
        </w:rPr>
        <w:t xml:space="preserve"> </w:t>
      </w:r>
      <w:r>
        <w:rPr>
          <w:color w:val="231F20"/>
          <w:sz w:val="20"/>
        </w:rPr>
        <w:t>people</w:t>
      </w:r>
      <w:r>
        <w:rPr>
          <w:color w:val="231F20"/>
          <w:spacing w:val="-4"/>
          <w:sz w:val="20"/>
        </w:rPr>
        <w:t xml:space="preserve"> </w:t>
      </w:r>
      <w:r>
        <w:rPr>
          <w:color w:val="231F20"/>
          <w:sz w:val="20"/>
        </w:rPr>
        <w:t>understand</w:t>
      </w:r>
      <w:r>
        <w:rPr>
          <w:color w:val="231F20"/>
          <w:spacing w:val="-5"/>
          <w:sz w:val="20"/>
        </w:rPr>
        <w:t xml:space="preserve"> </w:t>
      </w:r>
      <w:r>
        <w:rPr>
          <w:color w:val="231F20"/>
          <w:sz w:val="20"/>
        </w:rPr>
        <w:t>stalking</w:t>
      </w:r>
      <w:r>
        <w:rPr>
          <w:color w:val="231F20"/>
          <w:spacing w:val="-5"/>
          <w:sz w:val="20"/>
        </w:rPr>
        <w:t xml:space="preserve"> </w:t>
      </w:r>
      <w:r>
        <w:rPr>
          <w:color w:val="231F20"/>
          <w:sz w:val="20"/>
        </w:rPr>
        <w:t>and</w:t>
      </w:r>
      <w:r>
        <w:rPr>
          <w:color w:val="231F20"/>
          <w:spacing w:val="-4"/>
          <w:sz w:val="20"/>
        </w:rPr>
        <w:t xml:space="preserve"> </w:t>
      </w:r>
      <w:r>
        <w:rPr>
          <w:color w:val="231F20"/>
          <w:spacing w:val="-3"/>
          <w:sz w:val="20"/>
        </w:rPr>
        <w:t>know</w:t>
      </w:r>
      <w:r>
        <w:rPr>
          <w:color w:val="231F20"/>
          <w:spacing w:val="-5"/>
          <w:sz w:val="20"/>
        </w:rPr>
        <w:t xml:space="preserve"> </w:t>
      </w:r>
      <w:r>
        <w:rPr>
          <w:color w:val="231F20"/>
          <w:sz w:val="20"/>
        </w:rPr>
        <w:t>what</w:t>
      </w:r>
      <w:r>
        <w:rPr>
          <w:color w:val="231F20"/>
          <w:spacing w:val="-4"/>
          <w:sz w:val="20"/>
        </w:rPr>
        <w:t xml:space="preserve"> </w:t>
      </w:r>
      <w:r>
        <w:rPr>
          <w:color w:val="231F20"/>
          <w:sz w:val="20"/>
        </w:rPr>
        <w:t>to</w:t>
      </w:r>
      <w:r>
        <w:rPr>
          <w:color w:val="231F20"/>
          <w:spacing w:val="-5"/>
          <w:sz w:val="20"/>
        </w:rPr>
        <w:t xml:space="preserve"> </w:t>
      </w:r>
      <w:r>
        <w:rPr>
          <w:color w:val="231F20"/>
          <w:sz w:val="20"/>
        </w:rPr>
        <w:t>do</w:t>
      </w:r>
      <w:r>
        <w:rPr>
          <w:color w:val="231F20"/>
          <w:spacing w:val="-5"/>
          <w:sz w:val="20"/>
        </w:rPr>
        <w:t xml:space="preserve"> </w:t>
      </w:r>
      <w:r>
        <w:rPr>
          <w:color w:val="231F20"/>
          <w:sz w:val="20"/>
        </w:rPr>
        <w:t>about</w:t>
      </w:r>
      <w:r>
        <w:rPr>
          <w:color w:val="231F20"/>
          <w:spacing w:val="-4"/>
          <w:sz w:val="20"/>
        </w:rPr>
        <w:t xml:space="preserve"> </w:t>
      </w:r>
      <w:r>
        <w:rPr>
          <w:color w:val="231F20"/>
          <w:sz w:val="20"/>
        </w:rPr>
        <w:t>it:</w:t>
      </w:r>
    </w:p>
    <w:p w14:paraId="21CDE1A4" w14:textId="77777777" w:rsidR="00894070" w:rsidRDefault="009B7AFD">
      <w:pPr>
        <w:pStyle w:val="ListParagraph"/>
        <w:numPr>
          <w:ilvl w:val="2"/>
          <w:numId w:val="177"/>
        </w:numPr>
        <w:tabs>
          <w:tab w:val="left" w:pos="2141"/>
          <w:tab w:val="left" w:pos="2142"/>
        </w:tabs>
        <w:spacing w:before="82" w:line="259" w:lineRule="exact"/>
        <w:ind w:hanging="340"/>
        <w:rPr>
          <w:sz w:val="20"/>
        </w:rPr>
      </w:pPr>
      <w:r>
        <w:rPr>
          <w:color w:val="231F20"/>
          <w:spacing w:val="-6"/>
          <w:sz w:val="20"/>
        </w:rPr>
        <w:t xml:space="preserve">We </w:t>
      </w:r>
      <w:r>
        <w:rPr>
          <w:color w:val="231F20"/>
          <w:sz w:val="20"/>
        </w:rPr>
        <w:t>recommend</w:t>
      </w:r>
      <w:r>
        <w:rPr>
          <w:color w:val="231F20"/>
          <w:spacing w:val="-6"/>
          <w:sz w:val="20"/>
        </w:rPr>
        <w:t xml:space="preserve"> </w:t>
      </w:r>
      <w:r>
        <w:rPr>
          <w:color w:val="231F20"/>
          <w:sz w:val="20"/>
        </w:rPr>
        <w:t>community</w:t>
      </w:r>
      <w:r>
        <w:rPr>
          <w:color w:val="231F20"/>
          <w:spacing w:val="-6"/>
          <w:sz w:val="20"/>
        </w:rPr>
        <w:t xml:space="preserve"> </w:t>
      </w:r>
      <w:r>
        <w:rPr>
          <w:color w:val="231F20"/>
          <w:sz w:val="20"/>
        </w:rPr>
        <w:t>education</w:t>
      </w:r>
      <w:r>
        <w:rPr>
          <w:color w:val="231F20"/>
          <w:spacing w:val="-5"/>
          <w:sz w:val="20"/>
        </w:rPr>
        <w:t xml:space="preserve"> </w:t>
      </w:r>
      <w:r>
        <w:rPr>
          <w:color w:val="231F20"/>
          <w:sz w:val="20"/>
        </w:rPr>
        <w:t>on</w:t>
      </w:r>
      <w:r>
        <w:rPr>
          <w:color w:val="231F20"/>
          <w:spacing w:val="-6"/>
          <w:sz w:val="20"/>
        </w:rPr>
        <w:t xml:space="preserve"> </w:t>
      </w:r>
      <w:r>
        <w:rPr>
          <w:color w:val="231F20"/>
          <w:sz w:val="20"/>
        </w:rPr>
        <w:t>stalking,</w:t>
      </w:r>
      <w:r>
        <w:rPr>
          <w:color w:val="231F20"/>
          <w:spacing w:val="-6"/>
          <w:sz w:val="20"/>
        </w:rPr>
        <w:t xml:space="preserve"> </w:t>
      </w:r>
      <w:r>
        <w:rPr>
          <w:color w:val="231F20"/>
          <w:sz w:val="20"/>
        </w:rPr>
        <w:t>and</w:t>
      </w:r>
      <w:r>
        <w:rPr>
          <w:color w:val="231F20"/>
          <w:spacing w:val="-6"/>
          <w:sz w:val="20"/>
        </w:rPr>
        <w:t xml:space="preserve"> </w:t>
      </w:r>
      <w:r>
        <w:rPr>
          <w:color w:val="231F20"/>
          <w:sz w:val="20"/>
        </w:rPr>
        <w:t>training</w:t>
      </w:r>
      <w:r>
        <w:rPr>
          <w:color w:val="231F20"/>
          <w:spacing w:val="-5"/>
          <w:sz w:val="20"/>
        </w:rPr>
        <w:t xml:space="preserve"> </w:t>
      </w:r>
      <w:r>
        <w:rPr>
          <w:color w:val="231F20"/>
          <w:sz w:val="20"/>
        </w:rPr>
        <w:t>about</w:t>
      </w:r>
      <w:r>
        <w:rPr>
          <w:color w:val="231F20"/>
          <w:spacing w:val="-6"/>
          <w:sz w:val="20"/>
        </w:rPr>
        <w:t xml:space="preserve"> </w:t>
      </w:r>
      <w:r>
        <w:rPr>
          <w:color w:val="231F20"/>
          <w:sz w:val="20"/>
        </w:rPr>
        <w:t>stalking</w:t>
      </w:r>
      <w:r>
        <w:rPr>
          <w:color w:val="231F20"/>
          <w:spacing w:val="-6"/>
          <w:sz w:val="20"/>
        </w:rPr>
        <w:t xml:space="preserve"> </w:t>
      </w:r>
      <w:r>
        <w:rPr>
          <w:color w:val="231F20"/>
          <w:spacing w:val="-3"/>
          <w:sz w:val="20"/>
        </w:rPr>
        <w:t>for</w:t>
      </w:r>
    </w:p>
    <w:p w14:paraId="72561AC1" w14:textId="77777777" w:rsidR="00894070" w:rsidRDefault="009B7AFD">
      <w:pPr>
        <w:pStyle w:val="BodyText"/>
        <w:spacing w:line="259" w:lineRule="exact"/>
        <w:ind w:left="2141"/>
      </w:pPr>
      <w:r>
        <w:rPr>
          <w:color w:val="231F20"/>
        </w:rPr>
        <w:t>people who work in the justice system (see Chapter 4).</w:t>
      </w:r>
    </w:p>
    <w:p w14:paraId="6C4D5792" w14:textId="77777777" w:rsidR="00894070" w:rsidRDefault="009B7AFD">
      <w:pPr>
        <w:pStyle w:val="ListParagraph"/>
        <w:numPr>
          <w:ilvl w:val="2"/>
          <w:numId w:val="177"/>
        </w:numPr>
        <w:tabs>
          <w:tab w:val="left" w:pos="2141"/>
          <w:tab w:val="left" w:pos="2142"/>
        </w:tabs>
        <w:spacing w:before="80" w:line="206" w:lineRule="auto"/>
        <w:ind w:right="1311" w:hanging="340"/>
        <w:rPr>
          <w:sz w:val="20"/>
        </w:rPr>
      </w:pPr>
      <w:r>
        <w:rPr>
          <w:color w:val="231F20"/>
          <w:spacing w:val="-6"/>
          <w:sz w:val="20"/>
        </w:rPr>
        <w:t>We</w:t>
      </w:r>
      <w:r>
        <w:rPr>
          <w:color w:val="231F20"/>
          <w:spacing w:val="-10"/>
          <w:sz w:val="20"/>
        </w:rPr>
        <w:t xml:space="preserve"> </w:t>
      </w:r>
      <w:r>
        <w:rPr>
          <w:color w:val="231F20"/>
          <w:sz w:val="20"/>
        </w:rPr>
        <w:t>recommend</w:t>
      </w:r>
      <w:r>
        <w:rPr>
          <w:color w:val="231F20"/>
          <w:spacing w:val="-9"/>
          <w:sz w:val="20"/>
        </w:rPr>
        <w:t xml:space="preserve"> </w:t>
      </w:r>
      <w:r>
        <w:rPr>
          <w:color w:val="231F20"/>
          <w:spacing w:val="-3"/>
          <w:sz w:val="20"/>
        </w:rPr>
        <w:t>improving</w:t>
      </w:r>
      <w:r>
        <w:rPr>
          <w:color w:val="231F20"/>
          <w:spacing w:val="-9"/>
          <w:sz w:val="20"/>
        </w:rPr>
        <w:t xml:space="preserve"> </w:t>
      </w:r>
      <w:r>
        <w:rPr>
          <w:color w:val="231F20"/>
          <w:spacing w:val="-3"/>
          <w:sz w:val="20"/>
        </w:rPr>
        <w:t>how</w:t>
      </w:r>
      <w:r>
        <w:rPr>
          <w:color w:val="231F20"/>
          <w:spacing w:val="-9"/>
          <w:sz w:val="20"/>
        </w:rPr>
        <w:t xml:space="preserve"> </w:t>
      </w:r>
      <w:r>
        <w:rPr>
          <w:color w:val="231F20"/>
          <w:sz w:val="20"/>
        </w:rPr>
        <w:t>the</w:t>
      </w:r>
      <w:r>
        <w:rPr>
          <w:color w:val="231F20"/>
          <w:spacing w:val="-9"/>
          <w:sz w:val="20"/>
        </w:rPr>
        <w:t xml:space="preserve"> </w:t>
      </w:r>
      <w:r>
        <w:rPr>
          <w:color w:val="231F20"/>
          <w:sz w:val="20"/>
        </w:rPr>
        <w:t>stalking</w:t>
      </w:r>
      <w:r>
        <w:rPr>
          <w:color w:val="231F20"/>
          <w:spacing w:val="-9"/>
          <w:sz w:val="20"/>
        </w:rPr>
        <w:t xml:space="preserve"> </w:t>
      </w:r>
      <w:r>
        <w:rPr>
          <w:color w:val="231F20"/>
          <w:sz w:val="20"/>
        </w:rPr>
        <w:t>offence</w:t>
      </w:r>
      <w:r>
        <w:rPr>
          <w:color w:val="231F20"/>
          <w:spacing w:val="-9"/>
          <w:sz w:val="20"/>
        </w:rPr>
        <w:t xml:space="preserve"> </w:t>
      </w:r>
      <w:r>
        <w:rPr>
          <w:color w:val="231F20"/>
          <w:sz w:val="20"/>
        </w:rPr>
        <w:t>is</w:t>
      </w:r>
      <w:r>
        <w:rPr>
          <w:color w:val="231F20"/>
          <w:spacing w:val="-9"/>
          <w:sz w:val="20"/>
        </w:rPr>
        <w:t xml:space="preserve"> </w:t>
      </w:r>
      <w:r>
        <w:rPr>
          <w:color w:val="231F20"/>
          <w:sz w:val="20"/>
        </w:rPr>
        <w:t>applied</w:t>
      </w:r>
      <w:r>
        <w:rPr>
          <w:color w:val="231F20"/>
          <w:spacing w:val="-9"/>
          <w:sz w:val="20"/>
        </w:rPr>
        <w:t xml:space="preserve"> </w:t>
      </w:r>
      <w:r>
        <w:rPr>
          <w:color w:val="231F20"/>
          <w:sz w:val="20"/>
        </w:rPr>
        <w:t>and</w:t>
      </w:r>
      <w:r>
        <w:rPr>
          <w:color w:val="231F20"/>
          <w:spacing w:val="-9"/>
          <w:sz w:val="20"/>
        </w:rPr>
        <w:t xml:space="preserve"> </w:t>
      </w:r>
      <w:r>
        <w:rPr>
          <w:color w:val="231F20"/>
          <w:spacing w:val="-3"/>
          <w:sz w:val="20"/>
        </w:rPr>
        <w:t>how</w:t>
      </w:r>
      <w:r>
        <w:rPr>
          <w:color w:val="231F20"/>
          <w:spacing w:val="-9"/>
          <w:sz w:val="20"/>
        </w:rPr>
        <w:t xml:space="preserve"> </w:t>
      </w:r>
      <w:r>
        <w:rPr>
          <w:color w:val="231F20"/>
          <w:sz w:val="20"/>
        </w:rPr>
        <w:t>the</w:t>
      </w:r>
      <w:r>
        <w:rPr>
          <w:color w:val="231F20"/>
          <w:spacing w:val="-9"/>
          <w:sz w:val="20"/>
        </w:rPr>
        <w:t xml:space="preserve"> </w:t>
      </w:r>
      <w:r>
        <w:rPr>
          <w:color w:val="231F20"/>
          <w:sz w:val="20"/>
        </w:rPr>
        <w:t xml:space="preserve">police respond to breaches (see </w:t>
      </w:r>
      <w:r>
        <w:rPr>
          <w:color w:val="231F20"/>
          <w:spacing w:val="-3"/>
          <w:sz w:val="20"/>
        </w:rPr>
        <w:t>Chapter</w:t>
      </w:r>
      <w:r>
        <w:rPr>
          <w:color w:val="231F20"/>
          <w:spacing w:val="-22"/>
          <w:sz w:val="20"/>
        </w:rPr>
        <w:t xml:space="preserve"> </w:t>
      </w:r>
      <w:r>
        <w:rPr>
          <w:color w:val="231F20"/>
          <w:spacing w:val="-4"/>
          <w:sz w:val="20"/>
        </w:rPr>
        <w:t>7).</w:t>
      </w:r>
    </w:p>
    <w:p w14:paraId="6E2566CF" w14:textId="77777777" w:rsidR="00894070" w:rsidRDefault="009B7AFD">
      <w:pPr>
        <w:pStyle w:val="ListParagraph"/>
        <w:numPr>
          <w:ilvl w:val="2"/>
          <w:numId w:val="177"/>
        </w:numPr>
        <w:tabs>
          <w:tab w:val="left" w:pos="2141"/>
          <w:tab w:val="left" w:pos="2142"/>
        </w:tabs>
        <w:spacing w:before="55" w:line="259" w:lineRule="exact"/>
        <w:ind w:hanging="340"/>
        <w:rPr>
          <w:sz w:val="20"/>
        </w:rPr>
      </w:pPr>
      <w:r>
        <w:rPr>
          <w:color w:val="231F20"/>
          <w:spacing w:val="-6"/>
          <w:sz w:val="20"/>
        </w:rPr>
        <w:t xml:space="preserve">We </w:t>
      </w:r>
      <w:r>
        <w:rPr>
          <w:color w:val="231F20"/>
          <w:sz w:val="20"/>
        </w:rPr>
        <w:t>recommend</w:t>
      </w:r>
      <w:r>
        <w:rPr>
          <w:color w:val="231F20"/>
          <w:spacing w:val="-5"/>
          <w:sz w:val="20"/>
        </w:rPr>
        <w:t xml:space="preserve"> </w:t>
      </w:r>
      <w:r>
        <w:rPr>
          <w:color w:val="231F20"/>
          <w:sz w:val="20"/>
        </w:rPr>
        <w:t>guidance</w:t>
      </w:r>
      <w:r>
        <w:rPr>
          <w:color w:val="231F20"/>
          <w:spacing w:val="-5"/>
          <w:sz w:val="20"/>
        </w:rPr>
        <w:t xml:space="preserve"> </w:t>
      </w:r>
      <w:r>
        <w:rPr>
          <w:color w:val="231F20"/>
          <w:sz w:val="20"/>
        </w:rPr>
        <w:t>and</w:t>
      </w:r>
      <w:r>
        <w:rPr>
          <w:color w:val="231F20"/>
          <w:spacing w:val="-5"/>
          <w:sz w:val="20"/>
        </w:rPr>
        <w:t xml:space="preserve"> </w:t>
      </w:r>
      <w:r>
        <w:rPr>
          <w:color w:val="231F20"/>
          <w:sz w:val="20"/>
        </w:rPr>
        <w:t>training</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police</w:t>
      </w:r>
      <w:r>
        <w:rPr>
          <w:color w:val="231F20"/>
          <w:spacing w:val="-5"/>
          <w:sz w:val="20"/>
        </w:rPr>
        <w:t xml:space="preserve"> </w:t>
      </w:r>
      <w:r>
        <w:rPr>
          <w:color w:val="231F20"/>
          <w:sz w:val="20"/>
        </w:rPr>
        <w:t>to</w:t>
      </w:r>
      <w:r>
        <w:rPr>
          <w:color w:val="231F20"/>
          <w:spacing w:val="-5"/>
          <w:sz w:val="20"/>
        </w:rPr>
        <w:t xml:space="preserve"> </w:t>
      </w:r>
      <w:r>
        <w:rPr>
          <w:color w:val="231F20"/>
          <w:sz w:val="20"/>
        </w:rPr>
        <w:t>help</w:t>
      </w:r>
      <w:r>
        <w:rPr>
          <w:color w:val="231F20"/>
          <w:spacing w:val="-5"/>
          <w:sz w:val="20"/>
        </w:rPr>
        <w:t xml:space="preserve"> </w:t>
      </w:r>
      <w:r>
        <w:rPr>
          <w:color w:val="231F20"/>
          <w:sz w:val="20"/>
        </w:rPr>
        <w:t>them</w:t>
      </w:r>
      <w:r>
        <w:rPr>
          <w:color w:val="231F20"/>
          <w:spacing w:val="-6"/>
          <w:sz w:val="20"/>
        </w:rPr>
        <w:t xml:space="preserve"> </w:t>
      </w:r>
      <w:r>
        <w:rPr>
          <w:color w:val="231F20"/>
          <w:sz w:val="20"/>
        </w:rPr>
        <w:t>identify</w:t>
      </w:r>
      <w:r>
        <w:rPr>
          <w:color w:val="231F20"/>
          <w:spacing w:val="-5"/>
          <w:sz w:val="20"/>
        </w:rPr>
        <w:t xml:space="preserve"> </w:t>
      </w:r>
      <w:r>
        <w:rPr>
          <w:color w:val="231F20"/>
          <w:sz w:val="20"/>
        </w:rPr>
        <w:t>and</w:t>
      </w:r>
    </w:p>
    <w:p w14:paraId="2BE60D42" w14:textId="77777777" w:rsidR="00894070" w:rsidRDefault="009B7AFD">
      <w:pPr>
        <w:pStyle w:val="BodyText"/>
        <w:spacing w:line="259" w:lineRule="exact"/>
        <w:ind w:left="2141"/>
        <w:rPr>
          <w:sz w:val="11"/>
        </w:rPr>
      </w:pPr>
      <w:r>
        <w:rPr>
          <w:color w:val="231F20"/>
        </w:rPr>
        <w:t>investigate stalking, as we stated in our interim report.</w:t>
      </w:r>
      <w:r>
        <w:rPr>
          <w:color w:val="231F20"/>
          <w:position w:val="7"/>
          <w:sz w:val="11"/>
        </w:rPr>
        <w:t>19</w:t>
      </w:r>
    </w:p>
    <w:p w14:paraId="339772C5" w14:textId="77777777" w:rsidR="00894070" w:rsidRDefault="009B7AFD">
      <w:pPr>
        <w:pStyle w:val="ListParagraph"/>
        <w:numPr>
          <w:ilvl w:val="1"/>
          <w:numId w:val="177"/>
        </w:numPr>
        <w:tabs>
          <w:tab w:val="left" w:pos="1801"/>
          <w:tab w:val="left" w:pos="1802"/>
        </w:tabs>
        <w:spacing w:before="47"/>
        <w:rPr>
          <w:sz w:val="20"/>
        </w:rPr>
      </w:pPr>
      <w:r>
        <w:rPr>
          <w:color w:val="231F20"/>
          <w:spacing w:val="-10"/>
          <w:sz w:val="20"/>
        </w:rPr>
        <w:t xml:space="preserve">To </w:t>
      </w:r>
      <w:r>
        <w:rPr>
          <w:color w:val="231F20"/>
          <w:spacing w:val="-3"/>
          <w:sz w:val="20"/>
        </w:rPr>
        <w:t xml:space="preserve">provide </w:t>
      </w:r>
      <w:r>
        <w:rPr>
          <w:color w:val="231F20"/>
          <w:sz w:val="20"/>
        </w:rPr>
        <w:t>a more tailored</w:t>
      </w:r>
      <w:r>
        <w:rPr>
          <w:color w:val="231F20"/>
          <w:spacing w:val="-8"/>
          <w:sz w:val="20"/>
        </w:rPr>
        <w:t xml:space="preserve"> </w:t>
      </w:r>
      <w:r>
        <w:rPr>
          <w:color w:val="231F20"/>
          <w:spacing w:val="-3"/>
          <w:sz w:val="20"/>
        </w:rPr>
        <w:t>response:</w:t>
      </w:r>
    </w:p>
    <w:p w14:paraId="541AC895" w14:textId="77777777" w:rsidR="00894070" w:rsidRDefault="009B7AFD">
      <w:pPr>
        <w:pStyle w:val="ListParagraph"/>
        <w:numPr>
          <w:ilvl w:val="2"/>
          <w:numId w:val="177"/>
        </w:numPr>
        <w:tabs>
          <w:tab w:val="left" w:pos="2141"/>
          <w:tab w:val="left" w:pos="2142"/>
        </w:tabs>
        <w:spacing w:before="115" w:line="206" w:lineRule="auto"/>
        <w:ind w:right="1405" w:hanging="340"/>
        <w:rPr>
          <w:sz w:val="20"/>
        </w:rPr>
      </w:pPr>
      <w:r>
        <w:rPr>
          <w:color w:val="231F20"/>
          <w:spacing w:val="-6"/>
          <w:sz w:val="20"/>
        </w:rPr>
        <w:t>We</w:t>
      </w:r>
      <w:r>
        <w:rPr>
          <w:color w:val="231F20"/>
          <w:spacing w:val="-12"/>
          <w:sz w:val="20"/>
        </w:rPr>
        <w:t xml:space="preserve"> </w:t>
      </w:r>
      <w:r>
        <w:rPr>
          <w:color w:val="231F20"/>
          <w:sz w:val="20"/>
        </w:rPr>
        <w:t>make</w:t>
      </w:r>
      <w:r>
        <w:rPr>
          <w:color w:val="231F20"/>
          <w:spacing w:val="-11"/>
          <w:sz w:val="20"/>
        </w:rPr>
        <w:t xml:space="preserve"> </w:t>
      </w:r>
      <w:r>
        <w:rPr>
          <w:color w:val="231F20"/>
          <w:sz w:val="20"/>
        </w:rPr>
        <w:t>recommendations</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the</w:t>
      </w:r>
      <w:r>
        <w:rPr>
          <w:color w:val="231F20"/>
          <w:spacing w:val="-12"/>
          <w:sz w:val="20"/>
        </w:rPr>
        <w:t xml:space="preserve"> </w:t>
      </w:r>
      <w:r>
        <w:rPr>
          <w:color w:val="231F20"/>
          <w:sz w:val="20"/>
        </w:rPr>
        <w:t>civil</w:t>
      </w:r>
      <w:r>
        <w:rPr>
          <w:color w:val="231F20"/>
          <w:spacing w:val="-11"/>
          <w:sz w:val="20"/>
        </w:rPr>
        <w:t xml:space="preserve"> </w:t>
      </w:r>
      <w:r>
        <w:rPr>
          <w:color w:val="231F20"/>
          <w:sz w:val="20"/>
        </w:rPr>
        <w:t>response</w:t>
      </w:r>
      <w:r>
        <w:rPr>
          <w:color w:val="231F20"/>
          <w:spacing w:val="-11"/>
          <w:sz w:val="20"/>
        </w:rPr>
        <w:t xml:space="preserve"> </w:t>
      </w:r>
      <w:r>
        <w:rPr>
          <w:color w:val="231F20"/>
          <w:sz w:val="20"/>
        </w:rPr>
        <w:t>to</w:t>
      </w:r>
      <w:r>
        <w:rPr>
          <w:color w:val="231F20"/>
          <w:spacing w:val="-11"/>
          <w:sz w:val="20"/>
        </w:rPr>
        <w:t xml:space="preserve"> </w:t>
      </w:r>
      <w:r>
        <w:rPr>
          <w:color w:val="231F20"/>
          <w:sz w:val="20"/>
        </w:rPr>
        <w:t>stalking</w:t>
      </w:r>
      <w:r>
        <w:rPr>
          <w:color w:val="231F20"/>
          <w:spacing w:val="-12"/>
          <w:sz w:val="20"/>
        </w:rPr>
        <w:t xml:space="preserve"> </w:t>
      </w:r>
      <w:r>
        <w:rPr>
          <w:color w:val="231F20"/>
          <w:sz w:val="20"/>
        </w:rPr>
        <w:t>to</w:t>
      </w:r>
      <w:r>
        <w:rPr>
          <w:color w:val="231F20"/>
          <w:spacing w:val="-11"/>
          <w:sz w:val="20"/>
        </w:rPr>
        <w:t xml:space="preserve"> </w:t>
      </w:r>
      <w:r>
        <w:rPr>
          <w:color w:val="231F20"/>
          <w:sz w:val="20"/>
        </w:rPr>
        <w:t>be</w:t>
      </w:r>
      <w:r>
        <w:rPr>
          <w:color w:val="231F20"/>
          <w:spacing w:val="-11"/>
          <w:sz w:val="20"/>
        </w:rPr>
        <w:t xml:space="preserve"> </w:t>
      </w:r>
      <w:r>
        <w:rPr>
          <w:color w:val="231F20"/>
          <w:sz w:val="20"/>
        </w:rPr>
        <w:t>more</w:t>
      </w:r>
      <w:r>
        <w:rPr>
          <w:color w:val="231F20"/>
          <w:spacing w:val="-11"/>
          <w:sz w:val="20"/>
        </w:rPr>
        <w:t xml:space="preserve"> </w:t>
      </w:r>
      <w:r>
        <w:rPr>
          <w:color w:val="231F20"/>
          <w:sz w:val="20"/>
        </w:rPr>
        <w:t xml:space="preserve">focused and </w:t>
      </w:r>
      <w:proofErr w:type="spellStart"/>
      <w:r>
        <w:rPr>
          <w:color w:val="231F20"/>
          <w:sz w:val="20"/>
        </w:rPr>
        <w:t>specialised</w:t>
      </w:r>
      <w:proofErr w:type="spellEnd"/>
      <w:r>
        <w:rPr>
          <w:color w:val="231F20"/>
          <w:sz w:val="20"/>
        </w:rPr>
        <w:t xml:space="preserve"> than it is </w:t>
      </w:r>
      <w:r>
        <w:rPr>
          <w:color w:val="231F20"/>
          <w:spacing w:val="-3"/>
          <w:sz w:val="20"/>
        </w:rPr>
        <w:t xml:space="preserve">now </w:t>
      </w:r>
      <w:r>
        <w:rPr>
          <w:color w:val="231F20"/>
          <w:sz w:val="20"/>
        </w:rPr>
        <w:t xml:space="preserve">(see </w:t>
      </w:r>
      <w:r>
        <w:rPr>
          <w:color w:val="231F20"/>
          <w:spacing w:val="-3"/>
          <w:sz w:val="20"/>
        </w:rPr>
        <w:t>Chapter</w:t>
      </w:r>
      <w:r>
        <w:rPr>
          <w:color w:val="231F20"/>
          <w:spacing w:val="-31"/>
          <w:sz w:val="20"/>
        </w:rPr>
        <w:t xml:space="preserve"> </w:t>
      </w:r>
      <w:r>
        <w:rPr>
          <w:color w:val="231F20"/>
          <w:spacing w:val="-4"/>
          <w:sz w:val="20"/>
        </w:rPr>
        <w:t>6).</w:t>
      </w:r>
    </w:p>
    <w:p w14:paraId="228DCDE1" w14:textId="77777777" w:rsidR="00894070" w:rsidRDefault="009B7AFD">
      <w:pPr>
        <w:pStyle w:val="ListParagraph"/>
        <w:numPr>
          <w:ilvl w:val="2"/>
          <w:numId w:val="177"/>
        </w:numPr>
        <w:tabs>
          <w:tab w:val="left" w:pos="2141"/>
          <w:tab w:val="left" w:pos="2142"/>
        </w:tabs>
        <w:spacing w:before="88" w:line="206" w:lineRule="auto"/>
        <w:ind w:right="1295" w:hanging="340"/>
        <w:rPr>
          <w:sz w:val="20"/>
        </w:rPr>
      </w:pPr>
      <w:r>
        <w:rPr>
          <w:color w:val="231F20"/>
          <w:spacing w:val="-6"/>
          <w:sz w:val="20"/>
        </w:rPr>
        <w:t>We</w:t>
      </w:r>
      <w:r>
        <w:rPr>
          <w:color w:val="231F20"/>
          <w:spacing w:val="-8"/>
          <w:sz w:val="20"/>
        </w:rPr>
        <w:t xml:space="preserve"> </w:t>
      </w:r>
      <w:r>
        <w:rPr>
          <w:color w:val="231F20"/>
          <w:sz w:val="20"/>
        </w:rPr>
        <w:t>recommend</w:t>
      </w:r>
      <w:r>
        <w:rPr>
          <w:color w:val="231F20"/>
          <w:spacing w:val="-8"/>
          <w:sz w:val="20"/>
        </w:rPr>
        <w:t xml:space="preserve"> </w:t>
      </w:r>
      <w:r>
        <w:rPr>
          <w:color w:val="231F20"/>
          <w:sz w:val="20"/>
        </w:rPr>
        <w:t>new</w:t>
      </w:r>
      <w:r>
        <w:rPr>
          <w:color w:val="231F20"/>
          <w:spacing w:val="-8"/>
          <w:sz w:val="20"/>
        </w:rPr>
        <w:t xml:space="preserve"> </w:t>
      </w:r>
      <w:r>
        <w:rPr>
          <w:color w:val="231F20"/>
          <w:spacing w:val="-3"/>
          <w:sz w:val="20"/>
        </w:rPr>
        <w:t>protections</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civil</w:t>
      </w:r>
      <w:r>
        <w:rPr>
          <w:color w:val="231F20"/>
          <w:spacing w:val="-8"/>
          <w:sz w:val="20"/>
        </w:rPr>
        <w:t xml:space="preserve"> </w:t>
      </w:r>
      <w:r>
        <w:rPr>
          <w:color w:val="231F20"/>
          <w:sz w:val="20"/>
        </w:rPr>
        <w:t>and</w:t>
      </w:r>
      <w:r>
        <w:rPr>
          <w:color w:val="231F20"/>
          <w:spacing w:val="-8"/>
          <w:sz w:val="20"/>
        </w:rPr>
        <w:t xml:space="preserve"> </w:t>
      </w:r>
      <w:r>
        <w:rPr>
          <w:color w:val="231F20"/>
          <w:sz w:val="20"/>
        </w:rPr>
        <w:t>criminal</w:t>
      </w:r>
      <w:r>
        <w:rPr>
          <w:color w:val="231F20"/>
          <w:spacing w:val="-8"/>
          <w:sz w:val="20"/>
        </w:rPr>
        <w:t xml:space="preserve"> </w:t>
      </w:r>
      <w:r>
        <w:rPr>
          <w:color w:val="231F20"/>
          <w:sz w:val="20"/>
        </w:rPr>
        <w:t>justice</w:t>
      </w:r>
      <w:r>
        <w:rPr>
          <w:color w:val="231F20"/>
          <w:spacing w:val="-8"/>
          <w:sz w:val="20"/>
        </w:rPr>
        <w:t xml:space="preserve"> </w:t>
      </w:r>
      <w:r>
        <w:rPr>
          <w:color w:val="231F20"/>
          <w:spacing w:val="-2"/>
          <w:sz w:val="20"/>
        </w:rPr>
        <w:t>system</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 xml:space="preserve">people who experience stalking (see </w:t>
      </w:r>
      <w:r>
        <w:rPr>
          <w:color w:val="231F20"/>
          <w:spacing w:val="-3"/>
          <w:sz w:val="20"/>
        </w:rPr>
        <w:t xml:space="preserve">Chapters </w:t>
      </w:r>
      <w:r>
        <w:rPr>
          <w:color w:val="231F20"/>
          <w:sz w:val="20"/>
        </w:rPr>
        <w:t>6 and</w:t>
      </w:r>
      <w:r>
        <w:rPr>
          <w:color w:val="231F20"/>
          <w:spacing w:val="-28"/>
          <w:sz w:val="20"/>
        </w:rPr>
        <w:t xml:space="preserve"> </w:t>
      </w:r>
      <w:r>
        <w:rPr>
          <w:color w:val="231F20"/>
          <w:spacing w:val="-4"/>
          <w:sz w:val="20"/>
        </w:rPr>
        <w:t>7).</w:t>
      </w:r>
    </w:p>
    <w:p w14:paraId="351FEABC" w14:textId="77777777" w:rsidR="00894070" w:rsidRDefault="009B7AFD">
      <w:pPr>
        <w:pStyle w:val="ListParagraph"/>
        <w:numPr>
          <w:ilvl w:val="2"/>
          <w:numId w:val="177"/>
        </w:numPr>
        <w:tabs>
          <w:tab w:val="left" w:pos="2141"/>
          <w:tab w:val="left" w:pos="2142"/>
        </w:tabs>
        <w:spacing w:before="87" w:line="206" w:lineRule="auto"/>
        <w:ind w:right="1693" w:hanging="340"/>
        <w:rPr>
          <w:sz w:val="20"/>
        </w:rPr>
      </w:pPr>
      <w:r>
        <w:rPr>
          <w:color w:val="231F20"/>
          <w:spacing w:val="-6"/>
          <w:sz w:val="20"/>
        </w:rPr>
        <w:t>We</w:t>
      </w:r>
      <w:r>
        <w:rPr>
          <w:color w:val="231F20"/>
          <w:spacing w:val="-7"/>
          <w:sz w:val="20"/>
        </w:rPr>
        <w:t xml:space="preserve"> </w:t>
      </w:r>
      <w:r>
        <w:rPr>
          <w:color w:val="231F20"/>
          <w:sz w:val="20"/>
        </w:rPr>
        <w:t>propose</w:t>
      </w:r>
      <w:r>
        <w:rPr>
          <w:color w:val="231F20"/>
          <w:spacing w:val="-6"/>
          <w:sz w:val="20"/>
        </w:rPr>
        <w:t xml:space="preserve"> </w:t>
      </w:r>
      <w:r>
        <w:rPr>
          <w:color w:val="231F20"/>
          <w:sz w:val="20"/>
        </w:rPr>
        <w:t>building</w:t>
      </w:r>
      <w:r>
        <w:rPr>
          <w:color w:val="231F20"/>
          <w:spacing w:val="-7"/>
          <w:sz w:val="20"/>
        </w:rPr>
        <w:t xml:space="preserve"> </w:t>
      </w:r>
      <w:r>
        <w:rPr>
          <w:color w:val="231F20"/>
          <w:spacing w:val="-3"/>
          <w:sz w:val="20"/>
        </w:rPr>
        <w:t>alternative</w:t>
      </w:r>
      <w:r>
        <w:rPr>
          <w:color w:val="231F20"/>
          <w:spacing w:val="-6"/>
          <w:sz w:val="20"/>
        </w:rPr>
        <w:t xml:space="preserve"> </w:t>
      </w:r>
      <w:r>
        <w:rPr>
          <w:color w:val="231F20"/>
          <w:spacing w:val="-4"/>
          <w:sz w:val="20"/>
        </w:rPr>
        <w:t>pathways</w:t>
      </w:r>
      <w:r>
        <w:rPr>
          <w:color w:val="231F20"/>
          <w:spacing w:val="-7"/>
          <w:sz w:val="20"/>
        </w:rPr>
        <w:t xml:space="preserve"> </w:t>
      </w:r>
      <w:r>
        <w:rPr>
          <w:color w:val="231F20"/>
          <w:spacing w:val="-3"/>
          <w:sz w:val="20"/>
        </w:rPr>
        <w:t>for</w:t>
      </w:r>
      <w:r>
        <w:rPr>
          <w:color w:val="231F20"/>
          <w:spacing w:val="-6"/>
          <w:sz w:val="20"/>
        </w:rPr>
        <w:t xml:space="preserve"> </w:t>
      </w:r>
      <w:r>
        <w:rPr>
          <w:color w:val="231F20"/>
          <w:spacing w:val="-3"/>
          <w:sz w:val="20"/>
        </w:rPr>
        <w:t>children</w:t>
      </w:r>
      <w:r>
        <w:rPr>
          <w:color w:val="231F20"/>
          <w:spacing w:val="-7"/>
          <w:sz w:val="20"/>
        </w:rPr>
        <w:t xml:space="preserve"> </w:t>
      </w:r>
      <w:r>
        <w:rPr>
          <w:color w:val="231F20"/>
          <w:sz w:val="20"/>
        </w:rPr>
        <w:t>and</w:t>
      </w:r>
      <w:r>
        <w:rPr>
          <w:color w:val="231F20"/>
          <w:spacing w:val="-6"/>
          <w:sz w:val="20"/>
        </w:rPr>
        <w:t xml:space="preserve"> </w:t>
      </w:r>
      <w:r>
        <w:rPr>
          <w:color w:val="231F20"/>
          <w:sz w:val="20"/>
        </w:rPr>
        <w:t>young</w:t>
      </w:r>
      <w:r>
        <w:rPr>
          <w:color w:val="231F20"/>
          <w:spacing w:val="-7"/>
          <w:sz w:val="20"/>
        </w:rPr>
        <w:t xml:space="preserve"> </w:t>
      </w:r>
      <w:r>
        <w:rPr>
          <w:color w:val="231F20"/>
          <w:sz w:val="20"/>
        </w:rPr>
        <w:t>people</w:t>
      </w:r>
      <w:r>
        <w:rPr>
          <w:color w:val="231F20"/>
          <w:spacing w:val="-6"/>
          <w:sz w:val="20"/>
        </w:rPr>
        <w:t xml:space="preserve"> </w:t>
      </w:r>
      <w:r>
        <w:rPr>
          <w:color w:val="231F20"/>
          <w:sz w:val="20"/>
        </w:rPr>
        <w:t xml:space="preserve">who engage in stalking </w:t>
      </w:r>
      <w:proofErr w:type="spellStart"/>
      <w:r>
        <w:rPr>
          <w:color w:val="231F20"/>
          <w:sz w:val="20"/>
        </w:rPr>
        <w:t>behaviour</w:t>
      </w:r>
      <w:proofErr w:type="spellEnd"/>
      <w:r>
        <w:rPr>
          <w:color w:val="231F20"/>
          <w:sz w:val="20"/>
        </w:rPr>
        <w:t xml:space="preserve"> (see </w:t>
      </w:r>
      <w:r>
        <w:rPr>
          <w:color w:val="231F20"/>
          <w:spacing w:val="-3"/>
          <w:sz w:val="20"/>
        </w:rPr>
        <w:t>Chapter</w:t>
      </w:r>
      <w:r>
        <w:rPr>
          <w:color w:val="231F20"/>
          <w:spacing w:val="-27"/>
          <w:sz w:val="20"/>
        </w:rPr>
        <w:t xml:space="preserve"> </w:t>
      </w:r>
      <w:r>
        <w:rPr>
          <w:color w:val="231F20"/>
          <w:spacing w:val="-4"/>
          <w:sz w:val="20"/>
        </w:rPr>
        <w:t>6).</w:t>
      </w:r>
    </w:p>
    <w:p w14:paraId="247CF867" w14:textId="77777777" w:rsidR="00894070" w:rsidRDefault="009B7AFD">
      <w:pPr>
        <w:pStyle w:val="ListParagraph"/>
        <w:numPr>
          <w:ilvl w:val="2"/>
          <w:numId w:val="177"/>
        </w:numPr>
        <w:tabs>
          <w:tab w:val="left" w:pos="2141"/>
          <w:tab w:val="left" w:pos="2142"/>
        </w:tabs>
        <w:spacing w:before="88" w:line="206" w:lineRule="auto"/>
        <w:ind w:right="1328" w:hanging="340"/>
        <w:rPr>
          <w:sz w:val="20"/>
        </w:rPr>
      </w:pPr>
      <w:r>
        <w:rPr>
          <w:color w:val="231F20"/>
          <w:spacing w:val="-6"/>
          <w:sz w:val="20"/>
        </w:rPr>
        <w:t xml:space="preserve">We </w:t>
      </w:r>
      <w:r>
        <w:rPr>
          <w:color w:val="231F20"/>
          <w:sz w:val="20"/>
        </w:rPr>
        <w:t xml:space="preserve">highlight issues that </w:t>
      </w:r>
      <w:r>
        <w:rPr>
          <w:color w:val="231F20"/>
          <w:spacing w:val="-4"/>
          <w:sz w:val="20"/>
        </w:rPr>
        <w:t xml:space="preserve">have </w:t>
      </w:r>
      <w:r>
        <w:rPr>
          <w:color w:val="231F20"/>
          <w:sz w:val="20"/>
        </w:rPr>
        <w:t xml:space="preserve">not been </w:t>
      </w:r>
      <w:r>
        <w:rPr>
          <w:color w:val="231F20"/>
          <w:spacing w:val="-3"/>
          <w:sz w:val="20"/>
        </w:rPr>
        <w:t xml:space="preserve">reform </w:t>
      </w:r>
      <w:r>
        <w:rPr>
          <w:color w:val="231F20"/>
          <w:sz w:val="20"/>
        </w:rPr>
        <w:t xml:space="preserve">priorities up to </w:t>
      </w:r>
      <w:r>
        <w:rPr>
          <w:color w:val="231F20"/>
          <w:spacing w:val="-6"/>
          <w:sz w:val="20"/>
        </w:rPr>
        <w:t xml:space="preserve">now, </w:t>
      </w:r>
      <w:r>
        <w:rPr>
          <w:color w:val="231F20"/>
          <w:sz w:val="20"/>
        </w:rPr>
        <w:t>such as cyberstalking</w:t>
      </w:r>
      <w:r>
        <w:rPr>
          <w:color w:val="231F20"/>
          <w:spacing w:val="-8"/>
          <w:sz w:val="20"/>
        </w:rPr>
        <w:t xml:space="preserve"> </w:t>
      </w:r>
      <w:r>
        <w:rPr>
          <w:color w:val="231F20"/>
          <w:sz w:val="20"/>
        </w:rPr>
        <w:t>(see</w:t>
      </w:r>
      <w:r>
        <w:rPr>
          <w:color w:val="231F20"/>
          <w:spacing w:val="-8"/>
          <w:sz w:val="20"/>
        </w:rPr>
        <w:t xml:space="preserve"> </w:t>
      </w:r>
      <w:r>
        <w:rPr>
          <w:color w:val="231F20"/>
          <w:spacing w:val="-3"/>
          <w:sz w:val="20"/>
        </w:rPr>
        <w:t>Chapter</w:t>
      </w:r>
      <w:r>
        <w:rPr>
          <w:color w:val="231F20"/>
          <w:spacing w:val="-8"/>
          <w:sz w:val="20"/>
        </w:rPr>
        <w:t xml:space="preserve"> </w:t>
      </w:r>
      <w:r>
        <w:rPr>
          <w:color w:val="231F20"/>
          <w:sz w:val="20"/>
        </w:rPr>
        <w:t>3)</w:t>
      </w:r>
      <w:r>
        <w:rPr>
          <w:color w:val="231F20"/>
          <w:spacing w:val="-7"/>
          <w:sz w:val="20"/>
        </w:rPr>
        <w:t xml:space="preserve"> </w:t>
      </w:r>
      <w:r>
        <w:rPr>
          <w:color w:val="231F20"/>
          <w:sz w:val="20"/>
        </w:rPr>
        <w:t>and</w:t>
      </w:r>
      <w:r>
        <w:rPr>
          <w:color w:val="231F20"/>
          <w:spacing w:val="-8"/>
          <w:sz w:val="20"/>
        </w:rPr>
        <w:t xml:space="preserve"> </w:t>
      </w:r>
      <w:r>
        <w:rPr>
          <w:color w:val="231F20"/>
          <w:sz w:val="20"/>
        </w:rPr>
        <w:t>responding</w:t>
      </w:r>
      <w:r>
        <w:rPr>
          <w:color w:val="231F20"/>
          <w:spacing w:val="-8"/>
          <w:sz w:val="20"/>
        </w:rPr>
        <w:t xml:space="preserve"> </w:t>
      </w:r>
      <w:r>
        <w:rPr>
          <w:color w:val="231F20"/>
          <w:sz w:val="20"/>
        </w:rPr>
        <w:t>to</w:t>
      </w:r>
      <w:r>
        <w:rPr>
          <w:color w:val="231F20"/>
          <w:spacing w:val="-7"/>
          <w:sz w:val="20"/>
        </w:rPr>
        <w:t xml:space="preserve"> </w:t>
      </w: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z w:val="20"/>
        </w:rPr>
        <w:t>stalk</w:t>
      </w:r>
      <w:r>
        <w:rPr>
          <w:color w:val="231F20"/>
          <w:spacing w:val="-7"/>
          <w:sz w:val="20"/>
        </w:rPr>
        <w:t xml:space="preserve"> </w:t>
      </w:r>
      <w:r>
        <w:rPr>
          <w:color w:val="231F20"/>
          <w:sz w:val="20"/>
        </w:rPr>
        <w:t>(see</w:t>
      </w:r>
      <w:r>
        <w:rPr>
          <w:color w:val="231F20"/>
          <w:spacing w:val="-8"/>
          <w:sz w:val="20"/>
        </w:rPr>
        <w:t xml:space="preserve"> </w:t>
      </w:r>
      <w:r>
        <w:rPr>
          <w:color w:val="231F20"/>
          <w:spacing w:val="-3"/>
          <w:sz w:val="20"/>
        </w:rPr>
        <w:t>Chapter</w:t>
      </w:r>
      <w:r>
        <w:rPr>
          <w:color w:val="231F20"/>
          <w:spacing w:val="-8"/>
          <w:sz w:val="20"/>
        </w:rPr>
        <w:t xml:space="preserve"> </w:t>
      </w:r>
      <w:r>
        <w:rPr>
          <w:color w:val="231F20"/>
          <w:spacing w:val="-4"/>
          <w:sz w:val="20"/>
        </w:rPr>
        <w:t>8).</w:t>
      </w:r>
    </w:p>
    <w:p w14:paraId="6952538B" w14:textId="77777777" w:rsidR="00894070" w:rsidRDefault="009B7AFD">
      <w:pPr>
        <w:pStyle w:val="ListParagraph"/>
        <w:numPr>
          <w:ilvl w:val="1"/>
          <w:numId w:val="177"/>
        </w:numPr>
        <w:tabs>
          <w:tab w:val="left" w:pos="1801"/>
          <w:tab w:val="left" w:pos="1802"/>
        </w:tabs>
        <w:spacing w:before="87" w:line="206" w:lineRule="auto"/>
        <w:ind w:right="1174"/>
        <w:rPr>
          <w:sz w:val="20"/>
        </w:rPr>
      </w:pPr>
      <w:r>
        <w:rPr>
          <w:color w:val="231F20"/>
          <w:sz w:val="20"/>
        </w:rPr>
        <w:t xml:space="preserve">But there is a limit to what can be done to </w:t>
      </w:r>
      <w:r>
        <w:rPr>
          <w:color w:val="231F20"/>
          <w:spacing w:val="-4"/>
          <w:sz w:val="20"/>
        </w:rPr>
        <w:t xml:space="preserve">improve </w:t>
      </w:r>
      <w:r>
        <w:rPr>
          <w:color w:val="231F20"/>
          <w:sz w:val="20"/>
        </w:rPr>
        <w:t>the response to stalking because not</w:t>
      </w:r>
      <w:r>
        <w:rPr>
          <w:color w:val="231F20"/>
          <w:spacing w:val="-7"/>
          <w:sz w:val="20"/>
        </w:rPr>
        <w:t xml:space="preserve"> </w:t>
      </w:r>
      <w:r>
        <w:rPr>
          <w:color w:val="231F20"/>
          <w:sz w:val="20"/>
        </w:rPr>
        <w:t>enough</w:t>
      </w:r>
      <w:r>
        <w:rPr>
          <w:color w:val="231F20"/>
          <w:spacing w:val="-7"/>
          <w:sz w:val="20"/>
        </w:rPr>
        <w:t xml:space="preserve"> </w:t>
      </w:r>
      <w:r>
        <w:rPr>
          <w:color w:val="231F20"/>
          <w:sz w:val="20"/>
        </w:rPr>
        <w:t>is</w:t>
      </w:r>
      <w:r>
        <w:rPr>
          <w:color w:val="231F20"/>
          <w:spacing w:val="-7"/>
          <w:sz w:val="20"/>
        </w:rPr>
        <w:t xml:space="preserve"> </w:t>
      </w:r>
      <w:r>
        <w:rPr>
          <w:color w:val="231F20"/>
          <w:spacing w:val="-3"/>
          <w:sz w:val="20"/>
        </w:rPr>
        <w:t>known</w:t>
      </w:r>
      <w:r>
        <w:rPr>
          <w:color w:val="231F20"/>
          <w:spacing w:val="-7"/>
          <w:sz w:val="20"/>
        </w:rPr>
        <w:t xml:space="preserve"> </w:t>
      </w:r>
      <w:r>
        <w:rPr>
          <w:color w:val="231F20"/>
          <w:sz w:val="20"/>
        </w:rPr>
        <w:t>about</w:t>
      </w:r>
      <w:r>
        <w:rPr>
          <w:color w:val="231F20"/>
          <w:spacing w:val="-7"/>
          <w:sz w:val="20"/>
        </w:rPr>
        <w:t xml:space="preserve"> </w:t>
      </w:r>
      <w:r>
        <w:rPr>
          <w:color w:val="231F20"/>
          <w:sz w:val="20"/>
        </w:rPr>
        <w:t>it.</w:t>
      </w:r>
      <w:r>
        <w:rPr>
          <w:color w:val="231F20"/>
          <w:spacing w:val="-7"/>
          <w:sz w:val="20"/>
        </w:rPr>
        <w:t xml:space="preserve"> </w:t>
      </w:r>
      <w:r>
        <w:rPr>
          <w:color w:val="231F20"/>
          <w:sz w:val="20"/>
        </w:rPr>
        <w:t>In</w:t>
      </w:r>
      <w:r>
        <w:rPr>
          <w:color w:val="231F20"/>
          <w:spacing w:val="-6"/>
          <w:sz w:val="20"/>
        </w:rPr>
        <w:t xml:space="preserve"> </w:t>
      </w:r>
      <w:r>
        <w:rPr>
          <w:color w:val="231F20"/>
          <w:spacing w:val="-3"/>
          <w:sz w:val="20"/>
        </w:rPr>
        <w:t>Chapters</w:t>
      </w:r>
      <w:r>
        <w:rPr>
          <w:color w:val="231F20"/>
          <w:spacing w:val="-7"/>
          <w:sz w:val="20"/>
        </w:rPr>
        <w:t xml:space="preserve"> </w:t>
      </w:r>
      <w:r>
        <w:rPr>
          <w:color w:val="231F20"/>
          <w:sz w:val="20"/>
        </w:rPr>
        <w:t>2,</w:t>
      </w:r>
      <w:r>
        <w:rPr>
          <w:color w:val="231F20"/>
          <w:spacing w:val="-7"/>
          <w:sz w:val="20"/>
        </w:rPr>
        <w:t xml:space="preserve"> </w:t>
      </w:r>
      <w:r>
        <w:rPr>
          <w:color w:val="231F20"/>
          <w:sz w:val="20"/>
        </w:rPr>
        <w:t>6,</w:t>
      </w:r>
      <w:r>
        <w:rPr>
          <w:color w:val="231F20"/>
          <w:spacing w:val="-7"/>
          <w:sz w:val="20"/>
        </w:rPr>
        <w:t xml:space="preserve"> </w:t>
      </w:r>
      <w:r>
        <w:rPr>
          <w:color w:val="231F20"/>
          <w:sz w:val="20"/>
        </w:rPr>
        <w:t>7</w:t>
      </w:r>
      <w:r>
        <w:rPr>
          <w:color w:val="231F20"/>
          <w:spacing w:val="-7"/>
          <w:sz w:val="20"/>
        </w:rPr>
        <w:t xml:space="preserve"> </w:t>
      </w:r>
      <w:r>
        <w:rPr>
          <w:color w:val="231F20"/>
          <w:sz w:val="20"/>
        </w:rPr>
        <w:t>and</w:t>
      </w:r>
      <w:r>
        <w:rPr>
          <w:color w:val="231F20"/>
          <w:spacing w:val="-7"/>
          <w:sz w:val="20"/>
        </w:rPr>
        <w:t xml:space="preserve"> </w:t>
      </w:r>
      <w:r>
        <w:rPr>
          <w:color w:val="231F20"/>
          <w:sz w:val="20"/>
        </w:rPr>
        <w:t>8</w:t>
      </w:r>
      <w:r>
        <w:rPr>
          <w:color w:val="231F20"/>
          <w:spacing w:val="-7"/>
          <w:sz w:val="20"/>
        </w:rPr>
        <w:t xml:space="preserve"> </w:t>
      </w:r>
      <w:r>
        <w:rPr>
          <w:color w:val="231F20"/>
          <w:spacing w:val="-3"/>
          <w:sz w:val="20"/>
        </w:rPr>
        <w:t>we</w:t>
      </w:r>
      <w:r>
        <w:rPr>
          <w:color w:val="231F20"/>
          <w:spacing w:val="-6"/>
          <w:sz w:val="20"/>
        </w:rPr>
        <w:t xml:space="preserve"> </w:t>
      </w:r>
      <w:r>
        <w:rPr>
          <w:color w:val="231F20"/>
          <w:sz w:val="20"/>
        </w:rPr>
        <w:t>identify</w:t>
      </w:r>
      <w:r>
        <w:rPr>
          <w:color w:val="231F20"/>
          <w:spacing w:val="-7"/>
          <w:sz w:val="20"/>
        </w:rPr>
        <w:t xml:space="preserve"> </w:t>
      </w:r>
      <w:r>
        <w:rPr>
          <w:color w:val="231F20"/>
          <w:sz w:val="20"/>
        </w:rPr>
        <w:t>opportunities</w:t>
      </w:r>
      <w:r>
        <w:rPr>
          <w:color w:val="231F20"/>
          <w:spacing w:val="-7"/>
          <w:sz w:val="20"/>
        </w:rPr>
        <w:t xml:space="preserve"> </w:t>
      </w:r>
      <w:r>
        <w:rPr>
          <w:color w:val="231F20"/>
          <w:sz w:val="20"/>
        </w:rPr>
        <w:t>to</w:t>
      </w:r>
      <w:r>
        <w:rPr>
          <w:color w:val="231F20"/>
          <w:spacing w:val="-7"/>
          <w:sz w:val="20"/>
        </w:rPr>
        <w:t xml:space="preserve"> </w:t>
      </w:r>
      <w:r>
        <w:rPr>
          <w:color w:val="231F20"/>
          <w:sz w:val="20"/>
        </w:rPr>
        <w:t>build the</w:t>
      </w:r>
      <w:r>
        <w:rPr>
          <w:color w:val="231F20"/>
          <w:spacing w:val="-8"/>
          <w:sz w:val="20"/>
        </w:rPr>
        <w:t xml:space="preserve"> </w:t>
      </w:r>
      <w:r>
        <w:rPr>
          <w:color w:val="231F20"/>
          <w:sz w:val="20"/>
        </w:rPr>
        <w:t>knowledge</w:t>
      </w:r>
      <w:r>
        <w:rPr>
          <w:color w:val="231F20"/>
          <w:spacing w:val="-8"/>
          <w:sz w:val="20"/>
        </w:rPr>
        <w:t xml:space="preserve"> </w:t>
      </w:r>
      <w:r>
        <w:rPr>
          <w:color w:val="231F20"/>
          <w:sz w:val="20"/>
        </w:rPr>
        <w:t>base</w:t>
      </w:r>
      <w:r>
        <w:rPr>
          <w:color w:val="231F20"/>
          <w:spacing w:val="-7"/>
          <w:sz w:val="20"/>
        </w:rPr>
        <w:t xml:space="preserve"> </w:t>
      </w:r>
      <w:r>
        <w:rPr>
          <w:color w:val="231F20"/>
          <w:sz w:val="20"/>
        </w:rPr>
        <w:t>on</w:t>
      </w:r>
      <w:r>
        <w:rPr>
          <w:color w:val="231F20"/>
          <w:spacing w:val="-8"/>
          <w:sz w:val="20"/>
        </w:rPr>
        <w:t xml:space="preserve"> </w:t>
      </w:r>
      <w:r>
        <w:rPr>
          <w:color w:val="231F20"/>
          <w:sz w:val="20"/>
        </w:rPr>
        <w:t>stalking,</w:t>
      </w:r>
      <w:r>
        <w:rPr>
          <w:color w:val="231F20"/>
          <w:spacing w:val="-7"/>
          <w:sz w:val="20"/>
        </w:rPr>
        <w:t xml:space="preserve"> </w:t>
      </w:r>
      <w:r>
        <w:rPr>
          <w:color w:val="231F20"/>
          <w:sz w:val="20"/>
        </w:rPr>
        <w:t>so</w:t>
      </w:r>
      <w:r>
        <w:rPr>
          <w:color w:val="231F20"/>
          <w:spacing w:val="-8"/>
          <w:sz w:val="20"/>
        </w:rPr>
        <w:t xml:space="preserve"> </w:t>
      </w:r>
      <w:r>
        <w:rPr>
          <w:color w:val="231F20"/>
          <w:spacing w:val="-3"/>
          <w:sz w:val="20"/>
        </w:rPr>
        <w:t>future</w:t>
      </w:r>
      <w:r>
        <w:rPr>
          <w:color w:val="231F20"/>
          <w:spacing w:val="-7"/>
          <w:sz w:val="20"/>
        </w:rPr>
        <w:t xml:space="preserve"> </w:t>
      </w:r>
      <w:r>
        <w:rPr>
          <w:color w:val="231F20"/>
          <w:spacing w:val="-3"/>
          <w:sz w:val="20"/>
        </w:rPr>
        <w:t>reforms</w:t>
      </w:r>
      <w:r>
        <w:rPr>
          <w:color w:val="231F20"/>
          <w:spacing w:val="-8"/>
          <w:sz w:val="20"/>
        </w:rPr>
        <w:t xml:space="preserve"> </w:t>
      </w:r>
      <w:r>
        <w:rPr>
          <w:color w:val="231F20"/>
          <w:spacing w:val="-3"/>
          <w:sz w:val="20"/>
        </w:rPr>
        <w:t>are</w:t>
      </w:r>
      <w:r>
        <w:rPr>
          <w:color w:val="231F20"/>
          <w:spacing w:val="-7"/>
          <w:sz w:val="20"/>
        </w:rPr>
        <w:t xml:space="preserve"> </w:t>
      </w:r>
      <w:r>
        <w:rPr>
          <w:color w:val="231F20"/>
          <w:sz w:val="20"/>
        </w:rPr>
        <w:t>informed</w:t>
      </w:r>
      <w:r>
        <w:rPr>
          <w:color w:val="231F20"/>
          <w:spacing w:val="-8"/>
          <w:sz w:val="20"/>
        </w:rPr>
        <w:t xml:space="preserve"> </w:t>
      </w:r>
      <w:r>
        <w:rPr>
          <w:color w:val="231F20"/>
          <w:spacing w:val="-3"/>
          <w:sz w:val="20"/>
        </w:rPr>
        <w:t>by</w:t>
      </w:r>
      <w:r>
        <w:rPr>
          <w:color w:val="231F20"/>
          <w:spacing w:val="-7"/>
          <w:sz w:val="20"/>
        </w:rPr>
        <w:t xml:space="preserve"> </w:t>
      </w:r>
      <w:r>
        <w:rPr>
          <w:color w:val="231F20"/>
          <w:sz w:val="20"/>
        </w:rPr>
        <w:t>strong</w:t>
      </w:r>
      <w:r>
        <w:rPr>
          <w:color w:val="231F20"/>
          <w:spacing w:val="-8"/>
          <w:sz w:val="20"/>
        </w:rPr>
        <w:t xml:space="preserve"> </w:t>
      </w:r>
      <w:r>
        <w:rPr>
          <w:color w:val="231F20"/>
          <w:spacing w:val="-3"/>
          <w:sz w:val="20"/>
        </w:rPr>
        <w:t>research</w:t>
      </w:r>
      <w:r>
        <w:rPr>
          <w:color w:val="231F20"/>
          <w:spacing w:val="-7"/>
          <w:sz w:val="20"/>
        </w:rPr>
        <w:t xml:space="preserve"> </w:t>
      </w:r>
      <w:r>
        <w:rPr>
          <w:color w:val="231F20"/>
          <w:sz w:val="20"/>
        </w:rPr>
        <w:t>and data.</w:t>
      </w:r>
    </w:p>
    <w:p w14:paraId="165BEA51" w14:textId="77777777" w:rsidR="00894070" w:rsidRDefault="00894070">
      <w:pPr>
        <w:pStyle w:val="BodyText"/>
      </w:pPr>
    </w:p>
    <w:p w14:paraId="5F38F1B4" w14:textId="77777777" w:rsidR="00894070" w:rsidRDefault="00894070">
      <w:pPr>
        <w:pStyle w:val="BodyText"/>
      </w:pPr>
    </w:p>
    <w:p w14:paraId="269D5CC9" w14:textId="77777777" w:rsidR="00894070" w:rsidRDefault="00894070">
      <w:pPr>
        <w:pStyle w:val="BodyText"/>
      </w:pPr>
    </w:p>
    <w:p w14:paraId="7DFD4F0D" w14:textId="77777777" w:rsidR="00894070" w:rsidRDefault="00894070">
      <w:pPr>
        <w:pStyle w:val="BodyText"/>
      </w:pPr>
    </w:p>
    <w:p w14:paraId="79CEA339" w14:textId="77777777" w:rsidR="00894070" w:rsidRDefault="009F6793">
      <w:pPr>
        <w:pStyle w:val="BodyText"/>
        <w:spacing w:before="4"/>
        <w:rPr>
          <w:sz w:val="28"/>
        </w:rPr>
      </w:pPr>
      <w:r>
        <w:pict w14:anchorId="28EAAAF0">
          <v:line id="_x0000_s1703" style="position:absolute;z-index:-251473920;mso-wrap-distance-left:0;mso-wrap-distance-right:0;mso-position-horizontal-relative:page" from="79.35pt,22.1pt" to="515.9pt,22.1pt" strokecolor="#f8cabc" strokeweight="1pt">
            <w10:wrap type="topAndBottom" anchorx="page"/>
          </v:line>
        </w:pict>
      </w:r>
    </w:p>
    <w:p w14:paraId="0758CB81" w14:textId="77777777" w:rsidR="00894070" w:rsidRDefault="009B7AFD">
      <w:pPr>
        <w:pStyle w:val="ListParagraph"/>
        <w:numPr>
          <w:ilvl w:val="0"/>
          <w:numId w:val="176"/>
        </w:numPr>
        <w:tabs>
          <w:tab w:val="left" w:pos="1801"/>
          <w:tab w:val="left" w:pos="1802"/>
        </w:tabs>
        <w:spacing w:before="107" w:line="213" w:lineRule="auto"/>
        <w:ind w:right="1271"/>
        <w:rPr>
          <w:sz w:val="13"/>
        </w:rPr>
      </w:pPr>
      <w:r>
        <w:rPr>
          <w:color w:val="231F20"/>
          <w:sz w:val="13"/>
        </w:rPr>
        <w:t xml:space="preserve">Bonnie </w:t>
      </w:r>
      <w:proofErr w:type="spellStart"/>
      <w:r>
        <w:rPr>
          <w:color w:val="231F20"/>
          <w:spacing w:val="2"/>
          <w:sz w:val="13"/>
        </w:rPr>
        <w:t>Brandl</w:t>
      </w:r>
      <w:proofErr w:type="spellEnd"/>
      <w:r>
        <w:rPr>
          <w:color w:val="231F20"/>
          <w:spacing w:val="2"/>
          <w:sz w:val="13"/>
        </w:rPr>
        <w:t xml:space="preserve">, </w:t>
      </w:r>
      <w:r>
        <w:rPr>
          <w:color w:val="231F20"/>
          <w:sz w:val="13"/>
        </w:rPr>
        <w:t xml:space="preserve">Candace J Heisler and Lori A </w:t>
      </w:r>
      <w:r>
        <w:rPr>
          <w:color w:val="231F20"/>
          <w:spacing w:val="2"/>
          <w:sz w:val="13"/>
        </w:rPr>
        <w:t xml:space="preserve">Stiegel, </w:t>
      </w:r>
      <w:r>
        <w:rPr>
          <w:color w:val="231F20"/>
          <w:sz w:val="13"/>
        </w:rPr>
        <w:t xml:space="preserve">‘The Parallels between Undue Influence, </w:t>
      </w:r>
      <w:r>
        <w:rPr>
          <w:color w:val="231F20"/>
          <w:spacing w:val="2"/>
          <w:sz w:val="13"/>
        </w:rPr>
        <w:t xml:space="preserve">Domestic </w:t>
      </w:r>
      <w:r>
        <w:rPr>
          <w:color w:val="231F20"/>
          <w:sz w:val="13"/>
        </w:rPr>
        <w:t xml:space="preserve">Violence, Stalking, and Sexual </w:t>
      </w:r>
      <w:r>
        <w:rPr>
          <w:color w:val="231F20"/>
          <w:spacing w:val="2"/>
          <w:sz w:val="13"/>
        </w:rPr>
        <w:t xml:space="preserve">Assault’ </w:t>
      </w:r>
      <w:r>
        <w:rPr>
          <w:color w:val="231F20"/>
          <w:sz w:val="13"/>
        </w:rPr>
        <w:t xml:space="preserve">(2005) 17(3) </w:t>
      </w:r>
      <w:r>
        <w:rPr>
          <w:i/>
          <w:color w:val="231F20"/>
          <w:sz w:val="13"/>
        </w:rPr>
        <w:t xml:space="preserve">Journal of Elder Abuse and Neglect </w:t>
      </w:r>
      <w:r>
        <w:rPr>
          <w:color w:val="231F20"/>
          <w:spacing w:val="-3"/>
          <w:sz w:val="13"/>
        </w:rPr>
        <w:t>37,</w:t>
      </w:r>
      <w:r>
        <w:rPr>
          <w:color w:val="231F20"/>
          <w:spacing w:val="3"/>
          <w:sz w:val="13"/>
        </w:rPr>
        <w:t xml:space="preserve"> 44.</w:t>
      </w:r>
    </w:p>
    <w:p w14:paraId="7483C8D6" w14:textId="77777777" w:rsidR="00894070" w:rsidRDefault="009B7AFD">
      <w:pPr>
        <w:pStyle w:val="ListParagraph"/>
        <w:numPr>
          <w:ilvl w:val="0"/>
          <w:numId w:val="176"/>
        </w:numPr>
        <w:tabs>
          <w:tab w:val="left" w:pos="1800"/>
          <w:tab w:val="left" w:pos="1802"/>
        </w:tabs>
        <w:spacing w:line="153" w:lineRule="exact"/>
        <w:rPr>
          <w:sz w:val="13"/>
        </w:rPr>
      </w:pPr>
      <w:r>
        <w:rPr>
          <w:color w:val="231F20"/>
          <w:sz w:val="13"/>
        </w:rPr>
        <w:t>Ibid 46.</w:t>
      </w:r>
    </w:p>
    <w:p w14:paraId="7EBCA3B0" w14:textId="77777777" w:rsidR="00894070" w:rsidRDefault="009B7AFD">
      <w:pPr>
        <w:pStyle w:val="ListParagraph"/>
        <w:numPr>
          <w:ilvl w:val="0"/>
          <w:numId w:val="176"/>
        </w:numPr>
        <w:tabs>
          <w:tab w:val="left" w:pos="1801"/>
          <w:tab w:val="left" w:pos="1802"/>
        </w:tabs>
        <w:spacing w:before="6" w:line="213" w:lineRule="auto"/>
        <w:ind w:right="1232"/>
        <w:rPr>
          <w:sz w:val="13"/>
        </w:rPr>
      </w:pPr>
      <w:r>
        <w:rPr>
          <w:color w:val="231F20"/>
          <w:sz w:val="13"/>
        </w:rPr>
        <w:t xml:space="preserve">This </w:t>
      </w:r>
      <w:r>
        <w:rPr>
          <w:color w:val="231F20"/>
          <w:spacing w:val="2"/>
          <w:sz w:val="13"/>
        </w:rPr>
        <w:t xml:space="preserve">imbalance </w:t>
      </w:r>
      <w:r>
        <w:rPr>
          <w:color w:val="231F20"/>
          <w:sz w:val="13"/>
        </w:rPr>
        <w:t xml:space="preserve">is </w:t>
      </w:r>
      <w:r>
        <w:rPr>
          <w:color w:val="231F20"/>
          <w:spacing w:val="2"/>
          <w:sz w:val="13"/>
        </w:rPr>
        <w:t xml:space="preserve">starting </w:t>
      </w:r>
      <w:r>
        <w:rPr>
          <w:color w:val="231F20"/>
          <w:sz w:val="13"/>
        </w:rPr>
        <w:t xml:space="preserve">to change. Reforms to the </w:t>
      </w:r>
      <w:r>
        <w:rPr>
          <w:i/>
          <w:color w:val="231F20"/>
          <w:sz w:val="13"/>
        </w:rPr>
        <w:t xml:space="preserve">Victims of Crime Assistance Act </w:t>
      </w:r>
      <w:r>
        <w:rPr>
          <w:i/>
          <w:color w:val="231F20"/>
          <w:spacing w:val="2"/>
          <w:sz w:val="13"/>
        </w:rPr>
        <w:t xml:space="preserve">1996 </w:t>
      </w:r>
      <w:r>
        <w:rPr>
          <w:color w:val="231F20"/>
          <w:sz w:val="13"/>
        </w:rPr>
        <w:t xml:space="preserve">(Vic) were </w:t>
      </w:r>
      <w:r>
        <w:rPr>
          <w:color w:val="231F20"/>
          <w:spacing w:val="2"/>
          <w:sz w:val="13"/>
        </w:rPr>
        <w:t xml:space="preserve">passed </w:t>
      </w:r>
      <w:r>
        <w:rPr>
          <w:color w:val="231F20"/>
          <w:sz w:val="13"/>
        </w:rPr>
        <w:t xml:space="preserve">on 9 March 2022.     The </w:t>
      </w:r>
      <w:r>
        <w:rPr>
          <w:color w:val="231F20"/>
          <w:spacing w:val="2"/>
          <w:sz w:val="13"/>
        </w:rPr>
        <w:t xml:space="preserve">amendments </w:t>
      </w:r>
      <w:r>
        <w:rPr>
          <w:color w:val="231F20"/>
          <w:sz w:val="13"/>
        </w:rPr>
        <w:t xml:space="preserve">ensure that alleged </w:t>
      </w:r>
      <w:r>
        <w:rPr>
          <w:color w:val="231F20"/>
          <w:spacing w:val="2"/>
          <w:sz w:val="13"/>
        </w:rPr>
        <w:t xml:space="preserve">stalking </w:t>
      </w:r>
      <w:r>
        <w:rPr>
          <w:color w:val="231F20"/>
          <w:sz w:val="13"/>
        </w:rPr>
        <w:t xml:space="preserve">offenders will no longer be notified of, or able to attend hearings at the Victims of Crime </w:t>
      </w:r>
      <w:r>
        <w:rPr>
          <w:color w:val="231F20"/>
          <w:spacing w:val="2"/>
          <w:sz w:val="13"/>
        </w:rPr>
        <w:t xml:space="preserve">Assistance </w:t>
      </w:r>
      <w:r>
        <w:rPr>
          <w:color w:val="231F20"/>
          <w:sz w:val="13"/>
        </w:rPr>
        <w:t>Tribunal (VOCAT). We discuss reforms to VOCAT in Chapter</w:t>
      </w:r>
      <w:r>
        <w:rPr>
          <w:color w:val="231F20"/>
          <w:spacing w:val="2"/>
          <w:sz w:val="13"/>
        </w:rPr>
        <w:t xml:space="preserve"> </w:t>
      </w:r>
      <w:r>
        <w:rPr>
          <w:color w:val="231F20"/>
          <w:spacing w:val="3"/>
          <w:sz w:val="13"/>
        </w:rPr>
        <w:t>5.</w:t>
      </w:r>
    </w:p>
    <w:p w14:paraId="25E09126" w14:textId="77777777" w:rsidR="00894070" w:rsidRDefault="009B7AFD">
      <w:pPr>
        <w:pStyle w:val="ListParagraph"/>
        <w:numPr>
          <w:ilvl w:val="0"/>
          <w:numId w:val="176"/>
        </w:numPr>
        <w:tabs>
          <w:tab w:val="left" w:pos="1801"/>
          <w:tab w:val="left" w:pos="1802"/>
        </w:tabs>
        <w:spacing w:line="213" w:lineRule="auto"/>
        <w:ind w:right="1344"/>
        <w:rPr>
          <w:sz w:val="13"/>
        </w:rPr>
      </w:pPr>
      <w:r>
        <w:rPr>
          <w:color w:val="231F20"/>
          <w:sz w:val="13"/>
        </w:rPr>
        <w:t xml:space="preserve">Michelle </w:t>
      </w:r>
      <w:proofErr w:type="spellStart"/>
      <w:r>
        <w:rPr>
          <w:color w:val="231F20"/>
          <w:spacing w:val="2"/>
          <w:sz w:val="13"/>
        </w:rPr>
        <w:t>Sibenik</w:t>
      </w:r>
      <w:proofErr w:type="spellEnd"/>
      <w:r>
        <w:rPr>
          <w:color w:val="231F20"/>
          <w:spacing w:val="2"/>
          <w:sz w:val="13"/>
        </w:rPr>
        <w:t xml:space="preserve">,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 xml:space="preserve">of Anti-Stalking Legislation in Victoria, Australia’ (PhD Thesis, Monash University, 2018) </w:t>
      </w:r>
      <w:r>
        <w:rPr>
          <w:color w:val="231F20"/>
          <w:spacing w:val="2"/>
          <w:sz w:val="13"/>
        </w:rPr>
        <w:t xml:space="preserve">4, </w:t>
      </w:r>
      <w:r>
        <w:rPr>
          <w:color w:val="231F20"/>
          <w:sz w:val="13"/>
        </w:rPr>
        <w:t xml:space="preserve">70. The Centre for Forensic </w:t>
      </w:r>
      <w:proofErr w:type="spellStart"/>
      <w:r>
        <w:rPr>
          <w:color w:val="231F20"/>
          <w:sz w:val="13"/>
        </w:rPr>
        <w:t>Behavioural</w:t>
      </w:r>
      <w:proofErr w:type="spellEnd"/>
      <w:r>
        <w:rPr>
          <w:color w:val="231F20"/>
          <w:sz w:val="13"/>
        </w:rPr>
        <w:t xml:space="preserve"> </w:t>
      </w:r>
      <w:r>
        <w:rPr>
          <w:color w:val="231F20"/>
          <w:spacing w:val="2"/>
          <w:sz w:val="13"/>
        </w:rPr>
        <w:t xml:space="preserve">Science </w:t>
      </w:r>
      <w:r>
        <w:rPr>
          <w:color w:val="231F20"/>
          <w:sz w:val="13"/>
        </w:rPr>
        <w:t xml:space="preserve">told us that research indicates that intervention orders can be effective in stopping </w:t>
      </w:r>
      <w:r>
        <w:rPr>
          <w:color w:val="231F20"/>
          <w:spacing w:val="2"/>
          <w:sz w:val="13"/>
        </w:rPr>
        <w:t xml:space="preserve">stalking, </w:t>
      </w:r>
      <w:r>
        <w:rPr>
          <w:color w:val="231F20"/>
          <w:sz w:val="13"/>
        </w:rPr>
        <w:t xml:space="preserve">but in some cases fail to protect the </w:t>
      </w:r>
      <w:r>
        <w:rPr>
          <w:color w:val="231F20"/>
          <w:spacing w:val="2"/>
          <w:sz w:val="13"/>
        </w:rPr>
        <w:t xml:space="preserve">applicant </w:t>
      </w:r>
      <w:r>
        <w:rPr>
          <w:color w:val="231F20"/>
          <w:sz w:val="13"/>
        </w:rPr>
        <w:t xml:space="preserve">and make the situation worse: </w:t>
      </w:r>
      <w:r>
        <w:rPr>
          <w:color w:val="231F20"/>
          <w:spacing w:val="2"/>
          <w:sz w:val="13"/>
        </w:rPr>
        <w:t xml:space="preserve">Submission </w:t>
      </w:r>
      <w:r>
        <w:rPr>
          <w:color w:val="231F20"/>
          <w:sz w:val="13"/>
        </w:rPr>
        <w:t xml:space="preserve">32 (Centre for Forensic </w:t>
      </w:r>
      <w:proofErr w:type="spellStart"/>
      <w:r>
        <w:rPr>
          <w:color w:val="231F20"/>
          <w:sz w:val="13"/>
        </w:rPr>
        <w:t>Behavioural</w:t>
      </w:r>
      <w:proofErr w:type="spellEnd"/>
      <w:r>
        <w:rPr>
          <w:color w:val="231F20"/>
          <w:spacing w:val="1"/>
          <w:sz w:val="13"/>
        </w:rPr>
        <w:t xml:space="preserve"> </w:t>
      </w:r>
      <w:r>
        <w:rPr>
          <w:color w:val="231F20"/>
          <w:sz w:val="13"/>
        </w:rPr>
        <w:t>Science).</w:t>
      </w:r>
    </w:p>
    <w:p w14:paraId="332D1C2C" w14:textId="77777777" w:rsidR="00894070" w:rsidRDefault="009B7AFD">
      <w:pPr>
        <w:pStyle w:val="ListParagraph"/>
        <w:numPr>
          <w:ilvl w:val="0"/>
          <w:numId w:val="176"/>
        </w:numPr>
        <w:tabs>
          <w:tab w:val="left" w:pos="1801"/>
          <w:tab w:val="left" w:pos="1802"/>
        </w:tabs>
        <w:spacing w:line="151" w:lineRule="exac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 2022)</w:t>
      </w:r>
      <w:r>
        <w:rPr>
          <w:color w:val="231F20"/>
          <w:spacing w:val="7"/>
          <w:sz w:val="13"/>
        </w:rPr>
        <w:t xml:space="preserve"> </w:t>
      </w:r>
      <w:r>
        <w:rPr>
          <w:color w:val="231F20"/>
          <w:sz w:val="13"/>
        </w:rPr>
        <w:t>xii.</w:t>
      </w:r>
    </w:p>
    <w:p w14:paraId="649E94C1" w14:textId="77777777" w:rsidR="00894070" w:rsidRDefault="009F6793">
      <w:pPr>
        <w:pStyle w:val="ListParagraph"/>
        <w:numPr>
          <w:ilvl w:val="0"/>
          <w:numId w:val="176"/>
        </w:numPr>
        <w:tabs>
          <w:tab w:val="left" w:pos="1801"/>
          <w:tab w:val="left" w:pos="1802"/>
        </w:tabs>
        <w:spacing w:line="160" w:lineRule="exact"/>
        <w:rPr>
          <w:sz w:val="13"/>
        </w:rPr>
      </w:pPr>
      <w:r>
        <w:pict w14:anchorId="4DAC8B15">
          <v:shape id="_x0000_s1702" type="#_x0000_t202" style="position:absolute;left:0;text-align:left;margin-left:552.25pt;margin-top:3.7pt;width:6.65pt;height:14.1pt;z-index:251473920;mso-position-horizontal-relative:page" filled="f" stroked="f">
            <v:textbox inset="0,0,0,0">
              <w:txbxContent>
                <w:p w14:paraId="04A9AB81" w14:textId="77777777" w:rsidR="00894070" w:rsidRDefault="009B7AFD">
                  <w:pPr>
                    <w:spacing w:line="282" w:lineRule="exact"/>
                    <w:rPr>
                      <w:b/>
                      <w:sz w:val="24"/>
                    </w:rPr>
                  </w:pPr>
                  <w:r>
                    <w:rPr>
                      <w:b/>
                      <w:color w:val="EA5B50"/>
                      <w:sz w:val="24"/>
                    </w:rPr>
                    <w:t>5</w:t>
                  </w:r>
                </w:p>
              </w:txbxContent>
            </v:textbox>
            <w10:wrap anchorx="page"/>
          </v:shape>
        </w:pict>
      </w:r>
      <w:r w:rsidR="009B7AFD">
        <w:rPr>
          <w:color w:val="231F20"/>
          <w:sz w:val="13"/>
        </w:rPr>
        <w:t xml:space="preserve">The </w:t>
      </w:r>
      <w:r w:rsidR="009B7AFD">
        <w:rPr>
          <w:color w:val="231F20"/>
          <w:spacing w:val="2"/>
          <w:sz w:val="13"/>
        </w:rPr>
        <w:t xml:space="preserve">police </w:t>
      </w:r>
      <w:r w:rsidR="009B7AFD">
        <w:rPr>
          <w:color w:val="231F20"/>
          <w:sz w:val="13"/>
        </w:rPr>
        <w:t>record breaches at a rate of around 20% of overall orders each year (see Chapter</w:t>
      </w:r>
      <w:r w:rsidR="009B7AFD">
        <w:rPr>
          <w:color w:val="231F20"/>
          <w:spacing w:val="9"/>
          <w:sz w:val="13"/>
        </w:rPr>
        <w:t xml:space="preserve"> </w:t>
      </w:r>
      <w:r w:rsidR="009B7AFD">
        <w:rPr>
          <w:color w:val="231F20"/>
          <w:sz w:val="13"/>
        </w:rPr>
        <w:t>7).</w:t>
      </w:r>
    </w:p>
    <w:p w14:paraId="32BDA8F9" w14:textId="77777777" w:rsidR="00894070" w:rsidRDefault="009B7AFD">
      <w:pPr>
        <w:pStyle w:val="ListParagraph"/>
        <w:numPr>
          <w:ilvl w:val="0"/>
          <w:numId w:val="176"/>
        </w:numPr>
        <w:tabs>
          <w:tab w:val="left" w:pos="1801"/>
          <w:tab w:val="left" w:pos="1802"/>
        </w:tabs>
        <w:spacing w:line="170"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2021) Recommendations</w:t>
      </w:r>
      <w:r>
        <w:rPr>
          <w:color w:val="231F20"/>
          <w:spacing w:val="3"/>
          <w:sz w:val="13"/>
        </w:rPr>
        <w:t xml:space="preserve"> </w:t>
      </w:r>
      <w:r>
        <w:rPr>
          <w:color w:val="231F20"/>
          <w:sz w:val="13"/>
        </w:rPr>
        <w:t>1–3.</w:t>
      </w:r>
    </w:p>
    <w:p w14:paraId="310831C6" w14:textId="77777777" w:rsidR="00894070" w:rsidRDefault="00894070">
      <w:pPr>
        <w:spacing w:line="170" w:lineRule="exact"/>
        <w:rPr>
          <w:sz w:val="13"/>
        </w:rPr>
        <w:sectPr w:rsidR="00894070">
          <w:pgSz w:w="11910" w:h="16840"/>
          <w:pgMar w:top="840" w:right="420" w:bottom="280" w:left="580" w:header="0" w:footer="0" w:gutter="0"/>
          <w:cols w:space="720"/>
        </w:sectPr>
      </w:pPr>
    </w:p>
    <w:p w14:paraId="226A4030" w14:textId="77777777" w:rsidR="00894070" w:rsidRDefault="00894070">
      <w:pPr>
        <w:pStyle w:val="BodyText"/>
      </w:pPr>
    </w:p>
    <w:p w14:paraId="612D414F" w14:textId="77777777" w:rsidR="00894070" w:rsidRDefault="00894070">
      <w:pPr>
        <w:pStyle w:val="BodyText"/>
      </w:pPr>
    </w:p>
    <w:p w14:paraId="202F65AB" w14:textId="77777777" w:rsidR="00894070" w:rsidRDefault="00894070">
      <w:pPr>
        <w:pStyle w:val="BodyText"/>
      </w:pPr>
    </w:p>
    <w:p w14:paraId="555C0F29" w14:textId="77777777" w:rsidR="00894070" w:rsidRDefault="009B7AFD">
      <w:pPr>
        <w:pStyle w:val="Heading7"/>
        <w:spacing w:before="212"/>
      </w:pPr>
      <w:bookmarkStart w:id="22" w:name="What_is_our_approach_to_reform?"/>
      <w:bookmarkStart w:id="23" w:name="_bookmark9"/>
      <w:bookmarkEnd w:id="22"/>
      <w:bookmarkEnd w:id="23"/>
      <w:r>
        <w:rPr>
          <w:color w:val="EA5B50"/>
        </w:rPr>
        <w:t>What is our approach to reform?</w:t>
      </w:r>
    </w:p>
    <w:p w14:paraId="47BE8105" w14:textId="77777777" w:rsidR="00894070" w:rsidRDefault="009B7AFD">
      <w:pPr>
        <w:pStyle w:val="Heading8"/>
        <w:spacing w:before="241"/>
        <w:ind w:left="1007"/>
      </w:pPr>
      <w:r>
        <w:rPr>
          <w:color w:val="231F20"/>
        </w:rPr>
        <w:t>Victim safety is the main concern</w:t>
      </w:r>
    </w:p>
    <w:p w14:paraId="72687095" w14:textId="77777777" w:rsidR="00894070" w:rsidRDefault="009B7AFD">
      <w:pPr>
        <w:pStyle w:val="ListParagraph"/>
        <w:numPr>
          <w:ilvl w:val="1"/>
          <w:numId w:val="177"/>
        </w:numPr>
        <w:tabs>
          <w:tab w:val="left" w:pos="1801"/>
          <w:tab w:val="left" w:pos="1802"/>
        </w:tabs>
        <w:spacing w:before="127" w:line="206" w:lineRule="auto"/>
        <w:ind w:right="1191"/>
        <w:rPr>
          <w:sz w:val="20"/>
        </w:rPr>
      </w:pPr>
      <w:r>
        <w:rPr>
          <w:color w:val="231F20"/>
          <w:sz w:val="20"/>
        </w:rPr>
        <w:t>The</w:t>
      </w:r>
      <w:r>
        <w:rPr>
          <w:color w:val="231F20"/>
          <w:spacing w:val="-8"/>
          <w:sz w:val="20"/>
        </w:rPr>
        <w:t xml:space="preserve"> </w:t>
      </w:r>
      <w:r>
        <w:rPr>
          <w:color w:val="231F20"/>
          <w:sz w:val="20"/>
        </w:rPr>
        <w:t>stalking</w:t>
      </w:r>
      <w:r>
        <w:rPr>
          <w:color w:val="231F20"/>
          <w:spacing w:val="-7"/>
          <w:sz w:val="20"/>
        </w:rPr>
        <w:t xml:space="preserve"> </w:t>
      </w:r>
      <w:r>
        <w:rPr>
          <w:color w:val="231F20"/>
          <w:sz w:val="20"/>
        </w:rPr>
        <w:t>offence</w:t>
      </w:r>
      <w:r>
        <w:rPr>
          <w:color w:val="231F20"/>
          <w:spacing w:val="-7"/>
          <w:sz w:val="20"/>
        </w:rPr>
        <w:t xml:space="preserve"> </w:t>
      </w:r>
      <w:r>
        <w:rPr>
          <w:color w:val="231F20"/>
          <w:sz w:val="20"/>
        </w:rPr>
        <w:t>and</w:t>
      </w:r>
      <w:r>
        <w:rPr>
          <w:color w:val="231F20"/>
          <w:spacing w:val="-8"/>
          <w:sz w:val="20"/>
        </w:rPr>
        <w:t xml:space="preserve"> </w:t>
      </w:r>
      <w:r>
        <w:rPr>
          <w:color w:val="231F20"/>
          <w:sz w:val="20"/>
        </w:rPr>
        <w:t>the</w:t>
      </w:r>
      <w:r>
        <w:rPr>
          <w:color w:val="231F20"/>
          <w:spacing w:val="-7"/>
          <w:sz w:val="20"/>
        </w:rPr>
        <w:t xml:space="preserve"> </w:t>
      </w:r>
      <w:r>
        <w:rPr>
          <w:color w:val="231F20"/>
          <w:sz w:val="20"/>
        </w:rPr>
        <w:t>PSIO</w:t>
      </w:r>
      <w:r>
        <w:rPr>
          <w:color w:val="231F20"/>
          <w:spacing w:val="-7"/>
          <w:sz w:val="20"/>
        </w:rPr>
        <w:t xml:space="preserve"> </w:t>
      </w:r>
      <w:r>
        <w:rPr>
          <w:color w:val="231F20"/>
          <w:spacing w:val="-2"/>
          <w:sz w:val="20"/>
        </w:rPr>
        <w:t>system</w:t>
      </w:r>
      <w:r>
        <w:rPr>
          <w:color w:val="231F20"/>
          <w:spacing w:val="-7"/>
          <w:sz w:val="20"/>
        </w:rPr>
        <w:t xml:space="preserve"> </w:t>
      </w:r>
      <w:r>
        <w:rPr>
          <w:color w:val="231F20"/>
          <w:spacing w:val="-4"/>
          <w:sz w:val="20"/>
        </w:rPr>
        <w:t>were</w:t>
      </w:r>
      <w:r>
        <w:rPr>
          <w:color w:val="231F20"/>
          <w:spacing w:val="-8"/>
          <w:sz w:val="20"/>
        </w:rPr>
        <w:t xml:space="preserve"> </w:t>
      </w:r>
      <w:r>
        <w:rPr>
          <w:color w:val="231F20"/>
          <w:spacing w:val="-3"/>
          <w:sz w:val="20"/>
        </w:rPr>
        <w:t>introduced</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protect</w:t>
      </w:r>
      <w:r>
        <w:rPr>
          <w:color w:val="231F20"/>
          <w:spacing w:val="-8"/>
          <w:sz w:val="20"/>
        </w:rPr>
        <w:t xml:space="preserve"> </w:t>
      </w:r>
      <w:r>
        <w:rPr>
          <w:color w:val="231F20"/>
          <w:sz w:val="20"/>
        </w:rPr>
        <w:t>victim</w:t>
      </w:r>
      <w:r>
        <w:rPr>
          <w:color w:val="231F20"/>
          <w:spacing w:val="-7"/>
          <w:sz w:val="20"/>
        </w:rPr>
        <w:t xml:space="preserve"> </w:t>
      </w:r>
      <w:r>
        <w:rPr>
          <w:color w:val="231F20"/>
          <w:sz w:val="20"/>
        </w:rPr>
        <w:t>survivors.</w:t>
      </w:r>
      <w:r>
        <w:rPr>
          <w:color w:val="231F20"/>
          <w:position w:val="7"/>
          <w:sz w:val="11"/>
        </w:rPr>
        <w:t>20</w:t>
      </w:r>
      <w:r>
        <w:rPr>
          <w:color w:val="231F20"/>
          <w:sz w:val="11"/>
        </w:rPr>
        <w:t xml:space="preserve"> </w:t>
      </w:r>
      <w:r>
        <w:rPr>
          <w:color w:val="231F20"/>
          <w:sz w:val="20"/>
        </w:rPr>
        <w:t xml:space="preserve">Our terms of </w:t>
      </w:r>
      <w:r>
        <w:rPr>
          <w:color w:val="231F20"/>
          <w:spacing w:val="-3"/>
          <w:sz w:val="20"/>
        </w:rPr>
        <w:t xml:space="preserve">reference </w:t>
      </w:r>
      <w:r>
        <w:rPr>
          <w:color w:val="231F20"/>
          <w:sz w:val="20"/>
        </w:rPr>
        <w:t xml:space="preserve">ask us to make ‘victim safety and wellbeing the paramount </w:t>
      </w:r>
      <w:r>
        <w:rPr>
          <w:color w:val="231F20"/>
          <w:spacing w:val="-3"/>
          <w:sz w:val="20"/>
        </w:rPr>
        <w:t xml:space="preserve">consideration’. </w:t>
      </w:r>
      <w:r>
        <w:rPr>
          <w:color w:val="231F20"/>
          <w:spacing w:val="-4"/>
          <w:sz w:val="20"/>
        </w:rPr>
        <w:t xml:space="preserve">Accordingly, </w:t>
      </w:r>
      <w:r>
        <w:rPr>
          <w:color w:val="231F20"/>
          <w:sz w:val="20"/>
        </w:rPr>
        <w:t xml:space="preserve">many of our recommendations </w:t>
      </w:r>
      <w:r>
        <w:rPr>
          <w:color w:val="231F20"/>
          <w:spacing w:val="-3"/>
          <w:sz w:val="20"/>
        </w:rPr>
        <w:t xml:space="preserve">are </w:t>
      </w:r>
      <w:r>
        <w:rPr>
          <w:color w:val="231F20"/>
          <w:sz w:val="20"/>
        </w:rPr>
        <w:t>about keeping victim survivors</w:t>
      </w:r>
      <w:r>
        <w:rPr>
          <w:color w:val="231F20"/>
          <w:spacing w:val="-5"/>
          <w:sz w:val="20"/>
        </w:rPr>
        <w:t xml:space="preserve"> </w:t>
      </w:r>
      <w:r>
        <w:rPr>
          <w:color w:val="231F20"/>
          <w:spacing w:val="-3"/>
          <w:sz w:val="20"/>
        </w:rPr>
        <w:t>safe.</w:t>
      </w:r>
    </w:p>
    <w:p w14:paraId="2BB4072E" w14:textId="77777777" w:rsidR="00894070" w:rsidRDefault="00894070">
      <w:pPr>
        <w:pStyle w:val="BodyText"/>
        <w:spacing w:before="11"/>
        <w:rPr>
          <w:sz w:val="15"/>
        </w:rPr>
      </w:pPr>
    </w:p>
    <w:p w14:paraId="34843DB6" w14:textId="77777777" w:rsidR="00894070" w:rsidRDefault="009B7AFD">
      <w:pPr>
        <w:pStyle w:val="Heading8"/>
        <w:ind w:left="1007"/>
      </w:pPr>
      <w:r>
        <w:rPr>
          <w:color w:val="231F20"/>
        </w:rPr>
        <w:t>Victim survivors have a range of justice needs</w:t>
      </w:r>
    </w:p>
    <w:p w14:paraId="50404C54" w14:textId="77777777" w:rsidR="00894070" w:rsidRDefault="009B7AFD">
      <w:pPr>
        <w:pStyle w:val="ListParagraph"/>
        <w:numPr>
          <w:ilvl w:val="1"/>
          <w:numId w:val="177"/>
        </w:numPr>
        <w:tabs>
          <w:tab w:val="left" w:pos="1801"/>
          <w:tab w:val="left" w:pos="1802"/>
        </w:tabs>
        <w:spacing w:before="128" w:line="206" w:lineRule="auto"/>
        <w:ind w:right="1145"/>
        <w:rPr>
          <w:sz w:val="11"/>
        </w:rPr>
      </w:pPr>
      <w:r>
        <w:rPr>
          <w:color w:val="231F20"/>
          <w:spacing w:val="-3"/>
          <w:sz w:val="20"/>
        </w:rPr>
        <w:t>Importantly,</w:t>
      </w:r>
      <w:r>
        <w:rPr>
          <w:color w:val="231F20"/>
          <w:spacing w:val="-9"/>
          <w:sz w:val="20"/>
        </w:rPr>
        <w:t xml:space="preserve"> </w:t>
      </w:r>
      <w:r>
        <w:rPr>
          <w:color w:val="231F20"/>
          <w:sz w:val="20"/>
        </w:rPr>
        <w:t>stalking</w:t>
      </w:r>
      <w:r>
        <w:rPr>
          <w:color w:val="231F20"/>
          <w:spacing w:val="-8"/>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8"/>
          <w:sz w:val="20"/>
        </w:rPr>
        <w:t xml:space="preserve"> </w:t>
      </w:r>
      <w:r>
        <w:rPr>
          <w:color w:val="231F20"/>
          <w:spacing w:val="-4"/>
          <w:sz w:val="20"/>
        </w:rPr>
        <w:t>have</w:t>
      </w:r>
      <w:r>
        <w:rPr>
          <w:color w:val="231F20"/>
          <w:spacing w:val="-9"/>
          <w:sz w:val="20"/>
        </w:rPr>
        <w:t xml:space="preserve"> </w:t>
      </w:r>
      <w:r>
        <w:rPr>
          <w:color w:val="231F20"/>
          <w:sz w:val="20"/>
        </w:rPr>
        <w:t>a</w:t>
      </w:r>
      <w:r>
        <w:rPr>
          <w:color w:val="231F20"/>
          <w:spacing w:val="-8"/>
          <w:sz w:val="20"/>
        </w:rPr>
        <w:t xml:space="preserve"> </w:t>
      </w:r>
      <w:r>
        <w:rPr>
          <w:color w:val="231F20"/>
          <w:sz w:val="20"/>
        </w:rPr>
        <w:t>specific</w:t>
      </w:r>
      <w:r>
        <w:rPr>
          <w:color w:val="231F20"/>
          <w:spacing w:val="-8"/>
          <w:sz w:val="20"/>
        </w:rPr>
        <w:t xml:space="preserve"> </w:t>
      </w:r>
      <w:r>
        <w:rPr>
          <w:color w:val="231F20"/>
          <w:sz w:val="20"/>
        </w:rPr>
        <w:t>need:</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the</w:t>
      </w:r>
      <w:r>
        <w:rPr>
          <w:color w:val="231F20"/>
          <w:spacing w:val="-9"/>
          <w:sz w:val="20"/>
        </w:rPr>
        <w:t xml:space="preserve"> </w:t>
      </w:r>
      <w:r>
        <w:rPr>
          <w:color w:val="231F20"/>
          <w:sz w:val="20"/>
        </w:rPr>
        <w:t>stalking</w:t>
      </w:r>
      <w:r>
        <w:rPr>
          <w:color w:val="231F20"/>
          <w:spacing w:val="-8"/>
          <w:sz w:val="20"/>
        </w:rPr>
        <w:t xml:space="preserve"> </w:t>
      </w:r>
      <w:r>
        <w:rPr>
          <w:color w:val="231F20"/>
          <w:sz w:val="20"/>
        </w:rPr>
        <w:t>to</w:t>
      </w:r>
      <w:r>
        <w:rPr>
          <w:color w:val="231F20"/>
          <w:spacing w:val="-8"/>
          <w:sz w:val="20"/>
        </w:rPr>
        <w:t xml:space="preserve"> </w:t>
      </w:r>
      <w:r>
        <w:rPr>
          <w:color w:val="231F20"/>
          <w:sz w:val="20"/>
        </w:rPr>
        <w:t>stop</w:t>
      </w:r>
      <w:r>
        <w:rPr>
          <w:color w:val="231F20"/>
          <w:spacing w:val="-9"/>
          <w:sz w:val="20"/>
        </w:rPr>
        <w:t xml:space="preserve"> </w:t>
      </w:r>
      <w:r>
        <w:rPr>
          <w:color w:val="231F20"/>
          <w:sz w:val="20"/>
        </w:rPr>
        <w:t>and</w:t>
      </w:r>
      <w:r>
        <w:rPr>
          <w:color w:val="231F20"/>
          <w:spacing w:val="-8"/>
          <w:sz w:val="20"/>
        </w:rPr>
        <w:t xml:space="preserve"> </w:t>
      </w:r>
      <w:r>
        <w:rPr>
          <w:color w:val="231F20"/>
          <w:sz w:val="20"/>
        </w:rPr>
        <w:t>to feel safe.</w:t>
      </w:r>
      <w:r>
        <w:rPr>
          <w:color w:val="231F20"/>
          <w:position w:val="7"/>
          <w:sz w:val="11"/>
        </w:rPr>
        <w:t xml:space="preserve">21 </w:t>
      </w:r>
      <w:r>
        <w:rPr>
          <w:color w:val="231F20"/>
          <w:sz w:val="20"/>
        </w:rPr>
        <w:t xml:space="preserve">As one study noted, </w:t>
      </w:r>
      <w:r>
        <w:rPr>
          <w:color w:val="231F20"/>
          <w:spacing w:val="-5"/>
          <w:sz w:val="20"/>
        </w:rPr>
        <w:t xml:space="preserve">‘As </w:t>
      </w:r>
      <w:r>
        <w:rPr>
          <w:color w:val="231F20"/>
          <w:sz w:val="20"/>
        </w:rPr>
        <w:t xml:space="preserve">long as their safety is increased, some victims care little about </w:t>
      </w:r>
      <w:proofErr w:type="gramStart"/>
      <w:r>
        <w:rPr>
          <w:color w:val="231F20"/>
          <w:sz w:val="20"/>
        </w:rPr>
        <w:t xml:space="preserve">the means </w:t>
      </w:r>
      <w:r>
        <w:rPr>
          <w:color w:val="231F20"/>
          <w:spacing w:val="-3"/>
          <w:sz w:val="20"/>
        </w:rPr>
        <w:t xml:space="preserve">by </w:t>
      </w:r>
      <w:r>
        <w:rPr>
          <w:color w:val="231F20"/>
          <w:sz w:val="20"/>
        </w:rPr>
        <w:t>which</w:t>
      </w:r>
      <w:proofErr w:type="gramEnd"/>
      <w:r>
        <w:rPr>
          <w:color w:val="231F20"/>
          <w:sz w:val="20"/>
        </w:rPr>
        <w:t xml:space="preserve"> this </w:t>
      </w:r>
      <w:r>
        <w:rPr>
          <w:color w:val="231F20"/>
          <w:spacing w:val="-3"/>
          <w:sz w:val="20"/>
        </w:rPr>
        <w:t xml:space="preserve">result </w:t>
      </w:r>
      <w:r>
        <w:rPr>
          <w:color w:val="231F20"/>
          <w:sz w:val="20"/>
        </w:rPr>
        <w:t>was</w:t>
      </w:r>
      <w:r>
        <w:rPr>
          <w:color w:val="231F20"/>
          <w:spacing w:val="-33"/>
          <w:sz w:val="20"/>
        </w:rPr>
        <w:t xml:space="preserve"> </w:t>
      </w:r>
      <w:r>
        <w:rPr>
          <w:color w:val="231F20"/>
          <w:spacing w:val="-3"/>
          <w:sz w:val="20"/>
        </w:rPr>
        <w:t>achieved.’</w:t>
      </w:r>
      <w:r>
        <w:rPr>
          <w:color w:val="231F20"/>
          <w:spacing w:val="-3"/>
          <w:position w:val="7"/>
          <w:sz w:val="11"/>
        </w:rPr>
        <w:t>22</w:t>
      </w:r>
    </w:p>
    <w:p w14:paraId="4DBD0ADB" w14:textId="77777777" w:rsidR="00894070" w:rsidRDefault="009B7AFD">
      <w:pPr>
        <w:pStyle w:val="ListParagraph"/>
        <w:numPr>
          <w:ilvl w:val="1"/>
          <w:numId w:val="177"/>
        </w:numPr>
        <w:tabs>
          <w:tab w:val="left" w:pos="1801"/>
          <w:tab w:val="left" w:pos="1802"/>
        </w:tabs>
        <w:spacing w:before="123" w:line="206" w:lineRule="auto"/>
        <w:ind w:right="1186"/>
        <w:rPr>
          <w:sz w:val="11"/>
        </w:rPr>
      </w:pPr>
      <w:r>
        <w:rPr>
          <w:color w:val="231F20"/>
          <w:sz w:val="20"/>
        </w:rPr>
        <w:t xml:space="preserve">Some victim survivors, </w:t>
      </w:r>
      <w:r>
        <w:rPr>
          <w:color w:val="231F20"/>
          <w:spacing w:val="-5"/>
          <w:sz w:val="20"/>
        </w:rPr>
        <w:t xml:space="preserve">however, </w:t>
      </w:r>
      <w:r>
        <w:rPr>
          <w:color w:val="231F20"/>
          <w:sz w:val="20"/>
        </w:rPr>
        <w:t xml:space="preserve">see the need </w:t>
      </w:r>
      <w:r>
        <w:rPr>
          <w:color w:val="231F20"/>
          <w:spacing w:val="-3"/>
          <w:sz w:val="20"/>
        </w:rPr>
        <w:t xml:space="preserve">for </w:t>
      </w:r>
      <w:r>
        <w:rPr>
          <w:color w:val="231F20"/>
          <w:sz w:val="20"/>
        </w:rPr>
        <w:t xml:space="preserve">people who stalk to </w:t>
      </w:r>
      <w:r>
        <w:rPr>
          <w:color w:val="231F20"/>
          <w:spacing w:val="-3"/>
          <w:sz w:val="20"/>
        </w:rPr>
        <w:t xml:space="preserve">receive </w:t>
      </w:r>
      <w:r>
        <w:rPr>
          <w:color w:val="231F20"/>
          <w:sz w:val="20"/>
        </w:rPr>
        <w:t xml:space="preserve">longer sentences, </w:t>
      </w:r>
      <w:r>
        <w:rPr>
          <w:color w:val="231F20"/>
          <w:spacing w:val="-3"/>
          <w:sz w:val="20"/>
        </w:rPr>
        <w:t xml:space="preserve">for </w:t>
      </w:r>
      <w:r>
        <w:rPr>
          <w:color w:val="231F20"/>
          <w:sz w:val="20"/>
        </w:rPr>
        <w:t xml:space="preserve">the </w:t>
      </w:r>
      <w:r>
        <w:rPr>
          <w:color w:val="231F20"/>
          <w:spacing w:val="-3"/>
          <w:sz w:val="20"/>
        </w:rPr>
        <w:t xml:space="preserve">protection </w:t>
      </w:r>
      <w:r>
        <w:rPr>
          <w:color w:val="231F20"/>
          <w:sz w:val="20"/>
        </w:rPr>
        <w:t xml:space="preserve">of the people who </w:t>
      </w:r>
      <w:r>
        <w:rPr>
          <w:color w:val="231F20"/>
          <w:spacing w:val="-4"/>
          <w:sz w:val="20"/>
        </w:rPr>
        <w:t xml:space="preserve">were </w:t>
      </w:r>
      <w:r>
        <w:rPr>
          <w:color w:val="231F20"/>
          <w:sz w:val="20"/>
        </w:rPr>
        <w:t xml:space="preserve">stalked or to ensure those </w:t>
      </w:r>
      <w:r>
        <w:rPr>
          <w:color w:val="231F20"/>
          <w:spacing w:val="-3"/>
          <w:sz w:val="20"/>
        </w:rPr>
        <w:t>responsible</w:t>
      </w:r>
      <w:r>
        <w:rPr>
          <w:color w:val="231F20"/>
          <w:spacing w:val="-8"/>
          <w:sz w:val="20"/>
        </w:rPr>
        <w:t xml:space="preserve"> </w:t>
      </w:r>
      <w:r>
        <w:rPr>
          <w:color w:val="231F20"/>
          <w:spacing w:val="-3"/>
          <w:sz w:val="20"/>
        </w:rPr>
        <w:t>are</w:t>
      </w:r>
      <w:r>
        <w:rPr>
          <w:color w:val="231F20"/>
          <w:spacing w:val="-7"/>
          <w:sz w:val="20"/>
        </w:rPr>
        <w:t xml:space="preserve"> </w:t>
      </w:r>
      <w:r>
        <w:rPr>
          <w:color w:val="231F20"/>
          <w:sz w:val="20"/>
        </w:rPr>
        <w:t>held</w:t>
      </w:r>
      <w:r>
        <w:rPr>
          <w:color w:val="231F20"/>
          <w:spacing w:val="-7"/>
          <w:sz w:val="20"/>
        </w:rPr>
        <w:t xml:space="preserve"> </w:t>
      </w:r>
      <w:r>
        <w:rPr>
          <w:color w:val="231F20"/>
          <w:sz w:val="20"/>
        </w:rPr>
        <w:t>to</w:t>
      </w:r>
      <w:r>
        <w:rPr>
          <w:color w:val="231F20"/>
          <w:spacing w:val="-7"/>
          <w:sz w:val="20"/>
        </w:rPr>
        <w:t xml:space="preserve"> </w:t>
      </w:r>
      <w:r>
        <w:rPr>
          <w:color w:val="231F20"/>
          <w:sz w:val="20"/>
        </w:rPr>
        <w:t>account.</w:t>
      </w:r>
      <w:r>
        <w:rPr>
          <w:color w:val="231F20"/>
          <w:spacing w:val="-7"/>
          <w:sz w:val="20"/>
        </w:rPr>
        <w:t xml:space="preserve"> </w:t>
      </w:r>
      <w:r>
        <w:rPr>
          <w:color w:val="231F20"/>
          <w:sz w:val="20"/>
        </w:rPr>
        <w:t>Others</w:t>
      </w:r>
      <w:r>
        <w:rPr>
          <w:color w:val="231F20"/>
          <w:spacing w:val="-7"/>
          <w:sz w:val="20"/>
        </w:rPr>
        <w:t xml:space="preserve"> </w:t>
      </w:r>
      <w:r>
        <w:rPr>
          <w:color w:val="231F20"/>
          <w:sz w:val="20"/>
        </w:rPr>
        <w:t>call</w:t>
      </w:r>
      <w:r>
        <w:rPr>
          <w:color w:val="231F20"/>
          <w:spacing w:val="-8"/>
          <w:sz w:val="20"/>
        </w:rPr>
        <w:t xml:space="preserve"> </w:t>
      </w:r>
      <w:r>
        <w:rPr>
          <w:color w:val="231F20"/>
          <w:spacing w:val="-3"/>
          <w:sz w:val="20"/>
        </w:rPr>
        <w:t>for</w:t>
      </w:r>
      <w:r>
        <w:rPr>
          <w:color w:val="231F20"/>
          <w:spacing w:val="-7"/>
          <w:sz w:val="20"/>
        </w:rPr>
        <w:t xml:space="preserve"> </w:t>
      </w:r>
      <w:r>
        <w:rPr>
          <w:color w:val="231F20"/>
          <w:sz w:val="20"/>
        </w:rPr>
        <w:t>the</w:t>
      </w:r>
      <w:r>
        <w:rPr>
          <w:color w:val="231F20"/>
          <w:spacing w:val="-7"/>
          <w:sz w:val="20"/>
        </w:rPr>
        <w:t xml:space="preserve"> </w:t>
      </w:r>
      <w:r>
        <w:rPr>
          <w:color w:val="231F20"/>
          <w:sz w:val="20"/>
        </w:rPr>
        <w:t>people</w:t>
      </w:r>
      <w:r>
        <w:rPr>
          <w:color w:val="231F20"/>
          <w:spacing w:val="-7"/>
          <w:sz w:val="20"/>
        </w:rPr>
        <w:t xml:space="preserve"> </w:t>
      </w:r>
      <w:r>
        <w:rPr>
          <w:color w:val="231F20"/>
          <w:sz w:val="20"/>
        </w:rPr>
        <w:t>who</w:t>
      </w:r>
      <w:r>
        <w:rPr>
          <w:color w:val="231F20"/>
          <w:spacing w:val="-7"/>
          <w:sz w:val="20"/>
        </w:rPr>
        <w:t xml:space="preserve"> </w:t>
      </w:r>
      <w:r>
        <w:rPr>
          <w:color w:val="231F20"/>
          <w:sz w:val="20"/>
        </w:rPr>
        <w:t>stalked</w:t>
      </w:r>
      <w:r>
        <w:rPr>
          <w:color w:val="231F20"/>
          <w:spacing w:val="-7"/>
          <w:sz w:val="20"/>
        </w:rPr>
        <w:t xml:space="preserve"> </w:t>
      </w:r>
      <w:r>
        <w:rPr>
          <w:color w:val="231F20"/>
          <w:sz w:val="20"/>
        </w:rPr>
        <w:t>them</w:t>
      </w:r>
      <w:r>
        <w:rPr>
          <w:color w:val="231F20"/>
          <w:spacing w:val="-8"/>
          <w:sz w:val="20"/>
        </w:rPr>
        <w:t xml:space="preserve"> </w:t>
      </w:r>
      <w:r>
        <w:rPr>
          <w:color w:val="231F20"/>
          <w:sz w:val="20"/>
        </w:rPr>
        <w:t>to</w:t>
      </w:r>
      <w:r>
        <w:rPr>
          <w:color w:val="231F20"/>
          <w:spacing w:val="-7"/>
          <w:sz w:val="20"/>
        </w:rPr>
        <w:t xml:space="preserve"> </w:t>
      </w:r>
      <w:r>
        <w:rPr>
          <w:color w:val="231F20"/>
          <w:spacing w:val="-3"/>
          <w:sz w:val="20"/>
        </w:rPr>
        <w:t xml:space="preserve">receive </w:t>
      </w:r>
      <w:r>
        <w:rPr>
          <w:color w:val="231F20"/>
          <w:sz w:val="20"/>
        </w:rPr>
        <w:t>treatment.</w:t>
      </w:r>
      <w:r>
        <w:rPr>
          <w:color w:val="231F20"/>
          <w:position w:val="7"/>
          <w:sz w:val="11"/>
        </w:rPr>
        <w:t>23</w:t>
      </w:r>
    </w:p>
    <w:p w14:paraId="68565351" w14:textId="77777777" w:rsidR="00894070" w:rsidRDefault="009B7AFD">
      <w:pPr>
        <w:pStyle w:val="ListParagraph"/>
        <w:numPr>
          <w:ilvl w:val="1"/>
          <w:numId w:val="177"/>
        </w:numPr>
        <w:tabs>
          <w:tab w:val="left" w:pos="1801"/>
          <w:tab w:val="left" w:pos="1802"/>
        </w:tabs>
        <w:spacing w:before="125" w:line="206" w:lineRule="auto"/>
        <w:ind w:right="1327"/>
        <w:rPr>
          <w:sz w:val="20"/>
        </w:rPr>
      </w:pPr>
      <w:r>
        <w:rPr>
          <w:color w:val="231F20"/>
          <w:sz w:val="20"/>
        </w:rPr>
        <w:t>In</w:t>
      </w:r>
      <w:r>
        <w:rPr>
          <w:color w:val="231F20"/>
          <w:spacing w:val="-7"/>
          <w:sz w:val="20"/>
        </w:rPr>
        <w:t xml:space="preserve"> </w:t>
      </w:r>
      <w:r>
        <w:rPr>
          <w:color w:val="231F20"/>
          <w:sz w:val="20"/>
        </w:rPr>
        <w:t>our</w:t>
      </w:r>
      <w:r>
        <w:rPr>
          <w:color w:val="231F20"/>
          <w:spacing w:val="-7"/>
          <w:sz w:val="20"/>
        </w:rPr>
        <w:t xml:space="preserve"> </w:t>
      </w:r>
      <w:r>
        <w:rPr>
          <w:color w:val="231F20"/>
          <w:sz w:val="20"/>
        </w:rPr>
        <w:t>reports</w:t>
      </w:r>
      <w:r>
        <w:rPr>
          <w:color w:val="231F20"/>
          <w:spacing w:val="-7"/>
          <w:sz w:val="20"/>
        </w:rPr>
        <w:t xml:space="preserve"> </w:t>
      </w:r>
      <w:r>
        <w:rPr>
          <w:color w:val="231F20"/>
          <w:sz w:val="20"/>
        </w:rPr>
        <w:t>The</w:t>
      </w:r>
      <w:r>
        <w:rPr>
          <w:color w:val="231F20"/>
          <w:spacing w:val="-6"/>
          <w:sz w:val="20"/>
        </w:rPr>
        <w:t xml:space="preserve"> </w:t>
      </w:r>
      <w:r>
        <w:rPr>
          <w:color w:val="231F20"/>
          <w:spacing w:val="-3"/>
          <w:sz w:val="20"/>
        </w:rPr>
        <w:t>Role</w:t>
      </w:r>
      <w:r>
        <w:rPr>
          <w:color w:val="231F20"/>
          <w:spacing w:val="-7"/>
          <w:sz w:val="20"/>
        </w:rPr>
        <w:t xml:space="preserve"> </w:t>
      </w:r>
      <w:r>
        <w:rPr>
          <w:color w:val="231F20"/>
          <w:sz w:val="20"/>
        </w:rPr>
        <w:t>of</w:t>
      </w:r>
      <w:r>
        <w:rPr>
          <w:color w:val="231F20"/>
          <w:spacing w:val="-7"/>
          <w:sz w:val="20"/>
        </w:rPr>
        <w:t xml:space="preserve"> </w:t>
      </w:r>
      <w:r>
        <w:rPr>
          <w:color w:val="231F20"/>
          <w:sz w:val="20"/>
        </w:rPr>
        <w:t>Victims</w:t>
      </w:r>
      <w:r>
        <w:rPr>
          <w:color w:val="231F20"/>
          <w:spacing w:val="-7"/>
          <w:sz w:val="20"/>
        </w:rPr>
        <w:t xml:space="preserve"> </w:t>
      </w:r>
      <w:r>
        <w:rPr>
          <w:color w:val="231F20"/>
          <w:sz w:val="20"/>
        </w:rPr>
        <w:t>of</w:t>
      </w:r>
      <w:r>
        <w:rPr>
          <w:color w:val="231F20"/>
          <w:spacing w:val="-6"/>
          <w:sz w:val="20"/>
        </w:rPr>
        <w:t xml:space="preserve"> </w:t>
      </w:r>
      <w:r>
        <w:rPr>
          <w:color w:val="231F20"/>
          <w:sz w:val="20"/>
        </w:rPr>
        <w:t>Crime</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Criminal</w:t>
      </w:r>
      <w:r>
        <w:rPr>
          <w:color w:val="231F20"/>
          <w:spacing w:val="-6"/>
          <w:sz w:val="20"/>
        </w:rPr>
        <w:t xml:space="preserve"> </w:t>
      </w:r>
      <w:r>
        <w:rPr>
          <w:color w:val="231F20"/>
          <w:spacing w:val="-5"/>
          <w:sz w:val="20"/>
        </w:rPr>
        <w:t>Trial</w:t>
      </w:r>
      <w:r>
        <w:rPr>
          <w:color w:val="231F20"/>
          <w:spacing w:val="-7"/>
          <w:sz w:val="20"/>
        </w:rPr>
        <w:t xml:space="preserve"> </w:t>
      </w:r>
      <w:r>
        <w:rPr>
          <w:color w:val="231F20"/>
          <w:spacing w:val="-3"/>
          <w:sz w:val="20"/>
        </w:rPr>
        <w:t>Process</w:t>
      </w:r>
      <w:r>
        <w:rPr>
          <w:color w:val="231F20"/>
          <w:spacing w:val="-7"/>
          <w:sz w:val="20"/>
        </w:rPr>
        <w:t xml:space="preserve"> </w:t>
      </w:r>
      <w:r>
        <w:rPr>
          <w:color w:val="231F20"/>
          <w:spacing w:val="-3"/>
          <w:sz w:val="20"/>
        </w:rPr>
        <w:t>(2016)</w:t>
      </w:r>
      <w:r>
        <w:rPr>
          <w:color w:val="231F20"/>
          <w:spacing w:val="-7"/>
          <w:sz w:val="20"/>
        </w:rPr>
        <w:t xml:space="preserve"> </w:t>
      </w:r>
      <w:r>
        <w:rPr>
          <w:color w:val="231F20"/>
          <w:sz w:val="20"/>
        </w:rPr>
        <w:t>and</w:t>
      </w:r>
      <w:r>
        <w:rPr>
          <w:color w:val="231F20"/>
          <w:spacing w:val="-6"/>
          <w:sz w:val="20"/>
        </w:rPr>
        <w:t xml:space="preserve"> </w:t>
      </w:r>
      <w:r>
        <w:rPr>
          <w:color w:val="231F20"/>
          <w:sz w:val="20"/>
        </w:rPr>
        <w:t>The Response</w:t>
      </w:r>
      <w:r>
        <w:rPr>
          <w:color w:val="231F20"/>
          <w:spacing w:val="-11"/>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Justice</w:t>
      </w:r>
      <w:r>
        <w:rPr>
          <w:color w:val="231F20"/>
          <w:spacing w:val="-10"/>
          <w:sz w:val="20"/>
        </w:rPr>
        <w:t xml:space="preserve"> </w:t>
      </w:r>
      <w:r>
        <w:rPr>
          <w:color w:val="231F20"/>
          <w:spacing w:val="-3"/>
          <w:sz w:val="20"/>
        </w:rPr>
        <w:t>System</w:t>
      </w:r>
      <w:r>
        <w:rPr>
          <w:color w:val="231F20"/>
          <w:spacing w:val="-10"/>
          <w:sz w:val="20"/>
        </w:rPr>
        <w:t xml:space="preserve"> </w:t>
      </w:r>
      <w:r>
        <w:rPr>
          <w:color w:val="231F20"/>
          <w:sz w:val="20"/>
        </w:rPr>
        <w:t>to</w:t>
      </w:r>
      <w:r>
        <w:rPr>
          <w:color w:val="231F20"/>
          <w:spacing w:val="-10"/>
          <w:sz w:val="20"/>
        </w:rPr>
        <w:t xml:space="preserve"> </w:t>
      </w:r>
      <w:r>
        <w:rPr>
          <w:color w:val="231F20"/>
          <w:sz w:val="20"/>
        </w:rPr>
        <w:t>Sexual</w:t>
      </w:r>
      <w:r>
        <w:rPr>
          <w:color w:val="231F20"/>
          <w:spacing w:val="-10"/>
          <w:sz w:val="20"/>
        </w:rPr>
        <w:t xml:space="preserve"> </w:t>
      </w:r>
      <w:r>
        <w:rPr>
          <w:color w:val="231F20"/>
          <w:sz w:val="20"/>
        </w:rPr>
        <w:t>Offences</w:t>
      </w:r>
      <w:r>
        <w:rPr>
          <w:color w:val="231F20"/>
          <w:spacing w:val="-11"/>
          <w:sz w:val="20"/>
        </w:rPr>
        <w:t xml:space="preserve"> </w:t>
      </w:r>
      <w:r>
        <w:rPr>
          <w:color w:val="231F20"/>
          <w:sz w:val="20"/>
        </w:rPr>
        <w:t>(2021)</w:t>
      </w:r>
      <w:r>
        <w:rPr>
          <w:color w:val="231F20"/>
          <w:spacing w:val="-10"/>
          <w:sz w:val="20"/>
        </w:rPr>
        <w:t xml:space="preserve"> </w:t>
      </w:r>
      <w:r>
        <w:rPr>
          <w:color w:val="231F20"/>
          <w:spacing w:val="-3"/>
          <w:sz w:val="20"/>
        </w:rPr>
        <w:t>we</w:t>
      </w:r>
      <w:r>
        <w:rPr>
          <w:color w:val="231F20"/>
          <w:spacing w:val="-10"/>
          <w:sz w:val="20"/>
        </w:rPr>
        <w:t xml:space="preserve"> </w:t>
      </w:r>
      <w:proofErr w:type="spellStart"/>
      <w:r>
        <w:rPr>
          <w:color w:val="231F20"/>
          <w:sz w:val="20"/>
        </w:rPr>
        <w:t>summarised</w:t>
      </w:r>
      <w:proofErr w:type="spellEnd"/>
      <w:r>
        <w:rPr>
          <w:color w:val="231F20"/>
          <w:spacing w:val="-10"/>
          <w:sz w:val="20"/>
        </w:rPr>
        <w:t xml:space="preserve"> </w:t>
      </w:r>
      <w:r>
        <w:rPr>
          <w:color w:val="231F20"/>
          <w:sz w:val="20"/>
        </w:rPr>
        <w:t>a</w:t>
      </w:r>
      <w:r>
        <w:rPr>
          <w:color w:val="231F20"/>
          <w:spacing w:val="-10"/>
          <w:sz w:val="20"/>
        </w:rPr>
        <w:t xml:space="preserve"> </w:t>
      </w:r>
      <w:r>
        <w:rPr>
          <w:color w:val="231F20"/>
          <w:sz w:val="20"/>
        </w:rPr>
        <w:t>range</w:t>
      </w:r>
      <w:r>
        <w:rPr>
          <w:color w:val="231F20"/>
          <w:spacing w:val="-10"/>
          <w:sz w:val="20"/>
        </w:rPr>
        <w:t xml:space="preserve"> </w:t>
      </w:r>
      <w:r>
        <w:rPr>
          <w:color w:val="231F20"/>
          <w:sz w:val="20"/>
        </w:rPr>
        <w:t xml:space="preserve">of justice needs </w:t>
      </w:r>
      <w:proofErr w:type="gramStart"/>
      <w:r>
        <w:rPr>
          <w:color w:val="231F20"/>
          <w:sz w:val="20"/>
        </w:rPr>
        <w:t>that victims of crime</w:t>
      </w:r>
      <w:proofErr w:type="gramEnd"/>
      <w:r>
        <w:rPr>
          <w:color w:val="231F20"/>
          <w:spacing w:val="-27"/>
          <w:sz w:val="20"/>
        </w:rPr>
        <w:t xml:space="preserve"> </w:t>
      </w:r>
      <w:r>
        <w:rPr>
          <w:color w:val="231F20"/>
          <w:spacing w:val="-4"/>
          <w:sz w:val="20"/>
        </w:rPr>
        <w:t>have:</w:t>
      </w:r>
    </w:p>
    <w:p w14:paraId="52C72982" w14:textId="77777777" w:rsidR="00894070" w:rsidRDefault="009B7AFD">
      <w:pPr>
        <w:pStyle w:val="ListParagraph"/>
        <w:numPr>
          <w:ilvl w:val="2"/>
          <w:numId w:val="177"/>
        </w:numPr>
        <w:tabs>
          <w:tab w:val="left" w:pos="2141"/>
          <w:tab w:val="left" w:pos="2142"/>
        </w:tabs>
        <w:spacing w:before="92"/>
        <w:ind w:hanging="340"/>
        <w:rPr>
          <w:sz w:val="20"/>
        </w:rPr>
      </w:pP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pacing w:val="-3"/>
          <w:sz w:val="20"/>
        </w:rPr>
        <w:t>treated</w:t>
      </w:r>
      <w:r>
        <w:rPr>
          <w:color w:val="231F20"/>
          <w:spacing w:val="-5"/>
          <w:sz w:val="20"/>
        </w:rPr>
        <w:t xml:space="preserve"> </w:t>
      </w:r>
      <w:r>
        <w:rPr>
          <w:color w:val="231F20"/>
          <w:sz w:val="20"/>
        </w:rPr>
        <w:t>with</w:t>
      </w:r>
      <w:r>
        <w:rPr>
          <w:color w:val="231F20"/>
          <w:spacing w:val="-5"/>
          <w:sz w:val="20"/>
        </w:rPr>
        <w:t xml:space="preserve"> </w:t>
      </w:r>
      <w:r>
        <w:rPr>
          <w:color w:val="231F20"/>
          <w:sz w:val="20"/>
        </w:rPr>
        <w:t>respect</w:t>
      </w:r>
      <w:r>
        <w:rPr>
          <w:color w:val="231F20"/>
          <w:spacing w:val="-5"/>
          <w:sz w:val="20"/>
        </w:rPr>
        <w:t xml:space="preserve"> </w:t>
      </w:r>
      <w:r>
        <w:rPr>
          <w:color w:val="231F20"/>
          <w:sz w:val="20"/>
        </w:rPr>
        <w:t>and</w:t>
      </w:r>
      <w:r>
        <w:rPr>
          <w:color w:val="231F20"/>
          <w:spacing w:val="-5"/>
          <w:sz w:val="20"/>
        </w:rPr>
        <w:t xml:space="preserve"> </w:t>
      </w:r>
      <w:r>
        <w:rPr>
          <w:color w:val="231F20"/>
          <w:sz w:val="20"/>
        </w:rPr>
        <w:t>supported</w:t>
      </w:r>
      <w:r>
        <w:rPr>
          <w:color w:val="231F20"/>
          <w:spacing w:val="-4"/>
          <w:sz w:val="20"/>
        </w:rPr>
        <w:t xml:space="preserve"> </w:t>
      </w:r>
      <w:r>
        <w:rPr>
          <w:color w:val="231F20"/>
          <w:sz w:val="20"/>
        </w:rPr>
        <w:t>in</w:t>
      </w:r>
      <w:r>
        <w:rPr>
          <w:color w:val="231F20"/>
          <w:spacing w:val="-5"/>
          <w:sz w:val="20"/>
        </w:rPr>
        <w:t xml:space="preserve"> </w:t>
      </w:r>
      <w:r>
        <w:rPr>
          <w:color w:val="231F20"/>
          <w:sz w:val="20"/>
        </w:rPr>
        <w:t>justice</w:t>
      </w:r>
      <w:r>
        <w:rPr>
          <w:color w:val="231F20"/>
          <w:spacing w:val="-5"/>
          <w:sz w:val="20"/>
        </w:rPr>
        <w:t xml:space="preserve"> </w:t>
      </w:r>
      <w:r>
        <w:rPr>
          <w:color w:val="231F20"/>
          <w:spacing w:val="-2"/>
          <w:sz w:val="20"/>
        </w:rPr>
        <w:t>system</w:t>
      </w:r>
      <w:r>
        <w:rPr>
          <w:color w:val="231F20"/>
          <w:spacing w:val="-5"/>
          <w:sz w:val="20"/>
        </w:rPr>
        <w:t xml:space="preserve"> </w:t>
      </w:r>
      <w:r>
        <w:rPr>
          <w:color w:val="231F20"/>
          <w:sz w:val="20"/>
        </w:rPr>
        <w:t>processes</w:t>
      </w:r>
    </w:p>
    <w:p w14:paraId="3D904D53"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 xml:space="preserve">to be </w:t>
      </w:r>
      <w:r>
        <w:rPr>
          <w:color w:val="231F20"/>
          <w:spacing w:val="-3"/>
          <w:sz w:val="20"/>
        </w:rPr>
        <w:t xml:space="preserve">given information </w:t>
      </w:r>
      <w:r>
        <w:rPr>
          <w:color w:val="231F20"/>
          <w:sz w:val="20"/>
        </w:rPr>
        <w:t xml:space="preserve">about the </w:t>
      </w:r>
      <w:r>
        <w:rPr>
          <w:color w:val="231F20"/>
          <w:spacing w:val="-3"/>
          <w:sz w:val="20"/>
        </w:rPr>
        <w:t xml:space="preserve">progress </w:t>
      </w:r>
      <w:r>
        <w:rPr>
          <w:color w:val="231F20"/>
          <w:sz w:val="20"/>
        </w:rPr>
        <w:t>of their</w:t>
      </w:r>
      <w:r>
        <w:rPr>
          <w:color w:val="231F20"/>
          <w:spacing w:val="-28"/>
          <w:sz w:val="20"/>
        </w:rPr>
        <w:t xml:space="preserve"> </w:t>
      </w:r>
      <w:r>
        <w:rPr>
          <w:color w:val="231F20"/>
          <w:sz w:val="20"/>
        </w:rPr>
        <w:t>case</w:t>
      </w:r>
    </w:p>
    <w:p w14:paraId="63F32E9C"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to</w:t>
      </w:r>
      <w:r>
        <w:rPr>
          <w:color w:val="231F20"/>
          <w:spacing w:val="-7"/>
          <w:sz w:val="20"/>
        </w:rPr>
        <w:t xml:space="preserve"> </w:t>
      </w:r>
      <w:r>
        <w:rPr>
          <w:color w:val="231F20"/>
          <w:sz w:val="20"/>
        </w:rPr>
        <w:t>participate</w:t>
      </w:r>
      <w:r>
        <w:rPr>
          <w:color w:val="231F20"/>
          <w:spacing w:val="-7"/>
          <w:sz w:val="20"/>
        </w:rPr>
        <w:t xml:space="preserve"> </w:t>
      </w:r>
      <w:r>
        <w:rPr>
          <w:color w:val="231F20"/>
          <w:sz w:val="20"/>
        </w:rPr>
        <w:t>in</w:t>
      </w:r>
      <w:r>
        <w:rPr>
          <w:color w:val="231F20"/>
          <w:spacing w:val="-6"/>
          <w:sz w:val="20"/>
        </w:rPr>
        <w:t xml:space="preserve"> </w:t>
      </w:r>
      <w:r>
        <w:rPr>
          <w:color w:val="231F20"/>
          <w:sz w:val="20"/>
        </w:rPr>
        <w:t>justice</w:t>
      </w:r>
      <w:r>
        <w:rPr>
          <w:color w:val="231F20"/>
          <w:spacing w:val="-7"/>
          <w:sz w:val="20"/>
        </w:rPr>
        <w:t xml:space="preserve"> </w:t>
      </w:r>
      <w:r>
        <w:rPr>
          <w:color w:val="231F20"/>
          <w:spacing w:val="-2"/>
          <w:sz w:val="20"/>
        </w:rPr>
        <w:t>system</w:t>
      </w:r>
      <w:r>
        <w:rPr>
          <w:color w:val="231F20"/>
          <w:spacing w:val="-6"/>
          <w:sz w:val="20"/>
        </w:rPr>
        <w:t xml:space="preserve"> </w:t>
      </w:r>
      <w:r>
        <w:rPr>
          <w:color w:val="231F20"/>
          <w:sz w:val="20"/>
        </w:rPr>
        <w:t>processes,</w:t>
      </w:r>
      <w:r>
        <w:rPr>
          <w:color w:val="231F20"/>
          <w:spacing w:val="-7"/>
          <w:sz w:val="20"/>
        </w:rPr>
        <w:t xml:space="preserve"> </w:t>
      </w:r>
      <w:r>
        <w:rPr>
          <w:color w:val="231F20"/>
          <w:sz w:val="20"/>
        </w:rPr>
        <w:t>including</w:t>
      </w:r>
      <w:r>
        <w:rPr>
          <w:color w:val="231F20"/>
          <w:spacing w:val="-7"/>
          <w:sz w:val="20"/>
        </w:rPr>
        <w:t xml:space="preserve"> </w:t>
      </w:r>
      <w:r>
        <w:rPr>
          <w:color w:val="231F20"/>
          <w:sz w:val="20"/>
        </w:rPr>
        <w:t>decision</w:t>
      </w:r>
      <w:r>
        <w:rPr>
          <w:color w:val="231F20"/>
          <w:spacing w:val="-6"/>
          <w:sz w:val="20"/>
        </w:rPr>
        <w:t xml:space="preserve"> </w:t>
      </w:r>
      <w:r>
        <w:rPr>
          <w:color w:val="231F20"/>
          <w:sz w:val="20"/>
        </w:rPr>
        <w:t>making</w:t>
      </w:r>
      <w:r>
        <w:rPr>
          <w:color w:val="231F20"/>
          <w:spacing w:val="-7"/>
          <w:sz w:val="20"/>
        </w:rPr>
        <w:t xml:space="preserve"> </w:t>
      </w:r>
      <w:r>
        <w:rPr>
          <w:color w:val="231F20"/>
          <w:sz w:val="20"/>
        </w:rPr>
        <w:t>about</w:t>
      </w:r>
      <w:r>
        <w:rPr>
          <w:color w:val="231F20"/>
          <w:spacing w:val="-6"/>
          <w:sz w:val="20"/>
        </w:rPr>
        <w:t xml:space="preserve"> </w:t>
      </w:r>
      <w:r>
        <w:rPr>
          <w:color w:val="231F20"/>
          <w:sz w:val="20"/>
        </w:rPr>
        <w:t>their</w:t>
      </w:r>
      <w:r>
        <w:rPr>
          <w:color w:val="231F20"/>
          <w:spacing w:val="-7"/>
          <w:sz w:val="20"/>
        </w:rPr>
        <w:t xml:space="preserve"> </w:t>
      </w:r>
      <w:r>
        <w:rPr>
          <w:color w:val="231F20"/>
          <w:sz w:val="20"/>
        </w:rPr>
        <w:t>case</w:t>
      </w:r>
    </w:p>
    <w:p w14:paraId="034FFF20" w14:textId="77777777" w:rsidR="00894070" w:rsidRDefault="009B7AFD">
      <w:pPr>
        <w:pStyle w:val="ListParagraph"/>
        <w:numPr>
          <w:ilvl w:val="2"/>
          <w:numId w:val="177"/>
        </w:numPr>
        <w:tabs>
          <w:tab w:val="left" w:pos="2141"/>
          <w:tab w:val="left" w:pos="2142"/>
        </w:tabs>
        <w:spacing w:before="80" w:line="206" w:lineRule="auto"/>
        <w:ind w:right="1560" w:hanging="340"/>
        <w:rPr>
          <w:sz w:val="20"/>
        </w:rPr>
      </w:pP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pacing w:val="-3"/>
          <w:sz w:val="20"/>
        </w:rPr>
        <w:t>protected</w:t>
      </w:r>
      <w:r>
        <w:rPr>
          <w:color w:val="231F20"/>
          <w:spacing w:val="-7"/>
          <w:sz w:val="20"/>
        </w:rPr>
        <w:t xml:space="preserve"> </w:t>
      </w:r>
      <w:r>
        <w:rPr>
          <w:color w:val="231F20"/>
          <w:spacing w:val="-3"/>
          <w:sz w:val="20"/>
        </w:rPr>
        <w:t>from</w:t>
      </w:r>
      <w:r>
        <w:rPr>
          <w:color w:val="231F20"/>
          <w:spacing w:val="-8"/>
          <w:sz w:val="20"/>
        </w:rPr>
        <w:t xml:space="preserve"> </w:t>
      </w:r>
      <w:r>
        <w:rPr>
          <w:color w:val="231F20"/>
          <w:sz w:val="20"/>
        </w:rPr>
        <w:t>trauma,</w:t>
      </w:r>
      <w:r>
        <w:rPr>
          <w:color w:val="231F20"/>
          <w:spacing w:val="-8"/>
          <w:sz w:val="20"/>
        </w:rPr>
        <w:t xml:space="preserve"> </w:t>
      </w:r>
      <w:proofErr w:type="gramStart"/>
      <w:r>
        <w:rPr>
          <w:color w:val="231F20"/>
          <w:sz w:val="20"/>
        </w:rPr>
        <w:t>intimidation</w:t>
      </w:r>
      <w:proofErr w:type="gramEnd"/>
      <w:r>
        <w:rPr>
          <w:color w:val="231F20"/>
          <w:spacing w:val="-7"/>
          <w:sz w:val="20"/>
        </w:rPr>
        <w:t xml:space="preserve"> </w:t>
      </w:r>
      <w:r>
        <w:rPr>
          <w:color w:val="231F20"/>
          <w:sz w:val="20"/>
        </w:rPr>
        <w:t>and</w:t>
      </w:r>
      <w:r>
        <w:rPr>
          <w:color w:val="231F20"/>
          <w:spacing w:val="-8"/>
          <w:sz w:val="20"/>
        </w:rPr>
        <w:t xml:space="preserve"> </w:t>
      </w:r>
      <w:r>
        <w:rPr>
          <w:color w:val="231F20"/>
          <w:sz w:val="20"/>
        </w:rPr>
        <w:t>distress,</w:t>
      </w:r>
      <w:r>
        <w:rPr>
          <w:color w:val="231F20"/>
          <w:spacing w:val="-8"/>
          <w:sz w:val="20"/>
        </w:rPr>
        <w:t xml:space="preserve"> </w:t>
      </w:r>
      <w:r>
        <w:rPr>
          <w:color w:val="231F20"/>
          <w:spacing w:val="-3"/>
          <w:sz w:val="20"/>
        </w:rPr>
        <w:t>for</w:t>
      </w:r>
      <w:r>
        <w:rPr>
          <w:color w:val="231F20"/>
          <w:spacing w:val="-7"/>
          <w:sz w:val="20"/>
        </w:rPr>
        <w:t xml:space="preserve"> </w:t>
      </w:r>
      <w:r>
        <w:rPr>
          <w:color w:val="231F20"/>
          <w:spacing w:val="-3"/>
          <w:sz w:val="20"/>
        </w:rPr>
        <w:t>example</w:t>
      </w:r>
      <w:r>
        <w:rPr>
          <w:color w:val="231F20"/>
          <w:spacing w:val="-8"/>
          <w:sz w:val="20"/>
        </w:rPr>
        <w:t xml:space="preserve"> </w:t>
      </w:r>
      <w:r>
        <w:rPr>
          <w:color w:val="231F20"/>
          <w:sz w:val="20"/>
        </w:rPr>
        <w:t>when</w:t>
      </w:r>
      <w:r>
        <w:rPr>
          <w:color w:val="231F20"/>
          <w:spacing w:val="-7"/>
          <w:sz w:val="20"/>
        </w:rPr>
        <w:t xml:space="preserve"> </w:t>
      </w:r>
      <w:r>
        <w:rPr>
          <w:color w:val="231F20"/>
          <w:sz w:val="20"/>
        </w:rPr>
        <w:t>being cross-examined</w:t>
      </w:r>
    </w:p>
    <w:p w14:paraId="2EFB2A0B" w14:textId="77777777" w:rsidR="00894070" w:rsidRDefault="009B7AFD">
      <w:pPr>
        <w:pStyle w:val="ListParagraph"/>
        <w:numPr>
          <w:ilvl w:val="2"/>
          <w:numId w:val="177"/>
        </w:numPr>
        <w:tabs>
          <w:tab w:val="left" w:pos="2141"/>
          <w:tab w:val="left" w:pos="2142"/>
        </w:tabs>
        <w:spacing w:before="55"/>
        <w:ind w:hanging="340"/>
        <w:rPr>
          <w:sz w:val="20"/>
        </w:rPr>
      </w:pPr>
      <w:r>
        <w:rPr>
          <w:color w:val="231F20"/>
          <w:sz w:val="20"/>
        </w:rPr>
        <w:t xml:space="preserve">to </w:t>
      </w:r>
      <w:r>
        <w:rPr>
          <w:color w:val="231F20"/>
          <w:spacing w:val="-4"/>
          <w:sz w:val="20"/>
        </w:rPr>
        <w:t xml:space="preserve">have </w:t>
      </w:r>
      <w:r>
        <w:rPr>
          <w:color w:val="231F20"/>
          <w:sz w:val="20"/>
        </w:rPr>
        <w:t>their privacy respected as much as</w:t>
      </w:r>
      <w:r>
        <w:rPr>
          <w:color w:val="231F20"/>
          <w:spacing w:val="-33"/>
          <w:sz w:val="20"/>
        </w:rPr>
        <w:t xml:space="preserve"> </w:t>
      </w:r>
      <w:r>
        <w:rPr>
          <w:color w:val="231F20"/>
          <w:sz w:val="20"/>
        </w:rPr>
        <w:t>possible</w:t>
      </w:r>
    </w:p>
    <w:p w14:paraId="7488C368"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 xml:space="preserve">to </w:t>
      </w:r>
      <w:r>
        <w:rPr>
          <w:color w:val="231F20"/>
          <w:spacing w:val="-3"/>
          <w:sz w:val="20"/>
        </w:rPr>
        <w:t xml:space="preserve">apply for </w:t>
      </w:r>
      <w:r>
        <w:rPr>
          <w:color w:val="231F20"/>
          <w:sz w:val="20"/>
        </w:rPr>
        <w:t xml:space="preserve">compensation </w:t>
      </w:r>
      <w:r>
        <w:rPr>
          <w:color w:val="231F20"/>
          <w:spacing w:val="-3"/>
          <w:sz w:val="20"/>
        </w:rPr>
        <w:t xml:space="preserve">for </w:t>
      </w:r>
      <w:r>
        <w:rPr>
          <w:color w:val="231F20"/>
          <w:sz w:val="20"/>
        </w:rPr>
        <w:t xml:space="preserve">the harm they </w:t>
      </w:r>
      <w:r>
        <w:rPr>
          <w:color w:val="231F20"/>
          <w:spacing w:val="-4"/>
          <w:sz w:val="20"/>
        </w:rPr>
        <w:t>have</w:t>
      </w:r>
      <w:r>
        <w:rPr>
          <w:color w:val="231F20"/>
          <w:spacing w:val="-33"/>
          <w:sz w:val="20"/>
        </w:rPr>
        <w:t xml:space="preserve"> </w:t>
      </w:r>
      <w:r>
        <w:rPr>
          <w:color w:val="231F20"/>
          <w:sz w:val="20"/>
        </w:rPr>
        <w:t>experienced</w:t>
      </w:r>
    </w:p>
    <w:p w14:paraId="3DBD74B4"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 xml:space="preserve">to feel validated and </w:t>
      </w:r>
      <w:r>
        <w:rPr>
          <w:color w:val="231F20"/>
          <w:spacing w:val="-4"/>
          <w:sz w:val="20"/>
        </w:rPr>
        <w:t xml:space="preserve">have </w:t>
      </w:r>
      <w:r>
        <w:rPr>
          <w:color w:val="231F20"/>
          <w:sz w:val="20"/>
        </w:rPr>
        <w:t>their story</w:t>
      </w:r>
      <w:r>
        <w:rPr>
          <w:color w:val="231F20"/>
          <w:spacing w:val="-28"/>
          <w:sz w:val="20"/>
        </w:rPr>
        <w:t xml:space="preserve"> </w:t>
      </w:r>
      <w:r>
        <w:rPr>
          <w:color w:val="231F20"/>
          <w:sz w:val="20"/>
        </w:rPr>
        <w:t>believed</w:t>
      </w:r>
    </w:p>
    <w:p w14:paraId="2832E40D" w14:textId="77777777" w:rsidR="00894070" w:rsidRDefault="009B7AFD">
      <w:pPr>
        <w:pStyle w:val="ListParagraph"/>
        <w:numPr>
          <w:ilvl w:val="2"/>
          <w:numId w:val="177"/>
        </w:numPr>
        <w:tabs>
          <w:tab w:val="left" w:pos="2141"/>
          <w:tab w:val="left" w:pos="2142"/>
        </w:tabs>
        <w:spacing w:before="47"/>
        <w:ind w:hanging="340"/>
        <w:rPr>
          <w:sz w:val="11"/>
        </w:rPr>
      </w:pPr>
      <w:r>
        <w:rPr>
          <w:color w:val="231F20"/>
          <w:spacing w:val="-3"/>
          <w:sz w:val="20"/>
        </w:rPr>
        <w:t>for</w:t>
      </w:r>
      <w:r>
        <w:rPr>
          <w:color w:val="231F20"/>
          <w:spacing w:val="-5"/>
          <w:sz w:val="20"/>
        </w:rPr>
        <w:t xml:space="preserve"> </w:t>
      </w:r>
      <w:r>
        <w:rPr>
          <w:color w:val="231F20"/>
          <w:sz w:val="20"/>
        </w:rPr>
        <w:t>the</w:t>
      </w:r>
      <w:r>
        <w:rPr>
          <w:color w:val="231F20"/>
          <w:spacing w:val="-5"/>
          <w:sz w:val="20"/>
        </w:rPr>
        <w:t xml:space="preserve"> </w:t>
      </w:r>
      <w:r>
        <w:rPr>
          <w:color w:val="231F20"/>
          <w:sz w:val="20"/>
        </w:rPr>
        <w:t>harm</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proofErr w:type="spellStart"/>
      <w:r>
        <w:rPr>
          <w:color w:val="231F20"/>
          <w:sz w:val="20"/>
        </w:rPr>
        <w:t>recognised</w:t>
      </w:r>
      <w:proofErr w:type="spellEnd"/>
      <w:r>
        <w:rPr>
          <w:color w:val="231F20"/>
          <w:spacing w:val="-5"/>
          <w:sz w:val="20"/>
        </w:rPr>
        <w:t xml:space="preserve"> </w:t>
      </w:r>
      <w:r>
        <w:rPr>
          <w:color w:val="231F20"/>
          <w:sz w:val="20"/>
        </w:rPr>
        <w:t>and</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the</w:t>
      </w:r>
      <w:r>
        <w:rPr>
          <w:color w:val="231F20"/>
          <w:spacing w:val="-5"/>
          <w:sz w:val="20"/>
        </w:rPr>
        <w:t xml:space="preserve"> </w:t>
      </w:r>
      <w:r>
        <w:rPr>
          <w:color w:val="231F20"/>
          <w:sz w:val="20"/>
        </w:rPr>
        <w:t>person</w:t>
      </w:r>
      <w:r>
        <w:rPr>
          <w:color w:val="231F20"/>
          <w:spacing w:val="-5"/>
          <w:sz w:val="20"/>
        </w:rPr>
        <w:t xml:space="preserve"> </w:t>
      </w:r>
      <w:r>
        <w:rPr>
          <w:color w:val="231F20"/>
          <w:spacing w:val="-3"/>
          <w:sz w:val="20"/>
        </w:rPr>
        <w:t>responsible</w:t>
      </w:r>
      <w:r>
        <w:rPr>
          <w:color w:val="231F20"/>
          <w:spacing w:val="-5"/>
          <w:sz w:val="20"/>
        </w:rPr>
        <w:t xml:space="preserve"> </w:t>
      </w:r>
      <w:r>
        <w:rPr>
          <w:color w:val="231F20"/>
          <w:sz w:val="20"/>
        </w:rPr>
        <w:t>to</w:t>
      </w:r>
      <w:r>
        <w:rPr>
          <w:color w:val="231F20"/>
          <w:spacing w:val="-4"/>
          <w:sz w:val="20"/>
        </w:rPr>
        <w:t xml:space="preserve"> </w:t>
      </w:r>
      <w:r>
        <w:rPr>
          <w:color w:val="231F20"/>
          <w:sz w:val="20"/>
        </w:rPr>
        <w:t>be</w:t>
      </w:r>
      <w:r>
        <w:rPr>
          <w:color w:val="231F20"/>
          <w:spacing w:val="-5"/>
          <w:sz w:val="20"/>
        </w:rPr>
        <w:t xml:space="preserve"> </w:t>
      </w:r>
      <w:r>
        <w:rPr>
          <w:color w:val="231F20"/>
          <w:sz w:val="20"/>
        </w:rPr>
        <w:t>held</w:t>
      </w:r>
      <w:r>
        <w:rPr>
          <w:color w:val="231F20"/>
          <w:spacing w:val="-5"/>
          <w:sz w:val="20"/>
        </w:rPr>
        <w:t xml:space="preserve"> </w:t>
      </w:r>
      <w:r>
        <w:rPr>
          <w:color w:val="231F20"/>
          <w:sz w:val="20"/>
        </w:rPr>
        <w:t>to</w:t>
      </w:r>
      <w:r>
        <w:rPr>
          <w:color w:val="231F20"/>
          <w:spacing w:val="-5"/>
          <w:sz w:val="20"/>
        </w:rPr>
        <w:t xml:space="preserve"> </w:t>
      </w:r>
      <w:r>
        <w:rPr>
          <w:color w:val="231F20"/>
          <w:sz w:val="20"/>
        </w:rPr>
        <w:t>account.</w:t>
      </w:r>
      <w:r>
        <w:rPr>
          <w:color w:val="231F20"/>
          <w:position w:val="7"/>
          <w:sz w:val="11"/>
        </w:rPr>
        <w:t>24</w:t>
      </w:r>
    </w:p>
    <w:p w14:paraId="43638537" w14:textId="77777777" w:rsidR="00894070" w:rsidRDefault="009B7AFD">
      <w:pPr>
        <w:pStyle w:val="ListParagraph"/>
        <w:numPr>
          <w:ilvl w:val="1"/>
          <w:numId w:val="177"/>
        </w:numPr>
        <w:tabs>
          <w:tab w:val="left" w:pos="1801"/>
          <w:tab w:val="left" w:pos="1802"/>
        </w:tabs>
        <w:spacing w:before="80" w:line="206" w:lineRule="auto"/>
        <w:ind w:right="1405"/>
        <w:rPr>
          <w:sz w:val="11"/>
        </w:rPr>
      </w:pPr>
      <w:r>
        <w:rPr>
          <w:color w:val="231F20"/>
          <w:sz w:val="20"/>
        </w:rPr>
        <w:t>In</w:t>
      </w:r>
      <w:r>
        <w:rPr>
          <w:color w:val="231F20"/>
          <w:spacing w:val="-8"/>
          <w:sz w:val="20"/>
        </w:rPr>
        <w:t xml:space="preserve"> </w:t>
      </w:r>
      <w:r>
        <w:rPr>
          <w:color w:val="231F20"/>
          <w:sz w:val="20"/>
        </w:rPr>
        <w:t>this</w:t>
      </w:r>
      <w:r>
        <w:rPr>
          <w:color w:val="231F20"/>
          <w:spacing w:val="-8"/>
          <w:sz w:val="20"/>
        </w:rPr>
        <w:t xml:space="preserve"> </w:t>
      </w:r>
      <w:r>
        <w:rPr>
          <w:color w:val="231F20"/>
          <w:spacing w:val="-3"/>
          <w:sz w:val="20"/>
        </w:rPr>
        <w:t>inquiry,</w:t>
      </w:r>
      <w:r>
        <w:rPr>
          <w:color w:val="231F20"/>
          <w:spacing w:val="-8"/>
          <w:sz w:val="20"/>
        </w:rPr>
        <w:t xml:space="preserve"> </w:t>
      </w: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pacing w:val="-4"/>
          <w:sz w:val="20"/>
        </w:rPr>
        <w:t>have</w:t>
      </w:r>
      <w:r>
        <w:rPr>
          <w:color w:val="231F20"/>
          <w:spacing w:val="-8"/>
          <w:sz w:val="20"/>
        </w:rPr>
        <w:t xml:space="preserve"> </w:t>
      </w:r>
      <w:r>
        <w:rPr>
          <w:color w:val="231F20"/>
          <w:sz w:val="20"/>
        </w:rPr>
        <w:t>experienced</w:t>
      </w:r>
      <w:r>
        <w:rPr>
          <w:color w:val="231F20"/>
          <w:spacing w:val="-7"/>
          <w:sz w:val="20"/>
        </w:rPr>
        <w:t xml:space="preserve"> </w:t>
      </w:r>
      <w:r>
        <w:rPr>
          <w:color w:val="231F20"/>
          <w:sz w:val="20"/>
        </w:rPr>
        <w:t>stalking</w:t>
      </w:r>
      <w:r>
        <w:rPr>
          <w:color w:val="231F20"/>
          <w:spacing w:val="-8"/>
          <w:sz w:val="20"/>
        </w:rPr>
        <w:t xml:space="preserve"> </w:t>
      </w:r>
      <w:r>
        <w:rPr>
          <w:color w:val="231F20"/>
          <w:spacing w:val="-3"/>
          <w:sz w:val="20"/>
        </w:rPr>
        <w:t>told</w:t>
      </w:r>
      <w:r>
        <w:rPr>
          <w:color w:val="231F20"/>
          <w:spacing w:val="-8"/>
          <w:sz w:val="20"/>
        </w:rPr>
        <w:t xml:space="preserve"> </w:t>
      </w:r>
      <w:r>
        <w:rPr>
          <w:color w:val="231F20"/>
          <w:sz w:val="20"/>
        </w:rPr>
        <w:t>us</w:t>
      </w:r>
      <w:r>
        <w:rPr>
          <w:color w:val="231F20"/>
          <w:spacing w:val="-8"/>
          <w:sz w:val="20"/>
        </w:rPr>
        <w:t xml:space="preserve"> </w:t>
      </w:r>
      <w:r>
        <w:rPr>
          <w:color w:val="231F20"/>
          <w:sz w:val="20"/>
        </w:rPr>
        <w:t>they</w:t>
      </w:r>
      <w:r>
        <w:rPr>
          <w:color w:val="231F20"/>
          <w:spacing w:val="-8"/>
          <w:sz w:val="20"/>
        </w:rPr>
        <w:t xml:space="preserve"> </w:t>
      </w:r>
      <w:r>
        <w:rPr>
          <w:color w:val="231F20"/>
          <w:spacing w:val="-4"/>
          <w:sz w:val="20"/>
        </w:rPr>
        <w:t>have</w:t>
      </w:r>
      <w:r>
        <w:rPr>
          <w:color w:val="231F20"/>
          <w:spacing w:val="-8"/>
          <w:sz w:val="20"/>
        </w:rPr>
        <w:t xml:space="preserve"> </w:t>
      </w:r>
      <w:r>
        <w:rPr>
          <w:color w:val="231F20"/>
          <w:sz w:val="20"/>
        </w:rPr>
        <w:t>similar</w:t>
      </w:r>
      <w:r>
        <w:rPr>
          <w:color w:val="231F20"/>
          <w:spacing w:val="-7"/>
          <w:sz w:val="20"/>
        </w:rPr>
        <w:t xml:space="preserve"> </w:t>
      </w:r>
      <w:r>
        <w:rPr>
          <w:color w:val="231F20"/>
          <w:sz w:val="20"/>
        </w:rPr>
        <w:t xml:space="preserve">justice needs. And </w:t>
      </w:r>
      <w:r>
        <w:rPr>
          <w:color w:val="231F20"/>
          <w:spacing w:val="-3"/>
          <w:sz w:val="20"/>
        </w:rPr>
        <w:t xml:space="preserve">research </w:t>
      </w:r>
      <w:r>
        <w:rPr>
          <w:color w:val="231F20"/>
          <w:sz w:val="20"/>
        </w:rPr>
        <w:t xml:space="preserve">indicates that people who experience stalking need to feel believed, supported and to </w:t>
      </w:r>
      <w:r>
        <w:rPr>
          <w:color w:val="231F20"/>
          <w:spacing w:val="-4"/>
          <w:sz w:val="20"/>
        </w:rPr>
        <w:t>have</w:t>
      </w:r>
      <w:r>
        <w:rPr>
          <w:color w:val="231F20"/>
          <w:spacing w:val="-23"/>
          <w:sz w:val="20"/>
        </w:rPr>
        <w:t xml:space="preserve"> </w:t>
      </w:r>
      <w:r>
        <w:rPr>
          <w:color w:val="231F20"/>
          <w:sz w:val="20"/>
        </w:rPr>
        <w:t>information.</w:t>
      </w:r>
      <w:r>
        <w:rPr>
          <w:color w:val="231F20"/>
          <w:position w:val="7"/>
          <w:sz w:val="11"/>
        </w:rPr>
        <w:t>25</w:t>
      </w:r>
    </w:p>
    <w:p w14:paraId="5BFA5530" w14:textId="77777777" w:rsidR="00894070" w:rsidRDefault="009B7AFD">
      <w:pPr>
        <w:pStyle w:val="ListParagraph"/>
        <w:numPr>
          <w:ilvl w:val="1"/>
          <w:numId w:val="177"/>
        </w:numPr>
        <w:tabs>
          <w:tab w:val="left" w:pos="1801"/>
          <w:tab w:val="left" w:pos="1802"/>
        </w:tabs>
        <w:spacing w:before="124" w:line="206" w:lineRule="auto"/>
        <w:ind w:right="1280"/>
        <w:rPr>
          <w:sz w:val="20"/>
        </w:rPr>
      </w:pPr>
      <w:r>
        <w:rPr>
          <w:color w:val="231F20"/>
          <w:sz w:val="20"/>
        </w:rPr>
        <w:t>Our</w:t>
      </w:r>
      <w:r>
        <w:rPr>
          <w:color w:val="231F20"/>
          <w:spacing w:val="-7"/>
          <w:sz w:val="20"/>
        </w:rPr>
        <w:t xml:space="preserve"> </w:t>
      </w:r>
      <w:r>
        <w:rPr>
          <w:color w:val="231F20"/>
          <w:sz w:val="20"/>
        </w:rPr>
        <w:t>recommendations</w:t>
      </w:r>
      <w:r>
        <w:rPr>
          <w:color w:val="231F20"/>
          <w:spacing w:val="-7"/>
          <w:sz w:val="20"/>
        </w:rPr>
        <w:t xml:space="preserve"> </w:t>
      </w:r>
      <w:r>
        <w:rPr>
          <w:color w:val="231F20"/>
          <w:spacing w:val="-3"/>
          <w:sz w:val="20"/>
        </w:rPr>
        <w:t>are</w:t>
      </w:r>
      <w:r>
        <w:rPr>
          <w:color w:val="231F20"/>
          <w:spacing w:val="-7"/>
          <w:sz w:val="20"/>
        </w:rPr>
        <w:t xml:space="preserve"> </w:t>
      </w:r>
      <w:r>
        <w:rPr>
          <w:color w:val="231F20"/>
          <w:sz w:val="20"/>
        </w:rPr>
        <w:t>designed</w:t>
      </w:r>
      <w:r>
        <w:rPr>
          <w:color w:val="231F20"/>
          <w:spacing w:val="-7"/>
          <w:sz w:val="20"/>
        </w:rPr>
        <w:t xml:space="preserve"> </w:t>
      </w:r>
      <w:r>
        <w:rPr>
          <w:color w:val="231F20"/>
          <w:sz w:val="20"/>
        </w:rPr>
        <w:t>to</w:t>
      </w:r>
      <w:r>
        <w:rPr>
          <w:color w:val="231F20"/>
          <w:spacing w:val="-7"/>
          <w:sz w:val="20"/>
        </w:rPr>
        <w:t xml:space="preserve"> </w:t>
      </w:r>
      <w:r>
        <w:rPr>
          <w:color w:val="231F20"/>
          <w:sz w:val="20"/>
        </w:rPr>
        <w:t>meet</w:t>
      </w:r>
      <w:r>
        <w:rPr>
          <w:color w:val="231F20"/>
          <w:spacing w:val="-7"/>
          <w:sz w:val="20"/>
        </w:rPr>
        <w:t xml:space="preserve"> </w:t>
      </w:r>
      <w:r>
        <w:rPr>
          <w:color w:val="231F20"/>
          <w:sz w:val="20"/>
        </w:rPr>
        <w:t>these</w:t>
      </w:r>
      <w:r>
        <w:rPr>
          <w:color w:val="231F20"/>
          <w:spacing w:val="-7"/>
          <w:sz w:val="20"/>
        </w:rPr>
        <w:t xml:space="preserve"> </w:t>
      </w:r>
      <w:r>
        <w:rPr>
          <w:color w:val="231F20"/>
          <w:sz w:val="20"/>
        </w:rPr>
        <w:t>needs.</w:t>
      </w:r>
      <w:r>
        <w:rPr>
          <w:color w:val="231F20"/>
          <w:spacing w:val="-7"/>
          <w:sz w:val="20"/>
        </w:rPr>
        <w:t xml:space="preserve"> </w:t>
      </w:r>
      <w:r>
        <w:rPr>
          <w:color w:val="231F20"/>
          <w:spacing w:val="-3"/>
          <w:sz w:val="20"/>
        </w:rPr>
        <w:t>For</w:t>
      </w:r>
      <w:r>
        <w:rPr>
          <w:color w:val="231F20"/>
          <w:spacing w:val="-7"/>
          <w:sz w:val="20"/>
        </w:rPr>
        <w:t xml:space="preserve"> </w:t>
      </w:r>
      <w:r>
        <w:rPr>
          <w:color w:val="231F20"/>
          <w:spacing w:val="-3"/>
          <w:sz w:val="20"/>
        </w:rPr>
        <w:t>example,</w:t>
      </w:r>
      <w:r>
        <w:rPr>
          <w:color w:val="231F20"/>
          <w:spacing w:val="-7"/>
          <w:sz w:val="20"/>
        </w:rPr>
        <w:t xml:space="preserve"> </w:t>
      </w:r>
      <w:r>
        <w:rPr>
          <w:color w:val="231F20"/>
          <w:sz w:val="20"/>
        </w:rPr>
        <w:t>see</w:t>
      </w:r>
      <w:r>
        <w:rPr>
          <w:color w:val="231F20"/>
          <w:spacing w:val="-6"/>
          <w:sz w:val="20"/>
        </w:rPr>
        <w:t xml:space="preserve"> </w:t>
      </w:r>
      <w:r>
        <w:rPr>
          <w:color w:val="231F20"/>
          <w:spacing w:val="-3"/>
          <w:sz w:val="20"/>
        </w:rPr>
        <w:t>Chapter</w:t>
      </w:r>
      <w:r>
        <w:rPr>
          <w:color w:val="231F20"/>
          <w:spacing w:val="-7"/>
          <w:sz w:val="20"/>
        </w:rPr>
        <w:t xml:space="preserve"> </w:t>
      </w:r>
      <w:r>
        <w:rPr>
          <w:color w:val="231F20"/>
          <w:sz w:val="20"/>
        </w:rPr>
        <w:t>5 on</w:t>
      </w:r>
      <w:r>
        <w:rPr>
          <w:color w:val="231F20"/>
          <w:spacing w:val="-7"/>
          <w:sz w:val="20"/>
        </w:rPr>
        <w:t xml:space="preserve"> </w:t>
      </w:r>
      <w:r>
        <w:rPr>
          <w:color w:val="231F20"/>
          <w:sz w:val="20"/>
        </w:rPr>
        <w:t>support</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7"/>
          <w:sz w:val="20"/>
        </w:rPr>
        <w:t xml:space="preserve"> </w:t>
      </w:r>
      <w:r>
        <w:rPr>
          <w:color w:val="231F20"/>
          <w:sz w:val="20"/>
        </w:rPr>
        <w:t>and</w:t>
      </w:r>
      <w:r>
        <w:rPr>
          <w:color w:val="231F20"/>
          <w:spacing w:val="-6"/>
          <w:sz w:val="20"/>
        </w:rPr>
        <w:t xml:space="preserve"> </w:t>
      </w:r>
      <w:r>
        <w:rPr>
          <w:color w:val="231F20"/>
          <w:spacing w:val="-3"/>
          <w:sz w:val="20"/>
        </w:rPr>
        <w:t>Chapter</w:t>
      </w:r>
      <w:r>
        <w:rPr>
          <w:color w:val="231F20"/>
          <w:spacing w:val="-6"/>
          <w:sz w:val="20"/>
        </w:rPr>
        <w:t xml:space="preserve"> </w:t>
      </w:r>
      <w:r>
        <w:rPr>
          <w:color w:val="231F20"/>
          <w:sz w:val="20"/>
        </w:rPr>
        <w:t>8</w:t>
      </w:r>
      <w:r>
        <w:rPr>
          <w:color w:val="231F20"/>
          <w:spacing w:val="-6"/>
          <w:sz w:val="20"/>
        </w:rPr>
        <w:t xml:space="preserve"> </w:t>
      </w:r>
      <w:r>
        <w:rPr>
          <w:color w:val="231F20"/>
          <w:sz w:val="20"/>
        </w:rPr>
        <w:t>on</w:t>
      </w:r>
      <w:r>
        <w:rPr>
          <w:color w:val="231F20"/>
          <w:spacing w:val="-7"/>
          <w:sz w:val="20"/>
        </w:rPr>
        <w:t xml:space="preserve"> </w:t>
      </w:r>
      <w:r>
        <w:rPr>
          <w:color w:val="231F20"/>
          <w:sz w:val="20"/>
        </w:rPr>
        <w:t>responding</w:t>
      </w:r>
      <w:r>
        <w:rPr>
          <w:color w:val="231F20"/>
          <w:spacing w:val="-6"/>
          <w:sz w:val="20"/>
        </w:rPr>
        <w:t xml:space="preserve"> </w:t>
      </w:r>
      <w:r>
        <w:rPr>
          <w:color w:val="231F20"/>
          <w:sz w:val="20"/>
        </w:rPr>
        <w:t>to</w:t>
      </w:r>
      <w:r>
        <w:rPr>
          <w:color w:val="231F20"/>
          <w:spacing w:val="-6"/>
          <w:sz w:val="20"/>
        </w:rPr>
        <w:t xml:space="preserve"> </w:t>
      </w:r>
      <w:r>
        <w:rPr>
          <w:color w:val="231F20"/>
          <w:sz w:val="20"/>
        </w:rPr>
        <w:t>stalking</w:t>
      </w:r>
      <w:r>
        <w:rPr>
          <w:color w:val="231F20"/>
          <w:spacing w:val="-6"/>
          <w:sz w:val="20"/>
        </w:rPr>
        <w:t xml:space="preserve"> </w:t>
      </w:r>
      <w:proofErr w:type="spellStart"/>
      <w:r>
        <w:rPr>
          <w:color w:val="231F20"/>
          <w:spacing w:val="-3"/>
          <w:sz w:val="20"/>
        </w:rPr>
        <w:t>behaviour</w:t>
      </w:r>
      <w:proofErr w:type="spellEnd"/>
      <w:r>
        <w:rPr>
          <w:color w:val="231F20"/>
          <w:spacing w:val="-3"/>
          <w:sz w:val="20"/>
        </w:rPr>
        <w:t>.</w:t>
      </w:r>
    </w:p>
    <w:p w14:paraId="2DA2F3D9" w14:textId="77777777" w:rsidR="00894070" w:rsidRDefault="00894070">
      <w:pPr>
        <w:pStyle w:val="BodyText"/>
      </w:pPr>
    </w:p>
    <w:p w14:paraId="5F718467" w14:textId="77777777" w:rsidR="00894070" w:rsidRDefault="00894070">
      <w:pPr>
        <w:pStyle w:val="BodyText"/>
      </w:pPr>
    </w:p>
    <w:p w14:paraId="20F14294" w14:textId="77777777" w:rsidR="00894070" w:rsidRDefault="00894070">
      <w:pPr>
        <w:pStyle w:val="BodyText"/>
      </w:pPr>
    </w:p>
    <w:p w14:paraId="6293F577" w14:textId="77777777" w:rsidR="00894070" w:rsidRDefault="009F6793">
      <w:pPr>
        <w:pStyle w:val="BodyText"/>
        <w:spacing w:before="1"/>
        <w:rPr>
          <w:sz w:val="13"/>
        </w:rPr>
      </w:pPr>
      <w:r>
        <w:pict w14:anchorId="6F6092EC">
          <v:line id="_x0000_s1701" style="position:absolute;z-index:-251472896;mso-wrap-distance-left:0;mso-wrap-distance-right:0;mso-position-horizontal-relative:page" from="79.35pt,11.55pt" to="523.45pt,11.55pt" strokecolor="#f8cabc" strokeweight="1pt">
            <w10:wrap type="topAndBottom" anchorx="page"/>
          </v:line>
        </w:pict>
      </w:r>
    </w:p>
    <w:p w14:paraId="613CBDEE" w14:textId="77777777" w:rsidR="00894070" w:rsidRDefault="009B7AFD">
      <w:pPr>
        <w:pStyle w:val="ListParagraph"/>
        <w:numPr>
          <w:ilvl w:val="0"/>
          <w:numId w:val="176"/>
        </w:numPr>
        <w:tabs>
          <w:tab w:val="left" w:pos="1801"/>
          <w:tab w:val="left" w:pos="1802"/>
        </w:tabs>
        <w:spacing w:before="107" w:line="213" w:lineRule="auto"/>
        <w:ind w:right="1340"/>
        <w:rPr>
          <w:sz w:val="13"/>
        </w:rPr>
      </w:pPr>
      <w:r>
        <w:rPr>
          <w:color w:val="231F20"/>
          <w:sz w:val="13"/>
        </w:rPr>
        <w:t xml:space="preserve">Victoria, </w:t>
      </w:r>
      <w:r>
        <w:rPr>
          <w:i/>
          <w:color w:val="231F20"/>
          <w:sz w:val="13"/>
        </w:rPr>
        <w:t>Parliamentary Debates</w:t>
      </w:r>
      <w:r>
        <w:rPr>
          <w:color w:val="231F20"/>
          <w:sz w:val="13"/>
        </w:rPr>
        <w:t xml:space="preserve">, Legislative Assembly, 20 October </w:t>
      </w:r>
      <w:r>
        <w:rPr>
          <w:color w:val="231F20"/>
          <w:spacing w:val="2"/>
          <w:sz w:val="13"/>
        </w:rPr>
        <w:t xml:space="preserve">1994, 1884, </w:t>
      </w:r>
      <w:r>
        <w:rPr>
          <w:color w:val="231F20"/>
          <w:sz w:val="13"/>
        </w:rPr>
        <w:t xml:space="preserve">1887 (Geoffrey Coleman); Victoria, </w:t>
      </w:r>
      <w:r>
        <w:rPr>
          <w:i/>
          <w:color w:val="231F20"/>
          <w:sz w:val="13"/>
        </w:rPr>
        <w:t>Parliamentary Debates</w:t>
      </w:r>
      <w:r>
        <w:rPr>
          <w:color w:val="231F20"/>
          <w:sz w:val="13"/>
        </w:rPr>
        <w:t xml:space="preserve">, Legislative Assembly, 9 June 2010, 2226 (Rob </w:t>
      </w:r>
      <w:r>
        <w:rPr>
          <w:color w:val="231F20"/>
          <w:spacing w:val="2"/>
          <w:sz w:val="13"/>
        </w:rPr>
        <w:t>Hulls,</w:t>
      </w:r>
      <w:r>
        <w:rPr>
          <w:color w:val="231F20"/>
          <w:spacing w:val="9"/>
          <w:sz w:val="13"/>
        </w:rPr>
        <w:t xml:space="preserve"> </w:t>
      </w:r>
      <w:r>
        <w:rPr>
          <w:color w:val="231F20"/>
          <w:sz w:val="13"/>
        </w:rPr>
        <w:t>Attorney-General).</w:t>
      </w:r>
    </w:p>
    <w:p w14:paraId="724F3C48" w14:textId="77777777" w:rsidR="00894070" w:rsidRDefault="009B7AFD">
      <w:pPr>
        <w:pStyle w:val="ListParagraph"/>
        <w:numPr>
          <w:ilvl w:val="0"/>
          <w:numId w:val="176"/>
        </w:numPr>
        <w:tabs>
          <w:tab w:val="left" w:pos="1801"/>
          <w:tab w:val="left" w:pos="1802"/>
        </w:tabs>
        <w:spacing w:line="213" w:lineRule="auto"/>
        <w:ind w:right="1048"/>
        <w:rPr>
          <w:sz w:val="13"/>
        </w:rPr>
      </w:pPr>
      <w:r>
        <w:rPr>
          <w:color w:val="231F20"/>
          <w:sz w:val="13"/>
        </w:rPr>
        <w:t xml:space="preserve">Carolina </w:t>
      </w:r>
      <w:proofErr w:type="spellStart"/>
      <w:r>
        <w:rPr>
          <w:color w:val="231F20"/>
          <w:spacing w:val="2"/>
          <w:sz w:val="13"/>
        </w:rPr>
        <w:t>Villacampa</w:t>
      </w:r>
      <w:proofErr w:type="spellEnd"/>
      <w:r>
        <w:rPr>
          <w:color w:val="231F20"/>
          <w:spacing w:val="2"/>
          <w:sz w:val="13"/>
        </w:rPr>
        <w:t xml:space="preserve"> </w:t>
      </w:r>
      <w:r>
        <w:rPr>
          <w:color w:val="231F20"/>
          <w:sz w:val="13"/>
        </w:rPr>
        <w:t xml:space="preserve">and Marc </w:t>
      </w:r>
      <w:r>
        <w:rPr>
          <w:color w:val="231F20"/>
          <w:spacing w:val="2"/>
          <w:sz w:val="13"/>
        </w:rPr>
        <w:t xml:space="preserve">Salat, ‘Stalking: </w:t>
      </w:r>
      <w:r>
        <w:rPr>
          <w:color w:val="231F20"/>
          <w:sz w:val="13"/>
        </w:rPr>
        <w:t xml:space="preserve">Victims’ and Professionals’ Views of Legal and Institutional Treatment’ (2019) 59 </w:t>
      </w:r>
      <w:r>
        <w:rPr>
          <w:i/>
          <w:color w:val="231F20"/>
          <w:sz w:val="13"/>
        </w:rPr>
        <w:t xml:space="preserve">International Journal of Law, Crime and Justice </w:t>
      </w:r>
      <w:r>
        <w:rPr>
          <w:color w:val="231F20"/>
          <w:sz w:val="13"/>
        </w:rPr>
        <w:t xml:space="preserve">100345:1–14, 10; Holly Taylor-Dunn, Erica Bowen and Liz Gilchrist, </w:t>
      </w:r>
      <w:r>
        <w:rPr>
          <w:i/>
          <w:color w:val="231F20"/>
          <w:sz w:val="13"/>
        </w:rPr>
        <w:t xml:space="preserve">The Victim Journey :    A Participatory Research Project Seeking the Views and </w:t>
      </w:r>
      <w:r>
        <w:rPr>
          <w:i/>
          <w:color w:val="231F20"/>
          <w:spacing w:val="2"/>
          <w:sz w:val="13"/>
        </w:rPr>
        <w:t xml:space="preserve">Experiences </w:t>
      </w:r>
      <w:r>
        <w:rPr>
          <w:i/>
          <w:color w:val="231F20"/>
          <w:sz w:val="13"/>
        </w:rPr>
        <w:t xml:space="preserve">of Victims of Stalking and Harassment </w:t>
      </w:r>
      <w:r>
        <w:rPr>
          <w:color w:val="231F20"/>
          <w:spacing w:val="2"/>
          <w:sz w:val="13"/>
        </w:rPr>
        <w:t xml:space="preserve">(Report, </w:t>
      </w:r>
      <w:r>
        <w:rPr>
          <w:color w:val="231F20"/>
          <w:sz w:val="13"/>
        </w:rPr>
        <w:t xml:space="preserve">Centre for    Violence Prevention, University of Worcester, July 2017) 4; </w:t>
      </w:r>
      <w:r>
        <w:rPr>
          <w:color w:val="231F20"/>
          <w:spacing w:val="2"/>
          <w:sz w:val="13"/>
        </w:rPr>
        <w:t xml:space="preserve">Mary </w:t>
      </w:r>
      <w:r>
        <w:rPr>
          <w:color w:val="231F20"/>
          <w:sz w:val="13"/>
        </w:rPr>
        <w:t xml:space="preserve">P Brewster, </w:t>
      </w:r>
      <w:r>
        <w:rPr>
          <w:i/>
          <w:color w:val="231F20"/>
          <w:sz w:val="13"/>
        </w:rPr>
        <w:t xml:space="preserve">An Exploration of the </w:t>
      </w:r>
      <w:r>
        <w:rPr>
          <w:i/>
          <w:color w:val="231F20"/>
          <w:spacing w:val="2"/>
          <w:sz w:val="13"/>
        </w:rPr>
        <w:t xml:space="preserve">Experiences </w:t>
      </w:r>
      <w:r>
        <w:rPr>
          <w:i/>
          <w:color w:val="231F20"/>
          <w:sz w:val="13"/>
        </w:rPr>
        <w:t>and Needs of Former Intimate</w:t>
      </w:r>
      <w:r>
        <w:rPr>
          <w:i/>
          <w:color w:val="231F20"/>
          <w:spacing w:val="4"/>
          <w:sz w:val="13"/>
        </w:rPr>
        <w:t xml:space="preserve"> </w:t>
      </w:r>
      <w:r>
        <w:rPr>
          <w:i/>
          <w:color w:val="231F20"/>
          <w:sz w:val="13"/>
        </w:rPr>
        <w:t>Stalking</w:t>
      </w:r>
      <w:r>
        <w:rPr>
          <w:i/>
          <w:color w:val="231F20"/>
          <w:spacing w:val="4"/>
          <w:sz w:val="13"/>
        </w:rPr>
        <w:t xml:space="preserve"> </w:t>
      </w:r>
      <w:r>
        <w:rPr>
          <w:i/>
          <w:color w:val="231F20"/>
          <w:sz w:val="13"/>
        </w:rPr>
        <w:t>Victims</w:t>
      </w:r>
      <w:r>
        <w:rPr>
          <w:i/>
          <w:color w:val="231F20"/>
          <w:spacing w:val="5"/>
          <w:sz w:val="13"/>
        </w:rPr>
        <w:t xml:space="preserve"> </w:t>
      </w:r>
      <w:r>
        <w:rPr>
          <w:color w:val="231F20"/>
          <w:sz w:val="13"/>
        </w:rPr>
        <w:t>(Final</w:t>
      </w:r>
      <w:r>
        <w:rPr>
          <w:color w:val="231F20"/>
          <w:spacing w:val="5"/>
          <w:sz w:val="13"/>
        </w:rPr>
        <w:t xml:space="preserve"> </w:t>
      </w:r>
      <w:r>
        <w:rPr>
          <w:color w:val="231F20"/>
          <w:spacing w:val="2"/>
          <w:sz w:val="13"/>
        </w:rPr>
        <w:t>Report</w:t>
      </w:r>
      <w:r>
        <w:rPr>
          <w:color w:val="231F20"/>
          <w:spacing w:val="5"/>
          <w:sz w:val="13"/>
        </w:rPr>
        <w:t xml:space="preserve"> </w:t>
      </w:r>
      <w:r>
        <w:rPr>
          <w:color w:val="231F20"/>
          <w:sz w:val="13"/>
        </w:rPr>
        <w:t>Submitted</w:t>
      </w:r>
      <w:r>
        <w:rPr>
          <w:color w:val="231F20"/>
          <w:spacing w:val="5"/>
          <w:sz w:val="13"/>
        </w:rPr>
        <w:t xml:space="preserve"> </w:t>
      </w:r>
      <w:r>
        <w:rPr>
          <w:color w:val="231F20"/>
          <w:sz w:val="13"/>
        </w:rPr>
        <w:t>to</w:t>
      </w:r>
      <w:r>
        <w:rPr>
          <w:color w:val="231F20"/>
          <w:spacing w:val="6"/>
          <w:sz w:val="13"/>
        </w:rPr>
        <w:t xml:space="preserve"> </w:t>
      </w:r>
      <w:r>
        <w:rPr>
          <w:color w:val="231F20"/>
          <w:sz w:val="13"/>
        </w:rPr>
        <w:t>the</w:t>
      </w:r>
      <w:r>
        <w:rPr>
          <w:color w:val="231F20"/>
          <w:spacing w:val="5"/>
          <w:sz w:val="13"/>
        </w:rPr>
        <w:t xml:space="preserve"> </w:t>
      </w:r>
      <w:r>
        <w:rPr>
          <w:color w:val="231F20"/>
          <w:sz w:val="13"/>
        </w:rPr>
        <w:t>National</w:t>
      </w:r>
      <w:r>
        <w:rPr>
          <w:color w:val="231F20"/>
          <w:spacing w:val="5"/>
          <w:sz w:val="13"/>
        </w:rPr>
        <w:t xml:space="preserve"> </w:t>
      </w:r>
      <w:r>
        <w:rPr>
          <w:color w:val="231F20"/>
          <w:sz w:val="13"/>
        </w:rPr>
        <w:t>Institute</w:t>
      </w:r>
      <w:r>
        <w:rPr>
          <w:color w:val="231F20"/>
          <w:spacing w:val="5"/>
          <w:sz w:val="13"/>
        </w:rPr>
        <w:t xml:space="preserve"> </w:t>
      </w:r>
      <w:r>
        <w:rPr>
          <w:color w:val="231F20"/>
          <w:sz w:val="13"/>
        </w:rPr>
        <w:t>of</w:t>
      </w:r>
      <w:r>
        <w:rPr>
          <w:color w:val="231F20"/>
          <w:spacing w:val="5"/>
          <w:sz w:val="13"/>
        </w:rPr>
        <w:t xml:space="preserve"> </w:t>
      </w:r>
      <w:r>
        <w:rPr>
          <w:color w:val="231F20"/>
          <w:sz w:val="13"/>
        </w:rPr>
        <w:t>Justice,</w:t>
      </w:r>
      <w:r>
        <w:rPr>
          <w:color w:val="231F20"/>
          <w:spacing w:val="5"/>
          <w:sz w:val="13"/>
        </w:rPr>
        <w:t xml:space="preserve"> </w:t>
      </w:r>
      <w:r>
        <w:rPr>
          <w:color w:val="231F20"/>
          <w:sz w:val="13"/>
        </w:rPr>
        <w:t>US</w:t>
      </w:r>
      <w:r>
        <w:rPr>
          <w:color w:val="231F20"/>
          <w:spacing w:val="5"/>
          <w:sz w:val="13"/>
        </w:rPr>
        <w:t xml:space="preserve"> </w:t>
      </w:r>
      <w:r>
        <w:rPr>
          <w:color w:val="231F20"/>
          <w:spacing w:val="2"/>
          <w:sz w:val="13"/>
        </w:rPr>
        <w:t>Department</w:t>
      </w:r>
      <w:r>
        <w:rPr>
          <w:color w:val="231F20"/>
          <w:spacing w:val="5"/>
          <w:sz w:val="13"/>
        </w:rPr>
        <w:t xml:space="preserve"> </w:t>
      </w:r>
      <w:r>
        <w:rPr>
          <w:color w:val="231F20"/>
          <w:sz w:val="13"/>
        </w:rPr>
        <w:t>of</w:t>
      </w:r>
      <w:r>
        <w:rPr>
          <w:color w:val="231F20"/>
          <w:spacing w:val="5"/>
          <w:sz w:val="13"/>
        </w:rPr>
        <w:t xml:space="preserve"> </w:t>
      </w:r>
      <w:r>
        <w:rPr>
          <w:color w:val="231F20"/>
          <w:sz w:val="13"/>
        </w:rPr>
        <w:t>Justice,</w:t>
      </w:r>
      <w:r>
        <w:rPr>
          <w:color w:val="231F20"/>
          <w:spacing w:val="5"/>
          <w:sz w:val="13"/>
        </w:rPr>
        <w:t xml:space="preserve"> </w:t>
      </w:r>
      <w:r>
        <w:rPr>
          <w:color w:val="231F20"/>
          <w:sz w:val="13"/>
        </w:rPr>
        <w:t>May</w:t>
      </w:r>
      <w:r>
        <w:rPr>
          <w:color w:val="231F20"/>
          <w:spacing w:val="5"/>
          <w:sz w:val="13"/>
        </w:rPr>
        <w:t xml:space="preserve"> </w:t>
      </w:r>
      <w:r>
        <w:rPr>
          <w:color w:val="231F20"/>
          <w:sz w:val="13"/>
        </w:rPr>
        <w:t>1999)</w:t>
      </w:r>
      <w:r>
        <w:rPr>
          <w:color w:val="231F20"/>
          <w:spacing w:val="5"/>
          <w:sz w:val="13"/>
        </w:rPr>
        <w:t xml:space="preserve"> </w:t>
      </w:r>
      <w:r>
        <w:rPr>
          <w:color w:val="231F20"/>
          <w:sz w:val="13"/>
        </w:rPr>
        <w:t>9,</w:t>
      </w:r>
      <w:r>
        <w:rPr>
          <w:color w:val="231F20"/>
          <w:spacing w:val="6"/>
          <w:sz w:val="13"/>
        </w:rPr>
        <w:t xml:space="preserve"> </w:t>
      </w:r>
      <w:r>
        <w:rPr>
          <w:color w:val="231F20"/>
          <w:spacing w:val="2"/>
          <w:sz w:val="13"/>
        </w:rPr>
        <w:t>53.</w:t>
      </w:r>
    </w:p>
    <w:p w14:paraId="64C89AC7" w14:textId="77777777" w:rsidR="00894070" w:rsidRDefault="009B7AFD">
      <w:pPr>
        <w:spacing w:line="151" w:lineRule="exact"/>
        <w:ind w:left="1801"/>
        <w:rPr>
          <w:sz w:val="13"/>
        </w:rPr>
      </w:pPr>
      <w:r>
        <w:rPr>
          <w:color w:val="231F20"/>
          <w:sz w:val="13"/>
        </w:rPr>
        <w:t>We note that family violence and sexual violence victim survivors can also have a need for the abuse to stop and to feel safe.</w:t>
      </w:r>
    </w:p>
    <w:p w14:paraId="7EE6B19C" w14:textId="77777777" w:rsidR="00894070" w:rsidRDefault="009B7AFD">
      <w:pPr>
        <w:pStyle w:val="ListParagraph"/>
        <w:numPr>
          <w:ilvl w:val="0"/>
          <w:numId w:val="176"/>
        </w:numPr>
        <w:tabs>
          <w:tab w:val="left" w:pos="1800"/>
          <w:tab w:val="left" w:pos="1802"/>
        </w:tabs>
        <w:spacing w:before="5" w:line="213" w:lineRule="auto"/>
        <w:ind w:right="1281"/>
        <w:rPr>
          <w:sz w:val="13"/>
        </w:rPr>
      </w:pPr>
      <w:r>
        <w:rPr>
          <w:color w:val="231F20"/>
          <w:sz w:val="13"/>
        </w:rPr>
        <w:t xml:space="preserve">Suzan </w:t>
      </w:r>
      <w:proofErr w:type="gramStart"/>
      <w:r>
        <w:rPr>
          <w:color w:val="231F20"/>
          <w:sz w:val="13"/>
        </w:rPr>
        <w:t>van</w:t>
      </w:r>
      <w:proofErr w:type="gramEnd"/>
      <w:r>
        <w:rPr>
          <w:color w:val="231F20"/>
          <w:sz w:val="13"/>
        </w:rPr>
        <w:t xml:space="preserve"> der Aa and Anne </w:t>
      </w:r>
      <w:proofErr w:type="spellStart"/>
      <w:r>
        <w:rPr>
          <w:color w:val="231F20"/>
          <w:spacing w:val="2"/>
          <w:sz w:val="13"/>
        </w:rPr>
        <w:t>Groenen</w:t>
      </w:r>
      <w:proofErr w:type="spellEnd"/>
      <w:r>
        <w:rPr>
          <w:color w:val="231F20"/>
          <w:spacing w:val="2"/>
          <w:sz w:val="13"/>
        </w:rPr>
        <w:t xml:space="preserve">, ‘Identifying </w:t>
      </w:r>
      <w:r>
        <w:rPr>
          <w:color w:val="231F20"/>
          <w:sz w:val="13"/>
        </w:rPr>
        <w:t xml:space="preserve">the </w:t>
      </w:r>
      <w:r>
        <w:rPr>
          <w:color w:val="231F20"/>
          <w:spacing w:val="2"/>
          <w:sz w:val="13"/>
        </w:rPr>
        <w:t xml:space="preserve">Needs </w:t>
      </w:r>
      <w:r>
        <w:rPr>
          <w:color w:val="231F20"/>
          <w:sz w:val="13"/>
        </w:rPr>
        <w:t xml:space="preserve">of Stalking Victims and the Responsiveness of the Criminal Justice System: A Qualitative Study in Belgium and the Netherlands’ (2010) </w:t>
      </w:r>
      <w:r>
        <w:rPr>
          <w:color w:val="231F20"/>
          <w:spacing w:val="2"/>
          <w:sz w:val="13"/>
        </w:rPr>
        <w:t xml:space="preserve">6(1) </w:t>
      </w:r>
      <w:r>
        <w:rPr>
          <w:i/>
          <w:color w:val="231F20"/>
          <w:sz w:val="13"/>
        </w:rPr>
        <w:t xml:space="preserve">Victims &amp; Offenders </w:t>
      </w:r>
      <w:r>
        <w:rPr>
          <w:color w:val="231F20"/>
          <w:sz w:val="13"/>
        </w:rPr>
        <w:t>19,</w:t>
      </w:r>
      <w:r>
        <w:rPr>
          <w:color w:val="231F20"/>
          <w:spacing w:val="20"/>
          <w:sz w:val="13"/>
        </w:rPr>
        <w:t xml:space="preserve"> </w:t>
      </w:r>
      <w:r>
        <w:rPr>
          <w:color w:val="231F20"/>
          <w:sz w:val="13"/>
        </w:rPr>
        <w:t>28.</w:t>
      </w:r>
    </w:p>
    <w:p w14:paraId="7338AE65" w14:textId="77777777" w:rsidR="00894070" w:rsidRDefault="009B7AFD">
      <w:pPr>
        <w:pStyle w:val="ListParagraph"/>
        <w:numPr>
          <w:ilvl w:val="0"/>
          <w:numId w:val="176"/>
        </w:numPr>
        <w:tabs>
          <w:tab w:val="left" w:pos="1800"/>
          <w:tab w:val="left" w:pos="1802"/>
        </w:tabs>
        <w:spacing w:line="213" w:lineRule="auto"/>
        <w:ind w:right="1397"/>
        <w:rPr>
          <w:sz w:val="13"/>
        </w:rPr>
      </w:pPr>
      <w:r>
        <w:rPr>
          <w:color w:val="231F20"/>
          <w:sz w:val="13"/>
        </w:rPr>
        <w:t xml:space="preserve">Jenny </w:t>
      </w:r>
      <w:proofErr w:type="spellStart"/>
      <w:r>
        <w:rPr>
          <w:color w:val="231F20"/>
          <w:sz w:val="13"/>
        </w:rPr>
        <w:t>Korkodeilou</w:t>
      </w:r>
      <w:proofErr w:type="spellEnd"/>
      <w:r>
        <w:rPr>
          <w:color w:val="231F20"/>
          <w:sz w:val="13"/>
        </w:rPr>
        <w:t xml:space="preserve">, </w:t>
      </w:r>
      <w:r>
        <w:rPr>
          <w:color w:val="231F20"/>
          <w:spacing w:val="2"/>
          <w:sz w:val="13"/>
        </w:rPr>
        <w:t xml:space="preserve">‘Dealing </w:t>
      </w:r>
      <w:r>
        <w:rPr>
          <w:color w:val="231F20"/>
          <w:sz w:val="13"/>
        </w:rPr>
        <w:t xml:space="preserve">with the Unknown: Learning from Stalking Victims’ </w:t>
      </w:r>
      <w:r>
        <w:rPr>
          <w:color w:val="231F20"/>
          <w:spacing w:val="2"/>
          <w:sz w:val="13"/>
        </w:rPr>
        <w:t xml:space="preserve">Experiences’ </w:t>
      </w:r>
      <w:r>
        <w:rPr>
          <w:color w:val="231F20"/>
          <w:sz w:val="13"/>
        </w:rPr>
        <w:t xml:space="preserve">(2014) 16(4) </w:t>
      </w:r>
      <w:r>
        <w:rPr>
          <w:i/>
          <w:color w:val="231F20"/>
          <w:sz w:val="13"/>
        </w:rPr>
        <w:t xml:space="preserve">Crime Prevention </w:t>
      </w:r>
      <w:r>
        <w:rPr>
          <w:i/>
          <w:color w:val="231F20"/>
          <w:spacing w:val="2"/>
          <w:sz w:val="13"/>
        </w:rPr>
        <w:t xml:space="preserve">and </w:t>
      </w:r>
      <w:r>
        <w:rPr>
          <w:i/>
          <w:color w:val="231F20"/>
          <w:sz w:val="13"/>
        </w:rPr>
        <w:t xml:space="preserve">Community Safety </w:t>
      </w:r>
      <w:r>
        <w:rPr>
          <w:color w:val="231F20"/>
          <w:spacing w:val="2"/>
          <w:sz w:val="13"/>
        </w:rPr>
        <w:t>253,</w:t>
      </w:r>
      <w:r>
        <w:rPr>
          <w:color w:val="231F20"/>
          <w:spacing w:val="-1"/>
          <w:sz w:val="13"/>
        </w:rPr>
        <w:t xml:space="preserve"> </w:t>
      </w:r>
      <w:r>
        <w:rPr>
          <w:color w:val="231F20"/>
          <w:spacing w:val="2"/>
          <w:sz w:val="13"/>
        </w:rPr>
        <w:t>260.</w:t>
      </w:r>
    </w:p>
    <w:p w14:paraId="60875B4A" w14:textId="77777777" w:rsidR="00894070" w:rsidRDefault="009B7AFD">
      <w:pPr>
        <w:pStyle w:val="ListParagraph"/>
        <w:numPr>
          <w:ilvl w:val="0"/>
          <w:numId w:val="176"/>
        </w:numPr>
        <w:tabs>
          <w:tab w:val="left" w:pos="1801"/>
          <w:tab w:val="left" w:pos="1802"/>
        </w:tabs>
        <w:spacing w:line="213" w:lineRule="auto"/>
        <w:ind w:right="1196"/>
        <w:rPr>
          <w:sz w:val="13"/>
        </w:rPr>
      </w:pPr>
      <w:r>
        <w:rPr>
          <w:color w:val="231F20"/>
          <w:sz w:val="13"/>
        </w:rPr>
        <w:t xml:space="preserve">Some of these </w:t>
      </w:r>
      <w:r>
        <w:rPr>
          <w:color w:val="231F20"/>
          <w:spacing w:val="2"/>
          <w:sz w:val="13"/>
        </w:rPr>
        <w:t xml:space="preserve">needs </w:t>
      </w:r>
      <w:r>
        <w:rPr>
          <w:color w:val="231F20"/>
          <w:sz w:val="13"/>
        </w:rPr>
        <w:t xml:space="preserve">now align with Victorian legislation such as the </w:t>
      </w:r>
      <w:r>
        <w:rPr>
          <w:i/>
          <w:color w:val="231F20"/>
          <w:sz w:val="13"/>
        </w:rPr>
        <w:t xml:space="preserve">Victims’ Charter Act 2006 </w:t>
      </w:r>
      <w:r>
        <w:rPr>
          <w:color w:val="231F20"/>
          <w:sz w:val="13"/>
        </w:rPr>
        <w:t xml:space="preserve">(Vic); </w:t>
      </w:r>
      <w:r>
        <w:rPr>
          <w:i/>
          <w:color w:val="231F20"/>
          <w:sz w:val="13"/>
        </w:rPr>
        <w:t xml:space="preserve">Criminal Procedure Act 2009 </w:t>
      </w:r>
      <w:r>
        <w:rPr>
          <w:color w:val="231F20"/>
          <w:sz w:val="13"/>
        </w:rPr>
        <w:t xml:space="preserve">(Vic). See Victorian Law Reform </w:t>
      </w:r>
      <w:r>
        <w:rPr>
          <w:color w:val="231F20"/>
          <w:spacing w:val="2"/>
          <w:sz w:val="13"/>
        </w:rPr>
        <w:t xml:space="preserve">Commission, </w:t>
      </w:r>
      <w:r>
        <w:rPr>
          <w:i/>
          <w:color w:val="231F20"/>
          <w:sz w:val="13"/>
        </w:rPr>
        <w:t xml:space="preserve">The Role of Victims of Crime in the Criminal Trial Process </w:t>
      </w:r>
      <w:r>
        <w:rPr>
          <w:color w:val="231F20"/>
          <w:spacing w:val="2"/>
          <w:sz w:val="13"/>
        </w:rPr>
        <w:t xml:space="preserve">(Report </w:t>
      </w:r>
      <w:r>
        <w:rPr>
          <w:color w:val="231F20"/>
          <w:sz w:val="13"/>
        </w:rPr>
        <w:t xml:space="preserve">No </w:t>
      </w:r>
      <w:r>
        <w:rPr>
          <w:color w:val="231F20"/>
          <w:spacing w:val="3"/>
          <w:sz w:val="13"/>
        </w:rPr>
        <w:t xml:space="preserve">34, </w:t>
      </w:r>
      <w:r>
        <w:rPr>
          <w:color w:val="231F20"/>
          <w:sz w:val="13"/>
        </w:rPr>
        <w:t xml:space="preserve">August 2016) 32; 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No 42, September 2021). The</w:t>
      </w:r>
      <w:r>
        <w:rPr>
          <w:color w:val="231F20"/>
          <w:spacing w:val="2"/>
          <w:sz w:val="13"/>
        </w:rPr>
        <w:t xml:space="preserve"> </w:t>
      </w:r>
      <w:r>
        <w:rPr>
          <w:color w:val="231F20"/>
          <w:sz w:val="13"/>
        </w:rPr>
        <w:t>victim</w:t>
      </w:r>
      <w:r>
        <w:rPr>
          <w:color w:val="231F20"/>
          <w:spacing w:val="3"/>
          <w:sz w:val="13"/>
        </w:rPr>
        <w:t xml:space="preserve"> </w:t>
      </w:r>
      <w:r>
        <w:rPr>
          <w:color w:val="231F20"/>
          <w:sz w:val="13"/>
        </w:rPr>
        <w:t>survivors</w:t>
      </w:r>
      <w:r>
        <w:rPr>
          <w:color w:val="231F20"/>
          <w:spacing w:val="3"/>
          <w:sz w:val="13"/>
        </w:rPr>
        <w:t xml:space="preserve"> </w:t>
      </w:r>
      <w:r>
        <w:rPr>
          <w:color w:val="231F20"/>
          <w:sz w:val="13"/>
        </w:rPr>
        <w:t>we</w:t>
      </w:r>
      <w:r>
        <w:rPr>
          <w:color w:val="231F20"/>
          <w:spacing w:val="3"/>
          <w:sz w:val="13"/>
        </w:rPr>
        <w:t xml:space="preserve"> </w:t>
      </w:r>
      <w:r>
        <w:rPr>
          <w:color w:val="231F20"/>
          <w:sz w:val="13"/>
        </w:rPr>
        <w:t>heard</w:t>
      </w:r>
      <w:r>
        <w:rPr>
          <w:color w:val="231F20"/>
          <w:spacing w:val="3"/>
          <w:sz w:val="13"/>
        </w:rPr>
        <w:t xml:space="preserve"> </w:t>
      </w:r>
      <w:r>
        <w:rPr>
          <w:color w:val="231F20"/>
          <w:sz w:val="13"/>
        </w:rPr>
        <w:t>from</w:t>
      </w:r>
      <w:r>
        <w:rPr>
          <w:color w:val="231F20"/>
          <w:spacing w:val="3"/>
          <w:sz w:val="13"/>
        </w:rPr>
        <w:t xml:space="preserve"> </w:t>
      </w:r>
      <w:r>
        <w:rPr>
          <w:color w:val="231F20"/>
          <w:sz w:val="13"/>
        </w:rPr>
        <w:t>in</w:t>
      </w:r>
      <w:r>
        <w:rPr>
          <w:color w:val="231F20"/>
          <w:spacing w:val="3"/>
          <w:sz w:val="13"/>
        </w:rPr>
        <w:t xml:space="preserve"> </w:t>
      </w:r>
      <w:r>
        <w:rPr>
          <w:color w:val="231F20"/>
          <w:sz w:val="13"/>
        </w:rPr>
        <w:t>the</w:t>
      </w:r>
      <w:r>
        <w:rPr>
          <w:color w:val="231F20"/>
          <w:spacing w:val="3"/>
          <w:sz w:val="13"/>
        </w:rPr>
        <w:t xml:space="preserve"> </w:t>
      </w:r>
      <w:r>
        <w:rPr>
          <w:color w:val="231F20"/>
          <w:sz w:val="13"/>
        </w:rPr>
        <w:t>sexual</w:t>
      </w:r>
      <w:r>
        <w:rPr>
          <w:color w:val="231F20"/>
          <w:spacing w:val="3"/>
          <w:sz w:val="13"/>
        </w:rPr>
        <w:t xml:space="preserve"> </w:t>
      </w:r>
      <w:proofErr w:type="gramStart"/>
      <w:r>
        <w:rPr>
          <w:color w:val="231F20"/>
          <w:sz w:val="13"/>
        </w:rPr>
        <w:t>offences</w:t>
      </w:r>
      <w:proofErr w:type="gramEnd"/>
      <w:r>
        <w:rPr>
          <w:color w:val="231F20"/>
          <w:spacing w:val="3"/>
          <w:sz w:val="13"/>
        </w:rPr>
        <w:t xml:space="preserve"> </w:t>
      </w:r>
      <w:r>
        <w:rPr>
          <w:color w:val="231F20"/>
          <w:spacing w:val="2"/>
          <w:sz w:val="13"/>
        </w:rPr>
        <w:t>inquiry</w:t>
      </w:r>
      <w:r>
        <w:rPr>
          <w:color w:val="231F20"/>
          <w:spacing w:val="3"/>
          <w:sz w:val="13"/>
        </w:rPr>
        <w:t xml:space="preserve"> </w:t>
      </w:r>
      <w:r>
        <w:rPr>
          <w:color w:val="231F20"/>
          <w:sz w:val="13"/>
        </w:rPr>
        <w:t>highlighted</w:t>
      </w:r>
      <w:r>
        <w:rPr>
          <w:color w:val="231F20"/>
          <w:spacing w:val="3"/>
          <w:sz w:val="13"/>
        </w:rPr>
        <w:t xml:space="preserve"> </w:t>
      </w:r>
      <w:r>
        <w:rPr>
          <w:color w:val="231F20"/>
          <w:sz w:val="13"/>
        </w:rPr>
        <w:t>the</w:t>
      </w:r>
      <w:r>
        <w:rPr>
          <w:color w:val="231F20"/>
          <w:spacing w:val="3"/>
          <w:sz w:val="13"/>
        </w:rPr>
        <w:t xml:space="preserve"> </w:t>
      </w:r>
      <w:r>
        <w:rPr>
          <w:color w:val="231F20"/>
          <w:spacing w:val="2"/>
          <w:sz w:val="13"/>
        </w:rPr>
        <w:t xml:space="preserve">need </w:t>
      </w:r>
      <w:r>
        <w:rPr>
          <w:color w:val="231F20"/>
          <w:sz w:val="13"/>
        </w:rPr>
        <w:t>for</w:t>
      </w:r>
      <w:r>
        <w:rPr>
          <w:color w:val="231F20"/>
          <w:spacing w:val="3"/>
          <w:sz w:val="13"/>
        </w:rPr>
        <w:t xml:space="preserve"> </w:t>
      </w:r>
      <w:r>
        <w:rPr>
          <w:color w:val="231F20"/>
          <w:sz w:val="13"/>
        </w:rPr>
        <w:t>the</w:t>
      </w:r>
      <w:r>
        <w:rPr>
          <w:color w:val="231F20"/>
          <w:spacing w:val="3"/>
          <w:sz w:val="13"/>
        </w:rPr>
        <w:t xml:space="preserve"> </w:t>
      </w:r>
      <w:r>
        <w:rPr>
          <w:color w:val="231F20"/>
          <w:sz w:val="13"/>
        </w:rPr>
        <w:t>information</w:t>
      </w:r>
      <w:r>
        <w:rPr>
          <w:color w:val="231F20"/>
          <w:spacing w:val="3"/>
          <w:sz w:val="13"/>
        </w:rPr>
        <w:t xml:space="preserve"> </w:t>
      </w:r>
      <w:r>
        <w:rPr>
          <w:color w:val="231F20"/>
          <w:sz w:val="13"/>
        </w:rPr>
        <w:t>to</w:t>
      </w:r>
      <w:r>
        <w:rPr>
          <w:color w:val="231F20"/>
          <w:spacing w:val="3"/>
          <w:sz w:val="13"/>
        </w:rPr>
        <w:t xml:space="preserve"> </w:t>
      </w:r>
      <w:r>
        <w:rPr>
          <w:color w:val="231F20"/>
          <w:sz w:val="13"/>
        </w:rPr>
        <w:t>be</w:t>
      </w:r>
      <w:r>
        <w:rPr>
          <w:color w:val="231F20"/>
          <w:spacing w:val="3"/>
          <w:sz w:val="13"/>
        </w:rPr>
        <w:t xml:space="preserve"> </w:t>
      </w:r>
      <w:r>
        <w:rPr>
          <w:color w:val="231F20"/>
          <w:sz w:val="13"/>
        </w:rPr>
        <w:t>timely.</w:t>
      </w:r>
    </w:p>
    <w:p w14:paraId="43C616CD" w14:textId="77777777" w:rsidR="00894070" w:rsidRDefault="009F6793">
      <w:pPr>
        <w:pStyle w:val="ListParagraph"/>
        <w:numPr>
          <w:ilvl w:val="0"/>
          <w:numId w:val="176"/>
        </w:numPr>
        <w:tabs>
          <w:tab w:val="left" w:pos="1801"/>
          <w:tab w:val="left" w:pos="1802"/>
        </w:tabs>
        <w:spacing w:line="213" w:lineRule="auto"/>
        <w:ind w:right="1077"/>
        <w:rPr>
          <w:sz w:val="13"/>
        </w:rPr>
      </w:pPr>
      <w:r>
        <w:pict w14:anchorId="66F14FF5">
          <v:shape id="_x0000_s1700" type="#_x0000_t202" style="position:absolute;left:0;text-align:left;margin-left:36pt;margin-top:35.4pt;width:7.3pt;height:14.1pt;z-index:251475968;mso-position-horizontal-relative:page" filled="f" stroked="f">
            <v:textbox inset="0,0,0,0">
              <w:txbxContent>
                <w:p w14:paraId="3ABBCB40" w14:textId="77777777" w:rsidR="00894070" w:rsidRDefault="009B7AFD">
                  <w:pPr>
                    <w:spacing w:line="282" w:lineRule="exact"/>
                    <w:rPr>
                      <w:b/>
                      <w:sz w:val="24"/>
                    </w:rPr>
                  </w:pPr>
                  <w:r>
                    <w:rPr>
                      <w:b/>
                      <w:color w:val="EA5B50"/>
                      <w:sz w:val="24"/>
                    </w:rPr>
                    <w:t>6</w:t>
                  </w:r>
                </w:p>
              </w:txbxContent>
            </v:textbox>
            <w10:wrap anchorx="page"/>
          </v:shape>
        </w:pict>
      </w:r>
      <w:r w:rsidR="009B7AFD">
        <w:rPr>
          <w:color w:val="231F20"/>
          <w:spacing w:val="2"/>
          <w:sz w:val="13"/>
        </w:rPr>
        <w:t xml:space="preserve">Mary </w:t>
      </w:r>
      <w:r w:rsidR="009B7AFD">
        <w:rPr>
          <w:color w:val="231F20"/>
          <w:sz w:val="13"/>
        </w:rPr>
        <w:t xml:space="preserve">P Brewster, </w:t>
      </w:r>
      <w:r w:rsidR="009B7AFD">
        <w:rPr>
          <w:i/>
          <w:color w:val="231F20"/>
          <w:sz w:val="13"/>
        </w:rPr>
        <w:t xml:space="preserve">An Exploration of the </w:t>
      </w:r>
      <w:r w:rsidR="009B7AFD">
        <w:rPr>
          <w:i/>
          <w:color w:val="231F20"/>
          <w:spacing w:val="2"/>
          <w:sz w:val="13"/>
        </w:rPr>
        <w:t xml:space="preserve">Experiences </w:t>
      </w:r>
      <w:r w:rsidR="009B7AFD">
        <w:rPr>
          <w:i/>
          <w:color w:val="231F20"/>
          <w:sz w:val="13"/>
        </w:rPr>
        <w:t xml:space="preserve">and Needs of Former Intimate Stalking Victims </w:t>
      </w:r>
      <w:r w:rsidR="009B7AFD">
        <w:rPr>
          <w:color w:val="231F20"/>
          <w:sz w:val="13"/>
        </w:rPr>
        <w:t xml:space="preserve">(Final </w:t>
      </w:r>
      <w:r w:rsidR="009B7AFD">
        <w:rPr>
          <w:color w:val="231F20"/>
          <w:spacing w:val="2"/>
          <w:sz w:val="13"/>
        </w:rPr>
        <w:t xml:space="preserve">Report, </w:t>
      </w:r>
      <w:r w:rsidR="009B7AFD">
        <w:rPr>
          <w:color w:val="231F20"/>
          <w:sz w:val="13"/>
        </w:rPr>
        <w:t xml:space="preserve">National Institute of Justice, US </w:t>
      </w:r>
      <w:r w:rsidR="009B7AFD">
        <w:rPr>
          <w:color w:val="231F20"/>
          <w:spacing w:val="2"/>
          <w:sz w:val="13"/>
        </w:rPr>
        <w:t xml:space="preserve">Department </w:t>
      </w:r>
      <w:r w:rsidR="009B7AFD">
        <w:rPr>
          <w:color w:val="231F20"/>
          <w:sz w:val="13"/>
        </w:rPr>
        <w:t xml:space="preserve">of Justice, May </w:t>
      </w:r>
      <w:r w:rsidR="009B7AFD">
        <w:rPr>
          <w:color w:val="231F20"/>
          <w:spacing w:val="2"/>
          <w:sz w:val="13"/>
        </w:rPr>
        <w:t xml:space="preserve">1999) </w:t>
      </w:r>
      <w:r w:rsidR="009B7AFD">
        <w:rPr>
          <w:color w:val="231F20"/>
          <w:sz w:val="13"/>
        </w:rPr>
        <w:t xml:space="preserve">9, 53; Jenny </w:t>
      </w:r>
      <w:proofErr w:type="spellStart"/>
      <w:r w:rsidR="009B7AFD">
        <w:rPr>
          <w:color w:val="231F20"/>
          <w:sz w:val="13"/>
        </w:rPr>
        <w:t>Korkodeilou</w:t>
      </w:r>
      <w:proofErr w:type="spellEnd"/>
      <w:r w:rsidR="009B7AFD">
        <w:rPr>
          <w:color w:val="231F20"/>
          <w:sz w:val="13"/>
        </w:rPr>
        <w:t xml:space="preserve">, </w:t>
      </w:r>
      <w:r w:rsidR="009B7AFD">
        <w:rPr>
          <w:color w:val="231F20"/>
          <w:spacing w:val="2"/>
          <w:sz w:val="13"/>
        </w:rPr>
        <w:t xml:space="preserve">‘Dealing </w:t>
      </w:r>
      <w:r w:rsidR="009B7AFD">
        <w:rPr>
          <w:color w:val="231F20"/>
          <w:sz w:val="13"/>
        </w:rPr>
        <w:t xml:space="preserve">with the Unknown: Learning from Stalking Victims’ </w:t>
      </w:r>
      <w:r w:rsidR="009B7AFD">
        <w:rPr>
          <w:color w:val="231F20"/>
          <w:spacing w:val="2"/>
          <w:sz w:val="13"/>
        </w:rPr>
        <w:t xml:space="preserve">Experiences’ </w:t>
      </w:r>
      <w:r w:rsidR="009B7AFD">
        <w:rPr>
          <w:color w:val="231F20"/>
          <w:sz w:val="13"/>
        </w:rPr>
        <w:t xml:space="preserve">(2014) 16(4) </w:t>
      </w:r>
      <w:r w:rsidR="009B7AFD">
        <w:rPr>
          <w:i/>
          <w:color w:val="231F20"/>
          <w:sz w:val="13"/>
        </w:rPr>
        <w:t xml:space="preserve">Crime Prevention and Community Safety </w:t>
      </w:r>
      <w:r w:rsidR="009B7AFD">
        <w:rPr>
          <w:color w:val="231F20"/>
          <w:spacing w:val="2"/>
          <w:sz w:val="13"/>
        </w:rPr>
        <w:t xml:space="preserve">253, 258–65; </w:t>
      </w:r>
      <w:r w:rsidR="009B7AFD">
        <w:rPr>
          <w:color w:val="231F20"/>
          <w:sz w:val="13"/>
        </w:rPr>
        <w:t xml:space="preserve">Tim </w:t>
      </w:r>
      <w:proofErr w:type="spellStart"/>
      <w:r w:rsidR="009B7AFD">
        <w:rPr>
          <w:color w:val="231F20"/>
          <w:sz w:val="13"/>
        </w:rPr>
        <w:t>Boehnlein</w:t>
      </w:r>
      <w:proofErr w:type="spellEnd"/>
      <w:r w:rsidR="009B7AFD">
        <w:rPr>
          <w:color w:val="231F20"/>
          <w:sz w:val="13"/>
        </w:rPr>
        <w:t xml:space="preserve"> et </w:t>
      </w:r>
      <w:r w:rsidR="009B7AFD">
        <w:rPr>
          <w:color w:val="231F20"/>
          <w:spacing w:val="2"/>
          <w:sz w:val="13"/>
        </w:rPr>
        <w:t xml:space="preserve">al, </w:t>
      </w:r>
      <w:r w:rsidR="009B7AFD">
        <w:rPr>
          <w:color w:val="231F20"/>
          <w:sz w:val="13"/>
        </w:rPr>
        <w:t xml:space="preserve">‘Responding to Stalking Victims: Perceptions, </w:t>
      </w:r>
      <w:r w:rsidR="009B7AFD">
        <w:rPr>
          <w:color w:val="231F20"/>
          <w:spacing w:val="2"/>
          <w:sz w:val="13"/>
        </w:rPr>
        <w:t xml:space="preserve">Barriers, </w:t>
      </w:r>
      <w:r w:rsidR="009B7AFD">
        <w:rPr>
          <w:color w:val="231F20"/>
          <w:sz w:val="13"/>
        </w:rPr>
        <w:t xml:space="preserve">and Directions for Future Research’ (2020) 35(7) </w:t>
      </w:r>
      <w:r w:rsidR="009B7AFD">
        <w:rPr>
          <w:i/>
          <w:color w:val="231F20"/>
          <w:sz w:val="13"/>
        </w:rPr>
        <w:t xml:space="preserve">Journal of Family Violence </w:t>
      </w:r>
      <w:r w:rsidR="009B7AFD">
        <w:rPr>
          <w:color w:val="231F20"/>
          <w:spacing w:val="2"/>
          <w:sz w:val="13"/>
        </w:rPr>
        <w:t xml:space="preserve">755, </w:t>
      </w:r>
      <w:r w:rsidR="009B7AFD">
        <w:rPr>
          <w:color w:val="231F20"/>
          <w:sz w:val="13"/>
        </w:rPr>
        <w:t xml:space="preserve">760; Suzan van der Aa and   Anne </w:t>
      </w:r>
      <w:proofErr w:type="spellStart"/>
      <w:r w:rsidR="009B7AFD">
        <w:rPr>
          <w:color w:val="231F20"/>
          <w:spacing w:val="2"/>
          <w:sz w:val="13"/>
        </w:rPr>
        <w:t>Groenen</w:t>
      </w:r>
      <w:proofErr w:type="spellEnd"/>
      <w:r w:rsidR="009B7AFD">
        <w:rPr>
          <w:color w:val="231F20"/>
          <w:spacing w:val="2"/>
          <w:sz w:val="13"/>
        </w:rPr>
        <w:t xml:space="preserve">, ‘Identifying </w:t>
      </w:r>
      <w:r w:rsidR="009B7AFD">
        <w:rPr>
          <w:color w:val="231F20"/>
          <w:sz w:val="13"/>
        </w:rPr>
        <w:t xml:space="preserve">the </w:t>
      </w:r>
      <w:r w:rsidR="009B7AFD">
        <w:rPr>
          <w:color w:val="231F20"/>
          <w:spacing w:val="2"/>
          <w:sz w:val="13"/>
        </w:rPr>
        <w:t xml:space="preserve">Needs </w:t>
      </w:r>
      <w:r w:rsidR="009B7AFD">
        <w:rPr>
          <w:color w:val="231F20"/>
          <w:sz w:val="13"/>
        </w:rPr>
        <w:t xml:space="preserve">of Stalking Victims and the Responsiveness of the Criminal Justice System: A Qualitative   Study in Belgium and the Netherlands’ (2010) </w:t>
      </w:r>
      <w:r w:rsidR="009B7AFD">
        <w:rPr>
          <w:color w:val="231F20"/>
          <w:spacing w:val="2"/>
          <w:sz w:val="13"/>
        </w:rPr>
        <w:t xml:space="preserve">6(1) </w:t>
      </w:r>
      <w:r w:rsidR="009B7AFD">
        <w:rPr>
          <w:i/>
          <w:color w:val="231F20"/>
          <w:sz w:val="13"/>
        </w:rPr>
        <w:t xml:space="preserve">Victims &amp; Offenders </w:t>
      </w:r>
      <w:r w:rsidR="009B7AFD">
        <w:rPr>
          <w:color w:val="231F20"/>
          <w:sz w:val="13"/>
        </w:rPr>
        <w:t>19,</w:t>
      </w:r>
      <w:r w:rsidR="009B7AFD">
        <w:rPr>
          <w:color w:val="231F20"/>
          <w:spacing w:val="6"/>
          <w:sz w:val="13"/>
        </w:rPr>
        <w:t xml:space="preserve"> </w:t>
      </w:r>
      <w:r w:rsidR="009B7AFD">
        <w:rPr>
          <w:color w:val="231F20"/>
          <w:sz w:val="13"/>
        </w:rPr>
        <w:t>19.</w:t>
      </w:r>
    </w:p>
    <w:p w14:paraId="2165860C" w14:textId="77777777" w:rsidR="00894070" w:rsidRDefault="00894070">
      <w:pPr>
        <w:spacing w:line="213" w:lineRule="auto"/>
        <w:rPr>
          <w:sz w:val="13"/>
        </w:rPr>
        <w:sectPr w:rsidR="00894070">
          <w:pgSz w:w="11910" w:h="16840"/>
          <w:pgMar w:top="860" w:right="420" w:bottom="280" w:left="580" w:header="567" w:footer="0" w:gutter="0"/>
          <w:cols w:space="720"/>
        </w:sectPr>
      </w:pPr>
    </w:p>
    <w:p w14:paraId="4ED45074" w14:textId="77777777" w:rsidR="00894070" w:rsidRDefault="00894070">
      <w:pPr>
        <w:pStyle w:val="BodyText"/>
      </w:pPr>
    </w:p>
    <w:p w14:paraId="421F40AA" w14:textId="77777777" w:rsidR="00894070" w:rsidRDefault="00894070">
      <w:pPr>
        <w:pStyle w:val="BodyText"/>
      </w:pPr>
    </w:p>
    <w:p w14:paraId="4400A162" w14:textId="77777777" w:rsidR="00894070" w:rsidRDefault="00894070">
      <w:pPr>
        <w:pStyle w:val="BodyText"/>
      </w:pPr>
    </w:p>
    <w:p w14:paraId="673C0E75" w14:textId="77777777" w:rsidR="00894070" w:rsidRDefault="00894070">
      <w:pPr>
        <w:pStyle w:val="BodyText"/>
        <w:spacing w:before="6"/>
        <w:rPr>
          <w:sz w:val="14"/>
        </w:rPr>
      </w:pPr>
    </w:p>
    <w:p w14:paraId="060380E3" w14:textId="77777777" w:rsidR="00894070" w:rsidRDefault="009B7AFD">
      <w:pPr>
        <w:pStyle w:val="Heading8"/>
        <w:spacing w:before="49"/>
        <w:ind w:left="1007"/>
      </w:pPr>
      <w:bookmarkStart w:id="24" w:name="_bookmark10"/>
      <w:bookmarkEnd w:id="24"/>
      <w:r>
        <w:rPr>
          <w:color w:val="231F20"/>
        </w:rPr>
        <w:t xml:space="preserve">The response to stalking must </w:t>
      </w:r>
      <w:proofErr w:type="spellStart"/>
      <w:r>
        <w:rPr>
          <w:color w:val="231F20"/>
        </w:rPr>
        <w:t>recognise</w:t>
      </w:r>
      <w:proofErr w:type="spellEnd"/>
      <w:r>
        <w:rPr>
          <w:color w:val="231F20"/>
        </w:rPr>
        <w:t xml:space="preserve"> the diversity of experiences</w:t>
      </w:r>
    </w:p>
    <w:p w14:paraId="4F744AE6" w14:textId="77777777" w:rsidR="00894070" w:rsidRDefault="009B7AFD">
      <w:pPr>
        <w:pStyle w:val="ListParagraph"/>
        <w:numPr>
          <w:ilvl w:val="1"/>
          <w:numId w:val="177"/>
        </w:numPr>
        <w:tabs>
          <w:tab w:val="left" w:pos="1801"/>
          <w:tab w:val="left" w:pos="1802"/>
        </w:tabs>
        <w:spacing w:before="127" w:line="206" w:lineRule="auto"/>
        <w:ind w:right="1599"/>
        <w:rPr>
          <w:sz w:val="20"/>
        </w:rPr>
      </w:pPr>
      <w:r>
        <w:rPr>
          <w:color w:val="231F20"/>
          <w:sz w:val="20"/>
        </w:rPr>
        <w:t xml:space="preserve">In our </w:t>
      </w:r>
      <w:r>
        <w:rPr>
          <w:color w:val="231F20"/>
          <w:spacing w:val="-3"/>
          <w:sz w:val="20"/>
        </w:rPr>
        <w:t xml:space="preserve">interim </w:t>
      </w:r>
      <w:r>
        <w:rPr>
          <w:color w:val="231F20"/>
          <w:sz w:val="20"/>
        </w:rPr>
        <w:t xml:space="preserve">report </w:t>
      </w:r>
      <w:r>
        <w:rPr>
          <w:color w:val="231F20"/>
          <w:spacing w:val="-3"/>
          <w:sz w:val="20"/>
        </w:rPr>
        <w:t xml:space="preserve">we </w:t>
      </w:r>
      <w:proofErr w:type="spellStart"/>
      <w:r>
        <w:rPr>
          <w:color w:val="231F20"/>
          <w:sz w:val="20"/>
        </w:rPr>
        <w:t>recognised</w:t>
      </w:r>
      <w:proofErr w:type="spellEnd"/>
      <w:r>
        <w:rPr>
          <w:color w:val="231F20"/>
          <w:sz w:val="20"/>
        </w:rPr>
        <w:t xml:space="preserve"> that just as our community is </w:t>
      </w:r>
      <w:r>
        <w:rPr>
          <w:color w:val="231F20"/>
          <w:spacing w:val="-3"/>
          <w:sz w:val="20"/>
        </w:rPr>
        <w:t xml:space="preserve">diverse, </w:t>
      </w:r>
      <w:r>
        <w:rPr>
          <w:color w:val="231F20"/>
          <w:sz w:val="20"/>
        </w:rPr>
        <w:t xml:space="preserve">so </w:t>
      </w:r>
      <w:r>
        <w:rPr>
          <w:color w:val="231F20"/>
          <w:spacing w:val="-3"/>
          <w:sz w:val="20"/>
        </w:rPr>
        <w:t xml:space="preserve">are people’s </w:t>
      </w:r>
      <w:r>
        <w:rPr>
          <w:color w:val="231F20"/>
          <w:sz w:val="20"/>
        </w:rPr>
        <w:t xml:space="preserve">experiences of stalking and seeking justice. Some people </w:t>
      </w:r>
      <w:r>
        <w:rPr>
          <w:color w:val="231F20"/>
          <w:spacing w:val="-3"/>
          <w:sz w:val="20"/>
        </w:rPr>
        <w:t xml:space="preserve">are </w:t>
      </w:r>
      <w:r>
        <w:rPr>
          <w:color w:val="231F20"/>
          <w:sz w:val="20"/>
        </w:rPr>
        <w:t xml:space="preserve">more </w:t>
      </w:r>
      <w:r>
        <w:rPr>
          <w:color w:val="231F20"/>
          <w:spacing w:val="-3"/>
          <w:sz w:val="20"/>
        </w:rPr>
        <w:t xml:space="preserve">likely </w:t>
      </w:r>
      <w:r>
        <w:rPr>
          <w:color w:val="231F20"/>
          <w:sz w:val="20"/>
        </w:rPr>
        <w:t>to</w:t>
      </w:r>
      <w:r>
        <w:rPr>
          <w:color w:val="231F20"/>
          <w:spacing w:val="-12"/>
          <w:sz w:val="20"/>
        </w:rPr>
        <w:t xml:space="preserve"> </w:t>
      </w:r>
      <w:r>
        <w:rPr>
          <w:color w:val="231F20"/>
          <w:sz w:val="20"/>
        </w:rPr>
        <w:t>experience</w:t>
      </w:r>
      <w:r>
        <w:rPr>
          <w:color w:val="231F20"/>
          <w:spacing w:val="-11"/>
          <w:sz w:val="20"/>
        </w:rPr>
        <w:t xml:space="preserve"> </w:t>
      </w:r>
      <w:r>
        <w:rPr>
          <w:color w:val="231F20"/>
          <w:sz w:val="20"/>
        </w:rPr>
        <w:t>stalking</w:t>
      </w:r>
      <w:r>
        <w:rPr>
          <w:color w:val="231F20"/>
          <w:spacing w:val="-11"/>
          <w:sz w:val="20"/>
        </w:rPr>
        <w:t xml:space="preserve"> </w:t>
      </w:r>
      <w:r>
        <w:rPr>
          <w:color w:val="231F20"/>
          <w:sz w:val="20"/>
        </w:rPr>
        <w:t>than</w:t>
      </w:r>
      <w:r>
        <w:rPr>
          <w:color w:val="231F20"/>
          <w:spacing w:val="-12"/>
          <w:sz w:val="20"/>
        </w:rPr>
        <w:t xml:space="preserve"> </w:t>
      </w:r>
      <w:r>
        <w:rPr>
          <w:color w:val="231F20"/>
          <w:sz w:val="20"/>
        </w:rPr>
        <w:t>others.</w:t>
      </w:r>
      <w:r>
        <w:rPr>
          <w:color w:val="231F20"/>
          <w:spacing w:val="-11"/>
          <w:sz w:val="20"/>
        </w:rPr>
        <w:t xml:space="preserve"> </w:t>
      </w:r>
      <w:r>
        <w:rPr>
          <w:color w:val="231F20"/>
          <w:sz w:val="20"/>
        </w:rPr>
        <w:t>Some</w:t>
      </w:r>
      <w:r>
        <w:rPr>
          <w:color w:val="231F20"/>
          <w:spacing w:val="-11"/>
          <w:sz w:val="20"/>
        </w:rPr>
        <w:t xml:space="preserve"> </w:t>
      </w:r>
      <w:r>
        <w:rPr>
          <w:color w:val="231F20"/>
          <w:sz w:val="20"/>
        </w:rPr>
        <w:t>people</w:t>
      </w:r>
      <w:r>
        <w:rPr>
          <w:color w:val="231F20"/>
          <w:spacing w:val="-11"/>
          <w:sz w:val="20"/>
        </w:rPr>
        <w:t xml:space="preserve"> </w:t>
      </w:r>
      <w:r>
        <w:rPr>
          <w:color w:val="231F20"/>
          <w:sz w:val="20"/>
        </w:rPr>
        <w:t>find</w:t>
      </w:r>
      <w:r>
        <w:rPr>
          <w:color w:val="231F20"/>
          <w:spacing w:val="-12"/>
          <w:sz w:val="20"/>
        </w:rPr>
        <w:t xml:space="preserve"> </w:t>
      </w:r>
      <w:r>
        <w:rPr>
          <w:color w:val="231F20"/>
          <w:sz w:val="20"/>
        </w:rPr>
        <w:t>it</w:t>
      </w:r>
      <w:r>
        <w:rPr>
          <w:color w:val="231F20"/>
          <w:spacing w:val="-11"/>
          <w:sz w:val="20"/>
        </w:rPr>
        <w:t xml:space="preserve"> </w:t>
      </w:r>
      <w:r>
        <w:rPr>
          <w:color w:val="231F20"/>
          <w:sz w:val="20"/>
        </w:rPr>
        <w:t>harder</w:t>
      </w:r>
      <w:r>
        <w:rPr>
          <w:color w:val="231F20"/>
          <w:spacing w:val="-11"/>
          <w:sz w:val="20"/>
        </w:rPr>
        <w:t xml:space="preserve"> </w:t>
      </w:r>
      <w:r>
        <w:rPr>
          <w:color w:val="231F20"/>
          <w:sz w:val="20"/>
        </w:rPr>
        <w:t>to</w:t>
      </w:r>
      <w:r>
        <w:rPr>
          <w:color w:val="231F20"/>
          <w:spacing w:val="-12"/>
          <w:sz w:val="20"/>
        </w:rPr>
        <w:t xml:space="preserve"> </w:t>
      </w:r>
      <w:r>
        <w:rPr>
          <w:color w:val="231F20"/>
          <w:sz w:val="20"/>
        </w:rPr>
        <w:t>access</w:t>
      </w:r>
      <w:r>
        <w:rPr>
          <w:color w:val="231F20"/>
          <w:spacing w:val="-11"/>
          <w:sz w:val="20"/>
        </w:rPr>
        <w:t xml:space="preserve"> </w:t>
      </w:r>
      <w:r>
        <w:rPr>
          <w:color w:val="231F20"/>
          <w:sz w:val="20"/>
        </w:rPr>
        <w:t>the</w:t>
      </w:r>
      <w:r>
        <w:rPr>
          <w:color w:val="231F20"/>
          <w:spacing w:val="-11"/>
          <w:sz w:val="20"/>
        </w:rPr>
        <w:t xml:space="preserve"> </w:t>
      </w:r>
      <w:r>
        <w:rPr>
          <w:color w:val="231F20"/>
          <w:sz w:val="20"/>
        </w:rPr>
        <w:t xml:space="preserve">justice </w:t>
      </w:r>
      <w:r>
        <w:rPr>
          <w:color w:val="231F20"/>
          <w:spacing w:val="-2"/>
          <w:sz w:val="20"/>
        </w:rPr>
        <w:t xml:space="preserve">system </w:t>
      </w:r>
      <w:r>
        <w:rPr>
          <w:color w:val="231F20"/>
          <w:sz w:val="20"/>
        </w:rPr>
        <w:t xml:space="preserve">than others (see </w:t>
      </w:r>
      <w:r>
        <w:rPr>
          <w:color w:val="231F20"/>
          <w:spacing w:val="-3"/>
          <w:sz w:val="20"/>
        </w:rPr>
        <w:t>Chapter</w:t>
      </w:r>
      <w:r>
        <w:rPr>
          <w:color w:val="231F20"/>
          <w:spacing w:val="-19"/>
          <w:sz w:val="20"/>
        </w:rPr>
        <w:t xml:space="preserve"> </w:t>
      </w:r>
      <w:r>
        <w:rPr>
          <w:color w:val="231F20"/>
          <w:spacing w:val="-3"/>
          <w:sz w:val="20"/>
        </w:rPr>
        <w:t>2).</w:t>
      </w:r>
    </w:p>
    <w:p w14:paraId="3B6A2981" w14:textId="77777777" w:rsidR="00894070" w:rsidRDefault="009B7AFD">
      <w:pPr>
        <w:pStyle w:val="ListParagraph"/>
        <w:numPr>
          <w:ilvl w:val="1"/>
          <w:numId w:val="177"/>
        </w:numPr>
        <w:tabs>
          <w:tab w:val="left" w:pos="1801"/>
          <w:tab w:val="left" w:pos="1802"/>
        </w:tabs>
        <w:spacing w:before="125" w:line="206" w:lineRule="auto"/>
        <w:ind w:right="1645"/>
        <w:rPr>
          <w:sz w:val="20"/>
        </w:rPr>
      </w:pPr>
      <w:r>
        <w:rPr>
          <w:color w:val="231F20"/>
          <w:sz w:val="20"/>
        </w:rPr>
        <w:t xml:space="preserve">Our recommendations aim to make changes that </w:t>
      </w:r>
      <w:r>
        <w:rPr>
          <w:color w:val="231F20"/>
          <w:spacing w:val="-3"/>
          <w:sz w:val="20"/>
        </w:rPr>
        <w:t xml:space="preserve">give </w:t>
      </w:r>
      <w:r>
        <w:rPr>
          <w:color w:val="231F20"/>
          <w:spacing w:val="-2"/>
          <w:sz w:val="20"/>
        </w:rPr>
        <w:t xml:space="preserve">everyone </w:t>
      </w:r>
      <w:r>
        <w:rPr>
          <w:color w:val="231F20"/>
          <w:sz w:val="20"/>
        </w:rPr>
        <w:t>access to justice and</w:t>
      </w:r>
      <w:r>
        <w:rPr>
          <w:color w:val="231F20"/>
          <w:spacing w:val="-7"/>
          <w:sz w:val="20"/>
        </w:rPr>
        <w:t xml:space="preserve"> </w:t>
      </w:r>
      <w:r>
        <w:rPr>
          <w:color w:val="231F20"/>
          <w:spacing w:val="-3"/>
          <w:sz w:val="20"/>
        </w:rPr>
        <w:t>allow</w:t>
      </w:r>
      <w:r>
        <w:rPr>
          <w:color w:val="231F20"/>
          <w:spacing w:val="-7"/>
          <w:sz w:val="20"/>
        </w:rPr>
        <w:t xml:space="preserve"> </w:t>
      </w:r>
      <w:r>
        <w:rPr>
          <w:color w:val="231F20"/>
          <w:sz w:val="20"/>
        </w:rPr>
        <w:t>the</w:t>
      </w:r>
      <w:r>
        <w:rPr>
          <w:color w:val="231F20"/>
          <w:spacing w:val="-7"/>
          <w:sz w:val="20"/>
        </w:rPr>
        <w:t xml:space="preserve"> </w:t>
      </w:r>
      <w:r>
        <w:rPr>
          <w:color w:val="231F20"/>
          <w:sz w:val="20"/>
        </w:rPr>
        <w:t>justice</w:t>
      </w:r>
      <w:r>
        <w:rPr>
          <w:color w:val="231F20"/>
          <w:spacing w:val="-7"/>
          <w:sz w:val="20"/>
        </w:rPr>
        <w:t xml:space="preserve"> </w:t>
      </w:r>
      <w:r>
        <w:rPr>
          <w:color w:val="231F20"/>
          <w:spacing w:val="-2"/>
          <w:sz w:val="20"/>
        </w:rPr>
        <w:t>system</w:t>
      </w:r>
      <w:r>
        <w:rPr>
          <w:color w:val="231F20"/>
          <w:spacing w:val="-7"/>
          <w:sz w:val="20"/>
        </w:rPr>
        <w:t xml:space="preserve"> </w:t>
      </w:r>
      <w:r>
        <w:rPr>
          <w:color w:val="231F20"/>
          <w:sz w:val="20"/>
        </w:rPr>
        <w:t>to</w:t>
      </w:r>
      <w:r>
        <w:rPr>
          <w:color w:val="231F20"/>
          <w:spacing w:val="-7"/>
          <w:sz w:val="20"/>
        </w:rPr>
        <w:t xml:space="preserve"> </w:t>
      </w:r>
      <w:r>
        <w:rPr>
          <w:color w:val="231F20"/>
          <w:sz w:val="20"/>
        </w:rPr>
        <w:t>respond</w:t>
      </w:r>
      <w:r>
        <w:rPr>
          <w:color w:val="231F20"/>
          <w:spacing w:val="-7"/>
          <w:sz w:val="20"/>
        </w:rPr>
        <w:t xml:space="preserve"> </w:t>
      </w:r>
      <w:r>
        <w:rPr>
          <w:color w:val="231F20"/>
          <w:spacing w:val="-3"/>
          <w:sz w:val="20"/>
        </w:rPr>
        <w:t>flexibly</w:t>
      </w:r>
      <w:r>
        <w:rPr>
          <w:color w:val="231F20"/>
          <w:spacing w:val="-7"/>
          <w:sz w:val="20"/>
        </w:rPr>
        <w:t xml:space="preserve"> </w:t>
      </w:r>
      <w:r>
        <w:rPr>
          <w:color w:val="231F20"/>
          <w:sz w:val="20"/>
        </w:rPr>
        <w:t>to</w:t>
      </w:r>
      <w:r>
        <w:rPr>
          <w:color w:val="231F20"/>
          <w:spacing w:val="-7"/>
          <w:sz w:val="20"/>
        </w:rPr>
        <w:t xml:space="preserve"> </w:t>
      </w:r>
      <w:r>
        <w:rPr>
          <w:color w:val="231F20"/>
          <w:sz w:val="20"/>
        </w:rPr>
        <w:t>diverse</w:t>
      </w:r>
      <w:r>
        <w:rPr>
          <w:color w:val="231F20"/>
          <w:spacing w:val="-7"/>
          <w:sz w:val="20"/>
        </w:rPr>
        <w:t xml:space="preserve"> </w:t>
      </w:r>
      <w:r>
        <w:rPr>
          <w:color w:val="231F20"/>
          <w:sz w:val="20"/>
        </w:rPr>
        <w:t>needs.</w:t>
      </w:r>
      <w:r>
        <w:rPr>
          <w:color w:val="231F20"/>
          <w:spacing w:val="-7"/>
          <w:sz w:val="20"/>
        </w:rPr>
        <w:t xml:space="preserve"> </w:t>
      </w:r>
      <w:r>
        <w:rPr>
          <w:color w:val="231F20"/>
          <w:spacing w:val="-3"/>
          <w:sz w:val="20"/>
        </w:rPr>
        <w:t>For</w:t>
      </w:r>
      <w:r>
        <w:rPr>
          <w:color w:val="231F20"/>
          <w:spacing w:val="-7"/>
          <w:sz w:val="20"/>
        </w:rPr>
        <w:t xml:space="preserve"> </w:t>
      </w:r>
      <w:r>
        <w:rPr>
          <w:color w:val="231F20"/>
          <w:spacing w:val="-3"/>
          <w:sz w:val="20"/>
        </w:rPr>
        <w:t>example,</w:t>
      </w:r>
      <w:r>
        <w:rPr>
          <w:color w:val="231F20"/>
          <w:spacing w:val="-7"/>
          <w:sz w:val="20"/>
        </w:rPr>
        <w:t xml:space="preserve"> </w:t>
      </w:r>
      <w:r>
        <w:rPr>
          <w:color w:val="231F20"/>
          <w:spacing w:val="-3"/>
          <w:sz w:val="20"/>
        </w:rPr>
        <w:t xml:space="preserve">we </w:t>
      </w:r>
      <w:r>
        <w:rPr>
          <w:color w:val="231F20"/>
          <w:sz w:val="20"/>
        </w:rPr>
        <w:t>recommend</w:t>
      </w:r>
      <w:r>
        <w:rPr>
          <w:color w:val="231F20"/>
          <w:spacing w:val="-5"/>
          <w:sz w:val="20"/>
        </w:rPr>
        <w:t xml:space="preserve"> </w:t>
      </w:r>
      <w:r>
        <w:rPr>
          <w:color w:val="231F20"/>
          <w:sz w:val="20"/>
        </w:rPr>
        <w:t>that:</w:t>
      </w:r>
    </w:p>
    <w:p w14:paraId="72C70C6E" w14:textId="77777777" w:rsidR="00894070" w:rsidRDefault="009B7AFD">
      <w:pPr>
        <w:pStyle w:val="ListParagraph"/>
        <w:numPr>
          <w:ilvl w:val="2"/>
          <w:numId w:val="177"/>
        </w:numPr>
        <w:tabs>
          <w:tab w:val="left" w:pos="2141"/>
          <w:tab w:val="left" w:pos="2142"/>
        </w:tabs>
        <w:spacing w:before="92"/>
        <w:ind w:hanging="340"/>
        <w:rPr>
          <w:sz w:val="20"/>
        </w:rPr>
      </w:pPr>
      <w:r>
        <w:rPr>
          <w:color w:val="231F20"/>
          <w:sz w:val="20"/>
        </w:rPr>
        <w:t>Community</w:t>
      </w:r>
      <w:r>
        <w:rPr>
          <w:color w:val="231F20"/>
          <w:spacing w:val="-6"/>
          <w:sz w:val="20"/>
        </w:rPr>
        <w:t xml:space="preserve"> </w:t>
      </w:r>
      <w:r>
        <w:rPr>
          <w:color w:val="231F20"/>
          <w:sz w:val="20"/>
        </w:rPr>
        <w:t>education</w:t>
      </w:r>
      <w:r>
        <w:rPr>
          <w:color w:val="231F20"/>
          <w:spacing w:val="-5"/>
          <w:sz w:val="20"/>
        </w:rPr>
        <w:t xml:space="preserve"> </w:t>
      </w:r>
      <w:r>
        <w:rPr>
          <w:color w:val="231F20"/>
          <w:sz w:val="20"/>
        </w:rPr>
        <w:t>should</w:t>
      </w:r>
      <w:r>
        <w:rPr>
          <w:color w:val="231F20"/>
          <w:spacing w:val="-6"/>
          <w:sz w:val="20"/>
        </w:rPr>
        <w:t xml:space="preserve"> </w:t>
      </w:r>
      <w:r>
        <w:rPr>
          <w:color w:val="231F20"/>
          <w:sz w:val="20"/>
        </w:rPr>
        <w:t>be</w:t>
      </w:r>
      <w:r>
        <w:rPr>
          <w:color w:val="231F20"/>
          <w:spacing w:val="-5"/>
          <w:sz w:val="20"/>
        </w:rPr>
        <w:t xml:space="preserve"> </w:t>
      </w:r>
      <w:r>
        <w:rPr>
          <w:color w:val="231F20"/>
          <w:sz w:val="20"/>
        </w:rPr>
        <w:t>tailored</w:t>
      </w:r>
      <w:r>
        <w:rPr>
          <w:color w:val="231F20"/>
          <w:spacing w:val="-5"/>
          <w:sz w:val="20"/>
        </w:rPr>
        <w:t xml:space="preserve"> </w:t>
      </w:r>
      <w:r>
        <w:rPr>
          <w:color w:val="231F20"/>
          <w:sz w:val="20"/>
        </w:rPr>
        <w:t>to</w:t>
      </w:r>
      <w:r>
        <w:rPr>
          <w:color w:val="231F20"/>
          <w:spacing w:val="-6"/>
          <w:sz w:val="20"/>
        </w:rPr>
        <w:t xml:space="preserve"> </w:t>
      </w:r>
      <w:r>
        <w:rPr>
          <w:color w:val="231F20"/>
          <w:sz w:val="20"/>
        </w:rPr>
        <w:t>diverse</w:t>
      </w:r>
      <w:r>
        <w:rPr>
          <w:color w:val="231F20"/>
          <w:spacing w:val="-5"/>
          <w:sz w:val="20"/>
        </w:rPr>
        <w:t xml:space="preserve"> </w:t>
      </w:r>
      <w:r>
        <w:rPr>
          <w:color w:val="231F20"/>
          <w:sz w:val="20"/>
        </w:rPr>
        <w:t>audiences</w:t>
      </w:r>
      <w:r>
        <w:rPr>
          <w:color w:val="231F20"/>
          <w:spacing w:val="-5"/>
          <w:sz w:val="20"/>
        </w:rPr>
        <w:t xml:space="preserve"> </w:t>
      </w:r>
      <w:r>
        <w:rPr>
          <w:color w:val="231F20"/>
          <w:spacing w:val="-3"/>
          <w:sz w:val="20"/>
        </w:rPr>
        <w:t>(Chapter</w:t>
      </w:r>
      <w:r>
        <w:rPr>
          <w:color w:val="231F20"/>
          <w:spacing w:val="-6"/>
          <w:sz w:val="20"/>
        </w:rPr>
        <w:t xml:space="preserve"> </w:t>
      </w:r>
      <w:r>
        <w:rPr>
          <w:color w:val="231F20"/>
          <w:spacing w:val="-3"/>
          <w:sz w:val="20"/>
        </w:rPr>
        <w:t>4).</w:t>
      </w:r>
    </w:p>
    <w:p w14:paraId="5934DE9B" w14:textId="77777777" w:rsidR="00894070" w:rsidRDefault="009B7AFD">
      <w:pPr>
        <w:pStyle w:val="ListParagraph"/>
        <w:numPr>
          <w:ilvl w:val="2"/>
          <w:numId w:val="177"/>
        </w:numPr>
        <w:tabs>
          <w:tab w:val="left" w:pos="2141"/>
          <w:tab w:val="left" w:pos="2142"/>
        </w:tabs>
        <w:spacing w:before="79" w:line="206" w:lineRule="auto"/>
        <w:ind w:right="1629" w:hanging="340"/>
        <w:rPr>
          <w:sz w:val="20"/>
        </w:rPr>
      </w:pPr>
      <w:r>
        <w:rPr>
          <w:color w:val="231F20"/>
          <w:sz w:val="20"/>
        </w:rPr>
        <w:t>Victim</w:t>
      </w:r>
      <w:r>
        <w:rPr>
          <w:color w:val="231F20"/>
          <w:spacing w:val="-8"/>
          <w:sz w:val="20"/>
        </w:rPr>
        <w:t xml:space="preserve"> </w:t>
      </w:r>
      <w:r>
        <w:rPr>
          <w:color w:val="231F20"/>
          <w:spacing w:val="-3"/>
          <w:sz w:val="20"/>
        </w:rPr>
        <w:t>advocates</w:t>
      </w:r>
      <w:r>
        <w:rPr>
          <w:color w:val="231F20"/>
          <w:spacing w:val="-7"/>
          <w:sz w:val="20"/>
        </w:rPr>
        <w:t xml:space="preserve"> </w:t>
      </w:r>
      <w:r>
        <w:rPr>
          <w:color w:val="231F20"/>
          <w:sz w:val="20"/>
        </w:rPr>
        <w:t>should</w:t>
      </w:r>
      <w:r>
        <w:rPr>
          <w:color w:val="231F20"/>
          <w:spacing w:val="-8"/>
          <w:sz w:val="20"/>
        </w:rPr>
        <w:t xml:space="preserve"> </w:t>
      </w:r>
      <w:r>
        <w:rPr>
          <w:color w:val="231F20"/>
          <w:sz w:val="20"/>
        </w:rPr>
        <w:t>be</w:t>
      </w:r>
      <w:r>
        <w:rPr>
          <w:color w:val="231F20"/>
          <w:spacing w:val="-7"/>
          <w:sz w:val="20"/>
        </w:rPr>
        <w:t xml:space="preserve"> </w:t>
      </w:r>
      <w:r>
        <w:rPr>
          <w:color w:val="231F20"/>
          <w:spacing w:val="-3"/>
          <w:sz w:val="20"/>
        </w:rPr>
        <w:t>introduced,</w:t>
      </w:r>
      <w:r>
        <w:rPr>
          <w:color w:val="231F20"/>
          <w:spacing w:val="-8"/>
          <w:sz w:val="20"/>
        </w:rPr>
        <w:t xml:space="preserve"> </w:t>
      </w:r>
      <w:r>
        <w:rPr>
          <w:color w:val="231F20"/>
          <w:sz w:val="20"/>
        </w:rPr>
        <w:t>giving</w:t>
      </w:r>
      <w:r>
        <w:rPr>
          <w:color w:val="231F20"/>
          <w:spacing w:val="-7"/>
          <w:sz w:val="20"/>
        </w:rPr>
        <w:t xml:space="preserve"> </w:t>
      </w:r>
      <w:r>
        <w:rPr>
          <w:color w:val="231F20"/>
          <w:sz w:val="20"/>
        </w:rPr>
        <w:t>priority</w:t>
      </w:r>
      <w:r>
        <w:rPr>
          <w:color w:val="231F20"/>
          <w:spacing w:val="-8"/>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z w:val="20"/>
        </w:rPr>
        <w:t>people</w:t>
      </w:r>
      <w:r>
        <w:rPr>
          <w:color w:val="231F20"/>
          <w:spacing w:val="-8"/>
          <w:sz w:val="20"/>
        </w:rPr>
        <w:t xml:space="preserve"> </w:t>
      </w:r>
      <w:r>
        <w:rPr>
          <w:color w:val="231F20"/>
          <w:sz w:val="20"/>
        </w:rPr>
        <w:t>who</w:t>
      </w:r>
      <w:r>
        <w:rPr>
          <w:color w:val="231F20"/>
          <w:spacing w:val="-7"/>
          <w:sz w:val="20"/>
        </w:rPr>
        <w:t xml:space="preserve"> </w:t>
      </w:r>
      <w:r>
        <w:rPr>
          <w:color w:val="231F20"/>
          <w:sz w:val="20"/>
        </w:rPr>
        <w:t>need them</w:t>
      </w:r>
      <w:r>
        <w:rPr>
          <w:color w:val="231F20"/>
          <w:spacing w:val="-6"/>
          <w:sz w:val="20"/>
        </w:rPr>
        <w:t xml:space="preserve"> </w:t>
      </w:r>
      <w:r>
        <w:rPr>
          <w:color w:val="231F20"/>
          <w:sz w:val="20"/>
        </w:rPr>
        <w:t>the</w:t>
      </w:r>
      <w:r>
        <w:rPr>
          <w:color w:val="231F20"/>
          <w:spacing w:val="-6"/>
          <w:sz w:val="20"/>
        </w:rPr>
        <w:t xml:space="preserve"> </w:t>
      </w:r>
      <w:r>
        <w:rPr>
          <w:color w:val="231F20"/>
          <w:sz w:val="20"/>
        </w:rPr>
        <w:t>most,</w:t>
      </w:r>
      <w:r>
        <w:rPr>
          <w:color w:val="231F20"/>
          <w:spacing w:val="-6"/>
          <w:sz w:val="20"/>
        </w:rPr>
        <w:t xml:space="preserve"> </w:t>
      </w:r>
      <w:r>
        <w:rPr>
          <w:color w:val="231F20"/>
          <w:sz w:val="20"/>
        </w:rPr>
        <w:t>including</w:t>
      </w:r>
      <w:r>
        <w:rPr>
          <w:color w:val="231F20"/>
          <w:spacing w:val="-6"/>
          <w:sz w:val="20"/>
        </w:rPr>
        <w:t xml:space="preserve"> </w:t>
      </w:r>
      <w:r>
        <w:rPr>
          <w:color w:val="231F20"/>
          <w:spacing w:val="-3"/>
          <w:sz w:val="20"/>
        </w:rPr>
        <w:t>children</w:t>
      </w:r>
      <w:r>
        <w:rPr>
          <w:color w:val="231F20"/>
          <w:spacing w:val="-6"/>
          <w:sz w:val="20"/>
        </w:rPr>
        <w:t xml:space="preserve"> </w:t>
      </w:r>
      <w:r>
        <w:rPr>
          <w:color w:val="231F20"/>
          <w:sz w:val="20"/>
        </w:rPr>
        <w:t>and</w:t>
      </w:r>
      <w:r>
        <w:rPr>
          <w:color w:val="231F20"/>
          <w:spacing w:val="-6"/>
          <w:sz w:val="20"/>
        </w:rPr>
        <w:t xml:space="preserve"> </w:t>
      </w:r>
      <w:r>
        <w:rPr>
          <w:color w:val="231F20"/>
          <w:sz w:val="20"/>
        </w:rPr>
        <w:t>people</w:t>
      </w:r>
      <w:r>
        <w:rPr>
          <w:color w:val="231F20"/>
          <w:spacing w:val="-6"/>
          <w:sz w:val="20"/>
        </w:rPr>
        <w:t xml:space="preserve"> </w:t>
      </w:r>
      <w:r>
        <w:rPr>
          <w:color w:val="231F20"/>
          <w:sz w:val="20"/>
        </w:rPr>
        <w:t>with</w:t>
      </w:r>
      <w:r>
        <w:rPr>
          <w:color w:val="231F20"/>
          <w:spacing w:val="-6"/>
          <w:sz w:val="20"/>
        </w:rPr>
        <w:t xml:space="preserve"> </w:t>
      </w:r>
      <w:r>
        <w:rPr>
          <w:color w:val="231F20"/>
          <w:sz w:val="20"/>
        </w:rPr>
        <w:t>disabilities</w:t>
      </w:r>
      <w:r>
        <w:rPr>
          <w:color w:val="231F20"/>
          <w:spacing w:val="-6"/>
          <w:sz w:val="20"/>
        </w:rPr>
        <w:t xml:space="preserve"> </w:t>
      </w:r>
      <w:r>
        <w:rPr>
          <w:color w:val="231F20"/>
          <w:spacing w:val="-3"/>
          <w:sz w:val="20"/>
        </w:rPr>
        <w:t>(Chapter</w:t>
      </w:r>
      <w:r>
        <w:rPr>
          <w:color w:val="231F20"/>
          <w:spacing w:val="-6"/>
          <w:sz w:val="20"/>
        </w:rPr>
        <w:t xml:space="preserve"> </w:t>
      </w:r>
      <w:r>
        <w:rPr>
          <w:color w:val="231F20"/>
          <w:spacing w:val="-3"/>
          <w:sz w:val="20"/>
        </w:rPr>
        <w:t>5).</w:t>
      </w:r>
    </w:p>
    <w:p w14:paraId="5C4CC9E2" w14:textId="77777777" w:rsidR="00894070" w:rsidRDefault="009B7AFD">
      <w:pPr>
        <w:pStyle w:val="ListParagraph"/>
        <w:numPr>
          <w:ilvl w:val="2"/>
          <w:numId w:val="177"/>
        </w:numPr>
        <w:tabs>
          <w:tab w:val="left" w:pos="2141"/>
          <w:tab w:val="left" w:pos="2142"/>
        </w:tabs>
        <w:spacing w:before="88" w:line="206" w:lineRule="auto"/>
        <w:ind w:right="1458" w:hanging="340"/>
        <w:rPr>
          <w:sz w:val="20"/>
        </w:rPr>
      </w:pPr>
      <w:r>
        <w:rPr>
          <w:color w:val="231F20"/>
          <w:sz w:val="20"/>
        </w:rPr>
        <w:t>The</w:t>
      </w:r>
      <w:r>
        <w:rPr>
          <w:color w:val="231F20"/>
          <w:spacing w:val="-7"/>
          <w:sz w:val="20"/>
        </w:rPr>
        <w:t xml:space="preserve"> </w:t>
      </w:r>
      <w:r>
        <w:rPr>
          <w:color w:val="231F20"/>
          <w:sz w:val="20"/>
        </w:rPr>
        <w:t>PSIO</w:t>
      </w:r>
      <w:r>
        <w:rPr>
          <w:color w:val="231F20"/>
          <w:spacing w:val="-6"/>
          <w:sz w:val="20"/>
        </w:rPr>
        <w:t xml:space="preserve"> </w:t>
      </w:r>
      <w:r>
        <w:rPr>
          <w:color w:val="231F20"/>
          <w:spacing w:val="-2"/>
          <w:sz w:val="20"/>
        </w:rPr>
        <w:t>system</w:t>
      </w:r>
      <w:r>
        <w:rPr>
          <w:color w:val="231F20"/>
          <w:spacing w:val="-6"/>
          <w:sz w:val="20"/>
        </w:rPr>
        <w:t xml:space="preserve"> </w:t>
      </w:r>
      <w:r>
        <w:rPr>
          <w:color w:val="231F20"/>
          <w:sz w:val="20"/>
        </w:rPr>
        <w:t>is</w:t>
      </w:r>
      <w:r>
        <w:rPr>
          <w:color w:val="231F20"/>
          <w:spacing w:val="-6"/>
          <w:sz w:val="20"/>
        </w:rPr>
        <w:t xml:space="preserve"> </w:t>
      </w:r>
      <w:r>
        <w:rPr>
          <w:color w:val="231F20"/>
          <w:spacing w:val="-3"/>
          <w:sz w:val="20"/>
        </w:rPr>
        <w:t>improved</w:t>
      </w:r>
      <w:r>
        <w:rPr>
          <w:color w:val="231F20"/>
          <w:spacing w:val="-6"/>
          <w:sz w:val="20"/>
        </w:rPr>
        <w:t xml:space="preserve"> </w:t>
      </w:r>
      <w:r>
        <w:rPr>
          <w:color w:val="231F20"/>
          <w:spacing w:val="-3"/>
          <w:sz w:val="20"/>
        </w:rPr>
        <w:t>for</w:t>
      </w:r>
      <w:r>
        <w:rPr>
          <w:color w:val="231F20"/>
          <w:spacing w:val="-7"/>
          <w:sz w:val="20"/>
        </w:rPr>
        <w:t xml:space="preserve"> </w:t>
      </w:r>
      <w:r>
        <w:rPr>
          <w:color w:val="231F20"/>
          <w:sz w:val="20"/>
        </w:rPr>
        <w:t>children.</w:t>
      </w:r>
      <w:r>
        <w:rPr>
          <w:color w:val="231F20"/>
          <w:spacing w:val="-6"/>
          <w:sz w:val="20"/>
        </w:rPr>
        <w:t xml:space="preserve"> </w:t>
      </w:r>
      <w:r>
        <w:rPr>
          <w:color w:val="231F20"/>
          <w:sz w:val="20"/>
        </w:rPr>
        <w:t>An</w:t>
      </w:r>
      <w:r>
        <w:rPr>
          <w:color w:val="231F20"/>
          <w:spacing w:val="-6"/>
          <w:sz w:val="20"/>
        </w:rPr>
        <w:t xml:space="preserve"> </w:t>
      </w:r>
      <w:r>
        <w:rPr>
          <w:color w:val="231F20"/>
          <w:spacing w:val="-3"/>
          <w:sz w:val="20"/>
        </w:rPr>
        <w:t>alternative</w:t>
      </w:r>
      <w:r>
        <w:rPr>
          <w:color w:val="231F20"/>
          <w:spacing w:val="-6"/>
          <w:sz w:val="20"/>
        </w:rPr>
        <w:t xml:space="preserve"> </w:t>
      </w:r>
      <w:r>
        <w:rPr>
          <w:color w:val="231F20"/>
          <w:spacing w:val="-4"/>
          <w:sz w:val="20"/>
        </w:rPr>
        <w:t>pathway</w:t>
      </w:r>
      <w:r>
        <w:rPr>
          <w:color w:val="231F20"/>
          <w:spacing w:val="-6"/>
          <w:sz w:val="20"/>
        </w:rPr>
        <w:t xml:space="preserve"> </w:t>
      </w:r>
      <w:r>
        <w:rPr>
          <w:color w:val="231F20"/>
          <w:sz w:val="20"/>
        </w:rPr>
        <w:t>should</w:t>
      </w:r>
      <w:r>
        <w:rPr>
          <w:color w:val="231F20"/>
          <w:spacing w:val="-7"/>
          <w:sz w:val="20"/>
        </w:rPr>
        <w:t xml:space="preserve"> </w:t>
      </w:r>
      <w:r>
        <w:rPr>
          <w:color w:val="231F20"/>
          <w:sz w:val="20"/>
        </w:rPr>
        <w:t>be</w:t>
      </w:r>
      <w:r>
        <w:rPr>
          <w:color w:val="231F20"/>
          <w:spacing w:val="-6"/>
          <w:sz w:val="20"/>
        </w:rPr>
        <w:t xml:space="preserve"> </w:t>
      </w:r>
      <w:r>
        <w:rPr>
          <w:color w:val="231F20"/>
          <w:sz w:val="20"/>
        </w:rPr>
        <w:t xml:space="preserve">built </w:t>
      </w:r>
      <w:r>
        <w:rPr>
          <w:color w:val="231F20"/>
          <w:spacing w:val="-3"/>
          <w:sz w:val="20"/>
        </w:rPr>
        <w:t xml:space="preserve">for children </w:t>
      </w:r>
      <w:r>
        <w:rPr>
          <w:color w:val="231F20"/>
          <w:sz w:val="20"/>
        </w:rPr>
        <w:t xml:space="preserve">within the PSIO </w:t>
      </w:r>
      <w:r>
        <w:rPr>
          <w:color w:val="231F20"/>
          <w:spacing w:val="-2"/>
          <w:sz w:val="20"/>
        </w:rPr>
        <w:t xml:space="preserve">system </w:t>
      </w:r>
      <w:r>
        <w:rPr>
          <w:color w:val="231F20"/>
          <w:spacing w:val="-3"/>
          <w:sz w:val="20"/>
        </w:rPr>
        <w:t>(Chapter</w:t>
      </w:r>
      <w:r>
        <w:rPr>
          <w:color w:val="231F20"/>
          <w:spacing w:val="-21"/>
          <w:sz w:val="20"/>
        </w:rPr>
        <w:t xml:space="preserve"> </w:t>
      </w:r>
      <w:r>
        <w:rPr>
          <w:color w:val="231F20"/>
          <w:spacing w:val="-4"/>
          <w:sz w:val="20"/>
        </w:rPr>
        <w:t>6).</w:t>
      </w:r>
    </w:p>
    <w:p w14:paraId="08E9BA52" w14:textId="77777777" w:rsidR="00894070" w:rsidRDefault="009B7AFD">
      <w:pPr>
        <w:pStyle w:val="ListParagraph"/>
        <w:numPr>
          <w:ilvl w:val="2"/>
          <w:numId w:val="177"/>
        </w:numPr>
        <w:tabs>
          <w:tab w:val="left" w:pos="2141"/>
          <w:tab w:val="left" w:pos="2142"/>
        </w:tabs>
        <w:spacing w:before="88" w:line="206" w:lineRule="auto"/>
        <w:ind w:right="1677" w:hanging="340"/>
        <w:rPr>
          <w:sz w:val="11"/>
        </w:rPr>
      </w:pPr>
      <w:r>
        <w:rPr>
          <w:color w:val="231F20"/>
          <w:sz w:val="20"/>
        </w:rPr>
        <w:t>Responses</w:t>
      </w:r>
      <w:r>
        <w:rPr>
          <w:color w:val="231F20"/>
          <w:spacing w:val="-11"/>
          <w:sz w:val="20"/>
        </w:rPr>
        <w:t xml:space="preserve"> </w:t>
      </w:r>
      <w:r>
        <w:rPr>
          <w:color w:val="231F20"/>
          <w:sz w:val="20"/>
        </w:rPr>
        <w:t>should</w:t>
      </w:r>
      <w:r>
        <w:rPr>
          <w:color w:val="231F20"/>
          <w:spacing w:val="-10"/>
          <w:sz w:val="20"/>
        </w:rPr>
        <w:t xml:space="preserve"> </w:t>
      </w:r>
      <w:r>
        <w:rPr>
          <w:color w:val="231F20"/>
          <w:spacing w:val="-3"/>
          <w:sz w:val="20"/>
        </w:rPr>
        <w:t>give</w:t>
      </w:r>
      <w:r>
        <w:rPr>
          <w:color w:val="231F20"/>
          <w:spacing w:val="-11"/>
          <w:sz w:val="20"/>
        </w:rPr>
        <w:t xml:space="preserve"> </w:t>
      </w:r>
      <w:r>
        <w:rPr>
          <w:color w:val="231F20"/>
          <w:sz w:val="20"/>
        </w:rPr>
        <w:t>priority</w:t>
      </w:r>
      <w:r>
        <w:rPr>
          <w:color w:val="231F20"/>
          <w:spacing w:val="-10"/>
          <w:sz w:val="20"/>
        </w:rPr>
        <w:t xml:space="preserve"> </w:t>
      </w:r>
      <w:r>
        <w:rPr>
          <w:color w:val="231F20"/>
          <w:sz w:val="20"/>
        </w:rPr>
        <w:t>to</w:t>
      </w:r>
      <w:r>
        <w:rPr>
          <w:color w:val="231F20"/>
          <w:spacing w:val="-10"/>
          <w:sz w:val="20"/>
        </w:rPr>
        <w:t xml:space="preserve"> </w:t>
      </w:r>
      <w:r>
        <w:rPr>
          <w:color w:val="231F20"/>
          <w:sz w:val="20"/>
        </w:rPr>
        <w:t>rural</w:t>
      </w:r>
      <w:r>
        <w:rPr>
          <w:color w:val="231F20"/>
          <w:spacing w:val="-11"/>
          <w:sz w:val="20"/>
        </w:rPr>
        <w:t xml:space="preserve"> </w:t>
      </w:r>
      <w:r>
        <w:rPr>
          <w:color w:val="231F20"/>
          <w:sz w:val="20"/>
        </w:rPr>
        <w:t>and</w:t>
      </w:r>
      <w:r>
        <w:rPr>
          <w:color w:val="231F20"/>
          <w:spacing w:val="-10"/>
          <w:sz w:val="20"/>
        </w:rPr>
        <w:t xml:space="preserve"> </w:t>
      </w:r>
      <w:r>
        <w:rPr>
          <w:color w:val="231F20"/>
          <w:sz w:val="20"/>
        </w:rPr>
        <w:t>regional</w:t>
      </w:r>
      <w:r>
        <w:rPr>
          <w:color w:val="231F20"/>
          <w:spacing w:val="-10"/>
          <w:sz w:val="20"/>
        </w:rPr>
        <w:t xml:space="preserve"> </w:t>
      </w:r>
      <w:r>
        <w:rPr>
          <w:color w:val="231F20"/>
          <w:sz w:val="20"/>
        </w:rPr>
        <w:t>Victoria,</w:t>
      </w:r>
      <w:r>
        <w:rPr>
          <w:color w:val="231F20"/>
          <w:spacing w:val="-11"/>
          <w:sz w:val="20"/>
        </w:rPr>
        <w:t xml:space="preserve"> </w:t>
      </w:r>
      <w:r>
        <w:rPr>
          <w:color w:val="231F20"/>
          <w:sz w:val="20"/>
        </w:rPr>
        <w:t>which</w:t>
      </w:r>
      <w:r>
        <w:rPr>
          <w:color w:val="231F20"/>
          <w:spacing w:val="-10"/>
          <w:sz w:val="20"/>
        </w:rPr>
        <w:t xml:space="preserve"> </w:t>
      </w:r>
      <w:r>
        <w:rPr>
          <w:color w:val="231F20"/>
          <w:sz w:val="20"/>
        </w:rPr>
        <w:t>has</w:t>
      </w:r>
      <w:r>
        <w:rPr>
          <w:color w:val="231F20"/>
          <w:spacing w:val="-10"/>
          <w:sz w:val="20"/>
        </w:rPr>
        <w:t xml:space="preserve"> </w:t>
      </w:r>
      <w:r>
        <w:rPr>
          <w:color w:val="231F20"/>
          <w:sz w:val="20"/>
        </w:rPr>
        <w:t>a</w:t>
      </w:r>
      <w:r>
        <w:rPr>
          <w:color w:val="231F20"/>
          <w:spacing w:val="-11"/>
          <w:sz w:val="20"/>
        </w:rPr>
        <w:t xml:space="preserve"> </w:t>
      </w:r>
      <w:r>
        <w:rPr>
          <w:color w:val="231F20"/>
          <w:sz w:val="20"/>
        </w:rPr>
        <w:t xml:space="preserve">large </w:t>
      </w:r>
      <w:r>
        <w:rPr>
          <w:color w:val="231F20"/>
          <w:spacing w:val="-3"/>
          <w:sz w:val="20"/>
        </w:rPr>
        <w:t>share</w:t>
      </w:r>
      <w:r>
        <w:rPr>
          <w:color w:val="231F20"/>
          <w:spacing w:val="-5"/>
          <w:sz w:val="20"/>
        </w:rPr>
        <w:t xml:space="preserve"> </w:t>
      </w:r>
      <w:r>
        <w:rPr>
          <w:color w:val="231F20"/>
          <w:sz w:val="20"/>
        </w:rPr>
        <w:t>of</w:t>
      </w:r>
      <w:r>
        <w:rPr>
          <w:color w:val="231F20"/>
          <w:spacing w:val="-5"/>
          <w:sz w:val="20"/>
        </w:rPr>
        <w:t xml:space="preserve"> </w:t>
      </w:r>
      <w:r>
        <w:rPr>
          <w:color w:val="231F20"/>
          <w:sz w:val="20"/>
        </w:rPr>
        <w:t>PSIO</w:t>
      </w:r>
      <w:r>
        <w:rPr>
          <w:color w:val="231F20"/>
          <w:spacing w:val="-5"/>
          <w:sz w:val="20"/>
        </w:rPr>
        <w:t xml:space="preserve"> </w:t>
      </w:r>
      <w:r>
        <w:rPr>
          <w:color w:val="231F20"/>
          <w:sz w:val="20"/>
        </w:rPr>
        <w:t>applications</w:t>
      </w:r>
      <w:r>
        <w:rPr>
          <w:color w:val="231F20"/>
          <w:spacing w:val="-4"/>
          <w:sz w:val="20"/>
        </w:rPr>
        <w:t xml:space="preserve"> </w:t>
      </w:r>
      <w:r>
        <w:rPr>
          <w:color w:val="231F20"/>
          <w:sz w:val="20"/>
        </w:rPr>
        <w:t>and</w:t>
      </w:r>
      <w:r>
        <w:rPr>
          <w:color w:val="231F20"/>
          <w:spacing w:val="-5"/>
          <w:sz w:val="20"/>
        </w:rPr>
        <w:t xml:space="preserve"> </w:t>
      </w:r>
      <w:r>
        <w:rPr>
          <w:color w:val="231F20"/>
          <w:sz w:val="20"/>
        </w:rPr>
        <w:t>breaches</w:t>
      </w:r>
      <w:r>
        <w:rPr>
          <w:color w:val="231F20"/>
          <w:spacing w:val="-5"/>
          <w:sz w:val="20"/>
        </w:rPr>
        <w:t xml:space="preserve"> </w:t>
      </w:r>
      <w:r>
        <w:rPr>
          <w:color w:val="231F20"/>
          <w:sz w:val="20"/>
        </w:rPr>
        <w:t>(see</w:t>
      </w:r>
      <w:r>
        <w:rPr>
          <w:color w:val="231F20"/>
          <w:spacing w:val="-4"/>
          <w:sz w:val="20"/>
        </w:rPr>
        <w:t xml:space="preserve"> </w:t>
      </w:r>
      <w:r>
        <w:rPr>
          <w:color w:val="231F20"/>
          <w:spacing w:val="-3"/>
          <w:sz w:val="20"/>
        </w:rPr>
        <w:t>Chapters</w:t>
      </w:r>
      <w:r>
        <w:rPr>
          <w:color w:val="231F20"/>
          <w:spacing w:val="-5"/>
          <w:sz w:val="20"/>
        </w:rPr>
        <w:t xml:space="preserve"> </w:t>
      </w:r>
      <w:r>
        <w:rPr>
          <w:color w:val="231F20"/>
          <w:sz w:val="20"/>
        </w:rPr>
        <w:t>5,</w:t>
      </w:r>
      <w:r>
        <w:rPr>
          <w:color w:val="231F20"/>
          <w:spacing w:val="-5"/>
          <w:sz w:val="20"/>
        </w:rPr>
        <w:t xml:space="preserve"> </w:t>
      </w:r>
      <w:r>
        <w:rPr>
          <w:color w:val="231F20"/>
          <w:sz w:val="20"/>
        </w:rPr>
        <w:t>6</w:t>
      </w:r>
      <w:r>
        <w:rPr>
          <w:color w:val="231F20"/>
          <w:spacing w:val="-5"/>
          <w:sz w:val="20"/>
        </w:rPr>
        <w:t xml:space="preserve"> </w:t>
      </w:r>
      <w:r>
        <w:rPr>
          <w:color w:val="231F20"/>
          <w:sz w:val="20"/>
        </w:rPr>
        <w:t>and</w:t>
      </w:r>
      <w:r>
        <w:rPr>
          <w:color w:val="231F20"/>
          <w:spacing w:val="-4"/>
          <w:sz w:val="20"/>
        </w:rPr>
        <w:t xml:space="preserve"> </w:t>
      </w:r>
      <w:r>
        <w:rPr>
          <w:color w:val="231F20"/>
          <w:sz w:val="20"/>
        </w:rPr>
        <w:t>8).</w:t>
      </w:r>
      <w:r>
        <w:rPr>
          <w:color w:val="231F20"/>
          <w:position w:val="7"/>
          <w:sz w:val="11"/>
        </w:rPr>
        <w:t>26</w:t>
      </w:r>
    </w:p>
    <w:p w14:paraId="099D9FC1" w14:textId="77777777" w:rsidR="00894070" w:rsidRDefault="009B7AFD">
      <w:pPr>
        <w:pStyle w:val="Heading8"/>
        <w:spacing w:before="182"/>
        <w:ind w:left="1007"/>
      </w:pPr>
      <w:r>
        <w:rPr>
          <w:color w:val="231F20"/>
        </w:rPr>
        <w:t>People who stalk should be accountable</w:t>
      </w:r>
    </w:p>
    <w:p w14:paraId="7F0658EB" w14:textId="77777777" w:rsidR="00894070" w:rsidRDefault="009F6793">
      <w:pPr>
        <w:pStyle w:val="BodyText"/>
        <w:spacing w:before="11"/>
        <w:rPr>
          <w:b/>
          <w:sz w:val="23"/>
        </w:rPr>
      </w:pPr>
      <w:r>
        <w:pict w14:anchorId="52955D51">
          <v:shape id="_x0000_s1699" type="#_x0000_t202" style="position:absolute;margin-left:79.6pt;margin-top:18.7pt;width:436.05pt;height:56.1pt;z-index:-251471872;mso-wrap-distance-left:0;mso-wrap-distance-right:0;mso-position-horizontal-relative:page" fillcolor="#fee7de" strokecolor="#ea5b50" strokeweight=".5pt">
            <v:textbox inset="0,0,0,0">
              <w:txbxContent>
                <w:p w14:paraId="7BA8528B" w14:textId="77777777" w:rsidR="00894070" w:rsidRDefault="009B7AFD">
                  <w:pPr>
                    <w:pStyle w:val="BodyText"/>
                    <w:tabs>
                      <w:tab w:val="left" w:leader="dot" w:pos="7774"/>
                    </w:tabs>
                    <w:spacing w:before="179" w:line="259" w:lineRule="exact"/>
                    <w:ind w:left="221"/>
                  </w:pPr>
                  <w:r>
                    <w:rPr>
                      <w:color w:val="231F20"/>
                    </w:rPr>
                    <w:t>I</w:t>
                  </w:r>
                  <w:r>
                    <w:rPr>
                      <w:color w:val="231F20"/>
                      <w:spacing w:val="-5"/>
                    </w:rPr>
                    <w:t xml:space="preserve"> </w:t>
                  </w:r>
                  <w:r>
                    <w:rPr>
                      <w:color w:val="231F20"/>
                    </w:rPr>
                    <w:t>feel</w:t>
                  </w:r>
                  <w:r>
                    <w:rPr>
                      <w:color w:val="231F20"/>
                      <w:spacing w:val="-4"/>
                    </w:rPr>
                    <w:t xml:space="preserve"> </w:t>
                  </w:r>
                  <w:r>
                    <w:rPr>
                      <w:color w:val="231F20"/>
                    </w:rPr>
                    <w:t>that</w:t>
                  </w:r>
                  <w:r>
                    <w:rPr>
                      <w:color w:val="231F20"/>
                      <w:spacing w:val="-5"/>
                    </w:rPr>
                    <w:t xml:space="preserve"> </w:t>
                  </w:r>
                  <w:r>
                    <w:rPr>
                      <w:color w:val="231F20"/>
                    </w:rPr>
                    <w:t>I</w:t>
                  </w:r>
                  <w:r>
                    <w:rPr>
                      <w:color w:val="231F20"/>
                      <w:spacing w:val="-4"/>
                    </w:rPr>
                    <w:t xml:space="preserve"> </w:t>
                  </w:r>
                  <w:r>
                    <w:rPr>
                      <w:color w:val="231F20"/>
                      <w:spacing w:val="-3"/>
                    </w:rPr>
                    <w:t>have</w:t>
                  </w:r>
                  <w:r>
                    <w:rPr>
                      <w:color w:val="231F20"/>
                      <w:spacing w:val="-4"/>
                    </w:rPr>
                    <w:t xml:space="preserve"> </w:t>
                  </w:r>
                  <w:r>
                    <w:rPr>
                      <w:color w:val="231F20"/>
                    </w:rPr>
                    <w:t>to</w:t>
                  </w:r>
                  <w:r>
                    <w:rPr>
                      <w:color w:val="231F20"/>
                      <w:spacing w:val="-5"/>
                    </w:rPr>
                    <w:t xml:space="preserve"> </w:t>
                  </w:r>
                  <w:r>
                    <w:rPr>
                      <w:color w:val="231F20"/>
                    </w:rPr>
                    <w:t>constantly</w:t>
                  </w:r>
                  <w:r>
                    <w:rPr>
                      <w:color w:val="231F20"/>
                      <w:spacing w:val="-4"/>
                    </w:rPr>
                    <w:t xml:space="preserve"> </w:t>
                  </w:r>
                  <w:r>
                    <w:rPr>
                      <w:color w:val="231F20"/>
                    </w:rPr>
                    <w:t>make</w:t>
                  </w:r>
                  <w:r>
                    <w:rPr>
                      <w:color w:val="231F20"/>
                      <w:spacing w:val="-4"/>
                    </w:rPr>
                    <w:t xml:space="preserve"> </w:t>
                  </w:r>
                  <w:r>
                    <w:rPr>
                      <w:color w:val="231F20"/>
                    </w:rPr>
                    <w:t>changes</w:t>
                  </w:r>
                  <w:r>
                    <w:rPr>
                      <w:color w:val="231F20"/>
                      <w:spacing w:val="-5"/>
                    </w:rPr>
                    <w:t xml:space="preserve"> </w:t>
                  </w:r>
                  <w:r>
                    <w:rPr>
                      <w:color w:val="231F20"/>
                    </w:rPr>
                    <w:t>to</w:t>
                  </w:r>
                  <w:r>
                    <w:rPr>
                      <w:color w:val="231F20"/>
                      <w:spacing w:val="-4"/>
                    </w:rPr>
                    <w:t xml:space="preserve"> </w:t>
                  </w:r>
                  <w:r>
                    <w:rPr>
                      <w:color w:val="231F20"/>
                    </w:rPr>
                    <w:t>fit</w:t>
                  </w:r>
                  <w:r>
                    <w:rPr>
                      <w:color w:val="231F20"/>
                      <w:spacing w:val="-4"/>
                    </w:rPr>
                    <w:t xml:space="preserve"> </w:t>
                  </w:r>
                  <w:r>
                    <w:rPr>
                      <w:color w:val="231F20"/>
                    </w:rPr>
                    <w:t>the</w:t>
                  </w:r>
                  <w:r>
                    <w:rPr>
                      <w:color w:val="231F20"/>
                      <w:spacing w:val="-5"/>
                    </w:rPr>
                    <w:t xml:space="preserve"> </w:t>
                  </w:r>
                  <w:r>
                    <w:rPr>
                      <w:color w:val="231F20"/>
                      <w:spacing w:val="-3"/>
                    </w:rPr>
                    <w:t>stalker.</w:t>
                  </w:r>
                  <w:r>
                    <w:rPr>
                      <w:color w:val="231F20"/>
                      <w:spacing w:val="-4"/>
                    </w:rPr>
                    <w:t xml:space="preserve"> </w:t>
                  </w:r>
                  <w:r>
                    <w:rPr>
                      <w:color w:val="231F20"/>
                    </w:rPr>
                    <w:t>Not</w:t>
                  </w:r>
                  <w:r>
                    <w:rPr>
                      <w:color w:val="231F20"/>
                      <w:spacing w:val="-5"/>
                    </w:rPr>
                    <w:t xml:space="preserve"> </w:t>
                  </w:r>
                  <w:r>
                    <w:rPr>
                      <w:color w:val="231F20"/>
                    </w:rPr>
                    <w:t>to</w:t>
                  </w:r>
                  <w:r>
                    <w:rPr>
                      <w:color w:val="231F20"/>
                      <w:spacing w:val="-4"/>
                    </w:rPr>
                    <w:t xml:space="preserve"> </w:t>
                  </w:r>
                  <w:r>
                    <w:rPr>
                      <w:color w:val="231F20"/>
                    </w:rPr>
                    <w:t>upset</w:t>
                  </w:r>
                  <w:r>
                    <w:rPr>
                      <w:color w:val="231F20"/>
                      <w:spacing w:val="-4"/>
                    </w:rPr>
                    <w:t xml:space="preserve"> </w:t>
                  </w:r>
                  <w:r>
                    <w:rPr>
                      <w:color w:val="231F20"/>
                    </w:rPr>
                    <w:t>them</w:t>
                  </w:r>
                  <w:r>
                    <w:rPr>
                      <w:color w:val="231F20"/>
                    </w:rPr>
                    <w:tab/>
                    <w:t>My</w:t>
                  </w:r>
                </w:p>
                <w:p w14:paraId="0373ABBD" w14:textId="77777777" w:rsidR="00894070" w:rsidRDefault="009B7AFD">
                  <w:pPr>
                    <w:pStyle w:val="BodyText"/>
                    <w:spacing w:before="13" w:line="206" w:lineRule="auto"/>
                    <w:ind w:left="221" w:right="557"/>
                    <w:rPr>
                      <w:sz w:val="11"/>
                    </w:rPr>
                  </w:pPr>
                  <w:r>
                    <w:rPr>
                      <w:color w:val="231F20"/>
                    </w:rPr>
                    <w:t>presence is upsetting the stalker, not that the stalker has a problem and … needs to be made accountable?</w:t>
                  </w:r>
                  <w:r>
                    <w:rPr>
                      <w:color w:val="231F20"/>
                      <w:position w:val="7"/>
                      <w:sz w:val="11"/>
                    </w:rPr>
                    <w:t>27</w:t>
                  </w:r>
                </w:p>
              </w:txbxContent>
            </v:textbox>
            <w10:wrap type="topAndBottom" anchorx="page"/>
          </v:shape>
        </w:pict>
      </w:r>
    </w:p>
    <w:p w14:paraId="318E3D36" w14:textId="77777777" w:rsidR="00894070" w:rsidRDefault="00894070">
      <w:pPr>
        <w:pStyle w:val="BodyText"/>
        <w:spacing w:before="6"/>
        <w:rPr>
          <w:b/>
          <w:sz w:val="19"/>
        </w:rPr>
      </w:pPr>
    </w:p>
    <w:p w14:paraId="38CF149D" w14:textId="77777777" w:rsidR="00894070" w:rsidRDefault="009B7AFD">
      <w:pPr>
        <w:pStyle w:val="ListParagraph"/>
        <w:numPr>
          <w:ilvl w:val="1"/>
          <w:numId w:val="177"/>
        </w:numPr>
        <w:tabs>
          <w:tab w:val="left" w:pos="1802"/>
        </w:tabs>
        <w:spacing w:before="89" w:line="206" w:lineRule="auto"/>
        <w:ind w:right="1190"/>
        <w:jc w:val="both"/>
        <w:rPr>
          <w:sz w:val="11"/>
        </w:rPr>
      </w:pPr>
      <w:r>
        <w:rPr>
          <w:color w:val="231F20"/>
          <w:sz w:val="20"/>
        </w:rPr>
        <w:t>The</w:t>
      </w:r>
      <w:r>
        <w:rPr>
          <w:color w:val="231F20"/>
          <w:spacing w:val="-10"/>
          <w:sz w:val="20"/>
        </w:rPr>
        <w:t xml:space="preserve"> </w:t>
      </w:r>
      <w:r>
        <w:rPr>
          <w:color w:val="231F20"/>
          <w:sz w:val="20"/>
        </w:rPr>
        <w:t>response</w:t>
      </w:r>
      <w:r>
        <w:rPr>
          <w:color w:val="231F20"/>
          <w:spacing w:val="-10"/>
          <w:sz w:val="20"/>
        </w:rPr>
        <w:t xml:space="preserve"> </w:t>
      </w:r>
      <w:r>
        <w:rPr>
          <w:color w:val="231F20"/>
          <w:sz w:val="20"/>
        </w:rPr>
        <w:t>to</w:t>
      </w:r>
      <w:r>
        <w:rPr>
          <w:color w:val="231F20"/>
          <w:spacing w:val="-10"/>
          <w:sz w:val="20"/>
        </w:rPr>
        <w:t xml:space="preserve"> </w:t>
      </w:r>
      <w:r>
        <w:rPr>
          <w:color w:val="231F20"/>
          <w:sz w:val="20"/>
        </w:rPr>
        <w:t>stalking</w:t>
      </w:r>
      <w:r>
        <w:rPr>
          <w:color w:val="231F20"/>
          <w:spacing w:val="-10"/>
          <w:sz w:val="20"/>
        </w:rPr>
        <w:t xml:space="preserve"> </w:t>
      </w:r>
      <w:r>
        <w:rPr>
          <w:color w:val="231F20"/>
          <w:sz w:val="20"/>
        </w:rPr>
        <w:t>has</w:t>
      </w:r>
      <w:r>
        <w:rPr>
          <w:color w:val="231F20"/>
          <w:spacing w:val="-10"/>
          <w:sz w:val="20"/>
        </w:rPr>
        <w:t xml:space="preserve"> </w:t>
      </w:r>
      <w:r>
        <w:rPr>
          <w:color w:val="231F20"/>
          <w:spacing w:val="-3"/>
          <w:sz w:val="20"/>
        </w:rPr>
        <w:t>usually</w:t>
      </w:r>
      <w:r>
        <w:rPr>
          <w:color w:val="231F20"/>
          <w:spacing w:val="-10"/>
          <w:sz w:val="20"/>
        </w:rPr>
        <w:t xml:space="preserve"> </w:t>
      </w:r>
      <w:r>
        <w:rPr>
          <w:color w:val="231F20"/>
          <w:sz w:val="20"/>
        </w:rPr>
        <w:t>focused</w:t>
      </w:r>
      <w:r>
        <w:rPr>
          <w:color w:val="231F20"/>
          <w:spacing w:val="-10"/>
          <w:sz w:val="20"/>
        </w:rPr>
        <w:t xml:space="preserve"> </w:t>
      </w:r>
      <w:r>
        <w:rPr>
          <w:color w:val="231F20"/>
          <w:sz w:val="20"/>
        </w:rPr>
        <w:t>on</w:t>
      </w:r>
      <w:r>
        <w:rPr>
          <w:color w:val="231F20"/>
          <w:spacing w:val="-9"/>
          <w:sz w:val="20"/>
        </w:rPr>
        <w:t xml:space="preserve"> </w:t>
      </w:r>
      <w:r>
        <w:rPr>
          <w:color w:val="231F20"/>
          <w:sz w:val="20"/>
        </w:rPr>
        <w:t>what</w:t>
      </w:r>
      <w:r>
        <w:rPr>
          <w:color w:val="231F20"/>
          <w:spacing w:val="-10"/>
          <w:sz w:val="20"/>
        </w:rPr>
        <w:t xml:space="preserve"> </w:t>
      </w:r>
      <w:r>
        <w:rPr>
          <w:color w:val="231F20"/>
          <w:sz w:val="20"/>
        </w:rPr>
        <w:t>the</w:t>
      </w:r>
      <w:r>
        <w:rPr>
          <w:color w:val="231F20"/>
          <w:spacing w:val="-10"/>
          <w:sz w:val="20"/>
        </w:rPr>
        <w:t xml:space="preserve"> </w:t>
      </w:r>
      <w:r>
        <w:rPr>
          <w:color w:val="231F20"/>
          <w:sz w:val="20"/>
        </w:rPr>
        <w:t>victim</w:t>
      </w:r>
      <w:r>
        <w:rPr>
          <w:color w:val="231F20"/>
          <w:spacing w:val="-10"/>
          <w:sz w:val="20"/>
        </w:rPr>
        <w:t xml:space="preserve"> </w:t>
      </w:r>
      <w:r>
        <w:rPr>
          <w:color w:val="231F20"/>
          <w:sz w:val="20"/>
        </w:rPr>
        <w:t>survivor</w:t>
      </w:r>
      <w:r>
        <w:rPr>
          <w:color w:val="231F20"/>
          <w:spacing w:val="-10"/>
          <w:sz w:val="20"/>
        </w:rPr>
        <w:t xml:space="preserve"> </w:t>
      </w:r>
      <w:r>
        <w:rPr>
          <w:color w:val="231F20"/>
          <w:sz w:val="20"/>
        </w:rPr>
        <w:t>is</w:t>
      </w:r>
      <w:r>
        <w:rPr>
          <w:color w:val="231F20"/>
          <w:spacing w:val="-10"/>
          <w:sz w:val="20"/>
        </w:rPr>
        <w:t xml:space="preserve"> </w:t>
      </w:r>
      <w:r>
        <w:rPr>
          <w:color w:val="231F20"/>
          <w:sz w:val="20"/>
        </w:rPr>
        <w:t>expected</w:t>
      </w:r>
      <w:r>
        <w:rPr>
          <w:color w:val="231F20"/>
          <w:spacing w:val="-10"/>
          <w:sz w:val="20"/>
        </w:rPr>
        <w:t xml:space="preserve"> </w:t>
      </w:r>
      <w:r>
        <w:rPr>
          <w:color w:val="231F20"/>
          <w:sz w:val="20"/>
        </w:rPr>
        <w:t>to do</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avoid</w:t>
      </w:r>
      <w:r>
        <w:rPr>
          <w:color w:val="231F20"/>
          <w:spacing w:val="-6"/>
          <w:sz w:val="20"/>
        </w:rPr>
        <w:t xml:space="preserve"> </w:t>
      </w:r>
      <w:r>
        <w:rPr>
          <w:color w:val="231F20"/>
          <w:sz w:val="20"/>
        </w:rPr>
        <w:t>being</w:t>
      </w:r>
      <w:r>
        <w:rPr>
          <w:color w:val="231F20"/>
          <w:spacing w:val="-7"/>
          <w:sz w:val="20"/>
        </w:rPr>
        <w:t xml:space="preserve"> </w:t>
      </w:r>
      <w:r>
        <w:rPr>
          <w:color w:val="231F20"/>
          <w:sz w:val="20"/>
        </w:rPr>
        <w:t>stalked.</w:t>
      </w:r>
      <w:r>
        <w:rPr>
          <w:color w:val="231F20"/>
          <w:spacing w:val="-6"/>
          <w:sz w:val="20"/>
        </w:rPr>
        <w:t xml:space="preserve"> </w:t>
      </w:r>
      <w:r>
        <w:rPr>
          <w:color w:val="231F20"/>
          <w:sz w:val="20"/>
        </w:rPr>
        <w:t>Such</w:t>
      </w:r>
      <w:r>
        <w:rPr>
          <w:color w:val="231F20"/>
          <w:spacing w:val="-7"/>
          <w:sz w:val="20"/>
        </w:rPr>
        <w:t xml:space="preserve"> </w:t>
      </w:r>
      <w:r>
        <w:rPr>
          <w:color w:val="231F20"/>
          <w:sz w:val="20"/>
        </w:rPr>
        <w:t>a</w:t>
      </w:r>
      <w:r>
        <w:rPr>
          <w:color w:val="231F20"/>
          <w:spacing w:val="-6"/>
          <w:sz w:val="20"/>
        </w:rPr>
        <w:t xml:space="preserve"> </w:t>
      </w:r>
      <w:r>
        <w:rPr>
          <w:color w:val="231F20"/>
          <w:spacing w:val="-3"/>
          <w:sz w:val="20"/>
        </w:rPr>
        <w:t>focus</w:t>
      </w:r>
      <w:r>
        <w:rPr>
          <w:color w:val="231F20"/>
          <w:spacing w:val="-7"/>
          <w:sz w:val="20"/>
        </w:rPr>
        <w:t xml:space="preserve"> </w:t>
      </w:r>
      <w:r>
        <w:rPr>
          <w:color w:val="231F20"/>
          <w:sz w:val="20"/>
        </w:rPr>
        <w:t>can</w:t>
      </w:r>
      <w:r>
        <w:rPr>
          <w:color w:val="231F20"/>
          <w:spacing w:val="-6"/>
          <w:sz w:val="20"/>
        </w:rPr>
        <w:t xml:space="preserve"> </w:t>
      </w:r>
      <w:r>
        <w:rPr>
          <w:color w:val="231F20"/>
          <w:spacing w:val="-3"/>
          <w:sz w:val="20"/>
        </w:rPr>
        <w:t>perpetuate</w:t>
      </w:r>
      <w:r>
        <w:rPr>
          <w:color w:val="231F20"/>
          <w:spacing w:val="-7"/>
          <w:sz w:val="20"/>
        </w:rPr>
        <w:t xml:space="preserve"> </w:t>
      </w:r>
      <w:r>
        <w:rPr>
          <w:color w:val="231F20"/>
          <w:sz w:val="20"/>
        </w:rPr>
        <w:t>victim-blaming,</w:t>
      </w:r>
      <w:r>
        <w:rPr>
          <w:color w:val="231F20"/>
          <w:spacing w:val="-7"/>
          <w:sz w:val="20"/>
        </w:rPr>
        <w:t xml:space="preserve"> </w:t>
      </w:r>
      <w:r>
        <w:rPr>
          <w:color w:val="231F20"/>
          <w:sz w:val="20"/>
        </w:rPr>
        <w:t>which</w:t>
      </w:r>
      <w:r>
        <w:rPr>
          <w:color w:val="231F20"/>
          <w:spacing w:val="-6"/>
          <w:sz w:val="20"/>
        </w:rPr>
        <w:t xml:space="preserve"> </w:t>
      </w:r>
      <w:r>
        <w:rPr>
          <w:color w:val="231F20"/>
          <w:sz w:val="20"/>
        </w:rPr>
        <w:t>can</w:t>
      </w:r>
      <w:r>
        <w:rPr>
          <w:color w:val="231F20"/>
          <w:spacing w:val="-7"/>
          <w:sz w:val="20"/>
        </w:rPr>
        <w:t xml:space="preserve"> </w:t>
      </w:r>
      <w:r>
        <w:rPr>
          <w:color w:val="231F20"/>
          <w:sz w:val="20"/>
        </w:rPr>
        <w:t>be</w:t>
      </w:r>
      <w:r>
        <w:rPr>
          <w:color w:val="231F20"/>
          <w:spacing w:val="-6"/>
          <w:sz w:val="20"/>
        </w:rPr>
        <w:t xml:space="preserve"> </w:t>
      </w:r>
      <w:r>
        <w:rPr>
          <w:color w:val="231F20"/>
          <w:sz w:val="20"/>
        </w:rPr>
        <w:t xml:space="preserve">a </w:t>
      </w:r>
      <w:r>
        <w:rPr>
          <w:color w:val="231F20"/>
          <w:spacing w:val="-4"/>
          <w:sz w:val="20"/>
        </w:rPr>
        <w:t xml:space="preserve">feature </w:t>
      </w:r>
      <w:r>
        <w:rPr>
          <w:color w:val="231F20"/>
          <w:sz w:val="20"/>
        </w:rPr>
        <w:t xml:space="preserve">of the justice </w:t>
      </w:r>
      <w:r>
        <w:rPr>
          <w:color w:val="231F20"/>
          <w:spacing w:val="-2"/>
          <w:sz w:val="20"/>
        </w:rPr>
        <w:t>system</w:t>
      </w:r>
      <w:r>
        <w:rPr>
          <w:color w:val="231F20"/>
          <w:spacing w:val="-17"/>
          <w:sz w:val="20"/>
        </w:rPr>
        <w:t xml:space="preserve"> </w:t>
      </w:r>
      <w:r>
        <w:rPr>
          <w:color w:val="231F20"/>
          <w:sz w:val="20"/>
        </w:rPr>
        <w:t>response.</w:t>
      </w:r>
      <w:r>
        <w:rPr>
          <w:color w:val="231F20"/>
          <w:position w:val="7"/>
          <w:sz w:val="11"/>
        </w:rPr>
        <w:t>28</w:t>
      </w:r>
    </w:p>
    <w:p w14:paraId="7B569643" w14:textId="77777777" w:rsidR="00894070" w:rsidRDefault="009B7AFD">
      <w:pPr>
        <w:pStyle w:val="ListParagraph"/>
        <w:numPr>
          <w:ilvl w:val="1"/>
          <w:numId w:val="177"/>
        </w:numPr>
        <w:tabs>
          <w:tab w:val="left" w:pos="1801"/>
          <w:tab w:val="left" w:pos="1802"/>
        </w:tabs>
        <w:spacing w:before="92" w:line="259" w:lineRule="exact"/>
        <w:rPr>
          <w:sz w:val="20"/>
        </w:rPr>
      </w:pPr>
      <w:r>
        <w:rPr>
          <w:color w:val="231F20"/>
          <w:sz w:val="20"/>
        </w:rPr>
        <w:t>This</w:t>
      </w:r>
      <w:r>
        <w:rPr>
          <w:color w:val="231F20"/>
          <w:spacing w:val="-6"/>
          <w:sz w:val="20"/>
        </w:rPr>
        <w:t xml:space="preserve"> </w:t>
      </w:r>
      <w:r>
        <w:rPr>
          <w:color w:val="231F20"/>
          <w:spacing w:val="-3"/>
          <w:sz w:val="20"/>
        </w:rPr>
        <w:t>focus</w:t>
      </w:r>
      <w:r>
        <w:rPr>
          <w:color w:val="231F20"/>
          <w:spacing w:val="-6"/>
          <w:sz w:val="20"/>
        </w:rPr>
        <w:t xml:space="preserve"> </w:t>
      </w:r>
      <w:r>
        <w:rPr>
          <w:color w:val="231F20"/>
          <w:sz w:val="20"/>
        </w:rPr>
        <w:t>means</w:t>
      </w:r>
      <w:r>
        <w:rPr>
          <w:color w:val="231F20"/>
          <w:spacing w:val="-6"/>
          <w:sz w:val="20"/>
        </w:rPr>
        <w:t xml:space="preserve"> </w:t>
      </w:r>
      <w:r>
        <w:rPr>
          <w:color w:val="231F20"/>
          <w:sz w:val="20"/>
        </w:rPr>
        <w:t>that</w:t>
      </w:r>
      <w:r>
        <w:rPr>
          <w:color w:val="231F20"/>
          <w:spacing w:val="-6"/>
          <w:sz w:val="20"/>
        </w:rPr>
        <w:t xml:space="preserve"> </w:t>
      </w:r>
      <w:r>
        <w:rPr>
          <w:color w:val="231F20"/>
          <w:sz w:val="20"/>
        </w:rPr>
        <w:t>people</w:t>
      </w:r>
      <w:r>
        <w:rPr>
          <w:color w:val="231F20"/>
          <w:spacing w:val="-5"/>
          <w:sz w:val="20"/>
        </w:rPr>
        <w:t xml:space="preserve"> </w:t>
      </w:r>
      <w:r>
        <w:rPr>
          <w:color w:val="231F20"/>
          <w:sz w:val="20"/>
        </w:rPr>
        <w:t>who</w:t>
      </w:r>
      <w:r>
        <w:rPr>
          <w:color w:val="231F20"/>
          <w:spacing w:val="-6"/>
          <w:sz w:val="20"/>
        </w:rPr>
        <w:t xml:space="preserve"> </w:t>
      </w:r>
      <w:r>
        <w:rPr>
          <w:color w:val="231F20"/>
          <w:sz w:val="20"/>
        </w:rPr>
        <w:t>stalk</w:t>
      </w:r>
      <w:r>
        <w:rPr>
          <w:color w:val="231F20"/>
          <w:spacing w:val="-6"/>
          <w:sz w:val="20"/>
        </w:rPr>
        <w:t xml:space="preserve"> </w:t>
      </w:r>
      <w:r>
        <w:rPr>
          <w:color w:val="231F20"/>
          <w:sz w:val="20"/>
        </w:rPr>
        <w:t>often</w:t>
      </w:r>
      <w:r>
        <w:rPr>
          <w:color w:val="231F20"/>
          <w:spacing w:val="-6"/>
          <w:sz w:val="20"/>
        </w:rPr>
        <w:t xml:space="preserve"> </w:t>
      </w:r>
      <w:r>
        <w:rPr>
          <w:color w:val="231F20"/>
          <w:sz w:val="20"/>
        </w:rPr>
        <w:t>do</w:t>
      </w:r>
      <w:r>
        <w:rPr>
          <w:color w:val="231F20"/>
          <w:spacing w:val="-5"/>
          <w:sz w:val="20"/>
        </w:rPr>
        <w:t xml:space="preserve"> </w:t>
      </w:r>
      <w:r>
        <w:rPr>
          <w:color w:val="231F20"/>
          <w:sz w:val="20"/>
        </w:rPr>
        <w:t>not</w:t>
      </w:r>
      <w:r>
        <w:rPr>
          <w:color w:val="231F20"/>
          <w:spacing w:val="-6"/>
          <w:sz w:val="20"/>
        </w:rPr>
        <w:t xml:space="preserve"> </w:t>
      </w:r>
      <w:r>
        <w:rPr>
          <w:color w:val="231F20"/>
          <w:sz w:val="20"/>
        </w:rPr>
        <w:t>get</w:t>
      </w:r>
      <w:r>
        <w:rPr>
          <w:color w:val="231F20"/>
          <w:spacing w:val="-6"/>
          <w:sz w:val="20"/>
        </w:rPr>
        <w:t xml:space="preserve"> </w:t>
      </w:r>
      <w:r>
        <w:rPr>
          <w:color w:val="231F20"/>
          <w:sz w:val="20"/>
        </w:rPr>
        <w:t>the</w:t>
      </w:r>
      <w:r>
        <w:rPr>
          <w:color w:val="231F20"/>
          <w:spacing w:val="-6"/>
          <w:sz w:val="20"/>
        </w:rPr>
        <w:t xml:space="preserve"> </w:t>
      </w:r>
      <w:r>
        <w:rPr>
          <w:color w:val="231F20"/>
          <w:sz w:val="20"/>
        </w:rPr>
        <w:t>help</w:t>
      </w:r>
      <w:r>
        <w:rPr>
          <w:color w:val="231F20"/>
          <w:spacing w:val="-5"/>
          <w:sz w:val="20"/>
        </w:rPr>
        <w:t xml:space="preserve"> </w:t>
      </w:r>
      <w:r>
        <w:rPr>
          <w:color w:val="231F20"/>
          <w:sz w:val="20"/>
        </w:rPr>
        <w:t>they</w:t>
      </w:r>
      <w:r>
        <w:rPr>
          <w:color w:val="231F20"/>
          <w:spacing w:val="-6"/>
          <w:sz w:val="20"/>
        </w:rPr>
        <w:t xml:space="preserve"> </w:t>
      </w:r>
      <w:r>
        <w:rPr>
          <w:color w:val="231F20"/>
          <w:sz w:val="20"/>
        </w:rPr>
        <w:t>need</w:t>
      </w:r>
      <w:r>
        <w:rPr>
          <w:color w:val="231F20"/>
          <w:spacing w:val="-6"/>
          <w:sz w:val="20"/>
        </w:rPr>
        <w:t xml:space="preserve"> </w:t>
      </w:r>
      <w:r>
        <w:rPr>
          <w:color w:val="231F20"/>
          <w:sz w:val="20"/>
        </w:rPr>
        <w:t>to</w:t>
      </w:r>
      <w:r>
        <w:rPr>
          <w:color w:val="231F20"/>
          <w:spacing w:val="-6"/>
          <w:sz w:val="20"/>
        </w:rPr>
        <w:t xml:space="preserve"> </w:t>
      </w:r>
      <w:r>
        <w:rPr>
          <w:color w:val="231F20"/>
          <w:sz w:val="20"/>
        </w:rPr>
        <w:t>address</w:t>
      </w:r>
    </w:p>
    <w:p w14:paraId="43CF7044" w14:textId="77777777" w:rsidR="00894070" w:rsidRDefault="009B7AFD">
      <w:pPr>
        <w:pStyle w:val="BodyText"/>
        <w:spacing w:line="259" w:lineRule="exact"/>
        <w:ind w:left="1801"/>
      </w:pPr>
      <w:r>
        <w:rPr>
          <w:color w:val="231F20"/>
        </w:rPr>
        <w:t xml:space="preserve">their </w:t>
      </w:r>
      <w:proofErr w:type="spellStart"/>
      <w:r>
        <w:rPr>
          <w:color w:val="231F20"/>
        </w:rPr>
        <w:t>behaviour</w:t>
      </w:r>
      <w:proofErr w:type="spellEnd"/>
      <w:r>
        <w:rPr>
          <w:color w:val="231F20"/>
        </w:rPr>
        <w:t xml:space="preserve">. Too many continue their stalking </w:t>
      </w:r>
      <w:proofErr w:type="spellStart"/>
      <w:r>
        <w:rPr>
          <w:color w:val="231F20"/>
        </w:rPr>
        <w:t>behaviour</w:t>
      </w:r>
      <w:proofErr w:type="spellEnd"/>
      <w:r>
        <w:rPr>
          <w:color w:val="231F20"/>
        </w:rPr>
        <w:t xml:space="preserve"> without any consequence.</w:t>
      </w:r>
    </w:p>
    <w:p w14:paraId="0812B826" w14:textId="77777777" w:rsidR="00894070" w:rsidRDefault="009B7AFD">
      <w:pPr>
        <w:pStyle w:val="ListParagraph"/>
        <w:numPr>
          <w:ilvl w:val="1"/>
          <w:numId w:val="177"/>
        </w:numPr>
        <w:tabs>
          <w:tab w:val="left" w:pos="1802"/>
        </w:tabs>
        <w:spacing w:before="114" w:line="206" w:lineRule="auto"/>
        <w:ind w:right="1515"/>
        <w:jc w:val="both"/>
        <w:rPr>
          <w:sz w:val="20"/>
        </w:rPr>
      </w:pPr>
      <w:r>
        <w:rPr>
          <w:color w:val="231F20"/>
          <w:sz w:val="20"/>
        </w:rPr>
        <w:t>This</w:t>
      </w:r>
      <w:r>
        <w:rPr>
          <w:color w:val="231F20"/>
          <w:spacing w:val="-11"/>
          <w:sz w:val="20"/>
        </w:rPr>
        <w:t xml:space="preserve"> </w:t>
      </w:r>
      <w:r>
        <w:rPr>
          <w:color w:val="231F20"/>
          <w:sz w:val="20"/>
        </w:rPr>
        <w:t>imbalance</w:t>
      </w:r>
      <w:r>
        <w:rPr>
          <w:color w:val="231F20"/>
          <w:spacing w:val="-10"/>
          <w:sz w:val="20"/>
        </w:rPr>
        <w:t xml:space="preserve"> </w:t>
      </w:r>
      <w:r>
        <w:rPr>
          <w:color w:val="231F20"/>
          <w:sz w:val="20"/>
        </w:rPr>
        <w:t>needs</w:t>
      </w:r>
      <w:r>
        <w:rPr>
          <w:color w:val="231F20"/>
          <w:spacing w:val="-11"/>
          <w:sz w:val="20"/>
        </w:rPr>
        <w:t xml:space="preserve"> </w:t>
      </w:r>
      <w:r>
        <w:rPr>
          <w:color w:val="231F20"/>
          <w:sz w:val="20"/>
        </w:rPr>
        <w:t>to</w:t>
      </w:r>
      <w:r>
        <w:rPr>
          <w:color w:val="231F20"/>
          <w:spacing w:val="-10"/>
          <w:sz w:val="20"/>
        </w:rPr>
        <w:t xml:space="preserve"> </w:t>
      </w:r>
      <w:r>
        <w:rPr>
          <w:color w:val="231F20"/>
          <w:sz w:val="20"/>
        </w:rPr>
        <w:t>be</w:t>
      </w:r>
      <w:r>
        <w:rPr>
          <w:color w:val="231F20"/>
          <w:spacing w:val="-11"/>
          <w:sz w:val="20"/>
        </w:rPr>
        <w:t xml:space="preserve"> </w:t>
      </w:r>
      <w:r>
        <w:rPr>
          <w:color w:val="231F20"/>
          <w:sz w:val="20"/>
        </w:rPr>
        <w:t>corrected.</w:t>
      </w:r>
      <w:r>
        <w:rPr>
          <w:color w:val="231F20"/>
          <w:spacing w:val="-10"/>
          <w:sz w:val="20"/>
        </w:rPr>
        <w:t xml:space="preserve"> </w:t>
      </w:r>
      <w:r>
        <w:rPr>
          <w:color w:val="231F20"/>
          <w:sz w:val="20"/>
        </w:rPr>
        <w:t>It</w:t>
      </w:r>
      <w:r>
        <w:rPr>
          <w:color w:val="231F20"/>
          <w:spacing w:val="-10"/>
          <w:sz w:val="20"/>
        </w:rPr>
        <w:t xml:space="preserve"> </w:t>
      </w:r>
      <w:r>
        <w:rPr>
          <w:color w:val="231F20"/>
          <w:sz w:val="20"/>
        </w:rPr>
        <w:t>is</w:t>
      </w:r>
      <w:r>
        <w:rPr>
          <w:color w:val="231F20"/>
          <w:spacing w:val="-11"/>
          <w:sz w:val="20"/>
        </w:rPr>
        <w:t xml:space="preserve"> </w:t>
      </w:r>
      <w:r>
        <w:rPr>
          <w:color w:val="231F20"/>
          <w:sz w:val="20"/>
        </w:rPr>
        <w:t>not</w:t>
      </w:r>
      <w:r>
        <w:rPr>
          <w:color w:val="231F20"/>
          <w:spacing w:val="-10"/>
          <w:sz w:val="20"/>
        </w:rPr>
        <w:t xml:space="preserve"> </w:t>
      </w:r>
      <w:r>
        <w:rPr>
          <w:color w:val="231F20"/>
          <w:sz w:val="20"/>
        </w:rPr>
        <w:t>the</w:t>
      </w:r>
      <w:r>
        <w:rPr>
          <w:color w:val="231F20"/>
          <w:spacing w:val="-11"/>
          <w:sz w:val="20"/>
        </w:rPr>
        <w:t xml:space="preserve"> </w:t>
      </w:r>
      <w:r>
        <w:rPr>
          <w:color w:val="231F20"/>
          <w:sz w:val="20"/>
        </w:rPr>
        <w:t>victim</w:t>
      </w:r>
      <w:r>
        <w:rPr>
          <w:color w:val="231F20"/>
          <w:spacing w:val="-10"/>
          <w:sz w:val="20"/>
        </w:rPr>
        <w:t xml:space="preserve"> </w:t>
      </w:r>
      <w:r>
        <w:rPr>
          <w:color w:val="231F20"/>
          <w:sz w:val="20"/>
        </w:rPr>
        <w:t>survivor’s</w:t>
      </w:r>
      <w:r>
        <w:rPr>
          <w:color w:val="231F20"/>
          <w:spacing w:val="-11"/>
          <w:sz w:val="20"/>
        </w:rPr>
        <w:t xml:space="preserve"> </w:t>
      </w:r>
      <w:r>
        <w:rPr>
          <w:color w:val="231F20"/>
          <w:sz w:val="20"/>
        </w:rPr>
        <w:t>responsibility</w:t>
      </w:r>
      <w:r>
        <w:rPr>
          <w:color w:val="231F20"/>
          <w:spacing w:val="-10"/>
          <w:sz w:val="20"/>
        </w:rPr>
        <w:t xml:space="preserve"> </w:t>
      </w:r>
      <w:r>
        <w:rPr>
          <w:color w:val="231F20"/>
          <w:sz w:val="20"/>
        </w:rPr>
        <w:t>to change</w:t>
      </w:r>
      <w:r>
        <w:rPr>
          <w:color w:val="231F20"/>
          <w:spacing w:val="-10"/>
          <w:sz w:val="20"/>
        </w:rPr>
        <w:t xml:space="preserve"> </w:t>
      </w:r>
      <w:r>
        <w:rPr>
          <w:color w:val="231F20"/>
          <w:sz w:val="20"/>
        </w:rPr>
        <w:t>their</w:t>
      </w:r>
      <w:r>
        <w:rPr>
          <w:color w:val="231F20"/>
          <w:spacing w:val="-10"/>
          <w:sz w:val="20"/>
        </w:rPr>
        <w:t xml:space="preserve"> </w:t>
      </w:r>
      <w:proofErr w:type="spellStart"/>
      <w:r>
        <w:rPr>
          <w:color w:val="231F20"/>
          <w:sz w:val="20"/>
        </w:rPr>
        <w:t>behaviour</w:t>
      </w:r>
      <w:proofErr w:type="spellEnd"/>
      <w:r>
        <w:rPr>
          <w:color w:val="231F20"/>
          <w:spacing w:val="-10"/>
          <w:sz w:val="20"/>
        </w:rPr>
        <w:t xml:space="preserve"> </w:t>
      </w:r>
      <w:r>
        <w:rPr>
          <w:color w:val="231F20"/>
          <w:sz w:val="20"/>
        </w:rPr>
        <w:t>to</w:t>
      </w:r>
      <w:r>
        <w:rPr>
          <w:color w:val="231F20"/>
          <w:spacing w:val="-9"/>
          <w:sz w:val="20"/>
        </w:rPr>
        <w:t xml:space="preserve"> </w:t>
      </w:r>
      <w:r>
        <w:rPr>
          <w:color w:val="231F20"/>
          <w:sz w:val="20"/>
        </w:rPr>
        <w:t>stop</w:t>
      </w:r>
      <w:r>
        <w:rPr>
          <w:color w:val="231F20"/>
          <w:spacing w:val="-10"/>
          <w:sz w:val="20"/>
        </w:rPr>
        <w:t xml:space="preserve"> </w:t>
      </w:r>
      <w:r>
        <w:rPr>
          <w:color w:val="231F20"/>
          <w:sz w:val="20"/>
        </w:rPr>
        <w:t>the</w:t>
      </w:r>
      <w:r>
        <w:rPr>
          <w:color w:val="231F20"/>
          <w:spacing w:val="-10"/>
          <w:sz w:val="20"/>
        </w:rPr>
        <w:t xml:space="preserve"> </w:t>
      </w:r>
      <w:r>
        <w:rPr>
          <w:color w:val="231F20"/>
          <w:sz w:val="20"/>
        </w:rPr>
        <w:t>stalking.</w:t>
      </w:r>
      <w:r>
        <w:rPr>
          <w:color w:val="231F20"/>
          <w:position w:val="7"/>
          <w:sz w:val="11"/>
        </w:rPr>
        <w:t>29</w:t>
      </w:r>
      <w:r>
        <w:rPr>
          <w:color w:val="231F20"/>
          <w:spacing w:val="14"/>
          <w:position w:val="7"/>
          <w:sz w:val="11"/>
        </w:rPr>
        <w:t xml:space="preserve"> </w:t>
      </w:r>
      <w:r>
        <w:rPr>
          <w:color w:val="231F20"/>
          <w:sz w:val="20"/>
        </w:rPr>
        <w:t>An</w:t>
      </w:r>
      <w:r>
        <w:rPr>
          <w:color w:val="231F20"/>
          <w:spacing w:val="-9"/>
          <w:sz w:val="20"/>
        </w:rPr>
        <w:t xml:space="preserve"> </w:t>
      </w:r>
      <w:r>
        <w:rPr>
          <w:color w:val="231F20"/>
          <w:spacing w:val="-3"/>
          <w:sz w:val="20"/>
        </w:rPr>
        <w:t>effective</w:t>
      </w:r>
      <w:r>
        <w:rPr>
          <w:color w:val="231F20"/>
          <w:spacing w:val="-10"/>
          <w:sz w:val="20"/>
        </w:rPr>
        <w:t xml:space="preserve"> </w:t>
      </w:r>
      <w:r>
        <w:rPr>
          <w:color w:val="231F20"/>
          <w:sz w:val="20"/>
        </w:rPr>
        <w:t>response</w:t>
      </w:r>
      <w:r>
        <w:rPr>
          <w:color w:val="231F20"/>
          <w:spacing w:val="-10"/>
          <w:sz w:val="20"/>
        </w:rPr>
        <w:t xml:space="preserve"> </w:t>
      </w:r>
      <w:r>
        <w:rPr>
          <w:color w:val="231F20"/>
          <w:sz w:val="20"/>
        </w:rPr>
        <w:t>to</w:t>
      </w:r>
      <w:r>
        <w:rPr>
          <w:color w:val="231F20"/>
          <w:spacing w:val="-10"/>
          <w:sz w:val="20"/>
        </w:rPr>
        <w:t xml:space="preserve"> </w:t>
      </w:r>
      <w:r>
        <w:rPr>
          <w:color w:val="231F20"/>
          <w:sz w:val="20"/>
        </w:rPr>
        <w:t>stalking</w:t>
      </w:r>
      <w:r>
        <w:rPr>
          <w:color w:val="231F20"/>
          <w:spacing w:val="-9"/>
          <w:sz w:val="20"/>
        </w:rPr>
        <w:t xml:space="preserve"> </w:t>
      </w:r>
      <w:r>
        <w:rPr>
          <w:color w:val="231F20"/>
          <w:sz w:val="20"/>
        </w:rPr>
        <w:t xml:space="preserve">must </w:t>
      </w:r>
      <w:r>
        <w:rPr>
          <w:color w:val="231F20"/>
          <w:spacing w:val="-3"/>
          <w:sz w:val="20"/>
        </w:rPr>
        <w:t xml:space="preserve">focus </w:t>
      </w:r>
      <w:r>
        <w:rPr>
          <w:color w:val="231F20"/>
          <w:sz w:val="20"/>
        </w:rPr>
        <w:t>on the people who commit the</w:t>
      </w:r>
      <w:r>
        <w:rPr>
          <w:color w:val="231F20"/>
          <w:spacing w:val="-28"/>
          <w:sz w:val="20"/>
        </w:rPr>
        <w:t xml:space="preserve"> </w:t>
      </w:r>
      <w:r>
        <w:rPr>
          <w:color w:val="231F20"/>
          <w:sz w:val="20"/>
        </w:rPr>
        <w:t>crime.</w:t>
      </w:r>
    </w:p>
    <w:p w14:paraId="512F3C4E" w14:textId="77777777" w:rsidR="00894070" w:rsidRDefault="009B7AFD">
      <w:pPr>
        <w:pStyle w:val="ListParagraph"/>
        <w:numPr>
          <w:ilvl w:val="1"/>
          <w:numId w:val="177"/>
        </w:numPr>
        <w:tabs>
          <w:tab w:val="left" w:pos="1801"/>
          <w:tab w:val="left" w:pos="1802"/>
        </w:tabs>
        <w:spacing w:before="124" w:line="206" w:lineRule="auto"/>
        <w:ind w:right="1223"/>
        <w:rPr>
          <w:sz w:val="11"/>
        </w:rPr>
      </w:pPr>
      <w:r>
        <w:rPr>
          <w:color w:val="231F20"/>
          <w:spacing w:val="-5"/>
          <w:sz w:val="20"/>
        </w:rPr>
        <w:t>However,</w:t>
      </w:r>
      <w:r>
        <w:rPr>
          <w:color w:val="231F20"/>
          <w:spacing w:val="-8"/>
          <w:sz w:val="20"/>
        </w:rPr>
        <w:t xml:space="preserve"> </w:t>
      </w:r>
      <w:r>
        <w:rPr>
          <w:color w:val="231F20"/>
          <w:sz w:val="20"/>
        </w:rPr>
        <w:t>what</w:t>
      </w:r>
      <w:r>
        <w:rPr>
          <w:color w:val="231F20"/>
          <w:spacing w:val="-8"/>
          <w:sz w:val="20"/>
        </w:rPr>
        <w:t xml:space="preserve"> </w:t>
      </w:r>
      <w:r>
        <w:rPr>
          <w:color w:val="231F20"/>
          <w:sz w:val="20"/>
        </w:rPr>
        <w:t>‘accountability’</w:t>
      </w:r>
      <w:r>
        <w:rPr>
          <w:color w:val="231F20"/>
          <w:spacing w:val="-8"/>
          <w:sz w:val="20"/>
        </w:rPr>
        <w:t xml:space="preserve"> </w:t>
      </w:r>
      <w:r>
        <w:rPr>
          <w:color w:val="231F20"/>
          <w:sz w:val="20"/>
        </w:rPr>
        <w:t>means</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stalking</w:t>
      </w:r>
      <w:r>
        <w:rPr>
          <w:color w:val="231F20"/>
          <w:spacing w:val="-8"/>
          <w:sz w:val="20"/>
        </w:rPr>
        <w:t xml:space="preserve"> </w:t>
      </w:r>
      <w:r>
        <w:rPr>
          <w:color w:val="231F20"/>
          <w:sz w:val="20"/>
        </w:rPr>
        <w:t>has</w:t>
      </w:r>
      <w:r>
        <w:rPr>
          <w:color w:val="231F20"/>
          <w:spacing w:val="-8"/>
          <w:sz w:val="20"/>
        </w:rPr>
        <w:t xml:space="preserve"> </w:t>
      </w:r>
      <w:r>
        <w:rPr>
          <w:color w:val="231F20"/>
          <w:sz w:val="20"/>
        </w:rPr>
        <w:t>not</w:t>
      </w:r>
      <w:r>
        <w:rPr>
          <w:color w:val="231F20"/>
          <w:spacing w:val="-8"/>
          <w:sz w:val="20"/>
        </w:rPr>
        <w:t xml:space="preserve"> </w:t>
      </w:r>
      <w:r>
        <w:rPr>
          <w:color w:val="231F20"/>
          <w:sz w:val="20"/>
        </w:rPr>
        <w:t>been</w:t>
      </w:r>
      <w:r>
        <w:rPr>
          <w:color w:val="231F20"/>
          <w:spacing w:val="-7"/>
          <w:sz w:val="20"/>
        </w:rPr>
        <w:t xml:space="preserve"> </w:t>
      </w:r>
      <w:r>
        <w:rPr>
          <w:color w:val="231F20"/>
          <w:spacing w:val="-3"/>
          <w:sz w:val="20"/>
        </w:rPr>
        <w:t>explored</w:t>
      </w:r>
      <w:r>
        <w:rPr>
          <w:color w:val="231F20"/>
          <w:spacing w:val="-8"/>
          <w:sz w:val="20"/>
        </w:rPr>
        <w:t xml:space="preserve"> </w:t>
      </w:r>
      <w:r>
        <w:rPr>
          <w:color w:val="231F20"/>
          <w:sz w:val="20"/>
        </w:rPr>
        <w:t>in</w:t>
      </w:r>
      <w:r>
        <w:rPr>
          <w:color w:val="231F20"/>
          <w:spacing w:val="-8"/>
          <w:sz w:val="20"/>
        </w:rPr>
        <w:t xml:space="preserve"> </w:t>
      </w:r>
      <w:r>
        <w:rPr>
          <w:color w:val="231F20"/>
          <w:spacing w:val="-3"/>
          <w:sz w:val="20"/>
        </w:rPr>
        <w:t>any</w:t>
      </w:r>
      <w:r>
        <w:rPr>
          <w:color w:val="231F20"/>
          <w:spacing w:val="-8"/>
          <w:sz w:val="20"/>
        </w:rPr>
        <w:t xml:space="preserve"> </w:t>
      </w:r>
      <w:r>
        <w:rPr>
          <w:color w:val="231F20"/>
          <w:sz w:val="20"/>
        </w:rPr>
        <w:t>detail.</w:t>
      </w:r>
      <w:r>
        <w:rPr>
          <w:color w:val="231F20"/>
          <w:position w:val="7"/>
          <w:sz w:val="11"/>
        </w:rPr>
        <w:t>30</w:t>
      </w:r>
      <w:r>
        <w:rPr>
          <w:color w:val="231F20"/>
          <w:sz w:val="11"/>
        </w:rPr>
        <w:t xml:space="preserve"> </w:t>
      </w:r>
      <w:r>
        <w:rPr>
          <w:color w:val="231F20"/>
          <w:sz w:val="20"/>
        </w:rPr>
        <w:t xml:space="preserve">As </w:t>
      </w:r>
      <w:r>
        <w:rPr>
          <w:color w:val="231F20"/>
          <w:spacing w:val="-3"/>
          <w:sz w:val="20"/>
        </w:rPr>
        <w:t xml:space="preserve">we </w:t>
      </w:r>
      <w:r>
        <w:rPr>
          <w:color w:val="231F20"/>
          <w:sz w:val="20"/>
        </w:rPr>
        <w:t xml:space="preserve">heard in this </w:t>
      </w:r>
      <w:r>
        <w:rPr>
          <w:color w:val="231F20"/>
          <w:spacing w:val="-3"/>
          <w:sz w:val="20"/>
        </w:rPr>
        <w:t xml:space="preserve">inquiry, </w:t>
      </w:r>
      <w:r>
        <w:rPr>
          <w:color w:val="231F20"/>
          <w:sz w:val="20"/>
        </w:rPr>
        <w:t xml:space="preserve">and as </w:t>
      </w:r>
      <w:r>
        <w:rPr>
          <w:color w:val="231F20"/>
          <w:spacing w:val="-3"/>
          <w:sz w:val="20"/>
        </w:rPr>
        <w:t xml:space="preserve">research </w:t>
      </w:r>
      <w:r>
        <w:rPr>
          <w:color w:val="231F20"/>
          <w:sz w:val="20"/>
        </w:rPr>
        <w:t>suggests, some victim survivors view accountability</w:t>
      </w:r>
      <w:r>
        <w:rPr>
          <w:color w:val="231F20"/>
          <w:spacing w:val="-8"/>
          <w:sz w:val="20"/>
        </w:rPr>
        <w:t xml:space="preserve"> </w:t>
      </w:r>
      <w:r>
        <w:rPr>
          <w:color w:val="231F20"/>
          <w:sz w:val="20"/>
        </w:rPr>
        <w:t>as</w:t>
      </w:r>
      <w:r>
        <w:rPr>
          <w:color w:val="231F20"/>
          <w:spacing w:val="-8"/>
          <w:sz w:val="20"/>
        </w:rPr>
        <w:t xml:space="preserve"> </w:t>
      </w:r>
      <w:r>
        <w:rPr>
          <w:color w:val="231F20"/>
          <w:sz w:val="20"/>
        </w:rPr>
        <w:t>a</w:t>
      </w:r>
      <w:r>
        <w:rPr>
          <w:color w:val="231F20"/>
          <w:spacing w:val="-8"/>
          <w:sz w:val="20"/>
        </w:rPr>
        <w:t xml:space="preserve"> </w:t>
      </w:r>
      <w:r>
        <w:rPr>
          <w:color w:val="231F20"/>
          <w:spacing w:val="-2"/>
          <w:sz w:val="20"/>
        </w:rPr>
        <w:t>matter</w:t>
      </w:r>
      <w:r>
        <w:rPr>
          <w:color w:val="231F20"/>
          <w:spacing w:val="-8"/>
          <w:sz w:val="20"/>
        </w:rPr>
        <w:t xml:space="preserve"> </w:t>
      </w:r>
      <w:r>
        <w:rPr>
          <w:color w:val="231F20"/>
          <w:sz w:val="20"/>
        </w:rPr>
        <w:t>of</w:t>
      </w:r>
      <w:r>
        <w:rPr>
          <w:color w:val="231F20"/>
          <w:spacing w:val="-7"/>
          <w:sz w:val="20"/>
        </w:rPr>
        <w:t xml:space="preserve"> </w:t>
      </w:r>
      <w:r>
        <w:rPr>
          <w:color w:val="231F20"/>
          <w:sz w:val="20"/>
        </w:rPr>
        <w:t>prosecuting</w:t>
      </w:r>
      <w:r>
        <w:rPr>
          <w:color w:val="231F20"/>
          <w:spacing w:val="-8"/>
          <w:sz w:val="20"/>
        </w:rPr>
        <w:t xml:space="preserve"> </w:t>
      </w: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z w:val="20"/>
        </w:rPr>
        <w:t>stalk</w:t>
      </w:r>
      <w:r>
        <w:rPr>
          <w:color w:val="231F20"/>
          <w:spacing w:val="-7"/>
          <w:sz w:val="20"/>
        </w:rPr>
        <w:t xml:space="preserve"> </w:t>
      </w:r>
      <w:r>
        <w:rPr>
          <w:color w:val="231F20"/>
          <w:sz w:val="20"/>
        </w:rPr>
        <w:t>and</w:t>
      </w:r>
      <w:r>
        <w:rPr>
          <w:color w:val="231F20"/>
          <w:spacing w:val="-8"/>
          <w:sz w:val="20"/>
        </w:rPr>
        <w:t xml:space="preserve"> </w:t>
      </w:r>
      <w:r>
        <w:rPr>
          <w:color w:val="231F20"/>
          <w:sz w:val="20"/>
        </w:rPr>
        <w:t>imprisoning</w:t>
      </w:r>
      <w:r>
        <w:rPr>
          <w:color w:val="231F20"/>
          <w:spacing w:val="-8"/>
          <w:sz w:val="20"/>
        </w:rPr>
        <w:t xml:space="preserve"> </w:t>
      </w:r>
      <w:r>
        <w:rPr>
          <w:color w:val="231F20"/>
          <w:sz w:val="20"/>
        </w:rPr>
        <w:t>them.</w:t>
      </w:r>
      <w:r>
        <w:rPr>
          <w:color w:val="231F20"/>
          <w:position w:val="7"/>
          <w:sz w:val="11"/>
        </w:rPr>
        <w:t>31</w:t>
      </w:r>
    </w:p>
    <w:p w14:paraId="1C296683" w14:textId="77777777" w:rsidR="00894070" w:rsidRDefault="009B7AFD">
      <w:pPr>
        <w:pStyle w:val="ListParagraph"/>
        <w:numPr>
          <w:ilvl w:val="1"/>
          <w:numId w:val="177"/>
        </w:numPr>
        <w:tabs>
          <w:tab w:val="left" w:pos="1801"/>
          <w:tab w:val="left" w:pos="1802"/>
        </w:tabs>
        <w:spacing w:before="124" w:line="206" w:lineRule="auto"/>
        <w:ind w:right="1444"/>
        <w:rPr>
          <w:sz w:val="11"/>
        </w:rPr>
      </w:pPr>
      <w:r>
        <w:rPr>
          <w:color w:val="231F20"/>
          <w:spacing w:val="-6"/>
          <w:sz w:val="20"/>
        </w:rPr>
        <w:t xml:space="preserve">We </w:t>
      </w:r>
      <w:r>
        <w:rPr>
          <w:color w:val="231F20"/>
          <w:sz w:val="20"/>
        </w:rPr>
        <w:t xml:space="preserve">see accountability as a </w:t>
      </w:r>
      <w:r>
        <w:rPr>
          <w:color w:val="231F20"/>
          <w:spacing w:val="-3"/>
          <w:sz w:val="20"/>
        </w:rPr>
        <w:t xml:space="preserve">way </w:t>
      </w:r>
      <w:r>
        <w:rPr>
          <w:color w:val="231F20"/>
          <w:sz w:val="20"/>
        </w:rPr>
        <w:t xml:space="preserve">of making </w:t>
      </w:r>
      <w:r>
        <w:rPr>
          <w:color w:val="231F20"/>
          <w:spacing w:val="-3"/>
          <w:sz w:val="20"/>
        </w:rPr>
        <w:t xml:space="preserve">sure </w:t>
      </w:r>
      <w:r>
        <w:rPr>
          <w:color w:val="231F20"/>
          <w:sz w:val="20"/>
        </w:rPr>
        <w:t>that people who stalk take responsibility</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their</w:t>
      </w:r>
      <w:r>
        <w:rPr>
          <w:color w:val="231F20"/>
          <w:spacing w:val="-8"/>
          <w:sz w:val="20"/>
        </w:rPr>
        <w:t xml:space="preserve"> </w:t>
      </w:r>
      <w:proofErr w:type="spellStart"/>
      <w:r>
        <w:rPr>
          <w:color w:val="231F20"/>
          <w:sz w:val="20"/>
        </w:rPr>
        <w:t>behaviour</w:t>
      </w:r>
      <w:proofErr w:type="spellEnd"/>
      <w:r>
        <w:rPr>
          <w:color w:val="231F20"/>
          <w:spacing w:val="-9"/>
          <w:sz w:val="20"/>
        </w:rPr>
        <w:t xml:space="preserve"> </w:t>
      </w:r>
      <w:r>
        <w:rPr>
          <w:color w:val="231F20"/>
          <w:sz w:val="20"/>
        </w:rPr>
        <w:t>and</w:t>
      </w:r>
      <w:r>
        <w:rPr>
          <w:color w:val="231F20"/>
          <w:spacing w:val="-8"/>
          <w:sz w:val="20"/>
        </w:rPr>
        <w:t xml:space="preserve"> </w:t>
      </w:r>
      <w:r>
        <w:rPr>
          <w:color w:val="231F20"/>
          <w:sz w:val="20"/>
        </w:rPr>
        <w:t>take</w:t>
      </w:r>
      <w:r>
        <w:rPr>
          <w:color w:val="231F20"/>
          <w:spacing w:val="-9"/>
          <w:sz w:val="20"/>
        </w:rPr>
        <w:t xml:space="preserve"> </w:t>
      </w:r>
      <w:r>
        <w:rPr>
          <w:color w:val="231F20"/>
          <w:sz w:val="20"/>
        </w:rPr>
        <w:t>steps</w:t>
      </w:r>
      <w:r>
        <w:rPr>
          <w:color w:val="231F20"/>
          <w:spacing w:val="-8"/>
          <w:sz w:val="20"/>
        </w:rPr>
        <w:t xml:space="preserve"> </w:t>
      </w:r>
      <w:r>
        <w:rPr>
          <w:color w:val="231F20"/>
          <w:sz w:val="20"/>
        </w:rPr>
        <w:t>to</w:t>
      </w:r>
      <w:r>
        <w:rPr>
          <w:color w:val="231F20"/>
          <w:spacing w:val="-9"/>
          <w:sz w:val="20"/>
        </w:rPr>
        <w:t xml:space="preserve"> </w:t>
      </w:r>
      <w:r>
        <w:rPr>
          <w:color w:val="231F20"/>
          <w:sz w:val="20"/>
        </w:rPr>
        <w:t>address</w:t>
      </w:r>
      <w:r>
        <w:rPr>
          <w:color w:val="231F20"/>
          <w:spacing w:val="-8"/>
          <w:sz w:val="20"/>
        </w:rPr>
        <w:t xml:space="preserve"> </w:t>
      </w:r>
      <w:r>
        <w:rPr>
          <w:color w:val="231F20"/>
          <w:sz w:val="20"/>
        </w:rPr>
        <w:t>it.</w:t>
      </w:r>
      <w:r>
        <w:rPr>
          <w:color w:val="231F20"/>
          <w:spacing w:val="-9"/>
          <w:sz w:val="20"/>
        </w:rPr>
        <w:t xml:space="preserve"> </w:t>
      </w:r>
      <w:r>
        <w:rPr>
          <w:color w:val="231F20"/>
          <w:spacing w:val="-6"/>
          <w:sz w:val="20"/>
        </w:rPr>
        <w:t>We</w:t>
      </w:r>
      <w:r>
        <w:rPr>
          <w:color w:val="231F20"/>
          <w:spacing w:val="-8"/>
          <w:sz w:val="20"/>
        </w:rPr>
        <w:t xml:space="preserve"> </w:t>
      </w:r>
      <w:r>
        <w:rPr>
          <w:color w:val="231F20"/>
          <w:sz w:val="20"/>
        </w:rPr>
        <w:t>also</w:t>
      </w:r>
      <w:r>
        <w:rPr>
          <w:color w:val="231F20"/>
          <w:spacing w:val="-9"/>
          <w:sz w:val="20"/>
        </w:rPr>
        <w:t xml:space="preserve"> </w:t>
      </w:r>
      <w:r>
        <w:rPr>
          <w:color w:val="231F20"/>
          <w:sz w:val="20"/>
        </w:rPr>
        <w:t>see</w:t>
      </w:r>
      <w:r>
        <w:rPr>
          <w:color w:val="231F20"/>
          <w:spacing w:val="-8"/>
          <w:sz w:val="20"/>
        </w:rPr>
        <w:t xml:space="preserve"> </w:t>
      </w:r>
      <w:r>
        <w:rPr>
          <w:color w:val="231F20"/>
          <w:sz w:val="20"/>
        </w:rPr>
        <w:t>it</w:t>
      </w:r>
      <w:r>
        <w:rPr>
          <w:color w:val="231F20"/>
          <w:spacing w:val="-9"/>
          <w:sz w:val="20"/>
        </w:rPr>
        <w:t xml:space="preserve"> </w:t>
      </w:r>
      <w:r>
        <w:rPr>
          <w:color w:val="231F20"/>
          <w:sz w:val="20"/>
        </w:rPr>
        <w:t>as</w:t>
      </w:r>
      <w:r>
        <w:rPr>
          <w:color w:val="231F20"/>
          <w:spacing w:val="-8"/>
          <w:sz w:val="20"/>
        </w:rPr>
        <w:t xml:space="preserve"> </w:t>
      </w:r>
      <w:r>
        <w:rPr>
          <w:color w:val="231F20"/>
          <w:sz w:val="20"/>
        </w:rPr>
        <w:t>a</w:t>
      </w:r>
      <w:r>
        <w:rPr>
          <w:color w:val="231F20"/>
          <w:spacing w:val="-9"/>
          <w:sz w:val="20"/>
        </w:rPr>
        <w:t xml:space="preserve"> </w:t>
      </w:r>
      <w:r>
        <w:rPr>
          <w:color w:val="231F20"/>
          <w:spacing w:val="-4"/>
          <w:sz w:val="20"/>
        </w:rPr>
        <w:t xml:space="preserve">way </w:t>
      </w:r>
      <w:r>
        <w:rPr>
          <w:color w:val="231F20"/>
          <w:spacing w:val="-3"/>
          <w:sz w:val="20"/>
        </w:rPr>
        <w:t>for</w:t>
      </w:r>
      <w:r>
        <w:rPr>
          <w:color w:val="231F20"/>
          <w:spacing w:val="-9"/>
          <w:sz w:val="20"/>
        </w:rPr>
        <w:t xml:space="preserve"> </w:t>
      </w:r>
      <w:r>
        <w:rPr>
          <w:color w:val="231F20"/>
          <w:sz w:val="20"/>
        </w:rPr>
        <w:t>the</w:t>
      </w:r>
      <w:r>
        <w:rPr>
          <w:color w:val="231F20"/>
          <w:spacing w:val="-8"/>
          <w:sz w:val="20"/>
        </w:rPr>
        <w:t xml:space="preserve"> </w:t>
      </w:r>
      <w:r>
        <w:rPr>
          <w:color w:val="231F20"/>
          <w:sz w:val="20"/>
        </w:rPr>
        <w:t>community</w:t>
      </w:r>
      <w:r>
        <w:rPr>
          <w:color w:val="231F20"/>
          <w:spacing w:val="-9"/>
          <w:sz w:val="20"/>
        </w:rPr>
        <w:t xml:space="preserve"> </w:t>
      </w:r>
      <w:r>
        <w:rPr>
          <w:color w:val="231F20"/>
          <w:sz w:val="20"/>
        </w:rPr>
        <w:t>to</w:t>
      </w:r>
      <w:r>
        <w:rPr>
          <w:color w:val="231F20"/>
          <w:spacing w:val="-9"/>
          <w:sz w:val="20"/>
        </w:rPr>
        <w:t xml:space="preserve"> </w:t>
      </w:r>
      <w:r>
        <w:rPr>
          <w:color w:val="231F20"/>
          <w:sz w:val="20"/>
        </w:rPr>
        <w:t>acknowledge</w:t>
      </w:r>
      <w:r>
        <w:rPr>
          <w:color w:val="231F20"/>
          <w:spacing w:val="-8"/>
          <w:sz w:val="20"/>
        </w:rPr>
        <w:t xml:space="preserve"> </w:t>
      </w:r>
      <w:r>
        <w:rPr>
          <w:color w:val="231F20"/>
          <w:sz w:val="20"/>
        </w:rPr>
        <w:t>stalking</w:t>
      </w:r>
      <w:r>
        <w:rPr>
          <w:color w:val="231F20"/>
          <w:spacing w:val="-9"/>
          <w:sz w:val="20"/>
        </w:rPr>
        <w:t xml:space="preserve"> </w:t>
      </w:r>
      <w:r>
        <w:rPr>
          <w:color w:val="231F20"/>
          <w:sz w:val="20"/>
        </w:rPr>
        <w:t>as</w:t>
      </w:r>
      <w:r>
        <w:rPr>
          <w:color w:val="231F20"/>
          <w:spacing w:val="-8"/>
          <w:sz w:val="20"/>
        </w:rPr>
        <w:t xml:space="preserve"> </w:t>
      </w:r>
      <w:r>
        <w:rPr>
          <w:color w:val="231F20"/>
          <w:sz w:val="20"/>
        </w:rPr>
        <w:t>a</w:t>
      </w:r>
      <w:r>
        <w:rPr>
          <w:color w:val="231F20"/>
          <w:spacing w:val="-9"/>
          <w:sz w:val="20"/>
        </w:rPr>
        <w:t xml:space="preserve"> </w:t>
      </w:r>
      <w:r>
        <w:rPr>
          <w:color w:val="231F20"/>
          <w:sz w:val="20"/>
        </w:rPr>
        <w:t>harm</w:t>
      </w:r>
      <w:r>
        <w:rPr>
          <w:color w:val="231F20"/>
          <w:spacing w:val="-8"/>
          <w:sz w:val="20"/>
        </w:rPr>
        <w:t xml:space="preserve"> </w:t>
      </w:r>
      <w:r>
        <w:rPr>
          <w:color w:val="231F20"/>
          <w:sz w:val="20"/>
        </w:rPr>
        <w:t>and</w:t>
      </w:r>
      <w:r>
        <w:rPr>
          <w:color w:val="231F20"/>
          <w:spacing w:val="-9"/>
          <w:sz w:val="20"/>
        </w:rPr>
        <w:t xml:space="preserve"> </w:t>
      </w:r>
      <w:r>
        <w:rPr>
          <w:color w:val="231F20"/>
          <w:sz w:val="20"/>
        </w:rPr>
        <w:t>denounce</w:t>
      </w:r>
      <w:r>
        <w:rPr>
          <w:color w:val="231F20"/>
          <w:spacing w:val="-8"/>
          <w:sz w:val="20"/>
        </w:rPr>
        <w:t xml:space="preserve"> </w:t>
      </w:r>
      <w:r>
        <w:rPr>
          <w:color w:val="231F20"/>
          <w:sz w:val="20"/>
        </w:rPr>
        <w:t>it.</w:t>
      </w:r>
      <w:r>
        <w:rPr>
          <w:color w:val="231F20"/>
          <w:spacing w:val="-9"/>
          <w:sz w:val="20"/>
        </w:rPr>
        <w:t xml:space="preserve"> </w:t>
      </w:r>
      <w:r>
        <w:rPr>
          <w:color w:val="231F20"/>
          <w:sz w:val="20"/>
        </w:rPr>
        <w:t>It</w:t>
      </w:r>
      <w:r>
        <w:rPr>
          <w:color w:val="231F20"/>
          <w:spacing w:val="-8"/>
          <w:sz w:val="20"/>
        </w:rPr>
        <w:t xml:space="preserve"> </w:t>
      </w:r>
      <w:r>
        <w:rPr>
          <w:color w:val="231F20"/>
          <w:spacing w:val="-3"/>
          <w:sz w:val="20"/>
        </w:rPr>
        <w:t>may</w:t>
      </w:r>
      <w:r>
        <w:rPr>
          <w:color w:val="231F20"/>
          <w:spacing w:val="-9"/>
          <w:sz w:val="20"/>
        </w:rPr>
        <w:t xml:space="preserve"> </w:t>
      </w:r>
      <w:r>
        <w:rPr>
          <w:color w:val="231F20"/>
          <w:sz w:val="20"/>
        </w:rPr>
        <w:t>mean civil</w:t>
      </w:r>
      <w:r>
        <w:rPr>
          <w:color w:val="231F20"/>
          <w:spacing w:val="-6"/>
          <w:sz w:val="20"/>
        </w:rPr>
        <w:t xml:space="preserve"> </w:t>
      </w:r>
      <w:r>
        <w:rPr>
          <w:color w:val="231F20"/>
          <w:sz w:val="20"/>
        </w:rPr>
        <w:t>or</w:t>
      </w:r>
      <w:r>
        <w:rPr>
          <w:color w:val="231F20"/>
          <w:spacing w:val="-5"/>
          <w:sz w:val="20"/>
        </w:rPr>
        <w:t xml:space="preserve"> </w:t>
      </w:r>
      <w:r>
        <w:rPr>
          <w:color w:val="231F20"/>
          <w:sz w:val="20"/>
        </w:rPr>
        <w:t>criminal</w:t>
      </w:r>
      <w:r>
        <w:rPr>
          <w:color w:val="231F20"/>
          <w:spacing w:val="-6"/>
          <w:sz w:val="20"/>
        </w:rPr>
        <w:t xml:space="preserve"> </w:t>
      </w:r>
      <w:r>
        <w:rPr>
          <w:color w:val="231F20"/>
          <w:sz w:val="20"/>
        </w:rPr>
        <w:t>sanctions.</w:t>
      </w:r>
      <w:r>
        <w:rPr>
          <w:color w:val="231F20"/>
          <w:spacing w:val="-5"/>
          <w:sz w:val="20"/>
        </w:rPr>
        <w:t xml:space="preserve"> </w:t>
      </w:r>
      <w:r>
        <w:rPr>
          <w:color w:val="231F20"/>
          <w:sz w:val="20"/>
        </w:rPr>
        <w:t>It</w:t>
      </w:r>
      <w:r>
        <w:rPr>
          <w:color w:val="231F20"/>
          <w:spacing w:val="-5"/>
          <w:sz w:val="20"/>
        </w:rPr>
        <w:t xml:space="preserve"> </w:t>
      </w:r>
      <w:r>
        <w:rPr>
          <w:color w:val="231F20"/>
          <w:spacing w:val="-3"/>
          <w:sz w:val="20"/>
        </w:rPr>
        <w:t>may</w:t>
      </w:r>
      <w:r>
        <w:rPr>
          <w:color w:val="231F20"/>
          <w:spacing w:val="-6"/>
          <w:sz w:val="20"/>
        </w:rPr>
        <w:t xml:space="preserve"> </w:t>
      </w:r>
      <w:r>
        <w:rPr>
          <w:color w:val="231F20"/>
          <w:sz w:val="20"/>
        </w:rPr>
        <w:t>mean</w:t>
      </w:r>
      <w:r>
        <w:rPr>
          <w:color w:val="231F20"/>
          <w:spacing w:val="-5"/>
          <w:sz w:val="20"/>
        </w:rPr>
        <w:t xml:space="preserve"> </w:t>
      </w:r>
      <w:r>
        <w:rPr>
          <w:color w:val="231F20"/>
          <w:sz w:val="20"/>
        </w:rPr>
        <w:t>therapeutic</w:t>
      </w:r>
      <w:r>
        <w:rPr>
          <w:color w:val="231F20"/>
          <w:spacing w:val="-6"/>
          <w:sz w:val="20"/>
        </w:rPr>
        <w:t xml:space="preserve"> </w:t>
      </w:r>
      <w:r>
        <w:rPr>
          <w:color w:val="231F20"/>
          <w:sz w:val="20"/>
        </w:rPr>
        <w:t>intervention.</w:t>
      </w:r>
      <w:r>
        <w:rPr>
          <w:color w:val="231F20"/>
          <w:position w:val="7"/>
          <w:sz w:val="11"/>
        </w:rPr>
        <w:t>32</w:t>
      </w:r>
    </w:p>
    <w:p w14:paraId="7B4E71D3" w14:textId="77777777" w:rsidR="00894070" w:rsidRDefault="00894070">
      <w:pPr>
        <w:pStyle w:val="BodyText"/>
      </w:pPr>
    </w:p>
    <w:p w14:paraId="0B719B60" w14:textId="77777777" w:rsidR="00894070" w:rsidRDefault="00894070">
      <w:pPr>
        <w:pStyle w:val="BodyText"/>
      </w:pPr>
    </w:p>
    <w:p w14:paraId="20625EC2" w14:textId="77777777" w:rsidR="00894070" w:rsidRDefault="00894070">
      <w:pPr>
        <w:pStyle w:val="BodyText"/>
      </w:pPr>
    </w:p>
    <w:p w14:paraId="78DA0ABF" w14:textId="77777777" w:rsidR="00894070" w:rsidRDefault="009F6793">
      <w:pPr>
        <w:pStyle w:val="BodyText"/>
        <w:spacing w:before="5"/>
        <w:rPr>
          <w:sz w:val="10"/>
        </w:rPr>
      </w:pPr>
      <w:r>
        <w:pict w14:anchorId="4729DB2B">
          <v:line id="_x0000_s1698" style="position:absolute;z-index:-251470848;mso-wrap-distance-left:0;mso-wrap-distance-right:0;mso-position-horizontal-relative:page" from="79.35pt,9.65pt" to="515.9pt,9.65pt" strokecolor="#f8cabc" strokeweight="1pt">
            <w10:wrap type="topAndBottom" anchorx="page"/>
          </v:line>
        </w:pict>
      </w:r>
    </w:p>
    <w:p w14:paraId="5FDB2C28" w14:textId="77777777" w:rsidR="00894070" w:rsidRDefault="009B7AFD">
      <w:pPr>
        <w:pStyle w:val="ListParagraph"/>
        <w:numPr>
          <w:ilvl w:val="0"/>
          <w:numId w:val="176"/>
        </w:numPr>
        <w:tabs>
          <w:tab w:val="left" w:pos="1801"/>
          <w:tab w:val="left" w:pos="1802"/>
        </w:tabs>
        <w:spacing w:before="107" w:line="213" w:lineRule="auto"/>
        <w:ind w:right="1276"/>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   xii.</w:t>
      </w:r>
    </w:p>
    <w:p w14:paraId="7639F496" w14:textId="77777777" w:rsidR="00894070" w:rsidRDefault="009B7AFD">
      <w:pPr>
        <w:pStyle w:val="ListParagraph"/>
        <w:numPr>
          <w:ilvl w:val="0"/>
          <w:numId w:val="176"/>
        </w:numPr>
        <w:tabs>
          <w:tab w:val="left" w:pos="1801"/>
          <w:tab w:val="left" w:pos="1802"/>
        </w:tabs>
        <w:spacing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28691A93" w14:textId="77777777" w:rsidR="00894070" w:rsidRDefault="009B7AFD">
      <w:pPr>
        <w:pStyle w:val="ListParagraph"/>
        <w:numPr>
          <w:ilvl w:val="0"/>
          <w:numId w:val="176"/>
        </w:numPr>
        <w:tabs>
          <w:tab w:val="left" w:pos="1801"/>
          <w:tab w:val="left" w:pos="1802"/>
        </w:tabs>
        <w:spacing w:line="213" w:lineRule="auto"/>
        <w:ind w:right="1539"/>
        <w:rPr>
          <w:sz w:val="13"/>
        </w:rPr>
      </w:pPr>
      <w:r>
        <w:rPr>
          <w:color w:val="231F20"/>
          <w:sz w:val="13"/>
        </w:rPr>
        <w:t xml:space="preserve">See, </w:t>
      </w:r>
      <w:proofErr w:type="spellStart"/>
      <w:r>
        <w:rPr>
          <w:color w:val="231F20"/>
          <w:sz w:val="13"/>
        </w:rPr>
        <w:t>eg</w:t>
      </w:r>
      <w:proofErr w:type="spellEnd"/>
      <w:r>
        <w:rPr>
          <w:color w:val="231F20"/>
          <w:sz w:val="13"/>
        </w:rPr>
        <w:t xml:space="preserve">, Holly Taylor-Dunn, Erica </w:t>
      </w:r>
      <w:proofErr w:type="gramStart"/>
      <w:r>
        <w:rPr>
          <w:color w:val="231F20"/>
          <w:sz w:val="13"/>
        </w:rPr>
        <w:t>Bowen</w:t>
      </w:r>
      <w:proofErr w:type="gramEnd"/>
      <w:r>
        <w:rPr>
          <w:color w:val="231F20"/>
          <w:sz w:val="13"/>
        </w:rPr>
        <w:t xml:space="preserve"> and Elizabeth A Gilchrist, </w:t>
      </w:r>
      <w:r>
        <w:rPr>
          <w:color w:val="231F20"/>
          <w:spacing w:val="2"/>
          <w:sz w:val="13"/>
        </w:rPr>
        <w:t xml:space="preserve">‘Reporting Harassment </w:t>
      </w:r>
      <w:r>
        <w:rPr>
          <w:color w:val="231F20"/>
          <w:sz w:val="13"/>
        </w:rPr>
        <w:t>and Stalking to the Police: A Qualitative</w:t>
      </w:r>
      <w:r>
        <w:rPr>
          <w:color w:val="231F20"/>
          <w:spacing w:val="12"/>
          <w:sz w:val="13"/>
        </w:rPr>
        <w:t xml:space="preserve"> </w:t>
      </w:r>
      <w:r>
        <w:rPr>
          <w:color w:val="231F20"/>
          <w:sz w:val="13"/>
        </w:rPr>
        <w:t>Study</w:t>
      </w:r>
      <w:r>
        <w:rPr>
          <w:color w:val="231F20"/>
          <w:spacing w:val="12"/>
          <w:sz w:val="13"/>
        </w:rPr>
        <w:t xml:space="preserve"> </w:t>
      </w:r>
      <w:r>
        <w:rPr>
          <w:color w:val="231F20"/>
          <w:sz w:val="13"/>
        </w:rPr>
        <w:t>of</w:t>
      </w:r>
      <w:r>
        <w:rPr>
          <w:color w:val="231F20"/>
          <w:spacing w:val="12"/>
          <w:sz w:val="13"/>
        </w:rPr>
        <w:t xml:space="preserve"> </w:t>
      </w:r>
      <w:r>
        <w:rPr>
          <w:color w:val="231F20"/>
          <w:sz w:val="13"/>
        </w:rPr>
        <w:t>Victims’</w:t>
      </w:r>
      <w:r>
        <w:rPr>
          <w:color w:val="231F20"/>
          <w:spacing w:val="12"/>
          <w:sz w:val="13"/>
        </w:rPr>
        <w:t xml:space="preserve"> </w:t>
      </w:r>
      <w:r>
        <w:rPr>
          <w:color w:val="231F20"/>
          <w:spacing w:val="2"/>
          <w:sz w:val="13"/>
        </w:rPr>
        <w:t>Experiences’</w:t>
      </w:r>
      <w:r>
        <w:rPr>
          <w:color w:val="231F20"/>
          <w:spacing w:val="12"/>
          <w:sz w:val="13"/>
        </w:rPr>
        <w:t xml:space="preserve"> </w:t>
      </w:r>
      <w:r>
        <w:rPr>
          <w:color w:val="231F20"/>
          <w:sz w:val="13"/>
        </w:rPr>
        <w:t>(2021)</w:t>
      </w:r>
      <w:r>
        <w:rPr>
          <w:color w:val="231F20"/>
          <w:spacing w:val="12"/>
          <w:sz w:val="13"/>
        </w:rPr>
        <w:t xml:space="preserve"> </w:t>
      </w:r>
      <w:r>
        <w:rPr>
          <w:color w:val="231F20"/>
          <w:sz w:val="13"/>
        </w:rPr>
        <w:t>36(11–12)</w:t>
      </w:r>
      <w:r>
        <w:rPr>
          <w:color w:val="231F20"/>
          <w:spacing w:val="12"/>
          <w:sz w:val="13"/>
        </w:rPr>
        <w:t xml:space="preserve"> </w:t>
      </w:r>
      <w:r>
        <w:rPr>
          <w:i/>
          <w:color w:val="231F20"/>
          <w:sz w:val="13"/>
        </w:rPr>
        <w:t>Journal</w:t>
      </w:r>
      <w:r>
        <w:rPr>
          <w:i/>
          <w:color w:val="231F20"/>
          <w:spacing w:val="12"/>
          <w:sz w:val="13"/>
        </w:rPr>
        <w:t xml:space="preserve"> </w:t>
      </w:r>
      <w:r>
        <w:rPr>
          <w:i/>
          <w:color w:val="231F20"/>
          <w:sz w:val="13"/>
        </w:rPr>
        <w:t>of</w:t>
      </w:r>
      <w:r>
        <w:rPr>
          <w:i/>
          <w:color w:val="231F20"/>
          <w:spacing w:val="11"/>
          <w:sz w:val="13"/>
        </w:rPr>
        <w:t xml:space="preserve"> </w:t>
      </w:r>
      <w:r>
        <w:rPr>
          <w:i/>
          <w:color w:val="231F20"/>
          <w:sz w:val="13"/>
        </w:rPr>
        <w:t>Interpersonal</w:t>
      </w:r>
      <w:r>
        <w:rPr>
          <w:i/>
          <w:color w:val="231F20"/>
          <w:spacing w:val="12"/>
          <w:sz w:val="13"/>
        </w:rPr>
        <w:t xml:space="preserve"> </w:t>
      </w:r>
      <w:r>
        <w:rPr>
          <w:i/>
          <w:color w:val="231F20"/>
          <w:sz w:val="13"/>
        </w:rPr>
        <w:t>Violence</w:t>
      </w:r>
      <w:r>
        <w:rPr>
          <w:i/>
          <w:color w:val="231F20"/>
          <w:spacing w:val="12"/>
          <w:sz w:val="13"/>
        </w:rPr>
        <w:t xml:space="preserve"> </w:t>
      </w:r>
      <w:r>
        <w:rPr>
          <w:color w:val="231F20"/>
          <w:sz w:val="13"/>
        </w:rPr>
        <w:t>10.1177/0886260518811423:1–29.</w:t>
      </w:r>
    </w:p>
    <w:p w14:paraId="632D4B72" w14:textId="77777777" w:rsidR="00894070" w:rsidRDefault="009B7AFD">
      <w:pPr>
        <w:pStyle w:val="ListParagraph"/>
        <w:numPr>
          <w:ilvl w:val="0"/>
          <w:numId w:val="176"/>
        </w:numPr>
        <w:tabs>
          <w:tab w:val="left" w:pos="1801"/>
          <w:tab w:val="left" w:pos="1802"/>
        </w:tabs>
        <w:spacing w:line="152"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4"/>
          <w:sz w:val="13"/>
        </w:rPr>
        <w:t xml:space="preserve"> </w:t>
      </w:r>
      <w:r>
        <w:rPr>
          <w:color w:val="231F20"/>
          <w:sz w:val="13"/>
        </w:rPr>
        <w:t>Commissioner).</w:t>
      </w:r>
    </w:p>
    <w:p w14:paraId="5BB450A5" w14:textId="77777777" w:rsidR="00894070" w:rsidRDefault="009B7AFD">
      <w:pPr>
        <w:pStyle w:val="ListParagraph"/>
        <w:numPr>
          <w:ilvl w:val="0"/>
          <w:numId w:val="176"/>
        </w:numPr>
        <w:tabs>
          <w:tab w:val="left" w:pos="1801"/>
          <w:tab w:val="left" w:pos="1802"/>
        </w:tabs>
        <w:spacing w:before="4" w:line="213" w:lineRule="auto"/>
        <w:ind w:right="1212"/>
        <w:rPr>
          <w:sz w:val="13"/>
        </w:rPr>
      </w:pPr>
      <w:r>
        <w:rPr>
          <w:color w:val="231F20"/>
          <w:sz w:val="13"/>
        </w:rPr>
        <w:t xml:space="preserve">There has </w:t>
      </w:r>
      <w:r>
        <w:rPr>
          <w:color w:val="231F20"/>
          <w:spacing w:val="2"/>
          <w:sz w:val="13"/>
        </w:rPr>
        <w:t xml:space="preserve">been </w:t>
      </w:r>
      <w:r>
        <w:rPr>
          <w:color w:val="231F20"/>
          <w:sz w:val="13"/>
        </w:rPr>
        <w:t xml:space="preserve">some </w:t>
      </w:r>
      <w:r>
        <w:rPr>
          <w:color w:val="231F20"/>
          <w:spacing w:val="2"/>
          <w:sz w:val="13"/>
        </w:rPr>
        <w:t xml:space="preserve">indication </w:t>
      </w:r>
      <w:r>
        <w:rPr>
          <w:color w:val="231F20"/>
          <w:sz w:val="13"/>
        </w:rPr>
        <w:t xml:space="preserve">that the response needs to </w:t>
      </w:r>
      <w:proofErr w:type="spellStart"/>
      <w:r>
        <w:rPr>
          <w:color w:val="231F20"/>
          <w:sz w:val="13"/>
        </w:rPr>
        <w:t>emphasise</w:t>
      </w:r>
      <w:proofErr w:type="spellEnd"/>
      <w:r>
        <w:rPr>
          <w:color w:val="231F20"/>
          <w:sz w:val="13"/>
        </w:rPr>
        <w:t xml:space="preserve"> more the </w:t>
      </w:r>
      <w:proofErr w:type="spellStart"/>
      <w:r>
        <w:rPr>
          <w:color w:val="231F20"/>
          <w:sz w:val="13"/>
        </w:rPr>
        <w:t>behaviour</w:t>
      </w:r>
      <w:proofErr w:type="spellEnd"/>
      <w:r>
        <w:rPr>
          <w:color w:val="231F20"/>
          <w:sz w:val="13"/>
        </w:rPr>
        <w:t xml:space="preserve"> of the person who </w:t>
      </w:r>
      <w:r>
        <w:rPr>
          <w:color w:val="231F20"/>
          <w:spacing w:val="2"/>
          <w:sz w:val="13"/>
        </w:rPr>
        <w:t xml:space="preserve">stalks. </w:t>
      </w:r>
      <w:r>
        <w:rPr>
          <w:color w:val="231F20"/>
          <w:sz w:val="13"/>
        </w:rPr>
        <w:t xml:space="preserve">In </w:t>
      </w:r>
      <w:proofErr w:type="gramStart"/>
      <w:r>
        <w:rPr>
          <w:color w:val="231F20"/>
          <w:sz w:val="13"/>
        </w:rPr>
        <w:t xml:space="preserve">2003,   </w:t>
      </w:r>
      <w:proofErr w:type="gramEnd"/>
      <w:r>
        <w:rPr>
          <w:color w:val="231F20"/>
          <w:sz w:val="13"/>
        </w:rPr>
        <w:t xml:space="preserve">   for example, the original </w:t>
      </w:r>
      <w:r>
        <w:rPr>
          <w:color w:val="231F20"/>
          <w:spacing w:val="2"/>
          <w:sz w:val="13"/>
        </w:rPr>
        <w:t xml:space="preserve">stalking </w:t>
      </w:r>
      <w:r>
        <w:rPr>
          <w:color w:val="231F20"/>
          <w:sz w:val="13"/>
        </w:rPr>
        <w:t xml:space="preserve">offence was </w:t>
      </w:r>
      <w:r>
        <w:rPr>
          <w:color w:val="231F20"/>
          <w:spacing w:val="2"/>
          <w:sz w:val="13"/>
        </w:rPr>
        <w:t xml:space="preserve">amended </w:t>
      </w:r>
      <w:r>
        <w:rPr>
          <w:color w:val="231F20"/>
          <w:sz w:val="13"/>
        </w:rPr>
        <w:t xml:space="preserve">to remove the requirement that the victim experience a negative impact from the </w:t>
      </w:r>
      <w:r>
        <w:rPr>
          <w:color w:val="231F20"/>
          <w:spacing w:val="2"/>
          <w:sz w:val="13"/>
        </w:rPr>
        <w:t xml:space="preserve">stalking—all </w:t>
      </w:r>
      <w:r>
        <w:rPr>
          <w:color w:val="231F20"/>
          <w:sz w:val="13"/>
        </w:rPr>
        <w:t xml:space="preserve">that mattered was that the person </w:t>
      </w:r>
      <w:r>
        <w:rPr>
          <w:color w:val="231F20"/>
          <w:spacing w:val="2"/>
          <w:sz w:val="13"/>
        </w:rPr>
        <w:t xml:space="preserve">stalking </w:t>
      </w:r>
      <w:r>
        <w:rPr>
          <w:color w:val="231F20"/>
          <w:sz w:val="13"/>
        </w:rPr>
        <w:t xml:space="preserve">had engaged in the </w:t>
      </w:r>
      <w:proofErr w:type="spellStart"/>
      <w:r>
        <w:rPr>
          <w:color w:val="231F20"/>
          <w:sz w:val="13"/>
        </w:rPr>
        <w:t>behaviour</w:t>
      </w:r>
      <w:proofErr w:type="spellEnd"/>
      <w:r>
        <w:rPr>
          <w:color w:val="231F20"/>
          <w:sz w:val="13"/>
        </w:rPr>
        <w:t xml:space="preserve"> and had the required intent. The government said at the time, ‘The offence of </w:t>
      </w:r>
      <w:r>
        <w:rPr>
          <w:color w:val="231F20"/>
          <w:spacing w:val="2"/>
          <w:sz w:val="13"/>
        </w:rPr>
        <w:t xml:space="preserve">stalking </w:t>
      </w:r>
      <w:r>
        <w:rPr>
          <w:color w:val="231F20"/>
          <w:sz w:val="13"/>
        </w:rPr>
        <w:t xml:space="preserve">should focus on the </w:t>
      </w:r>
      <w:proofErr w:type="spellStart"/>
      <w:r>
        <w:rPr>
          <w:color w:val="231F20"/>
          <w:sz w:val="13"/>
        </w:rPr>
        <w:t>behaviour</w:t>
      </w:r>
      <w:proofErr w:type="spellEnd"/>
      <w:r>
        <w:rPr>
          <w:color w:val="231F20"/>
          <w:sz w:val="13"/>
        </w:rPr>
        <w:t xml:space="preserve"> of the offender rather than the response of   the</w:t>
      </w:r>
      <w:r>
        <w:rPr>
          <w:color w:val="231F20"/>
          <w:spacing w:val="4"/>
          <w:sz w:val="13"/>
        </w:rPr>
        <w:t xml:space="preserve"> </w:t>
      </w:r>
      <w:r>
        <w:rPr>
          <w:color w:val="231F20"/>
          <w:sz w:val="13"/>
        </w:rPr>
        <w:t>victim’:</w:t>
      </w:r>
      <w:r>
        <w:rPr>
          <w:color w:val="231F20"/>
          <w:spacing w:val="4"/>
          <w:sz w:val="13"/>
        </w:rPr>
        <w:t xml:space="preserve"> </w:t>
      </w:r>
      <w:r>
        <w:rPr>
          <w:color w:val="231F20"/>
          <w:sz w:val="13"/>
        </w:rPr>
        <w:t>Victoria,</w:t>
      </w:r>
      <w:r>
        <w:rPr>
          <w:color w:val="231F20"/>
          <w:spacing w:val="4"/>
          <w:sz w:val="13"/>
        </w:rPr>
        <w:t xml:space="preserve"> </w:t>
      </w:r>
      <w:r>
        <w:rPr>
          <w:i/>
          <w:color w:val="231F20"/>
          <w:sz w:val="13"/>
        </w:rPr>
        <w:t>Parliamentary</w:t>
      </w:r>
      <w:r>
        <w:rPr>
          <w:i/>
          <w:color w:val="231F20"/>
          <w:spacing w:val="4"/>
          <w:sz w:val="13"/>
        </w:rPr>
        <w:t xml:space="preserve"> </w:t>
      </w:r>
      <w:r>
        <w:rPr>
          <w:i/>
          <w:color w:val="231F20"/>
          <w:sz w:val="13"/>
        </w:rPr>
        <w:t>Debates</w:t>
      </w:r>
      <w:r>
        <w:rPr>
          <w:color w:val="231F20"/>
          <w:sz w:val="13"/>
        </w:rPr>
        <w:t>,</w:t>
      </w:r>
      <w:r>
        <w:rPr>
          <w:color w:val="231F20"/>
          <w:spacing w:val="4"/>
          <w:sz w:val="13"/>
        </w:rPr>
        <w:t xml:space="preserve"> </w:t>
      </w:r>
      <w:r>
        <w:rPr>
          <w:color w:val="231F20"/>
          <w:sz w:val="13"/>
        </w:rPr>
        <w:t>Legislative</w:t>
      </w:r>
      <w:r>
        <w:rPr>
          <w:color w:val="231F20"/>
          <w:spacing w:val="4"/>
          <w:sz w:val="13"/>
        </w:rPr>
        <w:t xml:space="preserve"> </w:t>
      </w:r>
      <w:r>
        <w:rPr>
          <w:color w:val="231F20"/>
          <w:sz w:val="13"/>
        </w:rPr>
        <w:t>Assembly,</w:t>
      </w:r>
      <w:r>
        <w:rPr>
          <w:color w:val="231F20"/>
          <w:spacing w:val="4"/>
          <w:sz w:val="13"/>
        </w:rPr>
        <w:t xml:space="preserve"> </w:t>
      </w:r>
      <w:r>
        <w:rPr>
          <w:color w:val="231F20"/>
          <w:sz w:val="13"/>
        </w:rPr>
        <w:t>27</w:t>
      </w:r>
      <w:r>
        <w:rPr>
          <w:color w:val="231F20"/>
          <w:spacing w:val="4"/>
          <w:sz w:val="13"/>
        </w:rPr>
        <w:t xml:space="preserve"> </w:t>
      </w:r>
      <w:r>
        <w:rPr>
          <w:color w:val="231F20"/>
          <w:sz w:val="13"/>
        </w:rPr>
        <w:t>March</w:t>
      </w:r>
      <w:r>
        <w:rPr>
          <w:color w:val="231F20"/>
          <w:spacing w:val="4"/>
          <w:sz w:val="13"/>
        </w:rPr>
        <w:t xml:space="preserve"> </w:t>
      </w:r>
      <w:r>
        <w:rPr>
          <w:color w:val="231F20"/>
          <w:sz w:val="13"/>
        </w:rPr>
        <w:t>2003,</w:t>
      </w:r>
      <w:r>
        <w:rPr>
          <w:color w:val="231F20"/>
          <w:spacing w:val="4"/>
          <w:sz w:val="13"/>
        </w:rPr>
        <w:t xml:space="preserve"> </w:t>
      </w:r>
      <w:r>
        <w:rPr>
          <w:color w:val="231F20"/>
          <w:sz w:val="13"/>
        </w:rPr>
        <w:t>693</w:t>
      </w:r>
      <w:r>
        <w:rPr>
          <w:color w:val="231F20"/>
          <w:spacing w:val="4"/>
          <w:sz w:val="13"/>
        </w:rPr>
        <w:t xml:space="preserve"> </w:t>
      </w:r>
      <w:r>
        <w:rPr>
          <w:color w:val="231F20"/>
          <w:sz w:val="13"/>
        </w:rPr>
        <w:t>(Rob</w:t>
      </w:r>
      <w:r>
        <w:rPr>
          <w:color w:val="231F20"/>
          <w:spacing w:val="4"/>
          <w:sz w:val="13"/>
        </w:rPr>
        <w:t xml:space="preserve"> </w:t>
      </w:r>
      <w:r>
        <w:rPr>
          <w:color w:val="231F20"/>
          <w:spacing w:val="2"/>
          <w:sz w:val="13"/>
        </w:rPr>
        <w:t>Hulls,</w:t>
      </w:r>
      <w:r>
        <w:rPr>
          <w:color w:val="231F20"/>
          <w:spacing w:val="4"/>
          <w:sz w:val="13"/>
        </w:rPr>
        <w:t xml:space="preserve"> </w:t>
      </w:r>
      <w:r>
        <w:rPr>
          <w:color w:val="231F20"/>
          <w:sz w:val="13"/>
        </w:rPr>
        <w:t>Attorney-General).</w:t>
      </w:r>
    </w:p>
    <w:p w14:paraId="2F86A9ED" w14:textId="77777777" w:rsidR="00894070" w:rsidRDefault="009F6793">
      <w:pPr>
        <w:pStyle w:val="ListParagraph"/>
        <w:numPr>
          <w:ilvl w:val="0"/>
          <w:numId w:val="176"/>
        </w:numPr>
        <w:tabs>
          <w:tab w:val="left" w:pos="1801"/>
          <w:tab w:val="left" w:pos="1802"/>
        </w:tabs>
        <w:spacing w:line="213" w:lineRule="auto"/>
        <w:ind w:right="1377"/>
        <w:rPr>
          <w:sz w:val="13"/>
        </w:rPr>
      </w:pPr>
      <w:r>
        <w:pict w14:anchorId="2BC9EC4B">
          <v:shape id="_x0000_s1697" type="#_x0000_t202" style="position:absolute;left:0;text-align:left;margin-left:552.2pt;margin-top:11.4pt;width:6.75pt;height:14.1pt;z-index:251478016;mso-position-horizontal-relative:page" filled="f" stroked="f">
            <v:textbox inset="0,0,0,0">
              <w:txbxContent>
                <w:p w14:paraId="42322743" w14:textId="77777777" w:rsidR="00894070" w:rsidRDefault="009B7AFD">
                  <w:pPr>
                    <w:spacing w:line="282" w:lineRule="exact"/>
                    <w:rPr>
                      <w:b/>
                      <w:sz w:val="24"/>
                    </w:rPr>
                  </w:pPr>
                  <w:r>
                    <w:rPr>
                      <w:b/>
                      <w:color w:val="EA5B50"/>
                      <w:sz w:val="24"/>
                    </w:rPr>
                    <w:t>7</w:t>
                  </w:r>
                </w:p>
              </w:txbxContent>
            </v:textbox>
            <w10:wrap anchorx="page"/>
          </v:shape>
        </w:pict>
      </w:r>
      <w:r w:rsidR="009B7AFD">
        <w:rPr>
          <w:color w:val="231F20"/>
          <w:sz w:val="13"/>
        </w:rPr>
        <w:t xml:space="preserve">See, </w:t>
      </w:r>
      <w:proofErr w:type="spellStart"/>
      <w:r w:rsidR="009B7AFD">
        <w:rPr>
          <w:color w:val="231F20"/>
          <w:sz w:val="13"/>
        </w:rPr>
        <w:t>eg</w:t>
      </w:r>
      <w:proofErr w:type="spellEnd"/>
      <w:r w:rsidR="009B7AFD">
        <w:rPr>
          <w:color w:val="231F20"/>
          <w:sz w:val="13"/>
        </w:rPr>
        <w:t xml:space="preserve">, Tim </w:t>
      </w:r>
      <w:proofErr w:type="spellStart"/>
      <w:r w:rsidR="009B7AFD">
        <w:rPr>
          <w:color w:val="231F20"/>
          <w:sz w:val="13"/>
        </w:rPr>
        <w:t>Boehnlein</w:t>
      </w:r>
      <w:proofErr w:type="spellEnd"/>
      <w:r w:rsidR="009B7AFD">
        <w:rPr>
          <w:color w:val="231F20"/>
          <w:sz w:val="13"/>
        </w:rPr>
        <w:t xml:space="preserve"> et </w:t>
      </w:r>
      <w:r w:rsidR="009B7AFD">
        <w:rPr>
          <w:color w:val="231F20"/>
          <w:spacing w:val="2"/>
          <w:sz w:val="13"/>
        </w:rPr>
        <w:t xml:space="preserve">al, </w:t>
      </w:r>
      <w:r w:rsidR="009B7AFD">
        <w:rPr>
          <w:color w:val="231F20"/>
          <w:sz w:val="13"/>
        </w:rPr>
        <w:t xml:space="preserve">‘Responding to Stalking Victims: Perceptions, </w:t>
      </w:r>
      <w:r w:rsidR="009B7AFD">
        <w:rPr>
          <w:color w:val="231F20"/>
          <w:spacing w:val="2"/>
          <w:sz w:val="13"/>
        </w:rPr>
        <w:t xml:space="preserve">Barriers, </w:t>
      </w:r>
      <w:r w:rsidR="009B7AFD">
        <w:rPr>
          <w:color w:val="231F20"/>
          <w:sz w:val="13"/>
        </w:rPr>
        <w:t xml:space="preserve">and Directions for Future Research’ (2020) 35(7) </w:t>
      </w:r>
      <w:r w:rsidR="009B7AFD">
        <w:rPr>
          <w:i/>
          <w:color w:val="231F20"/>
          <w:sz w:val="13"/>
        </w:rPr>
        <w:t xml:space="preserve">Journal of Family Violence </w:t>
      </w:r>
      <w:r w:rsidR="009B7AFD">
        <w:rPr>
          <w:color w:val="231F20"/>
          <w:spacing w:val="2"/>
          <w:sz w:val="13"/>
        </w:rPr>
        <w:t>755,</w:t>
      </w:r>
      <w:r w:rsidR="009B7AFD">
        <w:rPr>
          <w:color w:val="231F20"/>
          <w:sz w:val="13"/>
        </w:rPr>
        <w:t xml:space="preserve"> 762.</w:t>
      </w:r>
    </w:p>
    <w:p w14:paraId="5C31B6B9" w14:textId="77777777" w:rsidR="00894070" w:rsidRDefault="009B7AFD">
      <w:pPr>
        <w:pStyle w:val="ListParagraph"/>
        <w:numPr>
          <w:ilvl w:val="0"/>
          <w:numId w:val="176"/>
        </w:numPr>
        <w:tabs>
          <w:tab w:val="left" w:pos="1801"/>
          <w:tab w:val="left" w:pos="1802"/>
        </w:tabs>
        <w:spacing w:line="163" w:lineRule="exact"/>
        <w:rPr>
          <w:sz w:val="13"/>
        </w:rPr>
      </w:pPr>
      <w:r>
        <w:rPr>
          <w:color w:val="231F20"/>
          <w:sz w:val="13"/>
        </w:rPr>
        <w:t xml:space="preserve">Legal </w:t>
      </w:r>
      <w:r>
        <w:rPr>
          <w:color w:val="231F20"/>
          <w:spacing w:val="2"/>
          <w:sz w:val="13"/>
        </w:rPr>
        <w:t xml:space="preserve">sanctions </w:t>
      </w:r>
      <w:r>
        <w:rPr>
          <w:color w:val="231F20"/>
          <w:sz w:val="13"/>
        </w:rPr>
        <w:t xml:space="preserve">may not be enough to stop the </w:t>
      </w:r>
      <w:r>
        <w:rPr>
          <w:color w:val="231F20"/>
          <w:spacing w:val="2"/>
          <w:sz w:val="13"/>
        </w:rPr>
        <w:t xml:space="preserve">stalking. </w:t>
      </w:r>
      <w:r>
        <w:rPr>
          <w:color w:val="231F20"/>
          <w:sz w:val="13"/>
        </w:rPr>
        <w:t>See Chapter 8.</w:t>
      </w:r>
    </w:p>
    <w:p w14:paraId="7A3BB7F0" w14:textId="77777777" w:rsidR="00894070" w:rsidRDefault="00894070">
      <w:pPr>
        <w:spacing w:line="163" w:lineRule="exact"/>
        <w:rPr>
          <w:sz w:val="13"/>
        </w:rPr>
        <w:sectPr w:rsidR="00894070">
          <w:pgSz w:w="11910" w:h="16840"/>
          <w:pgMar w:top="840" w:right="420" w:bottom="280" w:left="580" w:header="0" w:footer="0" w:gutter="0"/>
          <w:cols w:space="720"/>
        </w:sectPr>
      </w:pPr>
    </w:p>
    <w:p w14:paraId="600C5F22" w14:textId="77777777" w:rsidR="00894070" w:rsidRDefault="00894070">
      <w:pPr>
        <w:pStyle w:val="BodyText"/>
      </w:pPr>
    </w:p>
    <w:p w14:paraId="55AA7963" w14:textId="77777777" w:rsidR="00894070" w:rsidRDefault="00894070">
      <w:pPr>
        <w:pStyle w:val="BodyText"/>
      </w:pPr>
    </w:p>
    <w:p w14:paraId="07FFA33C" w14:textId="77777777" w:rsidR="00894070" w:rsidRDefault="00894070">
      <w:pPr>
        <w:pStyle w:val="BodyText"/>
      </w:pPr>
    </w:p>
    <w:p w14:paraId="7525E738" w14:textId="77777777" w:rsidR="00894070" w:rsidRDefault="00894070">
      <w:pPr>
        <w:pStyle w:val="BodyText"/>
        <w:spacing w:before="11"/>
        <w:rPr>
          <w:sz w:val="18"/>
        </w:rPr>
      </w:pPr>
    </w:p>
    <w:p w14:paraId="4A2458E9" w14:textId="77777777" w:rsidR="00894070" w:rsidRDefault="009B7AFD">
      <w:pPr>
        <w:pStyle w:val="ListParagraph"/>
        <w:numPr>
          <w:ilvl w:val="1"/>
          <w:numId w:val="177"/>
        </w:numPr>
        <w:tabs>
          <w:tab w:val="left" w:pos="1801"/>
          <w:tab w:val="left" w:pos="1802"/>
        </w:tabs>
        <w:spacing w:line="206" w:lineRule="auto"/>
        <w:ind w:right="1176"/>
        <w:rPr>
          <w:sz w:val="20"/>
        </w:rPr>
      </w:pPr>
      <w:bookmarkStart w:id="25" w:name="_bookmark11"/>
      <w:bookmarkEnd w:id="25"/>
      <w:r>
        <w:rPr>
          <w:color w:val="231F20"/>
          <w:spacing w:val="-4"/>
          <w:sz w:val="20"/>
        </w:rPr>
        <w:t xml:space="preserve">Family </w:t>
      </w:r>
      <w:r>
        <w:rPr>
          <w:color w:val="231F20"/>
          <w:sz w:val="20"/>
        </w:rPr>
        <w:t xml:space="preserve">violence and sexual violence </w:t>
      </w:r>
      <w:r>
        <w:rPr>
          <w:color w:val="231F20"/>
          <w:spacing w:val="-4"/>
          <w:sz w:val="20"/>
        </w:rPr>
        <w:t xml:space="preserve">have </w:t>
      </w:r>
      <w:r>
        <w:rPr>
          <w:color w:val="231F20"/>
          <w:spacing w:val="-3"/>
          <w:sz w:val="20"/>
        </w:rPr>
        <w:t xml:space="preserve">different </w:t>
      </w:r>
      <w:r>
        <w:rPr>
          <w:color w:val="231F20"/>
          <w:sz w:val="20"/>
        </w:rPr>
        <w:t>dynamics to non-family violence stalking.</w:t>
      </w:r>
      <w:r>
        <w:rPr>
          <w:color w:val="231F20"/>
          <w:spacing w:val="-9"/>
          <w:sz w:val="20"/>
        </w:rPr>
        <w:t xml:space="preserve"> </w:t>
      </w:r>
      <w:r>
        <w:rPr>
          <w:color w:val="231F20"/>
          <w:spacing w:val="-5"/>
          <w:sz w:val="20"/>
        </w:rPr>
        <w:t>However,</w:t>
      </w:r>
      <w:r>
        <w:rPr>
          <w:color w:val="231F20"/>
          <w:spacing w:val="-9"/>
          <w:sz w:val="20"/>
        </w:rPr>
        <w:t xml:space="preserve"> </w:t>
      </w:r>
      <w:r>
        <w:rPr>
          <w:color w:val="231F20"/>
          <w:sz w:val="20"/>
        </w:rPr>
        <w:t>some</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pacing w:val="-4"/>
          <w:sz w:val="20"/>
        </w:rPr>
        <w:t>ways</w:t>
      </w:r>
      <w:r>
        <w:rPr>
          <w:color w:val="231F20"/>
          <w:spacing w:val="-9"/>
          <w:sz w:val="20"/>
        </w:rPr>
        <w:t xml:space="preserve"> </w:t>
      </w:r>
      <w:r>
        <w:rPr>
          <w:color w:val="231F20"/>
          <w:spacing w:val="-3"/>
          <w:sz w:val="20"/>
        </w:rPr>
        <w:t>we</w:t>
      </w:r>
      <w:r>
        <w:rPr>
          <w:color w:val="231F20"/>
          <w:spacing w:val="-9"/>
          <w:sz w:val="20"/>
        </w:rPr>
        <w:t xml:space="preserve"> </w:t>
      </w:r>
      <w:r>
        <w:rPr>
          <w:color w:val="231F20"/>
          <w:sz w:val="20"/>
        </w:rPr>
        <w:t>respond</w:t>
      </w:r>
      <w:r>
        <w:rPr>
          <w:color w:val="231F20"/>
          <w:spacing w:val="-9"/>
          <w:sz w:val="20"/>
        </w:rPr>
        <w:t xml:space="preserve"> </w:t>
      </w:r>
      <w:r>
        <w:rPr>
          <w:color w:val="231F20"/>
          <w:sz w:val="20"/>
        </w:rPr>
        <w:t>to</w:t>
      </w:r>
      <w:r>
        <w:rPr>
          <w:color w:val="231F20"/>
          <w:spacing w:val="-8"/>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spacing w:val="-9"/>
          <w:sz w:val="20"/>
        </w:rPr>
        <w:t xml:space="preserve"> </w:t>
      </w:r>
      <w:r>
        <w:rPr>
          <w:color w:val="231F20"/>
          <w:sz w:val="20"/>
        </w:rPr>
        <w:t>and</w:t>
      </w:r>
      <w:r>
        <w:rPr>
          <w:color w:val="231F20"/>
          <w:spacing w:val="-9"/>
          <w:sz w:val="20"/>
        </w:rPr>
        <w:t xml:space="preserve"> </w:t>
      </w:r>
      <w:r>
        <w:rPr>
          <w:color w:val="231F20"/>
          <w:sz w:val="20"/>
        </w:rPr>
        <w:t>sexual</w:t>
      </w:r>
      <w:r>
        <w:rPr>
          <w:color w:val="231F20"/>
          <w:spacing w:val="-9"/>
          <w:sz w:val="20"/>
        </w:rPr>
        <w:t xml:space="preserve"> </w:t>
      </w:r>
      <w:r>
        <w:rPr>
          <w:color w:val="231F20"/>
          <w:sz w:val="20"/>
        </w:rPr>
        <w:t>violence could also hold accountable people who stalk,</w:t>
      </w:r>
      <w:r>
        <w:rPr>
          <w:color w:val="231F20"/>
          <w:spacing w:val="-36"/>
          <w:sz w:val="20"/>
        </w:rPr>
        <w:t xml:space="preserve"> </w:t>
      </w:r>
      <w:r>
        <w:rPr>
          <w:color w:val="231F20"/>
          <w:sz w:val="20"/>
        </w:rPr>
        <w:t>including:</w:t>
      </w:r>
    </w:p>
    <w:p w14:paraId="6F73CF5D" w14:textId="77777777" w:rsidR="00894070" w:rsidRDefault="009B7AFD">
      <w:pPr>
        <w:pStyle w:val="ListParagraph"/>
        <w:numPr>
          <w:ilvl w:val="2"/>
          <w:numId w:val="177"/>
        </w:numPr>
        <w:tabs>
          <w:tab w:val="left" w:pos="2141"/>
          <w:tab w:val="left" w:pos="2142"/>
        </w:tabs>
        <w:spacing w:before="92"/>
        <w:ind w:hanging="340"/>
        <w:rPr>
          <w:sz w:val="20"/>
        </w:rPr>
      </w:pPr>
      <w:r>
        <w:rPr>
          <w:color w:val="231F20"/>
          <w:spacing w:val="-3"/>
          <w:sz w:val="20"/>
        </w:rPr>
        <w:t xml:space="preserve">improving </w:t>
      </w:r>
      <w:r>
        <w:rPr>
          <w:color w:val="231F20"/>
          <w:sz w:val="20"/>
        </w:rPr>
        <w:t>victim</w:t>
      </w:r>
      <w:r>
        <w:rPr>
          <w:color w:val="231F20"/>
          <w:spacing w:val="-6"/>
          <w:sz w:val="20"/>
        </w:rPr>
        <w:t xml:space="preserve"> </w:t>
      </w:r>
      <w:r>
        <w:rPr>
          <w:color w:val="231F20"/>
          <w:sz w:val="20"/>
        </w:rPr>
        <w:t>safety</w:t>
      </w:r>
    </w:p>
    <w:p w14:paraId="48E71221"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 xml:space="preserve">keeping the person </w:t>
      </w:r>
      <w:r>
        <w:rPr>
          <w:color w:val="231F20"/>
          <w:spacing w:val="-3"/>
          <w:sz w:val="20"/>
        </w:rPr>
        <w:t xml:space="preserve">responsible </w:t>
      </w:r>
      <w:r>
        <w:rPr>
          <w:color w:val="231F20"/>
          <w:sz w:val="20"/>
        </w:rPr>
        <w:t>in</w:t>
      </w:r>
      <w:r>
        <w:rPr>
          <w:color w:val="231F20"/>
          <w:spacing w:val="-18"/>
          <w:sz w:val="20"/>
        </w:rPr>
        <w:t xml:space="preserve"> </w:t>
      </w:r>
      <w:r>
        <w:rPr>
          <w:color w:val="231F20"/>
          <w:sz w:val="20"/>
        </w:rPr>
        <w:t>view</w:t>
      </w:r>
    </w:p>
    <w:p w14:paraId="63AF52D4" w14:textId="77777777" w:rsidR="00894070" w:rsidRDefault="009B7AFD">
      <w:pPr>
        <w:pStyle w:val="ListParagraph"/>
        <w:numPr>
          <w:ilvl w:val="2"/>
          <w:numId w:val="177"/>
        </w:numPr>
        <w:tabs>
          <w:tab w:val="left" w:pos="2141"/>
          <w:tab w:val="left" w:pos="2142"/>
        </w:tabs>
        <w:spacing w:before="48" w:line="259" w:lineRule="exact"/>
        <w:ind w:hanging="340"/>
        <w:rPr>
          <w:sz w:val="20"/>
        </w:rPr>
      </w:pPr>
      <w:r>
        <w:rPr>
          <w:color w:val="231F20"/>
          <w:sz w:val="20"/>
        </w:rPr>
        <w:t>using</w:t>
      </w:r>
      <w:r>
        <w:rPr>
          <w:color w:val="231F20"/>
          <w:spacing w:val="-6"/>
          <w:sz w:val="20"/>
        </w:rPr>
        <w:t xml:space="preserve"> </w:t>
      </w:r>
      <w:r>
        <w:rPr>
          <w:color w:val="231F20"/>
          <w:sz w:val="20"/>
        </w:rPr>
        <w:t>the</w:t>
      </w:r>
      <w:r>
        <w:rPr>
          <w:color w:val="231F20"/>
          <w:spacing w:val="-5"/>
          <w:sz w:val="20"/>
        </w:rPr>
        <w:t xml:space="preserve"> </w:t>
      </w:r>
      <w:r>
        <w:rPr>
          <w:color w:val="231F20"/>
          <w:sz w:val="20"/>
        </w:rPr>
        <w:t>justice</w:t>
      </w:r>
      <w:r>
        <w:rPr>
          <w:color w:val="231F20"/>
          <w:spacing w:val="-5"/>
          <w:sz w:val="20"/>
        </w:rPr>
        <w:t xml:space="preserve"> </w:t>
      </w:r>
      <w:r>
        <w:rPr>
          <w:color w:val="231F20"/>
          <w:spacing w:val="-2"/>
          <w:sz w:val="20"/>
        </w:rPr>
        <w:t>system</w:t>
      </w:r>
      <w:r>
        <w:rPr>
          <w:color w:val="231F20"/>
          <w:spacing w:val="-5"/>
          <w:sz w:val="20"/>
        </w:rPr>
        <w:t xml:space="preserve"> </w:t>
      </w:r>
      <w:r>
        <w:rPr>
          <w:color w:val="231F20"/>
          <w:sz w:val="20"/>
        </w:rPr>
        <w:t>to</w:t>
      </w:r>
      <w:r>
        <w:rPr>
          <w:color w:val="231F20"/>
          <w:spacing w:val="-5"/>
          <w:sz w:val="20"/>
        </w:rPr>
        <w:t xml:space="preserve"> </w:t>
      </w:r>
      <w:r>
        <w:rPr>
          <w:color w:val="231F20"/>
          <w:sz w:val="20"/>
        </w:rPr>
        <w:t>help</w:t>
      </w:r>
      <w:r>
        <w:rPr>
          <w:color w:val="231F20"/>
          <w:spacing w:val="-6"/>
          <w:sz w:val="20"/>
        </w:rPr>
        <w:t xml:space="preserve"> </w:t>
      </w:r>
      <w:r>
        <w:rPr>
          <w:color w:val="231F20"/>
          <w:sz w:val="20"/>
        </w:rPr>
        <w:t>ensure</w:t>
      </w:r>
      <w:r>
        <w:rPr>
          <w:color w:val="231F20"/>
          <w:spacing w:val="-5"/>
          <w:sz w:val="20"/>
        </w:rPr>
        <w:t xml:space="preserve"> </w:t>
      </w:r>
      <w:r>
        <w:rPr>
          <w:color w:val="231F20"/>
          <w:sz w:val="20"/>
        </w:rPr>
        <w:t>the</w:t>
      </w:r>
      <w:r>
        <w:rPr>
          <w:color w:val="231F20"/>
          <w:spacing w:val="-5"/>
          <w:sz w:val="20"/>
        </w:rPr>
        <w:t xml:space="preserve"> </w:t>
      </w:r>
      <w:r>
        <w:rPr>
          <w:color w:val="231F20"/>
          <w:sz w:val="20"/>
        </w:rPr>
        <w:t>person</w:t>
      </w:r>
      <w:r>
        <w:rPr>
          <w:color w:val="231F20"/>
          <w:spacing w:val="-5"/>
          <w:sz w:val="20"/>
        </w:rPr>
        <w:t xml:space="preserve"> </w:t>
      </w:r>
      <w:r>
        <w:rPr>
          <w:color w:val="231F20"/>
          <w:spacing w:val="-3"/>
          <w:sz w:val="20"/>
        </w:rPr>
        <w:t>responsible</w:t>
      </w:r>
      <w:r>
        <w:rPr>
          <w:color w:val="231F20"/>
          <w:spacing w:val="-5"/>
          <w:sz w:val="20"/>
        </w:rPr>
        <w:t xml:space="preserve"> </w:t>
      </w:r>
      <w:r>
        <w:rPr>
          <w:color w:val="231F20"/>
          <w:sz w:val="20"/>
        </w:rPr>
        <w:t>complies</w:t>
      </w:r>
      <w:r>
        <w:rPr>
          <w:color w:val="231F20"/>
          <w:spacing w:val="-6"/>
          <w:sz w:val="20"/>
        </w:rPr>
        <w:t xml:space="preserve"> </w:t>
      </w:r>
      <w:r>
        <w:rPr>
          <w:color w:val="231F20"/>
          <w:sz w:val="20"/>
        </w:rPr>
        <w:t>with</w:t>
      </w:r>
      <w:r>
        <w:rPr>
          <w:color w:val="231F20"/>
          <w:spacing w:val="-5"/>
          <w:sz w:val="20"/>
        </w:rPr>
        <w:t xml:space="preserve"> </w:t>
      </w:r>
      <w:r>
        <w:rPr>
          <w:color w:val="231F20"/>
          <w:sz w:val="20"/>
        </w:rPr>
        <w:t>the</w:t>
      </w:r>
    </w:p>
    <w:p w14:paraId="58097CDC" w14:textId="77777777" w:rsidR="00894070" w:rsidRDefault="009B7AFD">
      <w:pPr>
        <w:pStyle w:val="BodyText"/>
        <w:spacing w:line="259" w:lineRule="exact"/>
        <w:ind w:left="2141"/>
      </w:pPr>
      <w:r>
        <w:rPr>
          <w:color w:val="231F20"/>
        </w:rPr>
        <w:t>law</w:t>
      </w:r>
    </w:p>
    <w:p w14:paraId="7F07E8B2" w14:textId="77777777" w:rsidR="00894070" w:rsidRDefault="009B7AFD">
      <w:pPr>
        <w:pStyle w:val="ListParagraph"/>
        <w:numPr>
          <w:ilvl w:val="2"/>
          <w:numId w:val="177"/>
        </w:numPr>
        <w:tabs>
          <w:tab w:val="left" w:pos="2141"/>
          <w:tab w:val="left" w:pos="2142"/>
        </w:tabs>
        <w:spacing w:before="47" w:line="259" w:lineRule="exact"/>
        <w:ind w:hanging="340"/>
        <w:rPr>
          <w:sz w:val="20"/>
        </w:rPr>
      </w:pPr>
      <w:r>
        <w:rPr>
          <w:color w:val="231F20"/>
          <w:sz w:val="20"/>
        </w:rPr>
        <w:t>measuring</w:t>
      </w:r>
      <w:r>
        <w:rPr>
          <w:color w:val="231F20"/>
          <w:spacing w:val="-6"/>
          <w:sz w:val="20"/>
        </w:rPr>
        <w:t xml:space="preserve"> </w:t>
      </w:r>
      <w:r>
        <w:rPr>
          <w:color w:val="231F20"/>
          <w:sz w:val="20"/>
        </w:rPr>
        <w:t>the</w:t>
      </w:r>
      <w:r>
        <w:rPr>
          <w:color w:val="231F20"/>
          <w:spacing w:val="-5"/>
          <w:sz w:val="20"/>
        </w:rPr>
        <w:t xml:space="preserve"> </w:t>
      </w:r>
      <w:r>
        <w:rPr>
          <w:color w:val="231F20"/>
          <w:sz w:val="20"/>
        </w:rPr>
        <w:t>right</w:t>
      </w:r>
      <w:r>
        <w:rPr>
          <w:color w:val="231F20"/>
          <w:spacing w:val="-6"/>
          <w:sz w:val="20"/>
        </w:rPr>
        <w:t xml:space="preserve"> </w:t>
      </w:r>
      <w:r>
        <w:rPr>
          <w:color w:val="231F20"/>
          <w:sz w:val="20"/>
        </w:rPr>
        <w:t>things,</w:t>
      </w:r>
      <w:r>
        <w:rPr>
          <w:color w:val="231F20"/>
          <w:spacing w:val="-5"/>
          <w:sz w:val="20"/>
        </w:rPr>
        <w:t xml:space="preserve"> </w:t>
      </w:r>
      <w:r>
        <w:rPr>
          <w:color w:val="231F20"/>
          <w:spacing w:val="-3"/>
          <w:sz w:val="20"/>
        </w:rPr>
        <w:t>for</w:t>
      </w:r>
      <w:r>
        <w:rPr>
          <w:color w:val="231F20"/>
          <w:spacing w:val="-6"/>
          <w:sz w:val="20"/>
        </w:rPr>
        <w:t xml:space="preserve"> </w:t>
      </w:r>
      <w:r>
        <w:rPr>
          <w:color w:val="231F20"/>
          <w:spacing w:val="-3"/>
          <w:sz w:val="20"/>
        </w:rPr>
        <w:t>example</w:t>
      </w:r>
      <w:r>
        <w:rPr>
          <w:color w:val="231F20"/>
          <w:spacing w:val="-5"/>
          <w:sz w:val="20"/>
        </w:rPr>
        <w:t xml:space="preserve"> </w:t>
      </w:r>
      <w:r>
        <w:rPr>
          <w:color w:val="231F20"/>
          <w:sz w:val="20"/>
        </w:rPr>
        <w:t>collecting</w:t>
      </w:r>
      <w:r>
        <w:rPr>
          <w:color w:val="231F20"/>
          <w:spacing w:val="-6"/>
          <w:sz w:val="20"/>
        </w:rPr>
        <w:t xml:space="preserve"> </w:t>
      </w:r>
      <w:r>
        <w:rPr>
          <w:color w:val="231F20"/>
          <w:sz w:val="20"/>
        </w:rPr>
        <w:t>data</w:t>
      </w:r>
      <w:r>
        <w:rPr>
          <w:color w:val="231F20"/>
          <w:spacing w:val="-5"/>
          <w:sz w:val="20"/>
        </w:rPr>
        <w:t xml:space="preserve"> </w:t>
      </w:r>
      <w:r>
        <w:rPr>
          <w:color w:val="231F20"/>
          <w:sz w:val="20"/>
        </w:rPr>
        <w:t>on</w:t>
      </w:r>
      <w:r>
        <w:rPr>
          <w:color w:val="231F20"/>
          <w:spacing w:val="-6"/>
          <w:sz w:val="20"/>
        </w:rPr>
        <w:t xml:space="preserve"> </w:t>
      </w:r>
      <w:r>
        <w:rPr>
          <w:color w:val="231F20"/>
          <w:spacing w:val="-3"/>
          <w:sz w:val="20"/>
        </w:rPr>
        <w:t>how</w:t>
      </w:r>
      <w:r>
        <w:rPr>
          <w:color w:val="231F20"/>
          <w:spacing w:val="-5"/>
          <w:sz w:val="20"/>
        </w:rPr>
        <w:t xml:space="preserve"> </w:t>
      </w:r>
      <w:r>
        <w:rPr>
          <w:color w:val="231F20"/>
          <w:spacing w:val="-3"/>
          <w:sz w:val="20"/>
        </w:rPr>
        <w:t>effective</w:t>
      </w:r>
      <w:r>
        <w:rPr>
          <w:color w:val="231F20"/>
          <w:spacing w:val="-6"/>
          <w:sz w:val="20"/>
        </w:rPr>
        <w:t xml:space="preserve"> </w:t>
      </w:r>
      <w:r>
        <w:rPr>
          <w:color w:val="231F20"/>
          <w:sz w:val="20"/>
        </w:rPr>
        <w:t>the</w:t>
      </w:r>
      <w:r>
        <w:rPr>
          <w:color w:val="231F20"/>
          <w:spacing w:val="-5"/>
          <w:sz w:val="20"/>
        </w:rPr>
        <w:t xml:space="preserve"> </w:t>
      </w:r>
      <w:r>
        <w:rPr>
          <w:color w:val="231F20"/>
          <w:spacing w:val="-2"/>
          <w:sz w:val="20"/>
        </w:rPr>
        <w:t>system</w:t>
      </w:r>
    </w:p>
    <w:p w14:paraId="6D7700A1" w14:textId="77777777" w:rsidR="00894070" w:rsidRDefault="009B7AFD">
      <w:pPr>
        <w:pStyle w:val="BodyText"/>
        <w:spacing w:line="259" w:lineRule="exact"/>
        <w:ind w:left="2141"/>
      </w:pPr>
      <w:r>
        <w:rPr>
          <w:color w:val="231F20"/>
        </w:rPr>
        <w:t>is</w:t>
      </w:r>
    </w:p>
    <w:p w14:paraId="09600605" w14:textId="77777777" w:rsidR="00894070" w:rsidRDefault="009B7AFD">
      <w:pPr>
        <w:pStyle w:val="ListParagraph"/>
        <w:numPr>
          <w:ilvl w:val="2"/>
          <w:numId w:val="177"/>
        </w:numPr>
        <w:tabs>
          <w:tab w:val="left" w:pos="2141"/>
          <w:tab w:val="left" w:pos="2142"/>
        </w:tabs>
        <w:spacing w:before="47"/>
        <w:ind w:hanging="340"/>
        <w:rPr>
          <w:sz w:val="11"/>
        </w:rPr>
      </w:pPr>
      <w:r>
        <w:rPr>
          <w:color w:val="231F20"/>
          <w:sz w:val="20"/>
        </w:rPr>
        <w:t xml:space="preserve">keeping every part of the </w:t>
      </w:r>
      <w:r>
        <w:rPr>
          <w:color w:val="231F20"/>
          <w:spacing w:val="-2"/>
          <w:sz w:val="20"/>
        </w:rPr>
        <w:t>system</w:t>
      </w:r>
      <w:r>
        <w:rPr>
          <w:color w:val="231F20"/>
          <w:spacing w:val="-25"/>
          <w:sz w:val="20"/>
        </w:rPr>
        <w:t xml:space="preserve"> </w:t>
      </w:r>
      <w:r>
        <w:rPr>
          <w:color w:val="231F20"/>
          <w:spacing w:val="-3"/>
          <w:sz w:val="20"/>
        </w:rPr>
        <w:t>responsible.</w:t>
      </w:r>
      <w:r>
        <w:rPr>
          <w:color w:val="231F20"/>
          <w:spacing w:val="-3"/>
          <w:position w:val="7"/>
          <w:sz w:val="11"/>
        </w:rPr>
        <w:t>33</w:t>
      </w:r>
    </w:p>
    <w:p w14:paraId="43D3A616" w14:textId="77777777" w:rsidR="00894070" w:rsidRDefault="009B7AFD">
      <w:pPr>
        <w:pStyle w:val="ListParagraph"/>
        <w:numPr>
          <w:ilvl w:val="1"/>
          <w:numId w:val="177"/>
        </w:numPr>
        <w:tabs>
          <w:tab w:val="left" w:pos="1801"/>
          <w:tab w:val="left" w:pos="1802"/>
        </w:tabs>
        <w:spacing w:before="80" w:line="206" w:lineRule="auto"/>
        <w:ind w:right="1255"/>
        <w:rPr>
          <w:sz w:val="11"/>
        </w:rPr>
      </w:pPr>
      <w:r>
        <w:rPr>
          <w:color w:val="231F20"/>
          <w:spacing w:val="-6"/>
          <w:sz w:val="20"/>
        </w:rPr>
        <w:t xml:space="preserve">We </w:t>
      </w:r>
      <w:r>
        <w:rPr>
          <w:color w:val="231F20"/>
          <w:sz w:val="20"/>
        </w:rPr>
        <w:t xml:space="preserve">consider these responses along with other factors such as the </w:t>
      </w:r>
      <w:r>
        <w:rPr>
          <w:color w:val="231F20"/>
          <w:spacing w:val="-3"/>
          <w:sz w:val="20"/>
        </w:rPr>
        <w:t xml:space="preserve">rates </w:t>
      </w:r>
      <w:r>
        <w:rPr>
          <w:color w:val="231F20"/>
          <w:sz w:val="20"/>
        </w:rPr>
        <w:t>of mental disorders</w:t>
      </w:r>
      <w:r>
        <w:rPr>
          <w:color w:val="231F20"/>
          <w:spacing w:val="-9"/>
          <w:sz w:val="20"/>
        </w:rPr>
        <w:t xml:space="preserve"> </w:t>
      </w:r>
      <w:r>
        <w:rPr>
          <w:color w:val="231F20"/>
          <w:sz w:val="20"/>
        </w:rPr>
        <w:t>amongst</w:t>
      </w:r>
      <w:r>
        <w:rPr>
          <w:color w:val="231F20"/>
          <w:spacing w:val="-9"/>
          <w:sz w:val="20"/>
        </w:rPr>
        <w:t xml:space="preserve"> </w:t>
      </w:r>
      <w:r>
        <w:rPr>
          <w:color w:val="231F20"/>
          <w:sz w:val="20"/>
        </w:rPr>
        <w:t>people</w:t>
      </w:r>
      <w:r>
        <w:rPr>
          <w:color w:val="231F20"/>
          <w:spacing w:val="-8"/>
          <w:sz w:val="20"/>
        </w:rPr>
        <w:t xml:space="preserve"> </w:t>
      </w:r>
      <w:r>
        <w:rPr>
          <w:color w:val="231F20"/>
          <w:sz w:val="20"/>
        </w:rPr>
        <w:t>who</w:t>
      </w:r>
      <w:r>
        <w:rPr>
          <w:color w:val="231F20"/>
          <w:spacing w:val="-9"/>
          <w:sz w:val="20"/>
        </w:rPr>
        <w:t xml:space="preserve"> </w:t>
      </w:r>
      <w:r>
        <w:rPr>
          <w:color w:val="231F20"/>
          <w:sz w:val="20"/>
        </w:rPr>
        <w:t>stalk</w:t>
      </w:r>
      <w:r>
        <w:rPr>
          <w:color w:val="231F20"/>
          <w:spacing w:val="-8"/>
          <w:sz w:val="20"/>
        </w:rPr>
        <w:t xml:space="preserve"> </w:t>
      </w:r>
      <w:r>
        <w:rPr>
          <w:color w:val="231F20"/>
          <w:sz w:val="20"/>
        </w:rPr>
        <w:t>(see</w:t>
      </w:r>
      <w:r>
        <w:rPr>
          <w:color w:val="231F20"/>
          <w:spacing w:val="-9"/>
          <w:sz w:val="20"/>
        </w:rPr>
        <w:t xml:space="preserve"> </w:t>
      </w:r>
      <w:r>
        <w:rPr>
          <w:color w:val="231F20"/>
          <w:spacing w:val="-3"/>
          <w:sz w:val="20"/>
        </w:rPr>
        <w:t>Chapter</w:t>
      </w:r>
      <w:r>
        <w:rPr>
          <w:color w:val="231F20"/>
          <w:spacing w:val="-8"/>
          <w:sz w:val="20"/>
        </w:rPr>
        <w:t xml:space="preserve"> </w:t>
      </w:r>
      <w:r>
        <w:rPr>
          <w:color w:val="231F20"/>
          <w:sz w:val="20"/>
        </w:rPr>
        <w:t>8</w:t>
      </w:r>
      <w:proofErr w:type="gramStart"/>
      <w:r>
        <w:rPr>
          <w:color w:val="231F20"/>
          <w:sz w:val="20"/>
        </w:rPr>
        <w:t>)</w:t>
      </w:r>
      <w:proofErr w:type="gramEnd"/>
      <w:r>
        <w:rPr>
          <w:color w:val="231F20"/>
          <w:spacing w:val="-9"/>
          <w:sz w:val="20"/>
        </w:rPr>
        <w:t xml:space="preserve"> </w:t>
      </w:r>
      <w:r>
        <w:rPr>
          <w:color w:val="231F20"/>
          <w:sz w:val="20"/>
        </w:rPr>
        <w:t>and</w:t>
      </w:r>
      <w:r>
        <w:rPr>
          <w:color w:val="231F20"/>
          <w:spacing w:val="-9"/>
          <w:sz w:val="20"/>
        </w:rPr>
        <w:t xml:space="preserve"> </w:t>
      </w:r>
      <w:r>
        <w:rPr>
          <w:color w:val="231F20"/>
          <w:sz w:val="20"/>
        </w:rPr>
        <w:t>the</w:t>
      </w:r>
      <w:r>
        <w:rPr>
          <w:color w:val="231F20"/>
          <w:spacing w:val="-8"/>
          <w:sz w:val="20"/>
        </w:rPr>
        <w:t xml:space="preserve"> </w:t>
      </w:r>
      <w:r>
        <w:rPr>
          <w:color w:val="231F20"/>
          <w:sz w:val="20"/>
        </w:rPr>
        <w:t>serious</w:t>
      </w:r>
      <w:r>
        <w:rPr>
          <w:color w:val="231F20"/>
          <w:spacing w:val="-9"/>
          <w:sz w:val="20"/>
        </w:rPr>
        <w:t xml:space="preserve"> </w:t>
      </w:r>
      <w:r>
        <w:rPr>
          <w:color w:val="231F20"/>
          <w:sz w:val="20"/>
        </w:rPr>
        <w:t>impacts</w:t>
      </w:r>
      <w:r>
        <w:rPr>
          <w:color w:val="231F20"/>
          <w:spacing w:val="-8"/>
          <w:sz w:val="20"/>
        </w:rPr>
        <w:t xml:space="preserve"> </w:t>
      </w:r>
      <w:r>
        <w:rPr>
          <w:color w:val="231F20"/>
          <w:sz w:val="20"/>
        </w:rPr>
        <w:t>of</w:t>
      </w:r>
      <w:r>
        <w:rPr>
          <w:color w:val="231F20"/>
          <w:spacing w:val="-9"/>
          <w:sz w:val="20"/>
        </w:rPr>
        <w:t xml:space="preserve"> </w:t>
      </w:r>
      <w:r>
        <w:rPr>
          <w:color w:val="231F20"/>
          <w:sz w:val="20"/>
        </w:rPr>
        <w:t xml:space="preserve">justice </w:t>
      </w:r>
      <w:r>
        <w:rPr>
          <w:color w:val="231F20"/>
          <w:spacing w:val="-2"/>
          <w:sz w:val="20"/>
        </w:rPr>
        <w:t xml:space="preserve">system </w:t>
      </w:r>
      <w:r>
        <w:rPr>
          <w:color w:val="231F20"/>
          <w:sz w:val="20"/>
        </w:rPr>
        <w:t xml:space="preserve">contact at a young age (see </w:t>
      </w:r>
      <w:r>
        <w:rPr>
          <w:color w:val="231F20"/>
          <w:spacing w:val="-3"/>
          <w:sz w:val="20"/>
        </w:rPr>
        <w:t xml:space="preserve">Chapter </w:t>
      </w:r>
      <w:r>
        <w:rPr>
          <w:color w:val="231F20"/>
          <w:spacing w:val="-4"/>
          <w:sz w:val="20"/>
        </w:rPr>
        <w:t xml:space="preserve">6). </w:t>
      </w:r>
      <w:r>
        <w:rPr>
          <w:color w:val="231F20"/>
          <w:sz w:val="20"/>
        </w:rPr>
        <w:t xml:space="preserve">A fair process is also important </w:t>
      </w:r>
      <w:r>
        <w:rPr>
          <w:color w:val="231F20"/>
          <w:spacing w:val="-3"/>
          <w:sz w:val="20"/>
        </w:rPr>
        <w:t xml:space="preserve">for </w:t>
      </w:r>
      <w:r>
        <w:rPr>
          <w:color w:val="231F20"/>
          <w:sz w:val="20"/>
        </w:rPr>
        <w:t xml:space="preserve">the accused. This includes the right to be presumed innocent until </w:t>
      </w:r>
      <w:r>
        <w:rPr>
          <w:color w:val="231F20"/>
          <w:spacing w:val="-4"/>
          <w:sz w:val="20"/>
        </w:rPr>
        <w:t xml:space="preserve">proved </w:t>
      </w:r>
      <w:r>
        <w:rPr>
          <w:color w:val="231F20"/>
          <w:sz w:val="20"/>
        </w:rPr>
        <w:t>guilty and the right to test</w:t>
      </w:r>
      <w:r>
        <w:rPr>
          <w:color w:val="231F20"/>
          <w:spacing w:val="-13"/>
          <w:sz w:val="20"/>
        </w:rPr>
        <w:t xml:space="preserve"> </w:t>
      </w:r>
      <w:r>
        <w:rPr>
          <w:color w:val="231F20"/>
          <w:sz w:val="20"/>
        </w:rPr>
        <w:t>evidence.</w:t>
      </w:r>
      <w:r>
        <w:rPr>
          <w:color w:val="231F20"/>
          <w:position w:val="7"/>
          <w:sz w:val="11"/>
        </w:rPr>
        <w:t>34</w:t>
      </w:r>
    </w:p>
    <w:p w14:paraId="299783A5" w14:textId="77777777" w:rsidR="00894070" w:rsidRDefault="009B7AFD">
      <w:pPr>
        <w:pStyle w:val="ListParagraph"/>
        <w:numPr>
          <w:ilvl w:val="1"/>
          <w:numId w:val="177"/>
        </w:numPr>
        <w:tabs>
          <w:tab w:val="left" w:pos="1801"/>
          <w:tab w:val="left" w:pos="1802"/>
        </w:tabs>
        <w:spacing w:before="94"/>
        <w:rPr>
          <w:sz w:val="20"/>
        </w:rPr>
      </w:pPr>
      <w:r>
        <w:rPr>
          <w:color w:val="231F20"/>
          <w:sz w:val="20"/>
        </w:rPr>
        <w:t xml:space="preserve">Other </w:t>
      </w:r>
      <w:r>
        <w:rPr>
          <w:color w:val="231F20"/>
          <w:spacing w:val="-3"/>
          <w:sz w:val="20"/>
        </w:rPr>
        <w:t xml:space="preserve">chapters </w:t>
      </w:r>
      <w:r>
        <w:rPr>
          <w:color w:val="231F20"/>
          <w:sz w:val="20"/>
        </w:rPr>
        <w:t>of this report include recommendations</w:t>
      </w:r>
      <w:r>
        <w:rPr>
          <w:color w:val="231F20"/>
          <w:spacing w:val="-30"/>
          <w:sz w:val="20"/>
        </w:rPr>
        <w:t xml:space="preserve"> </w:t>
      </w:r>
      <w:r>
        <w:rPr>
          <w:color w:val="231F20"/>
          <w:sz w:val="20"/>
        </w:rPr>
        <w:t>about:</w:t>
      </w:r>
    </w:p>
    <w:p w14:paraId="34A208C4" w14:textId="77777777" w:rsidR="00894070" w:rsidRDefault="009B7AFD">
      <w:pPr>
        <w:pStyle w:val="ListParagraph"/>
        <w:numPr>
          <w:ilvl w:val="2"/>
          <w:numId w:val="177"/>
        </w:numPr>
        <w:tabs>
          <w:tab w:val="left" w:pos="2141"/>
          <w:tab w:val="left" w:pos="2142"/>
        </w:tabs>
        <w:spacing w:before="83"/>
        <w:ind w:hanging="340"/>
        <w:rPr>
          <w:sz w:val="20"/>
        </w:rPr>
      </w:pPr>
      <w:r>
        <w:rPr>
          <w:color w:val="231F20"/>
          <w:spacing w:val="-3"/>
          <w:sz w:val="20"/>
        </w:rPr>
        <w:t xml:space="preserve">improving how </w:t>
      </w:r>
      <w:r>
        <w:rPr>
          <w:color w:val="231F20"/>
          <w:sz w:val="20"/>
        </w:rPr>
        <w:t xml:space="preserve">criminal offences </w:t>
      </w:r>
      <w:r>
        <w:rPr>
          <w:color w:val="231F20"/>
          <w:spacing w:val="-3"/>
          <w:sz w:val="20"/>
        </w:rPr>
        <w:t xml:space="preserve">are </w:t>
      </w:r>
      <w:r>
        <w:rPr>
          <w:color w:val="231F20"/>
          <w:sz w:val="20"/>
        </w:rPr>
        <w:t xml:space="preserve">applied (see </w:t>
      </w:r>
      <w:r>
        <w:rPr>
          <w:color w:val="231F20"/>
          <w:spacing w:val="-3"/>
          <w:sz w:val="20"/>
        </w:rPr>
        <w:t>Chapter</w:t>
      </w:r>
      <w:r>
        <w:rPr>
          <w:color w:val="231F20"/>
          <w:spacing w:val="-28"/>
          <w:sz w:val="20"/>
        </w:rPr>
        <w:t xml:space="preserve"> </w:t>
      </w:r>
      <w:r>
        <w:rPr>
          <w:color w:val="231F20"/>
          <w:sz w:val="20"/>
        </w:rPr>
        <w:t>7)</w:t>
      </w:r>
    </w:p>
    <w:p w14:paraId="4737070B" w14:textId="77777777" w:rsidR="00894070" w:rsidRDefault="009B7AFD">
      <w:pPr>
        <w:pStyle w:val="ListParagraph"/>
        <w:numPr>
          <w:ilvl w:val="2"/>
          <w:numId w:val="177"/>
        </w:numPr>
        <w:tabs>
          <w:tab w:val="left" w:pos="2141"/>
          <w:tab w:val="left" w:pos="2142"/>
        </w:tabs>
        <w:spacing w:before="47"/>
        <w:ind w:hanging="340"/>
        <w:rPr>
          <w:sz w:val="20"/>
        </w:rPr>
      </w:pPr>
      <w:r>
        <w:rPr>
          <w:color w:val="231F20"/>
          <w:spacing w:val="-3"/>
          <w:sz w:val="20"/>
        </w:rPr>
        <w:t xml:space="preserve">enforcing </w:t>
      </w:r>
      <w:r>
        <w:rPr>
          <w:color w:val="231F20"/>
          <w:sz w:val="20"/>
        </w:rPr>
        <w:t xml:space="preserve">breaches </w:t>
      </w:r>
      <w:r>
        <w:rPr>
          <w:color w:val="231F20"/>
          <w:spacing w:val="-3"/>
          <w:sz w:val="20"/>
        </w:rPr>
        <w:t xml:space="preserve">effectively </w:t>
      </w:r>
      <w:r>
        <w:rPr>
          <w:color w:val="231F20"/>
          <w:sz w:val="20"/>
        </w:rPr>
        <w:t xml:space="preserve">(see </w:t>
      </w:r>
      <w:r>
        <w:rPr>
          <w:color w:val="231F20"/>
          <w:spacing w:val="-3"/>
          <w:sz w:val="20"/>
        </w:rPr>
        <w:t>Chapter</w:t>
      </w:r>
      <w:r>
        <w:rPr>
          <w:color w:val="231F20"/>
          <w:spacing w:val="-15"/>
          <w:sz w:val="20"/>
        </w:rPr>
        <w:t xml:space="preserve"> </w:t>
      </w:r>
      <w:r>
        <w:rPr>
          <w:color w:val="231F20"/>
          <w:sz w:val="20"/>
        </w:rPr>
        <w:t>7)</w:t>
      </w:r>
    </w:p>
    <w:p w14:paraId="2516018C" w14:textId="77777777" w:rsidR="00894070" w:rsidRDefault="009B7AFD">
      <w:pPr>
        <w:pStyle w:val="ListParagraph"/>
        <w:numPr>
          <w:ilvl w:val="2"/>
          <w:numId w:val="177"/>
        </w:numPr>
        <w:tabs>
          <w:tab w:val="left" w:pos="2141"/>
          <w:tab w:val="left" w:pos="2142"/>
        </w:tabs>
        <w:spacing w:before="48"/>
        <w:ind w:hanging="340"/>
        <w:rPr>
          <w:sz w:val="20"/>
        </w:rPr>
      </w:pPr>
      <w:r>
        <w:rPr>
          <w:color w:val="231F20"/>
          <w:spacing w:val="-3"/>
          <w:sz w:val="20"/>
        </w:rPr>
        <w:t xml:space="preserve">improving </w:t>
      </w:r>
      <w:r>
        <w:rPr>
          <w:color w:val="231F20"/>
          <w:sz w:val="20"/>
        </w:rPr>
        <w:t xml:space="preserve">legal </w:t>
      </w:r>
      <w:r>
        <w:rPr>
          <w:color w:val="231F20"/>
          <w:spacing w:val="-3"/>
          <w:sz w:val="20"/>
        </w:rPr>
        <w:t xml:space="preserve">representation for </w:t>
      </w:r>
      <w:r>
        <w:rPr>
          <w:color w:val="231F20"/>
          <w:sz w:val="20"/>
        </w:rPr>
        <w:t xml:space="preserve">people who stalk (see </w:t>
      </w:r>
      <w:r>
        <w:rPr>
          <w:color w:val="231F20"/>
          <w:spacing w:val="-3"/>
          <w:sz w:val="20"/>
        </w:rPr>
        <w:t>Chapter</w:t>
      </w:r>
      <w:r>
        <w:rPr>
          <w:color w:val="231F20"/>
          <w:spacing w:val="-28"/>
          <w:sz w:val="20"/>
        </w:rPr>
        <w:t xml:space="preserve"> </w:t>
      </w:r>
      <w:r>
        <w:rPr>
          <w:color w:val="231F20"/>
          <w:sz w:val="20"/>
        </w:rPr>
        <w:t>6)</w:t>
      </w:r>
    </w:p>
    <w:p w14:paraId="58461573" w14:textId="77777777" w:rsidR="00894070" w:rsidRDefault="009B7AFD">
      <w:pPr>
        <w:pStyle w:val="ListParagraph"/>
        <w:numPr>
          <w:ilvl w:val="2"/>
          <w:numId w:val="177"/>
        </w:numPr>
        <w:tabs>
          <w:tab w:val="left" w:pos="2141"/>
          <w:tab w:val="left" w:pos="2142"/>
        </w:tabs>
        <w:spacing w:before="47"/>
        <w:ind w:hanging="340"/>
        <w:rPr>
          <w:sz w:val="20"/>
        </w:rPr>
      </w:pPr>
      <w:r>
        <w:rPr>
          <w:color w:val="231F20"/>
          <w:spacing w:val="-3"/>
          <w:sz w:val="20"/>
        </w:rPr>
        <w:t xml:space="preserve">developing alternative </w:t>
      </w:r>
      <w:r>
        <w:rPr>
          <w:color w:val="231F20"/>
          <w:spacing w:val="-4"/>
          <w:sz w:val="20"/>
        </w:rPr>
        <w:t xml:space="preserve">pathways </w:t>
      </w:r>
      <w:r>
        <w:rPr>
          <w:color w:val="231F20"/>
          <w:spacing w:val="-3"/>
          <w:sz w:val="20"/>
        </w:rPr>
        <w:t xml:space="preserve">for children </w:t>
      </w:r>
      <w:r>
        <w:rPr>
          <w:color w:val="231F20"/>
          <w:sz w:val="20"/>
        </w:rPr>
        <w:t xml:space="preserve">and young people (see </w:t>
      </w:r>
      <w:r>
        <w:rPr>
          <w:color w:val="231F20"/>
          <w:spacing w:val="-3"/>
          <w:sz w:val="20"/>
        </w:rPr>
        <w:t>Chapter</w:t>
      </w:r>
      <w:r>
        <w:rPr>
          <w:color w:val="231F20"/>
          <w:spacing w:val="-23"/>
          <w:sz w:val="20"/>
        </w:rPr>
        <w:t xml:space="preserve"> </w:t>
      </w:r>
      <w:r>
        <w:rPr>
          <w:color w:val="231F20"/>
          <w:sz w:val="20"/>
        </w:rPr>
        <w:t>6)</w:t>
      </w:r>
    </w:p>
    <w:p w14:paraId="13B1C275" w14:textId="77777777" w:rsidR="00894070" w:rsidRDefault="009B7AFD">
      <w:pPr>
        <w:pStyle w:val="ListParagraph"/>
        <w:numPr>
          <w:ilvl w:val="2"/>
          <w:numId w:val="177"/>
        </w:numPr>
        <w:tabs>
          <w:tab w:val="left" w:pos="2141"/>
          <w:tab w:val="left" w:pos="2142"/>
        </w:tabs>
        <w:spacing w:before="80" w:line="206" w:lineRule="auto"/>
        <w:ind w:right="1669" w:hanging="340"/>
        <w:rPr>
          <w:sz w:val="20"/>
        </w:rPr>
      </w:pPr>
      <w:r>
        <w:rPr>
          <w:color w:val="231F20"/>
          <w:sz w:val="20"/>
        </w:rPr>
        <w:t>examining</w:t>
      </w:r>
      <w:r>
        <w:rPr>
          <w:color w:val="231F20"/>
          <w:spacing w:val="-8"/>
          <w:sz w:val="20"/>
        </w:rPr>
        <w:t xml:space="preserve"> </w:t>
      </w:r>
      <w:r>
        <w:rPr>
          <w:color w:val="231F20"/>
          <w:spacing w:val="-3"/>
          <w:sz w:val="20"/>
        </w:rPr>
        <w:t>why</w:t>
      </w:r>
      <w:r>
        <w:rPr>
          <w:color w:val="231F20"/>
          <w:spacing w:val="-7"/>
          <w:sz w:val="20"/>
        </w:rPr>
        <w:t xml:space="preserve"> </w:t>
      </w:r>
      <w:r>
        <w:rPr>
          <w:color w:val="231F20"/>
          <w:sz w:val="20"/>
        </w:rPr>
        <w:t>cases</w:t>
      </w:r>
      <w:r>
        <w:rPr>
          <w:color w:val="231F20"/>
          <w:spacing w:val="-7"/>
          <w:sz w:val="20"/>
        </w:rPr>
        <w:t xml:space="preserve"> </w:t>
      </w:r>
      <w:r>
        <w:rPr>
          <w:color w:val="231F20"/>
          <w:sz w:val="20"/>
        </w:rPr>
        <w:t>do</w:t>
      </w:r>
      <w:r>
        <w:rPr>
          <w:color w:val="231F20"/>
          <w:spacing w:val="-7"/>
          <w:sz w:val="20"/>
        </w:rPr>
        <w:t xml:space="preserve"> </w:t>
      </w:r>
      <w:r>
        <w:rPr>
          <w:color w:val="231F20"/>
          <w:sz w:val="20"/>
        </w:rPr>
        <w:t>not</w:t>
      </w:r>
      <w:r>
        <w:rPr>
          <w:color w:val="231F20"/>
          <w:spacing w:val="-8"/>
          <w:sz w:val="20"/>
        </w:rPr>
        <w:t xml:space="preserve"> </w:t>
      </w:r>
      <w:r>
        <w:rPr>
          <w:color w:val="231F20"/>
          <w:spacing w:val="-3"/>
          <w:sz w:val="20"/>
        </w:rPr>
        <w:t>progress</w:t>
      </w:r>
      <w:r>
        <w:rPr>
          <w:color w:val="231F20"/>
          <w:spacing w:val="-7"/>
          <w:sz w:val="20"/>
        </w:rPr>
        <w:t xml:space="preserve"> </w:t>
      </w:r>
      <w:r>
        <w:rPr>
          <w:color w:val="231F20"/>
          <w:spacing w:val="-3"/>
          <w:sz w:val="20"/>
        </w:rPr>
        <w:t>through</w:t>
      </w:r>
      <w:r>
        <w:rPr>
          <w:color w:val="231F20"/>
          <w:spacing w:val="-7"/>
          <w:sz w:val="20"/>
        </w:rPr>
        <w:t xml:space="preserve"> </w:t>
      </w:r>
      <w:r>
        <w:rPr>
          <w:color w:val="231F20"/>
          <w:sz w:val="20"/>
        </w:rPr>
        <w:t>the</w:t>
      </w:r>
      <w:r>
        <w:rPr>
          <w:color w:val="231F20"/>
          <w:spacing w:val="-7"/>
          <w:sz w:val="20"/>
        </w:rPr>
        <w:t xml:space="preserve"> </w:t>
      </w:r>
      <w:r>
        <w:rPr>
          <w:color w:val="231F20"/>
          <w:sz w:val="20"/>
        </w:rPr>
        <w:t>criminal</w:t>
      </w:r>
      <w:r>
        <w:rPr>
          <w:color w:val="231F20"/>
          <w:spacing w:val="-7"/>
          <w:sz w:val="20"/>
        </w:rPr>
        <w:t xml:space="preserve"> </w:t>
      </w:r>
      <w:r>
        <w:rPr>
          <w:color w:val="231F20"/>
          <w:sz w:val="20"/>
        </w:rPr>
        <w:t>justice</w:t>
      </w:r>
      <w:r>
        <w:rPr>
          <w:color w:val="231F20"/>
          <w:spacing w:val="-8"/>
          <w:sz w:val="20"/>
        </w:rPr>
        <w:t xml:space="preserve"> </w:t>
      </w:r>
      <w:r>
        <w:rPr>
          <w:color w:val="231F20"/>
          <w:spacing w:val="-2"/>
          <w:sz w:val="20"/>
        </w:rPr>
        <w:t>system</w:t>
      </w:r>
      <w:r>
        <w:rPr>
          <w:color w:val="231F20"/>
          <w:spacing w:val="-7"/>
          <w:sz w:val="20"/>
        </w:rPr>
        <w:t xml:space="preserve"> </w:t>
      </w:r>
      <w:r>
        <w:rPr>
          <w:color w:val="231F20"/>
          <w:sz w:val="20"/>
        </w:rPr>
        <w:t xml:space="preserve">(see </w:t>
      </w:r>
      <w:r>
        <w:rPr>
          <w:color w:val="231F20"/>
          <w:spacing w:val="-3"/>
          <w:sz w:val="20"/>
        </w:rPr>
        <w:t>Chapter</w:t>
      </w:r>
      <w:r>
        <w:rPr>
          <w:color w:val="231F20"/>
          <w:spacing w:val="-4"/>
          <w:sz w:val="20"/>
        </w:rPr>
        <w:t xml:space="preserve"> </w:t>
      </w:r>
      <w:r>
        <w:rPr>
          <w:color w:val="231F20"/>
          <w:sz w:val="20"/>
        </w:rPr>
        <w:t>7)</w:t>
      </w:r>
    </w:p>
    <w:p w14:paraId="257DC8A4" w14:textId="77777777" w:rsidR="00894070" w:rsidRDefault="009B7AFD">
      <w:pPr>
        <w:pStyle w:val="ListParagraph"/>
        <w:numPr>
          <w:ilvl w:val="2"/>
          <w:numId w:val="177"/>
        </w:numPr>
        <w:tabs>
          <w:tab w:val="left" w:pos="2141"/>
          <w:tab w:val="left" w:pos="2142"/>
        </w:tabs>
        <w:spacing w:before="87" w:line="206" w:lineRule="auto"/>
        <w:ind w:right="1909" w:hanging="340"/>
        <w:rPr>
          <w:sz w:val="20"/>
        </w:rPr>
      </w:pPr>
      <w:r>
        <w:rPr>
          <w:color w:val="231F20"/>
          <w:sz w:val="20"/>
        </w:rPr>
        <w:t>encouraging</w:t>
      </w:r>
      <w:r>
        <w:rPr>
          <w:color w:val="231F20"/>
          <w:spacing w:val="-7"/>
          <w:sz w:val="20"/>
        </w:rPr>
        <w:t xml:space="preserve"> </w:t>
      </w:r>
      <w:r>
        <w:rPr>
          <w:color w:val="231F20"/>
          <w:spacing w:val="-3"/>
          <w:sz w:val="20"/>
        </w:rPr>
        <w:t>research</w:t>
      </w:r>
      <w:r>
        <w:rPr>
          <w:color w:val="231F20"/>
          <w:spacing w:val="-6"/>
          <w:sz w:val="20"/>
        </w:rPr>
        <w:t xml:space="preserve"> </w:t>
      </w:r>
      <w:r>
        <w:rPr>
          <w:color w:val="231F20"/>
          <w:spacing w:val="-3"/>
          <w:sz w:val="20"/>
        </w:rPr>
        <w:t>into</w:t>
      </w:r>
      <w:r>
        <w:rPr>
          <w:color w:val="231F20"/>
          <w:spacing w:val="-7"/>
          <w:sz w:val="20"/>
        </w:rPr>
        <w:t xml:space="preserve"> </w:t>
      </w:r>
      <w:r>
        <w:rPr>
          <w:color w:val="231F20"/>
          <w:spacing w:val="-2"/>
          <w:sz w:val="20"/>
        </w:rPr>
        <w:t>interventions</w:t>
      </w:r>
      <w:r>
        <w:rPr>
          <w:color w:val="231F20"/>
          <w:spacing w:val="-6"/>
          <w:sz w:val="20"/>
        </w:rPr>
        <w:t xml:space="preserve"> </w:t>
      </w:r>
      <w:r>
        <w:rPr>
          <w:color w:val="231F20"/>
          <w:sz w:val="20"/>
        </w:rPr>
        <w:t>that</w:t>
      </w:r>
      <w:r>
        <w:rPr>
          <w:color w:val="231F20"/>
          <w:spacing w:val="-6"/>
          <w:sz w:val="20"/>
        </w:rPr>
        <w:t xml:space="preserve"> </w:t>
      </w:r>
      <w:r>
        <w:rPr>
          <w:color w:val="231F20"/>
          <w:spacing w:val="-3"/>
          <w:sz w:val="20"/>
        </w:rPr>
        <w:t>work</w:t>
      </w:r>
      <w:r>
        <w:rPr>
          <w:color w:val="231F20"/>
          <w:spacing w:val="-7"/>
          <w:sz w:val="20"/>
        </w:rPr>
        <w:t xml:space="preserve"> </w:t>
      </w:r>
      <w:r>
        <w:rPr>
          <w:color w:val="231F20"/>
          <w:spacing w:val="-3"/>
          <w:sz w:val="20"/>
        </w:rPr>
        <w:t>for</w:t>
      </w:r>
      <w:r>
        <w:rPr>
          <w:color w:val="231F20"/>
          <w:spacing w:val="-6"/>
          <w:sz w:val="20"/>
        </w:rPr>
        <w:t xml:space="preserve"> </w:t>
      </w:r>
      <w:r>
        <w:rPr>
          <w:color w:val="231F20"/>
          <w:sz w:val="20"/>
        </w:rPr>
        <w:t>people</w:t>
      </w:r>
      <w:r>
        <w:rPr>
          <w:color w:val="231F20"/>
          <w:spacing w:val="-7"/>
          <w:sz w:val="20"/>
        </w:rPr>
        <w:t xml:space="preserve"> </w:t>
      </w:r>
      <w:r>
        <w:rPr>
          <w:color w:val="231F20"/>
          <w:sz w:val="20"/>
        </w:rPr>
        <w:t>who</w:t>
      </w:r>
      <w:r>
        <w:rPr>
          <w:color w:val="231F20"/>
          <w:spacing w:val="-6"/>
          <w:sz w:val="20"/>
        </w:rPr>
        <w:t xml:space="preserve"> </w:t>
      </w:r>
      <w:r>
        <w:rPr>
          <w:color w:val="231F20"/>
          <w:sz w:val="20"/>
        </w:rPr>
        <w:t>stalk</w:t>
      </w:r>
      <w:r>
        <w:rPr>
          <w:color w:val="231F20"/>
          <w:spacing w:val="-7"/>
          <w:sz w:val="20"/>
        </w:rPr>
        <w:t xml:space="preserve"> </w:t>
      </w:r>
      <w:r>
        <w:rPr>
          <w:color w:val="231F20"/>
          <w:sz w:val="20"/>
        </w:rPr>
        <w:t xml:space="preserve">(see </w:t>
      </w:r>
      <w:r>
        <w:rPr>
          <w:color w:val="231F20"/>
          <w:spacing w:val="-3"/>
          <w:sz w:val="20"/>
        </w:rPr>
        <w:t>Chapter</w:t>
      </w:r>
      <w:r>
        <w:rPr>
          <w:color w:val="231F20"/>
          <w:spacing w:val="-4"/>
          <w:sz w:val="20"/>
        </w:rPr>
        <w:t xml:space="preserve"> 8).</w:t>
      </w:r>
    </w:p>
    <w:p w14:paraId="6586EFA7" w14:textId="77777777" w:rsidR="00894070" w:rsidRDefault="009B7AFD">
      <w:pPr>
        <w:pStyle w:val="Heading8"/>
        <w:spacing w:before="183"/>
        <w:ind w:left="1007"/>
      </w:pPr>
      <w:r>
        <w:rPr>
          <w:color w:val="231F20"/>
        </w:rPr>
        <w:t>Other reforms should be built upon</w:t>
      </w:r>
    </w:p>
    <w:p w14:paraId="04A4BCBA" w14:textId="77777777" w:rsidR="00894070" w:rsidRDefault="009B7AFD">
      <w:pPr>
        <w:pStyle w:val="ListParagraph"/>
        <w:numPr>
          <w:ilvl w:val="1"/>
          <w:numId w:val="177"/>
        </w:numPr>
        <w:tabs>
          <w:tab w:val="left" w:pos="1801"/>
          <w:tab w:val="left" w:pos="1802"/>
        </w:tabs>
        <w:spacing w:before="95"/>
        <w:rPr>
          <w:sz w:val="20"/>
        </w:rPr>
      </w:pPr>
      <w:r>
        <w:rPr>
          <w:color w:val="231F20"/>
          <w:spacing w:val="-6"/>
          <w:sz w:val="20"/>
        </w:rPr>
        <w:t xml:space="preserve">We </w:t>
      </w:r>
      <w:proofErr w:type="gramStart"/>
      <w:r>
        <w:rPr>
          <w:color w:val="231F20"/>
          <w:sz w:val="20"/>
        </w:rPr>
        <w:t>take</w:t>
      </w:r>
      <w:r>
        <w:rPr>
          <w:color w:val="231F20"/>
          <w:spacing w:val="-6"/>
          <w:sz w:val="20"/>
        </w:rPr>
        <w:t xml:space="preserve"> </w:t>
      </w:r>
      <w:r>
        <w:rPr>
          <w:color w:val="231F20"/>
          <w:spacing w:val="-3"/>
          <w:sz w:val="20"/>
        </w:rPr>
        <w:t>into</w:t>
      </w:r>
      <w:r>
        <w:rPr>
          <w:color w:val="231F20"/>
          <w:spacing w:val="-5"/>
          <w:sz w:val="20"/>
        </w:rPr>
        <w:t xml:space="preserve"> </w:t>
      </w:r>
      <w:r>
        <w:rPr>
          <w:color w:val="231F20"/>
          <w:sz w:val="20"/>
        </w:rPr>
        <w:t>account</w:t>
      </w:r>
      <w:proofErr w:type="gramEnd"/>
      <w:r>
        <w:rPr>
          <w:color w:val="231F20"/>
          <w:spacing w:val="-6"/>
          <w:sz w:val="20"/>
        </w:rPr>
        <w:t xml:space="preserve"> </w:t>
      </w:r>
      <w:r>
        <w:rPr>
          <w:color w:val="231F20"/>
          <w:sz w:val="20"/>
        </w:rPr>
        <w:t>other</w:t>
      </w:r>
      <w:r>
        <w:rPr>
          <w:color w:val="231F20"/>
          <w:spacing w:val="-5"/>
          <w:sz w:val="20"/>
        </w:rPr>
        <w:t xml:space="preserve"> </w:t>
      </w:r>
      <w:r>
        <w:rPr>
          <w:color w:val="231F20"/>
          <w:spacing w:val="-3"/>
          <w:sz w:val="20"/>
        </w:rPr>
        <w:t>reforms</w:t>
      </w:r>
      <w:r>
        <w:rPr>
          <w:color w:val="231F20"/>
          <w:spacing w:val="-6"/>
          <w:sz w:val="20"/>
        </w:rPr>
        <w:t xml:space="preserve"> </w:t>
      </w:r>
      <w:r>
        <w:rPr>
          <w:color w:val="231F20"/>
          <w:sz w:val="20"/>
        </w:rPr>
        <w:t>and</w:t>
      </w:r>
      <w:r>
        <w:rPr>
          <w:color w:val="231F20"/>
          <w:spacing w:val="-5"/>
          <w:sz w:val="20"/>
        </w:rPr>
        <w:t xml:space="preserve"> </w:t>
      </w:r>
      <w:r>
        <w:rPr>
          <w:color w:val="231F20"/>
          <w:sz w:val="20"/>
        </w:rPr>
        <w:t>the</w:t>
      </w:r>
      <w:r>
        <w:rPr>
          <w:color w:val="231F20"/>
          <w:spacing w:val="-6"/>
          <w:sz w:val="20"/>
        </w:rPr>
        <w:t xml:space="preserve"> </w:t>
      </w:r>
      <w:r>
        <w:rPr>
          <w:color w:val="231F20"/>
          <w:sz w:val="20"/>
        </w:rPr>
        <w:t>findings</w:t>
      </w:r>
      <w:r>
        <w:rPr>
          <w:color w:val="231F20"/>
          <w:spacing w:val="-5"/>
          <w:sz w:val="20"/>
        </w:rPr>
        <w:t xml:space="preserve"> </w:t>
      </w:r>
      <w:r>
        <w:rPr>
          <w:color w:val="231F20"/>
          <w:sz w:val="20"/>
        </w:rPr>
        <w:t>of</w:t>
      </w:r>
      <w:r>
        <w:rPr>
          <w:color w:val="231F20"/>
          <w:spacing w:val="-6"/>
          <w:sz w:val="20"/>
        </w:rPr>
        <w:t xml:space="preserve"> </w:t>
      </w:r>
      <w:r>
        <w:rPr>
          <w:color w:val="231F20"/>
          <w:sz w:val="20"/>
        </w:rPr>
        <w:t>other</w:t>
      </w:r>
      <w:r>
        <w:rPr>
          <w:color w:val="231F20"/>
          <w:spacing w:val="-5"/>
          <w:sz w:val="20"/>
        </w:rPr>
        <w:t xml:space="preserve"> </w:t>
      </w:r>
      <w:r>
        <w:rPr>
          <w:color w:val="231F20"/>
          <w:sz w:val="20"/>
        </w:rPr>
        <w:t>inquiries.</w:t>
      </w:r>
      <w:r>
        <w:rPr>
          <w:color w:val="231F20"/>
          <w:spacing w:val="-6"/>
          <w:sz w:val="20"/>
        </w:rPr>
        <w:t xml:space="preserve"> </w:t>
      </w:r>
      <w:r>
        <w:rPr>
          <w:color w:val="231F20"/>
          <w:sz w:val="20"/>
        </w:rPr>
        <w:t>These</w:t>
      </w:r>
      <w:r>
        <w:rPr>
          <w:color w:val="231F20"/>
          <w:spacing w:val="-5"/>
          <w:sz w:val="20"/>
        </w:rPr>
        <w:t xml:space="preserve"> </w:t>
      </w:r>
      <w:r>
        <w:rPr>
          <w:color w:val="231F20"/>
          <w:spacing w:val="-3"/>
          <w:sz w:val="20"/>
        </w:rPr>
        <w:t>include:</w:t>
      </w:r>
    </w:p>
    <w:p w14:paraId="3EE8E3FE" w14:textId="77777777" w:rsidR="00894070" w:rsidRDefault="009B7AFD">
      <w:pPr>
        <w:pStyle w:val="ListParagraph"/>
        <w:numPr>
          <w:ilvl w:val="2"/>
          <w:numId w:val="177"/>
        </w:numPr>
        <w:tabs>
          <w:tab w:val="left" w:pos="2141"/>
          <w:tab w:val="left" w:pos="2142"/>
        </w:tabs>
        <w:spacing w:before="114" w:line="206" w:lineRule="auto"/>
        <w:ind w:right="1247" w:hanging="340"/>
        <w:rPr>
          <w:sz w:val="20"/>
        </w:rPr>
      </w:pPr>
      <w:r>
        <w:rPr>
          <w:color w:val="231F20"/>
          <w:sz w:val="20"/>
        </w:rPr>
        <w:t>The</w:t>
      </w:r>
      <w:r>
        <w:rPr>
          <w:color w:val="231F20"/>
          <w:spacing w:val="-8"/>
          <w:sz w:val="20"/>
        </w:rPr>
        <w:t xml:space="preserve"> </w:t>
      </w:r>
      <w:r>
        <w:rPr>
          <w:color w:val="231F20"/>
          <w:spacing w:val="-3"/>
          <w:sz w:val="20"/>
        </w:rPr>
        <w:t>Royal</w:t>
      </w:r>
      <w:r>
        <w:rPr>
          <w:color w:val="231F20"/>
          <w:spacing w:val="-7"/>
          <w:sz w:val="20"/>
        </w:rPr>
        <w:t xml:space="preserve"> </w:t>
      </w:r>
      <w:r>
        <w:rPr>
          <w:color w:val="231F20"/>
          <w:sz w:val="20"/>
        </w:rPr>
        <w:t>Commission</w:t>
      </w:r>
      <w:r>
        <w:rPr>
          <w:color w:val="231F20"/>
          <w:spacing w:val="-8"/>
          <w:sz w:val="20"/>
        </w:rPr>
        <w:t xml:space="preserve"> </w:t>
      </w:r>
      <w:r>
        <w:rPr>
          <w:color w:val="231F20"/>
          <w:spacing w:val="-3"/>
          <w:sz w:val="20"/>
        </w:rPr>
        <w:t>into</w:t>
      </w:r>
      <w:r>
        <w:rPr>
          <w:color w:val="231F20"/>
          <w:spacing w:val="-7"/>
          <w:sz w:val="20"/>
        </w:rPr>
        <w:t xml:space="preserve"> </w:t>
      </w:r>
      <w:r>
        <w:rPr>
          <w:color w:val="231F20"/>
          <w:spacing w:val="-4"/>
          <w:sz w:val="20"/>
        </w:rPr>
        <w:t>Family</w:t>
      </w:r>
      <w:r>
        <w:rPr>
          <w:color w:val="231F20"/>
          <w:spacing w:val="-8"/>
          <w:sz w:val="20"/>
        </w:rPr>
        <w:t xml:space="preserve"> </w:t>
      </w:r>
      <w:r>
        <w:rPr>
          <w:color w:val="231F20"/>
          <w:sz w:val="20"/>
        </w:rPr>
        <w:t>Violence—Our</w:t>
      </w:r>
      <w:r>
        <w:rPr>
          <w:color w:val="231F20"/>
          <w:spacing w:val="-7"/>
          <w:sz w:val="20"/>
        </w:rPr>
        <w:t xml:space="preserve"> </w:t>
      </w:r>
      <w:r>
        <w:rPr>
          <w:color w:val="231F20"/>
          <w:sz w:val="20"/>
        </w:rPr>
        <w:t>terms</w:t>
      </w:r>
      <w:r>
        <w:rPr>
          <w:color w:val="231F20"/>
          <w:spacing w:val="-8"/>
          <w:sz w:val="20"/>
        </w:rPr>
        <w:t xml:space="preserve"> </w:t>
      </w:r>
      <w:r>
        <w:rPr>
          <w:color w:val="231F20"/>
          <w:sz w:val="20"/>
        </w:rPr>
        <w:t>of</w:t>
      </w:r>
      <w:r>
        <w:rPr>
          <w:color w:val="231F20"/>
          <w:spacing w:val="-7"/>
          <w:sz w:val="20"/>
        </w:rPr>
        <w:t xml:space="preserve"> </w:t>
      </w:r>
      <w:r>
        <w:rPr>
          <w:color w:val="231F20"/>
          <w:spacing w:val="-3"/>
          <w:sz w:val="20"/>
        </w:rPr>
        <w:t>reference</w:t>
      </w:r>
      <w:r>
        <w:rPr>
          <w:color w:val="231F20"/>
          <w:spacing w:val="-8"/>
          <w:sz w:val="20"/>
        </w:rPr>
        <w:t xml:space="preserve"> </w:t>
      </w:r>
      <w:r>
        <w:rPr>
          <w:color w:val="231F20"/>
          <w:sz w:val="20"/>
        </w:rPr>
        <w:t>ask</w:t>
      </w:r>
      <w:r>
        <w:rPr>
          <w:color w:val="231F20"/>
          <w:spacing w:val="-7"/>
          <w:sz w:val="20"/>
        </w:rPr>
        <w:t xml:space="preserve"> </w:t>
      </w:r>
      <w:r>
        <w:rPr>
          <w:color w:val="231F20"/>
          <w:sz w:val="20"/>
        </w:rPr>
        <w:t>us</w:t>
      </w:r>
      <w:r>
        <w:rPr>
          <w:color w:val="231F20"/>
          <w:spacing w:val="-8"/>
          <w:sz w:val="20"/>
        </w:rPr>
        <w:t xml:space="preserve"> </w:t>
      </w:r>
      <w:r>
        <w:rPr>
          <w:color w:val="231F20"/>
          <w:sz w:val="20"/>
        </w:rPr>
        <w:t>to</w:t>
      </w:r>
      <w:r>
        <w:rPr>
          <w:color w:val="231F20"/>
          <w:spacing w:val="-7"/>
          <w:sz w:val="20"/>
        </w:rPr>
        <w:t xml:space="preserve"> </w:t>
      </w:r>
      <w:r>
        <w:rPr>
          <w:color w:val="231F20"/>
          <w:sz w:val="20"/>
        </w:rPr>
        <w:t xml:space="preserve">take this </w:t>
      </w:r>
      <w:r>
        <w:rPr>
          <w:color w:val="231F20"/>
          <w:spacing w:val="-3"/>
          <w:sz w:val="20"/>
        </w:rPr>
        <w:t xml:space="preserve">work into </w:t>
      </w:r>
      <w:r>
        <w:rPr>
          <w:color w:val="231F20"/>
          <w:sz w:val="20"/>
        </w:rPr>
        <w:t xml:space="preserve">account. </w:t>
      </w:r>
      <w:r>
        <w:rPr>
          <w:color w:val="231F20"/>
          <w:spacing w:val="-6"/>
          <w:sz w:val="20"/>
        </w:rPr>
        <w:t xml:space="preserve">We </w:t>
      </w:r>
      <w:r>
        <w:rPr>
          <w:color w:val="231F20"/>
          <w:sz w:val="20"/>
        </w:rPr>
        <w:t xml:space="preserve">discuss the </w:t>
      </w:r>
      <w:r>
        <w:rPr>
          <w:color w:val="231F20"/>
          <w:spacing w:val="-3"/>
          <w:sz w:val="20"/>
        </w:rPr>
        <w:t xml:space="preserve">family </w:t>
      </w:r>
      <w:r>
        <w:rPr>
          <w:color w:val="231F20"/>
          <w:sz w:val="20"/>
        </w:rPr>
        <w:t xml:space="preserve">violence </w:t>
      </w:r>
      <w:r>
        <w:rPr>
          <w:color w:val="231F20"/>
          <w:spacing w:val="-3"/>
          <w:sz w:val="20"/>
        </w:rPr>
        <w:t xml:space="preserve">reforms </w:t>
      </w:r>
      <w:r>
        <w:rPr>
          <w:color w:val="231F20"/>
          <w:sz w:val="20"/>
        </w:rPr>
        <w:t xml:space="preserve">in more detail in </w:t>
      </w:r>
      <w:r>
        <w:rPr>
          <w:color w:val="231F20"/>
          <w:spacing w:val="-3"/>
          <w:sz w:val="20"/>
        </w:rPr>
        <w:t xml:space="preserve">Chapters </w:t>
      </w:r>
      <w:r>
        <w:rPr>
          <w:color w:val="231F20"/>
          <w:sz w:val="20"/>
        </w:rPr>
        <w:t>3, 6 and</w:t>
      </w:r>
      <w:r>
        <w:rPr>
          <w:color w:val="231F20"/>
          <w:spacing w:val="-13"/>
          <w:sz w:val="20"/>
        </w:rPr>
        <w:t xml:space="preserve"> </w:t>
      </w:r>
      <w:r>
        <w:rPr>
          <w:color w:val="231F20"/>
          <w:sz w:val="20"/>
        </w:rPr>
        <w:t>8.</w:t>
      </w:r>
    </w:p>
    <w:p w14:paraId="077F5880" w14:textId="77777777" w:rsidR="00894070" w:rsidRDefault="009B7AFD">
      <w:pPr>
        <w:pStyle w:val="ListParagraph"/>
        <w:numPr>
          <w:ilvl w:val="2"/>
          <w:numId w:val="177"/>
        </w:numPr>
        <w:tabs>
          <w:tab w:val="left" w:pos="2141"/>
          <w:tab w:val="left" w:pos="2142"/>
        </w:tabs>
        <w:spacing w:before="89" w:line="206" w:lineRule="auto"/>
        <w:ind w:right="1325" w:hanging="340"/>
        <w:rPr>
          <w:sz w:val="11"/>
        </w:rPr>
      </w:pPr>
      <w:r>
        <w:rPr>
          <w:color w:val="231F20"/>
          <w:sz w:val="20"/>
        </w:rPr>
        <w:t xml:space="preserve">The </w:t>
      </w:r>
      <w:r>
        <w:rPr>
          <w:color w:val="231F20"/>
          <w:spacing w:val="-3"/>
          <w:sz w:val="20"/>
        </w:rPr>
        <w:t xml:space="preserve">Royal </w:t>
      </w:r>
      <w:r>
        <w:rPr>
          <w:color w:val="231F20"/>
          <w:sz w:val="20"/>
        </w:rPr>
        <w:t xml:space="preserve">Commission </w:t>
      </w:r>
      <w:r>
        <w:rPr>
          <w:color w:val="231F20"/>
          <w:spacing w:val="-3"/>
          <w:sz w:val="20"/>
        </w:rPr>
        <w:t xml:space="preserve">into Victoria’s </w:t>
      </w:r>
      <w:r>
        <w:rPr>
          <w:color w:val="231F20"/>
          <w:sz w:val="20"/>
        </w:rPr>
        <w:t xml:space="preserve">Mental Health System—Our terms of </w:t>
      </w:r>
      <w:r>
        <w:rPr>
          <w:color w:val="231F20"/>
          <w:spacing w:val="-3"/>
          <w:sz w:val="20"/>
        </w:rPr>
        <w:t xml:space="preserve">reference </w:t>
      </w:r>
      <w:r>
        <w:rPr>
          <w:color w:val="231F20"/>
          <w:sz w:val="20"/>
        </w:rPr>
        <w:t xml:space="preserve">ask us to take this </w:t>
      </w:r>
      <w:r>
        <w:rPr>
          <w:color w:val="231F20"/>
          <w:spacing w:val="-3"/>
          <w:sz w:val="20"/>
        </w:rPr>
        <w:t xml:space="preserve">work into </w:t>
      </w:r>
      <w:r>
        <w:rPr>
          <w:color w:val="231F20"/>
          <w:sz w:val="20"/>
        </w:rPr>
        <w:t xml:space="preserve">account. In </w:t>
      </w:r>
      <w:r>
        <w:rPr>
          <w:color w:val="231F20"/>
          <w:spacing w:val="-3"/>
          <w:sz w:val="20"/>
        </w:rPr>
        <w:t xml:space="preserve">Chapter </w:t>
      </w:r>
      <w:r>
        <w:rPr>
          <w:color w:val="231F20"/>
          <w:sz w:val="20"/>
        </w:rPr>
        <w:t xml:space="preserve">8, </w:t>
      </w:r>
      <w:r>
        <w:rPr>
          <w:color w:val="231F20"/>
          <w:spacing w:val="-3"/>
          <w:sz w:val="20"/>
        </w:rPr>
        <w:t xml:space="preserve">we </w:t>
      </w:r>
      <w:r>
        <w:rPr>
          <w:color w:val="231F20"/>
          <w:sz w:val="20"/>
        </w:rPr>
        <w:t>discuss its recommendations</w:t>
      </w:r>
      <w:r>
        <w:rPr>
          <w:color w:val="231F20"/>
          <w:spacing w:val="-12"/>
          <w:sz w:val="20"/>
        </w:rPr>
        <w:t xml:space="preserve"> </w:t>
      </w:r>
      <w:r>
        <w:rPr>
          <w:color w:val="231F20"/>
          <w:sz w:val="20"/>
        </w:rPr>
        <w:t>about</w:t>
      </w:r>
      <w:r>
        <w:rPr>
          <w:color w:val="231F20"/>
          <w:spacing w:val="-12"/>
          <w:sz w:val="20"/>
        </w:rPr>
        <w:t xml:space="preserve"> </w:t>
      </w:r>
      <w:r>
        <w:rPr>
          <w:color w:val="231F20"/>
          <w:sz w:val="20"/>
        </w:rPr>
        <w:t>supporting</w:t>
      </w:r>
      <w:r>
        <w:rPr>
          <w:color w:val="231F20"/>
          <w:spacing w:val="-12"/>
          <w:sz w:val="20"/>
        </w:rPr>
        <w:t xml:space="preserve"> </w:t>
      </w:r>
      <w:r>
        <w:rPr>
          <w:color w:val="231F20"/>
          <w:sz w:val="20"/>
        </w:rPr>
        <w:t>the</w:t>
      </w:r>
      <w:r>
        <w:rPr>
          <w:color w:val="231F20"/>
          <w:spacing w:val="-12"/>
          <w:sz w:val="20"/>
        </w:rPr>
        <w:t xml:space="preserve"> </w:t>
      </w:r>
      <w:r>
        <w:rPr>
          <w:color w:val="231F20"/>
          <w:sz w:val="20"/>
        </w:rPr>
        <w:t>mental</w:t>
      </w:r>
      <w:r>
        <w:rPr>
          <w:color w:val="231F20"/>
          <w:spacing w:val="-12"/>
          <w:sz w:val="20"/>
        </w:rPr>
        <w:t xml:space="preserve"> </w:t>
      </w:r>
      <w:r>
        <w:rPr>
          <w:color w:val="231F20"/>
          <w:sz w:val="20"/>
        </w:rPr>
        <w:t>health</w:t>
      </w:r>
      <w:r>
        <w:rPr>
          <w:color w:val="231F20"/>
          <w:spacing w:val="-12"/>
          <w:sz w:val="20"/>
        </w:rPr>
        <w:t xml:space="preserve"> </w:t>
      </w:r>
      <w:r>
        <w:rPr>
          <w:color w:val="231F20"/>
          <w:sz w:val="20"/>
        </w:rPr>
        <w:t>and</w:t>
      </w:r>
      <w:r>
        <w:rPr>
          <w:color w:val="231F20"/>
          <w:spacing w:val="-12"/>
          <w:sz w:val="20"/>
        </w:rPr>
        <w:t xml:space="preserve"> </w:t>
      </w:r>
      <w:r>
        <w:rPr>
          <w:color w:val="231F20"/>
          <w:sz w:val="20"/>
        </w:rPr>
        <w:t>wellbeing</w:t>
      </w:r>
      <w:r>
        <w:rPr>
          <w:color w:val="231F20"/>
          <w:spacing w:val="-12"/>
          <w:sz w:val="20"/>
        </w:rPr>
        <w:t xml:space="preserve"> </w:t>
      </w:r>
      <w:r>
        <w:rPr>
          <w:color w:val="231F20"/>
          <w:sz w:val="20"/>
        </w:rPr>
        <w:t>of</w:t>
      </w:r>
      <w:r>
        <w:rPr>
          <w:color w:val="231F20"/>
          <w:spacing w:val="-12"/>
          <w:sz w:val="20"/>
        </w:rPr>
        <w:t xml:space="preserve"> </w:t>
      </w:r>
      <w:r>
        <w:rPr>
          <w:color w:val="231F20"/>
          <w:sz w:val="20"/>
        </w:rPr>
        <w:t>people</w:t>
      </w:r>
      <w:r>
        <w:rPr>
          <w:color w:val="231F20"/>
          <w:spacing w:val="-12"/>
          <w:sz w:val="20"/>
        </w:rPr>
        <w:t xml:space="preserve"> </w:t>
      </w:r>
      <w:r>
        <w:rPr>
          <w:color w:val="231F20"/>
          <w:sz w:val="20"/>
        </w:rPr>
        <w:t>in contact with the criminal justice</w:t>
      </w:r>
      <w:r>
        <w:rPr>
          <w:color w:val="231F20"/>
          <w:spacing w:val="-23"/>
          <w:sz w:val="20"/>
        </w:rPr>
        <w:t xml:space="preserve"> </w:t>
      </w:r>
      <w:r>
        <w:rPr>
          <w:color w:val="231F20"/>
          <w:sz w:val="20"/>
        </w:rPr>
        <w:t>system.</w:t>
      </w:r>
      <w:r>
        <w:rPr>
          <w:color w:val="231F20"/>
          <w:position w:val="7"/>
          <w:sz w:val="11"/>
        </w:rPr>
        <w:t>35</w:t>
      </w:r>
    </w:p>
    <w:p w14:paraId="3B72D614" w14:textId="77777777" w:rsidR="00894070" w:rsidRDefault="009B7AFD">
      <w:pPr>
        <w:pStyle w:val="ListParagraph"/>
        <w:numPr>
          <w:ilvl w:val="2"/>
          <w:numId w:val="177"/>
        </w:numPr>
        <w:tabs>
          <w:tab w:val="left" w:pos="2142"/>
        </w:tabs>
        <w:spacing w:before="90" w:line="206" w:lineRule="auto"/>
        <w:ind w:right="1591" w:hanging="340"/>
        <w:jc w:val="both"/>
        <w:rPr>
          <w:sz w:val="11"/>
        </w:rPr>
      </w:pPr>
      <w:r>
        <w:rPr>
          <w:color w:val="231F20"/>
          <w:sz w:val="20"/>
        </w:rPr>
        <w:t>National</w:t>
      </w:r>
      <w:r>
        <w:rPr>
          <w:color w:val="231F20"/>
          <w:spacing w:val="-12"/>
          <w:sz w:val="20"/>
        </w:rPr>
        <w:t xml:space="preserve"> </w:t>
      </w:r>
      <w:r>
        <w:rPr>
          <w:color w:val="231F20"/>
          <w:sz w:val="20"/>
        </w:rPr>
        <w:t>principles</w:t>
      </w:r>
      <w:r>
        <w:rPr>
          <w:color w:val="231F20"/>
          <w:spacing w:val="-12"/>
          <w:sz w:val="20"/>
        </w:rPr>
        <w:t xml:space="preserve"> </w:t>
      </w:r>
      <w:r>
        <w:rPr>
          <w:color w:val="231F20"/>
          <w:sz w:val="20"/>
        </w:rPr>
        <w:t>addressing</w:t>
      </w:r>
      <w:r>
        <w:rPr>
          <w:color w:val="231F20"/>
          <w:spacing w:val="-11"/>
          <w:sz w:val="20"/>
        </w:rPr>
        <w:t xml:space="preserve"> </w:t>
      </w:r>
      <w:r>
        <w:rPr>
          <w:color w:val="231F20"/>
          <w:spacing w:val="-3"/>
          <w:sz w:val="20"/>
        </w:rPr>
        <w:t>coercive</w:t>
      </w:r>
      <w:r>
        <w:rPr>
          <w:color w:val="231F20"/>
          <w:spacing w:val="-12"/>
          <w:sz w:val="20"/>
        </w:rPr>
        <w:t xml:space="preserve"> </w:t>
      </w:r>
      <w:r>
        <w:rPr>
          <w:color w:val="231F20"/>
          <w:spacing w:val="-5"/>
          <w:sz w:val="20"/>
        </w:rPr>
        <w:t>control—We</w:t>
      </w:r>
      <w:r>
        <w:rPr>
          <w:color w:val="231F20"/>
          <w:spacing w:val="-12"/>
          <w:sz w:val="20"/>
        </w:rPr>
        <w:t xml:space="preserve"> </w:t>
      </w:r>
      <w:r>
        <w:rPr>
          <w:color w:val="231F20"/>
          <w:sz w:val="20"/>
        </w:rPr>
        <w:t>considered</w:t>
      </w:r>
      <w:r>
        <w:rPr>
          <w:color w:val="231F20"/>
          <w:spacing w:val="-11"/>
          <w:sz w:val="20"/>
        </w:rPr>
        <w:t xml:space="preserve"> </w:t>
      </w:r>
      <w:r>
        <w:rPr>
          <w:color w:val="231F20"/>
          <w:sz w:val="20"/>
        </w:rPr>
        <w:t>the</w:t>
      </w:r>
      <w:r>
        <w:rPr>
          <w:color w:val="231F20"/>
          <w:spacing w:val="-12"/>
          <w:sz w:val="20"/>
        </w:rPr>
        <w:t xml:space="preserve"> </w:t>
      </w:r>
      <w:r>
        <w:rPr>
          <w:color w:val="231F20"/>
          <w:sz w:val="20"/>
        </w:rPr>
        <w:t xml:space="preserve">Australian </w:t>
      </w:r>
      <w:r>
        <w:rPr>
          <w:color w:val="231F20"/>
          <w:spacing w:val="-3"/>
          <w:sz w:val="20"/>
        </w:rPr>
        <w:t xml:space="preserve">Government </w:t>
      </w:r>
      <w:r>
        <w:rPr>
          <w:color w:val="231F20"/>
          <w:sz w:val="20"/>
        </w:rPr>
        <w:t xml:space="preserve">and Victorian </w:t>
      </w:r>
      <w:r>
        <w:rPr>
          <w:color w:val="231F20"/>
          <w:spacing w:val="-3"/>
          <w:sz w:val="20"/>
        </w:rPr>
        <w:t xml:space="preserve">work </w:t>
      </w:r>
      <w:r>
        <w:rPr>
          <w:color w:val="231F20"/>
          <w:sz w:val="20"/>
        </w:rPr>
        <w:t xml:space="preserve">on </w:t>
      </w:r>
      <w:r>
        <w:rPr>
          <w:color w:val="231F20"/>
          <w:spacing w:val="-3"/>
          <w:sz w:val="20"/>
        </w:rPr>
        <w:t xml:space="preserve">coercive control, </w:t>
      </w:r>
      <w:r>
        <w:rPr>
          <w:color w:val="231F20"/>
          <w:sz w:val="20"/>
        </w:rPr>
        <w:t xml:space="preserve">including </w:t>
      </w:r>
      <w:r>
        <w:rPr>
          <w:color w:val="231F20"/>
          <w:spacing w:val="-3"/>
          <w:sz w:val="20"/>
        </w:rPr>
        <w:t xml:space="preserve">potential </w:t>
      </w:r>
      <w:r>
        <w:rPr>
          <w:color w:val="231F20"/>
          <w:spacing w:val="-2"/>
          <w:sz w:val="20"/>
        </w:rPr>
        <w:t xml:space="preserve">system </w:t>
      </w:r>
      <w:r>
        <w:rPr>
          <w:color w:val="231F20"/>
          <w:spacing w:val="-3"/>
          <w:sz w:val="20"/>
        </w:rPr>
        <w:t xml:space="preserve">reforms </w:t>
      </w:r>
      <w:r>
        <w:rPr>
          <w:color w:val="231F20"/>
          <w:sz w:val="20"/>
        </w:rPr>
        <w:t xml:space="preserve">and </w:t>
      </w:r>
      <w:r>
        <w:rPr>
          <w:color w:val="231F20"/>
          <w:spacing w:val="-3"/>
          <w:sz w:val="20"/>
        </w:rPr>
        <w:t xml:space="preserve">overlaps </w:t>
      </w:r>
      <w:r>
        <w:rPr>
          <w:color w:val="231F20"/>
          <w:sz w:val="20"/>
        </w:rPr>
        <w:t>with this</w:t>
      </w:r>
      <w:r>
        <w:rPr>
          <w:color w:val="231F20"/>
          <w:spacing w:val="-15"/>
          <w:sz w:val="20"/>
        </w:rPr>
        <w:t xml:space="preserve"> </w:t>
      </w:r>
      <w:r>
        <w:rPr>
          <w:color w:val="231F20"/>
          <w:sz w:val="20"/>
        </w:rPr>
        <w:t>inquiry.</w:t>
      </w:r>
      <w:r>
        <w:rPr>
          <w:color w:val="231F20"/>
          <w:position w:val="7"/>
          <w:sz w:val="11"/>
        </w:rPr>
        <w:t>36</w:t>
      </w:r>
    </w:p>
    <w:p w14:paraId="3F8BA438" w14:textId="77777777" w:rsidR="00894070" w:rsidRDefault="009B7AFD">
      <w:pPr>
        <w:pStyle w:val="ListParagraph"/>
        <w:numPr>
          <w:ilvl w:val="2"/>
          <w:numId w:val="177"/>
        </w:numPr>
        <w:tabs>
          <w:tab w:val="left" w:pos="2141"/>
          <w:tab w:val="left" w:pos="2142"/>
        </w:tabs>
        <w:spacing w:before="89" w:line="206" w:lineRule="auto"/>
        <w:ind w:right="1412" w:hanging="340"/>
        <w:rPr>
          <w:sz w:val="20"/>
        </w:rPr>
      </w:pPr>
      <w:r>
        <w:rPr>
          <w:color w:val="231F20"/>
          <w:spacing w:val="-3"/>
          <w:sz w:val="20"/>
        </w:rPr>
        <w:t>Review</w:t>
      </w:r>
      <w:r>
        <w:rPr>
          <w:color w:val="231F20"/>
          <w:spacing w:val="-7"/>
          <w:sz w:val="20"/>
        </w:rPr>
        <w:t xml:space="preserve"> </w:t>
      </w:r>
      <w:r>
        <w:rPr>
          <w:color w:val="231F20"/>
          <w:sz w:val="20"/>
        </w:rPr>
        <w:t>of</w:t>
      </w:r>
      <w:r>
        <w:rPr>
          <w:color w:val="231F20"/>
          <w:spacing w:val="-7"/>
          <w:sz w:val="20"/>
        </w:rPr>
        <w:t xml:space="preserve"> </w:t>
      </w:r>
      <w:r>
        <w:rPr>
          <w:color w:val="231F20"/>
          <w:spacing w:val="-3"/>
          <w:sz w:val="20"/>
        </w:rPr>
        <w:t>Victoria’s</w:t>
      </w:r>
      <w:r>
        <w:rPr>
          <w:color w:val="231F20"/>
          <w:spacing w:val="-6"/>
          <w:sz w:val="20"/>
        </w:rPr>
        <w:t xml:space="preserve"> </w:t>
      </w:r>
      <w:r>
        <w:rPr>
          <w:color w:val="231F20"/>
          <w:sz w:val="20"/>
        </w:rPr>
        <w:t>victim</w:t>
      </w:r>
      <w:r>
        <w:rPr>
          <w:color w:val="231F20"/>
          <w:spacing w:val="-7"/>
          <w:sz w:val="20"/>
        </w:rPr>
        <w:t xml:space="preserve"> </w:t>
      </w:r>
      <w:r>
        <w:rPr>
          <w:color w:val="231F20"/>
          <w:spacing w:val="-3"/>
          <w:sz w:val="20"/>
        </w:rPr>
        <w:t>services—The</w:t>
      </w:r>
      <w:r>
        <w:rPr>
          <w:color w:val="231F20"/>
          <w:spacing w:val="-6"/>
          <w:sz w:val="20"/>
        </w:rPr>
        <w:t xml:space="preserve"> </w:t>
      </w:r>
      <w:r>
        <w:rPr>
          <w:color w:val="231F20"/>
          <w:sz w:val="20"/>
        </w:rPr>
        <w:t>Victorian</w:t>
      </w:r>
      <w:r>
        <w:rPr>
          <w:color w:val="231F20"/>
          <w:spacing w:val="-7"/>
          <w:sz w:val="20"/>
        </w:rPr>
        <w:t xml:space="preserve"> </w:t>
      </w:r>
      <w:r>
        <w:rPr>
          <w:color w:val="231F20"/>
          <w:spacing w:val="-3"/>
          <w:sz w:val="20"/>
        </w:rPr>
        <w:t>Government</w:t>
      </w:r>
      <w:r>
        <w:rPr>
          <w:color w:val="231F20"/>
          <w:spacing w:val="-6"/>
          <w:sz w:val="20"/>
        </w:rPr>
        <w:t xml:space="preserve"> </w:t>
      </w:r>
      <w:r>
        <w:rPr>
          <w:color w:val="231F20"/>
          <w:sz w:val="20"/>
        </w:rPr>
        <w:t>has</w:t>
      </w:r>
      <w:r>
        <w:rPr>
          <w:color w:val="231F20"/>
          <w:spacing w:val="-7"/>
          <w:sz w:val="20"/>
        </w:rPr>
        <w:t xml:space="preserve"> </w:t>
      </w:r>
      <w:r>
        <w:rPr>
          <w:color w:val="231F20"/>
          <w:sz w:val="20"/>
        </w:rPr>
        <w:t>committed</w:t>
      </w:r>
      <w:r>
        <w:rPr>
          <w:color w:val="231F20"/>
          <w:spacing w:val="-7"/>
          <w:sz w:val="20"/>
        </w:rPr>
        <w:t xml:space="preserve"> </w:t>
      </w:r>
      <w:r>
        <w:rPr>
          <w:color w:val="231F20"/>
          <w:sz w:val="20"/>
        </w:rPr>
        <w:t xml:space="preserve">to </w:t>
      </w:r>
      <w:r>
        <w:rPr>
          <w:color w:val="231F20"/>
          <w:spacing w:val="-3"/>
          <w:sz w:val="20"/>
        </w:rPr>
        <w:t xml:space="preserve">reforming </w:t>
      </w:r>
      <w:r>
        <w:rPr>
          <w:color w:val="231F20"/>
          <w:sz w:val="20"/>
        </w:rPr>
        <w:t xml:space="preserve">the support </w:t>
      </w:r>
      <w:r>
        <w:rPr>
          <w:color w:val="231F20"/>
          <w:spacing w:val="-2"/>
          <w:sz w:val="20"/>
        </w:rPr>
        <w:t xml:space="preserve">system </w:t>
      </w:r>
      <w:r>
        <w:rPr>
          <w:color w:val="231F20"/>
          <w:spacing w:val="-3"/>
          <w:sz w:val="20"/>
        </w:rPr>
        <w:t xml:space="preserve">for </w:t>
      </w:r>
      <w:r>
        <w:rPr>
          <w:color w:val="231F20"/>
          <w:sz w:val="20"/>
        </w:rPr>
        <w:t>victims.</w:t>
      </w:r>
      <w:r>
        <w:rPr>
          <w:color w:val="231F20"/>
          <w:position w:val="7"/>
          <w:sz w:val="11"/>
        </w:rPr>
        <w:t xml:space="preserve">37 </w:t>
      </w:r>
      <w:r>
        <w:rPr>
          <w:color w:val="231F20"/>
          <w:spacing w:val="-6"/>
          <w:sz w:val="20"/>
        </w:rPr>
        <w:t xml:space="preserve">We </w:t>
      </w:r>
      <w:r>
        <w:rPr>
          <w:color w:val="231F20"/>
          <w:sz w:val="20"/>
        </w:rPr>
        <w:t xml:space="preserve">build on this </w:t>
      </w:r>
      <w:r>
        <w:rPr>
          <w:color w:val="231F20"/>
          <w:spacing w:val="-3"/>
          <w:sz w:val="20"/>
        </w:rPr>
        <w:t xml:space="preserve">work </w:t>
      </w:r>
      <w:r>
        <w:rPr>
          <w:color w:val="231F20"/>
          <w:sz w:val="20"/>
        </w:rPr>
        <w:t xml:space="preserve">in </w:t>
      </w:r>
      <w:r>
        <w:rPr>
          <w:color w:val="231F20"/>
          <w:spacing w:val="-3"/>
          <w:sz w:val="20"/>
        </w:rPr>
        <w:t>Chapter</w:t>
      </w:r>
      <w:r>
        <w:rPr>
          <w:color w:val="231F20"/>
          <w:spacing w:val="-17"/>
          <w:sz w:val="20"/>
        </w:rPr>
        <w:t xml:space="preserve"> </w:t>
      </w:r>
      <w:r>
        <w:rPr>
          <w:color w:val="231F20"/>
          <w:spacing w:val="2"/>
          <w:sz w:val="20"/>
        </w:rPr>
        <w:t>5.</w:t>
      </w:r>
    </w:p>
    <w:p w14:paraId="6B27C1D9" w14:textId="77777777" w:rsidR="00894070" w:rsidRDefault="009B7AFD">
      <w:pPr>
        <w:pStyle w:val="ListParagraph"/>
        <w:numPr>
          <w:ilvl w:val="2"/>
          <w:numId w:val="177"/>
        </w:numPr>
        <w:tabs>
          <w:tab w:val="left" w:pos="2141"/>
          <w:tab w:val="left" w:pos="2142"/>
        </w:tabs>
        <w:spacing w:before="55" w:line="259" w:lineRule="exact"/>
        <w:ind w:hanging="340"/>
        <w:rPr>
          <w:sz w:val="20"/>
        </w:rPr>
      </w:pPr>
      <w:r>
        <w:rPr>
          <w:color w:val="231F20"/>
          <w:sz w:val="20"/>
        </w:rPr>
        <w:t xml:space="preserve">Australian </w:t>
      </w:r>
      <w:r>
        <w:rPr>
          <w:color w:val="231F20"/>
          <w:spacing w:val="-3"/>
          <w:sz w:val="20"/>
        </w:rPr>
        <w:t xml:space="preserve">Government </w:t>
      </w:r>
      <w:r>
        <w:rPr>
          <w:color w:val="231F20"/>
          <w:spacing w:val="-5"/>
          <w:sz w:val="20"/>
        </w:rPr>
        <w:t xml:space="preserve">reforms—We </w:t>
      </w:r>
      <w:r>
        <w:rPr>
          <w:color w:val="231F20"/>
          <w:sz w:val="20"/>
        </w:rPr>
        <w:t xml:space="preserve">considered </w:t>
      </w:r>
      <w:r>
        <w:rPr>
          <w:color w:val="231F20"/>
          <w:spacing w:val="-3"/>
          <w:sz w:val="20"/>
        </w:rPr>
        <w:t xml:space="preserve">reforms </w:t>
      </w:r>
      <w:r>
        <w:rPr>
          <w:color w:val="231F20"/>
          <w:sz w:val="20"/>
        </w:rPr>
        <w:t>in the federal</w:t>
      </w:r>
      <w:r>
        <w:rPr>
          <w:color w:val="231F20"/>
          <w:spacing w:val="-31"/>
          <w:sz w:val="20"/>
        </w:rPr>
        <w:t xml:space="preserve"> </w:t>
      </w:r>
      <w:r>
        <w:rPr>
          <w:color w:val="231F20"/>
          <w:sz w:val="20"/>
        </w:rPr>
        <w:t>jurisdiction,</w:t>
      </w:r>
    </w:p>
    <w:p w14:paraId="6F4482F0" w14:textId="77777777" w:rsidR="00894070" w:rsidRDefault="009B7AFD">
      <w:pPr>
        <w:pStyle w:val="BodyText"/>
        <w:spacing w:line="259" w:lineRule="exact"/>
        <w:ind w:left="2141"/>
      </w:pPr>
      <w:r>
        <w:rPr>
          <w:color w:val="231F20"/>
        </w:rPr>
        <w:t xml:space="preserve">including new powers of the </w:t>
      </w:r>
      <w:proofErr w:type="spellStart"/>
      <w:r>
        <w:rPr>
          <w:color w:val="231F20"/>
        </w:rPr>
        <w:t>eSafety</w:t>
      </w:r>
      <w:proofErr w:type="spellEnd"/>
      <w:r>
        <w:rPr>
          <w:color w:val="231F20"/>
        </w:rPr>
        <w:t xml:space="preserve"> Commissioner, in Chapter 3.</w:t>
      </w:r>
    </w:p>
    <w:p w14:paraId="32601A9D" w14:textId="77777777" w:rsidR="00894070" w:rsidRDefault="00894070">
      <w:pPr>
        <w:pStyle w:val="BodyText"/>
      </w:pPr>
    </w:p>
    <w:p w14:paraId="2BE9C264" w14:textId="77777777" w:rsidR="00894070" w:rsidRDefault="00894070">
      <w:pPr>
        <w:pStyle w:val="BodyText"/>
      </w:pPr>
    </w:p>
    <w:p w14:paraId="41D34980" w14:textId="77777777" w:rsidR="00894070" w:rsidRDefault="009F6793">
      <w:pPr>
        <w:pStyle w:val="BodyText"/>
        <w:spacing w:before="5"/>
        <w:rPr>
          <w:sz w:val="21"/>
        </w:rPr>
      </w:pPr>
      <w:r>
        <w:pict w14:anchorId="7C7AD3C2">
          <v:line id="_x0000_s1696" style="position:absolute;z-index:-251469824;mso-wrap-distance-left:0;mso-wrap-distance-right:0;mso-position-horizontal-relative:page" from="79.35pt,17.3pt" to="515.9pt,17.3pt" strokecolor="#f8cabc" strokeweight="1pt">
            <w10:wrap type="topAndBottom" anchorx="page"/>
          </v:line>
        </w:pict>
      </w:r>
    </w:p>
    <w:p w14:paraId="61B77ECD" w14:textId="77777777" w:rsidR="00894070" w:rsidRDefault="009B7AFD">
      <w:pPr>
        <w:pStyle w:val="ListParagraph"/>
        <w:numPr>
          <w:ilvl w:val="0"/>
          <w:numId w:val="176"/>
        </w:numPr>
        <w:tabs>
          <w:tab w:val="left" w:pos="1800"/>
          <w:tab w:val="left" w:pos="1802"/>
        </w:tabs>
        <w:spacing w:before="107" w:line="213" w:lineRule="auto"/>
        <w:ind w:right="1444"/>
        <w:rPr>
          <w:sz w:val="13"/>
        </w:rPr>
      </w:pPr>
      <w:r>
        <w:rPr>
          <w:color w:val="231F20"/>
          <w:sz w:val="13"/>
        </w:rPr>
        <w:t xml:space="preserve">Centre for Innovative Justice, RMIT University, </w:t>
      </w:r>
      <w:r>
        <w:rPr>
          <w:i/>
          <w:color w:val="231F20"/>
          <w:sz w:val="13"/>
        </w:rPr>
        <w:t xml:space="preserve">Opportunities for Early Intervention: Bringing Perpetrators of Family Violence into View </w:t>
      </w:r>
      <w:r>
        <w:rPr>
          <w:color w:val="231F20"/>
          <w:spacing w:val="2"/>
          <w:sz w:val="13"/>
        </w:rPr>
        <w:t xml:space="preserve">(Report, </w:t>
      </w:r>
      <w:r>
        <w:rPr>
          <w:color w:val="231F20"/>
          <w:sz w:val="13"/>
        </w:rPr>
        <w:t>March 2015)</w:t>
      </w:r>
      <w:r>
        <w:rPr>
          <w:color w:val="231F20"/>
          <w:spacing w:val="-2"/>
          <w:sz w:val="13"/>
        </w:rPr>
        <w:t xml:space="preserve"> </w:t>
      </w:r>
      <w:r>
        <w:rPr>
          <w:color w:val="231F20"/>
          <w:spacing w:val="2"/>
          <w:sz w:val="13"/>
        </w:rPr>
        <w:t>88.</w:t>
      </w:r>
    </w:p>
    <w:p w14:paraId="57886D5E" w14:textId="77777777" w:rsidR="00894070" w:rsidRDefault="009B7AFD">
      <w:pPr>
        <w:pStyle w:val="ListParagraph"/>
        <w:numPr>
          <w:ilvl w:val="0"/>
          <w:numId w:val="176"/>
        </w:numPr>
        <w:tabs>
          <w:tab w:val="left" w:pos="1801"/>
          <w:tab w:val="left" w:pos="1802"/>
        </w:tabs>
        <w:spacing w:line="153" w:lineRule="exact"/>
        <w:rPr>
          <w:sz w:val="13"/>
        </w:rPr>
      </w:pPr>
      <w:r>
        <w:rPr>
          <w:i/>
          <w:color w:val="231F20"/>
          <w:sz w:val="13"/>
        </w:rPr>
        <w:t xml:space="preserve">Charter of Human </w:t>
      </w:r>
      <w:r>
        <w:rPr>
          <w:i/>
          <w:color w:val="231F20"/>
          <w:spacing w:val="2"/>
          <w:sz w:val="13"/>
        </w:rPr>
        <w:t xml:space="preserve">Rights </w:t>
      </w:r>
      <w:r>
        <w:rPr>
          <w:i/>
          <w:color w:val="231F20"/>
          <w:sz w:val="13"/>
        </w:rPr>
        <w:t xml:space="preserve">and Responsibilities Act 2006 </w:t>
      </w:r>
      <w:r>
        <w:rPr>
          <w:color w:val="231F20"/>
          <w:sz w:val="13"/>
        </w:rPr>
        <w:t xml:space="preserve">(Vic) ss </w:t>
      </w:r>
      <w:r>
        <w:rPr>
          <w:color w:val="231F20"/>
          <w:spacing w:val="3"/>
          <w:sz w:val="13"/>
        </w:rPr>
        <w:t>24,</w:t>
      </w:r>
      <w:r>
        <w:rPr>
          <w:color w:val="231F20"/>
          <w:spacing w:val="2"/>
          <w:sz w:val="13"/>
        </w:rPr>
        <w:t xml:space="preserve"> 25.</w:t>
      </w:r>
    </w:p>
    <w:p w14:paraId="27D88265" w14:textId="77777777" w:rsidR="00894070" w:rsidRDefault="009B7AFD">
      <w:pPr>
        <w:pStyle w:val="ListParagraph"/>
        <w:numPr>
          <w:ilvl w:val="0"/>
          <w:numId w:val="176"/>
        </w:numPr>
        <w:tabs>
          <w:tab w:val="left" w:pos="1801"/>
          <w:tab w:val="left" w:pos="1802"/>
        </w:tabs>
        <w:spacing w:line="160" w:lineRule="exact"/>
        <w:rPr>
          <w:sz w:val="13"/>
        </w:rPr>
      </w:pPr>
      <w:r>
        <w:rPr>
          <w:i/>
          <w:color w:val="231F20"/>
          <w:sz w:val="13"/>
        </w:rPr>
        <w:t xml:space="preserve">Royal Commission into Victoria’s Mental Health System </w:t>
      </w:r>
      <w:r>
        <w:rPr>
          <w:color w:val="231F20"/>
          <w:sz w:val="13"/>
        </w:rPr>
        <w:t xml:space="preserve">(Final </w:t>
      </w:r>
      <w:r>
        <w:rPr>
          <w:color w:val="231F20"/>
          <w:spacing w:val="2"/>
          <w:sz w:val="13"/>
        </w:rPr>
        <w:t xml:space="preserve">Report, </w:t>
      </w:r>
      <w:r>
        <w:rPr>
          <w:color w:val="231F20"/>
          <w:sz w:val="13"/>
        </w:rPr>
        <w:t xml:space="preserve">February 2021) vol </w:t>
      </w:r>
      <w:r>
        <w:rPr>
          <w:color w:val="231F20"/>
          <w:spacing w:val="2"/>
          <w:sz w:val="13"/>
        </w:rPr>
        <w:t xml:space="preserve">3, </w:t>
      </w:r>
      <w:r>
        <w:rPr>
          <w:color w:val="231F20"/>
          <w:sz w:val="13"/>
        </w:rPr>
        <w:t>347, Recommendation</w:t>
      </w:r>
      <w:r>
        <w:rPr>
          <w:color w:val="231F20"/>
          <w:spacing w:val="16"/>
          <w:sz w:val="13"/>
        </w:rPr>
        <w:t xml:space="preserve"> </w:t>
      </w:r>
      <w:r>
        <w:rPr>
          <w:color w:val="231F20"/>
          <w:sz w:val="13"/>
        </w:rPr>
        <w:t>37.</w:t>
      </w:r>
    </w:p>
    <w:p w14:paraId="380F2EF7" w14:textId="77777777" w:rsidR="00894070" w:rsidRDefault="009F6793">
      <w:pPr>
        <w:pStyle w:val="ListParagraph"/>
        <w:numPr>
          <w:ilvl w:val="0"/>
          <w:numId w:val="176"/>
        </w:numPr>
        <w:tabs>
          <w:tab w:val="left" w:pos="1801"/>
          <w:tab w:val="left" w:pos="1802"/>
        </w:tabs>
        <w:spacing w:before="6" w:line="213" w:lineRule="auto"/>
        <w:ind w:right="1264"/>
        <w:rPr>
          <w:sz w:val="13"/>
        </w:rPr>
      </w:pPr>
      <w:r>
        <w:pict w14:anchorId="0F1AA381">
          <v:shape id="_x0000_s1695" type="#_x0000_t202" style="position:absolute;left:0;text-align:left;margin-left:36pt;margin-top:35.7pt;width:7.25pt;height:14.1pt;z-index:251480064;mso-position-horizontal-relative:page" filled="f" stroked="f">
            <v:textbox inset="0,0,0,0">
              <w:txbxContent>
                <w:p w14:paraId="7311963D" w14:textId="77777777" w:rsidR="00894070" w:rsidRDefault="009B7AFD">
                  <w:pPr>
                    <w:spacing w:line="282" w:lineRule="exact"/>
                    <w:rPr>
                      <w:b/>
                      <w:sz w:val="24"/>
                    </w:rPr>
                  </w:pPr>
                  <w:r>
                    <w:rPr>
                      <w:b/>
                      <w:color w:val="EA5B50"/>
                      <w:sz w:val="24"/>
                    </w:rPr>
                    <w:t>8</w:t>
                  </w:r>
                </w:p>
              </w:txbxContent>
            </v:textbox>
            <w10:wrap anchorx="page"/>
          </v:shape>
        </w:pict>
      </w:r>
      <w:r w:rsidR="009B7AFD">
        <w:rPr>
          <w:color w:val="231F20"/>
          <w:sz w:val="13"/>
        </w:rPr>
        <w:t xml:space="preserve">‘Development of National Principles on Addressing Coercive Control: Terms of Reference’, </w:t>
      </w:r>
      <w:r w:rsidR="009B7AFD">
        <w:rPr>
          <w:i/>
          <w:color w:val="231F20"/>
          <w:sz w:val="13"/>
        </w:rPr>
        <w:t xml:space="preserve">Attorney-General’s </w:t>
      </w:r>
      <w:r w:rsidR="009B7AFD">
        <w:rPr>
          <w:i/>
          <w:color w:val="231F20"/>
          <w:spacing w:val="2"/>
          <w:sz w:val="13"/>
        </w:rPr>
        <w:t xml:space="preserve">Department </w:t>
      </w:r>
      <w:r w:rsidR="009B7AFD">
        <w:rPr>
          <w:color w:val="231F20"/>
          <w:sz w:val="13"/>
        </w:rPr>
        <w:t>(Web Page, 9 July 2021</w:t>
      </w:r>
      <w:hyperlink r:id="rId25">
        <w:r w:rsidR="009B7AFD">
          <w:rPr>
            <w:color w:val="231F20"/>
            <w:sz w:val="13"/>
          </w:rPr>
          <w:t>) &lt;https://www.ag.gov.au/families-and-marriage/publications/development-national-principles-addressing-</w:t>
        </w:r>
      </w:hyperlink>
      <w:hyperlink r:id="rId26">
        <w:r w:rsidR="009B7AFD">
          <w:rPr>
            <w:color w:val="231F20"/>
            <w:sz w:val="13"/>
          </w:rPr>
          <w:t xml:space="preserve"> coercive-control</w:t>
        </w:r>
      </w:hyperlink>
      <w:r w:rsidR="009B7AFD">
        <w:rPr>
          <w:color w:val="231F20"/>
          <w:sz w:val="13"/>
        </w:rPr>
        <w:t xml:space="preserve">&gt;; Jewel Topsfield, ‘Debate Rages among Family Violence </w:t>
      </w:r>
      <w:r w:rsidR="009B7AFD">
        <w:rPr>
          <w:color w:val="231F20"/>
          <w:spacing w:val="2"/>
          <w:sz w:val="13"/>
        </w:rPr>
        <w:t xml:space="preserve">Campaigners </w:t>
      </w:r>
      <w:r w:rsidR="009B7AFD">
        <w:rPr>
          <w:color w:val="231F20"/>
          <w:sz w:val="13"/>
        </w:rPr>
        <w:t xml:space="preserve">over </w:t>
      </w:r>
      <w:proofErr w:type="spellStart"/>
      <w:r w:rsidR="009B7AFD">
        <w:rPr>
          <w:color w:val="231F20"/>
          <w:sz w:val="13"/>
        </w:rPr>
        <w:t>Criminalising</w:t>
      </w:r>
      <w:proofErr w:type="spellEnd"/>
      <w:r w:rsidR="009B7AFD">
        <w:rPr>
          <w:color w:val="231F20"/>
          <w:sz w:val="13"/>
        </w:rPr>
        <w:t xml:space="preserve"> Coercive Control’,    </w:t>
      </w:r>
      <w:r w:rsidR="009B7AFD">
        <w:rPr>
          <w:i/>
          <w:color w:val="231F20"/>
          <w:sz w:val="13"/>
        </w:rPr>
        <w:t xml:space="preserve">The Sydney Morning Herald </w:t>
      </w:r>
      <w:r w:rsidR="009B7AFD">
        <w:rPr>
          <w:color w:val="231F20"/>
          <w:sz w:val="13"/>
        </w:rPr>
        <w:t>(online, 26 November 2020) &lt;</w:t>
      </w:r>
      <w:hyperlink r:id="rId27">
        <w:r w:rsidR="009B7AFD">
          <w:rPr>
            <w:color w:val="231F20"/>
            <w:sz w:val="13"/>
          </w:rPr>
          <w:t>https://www.smh.com.au/national/debate-rages-among-family-</w:t>
        </w:r>
      </w:hyperlink>
      <w:hyperlink r:id="rId28">
        <w:r w:rsidR="009B7AFD">
          <w:rPr>
            <w:color w:val="231F20"/>
            <w:sz w:val="13"/>
          </w:rPr>
          <w:t xml:space="preserve"> violence-campaigners-over-criminalising-coercive-control-20201126-p56i9l.html</w:t>
        </w:r>
      </w:hyperlink>
      <w:r w:rsidR="009B7AFD">
        <w:rPr>
          <w:color w:val="231F20"/>
          <w:sz w:val="13"/>
        </w:rPr>
        <w:t>&gt;.</w:t>
      </w:r>
    </w:p>
    <w:p w14:paraId="39897E24" w14:textId="77777777" w:rsidR="00894070" w:rsidRDefault="009B7AFD">
      <w:pPr>
        <w:pStyle w:val="ListParagraph"/>
        <w:numPr>
          <w:ilvl w:val="0"/>
          <w:numId w:val="176"/>
        </w:numPr>
        <w:tabs>
          <w:tab w:val="left" w:pos="1801"/>
          <w:tab w:val="left" w:pos="1802"/>
        </w:tabs>
        <w:spacing w:line="161" w:lineRule="exact"/>
        <w:rPr>
          <w:sz w:val="13"/>
        </w:rPr>
      </w:pPr>
      <w:r>
        <w:rPr>
          <w:color w:val="231F20"/>
          <w:spacing w:val="2"/>
          <w:sz w:val="13"/>
        </w:rPr>
        <w:t xml:space="preserve">Department </w:t>
      </w:r>
      <w:r>
        <w:rPr>
          <w:color w:val="231F20"/>
          <w:sz w:val="13"/>
        </w:rPr>
        <w:t xml:space="preserve">of Justice and Community Safety (Vic), </w:t>
      </w:r>
      <w:r>
        <w:rPr>
          <w:i/>
          <w:color w:val="231F20"/>
          <w:sz w:val="13"/>
        </w:rPr>
        <w:t xml:space="preserve">Victim </w:t>
      </w:r>
      <w:r>
        <w:rPr>
          <w:i/>
          <w:color w:val="231F20"/>
          <w:spacing w:val="2"/>
          <w:sz w:val="13"/>
        </w:rPr>
        <w:t xml:space="preserve">Support </w:t>
      </w:r>
      <w:r>
        <w:rPr>
          <w:i/>
          <w:color w:val="231F20"/>
          <w:sz w:val="13"/>
        </w:rPr>
        <w:t xml:space="preserve">Update </w:t>
      </w:r>
      <w:r>
        <w:rPr>
          <w:color w:val="231F20"/>
          <w:spacing w:val="2"/>
          <w:sz w:val="13"/>
        </w:rPr>
        <w:t xml:space="preserve">(Report, December </w:t>
      </w:r>
      <w:r>
        <w:rPr>
          <w:color w:val="231F20"/>
          <w:sz w:val="13"/>
        </w:rPr>
        <w:t>2021)</w:t>
      </w:r>
      <w:r>
        <w:rPr>
          <w:color w:val="231F20"/>
          <w:spacing w:val="2"/>
          <w:sz w:val="13"/>
        </w:rPr>
        <w:t xml:space="preserve"> </w:t>
      </w:r>
      <w:r>
        <w:rPr>
          <w:color w:val="231F20"/>
          <w:spacing w:val="-3"/>
          <w:sz w:val="13"/>
        </w:rPr>
        <w:t>7.</w:t>
      </w:r>
    </w:p>
    <w:p w14:paraId="6AB8FEB2" w14:textId="77777777" w:rsidR="00894070" w:rsidRDefault="00894070">
      <w:pPr>
        <w:spacing w:line="161" w:lineRule="exact"/>
        <w:rPr>
          <w:sz w:val="13"/>
        </w:rPr>
        <w:sectPr w:rsidR="00894070">
          <w:pgSz w:w="11910" w:h="16840"/>
          <w:pgMar w:top="860" w:right="420" w:bottom="280" w:left="580" w:header="567" w:footer="0" w:gutter="0"/>
          <w:cols w:space="720"/>
        </w:sectPr>
      </w:pPr>
    </w:p>
    <w:p w14:paraId="560FE7C7" w14:textId="77777777" w:rsidR="00894070" w:rsidRDefault="00894070">
      <w:pPr>
        <w:pStyle w:val="BodyText"/>
      </w:pPr>
    </w:p>
    <w:p w14:paraId="3B3B9376" w14:textId="77777777" w:rsidR="00894070" w:rsidRDefault="00894070">
      <w:pPr>
        <w:pStyle w:val="BodyText"/>
      </w:pPr>
    </w:p>
    <w:p w14:paraId="7794EB5B" w14:textId="77777777" w:rsidR="00894070" w:rsidRDefault="00894070">
      <w:pPr>
        <w:pStyle w:val="BodyText"/>
      </w:pPr>
    </w:p>
    <w:p w14:paraId="27160BEE" w14:textId="77777777" w:rsidR="00894070" w:rsidRDefault="00894070">
      <w:pPr>
        <w:pStyle w:val="BodyText"/>
        <w:spacing w:before="6"/>
        <w:rPr>
          <w:sz w:val="14"/>
        </w:rPr>
      </w:pPr>
    </w:p>
    <w:p w14:paraId="13D46555" w14:textId="77777777" w:rsidR="00894070" w:rsidRDefault="009B7AFD">
      <w:pPr>
        <w:pStyle w:val="ListParagraph"/>
        <w:numPr>
          <w:ilvl w:val="1"/>
          <w:numId w:val="177"/>
        </w:numPr>
        <w:tabs>
          <w:tab w:val="left" w:pos="1801"/>
          <w:tab w:val="left" w:pos="1802"/>
        </w:tabs>
        <w:spacing w:before="90" w:line="206" w:lineRule="auto"/>
        <w:ind w:right="1187"/>
        <w:rPr>
          <w:sz w:val="20"/>
        </w:rPr>
      </w:pPr>
      <w:bookmarkStart w:id="26" w:name="The_process_from_here"/>
      <w:bookmarkStart w:id="27" w:name="_bookmark12"/>
      <w:bookmarkEnd w:id="26"/>
      <w:bookmarkEnd w:id="27"/>
      <w:r>
        <w:rPr>
          <w:color w:val="231F20"/>
          <w:spacing w:val="-6"/>
          <w:sz w:val="20"/>
        </w:rPr>
        <w:t>We</w:t>
      </w:r>
      <w:r>
        <w:rPr>
          <w:color w:val="231F20"/>
          <w:spacing w:val="-10"/>
          <w:sz w:val="20"/>
        </w:rPr>
        <w:t xml:space="preserve"> </w:t>
      </w:r>
      <w:r>
        <w:rPr>
          <w:color w:val="231F20"/>
          <w:spacing w:val="-4"/>
          <w:sz w:val="20"/>
        </w:rPr>
        <w:t>were</w:t>
      </w:r>
      <w:r>
        <w:rPr>
          <w:color w:val="231F20"/>
          <w:spacing w:val="-9"/>
          <w:sz w:val="20"/>
        </w:rPr>
        <w:t xml:space="preserve"> </w:t>
      </w:r>
      <w:r>
        <w:rPr>
          <w:color w:val="231F20"/>
          <w:sz w:val="20"/>
        </w:rPr>
        <w:t>influenced</w:t>
      </w:r>
      <w:r>
        <w:rPr>
          <w:color w:val="231F20"/>
          <w:spacing w:val="-10"/>
          <w:sz w:val="20"/>
        </w:rPr>
        <w:t xml:space="preserve"> </w:t>
      </w:r>
      <w:r>
        <w:rPr>
          <w:color w:val="231F20"/>
          <w:spacing w:val="-3"/>
          <w:sz w:val="20"/>
        </w:rPr>
        <w:t>by</w:t>
      </w:r>
      <w:r>
        <w:rPr>
          <w:color w:val="231F20"/>
          <w:spacing w:val="-9"/>
          <w:sz w:val="20"/>
        </w:rPr>
        <w:t xml:space="preserve"> </w:t>
      </w:r>
      <w:r>
        <w:rPr>
          <w:color w:val="231F20"/>
          <w:sz w:val="20"/>
        </w:rPr>
        <w:t>developments</w:t>
      </w:r>
      <w:r>
        <w:rPr>
          <w:color w:val="231F20"/>
          <w:spacing w:val="-10"/>
          <w:sz w:val="20"/>
        </w:rPr>
        <w:t xml:space="preserve"> </w:t>
      </w:r>
      <w:r>
        <w:rPr>
          <w:color w:val="231F20"/>
          <w:sz w:val="20"/>
        </w:rPr>
        <w:t>and</w:t>
      </w:r>
      <w:r>
        <w:rPr>
          <w:color w:val="231F20"/>
          <w:spacing w:val="-9"/>
          <w:sz w:val="20"/>
        </w:rPr>
        <w:t xml:space="preserve"> </w:t>
      </w:r>
      <w:r>
        <w:rPr>
          <w:color w:val="231F20"/>
          <w:sz w:val="20"/>
        </w:rPr>
        <w:t>what</w:t>
      </w:r>
      <w:r>
        <w:rPr>
          <w:color w:val="231F20"/>
          <w:spacing w:val="-9"/>
          <w:sz w:val="20"/>
        </w:rPr>
        <w:t xml:space="preserve"> </w:t>
      </w:r>
      <w:r>
        <w:rPr>
          <w:color w:val="231F20"/>
          <w:sz w:val="20"/>
        </w:rPr>
        <w:t>has</w:t>
      </w:r>
      <w:r>
        <w:rPr>
          <w:color w:val="231F20"/>
          <w:spacing w:val="-10"/>
          <w:sz w:val="20"/>
        </w:rPr>
        <w:t xml:space="preserve"> </w:t>
      </w:r>
      <w:r>
        <w:rPr>
          <w:color w:val="231F20"/>
          <w:sz w:val="20"/>
        </w:rPr>
        <w:t>been</w:t>
      </w:r>
      <w:r>
        <w:rPr>
          <w:color w:val="231F20"/>
          <w:spacing w:val="-9"/>
          <w:sz w:val="20"/>
        </w:rPr>
        <w:t xml:space="preserve"> </w:t>
      </w:r>
      <w:r>
        <w:rPr>
          <w:color w:val="231F20"/>
          <w:sz w:val="20"/>
        </w:rPr>
        <w:t>learned</w:t>
      </w:r>
      <w:r>
        <w:rPr>
          <w:color w:val="231F20"/>
          <w:spacing w:val="-10"/>
          <w:sz w:val="20"/>
        </w:rPr>
        <w:t xml:space="preserve"> </w:t>
      </w:r>
      <w:r>
        <w:rPr>
          <w:color w:val="231F20"/>
          <w:spacing w:val="-3"/>
          <w:sz w:val="20"/>
        </w:rPr>
        <w:t>from</w:t>
      </w:r>
      <w:r>
        <w:rPr>
          <w:color w:val="231F20"/>
          <w:spacing w:val="-9"/>
          <w:sz w:val="20"/>
        </w:rPr>
        <w:t xml:space="preserve"> </w:t>
      </w:r>
      <w:r>
        <w:rPr>
          <w:color w:val="231F20"/>
          <w:spacing w:val="-3"/>
          <w:sz w:val="20"/>
        </w:rPr>
        <w:t>family</w:t>
      </w:r>
      <w:r>
        <w:rPr>
          <w:color w:val="231F20"/>
          <w:spacing w:val="-10"/>
          <w:sz w:val="20"/>
        </w:rPr>
        <w:t xml:space="preserve"> </w:t>
      </w:r>
      <w:r>
        <w:rPr>
          <w:color w:val="231F20"/>
          <w:sz w:val="20"/>
        </w:rPr>
        <w:t xml:space="preserve">violence and sexual violence </w:t>
      </w:r>
      <w:r>
        <w:rPr>
          <w:color w:val="231F20"/>
          <w:spacing w:val="-3"/>
          <w:sz w:val="20"/>
        </w:rPr>
        <w:t xml:space="preserve">reforms. For example, we </w:t>
      </w:r>
      <w:r>
        <w:rPr>
          <w:color w:val="231F20"/>
          <w:sz w:val="20"/>
        </w:rPr>
        <w:t>relied on the recommendations of our sexual</w:t>
      </w:r>
      <w:r>
        <w:rPr>
          <w:color w:val="231F20"/>
          <w:spacing w:val="-12"/>
          <w:sz w:val="20"/>
        </w:rPr>
        <w:t xml:space="preserve"> </w:t>
      </w:r>
      <w:r>
        <w:rPr>
          <w:color w:val="231F20"/>
          <w:sz w:val="20"/>
        </w:rPr>
        <w:t>offences</w:t>
      </w:r>
      <w:r>
        <w:rPr>
          <w:color w:val="231F20"/>
          <w:spacing w:val="-12"/>
          <w:sz w:val="20"/>
        </w:rPr>
        <w:t xml:space="preserve"> </w:t>
      </w:r>
      <w:r>
        <w:rPr>
          <w:color w:val="231F20"/>
          <w:sz w:val="20"/>
        </w:rPr>
        <w:t>report</w:t>
      </w:r>
      <w:r>
        <w:rPr>
          <w:color w:val="231F20"/>
          <w:spacing w:val="-12"/>
          <w:sz w:val="20"/>
        </w:rPr>
        <w:t xml:space="preserve"> </w:t>
      </w:r>
      <w:r>
        <w:rPr>
          <w:color w:val="231F20"/>
          <w:sz w:val="20"/>
        </w:rPr>
        <w:t>which</w:t>
      </w:r>
      <w:r>
        <w:rPr>
          <w:color w:val="231F20"/>
          <w:spacing w:val="-11"/>
          <w:sz w:val="20"/>
        </w:rPr>
        <w:t xml:space="preserve"> </w:t>
      </w:r>
      <w:r>
        <w:rPr>
          <w:color w:val="231F20"/>
          <w:sz w:val="20"/>
        </w:rPr>
        <w:t>acknowledged</w:t>
      </w:r>
      <w:r>
        <w:rPr>
          <w:color w:val="231F20"/>
          <w:spacing w:val="-12"/>
          <w:sz w:val="20"/>
        </w:rPr>
        <w:t xml:space="preserve"> </w:t>
      </w:r>
      <w:r>
        <w:rPr>
          <w:color w:val="231F20"/>
          <w:sz w:val="20"/>
        </w:rPr>
        <w:t>the</w:t>
      </w:r>
      <w:r>
        <w:rPr>
          <w:color w:val="231F20"/>
          <w:spacing w:val="-12"/>
          <w:sz w:val="20"/>
        </w:rPr>
        <w:t xml:space="preserve"> </w:t>
      </w:r>
      <w:r>
        <w:rPr>
          <w:color w:val="231F20"/>
          <w:sz w:val="20"/>
        </w:rPr>
        <w:t>benefits</w:t>
      </w:r>
      <w:r>
        <w:rPr>
          <w:color w:val="231F20"/>
          <w:spacing w:val="-11"/>
          <w:sz w:val="20"/>
        </w:rPr>
        <w:t xml:space="preserve"> </w:t>
      </w:r>
      <w:r>
        <w:rPr>
          <w:color w:val="231F20"/>
          <w:sz w:val="20"/>
        </w:rPr>
        <w:t>of</w:t>
      </w:r>
      <w:r>
        <w:rPr>
          <w:color w:val="231F20"/>
          <w:spacing w:val="-12"/>
          <w:sz w:val="20"/>
        </w:rPr>
        <w:t xml:space="preserve"> </w:t>
      </w:r>
      <w:proofErr w:type="spellStart"/>
      <w:r>
        <w:rPr>
          <w:color w:val="231F20"/>
          <w:sz w:val="20"/>
        </w:rPr>
        <w:t>specialisation</w:t>
      </w:r>
      <w:proofErr w:type="spellEnd"/>
      <w:r>
        <w:rPr>
          <w:color w:val="231F20"/>
          <w:sz w:val="20"/>
        </w:rPr>
        <w:t>,</w:t>
      </w:r>
      <w:r>
        <w:rPr>
          <w:color w:val="231F20"/>
          <w:spacing w:val="-12"/>
          <w:sz w:val="20"/>
        </w:rPr>
        <w:t xml:space="preserve"> </w:t>
      </w:r>
      <w:r>
        <w:rPr>
          <w:color w:val="231F20"/>
          <w:sz w:val="20"/>
        </w:rPr>
        <w:t>access</w:t>
      </w:r>
      <w:r>
        <w:rPr>
          <w:color w:val="231F20"/>
          <w:spacing w:val="-12"/>
          <w:sz w:val="20"/>
        </w:rPr>
        <w:t xml:space="preserve"> </w:t>
      </w:r>
      <w:r>
        <w:rPr>
          <w:color w:val="231F20"/>
          <w:sz w:val="20"/>
        </w:rPr>
        <w:t>to</w:t>
      </w:r>
    </w:p>
    <w:p w14:paraId="56402660" w14:textId="77777777" w:rsidR="00894070" w:rsidRDefault="009B7AFD">
      <w:pPr>
        <w:pStyle w:val="BodyText"/>
        <w:spacing w:before="4" w:line="206" w:lineRule="auto"/>
        <w:ind w:left="1801" w:right="1459" w:hanging="1"/>
      </w:pPr>
      <w:r>
        <w:rPr>
          <w:color w:val="231F20"/>
        </w:rPr>
        <w:t>a lawyer and the clear drafting of offences.</w:t>
      </w:r>
      <w:r>
        <w:rPr>
          <w:color w:val="231F20"/>
          <w:position w:val="7"/>
          <w:sz w:val="11"/>
        </w:rPr>
        <w:t xml:space="preserve">38 </w:t>
      </w:r>
      <w:r>
        <w:rPr>
          <w:color w:val="231F20"/>
          <w:spacing w:val="-6"/>
        </w:rPr>
        <w:t xml:space="preserve">We </w:t>
      </w:r>
      <w:r>
        <w:rPr>
          <w:color w:val="231F20"/>
          <w:spacing w:val="-3"/>
        </w:rPr>
        <w:t xml:space="preserve">apply </w:t>
      </w:r>
      <w:r>
        <w:rPr>
          <w:color w:val="231F20"/>
        </w:rPr>
        <w:t xml:space="preserve">what </w:t>
      </w:r>
      <w:r>
        <w:rPr>
          <w:color w:val="231F20"/>
          <w:spacing w:val="-3"/>
        </w:rPr>
        <w:t xml:space="preserve">we </w:t>
      </w:r>
      <w:r>
        <w:rPr>
          <w:color w:val="231F20"/>
          <w:spacing w:val="-2"/>
        </w:rPr>
        <w:t xml:space="preserve">learnt </w:t>
      </w:r>
      <w:r>
        <w:rPr>
          <w:color w:val="231F20"/>
        </w:rPr>
        <w:t xml:space="preserve">in </w:t>
      </w:r>
      <w:r>
        <w:rPr>
          <w:color w:val="231F20"/>
          <w:spacing w:val="-3"/>
        </w:rPr>
        <w:t xml:space="preserve">Chapters </w:t>
      </w:r>
      <w:r>
        <w:rPr>
          <w:color w:val="231F20"/>
        </w:rPr>
        <w:t xml:space="preserve">6 and </w:t>
      </w:r>
      <w:r>
        <w:rPr>
          <w:color w:val="231F20"/>
          <w:spacing w:val="-16"/>
        </w:rPr>
        <w:t>7.</w:t>
      </w:r>
    </w:p>
    <w:p w14:paraId="760D0910" w14:textId="77777777" w:rsidR="00894070" w:rsidRDefault="009B7AFD">
      <w:pPr>
        <w:pStyle w:val="ListParagraph"/>
        <w:numPr>
          <w:ilvl w:val="1"/>
          <w:numId w:val="177"/>
        </w:numPr>
        <w:tabs>
          <w:tab w:val="left" w:pos="1801"/>
          <w:tab w:val="left" w:pos="1802"/>
        </w:tabs>
        <w:spacing w:before="122" w:line="206" w:lineRule="auto"/>
        <w:ind w:right="1168"/>
        <w:rPr>
          <w:sz w:val="20"/>
        </w:rPr>
      </w:pPr>
      <w:r>
        <w:rPr>
          <w:color w:val="231F20"/>
          <w:spacing w:val="-6"/>
          <w:sz w:val="20"/>
        </w:rPr>
        <w:t>We</w:t>
      </w:r>
      <w:r>
        <w:rPr>
          <w:color w:val="231F20"/>
          <w:spacing w:val="-8"/>
          <w:sz w:val="20"/>
        </w:rPr>
        <w:t xml:space="preserve"> </w:t>
      </w:r>
      <w:r>
        <w:rPr>
          <w:color w:val="231F20"/>
          <w:spacing w:val="-4"/>
          <w:sz w:val="20"/>
        </w:rPr>
        <w:t>have</w:t>
      </w:r>
      <w:r>
        <w:rPr>
          <w:color w:val="231F20"/>
          <w:spacing w:val="-7"/>
          <w:sz w:val="20"/>
        </w:rPr>
        <w:t xml:space="preserve"> </w:t>
      </w:r>
      <w:r>
        <w:rPr>
          <w:color w:val="231F20"/>
          <w:sz w:val="20"/>
        </w:rPr>
        <w:t>aimed</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develop</w:t>
      </w:r>
      <w:r>
        <w:rPr>
          <w:color w:val="231F20"/>
          <w:spacing w:val="-8"/>
          <w:sz w:val="20"/>
        </w:rPr>
        <w:t xml:space="preserve"> </w:t>
      </w:r>
      <w:r>
        <w:rPr>
          <w:color w:val="231F20"/>
          <w:sz w:val="20"/>
        </w:rPr>
        <w:t>a</w:t>
      </w:r>
      <w:r>
        <w:rPr>
          <w:color w:val="231F20"/>
          <w:spacing w:val="-7"/>
          <w:sz w:val="20"/>
        </w:rPr>
        <w:t xml:space="preserve"> </w:t>
      </w:r>
      <w:r>
        <w:rPr>
          <w:color w:val="231F20"/>
          <w:sz w:val="20"/>
        </w:rPr>
        <w:t>tailored</w:t>
      </w:r>
      <w:r>
        <w:rPr>
          <w:color w:val="231F20"/>
          <w:spacing w:val="-7"/>
          <w:sz w:val="20"/>
        </w:rPr>
        <w:t xml:space="preserve"> </w:t>
      </w:r>
      <w:r>
        <w:rPr>
          <w:color w:val="231F20"/>
          <w:sz w:val="20"/>
        </w:rPr>
        <w:t>response</w:t>
      </w:r>
      <w:r>
        <w:rPr>
          <w:color w:val="231F20"/>
          <w:spacing w:val="-7"/>
          <w:sz w:val="20"/>
        </w:rPr>
        <w:t xml:space="preserve"> </w:t>
      </w:r>
      <w:r>
        <w:rPr>
          <w:color w:val="231F20"/>
          <w:sz w:val="20"/>
        </w:rPr>
        <w:t>to</w:t>
      </w:r>
      <w:r>
        <w:rPr>
          <w:color w:val="231F20"/>
          <w:spacing w:val="-8"/>
          <w:sz w:val="20"/>
        </w:rPr>
        <w:t xml:space="preserve"> </w:t>
      </w:r>
      <w:r>
        <w:rPr>
          <w:color w:val="231F20"/>
          <w:sz w:val="20"/>
        </w:rPr>
        <w:t>stalking.</w:t>
      </w:r>
      <w:r>
        <w:rPr>
          <w:color w:val="231F20"/>
          <w:spacing w:val="-7"/>
          <w:sz w:val="20"/>
        </w:rPr>
        <w:t xml:space="preserve"> </w:t>
      </w:r>
      <w:r>
        <w:rPr>
          <w:color w:val="231F20"/>
          <w:sz w:val="20"/>
        </w:rPr>
        <w:t>But</w:t>
      </w:r>
      <w:r>
        <w:rPr>
          <w:color w:val="231F20"/>
          <w:spacing w:val="-7"/>
          <w:sz w:val="20"/>
        </w:rPr>
        <w:t xml:space="preserve"> </w:t>
      </w:r>
      <w:r>
        <w:rPr>
          <w:color w:val="231F20"/>
          <w:spacing w:val="-3"/>
          <w:sz w:val="20"/>
        </w:rPr>
        <w:t>we</w:t>
      </w:r>
      <w:r>
        <w:rPr>
          <w:color w:val="231F20"/>
          <w:spacing w:val="-7"/>
          <w:sz w:val="20"/>
        </w:rPr>
        <w:t xml:space="preserve"> </w:t>
      </w:r>
      <w:r>
        <w:rPr>
          <w:color w:val="231F20"/>
          <w:spacing w:val="-4"/>
          <w:sz w:val="20"/>
        </w:rPr>
        <w:t>have</w:t>
      </w:r>
      <w:r>
        <w:rPr>
          <w:color w:val="231F20"/>
          <w:spacing w:val="-8"/>
          <w:sz w:val="20"/>
        </w:rPr>
        <w:t xml:space="preserve"> </w:t>
      </w:r>
      <w:r>
        <w:rPr>
          <w:color w:val="231F20"/>
          <w:sz w:val="20"/>
        </w:rPr>
        <w:t>also</w:t>
      </w:r>
      <w:r>
        <w:rPr>
          <w:color w:val="231F20"/>
          <w:spacing w:val="-7"/>
          <w:sz w:val="20"/>
        </w:rPr>
        <w:t xml:space="preserve"> </w:t>
      </w:r>
      <w:r>
        <w:rPr>
          <w:color w:val="231F20"/>
          <w:sz w:val="20"/>
        </w:rPr>
        <w:t>tried</w:t>
      </w:r>
      <w:r>
        <w:rPr>
          <w:color w:val="231F20"/>
          <w:spacing w:val="-7"/>
          <w:sz w:val="20"/>
        </w:rPr>
        <w:t xml:space="preserve"> </w:t>
      </w:r>
      <w:r>
        <w:rPr>
          <w:color w:val="231F20"/>
          <w:sz w:val="20"/>
        </w:rPr>
        <w:t>to</w:t>
      </w:r>
      <w:r>
        <w:rPr>
          <w:color w:val="231F20"/>
          <w:spacing w:val="-7"/>
          <w:sz w:val="20"/>
        </w:rPr>
        <w:t xml:space="preserve"> </w:t>
      </w:r>
      <w:r>
        <w:rPr>
          <w:color w:val="231F20"/>
          <w:sz w:val="20"/>
        </w:rPr>
        <w:t xml:space="preserve">use arrangements that </w:t>
      </w:r>
      <w:r>
        <w:rPr>
          <w:color w:val="231F20"/>
          <w:spacing w:val="-3"/>
          <w:sz w:val="20"/>
        </w:rPr>
        <w:t xml:space="preserve">are </w:t>
      </w:r>
      <w:r>
        <w:rPr>
          <w:color w:val="231F20"/>
          <w:sz w:val="20"/>
        </w:rPr>
        <w:t xml:space="preserve">already in place. While non-family violence stalking is a serious crime with serious impacts, it is less common than </w:t>
      </w:r>
      <w:r>
        <w:rPr>
          <w:color w:val="231F20"/>
          <w:spacing w:val="-3"/>
          <w:sz w:val="20"/>
        </w:rPr>
        <w:t xml:space="preserve">family </w:t>
      </w:r>
      <w:r>
        <w:rPr>
          <w:color w:val="231F20"/>
          <w:sz w:val="20"/>
        </w:rPr>
        <w:t xml:space="preserve">violence stalking. </w:t>
      </w:r>
      <w:r>
        <w:rPr>
          <w:color w:val="231F20"/>
          <w:spacing w:val="-6"/>
          <w:sz w:val="20"/>
        </w:rPr>
        <w:t xml:space="preserve">We </w:t>
      </w:r>
      <w:r>
        <w:rPr>
          <w:color w:val="231F20"/>
          <w:spacing w:val="-4"/>
          <w:sz w:val="20"/>
        </w:rPr>
        <w:t xml:space="preserve">have </w:t>
      </w:r>
      <w:r>
        <w:rPr>
          <w:color w:val="231F20"/>
          <w:sz w:val="20"/>
        </w:rPr>
        <w:t>built</w:t>
      </w:r>
      <w:r>
        <w:rPr>
          <w:color w:val="231F20"/>
          <w:spacing w:val="-10"/>
          <w:sz w:val="20"/>
        </w:rPr>
        <w:t xml:space="preserve"> </w:t>
      </w:r>
      <w:r>
        <w:rPr>
          <w:color w:val="231F20"/>
          <w:sz w:val="20"/>
        </w:rPr>
        <w:t>on</w:t>
      </w:r>
      <w:r>
        <w:rPr>
          <w:color w:val="231F20"/>
          <w:spacing w:val="-9"/>
          <w:sz w:val="20"/>
        </w:rPr>
        <w:t xml:space="preserve"> </w:t>
      </w:r>
      <w:r>
        <w:rPr>
          <w:color w:val="231F20"/>
          <w:sz w:val="20"/>
        </w:rPr>
        <w:t>what</w:t>
      </w:r>
      <w:r>
        <w:rPr>
          <w:color w:val="231F20"/>
          <w:spacing w:val="-10"/>
          <w:sz w:val="20"/>
        </w:rPr>
        <w:t xml:space="preserve"> </w:t>
      </w:r>
      <w:r>
        <w:rPr>
          <w:color w:val="231F20"/>
          <w:sz w:val="20"/>
        </w:rPr>
        <w:t>is</w:t>
      </w:r>
      <w:r>
        <w:rPr>
          <w:color w:val="231F20"/>
          <w:spacing w:val="-9"/>
          <w:sz w:val="20"/>
        </w:rPr>
        <w:t xml:space="preserve"> </w:t>
      </w:r>
      <w:r>
        <w:rPr>
          <w:color w:val="231F20"/>
          <w:sz w:val="20"/>
        </w:rPr>
        <w:t>already</w:t>
      </w:r>
      <w:r>
        <w:rPr>
          <w:color w:val="231F20"/>
          <w:spacing w:val="-10"/>
          <w:sz w:val="20"/>
        </w:rPr>
        <w:t xml:space="preserve"> </w:t>
      </w:r>
      <w:r>
        <w:rPr>
          <w:color w:val="231F20"/>
          <w:sz w:val="20"/>
        </w:rPr>
        <w:t>in</w:t>
      </w:r>
      <w:r>
        <w:rPr>
          <w:color w:val="231F20"/>
          <w:spacing w:val="-9"/>
          <w:sz w:val="20"/>
        </w:rPr>
        <w:t xml:space="preserve"> </w:t>
      </w:r>
      <w:r>
        <w:rPr>
          <w:color w:val="231F20"/>
          <w:sz w:val="20"/>
        </w:rPr>
        <w:t>place</w:t>
      </w:r>
      <w:r>
        <w:rPr>
          <w:color w:val="231F20"/>
          <w:spacing w:val="-10"/>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‘generalist’</w:t>
      </w:r>
      <w:r>
        <w:rPr>
          <w:color w:val="231F20"/>
          <w:spacing w:val="-10"/>
          <w:sz w:val="20"/>
        </w:rPr>
        <w:t xml:space="preserve"> </w:t>
      </w:r>
      <w:r>
        <w:rPr>
          <w:color w:val="231F20"/>
          <w:sz w:val="20"/>
        </w:rPr>
        <w:t>system,</w:t>
      </w:r>
      <w:r>
        <w:rPr>
          <w:color w:val="231F20"/>
          <w:spacing w:val="-9"/>
          <w:sz w:val="20"/>
        </w:rPr>
        <w:t xml:space="preserve"> </w:t>
      </w:r>
      <w:r>
        <w:rPr>
          <w:color w:val="231F20"/>
          <w:sz w:val="20"/>
        </w:rPr>
        <w:t>with</w:t>
      </w:r>
      <w:r>
        <w:rPr>
          <w:color w:val="231F20"/>
          <w:spacing w:val="-10"/>
          <w:sz w:val="20"/>
        </w:rPr>
        <w:t xml:space="preserve"> </w:t>
      </w:r>
      <w:r>
        <w:rPr>
          <w:color w:val="231F20"/>
          <w:sz w:val="20"/>
        </w:rPr>
        <w:t>extra</w:t>
      </w:r>
      <w:r>
        <w:rPr>
          <w:color w:val="231F20"/>
          <w:spacing w:val="-9"/>
          <w:sz w:val="20"/>
        </w:rPr>
        <w:t xml:space="preserve"> </w:t>
      </w:r>
      <w:r>
        <w:rPr>
          <w:color w:val="231F20"/>
          <w:spacing w:val="-3"/>
          <w:sz w:val="20"/>
        </w:rPr>
        <w:t>features</w:t>
      </w:r>
      <w:r>
        <w:rPr>
          <w:color w:val="231F20"/>
          <w:spacing w:val="-10"/>
          <w:sz w:val="20"/>
        </w:rPr>
        <w:t xml:space="preserve"> </w:t>
      </w:r>
      <w:r>
        <w:rPr>
          <w:color w:val="231F20"/>
          <w:spacing w:val="-3"/>
          <w:sz w:val="20"/>
        </w:rPr>
        <w:t>for</w:t>
      </w:r>
      <w:r>
        <w:rPr>
          <w:color w:val="231F20"/>
          <w:spacing w:val="-9"/>
          <w:sz w:val="20"/>
        </w:rPr>
        <w:t xml:space="preserve"> </w:t>
      </w:r>
      <w:r>
        <w:rPr>
          <w:color w:val="231F20"/>
          <w:sz w:val="20"/>
        </w:rPr>
        <w:t xml:space="preserve">people who </w:t>
      </w:r>
      <w:r>
        <w:rPr>
          <w:color w:val="231F20"/>
          <w:spacing w:val="-4"/>
          <w:sz w:val="20"/>
        </w:rPr>
        <w:t xml:space="preserve">have </w:t>
      </w:r>
      <w:r>
        <w:rPr>
          <w:color w:val="231F20"/>
          <w:sz w:val="20"/>
        </w:rPr>
        <w:t xml:space="preserve">experienced stalking. </w:t>
      </w:r>
      <w:r>
        <w:rPr>
          <w:color w:val="231F20"/>
          <w:spacing w:val="-3"/>
          <w:sz w:val="20"/>
        </w:rPr>
        <w:t xml:space="preserve">For example, </w:t>
      </w:r>
      <w:r>
        <w:rPr>
          <w:color w:val="231F20"/>
          <w:sz w:val="20"/>
        </w:rPr>
        <w:t xml:space="preserve">in </w:t>
      </w:r>
      <w:r>
        <w:rPr>
          <w:color w:val="231F20"/>
          <w:spacing w:val="-3"/>
          <w:sz w:val="20"/>
        </w:rPr>
        <w:t xml:space="preserve">Chapter </w:t>
      </w:r>
      <w:r>
        <w:rPr>
          <w:color w:val="231F20"/>
          <w:sz w:val="20"/>
        </w:rPr>
        <w:t xml:space="preserve">5, </w:t>
      </w:r>
      <w:r>
        <w:rPr>
          <w:color w:val="231F20"/>
          <w:spacing w:val="-3"/>
          <w:sz w:val="20"/>
        </w:rPr>
        <w:t xml:space="preserve">we </w:t>
      </w:r>
      <w:r>
        <w:rPr>
          <w:color w:val="231F20"/>
          <w:sz w:val="20"/>
        </w:rPr>
        <w:t>suggest an enhanced generalist model of victim</w:t>
      </w:r>
      <w:r>
        <w:rPr>
          <w:color w:val="231F20"/>
          <w:spacing w:val="-18"/>
          <w:sz w:val="20"/>
        </w:rPr>
        <w:t xml:space="preserve"> </w:t>
      </w:r>
      <w:r>
        <w:rPr>
          <w:color w:val="231F20"/>
          <w:sz w:val="20"/>
        </w:rPr>
        <w:t>support.</w:t>
      </w:r>
    </w:p>
    <w:p w14:paraId="6D21A2FF" w14:textId="77777777" w:rsidR="00894070" w:rsidRDefault="009B7AFD">
      <w:pPr>
        <w:pStyle w:val="ListParagraph"/>
        <w:numPr>
          <w:ilvl w:val="1"/>
          <w:numId w:val="177"/>
        </w:numPr>
        <w:tabs>
          <w:tab w:val="left" w:pos="1801"/>
          <w:tab w:val="left" w:pos="1802"/>
        </w:tabs>
        <w:spacing w:before="96"/>
        <w:rPr>
          <w:sz w:val="20"/>
        </w:rPr>
      </w:pPr>
      <w:r>
        <w:rPr>
          <w:color w:val="231F20"/>
          <w:spacing w:val="-6"/>
          <w:sz w:val="20"/>
        </w:rPr>
        <w:t xml:space="preserve">We </w:t>
      </w:r>
      <w:r>
        <w:rPr>
          <w:color w:val="231F20"/>
          <w:spacing w:val="-4"/>
          <w:sz w:val="20"/>
        </w:rPr>
        <w:t xml:space="preserve">have </w:t>
      </w:r>
      <w:r>
        <w:rPr>
          <w:color w:val="231F20"/>
          <w:sz w:val="20"/>
        </w:rPr>
        <w:t xml:space="preserve">learned </w:t>
      </w:r>
      <w:r>
        <w:rPr>
          <w:color w:val="231F20"/>
          <w:spacing w:val="-3"/>
          <w:sz w:val="20"/>
        </w:rPr>
        <w:t xml:space="preserve">from </w:t>
      </w:r>
      <w:r>
        <w:rPr>
          <w:color w:val="231F20"/>
          <w:sz w:val="20"/>
        </w:rPr>
        <w:t xml:space="preserve">and built on the </w:t>
      </w:r>
      <w:r>
        <w:rPr>
          <w:color w:val="231F20"/>
          <w:spacing w:val="-3"/>
          <w:sz w:val="20"/>
        </w:rPr>
        <w:t xml:space="preserve">family </w:t>
      </w:r>
      <w:r>
        <w:rPr>
          <w:color w:val="231F20"/>
          <w:sz w:val="20"/>
        </w:rPr>
        <w:t xml:space="preserve">violence </w:t>
      </w:r>
      <w:r>
        <w:rPr>
          <w:color w:val="231F20"/>
          <w:spacing w:val="-3"/>
          <w:sz w:val="20"/>
        </w:rPr>
        <w:t xml:space="preserve">reforms </w:t>
      </w:r>
      <w:r>
        <w:rPr>
          <w:color w:val="231F20"/>
          <w:sz w:val="20"/>
        </w:rPr>
        <w:t>(see</w:t>
      </w:r>
      <w:r>
        <w:rPr>
          <w:color w:val="231F20"/>
          <w:spacing w:val="-34"/>
          <w:sz w:val="20"/>
        </w:rPr>
        <w:t xml:space="preserve"> </w:t>
      </w:r>
      <w:r>
        <w:rPr>
          <w:color w:val="231F20"/>
          <w:spacing w:val="-3"/>
          <w:sz w:val="20"/>
        </w:rPr>
        <w:t>box).</w:t>
      </w:r>
    </w:p>
    <w:p w14:paraId="3E76F7F7" w14:textId="77777777" w:rsidR="00894070" w:rsidRDefault="009F6793">
      <w:pPr>
        <w:pStyle w:val="BodyText"/>
        <w:spacing w:before="12"/>
        <w:rPr>
          <w:sz w:val="22"/>
        </w:rPr>
      </w:pPr>
      <w:r>
        <w:pict w14:anchorId="0BFF403E">
          <v:shape id="_x0000_s1694" type="#_x0000_t202" style="position:absolute;margin-left:79.6pt;margin-top:18.1pt;width:436.55pt;height:242.1pt;z-index:-251468800;mso-wrap-distance-left:0;mso-wrap-distance-right:0;mso-position-horizontal-relative:page" fillcolor="#fee7de" strokecolor="#ea5b50" strokeweight=".5pt">
            <v:textbox inset="0,0,0,0">
              <w:txbxContent>
                <w:p w14:paraId="7A8ED594" w14:textId="77777777" w:rsidR="00894070" w:rsidRDefault="009B7AFD">
                  <w:pPr>
                    <w:spacing w:before="179"/>
                    <w:ind w:left="221"/>
                    <w:rPr>
                      <w:b/>
                      <w:sz w:val="20"/>
                    </w:rPr>
                  </w:pPr>
                  <w:r>
                    <w:rPr>
                      <w:b/>
                      <w:color w:val="231F20"/>
                      <w:sz w:val="20"/>
                    </w:rPr>
                    <w:t>The family violence reforms</w:t>
                  </w:r>
                </w:p>
                <w:p w14:paraId="54A497BC" w14:textId="77777777" w:rsidR="00894070" w:rsidRDefault="009B7AFD">
                  <w:pPr>
                    <w:pStyle w:val="BodyText"/>
                    <w:spacing w:before="114" w:line="206" w:lineRule="auto"/>
                    <w:ind w:left="221" w:right="284"/>
                  </w:pPr>
                  <w:r>
                    <w:rPr>
                      <w:color w:val="231F20"/>
                    </w:rPr>
                    <w:t>While family violence stalking and non-family violence stalking can look similar, the contexts are different and call for different responses. The response to non-family violence stalking therefore cannot be subsumed within family violence reforms. In Chapter 6, we recommend a separate, specialised approach to responding to non-family violence stalking in the PSIO system.</w:t>
                  </w:r>
                </w:p>
                <w:p w14:paraId="495DE2A2" w14:textId="77777777" w:rsidR="00894070" w:rsidRDefault="009B7AFD">
                  <w:pPr>
                    <w:pStyle w:val="BodyText"/>
                    <w:spacing w:before="127" w:line="206" w:lineRule="auto"/>
                    <w:ind w:left="221" w:right="262"/>
                  </w:pPr>
                  <w:r>
                    <w:rPr>
                      <w:color w:val="231F20"/>
                    </w:rPr>
                    <w:t xml:space="preserve">But there is value in learning from and building on some family violence reforms. In Chapter 6, we recommend bringing over some of the protections that exist under the </w:t>
                  </w:r>
                  <w:r>
                    <w:rPr>
                      <w:i/>
                      <w:color w:val="231F20"/>
                    </w:rPr>
                    <w:t xml:space="preserve">Family Violence Protection Act 2008 </w:t>
                  </w:r>
                  <w:r>
                    <w:rPr>
                      <w:color w:val="231F20"/>
                    </w:rPr>
                    <w:t>(Vic) to also apply in PSIOs for non-family violence stalking. One potential avenue of reform that could be used to improve the civil response is the specialist family violence courts that were set up to reduce the trauma of court proceedings (see Chapter 6).</w:t>
                  </w:r>
                </w:p>
                <w:p w14:paraId="31CC4ACD" w14:textId="77777777" w:rsidR="00894070" w:rsidRDefault="009B7AFD">
                  <w:pPr>
                    <w:pStyle w:val="BodyText"/>
                    <w:spacing w:before="127" w:line="206" w:lineRule="auto"/>
                    <w:ind w:left="221" w:right="23"/>
                  </w:pPr>
                  <w:r>
                    <w:rPr>
                      <w:color w:val="231F20"/>
                    </w:rPr>
                    <w:t>There are areas, however, where reforms should diverge. The PSIO system is under strain from thousands of applications, which could result in issues such as police not responding to breaches (see Chapter 7). Bringing over family violence reforms such as police-issued safety notices may only strain the system even more, making the response less effective rather than better (see Chapter 6).</w:t>
                  </w:r>
                </w:p>
              </w:txbxContent>
            </v:textbox>
            <w10:wrap type="topAndBottom" anchorx="page"/>
          </v:shape>
        </w:pict>
      </w:r>
    </w:p>
    <w:p w14:paraId="751384C9" w14:textId="77777777" w:rsidR="00894070" w:rsidRDefault="00894070">
      <w:pPr>
        <w:pStyle w:val="BodyText"/>
      </w:pPr>
    </w:p>
    <w:p w14:paraId="08DA0CDB" w14:textId="77777777" w:rsidR="00894070" w:rsidRDefault="009B7AFD">
      <w:pPr>
        <w:pStyle w:val="Heading7"/>
        <w:spacing w:before="187"/>
      </w:pPr>
      <w:r>
        <w:rPr>
          <w:color w:val="EA5B50"/>
        </w:rPr>
        <w:t>The process from here</w:t>
      </w:r>
    </w:p>
    <w:p w14:paraId="302BEE86" w14:textId="77777777" w:rsidR="00894070" w:rsidRDefault="009B7AFD">
      <w:pPr>
        <w:pStyle w:val="ListParagraph"/>
        <w:numPr>
          <w:ilvl w:val="1"/>
          <w:numId w:val="177"/>
        </w:numPr>
        <w:tabs>
          <w:tab w:val="left" w:pos="1801"/>
          <w:tab w:val="left" w:pos="1802"/>
        </w:tabs>
        <w:spacing w:before="114"/>
        <w:rPr>
          <w:sz w:val="20"/>
        </w:rPr>
      </w:pPr>
      <w:r>
        <w:rPr>
          <w:color w:val="231F20"/>
          <w:spacing w:val="-6"/>
          <w:sz w:val="20"/>
        </w:rPr>
        <w:t>We</w:t>
      </w:r>
      <w:r>
        <w:rPr>
          <w:color w:val="231F20"/>
          <w:spacing w:val="-5"/>
          <w:sz w:val="20"/>
        </w:rPr>
        <w:t xml:space="preserve"> </w:t>
      </w:r>
      <w:r>
        <w:rPr>
          <w:color w:val="231F20"/>
          <w:sz w:val="20"/>
        </w:rPr>
        <w:t>will</w:t>
      </w:r>
      <w:r>
        <w:rPr>
          <w:color w:val="231F20"/>
          <w:spacing w:val="-5"/>
          <w:sz w:val="20"/>
        </w:rPr>
        <w:t xml:space="preserve"> </w:t>
      </w:r>
      <w:r>
        <w:rPr>
          <w:color w:val="231F20"/>
          <w:sz w:val="20"/>
        </w:rPr>
        <w:t>deliver</w:t>
      </w:r>
      <w:r>
        <w:rPr>
          <w:color w:val="231F20"/>
          <w:spacing w:val="-5"/>
          <w:sz w:val="20"/>
        </w:rPr>
        <w:t xml:space="preserve"> </w:t>
      </w:r>
      <w:r>
        <w:rPr>
          <w:color w:val="231F20"/>
          <w:sz w:val="20"/>
        </w:rPr>
        <w:t>this</w:t>
      </w:r>
      <w:r>
        <w:rPr>
          <w:color w:val="231F20"/>
          <w:spacing w:val="-5"/>
          <w:sz w:val="20"/>
        </w:rPr>
        <w:t xml:space="preserve"> </w:t>
      </w:r>
      <w:r>
        <w:rPr>
          <w:color w:val="231F20"/>
          <w:sz w:val="20"/>
        </w:rPr>
        <w:t>report</w:t>
      </w:r>
      <w:r>
        <w:rPr>
          <w:color w:val="231F20"/>
          <w:spacing w:val="-5"/>
          <w:sz w:val="20"/>
        </w:rPr>
        <w:t xml:space="preserve"> </w:t>
      </w:r>
      <w:r>
        <w:rPr>
          <w:color w:val="231F20"/>
          <w:sz w:val="20"/>
        </w:rPr>
        <w:t>to</w:t>
      </w:r>
      <w:r>
        <w:rPr>
          <w:color w:val="231F20"/>
          <w:spacing w:val="-4"/>
          <w:sz w:val="20"/>
        </w:rPr>
        <w:t xml:space="preserve"> </w:t>
      </w:r>
      <w:r>
        <w:rPr>
          <w:color w:val="231F20"/>
          <w:sz w:val="20"/>
        </w:rPr>
        <w:t>the</w:t>
      </w:r>
      <w:r>
        <w:rPr>
          <w:color w:val="231F20"/>
          <w:spacing w:val="-5"/>
          <w:sz w:val="20"/>
        </w:rPr>
        <w:t xml:space="preserve"> </w:t>
      </w:r>
      <w:r>
        <w:rPr>
          <w:color w:val="231F20"/>
          <w:sz w:val="20"/>
        </w:rPr>
        <w:t>Attorney-General</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30</w:t>
      </w:r>
      <w:r>
        <w:rPr>
          <w:color w:val="231F20"/>
          <w:spacing w:val="-5"/>
          <w:sz w:val="20"/>
        </w:rPr>
        <w:t xml:space="preserve"> </w:t>
      </w:r>
      <w:r>
        <w:rPr>
          <w:color w:val="231F20"/>
          <w:sz w:val="20"/>
        </w:rPr>
        <w:t>June</w:t>
      </w:r>
      <w:r>
        <w:rPr>
          <w:color w:val="231F20"/>
          <w:spacing w:val="-5"/>
          <w:sz w:val="20"/>
        </w:rPr>
        <w:t xml:space="preserve"> </w:t>
      </w:r>
      <w:r>
        <w:rPr>
          <w:color w:val="231F20"/>
          <w:spacing w:val="-3"/>
          <w:sz w:val="20"/>
        </w:rPr>
        <w:t>2022.</w:t>
      </w:r>
    </w:p>
    <w:p w14:paraId="206A50AA" w14:textId="77777777" w:rsidR="00894070" w:rsidRDefault="009B7AFD">
      <w:pPr>
        <w:pStyle w:val="ListParagraph"/>
        <w:numPr>
          <w:ilvl w:val="1"/>
          <w:numId w:val="177"/>
        </w:numPr>
        <w:tabs>
          <w:tab w:val="left" w:pos="1802"/>
        </w:tabs>
        <w:spacing w:before="114" w:line="206" w:lineRule="auto"/>
        <w:ind w:right="1172"/>
        <w:jc w:val="both"/>
        <w:rPr>
          <w:sz w:val="20"/>
        </w:rPr>
      </w:pPr>
      <w:r>
        <w:rPr>
          <w:color w:val="231F20"/>
          <w:sz w:val="20"/>
        </w:rPr>
        <w:t>The</w:t>
      </w:r>
      <w:r>
        <w:rPr>
          <w:color w:val="231F20"/>
          <w:spacing w:val="-9"/>
          <w:sz w:val="20"/>
        </w:rPr>
        <w:t xml:space="preserve"> </w:t>
      </w:r>
      <w:r>
        <w:rPr>
          <w:color w:val="231F20"/>
          <w:sz w:val="20"/>
        </w:rPr>
        <w:t>death</w:t>
      </w:r>
      <w:r>
        <w:rPr>
          <w:color w:val="231F20"/>
          <w:spacing w:val="-8"/>
          <w:sz w:val="20"/>
        </w:rPr>
        <w:t xml:space="preserve"> </w:t>
      </w:r>
      <w:r>
        <w:rPr>
          <w:color w:val="231F20"/>
          <w:sz w:val="20"/>
        </w:rPr>
        <w:t>of</w:t>
      </w:r>
      <w:r>
        <w:rPr>
          <w:color w:val="231F20"/>
          <w:spacing w:val="-9"/>
          <w:sz w:val="20"/>
        </w:rPr>
        <w:t xml:space="preserve"> </w:t>
      </w:r>
      <w:r>
        <w:rPr>
          <w:color w:val="231F20"/>
          <w:sz w:val="20"/>
        </w:rPr>
        <w:t>Celeste</w:t>
      </w:r>
      <w:r>
        <w:rPr>
          <w:color w:val="231F20"/>
          <w:spacing w:val="-8"/>
          <w:sz w:val="20"/>
        </w:rPr>
        <w:t xml:space="preserve"> </w:t>
      </w:r>
      <w:proofErr w:type="spellStart"/>
      <w:r>
        <w:rPr>
          <w:color w:val="231F20"/>
          <w:sz w:val="20"/>
        </w:rPr>
        <w:t>Manno</w:t>
      </w:r>
      <w:proofErr w:type="spellEnd"/>
      <w:r>
        <w:rPr>
          <w:color w:val="231F20"/>
          <w:spacing w:val="-9"/>
          <w:sz w:val="20"/>
        </w:rPr>
        <w:t xml:space="preserve"> </w:t>
      </w:r>
      <w:r>
        <w:rPr>
          <w:color w:val="231F20"/>
          <w:sz w:val="20"/>
        </w:rPr>
        <w:t>in</w:t>
      </w:r>
      <w:r>
        <w:rPr>
          <w:color w:val="231F20"/>
          <w:spacing w:val="-8"/>
          <w:sz w:val="20"/>
        </w:rPr>
        <w:t xml:space="preserve"> </w:t>
      </w:r>
      <w:r>
        <w:rPr>
          <w:color w:val="231F20"/>
          <w:spacing w:val="-3"/>
          <w:sz w:val="20"/>
        </w:rPr>
        <w:t>November</w:t>
      </w:r>
      <w:r>
        <w:rPr>
          <w:color w:val="231F20"/>
          <w:spacing w:val="-9"/>
          <w:sz w:val="20"/>
        </w:rPr>
        <w:t xml:space="preserve"> </w:t>
      </w:r>
      <w:r>
        <w:rPr>
          <w:color w:val="231F20"/>
          <w:spacing w:val="-4"/>
          <w:sz w:val="20"/>
        </w:rPr>
        <w:t>2020</w:t>
      </w:r>
      <w:r>
        <w:rPr>
          <w:color w:val="231F20"/>
          <w:spacing w:val="-8"/>
          <w:sz w:val="20"/>
        </w:rPr>
        <w:t xml:space="preserve"> </w:t>
      </w:r>
      <w:r>
        <w:rPr>
          <w:color w:val="231F20"/>
          <w:sz w:val="20"/>
        </w:rPr>
        <w:t>was</w:t>
      </w:r>
      <w:r>
        <w:rPr>
          <w:color w:val="231F20"/>
          <w:spacing w:val="-8"/>
          <w:sz w:val="20"/>
        </w:rPr>
        <w:t xml:space="preserve"> </w:t>
      </w:r>
      <w:r>
        <w:rPr>
          <w:color w:val="231F20"/>
          <w:sz w:val="20"/>
        </w:rPr>
        <w:t>a</w:t>
      </w:r>
      <w:r>
        <w:rPr>
          <w:color w:val="231F20"/>
          <w:spacing w:val="-9"/>
          <w:sz w:val="20"/>
        </w:rPr>
        <w:t xml:space="preserve"> </w:t>
      </w:r>
      <w:r>
        <w:rPr>
          <w:color w:val="231F20"/>
          <w:sz w:val="20"/>
        </w:rPr>
        <w:t>sign</w:t>
      </w:r>
      <w:r>
        <w:rPr>
          <w:color w:val="231F20"/>
          <w:spacing w:val="-8"/>
          <w:sz w:val="20"/>
        </w:rPr>
        <w:t xml:space="preserve"> </w:t>
      </w:r>
      <w:r>
        <w:rPr>
          <w:color w:val="231F20"/>
          <w:sz w:val="20"/>
        </w:rPr>
        <w:t>that</w:t>
      </w:r>
      <w:r>
        <w:rPr>
          <w:color w:val="231F20"/>
          <w:spacing w:val="-9"/>
          <w:sz w:val="20"/>
        </w:rPr>
        <w:t xml:space="preserve"> </w:t>
      </w:r>
      <w:r>
        <w:rPr>
          <w:color w:val="231F20"/>
          <w:sz w:val="20"/>
        </w:rPr>
        <w:t>the</w:t>
      </w:r>
      <w:r>
        <w:rPr>
          <w:color w:val="231F20"/>
          <w:spacing w:val="-8"/>
          <w:sz w:val="20"/>
        </w:rPr>
        <w:t xml:space="preserve"> </w:t>
      </w:r>
      <w:r>
        <w:rPr>
          <w:color w:val="231F20"/>
          <w:sz w:val="20"/>
        </w:rPr>
        <w:t>response</w:t>
      </w:r>
      <w:r>
        <w:rPr>
          <w:color w:val="231F20"/>
          <w:spacing w:val="-9"/>
          <w:sz w:val="20"/>
        </w:rPr>
        <w:t xml:space="preserve"> </w:t>
      </w:r>
      <w:r>
        <w:rPr>
          <w:color w:val="231F20"/>
          <w:sz w:val="20"/>
        </w:rPr>
        <w:t>to</w:t>
      </w:r>
      <w:r>
        <w:rPr>
          <w:color w:val="231F20"/>
          <w:spacing w:val="-8"/>
          <w:sz w:val="20"/>
        </w:rPr>
        <w:t xml:space="preserve"> </w:t>
      </w:r>
      <w:r>
        <w:rPr>
          <w:color w:val="231F20"/>
          <w:sz w:val="20"/>
        </w:rPr>
        <w:t>stalking needed</w:t>
      </w:r>
      <w:r>
        <w:rPr>
          <w:color w:val="231F20"/>
          <w:spacing w:val="-9"/>
          <w:sz w:val="20"/>
        </w:rPr>
        <w:t xml:space="preserve"> </w:t>
      </w:r>
      <w:r>
        <w:rPr>
          <w:color w:val="231F20"/>
          <w:spacing w:val="-3"/>
          <w:sz w:val="20"/>
        </w:rPr>
        <w:t>reform.</w:t>
      </w:r>
      <w:r>
        <w:rPr>
          <w:color w:val="231F20"/>
          <w:spacing w:val="-9"/>
          <w:sz w:val="20"/>
        </w:rPr>
        <w:t xml:space="preserve"> </w:t>
      </w:r>
      <w:r>
        <w:rPr>
          <w:color w:val="231F20"/>
          <w:sz w:val="20"/>
        </w:rPr>
        <w:t>There</w:t>
      </w:r>
      <w:r>
        <w:rPr>
          <w:color w:val="231F20"/>
          <w:spacing w:val="-9"/>
          <w:sz w:val="20"/>
        </w:rPr>
        <w:t xml:space="preserve"> </w:t>
      </w:r>
      <w:r>
        <w:rPr>
          <w:color w:val="231F20"/>
          <w:sz w:val="20"/>
        </w:rPr>
        <w:t>is</w:t>
      </w:r>
      <w:r>
        <w:rPr>
          <w:color w:val="231F20"/>
          <w:spacing w:val="-9"/>
          <w:sz w:val="20"/>
        </w:rPr>
        <w:t xml:space="preserve"> </w:t>
      </w:r>
      <w:r>
        <w:rPr>
          <w:color w:val="231F20"/>
          <w:sz w:val="20"/>
        </w:rPr>
        <w:t>an</w:t>
      </w:r>
      <w:r>
        <w:rPr>
          <w:color w:val="231F20"/>
          <w:spacing w:val="-9"/>
          <w:sz w:val="20"/>
        </w:rPr>
        <w:t xml:space="preserve"> </w:t>
      </w:r>
      <w:r>
        <w:rPr>
          <w:color w:val="231F20"/>
          <w:sz w:val="20"/>
        </w:rPr>
        <w:t>opportunity</w:t>
      </w:r>
      <w:r>
        <w:rPr>
          <w:color w:val="231F20"/>
          <w:spacing w:val="-9"/>
          <w:sz w:val="20"/>
        </w:rPr>
        <w:t xml:space="preserve"> </w:t>
      </w:r>
      <w:r>
        <w:rPr>
          <w:color w:val="231F20"/>
          <w:spacing w:val="-3"/>
          <w:sz w:val="20"/>
        </w:rPr>
        <w:t>now</w:t>
      </w:r>
      <w:r>
        <w:rPr>
          <w:color w:val="231F20"/>
          <w:spacing w:val="-9"/>
          <w:sz w:val="20"/>
        </w:rPr>
        <w:t xml:space="preserve"> </w:t>
      </w:r>
      <w:r>
        <w:rPr>
          <w:color w:val="231F20"/>
          <w:sz w:val="20"/>
        </w:rPr>
        <w:t>to</w:t>
      </w:r>
      <w:r>
        <w:rPr>
          <w:color w:val="231F20"/>
          <w:spacing w:val="-9"/>
          <w:sz w:val="20"/>
        </w:rPr>
        <w:t xml:space="preserve"> </w:t>
      </w:r>
      <w:r>
        <w:rPr>
          <w:color w:val="231F20"/>
          <w:sz w:val="20"/>
        </w:rPr>
        <w:t>propel</w:t>
      </w:r>
      <w:r>
        <w:rPr>
          <w:color w:val="231F20"/>
          <w:spacing w:val="-9"/>
          <w:sz w:val="20"/>
        </w:rPr>
        <w:t xml:space="preserve"> </w:t>
      </w:r>
      <w:r>
        <w:rPr>
          <w:color w:val="231F20"/>
          <w:sz w:val="20"/>
        </w:rPr>
        <w:t>forward</w:t>
      </w:r>
      <w:r>
        <w:rPr>
          <w:color w:val="231F20"/>
          <w:spacing w:val="-9"/>
          <w:sz w:val="20"/>
        </w:rPr>
        <w:t xml:space="preserve"> </w:t>
      </w:r>
      <w:r>
        <w:rPr>
          <w:color w:val="231F20"/>
          <w:sz w:val="20"/>
        </w:rPr>
        <w:t>the</w:t>
      </w:r>
      <w:r>
        <w:rPr>
          <w:color w:val="231F20"/>
          <w:spacing w:val="-8"/>
          <w:sz w:val="20"/>
        </w:rPr>
        <w:t xml:space="preserve"> </w:t>
      </w:r>
      <w:r>
        <w:rPr>
          <w:color w:val="231F20"/>
          <w:sz w:val="20"/>
        </w:rPr>
        <w:t>response</w:t>
      </w:r>
      <w:r>
        <w:rPr>
          <w:color w:val="231F20"/>
          <w:spacing w:val="-9"/>
          <w:sz w:val="20"/>
        </w:rPr>
        <w:t xml:space="preserve"> </w:t>
      </w:r>
      <w:r>
        <w:rPr>
          <w:color w:val="231F20"/>
          <w:sz w:val="20"/>
        </w:rPr>
        <w:t>to</w:t>
      </w:r>
      <w:r>
        <w:rPr>
          <w:color w:val="231F20"/>
          <w:spacing w:val="-9"/>
          <w:sz w:val="20"/>
        </w:rPr>
        <w:t xml:space="preserve"> </w:t>
      </w:r>
      <w:r>
        <w:rPr>
          <w:color w:val="231F20"/>
          <w:sz w:val="20"/>
        </w:rPr>
        <w:t xml:space="preserve">stalking so it is more </w:t>
      </w:r>
      <w:r>
        <w:rPr>
          <w:color w:val="231F20"/>
          <w:spacing w:val="-3"/>
          <w:sz w:val="20"/>
        </w:rPr>
        <w:t xml:space="preserve">effective, </w:t>
      </w:r>
      <w:proofErr w:type="gramStart"/>
      <w:r>
        <w:rPr>
          <w:color w:val="231F20"/>
          <w:sz w:val="20"/>
        </w:rPr>
        <w:t>supportive</w:t>
      </w:r>
      <w:proofErr w:type="gramEnd"/>
      <w:r>
        <w:rPr>
          <w:color w:val="231F20"/>
          <w:sz w:val="20"/>
        </w:rPr>
        <w:t xml:space="preserve"> and</w:t>
      </w:r>
      <w:r>
        <w:rPr>
          <w:color w:val="231F20"/>
          <w:spacing w:val="-28"/>
          <w:sz w:val="20"/>
        </w:rPr>
        <w:t xml:space="preserve"> </w:t>
      </w:r>
      <w:r>
        <w:rPr>
          <w:color w:val="231F20"/>
          <w:spacing w:val="-4"/>
          <w:sz w:val="20"/>
        </w:rPr>
        <w:t>fair.</w:t>
      </w:r>
    </w:p>
    <w:p w14:paraId="29A55643" w14:textId="77777777" w:rsidR="00894070" w:rsidRDefault="009B7AFD">
      <w:pPr>
        <w:pStyle w:val="ListParagraph"/>
        <w:numPr>
          <w:ilvl w:val="1"/>
          <w:numId w:val="177"/>
        </w:numPr>
        <w:tabs>
          <w:tab w:val="left" w:pos="1801"/>
          <w:tab w:val="left" w:pos="1802"/>
        </w:tabs>
        <w:spacing w:before="124" w:line="206" w:lineRule="auto"/>
        <w:ind w:right="1272"/>
        <w:rPr>
          <w:sz w:val="20"/>
        </w:rPr>
      </w:pPr>
      <w:r>
        <w:rPr>
          <w:color w:val="231F20"/>
          <w:sz w:val="20"/>
        </w:rPr>
        <w:t xml:space="preserve">There is, </w:t>
      </w:r>
      <w:r>
        <w:rPr>
          <w:color w:val="231F20"/>
          <w:spacing w:val="-5"/>
          <w:sz w:val="20"/>
        </w:rPr>
        <w:t xml:space="preserve">however, </w:t>
      </w:r>
      <w:r>
        <w:rPr>
          <w:color w:val="231F20"/>
          <w:sz w:val="20"/>
        </w:rPr>
        <w:t xml:space="preserve">a </w:t>
      </w:r>
      <w:r>
        <w:rPr>
          <w:color w:val="231F20"/>
          <w:spacing w:val="-3"/>
          <w:sz w:val="20"/>
        </w:rPr>
        <w:t xml:space="preserve">lot we </w:t>
      </w:r>
      <w:r>
        <w:rPr>
          <w:color w:val="231F20"/>
          <w:sz w:val="20"/>
        </w:rPr>
        <w:t xml:space="preserve">still do not </w:t>
      </w:r>
      <w:r>
        <w:rPr>
          <w:color w:val="231F20"/>
          <w:spacing w:val="-3"/>
          <w:sz w:val="20"/>
        </w:rPr>
        <w:t xml:space="preserve">know </w:t>
      </w:r>
      <w:r>
        <w:rPr>
          <w:color w:val="231F20"/>
          <w:sz w:val="20"/>
        </w:rPr>
        <w:t>about stalking. As the knowledge base changes,</w:t>
      </w:r>
      <w:r>
        <w:rPr>
          <w:color w:val="231F20"/>
          <w:spacing w:val="-9"/>
          <w:sz w:val="20"/>
        </w:rPr>
        <w:t xml:space="preserve"> </w:t>
      </w:r>
      <w:r>
        <w:rPr>
          <w:color w:val="231F20"/>
          <w:sz w:val="20"/>
        </w:rPr>
        <w:t>the</w:t>
      </w:r>
      <w:r>
        <w:rPr>
          <w:color w:val="231F20"/>
          <w:spacing w:val="-9"/>
          <w:sz w:val="20"/>
        </w:rPr>
        <w:t xml:space="preserve"> </w:t>
      </w:r>
      <w:r>
        <w:rPr>
          <w:color w:val="231F20"/>
          <w:sz w:val="20"/>
        </w:rPr>
        <w:t>responses</w:t>
      </w:r>
      <w:r>
        <w:rPr>
          <w:color w:val="231F20"/>
          <w:spacing w:val="-9"/>
          <w:sz w:val="20"/>
        </w:rPr>
        <w:t xml:space="preserve"> </w:t>
      </w:r>
      <w:r>
        <w:rPr>
          <w:color w:val="231F20"/>
          <w:sz w:val="20"/>
        </w:rPr>
        <w:t>should</w:t>
      </w:r>
      <w:r>
        <w:rPr>
          <w:color w:val="231F20"/>
          <w:spacing w:val="-9"/>
          <w:sz w:val="20"/>
        </w:rPr>
        <w:t xml:space="preserve"> </w:t>
      </w:r>
      <w:r>
        <w:rPr>
          <w:color w:val="231F20"/>
          <w:sz w:val="20"/>
        </w:rPr>
        <w:t>also</w:t>
      </w:r>
      <w:r>
        <w:rPr>
          <w:color w:val="231F20"/>
          <w:spacing w:val="-9"/>
          <w:sz w:val="20"/>
        </w:rPr>
        <w:t xml:space="preserve"> </w:t>
      </w:r>
      <w:r>
        <w:rPr>
          <w:color w:val="231F20"/>
          <w:spacing w:val="-5"/>
          <w:sz w:val="20"/>
        </w:rPr>
        <w:t>evolve</w:t>
      </w:r>
      <w:r>
        <w:rPr>
          <w:color w:val="231F20"/>
          <w:spacing w:val="-9"/>
          <w:sz w:val="20"/>
        </w:rPr>
        <w:t xml:space="preserve"> </w:t>
      </w:r>
      <w:r>
        <w:rPr>
          <w:color w:val="231F20"/>
          <w:sz w:val="20"/>
        </w:rPr>
        <w:t>and</w:t>
      </w:r>
      <w:r>
        <w:rPr>
          <w:color w:val="231F20"/>
          <w:spacing w:val="-9"/>
          <w:sz w:val="20"/>
        </w:rPr>
        <w:t xml:space="preserve"> </w:t>
      </w:r>
      <w:r>
        <w:rPr>
          <w:color w:val="231F20"/>
          <w:spacing w:val="-4"/>
          <w:sz w:val="20"/>
        </w:rPr>
        <w:t>improve.</w:t>
      </w:r>
      <w:r>
        <w:rPr>
          <w:color w:val="231F20"/>
          <w:spacing w:val="-9"/>
          <w:sz w:val="20"/>
        </w:rPr>
        <w:t xml:space="preserve"> </w:t>
      </w:r>
      <w:r>
        <w:rPr>
          <w:color w:val="231F20"/>
          <w:sz w:val="20"/>
        </w:rPr>
        <w:t>The</w:t>
      </w:r>
      <w:r>
        <w:rPr>
          <w:color w:val="231F20"/>
          <w:spacing w:val="-9"/>
          <w:sz w:val="20"/>
        </w:rPr>
        <w:t xml:space="preserve"> </w:t>
      </w:r>
      <w:r>
        <w:rPr>
          <w:color w:val="231F20"/>
          <w:sz w:val="20"/>
        </w:rPr>
        <w:t>recommendations</w:t>
      </w:r>
      <w:r>
        <w:rPr>
          <w:color w:val="231F20"/>
          <w:spacing w:val="-9"/>
          <w:sz w:val="20"/>
        </w:rPr>
        <w:t xml:space="preserve"> </w:t>
      </w:r>
      <w:r>
        <w:rPr>
          <w:color w:val="231F20"/>
          <w:sz w:val="20"/>
        </w:rPr>
        <w:t>in</w:t>
      </w:r>
      <w:r>
        <w:rPr>
          <w:color w:val="231F20"/>
          <w:spacing w:val="-9"/>
          <w:sz w:val="20"/>
        </w:rPr>
        <w:t xml:space="preserve"> </w:t>
      </w:r>
      <w:r>
        <w:rPr>
          <w:color w:val="231F20"/>
          <w:sz w:val="20"/>
        </w:rPr>
        <w:t>this report</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the</w:t>
      </w:r>
      <w:r>
        <w:rPr>
          <w:color w:val="231F20"/>
          <w:spacing w:val="-5"/>
          <w:sz w:val="20"/>
        </w:rPr>
        <w:t xml:space="preserve"> </w:t>
      </w:r>
      <w:r>
        <w:rPr>
          <w:color w:val="231F20"/>
          <w:sz w:val="20"/>
        </w:rPr>
        <w:t>start</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work</w:t>
      </w:r>
      <w:r>
        <w:rPr>
          <w:color w:val="231F20"/>
          <w:spacing w:val="-5"/>
          <w:sz w:val="20"/>
        </w:rPr>
        <w:t xml:space="preserve"> </w:t>
      </w:r>
      <w:r>
        <w:rPr>
          <w:color w:val="231F20"/>
          <w:sz w:val="20"/>
        </w:rPr>
        <w:t>that</w:t>
      </w:r>
      <w:r>
        <w:rPr>
          <w:color w:val="231F20"/>
          <w:spacing w:val="-5"/>
          <w:sz w:val="20"/>
        </w:rPr>
        <w:t xml:space="preserve"> </w:t>
      </w:r>
      <w:r>
        <w:rPr>
          <w:color w:val="231F20"/>
          <w:sz w:val="20"/>
        </w:rPr>
        <w:t>needs</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done,</w:t>
      </w:r>
      <w:r>
        <w:rPr>
          <w:color w:val="231F20"/>
          <w:spacing w:val="-5"/>
          <w:sz w:val="20"/>
        </w:rPr>
        <w:t xml:space="preserve"> </w:t>
      </w:r>
      <w:r>
        <w:rPr>
          <w:color w:val="231F20"/>
          <w:sz w:val="20"/>
        </w:rPr>
        <w:t>but</w:t>
      </w:r>
      <w:r>
        <w:rPr>
          <w:color w:val="231F20"/>
          <w:spacing w:val="-5"/>
          <w:sz w:val="20"/>
        </w:rPr>
        <w:t xml:space="preserve"> </w:t>
      </w:r>
      <w:r>
        <w:rPr>
          <w:color w:val="231F20"/>
          <w:sz w:val="20"/>
        </w:rPr>
        <w:t>not</w:t>
      </w:r>
      <w:r>
        <w:rPr>
          <w:color w:val="231F20"/>
          <w:spacing w:val="-5"/>
          <w:sz w:val="20"/>
        </w:rPr>
        <w:t xml:space="preserve"> </w:t>
      </w:r>
      <w:r>
        <w:rPr>
          <w:color w:val="231F20"/>
          <w:sz w:val="20"/>
        </w:rPr>
        <w:t>the</w:t>
      </w:r>
      <w:r>
        <w:rPr>
          <w:color w:val="231F20"/>
          <w:spacing w:val="-4"/>
          <w:sz w:val="20"/>
        </w:rPr>
        <w:t xml:space="preserve"> </w:t>
      </w:r>
      <w:r>
        <w:rPr>
          <w:color w:val="231F20"/>
          <w:sz w:val="20"/>
        </w:rPr>
        <w:t>end.</w:t>
      </w:r>
    </w:p>
    <w:p w14:paraId="46EB0D46" w14:textId="77777777" w:rsidR="00894070" w:rsidRDefault="00894070">
      <w:pPr>
        <w:pStyle w:val="BodyText"/>
      </w:pPr>
    </w:p>
    <w:p w14:paraId="42691477" w14:textId="77777777" w:rsidR="00894070" w:rsidRDefault="00894070">
      <w:pPr>
        <w:pStyle w:val="BodyText"/>
      </w:pPr>
    </w:p>
    <w:p w14:paraId="5442F17F" w14:textId="77777777" w:rsidR="00894070" w:rsidRDefault="00894070">
      <w:pPr>
        <w:pStyle w:val="BodyText"/>
      </w:pPr>
    </w:p>
    <w:p w14:paraId="27376DEE" w14:textId="77777777" w:rsidR="00894070" w:rsidRDefault="00894070">
      <w:pPr>
        <w:pStyle w:val="BodyText"/>
      </w:pPr>
    </w:p>
    <w:p w14:paraId="1481004E" w14:textId="77777777" w:rsidR="00894070" w:rsidRDefault="00894070">
      <w:pPr>
        <w:pStyle w:val="BodyText"/>
      </w:pPr>
    </w:p>
    <w:p w14:paraId="33F576B2" w14:textId="77777777" w:rsidR="00894070" w:rsidRDefault="00894070">
      <w:pPr>
        <w:pStyle w:val="BodyText"/>
      </w:pPr>
    </w:p>
    <w:p w14:paraId="6AD753A4" w14:textId="77777777" w:rsidR="00894070" w:rsidRDefault="00894070">
      <w:pPr>
        <w:pStyle w:val="BodyText"/>
      </w:pPr>
    </w:p>
    <w:p w14:paraId="61B0B7A2" w14:textId="77777777" w:rsidR="00894070" w:rsidRDefault="00894070">
      <w:pPr>
        <w:pStyle w:val="BodyText"/>
      </w:pPr>
    </w:p>
    <w:p w14:paraId="5381A1D5" w14:textId="77777777" w:rsidR="00894070" w:rsidRDefault="00894070">
      <w:pPr>
        <w:pStyle w:val="BodyText"/>
      </w:pPr>
    </w:p>
    <w:p w14:paraId="2F2A5C5F" w14:textId="77777777" w:rsidR="00894070" w:rsidRDefault="009F6793">
      <w:pPr>
        <w:pStyle w:val="BodyText"/>
        <w:spacing w:before="11"/>
        <w:rPr>
          <w:sz w:val="13"/>
        </w:rPr>
      </w:pPr>
      <w:r>
        <w:pict w14:anchorId="5A503CB9">
          <v:line id="_x0000_s1693" style="position:absolute;z-index:-251467776;mso-wrap-distance-left:0;mso-wrap-distance-right:0;mso-position-horizontal-relative:page" from="79.35pt,12.05pt" to="515.9pt,12.05pt" strokecolor="#f8cabc" strokeweight="1pt">
            <w10:wrap type="topAndBottom" anchorx="page"/>
          </v:line>
        </w:pict>
      </w:r>
    </w:p>
    <w:p w14:paraId="072662E2" w14:textId="77777777" w:rsidR="00894070" w:rsidRDefault="009B7AFD">
      <w:pPr>
        <w:pStyle w:val="ListParagraph"/>
        <w:numPr>
          <w:ilvl w:val="0"/>
          <w:numId w:val="176"/>
        </w:numPr>
        <w:tabs>
          <w:tab w:val="left" w:pos="1801"/>
          <w:tab w:val="left" w:pos="1802"/>
          <w:tab w:val="right" w:pos="10602"/>
        </w:tabs>
        <w:spacing w:line="297" w:lineRule="exact"/>
        <w:rPr>
          <w:b/>
          <w:sz w:val="24"/>
        </w:rPr>
      </w:pPr>
      <w:r>
        <w:rPr>
          <w:color w:val="231F20"/>
          <w:sz w:val="13"/>
        </w:rPr>
        <w:t xml:space="preserve">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No 42,</w:t>
      </w:r>
      <w:r>
        <w:rPr>
          <w:color w:val="231F20"/>
          <w:spacing w:val="32"/>
          <w:sz w:val="13"/>
        </w:rPr>
        <w:t xml:space="preserve"> </w:t>
      </w:r>
      <w:r>
        <w:rPr>
          <w:color w:val="231F20"/>
          <w:sz w:val="13"/>
        </w:rPr>
        <w:t>September</w:t>
      </w:r>
      <w:r>
        <w:rPr>
          <w:color w:val="231F20"/>
          <w:spacing w:val="3"/>
          <w:sz w:val="13"/>
        </w:rPr>
        <w:t xml:space="preserve"> </w:t>
      </w:r>
      <w:r>
        <w:rPr>
          <w:color w:val="231F20"/>
          <w:sz w:val="13"/>
        </w:rPr>
        <w:t>2021).</w:t>
      </w:r>
      <w:r>
        <w:rPr>
          <w:color w:val="231F20"/>
          <w:sz w:val="13"/>
        </w:rPr>
        <w:tab/>
      </w:r>
      <w:r>
        <w:rPr>
          <w:b/>
          <w:color w:val="EA5B50"/>
          <w:sz w:val="24"/>
        </w:rPr>
        <w:t>9</w:t>
      </w:r>
    </w:p>
    <w:p w14:paraId="66AC3EAF" w14:textId="77777777" w:rsidR="00894070" w:rsidRDefault="00894070">
      <w:pPr>
        <w:spacing w:line="297" w:lineRule="exact"/>
        <w:rPr>
          <w:sz w:val="24"/>
        </w:rPr>
        <w:sectPr w:rsidR="00894070">
          <w:pgSz w:w="11910" w:h="16840"/>
          <w:pgMar w:top="840" w:right="420" w:bottom="280" w:left="580" w:header="0" w:footer="0" w:gutter="0"/>
          <w:cols w:space="720"/>
        </w:sectPr>
      </w:pPr>
    </w:p>
    <w:p w14:paraId="78ED9D75" w14:textId="77777777" w:rsidR="00894070" w:rsidRDefault="009F6793">
      <w:pPr>
        <w:pStyle w:val="BodyText"/>
        <w:rPr>
          <w:b/>
          <w:sz w:val="28"/>
        </w:rPr>
      </w:pPr>
      <w:r>
        <w:lastRenderedPageBreak/>
        <w:pict w14:anchorId="533679DF">
          <v:rect id="_x0000_s1692" style="position:absolute;margin-left:79.35pt;margin-top:0;width:515.9pt;height:841.9pt;z-index:251483136;mso-position-horizontal-relative:page;mso-position-vertical-relative:page" fillcolor="#ea5b50" stroked="f">
            <w10:wrap anchorx="page" anchory="page"/>
          </v:rect>
        </w:pict>
      </w:r>
    </w:p>
    <w:p w14:paraId="4EBE8232" w14:textId="77777777" w:rsidR="00894070" w:rsidRDefault="00894070">
      <w:pPr>
        <w:pStyle w:val="BodyText"/>
        <w:rPr>
          <w:b/>
          <w:sz w:val="28"/>
        </w:rPr>
      </w:pPr>
    </w:p>
    <w:p w14:paraId="7D959931" w14:textId="77777777" w:rsidR="00894070" w:rsidRDefault="00894070">
      <w:pPr>
        <w:pStyle w:val="BodyText"/>
        <w:rPr>
          <w:b/>
          <w:sz w:val="28"/>
        </w:rPr>
      </w:pPr>
    </w:p>
    <w:p w14:paraId="6F22F59E" w14:textId="77777777" w:rsidR="00894070" w:rsidRDefault="00894070">
      <w:pPr>
        <w:pStyle w:val="BodyText"/>
        <w:rPr>
          <w:b/>
          <w:sz w:val="28"/>
        </w:rPr>
      </w:pPr>
    </w:p>
    <w:p w14:paraId="2B35A250" w14:textId="77777777" w:rsidR="00894070" w:rsidRDefault="00894070">
      <w:pPr>
        <w:pStyle w:val="BodyText"/>
        <w:rPr>
          <w:b/>
          <w:sz w:val="28"/>
        </w:rPr>
      </w:pPr>
    </w:p>
    <w:p w14:paraId="43A0B0E7" w14:textId="77777777" w:rsidR="00894070" w:rsidRDefault="00894070">
      <w:pPr>
        <w:pStyle w:val="BodyText"/>
        <w:rPr>
          <w:b/>
          <w:sz w:val="28"/>
        </w:rPr>
      </w:pPr>
    </w:p>
    <w:p w14:paraId="06AF5F98" w14:textId="77777777" w:rsidR="00894070" w:rsidRDefault="00894070">
      <w:pPr>
        <w:pStyle w:val="BodyText"/>
        <w:rPr>
          <w:b/>
          <w:sz w:val="28"/>
        </w:rPr>
      </w:pPr>
    </w:p>
    <w:p w14:paraId="10F2FD40" w14:textId="77777777" w:rsidR="00894070" w:rsidRDefault="00894070">
      <w:pPr>
        <w:pStyle w:val="BodyText"/>
        <w:rPr>
          <w:b/>
          <w:sz w:val="28"/>
        </w:rPr>
      </w:pPr>
    </w:p>
    <w:p w14:paraId="54EA281C" w14:textId="77777777" w:rsidR="00894070" w:rsidRDefault="00894070">
      <w:pPr>
        <w:pStyle w:val="BodyText"/>
        <w:rPr>
          <w:b/>
          <w:sz w:val="28"/>
        </w:rPr>
      </w:pPr>
    </w:p>
    <w:p w14:paraId="3611AC4A" w14:textId="77777777" w:rsidR="00894070" w:rsidRDefault="00894070">
      <w:pPr>
        <w:pStyle w:val="BodyText"/>
        <w:rPr>
          <w:b/>
          <w:sz w:val="28"/>
        </w:rPr>
      </w:pPr>
    </w:p>
    <w:p w14:paraId="5F0B5EDC" w14:textId="77777777" w:rsidR="00894070" w:rsidRDefault="00894070">
      <w:pPr>
        <w:pStyle w:val="BodyText"/>
        <w:rPr>
          <w:b/>
          <w:sz w:val="28"/>
        </w:rPr>
      </w:pPr>
    </w:p>
    <w:p w14:paraId="5242FECE" w14:textId="77777777" w:rsidR="00894070" w:rsidRDefault="00894070">
      <w:pPr>
        <w:pStyle w:val="BodyText"/>
        <w:rPr>
          <w:b/>
          <w:sz w:val="28"/>
        </w:rPr>
      </w:pPr>
    </w:p>
    <w:p w14:paraId="6F35F95A" w14:textId="77777777" w:rsidR="00894070" w:rsidRDefault="00894070">
      <w:pPr>
        <w:pStyle w:val="BodyText"/>
        <w:rPr>
          <w:b/>
          <w:sz w:val="28"/>
        </w:rPr>
      </w:pPr>
    </w:p>
    <w:p w14:paraId="04ABEDB5" w14:textId="77777777" w:rsidR="00894070" w:rsidRDefault="00894070">
      <w:pPr>
        <w:pStyle w:val="BodyText"/>
        <w:rPr>
          <w:b/>
          <w:sz w:val="28"/>
        </w:rPr>
      </w:pPr>
    </w:p>
    <w:p w14:paraId="52CADD8B" w14:textId="77777777" w:rsidR="00894070" w:rsidRDefault="00894070">
      <w:pPr>
        <w:pStyle w:val="BodyText"/>
        <w:rPr>
          <w:b/>
          <w:sz w:val="28"/>
        </w:rPr>
      </w:pPr>
    </w:p>
    <w:p w14:paraId="4BA1FE74" w14:textId="77777777" w:rsidR="00894070" w:rsidRDefault="00894070">
      <w:pPr>
        <w:pStyle w:val="BodyText"/>
        <w:rPr>
          <w:b/>
          <w:sz w:val="28"/>
        </w:rPr>
      </w:pPr>
    </w:p>
    <w:p w14:paraId="20AB83A1" w14:textId="77777777" w:rsidR="00894070" w:rsidRDefault="00894070">
      <w:pPr>
        <w:pStyle w:val="BodyText"/>
        <w:rPr>
          <w:b/>
          <w:sz w:val="28"/>
        </w:rPr>
      </w:pPr>
    </w:p>
    <w:p w14:paraId="6EE58902" w14:textId="77777777" w:rsidR="00894070" w:rsidRDefault="00894070">
      <w:pPr>
        <w:pStyle w:val="BodyText"/>
        <w:rPr>
          <w:b/>
          <w:sz w:val="28"/>
        </w:rPr>
      </w:pPr>
    </w:p>
    <w:p w14:paraId="76C6038A" w14:textId="77777777" w:rsidR="00894070" w:rsidRDefault="00894070">
      <w:pPr>
        <w:pStyle w:val="BodyText"/>
        <w:rPr>
          <w:b/>
          <w:sz w:val="28"/>
        </w:rPr>
      </w:pPr>
    </w:p>
    <w:p w14:paraId="2582C20A" w14:textId="77777777" w:rsidR="00894070" w:rsidRDefault="00894070">
      <w:pPr>
        <w:pStyle w:val="BodyText"/>
        <w:rPr>
          <w:b/>
          <w:sz w:val="28"/>
        </w:rPr>
      </w:pPr>
    </w:p>
    <w:p w14:paraId="245ACBAE" w14:textId="77777777" w:rsidR="00894070" w:rsidRDefault="00894070">
      <w:pPr>
        <w:pStyle w:val="BodyText"/>
        <w:rPr>
          <w:b/>
          <w:sz w:val="28"/>
        </w:rPr>
      </w:pPr>
    </w:p>
    <w:p w14:paraId="4A44A814" w14:textId="77777777" w:rsidR="00894070" w:rsidRDefault="00894070">
      <w:pPr>
        <w:pStyle w:val="BodyText"/>
        <w:rPr>
          <w:b/>
          <w:sz w:val="28"/>
        </w:rPr>
      </w:pPr>
    </w:p>
    <w:p w14:paraId="46F0E740" w14:textId="77777777" w:rsidR="00894070" w:rsidRDefault="00894070">
      <w:pPr>
        <w:pStyle w:val="BodyText"/>
        <w:rPr>
          <w:b/>
          <w:sz w:val="28"/>
        </w:rPr>
      </w:pPr>
    </w:p>
    <w:p w14:paraId="22E44FE1" w14:textId="77777777" w:rsidR="00894070" w:rsidRDefault="00894070">
      <w:pPr>
        <w:pStyle w:val="BodyText"/>
        <w:rPr>
          <w:b/>
          <w:sz w:val="28"/>
        </w:rPr>
      </w:pPr>
    </w:p>
    <w:p w14:paraId="2BD9251C" w14:textId="77777777" w:rsidR="00894070" w:rsidRDefault="00894070">
      <w:pPr>
        <w:pStyle w:val="BodyText"/>
        <w:rPr>
          <w:b/>
          <w:sz w:val="28"/>
        </w:rPr>
      </w:pPr>
    </w:p>
    <w:p w14:paraId="447169C1" w14:textId="77777777" w:rsidR="00894070" w:rsidRDefault="00894070">
      <w:pPr>
        <w:pStyle w:val="BodyText"/>
        <w:rPr>
          <w:b/>
          <w:sz w:val="28"/>
        </w:rPr>
      </w:pPr>
    </w:p>
    <w:p w14:paraId="4DF2EEFF" w14:textId="77777777" w:rsidR="00894070" w:rsidRDefault="00894070">
      <w:pPr>
        <w:pStyle w:val="BodyText"/>
        <w:rPr>
          <w:b/>
          <w:sz w:val="28"/>
        </w:rPr>
      </w:pPr>
    </w:p>
    <w:p w14:paraId="7BC79D53" w14:textId="77777777" w:rsidR="00894070" w:rsidRDefault="00894070">
      <w:pPr>
        <w:pStyle w:val="BodyText"/>
        <w:rPr>
          <w:b/>
          <w:sz w:val="28"/>
        </w:rPr>
      </w:pPr>
    </w:p>
    <w:p w14:paraId="33EB808D" w14:textId="77777777" w:rsidR="00894070" w:rsidRDefault="00894070">
      <w:pPr>
        <w:pStyle w:val="BodyText"/>
        <w:rPr>
          <w:b/>
          <w:sz w:val="28"/>
        </w:rPr>
      </w:pPr>
    </w:p>
    <w:p w14:paraId="6CAF5D63" w14:textId="77777777" w:rsidR="00894070" w:rsidRDefault="00894070">
      <w:pPr>
        <w:pStyle w:val="BodyText"/>
        <w:rPr>
          <w:b/>
          <w:sz w:val="28"/>
        </w:rPr>
      </w:pPr>
    </w:p>
    <w:p w14:paraId="1E9E99B3" w14:textId="77777777" w:rsidR="00894070" w:rsidRDefault="00894070">
      <w:pPr>
        <w:pStyle w:val="BodyText"/>
        <w:rPr>
          <w:b/>
          <w:sz w:val="28"/>
        </w:rPr>
      </w:pPr>
    </w:p>
    <w:p w14:paraId="457B2FE2" w14:textId="77777777" w:rsidR="00894070" w:rsidRDefault="00894070">
      <w:pPr>
        <w:pStyle w:val="BodyText"/>
        <w:rPr>
          <w:b/>
          <w:sz w:val="28"/>
        </w:rPr>
      </w:pPr>
    </w:p>
    <w:p w14:paraId="21E8D25C" w14:textId="77777777" w:rsidR="00894070" w:rsidRDefault="00894070">
      <w:pPr>
        <w:pStyle w:val="BodyText"/>
        <w:rPr>
          <w:b/>
          <w:sz w:val="28"/>
        </w:rPr>
      </w:pPr>
    </w:p>
    <w:p w14:paraId="7BDAE46B" w14:textId="77777777" w:rsidR="00894070" w:rsidRDefault="00894070">
      <w:pPr>
        <w:pStyle w:val="BodyText"/>
        <w:rPr>
          <w:b/>
          <w:sz w:val="28"/>
        </w:rPr>
      </w:pPr>
    </w:p>
    <w:p w14:paraId="1779C446" w14:textId="77777777" w:rsidR="00894070" w:rsidRDefault="00894070">
      <w:pPr>
        <w:pStyle w:val="BodyText"/>
        <w:rPr>
          <w:b/>
          <w:sz w:val="28"/>
        </w:rPr>
      </w:pPr>
    </w:p>
    <w:p w14:paraId="356B7E62" w14:textId="77777777" w:rsidR="00894070" w:rsidRDefault="00894070">
      <w:pPr>
        <w:pStyle w:val="BodyText"/>
        <w:rPr>
          <w:b/>
          <w:sz w:val="28"/>
        </w:rPr>
      </w:pPr>
    </w:p>
    <w:p w14:paraId="77DC3DFB" w14:textId="77777777" w:rsidR="00894070" w:rsidRDefault="00894070">
      <w:pPr>
        <w:pStyle w:val="BodyText"/>
        <w:spacing w:before="3"/>
        <w:rPr>
          <w:b/>
          <w:sz w:val="30"/>
        </w:rPr>
      </w:pPr>
    </w:p>
    <w:p w14:paraId="5742B1DB" w14:textId="77777777" w:rsidR="00894070" w:rsidRDefault="009B7AFD">
      <w:pPr>
        <w:pStyle w:val="Heading8"/>
        <w:ind w:left="140"/>
      </w:pPr>
      <w:r>
        <w:rPr>
          <w:color w:val="EA5B50"/>
        </w:rPr>
        <w:t>10</w:t>
      </w:r>
    </w:p>
    <w:p w14:paraId="34ADF926" w14:textId="77777777" w:rsidR="00894070" w:rsidRDefault="00894070">
      <w:pPr>
        <w:sectPr w:rsidR="00894070">
          <w:headerReference w:type="even" r:id="rId29"/>
          <w:pgSz w:w="11910" w:h="16840"/>
          <w:pgMar w:top="1580" w:right="420" w:bottom="280" w:left="580" w:header="0" w:footer="0" w:gutter="0"/>
          <w:cols w:space="720"/>
        </w:sectPr>
      </w:pPr>
    </w:p>
    <w:p w14:paraId="113BF170" w14:textId="77777777" w:rsidR="00894070" w:rsidRDefault="009F6793">
      <w:pPr>
        <w:pStyle w:val="BodyText"/>
        <w:rPr>
          <w:b/>
          <w:sz w:val="11"/>
        </w:rPr>
      </w:pPr>
      <w:r>
        <w:lastRenderedPageBreak/>
        <w:pict w14:anchorId="6BEE32BB">
          <v:rect id="_x0000_s1691" style="position:absolute;margin-left:0;margin-top:0;width:595.3pt;height:841.9pt;z-index:-251510784;mso-position-horizontal-relative:page;mso-position-vertical-relative:page" fillcolor="#ea5b50" stroked="f">
            <w10:wrap anchorx="page" anchory="page"/>
          </v:rect>
        </w:pict>
      </w:r>
    </w:p>
    <w:p w14:paraId="43AA05DE" w14:textId="77777777" w:rsidR="00894070" w:rsidRDefault="009F6793">
      <w:pPr>
        <w:spacing w:line="688" w:lineRule="exact"/>
        <w:ind w:right="705"/>
        <w:jc w:val="right"/>
        <w:rPr>
          <w:rFonts w:ascii="Raleway SemiBold"/>
          <w:b/>
          <w:sz w:val="50"/>
        </w:rPr>
      </w:pPr>
      <w:r>
        <w:pict w14:anchorId="2C1D1E28">
          <v:shape id="_x0000_s1690" type="#_x0000_t202" style="position:absolute;left:0;text-align:left;margin-left:410.7pt;margin-top:-3.3pt;width:135.2pt;height:152.65pt;z-index:-251509760;mso-position-horizontal-relative:page" filled="f" stroked="f">
            <v:textbox inset="0,0,0,0">
              <w:txbxContent>
                <w:p w14:paraId="12B53D58" w14:textId="77777777" w:rsidR="00894070" w:rsidRDefault="009B7AFD">
                  <w:pPr>
                    <w:spacing w:line="3052" w:lineRule="exact"/>
                    <w:rPr>
                      <w:b/>
                      <w:sz w:val="260"/>
                    </w:rPr>
                  </w:pPr>
                  <w:r>
                    <w:rPr>
                      <w:b/>
                      <w:color w:val="FFFFFF"/>
                      <w:spacing w:val="-180"/>
                      <w:sz w:val="260"/>
                    </w:rPr>
                    <w:t>02</w:t>
                  </w:r>
                </w:p>
              </w:txbxContent>
            </v:textbox>
            <w10:wrap anchorx="page"/>
          </v:shape>
        </w:pict>
      </w:r>
      <w:r w:rsidR="009B7AFD">
        <w:rPr>
          <w:rFonts w:ascii="Raleway SemiBold"/>
          <w:b/>
          <w:color w:val="FFFFFF"/>
          <w:sz w:val="50"/>
        </w:rPr>
        <w:t>CHAPTER</w:t>
      </w:r>
    </w:p>
    <w:p w14:paraId="6CAFE79E" w14:textId="77777777" w:rsidR="00894070" w:rsidRDefault="00894070">
      <w:pPr>
        <w:pStyle w:val="BodyText"/>
        <w:rPr>
          <w:rFonts w:ascii="Raleway SemiBold"/>
          <w:b/>
        </w:rPr>
      </w:pPr>
    </w:p>
    <w:p w14:paraId="33558DAA" w14:textId="77777777" w:rsidR="00894070" w:rsidRDefault="00894070">
      <w:pPr>
        <w:pStyle w:val="BodyText"/>
        <w:rPr>
          <w:rFonts w:ascii="Raleway SemiBold"/>
          <w:b/>
        </w:rPr>
      </w:pPr>
    </w:p>
    <w:p w14:paraId="74287092" w14:textId="77777777" w:rsidR="00894070" w:rsidRDefault="00894070">
      <w:pPr>
        <w:pStyle w:val="BodyText"/>
        <w:rPr>
          <w:rFonts w:ascii="Raleway SemiBold"/>
          <w:b/>
        </w:rPr>
      </w:pPr>
    </w:p>
    <w:p w14:paraId="4E738B9F" w14:textId="77777777" w:rsidR="00894070" w:rsidRDefault="00894070">
      <w:pPr>
        <w:pStyle w:val="BodyText"/>
        <w:rPr>
          <w:rFonts w:ascii="Raleway SemiBold"/>
          <w:b/>
        </w:rPr>
      </w:pPr>
    </w:p>
    <w:p w14:paraId="41C032E5" w14:textId="77777777" w:rsidR="00894070" w:rsidRDefault="00894070">
      <w:pPr>
        <w:pStyle w:val="BodyText"/>
        <w:rPr>
          <w:rFonts w:ascii="Raleway SemiBold"/>
          <w:b/>
        </w:rPr>
      </w:pPr>
    </w:p>
    <w:p w14:paraId="056D56C2" w14:textId="77777777" w:rsidR="00894070" w:rsidRDefault="00894070">
      <w:pPr>
        <w:pStyle w:val="BodyText"/>
        <w:rPr>
          <w:rFonts w:ascii="Raleway SemiBold"/>
          <w:b/>
        </w:rPr>
      </w:pPr>
    </w:p>
    <w:p w14:paraId="4EA6029A" w14:textId="77777777" w:rsidR="00894070" w:rsidRDefault="00894070">
      <w:pPr>
        <w:pStyle w:val="BodyText"/>
        <w:rPr>
          <w:rFonts w:ascii="Raleway SemiBold"/>
          <w:b/>
        </w:rPr>
      </w:pPr>
    </w:p>
    <w:p w14:paraId="51BEBBA4" w14:textId="77777777" w:rsidR="00894070" w:rsidRDefault="00894070">
      <w:pPr>
        <w:pStyle w:val="BodyText"/>
        <w:rPr>
          <w:rFonts w:ascii="Raleway SemiBold"/>
          <w:b/>
        </w:rPr>
      </w:pPr>
    </w:p>
    <w:p w14:paraId="1D31596C" w14:textId="77777777" w:rsidR="00894070" w:rsidRDefault="00894070">
      <w:pPr>
        <w:pStyle w:val="BodyText"/>
        <w:rPr>
          <w:rFonts w:ascii="Raleway SemiBold"/>
          <w:b/>
        </w:rPr>
      </w:pPr>
    </w:p>
    <w:p w14:paraId="09404BB8" w14:textId="77777777" w:rsidR="00894070" w:rsidRDefault="00894070">
      <w:pPr>
        <w:pStyle w:val="BodyText"/>
        <w:rPr>
          <w:rFonts w:ascii="Raleway SemiBold"/>
          <w:b/>
        </w:rPr>
      </w:pPr>
    </w:p>
    <w:p w14:paraId="02A59043" w14:textId="77777777" w:rsidR="00894070" w:rsidRDefault="00894070">
      <w:pPr>
        <w:pStyle w:val="BodyText"/>
        <w:rPr>
          <w:rFonts w:ascii="Raleway SemiBold"/>
          <w:b/>
        </w:rPr>
      </w:pPr>
    </w:p>
    <w:p w14:paraId="249C1995" w14:textId="77777777" w:rsidR="00894070" w:rsidRDefault="00894070">
      <w:pPr>
        <w:pStyle w:val="BodyText"/>
        <w:rPr>
          <w:rFonts w:ascii="Raleway SemiBold"/>
          <w:b/>
        </w:rPr>
      </w:pPr>
    </w:p>
    <w:p w14:paraId="138E284D" w14:textId="77777777" w:rsidR="00894070" w:rsidRDefault="00894070">
      <w:pPr>
        <w:pStyle w:val="BodyText"/>
        <w:rPr>
          <w:rFonts w:ascii="Raleway SemiBold"/>
          <w:b/>
        </w:rPr>
      </w:pPr>
    </w:p>
    <w:p w14:paraId="4FACBACF" w14:textId="77777777" w:rsidR="00894070" w:rsidRDefault="00894070">
      <w:pPr>
        <w:pStyle w:val="BodyText"/>
        <w:rPr>
          <w:rFonts w:ascii="Raleway SemiBold"/>
          <w:b/>
        </w:rPr>
      </w:pPr>
    </w:p>
    <w:p w14:paraId="308770D1" w14:textId="77777777" w:rsidR="00894070" w:rsidRDefault="00894070">
      <w:pPr>
        <w:pStyle w:val="BodyText"/>
        <w:rPr>
          <w:rFonts w:ascii="Raleway SemiBold"/>
          <w:b/>
        </w:rPr>
      </w:pPr>
    </w:p>
    <w:p w14:paraId="56FFBEB1" w14:textId="77777777" w:rsidR="00894070" w:rsidRDefault="00894070">
      <w:pPr>
        <w:pStyle w:val="BodyText"/>
        <w:rPr>
          <w:rFonts w:ascii="Raleway SemiBold"/>
          <w:b/>
        </w:rPr>
      </w:pPr>
    </w:p>
    <w:p w14:paraId="2C43720E" w14:textId="77777777" w:rsidR="00894070" w:rsidRDefault="00894070">
      <w:pPr>
        <w:pStyle w:val="BodyText"/>
        <w:spacing w:before="9"/>
        <w:rPr>
          <w:rFonts w:ascii="Raleway SemiBold"/>
          <w:b/>
          <w:sz w:val="23"/>
        </w:rPr>
      </w:pPr>
    </w:p>
    <w:p w14:paraId="327B5030" w14:textId="77777777" w:rsidR="00894070" w:rsidRDefault="009B7AFD">
      <w:pPr>
        <w:spacing w:line="1134" w:lineRule="exact"/>
        <w:ind w:left="1007"/>
        <w:rPr>
          <w:rFonts w:ascii="Raleway ExtraBold"/>
          <w:b/>
          <w:sz w:val="88"/>
        </w:rPr>
      </w:pPr>
      <w:r>
        <w:rPr>
          <w:rFonts w:ascii="Raleway ExtraBold"/>
          <w:b/>
          <w:color w:val="FFFFFF"/>
          <w:sz w:val="88"/>
        </w:rPr>
        <w:t>Stalking and justice</w:t>
      </w:r>
    </w:p>
    <w:p w14:paraId="3FC017C1" w14:textId="77777777" w:rsidR="00894070" w:rsidRDefault="00894070">
      <w:pPr>
        <w:pStyle w:val="BodyText"/>
        <w:rPr>
          <w:rFonts w:ascii="Raleway ExtraBold"/>
          <w:b/>
        </w:rPr>
      </w:pPr>
    </w:p>
    <w:p w14:paraId="475C2A8B" w14:textId="77777777" w:rsidR="00894070" w:rsidRDefault="00894070">
      <w:pPr>
        <w:pStyle w:val="BodyText"/>
        <w:rPr>
          <w:rFonts w:ascii="Raleway ExtraBold"/>
          <w:b/>
        </w:rPr>
      </w:pPr>
    </w:p>
    <w:p w14:paraId="35D8F1C2" w14:textId="77777777" w:rsidR="00894070" w:rsidRDefault="00894070">
      <w:pPr>
        <w:pStyle w:val="BodyText"/>
        <w:spacing w:before="4"/>
        <w:rPr>
          <w:rFonts w:ascii="Raleway ExtraBold"/>
          <w:b/>
          <w:sz w:val="23"/>
        </w:rPr>
      </w:pPr>
    </w:p>
    <w:p w14:paraId="5EBF8275" w14:textId="77777777" w:rsidR="00894070" w:rsidRDefault="009F6793">
      <w:pPr>
        <w:tabs>
          <w:tab w:val="left" w:pos="1588"/>
        </w:tabs>
        <w:spacing w:before="49"/>
        <w:ind w:left="1021"/>
        <w:rPr>
          <w:b/>
          <w:sz w:val="24"/>
        </w:rPr>
      </w:pPr>
      <w:r>
        <w:pict w14:anchorId="741A9F7F">
          <v:line id="_x0000_s1689" style="position:absolute;left:0;text-align:left;z-index:-251466752;mso-wrap-distance-left:0;mso-wrap-distance-right:0;mso-position-horizontal-relative:page" from="80.1pt,22.95pt" to="105.6pt,22.95pt" strokecolor="#f4a997" strokeweight="2pt">
            <w10:wrap type="topAndBottom" anchorx="page"/>
          </v:line>
        </w:pict>
      </w:r>
      <w:hyperlink w:anchor="_bookmark13" w:history="1">
        <w:r w:rsidR="009B7AFD">
          <w:rPr>
            <w:b/>
            <w:color w:val="FFFFFF"/>
            <w:sz w:val="24"/>
          </w:rPr>
          <w:t>12</w:t>
        </w:r>
        <w:r w:rsidR="009B7AFD">
          <w:rPr>
            <w:b/>
            <w:color w:val="FFFFFF"/>
            <w:sz w:val="24"/>
          </w:rPr>
          <w:tab/>
          <w:t>Overview</w:t>
        </w:r>
      </w:hyperlink>
    </w:p>
    <w:p w14:paraId="73FC9A51" w14:textId="77777777" w:rsidR="00894070" w:rsidRDefault="009F6793">
      <w:pPr>
        <w:tabs>
          <w:tab w:val="left" w:pos="1588"/>
        </w:tabs>
        <w:spacing w:before="14" w:after="57"/>
        <w:ind w:left="1021"/>
        <w:rPr>
          <w:b/>
          <w:sz w:val="24"/>
        </w:rPr>
      </w:pPr>
      <w:hyperlink w:anchor="_bookmark13" w:history="1">
        <w:r w:rsidR="009B7AFD">
          <w:rPr>
            <w:b/>
            <w:color w:val="FFFFFF"/>
            <w:sz w:val="24"/>
          </w:rPr>
          <w:t>12</w:t>
        </w:r>
        <w:r w:rsidR="009B7AFD">
          <w:rPr>
            <w:b/>
            <w:color w:val="FFFFFF"/>
            <w:sz w:val="24"/>
          </w:rPr>
          <w:tab/>
          <w:t>How is stalking</w:t>
        </w:r>
        <w:r w:rsidR="009B7AFD">
          <w:rPr>
            <w:b/>
            <w:color w:val="FFFFFF"/>
            <w:spacing w:val="-1"/>
            <w:sz w:val="24"/>
          </w:rPr>
          <w:t xml:space="preserve"> </w:t>
        </w:r>
        <w:r w:rsidR="009B7AFD">
          <w:rPr>
            <w:b/>
            <w:color w:val="FFFFFF"/>
            <w:sz w:val="24"/>
          </w:rPr>
          <w:t>defined?</w:t>
        </w:r>
      </w:hyperlink>
    </w:p>
    <w:p w14:paraId="3CB91122" w14:textId="77777777" w:rsidR="00894070" w:rsidRDefault="009F6793">
      <w:pPr>
        <w:pStyle w:val="BodyText"/>
        <w:spacing w:line="40" w:lineRule="exact"/>
        <w:ind w:left="1001"/>
        <w:rPr>
          <w:sz w:val="4"/>
        </w:rPr>
      </w:pPr>
      <w:r>
        <w:rPr>
          <w:sz w:val="4"/>
        </w:rPr>
      </w:r>
      <w:r>
        <w:rPr>
          <w:sz w:val="4"/>
        </w:rPr>
        <w:pict w14:anchorId="27EEBDA9">
          <v:group id="_x0000_s1687" style="width:25.55pt;height:2pt;mso-position-horizontal-relative:char;mso-position-vertical-relative:line" coordsize="511,40">
            <v:line id="_x0000_s1688" style="position:absolute" from="0,20" to="510,20" strokecolor="#f4a997" strokeweight="2pt"/>
            <w10:anchorlock/>
          </v:group>
        </w:pict>
      </w:r>
    </w:p>
    <w:p w14:paraId="22D31AFF" w14:textId="77777777" w:rsidR="00894070" w:rsidRDefault="009F6793">
      <w:pPr>
        <w:pStyle w:val="ListParagraph"/>
        <w:numPr>
          <w:ilvl w:val="0"/>
          <w:numId w:val="175"/>
        </w:numPr>
        <w:tabs>
          <w:tab w:val="left" w:pos="1588"/>
          <w:tab w:val="left" w:pos="1589"/>
        </w:tabs>
        <w:spacing w:before="43"/>
        <w:rPr>
          <w:b/>
          <w:sz w:val="24"/>
        </w:rPr>
      </w:pPr>
      <w:r>
        <w:pict w14:anchorId="0CEED7A9">
          <v:line id="_x0000_s1686" style="position:absolute;left:0;text-align:left;z-index:251428864;mso-wrap-distance-left:0;mso-wrap-distance-right:0;mso-position-horizontal-relative:page" from="80.1pt,22.65pt" to="105.6pt,22.65pt" strokecolor="#f4a997" strokeweight="2pt">
            <w10:wrap type="topAndBottom" anchorx="page"/>
          </v:line>
        </w:pict>
      </w:r>
      <w:hyperlink w:anchor="_bookmark14" w:history="1">
        <w:r w:rsidR="009B7AFD">
          <w:rPr>
            <w:b/>
            <w:color w:val="FFFFFF"/>
            <w:sz w:val="24"/>
          </w:rPr>
          <w:t>How does stalking affect people who experience</w:t>
        </w:r>
        <w:r w:rsidR="009B7AFD">
          <w:rPr>
            <w:b/>
            <w:color w:val="FFFFFF"/>
            <w:spacing w:val="-6"/>
            <w:sz w:val="24"/>
          </w:rPr>
          <w:t xml:space="preserve"> </w:t>
        </w:r>
        <w:r w:rsidR="009B7AFD">
          <w:rPr>
            <w:b/>
            <w:color w:val="FFFFFF"/>
            <w:spacing w:val="-4"/>
            <w:sz w:val="24"/>
          </w:rPr>
          <w:t>it?</w:t>
        </w:r>
      </w:hyperlink>
    </w:p>
    <w:p w14:paraId="17BF73B8" w14:textId="77777777" w:rsidR="00894070" w:rsidRDefault="009F6793">
      <w:pPr>
        <w:pStyle w:val="ListParagraph"/>
        <w:numPr>
          <w:ilvl w:val="0"/>
          <w:numId w:val="175"/>
        </w:numPr>
        <w:tabs>
          <w:tab w:val="left" w:pos="1588"/>
          <w:tab w:val="left" w:pos="1589"/>
        </w:tabs>
        <w:spacing w:before="14" w:after="57"/>
        <w:rPr>
          <w:b/>
          <w:sz w:val="24"/>
        </w:rPr>
      </w:pPr>
      <w:hyperlink w:anchor="_bookmark15" w:history="1">
        <w:r w:rsidR="009B7AFD">
          <w:rPr>
            <w:b/>
            <w:color w:val="FFFFFF"/>
            <w:sz w:val="24"/>
          </w:rPr>
          <w:t>What does research suggest about stalking and the justice response to</w:t>
        </w:r>
        <w:r w:rsidR="009B7AFD">
          <w:rPr>
            <w:b/>
            <w:color w:val="FFFFFF"/>
            <w:spacing w:val="-21"/>
            <w:sz w:val="24"/>
          </w:rPr>
          <w:t xml:space="preserve"> </w:t>
        </w:r>
        <w:r w:rsidR="009B7AFD">
          <w:rPr>
            <w:b/>
            <w:color w:val="FFFFFF"/>
            <w:spacing w:val="-4"/>
            <w:sz w:val="24"/>
          </w:rPr>
          <w:t>it?</w:t>
        </w:r>
      </w:hyperlink>
    </w:p>
    <w:p w14:paraId="26C70D79" w14:textId="77777777" w:rsidR="00894070" w:rsidRDefault="009F6793">
      <w:pPr>
        <w:pStyle w:val="BodyText"/>
        <w:spacing w:line="40" w:lineRule="exact"/>
        <w:ind w:left="1001"/>
        <w:rPr>
          <w:sz w:val="4"/>
        </w:rPr>
      </w:pPr>
      <w:r>
        <w:rPr>
          <w:sz w:val="4"/>
        </w:rPr>
      </w:r>
      <w:r>
        <w:rPr>
          <w:sz w:val="4"/>
        </w:rPr>
        <w:pict w14:anchorId="0382E9E9">
          <v:group id="_x0000_s1684" style="width:25.55pt;height:2pt;mso-position-horizontal-relative:char;mso-position-vertical-relative:line" coordsize="511,40">
            <v:line id="_x0000_s1685" style="position:absolute" from="0,20" to="510,20" strokecolor="#f4a997" strokeweight="2pt"/>
            <w10:anchorlock/>
          </v:group>
        </w:pict>
      </w:r>
    </w:p>
    <w:p w14:paraId="3D5C9434" w14:textId="77777777" w:rsidR="00894070" w:rsidRDefault="009F6793">
      <w:pPr>
        <w:pStyle w:val="ListParagraph"/>
        <w:numPr>
          <w:ilvl w:val="0"/>
          <w:numId w:val="174"/>
        </w:numPr>
        <w:tabs>
          <w:tab w:val="left" w:pos="1588"/>
          <w:tab w:val="left" w:pos="1589"/>
        </w:tabs>
        <w:spacing w:before="43"/>
        <w:rPr>
          <w:b/>
          <w:sz w:val="24"/>
        </w:rPr>
      </w:pPr>
      <w:r>
        <w:pict w14:anchorId="50543EA0">
          <v:line id="_x0000_s1683" style="position:absolute;left:0;text-align:left;z-index:251429888;mso-wrap-distance-left:0;mso-wrap-distance-right:0;mso-position-horizontal-relative:page" from="80.1pt,22.65pt" to="105.6pt,22.65pt" strokecolor="#f4a997" strokeweight="2pt">
            <w10:wrap type="topAndBottom" anchorx="page"/>
          </v:line>
        </w:pict>
      </w:r>
      <w:hyperlink w:anchor="_bookmark19" w:history="1">
        <w:r w:rsidR="009B7AFD">
          <w:rPr>
            <w:b/>
            <w:color w:val="FFFFFF"/>
            <w:sz w:val="24"/>
          </w:rPr>
          <w:t>There is a need for additional research and data on</w:t>
        </w:r>
        <w:r w:rsidR="009B7AFD">
          <w:rPr>
            <w:b/>
            <w:color w:val="FFFFFF"/>
            <w:spacing w:val="-7"/>
            <w:sz w:val="24"/>
          </w:rPr>
          <w:t xml:space="preserve"> </w:t>
        </w:r>
        <w:r w:rsidR="009B7AFD">
          <w:rPr>
            <w:b/>
            <w:color w:val="FFFFFF"/>
            <w:sz w:val="24"/>
          </w:rPr>
          <w:t>stalking</w:t>
        </w:r>
      </w:hyperlink>
    </w:p>
    <w:p w14:paraId="23AE600A" w14:textId="77777777" w:rsidR="00894070" w:rsidRDefault="009F6793">
      <w:pPr>
        <w:pStyle w:val="ListParagraph"/>
        <w:numPr>
          <w:ilvl w:val="0"/>
          <w:numId w:val="174"/>
        </w:numPr>
        <w:tabs>
          <w:tab w:val="left" w:pos="1588"/>
          <w:tab w:val="left" w:pos="1589"/>
        </w:tabs>
        <w:spacing w:before="14" w:after="31" w:line="259" w:lineRule="auto"/>
        <w:ind w:right="1339"/>
        <w:rPr>
          <w:b/>
          <w:sz w:val="24"/>
        </w:rPr>
      </w:pPr>
      <w:hyperlink w:anchor="_bookmark20" w:history="1">
        <w:r w:rsidR="009B7AFD">
          <w:rPr>
            <w:b/>
            <w:color w:val="FFFFFF"/>
            <w:sz w:val="24"/>
          </w:rPr>
          <w:t xml:space="preserve">Some communities appear to experience stalking at higher </w:t>
        </w:r>
        <w:r w:rsidR="009B7AFD">
          <w:rPr>
            <w:b/>
            <w:color w:val="FFFFFF"/>
            <w:spacing w:val="-3"/>
            <w:sz w:val="24"/>
          </w:rPr>
          <w:t>rates</w:t>
        </w:r>
        <w:r w:rsidR="009B7AFD">
          <w:rPr>
            <w:b/>
            <w:color w:val="FFFFFF"/>
            <w:spacing w:val="-37"/>
            <w:sz w:val="24"/>
          </w:rPr>
          <w:t xml:space="preserve"> </w:t>
        </w:r>
        <w:r w:rsidR="009B7AFD">
          <w:rPr>
            <w:b/>
            <w:color w:val="FFFFFF"/>
            <w:sz w:val="24"/>
          </w:rPr>
          <w:t>than</w:t>
        </w:r>
      </w:hyperlink>
      <w:hyperlink w:anchor="_bookmark20" w:history="1">
        <w:r w:rsidR="009B7AFD">
          <w:rPr>
            <w:b/>
            <w:color w:val="FFFFFF"/>
            <w:sz w:val="24"/>
          </w:rPr>
          <w:t xml:space="preserve"> </w:t>
        </w:r>
        <w:r w:rsidR="009B7AFD">
          <w:rPr>
            <w:b/>
            <w:color w:val="FFFFFF"/>
            <w:spacing w:val="-3"/>
            <w:sz w:val="24"/>
          </w:rPr>
          <w:t>average</w:t>
        </w:r>
      </w:hyperlink>
    </w:p>
    <w:p w14:paraId="73A72E9B" w14:textId="77777777" w:rsidR="00894070" w:rsidRDefault="009F6793">
      <w:pPr>
        <w:pStyle w:val="BodyText"/>
        <w:spacing w:line="40" w:lineRule="exact"/>
        <w:ind w:left="1001"/>
        <w:rPr>
          <w:sz w:val="4"/>
        </w:rPr>
      </w:pPr>
      <w:r>
        <w:rPr>
          <w:sz w:val="4"/>
        </w:rPr>
      </w:r>
      <w:r>
        <w:rPr>
          <w:sz w:val="4"/>
        </w:rPr>
        <w:pict w14:anchorId="742B51C5">
          <v:group id="_x0000_s1681" style="width:25.55pt;height:2pt;mso-position-horizontal-relative:char;mso-position-vertical-relative:line" coordsize="511,40">
            <v:line id="_x0000_s1682" style="position:absolute" from="0,20" to="510,20" strokecolor="#f4a997" strokeweight="2pt"/>
            <w10:anchorlock/>
          </v:group>
        </w:pict>
      </w:r>
    </w:p>
    <w:p w14:paraId="6FB3DB61" w14:textId="77777777" w:rsidR="00894070" w:rsidRDefault="009F6793">
      <w:pPr>
        <w:tabs>
          <w:tab w:val="left" w:pos="1588"/>
        </w:tabs>
        <w:spacing w:before="43"/>
        <w:ind w:left="1021"/>
        <w:rPr>
          <w:b/>
          <w:sz w:val="24"/>
        </w:rPr>
      </w:pPr>
      <w:r>
        <w:pict w14:anchorId="3CECF70A">
          <v:line id="_x0000_s1680" style="position:absolute;left:0;text-align:left;z-index:251430912;mso-wrap-distance-left:0;mso-wrap-distance-right:0;mso-position-horizontal-relative:page" from="80.1pt,22.65pt" to="105.6pt,22.65pt" strokecolor="#f4a997" strokeweight="2pt">
            <w10:wrap type="topAndBottom" anchorx="page"/>
          </v:line>
        </w:pict>
      </w:r>
      <w:hyperlink w:anchor="_bookmark21" w:history="1">
        <w:r w:rsidR="009B7AFD">
          <w:rPr>
            <w:b/>
            <w:color w:val="FFFFFF"/>
            <w:sz w:val="24"/>
          </w:rPr>
          <w:t>27</w:t>
        </w:r>
        <w:r w:rsidR="009B7AFD">
          <w:rPr>
            <w:b/>
            <w:color w:val="FFFFFF"/>
            <w:sz w:val="24"/>
          </w:rPr>
          <w:tab/>
          <w:t>What are the barriers to reporting stalking and getting</w:t>
        </w:r>
        <w:r w:rsidR="009B7AFD">
          <w:rPr>
            <w:b/>
            <w:color w:val="FFFFFF"/>
            <w:spacing w:val="-6"/>
            <w:sz w:val="24"/>
          </w:rPr>
          <w:t xml:space="preserve"> </w:t>
        </w:r>
        <w:r w:rsidR="009B7AFD">
          <w:rPr>
            <w:b/>
            <w:color w:val="FFFFFF"/>
            <w:spacing w:val="-3"/>
            <w:sz w:val="24"/>
          </w:rPr>
          <w:t>justice?</w:t>
        </w:r>
      </w:hyperlink>
    </w:p>
    <w:p w14:paraId="61F407CE" w14:textId="77777777" w:rsidR="00894070" w:rsidRDefault="00894070">
      <w:pPr>
        <w:rPr>
          <w:sz w:val="24"/>
        </w:rPr>
        <w:sectPr w:rsidR="00894070">
          <w:headerReference w:type="even" r:id="rId30"/>
          <w:headerReference w:type="default" r:id="rId31"/>
          <w:pgSz w:w="11910" w:h="16840"/>
          <w:pgMar w:top="480" w:right="420" w:bottom="280" w:left="580" w:header="0" w:footer="0" w:gutter="0"/>
          <w:cols w:space="720"/>
        </w:sectPr>
      </w:pPr>
    </w:p>
    <w:p w14:paraId="69DC5581" w14:textId="77777777" w:rsidR="00894070" w:rsidRDefault="009F6793">
      <w:pPr>
        <w:pStyle w:val="BodyText"/>
        <w:rPr>
          <w:b/>
        </w:rPr>
      </w:pPr>
      <w:r>
        <w:lastRenderedPageBreak/>
        <w:pict w14:anchorId="69CE19DD">
          <v:rect id="_x0000_s1679" style="position:absolute;margin-left:0;margin-top:99.2pt;width:14.15pt;height:85.75pt;z-index:251489280;mso-position-horizontal-relative:page;mso-position-vertical-relative:page" fillcolor="#ea5b50" stroked="f">
            <w10:wrap anchorx="page" anchory="page"/>
          </v:rect>
        </w:pict>
      </w:r>
    </w:p>
    <w:p w14:paraId="44C936BD" w14:textId="77777777" w:rsidR="00894070" w:rsidRDefault="00894070">
      <w:pPr>
        <w:pStyle w:val="BodyText"/>
        <w:rPr>
          <w:b/>
        </w:rPr>
      </w:pPr>
    </w:p>
    <w:p w14:paraId="7645DAAE" w14:textId="77777777" w:rsidR="00894070" w:rsidRDefault="00894070">
      <w:pPr>
        <w:pStyle w:val="BodyText"/>
        <w:spacing w:before="10"/>
        <w:rPr>
          <w:b/>
          <w:sz w:val="23"/>
        </w:rPr>
      </w:pPr>
    </w:p>
    <w:p w14:paraId="70E3463C" w14:textId="77777777" w:rsidR="00894070" w:rsidRDefault="009B7AFD">
      <w:pPr>
        <w:pStyle w:val="ListParagraph"/>
        <w:numPr>
          <w:ilvl w:val="0"/>
          <w:numId w:val="177"/>
        </w:numPr>
        <w:tabs>
          <w:tab w:val="left" w:pos="781"/>
        </w:tabs>
        <w:spacing w:line="758" w:lineRule="exact"/>
        <w:ind w:left="780" w:hanging="510"/>
        <w:jc w:val="left"/>
        <w:rPr>
          <w:rFonts w:ascii="Raleway ExtraBold"/>
          <w:b/>
          <w:color w:val="EA5B50"/>
          <w:sz w:val="56"/>
        </w:rPr>
      </w:pPr>
      <w:bookmarkStart w:id="28" w:name="2._Stalking_and_justice"/>
      <w:bookmarkStart w:id="29" w:name="How_is_stalking_defined?"/>
      <w:bookmarkStart w:id="30" w:name="_bookmark13"/>
      <w:bookmarkEnd w:id="28"/>
      <w:bookmarkEnd w:id="29"/>
      <w:bookmarkEnd w:id="30"/>
      <w:r>
        <w:rPr>
          <w:rFonts w:ascii="Raleway ExtraBold"/>
          <w:b/>
          <w:color w:val="EA5B50"/>
          <w:spacing w:val="-4"/>
          <w:sz w:val="56"/>
        </w:rPr>
        <w:t xml:space="preserve">Stalking </w:t>
      </w:r>
      <w:r>
        <w:rPr>
          <w:rFonts w:ascii="Raleway ExtraBold"/>
          <w:b/>
          <w:color w:val="EA5B50"/>
          <w:sz w:val="56"/>
        </w:rPr>
        <w:t>and</w:t>
      </w:r>
      <w:r>
        <w:rPr>
          <w:rFonts w:ascii="Raleway ExtraBold"/>
          <w:b/>
          <w:color w:val="EA5B50"/>
          <w:spacing w:val="4"/>
          <w:sz w:val="56"/>
        </w:rPr>
        <w:t xml:space="preserve"> </w:t>
      </w:r>
      <w:r>
        <w:rPr>
          <w:rFonts w:ascii="Raleway ExtraBold"/>
          <w:b/>
          <w:color w:val="EA5B50"/>
          <w:spacing w:val="-5"/>
          <w:sz w:val="56"/>
        </w:rPr>
        <w:t>justice</w:t>
      </w:r>
    </w:p>
    <w:p w14:paraId="5A0A63E8" w14:textId="77777777" w:rsidR="00894070" w:rsidRDefault="00894070">
      <w:pPr>
        <w:pStyle w:val="BodyText"/>
        <w:rPr>
          <w:rFonts w:ascii="Raleway ExtraBold"/>
          <w:b/>
          <w:sz w:val="66"/>
        </w:rPr>
      </w:pPr>
    </w:p>
    <w:p w14:paraId="5BA79BB6" w14:textId="77777777" w:rsidR="00894070" w:rsidRDefault="00894070">
      <w:pPr>
        <w:pStyle w:val="BodyText"/>
        <w:rPr>
          <w:rFonts w:ascii="Raleway ExtraBold"/>
          <w:b/>
          <w:sz w:val="66"/>
        </w:rPr>
      </w:pPr>
    </w:p>
    <w:p w14:paraId="480D8C8D" w14:textId="77777777" w:rsidR="00894070" w:rsidRDefault="00894070">
      <w:pPr>
        <w:pStyle w:val="BodyText"/>
        <w:spacing w:before="5"/>
        <w:rPr>
          <w:rFonts w:ascii="Raleway ExtraBold"/>
          <w:b/>
          <w:sz w:val="86"/>
        </w:rPr>
      </w:pPr>
    </w:p>
    <w:p w14:paraId="4AD5EB97" w14:textId="77777777" w:rsidR="00894070" w:rsidRDefault="009B7AFD">
      <w:pPr>
        <w:ind w:left="1007"/>
        <w:rPr>
          <w:rFonts w:ascii="Raleway ExtraBold"/>
          <w:b/>
          <w:sz w:val="28"/>
        </w:rPr>
      </w:pPr>
      <w:r>
        <w:rPr>
          <w:rFonts w:ascii="Raleway ExtraBold"/>
          <w:b/>
          <w:color w:val="EA5B50"/>
          <w:sz w:val="28"/>
        </w:rPr>
        <w:t>Overview</w:t>
      </w:r>
    </w:p>
    <w:p w14:paraId="0BBBEF0D" w14:textId="77777777" w:rsidR="00894070" w:rsidRDefault="009B7AFD">
      <w:pPr>
        <w:pStyle w:val="ListParagraph"/>
        <w:numPr>
          <w:ilvl w:val="0"/>
          <w:numId w:val="173"/>
        </w:numPr>
        <w:tabs>
          <w:tab w:val="left" w:pos="2141"/>
          <w:tab w:val="left" w:pos="2142"/>
        </w:tabs>
        <w:spacing w:before="114" w:line="259" w:lineRule="exact"/>
        <w:ind w:hanging="340"/>
        <w:rPr>
          <w:sz w:val="20"/>
        </w:rPr>
      </w:pPr>
      <w:r>
        <w:rPr>
          <w:color w:val="231F20"/>
          <w:sz w:val="20"/>
        </w:rPr>
        <w:t>Stalking</w:t>
      </w:r>
      <w:r>
        <w:rPr>
          <w:color w:val="231F20"/>
          <w:spacing w:val="-8"/>
          <w:sz w:val="20"/>
        </w:rPr>
        <w:t xml:space="preserve"> </w:t>
      </w:r>
      <w:r>
        <w:rPr>
          <w:color w:val="231F20"/>
          <w:sz w:val="20"/>
        </w:rPr>
        <w:t>is</w:t>
      </w:r>
      <w:r>
        <w:rPr>
          <w:color w:val="231F20"/>
          <w:spacing w:val="-7"/>
          <w:sz w:val="20"/>
        </w:rPr>
        <w:t xml:space="preserve"> </w:t>
      </w:r>
      <w:r>
        <w:rPr>
          <w:color w:val="231F20"/>
          <w:sz w:val="20"/>
        </w:rPr>
        <w:t>a</w:t>
      </w:r>
      <w:r>
        <w:rPr>
          <w:color w:val="231F20"/>
          <w:spacing w:val="-7"/>
          <w:sz w:val="20"/>
        </w:rPr>
        <w:t xml:space="preserve"> </w:t>
      </w:r>
      <w:r>
        <w:rPr>
          <w:color w:val="231F20"/>
          <w:sz w:val="20"/>
        </w:rPr>
        <w:t>serious</w:t>
      </w:r>
      <w:r>
        <w:rPr>
          <w:color w:val="231F20"/>
          <w:spacing w:val="-7"/>
          <w:sz w:val="20"/>
        </w:rPr>
        <w:t xml:space="preserve"> </w:t>
      </w:r>
      <w:r>
        <w:rPr>
          <w:color w:val="231F20"/>
          <w:sz w:val="20"/>
        </w:rPr>
        <w:t>criminal</w:t>
      </w:r>
      <w:r>
        <w:rPr>
          <w:color w:val="231F20"/>
          <w:spacing w:val="-7"/>
          <w:sz w:val="20"/>
        </w:rPr>
        <w:t xml:space="preserve"> </w:t>
      </w:r>
      <w:r>
        <w:rPr>
          <w:color w:val="231F20"/>
          <w:sz w:val="20"/>
        </w:rPr>
        <w:t>offence</w:t>
      </w:r>
      <w:r>
        <w:rPr>
          <w:color w:val="231F20"/>
          <w:spacing w:val="-7"/>
          <w:sz w:val="20"/>
        </w:rPr>
        <w:t xml:space="preserve"> </w:t>
      </w:r>
      <w:r>
        <w:rPr>
          <w:color w:val="231F20"/>
          <w:sz w:val="20"/>
        </w:rPr>
        <w:t>that</w:t>
      </w:r>
      <w:r>
        <w:rPr>
          <w:color w:val="231F20"/>
          <w:spacing w:val="-7"/>
          <w:sz w:val="20"/>
        </w:rPr>
        <w:t xml:space="preserve"> </w:t>
      </w:r>
      <w:r>
        <w:rPr>
          <w:color w:val="231F20"/>
          <w:sz w:val="20"/>
        </w:rPr>
        <w:t>causes</w:t>
      </w:r>
      <w:r>
        <w:rPr>
          <w:color w:val="231F20"/>
          <w:spacing w:val="-7"/>
          <w:sz w:val="20"/>
        </w:rPr>
        <w:t xml:space="preserve"> </w:t>
      </w:r>
      <w:r>
        <w:rPr>
          <w:color w:val="231F20"/>
          <w:sz w:val="20"/>
        </w:rPr>
        <w:t>lasting</w:t>
      </w:r>
      <w:r>
        <w:rPr>
          <w:color w:val="231F20"/>
          <w:spacing w:val="-7"/>
          <w:sz w:val="20"/>
        </w:rPr>
        <w:t xml:space="preserve"> </w:t>
      </w:r>
      <w:proofErr w:type="gramStart"/>
      <w:r>
        <w:rPr>
          <w:color w:val="231F20"/>
          <w:sz w:val="20"/>
        </w:rPr>
        <w:t>harm</w:t>
      </w:r>
      <w:proofErr w:type="gramEnd"/>
      <w:r>
        <w:rPr>
          <w:color w:val="231F20"/>
          <w:spacing w:val="-7"/>
          <w:sz w:val="20"/>
        </w:rPr>
        <w:t xml:space="preserve"> </w:t>
      </w:r>
      <w:r>
        <w:rPr>
          <w:color w:val="231F20"/>
          <w:sz w:val="20"/>
        </w:rPr>
        <w:t>but</w:t>
      </w:r>
      <w:r>
        <w:rPr>
          <w:color w:val="231F20"/>
          <w:spacing w:val="-7"/>
          <w:sz w:val="20"/>
        </w:rPr>
        <w:t xml:space="preserve"> </w:t>
      </w:r>
      <w:r>
        <w:rPr>
          <w:color w:val="231F20"/>
          <w:sz w:val="20"/>
        </w:rPr>
        <w:t>it</w:t>
      </w:r>
      <w:r>
        <w:rPr>
          <w:color w:val="231F20"/>
          <w:spacing w:val="-7"/>
          <w:sz w:val="20"/>
        </w:rPr>
        <w:t xml:space="preserve"> </w:t>
      </w:r>
      <w:r>
        <w:rPr>
          <w:color w:val="231F20"/>
          <w:sz w:val="20"/>
        </w:rPr>
        <w:t>can</w:t>
      </w:r>
      <w:r>
        <w:rPr>
          <w:color w:val="231F20"/>
          <w:spacing w:val="-7"/>
          <w:sz w:val="20"/>
        </w:rPr>
        <w:t xml:space="preserve"> </w:t>
      </w:r>
      <w:r>
        <w:rPr>
          <w:color w:val="231F20"/>
          <w:sz w:val="20"/>
        </w:rPr>
        <w:t>be</w:t>
      </w:r>
      <w:r>
        <w:rPr>
          <w:color w:val="231F20"/>
          <w:spacing w:val="-7"/>
          <w:sz w:val="20"/>
        </w:rPr>
        <w:t xml:space="preserve"> </w:t>
      </w:r>
      <w:r>
        <w:rPr>
          <w:color w:val="231F20"/>
          <w:sz w:val="20"/>
        </w:rPr>
        <w:t>difficult</w:t>
      </w:r>
    </w:p>
    <w:p w14:paraId="43CE8E7A" w14:textId="77777777" w:rsidR="00894070" w:rsidRDefault="009B7AFD">
      <w:pPr>
        <w:pStyle w:val="BodyText"/>
        <w:spacing w:line="259" w:lineRule="exact"/>
        <w:ind w:left="1288" w:right="879"/>
        <w:jc w:val="center"/>
      </w:pPr>
      <w:r>
        <w:rPr>
          <w:color w:val="231F20"/>
        </w:rPr>
        <w:t>to identify. Actions that together amount to stalking can be legal on their own.</w:t>
      </w:r>
    </w:p>
    <w:p w14:paraId="663CC678" w14:textId="77777777" w:rsidR="00894070" w:rsidRDefault="009B7AFD">
      <w:pPr>
        <w:pStyle w:val="ListParagraph"/>
        <w:numPr>
          <w:ilvl w:val="0"/>
          <w:numId w:val="173"/>
        </w:numPr>
        <w:tabs>
          <w:tab w:val="left" w:pos="2141"/>
          <w:tab w:val="left" w:pos="2142"/>
        </w:tabs>
        <w:spacing w:before="47" w:line="259" w:lineRule="exact"/>
        <w:ind w:hanging="340"/>
        <w:rPr>
          <w:sz w:val="20"/>
        </w:rPr>
      </w:pPr>
      <w:r>
        <w:rPr>
          <w:color w:val="231F20"/>
          <w:sz w:val="20"/>
        </w:rPr>
        <w:t>Our</w:t>
      </w:r>
      <w:r>
        <w:rPr>
          <w:color w:val="231F20"/>
          <w:spacing w:val="-5"/>
          <w:sz w:val="20"/>
        </w:rPr>
        <w:t xml:space="preserve"> </w:t>
      </w:r>
      <w:r>
        <w:rPr>
          <w:color w:val="231F20"/>
          <w:spacing w:val="-3"/>
          <w:sz w:val="20"/>
        </w:rPr>
        <w:t>work</w:t>
      </w:r>
      <w:r>
        <w:rPr>
          <w:color w:val="231F20"/>
          <w:spacing w:val="-5"/>
          <w:sz w:val="20"/>
        </w:rPr>
        <w:t xml:space="preserve"> </w:t>
      </w:r>
      <w:r>
        <w:rPr>
          <w:color w:val="231F20"/>
          <w:sz w:val="20"/>
        </w:rPr>
        <w:t>has</w:t>
      </w:r>
      <w:r>
        <w:rPr>
          <w:color w:val="231F20"/>
          <w:spacing w:val="-5"/>
          <w:sz w:val="20"/>
        </w:rPr>
        <w:t xml:space="preserve"> </w:t>
      </w:r>
      <w:r>
        <w:rPr>
          <w:color w:val="231F20"/>
          <w:sz w:val="20"/>
        </w:rPr>
        <w:t>been</w:t>
      </w:r>
      <w:r>
        <w:rPr>
          <w:color w:val="231F20"/>
          <w:spacing w:val="-4"/>
          <w:sz w:val="20"/>
        </w:rPr>
        <w:t xml:space="preserve"> </w:t>
      </w:r>
      <w:r>
        <w:rPr>
          <w:color w:val="231F20"/>
          <w:sz w:val="20"/>
        </w:rPr>
        <w:t>shaped</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what</w:t>
      </w:r>
      <w:r>
        <w:rPr>
          <w:color w:val="231F20"/>
          <w:spacing w:val="-5"/>
          <w:sz w:val="20"/>
        </w:rPr>
        <w:t xml:space="preserve"> </w:t>
      </w:r>
      <w:r>
        <w:rPr>
          <w:color w:val="231F20"/>
          <w:spacing w:val="-3"/>
          <w:sz w:val="20"/>
        </w:rPr>
        <w:t>we</w:t>
      </w:r>
      <w:r>
        <w:rPr>
          <w:color w:val="231F20"/>
          <w:spacing w:val="-4"/>
          <w:sz w:val="20"/>
        </w:rPr>
        <w:t xml:space="preserve"> </w:t>
      </w:r>
      <w:r>
        <w:rPr>
          <w:color w:val="231F20"/>
          <w:spacing w:val="-3"/>
          <w:sz w:val="20"/>
        </w:rPr>
        <w:t>know</w:t>
      </w:r>
      <w:r>
        <w:rPr>
          <w:color w:val="231F20"/>
          <w:spacing w:val="-5"/>
          <w:sz w:val="20"/>
        </w:rPr>
        <w:t xml:space="preserve"> </w:t>
      </w:r>
      <w:r>
        <w:rPr>
          <w:color w:val="231F20"/>
          <w:sz w:val="20"/>
        </w:rPr>
        <w:t>about</w:t>
      </w:r>
      <w:r>
        <w:rPr>
          <w:color w:val="231F20"/>
          <w:spacing w:val="-5"/>
          <w:sz w:val="20"/>
        </w:rPr>
        <w:t xml:space="preserve"> </w:t>
      </w:r>
      <w:r>
        <w:rPr>
          <w:color w:val="231F20"/>
          <w:sz w:val="20"/>
        </w:rPr>
        <w:t>stalking.</w:t>
      </w:r>
      <w:r>
        <w:rPr>
          <w:color w:val="231F20"/>
          <w:spacing w:val="-5"/>
          <w:sz w:val="20"/>
        </w:rPr>
        <w:t xml:space="preserve"> However,</w:t>
      </w:r>
      <w:r>
        <w:rPr>
          <w:color w:val="231F20"/>
          <w:spacing w:val="-4"/>
          <w:sz w:val="20"/>
        </w:rPr>
        <w:t xml:space="preserve"> </w:t>
      </w:r>
      <w:r>
        <w:rPr>
          <w:color w:val="231F20"/>
          <w:sz w:val="20"/>
        </w:rPr>
        <w:t>what</w:t>
      </w:r>
      <w:r>
        <w:rPr>
          <w:color w:val="231F20"/>
          <w:spacing w:val="-5"/>
          <w:sz w:val="20"/>
        </w:rPr>
        <w:t xml:space="preserve"> </w:t>
      </w:r>
      <w:r>
        <w:rPr>
          <w:color w:val="231F20"/>
          <w:spacing w:val="-3"/>
          <w:sz w:val="20"/>
        </w:rPr>
        <w:t>we</w:t>
      </w:r>
    </w:p>
    <w:p w14:paraId="4496D5DD" w14:textId="77777777" w:rsidR="00894070" w:rsidRDefault="009B7AFD">
      <w:pPr>
        <w:pStyle w:val="BodyText"/>
        <w:spacing w:line="259" w:lineRule="exact"/>
        <w:ind w:left="1288" w:right="1055"/>
        <w:jc w:val="center"/>
      </w:pPr>
      <w:r>
        <w:rPr>
          <w:color w:val="231F20"/>
        </w:rPr>
        <w:t>know is limited. There is a need for additional data and research on stalking.</w:t>
      </w:r>
    </w:p>
    <w:p w14:paraId="69976B2E" w14:textId="77777777" w:rsidR="00894070" w:rsidRDefault="009B7AFD">
      <w:pPr>
        <w:pStyle w:val="ListParagraph"/>
        <w:numPr>
          <w:ilvl w:val="0"/>
          <w:numId w:val="173"/>
        </w:numPr>
        <w:tabs>
          <w:tab w:val="left" w:pos="2141"/>
          <w:tab w:val="left" w:pos="2142"/>
        </w:tabs>
        <w:spacing w:before="80" w:line="206" w:lineRule="auto"/>
        <w:ind w:right="1637" w:hanging="340"/>
        <w:rPr>
          <w:sz w:val="20"/>
        </w:rPr>
      </w:pPr>
      <w:r>
        <w:rPr>
          <w:color w:val="231F20"/>
          <w:sz w:val="20"/>
        </w:rPr>
        <w:t>Stalking</w:t>
      </w:r>
      <w:r>
        <w:rPr>
          <w:color w:val="231F20"/>
          <w:spacing w:val="-12"/>
          <w:sz w:val="20"/>
        </w:rPr>
        <w:t xml:space="preserve"> </w:t>
      </w:r>
      <w:r>
        <w:rPr>
          <w:color w:val="231F20"/>
          <w:sz w:val="20"/>
        </w:rPr>
        <w:t>occurs</w:t>
      </w:r>
      <w:r>
        <w:rPr>
          <w:color w:val="231F20"/>
          <w:spacing w:val="-11"/>
          <w:sz w:val="20"/>
        </w:rPr>
        <w:t xml:space="preserve"> </w:t>
      </w:r>
      <w:r>
        <w:rPr>
          <w:color w:val="231F20"/>
          <w:sz w:val="20"/>
        </w:rPr>
        <w:t>in</w:t>
      </w:r>
      <w:r>
        <w:rPr>
          <w:color w:val="231F20"/>
          <w:spacing w:val="-11"/>
          <w:sz w:val="20"/>
        </w:rPr>
        <w:t xml:space="preserve"> </w:t>
      </w:r>
      <w:r>
        <w:rPr>
          <w:color w:val="231F20"/>
          <w:sz w:val="20"/>
        </w:rPr>
        <w:t>many</w:t>
      </w:r>
      <w:r>
        <w:rPr>
          <w:color w:val="231F20"/>
          <w:spacing w:val="-12"/>
          <w:sz w:val="20"/>
        </w:rPr>
        <w:t xml:space="preserve"> </w:t>
      </w:r>
      <w:r>
        <w:rPr>
          <w:color w:val="231F20"/>
          <w:spacing w:val="-3"/>
          <w:sz w:val="20"/>
        </w:rPr>
        <w:t>different</w:t>
      </w:r>
      <w:r>
        <w:rPr>
          <w:color w:val="231F20"/>
          <w:spacing w:val="-11"/>
          <w:sz w:val="20"/>
        </w:rPr>
        <w:t xml:space="preserve"> </w:t>
      </w:r>
      <w:r>
        <w:rPr>
          <w:color w:val="231F20"/>
          <w:sz w:val="20"/>
        </w:rPr>
        <w:t>contexts</w:t>
      </w:r>
      <w:r>
        <w:rPr>
          <w:color w:val="231F20"/>
          <w:spacing w:val="-11"/>
          <w:sz w:val="20"/>
        </w:rPr>
        <w:t xml:space="preserve"> </w:t>
      </w:r>
      <w:r>
        <w:rPr>
          <w:color w:val="231F20"/>
          <w:sz w:val="20"/>
        </w:rPr>
        <w:t>but</w:t>
      </w:r>
      <w:r>
        <w:rPr>
          <w:color w:val="231F20"/>
          <w:spacing w:val="-12"/>
          <w:sz w:val="20"/>
        </w:rPr>
        <w:t xml:space="preserve"> </w:t>
      </w:r>
      <w:r>
        <w:rPr>
          <w:color w:val="231F20"/>
          <w:sz w:val="20"/>
        </w:rPr>
        <w:t>people</w:t>
      </w:r>
      <w:r>
        <w:rPr>
          <w:color w:val="231F20"/>
          <w:spacing w:val="-11"/>
          <w:sz w:val="20"/>
        </w:rPr>
        <w:t xml:space="preserve"> </w:t>
      </w:r>
      <w:r>
        <w:rPr>
          <w:color w:val="231F20"/>
          <w:spacing w:val="-3"/>
          <w:sz w:val="20"/>
        </w:rPr>
        <w:t>from</w:t>
      </w:r>
      <w:r>
        <w:rPr>
          <w:color w:val="231F20"/>
          <w:spacing w:val="-11"/>
          <w:sz w:val="20"/>
        </w:rPr>
        <w:t xml:space="preserve"> </w:t>
      </w:r>
      <w:r>
        <w:rPr>
          <w:color w:val="231F20"/>
          <w:sz w:val="20"/>
        </w:rPr>
        <w:t>some</w:t>
      </w:r>
      <w:r>
        <w:rPr>
          <w:color w:val="231F20"/>
          <w:spacing w:val="-12"/>
          <w:sz w:val="20"/>
        </w:rPr>
        <w:t xml:space="preserve"> </w:t>
      </w:r>
      <w:r>
        <w:rPr>
          <w:color w:val="231F20"/>
          <w:sz w:val="20"/>
        </w:rPr>
        <w:t>communities appear</w:t>
      </w:r>
      <w:r>
        <w:rPr>
          <w:color w:val="231F20"/>
          <w:spacing w:val="-10"/>
          <w:sz w:val="20"/>
        </w:rPr>
        <w:t xml:space="preserve"> </w:t>
      </w:r>
      <w:r>
        <w:rPr>
          <w:color w:val="231F20"/>
          <w:sz w:val="20"/>
        </w:rPr>
        <w:t>more</w:t>
      </w:r>
      <w:r>
        <w:rPr>
          <w:color w:val="231F20"/>
          <w:spacing w:val="-9"/>
          <w:sz w:val="20"/>
        </w:rPr>
        <w:t xml:space="preserve"> </w:t>
      </w:r>
      <w:r>
        <w:rPr>
          <w:color w:val="231F20"/>
          <w:spacing w:val="-3"/>
          <w:sz w:val="20"/>
        </w:rPr>
        <w:t>likely</w:t>
      </w:r>
      <w:r>
        <w:rPr>
          <w:color w:val="231F20"/>
          <w:spacing w:val="-9"/>
          <w:sz w:val="20"/>
        </w:rPr>
        <w:t xml:space="preserve"> </w:t>
      </w:r>
      <w:r>
        <w:rPr>
          <w:color w:val="231F20"/>
          <w:sz w:val="20"/>
        </w:rPr>
        <w:t>to</w:t>
      </w:r>
      <w:r>
        <w:rPr>
          <w:color w:val="231F20"/>
          <w:spacing w:val="-9"/>
          <w:sz w:val="20"/>
        </w:rPr>
        <w:t xml:space="preserve"> </w:t>
      </w:r>
      <w:r>
        <w:rPr>
          <w:color w:val="231F20"/>
          <w:sz w:val="20"/>
        </w:rPr>
        <w:t>be</w:t>
      </w:r>
      <w:r>
        <w:rPr>
          <w:color w:val="231F20"/>
          <w:spacing w:val="-9"/>
          <w:sz w:val="20"/>
        </w:rPr>
        <w:t xml:space="preserve"> </w:t>
      </w:r>
      <w:r>
        <w:rPr>
          <w:color w:val="231F20"/>
          <w:sz w:val="20"/>
        </w:rPr>
        <w:t>harmed</w:t>
      </w:r>
      <w:r>
        <w:rPr>
          <w:color w:val="231F20"/>
          <w:spacing w:val="-9"/>
          <w:sz w:val="20"/>
        </w:rPr>
        <w:t xml:space="preserve"> </w:t>
      </w:r>
      <w:r>
        <w:rPr>
          <w:color w:val="231F20"/>
          <w:sz w:val="20"/>
        </w:rPr>
        <w:t>and</w:t>
      </w:r>
      <w:r>
        <w:rPr>
          <w:color w:val="231F20"/>
          <w:spacing w:val="-9"/>
          <w:sz w:val="20"/>
        </w:rPr>
        <w:t xml:space="preserve"> </w:t>
      </w:r>
      <w:r>
        <w:rPr>
          <w:color w:val="231F20"/>
          <w:spacing w:val="-3"/>
          <w:sz w:val="20"/>
        </w:rPr>
        <w:t>may</w:t>
      </w:r>
      <w:r>
        <w:rPr>
          <w:color w:val="231F20"/>
          <w:spacing w:val="-9"/>
          <w:sz w:val="20"/>
        </w:rPr>
        <w:t xml:space="preserve"> </w:t>
      </w:r>
      <w:r>
        <w:rPr>
          <w:color w:val="231F20"/>
          <w:sz w:val="20"/>
        </w:rPr>
        <w:t>find</w:t>
      </w:r>
      <w:r>
        <w:rPr>
          <w:color w:val="231F20"/>
          <w:spacing w:val="-9"/>
          <w:sz w:val="20"/>
        </w:rPr>
        <w:t xml:space="preserve"> </w:t>
      </w:r>
      <w:r>
        <w:rPr>
          <w:color w:val="231F20"/>
          <w:sz w:val="20"/>
        </w:rPr>
        <w:t>it</w:t>
      </w:r>
      <w:r>
        <w:rPr>
          <w:color w:val="231F20"/>
          <w:spacing w:val="-9"/>
          <w:sz w:val="20"/>
        </w:rPr>
        <w:t xml:space="preserve"> </w:t>
      </w:r>
      <w:r>
        <w:rPr>
          <w:color w:val="231F20"/>
          <w:sz w:val="20"/>
        </w:rPr>
        <w:t>especially</w:t>
      </w:r>
      <w:r>
        <w:rPr>
          <w:color w:val="231F20"/>
          <w:spacing w:val="-9"/>
          <w:sz w:val="20"/>
        </w:rPr>
        <w:t xml:space="preserve"> </w:t>
      </w:r>
      <w:r>
        <w:rPr>
          <w:color w:val="231F20"/>
          <w:sz w:val="20"/>
        </w:rPr>
        <w:t>hard</w:t>
      </w:r>
      <w:r>
        <w:rPr>
          <w:color w:val="231F20"/>
          <w:spacing w:val="-9"/>
          <w:sz w:val="20"/>
        </w:rPr>
        <w:t xml:space="preserve"> </w:t>
      </w:r>
      <w:r>
        <w:rPr>
          <w:color w:val="231F20"/>
          <w:sz w:val="20"/>
        </w:rPr>
        <w:t>to</w:t>
      </w:r>
      <w:r>
        <w:rPr>
          <w:color w:val="231F20"/>
          <w:spacing w:val="-9"/>
          <w:sz w:val="20"/>
        </w:rPr>
        <w:t xml:space="preserve"> </w:t>
      </w:r>
      <w:r>
        <w:rPr>
          <w:color w:val="231F20"/>
          <w:sz w:val="20"/>
        </w:rPr>
        <w:t>get</w:t>
      </w:r>
      <w:r>
        <w:rPr>
          <w:color w:val="231F20"/>
          <w:spacing w:val="-9"/>
          <w:sz w:val="20"/>
        </w:rPr>
        <w:t xml:space="preserve"> </w:t>
      </w:r>
      <w:r>
        <w:rPr>
          <w:color w:val="231F20"/>
          <w:sz w:val="20"/>
        </w:rPr>
        <w:t>justice.</w:t>
      </w:r>
    </w:p>
    <w:p w14:paraId="70F7B320" w14:textId="77777777" w:rsidR="00894070" w:rsidRDefault="009B7AFD">
      <w:pPr>
        <w:pStyle w:val="ListParagraph"/>
        <w:numPr>
          <w:ilvl w:val="0"/>
          <w:numId w:val="173"/>
        </w:numPr>
        <w:tabs>
          <w:tab w:val="left" w:pos="2141"/>
          <w:tab w:val="left" w:pos="2142"/>
        </w:tabs>
        <w:spacing w:before="55"/>
        <w:ind w:hanging="340"/>
        <w:rPr>
          <w:sz w:val="20"/>
        </w:rPr>
      </w:pPr>
      <w:r>
        <w:rPr>
          <w:color w:val="231F20"/>
          <w:sz w:val="20"/>
        </w:rPr>
        <w:t xml:space="preserve">There </w:t>
      </w:r>
      <w:r>
        <w:rPr>
          <w:color w:val="231F20"/>
          <w:spacing w:val="-3"/>
          <w:sz w:val="20"/>
        </w:rPr>
        <w:t xml:space="preserve">are </w:t>
      </w:r>
      <w:r>
        <w:rPr>
          <w:color w:val="231F20"/>
          <w:sz w:val="20"/>
        </w:rPr>
        <w:t>barriers to reporting stalking and getting</w:t>
      </w:r>
      <w:r>
        <w:rPr>
          <w:color w:val="231F20"/>
          <w:spacing w:val="-36"/>
          <w:sz w:val="20"/>
        </w:rPr>
        <w:t xml:space="preserve"> </w:t>
      </w:r>
      <w:r>
        <w:rPr>
          <w:color w:val="231F20"/>
          <w:sz w:val="20"/>
        </w:rPr>
        <w:t>justice.</w:t>
      </w:r>
    </w:p>
    <w:p w14:paraId="699FD6A5" w14:textId="77777777" w:rsidR="00894070" w:rsidRDefault="009B7AFD">
      <w:pPr>
        <w:pStyle w:val="Heading7"/>
        <w:spacing w:before="185"/>
      </w:pPr>
      <w:r>
        <w:rPr>
          <w:color w:val="EA5B50"/>
        </w:rPr>
        <w:t>How is stalking defined?</w:t>
      </w:r>
    </w:p>
    <w:p w14:paraId="33FA7A3E" w14:textId="77777777" w:rsidR="00894070" w:rsidRDefault="009B7AFD">
      <w:pPr>
        <w:pStyle w:val="ListParagraph"/>
        <w:numPr>
          <w:ilvl w:val="1"/>
          <w:numId w:val="177"/>
        </w:numPr>
        <w:tabs>
          <w:tab w:val="left" w:pos="1801"/>
          <w:tab w:val="left" w:pos="1802"/>
        </w:tabs>
        <w:spacing w:before="114"/>
        <w:rPr>
          <w:sz w:val="20"/>
        </w:rPr>
      </w:pPr>
      <w:r>
        <w:rPr>
          <w:color w:val="231F20"/>
          <w:sz w:val="20"/>
        </w:rPr>
        <w:t>Under</w:t>
      </w:r>
      <w:r>
        <w:rPr>
          <w:color w:val="231F20"/>
          <w:spacing w:val="-5"/>
          <w:sz w:val="20"/>
        </w:rPr>
        <w:t xml:space="preserve"> </w:t>
      </w:r>
      <w:r>
        <w:rPr>
          <w:color w:val="231F20"/>
          <w:sz w:val="20"/>
        </w:rPr>
        <w:t>the</w:t>
      </w:r>
      <w:r>
        <w:rPr>
          <w:color w:val="231F20"/>
          <w:spacing w:val="-5"/>
          <w:sz w:val="20"/>
        </w:rPr>
        <w:t xml:space="preserve"> law, </w:t>
      </w:r>
      <w:r>
        <w:rPr>
          <w:color w:val="231F20"/>
          <w:sz w:val="20"/>
        </w:rPr>
        <w:t>stalking</w:t>
      </w:r>
      <w:r>
        <w:rPr>
          <w:color w:val="231F20"/>
          <w:spacing w:val="-5"/>
          <w:sz w:val="20"/>
        </w:rPr>
        <w:t xml:space="preserve"> </w:t>
      </w:r>
      <w:r>
        <w:rPr>
          <w:color w:val="231F20"/>
          <w:sz w:val="20"/>
        </w:rPr>
        <w:t>can</w:t>
      </w:r>
      <w:r>
        <w:rPr>
          <w:color w:val="231F20"/>
          <w:spacing w:val="-4"/>
          <w:sz w:val="20"/>
        </w:rPr>
        <w:t xml:space="preserve"> </w:t>
      </w:r>
      <w:r>
        <w:rPr>
          <w:color w:val="231F20"/>
          <w:sz w:val="20"/>
        </w:rPr>
        <w:t>include</w:t>
      </w:r>
      <w:r>
        <w:rPr>
          <w:color w:val="231F20"/>
          <w:spacing w:val="-5"/>
          <w:sz w:val="20"/>
        </w:rPr>
        <w:t xml:space="preserve"> </w:t>
      </w:r>
      <w:r>
        <w:rPr>
          <w:color w:val="231F20"/>
          <w:sz w:val="20"/>
        </w:rPr>
        <w:t>a</w:t>
      </w:r>
      <w:r>
        <w:rPr>
          <w:color w:val="231F20"/>
          <w:spacing w:val="-5"/>
          <w:sz w:val="20"/>
        </w:rPr>
        <w:t xml:space="preserve"> </w:t>
      </w:r>
      <w:r>
        <w:rPr>
          <w:color w:val="231F20"/>
          <w:sz w:val="20"/>
        </w:rPr>
        <w:t>range</w:t>
      </w:r>
      <w:r>
        <w:rPr>
          <w:color w:val="231F20"/>
          <w:spacing w:val="-5"/>
          <w:sz w:val="20"/>
        </w:rPr>
        <w:t xml:space="preserve"> </w:t>
      </w:r>
      <w:r>
        <w:rPr>
          <w:color w:val="231F20"/>
          <w:sz w:val="20"/>
        </w:rPr>
        <w:t>of</w:t>
      </w:r>
      <w:r>
        <w:rPr>
          <w:color w:val="231F20"/>
          <w:spacing w:val="-4"/>
          <w:sz w:val="20"/>
        </w:rPr>
        <w:t xml:space="preserve"> </w:t>
      </w:r>
      <w:proofErr w:type="spellStart"/>
      <w:r>
        <w:rPr>
          <w:color w:val="231F20"/>
          <w:sz w:val="20"/>
        </w:rPr>
        <w:t>behaviours</w:t>
      </w:r>
      <w:proofErr w:type="spellEnd"/>
      <w:r>
        <w:rPr>
          <w:color w:val="231F20"/>
          <w:spacing w:val="-5"/>
          <w:sz w:val="20"/>
        </w:rPr>
        <w:t xml:space="preserve"> </w:t>
      </w:r>
      <w:r>
        <w:rPr>
          <w:color w:val="231F20"/>
          <w:sz w:val="20"/>
        </w:rPr>
        <w:t>that:</w:t>
      </w:r>
    </w:p>
    <w:p w14:paraId="2B30717E" w14:textId="77777777" w:rsidR="00894070" w:rsidRDefault="009B7AFD">
      <w:pPr>
        <w:pStyle w:val="ListParagraph"/>
        <w:numPr>
          <w:ilvl w:val="2"/>
          <w:numId w:val="177"/>
        </w:numPr>
        <w:tabs>
          <w:tab w:val="left" w:pos="2141"/>
          <w:tab w:val="left" w:pos="2142"/>
        </w:tabs>
        <w:spacing w:before="82"/>
        <w:ind w:hanging="340"/>
        <w:rPr>
          <w:sz w:val="20"/>
        </w:rPr>
      </w:pPr>
      <w:r>
        <w:rPr>
          <w:color w:val="231F20"/>
          <w:spacing w:val="-3"/>
          <w:sz w:val="20"/>
        </w:rPr>
        <w:t xml:space="preserve">are </w:t>
      </w:r>
      <w:r>
        <w:rPr>
          <w:color w:val="231F20"/>
          <w:sz w:val="20"/>
        </w:rPr>
        <w:t xml:space="preserve">intended or </w:t>
      </w:r>
      <w:r>
        <w:rPr>
          <w:color w:val="231F20"/>
          <w:spacing w:val="-3"/>
          <w:sz w:val="20"/>
        </w:rPr>
        <w:t xml:space="preserve">likely </w:t>
      </w:r>
      <w:r>
        <w:rPr>
          <w:color w:val="231F20"/>
          <w:sz w:val="20"/>
        </w:rPr>
        <w:t xml:space="preserve">to harm or </w:t>
      </w:r>
      <w:r>
        <w:rPr>
          <w:color w:val="231F20"/>
          <w:spacing w:val="-3"/>
          <w:sz w:val="20"/>
        </w:rPr>
        <w:t xml:space="preserve">frighten </w:t>
      </w:r>
      <w:r>
        <w:rPr>
          <w:color w:val="231F20"/>
          <w:sz w:val="20"/>
        </w:rPr>
        <w:t>a</w:t>
      </w:r>
      <w:r>
        <w:rPr>
          <w:color w:val="231F20"/>
          <w:spacing w:val="-29"/>
          <w:sz w:val="20"/>
        </w:rPr>
        <w:t xml:space="preserve"> </w:t>
      </w:r>
      <w:r>
        <w:rPr>
          <w:color w:val="231F20"/>
          <w:sz w:val="20"/>
        </w:rPr>
        <w:t>person</w:t>
      </w:r>
    </w:p>
    <w:p w14:paraId="7C7EC7DC" w14:textId="77777777" w:rsidR="00894070" w:rsidRDefault="009B7AFD">
      <w:pPr>
        <w:pStyle w:val="ListParagraph"/>
        <w:numPr>
          <w:ilvl w:val="2"/>
          <w:numId w:val="177"/>
        </w:numPr>
        <w:tabs>
          <w:tab w:val="left" w:pos="2141"/>
          <w:tab w:val="left" w:pos="2142"/>
        </w:tabs>
        <w:spacing w:before="48"/>
        <w:ind w:hanging="340"/>
        <w:rPr>
          <w:sz w:val="11"/>
        </w:rPr>
      </w:pPr>
      <w:r>
        <w:rPr>
          <w:color w:val="231F20"/>
          <w:sz w:val="20"/>
        </w:rPr>
        <w:t xml:space="preserve">amount to </w:t>
      </w:r>
      <w:r>
        <w:rPr>
          <w:color w:val="231F20"/>
          <w:spacing w:val="-4"/>
          <w:sz w:val="20"/>
        </w:rPr>
        <w:t xml:space="preserve">‘a </w:t>
      </w:r>
      <w:r>
        <w:rPr>
          <w:color w:val="231F20"/>
          <w:sz w:val="20"/>
        </w:rPr>
        <w:t>course of</w:t>
      </w:r>
      <w:r>
        <w:rPr>
          <w:color w:val="231F20"/>
          <w:spacing w:val="-17"/>
          <w:sz w:val="20"/>
        </w:rPr>
        <w:t xml:space="preserve"> </w:t>
      </w:r>
      <w:r>
        <w:rPr>
          <w:color w:val="231F20"/>
          <w:spacing w:val="-3"/>
          <w:sz w:val="20"/>
        </w:rPr>
        <w:t>conduct’.</w:t>
      </w:r>
      <w:r>
        <w:rPr>
          <w:color w:val="231F20"/>
          <w:spacing w:val="-3"/>
          <w:position w:val="7"/>
          <w:sz w:val="11"/>
        </w:rPr>
        <w:t>1</w:t>
      </w:r>
    </w:p>
    <w:p w14:paraId="26C64201" w14:textId="77777777" w:rsidR="00894070" w:rsidRDefault="009B7AFD">
      <w:pPr>
        <w:pStyle w:val="ListParagraph"/>
        <w:numPr>
          <w:ilvl w:val="1"/>
          <w:numId w:val="177"/>
        </w:numPr>
        <w:tabs>
          <w:tab w:val="left" w:pos="1801"/>
          <w:tab w:val="left" w:pos="1802"/>
        </w:tabs>
        <w:spacing w:before="47" w:line="259" w:lineRule="exact"/>
        <w:rPr>
          <w:sz w:val="20"/>
        </w:rPr>
      </w:pPr>
      <w:r>
        <w:rPr>
          <w:color w:val="231F20"/>
          <w:sz w:val="20"/>
        </w:rPr>
        <w:t>A</w:t>
      </w:r>
      <w:r>
        <w:rPr>
          <w:color w:val="231F20"/>
          <w:spacing w:val="-6"/>
          <w:sz w:val="20"/>
        </w:rPr>
        <w:t xml:space="preserve"> </w:t>
      </w:r>
      <w:r>
        <w:rPr>
          <w:color w:val="231F20"/>
          <w:sz w:val="20"/>
        </w:rPr>
        <w:t>‘course</w:t>
      </w:r>
      <w:r>
        <w:rPr>
          <w:color w:val="231F20"/>
          <w:spacing w:val="-6"/>
          <w:sz w:val="20"/>
        </w:rPr>
        <w:t xml:space="preserve"> </w:t>
      </w:r>
      <w:r>
        <w:rPr>
          <w:color w:val="231F20"/>
          <w:sz w:val="20"/>
        </w:rPr>
        <w:t>of</w:t>
      </w:r>
      <w:r>
        <w:rPr>
          <w:color w:val="231F20"/>
          <w:spacing w:val="-5"/>
          <w:sz w:val="20"/>
        </w:rPr>
        <w:t xml:space="preserve"> </w:t>
      </w:r>
      <w:r>
        <w:rPr>
          <w:color w:val="231F20"/>
          <w:sz w:val="20"/>
        </w:rPr>
        <w:t>conduct’</w:t>
      </w:r>
      <w:r>
        <w:rPr>
          <w:color w:val="231F20"/>
          <w:spacing w:val="-6"/>
          <w:sz w:val="20"/>
        </w:rPr>
        <w:t xml:space="preserve"> </w:t>
      </w:r>
      <w:r>
        <w:rPr>
          <w:color w:val="231F20"/>
          <w:spacing w:val="-4"/>
          <w:sz w:val="20"/>
        </w:rPr>
        <w:t>involves</w:t>
      </w:r>
      <w:r>
        <w:rPr>
          <w:color w:val="231F20"/>
          <w:spacing w:val="-5"/>
          <w:sz w:val="20"/>
        </w:rPr>
        <w:t xml:space="preserve"> </w:t>
      </w:r>
      <w:r>
        <w:rPr>
          <w:color w:val="231F20"/>
          <w:sz w:val="20"/>
        </w:rPr>
        <w:t>doing</w:t>
      </w:r>
      <w:r>
        <w:rPr>
          <w:color w:val="231F20"/>
          <w:spacing w:val="-6"/>
          <w:sz w:val="20"/>
        </w:rPr>
        <w:t xml:space="preserve"> </w:t>
      </w:r>
      <w:r>
        <w:rPr>
          <w:color w:val="231F20"/>
          <w:sz w:val="20"/>
        </w:rPr>
        <w:t>something</w:t>
      </w:r>
      <w:r>
        <w:rPr>
          <w:color w:val="231F20"/>
          <w:spacing w:val="-5"/>
          <w:sz w:val="20"/>
        </w:rPr>
        <w:t xml:space="preserve"> </w:t>
      </w:r>
      <w:r>
        <w:rPr>
          <w:color w:val="231F20"/>
          <w:sz w:val="20"/>
        </w:rPr>
        <w:t>more</w:t>
      </w:r>
      <w:r>
        <w:rPr>
          <w:color w:val="231F20"/>
          <w:spacing w:val="-6"/>
          <w:sz w:val="20"/>
        </w:rPr>
        <w:t xml:space="preserve"> </w:t>
      </w:r>
      <w:r>
        <w:rPr>
          <w:color w:val="231F20"/>
          <w:sz w:val="20"/>
        </w:rPr>
        <w:t>than</w:t>
      </w:r>
      <w:r>
        <w:rPr>
          <w:color w:val="231F20"/>
          <w:spacing w:val="-5"/>
          <w:sz w:val="20"/>
        </w:rPr>
        <w:t xml:space="preserve"> </w:t>
      </w:r>
      <w:r>
        <w:rPr>
          <w:color w:val="231F20"/>
          <w:sz w:val="20"/>
        </w:rPr>
        <w:t>once</w:t>
      </w:r>
      <w:r>
        <w:rPr>
          <w:color w:val="231F20"/>
          <w:spacing w:val="-6"/>
          <w:sz w:val="20"/>
        </w:rPr>
        <w:t xml:space="preserve"> </w:t>
      </w:r>
      <w:r>
        <w:rPr>
          <w:color w:val="231F20"/>
          <w:sz w:val="20"/>
        </w:rPr>
        <w:t>or</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an</w:t>
      </w:r>
      <w:r>
        <w:rPr>
          <w:color w:val="231F20"/>
          <w:spacing w:val="-6"/>
          <w:sz w:val="20"/>
        </w:rPr>
        <w:t xml:space="preserve"> </w:t>
      </w:r>
      <w:r>
        <w:rPr>
          <w:color w:val="231F20"/>
          <w:sz w:val="20"/>
        </w:rPr>
        <w:t>extended</w:t>
      </w:r>
    </w:p>
    <w:p w14:paraId="1EDED63D" w14:textId="77777777" w:rsidR="00894070" w:rsidRDefault="009B7AFD">
      <w:pPr>
        <w:pStyle w:val="BodyText"/>
        <w:spacing w:line="259" w:lineRule="exact"/>
        <w:ind w:left="1801"/>
        <w:rPr>
          <w:sz w:val="11"/>
        </w:rPr>
      </w:pPr>
      <w:r>
        <w:rPr>
          <w:color w:val="231F20"/>
        </w:rPr>
        <w:t>period.</w:t>
      </w:r>
      <w:r>
        <w:rPr>
          <w:color w:val="231F20"/>
          <w:position w:val="7"/>
          <w:sz w:val="11"/>
        </w:rPr>
        <w:t>2</w:t>
      </w:r>
    </w:p>
    <w:p w14:paraId="65CDACA3" w14:textId="77777777" w:rsidR="00894070" w:rsidRDefault="009B7AFD">
      <w:pPr>
        <w:pStyle w:val="ListParagraph"/>
        <w:numPr>
          <w:ilvl w:val="1"/>
          <w:numId w:val="177"/>
        </w:numPr>
        <w:tabs>
          <w:tab w:val="left" w:pos="1801"/>
          <w:tab w:val="left" w:pos="1802"/>
        </w:tabs>
        <w:spacing w:before="115" w:line="206" w:lineRule="auto"/>
        <w:ind w:right="1177"/>
        <w:rPr>
          <w:sz w:val="20"/>
        </w:rPr>
      </w:pPr>
      <w:r>
        <w:rPr>
          <w:color w:val="231F20"/>
          <w:sz w:val="20"/>
        </w:rPr>
        <w:t>These</w:t>
      </w:r>
      <w:r>
        <w:rPr>
          <w:color w:val="231F20"/>
          <w:spacing w:val="-8"/>
          <w:sz w:val="20"/>
        </w:rPr>
        <w:t xml:space="preserve"> </w:t>
      </w:r>
      <w:r>
        <w:rPr>
          <w:color w:val="231F20"/>
          <w:spacing w:val="-3"/>
          <w:sz w:val="20"/>
        </w:rPr>
        <w:t>are</w:t>
      </w:r>
      <w:r>
        <w:rPr>
          <w:color w:val="231F20"/>
          <w:spacing w:val="-7"/>
          <w:sz w:val="20"/>
        </w:rPr>
        <w:t xml:space="preserve"> </w:t>
      </w:r>
      <w:r>
        <w:rPr>
          <w:color w:val="231F20"/>
          <w:spacing w:val="-3"/>
          <w:sz w:val="20"/>
        </w:rPr>
        <w:t>examples</w:t>
      </w:r>
      <w:r>
        <w:rPr>
          <w:color w:val="231F20"/>
          <w:spacing w:val="-7"/>
          <w:sz w:val="20"/>
        </w:rPr>
        <w:t xml:space="preserve"> </w:t>
      </w:r>
      <w:r>
        <w:rPr>
          <w:color w:val="231F20"/>
          <w:sz w:val="20"/>
        </w:rPr>
        <w:t>of</w:t>
      </w:r>
      <w:r>
        <w:rPr>
          <w:color w:val="231F20"/>
          <w:spacing w:val="-7"/>
          <w:sz w:val="20"/>
        </w:rPr>
        <w:t xml:space="preserve"> </w:t>
      </w:r>
      <w:proofErr w:type="spellStart"/>
      <w:r>
        <w:rPr>
          <w:color w:val="231F20"/>
          <w:sz w:val="20"/>
        </w:rPr>
        <w:t>behaviour</w:t>
      </w:r>
      <w:proofErr w:type="spellEnd"/>
      <w:r>
        <w:rPr>
          <w:color w:val="231F20"/>
          <w:spacing w:val="-7"/>
          <w:sz w:val="20"/>
        </w:rPr>
        <w:t xml:space="preserve"> </w:t>
      </w:r>
      <w:r>
        <w:rPr>
          <w:color w:val="231F20"/>
          <w:sz w:val="20"/>
        </w:rPr>
        <w:t>that</w:t>
      </w:r>
      <w:r>
        <w:rPr>
          <w:color w:val="231F20"/>
          <w:spacing w:val="-7"/>
          <w:sz w:val="20"/>
        </w:rPr>
        <w:t xml:space="preserve"> </w:t>
      </w:r>
      <w:r>
        <w:rPr>
          <w:color w:val="231F20"/>
          <w:sz w:val="20"/>
        </w:rPr>
        <w:t>could</w:t>
      </w:r>
      <w:r>
        <w:rPr>
          <w:color w:val="231F20"/>
          <w:spacing w:val="-7"/>
          <w:sz w:val="20"/>
        </w:rPr>
        <w:t xml:space="preserve"> </w:t>
      </w:r>
      <w:r>
        <w:rPr>
          <w:color w:val="231F20"/>
          <w:sz w:val="20"/>
        </w:rPr>
        <w:t>be</w:t>
      </w:r>
      <w:r>
        <w:rPr>
          <w:color w:val="231F20"/>
          <w:spacing w:val="-7"/>
          <w:sz w:val="20"/>
        </w:rPr>
        <w:t xml:space="preserve"> </w:t>
      </w:r>
      <w:r>
        <w:rPr>
          <w:color w:val="231F20"/>
          <w:sz w:val="20"/>
        </w:rPr>
        <w:t>stalking</w:t>
      </w:r>
      <w:r>
        <w:rPr>
          <w:color w:val="231F20"/>
          <w:spacing w:val="-7"/>
          <w:sz w:val="20"/>
        </w:rPr>
        <w:t xml:space="preserve"> </w:t>
      </w:r>
      <w:r>
        <w:rPr>
          <w:color w:val="231F20"/>
          <w:sz w:val="20"/>
        </w:rPr>
        <w:t>if</w:t>
      </w:r>
      <w:r>
        <w:rPr>
          <w:color w:val="231F20"/>
          <w:spacing w:val="-7"/>
          <w:sz w:val="20"/>
        </w:rPr>
        <w:t xml:space="preserve"> </w:t>
      </w:r>
      <w:r>
        <w:rPr>
          <w:color w:val="231F20"/>
          <w:spacing w:val="-3"/>
          <w:sz w:val="20"/>
        </w:rPr>
        <w:t>repeated</w:t>
      </w:r>
      <w:r>
        <w:rPr>
          <w:color w:val="231F20"/>
          <w:spacing w:val="-7"/>
          <w:sz w:val="20"/>
        </w:rPr>
        <w:t xml:space="preserve"> </w:t>
      </w:r>
      <w:r>
        <w:rPr>
          <w:color w:val="231F20"/>
          <w:sz w:val="20"/>
        </w:rPr>
        <w:t>with</w:t>
      </w:r>
      <w:r>
        <w:rPr>
          <w:color w:val="231F20"/>
          <w:spacing w:val="-7"/>
          <w:sz w:val="20"/>
        </w:rPr>
        <w:t xml:space="preserve"> </w:t>
      </w:r>
      <w:r>
        <w:rPr>
          <w:color w:val="231F20"/>
          <w:sz w:val="20"/>
        </w:rPr>
        <w:t>the</w:t>
      </w:r>
      <w:r>
        <w:rPr>
          <w:color w:val="231F20"/>
          <w:spacing w:val="-7"/>
          <w:sz w:val="20"/>
        </w:rPr>
        <w:t xml:space="preserve"> </w:t>
      </w:r>
      <w:r>
        <w:rPr>
          <w:color w:val="231F20"/>
          <w:spacing w:val="-3"/>
          <w:sz w:val="20"/>
        </w:rPr>
        <w:t>intention</w:t>
      </w:r>
      <w:r>
        <w:rPr>
          <w:color w:val="231F20"/>
          <w:spacing w:val="-7"/>
          <w:sz w:val="20"/>
        </w:rPr>
        <w:t xml:space="preserve"> </w:t>
      </w:r>
      <w:r>
        <w:rPr>
          <w:color w:val="231F20"/>
          <w:sz w:val="20"/>
        </w:rPr>
        <w:t xml:space="preserve">of causing harm or fear </w:t>
      </w:r>
      <w:r>
        <w:rPr>
          <w:color w:val="231F20"/>
          <w:spacing w:val="-3"/>
          <w:sz w:val="20"/>
        </w:rPr>
        <w:t xml:space="preserve">(or </w:t>
      </w:r>
      <w:r>
        <w:rPr>
          <w:color w:val="231F20"/>
          <w:sz w:val="20"/>
        </w:rPr>
        <w:t xml:space="preserve">being </w:t>
      </w:r>
      <w:r>
        <w:rPr>
          <w:color w:val="231F20"/>
          <w:spacing w:val="-3"/>
          <w:sz w:val="20"/>
        </w:rPr>
        <w:t xml:space="preserve">reckless </w:t>
      </w:r>
      <w:r>
        <w:rPr>
          <w:color w:val="231F20"/>
          <w:sz w:val="20"/>
        </w:rPr>
        <w:t>about doing</w:t>
      </w:r>
      <w:r>
        <w:rPr>
          <w:color w:val="231F20"/>
          <w:spacing w:val="-34"/>
          <w:sz w:val="20"/>
        </w:rPr>
        <w:t xml:space="preserve"> </w:t>
      </w:r>
      <w:r>
        <w:rPr>
          <w:color w:val="231F20"/>
          <w:spacing w:val="-3"/>
          <w:sz w:val="20"/>
        </w:rPr>
        <w:t>so):</w:t>
      </w:r>
    </w:p>
    <w:p w14:paraId="1E64D830" w14:textId="77777777" w:rsidR="00894070" w:rsidRDefault="009B7AFD">
      <w:pPr>
        <w:pStyle w:val="ListParagraph"/>
        <w:numPr>
          <w:ilvl w:val="2"/>
          <w:numId w:val="177"/>
        </w:numPr>
        <w:tabs>
          <w:tab w:val="left" w:pos="2141"/>
          <w:tab w:val="left" w:pos="2142"/>
        </w:tabs>
        <w:spacing w:before="90"/>
        <w:ind w:hanging="340"/>
        <w:rPr>
          <w:sz w:val="20"/>
        </w:rPr>
      </w:pPr>
      <w:r>
        <w:rPr>
          <w:color w:val="231F20"/>
          <w:spacing w:val="-3"/>
          <w:sz w:val="20"/>
        </w:rPr>
        <w:t xml:space="preserve">following </w:t>
      </w:r>
      <w:r>
        <w:rPr>
          <w:color w:val="231F20"/>
          <w:sz w:val="20"/>
        </w:rPr>
        <w:t>a</w:t>
      </w:r>
      <w:r>
        <w:rPr>
          <w:color w:val="231F20"/>
          <w:spacing w:val="-6"/>
          <w:sz w:val="20"/>
        </w:rPr>
        <w:t xml:space="preserve"> </w:t>
      </w:r>
      <w:r>
        <w:rPr>
          <w:color w:val="231F20"/>
          <w:sz w:val="20"/>
        </w:rPr>
        <w:t>person</w:t>
      </w:r>
    </w:p>
    <w:p w14:paraId="1DC65D4A"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contacting</w:t>
      </w:r>
      <w:r>
        <w:rPr>
          <w:color w:val="231F20"/>
          <w:spacing w:val="-5"/>
          <w:sz w:val="20"/>
        </w:rPr>
        <w:t xml:space="preserve"> </w:t>
      </w:r>
      <w:r>
        <w:rPr>
          <w:color w:val="231F20"/>
          <w:sz w:val="20"/>
        </w:rPr>
        <w:t>them</w:t>
      </w:r>
    </w:p>
    <w:p w14:paraId="5DF5AE08" w14:textId="77777777" w:rsidR="00894070" w:rsidRDefault="009B7AFD">
      <w:pPr>
        <w:pStyle w:val="ListParagraph"/>
        <w:numPr>
          <w:ilvl w:val="2"/>
          <w:numId w:val="177"/>
        </w:numPr>
        <w:tabs>
          <w:tab w:val="left" w:pos="2141"/>
          <w:tab w:val="left" w:pos="2142"/>
        </w:tabs>
        <w:spacing w:before="47"/>
        <w:ind w:hanging="340"/>
        <w:rPr>
          <w:sz w:val="20"/>
        </w:rPr>
      </w:pPr>
      <w:r>
        <w:rPr>
          <w:color w:val="231F20"/>
          <w:spacing w:val="-3"/>
          <w:sz w:val="20"/>
        </w:rPr>
        <w:t>threatening</w:t>
      </w:r>
      <w:r>
        <w:rPr>
          <w:color w:val="231F20"/>
          <w:spacing w:val="-4"/>
          <w:sz w:val="20"/>
        </w:rPr>
        <w:t xml:space="preserve"> </w:t>
      </w:r>
      <w:r>
        <w:rPr>
          <w:color w:val="231F20"/>
          <w:sz w:val="20"/>
        </w:rPr>
        <w:t>them</w:t>
      </w:r>
    </w:p>
    <w:p w14:paraId="3522540E"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publishing information about</w:t>
      </w:r>
      <w:r>
        <w:rPr>
          <w:color w:val="231F20"/>
          <w:spacing w:val="-13"/>
          <w:sz w:val="20"/>
        </w:rPr>
        <w:t xml:space="preserve"> </w:t>
      </w:r>
      <w:r>
        <w:rPr>
          <w:color w:val="231F20"/>
          <w:sz w:val="20"/>
        </w:rPr>
        <w:t>them</w:t>
      </w:r>
    </w:p>
    <w:p w14:paraId="00FF6D30"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interfering with their property or</w:t>
      </w:r>
      <w:r>
        <w:rPr>
          <w:color w:val="231F20"/>
          <w:spacing w:val="-24"/>
          <w:sz w:val="20"/>
        </w:rPr>
        <w:t xml:space="preserve"> </w:t>
      </w:r>
      <w:r>
        <w:rPr>
          <w:color w:val="231F20"/>
          <w:sz w:val="20"/>
        </w:rPr>
        <w:t>possessions</w:t>
      </w:r>
    </w:p>
    <w:p w14:paraId="620C8495" w14:textId="77777777" w:rsidR="00894070" w:rsidRDefault="009B7AFD">
      <w:pPr>
        <w:pStyle w:val="ListParagraph"/>
        <w:numPr>
          <w:ilvl w:val="2"/>
          <w:numId w:val="177"/>
        </w:numPr>
        <w:tabs>
          <w:tab w:val="left" w:pos="2141"/>
          <w:tab w:val="left" w:pos="2142"/>
        </w:tabs>
        <w:spacing w:before="47" w:line="259" w:lineRule="exact"/>
        <w:ind w:hanging="340"/>
        <w:rPr>
          <w:sz w:val="20"/>
        </w:rPr>
      </w:pPr>
      <w:r>
        <w:rPr>
          <w:color w:val="231F20"/>
          <w:sz w:val="20"/>
        </w:rPr>
        <w:t>tracing</w:t>
      </w:r>
      <w:r>
        <w:rPr>
          <w:color w:val="231F20"/>
          <w:spacing w:val="-7"/>
          <w:sz w:val="20"/>
        </w:rPr>
        <w:t xml:space="preserve"> </w:t>
      </w:r>
      <w:r>
        <w:rPr>
          <w:color w:val="231F20"/>
          <w:sz w:val="20"/>
        </w:rPr>
        <w:t>their</w:t>
      </w:r>
      <w:r>
        <w:rPr>
          <w:color w:val="231F20"/>
          <w:spacing w:val="-6"/>
          <w:sz w:val="20"/>
        </w:rPr>
        <w:t xml:space="preserve"> </w:t>
      </w:r>
      <w:r>
        <w:rPr>
          <w:color w:val="231F20"/>
          <w:sz w:val="20"/>
        </w:rPr>
        <w:t>use</w:t>
      </w:r>
      <w:r>
        <w:rPr>
          <w:color w:val="231F20"/>
          <w:spacing w:val="-6"/>
          <w:sz w:val="20"/>
        </w:rPr>
        <w:t xml:space="preserve"> </w:t>
      </w:r>
      <w:r>
        <w:rPr>
          <w:color w:val="231F20"/>
          <w:sz w:val="20"/>
        </w:rPr>
        <w:t>of</w:t>
      </w:r>
      <w:r>
        <w:rPr>
          <w:color w:val="231F20"/>
          <w:spacing w:val="-6"/>
          <w:sz w:val="20"/>
        </w:rPr>
        <w:t xml:space="preserve"> </w:t>
      </w:r>
      <w:r>
        <w:rPr>
          <w:color w:val="231F20"/>
          <w:sz w:val="20"/>
        </w:rPr>
        <w:t>information</w:t>
      </w:r>
      <w:r>
        <w:rPr>
          <w:color w:val="231F20"/>
          <w:spacing w:val="-7"/>
          <w:sz w:val="20"/>
        </w:rPr>
        <w:t xml:space="preserve"> </w:t>
      </w:r>
      <w:r>
        <w:rPr>
          <w:color w:val="231F20"/>
          <w:sz w:val="20"/>
        </w:rPr>
        <w:t>or</w:t>
      </w:r>
      <w:r>
        <w:rPr>
          <w:color w:val="231F20"/>
          <w:spacing w:val="-6"/>
          <w:sz w:val="20"/>
        </w:rPr>
        <w:t xml:space="preserve"> </w:t>
      </w:r>
      <w:r>
        <w:rPr>
          <w:color w:val="231F20"/>
          <w:sz w:val="20"/>
        </w:rPr>
        <w:t>communication</w:t>
      </w:r>
      <w:r>
        <w:rPr>
          <w:color w:val="231F20"/>
          <w:spacing w:val="-6"/>
          <w:sz w:val="20"/>
        </w:rPr>
        <w:t xml:space="preserve"> </w:t>
      </w:r>
      <w:r>
        <w:rPr>
          <w:color w:val="231F20"/>
          <w:sz w:val="20"/>
        </w:rPr>
        <w:t>technology</w:t>
      </w:r>
      <w:r>
        <w:rPr>
          <w:color w:val="231F20"/>
          <w:spacing w:val="-6"/>
          <w:sz w:val="20"/>
        </w:rPr>
        <w:t xml:space="preserve"> </w:t>
      </w:r>
      <w:r>
        <w:rPr>
          <w:color w:val="231F20"/>
          <w:sz w:val="20"/>
        </w:rPr>
        <w:t>or</w:t>
      </w:r>
      <w:r>
        <w:rPr>
          <w:color w:val="231F20"/>
          <w:spacing w:val="-6"/>
          <w:sz w:val="20"/>
        </w:rPr>
        <w:t xml:space="preserve"> </w:t>
      </w:r>
      <w:r>
        <w:rPr>
          <w:color w:val="231F20"/>
          <w:sz w:val="20"/>
        </w:rPr>
        <w:t>keeping</w:t>
      </w:r>
      <w:r>
        <w:rPr>
          <w:color w:val="231F20"/>
          <w:spacing w:val="-6"/>
          <w:sz w:val="20"/>
        </w:rPr>
        <w:t xml:space="preserve"> </w:t>
      </w:r>
      <w:r>
        <w:rPr>
          <w:color w:val="231F20"/>
          <w:sz w:val="20"/>
        </w:rPr>
        <w:t>them</w:t>
      </w:r>
    </w:p>
    <w:p w14:paraId="1547202C" w14:textId="77777777" w:rsidR="00894070" w:rsidRDefault="009B7AFD">
      <w:pPr>
        <w:pStyle w:val="BodyText"/>
        <w:spacing w:line="259" w:lineRule="exact"/>
        <w:ind w:left="2141"/>
        <w:rPr>
          <w:sz w:val="11"/>
        </w:rPr>
      </w:pPr>
      <w:r>
        <w:rPr>
          <w:color w:val="231F20"/>
        </w:rPr>
        <w:t>under surveillance.</w:t>
      </w:r>
      <w:r>
        <w:rPr>
          <w:color w:val="231F20"/>
          <w:position w:val="7"/>
          <w:sz w:val="11"/>
        </w:rPr>
        <w:t>3</w:t>
      </w:r>
    </w:p>
    <w:p w14:paraId="64AA0755" w14:textId="77777777" w:rsidR="00894070" w:rsidRDefault="009B7AFD">
      <w:pPr>
        <w:pStyle w:val="ListParagraph"/>
        <w:numPr>
          <w:ilvl w:val="1"/>
          <w:numId w:val="177"/>
        </w:numPr>
        <w:tabs>
          <w:tab w:val="left" w:pos="1801"/>
          <w:tab w:val="left" w:pos="1802"/>
        </w:tabs>
        <w:spacing w:before="80" w:line="206" w:lineRule="auto"/>
        <w:ind w:right="1191"/>
        <w:rPr>
          <w:sz w:val="20"/>
        </w:rPr>
      </w:pPr>
      <w:r>
        <w:rPr>
          <w:color w:val="231F20"/>
          <w:sz w:val="20"/>
        </w:rPr>
        <w:t>Cyberstalking</w:t>
      </w:r>
      <w:r>
        <w:rPr>
          <w:color w:val="231F20"/>
          <w:spacing w:val="-12"/>
          <w:sz w:val="20"/>
        </w:rPr>
        <w:t xml:space="preserve"> </w:t>
      </w:r>
      <w:r>
        <w:rPr>
          <w:color w:val="231F20"/>
          <w:sz w:val="20"/>
        </w:rPr>
        <w:t>is</w:t>
      </w:r>
      <w:r>
        <w:rPr>
          <w:color w:val="231F20"/>
          <w:spacing w:val="-11"/>
          <w:sz w:val="20"/>
        </w:rPr>
        <w:t xml:space="preserve"> </w:t>
      </w:r>
      <w:r>
        <w:rPr>
          <w:color w:val="231F20"/>
          <w:sz w:val="20"/>
        </w:rPr>
        <w:t>stalking</w:t>
      </w:r>
      <w:r>
        <w:rPr>
          <w:color w:val="231F20"/>
          <w:spacing w:val="-11"/>
          <w:sz w:val="20"/>
        </w:rPr>
        <w:t xml:space="preserve"> </w:t>
      </w:r>
      <w:r>
        <w:rPr>
          <w:color w:val="231F20"/>
          <w:sz w:val="20"/>
        </w:rPr>
        <w:t>using</w:t>
      </w:r>
      <w:r>
        <w:rPr>
          <w:color w:val="231F20"/>
          <w:spacing w:val="-12"/>
          <w:sz w:val="20"/>
        </w:rPr>
        <w:t xml:space="preserve"> </w:t>
      </w:r>
      <w:r>
        <w:rPr>
          <w:color w:val="231F20"/>
          <w:sz w:val="20"/>
        </w:rPr>
        <w:t>information</w:t>
      </w:r>
      <w:r>
        <w:rPr>
          <w:color w:val="231F20"/>
          <w:spacing w:val="-11"/>
          <w:sz w:val="20"/>
        </w:rPr>
        <w:t xml:space="preserve"> </w:t>
      </w:r>
      <w:r>
        <w:rPr>
          <w:color w:val="231F20"/>
          <w:sz w:val="20"/>
        </w:rPr>
        <w:t>and</w:t>
      </w:r>
      <w:r>
        <w:rPr>
          <w:color w:val="231F20"/>
          <w:spacing w:val="-11"/>
          <w:sz w:val="20"/>
        </w:rPr>
        <w:t xml:space="preserve"> </w:t>
      </w:r>
      <w:r>
        <w:rPr>
          <w:color w:val="231F20"/>
          <w:sz w:val="20"/>
        </w:rPr>
        <w:t>communication</w:t>
      </w:r>
      <w:r>
        <w:rPr>
          <w:color w:val="231F20"/>
          <w:spacing w:val="-11"/>
          <w:sz w:val="20"/>
        </w:rPr>
        <w:t xml:space="preserve"> </w:t>
      </w:r>
      <w:r>
        <w:rPr>
          <w:color w:val="231F20"/>
          <w:spacing w:val="-3"/>
          <w:sz w:val="20"/>
        </w:rPr>
        <w:t>technology.</w:t>
      </w:r>
      <w:r>
        <w:rPr>
          <w:color w:val="231F20"/>
          <w:spacing w:val="-12"/>
          <w:sz w:val="20"/>
        </w:rPr>
        <w:t xml:space="preserve"> </w:t>
      </w:r>
      <w:r>
        <w:rPr>
          <w:color w:val="231F20"/>
          <w:spacing w:val="-6"/>
          <w:sz w:val="20"/>
        </w:rPr>
        <w:t>We</w:t>
      </w:r>
      <w:r>
        <w:rPr>
          <w:color w:val="231F20"/>
          <w:spacing w:val="-11"/>
          <w:sz w:val="20"/>
        </w:rPr>
        <w:t xml:space="preserve"> </w:t>
      </w:r>
      <w:r>
        <w:rPr>
          <w:color w:val="231F20"/>
          <w:sz w:val="20"/>
        </w:rPr>
        <w:t xml:space="preserve">discuss cyberstalking in </w:t>
      </w:r>
      <w:r>
        <w:rPr>
          <w:color w:val="231F20"/>
          <w:spacing w:val="-3"/>
          <w:sz w:val="20"/>
        </w:rPr>
        <w:t>Chapter</w:t>
      </w:r>
      <w:r>
        <w:rPr>
          <w:color w:val="231F20"/>
          <w:spacing w:val="-13"/>
          <w:sz w:val="20"/>
        </w:rPr>
        <w:t xml:space="preserve"> </w:t>
      </w:r>
      <w:r>
        <w:rPr>
          <w:color w:val="231F20"/>
          <w:sz w:val="20"/>
        </w:rPr>
        <w:t>3.</w:t>
      </w:r>
    </w:p>
    <w:p w14:paraId="69E82F6D" w14:textId="77777777" w:rsidR="00894070" w:rsidRDefault="009B7AFD">
      <w:pPr>
        <w:pStyle w:val="ListParagraph"/>
        <w:numPr>
          <w:ilvl w:val="1"/>
          <w:numId w:val="177"/>
        </w:numPr>
        <w:tabs>
          <w:tab w:val="left" w:pos="1801"/>
          <w:tab w:val="left" w:pos="1802"/>
        </w:tabs>
        <w:spacing w:before="90"/>
        <w:rPr>
          <w:sz w:val="11"/>
        </w:rPr>
      </w:pPr>
      <w:r>
        <w:rPr>
          <w:color w:val="231F20"/>
          <w:sz w:val="20"/>
        </w:rPr>
        <w:t>Stalking</w:t>
      </w:r>
      <w:r>
        <w:rPr>
          <w:color w:val="231F20"/>
          <w:spacing w:val="-5"/>
          <w:sz w:val="20"/>
        </w:rPr>
        <w:t xml:space="preserve"> </w:t>
      </w:r>
      <w:r>
        <w:rPr>
          <w:color w:val="231F20"/>
          <w:sz w:val="20"/>
        </w:rPr>
        <w:t>can</w:t>
      </w:r>
      <w:r>
        <w:rPr>
          <w:color w:val="231F20"/>
          <w:spacing w:val="-5"/>
          <w:sz w:val="20"/>
        </w:rPr>
        <w:t xml:space="preserve"> involve </w:t>
      </w:r>
      <w:r>
        <w:rPr>
          <w:color w:val="231F20"/>
          <w:sz w:val="20"/>
        </w:rPr>
        <w:t>or</w:t>
      </w:r>
      <w:r>
        <w:rPr>
          <w:color w:val="231F20"/>
          <w:spacing w:val="-4"/>
          <w:sz w:val="20"/>
        </w:rPr>
        <w:t xml:space="preserve"> </w:t>
      </w:r>
      <w:r>
        <w:rPr>
          <w:color w:val="231F20"/>
          <w:sz w:val="20"/>
        </w:rPr>
        <w:t>lead</w:t>
      </w:r>
      <w:r>
        <w:rPr>
          <w:color w:val="231F20"/>
          <w:spacing w:val="-5"/>
          <w:sz w:val="20"/>
        </w:rPr>
        <w:t xml:space="preserve"> </w:t>
      </w:r>
      <w:r>
        <w:rPr>
          <w:color w:val="231F20"/>
          <w:sz w:val="20"/>
        </w:rPr>
        <w:t>to</w:t>
      </w:r>
      <w:r>
        <w:rPr>
          <w:color w:val="231F20"/>
          <w:spacing w:val="-5"/>
          <w:sz w:val="20"/>
        </w:rPr>
        <w:t xml:space="preserve"> </w:t>
      </w:r>
      <w:r>
        <w:rPr>
          <w:color w:val="231F20"/>
          <w:sz w:val="20"/>
        </w:rPr>
        <w:t>physical</w:t>
      </w:r>
      <w:r>
        <w:rPr>
          <w:color w:val="231F20"/>
          <w:spacing w:val="-5"/>
          <w:sz w:val="20"/>
        </w:rPr>
        <w:t xml:space="preserve"> </w:t>
      </w:r>
      <w:r>
        <w:rPr>
          <w:color w:val="231F20"/>
          <w:spacing w:val="-2"/>
          <w:sz w:val="20"/>
        </w:rPr>
        <w:t>violence,</w:t>
      </w:r>
      <w:r>
        <w:rPr>
          <w:color w:val="231F20"/>
          <w:spacing w:val="-4"/>
          <w:sz w:val="20"/>
        </w:rPr>
        <w:t xml:space="preserve"> </w:t>
      </w:r>
      <w:r>
        <w:rPr>
          <w:color w:val="231F20"/>
          <w:sz w:val="20"/>
        </w:rPr>
        <w:t>but</w:t>
      </w:r>
      <w:r>
        <w:rPr>
          <w:color w:val="231F20"/>
          <w:spacing w:val="-5"/>
          <w:sz w:val="20"/>
        </w:rPr>
        <w:t xml:space="preserve"> </w:t>
      </w:r>
      <w:r>
        <w:rPr>
          <w:color w:val="231F20"/>
          <w:sz w:val="20"/>
        </w:rPr>
        <w:t>this</w:t>
      </w:r>
      <w:r>
        <w:rPr>
          <w:color w:val="231F20"/>
          <w:spacing w:val="-5"/>
          <w:sz w:val="20"/>
        </w:rPr>
        <w:t xml:space="preserve"> </w:t>
      </w:r>
      <w:r>
        <w:rPr>
          <w:color w:val="231F20"/>
          <w:sz w:val="20"/>
        </w:rPr>
        <w:t>is</w:t>
      </w:r>
      <w:r>
        <w:rPr>
          <w:color w:val="231F20"/>
          <w:spacing w:val="-4"/>
          <w:sz w:val="20"/>
        </w:rPr>
        <w:t xml:space="preserve"> </w:t>
      </w:r>
      <w:r>
        <w:rPr>
          <w:color w:val="231F20"/>
          <w:sz w:val="20"/>
        </w:rPr>
        <w:t>not</w:t>
      </w:r>
      <w:r>
        <w:rPr>
          <w:color w:val="231F20"/>
          <w:spacing w:val="-5"/>
          <w:sz w:val="20"/>
        </w:rPr>
        <w:t xml:space="preserve"> </w:t>
      </w:r>
      <w:r>
        <w:rPr>
          <w:color w:val="231F20"/>
          <w:spacing w:val="-4"/>
          <w:sz w:val="20"/>
        </w:rPr>
        <w:t>always</w:t>
      </w:r>
      <w:r>
        <w:rPr>
          <w:color w:val="231F20"/>
          <w:spacing w:val="-5"/>
          <w:sz w:val="20"/>
        </w:rPr>
        <w:t xml:space="preserve"> </w:t>
      </w:r>
      <w:r>
        <w:rPr>
          <w:color w:val="231F20"/>
          <w:sz w:val="20"/>
        </w:rPr>
        <w:t>the</w:t>
      </w:r>
      <w:r>
        <w:rPr>
          <w:color w:val="231F20"/>
          <w:spacing w:val="-5"/>
          <w:sz w:val="20"/>
        </w:rPr>
        <w:t xml:space="preserve"> </w:t>
      </w:r>
      <w:r>
        <w:rPr>
          <w:color w:val="231F20"/>
          <w:sz w:val="20"/>
        </w:rPr>
        <w:t>case.</w:t>
      </w:r>
      <w:r>
        <w:rPr>
          <w:color w:val="231F20"/>
          <w:position w:val="7"/>
          <w:sz w:val="11"/>
        </w:rPr>
        <w:t>4</w:t>
      </w:r>
    </w:p>
    <w:p w14:paraId="0B7069DA" w14:textId="77777777" w:rsidR="00894070" w:rsidRDefault="00894070">
      <w:pPr>
        <w:pStyle w:val="BodyText"/>
      </w:pPr>
    </w:p>
    <w:p w14:paraId="72999055" w14:textId="77777777" w:rsidR="00894070" w:rsidRDefault="00894070">
      <w:pPr>
        <w:pStyle w:val="BodyText"/>
      </w:pPr>
    </w:p>
    <w:p w14:paraId="0842F94E" w14:textId="77777777" w:rsidR="00894070" w:rsidRDefault="00894070">
      <w:pPr>
        <w:pStyle w:val="BodyText"/>
      </w:pPr>
    </w:p>
    <w:p w14:paraId="0C62D285" w14:textId="77777777" w:rsidR="00894070" w:rsidRDefault="009F6793">
      <w:pPr>
        <w:pStyle w:val="BodyText"/>
        <w:spacing w:before="3"/>
        <w:rPr>
          <w:sz w:val="11"/>
        </w:rPr>
      </w:pPr>
      <w:r>
        <w:pict w14:anchorId="22C32E52">
          <v:line id="_x0000_s1678" style="position:absolute;z-index:251431936;mso-wrap-distance-left:0;mso-wrap-distance-right:0;mso-position-horizontal-relative:page" from="79.35pt,10.25pt" to="515.9pt,10.25pt" strokecolor="#f8cabc" strokeweight="1pt">
            <w10:wrap type="topAndBottom" anchorx="page"/>
          </v:line>
        </w:pict>
      </w:r>
    </w:p>
    <w:p w14:paraId="46330019" w14:textId="77777777" w:rsidR="00894070" w:rsidRDefault="009B7AFD">
      <w:pPr>
        <w:pStyle w:val="ListParagraph"/>
        <w:numPr>
          <w:ilvl w:val="0"/>
          <w:numId w:val="172"/>
        </w:numPr>
        <w:tabs>
          <w:tab w:val="left" w:pos="1801"/>
          <w:tab w:val="left" w:pos="1802"/>
        </w:tabs>
        <w:spacing w:before="91" w:line="170" w:lineRule="exact"/>
        <w:rPr>
          <w:sz w:val="13"/>
        </w:rPr>
      </w:pPr>
      <w:r>
        <w:rPr>
          <w:i/>
          <w:color w:val="231F20"/>
          <w:sz w:val="13"/>
        </w:rPr>
        <w:t>Crimes</w:t>
      </w:r>
      <w:r>
        <w:rPr>
          <w:i/>
          <w:color w:val="231F20"/>
          <w:spacing w:val="2"/>
          <w:sz w:val="13"/>
        </w:rPr>
        <w:t xml:space="preserve"> </w:t>
      </w:r>
      <w:r>
        <w:rPr>
          <w:i/>
          <w:color w:val="231F20"/>
          <w:sz w:val="13"/>
        </w:rPr>
        <w:t>Act</w:t>
      </w:r>
      <w:r>
        <w:rPr>
          <w:i/>
          <w:color w:val="231F20"/>
          <w:spacing w:val="2"/>
          <w:sz w:val="13"/>
        </w:rPr>
        <w:t xml:space="preserve"> </w:t>
      </w:r>
      <w:r>
        <w:rPr>
          <w:i/>
          <w:color w:val="231F20"/>
          <w:sz w:val="13"/>
        </w:rPr>
        <w:t>1958</w:t>
      </w:r>
      <w:r>
        <w:rPr>
          <w:i/>
          <w:color w:val="231F20"/>
          <w:spacing w:val="2"/>
          <w:sz w:val="13"/>
        </w:rPr>
        <w:t xml:space="preserve"> </w:t>
      </w:r>
      <w:r>
        <w:rPr>
          <w:color w:val="231F20"/>
          <w:sz w:val="13"/>
        </w:rPr>
        <w:t>(Vic)</w:t>
      </w:r>
      <w:r>
        <w:rPr>
          <w:color w:val="231F20"/>
          <w:spacing w:val="3"/>
          <w:sz w:val="13"/>
        </w:rPr>
        <w:t xml:space="preserve"> </w:t>
      </w:r>
      <w:r>
        <w:rPr>
          <w:color w:val="231F20"/>
          <w:sz w:val="13"/>
        </w:rPr>
        <w:t>s</w:t>
      </w:r>
      <w:r>
        <w:rPr>
          <w:color w:val="231F20"/>
          <w:spacing w:val="2"/>
          <w:sz w:val="13"/>
        </w:rPr>
        <w:t xml:space="preserve"> 21A:</w:t>
      </w:r>
      <w:r>
        <w:rPr>
          <w:color w:val="231F20"/>
          <w:spacing w:val="3"/>
          <w:sz w:val="13"/>
        </w:rPr>
        <w:t xml:space="preserve"> </w:t>
      </w:r>
      <w:r>
        <w:rPr>
          <w:color w:val="231F20"/>
          <w:sz w:val="13"/>
        </w:rPr>
        <w:t>see</w:t>
      </w:r>
      <w:r>
        <w:rPr>
          <w:color w:val="231F20"/>
          <w:spacing w:val="2"/>
          <w:sz w:val="13"/>
        </w:rPr>
        <w:t xml:space="preserve"> </w:t>
      </w:r>
      <w:r>
        <w:rPr>
          <w:color w:val="231F20"/>
          <w:sz w:val="13"/>
        </w:rPr>
        <w:t>generally</w:t>
      </w:r>
      <w:r>
        <w:rPr>
          <w:color w:val="231F20"/>
          <w:spacing w:val="2"/>
          <w:sz w:val="13"/>
        </w:rPr>
        <w:t xml:space="preserve"> </w:t>
      </w:r>
      <w:r>
        <w:rPr>
          <w:color w:val="231F20"/>
          <w:sz w:val="13"/>
        </w:rPr>
        <w:t>Chapter</w:t>
      </w:r>
      <w:r>
        <w:rPr>
          <w:color w:val="231F20"/>
          <w:spacing w:val="3"/>
          <w:sz w:val="13"/>
        </w:rPr>
        <w:t xml:space="preserve"> </w:t>
      </w:r>
      <w:r>
        <w:rPr>
          <w:color w:val="231F20"/>
          <w:sz w:val="13"/>
        </w:rPr>
        <w:t>7</w:t>
      </w:r>
      <w:r>
        <w:rPr>
          <w:color w:val="231F20"/>
          <w:spacing w:val="2"/>
          <w:sz w:val="13"/>
        </w:rPr>
        <w:t xml:space="preserve"> </w:t>
      </w:r>
      <w:r>
        <w:rPr>
          <w:color w:val="231F20"/>
          <w:sz w:val="13"/>
        </w:rPr>
        <w:t>of</w:t>
      </w:r>
      <w:r>
        <w:rPr>
          <w:color w:val="231F20"/>
          <w:spacing w:val="2"/>
          <w:sz w:val="13"/>
        </w:rPr>
        <w:t xml:space="preserve"> </w:t>
      </w:r>
      <w:r>
        <w:rPr>
          <w:color w:val="231F20"/>
          <w:sz w:val="13"/>
        </w:rPr>
        <w:t>this</w:t>
      </w:r>
      <w:r>
        <w:rPr>
          <w:color w:val="231F20"/>
          <w:spacing w:val="3"/>
          <w:sz w:val="13"/>
        </w:rPr>
        <w:t xml:space="preserve"> </w:t>
      </w:r>
      <w:r>
        <w:rPr>
          <w:color w:val="231F20"/>
          <w:spacing w:val="2"/>
          <w:sz w:val="13"/>
        </w:rPr>
        <w:t xml:space="preserve">report. </w:t>
      </w:r>
      <w:r>
        <w:rPr>
          <w:color w:val="231F20"/>
          <w:sz w:val="13"/>
        </w:rPr>
        <w:t>See</w:t>
      </w:r>
      <w:r>
        <w:rPr>
          <w:color w:val="231F20"/>
          <w:spacing w:val="2"/>
          <w:sz w:val="13"/>
        </w:rPr>
        <w:t xml:space="preserve"> also</w:t>
      </w:r>
      <w:r>
        <w:rPr>
          <w:color w:val="231F20"/>
          <w:spacing w:val="3"/>
          <w:sz w:val="13"/>
        </w:rPr>
        <w:t xml:space="preserve"> </w:t>
      </w:r>
      <w:r>
        <w:rPr>
          <w:i/>
          <w:color w:val="231F20"/>
          <w:sz w:val="13"/>
        </w:rPr>
        <w:t>Personal</w:t>
      </w:r>
      <w:r>
        <w:rPr>
          <w:i/>
          <w:color w:val="231F20"/>
          <w:spacing w:val="2"/>
          <w:sz w:val="13"/>
        </w:rPr>
        <w:t xml:space="preserve"> </w:t>
      </w:r>
      <w:r>
        <w:rPr>
          <w:i/>
          <w:color w:val="231F20"/>
          <w:sz w:val="13"/>
        </w:rPr>
        <w:t>Safety</w:t>
      </w:r>
      <w:r>
        <w:rPr>
          <w:i/>
          <w:color w:val="231F20"/>
          <w:spacing w:val="2"/>
          <w:sz w:val="13"/>
        </w:rPr>
        <w:t xml:space="preserve"> </w:t>
      </w:r>
      <w:r>
        <w:rPr>
          <w:i/>
          <w:color w:val="231F20"/>
          <w:sz w:val="13"/>
        </w:rPr>
        <w:t>Intervention</w:t>
      </w:r>
      <w:r>
        <w:rPr>
          <w:i/>
          <w:color w:val="231F20"/>
          <w:spacing w:val="3"/>
          <w:sz w:val="13"/>
        </w:rPr>
        <w:t xml:space="preserve"> </w:t>
      </w:r>
      <w:r>
        <w:rPr>
          <w:i/>
          <w:color w:val="231F20"/>
          <w:sz w:val="13"/>
        </w:rPr>
        <w:t>Orders</w:t>
      </w:r>
      <w:r>
        <w:rPr>
          <w:i/>
          <w:color w:val="231F20"/>
          <w:spacing w:val="2"/>
          <w:sz w:val="13"/>
        </w:rPr>
        <w:t xml:space="preserve"> </w:t>
      </w:r>
      <w:r>
        <w:rPr>
          <w:i/>
          <w:color w:val="231F20"/>
          <w:sz w:val="13"/>
        </w:rPr>
        <w:t>Act</w:t>
      </w:r>
      <w:r>
        <w:rPr>
          <w:i/>
          <w:color w:val="231F20"/>
          <w:spacing w:val="2"/>
          <w:sz w:val="13"/>
        </w:rPr>
        <w:t xml:space="preserve"> </w:t>
      </w:r>
      <w:r>
        <w:rPr>
          <w:i/>
          <w:color w:val="231F20"/>
          <w:sz w:val="13"/>
        </w:rPr>
        <w:t>2010</w:t>
      </w:r>
      <w:r>
        <w:rPr>
          <w:i/>
          <w:color w:val="231F20"/>
          <w:spacing w:val="3"/>
          <w:sz w:val="13"/>
        </w:rPr>
        <w:t xml:space="preserve"> </w:t>
      </w:r>
      <w:r>
        <w:rPr>
          <w:color w:val="231F20"/>
          <w:sz w:val="13"/>
        </w:rPr>
        <w:t>(Vic)</w:t>
      </w:r>
      <w:r>
        <w:rPr>
          <w:color w:val="231F20"/>
          <w:spacing w:val="2"/>
          <w:sz w:val="13"/>
        </w:rPr>
        <w:t xml:space="preserve"> </w:t>
      </w:r>
      <w:r>
        <w:rPr>
          <w:color w:val="231F20"/>
          <w:sz w:val="13"/>
        </w:rPr>
        <w:t>s</w:t>
      </w:r>
      <w:r>
        <w:rPr>
          <w:color w:val="231F20"/>
          <w:spacing w:val="2"/>
          <w:sz w:val="13"/>
        </w:rPr>
        <w:t xml:space="preserve"> </w:t>
      </w:r>
      <w:r>
        <w:rPr>
          <w:color w:val="231F20"/>
          <w:sz w:val="13"/>
        </w:rPr>
        <w:t>10.</w:t>
      </w:r>
    </w:p>
    <w:p w14:paraId="2D97995F" w14:textId="77777777" w:rsidR="00894070" w:rsidRDefault="009B7AFD">
      <w:pPr>
        <w:pStyle w:val="ListParagraph"/>
        <w:numPr>
          <w:ilvl w:val="0"/>
          <w:numId w:val="172"/>
        </w:numPr>
        <w:tabs>
          <w:tab w:val="left" w:pos="1800"/>
          <w:tab w:val="left" w:pos="1802"/>
        </w:tabs>
        <w:spacing w:line="160" w:lineRule="exact"/>
        <w:rPr>
          <w:sz w:val="13"/>
        </w:rPr>
      </w:pPr>
      <w:r>
        <w:rPr>
          <w:color w:val="231F20"/>
          <w:sz w:val="13"/>
        </w:rPr>
        <w:t>See the discussion in Chapter 7 of this</w:t>
      </w:r>
      <w:r>
        <w:rPr>
          <w:color w:val="231F20"/>
          <w:spacing w:val="2"/>
          <w:sz w:val="13"/>
        </w:rPr>
        <w:t xml:space="preserve"> report.</w:t>
      </w:r>
    </w:p>
    <w:p w14:paraId="2BE3A6A2" w14:textId="77777777" w:rsidR="00894070" w:rsidRDefault="009B7AFD">
      <w:pPr>
        <w:pStyle w:val="ListParagraph"/>
        <w:numPr>
          <w:ilvl w:val="0"/>
          <w:numId w:val="172"/>
        </w:numPr>
        <w:tabs>
          <w:tab w:val="left" w:pos="1801"/>
          <w:tab w:val="left" w:pos="1802"/>
        </w:tabs>
        <w:spacing w:before="6" w:line="213" w:lineRule="auto"/>
        <w:ind w:right="1234"/>
        <w:rPr>
          <w:sz w:val="13"/>
        </w:rPr>
      </w:pPr>
      <w:r>
        <w:rPr>
          <w:i/>
          <w:color w:val="231F20"/>
          <w:sz w:val="13"/>
        </w:rPr>
        <w:t xml:space="preserve">Crimes Act 1958 </w:t>
      </w:r>
      <w:r>
        <w:rPr>
          <w:color w:val="231F20"/>
          <w:sz w:val="13"/>
        </w:rPr>
        <w:t xml:space="preserve">(Vic) s </w:t>
      </w:r>
      <w:r>
        <w:rPr>
          <w:color w:val="231F20"/>
          <w:spacing w:val="3"/>
          <w:sz w:val="13"/>
        </w:rPr>
        <w:t xml:space="preserve">21A. </w:t>
      </w:r>
      <w:r>
        <w:rPr>
          <w:color w:val="231F20"/>
          <w:sz w:val="13"/>
        </w:rPr>
        <w:t xml:space="preserve">See </w:t>
      </w:r>
      <w:r>
        <w:rPr>
          <w:color w:val="231F20"/>
          <w:spacing w:val="2"/>
          <w:sz w:val="13"/>
        </w:rPr>
        <w:t xml:space="preserve">also </w:t>
      </w:r>
      <w:r>
        <w:rPr>
          <w:color w:val="231F20"/>
          <w:sz w:val="13"/>
        </w:rPr>
        <w:t xml:space="preserve">the examples of </w:t>
      </w:r>
      <w:r>
        <w:rPr>
          <w:color w:val="231F20"/>
          <w:spacing w:val="2"/>
          <w:sz w:val="13"/>
        </w:rPr>
        <w:t xml:space="preserve">stalking </w:t>
      </w:r>
      <w:proofErr w:type="spellStart"/>
      <w:r>
        <w:rPr>
          <w:color w:val="231F20"/>
          <w:sz w:val="13"/>
        </w:rPr>
        <w:t>behaviour</w:t>
      </w:r>
      <w:proofErr w:type="spellEnd"/>
      <w:r>
        <w:rPr>
          <w:color w:val="231F20"/>
          <w:sz w:val="13"/>
        </w:rPr>
        <w:t xml:space="preserve"> used in the Personal Safety Survey: Australian Bureau       of </w:t>
      </w:r>
      <w:r>
        <w:rPr>
          <w:color w:val="231F20"/>
          <w:spacing w:val="2"/>
          <w:sz w:val="13"/>
        </w:rPr>
        <w:t xml:space="preserve">Statistics, </w:t>
      </w:r>
      <w:r>
        <w:rPr>
          <w:i/>
          <w:color w:val="231F20"/>
          <w:sz w:val="13"/>
        </w:rPr>
        <w:t xml:space="preserve">Personal Safety, Australia, 2016 </w:t>
      </w:r>
      <w:r>
        <w:rPr>
          <w:color w:val="231F20"/>
          <w:sz w:val="13"/>
        </w:rPr>
        <w:t>(Web Page, 11 August 2017</w:t>
      </w:r>
      <w:hyperlink r:id="rId32">
        <w:r>
          <w:rPr>
            <w:color w:val="231F20"/>
            <w:sz w:val="13"/>
          </w:rPr>
          <w:t>) &lt;https://www.abs.gov.au/statistics/people/crime-and-</w:t>
        </w:r>
      </w:hyperlink>
      <w:hyperlink r:id="rId33">
        <w:r>
          <w:rPr>
            <w:color w:val="231F20"/>
            <w:sz w:val="13"/>
          </w:rPr>
          <w:t xml:space="preserve"> justice/personal-safety-</w:t>
        </w:r>
        <w:proofErr w:type="spellStart"/>
        <w:r>
          <w:rPr>
            <w:color w:val="231F20"/>
            <w:sz w:val="13"/>
          </w:rPr>
          <w:t>australia</w:t>
        </w:r>
        <w:proofErr w:type="spellEnd"/>
        <w:r>
          <w:rPr>
            <w:color w:val="231F20"/>
            <w:sz w:val="13"/>
          </w:rPr>
          <w:t>/latest-release</w:t>
        </w:r>
      </w:hyperlink>
      <w:r>
        <w:rPr>
          <w:color w:val="231F20"/>
          <w:sz w:val="13"/>
        </w:rPr>
        <w:t>&gt;.</w:t>
      </w:r>
    </w:p>
    <w:p w14:paraId="577C5583" w14:textId="77777777" w:rsidR="00894070" w:rsidRDefault="009F6793">
      <w:pPr>
        <w:pStyle w:val="ListParagraph"/>
        <w:numPr>
          <w:ilvl w:val="0"/>
          <w:numId w:val="172"/>
        </w:numPr>
        <w:tabs>
          <w:tab w:val="left" w:pos="1800"/>
          <w:tab w:val="left" w:pos="1802"/>
        </w:tabs>
        <w:spacing w:line="213" w:lineRule="auto"/>
        <w:ind w:right="1441"/>
        <w:rPr>
          <w:sz w:val="13"/>
        </w:rPr>
      </w:pPr>
      <w:r>
        <w:pict w14:anchorId="34D4BD02">
          <v:shape id="_x0000_s1677" type="#_x0000_t202" style="position:absolute;left:0;text-align:left;margin-left:36pt;margin-top:3.4pt;width:12.75pt;height:14.1pt;z-index:251491328;mso-position-horizontal-relative:page" filled="f" stroked="f">
            <v:textbox inset="0,0,0,0">
              <w:txbxContent>
                <w:p w14:paraId="4B625089" w14:textId="77777777" w:rsidR="00894070" w:rsidRDefault="009B7AFD">
                  <w:pPr>
                    <w:spacing w:line="282" w:lineRule="exact"/>
                    <w:rPr>
                      <w:b/>
                      <w:sz w:val="24"/>
                    </w:rPr>
                  </w:pPr>
                  <w:r>
                    <w:rPr>
                      <w:b/>
                      <w:color w:val="EA5B50"/>
                      <w:sz w:val="24"/>
                    </w:rPr>
                    <w:t>12</w:t>
                  </w:r>
                </w:p>
              </w:txbxContent>
            </v:textbox>
            <w10:wrap anchorx="page"/>
          </v:shape>
        </w:pict>
      </w:r>
      <w:r w:rsidR="009B7AFD">
        <w:rPr>
          <w:color w:val="231F20"/>
          <w:spacing w:val="-3"/>
          <w:sz w:val="13"/>
        </w:rPr>
        <w:t xml:space="preserve">Troy </w:t>
      </w:r>
      <w:r w:rsidR="009B7AFD">
        <w:rPr>
          <w:color w:val="231F20"/>
          <w:sz w:val="13"/>
        </w:rPr>
        <w:t xml:space="preserve">McEwan, Paul E </w:t>
      </w:r>
      <w:proofErr w:type="gramStart"/>
      <w:r w:rsidR="009B7AFD">
        <w:rPr>
          <w:color w:val="231F20"/>
          <w:sz w:val="13"/>
        </w:rPr>
        <w:t>Mullen</w:t>
      </w:r>
      <w:proofErr w:type="gramEnd"/>
      <w:r w:rsidR="009B7AFD">
        <w:rPr>
          <w:color w:val="231F20"/>
          <w:sz w:val="13"/>
        </w:rPr>
        <w:t xml:space="preserve"> and </w:t>
      </w:r>
      <w:r w:rsidR="009B7AFD">
        <w:rPr>
          <w:color w:val="231F20"/>
          <w:spacing w:val="2"/>
          <w:sz w:val="13"/>
        </w:rPr>
        <w:t xml:space="preserve">Rosemary </w:t>
      </w:r>
      <w:r w:rsidR="009B7AFD">
        <w:rPr>
          <w:color w:val="231F20"/>
          <w:sz w:val="13"/>
        </w:rPr>
        <w:t xml:space="preserve">Purcell, </w:t>
      </w:r>
      <w:r w:rsidR="009B7AFD">
        <w:rPr>
          <w:color w:val="231F20"/>
          <w:spacing w:val="2"/>
          <w:sz w:val="13"/>
        </w:rPr>
        <w:t xml:space="preserve">‘Identifying </w:t>
      </w:r>
      <w:r w:rsidR="009B7AFD">
        <w:rPr>
          <w:color w:val="231F20"/>
          <w:sz w:val="13"/>
        </w:rPr>
        <w:t xml:space="preserve">Risk Factors in Stalking: A Review of Current Research’ (2007) </w:t>
      </w:r>
      <w:r w:rsidR="009B7AFD">
        <w:rPr>
          <w:color w:val="231F20"/>
          <w:spacing w:val="2"/>
          <w:sz w:val="13"/>
        </w:rPr>
        <w:t xml:space="preserve">30(1) </w:t>
      </w:r>
      <w:r w:rsidR="009B7AFD">
        <w:rPr>
          <w:i/>
          <w:color w:val="231F20"/>
          <w:sz w:val="13"/>
        </w:rPr>
        <w:t xml:space="preserve">International Journal of Law and Psychiatry </w:t>
      </w:r>
      <w:r w:rsidR="009B7AFD">
        <w:rPr>
          <w:color w:val="231F20"/>
          <w:sz w:val="13"/>
        </w:rPr>
        <w:t>1, 2.</w:t>
      </w:r>
    </w:p>
    <w:p w14:paraId="57E9796D" w14:textId="77777777" w:rsidR="00894070" w:rsidRDefault="00894070">
      <w:pPr>
        <w:spacing w:line="213" w:lineRule="auto"/>
        <w:rPr>
          <w:sz w:val="13"/>
        </w:rPr>
        <w:sectPr w:rsidR="00894070">
          <w:pgSz w:w="11910" w:h="16840"/>
          <w:pgMar w:top="860" w:right="420" w:bottom="280" w:left="580" w:header="567" w:footer="0" w:gutter="0"/>
          <w:cols w:space="720"/>
        </w:sectPr>
      </w:pPr>
    </w:p>
    <w:p w14:paraId="32E42796" w14:textId="77777777" w:rsidR="00894070" w:rsidRDefault="00894070">
      <w:pPr>
        <w:pStyle w:val="BodyText"/>
      </w:pPr>
    </w:p>
    <w:p w14:paraId="75CF68ED" w14:textId="77777777" w:rsidR="00894070" w:rsidRDefault="00894070">
      <w:pPr>
        <w:pStyle w:val="BodyText"/>
      </w:pPr>
    </w:p>
    <w:p w14:paraId="30F93838" w14:textId="77777777" w:rsidR="00894070" w:rsidRDefault="00894070">
      <w:pPr>
        <w:pStyle w:val="BodyText"/>
      </w:pPr>
    </w:p>
    <w:p w14:paraId="63EE9A60" w14:textId="77777777" w:rsidR="00894070" w:rsidRDefault="00894070">
      <w:pPr>
        <w:pStyle w:val="BodyText"/>
        <w:spacing w:before="6"/>
        <w:rPr>
          <w:sz w:val="14"/>
        </w:rPr>
      </w:pPr>
    </w:p>
    <w:p w14:paraId="53A55381" w14:textId="77777777" w:rsidR="00894070" w:rsidRDefault="009B7AFD">
      <w:pPr>
        <w:pStyle w:val="ListParagraph"/>
        <w:numPr>
          <w:ilvl w:val="1"/>
          <w:numId w:val="177"/>
        </w:numPr>
        <w:tabs>
          <w:tab w:val="left" w:pos="1801"/>
          <w:tab w:val="left" w:pos="1802"/>
        </w:tabs>
        <w:spacing w:before="90" w:line="206" w:lineRule="auto"/>
        <w:ind w:right="1244"/>
        <w:rPr>
          <w:sz w:val="11"/>
        </w:rPr>
      </w:pPr>
      <w:r>
        <w:rPr>
          <w:color w:val="231F20"/>
          <w:sz w:val="20"/>
        </w:rPr>
        <w:t xml:space="preserve">Sometimes stalking is limited to actions that in other contexts </w:t>
      </w:r>
      <w:r>
        <w:rPr>
          <w:color w:val="231F20"/>
          <w:spacing w:val="-3"/>
          <w:sz w:val="20"/>
        </w:rPr>
        <w:t xml:space="preserve">would </w:t>
      </w:r>
      <w:r>
        <w:rPr>
          <w:color w:val="231F20"/>
          <w:sz w:val="20"/>
        </w:rPr>
        <w:t xml:space="preserve">be legal or </w:t>
      </w:r>
      <w:r>
        <w:rPr>
          <w:color w:val="231F20"/>
          <w:spacing w:val="-3"/>
          <w:sz w:val="20"/>
        </w:rPr>
        <w:t xml:space="preserve">even welcome. For example, </w:t>
      </w:r>
      <w:r>
        <w:rPr>
          <w:color w:val="231F20"/>
          <w:sz w:val="20"/>
        </w:rPr>
        <w:t xml:space="preserve">if someone </w:t>
      </w:r>
      <w:r>
        <w:rPr>
          <w:color w:val="231F20"/>
          <w:spacing w:val="-3"/>
          <w:sz w:val="20"/>
        </w:rPr>
        <w:t xml:space="preserve">repeatedly gives </w:t>
      </w:r>
      <w:r>
        <w:rPr>
          <w:color w:val="231F20"/>
          <w:sz w:val="20"/>
        </w:rPr>
        <w:t xml:space="preserve">another person </w:t>
      </w:r>
      <w:r>
        <w:rPr>
          <w:color w:val="231F20"/>
          <w:spacing w:val="-3"/>
          <w:sz w:val="20"/>
        </w:rPr>
        <w:t xml:space="preserve">unwanted </w:t>
      </w:r>
      <w:r>
        <w:rPr>
          <w:color w:val="231F20"/>
          <w:sz w:val="20"/>
        </w:rPr>
        <w:t>gifts and will not stop when asked, this could be stalking.</w:t>
      </w:r>
      <w:r>
        <w:rPr>
          <w:color w:val="231F20"/>
          <w:position w:val="7"/>
          <w:sz w:val="11"/>
        </w:rPr>
        <w:t xml:space="preserve">5 </w:t>
      </w:r>
      <w:r>
        <w:rPr>
          <w:color w:val="231F20"/>
          <w:sz w:val="20"/>
        </w:rPr>
        <w:t xml:space="preserve">It is </w:t>
      </w:r>
      <w:r>
        <w:rPr>
          <w:color w:val="231F20"/>
          <w:spacing w:val="-3"/>
          <w:sz w:val="20"/>
        </w:rPr>
        <w:t xml:space="preserve">intrusive </w:t>
      </w:r>
      <w:r>
        <w:rPr>
          <w:color w:val="231F20"/>
          <w:sz w:val="20"/>
        </w:rPr>
        <w:t>and disrespects the wishes</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7"/>
          <w:sz w:val="20"/>
        </w:rPr>
        <w:t xml:space="preserve"> </w:t>
      </w:r>
      <w:r>
        <w:rPr>
          <w:color w:val="231F20"/>
          <w:sz w:val="20"/>
        </w:rPr>
        <w:t>person</w:t>
      </w:r>
      <w:r>
        <w:rPr>
          <w:color w:val="231F20"/>
          <w:spacing w:val="-8"/>
          <w:sz w:val="20"/>
        </w:rPr>
        <w:t xml:space="preserve"> </w:t>
      </w:r>
      <w:r>
        <w:rPr>
          <w:color w:val="231F20"/>
          <w:sz w:val="20"/>
        </w:rPr>
        <w:t>targeted.</w:t>
      </w:r>
      <w:r>
        <w:rPr>
          <w:color w:val="231F20"/>
          <w:spacing w:val="-7"/>
          <w:sz w:val="20"/>
        </w:rPr>
        <w:t xml:space="preserve"> </w:t>
      </w:r>
      <w:r>
        <w:rPr>
          <w:color w:val="231F20"/>
          <w:sz w:val="20"/>
        </w:rPr>
        <w:t>It</w:t>
      </w:r>
      <w:r>
        <w:rPr>
          <w:color w:val="231F20"/>
          <w:spacing w:val="-8"/>
          <w:sz w:val="20"/>
        </w:rPr>
        <w:t xml:space="preserve"> </w:t>
      </w:r>
      <w:r>
        <w:rPr>
          <w:color w:val="231F20"/>
          <w:sz w:val="20"/>
        </w:rPr>
        <w:t>deprives</w:t>
      </w:r>
      <w:r>
        <w:rPr>
          <w:color w:val="231F20"/>
          <w:spacing w:val="-7"/>
          <w:sz w:val="20"/>
        </w:rPr>
        <w:t xml:space="preserve"> </w:t>
      </w:r>
      <w:r>
        <w:rPr>
          <w:color w:val="231F20"/>
          <w:sz w:val="20"/>
        </w:rPr>
        <w:t>them</w:t>
      </w:r>
      <w:r>
        <w:rPr>
          <w:color w:val="231F20"/>
          <w:spacing w:val="-8"/>
          <w:sz w:val="20"/>
        </w:rPr>
        <w:t xml:space="preserve"> </w:t>
      </w:r>
      <w:r>
        <w:rPr>
          <w:color w:val="231F20"/>
          <w:sz w:val="20"/>
        </w:rPr>
        <w:t>of</w:t>
      </w:r>
      <w:r>
        <w:rPr>
          <w:color w:val="231F20"/>
          <w:spacing w:val="-7"/>
          <w:sz w:val="20"/>
        </w:rPr>
        <w:t xml:space="preserve"> </w:t>
      </w:r>
      <w:r>
        <w:rPr>
          <w:color w:val="231F20"/>
          <w:spacing w:val="-3"/>
          <w:sz w:val="20"/>
        </w:rPr>
        <w:t>power</w:t>
      </w:r>
      <w:r>
        <w:rPr>
          <w:color w:val="231F20"/>
          <w:spacing w:val="-8"/>
          <w:sz w:val="20"/>
        </w:rPr>
        <w:t xml:space="preserve"> </w:t>
      </w:r>
      <w:r>
        <w:rPr>
          <w:color w:val="231F20"/>
          <w:spacing w:val="-4"/>
          <w:sz w:val="20"/>
        </w:rPr>
        <w:t>over</w:t>
      </w:r>
      <w:r>
        <w:rPr>
          <w:color w:val="231F20"/>
          <w:spacing w:val="-8"/>
          <w:sz w:val="20"/>
        </w:rPr>
        <w:t xml:space="preserve"> </w:t>
      </w:r>
      <w:r>
        <w:rPr>
          <w:color w:val="231F20"/>
          <w:sz w:val="20"/>
        </w:rPr>
        <w:t>their</w:t>
      </w:r>
      <w:r>
        <w:rPr>
          <w:color w:val="231F20"/>
          <w:spacing w:val="-7"/>
          <w:sz w:val="20"/>
        </w:rPr>
        <w:t xml:space="preserve"> </w:t>
      </w:r>
      <w:r>
        <w:rPr>
          <w:color w:val="231F20"/>
          <w:spacing w:val="-3"/>
          <w:sz w:val="20"/>
        </w:rPr>
        <w:t>own</w:t>
      </w:r>
      <w:r>
        <w:rPr>
          <w:color w:val="231F20"/>
          <w:spacing w:val="-8"/>
          <w:sz w:val="20"/>
        </w:rPr>
        <w:t xml:space="preserve"> </w:t>
      </w:r>
      <w:r>
        <w:rPr>
          <w:color w:val="231F20"/>
          <w:spacing w:val="-3"/>
          <w:sz w:val="20"/>
        </w:rPr>
        <w:t>life,</w:t>
      </w:r>
      <w:r>
        <w:rPr>
          <w:color w:val="231F20"/>
          <w:spacing w:val="-7"/>
          <w:sz w:val="20"/>
        </w:rPr>
        <w:t xml:space="preserve"> </w:t>
      </w:r>
      <w:r>
        <w:rPr>
          <w:color w:val="231F20"/>
          <w:spacing w:val="-3"/>
          <w:sz w:val="20"/>
        </w:rPr>
        <w:t xml:space="preserve">potentially </w:t>
      </w:r>
      <w:r>
        <w:rPr>
          <w:color w:val="231F20"/>
          <w:sz w:val="20"/>
        </w:rPr>
        <w:t>causing distress and</w:t>
      </w:r>
      <w:r>
        <w:rPr>
          <w:color w:val="231F20"/>
          <w:spacing w:val="-14"/>
          <w:sz w:val="20"/>
        </w:rPr>
        <w:t xml:space="preserve"> </w:t>
      </w:r>
      <w:r>
        <w:rPr>
          <w:color w:val="231F20"/>
          <w:spacing w:val="-4"/>
          <w:sz w:val="20"/>
        </w:rPr>
        <w:t>fear.</w:t>
      </w:r>
      <w:r>
        <w:rPr>
          <w:color w:val="231F20"/>
          <w:spacing w:val="-4"/>
          <w:position w:val="7"/>
          <w:sz w:val="11"/>
        </w:rPr>
        <w:t>6</w:t>
      </w:r>
    </w:p>
    <w:p w14:paraId="088154A8" w14:textId="77777777" w:rsidR="00894070" w:rsidRDefault="009B7AFD">
      <w:pPr>
        <w:pStyle w:val="ListParagraph"/>
        <w:numPr>
          <w:ilvl w:val="1"/>
          <w:numId w:val="177"/>
        </w:numPr>
        <w:tabs>
          <w:tab w:val="left" w:pos="1801"/>
          <w:tab w:val="left" w:pos="1802"/>
        </w:tabs>
        <w:spacing w:before="126" w:line="206" w:lineRule="auto"/>
        <w:ind w:right="1168"/>
        <w:jc w:val="both"/>
        <w:rPr>
          <w:sz w:val="20"/>
        </w:rPr>
      </w:pPr>
      <w:proofErr w:type="gramStart"/>
      <w:r>
        <w:rPr>
          <w:color w:val="231F20"/>
          <w:spacing w:val="-3"/>
          <w:sz w:val="20"/>
        </w:rPr>
        <w:t>Usually</w:t>
      </w:r>
      <w:proofErr w:type="gramEnd"/>
      <w:r>
        <w:rPr>
          <w:color w:val="231F20"/>
          <w:spacing w:val="-7"/>
          <w:sz w:val="20"/>
        </w:rPr>
        <w:t xml:space="preserve"> </w:t>
      </w:r>
      <w:r>
        <w:rPr>
          <w:color w:val="231F20"/>
          <w:sz w:val="20"/>
        </w:rPr>
        <w:t>people</w:t>
      </w:r>
      <w:r>
        <w:rPr>
          <w:color w:val="231F20"/>
          <w:spacing w:val="-6"/>
          <w:sz w:val="20"/>
        </w:rPr>
        <w:t xml:space="preserve"> </w:t>
      </w:r>
      <w:r>
        <w:rPr>
          <w:color w:val="231F20"/>
          <w:spacing w:val="-3"/>
          <w:sz w:val="20"/>
        </w:rPr>
        <w:t>are</w:t>
      </w:r>
      <w:r>
        <w:rPr>
          <w:color w:val="231F20"/>
          <w:spacing w:val="-7"/>
          <w:sz w:val="20"/>
        </w:rPr>
        <w:t xml:space="preserve"> </w:t>
      </w:r>
      <w:r>
        <w:rPr>
          <w:color w:val="231F20"/>
          <w:sz w:val="20"/>
        </w:rPr>
        <w:t>stalked</w:t>
      </w:r>
      <w:r>
        <w:rPr>
          <w:color w:val="231F20"/>
          <w:spacing w:val="-6"/>
          <w:sz w:val="20"/>
        </w:rPr>
        <w:t xml:space="preserve"> </w:t>
      </w:r>
      <w:r>
        <w:rPr>
          <w:color w:val="231F20"/>
          <w:spacing w:val="-3"/>
          <w:sz w:val="20"/>
        </w:rPr>
        <w:t>by</w:t>
      </w:r>
      <w:r>
        <w:rPr>
          <w:color w:val="231F20"/>
          <w:spacing w:val="-6"/>
          <w:sz w:val="20"/>
        </w:rPr>
        <w:t xml:space="preserve"> </w:t>
      </w:r>
      <w:r>
        <w:rPr>
          <w:color w:val="231F20"/>
          <w:sz w:val="20"/>
        </w:rPr>
        <w:t>someone</w:t>
      </w:r>
      <w:r>
        <w:rPr>
          <w:color w:val="231F20"/>
          <w:spacing w:val="-7"/>
          <w:sz w:val="20"/>
        </w:rPr>
        <w:t xml:space="preserve"> </w:t>
      </w:r>
      <w:r>
        <w:rPr>
          <w:color w:val="231F20"/>
          <w:sz w:val="20"/>
        </w:rPr>
        <w:t>they</w:t>
      </w:r>
      <w:r>
        <w:rPr>
          <w:color w:val="231F20"/>
          <w:spacing w:val="-6"/>
          <w:sz w:val="20"/>
        </w:rPr>
        <w:t xml:space="preserve"> </w:t>
      </w:r>
      <w:r>
        <w:rPr>
          <w:color w:val="231F20"/>
          <w:spacing w:val="-5"/>
          <w:sz w:val="20"/>
        </w:rPr>
        <w:t>know,</w:t>
      </w:r>
      <w:r>
        <w:rPr>
          <w:color w:val="231F20"/>
          <w:spacing w:val="-6"/>
          <w:sz w:val="20"/>
        </w:rPr>
        <w:t xml:space="preserve"> </w:t>
      </w:r>
      <w:r>
        <w:rPr>
          <w:color w:val="231F20"/>
          <w:sz w:val="20"/>
        </w:rPr>
        <w:t>such</w:t>
      </w:r>
      <w:r>
        <w:rPr>
          <w:color w:val="231F20"/>
          <w:spacing w:val="-7"/>
          <w:sz w:val="20"/>
        </w:rPr>
        <w:t xml:space="preserve"> </w:t>
      </w:r>
      <w:r>
        <w:rPr>
          <w:color w:val="231F20"/>
          <w:sz w:val="20"/>
        </w:rPr>
        <w:t>as</w:t>
      </w:r>
      <w:r>
        <w:rPr>
          <w:color w:val="231F20"/>
          <w:spacing w:val="-6"/>
          <w:sz w:val="20"/>
        </w:rPr>
        <w:t xml:space="preserve"> </w:t>
      </w:r>
      <w:r>
        <w:rPr>
          <w:color w:val="231F20"/>
          <w:sz w:val="20"/>
        </w:rPr>
        <w:t>a</w:t>
      </w:r>
      <w:r>
        <w:rPr>
          <w:color w:val="231F20"/>
          <w:spacing w:val="-6"/>
          <w:sz w:val="20"/>
        </w:rPr>
        <w:t xml:space="preserve"> </w:t>
      </w:r>
      <w:r>
        <w:rPr>
          <w:color w:val="231F20"/>
          <w:sz w:val="20"/>
        </w:rPr>
        <w:t>partner</w:t>
      </w:r>
      <w:r>
        <w:rPr>
          <w:color w:val="231F20"/>
          <w:spacing w:val="-7"/>
          <w:sz w:val="20"/>
        </w:rPr>
        <w:t xml:space="preserve"> </w:t>
      </w:r>
      <w:r>
        <w:rPr>
          <w:color w:val="231F20"/>
          <w:sz w:val="20"/>
        </w:rPr>
        <w:t>or</w:t>
      </w:r>
      <w:r>
        <w:rPr>
          <w:color w:val="231F20"/>
          <w:spacing w:val="-6"/>
          <w:sz w:val="20"/>
        </w:rPr>
        <w:t xml:space="preserve"> </w:t>
      </w:r>
      <w:r>
        <w:rPr>
          <w:color w:val="231F20"/>
          <w:sz w:val="20"/>
        </w:rPr>
        <w:t>former</w:t>
      </w:r>
      <w:r>
        <w:rPr>
          <w:color w:val="231F20"/>
          <w:spacing w:val="-6"/>
          <w:sz w:val="20"/>
        </w:rPr>
        <w:t xml:space="preserve"> </w:t>
      </w:r>
      <w:r>
        <w:rPr>
          <w:color w:val="231F20"/>
          <w:spacing w:val="-3"/>
          <w:sz w:val="20"/>
        </w:rPr>
        <w:t xml:space="preserve">partner, </w:t>
      </w:r>
      <w:r>
        <w:rPr>
          <w:color w:val="231F20"/>
          <w:sz w:val="20"/>
        </w:rPr>
        <w:t>someone</w:t>
      </w:r>
      <w:r>
        <w:rPr>
          <w:color w:val="231F20"/>
          <w:spacing w:val="-10"/>
          <w:sz w:val="20"/>
        </w:rPr>
        <w:t xml:space="preserve"> </w:t>
      </w:r>
      <w:r>
        <w:rPr>
          <w:color w:val="231F20"/>
          <w:sz w:val="20"/>
        </w:rPr>
        <w:t>they</w:t>
      </w:r>
      <w:r>
        <w:rPr>
          <w:color w:val="231F20"/>
          <w:spacing w:val="-9"/>
          <w:sz w:val="20"/>
        </w:rPr>
        <w:t xml:space="preserve"> </w:t>
      </w:r>
      <w:r>
        <w:rPr>
          <w:color w:val="231F20"/>
          <w:spacing w:val="-4"/>
          <w:sz w:val="20"/>
        </w:rPr>
        <w:t>have</w:t>
      </w:r>
      <w:r>
        <w:rPr>
          <w:color w:val="231F20"/>
          <w:spacing w:val="-9"/>
          <w:sz w:val="20"/>
        </w:rPr>
        <w:t xml:space="preserve"> </w:t>
      </w:r>
      <w:r>
        <w:rPr>
          <w:color w:val="231F20"/>
          <w:spacing w:val="-2"/>
          <w:sz w:val="20"/>
        </w:rPr>
        <w:t>dated,</w:t>
      </w:r>
      <w:r>
        <w:rPr>
          <w:color w:val="231F20"/>
          <w:spacing w:val="-9"/>
          <w:sz w:val="20"/>
        </w:rPr>
        <w:t xml:space="preserve"> </w:t>
      </w:r>
      <w:r>
        <w:rPr>
          <w:color w:val="231F20"/>
          <w:sz w:val="20"/>
        </w:rPr>
        <w:t>a</w:t>
      </w:r>
      <w:r>
        <w:rPr>
          <w:color w:val="231F20"/>
          <w:spacing w:val="-10"/>
          <w:sz w:val="20"/>
        </w:rPr>
        <w:t xml:space="preserve"> </w:t>
      </w:r>
      <w:r>
        <w:rPr>
          <w:color w:val="231F20"/>
          <w:sz w:val="20"/>
        </w:rPr>
        <w:t>colleague</w:t>
      </w:r>
      <w:r>
        <w:rPr>
          <w:color w:val="231F20"/>
          <w:spacing w:val="-9"/>
          <w:sz w:val="20"/>
        </w:rPr>
        <w:t xml:space="preserve"> </w:t>
      </w:r>
      <w:r>
        <w:rPr>
          <w:color w:val="231F20"/>
          <w:sz w:val="20"/>
        </w:rPr>
        <w:t>or</w:t>
      </w:r>
      <w:r>
        <w:rPr>
          <w:color w:val="231F20"/>
          <w:spacing w:val="-9"/>
          <w:sz w:val="20"/>
        </w:rPr>
        <w:t xml:space="preserve"> </w:t>
      </w:r>
      <w:r>
        <w:rPr>
          <w:color w:val="231F20"/>
          <w:sz w:val="20"/>
        </w:rPr>
        <w:t>an</w:t>
      </w:r>
      <w:r>
        <w:rPr>
          <w:color w:val="231F20"/>
          <w:spacing w:val="-9"/>
          <w:sz w:val="20"/>
        </w:rPr>
        <w:t xml:space="preserve"> </w:t>
      </w:r>
      <w:r>
        <w:rPr>
          <w:color w:val="231F20"/>
          <w:sz w:val="20"/>
        </w:rPr>
        <w:t>acquaintance.</w:t>
      </w:r>
      <w:r>
        <w:rPr>
          <w:color w:val="231F20"/>
          <w:spacing w:val="-9"/>
          <w:sz w:val="20"/>
        </w:rPr>
        <w:t xml:space="preserve"> </w:t>
      </w:r>
      <w:r>
        <w:rPr>
          <w:color w:val="231F20"/>
          <w:sz w:val="20"/>
        </w:rPr>
        <w:t>People</w:t>
      </w:r>
      <w:r>
        <w:rPr>
          <w:color w:val="231F20"/>
          <w:spacing w:val="-10"/>
          <w:sz w:val="20"/>
        </w:rPr>
        <w:t xml:space="preserve"> </w:t>
      </w:r>
      <w:r>
        <w:rPr>
          <w:color w:val="231F20"/>
          <w:spacing w:val="-3"/>
          <w:sz w:val="20"/>
        </w:rPr>
        <w:t>may</w:t>
      </w:r>
      <w:r>
        <w:rPr>
          <w:color w:val="231F20"/>
          <w:spacing w:val="-9"/>
          <w:sz w:val="20"/>
        </w:rPr>
        <w:t xml:space="preserve"> </w:t>
      </w:r>
      <w:r>
        <w:rPr>
          <w:color w:val="231F20"/>
          <w:sz w:val="20"/>
        </w:rPr>
        <w:t>also</w:t>
      </w:r>
      <w:r>
        <w:rPr>
          <w:color w:val="231F20"/>
          <w:spacing w:val="-9"/>
          <w:sz w:val="20"/>
        </w:rPr>
        <w:t xml:space="preserve"> </w:t>
      </w:r>
      <w:r>
        <w:rPr>
          <w:color w:val="231F20"/>
          <w:sz w:val="20"/>
        </w:rPr>
        <w:t>be</w:t>
      </w:r>
      <w:r>
        <w:rPr>
          <w:color w:val="231F20"/>
          <w:spacing w:val="-9"/>
          <w:sz w:val="20"/>
        </w:rPr>
        <w:t xml:space="preserve"> </w:t>
      </w:r>
      <w:r>
        <w:rPr>
          <w:color w:val="231F20"/>
          <w:sz w:val="20"/>
        </w:rPr>
        <w:t xml:space="preserve">stalked </w:t>
      </w:r>
      <w:r>
        <w:rPr>
          <w:color w:val="231F20"/>
          <w:spacing w:val="-3"/>
          <w:sz w:val="20"/>
        </w:rPr>
        <w:t>by</w:t>
      </w:r>
      <w:r>
        <w:rPr>
          <w:color w:val="231F20"/>
          <w:spacing w:val="-5"/>
          <w:sz w:val="20"/>
        </w:rPr>
        <w:t xml:space="preserve"> </w:t>
      </w:r>
      <w:r>
        <w:rPr>
          <w:color w:val="231F20"/>
          <w:sz w:val="20"/>
        </w:rPr>
        <w:t>strangers,</w:t>
      </w:r>
      <w:r>
        <w:rPr>
          <w:color w:val="231F20"/>
          <w:spacing w:val="-5"/>
          <w:sz w:val="20"/>
        </w:rPr>
        <w:t xml:space="preserve"> </w:t>
      </w:r>
      <w:r>
        <w:rPr>
          <w:color w:val="231F20"/>
          <w:sz w:val="20"/>
        </w:rPr>
        <w:t>but</w:t>
      </w:r>
      <w:r>
        <w:rPr>
          <w:color w:val="231F20"/>
          <w:spacing w:val="-4"/>
          <w:sz w:val="20"/>
        </w:rPr>
        <w:t xml:space="preserve"> </w:t>
      </w:r>
      <w:r>
        <w:rPr>
          <w:color w:val="231F20"/>
          <w:sz w:val="20"/>
        </w:rPr>
        <w:t>this</w:t>
      </w:r>
      <w:r>
        <w:rPr>
          <w:color w:val="231F20"/>
          <w:spacing w:val="-5"/>
          <w:sz w:val="20"/>
        </w:rPr>
        <w:t xml:space="preserve"> </w:t>
      </w:r>
      <w:r>
        <w:rPr>
          <w:color w:val="231F20"/>
          <w:sz w:val="20"/>
        </w:rPr>
        <w:t>is</w:t>
      </w:r>
      <w:r>
        <w:rPr>
          <w:color w:val="231F20"/>
          <w:spacing w:val="-5"/>
          <w:sz w:val="20"/>
        </w:rPr>
        <w:t xml:space="preserve"> </w:t>
      </w:r>
      <w:r>
        <w:rPr>
          <w:color w:val="231F20"/>
          <w:sz w:val="20"/>
        </w:rPr>
        <w:t>less</w:t>
      </w:r>
      <w:r>
        <w:rPr>
          <w:color w:val="231F20"/>
          <w:spacing w:val="-4"/>
          <w:sz w:val="20"/>
        </w:rPr>
        <w:t xml:space="preserve"> </w:t>
      </w:r>
      <w:r>
        <w:rPr>
          <w:color w:val="231F20"/>
          <w:sz w:val="20"/>
        </w:rPr>
        <w:t>common.</w:t>
      </w:r>
      <w:r>
        <w:rPr>
          <w:color w:val="231F20"/>
          <w:spacing w:val="-5"/>
          <w:sz w:val="20"/>
        </w:rPr>
        <w:t xml:space="preserve"> </w:t>
      </w:r>
      <w:r>
        <w:rPr>
          <w:color w:val="231F20"/>
          <w:spacing w:val="-6"/>
          <w:sz w:val="20"/>
        </w:rPr>
        <w:t>We</w:t>
      </w:r>
      <w:r>
        <w:rPr>
          <w:color w:val="231F20"/>
          <w:spacing w:val="-5"/>
          <w:sz w:val="20"/>
        </w:rPr>
        <w:t xml:space="preserve"> </w:t>
      </w:r>
      <w:r>
        <w:rPr>
          <w:color w:val="231F20"/>
          <w:sz w:val="20"/>
        </w:rPr>
        <w:t>discuss</w:t>
      </w:r>
      <w:r>
        <w:rPr>
          <w:color w:val="231F20"/>
          <w:spacing w:val="-4"/>
          <w:sz w:val="20"/>
        </w:rPr>
        <w:t xml:space="preserve"> </w:t>
      </w:r>
      <w:r>
        <w:rPr>
          <w:color w:val="231F20"/>
          <w:sz w:val="20"/>
        </w:rPr>
        <w:t>this</w:t>
      </w:r>
      <w:r>
        <w:rPr>
          <w:color w:val="231F20"/>
          <w:spacing w:val="-5"/>
          <w:sz w:val="20"/>
        </w:rPr>
        <w:t xml:space="preserve"> </w:t>
      </w:r>
      <w:r>
        <w:rPr>
          <w:color w:val="231F20"/>
          <w:sz w:val="20"/>
        </w:rPr>
        <w:t>further</w:t>
      </w:r>
      <w:r>
        <w:rPr>
          <w:color w:val="231F20"/>
          <w:spacing w:val="-5"/>
          <w:sz w:val="20"/>
        </w:rPr>
        <w:t xml:space="preserve"> below.</w:t>
      </w:r>
    </w:p>
    <w:p w14:paraId="64996DDF" w14:textId="77777777" w:rsidR="00894070" w:rsidRDefault="009B7AFD">
      <w:pPr>
        <w:pStyle w:val="ListParagraph"/>
        <w:numPr>
          <w:ilvl w:val="1"/>
          <w:numId w:val="177"/>
        </w:numPr>
        <w:tabs>
          <w:tab w:val="left" w:pos="1801"/>
          <w:tab w:val="left" w:pos="1802"/>
        </w:tabs>
        <w:spacing w:before="92" w:line="259" w:lineRule="exact"/>
        <w:rPr>
          <w:sz w:val="20"/>
        </w:rPr>
      </w:pPr>
      <w:r>
        <w:rPr>
          <w:color w:val="231F20"/>
          <w:sz w:val="20"/>
        </w:rPr>
        <w:t>The</w:t>
      </w:r>
      <w:r>
        <w:rPr>
          <w:color w:val="231F20"/>
          <w:spacing w:val="-6"/>
          <w:sz w:val="20"/>
        </w:rPr>
        <w:t xml:space="preserve"> </w:t>
      </w:r>
      <w:r>
        <w:rPr>
          <w:color w:val="231F20"/>
          <w:sz w:val="20"/>
        </w:rPr>
        <w:t>justice</w:t>
      </w:r>
      <w:r>
        <w:rPr>
          <w:color w:val="231F20"/>
          <w:spacing w:val="-6"/>
          <w:sz w:val="20"/>
        </w:rPr>
        <w:t xml:space="preserve"> </w:t>
      </w:r>
      <w:r>
        <w:rPr>
          <w:color w:val="231F20"/>
          <w:sz w:val="20"/>
        </w:rPr>
        <w:t>response</w:t>
      </w:r>
      <w:r>
        <w:rPr>
          <w:color w:val="231F20"/>
          <w:spacing w:val="-6"/>
          <w:sz w:val="20"/>
        </w:rPr>
        <w:t xml:space="preserve"> </w:t>
      </w:r>
      <w:r>
        <w:rPr>
          <w:color w:val="231F20"/>
          <w:sz w:val="20"/>
        </w:rPr>
        <w:t>to</w:t>
      </w:r>
      <w:r>
        <w:rPr>
          <w:color w:val="231F20"/>
          <w:spacing w:val="-6"/>
          <w:sz w:val="20"/>
        </w:rPr>
        <w:t xml:space="preserve"> </w:t>
      </w:r>
      <w:r>
        <w:rPr>
          <w:color w:val="231F20"/>
          <w:sz w:val="20"/>
        </w:rPr>
        <w:t>stalking</w:t>
      </w:r>
      <w:r>
        <w:rPr>
          <w:color w:val="231F20"/>
          <w:spacing w:val="-5"/>
          <w:sz w:val="20"/>
        </w:rPr>
        <w:t xml:space="preserve"> </w:t>
      </w:r>
      <w:r>
        <w:rPr>
          <w:color w:val="231F20"/>
          <w:sz w:val="20"/>
        </w:rPr>
        <w:t>includes</w:t>
      </w:r>
      <w:r>
        <w:rPr>
          <w:color w:val="231F20"/>
          <w:spacing w:val="-6"/>
          <w:sz w:val="20"/>
        </w:rPr>
        <w:t xml:space="preserve"> </w:t>
      </w:r>
      <w:r>
        <w:rPr>
          <w:color w:val="231F20"/>
          <w:sz w:val="20"/>
        </w:rPr>
        <w:t>both</w:t>
      </w:r>
      <w:r>
        <w:rPr>
          <w:color w:val="231F20"/>
          <w:spacing w:val="-6"/>
          <w:sz w:val="20"/>
        </w:rPr>
        <w:t xml:space="preserve"> </w:t>
      </w:r>
      <w:r>
        <w:rPr>
          <w:color w:val="231F20"/>
          <w:sz w:val="20"/>
        </w:rPr>
        <w:t>criminal</w:t>
      </w:r>
      <w:r>
        <w:rPr>
          <w:color w:val="231F20"/>
          <w:spacing w:val="-6"/>
          <w:sz w:val="20"/>
        </w:rPr>
        <w:t xml:space="preserve"> </w:t>
      </w:r>
      <w:r>
        <w:rPr>
          <w:color w:val="231F20"/>
          <w:sz w:val="20"/>
        </w:rPr>
        <w:t>and</w:t>
      </w:r>
      <w:r>
        <w:rPr>
          <w:color w:val="231F20"/>
          <w:spacing w:val="-5"/>
          <w:sz w:val="20"/>
        </w:rPr>
        <w:t xml:space="preserve"> </w:t>
      </w:r>
      <w:r>
        <w:rPr>
          <w:color w:val="231F20"/>
          <w:sz w:val="20"/>
        </w:rPr>
        <w:t>civil</w:t>
      </w:r>
      <w:r>
        <w:rPr>
          <w:color w:val="231F20"/>
          <w:spacing w:val="-6"/>
          <w:sz w:val="20"/>
        </w:rPr>
        <w:t xml:space="preserve"> </w:t>
      </w:r>
      <w:r>
        <w:rPr>
          <w:color w:val="231F20"/>
          <w:sz w:val="20"/>
        </w:rPr>
        <w:t>(non-criminal)</w:t>
      </w:r>
    </w:p>
    <w:p w14:paraId="6D18F0BB" w14:textId="77777777" w:rsidR="00894070" w:rsidRDefault="009B7AFD">
      <w:pPr>
        <w:pStyle w:val="BodyText"/>
        <w:spacing w:line="259" w:lineRule="exact"/>
        <w:ind w:left="1801"/>
      </w:pPr>
      <w:r>
        <w:rPr>
          <w:color w:val="231F20"/>
        </w:rPr>
        <w:t>responses.</w:t>
      </w:r>
    </w:p>
    <w:p w14:paraId="70D82546" w14:textId="77777777" w:rsidR="00894070" w:rsidRDefault="009B7AFD">
      <w:pPr>
        <w:pStyle w:val="ListParagraph"/>
        <w:numPr>
          <w:ilvl w:val="1"/>
          <w:numId w:val="177"/>
        </w:numPr>
        <w:tabs>
          <w:tab w:val="left" w:pos="1801"/>
          <w:tab w:val="left" w:pos="1802"/>
        </w:tabs>
        <w:spacing w:before="114" w:line="206" w:lineRule="auto"/>
        <w:ind w:right="1492"/>
        <w:rPr>
          <w:sz w:val="20"/>
        </w:rPr>
      </w:pPr>
      <w:r>
        <w:rPr>
          <w:color w:val="231F20"/>
          <w:sz w:val="20"/>
        </w:rPr>
        <w:t>The</w:t>
      </w:r>
      <w:r>
        <w:rPr>
          <w:color w:val="231F20"/>
          <w:spacing w:val="-10"/>
          <w:sz w:val="20"/>
        </w:rPr>
        <w:t xml:space="preserve"> </w:t>
      </w:r>
      <w:r>
        <w:rPr>
          <w:color w:val="231F20"/>
          <w:sz w:val="20"/>
        </w:rPr>
        <w:t>civil</w:t>
      </w:r>
      <w:r>
        <w:rPr>
          <w:color w:val="231F20"/>
          <w:spacing w:val="-10"/>
          <w:sz w:val="20"/>
        </w:rPr>
        <w:t xml:space="preserve"> </w:t>
      </w:r>
      <w:r>
        <w:rPr>
          <w:color w:val="231F20"/>
          <w:sz w:val="20"/>
        </w:rPr>
        <w:t>law</w:t>
      </w:r>
      <w:r>
        <w:rPr>
          <w:color w:val="231F20"/>
          <w:spacing w:val="-10"/>
          <w:sz w:val="20"/>
        </w:rPr>
        <w:t xml:space="preserve"> </w:t>
      </w:r>
      <w:r>
        <w:rPr>
          <w:color w:val="231F20"/>
          <w:sz w:val="20"/>
        </w:rPr>
        <w:t>response</w:t>
      </w:r>
      <w:r>
        <w:rPr>
          <w:color w:val="231F20"/>
          <w:spacing w:val="-9"/>
          <w:sz w:val="20"/>
        </w:rPr>
        <w:t xml:space="preserve"> </w:t>
      </w:r>
      <w:r>
        <w:rPr>
          <w:color w:val="231F20"/>
          <w:sz w:val="20"/>
        </w:rPr>
        <w:t>deals</w:t>
      </w:r>
      <w:r>
        <w:rPr>
          <w:color w:val="231F20"/>
          <w:spacing w:val="-10"/>
          <w:sz w:val="20"/>
        </w:rPr>
        <w:t xml:space="preserve"> </w:t>
      </w:r>
      <w:r>
        <w:rPr>
          <w:color w:val="231F20"/>
          <w:spacing w:val="-3"/>
          <w:sz w:val="20"/>
        </w:rPr>
        <w:t>separately</w:t>
      </w:r>
      <w:r>
        <w:rPr>
          <w:color w:val="231F20"/>
          <w:spacing w:val="-10"/>
          <w:sz w:val="20"/>
        </w:rPr>
        <w:t xml:space="preserve"> </w:t>
      </w:r>
      <w:r>
        <w:rPr>
          <w:color w:val="231F20"/>
          <w:sz w:val="20"/>
        </w:rPr>
        <w:t>with</w:t>
      </w:r>
      <w:r>
        <w:rPr>
          <w:color w:val="231F20"/>
          <w:spacing w:val="-9"/>
          <w:sz w:val="20"/>
        </w:rPr>
        <w:t xml:space="preserve"> </w:t>
      </w:r>
      <w:r>
        <w:rPr>
          <w:color w:val="231F20"/>
          <w:spacing w:val="-3"/>
          <w:sz w:val="20"/>
        </w:rPr>
        <w:t>family</w:t>
      </w:r>
      <w:r>
        <w:rPr>
          <w:color w:val="231F20"/>
          <w:spacing w:val="-10"/>
          <w:sz w:val="20"/>
        </w:rPr>
        <w:t xml:space="preserve"> </w:t>
      </w:r>
      <w:r>
        <w:rPr>
          <w:color w:val="231F20"/>
          <w:sz w:val="20"/>
        </w:rPr>
        <w:t>violence</w:t>
      </w:r>
      <w:r>
        <w:rPr>
          <w:color w:val="231F20"/>
          <w:spacing w:val="-10"/>
          <w:sz w:val="20"/>
        </w:rPr>
        <w:t xml:space="preserve"> </w:t>
      </w:r>
      <w:r>
        <w:rPr>
          <w:color w:val="231F20"/>
          <w:sz w:val="20"/>
        </w:rPr>
        <w:t>stalking</w:t>
      </w:r>
      <w:r>
        <w:rPr>
          <w:color w:val="231F20"/>
          <w:spacing w:val="-10"/>
          <w:sz w:val="20"/>
        </w:rPr>
        <w:t xml:space="preserve"> </w:t>
      </w:r>
      <w:r>
        <w:rPr>
          <w:color w:val="231F20"/>
          <w:sz w:val="20"/>
        </w:rPr>
        <w:t>and</w:t>
      </w:r>
      <w:r>
        <w:rPr>
          <w:color w:val="231F20"/>
          <w:spacing w:val="-9"/>
          <w:sz w:val="20"/>
        </w:rPr>
        <w:t xml:space="preserve"> </w:t>
      </w:r>
      <w:r>
        <w:rPr>
          <w:color w:val="231F20"/>
          <w:sz w:val="20"/>
        </w:rPr>
        <w:t>non-family violence</w:t>
      </w:r>
      <w:r>
        <w:rPr>
          <w:color w:val="231F20"/>
          <w:spacing w:val="-5"/>
          <w:sz w:val="20"/>
        </w:rPr>
        <w:t xml:space="preserve"> </w:t>
      </w:r>
      <w:r>
        <w:rPr>
          <w:color w:val="231F20"/>
          <w:sz w:val="20"/>
        </w:rPr>
        <w:t>stalking.</w:t>
      </w:r>
    </w:p>
    <w:p w14:paraId="2F1AEBA3" w14:textId="77777777" w:rsidR="00894070" w:rsidRDefault="009B7AFD">
      <w:pPr>
        <w:pStyle w:val="ListParagraph"/>
        <w:numPr>
          <w:ilvl w:val="1"/>
          <w:numId w:val="177"/>
        </w:numPr>
        <w:tabs>
          <w:tab w:val="left" w:pos="1801"/>
          <w:tab w:val="left" w:pos="1802"/>
        </w:tabs>
        <w:spacing w:before="123" w:line="206" w:lineRule="auto"/>
        <w:ind w:right="1348"/>
        <w:rPr>
          <w:sz w:val="11"/>
        </w:rPr>
      </w:pPr>
      <w:r>
        <w:rPr>
          <w:color w:val="231F20"/>
          <w:sz w:val="20"/>
        </w:rPr>
        <w:t xml:space="preserve">Stalking </w:t>
      </w:r>
      <w:r>
        <w:rPr>
          <w:color w:val="231F20"/>
          <w:spacing w:val="-3"/>
          <w:sz w:val="20"/>
        </w:rPr>
        <w:t xml:space="preserve">by family </w:t>
      </w:r>
      <w:r>
        <w:rPr>
          <w:color w:val="231F20"/>
          <w:sz w:val="20"/>
        </w:rPr>
        <w:t xml:space="preserve">members, including former partners, can be grounds </w:t>
      </w:r>
      <w:r>
        <w:rPr>
          <w:color w:val="231F20"/>
          <w:spacing w:val="-3"/>
          <w:sz w:val="20"/>
        </w:rPr>
        <w:t xml:space="preserve">for </w:t>
      </w:r>
      <w:r>
        <w:rPr>
          <w:color w:val="231F20"/>
          <w:sz w:val="20"/>
        </w:rPr>
        <w:t xml:space="preserve">a </w:t>
      </w:r>
      <w:r>
        <w:rPr>
          <w:color w:val="231F20"/>
          <w:spacing w:val="-3"/>
          <w:sz w:val="20"/>
        </w:rPr>
        <w:t xml:space="preserve">family </w:t>
      </w:r>
      <w:r>
        <w:rPr>
          <w:color w:val="231F20"/>
          <w:sz w:val="20"/>
        </w:rPr>
        <w:t>violence</w:t>
      </w:r>
      <w:r>
        <w:rPr>
          <w:color w:val="231F20"/>
          <w:spacing w:val="-10"/>
          <w:sz w:val="20"/>
        </w:rPr>
        <w:t xml:space="preserve"> </w:t>
      </w:r>
      <w:r>
        <w:rPr>
          <w:color w:val="231F20"/>
          <w:spacing w:val="-2"/>
          <w:sz w:val="20"/>
        </w:rPr>
        <w:t>intervention</w:t>
      </w:r>
      <w:r>
        <w:rPr>
          <w:color w:val="231F20"/>
          <w:spacing w:val="-9"/>
          <w:sz w:val="20"/>
        </w:rPr>
        <w:t xml:space="preserve"> </w:t>
      </w:r>
      <w:r>
        <w:rPr>
          <w:color w:val="231F20"/>
          <w:sz w:val="20"/>
        </w:rPr>
        <w:t>order</w:t>
      </w:r>
      <w:r>
        <w:rPr>
          <w:color w:val="231F20"/>
          <w:spacing w:val="-9"/>
          <w:sz w:val="20"/>
        </w:rPr>
        <w:t xml:space="preserve"> </w:t>
      </w:r>
      <w:r>
        <w:rPr>
          <w:color w:val="231F20"/>
          <w:spacing w:val="-3"/>
          <w:sz w:val="20"/>
        </w:rPr>
        <w:t>(FVIO).</w:t>
      </w:r>
      <w:r>
        <w:rPr>
          <w:color w:val="231F20"/>
          <w:spacing w:val="-3"/>
          <w:position w:val="7"/>
          <w:sz w:val="11"/>
        </w:rPr>
        <w:t>7</w:t>
      </w:r>
      <w:r>
        <w:rPr>
          <w:color w:val="231F20"/>
          <w:spacing w:val="14"/>
          <w:position w:val="7"/>
          <w:sz w:val="11"/>
        </w:rPr>
        <w:t xml:space="preserve"> </w:t>
      </w:r>
      <w:r>
        <w:rPr>
          <w:color w:val="231F20"/>
          <w:sz w:val="20"/>
        </w:rPr>
        <w:t>This</w:t>
      </w:r>
      <w:r>
        <w:rPr>
          <w:color w:val="231F20"/>
          <w:spacing w:val="-9"/>
          <w:sz w:val="20"/>
        </w:rPr>
        <w:t xml:space="preserve"> </w:t>
      </w:r>
      <w:r>
        <w:rPr>
          <w:color w:val="231F20"/>
          <w:sz w:val="20"/>
        </w:rPr>
        <w:t>is</w:t>
      </w:r>
      <w:r>
        <w:rPr>
          <w:color w:val="231F20"/>
          <w:spacing w:val="-9"/>
          <w:sz w:val="20"/>
        </w:rPr>
        <w:t xml:space="preserve"> </w:t>
      </w:r>
      <w:r>
        <w:rPr>
          <w:color w:val="231F20"/>
          <w:sz w:val="20"/>
        </w:rPr>
        <w:t>a</w:t>
      </w:r>
      <w:r>
        <w:rPr>
          <w:color w:val="231F20"/>
          <w:spacing w:val="-9"/>
          <w:sz w:val="20"/>
        </w:rPr>
        <w:t xml:space="preserve"> </w:t>
      </w:r>
      <w:r>
        <w:rPr>
          <w:color w:val="231F20"/>
          <w:sz w:val="20"/>
        </w:rPr>
        <w:t>civil</w:t>
      </w:r>
      <w:r>
        <w:rPr>
          <w:color w:val="231F20"/>
          <w:spacing w:val="-9"/>
          <w:sz w:val="20"/>
        </w:rPr>
        <w:t xml:space="preserve"> </w:t>
      </w:r>
      <w:r>
        <w:rPr>
          <w:color w:val="231F20"/>
          <w:sz w:val="20"/>
        </w:rPr>
        <w:t>court</w:t>
      </w:r>
      <w:r>
        <w:rPr>
          <w:color w:val="231F20"/>
          <w:spacing w:val="-10"/>
          <w:sz w:val="20"/>
        </w:rPr>
        <w:t xml:space="preserve"> </w:t>
      </w:r>
      <w:r>
        <w:rPr>
          <w:color w:val="231F20"/>
          <w:spacing w:val="-4"/>
          <w:sz w:val="20"/>
        </w:rPr>
        <w:t>order,</w:t>
      </w:r>
      <w:r>
        <w:rPr>
          <w:color w:val="231F20"/>
          <w:spacing w:val="-9"/>
          <w:sz w:val="20"/>
        </w:rPr>
        <w:t xml:space="preserve"> </w:t>
      </w:r>
      <w:r>
        <w:rPr>
          <w:color w:val="231F20"/>
          <w:sz w:val="20"/>
        </w:rPr>
        <w:t>but</w:t>
      </w:r>
      <w:r>
        <w:rPr>
          <w:color w:val="231F20"/>
          <w:spacing w:val="-9"/>
          <w:sz w:val="20"/>
        </w:rPr>
        <w:t xml:space="preserve"> </w:t>
      </w:r>
      <w:r>
        <w:rPr>
          <w:color w:val="231F20"/>
          <w:sz w:val="20"/>
        </w:rPr>
        <w:t>it</w:t>
      </w:r>
      <w:r>
        <w:rPr>
          <w:color w:val="231F20"/>
          <w:spacing w:val="-9"/>
          <w:sz w:val="20"/>
        </w:rPr>
        <w:t xml:space="preserve"> </w:t>
      </w:r>
      <w:r>
        <w:rPr>
          <w:color w:val="231F20"/>
          <w:sz w:val="20"/>
        </w:rPr>
        <w:t>is</w:t>
      </w:r>
      <w:r>
        <w:rPr>
          <w:color w:val="231F20"/>
          <w:spacing w:val="-10"/>
          <w:sz w:val="20"/>
        </w:rPr>
        <w:t xml:space="preserve"> </w:t>
      </w:r>
      <w:r>
        <w:rPr>
          <w:color w:val="231F20"/>
          <w:sz w:val="20"/>
        </w:rPr>
        <w:t>a</w:t>
      </w:r>
      <w:r>
        <w:rPr>
          <w:color w:val="231F20"/>
          <w:spacing w:val="-9"/>
          <w:sz w:val="20"/>
        </w:rPr>
        <w:t xml:space="preserve"> </w:t>
      </w:r>
      <w:r>
        <w:rPr>
          <w:color w:val="231F20"/>
          <w:sz w:val="20"/>
        </w:rPr>
        <w:t>criminal</w:t>
      </w:r>
      <w:r>
        <w:rPr>
          <w:color w:val="231F20"/>
          <w:spacing w:val="-9"/>
          <w:sz w:val="20"/>
        </w:rPr>
        <w:t xml:space="preserve"> </w:t>
      </w:r>
      <w:r>
        <w:rPr>
          <w:color w:val="231F20"/>
          <w:sz w:val="20"/>
        </w:rPr>
        <w:t>offence to breach</w:t>
      </w:r>
      <w:r>
        <w:rPr>
          <w:color w:val="231F20"/>
          <w:spacing w:val="-9"/>
          <w:sz w:val="20"/>
        </w:rPr>
        <w:t xml:space="preserve"> </w:t>
      </w:r>
      <w:r>
        <w:rPr>
          <w:color w:val="231F20"/>
          <w:sz w:val="20"/>
        </w:rPr>
        <w:t>it.</w:t>
      </w:r>
      <w:r>
        <w:rPr>
          <w:color w:val="231F20"/>
          <w:position w:val="7"/>
          <w:sz w:val="11"/>
        </w:rPr>
        <w:t>8</w:t>
      </w:r>
    </w:p>
    <w:p w14:paraId="36CE93C6" w14:textId="77777777" w:rsidR="00894070" w:rsidRDefault="009B7AFD">
      <w:pPr>
        <w:pStyle w:val="ListParagraph"/>
        <w:numPr>
          <w:ilvl w:val="1"/>
          <w:numId w:val="177"/>
        </w:numPr>
        <w:tabs>
          <w:tab w:val="left" w:pos="1801"/>
          <w:tab w:val="left" w:pos="1802"/>
        </w:tabs>
        <w:spacing w:before="124" w:line="206" w:lineRule="auto"/>
        <w:ind w:right="1446"/>
        <w:rPr>
          <w:sz w:val="11"/>
        </w:rPr>
      </w:pPr>
      <w:r>
        <w:rPr>
          <w:color w:val="231F20"/>
          <w:sz w:val="20"/>
        </w:rPr>
        <w:t>Non-family</w:t>
      </w:r>
      <w:r>
        <w:rPr>
          <w:color w:val="231F20"/>
          <w:spacing w:val="-12"/>
          <w:sz w:val="20"/>
        </w:rPr>
        <w:t xml:space="preserve"> </w:t>
      </w:r>
      <w:r>
        <w:rPr>
          <w:color w:val="231F20"/>
          <w:sz w:val="20"/>
        </w:rPr>
        <w:t>violence</w:t>
      </w:r>
      <w:r>
        <w:rPr>
          <w:color w:val="231F20"/>
          <w:spacing w:val="-11"/>
          <w:sz w:val="20"/>
        </w:rPr>
        <w:t xml:space="preserve"> </w:t>
      </w:r>
      <w:r>
        <w:rPr>
          <w:color w:val="231F20"/>
          <w:sz w:val="20"/>
        </w:rPr>
        <w:t>stalking</w:t>
      </w:r>
      <w:r>
        <w:rPr>
          <w:color w:val="231F20"/>
          <w:spacing w:val="-11"/>
          <w:sz w:val="20"/>
        </w:rPr>
        <w:t xml:space="preserve"> </w:t>
      </w:r>
      <w:r>
        <w:rPr>
          <w:color w:val="231F20"/>
          <w:sz w:val="20"/>
        </w:rPr>
        <w:t>can</w:t>
      </w:r>
      <w:r>
        <w:rPr>
          <w:color w:val="231F20"/>
          <w:spacing w:val="-11"/>
          <w:sz w:val="20"/>
        </w:rPr>
        <w:t xml:space="preserve"> </w:t>
      </w:r>
      <w:r>
        <w:rPr>
          <w:color w:val="231F20"/>
          <w:sz w:val="20"/>
        </w:rPr>
        <w:t>be</w:t>
      </w:r>
      <w:r>
        <w:rPr>
          <w:color w:val="231F20"/>
          <w:spacing w:val="-11"/>
          <w:sz w:val="20"/>
        </w:rPr>
        <w:t xml:space="preserve"> </w:t>
      </w:r>
      <w:r>
        <w:rPr>
          <w:color w:val="231F20"/>
          <w:sz w:val="20"/>
        </w:rPr>
        <w:t>grounds</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a</w:t>
      </w:r>
      <w:r>
        <w:rPr>
          <w:color w:val="231F20"/>
          <w:spacing w:val="-11"/>
          <w:sz w:val="20"/>
        </w:rPr>
        <w:t xml:space="preserve"> </w:t>
      </w:r>
      <w:r>
        <w:rPr>
          <w:color w:val="231F20"/>
          <w:sz w:val="20"/>
        </w:rPr>
        <w:t>personal</w:t>
      </w:r>
      <w:r>
        <w:rPr>
          <w:color w:val="231F20"/>
          <w:spacing w:val="-11"/>
          <w:sz w:val="20"/>
        </w:rPr>
        <w:t xml:space="preserve"> </w:t>
      </w:r>
      <w:r>
        <w:rPr>
          <w:color w:val="231F20"/>
          <w:sz w:val="20"/>
        </w:rPr>
        <w:t>safety</w:t>
      </w:r>
      <w:r>
        <w:rPr>
          <w:color w:val="231F20"/>
          <w:spacing w:val="-11"/>
          <w:sz w:val="20"/>
        </w:rPr>
        <w:t xml:space="preserve"> </w:t>
      </w:r>
      <w:r>
        <w:rPr>
          <w:color w:val="231F20"/>
          <w:spacing w:val="-2"/>
          <w:sz w:val="20"/>
        </w:rPr>
        <w:t>intervention</w:t>
      </w:r>
      <w:r>
        <w:rPr>
          <w:color w:val="231F20"/>
          <w:spacing w:val="-11"/>
          <w:sz w:val="20"/>
        </w:rPr>
        <w:t xml:space="preserve"> </w:t>
      </w:r>
      <w:r>
        <w:rPr>
          <w:color w:val="231F20"/>
          <w:sz w:val="20"/>
        </w:rPr>
        <w:t xml:space="preserve">order </w:t>
      </w:r>
      <w:r>
        <w:rPr>
          <w:color w:val="231F20"/>
          <w:spacing w:val="-3"/>
          <w:sz w:val="20"/>
        </w:rPr>
        <w:t>(PSIO).</w:t>
      </w:r>
      <w:r>
        <w:rPr>
          <w:color w:val="231F20"/>
          <w:spacing w:val="-3"/>
          <w:position w:val="7"/>
          <w:sz w:val="11"/>
        </w:rPr>
        <w:t>9</w:t>
      </w:r>
      <w:r>
        <w:rPr>
          <w:color w:val="231F20"/>
          <w:spacing w:val="17"/>
          <w:position w:val="7"/>
          <w:sz w:val="11"/>
        </w:rPr>
        <w:t xml:space="preserve"> </w:t>
      </w:r>
      <w:r>
        <w:rPr>
          <w:color w:val="231F20"/>
          <w:sz w:val="20"/>
        </w:rPr>
        <w:t>Again,</w:t>
      </w:r>
      <w:r>
        <w:rPr>
          <w:color w:val="231F20"/>
          <w:spacing w:val="-7"/>
          <w:sz w:val="20"/>
        </w:rPr>
        <w:t xml:space="preserve"> </w:t>
      </w:r>
      <w:r>
        <w:rPr>
          <w:color w:val="231F20"/>
          <w:sz w:val="20"/>
        </w:rPr>
        <w:t>this</w:t>
      </w:r>
      <w:r>
        <w:rPr>
          <w:color w:val="231F20"/>
          <w:spacing w:val="-7"/>
          <w:sz w:val="20"/>
        </w:rPr>
        <w:t xml:space="preserve"> </w:t>
      </w:r>
      <w:r>
        <w:rPr>
          <w:color w:val="231F20"/>
          <w:sz w:val="20"/>
        </w:rPr>
        <w:t>is</w:t>
      </w:r>
      <w:r>
        <w:rPr>
          <w:color w:val="231F20"/>
          <w:spacing w:val="-6"/>
          <w:sz w:val="20"/>
        </w:rPr>
        <w:t xml:space="preserve"> </w:t>
      </w:r>
      <w:r>
        <w:rPr>
          <w:color w:val="231F20"/>
          <w:sz w:val="20"/>
        </w:rPr>
        <w:t>a</w:t>
      </w:r>
      <w:r>
        <w:rPr>
          <w:color w:val="231F20"/>
          <w:spacing w:val="-7"/>
          <w:sz w:val="20"/>
        </w:rPr>
        <w:t xml:space="preserve"> </w:t>
      </w:r>
      <w:r>
        <w:rPr>
          <w:color w:val="231F20"/>
          <w:sz w:val="20"/>
        </w:rPr>
        <w:t>civil</w:t>
      </w:r>
      <w:r>
        <w:rPr>
          <w:color w:val="231F20"/>
          <w:spacing w:val="-7"/>
          <w:sz w:val="20"/>
        </w:rPr>
        <w:t xml:space="preserve"> </w:t>
      </w:r>
      <w:r>
        <w:rPr>
          <w:color w:val="231F20"/>
          <w:sz w:val="20"/>
        </w:rPr>
        <w:t>court</w:t>
      </w:r>
      <w:r>
        <w:rPr>
          <w:color w:val="231F20"/>
          <w:spacing w:val="-6"/>
          <w:sz w:val="20"/>
        </w:rPr>
        <w:t xml:space="preserve"> </w:t>
      </w:r>
      <w:r>
        <w:rPr>
          <w:color w:val="231F20"/>
          <w:spacing w:val="-4"/>
          <w:sz w:val="20"/>
        </w:rPr>
        <w:t>order,</w:t>
      </w:r>
      <w:r>
        <w:rPr>
          <w:color w:val="231F20"/>
          <w:spacing w:val="-7"/>
          <w:sz w:val="20"/>
        </w:rPr>
        <w:t xml:space="preserve"> </w:t>
      </w:r>
      <w:r>
        <w:rPr>
          <w:color w:val="231F20"/>
          <w:sz w:val="20"/>
        </w:rPr>
        <w:t>but</w:t>
      </w:r>
      <w:r>
        <w:rPr>
          <w:color w:val="231F20"/>
          <w:spacing w:val="-7"/>
          <w:sz w:val="20"/>
        </w:rPr>
        <w:t xml:space="preserve"> </w:t>
      </w:r>
      <w:r>
        <w:rPr>
          <w:color w:val="231F20"/>
          <w:sz w:val="20"/>
        </w:rPr>
        <w:t>it</w:t>
      </w:r>
      <w:r>
        <w:rPr>
          <w:color w:val="231F20"/>
          <w:spacing w:val="-7"/>
          <w:sz w:val="20"/>
        </w:rPr>
        <w:t xml:space="preserve"> </w:t>
      </w:r>
      <w:r>
        <w:rPr>
          <w:color w:val="231F20"/>
          <w:sz w:val="20"/>
        </w:rPr>
        <w:t>is</w:t>
      </w:r>
      <w:r>
        <w:rPr>
          <w:color w:val="231F20"/>
          <w:spacing w:val="-6"/>
          <w:sz w:val="20"/>
        </w:rPr>
        <w:t xml:space="preserve"> </w:t>
      </w:r>
      <w:r>
        <w:rPr>
          <w:color w:val="231F20"/>
          <w:sz w:val="20"/>
        </w:rPr>
        <w:t>a</w:t>
      </w:r>
      <w:r>
        <w:rPr>
          <w:color w:val="231F20"/>
          <w:spacing w:val="-7"/>
          <w:sz w:val="20"/>
        </w:rPr>
        <w:t xml:space="preserve"> </w:t>
      </w:r>
      <w:r>
        <w:rPr>
          <w:color w:val="231F20"/>
          <w:sz w:val="20"/>
        </w:rPr>
        <w:t>criminal</w:t>
      </w:r>
      <w:r>
        <w:rPr>
          <w:color w:val="231F20"/>
          <w:spacing w:val="-7"/>
          <w:sz w:val="20"/>
        </w:rPr>
        <w:t xml:space="preserve"> </w:t>
      </w:r>
      <w:r>
        <w:rPr>
          <w:color w:val="231F20"/>
          <w:sz w:val="20"/>
        </w:rPr>
        <w:t>offence</w:t>
      </w:r>
      <w:r>
        <w:rPr>
          <w:color w:val="231F20"/>
          <w:spacing w:val="-6"/>
          <w:sz w:val="20"/>
        </w:rPr>
        <w:t xml:space="preserve"> </w:t>
      </w:r>
      <w:r>
        <w:rPr>
          <w:color w:val="231F20"/>
          <w:sz w:val="20"/>
        </w:rPr>
        <w:t>to</w:t>
      </w:r>
      <w:r>
        <w:rPr>
          <w:color w:val="231F20"/>
          <w:spacing w:val="-7"/>
          <w:sz w:val="20"/>
        </w:rPr>
        <w:t xml:space="preserve"> </w:t>
      </w:r>
      <w:r>
        <w:rPr>
          <w:color w:val="231F20"/>
          <w:sz w:val="20"/>
        </w:rPr>
        <w:t>breach</w:t>
      </w:r>
      <w:r>
        <w:rPr>
          <w:color w:val="231F20"/>
          <w:spacing w:val="-7"/>
          <w:sz w:val="20"/>
        </w:rPr>
        <w:t xml:space="preserve"> </w:t>
      </w:r>
      <w:r>
        <w:rPr>
          <w:color w:val="231F20"/>
          <w:sz w:val="20"/>
        </w:rPr>
        <w:t>it.</w:t>
      </w:r>
      <w:r>
        <w:rPr>
          <w:color w:val="231F20"/>
          <w:position w:val="7"/>
          <w:sz w:val="11"/>
        </w:rPr>
        <w:t>10</w:t>
      </w:r>
    </w:p>
    <w:p w14:paraId="2E07D851" w14:textId="77777777" w:rsidR="00894070" w:rsidRDefault="009B7AFD">
      <w:pPr>
        <w:pStyle w:val="ListParagraph"/>
        <w:numPr>
          <w:ilvl w:val="1"/>
          <w:numId w:val="177"/>
        </w:numPr>
        <w:tabs>
          <w:tab w:val="left" w:pos="1801"/>
          <w:tab w:val="left" w:pos="1802"/>
        </w:tabs>
        <w:spacing w:before="90" w:line="259" w:lineRule="exact"/>
        <w:rPr>
          <w:sz w:val="20"/>
        </w:rPr>
      </w:pPr>
      <w:r>
        <w:rPr>
          <w:color w:val="231F20"/>
          <w:spacing w:val="-6"/>
          <w:sz w:val="20"/>
        </w:rPr>
        <w:t xml:space="preserve">We </w:t>
      </w:r>
      <w:r>
        <w:rPr>
          <w:color w:val="231F20"/>
          <w:sz w:val="20"/>
        </w:rPr>
        <w:t>discuss</w:t>
      </w:r>
      <w:r>
        <w:rPr>
          <w:color w:val="231F20"/>
          <w:spacing w:val="-5"/>
          <w:sz w:val="20"/>
        </w:rPr>
        <w:t xml:space="preserve"> </w:t>
      </w:r>
      <w:r>
        <w:rPr>
          <w:color w:val="231F20"/>
          <w:sz w:val="20"/>
        </w:rPr>
        <w:t>the</w:t>
      </w:r>
      <w:r>
        <w:rPr>
          <w:color w:val="231F20"/>
          <w:spacing w:val="-5"/>
          <w:sz w:val="20"/>
        </w:rPr>
        <w:t xml:space="preserve"> </w:t>
      </w:r>
      <w:r>
        <w:rPr>
          <w:color w:val="231F20"/>
          <w:sz w:val="20"/>
        </w:rPr>
        <w:t>civil</w:t>
      </w:r>
      <w:r>
        <w:rPr>
          <w:color w:val="231F20"/>
          <w:spacing w:val="-5"/>
          <w:sz w:val="20"/>
        </w:rPr>
        <w:t xml:space="preserve"> </w:t>
      </w:r>
      <w:r>
        <w:rPr>
          <w:color w:val="231F20"/>
          <w:sz w:val="20"/>
        </w:rPr>
        <w:t>law</w:t>
      </w:r>
      <w:r>
        <w:rPr>
          <w:color w:val="231F20"/>
          <w:spacing w:val="-5"/>
          <w:sz w:val="20"/>
        </w:rPr>
        <w:t xml:space="preserve"> </w:t>
      </w:r>
      <w:r>
        <w:rPr>
          <w:color w:val="231F20"/>
          <w:sz w:val="20"/>
        </w:rPr>
        <w:t>response</w:t>
      </w:r>
      <w:r>
        <w:rPr>
          <w:color w:val="231F20"/>
          <w:spacing w:val="-5"/>
          <w:sz w:val="20"/>
        </w:rPr>
        <w:t xml:space="preserve"> </w:t>
      </w:r>
      <w:r>
        <w:rPr>
          <w:color w:val="231F20"/>
          <w:sz w:val="20"/>
        </w:rPr>
        <w:t>to</w:t>
      </w:r>
      <w:r>
        <w:rPr>
          <w:color w:val="231F20"/>
          <w:spacing w:val="-6"/>
          <w:sz w:val="20"/>
        </w:rPr>
        <w:t xml:space="preserve"> </w:t>
      </w:r>
      <w:r>
        <w:rPr>
          <w:color w:val="231F20"/>
          <w:sz w:val="20"/>
        </w:rPr>
        <w:t>stalking</w:t>
      </w:r>
      <w:r>
        <w:rPr>
          <w:color w:val="231F20"/>
          <w:spacing w:val="-5"/>
          <w:sz w:val="20"/>
        </w:rPr>
        <w:t xml:space="preserve"> </w:t>
      </w:r>
      <w:r>
        <w:rPr>
          <w:color w:val="231F20"/>
          <w:sz w:val="20"/>
        </w:rPr>
        <w:t>in</w:t>
      </w:r>
      <w:r>
        <w:rPr>
          <w:color w:val="231F20"/>
          <w:spacing w:val="-5"/>
          <w:sz w:val="20"/>
        </w:rPr>
        <w:t xml:space="preserve"> </w:t>
      </w:r>
      <w:r>
        <w:rPr>
          <w:color w:val="231F20"/>
          <w:spacing w:val="-3"/>
          <w:sz w:val="20"/>
        </w:rPr>
        <w:t>Chapter</w:t>
      </w:r>
      <w:r>
        <w:rPr>
          <w:color w:val="231F20"/>
          <w:spacing w:val="-5"/>
          <w:sz w:val="20"/>
        </w:rPr>
        <w:t xml:space="preserve"> </w:t>
      </w:r>
      <w:r>
        <w:rPr>
          <w:color w:val="231F20"/>
          <w:sz w:val="20"/>
        </w:rPr>
        <w:t>6</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6"/>
          <w:sz w:val="20"/>
        </w:rPr>
        <w:t xml:space="preserve"> </w:t>
      </w:r>
      <w:r>
        <w:rPr>
          <w:color w:val="231F20"/>
          <w:sz w:val="20"/>
        </w:rPr>
        <w:t>criminal</w:t>
      </w:r>
      <w:r>
        <w:rPr>
          <w:color w:val="231F20"/>
          <w:spacing w:val="-5"/>
          <w:sz w:val="20"/>
        </w:rPr>
        <w:t xml:space="preserve"> </w:t>
      </w:r>
      <w:r>
        <w:rPr>
          <w:color w:val="231F20"/>
          <w:sz w:val="20"/>
        </w:rPr>
        <w:t>law</w:t>
      </w:r>
    </w:p>
    <w:p w14:paraId="7E02568A" w14:textId="77777777" w:rsidR="00894070" w:rsidRDefault="009B7AFD">
      <w:pPr>
        <w:pStyle w:val="BodyText"/>
        <w:spacing w:line="259" w:lineRule="exact"/>
        <w:ind w:left="1801"/>
      </w:pPr>
      <w:r>
        <w:rPr>
          <w:color w:val="231F20"/>
        </w:rPr>
        <w:t>response in Chapter 7.</w:t>
      </w:r>
    </w:p>
    <w:p w14:paraId="3ABEF866" w14:textId="77777777" w:rsidR="00894070" w:rsidRDefault="009B7AFD">
      <w:pPr>
        <w:pStyle w:val="ListParagraph"/>
        <w:numPr>
          <w:ilvl w:val="1"/>
          <w:numId w:val="177"/>
        </w:numPr>
        <w:tabs>
          <w:tab w:val="left" w:pos="1801"/>
          <w:tab w:val="left" w:pos="1802"/>
        </w:tabs>
        <w:spacing w:before="115" w:line="206" w:lineRule="auto"/>
        <w:ind w:right="1315"/>
        <w:rPr>
          <w:sz w:val="20"/>
        </w:rPr>
      </w:pPr>
      <w:r>
        <w:rPr>
          <w:color w:val="231F20"/>
          <w:sz w:val="20"/>
        </w:rPr>
        <w:t xml:space="preserve">In this </w:t>
      </w:r>
      <w:r>
        <w:rPr>
          <w:color w:val="231F20"/>
          <w:spacing w:val="-3"/>
          <w:sz w:val="20"/>
        </w:rPr>
        <w:t xml:space="preserve">chapter we </w:t>
      </w:r>
      <w:r>
        <w:rPr>
          <w:color w:val="231F20"/>
          <w:sz w:val="20"/>
        </w:rPr>
        <w:t xml:space="preserve">consider the effects of stalking, which can be devastating. </w:t>
      </w:r>
      <w:r>
        <w:rPr>
          <w:color w:val="231F20"/>
          <w:spacing w:val="-6"/>
          <w:sz w:val="20"/>
        </w:rPr>
        <w:t xml:space="preserve">We </w:t>
      </w:r>
      <w:proofErr w:type="spellStart"/>
      <w:r>
        <w:rPr>
          <w:color w:val="231F20"/>
          <w:sz w:val="20"/>
        </w:rPr>
        <w:t>summarise</w:t>
      </w:r>
      <w:proofErr w:type="spellEnd"/>
      <w:r>
        <w:rPr>
          <w:color w:val="231F20"/>
          <w:sz w:val="20"/>
        </w:rPr>
        <w:t xml:space="preserve"> what the available data indicates about stalking and the justice </w:t>
      </w:r>
      <w:r>
        <w:rPr>
          <w:color w:val="231F20"/>
          <w:spacing w:val="-3"/>
          <w:sz w:val="20"/>
        </w:rPr>
        <w:t xml:space="preserve">system’s </w:t>
      </w:r>
      <w:r>
        <w:rPr>
          <w:color w:val="231F20"/>
          <w:sz w:val="20"/>
        </w:rPr>
        <w:t>response</w:t>
      </w:r>
      <w:r>
        <w:rPr>
          <w:color w:val="231F20"/>
          <w:spacing w:val="-8"/>
          <w:sz w:val="20"/>
        </w:rPr>
        <w:t xml:space="preserve"> </w:t>
      </w:r>
      <w:r>
        <w:rPr>
          <w:color w:val="231F20"/>
          <w:sz w:val="20"/>
        </w:rPr>
        <w:t>to</w:t>
      </w:r>
      <w:r>
        <w:rPr>
          <w:color w:val="231F20"/>
          <w:spacing w:val="-7"/>
          <w:sz w:val="20"/>
        </w:rPr>
        <w:t xml:space="preserve"> </w:t>
      </w:r>
      <w:r>
        <w:rPr>
          <w:color w:val="231F20"/>
          <w:sz w:val="20"/>
        </w:rPr>
        <w:t>it.</w:t>
      </w:r>
      <w:r>
        <w:rPr>
          <w:color w:val="231F20"/>
          <w:spacing w:val="-7"/>
          <w:sz w:val="20"/>
        </w:rPr>
        <w:t xml:space="preserve"> </w:t>
      </w:r>
      <w:r>
        <w:rPr>
          <w:color w:val="231F20"/>
          <w:spacing w:val="-6"/>
          <w:sz w:val="20"/>
        </w:rPr>
        <w:t>We</w:t>
      </w:r>
      <w:r>
        <w:rPr>
          <w:color w:val="231F20"/>
          <w:spacing w:val="-7"/>
          <w:sz w:val="20"/>
        </w:rPr>
        <w:t xml:space="preserve"> </w:t>
      </w:r>
      <w:r>
        <w:rPr>
          <w:color w:val="231F20"/>
          <w:sz w:val="20"/>
        </w:rPr>
        <w:t>highlight</w:t>
      </w:r>
      <w:r>
        <w:rPr>
          <w:color w:val="231F20"/>
          <w:spacing w:val="-7"/>
          <w:sz w:val="20"/>
        </w:rPr>
        <w:t xml:space="preserve"> </w:t>
      </w:r>
      <w:r>
        <w:rPr>
          <w:color w:val="231F20"/>
          <w:sz w:val="20"/>
        </w:rPr>
        <w:t>the</w:t>
      </w:r>
      <w:r>
        <w:rPr>
          <w:color w:val="231F20"/>
          <w:spacing w:val="-7"/>
          <w:sz w:val="20"/>
        </w:rPr>
        <w:t xml:space="preserve"> </w:t>
      </w:r>
      <w:r>
        <w:rPr>
          <w:color w:val="231F20"/>
          <w:sz w:val="20"/>
        </w:rPr>
        <w:t>need</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more</w:t>
      </w:r>
      <w:r>
        <w:rPr>
          <w:color w:val="231F20"/>
          <w:spacing w:val="-8"/>
          <w:sz w:val="20"/>
        </w:rPr>
        <w:t xml:space="preserve"> </w:t>
      </w:r>
      <w:r>
        <w:rPr>
          <w:color w:val="231F20"/>
          <w:spacing w:val="-3"/>
          <w:sz w:val="20"/>
        </w:rPr>
        <w:t>research</w:t>
      </w:r>
      <w:r>
        <w:rPr>
          <w:color w:val="231F20"/>
          <w:spacing w:val="-7"/>
          <w:sz w:val="20"/>
        </w:rPr>
        <w:t xml:space="preserve"> </w:t>
      </w:r>
      <w:r>
        <w:rPr>
          <w:color w:val="231F20"/>
          <w:sz w:val="20"/>
        </w:rPr>
        <w:t>and</w:t>
      </w:r>
      <w:r>
        <w:rPr>
          <w:color w:val="231F20"/>
          <w:spacing w:val="-7"/>
          <w:sz w:val="20"/>
        </w:rPr>
        <w:t xml:space="preserve"> </w:t>
      </w:r>
      <w:r>
        <w:rPr>
          <w:color w:val="231F20"/>
          <w:sz w:val="20"/>
        </w:rPr>
        <w:t>data</w:t>
      </w:r>
      <w:r>
        <w:rPr>
          <w:color w:val="231F20"/>
          <w:spacing w:val="-7"/>
          <w:sz w:val="20"/>
        </w:rPr>
        <w:t xml:space="preserve"> </w:t>
      </w:r>
      <w:r>
        <w:rPr>
          <w:color w:val="231F20"/>
          <w:sz w:val="20"/>
        </w:rPr>
        <w:t>on</w:t>
      </w:r>
      <w:r>
        <w:rPr>
          <w:color w:val="231F20"/>
          <w:spacing w:val="-7"/>
          <w:sz w:val="20"/>
        </w:rPr>
        <w:t xml:space="preserve"> </w:t>
      </w:r>
      <w:r>
        <w:rPr>
          <w:color w:val="231F20"/>
          <w:sz w:val="20"/>
        </w:rPr>
        <w:t>stalking.</w:t>
      </w:r>
      <w:r>
        <w:rPr>
          <w:color w:val="231F20"/>
          <w:spacing w:val="-7"/>
          <w:sz w:val="20"/>
        </w:rPr>
        <w:t xml:space="preserve"> </w:t>
      </w:r>
      <w:r>
        <w:rPr>
          <w:color w:val="231F20"/>
          <w:spacing w:val="-6"/>
          <w:sz w:val="20"/>
        </w:rPr>
        <w:t>We</w:t>
      </w:r>
      <w:r>
        <w:rPr>
          <w:color w:val="231F20"/>
          <w:spacing w:val="-7"/>
          <w:sz w:val="20"/>
        </w:rPr>
        <w:t xml:space="preserve"> </w:t>
      </w:r>
      <w:r>
        <w:rPr>
          <w:color w:val="231F20"/>
          <w:spacing w:val="-3"/>
          <w:sz w:val="20"/>
        </w:rPr>
        <w:t xml:space="preserve">note </w:t>
      </w:r>
      <w:r>
        <w:rPr>
          <w:color w:val="231F20"/>
          <w:sz w:val="20"/>
        </w:rPr>
        <w:t>that</w:t>
      </w:r>
      <w:r>
        <w:rPr>
          <w:color w:val="231F20"/>
          <w:spacing w:val="-10"/>
          <w:sz w:val="20"/>
        </w:rPr>
        <w:t xml:space="preserve"> </w:t>
      </w:r>
      <w:r>
        <w:rPr>
          <w:color w:val="231F20"/>
          <w:sz w:val="20"/>
        </w:rPr>
        <w:t>some</w:t>
      </w:r>
      <w:r>
        <w:rPr>
          <w:color w:val="231F20"/>
          <w:spacing w:val="-10"/>
          <w:sz w:val="20"/>
        </w:rPr>
        <w:t xml:space="preserve"> </w:t>
      </w:r>
      <w:r>
        <w:rPr>
          <w:color w:val="231F20"/>
          <w:sz w:val="20"/>
        </w:rPr>
        <w:t>communities</w:t>
      </w:r>
      <w:r>
        <w:rPr>
          <w:color w:val="231F20"/>
          <w:spacing w:val="-9"/>
          <w:sz w:val="20"/>
        </w:rPr>
        <w:t xml:space="preserve"> </w:t>
      </w:r>
      <w:r>
        <w:rPr>
          <w:color w:val="231F20"/>
          <w:spacing w:val="-3"/>
          <w:sz w:val="20"/>
        </w:rPr>
        <w:t>may</w:t>
      </w:r>
      <w:r>
        <w:rPr>
          <w:color w:val="231F20"/>
          <w:spacing w:val="-10"/>
          <w:sz w:val="20"/>
        </w:rPr>
        <w:t xml:space="preserve"> </w:t>
      </w:r>
      <w:r>
        <w:rPr>
          <w:color w:val="231F20"/>
          <w:sz w:val="20"/>
        </w:rPr>
        <w:t>be</w:t>
      </w:r>
      <w:r>
        <w:rPr>
          <w:color w:val="231F20"/>
          <w:spacing w:val="-9"/>
          <w:sz w:val="20"/>
        </w:rPr>
        <w:t xml:space="preserve"> </w:t>
      </w:r>
      <w:r>
        <w:rPr>
          <w:color w:val="231F20"/>
          <w:sz w:val="20"/>
        </w:rPr>
        <w:t>more</w:t>
      </w:r>
      <w:r>
        <w:rPr>
          <w:color w:val="231F20"/>
          <w:spacing w:val="-10"/>
          <w:sz w:val="20"/>
        </w:rPr>
        <w:t xml:space="preserve"> </w:t>
      </w:r>
      <w:r>
        <w:rPr>
          <w:color w:val="231F20"/>
          <w:spacing w:val="-3"/>
          <w:sz w:val="20"/>
        </w:rPr>
        <w:t>likely</w:t>
      </w:r>
      <w:r>
        <w:rPr>
          <w:color w:val="231F20"/>
          <w:spacing w:val="-9"/>
          <w:sz w:val="20"/>
        </w:rPr>
        <w:t xml:space="preserve"> </w:t>
      </w:r>
      <w:r>
        <w:rPr>
          <w:color w:val="231F20"/>
          <w:sz w:val="20"/>
        </w:rPr>
        <w:t>than</w:t>
      </w:r>
      <w:r>
        <w:rPr>
          <w:color w:val="231F20"/>
          <w:spacing w:val="-10"/>
          <w:sz w:val="20"/>
        </w:rPr>
        <w:t xml:space="preserve"> </w:t>
      </w:r>
      <w:r>
        <w:rPr>
          <w:color w:val="231F20"/>
          <w:sz w:val="20"/>
        </w:rPr>
        <w:t>others</w:t>
      </w:r>
      <w:r>
        <w:rPr>
          <w:color w:val="231F20"/>
          <w:spacing w:val="-9"/>
          <w:sz w:val="20"/>
        </w:rPr>
        <w:t xml:space="preserve"> </w:t>
      </w:r>
      <w:r>
        <w:rPr>
          <w:color w:val="231F20"/>
          <w:sz w:val="20"/>
        </w:rPr>
        <w:t>to</w:t>
      </w:r>
      <w:r>
        <w:rPr>
          <w:color w:val="231F20"/>
          <w:spacing w:val="-10"/>
          <w:sz w:val="20"/>
        </w:rPr>
        <w:t xml:space="preserve"> </w:t>
      </w:r>
      <w:r>
        <w:rPr>
          <w:color w:val="231F20"/>
          <w:sz w:val="20"/>
        </w:rPr>
        <w:t>experience</w:t>
      </w:r>
      <w:r>
        <w:rPr>
          <w:color w:val="231F20"/>
          <w:spacing w:val="-9"/>
          <w:sz w:val="20"/>
        </w:rPr>
        <w:t xml:space="preserve"> </w:t>
      </w:r>
      <w:r>
        <w:rPr>
          <w:color w:val="231F20"/>
          <w:sz w:val="20"/>
        </w:rPr>
        <w:t>stalking</w:t>
      </w:r>
      <w:r>
        <w:rPr>
          <w:color w:val="231F20"/>
          <w:spacing w:val="-10"/>
          <w:sz w:val="20"/>
        </w:rPr>
        <w:t xml:space="preserve"> </w:t>
      </w:r>
      <w:r>
        <w:rPr>
          <w:color w:val="231F20"/>
          <w:sz w:val="20"/>
        </w:rPr>
        <w:t>and</w:t>
      </w:r>
      <w:r>
        <w:rPr>
          <w:color w:val="231F20"/>
          <w:spacing w:val="-9"/>
          <w:sz w:val="20"/>
        </w:rPr>
        <w:t xml:space="preserve"> </w:t>
      </w:r>
      <w:r>
        <w:rPr>
          <w:color w:val="231F20"/>
          <w:spacing w:val="-3"/>
          <w:sz w:val="20"/>
        </w:rPr>
        <w:t xml:space="preserve">we </w:t>
      </w:r>
      <w:r>
        <w:rPr>
          <w:color w:val="231F20"/>
          <w:sz w:val="20"/>
        </w:rPr>
        <w:t>describe</w:t>
      </w:r>
      <w:r>
        <w:rPr>
          <w:color w:val="231F20"/>
          <w:spacing w:val="-6"/>
          <w:sz w:val="20"/>
        </w:rPr>
        <w:t xml:space="preserve"> </w:t>
      </w:r>
      <w:r>
        <w:rPr>
          <w:color w:val="231F20"/>
          <w:sz w:val="20"/>
        </w:rPr>
        <w:t>the</w:t>
      </w:r>
      <w:r>
        <w:rPr>
          <w:color w:val="231F20"/>
          <w:spacing w:val="-5"/>
          <w:sz w:val="20"/>
        </w:rPr>
        <w:t xml:space="preserve"> </w:t>
      </w:r>
      <w:r>
        <w:rPr>
          <w:color w:val="231F20"/>
          <w:sz w:val="20"/>
        </w:rPr>
        <w:t>barriers</w:t>
      </w:r>
      <w:r>
        <w:rPr>
          <w:color w:val="231F20"/>
          <w:spacing w:val="-5"/>
          <w:sz w:val="20"/>
        </w:rPr>
        <w:t xml:space="preserve"> </w:t>
      </w:r>
      <w:r>
        <w:rPr>
          <w:color w:val="231F20"/>
          <w:sz w:val="20"/>
        </w:rPr>
        <w:t>to</w:t>
      </w:r>
      <w:r>
        <w:rPr>
          <w:color w:val="231F20"/>
          <w:spacing w:val="-5"/>
          <w:sz w:val="20"/>
        </w:rPr>
        <w:t xml:space="preserve"> </w:t>
      </w:r>
      <w:r>
        <w:rPr>
          <w:color w:val="231F20"/>
          <w:sz w:val="20"/>
        </w:rPr>
        <w:t>reporting</w:t>
      </w:r>
      <w:r>
        <w:rPr>
          <w:color w:val="231F20"/>
          <w:spacing w:val="-6"/>
          <w:sz w:val="20"/>
        </w:rPr>
        <w:t xml:space="preserve"> </w:t>
      </w:r>
      <w:r>
        <w:rPr>
          <w:color w:val="231F20"/>
          <w:sz w:val="20"/>
        </w:rPr>
        <w:t>stalking</w:t>
      </w:r>
      <w:r>
        <w:rPr>
          <w:color w:val="231F20"/>
          <w:spacing w:val="-5"/>
          <w:sz w:val="20"/>
        </w:rPr>
        <w:t xml:space="preserve"> </w:t>
      </w:r>
      <w:r>
        <w:rPr>
          <w:color w:val="231F20"/>
          <w:sz w:val="20"/>
        </w:rPr>
        <w:t>and</w:t>
      </w:r>
      <w:r>
        <w:rPr>
          <w:color w:val="231F20"/>
          <w:spacing w:val="-5"/>
          <w:sz w:val="20"/>
        </w:rPr>
        <w:t xml:space="preserve"> </w:t>
      </w:r>
      <w:r>
        <w:rPr>
          <w:color w:val="231F20"/>
          <w:sz w:val="20"/>
        </w:rPr>
        <w:t>getting</w:t>
      </w:r>
      <w:r>
        <w:rPr>
          <w:color w:val="231F20"/>
          <w:spacing w:val="-5"/>
          <w:sz w:val="20"/>
        </w:rPr>
        <w:t xml:space="preserve"> </w:t>
      </w:r>
      <w:r>
        <w:rPr>
          <w:color w:val="231F20"/>
          <w:sz w:val="20"/>
        </w:rPr>
        <w:t>justice.</w:t>
      </w:r>
    </w:p>
    <w:p w14:paraId="4B4C3C18" w14:textId="77777777" w:rsidR="00894070" w:rsidRDefault="009B7AFD">
      <w:pPr>
        <w:pStyle w:val="ListParagraph"/>
        <w:numPr>
          <w:ilvl w:val="1"/>
          <w:numId w:val="177"/>
        </w:numPr>
        <w:tabs>
          <w:tab w:val="left" w:pos="1801"/>
          <w:tab w:val="left" w:pos="1802"/>
        </w:tabs>
        <w:spacing w:before="126" w:line="206" w:lineRule="auto"/>
        <w:ind w:right="1262"/>
        <w:rPr>
          <w:sz w:val="20"/>
        </w:rPr>
      </w:pPr>
      <w:r>
        <w:rPr>
          <w:color w:val="231F20"/>
          <w:sz w:val="20"/>
        </w:rPr>
        <w:t xml:space="preserve">Stalking </w:t>
      </w:r>
      <w:r>
        <w:rPr>
          <w:color w:val="231F20"/>
          <w:spacing w:val="-3"/>
          <w:sz w:val="20"/>
        </w:rPr>
        <w:t xml:space="preserve">by anyone </w:t>
      </w:r>
      <w:r>
        <w:rPr>
          <w:color w:val="231F20"/>
          <w:sz w:val="20"/>
        </w:rPr>
        <w:t xml:space="preserve">is a serious crime. Research suggests that stalking </w:t>
      </w:r>
      <w:r>
        <w:rPr>
          <w:color w:val="231F20"/>
          <w:spacing w:val="-3"/>
          <w:sz w:val="20"/>
        </w:rPr>
        <w:t xml:space="preserve">by </w:t>
      </w:r>
      <w:r>
        <w:rPr>
          <w:color w:val="231F20"/>
          <w:sz w:val="20"/>
        </w:rPr>
        <w:t>partners or ex-partners</w:t>
      </w:r>
      <w:r>
        <w:rPr>
          <w:color w:val="231F20"/>
          <w:spacing w:val="-11"/>
          <w:sz w:val="20"/>
        </w:rPr>
        <w:t xml:space="preserve"> </w:t>
      </w:r>
      <w:r>
        <w:rPr>
          <w:color w:val="231F20"/>
          <w:sz w:val="20"/>
        </w:rPr>
        <w:t>is</w:t>
      </w:r>
      <w:r>
        <w:rPr>
          <w:color w:val="231F20"/>
          <w:spacing w:val="-11"/>
          <w:sz w:val="20"/>
        </w:rPr>
        <w:t xml:space="preserve"> </w:t>
      </w:r>
      <w:r>
        <w:rPr>
          <w:color w:val="231F20"/>
          <w:sz w:val="20"/>
        </w:rPr>
        <w:t>more</w:t>
      </w:r>
      <w:r>
        <w:rPr>
          <w:color w:val="231F20"/>
          <w:spacing w:val="-10"/>
          <w:sz w:val="20"/>
        </w:rPr>
        <w:t xml:space="preserve"> </w:t>
      </w:r>
      <w:r>
        <w:rPr>
          <w:color w:val="231F20"/>
          <w:spacing w:val="-3"/>
          <w:sz w:val="20"/>
        </w:rPr>
        <w:t>likely</w:t>
      </w:r>
      <w:r>
        <w:rPr>
          <w:color w:val="231F20"/>
          <w:spacing w:val="-11"/>
          <w:sz w:val="20"/>
        </w:rPr>
        <w:t xml:space="preserve"> </w:t>
      </w:r>
      <w:r>
        <w:rPr>
          <w:color w:val="231F20"/>
          <w:sz w:val="20"/>
        </w:rPr>
        <w:t>to</w:t>
      </w:r>
      <w:r>
        <w:rPr>
          <w:color w:val="231F20"/>
          <w:spacing w:val="-10"/>
          <w:sz w:val="20"/>
        </w:rPr>
        <w:t xml:space="preserve"> </w:t>
      </w:r>
      <w:r>
        <w:rPr>
          <w:color w:val="231F20"/>
          <w:sz w:val="20"/>
        </w:rPr>
        <w:t>lead</w:t>
      </w:r>
      <w:r>
        <w:rPr>
          <w:color w:val="231F20"/>
          <w:spacing w:val="-11"/>
          <w:sz w:val="20"/>
        </w:rPr>
        <w:t xml:space="preserve"> </w:t>
      </w:r>
      <w:r>
        <w:rPr>
          <w:color w:val="231F20"/>
          <w:sz w:val="20"/>
        </w:rPr>
        <w:t>to</w:t>
      </w:r>
      <w:r>
        <w:rPr>
          <w:color w:val="231F20"/>
          <w:spacing w:val="-10"/>
          <w:sz w:val="20"/>
        </w:rPr>
        <w:t xml:space="preserve"> </w:t>
      </w:r>
      <w:r>
        <w:rPr>
          <w:color w:val="231F20"/>
          <w:sz w:val="20"/>
        </w:rPr>
        <w:t>extreme</w:t>
      </w:r>
      <w:r>
        <w:rPr>
          <w:color w:val="231F20"/>
          <w:spacing w:val="-11"/>
          <w:sz w:val="20"/>
        </w:rPr>
        <w:t xml:space="preserve"> </w:t>
      </w:r>
      <w:r>
        <w:rPr>
          <w:color w:val="231F20"/>
          <w:sz w:val="20"/>
        </w:rPr>
        <w:t>violence</w:t>
      </w:r>
      <w:r>
        <w:rPr>
          <w:color w:val="231F20"/>
          <w:spacing w:val="-10"/>
          <w:sz w:val="20"/>
        </w:rPr>
        <w:t xml:space="preserve"> </w:t>
      </w:r>
      <w:r>
        <w:rPr>
          <w:color w:val="231F20"/>
          <w:sz w:val="20"/>
        </w:rPr>
        <w:t>than</w:t>
      </w:r>
      <w:r>
        <w:rPr>
          <w:color w:val="231F20"/>
          <w:spacing w:val="-11"/>
          <w:sz w:val="20"/>
        </w:rPr>
        <w:t xml:space="preserve"> </w:t>
      </w:r>
      <w:r>
        <w:rPr>
          <w:color w:val="231F20"/>
          <w:sz w:val="20"/>
        </w:rPr>
        <w:t>other</w:t>
      </w:r>
      <w:r>
        <w:rPr>
          <w:color w:val="231F20"/>
          <w:spacing w:val="-10"/>
          <w:sz w:val="20"/>
        </w:rPr>
        <w:t xml:space="preserve"> </w:t>
      </w:r>
      <w:r>
        <w:rPr>
          <w:color w:val="231F20"/>
          <w:sz w:val="20"/>
        </w:rPr>
        <w:t>kinds</w:t>
      </w:r>
      <w:r>
        <w:rPr>
          <w:color w:val="231F20"/>
          <w:spacing w:val="-11"/>
          <w:sz w:val="20"/>
        </w:rPr>
        <w:t xml:space="preserve"> </w:t>
      </w:r>
      <w:r>
        <w:rPr>
          <w:color w:val="231F20"/>
          <w:sz w:val="20"/>
        </w:rPr>
        <w:t>of</w:t>
      </w:r>
      <w:r>
        <w:rPr>
          <w:color w:val="231F20"/>
          <w:spacing w:val="-10"/>
          <w:sz w:val="20"/>
        </w:rPr>
        <w:t xml:space="preserve"> </w:t>
      </w:r>
      <w:r>
        <w:rPr>
          <w:color w:val="231F20"/>
          <w:sz w:val="20"/>
        </w:rPr>
        <w:t>stalking.</w:t>
      </w:r>
      <w:r>
        <w:rPr>
          <w:color w:val="231F20"/>
          <w:position w:val="7"/>
          <w:sz w:val="11"/>
        </w:rPr>
        <w:t>11</w:t>
      </w:r>
      <w:r>
        <w:rPr>
          <w:color w:val="231F20"/>
          <w:spacing w:val="13"/>
          <w:position w:val="7"/>
          <w:sz w:val="11"/>
        </w:rPr>
        <w:t xml:space="preserve"> </w:t>
      </w:r>
      <w:r>
        <w:rPr>
          <w:color w:val="231F20"/>
          <w:sz w:val="20"/>
        </w:rPr>
        <w:t xml:space="preserve">But </w:t>
      </w:r>
      <w:r>
        <w:rPr>
          <w:color w:val="231F20"/>
          <w:spacing w:val="-3"/>
          <w:sz w:val="20"/>
        </w:rPr>
        <w:t xml:space="preserve">family </w:t>
      </w:r>
      <w:r>
        <w:rPr>
          <w:color w:val="231F20"/>
          <w:sz w:val="20"/>
        </w:rPr>
        <w:t xml:space="preserve">violence stalking has distinct dynamics, and a </w:t>
      </w:r>
      <w:proofErr w:type="spellStart"/>
      <w:r>
        <w:rPr>
          <w:color w:val="231F20"/>
          <w:sz w:val="20"/>
        </w:rPr>
        <w:t>specialised</w:t>
      </w:r>
      <w:proofErr w:type="spellEnd"/>
      <w:r>
        <w:rPr>
          <w:color w:val="231F20"/>
          <w:sz w:val="20"/>
        </w:rPr>
        <w:t xml:space="preserve"> response to </w:t>
      </w:r>
      <w:r>
        <w:rPr>
          <w:color w:val="231F20"/>
          <w:spacing w:val="-3"/>
          <w:sz w:val="20"/>
        </w:rPr>
        <w:t xml:space="preserve">family </w:t>
      </w:r>
      <w:r>
        <w:rPr>
          <w:color w:val="231F20"/>
          <w:sz w:val="20"/>
        </w:rPr>
        <w:t>violence</w:t>
      </w:r>
      <w:r>
        <w:rPr>
          <w:color w:val="231F20"/>
          <w:spacing w:val="-9"/>
          <w:sz w:val="20"/>
        </w:rPr>
        <w:t xml:space="preserve"> </w:t>
      </w:r>
      <w:r>
        <w:rPr>
          <w:color w:val="231F20"/>
          <w:sz w:val="20"/>
        </w:rPr>
        <w:t>already</w:t>
      </w:r>
      <w:r>
        <w:rPr>
          <w:color w:val="231F20"/>
          <w:spacing w:val="-9"/>
          <w:sz w:val="20"/>
        </w:rPr>
        <w:t xml:space="preserve"> </w:t>
      </w:r>
      <w:r>
        <w:rPr>
          <w:color w:val="231F20"/>
          <w:sz w:val="20"/>
        </w:rPr>
        <w:t>exists</w:t>
      </w:r>
      <w:r>
        <w:rPr>
          <w:color w:val="231F20"/>
          <w:spacing w:val="-9"/>
          <w:sz w:val="20"/>
        </w:rPr>
        <w:t xml:space="preserve"> </w:t>
      </w:r>
      <w:r>
        <w:rPr>
          <w:color w:val="231F20"/>
          <w:sz w:val="20"/>
        </w:rPr>
        <w:t>(see</w:t>
      </w:r>
      <w:r>
        <w:rPr>
          <w:color w:val="231F20"/>
          <w:spacing w:val="-8"/>
          <w:sz w:val="20"/>
        </w:rPr>
        <w:t xml:space="preserve"> </w:t>
      </w:r>
      <w:r>
        <w:rPr>
          <w:color w:val="231F20"/>
          <w:spacing w:val="-3"/>
          <w:sz w:val="20"/>
        </w:rPr>
        <w:t>Chapter</w:t>
      </w:r>
      <w:r>
        <w:rPr>
          <w:color w:val="231F20"/>
          <w:spacing w:val="-9"/>
          <w:sz w:val="20"/>
        </w:rPr>
        <w:t xml:space="preserve"> </w:t>
      </w:r>
      <w:r>
        <w:rPr>
          <w:color w:val="231F20"/>
          <w:sz w:val="20"/>
        </w:rPr>
        <w:t>1).</w:t>
      </w:r>
      <w:r>
        <w:rPr>
          <w:color w:val="231F20"/>
          <w:spacing w:val="-9"/>
          <w:sz w:val="20"/>
        </w:rPr>
        <w:t xml:space="preserve"> </w:t>
      </w:r>
      <w:r>
        <w:rPr>
          <w:color w:val="231F20"/>
          <w:sz w:val="20"/>
        </w:rPr>
        <w:t>Less</w:t>
      </w:r>
      <w:r>
        <w:rPr>
          <w:color w:val="231F20"/>
          <w:spacing w:val="-8"/>
          <w:sz w:val="20"/>
        </w:rPr>
        <w:t xml:space="preserve"> </w:t>
      </w:r>
      <w:r>
        <w:rPr>
          <w:color w:val="231F20"/>
          <w:sz w:val="20"/>
        </w:rPr>
        <w:t>is</w:t>
      </w:r>
      <w:r>
        <w:rPr>
          <w:color w:val="231F20"/>
          <w:spacing w:val="-9"/>
          <w:sz w:val="20"/>
        </w:rPr>
        <w:t xml:space="preserve"> </w:t>
      </w:r>
      <w:r>
        <w:rPr>
          <w:color w:val="231F20"/>
          <w:spacing w:val="-3"/>
          <w:sz w:val="20"/>
        </w:rPr>
        <w:t>known</w:t>
      </w:r>
      <w:r>
        <w:rPr>
          <w:color w:val="231F20"/>
          <w:spacing w:val="-9"/>
          <w:sz w:val="20"/>
        </w:rPr>
        <w:t xml:space="preserve"> </w:t>
      </w:r>
      <w:r>
        <w:rPr>
          <w:color w:val="231F20"/>
          <w:sz w:val="20"/>
        </w:rPr>
        <w:t>about</w:t>
      </w:r>
      <w:r>
        <w:rPr>
          <w:color w:val="231F20"/>
          <w:spacing w:val="-9"/>
          <w:sz w:val="20"/>
        </w:rPr>
        <w:t xml:space="preserve"> </w:t>
      </w:r>
      <w:r>
        <w:rPr>
          <w:color w:val="231F20"/>
          <w:sz w:val="20"/>
        </w:rPr>
        <w:t>other</w:t>
      </w:r>
      <w:r>
        <w:rPr>
          <w:color w:val="231F20"/>
          <w:spacing w:val="-8"/>
          <w:sz w:val="20"/>
        </w:rPr>
        <w:t xml:space="preserve"> </w:t>
      </w:r>
      <w:r>
        <w:rPr>
          <w:color w:val="231F20"/>
          <w:sz w:val="20"/>
        </w:rPr>
        <w:t>kinds</w:t>
      </w:r>
      <w:r>
        <w:rPr>
          <w:color w:val="231F20"/>
          <w:spacing w:val="-9"/>
          <w:sz w:val="20"/>
        </w:rPr>
        <w:t xml:space="preserve"> </w:t>
      </w:r>
      <w:r>
        <w:rPr>
          <w:color w:val="231F20"/>
          <w:sz w:val="20"/>
        </w:rPr>
        <w:t>of</w:t>
      </w:r>
      <w:r>
        <w:rPr>
          <w:color w:val="231F20"/>
          <w:spacing w:val="-9"/>
          <w:sz w:val="20"/>
        </w:rPr>
        <w:t xml:space="preserve"> </w:t>
      </w:r>
      <w:r>
        <w:rPr>
          <w:color w:val="231F20"/>
          <w:sz w:val="20"/>
        </w:rPr>
        <w:t>stalking</w:t>
      </w:r>
      <w:r>
        <w:rPr>
          <w:color w:val="231F20"/>
          <w:spacing w:val="-8"/>
          <w:sz w:val="20"/>
        </w:rPr>
        <w:t xml:space="preserve"> </w:t>
      </w:r>
      <w:r>
        <w:rPr>
          <w:color w:val="231F20"/>
          <w:sz w:val="20"/>
        </w:rPr>
        <w:t xml:space="preserve">and </w:t>
      </w:r>
      <w:r>
        <w:rPr>
          <w:color w:val="231F20"/>
          <w:spacing w:val="-3"/>
          <w:sz w:val="20"/>
        </w:rPr>
        <w:t xml:space="preserve">how </w:t>
      </w:r>
      <w:r>
        <w:rPr>
          <w:color w:val="231F20"/>
          <w:sz w:val="20"/>
        </w:rPr>
        <w:t xml:space="preserve">to </w:t>
      </w:r>
      <w:r>
        <w:rPr>
          <w:color w:val="231F20"/>
          <w:spacing w:val="-4"/>
          <w:sz w:val="20"/>
        </w:rPr>
        <w:t xml:space="preserve">improve </w:t>
      </w:r>
      <w:r>
        <w:rPr>
          <w:color w:val="231F20"/>
          <w:sz w:val="20"/>
        </w:rPr>
        <w:t xml:space="preserve">the legal response to this </w:t>
      </w:r>
      <w:proofErr w:type="spellStart"/>
      <w:r>
        <w:rPr>
          <w:color w:val="231F20"/>
          <w:spacing w:val="-3"/>
          <w:sz w:val="20"/>
        </w:rPr>
        <w:t>behaviour</w:t>
      </w:r>
      <w:proofErr w:type="spellEnd"/>
      <w:r>
        <w:rPr>
          <w:color w:val="231F20"/>
          <w:spacing w:val="-3"/>
          <w:sz w:val="20"/>
        </w:rPr>
        <w:t xml:space="preserve">. </w:t>
      </w:r>
      <w:r>
        <w:rPr>
          <w:color w:val="231F20"/>
          <w:sz w:val="20"/>
        </w:rPr>
        <w:t xml:space="preserve">Our </w:t>
      </w:r>
      <w:r>
        <w:rPr>
          <w:color w:val="231F20"/>
          <w:spacing w:val="-3"/>
          <w:sz w:val="20"/>
        </w:rPr>
        <w:t xml:space="preserve">focus </w:t>
      </w:r>
      <w:r>
        <w:rPr>
          <w:color w:val="231F20"/>
          <w:sz w:val="20"/>
        </w:rPr>
        <w:t>here and throughout this report is on non-family violence</w:t>
      </w:r>
      <w:r>
        <w:rPr>
          <w:color w:val="231F20"/>
          <w:spacing w:val="-28"/>
          <w:sz w:val="20"/>
        </w:rPr>
        <w:t xml:space="preserve"> </w:t>
      </w:r>
      <w:r>
        <w:rPr>
          <w:color w:val="231F20"/>
          <w:sz w:val="20"/>
        </w:rPr>
        <w:t>stalking.</w:t>
      </w:r>
    </w:p>
    <w:p w14:paraId="46AA32CB" w14:textId="77777777" w:rsidR="00894070" w:rsidRDefault="00894070">
      <w:pPr>
        <w:pStyle w:val="BodyText"/>
      </w:pPr>
    </w:p>
    <w:p w14:paraId="0A6B79EE" w14:textId="77777777" w:rsidR="00894070" w:rsidRDefault="00894070">
      <w:pPr>
        <w:pStyle w:val="BodyText"/>
      </w:pPr>
    </w:p>
    <w:p w14:paraId="58314D51" w14:textId="77777777" w:rsidR="00894070" w:rsidRDefault="009F6793">
      <w:pPr>
        <w:pStyle w:val="BodyText"/>
        <w:spacing w:before="9"/>
        <w:rPr>
          <w:sz w:val="21"/>
        </w:rPr>
      </w:pPr>
      <w:r>
        <w:pict w14:anchorId="6063B890">
          <v:line id="_x0000_s1676" style="position:absolute;z-index:251432960;mso-wrap-distance-left:0;mso-wrap-distance-right:0;mso-position-horizontal-relative:page" from="79.35pt,17.5pt" to="515.9pt,17.5pt" strokecolor="#f8cabc" strokeweight="1pt">
            <w10:wrap type="topAndBottom" anchorx="page"/>
          </v:line>
        </w:pict>
      </w:r>
    </w:p>
    <w:p w14:paraId="766FFC8E" w14:textId="77777777" w:rsidR="00894070" w:rsidRDefault="009B7AFD">
      <w:pPr>
        <w:pStyle w:val="ListParagraph"/>
        <w:numPr>
          <w:ilvl w:val="0"/>
          <w:numId w:val="172"/>
        </w:numPr>
        <w:tabs>
          <w:tab w:val="left" w:pos="1800"/>
          <w:tab w:val="left" w:pos="1802"/>
        </w:tabs>
        <w:spacing w:before="107" w:line="213" w:lineRule="auto"/>
        <w:ind w:right="1353"/>
        <w:rPr>
          <w:sz w:val="13"/>
        </w:rPr>
      </w:pPr>
      <w:r>
        <w:rPr>
          <w:color w:val="231F20"/>
          <w:sz w:val="13"/>
        </w:rPr>
        <w:t xml:space="preserve">See, </w:t>
      </w:r>
      <w:proofErr w:type="spellStart"/>
      <w:r>
        <w:rPr>
          <w:color w:val="231F20"/>
          <w:sz w:val="13"/>
        </w:rPr>
        <w:t>eg</w:t>
      </w:r>
      <w:proofErr w:type="spellEnd"/>
      <w:r>
        <w:rPr>
          <w:color w:val="231F20"/>
          <w:sz w:val="13"/>
        </w:rPr>
        <w:t xml:space="preserve">, Emma Ogilvie, </w:t>
      </w:r>
      <w:r>
        <w:rPr>
          <w:i/>
          <w:color w:val="231F20"/>
          <w:sz w:val="13"/>
        </w:rPr>
        <w:t xml:space="preserve">Stalking: Legislation, Policing and Prosecution Patterns in Australia </w:t>
      </w:r>
      <w:r>
        <w:rPr>
          <w:color w:val="231F20"/>
          <w:sz w:val="13"/>
        </w:rPr>
        <w:t xml:space="preserve">(Research and </w:t>
      </w:r>
      <w:r>
        <w:rPr>
          <w:color w:val="231F20"/>
          <w:spacing w:val="2"/>
          <w:sz w:val="13"/>
        </w:rPr>
        <w:t xml:space="preserve">Public </w:t>
      </w:r>
      <w:r>
        <w:rPr>
          <w:color w:val="231F20"/>
          <w:sz w:val="13"/>
        </w:rPr>
        <w:t xml:space="preserve">Policy </w:t>
      </w:r>
      <w:r>
        <w:rPr>
          <w:color w:val="231F20"/>
          <w:spacing w:val="2"/>
          <w:sz w:val="13"/>
        </w:rPr>
        <w:t xml:space="preserve">Series Report </w:t>
      </w:r>
      <w:r>
        <w:rPr>
          <w:color w:val="231F20"/>
          <w:sz w:val="13"/>
        </w:rPr>
        <w:t xml:space="preserve">No </w:t>
      </w:r>
      <w:r>
        <w:rPr>
          <w:color w:val="231F20"/>
          <w:spacing w:val="3"/>
          <w:sz w:val="13"/>
        </w:rPr>
        <w:t xml:space="preserve">34, </w:t>
      </w:r>
      <w:r>
        <w:rPr>
          <w:color w:val="231F20"/>
          <w:sz w:val="13"/>
        </w:rPr>
        <w:t xml:space="preserve">Australian Institute of Criminology, 2000) xii, 1–2; Michelle </w:t>
      </w:r>
      <w:proofErr w:type="spellStart"/>
      <w:r>
        <w:rPr>
          <w:color w:val="231F20"/>
          <w:spacing w:val="2"/>
          <w:sz w:val="13"/>
        </w:rPr>
        <w:t>Sibenik</w:t>
      </w:r>
      <w:proofErr w:type="spellEnd"/>
      <w:r>
        <w:rPr>
          <w:color w:val="231F20"/>
          <w:spacing w:val="2"/>
          <w:sz w:val="13"/>
        </w:rPr>
        <w:t xml:space="preserve">,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 Stalking Legislation in Victoria, Australia’ (PhD Thesis, Monash University, 2018)</w:t>
      </w:r>
      <w:r>
        <w:rPr>
          <w:color w:val="231F20"/>
          <w:spacing w:val="12"/>
          <w:sz w:val="13"/>
        </w:rPr>
        <w:t xml:space="preserve"> </w:t>
      </w:r>
      <w:r>
        <w:rPr>
          <w:color w:val="231F20"/>
          <w:spacing w:val="2"/>
          <w:sz w:val="13"/>
        </w:rPr>
        <w:t>1.</w:t>
      </w:r>
    </w:p>
    <w:p w14:paraId="4138D583" w14:textId="77777777" w:rsidR="00894070" w:rsidRDefault="009B7AFD">
      <w:pPr>
        <w:pStyle w:val="ListParagraph"/>
        <w:numPr>
          <w:ilvl w:val="0"/>
          <w:numId w:val="172"/>
        </w:numPr>
        <w:tabs>
          <w:tab w:val="left" w:pos="1800"/>
          <w:tab w:val="left" w:pos="1802"/>
        </w:tabs>
        <w:spacing w:line="213" w:lineRule="auto"/>
        <w:ind w:right="1388"/>
        <w:rPr>
          <w:sz w:val="13"/>
        </w:rPr>
      </w:pPr>
      <w:r>
        <w:rPr>
          <w:color w:val="231F20"/>
          <w:sz w:val="13"/>
        </w:rPr>
        <w:t xml:space="preserve">Paul E Mullen, Michele </w:t>
      </w:r>
      <w:proofErr w:type="spellStart"/>
      <w:r>
        <w:rPr>
          <w:color w:val="231F20"/>
          <w:sz w:val="13"/>
        </w:rPr>
        <w:t>Pathé</w:t>
      </w:r>
      <w:proofErr w:type="spellEnd"/>
      <w:r>
        <w:rPr>
          <w:color w:val="231F20"/>
          <w:sz w:val="13"/>
        </w:rPr>
        <w:t xml:space="preserve"> and </w:t>
      </w:r>
      <w:r>
        <w:rPr>
          <w:color w:val="231F20"/>
          <w:spacing w:val="2"/>
          <w:sz w:val="13"/>
        </w:rPr>
        <w:t xml:space="preserve">Rosemary </w:t>
      </w:r>
      <w:r>
        <w:rPr>
          <w:color w:val="231F20"/>
          <w:sz w:val="13"/>
        </w:rPr>
        <w:t xml:space="preserve">Purcell, </w:t>
      </w:r>
      <w:r>
        <w:rPr>
          <w:color w:val="231F20"/>
          <w:spacing w:val="2"/>
          <w:sz w:val="13"/>
        </w:rPr>
        <w:t xml:space="preserve">‘Stalking: </w:t>
      </w:r>
      <w:r>
        <w:rPr>
          <w:color w:val="231F20"/>
          <w:sz w:val="13"/>
        </w:rPr>
        <w:t xml:space="preserve">New </w:t>
      </w:r>
      <w:r>
        <w:rPr>
          <w:color w:val="231F20"/>
          <w:spacing w:val="2"/>
          <w:sz w:val="13"/>
        </w:rPr>
        <w:t xml:space="preserve">Constructions </w:t>
      </w:r>
      <w:r>
        <w:rPr>
          <w:color w:val="231F20"/>
          <w:sz w:val="13"/>
        </w:rPr>
        <w:t xml:space="preserve">of Human </w:t>
      </w:r>
      <w:proofErr w:type="spellStart"/>
      <w:r>
        <w:rPr>
          <w:color w:val="231F20"/>
          <w:sz w:val="13"/>
        </w:rPr>
        <w:t>Behaviour</w:t>
      </w:r>
      <w:proofErr w:type="spellEnd"/>
      <w:r>
        <w:rPr>
          <w:color w:val="231F20"/>
          <w:sz w:val="13"/>
        </w:rPr>
        <w:t xml:space="preserve">’ (2001) </w:t>
      </w:r>
      <w:r>
        <w:rPr>
          <w:color w:val="231F20"/>
          <w:spacing w:val="2"/>
          <w:sz w:val="13"/>
        </w:rPr>
        <w:t xml:space="preserve">35(1) </w:t>
      </w:r>
      <w:r>
        <w:rPr>
          <w:i/>
          <w:color w:val="231F20"/>
          <w:sz w:val="13"/>
        </w:rPr>
        <w:t xml:space="preserve">Australian and New Zealand Journal of Psychiatry </w:t>
      </w:r>
      <w:r>
        <w:rPr>
          <w:color w:val="231F20"/>
          <w:sz w:val="13"/>
        </w:rPr>
        <w:t>9,</w:t>
      </w:r>
      <w:r>
        <w:rPr>
          <w:color w:val="231F20"/>
          <w:spacing w:val="2"/>
          <w:sz w:val="13"/>
        </w:rPr>
        <w:t xml:space="preserve"> 9–11.</w:t>
      </w:r>
    </w:p>
    <w:p w14:paraId="3C63DB3B" w14:textId="77777777" w:rsidR="00894070" w:rsidRDefault="009B7AFD">
      <w:pPr>
        <w:pStyle w:val="ListParagraph"/>
        <w:numPr>
          <w:ilvl w:val="0"/>
          <w:numId w:val="172"/>
        </w:numPr>
        <w:tabs>
          <w:tab w:val="left" w:pos="1801"/>
          <w:tab w:val="left" w:pos="1802"/>
        </w:tabs>
        <w:spacing w:line="213" w:lineRule="auto"/>
        <w:ind w:left="1800" w:right="1279" w:hanging="793"/>
        <w:rPr>
          <w:sz w:val="13"/>
        </w:rPr>
      </w:pPr>
      <w:r>
        <w:rPr>
          <w:i/>
          <w:color w:val="231F20"/>
          <w:sz w:val="13"/>
        </w:rPr>
        <w:t xml:space="preserve">Family Violence Protection Act 2008 </w:t>
      </w:r>
      <w:r>
        <w:rPr>
          <w:color w:val="231F20"/>
          <w:sz w:val="13"/>
        </w:rPr>
        <w:t xml:space="preserve">(Vic) </w:t>
      </w:r>
      <w:proofErr w:type="spellStart"/>
      <w:r>
        <w:rPr>
          <w:color w:val="231F20"/>
          <w:sz w:val="13"/>
        </w:rPr>
        <w:t>pt</w:t>
      </w:r>
      <w:proofErr w:type="spellEnd"/>
      <w:r>
        <w:rPr>
          <w:color w:val="231F20"/>
          <w:sz w:val="13"/>
        </w:rPr>
        <w:t xml:space="preserve"> </w:t>
      </w:r>
      <w:r>
        <w:rPr>
          <w:color w:val="231F20"/>
          <w:spacing w:val="3"/>
          <w:sz w:val="13"/>
        </w:rPr>
        <w:t xml:space="preserve">4. </w:t>
      </w:r>
      <w:r>
        <w:rPr>
          <w:color w:val="231F20"/>
          <w:sz w:val="13"/>
        </w:rPr>
        <w:t xml:space="preserve">The Family Violence Protection Act does not specifically address </w:t>
      </w:r>
      <w:r>
        <w:rPr>
          <w:color w:val="231F20"/>
          <w:spacing w:val="2"/>
          <w:sz w:val="13"/>
        </w:rPr>
        <w:t xml:space="preserve">stalking </w:t>
      </w:r>
      <w:r>
        <w:rPr>
          <w:color w:val="231F20"/>
          <w:sz w:val="13"/>
        </w:rPr>
        <w:t>but       how</w:t>
      </w:r>
      <w:r>
        <w:rPr>
          <w:color w:val="231F20"/>
          <w:spacing w:val="7"/>
          <w:sz w:val="13"/>
        </w:rPr>
        <w:t xml:space="preserve"> </w:t>
      </w:r>
      <w:r>
        <w:rPr>
          <w:color w:val="231F20"/>
          <w:sz w:val="13"/>
        </w:rPr>
        <w:t>it</w:t>
      </w:r>
      <w:r>
        <w:rPr>
          <w:color w:val="231F20"/>
          <w:spacing w:val="7"/>
          <w:sz w:val="13"/>
        </w:rPr>
        <w:t xml:space="preserve"> </w:t>
      </w:r>
      <w:r>
        <w:rPr>
          <w:color w:val="231F20"/>
          <w:sz w:val="13"/>
        </w:rPr>
        <w:t>defines</w:t>
      </w:r>
      <w:r>
        <w:rPr>
          <w:color w:val="231F20"/>
          <w:spacing w:val="7"/>
          <w:sz w:val="13"/>
        </w:rPr>
        <w:t xml:space="preserve"> </w:t>
      </w:r>
      <w:r>
        <w:rPr>
          <w:color w:val="231F20"/>
          <w:sz w:val="13"/>
        </w:rPr>
        <w:t>‘family</w:t>
      </w:r>
      <w:r>
        <w:rPr>
          <w:color w:val="231F20"/>
          <w:spacing w:val="7"/>
          <w:sz w:val="13"/>
        </w:rPr>
        <w:t xml:space="preserve"> </w:t>
      </w:r>
      <w:r>
        <w:rPr>
          <w:color w:val="231F20"/>
          <w:sz w:val="13"/>
        </w:rPr>
        <w:t>violence’</w:t>
      </w:r>
      <w:r>
        <w:rPr>
          <w:color w:val="231F20"/>
          <w:spacing w:val="7"/>
          <w:sz w:val="13"/>
        </w:rPr>
        <w:t xml:space="preserve"> </w:t>
      </w:r>
      <w:r>
        <w:rPr>
          <w:color w:val="231F20"/>
          <w:sz w:val="13"/>
        </w:rPr>
        <w:t>is</w:t>
      </w:r>
      <w:r>
        <w:rPr>
          <w:color w:val="231F20"/>
          <w:spacing w:val="7"/>
          <w:sz w:val="13"/>
        </w:rPr>
        <w:t xml:space="preserve"> </w:t>
      </w:r>
      <w:r>
        <w:rPr>
          <w:color w:val="231F20"/>
          <w:sz w:val="13"/>
        </w:rPr>
        <w:t>broad</w:t>
      </w:r>
      <w:r>
        <w:rPr>
          <w:color w:val="231F20"/>
          <w:spacing w:val="7"/>
          <w:sz w:val="13"/>
        </w:rPr>
        <w:t xml:space="preserve"> </w:t>
      </w:r>
      <w:r>
        <w:rPr>
          <w:color w:val="231F20"/>
          <w:sz w:val="13"/>
        </w:rPr>
        <w:t>enough</w:t>
      </w:r>
      <w:r>
        <w:rPr>
          <w:color w:val="231F20"/>
          <w:spacing w:val="7"/>
          <w:sz w:val="13"/>
        </w:rPr>
        <w:t xml:space="preserve"> </w:t>
      </w:r>
      <w:r>
        <w:rPr>
          <w:color w:val="231F20"/>
          <w:sz w:val="13"/>
        </w:rPr>
        <w:t>to</w:t>
      </w:r>
      <w:r>
        <w:rPr>
          <w:color w:val="231F20"/>
          <w:spacing w:val="7"/>
          <w:sz w:val="13"/>
        </w:rPr>
        <w:t xml:space="preserve"> </w:t>
      </w:r>
      <w:r>
        <w:rPr>
          <w:color w:val="231F20"/>
          <w:sz w:val="13"/>
        </w:rPr>
        <w:t>include</w:t>
      </w:r>
      <w:r>
        <w:rPr>
          <w:color w:val="231F20"/>
          <w:spacing w:val="7"/>
          <w:sz w:val="13"/>
        </w:rPr>
        <w:t xml:space="preserve"> </w:t>
      </w:r>
      <w:r>
        <w:rPr>
          <w:color w:val="231F20"/>
          <w:spacing w:val="2"/>
          <w:sz w:val="13"/>
        </w:rPr>
        <w:t>stalking</w:t>
      </w:r>
      <w:r>
        <w:rPr>
          <w:color w:val="231F20"/>
          <w:spacing w:val="7"/>
          <w:sz w:val="13"/>
        </w:rPr>
        <w:t xml:space="preserve"> </w:t>
      </w:r>
      <w:proofErr w:type="spellStart"/>
      <w:r>
        <w:rPr>
          <w:color w:val="231F20"/>
          <w:sz w:val="13"/>
        </w:rPr>
        <w:t>behaviours</w:t>
      </w:r>
      <w:proofErr w:type="spellEnd"/>
      <w:r>
        <w:rPr>
          <w:color w:val="231F20"/>
          <w:sz w:val="13"/>
        </w:rPr>
        <w:t>.</w:t>
      </w:r>
      <w:r>
        <w:rPr>
          <w:color w:val="231F20"/>
          <w:spacing w:val="7"/>
          <w:sz w:val="13"/>
        </w:rPr>
        <w:t xml:space="preserve"> </w:t>
      </w:r>
      <w:r>
        <w:rPr>
          <w:color w:val="231F20"/>
          <w:sz w:val="13"/>
        </w:rPr>
        <w:t>Family</w:t>
      </w:r>
      <w:r>
        <w:rPr>
          <w:color w:val="231F20"/>
          <w:spacing w:val="7"/>
          <w:sz w:val="13"/>
        </w:rPr>
        <w:t xml:space="preserve"> </w:t>
      </w:r>
      <w:r>
        <w:rPr>
          <w:color w:val="231F20"/>
          <w:sz w:val="13"/>
        </w:rPr>
        <w:t>violence</w:t>
      </w:r>
      <w:r>
        <w:rPr>
          <w:color w:val="231F20"/>
          <w:spacing w:val="7"/>
          <w:sz w:val="13"/>
        </w:rPr>
        <w:t xml:space="preserve"> </w:t>
      </w:r>
      <w:r>
        <w:rPr>
          <w:color w:val="231F20"/>
          <w:sz w:val="13"/>
        </w:rPr>
        <w:t>is</w:t>
      </w:r>
      <w:r>
        <w:rPr>
          <w:color w:val="231F20"/>
          <w:spacing w:val="7"/>
          <w:sz w:val="13"/>
        </w:rPr>
        <w:t xml:space="preserve"> </w:t>
      </w:r>
      <w:proofErr w:type="spellStart"/>
      <w:r>
        <w:rPr>
          <w:color w:val="231F20"/>
          <w:sz w:val="13"/>
        </w:rPr>
        <w:t>behaviour</w:t>
      </w:r>
      <w:proofErr w:type="spellEnd"/>
      <w:r>
        <w:rPr>
          <w:color w:val="231F20"/>
          <w:spacing w:val="8"/>
          <w:sz w:val="13"/>
        </w:rPr>
        <w:t xml:space="preserve"> </w:t>
      </w:r>
      <w:r>
        <w:rPr>
          <w:color w:val="231F20"/>
          <w:sz w:val="13"/>
        </w:rPr>
        <w:t>directed</w:t>
      </w:r>
      <w:r>
        <w:rPr>
          <w:color w:val="231F20"/>
          <w:spacing w:val="7"/>
          <w:sz w:val="13"/>
        </w:rPr>
        <w:t xml:space="preserve"> </w:t>
      </w:r>
      <w:r>
        <w:rPr>
          <w:color w:val="231F20"/>
          <w:sz w:val="13"/>
        </w:rPr>
        <w:t>at</w:t>
      </w:r>
      <w:r>
        <w:rPr>
          <w:color w:val="231F20"/>
          <w:spacing w:val="7"/>
          <w:sz w:val="13"/>
        </w:rPr>
        <w:t xml:space="preserve"> </w:t>
      </w:r>
      <w:r>
        <w:rPr>
          <w:color w:val="231F20"/>
          <w:sz w:val="13"/>
        </w:rPr>
        <w:t>a</w:t>
      </w:r>
      <w:r>
        <w:rPr>
          <w:color w:val="231F20"/>
          <w:spacing w:val="7"/>
          <w:sz w:val="13"/>
        </w:rPr>
        <w:t xml:space="preserve"> </w:t>
      </w:r>
      <w:r>
        <w:rPr>
          <w:color w:val="231F20"/>
          <w:sz w:val="13"/>
        </w:rPr>
        <w:t>family</w:t>
      </w:r>
    </w:p>
    <w:p w14:paraId="5DDE3BB3" w14:textId="77777777" w:rsidR="00894070" w:rsidRDefault="009B7AFD">
      <w:pPr>
        <w:spacing w:line="213" w:lineRule="auto"/>
        <w:ind w:left="1800" w:right="1415"/>
        <w:rPr>
          <w:sz w:val="13"/>
        </w:rPr>
      </w:pPr>
      <w:r>
        <w:rPr>
          <w:color w:val="231F20"/>
          <w:spacing w:val="2"/>
          <w:sz w:val="13"/>
        </w:rPr>
        <w:t xml:space="preserve">member </w:t>
      </w:r>
      <w:r>
        <w:rPr>
          <w:color w:val="231F20"/>
          <w:sz w:val="13"/>
        </w:rPr>
        <w:t xml:space="preserve">that is physically, sexually, emotionally, </w:t>
      </w:r>
      <w:proofErr w:type="gramStart"/>
      <w:r>
        <w:rPr>
          <w:color w:val="231F20"/>
          <w:sz w:val="13"/>
        </w:rPr>
        <w:t>psychologically</w:t>
      </w:r>
      <w:proofErr w:type="gramEnd"/>
      <w:r>
        <w:rPr>
          <w:color w:val="231F20"/>
          <w:sz w:val="13"/>
        </w:rPr>
        <w:t xml:space="preserve"> or economically abusive; threatening; coercive; or ‘in any other way controls or dominates’ the family </w:t>
      </w:r>
      <w:r>
        <w:rPr>
          <w:color w:val="231F20"/>
          <w:spacing w:val="2"/>
          <w:sz w:val="13"/>
        </w:rPr>
        <w:t xml:space="preserve">member </w:t>
      </w:r>
      <w:r>
        <w:rPr>
          <w:color w:val="231F20"/>
          <w:sz w:val="13"/>
        </w:rPr>
        <w:t xml:space="preserve">and causes that family </w:t>
      </w:r>
      <w:r>
        <w:rPr>
          <w:color w:val="231F20"/>
          <w:spacing w:val="2"/>
          <w:sz w:val="13"/>
        </w:rPr>
        <w:t xml:space="preserve">member </w:t>
      </w:r>
      <w:r>
        <w:rPr>
          <w:color w:val="231F20"/>
          <w:sz w:val="13"/>
        </w:rPr>
        <w:t>to feel fear for their safety or wellbeing or that      of</w:t>
      </w:r>
      <w:r>
        <w:rPr>
          <w:color w:val="231F20"/>
          <w:spacing w:val="5"/>
          <w:sz w:val="13"/>
        </w:rPr>
        <w:t xml:space="preserve"> </w:t>
      </w:r>
      <w:r>
        <w:rPr>
          <w:color w:val="231F20"/>
          <w:sz w:val="13"/>
        </w:rPr>
        <w:t>another</w:t>
      </w:r>
      <w:r>
        <w:rPr>
          <w:color w:val="231F20"/>
          <w:spacing w:val="6"/>
          <w:sz w:val="13"/>
        </w:rPr>
        <w:t xml:space="preserve"> </w:t>
      </w:r>
      <w:r>
        <w:rPr>
          <w:color w:val="231F20"/>
          <w:sz w:val="13"/>
        </w:rPr>
        <w:t>person:</w:t>
      </w:r>
      <w:r>
        <w:rPr>
          <w:color w:val="231F20"/>
          <w:spacing w:val="5"/>
          <w:sz w:val="13"/>
        </w:rPr>
        <w:t xml:space="preserve"> </w:t>
      </w:r>
      <w:r>
        <w:rPr>
          <w:color w:val="231F20"/>
          <w:sz w:val="13"/>
        </w:rPr>
        <w:t>at</w:t>
      </w:r>
      <w:r>
        <w:rPr>
          <w:color w:val="231F20"/>
          <w:spacing w:val="6"/>
          <w:sz w:val="13"/>
        </w:rPr>
        <w:t xml:space="preserve"> </w:t>
      </w:r>
      <w:r>
        <w:rPr>
          <w:color w:val="231F20"/>
          <w:sz w:val="13"/>
        </w:rPr>
        <w:t>s</w:t>
      </w:r>
      <w:r>
        <w:rPr>
          <w:color w:val="231F20"/>
          <w:spacing w:val="5"/>
          <w:sz w:val="13"/>
        </w:rPr>
        <w:t xml:space="preserve"> </w:t>
      </w:r>
      <w:r>
        <w:rPr>
          <w:color w:val="231F20"/>
          <w:sz w:val="13"/>
        </w:rPr>
        <w:t>5(1).</w:t>
      </w:r>
      <w:r>
        <w:rPr>
          <w:color w:val="231F20"/>
          <w:spacing w:val="6"/>
          <w:sz w:val="13"/>
        </w:rPr>
        <w:t xml:space="preserve"> </w:t>
      </w:r>
      <w:r>
        <w:rPr>
          <w:color w:val="231F20"/>
          <w:sz w:val="13"/>
        </w:rPr>
        <w:t>See</w:t>
      </w:r>
      <w:r>
        <w:rPr>
          <w:color w:val="231F20"/>
          <w:spacing w:val="6"/>
          <w:sz w:val="13"/>
        </w:rPr>
        <w:t xml:space="preserve"> </w:t>
      </w:r>
      <w:r>
        <w:rPr>
          <w:color w:val="231F20"/>
          <w:spacing w:val="2"/>
          <w:sz w:val="13"/>
        </w:rPr>
        <w:t>also</w:t>
      </w:r>
      <w:r>
        <w:rPr>
          <w:color w:val="231F20"/>
          <w:spacing w:val="5"/>
          <w:sz w:val="13"/>
        </w:rPr>
        <w:t xml:space="preserve"> </w:t>
      </w:r>
      <w:r>
        <w:rPr>
          <w:color w:val="231F20"/>
          <w:sz w:val="13"/>
        </w:rPr>
        <w:t>s</w:t>
      </w:r>
      <w:r>
        <w:rPr>
          <w:color w:val="231F20"/>
          <w:spacing w:val="6"/>
          <w:sz w:val="13"/>
        </w:rPr>
        <w:t xml:space="preserve"> </w:t>
      </w:r>
      <w:r>
        <w:rPr>
          <w:color w:val="231F20"/>
          <w:sz w:val="13"/>
        </w:rPr>
        <w:t>176G(1)(a)(ii).</w:t>
      </w:r>
      <w:r>
        <w:rPr>
          <w:color w:val="231F20"/>
          <w:spacing w:val="5"/>
          <w:sz w:val="13"/>
        </w:rPr>
        <w:t xml:space="preserve"> </w:t>
      </w:r>
      <w:r>
        <w:rPr>
          <w:color w:val="231F20"/>
          <w:sz w:val="13"/>
        </w:rPr>
        <w:t>‘Family</w:t>
      </w:r>
      <w:r>
        <w:rPr>
          <w:color w:val="231F20"/>
          <w:spacing w:val="6"/>
          <w:sz w:val="13"/>
        </w:rPr>
        <w:t xml:space="preserve"> </w:t>
      </w:r>
      <w:r>
        <w:rPr>
          <w:color w:val="231F20"/>
          <w:sz w:val="13"/>
        </w:rPr>
        <w:t>members’</w:t>
      </w:r>
      <w:r>
        <w:rPr>
          <w:color w:val="231F20"/>
          <w:spacing w:val="5"/>
          <w:sz w:val="13"/>
        </w:rPr>
        <w:t xml:space="preserve"> </w:t>
      </w:r>
      <w:r>
        <w:rPr>
          <w:color w:val="231F20"/>
          <w:sz w:val="13"/>
        </w:rPr>
        <w:t>are</w:t>
      </w:r>
      <w:r>
        <w:rPr>
          <w:color w:val="231F20"/>
          <w:spacing w:val="6"/>
          <w:sz w:val="13"/>
        </w:rPr>
        <w:t xml:space="preserve"> </w:t>
      </w:r>
      <w:r>
        <w:rPr>
          <w:color w:val="231F20"/>
          <w:sz w:val="13"/>
        </w:rPr>
        <w:t>defined</w:t>
      </w:r>
      <w:r>
        <w:rPr>
          <w:color w:val="231F20"/>
          <w:spacing w:val="6"/>
          <w:sz w:val="13"/>
        </w:rPr>
        <w:t xml:space="preserve"> </w:t>
      </w:r>
      <w:r>
        <w:rPr>
          <w:color w:val="231F20"/>
          <w:sz w:val="13"/>
        </w:rPr>
        <w:t>to</w:t>
      </w:r>
      <w:r>
        <w:rPr>
          <w:color w:val="231F20"/>
          <w:spacing w:val="5"/>
          <w:sz w:val="13"/>
        </w:rPr>
        <w:t xml:space="preserve"> </w:t>
      </w:r>
      <w:r>
        <w:rPr>
          <w:color w:val="231F20"/>
          <w:sz w:val="13"/>
        </w:rPr>
        <w:t>include</w:t>
      </w:r>
      <w:r>
        <w:rPr>
          <w:color w:val="231F20"/>
          <w:spacing w:val="6"/>
          <w:sz w:val="13"/>
        </w:rPr>
        <w:t xml:space="preserve"> </w:t>
      </w:r>
      <w:r>
        <w:rPr>
          <w:color w:val="231F20"/>
          <w:sz w:val="13"/>
        </w:rPr>
        <w:t>current</w:t>
      </w:r>
      <w:r>
        <w:rPr>
          <w:color w:val="231F20"/>
          <w:spacing w:val="5"/>
          <w:sz w:val="13"/>
        </w:rPr>
        <w:t xml:space="preserve"> </w:t>
      </w:r>
      <w:r>
        <w:rPr>
          <w:color w:val="231F20"/>
          <w:sz w:val="13"/>
        </w:rPr>
        <w:t>or</w:t>
      </w:r>
      <w:r>
        <w:rPr>
          <w:color w:val="231F20"/>
          <w:spacing w:val="6"/>
          <w:sz w:val="13"/>
        </w:rPr>
        <w:t xml:space="preserve"> </w:t>
      </w:r>
      <w:r>
        <w:rPr>
          <w:color w:val="231F20"/>
          <w:sz w:val="13"/>
        </w:rPr>
        <w:t>former</w:t>
      </w:r>
      <w:r>
        <w:rPr>
          <w:color w:val="231F20"/>
          <w:spacing w:val="5"/>
          <w:sz w:val="13"/>
        </w:rPr>
        <w:t xml:space="preserve"> </w:t>
      </w:r>
      <w:r>
        <w:rPr>
          <w:color w:val="231F20"/>
          <w:spacing w:val="2"/>
          <w:sz w:val="13"/>
        </w:rPr>
        <w:t>partners,</w:t>
      </w:r>
      <w:r>
        <w:rPr>
          <w:color w:val="231F20"/>
          <w:spacing w:val="6"/>
          <w:sz w:val="13"/>
        </w:rPr>
        <w:t xml:space="preserve"> </w:t>
      </w:r>
      <w:r>
        <w:rPr>
          <w:color w:val="231F20"/>
          <w:sz w:val="13"/>
        </w:rPr>
        <w:t>people</w:t>
      </w:r>
    </w:p>
    <w:p w14:paraId="31A536FE" w14:textId="77777777" w:rsidR="00894070" w:rsidRDefault="009B7AFD">
      <w:pPr>
        <w:spacing w:line="213" w:lineRule="auto"/>
        <w:ind w:left="1800" w:right="1219"/>
        <w:rPr>
          <w:sz w:val="13"/>
        </w:rPr>
      </w:pPr>
      <w:r>
        <w:rPr>
          <w:color w:val="231F20"/>
          <w:sz w:val="13"/>
        </w:rPr>
        <w:t xml:space="preserve">who are or have been in intimate relationships (and their children), current or former relatives, children who normally or regularly reside (or previously did so) with the relevant person, or a person who is or was reasonably regarded as being a family member, given the overall circumstances of the relationship (for example, a </w:t>
      </w:r>
      <w:proofErr w:type="spellStart"/>
      <w:r>
        <w:rPr>
          <w:color w:val="231F20"/>
          <w:sz w:val="13"/>
        </w:rPr>
        <w:t>carer</w:t>
      </w:r>
      <w:proofErr w:type="spellEnd"/>
      <w:r>
        <w:rPr>
          <w:color w:val="231F20"/>
          <w:sz w:val="13"/>
        </w:rPr>
        <w:t xml:space="preserve"> or someone culturally </w:t>
      </w:r>
      <w:proofErr w:type="spellStart"/>
      <w:r>
        <w:rPr>
          <w:color w:val="231F20"/>
          <w:sz w:val="13"/>
        </w:rPr>
        <w:t>recognised</w:t>
      </w:r>
      <w:proofErr w:type="spellEnd"/>
      <w:r>
        <w:rPr>
          <w:color w:val="231F20"/>
          <w:sz w:val="13"/>
        </w:rPr>
        <w:t xml:space="preserve"> as a relative):</w:t>
      </w:r>
    </w:p>
    <w:p w14:paraId="2A3B7682" w14:textId="77777777" w:rsidR="00894070" w:rsidRDefault="009B7AFD">
      <w:pPr>
        <w:spacing w:line="152" w:lineRule="exact"/>
        <w:ind w:left="1800"/>
        <w:rPr>
          <w:i/>
          <w:sz w:val="13"/>
        </w:rPr>
      </w:pPr>
      <w:r>
        <w:rPr>
          <w:color w:val="231F20"/>
          <w:sz w:val="13"/>
        </w:rPr>
        <w:t xml:space="preserve">at s 8. See also Sentencing Advisory Council (Vic), </w:t>
      </w:r>
      <w:r>
        <w:rPr>
          <w:i/>
          <w:color w:val="231F20"/>
          <w:sz w:val="13"/>
        </w:rPr>
        <w:t>Sentencing Breaches of Family Violence Intervention Orders and Safety Notices</w:t>
      </w:r>
    </w:p>
    <w:p w14:paraId="463E1099" w14:textId="77777777" w:rsidR="00894070" w:rsidRDefault="009B7AFD">
      <w:pPr>
        <w:spacing w:line="160" w:lineRule="exact"/>
        <w:ind w:left="1800"/>
        <w:rPr>
          <w:sz w:val="13"/>
        </w:rPr>
      </w:pPr>
      <w:r>
        <w:rPr>
          <w:color w:val="231F20"/>
          <w:sz w:val="13"/>
        </w:rPr>
        <w:t>(Report, May 2022) [2.4].</w:t>
      </w:r>
    </w:p>
    <w:p w14:paraId="560FA056" w14:textId="77777777" w:rsidR="00894070" w:rsidRDefault="009B7AFD">
      <w:pPr>
        <w:pStyle w:val="ListParagraph"/>
        <w:numPr>
          <w:ilvl w:val="0"/>
          <w:numId w:val="172"/>
        </w:numPr>
        <w:tabs>
          <w:tab w:val="left" w:pos="1801"/>
          <w:tab w:val="left" w:pos="1802"/>
        </w:tabs>
        <w:spacing w:line="160" w:lineRule="exact"/>
        <w:rPr>
          <w:sz w:val="13"/>
        </w:rPr>
      </w:pPr>
      <w:r>
        <w:rPr>
          <w:i/>
          <w:color w:val="231F20"/>
          <w:sz w:val="13"/>
        </w:rPr>
        <w:t xml:space="preserve">Family Violence Protection Act 2008 </w:t>
      </w:r>
      <w:r>
        <w:rPr>
          <w:color w:val="231F20"/>
          <w:sz w:val="13"/>
        </w:rPr>
        <w:t xml:space="preserve">(Vic) ss </w:t>
      </w:r>
      <w:r>
        <w:rPr>
          <w:color w:val="231F20"/>
          <w:spacing w:val="2"/>
          <w:sz w:val="13"/>
        </w:rPr>
        <w:t>123, 123A,</w:t>
      </w:r>
      <w:r>
        <w:rPr>
          <w:color w:val="231F20"/>
          <w:spacing w:val="1"/>
          <w:sz w:val="13"/>
        </w:rPr>
        <w:t xml:space="preserve"> </w:t>
      </w:r>
      <w:r>
        <w:rPr>
          <w:color w:val="231F20"/>
          <w:spacing w:val="3"/>
          <w:sz w:val="13"/>
        </w:rPr>
        <w:t>125A.</w:t>
      </w:r>
    </w:p>
    <w:p w14:paraId="3086EC85" w14:textId="77777777" w:rsidR="00894070" w:rsidRDefault="009B7AFD">
      <w:pPr>
        <w:pStyle w:val="ListParagraph"/>
        <w:numPr>
          <w:ilvl w:val="0"/>
          <w:numId w:val="172"/>
        </w:numPr>
        <w:tabs>
          <w:tab w:val="left" w:pos="1801"/>
          <w:tab w:val="left" w:pos="1802"/>
        </w:tabs>
        <w:spacing w:line="160" w:lineRule="exact"/>
        <w:rPr>
          <w:sz w:val="13"/>
        </w:rPr>
      </w:pPr>
      <w:r>
        <w:rPr>
          <w:i/>
          <w:color w:val="231F20"/>
          <w:sz w:val="13"/>
        </w:rPr>
        <w:t xml:space="preserve">Personal Safety Intervention Orders Act 2010 </w:t>
      </w:r>
      <w:r>
        <w:rPr>
          <w:color w:val="231F20"/>
          <w:sz w:val="13"/>
        </w:rPr>
        <w:t>(Vic) ss 1,</w:t>
      </w:r>
      <w:r>
        <w:rPr>
          <w:color w:val="231F20"/>
          <w:spacing w:val="3"/>
          <w:sz w:val="13"/>
        </w:rPr>
        <w:t xml:space="preserve"> </w:t>
      </w:r>
      <w:r>
        <w:rPr>
          <w:color w:val="231F20"/>
          <w:sz w:val="13"/>
        </w:rPr>
        <w:t>10.</w:t>
      </w:r>
    </w:p>
    <w:p w14:paraId="432C65A9" w14:textId="77777777" w:rsidR="00894070" w:rsidRDefault="009B7AFD">
      <w:pPr>
        <w:pStyle w:val="ListParagraph"/>
        <w:numPr>
          <w:ilvl w:val="0"/>
          <w:numId w:val="172"/>
        </w:numPr>
        <w:tabs>
          <w:tab w:val="left" w:pos="1801"/>
          <w:tab w:val="left" w:pos="1802"/>
        </w:tabs>
        <w:spacing w:line="160" w:lineRule="exact"/>
        <w:rPr>
          <w:sz w:val="13"/>
        </w:rPr>
      </w:pPr>
      <w:r>
        <w:rPr>
          <w:color w:val="231F20"/>
          <w:sz w:val="13"/>
        </w:rPr>
        <w:t>Ibid s 100.</w:t>
      </w:r>
    </w:p>
    <w:p w14:paraId="1944D8D7" w14:textId="77777777" w:rsidR="00894070" w:rsidRDefault="009B7AFD">
      <w:pPr>
        <w:pStyle w:val="ListParagraph"/>
        <w:numPr>
          <w:ilvl w:val="0"/>
          <w:numId w:val="172"/>
        </w:numPr>
        <w:tabs>
          <w:tab w:val="left" w:pos="1801"/>
          <w:tab w:val="left" w:pos="1802"/>
        </w:tabs>
        <w:spacing w:before="1" w:line="213" w:lineRule="auto"/>
        <w:ind w:right="1194"/>
        <w:rPr>
          <w:sz w:val="13"/>
        </w:rPr>
      </w:pPr>
      <w:r>
        <w:rPr>
          <w:color w:val="231F20"/>
          <w:sz w:val="13"/>
        </w:rPr>
        <w:t xml:space="preserve">Tim </w:t>
      </w:r>
      <w:proofErr w:type="spellStart"/>
      <w:r>
        <w:rPr>
          <w:color w:val="231F20"/>
          <w:sz w:val="13"/>
        </w:rPr>
        <w:t>Boehnlein</w:t>
      </w:r>
      <w:proofErr w:type="spellEnd"/>
      <w:r>
        <w:rPr>
          <w:color w:val="231F20"/>
          <w:sz w:val="13"/>
        </w:rPr>
        <w:t xml:space="preserve"> et </w:t>
      </w:r>
      <w:r>
        <w:rPr>
          <w:color w:val="231F20"/>
          <w:spacing w:val="2"/>
          <w:sz w:val="13"/>
        </w:rPr>
        <w:t xml:space="preserve">al, </w:t>
      </w:r>
      <w:r>
        <w:rPr>
          <w:color w:val="231F20"/>
          <w:sz w:val="13"/>
        </w:rPr>
        <w:t xml:space="preserve">‘Responding to Stalking Victims: Perceptions, </w:t>
      </w:r>
      <w:r>
        <w:rPr>
          <w:color w:val="231F20"/>
          <w:spacing w:val="2"/>
          <w:sz w:val="13"/>
        </w:rPr>
        <w:t xml:space="preserve">Barriers, </w:t>
      </w:r>
      <w:r>
        <w:rPr>
          <w:color w:val="231F20"/>
          <w:sz w:val="13"/>
        </w:rPr>
        <w:t xml:space="preserve">and Directions for Future Research’ (2020) 35(7)     </w:t>
      </w:r>
      <w:r>
        <w:rPr>
          <w:i/>
          <w:color w:val="231F20"/>
          <w:sz w:val="13"/>
        </w:rPr>
        <w:t xml:space="preserve">Journal of Family Violence </w:t>
      </w:r>
      <w:r>
        <w:rPr>
          <w:color w:val="231F20"/>
          <w:spacing w:val="2"/>
          <w:sz w:val="13"/>
        </w:rPr>
        <w:t xml:space="preserve">755, </w:t>
      </w:r>
      <w:r>
        <w:rPr>
          <w:color w:val="231F20"/>
          <w:sz w:val="13"/>
        </w:rPr>
        <w:t xml:space="preserve">756–7; Jeff Gavin and Adrian J Scott, ‘The Influence of the Sex of and Prior Relationship between   the Perpetrator and Victim on Perceptions of Stalking: A Qualitative Analysis’ (2016) </w:t>
      </w:r>
      <w:r>
        <w:rPr>
          <w:color w:val="231F20"/>
          <w:spacing w:val="2"/>
          <w:sz w:val="13"/>
        </w:rPr>
        <w:t xml:space="preserve">23(5) </w:t>
      </w:r>
      <w:r>
        <w:rPr>
          <w:i/>
          <w:color w:val="231F20"/>
          <w:sz w:val="13"/>
        </w:rPr>
        <w:t xml:space="preserve">Psychiatry, Psychology and Law </w:t>
      </w:r>
      <w:r>
        <w:rPr>
          <w:color w:val="231F20"/>
          <w:sz w:val="13"/>
        </w:rPr>
        <w:t xml:space="preserve">716, 718; </w:t>
      </w:r>
      <w:r>
        <w:rPr>
          <w:color w:val="231F20"/>
          <w:spacing w:val="-3"/>
          <w:sz w:val="13"/>
        </w:rPr>
        <w:t xml:space="preserve">Troy  </w:t>
      </w:r>
      <w:r>
        <w:rPr>
          <w:color w:val="231F20"/>
          <w:sz w:val="13"/>
        </w:rPr>
        <w:t xml:space="preserve">E McEwan and Michael R Davis, </w:t>
      </w:r>
      <w:r>
        <w:rPr>
          <w:color w:val="231F20"/>
          <w:spacing w:val="2"/>
          <w:sz w:val="13"/>
        </w:rPr>
        <w:t xml:space="preserve">‘Is </w:t>
      </w:r>
      <w:r>
        <w:rPr>
          <w:color w:val="231F20"/>
          <w:sz w:val="13"/>
        </w:rPr>
        <w:t xml:space="preserve">There a </w:t>
      </w:r>
      <w:r>
        <w:rPr>
          <w:color w:val="231F20"/>
          <w:spacing w:val="2"/>
          <w:sz w:val="13"/>
        </w:rPr>
        <w:t xml:space="preserve">“Best” </w:t>
      </w:r>
      <w:r>
        <w:rPr>
          <w:color w:val="231F20"/>
          <w:sz w:val="13"/>
        </w:rPr>
        <w:t xml:space="preserve">Stalking Typology?: Parsing the Heterogeneity of Stalking and Stalkers in    an Australian Sample’ in Heng </w:t>
      </w:r>
      <w:proofErr w:type="spellStart"/>
      <w:r>
        <w:rPr>
          <w:color w:val="231F20"/>
          <w:sz w:val="13"/>
        </w:rPr>
        <w:t>Choon</w:t>
      </w:r>
      <w:proofErr w:type="spellEnd"/>
      <w:r>
        <w:rPr>
          <w:color w:val="231F20"/>
          <w:sz w:val="13"/>
        </w:rPr>
        <w:t xml:space="preserve"> (Oliver)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An International Perspective </w:t>
      </w:r>
      <w:r>
        <w:rPr>
          <w:color w:val="231F20"/>
          <w:sz w:val="13"/>
        </w:rPr>
        <w:t xml:space="preserve">(John Wiley and Sons, 2020) </w:t>
      </w:r>
      <w:r>
        <w:rPr>
          <w:color w:val="231F20"/>
          <w:spacing w:val="3"/>
          <w:sz w:val="13"/>
        </w:rPr>
        <w:t xml:space="preserve">115, </w:t>
      </w:r>
      <w:r>
        <w:rPr>
          <w:color w:val="231F20"/>
          <w:sz w:val="13"/>
        </w:rPr>
        <w:t xml:space="preserve">132; </w:t>
      </w:r>
      <w:r>
        <w:rPr>
          <w:color w:val="231F20"/>
          <w:spacing w:val="-3"/>
          <w:sz w:val="13"/>
        </w:rPr>
        <w:t xml:space="preserve">Troy </w:t>
      </w:r>
      <w:r>
        <w:rPr>
          <w:color w:val="231F20"/>
          <w:sz w:val="13"/>
        </w:rPr>
        <w:t xml:space="preserve">McEwan, Paul E Mullen and </w:t>
      </w:r>
      <w:r>
        <w:rPr>
          <w:color w:val="231F20"/>
          <w:spacing w:val="2"/>
          <w:sz w:val="13"/>
        </w:rPr>
        <w:t xml:space="preserve">Rosemary </w:t>
      </w:r>
      <w:r>
        <w:rPr>
          <w:color w:val="231F20"/>
          <w:sz w:val="13"/>
        </w:rPr>
        <w:t xml:space="preserve">Purcell, </w:t>
      </w:r>
      <w:r>
        <w:rPr>
          <w:color w:val="231F20"/>
          <w:spacing w:val="2"/>
          <w:sz w:val="13"/>
        </w:rPr>
        <w:t>‘Identifying</w:t>
      </w:r>
      <w:r>
        <w:rPr>
          <w:color w:val="231F20"/>
          <w:spacing w:val="4"/>
          <w:sz w:val="13"/>
        </w:rPr>
        <w:t xml:space="preserve"> </w:t>
      </w:r>
      <w:r>
        <w:rPr>
          <w:color w:val="231F20"/>
          <w:sz w:val="13"/>
        </w:rPr>
        <w:t>Risk</w:t>
      </w:r>
      <w:r>
        <w:rPr>
          <w:color w:val="231F20"/>
          <w:spacing w:val="4"/>
          <w:sz w:val="13"/>
        </w:rPr>
        <w:t xml:space="preserve"> </w:t>
      </w:r>
      <w:r>
        <w:rPr>
          <w:color w:val="231F20"/>
          <w:sz w:val="13"/>
        </w:rPr>
        <w:t>Factors</w:t>
      </w:r>
      <w:r>
        <w:rPr>
          <w:color w:val="231F20"/>
          <w:spacing w:val="4"/>
          <w:sz w:val="13"/>
        </w:rPr>
        <w:t xml:space="preserve"> </w:t>
      </w:r>
      <w:r>
        <w:rPr>
          <w:color w:val="231F20"/>
          <w:sz w:val="13"/>
        </w:rPr>
        <w:t>in</w:t>
      </w:r>
      <w:r>
        <w:rPr>
          <w:color w:val="231F20"/>
          <w:spacing w:val="4"/>
          <w:sz w:val="13"/>
        </w:rPr>
        <w:t xml:space="preserve"> </w:t>
      </w:r>
      <w:r>
        <w:rPr>
          <w:color w:val="231F20"/>
          <w:sz w:val="13"/>
        </w:rPr>
        <w:t>Stalking:</w:t>
      </w:r>
      <w:r>
        <w:rPr>
          <w:color w:val="231F20"/>
          <w:spacing w:val="5"/>
          <w:sz w:val="13"/>
        </w:rPr>
        <w:t xml:space="preserve"> </w:t>
      </w:r>
      <w:r>
        <w:rPr>
          <w:color w:val="231F20"/>
          <w:sz w:val="13"/>
        </w:rPr>
        <w:t>A</w:t>
      </w:r>
      <w:r>
        <w:rPr>
          <w:color w:val="231F20"/>
          <w:spacing w:val="4"/>
          <w:sz w:val="13"/>
        </w:rPr>
        <w:t xml:space="preserve"> </w:t>
      </w:r>
      <w:r>
        <w:rPr>
          <w:color w:val="231F20"/>
          <w:sz w:val="13"/>
        </w:rPr>
        <w:t>Review</w:t>
      </w:r>
      <w:r>
        <w:rPr>
          <w:color w:val="231F20"/>
          <w:spacing w:val="4"/>
          <w:sz w:val="13"/>
        </w:rPr>
        <w:t xml:space="preserve"> </w:t>
      </w:r>
      <w:r>
        <w:rPr>
          <w:color w:val="231F20"/>
          <w:sz w:val="13"/>
        </w:rPr>
        <w:t>of</w:t>
      </w:r>
      <w:r>
        <w:rPr>
          <w:color w:val="231F20"/>
          <w:spacing w:val="4"/>
          <w:sz w:val="13"/>
        </w:rPr>
        <w:t xml:space="preserve"> </w:t>
      </w:r>
      <w:r>
        <w:rPr>
          <w:color w:val="231F20"/>
          <w:sz w:val="13"/>
        </w:rPr>
        <w:t>Current</w:t>
      </w:r>
      <w:r>
        <w:rPr>
          <w:color w:val="231F20"/>
          <w:spacing w:val="5"/>
          <w:sz w:val="13"/>
        </w:rPr>
        <w:t xml:space="preserve"> </w:t>
      </w:r>
      <w:r>
        <w:rPr>
          <w:color w:val="231F20"/>
          <w:sz w:val="13"/>
        </w:rPr>
        <w:t>Research’</w:t>
      </w:r>
      <w:r>
        <w:rPr>
          <w:color w:val="231F20"/>
          <w:spacing w:val="4"/>
          <w:sz w:val="13"/>
        </w:rPr>
        <w:t xml:space="preserve"> </w:t>
      </w:r>
      <w:r>
        <w:rPr>
          <w:color w:val="231F20"/>
          <w:sz w:val="13"/>
        </w:rPr>
        <w:t>(2007)</w:t>
      </w:r>
      <w:r>
        <w:rPr>
          <w:color w:val="231F20"/>
          <w:spacing w:val="4"/>
          <w:sz w:val="13"/>
        </w:rPr>
        <w:t xml:space="preserve"> </w:t>
      </w:r>
      <w:r>
        <w:rPr>
          <w:color w:val="231F20"/>
          <w:spacing w:val="2"/>
          <w:sz w:val="13"/>
        </w:rPr>
        <w:t>30(1)</w:t>
      </w:r>
      <w:r>
        <w:rPr>
          <w:color w:val="231F20"/>
          <w:spacing w:val="4"/>
          <w:sz w:val="13"/>
        </w:rPr>
        <w:t xml:space="preserve"> </w:t>
      </w:r>
      <w:r>
        <w:rPr>
          <w:i/>
          <w:color w:val="231F20"/>
          <w:sz w:val="13"/>
        </w:rPr>
        <w:t>International</w:t>
      </w:r>
      <w:r>
        <w:rPr>
          <w:i/>
          <w:color w:val="231F20"/>
          <w:spacing w:val="5"/>
          <w:sz w:val="13"/>
        </w:rPr>
        <w:t xml:space="preserve"> </w:t>
      </w:r>
      <w:r>
        <w:rPr>
          <w:i/>
          <w:color w:val="231F20"/>
          <w:sz w:val="13"/>
        </w:rPr>
        <w:t>Journal</w:t>
      </w:r>
      <w:r>
        <w:rPr>
          <w:i/>
          <w:color w:val="231F20"/>
          <w:spacing w:val="4"/>
          <w:sz w:val="13"/>
        </w:rPr>
        <w:t xml:space="preserve"> </w:t>
      </w:r>
      <w:r>
        <w:rPr>
          <w:i/>
          <w:color w:val="231F20"/>
          <w:sz w:val="13"/>
        </w:rPr>
        <w:t>of</w:t>
      </w:r>
      <w:r>
        <w:rPr>
          <w:i/>
          <w:color w:val="231F20"/>
          <w:spacing w:val="3"/>
          <w:sz w:val="13"/>
        </w:rPr>
        <w:t xml:space="preserve"> </w:t>
      </w:r>
      <w:r>
        <w:rPr>
          <w:i/>
          <w:color w:val="231F20"/>
          <w:sz w:val="13"/>
        </w:rPr>
        <w:t>Law</w:t>
      </w:r>
      <w:r>
        <w:rPr>
          <w:i/>
          <w:color w:val="231F20"/>
          <w:spacing w:val="4"/>
          <w:sz w:val="13"/>
        </w:rPr>
        <w:t xml:space="preserve"> </w:t>
      </w:r>
      <w:r>
        <w:rPr>
          <w:i/>
          <w:color w:val="231F20"/>
          <w:sz w:val="13"/>
        </w:rPr>
        <w:t>and</w:t>
      </w:r>
      <w:r>
        <w:rPr>
          <w:i/>
          <w:color w:val="231F20"/>
          <w:spacing w:val="4"/>
          <w:sz w:val="13"/>
        </w:rPr>
        <w:t xml:space="preserve"> </w:t>
      </w:r>
      <w:r>
        <w:rPr>
          <w:i/>
          <w:color w:val="231F20"/>
          <w:sz w:val="13"/>
        </w:rPr>
        <w:t>Psychiatry</w:t>
      </w:r>
      <w:r>
        <w:rPr>
          <w:i/>
          <w:color w:val="231F20"/>
          <w:spacing w:val="4"/>
          <w:sz w:val="13"/>
        </w:rPr>
        <w:t xml:space="preserve"> </w:t>
      </w:r>
      <w:r>
        <w:rPr>
          <w:color w:val="231F20"/>
          <w:sz w:val="13"/>
        </w:rPr>
        <w:t>1,</w:t>
      </w:r>
    </w:p>
    <w:p w14:paraId="013F7EC9" w14:textId="77777777" w:rsidR="00894070" w:rsidRDefault="009F6793">
      <w:pPr>
        <w:spacing w:line="213" w:lineRule="auto"/>
        <w:ind w:left="1801" w:right="1477"/>
        <w:rPr>
          <w:sz w:val="13"/>
        </w:rPr>
      </w:pPr>
      <w:r>
        <w:pict w14:anchorId="6CAC470C">
          <v:shape id="_x0000_s1675" type="#_x0000_t202" style="position:absolute;left:0;text-align:left;margin-left:549.35pt;margin-top:43.4pt;width:12.45pt;height:14.1pt;z-index:251493376;mso-position-horizontal-relative:page" filled="f" stroked="f">
            <v:textbox inset="0,0,0,0">
              <w:txbxContent>
                <w:p w14:paraId="60D6F4BD" w14:textId="77777777" w:rsidR="00894070" w:rsidRDefault="009B7AFD">
                  <w:pPr>
                    <w:spacing w:line="282" w:lineRule="exact"/>
                    <w:rPr>
                      <w:b/>
                      <w:sz w:val="24"/>
                    </w:rPr>
                  </w:pPr>
                  <w:r>
                    <w:rPr>
                      <w:b/>
                      <w:color w:val="EA5B50"/>
                      <w:spacing w:val="-2"/>
                      <w:sz w:val="24"/>
                    </w:rPr>
                    <w:t>13</w:t>
                  </w:r>
                </w:p>
              </w:txbxContent>
            </v:textbox>
            <w10:wrap anchorx="page"/>
          </v:shape>
        </w:pict>
      </w:r>
      <w:r w:rsidR="009B7AFD">
        <w:rPr>
          <w:color w:val="231F20"/>
          <w:sz w:val="13"/>
        </w:rPr>
        <w:t xml:space="preserve">2–3; Adrian J Scott and Lorraine </w:t>
      </w:r>
      <w:r w:rsidR="009B7AFD">
        <w:rPr>
          <w:color w:val="231F20"/>
          <w:spacing w:val="2"/>
          <w:sz w:val="13"/>
        </w:rPr>
        <w:t xml:space="preserve">Sheridan, </w:t>
      </w:r>
      <w:r w:rsidR="009B7AFD">
        <w:rPr>
          <w:color w:val="231F20"/>
          <w:sz w:val="13"/>
        </w:rPr>
        <w:t xml:space="preserve">‘“Reasonable” Perceptions of Stalking: The Influence of Conduct Severity and the Perpetrator–Target Relationship’ </w:t>
      </w:r>
      <w:r w:rsidR="009B7AFD">
        <w:rPr>
          <w:color w:val="231F20"/>
          <w:spacing w:val="2"/>
          <w:sz w:val="13"/>
        </w:rPr>
        <w:t xml:space="preserve">(2011) </w:t>
      </w:r>
      <w:r w:rsidR="009B7AFD">
        <w:rPr>
          <w:color w:val="231F20"/>
          <w:sz w:val="13"/>
        </w:rPr>
        <w:t xml:space="preserve">17(4) </w:t>
      </w:r>
      <w:r w:rsidR="009B7AFD">
        <w:rPr>
          <w:i/>
          <w:color w:val="231F20"/>
          <w:sz w:val="13"/>
        </w:rPr>
        <w:t xml:space="preserve">Psychology, Crime and Law </w:t>
      </w:r>
      <w:r w:rsidR="009B7AFD">
        <w:rPr>
          <w:color w:val="231F20"/>
          <w:sz w:val="13"/>
        </w:rPr>
        <w:t xml:space="preserve">331, 332; Sentencing Advisory Council (Vic), </w:t>
      </w:r>
      <w:r w:rsidR="009B7AFD">
        <w:rPr>
          <w:i/>
          <w:color w:val="231F20"/>
          <w:sz w:val="13"/>
        </w:rPr>
        <w:t xml:space="preserve">Sentencing Stalking in Victoria </w:t>
      </w:r>
      <w:r w:rsidR="009B7AFD">
        <w:rPr>
          <w:color w:val="231F20"/>
          <w:spacing w:val="2"/>
          <w:sz w:val="13"/>
        </w:rPr>
        <w:t xml:space="preserve">(Report, </w:t>
      </w:r>
      <w:r w:rsidR="009B7AFD">
        <w:rPr>
          <w:color w:val="231F20"/>
          <w:sz w:val="13"/>
        </w:rPr>
        <w:t>March 2022) xi [2.15]</w:t>
      </w:r>
      <w:proofErr w:type="gramStart"/>
      <w:r w:rsidR="009B7AFD">
        <w:rPr>
          <w:color w:val="231F20"/>
          <w:sz w:val="13"/>
        </w:rPr>
        <w:t>–[</w:t>
      </w:r>
      <w:proofErr w:type="gramEnd"/>
      <w:r w:rsidR="009B7AFD">
        <w:rPr>
          <w:color w:val="231F20"/>
          <w:sz w:val="13"/>
        </w:rPr>
        <w:t xml:space="preserve">2.16]. </w:t>
      </w:r>
      <w:r w:rsidR="009B7AFD">
        <w:rPr>
          <w:color w:val="231F20"/>
          <w:spacing w:val="2"/>
          <w:sz w:val="13"/>
        </w:rPr>
        <w:t xml:space="preserve">Other </w:t>
      </w:r>
      <w:r w:rsidR="009B7AFD">
        <w:rPr>
          <w:color w:val="231F20"/>
          <w:sz w:val="13"/>
        </w:rPr>
        <w:t xml:space="preserve">factors that may increase the </w:t>
      </w:r>
      <w:r w:rsidR="009B7AFD">
        <w:rPr>
          <w:color w:val="231F20"/>
          <w:spacing w:val="2"/>
          <w:sz w:val="13"/>
        </w:rPr>
        <w:t xml:space="preserve">likelihood </w:t>
      </w:r>
      <w:r w:rsidR="009B7AFD">
        <w:rPr>
          <w:color w:val="231F20"/>
          <w:sz w:val="13"/>
        </w:rPr>
        <w:t xml:space="preserve">or </w:t>
      </w:r>
      <w:r w:rsidR="009B7AFD">
        <w:rPr>
          <w:color w:val="231F20"/>
          <w:spacing w:val="2"/>
          <w:sz w:val="13"/>
        </w:rPr>
        <w:t xml:space="preserve">seriousness </w:t>
      </w:r>
      <w:r w:rsidR="009B7AFD">
        <w:rPr>
          <w:color w:val="231F20"/>
          <w:sz w:val="13"/>
        </w:rPr>
        <w:t xml:space="preserve">of harms arising from </w:t>
      </w:r>
      <w:r w:rsidR="009B7AFD">
        <w:rPr>
          <w:color w:val="231F20"/>
          <w:spacing w:val="2"/>
          <w:sz w:val="13"/>
        </w:rPr>
        <w:t xml:space="preserve">stalking </w:t>
      </w:r>
      <w:r w:rsidR="009B7AFD">
        <w:rPr>
          <w:color w:val="231F20"/>
          <w:sz w:val="13"/>
        </w:rPr>
        <w:t xml:space="preserve">include threatened or actual violence; whether the offender has </w:t>
      </w:r>
      <w:r w:rsidR="009B7AFD">
        <w:rPr>
          <w:color w:val="231F20"/>
          <w:spacing w:val="2"/>
          <w:sz w:val="13"/>
        </w:rPr>
        <w:t xml:space="preserve">substance </w:t>
      </w:r>
      <w:r w:rsidR="009B7AFD">
        <w:rPr>
          <w:color w:val="231F20"/>
          <w:sz w:val="13"/>
        </w:rPr>
        <w:t xml:space="preserve">abuse issues; whether the offender has a history of </w:t>
      </w:r>
      <w:r w:rsidR="009B7AFD">
        <w:rPr>
          <w:color w:val="231F20"/>
          <w:spacing w:val="2"/>
          <w:sz w:val="13"/>
        </w:rPr>
        <w:t xml:space="preserve">property </w:t>
      </w:r>
      <w:r w:rsidR="009B7AFD">
        <w:rPr>
          <w:color w:val="231F20"/>
          <w:sz w:val="13"/>
        </w:rPr>
        <w:t xml:space="preserve">damage (especially for former partners); whether the offender has physically approached     the victim; and the gender of the offender and the victim: with male stalkers being more common than female </w:t>
      </w:r>
      <w:r w:rsidR="009B7AFD">
        <w:rPr>
          <w:color w:val="231F20"/>
          <w:spacing w:val="2"/>
          <w:sz w:val="13"/>
        </w:rPr>
        <w:t xml:space="preserve">stalkers, </w:t>
      </w:r>
      <w:r w:rsidR="009B7AFD">
        <w:rPr>
          <w:color w:val="231F20"/>
          <w:sz w:val="13"/>
        </w:rPr>
        <w:t>female victims</w:t>
      </w:r>
      <w:r w:rsidR="009B7AFD">
        <w:rPr>
          <w:color w:val="231F20"/>
          <w:spacing w:val="3"/>
          <w:sz w:val="13"/>
        </w:rPr>
        <w:t xml:space="preserve"> </w:t>
      </w:r>
      <w:r w:rsidR="009B7AFD">
        <w:rPr>
          <w:color w:val="231F20"/>
          <w:sz w:val="13"/>
        </w:rPr>
        <w:t>being</w:t>
      </w:r>
      <w:r w:rsidR="009B7AFD">
        <w:rPr>
          <w:color w:val="231F20"/>
          <w:spacing w:val="4"/>
          <w:sz w:val="13"/>
        </w:rPr>
        <w:t xml:space="preserve"> </w:t>
      </w:r>
      <w:r w:rsidR="009B7AFD">
        <w:rPr>
          <w:color w:val="231F20"/>
          <w:sz w:val="13"/>
        </w:rPr>
        <w:t>more</w:t>
      </w:r>
      <w:r w:rsidR="009B7AFD">
        <w:rPr>
          <w:color w:val="231F20"/>
          <w:spacing w:val="3"/>
          <w:sz w:val="13"/>
        </w:rPr>
        <w:t xml:space="preserve"> </w:t>
      </w:r>
      <w:r w:rsidR="009B7AFD">
        <w:rPr>
          <w:color w:val="231F20"/>
          <w:sz w:val="13"/>
        </w:rPr>
        <w:t>common</w:t>
      </w:r>
      <w:r w:rsidR="009B7AFD">
        <w:rPr>
          <w:color w:val="231F20"/>
          <w:spacing w:val="4"/>
          <w:sz w:val="13"/>
        </w:rPr>
        <w:t xml:space="preserve"> </w:t>
      </w:r>
      <w:r w:rsidR="009B7AFD">
        <w:rPr>
          <w:color w:val="231F20"/>
          <w:sz w:val="13"/>
        </w:rPr>
        <w:t>than</w:t>
      </w:r>
      <w:r w:rsidR="009B7AFD">
        <w:rPr>
          <w:color w:val="231F20"/>
          <w:spacing w:val="4"/>
          <w:sz w:val="13"/>
        </w:rPr>
        <w:t xml:space="preserve"> </w:t>
      </w:r>
      <w:r w:rsidR="009B7AFD">
        <w:rPr>
          <w:color w:val="231F20"/>
          <w:sz w:val="13"/>
        </w:rPr>
        <w:t>male</w:t>
      </w:r>
      <w:r w:rsidR="009B7AFD">
        <w:rPr>
          <w:color w:val="231F20"/>
          <w:spacing w:val="3"/>
          <w:sz w:val="13"/>
        </w:rPr>
        <w:t xml:space="preserve"> </w:t>
      </w:r>
      <w:r w:rsidR="009B7AFD">
        <w:rPr>
          <w:color w:val="231F20"/>
          <w:sz w:val="13"/>
        </w:rPr>
        <w:t>victims,</w:t>
      </w:r>
      <w:r w:rsidR="009B7AFD">
        <w:rPr>
          <w:color w:val="231F20"/>
          <w:spacing w:val="4"/>
          <w:sz w:val="13"/>
        </w:rPr>
        <w:t xml:space="preserve"> </w:t>
      </w:r>
      <w:r w:rsidR="009B7AFD">
        <w:rPr>
          <w:color w:val="231F20"/>
          <w:sz w:val="13"/>
        </w:rPr>
        <w:t>and</w:t>
      </w:r>
      <w:r w:rsidR="009B7AFD">
        <w:rPr>
          <w:color w:val="231F20"/>
          <w:spacing w:val="4"/>
          <w:sz w:val="13"/>
        </w:rPr>
        <w:t xml:space="preserve"> </w:t>
      </w:r>
      <w:r w:rsidR="009B7AFD">
        <w:rPr>
          <w:color w:val="231F20"/>
          <w:sz w:val="13"/>
        </w:rPr>
        <w:t>female</w:t>
      </w:r>
      <w:r w:rsidR="009B7AFD">
        <w:rPr>
          <w:color w:val="231F20"/>
          <w:spacing w:val="3"/>
          <w:sz w:val="13"/>
        </w:rPr>
        <w:t xml:space="preserve"> </w:t>
      </w:r>
      <w:r w:rsidR="009B7AFD">
        <w:rPr>
          <w:color w:val="231F20"/>
          <w:sz w:val="13"/>
        </w:rPr>
        <w:t>victims</w:t>
      </w:r>
      <w:r w:rsidR="009B7AFD">
        <w:rPr>
          <w:color w:val="231F20"/>
          <w:spacing w:val="4"/>
          <w:sz w:val="13"/>
        </w:rPr>
        <w:t xml:space="preserve"> </w:t>
      </w:r>
      <w:r w:rsidR="009B7AFD">
        <w:rPr>
          <w:color w:val="231F20"/>
          <w:sz w:val="13"/>
        </w:rPr>
        <w:t>of</w:t>
      </w:r>
      <w:r w:rsidR="009B7AFD">
        <w:rPr>
          <w:color w:val="231F20"/>
          <w:spacing w:val="4"/>
          <w:sz w:val="13"/>
        </w:rPr>
        <w:t xml:space="preserve"> </w:t>
      </w:r>
      <w:r w:rsidR="009B7AFD">
        <w:rPr>
          <w:color w:val="231F20"/>
          <w:sz w:val="13"/>
        </w:rPr>
        <w:t>male</w:t>
      </w:r>
      <w:r w:rsidR="009B7AFD">
        <w:rPr>
          <w:color w:val="231F20"/>
          <w:spacing w:val="3"/>
          <w:sz w:val="13"/>
        </w:rPr>
        <w:t xml:space="preserve"> </w:t>
      </w:r>
      <w:r w:rsidR="009B7AFD">
        <w:rPr>
          <w:color w:val="231F20"/>
          <w:sz w:val="13"/>
        </w:rPr>
        <w:t>stalkers</w:t>
      </w:r>
      <w:r w:rsidR="009B7AFD">
        <w:rPr>
          <w:color w:val="231F20"/>
          <w:spacing w:val="4"/>
          <w:sz w:val="13"/>
        </w:rPr>
        <w:t xml:space="preserve"> </w:t>
      </w:r>
      <w:r w:rsidR="009B7AFD">
        <w:rPr>
          <w:color w:val="231F20"/>
          <w:spacing w:val="2"/>
          <w:sz w:val="13"/>
        </w:rPr>
        <w:t>experiencing</w:t>
      </w:r>
      <w:r w:rsidR="009B7AFD">
        <w:rPr>
          <w:color w:val="231F20"/>
          <w:spacing w:val="4"/>
          <w:sz w:val="13"/>
        </w:rPr>
        <w:t xml:space="preserve"> </w:t>
      </w:r>
      <w:r w:rsidR="009B7AFD">
        <w:rPr>
          <w:color w:val="231F20"/>
          <w:sz w:val="13"/>
        </w:rPr>
        <w:t>more</w:t>
      </w:r>
      <w:r w:rsidR="009B7AFD">
        <w:rPr>
          <w:color w:val="231F20"/>
          <w:spacing w:val="3"/>
          <w:sz w:val="13"/>
        </w:rPr>
        <w:t xml:space="preserve"> </w:t>
      </w:r>
      <w:r w:rsidR="009B7AFD">
        <w:rPr>
          <w:color w:val="231F20"/>
          <w:sz w:val="13"/>
        </w:rPr>
        <w:t>fear:</w:t>
      </w:r>
      <w:r w:rsidR="009B7AFD">
        <w:rPr>
          <w:color w:val="231F20"/>
          <w:spacing w:val="4"/>
          <w:sz w:val="13"/>
        </w:rPr>
        <w:t xml:space="preserve"> </w:t>
      </w:r>
      <w:r w:rsidR="009B7AFD">
        <w:rPr>
          <w:color w:val="231F20"/>
          <w:sz w:val="13"/>
        </w:rPr>
        <w:t>at</w:t>
      </w:r>
      <w:r w:rsidR="009B7AFD">
        <w:rPr>
          <w:color w:val="231F20"/>
          <w:spacing w:val="4"/>
          <w:sz w:val="13"/>
        </w:rPr>
        <w:t xml:space="preserve"> </w:t>
      </w:r>
      <w:r w:rsidR="009B7AFD">
        <w:rPr>
          <w:color w:val="231F20"/>
          <w:sz w:val="13"/>
        </w:rPr>
        <w:t>[2.16].</w:t>
      </w:r>
    </w:p>
    <w:p w14:paraId="7BEF8DDA" w14:textId="77777777" w:rsidR="00894070" w:rsidRDefault="00894070">
      <w:pPr>
        <w:spacing w:line="213" w:lineRule="auto"/>
        <w:rPr>
          <w:sz w:val="13"/>
        </w:rPr>
        <w:sectPr w:rsidR="00894070">
          <w:headerReference w:type="even" r:id="rId34"/>
          <w:headerReference w:type="default" r:id="rId35"/>
          <w:pgSz w:w="11910" w:h="16840"/>
          <w:pgMar w:top="840" w:right="420" w:bottom="280" w:left="580" w:header="0" w:footer="0" w:gutter="0"/>
          <w:cols w:space="720"/>
        </w:sectPr>
      </w:pPr>
    </w:p>
    <w:p w14:paraId="3021E42D" w14:textId="77777777" w:rsidR="00894070" w:rsidRDefault="00894070">
      <w:pPr>
        <w:pStyle w:val="BodyText"/>
      </w:pPr>
    </w:p>
    <w:p w14:paraId="1F3B5AA8" w14:textId="77777777" w:rsidR="00894070" w:rsidRDefault="00894070">
      <w:pPr>
        <w:pStyle w:val="BodyText"/>
      </w:pPr>
    </w:p>
    <w:p w14:paraId="43119D5F" w14:textId="77777777" w:rsidR="00894070" w:rsidRDefault="00894070">
      <w:pPr>
        <w:pStyle w:val="BodyText"/>
      </w:pPr>
    </w:p>
    <w:p w14:paraId="15CF2426" w14:textId="77777777" w:rsidR="00894070" w:rsidRDefault="009B7AFD">
      <w:pPr>
        <w:pStyle w:val="Heading7"/>
        <w:spacing w:before="212"/>
      </w:pPr>
      <w:bookmarkStart w:id="31" w:name="How_does_stalking_affect_people_who_expe"/>
      <w:bookmarkStart w:id="32" w:name="_bookmark14"/>
      <w:bookmarkEnd w:id="31"/>
      <w:bookmarkEnd w:id="32"/>
      <w:r>
        <w:rPr>
          <w:color w:val="EA5B50"/>
        </w:rPr>
        <w:t>How does stalking affect people who experience it?</w:t>
      </w:r>
    </w:p>
    <w:p w14:paraId="46AA8917" w14:textId="77777777" w:rsidR="00894070" w:rsidRDefault="009F6793">
      <w:pPr>
        <w:pStyle w:val="BodyText"/>
        <w:spacing w:before="1"/>
        <w:rPr>
          <w:rFonts w:ascii="Raleway ExtraBold"/>
          <w:b/>
          <w:sz w:val="25"/>
        </w:rPr>
      </w:pPr>
      <w:r>
        <w:pict w14:anchorId="282E964A">
          <v:shape id="_x0000_s1674" type="#_x0000_t202" style="position:absolute;margin-left:79.6pt;margin-top:19.65pt;width:436.05pt;height:98.1pt;z-index:251433984;mso-wrap-distance-left:0;mso-wrap-distance-right:0;mso-position-horizontal-relative:page" fillcolor="#fee7de" strokecolor="#ea5b50" strokeweight=".5pt">
            <v:textbox inset="0,0,0,0">
              <w:txbxContent>
                <w:p w14:paraId="5D8F0446" w14:textId="77777777" w:rsidR="00894070" w:rsidRDefault="009B7AFD">
                  <w:pPr>
                    <w:pStyle w:val="BodyText"/>
                    <w:spacing w:before="179"/>
                    <w:ind w:left="221"/>
                    <w:rPr>
                      <w:sz w:val="11"/>
                    </w:rPr>
                  </w:pPr>
                  <w:r>
                    <w:rPr>
                      <w:color w:val="231F20"/>
                    </w:rPr>
                    <w:t>I didn’t know how to express the fear I felt.</w:t>
                  </w:r>
                  <w:r>
                    <w:rPr>
                      <w:color w:val="231F20"/>
                      <w:position w:val="7"/>
                      <w:sz w:val="11"/>
                    </w:rPr>
                    <w:t>12</w:t>
                  </w:r>
                </w:p>
                <w:p w14:paraId="52A3CF50" w14:textId="77777777" w:rsidR="00894070" w:rsidRDefault="009B7AFD">
                  <w:pPr>
                    <w:pStyle w:val="BodyText"/>
                    <w:spacing w:before="82"/>
                    <w:ind w:left="221"/>
                    <w:rPr>
                      <w:sz w:val="11"/>
                    </w:rPr>
                  </w:pPr>
                  <w:r>
                    <w:rPr>
                      <w:color w:val="231F20"/>
                    </w:rPr>
                    <w:t>I became a prisoner in my own home.</w:t>
                  </w:r>
                  <w:r>
                    <w:rPr>
                      <w:color w:val="231F20"/>
                      <w:position w:val="7"/>
                      <w:sz w:val="11"/>
                    </w:rPr>
                    <w:t>13</w:t>
                  </w:r>
                </w:p>
                <w:p w14:paraId="715520C1" w14:textId="77777777" w:rsidR="00894070" w:rsidRDefault="009B7AFD">
                  <w:pPr>
                    <w:pStyle w:val="BodyText"/>
                    <w:spacing w:before="82"/>
                    <w:ind w:left="221"/>
                    <w:rPr>
                      <w:sz w:val="11"/>
                    </w:rPr>
                  </w:pPr>
                  <w:r>
                    <w:rPr>
                      <w:color w:val="231F20"/>
                    </w:rPr>
                    <w:t>I developed insomnia. He turns my dreams into nightmares.</w:t>
                  </w:r>
                  <w:r>
                    <w:rPr>
                      <w:color w:val="231F20"/>
                      <w:position w:val="7"/>
                      <w:sz w:val="11"/>
                    </w:rPr>
                    <w:t>14</w:t>
                  </w:r>
                </w:p>
                <w:p w14:paraId="69D66D25" w14:textId="77777777" w:rsidR="00894070" w:rsidRDefault="009B7AFD">
                  <w:pPr>
                    <w:pStyle w:val="BodyText"/>
                    <w:spacing w:before="83" w:line="259" w:lineRule="exact"/>
                    <w:ind w:left="221"/>
                  </w:pPr>
                  <w:r>
                    <w:rPr>
                      <w:color w:val="231F20"/>
                    </w:rPr>
                    <w:t>I am always on and hypervigilant. I can’t relax, rest or feel safe. I haven’t slept more than a</w:t>
                  </w:r>
                </w:p>
                <w:p w14:paraId="622606F8" w14:textId="77777777" w:rsidR="00894070" w:rsidRDefault="009B7AFD">
                  <w:pPr>
                    <w:pStyle w:val="BodyText"/>
                    <w:spacing w:line="259" w:lineRule="exact"/>
                    <w:ind w:left="221"/>
                    <w:rPr>
                      <w:sz w:val="11"/>
                    </w:rPr>
                  </w:pPr>
                  <w:r>
                    <w:rPr>
                      <w:color w:val="231F20"/>
                    </w:rPr>
                    <w:t>few hours in many years.</w:t>
                  </w:r>
                  <w:r>
                    <w:rPr>
                      <w:color w:val="231F20"/>
                      <w:position w:val="7"/>
                      <w:sz w:val="11"/>
                    </w:rPr>
                    <w:t>15</w:t>
                  </w:r>
                </w:p>
              </w:txbxContent>
            </v:textbox>
            <w10:wrap type="topAndBottom" anchorx="page"/>
          </v:shape>
        </w:pict>
      </w:r>
    </w:p>
    <w:p w14:paraId="175A158B" w14:textId="77777777" w:rsidR="00894070" w:rsidRDefault="00894070">
      <w:pPr>
        <w:pStyle w:val="BodyText"/>
        <w:spacing w:before="6"/>
        <w:rPr>
          <w:rFonts w:ascii="Raleway ExtraBold"/>
          <w:b/>
          <w:sz w:val="19"/>
        </w:rPr>
      </w:pPr>
    </w:p>
    <w:p w14:paraId="75F93555" w14:textId="77777777" w:rsidR="00894070" w:rsidRDefault="009B7AFD">
      <w:pPr>
        <w:pStyle w:val="ListParagraph"/>
        <w:numPr>
          <w:ilvl w:val="1"/>
          <w:numId w:val="177"/>
        </w:numPr>
        <w:tabs>
          <w:tab w:val="left" w:pos="1801"/>
          <w:tab w:val="left" w:pos="1802"/>
        </w:tabs>
        <w:spacing w:before="57" w:line="259" w:lineRule="exact"/>
        <w:rPr>
          <w:sz w:val="20"/>
        </w:rPr>
      </w:pPr>
      <w:r>
        <w:rPr>
          <w:color w:val="231F20"/>
          <w:sz w:val="20"/>
        </w:rPr>
        <w:t>Being</w:t>
      </w:r>
      <w:r>
        <w:rPr>
          <w:color w:val="231F20"/>
          <w:spacing w:val="-6"/>
          <w:sz w:val="20"/>
        </w:rPr>
        <w:t xml:space="preserve"> </w:t>
      </w:r>
      <w:r>
        <w:rPr>
          <w:color w:val="231F20"/>
          <w:sz w:val="20"/>
        </w:rPr>
        <w:t>stalked</w:t>
      </w:r>
      <w:r>
        <w:rPr>
          <w:color w:val="231F20"/>
          <w:spacing w:val="-6"/>
          <w:sz w:val="20"/>
        </w:rPr>
        <w:t xml:space="preserve"> </w:t>
      </w:r>
      <w:r>
        <w:rPr>
          <w:color w:val="231F20"/>
          <w:sz w:val="20"/>
        </w:rPr>
        <w:t>can</w:t>
      </w:r>
      <w:r>
        <w:rPr>
          <w:color w:val="231F20"/>
          <w:spacing w:val="-5"/>
          <w:sz w:val="20"/>
        </w:rPr>
        <w:t xml:space="preserve"> </w:t>
      </w:r>
      <w:r>
        <w:rPr>
          <w:color w:val="231F20"/>
          <w:sz w:val="20"/>
        </w:rPr>
        <w:t>make</w:t>
      </w:r>
      <w:r>
        <w:rPr>
          <w:color w:val="231F20"/>
          <w:spacing w:val="-6"/>
          <w:sz w:val="20"/>
        </w:rPr>
        <w:t xml:space="preserve"> </w:t>
      </w:r>
      <w:r>
        <w:rPr>
          <w:color w:val="231F20"/>
          <w:sz w:val="20"/>
        </w:rPr>
        <w:t>people</w:t>
      </w:r>
      <w:r>
        <w:rPr>
          <w:color w:val="231F20"/>
          <w:spacing w:val="-6"/>
          <w:sz w:val="20"/>
        </w:rPr>
        <w:t xml:space="preserve"> </w:t>
      </w:r>
      <w:r>
        <w:rPr>
          <w:color w:val="231F20"/>
          <w:sz w:val="20"/>
        </w:rPr>
        <w:t>feel</w:t>
      </w:r>
      <w:r>
        <w:rPr>
          <w:color w:val="231F20"/>
          <w:spacing w:val="-5"/>
          <w:sz w:val="20"/>
        </w:rPr>
        <w:t xml:space="preserve"> </w:t>
      </w:r>
      <w:r>
        <w:rPr>
          <w:color w:val="231F20"/>
          <w:spacing w:val="-2"/>
          <w:sz w:val="20"/>
        </w:rPr>
        <w:t>alone,</w:t>
      </w:r>
      <w:r>
        <w:rPr>
          <w:color w:val="231F20"/>
          <w:spacing w:val="-6"/>
          <w:sz w:val="20"/>
        </w:rPr>
        <w:t xml:space="preserve"> </w:t>
      </w:r>
      <w:r>
        <w:rPr>
          <w:color w:val="231F20"/>
          <w:sz w:val="20"/>
        </w:rPr>
        <w:t>ashamed,</w:t>
      </w:r>
      <w:r>
        <w:rPr>
          <w:color w:val="231F20"/>
          <w:spacing w:val="-5"/>
          <w:sz w:val="20"/>
        </w:rPr>
        <w:t xml:space="preserve"> </w:t>
      </w:r>
      <w:r>
        <w:rPr>
          <w:color w:val="231F20"/>
          <w:sz w:val="20"/>
        </w:rPr>
        <w:t>and</w:t>
      </w:r>
      <w:r>
        <w:rPr>
          <w:color w:val="231F20"/>
          <w:spacing w:val="-6"/>
          <w:sz w:val="20"/>
        </w:rPr>
        <w:t xml:space="preserve"> </w:t>
      </w:r>
      <w:r>
        <w:rPr>
          <w:color w:val="231F20"/>
          <w:sz w:val="20"/>
        </w:rPr>
        <w:t>afraid.</w:t>
      </w:r>
      <w:r>
        <w:rPr>
          <w:color w:val="231F20"/>
          <w:spacing w:val="-6"/>
          <w:sz w:val="20"/>
        </w:rPr>
        <w:t xml:space="preserve"> </w:t>
      </w:r>
      <w:r>
        <w:rPr>
          <w:color w:val="231F20"/>
          <w:sz w:val="20"/>
        </w:rPr>
        <w:t>It</w:t>
      </w:r>
      <w:r>
        <w:rPr>
          <w:color w:val="231F20"/>
          <w:spacing w:val="-5"/>
          <w:sz w:val="20"/>
        </w:rPr>
        <w:t xml:space="preserve"> </w:t>
      </w:r>
      <w:r>
        <w:rPr>
          <w:color w:val="231F20"/>
          <w:sz w:val="20"/>
        </w:rPr>
        <w:t>can</w:t>
      </w:r>
      <w:r>
        <w:rPr>
          <w:color w:val="231F20"/>
          <w:spacing w:val="-6"/>
          <w:sz w:val="20"/>
        </w:rPr>
        <w:t xml:space="preserve"> </w:t>
      </w:r>
      <w:r>
        <w:rPr>
          <w:color w:val="231F20"/>
          <w:sz w:val="20"/>
        </w:rPr>
        <w:t>cause</w:t>
      </w:r>
      <w:r>
        <w:rPr>
          <w:color w:val="231F20"/>
          <w:spacing w:val="-5"/>
          <w:sz w:val="20"/>
        </w:rPr>
        <w:t xml:space="preserve"> </w:t>
      </w:r>
      <w:r>
        <w:rPr>
          <w:color w:val="231F20"/>
          <w:sz w:val="20"/>
        </w:rPr>
        <w:t>fear</w:t>
      </w:r>
      <w:r>
        <w:rPr>
          <w:color w:val="231F20"/>
          <w:spacing w:val="-6"/>
          <w:sz w:val="20"/>
        </w:rPr>
        <w:t xml:space="preserve"> </w:t>
      </w:r>
      <w:r>
        <w:rPr>
          <w:color w:val="231F20"/>
          <w:sz w:val="20"/>
        </w:rPr>
        <w:t>and</w:t>
      </w:r>
    </w:p>
    <w:p w14:paraId="747FF4CA" w14:textId="77777777" w:rsidR="00894070" w:rsidRDefault="009B7AFD">
      <w:pPr>
        <w:pStyle w:val="BodyText"/>
        <w:spacing w:line="259" w:lineRule="exact"/>
        <w:ind w:left="1801"/>
        <w:rPr>
          <w:sz w:val="11"/>
        </w:rPr>
      </w:pPr>
      <w:r>
        <w:rPr>
          <w:color w:val="231F20"/>
        </w:rPr>
        <w:t>distress and leave scars that take years to heal.</w:t>
      </w:r>
      <w:r>
        <w:rPr>
          <w:color w:val="231F20"/>
          <w:position w:val="7"/>
          <w:sz w:val="11"/>
        </w:rPr>
        <w:t>16</w:t>
      </w:r>
    </w:p>
    <w:p w14:paraId="6BDECD69" w14:textId="77777777" w:rsidR="00894070" w:rsidRDefault="009B7AFD">
      <w:pPr>
        <w:pStyle w:val="ListParagraph"/>
        <w:numPr>
          <w:ilvl w:val="1"/>
          <w:numId w:val="177"/>
        </w:numPr>
        <w:tabs>
          <w:tab w:val="left" w:pos="1801"/>
          <w:tab w:val="left" w:pos="1802"/>
        </w:tabs>
        <w:spacing w:before="82"/>
        <w:rPr>
          <w:sz w:val="20"/>
        </w:rPr>
      </w:pPr>
      <w:r>
        <w:rPr>
          <w:color w:val="231F20"/>
          <w:sz w:val="20"/>
        </w:rPr>
        <w:t>People</w:t>
      </w:r>
      <w:r>
        <w:rPr>
          <w:color w:val="231F20"/>
          <w:spacing w:val="-6"/>
          <w:sz w:val="20"/>
        </w:rPr>
        <w:t xml:space="preserve"> </w:t>
      </w:r>
      <w:r>
        <w:rPr>
          <w:color w:val="231F20"/>
          <w:sz w:val="20"/>
        </w:rPr>
        <w:t>who</w:t>
      </w:r>
      <w:r>
        <w:rPr>
          <w:color w:val="231F20"/>
          <w:spacing w:val="-6"/>
          <w:sz w:val="20"/>
        </w:rPr>
        <w:t xml:space="preserve"> </w:t>
      </w:r>
      <w:r>
        <w:rPr>
          <w:color w:val="231F20"/>
          <w:spacing w:val="-4"/>
          <w:sz w:val="20"/>
        </w:rPr>
        <w:t>have</w:t>
      </w:r>
      <w:r>
        <w:rPr>
          <w:color w:val="231F20"/>
          <w:spacing w:val="-6"/>
          <w:sz w:val="20"/>
        </w:rPr>
        <w:t xml:space="preserve"> </w:t>
      </w:r>
      <w:r>
        <w:rPr>
          <w:color w:val="231F20"/>
          <w:sz w:val="20"/>
        </w:rPr>
        <w:t>experienced</w:t>
      </w:r>
      <w:r>
        <w:rPr>
          <w:color w:val="231F20"/>
          <w:spacing w:val="-6"/>
          <w:sz w:val="20"/>
        </w:rPr>
        <w:t xml:space="preserve"> </w:t>
      </w:r>
      <w:r>
        <w:rPr>
          <w:color w:val="231F20"/>
          <w:sz w:val="20"/>
        </w:rPr>
        <w:t>stalking</w:t>
      </w:r>
      <w:r>
        <w:rPr>
          <w:color w:val="231F20"/>
          <w:spacing w:val="-5"/>
          <w:sz w:val="20"/>
        </w:rPr>
        <w:t xml:space="preserve"> </w:t>
      </w:r>
      <w:r>
        <w:rPr>
          <w:color w:val="231F20"/>
          <w:spacing w:val="-3"/>
          <w:sz w:val="20"/>
        </w:rPr>
        <w:t>told</w:t>
      </w:r>
      <w:r>
        <w:rPr>
          <w:color w:val="231F20"/>
          <w:spacing w:val="-6"/>
          <w:sz w:val="20"/>
        </w:rPr>
        <w:t xml:space="preserve"> </w:t>
      </w:r>
      <w:r>
        <w:rPr>
          <w:color w:val="231F20"/>
          <w:sz w:val="20"/>
        </w:rPr>
        <w:t>us</w:t>
      </w:r>
      <w:r>
        <w:rPr>
          <w:color w:val="231F20"/>
          <w:spacing w:val="-6"/>
          <w:sz w:val="20"/>
        </w:rPr>
        <w:t xml:space="preserve"> </w:t>
      </w:r>
      <w:r>
        <w:rPr>
          <w:color w:val="231F20"/>
          <w:sz w:val="20"/>
        </w:rPr>
        <w:t>about</w:t>
      </w:r>
      <w:r>
        <w:rPr>
          <w:color w:val="231F20"/>
          <w:spacing w:val="-6"/>
          <w:sz w:val="20"/>
        </w:rPr>
        <w:t xml:space="preserve"> </w:t>
      </w:r>
      <w:r>
        <w:rPr>
          <w:color w:val="231F20"/>
          <w:sz w:val="20"/>
        </w:rPr>
        <w:t>its</w:t>
      </w:r>
      <w:r>
        <w:rPr>
          <w:color w:val="231F20"/>
          <w:spacing w:val="-6"/>
          <w:sz w:val="20"/>
        </w:rPr>
        <w:t xml:space="preserve"> </w:t>
      </w:r>
      <w:r>
        <w:rPr>
          <w:color w:val="231F20"/>
          <w:sz w:val="20"/>
        </w:rPr>
        <w:t>many</w:t>
      </w:r>
      <w:r>
        <w:rPr>
          <w:color w:val="231F20"/>
          <w:spacing w:val="-5"/>
          <w:sz w:val="20"/>
        </w:rPr>
        <w:t xml:space="preserve"> </w:t>
      </w:r>
      <w:r>
        <w:rPr>
          <w:color w:val="231F20"/>
          <w:spacing w:val="-3"/>
          <w:sz w:val="20"/>
        </w:rPr>
        <w:t>negative</w:t>
      </w:r>
      <w:r>
        <w:rPr>
          <w:color w:val="231F20"/>
          <w:spacing w:val="-6"/>
          <w:sz w:val="20"/>
        </w:rPr>
        <w:t xml:space="preserve"> </w:t>
      </w:r>
      <w:r>
        <w:rPr>
          <w:color w:val="231F20"/>
          <w:sz w:val="20"/>
        </w:rPr>
        <w:t>effects</w:t>
      </w:r>
      <w:r>
        <w:rPr>
          <w:color w:val="231F20"/>
          <w:spacing w:val="-6"/>
          <w:sz w:val="20"/>
        </w:rPr>
        <w:t xml:space="preserve"> </w:t>
      </w:r>
      <w:r>
        <w:rPr>
          <w:color w:val="231F20"/>
          <w:sz w:val="20"/>
        </w:rPr>
        <w:t>on</w:t>
      </w:r>
      <w:r>
        <w:rPr>
          <w:color w:val="231F20"/>
          <w:spacing w:val="-6"/>
          <w:sz w:val="20"/>
        </w:rPr>
        <w:t xml:space="preserve"> </w:t>
      </w:r>
      <w:r>
        <w:rPr>
          <w:color w:val="231F20"/>
          <w:sz w:val="20"/>
        </w:rPr>
        <w:t>their:</w:t>
      </w:r>
    </w:p>
    <w:p w14:paraId="5D7B21DD" w14:textId="77777777" w:rsidR="00894070" w:rsidRDefault="009B7AFD">
      <w:pPr>
        <w:pStyle w:val="ListParagraph"/>
        <w:numPr>
          <w:ilvl w:val="2"/>
          <w:numId w:val="177"/>
        </w:numPr>
        <w:tabs>
          <w:tab w:val="left" w:pos="2141"/>
          <w:tab w:val="left" w:pos="2142"/>
        </w:tabs>
        <w:spacing w:before="83"/>
        <w:ind w:hanging="340"/>
        <w:rPr>
          <w:sz w:val="20"/>
        </w:rPr>
      </w:pPr>
      <w:r>
        <w:rPr>
          <w:color w:val="231F20"/>
          <w:sz w:val="20"/>
        </w:rPr>
        <w:t>physical</w:t>
      </w:r>
      <w:r>
        <w:rPr>
          <w:color w:val="231F20"/>
          <w:spacing w:val="-5"/>
          <w:sz w:val="20"/>
        </w:rPr>
        <w:t xml:space="preserve"> </w:t>
      </w:r>
      <w:r>
        <w:rPr>
          <w:color w:val="231F20"/>
          <w:sz w:val="20"/>
        </w:rPr>
        <w:t>health</w:t>
      </w:r>
    </w:p>
    <w:p w14:paraId="57CF0AB4"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mental</w:t>
      </w:r>
      <w:r>
        <w:rPr>
          <w:color w:val="231F20"/>
          <w:spacing w:val="-5"/>
          <w:sz w:val="20"/>
        </w:rPr>
        <w:t xml:space="preserve"> </w:t>
      </w:r>
      <w:r>
        <w:rPr>
          <w:color w:val="231F20"/>
          <w:sz w:val="20"/>
        </w:rPr>
        <w:t>health,</w:t>
      </w:r>
      <w:r>
        <w:rPr>
          <w:color w:val="231F20"/>
          <w:spacing w:val="-5"/>
          <w:sz w:val="20"/>
        </w:rPr>
        <w:t xml:space="preserve"> </w:t>
      </w:r>
      <w:r>
        <w:rPr>
          <w:color w:val="231F20"/>
          <w:sz w:val="20"/>
        </w:rPr>
        <w:t>with</w:t>
      </w:r>
      <w:r>
        <w:rPr>
          <w:color w:val="231F20"/>
          <w:spacing w:val="-5"/>
          <w:sz w:val="20"/>
        </w:rPr>
        <w:t xml:space="preserve"> </w:t>
      </w:r>
      <w:r>
        <w:rPr>
          <w:color w:val="231F20"/>
          <w:sz w:val="20"/>
        </w:rPr>
        <w:t>some</w:t>
      </w:r>
      <w:r>
        <w:rPr>
          <w:color w:val="231F20"/>
          <w:spacing w:val="-5"/>
          <w:sz w:val="20"/>
        </w:rPr>
        <w:t xml:space="preserve"> </w:t>
      </w:r>
      <w:r>
        <w:rPr>
          <w:color w:val="231F20"/>
          <w:sz w:val="20"/>
        </w:rPr>
        <w:t>saying</w:t>
      </w:r>
      <w:r>
        <w:rPr>
          <w:color w:val="231F20"/>
          <w:spacing w:val="-4"/>
          <w:sz w:val="20"/>
        </w:rPr>
        <w:t xml:space="preserve"> </w:t>
      </w:r>
      <w:r>
        <w:rPr>
          <w:color w:val="231F20"/>
          <w:sz w:val="20"/>
        </w:rPr>
        <w:t>it</w:t>
      </w:r>
      <w:r>
        <w:rPr>
          <w:color w:val="231F20"/>
          <w:spacing w:val="-5"/>
          <w:sz w:val="20"/>
        </w:rPr>
        <w:t xml:space="preserve"> </w:t>
      </w:r>
      <w:r>
        <w:rPr>
          <w:color w:val="231F20"/>
          <w:sz w:val="20"/>
        </w:rPr>
        <w:t>had</w:t>
      </w:r>
      <w:r>
        <w:rPr>
          <w:color w:val="231F20"/>
          <w:spacing w:val="-5"/>
          <w:sz w:val="20"/>
        </w:rPr>
        <w:t xml:space="preserve"> </w:t>
      </w:r>
      <w:r>
        <w:rPr>
          <w:color w:val="231F20"/>
          <w:sz w:val="20"/>
        </w:rPr>
        <w:t>made</w:t>
      </w:r>
      <w:r>
        <w:rPr>
          <w:color w:val="231F20"/>
          <w:spacing w:val="-5"/>
          <w:sz w:val="20"/>
        </w:rPr>
        <w:t xml:space="preserve"> </w:t>
      </w:r>
      <w:r>
        <w:rPr>
          <w:color w:val="231F20"/>
          <w:sz w:val="20"/>
        </w:rPr>
        <w:t>them</w:t>
      </w:r>
      <w:r>
        <w:rPr>
          <w:color w:val="231F20"/>
          <w:spacing w:val="-4"/>
          <w:sz w:val="20"/>
        </w:rPr>
        <w:t xml:space="preserve"> </w:t>
      </w:r>
      <w:r>
        <w:rPr>
          <w:color w:val="231F20"/>
          <w:sz w:val="20"/>
        </w:rPr>
        <w:t>suicidal</w:t>
      </w:r>
    </w:p>
    <w:p w14:paraId="3CDA790D"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relationships</w:t>
      </w:r>
    </w:p>
    <w:p w14:paraId="2462C383" w14:textId="77777777" w:rsidR="00894070" w:rsidRDefault="009B7AFD">
      <w:pPr>
        <w:pStyle w:val="ListParagraph"/>
        <w:numPr>
          <w:ilvl w:val="2"/>
          <w:numId w:val="177"/>
        </w:numPr>
        <w:tabs>
          <w:tab w:val="left" w:pos="2141"/>
          <w:tab w:val="left" w:pos="2142"/>
        </w:tabs>
        <w:spacing w:before="47"/>
        <w:ind w:hanging="340"/>
        <w:rPr>
          <w:sz w:val="20"/>
        </w:rPr>
      </w:pPr>
      <w:r>
        <w:rPr>
          <w:color w:val="231F20"/>
          <w:spacing w:val="-3"/>
          <w:sz w:val="20"/>
        </w:rPr>
        <w:t xml:space="preserve">daily routines </w:t>
      </w:r>
      <w:r>
        <w:rPr>
          <w:color w:val="231F20"/>
          <w:sz w:val="20"/>
        </w:rPr>
        <w:t>and sense of freedom and</w:t>
      </w:r>
      <w:r>
        <w:rPr>
          <w:color w:val="231F20"/>
          <w:spacing w:val="-23"/>
          <w:sz w:val="20"/>
        </w:rPr>
        <w:t xml:space="preserve"> </w:t>
      </w:r>
      <w:r>
        <w:rPr>
          <w:color w:val="231F20"/>
          <w:spacing w:val="-4"/>
          <w:sz w:val="20"/>
        </w:rPr>
        <w:t>safety.</w:t>
      </w:r>
    </w:p>
    <w:p w14:paraId="7BF33F9E" w14:textId="77777777" w:rsidR="00894070" w:rsidRDefault="009B7AFD">
      <w:pPr>
        <w:pStyle w:val="ListParagraph"/>
        <w:numPr>
          <w:ilvl w:val="1"/>
          <w:numId w:val="177"/>
        </w:numPr>
        <w:tabs>
          <w:tab w:val="left" w:pos="1801"/>
          <w:tab w:val="left" w:pos="1802"/>
        </w:tabs>
        <w:spacing w:before="48"/>
        <w:rPr>
          <w:sz w:val="20"/>
        </w:rPr>
      </w:pPr>
      <w:r>
        <w:rPr>
          <w:color w:val="231F20"/>
          <w:sz w:val="20"/>
        </w:rPr>
        <w:t>Many people</w:t>
      </w:r>
      <w:r>
        <w:rPr>
          <w:color w:val="231F20"/>
          <w:spacing w:val="-9"/>
          <w:sz w:val="20"/>
        </w:rPr>
        <w:t xml:space="preserve"> </w:t>
      </w:r>
      <w:r>
        <w:rPr>
          <w:color w:val="231F20"/>
          <w:sz w:val="20"/>
        </w:rPr>
        <w:t>described:</w:t>
      </w:r>
    </w:p>
    <w:p w14:paraId="3DDC9818"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 xml:space="preserve">the need </w:t>
      </w:r>
      <w:r>
        <w:rPr>
          <w:color w:val="231F20"/>
          <w:spacing w:val="-3"/>
          <w:sz w:val="20"/>
        </w:rPr>
        <w:t xml:space="preserve">for </w:t>
      </w:r>
      <w:r>
        <w:rPr>
          <w:color w:val="231F20"/>
          <w:sz w:val="20"/>
        </w:rPr>
        <w:t>increased home</w:t>
      </w:r>
      <w:r>
        <w:rPr>
          <w:color w:val="231F20"/>
          <w:spacing w:val="-19"/>
          <w:sz w:val="20"/>
        </w:rPr>
        <w:t xml:space="preserve"> </w:t>
      </w:r>
      <w:r>
        <w:rPr>
          <w:color w:val="231F20"/>
          <w:sz w:val="20"/>
        </w:rPr>
        <w:t>security</w:t>
      </w:r>
    </w:p>
    <w:p w14:paraId="52C3A8C2"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not</w:t>
      </w:r>
      <w:r>
        <w:rPr>
          <w:color w:val="231F20"/>
          <w:spacing w:val="-5"/>
          <w:sz w:val="20"/>
        </w:rPr>
        <w:t xml:space="preserve"> </w:t>
      </w:r>
      <w:r>
        <w:rPr>
          <w:color w:val="231F20"/>
          <w:sz w:val="20"/>
        </w:rPr>
        <w:t>being</w:t>
      </w:r>
      <w:r>
        <w:rPr>
          <w:color w:val="231F20"/>
          <w:spacing w:val="-4"/>
          <w:sz w:val="20"/>
        </w:rPr>
        <w:t xml:space="preserve"> </w:t>
      </w:r>
      <w:r>
        <w:rPr>
          <w:color w:val="231F20"/>
          <w:sz w:val="20"/>
        </w:rPr>
        <w:t>able</w:t>
      </w:r>
      <w:r>
        <w:rPr>
          <w:color w:val="231F20"/>
          <w:spacing w:val="-5"/>
          <w:sz w:val="20"/>
        </w:rPr>
        <w:t xml:space="preserve"> </w:t>
      </w:r>
      <w:r>
        <w:rPr>
          <w:color w:val="231F20"/>
          <w:sz w:val="20"/>
        </w:rPr>
        <w:t>to</w:t>
      </w:r>
      <w:r>
        <w:rPr>
          <w:color w:val="231F20"/>
          <w:spacing w:val="-4"/>
          <w:sz w:val="20"/>
        </w:rPr>
        <w:t xml:space="preserve"> </w:t>
      </w:r>
      <w:r>
        <w:rPr>
          <w:color w:val="231F20"/>
          <w:sz w:val="20"/>
        </w:rPr>
        <w:t>go</w:t>
      </w:r>
      <w:r>
        <w:rPr>
          <w:color w:val="231F20"/>
          <w:spacing w:val="-5"/>
          <w:sz w:val="20"/>
        </w:rPr>
        <w:t xml:space="preserve"> </w:t>
      </w:r>
      <w:r>
        <w:rPr>
          <w:color w:val="231F20"/>
          <w:sz w:val="20"/>
        </w:rPr>
        <w:t>to</w:t>
      </w:r>
      <w:r>
        <w:rPr>
          <w:color w:val="231F20"/>
          <w:spacing w:val="-4"/>
          <w:sz w:val="20"/>
        </w:rPr>
        <w:t xml:space="preserve"> </w:t>
      </w:r>
      <w:r>
        <w:rPr>
          <w:color w:val="231F20"/>
          <w:spacing w:val="-3"/>
          <w:sz w:val="20"/>
        </w:rPr>
        <w:t>work</w:t>
      </w:r>
      <w:r>
        <w:rPr>
          <w:color w:val="231F20"/>
          <w:spacing w:val="-4"/>
          <w:sz w:val="20"/>
        </w:rPr>
        <w:t xml:space="preserve"> </w:t>
      </w:r>
      <w:r>
        <w:rPr>
          <w:color w:val="231F20"/>
          <w:sz w:val="20"/>
        </w:rPr>
        <w:t>or</w:t>
      </w:r>
      <w:r>
        <w:rPr>
          <w:color w:val="231F20"/>
          <w:spacing w:val="-5"/>
          <w:sz w:val="20"/>
        </w:rPr>
        <w:t xml:space="preserve"> </w:t>
      </w:r>
      <w:r>
        <w:rPr>
          <w:color w:val="231F20"/>
          <w:spacing w:val="-4"/>
          <w:sz w:val="20"/>
        </w:rPr>
        <w:t xml:space="preserve">move </w:t>
      </w:r>
      <w:r>
        <w:rPr>
          <w:color w:val="231F20"/>
          <w:spacing w:val="-3"/>
          <w:sz w:val="20"/>
        </w:rPr>
        <w:t>freely</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5"/>
          <w:sz w:val="20"/>
        </w:rPr>
        <w:t xml:space="preserve"> </w:t>
      </w:r>
      <w:r>
        <w:rPr>
          <w:color w:val="231F20"/>
          <w:sz w:val="20"/>
        </w:rPr>
        <w:t>community</w:t>
      </w:r>
    </w:p>
    <w:p w14:paraId="372E04BA" w14:textId="77777777" w:rsidR="00894070" w:rsidRDefault="009B7AFD">
      <w:pPr>
        <w:pStyle w:val="ListParagraph"/>
        <w:numPr>
          <w:ilvl w:val="2"/>
          <w:numId w:val="177"/>
        </w:numPr>
        <w:tabs>
          <w:tab w:val="left" w:pos="2141"/>
          <w:tab w:val="left" w:pos="2142"/>
        </w:tabs>
        <w:spacing w:before="48"/>
        <w:ind w:hanging="340"/>
        <w:rPr>
          <w:sz w:val="11"/>
        </w:rPr>
      </w:pPr>
      <w:r>
        <w:rPr>
          <w:color w:val="231F20"/>
          <w:sz w:val="20"/>
        </w:rPr>
        <w:t>not being able to use social</w:t>
      </w:r>
      <w:r>
        <w:rPr>
          <w:color w:val="231F20"/>
          <w:spacing w:val="-26"/>
          <w:sz w:val="20"/>
        </w:rPr>
        <w:t xml:space="preserve"> </w:t>
      </w:r>
      <w:r>
        <w:rPr>
          <w:color w:val="231F20"/>
          <w:sz w:val="20"/>
        </w:rPr>
        <w:t>media.</w:t>
      </w:r>
      <w:r>
        <w:rPr>
          <w:color w:val="231F20"/>
          <w:position w:val="7"/>
          <w:sz w:val="11"/>
        </w:rPr>
        <w:t>17</w:t>
      </w:r>
    </w:p>
    <w:p w14:paraId="7B781CC6" w14:textId="77777777" w:rsidR="00894070" w:rsidRDefault="009B7AFD">
      <w:pPr>
        <w:pStyle w:val="ListParagraph"/>
        <w:numPr>
          <w:ilvl w:val="1"/>
          <w:numId w:val="177"/>
        </w:numPr>
        <w:tabs>
          <w:tab w:val="left" w:pos="1801"/>
          <w:tab w:val="left" w:pos="1802"/>
        </w:tabs>
        <w:spacing w:before="80" w:line="206" w:lineRule="auto"/>
        <w:ind w:right="1395"/>
        <w:rPr>
          <w:sz w:val="20"/>
        </w:rPr>
      </w:pPr>
      <w:r>
        <w:rPr>
          <w:color w:val="231F20"/>
          <w:sz w:val="20"/>
        </w:rPr>
        <w:t>Many</w:t>
      </w:r>
      <w:r>
        <w:rPr>
          <w:color w:val="231F20"/>
          <w:spacing w:val="-14"/>
          <w:sz w:val="20"/>
        </w:rPr>
        <w:t xml:space="preserve"> </w:t>
      </w:r>
      <w:proofErr w:type="spellStart"/>
      <w:r>
        <w:rPr>
          <w:color w:val="231F20"/>
          <w:sz w:val="20"/>
        </w:rPr>
        <w:t>emphasised</w:t>
      </w:r>
      <w:proofErr w:type="spellEnd"/>
      <w:r>
        <w:rPr>
          <w:color w:val="231F20"/>
          <w:spacing w:val="-13"/>
          <w:sz w:val="20"/>
        </w:rPr>
        <w:t xml:space="preserve"> </w:t>
      </w:r>
      <w:r>
        <w:rPr>
          <w:color w:val="231F20"/>
          <w:sz w:val="20"/>
        </w:rPr>
        <w:t>the</w:t>
      </w:r>
      <w:r>
        <w:rPr>
          <w:color w:val="231F20"/>
          <w:spacing w:val="-13"/>
          <w:sz w:val="20"/>
        </w:rPr>
        <w:t xml:space="preserve"> </w:t>
      </w:r>
      <w:r>
        <w:rPr>
          <w:color w:val="231F20"/>
          <w:sz w:val="20"/>
        </w:rPr>
        <w:t>effects</w:t>
      </w:r>
      <w:r>
        <w:rPr>
          <w:color w:val="231F20"/>
          <w:spacing w:val="-13"/>
          <w:sz w:val="20"/>
        </w:rPr>
        <w:t xml:space="preserve"> </w:t>
      </w:r>
      <w:r>
        <w:rPr>
          <w:color w:val="231F20"/>
          <w:sz w:val="20"/>
        </w:rPr>
        <w:t>of</w:t>
      </w:r>
      <w:r>
        <w:rPr>
          <w:color w:val="231F20"/>
          <w:spacing w:val="-14"/>
          <w:sz w:val="20"/>
        </w:rPr>
        <w:t xml:space="preserve"> </w:t>
      </w:r>
      <w:r>
        <w:rPr>
          <w:color w:val="231F20"/>
          <w:sz w:val="20"/>
        </w:rPr>
        <w:t>stalking</w:t>
      </w:r>
      <w:r>
        <w:rPr>
          <w:color w:val="231F20"/>
          <w:spacing w:val="-13"/>
          <w:sz w:val="20"/>
        </w:rPr>
        <w:t xml:space="preserve"> </w:t>
      </w:r>
      <w:r>
        <w:rPr>
          <w:color w:val="231F20"/>
          <w:sz w:val="20"/>
        </w:rPr>
        <w:t>on</w:t>
      </w:r>
      <w:r>
        <w:rPr>
          <w:color w:val="231F20"/>
          <w:spacing w:val="-13"/>
          <w:sz w:val="20"/>
        </w:rPr>
        <w:t xml:space="preserve"> </w:t>
      </w:r>
      <w:r>
        <w:rPr>
          <w:color w:val="231F20"/>
          <w:sz w:val="20"/>
        </w:rPr>
        <w:t>their</w:t>
      </w:r>
      <w:r>
        <w:rPr>
          <w:color w:val="231F20"/>
          <w:spacing w:val="-13"/>
          <w:sz w:val="20"/>
        </w:rPr>
        <w:t xml:space="preserve"> </w:t>
      </w:r>
      <w:r>
        <w:rPr>
          <w:color w:val="231F20"/>
          <w:sz w:val="20"/>
        </w:rPr>
        <w:t>relationships</w:t>
      </w:r>
      <w:r>
        <w:rPr>
          <w:color w:val="231F20"/>
          <w:spacing w:val="-13"/>
          <w:sz w:val="20"/>
        </w:rPr>
        <w:t xml:space="preserve"> </w:t>
      </w:r>
      <w:r>
        <w:rPr>
          <w:color w:val="231F20"/>
          <w:sz w:val="20"/>
        </w:rPr>
        <w:t>and</w:t>
      </w:r>
      <w:r>
        <w:rPr>
          <w:color w:val="231F20"/>
          <w:spacing w:val="-14"/>
          <w:sz w:val="20"/>
        </w:rPr>
        <w:t xml:space="preserve"> </w:t>
      </w:r>
      <w:r>
        <w:rPr>
          <w:color w:val="231F20"/>
          <w:sz w:val="20"/>
        </w:rPr>
        <w:t>families,</w:t>
      </w:r>
      <w:r>
        <w:rPr>
          <w:color w:val="231F20"/>
          <w:spacing w:val="-13"/>
          <w:sz w:val="20"/>
        </w:rPr>
        <w:t xml:space="preserve"> </w:t>
      </w:r>
      <w:r>
        <w:rPr>
          <w:color w:val="231F20"/>
          <w:sz w:val="20"/>
        </w:rPr>
        <w:t xml:space="preserve">including children. One person </w:t>
      </w:r>
      <w:r>
        <w:rPr>
          <w:color w:val="231F20"/>
          <w:spacing w:val="-3"/>
          <w:sz w:val="20"/>
        </w:rPr>
        <w:t>told</w:t>
      </w:r>
      <w:r>
        <w:rPr>
          <w:color w:val="231F20"/>
          <w:spacing w:val="-17"/>
          <w:sz w:val="20"/>
        </w:rPr>
        <w:t xml:space="preserve"> </w:t>
      </w:r>
      <w:r>
        <w:rPr>
          <w:color w:val="231F20"/>
          <w:sz w:val="20"/>
        </w:rPr>
        <w:t>us:</w:t>
      </w:r>
    </w:p>
    <w:p w14:paraId="49F4C387" w14:textId="77777777" w:rsidR="00894070" w:rsidRDefault="009F6793">
      <w:pPr>
        <w:pStyle w:val="BodyText"/>
        <w:spacing w:before="6"/>
        <w:rPr>
          <w:sz w:val="23"/>
        </w:rPr>
      </w:pPr>
      <w:r>
        <w:pict w14:anchorId="1E486356">
          <v:shape id="_x0000_s1673" type="#_x0000_t202" style="position:absolute;margin-left:79.6pt;margin-top:18.45pt;width:436.05pt;height:68.1pt;z-index:251435008;mso-wrap-distance-left:0;mso-wrap-distance-right:0;mso-position-horizontal-relative:page" fillcolor="#fee7de" strokecolor="#ea5b50" strokeweight=".5pt">
            <v:textbox inset="0,0,0,0">
              <w:txbxContent>
                <w:p w14:paraId="0A0456BA" w14:textId="77777777" w:rsidR="00894070" w:rsidRDefault="00894070">
                  <w:pPr>
                    <w:pStyle w:val="BodyText"/>
                    <w:spacing w:before="3"/>
                    <w:rPr>
                      <w:sz w:val="15"/>
                    </w:rPr>
                  </w:pPr>
                </w:p>
                <w:p w14:paraId="637FCA87" w14:textId="77777777" w:rsidR="00894070" w:rsidRDefault="009B7AFD">
                  <w:pPr>
                    <w:pStyle w:val="BodyText"/>
                    <w:spacing w:line="206" w:lineRule="auto"/>
                    <w:ind w:left="221" w:right="211"/>
                    <w:rPr>
                      <w:sz w:val="11"/>
                    </w:rPr>
                  </w:pPr>
                  <w:r>
                    <w:rPr>
                      <w:color w:val="231F20"/>
                    </w:rPr>
                    <w:t>I don’t think anyone who has not experienced stalking, actually understand[s] the fear, the pain and suffering that you experience, let alone your partner and the fear your children experience … Both my daughter[s] still suffer and bring it up constantly ... even my son … could not sleep in his own bed for years.</w:t>
                  </w:r>
                  <w:r>
                    <w:rPr>
                      <w:color w:val="231F20"/>
                      <w:position w:val="7"/>
                      <w:sz w:val="11"/>
                    </w:rPr>
                    <w:t>18</w:t>
                  </w:r>
                </w:p>
              </w:txbxContent>
            </v:textbox>
            <w10:wrap type="topAndBottom" anchorx="page"/>
          </v:shape>
        </w:pict>
      </w:r>
    </w:p>
    <w:p w14:paraId="4DFDE596" w14:textId="77777777" w:rsidR="00894070" w:rsidRDefault="00894070">
      <w:pPr>
        <w:pStyle w:val="BodyText"/>
        <w:spacing w:before="6"/>
        <w:rPr>
          <w:sz w:val="19"/>
        </w:rPr>
      </w:pPr>
    </w:p>
    <w:p w14:paraId="205D99A4" w14:textId="77777777" w:rsidR="00894070" w:rsidRDefault="009B7AFD">
      <w:pPr>
        <w:pStyle w:val="ListParagraph"/>
        <w:numPr>
          <w:ilvl w:val="1"/>
          <w:numId w:val="177"/>
        </w:numPr>
        <w:tabs>
          <w:tab w:val="left" w:pos="1801"/>
          <w:tab w:val="left" w:pos="1802"/>
        </w:tabs>
        <w:spacing w:before="89" w:line="206" w:lineRule="auto"/>
        <w:ind w:right="1970"/>
        <w:rPr>
          <w:sz w:val="11"/>
        </w:rPr>
      </w:pPr>
      <w:r>
        <w:rPr>
          <w:color w:val="231F20"/>
          <w:sz w:val="20"/>
        </w:rPr>
        <w:t>Research</w:t>
      </w:r>
      <w:r>
        <w:rPr>
          <w:color w:val="231F20"/>
          <w:spacing w:val="-12"/>
          <w:sz w:val="20"/>
        </w:rPr>
        <w:t xml:space="preserve"> </w:t>
      </w:r>
      <w:r>
        <w:rPr>
          <w:color w:val="231F20"/>
          <w:sz w:val="20"/>
        </w:rPr>
        <w:t>indicates</w:t>
      </w:r>
      <w:r>
        <w:rPr>
          <w:color w:val="231F20"/>
          <w:spacing w:val="-11"/>
          <w:sz w:val="20"/>
        </w:rPr>
        <w:t xml:space="preserve"> </w:t>
      </w:r>
      <w:r>
        <w:rPr>
          <w:color w:val="231F20"/>
          <w:sz w:val="20"/>
        </w:rPr>
        <w:t>that</w:t>
      </w:r>
      <w:r>
        <w:rPr>
          <w:color w:val="231F20"/>
          <w:spacing w:val="-11"/>
          <w:sz w:val="20"/>
        </w:rPr>
        <w:t xml:space="preserve"> </w:t>
      </w:r>
      <w:r>
        <w:rPr>
          <w:color w:val="231F20"/>
          <w:sz w:val="20"/>
        </w:rPr>
        <w:t>people</w:t>
      </w:r>
      <w:r>
        <w:rPr>
          <w:color w:val="231F20"/>
          <w:spacing w:val="-12"/>
          <w:sz w:val="20"/>
        </w:rPr>
        <w:t xml:space="preserve"> </w:t>
      </w:r>
      <w:r>
        <w:rPr>
          <w:color w:val="231F20"/>
          <w:sz w:val="20"/>
        </w:rPr>
        <w:t>who</w:t>
      </w:r>
      <w:r>
        <w:rPr>
          <w:color w:val="231F20"/>
          <w:spacing w:val="-11"/>
          <w:sz w:val="20"/>
        </w:rPr>
        <w:t xml:space="preserve"> </w:t>
      </w:r>
      <w:r>
        <w:rPr>
          <w:color w:val="231F20"/>
          <w:sz w:val="20"/>
        </w:rPr>
        <w:t>stalk</w:t>
      </w:r>
      <w:r>
        <w:rPr>
          <w:color w:val="231F20"/>
          <w:spacing w:val="-11"/>
          <w:sz w:val="20"/>
        </w:rPr>
        <w:t xml:space="preserve"> </w:t>
      </w:r>
      <w:r>
        <w:rPr>
          <w:color w:val="231F20"/>
          <w:sz w:val="20"/>
        </w:rPr>
        <w:t>often</w:t>
      </w:r>
      <w:r>
        <w:rPr>
          <w:color w:val="231F20"/>
          <w:spacing w:val="-12"/>
          <w:sz w:val="20"/>
        </w:rPr>
        <w:t xml:space="preserve"> </w:t>
      </w:r>
      <w:r>
        <w:rPr>
          <w:color w:val="231F20"/>
          <w:sz w:val="20"/>
        </w:rPr>
        <w:t>harass</w:t>
      </w:r>
      <w:r>
        <w:rPr>
          <w:color w:val="231F20"/>
          <w:spacing w:val="-11"/>
          <w:sz w:val="20"/>
        </w:rPr>
        <w:t xml:space="preserve"> </w:t>
      </w:r>
      <w:r>
        <w:rPr>
          <w:color w:val="231F20"/>
          <w:sz w:val="20"/>
        </w:rPr>
        <w:t>the</w:t>
      </w:r>
      <w:r>
        <w:rPr>
          <w:color w:val="231F20"/>
          <w:spacing w:val="-11"/>
          <w:sz w:val="20"/>
        </w:rPr>
        <w:t xml:space="preserve"> </w:t>
      </w:r>
      <w:r>
        <w:rPr>
          <w:color w:val="231F20"/>
          <w:sz w:val="20"/>
        </w:rPr>
        <w:t>friends,</w:t>
      </w:r>
      <w:r>
        <w:rPr>
          <w:color w:val="231F20"/>
          <w:spacing w:val="-12"/>
          <w:sz w:val="20"/>
        </w:rPr>
        <w:t xml:space="preserve"> </w:t>
      </w:r>
      <w:proofErr w:type="gramStart"/>
      <w:r>
        <w:rPr>
          <w:color w:val="231F20"/>
          <w:sz w:val="20"/>
        </w:rPr>
        <w:t>families</w:t>
      </w:r>
      <w:proofErr w:type="gramEnd"/>
      <w:r>
        <w:rPr>
          <w:color w:val="231F20"/>
          <w:spacing w:val="-11"/>
          <w:sz w:val="20"/>
        </w:rPr>
        <w:t xml:space="preserve"> </w:t>
      </w:r>
      <w:r>
        <w:rPr>
          <w:color w:val="231F20"/>
          <w:sz w:val="20"/>
        </w:rPr>
        <w:t xml:space="preserve">and acquaintances of the person they </w:t>
      </w:r>
      <w:r>
        <w:rPr>
          <w:color w:val="231F20"/>
          <w:spacing w:val="-3"/>
          <w:sz w:val="20"/>
        </w:rPr>
        <w:t>are</w:t>
      </w:r>
      <w:r>
        <w:rPr>
          <w:color w:val="231F20"/>
          <w:spacing w:val="-28"/>
          <w:sz w:val="20"/>
        </w:rPr>
        <w:t xml:space="preserve"> </w:t>
      </w:r>
      <w:r>
        <w:rPr>
          <w:color w:val="231F20"/>
          <w:sz w:val="20"/>
        </w:rPr>
        <w:t>stalking.</w:t>
      </w:r>
      <w:r>
        <w:rPr>
          <w:color w:val="231F20"/>
          <w:position w:val="7"/>
          <w:sz w:val="11"/>
        </w:rPr>
        <w:t>19</w:t>
      </w:r>
    </w:p>
    <w:p w14:paraId="41DBDC81" w14:textId="77777777" w:rsidR="00894070" w:rsidRDefault="009B7AFD">
      <w:pPr>
        <w:pStyle w:val="ListParagraph"/>
        <w:numPr>
          <w:ilvl w:val="1"/>
          <w:numId w:val="177"/>
        </w:numPr>
        <w:tabs>
          <w:tab w:val="left" w:pos="1801"/>
          <w:tab w:val="left" w:pos="1802"/>
        </w:tabs>
        <w:spacing w:before="90" w:line="259" w:lineRule="exact"/>
        <w:rPr>
          <w:sz w:val="20"/>
        </w:rPr>
      </w:pPr>
      <w:r>
        <w:rPr>
          <w:color w:val="231F20"/>
          <w:sz w:val="20"/>
        </w:rPr>
        <w:t>The</w:t>
      </w:r>
      <w:r>
        <w:rPr>
          <w:color w:val="231F20"/>
          <w:spacing w:val="-6"/>
          <w:sz w:val="20"/>
        </w:rPr>
        <w:t xml:space="preserve"> </w:t>
      </w:r>
      <w:r>
        <w:rPr>
          <w:color w:val="231F20"/>
          <w:sz w:val="20"/>
        </w:rPr>
        <w:t>serious</w:t>
      </w:r>
      <w:r>
        <w:rPr>
          <w:color w:val="231F20"/>
          <w:spacing w:val="-6"/>
          <w:sz w:val="20"/>
        </w:rPr>
        <w:t xml:space="preserve"> </w:t>
      </w:r>
      <w:r>
        <w:rPr>
          <w:color w:val="231F20"/>
          <w:sz w:val="20"/>
        </w:rPr>
        <w:t>and</w:t>
      </w:r>
      <w:r>
        <w:rPr>
          <w:color w:val="231F20"/>
          <w:spacing w:val="-6"/>
          <w:sz w:val="20"/>
        </w:rPr>
        <w:t xml:space="preserve"> </w:t>
      </w:r>
      <w:r>
        <w:rPr>
          <w:color w:val="231F20"/>
          <w:sz w:val="20"/>
        </w:rPr>
        <w:t>lasting</w:t>
      </w:r>
      <w:r>
        <w:rPr>
          <w:color w:val="231F20"/>
          <w:spacing w:val="-6"/>
          <w:sz w:val="20"/>
        </w:rPr>
        <w:t xml:space="preserve"> </w:t>
      </w:r>
      <w:r>
        <w:rPr>
          <w:color w:val="231F20"/>
          <w:sz w:val="20"/>
        </w:rPr>
        <w:t>effects</w:t>
      </w:r>
      <w:r>
        <w:rPr>
          <w:color w:val="231F20"/>
          <w:spacing w:val="-6"/>
          <w:sz w:val="20"/>
        </w:rPr>
        <w:t xml:space="preserve"> </w:t>
      </w:r>
      <w:r>
        <w:rPr>
          <w:color w:val="231F20"/>
          <w:sz w:val="20"/>
        </w:rPr>
        <w:t>of</w:t>
      </w:r>
      <w:r>
        <w:rPr>
          <w:color w:val="231F20"/>
          <w:spacing w:val="-6"/>
          <w:sz w:val="20"/>
        </w:rPr>
        <w:t xml:space="preserve"> </w:t>
      </w:r>
      <w:r>
        <w:rPr>
          <w:color w:val="231F20"/>
          <w:sz w:val="20"/>
        </w:rPr>
        <w:t>stalking</w:t>
      </w:r>
      <w:r>
        <w:rPr>
          <w:color w:val="231F20"/>
          <w:spacing w:val="-6"/>
          <w:sz w:val="20"/>
        </w:rPr>
        <w:t xml:space="preserve"> </w:t>
      </w:r>
      <w:r>
        <w:rPr>
          <w:color w:val="231F20"/>
          <w:sz w:val="20"/>
        </w:rPr>
        <w:t>that</w:t>
      </w:r>
      <w:r>
        <w:rPr>
          <w:color w:val="231F20"/>
          <w:spacing w:val="-6"/>
          <w:sz w:val="20"/>
        </w:rPr>
        <w:t xml:space="preserve"> </w:t>
      </w:r>
      <w:r>
        <w:rPr>
          <w:color w:val="231F20"/>
          <w:spacing w:val="-3"/>
          <w:sz w:val="20"/>
        </w:rPr>
        <w:t>we</w:t>
      </w:r>
      <w:r>
        <w:rPr>
          <w:color w:val="231F20"/>
          <w:spacing w:val="-6"/>
          <w:sz w:val="20"/>
        </w:rPr>
        <w:t xml:space="preserve"> </w:t>
      </w:r>
      <w:r>
        <w:rPr>
          <w:color w:val="231F20"/>
          <w:sz w:val="20"/>
        </w:rPr>
        <w:t>heard</w:t>
      </w:r>
      <w:r>
        <w:rPr>
          <w:color w:val="231F20"/>
          <w:spacing w:val="-6"/>
          <w:sz w:val="20"/>
        </w:rPr>
        <w:t xml:space="preserve"> </w:t>
      </w:r>
      <w:r>
        <w:rPr>
          <w:color w:val="231F20"/>
          <w:sz w:val="20"/>
        </w:rPr>
        <w:t>about</w:t>
      </w:r>
      <w:r>
        <w:rPr>
          <w:color w:val="231F20"/>
          <w:spacing w:val="-6"/>
          <w:sz w:val="20"/>
        </w:rPr>
        <w:t xml:space="preserve"> </w:t>
      </w:r>
      <w:r>
        <w:rPr>
          <w:color w:val="231F20"/>
          <w:spacing w:val="-3"/>
          <w:sz w:val="20"/>
        </w:rPr>
        <w:t>are</w:t>
      </w:r>
      <w:r>
        <w:rPr>
          <w:color w:val="231F20"/>
          <w:spacing w:val="-6"/>
          <w:sz w:val="20"/>
        </w:rPr>
        <w:t xml:space="preserve"> </w:t>
      </w:r>
      <w:r>
        <w:rPr>
          <w:color w:val="231F20"/>
          <w:sz w:val="20"/>
        </w:rPr>
        <w:t>supported</w:t>
      </w:r>
      <w:r>
        <w:rPr>
          <w:color w:val="231F20"/>
          <w:spacing w:val="-6"/>
          <w:sz w:val="20"/>
        </w:rPr>
        <w:t xml:space="preserve"> </w:t>
      </w:r>
      <w:r>
        <w:rPr>
          <w:color w:val="231F20"/>
          <w:spacing w:val="-3"/>
          <w:sz w:val="20"/>
        </w:rPr>
        <w:t>by</w:t>
      </w:r>
      <w:r>
        <w:rPr>
          <w:color w:val="231F20"/>
          <w:spacing w:val="-6"/>
          <w:sz w:val="20"/>
        </w:rPr>
        <w:t xml:space="preserve"> </w:t>
      </w:r>
      <w:r>
        <w:rPr>
          <w:color w:val="231F20"/>
          <w:sz w:val="20"/>
        </w:rPr>
        <w:t>other</w:t>
      </w:r>
    </w:p>
    <w:p w14:paraId="2AA715FC" w14:textId="77777777" w:rsidR="00894070" w:rsidRDefault="009B7AFD">
      <w:pPr>
        <w:pStyle w:val="BodyText"/>
        <w:spacing w:line="259" w:lineRule="exact"/>
        <w:ind w:left="1801"/>
        <w:rPr>
          <w:sz w:val="11"/>
        </w:rPr>
      </w:pPr>
      <w:r>
        <w:rPr>
          <w:color w:val="231F20"/>
        </w:rPr>
        <w:t>research.</w:t>
      </w:r>
      <w:r>
        <w:rPr>
          <w:color w:val="231F20"/>
          <w:position w:val="7"/>
          <w:sz w:val="11"/>
        </w:rPr>
        <w:t>20</w:t>
      </w:r>
    </w:p>
    <w:p w14:paraId="67032535" w14:textId="77777777" w:rsidR="00894070" w:rsidRDefault="009F6793">
      <w:pPr>
        <w:pStyle w:val="BodyText"/>
        <w:spacing w:before="10"/>
        <w:rPr>
          <w:sz w:val="28"/>
        </w:rPr>
      </w:pPr>
      <w:r>
        <w:pict w14:anchorId="5A179489">
          <v:line id="_x0000_s1672" style="position:absolute;z-index:251436032;mso-wrap-distance-left:0;mso-wrap-distance-right:0;mso-position-horizontal-relative:page" from="79.35pt,22.4pt" to="515.9pt,22.4pt" strokecolor="#f8cabc" strokeweight="1pt">
            <w10:wrap type="topAndBottom" anchorx="page"/>
          </v:line>
        </w:pict>
      </w:r>
    </w:p>
    <w:p w14:paraId="7EB75916" w14:textId="77777777" w:rsidR="00894070" w:rsidRDefault="009B7AFD">
      <w:pPr>
        <w:pStyle w:val="ListParagraph"/>
        <w:numPr>
          <w:ilvl w:val="0"/>
          <w:numId w:val="172"/>
        </w:numPr>
        <w:tabs>
          <w:tab w:val="left" w:pos="1801"/>
          <w:tab w:val="left" w:pos="1802"/>
        </w:tabs>
        <w:spacing w:before="107"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5AE1A457" w14:textId="77777777" w:rsidR="00894070" w:rsidRDefault="009B7AFD">
      <w:pPr>
        <w:pStyle w:val="ListParagraph"/>
        <w:numPr>
          <w:ilvl w:val="0"/>
          <w:numId w:val="172"/>
        </w:numPr>
        <w:tabs>
          <w:tab w:val="left" w:pos="1801"/>
          <w:tab w:val="left" w:pos="1802"/>
        </w:tabs>
        <w:spacing w:line="153" w:lineRule="exact"/>
        <w:rPr>
          <w:sz w:val="13"/>
        </w:rPr>
      </w:pPr>
      <w:r>
        <w:rPr>
          <w:color w:val="231F20"/>
          <w:sz w:val="13"/>
        </w:rPr>
        <w:t>Ibid.</w:t>
      </w:r>
    </w:p>
    <w:p w14:paraId="1D6A877B" w14:textId="77777777" w:rsidR="00894070" w:rsidRDefault="009B7AFD">
      <w:pPr>
        <w:pStyle w:val="ListParagraph"/>
        <w:numPr>
          <w:ilvl w:val="0"/>
          <w:numId w:val="172"/>
        </w:numPr>
        <w:tabs>
          <w:tab w:val="left" w:pos="1800"/>
          <w:tab w:val="left" w:pos="1802"/>
        </w:tabs>
        <w:spacing w:line="160" w:lineRule="exact"/>
        <w:rPr>
          <w:sz w:val="13"/>
        </w:rPr>
      </w:pPr>
      <w:r>
        <w:rPr>
          <w:color w:val="231F20"/>
          <w:sz w:val="13"/>
        </w:rPr>
        <w:t>Ibid.</w:t>
      </w:r>
    </w:p>
    <w:p w14:paraId="1ADC466A" w14:textId="77777777" w:rsidR="00894070" w:rsidRDefault="009B7AFD">
      <w:pPr>
        <w:pStyle w:val="ListParagraph"/>
        <w:numPr>
          <w:ilvl w:val="0"/>
          <w:numId w:val="172"/>
        </w:numPr>
        <w:tabs>
          <w:tab w:val="left" w:pos="1801"/>
          <w:tab w:val="left" w:pos="1802"/>
        </w:tabs>
        <w:spacing w:line="160" w:lineRule="exact"/>
        <w:rPr>
          <w:sz w:val="13"/>
        </w:rPr>
      </w:pPr>
      <w:r>
        <w:rPr>
          <w:color w:val="231F20"/>
          <w:sz w:val="13"/>
        </w:rPr>
        <w:t>Ibid.</w:t>
      </w:r>
    </w:p>
    <w:p w14:paraId="0F8603FD" w14:textId="77777777" w:rsidR="00894070" w:rsidRDefault="009B7AFD">
      <w:pPr>
        <w:pStyle w:val="ListParagraph"/>
        <w:numPr>
          <w:ilvl w:val="0"/>
          <w:numId w:val="172"/>
        </w:numPr>
        <w:tabs>
          <w:tab w:val="left" w:pos="1801"/>
          <w:tab w:val="left" w:pos="1802"/>
        </w:tabs>
        <w:spacing w:before="6" w:line="213" w:lineRule="auto"/>
        <w:ind w:right="1170"/>
        <w:rPr>
          <w:sz w:val="13"/>
        </w:rPr>
      </w:pPr>
      <w:r>
        <w:rPr>
          <w:color w:val="231F20"/>
          <w:sz w:val="13"/>
        </w:rPr>
        <w:t xml:space="preserve">Lise Linn </w:t>
      </w:r>
      <w:r>
        <w:rPr>
          <w:color w:val="231F20"/>
          <w:spacing w:val="2"/>
          <w:sz w:val="13"/>
        </w:rPr>
        <w:t xml:space="preserve">Larsen, </w:t>
      </w:r>
      <w:r>
        <w:rPr>
          <w:color w:val="231F20"/>
          <w:sz w:val="13"/>
        </w:rPr>
        <w:t xml:space="preserve">Dianna </w:t>
      </w:r>
      <w:proofErr w:type="spellStart"/>
      <w:r>
        <w:rPr>
          <w:color w:val="231F20"/>
          <w:sz w:val="13"/>
        </w:rPr>
        <w:t>Bomholt</w:t>
      </w:r>
      <w:proofErr w:type="spellEnd"/>
      <w:r>
        <w:rPr>
          <w:color w:val="231F20"/>
          <w:sz w:val="13"/>
        </w:rPr>
        <w:t xml:space="preserve"> and </w:t>
      </w:r>
      <w:proofErr w:type="spellStart"/>
      <w:r>
        <w:rPr>
          <w:color w:val="231F20"/>
          <w:sz w:val="13"/>
        </w:rPr>
        <w:t>Helle</w:t>
      </w:r>
      <w:proofErr w:type="spellEnd"/>
      <w:r>
        <w:rPr>
          <w:color w:val="231F20"/>
          <w:sz w:val="13"/>
        </w:rPr>
        <w:t xml:space="preserve"> </w:t>
      </w:r>
      <w:proofErr w:type="spellStart"/>
      <w:r>
        <w:rPr>
          <w:color w:val="231F20"/>
          <w:sz w:val="13"/>
        </w:rPr>
        <w:t>Hundahl</w:t>
      </w:r>
      <w:proofErr w:type="spellEnd"/>
      <w:r>
        <w:rPr>
          <w:color w:val="231F20"/>
          <w:sz w:val="13"/>
        </w:rPr>
        <w:t xml:space="preserve">, </w:t>
      </w:r>
      <w:r>
        <w:rPr>
          <w:color w:val="231F20"/>
          <w:spacing w:val="2"/>
          <w:sz w:val="13"/>
        </w:rPr>
        <w:t xml:space="preserve">‘Stalking </w:t>
      </w:r>
      <w:r>
        <w:rPr>
          <w:color w:val="231F20"/>
          <w:sz w:val="13"/>
        </w:rPr>
        <w:t xml:space="preserve">as a </w:t>
      </w:r>
      <w:r>
        <w:rPr>
          <w:color w:val="231F20"/>
          <w:spacing w:val="2"/>
          <w:sz w:val="13"/>
        </w:rPr>
        <w:t xml:space="preserve">Phenomenon </w:t>
      </w:r>
      <w:r>
        <w:rPr>
          <w:color w:val="231F20"/>
          <w:sz w:val="13"/>
        </w:rPr>
        <w:t xml:space="preserve">in a Danish Context’ in Heng </w:t>
      </w:r>
      <w:proofErr w:type="spellStart"/>
      <w:r>
        <w:rPr>
          <w:color w:val="231F20"/>
          <w:sz w:val="13"/>
        </w:rPr>
        <w:t>Choon</w:t>
      </w:r>
      <w:proofErr w:type="spellEnd"/>
      <w:r>
        <w:rPr>
          <w:color w:val="231F20"/>
          <w:sz w:val="13"/>
        </w:rPr>
        <w:t xml:space="preserve"> (</w:t>
      </w:r>
      <w:proofErr w:type="gramStart"/>
      <w:r>
        <w:rPr>
          <w:color w:val="231F20"/>
          <w:sz w:val="13"/>
        </w:rPr>
        <w:t xml:space="preserve">Oliver)   </w:t>
      </w:r>
      <w:proofErr w:type="gramEnd"/>
      <w:r>
        <w:rPr>
          <w:color w:val="231F20"/>
          <w:sz w:val="13"/>
        </w:rPr>
        <w:t xml:space="preserve">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International Perspectives </w:t>
      </w:r>
      <w:r>
        <w:rPr>
          <w:color w:val="231F20"/>
          <w:sz w:val="13"/>
        </w:rPr>
        <w:t xml:space="preserve">(John Wiley   and Sons, 2020) </w:t>
      </w:r>
      <w:r>
        <w:rPr>
          <w:color w:val="231F20"/>
          <w:spacing w:val="2"/>
          <w:sz w:val="13"/>
        </w:rPr>
        <w:t xml:space="preserve">195, </w:t>
      </w:r>
      <w:r>
        <w:rPr>
          <w:color w:val="231F20"/>
          <w:sz w:val="13"/>
        </w:rPr>
        <w:t xml:space="preserve">201–2; </w:t>
      </w:r>
      <w:r>
        <w:rPr>
          <w:color w:val="231F20"/>
          <w:spacing w:val="2"/>
          <w:sz w:val="13"/>
        </w:rPr>
        <w:t xml:space="preserve">Submission </w:t>
      </w:r>
      <w:r>
        <w:rPr>
          <w:color w:val="231F20"/>
          <w:sz w:val="13"/>
        </w:rPr>
        <w:t xml:space="preserve">32 (Centre for Forensic </w:t>
      </w:r>
      <w:proofErr w:type="spellStart"/>
      <w:r>
        <w:rPr>
          <w:color w:val="231F20"/>
          <w:sz w:val="13"/>
        </w:rPr>
        <w:t>Behavioural</w:t>
      </w:r>
      <w:proofErr w:type="spellEnd"/>
      <w:r>
        <w:rPr>
          <w:color w:val="231F20"/>
          <w:sz w:val="13"/>
        </w:rPr>
        <w:t xml:space="preserve"> Science); 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18"/>
          <w:sz w:val="13"/>
        </w:rPr>
        <w:t xml:space="preserve"> </w:t>
      </w:r>
      <w:r>
        <w:rPr>
          <w:color w:val="231F20"/>
          <w:sz w:val="13"/>
        </w:rPr>
        <w:t>2021).</w:t>
      </w:r>
    </w:p>
    <w:p w14:paraId="2353AC39" w14:textId="77777777" w:rsidR="00894070" w:rsidRDefault="009B7AFD">
      <w:pPr>
        <w:pStyle w:val="ListParagraph"/>
        <w:numPr>
          <w:ilvl w:val="0"/>
          <w:numId w:val="172"/>
        </w:numPr>
        <w:tabs>
          <w:tab w:val="left" w:pos="1801"/>
          <w:tab w:val="left" w:pos="1802"/>
        </w:tabs>
        <w:spacing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5C02B9BB" w14:textId="77777777" w:rsidR="00894070" w:rsidRDefault="009B7AFD">
      <w:pPr>
        <w:pStyle w:val="ListParagraph"/>
        <w:numPr>
          <w:ilvl w:val="0"/>
          <w:numId w:val="172"/>
        </w:numPr>
        <w:tabs>
          <w:tab w:val="left" w:pos="1801"/>
          <w:tab w:val="left" w:pos="1802"/>
        </w:tabs>
        <w:spacing w:line="152" w:lineRule="exact"/>
        <w:rPr>
          <w:sz w:val="13"/>
        </w:rPr>
      </w:pPr>
      <w:r>
        <w:rPr>
          <w:color w:val="231F20"/>
          <w:spacing w:val="2"/>
          <w:sz w:val="13"/>
        </w:rPr>
        <w:t xml:space="preserve">Submission </w:t>
      </w:r>
      <w:r>
        <w:rPr>
          <w:color w:val="231F20"/>
          <w:sz w:val="13"/>
        </w:rPr>
        <w:t>21 (Antoinette</w:t>
      </w:r>
      <w:r>
        <w:rPr>
          <w:color w:val="231F20"/>
          <w:spacing w:val="25"/>
          <w:sz w:val="13"/>
        </w:rPr>
        <w:t xml:space="preserve"> </w:t>
      </w:r>
      <w:r>
        <w:rPr>
          <w:color w:val="231F20"/>
          <w:sz w:val="13"/>
        </w:rPr>
        <w:t>Lim).</w:t>
      </w:r>
    </w:p>
    <w:p w14:paraId="6F9C2F85" w14:textId="77777777" w:rsidR="00894070" w:rsidRDefault="009B7AFD">
      <w:pPr>
        <w:pStyle w:val="ListParagraph"/>
        <w:numPr>
          <w:ilvl w:val="0"/>
          <w:numId w:val="172"/>
        </w:numPr>
        <w:tabs>
          <w:tab w:val="left" w:pos="1801"/>
          <w:tab w:val="left" w:pos="1802"/>
        </w:tabs>
        <w:spacing w:before="4" w:line="213" w:lineRule="auto"/>
        <w:ind w:right="1288"/>
        <w:jc w:val="both"/>
        <w:rPr>
          <w:sz w:val="13"/>
        </w:rPr>
      </w:pPr>
      <w:r>
        <w:rPr>
          <w:color w:val="231F20"/>
          <w:sz w:val="13"/>
        </w:rPr>
        <w:t xml:space="preserve">In a study of 143 females who </w:t>
      </w:r>
      <w:r>
        <w:rPr>
          <w:color w:val="231F20"/>
          <w:spacing w:val="2"/>
          <w:sz w:val="13"/>
        </w:rPr>
        <w:t xml:space="preserve">experienced stalking, Assistant </w:t>
      </w:r>
      <w:r>
        <w:rPr>
          <w:color w:val="231F20"/>
          <w:sz w:val="13"/>
        </w:rPr>
        <w:t xml:space="preserve">Professor Matthew Raj found that in 45% of cases the person who stalked </w:t>
      </w:r>
      <w:r>
        <w:rPr>
          <w:color w:val="231F20"/>
          <w:spacing w:val="2"/>
          <w:sz w:val="13"/>
        </w:rPr>
        <w:t xml:space="preserve">harassed </w:t>
      </w:r>
      <w:r>
        <w:rPr>
          <w:color w:val="231F20"/>
          <w:sz w:val="13"/>
        </w:rPr>
        <w:t xml:space="preserve">not just the main victim survivor but </w:t>
      </w:r>
      <w:r>
        <w:rPr>
          <w:color w:val="231F20"/>
          <w:spacing w:val="2"/>
          <w:sz w:val="13"/>
        </w:rPr>
        <w:t xml:space="preserve">also </w:t>
      </w:r>
      <w:r>
        <w:rPr>
          <w:color w:val="231F20"/>
          <w:sz w:val="13"/>
        </w:rPr>
        <w:t xml:space="preserve">people around them such as </w:t>
      </w:r>
      <w:r>
        <w:rPr>
          <w:color w:val="231F20"/>
          <w:spacing w:val="2"/>
          <w:sz w:val="13"/>
        </w:rPr>
        <w:t xml:space="preserve">friends, </w:t>
      </w:r>
      <w:r>
        <w:rPr>
          <w:color w:val="231F20"/>
          <w:sz w:val="13"/>
        </w:rPr>
        <w:t xml:space="preserve">children, </w:t>
      </w:r>
      <w:r>
        <w:rPr>
          <w:color w:val="231F20"/>
          <w:spacing w:val="2"/>
          <w:sz w:val="13"/>
        </w:rPr>
        <w:t xml:space="preserve">partners, </w:t>
      </w:r>
      <w:proofErr w:type="spellStart"/>
      <w:r>
        <w:rPr>
          <w:color w:val="231F20"/>
          <w:spacing w:val="2"/>
          <w:sz w:val="13"/>
        </w:rPr>
        <w:t>neighbours</w:t>
      </w:r>
      <w:proofErr w:type="spellEnd"/>
      <w:r>
        <w:rPr>
          <w:color w:val="231F20"/>
          <w:spacing w:val="2"/>
          <w:sz w:val="13"/>
        </w:rPr>
        <w:t>,</w:t>
      </w:r>
      <w:r>
        <w:rPr>
          <w:color w:val="231F20"/>
          <w:spacing w:val="37"/>
          <w:sz w:val="13"/>
        </w:rPr>
        <w:t xml:space="preserve"> </w:t>
      </w:r>
      <w:r>
        <w:rPr>
          <w:color w:val="231F20"/>
          <w:sz w:val="13"/>
        </w:rPr>
        <w:t xml:space="preserve">or work colleagues: </w:t>
      </w:r>
      <w:r>
        <w:rPr>
          <w:color w:val="231F20"/>
          <w:spacing w:val="2"/>
          <w:sz w:val="13"/>
        </w:rPr>
        <w:t xml:space="preserve">Submission </w:t>
      </w:r>
      <w:r>
        <w:rPr>
          <w:color w:val="231F20"/>
          <w:sz w:val="13"/>
        </w:rPr>
        <w:t>51 (Matthew</w:t>
      </w:r>
      <w:r>
        <w:rPr>
          <w:color w:val="231F20"/>
          <w:spacing w:val="-1"/>
          <w:sz w:val="13"/>
        </w:rPr>
        <w:t xml:space="preserve"> </w:t>
      </w:r>
      <w:r>
        <w:rPr>
          <w:color w:val="231F20"/>
          <w:sz w:val="13"/>
        </w:rPr>
        <w:t>Raj).</w:t>
      </w:r>
    </w:p>
    <w:p w14:paraId="55D7F36E" w14:textId="77777777" w:rsidR="00894070" w:rsidRDefault="009F6793">
      <w:pPr>
        <w:pStyle w:val="ListParagraph"/>
        <w:numPr>
          <w:ilvl w:val="0"/>
          <w:numId w:val="172"/>
        </w:numPr>
        <w:tabs>
          <w:tab w:val="left" w:pos="1801"/>
          <w:tab w:val="left" w:pos="1802"/>
        </w:tabs>
        <w:spacing w:line="213" w:lineRule="auto"/>
        <w:ind w:right="1174"/>
        <w:rPr>
          <w:sz w:val="13"/>
        </w:rPr>
      </w:pPr>
      <w:r>
        <w:pict w14:anchorId="55AA31BF">
          <v:shape id="_x0000_s1671" type="#_x0000_t202" style="position:absolute;left:0;text-align:left;margin-left:36pt;margin-top:35.4pt;width:12.9pt;height:14.1pt;z-index:251495424;mso-position-horizontal-relative:page" filled="f" stroked="f">
            <v:textbox inset="0,0,0,0">
              <w:txbxContent>
                <w:p w14:paraId="0C8B8ED0" w14:textId="77777777" w:rsidR="00894070" w:rsidRDefault="009B7AFD">
                  <w:pPr>
                    <w:spacing w:line="282" w:lineRule="exact"/>
                    <w:rPr>
                      <w:b/>
                      <w:sz w:val="24"/>
                    </w:rPr>
                  </w:pPr>
                  <w:r>
                    <w:rPr>
                      <w:b/>
                      <w:color w:val="EA5B50"/>
                      <w:sz w:val="24"/>
                    </w:rPr>
                    <w:t>14</w:t>
                  </w:r>
                </w:p>
              </w:txbxContent>
            </v:textbox>
            <w10:wrap anchorx="page"/>
          </v:shape>
        </w:pict>
      </w:r>
      <w:r w:rsidR="009B7AFD">
        <w:rPr>
          <w:color w:val="231F20"/>
          <w:sz w:val="13"/>
        </w:rPr>
        <w:t xml:space="preserve">See, </w:t>
      </w:r>
      <w:proofErr w:type="spellStart"/>
      <w:r w:rsidR="009B7AFD">
        <w:rPr>
          <w:color w:val="231F20"/>
          <w:sz w:val="13"/>
        </w:rPr>
        <w:t>eg</w:t>
      </w:r>
      <w:proofErr w:type="spellEnd"/>
      <w:r w:rsidR="009B7AFD">
        <w:rPr>
          <w:color w:val="231F20"/>
          <w:sz w:val="13"/>
        </w:rPr>
        <w:t xml:space="preserve">, Jenny </w:t>
      </w:r>
      <w:proofErr w:type="spellStart"/>
      <w:r w:rsidR="009B7AFD">
        <w:rPr>
          <w:color w:val="231F20"/>
          <w:sz w:val="13"/>
        </w:rPr>
        <w:t>Korkodeilou</w:t>
      </w:r>
      <w:proofErr w:type="spellEnd"/>
      <w:r w:rsidR="009B7AFD">
        <w:rPr>
          <w:color w:val="231F20"/>
          <w:sz w:val="13"/>
        </w:rPr>
        <w:t xml:space="preserve">, </w:t>
      </w:r>
      <w:r w:rsidR="009B7AFD">
        <w:rPr>
          <w:color w:val="231F20"/>
          <w:spacing w:val="2"/>
          <w:sz w:val="13"/>
        </w:rPr>
        <w:t xml:space="preserve">‘“No </w:t>
      </w:r>
      <w:r w:rsidR="009B7AFD">
        <w:rPr>
          <w:color w:val="231F20"/>
          <w:sz w:val="13"/>
        </w:rPr>
        <w:t xml:space="preserve">Place to Hide”—Stalking </w:t>
      </w:r>
      <w:proofErr w:type="spellStart"/>
      <w:r w:rsidR="009B7AFD">
        <w:rPr>
          <w:color w:val="231F20"/>
          <w:sz w:val="13"/>
        </w:rPr>
        <w:t>Victimisation</w:t>
      </w:r>
      <w:proofErr w:type="spellEnd"/>
      <w:r w:rsidR="009B7AFD">
        <w:rPr>
          <w:color w:val="231F20"/>
          <w:sz w:val="13"/>
        </w:rPr>
        <w:t xml:space="preserve"> and </w:t>
      </w:r>
      <w:r w:rsidR="009B7AFD">
        <w:rPr>
          <w:color w:val="231F20"/>
          <w:spacing w:val="2"/>
          <w:sz w:val="13"/>
        </w:rPr>
        <w:t xml:space="preserve">Its </w:t>
      </w:r>
      <w:r w:rsidR="009B7AFD">
        <w:rPr>
          <w:color w:val="231F20"/>
          <w:sz w:val="13"/>
        </w:rPr>
        <w:t xml:space="preserve">Psycho-Social Effects’ (2017) </w:t>
      </w:r>
      <w:r w:rsidR="009B7AFD">
        <w:rPr>
          <w:color w:val="231F20"/>
          <w:spacing w:val="2"/>
          <w:sz w:val="13"/>
        </w:rPr>
        <w:t xml:space="preserve">23(1) </w:t>
      </w:r>
      <w:r w:rsidR="009B7AFD">
        <w:rPr>
          <w:i/>
          <w:color w:val="231F20"/>
          <w:sz w:val="13"/>
        </w:rPr>
        <w:t xml:space="preserve">International  Review of Victimology </w:t>
      </w:r>
      <w:r w:rsidR="009B7AFD">
        <w:rPr>
          <w:color w:val="231F20"/>
          <w:sz w:val="13"/>
        </w:rPr>
        <w:t xml:space="preserve">17; Adrian J Scott et </w:t>
      </w:r>
      <w:r w:rsidR="009B7AFD">
        <w:rPr>
          <w:color w:val="231F20"/>
          <w:spacing w:val="2"/>
          <w:sz w:val="13"/>
        </w:rPr>
        <w:t xml:space="preserve">al, ‘Public </w:t>
      </w:r>
      <w:r w:rsidR="009B7AFD">
        <w:rPr>
          <w:color w:val="231F20"/>
          <w:sz w:val="13"/>
        </w:rPr>
        <w:t xml:space="preserve">Familiarity and </w:t>
      </w:r>
      <w:r w:rsidR="009B7AFD">
        <w:rPr>
          <w:color w:val="231F20"/>
          <w:spacing w:val="2"/>
          <w:sz w:val="13"/>
        </w:rPr>
        <w:t xml:space="preserve">Understanding </w:t>
      </w:r>
      <w:r w:rsidR="009B7AFD">
        <w:rPr>
          <w:color w:val="231F20"/>
          <w:sz w:val="13"/>
        </w:rPr>
        <w:t xml:space="preserve">of Stalking/Harassment Legislation in    Australia, the United Kingdom, and the United States’ in Heng </w:t>
      </w:r>
      <w:proofErr w:type="spellStart"/>
      <w:r w:rsidR="009B7AFD">
        <w:rPr>
          <w:color w:val="231F20"/>
          <w:sz w:val="13"/>
        </w:rPr>
        <w:t>Choon</w:t>
      </w:r>
      <w:proofErr w:type="spellEnd"/>
      <w:r w:rsidR="009B7AFD">
        <w:rPr>
          <w:color w:val="231F20"/>
          <w:sz w:val="13"/>
        </w:rPr>
        <w:t xml:space="preserve"> (Oliver) Chan and Lorraine </w:t>
      </w:r>
      <w:r w:rsidR="009B7AFD">
        <w:rPr>
          <w:color w:val="231F20"/>
          <w:spacing w:val="2"/>
          <w:sz w:val="13"/>
        </w:rPr>
        <w:t xml:space="preserve">Sheridan </w:t>
      </w:r>
      <w:r w:rsidR="009B7AFD">
        <w:rPr>
          <w:color w:val="231F20"/>
          <w:sz w:val="13"/>
        </w:rPr>
        <w:t xml:space="preserve">(eds), </w:t>
      </w:r>
      <w:r w:rsidR="009B7AFD">
        <w:rPr>
          <w:i/>
          <w:color w:val="231F20"/>
          <w:sz w:val="13"/>
        </w:rPr>
        <w:t xml:space="preserve">Psycho- Criminological Approaches to Stalking Behavior: An International Perspective </w:t>
      </w:r>
      <w:r w:rsidR="009B7AFD">
        <w:rPr>
          <w:color w:val="231F20"/>
          <w:sz w:val="13"/>
        </w:rPr>
        <w:t xml:space="preserve">(John Wiley and Sons, 2020) 137, 138; Sentencing Advisory Council (Vic), </w:t>
      </w:r>
      <w:r w:rsidR="009B7AFD">
        <w:rPr>
          <w:i/>
          <w:color w:val="231F20"/>
          <w:sz w:val="13"/>
        </w:rPr>
        <w:t xml:space="preserve">Sentencing Stalking in Victoria </w:t>
      </w:r>
      <w:r w:rsidR="009B7AFD">
        <w:rPr>
          <w:color w:val="231F20"/>
          <w:spacing w:val="2"/>
          <w:sz w:val="13"/>
        </w:rPr>
        <w:t xml:space="preserve">(Report, </w:t>
      </w:r>
      <w:r w:rsidR="009B7AFD">
        <w:rPr>
          <w:color w:val="231F20"/>
          <w:sz w:val="13"/>
        </w:rPr>
        <w:t xml:space="preserve">March 2022) [2.14]–[2.16]; </w:t>
      </w:r>
      <w:r w:rsidR="009B7AFD">
        <w:rPr>
          <w:color w:val="231F20"/>
          <w:spacing w:val="2"/>
          <w:sz w:val="13"/>
        </w:rPr>
        <w:t xml:space="preserve">Suzy </w:t>
      </w:r>
      <w:r w:rsidR="009B7AFD">
        <w:rPr>
          <w:color w:val="231F20"/>
          <w:sz w:val="13"/>
        </w:rPr>
        <w:t xml:space="preserve">Lamplugh Trust, </w:t>
      </w:r>
      <w:r w:rsidR="009B7AFD">
        <w:rPr>
          <w:i/>
          <w:color w:val="231F20"/>
          <w:sz w:val="13"/>
        </w:rPr>
        <w:t xml:space="preserve">Unmasking Stalking:     A Changing Landscape </w:t>
      </w:r>
      <w:r w:rsidR="009B7AFD">
        <w:rPr>
          <w:color w:val="231F20"/>
          <w:spacing w:val="2"/>
          <w:sz w:val="13"/>
        </w:rPr>
        <w:t xml:space="preserve">(Report, </w:t>
      </w:r>
      <w:r w:rsidR="009B7AFD">
        <w:rPr>
          <w:color w:val="231F20"/>
          <w:sz w:val="13"/>
        </w:rPr>
        <w:t>April 2021)</w:t>
      </w:r>
      <w:r w:rsidR="009B7AFD">
        <w:rPr>
          <w:color w:val="231F20"/>
          <w:spacing w:val="-1"/>
          <w:sz w:val="13"/>
        </w:rPr>
        <w:t xml:space="preserve"> </w:t>
      </w:r>
      <w:r w:rsidR="009B7AFD">
        <w:rPr>
          <w:color w:val="231F20"/>
          <w:spacing w:val="2"/>
          <w:sz w:val="13"/>
        </w:rPr>
        <w:t>12.</w:t>
      </w:r>
    </w:p>
    <w:p w14:paraId="58A2B560" w14:textId="77777777" w:rsidR="00894070" w:rsidRDefault="00894070">
      <w:pPr>
        <w:spacing w:line="213" w:lineRule="auto"/>
        <w:rPr>
          <w:sz w:val="13"/>
        </w:rPr>
        <w:sectPr w:rsidR="00894070">
          <w:pgSz w:w="11910" w:h="16840"/>
          <w:pgMar w:top="860" w:right="420" w:bottom="280" w:left="580" w:header="567" w:footer="0" w:gutter="0"/>
          <w:cols w:space="720"/>
        </w:sectPr>
      </w:pPr>
    </w:p>
    <w:p w14:paraId="75150BB9" w14:textId="77777777" w:rsidR="00894070" w:rsidRDefault="00894070">
      <w:pPr>
        <w:pStyle w:val="BodyText"/>
      </w:pPr>
    </w:p>
    <w:p w14:paraId="436FAEF8" w14:textId="77777777" w:rsidR="00894070" w:rsidRDefault="00894070">
      <w:pPr>
        <w:pStyle w:val="BodyText"/>
      </w:pPr>
    </w:p>
    <w:p w14:paraId="2E983630" w14:textId="77777777" w:rsidR="00894070" w:rsidRDefault="00894070">
      <w:pPr>
        <w:pStyle w:val="BodyText"/>
      </w:pPr>
    </w:p>
    <w:p w14:paraId="20639DF7" w14:textId="77777777" w:rsidR="00894070" w:rsidRDefault="00894070">
      <w:pPr>
        <w:pStyle w:val="BodyText"/>
        <w:spacing w:before="6"/>
        <w:rPr>
          <w:sz w:val="14"/>
        </w:rPr>
      </w:pPr>
    </w:p>
    <w:p w14:paraId="28AFCDFF" w14:textId="77777777" w:rsidR="00894070" w:rsidRDefault="009B7AFD">
      <w:pPr>
        <w:pStyle w:val="Heading7"/>
        <w:spacing w:before="115" w:line="184" w:lineRule="auto"/>
        <w:ind w:right="1459"/>
      </w:pPr>
      <w:bookmarkStart w:id="33" w:name="What_does_research_suggest_about_stalkin"/>
      <w:bookmarkStart w:id="34" w:name="_bookmark15"/>
      <w:bookmarkEnd w:id="33"/>
      <w:bookmarkEnd w:id="34"/>
      <w:r>
        <w:rPr>
          <w:color w:val="EA5B50"/>
        </w:rPr>
        <w:t>What does research suggest about stalking and the justice response to it?</w:t>
      </w:r>
    </w:p>
    <w:p w14:paraId="7B7E6B20" w14:textId="77777777" w:rsidR="00894070" w:rsidRDefault="009B7AFD">
      <w:pPr>
        <w:pStyle w:val="ListParagraph"/>
        <w:numPr>
          <w:ilvl w:val="1"/>
          <w:numId w:val="177"/>
        </w:numPr>
        <w:tabs>
          <w:tab w:val="left" w:pos="1801"/>
          <w:tab w:val="left" w:pos="1802"/>
        </w:tabs>
        <w:spacing w:before="162" w:line="206" w:lineRule="auto"/>
        <w:ind w:right="1437"/>
        <w:rPr>
          <w:sz w:val="20"/>
        </w:rPr>
      </w:pPr>
      <w:r>
        <w:rPr>
          <w:color w:val="231F20"/>
          <w:sz w:val="20"/>
        </w:rPr>
        <w:t xml:space="preserve">Although </w:t>
      </w:r>
      <w:r>
        <w:rPr>
          <w:color w:val="231F20"/>
          <w:spacing w:val="-3"/>
          <w:sz w:val="20"/>
        </w:rPr>
        <w:t xml:space="preserve">we know </w:t>
      </w:r>
      <w:r>
        <w:rPr>
          <w:color w:val="231F20"/>
          <w:sz w:val="20"/>
        </w:rPr>
        <w:t xml:space="preserve">about its impacts, stalking is still not </w:t>
      </w:r>
      <w:r>
        <w:rPr>
          <w:color w:val="231F20"/>
          <w:spacing w:val="-3"/>
          <w:sz w:val="20"/>
        </w:rPr>
        <w:t xml:space="preserve">well </w:t>
      </w:r>
      <w:r>
        <w:rPr>
          <w:color w:val="231F20"/>
          <w:sz w:val="20"/>
        </w:rPr>
        <w:t xml:space="preserve">understood, either </w:t>
      </w:r>
      <w:r>
        <w:rPr>
          <w:color w:val="231F20"/>
          <w:spacing w:val="-3"/>
          <w:sz w:val="20"/>
        </w:rPr>
        <w:t xml:space="preserve">by </w:t>
      </w:r>
      <w:r>
        <w:rPr>
          <w:color w:val="231F20"/>
          <w:sz w:val="20"/>
        </w:rPr>
        <w:t>the</w:t>
      </w:r>
      <w:r>
        <w:rPr>
          <w:color w:val="231F20"/>
          <w:spacing w:val="-9"/>
          <w:sz w:val="20"/>
        </w:rPr>
        <w:t xml:space="preserve"> </w:t>
      </w: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z w:val="20"/>
        </w:rPr>
        <w:t>experience</w:t>
      </w:r>
      <w:r>
        <w:rPr>
          <w:color w:val="231F20"/>
          <w:spacing w:val="-8"/>
          <w:sz w:val="20"/>
        </w:rPr>
        <w:t xml:space="preserve"> </w:t>
      </w:r>
      <w:r>
        <w:rPr>
          <w:color w:val="231F20"/>
          <w:sz w:val="20"/>
        </w:rPr>
        <w:t>it</w:t>
      </w:r>
      <w:r>
        <w:rPr>
          <w:color w:val="231F20"/>
          <w:spacing w:val="-8"/>
          <w:sz w:val="20"/>
        </w:rPr>
        <w:t xml:space="preserve"> </w:t>
      </w:r>
      <w:r>
        <w:rPr>
          <w:color w:val="231F20"/>
          <w:sz w:val="20"/>
        </w:rPr>
        <w:t>or</w:t>
      </w:r>
      <w:r>
        <w:rPr>
          <w:color w:val="231F20"/>
          <w:spacing w:val="-8"/>
          <w:sz w:val="20"/>
        </w:rPr>
        <w:t xml:space="preserve"> </w:t>
      </w: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z w:val="20"/>
        </w:rPr>
        <w:t>respond</w:t>
      </w:r>
      <w:r>
        <w:rPr>
          <w:color w:val="231F20"/>
          <w:spacing w:val="-8"/>
          <w:sz w:val="20"/>
        </w:rPr>
        <w:t xml:space="preserve"> </w:t>
      </w:r>
      <w:r>
        <w:rPr>
          <w:color w:val="231F20"/>
          <w:sz w:val="20"/>
        </w:rPr>
        <w:t>to</w:t>
      </w:r>
      <w:r>
        <w:rPr>
          <w:color w:val="231F20"/>
          <w:spacing w:val="-8"/>
          <w:sz w:val="20"/>
        </w:rPr>
        <w:t xml:space="preserve"> </w:t>
      </w:r>
      <w:r>
        <w:rPr>
          <w:color w:val="231F20"/>
          <w:sz w:val="20"/>
        </w:rPr>
        <w:t>it.</w:t>
      </w:r>
      <w:r>
        <w:rPr>
          <w:color w:val="231F20"/>
          <w:position w:val="7"/>
          <w:sz w:val="11"/>
        </w:rPr>
        <w:t>21</w:t>
      </w:r>
      <w:r>
        <w:rPr>
          <w:color w:val="231F20"/>
          <w:spacing w:val="16"/>
          <w:position w:val="7"/>
          <w:sz w:val="11"/>
        </w:rPr>
        <w:t xml:space="preserve"> </w:t>
      </w:r>
      <w:r>
        <w:rPr>
          <w:color w:val="231F20"/>
          <w:sz w:val="20"/>
        </w:rPr>
        <w:t>There</w:t>
      </w:r>
      <w:r>
        <w:rPr>
          <w:color w:val="231F20"/>
          <w:spacing w:val="-8"/>
          <w:sz w:val="20"/>
        </w:rPr>
        <w:t xml:space="preserve"> </w:t>
      </w:r>
      <w:r>
        <w:rPr>
          <w:color w:val="231F20"/>
          <w:sz w:val="20"/>
        </w:rPr>
        <w:t>is</w:t>
      </w:r>
      <w:r>
        <w:rPr>
          <w:color w:val="231F20"/>
          <w:spacing w:val="-8"/>
          <w:sz w:val="20"/>
        </w:rPr>
        <w:t xml:space="preserve"> </w:t>
      </w:r>
      <w:r>
        <w:rPr>
          <w:color w:val="231F20"/>
          <w:sz w:val="20"/>
        </w:rPr>
        <w:t>a</w:t>
      </w:r>
      <w:r>
        <w:rPr>
          <w:color w:val="231F20"/>
          <w:spacing w:val="-8"/>
          <w:sz w:val="20"/>
        </w:rPr>
        <w:t xml:space="preserve"> </w:t>
      </w:r>
      <w:r>
        <w:rPr>
          <w:color w:val="231F20"/>
          <w:sz w:val="20"/>
        </w:rPr>
        <w:t>need</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 xml:space="preserve">more </w:t>
      </w:r>
      <w:r>
        <w:rPr>
          <w:color w:val="231F20"/>
          <w:spacing w:val="-3"/>
          <w:sz w:val="20"/>
        </w:rPr>
        <w:t xml:space="preserve">research </w:t>
      </w:r>
      <w:r>
        <w:rPr>
          <w:color w:val="231F20"/>
          <w:sz w:val="20"/>
        </w:rPr>
        <w:t xml:space="preserve">on stalking and </w:t>
      </w:r>
      <w:r>
        <w:rPr>
          <w:color w:val="231F20"/>
          <w:spacing w:val="-3"/>
          <w:sz w:val="20"/>
        </w:rPr>
        <w:t xml:space="preserve">for </w:t>
      </w:r>
      <w:r>
        <w:rPr>
          <w:color w:val="231F20"/>
          <w:sz w:val="20"/>
        </w:rPr>
        <w:t xml:space="preserve">better education about identifying and responding to it. </w:t>
      </w:r>
      <w:r>
        <w:rPr>
          <w:color w:val="231F20"/>
          <w:spacing w:val="-6"/>
          <w:sz w:val="20"/>
        </w:rPr>
        <w:t xml:space="preserve">We </w:t>
      </w:r>
      <w:r>
        <w:rPr>
          <w:color w:val="231F20"/>
          <w:sz w:val="20"/>
        </w:rPr>
        <w:t xml:space="preserve">discuss the need </w:t>
      </w:r>
      <w:r>
        <w:rPr>
          <w:color w:val="231F20"/>
          <w:spacing w:val="-3"/>
          <w:sz w:val="20"/>
        </w:rPr>
        <w:t xml:space="preserve">for </w:t>
      </w:r>
      <w:r>
        <w:rPr>
          <w:color w:val="231F20"/>
          <w:sz w:val="20"/>
        </w:rPr>
        <w:t xml:space="preserve">education in </w:t>
      </w:r>
      <w:r>
        <w:rPr>
          <w:color w:val="231F20"/>
          <w:spacing w:val="-3"/>
          <w:sz w:val="20"/>
        </w:rPr>
        <w:t>Chapter</w:t>
      </w:r>
      <w:r>
        <w:rPr>
          <w:color w:val="231F20"/>
          <w:spacing w:val="-25"/>
          <w:sz w:val="20"/>
        </w:rPr>
        <w:t xml:space="preserve"> </w:t>
      </w:r>
      <w:r>
        <w:rPr>
          <w:color w:val="231F20"/>
          <w:spacing w:val="2"/>
          <w:sz w:val="20"/>
        </w:rPr>
        <w:t>4.</w:t>
      </w:r>
    </w:p>
    <w:p w14:paraId="3BE0B35F" w14:textId="77777777" w:rsidR="00894070" w:rsidRDefault="009B7AFD">
      <w:pPr>
        <w:pStyle w:val="ListParagraph"/>
        <w:numPr>
          <w:ilvl w:val="1"/>
          <w:numId w:val="177"/>
        </w:numPr>
        <w:tabs>
          <w:tab w:val="left" w:pos="1801"/>
          <w:tab w:val="left" w:pos="1802"/>
        </w:tabs>
        <w:spacing w:before="92"/>
        <w:rPr>
          <w:sz w:val="20"/>
        </w:rPr>
      </w:pPr>
      <w:r>
        <w:rPr>
          <w:color w:val="231F20"/>
          <w:sz w:val="20"/>
        </w:rPr>
        <w:t>In</w:t>
      </w:r>
      <w:r>
        <w:rPr>
          <w:color w:val="231F20"/>
          <w:spacing w:val="-5"/>
          <w:sz w:val="20"/>
        </w:rPr>
        <w:t xml:space="preserve"> </w:t>
      </w:r>
      <w:r>
        <w:rPr>
          <w:color w:val="231F20"/>
          <w:sz w:val="20"/>
        </w:rPr>
        <w:t>this</w:t>
      </w:r>
      <w:r>
        <w:rPr>
          <w:color w:val="231F20"/>
          <w:spacing w:val="-4"/>
          <w:sz w:val="20"/>
        </w:rPr>
        <w:t xml:space="preserve"> </w:t>
      </w:r>
      <w:r>
        <w:rPr>
          <w:color w:val="231F20"/>
          <w:sz w:val="20"/>
        </w:rPr>
        <w:t>report,</w:t>
      </w:r>
      <w:r>
        <w:rPr>
          <w:color w:val="231F20"/>
          <w:spacing w:val="-5"/>
          <w:sz w:val="20"/>
        </w:rPr>
        <w:t xml:space="preserve"> </w:t>
      </w:r>
      <w:r>
        <w:rPr>
          <w:color w:val="231F20"/>
          <w:spacing w:val="-3"/>
          <w:sz w:val="20"/>
        </w:rPr>
        <w:t>we</w:t>
      </w:r>
      <w:r>
        <w:rPr>
          <w:color w:val="231F20"/>
          <w:spacing w:val="-4"/>
          <w:sz w:val="20"/>
        </w:rPr>
        <w:t xml:space="preserve"> </w:t>
      </w:r>
      <w:r>
        <w:rPr>
          <w:color w:val="231F20"/>
          <w:sz w:val="20"/>
        </w:rPr>
        <w:t>use</w:t>
      </w:r>
      <w:r>
        <w:rPr>
          <w:color w:val="231F20"/>
          <w:spacing w:val="-4"/>
          <w:sz w:val="20"/>
        </w:rPr>
        <w:t xml:space="preserve"> </w:t>
      </w:r>
      <w:r>
        <w:rPr>
          <w:color w:val="231F20"/>
          <w:sz w:val="20"/>
        </w:rPr>
        <w:t>these</w:t>
      </w:r>
      <w:r>
        <w:rPr>
          <w:color w:val="231F20"/>
          <w:spacing w:val="-5"/>
          <w:sz w:val="20"/>
        </w:rPr>
        <w:t xml:space="preserve"> </w:t>
      </w:r>
      <w:r>
        <w:rPr>
          <w:color w:val="231F20"/>
          <w:sz w:val="20"/>
        </w:rPr>
        <w:t>sources</w:t>
      </w:r>
      <w:r>
        <w:rPr>
          <w:color w:val="231F20"/>
          <w:spacing w:val="-4"/>
          <w:sz w:val="20"/>
        </w:rPr>
        <w:t xml:space="preserve"> </w:t>
      </w:r>
      <w:r>
        <w:rPr>
          <w:color w:val="231F20"/>
          <w:sz w:val="20"/>
        </w:rPr>
        <w:t>of</w:t>
      </w:r>
      <w:r>
        <w:rPr>
          <w:color w:val="231F20"/>
          <w:spacing w:val="-4"/>
          <w:sz w:val="20"/>
        </w:rPr>
        <w:t xml:space="preserve"> </w:t>
      </w:r>
      <w:r>
        <w:rPr>
          <w:color w:val="231F20"/>
          <w:sz w:val="20"/>
        </w:rPr>
        <w:t>data</w:t>
      </w:r>
      <w:r>
        <w:rPr>
          <w:color w:val="231F20"/>
          <w:spacing w:val="-5"/>
          <w:sz w:val="20"/>
        </w:rPr>
        <w:t xml:space="preserve"> </w:t>
      </w:r>
      <w:r>
        <w:rPr>
          <w:color w:val="231F20"/>
          <w:sz w:val="20"/>
        </w:rPr>
        <w:t>and</w:t>
      </w:r>
      <w:r>
        <w:rPr>
          <w:color w:val="231F20"/>
          <w:spacing w:val="-4"/>
          <w:sz w:val="20"/>
        </w:rPr>
        <w:t xml:space="preserve"> </w:t>
      </w:r>
      <w:r>
        <w:rPr>
          <w:color w:val="231F20"/>
          <w:spacing w:val="-3"/>
          <w:sz w:val="20"/>
        </w:rPr>
        <w:t>analysis:</w:t>
      </w:r>
    </w:p>
    <w:p w14:paraId="364E0A05" w14:textId="77777777" w:rsidR="00894070" w:rsidRDefault="009B7AFD">
      <w:pPr>
        <w:pStyle w:val="ListParagraph"/>
        <w:numPr>
          <w:ilvl w:val="2"/>
          <w:numId w:val="177"/>
        </w:numPr>
        <w:tabs>
          <w:tab w:val="left" w:pos="2141"/>
          <w:tab w:val="left" w:pos="2142"/>
        </w:tabs>
        <w:spacing w:before="115" w:line="206" w:lineRule="auto"/>
        <w:ind w:right="1747" w:hanging="340"/>
        <w:rPr>
          <w:sz w:val="11"/>
        </w:rPr>
      </w:pPr>
      <w:r>
        <w:rPr>
          <w:color w:val="231F20"/>
          <w:sz w:val="20"/>
        </w:rPr>
        <w:t>the</w:t>
      </w:r>
      <w:r>
        <w:rPr>
          <w:color w:val="231F20"/>
          <w:spacing w:val="-11"/>
          <w:sz w:val="20"/>
        </w:rPr>
        <w:t xml:space="preserve"> </w:t>
      </w:r>
      <w:r>
        <w:rPr>
          <w:color w:val="231F20"/>
          <w:spacing w:val="-3"/>
          <w:sz w:val="20"/>
        </w:rPr>
        <w:t>2016</w:t>
      </w:r>
      <w:r>
        <w:rPr>
          <w:color w:val="231F20"/>
          <w:spacing w:val="-10"/>
          <w:sz w:val="20"/>
        </w:rPr>
        <w:t xml:space="preserve"> </w:t>
      </w:r>
      <w:r>
        <w:rPr>
          <w:color w:val="231F20"/>
          <w:sz w:val="20"/>
        </w:rPr>
        <w:t>Personal</w:t>
      </w:r>
      <w:r>
        <w:rPr>
          <w:color w:val="231F20"/>
          <w:spacing w:val="-10"/>
          <w:sz w:val="20"/>
        </w:rPr>
        <w:t xml:space="preserve"> </w:t>
      </w:r>
      <w:r>
        <w:rPr>
          <w:color w:val="231F20"/>
          <w:sz w:val="20"/>
        </w:rPr>
        <w:t>Safety</w:t>
      </w:r>
      <w:r>
        <w:rPr>
          <w:color w:val="231F20"/>
          <w:spacing w:val="-11"/>
          <w:sz w:val="20"/>
        </w:rPr>
        <w:t xml:space="preserve"> </w:t>
      </w:r>
      <w:r>
        <w:rPr>
          <w:color w:val="231F20"/>
          <w:sz w:val="20"/>
        </w:rPr>
        <w:t>Survey</w:t>
      </w:r>
      <w:r>
        <w:rPr>
          <w:color w:val="231F20"/>
          <w:spacing w:val="-10"/>
          <w:sz w:val="20"/>
        </w:rPr>
        <w:t xml:space="preserve"> </w:t>
      </w:r>
      <w:r>
        <w:rPr>
          <w:color w:val="231F20"/>
          <w:spacing w:val="-3"/>
          <w:sz w:val="20"/>
        </w:rPr>
        <w:t>by</w:t>
      </w:r>
      <w:r>
        <w:rPr>
          <w:color w:val="231F20"/>
          <w:spacing w:val="-10"/>
          <w:sz w:val="20"/>
        </w:rPr>
        <w:t xml:space="preserve"> </w:t>
      </w:r>
      <w:r>
        <w:rPr>
          <w:color w:val="231F20"/>
          <w:sz w:val="20"/>
        </w:rPr>
        <w:t>the</w:t>
      </w:r>
      <w:r>
        <w:rPr>
          <w:color w:val="231F20"/>
          <w:spacing w:val="-11"/>
          <w:sz w:val="20"/>
        </w:rPr>
        <w:t xml:space="preserve"> </w:t>
      </w:r>
      <w:r>
        <w:rPr>
          <w:color w:val="231F20"/>
          <w:sz w:val="20"/>
        </w:rPr>
        <w:t>Australian</w:t>
      </w:r>
      <w:r>
        <w:rPr>
          <w:color w:val="231F20"/>
          <w:spacing w:val="-10"/>
          <w:sz w:val="20"/>
        </w:rPr>
        <w:t xml:space="preserve"> </w:t>
      </w:r>
      <w:r>
        <w:rPr>
          <w:color w:val="231F20"/>
          <w:sz w:val="20"/>
        </w:rPr>
        <w:t>Bureau</w:t>
      </w:r>
      <w:r>
        <w:rPr>
          <w:color w:val="231F20"/>
          <w:spacing w:val="-10"/>
          <w:sz w:val="20"/>
        </w:rPr>
        <w:t xml:space="preserve"> </w:t>
      </w:r>
      <w:r>
        <w:rPr>
          <w:color w:val="231F20"/>
          <w:sz w:val="20"/>
        </w:rPr>
        <w:t>of</w:t>
      </w:r>
      <w:r>
        <w:rPr>
          <w:color w:val="231F20"/>
          <w:spacing w:val="-11"/>
          <w:sz w:val="20"/>
        </w:rPr>
        <w:t xml:space="preserve"> </w:t>
      </w:r>
      <w:r>
        <w:rPr>
          <w:color w:val="231F20"/>
          <w:sz w:val="20"/>
        </w:rPr>
        <w:t>Statistics,</w:t>
      </w:r>
      <w:r>
        <w:rPr>
          <w:color w:val="231F20"/>
          <w:spacing w:val="-10"/>
          <w:sz w:val="20"/>
        </w:rPr>
        <w:t xml:space="preserve"> </w:t>
      </w:r>
      <w:r>
        <w:rPr>
          <w:color w:val="231F20"/>
          <w:sz w:val="20"/>
        </w:rPr>
        <w:t xml:space="preserve">which </w:t>
      </w:r>
      <w:r>
        <w:rPr>
          <w:color w:val="231F20"/>
          <w:spacing w:val="-3"/>
          <w:sz w:val="20"/>
        </w:rPr>
        <w:t>provides</w:t>
      </w:r>
      <w:r>
        <w:rPr>
          <w:color w:val="231F20"/>
          <w:spacing w:val="-7"/>
          <w:sz w:val="20"/>
        </w:rPr>
        <w:t xml:space="preserve"> </w:t>
      </w:r>
      <w:r>
        <w:rPr>
          <w:color w:val="231F20"/>
          <w:sz w:val="20"/>
        </w:rPr>
        <w:t>the</w:t>
      </w:r>
      <w:r>
        <w:rPr>
          <w:color w:val="231F20"/>
          <w:spacing w:val="-6"/>
          <w:sz w:val="20"/>
        </w:rPr>
        <w:t xml:space="preserve"> </w:t>
      </w:r>
      <w:r>
        <w:rPr>
          <w:color w:val="231F20"/>
          <w:sz w:val="20"/>
        </w:rPr>
        <w:t>most</w:t>
      </w:r>
      <w:r>
        <w:rPr>
          <w:color w:val="231F20"/>
          <w:spacing w:val="-7"/>
          <w:sz w:val="20"/>
        </w:rPr>
        <w:t xml:space="preserve"> </w:t>
      </w:r>
      <w:r>
        <w:rPr>
          <w:color w:val="231F20"/>
          <w:spacing w:val="-3"/>
          <w:sz w:val="20"/>
        </w:rPr>
        <w:t>recent</w:t>
      </w:r>
      <w:r>
        <w:rPr>
          <w:color w:val="231F20"/>
          <w:spacing w:val="-6"/>
          <w:sz w:val="20"/>
        </w:rPr>
        <w:t xml:space="preserve"> </w:t>
      </w:r>
      <w:r>
        <w:rPr>
          <w:color w:val="231F20"/>
          <w:spacing w:val="-3"/>
          <w:sz w:val="20"/>
        </w:rPr>
        <w:t>information</w:t>
      </w:r>
      <w:r>
        <w:rPr>
          <w:color w:val="231F20"/>
          <w:spacing w:val="-6"/>
          <w:sz w:val="20"/>
        </w:rPr>
        <w:t xml:space="preserve"> </w:t>
      </w:r>
      <w:r>
        <w:rPr>
          <w:color w:val="231F20"/>
          <w:sz w:val="20"/>
        </w:rPr>
        <w:t>available</w:t>
      </w:r>
      <w:r>
        <w:rPr>
          <w:color w:val="231F20"/>
          <w:spacing w:val="-7"/>
          <w:sz w:val="20"/>
        </w:rPr>
        <w:t xml:space="preserve"> </w:t>
      </w:r>
      <w:r>
        <w:rPr>
          <w:color w:val="231F20"/>
          <w:spacing w:val="-3"/>
          <w:sz w:val="20"/>
        </w:rPr>
        <w:t>from</w:t>
      </w:r>
      <w:r>
        <w:rPr>
          <w:color w:val="231F20"/>
          <w:spacing w:val="-6"/>
          <w:sz w:val="20"/>
        </w:rPr>
        <w:t xml:space="preserve"> </w:t>
      </w:r>
      <w:r>
        <w:rPr>
          <w:color w:val="231F20"/>
          <w:sz w:val="20"/>
        </w:rPr>
        <w:t>adult</w:t>
      </w:r>
      <w:r>
        <w:rPr>
          <w:color w:val="231F20"/>
          <w:spacing w:val="-6"/>
          <w:sz w:val="20"/>
        </w:rPr>
        <w:t xml:space="preserve"> </w:t>
      </w:r>
      <w:r>
        <w:rPr>
          <w:color w:val="231F20"/>
          <w:sz w:val="20"/>
        </w:rPr>
        <w:t>men</w:t>
      </w:r>
      <w:r>
        <w:rPr>
          <w:color w:val="231F20"/>
          <w:spacing w:val="-7"/>
          <w:sz w:val="20"/>
        </w:rPr>
        <w:t xml:space="preserve"> </w:t>
      </w:r>
      <w:r>
        <w:rPr>
          <w:color w:val="231F20"/>
          <w:sz w:val="20"/>
        </w:rPr>
        <w:t>and</w:t>
      </w:r>
      <w:r>
        <w:rPr>
          <w:color w:val="231F20"/>
          <w:spacing w:val="-6"/>
          <w:sz w:val="20"/>
        </w:rPr>
        <w:t xml:space="preserve"> </w:t>
      </w:r>
      <w:r>
        <w:rPr>
          <w:color w:val="231F20"/>
          <w:sz w:val="20"/>
        </w:rPr>
        <w:t>women</w:t>
      </w:r>
      <w:r>
        <w:rPr>
          <w:color w:val="231F20"/>
          <w:spacing w:val="-6"/>
          <w:sz w:val="20"/>
        </w:rPr>
        <w:t xml:space="preserve"> </w:t>
      </w:r>
      <w:r>
        <w:rPr>
          <w:color w:val="231F20"/>
          <w:sz w:val="20"/>
        </w:rPr>
        <w:t>in Australia</w:t>
      </w:r>
      <w:r>
        <w:rPr>
          <w:color w:val="231F20"/>
          <w:spacing w:val="-6"/>
          <w:sz w:val="20"/>
        </w:rPr>
        <w:t xml:space="preserve"> </w:t>
      </w:r>
      <w:r>
        <w:rPr>
          <w:color w:val="231F20"/>
          <w:sz w:val="20"/>
        </w:rPr>
        <w:t>about</w:t>
      </w:r>
      <w:r>
        <w:rPr>
          <w:color w:val="231F20"/>
          <w:spacing w:val="-5"/>
          <w:sz w:val="20"/>
        </w:rPr>
        <w:t xml:space="preserve"> </w:t>
      </w:r>
      <w:r>
        <w:rPr>
          <w:color w:val="231F20"/>
          <w:sz w:val="20"/>
        </w:rPr>
        <w:t>stalking</w:t>
      </w:r>
      <w:r>
        <w:rPr>
          <w:color w:val="231F20"/>
          <w:spacing w:val="-5"/>
          <w:sz w:val="20"/>
        </w:rPr>
        <w:t xml:space="preserve"> </w:t>
      </w:r>
      <w:r>
        <w:rPr>
          <w:color w:val="231F20"/>
          <w:sz w:val="20"/>
        </w:rPr>
        <w:t>experienced</w:t>
      </w:r>
      <w:r>
        <w:rPr>
          <w:color w:val="231F20"/>
          <w:spacing w:val="-5"/>
          <w:sz w:val="20"/>
        </w:rPr>
        <w:t xml:space="preserve"> </w:t>
      </w:r>
      <w:r>
        <w:rPr>
          <w:color w:val="231F20"/>
          <w:sz w:val="20"/>
        </w:rPr>
        <w:t>since</w:t>
      </w:r>
      <w:r>
        <w:rPr>
          <w:color w:val="231F20"/>
          <w:spacing w:val="-5"/>
          <w:sz w:val="20"/>
        </w:rPr>
        <w:t xml:space="preserve"> </w:t>
      </w:r>
      <w:r>
        <w:rPr>
          <w:color w:val="231F20"/>
          <w:sz w:val="20"/>
        </w:rPr>
        <w:t>the</w:t>
      </w:r>
      <w:r>
        <w:rPr>
          <w:color w:val="231F20"/>
          <w:spacing w:val="-5"/>
          <w:sz w:val="20"/>
        </w:rPr>
        <w:t xml:space="preserve"> </w:t>
      </w:r>
      <w:r>
        <w:rPr>
          <w:color w:val="231F20"/>
          <w:sz w:val="20"/>
        </w:rPr>
        <w:t>age</w:t>
      </w:r>
      <w:r>
        <w:rPr>
          <w:color w:val="231F20"/>
          <w:spacing w:val="-5"/>
          <w:sz w:val="20"/>
        </w:rPr>
        <w:t xml:space="preserve"> </w:t>
      </w:r>
      <w:r>
        <w:rPr>
          <w:color w:val="231F20"/>
          <w:sz w:val="20"/>
        </w:rPr>
        <w:t>of</w:t>
      </w:r>
      <w:r>
        <w:rPr>
          <w:color w:val="231F20"/>
          <w:spacing w:val="-5"/>
          <w:sz w:val="20"/>
        </w:rPr>
        <w:t xml:space="preserve"> </w:t>
      </w:r>
      <w:r>
        <w:rPr>
          <w:color w:val="231F20"/>
          <w:sz w:val="20"/>
        </w:rPr>
        <w:t>15</w:t>
      </w:r>
      <w:r>
        <w:rPr>
          <w:color w:val="231F20"/>
          <w:position w:val="7"/>
          <w:sz w:val="11"/>
        </w:rPr>
        <w:t>22</w:t>
      </w:r>
    </w:p>
    <w:p w14:paraId="6AE338BB" w14:textId="77777777" w:rsidR="00894070" w:rsidRDefault="009B7AFD">
      <w:pPr>
        <w:pStyle w:val="ListParagraph"/>
        <w:numPr>
          <w:ilvl w:val="2"/>
          <w:numId w:val="177"/>
        </w:numPr>
        <w:tabs>
          <w:tab w:val="left" w:pos="2141"/>
          <w:tab w:val="left" w:pos="2142"/>
        </w:tabs>
        <w:spacing w:before="57" w:line="259" w:lineRule="exact"/>
        <w:ind w:hanging="340"/>
        <w:rPr>
          <w:sz w:val="20"/>
        </w:rPr>
      </w:pPr>
      <w:r>
        <w:rPr>
          <w:color w:val="231F20"/>
          <w:sz w:val="20"/>
        </w:rPr>
        <w:t>Crime</w:t>
      </w:r>
      <w:r>
        <w:rPr>
          <w:color w:val="231F20"/>
          <w:spacing w:val="-6"/>
          <w:sz w:val="20"/>
        </w:rPr>
        <w:t xml:space="preserve"> </w:t>
      </w:r>
      <w:r>
        <w:rPr>
          <w:color w:val="231F20"/>
          <w:sz w:val="20"/>
        </w:rPr>
        <w:t>Statistics</w:t>
      </w:r>
      <w:r>
        <w:rPr>
          <w:color w:val="231F20"/>
          <w:spacing w:val="-6"/>
          <w:sz w:val="20"/>
        </w:rPr>
        <w:t xml:space="preserve"> </w:t>
      </w:r>
      <w:r>
        <w:rPr>
          <w:color w:val="231F20"/>
          <w:sz w:val="20"/>
        </w:rPr>
        <w:t>Agency</w:t>
      </w:r>
      <w:r>
        <w:rPr>
          <w:color w:val="231F20"/>
          <w:spacing w:val="-6"/>
          <w:sz w:val="20"/>
        </w:rPr>
        <w:t xml:space="preserve"> </w:t>
      </w:r>
      <w:r>
        <w:rPr>
          <w:color w:val="231F20"/>
          <w:sz w:val="20"/>
        </w:rPr>
        <w:t>data</w:t>
      </w:r>
      <w:r>
        <w:rPr>
          <w:color w:val="231F20"/>
          <w:spacing w:val="-6"/>
          <w:sz w:val="20"/>
        </w:rPr>
        <w:t xml:space="preserve"> </w:t>
      </w:r>
      <w:r>
        <w:rPr>
          <w:color w:val="231F20"/>
          <w:sz w:val="20"/>
        </w:rPr>
        <w:t>on</w:t>
      </w:r>
      <w:r>
        <w:rPr>
          <w:color w:val="231F20"/>
          <w:spacing w:val="-6"/>
          <w:sz w:val="20"/>
        </w:rPr>
        <w:t xml:space="preserve"> </w:t>
      </w:r>
      <w:r>
        <w:rPr>
          <w:color w:val="231F20"/>
          <w:sz w:val="20"/>
        </w:rPr>
        <w:t>stalking</w:t>
      </w:r>
      <w:r>
        <w:rPr>
          <w:color w:val="231F20"/>
          <w:spacing w:val="-6"/>
          <w:sz w:val="20"/>
        </w:rPr>
        <w:t xml:space="preserve"> </w:t>
      </w:r>
      <w:r>
        <w:rPr>
          <w:color w:val="231F20"/>
          <w:sz w:val="20"/>
        </w:rPr>
        <w:t>offences</w:t>
      </w:r>
      <w:r>
        <w:rPr>
          <w:color w:val="231F20"/>
          <w:spacing w:val="-5"/>
          <w:sz w:val="20"/>
        </w:rPr>
        <w:t xml:space="preserve"> </w:t>
      </w:r>
      <w:r>
        <w:rPr>
          <w:color w:val="231F20"/>
          <w:spacing w:val="-3"/>
          <w:sz w:val="20"/>
        </w:rPr>
        <w:t>recorded</w:t>
      </w:r>
      <w:r>
        <w:rPr>
          <w:color w:val="231F20"/>
          <w:spacing w:val="-6"/>
          <w:sz w:val="20"/>
        </w:rPr>
        <w:t xml:space="preserve"> </w:t>
      </w:r>
      <w:r>
        <w:rPr>
          <w:color w:val="231F20"/>
          <w:sz w:val="20"/>
        </w:rPr>
        <w:t>in</w:t>
      </w:r>
      <w:r>
        <w:rPr>
          <w:color w:val="231F20"/>
          <w:spacing w:val="-6"/>
          <w:sz w:val="20"/>
        </w:rPr>
        <w:t xml:space="preserve"> </w:t>
      </w:r>
      <w:r>
        <w:rPr>
          <w:color w:val="231F20"/>
          <w:sz w:val="20"/>
        </w:rPr>
        <w:t>Victoria</w:t>
      </w:r>
      <w:r>
        <w:rPr>
          <w:color w:val="231F20"/>
          <w:spacing w:val="-6"/>
          <w:sz w:val="20"/>
        </w:rPr>
        <w:t xml:space="preserve"> </w:t>
      </w:r>
      <w:r>
        <w:rPr>
          <w:color w:val="231F20"/>
          <w:spacing w:val="-3"/>
          <w:sz w:val="20"/>
        </w:rPr>
        <w:t>from</w:t>
      </w:r>
      <w:r>
        <w:rPr>
          <w:color w:val="231F20"/>
          <w:spacing w:val="-6"/>
          <w:sz w:val="20"/>
        </w:rPr>
        <w:t xml:space="preserve"> </w:t>
      </w:r>
      <w:r>
        <w:rPr>
          <w:color w:val="231F20"/>
          <w:spacing w:val="-3"/>
          <w:sz w:val="20"/>
        </w:rPr>
        <w:t>2012–</w:t>
      </w:r>
    </w:p>
    <w:p w14:paraId="2A0452C0" w14:textId="77777777" w:rsidR="00894070" w:rsidRDefault="009B7AFD">
      <w:pPr>
        <w:spacing w:line="259" w:lineRule="exact"/>
        <w:ind w:left="2141"/>
        <w:rPr>
          <w:sz w:val="11"/>
        </w:rPr>
      </w:pPr>
      <w:r>
        <w:rPr>
          <w:color w:val="231F20"/>
          <w:sz w:val="20"/>
        </w:rPr>
        <w:t>2021</w:t>
      </w:r>
      <w:r>
        <w:rPr>
          <w:color w:val="231F20"/>
          <w:position w:val="7"/>
          <w:sz w:val="11"/>
        </w:rPr>
        <w:t>23</w:t>
      </w:r>
    </w:p>
    <w:p w14:paraId="02E74A20" w14:textId="77777777" w:rsidR="00894070" w:rsidRDefault="009B7AFD">
      <w:pPr>
        <w:pStyle w:val="ListParagraph"/>
        <w:numPr>
          <w:ilvl w:val="2"/>
          <w:numId w:val="177"/>
        </w:numPr>
        <w:tabs>
          <w:tab w:val="left" w:pos="2141"/>
          <w:tab w:val="left" w:pos="2142"/>
        </w:tabs>
        <w:spacing w:before="47" w:line="259" w:lineRule="exact"/>
        <w:ind w:hanging="340"/>
        <w:rPr>
          <w:sz w:val="20"/>
        </w:rPr>
      </w:pPr>
      <w:r>
        <w:rPr>
          <w:i/>
          <w:color w:val="231F20"/>
          <w:sz w:val="20"/>
        </w:rPr>
        <w:t>Sentencing</w:t>
      </w:r>
      <w:r>
        <w:rPr>
          <w:i/>
          <w:color w:val="231F20"/>
          <w:spacing w:val="-7"/>
          <w:sz w:val="20"/>
        </w:rPr>
        <w:t xml:space="preserve"> </w:t>
      </w:r>
      <w:r>
        <w:rPr>
          <w:i/>
          <w:color w:val="231F20"/>
          <w:sz w:val="20"/>
        </w:rPr>
        <w:t>Stalking</w:t>
      </w:r>
      <w:r>
        <w:rPr>
          <w:i/>
          <w:color w:val="231F20"/>
          <w:spacing w:val="-6"/>
          <w:sz w:val="20"/>
        </w:rPr>
        <w:t xml:space="preserve"> </w:t>
      </w:r>
      <w:r>
        <w:rPr>
          <w:i/>
          <w:color w:val="231F20"/>
          <w:sz w:val="20"/>
        </w:rPr>
        <w:t>in</w:t>
      </w:r>
      <w:r>
        <w:rPr>
          <w:i/>
          <w:color w:val="231F20"/>
          <w:spacing w:val="-6"/>
          <w:sz w:val="20"/>
        </w:rPr>
        <w:t xml:space="preserve"> </w:t>
      </w:r>
      <w:r>
        <w:rPr>
          <w:i/>
          <w:color w:val="231F20"/>
          <w:spacing w:val="-3"/>
          <w:sz w:val="20"/>
        </w:rPr>
        <w:t>Victoria</w:t>
      </w:r>
      <w:r>
        <w:rPr>
          <w:color w:val="231F20"/>
          <w:spacing w:val="-3"/>
          <w:sz w:val="20"/>
        </w:rPr>
        <w:t>,</w:t>
      </w:r>
      <w:r>
        <w:rPr>
          <w:color w:val="231F20"/>
          <w:spacing w:val="-6"/>
          <w:sz w:val="20"/>
        </w:rPr>
        <w:t xml:space="preserve"> </w:t>
      </w:r>
      <w:r>
        <w:rPr>
          <w:color w:val="231F20"/>
          <w:spacing w:val="-3"/>
          <w:sz w:val="20"/>
        </w:rPr>
        <w:t>by</w:t>
      </w:r>
      <w:r>
        <w:rPr>
          <w:color w:val="231F20"/>
          <w:spacing w:val="-6"/>
          <w:sz w:val="20"/>
        </w:rPr>
        <w:t xml:space="preserve"> </w:t>
      </w:r>
      <w:r>
        <w:rPr>
          <w:color w:val="231F20"/>
          <w:sz w:val="20"/>
        </w:rPr>
        <w:t>the</w:t>
      </w:r>
      <w:r>
        <w:rPr>
          <w:color w:val="231F20"/>
          <w:spacing w:val="-6"/>
          <w:sz w:val="20"/>
        </w:rPr>
        <w:t xml:space="preserve"> </w:t>
      </w:r>
      <w:r>
        <w:rPr>
          <w:color w:val="231F20"/>
          <w:sz w:val="20"/>
        </w:rPr>
        <w:t>Sentencing</w:t>
      </w:r>
      <w:r>
        <w:rPr>
          <w:color w:val="231F20"/>
          <w:spacing w:val="-6"/>
          <w:sz w:val="20"/>
        </w:rPr>
        <w:t xml:space="preserve"> </w:t>
      </w:r>
      <w:r>
        <w:rPr>
          <w:color w:val="231F20"/>
          <w:sz w:val="20"/>
        </w:rPr>
        <w:t>Advisory</w:t>
      </w:r>
      <w:r>
        <w:rPr>
          <w:color w:val="231F20"/>
          <w:spacing w:val="-6"/>
          <w:sz w:val="20"/>
        </w:rPr>
        <w:t xml:space="preserve"> </w:t>
      </w:r>
      <w:r>
        <w:rPr>
          <w:color w:val="231F20"/>
          <w:sz w:val="20"/>
        </w:rPr>
        <w:t>Council,</w:t>
      </w:r>
      <w:r>
        <w:rPr>
          <w:color w:val="231F20"/>
          <w:spacing w:val="-8"/>
          <w:sz w:val="20"/>
        </w:rPr>
        <w:t xml:space="preserve"> </w:t>
      </w:r>
      <w:r>
        <w:rPr>
          <w:color w:val="231F20"/>
          <w:sz w:val="20"/>
        </w:rPr>
        <w:t>including</w:t>
      </w:r>
      <w:r>
        <w:rPr>
          <w:color w:val="231F20"/>
          <w:spacing w:val="-6"/>
          <w:sz w:val="20"/>
        </w:rPr>
        <w:t xml:space="preserve"> </w:t>
      </w:r>
      <w:r>
        <w:rPr>
          <w:color w:val="231F20"/>
          <w:sz w:val="20"/>
        </w:rPr>
        <w:t>data</w:t>
      </w:r>
    </w:p>
    <w:p w14:paraId="7E134DD7" w14:textId="77777777" w:rsidR="00894070" w:rsidRDefault="009B7AFD">
      <w:pPr>
        <w:pStyle w:val="BodyText"/>
        <w:spacing w:line="259" w:lineRule="exact"/>
        <w:ind w:left="2141"/>
        <w:rPr>
          <w:sz w:val="11"/>
        </w:rPr>
      </w:pPr>
      <w:r>
        <w:rPr>
          <w:color w:val="231F20"/>
        </w:rPr>
        <w:t>on stalking reported to police and sentenced in Victorian courts from 2011–2020</w:t>
      </w:r>
      <w:r>
        <w:rPr>
          <w:color w:val="231F20"/>
          <w:position w:val="7"/>
          <w:sz w:val="11"/>
        </w:rPr>
        <w:t>24</w:t>
      </w:r>
    </w:p>
    <w:p w14:paraId="459E355B" w14:textId="77777777" w:rsidR="00894070" w:rsidRDefault="009B7AFD">
      <w:pPr>
        <w:pStyle w:val="ListParagraph"/>
        <w:numPr>
          <w:ilvl w:val="2"/>
          <w:numId w:val="177"/>
        </w:numPr>
        <w:tabs>
          <w:tab w:val="left" w:pos="2141"/>
          <w:tab w:val="left" w:pos="2142"/>
        </w:tabs>
        <w:spacing w:before="80" w:line="206" w:lineRule="auto"/>
        <w:ind w:right="1264" w:hanging="340"/>
        <w:rPr>
          <w:sz w:val="11"/>
        </w:rPr>
      </w:pPr>
      <w:r>
        <w:rPr>
          <w:i/>
          <w:color w:val="231F20"/>
          <w:sz w:val="20"/>
        </w:rPr>
        <w:t xml:space="preserve">Sentencing Breaches of Personal Safety Intervention Orders in </w:t>
      </w:r>
      <w:r>
        <w:rPr>
          <w:i/>
          <w:color w:val="231F20"/>
          <w:spacing w:val="-3"/>
          <w:sz w:val="20"/>
        </w:rPr>
        <w:t>Victoria</w:t>
      </w:r>
      <w:r>
        <w:rPr>
          <w:color w:val="231F20"/>
          <w:spacing w:val="-3"/>
          <w:sz w:val="20"/>
        </w:rPr>
        <w:t xml:space="preserve">, by </w:t>
      </w:r>
      <w:r>
        <w:rPr>
          <w:color w:val="231F20"/>
          <w:sz w:val="20"/>
        </w:rPr>
        <w:t>the Sentencing</w:t>
      </w:r>
      <w:r>
        <w:rPr>
          <w:color w:val="231F20"/>
          <w:spacing w:val="-12"/>
          <w:sz w:val="20"/>
        </w:rPr>
        <w:t xml:space="preserve"> </w:t>
      </w:r>
      <w:r>
        <w:rPr>
          <w:color w:val="231F20"/>
          <w:sz w:val="20"/>
        </w:rPr>
        <w:t>Advisory</w:t>
      </w:r>
      <w:r>
        <w:rPr>
          <w:color w:val="231F20"/>
          <w:spacing w:val="-11"/>
          <w:sz w:val="20"/>
        </w:rPr>
        <w:t xml:space="preserve"> </w:t>
      </w:r>
      <w:r>
        <w:rPr>
          <w:color w:val="231F20"/>
          <w:sz w:val="20"/>
        </w:rPr>
        <w:t>Council,</w:t>
      </w:r>
      <w:r>
        <w:rPr>
          <w:color w:val="231F20"/>
          <w:spacing w:val="-14"/>
          <w:sz w:val="20"/>
        </w:rPr>
        <w:t xml:space="preserve"> </w:t>
      </w:r>
      <w:r>
        <w:rPr>
          <w:color w:val="231F20"/>
          <w:sz w:val="20"/>
        </w:rPr>
        <w:t>including</w:t>
      </w:r>
      <w:r>
        <w:rPr>
          <w:color w:val="231F20"/>
          <w:spacing w:val="-11"/>
          <w:sz w:val="20"/>
        </w:rPr>
        <w:t xml:space="preserve"> </w:t>
      </w:r>
      <w:r>
        <w:rPr>
          <w:color w:val="231F20"/>
          <w:sz w:val="20"/>
        </w:rPr>
        <w:t>data</w:t>
      </w:r>
      <w:r>
        <w:rPr>
          <w:color w:val="231F20"/>
          <w:spacing w:val="-11"/>
          <w:sz w:val="20"/>
        </w:rPr>
        <w:t xml:space="preserve"> </w:t>
      </w:r>
      <w:r>
        <w:rPr>
          <w:color w:val="231F20"/>
          <w:sz w:val="20"/>
        </w:rPr>
        <w:t>on</w:t>
      </w:r>
      <w:r>
        <w:rPr>
          <w:color w:val="231F20"/>
          <w:spacing w:val="-12"/>
          <w:sz w:val="20"/>
        </w:rPr>
        <w:t xml:space="preserve"> </w:t>
      </w:r>
      <w:r>
        <w:rPr>
          <w:color w:val="231F20"/>
          <w:sz w:val="20"/>
        </w:rPr>
        <w:t>breaches</w:t>
      </w:r>
      <w:r>
        <w:rPr>
          <w:color w:val="231F20"/>
          <w:spacing w:val="-11"/>
          <w:sz w:val="20"/>
        </w:rPr>
        <w:t xml:space="preserve"> </w:t>
      </w:r>
      <w:r>
        <w:rPr>
          <w:color w:val="231F20"/>
          <w:sz w:val="20"/>
        </w:rPr>
        <w:t>of</w:t>
      </w:r>
      <w:r>
        <w:rPr>
          <w:color w:val="231F20"/>
          <w:spacing w:val="-12"/>
          <w:sz w:val="20"/>
        </w:rPr>
        <w:t xml:space="preserve"> </w:t>
      </w:r>
      <w:r>
        <w:rPr>
          <w:color w:val="231F20"/>
          <w:sz w:val="20"/>
        </w:rPr>
        <w:t>these</w:t>
      </w:r>
      <w:r>
        <w:rPr>
          <w:color w:val="231F20"/>
          <w:spacing w:val="-11"/>
          <w:sz w:val="20"/>
        </w:rPr>
        <w:t xml:space="preserve"> </w:t>
      </w:r>
      <w:r>
        <w:rPr>
          <w:color w:val="231F20"/>
          <w:sz w:val="20"/>
        </w:rPr>
        <w:t>orders</w:t>
      </w:r>
      <w:r>
        <w:rPr>
          <w:color w:val="231F20"/>
          <w:spacing w:val="-12"/>
          <w:sz w:val="20"/>
        </w:rPr>
        <w:t xml:space="preserve"> </w:t>
      </w:r>
      <w:r>
        <w:rPr>
          <w:color w:val="231F20"/>
          <w:spacing w:val="-3"/>
          <w:sz w:val="20"/>
        </w:rPr>
        <w:t xml:space="preserve">recorded by </w:t>
      </w:r>
      <w:r>
        <w:rPr>
          <w:color w:val="231F20"/>
          <w:sz w:val="20"/>
        </w:rPr>
        <w:t xml:space="preserve">police and sentenced in Victoria </w:t>
      </w:r>
      <w:r>
        <w:rPr>
          <w:color w:val="231F20"/>
          <w:spacing w:val="-3"/>
          <w:sz w:val="20"/>
        </w:rPr>
        <w:t>from</w:t>
      </w:r>
      <w:r>
        <w:rPr>
          <w:color w:val="231F20"/>
          <w:spacing w:val="-28"/>
          <w:sz w:val="20"/>
        </w:rPr>
        <w:t xml:space="preserve"> </w:t>
      </w:r>
      <w:r>
        <w:rPr>
          <w:color w:val="231F20"/>
          <w:spacing w:val="-4"/>
          <w:sz w:val="20"/>
        </w:rPr>
        <w:t>2011–2020</w:t>
      </w:r>
      <w:r>
        <w:rPr>
          <w:color w:val="231F20"/>
          <w:spacing w:val="-4"/>
          <w:position w:val="7"/>
          <w:sz w:val="11"/>
        </w:rPr>
        <w:t>25</w:t>
      </w:r>
    </w:p>
    <w:p w14:paraId="6171C564" w14:textId="77777777" w:rsidR="00894070" w:rsidRDefault="009B7AFD">
      <w:pPr>
        <w:pStyle w:val="ListParagraph"/>
        <w:numPr>
          <w:ilvl w:val="2"/>
          <w:numId w:val="177"/>
        </w:numPr>
        <w:tabs>
          <w:tab w:val="left" w:pos="2141"/>
          <w:tab w:val="left" w:pos="2142"/>
        </w:tabs>
        <w:spacing w:before="89" w:line="206" w:lineRule="auto"/>
        <w:ind w:right="1531" w:hanging="340"/>
        <w:rPr>
          <w:sz w:val="11"/>
        </w:rPr>
      </w:pPr>
      <w:r>
        <w:rPr>
          <w:i/>
          <w:color w:val="231F20"/>
          <w:sz w:val="20"/>
        </w:rPr>
        <w:t xml:space="preserve">Sentencing Breaches of </w:t>
      </w:r>
      <w:r>
        <w:rPr>
          <w:i/>
          <w:color w:val="231F20"/>
          <w:spacing w:val="-3"/>
          <w:sz w:val="20"/>
        </w:rPr>
        <w:t xml:space="preserve">Family </w:t>
      </w:r>
      <w:r>
        <w:rPr>
          <w:i/>
          <w:color w:val="231F20"/>
          <w:sz w:val="20"/>
        </w:rPr>
        <w:t xml:space="preserve">Violence Intervention Orders and Safety </w:t>
      </w:r>
      <w:r>
        <w:rPr>
          <w:i/>
          <w:color w:val="231F20"/>
          <w:spacing w:val="-3"/>
          <w:sz w:val="20"/>
        </w:rPr>
        <w:t>Notices</w:t>
      </w:r>
      <w:r>
        <w:rPr>
          <w:color w:val="231F20"/>
          <w:spacing w:val="-3"/>
          <w:sz w:val="20"/>
        </w:rPr>
        <w:t>, by</w:t>
      </w:r>
      <w:r>
        <w:rPr>
          <w:color w:val="231F20"/>
          <w:spacing w:val="-12"/>
          <w:sz w:val="20"/>
        </w:rPr>
        <w:t xml:space="preserve"> </w:t>
      </w:r>
      <w:r>
        <w:rPr>
          <w:color w:val="231F20"/>
          <w:sz w:val="20"/>
        </w:rPr>
        <w:t>the</w:t>
      </w:r>
      <w:r>
        <w:rPr>
          <w:color w:val="231F20"/>
          <w:spacing w:val="-12"/>
          <w:sz w:val="20"/>
        </w:rPr>
        <w:t xml:space="preserve"> </w:t>
      </w:r>
      <w:r>
        <w:rPr>
          <w:color w:val="231F20"/>
          <w:sz w:val="20"/>
        </w:rPr>
        <w:t>Sentencing</w:t>
      </w:r>
      <w:r>
        <w:rPr>
          <w:color w:val="231F20"/>
          <w:spacing w:val="-12"/>
          <w:sz w:val="20"/>
        </w:rPr>
        <w:t xml:space="preserve"> </w:t>
      </w:r>
      <w:r>
        <w:rPr>
          <w:color w:val="231F20"/>
          <w:sz w:val="20"/>
        </w:rPr>
        <w:t>Advisory</w:t>
      </w:r>
      <w:r>
        <w:rPr>
          <w:color w:val="231F20"/>
          <w:spacing w:val="-11"/>
          <w:sz w:val="20"/>
        </w:rPr>
        <w:t xml:space="preserve"> </w:t>
      </w:r>
      <w:r>
        <w:rPr>
          <w:color w:val="231F20"/>
          <w:sz w:val="20"/>
        </w:rPr>
        <w:t>Council,</w:t>
      </w:r>
      <w:r>
        <w:rPr>
          <w:color w:val="231F20"/>
          <w:spacing w:val="-14"/>
          <w:sz w:val="20"/>
        </w:rPr>
        <w:t xml:space="preserve"> </w:t>
      </w:r>
      <w:r>
        <w:rPr>
          <w:color w:val="231F20"/>
          <w:sz w:val="20"/>
        </w:rPr>
        <w:t>including</w:t>
      </w:r>
      <w:r>
        <w:rPr>
          <w:color w:val="231F20"/>
          <w:spacing w:val="-13"/>
          <w:sz w:val="20"/>
        </w:rPr>
        <w:t xml:space="preserve"> </w:t>
      </w:r>
      <w:r>
        <w:rPr>
          <w:color w:val="231F20"/>
          <w:sz w:val="20"/>
        </w:rPr>
        <w:t>data</w:t>
      </w:r>
      <w:r>
        <w:rPr>
          <w:color w:val="231F20"/>
          <w:spacing w:val="-12"/>
          <w:sz w:val="20"/>
        </w:rPr>
        <w:t xml:space="preserve"> </w:t>
      </w:r>
      <w:r>
        <w:rPr>
          <w:color w:val="231F20"/>
          <w:sz w:val="20"/>
        </w:rPr>
        <w:t>on</w:t>
      </w:r>
      <w:r>
        <w:rPr>
          <w:color w:val="231F20"/>
          <w:spacing w:val="-11"/>
          <w:sz w:val="20"/>
        </w:rPr>
        <w:t xml:space="preserve"> </w:t>
      </w:r>
      <w:r>
        <w:rPr>
          <w:color w:val="231F20"/>
          <w:sz w:val="20"/>
        </w:rPr>
        <w:t>breaches</w:t>
      </w:r>
      <w:r>
        <w:rPr>
          <w:color w:val="231F20"/>
          <w:spacing w:val="-12"/>
          <w:sz w:val="20"/>
        </w:rPr>
        <w:t xml:space="preserve"> </w:t>
      </w:r>
      <w:r>
        <w:rPr>
          <w:color w:val="231F20"/>
          <w:sz w:val="20"/>
        </w:rPr>
        <w:t>of</w:t>
      </w:r>
      <w:r>
        <w:rPr>
          <w:color w:val="231F20"/>
          <w:spacing w:val="-12"/>
          <w:sz w:val="20"/>
        </w:rPr>
        <w:t xml:space="preserve"> </w:t>
      </w:r>
      <w:r>
        <w:rPr>
          <w:color w:val="231F20"/>
          <w:sz w:val="20"/>
        </w:rPr>
        <w:t>these</w:t>
      </w:r>
      <w:r>
        <w:rPr>
          <w:color w:val="231F20"/>
          <w:spacing w:val="-12"/>
          <w:sz w:val="20"/>
        </w:rPr>
        <w:t xml:space="preserve"> </w:t>
      </w:r>
      <w:r>
        <w:rPr>
          <w:color w:val="231F20"/>
          <w:sz w:val="20"/>
        </w:rPr>
        <w:t xml:space="preserve">orders </w:t>
      </w:r>
      <w:r>
        <w:rPr>
          <w:color w:val="231F20"/>
          <w:spacing w:val="-3"/>
          <w:sz w:val="20"/>
        </w:rPr>
        <w:t xml:space="preserve">recorded by </w:t>
      </w:r>
      <w:r>
        <w:rPr>
          <w:color w:val="231F20"/>
          <w:sz w:val="20"/>
        </w:rPr>
        <w:t xml:space="preserve">police and sentenced in Victoria </w:t>
      </w:r>
      <w:r>
        <w:rPr>
          <w:color w:val="231F20"/>
          <w:spacing w:val="-3"/>
          <w:sz w:val="20"/>
        </w:rPr>
        <w:t>from</w:t>
      </w:r>
      <w:r>
        <w:rPr>
          <w:color w:val="231F20"/>
          <w:spacing w:val="-30"/>
          <w:sz w:val="20"/>
        </w:rPr>
        <w:t xml:space="preserve"> </w:t>
      </w:r>
      <w:r>
        <w:rPr>
          <w:color w:val="231F20"/>
          <w:spacing w:val="-4"/>
          <w:sz w:val="20"/>
        </w:rPr>
        <w:t>2011–2020</w:t>
      </w:r>
      <w:r>
        <w:rPr>
          <w:color w:val="231F20"/>
          <w:spacing w:val="-4"/>
          <w:position w:val="7"/>
          <w:sz w:val="11"/>
        </w:rPr>
        <w:t>26</w:t>
      </w:r>
    </w:p>
    <w:p w14:paraId="64AE654B" w14:textId="77777777" w:rsidR="00894070" w:rsidRDefault="009B7AFD">
      <w:pPr>
        <w:pStyle w:val="ListParagraph"/>
        <w:numPr>
          <w:ilvl w:val="2"/>
          <w:numId w:val="177"/>
        </w:numPr>
        <w:tabs>
          <w:tab w:val="left" w:pos="2141"/>
          <w:tab w:val="left" w:pos="2142"/>
        </w:tabs>
        <w:spacing w:before="89" w:line="206" w:lineRule="auto"/>
        <w:ind w:right="1181" w:hanging="340"/>
        <w:rPr>
          <w:sz w:val="11"/>
        </w:rPr>
      </w:pPr>
      <w:r>
        <w:rPr>
          <w:i/>
          <w:color w:val="231F20"/>
          <w:sz w:val="20"/>
        </w:rPr>
        <w:t>Attrition</w:t>
      </w:r>
      <w:r>
        <w:rPr>
          <w:i/>
          <w:color w:val="231F20"/>
          <w:spacing w:val="-13"/>
          <w:sz w:val="20"/>
        </w:rPr>
        <w:t xml:space="preserve"> </w:t>
      </w:r>
      <w:r>
        <w:rPr>
          <w:i/>
          <w:color w:val="231F20"/>
          <w:sz w:val="20"/>
        </w:rPr>
        <w:t>of</w:t>
      </w:r>
      <w:r>
        <w:rPr>
          <w:i/>
          <w:color w:val="231F20"/>
          <w:spacing w:val="-13"/>
          <w:sz w:val="20"/>
        </w:rPr>
        <w:t xml:space="preserve"> </w:t>
      </w:r>
      <w:r>
        <w:rPr>
          <w:i/>
          <w:color w:val="231F20"/>
          <w:sz w:val="20"/>
        </w:rPr>
        <w:t>Stalking</w:t>
      </w:r>
      <w:r>
        <w:rPr>
          <w:i/>
          <w:color w:val="231F20"/>
          <w:spacing w:val="-12"/>
          <w:sz w:val="20"/>
        </w:rPr>
        <w:t xml:space="preserve"> </w:t>
      </w:r>
      <w:r>
        <w:rPr>
          <w:i/>
          <w:color w:val="231F20"/>
          <w:sz w:val="20"/>
        </w:rPr>
        <w:t>Offence</w:t>
      </w:r>
      <w:r>
        <w:rPr>
          <w:i/>
          <w:color w:val="231F20"/>
          <w:spacing w:val="-13"/>
          <w:sz w:val="20"/>
        </w:rPr>
        <w:t xml:space="preserve"> </w:t>
      </w:r>
      <w:r>
        <w:rPr>
          <w:i/>
          <w:color w:val="231F20"/>
          <w:sz w:val="20"/>
        </w:rPr>
        <w:t>Incidents</w:t>
      </w:r>
      <w:r>
        <w:rPr>
          <w:i/>
          <w:color w:val="231F20"/>
          <w:spacing w:val="-12"/>
          <w:sz w:val="20"/>
        </w:rPr>
        <w:t xml:space="preserve"> </w:t>
      </w:r>
      <w:r>
        <w:rPr>
          <w:i/>
          <w:color w:val="231F20"/>
          <w:sz w:val="20"/>
        </w:rPr>
        <w:t>through</w:t>
      </w:r>
      <w:r>
        <w:rPr>
          <w:i/>
          <w:color w:val="231F20"/>
          <w:spacing w:val="-13"/>
          <w:sz w:val="20"/>
        </w:rPr>
        <w:t xml:space="preserve"> </w:t>
      </w:r>
      <w:r>
        <w:rPr>
          <w:i/>
          <w:color w:val="231F20"/>
          <w:sz w:val="20"/>
        </w:rPr>
        <w:t>the</w:t>
      </w:r>
      <w:r>
        <w:rPr>
          <w:i/>
          <w:color w:val="231F20"/>
          <w:spacing w:val="-12"/>
          <w:sz w:val="20"/>
        </w:rPr>
        <w:t xml:space="preserve"> </w:t>
      </w:r>
      <w:r>
        <w:rPr>
          <w:i/>
          <w:color w:val="231F20"/>
          <w:spacing w:val="-2"/>
          <w:sz w:val="20"/>
        </w:rPr>
        <w:t>Victorian</w:t>
      </w:r>
      <w:r>
        <w:rPr>
          <w:i/>
          <w:color w:val="231F20"/>
          <w:spacing w:val="-13"/>
          <w:sz w:val="20"/>
        </w:rPr>
        <w:t xml:space="preserve"> </w:t>
      </w:r>
      <w:r>
        <w:rPr>
          <w:i/>
          <w:color w:val="231F20"/>
          <w:sz w:val="20"/>
        </w:rPr>
        <w:t>Criminal</w:t>
      </w:r>
      <w:r>
        <w:rPr>
          <w:i/>
          <w:color w:val="231F20"/>
          <w:spacing w:val="-12"/>
          <w:sz w:val="20"/>
        </w:rPr>
        <w:t xml:space="preserve"> </w:t>
      </w:r>
      <w:r>
        <w:rPr>
          <w:i/>
          <w:color w:val="231F20"/>
          <w:sz w:val="20"/>
        </w:rPr>
        <w:t>Justice</w:t>
      </w:r>
      <w:r>
        <w:rPr>
          <w:i/>
          <w:color w:val="231F20"/>
          <w:spacing w:val="-13"/>
          <w:sz w:val="20"/>
        </w:rPr>
        <w:t xml:space="preserve"> </w:t>
      </w:r>
      <w:r>
        <w:rPr>
          <w:i/>
          <w:color w:val="231F20"/>
          <w:spacing w:val="-4"/>
          <w:sz w:val="20"/>
        </w:rPr>
        <w:t>System</w:t>
      </w:r>
      <w:r>
        <w:rPr>
          <w:color w:val="231F20"/>
          <w:spacing w:val="-4"/>
          <w:sz w:val="20"/>
        </w:rPr>
        <w:t>,</w:t>
      </w:r>
      <w:r>
        <w:rPr>
          <w:color w:val="231F20"/>
          <w:spacing w:val="-13"/>
          <w:sz w:val="20"/>
        </w:rPr>
        <w:t xml:space="preserve"> </w:t>
      </w:r>
      <w:r>
        <w:rPr>
          <w:color w:val="231F20"/>
          <w:spacing w:val="-6"/>
          <w:sz w:val="20"/>
        </w:rPr>
        <w:t xml:space="preserve">by </w:t>
      </w:r>
      <w:r>
        <w:rPr>
          <w:color w:val="231F20"/>
          <w:sz w:val="20"/>
        </w:rPr>
        <w:t xml:space="preserve">the Crime Statistics </w:t>
      </w:r>
      <w:r>
        <w:rPr>
          <w:color w:val="231F20"/>
          <w:spacing w:val="-4"/>
          <w:sz w:val="20"/>
        </w:rPr>
        <w:t xml:space="preserve">Agency, </w:t>
      </w:r>
      <w:r>
        <w:rPr>
          <w:color w:val="231F20"/>
          <w:sz w:val="20"/>
        </w:rPr>
        <w:t xml:space="preserve">containing data on </w:t>
      </w:r>
      <w:r>
        <w:rPr>
          <w:color w:val="231F20"/>
          <w:spacing w:val="-3"/>
          <w:sz w:val="20"/>
        </w:rPr>
        <w:t xml:space="preserve">how </w:t>
      </w:r>
      <w:r>
        <w:rPr>
          <w:color w:val="231F20"/>
          <w:sz w:val="20"/>
        </w:rPr>
        <w:t xml:space="preserve">stalking offences </w:t>
      </w:r>
      <w:r>
        <w:rPr>
          <w:color w:val="231F20"/>
          <w:spacing w:val="-3"/>
          <w:sz w:val="20"/>
        </w:rPr>
        <w:t xml:space="preserve">recorded </w:t>
      </w:r>
      <w:r>
        <w:rPr>
          <w:color w:val="231F20"/>
          <w:sz w:val="20"/>
        </w:rPr>
        <w:t xml:space="preserve">in Victoria </w:t>
      </w:r>
      <w:r>
        <w:rPr>
          <w:color w:val="231F20"/>
          <w:spacing w:val="-3"/>
          <w:sz w:val="20"/>
        </w:rPr>
        <w:t xml:space="preserve">from </w:t>
      </w:r>
      <w:r>
        <w:rPr>
          <w:color w:val="231F20"/>
          <w:spacing w:val="-4"/>
          <w:sz w:val="20"/>
        </w:rPr>
        <w:t xml:space="preserve">2016–2018 </w:t>
      </w:r>
      <w:r>
        <w:rPr>
          <w:color w:val="231F20"/>
          <w:sz w:val="20"/>
        </w:rPr>
        <w:t xml:space="preserve">progressed </w:t>
      </w:r>
      <w:r>
        <w:rPr>
          <w:color w:val="231F20"/>
          <w:spacing w:val="-3"/>
          <w:sz w:val="20"/>
        </w:rPr>
        <w:t xml:space="preserve">through </w:t>
      </w:r>
      <w:r>
        <w:rPr>
          <w:color w:val="231F20"/>
          <w:sz w:val="20"/>
        </w:rPr>
        <w:t>the justice</w:t>
      </w:r>
      <w:r>
        <w:rPr>
          <w:color w:val="231F20"/>
          <w:spacing w:val="-22"/>
          <w:sz w:val="20"/>
        </w:rPr>
        <w:t xml:space="preserve"> </w:t>
      </w:r>
      <w:r>
        <w:rPr>
          <w:color w:val="231F20"/>
          <w:sz w:val="20"/>
        </w:rPr>
        <w:t>system.</w:t>
      </w:r>
      <w:r>
        <w:rPr>
          <w:color w:val="231F20"/>
          <w:position w:val="7"/>
          <w:sz w:val="11"/>
        </w:rPr>
        <w:t>27</w:t>
      </w:r>
    </w:p>
    <w:p w14:paraId="1170D187" w14:textId="77777777" w:rsidR="00894070" w:rsidRDefault="009B7AFD">
      <w:pPr>
        <w:pStyle w:val="ListParagraph"/>
        <w:numPr>
          <w:ilvl w:val="1"/>
          <w:numId w:val="177"/>
        </w:numPr>
        <w:tabs>
          <w:tab w:val="left" w:pos="1801"/>
          <w:tab w:val="left" w:pos="1802"/>
        </w:tabs>
        <w:spacing w:before="88" w:line="206" w:lineRule="auto"/>
        <w:ind w:right="2082"/>
        <w:rPr>
          <w:sz w:val="20"/>
        </w:rPr>
      </w:pPr>
      <w:r>
        <w:rPr>
          <w:color w:val="231F20"/>
          <w:sz w:val="20"/>
        </w:rPr>
        <w:t>These</w:t>
      </w:r>
      <w:r>
        <w:rPr>
          <w:color w:val="231F20"/>
          <w:spacing w:val="-8"/>
          <w:sz w:val="20"/>
        </w:rPr>
        <w:t xml:space="preserve"> </w:t>
      </w:r>
      <w:r>
        <w:rPr>
          <w:color w:val="231F20"/>
          <w:sz w:val="20"/>
        </w:rPr>
        <w:t>sources</w:t>
      </w:r>
      <w:r>
        <w:rPr>
          <w:color w:val="231F20"/>
          <w:spacing w:val="-7"/>
          <w:sz w:val="20"/>
        </w:rPr>
        <w:t xml:space="preserve"> </w:t>
      </w:r>
      <w:r>
        <w:rPr>
          <w:color w:val="231F20"/>
          <w:sz w:val="20"/>
        </w:rPr>
        <w:t>do</w:t>
      </w:r>
      <w:r>
        <w:rPr>
          <w:color w:val="231F20"/>
          <w:spacing w:val="-7"/>
          <w:sz w:val="20"/>
        </w:rPr>
        <w:t xml:space="preserve"> </w:t>
      </w:r>
      <w:r>
        <w:rPr>
          <w:color w:val="231F20"/>
          <w:sz w:val="20"/>
        </w:rPr>
        <w:t>not</w:t>
      </w:r>
      <w:r>
        <w:rPr>
          <w:color w:val="231F20"/>
          <w:spacing w:val="-7"/>
          <w:sz w:val="20"/>
        </w:rPr>
        <w:t xml:space="preserve"> </w:t>
      </w:r>
      <w:r>
        <w:rPr>
          <w:color w:val="231F20"/>
          <w:spacing w:val="-3"/>
          <w:sz w:val="20"/>
        </w:rPr>
        <w:t>provide</w:t>
      </w:r>
      <w:r>
        <w:rPr>
          <w:color w:val="231F20"/>
          <w:spacing w:val="-7"/>
          <w:sz w:val="20"/>
        </w:rPr>
        <w:t xml:space="preserve"> </w:t>
      </w:r>
      <w:r>
        <w:rPr>
          <w:color w:val="231F20"/>
          <w:sz w:val="20"/>
        </w:rPr>
        <w:t>a</w:t>
      </w:r>
      <w:r>
        <w:rPr>
          <w:color w:val="231F20"/>
          <w:spacing w:val="-7"/>
          <w:sz w:val="20"/>
        </w:rPr>
        <w:t xml:space="preserve"> </w:t>
      </w:r>
      <w:r>
        <w:rPr>
          <w:color w:val="231F20"/>
          <w:spacing w:val="-3"/>
          <w:sz w:val="20"/>
        </w:rPr>
        <w:t>complete</w:t>
      </w:r>
      <w:r>
        <w:rPr>
          <w:color w:val="231F20"/>
          <w:spacing w:val="-7"/>
          <w:sz w:val="20"/>
        </w:rPr>
        <w:t xml:space="preserve"> </w:t>
      </w:r>
      <w:r>
        <w:rPr>
          <w:color w:val="231F20"/>
          <w:spacing w:val="-3"/>
          <w:sz w:val="20"/>
        </w:rPr>
        <w:t>picture</w:t>
      </w:r>
      <w:r>
        <w:rPr>
          <w:color w:val="231F20"/>
          <w:spacing w:val="-7"/>
          <w:sz w:val="20"/>
        </w:rPr>
        <w:t xml:space="preserve"> </w:t>
      </w:r>
      <w:r>
        <w:rPr>
          <w:color w:val="231F20"/>
          <w:sz w:val="20"/>
        </w:rPr>
        <w:t>of</w:t>
      </w:r>
      <w:r>
        <w:rPr>
          <w:color w:val="231F20"/>
          <w:spacing w:val="-7"/>
          <w:sz w:val="20"/>
        </w:rPr>
        <w:t xml:space="preserve"> </w:t>
      </w:r>
      <w:r>
        <w:rPr>
          <w:color w:val="231F20"/>
          <w:sz w:val="20"/>
        </w:rPr>
        <w:t>stalking.</w:t>
      </w:r>
      <w:r>
        <w:rPr>
          <w:color w:val="231F20"/>
          <w:spacing w:val="-7"/>
          <w:sz w:val="20"/>
        </w:rPr>
        <w:t xml:space="preserve"> </w:t>
      </w:r>
      <w:r>
        <w:rPr>
          <w:color w:val="231F20"/>
          <w:spacing w:val="-6"/>
          <w:sz w:val="20"/>
        </w:rPr>
        <w:t>We</w:t>
      </w:r>
      <w:r>
        <w:rPr>
          <w:color w:val="231F20"/>
          <w:spacing w:val="-7"/>
          <w:sz w:val="20"/>
        </w:rPr>
        <w:t xml:space="preserve"> </w:t>
      </w:r>
      <w:r>
        <w:rPr>
          <w:color w:val="231F20"/>
          <w:sz w:val="20"/>
        </w:rPr>
        <w:t>explain</w:t>
      </w:r>
      <w:r>
        <w:rPr>
          <w:color w:val="231F20"/>
          <w:spacing w:val="-7"/>
          <w:sz w:val="20"/>
        </w:rPr>
        <w:t xml:space="preserve"> </w:t>
      </w:r>
      <w:r>
        <w:rPr>
          <w:color w:val="231F20"/>
          <w:sz w:val="20"/>
        </w:rPr>
        <w:t xml:space="preserve">their limitations </w:t>
      </w:r>
      <w:r>
        <w:rPr>
          <w:color w:val="231F20"/>
          <w:spacing w:val="-5"/>
          <w:sz w:val="20"/>
        </w:rPr>
        <w:t xml:space="preserve">below. However, </w:t>
      </w:r>
      <w:r>
        <w:rPr>
          <w:color w:val="231F20"/>
          <w:sz w:val="20"/>
        </w:rPr>
        <w:t>they do</w:t>
      </w:r>
      <w:r>
        <w:rPr>
          <w:color w:val="231F20"/>
          <w:spacing w:val="-13"/>
          <w:sz w:val="20"/>
        </w:rPr>
        <w:t xml:space="preserve"> </w:t>
      </w:r>
      <w:r>
        <w:rPr>
          <w:color w:val="231F20"/>
          <w:sz w:val="20"/>
        </w:rPr>
        <w:t>indicate:</w:t>
      </w:r>
    </w:p>
    <w:p w14:paraId="3022F55F" w14:textId="77777777" w:rsidR="00894070" w:rsidRDefault="009B7AFD">
      <w:pPr>
        <w:pStyle w:val="ListParagraph"/>
        <w:numPr>
          <w:ilvl w:val="2"/>
          <w:numId w:val="177"/>
        </w:numPr>
        <w:tabs>
          <w:tab w:val="left" w:pos="2141"/>
          <w:tab w:val="left" w:pos="2142"/>
        </w:tabs>
        <w:spacing w:before="91"/>
        <w:ind w:hanging="340"/>
        <w:rPr>
          <w:sz w:val="20"/>
        </w:rPr>
      </w:pPr>
      <w:r>
        <w:rPr>
          <w:color w:val="231F20"/>
          <w:spacing w:val="-3"/>
          <w:sz w:val="20"/>
        </w:rPr>
        <w:t xml:space="preserve">how </w:t>
      </w:r>
      <w:r>
        <w:rPr>
          <w:color w:val="231F20"/>
          <w:sz w:val="20"/>
        </w:rPr>
        <w:t>common stalking</w:t>
      </w:r>
      <w:r>
        <w:rPr>
          <w:color w:val="231F20"/>
          <w:spacing w:val="-10"/>
          <w:sz w:val="20"/>
        </w:rPr>
        <w:t xml:space="preserve"> </w:t>
      </w:r>
      <w:r>
        <w:rPr>
          <w:color w:val="231F20"/>
          <w:sz w:val="20"/>
        </w:rPr>
        <w:t>is</w:t>
      </w:r>
    </w:p>
    <w:p w14:paraId="482C025F"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 xml:space="preserve">who is responsible </w:t>
      </w:r>
      <w:r>
        <w:rPr>
          <w:color w:val="231F20"/>
          <w:spacing w:val="-3"/>
          <w:sz w:val="20"/>
        </w:rPr>
        <w:t>for</w:t>
      </w:r>
      <w:r>
        <w:rPr>
          <w:color w:val="231F20"/>
          <w:spacing w:val="-17"/>
          <w:sz w:val="20"/>
        </w:rPr>
        <w:t xml:space="preserve"> </w:t>
      </w:r>
      <w:proofErr w:type="gramStart"/>
      <w:r>
        <w:rPr>
          <w:color w:val="231F20"/>
          <w:sz w:val="20"/>
        </w:rPr>
        <w:t>it</w:t>
      </w:r>
      <w:proofErr w:type="gramEnd"/>
    </w:p>
    <w:p w14:paraId="5B63CD94"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 xml:space="preserve">who is affected </w:t>
      </w:r>
      <w:r>
        <w:rPr>
          <w:color w:val="231F20"/>
          <w:spacing w:val="-3"/>
          <w:sz w:val="20"/>
        </w:rPr>
        <w:t>by</w:t>
      </w:r>
      <w:r>
        <w:rPr>
          <w:color w:val="231F20"/>
          <w:spacing w:val="-17"/>
          <w:sz w:val="20"/>
        </w:rPr>
        <w:t xml:space="preserve"> </w:t>
      </w:r>
      <w:proofErr w:type="gramStart"/>
      <w:r>
        <w:rPr>
          <w:color w:val="231F20"/>
          <w:sz w:val="20"/>
        </w:rPr>
        <w:t>it</w:t>
      </w:r>
      <w:proofErr w:type="gramEnd"/>
    </w:p>
    <w:p w14:paraId="1ED28328" w14:textId="77777777" w:rsidR="00894070" w:rsidRDefault="009B7AFD">
      <w:pPr>
        <w:pStyle w:val="ListParagraph"/>
        <w:numPr>
          <w:ilvl w:val="2"/>
          <w:numId w:val="177"/>
        </w:numPr>
        <w:tabs>
          <w:tab w:val="left" w:pos="2141"/>
          <w:tab w:val="left" w:pos="2142"/>
        </w:tabs>
        <w:spacing w:before="48"/>
        <w:ind w:hanging="340"/>
        <w:rPr>
          <w:sz w:val="20"/>
        </w:rPr>
      </w:pPr>
      <w:r>
        <w:rPr>
          <w:color w:val="231F20"/>
          <w:spacing w:val="-3"/>
          <w:sz w:val="20"/>
        </w:rPr>
        <w:t xml:space="preserve">how </w:t>
      </w:r>
      <w:r>
        <w:rPr>
          <w:color w:val="231F20"/>
          <w:sz w:val="20"/>
        </w:rPr>
        <w:t>the law deals with</w:t>
      </w:r>
      <w:r>
        <w:rPr>
          <w:color w:val="231F20"/>
          <w:spacing w:val="-18"/>
          <w:sz w:val="20"/>
        </w:rPr>
        <w:t xml:space="preserve"> </w:t>
      </w:r>
      <w:r>
        <w:rPr>
          <w:color w:val="231F20"/>
          <w:sz w:val="20"/>
        </w:rPr>
        <w:t>it.</w:t>
      </w:r>
    </w:p>
    <w:p w14:paraId="0CFE4796" w14:textId="77777777" w:rsidR="00894070" w:rsidRDefault="00894070">
      <w:pPr>
        <w:pStyle w:val="BodyText"/>
      </w:pPr>
    </w:p>
    <w:p w14:paraId="120D05DC" w14:textId="77777777" w:rsidR="00894070" w:rsidRDefault="00894070">
      <w:pPr>
        <w:pStyle w:val="BodyText"/>
      </w:pPr>
    </w:p>
    <w:p w14:paraId="18A67D86" w14:textId="77777777" w:rsidR="00894070" w:rsidRDefault="00894070">
      <w:pPr>
        <w:pStyle w:val="BodyText"/>
      </w:pPr>
    </w:p>
    <w:p w14:paraId="462A44C9" w14:textId="77777777" w:rsidR="00894070" w:rsidRDefault="009F6793">
      <w:pPr>
        <w:pStyle w:val="BodyText"/>
        <w:spacing w:before="9"/>
        <w:rPr>
          <w:sz w:val="18"/>
        </w:rPr>
      </w:pPr>
      <w:r>
        <w:pict w14:anchorId="7D434E64">
          <v:line id="_x0000_s1670" style="position:absolute;z-index:251437056;mso-wrap-distance-left:0;mso-wrap-distance-right:0;mso-position-horizontal-relative:page" from="79.35pt,15.45pt" to="515.9pt,15.45pt" strokecolor="#f8cabc" strokeweight="1pt">
            <w10:wrap type="topAndBottom" anchorx="page"/>
          </v:line>
        </w:pict>
      </w:r>
    </w:p>
    <w:p w14:paraId="5E9DBB51" w14:textId="77777777" w:rsidR="00894070" w:rsidRDefault="009B7AFD">
      <w:pPr>
        <w:pStyle w:val="ListParagraph"/>
        <w:numPr>
          <w:ilvl w:val="0"/>
          <w:numId w:val="172"/>
        </w:numPr>
        <w:tabs>
          <w:tab w:val="left" w:pos="1801"/>
          <w:tab w:val="left" w:pos="1802"/>
        </w:tabs>
        <w:spacing w:before="107" w:line="213" w:lineRule="auto"/>
        <w:ind w:right="1250"/>
        <w:rPr>
          <w:sz w:val="13"/>
        </w:rPr>
      </w:pPr>
      <w:r>
        <w:rPr>
          <w:color w:val="231F20"/>
          <w:spacing w:val="2"/>
          <w:sz w:val="13"/>
        </w:rPr>
        <w:t xml:space="preserve">Submissions </w:t>
      </w:r>
      <w:r>
        <w:rPr>
          <w:color w:val="231F20"/>
          <w:sz w:val="13"/>
        </w:rPr>
        <w:t xml:space="preserve">32 (Centre for Forensic </w:t>
      </w:r>
      <w:proofErr w:type="spellStart"/>
      <w:r>
        <w:rPr>
          <w:color w:val="231F20"/>
          <w:sz w:val="13"/>
        </w:rPr>
        <w:t>Behavioural</w:t>
      </w:r>
      <w:proofErr w:type="spellEnd"/>
      <w:r>
        <w:rPr>
          <w:color w:val="231F20"/>
          <w:sz w:val="13"/>
        </w:rPr>
        <w:t xml:space="preserve"> Science), 39 (Victorian Pride Lobby), 49 </w:t>
      </w:r>
      <w:r>
        <w:rPr>
          <w:color w:val="231F20"/>
          <w:spacing w:val="2"/>
          <w:sz w:val="13"/>
        </w:rPr>
        <w:t xml:space="preserve">(Victims </w:t>
      </w:r>
      <w:r>
        <w:rPr>
          <w:color w:val="231F20"/>
          <w:sz w:val="13"/>
        </w:rPr>
        <w:t xml:space="preserve">of Crime Commissioner); Consultation 17 (Small group meeting on </w:t>
      </w:r>
      <w:r>
        <w:rPr>
          <w:color w:val="231F20"/>
          <w:spacing w:val="2"/>
          <w:sz w:val="13"/>
        </w:rPr>
        <w:t xml:space="preserve">stalking </w:t>
      </w:r>
      <w:r>
        <w:rPr>
          <w:color w:val="231F20"/>
          <w:sz w:val="13"/>
        </w:rPr>
        <w:t xml:space="preserve">and young people); Cleo Brandt and </w:t>
      </w:r>
      <w:r>
        <w:rPr>
          <w:color w:val="231F20"/>
          <w:spacing w:val="2"/>
          <w:sz w:val="13"/>
        </w:rPr>
        <w:t xml:space="preserve">Bianca </w:t>
      </w:r>
      <w:proofErr w:type="spellStart"/>
      <w:r>
        <w:rPr>
          <w:color w:val="231F20"/>
          <w:sz w:val="13"/>
        </w:rPr>
        <w:t>Voerman</w:t>
      </w:r>
      <w:proofErr w:type="spellEnd"/>
      <w:r>
        <w:rPr>
          <w:color w:val="231F20"/>
          <w:sz w:val="13"/>
        </w:rPr>
        <w:t xml:space="preserve">, ‘The Dutch </w:t>
      </w:r>
      <w:r>
        <w:rPr>
          <w:color w:val="231F20"/>
          <w:spacing w:val="2"/>
          <w:sz w:val="13"/>
        </w:rPr>
        <w:t xml:space="preserve">Model: </w:t>
      </w:r>
      <w:r>
        <w:rPr>
          <w:color w:val="231F20"/>
          <w:sz w:val="13"/>
        </w:rPr>
        <w:t xml:space="preserve">A   New Approach to Policing Stalking’ in Heng </w:t>
      </w:r>
      <w:proofErr w:type="spellStart"/>
      <w:r>
        <w:rPr>
          <w:color w:val="231F20"/>
          <w:sz w:val="13"/>
        </w:rPr>
        <w:t>Choon</w:t>
      </w:r>
      <w:proofErr w:type="spellEnd"/>
      <w:r>
        <w:rPr>
          <w:color w:val="231F20"/>
          <w:sz w:val="13"/>
        </w:rPr>
        <w:t xml:space="preserve"> (Oliver) Chan and Lorraine </w:t>
      </w:r>
      <w:r>
        <w:rPr>
          <w:color w:val="231F20"/>
          <w:spacing w:val="2"/>
          <w:sz w:val="13"/>
        </w:rPr>
        <w:t xml:space="preserve">Sheridan </w:t>
      </w:r>
      <w:r>
        <w:rPr>
          <w:color w:val="231F20"/>
          <w:sz w:val="13"/>
        </w:rPr>
        <w:t xml:space="preserve">(eds), </w:t>
      </w:r>
      <w:r>
        <w:rPr>
          <w:i/>
          <w:color w:val="231F20"/>
          <w:sz w:val="13"/>
        </w:rPr>
        <w:t>Psycho-Criminological Approaches    to</w:t>
      </w:r>
      <w:r>
        <w:rPr>
          <w:i/>
          <w:color w:val="231F20"/>
          <w:spacing w:val="4"/>
          <w:sz w:val="13"/>
        </w:rPr>
        <w:t xml:space="preserve"> </w:t>
      </w:r>
      <w:r>
        <w:rPr>
          <w:i/>
          <w:color w:val="231F20"/>
          <w:sz w:val="13"/>
        </w:rPr>
        <w:t>Stalking</w:t>
      </w:r>
      <w:r>
        <w:rPr>
          <w:i/>
          <w:color w:val="231F20"/>
          <w:spacing w:val="5"/>
          <w:sz w:val="13"/>
        </w:rPr>
        <w:t xml:space="preserve"> </w:t>
      </w:r>
      <w:r>
        <w:rPr>
          <w:i/>
          <w:color w:val="231F20"/>
          <w:sz w:val="13"/>
        </w:rPr>
        <w:t>Behavior:</w:t>
      </w:r>
      <w:r>
        <w:rPr>
          <w:i/>
          <w:color w:val="231F20"/>
          <w:spacing w:val="5"/>
          <w:sz w:val="13"/>
        </w:rPr>
        <w:t xml:space="preserve"> </w:t>
      </w:r>
      <w:r>
        <w:rPr>
          <w:i/>
          <w:color w:val="231F20"/>
          <w:sz w:val="13"/>
        </w:rPr>
        <w:t>An</w:t>
      </w:r>
      <w:r>
        <w:rPr>
          <w:i/>
          <w:color w:val="231F20"/>
          <w:spacing w:val="5"/>
          <w:sz w:val="13"/>
        </w:rPr>
        <w:t xml:space="preserve"> </w:t>
      </w:r>
      <w:r>
        <w:rPr>
          <w:i/>
          <w:color w:val="231F20"/>
          <w:sz w:val="13"/>
        </w:rPr>
        <w:t>International</w:t>
      </w:r>
      <w:r>
        <w:rPr>
          <w:i/>
          <w:color w:val="231F20"/>
          <w:spacing w:val="5"/>
          <w:sz w:val="13"/>
        </w:rPr>
        <w:t xml:space="preserve"> </w:t>
      </w:r>
      <w:r>
        <w:rPr>
          <w:i/>
          <w:color w:val="231F20"/>
          <w:sz w:val="13"/>
        </w:rPr>
        <w:t>Perspective</w:t>
      </w:r>
      <w:r>
        <w:rPr>
          <w:i/>
          <w:color w:val="231F20"/>
          <w:spacing w:val="4"/>
          <w:sz w:val="13"/>
        </w:rPr>
        <w:t xml:space="preserve"> </w:t>
      </w:r>
      <w:r>
        <w:rPr>
          <w:color w:val="231F20"/>
          <w:sz w:val="13"/>
        </w:rPr>
        <w:t>(John</w:t>
      </w:r>
      <w:r>
        <w:rPr>
          <w:color w:val="231F20"/>
          <w:spacing w:val="5"/>
          <w:sz w:val="13"/>
        </w:rPr>
        <w:t xml:space="preserve"> </w:t>
      </w:r>
      <w:r>
        <w:rPr>
          <w:color w:val="231F20"/>
          <w:sz w:val="13"/>
        </w:rPr>
        <w:t>Wiley</w:t>
      </w:r>
      <w:r>
        <w:rPr>
          <w:color w:val="231F20"/>
          <w:spacing w:val="5"/>
          <w:sz w:val="13"/>
        </w:rPr>
        <w:t xml:space="preserve"> </w:t>
      </w:r>
      <w:r>
        <w:rPr>
          <w:color w:val="231F20"/>
          <w:sz w:val="13"/>
        </w:rPr>
        <w:t>and</w:t>
      </w:r>
      <w:r>
        <w:rPr>
          <w:color w:val="231F20"/>
          <w:spacing w:val="5"/>
          <w:sz w:val="13"/>
        </w:rPr>
        <w:t xml:space="preserve"> </w:t>
      </w:r>
      <w:r>
        <w:rPr>
          <w:color w:val="231F20"/>
          <w:sz w:val="13"/>
        </w:rPr>
        <w:t>Sons,</w:t>
      </w:r>
      <w:r>
        <w:rPr>
          <w:color w:val="231F20"/>
          <w:spacing w:val="5"/>
          <w:sz w:val="13"/>
        </w:rPr>
        <w:t xml:space="preserve"> </w:t>
      </w:r>
      <w:r>
        <w:rPr>
          <w:color w:val="231F20"/>
          <w:sz w:val="13"/>
        </w:rPr>
        <w:t>2020)</w:t>
      </w:r>
      <w:r>
        <w:rPr>
          <w:color w:val="231F20"/>
          <w:spacing w:val="5"/>
          <w:sz w:val="13"/>
        </w:rPr>
        <w:t xml:space="preserve"> </w:t>
      </w:r>
      <w:r>
        <w:rPr>
          <w:color w:val="231F20"/>
          <w:sz w:val="13"/>
        </w:rPr>
        <w:t>251,</w:t>
      </w:r>
      <w:r>
        <w:rPr>
          <w:color w:val="231F20"/>
          <w:spacing w:val="5"/>
          <w:sz w:val="13"/>
        </w:rPr>
        <w:t xml:space="preserve"> </w:t>
      </w:r>
      <w:r>
        <w:rPr>
          <w:color w:val="231F20"/>
          <w:spacing w:val="2"/>
          <w:sz w:val="13"/>
        </w:rPr>
        <w:t>256–61.</w:t>
      </w:r>
      <w:r>
        <w:rPr>
          <w:color w:val="231F20"/>
          <w:spacing w:val="5"/>
          <w:sz w:val="13"/>
        </w:rPr>
        <w:t xml:space="preserve"> </w:t>
      </w:r>
      <w:r>
        <w:rPr>
          <w:color w:val="231F20"/>
          <w:sz w:val="13"/>
        </w:rPr>
        <w:t>In</w:t>
      </w:r>
      <w:r>
        <w:rPr>
          <w:color w:val="231F20"/>
          <w:spacing w:val="5"/>
          <w:sz w:val="13"/>
        </w:rPr>
        <w:t xml:space="preserve"> </w:t>
      </w:r>
      <w:r>
        <w:rPr>
          <w:color w:val="231F20"/>
          <w:sz w:val="13"/>
        </w:rPr>
        <w:t>relation</w:t>
      </w:r>
      <w:r>
        <w:rPr>
          <w:color w:val="231F20"/>
          <w:spacing w:val="5"/>
          <w:sz w:val="13"/>
        </w:rPr>
        <w:t xml:space="preserve"> </w:t>
      </w:r>
      <w:r>
        <w:rPr>
          <w:color w:val="231F20"/>
          <w:sz w:val="13"/>
        </w:rPr>
        <w:t>to</w:t>
      </w:r>
      <w:r>
        <w:rPr>
          <w:color w:val="231F20"/>
          <w:spacing w:val="5"/>
          <w:sz w:val="13"/>
        </w:rPr>
        <w:t xml:space="preserve"> </w:t>
      </w:r>
      <w:r>
        <w:rPr>
          <w:color w:val="231F20"/>
          <w:sz w:val="13"/>
        </w:rPr>
        <w:t>the</w:t>
      </w:r>
      <w:r>
        <w:rPr>
          <w:color w:val="231F20"/>
          <w:spacing w:val="5"/>
          <w:sz w:val="13"/>
        </w:rPr>
        <w:t xml:space="preserve"> </w:t>
      </w:r>
      <w:r>
        <w:rPr>
          <w:color w:val="231F20"/>
          <w:sz w:val="13"/>
        </w:rPr>
        <w:t>criminal</w:t>
      </w:r>
      <w:r>
        <w:rPr>
          <w:color w:val="231F20"/>
          <w:spacing w:val="4"/>
          <w:sz w:val="13"/>
        </w:rPr>
        <w:t xml:space="preserve"> </w:t>
      </w:r>
      <w:r>
        <w:rPr>
          <w:color w:val="231F20"/>
          <w:sz w:val="13"/>
        </w:rPr>
        <w:t>offence</w:t>
      </w:r>
    </w:p>
    <w:p w14:paraId="64280CA2" w14:textId="77777777" w:rsidR="00894070" w:rsidRDefault="009B7AFD">
      <w:pPr>
        <w:spacing w:line="213" w:lineRule="auto"/>
        <w:ind w:left="1801" w:right="1459"/>
        <w:rPr>
          <w:sz w:val="13"/>
        </w:rPr>
      </w:pPr>
      <w:r>
        <w:rPr>
          <w:color w:val="231F20"/>
          <w:sz w:val="13"/>
        </w:rPr>
        <w:t xml:space="preserve">of stalking, a study conducted by Scott et al found that less than one-fifth (17%) of Victorians said they were familiar with the legislation regulating stalking. Among those who said they were familiar with the provisions of the Crimes Act, the authors assessed this familiarity as ‘extremely rudimentary’: Adrian J Scott et al, ‘Public Familiarity and Understanding of Stalking/ Harassment Legislation in Australia, the United Kingdom, and the United States’ in Heng </w:t>
      </w:r>
      <w:proofErr w:type="spellStart"/>
      <w:r>
        <w:rPr>
          <w:color w:val="231F20"/>
          <w:sz w:val="13"/>
        </w:rPr>
        <w:t>Choon</w:t>
      </w:r>
      <w:proofErr w:type="spellEnd"/>
      <w:r>
        <w:rPr>
          <w:color w:val="231F20"/>
          <w:sz w:val="13"/>
        </w:rPr>
        <w:t xml:space="preserve"> (Oliver) Chan and Lorraine Sheridan (eds), </w:t>
      </w:r>
      <w:r>
        <w:rPr>
          <w:i/>
          <w:color w:val="231F20"/>
          <w:sz w:val="13"/>
        </w:rPr>
        <w:t xml:space="preserve">Psycho-Criminological Approaches to Stalking Behavior: An International Perspective </w:t>
      </w:r>
      <w:r>
        <w:rPr>
          <w:color w:val="231F20"/>
          <w:sz w:val="13"/>
        </w:rPr>
        <w:t>(John Wiley and Sons, 2020) 137, 141, 144, 152.</w:t>
      </w:r>
    </w:p>
    <w:p w14:paraId="6F798681" w14:textId="77777777" w:rsidR="00894070" w:rsidRDefault="009B7AFD">
      <w:pPr>
        <w:pStyle w:val="ListParagraph"/>
        <w:numPr>
          <w:ilvl w:val="0"/>
          <w:numId w:val="172"/>
        </w:numPr>
        <w:tabs>
          <w:tab w:val="left" w:pos="1800"/>
          <w:tab w:val="left" w:pos="1802"/>
        </w:tabs>
        <w:spacing w:line="213" w:lineRule="auto"/>
        <w:ind w:right="1330"/>
        <w:rPr>
          <w:sz w:val="13"/>
        </w:rPr>
      </w:pPr>
      <w:r>
        <w:rPr>
          <w:color w:val="231F20"/>
          <w:sz w:val="13"/>
        </w:rPr>
        <w:t xml:space="preserve">‘Adult’ men and women are aged 18 years or over: Australian Bureau of </w:t>
      </w:r>
      <w:r>
        <w:rPr>
          <w:color w:val="231F20"/>
          <w:spacing w:val="2"/>
          <w:sz w:val="13"/>
        </w:rPr>
        <w:t xml:space="preserve">Statistics, </w:t>
      </w:r>
      <w:r>
        <w:rPr>
          <w:i/>
          <w:color w:val="231F20"/>
          <w:sz w:val="13"/>
        </w:rPr>
        <w:t xml:space="preserve">Personal Safety, Australia, 2016 </w:t>
      </w:r>
      <w:r>
        <w:rPr>
          <w:color w:val="231F20"/>
          <w:sz w:val="13"/>
        </w:rPr>
        <w:t>(Web Page,       11 August 2017</w:t>
      </w:r>
      <w:hyperlink r:id="rId36">
        <w:r>
          <w:rPr>
            <w:color w:val="231F20"/>
            <w:sz w:val="13"/>
          </w:rPr>
          <w:t>) &lt;https://www.abs.gov.au/statistics/people/crime-and-justice/personal-safety-australia/latest-release</w:t>
        </w:r>
      </w:hyperlink>
      <w:r>
        <w:rPr>
          <w:color w:val="231F20"/>
          <w:sz w:val="13"/>
        </w:rPr>
        <w:t>&gt;.</w:t>
      </w:r>
      <w:r>
        <w:rPr>
          <w:color w:val="231F20"/>
          <w:spacing w:val="-7"/>
          <w:sz w:val="13"/>
        </w:rPr>
        <w:t xml:space="preserve"> </w:t>
      </w:r>
      <w:r>
        <w:rPr>
          <w:color w:val="231F20"/>
          <w:sz w:val="13"/>
        </w:rPr>
        <w:t>The</w:t>
      </w:r>
    </w:p>
    <w:p w14:paraId="2429F308" w14:textId="77777777" w:rsidR="00894070" w:rsidRDefault="009B7AFD">
      <w:pPr>
        <w:spacing w:line="213" w:lineRule="auto"/>
        <w:ind w:left="1801" w:right="1459"/>
        <w:rPr>
          <w:sz w:val="13"/>
        </w:rPr>
      </w:pPr>
      <w:r>
        <w:rPr>
          <w:color w:val="231F20"/>
          <w:sz w:val="13"/>
        </w:rPr>
        <w:t xml:space="preserve">survey defined </w:t>
      </w:r>
      <w:r>
        <w:rPr>
          <w:color w:val="231F20"/>
          <w:spacing w:val="2"/>
          <w:sz w:val="13"/>
        </w:rPr>
        <w:t xml:space="preserve">stalking </w:t>
      </w:r>
      <w:r>
        <w:rPr>
          <w:color w:val="231F20"/>
          <w:sz w:val="13"/>
        </w:rPr>
        <w:t xml:space="preserve">as involving ‘various </w:t>
      </w:r>
      <w:proofErr w:type="spellStart"/>
      <w:r>
        <w:rPr>
          <w:color w:val="231F20"/>
          <w:sz w:val="13"/>
        </w:rPr>
        <w:t>behaviours</w:t>
      </w:r>
      <w:proofErr w:type="spellEnd"/>
      <w:r>
        <w:rPr>
          <w:color w:val="231F20"/>
          <w:sz w:val="13"/>
        </w:rPr>
        <w:t xml:space="preserve">, such as loitering and following, which the person [who reported being stalked] believed were … </w:t>
      </w:r>
      <w:r>
        <w:rPr>
          <w:color w:val="231F20"/>
          <w:spacing w:val="2"/>
          <w:sz w:val="13"/>
        </w:rPr>
        <w:t xml:space="preserve">undertaken </w:t>
      </w:r>
      <w:r>
        <w:rPr>
          <w:color w:val="231F20"/>
          <w:sz w:val="13"/>
        </w:rPr>
        <w:t xml:space="preserve">with the intent to cause them fear or distress. </w:t>
      </w:r>
      <w:r>
        <w:rPr>
          <w:color w:val="231F20"/>
          <w:spacing w:val="-5"/>
          <w:sz w:val="13"/>
        </w:rPr>
        <w:t xml:space="preserve">To </w:t>
      </w:r>
      <w:r>
        <w:rPr>
          <w:color w:val="231F20"/>
          <w:sz w:val="13"/>
        </w:rPr>
        <w:t xml:space="preserve">be classified as </w:t>
      </w:r>
      <w:r>
        <w:rPr>
          <w:color w:val="231F20"/>
          <w:spacing w:val="2"/>
          <w:sz w:val="13"/>
        </w:rPr>
        <w:t xml:space="preserve">stalking </w:t>
      </w:r>
      <w:r>
        <w:rPr>
          <w:color w:val="231F20"/>
          <w:sz w:val="13"/>
        </w:rPr>
        <w:t xml:space="preserve">more than </w:t>
      </w:r>
      <w:proofErr w:type="gramStart"/>
      <w:r>
        <w:rPr>
          <w:color w:val="231F20"/>
          <w:sz w:val="13"/>
        </w:rPr>
        <w:t>one  type</w:t>
      </w:r>
      <w:proofErr w:type="gramEnd"/>
      <w:r>
        <w:rPr>
          <w:color w:val="231F20"/>
          <w:spacing w:val="4"/>
          <w:sz w:val="13"/>
        </w:rPr>
        <w:t xml:space="preserve"> </w:t>
      </w:r>
      <w:r>
        <w:rPr>
          <w:color w:val="231F20"/>
          <w:sz w:val="13"/>
        </w:rPr>
        <w:t>of</w:t>
      </w:r>
      <w:r>
        <w:rPr>
          <w:color w:val="231F20"/>
          <w:spacing w:val="5"/>
          <w:sz w:val="13"/>
        </w:rPr>
        <w:t xml:space="preserve"> </w:t>
      </w:r>
      <w:proofErr w:type="spellStart"/>
      <w:r>
        <w:rPr>
          <w:color w:val="231F20"/>
          <w:sz w:val="13"/>
        </w:rPr>
        <w:t>behaviour</w:t>
      </w:r>
      <w:proofErr w:type="spellEnd"/>
      <w:r>
        <w:rPr>
          <w:color w:val="231F20"/>
          <w:spacing w:val="5"/>
          <w:sz w:val="13"/>
        </w:rPr>
        <w:t xml:space="preserve"> </w:t>
      </w:r>
      <w:r>
        <w:rPr>
          <w:color w:val="231F20"/>
          <w:sz w:val="13"/>
        </w:rPr>
        <w:t>had</w:t>
      </w:r>
      <w:r>
        <w:rPr>
          <w:color w:val="231F20"/>
          <w:spacing w:val="5"/>
          <w:sz w:val="13"/>
        </w:rPr>
        <w:t xml:space="preserve"> </w:t>
      </w:r>
      <w:r>
        <w:rPr>
          <w:color w:val="231F20"/>
          <w:sz w:val="13"/>
        </w:rPr>
        <w:t>to</w:t>
      </w:r>
      <w:r>
        <w:rPr>
          <w:color w:val="231F20"/>
          <w:spacing w:val="4"/>
          <w:sz w:val="13"/>
        </w:rPr>
        <w:t xml:space="preserve"> </w:t>
      </w:r>
      <w:r>
        <w:rPr>
          <w:color w:val="231F20"/>
          <w:sz w:val="13"/>
        </w:rPr>
        <w:t>occur,</w:t>
      </w:r>
      <w:r>
        <w:rPr>
          <w:color w:val="231F20"/>
          <w:spacing w:val="5"/>
          <w:sz w:val="13"/>
        </w:rPr>
        <w:t xml:space="preserve"> </w:t>
      </w:r>
      <w:r>
        <w:rPr>
          <w:color w:val="231F20"/>
          <w:sz w:val="13"/>
        </w:rPr>
        <w:t>or</w:t>
      </w:r>
      <w:r>
        <w:rPr>
          <w:color w:val="231F20"/>
          <w:spacing w:val="5"/>
          <w:sz w:val="13"/>
        </w:rPr>
        <w:t xml:space="preserve"> </w:t>
      </w:r>
      <w:r>
        <w:rPr>
          <w:color w:val="231F20"/>
          <w:sz w:val="13"/>
        </w:rPr>
        <w:t>the</w:t>
      </w:r>
      <w:r>
        <w:rPr>
          <w:color w:val="231F20"/>
          <w:spacing w:val="5"/>
          <w:sz w:val="13"/>
        </w:rPr>
        <w:t xml:space="preserve"> </w:t>
      </w:r>
      <w:r>
        <w:rPr>
          <w:color w:val="231F20"/>
          <w:sz w:val="13"/>
        </w:rPr>
        <w:t>same</w:t>
      </w:r>
      <w:r>
        <w:rPr>
          <w:color w:val="231F20"/>
          <w:spacing w:val="4"/>
          <w:sz w:val="13"/>
        </w:rPr>
        <w:t xml:space="preserve"> </w:t>
      </w:r>
      <w:r>
        <w:rPr>
          <w:color w:val="231F20"/>
          <w:sz w:val="13"/>
        </w:rPr>
        <w:t>type</w:t>
      </w:r>
      <w:r>
        <w:rPr>
          <w:color w:val="231F20"/>
          <w:spacing w:val="5"/>
          <w:sz w:val="13"/>
        </w:rPr>
        <w:t xml:space="preserve"> </w:t>
      </w:r>
      <w:r>
        <w:rPr>
          <w:color w:val="231F20"/>
          <w:sz w:val="13"/>
        </w:rPr>
        <w:t>of</w:t>
      </w:r>
      <w:r>
        <w:rPr>
          <w:color w:val="231F20"/>
          <w:spacing w:val="5"/>
          <w:sz w:val="13"/>
        </w:rPr>
        <w:t xml:space="preserve"> </w:t>
      </w:r>
      <w:proofErr w:type="spellStart"/>
      <w:r>
        <w:rPr>
          <w:color w:val="231F20"/>
          <w:sz w:val="13"/>
        </w:rPr>
        <w:t>behaviour</w:t>
      </w:r>
      <w:proofErr w:type="spellEnd"/>
      <w:r>
        <w:rPr>
          <w:color w:val="231F20"/>
          <w:spacing w:val="5"/>
          <w:sz w:val="13"/>
        </w:rPr>
        <w:t xml:space="preserve"> </w:t>
      </w:r>
      <w:r>
        <w:rPr>
          <w:color w:val="231F20"/>
          <w:sz w:val="13"/>
        </w:rPr>
        <w:t>had</w:t>
      </w:r>
      <w:r>
        <w:rPr>
          <w:color w:val="231F20"/>
          <w:spacing w:val="5"/>
          <w:sz w:val="13"/>
        </w:rPr>
        <w:t xml:space="preserve"> </w:t>
      </w:r>
      <w:r>
        <w:rPr>
          <w:color w:val="231F20"/>
          <w:sz w:val="13"/>
        </w:rPr>
        <w:t>to</w:t>
      </w:r>
      <w:r>
        <w:rPr>
          <w:color w:val="231F20"/>
          <w:spacing w:val="4"/>
          <w:sz w:val="13"/>
        </w:rPr>
        <w:t xml:space="preserve"> </w:t>
      </w:r>
      <w:r>
        <w:rPr>
          <w:color w:val="231F20"/>
          <w:sz w:val="13"/>
        </w:rPr>
        <w:t>occur</w:t>
      </w:r>
      <w:r>
        <w:rPr>
          <w:color w:val="231F20"/>
          <w:spacing w:val="5"/>
          <w:sz w:val="13"/>
        </w:rPr>
        <w:t xml:space="preserve"> </w:t>
      </w:r>
      <w:r>
        <w:rPr>
          <w:color w:val="231F20"/>
          <w:sz w:val="13"/>
        </w:rPr>
        <w:t>on</w:t>
      </w:r>
      <w:r>
        <w:rPr>
          <w:color w:val="231F20"/>
          <w:spacing w:val="5"/>
          <w:sz w:val="13"/>
        </w:rPr>
        <w:t xml:space="preserve"> </w:t>
      </w:r>
      <w:r>
        <w:rPr>
          <w:color w:val="231F20"/>
          <w:sz w:val="13"/>
        </w:rPr>
        <w:t>more</w:t>
      </w:r>
      <w:r>
        <w:rPr>
          <w:color w:val="231F20"/>
          <w:spacing w:val="5"/>
          <w:sz w:val="13"/>
        </w:rPr>
        <w:t xml:space="preserve"> </w:t>
      </w:r>
      <w:r>
        <w:rPr>
          <w:color w:val="231F20"/>
          <w:sz w:val="13"/>
        </w:rPr>
        <w:t>than</w:t>
      </w:r>
      <w:r>
        <w:rPr>
          <w:color w:val="231F20"/>
          <w:spacing w:val="4"/>
          <w:sz w:val="13"/>
        </w:rPr>
        <w:t xml:space="preserve"> </w:t>
      </w:r>
      <w:r>
        <w:rPr>
          <w:color w:val="231F20"/>
          <w:sz w:val="13"/>
        </w:rPr>
        <w:t>one</w:t>
      </w:r>
      <w:r>
        <w:rPr>
          <w:color w:val="231F20"/>
          <w:spacing w:val="5"/>
          <w:sz w:val="13"/>
        </w:rPr>
        <w:t xml:space="preserve"> </w:t>
      </w:r>
      <w:r>
        <w:rPr>
          <w:color w:val="231F20"/>
          <w:sz w:val="13"/>
        </w:rPr>
        <w:t>occasion.’:</w:t>
      </w:r>
      <w:r>
        <w:rPr>
          <w:color w:val="231F20"/>
          <w:spacing w:val="5"/>
          <w:sz w:val="13"/>
        </w:rPr>
        <w:t xml:space="preserve"> </w:t>
      </w:r>
      <w:r>
        <w:rPr>
          <w:color w:val="231F20"/>
          <w:sz w:val="13"/>
        </w:rPr>
        <w:t>Australian</w:t>
      </w:r>
      <w:r>
        <w:rPr>
          <w:color w:val="231F20"/>
          <w:spacing w:val="5"/>
          <w:sz w:val="13"/>
        </w:rPr>
        <w:t xml:space="preserve"> </w:t>
      </w:r>
      <w:r>
        <w:rPr>
          <w:color w:val="231F20"/>
          <w:sz w:val="13"/>
        </w:rPr>
        <w:t>Bureau</w:t>
      </w:r>
    </w:p>
    <w:p w14:paraId="785D5098" w14:textId="77777777" w:rsidR="00894070" w:rsidRDefault="009B7AFD">
      <w:pPr>
        <w:spacing w:line="213" w:lineRule="auto"/>
        <w:ind w:left="1801" w:right="1396"/>
        <w:rPr>
          <w:sz w:val="13"/>
        </w:rPr>
      </w:pPr>
      <w:r>
        <w:rPr>
          <w:color w:val="231F20"/>
          <w:sz w:val="13"/>
        </w:rPr>
        <w:t xml:space="preserve">of </w:t>
      </w:r>
      <w:r>
        <w:rPr>
          <w:color w:val="231F20"/>
          <w:spacing w:val="2"/>
          <w:sz w:val="13"/>
        </w:rPr>
        <w:t xml:space="preserve">Statistics, </w:t>
      </w:r>
      <w:r>
        <w:rPr>
          <w:i/>
          <w:color w:val="231F20"/>
          <w:sz w:val="13"/>
        </w:rPr>
        <w:t xml:space="preserve">Personal Safety, Australia Methodology 2016 </w:t>
      </w:r>
      <w:r>
        <w:rPr>
          <w:color w:val="231F20"/>
          <w:sz w:val="13"/>
        </w:rPr>
        <w:t xml:space="preserve">(Web Page, 8 November 2017) </w:t>
      </w:r>
      <w:r>
        <w:rPr>
          <w:color w:val="231F20"/>
          <w:spacing w:val="2"/>
          <w:sz w:val="13"/>
        </w:rPr>
        <w:t>Glossar</w:t>
      </w:r>
      <w:hyperlink r:id="rId37">
        <w:r>
          <w:rPr>
            <w:color w:val="231F20"/>
            <w:spacing w:val="2"/>
            <w:sz w:val="13"/>
          </w:rPr>
          <w:t xml:space="preserve">y </w:t>
        </w:r>
        <w:r>
          <w:rPr>
            <w:color w:val="231F20"/>
            <w:sz w:val="13"/>
          </w:rPr>
          <w:t>&lt;https://www.abs.gov.au/</w:t>
        </w:r>
      </w:hyperlink>
      <w:r>
        <w:rPr>
          <w:color w:val="231F20"/>
          <w:sz w:val="13"/>
        </w:rPr>
        <w:t xml:space="preserve"> </w:t>
      </w:r>
      <w:hyperlink r:id="rId38">
        <w:r>
          <w:rPr>
            <w:color w:val="231F20"/>
            <w:sz w:val="13"/>
          </w:rPr>
          <w:t>methodologies/personal-safety-australia-methodology/2016</w:t>
        </w:r>
      </w:hyperlink>
      <w:r>
        <w:rPr>
          <w:color w:val="231F20"/>
          <w:sz w:val="13"/>
        </w:rPr>
        <w:t xml:space="preserve">&gt;. Note that a separate Australian Bureau of  Statistics  source uses data from the previous 2012 Personal Safety Survey: Australian Bureau of </w:t>
      </w:r>
      <w:r>
        <w:rPr>
          <w:color w:val="231F20"/>
          <w:spacing w:val="2"/>
          <w:sz w:val="13"/>
        </w:rPr>
        <w:t xml:space="preserve">Statistics, </w:t>
      </w:r>
      <w:r>
        <w:rPr>
          <w:i/>
          <w:color w:val="231F20"/>
          <w:sz w:val="13"/>
        </w:rPr>
        <w:t xml:space="preserve">Stalking—In Focus: Crime and Justice Statistics </w:t>
      </w:r>
      <w:r>
        <w:rPr>
          <w:color w:val="231F20"/>
          <w:sz w:val="13"/>
        </w:rPr>
        <w:t xml:space="preserve">(Web Page, </w:t>
      </w:r>
      <w:r>
        <w:rPr>
          <w:color w:val="231F20"/>
          <w:spacing w:val="2"/>
          <w:sz w:val="13"/>
        </w:rPr>
        <w:t xml:space="preserve">14 </w:t>
      </w:r>
      <w:r>
        <w:rPr>
          <w:color w:val="231F20"/>
          <w:sz w:val="13"/>
        </w:rPr>
        <w:t>June 2017) &lt;</w:t>
      </w:r>
      <w:hyperlink r:id="rId39">
        <w:r>
          <w:rPr>
            <w:color w:val="231F20"/>
            <w:sz w:val="13"/>
          </w:rPr>
          <w:t>https://www.abs.gov.au/statistics/people/crime-and-justice/focus-crime-and-justice-</w:t>
        </w:r>
      </w:hyperlink>
      <w:r>
        <w:rPr>
          <w:color w:val="231F20"/>
          <w:sz w:val="13"/>
        </w:rPr>
        <w:t xml:space="preserve"> </w:t>
      </w:r>
      <w:hyperlink r:id="rId40">
        <w:r>
          <w:rPr>
            <w:color w:val="231F20"/>
            <w:sz w:val="13"/>
          </w:rPr>
          <w:t>statistics/june-2017</w:t>
        </w:r>
      </w:hyperlink>
      <w:r>
        <w:rPr>
          <w:color w:val="231F20"/>
          <w:sz w:val="13"/>
        </w:rPr>
        <w:t>&gt;.</w:t>
      </w:r>
    </w:p>
    <w:p w14:paraId="2EE9DD7E" w14:textId="77777777" w:rsidR="00894070" w:rsidRDefault="009B7AFD">
      <w:pPr>
        <w:pStyle w:val="ListParagraph"/>
        <w:numPr>
          <w:ilvl w:val="0"/>
          <w:numId w:val="172"/>
        </w:numPr>
        <w:tabs>
          <w:tab w:val="left" w:pos="1801"/>
          <w:tab w:val="left" w:pos="1802"/>
        </w:tabs>
        <w:spacing w:line="213" w:lineRule="auto"/>
        <w:ind w:right="1624"/>
        <w:rPr>
          <w:sz w:val="13"/>
        </w:rPr>
      </w:pPr>
      <w:r>
        <w:rPr>
          <w:color w:val="231F20"/>
          <w:sz w:val="13"/>
        </w:rPr>
        <w:t xml:space="preserve">‘Recorded Offences’, </w:t>
      </w:r>
      <w:r>
        <w:rPr>
          <w:i/>
          <w:color w:val="231F20"/>
          <w:sz w:val="13"/>
        </w:rPr>
        <w:t xml:space="preserve">Crime Statistics Agency (Vic) </w:t>
      </w:r>
      <w:r>
        <w:rPr>
          <w:color w:val="231F20"/>
          <w:sz w:val="13"/>
        </w:rPr>
        <w:t>(Web Page, March 2022</w:t>
      </w:r>
      <w:hyperlink r:id="rId41">
        <w:r>
          <w:rPr>
            <w:color w:val="231F20"/>
            <w:sz w:val="13"/>
          </w:rPr>
          <w:t>) &lt;https://www.crimestatistics.vic.gov.au/crime-</w:t>
        </w:r>
      </w:hyperlink>
      <w:hyperlink r:id="rId42">
        <w:r>
          <w:rPr>
            <w:color w:val="231F20"/>
            <w:sz w:val="13"/>
          </w:rPr>
          <w:t xml:space="preserve"> statistics/latest-</w:t>
        </w:r>
        <w:proofErr w:type="spellStart"/>
        <w:r>
          <w:rPr>
            <w:color w:val="231F20"/>
            <w:sz w:val="13"/>
          </w:rPr>
          <w:t>victorian</w:t>
        </w:r>
        <w:proofErr w:type="spellEnd"/>
        <w:r>
          <w:rPr>
            <w:color w:val="231F20"/>
            <w:sz w:val="13"/>
          </w:rPr>
          <w:t>-crime-data/recorded-offences-2</w:t>
        </w:r>
      </w:hyperlink>
      <w:r>
        <w:rPr>
          <w:color w:val="231F20"/>
          <w:sz w:val="13"/>
        </w:rPr>
        <w:t>&gt;.</w:t>
      </w:r>
    </w:p>
    <w:p w14:paraId="5CE2F16E" w14:textId="77777777" w:rsidR="00894070" w:rsidRDefault="009B7AFD">
      <w:pPr>
        <w:pStyle w:val="ListParagraph"/>
        <w:numPr>
          <w:ilvl w:val="0"/>
          <w:numId w:val="172"/>
        </w:numPr>
        <w:tabs>
          <w:tab w:val="left" w:pos="1801"/>
          <w:tab w:val="left" w:pos="1802"/>
        </w:tabs>
        <w:spacing w:line="152" w:lineRule="exac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w:t>
      </w:r>
      <w:r>
        <w:rPr>
          <w:color w:val="231F20"/>
          <w:spacing w:val="5"/>
          <w:sz w:val="13"/>
        </w:rPr>
        <w:t xml:space="preserve"> </w:t>
      </w:r>
      <w:r>
        <w:rPr>
          <w:color w:val="231F20"/>
          <w:sz w:val="13"/>
        </w:rPr>
        <w:t>2022).</w:t>
      </w:r>
    </w:p>
    <w:p w14:paraId="0954EDD1" w14:textId="77777777" w:rsidR="00894070" w:rsidRDefault="009B7AFD">
      <w:pPr>
        <w:pStyle w:val="ListParagraph"/>
        <w:numPr>
          <w:ilvl w:val="0"/>
          <w:numId w:val="172"/>
        </w:numPr>
        <w:tabs>
          <w:tab w:val="left" w:pos="1801"/>
          <w:tab w:val="left" w:pos="1802"/>
        </w:tabs>
        <w:spacing w:line="160" w:lineRule="exact"/>
        <w:rPr>
          <w:sz w:val="13"/>
        </w:rPr>
      </w:pPr>
      <w:r>
        <w:rPr>
          <w:color w:val="231F20"/>
          <w:sz w:val="13"/>
        </w:rPr>
        <w:t>Sentencing</w:t>
      </w:r>
      <w:r>
        <w:rPr>
          <w:color w:val="231F20"/>
          <w:spacing w:val="11"/>
          <w:sz w:val="13"/>
        </w:rPr>
        <w:t xml:space="preserve"> </w:t>
      </w:r>
      <w:r>
        <w:rPr>
          <w:color w:val="231F20"/>
          <w:sz w:val="13"/>
        </w:rPr>
        <w:t>Advisory</w:t>
      </w:r>
      <w:r>
        <w:rPr>
          <w:color w:val="231F20"/>
          <w:spacing w:val="12"/>
          <w:sz w:val="13"/>
        </w:rPr>
        <w:t xml:space="preserve"> </w:t>
      </w:r>
      <w:r>
        <w:rPr>
          <w:color w:val="231F20"/>
          <w:sz w:val="13"/>
        </w:rPr>
        <w:t>Council</w:t>
      </w:r>
      <w:r>
        <w:rPr>
          <w:color w:val="231F20"/>
          <w:spacing w:val="11"/>
          <w:sz w:val="13"/>
        </w:rPr>
        <w:t xml:space="preserve"> </w:t>
      </w:r>
      <w:r>
        <w:rPr>
          <w:color w:val="231F20"/>
          <w:sz w:val="13"/>
        </w:rPr>
        <w:t>(Vic),</w:t>
      </w:r>
      <w:r>
        <w:rPr>
          <w:color w:val="231F20"/>
          <w:spacing w:val="11"/>
          <w:sz w:val="13"/>
        </w:rPr>
        <w:t xml:space="preserve"> </w:t>
      </w:r>
      <w:r>
        <w:rPr>
          <w:i/>
          <w:color w:val="231F20"/>
          <w:sz w:val="13"/>
        </w:rPr>
        <w:t>Sentencing</w:t>
      </w:r>
      <w:r>
        <w:rPr>
          <w:i/>
          <w:color w:val="231F20"/>
          <w:spacing w:val="11"/>
          <w:sz w:val="13"/>
        </w:rPr>
        <w:t xml:space="preserve"> </w:t>
      </w:r>
      <w:r>
        <w:rPr>
          <w:i/>
          <w:color w:val="231F20"/>
          <w:sz w:val="13"/>
        </w:rPr>
        <w:t>Breaches</w:t>
      </w:r>
      <w:r>
        <w:rPr>
          <w:i/>
          <w:color w:val="231F20"/>
          <w:spacing w:val="11"/>
          <w:sz w:val="13"/>
        </w:rPr>
        <w:t xml:space="preserve"> </w:t>
      </w:r>
      <w:r>
        <w:rPr>
          <w:i/>
          <w:color w:val="231F20"/>
          <w:sz w:val="13"/>
        </w:rPr>
        <w:t>of</w:t>
      </w:r>
      <w:r>
        <w:rPr>
          <w:i/>
          <w:color w:val="231F20"/>
          <w:spacing w:val="12"/>
          <w:sz w:val="13"/>
        </w:rPr>
        <w:t xml:space="preserve"> </w:t>
      </w:r>
      <w:r>
        <w:rPr>
          <w:i/>
          <w:color w:val="231F20"/>
          <w:sz w:val="13"/>
        </w:rPr>
        <w:t>Personal</w:t>
      </w:r>
      <w:r>
        <w:rPr>
          <w:i/>
          <w:color w:val="231F20"/>
          <w:spacing w:val="11"/>
          <w:sz w:val="13"/>
        </w:rPr>
        <w:t xml:space="preserve"> </w:t>
      </w:r>
      <w:r>
        <w:rPr>
          <w:i/>
          <w:color w:val="231F20"/>
          <w:sz w:val="13"/>
        </w:rPr>
        <w:t>Safety</w:t>
      </w:r>
      <w:r>
        <w:rPr>
          <w:i/>
          <w:color w:val="231F20"/>
          <w:spacing w:val="12"/>
          <w:sz w:val="13"/>
        </w:rPr>
        <w:t xml:space="preserve"> </w:t>
      </w:r>
      <w:r>
        <w:rPr>
          <w:i/>
          <w:color w:val="231F20"/>
          <w:sz w:val="13"/>
        </w:rPr>
        <w:t>Intervention</w:t>
      </w:r>
      <w:r>
        <w:rPr>
          <w:i/>
          <w:color w:val="231F20"/>
          <w:spacing w:val="11"/>
          <w:sz w:val="13"/>
        </w:rPr>
        <w:t xml:space="preserve"> </w:t>
      </w:r>
      <w:r>
        <w:rPr>
          <w:i/>
          <w:color w:val="231F20"/>
          <w:sz w:val="13"/>
        </w:rPr>
        <w:t>Orders</w:t>
      </w:r>
      <w:r>
        <w:rPr>
          <w:i/>
          <w:color w:val="231F20"/>
          <w:spacing w:val="11"/>
          <w:sz w:val="13"/>
        </w:rPr>
        <w:t xml:space="preserve"> </w:t>
      </w:r>
      <w:r>
        <w:rPr>
          <w:i/>
          <w:color w:val="231F20"/>
          <w:sz w:val="13"/>
        </w:rPr>
        <w:t>in</w:t>
      </w:r>
      <w:r>
        <w:rPr>
          <w:i/>
          <w:color w:val="231F20"/>
          <w:spacing w:val="12"/>
          <w:sz w:val="13"/>
        </w:rPr>
        <w:t xml:space="preserve"> </w:t>
      </w:r>
      <w:r>
        <w:rPr>
          <w:i/>
          <w:color w:val="231F20"/>
          <w:sz w:val="13"/>
        </w:rPr>
        <w:t>Victoria</w:t>
      </w:r>
      <w:r>
        <w:rPr>
          <w:i/>
          <w:color w:val="231F20"/>
          <w:spacing w:val="11"/>
          <w:sz w:val="13"/>
        </w:rPr>
        <w:t xml:space="preserve"> </w:t>
      </w:r>
      <w:r>
        <w:rPr>
          <w:color w:val="231F20"/>
          <w:spacing w:val="2"/>
          <w:sz w:val="13"/>
        </w:rPr>
        <w:t>(Report,</w:t>
      </w:r>
      <w:r>
        <w:rPr>
          <w:color w:val="231F20"/>
          <w:spacing w:val="12"/>
          <w:sz w:val="13"/>
        </w:rPr>
        <w:t xml:space="preserve"> </w:t>
      </w:r>
      <w:r>
        <w:rPr>
          <w:color w:val="231F20"/>
          <w:sz w:val="13"/>
        </w:rPr>
        <w:t>February</w:t>
      </w:r>
      <w:r>
        <w:rPr>
          <w:color w:val="231F20"/>
          <w:spacing w:val="11"/>
          <w:sz w:val="13"/>
        </w:rPr>
        <w:t xml:space="preserve"> </w:t>
      </w:r>
      <w:r>
        <w:rPr>
          <w:color w:val="231F20"/>
          <w:sz w:val="13"/>
        </w:rPr>
        <w:t>2022).</w:t>
      </w:r>
    </w:p>
    <w:p w14:paraId="1A343123" w14:textId="77777777" w:rsidR="00894070" w:rsidRDefault="009B7AFD">
      <w:pPr>
        <w:pStyle w:val="ListParagraph"/>
        <w:numPr>
          <w:ilvl w:val="0"/>
          <w:numId w:val="172"/>
        </w:numPr>
        <w:tabs>
          <w:tab w:val="left" w:pos="1801"/>
          <w:tab w:val="left" w:pos="1802"/>
        </w:tabs>
        <w:spacing w:line="213" w:lineRule="auto"/>
        <w:ind w:right="1452"/>
        <w:rPr>
          <w:sz w:val="13"/>
        </w:rPr>
      </w:pPr>
      <w:r>
        <w:rPr>
          <w:color w:val="231F20"/>
          <w:sz w:val="13"/>
        </w:rPr>
        <w:t xml:space="preserve">The </w:t>
      </w:r>
      <w:r>
        <w:rPr>
          <w:color w:val="231F20"/>
          <w:spacing w:val="2"/>
          <w:sz w:val="13"/>
        </w:rPr>
        <w:t xml:space="preserve">report </w:t>
      </w:r>
      <w:r>
        <w:rPr>
          <w:color w:val="231F20"/>
          <w:sz w:val="13"/>
        </w:rPr>
        <w:t xml:space="preserve">considers family violence safety notices issued by </w:t>
      </w:r>
      <w:r>
        <w:rPr>
          <w:color w:val="231F20"/>
          <w:spacing w:val="2"/>
          <w:sz w:val="13"/>
        </w:rPr>
        <w:t xml:space="preserve">police </w:t>
      </w:r>
      <w:r>
        <w:rPr>
          <w:color w:val="231F20"/>
          <w:sz w:val="13"/>
        </w:rPr>
        <w:t xml:space="preserve">between 2012 and 2020 (the nine years during which    data was available) and </w:t>
      </w:r>
      <w:r>
        <w:rPr>
          <w:color w:val="231F20"/>
          <w:spacing w:val="2"/>
          <w:sz w:val="13"/>
        </w:rPr>
        <w:t xml:space="preserve">FVIOs </w:t>
      </w:r>
      <w:r>
        <w:rPr>
          <w:color w:val="231F20"/>
          <w:sz w:val="13"/>
        </w:rPr>
        <w:t xml:space="preserve">issued by </w:t>
      </w:r>
      <w:r>
        <w:rPr>
          <w:color w:val="231F20"/>
          <w:spacing w:val="2"/>
          <w:sz w:val="13"/>
        </w:rPr>
        <w:t xml:space="preserve">courts </w:t>
      </w:r>
      <w:r>
        <w:rPr>
          <w:color w:val="231F20"/>
          <w:sz w:val="13"/>
        </w:rPr>
        <w:t xml:space="preserve">over the 10-year </w:t>
      </w:r>
      <w:r>
        <w:rPr>
          <w:color w:val="231F20"/>
          <w:spacing w:val="2"/>
          <w:sz w:val="13"/>
        </w:rPr>
        <w:t xml:space="preserve">period </w:t>
      </w:r>
      <w:r>
        <w:rPr>
          <w:color w:val="231F20"/>
          <w:sz w:val="13"/>
        </w:rPr>
        <w:t xml:space="preserve">from 2011 to 2020: 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May 2022)</w:t>
      </w:r>
      <w:r>
        <w:rPr>
          <w:color w:val="231F20"/>
          <w:spacing w:val="23"/>
          <w:sz w:val="13"/>
        </w:rPr>
        <w:t xml:space="preserve"> </w:t>
      </w:r>
      <w:r>
        <w:rPr>
          <w:color w:val="231F20"/>
          <w:spacing w:val="2"/>
          <w:sz w:val="13"/>
        </w:rPr>
        <w:t>[3.1].</w:t>
      </w:r>
    </w:p>
    <w:p w14:paraId="5F4DC6C2" w14:textId="77777777" w:rsidR="00894070" w:rsidRDefault="009F6793">
      <w:pPr>
        <w:pStyle w:val="ListParagraph"/>
        <w:numPr>
          <w:ilvl w:val="0"/>
          <w:numId w:val="172"/>
        </w:numPr>
        <w:tabs>
          <w:tab w:val="left" w:pos="1800"/>
          <w:tab w:val="left" w:pos="1802"/>
        </w:tabs>
        <w:spacing w:line="213" w:lineRule="auto"/>
        <w:ind w:right="1322"/>
        <w:rPr>
          <w:sz w:val="13"/>
        </w:rPr>
      </w:pPr>
      <w:r>
        <w:pict w14:anchorId="1A2342A6">
          <v:shape id="_x0000_s1669" type="#_x0000_t202" style="position:absolute;left:0;text-align:left;margin-left:549.35pt;margin-top:3.4pt;width:12.45pt;height:14.1pt;z-index:251497472;mso-position-horizontal-relative:page" filled="f" stroked="f">
            <v:textbox inset="0,0,0,0">
              <w:txbxContent>
                <w:p w14:paraId="4FA09C64" w14:textId="77777777" w:rsidR="00894070" w:rsidRDefault="009B7AFD">
                  <w:pPr>
                    <w:spacing w:line="282" w:lineRule="exact"/>
                    <w:rPr>
                      <w:b/>
                      <w:sz w:val="24"/>
                    </w:rPr>
                  </w:pPr>
                  <w:r>
                    <w:rPr>
                      <w:b/>
                      <w:color w:val="EA5B50"/>
                      <w:spacing w:val="-2"/>
                      <w:sz w:val="24"/>
                    </w:rPr>
                    <w:t>15</w:t>
                  </w:r>
                </w:p>
              </w:txbxContent>
            </v:textbox>
            <w10:wrap anchorx="page"/>
          </v:shape>
        </w:pict>
      </w:r>
      <w:r w:rsidR="009B7AFD">
        <w:rPr>
          <w:color w:val="231F20"/>
          <w:sz w:val="13"/>
        </w:rPr>
        <w:t xml:space="preserve">Sarah Bright, Lauren Barnaba and </w:t>
      </w:r>
      <w:r w:rsidR="009B7AFD">
        <w:rPr>
          <w:color w:val="231F20"/>
          <w:spacing w:val="2"/>
          <w:sz w:val="13"/>
        </w:rPr>
        <w:t xml:space="preserve">Melanie </w:t>
      </w:r>
      <w:proofErr w:type="spellStart"/>
      <w:r w:rsidR="009B7AFD">
        <w:rPr>
          <w:color w:val="231F20"/>
          <w:spacing w:val="2"/>
          <w:sz w:val="13"/>
        </w:rPr>
        <w:t>Millsteed</w:t>
      </w:r>
      <w:proofErr w:type="spellEnd"/>
      <w:r w:rsidR="009B7AFD">
        <w:rPr>
          <w:color w:val="231F20"/>
          <w:spacing w:val="2"/>
          <w:sz w:val="13"/>
        </w:rPr>
        <w:t xml:space="preserve">, </w:t>
      </w:r>
      <w:r w:rsidR="009B7AFD">
        <w:rPr>
          <w:i/>
          <w:color w:val="231F20"/>
          <w:sz w:val="13"/>
        </w:rPr>
        <w:t xml:space="preserve">Attrition of Stalking Offence </w:t>
      </w:r>
      <w:r w:rsidR="009B7AFD">
        <w:rPr>
          <w:i/>
          <w:color w:val="231F20"/>
          <w:spacing w:val="2"/>
          <w:sz w:val="13"/>
        </w:rPr>
        <w:t xml:space="preserve">Incidents </w:t>
      </w:r>
      <w:r w:rsidR="009B7AFD">
        <w:rPr>
          <w:i/>
          <w:color w:val="231F20"/>
          <w:sz w:val="13"/>
        </w:rPr>
        <w:t xml:space="preserve">through the Victorian Criminal Justice System </w:t>
      </w:r>
      <w:r w:rsidR="009B7AFD">
        <w:rPr>
          <w:color w:val="231F20"/>
          <w:sz w:val="13"/>
        </w:rPr>
        <w:t>(Data Snapshot, Crime Statistics Agency,</w:t>
      </w:r>
      <w:r w:rsidR="009B7AFD">
        <w:rPr>
          <w:color w:val="231F20"/>
          <w:spacing w:val="4"/>
          <w:sz w:val="13"/>
        </w:rPr>
        <w:t xml:space="preserve"> </w:t>
      </w:r>
      <w:r w:rsidR="009B7AFD">
        <w:rPr>
          <w:color w:val="231F20"/>
          <w:sz w:val="13"/>
        </w:rPr>
        <w:t>forthcoming).</w:t>
      </w:r>
    </w:p>
    <w:p w14:paraId="45CEDF69" w14:textId="77777777" w:rsidR="00894070" w:rsidRDefault="00894070">
      <w:pPr>
        <w:spacing w:line="213" w:lineRule="auto"/>
        <w:rPr>
          <w:sz w:val="13"/>
        </w:rPr>
        <w:sectPr w:rsidR="00894070">
          <w:pgSz w:w="11910" w:h="16840"/>
          <w:pgMar w:top="840" w:right="420" w:bottom="280" w:left="580" w:header="0" w:footer="0" w:gutter="0"/>
          <w:cols w:space="720"/>
        </w:sectPr>
      </w:pPr>
    </w:p>
    <w:p w14:paraId="2C5D9E4E" w14:textId="77777777" w:rsidR="00894070" w:rsidRDefault="00894070">
      <w:pPr>
        <w:pStyle w:val="BodyText"/>
      </w:pPr>
    </w:p>
    <w:p w14:paraId="1E8EE40A" w14:textId="77777777" w:rsidR="00894070" w:rsidRDefault="00894070">
      <w:pPr>
        <w:pStyle w:val="BodyText"/>
      </w:pPr>
    </w:p>
    <w:p w14:paraId="6ACF14F8" w14:textId="77777777" w:rsidR="00894070" w:rsidRDefault="00894070">
      <w:pPr>
        <w:pStyle w:val="BodyText"/>
      </w:pPr>
    </w:p>
    <w:p w14:paraId="256456EC" w14:textId="77777777" w:rsidR="00894070" w:rsidRDefault="009B7AFD">
      <w:pPr>
        <w:pStyle w:val="Heading8"/>
        <w:spacing w:before="220"/>
        <w:ind w:left="1007"/>
      </w:pPr>
      <w:bookmarkStart w:id="35" w:name="_bookmark16"/>
      <w:bookmarkEnd w:id="35"/>
      <w:r>
        <w:rPr>
          <w:color w:val="231F20"/>
        </w:rPr>
        <w:t>Stalking is widespread, gendered, and mostly linked to family violence</w:t>
      </w:r>
    </w:p>
    <w:p w14:paraId="156753B5" w14:textId="77777777" w:rsidR="00894070" w:rsidRDefault="009B7AFD">
      <w:pPr>
        <w:pStyle w:val="ListParagraph"/>
        <w:numPr>
          <w:ilvl w:val="1"/>
          <w:numId w:val="177"/>
        </w:numPr>
        <w:tabs>
          <w:tab w:val="left" w:pos="1801"/>
          <w:tab w:val="left" w:pos="1802"/>
        </w:tabs>
        <w:spacing w:before="95"/>
        <w:rPr>
          <w:sz w:val="20"/>
        </w:rPr>
      </w:pPr>
      <w:r>
        <w:rPr>
          <w:color w:val="231F20"/>
          <w:sz w:val="20"/>
        </w:rPr>
        <w:t>The data on stalking suggest it</w:t>
      </w:r>
      <w:r>
        <w:rPr>
          <w:color w:val="231F20"/>
          <w:spacing w:val="-26"/>
          <w:sz w:val="20"/>
        </w:rPr>
        <w:t xml:space="preserve"> </w:t>
      </w:r>
      <w:r>
        <w:rPr>
          <w:color w:val="231F20"/>
          <w:sz w:val="20"/>
        </w:rPr>
        <w:t>is:</w:t>
      </w:r>
    </w:p>
    <w:p w14:paraId="38031488"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widespread</w:t>
      </w:r>
    </w:p>
    <w:p w14:paraId="69376DB6"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gendered</w:t>
      </w:r>
    </w:p>
    <w:p w14:paraId="0E78C3D3" w14:textId="77777777" w:rsidR="00894070" w:rsidRDefault="009B7AFD">
      <w:pPr>
        <w:pStyle w:val="ListParagraph"/>
        <w:numPr>
          <w:ilvl w:val="2"/>
          <w:numId w:val="177"/>
        </w:numPr>
        <w:tabs>
          <w:tab w:val="left" w:pos="2141"/>
          <w:tab w:val="left" w:pos="2142"/>
        </w:tabs>
        <w:spacing w:before="47"/>
        <w:ind w:hanging="340"/>
        <w:rPr>
          <w:sz w:val="20"/>
        </w:rPr>
      </w:pPr>
      <w:r>
        <w:rPr>
          <w:color w:val="231F20"/>
          <w:spacing w:val="-3"/>
          <w:sz w:val="20"/>
        </w:rPr>
        <w:t xml:space="preserve">mostly </w:t>
      </w:r>
      <w:r>
        <w:rPr>
          <w:color w:val="231F20"/>
          <w:sz w:val="20"/>
        </w:rPr>
        <w:t xml:space="preserve">linked to </w:t>
      </w:r>
      <w:r>
        <w:rPr>
          <w:color w:val="231F20"/>
          <w:spacing w:val="-3"/>
          <w:sz w:val="20"/>
        </w:rPr>
        <w:t>family</w:t>
      </w:r>
      <w:r>
        <w:rPr>
          <w:color w:val="231F20"/>
          <w:spacing w:val="-14"/>
          <w:sz w:val="20"/>
        </w:rPr>
        <w:t xml:space="preserve"> </w:t>
      </w:r>
      <w:r>
        <w:rPr>
          <w:color w:val="231F20"/>
          <w:sz w:val="20"/>
        </w:rPr>
        <w:t>violence.</w:t>
      </w:r>
    </w:p>
    <w:p w14:paraId="49FD2DEC" w14:textId="77777777" w:rsidR="00894070" w:rsidRDefault="009B7AFD">
      <w:pPr>
        <w:pStyle w:val="ListParagraph"/>
        <w:numPr>
          <w:ilvl w:val="1"/>
          <w:numId w:val="177"/>
        </w:numPr>
        <w:tabs>
          <w:tab w:val="left" w:pos="1801"/>
          <w:tab w:val="left" w:pos="1802"/>
        </w:tabs>
        <w:spacing w:before="80" w:line="206" w:lineRule="auto"/>
        <w:ind w:right="1358"/>
        <w:rPr>
          <w:sz w:val="11"/>
        </w:rPr>
      </w:pPr>
      <w:r>
        <w:rPr>
          <w:color w:val="231F20"/>
          <w:sz w:val="20"/>
        </w:rPr>
        <w:t>The</w:t>
      </w:r>
      <w:r>
        <w:rPr>
          <w:color w:val="231F20"/>
          <w:spacing w:val="-10"/>
          <w:sz w:val="20"/>
        </w:rPr>
        <w:t xml:space="preserve"> </w:t>
      </w:r>
      <w:r>
        <w:rPr>
          <w:color w:val="231F20"/>
          <w:sz w:val="20"/>
        </w:rPr>
        <w:t>Personal</w:t>
      </w:r>
      <w:r>
        <w:rPr>
          <w:color w:val="231F20"/>
          <w:spacing w:val="-9"/>
          <w:sz w:val="20"/>
        </w:rPr>
        <w:t xml:space="preserve"> </w:t>
      </w:r>
      <w:r>
        <w:rPr>
          <w:color w:val="231F20"/>
          <w:sz w:val="20"/>
        </w:rPr>
        <w:t>Safety</w:t>
      </w:r>
      <w:r>
        <w:rPr>
          <w:color w:val="231F20"/>
          <w:spacing w:val="-10"/>
          <w:sz w:val="20"/>
        </w:rPr>
        <w:t xml:space="preserve"> </w:t>
      </w:r>
      <w:r>
        <w:rPr>
          <w:color w:val="231F20"/>
          <w:sz w:val="20"/>
        </w:rPr>
        <w:t>Survey</w:t>
      </w:r>
      <w:r>
        <w:rPr>
          <w:color w:val="231F20"/>
          <w:spacing w:val="-9"/>
          <w:sz w:val="20"/>
        </w:rPr>
        <w:t xml:space="preserve"> </w:t>
      </w:r>
      <w:r>
        <w:rPr>
          <w:color w:val="231F20"/>
          <w:sz w:val="20"/>
        </w:rPr>
        <w:t>estimated</w:t>
      </w:r>
      <w:r>
        <w:rPr>
          <w:color w:val="231F20"/>
          <w:spacing w:val="-10"/>
          <w:sz w:val="20"/>
        </w:rPr>
        <w:t xml:space="preserve"> </w:t>
      </w:r>
      <w:r>
        <w:rPr>
          <w:color w:val="231F20"/>
          <w:sz w:val="20"/>
        </w:rPr>
        <w:t>that</w:t>
      </w:r>
      <w:r>
        <w:rPr>
          <w:color w:val="231F20"/>
          <w:spacing w:val="-9"/>
          <w:sz w:val="20"/>
        </w:rPr>
        <w:t xml:space="preserve"> </w:t>
      </w:r>
      <w:r>
        <w:rPr>
          <w:color w:val="231F20"/>
          <w:spacing w:val="-3"/>
          <w:sz w:val="20"/>
        </w:rPr>
        <w:t>nationwide,</w:t>
      </w:r>
      <w:r>
        <w:rPr>
          <w:color w:val="231F20"/>
          <w:spacing w:val="-9"/>
          <w:sz w:val="20"/>
        </w:rPr>
        <w:t xml:space="preserve"> </w:t>
      </w:r>
      <w:r>
        <w:rPr>
          <w:color w:val="231F20"/>
          <w:sz w:val="20"/>
        </w:rPr>
        <w:t>one</w:t>
      </w:r>
      <w:r>
        <w:rPr>
          <w:color w:val="231F20"/>
          <w:spacing w:val="-10"/>
          <w:sz w:val="20"/>
        </w:rPr>
        <w:t xml:space="preserve"> </w:t>
      </w:r>
      <w:r>
        <w:rPr>
          <w:color w:val="231F20"/>
          <w:sz w:val="20"/>
        </w:rPr>
        <w:t>in</w:t>
      </w:r>
      <w:r>
        <w:rPr>
          <w:color w:val="231F20"/>
          <w:spacing w:val="-9"/>
          <w:sz w:val="20"/>
        </w:rPr>
        <w:t xml:space="preserve"> </w:t>
      </w:r>
      <w:r>
        <w:rPr>
          <w:color w:val="231F20"/>
          <w:sz w:val="20"/>
        </w:rPr>
        <w:t>six</w:t>
      </w:r>
      <w:r>
        <w:rPr>
          <w:color w:val="231F20"/>
          <w:spacing w:val="-10"/>
          <w:sz w:val="20"/>
        </w:rPr>
        <w:t xml:space="preserve"> </w:t>
      </w:r>
      <w:r>
        <w:rPr>
          <w:color w:val="231F20"/>
          <w:sz w:val="20"/>
        </w:rPr>
        <w:t>women</w:t>
      </w:r>
      <w:r>
        <w:rPr>
          <w:color w:val="231F20"/>
          <w:spacing w:val="-9"/>
          <w:sz w:val="20"/>
        </w:rPr>
        <w:t xml:space="preserve"> </w:t>
      </w:r>
      <w:r>
        <w:rPr>
          <w:color w:val="231F20"/>
          <w:spacing w:val="-4"/>
          <w:sz w:val="20"/>
        </w:rPr>
        <w:t>(17</w:t>
      </w:r>
      <w:r>
        <w:rPr>
          <w:color w:val="231F20"/>
          <w:spacing w:val="-9"/>
          <w:sz w:val="20"/>
        </w:rPr>
        <w:t xml:space="preserve"> </w:t>
      </w:r>
      <w:r>
        <w:rPr>
          <w:color w:val="231F20"/>
          <w:sz w:val="20"/>
        </w:rPr>
        <w:t>per</w:t>
      </w:r>
      <w:r>
        <w:rPr>
          <w:color w:val="231F20"/>
          <w:spacing w:val="-10"/>
          <w:sz w:val="20"/>
        </w:rPr>
        <w:t xml:space="preserve"> </w:t>
      </w:r>
      <w:r>
        <w:rPr>
          <w:color w:val="231F20"/>
          <w:sz w:val="20"/>
        </w:rPr>
        <w:t>cent) and</w:t>
      </w:r>
      <w:r>
        <w:rPr>
          <w:color w:val="231F20"/>
          <w:spacing w:val="-6"/>
          <w:sz w:val="20"/>
        </w:rPr>
        <w:t xml:space="preserve"> </w:t>
      </w:r>
      <w:r>
        <w:rPr>
          <w:color w:val="231F20"/>
          <w:sz w:val="20"/>
        </w:rPr>
        <w:t>one</w:t>
      </w:r>
      <w:r>
        <w:rPr>
          <w:color w:val="231F20"/>
          <w:spacing w:val="-6"/>
          <w:sz w:val="20"/>
        </w:rPr>
        <w:t xml:space="preserve"> </w:t>
      </w:r>
      <w:r>
        <w:rPr>
          <w:color w:val="231F20"/>
          <w:sz w:val="20"/>
        </w:rPr>
        <w:t>in</w:t>
      </w:r>
      <w:r>
        <w:rPr>
          <w:color w:val="231F20"/>
          <w:spacing w:val="-5"/>
          <w:sz w:val="20"/>
        </w:rPr>
        <w:t xml:space="preserve"> </w:t>
      </w:r>
      <w:r>
        <w:rPr>
          <w:color w:val="231F20"/>
          <w:sz w:val="20"/>
        </w:rPr>
        <w:t>15</w:t>
      </w:r>
      <w:r>
        <w:rPr>
          <w:color w:val="231F20"/>
          <w:spacing w:val="-6"/>
          <w:sz w:val="20"/>
        </w:rPr>
        <w:t xml:space="preserve"> </w:t>
      </w:r>
      <w:r>
        <w:rPr>
          <w:color w:val="231F20"/>
          <w:sz w:val="20"/>
        </w:rPr>
        <w:t>men</w:t>
      </w:r>
      <w:r>
        <w:rPr>
          <w:color w:val="231F20"/>
          <w:spacing w:val="-5"/>
          <w:sz w:val="20"/>
        </w:rPr>
        <w:t xml:space="preserve"> </w:t>
      </w:r>
      <w:r>
        <w:rPr>
          <w:color w:val="231F20"/>
          <w:spacing w:val="-3"/>
          <w:sz w:val="20"/>
        </w:rPr>
        <w:t>(7</w:t>
      </w:r>
      <w:r>
        <w:rPr>
          <w:color w:val="231F20"/>
          <w:spacing w:val="-6"/>
          <w:sz w:val="20"/>
        </w:rPr>
        <w:t xml:space="preserve"> </w:t>
      </w:r>
      <w:r>
        <w:rPr>
          <w:color w:val="231F20"/>
          <w:sz w:val="20"/>
        </w:rPr>
        <w:t>per</w:t>
      </w:r>
      <w:r>
        <w:rPr>
          <w:color w:val="231F20"/>
          <w:spacing w:val="-5"/>
          <w:sz w:val="20"/>
        </w:rPr>
        <w:t xml:space="preserve"> </w:t>
      </w:r>
      <w:r>
        <w:rPr>
          <w:color w:val="231F20"/>
          <w:sz w:val="20"/>
        </w:rPr>
        <w:t>cent)</w:t>
      </w:r>
      <w:r>
        <w:rPr>
          <w:color w:val="231F20"/>
          <w:spacing w:val="-6"/>
          <w:sz w:val="20"/>
        </w:rPr>
        <w:t xml:space="preserve"> </w:t>
      </w:r>
      <w:r>
        <w:rPr>
          <w:color w:val="231F20"/>
          <w:spacing w:val="-4"/>
          <w:sz w:val="20"/>
        </w:rPr>
        <w:t>have</w:t>
      </w:r>
      <w:r>
        <w:rPr>
          <w:color w:val="231F20"/>
          <w:spacing w:val="-5"/>
          <w:sz w:val="20"/>
        </w:rPr>
        <w:t xml:space="preserve"> </w:t>
      </w:r>
      <w:r>
        <w:rPr>
          <w:color w:val="231F20"/>
          <w:sz w:val="20"/>
        </w:rPr>
        <w:t>experienced</w:t>
      </w:r>
      <w:r>
        <w:rPr>
          <w:color w:val="231F20"/>
          <w:spacing w:val="-6"/>
          <w:sz w:val="20"/>
        </w:rPr>
        <w:t xml:space="preserve"> </w:t>
      </w:r>
      <w:r>
        <w:rPr>
          <w:color w:val="231F20"/>
          <w:sz w:val="20"/>
        </w:rPr>
        <w:t>stalking</w:t>
      </w:r>
      <w:r>
        <w:rPr>
          <w:color w:val="231F20"/>
          <w:spacing w:val="-5"/>
          <w:sz w:val="20"/>
        </w:rPr>
        <w:t xml:space="preserve"> </w:t>
      </w:r>
      <w:r>
        <w:rPr>
          <w:color w:val="231F20"/>
          <w:sz w:val="20"/>
        </w:rPr>
        <w:t>since</w:t>
      </w:r>
      <w:r>
        <w:rPr>
          <w:color w:val="231F20"/>
          <w:spacing w:val="-6"/>
          <w:sz w:val="20"/>
        </w:rPr>
        <w:t xml:space="preserve"> </w:t>
      </w:r>
      <w:r>
        <w:rPr>
          <w:color w:val="231F20"/>
          <w:sz w:val="20"/>
        </w:rPr>
        <w:t>the</w:t>
      </w:r>
      <w:r>
        <w:rPr>
          <w:color w:val="231F20"/>
          <w:spacing w:val="-5"/>
          <w:sz w:val="20"/>
        </w:rPr>
        <w:t xml:space="preserve"> </w:t>
      </w:r>
      <w:r>
        <w:rPr>
          <w:color w:val="231F20"/>
          <w:sz w:val="20"/>
        </w:rPr>
        <w:t>age</w:t>
      </w:r>
      <w:r>
        <w:rPr>
          <w:color w:val="231F20"/>
          <w:spacing w:val="-6"/>
          <w:sz w:val="20"/>
        </w:rPr>
        <w:t xml:space="preserve"> </w:t>
      </w:r>
      <w:r>
        <w:rPr>
          <w:color w:val="231F20"/>
          <w:sz w:val="20"/>
        </w:rPr>
        <w:t>of</w:t>
      </w:r>
      <w:r>
        <w:rPr>
          <w:color w:val="231F20"/>
          <w:spacing w:val="-5"/>
          <w:sz w:val="20"/>
        </w:rPr>
        <w:t xml:space="preserve"> </w:t>
      </w:r>
      <w:r>
        <w:rPr>
          <w:color w:val="231F20"/>
          <w:spacing w:val="2"/>
          <w:sz w:val="20"/>
        </w:rPr>
        <w:t>15.</w:t>
      </w:r>
      <w:r>
        <w:rPr>
          <w:color w:val="231F20"/>
          <w:spacing w:val="2"/>
          <w:position w:val="7"/>
          <w:sz w:val="11"/>
        </w:rPr>
        <w:t>28</w:t>
      </w:r>
    </w:p>
    <w:p w14:paraId="10D7A063" w14:textId="77777777" w:rsidR="00894070" w:rsidRDefault="009B7AFD">
      <w:pPr>
        <w:pStyle w:val="ListParagraph"/>
        <w:numPr>
          <w:ilvl w:val="1"/>
          <w:numId w:val="177"/>
        </w:numPr>
        <w:tabs>
          <w:tab w:val="left" w:pos="1801"/>
          <w:tab w:val="left" w:pos="1802"/>
        </w:tabs>
        <w:spacing w:before="123" w:line="206" w:lineRule="auto"/>
        <w:ind w:right="1311"/>
        <w:rPr>
          <w:sz w:val="11"/>
        </w:rPr>
      </w:pPr>
      <w:r>
        <w:rPr>
          <w:color w:val="231F20"/>
          <w:sz w:val="20"/>
        </w:rPr>
        <w:t xml:space="preserve">Of women who </w:t>
      </w:r>
      <w:r>
        <w:rPr>
          <w:color w:val="231F20"/>
          <w:spacing w:val="-4"/>
          <w:sz w:val="20"/>
        </w:rPr>
        <w:t xml:space="preserve">were </w:t>
      </w:r>
      <w:r>
        <w:rPr>
          <w:color w:val="231F20"/>
          <w:sz w:val="20"/>
        </w:rPr>
        <w:t xml:space="preserve">stalked, a large majority (94 per cent) </w:t>
      </w:r>
      <w:r>
        <w:rPr>
          <w:color w:val="231F20"/>
          <w:spacing w:val="-4"/>
          <w:sz w:val="20"/>
        </w:rPr>
        <w:t xml:space="preserve">were </w:t>
      </w:r>
      <w:r>
        <w:rPr>
          <w:color w:val="231F20"/>
          <w:sz w:val="20"/>
        </w:rPr>
        <w:t xml:space="preserve">stalked </w:t>
      </w:r>
      <w:r>
        <w:rPr>
          <w:color w:val="231F20"/>
          <w:spacing w:val="-3"/>
          <w:sz w:val="20"/>
        </w:rPr>
        <w:t xml:space="preserve">by </w:t>
      </w:r>
      <w:r>
        <w:rPr>
          <w:color w:val="231F20"/>
          <w:sz w:val="20"/>
        </w:rPr>
        <w:t xml:space="preserve">a </w:t>
      </w:r>
      <w:r>
        <w:rPr>
          <w:color w:val="231F20"/>
          <w:spacing w:val="-3"/>
          <w:sz w:val="20"/>
        </w:rPr>
        <w:t xml:space="preserve">male, </w:t>
      </w:r>
      <w:r>
        <w:rPr>
          <w:color w:val="231F20"/>
          <w:sz w:val="20"/>
        </w:rPr>
        <w:t>while</w:t>
      </w:r>
      <w:r>
        <w:rPr>
          <w:color w:val="231F20"/>
          <w:spacing w:val="-5"/>
          <w:sz w:val="20"/>
        </w:rPr>
        <w:t xml:space="preserve"> </w:t>
      </w:r>
      <w:r>
        <w:rPr>
          <w:color w:val="231F20"/>
          <w:sz w:val="20"/>
        </w:rPr>
        <w:t>men</w:t>
      </w:r>
      <w:r>
        <w:rPr>
          <w:color w:val="231F20"/>
          <w:spacing w:val="-5"/>
          <w:sz w:val="20"/>
        </w:rPr>
        <w:t xml:space="preserve"> </w:t>
      </w:r>
      <w:r>
        <w:rPr>
          <w:color w:val="231F20"/>
          <w:spacing w:val="-4"/>
          <w:sz w:val="20"/>
        </w:rPr>
        <w:t>were</w:t>
      </w:r>
      <w:r>
        <w:rPr>
          <w:color w:val="231F20"/>
          <w:spacing w:val="-5"/>
          <w:sz w:val="20"/>
        </w:rPr>
        <w:t xml:space="preserve"> </w:t>
      </w:r>
      <w:r>
        <w:rPr>
          <w:color w:val="231F20"/>
          <w:sz w:val="20"/>
        </w:rPr>
        <w:t>almost</w:t>
      </w:r>
      <w:r>
        <w:rPr>
          <w:color w:val="231F20"/>
          <w:spacing w:val="-4"/>
          <w:sz w:val="20"/>
        </w:rPr>
        <w:t xml:space="preserve"> </w:t>
      </w:r>
      <w:r>
        <w:rPr>
          <w:color w:val="231F20"/>
          <w:spacing w:val="-3"/>
          <w:sz w:val="20"/>
        </w:rPr>
        <w:t>equally</w:t>
      </w:r>
      <w:r>
        <w:rPr>
          <w:color w:val="231F20"/>
          <w:spacing w:val="-5"/>
          <w:sz w:val="20"/>
        </w:rPr>
        <w:t xml:space="preserve"> </w:t>
      </w:r>
      <w:r>
        <w:rPr>
          <w:color w:val="231F20"/>
          <w:spacing w:val="-3"/>
          <w:sz w:val="20"/>
        </w:rPr>
        <w:t>likely</w:t>
      </w:r>
      <w:r>
        <w:rPr>
          <w:color w:val="231F20"/>
          <w:spacing w:val="-5"/>
          <w:sz w:val="20"/>
        </w:rPr>
        <w:t xml:space="preserve"> </w:t>
      </w:r>
      <w:r>
        <w:rPr>
          <w:color w:val="231F20"/>
          <w:sz w:val="20"/>
        </w:rPr>
        <w:t>to</w:t>
      </w:r>
      <w:r>
        <w:rPr>
          <w:color w:val="231F20"/>
          <w:spacing w:val="-4"/>
          <w:sz w:val="20"/>
        </w:rPr>
        <w:t xml:space="preserve"> have</w:t>
      </w:r>
      <w:r>
        <w:rPr>
          <w:color w:val="231F20"/>
          <w:spacing w:val="-5"/>
          <w:sz w:val="20"/>
        </w:rPr>
        <w:t xml:space="preserve"> </w:t>
      </w:r>
      <w:r>
        <w:rPr>
          <w:color w:val="231F20"/>
          <w:sz w:val="20"/>
        </w:rPr>
        <w:t>been</w:t>
      </w:r>
      <w:r>
        <w:rPr>
          <w:color w:val="231F20"/>
          <w:spacing w:val="-5"/>
          <w:sz w:val="20"/>
        </w:rPr>
        <w:t xml:space="preserve"> </w:t>
      </w:r>
      <w:r>
        <w:rPr>
          <w:color w:val="231F20"/>
          <w:sz w:val="20"/>
        </w:rPr>
        <w:t>stalked</w:t>
      </w:r>
      <w:r>
        <w:rPr>
          <w:color w:val="231F20"/>
          <w:spacing w:val="-4"/>
          <w:sz w:val="20"/>
        </w:rPr>
        <w:t xml:space="preserve"> </w:t>
      </w:r>
      <w:r>
        <w:rPr>
          <w:color w:val="231F20"/>
          <w:spacing w:val="-3"/>
          <w:sz w:val="20"/>
        </w:rPr>
        <w:t>by</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female</w:t>
      </w:r>
      <w:r>
        <w:rPr>
          <w:color w:val="231F20"/>
          <w:spacing w:val="-4"/>
          <w:sz w:val="20"/>
        </w:rPr>
        <w:t xml:space="preserve"> </w:t>
      </w:r>
      <w:r>
        <w:rPr>
          <w:color w:val="231F20"/>
          <w:sz w:val="20"/>
        </w:rPr>
        <w:t>as</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a</w:t>
      </w:r>
      <w:r>
        <w:rPr>
          <w:color w:val="231F20"/>
          <w:spacing w:val="-4"/>
          <w:sz w:val="20"/>
        </w:rPr>
        <w:t xml:space="preserve"> </w:t>
      </w:r>
      <w:r>
        <w:rPr>
          <w:color w:val="231F20"/>
          <w:sz w:val="20"/>
        </w:rPr>
        <w:t>male.</w:t>
      </w:r>
      <w:r>
        <w:rPr>
          <w:color w:val="231F20"/>
          <w:position w:val="7"/>
          <w:sz w:val="11"/>
        </w:rPr>
        <w:t>29</w:t>
      </w:r>
    </w:p>
    <w:p w14:paraId="3B30ADC9" w14:textId="77777777" w:rsidR="00894070" w:rsidRDefault="009B7AFD">
      <w:pPr>
        <w:pStyle w:val="ListParagraph"/>
        <w:numPr>
          <w:ilvl w:val="1"/>
          <w:numId w:val="177"/>
        </w:numPr>
        <w:tabs>
          <w:tab w:val="left" w:pos="1801"/>
          <w:tab w:val="left" w:pos="1802"/>
        </w:tabs>
        <w:spacing w:before="122" w:line="206" w:lineRule="auto"/>
        <w:ind w:right="1771"/>
        <w:rPr>
          <w:sz w:val="11"/>
        </w:rPr>
      </w:pPr>
      <w:r>
        <w:rPr>
          <w:color w:val="231F20"/>
          <w:sz w:val="20"/>
        </w:rPr>
        <w:t>Most</w:t>
      </w:r>
      <w:r>
        <w:rPr>
          <w:color w:val="231F20"/>
          <w:spacing w:val="-7"/>
          <w:sz w:val="20"/>
        </w:rPr>
        <w:t xml:space="preserve"> </w:t>
      </w:r>
      <w:r>
        <w:rPr>
          <w:color w:val="231F20"/>
          <w:sz w:val="20"/>
        </w:rPr>
        <w:t>people</w:t>
      </w:r>
      <w:r>
        <w:rPr>
          <w:color w:val="231F20"/>
          <w:spacing w:val="-6"/>
          <w:sz w:val="20"/>
        </w:rPr>
        <w:t xml:space="preserve"> </w:t>
      </w:r>
      <w:r>
        <w:rPr>
          <w:color w:val="231F20"/>
          <w:spacing w:val="-4"/>
          <w:sz w:val="20"/>
        </w:rPr>
        <w:t>were</w:t>
      </w:r>
      <w:r>
        <w:rPr>
          <w:color w:val="231F20"/>
          <w:spacing w:val="-7"/>
          <w:sz w:val="20"/>
        </w:rPr>
        <w:t xml:space="preserve"> </w:t>
      </w:r>
      <w:r>
        <w:rPr>
          <w:color w:val="231F20"/>
          <w:sz w:val="20"/>
        </w:rPr>
        <w:t>stalked</w:t>
      </w:r>
      <w:r>
        <w:rPr>
          <w:color w:val="231F20"/>
          <w:spacing w:val="-6"/>
          <w:sz w:val="20"/>
        </w:rPr>
        <w:t xml:space="preserve"> </w:t>
      </w:r>
      <w:r>
        <w:rPr>
          <w:color w:val="231F20"/>
          <w:spacing w:val="-3"/>
          <w:sz w:val="20"/>
        </w:rPr>
        <w:t>by</w:t>
      </w:r>
      <w:r>
        <w:rPr>
          <w:color w:val="231F20"/>
          <w:spacing w:val="-7"/>
          <w:sz w:val="20"/>
        </w:rPr>
        <w:t xml:space="preserve"> </w:t>
      </w:r>
      <w:r>
        <w:rPr>
          <w:color w:val="231F20"/>
          <w:sz w:val="20"/>
        </w:rPr>
        <w:t>someone</w:t>
      </w:r>
      <w:r>
        <w:rPr>
          <w:color w:val="231F20"/>
          <w:spacing w:val="-6"/>
          <w:sz w:val="20"/>
        </w:rPr>
        <w:t xml:space="preserve"> </w:t>
      </w:r>
      <w:r>
        <w:rPr>
          <w:color w:val="231F20"/>
          <w:sz w:val="20"/>
        </w:rPr>
        <w:t>they</w:t>
      </w:r>
      <w:r>
        <w:rPr>
          <w:color w:val="231F20"/>
          <w:spacing w:val="-6"/>
          <w:sz w:val="20"/>
        </w:rPr>
        <w:t xml:space="preserve"> </w:t>
      </w:r>
      <w:r>
        <w:rPr>
          <w:color w:val="231F20"/>
          <w:spacing w:val="-5"/>
          <w:sz w:val="20"/>
        </w:rPr>
        <w:t>knew,</w:t>
      </w:r>
      <w:r>
        <w:rPr>
          <w:color w:val="231F20"/>
          <w:spacing w:val="-7"/>
          <w:sz w:val="20"/>
        </w:rPr>
        <w:t xml:space="preserve"> </w:t>
      </w:r>
      <w:r>
        <w:rPr>
          <w:color w:val="231F20"/>
          <w:sz w:val="20"/>
        </w:rPr>
        <w:t>such</w:t>
      </w:r>
      <w:r>
        <w:rPr>
          <w:color w:val="231F20"/>
          <w:spacing w:val="-6"/>
          <w:sz w:val="20"/>
        </w:rPr>
        <w:t xml:space="preserve"> </w:t>
      </w:r>
      <w:r>
        <w:rPr>
          <w:color w:val="231F20"/>
          <w:sz w:val="20"/>
        </w:rPr>
        <w:t>as</w:t>
      </w:r>
      <w:r>
        <w:rPr>
          <w:color w:val="231F20"/>
          <w:spacing w:val="-7"/>
          <w:sz w:val="20"/>
        </w:rPr>
        <w:t xml:space="preserve"> </w:t>
      </w:r>
      <w:r>
        <w:rPr>
          <w:color w:val="231F20"/>
          <w:sz w:val="20"/>
        </w:rPr>
        <w:t>an</w:t>
      </w:r>
      <w:r>
        <w:rPr>
          <w:color w:val="231F20"/>
          <w:spacing w:val="-6"/>
          <w:sz w:val="20"/>
        </w:rPr>
        <w:t xml:space="preserve"> </w:t>
      </w:r>
      <w:r>
        <w:rPr>
          <w:color w:val="231F20"/>
          <w:spacing w:val="-3"/>
          <w:sz w:val="20"/>
        </w:rPr>
        <w:t>intimate</w:t>
      </w:r>
      <w:r>
        <w:rPr>
          <w:color w:val="231F20"/>
          <w:spacing w:val="-6"/>
          <w:sz w:val="20"/>
        </w:rPr>
        <w:t xml:space="preserve"> </w:t>
      </w:r>
      <w:r>
        <w:rPr>
          <w:color w:val="231F20"/>
          <w:sz w:val="20"/>
        </w:rPr>
        <w:t>partner</w:t>
      </w:r>
      <w:r>
        <w:rPr>
          <w:color w:val="231F20"/>
          <w:spacing w:val="-7"/>
          <w:sz w:val="20"/>
        </w:rPr>
        <w:t xml:space="preserve"> </w:t>
      </w:r>
      <w:r>
        <w:rPr>
          <w:color w:val="231F20"/>
          <w:sz w:val="20"/>
        </w:rPr>
        <w:t xml:space="preserve">or former </w:t>
      </w:r>
      <w:r>
        <w:rPr>
          <w:color w:val="231F20"/>
          <w:spacing w:val="-3"/>
          <w:sz w:val="20"/>
        </w:rPr>
        <w:t xml:space="preserve">partner, work colleague, </w:t>
      </w:r>
      <w:r>
        <w:rPr>
          <w:color w:val="231F20"/>
          <w:sz w:val="20"/>
        </w:rPr>
        <w:t>or</w:t>
      </w:r>
      <w:r>
        <w:rPr>
          <w:color w:val="231F20"/>
          <w:spacing w:val="-12"/>
          <w:sz w:val="20"/>
        </w:rPr>
        <w:t xml:space="preserve"> </w:t>
      </w:r>
      <w:r>
        <w:rPr>
          <w:color w:val="231F20"/>
          <w:sz w:val="20"/>
        </w:rPr>
        <w:t>acquaintance.</w:t>
      </w:r>
      <w:r>
        <w:rPr>
          <w:color w:val="231F20"/>
          <w:position w:val="7"/>
          <w:sz w:val="11"/>
        </w:rPr>
        <w:t>30</w:t>
      </w:r>
    </w:p>
    <w:p w14:paraId="5587DE39" w14:textId="77777777" w:rsidR="00894070" w:rsidRDefault="009B7AFD">
      <w:pPr>
        <w:pStyle w:val="ListParagraph"/>
        <w:numPr>
          <w:ilvl w:val="1"/>
          <w:numId w:val="177"/>
        </w:numPr>
        <w:tabs>
          <w:tab w:val="left" w:pos="1802"/>
        </w:tabs>
        <w:spacing w:before="123" w:line="206" w:lineRule="auto"/>
        <w:ind w:right="1297"/>
        <w:jc w:val="both"/>
        <w:rPr>
          <w:sz w:val="11"/>
        </w:rPr>
      </w:pPr>
      <w:r>
        <w:rPr>
          <w:color w:val="231F20"/>
          <w:sz w:val="20"/>
        </w:rPr>
        <w:t>Among</w:t>
      </w:r>
      <w:r>
        <w:rPr>
          <w:color w:val="231F20"/>
          <w:spacing w:val="-8"/>
          <w:sz w:val="20"/>
        </w:rPr>
        <w:t xml:space="preserve"> </w:t>
      </w:r>
      <w:r>
        <w:rPr>
          <w:color w:val="231F20"/>
          <w:sz w:val="20"/>
        </w:rPr>
        <w:t>women</w:t>
      </w:r>
      <w:r>
        <w:rPr>
          <w:color w:val="231F20"/>
          <w:spacing w:val="-7"/>
          <w:sz w:val="20"/>
        </w:rPr>
        <w:t xml:space="preserve"> </w:t>
      </w:r>
      <w:r>
        <w:rPr>
          <w:color w:val="231F20"/>
          <w:sz w:val="20"/>
        </w:rPr>
        <w:t>who</w:t>
      </w:r>
      <w:r>
        <w:rPr>
          <w:color w:val="231F20"/>
          <w:spacing w:val="-7"/>
          <w:sz w:val="20"/>
        </w:rPr>
        <w:t xml:space="preserve"> </w:t>
      </w:r>
      <w:r>
        <w:rPr>
          <w:color w:val="231F20"/>
          <w:spacing w:val="-4"/>
          <w:sz w:val="20"/>
        </w:rPr>
        <w:t>were</w:t>
      </w:r>
      <w:r>
        <w:rPr>
          <w:color w:val="231F20"/>
          <w:spacing w:val="-7"/>
          <w:sz w:val="20"/>
        </w:rPr>
        <w:t xml:space="preserve"> </w:t>
      </w:r>
      <w:r>
        <w:rPr>
          <w:color w:val="231F20"/>
          <w:sz w:val="20"/>
        </w:rPr>
        <w:t>stalked</w:t>
      </w:r>
      <w:r>
        <w:rPr>
          <w:color w:val="231F20"/>
          <w:spacing w:val="-8"/>
          <w:sz w:val="20"/>
        </w:rPr>
        <w:t xml:space="preserve"> </w:t>
      </w:r>
      <w:r>
        <w:rPr>
          <w:color w:val="231F20"/>
          <w:spacing w:val="-3"/>
          <w:sz w:val="20"/>
        </w:rPr>
        <w:t>by</w:t>
      </w:r>
      <w:r>
        <w:rPr>
          <w:color w:val="231F20"/>
          <w:spacing w:val="-7"/>
          <w:sz w:val="20"/>
        </w:rPr>
        <w:t xml:space="preserve"> </w:t>
      </w:r>
      <w:r>
        <w:rPr>
          <w:color w:val="231F20"/>
          <w:sz w:val="20"/>
        </w:rPr>
        <w:t>a</w:t>
      </w:r>
      <w:r>
        <w:rPr>
          <w:color w:val="231F20"/>
          <w:spacing w:val="-7"/>
          <w:sz w:val="20"/>
        </w:rPr>
        <w:t xml:space="preserve"> </w:t>
      </w:r>
      <w:r>
        <w:rPr>
          <w:color w:val="231F20"/>
          <w:spacing w:val="-3"/>
          <w:sz w:val="20"/>
        </w:rPr>
        <w:t>male,</w:t>
      </w:r>
      <w:r>
        <w:rPr>
          <w:color w:val="231F20"/>
          <w:spacing w:val="-7"/>
          <w:sz w:val="20"/>
        </w:rPr>
        <w:t xml:space="preserve"> </w:t>
      </w:r>
      <w:r>
        <w:rPr>
          <w:color w:val="231F20"/>
          <w:sz w:val="20"/>
        </w:rPr>
        <w:t>just</w:t>
      </w:r>
      <w:r>
        <w:rPr>
          <w:color w:val="231F20"/>
          <w:spacing w:val="-8"/>
          <w:sz w:val="20"/>
        </w:rPr>
        <w:t xml:space="preserve"> </w:t>
      </w:r>
      <w:r>
        <w:rPr>
          <w:color w:val="231F20"/>
          <w:sz w:val="20"/>
        </w:rPr>
        <w:t>under</w:t>
      </w:r>
      <w:r>
        <w:rPr>
          <w:color w:val="231F20"/>
          <w:spacing w:val="-7"/>
          <w:sz w:val="20"/>
        </w:rPr>
        <w:t xml:space="preserve"> </w:t>
      </w:r>
      <w:r>
        <w:rPr>
          <w:color w:val="231F20"/>
          <w:sz w:val="20"/>
        </w:rPr>
        <w:t>half</w:t>
      </w:r>
      <w:r>
        <w:rPr>
          <w:color w:val="231F20"/>
          <w:spacing w:val="-7"/>
          <w:sz w:val="20"/>
        </w:rPr>
        <w:t xml:space="preserve"> </w:t>
      </w:r>
      <w:r>
        <w:rPr>
          <w:color w:val="231F20"/>
          <w:sz w:val="20"/>
        </w:rPr>
        <w:t>(45</w:t>
      </w:r>
      <w:r>
        <w:rPr>
          <w:color w:val="231F20"/>
          <w:spacing w:val="-7"/>
          <w:sz w:val="20"/>
        </w:rPr>
        <w:t xml:space="preserve"> </w:t>
      </w:r>
      <w:r>
        <w:rPr>
          <w:color w:val="231F20"/>
          <w:sz w:val="20"/>
        </w:rPr>
        <w:t>per</w:t>
      </w:r>
      <w:r>
        <w:rPr>
          <w:color w:val="231F20"/>
          <w:spacing w:val="-7"/>
          <w:sz w:val="20"/>
        </w:rPr>
        <w:t xml:space="preserve"> </w:t>
      </w:r>
      <w:r>
        <w:rPr>
          <w:color w:val="231F20"/>
          <w:sz w:val="20"/>
        </w:rPr>
        <w:t>cent)</w:t>
      </w:r>
      <w:r>
        <w:rPr>
          <w:color w:val="231F20"/>
          <w:spacing w:val="-8"/>
          <w:sz w:val="20"/>
        </w:rPr>
        <w:t xml:space="preserve"> </w:t>
      </w:r>
      <w:r>
        <w:rPr>
          <w:color w:val="231F20"/>
          <w:spacing w:val="-4"/>
          <w:sz w:val="20"/>
        </w:rPr>
        <w:t>were</w:t>
      </w:r>
      <w:r>
        <w:rPr>
          <w:color w:val="231F20"/>
          <w:spacing w:val="-7"/>
          <w:sz w:val="20"/>
        </w:rPr>
        <w:t xml:space="preserve"> </w:t>
      </w:r>
      <w:r>
        <w:rPr>
          <w:color w:val="231F20"/>
          <w:sz w:val="20"/>
        </w:rPr>
        <w:t xml:space="preserve">stalked </w:t>
      </w:r>
      <w:r>
        <w:rPr>
          <w:color w:val="231F20"/>
          <w:spacing w:val="-3"/>
          <w:sz w:val="20"/>
        </w:rPr>
        <w:t>by</w:t>
      </w:r>
      <w:r>
        <w:rPr>
          <w:color w:val="231F20"/>
          <w:spacing w:val="-7"/>
          <w:sz w:val="20"/>
        </w:rPr>
        <w:t xml:space="preserve"> </w:t>
      </w:r>
      <w:r>
        <w:rPr>
          <w:color w:val="231F20"/>
          <w:sz w:val="20"/>
        </w:rPr>
        <w:t>an</w:t>
      </w:r>
      <w:r>
        <w:rPr>
          <w:color w:val="231F20"/>
          <w:spacing w:val="-7"/>
          <w:sz w:val="20"/>
        </w:rPr>
        <w:t xml:space="preserve"> </w:t>
      </w:r>
      <w:r>
        <w:rPr>
          <w:color w:val="231F20"/>
          <w:spacing w:val="-3"/>
          <w:sz w:val="20"/>
        </w:rPr>
        <w:t>intimate</w:t>
      </w:r>
      <w:r>
        <w:rPr>
          <w:color w:val="231F20"/>
          <w:spacing w:val="-6"/>
          <w:sz w:val="20"/>
        </w:rPr>
        <w:t xml:space="preserve"> </w:t>
      </w:r>
      <w:r>
        <w:rPr>
          <w:color w:val="231F20"/>
          <w:sz w:val="20"/>
        </w:rPr>
        <w:t>partner</w:t>
      </w:r>
      <w:r>
        <w:rPr>
          <w:color w:val="231F20"/>
          <w:spacing w:val="-7"/>
          <w:sz w:val="20"/>
        </w:rPr>
        <w:t xml:space="preserve"> </w:t>
      </w:r>
      <w:r>
        <w:rPr>
          <w:color w:val="231F20"/>
          <w:sz w:val="20"/>
        </w:rPr>
        <w:t>or</w:t>
      </w:r>
      <w:r>
        <w:rPr>
          <w:color w:val="231F20"/>
          <w:spacing w:val="-7"/>
          <w:sz w:val="20"/>
        </w:rPr>
        <w:t xml:space="preserve"> </w:t>
      </w:r>
      <w:r>
        <w:rPr>
          <w:color w:val="231F20"/>
          <w:sz w:val="20"/>
        </w:rPr>
        <w:t>former</w:t>
      </w:r>
      <w:r>
        <w:rPr>
          <w:color w:val="231F20"/>
          <w:spacing w:val="-6"/>
          <w:sz w:val="20"/>
        </w:rPr>
        <w:t xml:space="preserve"> </w:t>
      </w:r>
      <w:r>
        <w:rPr>
          <w:color w:val="231F20"/>
          <w:sz w:val="20"/>
        </w:rPr>
        <w:t>partner.</w:t>
      </w:r>
      <w:r>
        <w:rPr>
          <w:color w:val="231F20"/>
          <w:position w:val="7"/>
          <w:sz w:val="11"/>
        </w:rPr>
        <w:t>31</w:t>
      </w:r>
      <w:r>
        <w:rPr>
          <w:color w:val="231F20"/>
          <w:spacing w:val="17"/>
          <w:position w:val="7"/>
          <w:sz w:val="11"/>
        </w:rPr>
        <w:t xml:space="preserve"> </w:t>
      </w:r>
      <w:r>
        <w:rPr>
          <w:color w:val="231F20"/>
          <w:sz w:val="20"/>
        </w:rPr>
        <w:t>A</w:t>
      </w:r>
      <w:r>
        <w:rPr>
          <w:color w:val="231F20"/>
          <w:spacing w:val="-7"/>
          <w:sz w:val="20"/>
        </w:rPr>
        <w:t xml:space="preserve"> </w:t>
      </w:r>
      <w:r>
        <w:rPr>
          <w:color w:val="231F20"/>
          <w:sz w:val="20"/>
        </w:rPr>
        <w:t>quarter</w:t>
      </w:r>
      <w:r>
        <w:rPr>
          <w:color w:val="231F20"/>
          <w:spacing w:val="-6"/>
          <w:sz w:val="20"/>
        </w:rPr>
        <w:t xml:space="preserve"> </w:t>
      </w:r>
      <w:r>
        <w:rPr>
          <w:color w:val="231F20"/>
          <w:sz w:val="20"/>
        </w:rPr>
        <w:t>(25</w:t>
      </w:r>
      <w:r>
        <w:rPr>
          <w:color w:val="231F20"/>
          <w:spacing w:val="-7"/>
          <w:sz w:val="20"/>
        </w:rPr>
        <w:t xml:space="preserve"> </w:t>
      </w:r>
      <w:r>
        <w:rPr>
          <w:color w:val="231F20"/>
          <w:sz w:val="20"/>
        </w:rPr>
        <w:t>per</w:t>
      </w:r>
      <w:r>
        <w:rPr>
          <w:color w:val="231F20"/>
          <w:spacing w:val="-7"/>
          <w:sz w:val="20"/>
        </w:rPr>
        <w:t xml:space="preserve"> </w:t>
      </w:r>
      <w:r>
        <w:rPr>
          <w:color w:val="231F20"/>
          <w:sz w:val="20"/>
        </w:rPr>
        <w:t>cent)</w:t>
      </w:r>
      <w:r>
        <w:rPr>
          <w:color w:val="231F20"/>
          <w:spacing w:val="-6"/>
          <w:sz w:val="20"/>
        </w:rPr>
        <w:t xml:space="preserve"> </w:t>
      </w:r>
      <w:r>
        <w:rPr>
          <w:color w:val="231F20"/>
          <w:sz w:val="20"/>
        </w:rPr>
        <w:t>did</w:t>
      </w:r>
      <w:r>
        <w:rPr>
          <w:color w:val="231F20"/>
          <w:spacing w:val="-7"/>
          <w:sz w:val="20"/>
        </w:rPr>
        <w:t xml:space="preserve"> </w:t>
      </w:r>
      <w:r>
        <w:rPr>
          <w:color w:val="231F20"/>
          <w:sz w:val="20"/>
        </w:rPr>
        <w:t>not</w:t>
      </w:r>
      <w:r>
        <w:rPr>
          <w:color w:val="231F20"/>
          <w:spacing w:val="-7"/>
          <w:sz w:val="20"/>
        </w:rPr>
        <w:t xml:space="preserve"> </w:t>
      </w:r>
      <w:r>
        <w:rPr>
          <w:color w:val="231F20"/>
          <w:spacing w:val="-3"/>
          <w:sz w:val="20"/>
        </w:rPr>
        <w:t>know</w:t>
      </w:r>
      <w:r>
        <w:rPr>
          <w:color w:val="231F20"/>
          <w:spacing w:val="-6"/>
          <w:sz w:val="20"/>
        </w:rPr>
        <w:t xml:space="preserve"> </w:t>
      </w:r>
      <w:r>
        <w:rPr>
          <w:color w:val="231F20"/>
          <w:sz w:val="20"/>
        </w:rPr>
        <w:t>or</w:t>
      </w:r>
      <w:r>
        <w:rPr>
          <w:color w:val="231F20"/>
          <w:spacing w:val="-7"/>
          <w:sz w:val="20"/>
        </w:rPr>
        <w:t xml:space="preserve"> </w:t>
      </w:r>
      <w:r>
        <w:rPr>
          <w:color w:val="231F20"/>
          <w:spacing w:val="-4"/>
          <w:sz w:val="20"/>
        </w:rPr>
        <w:t xml:space="preserve">have </w:t>
      </w:r>
      <w:r>
        <w:rPr>
          <w:color w:val="231F20"/>
          <w:sz w:val="20"/>
        </w:rPr>
        <w:t>a past relationship with the</w:t>
      </w:r>
      <w:r>
        <w:rPr>
          <w:color w:val="231F20"/>
          <w:spacing w:val="-22"/>
          <w:sz w:val="20"/>
        </w:rPr>
        <w:t xml:space="preserve"> </w:t>
      </w:r>
      <w:r>
        <w:rPr>
          <w:color w:val="231F20"/>
          <w:sz w:val="20"/>
        </w:rPr>
        <w:t>person.</w:t>
      </w:r>
      <w:r>
        <w:rPr>
          <w:color w:val="231F20"/>
          <w:position w:val="7"/>
          <w:sz w:val="11"/>
        </w:rPr>
        <w:t>32</w:t>
      </w:r>
    </w:p>
    <w:p w14:paraId="58650141" w14:textId="77777777" w:rsidR="00894070" w:rsidRDefault="009B7AFD">
      <w:pPr>
        <w:pStyle w:val="ListParagraph"/>
        <w:numPr>
          <w:ilvl w:val="1"/>
          <w:numId w:val="177"/>
        </w:numPr>
        <w:tabs>
          <w:tab w:val="left" w:pos="1801"/>
          <w:tab w:val="left" w:pos="1802"/>
        </w:tabs>
        <w:spacing w:before="91" w:line="259" w:lineRule="exact"/>
        <w:rPr>
          <w:sz w:val="20"/>
        </w:rPr>
      </w:pPr>
      <w:r>
        <w:rPr>
          <w:color w:val="231F20"/>
          <w:sz w:val="20"/>
        </w:rPr>
        <w:t>Men</w:t>
      </w:r>
      <w:r>
        <w:rPr>
          <w:color w:val="231F20"/>
          <w:spacing w:val="-5"/>
          <w:sz w:val="20"/>
        </w:rPr>
        <w:t xml:space="preserve"> </w:t>
      </w:r>
      <w:r>
        <w:rPr>
          <w:color w:val="231F20"/>
          <w:spacing w:val="-4"/>
          <w:sz w:val="20"/>
        </w:rPr>
        <w:t>were</w:t>
      </w:r>
      <w:r>
        <w:rPr>
          <w:color w:val="231F20"/>
          <w:spacing w:val="-5"/>
          <w:sz w:val="20"/>
        </w:rPr>
        <w:t xml:space="preserve"> </w:t>
      </w:r>
      <w:r>
        <w:rPr>
          <w:color w:val="231F20"/>
          <w:sz w:val="20"/>
        </w:rPr>
        <w:t>much</w:t>
      </w:r>
      <w:r>
        <w:rPr>
          <w:color w:val="231F20"/>
          <w:spacing w:val="-5"/>
          <w:sz w:val="20"/>
        </w:rPr>
        <w:t xml:space="preserve"> </w:t>
      </w:r>
      <w:r>
        <w:rPr>
          <w:color w:val="231F20"/>
          <w:sz w:val="20"/>
        </w:rPr>
        <w:t>more</w:t>
      </w:r>
      <w:r>
        <w:rPr>
          <w:color w:val="231F20"/>
          <w:spacing w:val="-5"/>
          <w:sz w:val="20"/>
        </w:rPr>
        <w:t xml:space="preserve"> </w:t>
      </w:r>
      <w:r>
        <w:rPr>
          <w:color w:val="231F20"/>
          <w:spacing w:val="-3"/>
          <w:sz w:val="20"/>
        </w:rPr>
        <w:t>likely</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know</w:t>
      </w:r>
      <w:r>
        <w:rPr>
          <w:color w:val="231F20"/>
          <w:spacing w:val="-5"/>
          <w:sz w:val="20"/>
        </w:rPr>
        <w:t xml:space="preserve"> </w:t>
      </w:r>
      <w:r>
        <w:rPr>
          <w:color w:val="231F20"/>
          <w:sz w:val="20"/>
        </w:rPr>
        <w:t>the</w:t>
      </w:r>
      <w:r>
        <w:rPr>
          <w:color w:val="231F20"/>
          <w:spacing w:val="-5"/>
          <w:sz w:val="20"/>
        </w:rPr>
        <w:t xml:space="preserve"> </w:t>
      </w:r>
      <w:r>
        <w:rPr>
          <w:color w:val="231F20"/>
          <w:sz w:val="20"/>
        </w:rPr>
        <w:t>person</w:t>
      </w:r>
      <w:r>
        <w:rPr>
          <w:color w:val="231F20"/>
          <w:spacing w:val="-5"/>
          <w:sz w:val="20"/>
        </w:rPr>
        <w:t xml:space="preserve"> </w:t>
      </w:r>
      <w:r>
        <w:rPr>
          <w:color w:val="231F20"/>
          <w:sz w:val="20"/>
        </w:rPr>
        <w:t>stalking</w:t>
      </w:r>
      <w:r>
        <w:rPr>
          <w:color w:val="231F20"/>
          <w:spacing w:val="-5"/>
          <w:sz w:val="20"/>
        </w:rPr>
        <w:t xml:space="preserve"> </w:t>
      </w:r>
      <w:r>
        <w:rPr>
          <w:color w:val="231F20"/>
          <w:sz w:val="20"/>
        </w:rPr>
        <w:t>them</w:t>
      </w:r>
      <w:r>
        <w:rPr>
          <w:color w:val="231F20"/>
          <w:spacing w:val="-5"/>
          <w:sz w:val="20"/>
        </w:rPr>
        <w:t xml:space="preserve"> </w:t>
      </w:r>
      <w:r>
        <w:rPr>
          <w:color w:val="231F20"/>
          <w:sz w:val="20"/>
        </w:rPr>
        <w:t>(95</w:t>
      </w:r>
      <w:r>
        <w:rPr>
          <w:color w:val="231F20"/>
          <w:spacing w:val="-5"/>
          <w:sz w:val="20"/>
        </w:rPr>
        <w:t xml:space="preserve"> </w:t>
      </w:r>
      <w:r>
        <w:rPr>
          <w:color w:val="231F20"/>
          <w:sz w:val="20"/>
        </w:rPr>
        <w:t>per</w:t>
      </w:r>
      <w:r>
        <w:rPr>
          <w:color w:val="231F20"/>
          <w:spacing w:val="-5"/>
          <w:sz w:val="20"/>
        </w:rPr>
        <w:t xml:space="preserve"> </w:t>
      </w:r>
      <w:r>
        <w:rPr>
          <w:color w:val="231F20"/>
          <w:sz w:val="20"/>
        </w:rPr>
        <w:t>cent)</w:t>
      </w:r>
      <w:r>
        <w:rPr>
          <w:color w:val="231F20"/>
          <w:spacing w:val="-5"/>
          <w:sz w:val="20"/>
        </w:rPr>
        <w:t xml:space="preserve"> </w:t>
      </w:r>
      <w:r>
        <w:rPr>
          <w:color w:val="231F20"/>
          <w:sz w:val="20"/>
        </w:rPr>
        <w:t>if</w:t>
      </w:r>
      <w:r>
        <w:rPr>
          <w:color w:val="231F20"/>
          <w:spacing w:val="-5"/>
          <w:sz w:val="20"/>
        </w:rPr>
        <w:t xml:space="preserve"> </w:t>
      </w:r>
      <w:r>
        <w:rPr>
          <w:color w:val="231F20"/>
          <w:sz w:val="20"/>
        </w:rPr>
        <w:t>that</w:t>
      </w:r>
    </w:p>
    <w:p w14:paraId="35EDFE92" w14:textId="77777777" w:rsidR="00894070" w:rsidRDefault="009B7AFD">
      <w:pPr>
        <w:pStyle w:val="BodyText"/>
        <w:spacing w:line="259" w:lineRule="exact"/>
        <w:ind w:left="1801"/>
        <w:rPr>
          <w:sz w:val="11"/>
        </w:rPr>
      </w:pPr>
      <w:r>
        <w:rPr>
          <w:color w:val="231F20"/>
        </w:rPr>
        <w:t>person was a female.</w:t>
      </w:r>
      <w:r>
        <w:rPr>
          <w:color w:val="231F20"/>
          <w:position w:val="7"/>
          <w:sz w:val="11"/>
        </w:rPr>
        <w:t>33</w:t>
      </w:r>
    </w:p>
    <w:p w14:paraId="064BE65B" w14:textId="77777777" w:rsidR="00894070" w:rsidRDefault="00894070">
      <w:pPr>
        <w:pStyle w:val="BodyText"/>
        <w:spacing w:before="1"/>
        <w:rPr>
          <w:sz w:val="15"/>
        </w:rPr>
      </w:pPr>
    </w:p>
    <w:p w14:paraId="28D0F731" w14:textId="77777777" w:rsidR="00894070" w:rsidRDefault="009B7AFD">
      <w:pPr>
        <w:pStyle w:val="Heading8"/>
        <w:spacing w:before="1"/>
        <w:ind w:left="1007"/>
      </w:pPr>
      <w:r>
        <w:rPr>
          <w:color w:val="231F20"/>
        </w:rPr>
        <w:t>Most people who are stalked do not contact the police about it</w:t>
      </w:r>
    </w:p>
    <w:p w14:paraId="73A7ED3D" w14:textId="77777777" w:rsidR="00894070" w:rsidRDefault="009B7AFD">
      <w:pPr>
        <w:pStyle w:val="ListParagraph"/>
        <w:numPr>
          <w:ilvl w:val="1"/>
          <w:numId w:val="177"/>
        </w:numPr>
        <w:tabs>
          <w:tab w:val="left" w:pos="1801"/>
          <w:tab w:val="left" w:pos="1802"/>
        </w:tabs>
        <w:spacing w:before="127" w:line="206" w:lineRule="auto"/>
        <w:ind w:right="1592"/>
        <w:rPr>
          <w:sz w:val="11"/>
        </w:rPr>
      </w:pPr>
      <w:r>
        <w:rPr>
          <w:color w:val="231F20"/>
          <w:sz w:val="20"/>
        </w:rPr>
        <w:t>The</w:t>
      </w:r>
      <w:r>
        <w:rPr>
          <w:color w:val="231F20"/>
          <w:spacing w:val="-13"/>
          <w:sz w:val="20"/>
        </w:rPr>
        <w:t xml:space="preserve"> </w:t>
      </w:r>
      <w:r>
        <w:rPr>
          <w:color w:val="231F20"/>
          <w:sz w:val="20"/>
        </w:rPr>
        <w:t>Personal</w:t>
      </w:r>
      <w:r>
        <w:rPr>
          <w:color w:val="231F20"/>
          <w:spacing w:val="-12"/>
          <w:sz w:val="20"/>
        </w:rPr>
        <w:t xml:space="preserve"> </w:t>
      </w:r>
      <w:r>
        <w:rPr>
          <w:color w:val="231F20"/>
          <w:sz w:val="20"/>
        </w:rPr>
        <w:t>Safety</w:t>
      </w:r>
      <w:r>
        <w:rPr>
          <w:color w:val="231F20"/>
          <w:spacing w:val="-12"/>
          <w:sz w:val="20"/>
        </w:rPr>
        <w:t xml:space="preserve"> </w:t>
      </w:r>
      <w:r>
        <w:rPr>
          <w:color w:val="231F20"/>
          <w:sz w:val="20"/>
        </w:rPr>
        <w:t>Survey</w:t>
      </w:r>
      <w:r>
        <w:rPr>
          <w:color w:val="231F20"/>
          <w:spacing w:val="-12"/>
          <w:sz w:val="20"/>
        </w:rPr>
        <w:t xml:space="preserve"> </w:t>
      </w:r>
      <w:r>
        <w:rPr>
          <w:color w:val="231F20"/>
          <w:sz w:val="20"/>
        </w:rPr>
        <w:t>found</w:t>
      </w:r>
      <w:r>
        <w:rPr>
          <w:color w:val="231F20"/>
          <w:spacing w:val="-12"/>
          <w:sz w:val="20"/>
        </w:rPr>
        <w:t xml:space="preserve"> </w:t>
      </w:r>
      <w:r>
        <w:rPr>
          <w:color w:val="231F20"/>
          <w:sz w:val="20"/>
        </w:rPr>
        <w:t>that</w:t>
      </w:r>
      <w:r>
        <w:rPr>
          <w:color w:val="231F20"/>
          <w:spacing w:val="-13"/>
          <w:sz w:val="20"/>
        </w:rPr>
        <w:t xml:space="preserve"> </w:t>
      </w:r>
      <w:r>
        <w:rPr>
          <w:color w:val="231F20"/>
          <w:sz w:val="20"/>
        </w:rPr>
        <w:t>half</w:t>
      </w:r>
      <w:r>
        <w:rPr>
          <w:color w:val="231F20"/>
          <w:spacing w:val="-12"/>
          <w:sz w:val="20"/>
        </w:rPr>
        <w:t xml:space="preserve"> </w:t>
      </w:r>
      <w:r>
        <w:rPr>
          <w:color w:val="231F20"/>
          <w:sz w:val="20"/>
        </w:rPr>
        <w:t>of</w:t>
      </w:r>
      <w:r>
        <w:rPr>
          <w:color w:val="231F20"/>
          <w:spacing w:val="-12"/>
          <w:sz w:val="20"/>
        </w:rPr>
        <w:t xml:space="preserve"> </w:t>
      </w:r>
      <w:r>
        <w:rPr>
          <w:color w:val="231F20"/>
          <w:sz w:val="20"/>
        </w:rPr>
        <w:t>all</w:t>
      </w:r>
      <w:r>
        <w:rPr>
          <w:color w:val="231F20"/>
          <w:spacing w:val="-12"/>
          <w:sz w:val="20"/>
        </w:rPr>
        <w:t xml:space="preserve"> </w:t>
      </w:r>
      <w:r>
        <w:rPr>
          <w:color w:val="231F20"/>
          <w:sz w:val="20"/>
        </w:rPr>
        <w:t>women</w:t>
      </w:r>
      <w:r>
        <w:rPr>
          <w:color w:val="231F20"/>
          <w:spacing w:val="-12"/>
          <w:sz w:val="20"/>
        </w:rPr>
        <w:t xml:space="preserve"> </w:t>
      </w:r>
      <w:r>
        <w:rPr>
          <w:color w:val="231F20"/>
          <w:sz w:val="20"/>
        </w:rPr>
        <w:t>who</w:t>
      </w:r>
      <w:r>
        <w:rPr>
          <w:color w:val="231F20"/>
          <w:spacing w:val="-12"/>
          <w:sz w:val="20"/>
        </w:rPr>
        <w:t xml:space="preserve"> </w:t>
      </w:r>
      <w:r>
        <w:rPr>
          <w:color w:val="231F20"/>
          <w:sz w:val="20"/>
        </w:rPr>
        <w:t>experienced</w:t>
      </w:r>
      <w:r>
        <w:rPr>
          <w:color w:val="231F20"/>
          <w:spacing w:val="-13"/>
          <w:sz w:val="20"/>
        </w:rPr>
        <w:t xml:space="preserve"> </w:t>
      </w:r>
      <w:r>
        <w:rPr>
          <w:color w:val="231F20"/>
          <w:sz w:val="20"/>
        </w:rPr>
        <w:t xml:space="preserve">stalking thought that the </w:t>
      </w:r>
      <w:proofErr w:type="spellStart"/>
      <w:r>
        <w:rPr>
          <w:color w:val="231F20"/>
          <w:sz w:val="20"/>
        </w:rPr>
        <w:t>behaviour</w:t>
      </w:r>
      <w:proofErr w:type="spellEnd"/>
      <w:r>
        <w:rPr>
          <w:color w:val="231F20"/>
          <w:sz w:val="20"/>
        </w:rPr>
        <w:t xml:space="preserve"> was wrong, but not a crime.</w:t>
      </w:r>
      <w:r>
        <w:rPr>
          <w:color w:val="231F20"/>
          <w:position w:val="7"/>
          <w:sz w:val="11"/>
        </w:rPr>
        <w:t xml:space="preserve">34 </w:t>
      </w:r>
      <w:r>
        <w:rPr>
          <w:color w:val="231F20"/>
          <w:sz w:val="20"/>
        </w:rPr>
        <w:t>Most did not contact the police about</w:t>
      </w:r>
      <w:r>
        <w:rPr>
          <w:color w:val="231F20"/>
          <w:spacing w:val="-9"/>
          <w:sz w:val="20"/>
        </w:rPr>
        <w:t xml:space="preserve"> </w:t>
      </w:r>
      <w:r>
        <w:rPr>
          <w:color w:val="231F20"/>
          <w:sz w:val="20"/>
        </w:rPr>
        <w:t>it.</w:t>
      </w:r>
      <w:r>
        <w:rPr>
          <w:color w:val="231F20"/>
          <w:position w:val="7"/>
          <w:sz w:val="11"/>
        </w:rPr>
        <w:t>35</w:t>
      </w:r>
    </w:p>
    <w:p w14:paraId="0C452038" w14:textId="77777777" w:rsidR="00894070" w:rsidRDefault="009B7AFD">
      <w:pPr>
        <w:pStyle w:val="ListParagraph"/>
        <w:numPr>
          <w:ilvl w:val="1"/>
          <w:numId w:val="177"/>
        </w:numPr>
        <w:tabs>
          <w:tab w:val="left" w:pos="1801"/>
          <w:tab w:val="left" w:pos="1802"/>
        </w:tabs>
        <w:spacing w:before="123" w:line="206" w:lineRule="auto"/>
        <w:ind w:right="1539"/>
        <w:rPr>
          <w:sz w:val="11"/>
        </w:rPr>
      </w:pPr>
      <w:r>
        <w:rPr>
          <w:color w:val="231F20"/>
          <w:sz w:val="20"/>
        </w:rPr>
        <w:t xml:space="preserve">Men </w:t>
      </w:r>
      <w:r>
        <w:rPr>
          <w:color w:val="231F20"/>
          <w:spacing w:val="-4"/>
          <w:sz w:val="20"/>
        </w:rPr>
        <w:t xml:space="preserve">were </w:t>
      </w:r>
      <w:r>
        <w:rPr>
          <w:color w:val="231F20"/>
          <w:sz w:val="20"/>
        </w:rPr>
        <w:t xml:space="preserve">more </w:t>
      </w:r>
      <w:r>
        <w:rPr>
          <w:color w:val="231F20"/>
          <w:spacing w:val="-3"/>
          <w:sz w:val="20"/>
        </w:rPr>
        <w:t xml:space="preserve">likely </w:t>
      </w:r>
      <w:r>
        <w:rPr>
          <w:color w:val="231F20"/>
          <w:sz w:val="20"/>
        </w:rPr>
        <w:t>to think being stalked was a crime (49 per cent) if they experienced</w:t>
      </w:r>
      <w:r>
        <w:rPr>
          <w:color w:val="231F20"/>
          <w:spacing w:val="-11"/>
          <w:sz w:val="20"/>
        </w:rPr>
        <w:t xml:space="preserve"> </w:t>
      </w:r>
      <w:r>
        <w:rPr>
          <w:color w:val="231F20"/>
          <w:sz w:val="20"/>
        </w:rPr>
        <w:t>stalking</w:t>
      </w:r>
      <w:r>
        <w:rPr>
          <w:color w:val="231F20"/>
          <w:spacing w:val="-11"/>
          <w:sz w:val="20"/>
        </w:rPr>
        <w:t xml:space="preserve"> </w:t>
      </w:r>
      <w:r>
        <w:rPr>
          <w:color w:val="231F20"/>
          <w:spacing w:val="-3"/>
          <w:sz w:val="20"/>
        </w:rPr>
        <w:t>by</w:t>
      </w:r>
      <w:r>
        <w:rPr>
          <w:color w:val="231F20"/>
          <w:spacing w:val="-10"/>
          <w:sz w:val="20"/>
        </w:rPr>
        <w:t xml:space="preserve"> </w:t>
      </w:r>
      <w:r>
        <w:rPr>
          <w:color w:val="231F20"/>
          <w:sz w:val="20"/>
        </w:rPr>
        <w:t>a</w:t>
      </w:r>
      <w:r>
        <w:rPr>
          <w:color w:val="231F20"/>
          <w:spacing w:val="-11"/>
          <w:sz w:val="20"/>
        </w:rPr>
        <w:t xml:space="preserve"> </w:t>
      </w:r>
      <w:r>
        <w:rPr>
          <w:color w:val="231F20"/>
          <w:sz w:val="20"/>
        </w:rPr>
        <w:t>male.</w:t>
      </w:r>
      <w:r>
        <w:rPr>
          <w:color w:val="231F20"/>
          <w:position w:val="7"/>
          <w:sz w:val="11"/>
        </w:rPr>
        <w:t>36</w:t>
      </w:r>
      <w:r>
        <w:rPr>
          <w:color w:val="231F20"/>
          <w:spacing w:val="13"/>
          <w:position w:val="7"/>
          <w:sz w:val="11"/>
        </w:rPr>
        <w:t xml:space="preserve"> </w:t>
      </w:r>
      <w:r>
        <w:rPr>
          <w:color w:val="231F20"/>
          <w:sz w:val="20"/>
        </w:rPr>
        <w:t>Most</w:t>
      </w:r>
      <w:r>
        <w:rPr>
          <w:color w:val="231F20"/>
          <w:spacing w:val="-10"/>
          <w:sz w:val="20"/>
        </w:rPr>
        <w:t xml:space="preserve"> </w:t>
      </w:r>
      <w:r>
        <w:rPr>
          <w:color w:val="231F20"/>
          <w:sz w:val="20"/>
        </w:rPr>
        <w:t>did</w:t>
      </w:r>
      <w:r>
        <w:rPr>
          <w:color w:val="231F20"/>
          <w:spacing w:val="-11"/>
          <w:sz w:val="20"/>
        </w:rPr>
        <w:t xml:space="preserve"> </w:t>
      </w:r>
      <w:r>
        <w:rPr>
          <w:color w:val="231F20"/>
          <w:sz w:val="20"/>
        </w:rPr>
        <w:t>not</w:t>
      </w:r>
      <w:r>
        <w:rPr>
          <w:color w:val="231F20"/>
          <w:spacing w:val="-11"/>
          <w:sz w:val="20"/>
        </w:rPr>
        <w:t xml:space="preserve"> </w:t>
      </w:r>
      <w:r>
        <w:rPr>
          <w:color w:val="231F20"/>
          <w:sz w:val="20"/>
        </w:rPr>
        <w:t>contact</w:t>
      </w:r>
      <w:r>
        <w:rPr>
          <w:color w:val="231F20"/>
          <w:spacing w:val="-10"/>
          <w:sz w:val="20"/>
        </w:rPr>
        <w:t xml:space="preserve"> </w:t>
      </w:r>
      <w:r>
        <w:rPr>
          <w:color w:val="231F20"/>
          <w:sz w:val="20"/>
        </w:rPr>
        <w:t>the</w:t>
      </w:r>
      <w:r>
        <w:rPr>
          <w:color w:val="231F20"/>
          <w:spacing w:val="-11"/>
          <w:sz w:val="20"/>
        </w:rPr>
        <w:t xml:space="preserve"> </w:t>
      </w:r>
      <w:r>
        <w:rPr>
          <w:color w:val="231F20"/>
          <w:sz w:val="20"/>
        </w:rPr>
        <w:t>police,</w:t>
      </w:r>
      <w:r>
        <w:rPr>
          <w:color w:val="231F20"/>
          <w:spacing w:val="-11"/>
          <w:sz w:val="20"/>
        </w:rPr>
        <w:t xml:space="preserve"> </w:t>
      </w:r>
      <w:r>
        <w:rPr>
          <w:color w:val="231F20"/>
          <w:sz w:val="20"/>
        </w:rPr>
        <w:t>although</w:t>
      </w:r>
      <w:r>
        <w:rPr>
          <w:color w:val="231F20"/>
          <w:spacing w:val="-10"/>
          <w:sz w:val="20"/>
        </w:rPr>
        <w:t xml:space="preserve"> </w:t>
      </w:r>
      <w:r>
        <w:rPr>
          <w:color w:val="231F20"/>
          <w:sz w:val="20"/>
        </w:rPr>
        <w:t>close</w:t>
      </w:r>
      <w:r>
        <w:rPr>
          <w:color w:val="231F20"/>
          <w:spacing w:val="-11"/>
          <w:sz w:val="20"/>
        </w:rPr>
        <w:t xml:space="preserve"> </w:t>
      </w:r>
      <w:r>
        <w:rPr>
          <w:color w:val="231F20"/>
          <w:sz w:val="20"/>
        </w:rPr>
        <w:t>to half</w:t>
      </w:r>
      <w:r>
        <w:rPr>
          <w:color w:val="231F20"/>
          <w:spacing w:val="-8"/>
          <w:sz w:val="20"/>
        </w:rPr>
        <w:t xml:space="preserve"> </w:t>
      </w:r>
      <w:r>
        <w:rPr>
          <w:color w:val="231F20"/>
          <w:spacing w:val="-3"/>
          <w:sz w:val="20"/>
        </w:rPr>
        <w:t>(47</w:t>
      </w:r>
      <w:r>
        <w:rPr>
          <w:color w:val="231F20"/>
          <w:spacing w:val="-7"/>
          <w:sz w:val="20"/>
        </w:rPr>
        <w:t xml:space="preserve"> </w:t>
      </w:r>
      <w:r>
        <w:rPr>
          <w:color w:val="231F20"/>
          <w:sz w:val="20"/>
        </w:rPr>
        <w:t>per</w:t>
      </w:r>
      <w:r>
        <w:rPr>
          <w:color w:val="231F20"/>
          <w:spacing w:val="-8"/>
          <w:sz w:val="20"/>
        </w:rPr>
        <w:t xml:space="preserve"> </w:t>
      </w:r>
      <w:r>
        <w:rPr>
          <w:color w:val="231F20"/>
          <w:sz w:val="20"/>
        </w:rPr>
        <w:t>cent)</w:t>
      </w:r>
      <w:r>
        <w:rPr>
          <w:color w:val="231F20"/>
          <w:spacing w:val="-7"/>
          <w:sz w:val="20"/>
        </w:rPr>
        <w:t xml:space="preserve"> </w:t>
      </w:r>
      <w:r>
        <w:rPr>
          <w:color w:val="231F20"/>
          <w:sz w:val="20"/>
        </w:rPr>
        <w:t>of</w:t>
      </w:r>
      <w:r>
        <w:rPr>
          <w:color w:val="231F20"/>
          <w:spacing w:val="-8"/>
          <w:sz w:val="20"/>
        </w:rPr>
        <w:t xml:space="preserve"> </w:t>
      </w:r>
      <w:r>
        <w:rPr>
          <w:color w:val="231F20"/>
          <w:sz w:val="20"/>
        </w:rPr>
        <w:t>men</w:t>
      </w:r>
      <w:r>
        <w:rPr>
          <w:color w:val="231F20"/>
          <w:spacing w:val="-7"/>
          <w:sz w:val="20"/>
        </w:rPr>
        <w:t xml:space="preserve"> </w:t>
      </w:r>
      <w:r>
        <w:rPr>
          <w:color w:val="231F20"/>
          <w:sz w:val="20"/>
        </w:rPr>
        <w:t>stalked</w:t>
      </w:r>
      <w:r>
        <w:rPr>
          <w:color w:val="231F20"/>
          <w:spacing w:val="-7"/>
          <w:sz w:val="20"/>
        </w:rPr>
        <w:t xml:space="preserve"> </w:t>
      </w:r>
      <w:r>
        <w:rPr>
          <w:color w:val="231F20"/>
          <w:spacing w:val="-3"/>
          <w:sz w:val="20"/>
        </w:rPr>
        <w:t>by</w:t>
      </w:r>
      <w:r>
        <w:rPr>
          <w:color w:val="231F20"/>
          <w:spacing w:val="-8"/>
          <w:sz w:val="20"/>
        </w:rPr>
        <w:t xml:space="preserve"> </w:t>
      </w:r>
      <w:r>
        <w:rPr>
          <w:color w:val="231F20"/>
          <w:sz w:val="20"/>
        </w:rPr>
        <w:t>another</w:t>
      </w:r>
      <w:r>
        <w:rPr>
          <w:color w:val="231F20"/>
          <w:spacing w:val="-7"/>
          <w:sz w:val="20"/>
        </w:rPr>
        <w:t xml:space="preserve"> </w:t>
      </w:r>
      <w:r>
        <w:rPr>
          <w:color w:val="231F20"/>
          <w:sz w:val="20"/>
        </w:rPr>
        <w:t>man</w:t>
      </w:r>
      <w:r>
        <w:rPr>
          <w:color w:val="231F20"/>
          <w:spacing w:val="-8"/>
          <w:sz w:val="20"/>
        </w:rPr>
        <w:t xml:space="preserve"> </w:t>
      </w:r>
      <w:r>
        <w:rPr>
          <w:color w:val="231F20"/>
          <w:sz w:val="20"/>
        </w:rPr>
        <w:t>contacted</w:t>
      </w:r>
      <w:r>
        <w:rPr>
          <w:color w:val="231F20"/>
          <w:spacing w:val="-7"/>
          <w:sz w:val="20"/>
        </w:rPr>
        <w:t xml:space="preserve"> </w:t>
      </w:r>
      <w:r>
        <w:rPr>
          <w:color w:val="231F20"/>
          <w:sz w:val="20"/>
        </w:rPr>
        <w:t>the</w:t>
      </w:r>
      <w:r>
        <w:rPr>
          <w:color w:val="231F20"/>
          <w:spacing w:val="-7"/>
          <w:sz w:val="20"/>
        </w:rPr>
        <w:t xml:space="preserve"> </w:t>
      </w:r>
      <w:r>
        <w:rPr>
          <w:color w:val="231F20"/>
          <w:sz w:val="20"/>
        </w:rPr>
        <w:t>police</w:t>
      </w:r>
      <w:r>
        <w:rPr>
          <w:color w:val="231F20"/>
          <w:spacing w:val="-8"/>
          <w:sz w:val="20"/>
        </w:rPr>
        <w:t xml:space="preserve"> </w:t>
      </w:r>
      <w:r>
        <w:rPr>
          <w:color w:val="231F20"/>
          <w:sz w:val="20"/>
        </w:rPr>
        <w:t>about</w:t>
      </w:r>
      <w:r>
        <w:rPr>
          <w:color w:val="231F20"/>
          <w:spacing w:val="-7"/>
          <w:sz w:val="20"/>
        </w:rPr>
        <w:t xml:space="preserve"> </w:t>
      </w:r>
      <w:r>
        <w:rPr>
          <w:color w:val="231F20"/>
          <w:sz w:val="20"/>
        </w:rPr>
        <w:t>it.</w:t>
      </w:r>
      <w:r>
        <w:rPr>
          <w:color w:val="231F20"/>
          <w:position w:val="7"/>
          <w:sz w:val="11"/>
        </w:rPr>
        <w:t>37</w:t>
      </w:r>
    </w:p>
    <w:p w14:paraId="52F1BCEA" w14:textId="77777777" w:rsidR="00894070" w:rsidRDefault="009B7AFD">
      <w:pPr>
        <w:pStyle w:val="ListParagraph"/>
        <w:numPr>
          <w:ilvl w:val="1"/>
          <w:numId w:val="177"/>
        </w:numPr>
        <w:tabs>
          <w:tab w:val="left" w:pos="1801"/>
          <w:tab w:val="left" w:pos="1802"/>
        </w:tabs>
        <w:spacing w:before="92"/>
        <w:rPr>
          <w:sz w:val="20"/>
        </w:rPr>
      </w:pPr>
      <w:r>
        <w:rPr>
          <w:color w:val="231F20"/>
          <w:sz w:val="20"/>
        </w:rPr>
        <w:t>Reasons</w:t>
      </w:r>
      <w:r>
        <w:rPr>
          <w:color w:val="231F20"/>
          <w:spacing w:val="-7"/>
          <w:sz w:val="20"/>
        </w:rPr>
        <w:t xml:space="preserve"> </w:t>
      </w:r>
      <w:r>
        <w:rPr>
          <w:color w:val="231F20"/>
          <w:sz w:val="20"/>
        </w:rPr>
        <w:t>women</w:t>
      </w:r>
      <w:r>
        <w:rPr>
          <w:color w:val="231F20"/>
          <w:spacing w:val="-6"/>
          <w:sz w:val="20"/>
        </w:rPr>
        <w:t xml:space="preserve"> </w:t>
      </w:r>
      <w:r>
        <w:rPr>
          <w:color w:val="231F20"/>
          <w:sz w:val="20"/>
        </w:rPr>
        <w:t>had</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not</w:t>
      </w:r>
      <w:r>
        <w:rPr>
          <w:color w:val="231F20"/>
          <w:spacing w:val="-6"/>
          <w:sz w:val="20"/>
        </w:rPr>
        <w:t xml:space="preserve"> </w:t>
      </w:r>
      <w:r>
        <w:rPr>
          <w:color w:val="231F20"/>
          <w:sz w:val="20"/>
        </w:rPr>
        <w:t>contacting</w:t>
      </w:r>
      <w:r>
        <w:rPr>
          <w:color w:val="231F20"/>
          <w:spacing w:val="-6"/>
          <w:sz w:val="20"/>
        </w:rPr>
        <w:t xml:space="preserve"> </w:t>
      </w:r>
      <w:r>
        <w:rPr>
          <w:color w:val="231F20"/>
          <w:sz w:val="20"/>
        </w:rPr>
        <w:t>the</w:t>
      </w:r>
      <w:r>
        <w:rPr>
          <w:color w:val="231F20"/>
          <w:spacing w:val="-6"/>
          <w:sz w:val="20"/>
        </w:rPr>
        <w:t xml:space="preserve"> </w:t>
      </w:r>
      <w:r>
        <w:rPr>
          <w:color w:val="231F20"/>
          <w:sz w:val="20"/>
        </w:rPr>
        <w:t>police</w:t>
      </w:r>
      <w:r>
        <w:rPr>
          <w:color w:val="231F20"/>
          <w:spacing w:val="-6"/>
          <w:sz w:val="20"/>
        </w:rPr>
        <w:t xml:space="preserve"> </w:t>
      </w:r>
      <w:r>
        <w:rPr>
          <w:color w:val="231F20"/>
          <w:sz w:val="20"/>
        </w:rPr>
        <w:t>about</w:t>
      </w:r>
      <w:r>
        <w:rPr>
          <w:color w:val="231F20"/>
          <w:spacing w:val="-6"/>
          <w:sz w:val="20"/>
        </w:rPr>
        <w:t xml:space="preserve"> </w:t>
      </w:r>
      <w:r>
        <w:rPr>
          <w:color w:val="231F20"/>
          <w:sz w:val="20"/>
        </w:rPr>
        <w:t>stalking</w:t>
      </w:r>
      <w:r>
        <w:rPr>
          <w:color w:val="231F20"/>
          <w:spacing w:val="-6"/>
          <w:sz w:val="20"/>
        </w:rPr>
        <w:t xml:space="preserve"> </w:t>
      </w:r>
      <w:r>
        <w:rPr>
          <w:color w:val="231F20"/>
          <w:spacing w:val="-3"/>
          <w:sz w:val="20"/>
        </w:rPr>
        <w:t>by</w:t>
      </w:r>
      <w:r>
        <w:rPr>
          <w:color w:val="231F20"/>
          <w:spacing w:val="-6"/>
          <w:sz w:val="20"/>
        </w:rPr>
        <w:t xml:space="preserve"> </w:t>
      </w:r>
      <w:r>
        <w:rPr>
          <w:color w:val="231F20"/>
          <w:sz w:val="20"/>
        </w:rPr>
        <w:t>a</w:t>
      </w:r>
      <w:r>
        <w:rPr>
          <w:color w:val="231F20"/>
          <w:spacing w:val="-6"/>
          <w:sz w:val="20"/>
        </w:rPr>
        <w:t xml:space="preserve"> </w:t>
      </w:r>
      <w:r>
        <w:rPr>
          <w:color w:val="231F20"/>
          <w:sz w:val="20"/>
        </w:rPr>
        <w:t>male</w:t>
      </w:r>
      <w:r>
        <w:rPr>
          <w:color w:val="231F20"/>
          <w:spacing w:val="-6"/>
          <w:sz w:val="20"/>
        </w:rPr>
        <w:t xml:space="preserve"> </w:t>
      </w:r>
      <w:r>
        <w:rPr>
          <w:color w:val="231F20"/>
          <w:sz w:val="20"/>
        </w:rPr>
        <w:t>included:</w:t>
      </w:r>
    </w:p>
    <w:p w14:paraId="1EE93C2B"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feeling that they could deal with it</w:t>
      </w:r>
      <w:r>
        <w:rPr>
          <w:color w:val="231F20"/>
          <w:spacing w:val="-31"/>
          <w:sz w:val="20"/>
        </w:rPr>
        <w:t xml:space="preserve"> </w:t>
      </w:r>
      <w:r>
        <w:rPr>
          <w:color w:val="231F20"/>
          <w:spacing w:val="-3"/>
          <w:sz w:val="20"/>
        </w:rPr>
        <w:t>themselves</w:t>
      </w:r>
    </w:p>
    <w:p w14:paraId="74B60B52"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not regarding it as a serious</w:t>
      </w:r>
      <w:r>
        <w:rPr>
          <w:color w:val="231F20"/>
          <w:spacing w:val="-27"/>
          <w:sz w:val="20"/>
        </w:rPr>
        <w:t xml:space="preserve"> </w:t>
      </w:r>
      <w:r>
        <w:rPr>
          <w:color w:val="231F20"/>
          <w:sz w:val="20"/>
        </w:rPr>
        <w:t>offence</w:t>
      </w:r>
    </w:p>
    <w:p w14:paraId="06DD307E"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thinking</w:t>
      </w:r>
      <w:r>
        <w:rPr>
          <w:color w:val="231F20"/>
          <w:spacing w:val="-5"/>
          <w:sz w:val="20"/>
        </w:rPr>
        <w:t xml:space="preserve"> </w:t>
      </w:r>
      <w:r>
        <w:rPr>
          <w:color w:val="231F20"/>
          <w:sz w:val="20"/>
        </w:rPr>
        <w:t>there</w:t>
      </w:r>
      <w:r>
        <w:rPr>
          <w:color w:val="231F20"/>
          <w:spacing w:val="-5"/>
          <w:sz w:val="20"/>
        </w:rPr>
        <w:t xml:space="preserve"> </w:t>
      </w:r>
      <w:r>
        <w:rPr>
          <w:color w:val="231F20"/>
          <w:sz w:val="20"/>
        </w:rPr>
        <w:t>was</w:t>
      </w:r>
      <w:r>
        <w:rPr>
          <w:color w:val="231F20"/>
          <w:spacing w:val="-4"/>
          <w:sz w:val="20"/>
        </w:rPr>
        <w:t xml:space="preserve"> </w:t>
      </w:r>
      <w:r>
        <w:rPr>
          <w:color w:val="231F20"/>
          <w:sz w:val="20"/>
        </w:rPr>
        <w:t>nothing</w:t>
      </w:r>
      <w:r>
        <w:rPr>
          <w:color w:val="231F20"/>
          <w:spacing w:val="-5"/>
          <w:sz w:val="20"/>
        </w:rPr>
        <w:t xml:space="preserve"> </w:t>
      </w:r>
      <w:r>
        <w:rPr>
          <w:color w:val="231F20"/>
          <w:sz w:val="20"/>
        </w:rPr>
        <w:t>police</w:t>
      </w:r>
      <w:r>
        <w:rPr>
          <w:color w:val="231F20"/>
          <w:spacing w:val="-5"/>
          <w:sz w:val="20"/>
        </w:rPr>
        <w:t xml:space="preserve"> </w:t>
      </w:r>
      <w:r>
        <w:rPr>
          <w:color w:val="231F20"/>
          <w:sz w:val="20"/>
        </w:rPr>
        <w:t>could</w:t>
      </w:r>
      <w:r>
        <w:rPr>
          <w:color w:val="231F20"/>
          <w:spacing w:val="-4"/>
          <w:sz w:val="20"/>
        </w:rPr>
        <w:t xml:space="preserve"> </w:t>
      </w:r>
      <w:r>
        <w:rPr>
          <w:color w:val="231F20"/>
          <w:sz w:val="20"/>
        </w:rPr>
        <w:t>do</w:t>
      </w:r>
      <w:r>
        <w:rPr>
          <w:color w:val="231F20"/>
          <w:spacing w:val="-5"/>
          <w:sz w:val="20"/>
        </w:rPr>
        <w:t xml:space="preserve"> </w:t>
      </w:r>
      <w:r>
        <w:rPr>
          <w:color w:val="231F20"/>
          <w:sz w:val="20"/>
        </w:rPr>
        <w:t>about</w:t>
      </w:r>
      <w:r>
        <w:rPr>
          <w:color w:val="231F20"/>
          <w:spacing w:val="-5"/>
          <w:sz w:val="20"/>
        </w:rPr>
        <w:t xml:space="preserve"> </w:t>
      </w:r>
      <w:r>
        <w:rPr>
          <w:color w:val="231F20"/>
          <w:sz w:val="20"/>
        </w:rPr>
        <w:t>it</w:t>
      </w:r>
    </w:p>
    <w:p w14:paraId="6E9A143B"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 xml:space="preserve">thinking police </w:t>
      </w:r>
      <w:r>
        <w:rPr>
          <w:color w:val="231F20"/>
          <w:spacing w:val="-3"/>
          <w:sz w:val="20"/>
        </w:rPr>
        <w:t xml:space="preserve">would </w:t>
      </w:r>
      <w:r>
        <w:rPr>
          <w:color w:val="231F20"/>
          <w:sz w:val="20"/>
        </w:rPr>
        <w:t>not do anything about</w:t>
      </w:r>
      <w:r>
        <w:rPr>
          <w:color w:val="231F20"/>
          <w:spacing w:val="-28"/>
          <w:sz w:val="20"/>
        </w:rPr>
        <w:t xml:space="preserve"> </w:t>
      </w:r>
      <w:r>
        <w:rPr>
          <w:color w:val="231F20"/>
          <w:sz w:val="20"/>
        </w:rPr>
        <w:t>it</w:t>
      </w:r>
    </w:p>
    <w:p w14:paraId="2807200F" w14:textId="77777777" w:rsidR="00894070" w:rsidRDefault="009B7AFD">
      <w:pPr>
        <w:pStyle w:val="ListParagraph"/>
        <w:numPr>
          <w:ilvl w:val="2"/>
          <w:numId w:val="177"/>
        </w:numPr>
        <w:tabs>
          <w:tab w:val="left" w:pos="2141"/>
          <w:tab w:val="left" w:pos="2142"/>
        </w:tabs>
        <w:spacing w:before="47"/>
        <w:ind w:hanging="340"/>
        <w:rPr>
          <w:sz w:val="11"/>
        </w:rPr>
      </w:pPr>
      <w:r>
        <w:rPr>
          <w:color w:val="231F20"/>
          <w:sz w:val="20"/>
        </w:rPr>
        <w:t>not knowing or thinking it was a</w:t>
      </w:r>
      <w:r>
        <w:rPr>
          <w:color w:val="231F20"/>
          <w:spacing w:val="-31"/>
          <w:sz w:val="20"/>
        </w:rPr>
        <w:t xml:space="preserve"> </w:t>
      </w:r>
      <w:r>
        <w:rPr>
          <w:color w:val="231F20"/>
          <w:sz w:val="20"/>
        </w:rPr>
        <w:t>crime.</w:t>
      </w:r>
      <w:r>
        <w:rPr>
          <w:color w:val="231F20"/>
          <w:position w:val="7"/>
          <w:sz w:val="11"/>
        </w:rPr>
        <w:t>38</w:t>
      </w:r>
    </w:p>
    <w:p w14:paraId="3465A668" w14:textId="77777777" w:rsidR="00894070" w:rsidRDefault="00894070">
      <w:pPr>
        <w:pStyle w:val="BodyText"/>
      </w:pPr>
    </w:p>
    <w:p w14:paraId="3AADBE25" w14:textId="77777777" w:rsidR="00894070" w:rsidRDefault="009F6793">
      <w:pPr>
        <w:pStyle w:val="BodyText"/>
        <w:spacing w:before="7"/>
        <w:rPr>
          <w:sz w:val="28"/>
        </w:rPr>
      </w:pPr>
      <w:r>
        <w:pict w14:anchorId="55C09892">
          <v:line id="_x0000_s1668" style="position:absolute;z-index:251438080;mso-wrap-distance-left:0;mso-wrap-distance-right:0;mso-position-horizontal-relative:page" from="79.35pt,22.25pt" to="515.9pt,22.25pt" strokecolor="#f8cabc" strokeweight="1pt">
            <w10:wrap type="topAndBottom" anchorx="page"/>
          </v:line>
        </w:pict>
      </w:r>
    </w:p>
    <w:p w14:paraId="36646D87" w14:textId="77777777" w:rsidR="00894070" w:rsidRDefault="009B7AFD">
      <w:pPr>
        <w:pStyle w:val="ListParagraph"/>
        <w:numPr>
          <w:ilvl w:val="0"/>
          <w:numId w:val="172"/>
        </w:numPr>
        <w:tabs>
          <w:tab w:val="left" w:pos="1801"/>
          <w:tab w:val="left" w:pos="1802"/>
        </w:tabs>
        <w:spacing w:before="107" w:line="213" w:lineRule="auto"/>
        <w:ind w:right="1178"/>
        <w:rPr>
          <w:sz w:val="13"/>
        </w:rPr>
      </w:pPr>
      <w:r>
        <w:rPr>
          <w:color w:val="231F20"/>
          <w:sz w:val="13"/>
        </w:rPr>
        <w:t xml:space="preserve">Australian Bureau of </w:t>
      </w:r>
      <w:r>
        <w:rPr>
          <w:color w:val="231F20"/>
          <w:spacing w:val="2"/>
          <w:sz w:val="13"/>
        </w:rPr>
        <w:t xml:space="preserve">Statistics, </w:t>
      </w:r>
      <w:r>
        <w:rPr>
          <w:i/>
          <w:color w:val="231F20"/>
          <w:sz w:val="13"/>
        </w:rPr>
        <w:t xml:space="preserve">Personal Safety, Australia, 2016 </w:t>
      </w:r>
      <w:r>
        <w:rPr>
          <w:color w:val="231F20"/>
          <w:sz w:val="13"/>
        </w:rPr>
        <w:t xml:space="preserve">(Web Page, 11 August 2017) </w:t>
      </w:r>
      <w:r>
        <w:rPr>
          <w:color w:val="231F20"/>
          <w:spacing w:val="2"/>
          <w:sz w:val="13"/>
        </w:rPr>
        <w:t xml:space="preserve">Experience </w:t>
      </w:r>
      <w:r>
        <w:rPr>
          <w:color w:val="231F20"/>
          <w:sz w:val="13"/>
        </w:rPr>
        <w:t>of Stalkin</w:t>
      </w:r>
      <w:hyperlink r:id="rId43">
        <w:r>
          <w:rPr>
            <w:color w:val="231F20"/>
            <w:sz w:val="13"/>
          </w:rPr>
          <w:t>g &lt;https://www.</w:t>
        </w:r>
      </w:hyperlink>
      <w:hyperlink r:id="rId44">
        <w:r>
          <w:rPr>
            <w:color w:val="231F20"/>
            <w:sz w:val="13"/>
          </w:rPr>
          <w:t xml:space="preserve"> abs.gov.au/statistics/people/crime-and-justice/personal-safety-australia/latest-release</w:t>
        </w:r>
      </w:hyperlink>
      <w:r>
        <w:rPr>
          <w:color w:val="231F20"/>
          <w:sz w:val="13"/>
        </w:rPr>
        <w:t xml:space="preserve">&gt;; Australian Bureau of </w:t>
      </w:r>
      <w:r>
        <w:rPr>
          <w:color w:val="231F20"/>
          <w:spacing w:val="2"/>
          <w:sz w:val="13"/>
        </w:rPr>
        <w:t xml:space="preserve">Statistics, </w:t>
      </w:r>
      <w:r>
        <w:rPr>
          <w:i/>
          <w:color w:val="231F20"/>
          <w:spacing w:val="2"/>
          <w:sz w:val="13"/>
        </w:rPr>
        <w:t xml:space="preserve">Experience </w:t>
      </w:r>
      <w:r>
        <w:rPr>
          <w:i/>
          <w:color w:val="231F20"/>
          <w:sz w:val="13"/>
        </w:rPr>
        <w:t xml:space="preserve">of Stalking—Personal Safety, Australia, 2016 </w:t>
      </w:r>
      <w:r>
        <w:rPr>
          <w:color w:val="231F20"/>
          <w:sz w:val="13"/>
        </w:rPr>
        <w:t xml:space="preserve">(Data Table No 49060DO0007, 8 November 2017) Table </w:t>
      </w:r>
      <w:r>
        <w:rPr>
          <w:color w:val="231F20"/>
          <w:spacing w:val="3"/>
          <w:sz w:val="13"/>
        </w:rPr>
        <w:t xml:space="preserve">34.3. </w:t>
      </w:r>
      <w:r>
        <w:rPr>
          <w:color w:val="231F20"/>
          <w:sz w:val="13"/>
        </w:rPr>
        <w:t xml:space="preserve">Throughout this chapter, percentages of 0.5 and above are rounded up and </w:t>
      </w:r>
      <w:r>
        <w:rPr>
          <w:color w:val="231F20"/>
          <w:spacing w:val="3"/>
          <w:sz w:val="13"/>
        </w:rPr>
        <w:t xml:space="preserve">0.4 </w:t>
      </w:r>
      <w:r>
        <w:rPr>
          <w:color w:val="231F20"/>
          <w:sz w:val="13"/>
        </w:rPr>
        <w:t xml:space="preserve">and below are rounded down. For example, 6.5% becomes </w:t>
      </w:r>
      <w:r>
        <w:rPr>
          <w:color w:val="231F20"/>
          <w:spacing w:val="2"/>
          <w:sz w:val="13"/>
        </w:rPr>
        <w:t xml:space="preserve">7% </w:t>
      </w:r>
      <w:r>
        <w:rPr>
          <w:color w:val="231F20"/>
          <w:sz w:val="13"/>
        </w:rPr>
        <w:t xml:space="preserve">and </w:t>
      </w:r>
      <w:r>
        <w:rPr>
          <w:color w:val="231F20"/>
          <w:spacing w:val="2"/>
          <w:sz w:val="13"/>
        </w:rPr>
        <w:t xml:space="preserve">6.4% </w:t>
      </w:r>
      <w:r>
        <w:rPr>
          <w:color w:val="231F20"/>
          <w:sz w:val="13"/>
        </w:rPr>
        <w:t>becomes</w:t>
      </w:r>
      <w:r>
        <w:rPr>
          <w:color w:val="231F20"/>
          <w:spacing w:val="-2"/>
          <w:sz w:val="13"/>
        </w:rPr>
        <w:t xml:space="preserve"> </w:t>
      </w:r>
      <w:r>
        <w:rPr>
          <w:color w:val="231F20"/>
          <w:spacing w:val="2"/>
          <w:sz w:val="13"/>
        </w:rPr>
        <w:t>6%.</w:t>
      </w:r>
    </w:p>
    <w:p w14:paraId="45CAB6F3" w14:textId="77777777" w:rsidR="00894070" w:rsidRDefault="009B7AFD">
      <w:pPr>
        <w:pStyle w:val="ListParagraph"/>
        <w:numPr>
          <w:ilvl w:val="0"/>
          <w:numId w:val="172"/>
        </w:numPr>
        <w:tabs>
          <w:tab w:val="left" w:pos="1801"/>
          <w:tab w:val="left" w:pos="1802"/>
        </w:tabs>
        <w:spacing w:line="213" w:lineRule="auto"/>
        <w:ind w:right="1255"/>
        <w:rPr>
          <w:sz w:val="13"/>
        </w:rPr>
      </w:pPr>
      <w:r>
        <w:rPr>
          <w:color w:val="231F20"/>
          <w:sz w:val="13"/>
        </w:rPr>
        <w:t xml:space="preserve">Australian Bureau of </w:t>
      </w:r>
      <w:r>
        <w:rPr>
          <w:color w:val="231F20"/>
          <w:spacing w:val="2"/>
          <w:sz w:val="13"/>
        </w:rPr>
        <w:t xml:space="preserve">Statistics, </w:t>
      </w:r>
      <w:r>
        <w:rPr>
          <w:i/>
          <w:color w:val="231F20"/>
          <w:sz w:val="13"/>
        </w:rPr>
        <w:t xml:space="preserve">Personal Safety, Australia, 2016 </w:t>
      </w:r>
      <w:r>
        <w:rPr>
          <w:color w:val="231F20"/>
          <w:sz w:val="13"/>
        </w:rPr>
        <w:t xml:space="preserve">(Web Page, 11 August 2017) </w:t>
      </w:r>
      <w:r>
        <w:rPr>
          <w:color w:val="231F20"/>
          <w:spacing w:val="2"/>
          <w:sz w:val="13"/>
        </w:rPr>
        <w:t xml:space="preserve">Experience </w:t>
      </w:r>
      <w:r>
        <w:rPr>
          <w:color w:val="231F20"/>
          <w:sz w:val="13"/>
        </w:rPr>
        <w:t xml:space="preserve">of </w:t>
      </w:r>
      <w:r>
        <w:rPr>
          <w:color w:val="231F20"/>
          <w:spacing w:val="2"/>
          <w:sz w:val="13"/>
        </w:rPr>
        <w:t>stalkin</w:t>
      </w:r>
      <w:hyperlink r:id="rId45">
        <w:r>
          <w:rPr>
            <w:color w:val="231F20"/>
            <w:spacing w:val="2"/>
            <w:sz w:val="13"/>
          </w:rPr>
          <w:t xml:space="preserve">g </w:t>
        </w:r>
        <w:r>
          <w:rPr>
            <w:color w:val="231F20"/>
            <w:sz w:val="13"/>
          </w:rPr>
          <w:t>&lt;https://www.</w:t>
        </w:r>
      </w:hyperlink>
      <w:hyperlink r:id="rId46">
        <w:r>
          <w:rPr>
            <w:color w:val="231F20"/>
            <w:sz w:val="13"/>
          </w:rPr>
          <w:t xml:space="preserve"> abs.gov.au/statistics/people/crime-and-justice/personal-safety-australia/latest-release</w:t>
        </w:r>
      </w:hyperlink>
      <w:r>
        <w:rPr>
          <w:color w:val="231F20"/>
          <w:sz w:val="13"/>
        </w:rPr>
        <w:t xml:space="preserve">&gt;; Australian Bureau of </w:t>
      </w:r>
      <w:r>
        <w:rPr>
          <w:color w:val="231F20"/>
          <w:spacing w:val="2"/>
          <w:sz w:val="13"/>
        </w:rPr>
        <w:t xml:space="preserve">Statistics, </w:t>
      </w:r>
      <w:r>
        <w:rPr>
          <w:i/>
          <w:color w:val="231F20"/>
          <w:spacing w:val="2"/>
          <w:sz w:val="13"/>
        </w:rPr>
        <w:t xml:space="preserve">Experience </w:t>
      </w:r>
      <w:r>
        <w:rPr>
          <w:i/>
          <w:color w:val="231F20"/>
          <w:sz w:val="13"/>
        </w:rPr>
        <w:t xml:space="preserve">of Stalking—Personal Safety, Australia, 2016 </w:t>
      </w:r>
      <w:r>
        <w:rPr>
          <w:color w:val="231F20"/>
          <w:sz w:val="13"/>
        </w:rPr>
        <w:t>(Data Table No 49060DO0007, 8 November 2017) Table</w:t>
      </w:r>
      <w:r>
        <w:rPr>
          <w:color w:val="231F20"/>
          <w:spacing w:val="27"/>
          <w:sz w:val="13"/>
        </w:rPr>
        <w:t xml:space="preserve"> </w:t>
      </w:r>
      <w:r>
        <w:rPr>
          <w:color w:val="231F20"/>
          <w:spacing w:val="3"/>
          <w:sz w:val="13"/>
        </w:rPr>
        <w:t>34.3.</w:t>
      </w:r>
    </w:p>
    <w:p w14:paraId="0CD95921" w14:textId="77777777" w:rsidR="00894070" w:rsidRDefault="009B7AFD">
      <w:pPr>
        <w:pStyle w:val="ListParagraph"/>
        <w:numPr>
          <w:ilvl w:val="0"/>
          <w:numId w:val="172"/>
        </w:numPr>
        <w:tabs>
          <w:tab w:val="left" w:pos="1801"/>
          <w:tab w:val="left" w:pos="1802"/>
        </w:tabs>
        <w:spacing w:line="213" w:lineRule="auto"/>
        <w:ind w:right="1255"/>
        <w:rPr>
          <w:sz w:val="13"/>
        </w:rPr>
      </w:pPr>
      <w:r>
        <w:rPr>
          <w:color w:val="231F20"/>
          <w:sz w:val="13"/>
        </w:rPr>
        <w:t xml:space="preserve">Australian Bureau of </w:t>
      </w:r>
      <w:r>
        <w:rPr>
          <w:color w:val="231F20"/>
          <w:spacing w:val="2"/>
          <w:sz w:val="13"/>
        </w:rPr>
        <w:t xml:space="preserve">Statistics, </w:t>
      </w:r>
      <w:r>
        <w:rPr>
          <w:i/>
          <w:color w:val="231F20"/>
          <w:sz w:val="13"/>
        </w:rPr>
        <w:t xml:space="preserve">Personal Safety, Australia, 2016 </w:t>
      </w:r>
      <w:r>
        <w:rPr>
          <w:color w:val="231F20"/>
          <w:sz w:val="13"/>
        </w:rPr>
        <w:t xml:space="preserve">(Web Page, 11 August 2017) </w:t>
      </w:r>
      <w:r>
        <w:rPr>
          <w:color w:val="231F20"/>
          <w:spacing w:val="2"/>
          <w:sz w:val="13"/>
        </w:rPr>
        <w:t xml:space="preserve">Experience </w:t>
      </w:r>
      <w:r>
        <w:rPr>
          <w:color w:val="231F20"/>
          <w:sz w:val="13"/>
        </w:rPr>
        <w:t xml:space="preserve">of </w:t>
      </w:r>
      <w:r>
        <w:rPr>
          <w:color w:val="231F20"/>
          <w:spacing w:val="2"/>
          <w:sz w:val="13"/>
        </w:rPr>
        <w:t>stalkin</w:t>
      </w:r>
      <w:hyperlink r:id="rId47">
        <w:r>
          <w:rPr>
            <w:color w:val="231F20"/>
            <w:spacing w:val="2"/>
            <w:sz w:val="13"/>
          </w:rPr>
          <w:t xml:space="preserve">g </w:t>
        </w:r>
        <w:r>
          <w:rPr>
            <w:color w:val="231F20"/>
            <w:sz w:val="13"/>
          </w:rPr>
          <w:t>&lt;https://www.</w:t>
        </w:r>
      </w:hyperlink>
      <w:hyperlink r:id="rId48">
        <w:r>
          <w:rPr>
            <w:color w:val="231F20"/>
            <w:sz w:val="13"/>
          </w:rPr>
          <w:t xml:space="preserve"> abs.gov.au/statistics/people/crime-and-justice/personal-safety-australia/latest-release</w:t>
        </w:r>
      </w:hyperlink>
      <w:r>
        <w:rPr>
          <w:color w:val="231F20"/>
          <w:sz w:val="13"/>
        </w:rPr>
        <w:t xml:space="preserve">&gt;; Australian Bureau of </w:t>
      </w:r>
      <w:r>
        <w:rPr>
          <w:color w:val="231F20"/>
          <w:spacing w:val="2"/>
          <w:sz w:val="13"/>
        </w:rPr>
        <w:t xml:space="preserve">Statistics, </w:t>
      </w:r>
      <w:r>
        <w:rPr>
          <w:i/>
          <w:color w:val="231F20"/>
          <w:spacing w:val="2"/>
          <w:sz w:val="13"/>
        </w:rPr>
        <w:t>Experience</w:t>
      </w:r>
      <w:r>
        <w:rPr>
          <w:i/>
          <w:color w:val="231F20"/>
          <w:spacing w:val="3"/>
          <w:sz w:val="13"/>
        </w:rPr>
        <w:t xml:space="preserve"> </w:t>
      </w:r>
      <w:r>
        <w:rPr>
          <w:i/>
          <w:color w:val="231F20"/>
          <w:sz w:val="13"/>
        </w:rPr>
        <w:t>of</w:t>
      </w:r>
      <w:r>
        <w:rPr>
          <w:i/>
          <w:color w:val="231F20"/>
          <w:spacing w:val="2"/>
          <w:sz w:val="13"/>
        </w:rPr>
        <w:t xml:space="preserve"> </w:t>
      </w:r>
      <w:r>
        <w:rPr>
          <w:i/>
          <w:color w:val="231F20"/>
          <w:sz w:val="13"/>
        </w:rPr>
        <w:t>Stalking—Personal</w:t>
      </w:r>
      <w:r>
        <w:rPr>
          <w:i/>
          <w:color w:val="231F20"/>
          <w:spacing w:val="4"/>
          <w:sz w:val="13"/>
        </w:rPr>
        <w:t xml:space="preserve"> </w:t>
      </w:r>
      <w:r>
        <w:rPr>
          <w:i/>
          <w:color w:val="231F20"/>
          <w:sz w:val="13"/>
        </w:rPr>
        <w:t>Safety,</w:t>
      </w:r>
      <w:r>
        <w:rPr>
          <w:i/>
          <w:color w:val="231F20"/>
          <w:spacing w:val="3"/>
          <w:sz w:val="13"/>
        </w:rPr>
        <w:t xml:space="preserve"> </w:t>
      </w:r>
      <w:r>
        <w:rPr>
          <w:i/>
          <w:color w:val="231F20"/>
          <w:sz w:val="13"/>
        </w:rPr>
        <w:t>Australia,</w:t>
      </w:r>
      <w:r>
        <w:rPr>
          <w:i/>
          <w:color w:val="231F20"/>
          <w:spacing w:val="2"/>
          <w:sz w:val="13"/>
        </w:rPr>
        <w:t xml:space="preserve"> </w:t>
      </w:r>
      <w:r>
        <w:rPr>
          <w:i/>
          <w:color w:val="231F20"/>
          <w:sz w:val="13"/>
        </w:rPr>
        <w:t>2016</w:t>
      </w:r>
      <w:r>
        <w:rPr>
          <w:i/>
          <w:color w:val="231F20"/>
          <w:spacing w:val="3"/>
          <w:sz w:val="13"/>
        </w:rPr>
        <w:t xml:space="preserve"> </w:t>
      </w:r>
      <w:r>
        <w:rPr>
          <w:color w:val="231F20"/>
          <w:sz w:val="13"/>
        </w:rPr>
        <w:t>(Data</w:t>
      </w:r>
      <w:r>
        <w:rPr>
          <w:color w:val="231F20"/>
          <w:spacing w:val="4"/>
          <w:sz w:val="13"/>
        </w:rPr>
        <w:t xml:space="preserve"> </w:t>
      </w:r>
      <w:r>
        <w:rPr>
          <w:color w:val="231F20"/>
          <w:sz w:val="13"/>
        </w:rPr>
        <w:t>Table</w:t>
      </w:r>
      <w:r>
        <w:rPr>
          <w:color w:val="231F20"/>
          <w:spacing w:val="3"/>
          <w:sz w:val="13"/>
        </w:rPr>
        <w:t xml:space="preserve"> </w:t>
      </w:r>
      <w:r>
        <w:rPr>
          <w:color w:val="231F20"/>
          <w:sz w:val="13"/>
        </w:rPr>
        <w:t>No</w:t>
      </w:r>
      <w:r>
        <w:rPr>
          <w:color w:val="231F20"/>
          <w:spacing w:val="4"/>
          <w:sz w:val="13"/>
        </w:rPr>
        <w:t xml:space="preserve"> </w:t>
      </w:r>
      <w:r>
        <w:rPr>
          <w:color w:val="231F20"/>
          <w:sz w:val="13"/>
        </w:rPr>
        <w:t>49060DO0007,</w:t>
      </w:r>
      <w:r>
        <w:rPr>
          <w:color w:val="231F20"/>
          <w:spacing w:val="3"/>
          <w:sz w:val="13"/>
        </w:rPr>
        <w:t xml:space="preserve"> </w:t>
      </w:r>
      <w:r>
        <w:rPr>
          <w:color w:val="231F20"/>
          <w:sz w:val="13"/>
        </w:rPr>
        <w:t>8</w:t>
      </w:r>
      <w:r>
        <w:rPr>
          <w:color w:val="231F20"/>
          <w:spacing w:val="4"/>
          <w:sz w:val="13"/>
        </w:rPr>
        <w:t xml:space="preserve"> </w:t>
      </w:r>
      <w:r>
        <w:rPr>
          <w:color w:val="231F20"/>
          <w:sz w:val="13"/>
        </w:rPr>
        <w:t>November</w:t>
      </w:r>
      <w:r>
        <w:rPr>
          <w:color w:val="231F20"/>
          <w:spacing w:val="3"/>
          <w:sz w:val="13"/>
        </w:rPr>
        <w:t xml:space="preserve"> </w:t>
      </w:r>
      <w:r>
        <w:rPr>
          <w:color w:val="231F20"/>
          <w:sz w:val="13"/>
        </w:rPr>
        <w:t>2017)</w:t>
      </w:r>
      <w:r>
        <w:rPr>
          <w:color w:val="231F20"/>
          <w:spacing w:val="4"/>
          <w:sz w:val="13"/>
        </w:rPr>
        <w:t xml:space="preserve"> </w:t>
      </w:r>
      <w:r>
        <w:rPr>
          <w:color w:val="231F20"/>
          <w:sz w:val="13"/>
        </w:rPr>
        <w:t>Tables</w:t>
      </w:r>
      <w:r>
        <w:rPr>
          <w:color w:val="231F20"/>
          <w:spacing w:val="3"/>
          <w:sz w:val="13"/>
        </w:rPr>
        <w:t xml:space="preserve"> </w:t>
      </w:r>
      <w:r>
        <w:rPr>
          <w:color w:val="231F20"/>
          <w:spacing w:val="2"/>
          <w:sz w:val="13"/>
        </w:rPr>
        <w:t>35.3,</w:t>
      </w:r>
      <w:r>
        <w:rPr>
          <w:color w:val="231F20"/>
          <w:spacing w:val="4"/>
          <w:sz w:val="13"/>
        </w:rPr>
        <w:t xml:space="preserve"> </w:t>
      </w:r>
      <w:r>
        <w:rPr>
          <w:color w:val="231F20"/>
          <w:spacing w:val="2"/>
          <w:sz w:val="13"/>
        </w:rPr>
        <w:t>36.3.</w:t>
      </w:r>
    </w:p>
    <w:p w14:paraId="093CFA18" w14:textId="77777777" w:rsidR="00894070" w:rsidRDefault="009B7AFD">
      <w:pPr>
        <w:pStyle w:val="ListParagraph"/>
        <w:numPr>
          <w:ilvl w:val="0"/>
          <w:numId w:val="172"/>
        </w:numPr>
        <w:tabs>
          <w:tab w:val="left" w:pos="1801"/>
          <w:tab w:val="left" w:pos="1802"/>
        </w:tabs>
        <w:spacing w:line="213" w:lineRule="auto"/>
        <w:ind w:right="1280"/>
        <w:rPr>
          <w:sz w:val="13"/>
        </w:rPr>
      </w:pPr>
      <w:r>
        <w:rPr>
          <w:color w:val="231F20"/>
          <w:sz w:val="13"/>
        </w:rPr>
        <w:t xml:space="preserve">Australian Bureau of </w:t>
      </w:r>
      <w:r>
        <w:rPr>
          <w:color w:val="231F20"/>
          <w:spacing w:val="2"/>
          <w:sz w:val="13"/>
        </w:rPr>
        <w:t xml:space="preserve">Statistics, </w:t>
      </w:r>
      <w:r>
        <w:rPr>
          <w:i/>
          <w:color w:val="231F20"/>
          <w:spacing w:val="2"/>
          <w:sz w:val="13"/>
        </w:rPr>
        <w:t xml:space="preserve">Experience </w:t>
      </w:r>
      <w:r>
        <w:rPr>
          <w:i/>
          <w:color w:val="231F20"/>
          <w:sz w:val="13"/>
        </w:rPr>
        <w:t xml:space="preserve">of Stalking—Personal Safety, Australia, 2016 </w:t>
      </w:r>
      <w:r>
        <w:rPr>
          <w:color w:val="231F20"/>
          <w:sz w:val="13"/>
        </w:rPr>
        <w:t xml:space="preserve">(Data Table No 49060DO0007, 8   November 2017) Table </w:t>
      </w:r>
      <w:proofErr w:type="gramStart"/>
      <w:r>
        <w:rPr>
          <w:color w:val="231F20"/>
          <w:spacing w:val="2"/>
          <w:sz w:val="13"/>
        </w:rPr>
        <w:t xml:space="preserve">35.3 </w:t>
      </w:r>
      <w:r>
        <w:rPr>
          <w:color w:val="231F20"/>
          <w:sz w:val="13"/>
        </w:rPr>
        <w:t>.</w:t>
      </w:r>
      <w:proofErr w:type="gramEnd"/>
      <w:r>
        <w:rPr>
          <w:color w:val="231F20"/>
          <w:sz w:val="13"/>
        </w:rPr>
        <w:t xml:space="preserve"> In the Personal Safety Survey, ‘intimate </w:t>
      </w:r>
      <w:r>
        <w:rPr>
          <w:color w:val="231F20"/>
          <w:spacing w:val="2"/>
          <w:sz w:val="13"/>
        </w:rPr>
        <w:t xml:space="preserve">partner’ </w:t>
      </w:r>
      <w:r>
        <w:rPr>
          <w:color w:val="231F20"/>
          <w:sz w:val="13"/>
        </w:rPr>
        <w:t xml:space="preserve">is defined as including ‘current </w:t>
      </w:r>
      <w:r>
        <w:rPr>
          <w:color w:val="231F20"/>
          <w:spacing w:val="2"/>
          <w:sz w:val="13"/>
        </w:rPr>
        <w:t xml:space="preserve">partner </w:t>
      </w:r>
      <w:r>
        <w:rPr>
          <w:color w:val="231F20"/>
          <w:sz w:val="13"/>
        </w:rPr>
        <w:t xml:space="preserve">(living with), previous </w:t>
      </w:r>
      <w:r>
        <w:rPr>
          <w:color w:val="231F20"/>
          <w:spacing w:val="2"/>
          <w:sz w:val="13"/>
        </w:rPr>
        <w:t xml:space="preserve">partner </w:t>
      </w:r>
      <w:r>
        <w:rPr>
          <w:color w:val="231F20"/>
          <w:sz w:val="13"/>
        </w:rPr>
        <w:t xml:space="preserve">(has lived with), boyfriend/girlfriend/date and ex-boyfriend/ex-girlfriend (never lived with)’: Australian Bureau   of </w:t>
      </w:r>
      <w:r>
        <w:rPr>
          <w:color w:val="231F20"/>
          <w:spacing w:val="2"/>
          <w:sz w:val="13"/>
        </w:rPr>
        <w:t xml:space="preserve">Statistics, </w:t>
      </w:r>
      <w:r>
        <w:rPr>
          <w:i/>
          <w:color w:val="231F20"/>
          <w:sz w:val="13"/>
        </w:rPr>
        <w:t xml:space="preserve">Personal Safety, Australia Methodology 2016 </w:t>
      </w:r>
      <w:r>
        <w:rPr>
          <w:color w:val="231F20"/>
          <w:sz w:val="13"/>
        </w:rPr>
        <w:t xml:space="preserve">(Web Page, 8 November 2017) </w:t>
      </w:r>
      <w:r>
        <w:rPr>
          <w:color w:val="231F20"/>
          <w:spacing w:val="2"/>
          <w:sz w:val="13"/>
        </w:rPr>
        <w:t>Glossar</w:t>
      </w:r>
      <w:hyperlink r:id="rId49">
        <w:r>
          <w:rPr>
            <w:color w:val="231F20"/>
            <w:spacing w:val="2"/>
            <w:sz w:val="13"/>
          </w:rPr>
          <w:t xml:space="preserve">y </w:t>
        </w:r>
        <w:r>
          <w:rPr>
            <w:color w:val="231F20"/>
            <w:sz w:val="13"/>
          </w:rPr>
          <w:t>&lt;https://www.abs.gov.au/</w:t>
        </w:r>
      </w:hyperlink>
      <w:hyperlink r:id="rId50">
        <w:r>
          <w:rPr>
            <w:color w:val="231F20"/>
            <w:sz w:val="13"/>
          </w:rPr>
          <w:t xml:space="preserve"> methodologies/personal-safety-</w:t>
        </w:r>
        <w:proofErr w:type="spellStart"/>
        <w:r>
          <w:rPr>
            <w:color w:val="231F20"/>
            <w:sz w:val="13"/>
          </w:rPr>
          <w:t>australia</w:t>
        </w:r>
        <w:proofErr w:type="spellEnd"/>
        <w:r>
          <w:rPr>
            <w:color w:val="231F20"/>
            <w:sz w:val="13"/>
          </w:rPr>
          <w:t>-methodology/2016</w:t>
        </w:r>
      </w:hyperlink>
      <w:r>
        <w:rPr>
          <w:color w:val="231F20"/>
          <w:sz w:val="13"/>
        </w:rPr>
        <w:t>&gt;.</w:t>
      </w:r>
    </w:p>
    <w:p w14:paraId="0353198E" w14:textId="77777777" w:rsidR="00894070" w:rsidRDefault="009B7AFD">
      <w:pPr>
        <w:pStyle w:val="ListParagraph"/>
        <w:numPr>
          <w:ilvl w:val="0"/>
          <w:numId w:val="172"/>
        </w:numPr>
        <w:tabs>
          <w:tab w:val="left" w:pos="1801"/>
          <w:tab w:val="left" w:pos="1802"/>
        </w:tabs>
        <w:spacing w:line="213" w:lineRule="auto"/>
        <w:ind w:right="1831"/>
        <w:rPr>
          <w:sz w:val="13"/>
        </w:rPr>
      </w:pPr>
      <w:r>
        <w:rPr>
          <w:color w:val="231F20"/>
          <w:sz w:val="13"/>
        </w:rPr>
        <w:t xml:space="preserve">Australian Bureau of </w:t>
      </w:r>
      <w:r>
        <w:rPr>
          <w:color w:val="231F20"/>
          <w:spacing w:val="2"/>
          <w:sz w:val="13"/>
        </w:rPr>
        <w:t xml:space="preserve">Statistics, </w:t>
      </w:r>
      <w:r>
        <w:rPr>
          <w:i/>
          <w:color w:val="231F20"/>
          <w:spacing w:val="2"/>
          <w:sz w:val="13"/>
        </w:rPr>
        <w:t xml:space="preserve">Experience </w:t>
      </w:r>
      <w:r>
        <w:rPr>
          <w:i/>
          <w:color w:val="231F20"/>
          <w:sz w:val="13"/>
        </w:rPr>
        <w:t xml:space="preserve">of Stalking—Personal Safety, Australia, 2016 </w:t>
      </w:r>
      <w:r>
        <w:rPr>
          <w:color w:val="231F20"/>
          <w:sz w:val="13"/>
        </w:rPr>
        <w:t xml:space="preserve">(Data Table No 49060DO0007, 8 November 2017) Table </w:t>
      </w:r>
      <w:r>
        <w:rPr>
          <w:color w:val="231F20"/>
          <w:spacing w:val="3"/>
          <w:sz w:val="13"/>
        </w:rPr>
        <w:t>35.3.</w:t>
      </w:r>
    </w:p>
    <w:p w14:paraId="2607FDDB" w14:textId="77777777" w:rsidR="00894070" w:rsidRDefault="009B7AFD">
      <w:pPr>
        <w:pStyle w:val="ListParagraph"/>
        <w:numPr>
          <w:ilvl w:val="0"/>
          <w:numId w:val="172"/>
        </w:numPr>
        <w:tabs>
          <w:tab w:val="left" w:pos="1800"/>
          <w:tab w:val="left" w:pos="1802"/>
        </w:tabs>
        <w:spacing w:line="213" w:lineRule="auto"/>
        <w:ind w:right="1177"/>
        <w:rPr>
          <w:sz w:val="13"/>
        </w:rPr>
      </w:pPr>
      <w:r>
        <w:rPr>
          <w:color w:val="231F20"/>
          <w:sz w:val="13"/>
        </w:rPr>
        <w:t xml:space="preserve">It was </w:t>
      </w:r>
      <w:r>
        <w:rPr>
          <w:color w:val="231F20"/>
          <w:spacing w:val="2"/>
          <w:sz w:val="13"/>
        </w:rPr>
        <w:t xml:space="preserve">almost </w:t>
      </w:r>
      <w:r>
        <w:rPr>
          <w:color w:val="231F20"/>
          <w:sz w:val="13"/>
        </w:rPr>
        <w:t xml:space="preserve">equally likely that they knew </w:t>
      </w:r>
      <w:r>
        <w:rPr>
          <w:color w:val="231F20"/>
          <w:spacing w:val="2"/>
          <w:sz w:val="13"/>
        </w:rPr>
        <w:t xml:space="preserve">(54%) </w:t>
      </w:r>
      <w:r>
        <w:rPr>
          <w:color w:val="231F20"/>
          <w:sz w:val="13"/>
        </w:rPr>
        <w:t xml:space="preserve">or did not know (48%) the male person </w:t>
      </w:r>
      <w:r>
        <w:rPr>
          <w:color w:val="231F20"/>
          <w:spacing w:val="2"/>
          <w:sz w:val="13"/>
        </w:rPr>
        <w:t xml:space="preserve">stalking </w:t>
      </w:r>
      <w:r>
        <w:rPr>
          <w:color w:val="231F20"/>
          <w:sz w:val="13"/>
        </w:rPr>
        <w:t xml:space="preserve">them: ibid Table </w:t>
      </w:r>
      <w:r>
        <w:rPr>
          <w:color w:val="231F20"/>
          <w:spacing w:val="2"/>
          <w:sz w:val="13"/>
        </w:rPr>
        <w:t xml:space="preserve">36.3. </w:t>
      </w:r>
      <w:r>
        <w:rPr>
          <w:color w:val="231F20"/>
          <w:sz w:val="13"/>
        </w:rPr>
        <w:t xml:space="preserve">The Australian Bureau of Statistics explains why these figures do not add up to 100%: </w:t>
      </w:r>
      <w:r>
        <w:rPr>
          <w:color w:val="231F20"/>
          <w:spacing w:val="2"/>
          <w:sz w:val="13"/>
        </w:rPr>
        <w:t xml:space="preserve">‘Cells </w:t>
      </w:r>
      <w:r>
        <w:rPr>
          <w:color w:val="231F20"/>
          <w:sz w:val="13"/>
        </w:rPr>
        <w:t xml:space="preserve">in this table have </w:t>
      </w:r>
      <w:r>
        <w:rPr>
          <w:color w:val="231F20"/>
          <w:spacing w:val="2"/>
          <w:sz w:val="13"/>
        </w:rPr>
        <w:t xml:space="preserve">been </w:t>
      </w:r>
      <w:r>
        <w:rPr>
          <w:color w:val="231F20"/>
          <w:sz w:val="13"/>
        </w:rPr>
        <w:t>randomly adjusted   to</w:t>
      </w:r>
      <w:r>
        <w:rPr>
          <w:color w:val="231F20"/>
          <w:spacing w:val="3"/>
          <w:sz w:val="13"/>
        </w:rPr>
        <w:t xml:space="preserve"> </w:t>
      </w:r>
      <w:r>
        <w:rPr>
          <w:color w:val="231F20"/>
          <w:sz w:val="13"/>
        </w:rPr>
        <w:t>avoid</w:t>
      </w:r>
      <w:r>
        <w:rPr>
          <w:color w:val="231F20"/>
          <w:spacing w:val="4"/>
          <w:sz w:val="13"/>
        </w:rPr>
        <w:t xml:space="preserve"> </w:t>
      </w:r>
      <w:r>
        <w:rPr>
          <w:color w:val="231F20"/>
          <w:sz w:val="13"/>
        </w:rPr>
        <w:t>the</w:t>
      </w:r>
      <w:r>
        <w:rPr>
          <w:color w:val="231F20"/>
          <w:spacing w:val="3"/>
          <w:sz w:val="13"/>
        </w:rPr>
        <w:t xml:space="preserve"> </w:t>
      </w:r>
      <w:r>
        <w:rPr>
          <w:color w:val="231F20"/>
          <w:sz w:val="13"/>
        </w:rPr>
        <w:t>release</w:t>
      </w:r>
      <w:r>
        <w:rPr>
          <w:color w:val="231F20"/>
          <w:spacing w:val="4"/>
          <w:sz w:val="13"/>
        </w:rPr>
        <w:t xml:space="preserve"> </w:t>
      </w:r>
      <w:r>
        <w:rPr>
          <w:color w:val="231F20"/>
          <w:sz w:val="13"/>
        </w:rPr>
        <w:t>of</w:t>
      </w:r>
      <w:r>
        <w:rPr>
          <w:color w:val="231F20"/>
          <w:spacing w:val="3"/>
          <w:sz w:val="13"/>
        </w:rPr>
        <w:t xml:space="preserve"> </w:t>
      </w:r>
      <w:r>
        <w:rPr>
          <w:color w:val="231F20"/>
          <w:sz w:val="13"/>
        </w:rPr>
        <w:t>confidential</w:t>
      </w:r>
      <w:r>
        <w:rPr>
          <w:color w:val="231F20"/>
          <w:spacing w:val="4"/>
          <w:sz w:val="13"/>
        </w:rPr>
        <w:t xml:space="preserve"> </w:t>
      </w:r>
      <w:r>
        <w:rPr>
          <w:color w:val="231F20"/>
          <w:sz w:val="13"/>
        </w:rPr>
        <w:t>data.</w:t>
      </w:r>
      <w:r>
        <w:rPr>
          <w:color w:val="231F20"/>
          <w:spacing w:val="3"/>
          <w:sz w:val="13"/>
        </w:rPr>
        <w:t xml:space="preserve"> </w:t>
      </w:r>
      <w:r>
        <w:rPr>
          <w:color w:val="231F20"/>
          <w:sz w:val="13"/>
        </w:rPr>
        <w:t>Discrepancies</w:t>
      </w:r>
      <w:r>
        <w:rPr>
          <w:color w:val="231F20"/>
          <w:spacing w:val="4"/>
          <w:sz w:val="13"/>
        </w:rPr>
        <w:t xml:space="preserve"> </w:t>
      </w:r>
      <w:r>
        <w:rPr>
          <w:color w:val="231F20"/>
          <w:sz w:val="13"/>
        </w:rPr>
        <w:t>may</w:t>
      </w:r>
      <w:r>
        <w:rPr>
          <w:color w:val="231F20"/>
          <w:spacing w:val="4"/>
          <w:sz w:val="13"/>
        </w:rPr>
        <w:t xml:space="preserve"> </w:t>
      </w:r>
      <w:r>
        <w:rPr>
          <w:color w:val="231F20"/>
          <w:sz w:val="13"/>
        </w:rPr>
        <w:t>occur</w:t>
      </w:r>
      <w:r>
        <w:rPr>
          <w:color w:val="231F20"/>
          <w:spacing w:val="3"/>
          <w:sz w:val="13"/>
        </w:rPr>
        <w:t xml:space="preserve"> </w:t>
      </w:r>
      <w:r>
        <w:rPr>
          <w:color w:val="231F20"/>
          <w:sz w:val="13"/>
        </w:rPr>
        <w:t>between</w:t>
      </w:r>
      <w:r>
        <w:rPr>
          <w:color w:val="231F20"/>
          <w:spacing w:val="4"/>
          <w:sz w:val="13"/>
        </w:rPr>
        <w:t xml:space="preserve"> </w:t>
      </w:r>
      <w:r>
        <w:rPr>
          <w:color w:val="231F20"/>
          <w:sz w:val="13"/>
        </w:rPr>
        <w:t>sums</w:t>
      </w:r>
      <w:r>
        <w:rPr>
          <w:color w:val="231F20"/>
          <w:spacing w:val="3"/>
          <w:sz w:val="13"/>
        </w:rPr>
        <w:t xml:space="preserve"> </w:t>
      </w:r>
      <w:r>
        <w:rPr>
          <w:color w:val="231F20"/>
          <w:sz w:val="13"/>
        </w:rPr>
        <w:t>of</w:t>
      </w:r>
      <w:r>
        <w:rPr>
          <w:color w:val="231F20"/>
          <w:spacing w:val="4"/>
          <w:sz w:val="13"/>
        </w:rPr>
        <w:t xml:space="preserve"> </w:t>
      </w:r>
      <w:r>
        <w:rPr>
          <w:color w:val="231F20"/>
          <w:sz w:val="13"/>
        </w:rPr>
        <w:t>the</w:t>
      </w:r>
      <w:r>
        <w:rPr>
          <w:color w:val="231F20"/>
          <w:spacing w:val="3"/>
          <w:sz w:val="13"/>
        </w:rPr>
        <w:t xml:space="preserve"> </w:t>
      </w:r>
      <w:r>
        <w:rPr>
          <w:color w:val="231F20"/>
          <w:sz w:val="13"/>
        </w:rPr>
        <w:t>component</w:t>
      </w:r>
      <w:r>
        <w:rPr>
          <w:color w:val="231F20"/>
          <w:spacing w:val="4"/>
          <w:sz w:val="13"/>
        </w:rPr>
        <w:t xml:space="preserve"> </w:t>
      </w:r>
      <w:r>
        <w:rPr>
          <w:color w:val="231F20"/>
          <w:sz w:val="13"/>
        </w:rPr>
        <w:t>items</w:t>
      </w:r>
      <w:r>
        <w:rPr>
          <w:color w:val="231F20"/>
          <w:spacing w:val="4"/>
          <w:sz w:val="13"/>
        </w:rPr>
        <w:t xml:space="preserve"> </w:t>
      </w:r>
      <w:r>
        <w:rPr>
          <w:color w:val="231F20"/>
          <w:sz w:val="13"/>
        </w:rPr>
        <w:t>and</w:t>
      </w:r>
      <w:r>
        <w:rPr>
          <w:color w:val="231F20"/>
          <w:spacing w:val="3"/>
          <w:sz w:val="13"/>
        </w:rPr>
        <w:t xml:space="preserve"> </w:t>
      </w:r>
      <w:r>
        <w:rPr>
          <w:color w:val="231F20"/>
          <w:sz w:val="13"/>
        </w:rPr>
        <w:t>totals.’</w:t>
      </w:r>
    </w:p>
    <w:p w14:paraId="1BA286EA" w14:textId="77777777" w:rsidR="00894070" w:rsidRDefault="009B7AFD">
      <w:pPr>
        <w:pStyle w:val="ListParagraph"/>
        <w:numPr>
          <w:ilvl w:val="0"/>
          <w:numId w:val="172"/>
        </w:numPr>
        <w:tabs>
          <w:tab w:val="left" w:pos="1801"/>
          <w:tab w:val="left" w:pos="1802"/>
        </w:tabs>
        <w:spacing w:line="213" w:lineRule="auto"/>
        <w:ind w:right="1220"/>
        <w:rPr>
          <w:sz w:val="13"/>
        </w:rPr>
      </w:pPr>
      <w:r>
        <w:rPr>
          <w:color w:val="231F20"/>
          <w:sz w:val="13"/>
        </w:rPr>
        <w:t xml:space="preserve">Ibid Table </w:t>
      </w:r>
      <w:r>
        <w:rPr>
          <w:color w:val="231F20"/>
          <w:spacing w:val="3"/>
          <w:sz w:val="13"/>
        </w:rPr>
        <w:t xml:space="preserve">35.3. </w:t>
      </w:r>
      <w:r>
        <w:rPr>
          <w:color w:val="231F20"/>
          <w:sz w:val="13"/>
        </w:rPr>
        <w:t xml:space="preserve">The figures are similar regardless of whether the </w:t>
      </w:r>
      <w:r>
        <w:rPr>
          <w:color w:val="231F20"/>
          <w:spacing w:val="2"/>
          <w:sz w:val="13"/>
        </w:rPr>
        <w:t xml:space="preserve">stalking </w:t>
      </w:r>
      <w:r>
        <w:rPr>
          <w:color w:val="231F20"/>
          <w:sz w:val="13"/>
        </w:rPr>
        <w:t xml:space="preserve">was by a male (48% of women thought the </w:t>
      </w:r>
      <w:r>
        <w:rPr>
          <w:color w:val="231F20"/>
          <w:spacing w:val="2"/>
          <w:sz w:val="13"/>
        </w:rPr>
        <w:t xml:space="preserve">stalking </w:t>
      </w:r>
      <w:r>
        <w:rPr>
          <w:color w:val="231F20"/>
          <w:sz w:val="13"/>
        </w:rPr>
        <w:t xml:space="preserve">was wrong but not a crime) or a female </w:t>
      </w:r>
      <w:r>
        <w:rPr>
          <w:color w:val="231F20"/>
          <w:spacing w:val="2"/>
          <w:sz w:val="13"/>
        </w:rPr>
        <w:t xml:space="preserve">(51% </w:t>
      </w:r>
      <w:r>
        <w:rPr>
          <w:color w:val="231F20"/>
          <w:sz w:val="13"/>
        </w:rPr>
        <w:t xml:space="preserve">of women thought the </w:t>
      </w:r>
      <w:r>
        <w:rPr>
          <w:color w:val="231F20"/>
          <w:spacing w:val="2"/>
          <w:sz w:val="13"/>
        </w:rPr>
        <w:t xml:space="preserve">stalking </w:t>
      </w:r>
      <w:r>
        <w:rPr>
          <w:color w:val="231F20"/>
          <w:sz w:val="13"/>
        </w:rPr>
        <w:t>was wrong but not a</w:t>
      </w:r>
      <w:r>
        <w:rPr>
          <w:color w:val="231F20"/>
          <w:spacing w:val="17"/>
          <w:sz w:val="13"/>
        </w:rPr>
        <w:t xml:space="preserve"> </w:t>
      </w:r>
      <w:r>
        <w:rPr>
          <w:color w:val="231F20"/>
          <w:sz w:val="13"/>
        </w:rPr>
        <w:t>crime).</w:t>
      </w:r>
    </w:p>
    <w:p w14:paraId="451E8D02" w14:textId="77777777" w:rsidR="00894070" w:rsidRDefault="009B7AFD">
      <w:pPr>
        <w:pStyle w:val="ListParagraph"/>
        <w:numPr>
          <w:ilvl w:val="0"/>
          <w:numId w:val="172"/>
        </w:numPr>
        <w:tabs>
          <w:tab w:val="left" w:pos="1800"/>
          <w:tab w:val="left" w:pos="1802"/>
        </w:tabs>
        <w:spacing w:line="152" w:lineRule="exact"/>
        <w:rPr>
          <w:sz w:val="13"/>
        </w:rPr>
      </w:pPr>
      <w:r>
        <w:rPr>
          <w:color w:val="231F20"/>
          <w:sz w:val="13"/>
        </w:rPr>
        <w:t xml:space="preserve">29% of women contacted </w:t>
      </w:r>
      <w:r>
        <w:rPr>
          <w:color w:val="231F20"/>
          <w:spacing w:val="2"/>
          <w:sz w:val="13"/>
        </w:rPr>
        <w:t xml:space="preserve">police </w:t>
      </w:r>
      <w:r>
        <w:rPr>
          <w:color w:val="231F20"/>
          <w:sz w:val="13"/>
        </w:rPr>
        <w:t xml:space="preserve">about </w:t>
      </w:r>
      <w:r>
        <w:rPr>
          <w:color w:val="231F20"/>
          <w:spacing w:val="2"/>
          <w:sz w:val="13"/>
        </w:rPr>
        <w:t xml:space="preserve">stalking </w:t>
      </w:r>
      <w:r>
        <w:rPr>
          <w:color w:val="231F20"/>
          <w:sz w:val="13"/>
        </w:rPr>
        <w:t xml:space="preserve">by a male and 37% contacted </w:t>
      </w:r>
      <w:r>
        <w:rPr>
          <w:color w:val="231F20"/>
          <w:spacing w:val="2"/>
          <w:sz w:val="13"/>
        </w:rPr>
        <w:t xml:space="preserve">police </w:t>
      </w:r>
      <w:r>
        <w:rPr>
          <w:color w:val="231F20"/>
          <w:sz w:val="13"/>
        </w:rPr>
        <w:t xml:space="preserve">about </w:t>
      </w:r>
      <w:r>
        <w:rPr>
          <w:color w:val="231F20"/>
          <w:spacing w:val="2"/>
          <w:sz w:val="13"/>
        </w:rPr>
        <w:t xml:space="preserve">stalking </w:t>
      </w:r>
      <w:r>
        <w:rPr>
          <w:color w:val="231F20"/>
          <w:sz w:val="13"/>
        </w:rPr>
        <w:t>by a female: at Table</w:t>
      </w:r>
      <w:r>
        <w:rPr>
          <w:color w:val="231F20"/>
          <w:spacing w:val="14"/>
          <w:sz w:val="13"/>
        </w:rPr>
        <w:t xml:space="preserve"> </w:t>
      </w:r>
      <w:r>
        <w:rPr>
          <w:color w:val="231F20"/>
          <w:sz w:val="13"/>
        </w:rPr>
        <w:t>37.3.</w:t>
      </w:r>
    </w:p>
    <w:p w14:paraId="401462F0" w14:textId="77777777" w:rsidR="00894070" w:rsidRDefault="009B7AFD">
      <w:pPr>
        <w:pStyle w:val="ListParagraph"/>
        <w:numPr>
          <w:ilvl w:val="0"/>
          <w:numId w:val="172"/>
        </w:numPr>
        <w:tabs>
          <w:tab w:val="left" w:pos="1801"/>
          <w:tab w:val="left" w:pos="1802"/>
        </w:tabs>
        <w:spacing w:line="160" w:lineRule="exact"/>
        <w:rPr>
          <w:sz w:val="13"/>
        </w:rPr>
      </w:pPr>
      <w:r>
        <w:rPr>
          <w:color w:val="231F20"/>
          <w:sz w:val="13"/>
        </w:rPr>
        <w:t xml:space="preserve">Ibid Table </w:t>
      </w:r>
      <w:r>
        <w:rPr>
          <w:color w:val="231F20"/>
          <w:spacing w:val="2"/>
          <w:sz w:val="13"/>
        </w:rPr>
        <w:t>36.3.</w:t>
      </w:r>
    </w:p>
    <w:p w14:paraId="69246987" w14:textId="77777777" w:rsidR="00894070" w:rsidRDefault="009F6793">
      <w:pPr>
        <w:pStyle w:val="ListParagraph"/>
        <w:numPr>
          <w:ilvl w:val="0"/>
          <w:numId w:val="172"/>
        </w:numPr>
        <w:tabs>
          <w:tab w:val="left" w:pos="1801"/>
          <w:tab w:val="left" w:pos="1802"/>
        </w:tabs>
        <w:spacing w:line="160" w:lineRule="exact"/>
        <w:rPr>
          <w:sz w:val="13"/>
        </w:rPr>
      </w:pPr>
      <w:r>
        <w:pict w14:anchorId="58A9F0B4">
          <v:shape id="_x0000_s1667" type="#_x0000_t202" style="position:absolute;left:0;text-align:left;margin-left:36pt;margin-top:3.7pt;width:13pt;height:14.1pt;z-index:251499520;mso-position-horizontal-relative:page" filled="f" stroked="f">
            <v:textbox inset="0,0,0,0">
              <w:txbxContent>
                <w:p w14:paraId="1456E4FC" w14:textId="77777777" w:rsidR="00894070" w:rsidRDefault="009B7AFD">
                  <w:pPr>
                    <w:spacing w:line="282" w:lineRule="exact"/>
                    <w:rPr>
                      <w:b/>
                      <w:sz w:val="24"/>
                    </w:rPr>
                  </w:pPr>
                  <w:r>
                    <w:rPr>
                      <w:b/>
                      <w:color w:val="EA5B50"/>
                      <w:spacing w:val="-3"/>
                      <w:sz w:val="24"/>
                    </w:rPr>
                    <w:t>16</w:t>
                  </w:r>
                </w:p>
              </w:txbxContent>
            </v:textbox>
            <w10:wrap anchorx="page"/>
          </v:shape>
        </w:pict>
      </w:r>
      <w:r w:rsidR="009B7AFD">
        <w:rPr>
          <w:color w:val="231F20"/>
          <w:sz w:val="13"/>
        </w:rPr>
        <w:t xml:space="preserve">Ibid Table 37.3. Only 18% of men contacted the </w:t>
      </w:r>
      <w:r w:rsidR="009B7AFD">
        <w:rPr>
          <w:color w:val="231F20"/>
          <w:spacing w:val="2"/>
          <w:sz w:val="13"/>
        </w:rPr>
        <w:t xml:space="preserve">police </w:t>
      </w:r>
      <w:r w:rsidR="009B7AFD">
        <w:rPr>
          <w:color w:val="231F20"/>
          <w:sz w:val="13"/>
        </w:rPr>
        <w:t xml:space="preserve">about </w:t>
      </w:r>
      <w:r w:rsidR="009B7AFD">
        <w:rPr>
          <w:color w:val="231F20"/>
          <w:spacing w:val="2"/>
          <w:sz w:val="13"/>
        </w:rPr>
        <w:t xml:space="preserve">stalking </w:t>
      </w:r>
      <w:r w:rsidR="009B7AFD">
        <w:rPr>
          <w:color w:val="231F20"/>
          <w:sz w:val="13"/>
        </w:rPr>
        <w:t>by a</w:t>
      </w:r>
      <w:r w:rsidR="009B7AFD">
        <w:rPr>
          <w:color w:val="231F20"/>
          <w:spacing w:val="1"/>
          <w:sz w:val="13"/>
        </w:rPr>
        <w:t xml:space="preserve"> </w:t>
      </w:r>
      <w:r w:rsidR="009B7AFD">
        <w:rPr>
          <w:color w:val="231F20"/>
          <w:sz w:val="13"/>
        </w:rPr>
        <w:t>female.</w:t>
      </w:r>
    </w:p>
    <w:p w14:paraId="34F13FCD" w14:textId="77777777" w:rsidR="00894070" w:rsidRDefault="009B7AFD">
      <w:pPr>
        <w:pStyle w:val="ListParagraph"/>
        <w:numPr>
          <w:ilvl w:val="0"/>
          <w:numId w:val="172"/>
        </w:numPr>
        <w:tabs>
          <w:tab w:val="left" w:pos="1801"/>
          <w:tab w:val="left" w:pos="1802"/>
        </w:tabs>
        <w:spacing w:line="170" w:lineRule="exact"/>
        <w:rPr>
          <w:sz w:val="13"/>
        </w:rPr>
      </w:pPr>
      <w:r>
        <w:rPr>
          <w:color w:val="231F20"/>
          <w:sz w:val="13"/>
        </w:rPr>
        <w:t>Ibid.</w:t>
      </w:r>
    </w:p>
    <w:p w14:paraId="26297A8F" w14:textId="77777777" w:rsidR="00894070" w:rsidRDefault="00894070">
      <w:pPr>
        <w:spacing w:line="170" w:lineRule="exact"/>
        <w:rPr>
          <w:sz w:val="13"/>
        </w:rPr>
        <w:sectPr w:rsidR="00894070">
          <w:pgSz w:w="11910" w:h="16840"/>
          <w:pgMar w:top="860" w:right="420" w:bottom="280" w:left="580" w:header="567" w:footer="0" w:gutter="0"/>
          <w:cols w:space="720"/>
        </w:sectPr>
      </w:pPr>
    </w:p>
    <w:p w14:paraId="204F86AF" w14:textId="77777777" w:rsidR="00894070" w:rsidRDefault="00894070">
      <w:pPr>
        <w:pStyle w:val="BodyText"/>
      </w:pPr>
    </w:p>
    <w:p w14:paraId="25EEAD09" w14:textId="77777777" w:rsidR="00894070" w:rsidRDefault="00894070">
      <w:pPr>
        <w:pStyle w:val="BodyText"/>
      </w:pPr>
    </w:p>
    <w:p w14:paraId="5070F45B" w14:textId="77777777" w:rsidR="00894070" w:rsidRDefault="00894070">
      <w:pPr>
        <w:pStyle w:val="BodyText"/>
      </w:pPr>
    </w:p>
    <w:p w14:paraId="185B28D8" w14:textId="77777777" w:rsidR="00894070" w:rsidRDefault="00894070">
      <w:pPr>
        <w:pStyle w:val="BodyText"/>
        <w:spacing w:before="6"/>
        <w:rPr>
          <w:sz w:val="14"/>
        </w:rPr>
      </w:pPr>
    </w:p>
    <w:p w14:paraId="7C3A9B84" w14:textId="77777777" w:rsidR="00894070" w:rsidRDefault="009B7AFD">
      <w:pPr>
        <w:pStyle w:val="ListParagraph"/>
        <w:numPr>
          <w:ilvl w:val="1"/>
          <w:numId w:val="177"/>
        </w:numPr>
        <w:tabs>
          <w:tab w:val="left" w:pos="1801"/>
          <w:tab w:val="left" w:pos="1802"/>
        </w:tabs>
        <w:spacing w:before="58" w:line="259" w:lineRule="exact"/>
        <w:rPr>
          <w:sz w:val="20"/>
        </w:rPr>
      </w:pPr>
      <w:bookmarkStart w:id="36" w:name="_bookmark17"/>
      <w:bookmarkEnd w:id="36"/>
      <w:r>
        <w:rPr>
          <w:color w:val="231F20"/>
          <w:sz w:val="20"/>
        </w:rPr>
        <w:t>The</w:t>
      </w:r>
      <w:r>
        <w:rPr>
          <w:color w:val="231F20"/>
          <w:spacing w:val="-6"/>
          <w:sz w:val="20"/>
        </w:rPr>
        <w:t xml:space="preserve"> </w:t>
      </w:r>
      <w:r>
        <w:rPr>
          <w:color w:val="231F20"/>
          <w:sz w:val="20"/>
        </w:rPr>
        <w:t>most</w:t>
      </w:r>
      <w:r>
        <w:rPr>
          <w:color w:val="231F20"/>
          <w:spacing w:val="-5"/>
          <w:sz w:val="20"/>
        </w:rPr>
        <w:t xml:space="preserve"> </w:t>
      </w:r>
      <w:r>
        <w:rPr>
          <w:color w:val="231F20"/>
          <w:sz w:val="20"/>
        </w:rPr>
        <w:t>common</w:t>
      </w:r>
      <w:r>
        <w:rPr>
          <w:color w:val="231F20"/>
          <w:spacing w:val="-6"/>
          <w:sz w:val="20"/>
        </w:rPr>
        <w:t xml:space="preserve"> </w:t>
      </w:r>
      <w:r>
        <w:rPr>
          <w:color w:val="231F20"/>
          <w:sz w:val="20"/>
        </w:rPr>
        <w:t>reason</w:t>
      </w:r>
      <w:r>
        <w:rPr>
          <w:color w:val="231F20"/>
          <w:spacing w:val="-5"/>
          <w:sz w:val="20"/>
        </w:rPr>
        <w:t xml:space="preserve"> </w:t>
      </w:r>
      <w:r>
        <w:rPr>
          <w:color w:val="231F20"/>
          <w:sz w:val="20"/>
        </w:rPr>
        <w:t>men</w:t>
      </w:r>
      <w:r>
        <w:rPr>
          <w:color w:val="231F20"/>
          <w:spacing w:val="-5"/>
          <w:sz w:val="20"/>
        </w:rPr>
        <w:t xml:space="preserve"> </w:t>
      </w:r>
      <w:r>
        <w:rPr>
          <w:color w:val="231F20"/>
          <w:sz w:val="20"/>
        </w:rPr>
        <w:t>had</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not</w:t>
      </w:r>
      <w:r>
        <w:rPr>
          <w:color w:val="231F20"/>
          <w:spacing w:val="-5"/>
          <w:sz w:val="20"/>
        </w:rPr>
        <w:t xml:space="preserve"> </w:t>
      </w:r>
      <w:r>
        <w:rPr>
          <w:color w:val="231F20"/>
          <w:sz w:val="20"/>
        </w:rPr>
        <w:t>contacting</w:t>
      </w:r>
      <w:r>
        <w:rPr>
          <w:color w:val="231F20"/>
          <w:spacing w:val="-6"/>
          <w:sz w:val="20"/>
        </w:rPr>
        <w:t xml:space="preserve"> </w:t>
      </w:r>
      <w:r>
        <w:rPr>
          <w:color w:val="231F20"/>
          <w:sz w:val="20"/>
        </w:rPr>
        <w:t>police</w:t>
      </w:r>
      <w:r>
        <w:rPr>
          <w:color w:val="231F20"/>
          <w:spacing w:val="-5"/>
          <w:sz w:val="20"/>
        </w:rPr>
        <w:t xml:space="preserve"> </w:t>
      </w:r>
      <w:r>
        <w:rPr>
          <w:color w:val="231F20"/>
          <w:sz w:val="20"/>
        </w:rPr>
        <w:t>about</w:t>
      </w:r>
      <w:r>
        <w:rPr>
          <w:color w:val="231F20"/>
          <w:spacing w:val="-5"/>
          <w:sz w:val="20"/>
        </w:rPr>
        <w:t xml:space="preserve"> </w:t>
      </w:r>
      <w:r>
        <w:rPr>
          <w:color w:val="231F20"/>
          <w:sz w:val="20"/>
        </w:rPr>
        <w:t>stalking</w:t>
      </w:r>
      <w:r>
        <w:rPr>
          <w:color w:val="231F20"/>
          <w:spacing w:val="-6"/>
          <w:sz w:val="20"/>
        </w:rPr>
        <w:t xml:space="preserve"> </w:t>
      </w:r>
      <w:r>
        <w:rPr>
          <w:color w:val="231F20"/>
          <w:spacing w:val="-3"/>
          <w:sz w:val="20"/>
        </w:rPr>
        <w:t>by</w:t>
      </w:r>
      <w:r>
        <w:rPr>
          <w:color w:val="231F20"/>
          <w:spacing w:val="-5"/>
          <w:sz w:val="20"/>
        </w:rPr>
        <w:t xml:space="preserve"> </w:t>
      </w:r>
      <w:r>
        <w:rPr>
          <w:color w:val="231F20"/>
          <w:sz w:val="20"/>
        </w:rPr>
        <w:t>a</w:t>
      </w:r>
    </w:p>
    <w:p w14:paraId="6F6D07DE" w14:textId="77777777" w:rsidR="00894070" w:rsidRDefault="009B7AFD">
      <w:pPr>
        <w:pStyle w:val="BodyText"/>
        <w:spacing w:line="259" w:lineRule="exact"/>
        <w:ind w:left="1801"/>
        <w:rPr>
          <w:sz w:val="11"/>
        </w:rPr>
      </w:pPr>
      <w:r>
        <w:rPr>
          <w:color w:val="231F20"/>
        </w:rPr>
        <w:t>female was the feeling that they could deal with it themselves.</w:t>
      </w:r>
      <w:r>
        <w:rPr>
          <w:color w:val="231F20"/>
          <w:position w:val="7"/>
          <w:sz w:val="11"/>
        </w:rPr>
        <w:t>39</w:t>
      </w:r>
    </w:p>
    <w:p w14:paraId="44D3C5A9" w14:textId="77777777" w:rsidR="00894070" w:rsidRDefault="009B7AFD">
      <w:pPr>
        <w:pStyle w:val="ListParagraph"/>
        <w:numPr>
          <w:ilvl w:val="1"/>
          <w:numId w:val="177"/>
        </w:numPr>
        <w:tabs>
          <w:tab w:val="left" w:pos="1801"/>
          <w:tab w:val="left" w:pos="1802"/>
        </w:tabs>
        <w:spacing w:before="114" w:line="206" w:lineRule="auto"/>
        <w:ind w:right="1379"/>
        <w:rPr>
          <w:sz w:val="11"/>
        </w:rPr>
      </w:pPr>
      <w:r>
        <w:rPr>
          <w:color w:val="231F20"/>
          <w:sz w:val="20"/>
        </w:rPr>
        <w:t xml:space="preserve">Stalking </w:t>
      </w:r>
      <w:r>
        <w:rPr>
          <w:color w:val="231F20"/>
          <w:spacing w:val="-3"/>
          <w:sz w:val="20"/>
        </w:rPr>
        <w:t xml:space="preserve">rates </w:t>
      </w:r>
      <w:r>
        <w:rPr>
          <w:color w:val="231F20"/>
          <w:sz w:val="20"/>
        </w:rPr>
        <w:t xml:space="preserve">seem to be similar in comparable places </w:t>
      </w:r>
      <w:r>
        <w:rPr>
          <w:color w:val="231F20"/>
          <w:spacing w:val="-2"/>
          <w:sz w:val="20"/>
        </w:rPr>
        <w:t xml:space="preserve">overseas, </w:t>
      </w:r>
      <w:r>
        <w:rPr>
          <w:color w:val="231F20"/>
          <w:sz w:val="20"/>
        </w:rPr>
        <w:t>such as the United Kingdom</w:t>
      </w:r>
      <w:r>
        <w:rPr>
          <w:color w:val="231F20"/>
          <w:position w:val="7"/>
          <w:sz w:val="11"/>
        </w:rPr>
        <w:t xml:space="preserve">40 </w:t>
      </w:r>
      <w:r>
        <w:rPr>
          <w:color w:val="231F20"/>
          <w:sz w:val="20"/>
        </w:rPr>
        <w:t>and the United States.</w:t>
      </w:r>
      <w:r>
        <w:rPr>
          <w:color w:val="231F20"/>
          <w:position w:val="7"/>
          <w:sz w:val="11"/>
        </w:rPr>
        <w:t xml:space="preserve">41 </w:t>
      </w:r>
      <w:r>
        <w:rPr>
          <w:color w:val="231F20"/>
          <w:spacing w:val="-4"/>
          <w:sz w:val="20"/>
        </w:rPr>
        <w:t xml:space="preserve">Low </w:t>
      </w:r>
      <w:r>
        <w:rPr>
          <w:color w:val="231F20"/>
          <w:spacing w:val="-3"/>
          <w:sz w:val="20"/>
        </w:rPr>
        <w:t xml:space="preserve">rates </w:t>
      </w:r>
      <w:r>
        <w:rPr>
          <w:color w:val="231F20"/>
          <w:sz w:val="20"/>
        </w:rPr>
        <w:t>of reporting also appear to be</w:t>
      </w:r>
      <w:r>
        <w:rPr>
          <w:color w:val="231F20"/>
          <w:spacing w:val="-33"/>
          <w:sz w:val="20"/>
        </w:rPr>
        <w:t xml:space="preserve"> </w:t>
      </w:r>
      <w:r>
        <w:rPr>
          <w:color w:val="231F20"/>
          <w:sz w:val="20"/>
        </w:rPr>
        <w:t>common overseas.</w:t>
      </w:r>
      <w:r>
        <w:rPr>
          <w:color w:val="231F20"/>
          <w:position w:val="7"/>
          <w:sz w:val="11"/>
        </w:rPr>
        <w:t>42</w:t>
      </w:r>
    </w:p>
    <w:p w14:paraId="0B52C189" w14:textId="77777777" w:rsidR="00894070" w:rsidRDefault="00894070">
      <w:pPr>
        <w:pStyle w:val="BodyText"/>
        <w:spacing w:before="11"/>
        <w:rPr>
          <w:sz w:val="17"/>
        </w:rPr>
      </w:pPr>
    </w:p>
    <w:p w14:paraId="00D74FC8" w14:textId="77777777" w:rsidR="00894070" w:rsidRDefault="009B7AFD">
      <w:pPr>
        <w:pStyle w:val="Heading8"/>
        <w:spacing w:line="216" w:lineRule="auto"/>
        <w:ind w:left="1007" w:right="2016"/>
      </w:pPr>
      <w:r>
        <w:rPr>
          <w:color w:val="231F20"/>
        </w:rPr>
        <w:t>Around two-thirds of stalking offences reported to police resulted in charges—one-third resulted in a finding of guilt</w:t>
      </w:r>
    </w:p>
    <w:p w14:paraId="5F1C692C" w14:textId="77777777" w:rsidR="00894070" w:rsidRDefault="009B7AFD">
      <w:pPr>
        <w:pStyle w:val="ListParagraph"/>
        <w:numPr>
          <w:ilvl w:val="1"/>
          <w:numId w:val="177"/>
        </w:numPr>
        <w:tabs>
          <w:tab w:val="left" w:pos="1801"/>
          <w:tab w:val="left" w:pos="1802"/>
        </w:tabs>
        <w:spacing w:before="133" w:line="206" w:lineRule="auto"/>
        <w:ind w:right="1189"/>
        <w:rPr>
          <w:sz w:val="20"/>
        </w:rPr>
      </w:pPr>
      <w:r>
        <w:rPr>
          <w:color w:val="231F20"/>
          <w:sz w:val="20"/>
        </w:rPr>
        <w:t>The</w:t>
      </w:r>
      <w:r>
        <w:rPr>
          <w:color w:val="231F20"/>
          <w:spacing w:val="-14"/>
          <w:sz w:val="20"/>
        </w:rPr>
        <w:t xml:space="preserve"> </w:t>
      </w:r>
      <w:r>
        <w:rPr>
          <w:color w:val="231F20"/>
          <w:sz w:val="20"/>
        </w:rPr>
        <w:t>Crime</w:t>
      </w:r>
      <w:r>
        <w:rPr>
          <w:color w:val="231F20"/>
          <w:spacing w:val="-14"/>
          <w:sz w:val="20"/>
        </w:rPr>
        <w:t xml:space="preserve"> </w:t>
      </w:r>
      <w:r>
        <w:rPr>
          <w:color w:val="231F20"/>
          <w:sz w:val="20"/>
        </w:rPr>
        <w:t>Statistics</w:t>
      </w:r>
      <w:r>
        <w:rPr>
          <w:color w:val="231F20"/>
          <w:spacing w:val="-14"/>
          <w:sz w:val="20"/>
        </w:rPr>
        <w:t xml:space="preserve"> </w:t>
      </w:r>
      <w:r>
        <w:rPr>
          <w:color w:val="231F20"/>
          <w:sz w:val="20"/>
        </w:rPr>
        <w:t>Agency</w:t>
      </w:r>
      <w:r>
        <w:rPr>
          <w:color w:val="231F20"/>
          <w:spacing w:val="-14"/>
          <w:sz w:val="20"/>
        </w:rPr>
        <w:t xml:space="preserve"> </w:t>
      </w:r>
      <w:r>
        <w:rPr>
          <w:color w:val="231F20"/>
          <w:sz w:val="20"/>
        </w:rPr>
        <w:t>found</w:t>
      </w:r>
      <w:r>
        <w:rPr>
          <w:color w:val="231F20"/>
          <w:spacing w:val="-14"/>
          <w:sz w:val="20"/>
        </w:rPr>
        <w:t xml:space="preserve"> </w:t>
      </w:r>
      <w:r>
        <w:rPr>
          <w:color w:val="231F20"/>
          <w:sz w:val="20"/>
        </w:rPr>
        <w:t>that</w:t>
      </w:r>
      <w:r>
        <w:rPr>
          <w:color w:val="231F20"/>
          <w:spacing w:val="-14"/>
          <w:sz w:val="20"/>
        </w:rPr>
        <w:t xml:space="preserve"> </w:t>
      </w:r>
      <w:r>
        <w:rPr>
          <w:color w:val="231F20"/>
          <w:sz w:val="20"/>
        </w:rPr>
        <w:t>of</w:t>
      </w:r>
      <w:r>
        <w:rPr>
          <w:color w:val="231F20"/>
          <w:spacing w:val="-14"/>
          <w:sz w:val="20"/>
        </w:rPr>
        <w:t xml:space="preserve"> </w:t>
      </w:r>
      <w:r>
        <w:rPr>
          <w:color w:val="231F20"/>
          <w:sz w:val="20"/>
        </w:rPr>
        <w:t>stalking</w:t>
      </w:r>
      <w:r>
        <w:rPr>
          <w:color w:val="231F20"/>
          <w:spacing w:val="-13"/>
          <w:sz w:val="20"/>
        </w:rPr>
        <w:t xml:space="preserve"> </w:t>
      </w:r>
      <w:r>
        <w:rPr>
          <w:color w:val="231F20"/>
          <w:sz w:val="20"/>
        </w:rPr>
        <w:t>offences</w:t>
      </w:r>
      <w:r>
        <w:rPr>
          <w:color w:val="231F20"/>
          <w:spacing w:val="-14"/>
          <w:sz w:val="20"/>
        </w:rPr>
        <w:t xml:space="preserve"> </w:t>
      </w:r>
      <w:r>
        <w:rPr>
          <w:color w:val="231F20"/>
          <w:sz w:val="20"/>
        </w:rPr>
        <w:t>reported</w:t>
      </w:r>
      <w:r>
        <w:rPr>
          <w:color w:val="231F20"/>
          <w:spacing w:val="-14"/>
          <w:sz w:val="20"/>
        </w:rPr>
        <w:t xml:space="preserve"> </w:t>
      </w:r>
      <w:r>
        <w:rPr>
          <w:color w:val="231F20"/>
          <w:sz w:val="20"/>
        </w:rPr>
        <w:t>to</w:t>
      </w:r>
      <w:r>
        <w:rPr>
          <w:color w:val="231F20"/>
          <w:spacing w:val="-14"/>
          <w:sz w:val="20"/>
        </w:rPr>
        <w:t xml:space="preserve"> </w:t>
      </w:r>
      <w:r>
        <w:rPr>
          <w:color w:val="231F20"/>
          <w:sz w:val="20"/>
        </w:rPr>
        <w:t>police</w:t>
      </w:r>
      <w:r>
        <w:rPr>
          <w:color w:val="231F20"/>
          <w:spacing w:val="-14"/>
          <w:sz w:val="20"/>
        </w:rPr>
        <w:t xml:space="preserve"> </w:t>
      </w:r>
      <w:r>
        <w:rPr>
          <w:color w:val="231F20"/>
          <w:sz w:val="20"/>
        </w:rPr>
        <w:t xml:space="preserve">between January </w:t>
      </w:r>
      <w:r>
        <w:rPr>
          <w:color w:val="231F20"/>
          <w:spacing w:val="-3"/>
          <w:sz w:val="20"/>
        </w:rPr>
        <w:t xml:space="preserve">2016 </w:t>
      </w:r>
      <w:r>
        <w:rPr>
          <w:color w:val="231F20"/>
          <w:sz w:val="20"/>
        </w:rPr>
        <w:t xml:space="preserve">and December </w:t>
      </w:r>
      <w:r>
        <w:rPr>
          <w:color w:val="231F20"/>
          <w:spacing w:val="-3"/>
          <w:sz w:val="20"/>
        </w:rPr>
        <w:t xml:space="preserve">2018, </w:t>
      </w:r>
      <w:r>
        <w:rPr>
          <w:color w:val="231F20"/>
          <w:sz w:val="20"/>
        </w:rPr>
        <w:t xml:space="preserve">around a third (33 per cent) did not </w:t>
      </w:r>
      <w:r>
        <w:rPr>
          <w:color w:val="231F20"/>
          <w:spacing w:val="-3"/>
          <w:sz w:val="20"/>
        </w:rPr>
        <w:t xml:space="preserve">result </w:t>
      </w:r>
      <w:r>
        <w:rPr>
          <w:color w:val="231F20"/>
          <w:sz w:val="20"/>
        </w:rPr>
        <w:t>in charges.</w:t>
      </w:r>
      <w:r>
        <w:rPr>
          <w:color w:val="231F20"/>
          <w:position w:val="7"/>
          <w:sz w:val="11"/>
        </w:rPr>
        <w:t xml:space="preserve">43 </w:t>
      </w:r>
      <w:r>
        <w:rPr>
          <w:color w:val="231F20"/>
          <w:sz w:val="20"/>
        </w:rPr>
        <w:t xml:space="preserve">Another third (31 per cent) </w:t>
      </w:r>
      <w:r>
        <w:rPr>
          <w:color w:val="231F20"/>
          <w:spacing w:val="-4"/>
          <w:sz w:val="20"/>
        </w:rPr>
        <w:t xml:space="preserve">were </w:t>
      </w:r>
      <w:r>
        <w:rPr>
          <w:color w:val="231F20"/>
          <w:sz w:val="20"/>
        </w:rPr>
        <w:t xml:space="preserve">charged and </w:t>
      </w:r>
      <w:r>
        <w:rPr>
          <w:color w:val="231F20"/>
          <w:spacing w:val="-3"/>
          <w:sz w:val="20"/>
        </w:rPr>
        <w:t xml:space="preserve">resulted </w:t>
      </w:r>
      <w:r>
        <w:rPr>
          <w:color w:val="231F20"/>
          <w:sz w:val="20"/>
        </w:rPr>
        <w:t>in a finding of guilt.</w:t>
      </w:r>
      <w:r>
        <w:rPr>
          <w:color w:val="231F20"/>
          <w:position w:val="7"/>
          <w:sz w:val="11"/>
        </w:rPr>
        <w:t>44</w:t>
      </w:r>
      <w:r>
        <w:rPr>
          <w:color w:val="231F20"/>
          <w:sz w:val="11"/>
        </w:rPr>
        <w:t xml:space="preserve"> </w:t>
      </w:r>
      <w:r>
        <w:rPr>
          <w:color w:val="231F20"/>
          <w:spacing w:val="-6"/>
          <w:sz w:val="20"/>
        </w:rPr>
        <w:t xml:space="preserve">We </w:t>
      </w:r>
      <w:r>
        <w:rPr>
          <w:color w:val="231F20"/>
          <w:sz w:val="20"/>
        </w:rPr>
        <w:t xml:space="preserve">discuss </w:t>
      </w:r>
      <w:r>
        <w:rPr>
          <w:color w:val="231F20"/>
          <w:spacing w:val="-3"/>
          <w:sz w:val="20"/>
        </w:rPr>
        <w:t xml:space="preserve">why </w:t>
      </w:r>
      <w:r>
        <w:rPr>
          <w:color w:val="231F20"/>
          <w:sz w:val="20"/>
        </w:rPr>
        <w:t xml:space="preserve">stalking cases </w:t>
      </w:r>
      <w:r>
        <w:rPr>
          <w:color w:val="231F20"/>
          <w:spacing w:val="-3"/>
          <w:sz w:val="20"/>
        </w:rPr>
        <w:t xml:space="preserve">may </w:t>
      </w:r>
      <w:r>
        <w:rPr>
          <w:color w:val="231F20"/>
          <w:sz w:val="20"/>
        </w:rPr>
        <w:t xml:space="preserve">not </w:t>
      </w:r>
      <w:r>
        <w:rPr>
          <w:color w:val="231F20"/>
          <w:spacing w:val="-3"/>
          <w:sz w:val="20"/>
        </w:rPr>
        <w:t xml:space="preserve">progress </w:t>
      </w:r>
      <w:r>
        <w:rPr>
          <w:color w:val="231F20"/>
          <w:sz w:val="20"/>
        </w:rPr>
        <w:t xml:space="preserve">in </w:t>
      </w:r>
      <w:r>
        <w:rPr>
          <w:color w:val="231F20"/>
          <w:spacing w:val="-3"/>
          <w:sz w:val="20"/>
        </w:rPr>
        <w:t>Chapter</w:t>
      </w:r>
      <w:r>
        <w:rPr>
          <w:color w:val="231F20"/>
          <w:spacing w:val="-27"/>
          <w:sz w:val="20"/>
        </w:rPr>
        <w:t xml:space="preserve"> </w:t>
      </w:r>
      <w:r>
        <w:rPr>
          <w:color w:val="231F20"/>
          <w:spacing w:val="-8"/>
          <w:sz w:val="20"/>
        </w:rPr>
        <w:t>7.</w:t>
      </w:r>
    </w:p>
    <w:p w14:paraId="5FFB9BB1" w14:textId="77777777" w:rsidR="00894070" w:rsidRDefault="009B7AFD">
      <w:pPr>
        <w:pStyle w:val="ListParagraph"/>
        <w:numPr>
          <w:ilvl w:val="1"/>
          <w:numId w:val="177"/>
        </w:numPr>
        <w:tabs>
          <w:tab w:val="left" w:pos="1801"/>
          <w:tab w:val="left" w:pos="1802"/>
        </w:tabs>
        <w:spacing w:before="125" w:line="206" w:lineRule="auto"/>
        <w:ind w:right="1340"/>
        <w:rPr>
          <w:sz w:val="11"/>
        </w:rPr>
      </w:pPr>
      <w:r>
        <w:rPr>
          <w:color w:val="231F20"/>
          <w:spacing w:val="-3"/>
          <w:sz w:val="20"/>
        </w:rPr>
        <w:t xml:space="preserve">For </w:t>
      </w:r>
      <w:r>
        <w:rPr>
          <w:color w:val="231F20"/>
          <w:sz w:val="20"/>
        </w:rPr>
        <w:t xml:space="preserve">cases that </w:t>
      </w:r>
      <w:r>
        <w:rPr>
          <w:color w:val="231F20"/>
          <w:spacing w:val="-3"/>
          <w:sz w:val="20"/>
        </w:rPr>
        <w:t xml:space="preserve">went </w:t>
      </w:r>
      <w:r>
        <w:rPr>
          <w:color w:val="231F20"/>
          <w:sz w:val="20"/>
        </w:rPr>
        <w:t xml:space="preserve">to court, almost half (49 per cent) </w:t>
      </w:r>
      <w:r>
        <w:rPr>
          <w:color w:val="231F20"/>
          <w:spacing w:val="-3"/>
          <w:sz w:val="20"/>
        </w:rPr>
        <w:t xml:space="preserve">resulted </w:t>
      </w:r>
      <w:r>
        <w:rPr>
          <w:color w:val="231F20"/>
          <w:sz w:val="20"/>
        </w:rPr>
        <w:t xml:space="preserve">in a guilty finding </w:t>
      </w:r>
      <w:r>
        <w:rPr>
          <w:color w:val="231F20"/>
          <w:spacing w:val="-3"/>
          <w:sz w:val="20"/>
        </w:rPr>
        <w:t xml:space="preserve">for </w:t>
      </w:r>
      <w:r>
        <w:rPr>
          <w:color w:val="231F20"/>
          <w:sz w:val="20"/>
        </w:rPr>
        <w:t>the</w:t>
      </w:r>
      <w:r>
        <w:rPr>
          <w:color w:val="231F20"/>
          <w:spacing w:val="-10"/>
          <w:sz w:val="20"/>
        </w:rPr>
        <w:t xml:space="preserve"> </w:t>
      </w:r>
      <w:r>
        <w:rPr>
          <w:color w:val="231F20"/>
          <w:sz w:val="20"/>
        </w:rPr>
        <w:t>stalking</w:t>
      </w:r>
      <w:r>
        <w:rPr>
          <w:color w:val="231F20"/>
          <w:spacing w:val="-9"/>
          <w:sz w:val="20"/>
        </w:rPr>
        <w:t xml:space="preserve"> </w:t>
      </w:r>
      <w:r>
        <w:rPr>
          <w:color w:val="231F20"/>
          <w:sz w:val="20"/>
        </w:rPr>
        <w:t>charges.</w:t>
      </w:r>
      <w:r>
        <w:rPr>
          <w:color w:val="231F20"/>
          <w:spacing w:val="-9"/>
          <w:sz w:val="20"/>
        </w:rPr>
        <w:t xml:space="preserve"> </w:t>
      </w:r>
      <w:r>
        <w:rPr>
          <w:color w:val="231F20"/>
          <w:sz w:val="20"/>
        </w:rPr>
        <w:t>Another</w:t>
      </w:r>
      <w:r>
        <w:rPr>
          <w:color w:val="231F20"/>
          <w:spacing w:val="-9"/>
          <w:sz w:val="20"/>
        </w:rPr>
        <w:t xml:space="preserve"> </w:t>
      </w:r>
      <w:r>
        <w:rPr>
          <w:color w:val="231F20"/>
          <w:sz w:val="20"/>
        </w:rPr>
        <w:t>42</w:t>
      </w:r>
      <w:r>
        <w:rPr>
          <w:color w:val="231F20"/>
          <w:spacing w:val="-9"/>
          <w:sz w:val="20"/>
        </w:rPr>
        <w:t xml:space="preserve"> </w:t>
      </w:r>
      <w:r>
        <w:rPr>
          <w:color w:val="231F20"/>
          <w:sz w:val="20"/>
        </w:rPr>
        <w:t>per</w:t>
      </w:r>
      <w:r>
        <w:rPr>
          <w:color w:val="231F20"/>
          <w:spacing w:val="-9"/>
          <w:sz w:val="20"/>
        </w:rPr>
        <w:t xml:space="preserve"> </w:t>
      </w:r>
      <w:r>
        <w:rPr>
          <w:color w:val="231F20"/>
          <w:sz w:val="20"/>
        </w:rPr>
        <w:t>cent</w:t>
      </w:r>
      <w:r>
        <w:rPr>
          <w:color w:val="231F20"/>
          <w:spacing w:val="-9"/>
          <w:sz w:val="20"/>
        </w:rPr>
        <w:t xml:space="preserve"> </w:t>
      </w:r>
      <w:r>
        <w:rPr>
          <w:color w:val="231F20"/>
          <w:spacing w:val="-3"/>
          <w:sz w:val="20"/>
        </w:rPr>
        <w:t>resulted</w:t>
      </w:r>
      <w:r>
        <w:rPr>
          <w:color w:val="231F20"/>
          <w:spacing w:val="-9"/>
          <w:sz w:val="20"/>
        </w:rPr>
        <w:t xml:space="preserve"> </w:t>
      </w:r>
      <w:r>
        <w:rPr>
          <w:color w:val="231F20"/>
          <w:sz w:val="20"/>
        </w:rPr>
        <w:t>in</w:t>
      </w:r>
      <w:r>
        <w:rPr>
          <w:color w:val="231F20"/>
          <w:spacing w:val="-9"/>
          <w:sz w:val="20"/>
        </w:rPr>
        <w:t xml:space="preserve"> </w:t>
      </w:r>
      <w:r>
        <w:rPr>
          <w:color w:val="231F20"/>
          <w:sz w:val="20"/>
        </w:rPr>
        <w:t>a</w:t>
      </w:r>
      <w:r>
        <w:rPr>
          <w:color w:val="231F20"/>
          <w:spacing w:val="-9"/>
          <w:sz w:val="20"/>
        </w:rPr>
        <w:t xml:space="preserve"> </w:t>
      </w:r>
      <w:r>
        <w:rPr>
          <w:color w:val="231F20"/>
          <w:sz w:val="20"/>
        </w:rPr>
        <w:t>guilty</w:t>
      </w:r>
      <w:r>
        <w:rPr>
          <w:color w:val="231F20"/>
          <w:spacing w:val="-9"/>
          <w:sz w:val="20"/>
        </w:rPr>
        <w:t xml:space="preserve"> </w:t>
      </w:r>
      <w:r>
        <w:rPr>
          <w:color w:val="231F20"/>
          <w:sz w:val="20"/>
        </w:rPr>
        <w:t>finding</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a</w:t>
      </w:r>
      <w:r>
        <w:rPr>
          <w:color w:val="231F20"/>
          <w:spacing w:val="-9"/>
          <w:sz w:val="20"/>
        </w:rPr>
        <w:t xml:space="preserve"> </w:t>
      </w:r>
      <w:r>
        <w:rPr>
          <w:color w:val="231F20"/>
          <w:sz w:val="20"/>
        </w:rPr>
        <w:t>non-stalking charge in the same</w:t>
      </w:r>
      <w:r>
        <w:rPr>
          <w:color w:val="231F20"/>
          <w:spacing w:val="-17"/>
          <w:sz w:val="20"/>
        </w:rPr>
        <w:t xml:space="preserve"> </w:t>
      </w:r>
      <w:r>
        <w:rPr>
          <w:color w:val="231F20"/>
          <w:sz w:val="20"/>
        </w:rPr>
        <w:t>case.</w:t>
      </w:r>
      <w:r>
        <w:rPr>
          <w:color w:val="231F20"/>
          <w:position w:val="7"/>
          <w:sz w:val="11"/>
        </w:rPr>
        <w:t>45</w:t>
      </w:r>
    </w:p>
    <w:p w14:paraId="5290D162" w14:textId="77777777" w:rsidR="00894070" w:rsidRDefault="009B7AFD">
      <w:pPr>
        <w:spacing w:before="122" w:line="218" w:lineRule="auto"/>
        <w:ind w:left="1801" w:right="1459"/>
        <w:rPr>
          <w:b/>
          <w:sz w:val="11"/>
        </w:rPr>
      </w:pPr>
      <w:r>
        <w:rPr>
          <w:b/>
          <w:color w:val="231F20"/>
          <w:sz w:val="19"/>
        </w:rPr>
        <w:t>Figure 1: Attrition of stalking incidents through the Victorian criminal justice system, police-recorded incidents, 2016–2018</w:t>
      </w:r>
      <w:r>
        <w:rPr>
          <w:b/>
          <w:color w:val="231F20"/>
          <w:position w:val="6"/>
          <w:sz w:val="11"/>
        </w:rPr>
        <w:t>46</w:t>
      </w:r>
    </w:p>
    <w:p w14:paraId="18BD6EA7" w14:textId="77777777" w:rsidR="00894070" w:rsidRDefault="009B7AFD">
      <w:pPr>
        <w:pStyle w:val="BodyText"/>
        <w:spacing w:before="10"/>
        <w:rPr>
          <w:b/>
          <w:sz w:val="13"/>
        </w:rPr>
      </w:pPr>
      <w:r>
        <w:rPr>
          <w:noProof/>
        </w:rPr>
        <w:drawing>
          <wp:anchor distT="0" distB="0" distL="0" distR="0" simplePos="0" relativeHeight="251425792" behindDoc="0" locked="0" layoutInCell="1" allowOverlap="1" wp14:anchorId="0A84172A" wp14:editId="356B843E">
            <wp:simplePos x="0" y="0"/>
            <wp:positionH relativeFrom="page">
              <wp:posOffset>1007999</wp:posOffset>
            </wp:positionH>
            <wp:positionV relativeFrom="paragraph">
              <wp:posOffset>145766</wp:posOffset>
            </wp:positionV>
            <wp:extent cx="5580013" cy="658367"/>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51" cstate="print"/>
                    <a:stretch>
                      <a:fillRect/>
                    </a:stretch>
                  </pic:blipFill>
                  <pic:spPr>
                    <a:xfrm>
                      <a:off x="0" y="0"/>
                      <a:ext cx="5580013" cy="658367"/>
                    </a:xfrm>
                    <a:prstGeom prst="rect">
                      <a:avLst/>
                    </a:prstGeom>
                  </pic:spPr>
                </pic:pic>
              </a:graphicData>
            </a:graphic>
          </wp:anchor>
        </w:drawing>
      </w:r>
    </w:p>
    <w:p w14:paraId="364AAC2C" w14:textId="77777777" w:rsidR="00894070" w:rsidRDefault="00894070">
      <w:pPr>
        <w:pStyle w:val="BodyText"/>
        <w:rPr>
          <w:b/>
        </w:rPr>
      </w:pPr>
    </w:p>
    <w:p w14:paraId="69BBF3F7" w14:textId="77777777" w:rsidR="00894070" w:rsidRDefault="00894070">
      <w:pPr>
        <w:pStyle w:val="BodyText"/>
        <w:rPr>
          <w:b/>
        </w:rPr>
      </w:pPr>
    </w:p>
    <w:p w14:paraId="6A8B3EB8" w14:textId="77777777" w:rsidR="00894070" w:rsidRDefault="00894070">
      <w:pPr>
        <w:pStyle w:val="BodyText"/>
        <w:rPr>
          <w:b/>
        </w:rPr>
      </w:pPr>
    </w:p>
    <w:p w14:paraId="7AF1F993" w14:textId="77777777" w:rsidR="00894070" w:rsidRDefault="00894070">
      <w:pPr>
        <w:pStyle w:val="BodyText"/>
        <w:rPr>
          <w:b/>
        </w:rPr>
      </w:pPr>
    </w:p>
    <w:p w14:paraId="30006959" w14:textId="77777777" w:rsidR="00894070" w:rsidRDefault="00894070">
      <w:pPr>
        <w:pStyle w:val="BodyText"/>
        <w:rPr>
          <w:b/>
        </w:rPr>
      </w:pPr>
    </w:p>
    <w:p w14:paraId="1AD6595F" w14:textId="77777777" w:rsidR="00894070" w:rsidRDefault="00894070">
      <w:pPr>
        <w:pStyle w:val="BodyText"/>
        <w:rPr>
          <w:b/>
        </w:rPr>
      </w:pPr>
    </w:p>
    <w:p w14:paraId="2C2F436A" w14:textId="77777777" w:rsidR="00894070" w:rsidRDefault="00894070">
      <w:pPr>
        <w:pStyle w:val="BodyText"/>
        <w:rPr>
          <w:b/>
        </w:rPr>
      </w:pPr>
    </w:p>
    <w:p w14:paraId="2C3A124D" w14:textId="77777777" w:rsidR="00894070" w:rsidRDefault="00894070">
      <w:pPr>
        <w:pStyle w:val="BodyText"/>
        <w:rPr>
          <w:b/>
        </w:rPr>
      </w:pPr>
    </w:p>
    <w:p w14:paraId="4ADCD0D0" w14:textId="77777777" w:rsidR="00894070" w:rsidRDefault="00894070">
      <w:pPr>
        <w:pStyle w:val="BodyText"/>
        <w:rPr>
          <w:b/>
        </w:rPr>
      </w:pPr>
    </w:p>
    <w:p w14:paraId="1443A849" w14:textId="77777777" w:rsidR="00894070" w:rsidRDefault="00894070">
      <w:pPr>
        <w:pStyle w:val="BodyText"/>
        <w:rPr>
          <w:b/>
        </w:rPr>
      </w:pPr>
    </w:p>
    <w:p w14:paraId="029BC181" w14:textId="77777777" w:rsidR="00894070" w:rsidRDefault="00894070">
      <w:pPr>
        <w:pStyle w:val="BodyText"/>
        <w:rPr>
          <w:b/>
        </w:rPr>
      </w:pPr>
    </w:p>
    <w:p w14:paraId="2C5B2232" w14:textId="77777777" w:rsidR="00894070" w:rsidRDefault="00894070">
      <w:pPr>
        <w:pStyle w:val="BodyText"/>
        <w:rPr>
          <w:b/>
        </w:rPr>
      </w:pPr>
    </w:p>
    <w:p w14:paraId="3F3B91B6" w14:textId="77777777" w:rsidR="00894070" w:rsidRDefault="00894070">
      <w:pPr>
        <w:pStyle w:val="BodyText"/>
        <w:rPr>
          <w:b/>
        </w:rPr>
      </w:pPr>
    </w:p>
    <w:p w14:paraId="6B51D0C6" w14:textId="77777777" w:rsidR="00894070" w:rsidRDefault="00894070">
      <w:pPr>
        <w:pStyle w:val="BodyText"/>
        <w:rPr>
          <w:b/>
        </w:rPr>
      </w:pPr>
    </w:p>
    <w:p w14:paraId="3CC33E15" w14:textId="77777777" w:rsidR="00894070" w:rsidRDefault="009F6793">
      <w:pPr>
        <w:pStyle w:val="BodyText"/>
        <w:spacing w:before="3"/>
        <w:rPr>
          <w:b/>
          <w:sz w:val="18"/>
        </w:rPr>
      </w:pPr>
      <w:r>
        <w:pict w14:anchorId="330CAC1E">
          <v:line id="_x0000_s1666" style="position:absolute;z-index:251439104;mso-wrap-distance-left:0;mso-wrap-distance-right:0;mso-position-horizontal-relative:page" from="79.35pt,15.1pt" to="515.9pt,15.1pt" strokecolor="#f8cabc" strokeweight="1pt">
            <w10:wrap type="topAndBottom" anchorx="page"/>
          </v:line>
        </w:pict>
      </w:r>
    </w:p>
    <w:p w14:paraId="293172BD" w14:textId="77777777" w:rsidR="00894070" w:rsidRDefault="009B7AFD">
      <w:pPr>
        <w:pStyle w:val="ListParagraph"/>
        <w:numPr>
          <w:ilvl w:val="0"/>
          <w:numId w:val="172"/>
        </w:numPr>
        <w:tabs>
          <w:tab w:val="left" w:pos="1800"/>
          <w:tab w:val="left" w:pos="1802"/>
        </w:tabs>
        <w:spacing w:before="91" w:line="170" w:lineRule="exact"/>
        <w:rPr>
          <w:sz w:val="13"/>
        </w:rPr>
      </w:pPr>
      <w:r>
        <w:rPr>
          <w:color w:val="231F20"/>
          <w:sz w:val="13"/>
        </w:rPr>
        <w:t>Ibid.</w:t>
      </w:r>
    </w:p>
    <w:p w14:paraId="690B7E98" w14:textId="77777777" w:rsidR="00894070" w:rsidRDefault="009B7AFD">
      <w:pPr>
        <w:pStyle w:val="ListParagraph"/>
        <w:numPr>
          <w:ilvl w:val="0"/>
          <w:numId w:val="172"/>
        </w:numPr>
        <w:tabs>
          <w:tab w:val="left" w:pos="1801"/>
          <w:tab w:val="left" w:pos="1802"/>
        </w:tabs>
        <w:spacing w:before="6" w:line="213" w:lineRule="auto"/>
        <w:ind w:right="1271"/>
        <w:rPr>
          <w:sz w:val="13"/>
        </w:rPr>
      </w:pPr>
      <w:r>
        <w:rPr>
          <w:color w:val="231F20"/>
          <w:sz w:val="13"/>
        </w:rPr>
        <w:t xml:space="preserve">According to the </w:t>
      </w:r>
      <w:r>
        <w:rPr>
          <w:color w:val="231F20"/>
          <w:spacing w:val="2"/>
          <w:sz w:val="13"/>
        </w:rPr>
        <w:t xml:space="preserve">Suzy </w:t>
      </w:r>
      <w:r>
        <w:rPr>
          <w:color w:val="231F20"/>
          <w:sz w:val="13"/>
        </w:rPr>
        <w:t xml:space="preserve">Lamplugh Trust, around one in five women and one in 10 men will experience </w:t>
      </w:r>
      <w:r>
        <w:rPr>
          <w:color w:val="231F20"/>
          <w:spacing w:val="2"/>
          <w:sz w:val="13"/>
        </w:rPr>
        <w:t xml:space="preserve">stalking </w:t>
      </w:r>
      <w:r>
        <w:rPr>
          <w:color w:val="231F20"/>
          <w:sz w:val="13"/>
        </w:rPr>
        <w:t xml:space="preserve">in their lifetimes in the United Kingdom: </w:t>
      </w:r>
      <w:r>
        <w:rPr>
          <w:color w:val="231F20"/>
          <w:spacing w:val="2"/>
          <w:sz w:val="13"/>
        </w:rPr>
        <w:t xml:space="preserve">Suzy </w:t>
      </w:r>
      <w:r>
        <w:rPr>
          <w:color w:val="231F20"/>
          <w:sz w:val="13"/>
        </w:rPr>
        <w:t xml:space="preserve">Lamplugh Trust, </w:t>
      </w:r>
      <w:r>
        <w:rPr>
          <w:i/>
          <w:color w:val="231F20"/>
          <w:sz w:val="13"/>
        </w:rPr>
        <w:t xml:space="preserve">Unmasking Stalking: A Changing Landscape </w:t>
      </w:r>
      <w:r>
        <w:rPr>
          <w:color w:val="231F20"/>
          <w:spacing w:val="2"/>
          <w:sz w:val="13"/>
        </w:rPr>
        <w:t xml:space="preserve">(Report, </w:t>
      </w:r>
      <w:r>
        <w:rPr>
          <w:color w:val="231F20"/>
          <w:sz w:val="13"/>
        </w:rPr>
        <w:t>April 2021)</w:t>
      </w:r>
      <w:r>
        <w:rPr>
          <w:color w:val="231F20"/>
          <w:spacing w:val="29"/>
          <w:sz w:val="13"/>
        </w:rPr>
        <w:t xml:space="preserve"> </w:t>
      </w:r>
      <w:r>
        <w:rPr>
          <w:color w:val="231F20"/>
          <w:spacing w:val="3"/>
          <w:sz w:val="13"/>
        </w:rPr>
        <w:t>3.</w:t>
      </w:r>
    </w:p>
    <w:p w14:paraId="7904876C" w14:textId="77777777" w:rsidR="00894070" w:rsidRDefault="009B7AFD">
      <w:pPr>
        <w:pStyle w:val="ListParagraph"/>
        <w:numPr>
          <w:ilvl w:val="0"/>
          <w:numId w:val="172"/>
        </w:numPr>
        <w:tabs>
          <w:tab w:val="left" w:pos="1801"/>
          <w:tab w:val="left" w:pos="1802"/>
        </w:tabs>
        <w:spacing w:line="213" w:lineRule="auto"/>
        <w:ind w:right="1327"/>
        <w:rPr>
          <w:i/>
          <w:sz w:val="13"/>
        </w:rPr>
      </w:pPr>
      <w:r>
        <w:rPr>
          <w:color w:val="231F20"/>
          <w:sz w:val="13"/>
        </w:rPr>
        <w:t xml:space="preserve">Data from the United States </w:t>
      </w:r>
      <w:r>
        <w:rPr>
          <w:color w:val="231F20"/>
          <w:spacing w:val="2"/>
          <w:sz w:val="13"/>
        </w:rPr>
        <w:t xml:space="preserve">suggests </w:t>
      </w:r>
      <w:r>
        <w:rPr>
          <w:color w:val="231F20"/>
          <w:sz w:val="13"/>
        </w:rPr>
        <w:t xml:space="preserve">that around one in six women and one in 17 men have </w:t>
      </w:r>
      <w:r>
        <w:rPr>
          <w:color w:val="231F20"/>
          <w:spacing w:val="2"/>
          <w:sz w:val="13"/>
        </w:rPr>
        <w:t xml:space="preserve">been </w:t>
      </w:r>
      <w:r>
        <w:rPr>
          <w:color w:val="231F20"/>
          <w:sz w:val="13"/>
        </w:rPr>
        <w:t xml:space="preserve">stalked at least once in their lives: Adrian J Scott et </w:t>
      </w:r>
      <w:r>
        <w:rPr>
          <w:color w:val="231F20"/>
          <w:spacing w:val="2"/>
          <w:sz w:val="13"/>
        </w:rPr>
        <w:t xml:space="preserve">al, ‘Public </w:t>
      </w:r>
      <w:r>
        <w:rPr>
          <w:color w:val="231F20"/>
          <w:sz w:val="13"/>
        </w:rPr>
        <w:t xml:space="preserve">Familiarity and </w:t>
      </w:r>
      <w:r>
        <w:rPr>
          <w:color w:val="231F20"/>
          <w:spacing w:val="2"/>
          <w:sz w:val="13"/>
        </w:rPr>
        <w:t xml:space="preserve">Understanding </w:t>
      </w:r>
      <w:r>
        <w:rPr>
          <w:color w:val="231F20"/>
          <w:sz w:val="13"/>
        </w:rPr>
        <w:t xml:space="preserve">of Stalking/Harassment Legislation in Australia, the United Kingdom, and the United States’ in Heng </w:t>
      </w:r>
      <w:proofErr w:type="spellStart"/>
      <w:r>
        <w:rPr>
          <w:color w:val="231F20"/>
          <w:sz w:val="13"/>
        </w:rPr>
        <w:t>Choon</w:t>
      </w:r>
      <w:proofErr w:type="spellEnd"/>
      <w:r>
        <w:rPr>
          <w:color w:val="231F20"/>
          <w:sz w:val="13"/>
        </w:rPr>
        <w:t xml:space="preserve"> (Oliver)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w:t>
      </w:r>
      <w:r>
        <w:rPr>
          <w:i/>
          <w:color w:val="231F20"/>
          <w:spacing w:val="32"/>
          <w:sz w:val="13"/>
        </w:rPr>
        <w:t xml:space="preserve"> </w:t>
      </w:r>
      <w:r>
        <w:rPr>
          <w:i/>
          <w:color w:val="231F20"/>
          <w:sz w:val="13"/>
        </w:rPr>
        <w:t xml:space="preserve">to Stalking Behavior: An International Perspective </w:t>
      </w:r>
      <w:r>
        <w:rPr>
          <w:color w:val="231F20"/>
          <w:sz w:val="13"/>
        </w:rPr>
        <w:t xml:space="preserve">(John Wiley and Sons, 2020) 137, 138; Erica R </w:t>
      </w:r>
      <w:proofErr w:type="spellStart"/>
      <w:r>
        <w:rPr>
          <w:color w:val="231F20"/>
          <w:sz w:val="13"/>
        </w:rPr>
        <w:t>Fissel</w:t>
      </w:r>
      <w:proofErr w:type="spellEnd"/>
      <w:r>
        <w:rPr>
          <w:color w:val="231F20"/>
          <w:sz w:val="13"/>
        </w:rPr>
        <w:t xml:space="preserve">, Bradford W </w:t>
      </w:r>
      <w:proofErr w:type="spellStart"/>
      <w:r>
        <w:rPr>
          <w:color w:val="231F20"/>
          <w:sz w:val="13"/>
        </w:rPr>
        <w:t>Reyns</w:t>
      </w:r>
      <w:proofErr w:type="spellEnd"/>
      <w:r>
        <w:rPr>
          <w:color w:val="231F20"/>
          <w:sz w:val="13"/>
        </w:rPr>
        <w:t xml:space="preserve"> and Bonnie S Fisher, </w:t>
      </w:r>
      <w:r>
        <w:rPr>
          <w:color w:val="231F20"/>
          <w:spacing w:val="2"/>
          <w:sz w:val="13"/>
        </w:rPr>
        <w:t xml:space="preserve">‘Stalking </w:t>
      </w:r>
      <w:r>
        <w:rPr>
          <w:color w:val="231F20"/>
          <w:sz w:val="13"/>
        </w:rPr>
        <w:t xml:space="preserve">and </w:t>
      </w:r>
      <w:r>
        <w:rPr>
          <w:color w:val="231F20"/>
          <w:spacing w:val="2"/>
          <w:sz w:val="13"/>
        </w:rPr>
        <w:t xml:space="preserve">Cyberstalking </w:t>
      </w:r>
      <w:r>
        <w:rPr>
          <w:color w:val="231F20"/>
          <w:sz w:val="13"/>
        </w:rPr>
        <w:t>Victimization Research: Taking Stock of Key Conceptual, Definitional, Prevalence, and</w:t>
      </w:r>
      <w:r>
        <w:rPr>
          <w:color w:val="231F20"/>
          <w:spacing w:val="9"/>
          <w:sz w:val="13"/>
        </w:rPr>
        <w:t xml:space="preserve"> </w:t>
      </w:r>
      <w:r>
        <w:rPr>
          <w:color w:val="231F20"/>
          <w:sz w:val="13"/>
        </w:rPr>
        <w:t>Theoretical</w:t>
      </w:r>
      <w:r>
        <w:rPr>
          <w:color w:val="231F20"/>
          <w:spacing w:val="10"/>
          <w:sz w:val="13"/>
        </w:rPr>
        <w:t xml:space="preserve"> </w:t>
      </w:r>
      <w:r>
        <w:rPr>
          <w:color w:val="231F20"/>
          <w:sz w:val="13"/>
        </w:rPr>
        <w:t>Issues’</w:t>
      </w:r>
      <w:r>
        <w:rPr>
          <w:color w:val="231F20"/>
          <w:spacing w:val="9"/>
          <w:sz w:val="13"/>
        </w:rPr>
        <w:t xml:space="preserve"> </w:t>
      </w:r>
      <w:r>
        <w:rPr>
          <w:color w:val="231F20"/>
          <w:sz w:val="13"/>
        </w:rPr>
        <w:t>in</w:t>
      </w:r>
      <w:r>
        <w:rPr>
          <w:color w:val="231F20"/>
          <w:spacing w:val="10"/>
          <w:sz w:val="13"/>
        </w:rPr>
        <w:t xml:space="preserve"> </w:t>
      </w:r>
      <w:r>
        <w:rPr>
          <w:color w:val="231F20"/>
          <w:sz w:val="13"/>
        </w:rPr>
        <w:t>Heng</w:t>
      </w:r>
      <w:r>
        <w:rPr>
          <w:color w:val="231F20"/>
          <w:spacing w:val="9"/>
          <w:sz w:val="13"/>
        </w:rPr>
        <w:t xml:space="preserve"> </w:t>
      </w:r>
      <w:proofErr w:type="spellStart"/>
      <w:r>
        <w:rPr>
          <w:color w:val="231F20"/>
          <w:sz w:val="13"/>
        </w:rPr>
        <w:t>Choon</w:t>
      </w:r>
      <w:proofErr w:type="spellEnd"/>
      <w:r>
        <w:rPr>
          <w:color w:val="231F20"/>
          <w:spacing w:val="10"/>
          <w:sz w:val="13"/>
        </w:rPr>
        <w:t xml:space="preserve"> </w:t>
      </w:r>
      <w:r>
        <w:rPr>
          <w:color w:val="231F20"/>
          <w:sz w:val="13"/>
        </w:rPr>
        <w:t>(Oliver)</w:t>
      </w:r>
      <w:r>
        <w:rPr>
          <w:color w:val="231F20"/>
          <w:spacing w:val="9"/>
          <w:sz w:val="13"/>
        </w:rPr>
        <w:t xml:space="preserve"> </w:t>
      </w:r>
      <w:r>
        <w:rPr>
          <w:color w:val="231F20"/>
          <w:sz w:val="13"/>
        </w:rPr>
        <w:t>Chan</w:t>
      </w:r>
      <w:r>
        <w:rPr>
          <w:color w:val="231F20"/>
          <w:spacing w:val="10"/>
          <w:sz w:val="13"/>
        </w:rPr>
        <w:t xml:space="preserve"> </w:t>
      </w:r>
      <w:r>
        <w:rPr>
          <w:color w:val="231F20"/>
          <w:sz w:val="13"/>
        </w:rPr>
        <w:t>and</w:t>
      </w:r>
      <w:r>
        <w:rPr>
          <w:color w:val="231F20"/>
          <w:spacing w:val="10"/>
          <w:sz w:val="13"/>
        </w:rPr>
        <w:t xml:space="preserve"> </w:t>
      </w:r>
      <w:r>
        <w:rPr>
          <w:color w:val="231F20"/>
          <w:sz w:val="13"/>
        </w:rPr>
        <w:t>Lorraine</w:t>
      </w:r>
      <w:r>
        <w:rPr>
          <w:color w:val="231F20"/>
          <w:spacing w:val="9"/>
          <w:sz w:val="13"/>
        </w:rPr>
        <w:t xml:space="preserve"> </w:t>
      </w:r>
      <w:r>
        <w:rPr>
          <w:color w:val="231F20"/>
          <w:spacing w:val="2"/>
          <w:sz w:val="13"/>
        </w:rPr>
        <w:t>Sheridan</w:t>
      </w:r>
      <w:r>
        <w:rPr>
          <w:color w:val="231F20"/>
          <w:spacing w:val="10"/>
          <w:sz w:val="13"/>
        </w:rPr>
        <w:t xml:space="preserve"> </w:t>
      </w:r>
      <w:r>
        <w:rPr>
          <w:color w:val="231F20"/>
          <w:sz w:val="13"/>
        </w:rPr>
        <w:t>(eds),</w:t>
      </w:r>
      <w:r>
        <w:rPr>
          <w:color w:val="231F20"/>
          <w:spacing w:val="9"/>
          <w:sz w:val="13"/>
        </w:rPr>
        <w:t xml:space="preserve"> </w:t>
      </w:r>
      <w:r>
        <w:rPr>
          <w:i/>
          <w:color w:val="231F20"/>
          <w:sz w:val="13"/>
        </w:rPr>
        <w:t>Psycho-Criminological</w:t>
      </w:r>
      <w:r>
        <w:rPr>
          <w:i/>
          <w:color w:val="231F20"/>
          <w:spacing w:val="10"/>
          <w:sz w:val="13"/>
        </w:rPr>
        <w:t xml:space="preserve"> </w:t>
      </w:r>
      <w:r>
        <w:rPr>
          <w:i/>
          <w:color w:val="231F20"/>
          <w:sz w:val="13"/>
        </w:rPr>
        <w:t>Approaches</w:t>
      </w:r>
      <w:r>
        <w:rPr>
          <w:i/>
          <w:color w:val="231F20"/>
          <w:spacing w:val="9"/>
          <w:sz w:val="13"/>
        </w:rPr>
        <w:t xml:space="preserve"> </w:t>
      </w:r>
      <w:r>
        <w:rPr>
          <w:i/>
          <w:color w:val="231F20"/>
          <w:sz w:val="13"/>
        </w:rPr>
        <w:t>to</w:t>
      </w:r>
      <w:r>
        <w:rPr>
          <w:i/>
          <w:color w:val="231F20"/>
          <w:spacing w:val="9"/>
          <w:sz w:val="13"/>
        </w:rPr>
        <w:t xml:space="preserve"> </w:t>
      </w:r>
      <w:r>
        <w:rPr>
          <w:i/>
          <w:color w:val="231F20"/>
          <w:sz w:val="13"/>
        </w:rPr>
        <w:t>Stalking</w:t>
      </w:r>
    </w:p>
    <w:p w14:paraId="3DCC4441" w14:textId="77777777" w:rsidR="00894070" w:rsidRDefault="009B7AFD">
      <w:pPr>
        <w:spacing w:line="213" w:lineRule="auto"/>
        <w:ind w:left="1801" w:right="1312"/>
        <w:rPr>
          <w:sz w:val="13"/>
        </w:rPr>
      </w:pPr>
      <w:r>
        <w:rPr>
          <w:i/>
          <w:color w:val="231F20"/>
          <w:sz w:val="13"/>
        </w:rPr>
        <w:t xml:space="preserve">Behavior: An International Perspective </w:t>
      </w:r>
      <w:r>
        <w:rPr>
          <w:color w:val="231F20"/>
          <w:sz w:val="13"/>
        </w:rPr>
        <w:t xml:space="preserve">(John Wiley and Sons, 2020) </w:t>
      </w:r>
      <w:r>
        <w:rPr>
          <w:color w:val="231F20"/>
          <w:spacing w:val="2"/>
          <w:sz w:val="13"/>
        </w:rPr>
        <w:t xml:space="preserve">11, </w:t>
      </w:r>
      <w:r>
        <w:rPr>
          <w:color w:val="231F20"/>
          <w:spacing w:val="-3"/>
          <w:sz w:val="13"/>
        </w:rPr>
        <w:t xml:space="preserve">17. </w:t>
      </w:r>
      <w:r>
        <w:rPr>
          <w:color w:val="231F20"/>
          <w:sz w:val="13"/>
        </w:rPr>
        <w:t xml:space="preserve">McKeon et al cite research </w:t>
      </w:r>
      <w:r>
        <w:rPr>
          <w:color w:val="231F20"/>
          <w:spacing w:val="2"/>
          <w:sz w:val="13"/>
        </w:rPr>
        <w:t xml:space="preserve">published </w:t>
      </w:r>
      <w:r>
        <w:rPr>
          <w:color w:val="231F20"/>
          <w:sz w:val="13"/>
        </w:rPr>
        <w:t xml:space="preserve">in 2010 suggesting that around 20% of people in English-speaking </w:t>
      </w:r>
      <w:proofErr w:type="spellStart"/>
      <w:r>
        <w:rPr>
          <w:color w:val="231F20"/>
          <w:spacing w:val="2"/>
          <w:sz w:val="13"/>
        </w:rPr>
        <w:t>industrialised</w:t>
      </w:r>
      <w:proofErr w:type="spellEnd"/>
      <w:r>
        <w:rPr>
          <w:color w:val="231F20"/>
          <w:spacing w:val="2"/>
          <w:sz w:val="13"/>
        </w:rPr>
        <w:t xml:space="preserve"> </w:t>
      </w:r>
      <w:r>
        <w:rPr>
          <w:color w:val="231F20"/>
          <w:sz w:val="13"/>
        </w:rPr>
        <w:t xml:space="preserve">nations </w:t>
      </w:r>
      <w:r>
        <w:rPr>
          <w:color w:val="231F20"/>
          <w:spacing w:val="2"/>
          <w:sz w:val="13"/>
        </w:rPr>
        <w:t xml:space="preserve">report </w:t>
      </w:r>
      <w:r>
        <w:rPr>
          <w:color w:val="231F20"/>
          <w:sz w:val="13"/>
        </w:rPr>
        <w:t xml:space="preserve">having </w:t>
      </w:r>
      <w:r>
        <w:rPr>
          <w:color w:val="231F20"/>
          <w:spacing w:val="2"/>
          <w:sz w:val="13"/>
        </w:rPr>
        <w:t xml:space="preserve">experienced stalking </w:t>
      </w:r>
      <w:r>
        <w:rPr>
          <w:color w:val="231F20"/>
          <w:sz w:val="13"/>
        </w:rPr>
        <w:t xml:space="preserve">in their lifetime:     Bronwyn McKeon, </w:t>
      </w:r>
      <w:r>
        <w:rPr>
          <w:color w:val="231F20"/>
          <w:spacing w:val="-3"/>
          <w:sz w:val="13"/>
        </w:rPr>
        <w:t xml:space="preserve">Troy </w:t>
      </w:r>
      <w:r>
        <w:rPr>
          <w:color w:val="231F20"/>
          <w:sz w:val="13"/>
        </w:rPr>
        <w:t xml:space="preserve">E McEwan and Stefan </w:t>
      </w:r>
      <w:proofErr w:type="spellStart"/>
      <w:r>
        <w:rPr>
          <w:color w:val="231F20"/>
          <w:spacing w:val="2"/>
          <w:sz w:val="13"/>
        </w:rPr>
        <w:t>Luebbers</w:t>
      </w:r>
      <w:proofErr w:type="spellEnd"/>
      <w:r>
        <w:rPr>
          <w:color w:val="231F20"/>
          <w:spacing w:val="2"/>
          <w:sz w:val="13"/>
        </w:rPr>
        <w:t xml:space="preserve">, ‘“It’s </w:t>
      </w:r>
      <w:r>
        <w:rPr>
          <w:color w:val="231F20"/>
          <w:sz w:val="13"/>
        </w:rPr>
        <w:t xml:space="preserve">Not Really Stalking If You Know the Person”: Measuring </w:t>
      </w:r>
      <w:r>
        <w:rPr>
          <w:color w:val="231F20"/>
          <w:spacing w:val="2"/>
          <w:sz w:val="13"/>
        </w:rPr>
        <w:t xml:space="preserve">Community </w:t>
      </w:r>
      <w:r>
        <w:rPr>
          <w:color w:val="231F20"/>
          <w:sz w:val="13"/>
        </w:rPr>
        <w:t xml:space="preserve">Attitudes That Normalize, </w:t>
      </w:r>
      <w:r>
        <w:rPr>
          <w:color w:val="231F20"/>
          <w:spacing w:val="2"/>
          <w:sz w:val="13"/>
        </w:rPr>
        <w:t xml:space="preserve">Justify </w:t>
      </w:r>
      <w:r>
        <w:rPr>
          <w:color w:val="231F20"/>
          <w:sz w:val="13"/>
        </w:rPr>
        <w:t xml:space="preserve">and </w:t>
      </w:r>
      <w:proofErr w:type="spellStart"/>
      <w:r>
        <w:rPr>
          <w:color w:val="231F20"/>
          <w:sz w:val="13"/>
        </w:rPr>
        <w:t>Minimise</w:t>
      </w:r>
      <w:proofErr w:type="spellEnd"/>
      <w:r>
        <w:rPr>
          <w:color w:val="231F20"/>
          <w:sz w:val="13"/>
        </w:rPr>
        <w:t xml:space="preserve"> Stalking’ (2015) 22(2) </w:t>
      </w:r>
      <w:r>
        <w:rPr>
          <w:i/>
          <w:color w:val="231F20"/>
          <w:sz w:val="13"/>
        </w:rPr>
        <w:t xml:space="preserve">Psychiatry, Psychology and Law </w:t>
      </w:r>
      <w:r>
        <w:rPr>
          <w:color w:val="231F20"/>
          <w:sz w:val="13"/>
        </w:rPr>
        <w:t>291,</w:t>
      </w:r>
      <w:r>
        <w:rPr>
          <w:color w:val="231F20"/>
          <w:spacing w:val="2"/>
          <w:sz w:val="13"/>
        </w:rPr>
        <w:t xml:space="preserve"> </w:t>
      </w:r>
      <w:r>
        <w:rPr>
          <w:color w:val="231F20"/>
          <w:sz w:val="13"/>
        </w:rPr>
        <w:t>291.</w:t>
      </w:r>
    </w:p>
    <w:p w14:paraId="60633B91" w14:textId="77777777" w:rsidR="00894070" w:rsidRDefault="009B7AFD">
      <w:pPr>
        <w:pStyle w:val="ListParagraph"/>
        <w:numPr>
          <w:ilvl w:val="0"/>
          <w:numId w:val="172"/>
        </w:numPr>
        <w:tabs>
          <w:tab w:val="left" w:pos="1800"/>
          <w:tab w:val="left" w:pos="1802"/>
        </w:tabs>
        <w:spacing w:line="213" w:lineRule="auto"/>
        <w:ind w:right="1251"/>
        <w:rPr>
          <w:sz w:val="13"/>
        </w:rPr>
      </w:pPr>
      <w:r>
        <w:rPr>
          <w:color w:val="231F20"/>
          <w:sz w:val="13"/>
        </w:rPr>
        <w:t xml:space="preserve">For example, a recent survey of people who had </w:t>
      </w:r>
      <w:r>
        <w:rPr>
          <w:color w:val="231F20"/>
          <w:spacing w:val="2"/>
          <w:sz w:val="13"/>
        </w:rPr>
        <w:t xml:space="preserve">experienced stalking </w:t>
      </w:r>
      <w:r>
        <w:rPr>
          <w:color w:val="231F20"/>
          <w:sz w:val="13"/>
        </w:rPr>
        <w:t>in England and Wales found that more than a third (37</w:t>
      </w:r>
      <w:proofErr w:type="gramStart"/>
      <w:r>
        <w:rPr>
          <w:color w:val="231F20"/>
          <w:sz w:val="13"/>
        </w:rPr>
        <w:t xml:space="preserve">%)   </w:t>
      </w:r>
      <w:proofErr w:type="gramEnd"/>
      <w:r>
        <w:rPr>
          <w:color w:val="231F20"/>
          <w:sz w:val="13"/>
        </w:rPr>
        <w:t xml:space="preserve"> of respondents had not reported the </w:t>
      </w:r>
      <w:r>
        <w:rPr>
          <w:color w:val="231F20"/>
          <w:spacing w:val="2"/>
          <w:sz w:val="13"/>
        </w:rPr>
        <w:t xml:space="preserve">stalking </w:t>
      </w:r>
      <w:r>
        <w:rPr>
          <w:color w:val="231F20"/>
          <w:sz w:val="13"/>
        </w:rPr>
        <w:t xml:space="preserve">to the police: </w:t>
      </w:r>
      <w:r>
        <w:rPr>
          <w:color w:val="231F20"/>
          <w:spacing w:val="2"/>
          <w:sz w:val="13"/>
        </w:rPr>
        <w:t xml:space="preserve">Suzy </w:t>
      </w:r>
      <w:r>
        <w:rPr>
          <w:color w:val="231F20"/>
          <w:sz w:val="13"/>
        </w:rPr>
        <w:t xml:space="preserve">Lamplugh Trust, </w:t>
      </w:r>
      <w:r>
        <w:rPr>
          <w:i/>
          <w:color w:val="231F20"/>
          <w:sz w:val="13"/>
        </w:rPr>
        <w:t xml:space="preserve">Unmasking Stalking: A Changing Landscape </w:t>
      </w:r>
      <w:r>
        <w:rPr>
          <w:color w:val="231F20"/>
          <w:spacing w:val="2"/>
          <w:sz w:val="13"/>
        </w:rPr>
        <w:t xml:space="preserve">(Report, </w:t>
      </w:r>
      <w:r>
        <w:rPr>
          <w:color w:val="231F20"/>
          <w:sz w:val="13"/>
        </w:rPr>
        <w:t xml:space="preserve">April 2021) 8, noting that 63% did </w:t>
      </w:r>
      <w:r>
        <w:rPr>
          <w:color w:val="231F20"/>
          <w:spacing w:val="2"/>
          <w:sz w:val="13"/>
        </w:rPr>
        <w:t xml:space="preserve">report </w:t>
      </w:r>
      <w:r>
        <w:rPr>
          <w:color w:val="231F20"/>
          <w:sz w:val="13"/>
        </w:rPr>
        <w:t xml:space="preserve">the </w:t>
      </w:r>
      <w:r>
        <w:rPr>
          <w:color w:val="231F20"/>
          <w:spacing w:val="2"/>
          <w:sz w:val="13"/>
        </w:rPr>
        <w:t xml:space="preserve">stalking </w:t>
      </w:r>
      <w:r>
        <w:rPr>
          <w:color w:val="231F20"/>
          <w:sz w:val="13"/>
        </w:rPr>
        <w:t xml:space="preserve">to police. In the United States, most </w:t>
      </w:r>
      <w:r>
        <w:rPr>
          <w:color w:val="231F20"/>
          <w:spacing w:val="2"/>
          <w:sz w:val="13"/>
        </w:rPr>
        <w:t xml:space="preserve">stalking </w:t>
      </w:r>
      <w:r>
        <w:rPr>
          <w:color w:val="231F20"/>
          <w:sz w:val="13"/>
        </w:rPr>
        <w:t xml:space="preserve">cases are not </w:t>
      </w:r>
      <w:proofErr w:type="gramStart"/>
      <w:r>
        <w:rPr>
          <w:color w:val="231F20"/>
          <w:sz w:val="13"/>
        </w:rPr>
        <w:t>reported  to</w:t>
      </w:r>
      <w:proofErr w:type="gramEnd"/>
      <w:r>
        <w:rPr>
          <w:color w:val="231F20"/>
          <w:sz w:val="13"/>
        </w:rPr>
        <w:t xml:space="preserve"> the police: Erica R </w:t>
      </w:r>
      <w:proofErr w:type="spellStart"/>
      <w:r>
        <w:rPr>
          <w:color w:val="231F20"/>
          <w:sz w:val="13"/>
        </w:rPr>
        <w:t>Fissel</w:t>
      </w:r>
      <w:proofErr w:type="spellEnd"/>
      <w:r>
        <w:rPr>
          <w:color w:val="231F20"/>
          <w:sz w:val="13"/>
        </w:rPr>
        <w:t xml:space="preserve">, Bradford W </w:t>
      </w:r>
      <w:proofErr w:type="spellStart"/>
      <w:r>
        <w:rPr>
          <w:color w:val="231F20"/>
          <w:sz w:val="13"/>
        </w:rPr>
        <w:t>Reyns</w:t>
      </w:r>
      <w:proofErr w:type="spellEnd"/>
      <w:r>
        <w:rPr>
          <w:color w:val="231F20"/>
          <w:sz w:val="13"/>
        </w:rPr>
        <w:t xml:space="preserve"> and Bonnie S Fisher, </w:t>
      </w:r>
      <w:r>
        <w:rPr>
          <w:color w:val="231F20"/>
          <w:spacing w:val="2"/>
          <w:sz w:val="13"/>
        </w:rPr>
        <w:t xml:space="preserve">‘Stalking </w:t>
      </w:r>
      <w:r>
        <w:rPr>
          <w:color w:val="231F20"/>
          <w:sz w:val="13"/>
        </w:rPr>
        <w:t xml:space="preserve">and </w:t>
      </w:r>
      <w:r>
        <w:rPr>
          <w:color w:val="231F20"/>
          <w:spacing w:val="2"/>
          <w:sz w:val="13"/>
        </w:rPr>
        <w:t xml:space="preserve">Cyberstalking </w:t>
      </w:r>
      <w:r>
        <w:rPr>
          <w:color w:val="231F20"/>
          <w:sz w:val="13"/>
        </w:rPr>
        <w:t xml:space="preserve">Victimization Research: Taking Stock of Key Conceptual, Definitional, Prevalence, and Theoretical Issues’ in Heng </w:t>
      </w:r>
      <w:proofErr w:type="spellStart"/>
      <w:r>
        <w:rPr>
          <w:color w:val="231F20"/>
          <w:sz w:val="13"/>
        </w:rPr>
        <w:t>Choon</w:t>
      </w:r>
      <w:proofErr w:type="spellEnd"/>
      <w:r>
        <w:rPr>
          <w:color w:val="231F20"/>
          <w:sz w:val="13"/>
        </w:rPr>
        <w:t xml:space="preserve"> (Oliver) Chan and Lorraine </w:t>
      </w:r>
      <w:r>
        <w:rPr>
          <w:color w:val="231F20"/>
          <w:spacing w:val="2"/>
          <w:sz w:val="13"/>
        </w:rPr>
        <w:t>Sheridan</w:t>
      </w:r>
      <w:r>
        <w:rPr>
          <w:color w:val="231F20"/>
          <w:spacing w:val="37"/>
          <w:sz w:val="13"/>
        </w:rPr>
        <w:t xml:space="preserve"> </w:t>
      </w:r>
      <w:r>
        <w:rPr>
          <w:color w:val="231F20"/>
          <w:sz w:val="13"/>
        </w:rPr>
        <w:t>(eds),</w:t>
      </w:r>
      <w:r>
        <w:rPr>
          <w:color w:val="231F20"/>
          <w:spacing w:val="5"/>
          <w:sz w:val="13"/>
        </w:rPr>
        <w:t xml:space="preserve"> </w:t>
      </w:r>
      <w:r>
        <w:rPr>
          <w:i/>
          <w:color w:val="231F20"/>
          <w:sz w:val="13"/>
        </w:rPr>
        <w:t>Psycho-Criminological</w:t>
      </w:r>
      <w:r>
        <w:rPr>
          <w:i/>
          <w:color w:val="231F20"/>
          <w:spacing w:val="6"/>
          <w:sz w:val="13"/>
        </w:rPr>
        <w:t xml:space="preserve"> </w:t>
      </w:r>
      <w:r>
        <w:rPr>
          <w:i/>
          <w:color w:val="231F20"/>
          <w:sz w:val="13"/>
        </w:rPr>
        <w:t>Approaches</w:t>
      </w:r>
      <w:r>
        <w:rPr>
          <w:i/>
          <w:color w:val="231F20"/>
          <w:spacing w:val="7"/>
          <w:sz w:val="13"/>
        </w:rPr>
        <w:t xml:space="preserve"> </w:t>
      </w:r>
      <w:r>
        <w:rPr>
          <w:i/>
          <w:color w:val="231F20"/>
          <w:sz w:val="13"/>
        </w:rPr>
        <w:t>to</w:t>
      </w:r>
      <w:r>
        <w:rPr>
          <w:i/>
          <w:color w:val="231F20"/>
          <w:spacing w:val="7"/>
          <w:sz w:val="13"/>
        </w:rPr>
        <w:t xml:space="preserve"> </w:t>
      </w:r>
      <w:r>
        <w:rPr>
          <w:i/>
          <w:color w:val="231F20"/>
          <w:sz w:val="13"/>
        </w:rPr>
        <w:t>Stalking</w:t>
      </w:r>
      <w:r>
        <w:rPr>
          <w:i/>
          <w:color w:val="231F20"/>
          <w:spacing w:val="6"/>
          <w:sz w:val="13"/>
        </w:rPr>
        <w:t xml:space="preserve"> </w:t>
      </w:r>
      <w:r>
        <w:rPr>
          <w:i/>
          <w:color w:val="231F20"/>
          <w:sz w:val="13"/>
        </w:rPr>
        <w:t>Behavior:</w:t>
      </w:r>
      <w:r>
        <w:rPr>
          <w:i/>
          <w:color w:val="231F20"/>
          <w:spacing w:val="7"/>
          <w:sz w:val="13"/>
        </w:rPr>
        <w:t xml:space="preserve"> </w:t>
      </w:r>
      <w:r>
        <w:rPr>
          <w:i/>
          <w:color w:val="231F20"/>
          <w:sz w:val="13"/>
        </w:rPr>
        <w:t>An</w:t>
      </w:r>
      <w:r>
        <w:rPr>
          <w:i/>
          <w:color w:val="231F20"/>
          <w:spacing w:val="6"/>
          <w:sz w:val="13"/>
        </w:rPr>
        <w:t xml:space="preserve"> </w:t>
      </w:r>
      <w:r>
        <w:rPr>
          <w:i/>
          <w:color w:val="231F20"/>
          <w:sz w:val="13"/>
        </w:rPr>
        <w:t>International</w:t>
      </w:r>
      <w:r>
        <w:rPr>
          <w:i/>
          <w:color w:val="231F20"/>
          <w:spacing w:val="7"/>
          <w:sz w:val="13"/>
        </w:rPr>
        <w:t xml:space="preserve"> </w:t>
      </w:r>
      <w:r>
        <w:rPr>
          <w:i/>
          <w:color w:val="231F20"/>
          <w:sz w:val="13"/>
        </w:rPr>
        <w:t>Perspective</w:t>
      </w:r>
      <w:r>
        <w:rPr>
          <w:i/>
          <w:color w:val="231F20"/>
          <w:spacing w:val="6"/>
          <w:sz w:val="13"/>
        </w:rPr>
        <w:t xml:space="preserve"> </w:t>
      </w:r>
      <w:r>
        <w:rPr>
          <w:color w:val="231F20"/>
          <w:sz w:val="13"/>
        </w:rPr>
        <w:t>(John</w:t>
      </w:r>
      <w:r>
        <w:rPr>
          <w:color w:val="231F20"/>
          <w:spacing w:val="7"/>
          <w:sz w:val="13"/>
        </w:rPr>
        <w:t xml:space="preserve"> </w:t>
      </w:r>
      <w:r>
        <w:rPr>
          <w:color w:val="231F20"/>
          <w:sz w:val="13"/>
        </w:rPr>
        <w:t>Wiley</w:t>
      </w:r>
      <w:r>
        <w:rPr>
          <w:color w:val="231F20"/>
          <w:spacing w:val="6"/>
          <w:sz w:val="13"/>
        </w:rPr>
        <w:t xml:space="preserve"> </w:t>
      </w:r>
      <w:r>
        <w:rPr>
          <w:color w:val="231F20"/>
          <w:sz w:val="13"/>
        </w:rPr>
        <w:t>and</w:t>
      </w:r>
      <w:r>
        <w:rPr>
          <w:color w:val="231F20"/>
          <w:spacing w:val="7"/>
          <w:sz w:val="13"/>
        </w:rPr>
        <w:t xml:space="preserve"> </w:t>
      </w:r>
      <w:r>
        <w:rPr>
          <w:color w:val="231F20"/>
          <w:sz w:val="13"/>
        </w:rPr>
        <w:t>Sons,</w:t>
      </w:r>
      <w:r>
        <w:rPr>
          <w:color w:val="231F20"/>
          <w:spacing w:val="7"/>
          <w:sz w:val="13"/>
        </w:rPr>
        <w:t xml:space="preserve"> </w:t>
      </w:r>
      <w:r>
        <w:rPr>
          <w:color w:val="231F20"/>
          <w:sz w:val="13"/>
        </w:rPr>
        <w:t>2020)</w:t>
      </w:r>
      <w:r>
        <w:rPr>
          <w:color w:val="231F20"/>
          <w:spacing w:val="6"/>
          <w:sz w:val="13"/>
        </w:rPr>
        <w:t xml:space="preserve"> </w:t>
      </w:r>
      <w:r>
        <w:rPr>
          <w:color w:val="231F20"/>
          <w:spacing w:val="2"/>
          <w:sz w:val="13"/>
        </w:rPr>
        <w:t>11,</w:t>
      </w:r>
      <w:r>
        <w:rPr>
          <w:color w:val="231F20"/>
          <w:spacing w:val="7"/>
          <w:sz w:val="13"/>
        </w:rPr>
        <w:t xml:space="preserve"> </w:t>
      </w:r>
      <w:r>
        <w:rPr>
          <w:color w:val="231F20"/>
          <w:sz w:val="13"/>
        </w:rPr>
        <w:t>18.</w:t>
      </w:r>
    </w:p>
    <w:p w14:paraId="59F10E3A" w14:textId="77777777" w:rsidR="00894070" w:rsidRDefault="009B7AFD">
      <w:pPr>
        <w:pStyle w:val="ListParagraph"/>
        <w:numPr>
          <w:ilvl w:val="0"/>
          <w:numId w:val="172"/>
        </w:numPr>
        <w:tabs>
          <w:tab w:val="left" w:pos="1800"/>
          <w:tab w:val="left" w:pos="1802"/>
        </w:tabs>
        <w:spacing w:line="213" w:lineRule="auto"/>
        <w:ind w:right="1322"/>
        <w:rPr>
          <w:sz w:val="13"/>
        </w:rPr>
      </w:pPr>
      <w:r>
        <w:rPr>
          <w:color w:val="231F20"/>
          <w:sz w:val="13"/>
        </w:rPr>
        <w:t xml:space="preserve">Sarah Bright, Lauren Barnaba and </w:t>
      </w:r>
      <w:r>
        <w:rPr>
          <w:color w:val="231F20"/>
          <w:spacing w:val="2"/>
          <w:sz w:val="13"/>
        </w:rPr>
        <w:t xml:space="preserve">Melanie </w:t>
      </w:r>
      <w:proofErr w:type="spellStart"/>
      <w:r>
        <w:rPr>
          <w:color w:val="231F20"/>
          <w:spacing w:val="2"/>
          <w:sz w:val="13"/>
        </w:rPr>
        <w:t>Millsteed</w:t>
      </w:r>
      <w:proofErr w:type="spellEnd"/>
      <w:r>
        <w:rPr>
          <w:color w:val="231F20"/>
          <w:spacing w:val="2"/>
          <w:sz w:val="13"/>
        </w:rPr>
        <w:t xml:space="preserve">, </w:t>
      </w:r>
      <w:r>
        <w:rPr>
          <w:i/>
          <w:color w:val="231F20"/>
          <w:sz w:val="13"/>
        </w:rPr>
        <w:t xml:space="preserve">Attrition of Stalking Offence </w:t>
      </w:r>
      <w:r>
        <w:rPr>
          <w:i/>
          <w:color w:val="231F20"/>
          <w:spacing w:val="2"/>
          <w:sz w:val="13"/>
        </w:rPr>
        <w:t xml:space="preserve">Incidents </w:t>
      </w:r>
      <w:r>
        <w:rPr>
          <w:i/>
          <w:color w:val="231F20"/>
          <w:sz w:val="13"/>
        </w:rPr>
        <w:t xml:space="preserve">through the Victorian Criminal Justice System </w:t>
      </w:r>
      <w:r>
        <w:rPr>
          <w:color w:val="231F20"/>
          <w:sz w:val="13"/>
        </w:rPr>
        <w:t>(Data Snapshot, Crime Statistics Agency,</w:t>
      </w:r>
      <w:r>
        <w:rPr>
          <w:color w:val="231F20"/>
          <w:spacing w:val="4"/>
          <w:sz w:val="13"/>
        </w:rPr>
        <w:t xml:space="preserve"> </w:t>
      </w:r>
      <w:r>
        <w:rPr>
          <w:color w:val="231F20"/>
          <w:sz w:val="13"/>
        </w:rPr>
        <w:t>forthcoming).</w:t>
      </w:r>
    </w:p>
    <w:p w14:paraId="0FBBBE22" w14:textId="77777777" w:rsidR="00894070" w:rsidRDefault="009B7AFD">
      <w:pPr>
        <w:pStyle w:val="ListParagraph"/>
        <w:numPr>
          <w:ilvl w:val="0"/>
          <w:numId w:val="172"/>
        </w:numPr>
        <w:tabs>
          <w:tab w:val="left" w:pos="1801"/>
          <w:tab w:val="left" w:pos="1802"/>
        </w:tabs>
        <w:spacing w:line="213" w:lineRule="auto"/>
        <w:ind w:right="1325"/>
        <w:rPr>
          <w:sz w:val="13"/>
        </w:rPr>
      </w:pPr>
      <w:r>
        <w:rPr>
          <w:color w:val="231F20"/>
          <w:sz w:val="13"/>
        </w:rPr>
        <w:t xml:space="preserve">Ibid </w:t>
      </w:r>
      <w:r>
        <w:rPr>
          <w:color w:val="231F20"/>
          <w:spacing w:val="2"/>
          <w:sz w:val="13"/>
        </w:rPr>
        <w:t xml:space="preserve">1. </w:t>
      </w:r>
      <w:r>
        <w:rPr>
          <w:color w:val="231F20"/>
          <w:sz w:val="13"/>
        </w:rPr>
        <w:t>A finding of guilt may follow from the accused entering a guilty plea or the court finding the accused guilty based on the evidence.</w:t>
      </w:r>
    </w:p>
    <w:p w14:paraId="3079E9E1" w14:textId="77777777" w:rsidR="00894070" w:rsidRDefault="009F6793">
      <w:pPr>
        <w:pStyle w:val="ListParagraph"/>
        <w:numPr>
          <w:ilvl w:val="0"/>
          <w:numId w:val="172"/>
        </w:numPr>
        <w:tabs>
          <w:tab w:val="left" w:pos="1801"/>
          <w:tab w:val="left" w:pos="1802"/>
        </w:tabs>
        <w:spacing w:line="152" w:lineRule="exact"/>
        <w:rPr>
          <w:sz w:val="13"/>
        </w:rPr>
      </w:pPr>
      <w:r>
        <w:pict w14:anchorId="0833B9B1">
          <v:shape id="_x0000_s1665" type="#_x0000_t202" style="position:absolute;left:0;text-align:left;margin-left:549.5pt;margin-top:3.35pt;width:11.7pt;height:14.1pt;z-index:251502592;mso-position-horizontal-relative:page" filled="f" stroked="f">
            <v:textbox inset="0,0,0,0">
              <w:txbxContent>
                <w:p w14:paraId="33694490" w14:textId="77777777" w:rsidR="00894070" w:rsidRDefault="009B7AFD">
                  <w:pPr>
                    <w:spacing w:line="282" w:lineRule="exact"/>
                    <w:rPr>
                      <w:b/>
                      <w:sz w:val="24"/>
                    </w:rPr>
                  </w:pPr>
                  <w:r>
                    <w:rPr>
                      <w:b/>
                      <w:color w:val="EA5B50"/>
                      <w:spacing w:val="-10"/>
                      <w:sz w:val="24"/>
                    </w:rPr>
                    <w:t>17</w:t>
                  </w:r>
                </w:p>
              </w:txbxContent>
            </v:textbox>
            <w10:wrap anchorx="page"/>
          </v:shape>
        </w:pict>
      </w:r>
      <w:r w:rsidR="009B7AFD">
        <w:rPr>
          <w:color w:val="231F20"/>
          <w:sz w:val="13"/>
        </w:rPr>
        <w:t>Ibid.</w:t>
      </w:r>
    </w:p>
    <w:p w14:paraId="500E3A2C" w14:textId="77777777" w:rsidR="00894070" w:rsidRDefault="009B7AFD">
      <w:pPr>
        <w:pStyle w:val="ListParagraph"/>
        <w:numPr>
          <w:ilvl w:val="0"/>
          <w:numId w:val="172"/>
        </w:numPr>
        <w:tabs>
          <w:tab w:val="left" w:pos="1801"/>
          <w:tab w:val="left" w:pos="1802"/>
        </w:tabs>
        <w:spacing w:line="170" w:lineRule="exact"/>
        <w:rPr>
          <w:sz w:val="13"/>
        </w:rPr>
      </w:pPr>
      <w:r>
        <w:rPr>
          <w:color w:val="231F20"/>
          <w:spacing w:val="2"/>
          <w:sz w:val="13"/>
        </w:rPr>
        <w:t xml:space="preserve">Graphic </w:t>
      </w:r>
      <w:r>
        <w:rPr>
          <w:color w:val="231F20"/>
          <w:sz w:val="13"/>
        </w:rPr>
        <w:t>taken from: ibid 1, Figure</w:t>
      </w:r>
      <w:r>
        <w:rPr>
          <w:color w:val="231F20"/>
          <w:spacing w:val="-2"/>
          <w:sz w:val="13"/>
        </w:rPr>
        <w:t xml:space="preserve"> </w:t>
      </w:r>
      <w:r>
        <w:rPr>
          <w:color w:val="231F20"/>
          <w:spacing w:val="2"/>
          <w:sz w:val="13"/>
        </w:rPr>
        <w:t>1.</w:t>
      </w:r>
    </w:p>
    <w:p w14:paraId="4CDA973B" w14:textId="77777777" w:rsidR="00894070" w:rsidRDefault="00894070">
      <w:pPr>
        <w:spacing w:line="170" w:lineRule="exact"/>
        <w:rPr>
          <w:sz w:val="13"/>
        </w:rPr>
        <w:sectPr w:rsidR="00894070">
          <w:pgSz w:w="11910" w:h="16840"/>
          <w:pgMar w:top="840" w:right="420" w:bottom="280" w:left="580" w:header="0" w:footer="0" w:gutter="0"/>
          <w:cols w:space="720"/>
        </w:sectPr>
      </w:pPr>
    </w:p>
    <w:p w14:paraId="78E885D3" w14:textId="77777777" w:rsidR="00894070" w:rsidRDefault="00894070">
      <w:pPr>
        <w:pStyle w:val="BodyText"/>
      </w:pPr>
    </w:p>
    <w:p w14:paraId="0B62F63A" w14:textId="77777777" w:rsidR="00894070" w:rsidRDefault="00894070">
      <w:pPr>
        <w:pStyle w:val="BodyText"/>
      </w:pPr>
    </w:p>
    <w:p w14:paraId="6E8CCB3C" w14:textId="77777777" w:rsidR="00894070" w:rsidRDefault="00894070">
      <w:pPr>
        <w:pStyle w:val="BodyText"/>
      </w:pPr>
    </w:p>
    <w:p w14:paraId="2A5DB788" w14:textId="77777777" w:rsidR="00894070" w:rsidRDefault="009B7AFD">
      <w:pPr>
        <w:pStyle w:val="Heading8"/>
        <w:spacing w:before="220"/>
        <w:ind w:left="1007"/>
      </w:pPr>
      <w:bookmarkStart w:id="37" w:name="_bookmark18"/>
      <w:bookmarkEnd w:id="37"/>
      <w:r>
        <w:rPr>
          <w:color w:val="231F20"/>
        </w:rPr>
        <w:t>More stalking cases now relate to family violence</w:t>
      </w:r>
    </w:p>
    <w:p w14:paraId="6856A443" w14:textId="77777777" w:rsidR="00894070" w:rsidRDefault="009B7AFD">
      <w:pPr>
        <w:pStyle w:val="ListParagraph"/>
        <w:numPr>
          <w:ilvl w:val="1"/>
          <w:numId w:val="177"/>
        </w:numPr>
        <w:tabs>
          <w:tab w:val="left" w:pos="1801"/>
          <w:tab w:val="left" w:pos="1802"/>
        </w:tabs>
        <w:spacing w:before="127" w:line="206" w:lineRule="auto"/>
        <w:ind w:right="1302"/>
        <w:rPr>
          <w:sz w:val="11"/>
        </w:rPr>
      </w:pPr>
      <w:r>
        <w:rPr>
          <w:color w:val="231F20"/>
          <w:sz w:val="20"/>
        </w:rPr>
        <w:t>The</w:t>
      </w:r>
      <w:r>
        <w:rPr>
          <w:color w:val="231F20"/>
          <w:spacing w:val="-11"/>
          <w:sz w:val="20"/>
        </w:rPr>
        <w:t xml:space="preserve"> </w:t>
      </w:r>
      <w:r>
        <w:rPr>
          <w:color w:val="231F20"/>
          <w:sz w:val="20"/>
        </w:rPr>
        <w:t>number</w:t>
      </w:r>
      <w:r>
        <w:rPr>
          <w:color w:val="231F20"/>
          <w:spacing w:val="-10"/>
          <w:sz w:val="20"/>
        </w:rPr>
        <w:t xml:space="preserve"> </w:t>
      </w:r>
      <w:r>
        <w:rPr>
          <w:color w:val="231F20"/>
          <w:sz w:val="20"/>
        </w:rPr>
        <w:t>of</w:t>
      </w:r>
      <w:r>
        <w:rPr>
          <w:color w:val="231F20"/>
          <w:spacing w:val="-10"/>
          <w:sz w:val="20"/>
        </w:rPr>
        <w:t xml:space="preserve"> </w:t>
      </w:r>
      <w:r>
        <w:rPr>
          <w:color w:val="231F20"/>
          <w:sz w:val="20"/>
        </w:rPr>
        <w:t>stalking</w:t>
      </w:r>
      <w:r>
        <w:rPr>
          <w:color w:val="231F20"/>
          <w:spacing w:val="-10"/>
          <w:sz w:val="20"/>
        </w:rPr>
        <w:t xml:space="preserve"> </w:t>
      </w:r>
      <w:r>
        <w:rPr>
          <w:color w:val="231F20"/>
          <w:sz w:val="20"/>
        </w:rPr>
        <w:t>offences</w:t>
      </w:r>
      <w:r>
        <w:rPr>
          <w:color w:val="231F20"/>
          <w:spacing w:val="-10"/>
          <w:sz w:val="20"/>
        </w:rPr>
        <w:t xml:space="preserve"> </w:t>
      </w:r>
      <w:r>
        <w:rPr>
          <w:color w:val="231F20"/>
          <w:spacing w:val="-3"/>
          <w:sz w:val="20"/>
        </w:rPr>
        <w:t>recorded</w:t>
      </w:r>
      <w:r>
        <w:rPr>
          <w:color w:val="231F20"/>
          <w:spacing w:val="-10"/>
          <w:sz w:val="20"/>
        </w:rPr>
        <w:t xml:space="preserve"> </w:t>
      </w:r>
      <w:r>
        <w:rPr>
          <w:color w:val="231F20"/>
          <w:spacing w:val="-3"/>
          <w:sz w:val="20"/>
        </w:rPr>
        <w:t>by</w:t>
      </w:r>
      <w:r>
        <w:rPr>
          <w:color w:val="231F20"/>
          <w:spacing w:val="-10"/>
          <w:sz w:val="20"/>
        </w:rPr>
        <w:t xml:space="preserve"> </w:t>
      </w:r>
      <w:r>
        <w:rPr>
          <w:color w:val="231F20"/>
          <w:sz w:val="20"/>
        </w:rPr>
        <w:t>police</w:t>
      </w:r>
      <w:r>
        <w:rPr>
          <w:color w:val="231F20"/>
          <w:spacing w:val="-11"/>
          <w:sz w:val="20"/>
        </w:rPr>
        <w:t xml:space="preserve"> </w:t>
      </w:r>
      <w:r>
        <w:rPr>
          <w:color w:val="231F20"/>
          <w:sz w:val="20"/>
        </w:rPr>
        <w:t>in</w:t>
      </w:r>
      <w:r>
        <w:rPr>
          <w:color w:val="231F20"/>
          <w:spacing w:val="-10"/>
          <w:sz w:val="20"/>
        </w:rPr>
        <w:t xml:space="preserve"> </w:t>
      </w:r>
      <w:r>
        <w:rPr>
          <w:color w:val="231F20"/>
          <w:sz w:val="20"/>
        </w:rPr>
        <w:t>Victoria</w:t>
      </w:r>
      <w:r>
        <w:rPr>
          <w:color w:val="231F20"/>
          <w:spacing w:val="-10"/>
          <w:sz w:val="20"/>
        </w:rPr>
        <w:t xml:space="preserve"> </w:t>
      </w:r>
      <w:r>
        <w:rPr>
          <w:color w:val="231F20"/>
          <w:sz w:val="20"/>
        </w:rPr>
        <w:t>each</w:t>
      </w:r>
      <w:r>
        <w:rPr>
          <w:color w:val="231F20"/>
          <w:spacing w:val="-10"/>
          <w:sz w:val="20"/>
        </w:rPr>
        <w:t xml:space="preserve"> </w:t>
      </w:r>
      <w:r>
        <w:rPr>
          <w:color w:val="231F20"/>
          <w:sz w:val="20"/>
        </w:rPr>
        <w:t>year</w:t>
      </w:r>
      <w:r>
        <w:rPr>
          <w:color w:val="231F20"/>
          <w:spacing w:val="-10"/>
          <w:sz w:val="20"/>
        </w:rPr>
        <w:t xml:space="preserve"> </w:t>
      </w:r>
      <w:r>
        <w:rPr>
          <w:color w:val="231F20"/>
          <w:sz w:val="20"/>
        </w:rPr>
        <w:t>has</w:t>
      </w:r>
      <w:r>
        <w:rPr>
          <w:color w:val="231F20"/>
          <w:spacing w:val="-10"/>
          <w:sz w:val="20"/>
        </w:rPr>
        <w:t xml:space="preserve"> </w:t>
      </w:r>
      <w:r>
        <w:rPr>
          <w:color w:val="231F20"/>
          <w:sz w:val="20"/>
        </w:rPr>
        <w:t>not</w:t>
      </w:r>
      <w:r>
        <w:rPr>
          <w:color w:val="231F20"/>
          <w:spacing w:val="-10"/>
          <w:sz w:val="20"/>
        </w:rPr>
        <w:t xml:space="preserve"> </w:t>
      </w:r>
      <w:r>
        <w:rPr>
          <w:color w:val="231F20"/>
          <w:sz w:val="20"/>
        </w:rPr>
        <w:t xml:space="preserve">risen dramatically since 2012. </w:t>
      </w:r>
      <w:r>
        <w:rPr>
          <w:color w:val="231F20"/>
          <w:spacing w:val="-5"/>
          <w:sz w:val="20"/>
        </w:rPr>
        <w:t xml:space="preserve">However, </w:t>
      </w:r>
      <w:r>
        <w:rPr>
          <w:color w:val="231F20"/>
          <w:sz w:val="20"/>
        </w:rPr>
        <w:t xml:space="preserve">the </w:t>
      </w:r>
      <w:r>
        <w:rPr>
          <w:color w:val="231F20"/>
          <w:spacing w:val="-3"/>
          <w:sz w:val="20"/>
        </w:rPr>
        <w:t xml:space="preserve">share </w:t>
      </w:r>
      <w:r>
        <w:rPr>
          <w:color w:val="231F20"/>
          <w:sz w:val="20"/>
        </w:rPr>
        <w:t xml:space="preserve">of these offences that </w:t>
      </w:r>
      <w:r>
        <w:rPr>
          <w:color w:val="231F20"/>
          <w:spacing w:val="-3"/>
          <w:sz w:val="20"/>
        </w:rPr>
        <w:t xml:space="preserve">relate </w:t>
      </w:r>
      <w:r>
        <w:rPr>
          <w:color w:val="231F20"/>
          <w:sz w:val="20"/>
        </w:rPr>
        <w:t xml:space="preserve">to </w:t>
      </w:r>
      <w:r>
        <w:rPr>
          <w:color w:val="231F20"/>
          <w:spacing w:val="-3"/>
          <w:sz w:val="20"/>
        </w:rPr>
        <w:t xml:space="preserve">family </w:t>
      </w:r>
      <w:r>
        <w:rPr>
          <w:color w:val="231F20"/>
          <w:sz w:val="20"/>
        </w:rPr>
        <w:t xml:space="preserve">violence has increased since 2012 (see </w:t>
      </w:r>
      <w:r>
        <w:rPr>
          <w:color w:val="231F20"/>
          <w:spacing w:val="-6"/>
          <w:sz w:val="20"/>
        </w:rPr>
        <w:t xml:space="preserve">Table </w:t>
      </w:r>
      <w:r>
        <w:rPr>
          <w:color w:val="231F20"/>
          <w:sz w:val="20"/>
        </w:rPr>
        <w:t xml:space="preserve">1). This </w:t>
      </w:r>
      <w:r>
        <w:rPr>
          <w:color w:val="231F20"/>
          <w:spacing w:val="-3"/>
          <w:sz w:val="20"/>
        </w:rPr>
        <w:t xml:space="preserve">probably </w:t>
      </w:r>
      <w:r>
        <w:rPr>
          <w:color w:val="231F20"/>
          <w:sz w:val="20"/>
        </w:rPr>
        <w:t xml:space="preserve">reflects an </w:t>
      </w:r>
      <w:r>
        <w:rPr>
          <w:color w:val="231F20"/>
          <w:spacing w:val="-3"/>
          <w:sz w:val="20"/>
        </w:rPr>
        <w:t xml:space="preserve">improved </w:t>
      </w:r>
      <w:r>
        <w:rPr>
          <w:color w:val="231F20"/>
          <w:sz w:val="20"/>
        </w:rPr>
        <w:t>understanding</w:t>
      </w:r>
      <w:r>
        <w:rPr>
          <w:color w:val="231F20"/>
          <w:spacing w:val="-10"/>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community</w:t>
      </w:r>
      <w:r>
        <w:rPr>
          <w:color w:val="231F20"/>
          <w:spacing w:val="-9"/>
          <w:sz w:val="20"/>
        </w:rPr>
        <w:t xml:space="preserve"> </w:t>
      </w:r>
      <w:r>
        <w:rPr>
          <w:color w:val="231F20"/>
          <w:sz w:val="20"/>
        </w:rPr>
        <w:t>about</w:t>
      </w:r>
      <w:r>
        <w:rPr>
          <w:color w:val="231F20"/>
          <w:spacing w:val="-10"/>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spacing w:val="-9"/>
          <w:sz w:val="20"/>
        </w:rPr>
        <w:t xml:space="preserve"> </w:t>
      </w:r>
      <w:r>
        <w:rPr>
          <w:color w:val="231F20"/>
          <w:sz w:val="20"/>
        </w:rPr>
        <w:t>and</w:t>
      </w:r>
      <w:r>
        <w:rPr>
          <w:color w:val="231F20"/>
          <w:spacing w:val="-9"/>
          <w:sz w:val="20"/>
        </w:rPr>
        <w:t xml:space="preserve"> </w:t>
      </w:r>
      <w:r>
        <w:rPr>
          <w:color w:val="231F20"/>
          <w:sz w:val="20"/>
        </w:rPr>
        <w:t>increased</w:t>
      </w:r>
      <w:r>
        <w:rPr>
          <w:color w:val="231F20"/>
          <w:spacing w:val="-9"/>
          <w:sz w:val="20"/>
        </w:rPr>
        <w:t xml:space="preserve"> </w:t>
      </w:r>
      <w:r>
        <w:rPr>
          <w:color w:val="231F20"/>
          <w:sz w:val="20"/>
        </w:rPr>
        <w:t>reporting</w:t>
      </w:r>
      <w:r>
        <w:rPr>
          <w:color w:val="231F20"/>
          <w:spacing w:val="-10"/>
          <w:sz w:val="20"/>
        </w:rPr>
        <w:t xml:space="preserve"> </w:t>
      </w:r>
      <w:r>
        <w:rPr>
          <w:color w:val="231F20"/>
          <w:sz w:val="20"/>
        </w:rPr>
        <w:t>of</w:t>
      </w:r>
      <w:r>
        <w:rPr>
          <w:color w:val="231F20"/>
          <w:spacing w:val="-9"/>
          <w:sz w:val="20"/>
        </w:rPr>
        <w:t xml:space="preserve"> </w:t>
      </w:r>
      <w:r>
        <w:rPr>
          <w:color w:val="231F20"/>
          <w:sz w:val="20"/>
        </w:rPr>
        <w:t>it.</w:t>
      </w:r>
      <w:r>
        <w:rPr>
          <w:color w:val="231F20"/>
          <w:position w:val="7"/>
          <w:sz w:val="11"/>
        </w:rPr>
        <w:t>47</w:t>
      </w:r>
    </w:p>
    <w:p w14:paraId="5EE87F98" w14:textId="77777777" w:rsidR="00894070" w:rsidRDefault="009B7AFD">
      <w:pPr>
        <w:spacing w:before="105"/>
        <w:ind w:left="1801"/>
        <w:rPr>
          <w:b/>
          <w:sz w:val="11"/>
        </w:rPr>
      </w:pPr>
      <w:r>
        <w:rPr>
          <w:b/>
          <w:color w:val="231F20"/>
          <w:sz w:val="19"/>
        </w:rPr>
        <w:t>Table 1: Comparison of recorded stalking offences in Victoria, 2012 &amp; 2021</w:t>
      </w:r>
      <w:r>
        <w:rPr>
          <w:b/>
          <w:color w:val="231F20"/>
          <w:position w:val="6"/>
          <w:sz w:val="11"/>
        </w:rPr>
        <w:t>48</w:t>
      </w:r>
    </w:p>
    <w:p w14:paraId="1873E195" w14:textId="77777777" w:rsidR="00894070" w:rsidRDefault="00894070">
      <w:pPr>
        <w:pStyle w:val="BodyText"/>
        <w:spacing w:before="8"/>
        <w:rPr>
          <w:b/>
          <w:sz w:val="13"/>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1393"/>
        <w:gridCol w:w="2177"/>
        <w:gridCol w:w="2177"/>
        <w:gridCol w:w="2177"/>
      </w:tblGrid>
      <w:tr w:rsidR="00894070" w14:paraId="75767D34" w14:textId="77777777">
        <w:trPr>
          <w:trHeight w:val="884"/>
        </w:trPr>
        <w:tc>
          <w:tcPr>
            <w:tcW w:w="1393" w:type="dxa"/>
            <w:shd w:val="clear" w:color="auto" w:fill="F4BCAE"/>
          </w:tcPr>
          <w:p w14:paraId="30A1D22B" w14:textId="77777777" w:rsidR="00894070" w:rsidRDefault="00894070">
            <w:pPr>
              <w:pStyle w:val="TableParagraph"/>
              <w:spacing w:before="9"/>
              <w:ind w:left="0"/>
              <w:rPr>
                <w:b/>
                <w:sz w:val="15"/>
              </w:rPr>
            </w:pPr>
          </w:p>
          <w:p w14:paraId="4B088892" w14:textId="77777777" w:rsidR="00894070" w:rsidRDefault="009B7AFD">
            <w:pPr>
              <w:pStyle w:val="TableParagraph"/>
              <w:spacing w:line="206" w:lineRule="auto"/>
              <w:ind w:right="244"/>
              <w:rPr>
                <w:b/>
                <w:sz w:val="20"/>
              </w:rPr>
            </w:pPr>
            <w:r>
              <w:rPr>
                <w:b/>
                <w:color w:val="231F20"/>
                <w:sz w:val="20"/>
              </w:rPr>
              <w:t>Year to December</w:t>
            </w:r>
          </w:p>
        </w:tc>
        <w:tc>
          <w:tcPr>
            <w:tcW w:w="2177" w:type="dxa"/>
            <w:shd w:val="clear" w:color="auto" w:fill="F4BCAE"/>
          </w:tcPr>
          <w:p w14:paraId="216C37C9" w14:textId="77777777" w:rsidR="00894070" w:rsidRDefault="009B7AFD">
            <w:pPr>
              <w:pStyle w:val="TableParagraph"/>
              <w:spacing w:before="98" w:line="206" w:lineRule="auto"/>
              <w:ind w:right="335"/>
              <w:rPr>
                <w:b/>
                <w:sz w:val="20"/>
              </w:rPr>
            </w:pPr>
            <w:r>
              <w:rPr>
                <w:b/>
                <w:color w:val="231F20"/>
                <w:sz w:val="20"/>
              </w:rPr>
              <w:t>Total police recorded stalking offences</w:t>
            </w:r>
          </w:p>
        </w:tc>
        <w:tc>
          <w:tcPr>
            <w:tcW w:w="2177" w:type="dxa"/>
            <w:shd w:val="clear" w:color="auto" w:fill="F4BCAE"/>
          </w:tcPr>
          <w:p w14:paraId="4FA4DF54" w14:textId="77777777" w:rsidR="00894070" w:rsidRDefault="00894070">
            <w:pPr>
              <w:pStyle w:val="TableParagraph"/>
              <w:spacing w:before="9"/>
              <w:ind w:left="0"/>
              <w:rPr>
                <w:b/>
                <w:sz w:val="15"/>
              </w:rPr>
            </w:pPr>
          </w:p>
          <w:p w14:paraId="03187408" w14:textId="77777777" w:rsidR="00894070" w:rsidRDefault="009B7AFD">
            <w:pPr>
              <w:pStyle w:val="TableParagraph"/>
              <w:spacing w:line="206" w:lineRule="auto"/>
              <w:ind w:right="335"/>
              <w:rPr>
                <w:b/>
                <w:sz w:val="20"/>
              </w:rPr>
            </w:pPr>
            <w:r>
              <w:rPr>
                <w:b/>
                <w:color w:val="231F20"/>
                <w:sz w:val="20"/>
              </w:rPr>
              <w:t>Family violence- related</w:t>
            </w:r>
          </w:p>
        </w:tc>
        <w:tc>
          <w:tcPr>
            <w:tcW w:w="2177" w:type="dxa"/>
            <w:shd w:val="clear" w:color="auto" w:fill="F4BCAE"/>
          </w:tcPr>
          <w:p w14:paraId="5C281A91" w14:textId="77777777" w:rsidR="00894070" w:rsidRDefault="00894070">
            <w:pPr>
              <w:pStyle w:val="TableParagraph"/>
              <w:spacing w:before="9"/>
              <w:ind w:left="0"/>
              <w:rPr>
                <w:b/>
                <w:sz w:val="15"/>
              </w:rPr>
            </w:pPr>
          </w:p>
          <w:p w14:paraId="09900758" w14:textId="77777777" w:rsidR="00894070" w:rsidRDefault="009B7AFD">
            <w:pPr>
              <w:pStyle w:val="TableParagraph"/>
              <w:spacing w:line="206" w:lineRule="auto"/>
              <w:ind w:right="447"/>
              <w:rPr>
                <w:b/>
                <w:sz w:val="20"/>
              </w:rPr>
            </w:pPr>
            <w:r>
              <w:rPr>
                <w:b/>
                <w:color w:val="231F20"/>
                <w:sz w:val="20"/>
              </w:rPr>
              <w:t>Non-family violence-related</w:t>
            </w:r>
          </w:p>
        </w:tc>
      </w:tr>
      <w:tr w:rsidR="00894070" w14:paraId="4B851F23" w14:textId="77777777">
        <w:trPr>
          <w:trHeight w:val="884"/>
        </w:trPr>
        <w:tc>
          <w:tcPr>
            <w:tcW w:w="1393" w:type="dxa"/>
          </w:tcPr>
          <w:p w14:paraId="5DAE239B" w14:textId="77777777" w:rsidR="00894070" w:rsidRDefault="009B7AFD">
            <w:pPr>
              <w:pStyle w:val="TableParagraph"/>
              <w:spacing w:before="65"/>
              <w:rPr>
                <w:b/>
                <w:sz w:val="20"/>
              </w:rPr>
            </w:pPr>
            <w:r>
              <w:rPr>
                <w:b/>
                <w:color w:val="231F20"/>
                <w:sz w:val="20"/>
              </w:rPr>
              <w:t>2012</w:t>
            </w:r>
          </w:p>
        </w:tc>
        <w:tc>
          <w:tcPr>
            <w:tcW w:w="2177" w:type="dxa"/>
          </w:tcPr>
          <w:p w14:paraId="7C98EAEA" w14:textId="77777777" w:rsidR="00894070" w:rsidRDefault="009B7AFD">
            <w:pPr>
              <w:pStyle w:val="TableParagraph"/>
              <w:spacing w:before="65"/>
              <w:rPr>
                <w:sz w:val="20"/>
              </w:rPr>
            </w:pPr>
            <w:r>
              <w:rPr>
                <w:color w:val="231F20"/>
                <w:sz w:val="20"/>
              </w:rPr>
              <w:t>2,312</w:t>
            </w:r>
          </w:p>
        </w:tc>
        <w:tc>
          <w:tcPr>
            <w:tcW w:w="2177" w:type="dxa"/>
          </w:tcPr>
          <w:p w14:paraId="11790BA5" w14:textId="77777777" w:rsidR="00894070" w:rsidRDefault="009B7AFD">
            <w:pPr>
              <w:pStyle w:val="TableParagraph"/>
              <w:spacing w:before="65" w:line="259" w:lineRule="exact"/>
              <w:rPr>
                <w:sz w:val="20"/>
              </w:rPr>
            </w:pPr>
            <w:r>
              <w:rPr>
                <w:color w:val="231F20"/>
                <w:sz w:val="20"/>
              </w:rPr>
              <w:t>40%, or 16.3 offences</w:t>
            </w:r>
          </w:p>
          <w:p w14:paraId="6BC07D80" w14:textId="77777777" w:rsidR="00894070" w:rsidRDefault="009B7AFD">
            <w:pPr>
              <w:pStyle w:val="TableParagraph"/>
              <w:spacing w:line="240" w:lineRule="exact"/>
              <w:rPr>
                <w:sz w:val="20"/>
              </w:rPr>
            </w:pPr>
            <w:r>
              <w:rPr>
                <w:color w:val="231F20"/>
                <w:sz w:val="20"/>
              </w:rPr>
              <w:t>for every 100,000</w:t>
            </w:r>
          </w:p>
          <w:p w14:paraId="529B790E" w14:textId="77777777" w:rsidR="00894070" w:rsidRDefault="009B7AFD">
            <w:pPr>
              <w:pStyle w:val="TableParagraph"/>
              <w:spacing w:line="259" w:lineRule="exact"/>
              <w:rPr>
                <w:sz w:val="20"/>
              </w:rPr>
            </w:pPr>
            <w:r>
              <w:rPr>
                <w:color w:val="231F20"/>
                <w:sz w:val="20"/>
              </w:rPr>
              <w:t>people</w:t>
            </w:r>
          </w:p>
        </w:tc>
        <w:tc>
          <w:tcPr>
            <w:tcW w:w="2177" w:type="dxa"/>
          </w:tcPr>
          <w:p w14:paraId="317FFB1C" w14:textId="77777777" w:rsidR="00894070" w:rsidRDefault="009B7AFD">
            <w:pPr>
              <w:pStyle w:val="TableParagraph"/>
              <w:spacing w:before="65" w:line="259" w:lineRule="exact"/>
              <w:rPr>
                <w:sz w:val="20"/>
              </w:rPr>
            </w:pPr>
            <w:r>
              <w:rPr>
                <w:color w:val="231F20"/>
                <w:sz w:val="20"/>
              </w:rPr>
              <w:t>60%, or 24.6 offences</w:t>
            </w:r>
          </w:p>
          <w:p w14:paraId="15D11FAA" w14:textId="77777777" w:rsidR="00894070" w:rsidRDefault="009B7AFD">
            <w:pPr>
              <w:pStyle w:val="TableParagraph"/>
              <w:spacing w:line="240" w:lineRule="exact"/>
              <w:rPr>
                <w:sz w:val="20"/>
              </w:rPr>
            </w:pPr>
            <w:r>
              <w:rPr>
                <w:color w:val="231F20"/>
                <w:sz w:val="20"/>
              </w:rPr>
              <w:t>for every 100,000</w:t>
            </w:r>
          </w:p>
          <w:p w14:paraId="12B882F8" w14:textId="77777777" w:rsidR="00894070" w:rsidRDefault="009B7AFD">
            <w:pPr>
              <w:pStyle w:val="TableParagraph"/>
              <w:spacing w:line="259" w:lineRule="exact"/>
              <w:rPr>
                <w:sz w:val="20"/>
              </w:rPr>
            </w:pPr>
            <w:r>
              <w:rPr>
                <w:color w:val="231F20"/>
                <w:sz w:val="20"/>
              </w:rPr>
              <w:t>people</w:t>
            </w:r>
          </w:p>
        </w:tc>
      </w:tr>
      <w:tr w:rsidR="00894070" w14:paraId="6C9732FB" w14:textId="77777777">
        <w:trPr>
          <w:trHeight w:val="884"/>
        </w:trPr>
        <w:tc>
          <w:tcPr>
            <w:tcW w:w="1393" w:type="dxa"/>
          </w:tcPr>
          <w:p w14:paraId="4D0860A6" w14:textId="77777777" w:rsidR="00894070" w:rsidRDefault="009B7AFD">
            <w:pPr>
              <w:pStyle w:val="TableParagraph"/>
              <w:spacing w:before="65"/>
              <w:rPr>
                <w:b/>
                <w:sz w:val="20"/>
              </w:rPr>
            </w:pPr>
            <w:r>
              <w:rPr>
                <w:b/>
                <w:color w:val="231F20"/>
                <w:sz w:val="20"/>
              </w:rPr>
              <w:t>2021</w:t>
            </w:r>
          </w:p>
        </w:tc>
        <w:tc>
          <w:tcPr>
            <w:tcW w:w="2177" w:type="dxa"/>
          </w:tcPr>
          <w:p w14:paraId="55709F76" w14:textId="77777777" w:rsidR="00894070" w:rsidRDefault="009B7AFD">
            <w:pPr>
              <w:pStyle w:val="TableParagraph"/>
              <w:spacing w:before="65"/>
              <w:rPr>
                <w:sz w:val="20"/>
              </w:rPr>
            </w:pPr>
            <w:r>
              <w:rPr>
                <w:color w:val="231F20"/>
                <w:sz w:val="20"/>
              </w:rPr>
              <w:t>2,669</w:t>
            </w:r>
          </w:p>
        </w:tc>
        <w:tc>
          <w:tcPr>
            <w:tcW w:w="2177" w:type="dxa"/>
          </w:tcPr>
          <w:p w14:paraId="5CA265EE" w14:textId="77777777" w:rsidR="00894070" w:rsidRDefault="009B7AFD">
            <w:pPr>
              <w:pStyle w:val="TableParagraph"/>
              <w:spacing w:before="65" w:line="259" w:lineRule="exact"/>
              <w:rPr>
                <w:sz w:val="20"/>
              </w:rPr>
            </w:pPr>
            <w:r>
              <w:rPr>
                <w:color w:val="231F20"/>
                <w:sz w:val="20"/>
              </w:rPr>
              <w:t>58%, or 23 offences</w:t>
            </w:r>
          </w:p>
          <w:p w14:paraId="5D2D4329" w14:textId="77777777" w:rsidR="00894070" w:rsidRDefault="009B7AFD">
            <w:pPr>
              <w:pStyle w:val="TableParagraph"/>
              <w:spacing w:line="240" w:lineRule="exact"/>
              <w:rPr>
                <w:sz w:val="20"/>
              </w:rPr>
            </w:pPr>
            <w:r>
              <w:rPr>
                <w:color w:val="231F20"/>
                <w:sz w:val="20"/>
              </w:rPr>
              <w:t>for every 100,000</w:t>
            </w:r>
          </w:p>
          <w:p w14:paraId="2C7664B9" w14:textId="77777777" w:rsidR="00894070" w:rsidRDefault="009B7AFD">
            <w:pPr>
              <w:pStyle w:val="TableParagraph"/>
              <w:spacing w:line="259" w:lineRule="exact"/>
              <w:rPr>
                <w:sz w:val="20"/>
              </w:rPr>
            </w:pPr>
            <w:r>
              <w:rPr>
                <w:color w:val="231F20"/>
                <w:sz w:val="20"/>
              </w:rPr>
              <w:t>people</w:t>
            </w:r>
          </w:p>
        </w:tc>
        <w:tc>
          <w:tcPr>
            <w:tcW w:w="2177" w:type="dxa"/>
          </w:tcPr>
          <w:p w14:paraId="5502C51A" w14:textId="77777777" w:rsidR="00894070" w:rsidRDefault="009B7AFD">
            <w:pPr>
              <w:pStyle w:val="TableParagraph"/>
              <w:spacing w:before="65" w:line="259" w:lineRule="exact"/>
              <w:rPr>
                <w:sz w:val="20"/>
              </w:rPr>
            </w:pPr>
            <w:r>
              <w:rPr>
                <w:color w:val="231F20"/>
                <w:sz w:val="20"/>
              </w:rPr>
              <w:t>43%, or 17 offences</w:t>
            </w:r>
          </w:p>
          <w:p w14:paraId="6650639D" w14:textId="77777777" w:rsidR="00894070" w:rsidRDefault="009B7AFD">
            <w:pPr>
              <w:pStyle w:val="TableParagraph"/>
              <w:spacing w:line="240" w:lineRule="exact"/>
              <w:rPr>
                <w:sz w:val="20"/>
              </w:rPr>
            </w:pPr>
            <w:r>
              <w:rPr>
                <w:color w:val="231F20"/>
                <w:sz w:val="20"/>
              </w:rPr>
              <w:t>for every 100,000</w:t>
            </w:r>
          </w:p>
          <w:p w14:paraId="350A70D4" w14:textId="77777777" w:rsidR="00894070" w:rsidRDefault="009B7AFD">
            <w:pPr>
              <w:pStyle w:val="TableParagraph"/>
              <w:spacing w:line="259" w:lineRule="exact"/>
              <w:rPr>
                <w:sz w:val="20"/>
              </w:rPr>
            </w:pPr>
            <w:r>
              <w:rPr>
                <w:color w:val="231F20"/>
                <w:sz w:val="20"/>
              </w:rPr>
              <w:t>people</w:t>
            </w:r>
          </w:p>
        </w:tc>
      </w:tr>
    </w:tbl>
    <w:p w14:paraId="7F8BA956" w14:textId="77777777" w:rsidR="00894070" w:rsidRDefault="00894070">
      <w:pPr>
        <w:pStyle w:val="BodyText"/>
        <w:spacing w:before="8"/>
        <w:rPr>
          <w:b/>
          <w:sz w:val="25"/>
        </w:rPr>
      </w:pPr>
    </w:p>
    <w:p w14:paraId="2BEC46A6" w14:textId="77777777" w:rsidR="00894070" w:rsidRDefault="009B7AFD">
      <w:pPr>
        <w:pStyle w:val="ListParagraph"/>
        <w:numPr>
          <w:ilvl w:val="1"/>
          <w:numId w:val="177"/>
        </w:numPr>
        <w:tabs>
          <w:tab w:val="left" w:pos="1801"/>
          <w:tab w:val="left" w:pos="1802"/>
        </w:tabs>
        <w:spacing w:before="1" w:line="259" w:lineRule="exact"/>
        <w:rPr>
          <w:sz w:val="20"/>
        </w:rPr>
      </w:pPr>
      <w:r>
        <w:rPr>
          <w:color w:val="231F20"/>
          <w:sz w:val="20"/>
        </w:rPr>
        <w:t xml:space="preserve">Most stalking </w:t>
      </w:r>
      <w:r>
        <w:rPr>
          <w:color w:val="231F20"/>
          <w:spacing w:val="-3"/>
          <w:sz w:val="20"/>
        </w:rPr>
        <w:t xml:space="preserve">recorded by </w:t>
      </w:r>
      <w:r>
        <w:rPr>
          <w:color w:val="231F20"/>
          <w:sz w:val="20"/>
        </w:rPr>
        <w:t xml:space="preserve">police since </w:t>
      </w:r>
      <w:r>
        <w:rPr>
          <w:color w:val="231F20"/>
          <w:spacing w:val="-3"/>
          <w:sz w:val="20"/>
        </w:rPr>
        <w:t xml:space="preserve">2011 </w:t>
      </w:r>
      <w:r>
        <w:rPr>
          <w:color w:val="231F20"/>
          <w:sz w:val="20"/>
        </w:rPr>
        <w:t>(52 per cent)</w:t>
      </w:r>
      <w:r>
        <w:rPr>
          <w:color w:val="231F20"/>
          <w:position w:val="7"/>
          <w:sz w:val="11"/>
        </w:rPr>
        <w:t xml:space="preserve">49 </w:t>
      </w:r>
      <w:r>
        <w:rPr>
          <w:color w:val="231F20"/>
          <w:sz w:val="20"/>
        </w:rPr>
        <w:t>and sentenced in</w:t>
      </w:r>
      <w:r>
        <w:rPr>
          <w:color w:val="231F20"/>
          <w:spacing w:val="-35"/>
          <w:sz w:val="20"/>
        </w:rPr>
        <w:t xml:space="preserve"> </w:t>
      </w:r>
      <w:r>
        <w:rPr>
          <w:color w:val="231F20"/>
          <w:sz w:val="20"/>
        </w:rPr>
        <w:t>Victorian</w:t>
      </w:r>
    </w:p>
    <w:p w14:paraId="225F1244" w14:textId="77777777" w:rsidR="00894070" w:rsidRDefault="009B7AFD">
      <w:pPr>
        <w:pStyle w:val="BodyText"/>
        <w:spacing w:line="259" w:lineRule="exact"/>
        <w:ind w:left="1801"/>
      </w:pPr>
      <w:r>
        <w:rPr>
          <w:color w:val="231F20"/>
        </w:rPr>
        <w:t>courts since 2015 (68 per cent)</w:t>
      </w:r>
      <w:r>
        <w:rPr>
          <w:color w:val="231F20"/>
          <w:position w:val="7"/>
          <w:sz w:val="11"/>
        </w:rPr>
        <w:t xml:space="preserve">50 </w:t>
      </w:r>
      <w:proofErr w:type="gramStart"/>
      <w:r>
        <w:rPr>
          <w:color w:val="231F20"/>
        </w:rPr>
        <w:t>has</w:t>
      </w:r>
      <w:proofErr w:type="gramEnd"/>
      <w:r>
        <w:rPr>
          <w:color w:val="231F20"/>
        </w:rPr>
        <w:t xml:space="preserve"> been part of family violence.</w:t>
      </w:r>
    </w:p>
    <w:p w14:paraId="344C8AE1" w14:textId="77777777" w:rsidR="00894070" w:rsidRDefault="009B7AFD">
      <w:pPr>
        <w:pStyle w:val="ListParagraph"/>
        <w:numPr>
          <w:ilvl w:val="1"/>
          <w:numId w:val="177"/>
        </w:numPr>
        <w:tabs>
          <w:tab w:val="left" w:pos="1801"/>
          <w:tab w:val="left" w:pos="1802"/>
        </w:tabs>
        <w:spacing w:before="114" w:line="206" w:lineRule="auto"/>
        <w:ind w:right="1601"/>
        <w:rPr>
          <w:sz w:val="11"/>
        </w:rPr>
      </w:pPr>
      <w:r>
        <w:rPr>
          <w:color w:val="231F20"/>
          <w:sz w:val="20"/>
        </w:rPr>
        <w:t>Just</w:t>
      </w:r>
      <w:r>
        <w:rPr>
          <w:color w:val="231F20"/>
          <w:spacing w:val="-10"/>
          <w:sz w:val="20"/>
        </w:rPr>
        <w:t xml:space="preserve"> </w:t>
      </w:r>
      <w:r>
        <w:rPr>
          <w:color w:val="231F20"/>
          <w:sz w:val="20"/>
        </w:rPr>
        <w:t>under</w:t>
      </w:r>
      <w:r>
        <w:rPr>
          <w:color w:val="231F20"/>
          <w:spacing w:val="-10"/>
          <w:sz w:val="20"/>
        </w:rPr>
        <w:t xml:space="preserve"> </w:t>
      </w:r>
      <w:r>
        <w:rPr>
          <w:color w:val="231F20"/>
          <w:sz w:val="20"/>
        </w:rPr>
        <w:t>one-fifth</w:t>
      </w:r>
      <w:r>
        <w:rPr>
          <w:color w:val="231F20"/>
          <w:spacing w:val="-9"/>
          <w:sz w:val="20"/>
        </w:rPr>
        <w:t xml:space="preserve"> </w:t>
      </w:r>
      <w:r>
        <w:rPr>
          <w:color w:val="231F20"/>
          <w:sz w:val="20"/>
        </w:rPr>
        <w:t>of</w:t>
      </w:r>
      <w:r>
        <w:rPr>
          <w:color w:val="231F20"/>
          <w:spacing w:val="-10"/>
          <w:sz w:val="20"/>
        </w:rPr>
        <w:t xml:space="preserve"> </w:t>
      </w:r>
      <w:r>
        <w:rPr>
          <w:color w:val="231F20"/>
          <w:sz w:val="20"/>
        </w:rPr>
        <w:t>stalking</w:t>
      </w:r>
      <w:r>
        <w:rPr>
          <w:color w:val="231F20"/>
          <w:spacing w:val="-10"/>
          <w:sz w:val="20"/>
        </w:rPr>
        <w:t xml:space="preserve"> </w:t>
      </w:r>
      <w:r>
        <w:rPr>
          <w:color w:val="231F20"/>
          <w:sz w:val="20"/>
        </w:rPr>
        <w:t>offences</w:t>
      </w:r>
      <w:r>
        <w:rPr>
          <w:color w:val="231F20"/>
          <w:spacing w:val="-9"/>
          <w:sz w:val="20"/>
        </w:rPr>
        <w:t xml:space="preserve"> </w:t>
      </w:r>
      <w:r>
        <w:rPr>
          <w:color w:val="231F20"/>
          <w:spacing w:val="-3"/>
          <w:sz w:val="20"/>
        </w:rPr>
        <w:t>recorded</w:t>
      </w:r>
      <w:r>
        <w:rPr>
          <w:color w:val="231F20"/>
          <w:spacing w:val="-10"/>
          <w:sz w:val="20"/>
        </w:rPr>
        <w:t xml:space="preserve"> </w:t>
      </w:r>
      <w:r>
        <w:rPr>
          <w:color w:val="231F20"/>
          <w:spacing w:val="-3"/>
          <w:sz w:val="20"/>
        </w:rPr>
        <w:t>by</w:t>
      </w:r>
      <w:r>
        <w:rPr>
          <w:color w:val="231F20"/>
          <w:spacing w:val="-10"/>
          <w:sz w:val="20"/>
        </w:rPr>
        <w:t xml:space="preserve"> </w:t>
      </w:r>
      <w:r>
        <w:rPr>
          <w:color w:val="231F20"/>
          <w:sz w:val="20"/>
        </w:rPr>
        <w:t>police</w:t>
      </w:r>
      <w:r>
        <w:rPr>
          <w:color w:val="231F20"/>
          <w:spacing w:val="-9"/>
          <w:sz w:val="20"/>
        </w:rPr>
        <w:t xml:space="preserve"> </w:t>
      </w:r>
      <w:r>
        <w:rPr>
          <w:color w:val="231F20"/>
          <w:sz w:val="20"/>
        </w:rPr>
        <w:t>since</w:t>
      </w:r>
      <w:r>
        <w:rPr>
          <w:color w:val="231F20"/>
          <w:spacing w:val="-10"/>
          <w:sz w:val="20"/>
        </w:rPr>
        <w:t xml:space="preserve"> </w:t>
      </w:r>
      <w:r>
        <w:rPr>
          <w:color w:val="231F20"/>
          <w:spacing w:val="-3"/>
          <w:sz w:val="20"/>
        </w:rPr>
        <w:t>2011</w:t>
      </w:r>
      <w:r>
        <w:rPr>
          <w:color w:val="231F20"/>
          <w:spacing w:val="-10"/>
          <w:sz w:val="20"/>
        </w:rPr>
        <w:t xml:space="preserve"> </w:t>
      </w:r>
      <w:r>
        <w:rPr>
          <w:color w:val="231F20"/>
          <w:spacing w:val="-4"/>
          <w:sz w:val="20"/>
        </w:rPr>
        <w:t>(17</w:t>
      </w:r>
      <w:r>
        <w:rPr>
          <w:color w:val="231F20"/>
          <w:spacing w:val="-9"/>
          <w:sz w:val="20"/>
        </w:rPr>
        <w:t xml:space="preserve"> </w:t>
      </w:r>
      <w:r>
        <w:rPr>
          <w:color w:val="231F20"/>
          <w:sz w:val="20"/>
        </w:rPr>
        <w:t>per</w:t>
      </w:r>
      <w:r>
        <w:rPr>
          <w:color w:val="231F20"/>
          <w:spacing w:val="-10"/>
          <w:sz w:val="20"/>
        </w:rPr>
        <w:t xml:space="preserve"> </w:t>
      </w:r>
      <w:r>
        <w:rPr>
          <w:color w:val="231F20"/>
          <w:sz w:val="20"/>
        </w:rPr>
        <w:t xml:space="preserve">cent) </w:t>
      </w:r>
      <w:r>
        <w:rPr>
          <w:color w:val="231F20"/>
          <w:spacing w:val="-4"/>
          <w:sz w:val="20"/>
        </w:rPr>
        <w:t xml:space="preserve">involved </w:t>
      </w:r>
      <w:r>
        <w:rPr>
          <w:color w:val="231F20"/>
          <w:sz w:val="20"/>
        </w:rPr>
        <w:t>strangers.</w:t>
      </w:r>
      <w:r>
        <w:rPr>
          <w:color w:val="231F20"/>
          <w:position w:val="7"/>
          <w:sz w:val="11"/>
        </w:rPr>
        <w:t>51</w:t>
      </w:r>
    </w:p>
    <w:p w14:paraId="77789AD9" w14:textId="77777777" w:rsidR="00894070" w:rsidRDefault="009B7AFD">
      <w:pPr>
        <w:pStyle w:val="ListParagraph"/>
        <w:numPr>
          <w:ilvl w:val="1"/>
          <w:numId w:val="177"/>
        </w:numPr>
        <w:tabs>
          <w:tab w:val="left" w:pos="1801"/>
          <w:tab w:val="left" w:pos="1802"/>
        </w:tabs>
        <w:spacing w:before="123" w:line="206" w:lineRule="auto"/>
        <w:ind w:right="1180"/>
        <w:rPr>
          <w:sz w:val="11"/>
        </w:rPr>
      </w:pPr>
      <w:r>
        <w:rPr>
          <w:color w:val="231F20"/>
          <w:sz w:val="20"/>
        </w:rPr>
        <w:t xml:space="preserve">Compared to some other crimes against the person, stalking offences </w:t>
      </w:r>
      <w:r>
        <w:rPr>
          <w:color w:val="231F20"/>
          <w:spacing w:val="-3"/>
          <w:sz w:val="20"/>
        </w:rPr>
        <w:t xml:space="preserve">are recorded </w:t>
      </w:r>
      <w:r>
        <w:rPr>
          <w:color w:val="231F20"/>
          <w:sz w:val="20"/>
        </w:rPr>
        <w:t xml:space="preserve">less often. </w:t>
      </w:r>
      <w:r>
        <w:rPr>
          <w:color w:val="231F20"/>
          <w:spacing w:val="-3"/>
          <w:sz w:val="20"/>
        </w:rPr>
        <w:t xml:space="preserve">For example, </w:t>
      </w:r>
      <w:r>
        <w:rPr>
          <w:color w:val="231F20"/>
          <w:sz w:val="20"/>
        </w:rPr>
        <w:t xml:space="preserve">in 2021, </w:t>
      </w:r>
      <w:r>
        <w:rPr>
          <w:color w:val="231F20"/>
          <w:spacing w:val="-3"/>
          <w:sz w:val="20"/>
        </w:rPr>
        <w:t xml:space="preserve">family </w:t>
      </w:r>
      <w:r>
        <w:rPr>
          <w:color w:val="231F20"/>
          <w:sz w:val="20"/>
        </w:rPr>
        <w:t xml:space="preserve">violence-related common assaults </w:t>
      </w:r>
      <w:r>
        <w:rPr>
          <w:color w:val="231F20"/>
          <w:spacing w:val="-3"/>
          <w:sz w:val="20"/>
        </w:rPr>
        <w:t xml:space="preserve">represented </w:t>
      </w:r>
      <w:r>
        <w:rPr>
          <w:color w:val="231F20"/>
          <w:sz w:val="20"/>
        </w:rPr>
        <w:t xml:space="preserve">240 offences </w:t>
      </w:r>
      <w:r>
        <w:rPr>
          <w:color w:val="231F20"/>
          <w:spacing w:val="-3"/>
          <w:sz w:val="20"/>
        </w:rPr>
        <w:t xml:space="preserve">for </w:t>
      </w:r>
      <w:r>
        <w:rPr>
          <w:color w:val="231F20"/>
          <w:sz w:val="20"/>
        </w:rPr>
        <w:t xml:space="preserve">every </w:t>
      </w:r>
      <w:r>
        <w:rPr>
          <w:color w:val="231F20"/>
          <w:spacing w:val="-3"/>
          <w:sz w:val="20"/>
        </w:rPr>
        <w:t xml:space="preserve">100,000 </w:t>
      </w:r>
      <w:r>
        <w:rPr>
          <w:color w:val="231F20"/>
          <w:sz w:val="20"/>
        </w:rPr>
        <w:t xml:space="preserve">people, compared to 23 </w:t>
      </w:r>
      <w:r>
        <w:rPr>
          <w:color w:val="231F20"/>
          <w:spacing w:val="-3"/>
          <w:sz w:val="20"/>
        </w:rPr>
        <w:t xml:space="preserve">family </w:t>
      </w:r>
      <w:r>
        <w:rPr>
          <w:color w:val="231F20"/>
          <w:sz w:val="20"/>
        </w:rPr>
        <w:t xml:space="preserve">violence-related stalking offences </w:t>
      </w:r>
      <w:r>
        <w:rPr>
          <w:color w:val="231F20"/>
          <w:spacing w:val="-3"/>
          <w:sz w:val="20"/>
        </w:rPr>
        <w:t xml:space="preserve">for </w:t>
      </w:r>
      <w:r>
        <w:rPr>
          <w:color w:val="231F20"/>
          <w:sz w:val="20"/>
        </w:rPr>
        <w:t xml:space="preserve">every </w:t>
      </w:r>
      <w:r>
        <w:rPr>
          <w:color w:val="231F20"/>
          <w:spacing w:val="-3"/>
          <w:sz w:val="20"/>
        </w:rPr>
        <w:t xml:space="preserve">100,000 </w:t>
      </w:r>
      <w:r>
        <w:rPr>
          <w:color w:val="231F20"/>
          <w:sz w:val="20"/>
        </w:rPr>
        <w:t>people. Non-family violence-related common assaults</w:t>
      </w:r>
      <w:r>
        <w:rPr>
          <w:color w:val="231F20"/>
          <w:spacing w:val="-11"/>
          <w:sz w:val="20"/>
        </w:rPr>
        <w:t xml:space="preserve"> </w:t>
      </w:r>
      <w:r>
        <w:rPr>
          <w:color w:val="231F20"/>
          <w:spacing w:val="-3"/>
          <w:sz w:val="20"/>
        </w:rPr>
        <w:t>represented</w:t>
      </w:r>
      <w:r>
        <w:rPr>
          <w:color w:val="231F20"/>
          <w:spacing w:val="-11"/>
          <w:sz w:val="20"/>
        </w:rPr>
        <w:t xml:space="preserve"> </w:t>
      </w:r>
      <w:r>
        <w:rPr>
          <w:color w:val="231F20"/>
          <w:spacing w:val="-8"/>
          <w:sz w:val="20"/>
        </w:rPr>
        <w:t>174</w:t>
      </w:r>
      <w:r>
        <w:rPr>
          <w:color w:val="231F20"/>
          <w:spacing w:val="-11"/>
          <w:sz w:val="20"/>
        </w:rPr>
        <w:t xml:space="preserve"> </w:t>
      </w:r>
      <w:r>
        <w:rPr>
          <w:color w:val="231F20"/>
          <w:sz w:val="20"/>
        </w:rPr>
        <w:t>offences</w:t>
      </w:r>
      <w:r>
        <w:rPr>
          <w:color w:val="231F20"/>
          <w:spacing w:val="-11"/>
          <w:sz w:val="20"/>
        </w:rPr>
        <w:t xml:space="preserve"> </w:t>
      </w:r>
      <w:r>
        <w:rPr>
          <w:color w:val="231F20"/>
          <w:spacing w:val="-3"/>
          <w:sz w:val="20"/>
        </w:rPr>
        <w:t>for</w:t>
      </w:r>
      <w:r>
        <w:rPr>
          <w:color w:val="231F20"/>
          <w:spacing w:val="-10"/>
          <w:sz w:val="20"/>
        </w:rPr>
        <w:t xml:space="preserve"> </w:t>
      </w:r>
      <w:r>
        <w:rPr>
          <w:color w:val="231F20"/>
          <w:sz w:val="20"/>
        </w:rPr>
        <w:t>every</w:t>
      </w:r>
      <w:r>
        <w:rPr>
          <w:color w:val="231F20"/>
          <w:spacing w:val="-11"/>
          <w:sz w:val="20"/>
        </w:rPr>
        <w:t xml:space="preserve"> </w:t>
      </w:r>
      <w:r>
        <w:rPr>
          <w:color w:val="231F20"/>
          <w:spacing w:val="-3"/>
          <w:sz w:val="20"/>
        </w:rPr>
        <w:t>100,000</w:t>
      </w:r>
      <w:r>
        <w:rPr>
          <w:color w:val="231F20"/>
          <w:spacing w:val="-11"/>
          <w:sz w:val="20"/>
        </w:rPr>
        <w:t xml:space="preserve"> </w:t>
      </w:r>
      <w:r>
        <w:rPr>
          <w:color w:val="231F20"/>
          <w:sz w:val="20"/>
        </w:rPr>
        <w:t>people,</w:t>
      </w:r>
      <w:r>
        <w:rPr>
          <w:color w:val="231F20"/>
          <w:spacing w:val="-11"/>
          <w:sz w:val="20"/>
        </w:rPr>
        <w:t xml:space="preserve"> </w:t>
      </w:r>
      <w:r>
        <w:rPr>
          <w:color w:val="231F20"/>
          <w:sz w:val="20"/>
        </w:rPr>
        <w:t>compared</w:t>
      </w:r>
      <w:r>
        <w:rPr>
          <w:color w:val="231F20"/>
          <w:spacing w:val="-10"/>
          <w:sz w:val="20"/>
        </w:rPr>
        <w:t xml:space="preserve"> </w:t>
      </w:r>
      <w:r>
        <w:rPr>
          <w:color w:val="231F20"/>
          <w:sz w:val="20"/>
        </w:rPr>
        <w:t>to</w:t>
      </w:r>
      <w:r>
        <w:rPr>
          <w:color w:val="231F20"/>
          <w:spacing w:val="-11"/>
          <w:sz w:val="20"/>
        </w:rPr>
        <w:t xml:space="preserve"> </w:t>
      </w:r>
      <w:r>
        <w:rPr>
          <w:color w:val="231F20"/>
          <w:spacing w:val="-5"/>
          <w:sz w:val="20"/>
        </w:rPr>
        <w:t>17</w:t>
      </w:r>
      <w:r>
        <w:rPr>
          <w:color w:val="231F20"/>
          <w:spacing w:val="-11"/>
          <w:sz w:val="20"/>
        </w:rPr>
        <w:t xml:space="preserve"> </w:t>
      </w:r>
      <w:r>
        <w:rPr>
          <w:color w:val="231F20"/>
          <w:sz w:val="20"/>
        </w:rPr>
        <w:t xml:space="preserve">non-family violence-related stalking offences </w:t>
      </w:r>
      <w:r>
        <w:rPr>
          <w:color w:val="231F20"/>
          <w:spacing w:val="-3"/>
          <w:sz w:val="20"/>
        </w:rPr>
        <w:t xml:space="preserve">for </w:t>
      </w:r>
      <w:r>
        <w:rPr>
          <w:color w:val="231F20"/>
          <w:sz w:val="20"/>
        </w:rPr>
        <w:t xml:space="preserve">every </w:t>
      </w:r>
      <w:r>
        <w:rPr>
          <w:color w:val="231F20"/>
          <w:spacing w:val="-3"/>
          <w:sz w:val="20"/>
        </w:rPr>
        <w:t>100,000</w:t>
      </w:r>
      <w:r>
        <w:rPr>
          <w:color w:val="231F20"/>
          <w:spacing w:val="-29"/>
          <w:sz w:val="20"/>
        </w:rPr>
        <w:t xml:space="preserve"> </w:t>
      </w:r>
      <w:r>
        <w:rPr>
          <w:color w:val="231F20"/>
          <w:sz w:val="20"/>
        </w:rPr>
        <w:t>people.</w:t>
      </w:r>
      <w:r>
        <w:rPr>
          <w:color w:val="231F20"/>
          <w:position w:val="7"/>
          <w:sz w:val="11"/>
        </w:rPr>
        <w:t>52</w:t>
      </w:r>
    </w:p>
    <w:p w14:paraId="68D9711D" w14:textId="77777777" w:rsidR="00894070" w:rsidRDefault="00894070">
      <w:pPr>
        <w:pStyle w:val="BodyText"/>
        <w:rPr>
          <w:sz w:val="16"/>
        </w:rPr>
      </w:pPr>
    </w:p>
    <w:p w14:paraId="78D55028" w14:textId="77777777" w:rsidR="00894070" w:rsidRDefault="009B7AFD">
      <w:pPr>
        <w:pStyle w:val="Heading8"/>
        <w:ind w:left="1007"/>
      </w:pPr>
      <w:r>
        <w:rPr>
          <w:color w:val="231F20"/>
        </w:rPr>
        <w:t>What else does the data suggest about stalking offences in Victoria?</w:t>
      </w:r>
    </w:p>
    <w:p w14:paraId="2A70FA94" w14:textId="77777777" w:rsidR="00894070" w:rsidRDefault="009B7AFD">
      <w:pPr>
        <w:pStyle w:val="ListParagraph"/>
        <w:numPr>
          <w:ilvl w:val="1"/>
          <w:numId w:val="177"/>
        </w:numPr>
        <w:tabs>
          <w:tab w:val="left" w:pos="1801"/>
          <w:tab w:val="left" w:pos="1802"/>
        </w:tabs>
        <w:spacing w:before="127" w:line="206" w:lineRule="auto"/>
        <w:ind w:right="1633"/>
        <w:rPr>
          <w:sz w:val="11"/>
        </w:rPr>
      </w:pPr>
      <w:r>
        <w:rPr>
          <w:color w:val="231F20"/>
          <w:spacing w:val="-6"/>
          <w:sz w:val="20"/>
        </w:rPr>
        <w:t xml:space="preserve">Table </w:t>
      </w:r>
      <w:r>
        <w:rPr>
          <w:color w:val="231F20"/>
          <w:sz w:val="20"/>
        </w:rPr>
        <w:t xml:space="preserve">2 sets out data </w:t>
      </w:r>
      <w:proofErr w:type="spellStart"/>
      <w:r>
        <w:rPr>
          <w:color w:val="231F20"/>
          <w:spacing w:val="-3"/>
          <w:sz w:val="20"/>
        </w:rPr>
        <w:t>analysed</w:t>
      </w:r>
      <w:proofErr w:type="spellEnd"/>
      <w:r>
        <w:rPr>
          <w:color w:val="231F20"/>
          <w:spacing w:val="-3"/>
          <w:sz w:val="20"/>
        </w:rPr>
        <w:t xml:space="preserve"> by </w:t>
      </w:r>
      <w:r>
        <w:rPr>
          <w:color w:val="231F20"/>
          <w:sz w:val="20"/>
        </w:rPr>
        <w:t>the Sentencing Advisory Council in its report on stalking</w:t>
      </w:r>
      <w:r>
        <w:rPr>
          <w:color w:val="231F20"/>
          <w:spacing w:val="-8"/>
          <w:sz w:val="20"/>
        </w:rPr>
        <w:t xml:space="preserve"> </w:t>
      </w:r>
      <w:r>
        <w:rPr>
          <w:color w:val="231F20"/>
          <w:sz w:val="20"/>
        </w:rPr>
        <w:t>offences</w:t>
      </w:r>
      <w:r>
        <w:rPr>
          <w:color w:val="231F20"/>
          <w:spacing w:val="-8"/>
          <w:sz w:val="20"/>
        </w:rPr>
        <w:t xml:space="preserve"> </w:t>
      </w:r>
      <w:r>
        <w:rPr>
          <w:color w:val="231F20"/>
          <w:spacing w:val="-3"/>
          <w:sz w:val="20"/>
        </w:rPr>
        <w:t>recorded</w:t>
      </w:r>
      <w:r>
        <w:rPr>
          <w:color w:val="231F20"/>
          <w:spacing w:val="-8"/>
          <w:sz w:val="20"/>
        </w:rPr>
        <w:t xml:space="preserve"> </w:t>
      </w:r>
      <w:r>
        <w:rPr>
          <w:color w:val="231F20"/>
          <w:spacing w:val="-3"/>
          <w:sz w:val="20"/>
        </w:rPr>
        <w:t>by</w:t>
      </w:r>
      <w:r>
        <w:rPr>
          <w:color w:val="231F20"/>
          <w:spacing w:val="-8"/>
          <w:sz w:val="20"/>
        </w:rPr>
        <w:t xml:space="preserve"> </w:t>
      </w:r>
      <w:r>
        <w:rPr>
          <w:color w:val="231F20"/>
          <w:sz w:val="20"/>
        </w:rPr>
        <w:t>police</w:t>
      </w:r>
      <w:r>
        <w:rPr>
          <w:color w:val="231F20"/>
          <w:spacing w:val="-8"/>
          <w:sz w:val="20"/>
        </w:rPr>
        <w:t xml:space="preserve"> </w:t>
      </w:r>
      <w:r>
        <w:rPr>
          <w:color w:val="231F20"/>
          <w:sz w:val="20"/>
        </w:rPr>
        <w:t>and</w:t>
      </w:r>
      <w:r>
        <w:rPr>
          <w:color w:val="231F20"/>
          <w:spacing w:val="-8"/>
          <w:sz w:val="20"/>
        </w:rPr>
        <w:t xml:space="preserve"> </w:t>
      </w:r>
      <w:r>
        <w:rPr>
          <w:color w:val="231F20"/>
          <w:sz w:val="20"/>
        </w:rPr>
        <w:t>sentenced</w:t>
      </w:r>
      <w:r>
        <w:rPr>
          <w:color w:val="231F20"/>
          <w:spacing w:val="-8"/>
          <w:sz w:val="20"/>
        </w:rPr>
        <w:t xml:space="preserve"> </w:t>
      </w:r>
      <w:r>
        <w:rPr>
          <w:color w:val="231F20"/>
          <w:spacing w:val="-3"/>
          <w:sz w:val="20"/>
        </w:rPr>
        <w:t>by</w:t>
      </w:r>
      <w:r>
        <w:rPr>
          <w:color w:val="231F20"/>
          <w:spacing w:val="-8"/>
          <w:sz w:val="20"/>
        </w:rPr>
        <w:t xml:space="preserve"> </w:t>
      </w:r>
      <w:r>
        <w:rPr>
          <w:color w:val="231F20"/>
          <w:sz w:val="20"/>
        </w:rPr>
        <w:t>courts</w:t>
      </w:r>
      <w:r>
        <w:rPr>
          <w:color w:val="231F20"/>
          <w:spacing w:val="-8"/>
          <w:sz w:val="20"/>
        </w:rPr>
        <w:t xml:space="preserve"> </w:t>
      </w:r>
      <w:r>
        <w:rPr>
          <w:color w:val="231F20"/>
          <w:spacing w:val="-3"/>
          <w:sz w:val="20"/>
        </w:rPr>
        <w:t>from</w:t>
      </w:r>
      <w:r>
        <w:rPr>
          <w:color w:val="231F20"/>
          <w:spacing w:val="-7"/>
          <w:sz w:val="20"/>
        </w:rPr>
        <w:t xml:space="preserve"> </w:t>
      </w:r>
      <w:r>
        <w:rPr>
          <w:color w:val="231F20"/>
          <w:spacing w:val="-3"/>
          <w:sz w:val="20"/>
        </w:rPr>
        <w:t>2011</w:t>
      </w:r>
      <w:r>
        <w:rPr>
          <w:color w:val="231F20"/>
          <w:spacing w:val="-8"/>
          <w:sz w:val="20"/>
        </w:rPr>
        <w:t xml:space="preserve"> </w:t>
      </w:r>
      <w:r>
        <w:rPr>
          <w:color w:val="231F20"/>
          <w:sz w:val="20"/>
        </w:rPr>
        <w:t>to</w:t>
      </w:r>
      <w:r>
        <w:rPr>
          <w:color w:val="231F20"/>
          <w:spacing w:val="-8"/>
          <w:sz w:val="20"/>
        </w:rPr>
        <w:t xml:space="preserve"> </w:t>
      </w:r>
      <w:r>
        <w:rPr>
          <w:color w:val="231F20"/>
          <w:spacing w:val="-4"/>
          <w:sz w:val="20"/>
        </w:rPr>
        <w:t>2020</w:t>
      </w:r>
      <w:r>
        <w:rPr>
          <w:color w:val="231F20"/>
          <w:spacing w:val="-8"/>
          <w:sz w:val="20"/>
        </w:rPr>
        <w:t xml:space="preserve"> </w:t>
      </w:r>
      <w:r>
        <w:rPr>
          <w:color w:val="231F20"/>
          <w:sz w:val="20"/>
        </w:rPr>
        <w:t>in Victoria.</w:t>
      </w:r>
      <w:r>
        <w:rPr>
          <w:color w:val="231F20"/>
          <w:position w:val="7"/>
          <w:sz w:val="11"/>
        </w:rPr>
        <w:t>53</w:t>
      </w:r>
    </w:p>
    <w:p w14:paraId="4B49D6E8" w14:textId="77777777" w:rsidR="00894070" w:rsidRDefault="00894070">
      <w:pPr>
        <w:pStyle w:val="BodyText"/>
      </w:pPr>
    </w:p>
    <w:p w14:paraId="6AC665A2" w14:textId="77777777" w:rsidR="00894070" w:rsidRDefault="00894070">
      <w:pPr>
        <w:pStyle w:val="BodyText"/>
      </w:pPr>
    </w:p>
    <w:p w14:paraId="5835F282" w14:textId="77777777" w:rsidR="00894070" w:rsidRDefault="00894070">
      <w:pPr>
        <w:pStyle w:val="BodyText"/>
      </w:pPr>
    </w:p>
    <w:p w14:paraId="28A54C68" w14:textId="77777777" w:rsidR="00894070" w:rsidRDefault="00894070">
      <w:pPr>
        <w:pStyle w:val="BodyText"/>
      </w:pPr>
    </w:p>
    <w:p w14:paraId="6870E9D3" w14:textId="77777777" w:rsidR="00894070" w:rsidRDefault="00894070">
      <w:pPr>
        <w:pStyle w:val="BodyText"/>
      </w:pPr>
    </w:p>
    <w:p w14:paraId="4EC73EC2" w14:textId="77777777" w:rsidR="00894070" w:rsidRDefault="00894070">
      <w:pPr>
        <w:pStyle w:val="BodyText"/>
      </w:pPr>
    </w:p>
    <w:p w14:paraId="4CBF8306" w14:textId="77777777" w:rsidR="00894070" w:rsidRDefault="009F6793">
      <w:pPr>
        <w:pStyle w:val="BodyText"/>
        <w:spacing w:before="3"/>
        <w:rPr>
          <w:sz w:val="27"/>
        </w:rPr>
      </w:pPr>
      <w:r>
        <w:pict w14:anchorId="43677705">
          <v:line id="_x0000_s1664" style="position:absolute;z-index:251440128;mso-wrap-distance-left:0;mso-wrap-distance-right:0;mso-position-horizontal-relative:page" from="79.35pt,21.35pt" to="515.9pt,21.35pt" strokecolor="#f8cabc" strokeweight="1pt">
            <w10:wrap type="topAndBottom" anchorx="page"/>
          </v:line>
        </w:pict>
      </w:r>
    </w:p>
    <w:p w14:paraId="6A126241" w14:textId="77777777" w:rsidR="00894070" w:rsidRDefault="009B7AFD">
      <w:pPr>
        <w:pStyle w:val="ListParagraph"/>
        <w:numPr>
          <w:ilvl w:val="0"/>
          <w:numId w:val="172"/>
        </w:numPr>
        <w:tabs>
          <w:tab w:val="left" w:pos="1801"/>
          <w:tab w:val="left" w:pos="1802"/>
        </w:tabs>
        <w:spacing w:before="107" w:line="213" w:lineRule="auto"/>
        <w:ind w:right="1181"/>
        <w:rPr>
          <w:sz w:val="13"/>
        </w:rPr>
      </w:pPr>
      <w:r>
        <w:rPr>
          <w:color w:val="231F20"/>
          <w:sz w:val="13"/>
        </w:rPr>
        <w:t xml:space="preserve">The Sentencing Advisory Council attributes a marked increase in family violence orders and </w:t>
      </w:r>
      <w:r>
        <w:rPr>
          <w:color w:val="231F20"/>
          <w:spacing w:val="2"/>
          <w:sz w:val="13"/>
        </w:rPr>
        <w:t xml:space="preserve">police </w:t>
      </w:r>
      <w:r>
        <w:rPr>
          <w:color w:val="231F20"/>
          <w:sz w:val="13"/>
        </w:rPr>
        <w:t xml:space="preserve">recorded and sentenced breaches of these orders over the decade to 2020 to the same factors: 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May 2022)</w:t>
      </w:r>
      <w:r>
        <w:rPr>
          <w:color w:val="231F20"/>
          <w:spacing w:val="5"/>
          <w:sz w:val="13"/>
        </w:rPr>
        <w:t xml:space="preserve"> </w:t>
      </w:r>
      <w:r>
        <w:rPr>
          <w:color w:val="231F20"/>
          <w:spacing w:val="2"/>
          <w:sz w:val="13"/>
        </w:rPr>
        <w:t>5–6.</w:t>
      </w:r>
    </w:p>
    <w:p w14:paraId="5E505916" w14:textId="77777777" w:rsidR="00894070" w:rsidRDefault="009B7AFD">
      <w:pPr>
        <w:pStyle w:val="ListParagraph"/>
        <w:numPr>
          <w:ilvl w:val="0"/>
          <w:numId w:val="172"/>
        </w:numPr>
        <w:tabs>
          <w:tab w:val="left" w:pos="1801"/>
          <w:tab w:val="left" w:pos="1802"/>
        </w:tabs>
        <w:spacing w:line="213" w:lineRule="auto"/>
        <w:ind w:right="1255"/>
        <w:rPr>
          <w:sz w:val="13"/>
        </w:rPr>
      </w:pPr>
      <w:r>
        <w:rPr>
          <w:color w:val="231F20"/>
          <w:sz w:val="13"/>
        </w:rPr>
        <w:t xml:space="preserve">‘Recorded Offences’, </w:t>
      </w:r>
      <w:r>
        <w:rPr>
          <w:i/>
          <w:color w:val="231F20"/>
          <w:sz w:val="13"/>
        </w:rPr>
        <w:t xml:space="preserve">Crime Statistics Agency (Vic) </w:t>
      </w:r>
      <w:r>
        <w:rPr>
          <w:color w:val="231F20"/>
          <w:sz w:val="13"/>
        </w:rPr>
        <w:t xml:space="preserve">(Web Page, March 2022) Table 1 (Offences recorded and rate per 100,000 </w:t>
      </w:r>
      <w:r>
        <w:rPr>
          <w:color w:val="231F20"/>
          <w:spacing w:val="2"/>
          <w:sz w:val="13"/>
        </w:rPr>
        <w:t xml:space="preserve">population </w:t>
      </w:r>
      <w:r>
        <w:rPr>
          <w:color w:val="231F20"/>
          <w:sz w:val="13"/>
        </w:rPr>
        <w:t>by offence type, 2012 to 2021</w:t>
      </w:r>
      <w:hyperlink r:id="rId52">
        <w:r>
          <w:rPr>
            <w:color w:val="231F20"/>
            <w:sz w:val="13"/>
          </w:rPr>
          <w:t>) &lt;https://www.crimestatistics.vic.gov.au/crime-statistics/latest-victorian-crime-data/</w:t>
        </w:r>
      </w:hyperlink>
      <w:hyperlink r:id="rId53">
        <w:r>
          <w:rPr>
            <w:color w:val="231F20"/>
            <w:sz w:val="13"/>
          </w:rPr>
          <w:t xml:space="preserve"> recorded-offences-2</w:t>
        </w:r>
      </w:hyperlink>
      <w:r>
        <w:rPr>
          <w:color w:val="231F20"/>
          <w:sz w:val="13"/>
        </w:rPr>
        <w:t>&gt;.</w:t>
      </w:r>
      <w:r>
        <w:rPr>
          <w:color w:val="231F20"/>
          <w:spacing w:val="2"/>
          <w:sz w:val="13"/>
        </w:rPr>
        <w:t xml:space="preserve"> </w:t>
      </w:r>
      <w:r>
        <w:rPr>
          <w:color w:val="231F20"/>
          <w:sz w:val="13"/>
        </w:rPr>
        <w:t>Percentages</w:t>
      </w:r>
      <w:r>
        <w:rPr>
          <w:color w:val="231F20"/>
          <w:spacing w:val="3"/>
          <w:sz w:val="13"/>
        </w:rPr>
        <w:t xml:space="preserve"> </w:t>
      </w:r>
      <w:r>
        <w:rPr>
          <w:color w:val="231F20"/>
          <w:sz w:val="13"/>
        </w:rPr>
        <w:t>for</w:t>
      </w:r>
      <w:r>
        <w:rPr>
          <w:color w:val="231F20"/>
          <w:spacing w:val="3"/>
          <w:sz w:val="13"/>
        </w:rPr>
        <w:t xml:space="preserve"> </w:t>
      </w:r>
      <w:r>
        <w:rPr>
          <w:color w:val="231F20"/>
          <w:sz w:val="13"/>
        </w:rPr>
        <w:t>the</w:t>
      </w:r>
      <w:r>
        <w:rPr>
          <w:color w:val="231F20"/>
          <w:spacing w:val="3"/>
          <w:sz w:val="13"/>
        </w:rPr>
        <w:t xml:space="preserve"> </w:t>
      </w:r>
      <w:r>
        <w:rPr>
          <w:color w:val="231F20"/>
          <w:sz w:val="13"/>
        </w:rPr>
        <w:t>year</w:t>
      </w:r>
      <w:r>
        <w:rPr>
          <w:color w:val="231F20"/>
          <w:spacing w:val="3"/>
          <w:sz w:val="13"/>
        </w:rPr>
        <w:t xml:space="preserve"> </w:t>
      </w:r>
      <w:r>
        <w:rPr>
          <w:color w:val="231F20"/>
          <w:sz w:val="13"/>
        </w:rPr>
        <w:t>2021</w:t>
      </w:r>
      <w:r>
        <w:rPr>
          <w:color w:val="231F20"/>
          <w:spacing w:val="3"/>
          <w:sz w:val="13"/>
        </w:rPr>
        <w:t xml:space="preserve"> </w:t>
      </w:r>
      <w:r>
        <w:rPr>
          <w:color w:val="231F20"/>
          <w:sz w:val="13"/>
        </w:rPr>
        <w:t>in</w:t>
      </w:r>
      <w:r>
        <w:rPr>
          <w:color w:val="231F20"/>
          <w:spacing w:val="3"/>
          <w:sz w:val="13"/>
        </w:rPr>
        <w:t xml:space="preserve"> </w:t>
      </w:r>
      <w:r>
        <w:rPr>
          <w:color w:val="231F20"/>
          <w:sz w:val="13"/>
        </w:rPr>
        <w:t>this</w:t>
      </w:r>
      <w:r>
        <w:rPr>
          <w:color w:val="231F20"/>
          <w:spacing w:val="3"/>
          <w:sz w:val="13"/>
        </w:rPr>
        <w:t xml:space="preserve"> </w:t>
      </w:r>
      <w:r>
        <w:rPr>
          <w:color w:val="231F20"/>
          <w:sz w:val="13"/>
        </w:rPr>
        <w:t>table</w:t>
      </w:r>
      <w:r>
        <w:rPr>
          <w:color w:val="231F20"/>
          <w:spacing w:val="3"/>
          <w:sz w:val="13"/>
        </w:rPr>
        <w:t xml:space="preserve"> </w:t>
      </w:r>
      <w:r>
        <w:rPr>
          <w:color w:val="231F20"/>
          <w:sz w:val="13"/>
        </w:rPr>
        <w:t>do</w:t>
      </w:r>
      <w:r>
        <w:rPr>
          <w:color w:val="231F20"/>
          <w:spacing w:val="3"/>
          <w:sz w:val="13"/>
        </w:rPr>
        <w:t xml:space="preserve"> </w:t>
      </w:r>
      <w:r>
        <w:rPr>
          <w:color w:val="231F20"/>
          <w:sz w:val="13"/>
        </w:rPr>
        <w:t>not</w:t>
      </w:r>
      <w:r>
        <w:rPr>
          <w:color w:val="231F20"/>
          <w:spacing w:val="3"/>
          <w:sz w:val="13"/>
        </w:rPr>
        <w:t xml:space="preserve"> </w:t>
      </w:r>
      <w:r>
        <w:rPr>
          <w:color w:val="231F20"/>
          <w:sz w:val="13"/>
        </w:rPr>
        <w:t>add</w:t>
      </w:r>
      <w:r>
        <w:rPr>
          <w:color w:val="231F20"/>
          <w:spacing w:val="3"/>
          <w:sz w:val="13"/>
        </w:rPr>
        <w:t xml:space="preserve"> </w:t>
      </w:r>
      <w:r>
        <w:rPr>
          <w:color w:val="231F20"/>
          <w:sz w:val="13"/>
        </w:rPr>
        <w:t>to</w:t>
      </w:r>
      <w:r>
        <w:rPr>
          <w:color w:val="231F20"/>
          <w:spacing w:val="3"/>
          <w:sz w:val="13"/>
        </w:rPr>
        <w:t xml:space="preserve"> </w:t>
      </w:r>
      <w:r>
        <w:rPr>
          <w:color w:val="231F20"/>
          <w:sz w:val="13"/>
        </w:rPr>
        <w:t>100</w:t>
      </w:r>
      <w:r>
        <w:rPr>
          <w:color w:val="231F20"/>
          <w:spacing w:val="3"/>
          <w:sz w:val="13"/>
        </w:rPr>
        <w:t xml:space="preserve"> </w:t>
      </w:r>
      <w:r>
        <w:rPr>
          <w:color w:val="231F20"/>
          <w:spacing w:val="2"/>
          <w:sz w:val="13"/>
        </w:rPr>
        <w:t>because</w:t>
      </w:r>
      <w:r>
        <w:rPr>
          <w:color w:val="231F20"/>
          <w:spacing w:val="3"/>
          <w:sz w:val="13"/>
        </w:rPr>
        <w:t xml:space="preserve"> </w:t>
      </w:r>
      <w:r>
        <w:rPr>
          <w:color w:val="231F20"/>
          <w:sz w:val="13"/>
        </w:rPr>
        <w:t>they</w:t>
      </w:r>
      <w:r>
        <w:rPr>
          <w:color w:val="231F20"/>
          <w:spacing w:val="3"/>
          <w:sz w:val="13"/>
        </w:rPr>
        <w:t xml:space="preserve"> </w:t>
      </w:r>
      <w:r>
        <w:rPr>
          <w:color w:val="231F20"/>
          <w:sz w:val="13"/>
        </w:rPr>
        <w:t>have</w:t>
      </w:r>
      <w:r>
        <w:rPr>
          <w:color w:val="231F20"/>
          <w:spacing w:val="3"/>
          <w:sz w:val="13"/>
        </w:rPr>
        <w:t xml:space="preserve"> </w:t>
      </w:r>
      <w:r>
        <w:rPr>
          <w:color w:val="231F20"/>
          <w:spacing w:val="2"/>
          <w:sz w:val="13"/>
        </w:rPr>
        <w:t>been</w:t>
      </w:r>
      <w:r>
        <w:rPr>
          <w:color w:val="231F20"/>
          <w:spacing w:val="3"/>
          <w:sz w:val="13"/>
        </w:rPr>
        <w:t xml:space="preserve"> </w:t>
      </w:r>
      <w:r>
        <w:rPr>
          <w:color w:val="231F20"/>
          <w:sz w:val="13"/>
        </w:rPr>
        <w:t>rounded</w:t>
      </w:r>
      <w:r>
        <w:rPr>
          <w:color w:val="231F20"/>
          <w:spacing w:val="3"/>
          <w:sz w:val="13"/>
        </w:rPr>
        <w:t xml:space="preserve"> </w:t>
      </w:r>
      <w:r>
        <w:rPr>
          <w:color w:val="231F20"/>
          <w:sz w:val="13"/>
        </w:rPr>
        <w:t>up.</w:t>
      </w:r>
    </w:p>
    <w:p w14:paraId="4B769C66" w14:textId="77777777" w:rsidR="00894070" w:rsidRDefault="009B7AFD">
      <w:pPr>
        <w:pStyle w:val="ListParagraph"/>
        <w:numPr>
          <w:ilvl w:val="0"/>
          <w:numId w:val="172"/>
        </w:numPr>
        <w:tabs>
          <w:tab w:val="left" w:pos="1800"/>
          <w:tab w:val="left" w:pos="1802"/>
        </w:tabs>
        <w:spacing w:line="152" w:lineRule="exact"/>
        <w:rPr>
          <w:i/>
          <w:sz w:val="13"/>
        </w:rPr>
      </w:pPr>
      <w:r>
        <w:rPr>
          <w:color w:val="231F20"/>
          <w:sz w:val="13"/>
        </w:rPr>
        <w:t xml:space="preserve">Of </w:t>
      </w:r>
      <w:r>
        <w:rPr>
          <w:color w:val="231F20"/>
          <w:spacing w:val="2"/>
          <w:sz w:val="13"/>
        </w:rPr>
        <w:t xml:space="preserve">stalking </w:t>
      </w:r>
      <w:r>
        <w:rPr>
          <w:color w:val="231F20"/>
          <w:sz w:val="13"/>
        </w:rPr>
        <w:t xml:space="preserve">offences recorded by </w:t>
      </w:r>
      <w:r>
        <w:rPr>
          <w:color w:val="231F20"/>
          <w:spacing w:val="2"/>
          <w:sz w:val="13"/>
        </w:rPr>
        <w:t xml:space="preserve">police </w:t>
      </w:r>
      <w:r>
        <w:rPr>
          <w:color w:val="231F20"/>
          <w:sz w:val="13"/>
        </w:rPr>
        <w:t xml:space="preserve">from 2011 to 2020: Sentencing Advisory Council (Vic), </w:t>
      </w:r>
      <w:r>
        <w:rPr>
          <w:i/>
          <w:color w:val="231F20"/>
          <w:sz w:val="13"/>
        </w:rPr>
        <w:t>Sentencing Stalking in</w:t>
      </w:r>
      <w:r>
        <w:rPr>
          <w:i/>
          <w:color w:val="231F20"/>
          <w:spacing w:val="28"/>
          <w:sz w:val="13"/>
        </w:rPr>
        <w:t xml:space="preserve"> </w:t>
      </w:r>
      <w:r>
        <w:rPr>
          <w:i/>
          <w:color w:val="231F20"/>
          <w:sz w:val="13"/>
        </w:rPr>
        <w:t>Victoria</w:t>
      </w:r>
    </w:p>
    <w:p w14:paraId="205AD51D" w14:textId="77777777" w:rsidR="00894070" w:rsidRDefault="009B7AFD">
      <w:pPr>
        <w:spacing w:line="160" w:lineRule="exact"/>
        <w:ind w:left="1801"/>
        <w:rPr>
          <w:sz w:val="13"/>
        </w:rPr>
      </w:pPr>
      <w:r>
        <w:rPr>
          <w:color w:val="231F20"/>
          <w:sz w:val="13"/>
        </w:rPr>
        <w:t>(Report, March 2022) [3.11].</w:t>
      </w:r>
    </w:p>
    <w:p w14:paraId="57AE8E21" w14:textId="77777777" w:rsidR="00894070" w:rsidRDefault="009B7AFD">
      <w:pPr>
        <w:pStyle w:val="ListParagraph"/>
        <w:numPr>
          <w:ilvl w:val="0"/>
          <w:numId w:val="172"/>
        </w:numPr>
        <w:tabs>
          <w:tab w:val="left" w:pos="1801"/>
          <w:tab w:val="left" w:pos="1802"/>
        </w:tabs>
        <w:spacing w:line="160" w:lineRule="exact"/>
        <w:rPr>
          <w:sz w:val="13"/>
        </w:rPr>
      </w:pPr>
      <w:r>
        <w:rPr>
          <w:color w:val="231F20"/>
          <w:sz w:val="13"/>
        </w:rPr>
        <w:t xml:space="preserve">Of </w:t>
      </w:r>
      <w:r>
        <w:rPr>
          <w:color w:val="231F20"/>
          <w:spacing w:val="2"/>
          <w:sz w:val="13"/>
        </w:rPr>
        <w:t xml:space="preserve">stalking </w:t>
      </w:r>
      <w:r>
        <w:rPr>
          <w:color w:val="231F20"/>
          <w:sz w:val="13"/>
        </w:rPr>
        <w:t xml:space="preserve">cases sentenced in the Magistrates’ </w:t>
      </w:r>
      <w:r>
        <w:rPr>
          <w:color w:val="231F20"/>
          <w:spacing w:val="2"/>
          <w:sz w:val="13"/>
        </w:rPr>
        <w:t xml:space="preserve">Court </w:t>
      </w:r>
      <w:r>
        <w:rPr>
          <w:color w:val="231F20"/>
          <w:sz w:val="13"/>
        </w:rPr>
        <w:t>from 2015 to 2020: ibid</w:t>
      </w:r>
      <w:r>
        <w:rPr>
          <w:color w:val="231F20"/>
          <w:spacing w:val="3"/>
          <w:sz w:val="13"/>
        </w:rPr>
        <w:t xml:space="preserve"> [5.4].</w:t>
      </w:r>
    </w:p>
    <w:p w14:paraId="5E8F6499" w14:textId="77777777" w:rsidR="00894070" w:rsidRDefault="009B7AFD">
      <w:pPr>
        <w:pStyle w:val="ListParagraph"/>
        <w:numPr>
          <w:ilvl w:val="0"/>
          <w:numId w:val="172"/>
        </w:numPr>
        <w:tabs>
          <w:tab w:val="left" w:pos="1801"/>
          <w:tab w:val="left" w:pos="1802"/>
        </w:tabs>
        <w:spacing w:before="5" w:line="213" w:lineRule="auto"/>
        <w:ind w:right="1428"/>
        <w:rPr>
          <w:sz w:val="13"/>
        </w:rPr>
      </w:pPr>
      <w:r>
        <w:rPr>
          <w:color w:val="231F20"/>
          <w:sz w:val="13"/>
        </w:rPr>
        <w:t xml:space="preserve">Ibid </w:t>
      </w:r>
      <w:r>
        <w:rPr>
          <w:color w:val="231F20"/>
          <w:spacing w:val="2"/>
          <w:sz w:val="13"/>
        </w:rPr>
        <w:t xml:space="preserve">[3.11]. </w:t>
      </w:r>
      <w:r>
        <w:rPr>
          <w:color w:val="231F20"/>
          <w:sz w:val="13"/>
        </w:rPr>
        <w:t xml:space="preserve">We do not have figures for the percentage of </w:t>
      </w:r>
      <w:r>
        <w:rPr>
          <w:color w:val="231F20"/>
          <w:spacing w:val="2"/>
          <w:sz w:val="13"/>
        </w:rPr>
        <w:t xml:space="preserve">stalking </w:t>
      </w:r>
      <w:r>
        <w:rPr>
          <w:color w:val="231F20"/>
          <w:sz w:val="13"/>
        </w:rPr>
        <w:t xml:space="preserve">cases sentenced in the Magistrates’ </w:t>
      </w:r>
      <w:r>
        <w:rPr>
          <w:color w:val="231F20"/>
          <w:spacing w:val="2"/>
          <w:sz w:val="13"/>
        </w:rPr>
        <w:t xml:space="preserve">Court </w:t>
      </w:r>
      <w:r>
        <w:rPr>
          <w:color w:val="231F20"/>
          <w:sz w:val="13"/>
        </w:rPr>
        <w:t xml:space="preserve">that involved </w:t>
      </w:r>
      <w:r>
        <w:rPr>
          <w:color w:val="231F20"/>
          <w:spacing w:val="2"/>
          <w:sz w:val="13"/>
        </w:rPr>
        <w:t xml:space="preserve">strangers. </w:t>
      </w:r>
      <w:r>
        <w:rPr>
          <w:color w:val="231F20"/>
          <w:sz w:val="13"/>
        </w:rPr>
        <w:t xml:space="preserve">This level of detail is not flagged in court data about the </w:t>
      </w:r>
      <w:r>
        <w:rPr>
          <w:color w:val="231F20"/>
          <w:spacing w:val="2"/>
          <w:sz w:val="13"/>
        </w:rPr>
        <w:t xml:space="preserve">cases. </w:t>
      </w:r>
      <w:r>
        <w:rPr>
          <w:color w:val="231F20"/>
          <w:sz w:val="13"/>
        </w:rPr>
        <w:t xml:space="preserve">The volume of cases in the Magistrates’ </w:t>
      </w:r>
      <w:r>
        <w:rPr>
          <w:color w:val="231F20"/>
          <w:spacing w:val="2"/>
          <w:sz w:val="13"/>
        </w:rPr>
        <w:t xml:space="preserve">Court </w:t>
      </w:r>
      <w:r>
        <w:rPr>
          <w:color w:val="231F20"/>
          <w:sz w:val="13"/>
        </w:rPr>
        <w:t xml:space="preserve">prevented analysis in the </w:t>
      </w:r>
      <w:r>
        <w:rPr>
          <w:color w:val="231F20"/>
          <w:spacing w:val="2"/>
          <w:sz w:val="13"/>
        </w:rPr>
        <w:t xml:space="preserve">reports </w:t>
      </w:r>
      <w:r>
        <w:rPr>
          <w:color w:val="231F20"/>
          <w:sz w:val="13"/>
        </w:rPr>
        <w:t xml:space="preserve">we </w:t>
      </w:r>
      <w:r>
        <w:rPr>
          <w:color w:val="231F20"/>
          <w:spacing w:val="2"/>
          <w:sz w:val="13"/>
        </w:rPr>
        <w:t xml:space="preserve">commissioned </w:t>
      </w:r>
      <w:r>
        <w:rPr>
          <w:color w:val="231F20"/>
          <w:sz w:val="13"/>
        </w:rPr>
        <w:t xml:space="preserve">from the Sentencing Advisory </w:t>
      </w:r>
      <w:r>
        <w:rPr>
          <w:color w:val="231F20"/>
          <w:spacing w:val="2"/>
          <w:sz w:val="13"/>
        </w:rPr>
        <w:t xml:space="preserve">Council. </w:t>
      </w:r>
      <w:r>
        <w:rPr>
          <w:color w:val="231F20"/>
          <w:sz w:val="13"/>
        </w:rPr>
        <w:t xml:space="preserve">The Sentencing Advisory Council </w:t>
      </w:r>
      <w:proofErr w:type="spellStart"/>
      <w:r>
        <w:rPr>
          <w:color w:val="231F20"/>
          <w:sz w:val="13"/>
        </w:rPr>
        <w:t>analysed</w:t>
      </w:r>
      <w:proofErr w:type="spellEnd"/>
      <w:r>
        <w:rPr>
          <w:color w:val="231F20"/>
          <w:sz w:val="13"/>
        </w:rPr>
        <w:t xml:space="preserve"> 69 </w:t>
      </w:r>
      <w:r>
        <w:rPr>
          <w:color w:val="231F20"/>
          <w:spacing w:val="2"/>
          <w:sz w:val="13"/>
        </w:rPr>
        <w:t xml:space="preserve">stalking </w:t>
      </w:r>
      <w:r>
        <w:rPr>
          <w:color w:val="231F20"/>
          <w:sz w:val="13"/>
        </w:rPr>
        <w:t xml:space="preserve">cases sentenced in the </w:t>
      </w:r>
      <w:r>
        <w:rPr>
          <w:color w:val="231F20"/>
          <w:spacing w:val="2"/>
          <w:sz w:val="13"/>
        </w:rPr>
        <w:t xml:space="preserve">higher courts </w:t>
      </w:r>
      <w:r>
        <w:rPr>
          <w:color w:val="231F20"/>
          <w:sz w:val="13"/>
        </w:rPr>
        <w:t xml:space="preserve">between 2011 and 2020 where the relationship was discernible. Among these, the most common relationship was former intimate </w:t>
      </w:r>
      <w:r>
        <w:rPr>
          <w:color w:val="231F20"/>
          <w:spacing w:val="2"/>
          <w:sz w:val="13"/>
        </w:rPr>
        <w:t xml:space="preserve">partners </w:t>
      </w:r>
      <w:r>
        <w:rPr>
          <w:color w:val="231F20"/>
          <w:sz w:val="13"/>
        </w:rPr>
        <w:t>(52%), followed by acquaintances with no prior romantic relationship (25%) and strangers (13%): at</w:t>
      </w:r>
      <w:r>
        <w:rPr>
          <w:color w:val="231F20"/>
          <w:spacing w:val="4"/>
          <w:sz w:val="13"/>
        </w:rPr>
        <w:t xml:space="preserve"> </w:t>
      </w:r>
      <w:r>
        <w:rPr>
          <w:color w:val="231F20"/>
          <w:sz w:val="13"/>
        </w:rPr>
        <w:t>[6.13].</w:t>
      </w:r>
    </w:p>
    <w:p w14:paraId="3E132EE7" w14:textId="77777777" w:rsidR="00894070" w:rsidRDefault="009F6793">
      <w:pPr>
        <w:pStyle w:val="ListParagraph"/>
        <w:numPr>
          <w:ilvl w:val="0"/>
          <w:numId w:val="172"/>
        </w:numPr>
        <w:tabs>
          <w:tab w:val="left" w:pos="1801"/>
          <w:tab w:val="left" w:pos="1802"/>
        </w:tabs>
        <w:spacing w:line="213" w:lineRule="auto"/>
        <w:ind w:right="1399"/>
        <w:rPr>
          <w:sz w:val="13"/>
        </w:rPr>
      </w:pPr>
      <w:r>
        <w:pict w14:anchorId="734DCBBC">
          <v:shape id="_x0000_s1663" type="#_x0000_t202" style="position:absolute;left:0;text-align:left;margin-left:36pt;margin-top:19.4pt;width:13pt;height:14.1pt;z-index:251504640;mso-position-horizontal-relative:page" filled="f" stroked="f">
            <v:textbox inset="0,0,0,0">
              <w:txbxContent>
                <w:p w14:paraId="602B2D39" w14:textId="77777777" w:rsidR="00894070" w:rsidRDefault="009B7AFD">
                  <w:pPr>
                    <w:spacing w:line="282" w:lineRule="exact"/>
                    <w:rPr>
                      <w:b/>
                      <w:sz w:val="24"/>
                    </w:rPr>
                  </w:pPr>
                  <w:r>
                    <w:rPr>
                      <w:b/>
                      <w:color w:val="EA5B50"/>
                      <w:spacing w:val="-3"/>
                      <w:sz w:val="24"/>
                    </w:rPr>
                    <w:t>18</w:t>
                  </w:r>
                </w:p>
              </w:txbxContent>
            </v:textbox>
            <w10:wrap anchorx="page"/>
          </v:shape>
        </w:pict>
      </w:r>
      <w:r w:rsidR="009B7AFD">
        <w:rPr>
          <w:color w:val="231F20"/>
          <w:sz w:val="13"/>
        </w:rPr>
        <w:t xml:space="preserve">‘Recorded Offences’, </w:t>
      </w:r>
      <w:r w:rsidR="009B7AFD">
        <w:rPr>
          <w:i/>
          <w:color w:val="231F20"/>
          <w:sz w:val="13"/>
        </w:rPr>
        <w:t xml:space="preserve">Crime Statistics Agency (Vic) </w:t>
      </w:r>
      <w:r w:rsidR="009B7AFD">
        <w:rPr>
          <w:color w:val="231F20"/>
          <w:sz w:val="13"/>
        </w:rPr>
        <w:t xml:space="preserve">(Web Page, March 2022) Table 1 (Offences recorded and rate per 100,000 </w:t>
      </w:r>
      <w:r w:rsidR="009B7AFD">
        <w:rPr>
          <w:color w:val="231F20"/>
          <w:spacing w:val="2"/>
          <w:sz w:val="13"/>
        </w:rPr>
        <w:t xml:space="preserve">population </w:t>
      </w:r>
      <w:r w:rsidR="009B7AFD">
        <w:rPr>
          <w:color w:val="231F20"/>
          <w:sz w:val="13"/>
        </w:rPr>
        <w:t xml:space="preserve">by offence type, </w:t>
      </w:r>
      <w:r w:rsidR="009B7AFD">
        <w:rPr>
          <w:color w:val="231F20"/>
          <w:spacing w:val="2"/>
          <w:sz w:val="13"/>
        </w:rPr>
        <w:t xml:space="preserve">January </w:t>
      </w:r>
      <w:r w:rsidR="009B7AFD">
        <w:rPr>
          <w:color w:val="231F20"/>
          <w:sz w:val="13"/>
        </w:rPr>
        <w:t xml:space="preserve">2012 to </w:t>
      </w:r>
      <w:r w:rsidR="009B7AFD">
        <w:rPr>
          <w:color w:val="231F20"/>
          <w:spacing w:val="2"/>
          <w:sz w:val="13"/>
        </w:rPr>
        <w:t xml:space="preserve">December </w:t>
      </w:r>
      <w:r w:rsidR="009B7AFD">
        <w:rPr>
          <w:color w:val="231F20"/>
          <w:sz w:val="13"/>
        </w:rPr>
        <w:t>2021</w:t>
      </w:r>
      <w:hyperlink r:id="rId54">
        <w:r w:rsidR="009B7AFD">
          <w:rPr>
            <w:color w:val="231F20"/>
            <w:sz w:val="13"/>
          </w:rPr>
          <w:t>) &lt;https://www.crimestatistics.vic.gov.au/crime-statistics/latest-</w:t>
        </w:r>
      </w:hyperlink>
      <w:hyperlink r:id="rId55">
        <w:r w:rsidR="009B7AFD">
          <w:rPr>
            <w:color w:val="231F20"/>
            <w:sz w:val="13"/>
          </w:rPr>
          <w:t xml:space="preserve"> </w:t>
        </w:r>
        <w:proofErr w:type="spellStart"/>
        <w:r w:rsidR="009B7AFD">
          <w:rPr>
            <w:color w:val="231F20"/>
            <w:sz w:val="13"/>
          </w:rPr>
          <w:t>victorian</w:t>
        </w:r>
        <w:proofErr w:type="spellEnd"/>
        <w:r w:rsidR="009B7AFD">
          <w:rPr>
            <w:color w:val="231F20"/>
            <w:sz w:val="13"/>
          </w:rPr>
          <w:t>-crime-data/recorded-offences-2</w:t>
        </w:r>
      </w:hyperlink>
      <w:r w:rsidR="009B7AFD">
        <w:rPr>
          <w:color w:val="231F20"/>
          <w:sz w:val="13"/>
        </w:rPr>
        <w:t>&gt;.</w:t>
      </w:r>
    </w:p>
    <w:p w14:paraId="00FB2E49" w14:textId="77777777" w:rsidR="00894070" w:rsidRDefault="009B7AFD">
      <w:pPr>
        <w:pStyle w:val="ListParagraph"/>
        <w:numPr>
          <w:ilvl w:val="0"/>
          <w:numId w:val="172"/>
        </w:numPr>
        <w:tabs>
          <w:tab w:val="left" w:pos="1800"/>
          <w:tab w:val="left" w:pos="1802"/>
        </w:tabs>
        <w:spacing w:line="162" w:lineRule="exac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 2022)</w:t>
      </w:r>
      <w:r>
        <w:rPr>
          <w:color w:val="231F20"/>
          <w:spacing w:val="7"/>
          <w:sz w:val="13"/>
        </w:rPr>
        <w:t xml:space="preserve"> </w:t>
      </w:r>
      <w:r>
        <w:rPr>
          <w:color w:val="231F20"/>
          <w:sz w:val="13"/>
        </w:rPr>
        <w:t>ix.</w:t>
      </w:r>
    </w:p>
    <w:p w14:paraId="3F2B5C3E" w14:textId="77777777" w:rsidR="00894070" w:rsidRDefault="00894070">
      <w:pPr>
        <w:spacing w:line="162" w:lineRule="exact"/>
        <w:rPr>
          <w:sz w:val="13"/>
        </w:rPr>
        <w:sectPr w:rsidR="00894070">
          <w:pgSz w:w="11910" w:h="16840"/>
          <w:pgMar w:top="860" w:right="420" w:bottom="280" w:left="580" w:header="567" w:footer="0" w:gutter="0"/>
          <w:cols w:space="720"/>
        </w:sectPr>
      </w:pPr>
    </w:p>
    <w:p w14:paraId="7D7E996D" w14:textId="77777777" w:rsidR="00894070" w:rsidRDefault="00894070">
      <w:pPr>
        <w:pStyle w:val="BodyText"/>
      </w:pPr>
    </w:p>
    <w:p w14:paraId="7CD0ED45" w14:textId="77777777" w:rsidR="00894070" w:rsidRDefault="00894070">
      <w:pPr>
        <w:pStyle w:val="BodyText"/>
      </w:pPr>
    </w:p>
    <w:p w14:paraId="762B67E0" w14:textId="77777777" w:rsidR="00894070" w:rsidRDefault="00894070">
      <w:pPr>
        <w:pStyle w:val="BodyText"/>
      </w:pPr>
    </w:p>
    <w:p w14:paraId="7A3CE74B" w14:textId="77777777" w:rsidR="00894070" w:rsidRDefault="00894070">
      <w:pPr>
        <w:pStyle w:val="BodyText"/>
        <w:spacing w:before="6"/>
        <w:rPr>
          <w:sz w:val="14"/>
        </w:rPr>
      </w:pPr>
    </w:p>
    <w:p w14:paraId="0D82303F" w14:textId="77777777" w:rsidR="00894070" w:rsidRDefault="009B7AFD">
      <w:pPr>
        <w:spacing w:before="60"/>
        <w:ind w:left="1801"/>
        <w:rPr>
          <w:b/>
          <w:sz w:val="19"/>
        </w:rPr>
      </w:pPr>
      <w:r>
        <w:rPr>
          <w:b/>
          <w:color w:val="231F20"/>
          <w:sz w:val="19"/>
        </w:rPr>
        <w:t>Table 2: Stalking recorded by police and sentenced in Victoria from 2011–2020</w:t>
      </w:r>
    </w:p>
    <w:p w14:paraId="56818813" w14:textId="77777777" w:rsidR="00894070" w:rsidRDefault="00894070">
      <w:pPr>
        <w:pStyle w:val="BodyText"/>
        <w:spacing w:before="8"/>
        <w:rPr>
          <w:b/>
          <w:sz w:val="13"/>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119"/>
        <w:gridCol w:w="5808"/>
      </w:tblGrid>
      <w:tr w:rsidR="00894070" w14:paraId="4A61682A" w14:textId="77777777">
        <w:trPr>
          <w:trHeight w:val="998"/>
        </w:trPr>
        <w:tc>
          <w:tcPr>
            <w:tcW w:w="2119" w:type="dxa"/>
            <w:shd w:val="clear" w:color="auto" w:fill="F4BCAE"/>
          </w:tcPr>
          <w:p w14:paraId="424E1AAB" w14:textId="77777777" w:rsidR="00894070" w:rsidRDefault="009B7AFD">
            <w:pPr>
              <w:pStyle w:val="TableParagraph"/>
              <w:spacing w:before="154" w:line="206" w:lineRule="auto"/>
              <w:ind w:right="129"/>
              <w:rPr>
                <w:sz w:val="11"/>
              </w:rPr>
            </w:pPr>
            <w:r>
              <w:rPr>
                <w:b/>
                <w:color w:val="231F20"/>
                <w:sz w:val="20"/>
              </w:rPr>
              <w:t>Stalking offences recorded by police</w:t>
            </w:r>
            <w:r>
              <w:rPr>
                <w:color w:val="231F20"/>
                <w:position w:val="7"/>
                <w:sz w:val="11"/>
              </w:rPr>
              <w:t>54</w:t>
            </w:r>
          </w:p>
        </w:tc>
        <w:tc>
          <w:tcPr>
            <w:tcW w:w="5808" w:type="dxa"/>
          </w:tcPr>
          <w:p w14:paraId="4961DCD3" w14:textId="77777777" w:rsidR="00894070" w:rsidRDefault="009B7AFD">
            <w:pPr>
              <w:pStyle w:val="TableParagraph"/>
              <w:spacing w:before="65"/>
              <w:rPr>
                <w:sz w:val="11"/>
              </w:rPr>
            </w:pPr>
            <w:r>
              <w:rPr>
                <w:color w:val="231F20"/>
                <w:sz w:val="20"/>
              </w:rPr>
              <w:t>25,130 offences: around 2,513 each year.</w:t>
            </w:r>
            <w:r>
              <w:rPr>
                <w:color w:val="231F20"/>
                <w:position w:val="7"/>
                <w:sz w:val="11"/>
              </w:rPr>
              <w:t>55</w:t>
            </w:r>
          </w:p>
        </w:tc>
      </w:tr>
      <w:tr w:rsidR="00894070" w14:paraId="3E0BFBFF" w14:textId="77777777">
        <w:trPr>
          <w:trHeight w:val="1004"/>
        </w:trPr>
        <w:tc>
          <w:tcPr>
            <w:tcW w:w="2119" w:type="dxa"/>
            <w:shd w:val="clear" w:color="auto" w:fill="F4BCAE"/>
          </w:tcPr>
          <w:p w14:paraId="15E5E11C" w14:textId="77777777" w:rsidR="00894070" w:rsidRDefault="009B7AFD">
            <w:pPr>
              <w:pStyle w:val="TableParagraph"/>
              <w:spacing w:before="154" w:line="206" w:lineRule="auto"/>
              <w:ind w:right="129"/>
              <w:rPr>
                <w:b/>
                <w:sz w:val="20"/>
              </w:rPr>
            </w:pPr>
            <w:r>
              <w:rPr>
                <w:b/>
                <w:color w:val="231F20"/>
                <w:sz w:val="20"/>
              </w:rPr>
              <w:t>Length of stalking recorded by police</w:t>
            </w:r>
          </w:p>
        </w:tc>
        <w:tc>
          <w:tcPr>
            <w:tcW w:w="5808" w:type="dxa"/>
          </w:tcPr>
          <w:p w14:paraId="2EF9BE73" w14:textId="77777777" w:rsidR="00894070" w:rsidRDefault="009B7AFD">
            <w:pPr>
              <w:pStyle w:val="TableParagraph"/>
              <w:spacing w:before="98" w:line="206" w:lineRule="auto"/>
              <w:ind w:right="101"/>
              <w:rPr>
                <w:sz w:val="11"/>
              </w:rPr>
            </w:pPr>
            <w:r>
              <w:rPr>
                <w:color w:val="231F20"/>
                <w:sz w:val="20"/>
              </w:rPr>
              <w:t>Close to half of all offences lasted a week or less, nearly a fifth (around 488 each year) lasted longer than 12 weeks.</w:t>
            </w:r>
            <w:r>
              <w:rPr>
                <w:color w:val="231F20"/>
                <w:position w:val="7"/>
                <w:sz w:val="11"/>
              </w:rPr>
              <w:t>56</w:t>
            </w:r>
          </w:p>
        </w:tc>
      </w:tr>
      <w:tr w:rsidR="00894070" w14:paraId="4CF346D8" w14:textId="77777777">
        <w:trPr>
          <w:trHeight w:val="1244"/>
        </w:trPr>
        <w:tc>
          <w:tcPr>
            <w:tcW w:w="2119" w:type="dxa"/>
            <w:shd w:val="clear" w:color="auto" w:fill="F4BCAE"/>
          </w:tcPr>
          <w:p w14:paraId="6CCF44A5" w14:textId="77777777" w:rsidR="00894070" w:rsidRDefault="009B7AFD">
            <w:pPr>
              <w:pStyle w:val="TableParagraph"/>
              <w:spacing w:before="154" w:line="206" w:lineRule="auto"/>
              <w:ind w:right="338"/>
              <w:jc w:val="both"/>
              <w:rPr>
                <w:b/>
                <w:sz w:val="20"/>
              </w:rPr>
            </w:pPr>
            <w:r>
              <w:rPr>
                <w:b/>
                <w:color w:val="231F20"/>
                <w:sz w:val="20"/>
              </w:rPr>
              <w:t>Stalking</w:t>
            </w:r>
            <w:r>
              <w:rPr>
                <w:b/>
                <w:color w:val="231F20"/>
                <w:spacing w:val="-26"/>
                <w:sz w:val="20"/>
              </w:rPr>
              <w:t xml:space="preserve"> </w:t>
            </w:r>
            <w:r>
              <w:rPr>
                <w:b/>
                <w:color w:val="231F20"/>
                <w:sz w:val="20"/>
              </w:rPr>
              <w:t>offences sentenced in the criminal</w:t>
            </w:r>
            <w:r>
              <w:rPr>
                <w:b/>
                <w:color w:val="231F20"/>
                <w:spacing w:val="-3"/>
                <w:sz w:val="20"/>
              </w:rPr>
              <w:t xml:space="preserve"> </w:t>
            </w:r>
            <w:r>
              <w:rPr>
                <w:b/>
                <w:color w:val="231F20"/>
                <w:sz w:val="20"/>
              </w:rPr>
              <w:t>courts</w:t>
            </w:r>
          </w:p>
        </w:tc>
        <w:tc>
          <w:tcPr>
            <w:tcW w:w="5808" w:type="dxa"/>
          </w:tcPr>
          <w:p w14:paraId="66895411" w14:textId="77777777" w:rsidR="00894070" w:rsidRDefault="009B7AFD">
            <w:pPr>
              <w:pStyle w:val="TableParagraph"/>
              <w:spacing w:before="65"/>
              <w:rPr>
                <w:sz w:val="11"/>
              </w:rPr>
            </w:pPr>
            <w:r>
              <w:rPr>
                <w:color w:val="231F20"/>
                <w:sz w:val="20"/>
              </w:rPr>
              <w:t>Around 683 charges each year.</w:t>
            </w:r>
            <w:r>
              <w:rPr>
                <w:color w:val="231F20"/>
                <w:position w:val="7"/>
                <w:sz w:val="11"/>
              </w:rPr>
              <w:t>57</w:t>
            </w:r>
          </w:p>
          <w:p w14:paraId="3D6B0032" w14:textId="77777777" w:rsidR="00894070" w:rsidRDefault="009B7AFD">
            <w:pPr>
              <w:pStyle w:val="TableParagraph"/>
              <w:spacing w:before="115" w:line="206" w:lineRule="auto"/>
              <w:ind w:right="101"/>
              <w:rPr>
                <w:sz w:val="11"/>
              </w:rPr>
            </w:pPr>
            <w:r>
              <w:rPr>
                <w:color w:val="231F20"/>
                <w:sz w:val="20"/>
              </w:rPr>
              <w:t>95% of stalking cases were sentenced in the Magistrates’ Court, with close to 3% each sentenced in the Children’s Court and higher courts.</w:t>
            </w:r>
            <w:r>
              <w:rPr>
                <w:color w:val="231F20"/>
                <w:position w:val="7"/>
                <w:sz w:val="11"/>
              </w:rPr>
              <w:t>58</w:t>
            </w:r>
          </w:p>
        </w:tc>
      </w:tr>
      <w:tr w:rsidR="00894070" w14:paraId="4052F6DD" w14:textId="77777777">
        <w:trPr>
          <w:trHeight w:val="4484"/>
        </w:trPr>
        <w:tc>
          <w:tcPr>
            <w:tcW w:w="2119" w:type="dxa"/>
            <w:shd w:val="clear" w:color="auto" w:fill="F4BCAE"/>
          </w:tcPr>
          <w:p w14:paraId="2BF1ADA7" w14:textId="77777777" w:rsidR="00894070" w:rsidRDefault="009B7AFD">
            <w:pPr>
              <w:pStyle w:val="TableParagraph"/>
              <w:spacing w:before="154" w:line="206" w:lineRule="auto"/>
              <w:ind w:right="145"/>
              <w:rPr>
                <w:b/>
                <w:sz w:val="20"/>
              </w:rPr>
            </w:pPr>
            <w:r>
              <w:rPr>
                <w:b/>
                <w:color w:val="231F20"/>
                <w:sz w:val="20"/>
              </w:rPr>
              <w:t>Recorded and sentenced stalking offences were gendered</w:t>
            </w:r>
          </w:p>
        </w:tc>
        <w:tc>
          <w:tcPr>
            <w:tcW w:w="5808" w:type="dxa"/>
          </w:tcPr>
          <w:p w14:paraId="719FA9B2" w14:textId="77777777" w:rsidR="00894070" w:rsidRDefault="009B7AFD">
            <w:pPr>
              <w:pStyle w:val="TableParagraph"/>
              <w:spacing w:before="98" w:line="206" w:lineRule="auto"/>
              <w:ind w:right="101"/>
              <w:rPr>
                <w:sz w:val="11"/>
              </w:rPr>
            </w:pPr>
            <w:r>
              <w:rPr>
                <w:color w:val="231F20"/>
                <w:sz w:val="20"/>
              </w:rPr>
              <w:t>People responsible for stalking were mostly male: 87% for police-recorded offenders.</w:t>
            </w:r>
            <w:r>
              <w:rPr>
                <w:color w:val="231F20"/>
                <w:position w:val="7"/>
                <w:sz w:val="11"/>
              </w:rPr>
              <w:t xml:space="preserve">59 </w:t>
            </w:r>
            <w:r>
              <w:rPr>
                <w:color w:val="231F20"/>
                <w:sz w:val="20"/>
              </w:rPr>
              <w:t>80% of police-recorded stalking victims were female.</w:t>
            </w:r>
            <w:r>
              <w:rPr>
                <w:color w:val="231F20"/>
                <w:position w:val="7"/>
                <w:sz w:val="11"/>
              </w:rPr>
              <w:t>60</w:t>
            </w:r>
          </w:p>
          <w:p w14:paraId="153DFD30" w14:textId="77777777" w:rsidR="00894070" w:rsidRDefault="009B7AFD">
            <w:pPr>
              <w:pStyle w:val="TableParagraph"/>
              <w:spacing w:before="123" w:line="206" w:lineRule="auto"/>
              <w:ind w:right="92"/>
              <w:rPr>
                <w:sz w:val="20"/>
              </w:rPr>
            </w:pPr>
            <w:r>
              <w:rPr>
                <w:color w:val="231F20"/>
                <w:sz w:val="20"/>
              </w:rPr>
              <w:t xml:space="preserve">88% of stalking offenders sentenced in the Magistrates’ Court </w:t>
            </w:r>
            <w:r>
              <w:rPr>
                <w:color w:val="231F20"/>
                <w:spacing w:val="-3"/>
                <w:sz w:val="20"/>
              </w:rPr>
              <w:t xml:space="preserve">were </w:t>
            </w:r>
            <w:r>
              <w:rPr>
                <w:color w:val="231F20"/>
                <w:sz w:val="20"/>
              </w:rPr>
              <w:t xml:space="preserve">male. The average age of stalking offenders was </w:t>
            </w:r>
            <w:r>
              <w:rPr>
                <w:color w:val="231F20"/>
                <w:spacing w:val="-8"/>
                <w:sz w:val="20"/>
              </w:rPr>
              <w:t xml:space="preserve">37, </w:t>
            </w:r>
            <w:r>
              <w:rPr>
                <w:color w:val="231F20"/>
                <w:sz w:val="20"/>
              </w:rPr>
              <w:t xml:space="preserve">but for female offenders, the greatest proportion </w:t>
            </w:r>
            <w:r>
              <w:rPr>
                <w:color w:val="231F20"/>
                <w:spacing w:val="-3"/>
                <w:sz w:val="20"/>
              </w:rPr>
              <w:t xml:space="preserve">were </w:t>
            </w:r>
            <w:r>
              <w:rPr>
                <w:color w:val="231F20"/>
                <w:sz w:val="20"/>
              </w:rPr>
              <w:t>in the 18-to-24 age group.</w:t>
            </w:r>
            <w:r>
              <w:rPr>
                <w:color w:val="231F20"/>
                <w:position w:val="7"/>
                <w:sz w:val="11"/>
              </w:rPr>
              <w:t xml:space="preserve">61 </w:t>
            </w:r>
            <w:r>
              <w:rPr>
                <w:color w:val="231F20"/>
                <w:spacing w:val="-6"/>
                <w:sz w:val="20"/>
              </w:rPr>
              <w:t xml:space="preserve">We </w:t>
            </w:r>
            <w:r>
              <w:rPr>
                <w:color w:val="231F20"/>
                <w:sz w:val="20"/>
              </w:rPr>
              <w:t xml:space="preserve">do not </w:t>
            </w:r>
            <w:r>
              <w:rPr>
                <w:color w:val="231F20"/>
                <w:spacing w:val="-3"/>
                <w:sz w:val="20"/>
              </w:rPr>
              <w:t xml:space="preserve">have </w:t>
            </w:r>
            <w:r>
              <w:rPr>
                <w:color w:val="231F20"/>
                <w:sz w:val="20"/>
              </w:rPr>
              <w:t>data on the gender of stalking victims in these cases.</w:t>
            </w:r>
          </w:p>
          <w:p w14:paraId="0626E718" w14:textId="77777777" w:rsidR="00894070" w:rsidRDefault="009B7AFD">
            <w:pPr>
              <w:pStyle w:val="TableParagraph"/>
              <w:spacing w:before="127" w:line="206" w:lineRule="auto"/>
              <w:ind w:right="101"/>
              <w:rPr>
                <w:sz w:val="20"/>
              </w:rPr>
            </w:pPr>
            <w:r>
              <w:rPr>
                <w:color w:val="231F20"/>
                <w:sz w:val="20"/>
              </w:rPr>
              <w:t>There were very few stalking cases in the Children’s Court. Of 155 cases in which stalking charges were sentenced (around 16 cases each year), 69% of those responsible</w:t>
            </w:r>
          </w:p>
          <w:p w14:paraId="1D7C303B" w14:textId="77777777" w:rsidR="00894070" w:rsidRDefault="009B7AFD">
            <w:pPr>
              <w:pStyle w:val="TableParagraph"/>
              <w:spacing w:before="3" w:line="206" w:lineRule="auto"/>
              <w:ind w:right="101"/>
              <w:rPr>
                <w:sz w:val="11"/>
              </w:rPr>
            </w:pPr>
            <w:r>
              <w:rPr>
                <w:color w:val="231F20"/>
                <w:sz w:val="20"/>
              </w:rPr>
              <w:t>for stalking were male.</w:t>
            </w:r>
            <w:r>
              <w:rPr>
                <w:color w:val="231F20"/>
                <w:position w:val="7"/>
                <w:sz w:val="11"/>
              </w:rPr>
              <w:t xml:space="preserve">62 </w:t>
            </w:r>
            <w:r>
              <w:rPr>
                <w:color w:val="231F20"/>
                <w:sz w:val="20"/>
              </w:rPr>
              <w:t>As in the Magistrates’ Court, the most common ages for females who were sentenced was younger (14, 15 and 16) than it was for males (16, 17 and 18). We do not have data on the gender of stalking victims in the Children’s Court, but earlier research indicates most victim survivors of stalking in cases sentenced there are female.</w:t>
            </w:r>
            <w:r>
              <w:rPr>
                <w:color w:val="231F20"/>
                <w:position w:val="7"/>
                <w:sz w:val="11"/>
              </w:rPr>
              <w:t>63</w:t>
            </w:r>
          </w:p>
        </w:tc>
      </w:tr>
      <w:tr w:rsidR="00894070" w14:paraId="73C43F33" w14:textId="77777777">
        <w:trPr>
          <w:trHeight w:val="2324"/>
        </w:trPr>
        <w:tc>
          <w:tcPr>
            <w:tcW w:w="2119" w:type="dxa"/>
            <w:shd w:val="clear" w:color="auto" w:fill="F4BCAE"/>
          </w:tcPr>
          <w:p w14:paraId="49D5554D" w14:textId="77777777" w:rsidR="00894070" w:rsidRDefault="009B7AFD">
            <w:pPr>
              <w:pStyle w:val="TableParagraph"/>
              <w:spacing w:before="154" w:line="206" w:lineRule="auto"/>
              <w:ind w:right="197"/>
              <w:rPr>
                <w:b/>
                <w:sz w:val="20"/>
              </w:rPr>
            </w:pPr>
            <w:r>
              <w:rPr>
                <w:b/>
                <w:color w:val="231F20"/>
                <w:sz w:val="20"/>
              </w:rPr>
              <w:t>Gippsland was over-represented in relation to Magistrates’ Court stalking cases</w:t>
            </w:r>
          </w:p>
        </w:tc>
        <w:tc>
          <w:tcPr>
            <w:tcW w:w="5808" w:type="dxa"/>
          </w:tcPr>
          <w:p w14:paraId="18363CB9" w14:textId="77777777" w:rsidR="00894070" w:rsidRDefault="009B7AFD">
            <w:pPr>
              <w:pStyle w:val="TableParagraph"/>
              <w:spacing w:before="98" w:line="206" w:lineRule="auto"/>
              <w:ind w:right="164"/>
              <w:rPr>
                <w:sz w:val="11"/>
              </w:rPr>
            </w:pPr>
            <w:r>
              <w:rPr>
                <w:color w:val="231F20"/>
                <w:sz w:val="20"/>
              </w:rPr>
              <w:t>The Sentencing Advisory Council found an overrepresentation of stalking charges sentenced in Gippsland. Gippsland has 4% of Victoria’s adult population but 12% of sentenced stalking charges involving adults. The Council was told that ‘Gippsland suffers from higher-than- average levels of economic disadvantage, unemployment, mental illness, family violence, methylamphetamine use and intergenerational trauma, and that accessing support services there can be difficult’.</w:t>
            </w:r>
            <w:r>
              <w:rPr>
                <w:color w:val="231F20"/>
                <w:position w:val="7"/>
                <w:sz w:val="11"/>
              </w:rPr>
              <w:t>64</w:t>
            </w:r>
          </w:p>
        </w:tc>
      </w:tr>
    </w:tbl>
    <w:p w14:paraId="4AB977FF" w14:textId="77777777" w:rsidR="00894070" w:rsidRDefault="00894070">
      <w:pPr>
        <w:pStyle w:val="BodyText"/>
        <w:rPr>
          <w:b/>
        </w:rPr>
      </w:pPr>
    </w:p>
    <w:p w14:paraId="483D3DD7" w14:textId="77777777" w:rsidR="00894070" w:rsidRDefault="00894070">
      <w:pPr>
        <w:pStyle w:val="BodyText"/>
        <w:rPr>
          <w:b/>
        </w:rPr>
      </w:pPr>
    </w:p>
    <w:p w14:paraId="707A3087" w14:textId="77777777" w:rsidR="00894070" w:rsidRDefault="009F6793">
      <w:pPr>
        <w:pStyle w:val="BodyText"/>
        <w:rPr>
          <w:b/>
          <w:sz w:val="11"/>
        </w:rPr>
      </w:pPr>
      <w:r>
        <w:pict w14:anchorId="0A8DF219">
          <v:line id="_x0000_s1662" style="position:absolute;z-index:251441152;mso-wrap-distance-left:0;mso-wrap-distance-right:0;mso-position-horizontal-relative:page" from="79.35pt,10.1pt" to="515.9pt,10.1pt" strokecolor="#f8cabc" strokeweight="1pt">
            <w10:wrap type="topAndBottom" anchorx="page"/>
          </v:line>
        </w:pict>
      </w:r>
    </w:p>
    <w:p w14:paraId="1AA49991" w14:textId="77777777" w:rsidR="00894070" w:rsidRDefault="009B7AFD">
      <w:pPr>
        <w:pStyle w:val="ListParagraph"/>
        <w:numPr>
          <w:ilvl w:val="0"/>
          <w:numId w:val="172"/>
        </w:numPr>
        <w:tabs>
          <w:tab w:val="left" w:pos="1801"/>
          <w:tab w:val="left" w:pos="1802"/>
        </w:tabs>
        <w:spacing w:before="107" w:line="213" w:lineRule="auto"/>
        <w:ind w:right="1229"/>
        <w:rPr>
          <w:sz w:val="13"/>
        </w:rPr>
      </w:pPr>
      <w:r>
        <w:rPr>
          <w:color w:val="231F20"/>
          <w:sz w:val="13"/>
        </w:rPr>
        <w:t xml:space="preserve">These are reported offences that may or may not be charged. Note as well that not all </w:t>
      </w:r>
      <w:r>
        <w:rPr>
          <w:color w:val="231F20"/>
          <w:spacing w:val="2"/>
          <w:sz w:val="13"/>
        </w:rPr>
        <w:t xml:space="preserve">reports </w:t>
      </w:r>
      <w:r>
        <w:rPr>
          <w:color w:val="231F20"/>
          <w:sz w:val="13"/>
        </w:rPr>
        <w:t xml:space="preserve">to </w:t>
      </w:r>
      <w:r>
        <w:rPr>
          <w:color w:val="231F20"/>
          <w:spacing w:val="2"/>
          <w:sz w:val="13"/>
        </w:rPr>
        <w:t xml:space="preserve">police </w:t>
      </w:r>
      <w:r>
        <w:rPr>
          <w:color w:val="231F20"/>
          <w:sz w:val="13"/>
        </w:rPr>
        <w:t xml:space="preserve">are recorded (see </w:t>
      </w:r>
      <w:proofErr w:type="gramStart"/>
      <w:r>
        <w:rPr>
          <w:color w:val="231F20"/>
          <w:sz w:val="13"/>
        </w:rPr>
        <w:t>Figure  1</w:t>
      </w:r>
      <w:proofErr w:type="gramEnd"/>
      <w:r>
        <w:rPr>
          <w:color w:val="231F20"/>
          <w:sz w:val="13"/>
        </w:rPr>
        <w:t>).</w:t>
      </w:r>
    </w:p>
    <w:p w14:paraId="37A40028" w14:textId="77777777" w:rsidR="00894070" w:rsidRDefault="009B7AFD">
      <w:pPr>
        <w:pStyle w:val="ListParagraph"/>
        <w:numPr>
          <w:ilvl w:val="0"/>
          <w:numId w:val="172"/>
        </w:numPr>
        <w:tabs>
          <w:tab w:val="left" w:pos="1801"/>
          <w:tab w:val="left" w:pos="1802"/>
        </w:tabs>
        <w:spacing w:line="213" w:lineRule="auto"/>
        <w:ind w:right="1343"/>
        <w:rPr>
          <w:sz w:val="13"/>
        </w:rPr>
      </w:pPr>
      <w:r>
        <w:rPr>
          <w:color w:val="231F20"/>
          <w:sz w:val="13"/>
        </w:rPr>
        <w:t xml:space="preserve">The figures for each year during the reference </w:t>
      </w:r>
      <w:r>
        <w:rPr>
          <w:color w:val="231F20"/>
          <w:spacing w:val="2"/>
          <w:sz w:val="13"/>
        </w:rPr>
        <w:t xml:space="preserve">period </w:t>
      </w:r>
      <w:r>
        <w:rPr>
          <w:color w:val="231F20"/>
          <w:sz w:val="13"/>
        </w:rPr>
        <w:t xml:space="preserve">were relatively stable, with a low of 1,760 in 2011 and a high of 2,963 in </w:t>
      </w:r>
      <w:r>
        <w:rPr>
          <w:color w:val="231F20"/>
          <w:spacing w:val="2"/>
          <w:sz w:val="13"/>
        </w:rPr>
        <w:t xml:space="preserve">2014. </w:t>
      </w:r>
      <w:r>
        <w:rPr>
          <w:color w:val="231F20"/>
          <w:sz w:val="13"/>
        </w:rPr>
        <w:t xml:space="preserve">After 2011, the </w:t>
      </w:r>
      <w:r>
        <w:rPr>
          <w:color w:val="231F20"/>
          <w:spacing w:val="2"/>
          <w:sz w:val="13"/>
        </w:rPr>
        <w:t xml:space="preserve">number </w:t>
      </w:r>
      <w:r>
        <w:rPr>
          <w:color w:val="231F20"/>
          <w:sz w:val="13"/>
        </w:rPr>
        <w:t xml:space="preserve">of recorded offences did not fall below 2,312, which was the </w:t>
      </w:r>
      <w:r>
        <w:rPr>
          <w:color w:val="231F20"/>
          <w:spacing w:val="2"/>
          <w:sz w:val="13"/>
        </w:rPr>
        <w:t xml:space="preserve">number </w:t>
      </w:r>
      <w:r>
        <w:rPr>
          <w:color w:val="231F20"/>
          <w:sz w:val="13"/>
        </w:rPr>
        <w:t xml:space="preserve">of offences recorded in 2012: Sentencing Advisory Council (Vic), Sentencing Stalking in Victoria </w:t>
      </w:r>
      <w:r>
        <w:rPr>
          <w:color w:val="231F20"/>
          <w:spacing w:val="2"/>
          <w:sz w:val="13"/>
        </w:rPr>
        <w:t xml:space="preserve">(Report, </w:t>
      </w:r>
      <w:r>
        <w:rPr>
          <w:color w:val="231F20"/>
          <w:sz w:val="13"/>
        </w:rPr>
        <w:t xml:space="preserve">March 2022) </w:t>
      </w:r>
      <w:r>
        <w:rPr>
          <w:color w:val="231F20"/>
          <w:spacing w:val="2"/>
          <w:sz w:val="13"/>
        </w:rPr>
        <w:t xml:space="preserve">21, </w:t>
      </w:r>
      <w:r>
        <w:rPr>
          <w:color w:val="231F20"/>
          <w:sz w:val="13"/>
        </w:rPr>
        <w:t>Figure</w:t>
      </w:r>
      <w:r>
        <w:rPr>
          <w:color w:val="231F20"/>
          <w:spacing w:val="21"/>
          <w:sz w:val="13"/>
        </w:rPr>
        <w:t xml:space="preserve"> </w:t>
      </w:r>
      <w:r>
        <w:rPr>
          <w:color w:val="231F20"/>
          <w:sz w:val="13"/>
        </w:rPr>
        <w:t>2.</w:t>
      </w:r>
    </w:p>
    <w:p w14:paraId="29A6C604" w14:textId="77777777" w:rsidR="00894070" w:rsidRDefault="009B7AFD">
      <w:pPr>
        <w:pStyle w:val="ListParagraph"/>
        <w:numPr>
          <w:ilvl w:val="0"/>
          <w:numId w:val="172"/>
        </w:numPr>
        <w:tabs>
          <w:tab w:val="left" w:pos="1801"/>
          <w:tab w:val="left" w:pos="1802"/>
        </w:tabs>
        <w:spacing w:line="152" w:lineRule="exact"/>
        <w:rPr>
          <w:sz w:val="13"/>
        </w:rPr>
      </w:pPr>
      <w:r>
        <w:rPr>
          <w:color w:val="231F20"/>
          <w:sz w:val="13"/>
        </w:rPr>
        <w:t xml:space="preserve">Ibid x, 23, Figure </w:t>
      </w:r>
      <w:r>
        <w:rPr>
          <w:color w:val="231F20"/>
          <w:spacing w:val="3"/>
          <w:sz w:val="13"/>
        </w:rPr>
        <w:t>4.</w:t>
      </w:r>
    </w:p>
    <w:p w14:paraId="7E0745DD" w14:textId="77777777" w:rsidR="00894070" w:rsidRDefault="009B7AFD">
      <w:pPr>
        <w:pStyle w:val="ListParagraph"/>
        <w:numPr>
          <w:ilvl w:val="0"/>
          <w:numId w:val="172"/>
        </w:numPr>
        <w:tabs>
          <w:tab w:val="left" w:pos="1800"/>
          <w:tab w:val="left" w:pos="1802"/>
        </w:tabs>
        <w:spacing w:line="160" w:lineRule="exact"/>
        <w:rPr>
          <w:sz w:val="13"/>
        </w:rPr>
      </w:pPr>
      <w:r>
        <w:rPr>
          <w:color w:val="231F20"/>
          <w:sz w:val="13"/>
        </w:rPr>
        <w:t xml:space="preserve">‘Between 2011 and 2020, Victorian </w:t>
      </w:r>
      <w:r>
        <w:rPr>
          <w:color w:val="231F20"/>
          <w:spacing w:val="2"/>
          <w:sz w:val="13"/>
        </w:rPr>
        <w:t xml:space="preserve">courts </w:t>
      </w:r>
      <w:r>
        <w:rPr>
          <w:color w:val="231F20"/>
          <w:sz w:val="13"/>
        </w:rPr>
        <w:t xml:space="preserve">sentenced 6,832 </w:t>
      </w:r>
      <w:r>
        <w:rPr>
          <w:color w:val="231F20"/>
          <w:spacing w:val="2"/>
          <w:sz w:val="13"/>
        </w:rPr>
        <w:t xml:space="preserve">stalking </w:t>
      </w:r>
      <w:r>
        <w:rPr>
          <w:color w:val="231F20"/>
          <w:sz w:val="13"/>
        </w:rPr>
        <w:t xml:space="preserve">charges in </w:t>
      </w:r>
      <w:r>
        <w:rPr>
          <w:color w:val="231F20"/>
          <w:spacing w:val="4"/>
          <w:sz w:val="13"/>
        </w:rPr>
        <w:t xml:space="preserve">5,444 </w:t>
      </w:r>
      <w:r>
        <w:rPr>
          <w:color w:val="231F20"/>
          <w:sz w:val="13"/>
        </w:rPr>
        <w:t>cases’: ibid</w:t>
      </w:r>
      <w:r>
        <w:rPr>
          <w:color w:val="231F20"/>
          <w:spacing w:val="4"/>
          <w:sz w:val="13"/>
        </w:rPr>
        <w:t xml:space="preserve"> </w:t>
      </w:r>
      <w:r>
        <w:rPr>
          <w:color w:val="231F20"/>
          <w:sz w:val="13"/>
        </w:rPr>
        <w:t>x.</w:t>
      </w:r>
    </w:p>
    <w:p w14:paraId="78103B40" w14:textId="77777777" w:rsidR="00894070" w:rsidRDefault="009B7AFD">
      <w:pPr>
        <w:pStyle w:val="ListParagraph"/>
        <w:numPr>
          <w:ilvl w:val="0"/>
          <w:numId w:val="172"/>
        </w:numPr>
        <w:tabs>
          <w:tab w:val="left" w:pos="1800"/>
          <w:tab w:val="left" w:pos="1802"/>
        </w:tabs>
        <w:spacing w:line="160" w:lineRule="exact"/>
        <w:rPr>
          <w:sz w:val="13"/>
        </w:rPr>
      </w:pPr>
      <w:r>
        <w:rPr>
          <w:color w:val="231F20"/>
          <w:sz w:val="13"/>
        </w:rPr>
        <w:t>Ibid.</w:t>
      </w:r>
    </w:p>
    <w:p w14:paraId="21BDEBC8" w14:textId="77777777" w:rsidR="00894070" w:rsidRDefault="009B7AFD">
      <w:pPr>
        <w:pStyle w:val="ListParagraph"/>
        <w:numPr>
          <w:ilvl w:val="0"/>
          <w:numId w:val="172"/>
        </w:numPr>
        <w:tabs>
          <w:tab w:val="left" w:pos="1800"/>
          <w:tab w:val="left" w:pos="1802"/>
        </w:tabs>
        <w:spacing w:before="5" w:line="213" w:lineRule="auto"/>
        <w:ind w:right="1166"/>
        <w:rPr>
          <w:sz w:val="13"/>
        </w:rPr>
      </w:pPr>
      <w:r>
        <w:rPr>
          <w:color w:val="231F20"/>
          <w:sz w:val="13"/>
        </w:rPr>
        <w:t xml:space="preserve">These figures cover all age categories from 10 to 55 and over. However, while males accounted for between 85% and 90% of all recorded </w:t>
      </w:r>
      <w:r>
        <w:rPr>
          <w:color w:val="231F20"/>
          <w:spacing w:val="2"/>
          <w:sz w:val="13"/>
        </w:rPr>
        <w:t xml:space="preserve">stalking </w:t>
      </w:r>
      <w:r>
        <w:rPr>
          <w:color w:val="231F20"/>
          <w:sz w:val="13"/>
        </w:rPr>
        <w:t xml:space="preserve">offenders in </w:t>
      </w:r>
      <w:r>
        <w:rPr>
          <w:color w:val="231F20"/>
          <w:spacing w:val="2"/>
          <w:sz w:val="13"/>
        </w:rPr>
        <w:t xml:space="preserve">almost </w:t>
      </w:r>
      <w:r>
        <w:rPr>
          <w:color w:val="231F20"/>
          <w:sz w:val="13"/>
        </w:rPr>
        <w:t xml:space="preserve">every age category, the percentage dropped to 72% of recorded stalkers aged 10 to 19.      The Sentencing Advisory Council </w:t>
      </w:r>
      <w:r>
        <w:rPr>
          <w:color w:val="231F20"/>
          <w:spacing w:val="2"/>
          <w:sz w:val="13"/>
        </w:rPr>
        <w:t xml:space="preserve">suggests </w:t>
      </w:r>
      <w:r>
        <w:rPr>
          <w:color w:val="231F20"/>
          <w:sz w:val="13"/>
        </w:rPr>
        <w:t xml:space="preserve">‘This is probably partially explained by lower rates of intimate </w:t>
      </w:r>
      <w:r>
        <w:rPr>
          <w:color w:val="231F20"/>
          <w:spacing w:val="2"/>
          <w:sz w:val="13"/>
        </w:rPr>
        <w:t xml:space="preserve">partner </w:t>
      </w:r>
      <w:r>
        <w:rPr>
          <w:color w:val="231F20"/>
          <w:sz w:val="13"/>
        </w:rPr>
        <w:t xml:space="preserve">violence, which    is strongly gendered, among this age group’: ibid </w:t>
      </w:r>
      <w:r>
        <w:rPr>
          <w:color w:val="231F20"/>
          <w:spacing w:val="2"/>
          <w:sz w:val="13"/>
        </w:rPr>
        <w:t xml:space="preserve">[3.9], </w:t>
      </w:r>
      <w:r>
        <w:rPr>
          <w:color w:val="231F20"/>
          <w:sz w:val="13"/>
        </w:rPr>
        <w:t>Figure</w:t>
      </w:r>
      <w:r>
        <w:rPr>
          <w:color w:val="231F20"/>
          <w:spacing w:val="3"/>
          <w:sz w:val="13"/>
        </w:rPr>
        <w:t xml:space="preserve"> 5.</w:t>
      </w:r>
    </w:p>
    <w:p w14:paraId="0E0B0FEE" w14:textId="77777777" w:rsidR="00894070" w:rsidRDefault="009B7AFD">
      <w:pPr>
        <w:tabs>
          <w:tab w:val="left" w:pos="1801"/>
        </w:tabs>
        <w:spacing w:line="151" w:lineRule="exact"/>
        <w:ind w:left="1007"/>
        <w:rPr>
          <w:sz w:val="13"/>
        </w:rPr>
      </w:pPr>
      <w:r>
        <w:rPr>
          <w:color w:val="231F20"/>
          <w:sz w:val="13"/>
        </w:rPr>
        <w:t>60</w:t>
      </w:r>
      <w:r>
        <w:rPr>
          <w:color w:val="231F20"/>
          <w:sz w:val="13"/>
        </w:rPr>
        <w:tab/>
        <w:t>Ibid [3.10].</w:t>
      </w:r>
    </w:p>
    <w:p w14:paraId="596EE0BF" w14:textId="77777777" w:rsidR="00894070" w:rsidRDefault="009B7AFD">
      <w:pPr>
        <w:tabs>
          <w:tab w:val="left" w:pos="1801"/>
        </w:tabs>
        <w:spacing w:line="160" w:lineRule="exact"/>
        <w:ind w:left="1007"/>
        <w:rPr>
          <w:sz w:val="13"/>
        </w:rPr>
      </w:pPr>
      <w:r>
        <w:rPr>
          <w:color w:val="231F20"/>
          <w:sz w:val="13"/>
        </w:rPr>
        <w:t>61</w:t>
      </w:r>
      <w:r>
        <w:rPr>
          <w:color w:val="231F20"/>
          <w:sz w:val="13"/>
        </w:rPr>
        <w:tab/>
        <w:t xml:space="preserve">Ibid </w:t>
      </w:r>
      <w:r>
        <w:rPr>
          <w:color w:val="231F20"/>
          <w:spacing w:val="2"/>
          <w:sz w:val="13"/>
        </w:rPr>
        <w:t>[5.5]</w:t>
      </w:r>
      <w:proofErr w:type="gramStart"/>
      <w:r>
        <w:rPr>
          <w:color w:val="231F20"/>
          <w:spacing w:val="2"/>
          <w:sz w:val="13"/>
        </w:rPr>
        <w:t>–[</w:t>
      </w:r>
      <w:proofErr w:type="gramEnd"/>
      <w:r>
        <w:rPr>
          <w:color w:val="231F20"/>
          <w:spacing w:val="2"/>
          <w:sz w:val="13"/>
        </w:rPr>
        <w:t xml:space="preserve">5.6], </w:t>
      </w:r>
      <w:r>
        <w:rPr>
          <w:color w:val="231F20"/>
          <w:sz w:val="13"/>
        </w:rPr>
        <w:t>Figure</w:t>
      </w:r>
      <w:r>
        <w:rPr>
          <w:color w:val="231F20"/>
          <w:spacing w:val="-2"/>
          <w:sz w:val="13"/>
        </w:rPr>
        <w:t xml:space="preserve"> </w:t>
      </w:r>
      <w:r>
        <w:rPr>
          <w:color w:val="231F20"/>
          <w:spacing w:val="2"/>
          <w:sz w:val="13"/>
        </w:rPr>
        <w:t>12.</w:t>
      </w:r>
    </w:p>
    <w:p w14:paraId="0DB0DD93" w14:textId="77777777" w:rsidR="00894070" w:rsidRDefault="009B7AFD">
      <w:pPr>
        <w:tabs>
          <w:tab w:val="left" w:pos="1800"/>
        </w:tabs>
        <w:spacing w:line="160" w:lineRule="exact"/>
        <w:ind w:left="1007"/>
        <w:rPr>
          <w:sz w:val="13"/>
        </w:rPr>
      </w:pPr>
      <w:r>
        <w:rPr>
          <w:color w:val="231F20"/>
          <w:sz w:val="13"/>
        </w:rPr>
        <w:t>62</w:t>
      </w:r>
      <w:r>
        <w:rPr>
          <w:color w:val="231F20"/>
          <w:sz w:val="13"/>
        </w:rPr>
        <w:tab/>
        <w:t xml:space="preserve">Ibid </w:t>
      </w:r>
      <w:r>
        <w:rPr>
          <w:color w:val="231F20"/>
          <w:spacing w:val="2"/>
          <w:sz w:val="13"/>
        </w:rPr>
        <w:t>[4.2]</w:t>
      </w:r>
      <w:proofErr w:type="gramStart"/>
      <w:r>
        <w:rPr>
          <w:color w:val="231F20"/>
          <w:spacing w:val="2"/>
          <w:sz w:val="13"/>
        </w:rPr>
        <w:t>–[</w:t>
      </w:r>
      <w:proofErr w:type="gramEnd"/>
      <w:r>
        <w:rPr>
          <w:color w:val="231F20"/>
          <w:spacing w:val="2"/>
          <w:sz w:val="13"/>
        </w:rPr>
        <w:t>4.3].</w:t>
      </w:r>
    </w:p>
    <w:p w14:paraId="5531103E" w14:textId="77777777" w:rsidR="00894070" w:rsidRDefault="009F6793">
      <w:pPr>
        <w:tabs>
          <w:tab w:val="left" w:pos="1801"/>
        </w:tabs>
        <w:spacing w:before="7" w:line="213" w:lineRule="auto"/>
        <w:ind w:left="1801" w:right="1833" w:hanging="794"/>
        <w:rPr>
          <w:sz w:val="13"/>
        </w:rPr>
      </w:pPr>
      <w:r>
        <w:pict w14:anchorId="028D53DF">
          <v:shape id="_x0000_s1661" type="#_x0000_t202" style="position:absolute;left:0;text-align:left;margin-left:549.2pt;margin-top:11.75pt;width:12.65pt;height:14.1pt;z-index:251506688;mso-position-horizontal-relative:page" filled="f" stroked="f">
            <v:textbox inset="0,0,0,0">
              <w:txbxContent>
                <w:p w14:paraId="15F51D7B" w14:textId="77777777" w:rsidR="00894070" w:rsidRDefault="009B7AFD">
                  <w:pPr>
                    <w:spacing w:line="282" w:lineRule="exact"/>
                    <w:rPr>
                      <w:b/>
                      <w:sz w:val="24"/>
                    </w:rPr>
                  </w:pPr>
                  <w:r>
                    <w:rPr>
                      <w:b/>
                      <w:color w:val="EA5B50"/>
                      <w:spacing w:val="-4"/>
                      <w:sz w:val="24"/>
                    </w:rPr>
                    <w:t>19</w:t>
                  </w:r>
                </w:p>
              </w:txbxContent>
            </v:textbox>
            <w10:wrap anchorx="page"/>
          </v:shape>
        </w:pict>
      </w:r>
      <w:r w:rsidR="009B7AFD">
        <w:rPr>
          <w:color w:val="231F20"/>
          <w:sz w:val="13"/>
        </w:rPr>
        <w:t>63</w:t>
      </w:r>
      <w:r w:rsidR="009B7AFD">
        <w:rPr>
          <w:color w:val="231F20"/>
          <w:sz w:val="13"/>
        </w:rPr>
        <w:tab/>
        <w:t xml:space="preserve">Ibid </w:t>
      </w:r>
      <w:r w:rsidR="009B7AFD">
        <w:rPr>
          <w:color w:val="231F20"/>
          <w:spacing w:val="2"/>
          <w:sz w:val="13"/>
        </w:rPr>
        <w:t xml:space="preserve">[4.5], </w:t>
      </w:r>
      <w:r w:rsidR="009B7AFD">
        <w:rPr>
          <w:color w:val="231F20"/>
          <w:sz w:val="13"/>
        </w:rPr>
        <w:t xml:space="preserve">citing Purcell’s review of </w:t>
      </w:r>
      <w:r w:rsidR="009B7AFD">
        <w:rPr>
          <w:color w:val="231F20"/>
          <w:spacing w:val="2"/>
          <w:sz w:val="13"/>
        </w:rPr>
        <w:t xml:space="preserve">299 </w:t>
      </w:r>
      <w:r w:rsidR="009B7AFD">
        <w:rPr>
          <w:color w:val="231F20"/>
          <w:sz w:val="13"/>
        </w:rPr>
        <w:t xml:space="preserve">restraining order </w:t>
      </w:r>
      <w:r w:rsidR="009B7AFD">
        <w:rPr>
          <w:color w:val="231F20"/>
          <w:spacing w:val="2"/>
          <w:sz w:val="13"/>
        </w:rPr>
        <w:t xml:space="preserve">applications </w:t>
      </w:r>
      <w:r w:rsidR="009B7AFD">
        <w:rPr>
          <w:color w:val="231F20"/>
          <w:sz w:val="13"/>
        </w:rPr>
        <w:t xml:space="preserve">in the </w:t>
      </w:r>
      <w:r w:rsidR="009B7AFD">
        <w:rPr>
          <w:color w:val="231F20"/>
          <w:spacing w:val="2"/>
          <w:sz w:val="13"/>
        </w:rPr>
        <w:t xml:space="preserve">Melbourne </w:t>
      </w:r>
      <w:r w:rsidR="009B7AFD">
        <w:rPr>
          <w:color w:val="231F20"/>
          <w:sz w:val="13"/>
        </w:rPr>
        <w:t xml:space="preserve">Children’s </w:t>
      </w:r>
      <w:r w:rsidR="009B7AFD">
        <w:rPr>
          <w:color w:val="231F20"/>
          <w:spacing w:val="2"/>
          <w:sz w:val="13"/>
        </w:rPr>
        <w:t xml:space="preserve">Court </w:t>
      </w:r>
      <w:r w:rsidR="009B7AFD">
        <w:rPr>
          <w:color w:val="231F20"/>
          <w:sz w:val="13"/>
        </w:rPr>
        <w:t xml:space="preserve">that were filed in response to </w:t>
      </w:r>
      <w:r w:rsidR="009B7AFD">
        <w:rPr>
          <w:color w:val="231F20"/>
          <w:spacing w:val="2"/>
          <w:sz w:val="13"/>
        </w:rPr>
        <w:t xml:space="preserve">stalking </w:t>
      </w:r>
      <w:proofErr w:type="spellStart"/>
      <w:r w:rsidR="009B7AFD">
        <w:rPr>
          <w:color w:val="231F20"/>
          <w:sz w:val="13"/>
        </w:rPr>
        <w:t>behaviour</w:t>
      </w:r>
      <w:proofErr w:type="spellEnd"/>
      <w:r w:rsidR="009B7AFD">
        <w:rPr>
          <w:color w:val="231F20"/>
          <w:sz w:val="13"/>
        </w:rPr>
        <w:t xml:space="preserve"> in the late </w:t>
      </w:r>
      <w:r w:rsidR="009B7AFD">
        <w:rPr>
          <w:color w:val="231F20"/>
          <w:spacing w:val="2"/>
          <w:sz w:val="13"/>
        </w:rPr>
        <w:t>2000s.</w:t>
      </w:r>
    </w:p>
    <w:p w14:paraId="5648EB12" w14:textId="77777777" w:rsidR="00894070" w:rsidRDefault="009B7AFD">
      <w:pPr>
        <w:tabs>
          <w:tab w:val="left" w:pos="1801"/>
        </w:tabs>
        <w:spacing w:line="163" w:lineRule="exact"/>
        <w:ind w:left="1007"/>
        <w:rPr>
          <w:sz w:val="13"/>
        </w:rPr>
      </w:pPr>
      <w:r>
        <w:rPr>
          <w:color w:val="231F20"/>
          <w:sz w:val="13"/>
        </w:rPr>
        <w:t>64</w:t>
      </w:r>
      <w:r>
        <w:rPr>
          <w:color w:val="231F20"/>
          <w:sz w:val="13"/>
        </w:rPr>
        <w:tab/>
        <w:t>Ibid [5.16].</w:t>
      </w:r>
    </w:p>
    <w:p w14:paraId="466EF57E" w14:textId="77777777" w:rsidR="00894070" w:rsidRDefault="00894070">
      <w:pPr>
        <w:spacing w:line="163" w:lineRule="exact"/>
        <w:rPr>
          <w:sz w:val="13"/>
        </w:rPr>
        <w:sectPr w:rsidR="00894070">
          <w:pgSz w:w="11910" w:h="16840"/>
          <w:pgMar w:top="840" w:right="420" w:bottom="280" w:left="580" w:header="0" w:footer="0" w:gutter="0"/>
          <w:cols w:space="720"/>
        </w:sectPr>
      </w:pPr>
    </w:p>
    <w:p w14:paraId="29CCC874" w14:textId="77777777" w:rsidR="00894070" w:rsidRDefault="00894070">
      <w:pPr>
        <w:pStyle w:val="BodyText"/>
      </w:pPr>
    </w:p>
    <w:p w14:paraId="3032D046" w14:textId="77777777" w:rsidR="00894070" w:rsidRDefault="00894070">
      <w:pPr>
        <w:pStyle w:val="BodyText"/>
      </w:pPr>
    </w:p>
    <w:p w14:paraId="286CE7DF" w14:textId="77777777" w:rsidR="00894070" w:rsidRDefault="00894070">
      <w:pPr>
        <w:pStyle w:val="BodyText"/>
      </w:pPr>
    </w:p>
    <w:p w14:paraId="750812B3" w14:textId="77777777" w:rsidR="00894070" w:rsidRDefault="009B7AFD">
      <w:pPr>
        <w:pStyle w:val="Heading9"/>
        <w:spacing w:before="224"/>
        <w:rPr>
          <w:b/>
        </w:rPr>
      </w:pPr>
      <w:r>
        <w:rPr>
          <w:b/>
          <w:color w:val="231F20"/>
        </w:rPr>
        <w:t>What does the data suggest about personal safety and family violence orders?</w:t>
      </w:r>
    </w:p>
    <w:p w14:paraId="51C2622D" w14:textId="77777777" w:rsidR="00894070" w:rsidRDefault="009B7AFD">
      <w:pPr>
        <w:pStyle w:val="ListParagraph"/>
        <w:numPr>
          <w:ilvl w:val="1"/>
          <w:numId w:val="177"/>
        </w:numPr>
        <w:tabs>
          <w:tab w:val="left" w:pos="1802"/>
        </w:tabs>
        <w:spacing w:before="132" w:line="206" w:lineRule="auto"/>
        <w:ind w:right="1399"/>
        <w:jc w:val="both"/>
        <w:rPr>
          <w:sz w:val="20"/>
        </w:rPr>
      </w:pPr>
      <w:r>
        <w:rPr>
          <w:color w:val="231F20"/>
          <w:spacing w:val="-6"/>
          <w:sz w:val="20"/>
        </w:rPr>
        <w:t>We</w:t>
      </w:r>
      <w:r>
        <w:rPr>
          <w:color w:val="231F20"/>
          <w:spacing w:val="-11"/>
          <w:sz w:val="20"/>
        </w:rPr>
        <w:t xml:space="preserve"> </w:t>
      </w:r>
      <w:r>
        <w:rPr>
          <w:color w:val="231F20"/>
          <w:sz w:val="20"/>
        </w:rPr>
        <w:t>heard</w:t>
      </w:r>
      <w:r>
        <w:rPr>
          <w:color w:val="231F20"/>
          <w:spacing w:val="-10"/>
          <w:sz w:val="20"/>
        </w:rPr>
        <w:t xml:space="preserve"> </w:t>
      </w:r>
      <w:r>
        <w:rPr>
          <w:color w:val="231F20"/>
          <w:sz w:val="20"/>
        </w:rPr>
        <w:t>that</w:t>
      </w:r>
      <w:r>
        <w:rPr>
          <w:color w:val="231F20"/>
          <w:spacing w:val="-11"/>
          <w:sz w:val="20"/>
        </w:rPr>
        <w:t xml:space="preserve"> </w:t>
      </w:r>
      <w:r>
        <w:rPr>
          <w:color w:val="231F20"/>
          <w:sz w:val="20"/>
        </w:rPr>
        <w:t>rather</w:t>
      </w:r>
      <w:r>
        <w:rPr>
          <w:color w:val="231F20"/>
          <w:spacing w:val="-10"/>
          <w:sz w:val="20"/>
        </w:rPr>
        <w:t xml:space="preserve"> </w:t>
      </w:r>
      <w:r>
        <w:rPr>
          <w:color w:val="231F20"/>
          <w:sz w:val="20"/>
        </w:rPr>
        <w:t>than</w:t>
      </w:r>
      <w:r>
        <w:rPr>
          <w:color w:val="231F20"/>
          <w:spacing w:val="-11"/>
          <w:sz w:val="20"/>
        </w:rPr>
        <w:t xml:space="preserve"> </w:t>
      </w:r>
      <w:r>
        <w:rPr>
          <w:color w:val="231F20"/>
          <w:sz w:val="20"/>
        </w:rPr>
        <w:t>file</w:t>
      </w:r>
      <w:r>
        <w:rPr>
          <w:color w:val="231F20"/>
          <w:spacing w:val="-10"/>
          <w:sz w:val="20"/>
        </w:rPr>
        <w:t xml:space="preserve"> </w:t>
      </w:r>
      <w:r>
        <w:rPr>
          <w:color w:val="231F20"/>
          <w:sz w:val="20"/>
        </w:rPr>
        <w:t>stalking</w:t>
      </w:r>
      <w:r>
        <w:rPr>
          <w:color w:val="231F20"/>
          <w:spacing w:val="-10"/>
          <w:sz w:val="20"/>
        </w:rPr>
        <w:t xml:space="preserve"> </w:t>
      </w:r>
      <w:r>
        <w:rPr>
          <w:color w:val="231F20"/>
          <w:sz w:val="20"/>
        </w:rPr>
        <w:t>charges,</w:t>
      </w:r>
      <w:r>
        <w:rPr>
          <w:color w:val="231F20"/>
          <w:spacing w:val="-11"/>
          <w:sz w:val="20"/>
        </w:rPr>
        <w:t xml:space="preserve"> </w:t>
      </w:r>
      <w:r>
        <w:rPr>
          <w:color w:val="231F20"/>
          <w:sz w:val="20"/>
        </w:rPr>
        <w:t>police</w:t>
      </w:r>
      <w:r>
        <w:rPr>
          <w:color w:val="231F20"/>
          <w:spacing w:val="-10"/>
          <w:sz w:val="20"/>
        </w:rPr>
        <w:t xml:space="preserve"> </w:t>
      </w:r>
      <w:r>
        <w:rPr>
          <w:color w:val="231F20"/>
          <w:sz w:val="20"/>
        </w:rPr>
        <w:t>tend</w:t>
      </w:r>
      <w:r>
        <w:rPr>
          <w:color w:val="231F20"/>
          <w:spacing w:val="-11"/>
          <w:sz w:val="20"/>
        </w:rPr>
        <w:t xml:space="preserve"> </w:t>
      </w:r>
      <w:r>
        <w:rPr>
          <w:color w:val="231F20"/>
          <w:sz w:val="20"/>
        </w:rPr>
        <w:t>to</w:t>
      </w:r>
      <w:r>
        <w:rPr>
          <w:color w:val="231F20"/>
          <w:spacing w:val="-10"/>
          <w:sz w:val="20"/>
        </w:rPr>
        <w:t xml:space="preserve"> </w:t>
      </w:r>
      <w:r>
        <w:rPr>
          <w:color w:val="231F20"/>
          <w:sz w:val="20"/>
        </w:rPr>
        <w:t>respond</w:t>
      </w:r>
      <w:r>
        <w:rPr>
          <w:color w:val="231F20"/>
          <w:spacing w:val="-11"/>
          <w:sz w:val="20"/>
        </w:rPr>
        <w:t xml:space="preserve"> </w:t>
      </w:r>
      <w:r>
        <w:rPr>
          <w:color w:val="231F20"/>
          <w:sz w:val="20"/>
        </w:rPr>
        <w:t>to</w:t>
      </w:r>
      <w:r>
        <w:rPr>
          <w:color w:val="231F20"/>
          <w:spacing w:val="-10"/>
          <w:sz w:val="20"/>
        </w:rPr>
        <w:t xml:space="preserve"> </w:t>
      </w:r>
      <w:r>
        <w:rPr>
          <w:color w:val="231F20"/>
          <w:sz w:val="20"/>
        </w:rPr>
        <w:t>stalking</w:t>
      </w:r>
      <w:r>
        <w:rPr>
          <w:color w:val="231F20"/>
          <w:spacing w:val="-10"/>
          <w:sz w:val="20"/>
        </w:rPr>
        <w:t xml:space="preserve"> </w:t>
      </w:r>
      <w:r>
        <w:rPr>
          <w:color w:val="231F20"/>
          <w:spacing w:val="-3"/>
          <w:sz w:val="20"/>
        </w:rPr>
        <w:t xml:space="preserve">by </w:t>
      </w:r>
      <w:r>
        <w:rPr>
          <w:color w:val="231F20"/>
          <w:sz w:val="20"/>
        </w:rPr>
        <w:t xml:space="preserve">a non-family member </w:t>
      </w:r>
      <w:r>
        <w:rPr>
          <w:color w:val="231F20"/>
          <w:spacing w:val="-3"/>
          <w:sz w:val="20"/>
        </w:rPr>
        <w:t xml:space="preserve">by </w:t>
      </w:r>
      <w:r>
        <w:rPr>
          <w:color w:val="231F20"/>
          <w:sz w:val="20"/>
        </w:rPr>
        <w:t xml:space="preserve">suggesting that the person being stalked should </w:t>
      </w:r>
      <w:r>
        <w:rPr>
          <w:color w:val="231F20"/>
          <w:spacing w:val="-3"/>
          <w:sz w:val="20"/>
        </w:rPr>
        <w:t xml:space="preserve">apply for </w:t>
      </w:r>
      <w:r>
        <w:rPr>
          <w:color w:val="231F20"/>
          <w:sz w:val="20"/>
        </w:rPr>
        <w:t>a</w:t>
      </w:r>
      <w:r>
        <w:rPr>
          <w:color w:val="231F20"/>
          <w:spacing w:val="-7"/>
          <w:sz w:val="20"/>
        </w:rPr>
        <w:t xml:space="preserve"> </w:t>
      </w:r>
      <w:r>
        <w:rPr>
          <w:color w:val="231F20"/>
          <w:sz w:val="20"/>
        </w:rPr>
        <w:t>PSIO.</w:t>
      </w:r>
      <w:r>
        <w:rPr>
          <w:color w:val="231F20"/>
          <w:position w:val="7"/>
          <w:sz w:val="11"/>
        </w:rPr>
        <w:t>65</w:t>
      </w:r>
      <w:r>
        <w:rPr>
          <w:color w:val="231F20"/>
          <w:spacing w:val="17"/>
          <w:position w:val="7"/>
          <w:sz w:val="11"/>
        </w:rPr>
        <w:t xml:space="preserve"> </w:t>
      </w:r>
      <w:r>
        <w:rPr>
          <w:color w:val="231F20"/>
          <w:sz w:val="20"/>
        </w:rPr>
        <w:t>Police</w:t>
      </w:r>
      <w:r>
        <w:rPr>
          <w:color w:val="231F20"/>
          <w:spacing w:val="-7"/>
          <w:sz w:val="20"/>
        </w:rPr>
        <w:t xml:space="preserve"> </w:t>
      </w:r>
      <w:r>
        <w:rPr>
          <w:color w:val="231F20"/>
          <w:spacing w:val="-3"/>
          <w:sz w:val="20"/>
        </w:rPr>
        <w:t>may</w:t>
      </w:r>
      <w:r>
        <w:rPr>
          <w:color w:val="231F20"/>
          <w:spacing w:val="-7"/>
          <w:sz w:val="20"/>
        </w:rPr>
        <w:t xml:space="preserve"> </w:t>
      </w:r>
      <w:r>
        <w:rPr>
          <w:color w:val="231F20"/>
          <w:sz w:val="20"/>
        </w:rPr>
        <w:t>also</w:t>
      </w:r>
      <w:r>
        <w:rPr>
          <w:color w:val="231F20"/>
          <w:spacing w:val="-6"/>
          <w:sz w:val="20"/>
        </w:rPr>
        <w:t xml:space="preserve"> </w:t>
      </w:r>
      <w:r>
        <w:rPr>
          <w:color w:val="231F20"/>
          <w:spacing w:val="-3"/>
          <w:sz w:val="20"/>
        </w:rPr>
        <w:t>apply</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a</w:t>
      </w:r>
      <w:r>
        <w:rPr>
          <w:color w:val="231F20"/>
          <w:spacing w:val="-7"/>
          <w:sz w:val="20"/>
        </w:rPr>
        <w:t xml:space="preserve"> </w:t>
      </w:r>
      <w:r>
        <w:rPr>
          <w:color w:val="231F20"/>
          <w:sz w:val="20"/>
        </w:rPr>
        <w:t>PSIO</w:t>
      </w:r>
      <w:r>
        <w:rPr>
          <w:color w:val="231F20"/>
          <w:spacing w:val="-7"/>
          <w:sz w:val="20"/>
        </w:rPr>
        <w:t xml:space="preserve"> </w:t>
      </w:r>
      <w:r>
        <w:rPr>
          <w:color w:val="231F20"/>
          <w:sz w:val="20"/>
        </w:rPr>
        <w:t>on</w:t>
      </w:r>
      <w:r>
        <w:rPr>
          <w:color w:val="231F20"/>
          <w:spacing w:val="-6"/>
          <w:sz w:val="20"/>
        </w:rPr>
        <w:t xml:space="preserve"> </w:t>
      </w:r>
      <w:r>
        <w:rPr>
          <w:color w:val="231F20"/>
          <w:sz w:val="20"/>
        </w:rPr>
        <w:t>behalf</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person</w:t>
      </w:r>
      <w:r>
        <w:rPr>
          <w:color w:val="231F20"/>
          <w:spacing w:val="-7"/>
          <w:sz w:val="20"/>
        </w:rPr>
        <w:t xml:space="preserve"> </w:t>
      </w:r>
      <w:r>
        <w:rPr>
          <w:color w:val="231F20"/>
          <w:sz w:val="20"/>
        </w:rPr>
        <w:t>reporting.</w:t>
      </w:r>
      <w:r>
        <w:rPr>
          <w:color w:val="231F20"/>
          <w:spacing w:val="-6"/>
          <w:sz w:val="20"/>
        </w:rPr>
        <w:t xml:space="preserve"> </w:t>
      </w:r>
      <w:r>
        <w:rPr>
          <w:color w:val="231F20"/>
          <w:sz w:val="20"/>
        </w:rPr>
        <w:t>The</w:t>
      </w:r>
      <w:r>
        <w:rPr>
          <w:color w:val="231F20"/>
          <w:spacing w:val="-7"/>
          <w:sz w:val="20"/>
        </w:rPr>
        <w:t xml:space="preserve"> </w:t>
      </w:r>
      <w:r>
        <w:rPr>
          <w:color w:val="231F20"/>
          <w:sz w:val="20"/>
        </w:rPr>
        <w:t>data</w:t>
      </w:r>
    </w:p>
    <w:p w14:paraId="293D29A6" w14:textId="77777777" w:rsidR="00894070" w:rsidRDefault="009B7AFD">
      <w:pPr>
        <w:pStyle w:val="BodyText"/>
        <w:spacing w:before="4" w:line="206" w:lineRule="auto"/>
        <w:ind w:left="1801" w:right="1151"/>
        <w:rPr>
          <w:sz w:val="11"/>
        </w:rPr>
      </w:pPr>
      <w:r>
        <w:rPr>
          <w:color w:val="231F20"/>
        </w:rPr>
        <w:t xml:space="preserve">suggests they </w:t>
      </w:r>
      <w:r>
        <w:rPr>
          <w:color w:val="231F20"/>
          <w:spacing w:val="-3"/>
        </w:rPr>
        <w:t xml:space="preserve">are increasingly </w:t>
      </w:r>
      <w:r>
        <w:rPr>
          <w:color w:val="231F20"/>
        </w:rPr>
        <w:t xml:space="preserve">doing this: police made 23 per cent of PSIO applications in 2014–2015, rising to 41 per cent of PSIO applications in </w:t>
      </w:r>
      <w:r>
        <w:rPr>
          <w:color w:val="231F20"/>
          <w:spacing w:val="-3"/>
        </w:rPr>
        <w:t>2019–2020.</w:t>
      </w:r>
      <w:r>
        <w:rPr>
          <w:color w:val="231F20"/>
          <w:spacing w:val="-3"/>
          <w:position w:val="7"/>
          <w:sz w:val="11"/>
        </w:rPr>
        <w:t>66</w:t>
      </w:r>
    </w:p>
    <w:p w14:paraId="2A737BDB" w14:textId="77777777" w:rsidR="00894070" w:rsidRDefault="009B7AFD">
      <w:pPr>
        <w:pStyle w:val="ListParagraph"/>
        <w:numPr>
          <w:ilvl w:val="1"/>
          <w:numId w:val="177"/>
        </w:numPr>
        <w:tabs>
          <w:tab w:val="left" w:pos="1801"/>
          <w:tab w:val="left" w:pos="1802"/>
        </w:tabs>
        <w:spacing w:before="123" w:line="206" w:lineRule="auto"/>
        <w:ind w:right="1194"/>
        <w:rPr>
          <w:sz w:val="11"/>
        </w:rPr>
      </w:pPr>
      <w:r>
        <w:rPr>
          <w:color w:val="231F20"/>
          <w:sz w:val="20"/>
        </w:rPr>
        <w:t xml:space="preserve">If a </w:t>
      </w:r>
      <w:r>
        <w:rPr>
          <w:color w:val="231F20"/>
          <w:spacing w:val="-3"/>
          <w:sz w:val="20"/>
        </w:rPr>
        <w:t xml:space="preserve">family </w:t>
      </w:r>
      <w:r>
        <w:rPr>
          <w:color w:val="231F20"/>
          <w:sz w:val="20"/>
        </w:rPr>
        <w:t xml:space="preserve">member is </w:t>
      </w:r>
      <w:r>
        <w:rPr>
          <w:color w:val="231F20"/>
          <w:spacing w:val="-4"/>
          <w:sz w:val="20"/>
        </w:rPr>
        <w:t xml:space="preserve">involved, </w:t>
      </w:r>
      <w:r>
        <w:rPr>
          <w:color w:val="231F20"/>
          <w:sz w:val="20"/>
        </w:rPr>
        <w:t xml:space="preserve">the person being </w:t>
      </w:r>
      <w:proofErr w:type="gramStart"/>
      <w:r>
        <w:rPr>
          <w:color w:val="231F20"/>
          <w:sz w:val="20"/>
        </w:rPr>
        <w:t>stalked</w:t>
      </w:r>
      <w:proofErr w:type="gramEnd"/>
      <w:r>
        <w:rPr>
          <w:color w:val="231F20"/>
          <w:sz w:val="20"/>
        </w:rPr>
        <w:t xml:space="preserve"> or the police can </w:t>
      </w:r>
      <w:r>
        <w:rPr>
          <w:color w:val="231F20"/>
          <w:spacing w:val="-3"/>
          <w:sz w:val="20"/>
        </w:rPr>
        <w:t xml:space="preserve">apply for </w:t>
      </w:r>
      <w:r>
        <w:rPr>
          <w:color w:val="231F20"/>
          <w:sz w:val="20"/>
        </w:rPr>
        <w:t>a FVIO.</w:t>
      </w:r>
      <w:r>
        <w:rPr>
          <w:color w:val="231F20"/>
          <w:position w:val="7"/>
          <w:sz w:val="11"/>
        </w:rPr>
        <w:t>67</w:t>
      </w:r>
      <w:r>
        <w:rPr>
          <w:color w:val="231F20"/>
          <w:spacing w:val="14"/>
          <w:position w:val="7"/>
          <w:sz w:val="11"/>
        </w:rPr>
        <w:t xml:space="preserve"> </w:t>
      </w:r>
      <w:r>
        <w:rPr>
          <w:color w:val="231F20"/>
          <w:sz w:val="20"/>
        </w:rPr>
        <w:t>The</w:t>
      </w:r>
      <w:r>
        <w:rPr>
          <w:color w:val="231F20"/>
          <w:spacing w:val="-8"/>
          <w:sz w:val="20"/>
        </w:rPr>
        <w:t xml:space="preserve"> </w:t>
      </w:r>
      <w:r>
        <w:rPr>
          <w:color w:val="231F20"/>
          <w:sz w:val="20"/>
        </w:rPr>
        <w:t>police</w:t>
      </w:r>
      <w:r>
        <w:rPr>
          <w:color w:val="231F20"/>
          <w:spacing w:val="-9"/>
          <w:sz w:val="20"/>
        </w:rPr>
        <w:t xml:space="preserve"> </w:t>
      </w:r>
      <w:r>
        <w:rPr>
          <w:color w:val="231F20"/>
          <w:sz w:val="20"/>
        </w:rPr>
        <w:t>can</w:t>
      </w:r>
      <w:r>
        <w:rPr>
          <w:color w:val="231F20"/>
          <w:spacing w:val="-9"/>
          <w:sz w:val="20"/>
        </w:rPr>
        <w:t xml:space="preserve"> </w:t>
      </w:r>
      <w:r>
        <w:rPr>
          <w:color w:val="231F20"/>
          <w:sz w:val="20"/>
        </w:rPr>
        <w:t>also</w:t>
      </w:r>
      <w:r>
        <w:rPr>
          <w:color w:val="231F20"/>
          <w:spacing w:val="-9"/>
          <w:sz w:val="20"/>
        </w:rPr>
        <w:t xml:space="preserve"> </w:t>
      </w:r>
      <w:r>
        <w:rPr>
          <w:color w:val="231F20"/>
          <w:sz w:val="20"/>
        </w:rPr>
        <w:t>issue</w:t>
      </w:r>
      <w:r>
        <w:rPr>
          <w:color w:val="231F20"/>
          <w:spacing w:val="-9"/>
          <w:sz w:val="20"/>
        </w:rPr>
        <w:t xml:space="preserve"> </w:t>
      </w:r>
      <w:r>
        <w:rPr>
          <w:color w:val="231F20"/>
          <w:sz w:val="20"/>
        </w:rPr>
        <w:t>a</w:t>
      </w:r>
      <w:r>
        <w:rPr>
          <w:color w:val="231F20"/>
          <w:spacing w:val="-9"/>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spacing w:val="-9"/>
          <w:sz w:val="20"/>
        </w:rPr>
        <w:t xml:space="preserve"> </w:t>
      </w:r>
      <w:r>
        <w:rPr>
          <w:color w:val="231F20"/>
          <w:sz w:val="20"/>
        </w:rPr>
        <w:t>safety</w:t>
      </w:r>
      <w:r>
        <w:rPr>
          <w:color w:val="231F20"/>
          <w:spacing w:val="-9"/>
          <w:sz w:val="20"/>
        </w:rPr>
        <w:t xml:space="preserve"> </w:t>
      </w:r>
      <w:r>
        <w:rPr>
          <w:color w:val="231F20"/>
          <w:sz w:val="20"/>
        </w:rPr>
        <w:t>notice—a</w:t>
      </w:r>
      <w:r>
        <w:rPr>
          <w:color w:val="231F20"/>
          <w:spacing w:val="-9"/>
          <w:sz w:val="20"/>
        </w:rPr>
        <w:t xml:space="preserve"> </w:t>
      </w:r>
      <w:r>
        <w:rPr>
          <w:color w:val="231F20"/>
          <w:sz w:val="20"/>
        </w:rPr>
        <w:t>temporary</w:t>
      </w:r>
      <w:r>
        <w:rPr>
          <w:color w:val="231F20"/>
          <w:spacing w:val="-9"/>
          <w:sz w:val="20"/>
        </w:rPr>
        <w:t xml:space="preserve"> </w:t>
      </w:r>
      <w:r>
        <w:rPr>
          <w:color w:val="231F20"/>
          <w:sz w:val="20"/>
        </w:rPr>
        <w:t>measure in</w:t>
      </w:r>
      <w:r>
        <w:rPr>
          <w:color w:val="231F20"/>
          <w:spacing w:val="-5"/>
          <w:sz w:val="20"/>
        </w:rPr>
        <w:t xml:space="preserve"> </w:t>
      </w:r>
      <w:r>
        <w:rPr>
          <w:color w:val="231F20"/>
          <w:sz w:val="20"/>
        </w:rPr>
        <w:t>place</w:t>
      </w:r>
      <w:r>
        <w:rPr>
          <w:color w:val="231F20"/>
          <w:spacing w:val="-5"/>
          <w:sz w:val="20"/>
        </w:rPr>
        <w:t xml:space="preserve"> </w:t>
      </w:r>
      <w:r>
        <w:rPr>
          <w:color w:val="231F20"/>
          <w:sz w:val="20"/>
        </w:rPr>
        <w:t>until</w:t>
      </w:r>
      <w:r>
        <w:rPr>
          <w:color w:val="231F20"/>
          <w:spacing w:val="-5"/>
          <w:sz w:val="20"/>
        </w:rPr>
        <w:t xml:space="preserve"> </w:t>
      </w:r>
      <w:r>
        <w:rPr>
          <w:color w:val="231F20"/>
          <w:sz w:val="20"/>
        </w:rPr>
        <w:t>a</w:t>
      </w:r>
      <w:r>
        <w:rPr>
          <w:color w:val="231F20"/>
          <w:spacing w:val="-5"/>
          <w:sz w:val="20"/>
        </w:rPr>
        <w:t xml:space="preserve"> </w:t>
      </w:r>
      <w:r>
        <w:rPr>
          <w:color w:val="231F20"/>
          <w:sz w:val="20"/>
        </w:rPr>
        <w:t>court</w:t>
      </w:r>
      <w:r>
        <w:rPr>
          <w:color w:val="231F20"/>
          <w:spacing w:val="-5"/>
          <w:sz w:val="20"/>
        </w:rPr>
        <w:t xml:space="preserve"> </w:t>
      </w:r>
      <w:r>
        <w:rPr>
          <w:color w:val="231F20"/>
          <w:sz w:val="20"/>
        </w:rPr>
        <w:t>can</w:t>
      </w:r>
      <w:r>
        <w:rPr>
          <w:color w:val="231F20"/>
          <w:spacing w:val="-5"/>
          <w:sz w:val="20"/>
        </w:rPr>
        <w:t xml:space="preserve"> </w:t>
      </w:r>
      <w:r>
        <w:rPr>
          <w:color w:val="231F20"/>
          <w:sz w:val="20"/>
        </w:rPr>
        <w:t>decide</w:t>
      </w:r>
      <w:r>
        <w:rPr>
          <w:color w:val="231F20"/>
          <w:spacing w:val="-5"/>
          <w:sz w:val="20"/>
        </w:rPr>
        <w:t xml:space="preserve"> </w:t>
      </w:r>
      <w:r>
        <w:rPr>
          <w:color w:val="231F20"/>
          <w:sz w:val="20"/>
        </w:rPr>
        <w:t>if</w:t>
      </w:r>
      <w:r>
        <w:rPr>
          <w:color w:val="231F20"/>
          <w:spacing w:val="-5"/>
          <w:sz w:val="20"/>
        </w:rPr>
        <w:t xml:space="preserve"> </w:t>
      </w:r>
      <w:r>
        <w:rPr>
          <w:color w:val="231F20"/>
          <w:sz w:val="20"/>
        </w:rPr>
        <w:t>it</w:t>
      </w:r>
      <w:r>
        <w:rPr>
          <w:color w:val="231F20"/>
          <w:spacing w:val="-5"/>
          <w:sz w:val="20"/>
        </w:rPr>
        <w:t xml:space="preserve"> </w:t>
      </w:r>
      <w:r>
        <w:rPr>
          <w:color w:val="231F20"/>
          <w:sz w:val="20"/>
        </w:rPr>
        <w:t>will</w:t>
      </w:r>
      <w:r>
        <w:rPr>
          <w:color w:val="231F20"/>
          <w:spacing w:val="-5"/>
          <w:sz w:val="20"/>
        </w:rPr>
        <w:t xml:space="preserve"> </w:t>
      </w:r>
      <w:r>
        <w:rPr>
          <w:color w:val="231F20"/>
          <w:sz w:val="20"/>
        </w:rPr>
        <w:t>issue</w:t>
      </w:r>
      <w:r>
        <w:rPr>
          <w:color w:val="231F20"/>
          <w:spacing w:val="-5"/>
          <w:sz w:val="20"/>
        </w:rPr>
        <w:t xml:space="preserve"> </w:t>
      </w:r>
      <w:r>
        <w:rPr>
          <w:color w:val="231F20"/>
          <w:sz w:val="20"/>
        </w:rPr>
        <w:t>an</w:t>
      </w:r>
      <w:r>
        <w:rPr>
          <w:color w:val="231F20"/>
          <w:spacing w:val="-5"/>
          <w:sz w:val="20"/>
        </w:rPr>
        <w:t xml:space="preserve"> </w:t>
      </w:r>
      <w:r>
        <w:rPr>
          <w:color w:val="231F20"/>
          <w:spacing w:val="-3"/>
          <w:sz w:val="20"/>
        </w:rPr>
        <w:t>interim</w:t>
      </w:r>
      <w:r>
        <w:rPr>
          <w:color w:val="231F20"/>
          <w:spacing w:val="-4"/>
          <w:sz w:val="20"/>
        </w:rPr>
        <w:t xml:space="preserve"> </w:t>
      </w:r>
      <w:r>
        <w:rPr>
          <w:color w:val="231F20"/>
          <w:sz w:val="20"/>
        </w:rPr>
        <w:t>or</w:t>
      </w:r>
      <w:r>
        <w:rPr>
          <w:color w:val="231F20"/>
          <w:spacing w:val="-5"/>
          <w:sz w:val="20"/>
        </w:rPr>
        <w:t xml:space="preserve"> </w:t>
      </w:r>
      <w:r>
        <w:rPr>
          <w:color w:val="231F20"/>
          <w:sz w:val="20"/>
        </w:rPr>
        <w:t>final</w:t>
      </w:r>
      <w:r>
        <w:rPr>
          <w:color w:val="231F20"/>
          <w:spacing w:val="-5"/>
          <w:sz w:val="20"/>
        </w:rPr>
        <w:t xml:space="preserve"> </w:t>
      </w:r>
      <w:r>
        <w:rPr>
          <w:color w:val="231F20"/>
          <w:sz w:val="20"/>
        </w:rPr>
        <w:t>FVIO.</w:t>
      </w:r>
      <w:r>
        <w:rPr>
          <w:color w:val="231F20"/>
          <w:position w:val="7"/>
          <w:sz w:val="11"/>
        </w:rPr>
        <w:t>68</w:t>
      </w:r>
    </w:p>
    <w:p w14:paraId="2B633D07" w14:textId="77777777" w:rsidR="00894070" w:rsidRDefault="009B7AFD">
      <w:pPr>
        <w:pStyle w:val="ListParagraph"/>
        <w:numPr>
          <w:ilvl w:val="1"/>
          <w:numId w:val="177"/>
        </w:numPr>
        <w:tabs>
          <w:tab w:val="left" w:pos="1801"/>
          <w:tab w:val="left" w:pos="1802"/>
        </w:tabs>
        <w:spacing w:before="91" w:line="259" w:lineRule="exact"/>
        <w:rPr>
          <w:sz w:val="20"/>
        </w:rPr>
      </w:pPr>
      <w:r>
        <w:rPr>
          <w:color w:val="231F20"/>
          <w:spacing w:val="-6"/>
          <w:sz w:val="20"/>
        </w:rPr>
        <w:t xml:space="preserve">Table </w:t>
      </w:r>
      <w:r>
        <w:rPr>
          <w:color w:val="231F20"/>
          <w:sz w:val="20"/>
        </w:rPr>
        <w:t xml:space="preserve">3 </w:t>
      </w:r>
      <w:r>
        <w:rPr>
          <w:color w:val="231F20"/>
          <w:spacing w:val="-3"/>
          <w:sz w:val="20"/>
        </w:rPr>
        <w:t xml:space="preserve">shows </w:t>
      </w:r>
      <w:r>
        <w:rPr>
          <w:color w:val="231F20"/>
          <w:sz w:val="20"/>
        </w:rPr>
        <w:t>trends in PSIOs</w:t>
      </w:r>
      <w:r>
        <w:rPr>
          <w:color w:val="231F20"/>
          <w:position w:val="7"/>
          <w:sz w:val="11"/>
        </w:rPr>
        <w:t xml:space="preserve">69 </w:t>
      </w:r>
      <w:r>
        <w:rPr>
          <w:color w:val="231F20"/>
          <w:sz w:val="20"/>
        </w:rPr>
        <w:t xml:space="preserve">and FVIOs </w:t>
      </w:r>
      <w:r>
        <w:rPr>
          <w:color w:val="231F20"/>
          <w:spacing w:val="-3"/>
          <w:sz w:val="20"/>
        </w:rPr>
        <w:t xml:space="preserve">from 2011 </w:t>
      </w:r>
      <w:r>
        <w:rPr>
          <w:color w:val="231F20"/>
          <w:sz w:val="20"/>
        </w:rPr>
        <w:t xml:space="preserve">to </w:t>
      </w:r>
      <w:r>
        <w:rPr>
          <w:color w:val="231F20"/>
          <w:spacing w:val="-4"/>
          <w:sz w:val="20"/>
        </w:rPr>
        <w:t xml:space="preserve">2020, </w:t>
      </w:r>
      <w:r>
        <w:rPr>
          <w:color w:val="231F20"/>
          <w:sz w:val="20"/>
        </w:rPr>
        <w:t xml:space="preserve">and in </w:t>
      </w:r>
      <w:r>
        <w:rPr>
          <w:color w:val="231F20"/>
          <w:spacing w:val="-3"/>
          <w:sz w:val="20"/>
        </w:rPr>
        <w:t>family</w:t>
      </w:r>
      <w:r>
        <w:rPr>
          <w:color w:val="231F20"/>
          <w:spacing w:val="-20"/>
          <w:sz w:val="20"/>
        </w:rPr>
        <w:t xml:space="preserve"> </w:t>
      </w:r>
      <w:r>
        <w:rPr>
          <w:color w:val="231F20"/>
          <w:sz w:val="20"/>
        </w:rPr>
        <w:t>violence</w:t>
      </w:r>
    </w:p>
    <w:p w14:paraId="1928FF6D" w14:textId="77777777" w:rsidR="00894070" w:rsidRDefault="009B7AFD">
      <w:pPr>
        <w:pStyle w:val="BodyText"/>
        <w:spacing w:line="259" w:lineRule="exact"/>
        <w:ind w:left="1801"/>
        <w:rPr>
          <w:sz w:val="11"/>
        </w:rPr>
      </w:pPr>
      <w:r>
        <w:rPr>
          <w:color w:val="231F20"/>
        </w:rPr>
        <w:t>safety notices from 2012 to 2020, when they were introduced.</w:t>
      </w:r>
      <w:r>
        <w:rPr>
          <w:color w:val="231F20"/>
          <w:position w:val="7"/>
          <w:sz w:val="11"/>
        </w:rPr>
        <w:t>70</w:t>
      </w:r>
    </w:p>
    <w:p w14:paraId="54DBAFD2" w14:textId="77777777" w:rsidR="00894070" w:rsidRDefault="009B7AFD">
      <w:pPr>
        <w:spacing w:before="114" w:line="218" w:lineRule="auto"/>
        <w:ind w:left="1801" w:right="1459"/>
        <w:rPr>
          <w:b/>
          <w:sz w:val="19"/>
        </w:rPr>
      </w:pPr>
      <w:r>
        <w:rPr>
          <w:b/>
          <w:color w:val="231F20"/>
          <w:sz w:val="19"/>
        </w:rPr>
        <w:t>Table 3: Personal safety intervention orders (PSIOs) (2011–2020) and family violence intervention orders (FVIOs) (2011–2020) in Victoria</w:t>
      </w:r>
    </w:p>
    <w:p w14:paraId="0AF4E01D" w14:textId="77777777" w:rsidR="00894070" w:rsidRDefault="00894070">
      <w:pPr>
        <w:pStyle w:val="BodyText"/>
        <w:spacing w:before="6" w:after="1"/>
        <w:rPr>
          <w:b/>
          <w:sz w:val="11"/>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119"/>
        <w:gridCol w:w="2891"/>
        <w:gridCol w:w="2891"/>
      </w:tblGrid>
      <w:tr w:rsidR="00894070" w14:paraId="2B0107BC" w14:textId="77777777">
        <w:trPr>
          <w:trHeight w:val="518"/>
        </w:trPr>
        <w:tc>
          <w:tcPr>
            <w:tcW w:w="2119" w:type="dxa"/>
            <w:vMerge w:val="restart"/>
            <w:shd w:val="clear" w:color="auto" w:fill="F4BCAE"/>
          </w:tcPr>
          <w:p w14:paraId="6F465D53" w14:textId="77777777" w:rsidR="00894070" w:rsidRDefault="009B7AFD">
            <w:pPr>
              <w:pStyle w:val="TableParagraph"/>
              <w:spacing w:before="154" w:line="206" w:lineRule="auto"/>
              <w:ind w:right="274"/>
              <w:rPr>
                <w:b/>
                <w:sz w:val="20"/>
              </w:rPr>
            </w:pPr>
            <w:r>
              <w:rPr>
                <w:b/>
                <w:color w:val="231F20"/>
                <w:sz w:val="20"/>
              </w:rPr>
              <w:t>Number of orders made</w:t>
            </w:r>
          </w:p>
        </w:tc>
        <w:tc>
          <w:tcPr>
            <w:tcW w:w="2891" w:type="dxa"/>
            <w:shd w:val="clear" w:color="auto" w:fill="F4BCAE"/>
          </w:tcPr>
          <w:p w14:paraId="79771A1B" w14:textId="77777777" w:rsidR="00894070" w:rsidRDefault="009B7AFD">
            <w:pPr>
              <w:pStyle w:val="TableParagraph"/>
              <w:spacing w:before="122"/>
              <w:rPr>
                <w:b/>
                <w:sz w:val="20"/>
              </w:rPr>
            </w:pPr>
            <w:r>
              <w:rPr>
                <w:b/>
                <w:color w:val="231F20"/>
                <w:sz w:val="20"/>
              </w:rPr>
              <w:t>PSIO</w:t>
            </w:r>
          </w:p>
        </w:tc>
        <w:tc>
          <w:tcPr>
            <w:tcW w:w="2891" w:type="dxa"/>
            <w:shd w:val="clear" w:color="auto" w:fill="F4BCAE"/>
          </w:tcPr>
          <w:p w14:paraId="69317FCF" w14:textId="77777777" w:rsidR="00894070" w:rsidRDefault="009B7AFD">
            <w:pPr>
              <w:pStyle w:val="TableParagraph"/>
              <w:spacing w:before="122"/>
              <w:rPr>
                <w:b/>
                <w:sz w:val="20"/>
              </w:rPr>
            </w:pPr>
            <w:r>
              <w:rPr>
                <w:b/>
                <w:color w:val="231F20"/>
                <w:sz w:val="20"/>
              </w:rPr>
              <w:t>FVIO</w:t>
            </w:r>
          </w:p>
        </w:tc>
      </w:tr>
      <w:tr w:rsidR="00894070" w14:paraId="742B0B8D" w14:textId="77777777">
        <w:trPr>
          <w:trHeight w:val="3764"/>
        </w:trPr>
        <w:tc>
          <w:tcPr>
            <w:tcW w:w="2119" w:type="dxa"/>
            <w:vMerge/>
            <w:tcBorders>
              <w:top w:val="nil"/>
            </w:tcBorders>
            <w:shd w:val="clear" w:color="auto" w:fill="F4BCAE"/>
          </w:tcPr>
          <w:p w14:paraId="61928179" w14:textId="77777777" w:rsidR="00894070" w:rsidRDefault="00894070">
            <w:pPr>
              <w:rPr>
                <w:sz w:val="2"/>
                <w:szCs w:val="2"/>
              </w:rPr>
            </w:pPr>
          </w:p>
        </w:tc>
        <w:tc>
          <w:tcPr>
            <w:tcW w:w="2891" w:type="dxa"/>
          </w:tcPr>
          <w:p w14:paraId="4C7DF86A" w14:textId="77777777" w:rsidR="00894070" w:rsidRDefault="009B7AFD">
            <w:pPr>
              <w:pStyle w:val="TableParagraph"/>
              <w:spacing w:before="65" w:line="259" w:lineRule="exact"/>
              <w:rPr>
                <w:sz w:val="20"/>
              </w:rPr>
            </w:pPr>
            <w:r>
              <w:rPr>
                <w:color w:val="231F20"/>
                <w:sz w:val="20"/>
              </w:rPr>
              <w:t>105,581 applications: around</w:t>
            </w:r>
          </w:p>
          <w:p w14:paraId="17AFE535" w14:textId="77777777" w:rsidR="00894070" w:rsidRDefault="009B7AFD">
            <w:pPr>
              <w:pStyle w:val="TableParagraph"/>
              <w:spacing w:line="259" w:lineRule="exact"/>
              <w:rPr>
                <w:sz w:val="11"/>
              </w:rPr>
            </w:pPr>
            <w:r>
              <w:rPr>
                <w:color w:val="231F20"/>
                <w:sz w:val="20"/>
              </w:rPr>
              <w:t xml:space="preserve">11,316 each </w:t>
            </w:r>
            <w:r>
              <w:rPr>
                <w:color w:val="231F20"/>
                <w:spacing w:val="-4"/>
                <w:sz w:val="20"/>
              </w:rPr>
              <w:t>year.</w:t>
            </w:r>
            <w:r>
              <w:rPr>
                <w:color w:val="231F20"/>
                <w:spacing w:val="-4"/>
                <w:position w:val="7"/>
                <w:sz w:val="11"/>
              </w:rPr>
              <w:t>71</w:t>
            </w:r>
          </w:p>
          <w:p w14:paraId="51F8EEE8" w14:textId="77777777" w:rsidR="00894070" w:rsidRDefault="009B7AFD">
            <w:pPr>
              <w:pStyle w:val="TableParagraph"/>
              <w:spacing w:before="115" w:line="206" w:lineRule="auto"/>
              <w:ind w:right="482"/>
              <w:rPr>
                <w:sz w:val="11"/>
              </w:rPr>
            </w:pPr>
            <w:r>
              <w:rPr>
                <w:color w:val="231F20"/>
                <w:sz w:val="20"/>
              </w:rPr>
              <w:t>92% of applications</w:t>
            </w:r>
            <w:r>
              <w:rPr>
                <w:color w:val="231F20"/>
                <w:spacing w:val="-14"/>
                <w:sz w:val="20"/>
              </w:rPr>
              <w:t xml:space="preserve"> </w:t>
            </w:r>
            <w:r>
              <w:rPr>
                <w:color w:val="231F20"/>
                <w:spacing w:val="-3"/>
                <w:sz w:val="20"/>
              </w:rPr>
              <w:t xml:space="preserve">were </w:t>
            </w:r>
            <w:r>
              <w:rPr>
                <w:color w:val="231F20"/>
                <w:sz w:val="20"/>
              </w:rPr>
              <w:t>heard in the Magistrates’ Court and 8% in the Children’s</w:t>
            </w:r>
            <w:r>
              <w:rPr>
                <w:color w:val="231F20"/>
                <w:spacing w:val="-3"/>
                <w:sz w:val="20"/>
              </w:rPr>
              <w:t xml:space="preserve"> </w:t>
            </w:r>
            <w:r>
              <w:rPr>
                <w:color w:val="231F20"/>
                <w:sz w:val="20"/>
              </w:rPr>
              <w:t>Court.</w:t>
            </w:r>
            <w:r>
              <w:rPr>
                <w:color w:val="231F20"/>
                <w:position w:val="7"/>
                <w:sz w:val="11"/>
              </w:rPr>
              <w:t>72</w:t>
            </w:r>
          </w:p>
          <w:p w14:paraId="55F20D27" w14:textId="77777777" w:rsidR="00894070" w:rsidRDefault="009B7AFD">
            <w:pPr>
              <w:pStyle w:val="TableParagraph"/>
              <w:spacing w:before="125" w:line="206" w:lineRule="auto"/>
              <w:ind w:right="80"/>
              <w:rPr>
                <w:sz w:val="11"/>
              </w:rPr>
            </w:pPr>
            <w:r>
              <w:rPr>
                <w:color w:val="231F20"/>
                <w:sz w:val="20"/>
              </w:rPr>
              <w:t>Nearly 70,000 interim PSIOs (around 7,470 each year) and close to 60,000 final PSIOs (around 6,200 each year) were issued.</w:t>
            </w:r>
            <w:r>
              <w:rPr>
                <w:color w:val="231F20"/>
                <w:position w:val="7"/>
                <w:sz w:val="11"/>
              </w:rPr>
              <w:t>73</w:t>
            </w:r>
          </w:p>
        </w:tc>
        <w:tc>
          <w:tcPr>
            <w:tcW w:w="2891" w:type="dxa"/>
          </w:tcPr>
          <w:p w14:paraId="41EF66F6" w14:textId="77777777" w:rsidR="00894070" w:rsidRDefault="009B7AFD">
            <w:pPr>
              <w:pStyle w:val="TableParagraph"/>
              <w:spacing w:before="65" w:line="259" w:lineRule="exact"/>
              <w:rPr>
                <w:sz w:val="20"/>
              </w:rPr>
            </w:pPr>
            <w:r>
              <w:rPr>
                <w:color w:val="231F20"/>
                <w:sz w:val="20"/>
              </w:rPr>
              <w:t>373,122 applications: around</w:t>
            </w:r>
          </w:p>
          <w:p w14:paraId="184DC462" w14:textId="77777777" w:rsidR="00894070" w:rsidRDefault="009B7AFD">
            <w:pPr>
              <w:pStyle w:val="TableParagraph"/>
              <w:spacing w:line="259" w:lineRule="exact"/>
              <w:rPr>
                <w:sz w:val="11"/>
              </w:rPr>
            </w:pPr>
            <w:r>
              <w:rPr>
                <w:color w:val="231F20"/>
                <w:sz w:val="20"/>
              </w:rPr>
              <w:t>37,000 each year.</w:t>
            </w:r>
            <w:r>
              <w:rPr>
                <w:color w:val="231F20"/>
                <w:position w:val="7"/>
                <w:sz w:val="11"/>
              </w:rPr>
              <w:t>74</w:t>
            </w:r>
          </w:p>
          <w:p w14:paraId="7A73B558" w14:textId="77777777" w:rsidR="00894070" w:rsidRDefault="009B7AFD">
            <w:pPr>
              <w:pStyle w:val="TableParagraph"/>
              <w:spacing w:before="115" w:line="206" w:lineRule="auto"/>
              <w:ind w:right="80"/>
              <w:rPr>
                <w:sz w:val="11"/>
              </w:rPr>
            </w:pPr>
            <w:r>
              <w:rPr>
                <w:color w:val="231F20"/>
                <w:sz w:val="20"/>
              </w:rPr>
              <w:t>90% of applications were heard in the Magistrates’ Court and 10% in the Children’s Court.</w:t>
            </w:r>
            <w:r>
              <w:rPr>
                <w:color w:val="231F20"/>
                <w:position w:val="7"/>
                <w:sz w:val="11"/>
              </w:rPr>
              <w:t>75</w:t>
            </w:r>
          </w:p>
          <w:p w14:paraId="4400F7B1" w14:textId="77777777" w:rsidR="00894070" w:rsidRDefault="009B7AFD">
            <w:pPr>
              <w:pStyle w:val="TableParagraph"/>
              <w:spacing w:before="125" w:line="206" w:lineRule="auto"/>
              <w:ind w:right="121"/>
              <w:rPr>
                <w:sz w:val="11"/>
              </w:rPr>
            </w:pPr>
            <w:r>
              <w:rPr>
                <w:color w:val="231F20"/>
                <w:sz w:val="20"/>
              </w:rPr>
              <w:t>243,121 interim FVIOs (around 24,312 each year) and 294,591 final FVIOs (around 29,459 each year) were issued.</w:t>
            </w:r>
            <w:r>
              <w:rPr>
                <w:color w:val="231F20"/>
                <w:position w:val="7"/>
                <w:sz w:val="11"/>
              </w:rPr>
              <w:t xml:space="preserve">76 </w:t>
            </w:r>
            <w:r>
              <w:rPr>
                <w:color w:val="231F20"/>
                <w:sz w:val="20"/>
              </w:rPr>
              <w:t>93,510 family violence safety notices were issued (around 10,390 each year).</w:t>
            </w:r>
            <w:r>
              <w:rPr>
                <w:color w:val="231F20"/>
                <w:position w:val="7"/>
                <w:sz w:val="11"/>
              </w:rPr>
              <w:t>77</w:t>
            </w:r>
          </w:p>
        </w:tc>
      </w:tr>
    </w:tbl>
    <w:p w14:paraId="326720A7" w14:textId="77777777" w:rsidR="00894070" w:rsidRDefault="00894070">
      <w:pPr>
        <w:pStyle w:val="BodyText"/>
        <w:rPr>
          <w:b/>
        </w:rPr>
      </w:pPr>
    </w:p>
    <w:p w14:paraId="395C6708" w14:textId="77777777" w:rsidR="00894070" w:rsidRDefault="009F6793">
      <w:pPr>
        <w:pStyle w:val="BodyText"/>
        <w:spacing w:before="7"/>
        <w:rPr>
          <w:b/>
          <w:sz w:val="21"/>
        </w:rPr>
      </w:pPr>
      <w:r>
        <w:pict w14:anchorId="02D73AA0">
          <v:line id="_x0000_s1660" style="position:absolute;z-index:251442176;mso-wrap-distance-left:0;mso-wrap-distance-right:0;mso-position-horizontal-relative:page" from="79.35pt,17.4pt" to="515.9pt,17.4pt" strokecolor="#f8cabc" strokeweight="1pt">
            <w10:wrap type="topAndBottom" anchorx="page"/>
          </v:line>
        </w:pict>
      </w:r>
    </w:p>
    <w:p w14:paraId="28E978DF" w14:textId="77777777" w:rsidR="00894070" w:rsidRDefault="009B7AFD">
      <w:pPr>
        <w:pStyle w:val="ListParagraph"/>
        <w:numPr>
          <w:ilvl w:val="0"/>
          <w:numId w:val="171"/>
        </w:numPr>
        <w:tabs>
          <w:tab w:val="left" w:pos="1800"/>
          <w:tab w:val="left" w:pos="1802"/>
        </w:tabs>
        <w:spacing w:before="107" w:line="213" w:lineRule="auto"/>
        <w:ind w:right="1193"/>
        <w:rPr>
          <w:sz w:val="13"/>
        </w:rPr>
      </w:pPr>
      <w:r>
        <w:rPr>
          <w:color w:val="231F20"/>
          <w:sz w:val="13"/>
        </w:rPr>
        <w:t xml:space="preserve">Advocacy and peak </w:t>
      </w:r>
      <w:r>
        <w:rPr>
          <w:color w:val="231F20"/>
          <w:spacing w:val="2"/>
          <w:sz w:val="13"/>
        </w:rPr>
        <w:t xml:space="preserve">bodies </w:t>
      </w:r>
      <w:r>
        <w:rPr>
          <w:color w:val="231F20"/>
          <w:sz w:val="13"/>
        </w:rPr>
        <w:t xml:space="preserve">for young people told us, ‘The </w:t>
      </w:r>
      <w:r>
        <w:rPr>
          <w:color w:val="231F20"/>
          <w:spacing w:val="2"/>
          <w:sz w:val="13"/>
        </w:rPr>
        <w:t xml:space="preserve">general </w:t>
      </w:r>
      <w:r>
        <w:rPr>
          <w:color w:val="231F20"/>
          <w:sz w:val="13"/>
        </w:rPr>
        <w:t xml:space="preserve">feedback [from young people] is that when they go to </w:t>
      </w:r>
      <w:proofErr w:type="gramStart"/>
      <w:r>
        <w:rPr>
          <w:color w:val="231F20"/>
          <w:sz w:val="13"/>
        </w:rPr>
        <w:t>the  police</w:t>
      </w:r>
      <w:proofErr w:type="gramEnd"/>
      <w:r>
        <w:rPr>
          <w:color w:val="231F20"/>
          <w:sz w:val="13"/>
        </w:rPr>
        <w:t xml:space="preserve">, they are told an intervention order is the only option at this stage and that it is in their own hands: Consultation 17 (Small group meeting on </w:t>
      </w:r>
      <w:r>
        <w:rPr>
          <w:color w:val="231F20"/>
          <w:spacing w:val="2"/>
          <w:sz w:val="13"/>
        </w:rPr>
        <w:t xml:space="preserve">stalking </w:t>
      </w:r>
      <w:r>
        <w:rPr>
          <w:color w:val="231F20"/>
          <w:sz w:val="13"/>
        </w:rPr>
        <w:t xml:space="preserve">and young people). Victoria Police noted that ‘Course of conduct offending is </w:t>
      </w:r>
      <w:r>
        <w:rPr>
          <w:color w:val="231F20"/>
          <w:spacing w:val="2"/>
          <w:sz w:val="13"/>
        </w:rPr>
        <w:t xml:space="preserve">particularly </w:t>
      </w:r>
      <w:r>
        <w:rPr>
          <w:color w:val="231F20"/>
          <w:sz w:val="13"/>
        </w:rPr>
        <w:t>problematic for</w:t>
      </w:r>
      <w:r>
        <w:rPr>
          <w:color w:val="231F20"/>
          <w:spacing w:val="3"/>
          <w:sz w:val="13"/>
        </w:rPr>
        <w:t xml:space="preserve"> </w:t>
      </w:r>
      <w:r>
        <w:rPr>
          <w:color w:val="231F20"/>
          <w:sz w:val="13"/>
        </w:rPr>
        <w:t>police.</w:t>
      </w:r>
      <w:r>
        <w:rPr>
          <w:color w:val="231F20"/>
          <w:spacing w:val="4"/>
          <w:sz w:val="13"/>
        </w:rPr>
        <w:t xml:space="preserve"> </w:t>
      </w:r>
      <w:r>
        <w:rPr>
          <w:color w:val="231F20"/>
          <w:sz w:val="13"/>
        </w:rPr>
        <w:t>This</w:t>
      </w:r>
      <w:r>
        <w:rPr>
          <w:color w:val="231F20"/>
          <w:spacing w:val="4"/>
          <w:sz w:val="13"/>
        </w:rPr>
        <w:t xml:space="preserve"> </w:t>
      </w:r>
      <w:r>
        <w:rPr>
          <w:color w:val="231F20"/>
          <w:sz w:val="13"/>
        </w:rPr>
        <w:t>could</w:t>
      </w:r>
      <w:r>
        <w:rPr>
          <w:color w:val="231F20"/>
          <w:spacing w:val="3"/>
          <w:sz w:val="13"/>
        </w:rPr>
        <w:t xml:space="preserve"> </w:t>
      </w:r>
      <w:r>
        <w:rPr>
          <w:color w:val="231F20"/>
          <w:sz w:val="13"/>
        </w:rPr>
        <w:t>be</w:t>
      </w:r>
      <w:r>
        <w:rPr>
          <w:color w:val="231F20"/>
          <w:spacing w:val="4"/>
          <w:sz w:val="13"/>
        </w:rPr>
        <w:t xml:space="preserve"> </w:t>
      </w:r>
      <w:r>
        <w:rPr>
          <w:color w:val="231F20"/>
          <w:spacing w:val="2"/>
          <w:sz w:val="13"/>
        </w:rPr>
        <w:t>because</w:t>
      </w:r>
      <w:r>
        <w:rPr>
          <w:color w:val="231F20"/>
          <w:spacing w:val="4"/>
          <w:sz w:val="13"/>
        </w:rPr>
        <w:t xml:space="preserve"> </w:t>
      </w:r>
      <w:r>
        <w:rPr>
          <w:color w:val="231F20"/>
          <w:sz w:val="13"/>
        </w:rPr>
        <w:t>it</w:t>
      </w:r>
      <w:r>
        <w:rPr>
          <w:color w:val="231F20"/>
          <w:spacing w:val="3"/>
          <w:sz w:val="13"/>
        </w:rPr>
        <w:t xml:space="preserve"> </w:t>
      </w:r>
      <w:r>
        <w:rPr>
          <w:color w:val="231F20"/>
          <w:sz w:val="13"/>
        </w:rPr>
        <w:t>requires</w:t>
      </w:r>
      <w:r>
        <w:rPr>
          <w:color w:val="231F20"/>
          <w:spacing w:val="4"/>
          <w:sz w:val="13"/>
        </w:rPr>
        <w:t xml:space="preserve"> </w:t>
      </w:r>
      <w:r>
        <w:rPr>
          <w:color w:val="231F20"/>
          <w:sz w:val="13"/>
        </w:rPr>
        <w:t>a</w:t>
      </w:r>
      <w:r>
        <w:rPr>
          <w:color w:val="231F20"/>
          <w:spacing w:val="4"/>
          <w:sz w:val="13"/>
        </w:rPr>
        <w:t xml:space="preserve"> </w:t>
      </w:r>
      <w:r>
        <w:rPr>
          <w:color w:val="231F20"/>
          <w:sz w:val="13"/>
        </w:rPr>
        <w:t>more</w:t>
      </w:r>
      <w:r>
        <w:rPr>
          <w:color w:val="231F20"/>
          <w:spacing w:val="3"/>
          <w:sz w:val="13"/>
        </w:rPr>
        <w:t xml:space="preserve"> </w:t>
      </w:r>
      <w:r>
        <w:rPr>
          <w:color w:val="231F20"/>
          <w:sz w:val="13"/>
        </w:rPr>
        <w:t>sophisticated</w:t>
      </w:r>
      <w:r>
        <w:rPr>
          <w:color w:val="231F20"/>
          <w:spacing w:val="4"/>
          <w:sz w:val="13"/>
        </w:rPr>
        <w:t xml:space="preserve"> </w:t>
      </w:r>
      <w:r>
        <w:rPr>
          <w:color w:val="231F20"/>
          <w:spacing w:val="2"/>
          <w:sz w:val="13"/>
        </w:rPr>
        <w:t>understanding</w:t>
      </w:r>
      <w:r>
        <w:rPr>
          <w:color w:val="231F20"/>
          <w:spacing w:val="4"/>
          <w:sz w:val="13"/>
        </w:rPr>
        <w:t xml:space="preserve"> </w:t>
      </w:r>
      <w:r>
        <w:rPr>
          <w:color w:val="231F20"/>
          <w:sz w:val="13"/>
        </w:rPr>
        <w:t>of</w:t>
      </w:r>
      <w:r>
        <w:rPr>
          <w:color w:val="231F20"/>
          <w:spacing w:val="4"/>
          <w:sz w:val="13"/>
        </w:rPr>
        <w:t xml:space="preserve"> </w:t>
      </w:r>
      <w:r>
        <w:rPr>
          <w:color w:val="231F20"/>
          <w:sz w:val="13"/>
        </w:rPr>
        <w:t>the</w:t>
      </w:r>
      <w:r>
        <w:rPr>
          <w:color w:val="231F20"/>
          <w:spacing w:val="3"/>
          <w:sz w:val="13"/>
        </w:rPr>
        <w:t xml:space="preserve"> </w:t>
      </w:r>
      <w:r>
        <w:rPr>
          <w:color w:val="231F20"/>
          <w:sz w:val="13"/>
        </w:rPr>
        <w:t>offence</w:t>
      </w:r>
      <w:r>
        <w:rPr>
          <w:color w:val="231F20"/>
          <w:spacing w:val="4"/>
          <w:sz w:val="13"/>
        </w:rPr>
        <w:t xml:space="preserve"> </w:t>
      </w:r>
      <w:r>
        <w:rPr>
          <w:color w:val="231F20"/>
          <w:sz w:val="13"/>
        </w:rPr>
        <w:t>and</w:t>
      </w:r>
      <w:r>
        <w:rPr>
          <w:color w:val="231F20"/>
          <w:spacing w:val="4"/>
          <w:sz w:val="13"/>
        </w:rPr>
        <w:t xml:space="preserve"> </w:t>
      </w:r>
      <w:r>
        <w:rPr>
          <w:color w:val="231F20"/>
          <w:sz w:val="13"/>
        </w:rPr>
        <w:t>the</w:t>
      </w:r>
      <w:r>
        <w:rPr>
          <w:color w:val="231F20"/>
          <w:spacing w:val="3"/>
          <w:sz w:val="13"/>
        </w:rPr>
        <w:t xml:space="preserve"> </w:t>
      </w:r>
      <w:r>
        <w:rPr>
          <w:color w:val="231F20"/>
          <w:sz w:val="13"/>
        </w:rPr>
        <w:t>time</w:t>
      </w:r>
      <w:r>
        <w:rPr>
          <w:color w:val="231F20"/>
          <w:spacing w:val="4"/>
          <w:sz w:val="13"/>
        </w:rPr>
        <w:t xml:space="preserve"> </w:t>
      </w:r>
      <w:r>
        <w:rPr>
          <w:color w:val="231F20"/>
          <w:sz w:val="13"/>
        </w:rPr>
        <w:t>involved.</w:t>
      </w:r>
      <w:r>
        <w:rPr>
          <w:color w:val="231F20"/>
          <w:spacing w:val="4"/>
          <w:sz w:val="13"/>
        </w:rPr>
        <w:t xml:space="preserve"> </w:t>
      </w:r>
      <w:r>
        <w:rPr>
          <w:color w:val="231F20"/>
          <w:sz w:val="13"/>
        </w:rPr>
        <w:t>It</w:t>
      </w:r>
      <w:r>
        <w:rPr>
          <w:color w:val="231F20"/>
          <w:spacing w:val="3"/>
          <w:sz w:val="13"/>
        </w:rPr>
        <w:t xml:space="preserve"> </w:t>
      </w:r>
      <w:r>
        <w:rPr>
          <w:color w:val="231F20"/>
          <w:sz w:val="13"/>
        </w:rPr>
        <w:t>can</w:t>
      </w:r>
    </w:p>
    <w:p w14:paraId="1FCECA1F" w14:textId="77777777" w:rsidR="00894070" w:rsidRDefault="009B7AFD">
      <w:pPr>
        <w:spacing w:line="213" w:lineRule="auto"/>
        <w:ind w:left="1801" w:right="1381"/>
        <w:rPr>
          <w:sz w:val="13"/>
        </w:rPr>
      </w:pPr>
      <w:r>
        <w:rPr>
          <w:color w:val="231F20"/>
          <w:sz w:val="13"/>
        </w:rPr>
        <w:t xml:space="preserve">be more straightforward to advise a person to obtain an intervention order and then charge for a breach of intervention order      if the </w:t>
      </w:r>
      <w:proofErr w:type="spellStart"/>
      <w:r>
        <w:rPr>
          <w:color w:val="231F20"/>
          <w:sz w:val="13"/>
        </w:rPr>
        <w:t>behaviour</w:t>
      </w:r>
      <w:proofErr w:type="spellEnd"/>
      <w:r>
        <w:rPr>
          <w:color w:val="231F20"/>
          <w:sz w:val="13"/>
        </w:rPr>
        <w:t xml:space="preserve"> continues’: Consultation 3 (Victoria Police (No 1)). The Centre for Forensic </w:t>
      </w:r>
      <w:proofErr w:type="spellStart"/>
      <w:r>
        <w:rPr>
          <w:color w:val="231F20"/>
          <w:sz w:val="13"/>
        </w:rPr>
        <w:t>Behavioural</w:t>
      </w:r>
      <w:proofErr w:type="spellEnd"/>
      <w:r>
        <w:rPr>
          <w:color w:val="231F20"/>
          <w:sz w:val="13"/>
        </w:rPr>
        <w:t xml:space="preserve"> </w:t>
      </w:r>
      <w:r>
        <w:rPr>
          <w:color w:val="231F20"/>
          <w:spacing w:val="2"/>
          <w:sz w:val="13"/>
        </w:rPr>
        <w:t xml:space="preserve">Science </w:t>
      </w:r>
      <w:r>
        <w:rPr>
          <w:color w:val="231F20"/>
          <w:sz w:val="13"/>
        </w:rPr>
        <w:t xml:space="preserve">told us that ‘it       is our experience that </w:t>
      </w:r>
      <w:r>
        <w:rPr>
          <w:color w:val="231F20"/>
          <w:spacing w:val="2"/>
          <w:sz w:val="13"/>
        </w:rPr>
        <w:t xml:space="preserve">police </w:t>
      </w:r>
      <w:r>
        <w:rPr>
          <w:color w:val="231F20"/>
          <w:sz w:val="13"/>
        </w:rPr>
        <w:t>frequently advise people to obtain a personal safety intervention order (PSIO) as a first response, even</w:t>
      </w:r>
      <w:r>
        <w:rPr>
          <w:color w:val="231F20"/>
          <w:spacing w:val="5"/>
          <w:sz w:val="13"/>
        </w:rPr>
        <w:t xml:space="preserve"> </w:t>
      </w:r>
      <w:r>
        <w:rPr>
          <w:color w:val="231F20"/>
          <w:sz w:val="13"/>
        </w:rPr>
        <w:t>when</w:t>
      </w:r>
      <w:r>
        <w:rPr>
          <w:color w:val="231F20"/>
          <w:spacing w:val="6"/>
          <w:sz w:val="13"/>
        </w:rPr>
        <w:t xml:space="preserve"> </w:t>
      </w:r>
      <w:r>
        <w:rPr>
          <w:color w:val="231F20"/>
          <w:sz w:val="13"/>
        </w:rPr>
        <w:t>there</w:t>
      </w:r>
      <w:r>
        <w:rPr>
          <w:color w:val="231F20"/>
          <w:spacing w:val="5"/>
          <w:sz w:val="13"/>
        </w:rPr>
        <w:t xml:space="preserve"> </w:t>
      </w:r>
      <w:r>
        <w:rPr>
          <w:color w:val="231F20"/>
          <w:sz w:val="13"/>
        </w:rPr>
        <w:t>is</w:t>
      </w:r>
      <w:r>
        <w:rPr>
          <w:color w:val="231F20"/>
          <w:spacing w:val="6"/>
          <w:sz w:val="13"/>
        </w:rPr>
        <w:t xml:space="preserve"> </w:t>
      </w:r>
      <w:r>
        <w:rPr>
          <w:color w:val="231F20"/>
          <w:sz w:val="13"/>
        </w:rPr>
        <w:t>ample</w:t>
      </w:r>
      <w:r>
        <w:rPr>
          <w:color w:val="231F20"/>
          <w:spacing w:val="6"/>
          <w:sz w:val="13"/>
        </w:rPr>
        <w:t xml:space="preserve"> </w:t>
      </w:r>
      <w:r>
        <w:rPr>
          <w:color w:val="231F20"/>
          <w:sz w:val="13"/>
        </w:rPr>
        <w:t>evidence</w:t>
      </w:r>
      <w:r>
        <w:rPr>
          <w:color w:val="231F20"/>
          <w:spacing w:val="5"/>
          <w:sz w:val="13"/>
        </w:rPr>
        <w:t xml:space="preserve"> </w:t>
      </w:r>
      <w:r>
        <w:rPr>
          <w:color w:val="231F20"/>
          <w:sz w:val="13"/>
        </w:rPr>
        <w:t>of</w:t>
      </w:r>
      <w:r>
        <w:rPr>
          <w:color w:val="231F20"/>
          <w:spacing w:val="6"/>
          <w:sz w:val="13"/>
        </w:rPr>
        <w:t xml:space="preserve"> </w:t>
      </w:r>
      <w:r>
        <w:rPr>
          <w:color w:val="231F20"/>
          <w:sz w:val="13"/>
        </w:rPr>
        <w:t>a</w:t>
      </w:r>
      <w:r>
        <w:rPr>
          <w:color w:val="231F20"/>
          <w:spacing w:val="5"/>
          <w:sz w:val="13"/>
        </w:rPr>
        <w:t xml:space="preserve"> </w:t>
      </w:r>
      <w:r>
        <w:rPr>
          <w:color w:val="231F20"/>
          <w:sz w:val="13"/>
        </w:rPr>
        <w:t>course</w:t>
      </w:r>
      <w:r>
        <w:rPr>
          <w:color w:val="231F20"/>
          <w:spacing w:val="6"/>
          <w:sz w:val="13"/>
        </w:rPr>
        <w:t xml:space="preserve"> </w:t>
      </w:r>
      <w:r>
        <w:rPr>
          <w:color w:val="231F20"/>
          <w:sz w:val="13"/>
        </w:rPr>
        <w:t>of</w:t>
      </w:r>
      <w:r>
        <w:rPr>
          <w:color w:val="231F20"/>
          <w:spacing w:val="6"/>
          <w:sz w:val="13"/>
        </w:rPr>
        <w:t xml:space="preserve"> </w:t>
      </w:r>
      <w:r>
        <w:rPr>
          <w:color w:val="231F20"/>
          <w:sz w:val="13"/>
        </w:rPr>
        <w:t>conduct</w:t>
      </w:r>
      <w:r>
        <w:rPr>
          <w:color w:val="231F20"/>
          <w:spacing w:val="5"/>
          <w:sz w:val="13"/>
        </w:rPr>
        <w:t xml:space="preserve"> </w:t>
      </w:r>
      <w:r>
        <w:rPr>
          <w:color w:val="231F20"/>
          <w:sz w:val="13"/>
        </w:rPr>
        <w:t>causing</w:t>
      </w:r>
      <w:r>
        <w:rPr>
          <w:color w:val="231F20"/>
          <w:spacing w:val="6"/>
          <w:sz w:val="13"/>
        </w:rPr>
        <w:t xml:space="preserve"> </w:t>
      </w:r>
      <w:r>
        <w:rPr>
          <w:color w:val="231F20"/>
          <w:sz w:val="13"/>
        </w:rPr>
        <w:t>psychological</w:t>
      </w:r>
      <w:r>
        <w:rPr>
          <w:color w:val="231F20"/>
          <w:spacing w:val="5"/>
          <w:sz w:val="13"/>
        </w:rPr>
        <w:t xml:space="preserve"> </w:t>
      </w:r>
      <w:r>
        <w:rPr>
          <w:color w:val="231F20"/>
          <w:sz w:val="13"/>
        </w:rPr>
        <w:t>harm’:</w:t>
      </w:r>
      <w:r>
        <w:rPr>
          <w:color w:val="231F20"/>
          <w:spacing w:val="6"/>
          <w:sz w:val="13"/>
        </w:rPr>
        <w:t xml:space="preserve"> </w:t>
      </w:r>
      <w:r>
        <w:rPr>
          <w:color w:val="231F20"/>
          <w:spacing w:val="2"/>
          <w:sz w:val="13"/>
        </w:rPr>
        <w:t>Submission</w:t>
      </w:r>
      <w:r>
        <w:rPr>
          <w:color w:val="231F20"/>
          <w:spacing w:val="6"/>
          <w:sz w:val="13"/>
        </w:rPr>
        <w:t xml:space="preserve"> </w:t>
      </w:r>
      <w:r>
        <w:rPr>
          <w:color w:val="231F20"/>
          <w:sz w:val="13"/>
        </w:rPr>
        <w:t>32</w:t>
      </w:r>
      <w:r>
        <w:rPr>
          <w:color w:val="231F20"/>
          <w:spacing w:val="5"/>
          <w:sz w:val="13"/>
        </w:rPr>
        <w:t xml:space="preserve"> </w:t>
      </w:r>
      <w:r>
        <w:rPr>
          <w:color w:val="231F20"/>
          <w:sz w:val="13"/>
        </w:rPr>
        <w:t>(Centre</w:t>
      </w:r>
      <w:r>
        <w:rPr>
          <w:color w:val="231F20"/>
          <w:spacing w:val="6"/>
          <w:sz w:val="13"/>
        </w:rPr>
        <w:t xml:space="preserve"> </w:t>
      </w:r>
      <w:r>
        <w:rPr>
          <w:color w:val="231F20"/>
          <w:sz w:val="13"/>
        </w:rPr>
        <w:t>for</w:t>
      </w:r>
      <w:r>
        <w:rPr>
          <w:color w:val="231F20"/>
          <w:spacing w:val="5"/>
          <w:sz w:val="13"/>
        </w:rPr>
        <w:t xml:space="preserve"> </w:t>
      </w:r>
      <w:r>
        <w:rPr>
          <w:color w:val="231F20"/>
          <w:sz w:val="13"/>
        </w:rPr>
        <w:t>Forensic</w:t>
      </w:r>
    </w:p>
    <w:p w14:paraId="5B2CC933" w14:textId="77777777" w:rsidR="00894070" w:rsidRDefault="009B7AFD">
      <w:pPr>
        <w:spacing w:line="213" w:lineRule="auto"/>
        <w:ind w:left="1801" w:right="1459"/>
        <w:rPr>
          <w:sz w:val="13"/>
        </w:rPr>
      </w:pPr>
      <w:proofErr w:type="spellStart"/>
      <w:r>
        <w:rPr>
          <w:color w:val="231F20"/>
          <w:sz w:val="13"/>
        </w:rPr>
        <w:t>Behavioural</w:t>
      </w:r>
      <w:proofErr w:type="spellEnd"/>
      <w:r>
        <w:rPr>
          <w:color w:val="231F20"/>
          <w:sz w:val="13"/>
        </w:rPr>
        <w:t xml:space="preserve"> Science). See also Sentencing Advisory Council (Vic), </w:t>
      </w:r>
      <w:r>
        <w:rPr>
          <w:i/>
          <w:color w:val="231F20"/>
          <w:sz w:val="13"/>
        </w:rPr>
        <w:t xml:space="preserve">Sentencing Breaches of Personal Safety Intervention Orders in Victoria </w:t>
      </w:r>
      <w:r>
        <w:rPr>
          <w:color w:val="231F20"/>
          <w:sz w:val="13"/>
        </w:rPr>
        <w:t>(Report, February 2022) [4.3].</w:t>
      </w:r>
    </w:p>
    <w:p w14:paraId="602F7D5F" w14:textId="77777777" w:rsidR="00894070" w:rsidRDefault="009B7AFD">
      <w:pPr>
        <w:pStyle w:val="ListParagraph"/>
        <w:numPr>
          <w:ilvl w:val="0"/>
          <w:numId w:val="171"/>
        </w:numPr>
        <w:tabs>
          <w:tab w:val="left" w:pos="1801"/>
          <w:tab w:val="left" w:pos="1802"/>
        </w:tabs>
        <w:spacing w:line="213" w:lineRule="auto"/>
        <w:ind w:right="1276"/>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     xi [4.3].</w:t>
      </w:r>
    </w:p>
    <w:p w14:paraId="18E9892B" w14:textId="77777777" w:rsidR="00894070" w:rsidRDefault="009B7AFD">
      <w:pPr>
        <w:pStyle w:val="ListParagraph"/>
        <w:numPr>
          <w:ilvl w:val="0"/>
          <w:numId w:val="171"/>
        </w:numPr>
        <w:tabs>
          <w:tab w:val="left" w:pos="1801"/>
          <w:tab w:val="left" w:pos="1802"/>
        </w:tabs>
        <w:spacing w:line="213" w:lineRule="auto"/>
        <w:ind w:left="1800" w:right="1775" w:hanging="793"/>
        <w:rPr>
          <w:sz w:val="13"/>
        </w:rPr>
      </w:pPr>
      <w:r>
        <w:rPr>
          <w:i/>
          <w:color w:val="231F20"/>
          <w:sz w:val="13"/>
        </w:rPr>
        <w:t xml:space="preserve">Family Violence Protection Act 2008 </w:t>
      </w:r>
      <w:r>
        <w:rPr>
          <w:color w:val="231F20"/>
          <w:sz w:val="13"/>
        </w:rPr>
        <w:t xml:space="preserve">(Vic) </w:t>
      </w:r>
      <w:proofErr w:type="spellStart"/>
      <w:r>
        <w:rPr>
          <w:color w:val="231F20"/>
          <w:sz w:val="13"/>
        </w:rPr>
        <w:t>pt</w:t>
      </w:r>
      <w:proofErr w:type="spellEnd"/>
      <w:r>
        <w:rPr>
          <w:color w:val="231F20"/>
          <w:sz w:val="13"/>
        </w:rPr>
        <w:t xml:space="preserve"> 4; 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May 2022)</w:t>
      </w:r>
      <w:r>
        <w:rPr>
          <w:color w:val="231F20"/>
          <w:spacing w:val="3"/>
          <w:sz w:val="13"/>
        </w:rPr>
        <w:t xml:space="preserve"> </w:t>
      </w:r>
      <w:r>
        <w:rPr>
          <w:color w:val="231F20"/>
          <w:sz w:val="13"/>
        </w:rPr>
        <w:t>[2.9].</w:t>
      </w:r>
    </w:p>
    <w:p w14:paraId="5240006D" w14:textId="77777777" w:rsidR="00894070" w:rsidRDefault="009B7AFD">
      <w:pPr>
        <w:pStyle w:val="ListParagraph"/>
        <w:numPr>
          <w:ilvl w:val="0"/>
          <w:numId w:val="171"/>
        </w:numPr>
        <w:tabs>
          <w:tab w:val="left" w:pos="1801"/>
          <w:tab w:val="left" w:pos="1802"/>
        </w:tabs>
        <w:spacing w:line="213" w:lineRule="auto"/>
        <w:ind w:left="1800" w:right="1460" w:hanging="793"/>
        <w:rPr>
          <w:sz w:val="13"/>
        </w:rPr>
      </w:pPr>
      <w:r>
        <w:rPr>
          <w:i/>
          <w:color w:val="231F20"/>
          <w:sz w:val="13"/>
        </w:rPr>
        <w:t xml:space="preserve">Family Violence Protection Act 2008 </w:t>
      </w:r>
      <w:r>
        <w:rPr>
          <w:color w:val="231F20"/>
          <w:sz w:val="13"/>
        </w:rPr>
        <w:t xml:space="preserve">(Vic) </w:t>
      </w:r>
      <w:proofErr w:type="spellStart"/>
      <w:r>
        <w:rPr>
          <w:color w:val="231F20"/>
          <w:sz w:val="13"/>
        </w:rPr>
        <w:t>pt</w:t>
      </w:r>
      <w:proofErr w:type="spellEnd"/>
      <w:r>
        <w:rPr>
          <w:color w:val="231F20"/>
          <w:sz w:val="13"/>
        </w:rPr>
        <w:t xml:space="preserve"> 3 div 2; 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 xml:space="preserve">May 2022) </w:t>
      </w:r>
      <w:r>
        <w:rPr>
          <w:color w:val="231F20"/>
          <w:spacing w:val="2"/>
          <w:sz w:val="13"/>
        </w:rPr>
        <w:t>[2.2],</w:t>
      </w:r>
      <w:r>
        <w:rPr>
          <w:color w:val="231F20"/>
          <w:spacing w:val="3"/>
          <w:sz w:val="13"/>
        </w:rPr>
        <w:t xml:space="preserve"> </w:t>
      </w:r>
      <w:r>
        <w:rPr>
          <w:color w:val="231F20"/>
          <w:spacing w:val="2"/>
          <w:sz w:val="13"/>
        </w:rPr>
        <w:t>[2.5]</w:t>
      </w:r>
      <w:proofErr w:type="gramStart"/>
      <w:r>
        <w:rPr>
          <w:color w:val="231F20"/>
          <w:spacing w:val="2"/>
          <w:sz w:val="13"/>
        </w:rPr>
        <w:t>–[</w:t>
      </w:r>
      <w:proofErr w:type="gramEnd"/>
      <w:r>
        <w:rPr>
          <w:color w:val="231F20"/>
          <w:spacing w:val="2"/>
          <w:sz w:val="13"/>
        </w:rPr>
        <w:t>2.8].</w:t>
      </w:r>
    </w:p>
    <w:p w14:paraId="7C5D2C36" w14:textId="77777777" w:rsidR="00894070" w:rsidRDefault="009B7AFD">
      <w:pPr>
        <w:pStyle w:val="ListParagraph"/>
        <w:numPr>
          <w:ilvl w:val="0"/>
          <w:numId w:val="171"/>
        </w:numPr>
        <w:tabs>
          <w:tab w:val="left" w:pos="1800"/>
          <w:tab w:val="left" w:pos="1802"/>
        </w:tabs>
        <w:spacing w:line="213" w:lineRule="auto"/>
        <w:ind w:right="1427"/>
        <w:rPr>
          <w:sz w:val="13"/>
        </w:rPr>
      </w:pPr>
      <w:r>
        <w:rPr>
          <w:color w:val="231F20"/>
          <w:spacing w:val="-5"/>
          <w:sz w:val="13"/>
        </w:rPr>
        <w:t xml:space="preserve">To </w:t>
      </w:r>
      <w:r>
        <w:rPr>
          <w:color w:val="231F20"/>
          <w:sz w:val="13"/>
        </w:rPr>
        <w:t xml:space="preserve">obtain the annual figures for </w:t>
      </w:r>
      <w:r>
        <w:rPr>
          <w:color w:val="231F20"/>
          <w:spacing w:val="2"/>
          <w:sz w:val="13"/>
        </w:rPr>
        <w:t xml:space="preserve">PSIOs </w:t>
      </w:r>
      <w:r>
        <w:rPr>
          <w:color w:val="231F20"/>
          <w:sz w:val="13"/>
        </w:rPr>
        <w:t xml:space="preserve">in this table, the total was divided by </w:t>
      </w:r>
      <w:r>
        <w:rPr>
          <w:color w:val="231F20"/>
          <w:spacing w:val="2"/>
          <w:sz w:val="13"/>
        </w:rPr>
        <w:t xml:space="preserve">9.33, </w:t>
      </w:r>
      <w:r>
        <w:rPr>
          <w:color w:val="231F20"/>
          <w:sz w:val="13"/>
        </w:rPr>
        <w:t xml:space="preserve">representing the nine years and four months covered by the data (from September 2011, when the </w:t>
      </w:r>
      <w:r>
        <w:rPr>
          <w:color w:val="231F20"/>
          <w:spacing w:val="2"/>
          <w:sz w:val="13"/>
        </w:rPr>
        <w:t xml:space="preserve">PSIO </w:t>
      </w:r>
      <w:r>
        <w:rPr>
          <w:color w:val="231F20"/>
          <w:sz w:val="13"/>
        </w:rPr>
        <w:t xml:space="preserve">framework came into effect, to 31 </w:t>
      </w:r>
      <w:r>
        <w:rPr>
          <w:color w:val="231F20"/>
          <w:spacing w:val="2"/>
          <w:sz w:val="13"/>
        </w:rPr>
        <w:t xml:space="preserve">December </w:t>
      </w:r>
      <w:r>
        <w:rPr>
          <w:color w:val="231F20"/>
          <w:sz w:val="13"/>
        </w:rPr>
        <w:t>2020): Sentencing Advisory</w:t>
      </w:r>
      <w:r>
        <w:rPr>
          <w:color w:val="231F20"/>
          <w:spacing w:val="5"/>
          <w:sz w:val="13"/>
        </w:rPr>
        <w:t xml:space="preserve"> </w:t>
      </w:r>
      <w:r>
        <w:rPr>
          <w:color w:val="231F20"/>
          <w:sz w:val="13"/>
        </w:rPr>
        <w:t>Council</w:t>
      </w:r>
      <w:r>
        <w:rPr>
          <w:color w:val="231F20"/>
          <w:spacing w:val="5"/>
          <w:sz w:val="13"/>
        </w:rPr>
        <w:t xml:space="preserve"> </w:t>
      </w:r>
      <w:r>
        <w:rPr>
          <w:color w:val="231F20"/>
          <w:sz w:val="13"/>
        </w:rPr>
        <w:t>(Vic),</w:t>
      </w:r>
      <w:r>
        <w:rPr>
          <w:color w:val="231F20"/>
          <w:spacing w:val="6"/>
          <w:sz w:val="13"/>
        </w:rPr>
        <w:t xml:space="preserve"> </w:t>
      </w:r>
      <w:r>
        <w:rPr>
          <w:i/>
          <w:color w:val="231F20"/>
          <w:sz w:val="13"/>
        </w:rPr>
        <w:t>Sentencing</w:t>
      </w:r>
      <w:r>
        <w:rPr>
          <w:i/>
          <w:color w:val="231F20"/>
          <w:spacing w:val="5"/>
          <w:sz w:val="13"/>
        </w:rPr>
        <w:t xml:space="preserve"> </w:t>
      </w:r>
      <w:r>
        <w:rPr>
          <w:i/>
          <w:color w:val="231F20"/>
          <w:sz w:val="13"/>
        </w:rPr>
        <w:t>Breaches</w:t>
      </w:r>
      <w:r>
        <w:rPr>
          <w:i/>
          <w:color w:val="231F20"/>
          <w:spacing w:val="5"/>
          <w:sz w:val="13"/>
        </w:rPr>
        <w:t xml:space="preserve"> </w:t>
      </w:r>
      <w:r>
        <w:rPr>
          <w:i/>
          <w:color w:val="231F20"/>
          <w:sz w:val="13"/>
        </w:rPr>
        <w:t>of</w:t>
      </w:r>
      <w:r>
        <w:rPr>
          <w:i/>
          <w:color w:val="231F20"/>
          <w:spacing w:val="5"/>
          <w:sz w:val="13"/>
        </w:rPr>
        <w:t xml:space="preserve"> </w:t>
      </w:r>
      <w:r>
        <w:rPr>
          <w:i/>
          <w:color w:val="231F20"/>
          <w:sz w:val="13"/>
        </w:rPr>
        <w:t>Personal</w:t>
      </w:r>
      <w:r>
        <w:rPr>
          <w:i/>
          <w:color w:val="231F20"/>
          <w:spacing w:val="6"/>
          <w:sz w:val="13"/>
        </w:rPr>
        <w:t xml:space="preserve"> </w:t>
      </w:r>
      <w:r>
        <w:rPr>
          <w:i/>
          <w:color w:val="231F20"/>
          <w:sz w:val="13"/>
        </w:rPr>
        <w:t>Safety</w:t>
      </w:r>
      <w:r>
        <w:rPr>
          <w:i/>
          <w:color w:val="231F20"/>
          <w:spacing w:val="5"/>
          <w:sz w:val="13"/>
        </w:rPr>
        <w:t xml:space="preserve"> </w:t>
      </w:r>
      <w:r>
        <w:rPr>
          <w:i/>
          <w:color w:val="231F20"/>
          <w:sz w:val="13"/>
        </w:rPr>
        <w:t>Intervention</w:t>
      </w:r>
      <w:r>
        <w:rPr>
          <w:i/>
          <w:color w:val="231F20"/>
          <w:spacing w:val="5"/>
          <w:sz w:val="13"/>
        </w:rPr>
        <w:t xml:space="preserve"> </w:t>
      </w:r>
      <w:r>
        <w:rPr>
          <w:i/>
          <w:color w:val="231F20"/>
          <w:sz w:val="13"/>
        </w:rPr>
        <w:t>Orders</w:t>
      </w:r>
      <w:r>
        <w:rPr>
          <w:i/>
          <w:color w:val="231F20"/>
          <w:spacing w:val="5"/>
          <w:sz w:val="13"/>
        </w:rPr>
        <w:t xml:space="preserve"> </w:t>
      </w:r>
      <w:r>
        <w:rPr>
          <w:i/>
          <w:color w:val="231F20"/>
          <w:sz w:val="13"/>
        </w:rPr>
        <w:t>in</w:t>
      </w:r>
      <w:r>
        <w:rPr>
          <w:i/>
          <w:color w:val="231F20"/>
          <w:spacing w:val="6"/>
          <w:sz w:val="13"/>
        </w:rPr>
        <w:t xml:space="preserve"> </w:t>
      </w:r>
      <w:r>
        <w:rPr>
          <w:i/>
          <w:color w:val="231F20"/>
          <w:sz w:val="13"/>
        </w:rPr>
        <w:t>Victoria</w:t>
      </w:r>
      <w:r>
        <w:rPr>
          <w:i/>
          <w:color w:val="231F20"/>
          <w:spacing w:val="5"/>
          <w:sz w:val="13"/>
        </w:rPr>
        <w:t xml:space="preserve"> </w:t>
      </w:r>
      <w:r>
        <w:rPr>
          <w:color w:val="231F20"/>
          <w:spacing w:val="2"/>
          <w:sz w:val="13"/>
        </w:rPr>
        <w:t>(Report,</w:t>
      </w:r>
      <w:r>
        <w:rPr>
          <w:color w:val="231F20"/>
          <w:spacing w:val="5"/>
          <w:sz w:val="13"/>
        </w:rPr>
        <w:t xml:space="preserve"> </w:t>
      </w:r>
      <w:r>
        <w:rPr>
          <w:color w:val="231F20"/>
          <w:sz w:val="13"/>
        </w:rPr>
        <w:t>February</w:t>
      </w:r>
      <w:r>
        <w:rPr>
          <w:color w:val="231F20"/>
          <w:spacing w:val="6"/>
          <w:sz w:val="13"/>
        </w:rPr>
        <w:t xml:space="preserve"> </w:t>
      </w:r>
      <w:r>
        <w:rPr>
          <w:color w:val="231F20"/>
          <w:sz w:val="13"/>
        </w:rPr>
        <w:t>2022)</w:t>
      </w:r>
      <w:r>
        <w:rPr>
          <w:color w:val="231F20"/>
          <w:spacing w:val="5"/>
          <w:sz w:val="13"/>
        </w:rPr>
        <w:t xml:space="preserve"> </w:t>
      </w:r>
      <w:r>
        <w:rPr>
          <w:color w:val="231F20"/>
          <w:sz w:val="13"/>
        </w:rPr>
        <w:t>ix.</w:t>
      </w:r>
    </w:p>
    <w:p w14:paraId="1D7612EC" w14:textId="77777777" w:rsidR="00894070" w:rsidRDefault="009B7AFD">
      <w:pPr>
        <w:pStyle w:val="ListParagraph"/>
        <w:numPr>
          <w:ilvl w:val="0"/>
          <w:numId w:val="171"/>
        </w:numPr>
        <w:tabs>
          <w:tab w:val="left" w:pos="1800"/>
          <w:tab w:val="left" w:pos="1802"/>
        </w:tabs>
        <w:spacing w:line="213" w:lineRule="auto"/>
        <w:ind w:right="1343"/>
        <w:rPr>
          <w:sz w:val="13"/>
        </w:rPr>
      </w:pPr>
      <w:r>
        <w:rPr>
          <w:color w:val="231F20"/>
          <w:sz w:val="13"/>
        </w:rPr>
        <w:t xml:space="preserve">All data on </w:t>
      </w:r>
      <w:r>
        <w:rPr>
          <w:color w:val="231F20"/>
          <w:spacing w:val="2"/>
          <w:sz w:val="13"/>
        </w:rPr>
        <w:t xml:space="preserve">PSIOs </w:t>
      </w:r>
      <w:r>
        <w:rPr>
          <w:color w:val="231F20"/>
          <w:sz w:val="13"/>
        </w:rPr>
        <w:t xml:space="preserve">from 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All data on </w:t>
      </w:r>
      <w:r>
        <w:rPr>
          <w:color w:val="231F20"/>
          <w:spacing w:val="2"/>
          <w:sz w:val="13"/>
        </w:rPr>
        <w:t xml:space="preserve">FVIOs </w:t>
      </w:r>
      <w:r>
        <w:rPr>
          <w:color w:val="231F20"/>
          <w:sz w:val="13"/>
        </w:rPr>
        <w:t xml:space="preserve">from 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May</w:t>
      </w:r>
      <w:r>
        <w:rPr>
          <w:color w:val="231F20"/>
          <w:spacing w:val="1"/>
          <w:sz w:val="13"/>
        </w:rPr>
        <w:t xml:space="preserve"> </w:t>
      </w:r>
      <w:r>
        <w:rPr>
          <w:color w:val="231F20"/>
          <w:sz w:val="13"/>
        </w:rPr>
        <w:t>2022).</w:t>
      </w:r>
    </w:p>
    <w:p w14:paraId="55C0B296" w14:textId="77777777" w:rsidR="00894070" w:rsidRDefault="009B7AFD">
      <w:pPr>
        <w:pStyle w:val="ListParagraph"/>
        <w:numPr>
          <w:ilvl w:val="0"/>
          <w:numId w:val="171"/>
        </w:numPr>
        <w:tabs>
          <w:tab w:val="left" w:pos="1801"/>
          <w:tab w:val="left" w:pos="1802"/>
        </w:tabs>
        <w:spacing w:line="213" w:lineRule="auto"/>
        <w:ind w:right="1276"/>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ix (combined Magistrates’ and Children’s </w:t>
      </w:r>
      <w:r>
        <w:rPr>
          <w:color w:val="231F20"/>
          <w:spacing w:val="2"/>
          <w:sz w:val="13"/>
        </w:rPr>
        <w:t xml:space="preserve">Court </w:t>
      </w:r>
      <w:r>
        <w:rPr>
          <w:color w:val="231F20"/>
          <w:sz w:val="13"/>
        </w:rPr>
        <w:t xml:space="preserve">applications). While the overall </w:t>
      </w:r>
      <w:r>
        <w:rPr>
          <w:color w:val="231F20"/>
          <w:spacing w:val="2"/>
          <w:sz w:val="13"/>
        </w:rPr>
        <w:t xml:space="preserve">number </w:t>
      </w:r>
      <w:r>
        <w:rPr>
          <w:color w:val="231F20"/>
          <w:sz w:val="13"/>
        </w:rPr>
        <w:t xml:space="preserve">of </w:t>
      </w:r>
      <w:r>
        <w:rPr>
          <w:color w:val="231F20"/>
          <w:spacing w:val="2"/>
          <w:sz w:val="13"/>
        </w:rPr>
        <w:t xml:space="preserve">PSIO applications </w:t>
      </w:r>
      <w:r>
        <w:rPr>
          <w:color w:val="231F20"/>
          <w:sz w:val="13"/>
        </w:rPr>
        <w:t xml:space="preserve">in the Magistrates’ </w:t>
      </w:r>
      <w:r>
        <w:rPr>
          <w:color w:val="231F20"/>
          <w:spacing w:val="2"/>
          <w:sz w:val="13"/>
        </w:rPr>
        <w:t xml:space="preserve">Court </w:t>
      </w:r>
      <w:r>
        <w:rPr>
          <w:color w:val="231F20"/>
          <w:sz w:val="13"/>
        </w:rPr>
        <w:t xml:space="preserve">increased from year to year, from </w:t>
      </w:r>
      <w:r>
        <w:rPr>
          <w:color w:val="231F20"/>
          <w:spacing w:val="2"/>
          <w:sz w:val="13"/>
        </w:rPr>
        <w:t xml:space="preserve">9,566 </w:t>
      </w:r>
      <w:r>
        <w:rPr>
          <w:color w:val="231F20"/>
          <w:sz w:val="13"/>
        </w:rPr>
        <w:t xml:space="preserve">in 2012 to 11,647 in 2020, the per capita rate of </w:t>
      </w:r>
      <w:r>
        <w:rPr>
          <w:color w:val="231F20"/>
          <w:spacing w:val="2"/>
          <w:sz w:val="13"/>
        </w:rPr>
        <w:t xml:space="preserve">applications </w:t>
      </w:r>
      <w:r>
        <w:rPr>
          <w:color w:val="231F20"/>
          <w:sz w:val="13"/>
        </w:rPr>
        <w:t xml:space="preserve">was steady: ibid </w:t>
      </w:r>
      <w:r>
        <w:rPr>
          <w:color w:val="231F20"/>
          <w:spacing w:val="2"/>
          <w:sz w:val="13"/>
        </w:rPr>
        <w:t xml:space="preserve">[4.2], </w:t>
      </w:r>
      <w:r>
        <w:rPr>
          <w:color w:val="231F20"/>
          <w:sz w:val="13"/>
        </w:rPr>
        <w:t>Figure 8.</w:t>
      </w:r>
    </w:p>
    <w:p w14:paraId="5C900FF0" w14:textId="77777777" w:rsidR="00894070" w:rsidRDefault="009B7AFD">
      <w:pPr>
        <w:pStyle w:val="ListParagraph"/>
        <w:numPr>
          <w:ilvl w:val="0"/>
          <w:numId w:val="171"/>
        </w:numPr>
        <w:tabs>
          <w:tab w:val="left" w:pos="1801"/>
          <w:tab w:val="left" w:pos="1802"/>
        </w:tabs>
        <w:spacing w:line="213" w:lineRule="auto"/>
        <w:ind w:left="1800" w:right="1251" w:hanging="793"/>
        <w:rPr>
          <w:sz w:val="13"/>
        </w:rPr>
      </w:pPr>
      <w:r>
        <w:rPr>
          <w:color w:val="231F20"/>
          <w:sz w:val="13"/>
        </w:rPr>
        <w:t xml:space="preserve">Sentencing Advisory Council (Vic), </w:t>
      </w:r>
      <w:r>
        <w:rPr>
          <w:i/>
          <w:color w:val="231F20"/>
          <w:sz w:val="13"/>
        </w:rPr>
        <w:t>Sentencing Breaches of Personal Safety Intervention Orde</w:t>
      </w:r>
      <w:r>
        <w:rPr>
          <w:color w:val="231F20"/>
          <w:sz w:val="13"/>
        </w:rPr>
        <w:t>rs in Victo</w:t>
      </w:r>
      <w:r>
        <w:rPr>
          <w:i/>
          <w:color w:val="231F20"/>
          <w:sz w:val="13"/>
        </w:rPr>
        <w:t xml:space="preserve">ria </w:t>
      </w:r>
      <w:r>
        <w:rPr>
          <w:color w:val="231F20"/>
          <w:spacing w:val="2"/>
          <w:sz w:val="13"/>
        </w:rPr>
        <w:t xml:space="preserve">(Report, </w:t>
      </w:r>
      <w:r>
        <w:rPr>
          <w:color w:val="231F20"/>
          <w:sz w:val="13"/>
        </w:rPr>
        <w:t>February 2022)    ix.</w:t>
      </w:r>
    </w:p>
    <w:p w14:paraId="1DC05629" w14:textId="77777777" w:rsidR="00894070" w:rsidRDefault="009B7AFD">
      <w:pPr>
        <w:pStyle w:val="ListParagraph"/>
        <w:numPr>
          <w:ilvl w:val="0"/>
          <w:numId w:val="171"/>
        </w:numPr>
        <w:tabs>
          <w:tab w:val="left" w:pos="1801"/>
          <w:tab w:val="left" w:pos="1802"/>
        </w:tabs>
        <w:spacing w:line="152" w:lineRule="exact"/>
        <w:rPr>
          <w:sz w:val="13"/>
        </w:rPr>
      </w:pPr>
      <w:r>
        <w:rPr>
          <w:color w:val="231F20"/>
          <w:sz w:val="13"/>
        </w:rPr>
        <w:t>Ibid viii.</w:t>
      </w:r>
    </w:p>
    <w:p w14:paraId="76B632EA" w14:textId="77777777" w:rsidR="00894070" w:rsidRDefault="009B7AFD">
      <w:pPr>
        <w:pStyle w:val="ListParagraph"/>
        <w:numPr>
          <w:ilvl w:val="0"/>
          <w:numId w:val="171"/>
        </w:numPr>
        <w:tabs>
          <w:tab w:val="left" w:pos="1801"/>
          <w:tab w:val="left" w:pos="1802"/>
        </w:tabs>
        <w:spacing w:line="213" w:lineRule="auto"/>
        <w:ind w:right="1396"/>
        <w:rPr>
          <w:sz w:val="13"/>
        </w:rPr>
      </w:pPr>
      <w:r>
        <w:rPr>
          <w:color w:val="231F20"/>
          <w:sz w:val="13"/>
        </w:rPr>
        <w:t xml:space="preserve">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 xml:space="preserve">May 2022) viii (combined Magistrates’ and Children’s </w:t>
      </w:r>
      <w:r>
        <w:rPr>
          <w:color w:val="231F20"/>
          <w:spacing w:val="2"/>
          <w:sz w:val="13"/>
        </w:rPr>
        <w:t>Court</w:t>
      </w:r>
      <w:r>
        <w:rPr>
          <w:color w:val="231F20"/>
          <w:spacing w:val="5"/>
          <w:sz w:val="13"/>
        </w:rPr>
        <w:t xml:space="preserve"> </w:t>
      </w:r>
      <w:r>
        <w:rPr>
          <w:color w:val="231F20"/>
          <w:sz w:val="13"/>
        </w:rPr>
        <w:t>applications).</w:t>
      </w:r>
    </w:p>
    <w:p w14:paraId="46CC3AE9" w14:textId="77777777" w:rsidR="00894070" w:rsidRDefault="009B7AFD">
      <w:pPr>
        <w:pStyle w:val="ListParagraph"/>
        <w:numPr>
          <w:ilvl w:val="0"/>
          <w:numId w:val="171"/>
        </w:numPr>
        <w:tabs>
          <w:tab w:val="left" w:pos="1800"/>
          <w:tab w:val="left" w:pos="1802"/>
        </w:tabs>
        <w:spacing w:line="153" w:lineRule="exact"/>
        <w:rPr>
          <w:sz w:val="13"/>
        </w:rPr>
      </w:pPr>
      <w:r>
        <w:rPr>
          <w:color w:val="231F20"/>
          <w:spacing w:val="2"/>
          <w:sz w:val="13"/>
        </w:rPr>
        <w:t xml:space="preserve">Based </w:t>
      </w:r>
      <w:r>
        <w:rPr>
          <w:color w:val="231F20"/>
          <w:sz w:val="13"/>
        </w:rPr>
        <w:t>on the figures in ibid</w:t>
      </w:r>
      <w:r>
        <w:rPr>
          <w:color w:val="231F20"/>
          <w:spacing w:val="-2"/>
          <w:sz w:val="13"/>
        </w:rPr>
        <w:t xml:space="preserve"> </w:t>
      </w:r>
      <w:r>
        <w:rPr>
          <w:color w:val="231F20"/>
          <w:sz w:val="13"/>
        </w:rPr>
        <w:t>viii.</w:t>
      </w:r>
    </w:p>
    <w:p w14:paraId="23FCD8E2" w14:textId="77777777" w:rsidR="00894070" w:rsidRDefault="009F6793">
      <w:pPr>
        <w:pStyle w:val="ListParagraph"/>
        <w:numPr>
          <w:ilvl w:val="0"/>
          <w:numId w:val="171"/>
        </w:numPr>
        <w:tabs>
          <w:tab w:val="left" w:pos="1801"/>
          <w:tab w:val="left" w:pos="1802"/>
        </w:tabs>
        <w:spacing w:line="160" w:lineRule="exact"/>
        <w:rPr>
          <w:sz w:val="13"/>
        </w:rPr>
      </w:pPr>
      <w:r>
        <w:pict w14:anchorId="15F0D0D7">
          <v:shape id="_x0000_s1659" type="#_x0000_t202" style="position:absolute;left:0;text-align:left;margin-left:36pt;margin-top:3.7pt;width:14.05pt;height:14.1pt;z-index:251508736;mso-position-horizontal-relative:page" filled="f" stroked="f">
            <v:textbox inset="0,0,0,0">
              <w:txbxContent>
                <w:p w14:paraId="6B56950C" w14:textId="77777777" w:rsidR="00894070" w:rsidRDefault="009B7AFD">
                  <w:pPr>
                    <w:spacing w:line="282" w:lineRule="exact"/>
                    <w:rPr>
                      <w:b/>
                      <w:sz w:val="24"/>
                    </w:rPr>
                  </w:pPr>
                  <w:r>
                    <w:rPr>
                      <w:b/>
                      <w:color w:val="EA5B50"/>
                      <w:spacing w:val="-1"/>
                      <w:sz w:val="24"/>
                    </w:rPr>
                    <w:t>20</w:t>
                  </w:r>
                </w:p>
              </w:txbxContent>
            </v:textbox>
            <w10:wrap anchorx="page"/>
          </v:shape>
        </w:pict>
      </w:r>
      <w:r w:rsidR="009B7AFD">
        <w:rPr>
          <w:color w:val="231F20"/>
          <w:sz w:val="13"/>
        </w:rPr>
        <w:t>Ibid.</w:t>
      </w:r>
    </w:p>
    <w:p w14:paraId="36192095" w14:textId="77777777" w:rsidR="00894070" w:rsidRDefault="009B7AFD">
      <w:pPr>
        <w:pStyle w:val="ListParagraph"/>
        <w:numPr>
          <w:ilvl w:val="0"/>
          <w:numId w:val="171"/>
        </w:numPr>
        <w:tabs>
          <w:tab w:val="left" w:pos="1801"/>
          <w:tab w:val="left" w:pos="1802"/>
        </w:tabs>
        <w:spacing w:line="170" w:lineRule="exact"/>
        <w:rPr>
          <w:sz w:val="13"/>
        </w:rPr>
      </w:pPr>
      <w:r>
        <w:rPr>
          <w:color w:val="231F20"/>
          <w:sz w:val="13"/>
        </w:rPr>
        <w:t xml:space="preserve">93,510 divided by nine; covering the </w:t>
      </w:r>
      <w:r>
        <w:rPr>
          <w:color w:val="231F20"/>
          <w:spacing w:val="2"/>
          <w:sz w:val="13"/>
        </w:rPr>
        <w:t xml:space="preserve">period </w:t>
      </w:r>
      <w:r>
        <w:rPr>
          <w:color w:val="231F20"/>
          <w:sz w:val="13"/>
        </w:rPr>
        <w:t>2012 –2020:</w:t>
      </w:r>
      <w:r>
        <w:rPr>
          <w:color w:val="231F20"/>
          <w:spacing w:val="1"/>
          <w:sz w:val="13"/>
        </w:rPr>
        <w:t xml:space="preserve"> </w:t>
      </w:r>
      <w:r>
        <w:rPr>
          <w:color w:val="231F20"/>
          <w:sz w:val="13"/>
        </w:rPr>
        <w:t>Ibid.</w:t>
      </w:r>
    </w:p>
    <w:p w14:paraId="7D03BCBB" w14:textId="77777777" w:rsidR="00894070" w:rsidRDefault="00894070">
      <w:pPr>
        <w:spacing w:line="170" w:lineRule="exact"/>
        <w:rPr>
          <w:sz w:val="13"/>
        </w:rPr>
        <w:sectPr w:rsidR="00894070">
          <w:pgSz w:w="11910" w:h="16840"/>
          <w:pgMar w:top="860" w:right="420" w:bottom="280" w:left="580" w:header="567" w:footer="0" w:gutter="0"/>
          <w:cols w:space="720"/>
        </w:sectPr>
      </w:pPr>
    </w:p>
    <w:p w14:paraId="136C5283" w14:textId="77777777" w:rsidR="00894070" w:rsidRDefault="00894070">
      <w:pPr>
        <w:pStyle w:val="BodyText"/>
      </w:pPr>
    </w:p>
    <w:p w14:paraId="3DA639BE" w14:textId="77777777" w:rsidR="00894070" w:rsidRDefault="00894070">
      <w:pPr>
        <w:pStyle w:val="BodyText"/>
      </w:pPr>
    </w:p>
    <w:p w14:paraId="2D01F2CF" w14:textId="77777777" w:rsidR="00894070" w:rsidRDefault="00894070">
      <w:pPr>
        <w:pStyle w:val="BodyText"/>
      </w:pPr>
    </w:p>
    <w:p w14:paraId="3ECCBF4C" w14:textId="77777777" w:rsidR="00894070" w:rsidRDefault="00894070">
      <w:pPr>
        <w:pStyle w:val="BodyText"/>
        <w:spacing w:before="9"/>
        <w:rPr>
          <w:sz w:val="21"/>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119"/>
        <w:gridCol w:w="2891"/>
        <w:gridCol w:w="2891"/>
      </w:tblGrid>
      <w:tr w:rsidR="00894070" w14:paraId="1AD33626" w14:textId="77777777">
        <w:trPr>
          <w:trHeight w:val="2204"/>
        </w:trPr>
        <w:tc>
          <w:tcPr>
            <w:tcW w:w="2119" w:type="dxa"/>
            <w:shd w:val="clear" w:color="auto" w:fill="F4BCAE"/>
          </w:tcPr>
          <w:p w14:paraId="4FD3A71E" w14:textId="77777777" w:rsidR="00894070" w:rsidRDefault="009B7AFD">
            <w:pPr>
              <w:pStyle w:val="TableParagraph"/>
              <w:spacing w:before="154" w:line="206" w:lineRule="auto"/>
              <w:ind w:right="274"/>
              <w:rPr>
                <w:b/>
                <w:sz w:val="20"/>
              </w:rPr>
            </w:pPr>
            <w:r>
              <w:rPr>
                <w:b/>
                <w:color w:val="231F20"/>
                <w:sz w:val="20"/>
              </w:rPr>
              <w:t>Number of orders breached</w:t>
            </w:r>
          </w:p>
        </w:tc>
        <w:tc>
          <w:tcPr>
            <w:tcW w:w="2891" w:type="dxa"/>
          </w:tcPr>
          <w:p w14:paraId="05BF01F1" w14:textId="77777777" w:rsidR="00894070" w:rsidRDefault="009B7AFD">
            <w:pPr>
              <w:pStyle w:val="TableParagraph"/>
              <w:spacing w:before="98" w:line="206" w:lineRule="auto"/>
              <w:rPr>
                <w:sz w:val="11"/>
              </w:rPr>
            </w:pPr>
            <w:r>
              <w:rPr>
                <w:color w:val="231F20"/>
                <w:sz w:val="20"/>
              </w:rPr>
              <w:t>26,329 breach offences recorded by police: around 2,822 each year.</w:t>
            </w:r>
            <w:r>
              <w:rPr>
                <w:color w:val="231F20"/>
                <w:position w:val="7"/>
                <w:sz w:val="11"/>
              </w:rPr>
              <w:t>78</w:t>
            </w:r>
          </w:p>
          <w:p w14:paraId="0BBA3E70" w14:textId="77777777" w:rsidR="00894070" w:rsidRDefault="009B7AFD">
            <w:pPr>
              <w:pStyle w:val="TableParagraph"/>
              <w:spacing w:before="123" w:line="206" w:lineRule="auto"/>
              <w:ind w:right="175"/>
              <w:rPr>
                <w:sz w:val="20"/>
              </w:rPr>
            </w:pPr>
            <w:r>
              <w:rPr>
                <w:color w:val="231F20"/>
                <w:sz w:val="20"/>
              </w:rPr>
              <w:t>This represents around a fifth of all PSIOs made each year (interim and final).</w:t>
            </w:r>
          </w:p>
        </w:tc>
        <w:tc>
          <w:tcPr>
            <w:tcW w:w="2891" w:type="dxa"/>
          </w:tcPr>
          <w:p w14:paraId="02FA17E6" w14:textId="77777777" w:rsidR="00894070" w:rsidRDefault="009B7AFD">
            <w:pPr>
              <w:pStyle w:val="TableParagraph"/>
              <w:spacing w:before="98" w:line="206" w:lineRule="auto"/>
              <w:rPr>
                <w:sz w:val="11"/>
              </w:rPr>
            </w:pPr>
            <w:r>
              <w:rPr>
                <w:color w:val="231F20"/>
                <w:sz w:val="20"/>
              </w:rPr>
              <w:t>316,668 breach offences recorded by police: around 31,669 each year.</w:t>
            </w:r>
            <w:r>
              <w:rPr>
                <w:color w:val="231F20"/>
                <w:position w:val="7"/>
                <w:sz w:val="11"/>
              </w:rPr>
              <w:t>79</w:t>
            </w:r>
          </w:p>
          <w:p w14:paraId="4F73716D" w14:textId="77777777" w:rsidR="00894070" w:rsidRDefault="009B7AFD">
            <w:pPr>
              <w:pStyle w:val="TableParagraph"/>
              <w:spacing w:before="123" w:line="206" w:lineRule="auto"/>
              <w:ind w:right="175"/>
              <w:rPr>
                <w:sz w:val="11"/>
              </w:rPr>
            </w:pPr>
            <w:r>
              <w:rPr>
                <w:color w:val="231F20"/>
                <w:sz w:val="20"/>
              </w:rPr>
              <w:t>This represents about half of FVIOs made each year (family violence safety notices and interim and</w:t>
            </w:r>
            <w:r>
              <w:rPr>
                <w:color w:val="231F20"/>
                <w:spacing w:val="-33"/>
                <w:sz w:val="20"/>
              </w:rPr>
              <w:t xml:space="preserve"> </w:t>
            </w:r>
            <w:r>
              <w:rPr>
                <w:color w:val="231F20"/>
                <w:sz w:val="20"/>
              </w:rPr>
              <w:t>final FVIOs).</w:t>
            </w:r>
            <w:r>
              <w:rPr>
                <w:color w:val="231F20"/>
                <w:position w:val="7"/>
                <w:sz w:val="11"/>
              </w:rPr>
              <w:t>80</w:t>
            </w:r>
          </w:p>
        </w:tc>
      </w:tr>
      <w:tr w:rsidR="00894070" w14:paraId="6FD88860" w14:textId="77777777">
        <w:trPr>
          <w:trHeight w:val="2924"/>
        </w:trPr>
        <w:tc>
          <w:tcPr>
            <w:tcW w:w="2119" w:type="dxa"/>
            <w:shd w:val="clear" w:color="auto" w:fill="F4BCAE"/>
          </w:tcPr>
          <w:p w14:paraId="33D1083A" w14:textId="77777777" w:rsidR="00894070" w:rsidRDefault="009B7AFD">
            <w:pPr>
              <w:pStyle w:val="TableParagraph"/>
              <w:spacing w:before="154" w:line="206" w:lineRule="auto"/>
              <w:ind w:right="946"/>
              <w:rPr>
                <w:b/>
                <w:sz w:val="20"/>
              </w:rPr>
            </w:pPr>
            <w:r>
              <w:rPr>
                <w:b/>
                <w:color w:val="231F20"/>
                <w:sz w:val="20"/>
              </w:rPr>
              <w:t>Number of breaches sentenced</w:t>
            </w:r>
          </w:p>
        </w:tc>
        <w:tc>
          <w:tcPr>
            <w:tcW w:w="2891" w:type="dxa"/>
          </w:tcPr>
          <w:p w14:paraId="75356A4A" w14:textId="77777777" w:rsidR="00894070" w:rsidRDefault="009B7AFD">
            <w:pPr>
              <w:pStyle w:val="TableParagraph"/>
              <w:spacing w:before="98" w:line="206" w:lineRule="auto"/>
              <w:ind w:right="80"/>
              <w:rPr>
                <w:sz w:val="11"/>
              </w:rPr>
            </w:pPr>
            <w:r>
              <w:rPr>
                <w:color w:val="231F20"/>
                <w:sz w:val="20"/>
              </w:rPr>
              <w:t>9,354 breach offences (around 1,003 each year) were sentenced. This is roughly a third of police recorded breach offences.</w:t>
            </w:r>
            <w:r>
              <w:rPr>
                <w:color w:val="231F20"/>
                <w:position w:val="7"/>
                <w:sz w:val="11"/>
              </w:rPr>
              <w:t>81</w:t>
            </w:r>
          </w:p>
          <w:p w14:paraId="1D3B9531" w14:textId="77777777" w:rsidR="00894070" w:rsidRDefault="009B7AFD">
            <w:pPr>
              <w:pStyle w:val="TableParagraph"/>
              <w:spacing w:before="126" w:line="206" w:lineRule="auto"/>
              <w:ind w:right="253"/>
              <w:rPr>
                <w:sz w:val="11"/>
              </w:rPr>
            </w:pPr>
            <w:r>
              <w:rPr>
                <w:color w:val="231F20"/>
                <w:sz w:val="20"/>
              </w:rPr>
              <w:t>94% of cases were sentenced in the Magistrates’ Court, 6% in the Children’s Court and less than 1% in the County Court.</w:t>
            </w:r>
            <w:r>
              <w:rPr>
                <w:color w:val="231F20"/>
                <w:position w:val="7"/>
                <w:sz w:val="11"/>
              </w:rPr>
              <w:t>82</w:t>
            </w:r>
          </w:p>
        </w:tc>
        <w:tc>
          <w:tcPr>
            <w:tcW w:w="2891" w:type="dxa"/>
          </w:tcPr>
          <w:p w14:paraId="11D73978" w14:textId="77777777" w:rsidR="00894070" w:rsidRDefault="009B7AFD">
            <w:pPr>
              <w:pStyle w:val="TableParagraph"/>
              <w:spacing w:before="98" w:line="206" w:lineRule="auto"/>
              <w:rPr>
                <w:sz w:val="11"/>
              </w:rPr>
            </w:pPr>
            <w:r>
              <w:rPr>
                <w:color w:val="231F20"/>
                <w:sz w:val="20"/>
              </w:rPr>
              <w:t>112,988 breach offences (around 11,299 each year) were sentenced. This is roughly a third of police recorded breach offences.</w:t>
            </w:r>
            <w:r>
              <w:rPr>
                <w:color w:val="231F20"/>
                <w:position w:val="7"/>
                <w:sz w:val="11"/>
              </w:rPr>
              <w:t>83</w:t>
            </w:r>
          </w:p>
          <w:p w14:paraId="08C45AB5" w14:textId="77777777" w:rsidR="00894070" w:rsidRDefault="009B7AFD">
            <w:pPr>
              <w:pStyle w:val="TableParagraph"/>
              <w:spacing w:before="126" w:line="206" w:lineRule="auto"/>
              <w:ind w:right="253"/>
              <w:rPr>
                <w:sz w:val="11"/>
              </w:rPr>
            </w:pPr>
            <w:r>
              <w:rPr>
                <w:color w:val="231F20"/>
                <w:sz w:val="20"/>
              </w:rPr>
              <w:t>97% of offences were sentenced in the Magistrates’ Court, 3% in the Children’s Court and less than 1% in the higher courts.</w:t>
            </w:r>
            <w:r>
              <w:rPr>
                <w:color w:val="231F20"/>
                <w:position w:val="7"/>
                <w:sz w:val="11"/>
              </w:rPr>
              <w:t>84</w:t>
            </w:r>
          </w:p>
        </w:tc>
      </w:tr>
      <w:tr w:rsidR="00894070" w14:paraId="12528ABE" w14:textId="77777777">
        <w:trPr>
          <w:trHeight w:val="5014"/>
        </w:trPr>
        <w:tc>
          <w:tcPr>
            <w:tcW w:w="2119" w:type="dxa"/>
            <w:shd w:val="clear" w:color="auto" w:fill="F4BCAE"/>
          </w:tcPr>
          <w:p w14:paraId="60F4B4AC" w14:textId="77777777" w:rsidR="00894070" w:rsidRDefault="009B7AFD">
            <w:pPr>
              <w:pStyle w:val="TableParagraph"/>
              <w:spacing w:before="154" w:line="206" w:lineRule="auto"/>
              <w:ind w:right="208"/>
              <w:rPr>
                <w:b/>
                <w:sz w:val="20"/>
              </w:rPr>
            </w:pPr>
            <w:r>
              <w:rPr>
                <w:b/>
                <w:color w:val="231F20"/>
                <w:sz w:val="20"/>
              </w:rPr>
              <w:t>Rural and regional Victoria is over- represented</w:t>
            </w:r>
          </w:p>
          <w:p w14:paraId="26C4169C" w14:textId="77777777" w:rsidR="00894070" w:rsidRDefault="00894070">
            <w:pPr>
              <w:pStyle w:val="TableParagraph"/>
              <w:ind w:left="0"/>
            </w:pPr>
          </w:p>
          <w:p w14:paraId="4BA41645" w14:textId="77777777" w:rsidR="00894070" w:rsidRDefault="009B7AFD">
            <w:pPr>
              <w:pStyle w:val="TableParagraph"/>
              <w:spacing w:before="179" w:line="206" w:lineRule="auto"/>
              <w:rPr>
                <w:sz w:val="11"/>
              </w:rPr>
            </w:pPr>
            <w:r>
              <w:rPr>
                <w:color w:val="231F20"/>
                <w:sz w:val="20"/>
              </w:rPr>
              <w:t>Around a quarter of Victoria’s population lives in rural and regional areas</w:t>
            </w:r>
            <w:r>
              <w:rPr>
                <w:color w:val="231F20"/>
                <w:position w:val="7"/>
                <w:sz w:val="11"/>
              </w:rPr>
              <w:t>85</w:t>
            </w:r>
          </w:p>
        </w:tc>
        <w:tc>
          <w:tcPr>
            <w:tcW w:w="2891" w:type="dxa"/>
          </w:tcPr>
          <w:p w14:paraId="70F7265C" w14:textId="77777777" w:rsidR="00894070" w:rsidRDefault="009B7AFD">
            <w:pPr>
              <w:pStyle w:val="TableParagraph"/>
              <w:spacing w:before="65" w:line="259" w:lineRule="exact"/>
              <w:rPr>
                <w:sz w:val="20"/>
              </w:rPr>
            </w:pPr>
            <w:r>
              <w:rPr>
                <w:color w:val="231F20"/>
                <w:sz w:val="20"/>
              </w:rPr>
              <w:t>Rural and regional areas</w:t>
            </w:r>
          </w:p>
          <w:p w14:paraId="54879AB2" w14:textId="77777777" w:rsidR="00894070" w:rsidRDefault="009B7AFD">
            <w:pPr>
              <w:pStyle w:val="TableParagraph"/>
              <w:spacing w:line="259" w:lineRule="exact"/>
              <w:rPr>
                <w:sz w:val="20"/>
              </w:rPr>
            </w:pPr>
            <w:r>
              <w:rPr>
                <w:color w:val="231F20"/>
                <w:sz w:val="20"/>
              </w:rPr>
              <w:t>accounted for:</w:t>
            </w:r>
          </w:p>
          <w:p w14:paraId="7146817E" w14:textId="77777777" w:rsidR="00894070" w:rsidRDefault="009B7AFD">
            <w:pPr>
              <w:pStyle w:val="TableParagraph"/>
              <w:numPr>
                <w:ilvl w:val="0"/>
                <w:numId w:val="170"/>
              </w:numPr>
              <w:tabs>
                <w:tab w:val="left" w:pos="453"/>
                <w:tab w:val="left" w:pos="454"/>
              </w:tabs>
              <w:spacing w:before="115" w:line="206" w:lineRule="auto"/>
              <w:ind w:right="170" w:hanging="340"/>
              <w:rPr>
                <w:sz w:val="20"/>
              </w:rPr>
            </w:pPr>
            <w:r>
              <w:rPr>
                <w:color w:val="231F20"/>
                <w:sz w:val="20"/>
              </w:rPr>
              <w:t>41% of PSIO</w:t>
            </w:r>
            <w:r>
              <w:rPr>
                <w:color w:val="231F20"/>
                <w:spacing w:val="-34"/>
                <w:sz w:val="20"/>
              </w:rPr>
              <w:t xml:space="preserve"> </w:t>
            </w:r>
            <w:r>
              <w:rPr>
                <w:color w:val="231F20"/>
                <w:sz w:val="20"/>
              </w:rPr>
              <w:t xml:space="preserve">applications, 34% of </w:t>
            </w:r>
            <w:r>
              <w:rPr>
                <w:color w:val="231F20"/>
                <w:spacing w:val="-3"/>
                <w:sz w:val="20"/>
              </w:rPr>
              <w:t>interim</w:t>
            </w:r>
            <w:r>
              <w:rPr>
                <w:color w:val="231F20"/>
                <w:spacing w:val="-14"/>
                <w:sz w:val="20"/>
              </w:rPr>
              <w:t xml:space="preserve"> </w:t>
            </w:r>
            <w:r>
              <w:rPr>
                <w:color w:val="231F20"/>
                <w:sz w:val="20"/>
              </w:rPr>
              <w:t>PSIOs</w:t>
            </w:r>
          </w:p>
          <w:p w14:paraId="38E2AF04" w14:textId="77777777" w:rsidR="00894070" w:rsidRDefault="009B7AFD">
            <w:pPr>
              <w:pStyle w:val="TableParagraph"/>
              <w:spacing w:before="3" w:line="206" w:lineRule="auto"/>
              <w:ind w:left="453"/>
              <w:rPr>
                <w:sz w:val="11"/>
              </w:rPr>
            </w:pPr>
            <w:r>
              <w:rPr>
                <w:color w:val="231F20"/>
                <w:sz w:val="20"/>
              </w:rPr>
              <w:t>and 41% of final PSIOs issued in the Magistrates’ Court</w:t>
            </w:r>
            <w:r>
              <w:rPr>
                <w:color w:val="231F20"/>
                <w:position w:val="7"/>
                <w:sz w:val="11"/>
              </w:rPr>
              <w:t>86</w:t>
            </w:r>
          </w:p>
          <w:p w14:paraId="6B610A30" w14:textId="77777777" w:rsidR="00894070" w:rsidRDefault="009B7AFD">
            <w:pPr>
              <w:pStyle w:val="TableParagraph"/>
              <w:numPr>
                <w:ilvl w:val="0"/>
                <w:numId w:val="170"/>
              </w:numPr>
              <w:tabs>
                <w:tab w:val="left" w:pos="453"/>
                <w:tab w:val="left" w:pos="454"/>
              </w:tabs>
              <w:spacing w:before="88" w:line="206" w:lineRule="auto"/>
              <w:ind w:right="150" w:hanging="340"/>
              <w:rPr>
                <w:sz w:val="11"/>
              </w:rPr>
            </w:pPr>
            <w:r>
              <w:rPr>
                <w:color w:val="231F20"/>
                <w:sz w:val="20"/>
              </w:rPr>
              <w:t>47% of PSIO</w:t>
            </w:r>
            <w:r>
              <w:rPr>
                <w:color w:val="231F20"/>
                <w:spacing w:val="-36"/>
                <w:sz w:val="20"/>
              </w:rPr>
              <w:t xml:space="preserve"> </w:t>
            </w:r>
            <w:r>
              <w:rPr>
                <w:color w:val="231F20"/>
                <w:sz w:val="20"/>
              </w:rPr>
              <w:t xml:space="preserve">applications, 54% of </w:t>
            </w:r>
            <w:r>
              <w:rPr>
                <w:color w:val="231F20"/>
                <w:spacing w:val="-3"/>
                <w:sz w:val="20"/>
              </w:rPr>
              <w:t xml:space="preserve">interim </w:t>
            </w:r>
            <w:r>
              <w:rPr>
                <w:color w:val="231F20"/>
                <w:sz w:val="20"/>
              </w:rPr>
              <w:t xml:space="preserve">PSIOs and 45% of final PSIOs in the </w:t>
            </w:r>
            <w:r>
              <w:rPr>
                <w:color w:val="231F20"/>
                <w:spacing w:val="-3"/>
                <w:sz w:val="20"/>
              </w:rPr>
              <w:t>Children’s</w:t>
            </w:r>
            <w:r>
              <w:rPr>
                <w:color w:val="231F20"/>
                <w:spacing w:val="-4"/>
                <w:sz w:val="20"/>
              </w:rPr>
              <w:t xml:space="preserve"> </w:t>
            </w:r>
            <w:r>
              <w:rPr>
                <w:color w:val="231F20"/>
                <w:sz w:val="20"/>
              </w:rPr>
              <w:t>Court.</w:t>
            </w:r>
            <w:r>
              <w:rPr>
                <w:color w:val="231F20"/>
                <w:position w:val="7"/>
                <w:sz w:val="11"/>
              </w:rPr>
              <w:t>87</w:t>
            </w:r>
          </w:p>
          <w:p w14:paraId="04D0B632" w14:textId="77777777" w:rsidR="00894070" w:rsidRDefault="009B7AFD">
            <w:pPr>
              <w:pStyle w:val="TableParagraph"/>
              <w:spacing w:before="90" w:line="206" w:lineRule="auto"/>
              <w:ind w:right="107"/>
              <w:rPr>
                <w:sz w:val="11"/>
              </w:rPr>
            </w:pPr>
            <w:r>
              <w:rPr>
                <w:color w:val="231F20"/>
                <w:sz w:val="20"/>
              </w:rPr>
              <w:t>Gippsland and Loddon Mallee were even more over-represented than other areas for both children and adults.</w:t>
            </w:r>
            <w:r>
              <w:rPr>
                <w:color w:val="231F20"/>
                <w:position w:val="7"/>
                <w:sz w:val="11"/>
              </w:rPr>
              <w:t>88</w:t>
            </w:r>
          </w:p>
        </w:tc>
        <w:tc>
          <w:tcPr>
            <w:tcW w:w="2891" w:type="dxa"/>
          </w:tcPr>
          <w:p w14:paraId="55EA5F39" w14:textId="77777777" w:rsidR="00894070" w:rsidRDefault="009B7AFD">
            <w:pPr>
              <w:pStyle w:val="TableParagraph"/>
              <w:spacing w:before="65" w:line="259" w:lineRule="exact"/>
              <w:rPr>
                <w:sz w:val="20"/>
              </w:rPr>
            </w:pPr>
            <w:r>
              <w:rPr>
                <w:color w:val="231F20"/>
                <w:sz w:val="20"/>
              </w:rPr>
              <w:t>Rural and regional areas</w:t>
            </w:r>
          </w:p>
          <w:p w14:paraId="1B53FD5A" w14:textId="77777777" w:rsidR="00894070" w:rsidRDefault="009B7AFD">
            <w:pPr>
              <w:pStyle w:val="TableParagraph"/>
              <w:spacing w:line="259" w:lineRule="exact"/>
              <w:rPr>
                <w:sz w:val="20"/>
              </w:rPr>
            </w:pPr>
            <w:r>
              <w:rPr>
                <w:color w:val="231F20"/>
                <w:sz w:val="20"/>
              </w:rPr>
              <w:t>accounted for:</w:t>
            </w:r>
          </w:p>
          <w:p w14:paraId="002B31E7" w14:textId="77777777" w:rsidR="00894070" w:rsidRDefault="009B7AFD">
            <w:pPr>
              <w:pStyle w:val="TableParagraph"/>
              <w:numPr>
                <w:ilvl w:val="0"/>
                <w:numId w:val="169"/>
              </w:numPr>
              <w:tabs>
                <w:tab w:val="left" w:pos="453"/>
                <w:tab w:val="left" w:pos="454"/>
              </w:tabs>
              <w:spacing w:before="115" w:line="206" w:lineRule="auto"/>
              <w:ind w:right="183" w:hanging="340"/>
              <w:rPr>
                <w:sz w:val="11"/>
              </w:rPr>
            </w:pPr>
            <w:r>
              <w:rPr>
                <w:color w:val="231F20"/>
                <w:sz w:val="20"/>
              </w:rPr>
              <w:t>35% of FVIO</w:t>
            </w:r>
            <w:r>
              <w:rPr>
                <w:color w:val="231F20"/>
                <w:spacing w:val="-33"/>
                <w:sz w:val="20"/>
              </w:rPr>
              <w:t xml:space="preserve"> </w:t>
            </w:r>
            <w:r>
              <w:rPr>
                <w:color w:val="231F20"/>
                <w:sz w:val="20"/>
              </w:rPr>
              <w:t xml:space="preserve">applications in the </w:t>
            </w:r>
            <w:r>
              <w:rPr>
                <w:color w:val="231F20"/>
                <w:spacing w:val="-3"/>
                <w:sz w:val="20"/>
              </w:rPr>
              <w:t xml:space="preserve">Magistrates’ </w:t>
            </w:r>
            <w:r>
              <w:rPr>
                <w:color w:val="231F20"/>
                <w:sz w:val="20"/>
              </w:rPr>
              <w:t>Court</w:t>
            </w:r>
            <w:r>
              <w:rPr>
                <w:color w:val="231F20"/>
                <w:position w:val="7"/>
                <w:sz w:val="11"/>
              </w:rPr>
              <w:t>89</w:t>
            </w:r>
          </w:p>
          <w:p w14:paraId="142613FB" w14:textId="77777777" w:rsidR="00894070" w:rsidRDefault="009B7AFD">
            <w:pPr>
              <w:pStyle w:val="TableParagraph"/>
              <w:numPr>
                <w:ilvl w:val="0"/>
                <w:numId w:val="169"/>
              </w:numPr>
              <w:tabs>
                <w:tab w:val="left" w:pos="453"/>
                <w:tab w:val="left" w:pos="454"/>
              </w:tabs>
              <w:spacing w:before="89" w:line="206" w:lineRule="auto"/>
              <w:ind w:right="138" w:hanging="340"/>
              <w:rPr>
                <w:sz w:val="11"/>
              </w:rPr>
            </w:pPr>
            <w:r>
              <w:rPr>
                <w:color w:val="231F20"/>
                <w:sz w:val="20"/>
              </w:rPr>
              <w:t>45% of FVIO</w:t>
            </w:r>
            <w:r>
              <w:rPr>
                <w:color w:val="231F20"/>
                <w:spacing w:val="-35"/>
                <w:sz w:val="20"/>
              </w:rPr>
              <w:t xml:space="preserve"> </w:t>
            </w:r>
            <w:r>
              <w:rPr>
                <w:color w:val="231F20"/>
                <w:sz w:val="20"/>
              </w:rPr>
              <w:t xml:space="preserve">applications, 38% of </w:t>
            </w:r>
            <w:r>
              <w:rPr>
                <w:color w:val="231F20"/>
                <w:spacing w:val="-3"/>
                <w:sz w:val="20"/>
              </w:rPr>
              <w:t xml:space="preserve">interim </w:t>
            </w:r>
            <w:r>
              <w:rPr>
                <w:color w:val="231F20"/>
                <w:sz w:val="20"/>
              </w:rPr>
              <w:t xml:space="preserve">FVIOs and </w:t>
            </w:r>
            <w:r>
              <w:rPr>
                <w:color w:val="231F20"/>
                <w:spacing w:val="-2"/>
                <w:sz w:val="20"/>
              </w:rPr>
              <w:t xml:space="preserve">48% </w:t>
            </w:r>
            <w:r>
              <w:rPr>
                <w:color w:val="231F20"/>
                <w:sz w:val="20"/>
              </w:rPr>
              <w:t xml:space="preserve">of final FVIOs in the </w:t>
            </w:r>
            <w:r>
              <w:rPr>
                <w:color w:val="231F20"/>
                <w:spacing w:val="-3"/>
                <w:sz w:val="20"/>
              </w:rPr>
              <w:t>Children’s</w:t>
            </w:r>
            <w:r>
              <w:rPr>
                <w:color w:val="231F20"/>
                <w:spacing w:val="-4"/>
                <w:sz w:val="20"/>
              </w:rPr>
              <w:t xml:space="preserve"> </w:t>
            </w:r>
            <w:r>
              <w:rPr>
                <w:color w:val="231F20"/>
                <w:sz w:val="20"/>
              </w:rPr>
              <w:t>Court.</w:t>
            </w:r>
            <w:r>
              <w:rPr>
                <w:color w:val="231F20"/>
                <w:position w:val="7"/>
                <w:sz w:val="11"/>
              </w:rPr>
              <w:t>90</w:t>
            </w:r>
          </w:p>
          <w:p w14:paraId="13D94C58" w14:textId="77777777" w:rsidR="00894070" w:rsidRDefault="009B7AFD">
            <w:pPr>
              <w:pStyle w:val="TableParagraph"/>
              <w:spacing w:before="90" w:line="206" w:lineRule="auto"/>
              <w:ind w:right="134"/>
              <w:rPr>
                <w:sz w:val="11"/>
              </w:rPr>
            </w:pPr>
            <w:r>
              <w:rPr>
                <w:color w:val="231F20"/>
                <w:sz w:val="20"/>
              </w:rPr>
              <w:t xml:space="preserve">The Sentencing Advisory Council noted ‘A child in rural and regional Victoria is effectively more than twice as likely as a child in the Greater Melbourne area to be a respondent to a FVIO, especially in Gippsland, Loddon Mallee and Barwon </w:t>
            </w:r>
            <w:proofErr w:type="gramStart"/>
            <w:r>
              <w:rPr>
                <w:color w:val="231F20"/>
                <w:sz w:val="20"/>
              </w:rPr>
              <w:t>South West</w:t>
            </w:r>
            <w:proofErr w:type="gramEnd"/>
            <w:r>
              <w:rPr>
                <w:color w:val="231F20"/>
                <w:sz w:val="20"/>
              </w:rPr>
              <w:t>.’</w:t>
            </w:r>
            <w:r>
              <w:rPr>
                <w:color w:val="231F20"/>
                <w:position w:val="7"/>
                <w:sz w:val="11"/>
              </w:rPr>
              <w:t>91</w:t>
            </w:r>
          </w:p>
        </w:tc>
      </w:tr>
    </w:tbl>
    <w:p w14:paraId="03A15E98" w14:textId="77777777" w:rsidR="00894070" w:rsidRDefault="00894070">
      <w:pPr>
        <w:pStyle w:val="BodyText"/>
      </w:pPr>
    </w:p>
    <w:p w14:paraId="60B6A266" w14:textId="77777777" w:rsidR="00894070" w:rsidRDefault="00894070">
      <w:pPr>
        <w:pStyle w:val="BodyText"/>
      </w:pPr>
    </w:p>
    <w:p w14:paraId="59810364" w14:textId="77777777" w:rsidR="00894070" w:rsidRDefault="009F6793">
      <w:pPr>
        <w:pStyle w:val="BodyText"/>
        <w:spacing w:before="11"/>
        <w:rPr>
          <w:sz w:val="12"/>
        </w:rPr>
      </w:pPr>
      <w:r>
        <w:pict w14:anchorId="528881DF">
          <v:line id="_x0000_s1658" style="position:absolute;z-index:251443200;mso-wrap-distance-left:0;mso-wrap-distance-right:0;mso-position-horizontal-relative:page" from="79.35pt,11.35pt" to="515.9pt,11.35pt" strokecolor="#f8cabc" strokeweight="1pt">
            <w10:wrap type="topAndBottom" anchorx="page"/>
          </v:line>
        </w:pict>
      </w:r>
    </w:p>
    <w:p w14:paraId="456C0BAA" w14:textId="77777777" w:rsidR="00894070" w:rsidRDefault="009B7AFD">
      <w:pPr>
        <w:pStyle w:val="ListParagraph"/>
        <w:numPr>
          <w:ilvl w:val="0"/>
          <w:numId w:val="171"/>
        </w:numPr>
        <w:tabs>
          <w:tab w:val="left" w:pos="1800"/>
          <w:tab w:val="left" w:pos="1802"/>
        </w:tabs>
        <w:spacing w:before="107" w:line="213" w:lineRule="auto"/>
        <w:ind w:right="1276"/>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w:t>
      </w:r>
      <w:r>
        <w:rPr>
          <w:color w:val="231F20"/>
          <w:spacing w:val="3"/>
          <w:sz w:val="13"/>
        </w:rPr>
        <w:t xml:space="preserve">[5.2], </w:t>
      </w:r>
      <w:r>
        <w:rPr>
          <w:color w:val="231F20"/>
          <w:sz w:val="13"/>
        </w:rPr>
        <w:t>Figure</w:t>
      </w:r>
      <w:r>
        <w:rPr>
          <w:color w:val="231F20"/>
          <w:spacing w:val="-3"/>
          <w:sz w:val="13"/>
        </w:rPr>
        <w:t xml:space="preserve"> </w:t>
      </w:r>
      <w:r>
        <w:rPr>
          <w:color w:val="231F20"/>
          <w:sz w:val="13"/>
        </w:rPr>
        <w:t>16.</w:t>
      </w:r>
    </w:p>
    <w:p w14:paraId="5D0847A8" w14:textId="77777777" w:rsidR="00894070" w:rsidRDefault="009B7AFD">
      <w:pPr>
        <w:pStyle w:val="ListParagraph"/>
        <w:numPr>
          <w:ilvl w:val="0"/>
          <w:numId w:val="171"/>
        </w:numPr>
        <w:tabs>
          <w:tab w:val="left" w:pos="1800"/>
          <w:tab w:val="left" w:pos="1802"/>
        </w:tabs>
        <w:spacing w:line="213" w:lineRule="auto"/>
        <w:ind w:right="1396"/>
        <w:rPr>
          <w:sz w:val="13"/>
        </w:rPr>
      </w:pPr>
      <w:r>
        <w:rPr>
          <w:color w:val="231F20"/>
          <w:sz w:val="13"/>
        </w:rPr>
        <w:t xml:space="preserve">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 xml:space="preserve">May 2022) </w:t>
      </w:r>
      <w:r>
        <w:rPr>
          <w:color w:val="231F20"/>
          <w:spacing w:val="2"/>
          <w:sz w:val="13"/>
        </w:rPr>
        <w:t xml:space="preserve">[4.2]. </w:t>
      </w:r>
      <w:r>
        <w:rPr>
          <w:color w:val="231F20"/>
          <w:sz w:val="13"/>
        </w:rPr>
        <w:t>The Sentencing Advisory Council cites an annual figure of ‘about</w:t>
      </w:r>
      <w:r>
        <w:rPr>
          <w:color w:val="231F20"/>
          <w:spacing w:val="10"/>
          <w:sz w:val="13"/>
        </w:rPr>
        <w:t xml:space="preserve"> </w:t>
      </w:r>
      <w:r>
        <w:rPr>
          <w:color w:val="231F20"/>
          <w:sz w:val="13"/>
        </w:rPr>
        <w:t>32,000’.</w:t>
      </w:r>
    </w:p>
    <w:p w14:paraId="21B1DC23" w14:textId="77777777" w:rsidR="00894070" w:rsidRDefault="009B7AFD">
      <w:pPr>
        <w:pStyle w:val="ListParagraph"/>
        <w:numPr>
          <w:ilvl w:val="0"/>
          <w:numId w:val="171"/>
        </w:numPr>
        <w:tabs>
          <w:tab w:val="left" w:pos="1801"/>
          <w:tab w:val="left" w:pos="1802"/>
        </w:tabs>
        <w:spacing w:line="153" w:lineRule="exact"/>
        <w:rPr>
          <w:sz w:val="13"/>
        </w:rPr>
      </w:pPr>
      <w:r>
        <w:rPr>
          <w:color w:val="231F20"/>
          <w:spacing w:val="2"/>
          <w:sz w:val="13"/>
        </w:rPr>
        <w:t xml:space="preserve">Based </w:t>
      </w:r>
      <w:r>
        <w:rPr>
          <w:color w:val="231F20"/>
          <w:sz w:val="13"/>
        </w:rPr>
        <w:t>on the figures in ibid</w:t>
      </w:r>
      <w:r>
        <w:rPr>
          <w:color w:val="231F20"/>
          <w:spacing w:val="-2"/>
          <w:sz w:val="13"/>
        </w:rPr>
        <w:t xml:space="preserve"> </w:t>
      </w:r>
      <w:r>
        <w:rPr>
          <w:color w:val="231F20"/>
          <w:sz w:val="13"/>
        </w:rPr>
        <w:t>viii.</w:t>
      </w:r>
    </w:p>
    <w:p w14:paraId="3F56F7F7" w14:textId="77777777" w:rsidR="00894070" w:rsidRDefault="009B7AFD">
      <w:pPr>
        <w:pStyle w:val="ListParagraph"/>
        <w:numPr>
          <w:ilvl w:val="0"/>
          <w:numId w:val="171"/>
        </w:numPr>
        <w:tabs>
          <w:tab w:val="left" w:pos="1800"/>
          <w:tab w:val="left" w:pos="1802"/>
        </w:tabs>
        <w:spacing w:before="5" w:line="213" w:lineRule="auto"/>
        <w:ind w:right="1276"/>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    ix.</w:t>
      </w:r>
    </w:p>
    <w:p w14:paraId="0673A2FD" w14:textId="77777777" w:rsidR="00894070" w:rsidRDefault="009B7AFD">
      <w:pPr>
        <w:pStyle w:val="ListParagraph"/>
        <w:numPr>
          <w:ilvl w:val="0"/>
          <w:numId w:val="171"/>
        </w:numPr>
        <w:tabs>
          <w:tab w:val="left" w:pos="1801"/>
          <w:tab w:val="left" w:pos="1802"/>
        </w:tabs>
        <w:spacing w:line="153" w:lineRule="exact"/>
        <w:rPr>
          <w:sz w:val="13"/>
        </w:rPr>
      </w:pPr>
      <w:r>
        <w:rPr>
          <w:color w:val="231F20"/>
          <w:sz w:val="13"/>
        </w:rPr>
        <w:t>Ibid.</w:t>
      </w:r>
    </w:p>
    <w:p w14:paraId="1D4078BD" w14:textId="77777777" w:rsidR="00894070" w:rsidRDefault="009B7AFD">
      <w:pPr>
        <w:pStyle w:val="ListParagraph"/>
        <w:numPr>
          <w:ilvl w:val="0"/>
          <w:numId w:val="171"/>
        </w:numPr>
        <w:tabs>
          <w:tab w:val="left" w:pos="1801"/>
          <w:tab w:val="left" w:pos="1802"/>
        </w:tabs>
        <w:spacing w:before="7" w:line="213" w:lineRule="auto"/>
        <w:ind w:right="1392"/>
        <w:rPr>
          <w:sz w:val="13"/>
        </w:rPr>
      </w:pPr>
      <w:r>
        <w:rPr>
          <w:color w:val="231F20"/>
          <w:sz w:val="13"/>
        </w:rPr>
        <w:t xml:space="preserve">Sentencing Advisory Council (Vic), </w:t>
      </w:r>
      <w:r>
        <w:rPr>
          <w:i/>
          <w:color w:val="231F20"/>
          <w:sz w:val="13"/>
        </w:rPr>
        <w:t>Sentencing Breaches of Family Violence Intervention Orde</w:t>
      </w:r>
      <w:r>
        <w:rPr>
          <w:color w:val="231F20"/>
          <w:sz w:val="13"/>
        </w:rPr>
        <w:t xml:space="preserve">rs and </w:t>
      </w:r>
      <w:r>
        <w:rPr>
          <w:i/>
          <w:color w:val="231F20"/>
          <w:sz w:val="13"/>
        </w:rPr>
        <w:t xml:space="preserve">Safety Notices </w:t>
      </w:r>
      <w:r>
        <w:rPr>
          <w:color w:val="231F20"/>
          <w:spacing w:val="2"/>
          <w:sz w:val="13"/>
        </w:rPr>
        <w:t xml:space="preserve">(Report, </w:t>
      </w:r>
      <w:r>
        <w:rPr>
          <w:color w:val="231F20"/>
          <w:sz w:val="13"/>
        </w:rPr>
        <w:t xml:space="preserve">May 2022) </w:t>
      </w:r>
      <w:r>
        <w:rPr>
          <w:color w:val="231F20"/>
          <w:spacing w:val="3"/>
          <w:sz w:val="13"/>
        </w:rPr>
        <w:t>[5.2].</w:t>
      </w:r>
    </w:p>
    <w:p w14:paraId="4D64A04F" w14:textId="77777777" w:rsidR="00894070" w:rsidRDefault="009B7AFD">
      <w:pPr>
        <w:pStyle w:val="ListParagraph"/>
        <w:numPr>
          <w:ilvl w:val="0"/>
          <w:numId w:val="171"/>
        </w:numPr>
        <w:tabs>
          <w:tab w:val="left" w:pos="1800"/>
          <w:tab w:val="left" w:pos="1802"/>
        </w:tabs>
        <w:spacing w:line="153" w:lineRule="exact"/>
        <w:rPr>
          <w:sz w:val="13"/>
        </w:rPr>
      </w:pPr>
      <w:r>
        <w:rPr>
          <w:color w:val="231F20"/>
          <w:sz w:val="13"/>
        </w:rPr>
        <w:t>Ibid.</w:t>
      </w:r>
    </w:p>
    <w:p w14:paraId="2866D2A3" w14:textId="77777777" w:rsidR="00894070" w:rsidRDefault="009B7AFD">
      <w:pPr>
        <w:pStyle w:val="ListParagraph"/>
        <w:numPr>
          <w:ilvl w:val="0"/>
          <w:numId w:val="171"/>
        </w:numPr>
        <w:tabs>
          <w:tab w:val="left" w:pos="1801"/>
          <w:tab w:val="left" w:pos="1802"/>
        </w:tabs>
        <w:spacing w:before="6" w:line="213" w:lineRule="auto"/>
        <w:ind w:right="1276"/>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w:t>
      </w:r>
      <w:r>
        <w:rPr>
          <w:color w:val="231F20"/>
          <w:spacing w:val="2"/>
          <w:sz w:val="13"/>
        </w:rPr>
        <w:t>[3.9],</w:t>
      </w:r>
      <w:r>
        <w:rPr>
          <w:color w:val="231F20"/>
          <w:sz w:val="13"/>
        </w:rPr>
        <w:t xml:space="preserve"> </w:t>
      </w:r>
      <w:r>
        <w:rPr>
          <w:color w:val="231F20"/>
          <w:spacing w:val="2"/>
          <w:sz w:val="13"/>
        </w:rPr>
        <w:t>[4.14].</w:t>
      </w:r>
    </w:p>
    <w:p w14:paraId="0BAB8C30" w14:textId="77777777" w:rsidR="00894070" w:rsidRDefault="009B7AFD">
      <w:pPr>
        <w:tabs>
          <w:tab w:val="left" w:pos="1801"/>
        </w:tabs>
        <w:spacing w:line="153" w:lineRule="exact"/>
        <w:ind w:left="1007"/>
        <w:rPr>
          <w:sz w:val="13"/>
        </w:rPr>
      </w:pPr>
      <w:r>
        <w:rPr>
          <w:color w:val="231F20"/>
          <w:sz w:val="13"/>
        </w:rPr>
        <w:t>86</w:t>
      </w:r>
      <w:r>
        <w:rPr>
          <w:color w:val="231F20"/>
          <w:sz w:val="13"/>
        </w:rPr>
        <w:tab/>
        <w:t xml:space="preserve">Ibid </w:t>
      </w:r>
      <w:r>
        <w:rPr>
          <w:color w:val="231F20"/>
          <w:spacing w:val="2"/>
          <w:sz w:val="13"/>
        </w:rPr>
        <w:t>[4.14].</w:t>
      </w:r>
    </w:p>
    <w:p w14:paraId="4F2DC02A" w14:textId="77777777" w:rsidR="00894070" w:rsidRDefault="009B7AFD">
      <w:pPr>
        <w:tabs>
          <w:tab w:val="left" w:pos="1801"/>
        </w:tabs>
        <w:spacing w:line="160" w:lineRule="exact"/>
        <w:ind w:left="1007"/>
        <w:rPr>
          <w:sz w:val="13"/>
        </w:rPr>
      </w:pPr>
      <w:r>
        <w:rPr>
          <w:color w:val="231F20"/>
          <w:sz w:val="13"/>
        </w:rPr>
        <w:t>87</w:t>
      </w:r>
      <w:r>
        <w:rPr>
          <w:color w:val="231F20"/>
          <w:sz w:val="13"/>
        </w:rPr>
        <w:tab/>
        <w:t xml:space="preserve">Ibid </w:t>
      </w:r>
      <w:r>
        <w:rPr>
          <w:color w:val="231F20"/>
          <w:spacing w:val="2"/>
          <w:sz w:val="13"/>
        </w:rPr>
        <w:t>[3.9].</w:t>
      </w:r>
    </w:p>
    <w:p w14:paraId="2931E3FA" w14:textId="77777777" w:rsidR="00894070" w:rsidRDefault="009B7AFD">
      <w:pPr>
        <w:tabs>
          <w:tab w:val="left" w:pos="1801"/>
        </w:tabs>
        <w:spacing w:line="160" w:lineRule="exact"/>
        <w:ind w:left="1007"/>
        <w:rPr>
          <w:sz w:val="13"/>
        </w:rPr>
      </w:pPr>
      <w:r>
        <w:rPr>
          <w:color w:val="231F20"/>
          <w:sz w:val="13"/>
        </w:rPr>
        <w:t>88</w:t>
      </w:r>
      <w:r>
        <w:rPr>
          <w:color w:val="231F20"/>
          <w:sz w:val="13"/>
        </w:rPr>
        <w:tab/>
        <w:t xml:space="preserve">Ibid </w:t>
      </w:r>
      <w:r>
        <w:rPr>
          <w:color w:val="231F20"/>
          <w:spacing w:val="2"/>
          <w:sz w:val="13"/>
        </w:rPr>
        <w:t>[3.9],</w:t>
      </w:r>
      <w:r>
        <w:rPr>
          <w:color w:val="231F20"/>
          <w:sz w:val="13"/>
        </w:rPr>
        <w:t xml:space="preserve"> </w:t>
      </w:r>
      <w:r>
        <w:rPr>
          <w:color w:val="231F20"/>
          <w:spacing w:val="2"/>
          <w:sz w:val="13"/>
        </w:rPr>
        <w:t>[4.14].</w:t>
      </w:r>
    </w:p>
    <w:p w14:paraId="7A03A3B1" w14:textId="77777777" w:rsidR="00894070" w:rsidRDefault="009B7AFD">
      <w:pPr>
        <w:tabs>
          <w:tab w:val="left" w:pos="1801"/>
        </w:tabs>
        <w:spacing w:before="6" w:line="213" w:lineRule="auto"/>
        <w:ind w:left="1801" w:right="1459" w:hanging="794"/>
        <w:rPr>
          <w:sz w:val="13"/>
        </w:rPr>
      </w:pPr>
      <w:r>
        <w:rPr>
          <w:color w:val="231F20"/>
          <w:sz w:val="13"/>
        </w:rPr>
        <w:t>89</w:t>
      </w:r>
      <w:r>
        <w:rPr>
          <w:color w:val="231F20"/>
          <w:sz w:val="13"/>
        </w:rPr>
        <w:tab/>
        <w:t xml:space="preserve">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 xml:space="preserve">May 2022) </w:t>
      </w:r>
      <w:r>
        <w:rPr>
          <w:color w:val="231F20"/>
          <w:spacing w:val="2"/>
          <w:sz w:val="13"/>
        </w:rPr>
        <w:t>[3.15].</w:t>
      </w:r>
    </w:p>
    <w:p w14:paraId="78ABAE24" w14:textId="77777777" w:rsidR="00894070" w:rsidRDefault="009F6793">
      <w:pPr>
        <w:tabs>
          <w:tab w:val="left" w:pos="1801"/>
        </w:tabs>
        <w:spacing w:line="153" w:lineRule="exact"/>
        <w:ind w:left="1007"/>
        <w:rPr>
          <w:sz w:val="13"/>
        </w:rPr>
      </w:pPr>
      <w:r>
        <w:pict w14:anchorId="59EB1BF3">
          <v:shape id="_x0000_s1657" type="#_x0000_t202" style="position:absolute;left:0;text-align:left;margin-left:549.2pt;margin-top:3.35pt;width:12.8pt;height:14.1pt;z-index:251509760;mso-position-horizontal-relative:page" filled="f" stroked="f">
            <v:textbox inset="0,0,0,0">
              <w:txbxContent>
                <w:p w14:paraId="7D429C06" w14:textId="77777777" w:rsidR="00894070" w:rsidRDefault="009B7AFD">
                  <w:pPr>
                    <w:spacing w:line="282" w:lineRule="exact"/>
                    <w:rPr>
                      <w:b/>
                      <w:sz w:val="24"/>
                    </w:rPr>
                  </w:pPr>
                  <w:r>
                    <w:rPr>
                      <w:b/>
                      <w:color w:val="EA5B50"/>
                      <w:sz w:val="24"/>
                    </w:rPr>
                    <w:t>21</w:t>
                  </w:r>
                </w:p>
              </w:txbxContent>
            </v:textbox>
            <w10:wrap anchorx="page"/>
          </v:shape>
        </w:pict>
      </w:r>
      <w:r w:rsidR="009B7AFD">
        <w:rPr>
          <w:color w:val="231F20"/>
          <w:sz w:val="13"/>
        </w:rPr>
        <w:t>90</w:t>
      </w:r>
      <w:r w:rsidR="009B7AFD">
        <w:rPr>
          <w:color w:val="231F20"/>
          <w:sz w:val="13"/>
        </w:rPr>
        <w:tab/>
        <w:t>Ibid</w:t>
      </w:r>
      <w:r w:rsidR="009B7AFD">
        <w:rPr>
          <w:color w:val="231F20"/>
          <w:spacing w:val="12"/>
          <w:sz w:val="13"/>
        </w:rPr>
        <w:t xml:space="preserve"> </w:t>
      </w:r>
      <w:r w:rsidR="009B7AFD">
        <w:rPr>
          <w:color w:val="231F20"/>
          <w:spacing w:val="2"/>
          <w:sz w:val="13"/>
        </w:rPr>
        <w:t>[3.27].</w:t>
      </w:r>
    </w:p>
    <w:p w14:paraId="6D448A32" w14:textId="77777777" w:rsidR="00894070" w:rsidRDefault="009B7AFD">
      <w:pPr>
        <w:tabs>
          <w:tab w:val="left" w:pos="1800"/>
        </w:tabs>
        <w:spacing w:line="170" w:lineRule="exact"/>
        <w:ind w:left="1007"/>
        <w:rPr>
          <w:sz w:val="13"/>
        </w:rPr>
      </w:pPr>
      <w:r>
        <w:rPr>
          <w:color w:val="231F20"/>
          <w:sz w:val="13"/>
        </w:rPr>
        <w:t>91</w:t>
      </w:r>
      <w:r>
        <w:rPr>
          <w:color w:val="231F20"/>
          <w:sz w:val="13"/>
        </w:rPr>
        <w:tab/>
        <w:t>Ibid</w:t>
      </w:r>
      <w:r>
        <w:rPr>
          <w:color w:val="231F20"/>
          <w:spacing w:val="12"/>
          <w:sz w:val="13"/>
        </w:rPr>
        <w:t xml:space="preserve"> </w:t>
      </w:r>
      <w:r>
        <w:rPr>
          <w:color w:val="231F20"/>
          <w:spacing w:val="2"/>
          <w:sz w:val="13"/>
        </w:rPr>
        <w:t>[3.27].</w:t>
      </w:r>
    </w:p>
    <w:p w14:paraId="79768863" w14:textId="77777777" w:rsidR="00894070" w:rsidRDefault="00894070">
      <w:pPr>
        <w:spacing w:line="170" w:lineRule="exact"/>
        <w:rPr>
          <w:sz w:val="13"/>
        </w:rPr>
        <w:sectPr w:rsidR="00894070">
          <w:pgSz w:w="11910" w:h="16840"/>
          <w:pgMar w:top="840" w:right="420" w:bottom="280" w:left="580" w:header="0" w:footer="0" w:gutter="0"/>
          <w:cols w:space="720"/>
        </w:sectPr>
      </w:pPr>
    </w:p>
    <w:p w14:paraId="535B3147" w14:textId="77777777" w:rsidR="00894070" w:rsidRDefault="00894070">
      <w:pPr>
        <w:pStyle w:val="BodyText"/>
      </w:pPr>
    </w:p>
    <w:p w14:paraId="6C7E5F9C" w14:textId="77777777" w:rsidR="00894070" w:rsidRDefault="00894070">
      <w:pPr>
        <w:pStyle w:val="BodyText"/>
      </w:pPr>
    </w:p>
    <w:p w14:paraId="4726D650" w14:textId="77777777" w:rsidR="00894070" w:rsidRDefault="00894070">
      <w:pPr>
        <w:pStyle w:val="BodyText"/>
      </w:pPr>
    </w:p>
    <w:p w14:paraId="37F8919B" w14:textId="77777777" w:rsidR="00894070" w:rsidRDefault="00894070">
      <w:pPr>
        <w:pStyle w:val="BodyText"/>
        <w:spacing w:before="8"/>
        <w:rPr>
          <w:sz w:val="19"/>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119"/>
        <w:gridCol w:w="5808"/>
      </w:tblGrid>
      <w:tr w:rsidR="00894070" w14:paraId="752ECE0E" w14:textId="77777777">
        <w:trPr>
          <w:trHeight w:val="518"/>
        </w:trPr>
        <w:tc>
          <w:tcPr>
            <w:tcW w:w="7927" w:type="dxa"/>
            <w:gridSpan w:val="2"/>
            <w:shd w:val="clear" w:color="auto" w:fill="F4BCAE"/>
          </w:tcPr>
          <w:p w14:paraId="55F6B947" w14:textId="77777777" w:rsidR="00894070" w:rsidRDefault="009B7AFD">
            <w:pPr>
              <w:pStyle w:val="TableParagraph"/>
              <w:spacing w:before="122"/>
              <w:rPr>
                <w:b/>
                <w:sz w:val="20"/>
              </w:rPr>
            </w:pPr>
            <w:r>
              <w:rPr>
                <w:b/>
                <w:color w:val="231F20"/>
                <w:sz w:val="20"/>
              </w:rPr>
              <w:t>When they involve adults, PSIOs are …</w:t>
            </w:r>
          </w:p>
        </w:tc>
      </w:tr>
      <w:tr w:rsidR="00894070" w14:paraId="789C6346" w14:textId="77777777">
        <w:trPr>
          <w:trHeight w:val="4650"/>
        </w:trPr>
        <w:tc>
          <w:tcPr>
            <w:tcW w:w="2119" w:type="dxa"/>
            <w:shd w:val="clear" w:color="auto" w:fill="F4BCAE"/>
          </w:tcPr>
          <w:p w14:paraId="1FA3D331" w14:textId="77777777" w:rsidR="00894070" w:rsidRDefault="009B7AFD">
            <w:pPr>
              <w:pStyle w:val="TableParagraph"/>
              <w:spacing w:before="154" w:line="206" w:lineRule="auto"/>
              <w:ind w:right="312"/>
              <w:rPr>
                <w:b/>
                <w:sz w:val="20"/>
              </w:rPr>
            </w:pPr>
            <w:r>
              <w:rPr>
                <w:b/>
                <w:color w:val="231F20"/>
                <w:sz w:val="20"/>
              </w:rPr>
              <w:t>Rarely made against strangers</w:t>
            </w:r>
          </w:p>
        </w:tc>
        <w:tc>
          <w:tcPr>
            <w:tcW w:w="5808" w:type="dxa"/>
          </w:tcPr>
          <w:p w14:paraId="6AE9CC0D" w14:textId="77777777" w:rsidR="00894070" w:rsidRDefault="009B7AFD">
            <w:pPr>
              <w:pStyle w:val="TableParagraph"/>
              <w:spacing w:before="98" w:line="206" w:lineRule="auto"/>
              <w:ind w:right="101"/>
              <w:rPr>
                <w:sz w:val="20"/>
              </w:rPr>
            </w:pPr>
            <w:r>
              <w:rPr>
                <w:color w:val="231F20"/>
                <w:sz w:val="20"/>
              </w:rPr>
              <w:t>The majority of PSIOs related to people who knew each other:</w:t>
            </w:r>
          </w:p>
          <w:p w14:paraId="2645F2FB" w14:textId="77777777" w:rsidR="00894070" w:rsidRDefault="009B7AFD">
            <w:pPr>
              <w:pStyle w:val="TableParagraph"/>
              <w:numPr>
                <w:ilvl w:val="0"/>
                <w:numId w:val="168"/>
              </w:numPr>
              <w:tabs>
                <w:tab w:val="left" w:pos="453"/>
                <w:tab w:val="left" w:pos="454"/>
              </w:tabs>
              <w:spacing w:before="90"/>
              <w:ind w:hanging="340"/>
              <w:rPr>
                <w:sz w:val="20"/>
              </w:rPr>
            </w:pPr>
            <w:r>
              <w:rPr>
                <w:color w:val="231F20"/>
                <w:sz w:val="20"/>
              </w:rPr>
              <w:t xml:space="preserve">27% </w:t>
            </w:r>
            <w:r>
              <w:rPr>
                <w:color w:val="231F20"/>
                <w:spacing w:val="-4"/>
                <w:sz w:val="20"/>
              </w:rPr>
              <w:t>were</w:t>
            </w:r>
            <w:r>
              <w:rPr>
                <w:color w:val="231F20"/>
                <w:spacing w:val="-9"/>
                <w:sz w:val="20"/>
              </w:rPr>
              <w:t xml:space="preserve"> </w:t>
            </w:r>
            <w:proofErr w:type="spellStart"/>
            <w:r>
              <w:rPr>
                <w:color w:val="231F20"/>
                <w:sz w:val="20"/>
              </w:rPr>
              <w:t>neighbours</w:t>
            </w:r>
            <w:proofErr w:type="spellEnd"/>
          </w:p>
          <w:p w14:paraId="64873C28" w14:textId="77777777" w:rsidR="00894070" w:rsidRDefault="009B7AFD">
            <w:pPr>
              <w:pStyle w:val="TableParagraph"/>
              <w:numPr>
                <w:ilvl w:val="0"/>
                <w:numId w:val="168"/>
              </w:numPr>
              <w:tabs>
                <w:tab w:val="left" w:pos="453"/>
                <w:tab w:val="left" w:pos="454"/>
              </w:tabs>
              <w:spacing w:before="47"/>
              <w:ind w:hanging="340"/>
              <w:rPr>
                <w:sz w:val="20"/>
              </w:rPr>
            </w:pPr>
            <w:r>
              <w:rPr>
                <w:color w:val="231F20"/>
                <w:spacing w:val="-4"/>
                <w:sz w:val="20"/>
              </w:rPr>
              <w:t xml:space="preserve">20% were </w:t>
            </w:r>
            <w:r>
              <w:rPr>
                <w:color w:val="231F20"/>
                <w:spacing w:val="-3"/>
                <w:sz w:val="20"/>
              </w:rPr>
              <w:t xml:space="preserve">children </w:t>
            </w:r>
            <w:r>
              <w:rPr>
                <w:color w:val="231F20"/>
                <w:sz w:val="20"/>
              </w:rPr>
              <w:t>of a primary affected</w:t>
            </w:r>
            <w:r>
              <w:rPr>
                <w:color w:val="231F20"/>
                <w:spacing w:val="-25"/>
                <w:sz w:val="20"/>
              </w:rPr>
              <w:t xml:space="preserve"> </w:t>
            </w:r>
            <w:r>
              <w:rPr>
                <w:color w:val="231F20"/>
                <w:sz w:val="20"/>
              </w:rPr>
              <w:t>person</w:t>
            </w:r>
          </w:p>
          <w:p w14:paraId="331BB47B" w14:textId="77777777" w:rsidR="00894070" w:rsidRDefault="009B7AFD">
            <w:pPr>
              <w:pStyle w:val="TableParagraph"/>
              <w:numPr>
                <w:ilvl w:val="0"/>
                <w:numId w:val="168"/>
              </w:numPr>
              <w:tabs>
                <w:tab w:val="left" w:pos="453"/>
                <w:tab w:val="left" w:pos="454"/>
              </w:tabs>
              <w:spacing w:before="48"/>
              <w:ind w:hanging="340"/>
              <w:rPr>
                <w:sz w:val="20"/>
              </w:rPr>
            </w:pPr>
            <w:r>
              <w:rPr>
                <w:color w:val="231F20"/>
                <w:sz w:val="20"/>
              </w:rPr>
              <w:t xml:space="preserve">14% </w:t>
            </w:r>
            <w:r>
              <w:rPr>
                <w:color w:val="231F20"/>
                <w:spacing w:val="-4"/>
                <w:sz w:val="20"/>
              </w:rPr>
              <w:t xml:space="preserve">were </w:t>
            </w:r>
            <w:r>
              <w:rPr>
                <w:color w:val="231F20"/>
                <w:sz w:val="20"/>
              </w:rPr>
              <w:t xml:space="preserve">friends, former </w:t>
            </w:r>
            <w:proofErr w:type="gramStart"/>
            <w:r>
              <w:rPr>
                <w:color w:val="231F20"/>
                <w:sz w:val="20"/>
              </w:rPr>
              <w:t>friends</w:t>
            </w:r>
            <w:proofErr w:type="gramEnd"/>
            <w:r>
              <w:rPr>
                <w:color w:val="231F20"/>
                <w:sz w:val="20"/>
              </w:rPr>
              <w:t xml:space="preserve"> or</w:t>
            </w:r>
            <w:r>
              <w:rPr>
                <w:color w:val="231F20"/>
                <w:spacing w:val="-32"/>
                <w:sz w:val="20"/>
              </w:rPr>
              <w:t xml:space="preserve"> </w:t>
            </w:r>
            <w:r>
              <w:rPr>
                <w:color w:val="231F20"/>
                <w:sz w:val="20"/>
              </w:rPr>
              <w:t>acquaintances</w:t>
            </w:r>
          </w:p>
          <w:p w14:paraId="48E7A661" w14:textId="77777777" w:rsidR="00894070" w:rsidRDefault="009B7AFD">
            <w:pPr>
              <w:pStyle w:val="TableParagraph"/>
              <w:numPr>
                <w:ilvl w:val="0"/>
                <w:numId w:val="168"/>
              </w:numPr>
              <w:tabs>
                <w:tab w:val="left" w:pos="453"/>
                <w:tab w:val="left" w:pos="454"/>
              </w:tabs>
              <w:spacing w:before="47" w:line="259" w:lineRule="exact"/>
              <w:ind w:hanging="340"/>
              <w:rPr>
                <w:sz w:val="20"/>
              </w:rPr>
            </w:pPr>
            <w:r>
              <w:rPr>
                <w:color w:val="231F20"/>
                <w:sz w:val="20"/>
              </w:rPr>
              <w:t>3%</w:t>
            </w:r>
            <w:r>
              <w:rPr>
                <w:color w:val="231F20"/>
                <w:spacing w:val="-6"/>
                <w:sz w:val="20"/>
              </w:rPr>
              <w:t xml:space="preserve"> </w:t>
            </w:r>
            <w:r>
              <w:rPr>
                <w:color w:val="231F20"/>
                <w:spacing w:val="-4"/>
                <w:sz w:val="20"/>
              </w:rPr>
              <w:t>were</w:t>
            </w:r>
            <w:r>
              <w:rPr>
                <w:color w:val="231F20"/>
                <w:spacing w:val="-6"/>
                <w:sz w:val="20"/>
              </w:rPr>
              <w:t xml:space="preserve"> </w:t>
            </w:r>
            <w:r>
              <w:rPr>
                <w:color w:val="231F20"/>
                <w:sz w:val="20"/>
              </w:rPr>
              <w:t>a</w:t>
            </w:r>
            <w:r>
              <w:rPr>
                <w:color w:val="231F20"/>
                <w:spacing w:val="-6"/>
                <w:sz w:val="20"/>
              </w:rPr>
              <w:t xml:space="preserve"> </w:t>
            </w:r>
            <w:r>
              <w:rPr>
                <w:color w:val="231F20"/>
                <w:sz w:val="20"/>
              </w:rPr>
              <w:t>former</w:t>
            </w:r>
            <w:r>
              <w:rPr>
                <w:color w:val="231F20"/>
                <w:spacing w:val="-6"/>
                <w:sz w:val="20"/>
              </w:rPr>
              <w:t xml:space="preserve"> </w:t>
            </w:r>
            <w:r>
              <w:rPr>
                <w:color w:val="231F20"/>
                <w:sz w:val="20"/>
              </w:rPr>
              <w:t>partner’s</w:t>
            </w:r>
            <w:r>
              <w:rPr>
                <w:color w:val="231F20"/>
                <w:spacing w:val="-6"/>
                <w:sz w:val="20"/>
              </w:rPr>
              <w:t xml:space="preserve"> </w:t>
            </w:r>
            <w:r>
              <w:rPr>
                <w:color w:val="231F20"/>
                <w:sz w:val="20"/>
              </w:rPr>
              <w:t>associate,</w:t>
            </w:r>
            <w:r>
              <w:rPr>
                <w:color w:val="231F20"/>
                <w:spacing w:val="-6"/>
                <w:sz w:val="20"/>
              </w:rPr>
              <w:t xml:space="preserve"> </w:t>
            </w:r>
            <w:r>
              <w:rPr>
                <w:color w:val="231F20"/>
                <w:spacing w:val="-3"/>
                <w:sz w:val="20"/>
              </w:rPr>
              <w:t>relative</w:t>
            </w:r>
            <w:r>
              <w:rPr>
                <w:color w:val="231F20"/>
                <w:spacing w:val="-6"/>
                <w:sz w:val="20"/>
              </w:rPr>
              <w:t xml:space="preserve"> </w:t>
            </w:r>
            <w:r>
              <w:rPr>
                <w:color w:val="231F20"/>
                <w:sz w:val="20"/>
              </w:rPr>
              <w:t>or</w:t>
            </w:r>
            <w:r>
              <w:rPr>
                <w:color w:val="231F20"/>
                <w:spacing w:val="-6"/>
                <w:sz w:val="20"/>
              </w:rPr>
              <w:t xml:space="preserve"> </w:t>
            </w:r>
            <w:r>
              <w:rPr>
                <w:color w:val="231F20"/>
                <w:sz w:val="20"/>
              </w:rPr>
              <w:t>new</w:t>
            </w:r>
          </w:p>
          <w:p w14:paraId="79E6ACF4" w14:textId="77777777" w:rsidR="00894070" w:rsidRDefault="009B7AFD">
            <w:pPr>
              <w:pStyle w:val="TableParagraph"/>
              <w:spacing w:line="259" w:lineRule="exact"/>
              <w:ind w:left="453"/>
              <w:rPr>
                <w:sz w:val="20"/>
              </w:rPr>
            </w:pPr>
            <w:r>
              <w:rPr>
                <w:color w:val="231F20"/>
                <w:sz w:val="20"/>
              </w:rPr>
              <w:t>partner</w:t>
            </w:r>
          </w:p>
          <w:p w14:paraId="2186050D" w14:textId="77777777" w:rsidR="00894070" w:rsidRDefault="009B7AFD">
            <w:pPr>
              <w:pStyle w:val="TableParagraph"/>
              <w:numPr>
                <w:ilvl w:val="0"/>
                <w:numId w:val="168"/>
              </w:numPr>
              <w:tabs>
                <w:tab w:val="left" w:pos="453"/>
                <w:tab w:val="left" w:pos="454"/>
              </w:tabs>
              <w:spacing w:before="48"/>
              <w:ind w:hanging="340"/>
              <w:rPr>
                <w:sz w:val="20"/>
              </w:rPr>
            </w:pPr>
            <w:r>
              <w:rPr>
                <w:color w:val="231F20"/>
                <w:sz w:val="20"/>
              </w:rPr>
              <w:t xml:space="preserve">3% </w:t>
            </w:r>
            <w:r>
              <w:rPr>
                <w:color w:val="231F20"/>
                <w:spacing w:val="-4"/>
                <w:sz w:val="20"/>
              </w:rPr>
              <w:t xml:space="preserve">were </w:t>
            </w:r>
            <w:r>
              <w:rPr>
                <w:color w:val="231F20"/>
                <w:sz w:val="20"/>
              </w:rPr>
              <w:t>co-tenants and</w:t>
            </w:r>
            <w:r>
              <w:rPr>
                <w:color w:val="231F20"/>
                <w:spacing w:val="-15"/>
                <w:sz w:val="20"/>
              </w:rPr>
              <w:t xml:space="preserve"> </w:t>
            </w:r>
            <w:r>
              <w:rPr>
                <w:color w:val="231F20"/>
                <w:sz w:val="20"/>
              </w:rPr>
              <w:t>borders</w:t>
            </w:r>
          </w:p>
          <w:p w14:paraId="2D7C99AB" w14:textId="77777777" w:rsidR="00894070" w:rsidRDefault="009B7AFD">
            <w:pPr>
              <w:pStyle w:val="TableParagraph"/>
              <w:numPr>
                <w:ilvl w:val="0"/>
                <w:numId w:val="168"/>
              </w:numPr>
              <w:tabs>
                <w:tab w:val="left" w:pos="453"/>
                <w:tab w:val="left" w:pos="454"/>
              </w:tabs>
              <w:spacing w:before="47"/>
              <w:ind w:hanging="340"/>
              <w:rPr>
                <w:sz w:val="20"/>
              </w:rPr>
            </w:pPr>
            <w:r>
              <w:rPr>
                <w:color w:val="231F20"/>
                <w:sz w:val="20"/>
              </w:rPr>
              <w:t xml:space="preserve">3% </w:t>
            </w:r>
            <w:r>
              <w:rPr>
                <w:color w:val="231F20"/>
                <w:spacing w:val="-4"/>
                <w:sz w:val="20"/>
              </w:rPr>
              <w:t xml:space="preserve">were </w:t>
            </w:r>
            <w:r>
              <w:rPr>
                <w:color w:val="231F20"/>
                <w:sz w:val="20"/>
              </w:rPr>
              <w:t xml:space="preserve">an </w:t>
            </w:r>
            <w:r>
              <w:rPr>
                <w:color w:val="231F20"/>
                <w:spacing w:val="-4"/>
                <w:sz w:val="20"/>
              </w:rPr>
              <w:t xml:space="preserve">employer, </w:t>
            </w:r>
            <w:proofErr w:type="gramStart"/>
            <w:r>
              <w:rPr>
                <w:color w:val="231F20"/>
                <w:spacing w:val="-3"/>
                <w:sz w:val="20"/>
              </w:rPr>
              <w:t>employee</w:t>
            </w:r>
            <w:proofErr w:type="gramEnd"/>
            <w:r>
              <w:rPr>
                <w:color w:val="231F20"/>
                <w:spacing w:val="-3"/>
                <w:sz w:val="20"/>
              </w:rPr>
              <w:t xml:space="preserve"> </w:t>
            </w:r>
            <w:r>
              <w:rPr>
                <w:color w:val="231F20"/>
                <w:sz w:val="20"/>
              </w:rPr>
              <w:t xml:space="preserve">or </w:t>
            </w:r>
            <w:r>
              <w:rPr>
                <w:color w:val="231F20"/>
                <w:spacing w:val="-3"/>
                <w:sz w:val="20"/>
              </w:rPr>
              <w:t>work</w:t>
            </w:r>
            <w:r>
              <w:rPr>
                <w:color w:val="231F20"/>
                <w:spacing w:val="-22"/>
                <w:sz w:val="20"/>
              </w:rPr>
              <w:t xml:space="preserve"> </w:t>
            </w:r>
            <w:r>
              <w:rPr>
                <w:color w:val="231F20"/>
                <w:sz w:val="20"/>
              </w:rPr>
              <w:t>colleague</w:t>
            </w:r>
          </w:p>
          <w:p w14:paraId="201FF5B6" w14:textId="77777777" w:rsidR="00894070" w:rsidRDefault="009B7AFD">
            <w:pPr>
              <w:pStyle w:val="TableParagraph"/>
              <w:numPr>
                <w:ilvl w:val="0"/>
                <w:numId w:val="168"/>
              </w:numPr>
              <w:tabs>
                <w:tab w:val="left" w:pos="453"/>
                <w:tab w:val="left" w:pos="454"/>
              </w:tabs>
              <w:spacing w:before="47" w:line="259" w:lineRule="exact"/>
              <w:ind w:hanging="340"/>
              <w:rPr>
                <w:sz w:val="20"/>
              </w:rPr>
            </w:pPr>
            <w:r>
              <w:rPr>
                <w:color w:val="231F20"/>
                <w:sz w:val="20"/>
              </w:rPr>
              <w:t>3%</w:t>
            </w:r>
            <w:r>
              <w:rPr>
                <w:color w:val="231F20"/>
                <w:spacing w:val="-6"/>
                <w:sz w:val="20"/>
              </w:rPr>
              <w:t xml:space="preserve"> </w:t>
            </w:r>
            <w:r>
              <w:rPr>
                <w:color w:val="231F20"/>
                <w:spacing w:val="-4"/>
                <w:sz w:val="20"/>
              </w:rPr>
              <w:t>were</w:t>
            </w:r>
            <w:r>
              <w:rPr>
                <w:color w:val="231F20"/>
                <w:spacing w:val="-6"/>
                <w:sz w:val="20"/>
              </w:rPr>
              <w:t xml:space="preserve"> </w:t>
            </w:r>
            <w:r>
              <w:rPr>
                <w:color w:val="231F20"/>
                <w:sz w:val="20"/>
              </w:rPr>
              <w:t>a</w:t>
            </w:r>
            <w:r>
              <w:rPr>
                <w:color w:val="231F20"/>
                <w:spacing w:val="-6"/>
                <w:sz w:val="20"/>
              </w:rPr>
              <w:t xml:space="preserve"> </w:t>
            </w:r>
            <w:r>
              <w:rPr>
                <w:color w:val="231F20"/>
                <w:sz w:val="20"/>
              </w:rPr>
              <w:t>former</w:t>
            </w:r>
            <w:r>
              <w:rPr>
                <w:color w:val="231F20"/>
                <w:spacing w:val="-6"/>
                <w:sz w:val="20"/>
              </w:rPr>
              <w:t xml:space="preserve"> </w:t>
            </w:r>
            <w:r>
              <w:rPr>
                <w:color w:val="231F20"/>
                <w:sz w:val="20"/>
              </w:rPr>
              <w:t>partner’s</w:t>
            </w:r>
            <w:r>
              <w:rPr>
                <w:color w:val="231F20"/>
                <w:spacing w:val="-6"/>
                <w:sz w:val="20"/>
              </w:rPr>
              <w:t xml:space="preserve"> </w:t>
            </w:r>
            <w:r>
              <w:rPr>
                <w:color w:val="231F20"/>
                <w:sz w:val="20"/>
              </w:rPr>
              <w:t>associate,</w:t>
            </w:r>
            <w:r>
              <w:rPr>
                <w:color w:val="231F20"/>
                <w:spacing w:val="-6"/>
                <w:sz w:val="20"/>
              </w:rPr>
              <w:t xml:space="preserve"> </w:t>
            </w:r>
            <w:r>
              <w:rPr>
                <w:color w:val="231F20"/>
                <w:spacing w:val="-3"/>
                <w:sz w:val="20"/>
              </w:rPr>
              <w:t>relative</w:t>
            </w:r>
            <w:r>
              <w:rPr>
                <w:color w:val="231F20"/>
                <w:spacing w:val="-6"/>
                <w:sz w:val="20"/>
              </w:rPr>
              <w:t xml:space="preserve"> </w:t>
            </w:r>
            <w:r>
              <w:rPr>
                <w:color w:val="231F20"/>
                <w:sz w:val="20"/>
              </w:rPr>
              <w:t>or</w:t>
            </w:r>
            <w:r>
              <w:rPr>
                <w:color w:val="231F20"/>
                <w:spacing w:val="-6"/>
                <w:sz w:val="20"/>
              </w:rPr>
              <w:t xml:space="preserve"> </w:t>
            </w:r>
            <w:r>
              <w:rPr>
                <w:color w:val="231F20"/>
                <w:sz w:val="20"/>
              </w:rPr>
              <w:t>new</w:t>
            </w:r>
          </w:p>
          <w:p w14:paraId="052210A0" w14:textId="77777777" w:rsidR="00894070" w:rsidRDefault="009B7AFD">
            <w:pPr>
              <w:pStyle w:val="TableParagraph"/>
              <w:spacing w:line="259" w:lineRule="exact"/>
              <w:ind w:left="453"/>
              <w:rPr>
                <w:sz w:val="20"/>
              </w:rPr>
            </w:pPr>
            <w:r>
              <w:rPr>
                <w:color w:val="231F20"/>
                <w:sz w:val="20"/>
              </w:rPr>
              <w:t>partner</w:t>
            </w:r>
          </w:p>
          <w:p w14:paraId="06E484DF" w14:textId="77777777" w:rsidR="00894070" w:rsidRDefault="009B7AFD">
            <w:pPr>
              <w:pStyle w:val="TableParagraph"/>
              <w:numPr>
                <w:ilvl w:val="0"/>
                <w:numId w:val="168"/>
              </w:numPr>
              <w:tabs>
                <w:tab w:val="left" w:pos="453"/>
                <w:tab w:val="left" w:pos="454"/>
              </w:tabs>
              <w:spacing w:before="48"/>
              <w:ind w:hanging="340"/>
              <w:rPr>
                <w:sz w:val="20"/>
              </w:rPr>
            </w:pPr>
            <w:r>
              <w:rPr>
                <w:color w:val="231F20"/>
                <w:sz w:val="20"/>
              </w:rPr>
              <w:t xml:space="preserve">2% </w:t>
            </w:r>
            <w:r>
              <w:rPr>
                <w:color w:val="231F20"/>
                <w:spacing w:val="-4"/>
                <w:sz w:val="20"/>
              </w:rPr>
              <w:t xml:space="preserve">were </w:t>
            </w:r>
            <w:r>
              <w:rPr>
                <w:color w:val="231F20"/>
                <w:sz w:val="20"/>
              </w:rPr>
              <w:t xml:space="preserve">a </w:t>
            </w:r>
            <w:r>
              <w:rPr>
                <w:color w:val="231F20"/>
                <w:spacing w:val="-3"/>
                <w:sz w:val="20"/>
              </w:rPr>
              <w:t xml:space="preserve">current </w:t>
            </w:r>
            <w:r>
              <w:rPr>
                <w:color w:val="231F20"/>
                <w:sz w:val="20"/>
              </w:rPr>
              <w:t>partner’s former</w:t>
            </w:r>
            <w:r>
              <w:rPr>
                <w:color w:val="231F20"/>
                <w:spacing w:val="-20"/>
                <w:sz w:val="20"/>
              </w:rPr>
              <w:t xml:space="preserve"> </w:t>
            </w:r>
            <w:r>
              <w:rPr>
                <w:color w:val="231F20"/>
                <w:sz w:val="20"/>
              </w:rPr>
              <w:t>partner</w:t>
            </w:r>
          </w:p>
          <w:p w14:paraId="07CA2214" w14:textId="77777777" w:rsidR="00894070" w:rsidRDefault="009B7AFD">
            <w:pPr>
              <w:pStyle w:val="TableParagraph"/>
              <w:numPr>
                <w:ilvl w:val="0"/>
                <w:numId w:val="168"/>
              </w:numPr>
              <w:tabs>
                <w:tab w:val="left" w:pos="453"/>
                <w:tab w:val="left" w:pos="454"/>
              </w:tabs>
              <w:spacing w:before="80" w:line="206" w:lineRule="auto"/>
              <w:ind w:right="388" w:hanging="340"/>
              <w:rPr>
                <w:sz w:val="20"/>
              </w:rPr>
            </w:pPr>
            <w:r>
              <w:rPr>
                <w:color w:val="231F20"/>
                <w:sz w:val="20"/>
              </w:rPr>
              <w:t>21%</w:t>
            </w:r>
            <w:r>
              <w:rPr>
                <w:color w:val="231F20"/>
                <w:spacing w:val="-12"/>
                <w:sz w:val="20"/>
              </w:rPr>
              <w:t xml:space="preserve"> </w:t>
            </w:r>
            <w:r>
              <w:rPr>
                <w:color w:val="231F20"/>
                <w:spacing w:val="-4"/>
                <w:sz w:val="20"/>
              </w:rPr>
              <w:t>were</w:t>
            </w:r>
            <w:r>
              <w:rPr>
                <w:color w:val="231F20"/>
                <w:spacing w:val="-11"/>
                <w:sz w:val="20"/>
              </w:rPr>
              <w:t xml:space="preserve"> </w:t>
            </w:r>
            <w:r>
              <w:rPr>
                <w:color w:val="231F20"/>
                <w:sz w:val="20"/>
              </w:rPr>
              <w:t>other</w:t>
            </w:r>
            <w:r>
              <w:rPr>
                <w:color w:val="231F20"/>
                <w:spacing w:val="-11"/>
                <w:sz w:val="20"/>
              </w:rPr>
              <w:t xml:space="preserve"> </w:t>
            </w:r>
            <w:r>
              <w:rPr>
                <w:color w:val="231F20"/>
                <w:sz w:val="20"/>
              </w:rPr>
              <w:t>categories</w:t>
            </w:r>
            <w:r>
              <w:rPr>
                <w:color w:val="231F20"/>
                <w:spacing w:val="-12"/>
                <w:sz w:val="20"/>
              </w:rPr>
              <w:t xml:space="preserve"> </w:t>
            </w:r>
            <w:r>
              <w:rPr>
                <w:color w:val="231F20"/>
                <w:sz w:val="20"/>
              </w:rPr>
              <w:t>of</w:t>
            </w:r>
            <w:r>
              <w:rPr>
                <w:color w:val="231F20"/>
                <w:spacing w:val="-11"/>
                <w:sz w:val="20"/>
              </w:rPr>
              <w:t xml:space="preserve"> </w:t>
            </w:r>
            <w:r>
              <w:rPr>
                <w:color w:val="231F20"/>
                <w:sz w:val="20"/>
              </w:rPr>
              <w:t>people</w:t>
            </w:r>
            <w:r>
              <w:rPr>
                <w:color w:val="231F20"/>
                <w:spacing w:val="-11"/>
                <w:sz w:val="20"/>
              </w:rPr>
              <w:t xml:space="preserve"> </w:t>
            </w:r>
            <w:r>
              <w:rPr>
                <w:color w:val="231F20"/>
                <w:sz w:val="20"/>
              </w:rPr>
              <w:t>(neither</w:t>
            </w:r>
            <w:r>
              <w:rPr>
                <w:color w:val="231F20"/>
                <w:spacing w:val="-11"/>
                <w:sz w:val="20"/>
              </w:rPr>
              <w:t xml:space="preserve"> </w:t>
            </w:r>
            <w:r>
              <w:rPr>
                <w:color w:val="231F20"/>
                <w:sz w:val="20"/>
              </w:rPr>
              <w:t xml:space="preserve">strangers nor </w:t>
            </w:r>
            <w:r>
              <w:rPr>
                <w:color w:val="231F20"/>
                <w:spacing w:val="-3"/>
                <w:sz w:val="20"/>
              </w:rPr>
              <w:t xml:space="preserve">any </w:t>
            </w:r>
            <w:r>
              <w:rPr>
                <w:color w:val="231F20"/>
                <w:sz w:val="20"/>
              </w:rPr>
              <w:t>of the people listed</w:t>
            </w:r>
            <w:r>
              <w:rPr>
                <w:color w:val="231F20"/>
                <w:spacing w:val="-24"/>
                <w:sz w:val="20"/>
              </w:rPr>
              <w:t xml:space="preserve"> </w:t>
            </w:r>
            <w:r>
              <w:rPr>
                <w:color w:val="231F20"/>
                <w:spacing w:val="-4"/>
                <w:sz w:val="20"/>
              </w:rPr>
              <w:t>above).</w:t>
            </w:r>
          </w:p>
          <w:p w14:paraId="7089FC2E" w14:textId="77777777" w:rsidR="00894070" w:rsidRDefault="009B7AFD">
            <w:pPr>
              <w:pStyle w:val="TableParagraph"/>
              <w:spacing w:before="55"/>
              <w:rPr>
                <w:sz w:val="11"/>
              </w:rPr>
            </w:pPr>
            <w:r>
              <w:rPr>
                <w:color w:val="231F20"/>
                <w:sz w:val="20"/>
              </w:rPr>
              <w:t>3% of PSIOs provided protection against strangers.</w:t>
            </w:r>
            <w:r>
              <w:rPr>
                <w:color w:val="231F20"/>
                <w:position w:val="7"/>
                <w:sz w:val="11"/>
              </w:rPr>
              <w:t>92</w:t>
            </w:r>
          </w:p>
        </w:tc>
      </w:tr>
      <w:tr w:rsidR="00894070" w14:paraId="53264576" w14:textId="77777777">
        <w:trPr>
          <w:trHeight w:val="2769"/>
        </w:trPr>
        <w:tc>
          <w:tcPr>
            <w:tcW w:w="2119" w:type="dxa"/>
            <w:shd w:val="clear" w:color="auto" w:fill="F4BCAE"/>
          </w:tcPr>
          <w:p w14:paraId="22996A4B" w14:textId="77777777" w:rsidR="00894070" w:rsidRDefault="009B7AFD">
            <w:pPr>
              <w:pStyle w:val="TableParagraph"/>
              <w:spacing w:before="154" w:line="206" w:lineRule="auto"/>
              <w:rPr>
                <w:sz w:val="20"/>
              </w:rPr>
            </w:pPr>
            <w:r>
              <w:rPr>
                <w:b/>
                <w:color w:val="231F20"/>
                <w:sz w:val="20"/>
              </w:rPr>
              <w:t xml:space="preserve">Gendered </w:t>
            </w:r>
            <w:r>
              <w:rPr>
                <w:color w:val="231F20"/>
                <w:sz w:val="20"/>
              </w:rPr>
              <w:t>but less strikingly than family violence orders or stalking offences charged under the Crimes Act</w:t>
            </w:r>
          </w:p>
        </w:tc>
        <w:tc>
          <w:tcPr>
            <w:tcW w:w="5808" w:type="dxa"/>
          </w:tcPr>
          <w:p w14:paraId="728F8E71" w14:textId="77777777" w:rsidR="00894070" w:rsidRDefault="009B7AFD">
            <w:pPr>
              <w:pStyle w:val="TableParagraph"/>
              <w:spacing w:before="98" w:line="206" w:lineRule="auto"/>
              <w:ind w:right="444"/>
              <w:rPr>
                <w:sz w:val="11"/>
              </w:rPr>
            </w:pPr>
            <w:r>
              <w:rPr>
                <w:color w:val="231F20"/>
                <w:sz w:val="20"/>
              </w:rPr>
              <w:t>Just over half of adults protected by a PSIO were female (55%), and two-thirds (67%) of respondents were male.</w:t>
            </w:r>
            <w:r>
              <w:rPr>
                <w:color w:val="231F20"/>
                <w:position w:val="7"/>
                <w:sz w:val="11"/>
              </w:rPr>
              <w:t>93</w:t>
            </w:r>
          </w:p>
          <w:p w14:paraId="08588508" w14:textId="77777777" w:rsidR="00894070" w:rsidRDefault="009B7AFD">
            <w:pPr>
              <w:pStyle w:val="TableParagraph"/>
              <w:spacing w:before="122" w:line="206" w:lineRule="auto"/>
              <w:rPr>
                <w:sz w:val="11"/>
              </w:rPr>
            </w:pPr>
            <w:r>
              <w:rPr>
                <w:color w:val="231F20"/>
                <w:sz w:val="20"/>
              </w:rPr>
              <w:t>In contrast, 82% of FVIO respondents were male and 80% of protected persons for FVIOs issued in the Magistrates’ Court were female.</w:t>
            </w:r>
            <w:r>
              <w:rPr>
                <w:color w:val="231F20"/>
                <w:position w:val="7"/>
                <w:sz w:val="11"/>
              </w:rPr>
              <w:t>94</w:t>
            </w:r>
          </w:p>
          <w:p w14:paraId="46F440AC" w14:textId="77777777" w:rsidR="00894070" w:rsidRDefault="009B7AFD">
            <w:pPr>
              <w:pStyle w:val="TableParagraph"/>
              <w:spacing w:before="92" w:line="259" w:lineRule="exact"/>
              <w:rPr>
                <w:sz w:val="20"/>
              </w:rPr>
            </w:pPr>
            <w:r>
              <w:rPr>
                <w:color w:val="231F20"/>
                <w:sz w:val="20"/>
              </w:rPr>
              <w:t>The fact that gender plays less of a role in PSIO cases may</w:t>
            </w:r>
          </w:p>
          <w:p w14:paraId="2361EC3D" w14:textId="77777777" w:rsidR="00894070" w:rsidRDefault="009B7AFD">
            <w:pPr>
              <w:pStyle w:val="TableParagraph"/>
              <w:spacing w:line="259" w:lineRule="exact"/>
              <w:rPr>
                <w:sz w:val="20"/>
              </w:rPr>
            </w:pPr>
            <w:r>
              <w:rPr>
                <w:color w:val="231F20"/>
                <w:sz w:val="20"/>
              </w:rPr>
              <w:t>reflect:</w:t>
            </w:r>
          </w:p>
          <w:p w14:paraId="7EB0AD42" w14:textId="77777777" w:rsidR="00894070" w:rsidRDefault="009B7AFD">
            <w:pPr>
              <w:pStyle w:val="TableParagraph"/>
              <w:numPr>
                <w:ilvl w:val="0"/>
                <w:numId w:val="167"/>
              </w:numPr>
              <w:tabs>
                <w:tab w:val="left" w:pos="453"/>
                <w:tab w:val="left" w:pos="454"/>
              </w:tabs>
              <w:spacing w:before="82"/>
              <w:ind w:hanging="340"/>
              <w:rPr>
                <w:sz w:val="20"/>
              </w:rPr>
            </w:pPr>
            <w:r>
              <w:rPr>
                <w:color w:val="231F20"/>
                <w:sz w:val="20"/>
              </w:rPr>
              <w:t>the wider range of conduct</w:t>
            </w:r>
            <w:r>
              <w:rPr>
                <w:color w:val="231F20"/>
                <w:spacing w:val="-23"/>
                <w:sz w:val="20"/>
              </w:rPr>
              <w:t xml:space="preserve"> </w:t>
            </w:r>
            <w:r>
              <w:rPr>
                <w:color w:val="231F20"/>
                <w:spacing w:val="-4"/>
                <w:sz w:val="20"/>
              </w:rPr>
              <w:t>covered</w:t>
            </w:r>
          </w:p>
          <w:p w14:paraId="5AF3B9A8" w14:textId="77777777" w:rsidR="00894070" w:rsidRDefault="009B7AFD">
            <w:pPr>
              <w:pStyle w:val="TableParagraph"/>
              <w:numPr>
                <w:ilvl w:val="0"/>
                <w:numId w:val="167"/>
              </w:numPr>
              <w:tabs>
                <w:tab w:val="left" w:pos="453"/>
                <w:tab w:val="left" w:pos="454"/>
              </w:tabs>
              <w:spacing w:before="47"/>
              <w:ind w:hanging="340"/>
              <w:rPr>
                <w:sz w:val="11"/>
              </w:rPr>
            </w:pPr>
            <w:r>
              <w:rPr>
                <w:color w:val="231F20"/>
                <w:sz w:val="20"/>
              </w:rPr>
              <w:t>that</w:t>
            </w:r>
            <w:r>
              <w:rPr>
                <w:color w:val="231F20"/>
                <w:spacing w:val="-7"/>
                <w:sz w:val="20"/>
              </w:rPr>
              <w:t xml:space="preserve"> </w:t>
            </w:r>
            <w:r>
              <w:rPr>
                <w:color w:val="231F20"/>
                <w:spacing w:val="-3"/>
                <w:sz w:val="20"/>
              </w:rPr>
              <w:t>family</w:t>
            </w:r>
            <w:r>
              <w:rPr>
                <w:color w:val="231F20"/>
                <w:spacing w:val="-7"/>
                <w:sz w:val="20"/>
              </w:rPr>
              <w:t xml:space="preserve"> </w:t>
            </w:r>
            <w:r>
              <w:rPr>
                <w:color w:val="231F20"/>
                <w:sz w:val="20"/>
              </w:rPr>
              <w:t>violence</w:t>
            </w:r>
            <w:r>
              <w:rPr>
                <w:color w:val="231F20"/>
                <w:spacing w:val="-7"/>
                <w:sz w:val="20"/>
              </w:rPr>
              <w:t xml:space="preserve"> </w:t>
            </w:r>
            <w:r>
              <w:rPr>
                <w:color w:val="231F20"/>
                <w:sz w:val="20"/>
              </w:rPr>
              <w:t>is</w:t>
            </w:r>
            <w:r>
              <w:rPr>
                <w:color w:val="231F20"/>
                <w:spacing w:val="-7"/>
                <w:sz w:val="20"/>
              </w:rPr>
              <w:t xml:space="preserve"> </w:t>
            </w:r>
            <w:r>
              <w:rPr>
                <w:color w:val="231F20"/>
                <w:sz w:val="20"/>
              </w:rPr>
              <w:t>less</w:t>
            </w:r>
            <w:r>
              <w:rPr>
                <w:color w:val="231F20"/>
                <w:spacing w:val="-6"/>
                <w:sz w:val="20"/>
              </w:rPr>
              <w:t xml:space="preserve"> </w:t>
            </w:r>
            <w:r>
              <w:rPr>
                <w:color w:val="231F20"/>
                <w:sz w:val="20"/>
              </w:rPr>
              <w:t>often</w:t>
            </w:r>
            <w:r>
              <w:rPr>
                <w:color w:val="231F20"/>
                <w:spacing w:val="-7"/>
                <w:sz w:val="20"/>
              </w:rPr>
              <w:t xml:space="preserve"> </w:t>
            </w:r>
            <w:r>
              <w:rPr>
                <w:color w:val="231F20"/>
                <w:sz w:val="20"/>
              </w:rPr>
              <w:t>a</w:t>
            </w:r>
            <w:r>
              <w:rPr>
                <w:color w:val="231F20"/>
                <w:spacing w:val="-7"/>
                <w:sz w:val="20"/>
              </w:rPr>
              <w:t xml:space="preserve"> </w:t>
            </w:r>
            <w:r>
              <w:rPr>
                <w:color w:val="231F20"/>
                <w:sz w:val="20"/>
              </w:rPr>
              <w:t>factor</w:t>
            </w:r>
            <w:r>
              <w:rPr>
                <w:color w:val="231F20"/>
                <w:spacing w:val="-7"/>
                <w:sz w:val="20"/>
              </w:rPr>
              <w:t xml:space="preserve"> </w:t>
            </w:r>
            <w:r>
              <w:rPr>
                <w:color w:val="231F20"/>
                <w:sz w:val="20"/>
              </w:rPr>
              <w:t>in</w:t>
            </w:r>
            <w:r>
              <w:rPr>
                <w:color w:val="231F20"/>
                <w:spacing w:val="-7"/>
                <w:sz w:val="20"/>
              </w:rPr>
              <w:t xml:space="preserve"> </w:t>
            </w:r>
            <w:r>
              <w:rPr>
                <w:color w:val="231F20"/>
                <w:sz w:val="20"/>
              </w:rPr>
              <w:t>these</w:t>
            </w:r>
            <w:r>
              <w:rPr>
                <w:color w:val="231F20"/>
                <w:spacing w:val="-6"/>
                <w:sz w:val="20"/>
              </w:rPr>
              <w:t xml:space="preserve"> </w:t>
            </w:r>
            <w:r>
              <w:rPr>
                <w:color w:val="231F20"/>
                <w:sz w:val="20"/>
              </w:rPr>
              <w:t>cases.</w:t>
            </w:r>
            <w:r>
              <w:rPr>
                <w:color w:val="231F20"/>
                <w:position w:val="7"/>
                <w:sz w:val="11"/>
              </w:rPr>
              <w:t>95</w:t>
            </w:r>
          </w:p>
        </w:tc>
      </w:tr>
      <w:tr w:rsidR="00894070" w14:paraId="02A323F9" w14:textId="77777777">
        <w:trPr>
          <w:trHeight w:val="518"/>
        </w:trPr>
        <w:tc>
          <w:tcPr>
            <w:tcW w:w="7927" w:type="dxa"/>
            <w:gridSpan w:val="2"/>
            <w:shd w:val="clear" w:color="auto" w:fill="F4BCAE"/>
          </w:tcPr>
          <w:p w14:paraId="7E439B20" w14:textId="77777777" w:rsidR="00894070" w:rsidRDefault="009B7AFD">
            <w:pPr>
              <w:pStyle w:val="TableParagraph"/>
              <w:spacing w:before="122"/>
              <w:rPr>
                <w:b/>
                <w:sz w:val="20"/>
              </w:rPr>
            </w:pPr>
            <w:r>
              <w:rPr>
                <w:b/>
                <w:color w:val="231F20"/>
                <w:sz w:val="20"/>
              </w:rPr>
              <w:t>When they involve children, PSIOs are …</w:t>
            </w:r>
          </w:p>
        </w:tc>
      </w:tr>
      <w:tr w:rsidR="00894070" w14:paraId="3B2DED4B" w14:textId="77777777">
        <w:trPr>
          <w:trHeight w:val="1478"/>
        </w:trPr>
        <w:tc>
          <w:tcPr>
            <w:tcW w:w="2119" w:type="dxa"/>
            <w:shd w:val="clear" w:color="auto" w:fill="F4BCAE"/>
          </w:tcPr>
          <w:p w14:paraId="47A7B8FC" w14:textId="77777777" w:rsidR="00894070" w:rsidRDefault="009B7AFD">
            <w:pPr>
              <w:pStyle w:val="TableParagraph"/>
              <w:spacing w:before="154" w:line="206" w:lineRule="auto"/>
              <w:ind w:right="105"/>
              <w:rPr>
                <w:sz w:val="20"/>
              </w:rPr>
            </w:pPr>
            <w:r>
              <w:rPr>
                <w:b/>
                <w:color w:val="231F20"/>
                <w:sz w:val="20"/>
              </w:rPr>
              <w:t xml:space="preserve">Often connected to a school or friend relationship </w:t>
            </w:r>
            <w:r>
              <w:rPr>
                <w:color w:val="231F20"/>
                <w:sz w:val="20"/>
              </w:rPr>
              <w:t>and rarely made against strangers</w:t>
            </w:r>
          </w:p>
        </w:tc>
        <w:tc>
          <w:tcPr>
            <w:tcW w:w="5808" w:type="dxa"/>
          </w:tcPr>
          <w:p w14:paraId="087077DD" w14:textId="77777777" w:rsidR="00894070" w:rsidRDefault="009B7AFD">
            <w:pPr>
              <w:pStyle w:val="TableParagraph"/>
              <w:spacing w:before="98" w:line="206" w:lineRule="auto"/>
              <w:rPr>
                <w:sz w:val="11"/>
              </w:rPr>
            </w:pPr>
            <w:r>
              <w:rPr>
                <w:color w:val="231F20"/>
                <w:sz w:val="20"/>
              </w:rPr>
              <w:t>27% of PSIOs related to school-based relationships, and another 25% related to friends or former friends (some of whom may also have had school-based connections).</w:t>
            </w:r>
            <w:r>
              <w:rPr>
                <w:color w:val="231F20"/>
                <w:position w:val="7"/>
                <w:sz w:val="11"/>
              </w:rPr>
              <w:t>96</w:t>
            </w:r>
          </w:p>
          <w:p w14:paraId="5DB31B5F" w14:textId="77777777" w:rsidR="00894070" w:rsidRDefault="009B7AFD">
            <w:pPr>
              <w:pStyle w:val="TableParagraph"/>
              <w:spacing w:before="91"/>
              <w:rPr>
                <w:sz w:val="11"/>
              </w:rPr>
            </w:pPr>
            <w:r>
              <w:rPr>
                <w:color w:val="231F20"/>
                <w:sz w:val="20"/>
              </w:rPr>
              <w:t>Only 4% of PSIOs provided protection against strangers.</w:t>
            </w:r>
            <w:r>
              <w:rPr>
                <w:color w:val="231F20"/>
                <w:position w:val="7"/>
                <w:sz w:val="11"/>
              </w:rPr>
              <w:t>97</w:t>
            </w:r>
          </w:p>
        </w:tc>
      </w:tr>
      <w:tr w:rsidR="00894070" w14:paraId="6EEFD028" w14:textId="77777777">
        <w:trPr>
          <w:trHeight w:val="884"/>
        </w:trPr>
        <w:tc>
          <w:tcPr>
            <w:tcW w:w="2119" w:type="dxa"/>
            <w:shd w:val="clear" w:color="auto" w:fill="F4BCAE"/>
          </w:tcPr>
          <w:p w14:paraId="6BF531A8" w14:textId="77777777" w:rsidR="00894070" w:rsidRDefault="00894070">
            <w:pPr>
              <w:pStyle w:val="TableParagraph"/>
              <w:ind w:left="0"/>
            </w:pPr>
          </w:p>
          <w:p w14:paraId="387EEAF3" w14:textId="77777777" w:rsidR="00894070" w:rsidRDefault="009B7AFD">
            <w:pPr>
              <w:pStyle w:val="TableParagraph"/>
              <w:rPr>
                <w:b/>
                <w:sz w:val="20"/>
              </w:rPr>
            </w:pPr>
            <w:r>
              <w:rPr>
                <w:b/>
                <w:color w:val="231F20"/>
                <w:sz w:val="20"/>
              </w:rPr>
              <w:t>Gendered</w:t>
            </w:r>
          </w:p>
        </w:tc>
        <w:tc>
          <w:tcPr>
            <w:tcW w:w="5808" w:type="dxa"/>
          </w:tcPr>
          <w:p w14:paraId="78083BEC" w14:textId="77777777" w:rsidR="00894070" w:rsidRDefault="009B7AFD">
            <w:pPr>
              <w:pStyle w:val="TableParagraph"/>
              <w:spacing w:before="98" w:line="206" w:lineRule="auto"/>
              <w:ind w:right="109" w:hanging="1"/>
              <w:rPr>
                <w:sz w:val="11"/>
              </w:rPr>
            </w:pPr>
            <w:r>
              <w:rPr>
                <w:color w:val="231F20"/>
                <w:sz w:val="20"/>
              </w:rPr>
              <w:t>Most people (adults and children)</w:t>
            </w:r>
            <w:r>
              <w:rPr>
                <w:color w:val="231F20"/>
                <w:position w:val="7"/>
                <w:sz w:val="11"/>
              </w:rPr>
              <w:t xml:space="preserve">98 </w:t>
            </w:r>
            <w:r>
              <w:rPr>
                <w:color w:val="231F20"/>
                <w:sz w:val="20"/>
              </w:rPr>
              <w:t xml:space="preserve">protected by a PSIO were female (67%) and </w:t>
            </w:r>
            <w:proofErr w:type="gramStart"/>
            <w:r>
              <w:rPr>
                <w:color w:val="231F20"/>
                <w:sz w:val="20"/>
              </w:rPr>
              <w:t>the majority of</w:t>
            </w:r>
            <w:proofErr w:type="gramEnd"/>
            <w:r>
              <w:rPr>
                <w:color w:val="231F20"/>
                <w:sz w:val="20"/>
              </w:rPr>
              <w:t xml:space="preserve"> respondents (likely all children or young people) were male (57%).</w:t>
            </w:r>
            <w:r>
              <w:rPr>
                <w:color w:val="231F20"/>
                <w:position w:val="7"/>
                <w:sz w:val="11"/>
              </w:rPr>
              <w:t>99</w:t>
            </w:r>
          </w:p>
        </w:tc>
      </w:tr>
    </w:tbl>
    <w:p w14:paraId="01117F74" w14:textId="77777777" w:rsidR="00894070" w:rsidRDefault="009F6793">
      <w:pPr>
        <w:pStyle w:val="BodyText"/>
        <w:spacing w:before="1"/>
        <w:rPr>
          <w:sz w:val="25"/>
        </w:rPr>
      </w:pPr>
      <w:r>
        <w:pict w14:anchorId="2B9C1C09">
          <v:line id="_x0000_s1656" style="position:absolute;z-index:251444224;mso-wrap-distance-left:0;mso-wrap-distance-right:0;mso-position-horizontal-relative:page;mso-position-vertical-relative:text" from="79.35pt,19.85pt" to="515.9pt,19.85pt" strokecolor="#f8cabc" strokeweight="1pt">
            <w10:wrap type="topAndBottom" anchorx="page"/>
          </v:line>
        </w:pict>
      </w:r>
    </w:p>
    <w:p w14:paraId="17532E6E" w14:textId="77777777" w:rsidR="00894070" w:rsidRDefault="009B7AFD">
      <w:pPr>
        <w:tabs>
          <w:tab w:val="left" w:pos="1801"/>
        </w:tabs>
        <w:spacing w:before="107" w:line="213" w:lineRule="auto"/>
        <w:ind w:left="1801" w:right="1459" w:hanging="794"/>
        <w:rPr>
          <w:sz w:val="13"/>
        </w:rPr>
      </w:pPr>
      <w:r>
        <w:rPr>
          <w:color w:val="231F20"/>
          <w:sz w:val="13"/>
        </w:rPr>
        <w:t>92</w:t>
      </w:r>
      <w:r>
        <w:rPr>
          <w:color w:val="231F20"/>
          <w:sz w:val="13"/>
        </w:rPr>
        <w:tab/>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w:t>
      </w:r>
      <w:r>
        <w:rPr>
          <w:color w:val="231F20"/>
          <w:spacing w:val="2"/>
          <w:sz w:val="13"/>
        </w:rPr>
        <w:t>[4.9]</w:t>
      </w:r>
      <w:proofErr w:type="gramStart"/>
      <w:r>
        <w:rPr>
          <w:color w:val="231F20"/>
          <w:spacing w:val="2"/>
          <w:sz w:val="13"/>
        </w:rPr>
        <w:t>–[</w:t>
      </w:r>
      <w:proofErr w:type="gramEnd"/>
      <w:r>
        <w:rPr>
          <w:color w:val="231F20"/>
          <w:spacing w:val="2"/>
          <w:sz w:val="13"/>
        </w:rPr>
        <w:t xml:space="preserve">4.10], </w:t>
      </w:r>
      <w:r>
        <w:rPr>
          <w:color w:val="231F20"/>
          <w:sz w:val="13"/>
        </w:rPr>
        <w:t>Figure</w:t>
      </w:r>
      <w:r>
        <w:rPr>
          <w:color w:val="231F20"/>
          <w:spacing w:val="-2"/>
          <w:sz w:val="13"/>
        </w:rPr>
        <w:t xml:space="preserve"> </w:t>
      </w:r>
      <w:r>
        <w:rPr>
          <w:color w:val="231F20"/>
          <w:spacing w:val="3"/>
          <w:sz w:val="13"/>
        </w:rPr>
        <w:t>14.</w:t>
      </w:r>
    </w:p>
    <w:p w14:paraId="6D28E8A8" w14:textId="77777777" w:rsidR="00894070" w:rsidRDefault="009B7AFD">
      <w:pPr>
        <w:tabs>
          <w:tab w:val="left" w:pos="1800"/>
        </w:tabs>
        <w:spacing w:line="153" w:lineRule="exact"/>
        <w:ind w:left="1007"/>
        <w:rPr>
          <w:sz w:val="13"/>
        </w:rPr>
      </w:pPr>
      <w:r>
        <w:rPr>
          <w:color w:val="231F20"/>
          <w:sz w:val="13"/>
        </w:rPr>
        <w:t>93</w:t>
      </w:r>
      <w:r>
        <w:rPr>
          <w:color w:val="231F20"/>
          <w:sz w:val="13"/>
        </w:rPr>
        <w:tab/>
        <w:t xml:space="preserve">Ibid </w:t>
      </w:r>
      <w:r>
        <w:rPr>
          <w:color w:val="231F20"/>
          <w:spacing w:val="2"/>
          <w:sz w:val="13"/>
        </w:rPr>
        <w:t>[4.7]</w:t>
      </w:r>
      <w:proofErr w:type="gramStart"/>
      <w:r>
        <w:rPr>
          <w:color w:val="231F20"/>
          <w:spacing w:val="2"/>
          <w:sz w:val="13"/>
        </w:rPr>
        <w:t>–[</w:t>
      </w:r>
      <w:proofErr w:type="gramEnd"/>
      <w:r>
        <w:rPr>
          <w:color w:val="231F20"/>
          <w:spacing w:val="2"/>
          <w:sz w:val="13"/>
        </w:rPr>
        <w:t>4.8].</w:t>
      </w:r>
    </w:p>
    <w:p w14:paraId="5572714D" w14:textId="77777777" w:rsidR="00894070" w:rsidRDefault="009B7AFD">
      <w:pPr>
        <w:pStyle w:val="ListParagraph"/>
        <w:numPr>
          <w:ilvl w:val="0"/>
          <w:numId w:val="166"/>
        </w:numPr>
        <w:tabs>
          <w:tab w:val="left" w:pos="1801"/>
          <w:tab w:val="left" w:pos="1802"/>
        </w:tabs>
        <w:spacing w:before="6" w:line="213" w:lineRule="auto"/>
        <w:ind w:right="1396"/>
        <w:rPr>
          <w:sz w:val="13"/>
        </w:rPr>
      </w:pPr>
      <w:r>
        <w:rPr>
          <w:color w:val="231F20"/>
          <w:sz w:val="13"/>
        </w:rPr>
        <w:t xml:space="preserve">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May 2022) xii.</w:t>
      </w:r>
    </w:p>
    <w:p w14:paraId="2271675F" w14:textId="77777777" w:rsidR="00894070" w:rsidRDefault="009B7AFD">
      <w:pPr>
        <w:pStyle w:val="ListParagraph"/>
        <w:numPr>
          <w:ilvl w:val="0"/>
          <w:numId w:val="166"/>
        </w:numPr>
        <w:tabs>
          <w:tab w:val="left" w:pos="1800"/>
          <w:tab w:val="left" w:pos="1802"/>
        </w:tabs>
        <w:spacing w:line="213" w:lineRule="auto"/>
        <w:ind w:right="1266"/>
        <w:jc w:val="both"/>
        <w:rPr>
          <w:sz w:val="13"/>
        </w:rPr>
      </w:pPr>
      <w:r>
        <w:rPr>
          <w:color w:val="231F20"/>
          <w:sz w:val="13"/>
        </w:rPr>
        <w:t xml:space="preserve">However, the Sentencing Advisory Council points out that ‘while </w:t>
      </w:r>
      <w:r>
        <w:rPr>
          <w:color w:val="231F20"/>
          <w:spacing w:val="2"/>
          <w:sz w:val="13"/>
        </w:rPr>
        <w:t xml:space="preserve">PSIOs </w:t>
      </w:r>
      <w:r>
        <w:rPr>
          <w:color w:val="231F20"/>
          <w:sz w:val="13"/>
        </w:rPr>
        <w:t xml:space="preserve">are in </w:t>
      </w:r>
      <w:r>
        <w:rPr>
          <w:color w:val="231F20"/>
          <w:spacing w:val="2"/>
          <w:sz w:val="13"/>
        </w:rPr>
        <w:t xml:space="preserve">theory </w:t>
      </w:r>
      <w:r>
        <w:rPr>
          <w:color w:val="231F20"/>
          <w:sz w:val="13"/>
        </w:rPr>
        <w:t xml:space="preserve">designed for non-family violence contexts, </w:t>
      </w:r>
      <w:r>
        <w:rPr>
          <w:color w:val="231F20"/>
          <w:spacing w:val="2"/>
          <w:sz w:val="13"/>
        </w:rPr>
        <w:t xml:space="preserve">almost </w:t>
      </w:r>
      <w:r>
        <w:rPr>
          <w:color w:val="231F20"/>
          <w:sz w:val="13"/>
        </w:rPr>
        <w:t xml:space="preserve">one-third of people who breach them are </w:t>
      </w:r>
      <w:r>
        <w:rPr>
          <w:color w:val="231F20"/>
          <w:spacing w:val="2"/>
          <w:sz w:val="13"/>
        </w:rPr>
        <w:t xml:space="preserve">also </w:t>
      </w:r>
      <w:r>
        <w:rPr>
          <w:color w:val="231F20"/>
          <w:sz w:val="13"/>
        </w:rPr>
        <w:t xml:space="preserve">family violence offenders.’ 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 [7.6]. For discussion of the sometimes ‘blurred line between family and non-family members’: see Ibid</w:t>
      </w:r>
      <w:r>
        <w:rPr>
          <w:color w:val="231F20"/>
          <w:spacing w:val="4"/>
          <w:sz w:val="13"/>
        </w:rPr>
        <w:t xml:space="preserve"> </w:t>
      </w:r>
      <w:r>
        <w:rPr>
          <w:color w:val="231F20"/>
          <w:sz w:val="13"/>
        </w:rPr>
        <w:t>[2.3].</w:t>
      </w:r>
    </w:p>
    <w:p w14:paraId="73977D87" w14:textId="77777777" w:rsidR="00894070" w:rsidRDefault="009B7AFD">
      <w:pPr>
        <w:pStyle w:val="ListParagraph"/>
        <w:numPr>
          <w:ilvl w:val="0"/>
          <w:numId w:val="166"/>
        </w:numPr>
        <w:tabs>
          <w:tab w:val="left" w:pos="1801"/>
          <w:tab w:val="left" w:pos="1802"/>
        </w:tabs>
        <w:spacing w:line="213" w:lineRule="auto"/>
        <w:ind w:right="1276"/>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w:t>
      </w:r>
      <w:r>
        <w:rPr>
          <w:color w:val="231F20"/>
          <w:spacing w:val="2"/>
          <w:sz w:val="13"/>
        </w:rPr>
        <w:t xml:space="preserve">[3.8], </w:t>
      </w:r>
      <w:r>
        <w:rPr>
          <w:color w:val="231F20"/>
          <w:sz w:val="13"/>
        </w:rPr>
        <w:t>Figure</w:t>
      </w:r>
      <w:r>
        <w:rPr>
          <w:color w:val="231F20"/>
          <w:spacing w:val="-2"/>
          <w:sz w:val="13"/>
        </w:rPr>
        <w:t xml:space="preserve"> </w:t>
      </w:r>
      <w:r>
        <w:rPr>
          <w:color w:val="231F20"/>
          <w:spacing w:val="-3"/>
          <w:sz w:val="13"/>
        </w:rPr>
        <w:t>7.</w:t>
      </w:r>
    </w:p>
    <w:p w14:paraId="15B791F7" w14:textId="77777777" w:rsidR="00894070" w:rsidRDefault="009B7AFD">
      <w:pPr>
        <w:pStyle w:val="ListParagraph"/>
        <w:numPr>
          <w:ilvl w:val="0"/>
          <w:numId w:val="166"/>
        </w:numPr>
        <w:tabs>
          <w:tab w:val="left" w:pos="1801"/>
          <w:tab w:val="left" w:pos="1802"/>
        </w:tabs>
        <w:spacing w:line="152" w:lineRule="exact"/>
        <w:rPr>
          <w:sz w:val="13"/>
        </w:rPr>
      </w:pPr>
      <w:r>
        <w:rPr>
          <w:color w:val="231F20"/>
          <w:sz w:val="13"/>
        </w:rPr>
        <w:t>Ibid.</w:t>
      </w:r>
    </w:p>
    <w:p w14:paraId="3E677630" w14:textId="77777777" w:rsidR="00894070" w:rsidRDefault="009B7AFD">
      <w:pPr>
        <w:pStyle w:val="ListParagraph"/>
        <w:numPr>
          <w:ilvl w:val="0"/>
          <w:numId w:val="166"/>
        </w:numPr>
        <w:tabs>
          <w:tab w:val="left" w:pos="1801"/>
          <w:tab w:val="left" w:pos="1802"/>
        </w:tabs>
        <w:spacing w:before="3" w:line="213" w:lineRule="auto"/>
        <w:ind w:right="1369"/>
        <w:rPr>
          <w:sz w:val="13"/>
        </w:rPr>
      </w:pPr>
      <w:r>
        <w:rPr>
          <w:color w:val="231F20"/>
          <w:sz w:val="13"/>
        </w:rPr>
        <w:t xml:space="preserve">Most protected persons were aged 10 to 19, but a </w:t>
      </w:r>
      <w:r>
        <w:rPr>
          <w:color w:val="231F20"/>
          <w:spacing w:val="2"/>
          <w:sz w:val="13"/>
        </w:rPr>
        <w:t xml:space="preserve">proportion </w:t>
      </w:r>
      <w:r>
        <w:rPr>
          <w:color w:val="231F20"/>
          <w:sz w:val="13"/>
        </w:rPr>
        <w:t xml:space="preserve">were females aged 30 to </w:t>
      </w:r>
      <w:r>
        <w:rPr>
          <w:color w:val="231F20"/>
          <w:spacing w:val="2"/>
          <w:sz w:val="13"/>
        </w:rPr>
        <w:t xml:space="preserve">49. </w:t>
      </w:r>
      <w:r>
        <w:rPr>
          <w:color w:val="231F20"/>
          <w:sz w:val="13"/>
        </w:rPr>
        <w:t xml:space="preserve">Stakeholders suggested to the Sentencing Advisory Council that these protected persons would mostly be the child respondent’s teachers and other school staff: ibid </w:t>
      </w:r>
      <w:r>
        <w:rPr>
          <w:color w:val="231F20"/>
          <w:spacing w:val="2"/>
          <w:sz w:val="13"/>
        </w:rPr>
        <w:t>[3.6].</w:t>
      </w:r>
    </w:p>
    <w:p w14:paraId="222DF7E4" w14:textId="77777777" w:rsidR="00894070" w:rsidRDefault="009F6793">
      <w:pPr>
        <w:pStyle w:val="ListParagraph"/>
        <w:numPr>
          <w:ilvl w:val="0"/>
          <w:numId w:val="166"/>
        </w:numPr>
        <w:tabs>
          <w:tab w:val="left" w:pos="1801"/>
          <w:tab w:val="left" w:pos="1802"/>
        </w:tabs>
        <w:spacing w:line="213" w:lineRule="auto"/>
        <w:ind w:right="1247"/>
        <w:rPr>
          <w:sz w:val="13"/>
        </w:rPr>
      </w:pPr>
      <w:r>
        <w:pict w14:anchorId="1EEC482F">
          <v:shape id="_x0000_s1655" type="#_x0000_t202" style="position:absolute;left:0;text-align:left;margin-left:36pt;margin-top:11.4pt;width:13.55pt;height:14.1pt;z-index:251511808;mso-position-horizontal-relative:page" filled="f" stroked="f">
            <v:textbox inset="0,0,0,0">
              <w:txbxContent>
                <w:p w14:paraId="6B1D7BD4" w14:textId="77777777" w:rsidR="00894070" w:rsidRDefault="009B7AFD">
                  <w:pPr>
                    <w:spacing w:line="282" w:lineRule="exact"/>
                    <w:rPr>
                      <w:b/>
                      <w:sz w:val="24"/>
                    </w:rPr>
                  </w:pPr>
                  <w:r>
                    <w:rPr>
                      <w:b/>
                      <w:color w:val="EA5B50"/>
                      <w:sz w:val="24"/>
                    </w:rPr>
                    <w:t>22</w:t>
                  </w:r>
                </w:p>
              </w:txbxContent>
            </v:textbox>
            <w10:wrap anchorx="page"/>
          </v:shape>
        </w:pict>
      </w:r>
      <w:r w:rsidR="009B7AFD">
        <w:rPr>
          <w:color w:val="231F20"/>
          <w:sz w:val="13"/>
        </w:rPr>
        <w:t xml:space="preserve">The Sentencing Advisory Council says it is possible in </w:t>
      </w:r>
      <w:r w:rsidR="009B7AFD">
        <w:rPr>
          <w:color w:val="231F20"/>
          <w:spacing w:val="2"/>
          <w:sz w:val="13"/>
        </w:rPr>
        <w:t xml:space="preserve">theory </w:t>
      </w:r>
      <w:r w:rsidR="009B7AFD">
        <w:rPr>
          <w:color w:val="231F20"/>
          <w:sz w:val="13"/>
        </w:rPr>
        <w:t xml:space="preserve">for the Children’s </w:t>
      </w:r>
      <w:r w:rsidR="009B7AFD">
        <w:rPr>
          <w:color w:val="231F20"/>
          <w:spacing w:val="2"/>
          <w:sz w:val="13"/>
        </w:rPr>
        <w:t xml:space="preserve">Court </w:t>
      </w:r>
      <w:r w:rsidR="009B7AFD">
        <w:rPr>
          <w:color w:val="231F20"/>
          <w:sz w:val="13"/>
        </w:rPr>
        <w:t xml:space="preserve">to have jurisdiction over a case involving    </w:t>
      </w:r>
      <w:r w:rsidR="009B7AFD">
        <w:rPr>
          <w:color w:val="231F20"/>
          <w:spacing w:val="33"/>
          <w:sz w:val="13"/>
        </w:rPr>
        <w:t xml:space="preserve"> </w:t>
      </w:r>
      <w:r w:rsidR="009B7AFD">
        <w:rPr>
          <w:color w:val="231F20"/>
          <w:sz w:val="13"/>
        </w:rPr>
        <w:t xml:space="preserve">an adult respondent and a child </w:t>
      </w:r>
      <w:r w:rsidR="009B7AFD">
        <w:rPr>
          <w:color w:val="231F20"/>
          <w:spacing w:val="2"/>
          <w:sz w:val="13"/>
        </w:rPr>
        <w:t xml:space="preserve">applicant. </w:t>
      </w:r>
      <w:r w:rsidR="009B7AFD">
        <w:rPr>
          <w:color w:val="231F20"/>
          <w:sz w:val="13"/>
        </w:rPr>
        <w:t xml:space="preserve">‘But the legislation seems to suggest that the Children’s </w:t>
      </w:r>
      <w:r w:rsidR="009B7AFD">
        <w:rPr>
          <w:color w:val="231F20"/>
          <w:spacing w:val="2"/>
          <w:sz w:val="13"/>
        </w:rPr>
        <w:t xml:space="preserve">Court </w:t>
      </w:r>
      <w:r w:rsidR="009B7AFD">
        <w:rPr>
          <w:color w:val="231F20"/>
          <w:sz w:val="13"/>
        </w:rPr>
        <w:t xml:space="preserve">jurisdiction is primarily directed towards circumstances where the </w:t>
      </w:r>
      <w:r w:rsidR="009B7AFD">
        <w:rPr>
          <w:i/>
          <w:color w:val="231F20"/>
          <w:sz w:val="13"/>
        </w:rPr>
        <w:t xml:space="preserve">respondent </w:t>
      </w:r>
      <w:r w:rsidR="009B7AFD">
        <w:rPr>
          <w:color w:val="231F20"/>
          <w:sz w:val="13"/>
        </w:rPr>
        <w:t>is a child’: ibid [3.7] (emphasis in</w:t>
      </w:r>
      <w:r w:rsidR="009B7AFD">
        <w:rPr>
          <w:color w:val="231F20"/>
          <w:spacing w:val="22"/>
          <w:sz w:val="13"/>
        </w:rPr>
        <w:t xml:space="preserve"> </w:t>
      </w:r>
      <w:r w:rsidR="009B7AFD">
        <w:rPr>
          <w:color w:val="231F20"/>
          <w:sz w:val="13"/>
        </w:rPr>
        <w:t>original).</w:t>
      </w:r>
    </w:p>
    <w:p w14:paraId="588BA13F" w14:textId="77777777" w:rsidR="00894070" w:rsidRDefault="00894070">
      <w:pPr>
        <w:spacing w:line="213" w:lineRule="auto"/>
        <w:rPr>
          <w:sz w:val="13"/>
        </w:rPr>
        <w:sectPr w:rsidR="00894070">
          <w:pgSz w:w="11910" w:h="16840"/>
          <w:pgMar w:top="860" w:right="420" w:bottom="280" w:left="580" w:header="567" w:footer="0" w:gutter="0"/>
          <w:cols w:space="720"/>
        </w:sectPr>
      </w:pPr>
    </w:p>
    <w:p w14:paraId="7FB5C94C" w14:textId="77777777" w:rsidR="00894070" w:rsidRDefault="00894070">
      <w:pPr>
        <w:pStyle w:val="BodyText"/>
      </w:pPr>
    </w:p>
    <w:p w14:paraId="7BF85986" w14:textId="77777777" w:rsidR="00894070" w:rsidRDefault="00894070">
      <w:pPr>
        <w:pStyle w:val="BodyText"/>
      </w:pPr>
    </w:p>
    <w:p w14:paraId="018F5FB2" w14:textId="77777777" w:rsidR="00894070" w:rsidRDefault="00894070">
      <w:pPr>
        <w:pStyle w:val="BodyText"/>
      </w:pPr>
    </w:p>
    <w:p w14:paraId="7456E66F" w14:textId="77777777" w:rsidR="00894070" w:rsidRDefault="00894070">
      <w:pPr>
        <w:pStyle w:val="BodyText"/>
        <w:spacing w:before="6"/>
        <w:rPr>
          <w:sz w:val="14"/>
        </w:rPr>
      </w:pPr>
    </w:p>
    <w:p w14:paraId="44D32810" w14:textId="77777777" w:rsidR="00894070" w:rsidRDefault="009B7AFD">
      <w:pPr>
        <w:pStyle w:val="Heading7"/>
        <w:spacing w:before="41"/>
      </w:pPr>
      <w:bookmarkStart w:id="38" w:name="There_is_a_need_for_additional_research_"/>
      <w:bookmarkStart w:id="39" w:name="_bookmark19"/>
      <w:bookmarkEnd w:id="38"/>
      <w:bookmarkEnd w:id="39"/>
      <w:r>
        <w:rPr>
          <w:color w:val="EA5B50"/>
        </w:rPr>
        <w:t>There is a need for additional research and data on stalking</w:t>
      </w:r>
    </w:p>
    <w:p w14:paraId="73B4B6DD" w14:textId="77777777" w:rsidR="00894070" w:rsidRDefault="009B7AFD">
      <w:pPr>
        <w:pStyle w:val="ListParagraph"/>
        <w:numPr>
          <w:ilvl w:val="1"/>
          <w:numId w:val="177"/>
        </w:numPr>
        <w:tabs>
          <w:tab w:val="left" w:pos="1801"/>
          <w:tab w:val="left" w:pos="1802"/>
        </w:tabs>
        <w:spacing w:before="146" w:line="206" w:lineRule="auto"/>
        <w:ind w:right="1232"/>
        <w:rPr>
          <w:sz w:val="20"/>
        </w:rPr>
      </w:pPr>
      <w:r>
        <w:rPr>
          <w:color w:val="231F20"/>
          <w:sz w:val="20"/>
        </w:rPr>
        <w:t>The</w:t>
      </w:r>
      <w:r>
        <w:rPr>
          <w:color w:val="231F20"/>
          <w:spacing w:val="-8"/>
          <w:sz w:val="20"/>
        </w:rPr>
        <w:t xml:space="preserve"> </w:t>
      </w:r>
      <w:r>
        <w:rPr>
          <w:color w:val="231F20"/>
          <w:spacing w:val="-3"/>
          <w:sz w:val="20"/>
        </w:rPr>
        <w:t>only</w:t>
      </w:r>
      <w:r>
        <w:rPr>
          <w:color w:val="231F20"/>
          <w:spacing w:val="-8"/>
          <w:sz w:val="20"/>
        </w:rPr>
        <w:t xml:space="preserve"> </w:t>
      </w:r>
      <w:r>
        <w:rPr>
          <w:color w:val="231F20"/>
          <w:sz w:val="20"/>
        </w:rPr>
        <w:t>available</w:t>
      </w:r>
      <w:r>
        <w:rPr>
          <w:color w:val="231F20"/>
          <w:spacing w:val="-8"/>
          <w:sz w:val="20"/>
        </w:rPr>
        <w:t xml:space="preserve"> </w:t>
      </w:r>
      <w:r>
        <w:rPr>
          <w:color w:val="231F20"/>
          <w:spacing w:val="-3"/>
          <w:sz w:val="20"/>
        </w:rPr>
        <w:t>nationwide</w:t>
      </w:r>
      <w:r>
        <w:rPr>
          <w:color w:val="231F20"/>
          <w:spacing w:val="-7"/>
          <w:sz w:val="20"/>
        </w:rPr>
        <w:t xml:space="preserve"> </w:t>
      </w:r>
      <w:r>
        <w:rPr>
          <w:color w:val="231F20"/>
          <w:sz w:val="20"/>
        </w:rPr>
        <w:t>data</w:t>
      </w:r>
      <w:r>
        <w:rPr>
          <w:color w:val="231F20"/>
          <w:spacing w:val="-8"/>
          <w:sz w:val="20"/>
        </w:rPr>
        <w:t xml:space="preserve"> </w:t>
      </w:r>
      <w:r>
        <w:rPr>
          <w:color w:val="231F20"/>
          <w:sz w:val="20"/>
        </w:rPr>
        <w:t>on</w:t>
      </w:r>
      <w:r>
        <w:rPr>
          <w:color w:val="231F20"/>
          <w:spacing w:val="-8"/>
          <w:sz w:val="20"/>
        </w:rPr>
        <w:t xml:space="preserve"> </w:t>
      </w:r>
      <w:r>
        <w:rPr>
          <w:color w:val="231F20"/>
          <w:sz w:val="20"/>
        </w:rPr>
        <w:t>stalking</w:t>
      </w:r>
      <w:r>
        <w:rPr>
          <w:color w:val="231F20"/>
          <w:spacing w:val="-8"/>
          <w:sz w:val="20"/>
        </w:rPr>
        <w:t xml:space="preserve"> </w:t>
      </w:r>
      <w:r>
        <w:rPr>
          <w:color w:val="231F20"/>
          <w:sz w:val="20"/>
        </w:rPr>
        <w:t>comes</w:t>
      </w:r>
      <w:r>
        <w:rPr>
          <w:color w:val="231F20"/>
          <w:spacing w:val="-7"/>
          <w:sz w:val="20"/>
        </w:rPr>
        <w:t xml:space="preserve"> </w:t>
      </w:r>
      <w:r>
        <w:rPr>
          <w:color w:val="231F20"/>
          <w:spacing w:val="-3"/>
          <w:sz w:val="20"/>
        </w:rPr>
        <w:t>from</w:t>
      </w:r>
      <w:r>
        <w:rPr>
          <w:color w:val="231F20"/>
          <w:spacing w:val="-8"/>
          <w:sz w:val="20"/>
        </w:rPr>
        <w:t xml:space="preserve"> </w:t>
      </w:r>
      <w:r>
        <w:rPr>
          <w:color w:val="231F20"/>
          <w:sz w:val="20"/>
        </w:rPr>
        <w:t>the</w:t>
      </w:r>
      <w:r>
        <w:rPr>
          <w:color w:val="231F20"/>
          <w:spacing w:val="-8"/>
          <w:sz w:val="20"/>
        </w:rPr>
        <w:t xml:space="preserve"> </w:t>
      </w:r>
      <w:r>
        <w:rPr>
          <w:color w:val="231F20"/>
          <w:sz w:val="20"/>
        </w:rPr>
        <w:t>Personal</w:t>
      </w:r>
      <w:r>
        <w:rPr>
          <w:color w:val="231F20"/>
          <w:spacing w:val="-8"/>
          <w:sz w:val="20"/>
        </w:rPr>
        <w:t xml:space="preserve"> </w:t>
      </w:r>
      <w:r>
        <w:rPr>
          <w:color w:val="231F20"/>
          <w:sz w:val="20"/>
        </w:rPr>
        <w:t>Safety</w:t>
      </w:r>
      <w:r>
        <w:rPr>
          <w:color w:val="231F20"/>
          <w:spacing w:val="-7"/>
          <w:sz w:val="20"/>
        </w:rPr>
        <w:t xml:space="preserve"> </w:t>
      </w:r>
      <w:r>
        <w:rPr>
          <w:color w:val="231F20"/>
          <w:spacing w:val="-4"/>
          <w:sz w:val="20"/>
        </w:rPr>
        <w:t xml:space="preserve">Survey. </w:t>
      </w:r>
      <w:r>
        <w:rPr>
          <w:color w:val="231F20"/>
          <w:spacing w:val="-5"/>
          <w:sz w:val="20"/>
        </w:rPr>
        <w:t xml:space="preserve">However, </w:t>
      </w:r>
      <w:r>
        <w:rPr>
          <w:color w:val="231F20"/>
          <w:sz w:val="20"/>
        </w:rPr>
        <w:t>the</w:t>
      </w:r>
      <w:r>
        <w:rPr>
          <w:color w:val="231F20"/>
          <w:spacing w:val="-4"/>
          <w:sz w:val="20"/>
        </w:rPr>
        <w:t xml:space="preserve"> </w:t>
      </w:r>
      <w:r>
        <w:rPr>
          <w:color w:val="231F20"/>
          <w:sz w:val="20"/>
        </w:rPr>
        <w:t>survey:</w:t>
      </w:r>
    </w:p>
    <w:p w14:paraId="76D8404E" w14:textId="77777777" w:rsidR="00894070" w:rsidRDefault="009B7AFD">
      <w:pPr>
        <w:pStyle w:val="ListParagraph"/>
        <w:numPr>
          <w:ilvl w:val="2"/>
          <w:numId w:val="177"/>
        </w:numPr>
        <w:tabs>
          <w:tab w:val="left" w:pos="2141"/>
          <w:tab w:val="left" w:pos="2142"/>
        </w:tabs>
        <w:spacing w:before="90" w:line="259" w:lineRule="exact"/>
        <w:ind w:hanging="340"/>
        <w:rPr>
          <w:sz w:val="20"/>
        </w:rPr>
      </w:pPr>
      <w:r>
        <w:rPr>
          <w:color w:val="231F20"/>
          <w:sz w:val="20"/>
        </w:rPr>
        <w:t>does</w:t>
      </w:r>
      <w:r>
        <w:rPr>
          <w:color w:val="231F20"/>
          <w:spacing w:val="-6"/>
          <w:sz w:val="20"/>
        </w:rPr>
        <w:t xml:space="preserve"> </w:t>
      </w:r>
      <w:r>
        <w:rPr>
          <w:color w:val="231F20"/>
          <w:sz w:val="20"/>
        </w:rPr>
        <w:t>not</w:t>
      </w:r>
      <w:r>
        <w:rPr>
          <w:color w:val="231F20"/>
          <w:spacing w:val="-6"/>
          <w:sz w:val="20"/>
        </w:rPr>
        <w:t xml:space="preserve"> </w:t>
      </w:r>
      <w:r>
        <w:rPr>
          <w:color w:val="231F20"/>
          <w:sz w:val="20"/>
        </w:rPr>
        <w:t>specifically</w:t>
      </w:r>
      <w:r>
        <w:rPr>
          <w:color w:val="231F20"/>
          <w:spacing w:val="-6"/>
          <w:sz w:val="20"/>
        </w:rPr>
        <w:t xml:space="preserve"> </w:t>
      </w:r>
      <w:r>
        <w:rPr>
          <w:color w:val="231F20"/>
          <w:sz w:val="20"/>
        </w:rPr>
        <w:t>separate</w:t>
      </w:r>
      <w:r>
        <w:rPr>
          <w:color w:val="231F20"/>
          <w:spacing w:val="-6"/>
          <w:sz w:val="20"/>
        </w:rPr>
        <w:t xml:space="preserve"> </w:t>
      </w:r>
      <w:r>
        <w:rPr>
          <w:color w:val="231F20"/>
          <w:sz w:val="20"/>
        </w:rPr>
        <w:t>out</w:t>
      </w:r>
      <w:r>
        <w:rPr>
          <w:color w:val="231F20"/>
          <w:spacing w:val="-6"/>
          <w:sz w:val="20"/>
        </w:rPr>
        <w:t xml:space="preserve"> </w:t>
      </w:r>
      <w:r>
        <w:rPr>
          <w:color w:val="231F20"/>
          <w:spacing w:val="-3"/>
          <w:sz w:val="20"/>
        </w:rPr>
        <w:t>family</w:t>
      </w:r>
      <w:r>
        <w:rPr>
          <w:color w:val="231F20"/>
          <w:spacing w:val="-6"/>
          <w:sz w:val="20"/>
        </w:rPr>
        <w:t xml:space="preserve"> </w:t>
      </w:r>
      <w:r>
        <w:rPr>
          <w:color w:val="231F20"/>
          <w:sz w:val="20"/>
        </w:rPr>
        <w:t>violence</w:t>
      </w:r>
      <w:r>
        <w:rPr>
          <w:color w:val="231F20"/>
          <w:spacing w:val="-5"/>
          <w:sz w:val="20"/>
        </w:rPr>
        <w:t xml:space="preserve"> </w:t>
      </w:r>
      <w:r>
        <w:rPr>
          <w:color w:val="231F20"/>
          <w:sz w:val="20"/>
        </w:rPr>
        <w:t>and</w:t>
      </w:r>
      <w:r>
        <w:rPr>
          <w:color w:val="231F20"/>
          <w:spacing w:val="-6"/>
          <w:sz w:val="20"/>
        </w:rPr>
        <w:t xml:space="preserve"> </w:t>
      </w:r>
      <w:r>
        <w:rPr>
          <w:color w:val="231F20"/>
          <w:sz w:val="20"/>
        </w:rPr>
        <w:t>non-family</w:t>
      </w:r>
      <w:r>
        <w:rPr>
          <w:color w:val="231F20"/>
          <w:spacing w:val="-6"/>
          <w:sz w:val="20"/>
        </w:rPr>
        <w:t xml:space="preserve"> </w:t>
      </w:r>
      <w:r>
        <w:rPr>
          <w:color w:val="231F20"/>
          <w:sz w:val="20"/>
        </w:rPr>
        <w:t>violence</w:t>
      </w:r>
    </w:p>
    <w:p w14:paraId="6127F2A2" w14:textId="77777777" w:rsidR="00894070" w:rsidRDefault="009B7AFD">
      <w:pPr>
        <w:spacing w:line="259" w:lineRule="exact"/>
        <w:ind w:left="2141"/>
        <w:rPr>
          <w:sz w:val="11"/>
        </w:rPr>
      </w:pPr>
      <w:r>
        <w:rPr>
          <w:color w:val="231F20"/>
          <w:sz w:val="20"/>
        </w:rPr>
        <w:t>stalking</w:t>
      </w:r>
      <w:r>
        <w:rPr>
          <w:color w:val="231F20"/>
          <w:position w:val="7"/>
          <w:sz w:val="11"/>
        </w:rPr>
        <w:t>100</w:t>
      </w:r>
    </w:p>
    <w:p w14:paraId="54942C42" w14:textId="77777777" w:rsidR="00894070" w:rsidRDefault="009B7AFD">
      <w:pPr>
        <w:pStyle w:val="ListParagraph"/>
        <w:numPr>
          <w:ilvl w:val="2"/>
          <w:numId w:val="177"/>
        </w:numPr>
        <w:tabs>
          <w:tab w:val="left" w:pos="2141"/>
          <w:tab w:val="left" w:pos="2142"/>
        </w:tabs>
        <w:spacing w:before="80" w:line="206" w:lineRule="auto"/>
        <w:ind w:right="1236" w:hanging="340"/>
        <w:rPr>
          <w:sz w:val="11"/>
        </w:rPr>
      </w:pPr>
      <w:r>
        <w:rPr>
          <w:color w:val="231F20"/>
          <w:sz w:val="20"/>
        </w:rPr>
        <w:t xml:space="preserve">does not </w:t>
      </w:r>
      <w:r>
        <w:rPr>
          <w:color w:val="231F20"/>
          <w:spacing w:val="-3"/>
          <w:sz w:val="20"/>
        </w:rPr>
        <w:t xml:space="preserve">provide information </w:t>
      </w:r>
      <w:r>
        <w:rPr>
          <w:color w:val="231F20"/>
          <w:sz w:val="20"/>
        </w:rPr>
        <w:t xml:space="preserve">on the </w:t>
      </w:r>
      <w:r>
        <w:rPr>
          <w:color w:val="231F20"/>
          <w:spacing w:val="-3"/>
          <w:sz w:val="20"/>
        </w:rPr>
        <w:t xml:space="preserve">prevalence </w:t>
      </w:r>
      <w:r>
        <w:rPr>
          <w:color w:val="231F20"/>
          <w:sz w:val="20"/>
        </w:rPr>
        <w:t>of stalking among some communities</w:t>
      </w:r>
      <w:r>
        <w:rPr>
          <w:color w:val="231F20"/>
          <w:spacing w:val="-12"/>
          <w:sz w:val="20"/>
        </w:rPr>
        <w:t xml:space="preserve"> </w:t>
      </w:r>
      <w:r>
        <w:rPr>
          <w:color w:val="231F20"/>
          <w:sz w:val="20"/>
        </w:rPr>
        <w:t>that</w:t>
      </w:r>
      <w:r>
        <w:rPr>
          <w:color w:val="231F20"/>
          <w:spacing w:val="-12"/>
          <w:sz w:val="20"/>
        </w:rPr>
        <w:t xml:space="preserve"> </w:t>
      </w:r>
      <w:r>
        <w:rPr>
          <w:color w:val="231F20"/>
          <w:spacing w:val="-3"/>
          <w:sz w:val="20"/>
        </w:rPr>
        <w:t>may</w:t>
      </w:r>
      <w:r>
        <w:rPr>
          <w:color w:val="231F20"/>
          <w:spacing w:val="-12"/>
          <w:sz w:val="20"/>
        </w:rPr>
        <w:t xml:space="preserve"> </w:t>
      </w:r>
      <w:r>
        <w:rPr>
          <w:color w:val="231F20"/>
          <w:sz w:val="20"/>
        </w:rPr>
        <w:t>find</w:t>
      </w:r>
      <w:r>
        <w:rPr>
          <w:color w:val="231F20"/>
          <w:spacing w:val="-12"/>
          <w:sz w:val="20"/>
        </w:rPr>
        <w:t xml:space="preserve"> </w:t>
      </w:r>
      <w:r>
        <w:rPr>
          <w:color w:val="231F20"/>
          <w:sz w:val="20"/>
        </w:rPr>
        <w:t>it</w:t>
      </w:r>
      <w:r>
        <w:rPr>
          <w:color w:val="231F20"/>
          <w:spacing w:val="-13"/>
          <w:sz w:val="20"/>
        </w:rPr>
        <w:t xml:space="preserve"> </w:t>
      </w:r>
      <w:r>
        <w:rPr>
          <w:color w:val="231F20"/>
          <w:sz w:val="20"/>
        </w:rPr>
        <w:t>especially</w:t>
      </w:r>
      <w:r>
        <w:rPr>
          <w:color w:val="231F20"/>
          <w:spacing w:val="-12"/>
          <w:sz w:val="20"/>
        </w:rPr>
        <w:t xml:space="preserve"> </w:t>
      </w:r>
      <w:r>
        <w:rPr>
          <w:color w:val="231F20"/>
          <w:sz w:val="20"/>
        </w:rPr>
        <w:t>difficult</w:t>
      </w:r>
      <w:r>
        <w:rPr>
          <w:color w:val="231F20"/>
          <w:spacing w:val="-12"/>
          <w:sz w:val="20"/>
        </w:rPr>
        <w:t xml:space="preserve"> </w:t>
      </w:r>
      <w:r>
        <w:rPr>
          <w:color w:val="231F20"/>
          <w:sz w:val="20"/>
        </w:rPr>
        <w:t>to</w:t>
      </w:r>
      <w:r>
        <w:rPr>
          <w:color w:val="231F20"/>
          <w:spacing w:val="-12"/>
          <w:sz w:val="20"/>
        </w:rPr>
        <w:t xml:space="preserve"> </w:t>
      </w:r>
      <w:r>
        <w:rPr>
          <w:color w:val="231F20"/>
          <w:sz w:val="20"/>
        </w:rPr>
        <w:t>get</w:t>
      </w:r>
      <w:r>
        <w:rPr>
          <w:color w:val="231F20"/>
          <w:spacing w:val="-12"/>
          <w:sz w:val="20"/>
        </w:rPr>
        <w:t xml:space="preserve"> </w:t>
      </w:r>
      <w:r>
        <w:rPr>
          <w:color w:val="231F20"/>
          <w:sz w:val="20"/>
        </w:rPr>
        <w:t>justice.</w:t>
      </w:r>
      <w:r>
        <w:rPr>
          <w:color w:val="231F20"/>
          <w:spacing w:val="-12"/>
          <w:sz w:val="20"/>
        </w:rPr>
        <w:t xml:space="preserve"> </w:t>
      </w:r>
      <w:r>
        <w:rPr>
          <w:color w:val="231F20"/>
          <w:spacing w:val="-3"/>
          <w:sz w:val="20"/>
        </w:rPr>
        <w:t>For</w:t>
      </w:r>
      <w:r>
        <w:rPr>
          <w:color w:val="231F20"/>
          <w:spacing w:val="-12"/>
          <w:sz w:val="20"/>
        </w:rPr>
        <w:t xml:space="preserve"> </w:t>
      </w:r>
      <w:r>
        <w:rPr>
          <w:color w:val="231F20"/>
          <w:spacing w:val="-3"/>
          <w:sz w:val="20"/>
        </w:rPr>
        <w:t>example,</w:t>
      </w:r>
      <w:r>
        <w:rPr>
          <w:color w:val="231F20"/>
          <w:spacing w:val="-12"/>
          <w:sz w:val="20"/>
        </w:rPr>
        <w:t xml:space="preserve"> </w:t>
      </w:r>
      <w:r>
        <w:rPr>
          <w:color w:val="231F20"/>
          <w:spacing w:val="-3"/>
          <w:sz w:val="20"/>
        </w:rPr>
        <w:t xml:space="preserve">children </w:t>
      </w:r>
      <w:r>
        <w:rPr>
          <w:color w:val="231F20"/>
          <w:sz w:val="20"/>
        </w:rPr>
        <w:t>under</w:t>
      </w:r>
      <w:r>
        <w:rPr>
          <w:color w:val="231F20"/>
          <w:spacing w:val="-7"/>
          <w:sz w:val="20"/>
        </w:rPr>
        <w:t xml:space="preserve"> </w:t>
      </w:r>
      <w:r>
        <w:rPr>
          <w:color w:val="231F20"/>
          <w:sz w:val="20"/>
        </w:rPr>
        <w:t>15</w:t>
      </w:r>
      <w:r>
        <w:rPr>
          <w:color w:val="231F20"/>
          <w:spacing w:val="-7"/>
          <w:sz w:val="20"/>
        </w:rPr>
        <w:t xml:space="preserve"> </w:t>
      </w:r>
      <w:r>
        <w:rPr>
          <w:color w:val="231F20"/>
          <w:sz w:val="20"/>
        </w:rPr>
        <w:t>years,</w:t>
      </w:r>
      <w:r>
        <w:rPr>
          <w:color w:val="231F20"/>
          <w:spacing w:val="-7"/>
          <w:sz w:val="20"/>
        </w:rPr>
        <w:t xml:space="preserve"> </w:t>
      </w:r>
      <w:r>
        <w:rPr>
          <w:color w:val="231F20"/>
          <w:spacing w:val="-4"/>
          <w:sz w:val="20"/>
        </w:rPr>
        <w:t>LGBTIQA+</w:t>
      </w:r>
      <w:r>
        <w:rPr>
          <w:color w:val="231F20"/>
          <w:spacing w:val="-7"/>
          <w:sz w:val="20"/>
        </w:rPr>
        <w:t xml:space="preserve"> </w:t>
      </w:r>
      <w:r>
        <w:rPr>
          <w:color w:val="231F20"/>
          <w:sz w:val="20"/>
        </w:rPr>
        <w:t>people,</w:t>
      </w:r>
      <w:r>
        <w:rPr>
          <w:color w:val="231F20"/>
          <w:spacing w:val="-7"/>
          <w:sz w:val="20"/>
        </w:rPr>
        <w:t xml:space="preserve"> </w:t>
      </w:r>
      <w:r>
        <w:rPr>
          <w:color w:val="231F20"/>
          <w:sz w:val="20"/>
        </w:rPr>
        <w:t>sex</w:t>
      </w:r>
      <w:r>
        <w:rPr>
          <w:color w:val="231F20"/>
          <w:spacing w:val="-7"/>
          <w:sz w:val="20"/>
        </w:rPr>
        <w:t xml:space="preserve"> </w:t>
      </w:r>
      <w:r>
        <w:rPr>
          <w:color w:val="231F20"/>
          <w:spacing w:val="-3"/>
          <w:sz w:val="20"/>
        </w:rPr>
        <w:t>workers,</w:t>
      </w:r>
      <w:r>
        <w:rPr>
          <w:color w:val="231F20"/>
          <w:spacing w:val="-7"/>
          <w:sz w:val="20"/>
        </w:rPr>
        <w:t xml:space="preserve"> </w:t>
      </w:r>
      <w:r>
        <w:rPr>
          <w:color w:val="231F20"/>
          <w:sz w:val="20"/>
        </w:rPr>
        <w:t>people</w:t>
      </w:r>
      <w:r>
        <w:rPr>
          <w:color w:val="231F20"/>
          <w:spacing w:val="-7"/>
          <w:sz w:val="20"/>
        </w:rPr>
        <w:t xml:space="preserve"> </w:t>
      </w:r>
      <w:r>
        <w:rPr>
          <w:color w:val="231F20"/>
          <w:sz w:val="20"/>
        </w:rPr>
        <w:t>living</w:t>
      </w:r>
      <w:r>
        <w:rPr>
          <w:color w:val="231F20"/>
          <w:spacing w:val="-7"/>
          <w:sz w:val="20"/>
        </w:rPr>
        <w:t xml:space="preserve"> </w:t>
      </w:r>
      <w:r>
        <w:rPr>
          <w:color w:val="231F20"/>
          <w:sz w:val="20"/>
        </w:rPr>
        <w:t>in</w:t>
      </w:r>
      <w:r>
        <w:rPr>
          <w:color w:val="231F20"/>
          <w:spacing w:val="-7"/>
          <w:sz w:val="20"/>
        </w:rPr>
        <w:t xml:space="preserve"> </w:t>
      </w:r>
      <w:r>
        <w:rPr>
          <w:color w:val="231F20"/>
          <w:spacing w:val="-3"/>
          <w:sz w:val="20"/>
        </w:rPr>
        <w:t>detention</w:t>
      </w:r>
      <w:r>
        <w:rPr>
          <w:color w:val="231F20"/>
          <w:spacing w:val="-7"/>
          <w:sz w:val="20"/>
        </w:rPr>
        <w:t xml:space="preserve"> </w:t>
      </w:r>
      <w:r>
        <w:rPr>
          <w:color w:val="231F20"/>
          <w:sz w:val="20"/>
        </w:rPr>
        <w:t>and</w:t>
      </w:r>
      <w:r>
        <w:rPr>
          <w:color w:val="231F20"/>
          <w:spacing w:val="-7"/>
          <w:sz w:val="20"/>
        </w:rPr>
        <w:t xml:space="preserve"> </w:t>
      </w:r>
      <w:r>
        <w:rPr>
          <w:color w:val="231F20"/>
          <w:sz w:val="20"/>
        </w:rPr>
        <w:t>other institutional</w:t>
      </w:r>
      <w:r>
        <w:rPr>
          <w:color w:val="231F20"/>
          <w:spacing w:val="-8"/>
          <w:sz w:val="20"/>
        </w:rPr>
        <w:t xml:space="preserve"> </w:t>
      </w:r>
      <w:r>
        <w:rPr>
          <w:color w:val="231F20"/>
          <w:sz w:val="20"/>
        </w:rPr>
        <w:t>environments,</w:t>
      </w:r>
      <w:r>
        <w:rPr>
          <w:color w:val="231F20"/>
          <w:spacing w:val="-7"/>
          <w:sz w:val="20"/>
        </w:rPr>
        <w:t xml:space="preserve"> </w:t>
      </w:r>
      <w:r>
        <w:rPr>
          <w:color w:val="231F20"/>
          <w:sz w:val="20"/>
        </w:rPr>
        <w:t>and</w:t>
      </w:r>
      <w:r>
        <w:rPr>
          <w:color w:val="231F20"/>
          <w:spacing w:val="-6"/>
          <w:sz w:val="20"/>
        </w:rPr>
        <w:t xml:space="preserve"> </w:t>
      </w:r>
      <w:r>
        <w:rPr>
          <w:color w:val="231F20"/>
          <w:sz w:val="20"/>
        </w:rPr>
        <w:t>people</w:t>
      </w:r>
      <w:r>
        <w:rPr>
          <w:color w:val="231F20"/>
          <w:spacing w:val="-7"/>
          <w:sz w:val="20"/>
        </w:rPr>
        <w:t xml:space="preserve"> </w:t>
      </w:r>
      <w:r>
        <w:rPr>
          <w:color w:val="231F20"/>
          <w:sz w:val="20"/>
        </w:rPr>
        <w:t>with</w:t>
      </w:r>
      <w:r>
        <w:rPr>
          <w:color w:val="231F20"/>
          <w:spacing w:val="-6"/>
          <w:sz w:val="20"/>
        </w:rPr>
        <w:t xml:space="preserve"> </w:t>
      </w:r>
      <w:r>
        <w:rPr>
          <w:color w:val="231F20"/>
          <w:sz w:val="20"/>
        </w:rPr>
        <w:t>uncertain</w:t>
      </w:r>
      <w:r>
        <w:rPr>
          <w:color w:val="231F20"/>
          <w:spacing w:val="-7"/>
          <w:sz w:val="20"/>
        </w:rPr>
        <w:t xml:space="preserve"> </w:t>
      </w:r>
      <w:r>
        <w:rPr>
          <w:color w:val="231F20"/>
          <w:sz w:val="20"/>
        </w:rPr>
        <w:t>migration</w:t>
      </w:r>
      <w:r>
        <w:rPr>
          <w:color w:val="231F20"/>
          <w:spacing w:val="-7"/>
          <w:sz w:val="20"/>
        </w:rPr>
        <w:t xml:space="preserve"> </w:t>
      </w:r>
      <w:r>
        <w:rPr>
          <w:color w:val="231F20"/>
          <w:sz w:val="20"/>
        </w:rPr>
        <w:t>status.</w:t>
      </w:r>
      <w:r>
        <w:rPr>
          <w:color w:val="231F20"/>
          <w:position w:val="7"/>
          <w:sz w:val="11"/>
        </w:rPr>
        <w:t>101</w:t>
      </w:r>
    </w:p>
    <w:p w14:paraId="5372C009" w14:textId="77777777" w:rsidR="00894070" w:rsidRDefault="009B7AFD">
      <w:pPr>
        <w:pStyle w:val="ListParagraph"/>
        <w:numPr>
          <w:ilvl w:val="1"/>
          <w:numId w:val="177"/>
        </w:numPr>
        <w:tabs>
          <w:tab w:val="left" w:pos="1801"/>
          <w:tab w:val="left" w:pos="1802"/>
        </w:tabs>
        <w:spacing w:before="57" w:line="259" w:lineRule="exact"/>
        <w:rPr>
          <w:sz w:val="20"/>
        </w:rPr>
      </w:pPr>
      <w:r>
        <w:rPr>
          <w:color w:val="231F20"/>
          <w:sz w:val="20"/>
        </w:rPr>
        <w:t>In</w:t>
      </w:r>
      <w:r>
        <w:rPr>
          <w:color w:val="231F20"/>
          <w:spacing w:val="-6"/>
          <w:sz w:val="20"/>
        </w:rPr>
        <w:t xml:space="preserve"> </w:t>
      </w:r>
      <w:r>
        <w:rPr>
          <w:color w:val="231F20"/>
          <w:spacing w:val="-3"/>
          <w:sz w:val="20"/>
        </w:rPr>
        <w:t>Chapter</w:t>
      </w:r>
      <w:r>
        <w:rPr>
          <w:color w:val="231F20"/>
          <w:spacing w:val="-5"/>
          <w:sz w:val="20"/>
        </w:rPr>
        <w:t xml:space="preserve"> </w:t>
      </w:r>
      <w:r>
        <w:rPr>
          <w:color w:val="231F20"/>
          <w:sz w:val="20"/>
        </w:rPr>
        <w:t>3</w:t>
      </w:r>
      <w:r>
        <w:rPr>
          <w:color w:val="231F20"/>
          <w:spacing w:val="-5"/>
          <w:sz w:val="20"/>
        </w:rPr>
        <w:t xml:space="preserve"> </w:t>
      </w:r>
      <w:r>
        <w:rPr>
          <w:color w:val="231F20"/>
          <w:spacing w:val="-3"/>
          <w:sz w:val="20"/>
        </w:rPr>
        <w:t>we</w:t>
      </w:r>
      <w:r>
        <w:rPr>
          <w:color w:val="231F20"/>
          <w:spacing w:val="-5"/>
          <w:sz w:val="20"/>
        </w:rPr>
        <w:t xml:space="preserve"> </w:t>
      </w:r>
      <w:r>
        <w:rPr>
          <w:color w:val="231F20"/>
          <w:spacing w:val="-3"/>
          <w:sz w:val="20"/>
        </w:rPr>
        <w:t>note</w:t>
      </w:r>
      <w:r>
        <w:rPr>
          <w:color w:val="231F20"/>
          <w:spacing w:val="-5"/>
          <w:sz w:val="20"/>
        </w:rPr>
        <w:t xml:space="preserve"> </w:t>
      </w:r>
      <w:r>
        <w:rPr>
          <w:color w:val="231F20"/>
          <w:sz w:val="20"/>
        </w:rPr>
        <w:t>that</w:t>
      </w:r>
      <w:r>
        <w:rPr>
          <w:color w:val="231F20"/>
          <w:spacing w:val="-6"/>
          <w:sz w:val="20"/>
        </w:rPr>
        <w:t xml:space="preserve"> </w:t>
      </w:r>
      <w:r>
        <w:rPr>
          <w:color w:val="231F20"/>
          <w:sz w:val="20"/>
        </w:rPr>
        <w:t>the</w:t>
      </w:r>
      <w:r>
        <w:rPr>
          <w:color w:val="231F20"/>
          <w:spacing w:val="-5"/>
          <w:sz w:val="20"/>
        </w:rPr>
        <w:t xml:space="preserve"> </w:t>
      </w:r>
      <w:r>
        <w:rPr>
          <w:color w:val="231F20"/>
          <w:spacing w:val="-3"/>
          <w:sz w:val="20"/>
        </w:rPr>
        <w:t>prevalence</w:t>
      </w:r>
      <w:r>
        <w:rPr>
          <w:color w:val="231F20"/>
          <w:spacing w:val="-5"/>
          <w:sz w:val="20"/>
        </w:rPr>
        <w:t xml:space="preserve"> </w:t>
      </w:r>
      <w:r>
        <w:rPr>
          <w:color w:val="231F20"/>
          <w:sz w:val="20"/>
        </w:rPr>
        <w:t>of</w:t>
      </w:r>
      <w:r>
        <w:rPr>
          <w:color w:val="231F20"/>
          <w:spacing w:val="-5"/>
          <w:sz w:val="20"/>
        </w:rPr>
        <w:t xml:space="preserve"> </w:t>
      </w:r>
      <w:r>
        <w:rPr>
          <w:color w:val="231F20"/>
          <w:sz w:val="20"/>
        </w:rPr>
        <w:t>cyberstalking</w:t>
      </w:r>
      <w:r>
        <w:rPr>
          <w:color w:val="231F20"/>
          <w:spacing w:val="-5"/>
          <w:sz w:val="20"/>
        </w:rPr>
        <w:t xml:space="preserve"> </w:t>
      </w:r>
      <w:r>
        <w:rPr>
          <w:color w:val="231F20"/>
          <w:sz w:val="20"/>
        </w:rPr>
        <w:t>among</w:t>
      </w:r>
      <w:r>
        <w:rPr>
          <w:color w:val="231F20"/>
          <w:spacing w:val="-5"/>
          <w:sz w:val="20"/>
        </w:rPr>
        <w:t xml:space="preserve"> </w:t>
      </w:r>
      <w:r>
        <w:rPr>
          <w:color w:val="231F20"/>
          <w:sz w:val="20"/>
        </w:rPr>
        <w:t>these</w:t>
      </w:r>
      <w:r>
        <w:rPr>
          <w:color w:val="231F20"/>
          <w:spacing w:val="-6"/>
          <w:sz w:val="20"/>
        </w:rPr>
        <w:t xml:space="preserve"> </w:t>
      </w:r>
      <w:r>
        <w:rPr>
          <w:color w:val="231F20"/>
          <w:sz w:val="20"/>
        </w:rPr>
        <w:t>communities</w:t>
      </w:r>
      <w:r>
        <w:rPr>
          <w:color w:val="231F20"/>
          <w:spacing w:val="-5"/>
          <w:sz w:val="20"/>
        </w:rPr>
        <w:t xml:space="preserve"> </w:t>
      </w:r>
      <w:r>
        <w:rPr>
          <w:color w:val="231F20"/>
          <w:sz w:val="20"/>
        </w:rPr>
        <w:t>is</w:t>
      </w:r>
    </w:p>
    <w:p w14:paraId="743DEDDC" w14:textId="77777777" w:rsidR="00894070" w:rsidRDefault="009B7AFD">
      <w:pPr>
        <w:pStyle w:val="BodyText"/>
        <w:spacing w:line="259" w:lineRule="exact"/>
        <w:ind w:left="1801"/>
      </w:pPr>
      <w:proofErr w:type="gramStart"/>
      <w:r>
        <w:rPr>
          <w:color w:val="231F20"/>
        </w:rPr>
        <w:t>also</w:t>
      </w:r>
      <w:proofErr w:type="gramEnd"/>
      <w:r>
        <w:rPr>
          <w:color w:val="231F20"/>
        </w:rPr>
        <w:t xml:space="preserve"> a data gap.</w:t>
      </w:r>
    </w:p>
    <w:p w14:paraId="06DB13E6" w14:textId="77777777" w:rsidR="00894070" w:rsidRDefault="009B7AFD">
      <w:pPr>
        <w:pStyle w:val="ListParagraph"/>
        <w:numPr>
          <w:ilvl w:val="1"/>
          <w:numId w:val="177"/>
        </w:numPr>
        <w:tabs>
          <w:tab w:val="left" w:pos="1801"/>
          <w:tab w:val="left" w:pos="1802"/>
        </w:tabs>
        <w:spacing w:before="83" w:line="259" w:lineRule="exact"/>
        <w:rPr>
          <w:sz w:val="11"/>
        </w:rPr>
      </w:pPr>
      <w:r>
        <w:rPr>
          <w:color w:val="231F20"/>
          <w:sz w:val="20"/>
        </w:rPr>
        <w:t>The</w:t>
      </w:r>
      <w:r>
        <w:rPr>
          <w:color w:val="231F20"/>
          <w:spacing w:val="-6"/>
          <w:sz w:val="20"/>
        </w:rPr>
        <w:t xml:space="preserve"> </w:t>
      </w:r>
      <w:r>
        <w:rPr>
          <w:color w:val="231F20"/>
          <w:sz w:val="20"/>
        </w:rPr>
        <w:t>Personal</w:t>
      </w:r>
      <w:r>
        <w:rPr>
          <w:color w:val="231F20"/>
          <w:spacing w:val="-6"/>
          <w:sz w:val="20"/>
        </w:rPr>
        <w:t xml:space="preserve"> </w:t>
      </w:r>
      <w:r>
        <w:rPr>
          <w:color w:val="231F20"/>
          <w:sz w:val="20"/>
        </w:rPr>
        <w:t>Safety</w:t>
      </w:r>
      <w:r>
        <w:rPr>
          <w:color w:val="231F20"/>
          <w:spacing w:val="-6"/>
          <w:sz w:val="20"/>
        </w:rPr>
        <w:t xml:space="preserve"> </w:t>
      </w:r>
      <w:r>
        <w:rPr>
          <w:color w:val="231F20"/>
          <w:sz w:val="20"/>
        </w:rPr>
        <w:t>Survey</w:t>
      </w:r>
      <w:r>
        <w:rPr>
          <w:color w:val="231F20"/>
          <w:spacing w:val="-5"/>
          <w:sz w:val="20"/>
        </w:rPr>
        <w:t xml:space="preserve"> </w:t>
      </w:r>
      <w:r>
        <w:rPr>
          <w:color w:val="231F20"/>
          <w:sz w:val="20"/>
        </w:rPr>
        <w:t>is</w:t>
      </w:r>
      <w:r>
        <w:rPr>
          <w:color w:val="231F20"/>
          <w:spacing w:val="-6"/>
          <w:sz w:val="20"/>
        </w:rPr>
        <w:t xml:space="preserve"> </w:t>
      </w:r>
      <w:r>
        <w:rPr>
          <w:color w:val="231F20"/>
          <w:spacing w:val="-3"/>
          <w:sz w:val="20"/>
        </w:rPr>
        <w:t>now</w:t>
      </w:r>
      <w:r>
        <w:rPr>
          <w:color w:val="231F20"/>
          <w:spacing w:val="-6"/>
          <w:sz w:val="20"/>
        </w:rPr>
        <w:t xml:space="preserve"> </w:t>
      </w:r>
      <w:r>
        <w:rPr>
          <w:color w:val="231F20"/>
          <w:sz w:val="20"/>
        </w:rPr>
        <w:t>dated.</w:t>
      </w:r>
      <w:r>
        <w:rPr>
          <w:color w:val="231F20"/>
          <w:spacing w:val="-5"/>
          <w:sz w:val="20"/>
        </w:rPr>
        <w:t xml:space="preserve"> </w:t>
      </w:r>
      <w:r>
        <w:rPr>
          <w:color w:val="231F20"/>
          <w:sz w:val="20"/>
        </w:rPr>
        <w:t>The</w:t>
      </w:r>
      <w:r>
        <w:rPr>
          <w:color w:val="231F20"/>
          <w:spacing w:val="-6"/>
          <w:sz w:val="20"/>
        </w:rPr>
        <w:t xml:space="preserve"> </w:t>
      </w:r>
      <w:r>
        <w:rPr>
          <w:color w:val="231F20"/>
          <w:sz w:val="20"/>
        </w:rPr>
        <w:t>next</w:t>
      </w:r>
      <w:r>
        <w:rPr>
          <w:color w:val="231F20"/>
          <w:spacing w:val="-6"/>
          <w:sz w:val="20"/>
        </w:rPr>
        <w:t xml:space="preserve"> </w:t>
      </w:r>
      <w:r>
        <w:rPr>
          <w:color w:val="231F20"/>
          <w:sz w:val="20"/>
        </w:rPr>
        <w:t>survey</w:t>
      </w:r>
      <w:r>
        <w:rPr>
          <w:color w:val="231F20"/>
          <w:spacing w:val="-5"/>
          <w:sz w:val="20"/>
        </w:rPr>
        <w:t xml:space="preserve"> </w:t>
      </w:r>
      <w:r>
        <w:rPr>
          <w:color w:val="231F20"/>
          <w:sz w:val="20"/>
        </w:rPr>
        <w:t>has</w:t>
      </w:r>
      <w:r>
        <w:rPr>
          <w:color w:val="231F20"/>
          <w:spacing w:val="-6"/>
          <w:sz w:val="20"/>
        </w:rPr>
        <w:t xml:space="preserve"> </w:t>
      </w:r>
      <w:r>
        <w:rPr>
          <w:color w:val="231F20"/>
          <w:sz w:val="20"/>
        </w:rPr>
        <w:t>not</w:t>
      </w:r>
      <w:r>
        <w:rPr>
          <w:color w:val="231F20"/>
          <w:spacing w:val="-6"/>
          <w:sz w:val="20"/>
        </w:rPr>
        <w:t xml:space="preserve"> </w:t>
      </w:r>
      <w:r>
        <w:rPr>
          <w:color w:val="231F20"/>
          <w:sz w:val="20"/>
        </w:rPr>
        <w:t>been</w:t>
      </w:r>
      <w:r>
        <w:rPr>
          <w:color w:val="231F20"/>
          <w:spacing w:val="-5"/>
          <w:sz w:val="20"/>
        </w:rPr>
        <w:t xml:space="preserve"> </w:t>
      </w:r>
      <w:r>
        <w:rPr>
          <w:color w:val="231F20"/>
          <w:sz w:val="20"/>
        </w:rPr>
        <w:t>scheduled.</w:t>
      </w:r>
      <w:r>
        <w:rPr>
          <w:color w:val="231F20"/>
          <w:position w:val="7"/>
          <w:sz w:val="11"/>
        </w:rPr>
        <w:t>102</w:t>
      </w:r>
    </w:p>
    <w:p w14:paraId="1D972584" w14:textId="77777777" w:rsidR="00894070" w:rsidRDefault="009B7AFD">
      <w:pPr>
        <w:pStyle w:val="BodyText"/>
        <w:spacing w:line="259" w:lineRule="exact"/>
        <w:ind w:left="1801"/>
        <w:rPr>
          <w:sz w:val="11"/>
        </w:rPr>
      </w:pPr>
      <w:r>
        <w:rPr>
          <w:color w:val="231F20"/>
        </w:rPr>
        <w:t>More recently published nationwide crime statistics do not include stalking data.</w:t>
      </w:r>
      <w:r>
        <w:rPr>
          <w:color w:val="231F20"/>
          <w:position w:val="7"/>
          <w:sz w:val="11"/>
        </w:rPr>
        <w:t>103</w:t>
      </w:r>
    </w:p>
    <w:p w14:paraId="4A86ECF4" w14:textId="77777777" w:rsidR="00894070" w:rsidRDefault="009B7AFD">
      <w:pPr>
        <w:pStyle w:val="ListParagraph"/>
        <w:numPr>
          <w:ilvl w:val="1"/>
          <w:numId w:val="177"/>
        </w:numPr>
        <w:tabs>
          <w:tab w:val="left" w:pos="1801"/>
          <w:tab w:val="left" w:pos="1802"/>
        </w:tabs>
        <w:spacing w:before="114" w:line="206" w:lineRule="auto"/>
        <w:ind w:right="1308"/>
        <w:rPr>
          <w:sz w:val="20"/>
        </w:rPr>
      </w:pPr>
      <w:r>
        <w:rPr>
          <w:color w:val="231F20"/>
          <w:sz w:val="20"/>
        </w:rPr>
        <w:t xml:space="preserve">The Crime Statistics Agency and Sentencing Advisory Council reports and </w:t>
      </w:r>
      <w:r>
        <w:rPr>
          <w:color w:val="231F20"/>
          <w:spacing w:val="-3"/>
          <w:sz w:val="20"/>
        </w:rPr>
        <w:t xml:space="preserve">analysis </w:t>
      </w:r>
      <w:r>
        <w:rPr>
          <w:color w:val="231F20"/>
          <w:sz w:val="20"/>
        </w:rPr>
        <w:t>(</w:t>
      </w:r>
      <w:proofErr w:type="spellStart"/>
      <w:r>
        <w:rPr>
          <w:color w:val="231F20"/>
          <w:sz w:val="20"/>
        </w:rPr>
        <w:t>summarised</w:t>
      </w:r>
      <w:proofErr w:type="spellEnd"/>
      <w:r>
        <w:rPr>
          <w:color w:val="231F20"/>
          <w:spacing w:val="-10"/>
          <w:sz w:val="20"/>
        </w:rPr>
        <w:t xml:space="preserve"> </w:t>
      </w:r>
      <w:r>
        <w:rPr>
          <w:color w:val="231F20"/>
          <w:sz w:val="20"/>
        </w:rPr>
        <w:t>earlier)</w:t>
      </w:r>
      <w:r>
        <w:rPr>
          <w:color w:val="231F20"/>
          <w:spacing w:val="-10"/>
          <w:sz w:val="20"/>
        </w:rPr>
        <w:t xml:space="preserve"> </w:t>
      </w:r>
      <w:r>
        <w:rPr>
          <w:color w:val="231F20"/>
          <w:sz w:val="20"/>
        </w:rPr>
        <w:t>help</w:t>
      </w:r>
      <w:r>
        <w:rPr>
          <w:color w:val="231F20"/>
          <w:spacing w:val="-10"/>
          <w:sz w:val="20"/>
        </w:rPr>
        <w:t xml:space="preserve"> </w:t>
      </w:r>
      <w:r>
        <w:rPr>
          <w:color w:val="231F20"/>
          <w:spacing w:val="-4"/>
          <w:sz w:val="20"/>
        </w:rPr>
        <w:t>improve</w:t>
      </w:r>
      <w:r>
        <w:rPr>
          <w:color w:val="231F20"/>
          <w:spacing w:val="-10"/>
          <w:sz w:val="20"/>
        </w:rPr>
        <w:t xml:space="preserve"> </w:t>
      </w:r>
      <w:r>
        <w:rPr>
          <w:color w:val="231F20"/>
          <w:sz w:val="20"/>
        </w:rPr>
        <w:t>our</w:t>
      </w:r>
      <w:r>
        <w:rPr>
          <w:color w:val="231F20"/>
          <w:spacing w:val="-10"/>
          <w:sz w:val="20"/>
        </w:rPr>
        <w:t xml:space="preserve"> </w:t>
      </w:r>
      <w:r>
        <w:rPr>
          <w:color w:val="231F20"/>
          <w:sz w:val="20"/>
        </w:rPr>
        <w:t>understanding</w:t>
      </w:r>
      <w:r>
        <w:rPr>
          <w:color w:val="231F20"/>
          <w:spacing w:val="-10"/>
          <w:sz w:val="20"/>
        </w:rPr>
        <w:t xml:space="preserve"> </w:t>
      </w:r>
      <w:r>
        <w:rPr>
          <w:color w:val="231F20"/>
          <w:sz w:val="20"/>
        </w:rPr>
        <w:t>of</w:t>
      </w:r>
      <w:r>
        <w:rPr>
          <w:color w:val="231F20"/>
          <w:spacing w:val="-10"/>
          <w:sz w:val="20"/>
        </w:rPr>
        <w:t xml:space="preserve"> </w:t>
      </w:r>
      <w:r>
        <w:rPr>
          <w:color w:val="231F20"/>
          <w:sz w:val="20"/>
        </w:rPr>
        <w:t>stalking</w:t>
      </w:r>
      <w:r>
        <w:rPr>
          <w:color w:val="231F20"/>
          <w:spacing w:val="-10"/>
          <w:sz w:val="20"/>
        </w:rPr>
        <w:t xml:space="preserve"> </w:t>
      </w:r>
      <w:r>
        <w:rPr>
          <w:color w:val="231F20"/>
          <w:sz w:val="20"/>
        </w:rPr>
        <w:t>in</w:t>
      </w:r>
      <w:r>
        <w:rPr>
          <w:color w:val="231F20"/>
          <w:spacing w:val="-10"/>
          <w:sz w:val="20"/>
        </w:rPr>
        <w:t xml:space="preserve"> </w:t>
      </w:r>
      <w:r>
        <w:rPr>
          <w:color w:val="231F20"/>
          <w:sz w:val="20"/>
        </w:rPr>
        <w:t>Victoria.</w:t>
      </w:r>
      <w:r>
        <w:rPr>
          <w:color w:val="231F20"/>
          <w:spacing w:val="-10"/>
          <w:sz w:val="20"/>
        </w:rPr>
        <w:t xml:space="preserve"> </w:t>
      </w:r>
      <w:r>
        <w:rPr>
          <w:color w:val="231F20"/>
          <w:sz w:val="20"/>
        </w:rPr>
        <w:t>But</w:t>
      </w:r>
      <w:r>
        <w:rPr>
          <w:color w:val="231F20"/>
          <w:spacing w:val="-10"/>
          <w:sz w:val="20"/>
        </w:rPr>
        <w:t xml:space="preserve"> </w:t>
      </w:r>
      <w:r>
        <w:rPr>
          <w:color w:val="231F20"/>
          <w:sz w:val="20"/>
        </w:rPr>
        <w:t>issues remain:</w:t>
      </w:r>
    </w:p>
    <w:p w14:paraId="353D28BA" w14:textId="77777777" w:rsidR="00894070" w:rsidRDefault="009B7AFD">
      <w:pPr>
        <w:pStyle w:val="ListParagraph"/>
        <w:numPr>
          <w:ilvl w:val="2"/>
          <w:numId w:val="177"/>
        </w:numPr>
        <w:tabs>
          <w:tab w:val="left" w:pos="2141"/>
          <w:tab w:val="left" w:pos="2142"/>
        </w:tabs>
        <w:spacing w:before="92"/>
        <w:ind w:hanging="340"/>
        <w:rPr>
          <w:sz w:val="11"/>
        </w:rPr>
      </w:pPr>
      <w:r>
        <w:rPr>
          <w:color w:val="231F20"/>
          <w:spacing w:val="-2"/>
          <w:sz w:val="20"/>
        </w:rPr>
        <w:t>Little</w:t>
      </w:r>
      <w:r>
        <w:rPr>
          <w:color w:val="231F20"/>
          <w:spacing w:val="-5"/>
          <w:sz w:val="20"/>
        </w:rPr>
        <w:t xml:space="preserve"> </w:t>
      </w:r>
      <w:r>
        <w:rPr>
          <w:color w:val="231F20"/>
          <w:sz w:val="20"/>
        </w:rPr>
        <w:t>is</w:t>
      </w:r>
      <w:r>
        <w:rPr>
          <w:color w:val="231F20"/>
          <w:spacing w:val="-5"/>
          <w:sz w:val="20"/>
        </w:rPr>
        <w:t xml:space="preserve"> </w:t>
      </w:r>
      <w:r>
        <w:rPr>
          <w:color w:val="231F20"/>
          <w:spacing w:val="-3"/>
          <w:sz w:val="20"/>
        </w:rPr>
        <w:t>known</w:t>
      </w:r>
      <w:r>
        <w:rPr>
          <w:color w:val="231F20"/>
          <w:spacing w:val="-4"/>
          <w:sz w:val="20"/>
        </w:rPr>
        <w:t xml:space="preserve"> </w:t>
      </w:r>
      <w:r>
        <w:rPr>
          <w:color w:val="231F20"/>
          <w:sz w:val="20"/>
        </w:rPr>
        <w:t>about</w:t>
      </w:r>
      <w:r>
        <w:rPr>
          <w:color w:val="231F20"/>
          <w:spacing w:val="-5"/>
          <w:sz w:val="20"/>
        </w:rPr>
        <w:t xml:space="preserve"> </w:t>
      </w:r>
      <w:r>
        <w:rPr>
          <w:color w:val="231F20"/>
          <w:sz w:val="20"/>
        </w:rPr>
        <w:t>stalking</w:t>
      </w:r>
      <w:r>
        <w:rPr>
          <w:color w:val="231F20"/>
          <w:spacing w:val="-5"/>
          <w:sz w:val="20"/>
        </w:rPr>
        <w:t xml:space="preserve"> </w:t>
      </w:r>
      <w:r>
        <w:rPr>
          <w:color w:val="231F20"/>
          <w:sz w:val="20"/>
        </w:rPr>
        <w:t>that</w:t>
      </w:r>
      <w:r>
        <w:rPr>
          <w:color w:val="231F20"/>
          <w:spacing w:val="-4"/>
          <w:sz w:val="20"/>
        </w:rPr>
        <w:t xml:space="preserve"> </w:t>
      </w:r>
      <w:r>
        <w:rPr>
          <w:color w:val="231F20"/>
          <w:sz w:val="20"/>
        </w:rPr>
        <w:t>is</w:t>
      </w:r>
      <w:r>
        <w:rPr>
          <w:color w:val="231F20"/>
          <w:spacing w:val="-5"/>
          <w:sz w:val="20"/>
        </w:rPr>
        <w:t xml:space="preserve"> </w:t>
      </w:r>
      <w:r>
        <w:rPr>
          <w:color w:val="231F20"/>
          <w:sz w:val="20"/>
        </w:rPr>
        <w:t>not</w:t>
      </w:r>
      <w:r>
        <w:rPr>
          <w:color w:val="231F20"/>
          <w:spacing w:val="-5"/>
          <w:sz w:val="20"/>
        </w:rPr>
        <w:t xml:space="preserve"> </w:t>
      </w:r>
      <w:r>
        <w:rPr>
          <w:color w:val="231F20"/>
          <w:sz w:val="20"/>
        </w:rPr>
        <w:t>reported</w:t>
      </w:r>
      <w:r>
        <w:rPr>
          <w:color w:val="231F20"/>
          <w:spacing w:val="-4"/>
          <w:sz w:val="20"/>
        </w:rPr>
        <w:t xml:space="preserve"> </w:t>
      </w:r>
      <w:r>
        <w:rPr>
          <w:color w:val="231F20"/>
          <w:sz w:val="20"/>
        </w:rPr>
        <w:t>to</w:t>
      </w:r>
      <w:r>
        <w:rPr>
          <w:color w:val="231F20"/>
          <w:spacing w:val="-5"/>
          <w:sz w:val="20"/>
        </w:rPr>
        <w:t xml:space="preserve"> </w:t>
      </w:r>
      <w:r>
        <w:rPr>
          <w:color w:val="231F20"/>
          <w:sz w:val="20"/>
        </w:rPr>
        <w:t>or</w:t>
      </w:r>
      <w:r>
        <w:rPr>
          <w:color w:val="231F20"/>
          <w:spacing w:val="-4"/>
          <w:sz w:val="20"/>
        </w:rPr>
        <w:t xml:space="preserve"> </w:t>
      </w:r>
      <w:r>
        <w:rPr>
          <w:color w:val="231F20"/>
          <w:spacing w:val="-3"/>
          <w:sz w:val="20"/>
        </w:rPr>
        <w:t>recorded</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police.</w:t>
      </w:r>
      <w:r>
        <w:rPr>
          <w:color w:val="231F20"/>
          <w:position w:val="7"/>
          <w:sz w:val="11"/>
        </w:rPr>
        <w:t>104</w:t>
      </w:r>
    </w:p>
    <w:p w14:paraId="06504A7B" w14:textId="77777777" w:rsidR="00894070" w:rsidRDefault="009B7AFD">
      <w:pPr>
        <w:pStyle w:val="ListParagraph"/>
        <w:numPr>
          <w:ilvl w:val="2"/>
          <w:numId w:val="177"/>
        </w:numPr>
        <w:tabs>
          <w:tab w:val="left" w:pos="2141"/>
          <w:tab w:val="left" w:pos="2142"/>
        </w:tabs>
        <w:spacing w:before="47" w:line="259" w:lineRule="exact"/>
        <w:ind w:hanging="340"/>
        <w:rPr>
          <w:sz w:val="20"/>
        </w:rPr>
      </w:pPr>
      <w:r>
        <w:rPr>
          <w:color w:val="231F20"/>
          <w:sz w:val="20"/>
        </w:rPr>
        <w:t>Stalking</w:t>
      </w:r>
      <w:r>
        <w:rPr>
          <w:color w:val="231F20"/>
          <w:spacing w:val="-6"/>
          <w:sz w:val="20"/>
        </w:rPr>
        <w:t xml:space="preserve"> </w:t>
      </w:r>
      <w:proofErr w:type="spellStart"/>
      <w:r>
        <w:rPr>
          <w:color w:val="231F20"/>
          <w:sz w:val="20"/>
        </w:rPr>
        <w:t>behaviour</w:t>
      </w:r>
      <w:proofErr w:type="spellEnd"/>
      <w:r>
        <w:rPr>
          <w:color w:val="231F20"/>
          <w:spacing w:val="-5"/>
          <w:sz w:val="20"/>
        </w:rPr>
        <w:t xml:space="preserve"> </w:t>
      </w:r>
      <w:r>
        <w:rPr>
          <w:color w:val="231F20"/>
          <w:spacing w:val="-3"/>
          <w:sz w:val="20"/>
        </w:rPr>
        <w:t>may</w:t>
      </w:r>
      <w:r>
        <w:rPr>
          <w:color w:val="231F20"/>
          <w:spacing w:val="-6"/>
          <w:sz w:val="20"/>
        </w:rPr>
        <w:t xml:space="preserve"> </w:t>
      </w:r>
      <w:r>
        <w:rPr>
          <w:color w:val="231F20"/>
          <w:sz w:val="20"/>
        </w:rPr>
        <w:t>be</w:t>
      </w:r>
      <w:r>
        <w:rPr>
          <w:color w:val="231F20"/>
          <w:spacing w:val="-5"/>
          <w:sz w:val="20"/>
        </w:rPr>
        <w:t xml:space="preserve"> </w:t>
      </w:r>
      <w:r>
        <w:rPr>
          <w:color w:val="231F20"/>
          <w:spacing w:val="-3"/>
          <w:sz w:val="20"/>
        </w:rPr>
        <w:t>prosecuted</w:t>
      </w:r>
      <w:r>
        <w:rPr>
          <w:color w:val="231F20"/>
          <w:spacing w:val="-5"/>
          <w:sz w:val="20"/>
        </w:rPr>
        <w:t xml:space="preserve"> </w:t>
      </w:r>
      <w:r>
        <w:rPr>
          <w:color w:val="231F20"/>
          <w:sz w:val="20"/>
        </w:rPr>
        <w:t>as</w:t>
      </w:r>
      <w:r>
        <w:rPr>
          <w:color w:val="231F20"/>
          <w:spacing w:val="-6"/>
          <w:sz w:val="20"/>
        </w:rPr>
        <w:t xml:space="preserve"> </w:t>
      </w:r>
      <w:r>
        <w:rPr>
          <w:color w:val="231F20"/>
          <w:sz w:val="20"/>
        </w:rPr>
        <w:t>other</w:t>
      </w:r>
      <w:r>
        <w:rPr>
          <w:color w:val="231F20"/>
          <w:spacing w:val="-5"/>
          <w:sz w:val="20"/>
        </w:rPr>
        <w:t xml:space="preserve"> </w:t>
      </w:r>
      <w:r>
        <w:rPr>
          <w:color w:val="231F20"/>
          <w:sz w:val="20"/>
        </w:rPr>
        <w:t>criminal</w:t>
      </w:r>
      <w:r>
        <w:rPr>
          <w:color w:val="231F20"/>
          <w:spacing w:val="-6"/>
          <w:sz w:val="20"/>
        </w:rPr>
        <w:t xml:space="preserve"> </w:t>
      </w:r>
      <w:r>
        <w:rPr>
          <w:color w:val="231F20"/>
          <w:sz w:val="20"/>
        </w:rPr>
        <w:t>offences,</w:t>
      </w:r>
      <w:r>
        <w:rPr>
          <w:color w:val="231F20"/>
          <w:spacing w:val="-5"/>
          <w:sz w:val="20"/>
        </w:rPr>
        <w:t xml:space="preserve"> </w:t>
      </w:r>
      <w:r>
        <w:rPr>
          <w:color w:val="231F20"/>
          <w:sz w:val="20"/>
        </w:rPr>
        <w:t>so</w:t>
      </w:r>
      <w:r>
        <w:rPr>
          <w:color w:val="231F20"/>
          <w:spacing w:val="-5"/>
          <w:sz w:val="20"/>
        </w:rPr>
        <w:t xml:space="preserve"> </w:t>
      </w:r>
      <w:r>
        <w:rPr>
          <w:color w:val="231F20"/>
          <w:sz w:val="20"/>
        </w:rPr>
        <w:t>it</w:t>
      </w:r>
      <w:r>
        <w:rPr>
          <w:color w:val="231F20"/>
          <w:spacing w:val="-6"/>
          <w:sz w:val="20"/>
        </w:rPr>
        <w:t xml:space="preserve"> </w:t>
      </w:r>
      <w:r>
        <w:rPr>
          <w:color w:val="231F20"/>
          <w:sz w:val="20"/>
        </w:rPr>
        <w:t>is</w:t>
      </w:r>
      <w:r>
        <w:rPr>
          <w:color w:val="231F20"/>
          <w:spacing w:val="-5"/>
          <w:sz w:val="20"/>
        </w:rPr>
        <w:t xml:space="preserve"> </w:t>
      </w:r>
      <w:r>
        <w:rPr>
          <w:color w:val="231F20"/>
          <w:sz w:val="20"/>
        </w:rPr>
        <w:t>not</w:t>
      </w:r>
    </w:p>
    <w:p w14:paraId="5145FB2B" w14:textId="77777777" w:rsidR="00894070" w:rsidRDefault="009B7AFD">
      <w:pPr>
        <w:pStyle w:val="BodyText"/>
        <w:spacing w:line="259" w:lineRule="exact"/>
        <w:ind w:left="2141"/>
        <w:rPr>
          <w:sz w:val="11"/>
        </w:rPr>
      </w:pPr>
      <w:r>
        <w:rPr>
          <w:color w:val="231F20"/>
        </w:rPr>
        <w:t>captured in statistics about criminal prosecutions.</w:t>
      </w:r>
      <w:r>
        <w:rPr>
          <w:color w:val="231F20"/>
          <w:position w:val="7"/>
          <w:sz w:val="11"/>
        </w:rPr>
        <w:t>105</w:t>
      </w:r>
    </w:p>
    <w:p w14:paraId="04C17A17" w14:textId="77777777" w:rsidR="00894070" w:rsidRDefault="009B7AFD">
      <w:pPr>
        <w:pStyle w:val="ListParagraph"/>
        <w:numPr>
          <w:ilvl w:val="2"/>
          <w:numId w:val="177"/>
        </w:numPr>
        <w:tabs>
          <w:tab w:val="left" w:pos="2141"/>
          <w:tab w:val="left" w:pos="2142"/>
        </w:tabs>
        <w:spacing w:before="48" w:line="259" w:lineRule="exact"/>
        <w:ind w:hanging="340"/>
        <w:rPr>
          <w:sz w:val="20"/>
        </w:rPr>
      </w:pPr>
      <w:r>
        <w:rPr>
          <w:color w:val="231F20"/>
          <w:spacing w:val="-6"/>
          <w:sz w:val="20"/>
        </w:rPr>
        <w:t xml:space="preserve">We </w:t>
      </w:r>
      <w:r>
        <w:rPr>
          <w:color w:val="231F20"/>
          <w:spacing w:val="-4"/>
          <w:sz w:val="20"/>
        </w:rPr>
        <w:t>have</w:t>
      </w:r>
      <w:r>
        <w:rPr>
          <w:color w:val="231F20"/>
          <w:spacing w:val="-5"/>
          <w:sz w:val="20"/>
        </w:rPr>
        <w:t xml:space="preserve"> </w:t>
      </w:r>
      <w:r>
        <w:rPr>
          <w:color w:val="231F20"/>
          <w:sz w:val="20"/>
        </w:rPr>
        <w:t>little</w:t>
      </w:r>
      <w:r>
        <w:rPr>
          <w:color w:val="231F20"/>
          <w:spacing w:val="-6"/>
          <w:sz w:val="20"/>
        </w:rPr>
        <w:t xml:space="preserve"> </w:t>
      </w:r>
      <w:r>
        <w:rPr>
          <w:color w:val="231F20"/>
          <w:sz w:val="20"/>
        </w:rPr>
        <w:t>insight</w:t>
      </w:r>
      <w:r>
        <w:rPr>
          <w:color w:val="231F20"/>
          <w:spacing w:val="-5"/>
          <w:sz w:val="20"/>
        </w:rPr>
        <w:t xml:space="preserve"> </w:t>
      </w:r>
      <w:r>
        <w:rPr>
          <w:color w:val="231F20"/>
          <w:spacing w:val="-3"/>
          <w:sz w:val="20"/>
        </w:rPr>
        <w:t>into</w:t>
      </w:r>
      <w:r>
        <w:rPr>
          <w:color w:val="231F20"/>
          <w:spacing w:val="-6"/>
          <w:sz w:val="20"/>
        </w:rPr>
        <w:t xml:space="preserve"> </w:t>
      </w:r>
      <w:r>
        <w:rPr>
          <w:color w:val="231F20"/>
          <w:sz w:val="20"/>
        </w:rPr>
        <w:t>stalking</w:t>
      </w:r>
      <w:r>
        <w:rPr>
          <w:color w:val="231F20"/>
          <w:spacing w:val="-5"/>
          <w:sz w:val="20"/>
        </w:rPr>
        <w:t xml:space="preserve"> </w:t>
      </w:r>
      <w:r>
        <w:rPr>
          <w:color w:val="231F20"/>
          <w:sz w:val="20"/>
        </w:rPr>
        <w:t>cases</w:t>
      </w:r>
      <w:r>
        <w:rPr>
          <w:color w:val="231F20"/>
          <w:spacing w:val="-5"/>
          <w:sz w:val="20"/>
        </w:rPr>
        <w:t xml:space="preserve"> </w:t>
      </w:r>
      <w:r>
        <w:rPr>
          <w:color w:val="231F20"/>
          <w:sz w:val="20"/>
        </w:rPr>
        <w:t>that</w:t>
      </w:r>
      <w:r>
        <w:rPr>
          <w:color w:val="231F20"/>
          <w:spacing w:val="-6"/>
          <w:sz w:val="20"/>
        </w:rPr>
        <w:t xml:space="preserve"> </w:t>
      </w:r>
      <w:r>
        <w:rPr>
          <w:color w:val="231F20"/>
          <w:spacing w:val="-3"/>
          <w:sz w:val="20"/>
        </w:rPr>
        <w:t>are</w:t>
      </w:r>
      <w:r>
        <w:rPr>
          <w:color w:val="231F20"/>
          <w:spacing w:val="-5"/>
          <w:sz w:val="20"/>
        </w:rPr>
        <w:t xml:space="preserve"> </w:t>
      </w:r>
      <w:r>
        <w:rPr>
          <w:color w:val="231F20"/>
          <w:sz w:val="20"/>
        </w:rPr>
        <w:t>the</w:t>
      </w:r>
      <w:r>
        <w:rPr>
          <w:color w:val="231F20"/>
          <w:spacing w:val="-6"/>
          <w:sz w:val="20"/>
        </w:rPr>
        <w:t xml:space="preserve"> </w:t>
      </w:r>
      <w:r>
        <w:rPr>
          <w:color w:val="231F20"/>
          <w:sz w:val="20"/>
        </w:rPr>
        <w:t>subject</w:t>
      </w:r>
      <w:r>
        <w:rPr>
          <w:color w:val="231F20"/>
          <w:spacing w:val="-5"/>
          <w:sz w:val="20"/>
        </w:rPr>
        <w:t xml:space="preserve"> </w:t>
      </w:r>
      <w:r>
        <w:rPr>
          <w:color w:val="231F20"/>
          <w:sz w:val="20"/>
        </w:rPr>
        <w:t>of</w:t>
      </w:r>
      <w:r>
        <w:rPr>
          <w:color w:val="231F20"/>
          <w:spacing w:val="-5"/>
          <w:sz w:val="20"/>
        </w:rPr>
        <w:t xml:space="preserve"> </w:t>
      </w:r>
      <w:r>
        <w:rPr>
          <w:color w:val="231F20"/>
          <w:sz w:val="20"/>
        </w:rPr>
        <w:t>a</w:t>
      </w:r>
      <w:r>
        <w:rPr>
          <w:color w:val="231F20"/>
          <w:spacing w:val="-6"/>
          <w:sz w:val="20"/>
        </w:rPr>
        <w:t xml:space="preserve"> </w:t>
      </w:r>
      <w:r>
        <w:rPr>
          <w:color w:val="231F20"/>
          <w:sz w:val="20"/>
        </w:rPr>
        <w:t>PSIO</w:t>
      </w:r>
      <w:r>
        <w:rPr>
          <w:color w:val="231F20"/>
          <w:spacing w:val="-5"/>
          <w:sz w:val="20"/>
        </w:rPr>
        <w:t xml:space="preserve"> </w:t>
      </w:r>
      <w:r>
        <w:rPr>
          <w:color w:val="231F20"/>
          <w:sz w:val="20"/>
        </w:rPr>
        <w:t>because</w:t>
      </w:r>
      <w:r>
        <w:rPr>
          <w:color w:val="231F20"/>
          <w:spacing w:val="-6"/>
          <w:sz w:val="20"/>
        </w:rPr>
        <w:t xml:space="preserve"> </w:t>
      </w:r>
      <w:r>
        <w:rPr>
          <w:color w:val="231F20"/>
          <w:sz w:val="20"/>
        </w:rPr>
        <w:t>the</w:t>
      </w:r>
    </w:p>
    <w:p w14:paraId="0D757330" w14:textId="77777777" w:rsidR="00894070" w:rsidRDefault="009B7AFD">
      <w:pPr>
        <w:pStyle w:val="BodyText"/>
        <w:spacing w:line="259" w:lineRule="exact"/>
        <w:ind w:left="2141"/>
      </w:pPr>
      <w:r>
        <w:rPr>
          <w:color w:val="231F20"/>
        </w:rPr>
        <w:t>data on applications and breaches does not separate out stalking.</w:t>
      </w:r>
    </w:p>
    <w:p w14:paraId="6DD0C011" w14:textId="77777777" w:rsidR="00894070" w:rsidRDefault="009B7AFD">
      <w:pPr>
        <w:pStyle w:val="ListParagraph"/>
        <w:numPr>
          <w:ilvl w:val="2"/>
          <w:numId w:val="177"/>
        </w:numPr>
        <w:tabs>
          <w:tab w:val="left" w:pos="2141"/>
          <w:tab w:val="left" w:pos="2142"/>
        </w:tabs>
        <w:spacing w:before="47" w:line="259" w:lineRule="exact"/>
        <w:ind w:hanging="340"/>
        <w:rPr>
          <w:sz w:val="20"/>
        </w:rPr>
      </w:pPr>
      <w:r>
        <w:rPr>
          <w:color w:val="231F20"/>
          <w:spacing w:val="-6"/>
          <w:sz w:val="20"/>
        </w:rPr>
        <w:t xml:space="preserve">We </w:t>
      </w:r>
      <w:r>
        <w:rPr>
          <w:color w:val="231F20"/>
          <w:spacing w:val="-4"/>
          <w:sz w:val="20"/>
        </w:rPr>
        <w:t>have</w:t>
      </w:r>
      <w:r>
        <w:rPr>
          <w:color w:val="231F20"/>
          <w:spacing w:val="-5"/>
          <w:sz w:val="20"/>
        </w:rPr>
        <w:t xml:space="preserve"> </w:t>
      </w:r>
      <w:r>
        <w:rPr>
          <w:color w:val="231F20"/>
          <w:sz w:val="20"/>
        </w:rPr>
        <w:t>little</w:t>
      </w:r>
      <w:r>
        <w:rPr>
          <w:color w:val="231F20"/>
          <w:spacing w:val="-5"/>
          <w:sz w:val="20"/>
        </w:rPr>
        <w:t xml:space="preserve"> </w:t>
      </w:r>
      <w:r>
        <w:rPr>
          <w:color w:val="231F20"/>
          <w:sz w:val="20"/>
        </w:rPr>
        <w:t>insight</w:t>
      </w:r>
      <w:r>
        <w:rPr>
          <w:color w:val="231F20"/>
          <w:spacing w:val="-6"/>
          <w:sz w:val="20"/>
        </w:rPr>
        <w:t xml:space="preserve"> </w:t>
      </w:r>
      <w:r>
        <w:rPr>
          <w:color w:val="231F20"/>
          <w:spacing w:val="-3"/>
          <w:sz w:val="20"/>
        </w:rPr>
        <w:t>into</w:t>
      </w:r>
      <w:r>
        <w:rPr>
          <w:color w:val="231F20"/>
          <w:spacing w:val="-5"/>
          <w:sz w:val="20"/>
        </w:rPr>
        <w:t xml:space="preserve"> </w:t>
      </w:r>
      <w:r>
        <w:rPr>
          <w:color w:val="231F20"/>
          <w:sz w:val="20"/>
        </w:rPr>
        <w:t>stalking</w:t>
      </w:r>
      <w:r>
        <w:rPr>
          <w:color w:val="231F20"/>
          <w:spacing w:val="-5"/>
          <w:sz w:val="20"/>
        </w:rPr>
        <w:t xml:space="preserve"> </w:t>
      </w:r>
      <w:r>
        <w:rPr>
          <w:color w:val="231F20"/>
          <w:sz w:val="20"/>
        </w:rPr>
        <w:t>that</w:t>
      </w:r>
      <w:r>
        <w:rPr>
          <w:color w:val="231F20"/>
          <w:spacing w:val="-6"/>
          <w:sz w:val="20"/>
        </w:rPr>
        <w:t xml:space="preserve"> </w:t>
      </w:r>
      <w:r>
        <w:rPr>
          <w:color w:val="231F20"/>
          <w:sz w:val="20"/>
        </w:rPr>
        <w:t>is</w:t>
      </w:r>
      <w:r>
        <w:rPr>
          <w:color w:val="231F20"/>
          <w:spacing w:val="-5"/>
          <w:sz w:val="20"/>
        </w:rPr>
        <w:t xml:space="preserve"> </w:t>
      </w:r>
      <w:r>
        <w:rPr>
          <w:color w:val="231F20"/>
          <w:sz w:val="20"/>
        </w:rPr>
        <w:t>the</w:t>
      </w:r>
      <w:r>
        <w:rPr>
          <w:color w:val="231F20"/>
          <w:spacing w:val="-5"/>
          <w:sz w:val="20"/>
        </w:rPr>
        <w:t xml:space="preserve"> </w:t>
      </w:r>
      <w:r>
        <w:rPr>
          <w:color w:val="231F20"/>
          <w:sz w:val="20"/>
        </w:rPr>
        <w:t>subject</w:t>
      </w:r>
      <w:r>
        <w:rPr>
          <w:color w:val="231F20"/>
          <w:spacing w:val="-5"/>
          <w:sz w:val="20"/>
        </w:rPr>
        <w:t xml:space="preserve"> </w:t>
      </w:r>
      <w:r>
        <w:rPr>
          <w:color w:val="231F20"/>
          <w:sz w:val="20"/>
        </w:rPr>
        <w:t>of</w:t>
      </w:r>
      <w:r>
        <w:rPr>
          <w:color w:val="231F20"/>
          <w:spacing w:val="-6"/>
          <w:sz w:val="20"/>
        </w:rPr>
        <w:t xml:space="preserve"> </w:t>
      </w:r>
      <w:r>
        <w:rPr>
          <w:color w:val="231F20"/>
          <w:sz w:val="20"/>
        </w:rPr>
        <w:t>a</w:t>
      </w:r>
      <w:r>
        <w:rPr>
          <w:color w:val="231F20"/>
          <w:spacing w:val="-5"/>
          <w:sz w:val="20"/>
        </w:rPr>
        <w:t xml:space="preserve"> </w:t>
      </w:r>
      <w:r>
        <w:rPr>
          <w:color w:val="231F20"/>
          <w:sz w:val="20"/>
        </w:rPr>
        <w:t>FVIO</w:t>
      </w:r>
      <w:r>
        <w:rPr>
          <w:color w:val="231F20"/>
          <w:spacing w:val="-5"/>
          <w:sz w:val="20"/>
        </w:rPr>
        <w:t xml:space="preserve"> </w:t>
      </w:r>
      <w:r>
        <w:rPr>
          <w:color w:val="231F20"/>
          <w:sz w:val="20"/>
        </w:rPr>
        <w:t>because</w:t>
      </w:r>
      <w:r>
        <w:rPr>
          <w:color w:val="231F20"/>
          <w:spacing w:val="-6"/>
          <w:sz w:val="20"/>
        </w:rPr>
        <w:t xml:space="preserve"> </w:t>
      </w:r>
      <w:r>
        <w:rPr>
          <w:color w:val="231F20"/>
          <w:sz w:val="20"/>
        </w:rPr>
        <w:t>the</w:t>
      </w:r>
      <w:r>
        <w:rPr>
          <w:color w:val="231F20"/>
          <w:spacing w:val="-5"/>
          <w:sz w:val="20"/>
        </w:rPr>
        <w:t xml:space="preserve"> </w:t>
      </w:r>
      <w:r>
        <w:rPr>
          <w:color w:val="231F20"/>
          <w:sz w:val="20"/>
        </w:rPr>
        <w:t>data</w:t>
      </w:r>
    </w:p>
    <w:p w14:paraId="7C653EE3" w14:textId="77777777" w:rsidR="00894070" w:rsidRDefault="009B7AFD">
      <w:pPr>
        <w:pStyle w:val="BodyText"/>
        <w:spacing w:line="259" w:lineRule="exact"/>
        <w:ind w:left="2141"/>
        <w:rPr>
          <w:sz w:val="11"/>
        </w:rPr>
      </w:pPr>
      <w:r>
        <w:rPr>
          <w:color w:val="231F20"/>
        </w:rPr>
        <w:t>does not separate out stalking.</w:t>
      </w:r>
      <w:r>
        <w:rPr>
          <w:color w:val="231F20"/>
          <w:position w:val="7"/>
          <w:sz w:val="11"/>
        </w:rPr>
        <w:t>106</w:t>
      </w:r>
    </w:p>
    <w:p w14:paraId="532A8E43" w14:textId="77777777" w:rsidR="00894070" w:rsidRDefault="009B7AFD">
      <w:pPr>
        <w:pStyle w:val="ListParagraph"/>
        <w:numPr>
          <w:ilvl w:val="2"/>
          <w:numId w:val="177"/>
        </w:numPr>
        <w:tabs>
          <w:tab w:val="left" w:pos="2141"/>
          <w:tab w:val="left" w:pos="2142"/>
        </w:tabs>
        <w:spacing w:before="80" w:line="206" w:lineRule="auto"/>
        <w:ind w:right="1403" w:hanging="340"/>
        <w:rPr>
          <w:sz w:val="11"/>
        </w:rPr>
      </w:pPr>
      <w:r>
        <w:rPr>
          <w:color w:val="231F20"/>
          <w:sz w:val="20"/>
        </w:rPr>
        <w:t xml:space="preserve">Not much is </w:t>
      </w:r>
      <w:r>
        <w:rPr>
          <w:color w:val="231F20"/>
          <w:spacing w:val="-3"/>
          <w:sz w:val="20"/>
        </w:rPr>
        <w:t xml:space="preserve">known </w:t>
      </w:r>
      <w:r>
        <w:rPr>
          <w:color w:val="231F20"/>
          <w:sz w:val="20"/>
        </w:rPr>
        <w:t xml:space="preserve">about the </w:t>
      </w:r>
      <w:r>
        <w:rPr>
          <w:color w:val="231F20"/>
          <w:spacing w:val="-3"/>
          <w:sz w:val="20"/>
        </w:rPr>
        <w:t xml:space="preserve">different </w:t>
      </w:r>
      <w:r>
        <w:rPr>
          <w:color w:val="231F20"/>
          <w:sz w:val="20"/>
        </w:rPr>
        <w:t>forms of non-family violence stalking sentenced</w:t>
      </w:r>
      <w:r>
        <w:rPr>
          <w:color w:val="231F20"/>
          <w:spacing w:val="-10"/>
          <w:sz w:val="20"/>
        </w:rPr>
        <w:t xml:space="preserve"> </w:t>
      </w:r>
      <w:r>
        <w:rPr>
          <w:color w:val="231F20"/>
          <w:sz w:val="20"/>
        </w:rPr>
        <w:t>in</w:t>
      </w:r>
      <w:r>
        <w:rPr>
          <w:color w:val="231F20"/>
          <w:spacing w:val="-10"/>
          <w:sz w:val="20"/>
        </w:rPr>
        <w:t xml:space="preserve"> </w:t>
      </w:r>
      <w:r>
        <w:rPr>
          <w:color w:val="231F20"/>
          <w:sz w:val="20"/>
        </w:rPr>
        <w:t>the</w:t>
      </w:r>
      <w:r>
        <w:rPr>
          <w:color w:val="231F20"/>
          <w:spacing w:val="-9"/>
          <w:sz w:val="20"/>
        </w:rPr>
        <w:t xml:space="preserve"> </w:t>
      </w:r>
      <w:r>
        <w:rPr>
          <w:color w:val="231F20"/>
          <w:sz w:val="20"/>
        </w:rPr>
        <w:t>courts:</w:t>
      </w:r>
      <w:r>
        <w:rPr>
          <w:color w:val="231F20"/>
          <w:spacing w:val="-10"/>
          <w:sz w:val="20"/>
        </w:rPr>
        <w:t xml:space="preserve"> </w:t>
      </w:r>
      <w:r>
        <w:rPr>
          <w:color w:val="231F20"/>
          <w:spacing w:val="-3"/>
          <w:sz w:val="20"/>
        </w:rPr>
        <w:t>for</w:t>
      </w:r>
      <w:r>
        <w:rPr>
          <w:color w:val="231F20"/>
          <w:spacing w:val="-10"/>
          <w:sz w:val="20"/>
        </w:rPr>
        <w:t xml:space="preserve"> </w:t>
      </w:r>
      <w:r>
        <w:rPr>
          <w:color w:val="231F20"/>
          <w:spacing w:val="-3"/>
          <w:sz w:val="20"/>
        </w:rPr>
        <w:t>example,</w:t>
      </w:r>
      <w:r>
        <w:rPr>
          <w:color w:val="231F20"/>
          <w:spacing w:val="-9"/>
          <w:sz w:val="20"/>
        </w:rPr>
        <w:t xml:space="preserve"> </w:t>
      </w:r>
      <w:r>
        <w:rPr>
          <w:color w:val="231F20"/>
          <w:sz w:val="20"/>
        </w:rPr>
        <w:t>stalking</w:t>
      </w:r>
      <w:r>
        <w:rPr>
          <w:color w:val="231F20"/>
          <w:spacing w:val="-10"/>
          <w:sz w:val="20"/>
        </w:rPr>
        <w:t xml:space="preserve"> </w:t>
      </w:r>
      <w:r>
        <w:rPr>
          <w:color w:val="231F20"/>
          <w:spacing w:val="-3"/>
          <w:sz w:val="20"/>
        </w:rPr>
        <w:t>by</w:t>
      </w:r>
      <w:r>
        <w:rPr>
          <w:color w:val="231F20"/>
          <w:spacing w:val="-9"/>
          <w:sz w:val="20"/>
        </w:rPr>
        <w:t xml:space="preserve"> </w:t>
      </w:r>
      <w:r>
        <w:rPr>
          <w:color w:val="231F20"/>
          <w:sz w:val="20"/>
        </w:rPr>
        <w:t>an</w:t>
      </w:r>
      <w:r>
        <w:rPr>
          <w:color w:val="231F20"/>
          <w:spacing w:val="-10"/>
          <w:sz w:val="20"/>
        </w:rPr>
        <w:t xml:space="preserve"> </w:t>
      </w:r>
      <w:r>
        <w:rPr>
          <w:color w:val="231F20"/>
          <w:sz w:val="20"/>
        </w:rPr>
        <w:t>acquaintance</w:t>
      </w:r>
      <w:r>
        <w:rPr>
          <w:color w:val="231F20"/>
          <w:spacing w:val="-10"/>
          <w:sz w:val="20"/>
        </w:rPr>
        <w:t xml:space="preserve"> </w:t>
      </w:r>
      <w:r>
        <w:rPr>
          <w:color w:val="231F20"/>
          <w:sz w:val="20"/>
        </w:rPr>
        <w:t>versus</w:t>
      </w:r>
      <w:r>
        <w:rPr>
          <w:color w:val="231F20"/>
          <w:spacing w:val="-9"/>
          <w:sz w:val="20"/>
        </w:rPr>
        <w:t xml:space="preserve"> </w:t>
      </w:r>
      <w:r>
        <w:rPr>
          <w:color w:val="231F20"/>
          <w:sz w:val="20"/>
        </w:rPr>
        <w:t xml:space="preserve">stalking </w:t>
      </w:r>
      <w:r>
        <w:rPr>
          <w:color w:val="231F20"/>
          <w:spacing w:val="-3"/>
          <w:sz w:val="20"/>
        </w:rPr>
        <w:t xml:space="preserve">by </w:t>
      </w:r>
      <w:r>
        <w:rPr>
          <w:color w:val="231F20"/>
          <w:sz w:val="20"/>
        </w:rPr>
        <w:t xml:space="preserve">a </w:t>
      </w:r>
      <w:r>
        <w:rPr>
          <w:color w:val="231F20"/>
          <w:spacing w:val="-3"/>
          <w:sz w:val="20"/>
        </w:rPr>
        <w:t xml:space="preserve">stranger. </w:t>
      </w:r>
      <w:r>
        <w:rPr>
          <w:color w:val="231F20"/>
          <w:spacing w:val="-6"/>
          <w:sz w:val="20"/>
        </w:rPr>
        <w:t xml:space="preserve">We </w:t>
      </w:r>
      <w:r>
        <w:rPr>
          <w:color w:val="231F20"/>
          <w:spacing w:val="-4"/>
          <w:sz w:val="20"/>
        </w:rPr>
        <w:t xml:space="preserve">have </w:t>
      </w:r>
      <w:r>
        <w:rPr>
          <w:color w:val="231F20"/>
          <w:sz w:val="20"/>
        </w:rPr>
        <w:t xml:space="preserve">little insight </w:t>
      </w:r>
      <w:r>
        <w:rPr>
          <w:color w:val="231F20"/>
          <w:spacing w:val="-3"/>
          <w:sz w:val="20"/>
        </w:rPr>
        <w:t xml:space="preserve">into any </w:t>
      </w:r>
      <w:r>
        <w:rPr>
          <w:color w:val="231F20"/>
          <w:sz w:val="20"/>
        </w:rPr>
        <w:t xml:space="preserve">trends such as </w:t>
      </w:r>
      <w:r>
        <w:rPr>
          <w:color w:val="231F20"/>
          <w:spacing w:val="-3"/>
          <w:sz w:val="20"/>
        </w:rPr>
        <w:t xml:space="preserve">how </w:t>
      </w:r>
      <w:r>
        <w:rPr>
          <w:color w:val="231F20"/>
          <w:sz w:val="20"/>
        </w:rPr>
        <w:t xml:space="preserve">long the stalking </w:t>
      </w:r>
      <w:proofErr w:type="gramStart"/>
      <w:r>
        <w:rPr>
          <w:color w:val="231F20"/>
          <w:sz w:val="20"/>
        </w:rPr>
        <w:t>lasted</w:t>
      </w:r>
      <w:proofErr w:type="gramEnd"/>
      <w:r>
        <w:rPr>
          <w:color w:val="231F20"/>
          <w:sz w:val="20"/>
        </w:rPr>
        <w:t xml:space="preserve"> and the </w:t>
      </w:r>
      <w:r>
        <w:rPr>
          <w:color w:val="231F20"/>
          <w:spacing w:val="-3"/>
          <w:sz w:val="20"/>
        </w:rPr>
        <w:t xml:space="preserve">levels </w:t>
      </w:r>
      <w:r>
        <w:rPr>
          <w:color w:val="231F20"/>
          <w:sz w:val="20"/>
        </w:rPr>
        <w:t>of violence</w:t>
      </w:r>
      <w:r>
        <w:rPr>
          <w:color w:val="231F20"/>
          <w:spacing w:val="-22"/>
          <w:sz w:val="20"/>
        </w:rPr>
        <w:t xml:space="preserve"> </w:t>
      </w:r>
      <w:r>
        <w:rPr>
          <w:color w:val="231F20"/>
          <w:spacing w:val="-3"/>
          <w:sz w:val="20"/>
        </w:rPr>
        <w:t>involved.</w:t>
      </w:r>
      <w:r>
        <w:rPr>
          <w:color w:val="231F20"/>
          <w:spacing w:val="-3"/>
          <w:position w:val="7"/>
          <w:sz w:val="11"/>
        </w:rPr>
        <w:t>107</w:t>
      </w:r>
    </w:p>
    <w:p w14:paraId="22A08DAA" w14:textId="77777777" w:rsidR="00894070" w:rsidRDefault="009F6793">
      <w:pPr>
        <w:pStyle w:val="BodyText"/>
        <w:spacing w:before="11"/>
        <w:rPr>
          <w:sz w:val="12"/>
        </w:rPr>
      </w:pPr>
      <w:r>
        <w:pict w14:anchorId="6999EE6A">
          <v:line id="_x0000_s1654" style="position:absolute;z-index:251445248;mso-wrap-distance-left:0;mso-wrap-distance-right:0;mso-position-horizontal-relative:page" from="79.35pt,11.35pt" to="515.9pt,11.35pt" strokecolor="#f8cabc" strokeweight="1pt">
            <w10:wrap type="topAndBottom" anchorx="page"/>
          </v:line>
        </w:pict>
      </w:r>
    </w:p>
    <w:p w14:paraId="046766C3" w14:textId="77777777" w:rsidR="00894070" w:rsidRDefault="009B7AFD">
      <w:pPr>
        <w:pStyle w:val="ListParagraph"/>
        <w:numPr>
          <w:ilvl w:val="0"/>
          <w:numId w:val="166"/>
        </w:numPr>
        <w:tabs>
          <w:tab w:val="left" w:pos="1800"/>
          <w:tab w:val="left" w:pos="1802"/>
        </w:tabs>
        <w:spacing w:before="91" w:line="170" w:lineRule="exact"/>
        <w:rPr>
          <w:sz w:val="13"/>
        </w:rPr>
      </w:pPr>
      <w:r>
        <w:rPr>
          <w:color w:val="231F20"/>
          <w:sz w:val="13"/>
        </w:rPr>
        <w:t xml:space="preserve">However, </w:t>
      </w:r>
      <w:r>
        <w:rPr>
          <w:color w:val="231F20"/>
          <w:spacing w:val="2"/>
          <w:sz w:val="13"/>
        </w:rPr>
        <w:t xml:space="preserve">stalking </w:t>
      </w:r>
      <w:r>
        <w:rPr>
          <w:color w:val="231F20"/>
          <w:sz w:val="13"/>
        </w:rPr>
        <w:t xml:space="preserve">by intimate </w:t>
      </w:r>
      <w:r>
        <w:rPr>
          <w:color w:val="231F20"/>
          <w:spacing w:val="2"/>
          <w:sz w:val="13"/>
        </w:rPr>
        <w:t xml:space="preserve">partners </w:t>
      </w:r>
      <w:r>
        <w:rPr>
          <w:color w:val="231F20"/>
          <w:sz w:val="13"/>
        </w:rPr>
        <w:t>and by relatives and in-laws can be separated out: Australian Bureau of</w:t>
      </w:r>
      <w:r>
        <w:rPr>
          <w:color w:val="231F20"/>
          <w:spacing w:val="21"/>
          <w:sz w:val="13"/>
        </w:rPr>
        <w:t xml:space="preserve"> </w:t>
      </w:r>
      <w:r>
        <w:rPr>
          <w:color w:val="231F20"/>
          <w:spacing w:val="2"/>
          <w:sz w:val="13"/>
        </w:rPr>
        <w:t>Statistics,</w:t>
      </w:r>
    </w:p>
    <w:p w14:paraId="0DDDFC91" w14:textId="77777777" w:rsidR="00894070" w:rsidRDefault="009B7AFD">
      <w:pPr>
        <w:spacing w:line="160" w:lineRule="exact"/>
        <w:ind w:left="1801"/>
        <w:rPr>
          <w:sz w:val="13"/>
        </w:rPr>
      </w:pPr>
      <w:r>
        <w:rPr>
          <w:i/>
          <w:color w:val="231F20"/>
          <w:sz w:val="13"/>
        </w:rPr>
        <w:t xml:space="preserve">Experience of Stalking—Personal Safety, Australia, 2016 </w:t>
      </w:r>
      <w:r>
        <w:rPr>
          <w:color w:val="231F20"/>
          <w:sz w:val="13"/>
        </w:rPr>
        <w:t>(Data Table No 49060DO0007, 8 November 2017) Tables 35.1, 36.1.</w:t>
      </w:r>
    </w:p>
    <w:p w14:paraId="182F0338" w14:textId="77777777" w:rsidR="00894070" w:rsidRDefault="009B7AFD">
      <w:pPr>
        <w:pStyle w:val="ListParagraph"/>
        <w:numPr>
          <w:ilvl w:val="0"/>
          <w:numId w:val="166"/>
        </w:numPr>
        <w:tabs>
          <w:tab w:val="left" w:pos="1801"/>
          <w:tab w:val="left" w:pos="1802"/>
        </w:tabs>
        <w:spacing w:before="6" w:line="213" w:lineRule="auto"/>
        <w:ind w:right="1587"/>
        <w:rPr>
          <w:sz w:val="13"/>
        </w:rPr>
      </w:pPr>
      <w:r>
        <w:rPr>
          <w:color w:val="231F20"/>
          <w:sz w:val="13"/>
        </w:rPr>
        <w:t xml:space="preserve">The survey is limited to people living in private dwellings: Australian Bureau of </w:t>
      </w:r>
      <w:r>
        <w:rPr>
          <w:color w:val="231F20"/>
          <w:spacing w:val="2"/>
          <w:sz w:val="13"/>
        </w:rPr>
        <w:t xml:space="preserve">Statistics, </w:t>
      </w:r>
      <w:r>
        <w:rPr>
          <w:i/>
          <w:color w:val="231F20"/>
          <w:sz w:val="13"/>
        </w:rPr>
        <w:t>Personal Safety, Australia Methodology</w:t>
      </w:r>
      <w:r>
        <w:rPr>
          <w:i/>
          <w:color w:val="231F20"/>
          <w:spacing w:val="12"/>
          <w:sz w:val="13"/>
        </w:rPr>
        <w:t xml:space="preserve"> </w:t>
      </w:r>
      <w:r>
        <w:rPr>
          <w:i/>
          <w:color w:val="231F20"/>
          <w:sz w:val="13"/>
        </w:rPr>
        <w:t>2016</w:t>
      </w:r>
      <w:r>
        <w:rPr>
          <w:i/>
          <w:color w:val="231F20"/>
          <w:spacing w:val="12"/>
          <w:sz w:val="13"/>
        </w:rPr>
        <w:t xml:space="preserve"> </w:t>
      </w:r>
      <w:r>
        <w:rPr>
          <w:color w:val="231F20"/>
          <w:sz w:val="13"/>
        </w:rPr>
        <w:t>(Web</w:t>
      </w:r>
      <w:r>
        <w:rPr>
          <w:color w:val="231F20"/>
          <w:spacing w:val="13"/>
          <w:sz w:val="13"/>
        </w:rPr>
        <w:t xml:space="preserve"> </w:t>
      </w:r>
      <w:r>
        <w:rPr>
          <w:color w:val="231F20"/>
          <w:sz w:val="13"/>
        </w:rPr>
        <w:t>Page,</w:t>
      </w:r>
      <w:r>
        <w:rPr>
          <w:color w:val="231F20"/>
          <w:spacing w:val="13"/>
          <w:sz w:val="13"/>
        </w:rPr>
        <w:t xml:space="preserve"> </w:t>
      </w:r>
      <w:r>
        <w:rPr>
          <w:color w:val="231F20"/>
          <w:sz w:val="13"/>
        </w:rPr>
        <w:t>8</w:t>
      </w:r>
      <w:r>
        <w:rPr>
          <w:color w:val="231F20"/>
          <w:spacing w:val="13"/>
          <w:sz w:val="13"/>
        </w:rPr>
        <w:t xml:space="preserve"> </w:t>
      </w:r>
      <w:r>
        <w:rPr>
          <w:color w:val="231F20"/>
          <w:sz w:val="13"/>
        </w:rPr>
        <w:t>November</w:t>
      </w:r>
      <w:r>
        <w:rPr>
          <w:color w:val="231F20"/>
          <w:spacing w:val="12"/>
          <w:sz w:val="13"/>
        </w:rPr>
        <w:t xml:space="preserve"> </w:t>
      </w:r>
      <w:r>
        <w:rPr>
          <w:color w:val="231F20"/>
          <w:sz w:val="13"/>
        </w:rPr>
        <w:t>2017)</w:t>
      </w:r>
      <w:r>
        <w:rPr>
          <w:color w:val="231F20"/>
          <w:spacing w:val="13"/>
          <w:sz w:val="13"/>
        </w:rPr>
        <w:t xml:space="preserve"> </w:t>
      </w:r>
      <w:r>
        <w:rPr>
          <w:color w:val="231F20"/>
          <w:sz w:val="13"/>
        </w:rPr>
        <w:t>[9</w:t>
      </w:r>
      <w:hyperlink r:id="rId56">
        <w:r>
          <w:rPr>
            <w:color w:val="231F20"/>
            <w:sz w:val="13"/>
          </w:rPr>
          <w:t>]</w:t>
        </w:r>
        <w:r>
          <w:rPr>
            <w:color w:val="231F20"/>
            <w:spacing w:val="13"/>
            <w:sz w:val="13"/>
          </w:rPr>
          <w:t xml:space="preserve"> </w:t>
        </w:r>
        <w:r>
          <w:rPr>
            <w:color w:val="231F20"/>
            <w:sz w:val="13"/>
          </w:rPr>
          <w:t>&lt;</w:t>
        </w:r>
        <w:r>
          <w:rPr>
            <w:color w:val="231F20"/>
            <w:spacing w:val="13"/>
            <w:sz w:val="13"/>
          </w:rPr>
          <w:t xml:space="preserve"> </w:t>
        </w:r>
        <w:r>
          <w:rPr>
            <w:color w:val="231F20"/>
            <w:sz w:val="13"/>
          </w:rPr>
          <w:t>https://www.abs.gov.au/methodologies/personal-safety-australia-</w:t>
        </w:r>
      </w:hyperlink>
    </w:p>
    <w:p w14:paraId="5E9B4C31" w14:textId="77777777" w:rsidR="00894070" w:rsidRDefault="009F6793">
      <w:pPr>
        <w:spacing w:line="213" w:lineRule="auto"/>
        <w:ind w:left="1801" w:right="1396"/>
        <w:rPr>
          <w:sz w:val="13"/>
        </w:rPr>
      </w:pPr>
      <w:hyperlink r:id="rId57">
        <w:r w:rsidR="009B7AFD">
          <w:rPr>
            <w:color w:val="231F20"/>
            <w:sz w:val="13"/>
          </w:rPr>
          <w:t>methodology/2016</w:t>
        </w:r>
      </w:hyperlink>
      <w:r w:rsidR="009B7AFD">
        <w:rPr>
          <w:color w:val="231F20"/>
          <w:sz w:val="13"/>
        </w:rPr>
        <w:t xml:space="preserve">&gt;. However, information is available in relation to, among other things, various age brackets, </w:t>
      </w:r>
      <w:r w:rsidR="009B7AFD">
        <w:rPr>
          <w:color w:val="231F20"/>
          <w:spacing w:val="2"/>
          <w:sz w:val="13"/>
        </w:rPr>
        <w:t xml:space="preserve">socio-economic </w:t>
      </w:r>
      <w:r w:rsidR="009B7AFD">
        <w:rPr>
          <w:color w:val="231F20"/>
          <w:sz w:val="13"/>
        </w:rPr>
        <w:t xml:space="preserve">status, whether born overseas (in an English or </w:t>
      </w:r>
      <w:r w:rsidR="009B7AFD">
        <w:rPr>
          <w:color w:val="231F20"/>
          <w:spacing w:val="2"/>
          <w:sz w:val="13"/>
        </w:rPr>
        <w:t xml:space="preserve">non-English </w:t>
      </w:r>
      <w:r w:rsidR="009B7AFD">
        <w:rPr>
          <w:color w:val="231F20"/>
          <w:sz w:val="13"/>
        </w:rPr>
        <w:t xml:space="preserve">speaking country) and </w:t>
      </w:r>
      <w:r w:rsidR="009B7AFD">
        <w:rPr>
          <w:color w:val="231F20"/>
          <w:spacing w:val="2"/>
          <w:sz w:val="13"/>
        </w:rPr>
        <w:t xml:space="preserve">disability </w:t>
      </w:r>
      <w:r w:rsidR="009B7AFD">
        <w:rPr>
          <w:color w:val="231F20"/>
          <w:sz w:val="13"/>
        </w:rPr>
        <w:t xml:space="preserve">status: Australian Bureau of   </w:t>
      </w:r>
      <w:r w:rsidR="009B7AFD">
        <w:rPr>
          <w:color w:val="231F20"/>
          <w:spacing w:val="2"/>
          <w:sz w:val="13"/>
        </w:rPr>
        <w:t>Statistics,</w:t>
      </w:r>
      <w:r w:rsidR="009B7AFD">
        <w:rPr>
          <w:color w:val="231F20"/>
          <w:spacing w:val="4"/>
          <w:sz w:val="13"/>
        </w:rPr>
        <w:t xml:space="preserve"> </w:t>
      </w:r>
      <w:r w:rsidR="009B7AFD">
        <w:rPr>
          <w:i/>
          <w:color w:val="231F20"/>
          <w:spacing w:val="2"/>
          <w:sz w:val="13"/>
        </w:rPr>
        <w:t>Experience</w:t>
      </w:r>
      <w:r w:rsidR="009B7AFD">
        <w:rPr>
          <w:i/>
          <w:color w:val="231F20"/>
          <w:spacing w:val="3"/>
          <w:sz w:val="13"/>
        </w:rPr>
        <w:t xml:space="preserve"> </w:t>
      </w:r>
      <w:r w:rsidR="009B7AFD">
        <w:rPr>
          <w:i/>
          <w:color w:val="231F20"/>
          <w:sz w:val="13"/>
        </w:rPr>
        <w:t>of</w:t>
      </w:r>
      <w:r w:rsidR="009B7AFD">
        <w:rPr>
          <w:i/>
          <w:color w:val="231F20"/>
          <w:spacing w:val="3"/>
          <w:sz w:val="13"/>
        </w:rPr>
        <w:t xml:space="preserve"> </w:t>
      </w:r>
      <w:r w:rsidR="009B7AFD">
        <w:rPr>
          <w:i/>
          <w:color w:val="231F20"/>
          <w:sz w:val="13"/>
        </w:rPr>
        <w:t>Stalking—Personal</w:t>
      </w:r>
      <w:r w:rsidR="009B7AFD">
        <w:rPr>
          <w:i/>
          <w:color w:val="231F20"/>
          <w:spacing w:val="3"/>
          <w:sz w:val="13"/>
        </w:rPr>
        <w:t xml:space="preserve"> </w:t>
      </w:r>
      <w:r w:rsidR="009B7AFD">
        <w:rPr>
          <w:i/>
          <w:color w:val="231F20"/>
          <w:sz w:val="13"/>
        </w:rPr>
        <w:t>Safety,</w:t>
      </w:r>
      <w:r w:rsidR="009B7AFD">
        <w:rPr>
          <w:i/>
          <w:color w:val="231F20"/>
          <w:spacing w:val="5"/>
          <w:sz w:val="13"/>
        </w:rPr>
        <w:t xml:space="preserve"> </w:t>
      </w:r>
      <w:r w:rsidR="009B7AFD">
        <w:rPr>
          <w:i/>
          <w:color w:val="231F20"/>
          <w:sz w:val="13"/>
        </w:rPr>
        <w:t>Australia,</w:t>
      </w:r>
      <w:r w:rsidR="009B7AFD">
        <w:rPr>
          <w:i/>
          <w:color w:val="231F20"/>
          <w:spacing w:val="3"/>
          <w:sz w:val="13"/>
        </w:rPr>
        <w:t xml:space="preserve"> </w:t>
      </w:r>
      <w:r w:rsidR="009B7AFD">
        <w:rPr>
          <w:i/>
          <w:color w:val="231F20"/>
          <w:sz w:val="13"/>
        </w:rPr>
        <w:t>2016</w:t>
      </w:r>
      <w:r w:rsidR="009B7AFD">
        <w:rPr>
          <w:i/>
          <w:color w:val="231F20"/>
          <w:spacing w:val="4"/>
          <w:sz w:val="13"/>
        </w:rPr>
        <w:t xml:space="preserve"> </w:t>
      </w:r>
      <w:r w:rsidR="009B7AFD">
        <w:rPr>
          <w:color w:val="231F20"/>
          <w:sz w:val="13"/>
        </w:rPr>
        <w:t>(Data</w:t>
      </w:r>
      <w:r w:rsidR="009B7AFD">
        <w:rPr>
          <w:color w:val="231F20"/>
          <w:spacing w:val="4"/>
          <w:sz w:val="13"/>
        </w:rPr>
        <w:t xml:space="preserve"> </w:t>
      </w:r>
      <w:r w:rsidR="009B7AFD">
        <w:rPr>
          <w:color w:val="231F20"/>
          <w:sz w:val="13"/>
        </w:rPr>
        <w:t>Table</w:t>
      </w:r>
      <w:r w:rsidR="009B7AFD">
        <w:rPr>
          <w:color w:val="231F20"/>
          <w:spacing w:val="5"/>
          <w:sz w:val="13"/>
        </w:rPr>
        <w:t xml:space="preserve"> </w:t>
      </w:r>
      <w:r w:rsidR="009B7AFD">
        <w:rPr>
          <w:color w:val="231F20"/>
          <w:sz w:val="13"/>
        </w:rPr>
        <w:t>No</w:t>
      </w:r>
      <w:r w:rsidR="009B7AFD">
        <w:rPr>
          <w:color w:val="231F20"/>
          <w:spacing w:val="4"/>
          <w:sz w:val="13"/>
        </w:rPr>
        <w:t xml:space="preserve"> </w:t>
      </w:r>
      <w:r w:rsidR="009B7AFD">
        <w:rPr>
          <w:color w:val="231F20"/>
          <w:sz w:val="13"/>
        </w:rPr>
        <w:t>49060DO0007,</w:t>
      </w:r>
      <w:r w:rsidR="009B7AFD">
        <w:rPr>
          <w:color w:val="231F20"/>
          <w:spacing w:val="4"/>
          <w:sz w:val="13"/>
        </w:rPr>
        <w:t xml:space="preserve"> </w:t>
      </w:r>
      <w:r w:rsidR="009B7AFD">
        <w:rPr>
          <w:color w:val="231F20"/>
          <w:sz w:val="13"/>
        </w:rPr>
        <w:t>8</w:t>
      </w:r>
      <w:r w:rsidR="009B7AFD">
        <w:rPr>
          <w:color w:val="231F20"/>
          <w:spacing w:val="5"/>
          <w:sz w:val="13"/>
        </w:rPr>
        <w:t xml:space="preserve"> </w:t>
      </w:r>
      <w:r w:rsidR="009B7AFD">
        <w:rPr>
          <w:color w:val="231F20"/>
          <w:sz w:val="13"/>
        </w:rPr>
        <w:t>November</w:t>
      </w:r>
      <w:r w:rsidR="009B7AFD">
        <w:rPr>
          <w:color w:val="231F20"/>
          <w:spacing w:val="4"/>
          <w:sz w:val="13"/>
        </w:rPr>
        <w:t xml:space="preserve"> </w:t>
      </w:r>
      <w:r w:rsidR="009B7AFD">
        <w:rPr>
          <w:color w:val="231F20"/>
          <w:sz w:val="13"/>
        </w:rPr>
        <w:t>2017)</w:t>
      </w:r>
      <w:r w:rsidR="009B7AFD">
        <w:rPr>
          <w:color w:val="231F20"/>
          <w:spacing w:val="5"/>
          <w:sz w:val="13"/>
        </w:rPr>
        <w:t xml:space="preserve"> </w:t>
      </w:r>
      <w:r w:rsidR="009B7AFD">
        <w:rPr>
          <w:color w:val="231F20"/>
          <w:sz w:val="13"/>
        </w:rPr>
        <w:t>Table</w:t>
      </w:r>
      <w:r w:rsidR="009B7AFD">
        <w:rPr>
          <w:color w:val="231F20"/>
          <w:spacing w:val="4"/>
          <w:sz w:val="13"/>
        </w:rPr>
        <w:t xml:space="preserve"> </w:t>
      </w:r>
      <w:r w:rsidR="009B7AFD">
        <w:rPr>
          <w:color w:val="231F20"/>
          <w:spacing w:val="2"/>
          <w:sz w:val="13"/>
        </w:rPr>
        <w:t>38.1.</w:t>
      </w:r>
    </w:p>
    <w:p w14:paraId="06C6CD45" w14:textId="77777777" w:rsidR="00894070" w:rsidRDefault="009B7AFD">
      <w:pPr>
        <w:pStyle w:val="ListParagraph"/>
        <w:numPr>
          <w:ilvl w:val="0"/>
          <w:numId w:val="166"/>
        </w:numPr>
        <w:tabs>
          <w:tab w:val="left" w:pos="1801"/>
          <w:tab w:val="left" w:pos="1802"/>
        </w:tabs>
        <w:spacing w:line="213" w:lineRule="auto"/>
        <w:ind w:right="1304"/>
        <w:rPr>
          <w:sz w:val="13"/>
        </w:rPr>
      </w:pPr>
      <w:r>
        <w:rPr>
          <w:color w:val="231F20"/>
          <w:sz w:val="13"/>
        </w:rPr>
        <w:t xml:space="preserve">Australian Bureau of </w:t>
      </w:r>
      <w:r>
        <w:rPr>
          <w:color w:val="231F20"/>
          <w:spacing w:val="2"/>
          <w:sz w:val="13"/>
        </w:rPr>
        <w:t xml:space="preserve">Statistics, </w:t>
      </w:r>
      <w:r>
        <w:rPr>
          <w:i/>
          <w:color w:val="231F20"/>
          <w:sz w:val="13"/>
        </w:rPr>
        <w:t xml:space="preserve">Personal Safety, Australia, 2016 </w:t>
      </w:r>
      <w:r>
        <w:rPr>
          <w:color w:val="231F20"/>
          <w:sz w:val="13"/>
        </w:rPr>
        <w:t>(Web Page, 11 August 2017</w:t>
      </w:r>
      <w:hyperlink r:id="rId58">
        <w:r>
          <w:rPr>
            <w:color w:val="231F20"/>
            <w:sz w:val="13"/>
          </w:rPr>
          <w:t>) &lt;https://www.abs.gov.au/statistics/</w:t>
        </w:r>
      </w:hyperlink>
      <w:hyperlink r:id="rId59">
        <w:r>
          <w:rPr>
            <w:color w:val="231F20"/>
            <w:sz w:val="13"/>
          </w:rPr>
          <w:t xml:space="preserve"> people/crime-and-justice/personal-safety-australia/latest-release</w:t>
        </w:r>
      </w:hyperlink>
      <w:r>
        <w:rPr>
          <w:color w:val="231F20"/>
          <w:sz w:val="13"/>
        </w:rPr>
        <w:t>&gt;.</w:t>
      </w:r>
    </w:p>
    <w:p w14:paraId="13BD7EE6" w14:textId="77777777" w:rsidR="00894070" w:rsidRDefault="009B7AFD">
      <w:pPr>
        <w:pStyle w:val="ListParagraph"/>
        <w:numPr>
          <w:ilvl w:val="0"/>
          <w:numId w:val="166"/>
        </w:numPr>
        <w:tabs>
          <w:tab w:val="left" w:pos="1801"/>
          <w:tab w:val="left" w:pos="1802"/>
        </w:tabs>
        <w:spacing w:line="213" w:lineRule="auto"/>
        <w:ind w:right="1530"/>
        <w:rPr>
          <w:sz w:val="13"/>
        </w:rPr>
      </w:pPr>
      <w:r>
        <w:rPr>
          <w:color w:val="231F20"/>
          <w:sz w:val="13"/>
        </w:rPr>
        <w:t xml:space="preserve">Australian Bureau of </w:t>
      </w:r>
      <w:r>
        <w:rPr>
          <w:color w:val="231F20"/>
          <w:spacing w:val="2"/>
          <w:sz w:val="13"/>
        </w:rPr>
        <w:t xml:space="preserve">Statistics, </w:t>
      </w:r>
      <w:r>
        <w:rPr>
          <w:i/>
          <w:color w:val="231F20"/>
          <w:sz w:val="13"/>
        </w:rPr>
        <w:t xml:space="preserve">Crime </w:t>
      </w:r>
      <w:proofErr w:type="spellStart"/>
      <w:r>
        <w:rPr>
          <w:i/>
          <w:color w:val="231F20"/>
          <w:sz w:val="13"/>
        </w:rPr>
        <w:t>Victimisation</w:t>
      </w:r>
      <w:proofErr w:type="spellEnd"/>
      <w:r>
        <w:rPr>
          <w:i/>
          <w:color w:val="231F20"/>
          <w:sz w:val="13"/>
        </w:rPr>
        <w:t xml:space="preserve">, Australia, 2020–21 Financial </w:t>
      </w:r>
      <w:r>
        <w:rPr>
          <w:i/>
          <w:color w:val="231F20"/>
          <w:spacing w:val="-3"/>
          <w:sz w:val="13"/>
        </w:rPr>
        <w:t>Year</w:t>
      </w:r>
      <w:r>
        <w:rPr>
          <w:color w:val="231F20"/>
          <w:spacing w:val="-3"/>
          <w:sz w:val="13"/>
        </w:rPr>
        <w:t xml:space="preserve">, </w:t>
      </w:r>
      <w:r>
        <w:rPr>
          <w:color w:val="231F20"/>
          <w:sz w:val="13"/>
        </w:rPr>
        <w:t>(Web Page, 22 February 2022</w:t>
      </w:r>
      <w:hyperlink r:id="rId60">
        <w:r>
          <w:rPr>
            <w:color w:val="231F20"/>
            <w:sz w:val="13"/>
          </w:rPr>
          <w:t xml:space="preserve">) </w:t>
        </w:r>
        <w:r>
          <w:rPr>
            <w:color w:val="231F20"/>
            <w:spacing w:val="-3"/>
            <w:sz w:val="13"/>
          </w:rPr>
          <w:t>&lt;https://</w:t>
        </w:r>
      </w:hyperlink>
      <w:hyperlink r:id="rId61">
        <w:r>
          <w:rPr>
            <w:color w:val="231F20"/>
            <w:spacing w:val="-3"/>
            <w:sz w:val="13"/>
          </w:rPr>
          <w:t xml:space="preserve"> </w:t>
        </w:r>
        <w:r>
          <w:rPr>
            <w:color w:val="231F20"/>
            <w:sz w:val="13"/>
          </w:rPr>
          <w:t>www.abs.gov.au/statistics/people/crime-and-justice/crime-victimisation-australia/latest-release</w:t>
        </w:r>
      </w:hyperlink>
      <w:r>
        <w:rPr>
          <w:color w:val="231F20"/>
          <w:sz w:val="13"/>
        </w:rPr>
        <w:t>&gt;.</w:t>
      </w:r>
    </w:p>
    <w:p w14:paraId="67BA052F" w14:textId="77777777" w:rsidR="00894070" w:rsidRDefault="009B7AFD">
      <w:pPr>
        <w:pStyle w:val="ListParagraph"/>
        <w:numPr>
          <w:ilvl w:val="0"/>
          <w:numId w:val="166"/>
        </w:numPr>
        <w:tabs>
          <w:tab w:val="left" w:pos="1801"/>
          <w:tab w:val="left" w:pos="1802"/>
        </w:tabs>
        <w:spacing w:line="213" w:lineRule="auto"/>
        <w:ind w:right="1318"/>
        <w:rPr>
          <w:sz w:val="13"/>
        </w:rPr>
      </w:pPr>
      <w:r>
        <w:rPr>
          <w:color w:val="231F20"/>
          <w:sz w:val="13"/>
        </w:rPr>
        <w:t xml:space="preserve">The data on personal safety intervention orders provides some </w:t>
      </w:r>
      <w:r>
        <w:rPr>
          <w:color w:val="231F20"/>
          <w:spacing w:val="2"/>
          <w:sz w:val="13"/>
        </w:rPr>
        <w:t xml:space="preserve">indication </w:t>
      </w:r>
      <w:r>
        <w:rPr>
          <w:color w:val="231F20"/>
          <w:sz w:val="13"/>
        </w:rPr>
        <w:t xml:space="preserve">of how widespread unreported </w:t>
      </w:r>
      <w:r>
        <w:rPr>
          <w:color w:val="231F20"/>
          <w:spacing w:val="2"/>
          <w:sz w:val="13"/>
        </w:rPr>
        <w:t xml:space="preserve">stalking </w:t>
      </w:r>
      <w:r>
        <w:rPr>
          <w:color w:val="231F20"/>
          <w:sz w:val="13"/>
        </w:rPr>
        <w:t xml:space="preserve">is, given     most of these orders contain conditions covering </w:t>
      </w:r>
      <w:r>
        <w:rPr>
          <w:color w:val="231F20"/>
          <w:spacing w:val="2"/>
          <w:sz w:val="13"/>
        </w:rPr>
        <w:t xml:space="preserve">stalking </w:t>
      </w:r>
      <w:r>
        <w:rPr>
          <w:color w:val="231F20"/>
          <w:sz w:val="13"/>
        </w:rPr>
        <w:t xml:space="preserve">as well as other </w:t>
      </w:r>
      <w:proofErr w:type="spellStart"/>
      <w:r>
        <w:rPr>
          <w:color w:val="231F20"/>
          <w:sz w:val="13"/>
        </w:rPr>
        <w:t>behaviours</w:t>
      </w:r>
      <w:proofErr w:type="spellEnd"/>
      <w:r>
        <w:rPr>
          <w:color w:val="231F20"/>
          <w:sz w:val="13"/>
        </w:rPr>
        <w:t xml:space="preserve"> and more than half are sought by private </w:t>
      </w:r>
      <w:r>
        <w:rPr>
          <w:color w:val="231F20"/>
          <w:spacing w:val="2"/>
          <w:sz w:val="13"/>
        </w:rPr>
        <w:t xml:space="preserve">individuals </w:t>
      </w:r>
      <w:r>
        <w:rPr>
          <w:color w:val="231F20"/>
          <w:sz w:val="13"/>
        </w:rPr>
        <w:t xml:space="preserve">rather than the police. But this measure is rough, </w:t>
      </w:r>
      <w:r>
        <w:rPr>
          <w:color w:val="231F20"/>
          <w:spacing w:val="2"/>
          <w:sz w:val="13"/>
        </w:rPr>
        <w:t xml:space="preserve">because </w:t>
      </w:r>
      <w:r>
        <w:rPr>
          <w:color w:val="231F20"/>
          <w:sz w:val="13"/>
        </w:rPr>
        <w:t xml:space="preserve">these orders can cover a range of </w:t>
      </w:r>
      <w:r>
        <w:rPr>
          <w:color w:val="231F20"/>
          <w:spacing w:val="2"/>
          <w:sz w:val="13"/>
        </w:rPr>
        <w:t xml:space="preserve">non-stalking </w:t>
      </w:r>
      <w:r>
        <w:rPr>
          <w:color w:val="231F20"/>
          <w:sz w:val="13"/>
        </w:rPr>
        <w:t>as well      as</w:t>
      </w:r>
      <w:r>
        <w:rPr>
          <w:color w:val="231F20"/>
          <w:spacing w:val="4"/>
          <w:sz w:val="13"/>
        </w:rPr>
        <w:t xml:space="preserve"> </w:t>
      </w:r>
      <w:r>
        <w:rPr>
          <w:color w:val="231F20"/>
          <w:spacing w:val="2"/>
          <w:sz w:val="13"/>
        </w:rPr>
        <w:t>stalking</w:t>
      </w:r>
      <w:r>
        <w:rPr>
          <w:color w:val="231F20"/>
          <w:spacing w:val="5"/>
          <w:sz w:val="13"/>
        </w:rPr>
        <w:t xml:space="preserve"> </w:t>
      </w:r>
      <w:proofErr w:type="spellStart"/>
      <w:r>
        <w:rPr>
          <w:color w:val="231F20"/>
          <w:sz w:val="13"/>
        </w:rPr>
        <w:t>behaviours</w:t>
      </w:r>
      <w:proofErr w:type="spellEnd"/>
      <w:r>
        <w:rPr>
          <w:color w:val="231F20"/>
          <w:sz w:val="13"/>
        </w:rPr>
        <w:t>.</w:t>
      </w:r>
      <w:r>
        <w:rPr>
          <w:color w:val="231F20"/>
          <w:spacing w:val="4"/>
          <w:sz w:val="13"/>
        </w:rPr>
        <w:t xml:space="preserve"> </w:t>
      </w:r>
      <w:r>
        <w:rPr>
          <w:color w:val="231F20"/>
          <w:sz w:val="13"/>
        </w:rPr>
        <w:t>‘Eight</w:t>
      </w:r>
      <w:r>
        <w:rPr>
          <w:color w:val="231F20"/>
          <w:spacing w:val="5"/>
          <w:sz w:val="13"/>
        </w:rPr>
        <w:t xml:space="preserve"> </w:t>
      </w:r>
      <w:r>
        <w:rPr>
          <w:color w:val="231F20"/>
          <w:sz w:val="13"/>
        </w:rPr>
        <w:t>conditions</w:t>
      </w:r>
      <w:r>
        <w:rPr>
          <w:color w:val="231F20"/>
          <w:spacing w:val="5"/>
          <w:sz w:val="13"/>
        </w:rPr>
        <w:t xml:space="preserve"> </w:t>
      </w:r>
      <w:r>
        <w:rPr>
          <w:color w:val="231F20"/>
          <w:sz w:val="13"/>
        </w:rPr>
        <w:t>were</w:t>
      </w:r>
      <w:r>
        <w:rPr>
          <w:color w:val="231F20"/>
          <w:spacing w:val="4"/>
          <w:sz w:val="13"/>
        </w:rPr>
        <w:t xml:space="preserve"> </w:t>
      </w:r>
      <w:r>
        <w:rPr>
          <w:color w:val="231F20"/>
          <w:spacing w:val="2"/>
          <w:sz w:val="13"/>
        </w:rPr>
        <w:t>almost</w:t>
      </w:r>
      <w:r>
        <w:rPr>
          <w:color w:val="231F20"/>
          <w:spacing w:val="5"/>
          <w:sz w:val="13"/>
        </w:rPr>
        <w:t xml:space="preserve"> </w:t>
      </w:r>
      <w:r>
        <w:rPr>
          <w:color w:val="231F20"/>
          <w:sz w:val="13"/>
        </w:rPr>
        <w:t>always</w:t>
      </w:r>
      <w:r>
        <w:rPr>
          <w:color w:val="231F20"/>
          <w:spacing w:val="5"/>
          <w:sz w:val="13"/>
        </w:rPr>
        <w:t xml:space="preserve"> </w:t>
      </w:r>
      <w:r>
        <w:rPr>
          <w:color w:val="231F20"/>
          <w:spacing w:val="2"/>
          <w:sz w:val="13"/>
        </w:rPr>
        <w:t>attached</w:t>
      </w:r>
      <w:r>
        <w:rPr>
          <w:color w:val="231F20"/>
          <w:spacing w:val="4"/>
          <w:sz w:val="13"/>
        </w:rPr>
        <w:t xml:space="preserve"> </w:t>
      </w:r>
      <w:r>
        <w:rPr>
          <w:color w:val="231F20"/>
          <w:sz w:val="13"/>
        </w:rPr>
        <w:t>to</w:t>
      </w:r>
      <w:r>
        <w:rPr>
          <w:color w:val="231F20"/>
          <w:spacing w:val="5"/>
          <w:sz w:val="13"/>
        </w:rPr>
        <w:t xml:space="preserve"> </w:t>
      </w:r>
      <w:r>
        <w:rPr>
          <w:color w:val="231F20"/>
          <w:spacing w:val="2"/>
          <w:sz w:val="13"/>
        </w:rPr>
        <w:t>PSIOs</w:t>
      </w:r>
      <w:r>
        <w:rPr>
          <w:color w:val="231F20"/>
          <w:spacing w:val="5"/>
          <w:sz w:val="13"/>
        </w:rPr>
        <w:t xml:space="preserve"> </w:t>
      </w:r>
      <w:r>
        <w:rPr>
          <w:color w:val="231F20"/>
          <w:sz w:val="13"/>
        </w:rPr>
        <w:t>in</w:t>
      </w:r>
      <w:r>
        <w:rPr>
          <w:color w:val="231F20"/>
          <w:spacing w:val="4"/>
          <w:sz w:val="13"/>
        </w:rPr>
        <w:t xml:space="preserve"> </w:t>
      </w:r>
      <w:r>
        <w:rPr>
          <w:color w:val="231F20"/>
          <w:sz w:val="13"/>
        </w:rPr>
        <w:t>the</w:t>
      </w:r>
      <w:r>
        <w:rPr>
          <w:color w:val="231F20"/>
          <w:spacing w:val="5"/>
          <w:sz w:val="13"/>
        </w:rPr>
        <w:t xml:space="preserve"> </w:t>
      </w:r>
      <w:r>
        <w:rPr>
          <w:color w:val="231F20"/>
          <w:sz w:val="13"/>
        </w:rPr>
        <w:t>Magistrates’</w:t>
      </w:r>
      <w:r>
        <w:rPr>
          <w:color w:val="231F20"/>
          <w:spacing w:val="5"/>
          <w:sz w:val="13"/>
        </w:rPr>
        <w:t xml:space="preserve"> </w:t>
      </w:r>
      <w:r>
        <w:rPr>
          <w:color w:val="231F20"/>
          <w:spacing w:val="2"/>
          <w:sz w:val="13"/>
        </w:rPr>
        <w:t>Court,</w:t>
      </w:r>
      <w:r>
        <w:rPr>
          <w:color w:val="231F20"/>
          <w:spacing w:val="4"/>
          <w:sz w:val="13"/>
        </w:rPr>
        <w:t xml:space="preserve"> </w:t>
      </w:r>
      <w:r>
        <w:rPr>
          <w:color w:val="231F20"/>
          <w:sz w:val="13"/>
        </w:rPr>
        <w:t>including</w:t>
      </w:r>
      <w:r>
        <w:rPr>
          <w:color w:val="231F20"/>
          <w:spacing w:val="5"/>
          <w:sz w:val="13"/>
        </w:rPr>
        <w:t xml:space="preserve"> </w:t>
      </w:r>
      <w:r>
        <w:rPr>
          <w:color w:val="231F20"/>
          <w:sz w:val="13"/>
        </w:rPr>
        <w:t>barring</w:t>
      </w:r>
    </w:p>
    <w:p w14:paraId="6665CECA" w14:textId="77777777" w:rsidR="00894070" w:rsidRDefault="009B7AFD">
      <w:pPr>
        <w:spacing w:line="213" w:lineRule="auto"/>
        <w:ind w:left="1801" w:right="1219"/>
        <w:rPr>
          <w:sz w:val="13"/>
        </w:rPr>
      </w:pPr>
      <w:r>
        <w:rPr>
          <w:color w:val="231F20"/>
          <w:sz w:val="13"/>
        </w:rPr>
        <w:t xml:space="preserve">the respondent from engaging in prohibited </w:t>
      </w:r>
      <w:proofErr w:type="spellStart"/>
      <w:r>
        <w:rPr>
          <w:color w:val="231F20"/>
          <w:sz w:val="13"/>
        </w:rPr>
        <w:t>behaviour</w:t>
      </w:r>
      <w:proofErr w:type="spellEnd"/>
      <w:r>
        <w:rPr>
          <w:color w:val="231F20"/>
          <w:sz w:val="13"/>
        </w:rPr>
        <w:t xml:space="preserve"> against the protected person (98% of final PSIOs) … [and] stalking the protected person (95</w:t>
      </w:r>
      <w:proofErr w:type="gramStart"/>
      <w:r>
        <w:rPr>
          <w:color w:val="231F20"/>
          <w:sz w:val="13"/>
        </w:rPr>
        <w:t>%)…</w:t>
      </w:r>
      <w:proofErr w:type="gramEnd"/>
      <w:r>
        <w:rPr>
          <w:color w:val="231F20"/>
          <w:sz w:val="13"/>
        </w:rPr>
        <w:t xml:space="preserve">’: Sentencing Advisory Council (Vic), </w:t>
      </w:r>
      <w:r>
        <w:rPr>
          <w:i/>
          <w:color w:val="231F20"/>
          <w:sz w:val="13"/>
        </w:rPr>
        <w:t xml:space="preserve">Sentencing Breaches of Personal Safety Intervention Orders in Victoria </w:t>
      </w:r>
      <w:r>
        <w:rPr>
          <w:color w:val="231F20"/>
          <w:sz w:val="13"/>
        </w:rPr>
        <w:t xml:space="preserve">(Report, February 2022) xi [4.11], Figure 15. As discussed earlier, the Personal Safety Survey found that most people who had experienced stalking did not contact the police about it: Australian Bureau of Statistics, </w:t>
      </w:r>
      <w:r>
        <w:rPr>
          <w:i/>
          <w:color w:val="231F20"/>
          <w:sz w:val="13"/>
        </w:rPr>
        <w:t xml:space="preserve">Experience of Stalking—Personal Safety, Australia, 2016 </w:t>
      </w:r>
      <w:r>
        <w:rPr>
          <w:color w:val="231F20"/>
          <w:sz w:val="13"/>
        </w:rPr>
        <w:t>(Data Table No 49060DO0007, 8 November 2017) Table 35.3.</w:t>
      </w:r>
    </w:p>
    <w:p w14:paraId="6ABAF8BE" w14:textId="77777777" w:rsidR="00894070" w:rsidRDefault="009B7AFD">
      <w:pPr>
        <w:pStyle w:val="ListParagraph"/>
        <w:numPr>
          <w:ilvl w:val="0"/>
          <w:numId w:val="166"/>
        </w:numPr>
        <w:tabs>
          <w:tab w:val="left" w:pos="1801"/>
          <w:tab w:val="left" w:pos="1802"/>
        </w:tabs>
        <w:spacing w:line="213" w:lineRule="auto"/>
        <w:ind w:right="1359"/>
        <w:rPr>
          <w:sz w:val="13"/>
        </w:rPr>
      </w:pPr>
      <w:r>
        <w:rPr>
          <w:color w:val="231F20"/>
          <w:sz w:val="13"/>
        </w:rPr>
        <w:t xml:space="preserve">The Sentencing Advisory Council points out that ‘Stalking-like </w:t>
      </w:r>
      <w:proofErr w:type="spellStart"/>
      <w:r>
        <w:rPr>
          <w:color w:val="231F20"/>
          <w:sz w:val="13"/>
        </w:rPr>
        <w:t>behaviours</w:t>
      </w:r>
      <w:proofErr w:type="spellEnd"/>
      <w:r>
        <w:rPr>
          <w:color w:val="231F20"/>
          <w:sz w:val="13"/>
        </w:rPr>
        <w:t xml:space="preserve"> are very frequently charged or sentenced as a combination of incident-based offences (such as </w:t>
      </w:r>
      <w:r>
        <w:rPr>
          <w:color w:val="231F20"/>
          <w:spacing w:val="2"/>
          <w:sz w:val="13"/>
        </w:rPr>
        <w:t xml:space="preserve">property </w:t>
      </w:r>
      <w:r>
        <w:rPr>
          <w:color w:val="231F20"/>
          <w:sz w:val="13"/>
        </w:rPr>
        <w:t xml:space="preserve">damage, breach of an intervention order and making a threat to       </w:t>
      </w:r>
      <w:r>
        <w:rPr>
          <w:color w:val="231F20"/>
          <w:spacing w:val="2"/>
          <w:sz w:val="13"/>
        </w:rPr>
        <w:t xml:space="preserve">kill) </w:t>
      </w:r>
      <w:r>
        <w:rPr>
          <w:color w:val="231F20"/>
          <w:sz w:val="13"/>
        </w:rPr>
        <w:t xml:space="preserve">without a </w:t>
      </w:r>
      <w:r>
        <w:rPr>
          <w:color w:val="231F20"/>
          <w:spacing w:val="2"/>
          <w:sz w:val="13"/>
        </w:rPr>
        <w:t xml:space="preserve">stalking </w:t>
      </w:r>
      <w:r>
        <w:rPr>
          <w:color w:val="231F20"/>
          <w:sz w:val="13"/>
        </w:rPr>
        <w:t xml:space="preserve">charge.’: Sentencing Advisory Council (Vic), </w:t>
      </w:r>
      <w:r>
        <w:rPr>
          <w:i/>
          <w:color w:val="231F20"/>
          <w:sz w:val="13"/>
        </w:rPr>
        <w:t xml:space="preserve">Sentencing Stalking in Victoria </w:t>
      </w:r>
      <w:r>
        <w:rPr>
          <w:color w:val="231F20"/>
          <w:spacing w:val="2"/>
          <w:sz w:val="13"/>
        </w:rPr>
        <w:t xml:space="preserve">(Report, </w:t>
      </w:r>
      <w:r>
        <w:rPr>
          <w:color w:val="231F20"/>
          <w:sz w:val="13"/>
        </w:rPr>
        <w:t xml:space="preserve">March 2022) xiii. For a discussion of why </w:t>
      </w:r>
      <w:r>
        <w:rPr>
          <w:color w:val="231F20"/>
          <w:spacing w:val="2"/>
          <w:sz w:val="13"/>
        </w:rPr>
        <w:t xml:space="preserve">stalking </w:t>
      </w:r>
      <w:r>
        <w:rPr>
          <w:color w:val="231F20"/>
          <w:sz w:val="13"/>
        </w:rPr>
        <w:t>offences are sometimes charged but dropped in plea negotiations:</w:t>
      </w:r>
      <w:r>
        <w:rPr>
          <w:color w:val="231F20"/>
          <w:spacing w:val="20"/>
          <w:sz w:val="13"/>
        </w:rPr>
        <w:t xml:space="preserve"> </w:t>
      </w:r>
      <w:r>
        <w:rPr>
          <w:color w:val="231F20"/>
          <w:sz w:val="13"/>
        </w:rPr>
        <w:t>Ibid.</w:t>
      </w:r>
    </w:p>
    <w:p w14:paraId="21E5774D" w14:textId="77777777" w:rsidR="00894070" w:rsidRDefault="009B7AFD">
      <w:pPr>
        <w:pStyle w:val="ListParagraph"/>
        <w:numPr>
          <w:ilvl w:val="0"/>
          <w:numId w:val="166"/>
        </w:numPr>
        <w:tabs>
          <w:tab w:val="left" w:pos="1801"/>
          <w:tab w:val="left" w:pos="1802"/>
        </w:tabs>
        <w:spacing w:line="213" w:lineRule="auto"/>
        <w:ind w:right="1246"/>
        <w:rPr>
          <w:sz w:val="13"/>
        </w:rPr>
      </w:pPr>
      <w:r>
        <w:rPr>
          <w:color w:val="231F20"/>
          <w:sz w:val="13"/>
        </w:rPr>
        <w:t xml:space="preserve">Stalking may be charged as a separate offence alongside breaches of family violence </w:t>
      </w:r>
      <w:proofErr w:type="gramStart"/>
      <w:r>
        <w:rPr>
          <w:color w:val="231F20"/>
          <w:sz w:val="13"/>
        </w:rPr>
        <w:t>orders</w:t>
      </w:r>
      <w:proofErr w:type="gramEnd"/>
      <w:r>
        <w:rPr>
          <w:color w:val="231F20"/>
          <w:sz w:val="13"/>
        </w:rPr>
        <w:t xml:space="preserve"> but we do not have data on how often this occurs. For an example of a case where </w:t>
      </w:r>
      <w:r>
        <w:rPr>
          <w:color w:val="231F20"/>
          <w:spacing w:val="2"/>
          <w:sz w:val="13"/>
        </w:rPr>
        <w:t xml:space="preserve">stalking </w:t>
      </w:r>
      <w:r>
        <w:rPr>
          <w:color w:val="231F20"/>
          <w:sz w:val="13"/>
        </w:rPr>
        <w:t xml:space="preserve">was charged alongside breach of a family violence order and other offences, see the case study of </w:t>
      </w:r>
      <w:r>
        <w:rPr>
          <w:i/>
          <w:color w:val="231F20"/>
          <w:sz w:val="13"/>
        </w:rPr>
        <w:t xml:space="preserve">DPP v Brien </w:t>
      </w:r>
      <w:r>
        <w:rPr>
          <w:color w:val="231F20"/>
          <w:sz w:val="13"/>
        </w:rPr>
        <w:t xml:space="preserve">[2017] VCC 89 in Sentencing Advisory Council (Vic), </w:t>
      </w:r>
      <w:r>
        <w:rPr>
          <w:i/>
          <w:color w:val="231F20"/>
          <w:sz w:val="13"/>
        </w:rPr>
        <w:t xml:space="preserve">Sentencing Breaches of Family Violence Intervention Orders and Safety Notices </w:t>
      </w:r>
      <w:r>
        <w:rPr>
          <w:color w:val="231F20"/>
          <w:spacing w:val="2"/>
          <w:sz w:val="13"/>
        </w:rPr>
        <w:t xml:space="preserve">(Report, </w:t>
      </w:r>
      <w:r>
        <w:rPr>
          <w:color w:val="231F20"/>
          <w:sz w:val="13"/>
        </w:rPr>
        <w:t xml:space="preserve">May 2022) </w:t>
      </w:r>
      <w:r>
        <w:rPr>
          <w:color w:val="231F20"/>
          <w:spacing w:val="2"/>
          <w:sz w:val="13"/>
        </w:rPr>
        <w:t xml:space="preserve">53. </w:t>
      </w:r>
      <w:r>
        <w:rPr>
          <w:color w:val="231F20"/>
          <w:sz w:val="13"/>
        </w:rPr>
        <w:t xml:space="preserve">As noted earlier, the Family Violence Protection Act does   not specifically address </w:t>
      </w:r>
      <w:r>
        <w:rPr>
          <w:color w:val="231F20"/>
          <w:spacing w:val="2"/>
          <w:sz w:val="13"/>
        </w:rPr>
        <w:t xml:space="preserve">stalking </w:t>
      </w:r>
      <w:r>
        <w:rPr>
          <w:color w:val="231F20"/>
          <w:sz w:val="13"/>
        </w:rPr>
        <w:t xml:space="preserve">but how it defines ‘family violence’ is broad enough to include </w:t>
      </w:r>
      <w:r>
        <w:rPr>
          <w:color w:val="231F20"/>
          <w:spacing w:val="2"/>
          <w:sz w:val="13"/>
        </w:rPr>
        <w:t xml:space="preserve">stalking </w:t>
      </w:r>
      <w:proofErr w:type="spellStart"/>
      <w:r>
        <w:rPr>
          <w:color w:val="231F20"/>
          <w:sz w:val="13"/>
        </w:rPr>
        <w:t>behaviours</w:t>
      </w:r>
      <w:proofErr w:type="spellEnd"/>
      <w:r>
        <w:rPr>
          <w:color w:val="231F20"/>
          <w:sz w:val="13"/>
        </w:rPr>
        <w:t xml:space="preserve">. Family violence is </w:t>
      </w:r>
      <w:proofErr w:type="spellStart"/>
      <w:r>
        <w:rPr>
          <w:color w:val="231F20"/>
          <w:sz w:val="13"/>
        </w:rPr>
        <w:t>behaviour</w:t>
      </w:r>
      <w:proofErr w:type="spellEnd"/>
      <w:r>
        <w:rPr>
          <w:color w:val="231F20"/>
          <w:sz w:val="13"/>
        </w:rPr>
        <w:t xml:space="preserve"> directed at a family </w:t>
      </w:r>
      <w:r>
        <w:rPr>
          <w:color w:val="231F20"/>
          <w:spacing w:val="2"/>
          <w:sz w:val="13"/>
        </w:rPr>
        <w:t xml:space="preserve">member </w:t>
      </w:r>
      <w:r>
        <w:rPr>
          <w:color w:val="231F20"/>
          <w:sz w:val="13"/>
        </w:rPr>
        <w:t xml:space="preserve">that is physically, sexually, emotionally, psychologically or economically abusive; threatening; coercive; or ‘in any other way controls or dominates’ the family </w:t>
      </w:r>
      <w:r>
        <w:rPr>
          <w:color w:val="231F20"/>
          <w:spacing w:val="2"/>
          <w:sz w:val="13"/>
        </w:rPr>
        <w:t xml:space="preserve">member </w:t>
      </w:r>
      <w:r>
        <w:rPr>
          <w:color w:val="231F20"/>
          <w:sz w:val="13"/>
        </w:rPr>
        <w:t xml:space="preserve">and causes that family </w:t>
      </w:r>
      <w:r>
        <w:rPr>
          <w:color w:val="231F20"/>
          <w:spacing w:val="2"/>
          <w:sz w:val="13"/>
        </w:rPr>
        <w:t xml:space="preserve">member </w:t>
      </w:r>
      <w:r>
        <w:rPr>
          <w:color w:val="231F20"/>
          <w:sz w:val="13"/>
        </w:rPr>
        <w:t xml:space="preserve">to feel fear for their safety or wellbeing or that of another person: </w:t>
      </w:r>
      <w:r>
        <w:rPr>
          <w:i/>
          <w:color w:val="231F20"/>
          <w:sz w:val="13"/>
        </w:rPr>
        <w:t xml:space="preserve">Family Violence Protection Act 2008 </w:t>
      </w:r>
      <w:r>
        <w:rPr>
          <w:color w:val="231F20"/>
          <w:sz w:val="13"/>
        </w:rPr>
        <w:t xml:space="preserve">(Vic) s 5(1): see </w:t>
      </w:r>
      <w:r>
        <w:rPr>
          <w:color w:val="231F20"/>
          <w:spacing w:val="2"/>
          <w:sz w:val="13"/>
        </w:rPr>
        <w:t xml:space="preserve">also </w:t>
      </w:r>
      <w:r>
        <w:rPr>
          <w:color w:val="231F20"/>
          <w:sz w:val="13"/>
        </w:rPr>
        <w:t>s 176</w:t>
      </w:r>
      <w:proofErr w:type="gramStart"/>
      <w:r>
        <w:rPr>
          <w:color w:val="231F20"/>
          <w:sz w:val="13"/>
        </w:rPr>
        <w:t>G(</w:t>
      </w:r>
      <w:proofErr w:type="gramEnd"/>
      <w:r>
        <w:rPr>
          <w:color w:val="231F20"/>
          <w:sz w:val="13"/>
        </w:rPr>
        <w:t>1) (a)(ii).</w:t>
      </w:r>
    </w:p>
    <w:p w14:paraId="7B1E9C7C" w14:textId="77777777" w:rsidR="00894070" w:rsidRDefault="009F6793">
      <w:pPr>
        <w:pStyle w:val="ListParagraph"/>
        <w:numPr>
          <w:ilvl w:val="0"/>
          <w:numId w:val="166"/>
        </w:numPr>
        <w:tabs>
          <w:tab w:val="left" w:pos="1800"/>
          <w:tab w:val="left" w:pos="1802"/>
        </w:tabs>
        <w:spacing w:line="213" w:lineRule="auto"/>
        <w:ind w:right="1258"/>
        <w:rPr>
          <w:sz w:val="13"/>
        </w:rPr>
      </w:pPr>
      <w:r>
        <w:pict w14:anchorId="515C5351">
          <v:shape id="_x0000_s1653" type="#_x0000_t202" style="position:absolute;left:0;text-align:left;margin-left:548.95pt;margin-top:35.4pt;width:13.05pt;height:14.1pt;z-index:251513856;mso-position-horizontal-relative:page" filled="f" stroked="f">
            <v:textbox inset="0,0,0,0">
              <w:txbxContent>
                <w:p w14:paraId="3E6989AF" w14:textId="77777777" w:rsidR="00894070" w:rsidRDefault="009B7AFD">
                  <w:pPr>
                    <w:spacing w:line="282" w:lineRule="exact"/>
                    <w:rPr>
                      <w:b/>
                      <w:sz w:val="24"/>
                    </w:rPr>
                  </w:pPr>
                  <w:r>
                    <w:rPr>
                      <w:b/>
                      <w:color w:val="EA5B50"/>
                      <w:spacing w:val="-5"/>
                      <w:sz w:val="24"/>
                    </w:rPr>
                    <w:t>23</w:t>
                  </w:r>
                </w:p>
              </w:txbxContent>
            </v:textbox>
            <w10:wrap anchorx="page"/>
          </v:shape>
        </w:pict>
      </w:r>
      <w:r w:rsidR="009B7AFD">
        <w:rPr>
          <w:color w:val="231F20"/>
          <w:sz w:val="13"/>
        </w:rPr>
        <w:t xml:space="preserve">However, the Crimes Statistics Agency provides information on the numbers and types of non-family violence </w:t>
      </w:r>
      <w:r w:rsidR="009B7AFD">
        <w:rPr>
          <w:color w:val="231F20"/>
          <w:spacing w:val="2"/>
          <w:sz w:val="13"/>
        </w:rPr>
        <w:t xml:space="preserve">stalking </w:t>
      </w:r>
      <w:r w:rsidR="009B7AFD">
        <w:rPr>
          <w:color w:val="231F20"/>
          <w:sz w:val="13"/>
        </w:rPr>
        <w:t xml:space="preserve">offences recorded by police: ‘Recorded Offences’, </w:t>
      </w:r>
      <w:r w:rsidR="009B7AFD">
        <w:rPr>
          <w:i/>
          <w:color w:val="231F20"/>
          <w:sz w:val="13"/>
        </w:rPr>
        <w:t xml:space="preserve">Crime Statistics Agency (Vic) </w:t>
      </w:r>
      <w:r w:rsidR="009B7AFD">
        <w:rPr>
          <w:color w:val="231F20"/>
          <w:sz w:val="13"/>
        </w:rPr>
        <w:t>(Web Page, September 2020) Table 5—Selected offences   by offence code and description, 2012 to 202</w:t>
      </w:r>
      <w:hyperlink r:id="rId62">
        <w:r w:rsidR="009B7AFD">
          <w:rPr>
            <w:color w:val="231F20"/>
            <w:sz w:val="13"/>
          </w:rPr>
          <w:t>1 &lt;https://www.crimestatistics.vic.gov.au/crime-statistics/latest-victorian-crime-</w:t>
        </w:r>
      </w:hyperlink>
      <w:hyperlink r:id="rId63">
        <w:r w:rsidR="009B7AFD">
          <w:rPr>
            <w:color w:val="231F20"/>
            <w:sz w:val="13"/>
          </w:rPr>
          <w:t xml:space="preserve"> data/recorded-offences-2</w:t>
        </w:r>
      </w:hyperlink>
      <w:r w:rsidR="009B7AFD">
        <w:rPr>
          <w:color w:val="231F20"/>
          <w:sz w:val="13"/>
        </w:rPr>
        <w:t xml:space="preserve">&gt;. The elements of the </w:t>
      </w:r>
      <w:r w:rsidR="009B7AFD">
        <w:rPr>
          <w:color w:val="231F20"/>
          <w:spacing w:val="2"/>
          <w:sz w:val="13"/>
        </w:rPr>
        <w:t xml:space="preserve">stalking </w:t>
      </w:r>
      <w:r w:rsidR="009B7AFD">
        <w:rPr>
          <w:color w:val="231F20"/>
          <w:sz w:val="13"/>
        </w:rPr>
        <w:t xml:space="preserve">offence charged can provide </w:t>
      </w:r>
      <w:proofErr w:type="gramStart"/>
      <w:r w:rsidR="009B7AFD">
        <w:rPr>
          <w:color w:val="231F20"/>
          <w:sz w:val="13"/>
        </w:rPr>
        <w:t>insights</w:t>
      </w:r>
      <w:proofErr w:type="gramEnd"/>
      <w:r w:rsidR="009B7AFD">
        <w:rPr>
          <w:color w:val="231F20"/>
          <w:sz w:val="13"/>
        </w:rPr>
        <w:t xml:space="preserve"> but this kind of information is      not captured in most data analysis. For some insights: Sentencing Advisory Council (Vic), </w:t>
      </w:r>
      <w:r w:rsidR="009B7AFD">
        <w:rPr>
          <w:i/>
          <w:color w:val="231F20"/>
          <w:sz w:val="13"/>
        </w:rPr>
        <w:t xml:space="preserve">Sentencing Stalking in Victoria </w:t>
      </w:r>
      <w:r w:rsidR="009B7AFD">
        <w:rPr>
          <w:color w:val="231F20"/>
          <w:spacing w:val="2"/>
          <w:sz w:val="13"/>
        </w:rPr>
        <w:t xml:space="preserve">(Report, </w:t>
      </w:r>
      <w:r w:rsidR="009B7AFD">
        <w:rPr>
          <w:color w:val="231F20"/>
          <w:sz w:val="13"/>
        </w:rPr>
        <w:t xml:space="preserve">March 2022) </w:t>
      </w:r>
      <w:r w:rsidR="009B7AFD">
        <w:rPr>
          <w:color w:val="231F20"/>
          <w:spacing w:val="2"/>
          <w:sz w:val="13"/>
        </w:rPr>
        <w:t>[5.8].</w:t>
      </w:r>
    </w:p>
    <w:p w14:paraId="6066473E" w14:textId="77777777" w:rsidR="00894070" w:rsidRDefault="00894070">
      <w:pPr>
        <w:spacing w:line="213" w:lineRule="auto"/>
        <w:rPr>
          <w:sz w:val="13"/>
        </w:rPr>
        <w:sectPr w:rsidR="00894070">
          <w:pgSz w:w="11910" w:h="16840"/>
          <w:pgMar w:top="840" w:right="420" w:bottom="280" w:left="580" w:header="0" w:footer="0" w:gutter="0"/>
          <w:cols w:space="720"/>
        </w:sectPr>
      </w:pPr>
    </w:p>
    <w:p w14:paraId="4EC7FBA6" w14:textId="77777777" w:rsidR="00894070" w:rsidRDefault="00894070">
      <w:pPr>
        <w:pStyle w:val="BodyText"/>
      </w:pPr>
    </w:p>
    <w:p w14:paraId="690DFF3F" w14:textId="77777777" w:rsidR="00894070" w:rsidRDefault="00894070">
      <w:pPr>
        <w:pStyle w:val="BodyText"/>
      </w:pPr>
    </w:p>
    <w:p w14:paraId="5905FBF6" w14:textId="77777777" w:rsidR="00894070" w:rsidRDefault="00894070">
      <w:pPr>
        <w:pStyle w:val="BodyText"/>
      </w:pPr>
    </w:p>
    <w:p w14:paraId="559FF1AB" w14:textId="77777777" w:rsidR="00894070" w:rsidRDefault="00894070">
      <w:pPr>
        <w:pStyle w:val="BodyText"/>
        <w:spacing w:before="11"/>
        <w:rPr>
          <w:sz w:val="18"/>
        </w:rPr>
      </w:pPr>
    </w:p>
    <w:p w14:paraId="74071D23" w14:textId="77777777" w:rsidR="00894070" w:rsidRDefault="009B7AFD">
      <w:pPr>
        <w:pStyle w:val="ListParagraph"/>
        <w:numPr>
          <w:ilvl w:val="1"/>
          <w:numId w:val="177"/>
        </w:numPr>
        <w:tabs>
          <w:tab w:val="left" w:pos="1801"/>
          <w:tab w:val="left" w:pos="1802"/>
        </w:tabs>
        <w:spacing w:line="206" w:lineRule="auto"/>
        <w:ind w:right="1358"/>
        <w:rPr>
          <w:sz w:val="20"/>
        </w:rPr>
      </w:pPr>
      <w:bookmarkStart w:id="40" w:name="Some_communities_appear_to_experience_st"/>
      <w:bookmarkStart w:id="41" w:name="_bookmark20"/>
      <w:bookmarkEnd w:id="40"/>
      <w:bookmarkEnd w:id="41"/>
      <w:proofErr w:type="gramStart"/>
      <w:r>
        <w:rPr>
          <w:color w:val="231F20"/>
          <w:spacing w:val="-3"/>
          <w:sz w:val="20"/>
        </w:rPr>
        <w:t>At</w:t>
      </w:r>
      <w:r>
        <w:rPr>
          <w:color w:val="231F20"/>
          <w:spacing w:val="-10"/>
          <w:sz w:val="20"/>
        </w:rPr>
        <w:t xml:space="preserve"> </w:t>
      </w:r>
      <w:r>
        <w:rPr>
          <w:color w:val="231F20"/>
          <w:sz w:val="20"/>
        </w:rPr>
        <w:t>the</w:t>
      </w:r>
      <w:r>
        <w:rPr>
          <w:color w:val="231F20"/>
          <w:spacing w:val="-10"/>
          <w:sz w:val="20"/>
        </w:rPr>
        <w:t xml:space="preserve"> </w:t>
      </w:r>
      <w:r>
        <w:rPr>
          <w:color w:val="231F20"/>
          <w:sz w:val="20"/>
        </w:rPr>
        <w:t>moment</w:t>
      </w:r>
      <w:proofErr w:type="gramEnd"/>
      <w:r>
        <w:rPr>
          <w:color w:val="231F20"/>
          <w:sz w:val="20"/>
        </w:rPr>
        <w:t>,</w:t>
      </w:r>
      <w:r>
        <w:rPr>
          <w:color w:val="231F20"/>
          <w:spacing w:val="-9"/>
          <w:sz w:val="20"/>
        </w:rPr>
        <w:t xml:space="preserve"> </w:t>
      </w:r>
      <w:r>
        <w:rPr>
          <w:color w:val="231F20"/>
          <w:sz w:val="20"/>
        </w:rPr>
        <w:t>our</w:t>
      </w:r>
      <w:r>
        <w:rPr>
          <w:color w:val="231F20"/>
          <w:spacing w:val="-10"/>
          <w:sz w:val="20"/>
        </w:rPr>
        <w:t xml:space="preserve"> </w:t>
      </w:r>
      <w:r>
        <w:rPr>
          <w:color w:val="231F20"/>
          <w:sz w:val="20"/>
        </w:rPr>
        <w:t>understanding</w:t>
      </w:r>
      <w:r>
        <w:rPr>
          <w:color w:val="231F20"/>
          <w:spacing w:val="-9"/>
          <w:sz w:val="20"/>
        </w:rPr>
        <w:t xml:space="preserve"> </w:t>
      </w:r>
      <w:r>
        <w:rPr>
          <w:color w:val="231F20"/>
          <w:sz w:val="20"/>
        </w:rPr>
        <w:t>of</w:t>
      </w:r>
      <w:r>
        <w:rPr>
          <w:color w:val="231F20"/>
          <w:spacing w:val="-10"/>
          <w:sz w:val="20"/>
        </w:rPr>
        <w:t xml:space="preserve"> </w:t>
      </w:r>
      <w:r>
        <w:rPr>
          <w:color w:val="231F20"/>
          <w:sz w:val="20"/>
        </w:rPr>
        <w:t>stalking</w:t>
      </w:r>
      <w:r>
        <w:rPr>
          <w:color w:val="231F20"/>
          <w:spacing w:val="-9"/>
          <w:sz w:val="20"/>
        </w:rPr>
        <w:t xml:space="preserve"> </w:t>
      </w:r>
      <w:r>
        <w:rPr>
          <w:color w:val="231F20"/>
          <w:sz w:val="20"/>
        </w:rPr>
        <w:t>is</w:t>
      </w:r>
      <w:r>
        <w:rPr>
          <w:color w:val="231F20"/>
          <w:spacing w:val="-10"/>
          <w:sz w:val="20"/>
        </w:rPr>
        <w:t xml:space="preserve"> </w:t>
      </w:r>
      <w:r>
        <w:rPr>
          <w:color w:val="231F20"/>
          <w:sz w:val="20"/>
        </w:rPr>
        <w:t>limited.</w:t>
      </w:r>
      <w:r>
        <w:rPr>
          <w:color w:val="231F20"/>
          <w:spacing w:val="-9"/>
          <w:sz w:val="20"/>
        </w:rPr>
        <w:t xml:space="preserve"> </w:t>
      </w:r>
      <w:r>
        <w:rPr>
          <w:color w:val="231F20"/>
          <w:sz w:val="20"/>
        </w:rPr>
        <w:t>If</w:t>
      </w:r>
      <w:r>
        <w:rPr>
          <w:color w:val="231F20"/>
          <w:spacing w:val="-10"/>
          <w:sz w:val="20"/>
        </w:rPr>
        <w:t xml:space="preserve"> </w:t>
      </w:r>
      <w:r>
        <w:rPr>
          <w:color w:val="231F20"/>
          <w:sz w:val="20"/>
        </w:rPr>
        <w:t>the</w:t>
      </w:r>
      <w:r>
        <w:rPr>
          <w:color w:val="231F20"/>
          <w:spacing w:val="-9"/>
          <w:sz w:val="20"/>
        </w:rPr>
        <w:t xml:space="preserve"> </w:t>
      </w:r>
      <w:r>
        <w:rPr>
          <w:color w:val="231F20"/>
          <w:sz w:val="20"/>
        </w:rPr>
        <w:t>data</w:t>
      </w:r>
      <w:r>
        <w:rPr>
          <w:color w:val="231F20"/>
          <w:spacing w:val="-10"/>
          <w:sz w:val="20"/>
        </w:rPr>
        <w:t xml:space="preserve"> </w:t>
      </w:r>
      <w:r>
        <w:rPr>
          <w:color w:val="231F20"/>
          <w:sz w:val="20"/>
        </w:rPr>
        <w:t>was</w:t>
      </w:r>
      <w:r>
        <w:rPr>
          <w:color w:val="231F20"/>
          <w:spacing w:val="-10"/>
          <w:sz w:val="20"/>
        </w:rPr>
        <w:t xml:space="preserve"> </w:t>
      </w:r>
      <w:r>
        <w:rPr>
          <w:color w:val="231F20"/>
          <w:sz w:val="20"/>
        </w:rPr>
        <w:t>more</w:t>
      </w:r>
      <w:r>
        <w:rPr>
          <w:color w:val="231F20"/>
          <w:spacing w:val="-9"/>
          <w:sz w:val="20"/>
        </w:rPr>
        <w:t xml:space="preserve"> </w:t>
      </w:r>
      <w:r>
        <w:rPr>
          <w:color w:val="231F20"/>
          <w:sz w:val="20"/>
        </w:rPr>
        <w:t xml:space="preserve">detailed and </w:t>
      </w:r>
      <w:r>
        <w:rPr>
          <w:color w:val="231F20"/>
          <w:spacing w:val="-3"/>
          <w:sz w:val="20"/>
        </w:rPr>
        <w:t xml:space="preserve">extensive </w:t>
      </w:r>
      <w:r>
        <w:rPr>
          <w:color w:val="231F20"/>
          <w:sz w:val="20"/>
        </w:rPr>
        <w:t xml:space="preserve">it </w:t>
      </w:r>
      <w:r>
        <w:rPr>
          <w:color w:val="231F20"/>
          <w:spacing w:val="-3"/>
          <w:sz w:val="20"/>
        </w:rPr>
        <w:t xml:space="preserve">would </w:t>
      </w:r>
      <w:r>
        <w:rPr>
          <w:color w:val="231F20"/>
          <w:sz w:val="20"/>
        </w:rPr>
        <w:t xml:space="preserve">be easier to design responses that </w:t>
      </w:r>
      <w:r>
        <w:rPr>
          <w:color w:val="231F20"/>
          <w:spacing w:val="-3"/>
          <w:sz w:val="20"/>
        </w:rPr>
        <w:t xml:space="preserve">are effective </w:t>
      </w:r>
      <w:r>
        <w:rPr>
          <w:color w:val="231F20"/>
          <w:sz w:val="20"/>
        </w:rPr>
        <w:t xml:space="preserve">and tailored </w:t>
      </w:r>
      <w:r>
        <w:rPr>
          <w:color w:val="231F20"/>
          <w:spacing w:val="-3"/>
          <w:sz w:val="20"/>
        </w:rPr>
        <w:t xml:space="preserve">for </w:t>
      </w:r>
      <w:r>
        <w:rPr>
          <w:color w:val="231F20"/>
          <w:sz w:val="20"/>
        </w:rPr>
        <w:t xml:space="preserve">the people who experience stalking and those who engage in it. </w:t>
      </w:r>
      <w:proofErr w:type="gramStart"/>
      <w:r>
        <w:rPr>
          <w:color w:val="231F20"/>
          <w:spacing w:val="-3"/>
          <w:sz w:val="20"/>
        </w:rPr>
        <w:t>Therefore</w:t>
      </w:r>
      <w:proofErr w:type="gramEnd"/>
      <w:r>
        <w:rPr>
          <w:color w:val="231F20"/>
          <w:spacing w:val="-3"/>
          <w:sz w:val="20"/>
        </w:rPr>
        <w:t xml:space="preserve"> we </w:t>
      </w:r>
      <w:r>
        <w:rPr>
          <w:color w:val="231F20"/>
          <w:sz w:val="20"/>
        </w:rPr>
        <w:t xml:space="preserve">recommend the Victorian </w:t>
      </w:r>
      <w:r>
        <w:rPr>
          <w:color w:val="231F20"/>
          <w:spacing w:val="-3"/>
          <w:sz w:val="20"/>
        </w:rPr>
        <w:t xml:space="preserve">Government provide </w:t>
      </w:r>
      <w:r>
        <w:rPr>
          <w:color w:val="231F20"/>
          <w:sz w:val="20"/>
        </w:rPr>
        <w:t xml:space="preserve">support </w:t>
      </w:r>
      <w:r>
        <w:rPr>
          <w:color w:val="231F20"/>
          <w:spacing w:val="-3"/>
          <w:sz w:val="20"/>
        </w:rPr>
        <w:t xml:space="preserve">for </w:t>
      </w:r>
      <w:r>
        <w:rPr>
          <w:color w:val="231F20"/>
          <w:sz w:val="20"/>
        </w:rPr>
        <w:t xml:space="preserve">additional </w:t>
      </w:r>
      <w:r>
        <w:rPr>
          <w:color w:val="231F20"/>
          <w:spacing w:val="-3"/>
          <w:sz w:val="20"/>
        </w:rPr>
        <w:t xml:space="preserve">research </w:t>
      </w:r>
      <w:r>
        <w:rPr>
          <w:color w:val="231F20"/>
          <w:sz w:val="20"/>
        </w:rPr>
        <w:t>on stalking.</w:t>
      </w:r>
    </w:p>
    <w:p w14:paraId="4FF5B6C2" w14:textId="77777777" w:rsidR="00894070" w:rsidRDefault="009B7AFD">
      <w:pPr>
        <w:pStyle w:val="ListParagraph"/>
        <w:numPr>
          <w:ilvl w:val="1"/>
          <w:numId w:val="177"/>
        </w:numPr>
        <w:tabs>
          <w:tab w:val="left" w:pos="1801"/>
          <w:tab w:val="left" w:pos="1802"/>
        </w:tabs>
        <w:spacing w:before="127" w:line="206" w:lineRule="auto"/>
        <w:ind w:right="1165"/>
        <w:rPr>
          <w:sz w:val="20"/>
        </w:rPr>
      </w:pPr>
      <w:r>
        <w:rPr>
          <w:color w:val="231F20"/>
          <w:sz w:val="20"/>
        </w:rPr>
        <w:t xml:space="preserve">Later in this report </w:t>
      </w:r>
      <w:r>
        <w:rPr>
          <w:color w:val="231F20"/>
          <w:spacing w:val="-3"/>
          <w:sz w:val="20"/>
        </w:rPr>
        <w:t xml:space="preserve">we </w:t>
      </w:r>
      <w:r>
        <w:rPr>
          <w:color w:val="231F20"/>
          <w:sz w:val="20"/>
        </w:rPr>
        <w:t xml:space="preserve">discuss the need </w:t>
      </w:r>
      <w:r>
        <w:rPr>
          <w:color w:val="231F20"/>
          <w:spacing w:val="-3"/>
          <w:sz w:val="20"/>
        </w:rPr>
        <w:t xml:space="preserve">for </w:t>
      </w:r>
      <w:r>
        <w:rPr>
          <w:color w:val="231F20"/>
          <w:sz w:val="20"/>
        </w:rPr>
        <w:t xml:space="preserve">more </w:t>
      </w:r>
      <w:r>
        <w:rPr>
          <w:color w:val="231F20"/>
          <w:spacing w:val="-3"/>
          <w:sz w:val="20"/>
        </w:rPr>
        <w:t xml:space="preserve">research </w:t>
      </w:r>
      <w:r>
        <w:rPr>
          <w:color w:val="231F20"/>
          <w:sz w:val="20"/>
        </w:rPr>
        <w:t>on responding to stalking, including</w:t>
      </w:r>
      <w:r>
        <w:rPr>
          <w:color w:val="231F20"/>
          <w:spacing w:val="-7"/>
          <w:sz w:val="20"/>
        </w:rPr>
        <w:t xml:space="preserve"> </w:t>
      </w:r>
      <w:r>
        <w:rPr>
          <w:color w:val="231F20"/>
          <w:spacing w:val="-3"/>
          <w:sz w:val="20"/>
        </w:rPr>
        <w:t>alternative</w:t>
      </w:r>
      <w:r>
        <w:rPr>
          <w:color w:val="231F20"/>
          <w:spacing w:val="-7"/>
          <w:sz w:val="20"/>
        </w:rPr>
        <w:t xml:space="preserve"> </w:t>
      </w:r>
      <w:r>
        <w:rPr>
          <w:color w:val="231F20"/>
          <w:spacing w:val="-4"/>
          <w:sz w:val="20"/>
        </w:rPr>
        <w:t>pathways</w:t>
      </w:r>
      <w:r>
        <w:rPr>
          <w:color w:val="231F20"/>
          <w:spacing w:val="-7"/>
          <w:sz w:val="20"/>
        </w:rPr>
        <w:t xml:space="preserve"> </w:t>
      </w:r>
      <w:r>
        <w:rPr>
          <w:color w:val="231F20"/>
          <w:spacing w:val="-3"/>
          <w:sz w:val="20"/>
        </w:rPr>
        <w:t>for</w:t>
      </w:r>
      <w:r>
        <w:rPr>
          <w:color w:val="231F20"/>
          <w:spacing w:val="-6"/>
          <w:sz w:val="20"/>
        </w:rPr>
        <w:t xml:space="preserve"> </w:t>
      </w:r>
      <w:r>
        <w:rPr>
          <w:color w:val="231F20"/>
          <w:spacing w:val="-3"/>
          <w:sz w:val="20"/>
        </w:rPr>
        <w:t>children</w:t>
      </w:r>
      <w:r>
        <w:rPr>
          <w:color w:val="231F20"/>
          <w:spacing w:val="-7"/>
          <w:sz w:val="20"/>
        </w:rPr>
        <w:t xml:space="preserve"> </w:t>
      </w:r>
      <w:r>
        <w:rPr>
          <w:color w:val="231F20"/>
          <w:spacing w:val="-3"/>
          <w:sz w:val="20"/>
        </w:rPr>
        <w:t>(Chapter</w:t>
      </w:r>
      <w:r>
        <w:rPr>
          <w:color w:val="231F20"/>
          <w:spacing w:val="-7"/>
          <w:sz w:val="20"/>
        </w:rPr>
        <w:t xml:space="preserve"> </w:t>
      </w:r>
      <w:r>
        <w:rPr>
          <w:color w:val="231F20"/>
          <w:spacing w:val="-4"/>
          <w:sz w:val="20"/>
        </w:rPr>
        <w:t>6),</w:t>
      </w:r>
      <w:r>
        <w:rPr>
          <w:color w:val="231F20"/>
          <w:spacing w:val="-7"/>
          <w:sz w:val="20"/>
        </w:rPr>
        <w:t xml:space="preserve"> </w:t>
      </w:r>
      <w:r>
        <w:rPr>
          <w:color w:val="231F20"/>
          <w:sz w:val="20"/>
        </w:rPr>
        <w:t>the</w:t>
      </w:r>
      <w:r>
        <w:rPr>
          <w:color w:val="231F20"/>
          <w:spacing w:val="-6"/>
          <w:sz w:val="20"/>
        </w:rPr>
        <w:t xml:space="preserve"> </w:t>
      </w:r>
      <w:r>
        <w:rPr>
          <w:color w:val="231F20"/>
          <w:spacing w:val="-3"/>
          <w:sz w:val="20"/>
        </w:rPr>
        <w:t>progress</w:t>
      </w:r>
      <w:r>
        <w:rPr>
          <w:color w:val="231F20"/>
          <w:spacing w:val="-7"/>
          <w:sz w:val="20"/>
        </w:rPr>
        <w:t xml:space="preserve"> </w:t>
      </w:r>
      <w:r>
        <w:rPr>
          <w:color w:val="231F20"/>
          <w:sz w:val="20"/>
        </w:rPr>
        <w:t>of</w:t>
      </w:r>
      <w:r>
        <w:rPr>
          <w:color w:val="231F20"/>
          <w:spacing w:val="-7"/>
          <w:sz w:val="20"/>
        </w:rPr>
        <w:t xml:space="preserve"> </w:t>
      </w:r>
      <w:r>
        <w:rPr>
          <w:color w:val="231F20"/>
          <w:sz w:val="20"/>
        </w:rPr>
        <w:t>stalking</w:t>
      </w:r>
      <w:r>
        <w:rPr>
          <w:color w:val="231F20"/>
          <w:spacing w:val="-6"/>
          <w:sz w:val="20"/>
        </w:rPr>
        <w:t xml:space="preserve"> </w:t>
      </w:r>
      <w:r>
        <w:rPr>
          <w:color w:val="231F20"/>
          <w:sz w:val="20"/>
        </w:rPr>
        <w:t xml:space="preserve">offences </w:t>
      </w:r>
      <w:r>
        <w:rPr>
          <w:color w:val="231F20"/>
          <w:spacing w:val="-3"/>
          <w:sz w:val="20"/>
        </w:rPr>
        <w:t xml:space="preserve">through </w:t>
      </w:r>
      <w:r>
        <w:rPr>
          <w:color w:val="231F20"/>
          <w:sz w:val="20"/>
        </w:rPr>
        <w:t xml:space="preserve">the criminal justice </w:t>
      </w:r>
      <w:r>
        <w:rPr>
          <w:color w:val="231F20"/>
          <w:spacing w:val="-2"/>
          <w:sz w:val="20"/>
        </w:rPr>
        <w:t xml:space="preserve">system </w:t>
      </w:r>
      <w:r>
        <w:rPr>
          <w:color w:val="231F20"/>
          <w:spacing w:val="-3"/>
          <w:sz w:val="20"/>
        </w:rPr>
        <w:t xml:space="preserve">(Chapter </w:t>
      </w:r>
      <w:r>
        <w:rPr>
          <w:color w:val="231F20"/>
          <w:sz w:val="20"/>
        </w:rPr>
        <w:t xml:space="preserve">7) and </w:t>
      </w:r>
      <w:r>
        <w:rPr>
          <w:color w:val="231F20"/>
          <w:spacing w:val="-2"/>
          <w:sz w:val="20"/>
        </w:rPr>
        <w:t xml:space="preserve">interventions </w:t>
      </w:r>
      <w:r>
        <w:rPr>
          <w:color w:val="231F20"/>
          <w:spacing w:val="-3"/>
          <w:sz w:val="20"/>
        </w:rPr>
        <w:t xml:space="preserve">for </w:t>
      </w:r>
      <w:r>
        <w:rPr>
          <w:color w:val="231F20"/>
          <w:sz w:val="20"/>
        </w:rPr>
        <w:t xml:space="preserve">people who stalk </w:t>
      </w:r>
      <w:r>
        <w:rPr>
          <w:color w:val="231F20"/>
          <w:spacing w:val="-3"/>
          <w:sz w:val="20"/>
        </w:rPr>
        <w:t>(Chapter</w:t>
      </w:r>
      <w:r>
        <w:rPr>
          <w:color w:val="231F20"/>
          <w:spacing w:val="-4"/>
          <w:sz w:val="20"/>
        </w:rPr>
        <w:t xml:space="preserve"> 8).</w:t>
      </w:r>
    </w:p>
    <w:p w14:paraId="207111D0" w14:textId="77777777" w:rsidR="00894070" w:rsidRDefault="009F6793">
      <w:pPr>
        <w:pStyle w:val="BodyText"/>
        <w:spacing w:before="7"/>
        <w:rPr>
          <w:sz w:val="19"/>
        </w:rPr>
      </w:pPr>
      <w:r>
        <w:pict w14:anchorId="5DF51919">
          <v:group id="_x0000_s1645" style="position:absolute;margin-left:62.35pt;margin-top:15.5pt;width:479.1pt;height:213.7pt;z-index:251446272;mso-wrap-distance-left:0;mso-wrap-distance-right:0;mso-position-horizontal-relative:page" coordorigin="1247,310" coordsize="9582,4274">
            <v:rect id="_x0000_s1652" style="position:absolute;left:1587;top:310;width:8731;height:4274" fillcolor="#fee7de" stroked="f"/>
            <v:line id="_x0000_s1651" style="position:absolute" from="1247,1118" to="10828,1118" strokecolor="white" strokeweight="2.5pt"/>
            <v:shape id="_x0000_s1650" type="#_x0000_t202" style="position:absolute;left:2948;top:1668;width:7163;height:2735" filled="f" stroked="f">
              <v:textbox inset="0,0,0,0">
                <w:txbxContent>
                  <w:p w14:paraId="656A5FF7" w14:textId="77777777" w:rsidR="00894070" w:rsidRDefault="009B7AFD">
                    <w:pPr>
                      <w:spacing w:line="247" w:lineRule="auto"/>
                      <w:ind w:right="13"/>
                      <w:rPr>
                        <w:rFonts w:ascii="Trebuchet MS" w:hAnsi="Trebuchet MS"/>
                        <w:sz w:val="20"/>
                      </w:rPr>
                    </w:pPr>
                    <w:r>
                      <w:rPr>
                        <w:rFonts w:ascii="Trebuchet MS" w:hAnsi="Trebuchet MS"/>
                        <w:color w:val="231F20"/>
                        <w:w w:val="105"/>
                        <w:sz w:val="20"/>
                      </w:rPr>
                      <w:t>identify</w:t>
                    </w:r>
                    <w:r>
                      <w:rPr>
                        <w:rFonts w:ascii="Trebuchet MS" w:hAnsi="Trebuchet MS"/>
                        <w:color w:val="231F20"/>
                        <w:spacing w:val="-17"/>
                        <w:w w:val="105"/>
                        <w:sz w:val="20"/>
                      </w:rPr>
                      <w:t xml:space="preserve"> </w:t>
                    </w:r>
                    <w:r>
                      <w:rPr>
                        <w:rFonts w:ascii="Trebuchet MS" w:hAnsi="Trebuchet MS"/>
                        <w:color w:val="231F20"/>
                        <w:w w:val="105"/>
                        <w:sz w:val="20"/>
                      </w:rPr>
                      <w:t>gaps</w:t>
                    </w:r>
                    <w:r>
                      <w:rPr>
                        <w:rFonts w:ascii="Trebuchet MS" w:hAnsi="Trebuchet MS"/>
                        <w:color w:val="231F20"/>
                        <w:spacing w:val="-16"/>
                        <w:w w:val="105"/>
                        <w:sz w:val="20"/>
                      </w:rPr>
                      <w:t xml:space="preserve"> </w:t>
                    </w:r>
                    <w:r>
                      <w:rPr>
                        <w:rFonts w:ascii="Trebuchet MS" w:hAnsi="Trebuchet MS"/>
                        <w:color w:val="231F20"/>
                        <w:w w:val="105"/>
                        <w:sz w:val="20"/>
                      </w:rPr>
                      <w:t>in</w:t>
                    </w:r>
                    <w:r>
                      <w:rPr>
                        <w:rFonts w:ascii="Trebuchet MS" w:hAnsi="Trebuchet MS"/>
                        <w:color w:val="231F20"/>
                        <w:spacing w:val="-16"/>
                        <w:w w:val="105"/>
                        <w:sz w:val="20"/>
                      </w:rPr>
                      <w:t xml:space="preserve"> </w:t>
                    </w:r>
                    <w:r>
                      <w:rPr>
                        <w:rFonts w:ascii="Trebuchet MS" w:hAnsi="Trebuchet MS"/>
                        <w:color w:val="231F20"/>
                        <w:w w:val="105"/>
                        <w:sz w:val="20"/>
                      </w:rPr>
                      <w:t>data</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research</w:t>
                    </w:r>
                    <w:r>
                      <w:rPr>
                        <w:rFonts w:ascii="Trebuchet MS" w:hAnsi="Trebuchet MS"/>
                        <w:color w:val="231F20"/>
                        <w:spacing w:val="-16"/>
                        <w:w w:val="105"/>
                        <w:sz w:val="20"/>
                      </w:rPr>
                      <w:t xml:space="preserve"> </w:t>
                    </w:r>
                    <w:r>
                      <w:rPr>
                        <w:rFonts w:ascii="Trebuchet MS" w:hAnsi="Trebuchet MS"/>
                        <w:color w:val="231F20"/>
                        <w:w w:val="105"/>
                        <w:sz w:val="20"/>
                      </w:rPr>
                      <w:t>on</w:t>
                    </w:r>
                    <w:r>
                      <w:rPr>
                        <w:rFonts w:ascii="Trebuchet MS" w:hAnsi="Trebuchet MS"/>
                        <w:color w:val="231F20"/>
                        <w:spacing w:val="-17"/>
                        <w:w w:val="105"/>
                        <w:sz w:val="20"/>
                      </w:rPr>
                      <w:t xml:space="preserve"> </w:t>
                    </w:r>
                    <w:r>
                      <w:rPr>
                        <w:rFonts w:ascii="Trebuchet MS" w:hAnsi="Trebuchet MS"/>
                        <w:color w:val="231F20"/>
                        <w:spacing w:val="-3"/>
                        <w:w w:val="105"/>
                        <w:sz w:val="20"/>
                      </w:rPr>
                      <w:t>non-family</w:t>
                    </w:r>
                    <w:r>
                      <w:rPr>
                        <w:rFonts w:ascii="Trebuchet MS" w:hAnsi="Trebuchet MS"/>
                        <w:color w:val="231F20"/>
                        <w:spacing w:val="-16"/>
                        <w:w w:val="105"/>
                        <w:sz w:val="20"/>
                      </w:rPr>
                      <w:t xml:space="preserve"> </w:t>
                    </w:r>
                    <w:r>
                      <w:rPr>
                        <w:rFonts w:ascii="Trebuchet MS" w:hAnsi="Trebuchet MS"/>
                        <w:color w:val="231F20"/>
                        <w:w w:val="105"/>
                        <w:sz w:val="20"/>
                      </w:rPr>
                      <w:t>violence</w:t>
                    </w:r>
                    <w:r>
                      <w:rPr>
                        <w:rFonts w:ascii="Trebuchet MS" w:hAnsi="Trebuchet MS"/>
                        <w:color w:val="231F20"/>
                        <w:spacing w:val="-16"/>
                        <w:w w:val="105"/>
                        <w:sz w:val="20"/>
                      </w:rPr>
                      <w:t xml:space="preserve"> </w:t>
                    </w:r>
                    <w:r>
                      <w:rPr>
                        <w:rFonts w:ascii="Trebuchet MS" w:hAnsi="Trebuchet MS"/>
                        <w:color w:val="231F20"/>
                        <w:w w:val="105"/>
                        <w:sz w:val="20"/>
                      </w:rPr>
                      <w:t>stalking</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 xml:space="preserve">the </w:t>
                    </w:r>
                    <w:r>
                      <w:rPr>
                        <w:rFonts w:ascii="Trebuchet MS" w:hAnsi="Trebuchet MS"/>
                        <w:color w:val="231F20"/>
                        <w:spacing w:val="-2"/>
                        <w:w w:val="64"/>
                        <w:sz w:val="20"/>
                      </w:rPr>
                      <w:t>j</w:t>
                    </w:r>
                    <w:r>
                      <w:rPr>
                        <w:rFonts w:ascii="Trebuchet MS" w:hAnsi="Trebuchet MS"/>
                        <w:color w:val="231F20"/>
                        <w:spacing w:val="-1"/>
                        <w:w w:val="107"/>
                        <w:sz w:val="20"/>
                      </w:rPr>
                      <w:t>us</w:t>
                    </w:r>
                    <w:r>
                      <w:rPr>
                        <w:rFonts w:ascii="Trebuchet MS" w:hAnsi="Trebuchet MS"/>
                        <w:color w:val="231F20"/>
                        <w:spacing w:val="-2"/>
                        <w:w w:val="107"/>
                        <w:sz w:val="20"/>
                      </w:rPr>
                      <w:t>t</w:t>
                    </w:r>
                    <w:r>
                      <w:rPr>
                        <w:rFonts w:ascii="Trebuchet MS" w:hAnsi="Trebuchet MS"/>
                        <w:color w:val="231F20"/>
                        <w:spacing w:val="-1"/>
                        <w:w w:val="80"/>
                        <w:sz w:val="20"/>
                      </w:rPr>
                      <w:t>i</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05"/>
                        <w:sz w:val="20"/>
                      </w:rPr>
                      <w:t>s</w:t>
                    </w:r>
                    <w:r>
                      <w:rPr>
                        <w:rFonts w:ascii="Trebuchet MS" w:hAnsi="Trebuchet MS"/>
                        <w:color w:val="231F20"/>
                        <w:spacing w:val="-4"/>
                        <w:w w:val="105"/>
                        <w:sz w:val="20"/>
                      </w:rPr>
                      <w:t>t</w:t>
                    </w:r>
                    <w:r>
                      <w:rPr>
                        <w:rFonts w:ascii="Trebuchet MS" w:hAnsi="Trebuchet MS"/>
                        <w:color w:val="231F20"/>
                        <w:spacing w:val="-1"/>
                        <w:w w:val="110"/>
                        <w:sz w:val="20"/>
                      </w:rPr>
                      <w:t>e</w:t>
                    </w:r>
                    <w:r>
                      <w:rPr>
                        <w:rFonts w:ascii="Trebuchet MS" w:hAnsi="Trebuchet MS"/>
                        <w:color w:val="231F20"/>
                        <w:spacing w:val="-7"/>
                        <w:w w:val="110"/>
                        <w:sz w:val="20"/>
                      </w:rPr>
                      <w:t>m</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po</w:t>
                    </w:r>
                    <w:r>
                      <w:rPr>
                        <w:rFonts w:ascii="Trebuchet MS" w:hAnsi="Trebuchet MS"/>
                        <w:color w:val="231F20"/>
                        <w:spacing w:val="-2"/>
                        <w:w w:val="107"/>
                        <w:sz w:val="20"/>
                      </w:rPr>
                      <w:t>n</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3"/>
                        <w:w w:val="80"/>
                        <w:sz w:val="20"/>
                      </w:rPr>
                      <w:t>i</w:t>
                    </w:r>
                    <w:r>
                      <w:rPr>
                        <w:rFonts w:ascii="Trebuchet MS" w:hAnsi="Trebuchet MS"/>
                        <w:color w:val="231F20"/>
                        <w:w w:val="88"/>
                        <w:sz w:val="20"/>
                      </w:rPr>
                      <w:t>t</w:t>
                    </w:r>
                  </w:p>
                  <w:p w14:paraId="3CF070E8" w14:textId="77777777" w:rsidR="00894070" w:rsidRDefault="009B7AFD">
                    <w:pPr>
                      <w:spacing w:before="87" w:line="247" w:lineRule="auto"/>
                      <w:ind w:right="13"/>
                      <w:rPr>
                        <w:rFonts w:ascii="Trebuchet MS" w:hAnsi="Trebuchet MS"/>
                        <w:sz w:val="20"/>
                      </w:rPr>
                    </w:pPr>
                    <w:r>
                      <w:rPr>
                        <w:rFonts w:ascii="Trebuchet MS" w:hAnsi="Trebuchet MS"/>
                        <w:color w:val="231F20"/>
                        <w:w w:val="105"/>
                        <w:sz w:val="20"/>
                      </w:rPr>
                      <w:t>identify</w:t>
                    </w:r>
                    <w:r>
                      <w:rPr>
                        <w:rFonts w:ascii="Trebuchet MS" w:hAnsi="Trebuchet MS"/>
                        <w:color w:val="231F20"/>
                        <w:spacing w:val="-19"/>
                        <w:w w:val="105"/>
                        <w:sz w:val="20"/>
                      </w:rPr>
                      <w:t xml:space="preserve"> </w:t>
                    </w:r>
                    <w:r>
                      <w:rPr>
                        <w:rFonts w:ascii="Trebuchet MS" w:hAnsi="Trebuchet MS"/>
                        <w:color w:val="231F20"/>
                        <w:w w:val="105"/>
                        <w:sz w:val="20"/>
                      </w:rPr>
                      <w:t>shortcomings</w:t>
                    </w:r>
                    <w:r>
                      <w:rPr>
                        <w:rFonts w:ascii="Trebuchet MS" w:hAnsi="Trebuchet MS"/>
                        <w:color w:val="231F20"/>
                        <w:spacing w:val="-18"/>
                        <w:w w:val="105"/>
                        <w:sz w:val="20"/>
                      </w:rPr>
                      <w:t xml:space="preserve"> </w:t>
                    </w:r>
                    <w:r>
                      <w:rPr>
                        <w:rFonts w:ascii="Trebuchet MS" w:hAnsi="Trebuchet MS"/>
                        <w:color w:val="231F20"/>
                        <w:w w:val="105"/>
                        <w:sz w:val="20"/>
                      </w:rPr>
                      <w:t>in</w:t>
                    </w:r>
                    <w:r>
                      <w:rPr>
                        <w:rFonts w:ascii="Trebuchet MS" w:hAnsi="Trebuchet MS"/>
                        <w:color w:val="231F20"/>
                        <w:spacing w:val="-19"/>
                        <w:w w:val="105"/>
                        <w:sz w:val="20"/>
                      </w:rPr>
                      <w:t xml:space="preserve"> </w:t>
                    </w:r>
                    <w:r>
                      <w:rPr>
                        <w:rFonts w:ascii="Trebuchet MS" w:hAnsi="Trebuchet MS"/>
                        <w:color w:val="231F20"/>
                        <w:w w:val="105"/>
                        <w:sz w:val="20"/>
                      </w:rPr>
                      <w:t>existing</w:t>
                    </w:r>
                    <w:r>
                      <w:rPr>
                        <w:rFonts w:ascii="Trebuchet MS" w:hAnsi="Trebuchet MS"/>
                        <w:color w:val="231F20"/>
                        <w:spacing w:val="-18"/>
                        <w:w w:val="105"/>
                        <w:sz w:val="20"/>
                      </w:rPr>
                      <w:t xml:space="preserve"> </w:t>
                    </w:r>
                    <w:r>
                      <w:rPr>
                        <w:rFonts w:ascii="Trebuchet MS" w:hAnsi="Trebuchet MS"/>
                        <w:color w:val="231F20"/>
                        <w:w w:val="105"/>
                        <w:sz w:val="20"/>
                      </w:rPr>
                      <w:t>data</w:t>
                    </w:r>
                    <w:r>
                      <w:rPr>
                        <w:rFonts w:ascii="Trebuchet MS" w:hAnsi="Trebuchet MS"/>
                        <w:color w:val="231F20"/>
                        <w:spacing w:val="-18"/>
                        <w:w w:val="105"/>
                        <w:sz w:val="20"/>
                      </w:rPr>
                      <w:t xml:space="preserve"> </w:t>
                    </w:r>
                    <w:r>
                      <w:rPr>
                        <w:rFonts w:ascii="Trebuchet MS" w:hAnsi="Trebuchet MS"/>
                        <w:color w:val="231F20"/>
                        <w:w w:val="105"/>
                        <w:sz w:val="20"/>
                      </w:rPr>
                      <w:t>and</w:t>
                    </w:r>
                    <w:r>
                      <w:rPr>
                        <w:rFonts w:ascii="Trebuchet MS" w:hAnsi="Trebuchet MS"/>
                        <w:color w:val="231F20"/>
                        <w:spacing w:val="-19"/>
                        <w:w w:val="105"/>
                        <w:sz w:val="20"/>
                      </w:rPr>
                      <w:t xml:space="preserve"> </w:t>
                    </w:r>
                    <w:r>
                      <w:rPr>
                        <w:rFonts w:ascii="Trebuchet MS" w:hAnsi="Trebuchet MS"/>
                        <w:color w:val="231F20"/>
                        <w:w w:val="105"/>
                        <w:sz w:val="20"/>
                      </w:rPr>
                      <w:t>research</w:t>
                    </w:r>
                    <w:r>
                      <w:rPr>
                        <w:rFonts w:ascii="Trebuchet MS" w:hAnsi="Trebuchet MS"/>
                        <w:color w:val="231F20"/>
                        <w:spacing w:val="-18"/>
                        <w:w w:val="105"/>
                        <w:sz w:val="20"/>
                      </w:rPr>
                      <w:t xml:space="preserve"> </w:t>
                    </w:r>
                    <w:r>
                      <w:rPr>
                        <w:rFonts w:ascii="Trebuchet MS" w:hAnsi="Trebuchet MS"/>
                        <w:color w:val="231F20"/>
                        <w:w w:val="105"/>
                        <w:sz w:val="20"/>
                      </w:rPr>
                      <w:t>on</w:t>
                    </w:r>
                    <w:r>
                      <w:rPr>
                        <w:rFonts w:ascii="Trebuchet MS" w:hAnsi="Trebuchet MS"/>
                        <w:color w:val="231F20"/>
                        <w:spacing w:val="-18"/>
                        <w:w w:val="105"/>
                        <w:sz w:val="20"/>
                      </w:rPr>
                      <w:t xml:space="preserve"> </w:t>
                    </w:r>
                    <w:r>
                      <w:rPr>
                        <w:rFonts w:ascii="Trebuchet MS" w:hAnsi="Trebuchet MS"/>
                        <w:color w:val="231F20"/>
                        <w:spacing w:val="-3"/>
                        <w:w w:val="105"/>
                        <w:sz w:val="20"/>
                      </w:rPr>
                      <w:t>non-family</w:t>
                    </w:r>
                    <w:r>
                      <w:rPr>
                        <w:rFonts w:ascii="Trebuchet MS" w:hAnsi="Trebuchet MS"/>
                        <w:color w:val="231F20"/>
                        <w:spacing w:val="-19"/>
                        <w:w w:val="105"/>
                        <w:sz w:val="20"/>
                      </w:rPr>
                      <w:t xml:space="preserve"> </w:t>
                    </w:r>
                    <w:r>
                      <w:rPr>
                        <w:rFonts w:ascii="Trebuchet MS" w:hAnsi="Trebuchet MS"/>
                        <w:color w:val="231F20"/>
                        <w:w w:val="105"/>
                        <w:sz w:val="20"/>
                      </w:rPr>
                      <w:t xml:space="preserve">violence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64"/>
                        <w:sz w:val="20"/>
                      </w:rPr>
                      <w:t>j</w:t>
                    </w:r>
                    <w:r>
                      <w:rPr>
                        <w:rFonts w:ascii="Trebuchet MS" w:hAnsi="Trebuchet MS"/>
                        <w:color w:val="231F20"/>
                        <w:spacing w:val="-1"/>
                        <w:w w:val="109"/>
                        <w:sz w:val="20"/>
                      </w:rPr>
                      <w:t>u</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22"/>
                        <w:sz w:val="20"/>
                      </w:rPr>
                      <w:t>s</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7"/>
                        <w:w w:val="111"/>
                        <w:sz w:val="20"/>
                      </w:rPr>
                      <w:t>m</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po</w:t>
                    </w:r>
                    <w:r>
                      <w:rPr>
                        <w:rFonts w:ascii="Trebuchet MS" w:hAnsi="Trebuchet MS"/>
                        <w:color w:val="231F20"/>
                        <w:spacing w:val="-2"/>
                        <w:w w:val="107"/>
                        <w:sz w:val="20"/>
                      </w:rPr>
                      <w:t>n</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3"/>
                        <w:w w:val="80"/>
                        <w:sz w:val="20"/>
                      </w:rPr>
                      <w:t>i</w:t>
                    </w:r>
                    <w:r>
                      <w:rPr>
                        <w:rFonts w:ascii="Trebuchet MS" w:hAnsi="Trebuchet MS"/>
                        <w:color w:val="231F20"/>
                        <w:w w:val="88"/>
                        <w:sz w:val="20"/>
                      </w:rPr>
                      <w:t>t</w:t>
                    </w:r>
                  </w:p>
                  <w:p w14:paraId="6F283684" w14:textId="77777777" w:rsidR="00894070" w:rsidRDefault="009B7AFD">
                    <w:pPr>
                      <w:spacing w:before="86" w:line="247" w:lineRule="auto"/>
                      <w:ind w:right="13"/>
                      <w:rPr>
                        <w:rFonts w:ascii="Trebuchet MS"/>
                        <w:sz w:val="20"/>
                      </w:rPr>
                    </w:pPr>
                    <w:r>
                      <w:rPr>
                        <w:rFonts w:ascii="Trebuchet MS"/>
                        <w:color w:val="231F20"/>
                        <w:w w:val="105"/>
                        <w:sz w:val="20"/>
                      </w:rPr>
                      <w:t>support</w:t>
                    </w:r>
                    <w:r>
                      <w:rPr>
                        <w:rFonts w:ascii="Trebuchet MS"/>
                        <w:color w:val="231F20"/>
                        <w:spacing w:val="-19"/>
                        <w:w w:val="105"/>
                        <w:sz w:val="20"/>
                      </w:rPr>
                      <w:t xml:space="preserve"> </w:t>
                    </w:r>
                    <w:r>
                      <w:rPr>
                        <w:rFonts w:ascii="Trebuchet MS"/>
                        <w:color w:val="231F20"/>
                        <w:w w:val="105"/>
                        <w:sz w:val="20"/>
                      </w:rPr>
                      <w:t>additional</w:t>
                    </w:r>
                    <w:r>
                      <w:rPr>
                        <w:rFonts w:ascii="Trebuchet MS"/>
                        <w:color w:val="231F20"/>
                        <w:spacing w:val="-18"/>
                        <w:w w:val="105"/>
                        <w:sz w:val="20"/>
                      </w:rPr>
                      <w:t xml:space="preserve"> </w:t>
                    </w:r>
                    <w:r>
                      <w:rPr>
                        <w:rFonts w:ascii="Trebuchet MS"/>
                        <w:color w:val="231F20"/>
                        <w:w w:val="105"/>
                        <w:sz w:val="20"/>
                      </w:rPr>
                      <w:t>data</w:t>
                    </w:r>
                    <w:r>
                      <w:rPr>
                        <w:rFonts w:ascii="Trebuchet MS"/>
                        <w:color w:val="231F20"/>
                        <w:spacing w:val="-18"/>
                        <w:w w:val="105"/>
                        <w:sz w:val="20"/>
                      </w:rPr>
                      <w:t xml:space="preserve"> </w:t>
                    </w:r>
                    <w:r>
                      <w:rPr>
                        <w:rFonts w:ascii="Trebuchet MS"/>
                        <w:color w:val="231F20"/>
                        <w:w w:val="105"/>
                        <w:sz w:val="20"/>
                      </w:rPr>
                      <w:t>collection</w:t>
                    </w:r>
                    <w:r>
                      <w:rPr>
                        <w:rFonts w:ascii="Trebuchet MS"/>
                        <w:color w:val="231F20"/>
                        <w:spacing w:val="-18"/>
                        <w:w w:val="105"/>
                        <w:sz w:val="20"/>
                      </w:rPr>
                      <w:t xml:space="preserve"> </w:t>
                    </w:r>
                    <w:r>
                      <w:rPr>
                        <w:rFonts w:ascii="Trebuchet MS"/>
                        <w:color w:val="231F20"/>
                        <w:w w:val="105"/>
                        <w:sz w:val="20"/>
                      </w:rPr>
                      <w:t>and</w:t>
                    </w:r>
                    <w:r>
                      <w:rPr>
                        <w:rFonts w:ascii="Trebuchet MS"/>
                        <w:color w:val="231F20"/>
                        <w:spacing w:val="-18"/>
                        <w:w w:val="105"/>
                        <w:sz w:val="20"/>
                      </w:rPr>
                      <w:t xml:space="preserve"> </w:t>
                    </w:r>
                    <w:r>
                      <w:rPr>
                        <w:rFonts w:ascii="Trebuchet MS"/>
                        <w:color w:val="231F20"/>
                        <w:w w:val="105"/>
                        <w:sz w:val="20"/>
                      </w:rPr>
                      <w:t>research</w:t>
                    </w:r>
                    <w:r>
                      <w:rPr>
                        <w:rFonts w:ascii="Trebuchet MS"/>
                        <w:color w:val="231F20"/>
                        <w:spacing w:val="-18"/>
                        <w:w w:val="105"/>
                        <w:sz w:val="20"/>
                      </w:rPr>
                      <w:t xml:space="preserve"> </w:t>
                    </w:r>
                    <w:r>
                      <w:rPr>
                        <w:rFonts w:ascii="Trebuchet MS"/>
                        <w:color w:val="231F20"/>
                        <w:w w:val="105"/>
                        <w:sz w:val="20"/>
                      </w:rPr>
                      <w:t>to</w:t>
                    </w:r>
                    <w:r>
                      <w:rPr>
                        <w:rFonts w:ascii="Trebuchet MS"/>
                        <w:color w:val="231F20"/>
                        <w:spacing w:val="-18"/>
                        <w:w w:val="105"/>
                        <w:sz w:val="20"/>
                      </w:rPr>
                      <w:t xml:space="preserve"> </w:t>
                    </w:r>
                    <w:r>
                      <w:rPr>
                        <w:rFonts w:ascii="Trebuchet MS"/>
                        <w:color w:val="231F20"/>
                        <w:w w:val="105"/>
                        <w:sz w:val="20"/>
                      </w:rPr>
                      <w:t>fill</w:t>
                    </w:r>
                    <w:r>
                      <w:rPr>
                        <w:rFonts w:ascii="Trebuchet MS"/>
                        <w:color w:val="231F20"/>
                        <w:spacing w:val="-18"/>
                        <w:w w:val="105"/>
                        <w:sz w:val="20"/>
                      </w:rPr>
                      <w:t xml:space="preserve"> </w:t>
                    </w:r>
                    <w:r>
                      <w:rPr>
                        <w:rFonts w:ascii="Trebuchet MS"/>
                        <w:color w:val="231F20"/>
                        <w:w w:val="105"/>
                        <w:sz w:val="20"/>
                      </w:rPr>
                      <w:t>these</w:t>
                    </w:r>
                    <w:r>
                      <w:rPr>
                        <w:rFonts w:ascii="Trebuchet MS"/>
                        <w:color w:val="231F20"/>
                        <w:spacing w:val="-18"/>
                        <w:w w:val="105"/>
                        <w:sz w:val="20"/>
                      </w:rPr>
                      <w:t xml:space="preserve"> </w:t>
                    </w:r>
                    <w:r>
                      <w:rPr>
                        <w:rFonts w:ascii="Trebuchet MS"/>
                        <w:color w:val="231F20"/>
                        <w:w w:val="105"/>
                        <w:sz w:val="20"/>
                      </w:rPr>
                      <w:t>gaps</w:t>
                    </w:r>
                    <w:r>
                      <w:rPr>
                        <w:rFonts w:ascii="Trebuchet MS"/>
                        <w:color w:val="231F20"/>
                        <w:spacing w:val="-18"/>
                        <w:w w:val="105"/>
                        <w:sz w:val="20"/>
                      </w:rPr>
                      <w:t xml:space="preserve"> </w:t>
                    </w:r>
                    <w:r>
                      <w:rPr>
                        <w:rFonts w:ascii="Trebuchet MS"/>
                        <w:color w:val="231F20"/>
                        <w:w w:val="105"/>
                        <w:sz w:val="20"/>
                      </w:rPr>
                      <w:t>and</w:t>
                    </w:r>
                    <w:r>
                      <w:rPr>
                        <w:rFonts w:ascii="Trebuchet MS"/>
                        <w:color w:val="231F20"/>
                        <w:spacing w:val="-18"/>
                        <w:w w:val="105"/>
                        <w:sz w:val="20"/>
                      </w:rPr>
                      <w:t xml:space="preserve"> </w:t>
                    </w:r>
                    <w:r>
                      <w:rPr>
                        <w:rFonts w:ascii="Trebuchet MS"/>
                        <w:color w:val="231F20"/>
                        <w:w w:val="105"/>
                        <w:sz w:val="20"/>
                      </w:rPr>
                      <w:t>address these</w:t>
                    </w:r>
                    <w:r>
                      <w:rPr>
                        <w:rFonts w:ascii="Trebuchet MS"/>
                        <w:color w:val="231F20"/>
                        <w:spacing w:val="-17"/>
                        <w:w w:val="105"/>
                        <w:sz w:val="20"/>
                      </w:rPr>
                      <w:t xml:space="preserve"> </w:t>
                    </w:r>
                    <w:r>
                      <w:rPr>
                        <w:rFonts w:ascii="Trebuchet MS"/>
                        <w:color w:val="231F20"/>
                        <w:w w:val="105"/>
                        <w:sz w:val="20"/>
                      </w:rPr>
                      <w:t>shortcomings</w:t>
                    </w:r>
                  </w:p>
                  <w:p w14:paraId="74C055AB" w14:textId="77777777" w:rsidR="00894070" w:rsidRDefault="009B7AFD">
                    <w:pPr>
                      <w:spacing w:before="87" w:line="247" w:lineRule="auto"/>
                      <w:ind w:right="13"/>
                      <w:rPr>
                        <w:rFonts w:ascii="Trebuchet MS" w:hAnsi="Trebuchet MS"/>
                        <w:sz w:val="20"/>
                      </w:rPr>
                    </w:pPr>
                    <w:r>
                      <w:rPr>
                        <w:rFonts w:ascii="Trebuchet MS" w:hAnsi="Trebuchet MS"/>
                        <w:color w:val="231F20"/>
                        <w:w w:val="105"/>
                        <w:sz w:val="20"/>
                      </w:rPr>
                      <w:t>monitor</w:t>
                    </w:r>
                    <w:r>
                      <w:rPr>
                        <w:rFonts w:ascii="Trebuchet MS" w:hAnsi="Trebuchet MS"/>
                        <w:color w:val="231F20"/>
                        <w:spacing w:val="-15"/>
                        <w:w w:val="105"/>
                        <w:sz w:val="20"/>
                      </w:rPr>
                      <w:t xml:space="preserve"> </w:t>
                    </w:r>
                    <w:r>
                      <w:rPr>
                        <w:rFonts w:ascii="Trebuchet MS" w:hAnsi="Trebuchet MS"/>
                        <w:color w:val="231F20"/>
                        <w:w w:val="105"/>
                        <w:sz w:val="20"/>
                      </w:rPr>
                      <w:t>the</w:t>
                    </w:r>
                    <w:r>
                      <w:rPr>
                        <w:rFonts w:ascii="Trebuchet MS" w:hAnsi="Trebuchet MS"/>
                        <w:color w:val="231F20"/>
                        <w:spacing w:val="-14"/>
                        <w:w w:val="105"/>
                        <w:sz w:val="20"/>
                      </w:rPr>
                      <w:t xml:space="preserve"> </w:t>
                    </w:r>
                    <w:r>
                      <w:rPr>
                        <w:rFonts w:ascii="Trebuchet MS" w:hAnsi="Trebuchet MS"/>
                        <w:color w:val="231F20"/>
                        <w:w w:val="105"/>
                        <w:sz w:val="20"/>
                      </w:rPr>
                      <w:t>emerging</w:t>
                    </w:r>
                    <w:r>
                      <w:rPr>
                        <w:rFonts w:ascii="Trebuchet MS" w:hAnsi="Trebuchet MS"/>
                        <w:color w:val="231F20"/>
                        <w:spacing w:val="-15"/>
                        <w:w w:val="105"/>
                        <w:sz w:val="20"/>
                      </w:rPr>
                      <w:t xml:space="preserve"> </w:t>
                    </w:r>
                    <w:r>
                      <w:rPr>
                        <w:rFonts w:ascii="Trebuchet MS" w:hAnsi="Trebuchet MS"/>
                        <w:color w:val="231F20"/>
                        <w:w w:val="105"/>
                        <w:sz w:val="20"/>
                      </w:rPr>
                      <w:t>data</w:t>
                    </w:r>
                    <w:r>
                      <w:rPr>
                        <w:rFonts w:ascii="Trebuchet MS" w:hAnsi="Trebuchet MS"/>
                        <w:color w:val="231F20"/>
                        <w:spacing w:val="-14"/>
                        <w:w w:val="105"/>
                        <w:sz w:val="20"/>
                      </w:rPr>
                      <w:t xml:space="preserve"> </w:t>
                    </w:r>
                    <w:r>
                      <w:rPr>
                        <w:rFonts w:ascii="Trebuchet MS" w:hAnsi="Trebuchet MS"/>
                        <w:color w:val="231F20"/>
                        <w:w w:val="105"/>
                        <w:sz w:val="20"/>
                      </w:rPr>
                      <w:t>and</w:t>
                    </w:r>
                    <w:r>
                      <w:rPr>
                        <w:rFonts w:ascii="Trebuchet MS" w:hAnsi="Trebuchet MS"/>
                        <w:color w:val="231F20"/>
                        <w:spacing w:val="-15"/>
                        <w:w w:val="105"/>
                        <w:sz w:val="20"/>
                      </w:rPr>
                      <w:t xml:space="preserve"> </w:t>
                    </w:r>
                    <w:r>
                      <w:rPr>
                        <w:rFonts w:ascii="Trebuchet MS" w:hAnsi="Trebuchet MS"/>
                        <w:color w:val="231F20"/>
                        <w:w w:val="105"/>
                        <w:sz w:val="20"/>
                      </w:rPr>
                      <w:t>research</w:t>
                    </w:r>
                    <w:r>
                      <w:rPr>
                        <w:rFonts w:ascii="Trebuchet MS" w:hAnsi="Trebuchet MS"/>
                        <w:color w:val="231F20"/>
                        <w:spacing w:val="-14"/>
                        <w:w w:val="105"/>
                        <w:sz w:val="20"/>
                      </w:rPr>
                      <w:t xml:space="preserve"> </w:t>
                    </w:r>
                    <w:r>
                      <w:rPr>
                        <w:rFonts w:ascii="Trebuchet MS" w:hAnsi="Trebuchet MS"/>
                        <w:color w:val="231F20"/>
                        <w:w w:val="105"/>
                        <w:sz w:val="20"/>
                      </w:rPr>
                      <w:t>on</w:t>
                    </w:r>
                    <w:r>
                      <w:rPr>
                        <w:rFonts w:ascii="Trebuchet MS" w:hAnsi="Trebuchet MS"/>
                        <w:color w:val="231F20"/>
                        <w:spacing w:val="-15"/>
                        <w:w w:val="105"/>
                        <w:sz w:val="20"/>
                      </w:rPr>
                      <w:t xml:space="preserve"> </w:t>
                    </w:r>
                    <w:r>
                      <w:rPr>
                        <w:rFonts w:ascii="Trebuchet MS" w:hAnsi="Trebuchet MS"/>
                        <w:color w:val="231F20"/>
                        <w:spacing w:val="-3"/>
                        <w:w w:val="105"/>
                        <w:sz w:val="20"/>
                      </w:rPr>
                      <w:t>non-family</w:t>
                    </w:r>
                    <w:r>
                      <w:rPr>
                        <w:rFonts w:ascii="Trebuchet MS" w:hAnsi="Trebuchet MS"/>
                        <w:color w:val="231F20"/>
                        <w:spacing w:val="-14"/>
                        <w:w w:val="105"/>
                        <w:sz w:val="20"/>
                      </w:rPr>
                      <w:t xml:space="preserve"> </w:t>
                    </w:r>
                    <w:r>
                      <w:rPr>
                        <w:rFonts w:ascii="Trebuchet MS" w:hAnsi="Trebuchet MS"/>
                        <w:color w:val="231F20"/>
                        <w:w w:val="105"/>
                        <w:sz w:val="20"/>
                      </w:rPr>
                      <w:t>violence</w:t>
                    </w:r>
                    <w:r>
                      <w:rPr>
                        <w:rFonts w:ascii="Trebuchet MS" w:hAnsi="Trebuchet MS"/>
                        <w:color w:val="231F20"/>
                        <w:spacing w:val="-15"/>
                        <w:w w:val="105"/>
                        <w:sz w:val="20"/>
                      </w:rPr>
                      <w:t xml:space="preserve"> </w:t>
                    </w:r>
                    <w:r>
                      <w:rPr>
                        <w:rFonts w:ascii="Trebuchet MS" w:hAnsi="Trebuchet MS"/>
                        <w:color w:val="231F20"/>
                        <w:w w:val="105"/>
                        <w:sz w:val="20"/>
                      </w:rPr>
                      <w:t>stalking</w:t>
                    </w:r>
                    <w:r>
                      <w:rPr>
                        <w:rFonts w:ascii="Trebuchet MS" w:hAnsi="Trebuchet MS"/>
                        <w:color w:val="231F20"/>
                        <w:spacing w:val="-14"/>
                        <w:w w:val="105"/>
                        <w:sz w:val="20"/>
                      </w:rPr>
                      <w:t xml:space="preserve"> </w:t>
                    </w:r>
                    <w:r>
                      <w:rPr>
                        <w:rFonts w:ascii="Trebuchet MS" w:hAnsi="Trebuchet MS"/>
                        <w:color w:val="231F20"/>
                        <w:w w:val="105"/>
                        <w:sz w:val="20"/>
                      </w:rPr>
                      <w:t xml:space="preserve">and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64"/>
                        <w:sz w:val="20"/>
                      </w:rPr>
                      <w:t>j</w:t>
                    </w:r>
                    <w:r>
                      <w:rPr>
                        <w:rFonts w:ascii="Trebuchet MS" w:hAnsi="Trebuchet MS"/>
                        <w:color w:val="231F20"/>
                        <w:spacing w:val="-1"/>
                        <w:w w:val="109"/>
                        <w:sz w:val="20"/>
                      </w:rPr>
                      <w:t>u</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22"/>
                        <w:sz w:val="20"/>
                      </w:rPr>
                      <w:t>s</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7"/>
                        <w:w w:val="111"/>
                        <w:sz w:val="20"/>
                      </w:rPr>
                      <w:t>m</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po</w:t>
                    </w:r>
                    <w:r>
                      <w:rPr>
                        <w:rFonts w:ascii="Trebuchet MS" w:hAnsi="Trebuchet MS"/>
                        <w:color w:val="231F20"/>
                        <w:spacing w:val="-2"/>
                        <w:w w:val="107"/>
                        <w:sz w:val="20"/>
                      </w:rPr>
                      <w:t>n</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3"/>
                        <w:w w:val="80"/>
                        <w:sz w:val="20"/>
                      </w:rPr>
                      <w:t>i</w:t>
                    </w:r>
                    <w:r>
                      <w:rPr>
                        <w:rFonts w:ascii="Trebuchet MS" w:hAnsi="Trebuchet MS"/>
                        <w:color w:val="231F20"/>
                        <w:w w:val="88"/>
                        <w:sz w:val="20"/>
                      </w:rPr>
                      <w:t>t</w:t>
                    </w:r>
                  </w:p>
                  <w:p w14:paraId="11A37ABC" w14:textId="77777777" w:rsidR="00894070" w:rsidRDefault="009B7AFD">
                    <w:pPr>
                      <w:spacing w:before="87" w:line="247" w:lineRule="auto"/>
                      <w:ind w:right="13"/>
                      <w:rPr>
                        <w:rFonts w:ascii="Trebuchet MS"/>
                        <w:sz w:val="20"/>
                      </w:rPr>
                    </w:pPr>
                    <w:r>
                      <w:rPr>
                        <w:rFonts w:ascii="Trebuchet MS"/>
                        <w:color w:val="231F20"/>
                        <w:w w:val="110"/>
                        <w:sz w:val="20"/>
                      </w:rPr>
                      <w:t>ensure</w:t>
                    </w:r>
                    <w:r>
                      <w:rPr>
                        <w:rFonts w:ascii="Trebuchet MS"/>
                        <w:color w:val="231F20"/>
                        <w:spacing w:val="-44"/>
                        <w:w w:val="110"/>
                        <w:sz w:val="20"/>
                      </w:rPr>
                      <w:t xml:space="preserve"> </w:t>
                    </w:r>
                    <w:r>
                      <w:rPr>
                        <w:rFonts w:ascii="Trebuchet MS"/>
                        <w:color w:val="231F20"/>
                        <w:w w:val="110"/>
                        <w:sz w:val="20"/>
                      </w:rPr>
                      <w:t>that</w:t>
                    </w:r>
                    <w:r>
                      <w:rPr>
                        <w:rFonts w:ascii="Trebuchet MS"/>
                        <w:color w:val="231F20"/>
                        <w:spacing w:val="-43"/>
                        <w:w w:val="110"/>
                        <w:sz w:val="20"/>
                      </w:rPr>
                      <w:t xml:space="preserve"> </w:t>
                    </w:r>
                    <w:r>
                      <w:rPr>
                        <w:rFonts w:ascii="Trebuchet MS"/>
                        <w:color w:val="231F20"/>
                        <w:spacing w:val="-3"/>
                        <w:w w:val="110"/>
                        <w:sz w:val="20"/>
                      </w:rPr>
                      <w:t>any</w:t>
                    </w:r>
                    <w:r>
                      <w:rPr>
                        <w:rFonts w:ascii="Trebuchet MS"/>
                        <w:color w:val="231F20"/>
                        <w:spacing w:val="-43"/>
                        <w:w w:val="110"/>
                        <w:sz w:val="20"/>
                      </w:rPr>
                      <w:t xml:space="preserve"> </w:t>
                    </w:r>
                    <w:r>
                      <w:rPr>
                        <w:rFonts w:ascii="Trebuchet MS"/>
                        <w:color w:val="231F20"/>
                        <w:w w:val="110"/>
                        <w:sz w:val="20"/>
                      </w:rPr>
                      <w:t>emerging</w:t>
                    </w:r>
                    <w:r>
                      <w:rPr>
                        <w:rFonts w:ascii="Trebuchet MS"/>
                        <w:color w:val="231F20"/>
                        <w:spacing w:val="-43"/>
                        <w:w w:val="110"/>
                        <w:sz w:val="20"/>
                      </w:rPr>
                      <w:t xml:space="preserve"> </w:t>
                    </w:r>
                    <w:r>
                      <w:rPr>
                        <w:rFonts w:ascii="Trebuchet MS"/>
                        <w:color w:val="231F20"/>
                        <w:w w:val="110"/>
                        <w:sz w:val="20"/>
                      </w:rPr>
                      <w:t>data</w:t>
                    </w:r>
                    <w:r>
                      <w:rPr>
                        <w:rFonts w:ascii="Trebuchet MS"/>
                        <w:color w:val="231F20"/>
                        <w:spacing w:val="-44"/>
                        <w:w w:val="110"/>
                        <w:sz w:val="20"/>
                      </w:rPr>
                      <w:t xml:space="preserve"> </w:t>
                    </w:r>
                    <w:r>
                      <w:rPr>
                        <w:rFonts w:ascii="Trebuchet MS"/>
                        <w:color w:val="231F20"/>
                        <w:w w:val="110"/>
                        <w:sz w:val="20"/>
                      </w:rPr>
                      <w:t>and</w:t>
                    </w:r>
                    <w:r>
                      <w:rPr>
                        <w:rFonts w:ascii="Trebuchet MS"/>
                        <w:color w:val="231F20"/>
                        <w:spacing w:val="-43"/>
                        <w:w w:val="110"/>
                        <w:sz w:val="20"/>
                      </w:rPr>
                      <w:t xml:space="preserve"> </w:t>
                    </w:r>
                    <w:r>
                      <w:rPr>
                        <w:rFonts w:ascii="Trebuchet MS"/>
                        <w:color w:val="231F20"/>
                        <w:w w:val="110"/>
                        <w:sz w:val="20"/>
                      </w:rPr>
                      <w:t>research</w:t>
                    </w:r>
                    <w:r>
                      <w:rPr>
                        <w:rFonts w:ascii="Trebuchet MS"/>
                        <w:color w:val="231F20"/>
                        <w:spacing w:val="-43"/>
                        <w:w w:val="110"/>
                        <w:sz w:val="20"/>
                      </w:rPr>
                      <w:t xml:space="preserve"> </w:t>
                    </w:r>
                    <w:r>
                      <w:rPr>
                        <w:rFonts w:ascii="Trebuchet MS"/>
                        <w:color w:val="231F20"/>
                        <w:w w:val="110"/>
                        <w:sz w:val="20"/>
                      </w:rPr>
                      <w:t>gaps</w:t>
                    </w:r>
                    <w:r>
                      <w:rPr>
                        <w:rFonts w:ascii="Trebuchet MS"/>
                        <w:color w:val="231F20"/>
                        <w:spacing w:val="-43"/>
                        <w:w w:val="110"/>
                        <w:sz w:val="20"/>
                      </w:rPr>
                      <w:t xml:space="preserve"> </w:t>
                    </w:r>
                    <w:r>
                      <w:rPr>
                        <w:rFonts w:ascii="Trebuchet MS"/>
                        <w:color w:val="231F20"/>
                        <w:spacing w:val="-2"/>
                        <w:w w:val="110"/>
                        <w:sz w:val="20"/>
                      </w:rPr>
                      <w:t>are</w:t>
                    </w:r>
                    <w:r>
                      <w:rPr>
                        <w:rFonts w:ascii="Trebuchet MS"/>
                        <w:color w:val="231F20"/>
                        <w:spacing w:val="-44"/>
                        <w:w w:val="110"/>
                        <w:sz w:val="20"/>
                      </w:rPr>
                      <w:t xml:space="preserve"> </w:t>
                    </w:r>
                    <w:r>
                      <w:rPr>
                        <w:rFonts w:ascii="Trebuchet MS"/>
                        <w:color w:val="231F20"/>
                        <w:w w:val="110"/>
                        <w:sz w:val="20"/>
                      </w:rPr>
                      <w:t>filled</w:t>
                    </w:r>
                    <w:r>
                      <w:rPr>
                        <w:rFonts w:ascii="Trebuchet MS"/>
                        <w:color w:val="231F20"/>
                        <w:spacing w:val="-43"/>
                        <w:w w:val="110"/>
                        <w:sz w:val="20"/>
                      </w:rPr>
                      <w:t xml:space="preserve"> </w:t>
                    </w:r>
                    <w:r>
                      <w:rPr>
                        <w:rFonts w:ascii="Trebuchet MS"/>
                        <w:color w:val="231F20"/>
                        <w:w w:val="110"/>
                        <w:sz w:val="20"/>
                      </w:rPr>
                      <w:t>and</w:t>
                    </w:r>
                    <w:r>
                      <w:rPr>
                        <w:rFonts w:ascii="Trebuchet MS"/>
                        <w:color w:val="231F20"/>
                        <w:spacing w:val="-43"/>
                        <w:w w:val="110"/>
                        <w:sz w:val="20"/>
                      </w:rPr>
                      <w:t xml:space="preserve"> </w:t>
                    </w:r>
                    <w:r>
                      <w:rPr>
                        <w:rFonts w:ascii="Trebuchet MS"/>
                        <w:color w:val="231F20"/>
                        <w:w w:val="110"/>
                        <w:sz w:val="20"/>
                      </w:rPr>
                      <w:t xml:space="preserve">shortcomings </w:t>
                    </w:r>
                    <w:r>
                      <w:rPr>
                        <w:rFonts w:ascii="Trebuchet MS"/>
                        <w:color w:val="231F20"/>
                        <w:spacing w:val="-2"/>
                        <w:w w:val="110"/>
                        <w:sz w:val="20"/>
                      </w:rPr>
                      <w:t>ad</w:t>
                    </w:r>
                    <w:r>
                      <w:rPr>
                        <w:rFonts w:ascii="Trebuchet MS"/>
                        <w:color w:val="231F20"/>
                        <w:spacing w:val="-1"/>
                        <w:w w:val="110"/>
                        <w:sz w:val="20"/>
                      </w:rPr>
                      <w:t>d</w:t>
                    </w:r>
                    <w:r>
                      <w:rPr>
                        <w:rFonts w:ascii="Trebuchet MS"/>
                        <w:color w:val="231F20"/>
                        <w:spacing w:val="-4"/>
                        <w:w w:val="93"/>
                        <w:sz w:val="20"/>
                      </w:rPr>
                      <w:t>r</w:t>
                    </w:r>
                    <w:r>
                      <w:rPr>
                        <w:rFonts w:ascii="Trebuchet MS"/>
                        <w:color w:val="231F20"/>
                        <w:spacing w:val="-2"/>
                        <w:w w:val="114"/>
                        <w:sz w:val="20"/>
                      </w:rPr>
                      <w:t>e</w:t>
                    </w:r>
                    <w:r>
                      <w:rPr>
                        <w:rFonts w:ascii="Trebuchet MS"/>
                        <w:color w:val="231F20"/>
                        <w:spacing w:val="-1"/>
                        <w:w w:val="114"/>
                        <w:sz w:val="20"/>
                      </w:rPr>
                      <w:t>s</w:t>
                    </w:r>
                    <w:r>
                      <w:rPr>
                        <w:rFonts w:ascii="Trebuchet MS"/>
                        <w:color w:val="231F20"/>
                        <w:spacing w:val="-1"/>
                        <w:w w:val="122"/>
                        <w:sz w:val="20"/>
                      </w:rPr>
                      <w:t>s</w:t>
                    </w:r>
                    <w:r>
                      <w:rPr>
                        <w:rFonts w:ascii="Trebuchet MS"/>
                        <w:color w:val="231F20"/>
                        <w:w w:val="108"/>
                        <w:sz w:val="20"/>
                      </w:rPr>
                      <w:t>e</w:t>
                    </w:r>
                    <w:r>
                      <w:rPr>
                        <w:rFonts w:ascii="Trebuchet MS"/>
                        <w:color w:val="231F20"/>
                        <w:w w:val="112"/>
                        <w:sz w:val="20"/>
                      </w:rPr>
                      <w:t>d</w:t>
                    </w:r>
                    <w:r>
                      <w:rPr>
                        <w:rFonts w:ascii="Trebuchet MS"/>
                        <w:color w:val="231F20"/>
                        <w:w w:val="55"/>
                        <w:sz w:val="20"/>
                      </w:rPr>
                      <w:t>.</w:t>
                    </w:r>
                  </w:p>
                </w:txbxContent>
              </v:textbox>
            </v:shape>
            <v:shape id="_x0000_s1649" type="#_x0000_t202" style="position:absolute;left:2381;top:1668;width:188;height:2495" filled="f" stroked="f">
              <v:textbox inset="0,0,0,0">
                <w:txbxContent>
                  <w:p w14:paraId="196AD789" w14:textId="77777777" w:rsidR="00894070" w:rsidRDefault="009B7AFD">
                    <w:pPr>
                      <w:rPr>
                        <w:rFonts w:ascii="Trebuchet MS"/>
                        <w:sz w:val="20"/>
                      </w:rPr>
                    </w:pPr>
                    <w:r>
                      <w:rPr>
                        <w:rFonts w:ascii="Trebuchet MS"/>
                        <w:color w:val="231F20"/>
                        <w:w w:val="90"/>
                        <w:sz w:val="20"/>
                      </w:rPr>
                      <w:t>a.</w:t>
                    </w:r>
                  </w:p>
                  <w:p w14:paraId="32DB7245" w14:textId="77777777" w:rsidR="00894070" w:rsidRDefault="00894070">
                    <w:pPr>
                      <w:spacing w:before="13"/>
                      <w:rPr>
                        <w:sz w:val="23"/>
                      </w:rPr>
                    </w:pPr>
                  </w:p>
                  <w:p w14:paraId="27BB9031" w14:textId="77777777" w:rsidR="00894070" w:rsidRDefault="009B7AFD">
                    <w:pPr>
                      <w:rPr>
                        <w:rFonts w:ascii="Trebuchet MS"/>
                        <w:sz w:val="20"/>
                      </w:rPr>
                    </w:pPr>
                    <w:r>
                      <w:rPr>
                        <w:rFonts w:ascii="Trebuchet MS"/>
                        <w:color w:val="231F20"/>
                        <w:spacing w:val="-3"/>
                        <w:w w:val="95"/>
                        <w:sz w:val="20"/>
                      </w:rPr>
                      <w:t>b.</w:t>
                    </w:r>
                  </w:p>
                  <w:p w14:paraId="61977A72" w14:textId="77777777" w:rsidR="00894070" w:rsidRDefault="00894070">
                    <w:pPr>
                      <w:rPr>
                        <w:sz w:val="24"/>
                      </w:rPr>
                    </w:pPr>
                  </w:p>
                  <w:p w14:paraId="0B414EAB" w14:textId="77777777" w:rsidR="00894070" w:rsidRDefault="009B7AFD">
                    <w:pPr>
                      <w:rPr>
                        <w:rFonts w:ascii="Trebuchet MS"/>
                        <w:sz w:val="20"/>
                      </w:rPr>
                    </w:pPr>
                    <w:r>
                      <w:rPr>
                        <w:rFonts w:ascii="Trebuchet MS"/>
                        <w:color w:val="231F20"/>
                        <w:w w:val="111"/>
                        <w:sz w:val="20"/>
                      </w:rPr>
                      <w:t>c</w:t>
                    </w:r>
                    <w:r>
                      <w:rPr>
                        <w:rFonts w:ascii="Trebuchet MS"/>
                        <w:color w:val="231F20"/>
                        <w:w w:val="55"/>
                        <w:sz w:val="20"/>
                      </w:rPr>
                      <w:t>.</w:t>
                    </w:r>
                  </w:p>
                  <w:p w14:paraId="6373B522" w14:textId="77777777" w:rsidR="00894070" w:rsidRDefault="00894070">
                    <w:pPr>
                      <w:rPr>
                        <w:sz w:val="24"/>
                      </w:rPr>
                    </w:pPr>
                  </w:p>
                  <w:p w14:paraId="68F8D056" w14:textId="77777777" w:rsidR="00894070" w:rsidRDefault="009B7AFD">
                    <w:pPr>
                      <w:rPr>
                        <w:rFonts w:ascii="Trebuchet MS"/>
                        <w:sz w:val="20"/>
                      </w:rPr>
                    </w:pPr>
                    <w:r>
                      <w:rPr>
                        <w:rFonts w:ascii="Trebuchet MS"/>
                        <w:color w:val="231F20"/>
                        <w:w w:val="112"/>
                        <w:sz w:val="20"/>
                      </w:rPr>
                      <w:t>d</w:t>
                    </w:r>
                    <w:r>
                      <w:rPr>
                        <w:rFonts w:ascii="Trebuchet MS"/>
                        <w:color w:val="231F20"/>
                        <w:w w:val="55"/>
                        <w:sz w:val="20"/>
                      </w:rPr>
                      <w:t>.</w:t>
                    </w:r>
                  </w:p>
                  <w:p w14:paraId="2C5D5E2B" w14:textId="77777777" w:rsidR="00894070" w:rsidRDefault="00894070">
                    <w:pPr>
                      <w:spacing w:before="13"/>
                      <w:rPr>
                        <w:sz w:val="23"/>
                      </w:rPr>
                    </w:pPr>
                  </w:p>
                  <w:p w14:paraId="14F252D1" w14:textId="77777777" w:rsidR="00894070" w:rsidRDefault="009B7AFD">
                    <w:pPr>
                      <w:rPr>
                        <w:rFonts w:ascii="Trebuchet MS"/>
                        <w:sz w:val="20"/>
                      </w:rPr>
                    </w:pPr>
                    <w:r>
                      <w:rPr>
                        <w:rFonts w:ascii="Trebuchet MS"/>
                        <w:color w:val="231F20"/>
                        <w:spacing w:val="-3"/>
                        <w:w w:val="95"/>
                        <w:sz w:val="20"/>
                      </w:rPr>
                      <w:t>e.</w:t>
                    </w:r>
                  </w:p>
                </w:txbxContent>
              </v:textbox>
            </v:shape>
            <v:shape id="_x0000_s1648" type="#_x0000_t202" style="position:absolute;left:2381;top:1343;width:3160;height:235" filled="f" stroked="f">
              <v:textbox inset="0,0,0,0">
                <w:txbxContent>
                  <w:p w14:paraId="0C7E933F" w14:textId="77777777" w:rsidR="00894070" w:rsidRDefault="009B7AFD">
                    <w:pPr>
                      <w:rPr>
                        <w:rFonts w:ascii="Trebuchet MS"/>
                        <w:sz w:val="20"/>
                      </w:rPr>
                    </w:pPr>
                    <w:r>
                      <w:rPr>
                        <w:rFonts w:ascii="Trebuchet MS"/>
                        <w:color w:val="231F20"/>
                        <w:spacing w:val="-2"/>
                        <w:w w:val="105"/>
                        <w:sz w:val="20"/>
                      </w:rPr>
                      <w:t>T</w:t>
                    </w:r>
                    <w:r>
                      <w:rPr>
                        <w:rFonts w:ascii="Trebuchet MS"/>
                        <w:color w:val="231F20"/>
                        <w:spacing w:val="-1"/>
                        <w:w w:val="108"/>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96"/>
                        <w:sz w:val="20"/>
                      </w:rPr>
                      <w:t>i</w:t>
                    </w:r>
                    <w:r>
                      <w:rPr>
                        <w:rFonts w:ascii="Trebuchet MS"/>
                        <w:color w:val="231F20"/>
                        <w:spacing w:val="-2"/>
                        <w:w w:val="96"/>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7"/>
                        <w:sz w:val="20"/>
                      </w:rPr>
                      <w:t>n</w:t>
                    </w:r>
                    <w:r>
                      <w:rPr>
                        <w:rFonts w:ascii="Trebuchet MS"/>
                        <w:color w:val="231F20"/>
                        <w:spacing w:val="-1"/>
                        <w:w w:val="110"/>
                        <w:sz w:val="20"/>
                      </w:rPr>
                      <w:t>me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ho</w:t>
                    </w:r>
                    <w:r>
                      <w:rPr>
                        <w:rFonts w:ascii="Trebuchet MS"/>
                        <w:color w:val="231F20"/>
                        <w:spacing w:val="-2"/>
                        <w:w w:val="109"/>
                        <w:sz w:val="20"/>
                      </w:rPr>
                      <w:t>u</w:t>
                    </w:r>
                    <w:r>
                      <w:rPr>
                        <w:rFonts w:ascii="Trebuchet MS"/>
                        <w:color w:val="231F20"/>
                        <w:spacing w:val="-3"/>
                        <w:w w:val="96"/>
                        <w:sz w:val="20"/>
                      </w:rPr>
                      <w:t>l</w:t>
                    </w:r>
                    <w:r>
                      <w:rPr>
                        <w:rFonts w:ascii="Trebuchet MS"/>
                        <w:color w:val="231F20"/>
                        <w:spacing w:val="-3"/>
                        <w:w w:val="112"/>
                        <w:sz w:val="20"/>
                      </w:rPr>
                      <w:t>d</w:t>
                    </w:r>
                    <w:r>
                      <w:rPr>
                        <w:rFonts w:ascii="Trebuchet MS"/>
                        <w:color w:val="231F20"/>
                        <w:w w:val="54"/>
                        <w:sz w:val="20"/>
                      </w:rPr>
                      <w:t>:</w:t>
                    </w:r>
                  </w:p>
                </w:txbxContent>
              </v:textbox>
            </v:shape>
            <v:shape id="_x0000_s1647" type="#_x0000_t202" style="position:absolute;left:1814;top:1343;width:156;height:235" filled="f" stroked="f">
              <v:textbox inset="0,0,0,0">
                <w:txbxContent>
                  <w:p w14:paraId="28B1541E" w14:textId="77777777" w:rsidR="00894070" w:rsidRDefault="009B7AFD">
                    <w:pPr>
                      <w:rPr>
                        <w:rFonts w:ascii="Trebuchet MS"/>
                        <w:sz w:val="20"/>
                      </w:rPr>
                    </w:pPr>
                    <w:r>
                      <w:rPr>
                        <w:rFonts w:ascii="Trebuchet MS"/>
                        <w:color w:val="231F20"/>
                        <w:w w:val="80"/>
                        <w:sz w:val="20"/>
                      </w:rPr>
                      <w:t>1.</w:t>
                    </w:r>
                  </w:p>
                </w:txbxContent>
              </v:textbox>
            </v:shape>
            <v:shape id="_x0000_s1646" type="#_x0000_t202" style="position:absolute;left:1587;top:310;width:8731;height:783" fillcolor="#fee7de" stroked="f">
              <v:textbox inset="0,0,0,0">
                <w:txbxContent>
                  <w:p w14:paraId="09DCBD57"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wrap type="topAndBottom" anchorx="page"/>
          </v:group>
        </w:pict>
      </w:r>
    </w:p>
    <w:p w14:paraId="2CC50A2B" w14:textId="77777777" w:rsidR="00894070" w:rsidRDefault="00894070">
      <w:pPr>
        <w:pStyle w:val="BodyText"/>
      </w:pPr>
    </w:p>
    <w:p w14:paraId="1E23D08A" w14:textId="77777777" w:rsidR="00894070" w:rsidRDefault="009B7AFD">
      <w:pPr>
        <w:pStyle w:val="Heading7"/>
        <w:spacing w:before="261" w:line="184" w:lineRule="auto"/>
        <w:ind w:right="1459"/>
      </w:pPr>
      <w:r>
        <w:rPr>
          <w:color w:val="EA5B50"/>
        </w:rPr>
        <w:t>Some communities appear to experience stalking at higher rates than average</w:t>
      </w:r>
    </w:p>
    <w:p w14:paraId="5F040B75" w14:textId="77777777" w:rsidR="00894070" w:rsidRDefault="009B7AFD">
      <w:pPr>
        <w:pStyle w:val="ListParagraph"/>
        <w:numPr>
          <w:ilvl w:val="1"/>
          <w:numId w:val="177"/>
        </w:numPr>
        <w:tabs>
          <w:tab w:val="left" w:pos="1801"/>
          <w:tab w:val="left" w:pos="1802"/>
        </w:tabs>
        <w:spacing w:before="162" w:line="206" w:lineRule="auto"/>
        <w:ind w:right="1491"/>
        <w:rPr>
          <w:sz w:val="20"/>
        </w:rPr>
      </w:pPr>
      <w:r>
        <w:rPr>
          <w:color w:val="231F20"/>
          <w:spacing w:val="-4"/>
          <w:sz w:val="20"/>
        </w:rPr>
        <w:t>From</w:t>
      </w:r>
      <w:r>
        <w:rPr>
          <w:color w:val="231F20"/>
          <w:spacing w:val="-8"/>
          <w:sz w:val="20"/>
        </w:rPr>
        <w:t xml:space="preserve"> </w:t>
      </w:r>
      <w:r>
        <w:rPr>
          <w:color w:val="231F20"/>
          <w:sz w:val="20"/>
        </w:rPr>
        <w:t>the</w:t>
      </w:r>
      <w:r>
        <w:rPr>
          <w:color w:val="231F20"/>
          <w:spacing w:val="-8"/>
          <w:sz w:val="20"/>
        </w:rPr>
        <w:t xml:space="preserve"> </w:t>
      </w:r>
      <w:r>
        <w:rPr>
          <w:color w:val="231F20"/>
          <w:sz w:val="20"/>
        </w:rPr>
        <w:t>limited</w:t>
      </w:r>
      <w:r>
        <w:rPr>
          <w:color w:val="231F20"/>
          <w:spacing w:val="-8"/>
          <w:sz w:val="20"/>
        </w:rPr>
        <w:t xml:space="preserve"> </w:t>
      </w:r>
      <w:r>
        <w:rPr>
          <w:color w:val="231F20"/>
          <w:sz w:val="20"/>
        </w:rPr>
        <w:t>data</w:t>
      </w:r>
      <w:r>
        <w:rPr>
          <w:color w:val="231F20"/>
          <w:spacing w:val="-8"/>
          <w:sz w:val="20"/>
        </w:rPr>
        <w:t xml:space="preserve"> </w:t>
      </w:r>
      <w:r>
        <w:rPr>
          <w:color w:val="231F20"/>
          <w:spacing w:val="-3"/>
          <w:sz w:val="20"/>
        </w:rPr>
        <w:t>available,</w:t>
      </w:r>
      <w:r>
        <w:rPr>
          <w:color w:val="231F20"/>
          <w:spacing w:val="-8"/>
          <w:sz w:val="20"/>
        </w:rPr>
        <w:t xml:space="preserve"> </w:t>
      </w:r>
      <w:r>
        <w:rPr>
          <w:color w:val="231F20"/>
          <w:sz w:val="20"/>
        </w:rPr>
        <w:t>it</w:t>
      </w:r>
      <w:r>
        <w:rPr>
          <w:color w:val="231F20"/>
          <w:spacing w:val="-8"/>
          <w:sz w:val="20"/>
        </w:rPr>
        <w:t xml:space="preserve"> </w:t>
      </w:r>
      <w:r>
        <w:rPr>
          <w:color w:val="231F20"/>
          <w:sz w:val="20"/>
        </w:rPr>
        <w:t>appears</w:t>
      </w:r>
      <w:r>
        <w:rPr>
          <w:color w:val="231F20"/>
          <w:spacing w:val="-8"/>
          <w:sz w:val="20"/>
        </w:rPr>
        <w:t xml:space="preserve"> </w:t>
      </w:r>
      <w:r>
        <w:rPr>
          <w:color w:val="231F20"/>
          <w:sz w:val="20"/>
        </w:rPr>
        <w:t>that</w:t>
      </w:r>
      <w:r>
        <w:rPr>
          <w:color w:val="231F20"/>
          <w:spacing w:val="-8"/>
          <w:sz w:val="20"/>
        </w:rPr>
        <w:t xml:space="preserve"> </w:t>
      </w:r>
      <w:r>
        <w:rPr>
          <w:color w:val="231F20"/>
          <w:sz w:val="20"/>
        </w:rPr>
        <w:t>some</w:t>
      </w:r>
      <w:r>
        <w:rPr>
          <w:color w:val="231F20"/>
          <w:spacing w:val="-8"/>
          <w:sz w:val="20"/>
        </w:rPr>
        <w:t xml:space="preserve"> </w:t>
      </w:r>
      <w:r>
        <w:rPr>
          <w:color w:val="231F20"/>
          <w:sz w:val="20"/>
        </w:rPr>
        <w:t>communities</w:t>
      </w:r>
      <w:r>
        <w:rPr>
          <w:color w:val="231F20"/>
          <w:spacing w:val="-8"/>
          <w:sz w:val="20"/>
        </w:rPr>
        <w:t xml:space="preserve"> </w:t>
      </w:r>
      <w:r>
        <w:rPr>
          <w:color w:val="231F20"/>
          <w:spacing w:val="-3"/>
          <w:sz w:val="20"/>
        </w:rPr>
        <w:t>are</w:t>
      </w:r>
      <w:r>
        <w:rPr>
          <w:color w:val="231F20"/>
          <w:spacing w:val="-8"/>
          <w:sz w:val="20"/>
        </w:rPr>
        <w:t xml:space="preserve"> </w:t>
      </w:r>
      <w:r>
        <w:rPr>
          <w:color w:val="231F20"/>
          <w:sz w:val="20"/>
        </w:rPr>
        <w:t>more</w:t>
      </w:r>
      <w:r>
        <w:rPr>
          <w:color w:val="231F20"/>
          <w:spacing w:val="-8"/>
          <w:sz w:val="20"/>
        </w:rPr>
        <w:t xml:space="preserve"> </w:t>
      </w:r>
      <w:r>
        <w:rPr>
          <w:color w:val="231F20"/>
          <w:spacing w:val="-3"/>
          <w:sz w:val="20"/>
        </w:rPr>
        <w:t>likely</w:t>
      </w:r>
      <w:r>
        <w:rPr>
          <w:color w:val="231F20"/>
          <w:spacing w:val="-8"/>
          <w:sz w:val="20"/>
        </w:rPr>
        <w:t xml:space="preserve"> </w:t>
      </w:r>
      <w:r>
        <w:rPr>
          <w:color w:val="231F20"/>
          <w:sz w:val="20"/>
        </w:rPr>
        <w:t>to experience stalking than</w:t>
      </w:r>
      <w:r>
        <w:rPr>
          <w:color w:val="231F20"/>
          <w:spacing w:val="-14"/>
          <w:sz w:val="20"/>
        </w:rPr>
        <w:t xml:space="preserve"> </w:t>
      </w:r>
      <w:r>
        <w:rPr>
          <w:color w:val="231F20"/>
          <w:sz w:val="20"/>
        </w:rPr>
        <w:t>others.</w:t>
      </w:r>
    </w:p>
    <w:p w14:paraId="393872BA" w14:textId="77777777" w:rsidR="00894070" w:rsidRDefault="009B7AFD">
      <w:pPr>
        <w:pStyle w:val="ListParagraph"/>
        <w:numPr>
          <w:ilvl w:val="1"/>
          <w:numId w:val="177"/>
        </w:numPr>
        <w:tabs>
          <w:tab w:val="left" w:pos="1801"/>
          <w:tab w:val="left" w:pos="1802"/>
        </w:tabs>
        <w:spacing w:before="123" w:line="206" w:lineRule="auto"/>
        <w:ind w:right="1288"/>
        <w:rPr>
          <w:sz w:val="11"/>
        </w:rPr>
      </w:pPr>
      <w:r>
        <w:rPr>
          <w:color w:val="231F20"/>
          <w:sz w:val="20"/>
        </w:rPr>
        <w:t>People</w:t>
      </w:r>
      <w:r>
        <w:rPr>
          <w:color w:val="231F20"/>
          <w:spacing w:val="-12"/>
          <w:sz w:val="20"/>
        </w:rPr>
        <w:t xml:space="preserve"> </w:t>
      </w:r>
      <w:r>
        <w:rPr>
          <w:color w:val="231F20"/>
          <w:sz w:val="20"/>
        </w:rPr>
        <w:t>in</w:t>
      </w:r>
      <w:r>
        <w:rPr>
          <w:color w:val="231F20"/>
          <w:spacing w:val="-11"/>
          <w:sz w:val="20"/>
        </w:rPr>
        <w:t xml:space="preserve"> </w:t>
      </w:r>
      <w:r>
        <w:rPr>
          <w:color w:val="231F20"/>
          <w:sz w:val="20"/>
        </w:rPr>
        <w:t>these</w:t>
      </w:r>
      <w:r>
        <w:rPr>
          <w:color w:val="231F20"/>
          <w:spacing w:val="-12"/>
          <w:sz w:val="20"/>
        </w:rPr>
        <w:t xml:space="preserve"> </w:t>
      </w:r>
      <w:r>
        <w:rPr>
          <w:color w:val="231F20"/>
          <w:sz w:val="20"/>
        </w:rPr>
        <w:t>communities</w:t>
      </w:r>
      <w:r>
        <w:rPr>
          <w:color w:val="231F20"/>
          <w:spacing w:val="-11"/>
          <w:sz w:val="20"/>
        </w:rPr>
        <w:t xml:space="preserve"> </w:t>
      </w:r>
      <w:r>
        <w:rPr>
          <w:color w:val="231F20"/>
          <w:sz w:val="20"/>
        </w:rPr>
        <w:t>can</w:t>
      </w:r>
      <w:r>
        <w:rPr>
          <w:color w:val="231F20"/>
          <w:spacing w:val="-11"/>
          <w:sz w:val="20"/>
        </w:rPr>
        <w:t xml:space="preserve"> </w:t>
      </w:r>
      <w:r>
        <w:rPr>
          <w:color w:val="231F20"/>
          <w:sz w:val="20"/>
        </w:rPr>
        <w:t>face</w:t>
      </w:r>
      <w:r>
        <w:rPr>
          <w:color w:val="231F20"/>
          <w:spacing w:val="-12"/>
          <w:sz w:val="20"/>
        </w:rPr>
        <w:t xml:space="preserve"> </w:t>
      </w:r>
      <w:r>
        <w:rPr>
          <w:color w:val="231F20"/>
          <w:sz w:val="20"/>
        </w:rPr>
        <w:t>serious</w:t>
      </w:r>
      <w:r>
        <w:rPr>
          <w:color w:val="231F20"/>
          <w:spacing w:val="-11"/>
          <w:sz w:val="20"/>
        </w:rPr>
        <w:t xml:space="preserve"> </w:t>
      </w:r>
      <w:r>
        <w:rPr>
          <w:color w:val="231F20"/>
          <w:sz w:val="20"/>
        </w:rPr>
        <w:t>barriers</w:t>
      </w:r>
      <w:r>
        <w:rPr>
          <w:color w:val="231F20"/>
          <w:spacing w:val="-11"/>
          <w:sz w:val="20"/>
        </w:rPr>
        <w:t xml:space="preserve"> </w:t>
      </w:r>
      <w:r>
        <w:rPr>
          <w:color w:val="231F20"/>
          <w:sz w:val="20"/>
        </w:rPr>
        <w:t>to</w:t>
      </w:r>
      <w:r>
        <w:rPr>
          <w:color w:val="231F20"/>
          <w:spacing w:val="-12"/>
          <w:sz w:val="20"/>
        </w:rPr>
        <w:t xml:space="preserve"> </w:t>
      </w:r>
      <w:r>
        <w:rPr>
          <w:color w:val="231F20"/>
          <w:sz w:val="20"/>
        </w:rPr>
        <w:t>reporting</w:t>
      </w:r>
      <w:r>
        <w:rPr>
          <w:color w:val="231F20"/>
          <w:spacing w:val="-11"/>
          <w:sz w:val="20"/>
        </w:rPr>
        <w:t xml:space="preserve"> </w:t>
      </w:r>
      <w:r>
        <w:rPr>
          <w:color w:val="231F20"/>
          <w:sz w:val="20"/>
        </w:rPr>
        <w:t>and</w:t>
      </w:r>
      <w:r>
        <w:rPr>
          <w:color w:val="231F20"/>
          <w:spacing w:val="-11"/>
          <w:sz w:val="20"/>
        </w:rPr>
        <w:t xml:space="preserve"> </w:t>
      </w:r>
      <w:r>
        <w:rPr>
          <w:color w:val="231F20"/>
          <w:sz w:val="20"/>
        </w:rPr>
        <w:t>getting</w:t>
      </w:r>
      <w:r>
        <w:rPr>
          <w:color w:val="231F20"/>
          <w:spacing w:val="-12"/>
          <w:sz w:val="20"/>
        </w:rPr>
        <w:t xml:space="preserve"> </w:t>
      </w:r>
      <w:r>
        <w:rPr>
          <w:color w:val="231F20"/>
          <w:sz w:val="20"/>
        </w:rPr>
        <w:t xml:space="preserve">justice. This can be because of discrimination and the justice </w:t>
      </w:r>
      <w:r>
        <w:rPr>
          <w:color w:val="231F20"/>
          <w:spacing w:val="-3"/>
          <w:sz w:val="20"/>
        </w:rPr>
        <w:t xml:space="preserve">system’s failure </w:t>
      </w:r>
      <w:r>
        <w:rPr>
          <w:color w:val="231F20"/>
          <w:sz w:val="20"/>
        </w:rPr>
        <w:t xml:space="preserve">to take their needs </w:t>
      </w:r>
      <w:r>
        <w:rPr>
          <w:color w:val="231F20"/>
          <w:spacing w:val="-3"/>
          <w:sz w:val="20"/>
        </w:rPr>
        <w:t>into</w:t>
      </w:r>
      <w:r>
        <w:rPr>
          <w:color w:val="231F20"/>
          <w:spacing w:val="-9"/>
          <w:sz w:val="20"/>
        </w:rPr>
        <w:t xml:space="preserve"> </w:t>
      </w:r>
      <w:r>
        <w:rPr>
          <w:color w:val="231F20"/>
          <w:sz w:val="20"/>
        </w:rPr>
        <w:t>account.</w:t>
      </w:r>
      <w:r>
        <w:rPr>
          <w:color w:val="231F20"/>
          <w:position w:val="7"/>
          <w:sz w:val="11"/>
        </w:rPr>
        <w:t>108</w:t>
      </w:r>
    </w:p>
    <w:p w14:paraId="459620A3" w14:textId="77777777" w:rsidR="00894070" w:rsidRDefault="009B7AFD">
      <w:pPr>
        <w:pStyle w:val="ListParagraph"/>
        <w:numPr>
          <w:ilvl w:val="1"/>
          <w:numId w:val="177"/>
        </w:numPr>
        <w:tabs>
          <w:tab w:val="left" w:pos="1802"/>
        </w:tabs>
        <w:spacing w:before="123" w:line="206" w:lineRule="auto"/>
        <w:ind w:right="1289"/>
        <w:jc w:val="both"/>
        <w:rPr>
          <w:sz w:val="11"/>
        </w:rPr>
      </w:pPr>
      <w:proofErr w:type="spellStart"/>
      <w:r>
        <w:rPr>
          <w:color w:val="231F20"/>
          <w:sz w:val="20"/>
        </w:rPr>
        <w:t>Djirra</w:t>
      </w:r>
      <w:proofErr w:type="spellEnd"/>
      <w:r>
        <w:rPr>
          <w:color w:val="231F20"/>
          <w:spacing w:val="-12"/>
          <w:sz w:val="20"/>
        </w:rPr>
        <w:t xml:space="preserve"> </w:t>
      </w:r>
      <w:r>
        <w:rPr>
          <w:color w:val="231F20"/>
          <w:sz w:val="20"/>
        </w:rPr>
        <w:t>pointed</w:t>
      </w:r>
      <w:r>
        <w:rPr>
          <w:color w:val="231F20"/>
          <w:spacing w:val="-11"/>
          <w:sz w:val="20"/>
        </w:rPr>
        <w:t xml:space="preserve"> </w:t>
      </w:r>
      <w:r>
        <w:rPr>
          <w:color w:val="231F20"/>
          <w:sz w:val="20"/>
        </w:rPr>
        <w:t>out</w:t>
      </w:r>
      <w:r>
        <w:rPr>
          <w:color w:val="231F20"/>
          <w:spacing w:val="-11"/>
          <w:sz w:val="20"/>
        </w:rPr>
        <w:t xml:space="preserve"> </w:t>
      </w:r>
      <w:r>
        <w:rPr>
          <w:color w:val="231F20"/>
          <w:sz w:val="20"/>
        </w:rPr>
        <w:t>that</w:t>
      </w:r>
      <w:r>
        <w:rPr>
          <w:color w:val="231F20"/>
          <w:spacing w:val="-11"/>
          <w:sz w:val="20"/>
        </w:rPr>
        <w:t xml:space="preserve"> </w:t>
      </w:r>
      <w:r>
        <w:rPr>
          <w:color w:val="231F20"/>
          <w:sz w:val="20"/>
        </w:rPr>
        <w:t>Aboriginal</w:t>
      </w:r>
      <w:r>
        <w:rPr>
          <w:color w:val="231F20"/>
          <w:spacing w:val="-11"/>
          <w:sz w:val="20"/>
        </w:rPr>
        <w:t xml:space="preserve"> </w:t>
      </w:r>
      <w:r>
        <w:rPr>
          <w:color w:val="231F20"/>
          <w:sz w:val="20"/>
        </w:rPr>
        <w:t>women</w:t>
      </w:r>
      <w:r>
        <w:rPr>
          <w:color w:val="231F20"/>
          <w:spacing w:val="-11"/>
          <w:sz w:val="20"/>
        </w:rPr>
        <w:t xml:space="preserve"> </w:t>
      </w:r>
      <w:r>
        <w:rPr>
          <w:color w:val="231F20"/>
          <w:sz w:val="20"/>
        </w:rPr>
        <w:t>with</w:t>
      </w:r>
      <w:r>
        <w:rPr>
          <w:color w:val="231F20"/>
          <w:spacing w:val="-12"/>
          <w:sz w:val="20"/>
        </w:rPr>
        <w:t xml:space="preserve"> </w:t>
      </w:r>
      <w:r>
        <w:rPr>
          <w:color w:val="231F20"/>
          <w:sz w:val="20"/>
        </w:rPr>
        <w:t>acquired</w:t>
      </w:r>
      <w:r>
        <w:rPr>
          <w:color w:val="231F20"/>
          <w:spacing w:val="-11"/>
          <w:sz w:val="20"/>
        </w:rPr>
        <w:t xml:space="preserve"> </w:t>
      </w:r>
      <w:r>
        <w:rPr>
          <w:color w:val="231F20"/>
          <w:sz w:val="20"/>
        </w:rPr>
        <w:t>brain</w:t>
      </w:r>
      <w:r>
        <w:rPr>
          <w:color w:val="231F20"/>
          <w:spacing w:val="-11"/>
          <w:sz w:val="20"/>
        </w:rPr>
        <w:t xml:space="preserve"> </w:t>
      </w:r>
      <w:r>
        <w:rPr>
          <w:color w:val="231F20"/>
          <w:sz w:val="20"/>
        </w:rPr>
        <w:t>injuries</w:t>
      </w:r>
      <w:r>
        <w:rPr>
          <w:color w:val="231F20"/>
          <w:spacing w:val="-11"/>
          <w:sz w:val="20"/>
        </w:rPr>
        <w:t xml:space="preserve"> </w:t>
      </w:r>
      <w:r>
        <w:rPr>
          <w:color w:val="231F20"/>
          <w:spacing w:val="-3"/>
          <w:sz w:val="20"/>
        </w:rPr>
        <w:t>are</w:t>
      </w:r>
      <w:r>
        <w:rPr>
          <w:color w:val="231F20"/>
          <w:spacing w:val="-11"/>
          <w:sz w:val="20"/>
        </w:rPr>
        <w:t xml:space="preserve"> </w:t>
      </w:r>
      <w:r>
        <w:rPr>
          <w:color w:val="231F20"/>
          <w:sz w:val="20"/>
        </w:rPr>
        <w:t>more</w:t>
      </w:r>
      <w:r>
        <w:rPr>
          <w:color w:val="231F20"/>
          <w:spacing w:val="-11"/>
          <w:sz w:val="20"/>
        </w:rPr>
        <w:t xml:space="preserve"> </w:t>
      </w:r>
      <w:r>
        <w:rPr>
          <w:color w:val="231F20"/>
          <w:spacing w:val="-3"/>
          <w:sz w:val="20"/>
        </w:rPr>
        <w:t>likely</w:t>
      </w:r>
      <w:r>
        <w:rPr>
          <w:color w:val="231F20"/>
          <w:spacing w:val="-12"/>
          <w:sz w:val="20"/>
        </w:rPr>
        <w:t xml:space="preserve"> </w:t>
      </w:r>
      <w:r>
        <w:rPr>
          <w:color w:val="231F20"/>
          <w:sz w:val="20"/>
        </w:rPr>
        <w:t>to experience</w:t>
      </w:r>
      <w:r>
        <w:rPr>
          <w:color w:val="231F20"/>
          <w:spacing w:val="-12"/>
          <w:sz w:val="20"/>
        </w:rPr>
        <w:t xml:space="preserve"> </w:t>
      </w:r>
      <w:r>
        <w:rPr>
          <w:color w:val="231F20"/>
          <w:spacing w:val="-2"/>
          <w:sz w:val="20"/>
        </w:rPr>
        <w:t>violence,</w:t>
      </w:r>
      <w:r>
        <w:rPr>
          <w:color w:val="231F20"/>
          <w:spacing w:val="-11"/>
          <w:sz w:val="20"/>
        </w:rPr>
        <w:t xml:space="preserve"> </w:t>
      </w:r>
      <w:r>
        <w:rPr>
          <w:color w:val="231F20"/>
          <w:sz w:val="20"/>
        </w:rPr>
        <w:t>including</w:t>
      </w:r>
      <w:r>
        <w:rPr>
          <w:color w:val="231F20"/>
          <w:spacing w:val="-11"/>
          <w:sz w:val="20"/>
        </w:rPr>
        <w:t xml:space="preserve"> </w:t>
      </w:r>
      <w:r>
        <w:rPr>
          <w:color w:val="231F20"/>
          <w:sz w:val="20"/>
        </w:rPr>
        <w:t>stalking.</w:t>
      </w:r>
      <w:r>
        <w:rPr>
          <w:color w:val="231F20"/>
          <w:spacing w:val="-11"/>
          <w:sz w:val="20"/>
        </w:rPr>
        <w:t xml:space="preserve"> </w:t>
      </w:r>
      <w:r>
        <w:rPr>
          <w:color w:val="231F20"/>
          <w:sz w:val="20"/>
        </w:rPr>
        <w:t>But</w:t>
      </w:r>
      <w:r>
        <w:rPr>
          <w:color w:val="231F20"/>
          <w:spacing w:val="-11"/>
          <w:sz w:val="20"/>
        </w:rPr>
        <w:t xml:space="preserve"> </w:t>
      </w:r>
      <w:r>
        <w:rPr>
          <w:color w:val="231F20"/>
          <w:sz w:val="20"/>
        </w:rPr>
        <w:t>they</w:t>
      </w:r>
      <w:r>
        <w:rPr>
          <w:color w:val="231F20"/>
          <w:spacing w:val="-11"/>
          <w:sz w:val="20"/>
        </w:rPr>
        <w:t xml:space="preserve"> </w:t>
      </w:r>
      <w:r>
        <w:rPr>
          <w:color w:val="231F20"/>
          <w:spacing w:val="-3"/>
          <w:sz w:val="20"/>
        </w:rPr>
        <w:t>are</w:t>
      </w:r>
      <w:r>
        <w:rPr>
          <w:color w:val="231F20"/>
          <w:spacing w:val="-11"/>
          <w:sz w:val="20"/>
        </w:rPr>
        <w:t xml:space="preserve"> </w:t>
      </w:r>
      <w:r>
        <w:rPr>
          <w:color w:val="231F20"/>
          <w:sz w:val="20"/>
        </w:rPr>
        <w:t>often</w:t>
      </w:r>
      <w:r>
        <w:rPr>
          <w:color w:val="231F20"/>
          <w:spacing w:val="-12"/>
          <w:sz w:val="20"/>
        </w:rPr>
        <w:t xml:space="preserve"> </w:t>
      </w:r>
      <w:r>
        <w:rPr>
          <w:color w:val="231F20"/>
          <w:spacing w:val="-3"/>
          <w:sz w:val="20"/>
        </w:rPr>
        <w:t>wrongly</w:t>
      </w:r>
      <w:r>
        <w:rPr>
          <w:color w:val="231F20"/>
          <w:spacing w:val="-11"/>
          <w:sz w:val="20"/>
        </w:rPr>
        <w:t xml:space="preserve"> </w:t>
      </w:r>
      <w:r>
        <w:rPr>
          <w:color w:val="231F20"/>
          <w:sz w:val="20"/>
        </w:rPr>
        <w:t>identified</w:t>
      </w:r>
      <w:r>
        <w:rPr>
          <w:color w:val="231F20"/>
          <w:spacing w:val="-11"/>
          <w:sz w:val="20"/>
        </w:rPr>
        <w:t xml:space="preserve"> </w:t>
      </w:r>
      <w:r>
        <w:rPr>
          <w:color w:val="231F20"/>
          <w:spacing w:val="-3"/>
          <w:sz w:val="20"/>
        </w:rPr>
        <w:t>by</w:t>
      </w:r>
      <w:r>
        <w:rPr>
          <w:color w:val="231F20"/>
          <w:spacing w:val="-11"/>
          <w:sz w:val="20"/>
        </w:rPr>
        <w:t xml:space="preserve"> </w:t>
      </w:r>
      <w:r>
        <w:rPr>
          <w:color w:val="231F20"/>
          <w:sz w:val="20"/>
        </w:rPr>
        <w:t>police as perpetrators of</w:t>
      </w:r>
      <w:r>
        <w:rPr>
          <w:color w:val="231F20"/>
          <w:spacing w:val="-13"/>
          <w:sz w:val="20"/>
        </w:rPr>
        <w:t xml:space="preserve"> </w:t>
      </w:r>
      <w:r>
        <w:rPr>
          <w:color w:val="231F20"/>
          <w:sz w:val="20"/>
        </w:rPr>
        <w:t>violence.</w:t>
      </w:r>
      <w:r>
        <w:rPr>
          <w:color w:val="231F20"/>
          <w:position w:val="7"/>
          <w:sz w:val="11"/>
        </w:rPr>
        <w:t>109</w:t>
      </w:r>
    </w:p>
    <w:p w14:paraId="2B6EE99A" w14:textId="77777777" w:rsidR="00894070" w:rsidRDefault="009B7AFD">
      <w:pPr>
        <w:pStyle w:val="ListParagraph"/>
        <w:numPr>
          <w:ilvl w:val="1"/>
          <w:numId w:val="177"/>
        </w:numPr>
        <w:tabs>
          <w:tab w:val="left" w:pos="1801"/>
          <w:tab w:val="left" w:pos="1802"/>
        </w:tabs>
        <w:spacing w:before="124" w:line="206" w:lineRule="auto"/>
        <w:ind w:right="1244"/>
        <w:rPr>
          <w:sz w:val="11"/>
        </w:rPr>
      </w:pPr>
      <w:r>
        <w:rPr>
          <w:color w:val="231F20"/>
          <w:sz w:val="20"/>
        </w:rPr>
        <w:t xml:space="preserve">There is little data on Aboriginal </w:t>
      </w:r>
      <w:r>
        <w:rPr>
          <w:color w:val="231F20"/>
          <w:spacing w:val="-3"/>
          <w:sz w:val="20"/>
        </w:rPr>
        <w:t xml:space="preserve">people’s </w:t>
      </w:r>
      <w:r>
        <w:rPr>
          <w:color w:val="231F20"/>
          <w:sz w:val="20"/>
        </w:rPr>
        <w:t xml:space="preserve">experience of stalking, but it is </w:t>
      </w:r>
      <w:r>
        <w:rPr>
          <w:color w:val="231F20"/>
          <w:spacing w:val="-3"/>
          <w:sz w:val="20"/>
        </w:rPr>
        <w:t xml:space="preserve">likely </w:t>
      </w:r>
      <w:r>
        <w:rPr>
          <w:color w:val="231F20"/>
          <w:sz w:val="20"/>
        </w:rPr>
        <w:t xml:space="preserve">that Aboriginal women and girls experience higher </w:t>
      </w:r>
      <w:r>
        <w:rPr>
          <w:color w:val="231F20"/>
          <w:spacing w:val="-3"/>
          <w:sz w:val="20"/>
        </w:rPr>
        <w:t xml:space="preserve">rates </w:t>
      </w:r>
      <w:r>
        <w:rPr>
          <w:color w:val="231F20"/>
          <w:sz w:val="20"/>
        </w:rPr>
        <w:t xml:space="preserve">and more extreme </w:t>
      </w:r>
      <w:r>
        <w:rPr>
          <w:color w:val="231F20"/>
          <w:spacing w:val="-3"/>
          <w:sz w:val="20"/>
        </w:rPr>
        <w:t xml:space="preserve">forms </w:t>
      </w:r>
      <w:r>
        <w:rPr>
          <w:color w:val="231F20"/>
          <w:sz w:val="20"/>
        </w:rPr>
        <w:t>of stalking</w:t>
      </w:r>
      <w:r>
        <w:rPr>
          <w:color w:val="231F20"/>
          <w:spacing w:val="-10"/>
          <w:sz w:val="20"/>
        </w:rPr>
        <w:t xml:space="preserve"> </w:t>
      </w:r>
      <w:r>
        <w:rPr>
          <w:color w:val="231F20"/>
          <w:sz w:val="20"/>
        </w:rPr>
        <w:t>than</w:t>
      </w:r>
      <w:r>
        <w:rPr>
          <w:color w:val="231F20"/>
          <w:spacing w:val="-10"/>
          <w:sz w:val="20"/>
        </w:rPr>
        <w:t xml:space="preserve"> </w:t>
      </w:r>
      <w:r>
        <w:rPr>
          <w:color w:val="231F20"/>
          <w:sz w:val="20"/>
        </w:rPr>
        <w:t>non-Indigenous</w:t>
      </w:r>
      <w:r>
        <w:rPr>
          <w:color w:val="231F20"/>
          <w:spacing w:val="-10"/>
          <w:sz w:val="20"/>
        </w:rPr>
        <w:t xml:space="preserve"> </w:t>
      </w:r>
      <w:r>
        <w:rPr>
          <w:color w:val="231F20"/>
          <w:sz w:val="20"/>
        </w:rPr>
        <w:t>women.</w:t>
      </w:r>
      <w:r>
        <w:rPr>
          <w:color w:val="231F20"/>
          <w:position w:val="7"/>
          <w:sz w:val="11"/>
        </w:rPr>
        <w:t>110</w:t>
      </w:r>
      <w:r>
        <w:rPr>
          <w:color w:val="231F20"/>
          <w:spacing w:val="14"/>
          <w:position w:val="7"/>
          <w:sz w:val="11"/>
        </w:rPr>
        <w:t xml:space="preserve"> </w:t>
      </w:r>
      <w:r>
        <w:rPr>
          <w:color w:val="231F20"/>
          <w:sz w:val="20"/>
        </w:rPr>
        <w:t>While</w:t>
      </w:r>
      <w:r>
        <w:rPr>
          <w:color w:val="231F20"/>
          <w:spacing w:val="-10"/>
          <w:sz w:val="20"/>
        </w:rPr>
        <w:t xml:space="preserve"> </w:t>
      </w:r>
      <w:r>
        <w:rPr>
          <w:color w:val="231F20"/>
          <w:sz w:val="20"/>
        </w:rPr>
        <w:t>Aboriginal</w:t>
      </w:r>
      <w:r>
        <w:rPr>
          <w:color w:val="231F20"/>
          <w:spacing w:val="-10"/>
          <w:sz w:val="20"/>
        </w:rPr>
        <w:t xml:space="preserve"> </w:t>
      </w:r>
      <w:r>
        <w:rPr>
          <w:color w:val="231F20"/>
          <w:sz w:val="20"/>
        </w:rPr>
        <w:t>people</w:t>
      </w:r>
      <w:r>
        <w:rPr>
          <w:color w:val="231F20"/>
          <w:spacing w:val="-10"/>
          <w:sz w:val="20"/>
        </w:rPr>
        <w:t xml:space="preserve"> </w:t>
      </w:r>
      <w:r>
        <w:rPr>
          <w:color w:val="231F20"/>
          <w:sz w:val="20"/>
        </w:rPr>
        <w:t>make</w:t>
      </w:r>
      <w:r>
        <w:rPr>
          <w:color w:val="231F20"/>
          <w:spacing w:val="-10"/>
          <w:sz w:val="20"/>
        </w:rPr>
        <w:t xml:space="preserve"> </w:t>
      </w:r>
      <w:r>
        <w:rPr>
          <w:color w:val="231F20"/>
          <w:sz w:val="20"/>
        </w:rPr>
        <w:t>up</w:t>
      </w:r>
      <w:r>
        <w:rPr>
          <w:color w:val="231F20"/>
          <w:spacing w:val="-10"/>
          <w:sz w:val="20"/>
        </w:rPr>
        <w:t xml:space="preserve"> </w:t>
      </w:r>
      <w:r>
        <w:rPr>
          <w:color w:val="231F20"/>
          <w:spacing w:val="-3"/>
          <w:sz w:val="20"/>
        </w:rPr>
        <w:t>roughly</w:t>
      </w:r>
      <w:r>
        <w:rPr>
          <w:color w:val="231F20"/>
          <w:spacing w:val="-10"/>
          <w:sz w:val="20"/>
        </w:rPr>
        <w:t xml:space="preserve"> </w:t>
      </w:r>
      <w:r>
        <w:rPr>
          <w:color w:val="231F20"/>
          <w:sz w:val="20"/>
        </w:rPr>
        <w:t xml:space="preserve">one per cent of </w:t>
      </w:r>
      <w:r>
        <w:rPr>
          <w:color w:val="231F20"/>
          <w:spacing w:val="-3"/>
          <w:sz w:val="20"/>
        </w:rPr>
        <w:t xml:space="preserve">Victoria’s </w:t>
      </w:r>
      <w:r>
        <w:rPr>
          <w:color w:val="231F20"/>
          <w:sz w:val="20"/>
        </w:rPr>
        <w:t>population,</w:t>
      </w:r>
      <w:r>
        <w:rPr>
          <w:color w:val="231F20"/>
          <w:position w:val="7"/>
          <w:sz w:val="11"/>
        </w:rPr>
        <w:t xml:space="preserve">111 </w:t>
      </w:r>
      <w:r>
        <w:rPr>
          <w:color w:val="231F20"/>
          <w:sz w:val="20"/>
        </w:rPr>
        <w:t xml:space="preserve">2.2 per cent of people who </w:t>
      </w:r>
      <w:r>
        <w:rPr>
          <w:color w:val="231F20"/>
          <w:spacing w:val="-4"/>
          <w:sz w:val="20"/>
        </w:rPr>
        <w:t xml:space="preserve">were </w:t>
      </w:r>
      <w:r>
        <w:rPr>
          <w:color w:val="231F20"/>
          <w:sz w:val="20"/>
        </w:rPr>
        <w:t xml:space="preserve">reported to </w:t>
      </w:r>
      <w:r>
        <w:rPr>
          <w:color w:val="231F20"/>
          <w:spacing w:val="-4"/>
          <w:sz w:val="20"/>
        </w:rPr>
        <w:t xml:space="preserve">have </w:t>
      </w:r>
      <w:r>
        <w:rPr>
          <w:color w:val="231F20"/>
          <w:sz w:val="20"/>
        </w:rPr>
        <w:t>experienced</w:t>
      </w:r>
      <w:r>
        <w:rPr>
          <w:color w:val="231F20"/>
          <w:spacing w:val="-6"/>
          <w:sz w:val="20"/>
        </w:rPr>
        <w:t xml:space="preserve"> </w:t>
      </w:r>
      <w:r>
        <w:rPr>
          <w:color w:val="231F20"/>
          <w:sz w:val="20"/>
        </w:rPr>
        <w:t>stalking</w:t>
      </w:r>
      <w:r>
        <w:rPr>
          <w:color w:val="231F20"/>
          <w:spacing w:val="-5"/>
          <w:sz w:val="20"/>
        </w:rPr>
        <w:t xml:space="preserve"> </w:t>
      </w:r>
      <w:r>
        <w:rPr>
          <w:color w:val="231F20"/>
          <w:sz w:val="20"/>
        </w:rPr>
        <w:t>in</w:t>
      </w:r>
      <w:r>
        <w:rPr>
          <w:color w:val="231F20"/>
          <w:spacing w:val="-6"/>
          <w:sz w:val="20"/>
        </w:rPr>
        <w:t xml:space="preserve"> </w:t>
      </w:r>
      <w:r>
        <w:rPr>
          <w:color w:val="231F20"/>
          <w:sz w:val="20"/>
        </w:rPr>
        <w:t>Victoria</w:t>
      </w:r>
      <w:r>
        <w:rPr>
          <w:color w:val="231F20"/>
          <w:spacing w:val="-5"/>
          <w:sz w:val="20"/>
        </w:rPr>
        <w:t xml:space="preserve"> </w:t>
      </w:r>
      <w:r>
        <w:rPr>
          <w:color w:val="231F20"/>
          <w:sz w:val="20"/>
        </w:rPr>
        <w:t>between</w:t>
      </w:r>
      <w:r>
        <w:rPr>
          <w:color w:val="231F20"/>
          <w:spacing w:val="-6"/>
          <w:sz w:val="20"/>
        </w:rPr>
        <w:t xml:space="preserve"> </w:t>
      </w:r>
      <w:r>
        <w:rPr>
          <w:color w:val="231F20"/>
          <w:spacing w:val="-3"/>
          <w:sz w:val="20"/>
        </w:rPr>
        <w:t>2016</w:t>
      </w:r>
      <w:r>
        <w:rPr>
          <w:color w:val="231F20"/>
          <w:spacing w:val="-5"/>
          <w:sz w:val="20"/>
        </w:rPr>
        <w:t xml:space="preserve"> </w:t>
      </w:r>
      <w:r>
        <w:rPr>
          <w:color w:val="231F20"/>
          <w:sz w:val="20"/>
        </w:rPr>
        <w:t>and</w:t>
      </w:r>
      <w:r>
        <w:rPr>
          <w:color w:val="231F20"/>
          <w:spacing w:val="-5"/>
          <w:sz w:val="20"/>
        </w:rPr>
        <w:t xml:space="preserve"> </w:t>
      </w:r>
      <w:r>
        <w:rPr>
          <w:color w:val="231F20"/>
          <w:spacing w:val="-3"/>
          <w:sz w:val="20"/>
        </w:rPr>
        <w:t>2018</w:t>
      </w:r>
      <w:r>
        <w:rPr>
          <w:color w:val="231F20"/>
          <w:spacing w:val="-6"/>
          <w:sz w:val="20"/>
        </w:rPr>
        <w:t xml:space="preserve"> </w:t>
      </w:r>
      <w:r>
        <w:rPr>
          <w:color w:val="231F20"/>
          <w:spacing w:val="-4"/>
          <w:sz w:val="20"/>
        </w:rPr>
        <w:t>were</w:t>
      </w:r>
      <w:r>
        <w:rPr>
          <w:color w:val="231F20"/>
          <w:spacing w:val="-5"/>
          <w:sz w:val="20"/>
        </w:rPr>
        <w:t xml:space="preserve"> </w:t>
      </w:r>
      <w:r>
        <w:rPr>
          <w:color w:val="231F20"/>
          <w:sz w:val="20"/>
        </w:rPr>
        <w:t>Aboriginal.</w:t>
      </w:r>
      <w:r>
        <w:rPr>
          <w:color w:val="231F20"/>
          <w:position w:val="7"/>
          <w:sz w:val="11"/>
        </w:rPr>
        <w:t>112</w:t>
      </w:r>
    </w:p>
    <w:p w14:paraId="5904915C" w14:textId="77777777" w:rsidR="00894070" w:rsidRDefault="00894070">
      <w:pPr>
        <w:pStyle w:val="BodyText"/>
      </w:pPr>
    </w:p>
    <w:p w14:paraId="1F495D27" w14:textId="77777777" w:rsidR="00894070" w:rsidRDefault="00894070">
      <w:pPr>
        <w:pStyle w:val="BodyText"/>
      </w:pPr>
    </w:p>
    <w:p w14:paraId="5C8755C4" w14:textId="77777777" w:rsidR="00894070" w:rsidRDefault="009F6793">
      <w:pPr>
        <w:pStyle w:val="BodyText"/>
        <w:spacing w:before="7"/>
        <w:rPr>
          <w:sz w:val="22"/>
        </w:rPr>
      </w:pPr>
      <w:r>
        <w:pict w14:anchorId="1ED0C9A6">
          <v:line id="_x0000_s1644" style="position:absolute;z-index:251447296;mso-wrap-distance-left:0;mso-wrap-distance-right:0;mso-position-horizontal-relative:page" from="79.35pt,18.1pt" to="515.9pt,18.1pt" strokecolor="#f8cabc" strokeweight="1pt">
            <w10:wrap type="topAndBottom" anchorx="page"/>
          </v:line>
        </w:pict>
      </w:r>
    </w:p>
    <w:p w14:paraId="4EF22DAC" w14:textId="77777777" w:rsidR="00894070" w:rsidRDefault="009B7AFD">
      <w:pPr>
        <w:pStyle w:val="ListParagraph"/>
        <w:numPr>
          <w:ilvl w:val="0"/>
          <w:numId w:val="166"/>
        </w:numPr>
        <w:tabs>
          <w:tab w:val="left" w:pos="1800"/>
          <w:tab w:val="left" w:pos="1802"/>
        </w:tabs>
        <w:spacing w:before="91" w:line="17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 Commissioner); Consultation 8 (</w:t>
      </w:r>
      <w:proofErr w:type="spellStart"/>
      <w:r>
        <w:rPr>
          <w:color w:val="231F20"/>
          <w:sz w:val="13"/>
        </w:rPr>
        <w:t>eSafety</w:t>
      </w:r>
      <w:proofErr w:type="spellEnd"/>
      <w:r>
        <w:rPr>
          <w:color w:val="231F20"/>
          <w:spacing w:val="-2"/>
          <w:sz w:val="13"/>
        </w:rPr>
        <w:t xml:space="preserve"> </w:t>
      </w:r>
      <w:r>
        <w:rPr>
          <w:color w:val="231F20"/>
          <w:sz w:val="13"/>
        </w:rPr>
        <w:t>Commissioner).</w:t>
      </w:r>
    </w:p>
    <w:p w14:paraId="3BCF07C9" w14:textId="77777777" w:rsidR="00894070" w:rsidRDefault="009B7AFD">
      <w:pPr>
        <w:pStyle w:val="ListParagraph"/>
        <w:numPr>
          <w:ilvl w:val="0"/>
          <w:numId w:val="166"/>
        </w:numPr>
        <w:tabs>
          <w:tab w:val="left" w:pos="1800"/>
          <w:tab w:val="left" w:pos="1802"/>
        </w:tabs>
        <w:spacing w:line="160" w:lineRule="exact"/>
        <w:rPr>
          <w:sz w:val="13"/>
        </w:rPr>
      </w:pPr>
      <w:r>
        <w:rPr>
          <w:color w:val="231F20"/>
          <w:spacing w:val="2"/>
          <w:sz w:val="13"/>
        </w:rPr>
        <w:t xml:space="preserve">Submission </w:t>
      </w:r>
      <w:r>
        <w:rPr>
          <w:color w:val="231F20"/>
          <w:sz w:val="13"/>
        </w:rPr>
        <w:t>41</w:t>
      </w:r>
      <w:r>
        <w:rPr>
          <w:color w:val="231F20"/>
          <w:spacing w:val="-3"/>
          <w:sz w:val="13"/>
        </w:rPr>
        <w:t xml:space="preserve"> </w:t>
      </w:r>
      <w:r>
        <w:rPr>
          <w:color w:val="231F20"/>
          <w:sz w:val="13"/>
        </w:rPr>
        <w:t>(</w:t>
      </w:r>
      <w:proofErr w:type="spellStart"/>
      <w:r>
        <w:rPr>
          <w:color w:val="231F20"/>
          <w:sz w:val="13"/>
        </w:rPr>
        <w:t>Djirra</w:t>
      </w:r>
      <w:proofErr w:type="spellEnd"/>
      <w:r>
        <w:rPr>
          <w:color w:val="231F20"/>
          <w:sz w:val="13"/>
        </w:rPr>
        <w:t>).</w:t>
      </w:r>
    </w:p>
    <w:p w14:paraId="106A7DDE" w14:textId="77777777" w:rsidR="00894070" w:rsidRDefault="009B7AFD">
      <w:pPr>
        <w:pStyle w:val="ListParagraph"/>
        <w:numPr>
          <w:ilvl w:val="0"/>
          <w:numId w:val="166"/>
        </w:numPr>
        <w:tabs>
          <w:tab w:val="left" w:pos="1801"/>
          <w:tab w:val="left" w:pos="1802"/>
        </w:tabs>
        <w:spacing w:before="6" w:line="213" w:lineRule="auto"/>
        <w:ind w:right="1264"/>
        <w:jc w:val="both"/>
        <w:rPr>
          <w:sz w:val="13"/>
        </w:rPr>
      </w:pPr>
      <w:r>
        <w:rPr>
          <w:color w:val="231F20"/>
          <w:sz w:val="13"/>
        </w:rPr>
        <w:t xml:space="preserve">See generally K Cripps et </w:t>
      </w:r>
      <w:r>
        <w:rPr>
          <w:color w:val="231F20"/>
          <w:spacing w:val="2"/>
          <w:sz w:val="13"/>
        </w:rPr>
        <w:t xml:space="preserve">al, </w:t>
      </w:r>
      <w:r>
        <w:rPr>
          <w:i/>
          <w:color w:val="231F20"/>
          <w:sz w:val="13"/>
        </w:rPr>
        <w:t xml:space="preserve">Attitudes towards Violence against Women and </w:t>
      </w:r>
      <w:r>
        <w:rPr>
          <w:i/>
          <w:color w:val="231F20"/>
          <w:spacing w:val="2"/>
          <w:sz w:val="13"/>
        </w:rPr>
        <w:t xml:space="preserve">Gender </w:t>
      </w:r>
      <w:r>
        <w:rPr>
          <w:i/>
          <w:color w:val="231F20"/>
          <w:sz w:val="13"/>
        </w:rPr>
        <w:t xml:space="preserve">Equality among Aboriginal People and Torres Strait Islanders—Findings from the 2017 National Community Attitudes towards Violence against Women Survey (NCAS) </w:t>
      </w:r>
      <w:r>
        <w:rPr>
          <w:color w:val="231F20"/>
          <w:sz w:val="13"/>
        </w:rPr>
        <w:t xml:space="preserve">(ANROWS Insights No </w:t>
      </w:r>
      <w:r>
        <w:rPr>
          <w:color w:val="231F20"/>
          <w:spacing w:val="2"/>
          <w:sz w:val="13"/>
        </w:rPr>
        <w:t xml:space="preserve">3, </w:t>
      </w:r>
      <w:r>
        <w:rPr>
          <w:color w:val="231F20"/>
          <w:sz w:val="13"/>
        </w:rPr>
        <w:t xml:space="preserve">2019) </w:t>
      </w:r>
      <w:proofErr w:type="gramStart"/>
      <w:r>
        <w:rPr>
          <w:color w:val="231F20"/>
          <w:sz w:val="13"/>
        </w:rPr>
        <w:t>10</w:t>
      </w:r>
      <w:r>
        <w:rPr>
          <w:color w:val="231F20"/>
          <w:spacing w:val="-2"/>
          <w:sz w:val="13"/>
        </w:rPr>
        <w:t xml:space="preserve"> </w:t>
      </w:r>
      <w:r>
        <w:rPr>
          <w:color w:val="231F20"/>
          <w:sz w:val="13"/>
        </w:rPr>
        <w:t>.</w:t>
      </w:r>
      <w:proofErr w:type="gramEnd"/>
    </w:p>
    <w:p w14:paraId="606B6AF0" w14:textId="77777777" w:rsidR="00894070" w:rsidRDefault="009B7AFD">
      <w:pPr>
        <w:pStyle w:val="ListParagraph"/>
        <w:numPr>
          <w:ilvl w:val="0"/>
          <w:numId w:val="166"/>
        </w:numPr>
        <w:tabs>
          <w:tab w:val="left" w:pos="1801"/>
          <w:tab w:val="left" w:pos="1802"/>
        </w:tabs>
        <w:spacing w:line="213" w:lineRule="auto"/>
        <w:ind w:right="1305"/>
        <w:rPr>
          <w:sz w:val="13"/>
        </w:rPr>
      </w:pPr>
      <w:r>
        <w:rPr>
          <w:color w:val="231F20"/>
          <w:spacing w:val="2"/>
          <w:sz w:val="13"/>
        </w:rPr>
        <w:t xml:space="preserve">Based </w:t>
      </w:r>
      <w:r>
        <w:rPr>
          <w:color w:val="231F20"/>
          <w:sz w:val="13"/>
        </w:rPr>
        <w:t xml:space="preserve">on figures in Australian Bureau of </w:t>
      </w:r>
      <w:r>
        <w:rPr>
          <w:color w:val="231F20"/>
          <w:spacing w:val="2"/>
          <w:sz w:val="13"/>
        </w:rPr>
        <w:t xml:space="preserve">Statistics, </w:t>
      </w:r>
      <w:r>
        <w:rPr>
          <w:i/>
          <w:color w:val="231F20"/>
          <w:sz w:val="13"/>
        </w:rPr>
        <w:t xml:space="preserve">Estimates of Aboriginal and Torres Strait Islander Australians </w:t>
      </w:r>
      <w:r>
        <w:rPr>
          <w:color w:val="231F20"/>
          <w:sz w:val="13"/>
        </w:rPr>
        <w:t>(Web Page, 31 August 2018</w:t>
      </w:r>
      <w:hyperlink r:id="rId64">
        <w:r>
          <w:rPr>
            <w:color w:val="231F20"/>
            <w:sz w:val="13"/>
          </w:rPr>
          <w:t>) &lt;https://www.abs.gov.au/statistics/people/aboriginal-and-torres-strait-islander-peoples/estimates-aboriginal-</w:t>
        </w:r>
      </w:hyperlink>
      <w:hyperlink r:id="rId65">
        <w:r>
          <w:rPr>
            <w:color w:val="231F20"/>
            <w:sz w:val="13"/>
          </w:rPr>
          <w:t xml:space="preserve"> and-</w:t>
        </w:r>
        <w:proofErr w:type="spellStart"/>
        <w:r>
          <w:rPr>
            <w:color w:val="231F20"/>
            <w:sz w:val="13"/>
          </w:rPr>
          <w:t>torres</w:t>
        </w:r>
        <w:proofErr w:type="spellEnd"/>
        <w:r>
          <w:rPr>
            <w:color w:val="231F20"/>
            <w:sz w:val="13"/>
          </w:rPr>
          <w:t>-strait-islander-</w:t>
        </w:r>
        <w:proofErr w:type="spellStart"/>
        <w:r>
          <w:rPr>
            <w:color w:val="231F20"/>
            <w:sz w:val="13"/>
          </w:rPr>
          <w:t>australians</w:t>
        </w:r>
        <w:proofErr w:type="spellEnd"/>
        <w:r>
          <w:rPr>
            <w:color w:val="231F20"/>
            <w:sz w:val="13"/>
          </w:rPr>
          <w:t>/latest-release</w:t>
        </w:r>
      </w:hyperlink>
      <w:r>
        <w:rPr>
          <w:color w:val="231F20"/>
          <w:sz w:val="13"/>
        </w:rPr>
        <w:t>&gt;.</w:t>
      </w:r>
    </w:p>
    <w:p w14:paraId="13F2695C" w14:textId="77777777" w:rsidR="00894070" w:rsidRDefault="009F6793">
      <w:pPr>
        <w:pStyle w:val="ListParagraph"/>
        <w:numPr>
          <w:ilvl w:val="0"/>
          <w:numId w:val="166"/>
        </w:numPr>
        <w:tabs>
          <w:tab w:val="left" w:pos="1800"/>
          <w:tab w:val="left" w:pos="1802"/>
        </w:tabs>
        <w:spacing w:line="213" w:lineRule="auto"/>
        <w:ind w:right="1322"/>
        <w:rPr>
          <w:sz w:val="13"/>
        </w:rPr>
      </w:pPr>
      <w:r>
        <w:pict w14:anchorId="4AD4988E">
          <v:shape id="_x0000_s1643" type="#_x0000_t202" style="position:absolute;left:0;text-align:left;margin-left:36pt;margin-top:3.4pt;width:13.65pt;height:14.1pt;z-index:251517952;mso-position-horizontal-relative:page" filled="f" stroked="f">
            <v:textbox inset="0,0,0,0">
              <w:txbxContent>
                <w:p w14:paraId="00732CBC" w14:textId="77777777" w:rsidR="00894070" w:rsidRDefault="009B7AFD">
                  <w:pPr>
                    <w:spacing w:line="282" w:lineRule="exact"/>
                    <w:rPr>
                      <w:b/>
                      <w:sz w:val="24"/>
                    </w:rPr>
                  </w:pPr>
                  <w:r>
                    <w:rPr>
                      <w:b/>
                      <w:color w:val="EA5B50"/>
                      <w:sz w:val="24"/>
                    </w:rPr>
                    <w:t>24</w:t>
                  </w:r>
                </w:p>
              </w:txbxContent>
            </v:textbox>
            <w10:wrap anchorx="page"/>
          </v:shape>
        </w:pict>
      </w:r>
      <w:r w:rsidR="009B7AFD">
        <w:rPr>
          <w:color w:val="231F20"/>
          <w:sz w:val="13"/>
        </w:rPr>
        <w:t xml:space="preserve">Sarah Bright, Lauren Barnaba and </w:t>
      </w:r>
      <w:r w:rsidR="009B7AFD">
        <w:rPr>
          <w:color w:val="231F20"/>
          <w:spacing w:val="2"/>
          <w:sz w:val="13"/>
        </w:rPr>
        <w:t xml:space="preserve">Melanie </w:t>
      </w:r>
      <w:proofErr w:type="spellStart"/>
      <w:r w:rsidR="009B7AFD">
        <w:rPr>
          <w:color w:val="231F20"/>
          <w:spacing w:val="2"/>
          <w:sz w:val="13"/>
        </w:rPr>
        <w:t>Millsteed</w:t>
      </w:r>
      <w:proofErr w:type="spellEnd"/>
      <w:r w:rsidR="009B7AFD">
        <w:rPr>
          <w:color w:val="231F20"/>
          <w:spacing w:val="2"/>
          <w:sz w:val="13"/>
        </w:rPr>
        <w:t xml:space="preserve">, </w:t>
      </w:r>
      <w:r w:rsidR="009B7AFD">
        <w:rPr>
          <w:i/>
          <w:color w:val="231F20"/>
          <w:sz w:val="13"/>
        </w:rPr>
        <w:t xml:space="preserve">Attrition of Stalking Offence </w:t>
      </w:r>
      <w:r w:rsidR="009B7AFD">
        <w:rPr>
          <w:i/>
          <w:color w:val="231F20"/>
          <w:spacing w:val="2"/>
          <w:sz w:val="13"/>
        </w:rPr>
        <w:t xml:space="preserve">Incidents </w:t>
      </w:r>
      <w:r w:rsidR="009B7AFD">
        <w:rPr>
          <w:i/>
          <w:color w:val="231F20"/>
          <w:sz w:val="13"/>
        </w:rPr>
        <w:t xml:space="preserve">through the Victorian Criminal Justice System </w:t>
      </w:r>
      <w:r w:rsidR="009B7AFD">
        <w:rPr>
          <w:color w:val="231F20"/>
          <w:sz w:val="13"/>
        </w:rPr>
        <w:t>(Data Snapshot, Crime Statistics Agency,</w:t>
      </w:r>
      <w:r w:rsidR="009B7AFD">
        <w:rPr>
          <w:color w:val="231F20"/>
          <w:spacing w:val="4"/>
          <w:sz w:val="13"/>
        </w:rPr>
        <w:t xml:space="preserve"> </w:t>
      </w:r>
      <w:r w:rsidR="009B7AFD">
        <w:rPr>
          <w:color w:val="231F20"/>
          <w:sz w:val="13"/>
        </w:rPr>
        <w:t>forthcoming).</w:t>
      </w:r>
    </w:p>
    <w:p w14:paraId="55C09EAD" w14:textId="77777777" w:rsidR="00894070" w:rsidRDefault="00894070">
      <w:pPr>
        <w:spacing w:line="213" w:lineRule="auto"/>
        <w:rPr>
          <w:sz w:val="13"/>
        </w:rPr>
        <w:sectPr w:rsidR="00894070">
          <w:pgSz w:w="11910" w:h="16840"/>
          <w:pgMar w:top="860" w:right="420" w:bottom="280" w:left="580" w:header="567" w:footer="0" w:gutter="0"/>
          <w:cols w:space="720"/>
        </w:sectPr>
      </w:pPr>
    </w:p>
    <w:p w14:paraId="59942BC9" w14:textId="77777777" w:rsidR="00894070" w:rsidRDefault="00894070">
      <w:pPr>
        <w:pStyle w:val="BodyText"/>
      </w:pPr>
    </w:p>
    <w:p w14:paraId="2460AF2A" w14:textId="77777777" w:rsidR="00894070" w:rsidRDefault="00894070">
      <w:pPr>
        <w:pStyle w:val="BodyText"/>
      </w:pPr>
    </w:p>
    <w:p w14:paraId="2C2C9C60" w14:textId="77777777" w:rsidR="00894070" w:rsidRDefault="00894070">
      <w:pPr>
        <w:pStyle w:val="BodyText"/>
      </w:pPr>
    </w:p>
    <w:p w14:paraId="4677D89B" w14:textId="77777777" w:rsidR="00894070" w:rsidRDefault="00894070">
      <w:pPr>
        <w:pStyle w:val="BodyText"/>
        <w:spacing w:before="6"/>
        <w:rPr>
          <w:sz w:val="14"/>
        </w:rPr>
      </w:pPr>
    </w:p>
    <w:p w14:paraId="7EBD81F4" w14:textId="77777777" w:rsidR="00894070" w:rsidRDefault="009B7AFD">
      <w:pPr>
        <w:pStyle w:val="ListParagraph"/>
        <w:numPr>
          <w:ilvl w:val="1"/>
          <w:numId w:val="177"/>
        </w:numPr>
        <w:tabs>
          <w:tab w:val="left" w:pos="1801"/>
          <w:tab w:val="left" w:pos="1802"/>
        </w:tabs>
        <w:spacing w:before="90" w:line="206" w:lineRule="auto"/>
        <w:ind w:right="1337"/>
        <w:rPr>
          <w:sz w:val="20"/>
        </w:rPr>
      </w:pPr>
      <w:r>
        <w:rPr>
          <w:color w:val="231F20"/>
          <w:sz w:val="20"/>
        </w:rPr>
        <w:t>One-fifth</w:t>
      </w:r>
      <w:r>
        <w:rPr>
          <w:color w:val="231F20"/>
          <w:spacing w:val="-6"/>
          <w:sz w:val="20"/>
        </w:rPr>
        <w:t xml:space="preserve"> </w:t>
      </w:r>
      <w:r>
        <w:rPr>
          <w:color w:val="231F20"/>
          <w:sz w:val="20"/>
        </w:rPr>
        <w:t>of</w:t>
      </w:r>
      <w:r>
        <w:rPr>
          <w:color w:val="231F20"/>
          <w:spacing w:val="-5"/>
          <w:sz w:val="20"/>
        </w:rPr>
        <w:t xml:space="preserve"> </w:t>
      </w:r>
      <w:r>
        <w:rPr>
          <w:color w:val="231F20"/>
          <w:sz w:val="20"/>
        </w:rPr>
        <w:t>all</w:t>
      </w:r>
      <w:r>
        <w:rPr>
          <w:color w:val="231F20"/>
          <w:spacing w:val="-6"/>
          <w:sz w:val="20"/>
        </w:rPr>
        <w:t xml:space="preserve"> </w:t>
      </w:r>
      <w:r>
        <w:rPr>
          <w:color w:val="231F20"/>
          <w:sz w:val="20"/>
        </w:rPr>
        <w:t>people</w:t>
      </w:r>
      <w:r>
        <w:rPr>
          <w:color w:val="231F20"/>
          <w:spacing w:val="-5"/>
          <w:sz w:val="20"/>
        </w:rPr>
        <w:t xml:space="preserve"> </w:t>
      </w:r>
      <w:r>
        <w:rPr>
          <w:color w:val="231F20"/>
          <w:spacing w:val="-3"/>
          <w:sz w:val="20"/>
        </w:rPr>
        <w:t>protected</w:t>
      </w:r>
      <w:r>
        <w:rPr>
          <w:color w:val="231F20"/>
          <w:spacing w:val="-6"/>
          <w:sz w:val="20"/>
        </w:rPr>
        <w:t xml:space="preserve"> </w:t>
      </w:r>
      <w:r>
        <w:rPr>
          <w:color w:val="231F20"/>
          <w:spacing w:val="-3"/>
          <w:sz w:val="20"/>
        </w:rPr>
        <w:t>by</w:t>
      </w:r>
      <w:r>
        <w:rPr>
          <w:color w:val="231F20"/>
          <w:spacing w:val="-5"/>
          <w:sz w:val="20"/>
        </w:rPr>
        <w:t xml:space="preserve"> </w:t>
      </w:r>
      <w:r>
        <w:rPr>
          <w:color w:val="231F20"/>
          <w:sz w:val="20"/>
        </w:rPr>
        <w:t>PSIOs</w:t>
      </w:r>
      <w:r>
        <w:rPr>
          <w:color w:val="231F20"/>
          <w:spacing w:val="-6"/>
          <w:sz w:val="20"/>
        </w:rPr>
        <w:t xml:space="preserve"> </w:t>
      </w:r>
      <w:r>
        <w:rPr>
          <w:color w:val="231F20"/>
          <w:sz w:val="20"/>
        </w:rPr>
        <w:t>made</w:t>
      </w:r>
      <w:r>
        <w:rPr>
          <w:color w:val="231F20"/>
          <w:spacing w:val="-5"/>
          <w:sz w:val="20"/>
        </w:rPr>
        <w:t xml:space="preserve"> </w:t>
      </w:r>
      <w:r>
        <w:rPr>
          <w:color w:val="231F20"/>
          <w:sz w:val="20"/>
        </w:rPr>
        <w:t>in</w:t>
      </w:r>
      <w:r>
        <w:rPr>
          <w:color w:val="231F20"/>
          <w:spacing w:val="-6"/>
          <w:sz w:val="20"/>
        </w:rPr>
        <w:t xml:space="preserve"> </w:t>
      </w:r>
      <w:r>
        <w:rPr>
          <w:color w:val="231F20"/>
          <w:sz w:val="20"/>
        </w:rPr>
        <w:t>the</w:t>
      </w:r>
      <w:r>
        <w:rPr>
          <w:color w:val="231F20"/>
          <w:spacing w:val="-5"/>
          <w:sz w:val="20"/>
        </w:rPr>
        <w:t xml:space="preserve"> </w:t>
      </w:r>
      <w:r>
        <w:rPr>
          <w:color w:val="231F20"/>
          <w:spacing w:val="-3"/>
          <w:sz w:val="20"/>
        </w:rPr>
        <w:t>Magistrates’</w:t>
      </w:r>
      <w:r>
        <w:rPr>
          <w:color w:val="231F20"/>
          <w:spacing w:val="-6"/>
          <w:sz w:val="20"/>
        </w:rPr>
        <w:t xml:space="preserve"> </w:t>
      </w:r>
      <w:r>
        <w:rPr>
          <w:color w:val="231F20"/>
          <w:sz w:val="20"/>
        </w:rPr>
        <w:t>Court</w:t>
      </w:r>
      <w:r>
        <w:rPr>
          <w:color w:val="231F20"/>
          <w:spacing w:val="-5"/>
          <w:sz w:val="20"/>
        </w:rPr>
        <w:t xml:space="preserve"> </w:t>
      </w:r>
      <w:r>
        <w:rPr>
          <w:color w:val="231F20"/>
          <w:spacing w:val="-3"/>
          <w:sz w:val="20"/>
        </w:rPr>
        <w:t>are</w:t>
      </w:r>
      <w:r>
        <w:rPr>
          <w:color w:val="231F20"/>
          <w:spacing w:val="-6"/>
          <w:sz w:val="20"/>
        </w:rPr>
        <w:t xml:space="preserve"> </w:t>
      </w:r>
      <w:r>
        <w:rPr>
          <w:color w:val="231F20"/>
          <w:spacing w:val="-3"/>
          <w:sz w:val="20"/>
        </w:rPr>
        <w:t xml:space="preserve">children </w:t>
      </w:r>
      <w:r>
        <w:rPr>
          <w:color w:val="231F20"/>
          <w:sz w:val="20"/>
        </w:rPr>
        <w:t>(though</w:t>
      </w:r>
      <w:r>
        <w:rPr>
          <w:color w:val="231F20"/>
          <w:spacing w:val="-7"/>
          <w:sz w:val="20"/>
        </w:rPr>
        <w:t xml:space="preserve"> </w:t>
      </w:r>
      <w:r>
        <w:rPr>
          <w:color w:val="231F20"/>
          <w:sz w:val="20"/>
        </w:rPr>
        <w:t>these</w:t>
      </w:r>
      <w:r>
        <w:rPr>
          <w:color w:val="231F20"/>
          <w:spacing w:val="-7"/>
          <w:sz w:val="20"/>
        </w:rPr>
        <w:t xml:space="preserve"> </w:t>
      </w:r>
      <w:r>
        <w:rPr>
          <w:color w:val="231F20"/>
          <w:spacing w:val="-3"/>
          <w:sz w:val="20"/>
        </w:rPr>
        <w:t>are</w:t>
      </w:r>
      <w:r>
        <w:rPr>
          <w:color w:val="231F20"/>
          <w:spacing w:val="-7"/>
          <w:sz w:val="20"/>
        </w:rPr>
        <w:t xml:space="preserve"> </w:t>
      </w:r>
      <w:r>
        <w:rPr>
          <w:color w:val="231F20"/>
          <w:sz w:val="20"/>
        </w:rPr>
        <w:t>not</w:t>
      </w:r>
      <w:r>
        <w:rPr>
          <w:color w:val="231F20"/>
          <w:spacing w:val="-7"/>
          <w:sz w:val="20"/>
        </w:rPr>
        <w:t xml:space="preserve"> </w:t>
      </w:r>
      <w:r>
        <w:rPr>
          <w:color w:val="231F20"/>
          <w:sz w:val="20"/>
        </w:rPr>
        <w:t>all</w:t>
      </w:r>
      <w:r>
        <w:rPr>
          <w:color w:val="231F20"/>
          <w:spacing w:val="-7"/>
          <w:sz w:val="20"/>
        </w:rPr>
        <w:t xml:space="preserve"> </w:t>
      </w:r>
      <w:r>
        <w:rPr>
          <w:color w:val="231F20"/>
          <w:sz w:val="20"/>
        </w:rPr>
        <w:t>stalking</w:t>
      </w:r>
      <w:r>
        <w:rPr>
          <w:color w:val="231F20"/>
          <w:spacing w:val="-7"/>
          <w:sz w:val="20"/>
        </w:rPr>
        <w:t xml:space="preserve"> </w:t>
      </w:r>
      <w:r>
        <w:rPr>
          <w:color w:val="231F20"/>
          <w:sz w:val="20"/>
        </w:rPr>
        <w:t>cases).</w:t>
      </w:r>
      <w:r>
        <w:rPr>
          <w:color w:val="231F20"/>
          <w:position w:val="7"/>
          <w:sz w:val="11"/>
        </w:rPr>
        <w:t>113</w:t>
      </w:r>
      <w:r>
        <w:rPr>
          <w:color w:val="231F20"/>
          <w:spacing w:val="17"/>
          <w:position w:val="7"/>
          <w:sz w:val="11"/>
        </w:rPr>
        <w:t xml:space="preserve"> </w:t>
      </w:r>
      <w:r>
        <w:rPr>
          <w:color w:val="231F20"/>
          <w:spacing w:val="-3"/>
          <w:sz w:val="20"/>
        </w:rPr>
        <w:t>Children</w:t>
      </w:r>
      <w:r>
        <w:rPr>
          <w:color w:val="231F20"/>
          <w:spacing w:val="-7"/>
          <w:sz w:val="20"/>
        </w:rPr>
        <w:t xml:space="preserve"> </w:t>
      </w:r>
      <w:r>
        <w:rPr>
          <w:color w:val="231F20"/>
          <w:sz w:val="20"/>
        </w:rPr>
        <w:t>and</w:t>
      </w:r>
      <w:r>
        <w:rPr>
          <w:color w:val="231F20"/>
          <w:spacing w:val="-7"/>
          <w:sz w:val="20"/>
        </w:rPr>
        <w:t xml:space="preserve"> </w:t>
      </w:r>
      <w:r>
        <w:rPr>
          <w:color w:val="231F20"/>
          <w:sz w:val="20"/>
        </w:rPr>
        <w:t>young</w:t>
      </w:r>
      <w:r>
        <w:rPr>
          <w:color w:val="231F20"/>
          <w:spacing w:val="-7"/>
          <w:sz w:val="20"/>
        </w:rPr>
        <w:t xml:space="preserve"> </w:t>
      </w:r>
      <w:r>
        <w:rPr>
          <w:color w:val="231F20"/>
          <w:sz w:val="20"/>
        </w:rPr>
        <w:t>people</w:t>
      </w:r>
      <w:r>
        <w:rPr>
          <w:color w:val="231F20"/>
          <w:spacing w:val="-6"/>
          <w:sz w:val="20"/>
        </w:rPr>
        <w:t xml:space="preserve"> </w:t>
      </w:r>
      <w:r>
        <w:rPr>
          <w:color w:val="231F20"/>
          <w:sz w:val="20"/>
        </w:rPr>
        <w:t>in</w:t>
      </w:r>
      <w:r>
        <w:rPr>
          <w:color w:val="231F20"/>
          <w:spacing w:val="-7"/>
          <w:sz w:val="20"/>
        </w:rPr>
        <w:t xml:space="preserve"> </w:t>
      </w:r>
      <w:r>
        <w:rPr>
          <w:color w:val="231F20"/>
          <w:sz w:val="20"/>
        </w:rPr>
        <w:t>regional</w:t>
      </w:r>
    </w:p>
    <w:p w14:paraId="472F7111" w14:textId="77777777" w:rsidR="00894070" w:rsidRDefault="009B7AFD">
      <w:pPr>
        <w:pStyle w:val="BodyText"/>
        <w:spacing w:line="229" w:lineRule="exact"/>
        <w:ind w:left="1801"/>
      </w:pPr>
      <w:r>
        <w:rPr>
          <w:color w:val="231F20"/>
        </w:rPr>
        <w:t>and rural areas are over-represented in PSIO Children’s Court applications, both as</w:t>
      </w:r>
    </w:p>
    <w:p w14:paraId="021163BC" w14:textId="77777777" w:rsidR="00894070" w:rsidRDefault="009B7AFD">
      <w:pPr>
        <w:pStyle w:val="BodyText"/>
        <w:spacing w:line="259" w:lineRule="exact"/>
        <w:ind w:left="1801"/>
        <w:rPr>
          <w:sz w:val="11"/>
        </w:rPr>
      </w:pPr>
      <w:r>
        <w:rPr>
          <w:color w:val="231F20"/>
        </w:rPr>
        <w:t>protected persons and as respondents.</w:t>
      </w:r>
      <w:r>
        <w:rPr>
          <w:color w:val="231F20"/>
          <w:position w:val="7"/>
          <w:sz w:val="11"/>
        </w:rPr>
        <w:t>114</w:t>
      </w:r>
    </w:p>
    <w:p w14:paraId="702BCC81" w14:textId="77777777" w:rsidR="00894070" w:rsidRDefault="009B7AFD">
      <w:pPr>
        <w:pStyle w:val="ListParagraph"/>
        <w:numPr>
          <w:ilvl w:val="1"/>
          <w:numId w:val="177"/>
        </w:numPr>
        <w:tabs>
          <w:tab w:val="left" w:pos="1801"/>
          <w:tab w:val="left" w:pos="1802"/>
        </w:tabs>
        <w:spacing w:before="82"/>
        <w:rPr>
          <w:sz w:val="20"/>
        </w:rPr>
      </w:pPr>
      <w:r>
        <w:rPr>
          <w:color w:val="231F20"/>
          <w:spacing w:val="-3"/>
          <w:sz w:val="20"/>
        </w:rPr>
        <w:t>Children</w:t>
      </w:r>
      <w:r>
        <w:rPr>
          <w:color w:val="231F20"/>
          <w:spacing w:val="-5"/>
          <w:sz w:val="20"/>
        </w:rPr>
        <w:t xml:space="preserve"> </w:t>
      </w:r>
      <w:r>
        <w:rPr>
          <w:color w:val="231F20"/>
          <w:sz w:val="20"/>
        </w:rPr>
        <w:t>and</w:t>
      </w:r>
      <w:r>
        <w:rPr>
          <w:color w:val="231F20"/>
          <w:spacing w:val="-5"/>
          <w:sz w:val="20"/>
        </w:rPr>
        <w:t xml:space="preserve"> </w:t>
      </w:r>
      <w:r>
        <w:rPr>
          <w:color w:val="231F20"/>
          <w:sz w:val="20"/>
        </w:rPr>
        <w:t>young</w:t>
      </w:r>
      <w:r>
        <w:rPr>
          <w:color w:val="231F20"/>
          <w:spacing w:val="-5"/>
          <w:sz w:val="20"/>
        </w:rPr>
        <w:t xml:space="preserve"> </w:t>
      </w:r>
      <w:r>
        <w:rPr>
          <w:color w:val="231F20"/>
          <w:sz w:val="20"/>
        </w:rPr>
        <w:t>people</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often</w:t>
      </w:r>
      <w:r>
        <w:rPr>
          <w:color w:val="231F20"/>
          <w:spacing w:val="-5"/>
          <w:sz w:val="20"/>
        </w:rPr>
        <w:t xml:space="preserve"> </w:t>
      </w:r>
      <w:r>
        <w:rPr>
          <w:color w:val="231F20"/>
          <w:sz w:val="20"/>
        </w:rPr>
        <w:t>the</w:t>
      </w:r>
      <w:r>
        <w:rPr>
          <w:color w:val="231F20"/>
          <w:spacing w:val="-5"/>
          <w:sz w:val="20"/>
        </w:rPr>
        <w:t xml:space="preserve"> </w:t>
      </w:r>
      <w:r>
        <w:rPr>
          <w:color w:val="231F20"/>
          <w:sz w:val="20"/>
        </w:rPr>
        <w:t>targets</w:t>
      </w:r>
      <w:r>
        <w:rPr>
          <w:color w:val="231F20"/>
          <w:spacing w:val="-5"/>
          <w:sz w:val="20"/>
        </w:rPr>
        <w:t xml:space="preserve"> </w:t>
      </w:r>
      <w:r>
        <w:rPr>
          <w:color w:val="231F20"/>
          <w:sz w:val="20"/>
        </w:rPr>
        <w:t>of</w:t>
      </w:r>
      <w:r>
        <w:rPr>
          <w:color w:val="231F20"/>
          <w:spacing w:val="-5"/>
          <w:sz w:val="20"/>
        </w:rPr>
        <w:t xml:space="preserve"> </w:t>
      </w:r>
      <w:r>
        <w:rPr>
          <w:color w:val="231F20"/>
          <w:sz w:val="20"/>
        </w:rPr>
        <w:t>cyberstalking</w:t>
      </w:r>
      <w:r>
        <w:rPr>
          <w:color w:val="231F20"/>
          <w:spacing w:val="-5"/>
          <w:sz w:val="20"/>
        </w:rPr>
        <w:t xml:space="preserve"> </w:t>
      </w:r>
      <w:r>
        <w:rPr>
          <w:color w:val="231F20"/>
          <w:sz w:val="20"/>
        </w:rPr>
        <w:t>(see</w:t>
      </w:r>
      <w:r>
        <w:rPr>
          <w:color w:val="231F20"/>
          <w:spacing w:val="-4"/>
          <w:sz w:val="20"/>
        </w:rPr>
        <w:t xml:space="preserve"> </w:t>
      </w:r>
      <w:r>
        <w:rPr>
          <w:color w:val="231F20"/>
          <w:spacing w:val="-3"/>
          <w:sz w:val="20"/>
        </w:rPr>
        <w:t>Chapter</w:t>
      </w:r>
      <w:r>
        <w:rPr>
          <w:color w:val="231F20"/>
          <w:spacing w:val="-5"/>
          <w:sz w:val="20"/>
        </w:rPr>
        <w:t xml:space="preserve"> </w:t>
      </w:r>
      <w:r>
        <w:rPr>
          <w:color w:val="231F20"/>
          <w:spacing w:val="-3"/>
          <w:sz w:val="20"/>
        </w:rPr>
        <w:t>3).</w:t>
      </w:r>
    </w:p>
    <w:p w14:paraId="5B516D52" w14:textId="77777777" w:rsidR="00894070" w:rsidRDefault="009B7AFD">
      <w:pPr>
        <w:pStyle w:val="ListParagraph"/>
        <w:numPr>
          <w:ilvl w:val="1"/>
          <w:numId w:val="177"/>
        </w:numPr>
        <w:tabs>
          <w:tab w:val="left" w:pos="1801"/>
          <w:tab w:val="left" w:pos="1802"/>
        </w:tabs>
        <w:spacing w:before="115" w:line="206" w:lineRule="auto"/>
        <w:ind w:right="1433"/>
        <w:rPr>
          <w:sz w:val="11"/>
        </w:rPr>
      </w:pPr>
      <w:r>
        <w:rPr>
          <w:color w:val="231F20"/>
          <w:spacing w:val="-4"/>
          <w:sz w:val="20"/>
        </w:rPr>
        <w:t xml:space="preserve">LGBTIQA+ </w:t>
      </w:r>
      <w:r>
        <w:rPr>
          <w:color w:val="231F20"/>
          <w:sz w:val="20"/>
        </w:rPr>
        <w:t xml:space="preserve">young people </w:t>
      </w:r>
      <w:r>
        <w:rPr>
          <w:color w:val="231F20"/>
          <w:spacing w:val="-3"/>
          <w:sz w:val="20"/>
        </w:rPr>
        <w:t xml:space="preserve">may </w:t>
      </w:r>
      <w:r>
        <w:rPr>
          <w:color w:val="231F20"/>
          <w:sz w:val="20"/>
        </w:rPr>
        <w:t xml:space="preserve">be at higher risk of being stalked than </w:t>
      </w:r>
      <w:r>
        <w:rPr>
          <w:color w:val="231F20"/>
          <w:spacing w:val="-3"/>
          <w:sz w:val="20"/>
        </w:rPr>
        <w:t xml:space="preserve">heterosexual </w:t>
      </w:r>
      <w:r>
        <w:rPr>
          <w:color w:val="231F20"/>
          <w:sz w:val="20"/>
        </w:rPr>
        <w:t>youth.</w:t>
      </w:r>
      <w:r>
        <w:rPr>
          <w:color w:val="231F20"/>
          <w:position w:val="7"/>
          <w:sz w:val="11"/>
        </w:rPr>
        <w:t>115</w:t>
      </w:r>
      <w:r>
        <w:rPr>
          <w:color w:val="231F20"/>
          <w:spacing w:val="16"/>
          <w:position w:val="7"/>
          <w:sz w:val="11"/>
        </w:rPr>
        <w:t xml:space="preserve"> </w:t>
      </w:r>
      <w:r>
        <w:rPr>
          <w:color w:val="231F20"/>
          <w:sz w:val="20"/>
        </w:rPr>
        <w:t>The</w:t>
      </w:r>
      <w:r>
        <w:rPr>
          <w:color w:val="231F20"/>
          <w:spacing w:val="-8"/>
          <w:sz w:val="20"/>
        </w:rPr>
        <w:t xml:space="preserve"> </w:t>
      </w:r>
      <w:r>
        <w:rPr>
          <w:color w:val="231F20"/>
          <w:sz w:val="20"/>
        </w:rPr>
        <w:t>Victorian</w:t>
      </w:r>
      <w:r>
        <w:rPr>
          <w:color w:val="231F20"/>
          <w:spacing w:val="-7"/>
          <w:sz w:val="20"/>
        </w:rPr>
        <w:t xml:space="preserve"> </w:t>
      </w:r>
      <w:r>
        <w:rPr>
          <w:color w:val="231F20"/>
          <w:sz w:val="20"/>
        </w:rPr>
        <w:t>Pride</w:t>
      </w:r>
      <w:r>
        <w:rPr>
          <w:color w:val="231F20"/>
          <w:spacing w:val="-8"/>
          <w:sz w:val="20"/>
        </w:rPr>
        <w:t xml:space="preserve"> </w:t>
      </w:r>
      <w:r>
        <w:rPr>
          <w:color w:val="231F20"/>
          <w:spacing w:val="-3"/>
          <w:sz w:val="20"/>
        </w:rPr>
        <w:t>Lobby</w:t>
      </w:r>
      <w:r>
        <w:rPr>
          <w:color w:val="231F20"/>
          <w:spacing w:val="-8"/>
          <w:sz w:val="20"/>
        </w:rPr>
        <w:t xml:space="preserve"> </w:t>
      </w:r>
      <w:r>
        <w:rPr>
          <w:color w:val="231F20"/>
          <w:spacing w:val="-3"/>
          <w:sz w:val="20"/>
        </w:rPr>
        <w:t>told</w:t>
      </w:r>
      <w:r>
        <w:rPr>
          <w:color w:val="231F20"/>
          <w:spacing w:val="-7"/>
          <w:sz w:val="20"/>
        </w:rPr>
        <w:t xml:space="preserve"> </w:t>
      </w:r>
      <w:r>
        <w:rPr>
          <w:color w:val="231F20"/>
          <w:sz w:val="20"/>
        </w:rPr>
        <w:t>us</w:t>
      </w:r>
      <w:r>
        <w:rPr>
          <w:color w:val="231F20"/>
          <w:spacing w:val="-8"/>
          <w:sz w:val="20"/>
        </w:rPr>
        <w:t xml:space="preserve"> </w:t>
      </w:r>
      <w:r>
        <w:rPr>
          <w:color w:val="231F20"/>
          <w:sz w:val="20"/>
        </w:rPr>
        <w:t>that</w:t>
      </w:r>
      <w:r>
        <w:rPr>
          <w:color w:val="231F20"/>
          <w:spacing w:val="-7"/>
          <w:sz w:val="20"/>
        </w:rPr>
        <w:t xml:space="preserve"> </w:t>
      </w:r>
      <w:r>
        <w:rPr>
          <w:color w:val="231F20"/>
          <w:spacing w:val="-3"/>
          <w:sz w:val="20"/>
        </w:rPr>
        <w:t>even</w:t>
      </w:r>
      <w:r>
        <w:rPr>
          <w:color w:val="231F20"/>
          <w:spacing w:val="-8"/>
          <w:sz w:val="20"/>
        </w:rPr>
        <w:t xml:space="preserve"> </w:t>
      </w:r>
      <w:r>
        <w:rPr>
          <w:color w:val="231F20"/>
          <w:sz w:val="20"/>
        </w:rPr>
        <w:t>though</w:t>
      </w:r>
      <w:r>
        <w:rPr>
          <w:color w:val="231F20"/>
          <w:spacing w:val="-8"/>
          <w:sz w:val="20"/>
        </w:rPr>
        <w:t xml:space="preserve"> </w:t>
      </w:r>
      <w:r>
        <w:rPr>
          <w:color w:val="231F20"/>
          <w:sz w:val="20"/>
        </w:rPr>
        <w:t>young</w:t>
      </w:r>
      <w:r>
        <w:rPr>
          <w:color w:val="231F20"/>
          <w:spacing w:val="-7"/>
          <w:sz w:val="20"/>
        </w:rPr>
        <w:t xml:space="preserve"> </w:t>
      </w:r>
      <w:r>
        <w:rPr>
          <w:color w:val="231F20"/>
          <w:spacing w:val="-4"/>
          <w:sz w:val="20"/>
        </w:rPr>
        <w:t>LGBTIQA+</w:t>
      </w:r>
      <w:r>
        <w:rPr>
          <w:color w:val="231F20"/>
          <w:spacing w:val="-8"/>
          <w:sz w:val="20"/>
        </w:rPr>
        <w:t xml:space="preserve"> </w:t>
      </w:r>
      <w:r>
        <w:rPr>
          <w:color w:val="231F20"/>
          <w:sz w:val="20"/>
        </w:rPr>
        <w:t>people experience</w:t>
      </w:r>
      <w:r>
        <w:rPr>
          <w:color w:val="231F20"/>
          <w:spacing w:val="-5"/>
          <w:sz w:val="20"/>
        </w:rPr>
        <w:t xml:space="preserve"> </w:t>
      </w:r>
      <w:r>
        <w:rPr>
          <w:color w:val="231F20"/>
          <w:sz w:val="20"/>
        </w:rPr>
        <w:t>stalking</w:t>
      </w:r>
      <w:r>
        <w:rPr>
          <w:color w:val="231F20"/>
          <w:spacing w:val="-5"/>
          <w:sz w:val="20"/>
        </w:rPr>
        <w:t xml:space="preserve"> </w:t>
      </w:r>
      <w:r>
        <w:rPr>
          <w:color w:val="231F20"/>
          <w:sz w:val="20"/>
        </w:rPr>
        <w:t>at</w:t>
      </w:r>
      <w:r>
        <w:rPr>
          <w:color w:val="231F20"/>
          <w:spacing w:val="-5"/>
          <w:sz w:val="20"/>
        </w:rPr>
        <w:t xml:space="preserve"> </w:t>
      </w:r>
      <w:r>
        <w:rPr>
          <w:color w:val="231F20"/>
          <w:sz w:val="20"/>
        </w:rPr>
        <w:t>a</w:t>
      </w:r>
      <w:r>
        <w:rPr>
          <w:color w:val="231F20"/>
          <w:spacing w:val="-5"/>
          <w:sz w:val="20"/>
        </w:rPr>
        <w:t xml:space="preserve"> </w:t>
      </w:r>
      <w:r>
        <w:rPr>
          <w:color w:val="231F20"/>
          <w:sz w:val="20"/>
        </w:rPr>
        <w:t>higher</w:t>
      </w:r>
      <w:r>
        <w:rPr>
          <w:color w:val="231F20"/>
          <w:spacing w:val="-5"/>
          <w:sz w:val="20"/>
        </w:rPr>
        <w:t xml:space="preserve"> </w:t>
      </w:r>
      <w:r>
        <w:rPr>
          <w:color w:val="231F20"/>
          <w:spacing w:val="-3"/>
          <w:sz w:val="20"/>
        </w:rPr>
        <w:t>rate,</w:t>
      </w:r>
      <w:r>
        <w:rPr>
          <w:color w:val="231F20"/>
          <w:spacing w:val="-5"/>
          <w:sz w:val="20"/>
        </w:rPr>
        <w:t xml:space="preserve"> </w:t>
      </w:r>
      <w:r>
        <w:rPr>
          <w:color w:val="231F20"/>
          <w:sz w:val="20"/>
        </w:rPr>
        <w:t>reports</w:t>
      </w:r>
      <w:r>
        <w:rPr>
          <w:color w:val="231F20"/>
          <w:spacing w:val="-5"/>
          <w:sz w:val="20"/>
        </w:rPr>
        <w:t xml:space="preserve"> </w:t>
      </w:r>
      <w:r>
        <w:rPr>
          <w:color w:val="231F20"/>
          <w:sz w:val="20"/>
        </w:rPr>
        <w:t>to</w:t>
      </w:r>
      <w:r>
        <w:rPr>
          <w:color w:val="231F20"/>
          <w:spacing w:val="-5"/>
          <w:sz w:val="20"/>
        </w:rPr>
        <w:t xml:space="preserve"> </w:t>
      </w:r>
      <w:r>
        <w:rPr>
          <w:color w:val="231F20"/>
          <w:sz w:val="20"/>
        </w:rPr>
        <w:t>police</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limited.</w:t>
      </w:r>
      <w:r>
        <w:rPr>
          <w:color w:val="231F20"/>
          <w:position w:val="7"/>
          <w:sz w:val="11"/>
        </w:rPr>
        <w:t>116</w:t>
      </w:r>
    </w:p>
    <w:p w14:paraId="5DDBC851" w14:textId="77777777" w:rsidR="00894070" w:rsidRDefault="009B7AFD">
      <w:pPr>
        <w:pStyle w:val="ListParagraph"/>
        <w:numPr>
          <w:ilvl w:val="1"/>
          <w:numId w:val="177"/>
        </w:numPr>
        <w:tabs>
          <w:tab w:val="left" w:pos="1801"/>
          <w:tab w:val="left" w:pos="1802"/>
        </w:tabs>
        <w:spacing w:before="124" w:line="206" w:lineRule="auto"/>
        <w:ind w:right="1473"/>
        <w:rPr>
          <w:sz w:val="11"/>
        </w:rPr>
      </w:pPr>
      <w:r>
        <w:rPr>
          <w:color w:val="231F20"/>
          <w:sz w:val="20"/>
        </w:rPr>
        <w:t xml:space="preserve">The Personal Safety Survey found that young adults </w:t>
      </w:r>
      <w:r>
        <w:rPr>
          <w:color w:val="231F20"/>
          <w:spacing w:val="-3"/>
          <w:sz w:val="20"/>
        </w:rPr>
        <w:t xml:space="preserve">are </w:t>
      </w:r>
      <w:r>
        <w:rPr>
          <w:color w:val="231F20"/>
          <w:sz w:val="20"/>
        </w:rPr>
        <w:t xml:space="preserve">more </w:t>
      </w:r>
      <w:r>
        <w:rPr>
          <w:color w:val="231F20"/>
          <w:spacing w:val="-3"/>
          <w:sz w:val="20"/>
        </w:rPr>
        <w:t xml:space="preserve">likely </w:t>
      </w:r>
      <w:r>
        <w:rPr>
          <w:color w:val="231F20"/>
          <w:sz w:val="20"/>
        </w:rPr>
        <w:t>to experience stalking</w:t>
      </w:r>
      <w:r>
        <w:rPr>
          <w:color w:val="231F20"/>
          <w:spacing w:val="-12"/>
          <w:sz w:val="20"/>
        </w:rPr>
        <w:t xml:space="preserve"> </w:t>
      </w:r>
      <w:r>
        <w:rPr>
          <w:color w:val="231F20"/>
          <w:sz w:val="20"/>
        </w:rPr>
        <w:t>than</w:t>
      </w:r>
      <w:r>
        <w:rPr>
          <w:color w:val="231F20"/>
          <w:spacing w:val="-12"/>
          <w:sz w:val="20"/>
        </w:rPr>
        <w:t xml:space="preserve"> </w:t>
      </w:r>
      <w:r>
        <w:rPr>
          <w:color w:val="231F20"/>
          <w:sz w:val="20"/>
        </w:rPr>
        <w:t>older</w:t>
      </w:r>
      <w:r>
        <w:rPr>
          <w:color w:val="231F20"/>
          <w:spacing w:val="-12"/>
          <w:sz w:val="20"/>
        </w:rPr>
        <w:t xml:space="preserve"> </w:t>
      </w:r>
      <w:r>
        <w:rPr>
          <w:color w:val="231F20"/>
          <w:sz w:val="20"/>
        </w:rPr>
        <w:t>people.</w:t>
      </w:r>
      <w:r>
        <w:rPr>
          <w:color w:val="231F20"/>
          <w:spacing w:val="-11"/>
          <w:sz w:val="20"/>
        </w:rPr>
        <w:t xml:space="preserve"> </w:t>
      </w:r>
      <w:r>
        <w:rPr>
          <w:color w:val="231F20"/>
          <w:sz w:val="20"/>
        </w:rPr>
        <w:t>The</w:t>
      </w:r>
      <w:r>
        <w:rPr>
          <w:color w:val="231F20"/>
          <w:spacing w:val="-12"/>
          <w:sz w:val="20"/>
        </w:rPr>
        <w:t xml:space="preserve"> </w:t>
      </w:r>
      <w:r>
        <w:rPr>
          <w:color w:val="231F20"/>
          <w:sz w:val="20"/>
        </w:rPr>
        <w:t>likelihood</w:t>
      </w:r>
      <w:r>
        <w:rPr>
          <w:color w:val="231F20"/>
          <w:spacing w:val="-12"/>
          <w:sz w:val="20"/>
        </w:rPr>
        <w:t xml:space="preserve"> </w:t>
      </w:r>
      <w:r>
        <w:rPr>
          <w:color w:val="231F20"/>
          <w:sz w:val="20"/>
        </w:rPr>
        <w:t>of</w:t>
      </w:r>
      <w:r>
        <w:rPr>
          <w:color w:val="231F20"/>
          <w:spacing w:val="-11"/>
          <w:sz w:val="20"/>
        </w:rPr>
        <w:t xml:space="preserve"> </w:t>
      </w:r>
      <w:r>
        <w:rPr>
          <w:color w:val="231F20"/>
          <w:sz w:val="20"/>
        </w:rPr>
        <w:t>being</w:t>
      </w:r>
      <w:r>
        <w:rPr>
          <w:color w:val="231F20"/>
          <w:spacing w:val="-12"/>
          <w:sz w:val="20"/>
        </w:rPr>
        <w:t xml:space="preserve"> </w:t>
      </w:r>
      <w:r>
        <w:rPr>
          <w:color w:val="231F20"/>
          <w:sz w:val="20"/>
        </w:rPr>
        <w:t>stalked</w:t>
      </w:r>
      <w:r>
        <w:rPr>
          <w:color w:val="231F20"/>
          <w:spacing w:val="-12"/>
          <w:sz w:val="20"/>
        </w:rPr>
        <w:t xml:space="preserve"> </w:t>
      </w:r>
      <w:r>
        <w:rPr>
          <w:color w:val="231F20"/>
          <w:sz w:val="20"/>
        </w:rPr>
        <w:t>appears</w:t>
      </w:r>
      <w:r>
        <w:rPr>
          <w:color w:val="231F20"/>
          <w:spacing w:val="-11"/>
          <w:sz w:val="20"/>
        </w:rPr>
        <w:t xml:space="preserve"> </w:t>
      </w:r>
      <w:r>
        <w:rPr>
          <w:color w:val="231F20"/>
          <w:sz w:val="20"/>
        </w:rPr>
        <w:t>to</w:t>
      </w:r>
      <w:r>
        <w:rPr>
          <w:color w:val="231F20"/>
          <w:spacing w:val="-12"/>
          <w:sz w:val="20"/>
        </w:rPr>
        <w:t xml:space="preserve"> </w:t>
      </w:r>
      <w:r>
        <w:rPr>
          <w:color w:val="231F20"/>
          <w:sz w:val="20"/>
        </w:rPr>
        <w:t>decrease</w:t>
      </w:r>
      <w:r>
        <w:rPr>
          <w:color w:val="231F20"/>
          <w:spacing w:val="-12"/>
          <w:sz w:val="20"/>
        </w:rPr>
        <w:t xml:space="preserve"> </w:t>
      </w:r>
      <w:r>
        <w:rPr>
          <w:color w:val="231F20"/>
          <w:sz w:val="20"/>
        </w:rPr>
        <w:t xml:space="preserve">with age (see </w:t>
      </w:r>
      <w:r>
        <w:rPr>
          <w:color w:val="231F20"/>
          <w:spacing w:val="-6"/>
          <w:sz w:val="20"/>
        </w:rPr>
        <w:t>Table</w:t>
      </w:r>
      <w:r>
        <w:rPr>
          <w:color w:val="231F20"/>
          <w:spacing w:val="-12"/>
          <w:sz w:val="20"/>
        </w:rPr>
        <w:t xml:space="preserve"> </w:t>
      </w:r>
      <w:r>
        <w:rPr>
          <w:color w:val="231F20"/>
          <w:spacing w:val="-3"/>
          <w:sz w:val="20"/>
        </w:rPr>
        <w:t>4).</w:t>
      </w:r>
      <w:r>
        <w:rPr>
          <w:color w:val="231F20"/>
          <w:spacing w:val="-3"/>
          <w:position w:val="7"/>
          <w:sz w:val="11"/>
        </w:rPr>
        <w:t>117</w:t>
      </w:r>
    </w:p>
    <w:p w14:paraId="53A0A9FC" w14:textId="77777777" w:rsidR="00894070" w:rsidRDefault="009B7AFD">
      <w:pPr>
        <w:spacing w:before="123" w:line="218" w:lineRule="auto"/>
        <w:ind w:left="1801" w:right="1219"/>
        <w:rPr>
          <w:b/>
          <w:sz w:val="19"/>
        </w:rPr>
      </w:pPr>
      <w:r>
        <w:rPr>
          <w:b/>
          <w:color w:val="231F20"/>
          <w:sz w:val="19"/>
        </w:rPr>
        <w:t>Table 4: Proportion of people who experienced stalking in the last 12 months by age bracket</w:t>
      </w:r>
    </w:p>
    <w:p w14:paraId="55A60B3A" w14:textId="77777777" w:rsidR="00894070" w:rsidRDefault="00894070">
      <w:pPr>
        <w:pStyle w:val="BodyText"/>
        <w:spacing w:before="6"/>
        <w:rPr>
          <w:b/>
          <w:sz w:val="11"/>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1943"/>
        <w:gridCol w:w="5984"/>
      </w:tblGrid>
      <w:tr w:rsidR="00894070" w14:paraId="550E9776" w14:textId="77777777">
        <w:trPr>
          <w:trHeight w:val="518"/>
        </w:trPr>
        <w:tc>
          <w:tcPr>
            <w:tcW w:w="1943" w:type="dxa"/>
            <w:shd w:val="clear" w:color="auto" w:fill="F4BCAE"/>
          </w:tcPr>
          <w:p w14:paraId="5E099260" w14:textId="77777777" w:rsidR="00894070" w:rsidRDefault="009B7AFD">
            <w:pPr>
              <w:pStyle w:val="TableParagraph"/>
              <w:spacing w:before="122"/>
              <w:rPr>
                <w:b/>
                <w:sz w:val="20"/>
              </w:rPr>
            </w:pPr>
            <w:r>
              <w:rPr>
                <w:b/>
                <w:color w:val="231F20"/>
                <w:sz w:val="20"/>
              </w:rPr>
              <w:t>Age</w:t>
            </w:r>
          </w:p>
        </w:tc>
        <w:tc>
          <w:tcPr>
            <w:tcW w:w="5984" w:type="dxa"/>
            <w:shd w:val="clear" w:color="auto" w:fill="F4BCAE"/>
          </w:tcPr>
          <w:p w14:paraId="304152B4" w14:textId="77777777" w:rsidR="00894070" w:rsidRDefault="009B7AFD">
            <w:pPr>
              <w:pStyle w:val="TableParagraph"/>
              <w:spacing w:before="122"/>
              <w:rPr>
                <w:b/>
                <w:sz w:val="20"/>
              </w:rPr>
            </w:pPr>
            <w:r>
              <w:rPr>
                <w:b/>
                <w:color w:val="231F20"/>
                <w:sz w:val="20"/>
              </w:rPr>
              <w:t>Proportion who experienced stalking in the last 12 months</w:t>
            </w:r>
          </w:p>
        </w:tc>
      </w:tr>
      <w:tr w:rsidR="00894070" w14:paraId="47F94624" w14:textId="77777777">
        <w:trPr>
          <w:trHeight w:val="404"/>
        </w:trPr>
        <w:tc>
          <w:tcPr>
            <w:tcW w:w="1943" w:type="dxa"/>
          </w:tcPr>
          <w:p w14:paraId="2BD55C11" w14:textId="77777777" w:rsidR="00894070" w:rsidRDefault="009B7AFD">
            <w:pPr>
              <w:pStyle w:val="TableParagraph"/>
              <w:spacing w:before="65"/>
              <w:rPr>
                <w:b/>
                <w:sz w:val="20"/>
              </w:rPr>
            </w:pPr>
            <w:r>
              <w:rPr>
                <w:b/>
                <w:color w:val="231F20"/>
                <w:sz w:val="20"/>
              </w:rPr>
              <w:t>18</w:t>
            </w:r>
            <w:r>
              <w:rPr>
                <w:color w:val="231F20"/>
                <w:sz w:val="20"/>
              </w:rPr>
              <w:t>–</w:t>
            </w:r>
            <w:r>
              <w:rPr>
                <w:b/>
                <w:color w:val="231F20"/>
                <w:sz w:val="20"/>
              </w:rPr>
              <w:t>24</w:t>
            </w:r>
          </w:p>
        </w:tc>
        <w:tc>
          <w:tcPr>
            <w:tcW w:w="5984" w:type="dxa"/>
          </w:tcPr>
          <w:p w14:paraId="3339B59E" w14:textId="77777777" w:rsidR="00894070" w:rsidRDefault="009B7AFD">
            <w:pPr>
              <w:pStyle w:val="TableParagraph"/>
              <w:spacing w:before="65"/>
              <w:rPr>
                <w:sz w:val="20"/>
              </w:rPr>
            </w:pPr>
            <w:r>
              <w:rPr>
                <w:color w:val="231F20"/>
                <w:sz w:val="20"/>
              </w:rPr>
              <w:t>3.8%</w:t>
            </w:r>
          </w:p>
        </w:tc>
      </w:tr>
      <w:tr w:rsidR="00894070" w14:paraId="0869871E" w14:textId="77777777">
        <w:trPr>
          <w:trHeight w:val="404"/>
        </w:trPr>
        <w:tc>
          <w:tcPr>
            <w:tcW w:w="1943" w:type="dxa"/>
          </w:tcPr>
          <w:p w14:paraId="4104A174" w14:textId="77777777" w:rsidR="00894070" w:rsidRDefault="009B7AFD">
            <w:pPr>
              <w:pStyle w:val="TableParagraph"/>
              <w:spacing w:before="65"/>
              <w:rPr>
                <w:b/>
                <w:sz w:val="20"/>
              </w:rPr>
            </w:pPr>
            <w:r>
              <w:rPr>
                <w:b/>
                <w:color w:val="231F20"/>
                <w:sz w:val="20"/>
              </w:rPr>
              <w:t>25</w:t>
            </w:r>
            <w:r>
              <w:rPr>
                <w:color w:val="231F20"/>
                <w:sz w:val="20"/>
              </w:rPr>
              <w:t>–</w:t>
            </w:r>
            <w:r>
              <w:rPr>
                <w:b/>
                <w:color w:val="231F20"/>
                <w:sz w:val="20"/>
              </w:rPr>
              <w:t>34</w:t>
            </w:r>
          </w:p>
        </w:tc>
        <w:tc>
          <w:tcPr>
            <w:tcW w:w="5984" w:type="dxa"/>
          </w:tcPr>
          <w:p w14:paraId="69B2B8D4" w14:textId="77777777" w:rsidR="00894070" w:rsidRDefault="009B7AFD">
            <w:pPr>
              <w:pStyle w:val="TableParagraph"/>
              <w:spacing w:before="65"/>
              <w:ind w:left="112"/>
              <w:rPr>
                <w:sz w:val="20"/>
              </w:rPr>
            </w:pPr>
            <w:r>
              <w:rPr>
                <w:color w:val="231F20"/>
                <w:sz w:val="20"/>
              </w:rPr>
              <w:t>3.2%</w:t>
            </w:r>
          </w:p>
        </w:tc>
      </w:tr>
      <w:tr w:rsidR="00894070" w14:paraId="6B48A1E0" w14:textId="77777777">
        <w:trPr>
          <w:trHeight w:val="404"/>
        </w:trPr>
        <w:tc>
          <w:tcPr>
            <w:tcW w:w="1943" w:type="dxa"/>
          </w:tcPr>
          <w:p w14:paraId="5371452A" w14:textId="77777777" w:rsidR="00894070" w:rsidRDefault="009B7AFD">
            <w:pPr>
              <w:pStyle w:val="TableParagraph"/>
              <w:spacing w:before="65"/>
              <w:ind w:left="112"/>
              <w:rPr>
                <w:b/>
                <w:sz w:val="20"/>
              </w:rPr>
            </w:pPr>
            <w:r>
              <w:rPr>
                <w:b/>
                <w:color w:val="231F20"/>
                <w:sz w:val="20"/>
              </w:rPr>
              <w:t>35</w:t>
            </w:r>
            <w:r>
              <w:rPr>
                <w:color w:val="231F20"/>
                <w:sz w:val="20"/>
              </w:rPr>
              <w:t>–</w:t>
            </w:r>
            <w:r>
              <w:rPr>
                <w:b/>
                <w:color w:val="231F20"/>
                <w:sz w:val="20"/>
              </w:rPr>
              <w:t>44</w:t>
            </w:r>
          </w:p>
        </w:tc>
        <w:tc>
          <w:tcPr>
            <w:tcW w:w="5984" w:type="dxa"/>
          </w:tcPr>
          <w:p w14:paraId="3B775019" w14:textId="77777777" w:rsidR="00894070" w:rsidRDefault="009B7AFD">
            <w:pPr>
              <w:pStyle w:val="TableParagraph"/>
              <w:spacing w:before="65"/>
              <w:ind w:left="112"/>
              <w:rPr>
                <w:sz w:val="20"/>
              </w:rPr>
            </w:pPr>
            <w:r>
              <w:rPr>
                <w:color w:val="231F20"/>
                <w:sz w:val="20"/>
              </w:rPr>
              <w:t>3.1%</w:t>
            </w:r>
          </w:p>
        </w:tc>
      </w:tr>
      <w:tr w:rsidR="00894070" w14:paraId="470F7526" w14:textId="77777777">
        <w:trPr>
          <w:trHeight w:val="404"/>
        </w:trPr>
        <w:tc>
          <w:tcPr>
            <w:tcW w:w="1943" w:type="dxa"/>
          </w:tcPr>
          <w:p w14:paraId="5C770390" w14:textId="77777777" w:rsidR="00894070" w:rsidRDefault="009B7AFD">
            <w:pPr>
              <w:pStyle w:val="TableParagraph"/>
              <w:spacing w:before="65"/>
              <w:ind w:left="112"/>
              <w:rPr>
                <w:b/>
                <w:sz w:val="20"/>
              </w:rPr>
            </w:pPr>
            <w:r>
              <w:rPr>
                <w:b/>
                <w:color w:val="231F20"/>
                <w:sz w:val="20"/>
              </w:rPr>
              <w:t>45</w:t>
            </w:r>
            <w:r>
              <w:rPr>
                <w:color w:val="231F20"/>
                <w:sz w:val="20"/>
              </w:rPr>
              <w:t>–</w:t>
            </w:r>
            <w:r>
              <w:rPr>
                <w:b/>
                <w:color w:val="231F20"/>
                <w:sz w:val="20"/>
              </w:rPr>
              <w:t>54</w:t>
            </w:r>
          </w:p>
        </w:tc>
        <w:tc>
          <w:tcPr>
            <w:tcW w:w="5984" w:type="dxa"/>
          </w:tcPr>
          <w:p w14:paraId="5CD08872" w14:textId="77777777" w:rsidR="00894070" w:rsidRDefault="009B7AFD">
            <w:pPr>
              <w:pStyle w:val="TableParagraph"/>
              <w:spacing w:before="65"/>
              <w:ind w:left="112"/>
              <w:rPr>
                <w:sz w:val="20"/>
              </w:rPr>
            </w:pPr>
            <w:r>
              <w:rPr>
                <w:color w:val="231F20"/>
                <w:sz w:val="20"/>
              </w:rPr>
              <w:t>2.4%</w:t>
            </w:r>
          </w:p>
        </w:tc>
      </w:tr>
      <w:tr w:rsidR="00894070" w14:paraId="5028B8C6" w14:textId="77777777">
        <w:trPr>
          <w:trHeight w:val="404"/>
        </w:trPr>
        <w:tc>
          <w:tcPr>
            <w:tcW w:w="1943" w:type="dxa"/>
          </w:tcPr>
          <w:p w14:paraId="370E16AF" w14:textId="77777777" w:rsidR="00894070" w:rsidRDefault="009B7AFD">
            <w:pPr>
              <w:pStyle w:val="TableParagraph"/>
              <w:spacing w:before="65"/>
              <w:ind w:left="112"/>
              <w:rPr>
                <w:b/>
                <w:sz w:val="20"/>
              </w:rPr>
            </w:pPr>
            <w:r>
              <w:rPr>
                <w:b/>
                <w:color w:val="231F20"/>
                <w:sz w:val="20"/>
              </w:rPr>
              <w:t>55</w:t>
            </w:r>
            <w:r>
              <w:rPr>
                <w:color w:val="231F20"/>
                <w:sz w:val="20"/>
              </w:rPr>
              <w:t>–</w:t>
            </w:r>
            <w:r>
              <w:rPr>
                <w:b/>
                <w:color w:val="231F20"/>
                <w:sz w:val="20"/>
              </w:rPr>
              <w:t>64</w:t>
            </w:r>
          </w:p>
        </w:tc>
        <w:tc>
          <w:tcPr>
            <w:tcW w:w="5984" w:type="dxa"/>
          </w:tcPr>
          <w:p w14:paraId="32891649" w14:textId="77777777" w:rsidR="00894070" w:rsidRDefault="009B7AFD">
            <w:pPr>
              <w:pStyle w:val="TableParagraph"/>
              <w:spacing w:before="65"/>
              <w:ind w:left="112"/>
              <w:rPr>
                <w:sz w:val="20"/>
              </w:rPr>
            </w:pPr>
            <w:r>
              <w:rPr>
                <w:color w:val="231F20"/>
                <w:sz w:val="20"/>
              </w:rPr>
              <w:t>1.2%</w:t>
            </w:r>
          </w:p>
        </w:tc>
      </w:tr>
      <w:tr w:rsidR="00894070" w14:paraId="0953DB3A" w14:textId="77777777">
        <w:trPr>
          <w:trHeight w:val="404"/>
        </w:trPr>
        <w:tc>
          <w:tcPr>
            <w:tcW w:w="1943" w:type="dxa"/>
          </w:tcPr>
          <w:p w14:paraId="45455DFE" w14:textId="77777777" w:rsidR="00894070" w:rsidRDefault="009B7AFD">
            <w:pPr>
              <w:pStyle w:val="TableParagraph"/>
              <w:spacing w:before="65"/>
              <w:ind w:left="112"/>
              <w:rPr>
                <w:b/>
                <w:sz w:val="20"/>
              </w:rPr>
            </w:pPr>
            <w:r>
              <w:rPr>
                <w:b/>
                <w:color w:val="231F20"/>
                <w:sz w:val="20"/>
              </w:rPr>
              <w:t>65 and over</w:t>
            </w:r>
          </w:p>
        </w:tc>
        <w:tc>
          <w:tcPr>
            <w:tcW w:w="5984" w:type="dxa"/>
          </w:tcPr>
          <w:p w14:paraId="1133BFDA" w14:textId="77777777" w:rsidR="00894070" w:rsidRDefault="009B7AFD">
            <w:pPr>
              <w:pStyle w:val="TableParagraph"/>
              <w:spacing w:before="65"/>
              <w:ind w:left="112"/>
              <w:rPr>
                <w:sz w:val="20"/>
              </w:rPr>
            </w:pPr>
            <w:r>
              <w:rPr>
                <w:color w:val="231F20"/>
                <w:sz w:val="20"/>
              </w:rPr>
              <w:t>0.8%</w:t>
            </w:r>
          </w:p>
        </w:tc>
      </w:tr>
    </w:tbl>
    <w:p w14:paraId="710DE90E" w14:textId="77777777" w:rsidR="00894070" w:rsidRDefault="00894070">
      <w:pPr>
        <w:pStyle w:val="BodyText"/>
        <w:spacing w:before="11"/>
        <w:rPr>
          <w:b/>
          <w:sz w:val="31"/>
        </w:rPr>
      </w:pPr>
    </w:p>
    <w:p w14:paraId="3DB2A5A3" w14:textId="77777777" w:rsidR="00894070" w:rsidRDefault="009B7AFD">
      <w:pPr>
        <w:pStyle w:val="ListParagraph"/>
        <w:numPr>
          <w:ilvl w:val="1"/>
          <w:numId w:val="177"/>
        </w:numPr>
        <w:tabs>
          <w:tab w:val="left" w:pos="1801"/>
          <w:tab w:val="left" w:pos="1802"/>
        </w:tabs>
        <w:spacing w:line="206" w:lineRule="auto"/>
        <w:ind w:right="1348"/>
        <w:rPr>
          <w:sz w:val="11"/>
        </w:rPr>
      </w:pPr>
      <w:r>
        <w:rPr>
          <w:color w:val="231F20"/>
          <w:sz w:val="20"/>
        </w:rPr>
        <w:t xml:space="preserve">People with disabilities or </w:t>
      </w:r>
      <w:r>
        <w:rPr>
          <w:color w:val="231F20"/>
          <w:spacing w:val="-3"/>
          <w:sz w:val="20"/>
        </w:rPr>
        <w:t xml:space="preserve">long-term </w:t>
      </w:r>
      <w:r>
        <w:rPr>
          <w:color w:val="231F20"/>
          <w:sz w:val="20"/>
        </w:rPr>
        <w:t xml:space="preserve">health conditions </w:t>
      </w:r>
      <w:r>
        <w:rPr>
          <w:color w:val="231F20"/>
          <w:spacing w:val="-3"/>
          <w:sz w:val="20"/>
        </w:rPr>
        <w:t xml:space="preserve">may </w:t>
      </w:r>
      <w:r>
        <w:rPr>
          <w:color w:val="231F20"/>
          <w:sz w:val="20"/>
        </w:rPr>
        <w:t xml:space="preserve">be more </w:t>
      </w:r>
      <w:r>
        <w:rPr>
          <w:color w:val="231F20"/>
          <w:spacing w:val="-3"/>
          <w:sz w:val="20"/>
        </w:rPr>
        <w:t xml:space="preserve">likely </w:t>
      </w:r>
      <w:r>
        <w:rPr>
          <w:color w:val="231F20"/>
          <w:sz w:val="20"/>
        </w:rPr>
        <w:t>to experience</w:t>
      </w:r>
      <w:r>
        <w:rPr>
          <w:color w:val="231F20"/>
          <w:spacing w:val="-14"/>
          <w:sz w:val="20"/>
        </w:rPr>
        <w:t xml:space="preserve"> </w:t>
      </w:r>
      <w:r>
        <w:rPr>
          <w:color w:val="231F20"/>
          <w:sz w:val="20"/>
        </w:rPr>
        <w:t>stalking</w:t>
      </w:r>
      <w:r>
        <w:rPr>
          <w:color w:val="231F20"/>
          <w:spacing w:val="-14"/>
          <w:sz w:val="20"/>
        </w:rPr>
        <w:t xml:space="preserve"> </w:t>
      </w:r>
      <w:r>
        <w:rPr>
          <w:color w:val="231F20"/>
          <w:sz w:val="20"/>
        </w:rPr>
        <w:t>than</w:t>
      </w:r>
      <w:r>
        <w:rPr>
          <w:color w:val="231F20"/>
          <w:spacing w:val="-14"/>
          <w:sz w:val="20"/>
        </w:rPr>
        <w:t xml:space="preserve"> </w:t>
      </w:r>
      <w:r>
        <w:rPr>
          <w:color w:val="231F20"/>
          <w:sz w:val="20"/>
        </w:rPr>
        <w:t>people</w:t>
      </w:r>
      <w:r>
        <w:rPr>
          <w:color w:val="231F20"/>
          <w:spacing w:val="-14"/>
          <w:sz w:val="20"/>
        </w:rPr>
        <w:t xml:space="preserve"> </w:t>
      </w:r>
      <w:r>
        <w:rPr>
          <w:color w:val="231F20"/>
          <w:sz w:val="20"/>
        </w:rPr>
        <w:t>without</w:t>
      </w:r>
      <w:r>
        <w:rPr>
          <w:color w:val="231F20"/>
          <w:spacing w:val="-13"/>
          <w:sz w:val="20"/>
        </w:rPr>
        <w:t xml:space="preserve"> </w:t>
      </w:r>
      <w:r>
        <w:rPr>
          <w:color w:val="231F20"/>
          <w:sz w:val="20"/>
        </w:rPr>
        <w:t>these</w:t>
      </w:r>
      <w:r>
        <w:rPr>
          <w:color w:val="231F20"/>
          <w:spacing w:val="-14"/>
          <w:sz w:val="20"/>
        </w:rPr>
        <w:t xml:space="preserve"> </w:t>
      </w:r>
      <w:r>
        <w:rPr>
          <w:color w:val="231F20"/>
          <w:sz w:val="20"/>
        </w:rPr>
        <w:t>conditions:</w:t>
      </w:r>
      <w:r>
        <w:rPr>
          <w:color w:val="231F20"/>
          <w:spacing w:val="-14"/>
          <w:sz w:val="20"/>
        </w:rPr>
        <w:t xml:space="preserve"> </w:t>
      </w:r>
      <w:r>
        <w:rPr>
          <w:color w:val="231F20"/>
          <w:sz w:val="20"/>
        </w:rPr>
        <w:t>the</w:t>
      </w:r>
      <w:r>
        <w:rPr>
          <w:color w:val="231F20"/>
          <w:spacing w:val="-14"/>
          <w:sz w:val="20"/>
        </w:rPr>
        <w:t xml:space="preserve"> </w:t>
      </w:r>
      <w:r>
        <w:rPr>
          <w:color w:val="231F20"/>
          <w:sz w:val="20"/>
        </w:rPr>
        <w:t>Personal</w:t>
      </w:r>
      <w:r>
        <w:rPr>
          <w:color w:val="231F20"/>
          <w:spacing w:val="-14"/>
          <w:sz w:val="20"/>
        </w:rPr>
        <w:t xml:space="preserve"> </w:t>
      </w:r>
      <w:r>
        <w:rPr>
          <w:color w:val="231F20"/>
          <w:sz w:val="20"/>
        </w:rPr>
        <w:t>Safety</w:t>
      </w:r>
      <w:r>
        <w:rPr>
          <w:color w:val="231F20"/>
          <w:spacing w:val="-13"/>
          <w:sz w:val="20"/>
        </w:rPr>
        <w:t xml:space="preserve"> </w:t>
      </w:r>
      <w:r>
        <w:rPr>
          <w:color w:val="231F20"/>
          <w:sz w:val="20"/>
        </w:rPr>
        <w:t xml:space="preserve">Survey found that 3.1 per cent of people with disabilities or </w:t>
      </w:r>
      <w:r>
        <w:rPr>
          <w:color w:val="231F20"/>
          <w:spacing w:val="-3"/>
          <w:sz w:val="20"/>
        </w:rPr>
        <w:t xml:space="preserve">long-term </w:t>
      </w:r>
      <w:r>
        <w:rPr>
          <w:color w:val="231F20"/>
          <w:sz w:val="20"/>
        </w:rPr>
        <w:t xml:space="preserve">health conditions experienced stalking </w:t>
      </w:r>
      <w:r>
        <w:rPr>
          <w:color w:val="231F20"/>
          <w:spacing w:val="-4"/>
          <w:sz w:val="20"/>
        </w:rPr>
        <w:t xml:space="preserve">over </w:t>
      </w:r>
      <w:r>
        <w:rPr>
          <w:color w:val="231F20"/>
          <w:sz w:val="20"/>
        </w:rPr>
        <w:t xml:space="preserve">a 12-month period, compared to 2.1 per cent of people without disability or a </w:t>
      </w:r>
      <w:r>
        <w:rPr>
          <w:color w:val="231F20"/>
          <w:spacing w:val="-3"/>
          <w:sz w:val="20"/>
        </w:rPr>
        <w:t xml:space="preserve">long-term </w:t>
      </w:r>
      <w:r>
        <w:rPr>
          <w:color w:val="231F20"/>
          <w:sz w:val="20"/>
        </w:rPr>
        <w:t>health</w:t>
      </w:r>
      <w:r>
        <w:rPr>
          <w:color w:val="231F20"/>
          <w:spacing w:val="-23"/>
          <w:sz w:val="20"/>
        </w:rPr>
        <w:t xml:space="preserve"> </w:t>
      </w:r>
      <w:r>
        <w:rPr>
          <w:color w:val="231F20"/>
          <w:sz w:val="20"/>
        </w:rPr>
        <w:t>condition.</w:t>
      </w:r>
      <w:r>
        <w:rPr>
          <w:color w:val="231F20"/>
          <w:position w:val="7"/>
          <w:sz w:val="11"/>
        </w:rPr>
        <w:t>118</w:t>
      </w:r>
    </w:p>
    <w:p w14:paraId="09893942" w14:textId="77777777" w:rsidR="00894070" w:rsidRDefault="009B7AFD">
      <w:pPr>
        <w:pStyle w:val="ListParagraph"/>
        <w:numPr>
          <w:ilvl w:val="1"/>
          <w:numId w:val="177"/>
        </w:numPr>
        <w:tabs>
          <w:tab w:val="left" w:pos="1801"/>
          <w:tab w:val="left" w:pos="1802"/>
        </w:tabs>
        <w:spacing w:before="126" w:line="206" w:lineRule="auto"/>
        <w:ind w:right="1211"/>
        <w:rPr>
          <w:sz w:val="20"/>
        </w:rPr>
      </w:pPr>
      <w:r>
        <w:rPr>
          <w:color w:val="231F20"/>
          <w:sz w:val="20"/>
        </w:rPr>
        <w:t>People</w:t>
      </w:r>
      <w:r>
        <w:rPr>
          <w:color w:val="231F20"/>
          <w:spacing w:val="-14"/>
          <w:sz w:val="20"/>
        </w:rPr>
        <w:t xml:space="preserve"> </w:t>
      </w:r>
      <w:r>
        <w:rPr>
          <w:color w:val="231F20"/>
          <w:sz w:val="20"/>
        </w:rPr>
        <w:t>with</w:t>
      </w:r>
      <w:r>
        <w:rPr>
          <w:color w:val="231F20"/>
          <w:spacing w:val="-13"/>
          <w:sz w:val="20"/>
        </w:rPr>
        <w:t xml:space="preserve"> </w:t>
      </w:r>
      <w:r>
        <w:rPr>
          <w:color w:val="231F20"/>
          <w:sz w:val="20"/>
        </w:rPr>
        <w:t>disabilities</w:t>
      </w:r>
      <w:r>
        <w:rPr>
          <w:color w:val="231F20"/>
          <w:spacing w:val="-13"/>
          <w:sz w:val="20"/>
        </w:rPr>
        <w:t xml:space="preserve"> </w:t>
      </w:r>
      <w:r>
        <w:rPr>
          <w:color w:val="231F20"/>
          <w:sz w:val="20"/>
        </w:rPr>
        <w:t>or</w:t>
      </w:r>
      <w:r>
        <w:rPr>
          <w:color w:val="231F20"/>
          <w:spacing w:val="-13"/>
          <w:sz w:val="20"/>
        </w:rPr>
        <w:t xml:space="preserve"> </w:t>
      </w:r>
      <w:r>
        <w:rPr>
          <w:color w:val="231F20"/>
          <w:spacing w:val="-3"/>
          <w:sz w:val="20"/>
        </w:rPr>
        <w:t>long-term</w:t>
      </w:r>
      <w:r>
        <w:rPr>
          <w:color w:val="231F20"/>
          <w:spacing w:val="-13"/>
          <w:sz w:val="20"/>
        </w:rPr>
        <w:t xml:space="preserve"> </w:t>
      </w:r>
      <w:r>
        <w:rPr>
          <w:color w:val="231F20"/>
          <w:sz w:val="20"/>
        </w:rPr>
        <w:t>health</w:t>
      </w:r>
      <w:r>
        <w:rPr>
          <w:color w:val="231F20"/>
          <w:spacing w:val="-14"/>
          <w:sz w:val="20"/>
        </w:rPr>
        <w:t xml:space="preserve"> </w:t>
      </w:r>
      <w:r>
        <w:rPr>
          <w:color w:val="231F20"/>
          <w:sz w:val="20"/>
        </w:rPr>
        <w:t>conditions</w:t>
      </w:r>
      <w:r>
        <w:rPr>
          <w:color w:val="231F20"/>
          <w:spacing w:val="-13"/>
          <w:sz w:val="20"/>
        </w:rPr>
        <w:t xml:space="preserve"> </w:t>
      </w:r>
      <w:r>
        <w:rPr>
          <w:color w:val="231F20"/>
          <w:spacing w:val="-3"/>
          <w:sz w:val="20"/>
        </w:rPr>
        <w:t>may</w:t>
      </w:r>
      <w:r>
        <w:rPr>
          <w:color w:val="231F20"/>
          <w:spacing w:val="-13"/>
          <w:sz w:val="20"/>
        </w:rPr>
        <w:t xml:space="preserve"> </w:t>
      </w:r>
      <w:r>
        <w:rPr>
          <w:color w:val="231F20"/>
          <w:sz w:val="20"/>
        </w:rPr>
        <w:t>find</w:t>
      </w:r>
      <w:r>
        <w:rPr>
          <w:color w:val="231F20"/>
          <w:spacing w:val="-13"/>
          <w:sz w:val="20"/>
        </w:rPr>
        <w:t xml:space="preserve"> </w:t>
      </w:r>
      <w:r>
        <w:rPr>
          <w:color w:val="231F20"/>
          <w:sz w:val="20"/>
        </w:rPr>
        <w:t>it</w:t>
      </w:r>
      <w:r>
        <w:rPr>
          <w:color w:val="231F20"/>
          <w:spacing w:val="-13"/>
          <w:sz w:val="20"/>
        </w:rPr>
        <w:t xml:space="preserve"> </w:t>
      </w:r>
      <w:r>
        <w:rPr>
          <w:color w:val="231F20"/>
          <w:sz w:val="20"/>
        </w:rPr>
        <w:t>particularly</w:t>
      </w:r>
      <w:r>
        <w:rPr>
          <w:color w:val="231F20"/>
          <w:spacing w:val="-14"/>
          <w:sz w:val="20"/>
        </w:rPr>
        <w:t xml:space="preserve"> </w:t>
      </w:r>
      <w:r>
        <w:rPr>
          <w:color w:val="231F20"/>
          <w:sz w:val="20"/>
        </w:rPr>
        <w:t>difficult</w:t>
      </w:r>
      <w:r>
        <w:rPr>
          <w:color w:val="231F20"/>
          <w:spacing w:val="-13"/>
          <w:sz w:val="20"/>
        </w:rPr>
        <w:t xml:space="preserve"> </w:t>
      </w:r>
      <w:r>
        <w:rPr>
          <w:color w:val="231F20"/>
          <w:sz w:val="20"/>
        </w:rPr>
        <w:t>to get</w:t>
      </w:r>
      <w:r>
        <w:rPr>
          <w:color w:val="231F20"/>
          <w:spacing w:val="-7"/>
          <w:sz w:val="20"/>
        </w:rPr>
        <w:t xml:space="preserve"> </w:t>
      </w:r>
      <w:r>
        <w:rPr>
          <w:color w:val="231F20"/>
          <w:sz w:val="20"/>
        </w:rPr>
        <w:t>police</w:t>
      </w:r>
      <w:r>
        <w:rPr>
          <w:color w:val="231F20"/>
          <w:spacing w:val="-6"/>
          <w:sz w:val="20"/>
        </w:rPr>
        <w:t xml:space="preserve"> </w:t>
      </w:r>
      <w:r>
        <w:rPr>
          <w:color w:val="231F20"/>
          <w:sz w:val="20"/>
        </w:rPr>
        <w:t>to</w:t>
      </w:r>
      <w:r>
        <w:rPr>
          <w:color w:val="231F20"/>
          <w:spacing w:val="-7"/>
          <w:sz w:val="20"/>
        </w:rPr>
        <w:t xml:space="preserve"> </w:t>
      </w:r>
      <w:r>
        <w:rPr>
          <w:color w:val="231F20"/>
          <w:sz w:val="20"/>
        </w:rPr>
        <w:t>take</w:t>
      </w:r>
      <w:r>
        <w:rPr>
          <w:color w:val="231F20"/>
          <w:spacing w:val="-6"/>
          <w:sz w:val="20"/>
        </w:rPr>
        <w:t xml:space="preserve"> </w:t>
      </w:r>
      <w:r>
        <w:rPr>
          <w:color w:val="231F20"/>
          <w:sz w:val="20"/>
        </w:rPr>
        <w:t>their</w:t>
      </w:r>
      <w:r>
        <w:rPr>
          <w:color w:val="231F20"/>
          <w:spacing w:val="-6"/>
          <w:sz w:val="20"/>
        </w:rPr>
        <w:t xml:space="preserve"> </w:t>
      </w:r>
      <w:r>
        <w:rPr>
          <w:color w:val="231F20"/>
          <w:sz w:val="20"/>
        </w:rPr>
        <w:t>reports</w:t>
      </w:r>
      <w:r>
        <w:rPr>
          <w:color w:val="231F20"/>
          <w:spacing w:val="-7"/>
          <w:sz w:val="20"/>
        </w:rPr>
        <w:t xml:space="preserve"> </w:t>
      </w:r>
      <w:r>
        <w:rPr>
          <w:color w:val="231F20"/>
          <w:sz w:val="20"/>
        </w:rPr>
        <w:t>of</w:t>
      </w:r>
      <w:r>
        <w:rPr>
          <w:color w:val="231F20"/>
          <w:spacing w:val="-6"/>
          <w:sz w:val="20"/>
        </w:rPr>
        <w:t xml:space="preserve"> </w:t>
      </w:r>
      <w:r>
        <w:rPr>
          <w:color w:val="231F20"/>
          <w:sz w:val="20"/>
        </w:rPr>
        <w:t>stalking</w:t>
      </w:r>
      <w:r>
        <w:rPr>
          <w:color w:val="231F20"/>
          <w:spacing w:val="-7"/>
          <w:sz w:val="20"/>
        </w:rPr>
        <w:t xml:space="preserve"> </w:t>
      </w:r>
      <w:r>
        <w:rPr>
          <w:color w:val="231F20"/>
          <w:spacing w:val="-3"/>
          <w:sz w:val="20"/>
        </w:rPr>
        <w:t>seriously.</w:t>
      </w:r>
      <w:r>
        <w:rPr>
          <w:color w:val="231F20"/>
          <w:spacing w:val="-6"/>
          <w:sz w:val="20"/>
        </w:rPr>
        <w:t xml:space="preserve"> </w:t>
      </w:r>
      <w:r>
        <w:rPr>
          <w:color w:val="231F20"/>
          <w:sz w:val="20"/>
        </w:rPr>
        <w:t>As</w:t>
      </w:r>
      <w:r>
        <w:rPr>
          <w:color w:val="231F20"/>
          <w:spacing w:val="-6"/>
          <w:sz w:val="20"/>
        </w:rPr>
        <w:t xml:space="preserve"> </w:t>
      </w:r>
      <w:r>
        <w:rPr>
          <w:color w:val="231F20"/>
          <w:sz w:val="20"/>
        </w:rPr>
        <w:t>one</w:t>
      </w:r>
      <w:r>
        <w:rPr>
          <w:color w:val="231F20"/>
          <w:spacing w:val="-7"/>
          <w:sz w:val="20"/>
        </w:rPr>
        <w:t xml:space="preserve"> </w:t>
      </w:r>
      <w:r>
        <w:rPr>
          <w:color w:val="231F20"/>
          <w:sz w:val="20"/>
        </w:rPr>
        <w:t>victim</w:t>
      </w:r>
      <w:r>
        <w:rPr>
          <w:color w:val="231F20"/>
          <w:spacing w:val="-6"/>
          <w:sz w:val="20"/>
        </w:rPr>
        <w:t xml:space="preserve"> </w:t>
      </w:r>
      <w:r>
        <w:rPr>
          <w:color w:val="231F20"/>
          <w:sz w:val="20"/>
        </w:rPr>
        <w:t>survivor</w:t>
      </w:r>
      <w:r>
        <w:rPr>
          <w:color w:val="231F20"/>
          <w:spacing w:val="-7"/>
          <w:sz w:val="20"/>
        </w:rPr>
        <w:t xml:space="preserve"> </w:t>
      </w:r>
      <w:r>
        <w:rPr>
          <w:color w:val="231F20"/>
          <w:spacing w:val="-3"/>
          <w:sz w:val="20"/>
        </w:rPr>
        <w:t>told</w:t>
      </w:r>
      <w:r>
        <w:rPr>
          <w:color w:val="231F20"/>
          <w:spacing w:val="-6"/>
          <w:sz w:val="20"/>
        </w:rPr>
        <w:t xml:space="preserve"> </w:t>
      </w:r>
      <w:r>
        <w:rPr>
          <w:color w:val="231F20"/>
          <w:sz w:val="20"/>
        </w:rPr>
        <w:t>us:</w:t>
      </w:r>
    </w:p>
    <w:p w14:paraId="706640B0" w14:textId="77777777" w:rsidR="00894070" w:rsidRDefault="009F6793">
      <w:pPr>
        <w:pStyle w:val="BodyText"/>
        <w:spacing w:before="6"/>
        <w:rPr>
          <w:sz w:val="23"/>
        </w:rPr>
      </w:pPr>
      <w:r>
        <w:pict w14:anchorId="58ED62B7">
          <v:shape id="_x0000_s1642" type="#_x0000_t202" style="position:absolute;margin-left:119.3pt;margin-top:18.5pt;width:396.35pt;height:32.1pt;z-index:251448320;mso-wrap-distance-left:0;mso-wrap-distance-right:0;mso-position-horizontal-relative:page" fillcolor="#fee7de" strokecolor="#ea5b50" strokeweight=".5pt">
            <v:textbox inset="0,0,0,0">
              <w:txbxContent>
                <w:p w14:paraId="3D9A288A" w14:textId="77777777" w:rsidR="00894070" w:rsidRDefault="009B7AFD">
                  <w:pPr>
                    <w:pStyle w:val="BodyText"/>
                    <w:spacing w:before="179"/>
                    <w:ind w:left="221"/>
                    <w:rPr>
                      <w:sz w:val="11"/>
                    </w:rPr>
                  </w:pPr>
                  <w:r>
                    <w:rPr>
                      <w:color w:val="231F20"/>
                    </w:rPr>
                    <w:t>They don’t believe you if you’re disabled.</w:t>
                  </w:r>
                  <w:r>
                    <w:rPr>
                      <w:color w:val="231F20"/>
                      <w:position w:val="7"/>
                      <w:sz w:val="11"/>
                    </w:rPr>
                    <w:t>119</w:t>
                  </w:r>
                </w:p>
              </w:txbxContent>
            </v:textbox>
            <w10:wrap type="topAndBottom" anchorx="page"/>
          </v:shape>
        </w:pict>
      </w:r>
    </w:p>
    <w:p w14:paraId="1DCC841E" w14:textId="77777777" w:rsidR="00894070" w:rsidRDefault="00894070">
      <w:pPr>
        <w:pStyle w:val="BodyText"/>
      </w:pPr>
    </w:p>
    <w:p w14:paraId="49F54731" w14:textId="77777777" w:rsidR="00894070" w:rsidRDefault="00894070">
      <w:pPr>
        <w:pStyle w:val="BodyText"/>
      </w:pPr>
    </w:p>
    <w:p w14:paraId="61B909E6" w14:textId="77777777" w:rsidR="00894070" w:rsidRDefault="00894070">
      <w:pPr>
        <w:pStyle w:val="BodyText"/>
      </w:pPr>
    </w:p>
    <w:p w14:paraId="12BDBA5D" w14:textId="77777777" w:rsidR="00894070" w:rsidRDefault="009F6793">
      <w:pPr>
        <w:pStyle w:val="BodyText"/>
        <w:spacing w:before="5"/>
        <w:rPr>
          <w:sz w:val="13"/>
        </w:rPr>
      </w:pPr>
      <w:r>
        <w:pict w14:anchorId="25F0EC3C">
          <v:line id="_x0000_s1641" style="position:absolute;z-index:251449344;mso-wrap-distance-left:0;mso-wrap-distance-right:0;mso-position-horizontal-relative:page" from="79.35pt,11.75pt" to="515.9pt,11.75pt" strokecolor="#f8cabc" strokeweight="1pt">
            <w10:wrap type="topAndBottom" anchorx="page"/>
          </v:line>
        </w:pict>
      </w:r>
    </w:p>
    <w:p w14:paraId="13A3344A" w14:textId="77777777" w:rsidR="00894070" w:rsidRDefault="009B7AFD">
      <w:pPr>
        <w:pStyle w:val="ListParagraph"/>
        <w:numPr>
          <w:ilvl w:val="0"/>
          <w:numId w:val="166"/>
        </w:numPr>
        <w:tabs>
          <w:tab w:val="left" w:pos="1801"/>
          <w:tab w:val="left" w:pos="1802"/>
        </w:tabs>
        <w:spacing w:before="107" w:line="213" w:lineRule="auto"/>
        <w:ind w:right="1276"/>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 [4.10].</w:t>
      </w:r>
    </w:p>
    <w:p w14:paraId="7719BEB1" w14:textId="77777777" w:rsidR="00894070" w:rsidRDefault="009B7AFD">
      <w:pPr>
        <w:tabs>
          <w:tab w:val="left" w:pos="1801"/>
        </w:tabs>
        <w:spacing w:line="153" w:lineRule="exact"/>
        <w:ind w:left="1007"/>
        <w:rPr>
          <w:sz w:val="13"/>
        </w:rPr>
      </w:pPr>
      <w:r>
        <w:rPr>
          <w:color w:val="231F20"/>
          <w:spacing w:val="2"/>
          <w:sz w:val="13"/>
        </w:rPr>
        <w:t>114</w:t>
      </w:r>
      <w:r>
        <w:rPr>
          <w:color w:val="231F20"/>
          <w:spacing w:val="2"/>
          <w:sz w:val="13"/>
        </w:rPr>
        <w:tab/>
      </w:r>
      <w:r>
        <w:rPr>
          <w:color w:val="231F20"/>
          <w:sz w:val="13"/>
        </w:rPr>
        <w:t xml:space="preserve">Ibid </w:t>
      </w:r>
      <w:r>
        <w:rPr>
          <w:color w:val="231F20"/>
          <w:spacing w:val="2"/>
          <w:sz w:val="13"/>
        </w:rPr>
        <w:t>[3.9].</w:t>
      </w:r>
    </w:p>
    <w:p w14:paraId="31B574E7" w14:textId="77777777" w:rsidR="00894070" w:rsidRDefault="009B7AFD">
      <w:pPr>
        <w:pStyle w:val="ListParagraph"/>
        <w:numPr>
          <w:ilvl w:val="0"/>
          <w:numId w:val="165"/>
        </w:numPr>
        <w:tabs>
          <w:tab w:val="left" w:pos="1801"/>
          <w:tab w:val="left" w:pos="1802"/>
        </w:tabs>
        <w:spacing w:before="6" w:line="213" w:lineRule="auto"/>
        <w:ind w:right="1460"/>
        <w:rPr>
          <w:sz w:val="13"/>
        </w:rPr>
      </w:pPr>
      <w:r>
        <w:rPr>
          <w:color w:val="231F20"/>
          <w:sz w:val="13"/>
        </w:rPr>
        <w:t xml:space="preserve">Gianna E Davis, Denise A Hines and Kathleen M Palm Reed, ‘Routine Activities and Stalking Victimization in Sexual Minority College Students’ [2021] </w:t>
      </w:r>
      <w:r>
        <w:rPr>
          <w:i/>
          <w:color w:val="231F20"/>
          <w:sz w:val="13"/>
        </w:rPr>
        <w:t xml:space="preserve">Journal of Interpersonal Violence </w:t>
      </w:r>
      <w:r>
        <w:rPr>
          <w:color w:val="231F20"/>
          <w:sz w:val="13"/>
        </w:rPr>
        <w:t xml:space="preserve">10.1177/0886260521991879:1–29, </w:t>
      </w:r>
      <w:proofErr w:type="gramStart"/>
      <w:r>
        <w:rPr>
          <w:color w:val="231F20"/>
          <w:sz w:val="13"/>
        </w:rPr>
        <w:t>1;  Erica</w:t>
      </w:r>
      <w:proofErr w:type="gramEnd"/>
      <w:r>
        <w:rPr>
          <w:color w:val="231F20"/>
          <w:sz w:val="13"/>
        </w:rPr>
        <w:t xml:space="preserve">  R  </w:t>
      </w:r>
      <w:proofErr w:type="spellStart"/>
      <w:r>
        <w:rPr>
          <w:color w:val="231F20"/>
          <w:sz w:val="13"/>
        </w:rPr>
        <w:t>Fissel</w:t>
      </w:r>
      <w:proofErr w:type="spellEnd"/>
      <w:r>
        <w:rPr>
          <w:color w:val="231F20"/>
          <w:sz w:val="13"/>
        </w:rPr>
        <w:t xml:space="preserve">,  Bradford  W </w:t>
      </w:r>
      <w:proofErr w:type="spellStart"/>
      <w:r>
        <w:rPr>
          <w:color w:val="231F20"/>
          <w:sz w:val="13"/>
        </w:rPr>
        <w:t>Reyns</w:t>
      </w:r>
      <w:proofErr w:type="spellEnd"/>
      <w:r>
        <w:rPr>
          <w:color w:val="231F20"/>
          <w:spacing w:val="7"/>
          <w:sz w:val="13"/>
        </w:rPr>
        <w:t xml:space="preserve"> </w:t>
      </w:r>
      <w:r>
        <w:rPr>
          <w:color w:val="231F20"/>
          <w:sz w:val="13"/>
        </w:rPr>
        <w:t>and</w:t>
      </w:r>
      <w:r>
        <w:rPr>
          <w:color w:val="231F20"/>
          <w:spacing w:val="7"/>
          <w:sz w:val="13"/>
        </w:rPr>
        <w:t xml:space="preserve"> </w:t>
      </w:r>
      <w:r>
        <w:rPr>
          <w:color w:val="231F20"/>
          <w:sz w:val="13"/>
        </w:rPr>
        <w:t>Bonnie</w:t>
      </w:r>
      <w:r>
        <w:rPr>
          <w:color w:val="231F20"/>
          <w:spacing w:val="7"/>
          <w:sz w:val="13"/>
        </w:rPr>
        <w:t xml:space="preserve"> </w:t>
      </w:r>
      <w:r>
        <w:rPr>
          <w:color w:val="231F20"/>
          <w:sz w:val="13"/>
        </w:rPr>
        <w:t>S</w:t>
      </w:r>
      <w:r>
        <w:rPr>
          <w:color w:val="231F20"/>
          <w:spacing w:val="7"/>
          <w:sz w:val="13"/>
        </w:rPr>
        <w:t xml:space="preserve"> </w:t>
      </w:r>
      <w:r>
        <w:rPr>
          <w:color w:val="231F20"/>
          <w:sz w:val="13"/>
        </w:rPr>
        <w:t>Fisher,</w:t>
      </w:r>
      <w:r>
        <w:rPr>
          <w:color w:val="231F20"/>
          <w:spacing w:val="7"/>
          <w:sz w:val="13"/>
        </w:rPr>
        <w:t xml:space="preserve"> </w:t>
      </w:r>
      <w:r>
        <w:rPr>
          <w:color w:val="231F20"/>
          <w:spacing w:val="2"/>
          <w:sz w:val="13"/>
        </w:rPr>
        <w:t>‘Stalking</w:t>
      </w:r>
      <w:r>
        <w:rPr>
          <w:color w:val="231F20"/>
          <w:spacing w:val="8"/>
          <w:sz w:val="13"/>
        </w:rPr>
        <w:t xml:space="preserve"> </w:t>
      </w:r>
      <w:r>
        <w:rPr>
          <w:color w:val="231F20"/>
          <w:sz w:val="13"/>
        </w:rPr>
        <w:t>and</w:t>
      </w:r>
      <w:r>
        <w:rPr>
          <w:color w:val="231F20"/>
          <w:spacing w:val="7"/>
          <w:sz w:val="13"/>
        </w:rPr>
        <w:t xml:space="preserve"> </w:t>
      </w:r>
      <w:r>
        <w:rPr>
          <w:color w:val="231F20"/>
          <w:spacing w:val="2"/>
          <w:sz w:val="13"/>
        </w:rPr>
        <w:t>Cyberstalking</w:t>
      </w:r>
      <w:r>
        <w:rPr>
          <w:color w:val="231F20"/>
          <w:spacing w:val="7"/>
          <w:sz w:val="13"/>
        </w:rPr>
        <w:t xml:space="preserve"> </w:t>
      </w:r>
      <w:r>
        <w:rPr>
          <w:color w:val="231F20"/>
          <w:sz w:val="13"/>
        </w:rPr>
        <w:t>Victimization</w:t>
      </w:r>
      <w:r>
        <w:rPr>
          <w:color w:val="231F20"/>
          <w:spacing w:val="7"/>
          <w:sz w:val="13"/>
        </w:rPr>
        <w:t xml:space="preserve"> </w:t>
      </w:r>
      <w:r>
        <w:rPr>
          <w:color w:val="231F20"/>
          <w:sz w:val="13"/>
        </w:rPr>
        <w:t>Research:</w:t>
      </w:r>
      <w:r>
        <w:rPr>
          <w:color w:val="231F20"/>
          <w:spacing w:val="7"/>
          <w:sz w:val="13"/>
        </w:rPr>
        <w:t xml:space="preserve"> </w:t>
      </w:r>
      <w:r>
        <w:rPr>
          <w:color w:val="231F20"/>
          <w:sz w:val="13"/>
        </w:rPr>
        <w:t>Taking</w:t>
      </w:r>
      <w:r>
        <w:rPr>
          <w:color w:val="231F20"/>
          <w:spacing w:val="8"/>
          <w:sz w:val="13"/>
        </w:rPr>
        <w:t xml:space="preserve"> </w:t>
      </w:r>
      <w:r>
        <w:rPr>
          <w:color w:val="231F20"/>
          <w:sz w:val="13"/>
        </w:rPr>
        <w:t>Stock</w:t>
      </w:r>
      <w:r>
        <w:rPr>
          <w:color w:val="231F20"/>
          <w:spacing w:val="7"/>
          <w:sz w:val="13"/>
        </w:rPr>
        <w:t xml:space="preserve"> </w:t>
      </w:r>
      <w:r>
        <w:rPr>
          <w:color w:val="231F20"/>
          <w:sz w:val="13"/>
        </w:rPr>
        <w:t>of</w:t>
      </w:r>
      <w:r>
        <w:rPr>
          <w:color w:val="231F20"/>
          <w:spacing w:val="7"/>
          <w:sz w:val="13"/>
        </w:rPr>
        <w:t xml:space="preserve"> </w:t>
      </w:r>
      <w:r>
        <w:rPr>
          <w:color w:val="231F20"/>
          <w:sz w:val="13"/>
        </w:rPr>
        <w:t>Key</w:t>
      </w:r>
      <w:r>
        <w:rPr>
          <w:color w:val="231F20"/>
          <w:spacing w:val="7"/>
          <w:sz w:val="13"/>
        </w:rPr>
        <w:t xml:space="preserve"> </w:t>
      </w:r>
      <w:r>
        <w:rPr>
          <w:color w:val="231F20"/>
          <w:sz w:val="13"/>
        </w:rPr>
        <w:t>Conceptual,</w:t>
      </w:r>
      <w:r>
        <w:rPr>
          <w:color w:val="231F20"/>
          <w:spacing w:val="7"/>
          <w:sz w:val="13"/>
        </w:rPr>
        <w:t xml:space="preserve"> </w:t>
      </w:r>
      <w:r>
        <w:rPr>
          <w:color w:val="231F20"/>
          <w:sz w:val="13"/>
        </w:rPr>
        <w:t>Definitional,</w:t>
      </w:r>
    </w:p>
    <w:p w14:paraId="19528B47" w14:textId="77777777" w:rsidR="00894070" w:rsidRDefault="009B7AFD">
      <w:pPr>
        <w:spacing w:line="213" w:lineRule="auto"/>
        <w:ind w:left="1801" w:right="1396"/>
        <w:rPr>
          <w:sz w:val="13"/>
        </w:rPr>
      </w:pPr>
      <w:r>
        <w:rPr>
          <w:color w:val="231F20"/>
          <w:sz w:val="13"/>
        </w:rPr>
        <w:t xml:space="preserve">Prevalence, and Theoretical Issues’ in Heng </w:t>
      </w:r>
      <w:proofErr w:type="spellStart"/>
      <w:r>
        <w:rPr>
          <w:color w:val="231F20"/>
          <w:sz w:val="13"/>
        </w:rPr>
        <w:t>Choon</w:t>
      </w:r>
      <w:proofErr w:type="spellEnd"/>
      <w:r>
        <w:rPr>
          <w:color w:val="231F20"/>
          <w:sz w:val="13"/>
        </w:rPr>
        <w:t xml:space="preserve"> (Oliver)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An International Perspective </w:t>
      </w:r>
      <w:r>
        <w:rPr>
          <w:color w:val="231F20"/>
          <w:sz w:val="13"/>
        </w:rPr>
        <w:t xml:space="preserve">(John Wiley and Sons, 2020) </w:t>
      </w:r>
      <w:r>
        <w:rPr>
          <w:color w:val="231F20"/>
          <w:spacing w:val="2"/>
          <w:sz w:val="13"/>
        </w:rPr>
        <w:t xml:space="preserve">11, 21. </w:t>
      </w:r>
      <w:r>
        <w:rPr>
          <w:color w:val="231F20"/>
          <w:sz w:val="13"/>
        </w:rPr>
        <w:t xml:space="preserve">Research </w:t>
      </w:r>
      <w:r>
        <w:rPr>
          <w:color w:val="231F20"/>
          <w:spacing w:val="2"/>
          <w:sz w:val="13"/>
        </w:rPr>
        <w:t xml:space="preserve">also </w:t>
      </w:r>
      <w:r>
        <w:rPr>
          <w:color w:val="231F20"/>
          <w:sz w:val="13"/>
        </w:rPr>
        <w:t xml:space="preserve">shows they are at </w:t>
      </w:r>
      <w:r>
        <w:rPr>
          <w:color w:val="231F20"/>
          <w:spacing w:val="2"/>
          <w:sz w:val="13"/>
        </w:rPr>
        <w:t xml:space="preserve">higher </w:t>
      </w:r>
      <w:r>
        <w:rPr>
          <w:color w:val="231F20"/>
          <w:sz w:val="13"/>
        </w:rPr>
        <w:t xml:space="preserve">risk     of cyberbullying by comparison to their heterosexual peers: Roberto L Abreu and Maureen C Kenny, ‘Cyberbullying and LGBTQ Youth: A Systematic Literature Review and Recommendations for Prevention and Intervention’ (2018) 11(1) </w:t>
      </w:r>
      <w:r>
        <w:rPr>
          <w:i/>
          <w:color w:val="231F20"/>
          <w:sz w:val="13"/>
        </w:rPr>
        <w:t xml:space="preserve">Journal of Child </w:t>
      </w:r>
      <w:r>
        <w:rPr>
          <w:i/>
          <w:color w:val="231F20"/>
          <w:spacing w:val="2"/>
          <w:sz w:val="13"/>
        </w:rPr>
        <w:t>and</w:t>
      </w:r>
      <w:r>
        <w:rPr>
          <w:i/>
          <w:color w:val="231F20"/>
          <w:spacing w:val="36"/>
          <w:sz w:val="13"/>
        </w:rPr>
        <w:t xml:space="preserve"> </w:t>
      </w:r>
      <w:r>
        <w:rPr>
          <w:i/>
          <w:color w:val="231F20"/>
          <w:sz w:val="13"/>
        </w:rPr>
        <w:t xml:space="preserve">Adolescent Trauma </w:t>
      </w:r>
      <w:r>
        <w:rPr>
          <w:color w:val="231F20"/>
          <w:sz w:val="13"/>
        </w:rPr>
        <w:t>81, 81.</w:t>
      </w:r>
    </w:p>
    <w:p w14:paraId="0EB5CF9A" w14:textId="77777777" w:rsidR="00894070" w:rsidRDefault="009B7AFD">
      <w:pPr>
        <w:pStyle w:val="ListParagraph"/>
        <w:numPr>
          <w:ilvl w:val="0"/>
          <w:numId w:val="165"/>
        </w:numPr>
        <w:tabs>
          <w:tab w:val="left" w:pos="1801"/>
          <w:tab w:val="left" w:pos="1802"/>
        </w:tabs>
        <w:spacing w:line="151" w:lineRule="exact"/>
        <w:rPr>
          <w:sz w:val="13"/>
        </w:rPr>
      </w:pPr>
      <w:r>
        <w:rPr>
          <w:color w:val="231F20"/>
          <w:sz w:val="13"/>
        </w:rPr>
        <w:t>Consultation 28 (Victorian Pride</w:t>
      </w:r>
      <w:r>
        <w:rPr>
          <w:color w:val="231F20"/>
          <w:spacing w:val="1"/>
          <w:sz w:val="13"/>
        </w:rPr>
        <w:t xml:space="preserve"> </w:t>
      </w:r>
      <w:r>
        <w:rPr>
          <w:color w:val="231F20"/>
          <w:sz w:val="13"/>
        </w:rPr>
        <w:t>Lobby).</w:t>
      </w:r>
    </w:p>
    <w:p w14:paraId="6FEA123F" w14:textId="77777777" w:rsidR="00894070" w:rsidRDefault="009B7AFD">
      <w:pPr>
        <w:pStyle w:val="ListParagraph"/>
        <w:numPr>
          <w:ilvl w:val="0"/>
          <w:numId w:val="165"/>
        </w:numPr>
        <w:tabs>
          <w:tab w:val="left" w:pos="1800"/>
          <w:tab w:val="left" w:pos="1802"/>
        </w:tabs>
        <w:spacing w:before="5" w:line="213" w:lineRule="auto"/>
        <w:ind w:right="1831"/>
        <w:rPr>
          <w:sz w:val="13"/>
        </w:rPr>
      </w:pPr>
      <w:r>
        <w:rPr>
          <w:color w:val="231F20"/>
          <w:sz w:val="13"/>
        </w:rPr>
        <w:t xml:space="preserve">Australian Bureau of </w:t>
      </w:r>
      <w:r>
        <w:rPr>
          <w:color w:val="231F20"/>
          <w:spacing w:val="2"/>
          <w:sz w:val="13"/>
        </w:rPr>
        <w:t xml:space="preserve">Statistics, </w:t>
      </w:r>
      <w:r>
        <w:rPr>
          <w:i/>
          <w:color w:val="231F20"/>
          <w:spacing w:val="2"/>
          <w:sz w:val="13"/>
        </w:rPr>
        <w:t xml:space="preserve">Experience </w:t>
      </w:r>
      <w:r>
        <w:rPr>
          <w:i/>
          <w:color w:val="231F20"/>
          <w:sz w:val="13"/>
        </w:rPr>
        <w:t xml:space="preserve">of Stalking—Personal Safety, Australia, 2016 </w:t>
      </w:r>
      <w:r>
        <w:rPr>
          <w:color w:val="231F20"/>
          <w:sz w:val="13"/>
        </w:rPr>
        <w:t xml:space="preserve">(Data Table No 49060DO0007, 8 November 2017) Table </w:t>
      </w:r>
      <w:r>
        <w:rPr>
          <w:color w:val="231F20"/>
          <w:spacing w:val="2"/>
          <w:sz w:val="13"/>
        </w:rPr>
        <w:t>38.1.</w:t>
      </w:r>
    </w:p>
    <w:p w14:paraId="01CAE9C9" w14:textId="77777777" w:rsidR="00894070" w:rsidRDefault="009B7AFD">
      <w:pPr>
        <w:pStyle w:val="ListParagraph"/>
        <w:numPr>
          <w:ilvl w:val="0"/>
          <w:numId w:val="165"/>
        </w:numPr>
        <w:tabs>
          <w:tab w:val="left" w:pos="1800"/>
          <w:tab w:val="left" w:pos="1802"/>
        </w:tabs>
        <w:spacing w:line="213" w:lineRule="auto"/>
        <w:ind w:right="1290"/>
        <w:rPr>
          <w:sz w:val="13"/>
        </w:rPr>
      </w:pPr>
      <w:r>
        <w:rPr>
          <w:color w:val="231F20"/>
          <w:sz w:val="13"/>
        </w:rPr>
        <w:t xml:space="preserve">Ibid Table </w:t>
      </w:r>
      <w:r>
        <w:rPr>
          <w:color w:val="231F20"/>
          <w:spacing w:val="2"/>
          <w:sz w:val="13"/>
        </w:rPr>
        <w:t xml:space="preserve">38.3. </w:t>
      </w:r>
      <w:r>
        <w:rPr>
          <w:color w:val="231F20"/>
          <w:sz w:val="13"/>
        </w:rPr>
        <w:t xml:space="preserve">The figures do not distinguish between family violence and non-family violence </w:t>
      </w:r>
      <w:r>
        <w:rPr>
          <w:color w:val="231F20"/>
          <w:spacing w:val="2"/>
          <w:sz w:val="13"/>
        </w:rPr>
        <w:t xml:space="preserve">stalking. </w:t>
      </w:r>
      <w:r>
        <w:rPr>
          <w:color w:val="231F20"/>
          <w:sz w:val="13"/>
        </w:rPr>
        <w:t xml:space="preserve">Women with </w:t>
      </w:r>
      <w:r>
        <w:rPr>
          <w:color w:val="231F20"/>
          <w:spacing w:val="2"/>
          <w:sz w:val="13"/>
        </w:rPr>
        <w:t xml:space="preserve">disability </w:t>
      </w:r>
      <w:r>
        <w:rPr>
          <w:color w:val="231F20"/>
          <w:sz w:val="13"/>
        </w:rPr>
        <w:t>are</w:t>
      </w:r>
      <w:r>
        <w:rPr>
          <w:color w:val="231F20"/>
          <w:spacing w:val="2"/>
          <w:sz w:val="13"/>
        </w:rPr>
        <w:t xml:space="preserve"> </w:t>
      </w:r>
      <w:r>
        <w:rPr>
          <w:color w:val="231F20"/>
          <w:sz w:val="13"/>
        </w:rPr>
        <w:t>more</w:t>
      </w:r>
      <w:r>
        <w:rPr>
          <w:color w:val="231F20"/>
          <w:spacing w:val="3"/>
          <w:sz w:val="13"/>
        </w:rPr>
        <w:t xml:space="preserve"> </w:t>
      </w:r>
      <w:r>
        <w:rPr>
          <w:color w:val="231F20"/>
          <w:sz w:val="13"/>
        </w:rPr>
        <w:t>likely</w:t>
      </w:r>
      <w:r>
        <w:rPr>
          <w:color w:val="231F20"/>
          <w:spacing w:val="3"/>
          <w:sz w:val="13"/>
        </w:rPr>
        <w:t xml:space="preserve"> </w:t>
      </w:r>
      <w:r>
        <w:rPr>
          <w:color w:val="231F20"/>
          <w:sz w:val="13"/>
        </w:rPr>
        <w:t>to</w:t>
      </w:r>
      <w:r>
        <w:rPr>
          <w:color w:val="231F20"/>
          <w:spacing w:val="3"/>
          <w:sz w:val="13"/>
        </w:rPr>
        <w:t xml:space="preserve"> </w:t>
      </w:r>
      <w:r>
        <w:rPr>
          <w:color w:val="231F20"/>
          <w:sz w:val="13"/>
        </w:rPr>
        <w:t>experience</w:t>
      </w:r>
      <w:r>
        <w:rPr>
          <w:color w:val="231F20"/>
          <w:spacing w:val="3"/>
          <w:sz w:val="13"/>
        </w:rPr>
        <w:t xml:space="preserve"> </w:t>
      </w:r>
      <w:r>
        <w:rPr>
          <w:color w:val="231F20"/>
          <w:spacing w:val="2"/>
          <w:sz w:val="13"/>
        </w:rPr>
        <w:t>stalking (3.7%</w:t>
      </w:r>
      <w:r>
        <w:rPr>
          <w:color w:val="231F20"/>
          <w:spacing w:val="3"/>
          <w:sz w:val="13"/>
        </w:rPr>
        <w:t xml:space="preserve"> </w:t>
      </w:r>
      <w:r>
        <w:rPr>
          <w:color w:val="231F20"/>
          <w:sz w:val="13"/>
        </w:rPr>
        <w:t>in</w:t>
      </w:r>
      <w:r>
        <w:rPr>
          <w:color w:val="231F20"/>
          <w:spacing w:val="3"/>
          <w:sz w:val="13"/>
        </w:rPr>
        <w:t xml:space="preserve"> </w:t>
      </w:r>
      <w:r>
        <w:rPr>
          <w:color w:val="231F20"/>
          <w:sz w:val="13"/>
        </w:rPr>
        <w:t>the</w:t>
      </w:r>
      <w:r>
        <w:rPr>
          <w:color w:val="231F20"/>
          <w:spacing w:val="3"/>
          <w:sz w:val="13"/>
        </w:rPr>
        <w:t xml:space="preserve"> </w:t>
      </w:r>
      <w:r>
        <w:rPr>
          <w:color w:val="231F20"/>
          <w:spacing w:val="2"/>
          <w:sz w:val="13"/>
        </w:rPr>
        <w:t>last</w:t>
      </w:r>
      <w:r>
        <w:rPr>
          <w:color w:val="231F20"/>
          <w:spacing w:val="3"/>
          <w:sz w:val="13"/>
        </w:rPr>
        <w:t xml:space="preserve"> </w:t>
      </w:r>
      <w:r>
        <w:rPr>
          <w:color w:val="231F20"/>
          <w:sz w:val="13"/>
        </w:rPr>
        <w:t>12</w:t>
      </w:r>
      <w:r>
        <w:rPr>
          <w:color w:val="231F20"/>
          <w:spacing w:val="2"/>
          <w:sz w:val="13"/>
        </w:rPr>
        <w:t xml:space="preserve"> </w:t>
      </w:r>
      <w:r>
        <w:rPr>
          <w:color w:val="231F20"/>
          <w:sz w:val="13"/>
        </w:rPr>
        <w:t>months)</w:t>
      </w:r>
      <w:r>
        <w:rPr>
          <w:color w:val="231F20"/>
          <w:spacing w:val="3"/>
          <w:sz w:val="13"/>
        </w:rPr>
        <w:t xml:space="preserve"> </w:t>
      </w:r>
      <w:r>
        <w:rPr>
          <w:color w:val="231F20"/>
          <w:sz w:val="13"/>
        </w:rPr>
        <w:t>than</w:t>
      </w:r>
      <w:r>
        <w:rPr>
          <w:color w:val="231F20"/>
          <w:spacing w:val="3"/>
          <w:sz w:val="13"/>
        </w:rPr>
        <w:t xml:space="preserve"> </w:t>
      </w:r>
      <w:r>
        <w:rPr>
          <w:color w:val="231F20"/>
          <w:sz w:val="13"/>
        </w:rPr>
        <w:t>men</w:t>
      </w:r>
      <w:r>
        <w:rPr>
          <w:color w:val="231F20"/>
          <w:spacing w:val="3"/>
          <w:sz w:val="13"/>
        </w:rPr>
        <w:t xml:space="preserve"> </w:t>
      </w:r>
      <w:r>
        <w:rPr>
          <w:color w:val="231F20"/>
          <w:sz w:val="13"/>
        </w:rPr>
        <w:t>with</w:t>
      </w:r>
      <w:r>
        <w:rPr>
          <w:color w:val="231F20"/>
          <w:spacing w:val="3"/>
          <w:sz w:val="13"/>
        </w:rPr>
        <w:t xml:space="preserve"> </w:t>
      </w:r>
      <w:r>
        <w:rPr>
          <w:color w:val="231F20"/>
          <w:spacing w:val="2"/>
          <w:sz w:val="13"/>
        </w:rPr>
        <w:t>disability (2.5%</w:t>
      </w:r>
      <w:r>
        <w:rPr>
          <w:color w:val="231F20"/>
          <w:spacing w:val="3"/>
          <w:sz w:val="13"/>
        </w:rPr>
        <w:t xml:space="preserve"> </w:t>
      </w:r>
      <w:r>
        <w:rPr>
          <w:color w:val="231F20"/>
          <w:sz w:val="13"/>
        </w:rPr>
        <w:t>in</w:t>
      </w:r>
      <w:r>
        <w:rPr>
          <w:color w:val="231F20"/>
          <w:spacing w:val="3"/>
          <w:sz w:val="13"/>
        </w:rPr>
        <w:t xml:space="preserve"> </w:t>
      </w:r>
      <w:r>
        <w:rPr>
          <w:color w:val="231F20"/>
          <w:sz w:val="13"/>
        </w:rPr>
        <w:t>the</w:t>
      </w:r>
      <w:r>
        <w:rPr>
          <w:color w:val="231F20"/>
          <w:spacing w:val="3"/>
          <w:sz w:val="13"/>
        </w:rPr>
        <w:t xml:space="preserve"> </w:t>
      </w:r>
      <w:r>
        <w:rPr>
          <w:color w:val="231F20"/>
          <w:spacing w:val="2"/>
          <w:sz w:val="13"/>
        </w:rPr>
        <w:t>last</w:t>
      </w:r>
      <w:r>
        <w:rPr>
          <w:color w:val="231F20"/>
          <w:spacing w:val="3"/>
          <w:sz w:val="13"/>
        </w:rPr>
        <w:t xml:space="preserve"> </w:t>
      </w:r>
      <w:r>
        <w:rPr>
          <w:color w:val="231F20"/>
          <w:sz w:val="13"/>
        </w:rPr>
        <w:t>12</w:t>
      </w:r>
      <w:r>
        <w:rPr>
          <w:color w:val="231F20"/>
          <w:spacing w:val="3"/>
          <w:sz w:val="13"/>
        </w:rPr>
        <w:t xml:space="preserve"> </w:t>
      </w:r>
      <w:r>
        <w:rPr>
          <w:color w:val="231F20"/>
          <w:sz w:val="13"/>
        </w:rPr>
        <w:t>months):</w:t>
      </w:r>
      <w:r>
        <w:rPr>
          <w:color w:val="231F20"/>
          <w:spacing w:val="2"/>
          <w:sz w:val="13"/>
        </w:rPr>
        <w:t xml:space="preserve"> </w:t>
      </w:r>
      <w:r>
        <w:rPr>
          <w:color w:val="231F20"/>
          <w:sz w:val="13"/>
        </w:rPr>
        <w:t>at</w:t>
      </w:r>
    </w:p>
    <w:p w14:paraId="607770E6" w14:textId="77777777" w:rsidR="00894070" w:rsidRDefault="009B7AFD">
      <w:pPr>
        <w:spacing w:line="153" w:lineRule="exact"/>
        <w:ind w:left="1801"/>
        <w:rPr>
          <w:sz w:val="13"/>
        </w:rPr>
      </w:pPr>
      <w:r>
        <w:rPr>
          <w:color w:val="231F20"/>
          <w:sz w:val="13"/>
        </w:rPr>
        <w:t>Table 38.3.</w:t>
      </w:r>
    </w:p>
    <w:p w14:paraId="61332031" w14:textId="77777777" w:rsidR="00894070" w:rsidRDefault="009F6793">
      <w:pPr>
        <w:pStyle w:val="ListParagraph"/>
        <w:numPr>
          <w:ilvl w:val="0"/>
          <w:numId w:val="165"/>
        </w:numPr>
        <w:tabs>
          <w:tab w:val="left" w:pos="1801"/>
          <w:tab w:val="left" w:pos="1802"/>
        </w:tabs>
        <w:spacing w:before="5" w:line="213" w:lineRule="auto"/>
        <w:ind w:right="1521"/>
        <w:rPr>
          <w:sz w:val="13"/>
        </w:rPr>
      </w:pPr>
      <w:r>
        <w:pict w14:anchorId="26A386E6">
          <v:shape id="_x0000_s1640" type="#_x0000_t202" style="position:absolute;left:0;text-align:left;margin-left:548.9pt;margin-top:3.65pt;width:13.4pt;height:14.1pt;z-index:251521024;mso-position-horizontal-relative:page" filled="f" stroked="f">
            <v:textbox inset="0,0,0,0">
              <w:txbxContent>
                <w:p w14:paraId="730D56E1" w14:textId="77777777" w:rsidR="00894070" w:rsidRDefault="009B7AFD">
                  <w:pPr>
                    <w:spacing w:line="282" w:lineRule="exact"/>
                    <w:rPr>
                      <w:b/>
                      <w:sz w:val="24"/>
                    </w:rPr>
                  </w:pPr>
                  <w:r>
                    <w:rPr>
                      <w:b/>
                      <w:color w:val="EA5B50"/>
                      <w:spacing w:val="-1"/>
                      <w:sz w:val="24"/>
                    </w:rPr>
                    <w:t>25</w:t>
                  </w:r>
                </w:p>
              </w:txbxContent>
            </v:textbox>
            <w10:wrap anchorx="page"/>
          </v:shape>
        </w:pict>
      </w:r>
      <w:r w:rsidR="009B7AFD">
        <w:rPr>
          <w:color w:val="231F20"/>
          <w:sz w:val="13"/>
        </w:rPr>
        <w:t xml:space="preserve">Victorian Law Reform </w:t>
      </w:r>
      <w:r w:rsidR="009B7AFD">
        <w:rPr>
          <w:color w:val="231F20"/>
          <w:spacing w:val="2"/>
          <w:sz w:val="13"/>
        </w:rPr>
        <w:t xml:space="preserve">Commission, </w:t>
      </w:r>
      <w:r w:rsidR="009B7AFD">
        <w:rPr>
          <w:i/>
          <w:color w:val="231F20"/>
          <w:sz w:val="13"/>
        </w:rPr>
        <w:t xml:space="preserve">Stalking: </w:t>
      </w:r>
      <w:r w:rsidR="009B7AFD">
        <w:rPr>
          <w:i/>
          <w:color w:val="231F20"/>
          <w:spacing w:val="2"/>
          <w:sz w:val="13"/>
        </w:rPr>
        <w:t xml:space="preserve">Summary </w:t>
      </w:r>
      <w:r w:rsidR="009B7AFD">
        <w:rPr>
          <w:i/>
          <w:color w:val="231F20"/>
          <w:sz w:val="13"/>
        </w:rPr>
        <w:t xml:space="preserve">of Responses to Online Feedback Form from People with </w:t>
      </w:r>
      <w:r w:rsidR="009B7AFD">
        <w:rPr>
          <w:i/>
          <w:color w:val="231F20"/>
          <w:spacing w:val="2"/>
          <w:sz w:val="13"/>
        </w:rPr>
        <w:t xml:space="preserve">Experience </w:t>
      </w:r>
      <w:r w:rsidR="009B7AFD">
        <w:rPr>
          <w:i/>
          <w:color w:val="231F20"/>
          <w:sz w:val="13"/>
        </w:rPr>
        <w:t xml:space="preserve">of Stalking </w:t>
      </w:r>
      <w:r w:rsidR="009B7AFD">
        <w:rPr>
          <w:color w:val="231F20"/>
          <w:spacing w:val="2"/>
          <w:sz w:val="13"/>
        </w:rPr>
        <w:t xml:space="preserve">(Report, </w:t>
      </w:r>
      <w:r w:rsidR="009B7AFD">
        <w:rPr>
          <w:color w:val="231F20"/>
          <w:sz w:val="13"/>
        </w:rPr>
        <w:t>August</w:t>
      </w:r>
      <w:r w:rsidR="009B7AFD">
        <w:rPr>
          <w:color w:val="231F20"/>
          <w:spacing w:val="-2"/>
          <w:sz w:val="13"/>
        </w:rPr>
        <w:t xml:space="preserve"> </w:t>
      </w:r>
      <w:r w:rsidR="009B7AFD">
        <w:rPr>
          <w:color w:val="231F20"/>
          <w:sz w:val="13"/>
        </w:rPr>
        <w:t>2021).</w:t>
      </w:r>
    </w:p>
    <w:p w14:paraId="0166D338" w14:textId="77777777" w:rsidR="00894070" w:rsidRDefault="00894070">
      <w:pPr>
        <w:spacing w:line="213" w:lineRule="auto"/>
        <w:rPr>
          <w:sz w:val="13"/>
        </w:rPr>
        <w:sectPr w:rsidR="00894070">
          <w:pgSz w:w="11910" w:h="16840"/>
          <w:pgMar w:top="840" w:right="420" w:bottom="280" w:left="580" w:header="0" w:footer="0" w:gutter="0"/>
          <w:cols w:space="720"/>
        </w:sectPr>
      </w:pPr>
    </w:p>
    <w:p w14:paraId="60C1AF88" w14:textId="77777777" w:rsidR="00894070" w:rsidRDefault="00894070">
      <w:pPr>
        <w:pStyle w:val="BodyText"/>
      </w:pPr>
    </w:p>
    <w:p w14:paraId="0177EA59" w14:textId="77777777" w:rsidR="00894070" w:rsidRDefault="00894070">
      <w:pPr>
        <w:pStyle w:val="BodyText"/>
      </w:pPr>
    </w:p>
    <w:p w14:paraId="70661386" w14:textId="77777777" w:rsidR="00894070" w:rsidRDefault="00894070">
      <w:pPr>
        <w:pStyle w:val="BodyText"/>
      </w:pPr>
    </w:p>
    <w:p w14:paraId="1707E88E" w14:textId="77777777" w:rsidR="00894070" w:rsidRDefault="00894070">
      <w:pPr>
        <w:pStyle w:val="BodyText"/>
        <w:spacing w:before="11"/>
        <w:rPr>
          <w:sz w:val="18"/>
        </w:rPr>
      </w:pPr>
    </w:p>
    <w:p w14:paraId="25714BC1" w14:textId="77777777" w:rsidR="00894070" w:rsidRDefault="009B7AFD">
      <w:pPr>
        <w:pStyle w:val="ListParagraph"/>
        <w:numPr>
          <w:ilvl w:val="1"/>
          <w:numId w:val="177"/>
        </w:numPr>
        <w:tabs>
          <w:tab w:val="left" w:pos="1801"/>
          <w:tab w:val="left" w:pos="1802"/>
        </w:tabs>
        <w:spacing w:line="206" w:lineRule="auto"/>
        <w:ind w:right="1190"/>
        <w:rPr>
          <w:sz w:val="20"/>
        </w:rPr>
      </w:pPr>
      <w:r>
        <w:rPr>
          <w:color w:val="231F20"/>
          <w:sz w:val="20"/>
        </w:rPr>
        <w:t>Red</w:t>
      </w:r>
      <w:r>
        <w:rPr>
          <w:color w:val="231F20"/>
          <w:spacing w:val="-11"/>
          <w:sz w:val="20"/>
        </w:rPr>
        <w:t xml:space="preserve"> </w:t>
      </w:r>
      <w:r>
        <w:rPr>
          <w:color w:val="231F20"/>
          <w:spacing w:val="-3"/>
          <w:sz w:val="20"/>
        </w:rPr>
        <w:t>Files</w:t>
      </w:r>
      <w:r>
        <w:rPr>
          <w:color w:val="231F20"/>
          <w:spacing w:val="-10"/>
          <w:sz w:val="20"/>
        </w:rPr>
        <w:t xml:space="preserve"> </w:t>
      </w:r>
      <w:r>
        <w:rPr>
          <w:color w:val="231F20"/>
          <w:sz w:val="20"/>
        </w:rPr>
        <w:t>operates</w:t>
      </w:r>
      <w:r>
        <w:rPr>
          <w:color w:val="231F20"/>
          <w:spacing w:val="-10"/>
          <w:sz w:val="20"/>
        </w:rPr>
        <w:t xml:space="preserve"> </w:t>
      </w:r>
      <w:r>
        <w:rPr>
          <w:color w:val="231F20"/>
          <w:sz w:val="20"/>
        </w:rPr>
        <w:t>a</w:t>
      </w:r>
      <w:r>
        <w:rPr>
          <w:color w:val="231F20"/>
          <w:spacing w:val="-10"/>
          <w:sz w:val="20"/>
        </w:rPr>
        <w:t xml:space="preserve"> </w:t>
      </w:r>
      <w:r>
        <w:rPr>
          <w:color w:val="231F20"/>
          <w:sz w:val="20"/>
        </w:rPr>
        <w:t>harm</w:t>
      </w:r>
      <w:r>
        <w:rPr>
          <w:color w:val="231F20"/>
          <w:spacing w:val="-11"/>
          <w:sz w:val="20"/>
        </w:rPr>
        <w:t xml:space="preserve"> </w:t>
      </w:r>
      <w:r>
        <w:rPr>
          <w:color w:val="231F20"/>
          <w:spacing w:val="-3"/>
          <w:sz w:val="20"/>
        </w:rPr>
        <w:t>prevention</w:t>
      </w:r>
      <w:r>
        <w:rPr>
          <w:color w:val="231F20"/>
          <w:spacing w:val="-10"/>
          <w:sz w:val="20"/>
        </w:rPr>
        <w:t xml:space="preserve"> </w:t>
      </w:r>
      <w:r>
        <w:rPr>
          <w:color w:val="231F20"/>
          <w:sz w:val="20"/>
        </w:rPr>
        <w:t>service</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sex</w:t>
      </w:r>
      <w:r>
        <w:rPr>
          <w:color w:val="231F20"/>
          <w:spacing w:val="-11"/>
          <w:sz w:val="20"/>
        </w:rPr>
        <w:t xml:space="preserve"> </w:t>
      </w:r>
      <w:r>
        <w:rPr>
          <w:color w:val="231F20"/>
          <w:spacing w:val="-3"/>
          <w:sz w:val="20"/>
        </w:rPr>
        <w:t>workers.</w:t>
      </w:r>
      <w:r>
        <w:rPr>
          <w:color w:val="231F20"/>
          <w:spacing w:val="-10"/>
          <w:sz w:val="20"/>
        </w:rPr>
        <w:t xml:space="preserve"> </w:t>
      </w:r>
      <w:r>
        <w:rPr>
          <w:color w:val="231F20"/>
          <w:sz w:val="20"/>
        </w:rPr>
        <w:t>Stalking-related</w:t>
      </w:r>
      <w:r>
        <w:rPr>
          <w:color w:val="231F20"/>
          <w:spacing w:val="-10"/>
          <w:sz w:val="20"/>
        </w:rPr>
        <w:t xml:space="preserve"> </w:t>
      </w:r>
      <w:r>
        <w:rPr>
          <w:color w:val="231F20"/>
          <w:sz w:val="20"/>
        </w:rPr>
        <w:t xml:space="preserve">offences </w:t>
      </w:r>
      <w:r>
        <w:rPr>
          <w:color w:val="231F20"/>
          <w:spacing w:val="-3"/>
          <w:sz w:val="20"/>
        </w:rPr>
        <w:t xml:space="preserve">are </w:t>
      </w:r>
      <w:r>
        <w:rPr>
          <w:color w:val="231F20"/>
          <w:sz w:val="20"/>
        </w:rPr>
        <w:t>among the top three to five crimes reported to it. Stalking ranks higher on this list than rape.</w:t>
      </w:r>
      <w:r>
        <w:rPr>
          <w:color w:val="231F20"/>
          <w:position w:val="7"/>
          <w:sz w:val="11"/>
        </w:rPr>
        <w:t xml:space="preserve">120 </w:t>
      </w:r>
      <w:r>
        <w:rPr>
          <w:color w:val="231F20"/>
          <w:sz w:val="20"/>
        </w:rPr>
        <w:t xml:space="preserve">But sex </w:t>
      </w:r>
      <w:r>
        <w:rPr>
          <w:color w:val="231F20"/>
          <w:spacing w:val="-3"/>
          <w:sz w:val="20"/>
        </w:rPr>
        <w:t xml:space="preserve">workers may </w:t>
      </w:r>
      <w:r>
        <w:rPr>
          <w:color w:val="231F20"/>
          <w:sz w:val="20"/>
        </w:rPr>
        <w:t xml:space="preserve">not report stalking because of </w:t>
      </w:r>
      <w:r>
        <w:rPr>
          <w:color w:val="231F20"/>
          <w:spacing w:val="-3"/>
          <w:sz w:val="20"/>
        </w:rPr>
        <w:t xml:space="preserve">negative </w:t>
      </w:r>
      <w:r>
        <w:rPr>
          <w:color w:val="231F20"/>
          <w:sz w:val="20"/>
        </w:rPr>
        <w:t>experiences with</w:t>
      </w:r>
      <w:r>
        <w:rPr>
          <w:color w:val="231F20"/>
          <w:spacing w:val="-5"/>
          <w:sz w:val="20"/>
        </w:rPr>
        <w:t xml:space="preserve"> </w:t>
      </w:r>
      <w:r>
        <w:rPr>
          <w:color w:val="231F20"/>
          <w:sz w:val="20"/>
        </w:rPr>
        <w:t>police.</w:t>
      </w:r>
    </w:p>
    <w:p w14:paraId="0673FF7D" w14:textId="77777777" w:rsidR="00894070" w:rsidRDefault="009F6793">
      <w:pPr>
        <w:pStyle w:val="BodyText"/>
        <w:spacing w:before="9"/>
        <w:rPr>
          <w:sz w:val="23"/>
        </w:rPr>
      </w:pPr>
      <w:r>
        <w:pict w14:anchorId="6A7AFBDF">
          <v:shape id="_x0000_s1639" type="#_x0000_t202" style="position:absolute;margin-left:119.3pt;margin-top:18.65pt;width:396.35pt;height:44.1pt;z-index:251451392;mso-wrap-distance-left:0;mso-wrap-distance-right:0;mso-position-horizontal-relative:page" fillcolor="#fee7de" strokecolor="#ea5b50" strokeweight=".5pt">
            <v:textbox inset="0,0,0,0">
              <w:txbxContent>
                <w:p w14:paraId="426F4E8B" w14:textId="77777777" w:rsidR="00894070" w:rsidRDefault="00894070">
                  <w:pPr>
                    <w:pStyle w:val="BodyText"/>
                    <w:spacing w:before="3"/>
                    <w:rPr>
                      <w:sz w:val="15"/>
                    </w:rPr>
                  </w:pPr>
                </w:p>
                <w:p w14:paraId="4324F4AD" w14:textId="77777777" w:rsidR="00894070" w:rsidRDefault="009B7AFD">
                  <w:pPr>
                    <w:pStyle w:val="BodyText"/>
                    <w:spacing w:line="206" w:lineRule="auto"/>
                    <w:ind w:left="221" w:right="875"/>
                    <w:rPr>
                      <w:sz w:val="11"/>
                    </w:rPr>
                  </w:pPr>
                  <w:r>
                    <w:rPr>
                      <w:color w:val="231F20"/>
                    </w:rPr>
                    <w:t>Due to the fact I was a sex worker they did not care. When I showed them evidence their response was ‘Oh some things you just CAN’T explain’.</w:t>
                  </w:r>
                  <w:r>
                    <w:rPr>
                      <w:color w:val="231F20"/>
                      <w:position w:val="7"/>
                      <w:sz w:val="11"/>
                    </w:rPr>
                    <w:t>121</w:t>
                  </w:r>
                </w:p>
              </w:txbxContent>
            </v:textbox>
            <w10:wrap type="topAndBottom" anchorx="page"/>
          </v:shape>
        </w:pict>
      </w:r>
    </w:p>
    <w:p w14:paraId="2B1CFFC1" w14:textId="77777777" w:rsidR="00894070" w:rsidRDefault="00894070">
      <w:pPr>
        <w:pStyle w:val="BodyText"/>
        <w:spacing w:before="6"/>
        <w:rPr>
          <w:sz w:val="19"/>
        </w:rPr>
      </w:pPr>
    </w:p>
    <w:p w14:paraId="128C6270" w14:textId="77777777" w:rsidR="00894070" w:rsidRDefault="009B7AFD">
      <w:pPr>
        <w:pStyle w:val="ListParagraph"/>
        <w:numPr>
          <w:ilvl w:val="1"/>
          <w:numId w:val="177"/>
        </w:numPr>
        <w:tabs>
          <w:tab w:val="left" w:pos="1801"/>
          <w:tab w:val="left" w:pos="1802"/>
        </w:tabs>
        <w:spacing w:before="89" w:line="206" w:lineRule="auto"/>
        <w:ind w:right="1168"/>
        <w:rPr>
          <w:sz w:val="11"/>
        </w:rPr>
      </w:pPr>
      <w:r>
        <w:rPr>
          <w:color w:val="231F20"/>
          <w:spacing w:val="-6"/>
          <w:sz w:val="20"/>
        </w:rPr>
        <w:t xml:space="preserve">We </w:t>
      </w:r>
      <w:r>
        <w:rPr>
          <w:color w:val="231F20"/>
          <w:spacing w:val="-4"/>
          <w:sz w:val="20"/>
        </w:rPr>
        <w:t xml:space="preserve">were </w:t>
      </w:r>
      <w:r>
        <w:rPr>
          <w:color w:val="231F20"/>
          <w:spacing w:val="-3"/>
          <w:sz w:val="20"/>
        </w:rPr>
        <w:t xml:space="preserve">told </w:t>
      </w:r>
      <w:r>
        <w:rPr>
          <w:color w:val="231F20"/>
          <w:sz w:val="20"/>
        </w:rPr>
        <w:t xml:space="preserve">that stalking is a problem </w:t>
      </w:r>
      <w:r>
        <w:rPr>
          <w:color w:val="231F20"/>
          <w:spacing w:val="-3"/>
          <w:sz w:val="20"/>
        </w:rPr>
        <w:t xml:space="preserve">for </w:t>
      </w:r>
      <w:r>
        <w:rPr>
          <w:color w:val="231F20"/>
          <w:sz w:val="20"/>
        </w:rPr>
        <w:t xml:space="preserve">people </w:t>
      </w:r>
      <w:r>
        <w:rPr>
          <w:color w:val="231F20"/>
          <w:spacing w:val="-3"/>
          <w:sz w:val="20"/>
        </w:rPr>
        <w:t xml:space="preserve">from </w:t>
      </w:r>
      <w:r>
        <w:rPr>
          <w:color w:val="231F20"/>
          <w:sz w:val="20"/>
        </w:rPr>
        <w:t xml:space="preserve">some </w:t>
      </w:r>
      <w:r>
        <w:rPr>
          <w:color w:val="231F20"/>
          <w:spacing w:val="-2"/>
          <w:sz w:val="20"/>
        </w:rPr>
        <w:t xml:space="preserve">multicultural </w:t>
      </w:r>
      <w:r>
        <w:rPr>
          <w:color w:val="231F20"/>
          <w:sz w:val="20"/>
        </w:rPr>
        <w:t>communities.</w:t>
      </w:r>
      <w:r>
        <w:rPr>
          <w:color w:val="231F20"/>
          <w:spacing w:val="-9"/>
          <w:sz w:val="20"/>
        </w:rPr>
        <w:t xml:space="preserve"> </w:t>
      </w:r>
      <w:r>
        <w:rPr>
          <w:color w:val="231F20"/>
          <w:sz w:val="20"/>
        </w:rPr>
        <w:t>They</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not</w:t>
      </w:r>
      <w:r>
        <w:rPr>
          <w:color w:val="231F20"/>
          <w:spacing w:val="-8"/>
          <w:sz w:val="20"/>
        </w:rPr>
        <w:t xml:space="preserve"> </w:t>
      </w:r>
      <w:r>
        <w:rPr>
          <w:color w:val="231F20"/>
          <w:sz w:val="20"/>
        </w:rPr>
        <w:t>seek</w:t>
      </w:r>
      <w:r>
        <w:rPr>
          <w:color w:val="231F20"/>
          <w:spacing w:val="-8"/>
          <w:sz w:val="20"/>
        </w:rPr>
        <w:t xml:space="preserve"> </w:t>
      </w:r>
      <w:r>
        <w:rPr>
          <w:color w:val="231F20"/>
          <w:sz w:val="20"/>
        </w:rPr>
        <w:t>help</w:t>
      </w:r>
      <w:r>
        <w:rPr>
          <w:color w:val="231F20"/>
          <w:spacing w:val="-8"/>
          <w:sz w:val="20"/>
        </w:rPr>
        <w:t xml:space="preserve"> </w:t>
      </w:r>
      <w:r>
        <w:rPr>
          <w:color w:val="231F20"/>
          <w:sz w:val="20"/>
        </w:rPr>
        <w:t>because</w:t>
      </w:r>
      <w:r>
        <w:rPr>
          <w:color w:val="231F20"/>
          <w:spacing w:val="-8"/>
          <w:sz w:val="20"/>
        </w:rPr>
        <w:t xml:space="preserve"> </w:t>
      </w:r>
      <w:r>
        <w:rPr>
          <w:color w:val="231F20"/>
          <w:sz w:val="20"/>
        </w:rPr>
        <w:t>they</w:t>
      </w:r>
      <w:r>
        <w:rPr>
          <w:color w:val="231F20"/>
          <w:spacing w:val="-8"/>
          <w:sz w:val="20"/>
        </w:rPr>
        <w:t xml:space="preserve"> </w:t>
      </w:r>
      <w:r>
        <w:rPr>
          <w:color w:val="231F20"/>
          <w:sz w:val="20"/>
        </w:rPr>
        <w:t>do</w:t>
      </w:r>
      <w:r>
        <w:rPr>
          <w:color w:val="231F20"/>
          <w:spacing w:val="-8"/>
          <w:sz w:val="20"/>
        </w:rPr>
        <w:t xml:space="preserve"> </w:t>
      </w:r>
      <w:r>
        <w:rPr>
          <w:color w:val="231F20"/>
          <w:sz w:val="20"/>
        </w:rPr>
        <w:t>not</w:t>
      </w:r>
      <w:r>
        <w:rPr>
          <w:color w:val="231F20"/>
          <w:spacing w:val="-9"/>
          <w:sz w:val="20"/>
        </w:rPr>
        <w:t xml:space="preserve"> </w:t>
      </w:r>
      <w:r>
        <w:rPr>
          <w:color w:val="231F20"/>
          <w:sz w:val="20"/>
        </w:rPr>
        <w:t>trust</w:t>
      </w:r>
      <w:r>
        <w:rPr>
          <w:color w:val="231F20"/>
          <w:spacing w:val="-8"/>
          <w:sz w:val="20"/>
        </w:rPr>
        <w:t xml:space="preserve"> </w:t>
      </w:r>
      <w:r>
        <w:rPr>
          <w:color w:val="231F20"/>
          <w:sz w:val="20"/>
        </w:rPr>
        <w:t>the</w:t>
      </w:r>
      <w:r>
        <w:rPr>
          <w:color w:val="231F20"/>
          <w:spacing w:val="-9"/>
          <w:sz w:val="20"/>
        </w:rPr>
        <w:t xml:space="preserve"> </w:t>
      </w:r>
      <w:r>
        <w:rPr>
          <w:color w:val="231F20"/>
          <w:sz w:val="20"/>
        </w:rPr>
        <w:t>police</w:t>
      </w:r>
      <w:r>
        <w:rPr>
          <w:color w:val="231F20"/>
          <w:spacing w:val="-8"/>
          <w:sz w:val="20"/>
        </w:rPr>
        <w:t xml:space="preserve"> </w:t>
      </w:r>
      <w:r>
        <w:rPr>
          <w:color w:val="231F20"/>
          <w:sz w:val="20"/>
        </w:rPr>
        <w:t>or</w:t>
      </w:r>
      <w:r>
        <w:rPr>
          <w:color w:val="231F20"/>
          <w:spacing w:val="-8"/>
          <w:sz w:val="20"/>
        </w:rPr>
        <w:t xml:space="preserve"> </w:t>
      </w:r>
      <w:r>
        <w:rPr>
          <w:color w:val="231F20"/>
          <w:sz w:val="20"/>
        </w:rPr>
        <w:t>they</w:t>
      </w:r>
      <w:r>
        <w:rPr>
          <w:color w:val="231F20"/>
          <w:spacing w:val="-8"/>
          <w:sz w:val="20"/>
        </w:rPr>
        <w:t xml:space="preserve"> </w:t>
      </w:r>
      <w:r>
        <w:rPr>
          <w:color w:val="231F20"/>
          <w:spacing w:val="-3"/>
          <w:sz w:val="20"/>
        </w:rPr>
        <w:t xml:space="preserve">may </w:t>
      </w:r>
      <w:r>
        <w:rPr>
          <w:color w:val="231F20"/>
          <w:sz w:val="20"/>
        </w:rPr>
        <w:t>fear other outcomes, such as community</w:t>
      </w:r>
      <w:r>
        <w:rPr>
          <w:color w:val="231F20"/>
          <w:spacing w:val="-28"/>
          <w:sz w:val="20"/>
        </w:rPr>
        <w:t xml:space="preserve"> </w:t>
      </w:r>
      <w:r>
        <w:rPr>
          <w:color w:val="231F20"/>
          <w:sz w:val="20"/>
        </w:rPr>
        <w:t>backlash.</w:t>
      </w:r>
      <w:r>
        <w:rPr>
          <w:color w:val="231F20"/>
          <w:position w:val="7"/>
          <w:sz w:val="11"/>
        </w:rPr>
        <w:t>122</w:t>
      </w:r>
    </w:p>
    <w:p w14:paraId="2EA91591" w14:textId="77777777" w:rsidR="00894070" w:rsidRDefault="009F6793">
      <w:pPr>
        <w:pStyle w:val="BodyText"/>
        <w:spacing w:before="8"/>
        <w:rPr>
          <w:sz w:val="23"/>
        </w:rPr>
      </w:pPr>
      <w:r>
        <w:pict w14:anchorId="0B1D7D72">
          <v:shape id="_x0000_s1638" type="#_x0000_t202" style="position:absolute;margin-left:119.3pt;margin-top:18.55pt;width:396.35pt;height:56.1pt;z-index:251453440;mso-wrap-distance-left:0;mso-wrap-distance-right:0;mso-position-horizontal-relative:page" fillcolor="#fee7de" strokecolor="#ea5b50" strokeweight=".5pt">
            <v:textbox inset="0,0,0,0">
              <w:txbxContent>
                <w:p w14:paraId="44C5FF40" w14:textId="77777777" w:rsidR="00894070" w:rsidRDefault="00894070">
                  <w:pPr>
                    <w:pStyle w:val="BodyText"/>
                    <w:spacing w:before="3"/>
                    <w:rPr>
                      <w:sz w:val="15"/>
                    </w:rPr>
                  </w:pPr>
                </w:p>
                <w:p w14:paraId="7ADE06E6" w14:textId="77777777" w:rsidR="00894070" w:rsidRDefault="009B7AFD">
                  <w:pPr>
                    <w:pStyle w:val="BodyText"/>
                    <w:spacing w:line="206" w:lineRule="auto"/>
                    <w:ind w:left="221" w:right="379"/>
                    <w:rPr>
                      <w:sz w:val="11"/>
                    </w:rPr>
                  </w:pPr>
                  <w:r>
                    <w:rPr>
                      <w:color w:val="231F20"/>
                    </w:rPr>
                    <w:t>I was an international student at the time, and my stalker was also one. I was afraid to report it to the police as I was afraid of the consequences that it would trigger for both me and him.</w:t>
                  </w:r>
                  <w:r>
                    <w:rPr>
                      <w:color w:val="231F20"/>
                      <w:position w:val="7"/>
                      <w:sz w:val="11"/>
                    </w:rPr>
                    <w:t>123</w:t>
                  </w:r>
                </w:p>
              </w:txbxContent>
            </v:textbox>
            <w10:wrap type="topAndBottom" anchorx="page"/>
          </v:shape>
        </w:pict>
      </w:r>
    </w:p>
    <w:p w14:paraId="27AD1BF7" w14:textId="77777777" w:rsidR="00894070" w:rsidRDefault="00894070">
      <w:pPr>
        <w:pStyle w:val="BodyText"/>
        <w:spacing w:before="6"/>
        <w:rPr>
          <w:sz w:val="19"/>
        </w:rPr>
      </w:pPr>
    </w:p>
    <w:p w14:paraId="3716A6BA" w14:textId="77777777" w:rsidR="00894070" w:rsidRDefault="009B7AFD">
      <w:pPr>
        <w:pStyle w:val="ListParagraph"/>
        <w:numPr>
          <w:ilvl w:val="1"/>
          <w:numId w:val="177"/>
        </w:numPr>
        <w:tabs>
          <w:tab w:val="left" w:pos="1801"/>
          <w:tab w:val="left" w:pos="1802"/>
        </w:tabs>
        <w:spacing w:before="89" w:line="206" w:lineRule="auto"/>
        <w:ind w:right="1175"/>
        <w:rPr>
          <w:sz w:val="20"/>
        </w:rPr>
      </w:pPr>
      <w:r>
        <w:rPr>
          <w:color w:val="231F20"/>
          <w:sz w:val="20"/>
        </w:rPr>
        <w:t xml:space="preserve">People born in other countries reported </w:t>
      </w:r>
      <w:r>
        <w:rPr>
          <w:color w:val="231F20"/>
          <w:spacing w:val="-4"/>
          <w:sz w:val="20"/>
        </w:rPr>
        <w:t xml:space="preserve">lower </w:t>
      </w:r>
      <w:r>
        <w:rPr>
          <w:color w:val="231F20"/>
          <w:spacing w:val="-3"/>
          <w:sz w:val="20"/>
        </w:rPr>
        <w:t xml:space="preserve">rates </w:t>
      </w:r>
      <w:r>
        <w:rPr>
          <w:color w:val="231F20"/>
          <w:sz w:val="20"/>
        </w:rPr>
        <w:t xml:space="preserve">of stalking in the Personal Safety Survey </w:t>
      </w:r>
      <w:r>
        <w:rPr>
          <w:color w:val="231F20"/>
          <w:spacing w:val="-3"/>
          <w:sz w:val="20"/>
        </w:rPr>
        <w:t xml:space="preserve">(two </w:t>
      </w:r>
      <w:r>
        <w:rPr>
          <w:color w:val="231F20"/>
          <w:sz w:val="20"/>
        </w:rPr>
        <w:t xml:space="preserve">per cent in the past 12 </w:t>
      </w:r>
      <w:r>
        <w:rPr>
          <w:color w:val="231F20"/>
          <w:spacing w:val="-3"/>
          <w:sz w:val="20"/>
        </w:rPr>
        <w:t xml:space="preserve">months) </w:t>
      </w:r>
      <w:r>
        <w:rPr>
          <w:color w:val="231F20"/>
          <w:sz w:val="20"/>
        </w:rPr>
        <w:t xml:space="preserve">than people born in Australia </w:t>
      </w:r>
      <w:r>
        <w:rPr>
          <w:color w:val="231F20"/>
          <w:spacing w:val="-3"/>
          <w:sz w:val="20"/>
        </w:rPr>
        <w:t xml:space="preserve">(three </w:t>
      </w:r>
      <w:r>
        <w:rPr>
          <w:color w:val="231F20"/>
          <w:sz w:val="20"/>
        </w:rPr>
        <w:t>per cent in the past 12 months).</w:t>
      </w:r>
      <w:r>
        <w:rPr>
          <w:color w:val="231F20"/>
          <w:position w:val="7"/>
          <w:sz w:val="11"/>
        </w:rPr>
        <w:t xml:space="preserve">124 </w:t>
      </w:r>
      <w:r>
        <w:rPr>
          <w:color w:val="231F20"/>
          <w:sz w:val="20"/>
        </w:rPr>
        <w:t xml:space="preserve">This could be because they </w:t>
      </w:r>
      <w:r>
        <w:rPr>
          <w:color w:val="231F20"/>
          <w:spacing w:val="-3"/>
          <w:sz w:val="20"/>
        </w:rPr>
        <w:t xml:space="preserve">are </w:t>
      </w:r>
      <w:r>
        <w:rPr>
          <w:color w:val="231F20"/>
          <w:sz w:val="20"/>
        </w:rPr>
        <w:t xml:space="preserve">less familiar with what stalking is. They </w:t>
      </w:r>
      <w:r>
        <w:rPr>
          <w:color w:val="231F20"/>
          <w:spacing w:val="-3"/>
          <w:sz w:val="20"/>
        </w:rPr>
        <w:t xml:space="preserve">may </w:t>
      </w:r>
      <w:r>
        <w:rPr>
          <w:color w:val="231F20"/>
          <w:sz w:val="20"/>
        </w:rPr>
        <w:t xml:space="preserve">also be more wary of reporting to authorities. </w:t>
      </w:r>
      <w:r>
        <w:rPr>
          <w:color w:val="231F20"/>
          <w:spacing w:val="-6"/>
          <w:sz w:val="20"/>
        </w:rPr>
        <w:t xml:space="preserve">We </w:t>
      </w:r>
      <w:r>
        <w:rPr>
          <w:color w:val="231F20"/>
          <w:sz w:val="20"/>
        </w:rPr>
        <w:t>discuss what people</w:t>
      </w:r>
      <w:r>
        <w:rPr>
          <w:color w:val="231F20"/>
          <w:spacing w:val="-7"/>
          <w:sz w:val="20"/>
        </w:rPr>
        <w:t xml:space="preserve"> </w:t>
      </w:r>
      <w:r>
        <w:rPr>
          <w:color w:val="231F20"/>
          <w:spacing w:val="-3"/>
          <w:sz w:val="20"/>
        </w:rPr>
        <w:t>know</w:t>
      </w:r>
      <w:r>
        <w:rPr>
          <w:color w:val="231F20"/>
          <w:spacing w:val="-7"/>
          <w:sz w:val="20"/>
        </w:rPr>
        <w:t xml:space="preserve"> </w:t>
      </w:r>
      <w:r>
        <w:rPr>
          <w:color w:val="231F20"/>
          <w:sz w:val="20"/>
        </w:rPr>
        <w:t>about</w:t>
      </w:r>
      <w:r>
        <w:rPr>
          <w:color w:val="231F20"/>
          <w:spacing w:val="-7"/>
          <w:sz w:val="20"/>
        </w:rPr>
        <w:t xml:space="preserve"> </w:t>
      </w:r>
      <w:r>
        <w:rPr>
          <w:color w:val="231F20"/>
          <w:sz w:val="20"/>
        </w:rPr>
        <w:t>stalking</w:t>
      </w:r>
      <w:r>
        <w:rPr>
          <w:color w:val="231F20"/>
          <w:spacing w:val="-7"/>
          <w:sz w:val="20"/>
        </w:rPr>
        <w:t xml:space="preserve"> </w:t>
      </w:r>
      <w:r>
        <w:rPr>
          <w:color w:val="231F20"/>
          <w:sz w:val="20"/>
        </w:rPr>
        <w:t>in</w:t>
      </w:r>
      <w:r>
        <w:rPr>
          <w:color w:val="231F20"/>
          <w:spacing w:val="-6"/>
          <w:sz w:val="20"/>
        </w:rPr>
        <w:t xml:space="preserve"> </w:t>
      </w:r>
      <w:r>
        <w:rPr>
          <w:color w:val="231F20"/>
          <w:spacing w:val="-3"/>
          <w:sz w:val="20"/>
        </w:rPr>
        <w:t>Chapter</w:t>
      </w:r>
      <w:r>
        <w:rPr>
          <w:color w:val="231F20"/>
          <w:spacing w:val="-7"/>
          <w:sz w:val="20"/>
        </w:rPr>
        <w:t xml:space="preserve"> </w:t>
      </w:r>
      <w:r>
        <w:rPr>
          <w:color w:val="231F20"/>
          <w:sz w:val="20"/>
        </w:rPr>
        <w:t>4,</w:t>
      </w:r>
      <w:r>
        <w:rPr>
          <w:color w:val="231F20"/>
          <w:spacing w:val="-7"/>
          <w:sz w:val="20"/>
        </w:rPr>
        <w:t xml:space="preserve"> </w:t>
      </w:r>
      <w:r>
        <w:rPr>
          <w:color w:val="231F20"/>
          <w:sz w:val="20"/>
        </w:rPr>
        <w:t>and</w:t>
      </w:r>
      <w:r>
        <w:rPr>
          <w:color w:val="231F20"/>
          <w:spacing w:val="-7"/>
          <w:sz w:val="20"/>
        </w:rPr>
        <w:t xml:space="preserve"> </w:t>
      </w:r>
      <w:r>
        <w:rPr>
          <w:color w:val="231F20"/>
          <w:sz w:val="20"/>
        </w:rPr>
        <w:t>barriers</w:t>
      </w:r>
      <w:r>
        <w:rPr>
          <w:color w:val="231F20"/>
          <w:spacing w:val="-6"/>
          <w:sz w:val="20"/>
        </w:rPr>
        <w:t xml:space="preserve"> </w:t>
      </w:r>
      <w:r>
        <w:rPr>
          <w:color w:val="231F20"/>
          <w:sz w:val="20"/>
        </w:rPr>
        <w:t>to</w:t>
      </w:r>
      <w:r>
        <w:rPr>
          <w:color w:val="231F20"/>
          <w:spacing w:val="-7"/>
          <w:sz w:val="20"/>
        </w:rPr>
        <w:t xml:space="preserve"> </w:t>
      </w:r>
      <w:r>
        <w:rPr>
          <w:color w:val="231F20"/>
          <w:sz w:val="20"/>
        </w:rPr>
        <w:t>reporting</w:t>
      </w:r>
      <w:r>
        <w:rPr>
          <w:color w:val="231F20"/>
          <w:spacing w:val="-7"/>
          <w:sz w:val="20"/>
        </w:rPr>
        <w:t xml:space="preserve"> </w:t>
      </w:r>
      <w:r>
        <w:rPr>
          <w:color w:val="231F20"/>
          <w:spacing w:val="-3"/>
          <w:sz w:val="20"/>
        </w:rPr>
        <w:t>are</w:t>
      </w:r>
      <w:r>
        <w:rPr>
          <w:color w:val="231F20"/>
          <w:spacing w:val="-7"/>
          <w:sz w:val="20"/>
        </w:rPr>
        <w:t xml:space="preserve"> </w:t>
      </w:r>
      <w:r>
        <w:rPr>
          <w:color w:val="231F20"/>
          <w:sz w:val="20"/>
        </w:rPr>
        <w:t>discussed</w:t>
      </w:r>
      <w:r>
        <w:rPr>
          <w:color w:val="231F20"/>
          <w:spacing w:val="-6"/>
          <w:sz w:val="20"/>
        </w:rPr>
        <w:t xml:space="preserve"> </w:t>
      </w:r>
      <w:r>
        <w:rPr>
          <w:color w:val="231F20"/>
          <w:spacing w:val="-5"/>
          <w:sz w:val="20"/>
        </w:rPr>
        <w:t>below.</w:t>
      </w:r>
    </w:p>
    <w:p w14:paraId="7B06F8CC" w14:textId="77777777" w:rsidR="00894070" w:rsidRDefault="009B7AFD">
      <w:pPr>
        <w:pStyle w:val="ListParagraph"/>
        <w:numPr>
          <w:ilvl w:val="1"/>
          <w:numId w:val="177"/>
        </w:numPr>
        <w:tabs>
          <w:tab w:val="left" w:pos="1801"/>
          <w:tab w:val="left" w:pos="1802"/>
        </w:tabs>
        <w:spacing w:before="127" w:line="206" w:lineRule="auto"/>
        <w:ind w:right="1353"/>
        <w:rPr>
          <w:sz w:val="20"/>
        </w:rPr>
      </w:pPr>
      <w:r>
        <w:rPr>
          <w:color w:val="231F20"/>
          <w:sz w:val="20"/>
        </w:rPr>
        <w:t>Older</w:t>
      </w:r>
      <w:r>
        <w:rPr>
          <w:color w:val="231F20"/>
          <w:spacing w:val="-11"/>
          <w:sz w:val="20"/>
        </w:rPr>
        <w:t xml:space="preserve"> </w:t>
      </w:r>
      <w:r>
        <w:rPr>
          <w:color w:val="231F20"/>
          <w:sz w:val="20"/>
        </w:rPr>
        <w:t>people</w:t>
      </w:r>
      <w:r>
        <w:rPr>
          <w:color w:val="231F20"/>
          <w:spacing w:val="-10"/>
          <w:sz w:val="20"/>
        </w:rPr>
        <w:t xml:space="preserve"> </w:t>
      </w:r>
      <w:r>
        <w:rPr>
          <w:color w:val="231F20"/>
          <w:sz w:val="20"/>
        </w:rPr>
        <w:t>do</w:t>
      </w:r>
      <w:r>
        <w:rPr>
          <w:color w:val="231F20"/>
          <w:spacing w:val="-10"/>
          <w:sz w:val="20"/>
        </w:rPr>
        <w:t xml:space="preserve"> </w:t>
      </w:r>
      <w:r>
        <w:rPr>
          <w:color w:val="231F20"/>
          <w:sz w:val="20"/>
        </w:rPr>
        <w:t>not</w:t>
      </w:r>
      <w:r>
        <w:rPr>
          <w:color w:val="231F20"/>
          <w:spacing w:val="-10"/>
          <w:sz w:val="20"/>
        </w:rPr>
        <w:t xml:space="preserve"> </w:t>
      </w:r>
      <w:r>
        <w:rPr>
          <w:color w:val="231F20"/>
          <w:sz w:val="20"/>
        </w:rPr>
        <w:t>appear</w:t>
      </w:r>
      <w:r>
        <w:rPr>
          <w:color w:val="231F20"/>
          <w:spacing w:val="-10"/>
          <w:sz w:val="20"/>
        </w:rPr>
        <w:t xml:space="preserve"> </w:t>
      </w:r>
      <w:r>
        <w:rPr>
          <w:color w:val="231F20"/>
          <w:sz w:val="20"/>
        </w:rPr>
        <w:t>to</w:t>
      </w:r>
      <w:r>
        <w:rPr>
          <w:color w:val="231F20"/>
          <w:spacing w:val="-10"/>
          <w:sz w:val="20"/>
        </w:rPr>
        <w:t xml:space="preserve"> </w:t>
      </w:r>
      <w:r>
        <w:rPr>
          <w:color w:val="231F20"/>
          <w:sz w:val="20"/>
        </w:rPr>
        <w:t>be</w:t>
      </w:r>
      <w:r>
        <w:rPr>
          <w:color w:val="231F20"/>
          <w:spacing w:val="-10"/>
          <w:sz w:val="20"/>
        </w:rPr>
        <w:t xml:space="preserve"> </w:t>
      </w:r>
      <w:r>
        <w:rPr>
          <w:color w:val="231F20"/>
          <w:sz w:val="20"/>
        </w:rPr>
        <w:t>statistically</w:t>
      </w:r>
      <w:r>
        <w:rPr>
          <w:color w:val="231F20"/>
          <w:spacing w:val="-11"/>
          <w:sz w:val="20"/>
        </w:rPr>
        <w:t xml:space="preserve"> </w:t>
      </w:r>
      <w:r>
        <w:rPr>
          <w:color w:val="231F20"/>
          <w:sz w:val="20"/>
        </w:rPr>
        <w:t>at</w:t>
      </w:r>
      <w:r>
        <w:rPr>
          <w:color w:val="231F20"/>
          <w:spacing w:val="-10"/>
          <w:sz w:val="20"/>
        </w:rPr>
        <w:t xml:space="preserve"> </w:t>
      </w:r>
      <w:r>
        <w:rPr>
          <w:color w:val="231F20"/>
          <w:sz w:val="20"/>
        </w:rPr>
        <w:t>risk</w:t>
      </w:r>
      <w:r>
        <w:rPr>
          <w:color w:val="231F20"/>
          <w:spacing w:val="-10"/>
          <w:sz w:val="20"/>
        </w:rPr>
        <w:t xml:space="preserve"> </w:t>
      </w:r>
      <w:r>
        <w:rPr>
          <w:color w:val="231F20"/>
          <w:sz w:val="20"/>
        </w:rPr>
        <w:t>of</w:t>
      </w:r>
      <w:r>
        <w:rPr>
          <w:color w:val="231F20"/>
          <w:spacing w:val="-10"/>
          <w:sz w:val="20"/>
        </w:rPr>
        <w:t xml:space="preserve"> </w:t>
      </w:r>
      <w:r>
        <w:rPr>
          <w:color w:val="231F20"/>
          <w:sz w:val="20"/>
        </w:rPr>
        <w:t>being</w:t>
      </w:r>
      <w:r>
        <w:rPr>
          <w:color w:val="231F20"/>
          <w:spacing w:val="-10"/>
          <w:sz w:val="20"/>
        </w:rPr>
        <w:t xml:space="preserve"> </w:t>
      </w:r>
      <w:r>
        <w:rPr>
          <w:color w:val="231F20"/>
          <w:sz w:val="20"/>
        </w:rPr>
        <w:t>stalked.</w:t>
      </w:r>
      <w:r>
        <w:rPr>
          <w:color w:val="231F20"/>
          <w:spacing w:val="-10"/>
          <w:sz w:val="20"/>
        </w:rPr>
        <w:t xml:space="preserve"> </w:t>
      </w:r>
      <w:r>
        <w:rPr>
          <w:color w:val="231F20"/>
          <w:sz w:val="20"/>
        </w:rPr>
        <w:t>This</w:t>
      </w:r>
      <w:r>
        <w:rPr>
          <w:color w:val="231F20"/>
          <w:spacing w:val="-10"/>
          <w:sz w:val="20"/>
        </w:rPr>
        <w:t xml:space="preserve"> </w:t>
      </w:r>
      <w:r>
        <w:rPr>
          <w:color w:val="231F20"/>
          <w:spacing w:val="-3"/>
          <w:sz w:val="20"/>
        </w:rPr>
        <w:t>may</w:t>
      </w:r>
      <w:r>
        <w:rPr>
          <w:color w:val="231F20"/>
          <w:spacing w:val="-10"/>
          <w:sz w:val="20"/>
        </w:rPr>
        <w:t xml:space="preserve"> </w:t>
      </w:r>
      <w:r>
        <w:rPr>
          <w:color w:val="231F20"/>
          <w:sz w:val="20"/>
        </w:rPr>
        <w:t xml:space="preserve">reflect </w:t>
      </w:r>
      <w:r>
        <w:rPr>
          <w:color w:val="231F20"/>
          <w:spacing w:val="-4"/>
          <w:sz w:val="20"/>
        </w:rPr>
        <w:t xml:space="preserve">low </w:t>
      </w:r>
      <w:r>
        <w:rPr>
          <w:color w:val="231F20"/>
          <w:sz w:val="20"/>
        </w:rPr>
        <w:t xml:space="preserve">reporting rates, and barriers they face to seeking justice. The </w:t>
      </w:r>
      <w:r>
        <w:rPr>
          <w:color w:val="231F20"/>
          <w:spacing w:val="-3"/>
          <w:sz w:val="20"/>
        </w:rPr>
        <w:t xml:space="preserve">Royal </w:t>
      </w:r>
      <w:r>
        <w:rPr>
          <w:color w:val="231F20"/>
          <w:sz w:val="20"/>
        </w:rPr>
        <w:t xml:space="preserve">Commission </w:t>
      </w:r>
      <w:r>
        <w:rPr>
          <w:color w:val="231F20"/>
          <w:spacing w:val="-3"/>
          <w:sz w:val="20"/>
        </w:rPr>
        <w:t>into</w:t>
      </w:r>
      <w:r>
        <w:rPr>
          <w:color w:val="231F20"/>
          <w:spacing w:val="-8"/>
          <w:sz w:val="20"/>
        </w:rPr>
        <w:t xml:space="preserve"> </w:t>
      </w:r>
      <w:r>
        <w:rPr>
          <w:color w:val="231F20"/>
          <w:sz w:val="20"/>
        </w:rPr>
        <w:t>Aged</w:t>
      </w:r>
      <w:r>
        <w:rPr>
          <w:color w:val="231F20"/>
          <w:spacing w:val="-8"/>
          <w:sz w:val="20"/>
        </w:rPr>
        <w:t xml:space="preserve"> </w:t>
      </w:r>
      <w:r>
        <w:rPr>
          <w:color w:val="231F20"/>
          <w:sz w:val="20"/>
        </w:rPr>
        <w:t>Care</w:t>
      </w:r>
      <w:r>
        <w:rPr>
          <w:color w:val="231F20"/>
          <w:spacing w:val="-7"/>
          <w:sz w:val="20"/>
        </w:rPr>
        <w:t xml:space="preserve"> </w:t>
      </w:r>
      <w:r>
        <w:rPr>
          <w:color w:val="231F20"/>
          <w:sz w:val="20"/>
        </w:rPr>
        <w:t>Quality</w:t>
      </w:r>
      <w:r>
        <w:rPr>
          <w:color w:val="231F20"/>
          <w:spacing w:val="-8"/>
          <w:sz w:val="20"/>
        </w:rPr>
        <w:t xml:space="preserve"> </w:t>
      </w:r>
      <w:r>
        <w:rPr>
          <w:color w:val="231F20"/>
          <w:sz w:val="20"/>
        </w:rPr>
        <w:t>and</w:t>
      </w:r>
      <w:r>
        <w:rPr>
          <w:color w:val="231F20"/>
          <w:spacing w:val="-7"/>
          <w:sz w:val="20"/>
        </w:rPr>
        <w:t xml:space="preserve"> </w:t>
      </w:r>
      <w:r>
        <w:rPr>
          <w:color w:val="231F20"/>
          <w:sz w:val="20"/>
        </w:rPr>
        <w:t>Safety</w:t>
      </w:r>
      <w:r>
        <w:rPr>
          <w:color w:val="231F20"/>
          <w:spacing w:val="-8"/>
          <w:sz w:val="20"/>
        </w:rPr>
        <w:t xml:space="preserve"> </w:t>
      </w:r>
      <w:proofErr w:type="spellStart"/>
      <w:r>
        <w:rPr>
          <w:color w:val="231F20"/>
          <w:sz w:val="20"/>
        </w:rPr>
        <w:t>emphasised</w:t>
      </w:r>
      <w:proofErr w:type="spellEnd"/>
      <w:r>
        <w:rPr>
          <w:color w:val="231F20"/>
          <w:spacing w:val="-7"/>
          <w:sz w:val="20"/>
        </w:rPr>
        <w:t xml:space="preserve"> </w:t>
      </w:r>
      <w:r>
        <w:rPr>
          <w:color w:val="231F20"/>
          <w:spacing w:val="-3"/>
          <w:sz w:val="20"/>
        </w:rPr>
        <w:t>‘how</w:t>
      </w:r>
      <w:r>
        <w:rPr>
          <w:color w:val="231F20"/>
          <w:spacing w:val="-8"/>
          <w:sz w:val="20"/>
        </w:rPr>
        <w:t xml:space="preserve"> </w:t>
      </w:r>
      <w:r>
        <w:rPr>
          <w:color w:val="231F20"/>
          <w:sz w:val="20"/>
        </w:rPr>
        <w:t>vulnerable</w:t>
      </w:r>
      <w:r>
        <w:rPr>
          <w:color w:val="231F20"/>
          <w:spacing w:val="-7"/>
          <w:sz w:val="20"/>
        </w:rPr>
        <w:t xml:space="preserve"> </w:t>
      </w:r>
      <w:r>
        <w:rPr>
          <w:color w:val="231F20"/>
          <w:sz w:val="20"/>
        </w:rPr>
        <w:t>older</w:t>
      </w:r>
      <w:r>
        <w:rPr>
          <w:color w:val="231F20"/>
          <w:spacing w:val="-8"/>
          <w:sz w:val="20"/>
        </w:rPr>
        <w:t xml:space="preserve"> </w:t>
      </w:r>
      <w:r>
        <w:rPr>
          <w:color w:val="231F20"/>
          <w:sz w:val="20"/>
        </w:rPr>
        <w:t>people</w:t>
      </w:r>
      <w:r>
        <w:rPr>
          <w:color w:val="231F20"/>
          <w:spacing w:val="-8"/>
          <w:sz w:val="20"/>
        </w:rPr>
        <w:t xml:space="preserve"> </w:t>
      </w:r>
      <w:r>
        <w:rPr>
          <w:color w:val="231F20"/>
          <w:spacing w:val="-4"/>
          <w:sz w:val="20"/>
        </w:rPr>
        <w:t>were</w:t>
      </w:r>
    </w:p>
    <w:p w14:paraId="55839209" w14:textId="77777777" w:rsidR="00894070" w:rsidRDefault="009B7AFD">
      <w:pPr>
        <w:pStyle w:val="BodyText"/>
        <w:spacing w:before="3" w:line="206" w:lineRule="auto"/>
        <w:ind w:left="1801" w:right="1219"/>
        <w:rPr>
          <w:sz w:val="11"/>
        </w:rPr>
      </w:pPr>
      <w:r>
        <w:rPr>
          <w:color w:val="231F20"/>
        </w:rPr>
        <w:t>to</w:t>
      </w:r>
      <w:r>
        <w:rPr>
          <w:color w:val="231F20"/>
          <w:spacing w:val="-9"/>
        </w:rPr>
        <w:t xml:space="preserve"> </w:t>
      </w:r>
      <w:r>
        <w:rPr>
          <w:color w:val="231F20"/>
        </w:rPr>
        <w:t>the</w:t>
      </w:r>
      <w:r>
        <w:rPr>
          <w:color w:val="231F20"/>
          <w:spacing w:val="-9"/>
        </w:rPr>
        <w:t xml:space="preserve"> </w:t>
      </w:r>
      <w:r>
        <w:rPr>
          <w:color w:val="231F20"/>
        </w:rPr>
        <w:t>actions</w:t>
      </w:r>
      <w:r>
        <w:rPr>
          <w:color w:val="231F20"/>
          <w:spacing w:val="-9"/>
        </w:rPr>
        <w:t xml:space="preserve"> </w:t>
      </w:r>
      <w:r>
        <w:rPr>
          <w:color w:val="231F20"/>
        </w:rPr>
        <w:t>of</w:t>
      </w:r>
      <w:r>
        <w:rPr>
          <w:color w:val="231F20"/>
          <w:spacing w:val="-9"/>
        </w:rPr>
        <w:t xml:space="preserve"> </w:t>
      </w:r>
      <w:r>
        <w:rPr>
          <w:color w:val="231F20"/>
        </w:rPr>
        <w:t>others,</w:t>
      </w:r>
      <w:r>
        <w:rPr>
          <w:color w:val="231F20"/>
          <w:spacing w:val="-9"/>
        </w:rPr>
        <w:t xml:space="preserve"> </w:t>
      </w:r>
      <w:r>
        <w:rPr>
          <w:color w:val="231F20"/>
        </w:rPr>
        <w:t>many</w:t>
      </w:r>
      <w:r>
        <w:rPr>
          <w:color w:val="231F20"/>
          <w:spacing w:val="-9"/>
        </w:rPr>
        <w:t xml:space="preserve"> </w:t>
      </w:r>
      <w:r>
        <w:rPr>
          <w:color w:val="231F20"/>
        </w:rPr>
        <w:t>of</w:t>
      </w:r>
      <w:r>
        <w:rPr>
          <w:color w:val="231F20"/>
          <w:spacing w:val="-9"/>
        </w:rPr>
        <w:t xml:space="preserve"> </w:t>
      </w:r>
      <w:r>
        <w:rPr>
          <w:color w:val="231F20"/>
        </w:rPr>
        <w:t>whom</w:t>
      </w:r>
      <w:r>
        <w:rPr>
          <w:color w:val="231F20"/>
          <w:spacing w:val="-9"/>
        </w:rPr>
        <w:t xml:space="preserve"> </w:t>
      </w:r>
      <w:r>
        <w:rPr>
          <w:color w:val="231F20"/>
        </w:rPr>
        <w:t>they</w:t>
      </w:r>
      <w:r>
        <w:rPr>
          <w:color w:val="231F20"/>
          <w:spacing w:val="-8"/>
        </w:rPr>
        <w:t xml:space="preserve"> </w:t>
      </w:r>
      <w:r>
        <w:rPr>
          <w:color w:val="231F20"/>
        </w:rPr>
        <w:t>depended</w:t>
      </w:r>
      <w:r>
        <w:rPr>
          <w:color w:val="231F20"/>
          <w:spacing w:val="-9"/>
        </w:rPr>
        <w:t xml:space="preserve"> </w:t>
      </w:r>
      <w:r>
        <w:rPr>
          <w:color w:val="231F20"/>
        </w:rPr>
        <w:t>on</w:t>
      </w:r>
      <w:r>
        <w:rPr>
          <w:color w:val="231F20"/>
          <w:spacing w:val="-9"/>
        </w:rPr>
        <w:t xml:space="preserve"> </w:t>
      </w:r>
      <w:r>
        <w:rPr>
          <w:color w:val="231F20"/>
          <w:spacing w:val="-3"/>
        </w:rPr>
        <w:t>for</w:t>
      </w:r>
      <w:r>
        <w:rPr>
          <w:color w:val="231F20"/>
          <w:spacing w:val="-9"/>
        </w:rPr>
        <w:t xml:space="preserve"> </w:t>
      </w:r>
      <w:r>
        <w:rPr>
          <w:color w:val="231F20"/>
        </w:rPr>
        <w:t>support,</w:t>
      </w:r>
      <w:r>
        <w:rPr>
          <w:color w:val="231F20"/>
          <w:spacing w:val="-9"/>
        </w:rPr>
        <w:t xml:space="preserve"> </w:t>
      </w:r>
      <w:proofErr w:type="gramStart"/>
      <w:r>
        <w:rPr>
          <w:color w:val="231F20"/>
        </w:rPr>
        <w:t>care</w:t>
      </w:r>
      <w:proofErr w:type="gramEnd"/>
      <w:r>
        <w:rPr>
          <w:color w:val="231F20"/>
          <w:spacing w:val="-9"/>
        </w:rPr>
        <w:t xml:space="preserve"> </w:t>
      </w:r>
      <w:r>
        <w:rPr>
          <w:color w:val="231F20"/>
        </w:rPr>
        <w:t>and</w:t>
      </w:r>
      <w:r>
        <w:rPr>
          <w:color w:val="231F20"/>
          <w:spacing w:val="-9"/>
        </w:rPr>
        <w:t xml:space="preserve"> </w:t>
      </w:r>
      <w:r>
        <w:rPr>
          <w:color w:val="231F20"/>
        </w:rPr>
        <w:t>their quality of</w:t>
      </w:r>
      <w:r>
        <w:rPr>
          <w:color w:val="231F20"/>
          <w:spacing w:val="-8"/>
        </w:rPr>
        <w:t xml:space="preserve"> </w:t>
      </w:r>
      <w:r>
        <w:rPr>
          <w:color w:val="231F20"/>
          <w:spacing w:val="-3"/>
        </w:rPr>
        <w:t>life.’</w:t>
      </w:r>
      <w:r>
        <w:rPr>
          <w:color w:val="231F20"/>
          <w:spacing w:val="-3"/>
          <w:position w:val="7"/>
          <w:sz w:val="11"/>
        </w:rPr>
        <w:t>125</w:t>
      </w:r>
    </w:p>
    <w:p w14:paraId="33863AB6" w14:textId="77777777" w:rsidR="00894070" w:rsidRDefault="009B7AFD">
      <w:pPr>
        <w:pStyle w:val="ListParagraph"/>
        <w:numPr>
          <w:ilvl w:val="1"/>
          <w:numId w:val="177"/>
        </w:numPr>
        <w:tabs>
          <w:tab w:val="left" w:pos="1801"/>
          <w:tab w:val="left" w:pos="1802"/>
        </w:tabs>
        <w:spacing w:before="123" w:line="206" w:lineRule="auto"/>
        <w:ind w:right="1168"/>
        <w:rPr>
          <w:sz w:val="20"/>
        </w:rPr>
      </w:pPr>
      <w:r>
        <w:rPr>
          <w:color w:val="231F20"/>
          <w:sz w:val="20"/>
        </w:rPr>
        <w:t xml:space="preserve">Males </w:t>
      </w:r>
      <w:r>
        <w:rPr>
          <w:color w:val="231F20"/>
          <w:spacing w:val="-3"/>
          <w:sz w:val="20"/>
        </w:rPr>
        <w:t xml:space="preserve">are </w:t>
      </w:r>
      <w:r>
        <w:rPr>
          <w:color w:val="231F20"/>
          <w:sz w:val="20"/>
        </w:rPr>
        <w:t xml:space="preserve">less </w:t>
      </w:r>
      <w:r>
        <w:rPr>
          <w:color w:val="231F20"/>
          <w:spacing w:val="-3"/>
          <w:sz w:val="20"/>
        </w:rPr>
        <w:t xml:space="preserve">likely </w:t>
      </w:r>
      <w:r>
        <w:rPr>
          <w:color w:val="231F20"/>
          <w:sz w:val="20"/>
        </w:rPr>
        <w:t xml:space="preserve">than </w:t>
      </w:r>
      <w:r>
        <w:rPr>
          <w:color w:val="231F20"/>
          <w:spacing w:val="-3"/>
          <w:sz w:val="20"/>
        </w:rPr>
        <w:t xml:space="preserve">females </w:t>
      </w:r>
      <w:r>
        <w:rPr>
          <w:color w:val="231F20"/>
          <w:sz w:val="20"/>
        </w:rPr>
        <w:t>to experience stalking.</w:t>
      </w:r>
      <w:r>
        <w:rPr>
          <w:color w:val="231F20"/>
          <w:position w:val="7"/>
          <w:sz w:val="11"/>
        </w:rPr>
        <w:t xml:space="preserve">126 </w:t>
      </w:r>
      <w:r>
        <w:rPr>
          <w:color w:val="231F20"/>
          <w:spacing w:val="-5"/>
          <w:sz w:val="20"/>
        </w:rPr>
        <w:t xml:space="preserve">However, </w:t>
      </w:r>
      <w:r>
        <w:rPr>
          <w:color w:val="231F20"/>
          <w:sz w:val="20"/>
        </w:rPr>
        <w:t xml:space="preserve">when they </w:t>
      </w:r>
      <w:r>
        <w:rPr>
          <w:color w:val="231F20"/>
          <w:spacing w:val="-2"/>
          <w:sz w:val="20"/>
        </w:rPr>
        <w:t xml:space="preserve">do, </w:t>
      </w:r>
      <w:r>
        <w:rPr>
          <w:color w:val="231F20"/>
          <w:sz w:val="20"/>
        </w:rPr>
        <w:t>they</w:t>
      </w:r>
      <w:r>
        <w:rPr>
          <w:color w:val="231F20"/>
          <w:spacing w:val="-6"/>
          <w:sz w:val="20"/>
        </w:rPr>
        <w:t xml:space="preserve"> </w:t>
      </w:r>
      <w:r>
        <w:rPr>
          <w:color w:val="231F20"/>
          <w:spacing w:val="-3"/>
          <w:sz w:val="20"/>
        </w:rPr>
        <w:t>may</w:t>
      </w:r>
      <w:r>
        <w:rPr>
          <w:color w:val="231F20"/>
          <w:spacing w:val="-6"/>
          <w:sz w:val="20"/>
        </w:rPr>
        <w:t xml:space="preserve"> </w:t>
      </w:r>
      <w:r>
        <w:rPr>
          <w:color w:val="231F20"/>
          <w:sz w:val="20"/>
        </w:rPr>
        <w:t>be</w:t>
      </w:r>
      <w:r>
        <w:rPr>
          <w:color w:val="231F20"/>
          <w:spacing w:val="-6"/>
          <w:sz w:val="20"/>
        </w:rPr>
        <w:t xml:space="preserve"> </w:t>
      </w:r>
      <w:r>
        <w:rPr>
          <w:color w:val="231F20"/>
          <w:sz w:val="20"/>
        </w:rPr>
        <w:t>less</w:t>
      </w:r>
      <w:r>
        <w:rPr>
          <w:color w:val="231F20"/>
          <w:spacing w:val="-5"/>
          <w:sz w:val="20"/>
        </w:rPr>
        <w:t xml:space="preserve"> </w:t>
      </w:r>
      <w:r>
        <w:rPr>
          <w:color w:val="231F20"/>
          <w:spacing w:val="-3"/>
          <w:sz w:val="20"/>
        </w:rPr>
        <w:t>likely</w:t>
      </w:r>
      <w:r>
        <w:rPr>
          <w:color w:val="231F20"/>
          <w:spacing w:val="-6"/>
          <w:sz w:val="20"/>
        </w:rPr>
        <w:t xml:space="preserve"> </w:t>
      </w:r>
      <w:r>
        <w:rPr>
          <w:color w:val="231F20"/>
          <w:sz w:val="20"/>
        </w:rPr>
        <w:t>to</w:t>
      </w:r>
      <w:r>
        <w:rPr>
          <w:color w:val="231F20"/>
          <w:spacing w:val="-6"/>
          <w:sz w:val="20"/>
        </w:rPr>
        <w:t xml:space="preserve"> </w:t>
      </w:r>
      <w:r>
        <w:rPr>
          <w:color w:val="231F20"/>
          <w:sz w:val="20"/>
        </w:rPr>
        <w:t>seek</w:t>
      </w:r>
      <w:r>
        <w:rPr>
          <w:color w:val="231F20"/>
          <w:spacing w:val="-6"/>
          <w:sz w:val="20"/>
        </w:rPr>
        <w:t xml:space="preserve"> </w:t>
      </w:r>
      <w:r>
        <w:rPr>
          <w:color w:val="231F20"/>
          <w:sz w:val="20"/>
        </w:rPr>
        <w:t>help</w:t>
      </w:r>
      <w:r>
        <w:rPr>
          <w:color w:val="231F20"/>
          <w:spacing w:val="-5"/>
          <w:sz w:val="20"/>
        </w:rPr>
        <w:t xml:space="preserve"> </w:t>
      </w:r>
      <w:r>
        <w:rPr>
          <w:color w:val="231F20"/>
          <w:spacing w:val="-3"/>
          <w:sz w:val="20"/>
        </w:rPr>
        <w:t>from</w:t>
      </w:r>
      <w:r>
        <w:rPr>
          <w:color w:val="231F20"/>
          <w:spacing w:val="-6"/>
          <w:sz w:val="20"/>
        </w:rPr>
        <w:t xml:space="preserve"> </w:t>
      </w:r>
      <w:r>
        <w:rPr>
          <w:color w:val="231F20"/>
          <w:sz w:val="20"/>
        </w:rPr>
        <w:t>friends</w:t>
      </w:r>
      <w:r>
        <w:rPr>
          <w:color w:val="231F20"/>
          <w:spacing w:val="-6"/>
          <w:sz w:val="20"/>
        </w:rPr>
        <w:t xml:space="preserve"> </w:t>
      </w:r>
      <w:r>
        <w:rPr>
          <w:color w:val="231F20"/>
          <w:sz w:val="20"/>
        </w:rPr>
        <w:t>or</w:t>
      </w:r>
      <w:r>
        <w:rPr>
          <w:color w:val="231F20"/>
          <w:spacing w:val="-5"/>
          <w:sz w:val="20"/>
        </w:rPr>
        <w:t xml:space="preserve"> </w:t>
      </w:r>
      <w:r>
        <w:rPr>
          <w:color w:val="231F20"/>
          <w:spacing w:val="-3"/>
          <w:sz w:val="20"/>
        </w:rPr>
        <w:t>family,</w:t>
      </w:r>
      <w:r>
        <w:rPr>
          <w:color w:val="231F20"/>
          <w:spacing w:val="-3"/>
          <w:position w:val="7"/>
          <w:sz w:val="11"/>
        </w:rPr>
        <w:t>127</w:t>
      </w:r>
      <w:r>
        <w:rPr>
          <w:color w:val="231F20"/>
          <w:spacing w:val="18"/>
          <w:position w:val="7"/>
          <w:sz w:val="11"/>
        </w:rPr>
        <w:t xml:space="preserve"> </w:t>
      </w:r>
      <w:r>
        <w:rPr>
          <w:color w:val="231F20"/>
          <w:sz w:val="20"/>
        </w:rPr>
        <w:t>and</w:t>
      </w:r>
      <w:r>
        <w:rPr>
          <w:color w:val="231F20"/>
          <w:spacing w:val="-6"/>
          <w:sz w:val="20"/>
        </w:rPr>
        <w:t xml:space="preserve"> </w:t>
      </w:r>
      <w:r>
        <w:rPr>
          <w:color w:val="231F20"/>
          <w:sz w:val="20"/>
        </w:rPr>
        <w:t>less</w:t>
      </w:r>
      <w:r>
        <w:rPr>
          <w:color w:val="231F20"/>
          <w:spacing w:val="-6"/>
          <w:sz w:val="20"/>
        </w:rPr>
        <w:t xml:space="preserve"> </w:t>
      </w:r>
      <w:r>
        <w:rPr>
          <w:color w:val="231F20"/>
          <w:spacing w:val="-3"/>
          <w:sz w:val="20"/>
        </w:rPr>
        <w:t>likely</w:t>
      </w:r>
      <w:r>
        <w:rPr>
          <w:color w:val="231F20"/>
          <w:spacing w:val="-5"/>
          <w:sz w:val="20"/>
        </w:rPr>
        <w:t xml:space="preserve"> </w:t>
      </w:r>
      <w:r>
        <w:rPr>
          <w:color w:val="231F20"/>
          <w:sz w:val="20"/>
        </w:rPr>
        <w:t>to</w:t>
      </w:r>
      <w:r>
        <w:rPr>
          <w:color w:val="231F20"/>
          <w:spacing w:val="-6"/>
          <w:sz w:val="20"/>
        </w:rPr>
        <w:t xml:space="preserve"> </w:t>
      </w:r>
      <w:r>
        <w:rPr>
          <w:color w:val="231F20"/>
          <w:sz w:val="20"/>
        </w:rPr>
        <w:t>report</w:t>
      </w:r>
      <w:r>
        <w:rPr>
          <w:color w:val="231F20"/>
          <w:spacing w:val="-6"/>
          <w:sz w:val="20"/>
        </w:rPr>
        <w:t xml:space="preserve"> </w:t>
      </w:r>
      <w:r>
        <w:rPr>
          <w:color w:val="231F20"/>
          <w:sz w:val="20"/>
        </w:rPr>
        <w:t>the stalking to police.</w:t>
      </w:r>
      <w:r>
        <w:rPr>
          <w:color w:val="231F20"/>
          <w:position w:val="7"/>
          <w:sz w:val="11"/>
        </w:rPr>
        <w:t xml:space="preserve">128 </w:t>
      </w:r>
      <w:r>
        <w:rPr>
          <w:color w:val="231F20"/>
          <w:sz w:val="20"/>
        </w:rPr>
        <w:t xml:space="preserve">They </w:t>
      </w:r>
      <w:r>
        <w:rPr>
          <w:color w:val="231F20"/>
          <w:spacing w:val="-3"/>
          <w:sz w:val="20"/>
        </w:rPr>
        <w:t xml:space="preserve">may </w:t>
      </w:r>
      <w:r>
        <w:rPr>
          <w:color w:val="231F20"/>
          <w:sz w:val="20"/>
        </w:rPr>
        <w:t>find the experience of reporting particularly difficult.</w:t>
      </w:r>
      <w:r>
        <w:rPr>
          <w:color w:val="231F20"/>
          <w:position w:val="7"/>
          <w:sz w:val="11"/>
        </w:rPr>
        <w:t>129</w:t>
      </w:r>
      <w:r>
        <w:rPr>
          <w:color w:val="231F20"/>
          <w:sz w:val="11"/>
        </w:rPr>
        <w:t xml:space="preserve"> </w:t>
      </w:r>
      <w:r>
        <w:rPr>
          <w:color w:val="231F20"/>
          <w:spacing w:val="-6"/>
          <w:sz w:val="20"/>
        </w:rPr>
        <w:t>We</w:t>
      </w:r>
      <w:r>
        <w:rPr>
          <w:color w:val="231F20"/>
          <w:spacing w:val="-10"/>
          <w:sz w:val="20"/>
        </w:rPr>
        <w:t xml:space="preserve"> </w:t>
      </w:r>
      <w:r>
        <w:rPr>
          <w:color w:val="231F20"/>
          <w:sz w:val="20"/>
        </w:rPr>
        <w:t>heard</w:t>
      </w:r>
      <w:r>
        <w:rPr>
          <w:color w:val="231F20"/>
          <w:spacing w:val="-9"/>
          <w:sz w:val="20"/>
        </w:rPr>
        <w:t xml:space="preserve"> </w:t>
      </w:r>
      <w:r>
        <w:rPr>
          <w:color w:val="231F20"/>
          <w:spacing w:val="-3"/>
          <w:sz w:val="20"/>
        </w:rPr>
        <w:t>from</w:t>
      </w:r>
      <w:r>
        <w:rPr>
          <w:color w:val="231F20"/>
          <w:spacing w:val="-9"/>
          <w:sz w:val="20"/>
        </w:rPr>
        <w:t xml:space="preserve"> </w:t>
      </w:r>
      <w:r>
        <w:rPr>
          <w:color w:val="231F20"/>
          <w:sz w:val="20"/>
        </w:rPr>
        <w:t>male</w:t>
      </w:r>
      <w:r>
        <w:rPr>
          <w:color w:val="231F20"/>
          <w:spacing w:val="-10"/>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9"/>
          <w:sz w:val="20"/>
        </w:rPr>
        <w:t xml:space="preserve"> </w:t>
      </w:r>
      <w:r>
        <w:rPr>
          <w:color w:val="231F20"/>
          <w:sz w:val="20"/>
        </w:rPr>
        <w:t>who</w:t>
      </w:r>
      <w:r>
        <w:rPr>
          <w:color w:val="231F20"/>
          <w:spacing w:val="-9"/>
          <w:sz w:val="20"/>
        </w:rPr>
        <w:t xml:space="preserve"> </w:t>
      </w:r>
      <w:r>
        <w:rPr>
          <w:color w:val="231F20"/>
          <w:sz w:val="20"/>
        </w:rPr>
        <w:t>had</w:t>
      </w:r>
      <w:r>
        <w:rPr>
          <w:color w:val="231F20"/>
          <w:spacing w:val="-10"/>
          <w:sz w:val="20"/>
        </w:rPr>
        <w:t xml:space="preserve"> </w:t>
      </w:r>
      <w:r>
        <w:rPr>
          <w:color w:val="231F20"/>
          <w:sz w:val="20"/>
        </w:rPr>
        <w:t>difficult</w:t>
      </w:r>
      <w:r>
        <w:rPr>
          <w:color w:val="231F20"/>
          <w:spacing w:val="-9"/>
          <w:sz w:val="20"/>
        </w:rPr>
        <w:t xml:space="preserve"> </w:t>
      </w:r>
      <w:r>
        <w:rPr>
          <w:color w:val="231F20"/>
          <w:sz w:val="20"/>
        </w:rPr>
        <w:t>experiences</w:t>
      </w:r>
      <w:r>
        <w:rPr>
          <w:color w:val="231F20"/>
          <w:spacing w:val="-9"/>
          <w:sz w:val="20"/>
        </w:rPr>
        <w:t xml:space="preserve"> </w:t>
      </w:r>
      <w:r>
        <w:rPr>
          <w:color w:val="231F20"/>
          <w:sz w:val="20"/>
        </w:rPr>
        <w:t>with</w:t>
      </w:r>
      <w:r>
        <w:rPr>
          <w:color w:val="231F20"/>
          <w:spacing w:val="-9"/>
          <w:sz w:val="20"/>
        </w:rPr>
        <w:t xml:space="preserve"> </w:t>
      </w:r>
      <w:r>
        <w:rPr>
          <w:color w:val="231F20"/>
          <w:sz w:val="20"/>
        </w:rPr>
        <w:t>the</w:t>
      </w:r>
      <w:r>
        <w:rPr>
          <w:color w:val="231F20"/>
          <w:spacing w:val="-10"/>
          <w:sz w:val="20"/>
        </w:rPr>
        <w:t xml:space="preserve"> </w:t>
      </w:r>
      <w:r>
        <w:rPr>
          <w:color w:val="231F20"/>
          <w:sz w:val="20"/>
        </w:rPr>
        <w:t>police.</w:t>
      </w:r>
    </w:p>
    <w:p w14:paraId="3F8730FC" w14:textId="77777777" w:rsidR="00894070" w:rsidRDefault="00894070">
      <w:pPr>
        <w:pStyle w:val="BodyText"/>
      </w:pPr>
    </w:p>
    <w:p w14:paraId="406EF75B" w14:textId="77777777" w:rsidR="00894070" w:rsidRDefault="00894070">
      <w:pPr>
        <w:pStyle w:val="BodyText"/>
      </w:pPr>
    </w:p>
    <w:p w14:paraId="7C1446A8" w14:textId="77777777" w:rsidR="00894070" w:rsidRDefault="00894070">
      <w:pPr>
        <w:pStyle w:val="BodyText"/>
      </w:pPr>
    </w:p>
    <w:p w14:paraId="30E78AC0" w14:textId="77777777" w:rsidR="00894070" w:rsidRDefault="009F6793">
      <w:pPr>
        <w:pStyle w:val="BodyText"/>
        <w:spacing w:before="10"/>
        <w:rPr>
          <w:sz w:val="12"/>
        </w:rPr>
      </w:pPr>
      <w:r>
        <w:pict w14:anchorId="05623351">
          <v:line id="_x0000_s1637" style="position:absolute;z-index:251454464;mso-wrap-distance-left:0;mso-wrap-distance-right:0;mso-position-horizontal-relative:page" from="79.35pt,11.3pt" to="515.9pt,11.3pt" strokecolor="#f8cabc" strokeweight="1pt">
            <w10:wrap type="topAndBottom" anchorx="page"/>
          </v:line>
        </w:pict>
      </w:r>
    </w:p>
    <w:p w14:paraId="3DC2BAFF" w14:textId="77777777" w:rsidR="00894070" w:rsidRDefault="009B7AFD">
      <w:pPr>
        <w:pStyle w:val="ListParagraph"/>
        <w:numPr>
          <w:ilvl w:val="0"/>
          <w:numId w:val="165"/>
        </w:numPr>
        <w:tabs>
          <w:tab w:val="left" w:pos="1801"/>
          <w:tab w:val="left" w:pos="1802"/>
        </w:tabs>
        <w:spacing w:before="107" w:line="213" w:lineRule="auto"/>
        <w:ind w:right="1206"/>
        <w:rPr>
          <w:sz w:val="13"/>
        </w:rPr>
      </w:pPr>
      <w:r>
        <w:rPr>
          <w:color w:val="231F20"/>
          <w:sz w:val="13"/>
        </w:rPr>
        <w:t xml:space="preserve">Consultation 28 (Victorian Pride Lobby). The Victorian Pride Lobby </w:t>
      </w:r>
      <w:r>
        <w:rPr>
          <w:color w:val="231F20"/>
          <w:spacing w:val="2"/>
          <w:sz w:val="13"/>
        </w:rPr>
        <w:t xml:space="preserve">also </w:t>
      </w:r>
      <w:r>
        <w:rPr>
          <w:color w:val="231F20"/>
          <w:sz w:val="13"/>
        </w:rPr>
        <w:t xml:space="preserve">noted that </w:t>
      </w:r>
      <w:r>
        <w:rPr>
          <w:color w:val="231F20"/>
          <w:spacing w:val="-4"/>
          <w:sz w:val="13"/>
        </w:rPr>
        <w:t xml:space="preserve">‘A </w:t>
      </w:r>
      <w:r>
        <w:rPr>
          <w:color w:val="231F20"/>
          <w:sz w:val="13"/>
        </w:rPr>
        <w:t xml:space="preserve">move away from the </w:t>
      </w:r>
      <w:proofErr w:type="spellStart"/>
      <w:r>
        <w:rPr>
          <w:color w:val="231F20"/>
          <w:sz w:val="13"/>
        </w:rPr>
        <w:t>criminalisation</w:t>
      </w:r>
      <w:proofErr w:type="spellEnd"/>
      <w:r>
        <w:rPr>
          <w:color w:val="231F20"/>
          <w:sz w:val="13"/>
        </w:rPr>
        <w:t xml:space="preserve"> of sex work and a change in </w:t>
      </w:r>
      <w:r>
        <w:rPr>
          <w:color w:val="231F20"/>
          <w:spacing w:val="2"/>
          <w:sz w:val="13"/>
        </w:rPr>
        <w:t xml:space="preserve">police </w:t>
      </w:r>
      <w:r>
        <w:rPr>
          <w:color w:val="231F20"/>
          <w:sz w:val="13"/>
        </w:rPr>
        <w:t xml:space="preserve">culture to improve relations with sex workers will improve the </w:t>
      </w:r>
      <w:r>
        <w:rPr>
          <w:color w:val="231F20"/>
          <w:spacing w:val="2"/>
          <w:sz w:val="13"/>
        </w:rPr>
        <w:t xml:space="preserve">reporting </w:t>
      </w:r>
      <w:r>
        <w:rPr>
          <w:color w:val="231F20"/>
          <w:sz w:val="13"/>
        </w:rPr>
        <w:t xml:space="preserve">rates and personal safety of sex </w:t>
      </w:r>
      <w:proofErr w:type="gramStart"/>
      <w:r>
        <w:rPr>
          <w:color w:val="231F20"/>
          <w:sz w:val="13"/>
        </w:rPr>
        <w:t>workers’</w:t>
      </w:r>
      <w:proofErr w:type="gramEnd"/>
      <w:r>
        <w:rPr>
          <w:color w:val="231F20"/>
          <w:sz w:val="13"/>
        </w:rPr>
        <w:t>.</w:t>
      </w:r>
    </w:p>
    <w:p w14:paraId="728C9AE8" w14:textId="77777777" w:rsidR="00894070" w:rsidRDefault="009B7AFD">
      <w:pPr>
        <w:pStyle w:val="ListParagraph"/>
        <w:numPr>
          <w:ilvl w:val="0"/>
          <w:numId w:val="165"/>
        </w:numPr>
        <w:tabs>
          <w:tab w:val="left" w:pos="1801"/>
          <w:tab w:val="left" w:pos="1802"/>
        </w:tabs>
        <w:spacing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171FA10F" w14:textId="77777777" w:rsidR="00894070" w:rsidRDefault="009B7AFD">
      <w:pPr>
        <w:pStyle w:val="ListParagraph"/>
        <w:numPr>
          <w:ilvl w:val="0"/>
          <w:numId w:val="165"/>
        </w:numPr>
        <w:tabs>
          <w:tab w:val="left" w:pos="1801"/>
          <w:tab w:val="left" w:pos="1802"/>
        </w:tabs>
        <w:spacing w:line="213" w:lineRule="auto"/>
        <w:ind w:right="1177"/>
        <w:rPr>
          <w:sz w:val="13"/>
        </w:rPr>
      </w:pPr>
      <w:r>
        <w:rPr>
          <w:color w:val="231F20"/>
          <w:sz w:val="13"/>
        </w:rPr>
        <w:t>Consultations 30 (Roundtable with multicultural and multifaith lawyers and legal stakeholders), 31 (Roundtable with multicultural and</w:t>
      </w:r>
      <w:r>
        <w:rPr>
          <w:color w:val="231F20"/>
          <w:spacing w:val="4"/>
          <w:sz w:val="13"/>
        </w:rPr>
        <w:t xml:space="preserve"> </w:t>
      </w:r>
      <w:r>
        <w:rPr>
          <w:color w:val="231F20"/>
          <w:sz w:val="13"/>
        </w:rPr>
        <w:t>multifaith</w:t>
      </w:r>
      <w:r>
        <w:rPr>
          <w:color w:val="231F20"/>
          <w:spacing w:val="4"/>
          <w:sz w:val="13"/>
        </w:rPr>
        <w:t xml:space="preserve"> </w:t>
      </w:r>
      <w:r>
        <w:rPr>
          <w:color w:val="231F20"/>
          <w:sz w:val="13"/>
        </w:rPr>
        <w:t>community</w:t>
      </w:r>
      <w:r>
        <w:rPr>
          <w:color w:val="231F20"/>
          <w:spacing w:val="4"/>
          <w:sz w:val="13"/>
        </w:rPr>
        <w:t xml:space="preserve"> </w:t>
      </w:r>
      <w:proofErr w:type="spellStart"/>
      <w:r>
        <w:rPr>
          <w:color w:val="231F20"/>
          <w:sz w:val="13"/>
        </w:rPr>
        <w:t>organisations</w:t>
      </w:r>
      <w:proofErr w:type="spellEnd"/>
      <w:r>
        <w:rPr>
          <w:color w:val="231F20"/>
          <w:sz w:val="13"/>
        </w:rPr>
        <w:t>);</w:t>
      </w:r>
      <w:r>
        <w:rPr>
          <w:color w:val="231F20"/>
          <w:spacing w:val="5"/>
          <w:sz w:val="13"/>
        </w:rPr>
        <w:t xml:space="preserve"> </w:t>
      </w:r>
      <w:r>
        <w:rPr>
          <w:color w:val="231F20"/>
          <w:sz w:val="13"/>
        </w:rPr>
        <w:t>Letter</w:t>
      </w:r>
      <w:r>
        <w:rPr>
          <w:color w:val="231F20"/>
          <w:spacing w:val="4"/>
          <w:sz w:val="13"/>
        </w:rPr>
        <w:t xml:space="preserve"> </w:t>
      </w:r>
      <w:r>
        <w:rPr>
          <w:color w:val="231F20"/>
          <w:sz w:val="13"/>
        </w:rPr>
        <w:t>from</w:t>
      </w:r>
      <w:r>
        <w:rPr>
          <w:color w:val="231F20"/>
          <w:spacing w:val="4"/>
          <w:sz w:val="13"/>
        </w:rPr>
        <w:t xml:space="preserve"> </w:t>
      </w:r>
      <w:r>
        <w:rPr>
          <w:color w:val="231F20"/>
          <w:sz w:val="13"/>
        </w:rPr>
        <w:t>Centre</w:t>
      </w:r>
      <w:r>
        <w:rPr>
          <w:color w:val="231F20"/>
          <w:spacing w:val="5"/>
          <w:sz w:val="13"/>
        </w:rPr>
        <w:t xml:space="preserve"> </w:t>
      </w:r>
      <w:r>
        <w:rPr>
          <w:color w:val="231F20"/>
          <w:sz w:val="13"/>
        </w:rPr>
        <w:t>for</w:t>
      </w:r>
      <w:r>
        <w:rPr>
          <w:color w:val="231F20"/>
          <w:spacing w:val="4"/>
          <w:sz w:val="13"/>
        </w:rPr>
        <w:t xml:space="preserve"> </w:t>
      </w:r>
      <w:r>
        <w:rPr>
          <w:color w:val="231F20"/>
          <w:sz w:val="13"/>
        </w:rPr>
        <w:t>Multicultural</w:t>
      </w:r>
      <w:r>
        <w:rPr>
          <w:color w:val="231F20"/>
          <w:spacing w:val="4"/>
          <w:sz w:val="13"/>
        </w:rPr>
        <w:t xml:space="preserve"> </w:t>
      </w:r>
      <w:r>
        <w:rPr>
          <w:color w:val="231F20"/>
          <w:sz w:val="13"/>
        </w:rPr>
        <w:t>Youth</w:t>
      </w:r>
      <w:r>
        <w:rPr>
          <w:color w:val="231F20"/>
          <w:spacing w:val="5"/>
          <w:sz w:val="13"/>
        </w:rPr>
        <w:t xml:space="preserve"> </w:t>
      </w:r>
      <w:r>
        <w:rPr>
          <w:color w:val="231F20"/>
          <w:sz w:val="13"/>
        </w:rPr>
        <w:t>to</w:t>
      </w:r>
      <w:r>
        <w:rPr>
          <w:color w:val="231F20"/>
          <w:spacing w:val="4"/>
          <w:sz w:val="13"/>
        </w:rPr>
        <w:t xml:space="preserve"> </w:t>
      </w:r>
      <w:r>
        <w:rPr>
          <w:color w:val="231F20"/>
          <w:sz w:val="13"/>
        </w:rPr>
        <w:t>Victorian</w:t>
      </w:r>
      <w:r>
        <w:rPr>
          <w:color w:val="231F20"/>
          <w:spacing w:val="4"/>
          <w:sz w:val="13"/>
        </w:rPr>
        <w:t xml:space="preserve"> </w:t>
      </w:r>
      <w:r>
        <w:rPr>
          <w:color w:val="231F20"/>
          <w:sz w:val="13"/>
        </w:rPr>
        <w:t>Law</w:t>
      </w:r>
      <w:r>
        <w:rPr>
          <w:color w:val="231F20"/>
          <w:spacing w:val="3"/>
          <w:sz w:val="13"/>
        </w:rPr>
        <w:t xml:space="preserve"> </w:t>
      </w:r>
      <w:r>
        <w:rPr>
          <w:color w:val="231F20"/>
          <w:sz w:val="13"/>
        </w:rPr>
        <w:t>Reform</w:t>
      </w:r>
      <w:r>
        <w:rPr>
          <w:color w:val="231F20"/>
          <w:spacing w:val="5"/>
          <w:sz w:val="13"/>
        </w:rPr>
        <w:t xml:space="preserve"> </w:t>
      </w:r>
      <w:r>
        <w:rPr>
          <w:color w:val="231F20"/>
          <w:spacing w:val="2"/>
          <w:sz w:val="13"/>
        </w:rPr>
        <w:t>Commission,</w:t>
      </w:r>
    </w:p>
    <w:p w14:paraId="337269C8" w14:textId="77777777" w:rsidR="00894070" w:rsidRDefault="009B7AFD">
      <w:pPr>
        <w:spacing w:line="213" w:lineRule="auto"/>
        <w:ind w:left="1801" w:right="1185"/>
        <w:rPr>
          <w:sz w:val="13"/>
        </w:rPr>
      </w:pPr>
      <w:r>
        <w:rPr>
          <w:color w:val="231F20"/>
          <w:sz w:val="13"/>
        </w:rPr>
        <w:t xml:space="preserve">25 November 2021. See </w:t>
      </w:r>
      <w:r>
        <w:rPr>
          <w:color w:val="231F20"/>
          <w:spacing w:val="2"/>
          <w:sz w:val="13"/>
        </w:rPr>
        <w:t xml:space="preserve">also </w:t>
      </w: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(Consultation Paper, June 2021) 5 [1.19]. Research conducted in the United States showed that Anglo-Saxon females were more likely to seek informal help for </w:t>
      </w:r>
      <w:r>
        <w:rPr>
          <w:color w:val="231F20"/>
          <w:spacing w:val="2"/>
          <w:sz w:val="13"/>
        </w:rPr>
        <w:t xml:space="preserve">stalking </w:t>
      </w:r>
      <w:r>
        <w:rPr>
          <w:color w:val="231F20"/>
          <w:sz w:val="13"/>
        </w:rPr>
        <w:t xml:space="preserve">and to    </w:t>
      </w:r>
      <w:r>
        <w:rPr>
          <w:color w:val="231F20"/>
          <w:spacing w:val="2"/>
          <w:sz w:val="13"/>
        </w:rPr>
        <w:t xml:space="preserve">report </w:t>
      </w:r>
      <w:r>
        <w:rPr>
          <w:color w:val="231F20"/>
          <w:sz w:val="13"/>
        </w:rPr>
        <w:t xml:space="preserve">the </w:t>
      </w:r>
      <w:r>
        <w:rPr>
          <w:color w:val="231F20"/>
          <w:spacing w:val="2"/>
          <w:sz w:val="13"/>
        </w:rPr>
        <w:t xml:space="preserve">stalking </w:t>
      </w:r>
      <w:r>
        <w:rPr>
          <w:color w:val="231F20"/>
          <w:sz w:val="13"/>
        </w:rPr>
        <w:t xml:space="preserve">to </w:t>
      </w:r>
      <w:r>
        <w:rPr>
          <w:color w:val="231F20"/>
          <w:spacing w:val="2"/>
          <w:sz w:val="13"/>
        </w:rPr>
        <w:t xml:space="preserve">police </w:t>
      </w:r>
      <w:r>
        <w:rPr>
          <w:color w:val="231F20"/>
          <w:sz w:val="13"/>
        </w:rPr>
        <w:t xml:space="preserve">than people of other races and genders: Bradford W </w:t>
      </w:r>
      <w:proofErr w:type="spellStart"/>
      <w:r>
        <w:rPr>
          <w:color w:val="231F20"/>
          <w:sz w:val="13"/>
        </w:rPr>
        <w:t>Reyns</w:t>
      </w:r>
      <w:proofErr w:type="spellEnd"/>
      <w:r>
        <w:rPr>
          <w:color w:val="231F20"/>
          <w:sz w:val="13"/>
        </w:rPr>
        <w:t xml:space="preserve"> and Christine M Englebrecht, ‘Informal   and</w:t>
      </w:r>
      <w:r>
        <w:rPr>
          <w:color w:val="231F20"/>
          <w:spacing w:val="6"/>
          <w:sz w:val="13"/>
        </w:rPr>
        <w:t xml:space="preserve"> </w:t>
      </w:r>
      <w:r>
        <w:rPr>
          <w:color w:val="231F20"/>
          <w:sz w:val="13"/>
        </w:rPr>
        <w:t>Formal</w:t>
      </w:r>
      <w:r>
        <w:rPr>
          <w:color w:val="231F20"/>
          <w:spacing w:val="7"/>
          <w:sz w:val="13"/>
        </w:rPr>
        <w:t xml:space="preserve"> </w:t>
      </w:r>
      <w:r>
        <w:rPr>
          <w:color w:val="231F20"/>
          <w:spacing w:val="2"/>
          <w:sz w:val="13"/>
        </w:rPr>
        <w:t>Help-Seeking</w:t>
      </w:r>
      <w:r>
        <w:rPr>
          <w:color w:val="231F20"/>
          <w:spacing w:val="7"/>
          <w:sz w:val="13"/>
        </w:rPr>
        <w:t xml:space="preserve"> </w:t>
      </w:r>
      <w:r>
        <w:rPr>
          <w:color w:val="231F20"/>
          <w:spacing w:val="2"/>
          <w:sz w:val="13"/>
        </w:rPr>
        <w:t>Decisions</w:t>
      </w:r>
      <w:r>
        <w:rPr>
          <w:color w:val="231F20"/>
          <w:spacing w:val="7"/>
          <w:sz w:val="13"/>
        </w:rPr>
        <w:t xml:space="preserve"> </w:t>
      </w:r>
      <w:r>
        <w:rPr>
          <w:color w:val="231F20"/>
          <w:sz w:val="13"/>
        </w:rPr>
        <w:t>of</w:t>
      </w:r>
      <w:r>
        <w:rPr>
          <w:color w:val="231F20"/>
          <w:spacing w:val="6"/>
          <w:sz w:val="13"/>
        </w:rPr>
        <w:t xml:space="preserve"> </w:t>
      </w:r>
      <w:r>
        <w:rPr>
          <w:color w:val="231F20"/>
          <w:sz w:val="13"/>
        </w:rPr>
        <w:t>Stalking</w:t>
      </w:r>
      <w:r>
        <w:rPr>
          <w:color w:val="231F20"/>
          <w:spacing w:val="7"/>
          <w:sz w:val="13"/>
        </w:rPr>
        <w:t xml:space="preserve"> </w:t>
      </w:r>
      <w:r>
        <w:rPr>
          <w:color w:val="231F20"/>
          <w:sz w:val="13"/>
        </w:rPr>
        <w:t>Victims</w:t>
      </w:r>
      <w:r>
        <w:rPr>
          <w:color w:val="231F20"/>
          <w:spacing w:val="7"/>
          <w:sz w:val="13"/>
        </w:rPr>
        <w:t xml:space="preserve"> </w:t>
      </w:r>
      <w:r>
        <w:rPr>
          <w:color w:val="231F20"/>
          <w:sz w:val="13"/>
        </w:rPr>
        <w:t>in</w:t>
      </w:r>
      <w:r>
        <w:rPr>
          <w:color w:val="231F20"/>
          <w:spacing w:val="7"/>
          <w:sz w:val="13"/>
        </w:rPr>
        <w:t xml:space="preserve"> </w:t>
      </w:r>
      <w:r>
        <w:rPr>
          <w:color w:val="231F20"/>
          <w:sz w:val="13"/>
        </w:rPr>
        <w:t>the</w:t>
      </w:r>
      <w:r>
        <w:rPr>
          <w:color w:val="231F20"/>
          <w:spacing w:val="7"/>
          <w:sz w:val="13"/>
        </w:rPr>
        <w:t xml:space="preserve"> </w:t>
      </w:r>
      <w:r>
        <w:rPr>
          <w:color w:val="231F20"/>
          <w:sz w:val="13"/>
        </w:rPr>
        <w:t>United</w:t>
      </w:r>
      <w:r>
        <w:rPr>
          <w:color w:val="231F20"/>
          <w:spacing w:val="6"/>
          <w:sz w:val="13"/>
        </w:rPr>
        <w:t xml:space="preserve"> </w:t>
      </w:r>
      <w:r>
        <w:rPr>
          <w:color w:val="231F20"/>
          <w:sz w:val="13"/>
        </w:rPr>
        <w:t>States’</w:t>
      </w:r>
      <w:r>
        <w:rPr>
          <w:color w:val="231F20"/>
          <w:spacing w:val="7"/>
          <w:sz w:val="13"/>
        </w:rPr>
        <w:t xml:space="preserve"> </w:t>
      </w:r>
      <w:r>
        <w:rPr>
          <w:color w:val="231F20"/>
          <w:sz w:val="13"/>
        </w:rPr>
        <w:t>(2014)</w:t>
      </w:r>
      <w:r>
        <w:rPr>
          <w:color w:val="231F20"/>
          <w:spacing w:val="7"/>
          <w:sz w:val="13"/>
        </w:rPr>
        <w:t xml:space="preserve"> </w:t>
      </w:r>
      <w:r>
        <w:rPr>
          <w:color w:val="231F20"/>
          <w:sz w:val="13"/>
        </w:rPr>
        <w:t>41(10)</w:t>
      </w:r>
      <w:r>
        <w:rPr>
          <w:color w:val="231F20"/>
          <w:spacing w:val="7"/>
          <w:sz w:val="13"/>
        </w:rPr>
        <w:t xml:space="preserve"> </w:t>
      </w:r>
      <w:r>
        <w:rPr>
          <w:i/>
          <w:color w:val="231F20"/>
          <w:sz w:val="13"/>
        </w:rPr>
        <w:t>Criminal</w:t>
      </w:r>
      <w:r>
        <w:rPr>
          <w:i/>
          <w:color w:val="231F20"/>
          <w:spacing w:val="6"/>
          <w:sz w:val="13"/>
        </w:rPr>
        <w:t xml:space="preserve"> </w:t>
      </w:r>
      <w:r>
        <w:rPr>
          <w:i/>
          <w:color w:val="231F20"/>
          <w:sz w:val="13"/>
        </w:rPr>
        <w:t>Justice</w:t>
      </w:r>
      <w:r>
        <w:rPr>
          <w:i/>
          <w:color w:val="231F20"/>
          <w:spacing w:val="7"/>
          <w:sz w:val="13"/>
        </w:rPr>
        <w:t xml:space="preserve"> </w:t>
      </w:r>
      <w:r>
        <w:rPr>
          <w:i/>
          <w:color w:val="231F20"/>
          <w:sz w:val="13"/>
        </w:rPr>
        <w:t>and</w:t>
      </w:r>
      <w:r>
        <w:rPr>
          <w:i/>
          <w:color w:val="231F20"/>
          <w:spacing w:val="7"/>
          <w:sz w:val="13"/>
        </w:rPr>
        <w:t xml:space="preserve"> </w:t>
      </w:r>
      <w:r>
        <w:rPr>
          <w:i/>
          <w:color w:val="231F20"/>
          <w:sz w:val="13"/>
        </w:rPr>
        <w:t>Behavior</w:t>
      </w:r>
      <w:r>
        <w:rPr>
          <w:i/>
          <w:color w:val="231F20"/>
          <w:spacing w:val="6"/>
          <w:sz w:val="13"/>
        </w:rPr>
        <w:t xml:space="preserve"> </w:t>
      </w:r>
      <w:r>
        <w:rPr>
          <w:color w:val="231F20"/>
          <w:sz w:val="13"/>
        </w:rPr>
        <w:t>1178,</w:t>
      </w:r>
      <w:r>
        <w:rPr>
          <w:color w:val="231F20"/>
          <w:spacing w:val="7"/>
          <w:sz w:val="13"/>
        </w:rPr>
        <w:t xml:space="preserve"> </w:t>
      </w:r>
      <w:r>
        <w:rPr>
          <w:color w:val="231F20"/>
          <w:spacing w:val="2"/>
          <w:sz w:val="13"/>
        </w:rPr>
        <w:t>1189.</w:t>
      </w:r>
    </w:p>
    <w:p w14:paraId="4750F360" w14:textId="77777777" w:rsidR="00894070" w:rsidRDefault="009B7AFD">
      <w:pPr>
        <w:pStyle w:val="ListParagraph"/>
        <w:numPr>
          <w:ilvl w:val="0"/>
          <w:numId w:val="165"/>
        </w:numPr>
        <w:tabs>
          <w:tab w:val="left" w:pos="1800"/>
          <w:tab w:val="left" w:pos="1802"/>
        </w:tabs>
        <w:spacing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07957BED" w14:textId="77777777" w:rsidR="00894070" w:rsidRDefault="009B7AFD">
      <w:pPr>
        <w:pStyle w:val="ListParagraph"/>
        <w:numPr>
          <w:ilvl w:val="0"/>
          <w:numId w:val="165"/>
        </w:numPr>
        <w:tabs>
          <w:tab w:val="left" w:pos="1800"/>
          <w:tab w:val="left" w:pos="1802"/>
        </w:tabs>
        <w:spacing w:line="213" w:lineRule="auto"/>
        <w:ind w:right="1504"/>
        <w:rPr>
          <w:sz w:val="13"/>
        </w:rPr>
      </w:pPr>
      <w:r>
        <w:rPr>
          <w:color w:val="231F20"/>
          <w:sz w:val="13"/>
        </w:rPr>
        <w:t xml:space="preserve">Australian Bureau of </w:t>
      </w:r>
      <w:r>
        <w:rPr>
          <w:color w:val="231F20"/>
          <w:spacing w:val="2"/>
          <w:sz w:val="13"/>
        </w:rPr>
        <w:t xml:space="preserve">Statistics, </w:t>
      </w:r>
      <w:r>
        <w:rPr>
          <w:i/>
          <w:color w:val="231F20"/>
          <w:spacing w:val="2"/>
          <w:sz w:val="13"/>
        </w:rPr>
        <w:t xml:space="preserve">Experience </w:t>
      </w:r>
      <w:r>
        <w:rPr>
          <w:i/>
          <w:color w:val="231F20"/>
          <w:sz w:val="13"/>
        </w:rPr>
        <w:t xml:space="preserve">of Stalking—Personal Safety, Australia, 2016 </w:t>
      </w:r>
      <w:r>
        <w:rPr>
          <w:color w:val="231F20"/>
          <w:sz w:val="13"/>
        </w:rPr>
        <w:t xml:space="preserve">(Data Table No 49060DO0007, 8 November 2017) Table 38.3 </w:t>
      </w:r>
      <w:r>
        <w:rPr>
          <w:color w:val="231F20"/>
          <w:spacing w:val="2"/>
          <w:sz w:val="13"/>
        </w:rPr>
        <w:t xml:space="preserve">(Experience </w:t>
      </w:r>
      <w:r>
        <w:rPr>
          <w:color w:val="231F20"/>
          <w:sz w:val="13"/>
        </w:rPr>
        <w:t xml:space="preserve">of </w:t>
      </w:r>
      <w:r>
        <w:rPr>
          <w:color w:val="231F20"/>
          <w:spacing w:val="2"/>
          <w:sz w:val="13"/>
        </w:rPr>
        <w:t xml:space="preserve">stalking </w:t>
      </w:r>
      <w:r>
        <w:rPr>
          <w:color w:val="231F20"/>
          <w:sz w:val="13"/>
        </w:rPr>
        <w:t xml:space="preserve">in the </w:t>
      </w:r>
      <w:r>
        <w:rPr>
          <w:color w:val="231F20"/>
          <w:spacing w:val="2"/>
          <w:sz w:val="13"/>
        </w:rPr>
        <w:t xml:space="preserve">last </w:t>
      </w:r>
      <w:r>
        <w:rPr>
          <w:color w:val="231F20"/>
          <w:sz w:val="13"/>
        </w:rPr>
        <w:t xml:space="preserve">12 months by </w:t>
      </w:r>
      <w:r>
        <w:rPr>
          <w:color w:val="231F20"/>
          <w:spacing w:val="2"/>
          <w:sz w:val="13"/>
        </w:rPr>
        <w:t xml:space="preserve">sociodemographic characteristics, proportion </w:t>
      </w:r>
      <w:r>
        <w:rPr>
          <w:color w:val="231F20"/>
          <w:sz w:val="13"/>
        </w:rPr>
        <w:t>of persons).</w:t>
      </w:r>
    </w:p>
    <w:p w14:paraId="0CBFE29B" w14:textId="77777777" w:rsidR="00894070" w:rsidRDefault="009B7AFD">
      <w:pPr>
        <w:pStyle w:val="ListParagraph"/>
        <w:numPr>
          <w:ilvl w:val="0"/>
          <w:numId w:val="165"/>
        </w:numPr>
        <w:tabs>
          <w:tab w:val="left" w:pos="1801"/>
          <w:tab w:val="left" w:pos="1802"/>
        </w:tabs>
        <w:spacing w:line="152" w:lineRule="exact"/>
        <w:rPr>
          <w:sz w:val="13"/>
        </w:rPr>
      </w:pPr>
      <w:r>
        <w:rPr>
          <w:i/>
          <w:color w:val="231F20"/>
          <w:sz w:val="13"/>
        </w:rPr>
        <w:t>Royal</w:t>
      </w:r>
      <w:r>
        <w:rPr>
          <w:i/>
          <w:color w:val="231F20"/>
          <w:spacing w:val="7"/>
          <w:sz w:val="13"/>
        </w:rPr>
        <w:t xml:space="preserve"> </w:t>
      </w:r>
      <w:r>
        <w:rPr>
          <w:i/>
          <w:color w:val="231F20"/>
          <w:sz w:val="13"/>
        </w:rPr>
        <w:t>Commission</w:t>
      </w:r>
      <w:r>
        <w:rPr>
          <w:i/>
          <w:color w:val="231F20"/>
          <w:spacing w:val="6"/>
          <w:sz w:val="13"/>
        </w:rPr>
        <w:t xml:space="preserve"> </w:t>
      </w:r>
      <w:r>
        <w:rPr>
          <w:i/>
          <w:color w:val="231F20"/>
          <w:sz w:val="13"/>
        </w:rPr>
        <w:t>into</w:t>
      </w:r>
      <w:r>
        <w:rPr>
          <w:i/>
          <w:color w:val="231F20"/>
          <w:spacing w:val="7"/>
          <w:sz w:val="13"/>
        </w:rPr>
        <w:t xml:space="preserve"> </w:t>
      </w:r>
      <w:r>
        <w:rPr>
          <w:i/>
          <w:color w:val="231F20"/>
          <w:sz w:val="13"/>
        </w:rPr>
        <w:t>Aged</w:t>
      </w:r>
      <w:r>
        <w:rPr>
          <w:i/>
          <w:color w:val="231F20"/>
          <w:spacing w:val="6"/>
          <w:sz w:val="13"/>
        </w:rPr>
        <w:t xml:space="preserve"> </w:t>
      </w:r>
      <w:r>
        <w:rPr>
          <w:i/>
          <w:color w:val="231F20"/>
          <w:sz w:val="13"/>
        </w:rPr>
        <w:t>Care</w:t>
      </w:r>
      <w:r>
        <w:rPr>
          <w:i/>
          <w:color w:val="231F20"/>
          <w:spacing w:val="7"/>
          <w:sz w:val="13"/>
        </w:rPr>
        <w:t xml:space="preserve"> </w:t>
      </w:r>
      <w:r>
        <w:rPr>
          <w:i/>
          <w:color w:val="231F20"/>
          <w:sz w:val="13"/>
        </w:rPr>
        <w:t>Quality</w:t>
      </w:r>
      <w:r>
        <w:rPr>
          <w:i/>
          <w:color w:val="231F20"/>
          <w:spacing w:val="7"/>
          <w:sz w:val="13"/>
        </w:rPr>
        <w:t xml:space="preserve"> </w:t>
      </w:r>
      <w:r>
        <w:rPr>
          <w:i/>
          <w:color w:val="231F20"/>
          <w:sz w:val="13"/>
        </w:rPr>
        <w:t>and</w:t>
      </w:r>
      <w:r>
        <w:rPr>
          <w:i/>
          <w:color w:val="231F20"/>
          <w:spacing w:val="7"/>
          <w:sz w:val="13"/>
        </w:rPr>
        <w:t xml:space="preserve"> </w:t>
      </w:r>
      <w:r>
        <w:rPr>
          <w:i/>
          <w:color w:val="231F20"/>
          <w:sz w:val="13"/>
        </w:rPr>
        <w:t>Safety</w:t>
      </w:r>
      <w:r>
        <w:rPr>
          <w:i/>
          <w:color w:val="231F20"/>
          <w:spacing w:val="8"/>
          <w:sz w:val="13"/>
        </w:rPr>
        <w:t xml:space="preserve"> </w:t>
      </w:r>
      <w:r>
        <w:rPr>
          <w:color w:val="231F20"/>
          <w:sz w:val="13"/>
        </w:rPr>
        <w:t>(Final</w:t>
      </w:r>
      <w:r>
        <w:rPr>
          <w:color w:val="231F20"/>
          <w:spacing w:val="7"/>
          <w:sz w:val="13"/>
        </w:rPr>
        <w:t xml:space="preserve"> </w:t>
      </w:r>
      <w:r>
        <w:rPr>
          <w:color w:val="231F20"/>
          <w:spacing w:val="2"/>
          <w:sz w:val="13"/>
        </w:rPr>
        <w:t>Report,</w:t>
      </w:r>
      <w:r>
        <w:rPr>
          <w:color w:val="231F20"/>
          <w:spacing w:val="7"/>
          <w:sz w:val="13"/>
        </w:rPr>
        <w:t xml:space="preserve"> </w:t>
      </w:r>
      <w:r>
        <w:rPr>
          <w:color w:val="231F20"/>
          <w:spacing w:val="2"/>
          <w:sz w:val="13"/>
        </w:rPr>
        <w:t>Summary</w:t>
      </w:r>
      <w:r>
        <w:rPr>
          <w:color w:val="231F20"/>
          <w:spacing w:val="8"/>
          <w:sz w:val="13"/>
        </w:rPr>
        <w:t xml:space="preserve"> </w:t>
      </w:r>
      <w:r>
        <w:rPr>
          <w:color w:val="231F20"/>
          <w:sz w:val="13"/>
        </w:rPr>
        <w:t>and</w:t>
      </w:r>
      <w:r>
        <w:rPr>
          <w:color w:val="231F20"/>
          <w:spacing w:val="7"/>
          <w:sz w:val="13"/>
        </w:rPr>
        <w:t xml:space="preserve"> </w:t>
      </w:r>
      <w:r>
        <w:rPr>
          <w:color w:val="231F20"/>
          <w:sz w:val="13"/>
        </w:rPr>
        <w:t>Recommendations,</w:t>
      </w:r>
      <w:r>
        <w:rPr>
          <w:color w:val="231F20"/>
          <w:spacing w:val="7"/>
          <w:sz w:val="13"/>
        </w:rPr>
        <w:t xml:space="preserve"> </w:t>
      </w:r>
      <w:r>
        <w:rPr>
          <w:color w:val="231F20"/>
          <w:sz w:val="13"/>
        </w:rPr>
        <w:t>1</w:t>
      </w:r>
      <w:r>
        <w:rPr>
          <w:color w:val="231F20"/>
          <w:spacing w:val="8"/>
          <w:sz w:val="13"/>
        </w:rPr>
        <w:t xml:space="preserve"> </w:t>
      </w:r>
      <w:r>
        <w:rPr>
          <w:color w:val="231F20"/>
          <w:sz w:val="13"/>
        </w:rPr>
        <w:t>March</w:t>
      </w:r>
      <w:r>
        <w:rPr>
          <w:color w:val="231F20"/>
          <w:spacing w:val="7"/>
          <w:sz w:val="13"/>
        </w:rPr>
        <w:t xml:space="preserve"> </w:t>
      </w:r>
      <w:r>
        <w:rPr>
          <w:color w:val="231F20"/>
          <w:sz w:val="13"/>
        </w:rPr>
        <w:t>2021)</w:t>
      </w:r>
      <w:r>
        <w:rPr>
          <w:color w:val="231F20"/>
          <w:spacing w:val="7"/>
          <w:sz w:val="13"/>
        </w:rPr>
        <w:t xml:space="preserve"> </w:t>
      </w:r>
      <w:r>
        <w:rPr>
          <w:color w:val="231F20"/>
          <w:sz w:val="13"/>
        </w:rPr>
        <w:t>vol</w:t>
      </w:r>
      <w:r>
        <w:rPr>
          <w:color w:val="231F20"/>
          <w:spacing w:val="8"/>
          <w:sz w:val="13"/>
        </w:rPr>
        <w:t xml:space="preserve"> </w:t>
      </w:r>
      <w:r>
        <w:rPr>
          <w:color w:val="231F20"/>
          <w:sz w:val="13"/>
        </w:rPr>
        <w:t>1,</w:t>
      </w:r>
      <w:r>
        <w:rPr>
          <w:color w:val="231F20"/>
          <w:spacing w:val="7"/>
          <w:sz w:val="13"/>
        </w:rPr>
        <w:t xml:space="preserve"> </w:t>
      </w:r>
      <w:r>
        <w:rPr>
          <w:color w:val="231F20"/>
          <w:spacing w:val="3"/>
          <w:sz w:val="13"/>
        </w:rPr>
        <w:t>34.</w:t>
      </w:r>
    </w:p>
    <w:p w14:paraId="38650DEE" w14:textId="77777777" w:rsidR="00894070" w:rsidRDefault="009B7AFD">
      <w:pPr>
        <w:pStyle w:val="ListParagraph"/>
        <w:numPr>
          <w:ilvl w:val="0"/>
          <w:numId w:val="165"/>
        </w:numPr>
        <w:tabs>
          <w:tab w:val="left" w:pos="1801"/>
          <w:tab w:val="left" w:pos="1802"/>
        </w:tabs>
        <w:spacing w:line="160" w:lineRule="exact"/>
        <w:rPr>
          <w:sz w:val="13"/>
        </w:rPr>
      </w:pPr>
      <w:r>
        <w:rPr>
          <w:color w:val="231F20"/>
          <w:sz w:val="13"/>
        </w:rPr>
        <w:t>See,</w:t>
      </w:r>
      <w:r>
        <w:rPr>
          <w:color w:val="231F20"/>
          <w:spacing w:val="7"/>
          <w:sz w:val="13"/>
        </w:rPr>
        <w:t xml:space="preserve"> </w:t>
      </w:r>
      <w:proofErr w:type="spellStart"/>
      <w:r>
        <w:rPr>
          <w:color w:val="231F20"/>
          <w:sz w:val="13"/>
        </w:rPr>
        <w:t>eg</w:t>
      </w:r>
      <w:proofErr w:type="spellEnd"/>
      <w:r>
        <w:rPr>
          <w:color w:val="231F20"/>
          <w:sz w:val="13"/>
        </w:rPr>
        <w:t>,</w:t>
      </w:r>
      <w:r>
        <w:rPr>
          <w:color w:val="231F20"/>
          <w:spacing w:val="8"/>
          <w:sz w:val="13"/>
        </w:rPr>
        <w:t xml:space="preserve"> </w:t>
      </w:r>
      <w:r>
        <w:rPr>
          <w:color w:val="231F20"/>
          <w:sz w:val="13"/>
        </w:rPr>
        <w:t>Australian</w:t>
      </w:r>
      <w:r>
        <w:rPr>
          <w:color w:val="231F20"/>
          <w:spacing w:val="7"/>
          <w:sz w:val="13"/>
        </w:rPr>
        <w:t xml:space="preserve"> </w:t>
      </w:r>
      <w:r>
        <w:rPr>
          <w:color w:val="231F20"/>
          <w:sz w:val="13"/>
        </w:rPr>
        <w:t>Bureau</w:t>
      </w:r>
      <w:r>
        <w:rPr>
          <w:color w:val="231F20"/>
          <w:spacing w:val="8"/>
          <w:sz w:val="13"/>
        </w:rPr>
        <w:t xml:space="preserve"> </w:t>
      </w:r>
      <w:r>
        <w:rPr>
          <w:color w:val="231F20"/>
          <w:sz w:val="13"/>
        </w:rPr>
        <w:t>of</w:t>
      </w:r>
      <w:r>
        <w:rPr>
          <w:color w:val="231F20"/>
          <w:spacing w:val="8"/>
          <w:sz w:val="13"/>
        </w:rPr>
        <w:t xml:space="preserve"> </w:t>
      </w:r>
      <w:r>
        <w:rPr>
          <w:color w:val="231F20"/>
          <w:spacing w:val="2"/>
          <w:sz w:val="13"/>
        </w:rPr>
        <w:t>Statistics,</w:t>
      </w:r>
      <w:r>
        <w:rPr>
          <w:color w:val="231F20"/>
          <w:spacing w:val="7"/>
          <w:sz w:val="13"/>
        </w:rPr>
        <w:t xml:space="preserve"> </w:t>
      </w:r>
      <w:r>
        <w:rPr>
          <w:color w:val="231F20"/>
          <w:spacing w:val="2"/>
          <w:sz w:val="13"/>
        </w:rPr>
        <w:t>‘Experience</w:t>
      </w:r>
      <w:r>
        <w:rPr>
          <w:color w:val="231F20"/>
          <w:spacing w:val="8"/>
          <w:sz w:val="13"/>
        </w:rPr>
        <w:t xml:space="preserve"> </w:t>
      </w:r>
      <w:r>
        <w:rPr>
          <w:color w:val="231F20"/>
          <w:sz w:val="13"/>
        </w:rPr>
        <w:t>of</w:t>
      </w:r>
      <w:r>
        <w:rPr>
          <w:color w:val="231F20"/>
          <w:spacing w:val="7"/>
          <w:sz w:val="13"/>
        </w:rPr>
        <w:t xml:space="preserve"> </w:t>
      </w:r>
      <w:r>
        <w:rPr>
          <w:color w:val="231F20"/>
          <w:sz w:val="13"/>
        </w:rPr>
        <w:t>stalking’,</w:t>
      </w:r>
      <w:r>
        <w:rPr>
          <w:color w:val="231F20"/>
          <w:spacing w:val="7"/>
          <w:sz w:val="13"/>
        </w:rPr>
        <w:t xml:space="preserve"> </w:t>
      </w:r>
      <w:r>
        <w:rPr>
          <w:i/>
          <w:color w:val="231F20"/>
          <w:sz w:val="13"/>
        </w:rPr>
        <w:t>Personal</w:t>
      </w:r>
      <w:r>
        <w:rPr>
          <w:i/>
          <w:color w:val="231F20"/>
          <w:spacing w:val="7"/>
          <w:sz w:val="13"/>
        </w:rPr>
        <w:t xml:space="preserve"> </w:t>
      </w:r>
      <w:r>
        <w:rPr>
          <w:i/>
          <w:color w:val="231F20"/>
          <w:sz w:val="13"/>
        </w:rPr>
        <w:t>Safety,</w:t>
      </w:r>
      <w:r>
        <w:rPr>
          <w:i/>
          <w:color w:val="231F20"/>
          <w:spacing w:val="8"/>
          <w:sz w:val="13"/>
        </w:rPr>
        <w:t xml:space="preserve"> </w:t>
      </w:r>
      <w:r>
        <w:rPr>
          <w:i/>
          <w:color w:val="231F20"/>
          <w:sz w:val="13"/>
        </w:rPr>
        <w:t>Australia,</w:t>
      </w:r>
      <w:r>
        <w:rPr>
          <w:i/>
          <w:color w:val="231F20"/>
          <w:spacing w:val="7"/>
          <w:sz w:val="13"/>
        </w:rPr>
        <w:t xml:space="preserve"> </w:t>
      </w:r>
      <w:r>
        <w:rPr>
          <w:i/>
          <w:color w:val="231F20"/>
          <w:sz w:val="13"/>
        </w:rPr>
        <w:t>2016</w:t>
      </w:r>
      <w:r>
        <w:rPr>
          <w:i/>
          <w:color w:val="231F20"/>
          <w:spacing w:val="8"/>
          <w:sz w:val="13"/>
        </w:rPr>
        <w:t xml:space="preserve"> </w:t>
      </w:r>
      <w:r>
        <w:rPr>
          <w:color w:val="231F20"/>
          <w:sz w:val="13"/>
        </w:rPr>
        <w:t>(Web</w:t>
      </w:r>
      <w:r>
        <w:rPr>
          <w:color w:val="231F20"/>
          <w:spacing w:val="7"/>
          <w:sz w:val="13"/>
        </w:rPr>
        <w:t xml:space="preserve"> </w:t>
      </w:r>
      <w:r>
        <w:rPr>
          <w:color w:val="231F20"/>
          <w:sz w:val="13"/>
        </w:rPr>
        <w:t>Page,</w:t>
      </w:r>
      <w:r>
        <w:rPr>
          <w:color w:val="231F20"/>
          <w:spacing w:val="8"/>
          <w:sz w:val="13"/>
        </w:rPr>
        <w:t xml:space="preserve"> </w:t>
      </w:r>
      <w:r>
        <w:rPr>
          <w:color w:val="231F20"/>
          <w:sz w:val="13"/>
        </w:rPr>
        <w:t>11</w:t>
      </w:r>
      <w:r>
        <w:rPr>
          <w:color w:val="231F20"/>
          <w:spacing w:val="7"/>
          <w:sz w:val="13"/>
        </w:rPr>
        <w:t xml:space="preserve"> </w:t>
      </w:r>
      <w:r>
        <w:rPr>
          <w:color w:val="231F20"/>
          <w:sz w:val="13"/>
        </w:rPr>
        <w:t>August</w:t>
      </w:r>
      <w:r>
        <w:rPr>
          <w:color w:val="231F20"/>
          <w:spacing w:val="8"/>
          <w:sz w:val="13"/>
        </w:rPr>
        <w:t xml:space="preserve"> </w:t>
      </w:r>
      <w:r>
        <w:rPr>
          <w:color w:val="231F20"/>
          <w:sz w:val="13"/>
        </w:rPr>
        <w:t>2017)</w:t>
      </w:r>
    </w:p>
    <w:p w14:paraId="17D43117" w14:textId="77777777" w:rsidR="00894070" w:rsidRDefault="009F6793">
      <w:pPr>
        <w:spacing w:line="213" w:lineRule="auto"/>
        <w:ind w:left="1801" w:right="1312"/>
        <w:rPr>
          <w:sz w:val="13"/>
        </w:rPr>
      </w:pPr>
      <w:hyperlink r:id="rId66">
        <w:r w:rsidR="009B7AFD">
          <w:rPr>
            <w:color w:val="231F20"/>
            <w:sz w:val="13"/>
          </w:rPr>
          <w:t>&lt;https://www.abs.gov.au/statistics/people/crime-and-justice/personal-safety-australia/latest-release</w:t>
        </w:r>
      </w:hyperlink>
      <w:r w:rsidR="009B7AFD">
        <w:rPr>
          <w:color w:val="231F20"/>
          <w:sz w:val="13"/>
        </w:rPr>
        <w:t xml:space="preserve">&gt;; Australian Bureau of Statistics, </w:t>
      </w:r>
      <w:r w:rsidR="009B7AFD">
        <w:rPr>
          <w:i/>
          <w:color w:val="231F20"/>
          <w:sz w:val="13"/>
        </w:rPr>
        <w:t xml:space="preserve">Experience of Stalking—Personal Safety, Australia, 2016 </w:t>
      </w:r>
      <w:r w:rsidR="009B7AFD">
        <w:rPr>
          <w:color w:val="231F20"/>
          <w:sz w:val="13"/>
        </w:rPr>
        <w:t xml:space="preserve">(Data Table No 49060DO0007, 8 November 2017) Table 34.3; Harald Dressing et al, ‘The Prevalence and Effects of Stalking’ (2020) 117(20) </w:t>
      </w:r>
      <w:proofErr w:type="spellStart"/>
      <w:r w:rsidR="009B7AFD">
        <w:rPr>
          <w:i/>
          <w:color w:val="231F20"/>
          <w:sz w:val="13"/>
        </w:rPr>
        <w:t>Deutsches</w:t>
      </w:r>
      <w:proofErr w:type="spellEnd"/>
      <w:r w:rsidR="009B7AFD">
        <w:rPr>
          <w:i/>
          <w:color w:val="231F20"/>
          <w:sz w:val="13"/>
        </w:rPr>
        <w:t xml:space="preserve"> </w:t>
      </w:r>
      <w:proofErr w:type="spellStart"/>
      <w:r w:rsidR="009B7AFD">
        <w:rPr>
          <w:i/>
          <w:color w:val="231F20"/>
          <w:sz w:val="13"/>
        </w:rPr>
        <w:t>Ärzteblatt</w:t>
      </w:r>
      <w:proofErr w:type="spellEnd"/>
      <w:r w:rsidR="009B7AFD">
        <w:rPr>
          <w:i/>
          <w:color w:val="231F20"/>
          <w:sz w:val="13"/>
        </w:rPr>
        <w:t xml:space="preserve"> International </w:t>
      </w:r>
      <w:r w:rsidR="009B7AFD">
        <w:rPr>
          <w:color w:val="231F20"/>
          <w:sz w:val="13"/>
        </w:rPr>
        <w:t>347, 348.</w:t>
      </w:r>
    </w:p>
    <w:p w14:paraId="426BF9BA" w14:textId="77777777" w:rsidR="00894070" w:rsidRDefault="009B7AFD">
      <w:pPr>
        <w:pStyle w:val="ListParagraph"/>
        <w:numPr>
          <w:ilvl w:val="0"/>
          <w:numId w:val="165"/>
        </w:numPr>
        <w:tabs>
          <w:tab w:val="left" w:pos="1800"/>
          <w:tab w:val="left" w:pos="1802"/>
        </w:tabs>
        <w:spacing w:line="213" w:lineRule="auto"/>
        <w:ind w:right="1316"/>
        <w:rPr>
          <w:sz w:val="13"/>
        </w:rPr>
      </w:pPr>
      <w:r>
        <w:rPr>
          <w:color w:val="231F20"/>
          <w:sz w:val="13"/>
        </w:rPr>
        <w:t xml:space="preserve">Bradford W </w:t>
      </w:r>
      <w:proofErr w:type="spellStart"/>
      <w:r>
        <w:rPr>
          <w:color w:val="231F20"/>
          <w:sz w:val="13"/>
        </w:rPr>
        <w:t>Reyns</w:t>
      </w:r>
      <w:proofErr w:type="spellEnd"/>
      <w:r>
        <w:rPr>
          <w:color w:val="231F20"/>
          <w:sz w:val="13"/>
        </w:rPr>
        <w:t xml:space="preserve"> and Christine M Englebrecht, ‘Informal and Formal </w:t>
      </w:r>
      <w:r>
        <w:rPr>
          <w:color w:val="231F20"/>
          <w:spacing w:val="2"/>
          <w:sz w:val="13"/>
        </w:rPr>
        <w:t xml:space="preserve">Help-Seeking Decisions </w:t>
      </w:r>
      <w:r>
        <w:rPr>
          <w:color w:val="231F20"/>
          <w:sz w:val="13"/>
        </w:rPr>
        <w:t xml:space="preserve">of Stalking Victims in the United States’ (2014) 41(10) </w:t>
      </w:r>
      <w:r>
        <w:rPr>
          <w:i/>
          <w:color w:val="231F20"/>
          <w:sz w:val="13"/>
        </w:rPr>
        <w:t xml:space="preserve">Criminal Justice and Behavior </w:t>
      </w:r>
      <w:r>
        <w:rPr>
          <w:color w:val="231F20"/>
          <w:sz w:val="13"/>
        </w:rPr>
        <w:t>1178,</w:t>
      </w:r>
      <w:r>
        <w:rPr>
          <w:color w:val="231F20"/>
          <w:spacing w:val="4"/>
          <w:sz w:val="13"/>
        </w:rPr>
        <w:t xml:space="preserve"> </w:t>
      </w:r>
      <w:r>
        <w:rPr>
          <w:color w:val="231F20"/>
          <w:sz w:val="13"/>
        </w:rPr>
        <w:t>1186.</w:t>
      </w:r>
    </w:p>
    <w:p w14:paraId="43581B27" w14:textId="77777777" w:rsidR="00894070" w:rsidRDefault="009B7AFD">
      <w:pPr>
        <w:pStyle w:val="ListParagraph"/>
        <w:numPr>
          <w:ilvl w:val="0"/>
          <w:numId w:val="165"/>
        </w:numPr>
        <w:tabs>
          <w:tab w:val="left" w:pos="1801"/>
          <w:tab w:val="left" w:pos="1802"/>
        </w:tabs>
        <w:spacing w:line="213" w:lineRule="auto"/>
        <w:ind w:right="1372"/>
        <w:rPr>
          <w:sz w:val="13"/>
        </w:rPr>
      </w:pPr>
      <w:r>
        <w:rPr>
          <w:color w:val="231F20"/>
          <w:sz w:val="13"/>
        </w:rPr>
        <w:t xml:space="preserve">If they are </w:t>
      </w:r>
      <w:r>
        <w:rPr>
          <w:color w:val="231F20"/>
          <w:spacing w:val="2"/>
          <w:sz w:val="13"/>
        </w:rPr>
        <w:t xml:space="preserve">experiencing stalking </w:t>
      </w:r>
      <w:r>
        <w:rPr>
          <w:color w:val="231F20"/>
          <w:sz w:val="13"/>
        </w:rPr>
        <w:t xml:space="preserve">by a female: Australian Bureau of </w:t>
      </w:r>
      <w:r>
        <w:rPr>
          <w:color w:val="231F20"/>
          <w:spacing w:val="2"/>
          <w:sz w:val="13"/>
        </w:rPr>
        <w:t xml:space="preserve">Statistics, </w:t>
      </w:r>
      <w:r>
        <w:rPr>
          <w:i/>
          <w:color w:val="231F20"/>
          <w:spacing w:val="2"/>
          <w:sz w:val="13"/>
        </w:rPr>
        <w:t xml:space="preserve">Experience </w:t>
      </w:r>
      <w:r>
        <w:rPr>
          <w:i/>
          <w:color w:val="231F20"/>
          <w:sz w:val="13"/>
        </w:rPr>
        <w:t xml:space="preserve">of Stalking—Personal Safety, Australia, 2016 </w:t>
      </w:r>
      <w:r>
        <w:rPr>
          <w:color w:val="231F20"/>
          <w:sz w:val="13"/>
        </w:rPr>
        <w:t xml:space="preserve">(Data Table No 49060DO0007, 8 November 2017) Table 37.3. See </w:t>
      </w:r>
      <w:r>
        <w:rPr>
          <w:color w:val="231F20"/>
          <w:spacing w:val="2"/>
          <w:sz w:val="13"/>
        </w:rPr>
        <w:t xml:space="preserve">also </w:t>
      </w:r>
      <w:r>
        <w:rPr>
          <w:color w:val="231F20"/>
          <w:sz w:val="13"/>
        </w:rPr>
        <w:t>discussion in this</w:t>
      </w:r>
      <w:r>
        <w:rPr>
          <w:color w:val="231F20"/>
          <w:spacing w:val="15"/>
          <w:sz w:val="13"/>
        </w:rPr>
        <w:t xml:space="preserve"> </w:t>
      </w:r>
      <w:r>
        <w:rPr>
          <w:color w:val="231F20"/>
          <w:sz w:val="13"/>
        </w:rPr>
        <w:t>chapter.</w:t>
      </w:r>
    </w:p>
    <w:p w14:paraId="2616850E" w14:textId="77777777" w:rsidR="00894070" w:rsidRDefault="009F6793">
      <w:pPr>
        <w:pStyle w:val="ListParagraph"/>
        <w:numPr>
          <w:ilvl w:val="0"/>
          <w:numId w:val="165"/>
        </w:numPr>
        <w:tabs>
          <w:tab w:val="left" w:pos="1800"/>
          <w:tab w:val="left" w:pos="1802"/>
        </w:tabs>
        <w:spacing w:line="213" w:lineRule="auto"/>
        <w:ind w:right="1521"/>
        <w:rPr>
          <w:sz w:val="13"/>
        </w:rPr>
      </w:pPr>
      <w:r>
        <w:pict w14:anchorId="2357670B">
          <v:shape id="_x0000_s1636" type="#_x0000_t202" style="position:absolute;left:0;text-align:left;margin-left:36pt;margin-top:3.4pt;width:14.15pt;height:14.1pt;z-index:251524096;mso-position-horizontal-relative:page" filled="f" stroked="f">
            <v:textbox inset="0,0,0,0">
              <w:txbxContent>
                <w:p w14:paraId="62C78153" w14:textId="77777777" w:rsidR="00894070" w:rsidRDefault="009B7AFD">
                  <w:pPr>
                    <w:spacing w:line="282" w:lineRule="exact"/>
                    <w:rPr>
                      <w:b/>
                      <w:sz w:val="24"/>
                    </w:rPr>
                  </w:pPr>
                  <w:r>
                    <w:rPr>
                      <w:b/>
                      <w:color w:val="EA5B50"/>
                      <w:sz w:val="24"/>
                    </w:rPr>
                    <w:t>26</w:t>
                  </w:r>
                </w:p>
              </w:txbxContent>
            </v:textbox>
            <w10:wrap anchorx="page"/>
          </v:shape>
        </w:pict>
      </w:r>
      <w:r w:rsidR="009B7AFD">
        <w:rPr>
          <w:color w:val="231F20"/>
          <w:sz w:val="13"/>
        </w:rPr>
        <w:t xml:space="preserve">Victorian Law Reform </w:t>
      </w:r>
      <w:r w:rsidR="009B7AFD">
        <w:rPr>
          <w:color w:val="231F20"/>
          <w:spacing w:val="2"/>
          <w:sz w:val="13"/>
        </w:rPr>
        <w:t xml:space="preserve">Commission, </w:t>
      </w:r>
      <w:r w:rsidR="009B7AFD">
        <w:rPr>
          <w:i/>
          <w:color w:val="231F20"/>
          <w:sz w:val="13"/>
        </w:rPr>
        <w:t xml:space="preserve">Stalking: </w:t>
      </w:r>
      <w:r w:rsidR="009B7AFD">
        <w:rPr>
          <w:i/>
          <w:color w:val="231F20"/>
          <w:spacing w:val="2"/>
          <w:sz w:val="13"/>
        </w:rPr>
        <w:t xml:space="preserve">Summary </w:t>
      </w:r>
      <w:r w:rsidR="009B7AFD">
        <w:rPr>
          <w:i/>
          <w:color w:val="231F20"/>
          <w:sz w:val="13"/>
        </w:rPr>
        <w:t xml:space="preserve">of Responses to Online Feedback Form from People with </w:t>
      </w:r>
      <w:r w:rsidR="009B7AFD">
        <w:rPr>
          <w:i/>
          <w:color w:val="231F20"/>
          <w:spacing w:val="2"/>
          <w:sz w:val="13"/>
        </w:rPr>
        <w:t xml:space="preserve">Experience </w:t>
      </w:r>
      <w:r w:rsidR="009B7AFD">
        <w:rPr>
          <w:i/>
          <w:color w:val="231F20"/>
          <w:sz w:val="13"/>
        </w:rPr>
        <w:t xml:space="preserve">of Stalking </w:t>
      </w:r>
      <w:r w:rsidR="009B7AFD">
        <w:rPr>
          <w:color w:val="231F20"/>
          <w:spacing w:val="2"/>
          <w:sz w:val="13"/>
        </w:rPr>
        <w:t xml:space="preserve">(Report, </w:t>
      </w:r>
      <w:r w:rsidR="009B7AFD">
        <w:rPr>
          <w:color w:val="231F20"/>
          <w:sz w:val="13"/>
        </w:rPr>
        <w:t xml:space="preserve">August 2021); </w:t>
      </w:r>
      <w:r w:rsidR="009B7AFD">
        <w:rPr>
          <w:color w:val="231F20"/>
          <w:spacing w:val="2"/>
          <w:sz w:val="13"/>
        </w:rPr>
        <w:t xml:space="preserve">Submission </w:t>
      </w:r>
      <w:r w:rsidR="009B7AFD">
        <w:rPr>
          <w:color w:val="231F20"/>
          <w:sz w:val="13"/>
        </w:rPr>
        <w:t xml:space="preserve">56 </w:t>
      </w:r>
      <w:r w:rsidR="009B7AFD">
        <w:rPr>
          <w:color w:val="231F20"/>
          <w:spacing w:val="2"/>
          <w:sz w:val="13"/>
        </w:rPr>
        <w:t xml:space="preserve">(Derryn </w:t>
      </w:r>
      <w:proofErr w:type="spellStart"/>
      <w:r w:rsidR="009B7AFD">
        <w:rPr>
          <w:color w:val="231F20"/>
          <w:sz w:val="13"/>
        </w:rPr>
        <w:t>Hinch’s</w:t>
      </w:r>
      <w:proofErr w:type="spellEnd"/>
      <w:r w:rsidR="009B7AFD">
        <w:rPr>
          <w:color w:val="231F20"/>
          <w:sz w:val="13"/>
        </w:rPr>
        <w:t xml:space="preserve"> Justice Party).</w:t>
      </w:r>
    </w:p>
    <w:p w14:paraId="48FB346A" w14:textId="77777777" w:rsidR="00894070" w:rsidRDefault="00894070">
      <w:pPr>
        <w:spacing w:line="213" w:lineRule="auto"/>
        <w:rPr>
          <w:sz w:val="13"/>
        </w:rPr>
        <w:sectPr w:rsidR="00894070">
          <w:pgSz w:w="11910" w:h="16840"/>
          <w:pgMar w:top="860" w:right="420" w:bottom="280" w:left="580" w:header="567" w:footer="0" w:gutter="0"/>
          <w:cols w:space="720"/>
        </w:sectPr>
      </w:pPr>
    </w:p>
    <w:p w14:paraId="6816A78A" w14:textId="77777777" w:rsidR="00894070" w:rsidRDefault="00894070">
      <w:pPr>
        <w:pStyle w:val="BodyText"/>
      </w:pPr>
    </w:p>
    <w:p w14:paraId="48263B97" w14:textId="77777777" w:rsidR="00894070" w:rsidRDefault="00894070">
      <w:pPr>
        <w:pStyle w:val="BodyText"/>
      </w:pPr>
    </w:p>
    <w:p w14:paraId="7DC8DD41" w14:textId="77777777" w:rsidR="00894070" w:rsidRDefault="00894070">
      <w:pPr>
        <w:pStyle w:val="BodyText"/>
      </w:pPr>
    </w:p>
    <w:p w14:paraId="1DDCF8CE" w14:textId="77777777" w:rsidR="00894070" w:rsidRDefault="00894070">
      <w:pPr>
        <w:pStyle w:val="BodyText"/>
        <w:spacing w:before="9"/>
        <w:rPr>
          <w:sz w:val="21"/>
        </w:rPr>
      </w:pPr>
    </w:p>
    <w:p w14:paraId="4141C9C8" w14:textId="77777777" w:rsidR="00894070" w:rsidRDefault="009F6793">
      <w:pPr>
        <w:pStyle w:val="BodyText"/>
        <w:ind w:left="1801"/>
      </w:pPr>
      <w:r>
        <w:pict w14:anchorId="35A848E8">
          <v:shape id="_x0000_s1743" type="#_x0000_t202" style="width:396.35pt;height:68.1pt;mso-left-percent:-10001;mso-top-percent:-10001;mso-position-horizontal:absolute;mso-position-horizontal-relative:char;mso-position-vertical:absolute;mso-position-vertical-relative:line;mso-left-percent:-10001;mso-top-percent:-10001" fillcolor="#fee7de" strokecolor="#ea5b50" strokeweight=".5pt">
            <v:textbox inset="0,0,0,0">
              <w:txbxContent>
                <w:p w14:paraId="4E10B950" w14:textId="77777777" w:rsidR="00894070" w:rsidRDefault="00894070">
                  <w:pPr>
                    <w:pStyle w:val="BodyText"/>
                    <w:spacing w:before="3"/>
                    <w:rPr>
                      <w:sz w:val="15"/>
                    </w:rPr>
                  </w:pPr>
                </w:p>
                <w:p w14:paraId="72A2132B" w14:textId="77777777" w:rsidR="00894070" w:rsidRDefault="009B7AFD">
                  <w:pPr>
                    <w:pStyle w:val="BodyText"/>
                    <w:spacing w:line="206" w:lineRule="auto"/>
                    <w:ind w:left="221" w:right="217"/>
                    <w:rPr>
                      <w:sz w:val="11"/>
                    </w:rPr>
                  </w:pPr>
                  <w:bookmarkStart w:id="42" w:name="What_are_the_barriers_to_reporting_stalk"/>
                  <w:bookmarkStart w:id="43" w:name="_bookmark21"/>
                  <w:bookmarkEnd w:id="42"/>
                  <w:bookmarkEnd w:id="43"/>
                  <w:r>
                    <w:rPr>
                      <w:color w:val="231F20"/>
                    </w:rPr>
                    <w:t>It was the hardest thing reporting as a male that a female was stalking me. Basically [the police] didn’t believe me even though I had so much proof via my phone, via public media posts. The police absolutely did not understand. It took about 3 years of hell to be believed.</w:t>
                  </w:r>
                  <w:r>
                    <w:rPr>
                      <w:color w:val="231F20"/>
                      <w:position w:val="7"/>
                      <w:sz w:val="11"/>
                    </w:rPr>
                    <w:t>130</w:t>
                  </w:r>
                </w:p>
              </w:txbxContent>
            </v:textbox>
            <w10:anchorlock/>
          </v:shape>
        </w:pict>
      </w:r>
    </w:p>
    <w:p w14:paraId="13E6DA6C" w14:textId="77777777" w:rsidR="00894070" w:rsidRDefault="00894070">
      <w:pPr>
        <w:pStyle w:val="BodyText"/>
        <w:spacing w:before="1"/>
        <w:rPr>
          <w:sz w:val="19"/>
        </w:rPr>
      </w:pPr>
    </w:p>
    <w:p w14:paraId="1A560FC4" w14:textId="77777777" w:rsidR="00894070" w:rsidRDefault="009B7AFD">
      <w:pPr>
        <w:pStyle w:val="ListParagraph"/>
        <w:numPr>
          <w:ilvl w:val="1"/>
          <w:numId w:val="177"/>
        </w:numPr>
        <w:tabs>
          <w:tab w:val="left" w:pos="1801"/>
          <w:tab w:val="left" w:pos="1802"/>
        </w:tabs>
        <w:spacing w:before="57" w:line="259" w:lineRule="exact"/>
        <w:rPr>
          <w:sz w:val="20"/>
        </w:rPr>
      </w:pPr>
      <w:r>
        <w:rPr>
          <w:color w:val="231F20"/>
          <w:sz w:val="20"/>
        </w:rPr>
        <w:t>In</w:t>
      </w:r>
      <w:r>
        <w:rPr>
          <w:color w:val="231F20"/>
          <w:spacing w:val="-6"/>
          <w:sz w:val="20"/>
        </w:rPr>
        <w:t xml:space="preserve"> </w:t>
      </w:r>
      <w:r>
        <w:rPr>
          <w:color w:val="231F20"/>
          <w:sz w:val="20"/>
        </w:rPr>
        <w:t>our</w:t>
      </w:r>
      <w:r>
        <w:rPr>
          <w:color w:val="231F20"/>
          <w:spacing w:val="-5"/>
          <w:sz w:val="20"/>
        </w:rPr>
        <w:t xml:space="preserve"> </w:t>
      </w:r>
      <w:r>
        <w:rPr>
          <w:color w:val="231F20"/>
          <w:spacing w:val="-3"/>
          <w:sz w:val="20"/>
        </w:rPr>
        <w:t>interim</w:t>
      </w:r>
      <w:r>
        <w:rPr>
          <w:color w:val="231F20"/>
          <w:spacing w:val="-5"/>
          <w:sz w:val="20"/>
        </w:rPr>
        <w:t xml:space="preserve"> </w:t>
      </w:r>
      <w:r>
        <w:rPr>
          <w:color w:val="231F20"/>
          <w:sz w:val="20"/>
        </w:rPr>
        <w:t>report</w:t>
      </w:r>
      <w:r>
        <w:rPr>
          <w:color w:val="231F20"/>
          <w:spacing w:val="-6"/>
          <w:sz w:val="20"/>
        </w:rPr>
        <w:t xml:space="preserve"> </w:t>
      </w:r>
      <w:r>
        <w:rPr>
          <w:color w:val="231F20"/>
          <w:spacing w:val="-3"/>
          <w:sz w:val="20"/>
        </w:rPr>
        <w:t>we</w:t>
      </w:r>
      <w:r>
        <w:rPr>
          <w:color w:val="231F20"/>
          <w:spacing w:val="-5"/>
          <w:sz w:val="20"/>
        </w:rPr>
        <w:t xml:space="preserve"> </w:t>
      </w:r>
      <w:r>
        <w:rPr>
          <w:color w:val="231F20"/>
          <w:sz w:val="20"/>
        </w:rPr>
        <w:t>made</w:t>
      </w:r>
      <w:r>
        <w:rPr>
          <w:color w:val="231F20"/>
          <w:spacing w:val="-5"/>
          <w:sz w:val="20"/>
        </w:rPr>
        <w:t xml:space="preserve"> </w:t>
      </w:r>
      <w:r>
        <w:rPr>
          <w:color w:val="231F20"/>
          <w:sz w:val="20"/>
        </w:rPr>
        <w:t>recommendations</w:t>
      </w:r>
      <w:r>
        <w:rPr>
          <w:color w:val="231F20"/>
          <w:spacing w:val="-6"/>
          <w:sz w:val="20"/>
        </w:rPr>
        <w:t xml:space="preserve"> </w:t>
      </w:r>
      <w:r>
        <w:rPr>
          <w:color w:val="231F20"/>
          <w:sz w:val="20"/>
        </w:rPr>
        <w:t>to</w:t>
      </w:r>
      <w:r>
        <w:rPr>
          <w:color w:val="231F20"/>
          <w:spacing w:val="-5"/>
          <w:sz w:val="20"/>
        </w:rPr>
        <w:t xml:space="preserve"> </w:t>
      </w:r>
      <w:r>
        <w:rPr>
          <w:color w:val="231F20"/>
          <w:spacing w:val="-4"/>
          <w:sz w:val="20"/>
        </w:rPr>
        <w:t>improve</w:t>
      </w:r>
      <w:r>
        <w:rPr>
          <w:color w:val="231F20"/>
          <w:spacing w:val="-5"/>
          <w:sz w:val="20"/>
        </w:rPr>
        <w:t xml:space="preserve"> </w:t>
      </w:r>
      <w:r>
        <w:rPr>
          <w:color w:val="231F20"/>
          <w:sz w:val="20"/>
        </w:rPr>
        <w:t>the</w:t>
      </w:r>
      <w:r>
        <w:rPr>
          <w:color w:val="231F20"/>
          <w:spacing w:val="-6"/>
          <w:sz w:val="20"/>
        </w:rPr>
        <w:t xml:space="preserve"> </w:t>
      </w:r>
      <w:r>
        <w:rPr>
          <w:color w:val="231F20"/>
          <w:sz w:val="20"/>
        </w:rPr>
        <w:t>police</w:t>
      </w:r>
      <w:r>
        <w:rPr>
          <w:color w:val="231F20"/>
          <w:spacing w:val="-5"/>
          <w:sz w:val="20"/>
        </w:rPr>
        <w:t xml:space="preserve"> </w:t>
      </w:r>
      <w:r>
        <w:rPr>
          <w:color w:val="231F20"/>
          <w:sz w:val="20"/>
        </w:rPr>
        <w:t>response</w:t>
      </w:r>
      <w:r>
        <w:rPr>
          <w:color w:val="231F20"/>
          <w:spacing w:val="-5"/>
          <w:sz w:val="20"/>
        </w:rPr>
        <w:t xml:space="preserve"> </w:t>
      </w:r>
      <w:r>
        <w:rPr>
          <w:color w:val="231F20"/>
          <w:sz w:val="20"/>
        </w:rPr>
        <w:t>to</w:t>
      </w:r>
    </w:p>
    <w:p w14:paraId="72A7A452" w14:textId="77777777" w:rsidR="00894070" w:rsidRDefault="009B7AFD">
      <w:pPr>
        <w:pStyle w:val="BodyText"/>
        <w:spacing w:line="259" w:lineRule="exact"/>
        <w:ind w:left="1801"/>
        <w:rPr>
          <w:sz w:val="11"/>
        </w:rPr>
      </w:pPr>
      <w:r>
        <w:rPr>
          <w:color w:val="231F20"/>
        </w:rPr>
        <w:t>stalking reports.</w:t>
      </w:r>
      <w:r>
        <w:rPr>
          <w:color w:val="231F20"/>
          <w:position w:val="7"/>
          <w:sz w:val="11"/>
        </w:rPr>
        <w:t>131</w:t>
      </w:r>
    </w:p>
    <w:p w14:paraId="2457E0FE" w14:textId="77777777" w:rsidR="00894070" w:rsidRDefault="00894070">
      <w:pPr>
        <w:pStyle w:val="BodyText"/>
        <w:spacing w:before="12"/>
        <w:rPr>
          <w:sz w:val="15"/>
        </w:rPr>
      </w:pPr>
    </w:p>
    <w:p w14:paraId="5A5F25D9" w14:textId="77777777" w:rsidR="00894070" w:rsidRDefault="009B7AFD">
      <w:pPr>
        <w:pStyle w:val="Heading7"/>
      </w:pPr>
      <w:r>
        <w:rPr>
          <w:color w:val="EA5B50"/>
        </w:rPr>
        <w:t>What are the barriers to reporting stalking and getting justice?</w:t>
      </w:r>
    </w:p>
    <w:p w14:paraId="0F3BCACE" w14:textId="77777777" w:rsidR="00894070" w:rsidRDefault="009B7AFD">
      <w:pPr>
        <w:pStyle w:val="ListParagraph"/>
        <w:numPr>
          <w:ilvl w:val="1"/>
          <w:numId w:val="177"/>
        </w:numPr>
        <w:tabs>
          <w:tab w:val="left" w:pos="1801"/>
          <w:tab w:val="left" w:pos="1802"/>
        </w:tabs>
        <w:spacing w:before="114" w:line="259" w:lineRule="exact"/>
        <w:rPr>
          <w:sz w:val="20"/>
        </w:rPr>
      </w:pPr>
      <w:r>
        <w:rPr>
          <w:color w:val="231F20"/>
          <w:spacing w:val="-6"/>
          <w:sz w:val="20"/>
        </w:rPr>
        <w:t xml:space="preserve">Table </w:t>
      </w:r>
      <w:r>
        <w:rPr>
          <w:color w:val="231F20"/>
          <w:sz w:val="20"/>
        </w:rPr>
        <w:t>5</w:t>
      </w:r>
      <w:r>
        <w:rPr>
          <w:color w:val="231F20"/>
          <w:spacing w:val="-6"/>
          <w:sz w:val="20"/>
        </w:rPr>
        <w:t xml:space="preserve"> </w:t>
      </w:r>
      <w:r>
        <w:rPr>
          <w:color w:val="231F20"/>
          <w:sz w:val="20"/>
        </w:rPr>
        <w:t>sets</w:t>
      </w:r>
      <w:r>
        <w:rPr>
          <w:color w:val="231F20"/>
          <w:spacing w:val="-5"/>
          <w:sz w:val="20"/>
        </w:rPr>
        <w:t xml:space="preserve"> </w:t>
      </w:r>
      <w:r>
        <w:rPr>
          <w:color w:val="231F20"/>
          <w:sz w:val="20"/>
        </w:rPr>
        <w:t>out</w:t>
      </w:r>
      <w:r>
        <w:rPr>
          <w:color w:val="231F20"/>
          <w:spacing w:val="-6"/>
          <w:sz w:val="20"/>
        </w:rPr>
        <w:t xml:space="preserve"> </w:t>
      </w:r>
      <w:r>
        <w:rPr>
          <w:color w:val="231F20"/>
          <w:sz w:val="20"/>
        </w:rPr>
        <w:t>what</w:t>
      </w:r>
      <w:r>
        <w:rPr>
          <w:color w:val="231F20"/>
          <w:spacing w:val="-6"/>
          <w:sz w:val="20"/>
        </w:rPr>
        <w:t xml:space="preserve"> </w:t>
      </w:r>
      <w:r>
        <w:rPr>
          <w:color w:val="231F20"/>
          <w:spacing w:val="-3"/>
          <w:sz w:val="20"/>
        </w:rPr>
        <w:t>we</w:t>
      </w:r>
      <w:r>
        <w:rPr>
          <w:color w:val="231F20"/>
          <w:spacing w:val="-5"/>
          <w:sz w:val="20"/>
        </w:rPr>
        <w:t xml:space="preserve"> </w:t>
      </w:r>
      <w:r>
        <w:rPr>
          <w:color w:val="231F20"/>
          <w:spacing w:val="-3"/>
          <w:sz w:val="20"/>
        </w:rPr>
        <w:t>know</w:t>
      </w:r>
      <w:r>
        <w:rPr>
          <w:color w:val="231F20"/>
          <w:spacing w:val="-6"/>
          <w:sz w:val="20"/>
        </w:rPr>
        <w:t xml:space="preserve"> </w:t>
      </w:r>
      <w:r>
        <w:rPr>
          <w:color w:val="231F20"/>
          <w:sz w:val="20"/>
        </w:rPr>
        <w:t>about</w:t>
      </w:r>
      <w:r>
        <w:rPr>
          <w:color w:val="231F20"/>
          <w:spacing w:val="-5"/>
          <w:sz w:val="20"/>
        </w:rPr>
        <w:t xml:space="preserve"> </w:t>
      </w:r>
      <w:r>
        <w:rPr>
          <w:color w:val="231F20"/>
          <w:sz w:val="20"/>
        </w:rPr>
        <w:t>barriers</w:t>
      </w:r>
      <w:r>
        <w:rPr>
          <w:color w:val="231F20"/>
          <w:spacing w:val="-6"/>
          <w:sz w:val="20"/>
        </w:rPr>
        <w:t xml:space="preserve"> </w:t>
      </w:r>
      <w:r>
        <w:rPr>
          <w:color w:val="231F20"/>
          <w:sz w:val="20"/>
        </w:rPr>
        <w:t>to</w:t>
      </w:r>
      <w:r>
        <w:rPr>
          <w:color w:val="231F20"/>
          <w:spacing w:val="-6"/>
          <w:sz w:val="20"/>
        </w:rPr>
        <w:t xml:space="preserve"> </w:t>
      </w:r>
      <w:r>
        <w:rPr>
          <w:color w:val="231F20"/>
          <w:sz w:val="20"/>
        </w:rPr>
        <w:t>reporting</w:t>
      </w:r>
      <w:r>
        <w:rPr>
          <w:color w:val="231F20"/>
          <w:spacing w:val="-5"/>
          <w:sz w:val="20"/>
        </w:rPr>
        <w:t xml:space="preserve"> </w:t>
      </w:r>
      <w:r>
        <w:rPr>
          <w:color w:val="231F20"/>
          <w:sz w:val="20"/>
        </w:rPr>
        <w:t>stalking</w:t>
      </w:r>
      <w:r>
        <w:rPr>
          <w:color w:val="231F20"/>
          <w:spacing w:val="-6"/>
          <w:sz w:val="20"/>
        </w:rPr>
        <w:t xml:space="preserve"> </w:t>
      </w:r>
      <w:r>
        <w:rPr>
          <w:color w:val="231F20"/>
          <w:sz w:val="20"/>
        </w:rPr>
        <w:t>and</w:t>
      </w:r>
      <w:r>
        <w:rPr>
          <w:color w:val="231F20"/>
          <w:spacing w:val="-6"/>
          <w:sz w:val="20"/>
        </w:rPr>
        <w:t xml:space="preserve"> </w:t>
      </w:r>
      <w:r>
        <w:rPr>
          <w:color w:val="231F20"/>
          <w:sz w:val="20"/>
        </w:rPr>
        <w:t>getting</w:t>
      </w:r>
      <w:r>
        <w:rPr>
          <w:color w:val="231F20"/>
          <w:spacing w:val="-5"/>
          <w:sz w:val="20"/>
        </w:rPr>
        <w:t xml:space="preserve"> </w:t>
      </w:r>
      <w:r>
        <w:rPr>
          <w:color w:val="231F20"/>
          <w:sz w:val="20"/>
        </w:rPr>
        <w:t>justice,</w:t>
      </w:r>
    </w:p>
    <w:p w14:paraId="03DFF391" w14:textId="77777777" w:rsidR="00894070" w:rsidRDefault="009B7AFD">
      <w:pPr>
        <w:pStyle w:val="BodyText"/>
        <w:spacing w:line="259" w:lineRule="exact"/>
        <w:ind w:left="1801"/>
      </w:pPr>
      <w:r>
        <w:rPr>
          <w:color w:val="231F20"/>
        </w:rPr>
        <w:t>based on data, research, and what we were told during this inquiry.</w:t>
      </w:r>
    </w:p>
    <w:p w14:paraId="418FB407" w14:textId="77777777" w:rsidR="00894070" w:rsidRDefault="009B7AFD">
      <w:pPr>
        <w:spacing w:before="94"/>
        <w:ind w:left="1801"/>
        <w:rPr>
          <w:b/>
          <w:sz w:val="19"/>
        </w:rPr>
      </w:pPr>
      <w:r>
        <w:rPr>
          <w:b/>
          <w:color w:val="231F20"/>
          <w:spacing w:val="-4"/>
          <w:sz w:val="19"/>
        </w:rPr>
        <w:t xml:space="preserve">Table </w:t>
      </w:r>
      <w:r>
        <w:rPr>
          <w:b/>
          <w:color w:val="231F20"/>
          <w:sz w:val="19"/>
        </w:rPr>
        <w:t>5: A sample of barriers to</w:t>
      </w:r>
      <w:r>
        <w:rPr>
          <w:b/>
          <w:color w:val="231F20"/>
          <w:spacing w:val="-11"/>
          <w:sz w:val="19"/>
        </w:rPr>
        <w:t xml:space="preserve"> </w:t>
      </w:r>
      <w:r>
        <w:rPr>
          <w:b/>
          <w:color w:val="231F20"/>
          <w:sz w:val="19"/>
        </w:rPr>
        <w:t>reporting</w:t>
      </w:r>
    </w:p>
    <w:p w14:paraId="40FA4CC8" w14:textId="77777777" w:rsidR="00894070" w:rsidRDefault="00894070">
      <w:pPr>
        <w:pStyle w:val="BodyText"/>
        <w:spacing w:before="3"/>
        <w:rPr>
          <w:b/>
          <w:sz w:val="11"/>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721"/>
        <w:gridCol w:w="5200"/>
      </w:tblGrid>
      <w:tr w:rsidR="00894070" w14:paraId="757D4600" w14:textId="77777777">
        <w:trPr>
          <w:trHeight w:val="518"/>
        </w:trPr>
        <w:tc>
          <w:tcPr>
            <w:tcW w:w="2721" w:type="dxa"/>
            <w:shd w:val="clear" w:color="auto" w:fill="F4BCAE"/>
          </w:tcPr>
          <w:p w14:paraId="5D605F22" w14:textId="77777777" w:rsidR="00894070" w:rsidRDefault="009B7AFD">
            <w:pPr>
              <w:pStyle w:val="TableParagraph"/>
              <w:spacing w:before="122"/>
              <w:rPr>
                <w:b/>
                <w:sz w:val="20"/>
              </w:rPr>
            </w:pPr>
            <w:r>
              <w:rPr>
                <w:b/>
                <w:color w:val="231F20"/>
                <w:sz w:val="20"/>
              </w:rPr>
              <w:t>Barrier</w:t>
            </w:r>
          </w:p>
        </w:tc>
        <w:tc>
          <w:tcPr>
            <w:tcW w:w="5200" w:type="dxa"/>
            <w:shd w:val="clear" w:color="auto" w:fill="F4BCAE"/>
          </w:tcPr>
          <w:p w14:paraId="552E8A52" w14:textId="77777777" w:rsidR="00894070" w:rsidRDefault="009B7AFD">
            <w:pPr>
              <w:pStyle w:val="TableParagraph"/>
              <w:spacing w:before="122"/>
              <w:rPr>
                <w:b/>
                <w:sz w:val="20"/>
              </w:rPr>
            </w:pPr>
            <w:r>
              <w:rPr>
                <w:b/>
                <w:color w:val="231F20"/>
                <w:sz w:val="20"/>
              </w:rPr>
              <w:t>Discussion and examples</w:t>
            </w:r>
          </w:p>
        </w:tc>
      </w:tr>
      <w:tr w:rsidR="00894070" w14:paraId="62410ED4" w14:textId="77777777">
        <w:trPr>
          <w:trHeight w:val="3644"/>
        </w:trPr>
        <w:tc>
          <w:tcPr>
            <w:tcW w:w="2721" w:type="dxa"/>
          </w:tcPr>
          <w:p w14:paraId="61F36283" w14:textId="77777777" w:rsidR="00894070" w:rsidRDefault="009B7AFD">
            <w:pPr>
              <w:pStyle w:val="TableParagraph"/>
              <w:spacing w:before="65" w:line="259" w:lineRule="exact"/>
              <w:rPr>
                <w:sz w:val="20"/>
              </w:rPr>
            </w:pPr>
            <w:r>
              <w:rPr>
                <w:color w:val="231F20"/>
                <w:sz w:val="20"/>
              </w:rPr>
              <w:t>It is difficult to identify</w:t>
            </w:r>
          </w:p>
          <w:p w14:paraId="511726D0" w14:textId="77777777" w:rsidR="00894070" w:rsidRDefault="009B7AFD">
            <w:pPr>
              <w:pStyle w:val="TableParagraph"/>
              <w:spacing w:line="259" w:lineRule="exact"/>
              <w:rPr>
                <w:sz w:val="20"/>
              </w:rPr>
            </w:pPr>
            <w:r>
              <w:rPr>
                <w:color w:val="231F20"/>
                <w:sz w:val="20"/>
              </w:rPr>
              <w:t>stalking.</w:t>
            </w:r>
          </w:p>
        </w:tc>
        <w:tc>
          <w:tcPr>
            <w:tcW w:w="5200" w:type="dxa"/>
          </w:tcPr>
          <w:p w14:paraId="0038D0A2" w14:textId="77777777" w:rsidR="00894070" w:rsidRDefault="009B7AFD">
            <w:pPr>
              <w:pStyle w:val="TableParagraph"/>
              <w:spacing w:before="65" w:line="259" w:lineRule="exact"/>
              <w:rPr>
                <w:sz w:val="20"/>
              </w:rPr>
            </w:pPr>
            <w:r>
              <w:rPr>
                <w:color w:val="231F20"/>
                <w:sz w:val="20"/>
              </w:rPr>
              <w:t>People are often unclear about whether what they</w:t>
            </w:r>
          </w:p>
          <w:p w14:paraId="1EA88CE1" w14:textId="77777777" w:rsidR="00894070" w:rsidRDefault="009B7AFD">
            <w:pPr>
              <w:pStyle w:val="TableParagraph"/>
              <w:spacing w:before="14" w:line="206" w:lineRule="auto"/>
              <w:ind w:right="645" w:hanging="1"/>
              <w:rPr>
                <w:sz w:val="11"/>
              </w:rPr>
            </w:pPr>
            <w:r>
              <w:rPr>
                <w:color w:val="231F20"/>
                <w:spacing w:val="-3"/>
                <w:sz w:val="20"/>
              </w:rPr>
              <w:t xml:space="preserve">have </w:t>
            </w:r>
            <w:r>
              <w:rPr>
                <w:color w:val="231F20"/>
                <w:sz w:val="20"/>
              </w:rPr>
              <w:t>experienced is stalking.</w:t>
            </w:r>
            <w:r>
              <w:rPr>
                <w:color w:val="231F20"/>
                <w:position w:val="7"/>
                <w:sz w:val="11"/>
              </w:rPr>
              <w:t xml:space="preserve">132 </w:t>
            </w:r>
            <w:r>
              <w:rPr>
                <w:color w:val="231F20"/>
                <w:sz w:val="20"/>
              </w:rPr>
              <w:t>This experience is</w:t>
            </w:r>
            <w:r>
              <w:rPr>
                <w:color w:val="231F20"/>
                <w:spacing w:val="-8"/>
                <w:sz w:val="20"/>
              </w:rPr>
              <w:t xml:space="preserve"> </w:t>
            </w:r>
            <w:r>
              <w:rPr>
                <w:color w:val="231F20"/>
                <w:sz w:val="20"/>
              </w:rPr>
              <w:t>widespread,</w:t>
            </w:r>
            <w:r>
              <w:rPr>
                <w:color w:val="231F20"/>
                <w:spacing w:val="-8"/>
                <w:sz w:val="20"/>
              </w:rPr>
              <w:t xml:space="preserve"> </w:t>
            </w:r>
            <w:r>
              <w:rPr>
                <w:color w:val="231F20"/>
                <w:sz w:val="20"/>
              </w:rPr>
              <w:t>especially</w:t>
            </w:r>
            <w:r>
              <w:rPr>
                <w:color w:val="231F20"/>
                <w:spacing w:val="-8"/>
                <w:sz w:val="20"/>
              </w:rPr>
              <w:t xml:space="preserve"> </w:t>
            </w:r>
            <w:r>
              <w:rPr>
                <w:color w:val="231F20"/>
                <w:sz w:val="20"/>
              </w:rPr>
              <w:t>for</w:t>
            </w:r>
            <w:r>
              <w:rPr>
                <w:color w:val="231F20"/>
                <w:spacing w:val="-8"/>
                <w:sz w:val="20"/>
              </w:rPr>
              <w:t xml:space="preserve"> </w:t>
            </w:r>
            <w:r>
              <w:rPr>
                <w:color w:val="231F20"/>
                <w:sz w:val="20"/>
              </w:rPr>
              <w:t>children</w:t>
            </w:r>
            <w:r>
              <w:rPr>
                <w:color w:val="231F20"/>
                <w:spacing w:val="-8"/>
                <w:sz w:val="20"/>
              </w:rPr>
              <w:t xml:space="preserve"> </w:t>
            </w:r>
            <w:r>
              <w:rPr>
                <w:color w:val="231F20"/>
                <w:sz w:val="20"/>
              </w:rPr>
              <w:t>and</w:t>
            </w:r>
            <w:r>
              <w:rPr>
                <w:color w:val="231F20"/>
                <w:spacing w:val="-8"/>
                <w:sz w:val="20"/>
              </w:rPr>
              <w:t xml:space="preserve"> </w:t>
            </w:r>
            <w:r>
              <w:rPr>
                <w:color w:val="231F20"/>
                <w:sz w:val="20"/>
              </w:rPr>
              <w:t>young people.</w:t>
            </w:r>
            <w:r>
              <w:rPr>
                <w:color w:val="231F20"/>
                <w:position w:val="7"/>
                <w:sz w:val="11"/>
              </w:rPr>
              <w:t>133</w:t>
            </w:r>
          </w:p>
          <w:p w14:paraId="433145CB" w14:textId="77777777" w:rsidR="00894070" w:rsidRDefault="009B7AFD">
            <w:pPr>
              <w:pStyle w:val="TableParagraph"/>
              <w:spacing w:before="124" w:line="206" w:lineRule="auto"/>
              <w:ind w:right="115"/>
              <w:rPr>
                <w:sz w:val="11"/>
              </w:rPr>
            </w:pPr>
            <w:r>
              <w:rPr>
                <w:color w:val="231F20"/>
                <w:sz w:val="20"/>
              </w:rPr>
              <w:t>People may be concerned they do not have enough evidence.</w:t>
            </w:r>
            <w:r>
              <w:rPr>
                <w:color w:val="231F20"/>
                <w:position w:val="7"/>
                <w:sz w:val="11"/>
              </w:rPr>
              <w:t xml:space="preserve">134 </w:t>
            </w:r>
            <w:r>
              <w:rPr>
                <w:color w:val="231F20"/>
                <w:sz w:val="20"/>
              </w:rPr>
              <w:t xml:space="preserve">Some do not report because they think the </w:t>
            </w:r>
            <w:proofErr w:type="spellStart"/>
            <w:r>
              <w:rPr>
                <w:color w:val="231F20"/>
                <w:sz w:val="20"/>
              </w:rPr>
              <w:t>behaviour</w:t>
            </w:r>
            <w:proofErr w:type="spellEnd"/>
            <w:r>
              <w:rPr>
                <w:color w:val="231F20"/>
                <w:sz w:val="20"/>
              </w:rPr>
              <w:t xml:space="preserve"> is ‘minor’ or it is ‘a personal matter’, or because of misconceptions about it being romantic.</w:t>
            </w:r>
            <w:r>
              <w:rPr>
                <w:color w:val="231F20"/>
                <w:position w:val="7"/>
                <w:sz w:val="11"/>
              </w:rPr>
              <w:t>135</w:t>
            </w:r>
          </w:p>
          <w:p w14:paraId="544F4B7F" w14:textId="77777777" w:rsidR="00894070" w:rsidRDefault="009B7AFD">
            <w:pPr>
              <w:pStyle w:val="TableParagraph"/>
              <w:spacing w:before="125" w:line="206" w:lineRule="auto"/>
              <w:ind w:right="331"/>
              <w:jc w:val="both"/>
              <w:rPr>
                <w:sz w:val="11"/>
              </w:rPr>
            </w:pPr>
            <w:r>
              <w:rPr>
                <w:color w:val="231F20"/>
                <w:sz w:val="20"/>
              </w:rPr>
              <w:t>Some people do not know that stalking is a</w:t>
            </w:r>
            <w:r>
              <w:rPr>
                <w:color w:val="231F20"/>
                <w:spacing w:val="-35"/>
                <w:sz w:val="20"/>
              </w:rPr>
              <w:t xml:space="preserve"> </w:t>
            </w:r>
            <w:r>
              <w:rPr>
                <w:color w:val="231F20"/>
                <w:sz w:val="20"/>
              </w:rPr>
              <w:t>criminal offence.</w:t>
            </w:r>
            <w:r>
              <w:rPr>
                <w:color w:val="231F20"/>
                <w:position w:val="7"/>
                <w:sz w:val="11"/>
              </w:rPr>
              <w:t xml:space="preserve">136 </w:t>
            </w:r>
            <w:r>
              <w:rPr>
                <w:color w:val="231F20"/>
                <w:sz w:val="20"/>
              </w:rPr>
              <w:t>This can be a barrier to reporting in some migrant</w:t>
            </w:r>
            <w:r>
              <w:rPr>
                <w:color w:val="231F20"/>
                <w:spacing w:val="-2"/>
                <w:sz w:val="20"/>
              </w:rPr>
              <w:t xml:space="preserve"> </w:t>
            </w:r>
            <w:r>
              <w:rPr>
                <w:color w:val="231F20"/>
                <w:sz w:val="20"/>
              </w:rPr>
              <w:t>communities.</w:t>
            </w:r>
            <w:r>
              <w:rPr>
                <w:color w:val="231F20"/>
                <w:position w:val="7"/>
                <w:sz w:val="11"/>
              </w:rPr>
              <w:t>137</w:t>
            </w:r>
          </w:p>
          <w:p w14:paraId="01101D4F" w14:textId="77777777" w:rsidR="00894070" w:rsidRDefault="009B7AFD">
            <w:pPr>
              <w:pStyle w:val="TableParagraph"/>
              <w:spacing w:before="123" w:line="206" w:lineRule="auto"/>
              <w:ind w:right="115"/>
              <w:rPr>
                <w:sz w:val="11"/>
              </w:rPr>
            </w:pPr>
            <w:r>
              <w:rPr>
                <w:color w:val="231F20"/>
                <w:sz w:val="20"/>
              </w:rPr>
              <w:t>Police and other professionals may not understand the nature of stalking or identify it.</w:t>
            </w:r>
            <w:r>
              <w:rPr>
                <w:color w:val="231F20"/>
                <w:position w:val="7"/>
                <w:sz w:val="11"/>
              </w:rPr>
              <w:t>138</w:t>
            </w:r>
          </w:p>
        </w:tc>
      </w:tr>
    </w:tbl>
    <w:p w14:paraId="74E2BE85" w14:textId="77777777" w:rsidR="00894070" w:rsidRDefault="00894070">
      <w:pPr>
        <w:pStyle w:val="BodyText"/>
        <w:rPr>
          <w:b/>
        </w:rPr>
      </w:pPr>
    </w:p>
    <w:p w14:paraId="39B3E203" w14:textId="77777777" w:rsidR="00894070" w:rsidRDefault="00894070">
      <w:pPr>
        <w:pStyle w:val="BodyText"/>
        <w:rPr>
          <w:b/>
        </w:rPr>
      </w:pPr>
    </w:p>
    <w:p w14:paraId="44F263EF" w14:textId="77777777" w:rsidR="00894070" w:rsidRDefault="00894070">
      <w:pPr>
        <w:pStyle w:val="BodyText"/>
        <w:rPr>
          <w:b/>
        </w:rPr>
      </w:pPr>
    </w:p>
    <w:p w14:paraId="21F08F4F" w14:textId="77777777" w:rsidR="00894070" w:rsidRDefault="00894070">
      <w:pPr>
        <w:pStyle w:val="BodyText"/>
        <w:rPr>
          <w:b/>
        </w:rPr>
      </w:pPr>
    </w:p>
    <w:p w14:paraId="24B6881E" w14:textId="77777777" w:rsidR="00894070" w:rsidRDefault="00894070">
      <w:pPr>
        <w:pStyle w:val="BodyText"/>
        <w:rPr>
          <w:b/>
        </w:rPr>
      </w:pPr>
    </w:p>
    <w:p w14:paraId="0990A624" w14:textId="77777777" w:rsidR="00894070" w:rsidRDefault="009F6793">
      <w:pPr>
        <w:pStyle w:val="BodyText"/>
        <w:spacing w:before="3"/>
        <w:rPr>
          <w:b/>
          <w:sz w:val="27"/>
        </w:rPr>
      </w:pPr>
      <w:r>
        <w:pict w14:anchorId="1401C1ED">
          <v:line id="_x0000_s1634" style="position:absolute;z-index:251457536;mso-wrap-distance-left:0;mso-wrap-distance-right:0;mso-position-horizontal-relative:page" from="79.35pt,21.35pt" to="515.9pt,21.35pt" strokecolor="#f8cabc" strokeweight="1pt">
            <w10:wrap type="topAndBottom" anchorx="page"/>
          </v:line>
        </w:pict>
      </w:r>
    </w:p>
    <w:p w14:paraId="0D42723F" w14:textId="77777777" w:rsidR="00894070" w:rsidRDefault="009B7AFD">
      <w:pPr>
        <w:pStyle w:val="ListParagraph"/>
        <w:numPr>
          <w:ilvl w:val="0"/>
          <w:numId w:val="165"/>
        </w:numPr>
        <w:tabs>
          <w:tab w:val="left" w:pos="1800"/>
          <w:tab w:val="left" w:pos="1802"/>
        </w:tabs>
        <w:spacing w:before="107"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49259315" w14:textId="77777777" w:rsidR="00894070" w:rsidRDefault="009B7AFD">
      <w:pPr>
        <w:pStyle w:val="ListParagraph"/>
        <w:numPr>
          <w:ilvl w:val="0"/>
          <w:numId w:val="165"/>
        </w:numPr>
        <w:tabs>
          <w:tab w:val="left" w:pos="1800"/>
          <w:tab w:val="left" w:pos="1802"/>
        </w:tabs>
        <w:spacing w:line="153"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December</w:t>
      </w:r>
      <w:r>
        <w:rPr>
          <w:color w:val="231F20"/>
          <w:spacing w:val="-3"/>
          <w:sz w:val="13"/>
        </w:rPr>
        <w:t xml:space="preserve"> </w:t>
      </w:r>
      <w:r>
        <w:rPr>
          <w:color w:val="231F20"/>
          <w:sz w:val="13"/>
        </w:rPr>
        <w:t>2021).</w:t>
      </w:r>
    </w:p>
    <w:p w14:paraId="41886F4F" w14:textId="77777777" w:rsidR="00894070" w:rsidRDefault="009B7AFD">
      <w:pPr>
        <w:pStyle w:val="ListParagraph"/>
        <w:numPr>
          <w:ilvl w:val="0"/>
          <w:numId w:val="165"/>
        </w:numPr>
        <w:tabs>
          <w:tab w:val="left" w:pos="1801"/>
          <w:tab w:val="left" w:pos="1802"/>
        </w:tabs>
        <w:spacing w:before="6" w:line="213" w:lineRule="auto"/>
        <w:ind w:right="1242"/>
        <w:rPr>
          <w:sz w:val="13"/>
        </w:rPr>
      </w:pPr>
      <w:r>
        <w:rPr>
          <w:color w:val="231F20"/>
          <w:sz w:val="13"/>
        </w:rPr>
        <w:t xml:space="preserve">For example, a respondent to a survey in England and Wales who had </w:t>
      </w:r>
      <w:r>
        <w:rPr>
          <w:color w:val="231F20"/>
          <w:spacing w:val="2"/>
          <w:sz w:val="13"/>
        </w:rPr>
        <w:t xml:space="preserve">experienced stalking </w:t>
      </w:r>
      <w:r>
        <w:rPr>
          <w:color w:val="231F20"/>
          <w:sz w:val="13"/>
        </w:rPr>
        <w:t xml:space="preserve">said, </w:t>
      </w:r>
      <w:r>
        <w:rPr>
          <w:color w:val="231F20"/>
          <w:spacing w:val="2"/>
          <w:sz w:val="13"/>
        </w:rPr>
        <w:t xml:space="preserve">‘It </w:t>
      </w:r>
      <w:r>
        <w:rPr>
          <w:color w:val="231F20"/>
          <w:sz w:val="13"/>
        </w:rPr>
        <w:t xml:space="preserve">was quite subtle at first and took me a while to figure [out] what was occurring’, while another said, ‘I didn’t think it was serious enough [to </w:t>
      </w:r>
      <w:r>
        <w:rPr>
          <w:color w:val="231F20"/>
          <w:spacing w:val="2"/>
          <w:sz w:val="13"/>
        </w:rPr>
        <w:t xml:space="preserve">report] </w:t>
      </w:r>
      <w:r>
        <w:rPr>
          <w:color w:val="231F20"/>
          <w:sz w:val="13"/>
        </w:rPr>
        <w:t xml:space="preserve">and I </w:t>
      </w:r>
      <w:proofErr w:type="gramStart"/>
      <w:r>
        <w:rPr>
          <w:color w:val="231F20"/>
          <w:sz w:val="13"/>
        </w:rPr>
        <w:t>could  be</w:t>
      </w:r>
      <w:proofErr w:type="gramEnd"/>
      <w:r>
        <w:rPr>
          <w:color w:val="231F20"/>
          <w:sz w:val="13"/>
        </w:rPr>
        <w:t xml:space="preserve"> over reacting’: </w:t>
      </w:r>
      <w:r>
        <w:rPr>
          <w:color w:val="231F20"/>
          <w:spacing w:val="2"/>
          <w:sz w:val="13"/>
        </w:rPr>
        <w:t xml:space="preserve">Suzy </w:t>
      </w:r>
      <w:r>
        <w:rPr>
          <w:color w:val="231F20"/>
          <w:sz w:val="13"/>
        </w:rPr>
        <w:t xml:space="preserve">Lamplugh Trust, </w:t>
      </w:r>
      <w:r>
        <w:rPr>
          <w:i/>
          <w:color w:val="231F20"/>
          <w:sz w:val="13"/>
        </w:rPr>
        <w:t xml:space="preserve">Unmasking Stalking: A  Changing Landscape  </w:t>
      </w:r>
      <w:r>
        <w:rPr>
          <w:color w:val="231F20"/>
          <w:spacing w:val="2"/>
          <w:sz w:val="13"/>
        </w:rPr>
        <w:t xml:space="preserve">(Report, </w:t>
      </w:r>
      <w:r>
        <w:rPr>
          <w:color w:val="231F20"/>
          <w:sz w:val="13"/>
        </w:rPr>
        <w:t xml:space="preserve">April  2021)  </w:t>
      </w:r>
      <w:r>
        <w:rPr>
          <w:color w:val="231F20"/>
          <w:spacing w:val="2"/>
          <w:sz w:val="13"/>
        </w:rPr>
        <w:t xml:space="preserve">9. </w:t>
      </w:r>
      <w:proofErr w:type="gramStart"/>
      <w:r>
        <w:rPr>
          <w:color w:val="231F20"/>
          <w:sz w:val="13"/>
        </w:rPr>
        <w:t xml:space="preserve">In  </w:t>
      </w:r>
      <w:r>
        <w:rPr>
          <w:color w:val="231F20"/>
          <w:spacing w:val="2"/>
          <w:sz w:val="13"/>
        </w:rPr>
        <w:t>its</w:t>
      </w:r>
      <w:proofErr w:type="gramEnd"/>
      <w:r>
        <w:rPr>
          <w:color w:val="231F20"/>
          <w:spacing w:val="2"/>
          <w:sz w:val="13"/>
        </w:rPr>
        <w:t xml:space="preserve"> </w:t>
      </w:r>
      <w:r>
        <w:rPr>
          <w:color w:val="231F20"/>
          <w:sz w:val="13"/>
        </w:rPr>
        <w:t xml:space="preserve">submission, </w:t>
      </w:r>
      <w:proofErr w:type="spellStart"/>
      <w:r>
        <w:rPr>
          <w:color w:val="231F20"/>
          <w:sz w:val="13"/>
        </w:rPr>
        <w:t>Djirra</w:t>
      </w:r>
      <w:proofErr w:type="spellEnd"/>
      <w:r>
        <w:rPr>
          <w:color w:val="231F20"/>
          <w:sz w:val="13"/>
        </w:rPr>
        <w:t xml:space="preserve"> pointed out that ‘stalking </w:t>
      </w:r>
      <w:proofErr w:type="spellStart"/>
      <w:r>
        <w:rPr>
          <w:color w:val="231F20"/>
          <w:sz w:val="13"/>
        </w:rPr>
        <w:t>behaviour</w:t>
      </w:r>
      <w:proofErr w:type="spellEnd"/>
      <w:r>
        <w:rPr>
          <w:color w:val="231F20"/>
          <w:sz w:val="13"/>
        </w:rPr>
        <w:t xml:space="preserve"> is cumulative and may not be easily identified by the victim, which can make it difficult   to report’: </w:t>
      </w:r>
      <w:r>
        <w:rPr>
          <w:color w:val="231F20"/>
          <w:spacing w:val="2"/>
          <w:sz w:val="13"/>
        </w:rPr>
        <w:t xml:space="preserve">Submission </w:t>
      </w:r>
      <w:r>
        <w:rPr>
          <w:color w:val="231F20"/>
          <w:sz w:val="13"/>
        </w:rPr>
        <w:t>41 (</w:t>
      </w:r>
      <w:proofErr w:type="spellStart"/>
      <w:r>
        <w:rPr>
          <w:color w:val="231F20"/>
          <w:sz w:val="13"/>
        </w:rPr>
        <w:t>Djirra</w:t>
      </w:r>
      <w:proofErr w:type="spellEnd"/>
      <w:r>
        <w:rPr>
          <w:color w:val="231F20"/>
          <w:sz w:val="13"/>
        </w:rPr>
        <w:t xml:space="preserve">). See </w:t>
      </w:r>
      <w:r>
        <w:rPr>
          <w:color w:val="231F20"/>
          <w:spacing w:val="2"/>
          <w:sz w:val="13"/>
        </w:rPr>
        <w:t xml:space="preserve">also Submissions </w:t>
      </w:r>
      <w:r>
        <w:rPr>
          <w:color w:val="231F20"/>
          <w:sz w:val="13"/>
        </w:rPr>
        <w:t xml:space="preserve">32 (Centre for Forensic </w:t>
      </w:r>
      <w:proofErr w:type="spellStart"/>
      <w:r>
        <w:rPr>
          <w:color w:val="231F20"/>
          <w:sz w:val="13"/>
        </w:rPr>
        <w:t>Behavioural</w:t>
      </w:r>
      <w:proofErr w:type="spellEnd"/>
      <w:r>
        <w:rPr>
          <w:color w:val="231F20"/>
          <w:sz w:val="13"/>
        </w:rPr>
        <w:t xml:space="preserve"> Science), 95 (Springvale Monash    Legal </w:t>
      </w:r>
      <w:r>
        <w:rPr>
          <w:color w:val="231F20"/>
          <w:spacing w:val="2"/>
          <w:sz w:val="13"/>
        </w:rPr>
        <w:t xml:space="preserve">Service </w:t>
      </w:r>
      <w:r>
        <w:rPr>
          <w:color w:val="231F20"/>
          <w:sz w:val="13"/>
        </w:rPr>
        <w:t xml:space="preserve">Inc.), 97 (Federation of Community Legal </w:t>
      </w:r>
      <w:proofErr w:type="spellStart"/>
      <w:r>
        <w:rPr>
          <w:color w:val="231F20"/>
          <w:sz w:val="13"/>
        </w:rPr>
        <w:t>Centres</w:t>
      </w:r>
      <w:proofErr w:type="spellEnd"/>
      <w:r>
        <w:rPr>
          <w:color w:val="231F20"/>
          <w:sz w:val="13"/>
        </w:rPr>
        <w:t>), 98 (Law Institute of Victoria), 100 (</w:t>
      </w:r>
      <w:proofErr w:type="spellStart"/>
      <w:r>
        <w:rPr>
          <w:color w:val="231F20"/>
          <w:sz w:val="13"/>
        </w:rPr>
        <w:t>Forensicare</w:t>
      </w:r>
      <w:proofErr w:type="spellEnd"/>
      <w:r>
        <w:rPr>
          <w:color w:val="231F20"/>
          <w:sz w:val="13"/>
        </w:rPr>
        <w:t>); Consultation 27 (</w:t>
      </w:r>
      <w:proofErr w:type="spellStart"/>
      <w:r>
        <w:rPr>
          <w:color w:val="231F20"/>
          <w:sz w:val="13"/>
        </w:rPr>
        <w:t>Kulturbrille</w:t>
      </w:r>
      <w:proofErr w:type="spellEnd"/>
      <w:r>
        <w:rPr>
          <w:color w:val="231F20"/>
          <w:sz w:val="13"/>
        </w:rPr>
        <w:t>).</w:t>
      </w:r>
    </w:p>
    <w:p w14:paraId="2A230C02" w14:textId="77777777" w:rsidR="00894070" w:rsidRDefault="009B7AFD">
      <w:pPr>
        <w:pStyle w:val="ListParagraph"/>
        <w:numPr>
          <w:ilvl w:val="0"/>
          <w:numId w:val="165"/>
        </w:numPr>
        <w:tabs>
          <w:tab w:val="left" w:pos="1801"/>
          <w:tab w:val="left" w:pos="1802"/>
        </w:tabs>
        <w:spacing w:line="213" w:lineRule="auto"/>
        <w:ind w:right="1358"/>
        <w:rPr>
          <w:sz w:val="13"/>
        </w:rPr>
      </w:pPr>
      <w:r>
        <w:rPr>
          <w:color w:val="231F20"/>
          <w:sz w:val="13"/>
        </w:rPr>
        <w:t xml:space="preserve">Consultations 5 (Harmful Sexual </w:t>
      </w:r>
      <w:proofErr w:type="spellStart"/>
      <w:r>
        <w:rPr>
          <w:color w:val="231F20"/>
          <w:sz w:val="13"/>
        </w:rPr>
        <w:t>Behaviours</w:t>
      </w:r>
      <w:proofErr w:type="spellEnd"/>
      <w:r>
        <w:rPr>
          <w:color w:val="231F20"/>
          <w:sz w:val="13"/>
        </w:rPr>
        <w:t xml:space="preserve"> Network), 8 (</w:t>
      </w:r>
      <w:proofErr w:type="spellStart"/>
      <w:r>
        <w:rPr>
          <w:color w:val="231F20"/>
          <w:sz w:val="13"/>
        </w:rPr>
        <w:t>eSafety</w:t>
      </w:r>
      <w:proofErr w:type="spellEnd"/>
      <w:r>
        <w:rPr>
          <w:color w:val="231F20"/>
          <w:sz w:val="13"/>
        </w:rPr>
        <w:t xml:space="preserve"> Commissioner), 16 (Centre for Excellence in Child and Family Welfare: Young People and Stalking).),</w:t>
      </w:r>
    </w:p>
    <w:p w14:paraId="1D906831" w14:textId="77777777" w:rsidR="00894070" w:rsidRDefault="009B7AFD">
      <w:pPr>
        <w:pStyle w:val="ListParagraph"/>
        <w:numPr>
          <w:ilvl w:val="0"/>
          <w:numId w:val="165"/>
        </w:numPr>
        <w:tabs>
          <w:tab w:val="left" w:pos="1801"/>
          <w:tab w:val="left" w:pos="1802"/>
        </w:tabs>
        <w:spacing w:line="152" w:lineRule="exact"/>
        <w:rPr>
          <w:sz w:val="13"/>
        </w:rPr>
      </w:pPr>
      <w:r>
        <w:rPr>
          <w:color w:val="231F20"/>
          <w:sz w:val="13"/>
        </w:rPr>
        <w:t xml:space="preserve">This was a concern for a small </w:t>
      </w:r>
      <w:r>
        <w:rPr>
          <w:color w:val="231F20"/>
          <w:spacing w:val="2"/>
          <w:sz w:val="13"/>
        </w:rPr>
        <w:t xml:space="preserve">number </w:t>
      </w:r>
      <w:r>
        <w:rPr>
          <w:color w:val="231F20"/>
          <w:sz w:val="13"/>
        </w:rPr>
        <w:t xml:space="preserve">of survey respondents who had experienced </w:t>
      </w:r>
      <w:r>
        <w:rPr>
          <w:color w:val="231F20"/>
          <w:spacing w:val="2"/>
          <w:sz w:val="13"/>
        </w:rPr>
        <w:t xml:space="preserve">stalking </w:t>
      </w:r>
      <w:r>
        <w:rPr>
          <w:color w:val="231F20"/>
          <w:sz w:val="13"/>
        </w:rPr>
        <w:t>in England and Wales:</w:t>
      </w:r>
      <w:r>
        <w:rPr>
          <w:color w:val="231F20"/>
          <w:spacing w:val="27"/>
          <w:sz w:val="13"/>
        </w:rPr>
        <w:t xml:space="preserve"> </w:t>
      </w:r>
      <w:r>
        <w:rPr>
          <w:color w:val="231F20"/>
          <w:spacing w:val="2"/>
          <w:sz w:val="13"/>
        </w:rPr>
        <w:t>Suzy</w:t>
      </w:r>
    </w:p>
    <w:p w14:paraId="47F9F3DF" w14:textId="77777777" w:rsidR="00894070" w:rsidRDefault="009B7AFD">
      <w:pPr>
        <w:spacing w:line="160" w:lineRule="exact"/>
        <w:ind w:left="1801"/>
        <w:rPr>
          <w:sz w:val="13"/>
        </w:rPr>
      </w:pPr>
      <w:r>
        <w:rPr>
          <w:color w:val="231F20"/>
          <w:sz w:val="13"/>
        </w:rPr>
        <w:t xml:space="preserve">Lamplugh Trust, </w:t>
      </w:r>
      <w:r>
        <w:rPr>
          <w:i/>
          <w:color w:val="231F20"/>
          <w:sz w:val="13"/>
        </w:rPr>
        <w:t xml:space="preserve">Unmasking Stalking: A Changing Landscape </w:t>
      </w:r>
      <w:r>
        <w:rPr>
          <w:color w:val="231F20"/>
          <w:sz w:val="13"/>
        </w:rPr>
        <w:t>(Report, April 2021) 9.</w:t>
      </w:r>
    </w:p>
    <w:p w14:paraId="5B0D8435" w14:textId="77777777" w:rsidR="00894070" w:rsidRDefault="009B7AFD">
      <w:pPr>
        <w:pStyle w:val="ListParagraph"/>
        <w:numPr>
          <w:ilvl w:val="0"/>
          <w:numId w:val="165"/>
        </w:numPr>
        <w:tabs>
          <w:tab w:val="left" w:pos="1801"/>
          <w:tab w:val="left" w:pos="1802"/>
        </w:tabs>
        <w:spacing w:before="3" w:line="213" w:lineRule="auto"/>
        <w:ind w:right="1260"/>
        <w:rPr>
          <w:sz w:val="13"/>
        </w:rPr>
      </w:pPr>
      <w:r>
        <w:rPr>
          <w:color w:val="231F20"/>
          <w:sz w:val="13"/>
        </w:rPr>
        <w:t xml:space="preserve">Adrian J Scott et </w:t>
      </w:r>
      <w:r>
        <w:rPr>
          <w:color w:val="231F20"/>
          <w:spacing w:val="2"/>
          <w:sz w:val="13"/>
        </w:rPr>
        <w:t xml:space="preserve">al, ‘Public </w:t>
      </w:r>
      <w:r>
        <w:rPr>
          <w:color w:val="231F20"/>
          <w:sz w:val="13"/>
        </w:rPr>
        <w:t xml:space="preserve">Familiarity and </w:t>
      </w:r>
      <w:r>
        <w:rPr>
          <w:color w:val="231F20"/>
          <w:spacing w:val="2"/>
          <w:sz w:val="13"/>
        </w:rPr>
        <w:t xml:space="preserve">Understanding </w:t>
      </w:r>
      <w:r>
        <w:rPr>
          <w:color w:val="231F20"/>
          <w:sz w:val="13"/>
        </w:rPr>
        <w:t xml:space="preserve">of Stalking/Harassment Legislation in Australia, the United Kingdom, and the United States’ in Heng </w:t>
      </w:r>
      <w:proofErr w:type="spellStart"/>
      <w:r>
        <w:rPr>
          <w:color w:val="231F20"/>
          <w:sz w:val="13"/>
        </w:rPr>
        <w:t>Choon</w:t>
      </w:r>
      <w:proofErr w:type="spellEnd"/>
      <w:r>
        <w:rPr>
          <w:color w:val="231F20"/>
          <w:sz w:val="13"/>
        </w:rPr>
        <w:t xml:space="preserve"> (Oliver)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An International Perspective </w:t>
      </w:r>
      <w:r>
        <w:rPr>
          <w:color w:val="231F20"/>
          <w:sz w:val="13"/>
        </w:rPr>
        <w:t xml:space="preserve">(John Wiley and Sons, 2020) 137, </w:t>
      </w:r>
      <w:r>
        <w:rPr>
          <w:color w:val="231F20"/>
          <w:spacing w:val="2"/>
          <w:sz w:val="13"/>
        </w:rPr>
        <w:t xml:space="preserve">138. </w:t>
      </w:r>
      <w:r>
        <w:rPr>
          <w:color w:val="231F20"/>
          <w:sz w:val="13"/>
        </w:rPr>
        <w:t xml:space="preserve">See </w:t>
      </w:r>
      <w:r>
        <w:rPr>
          <w:color w:val="231F20"/>
          <w:spacing w:val="2"/>
          <w:sz w:val="13"/>
        </w:rPr>
        <w:t xml:space="preserve">also Submissions </w:t>
      </w:r>
      <w:r>
        <w:rPr>
          <w:color w:val="231F20"/>
          <w:sz w:val="13"/>
        </w:rPr>
        <w:t xml:space="preserve">32 (Centre for Forensic </w:t>
      </w:r>
      <w:proofErr w:type="spellStart"/>
      <w:r>
        <w:rPr>
          <w:color w:val="231F20"/>
          <w:sz w:val="13"/>
        </w:rPr>
        <w:t>Behavioural</w:t>
      </w:r>
      <w:proofErr w:type="spellEnd"/>
      <w:r>
        <w:rPr>
          <w:color w:val="231F20"/>
          <w:sz w:val="13"/>
        </w:rPr>
        <w:t xml:space="preserve"> Science), 100 (</w:t>
      </w:r>
      <w:proofErr w:type="spellStart"/>
      <w:r>
        <w:rPr>
          <w:color w:val="231F20"/>
          <w:sz w:val="13"/>
        </w:rPr>
        <w:t>Forensicare</w:t>
      </w:r>
      <w:proofErr w:type="spellEnd"/>
      <w:r>
        <w:rPr>
          <w:color w:val="231F20"/>
          <w:sz w:val="13"/>
        </w:rPr>
        <w:t xml:space="preserve">); Consultations 4 (Sexual </w:t>
      </w:r>
      <w:r>
        <w:rPr>
          <w:color w:val="231F20"/>
          <w:spacing w:val="2"/>
          <w:sz w:val="13"/>
        </w:rPr>
        <w:t xml:space="preserve">Assault Services </w:t>
      </w:r>
      <w:r>
        <w:rPr>
          <w:color w:val="231F20"/>
          <w:sz w:val="13"/>
        </w:rPr>
        <w:t xml:space="preserve">Network), 17 (Small group meeting on </w:t>
      </w:r>
      <w:r>
        <w:rPr>
          <w:color w:val="231F20"/>
          <w:spacing w:val="2"/>
          <w:sz w:val="13"/>
        </w:rPr>
        <w:t xml:space="preserve">stalking </w:t>
      </w:r>
      <w:r>
        <w:rPr>
          <w:color w:val="231F20"/>
          <w:sz w:val="13"/>
        </w:rPr>
        <w:t>and young people).</w:t>
      </w:r>
    </w:p>
    <w:p w14:paraId="3095C90F" w14:textId="77777777" w:rsidR="00894070" w:rsidRDefault="009B7AFD">
      <w:pPr>
        <w:pStyle w:val="ListParagraph"/>
        <w:numPr>
          <w:ilvl w:val="0"/>
          <w:numId w:val="165"/>
        </w:numPr>
        <w:tabs>
          <w:tab w:val="left" w:pos="1801"/>
          <w:tab w:val="left" w:pos="1802"/>
        </w:tabs>
        <w:spacing w:line="213" w:lineRule="auto"/>
        <w:ind w:right="1283"/>
        <w:rPr>
          <w:sz w:val="13"/>
        </w:rPr>
      </w:pPr>
      <w:r>
        <w:rPr>
          <w:color w:val="231F20"/>
          <w:spacing w:val="2"/>
          <w:sz w:val="13"/>
        </w:rPr>
        <w:t xml:space="preserve">Submission </w:t>
      </w:r>
      <w:r>
        <w:rPr>
          <w:color w:val="231F20"/>
          <w:sz w:val="13"/>
        </w:rPr>
        <w:t xml:space="preserve">32 (Centre for Forensic </w:t>
      </w:r>
      <w:proofErr w:type="spellStart"/>
      <w:r>
        <w:rPr>
          <w:color w:val="231F20"/>
          <w:sz w:val="13"/>
        </w:rPr>
        <w:t>Behavioural</w:t>
      </w:r>
      <w:proofErr w:type="spellEnd"/>
      <w:r>
        <w:rPr>
          <w:color w:val="231F20"/>
          <w:sz w:val="13"/>
        </w:rPr>
        <w:t xml:space="preserve"> Science); Consultation 30 (Roundtable with multicultural and multifaith lawyers and legal stakeholders).</w:t>
      </w:r>
    </w:p>
    <w:p w14:paraId="7D4F1C30" w14:textId="77777777" w:rsidR="00894070" w:rsidRDefault="009B7AFD">
      <w:pPr>
        <w:pStyle w:val="ListParagraph"/>
        <w:numPr>
          <w:ilvl w:val="0"/>
          <w:numId w:val="165"/>
        </w:numPr>
        <w:tabs>
          <w:tab w:val="left" w:pos="1801"/>
          <w:tab w:val="left" w:pos="1802"/>
        </w:tabs>
        <w:spacing w:line="213" w:lineRule="auto"/>
        <w:ind w:right="1177"/>
        <w:rPr>
          <w:sz w:val="13"/>
        </w:rPr>
      </w:pPr>
      <w:r>
        <w:rPr>
          <w:color w:val="231F20"/>
          <w:sz w:val="13"/>
        </w:rPr>
        <w:t>Consultations 30 (Roundtable with multicultural and multifaith lawyers and legal stakeholders), 31 (Roundtable with multicultural and multifaith community</w:t>
      </w:r>
      <w:r>
        <w:rPr>
          <w:color w:val="231F20"/>
          <w:spacing w:val="1"/>
          <w:sz w:val="13"/>
        </w:rPr>
        <w:t xml:space="preserve"> </w:t>
      </w:r>
      <w:proofErr w:type="spellStart"/>
      <w:r>
        <w:rPr>
          <w:color w:val="231F20"/>
          <w:sz w:val="13"/>
        </w:rPr>
        <w:t>organisations</w:t>
      </w:r>
      <w:proofErr w:type="spellEnd"/>
      <w:r>
        <w:rPr>
          <w:color w:val="231F20"/>
          <w:sz w:val="13"/>
        </w:rPr>
        <w:t>).</w:t>
      </w:r>
    </w:p>
    <w:p w14:paraId="5EF9522D" w14:textId="77777777" w:rsidR="00894070" w:rsidRDefault="009F6793">
      <w:pPr>
        <w:pStyle w:val="ListParagraph"/>
        <w:numPr>
          <w:ilvl w:val="0"/>
          <w:numId w:val="165"/>
        </w:numPr>
        <w:tabs>
          <w:tab w:val="left" w:pos="1800"/>
          <w:tab w:val="left" w:pos="1802"/>
        </w:tabs>
        <w:spacing w:line="213" w:lineRule="auto"/>
        <w:ind w:right="1165"/>
        <w:rPr>
          <w:sz w:val="13"/>
        </w:rPr>
      </w:pPr>
      <w:r>
        <w:pict w14:anchorId="22796C2E">
          <v:shape id="_x0000_s1633" type="#_x0000_t202" style="position:absolute;left:0;text-align:left;margin-left:548.9pt;margin-top:11.4pt;width:13.35pt;height:14.1pt;z-index:251526144;mso-position-horizontal-relative:page" filled="f" stroked="f">
            <v:textbox inset="0,0,0,0">
              <w:txbxContent>
                <w:p w14:paraId="26E08FB7" w14:textId="77777777" w:rsidR="00894070" w:rsidRDefault="009B7AFD">
                  <w:pPr>
                    <w:spacing w:line="282" w:lineRule="exact"/>
                    <w:rPr>
                      <w:b/>
                      <w:sz w:val="24"/>
                    </w:rPr>
                  </w:pPr>
                  <w:r>
                    <w:rPr>
                      <w:b/>
                      <w:color w:val="EA5B50"/>
                      <w:spacing w:val="-2"/>
                      <w:sz w:val="24"/>
                    </w:rPr>
                    <w:t>27</w:t>
                  </w:r>
                </w:p>
              </w:txbxContent>
            </v:textbox>
            <w10:wrap anchorx="page"/>
          </v:shape>
        </w:pict>
      </w:r>
      <w:r w:rsidR="009B7AFD">
        <w:rPr>
          <w:color w:val="231F20"/>
          <w:spacing w:val="2"/>
          <w:sz w:val="13"/>
        </w:rPr>
        <w:t xml:space="preserve">Submissions </w:t>
      </w:r>
      <w:r w:rsidR="009B7AFD">
        <w:rPr>
          <w:color w:val="231F20"/>
          <w:sz w:val="13"/>
        </w:rPr>
        <w:t xml:space="preserve">32 (Centre for Forensic </w:t>
      </w:r>
      <w:proofErr w:type="spellStart"/>
      <w:r w:rsidR="009B7AFD">
        <w:rPr>
          <w:color w:val="231F20"/>
          <w:sz w:val="13"/>
        </w:rPr>
        <w:t>Behavioural</w:t>
      </w:r>
      <w:proofErr w:type="spellEnd"/>
      <w:r w:rsidR="009B7AFD">
        <w:rPr>
          <w:color w:val="231F20"/>
          <w:sz w:val="13"/>
        </w:rPr>
        <w:t xml:space="preserve"> Science) </w:t>
      </w:r>
      <w:r w:rsidR="009B7AFD">
        <w:rPr>
          <w:color w:val="231F20"/>
          <w:spacing w:val="2"/>
          <w:sz w:val="13"/>
        </w:rPr>
        <w:t xml:space="preserve">49, (Victims </w:t>
      </w:r>
      <w:r w:rsidR="009B7AFD">
        <w:rPr>
          <w:color w:val="231F20"/>
          <w:sz w:val="13"/>
        </w:rPr>
        <w:t>of Crime Commissioner), 100 (</w:t>
      </w:r>
      <w:proofErr w:type="spellStart"/>
      <w:r w:rsidR="009B7AFD">
        <w:rPr>
          <w:color w:val="231F20"/>
          <w:sz w:val="13"/>
        </w:rPr>
        <w:t>Forensicare</w:t>
      </w:r>
      <w:proofErr w:type="spellEnd"/>
      <w:r w:rsidR="009B7AFD">
        <w:rPr>
          <w:color w:val="231F20"/>
          <w:sz w:val="13"/>
        </w:rPr>
        <w:t xml:space="preserve">); Consultations 4 (Sexual </w:t>
      </w:r>
      <w:r w:rsidR="009B7AFD">
        <w:rPr>
          <w:color w:val="231F20"/>
          <w:spacing w:val="2"/>
          <w:sz w:val="13"/>
        </w:rPr>
        <w:t xml:space="preserve">Assault Services </w:t>
      </w:r>
      <w:r w:rsidR="009B7AFD">
        <w:rPr>
          <w:color w:val="231F20"/>
          <w:sz w:val="13"/>
        </w:rPr>
        <w:t>Network), 8 (</w:t>
      </w:r>
      <w:proofErr w:type="spellStart"/>
      <w:r w:rsidR="009B7AFD">
        <w:rPr>
          <w:color w:val="231F20"/>
          <w:sz w:val="13"/>
        </w:rPr>
        <w:t>eSafety</w:t>
      </w:r>
      <w:proofErr w:type="spellEnd"/>
      <w:r w:rsidR="009B7AFD">
        <w:rPr>
          <w:color w:val="231F20"/>
          <w:sz w:val="13"/>
        </w:rPr>
        <w:t xml:space="preserve"> Commissioner); </w:t>
      </w:r>
      <w:r w:rsidR="009B7AFD">
        <w:rPr>
          <w:color w:val="231F20"/>
          <w:spacing w:val="2"/>
          <w:sz w:val="13"/>
        </w:rPr>
        <w:t xml:space="preserve">Suzy </w:t>
      </w:r>
      <w:r w:rsidR="009B7AFD">
        <w:rPr>
          <w:color w:val="231F20"/>
          <w:sz w:val="13"/>
        </w:rPr>
        <w:t xml:space="preserve">Lamplugh Trust, </w:t>
      </w:r>
      <w:r w:rsidR="009B7AFD">
        <w:rPr>
          <w:i/>
          <w:color w:val="231F20"/>
          <w:sz w:val="13"/>
        </w:rPr>
        <w:t xml:space="preserve">Unmasking Stalking: A Changing Landscape </w:t>
      </w:r>
      <w:r w:rsidR="009B7AFD">
        <w:rPr>
          <w:color w:val="231F20"/>
          <w:spacing w:val="2"/>
          <w:sz w:val="13"/>
        </w:rPr>
        <w:t xml:space="preserve">(Report, </w:t>
      </w:r>
      <w:r w:rsidR="009B7AFD">
        <w:rPr>
          <w:color w:val="231F20"/>
          <w:sz w:val="13"/>
        </w:rPr>
        <w:t>April 2021)</w:t>
      </w:r>
      <w:r w:rsidR="009B7AFD">
        <w:rPr>
          <w:color w:val="231F20"/>
          <w:spacing w:val="-2"/>
          <w:sz w:val="13"/>
        </w:rPr>
        <w:t xml:space="preserve"> </w:t>
      </w:r>
      <w:r w:rsidR="009B7AFD">
        <w:rPr>
          <w:color w:val="231F20"/>
          <w:spacing w:val="2"/>
          <w:sz w:val="13"/>
        </w:rPr>
        <w:t>9.</w:t>
      </w:r>
    </w:p>
    <w:p w14:paraId="1DD26230" w14:textId="77777777" w:rsidR="00894070" w:rsidRDefault="00894070">
      <w:pPr>
        <w:spacing w:line="213" w:lineRule="auto"/>
        <w:rPr>
          <w:sz w:val="13"/>
        </w:rPr>
        <w:sectPr w:rsidR="00894070">
          <w:pgSz w:w="11910" w:h="16840"/>
          <w:pgMar w:top="840" w:right="420" w:bottom="280" w:left="580" w:header="0" w:footer="0" w:gutter="0"/>
          <w:cols w:space="720"/>
        </w:sectPr>
      </w:pPr>
    </w:p>
    <w:p w14:paraId="2B0D9D1C" w14:textId="77777777" w:rsidR="00894070" w:rsidRDefault="00894070">
      <w:pPr>
        <w:pStyle w:val="BodyText"/>
      </w:pPr>
    </w:p>
    <w:p w14:paraId="44511490" w14:textId="77777777" w:rsidR="00894070" w:rsidRDefault="00894070">
      <w:pPr>
        <w:pStyle w:val="BodyText"/>
      </w:pPr>
    </w:p>
    <w:p w14:paraId="758EA689" w14:textId="77777777" w:rsidR="00894070" w:rsidRDefault="00894070">
      <w:pPr>
        <w:pStyle w:val="BodyText"/>
      </w:pPr>
    </w:p>
    <w:p w14:paraId="7C97C7E2" w14:textId="77777777" w:rsidR="00894070" w:rsidRDefault="00894070">
      <w:pPr>
        <w:pStyle w:val="BodyText"/>
        <w:spacing w:before="8"/>
        <w:rPr>
          <w:sz w:val="21"/>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721"/>
        <w:gridCol w:w="5200"/>
      </w:tblGrid>
      <w:tr w:rsidR="00894070" w14:paraId="6EC8551A" w14:textId="77777777">
        <w:trPr>
          <w:trHeight w:val="518"/>
        </w:trPr>
        <w:tc>
          <w:tcPr>
            <w:tcW w:w="2721" w:type="dxa"/>
            <w:shd w:val="clear" w:color="auto" w:fill="F4BCAE"/>
          </w:tcPr>
          <w:p w14:paraId="65DC1B84" w14:textId="77777777" w:rsidR="00894070" w:rsidRDefault="009B7AFD">
            <w:pPr>
              <w:pStyle w:val="TableParagraph"/>
              <w:spacing w:before="122"/>
              <w:rPr>
                <w:b/>
                <w:sz w:val="20"/>
              </w:rPr>
            </w:pPr>
            <w:r>
              <w:rPr>
                <w:b/>
                <w:color w:val="231F20"/>
                <w:sz w:val="20"/>
              </w:rPr>
              <w:t>Barrier</w:t>
            </w:r>
          </w:p>
        </w:tc>
        <w:tc>
          <w:tcPr>
            <w:tcW w:w="5200" w:type="dxa"/>
            <w:shd w:val="clear" w:color="auto" w:fill="F4BCAE"/>
          </w:tcPr>
          <w:p w14:paraId="48187EE1" w14:textId="77777777" w:rsidR="00894070" w:rsidRDefault="009B7AFD">
            <w:pPr>
              <w:pStyle w:val="TableParagraph"/>
              <w:spacing w:before="122"/>
              <w:rPr>
                <w:b/>
                <w:sz w:val="20"/>
              </w:rPr>
            </w:pPr>
            <w:r>
              <w:rPr>
                <w:b/>
                <w:color w:val="231F20"/>
                <w:sz w:val="20"/>
              </w:rPr>
              <w:t>Discussion and examples</w:t>
            </w:r>
          </w:p>
        </w:tc>
      </w:tr>
      <w:tr w:rsidR="00894070" w14:paraId="5D2B013D" w14:textId="77777777">
        <w:trPr>
          <w:trHeight w:val="1844"/>
        </w:trPr>
        <w:tc>
          <w:tcPr>
            <w:tcW w:w="2721" w:type="dxa"/>
          </w:tcPr>
          <w:p w14:paraId="1675BEB5" w14:textId="77777777" w:rsidR="00894070" w:rsidRDefault="009B7AFD">
            <w:pPr>
              <w:pStyle w:val="TableParagraph"/>
              <w:spacing w:before="98" w:line="206" w:lineRule="auto"/>
              <w:ind w:right="251"/>
              <w:rPr>
                <w:sz w:val="11"/>
              </w:rPr>
            </w:pPr>
            <w:r>
              <w:rPr>
                <w:color w:val="231F20"/>
                <w:sz w:val="20"/>
              </w:rPr>
              <w:t>People worry they will not be taken seriously or believed.</w:t>
            </w:r>
            <w:r>
              <w:rPr>
                <w:color w:val="231F20"/>
                <w:position w:val="7"/>
                <w:sz w:val="11"/>
              </w:rPr>
              <w:t>139</w:t>
            </w:r>
          </w:p>
        </w:tc>
        <w:tc>
          <w:tcPr>
            <w:tcW w:w="5200" w:type="dxa"/>
          </w:tcPr>
          <w:p w14:paraId="3E21EDC3" w14:textId="77777777" w:rsidR="00894070" w:rsidRDefault="009B7AFD">
            <w:pPr>
              <w:pStyle w:val="TableParagraph"/>
              <w:spacing w:before="98" w:line="206" w:lineRule="auto"/>
              <w:rPr>
                <w:sz w:val="20"/>
              </w:rPr>
            </w:pPr>
            <w:r>
              <w:rPr>
                <w:color w:val="231F20"/>
                <w:sz w:val="20"/>
              </w:rPr>
              <w:t>We heard of victim survivors, for example, some women with disabilities,</w:t>
            </w:r>
            <w:r>
              <w:rPr>
                <w:color w:val="231F20"/>
                <w:position w:val="7"/>
                <w:sz w:val="11"/>
              </w:rPr>
              <w:t xml:space="preserve">140 </w:t>
            </w:r>
            <w:r>
              <w:rPr>
                <w:color w:val="231F20"/>
                <w:sz w:val="20"/>
              </w:rPr>
              <w:t>telling police about their experience of stalking and not being believed.</w:t>
            </w:r>
            <w:r>
              <w:rPr>
                <w:color w:val="231F20"/>
                <w:position w:val="7"/>
                <w:sz w:val="11"/>
              </w:rPr>
              <w:t xml:space="preserve">141 </w:t>
            </w:r>
            <w:r>
              <w:rPr>
                <w:color w:val="231F20"/>
                <w:sz w:val="20"/>
              </w:rPr>
              <w:t xml:space="preserve">We also heard from victim survivors that people, including police, often dismiss or </w:t>
            </w:r>
            <w:proofErr w:type="spellStart"/>
            <w:r>
              <w:rPr>
                <w:color w:val="231F20"/>
                <w:sz w:val="20"/>
              </w:rPr>
              <w:t>minimise</w:t>
            </w:r>
            <w:proofErr w:type="spellEnd"/>
            <w:r>
              <w:rPr>
                <w:color w:val="231F20"/>
                <w:sz w:val="20"/>
              </w:rPr>
              <w:t xml:space="preserve"> their experience</w:t>
            </w:r>
          </w:p>
          <w:p w14:paraId="36AB1AAC" w14:textId="77777777" w:rsidR="00894070" w:rsidRDefault="009B7AFD">
            <w:pPr>
              <w:pStyle w:val="TableParagraph"/>
              <w:spacing w:before="6" w:line="206" w:lineRule="auto"/>
              <w:ind w:right="386"/>
              <w:rPr>
                <w:sz w:val="11"/>
              </w:rPr>
            </w:pPr>
            <w:r>
              <w:rPr>
                <w:color w:val="231F20"/>
                <w:sz w:val="20"/>
              </w:rPr>
              <w:t>of stalking. We were told that police do not always formally record reports of stalking.</w:t>
            </w:r>
            <w:r>
              <w:rPr>
                <w:color w:val="231F20"/>
                <w:position w:val="7"/>
                <w:sz w:val="11"/>
              </w:rPr>
              <w:t>142</w:t>
            </w:r>
          </w:p>
        </w:tc>
      </w:tr>
      <w:tr w:rsidR="00894070" w14:paraId="5CC700FD" w14:textId="77777777">
        <w:trPr>
          <w:trHeight w:val="1124"/>
        </w:trPr>
        <w:tc>
          <w:tcPr>
            <w:tcW w:w="2721" w:type="dxa"/>
          </w:tcPr>
          <w:p w14:paraId="55DB694F" w14:textId="77777777" w:rsidR="00894070" w:rsidRDefault="009B7AFD">
            <w:pPr>
              <w:pStyle w:val="TableParagraph"/>
              <w:spacing w:before="98" w:line="206" w:lineRule="auto"/>
              <w:ind w:right="251"/>
              <w:rPr>
                <w:sz w:val="20"/>
              </w:rPr>
            </w:pPr>
            <w:r>
              <w:rPr>
                <w:color w:val="231F20"/>
                <w:sz w:val="20"/>
              </w:rPr>
              <w:t>Victim survivors do not want to have to repeat their story to lots of different people.</w:t>
            </w:r>
          </w:p>
        </w:tc>
        <w:tc>
          <w:tcPr>
            <w:tcW w:w="5200" w:type="dxa"/>
          </w:tcPr>
          <w:p w14:paraId="5D63E7F8" w14:textId="77777777" w:rsidR="00894070" w:rsidRDefault="009B7AFD">
            <w:pPr>
              <w:pStyle w:val="TableParagraph"/>
              <w:spacing w:before="98" w:line="206" w:lineRule="auto"/>
              <w:rPr>
                <w:sz w:val="11"/>
              </w:rPr>
            </w:pPr>
            <w:r>
              <w:rPr>
                <w:color w:val="231F20"/>
                <w:sz w:val="20"/>
              </w:rPr>
              <w:t>Research suggests that victim survivors find it frustrating and stressful to have to explain what is happening to them to different people.</w:t>
            </w:r>
            <w:r>
              <w:rPr>
                <w:color w:val="231F20"/>
                <w:position w:val="7"/>
                <w:sz w:val="11"/>
              </w:rPr>
              <w:t>143</w:t>
            </w:r>
          </w:p>
        </w:tc>
      </w:tr>
      <w:tr w:rsidR="00894070" w14:paraId="4E8F1F22" w14:textId="77777777">
        <w:trPr>
          <w:trHeight w:val="1364"/>
        </w:trPr>
        <w:tc>
          <w:tcPr>
            <w:tcW w:w="2721" w:type="dxa"/>
          </w:tcPr>
          <w:p w14:paraId="597DD954" w14:textId="77777777" w:rsidR="00894070" w:rsidRDefault="009B7AFD">
            <w:pPr>
              <w:pStyle w:val="TableParagraph"/>
              <w:spacing w:before="98" w:line="206" w:lineRule="auto"/>
              <w:ind w:right="340"/>
              <w:rPr>
                <w:sz w:val="11"/>
              </w:rPr>
            </w:pPr>
            <w:r>
              <w:rPr>
                <w:color w:val="231F20"/>
                <w:sz w:val="20"/>
              </w:rPr>
              <w:t>Victim survivors may fear the person stalking them.</w:t>
            </w:r>
            <w:r>
              <w:rPr>
                <w:color w:val="231F20"/>
                <w:position w:val="7"/>
                <w:sz w:val="11"/>
              </w:rPr>
              <w:t>144</w:t>
            </w:r>
          </w:p>
        </w:tc>
        <w:tc>
          <w:tcPr>
            <w:tcW w:w="5200" w:type="dxa"/>
          </w:tcPr>
          <w:p w14:paraId="4C07492D" w14:textId="77777777" w:rsidR="00894070" w:rsidRDefault="009B7AFD">
            <w:pPr>
              <w:pStyle w:val="TableParagraph"/>
              <w:spacing w:before="98" w:line="206" w:lineRule="auto"/>
              <w:rPr>
                <w:sz w:val="11"/>
              </w:rPr>
            </w:pPr>
            <w:r>
              <w:rPr>
                <w:color w:val="231F20"/>
                <w:sz w:val="20"/>
              </w:rPr>
              <w:t>Victim survivors who know they are being watched, or who fear their phones and other devices have been hacked, can be too afraid to report their situation or seek help. They might be concerned that this would make the stalking worse.</w:t>
            </w:r>
            <w:r>
              <w:rPr>
                <w:color w:val="231F20"/>
                <w:position w:val="7"/>
                <w:sz w:val="11"/>
              </w:rPr>
              <w:t>145</w:t>
            </w:r>
          </w:p>
        </w:tc>
      </w:tr>
      <w:tr w:rsidR="00894070" w14:paraId="124C0603" w14:textId="77777777">
        <w:trPr>
          <w:trHeight w:val="1964"/>
        </w:trPr>
        <w:tc>
          <w:tcPr>
            <w:tcW w:w="2721" w:type="dxa"/>
          </w:tcPr>
          <w:p w14:paraId="63AA48BF" w14:textId="77777777" w:rsidR="00894070" w:rsidRDefault="009B7AFD">
            <w:pPr>
              <w:pStyle w:val="TableParagraph"/>
              <w:spacing w:before="98" w:line="206" w:lineRule="auto"/>
              <w:rPr>
                <w:sz w:val="11"/>
              </w:rPr>
            </w:pPr>
            <w:r>
              <w:rPr>
                <w:color w:val="231F20"/>
                <w:sz w:val="20"/>
              </w:rPr>
              <w:t>People who experience stalking are sometimes blamed for what is happening.</w:t>
            </w:r>
            <w:r>
              <w:rPr>
                <w:color w:val="231F20"/>
                <w:position w:val="7"/>
                <w:sz w:val="11"/>
              </w:rPr>
              <w:t>146</w:t>
            </w:r>
          </w:p>
          <w:p w14:paraId="16B5A8B9" w14:textId="77777777" w:rsidR="00894070" w:rsidRDefault="009B7AFD">
            <w:pPr>
              <w:pStyle w:val="TableParagraph"/>
              <w:spacing w:before="125" w:line="206" w:lineRule="auto"/>
              <w:ind w:right="340"/>
              <w:rPr>
                <w:sz w:val="11"/>
              </w:rPr>
            </w:pPr>
            <w:r>
              <w:rPr>
                <w:color w:val="231F20"/>
                <w:sz w:val="20"/>
              </w:rPr>
              <w:t>Some may feel they have contributed to the stalking.</w:t>
            </w:r>
            <w:r>
              <w:rPr>
                <w:color w:val="231F20"/>
                <w:position w:val="7"/>
                <w:sz w:val="11"/>
              </w:rPr>
              <w:t>147</w:t>
            </w:r>
          </w:p>
        </w:tc>
        <w:tc>
          <w:tcPr>
            <w:tcW w:w="5200" w:type="dxa"/>
          </w:tcPr>
          <w:p w14:paraId="521672CF" w14:textId="77777777" w:rsidR="00894070" w:rsidRDefault="009B7AFD">
            <w:pPr>
              <w:pStyle w:val="TableParagraph"/>
              <w:spacing w:before="98" w:line="206" w:lineRule="auto"/>
              <w:ind w:right="115"/>
              <w:rPr>
                <w:sz w:val="11"/>
              </w:rPr>
            </w:pPr>
            <w:r>
              <w:rPr>
                <w:color w:val="231F20"/>
                <w:sz w:val="20"/>
              </w:rPr>
              <w:t xml:space="preserve">We heard that the person experiencing stalking can be ‘blamed for encouraging the </w:t>
            </w:r>
            <w:proofErr w:type="spellStart"/>
            <w:r>
              <w:rPr>
                <w:color w:val="231F20"/>
                <w:sz w:val="20"/>
              </w:rPr>
              <w:t>behaviour</w:t>
            </w:r>
            <w:proofErr w:type="spellEnd"/>
            <w:r>
              <w:rPr>
                <w:color w:val="231F20"/>
                <w:sz w:val="20"/>
              </w:rPr>
              <w:t>’.</w:t>
            </w:r>
            <w:r>
              <w:rPr>
                <w:color w:val="231F20"/>
                <w:position w:val="7"/>
                <w:sz w:val="11"/>
              </w:rPr>
              <w:t>148</w:t>
            </w:r>
          </w:p>
          <w:p w14:paraId="423F527B" w14:textId="77777777" w:rsidR="00894070" w:rsidRDefault="009B7AFD">
            <w:pPr>
              <w:pStyle w:val="TableParagraph"/>
              <w:spacing w:before="122" w:line="206" w:lineRule="auto"/>
              <w:rPr>
                <w:sz w:val="11"/>
              </w:rPr>
            </w:pPr>
            <w:r>
              <w:rPr>
                <w:color w:val="231F20"/>
                <w:sz w:val="20"/>
              </w:rPr>
              <w:t>We were told that ‘People who are stalked … often report feelings of guilt or shame that stop them from reporting it’.</w:t>
            </w:r>
            <w:r>
              <w:rPr>
                <w:color w:val="231F20"/>
                <w:position w:val="7"/>
                <w:sz w:val="11"/>
              </w:rPr>
              <w:t>149</w:t>
            </w:r>
          </w:p>
        </w:tc>
      </w:tr>
      <w:tr w:rsidR="00894070" w14:paraId="05CBF65C" w14:textId="77777777">
        <w:trPr>
          <w:trHeight w:val="1124"/>
        </w:trPr>
        <w:tc>
          <w:tcPr>
            <w:tcW w:w="2721" w:type="dxa"/>
          </w:tcPr>
          <w:p w14:paraId="098F65F4" w14:textId="77777777" w:rsidR="00894070" w:rsidRDefault="009B7AFD">
            <w:pPr>
              <w:pStyle w:val="TableParagraph"/>
              <w:spacing w:before="98" w:line="206" w:lineRule="auto"/>
              <w:ind w:right="131"/>
              <w:rPr>
                <w:sz w:val="11"/>
              </w:rPr>
            </w:pPr>
            <w:r>
              <w:rPr>
                <w:color w:val="231F20"/>
                <w:sz w:val="20"/>
              </w:rPr>
              <w:t>Victim survivors may think that reporting stalking does not lead to improved protections.</w:t>
            </w:r>
            <w:r>
              <w:rPr>
                <w:color w:val="231F20"/>
                <w:position w:val="7"/>
                <w:sz w:val="11"/>
              </w:rPr>
              <w:t>150</w:t>
            </w:r>
          </w:p>
        </w:tc>
        <w:tc>
          <w:tcPr>
            <w:tcW w:w="5200" w:type="dxa"/>
          </w:tcPr>
          <w:p w14:paraId="5D46F258" w14:textId="77777777" w:rsidR="00894070" w:rsidRDefault="009B7AFD">
            <w:pPr>
              <w:pStyle w:val="TableParagraph"/>
              <w:spacing w:before="98" w:line="206" w:lineRule="auto"/>
              <w:rPr>
                <w:sz w:val="11"/>
              </w:rPr>
            </w:pPr>
            <w:r>
              <w:rPr>
                <w:color w:val="231F20"/>
                <w:sz w:val="20"/>
              </w:rPr>
              <w:t>Research from other jurisdictions suggests that even when police take reports of stalking seriously, their responses are often viewed as ineffective.</w:t>
            </w:r>
            <w:r>
              <w:rPr>
                <w:color w:val="231F20"/>
                <w:position w:val="7"/>
                <w:sz w:val="11"/>
              </w:rPr>
              <w:t>151</w:t>
            </w:r>
          </w:p>
        </w:tc>
      </w:tr>
    </w:tbl>
    <w:p w14:paraId="7CB6D978" w14:textId="77777777" w:rsidR="00894070" w:rsidRDefault="00894070">
      <w:pPr>
        <w:pStyle w:val="BodyText"/>
      </w:pPr>
    </w:p>
    <w:p w14:paraId="0DC1DDB0" w14:textId="77777777" w:rsidR="00894070" w:rsidRDefault="00894070">
      <w:pPr>
        <w:pStyle w:val="BodyText"/>
      </w:pPr>
    </w:p>
    <w:p w14:paraId="61625D9C" w14:textId="77777777" w:rsidR="00894070" w:rsidRDefault="00894070">
      <w:pPr>
        <w:pStyle w:val="BodyText"/>
      </w:pPr>
    </w:p>
    <w:p w14:paraId="15AE1E1D" w14:textId="77777777" w:rsidR="00894070" w:rsidRDefault="00894070">
      <w:pPr>
        <w:pStyle w:val="BodyText"/>
      </w:pPr>
    </w:p>
    <w:p w14:paraId="53C5FC5A" w14:textId="77777777" w:rsidR="00894070" w:rsidRDefault="009F6793">
      <w:pPr>
        <w:pStyle w:val="BodyText"/>
        <w:rPr>
          <w:sz w:val="12"/>
        </w:rPr>
      </w:pPr>
      <w:r>
        <w:pict w14:anchorId="2737D457">
          <v:line id="_x0000_s1632" style="position:absolute;z-index:251460608;mso-wrap-distance-left:0;mso-wrap-distance-right:0;mso-position-horizontal-relative:page" from="79.35pt,10.8pt" to="515.9pt,10.8pt" strokecolor="#f8cabc" strokeweight="1pt">
            <w10:wrap type="topAndBottom" anchorx="page"/>
          </v:line>
        </w:pict>
      </w:r>
    </w:p>
    <w:p w14:paraId="6D6EDCEA" w14:textId="77777777" w:rsidR="00894070" w:rsidRDefault="009B7AFD">
      <w:pPr>
        <w:pStyle w:val="ListParagraph"/>
        <w:numPr>
          <w:ilvl w:val="0"/>
          <w:numId w:val="165"/>
        </w:numPr>
        <w:tabs>
          <w:tab w:val="left" w:pos="1801"/>
          <w:tab w:val="left" w:pos="1802"/>
        </w:tabs>
        <w:spacing w:before="107" w:line="213" w:lineRule="auto"/>
        <w:ind w:left="1800" w:right="1204" w:hanging="793"/>
        <w:rPr>
          <w:sz w:val="13"/>
        </w:rPr>
      </w:pPr>
      <w:r>
        <w:rPr>
          <w:color w:val="231F20"/>
          <w:sz w:val="13"/>
        </w:rPr>
        <w:t xml:space="preserve">Consultation 19 (Community legal sector roundtable); </w:t>
      </w:r>
      <w:r>
        <w:rPr>
          <w:color w:val="231F20"/>
          <w:spacing w:val="2"/>
          <w:sz w:val="13"/>
        </w:rPr>
        <w:t xml:space="preserve">Suzy </w:t>
      </w:r>
      <w:r>
        <w:rPr>
          <w:color w:val="231F20"/>
          <w:sz w:val="13"/>
        </w:rPr>
        <w:t xml:space="preserve">Lamplugh Trust, </w:t>
      </w:r>
      <w:r>
        <w:rPr>
          <w:i/>
          <w:color w:val="231F20"/>
          <w:sz w:val="13"/>
        </w:rPr>
        <w:t xml:space="preserve">Unmasking Stalking: A Changing Landscape </w:t>
      </w:r>
      <w:r>
        <w:rPr>
          <w:color w:val="231F20"/>
          <w:spacing w:val="2"/>
          <w:sz w:val="13"/>
        </w:rPr>
        <w:t xml:space="preserve">(Report, </w:t>
      </w:r>
      <w:r>
        <w:rPr>
          <w:color w:val="231F20"/>
          <w:sz w:val="13"/>
        </w:rPr>
        <w:t>April 2021) 8.</w:t>
      </w:r>
    </w:p>
    <w:p w14:paraId="511DDD24" w14:textId="77777777" w:rsidR="00894070" w:rsidRDefault="009B7AFD">
      <w:pPr>
        <w:pStyle w:val="ListParagraph"/>
        <w:numPr>
          <w:ilvl w:val="0"/>
          <w:numId w:val="165"/>
        </w:numPr>
        <w:tabs>
          <w:tab w:val="left" w:pos="1801"/>
          <w:tab w:val="left" w:pos="1802"/>
        </w:tabs>
        <w:spacing w:line="153" w:lineRule="exact"/>
        <w:rPr>
          <w:sz w:val="13"/>
        </w:rPr>
      </w:pPr>
      <w:r>
        <w:rPr>
          <w:color w:val="231F20"/>
          <w:sz w:val="13"/>
        </w:rPr>
        <w:t xml:space="preserve">Consultation 21 (Small group meeting on </w:t>
      </w:r>
      <w:r>
        <w:rPr>
          <w:color w:val="231F20"/>
          <w:spacing w:val="2"/>
          <w:sz w:val="13"/>
        </w:rPr>
        <w:t xml:space="preserve">stalking </w:t>
      </w:r>
      <w:r>
        <w:rPr>
          <w:color w:val="231F20"/>
          <w:sz w:val="13"/>
        </w:rPr>
        <w:t>and women with</w:t>
      </w:r>
      <w:r>
        <w:rPr>
          <w:color w:val="231F20"/>
          <w:spacing w:val="5"/>
          <w:sz w:val="13"/>
        </w:rPr>
        <w:t xml:space="preserve"> </w:t>
      </w:r>
      <w:r>
        <w:rPr>
          <w:color w:val="231F20"/>
          <w:sz w:val="13"/>
        </w:rPr>
        <w:t>disabilities).</w:t>
      </w:r>
    </w:p>
    <w:p w14:paraId="01B989B8" w14:textId="77777777" w:rsidR="00894070" w:rsidRDefault="009B7AFD">
      <w:pPr>
        <w:pStyle w:val="ListParagraph"/>
        <w:numPr>
          <w:ilvl w:val="0"/>
          <w:numId w:val="165"/>
        </w:numPr>
        <w:tabs>
          <w:tab w:val="left" w:pos="1801"/>
          <w:tab w:val="left" w:pos="1802"/>
        </w:tabs>
        <w:spacing w:before="6"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45E510F0" w14:textId="77777777" w:rsidR="00894070" w:rsidRDefault="009B7AFD">
      <w:pPr>
        <w:pStyle w:val="ListParagraph"/>
        <w:numPr>
          <w:ilvl w:val="0"/>
          <w:numId w:val="165"/>
        </w:numPr>
        <w:tabs>
          <w:tab w:val="left" w:pos="1800"/>
          <w:tab w:val="left" w:pos="1802"/>
        </w:tabs>
        <w:spacing w:line="213" w:lineRule="auto"/>
        <w:ind w:right="1318"/>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 xml:space="preserve">August 2021). See </w:t>
      </w:r>
      <w:r>
        <w:rPr>
          <w:color w:val="231F20"/>
          <w:spacing w:val="2"/>
          <w:sz w:val="13"/>
        </w:rPr>
        <w:t xml:space="preserve">also </w:t>
      </w:r>
      <w:r>
        <w:rPr>
          <w:color w:val="231F20"/>
          <w:sz w:val="13"/>
        </w:rPr>
        <w:t xml:space="preserve">Michelle </w:t>
      </w:r>
      <w:proofErr w:type="spellStart"/>
      <w:r>
        <w:rPr>
          <w:color w:val="231F20"/>
          <w:spacing w:val="2"/>
          <w:sz w:val="13"/>
        </w:rPr>
        <w:t>Sibenik</w:t>
      </w:r>
      <w:proofErr w:type="spellEnd"/>
      <w:r>
        <w:rPr>
          <w:color w:val="231F20"/>
          <w:spacing w:val="2"/>
          <w:sz w:val="13"/>
        </w:rPr>
        <w:t xml:space="preserve">,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 xml:space="preserve">of Anti-Stalking Legislation in Victoria, Australia’ (PhD Thesis, Monash University, 2018) 55–6; Consultation 4 (Sexual </w:t>
      </w:r>
      <w:r>
        <w:rPr>
          <w:color w:val="231F20"/>
          <w:spacing w:val="2"/>
          <w:sz w:val="13"/>
        </w:rPr>
        <w:t xml:space="preserve">Assault Services </w:t>
      </w:r>
      <w:r>
        <w:rPr>
          <w:color w:val="231F20"/>
          <w:sz w:val="13"/>
        </w:rPr>
        <w:t xml:space="preserve">Network); 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2021)</w:t>
      </w:r>
      <w:r>
        <w:rPr>
          <w:color w:val="231F20"/>
          <w:spacing w:val="-3"/>
          <w:sz w:val="13"/>
        </w:rPr>
        <w:t xml:space="preserve"> </w:t>
      </w:r>
      <w:r>
        <w:rPr>
          <w:color w:val="231F20"/>
          <w:sz w:val="13"/>
        </w:rPr>
        <w:t>[2.37]</w:t>
      </w:r>
      <w:proofErr w:type="gramStart"/>
      <w:r>
        <w:rPr>
          <w:color w:val="231F20"/>
          <w:sz w:val="13"/>
        </w:rPr>
        <w:t>–[</w:t>
      </w:r>
      <w:proofErr w:type="gramEnd"/>
      <w:r>
        <w:rPr>
          <w:color w:val="231F20"/>
          <w:sz w:val="13"/>
        </w:rPr>
        <w:t>2.45].</w:t>
      </w:r>
    </w:p>
    <w:p w14:paraId="7FC7B0C3" w14:textId="77777777" w:rsidR="00894070" w:rsidRDefault="009B7AFD">
      <w:pPr>
        <w:pStyle w:val="ListParagraph"/>
        <w:numPr>
          <w:ilvl w:val="0"/>
          <w:numId w:val="165"/>
        </w:numPr>
        <w:tabs>
          <w:tab w:val="left" w:pos="1801"/>
          <w:tab w:val="left" w:pos="1802"/>
        </w:tabs>
        <w:spacing w:line="213" w:lineRule="auto"/>
        <w:ind w:right="1281"/>
        <w:rPr>
          <w:sz w:val="13"/>
        </w:rPr>
      </w:pPr>
      <w:r>
        <w:rPr>
          <w:color w:val="231F20"/>
          <w:sz w:val="13"/>
        </w:rPr>
        <w:t xml:space="preserve">Suzan van der Aa and Anne </w:t>
      </w:r>
      <w:proofErr w:type="spellStart"/>
      <w:r>
        <w:rPr>
          <w:color w:val="231F20"/>
          <w:spacing w:val="2"/>
          <w:sz w:val="13"/>
        </w:rPr>
        <w:t>Groenen</w:t>
      </w:r>
      <w:proofErr w:type="spellEnd"/>
      <w:r>
        <w:rPr>
          <w:color w:val="231F20"/>
          <w:spacing w:val="2"/>
          <w:sz w:val="13"/>
        </w:rPr>
        <w:t xml:space="preserve">, ‘Identifying </w:t>
      </w:r>
      <w:r>
        <w:rPr>
          <w:color w:val="231F20"/>
          <w:sz w:val="13"/>
        </w:rPr>
        <w:t xml:space="preserve">the </w:t>
      </w:r>
      <w:r>
        <w:rPr>
          <w:color w:val="231F20"/>
          <w:spacing w:val="2"/>
          <w:sz w:val="13"/>
        </w:rPr>
        <w:t xml:space="preserve">Needs </w:t>
      </w:r>
      <w:r>
        <w:rPr>
          <w:color w:val="231F20"/>
          <w:sz w:val="13"/>
        </w:rPr>
        <w:t xml:space="preserve">of Stalking Victims and the Responsiveness of the Criminal Justice System: A Qualitative Study in Belgium and the Netherlands’ (2010) </w:t>
      </w:r>
      <w:r>
        <w:rPr>
          <w:color w:val="231F20"/>
          <w:spacing w:val="2"/>
          <w:sz w:val="13"/>
        </w:rPr>
        <w:t xml:space="preserve">6(1) </w:t>
      </w:r>
      <w:r>
        <w:rPr>
          <w:i/>
          <w:color w:val="231F20"/>
          <w:sz w:val="13"/>
        </w:rPr>
        <w:t xml:space="preserve">Victims &amp; Offenders </w:t>
      </w:r>
      <w:r>
        <w:rPr>
          <w:color w:val="231F20"/>
          <w:sz w:val="13"/>
        </w:rPr>
        <w:t xml:space="preserve">19, 30. See </w:t>
      </w:r>
      <w:r>
        <w:rPr>
          <w:color w:val="231F20"/>
          <w:spacing w:val="2"/>
          <w:sz w:val="13"/>
        </w:rPr>
        <w:t xml:space="preserve">also Submission </w:t>
      </w:r>
      <w:r>
        <w:rPr>
          <w:color w:val="231F20"/>
          <w:sz w:val="13"/>
        </w:rPr>
        <w:t xml:space="preserve">32   (Centre for Forensic </w:t>
      </w:r>
      <w:proofErr w:type="spellStart"/>
      <w:r>
        <w:rPr>
          <w:color w:val="231F20"/>
          <w:sz w:val="13"/>
        </w:rPr>
        <w:t>Behavioural</w:t>
      </w:r>
      <w:proofErr w:type="spellEnd"/>
      <w:r>
        <w:rPr>
          <w:color w:val="231F20"/>
          <w:sz w:val="13"/>
        </w:rPr>
        <w:t xml:space="preserve"> Science); Cleo Brandt and </w:t>
      </w:r>
      <w:r>
        <w:rPr>
          <w:color w:val="231F20"/>
          <w:spacing w:val="2"/>
          <w:sz w:val="13"/>
        </w:rPr>
        <w:t xml:space="preserve">Bianca </w:t>
      </w:r>
      <w:proofErr w:type="spellStart"/>
      <w:r>
        <w:rPr>
          <w:color w:val="231F20"/>
          <w:sz w:val="13"/>
        </w:rPr>
        <w:t>Voerman</w:t>
      </w:r>
      <w:proofErr w:type="spellEnd"/>
      <w:r>
        <w:rPr>
          <w:color w:val="231F20"/>
          <w:sz w:val="13"/>
        </w:rPr>
        <w:t xml:space="preserve">, ‘The Dutch </w:t>
      </w:r>
      <w:r>
        <w:rPr>
          <w:color w:val="231F20"/>
          <w:spacing w:val="2"/>
          <w:sz w:val="13"/>
        </w:rPr>
        <w:t xml:space="preserve">Model: </w:t>
      </w:r>
      <w:r>
        <w:rPr>
          <w:color w:val="231F20"/>
          <w:sz w:val="13"/>
        </w:rPr>
        <w:t xml:space="preserve">A New Approach to Policing Stalking’ in Heng </w:t>
      </w:r>
      <w:proofErr w:type="spellStart"/>
      <w:r>
        <w:rPr>
          <w:color w:val="231F20"/>
          <w:sz w:val="13"/>
        </w:rPr>
        <w:t>Choon</w:t>
      </w:r>
      <w:proofErr w:type="spellEnd"/>
      <w:r>
        <w:rPr>
          <w:color w:val="231F20"/>
          <w:sz w:val="13"/>
        </w:rPr>
        <w:t xml:space="preserve"> (Oliver) Chan and Lorraine </w:t>
      </w:r>
      <w:r>
        <w:rPr>
          <w:color w:val="231F20"/>
          <w:spacing w:val="2"/>
          <w:sz w:val="13"/>
        </w:rPr>
        <w:t xml:space="preserve">Sheridan </w:t>
      </w:r>
      <w:r>
        <w:rPr>
          <w:color w:val="231F20"/>
          <w:sz w:val="13"/>
        </w:rPr>
        <w:t xml:space="preserve">(eds), </w:t>
      </w:r>
      <w:r>
        <w:rPr>
          <w:i/>
          <w:color w:val="231F20"/>
          <w:sz w:val="13"/>
        </w:rPr>
        <w:t>Psycho-Criminological Approach</w:t>
      </w:r>
      <w:r>
        <w:rPr>
          <w:color w:val="231F20"/>
          <w:sz w:val="13"/>
        </w:rPr>
        <w:t xml:space="preserve">es to Stalking Behavior: An International </w:t>
      </w:r>
      <w:r>
        <w:rPr>
          <w:i/>
          <w:color w:val="231F20"/>
          <w:sz w:val="13"/>
        </w:rPr>
        <w:t xml:space="preserve">Perspective </w:t>
      </w:r>
      <w:r>
        <w:rPr>
          <w:color w:val="231F20"/>
          <w:sz w:val="13"/>
        </w:rPr>
        <w:t>(John Wiley and Sons, 2020) 251,</w:t>
      </w:r>
      <w:r>
        <w:rPr>
          <w:color w:val="231F20"/>
          <w:spacing w:val="4"/>
          <w:sz w:val="13"/>
        </w:rPr>
        <w:t xml:space="preserve"> </w:t>
      </w:r>
      <w:r>
        <w:rPr>
          <w:color w:val="231F20"/>
          <w:sz w:val="13"/>
        </w:rPr>
        <w:t>267–8.</w:t>
      </w:r>
    </w:p>
    <w:p w14:paraId="2AD51710" w14:textId="77777777" w:rsidR="00894070" w:rsidRDefault="009B7AFD">
      <w:pPr>
        <w:pStyle w:val="ListParagraph"/>
        <w:numPr>
          <w:ilvl w:val="0"/>
          <w:numId w:val="165"/>
        </w:numPr>
        <w:tabs>
          <w:tab w:val="left" w:pos="1801"/>
          <w:tab w:val="left" w:pos="1802"/>
        </w:tabs>
        <w:spacing w:line="213" w:lineRule="auto"/>
        <w:ind w:right="1401"/>
        <w:rPr>
          <w:sz w:val="13"/>
        </w:rPr>
      </w:pPr>
      <w:r>
        <w:rPr>
          <w:color w:val="231F20"/>
          <w:spacing w:val="2"/>
          <w:sz w:val="13"/>
        </w:rPr>
        <w:t xml:space="preserve">Submissions </w:t>
      </w:r>
      <w:r>
        <w:rPr>
          <w:color w:val="231F20"/>
          <w:sz w:val="13"/>
        </w:rPr>
        <w:t xml:space="preserve">32 (Centre for Forensic </w:t>
      </w:r>
      <w:proofErr w:type="spellStart"/>
      <w:r>
        <w:rPr>
          <w:color w:val="231F20"/>
          <w:sz w:val="13"/>
        </w:rPr>
        <w:t>Behavioural</w:t>
      </w:r>
      <w:proofErr w:type="spellEnd"/>
      <w:r>
        <w:rPr>
          <w:color w:val="231F20"/>
          <w:sz w:val="13"/>
        </w:rPr>
        <w:t xml:space="preserve"> Science), 56 </w:t>
      </w:r>
      <w:r>
        <w:rPr>
          <w:color w:val="231F20"/>
          <w:spacing w:val="2"/>
          <w:sz w:val="13"/>
        </w:rPr>
        <w:t xml:space="preserve">(Derryn </w:t>
      </w:r>
      <w:proofErr w:type="spellStart"/>
      <w:proofErr w:type="gramStart"/>
      <w:r>
        <w:rPr>
          <w:color w:val="231F20"/>
          <w:sz w:val="13"/>
        </w:rPr>
        <w:t>Hinch’s</w:t>
      </w:r>
      <w:proofErr w:type="spellEnd"/>
      <w:r>
        <w:rPr>
          <w:color w:val="231F20"/>
          <w:sz w:val="13"/>
        </w:rPr>
        <w:t xml:space="preserve">  Justice</w:t>
      </w:r>
      <w:proofErr w:type="gramEnd"/>
      <w:r>
        <w:rPr>
          <w:color w:val="231F20"/>
          <w:sz w:val="13"/>
        </w:rPr>
        <w:t xml:space="preserve">  Party);  Consultation  19  (Community legal sector roundtable); Tim </w:t>
      </w:r>
      <w:proofErr w:type="spellStart"/>
      <w:r>
        <w:rPr>
          <w:color w:val="231F20"/>
          <w:sz w:val="13"/>
        </w:rPr>
        <w:t>Boehnlein</w:t>
      </w:r>
      <w:proofErr w:type="spellEnd"/>
      <w:r>
        <w:rPr>
          <w:color w:val="231F20"/>
          <w:sz w:val="13"/>
        </w:rPr>
        <w:t xml:space="preserve"> et </w:t>
      </w:r>
      <w:r>
        <w:rPr>
          <w:color w:val="231F20"/>
          <w:spacing w:val="2"/>
          <w:sz w:val="13"/>
        </w:rPr>
        <w:t xml:space="preserve">al, </w:t>
      </w:r>
      <w:r>
        <w:rPr>
          <w:color w:val="231F20"/>
          <w:sz w:val="13"/>
        </w:rPr>
        <w:t xml:space="preserve">‘Responding to Stalking Victims: Perceptions, </w:t>
      </w:r>
      <w:r>
        <w:rPr>
          <w:color w:val="231F20"/>
          <w:spacing w:val="2"/>
          <w:sz w:val="13"/>
        </w:rPr>
        <w:t xml:space="preserve">Barriers, </w:t>
      </w:r>
      <w:r>
        <w:rPr>
          <w:color w:val="231F20"/>
          <w:sz w:val="13"/>
        </w:rPr>
        <w:t xml:space="preserve">and Directions for Future Research’ (2020) 35(7) </w:t>
      </w:r>
      <w:r>
        <w:rPr>
          <w:i/>
          <w:color w:val="231F20"/>
          <w:sz w:val="13"/>
        </w:rPr>
        <w:t xml:space="preserve">Journal of Family Violence </w:t>
      </w:r>
      <w:r>
        <w:rPr>
          <w:color w:val="231F20"/>
          <w:spacing w:val="2"/>
          <w:sz w:val="13"/>
        </w:rPr>
        <w:t xml:space="preserve">755, </w:t>
      </w:r>
      <w:r>
        <w:rPr>
          <w:color w:val="231F20"/>
          <w:sz w:val="13"/>
        </w:rPr>
        <w:t xml:space="preserve">755; </w:t>
      </w:r>
      <w:r>
        <w:rPr>
          <w:color w:val="231F20"/>
          <w:spacing w:val="2"/>
          <w:sz w:val="13"/>
        </w:rPr>
        <w:t xml:space="preserve">Suzy </w:t>
      </w:r>
      <w:r>
        <w:rPr>
          <w:color w:val="231F20"/>
          <w:sz w:val="13"/>
        </w:rPr>
        <w:t xml:space="preserve">Lamplugh Trust, </w:t>
      </w:r>
      <w:r>
        <w:rPr>
          <w:i/>
          <w:color w:val="231F20"/>
          <w:sz w:val="13"/>
        </w:rPr>
        <w:t xml:space="preserve">Unmasking Stalking: A Changing Landscape </w:t>
      </w:r>
      <w:r>
        <w:rPr>
          <w:color w:val="231F20"/>
          <w:spacing w:val="2"/>
          <w:sz w:val="13"/>
        </w:rPr>
        <w:t xml:space="preserve">(Report, </w:t>
      </w:r>
      <w:r>
        <w:rPr>
          <w:color w:val="231F20"/>
          <w:sz w:val="13"/>
        </w:rPr>
        <w:t>April 2021)</w:t>
      </w:r>
      <w:r>
        <w:rPr>
          <w:color w:val="231F20"/>
          <w:spacing w:val="-2"/>
          <w:sz w:val="13"/>
        </w:rPr>
        <w:t xml:space="preserve"> </w:t>
      </w:r>
      <w:r>
        <w:rPr>
          <w:color w:val="231F20"/>
          <w:spacing w:val="2"/>
          <w:sz w:val="13"/>
        </w:rPr>
        <w:t>9.</w:t>
      </w:r>
    </w:p>
    <w:p w14:paraId="4BE27BC8" w14:textId="77777777" w:rsidR="00894070" w:rsidRDefault="009B7AFD">
      <w:pPr>
        <w:pStyle w:val="ListParagraph"/>
        <w:numPr>
          <w:ilvl w:val="0"/>
          <w:numId w:val="165"/>
        </w:numPr>
        <w:tabs>
          <w:tab w:val="left" w:pos="1801"/>
          <w:tab w:val="left" w:pos="1802"/>
        </w:tabs>
        <w:spacing w:line="213" w:lineRule="auto"/>
        <w:ind w:right="1693"/>
        <w:rPr>
          <w:sz w:val="13"/>
        </w:rPr>
      </w:pPr>
      <w:r>
        <w:rPr>
          <w:color w:val="231F20"/>
          <w:sz w:val="13"/>
        </w:rPr>
        <w:t xml:space="preserve">See, </w:t>
      </w:r>
      <w:proofErr w:type="spellStart"/>
      <w:r>
        <w:rPr>
          <w:color w:val="231F20"/>
          <w:sz w:val="13"/>
        </w:rPr>
        <w:t>eg</w:t>
      </w:r>
      <w:proofErr w:type="spellEnd"/>
      <w:r>
        <w:rPr>
          <w:color w:val="231F20"/>
          <w:sz w:val="13"/>
        </w:rPr>
        <w:t xml:space="preserve">, </w:t>
      </w:r>
      <w:r>
        <w:rPr>
          <w:color w:val="231F20"/>
          <w:spacing w:val="2"/>
          <w:sz w:val="13"/>
        </w:rPr>
        <w:t xml:space="preserve">Submission </w:t>
      </w:r>
      <w:r>
        <w:rPr>
          <w:color w:val="231F20"/>
          <w:sz w:val="13"/>
        </w:rPr>
        <w:t xml:space="preserve">32 (Centre for Forensic </w:t>
      </w:r>
      <w:proofErr w:type="spellStart"/>
      <w:r>
        <w:rPr>
          <w:color w:val="231F20"/>
          <w:sz w:val="13"/>
        </w:rPr>
        <w:t>Behavioural</w:t>
      </w:r>
      <w:proofErr w:type="spellEnd"/>
      <w:r>
        <w:rPr>
          <w:color w:val="231F20"/>
          <w:sz w:val="13"/>
        </w:rPr>
        <w:t xml:space="preserve"> Science); </w:t>
      </w:r>
      <w:r>
        <w:rPr>
          <w:color w:val="231F20"/>
          <w:spacing w:val="2"/>
          <w:sz w:val="13"/>
        </w:rPr>
        <w:t xml:space="preserve">Suzy </w:t>
      </w:r>
      <w:r>
        <w:rPr>
          <w:color w:val="231F20"/>
          <w:sz w:val="13"/>
        </w:rPr>
        <w:t xml:space="preserve">Lamplugh Trust, </w:t>
      </w:r>
      <w:r>
        <w:rPr>
          <w:i/>
          <w:color w:val="231F20"/>
          <w:sz w:val="13"/>
        </w:rPr>
        <w:t xml:space="preserve">Unmasking Stalking: A Changing Landscape </w:t>
      </w:r>
      <w:r>
        <w:rPr>
          <w:color w:val="231F20"/>
          <w:spacing w:val="2"/>
          <w:sz w:val="13"/>
        </w:rPr>
        <w:t xml:space="preserve">(Report, </w:t>
      </w:r>
      <w:r>
        <w:rPr>
          <w:color w:val="231F20"/>
          <w:sz w:val="13"/>
        </w:rPr>
        <w:t>April 2021)</w:t>
      </w:r>
      <w:r>
        <w:rPr>
          <w:color w:val="231F20"/>
          <w:spacing w:val="-2"/>
          <w:sz w:val="13"/>
        </w:rPr>
        <w:t xml:space="preserve"> </w:t>
      </w:r>
      <w:r>
        <w:rPr>
          <w:color w:val="231F20"/>
          <w:spacing w:val="2"/>
          <w:sz w:val="13"/>
        </w:rPr>
        <w:t>9.</w:t>
      </w:r>
    </w:p>
    <w:p w14:paraId="4AB37F9F" w14:textId="77777777" w:rsidR="00894070" w:rsidRDefault="009B7AFD">
      <w:pPr>
        <w:pStyle w:val="ListParagraph"/>
        <w:numPr>
          <w:ilvl w:val="0"/>
          <w:numId w:val="165"/>
        </w:numPr>
        <w:tabs>
          <w:tab w:val="left" w:pos="1801"/>
          <w:tab w:val="left" w:pos="1802"/>
        </w:tabs>
        <w:spacing w:line="213" w:lineRule="auto"/>
        <w:ind w:right="1196"/>
        <w:rPr>
          <w:sz w:val="13"/>
        </w:rPr>
      </w:pPr>
      <w:r>
        <w:rPr>
          <w:color w:val="231F20"/>
          <w:sz w:val="13"/>
        </w:rPr>
        <w:t xml:space="preserve">Bronwyn McKeon, </w:t>
      </w:r>
      <w:r>
        <w:rPr>
          <w:color w:val="231F20"/>
          <w:spacing w:val="-3"/>
          <w:sz w:val="13"/>
        </w:rPr>
        <w:t xml:space="preserve">Troy </w:t>
      </w:r>
      <w:r>
        <w:rPr>
          <w:color w:val="231F20"/>
          <w:sz w:val="13"/>
        </w:rPr>
        <w:t xml:space="preserve">E </w:t>
      </w:r>
      <w:proofErr w:type="gramStart"/>
      <w:r>
        <w:rPr>
          <w:color w:val="231F20"/>
          <w:sz w:val="13"/>
        </w:rPr>
        <w:t>McEwan</w:t>
      </w:r>
      <w:proofErr w:type="gramEnd"/>
      <w:r>
        <w:rPr>
          <w:color w:val="231F20"/>
          <w:sz w:val="13"/>
        </w:rPr>
        <w:t xml:space="preserve"> and Stefan </w:t>
      </w:r>
      <w:proofErr w:type="spellStart"/>
      <w:r>
        <w:rPr>
          <w:color w:val="231F20"/>
          <w:spacing w:val="2"/>
          <w:sz w:val="13"/>
        </w:rPr>
        <w:t>Luebbers</w:t>
      </w:r>
      <w:proofErr w:type="spellEnd"/>
      <w:r>
        <w:rPr>
          <w:color w:val="231F20"/>
          <w:spacing w:val="2"/>
          <w:sz w:val="13"/>
        </w:rPr>
        <w:t xml:space="preserve">, ‘“It’s </w:t>
      </w:r>
      <w:r>
        <w:rPr>
          <w:color w:val="231F20"/>
          <w:sz w:val="13"/>
        </w:rPr>
        <w:t xml:space="preserve">Not Really Stalking If You Know the Person”: Measuring Community Attitudes That Normalize, </w:t>
      </w:r>
      <w:r>
        <w:rPr>
          <w:color w:val="231F20"/>
          <w:spacing w:val="2"/>
          <w:sz w:val="13"/>
        </w:rPr>
        <w:t xml:space="preserve">Justify </w:t>
      </w:r>
      <w:r>
        <w:rPr>
          <w:color w:val="231F20"/>
          <w:sz w:val="13"/>
        </w:rPr>
        <w:t xml:space="preserve">and </w:t>
      </w:r>
      <w:proofErr w:type="spellStart"/>
      <w:r>
        <w:rPr>
          <w:color w:val="231F20"/>
          <w:sz w:val="13"/>
        </w:rPr>
        <w:t>Minimise</w:t>
      </w:r>
      <w:proofErr w:type="spellEnd"/>
      <w:r>
        <w:rPr>
          <w:color w:val="231F20"/>
          <w:sz w:val="13"/>
        </w:rPr>
        <w:t xml:space="preserve"> Stalking’ (2015) 22(2) </w:t>
      </w:r>
      <w:r>
        <w:rPr>
          <w:i/>
          <w:color w:val="231F20"/>
          <w:sz w:val="13"/>
        </w:rPr>
        <w:t xml:space="preserve">Psychiatry, Psychology and Law </w:t>
      </w:r>
      <w:r>
        <w:rPr>
          <w:color w:val="231F20"/>
          <w:sz w:val="13"/>
        </w:rPr>
        <w:t>291,</w:t>
      </w:r>
      <w:r>
        <w:rPr>
          <w:color w:val="231F20"/>
          <w:spacing w:val="2"/>
          <w:sz w:val="13"/>
        </w:rPr>
        <w:t xml:space="preserve"> </w:t>
      </w:r>
      <w:r>
        <w:rPr>
          <w:color w:val="231F20"/>
          <w:sz w:val="13"/>
        </w:rPr>
        <w:t>300.</w:t>
      </w:r>
    </w:p>
    <w:p w14:paraId="6333DA0A" w14:textId="77777777" w:rsidR="00894070" w:rsidRDefault="009B7AFD">
      <w:pPr>
        <w:pStyle w:val="ListParagraph"/>
        <w:numPr>
          <w:ilvl w:val="0"/>
          <w:numId w:val="165"/>
        </w:numPr>
        <w:tabs>
          <w:tab w:val="left" w:pos="1800"/>
          <w:tab w:val="left" w:pos="1802"/>
        </w:tabs>
        <w:spacing w:line="152" w:lineRule="exact"/>
        <w:rPr>
          <w:sz w:val="13"/>
        </w:rPr>
      </w:pPr>
      <w:r>
        <w:rPr>
          <w:color w:val="231F20"/>
          <w:spacing w:val="2"/>
          <w:sz w:val="13"/>
        </w:rPr>
        <w:t xml:space="preserve">Submission </w:t>
      </w:r>
      <w:r>
        <w:rPr>
          <w:color w:val="231F20"/>
          <w:sz w:val="13"/>
        </w:rPr>
        <w:t xml:space="preserve">51 (Matthew Raj). See </w:t>
      </w:r>
      <w:r>
        <w:rPr>
          <w:color w:val="231F20"/>
          <w:spacing w:val="2"/>
          <w:sz w:val="13"/>
        </w:rPr>
        <w:t xml:space="preserve">also </w:t>
      </w:r>
      <w:r>
        <w:rPr>
          <w:color w:val="231F20"/>
          <w:sz w:val="13"/>
        </w:rPr>
        <w:t xml:space="preserve">Consultation 4 (Sexual </w:t>
      </w:r>
      <w:r>
        <w:rPr>
          <w:color w:val="231F20"/>
          <w:spacing w:val="2"/>
          <w:sz w:val="13"/>
        </w:rPr>
        <w:t>Assault Services</w:t>
      </w:r>
      <w:r>
        <w:rPr>
          <w:color w:val="231F20"/>
          <w:spacing w:val="1"/>
          <w:sz w:val="13"/>
        </w:rPr>
        <w:t xml:space="preserve"> </w:t>
      </w:r>
      <w:r>
        <w:rPr>
          <w:color w:val="231F20"/>
          <w:sz w:val="13"/>
        </w:rPr>
        <w:t>Network).</w:t>
      </w:r>
    </w:p>
    <w:p w14:paraId="5740A552" w14:textId="77777777" w:rsidR="00894070" w:rsidRDefault="009B7AFD">
      <w:pPr>
        <w:pStyle w:val="ListParagraph"/>
        <w:numPr>
          <w:ilvl w:val="0"/>
          <w:numId w:val="165"/>
        </w:numPr>
        <w:tabs>
          <w:tab w:val="left" w:pos="1801"/>
          <w:tab w:val="left" w:pos="1802"/>
        </w:tabs>
        <w:spacing w:line="160" w:lineRule="exact"/>
        <w:rPr>
          <w:sz w:val="13"/>
        </w:rPr>
      </w:pPr>
      <w:r>
        <w:rPr>
          <w:color w:val="231F20"/>
          <w:sz w:val="13"/>
        </w:rPr>
        <w:t xml:space="preserve">Consultation 4 (Sexual </w:t>
      </w:r>
      <w:r>
        <w:rPr>
          <w:color w:val="231F20"/>
          <w:spacing w:val="2"/>
          <w:sz w:val="13"/>
        </w:rPr>
        <w:t>Assault Services</w:t>
      </w:r>
      <w:r>
        <w:rPr>
          <w:color w:val="231F20"/>
          <w:spacing w:val="-1"/>
          <w:sz w:val="13"/>
        </w:rPr>
        <w:t xml:space="preserve"> </w:t>
      </w:r>
      <w:r>
        <w:rPr>
          <w:color w:val="231F20"/>
          <w:sz w:val="13"/>
        </w:rPr>
        <w:t>Network).</w:t>
      </w:r>
    </w:p>
    <w:p w14:paraId="66132602" w14:textId="77777777" w:rsidR="00894070" w:rsidRDefault="009B7AFD">
      <w:pPr>
        <w:pStyle w:val="ListParagraph"/>
        <w:numPr>
          <w:ilvl w:val="0"/>
          <w:numId w:val="165"/>
        </w:numPr>
        <w:tabs>
          <w:tab w:val="left" w:pos="1801"/>
          <w:tab w:val="left" w:pos="1802"/>
        </w:tabs>
        <w:spacing w:line="160" w:lineRule="exact"/>
        <w:rPr>
          <w:sz w:val="13"/>
        </w:rPr>
      </w:pPr>
      <w:r>
        <w:rPr>
          <w:color w:val="231F20"/>
          <w:spacing w:val="2"/>
          <w:sz w:val="13"/>
        </w:rPr>
        <w:t xml:space="preserve">Submission </w:t>
      </w:r>
      <w:r>
        <w:rPr>
          <w:color w:val="231F20"/>
          <w:sz w:val="13"/>
        </w:rPr>
        <w:t xml:space="preserve">32 (Centre for Forensic </w:t>
      </w:r>
      <w:proofErr w:type="spellStart"/>
      <w:r>
        <w:rPr>
          <w:color w:val="231F20"/>
          <w:sz w:val="13"/>
        </w:rPr>
        <w:t>Behavioural</w:t>
      </w:r>
      <w:proofErr w:type="spellEnd"/>
      <w:r>
        <w:rPr>
          <w:color w:val="231F20"/>
          <w:sz w:val="13"/>
        </w:rPr>
        <w:t xml:space="preserve"> Science).</w:t>
      </w:r>
    </w:p>
    <w:p w14:paraId="07A61829" w14:textId="77777777" w:rsidR="00894070" w:rsidRDefault="009B7AFD">
      <w:pPr>
        <w:pStyle w:val="ListParagraph"/>
        <w:numPr>
          <w:ilvl w:val="0"/>
          <w:numId w:val="165"/>
        </w:numPr>
        <w:tabs>
          <w:tab w:val="left" w:pos="1800"/>
          <w:tab w:val="left" w:pos="1802"/>
        </w:tabs>
        <w:spacing w:line="213" w:lineRule="auto"/>
        <w:ind w:right="1189"/>
        <w:rPr>
          <w:sz w:val="13"/>
        </w:rPr>
      </w:pPr>
      <w:r>
        <w:rPr>
          <w:color w:val="231F20"/>
          <w:sz w:val="13"/>
        </w:rPr>
        <w:t xml:space="preserve">A survey in England and Wales found that among respondents who reported </w:t>
      </w:r>
      <w:r>
        <w:rPr>
          <w:color w:val="231F20"/>
          <w:spacing w:val="2"/>
          <w:sz w:val="13"/>
        </w:rPr>
        <w:t xml:space="preserve">stalking </w:t>
      </w:r>
      <w:proofErr w:type="spellStart"/>
      <w:r>
        <w:rPr>
          <w:color w:val="231F20"/>
          <w:sz w:val="13"/>
        </w:rPr>
        <w:t>behaviour</w:t>
      </w:r>
      <w:proofErr w:type="spellEnd"/>
      <w:r>
        <w:rPr>
          <w:color w:val="231F20"/>
          <w:sz w:val="13"/>
        </w:rPr>
        <w:t xml:space="preserve"> to police, most (60%) did not    have any civil or criminal law protections put in place following the </w:t>
      </w:r>
      <w:r>
        <w:rPr>
          <w:color w:val="231F20"/>
          <w:spacing w:val="2"/>
          <w:sz w:val="13"/>
        </w:rPr>
        <w:t xml:space="preserve">report: Suzy </w:t>
      </w:r>
      <w:r>
        <w:rPr>
          <w:color w:val="231F20"/>
          <w:sz w:val="13"/>
        </w:rPr>
        <w:t xml:space="preserve">Lamplugh Trust, </w:t>
      </w:r>
      <w:r>
        <w:rPr>
          <w:i/>
          <w:color w:val="231F20"/>
          <w:sz w:val="13"/>
        </w:rPr>
        <w:t xml:space="preserve">Unmasking Stalking: A Changing Landscape </w:t>
      </w:r>
      <w:r>
        <w:rPr>
          <w:color w:val="231F20"/>
          <w:spacing w:val="2"/>
          <w:sz w:val="13"/>
        </w:rPr>
        <w:t xml:space="preserve">(Report, </w:t>
      </w:r>
      <w:r>
        <w:rPr>
          <w:color w:val="231F20"/>
          <w:sz w:val="13"/>
        </w:rPr>
        <w:t>April 2021)</w:t>
      </w:r>
      <w:r>
        <w:rPr>
          <w:color w:val="231F20"/>
          <w:spacing w:val="-2"/>
          <w:sz w:val="13"/>
        </w:rPr>
        <w:t xml:space="preserve"> </w:t>
      </w:r>
      <w:r>
        <w:rPr>
          <w:color w:val="231F20"/>
          <w:spacing w:val="2"/>
          <w:sz w:val="13"/>
        </w:rPr>
        <w:t>11.</w:t>
      </w:r>
    </w:p>
    <w:p w14:paraId="09F992EC" w14:textId="77777777" w:rsidR="00894070" w:rsidRDefault="009F6793">
      <w:pPr>
        <w:pStyle w:val="ListParagraph"/>
        <w:numPr>
          <w:ilvl w:val="0"/>
          <w:numId w:val="165"/>
        </w:numPr>
        <w:tabs>
          <w:tab w:val="left" w:pos="1800"/>
          <w:tab w:val="left" w:pos="1802"/>
        </w:tabs>
        <w:spacing w:line="213" w:lineRule="auto"/>
        <w:ind w:right="1384"/>
        <w:rPr>
          <w:sz w:val="13"/>
        </w:rPr>
      </w:pPr>
      <w:r>
        <w:pict w14:anchorId="23D9C6DA">
          <v:shape id="_x0000_s1631" type="#_x0000_t202" style="position:absolute;left:0;text-align:left;margin-left:36pt;margin-top:3.4pt;width:14pt;height:14.1pt;z-index:251528192;mso-position-horizontal-relative:page" filled="f" stroked="f">
            <v:textbox inset="0,0,0,0">
              <w:txbxContent>
                <w:p w14:paraId="7301FBF8" w14:textId="77777777" w:rsidR="00894070" w:rsidRDefault="009B7AFD">
                  <w:pPr>
                    <w:spacing w:line="282" w:lineRule="exact"/>
                    <w:rPr>
                      <w:b/>
                      <w:sz w:val="24"/>
                    </w:rPr>
                  </w:pPr>
                  <w:r>
                    <w:rPr>
                      <w:b/>
                      <w:color w:val="EA5B50"/>
                      <w:spacing w:val="-1"/>
                      <w:sz w:val="24"/>
                    </w:rPr>
                    <w:t>28</w:t>
                  </w:r>
                </w:p>
              </w:txbxContent>
            </v:textbox>
            <w10:wrap anchorx="page"/>
          </v:shape>
        </w:pict>
      </w:r>
      <w:r w:rsidR="009B7AFD">
        <w:rPr>
          <w:color w:val="231F20"/>
          <w:spacing w:val="2"/>
          <w:sz w:val="13"/>
        </w:rPr>
        <w:t xml:space="preserve">Submission </w:t>
      </w:r>
      <w:r w:rsidR="009B7AFD">
        <w:rPr>
          <w:color w:val="231F20"/>
          <w:sz w:val="13"/>
        </w:rPr>
        <w:t xml:space="preserve">32 (Centre for Forensic </w:t>
      </w:r>
      <w:proofErr w:type="spellStart"/>
      <w:r w:rsidR="009B7AFD">
        <w:rPr>
          <w:color w:val="231F20"/>
          <w:sz w:val="13"/>
        </w:rPr>
        <w:t>Behavioural</w:t>
      </w:r>
      <w:proofErr w:type="spellEnd"/>
      <w:r w:rsidR="009B7AFD">
        <w:rPr>
          <w:color w:val="231F20"/>
          <w:sz w:val="13"/>
        </w:rPr>
        <w:t xml:space="preserve"> Science); Harald Dressing et </w:t>
      </w:r>
      <w:r w:rsidR="009B7AFD">
        <w:rPr>
          <w:color w:val="231F20"/>
          <w:spacing w:val="2"/>
          <w:sz w:val="13"/>
        </w:rPr>
        <w:t xml:space="preserve">al, </w:t>
      </w:r>
      <w:r w:rsidR="009B7AFD">
        <w:rPr>
          <w:color w:val="231F20"/>
          <w:sz w:val="13"/>
        </w:rPr>
        <w:t xml:space="preserve">‘The Prevalence and Effects of Stalking’ (2020) 117(20) </w:t>
      </w:r>
      <w:proofErr w:type="spellStart"/>
      <w:r w:rsidR="009B7AFD">
        <w:rPr>
          <w:i/>
          <w:color w:val="231F20"/>
          <w:sz w:val="13"/>
        </w:rPr>
        <w:t>Deutsches</w:t>
      </w:r>
      <w:proofErr w:type="spellEnd"/>
      <w:r w:rsidR="009B7AFD">
        <w:rPr>
          <w:i/>
          <w:color w:val="231F20"/>
          <w:sz w:val="13"/>
        </w:rPr>
        <w:t xml:space="preserve"> </w:t>
      </w:r>
      <w:proofErr w:type="spellStart"/>
      <w:r w:rsidR="009B7AFD">
        <w:rPr>
          <w:i/>
          <w:color w:val="231F20"/>
          <w:sz w:val="13"/>
        </w:rPr>
        <w:t>Ärzteblatt</w:t>
      </w:r>
      <w:proofErr w:type="spellEnd"/>
      <w:r w:rsidR="009B7AFD">
        <w:rPr>
          <w:i/>
          <w:color w:val="231F20"/>
          <w:sz w:val="13"/>
        </w:rPr>
        <w:t xml:space="preserve"> International </w:t>
      </w:r>
      <w:r w:rsidR="009B7AFD">
        <w:rPr>
          <w:color w:val="231F20"/>
          <w:sz w:val="13"/>
        </w:rPr>
        <w:t>347,</w:t>
      </w:r>
      <w:r w:rsidR="009B7AFD">
        <w:rPr>
          <w:color w:val="231F20"/>
          <w:spacing w:val="-1"/>
          <w:sz w:val="13"/>
        </w:rPr>
        <w:t xml:space="preserve"> </w:t>
      </w:r>
      <w:r w:rsidR="009B7AFD">
        <w:rPr>
          <w:color w:val="231F20"/>
          <w:spacing w:val="2"/>
          <w:sz w:val="13"/>
        </w:rPr>
        <w:t>352.</w:t>
      </w:r>
    </w:p>
    <w:p w14:paraId="468619C9" w14:textId="77777777" w:rsidR="00894070" w:rsidRDefault="00894070">
      <w:pPr>
        <w:spacing w:line="213" w:lineRule="auto"/>
        <w:rPr>
          <w:sz w:val="13"/>
        </w:rPr>
        <w:sectPr w:rsidR="00894070">
          <w:pgSz w:w="11910" w:h="16840"/>
          <w:pgMar w:top="860" w:right="420" w:bottom="280" w:left="580" w:header="567" w:footer="0" w:gutter="0"/>
          <w:cols w:space="720"/>
        </w:sectPr>
      </w:pPr>
    </w:p>
    <w:p w14:paraId="21981AC0" w14:textId="77777777" w:rsidR="00894070" w:rsidRDefault="00894070">
      <w:pPr>
        <w:pStyle w:val="BodyText"/>
      </w:pPr>
    </w:p>
    <w:p w14:paraId="6346EC59" w14:textId="77777777" w:rsidR="00894070" w:rsidRDefault="00894070">
      <w:pPr>
        <w:pStyle w:val="BodyText"/>
      </w:pPr>
    </w:p>
    <w:p w14:paraId="32E5FFCE" w14:textId="77777777" w:rsidR="00894070" w:rsidRDefault="00894070">
      <w:pPr>
        <w:pStyle w:val="BodyText"/>
      </w:pPr>
    </w:p>
    <w:p w14:paraId="3C9343C6" w14:textId="77777777" w:rsidR="00894070" w:rsidRDefault="00894070">
      <w:pPr>
        <w:pStyle w:val="BodyText"/>
        <w:spacing w:before="10"/>
        <w:rPr>
          <w:sz w:val="23"/>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721"/>
        <w:gridCol w:w="5200"/>
      </w:tblGrid>
      <w:tr w:rsidR="00894070" w14:paraId="342C3D73" w14:textId="77777777">
        <w:trPr>
          <w:trHeight w:val="518"/>
        </w:trPr>
        <w:tc>
          <w:tcPr>
            <w:tcW w:w="2721" w:type="dxa"/>
            <w:shd w:val="clear" w:color="auto" w:fill="F4BCAE"/>
          </w:tcPr>
          <w:p w14:paraId="789BD6C5" w14:textId="77777777" w:rsidR="00894070" w:rsidRDefault="009B7AFD">
            <w:pPr>
              <w:pStyle w:val="TableParagraph"/>
              <w:spacing w:before="122"/>
              <w:rPr>
                <w:b/>
                <w:sz w:val="20"/>
              </w:rPr>
            </w:pPr>
            <w:r>
              <w:rPr>
                <w:b/>
                <w:color w:val="231F20"/>
                <w:sz w:val="20"/>
              </w:rPr>
              <w:t>Barrier</w:t>
            </w:r>
          </w:p>
        </w:tc>
        <w:tc>
          <w:tcPr>
            <w:tcW w:w="5200" w:type="dxa"/>
            <w:shd w:val="clear" w:color="auto" w:fill="F4BCAE"/>
          </w:tcPr>
          <w:p w14:paraId="0D8B4D96" w14:textId="77777777" w:rsidR="00894070" w:rsidRDefault="009B7AFD">
            <w:pPr>
              <w:pStyle w:val="TableParagraph"/>
              <w:spacing w:before="122"/>
              <w:rPr>
                <w:b/>
                <w:sz w:val="20"/>
              </w:rPr>
            </w:pPr>
            <w:r>
              <w:rPr>
                <w:b/>
                <w:color w:val="231F20"/>
                <w:sz w:val="20"/>
              </w:rPr>
              <w:t>Discussion and examples</w:t>
            </w:r>
          </w:p>
        </w:tc>
      </w:tr>
      <w:tr w:rsidR="00894070" w14:paraId="7551BB45" w14:textId="77777777">
        <w:trPr>
          <w:trHeight w:val="1124"/>
        </w:trPr>
        <w:tc>
          <w:tcPr>
            <w:tcW w:w="2721" w:type="dxa"/>
          </w:tcPr>
          <w:p w14:paraId="203E22F8" w14:textId="77777777" w:rsidR="00894070" w:rsidRDefault="009B7AFD">
            <w:pPr>
              <w:pStyle w:val="TableParagraph"/>
              <w:spacing w:before="98" w:line="206" w:lineRule="auto"/>
              <w:rPr>
                <w:sz w:val="20"/>
              </w:rPr>
            </w:pPr>
            <w:r>
              <w:rPr>
                <w:color w:val="231F20"/>
                <w:sz w:val="20"/>
              </w:rPr>
              <w:t>Police often do not file a charge for the criminal offence of stalking.</w:t>
            </w:r>
          </w:p>
        </w:tc>
        <w:tc>
          <w:tcPr>
            <w:tcW w:w="5200" w:type="dxa"/>
          </w:tcPr>
          <w:p w14:paraId="0AD054CC" w14:textId="77777777" w:rsidR="00894070" w:rsidRDefault="009B7AFD">
            <w:pPr>
              <w:pStyle w:val="TableParagraph"/>
              <w:spacing w:before="98" w:line="206" w:lineRule="auto"/>
              <w:rPr>
                <w:sz w:val="11"/>
              </w:rPr>
            </w:pPr>
            <w:r>
              <w:rPr>
                <w:color w:val="231F20"/>
                <w:sz w:val="20"/>
              </w:rPr>
              <w:t>Police appear to prefer to use PSIOs to respond to stalking, instead of charging the person with the stalking offence. They will then bring charges if a PSIO is breached.</w:t>
            </w:r>
            <w:r>
              <w:rPr>
                <w:color w:val="231F20"/>
                <w:position w:val="7"/>
                <w:sz w:val="11"/>
              </w:rPr>
              <w:t>152</w:t>
            </w:r>
          </w:p>
        </w:tc>
      </w:tr>
    </w:tbl>
    <w:p w14:paraId="5B8A49DD" w14:textId="77777777" w:rsidR="00894070" w:rsidRDefault="00894070">
      <w:pPr>
        <w:pStyle w:val="BodyText"/>
        <w:spacing w:before="5"/>
        <w:rPr>
          <w:sz w:val="25"/>
        </w:rPr>
      </w:pPr>
    </w:p>
    <w:p w14:paraId="6340909B" w14:textId="77777777" w:rsidR="00894070" w:rsidRDefault="009B7AFD">
      <w:pPr>
        <w:pStyle w:val="ListParagraph"/>
        <w:numPr>
          <w:ilvl w:val="1"/>
          <w:numId w:val="177"/>
        </w:numPr>
        <w:tabs>
          <w:tab w:val="left" w:pos="1801"/>
          <w:tab w:val="left" w:pos="1802"/>
        </w:tabs>
        <w:spacing w:before="89" w:line="206" w:lineRule="auto"/>
        <w:ind w:right="1225"/>
        <w:rPr>
          <w:sz w:val="20"/>
        </w:rPr>
      </w:pPr>
      <w:r>
        <w:rPr>
          <w:color w:val="231F20"/>
          <w:sz w:val="20"/>
        </w:rPr>
        <w:t xml:space="preserve">In the </w:t>
      </w:r>
      <w:r>
        <w:rPr>
          <w:color w:val="231F20"/>
          <w:spacing w:val="-3"/>
          <w:sz w:val="20"/>
        </w:rPr>
        <w:t xml:space="preserve">following </w:t>
      </w:r>
      <w:r>
        <w:rPr>
          <w:color w:val="231F20"/>
          <w:sz w:val="20"/>
        </w:rPr>
        <w:t xml:space="preserve">chapters, </w:t>
      </w:r>
      <w:r>
        <w:rPr>
          <w:color w:val="231F20"/>
          <w:spacing w:val="-3"/>
          <w:sz w:val="20"/>
        </w:rPr>
        <w:t xml:space="preserve">we </w:t>
      </w:r>
      <w:r>
        <w:rPr>
          <w:color w:val="231F20"/>
          <w:sz w:val="20"/>
        </w:rPr>
        <w:t xml:space="preserve">make recommendations designed to </w:t>
      </w:r>
      <w:r>
        <w:rPr>
          <w:color w:val="231F20"/>
          <w:spacing w:val="-3"/>
          <w:sz w:val="20"/>
        </w:rPr>
        <w:t xml:space="preserve">overcome </w:t>
      </w:r>
      <w:r>
        <w:rPr>
          <w:color w:val="231F20"/>
          <w:sz w:val="20"/>
        </w:rPr>
        <w:t>these barriers.</w:t>
      </w:r>
      <w:r>
        <w:rPr>
          <w:color w:val="231F20"/>
          <w:spacing w:val="-10"/>
          <w:sz w:val="20"/>
        </w:rPr>
        <w:t xml:space="preserve"> </w:t>
      </w:r>
      <w:r>
        <w:rPr>
          <w:color w:val="231F20"/>
          <w:sz w:val="20"/>
        </w:rPr>
        <w:t>Our</w:t>
      </w:r>
      <w:r>
        <w:rPr>
          <w:color w:val="231F20"/>
          <w:spacing w:val="-10"/>
          <w:sz w:val="20"/>
        </w:rPr>
        <w:t xml:space="preserve"> </w:t>
      </w:r>
      <w:r>
        <w:rPr>
          <w:color w:val="231F20"/>
          <w:spacing w:val="-3"/>
          <w:sz w:val="20"/>
        </w:rPr>
        <w:t>interim</w:t>
      </w:r>
      <w:r>
        <w:rPr>
          <w:color w:val="231F20"/>
          <w:spacing w:val="-9"/>
          <w:sz w:val="20"/>
        </w:rPr>
        <w:t xml:space="preserve"> </w:t>
      </w:r>
      <w:r>
        <w:rPr>
          <w:color w:val="231F20"/>
          <w:sz w:val="20"/>
        </w:rPr>
        <w:t>report,</w:t>
      </w:r>
      <w:r>
        <w:rPr>
          <w:color w:val="231F20"/>
          <w:spacing w:val="-10"/>
          <w:sz w:val="20"/>
        </w:rPr>
        <w:t xml:space="preserve"> </w:t>
      </w:r>
      <w:r>
        <w:rPr>
          <w:color w:val="231F20"/>
          <w:sz w:val="20"/>
        </w:rPr>
        <w:t>published</w:t>
      </w:r>
      <w:r>
        <w:rPr>
          <w:color w:val="231F20"/>
          <w:spacing w:val="-9"/>
          <w:sz w:val="20"/>
        </w:rPr>
        <w:t xml:space="preserve"> </w:t>
      </w:r>
      <w:r>
        <w:rPr>
          <w:color w:val="231F20"/>
          <w:sz w:val="20"/>
        </w:rPr>
        <w:t>in</w:t>
      </w:r>
      <w:r>
        <w:rPr>
          <w:color w:val="231F20"/>
          <w:spacing w:val="-10"/>
          <w:sz w:val="20"/>
        </w:rPr>
        <w:t xml:space="preserve"> </w:t>
      </w:r>
      <w:r>
        <w:rPr>
          <w:color w:val="231F20"/>
          <w:sz w:val="20"/>
        </w:rPr>
        <w:t>April</w:t>
      </w:r>
      <w:r>
        <w:rPr>
          <w:color w:val="231F20"/>
          <w:spacing w:val="-9"/>
          <w:sz w:val="20"/>
        </w:rPr>
        <w:t xml:space="preserve"> </w:t>
      </w:r>
      <w:r>
        <w:rPr>
          <w:color w:val="231F20"/>
          <w:spacing w:val="-3"/>
          <w:sz w:val="20"/>
        </w:rPr>
        <w:t>2022,</w:t>
      </w:r>
      <w:r>
        <w:rPr>
          <w:color w:val="231F20"/>
          <w:spacing w:val="-10"/>
          <w:sz w:val="20"/>
        </w:rPr>
        <w:t xml:space="preserve"> </w:t>
      </w:r>
      <w:r>
        <w:rPr>
          <w:color w:val="231F20"/>
          <w:sz w:val="20"/>
        </w:rPr>
        <w:t>focused</w:t>
      </w:r>
      <w:r>
        <w:rPr>
          <w:color w:val="231F20"/>
          <w:spacing w:val="-9"/>
          <w:sz w:val="20"/>
        </w:rPr>
        <w:t xml:space="preserve"> </w:t>
      </w:r>
      <w:r>
        <w:rPr>
          <w:color w:val="231F20"/>
          <w:sz w:val="20"/>
        </w:rPr>
        <w:t>on</w:t>
      </w:r>
      <w:r>
        <w:rPr>
          <w:color w:val="231F20"/>
          <w:spacing w:val="-10"/>
          <w:sz w:val="20"/>
        </w:rPr>
        <w:t xml:space="preserve"> </w:t>
      </w:r>
      <w:r>
        <w:rPr>
          <w:color w:val="231F20"/>
          <w:sz w:val="20"/>
        </w:rPr>
        <w:t>addressing</w:t>
      </w:r>
      <w:r>
        <w:rPr>
          <w:color w:val="231F20"/>
          <w:spacing w:val="-9"/>
          <w:sz w:val="20"/>
        </w:rPr>
        <w:t xml:space="preserve"> </w:t>
      </w:r>
      <w:r>
        <w:rPr>
          <w:color w:val="231F20"/>
          <w:sz w:val="20"/>
        </w:rPr>
        <w:t>barriers</w:t>
      </w:r>
      <w:r>
        <w:rPr>
          <w:color w:val="231F20"/>
          <w:spacing w:val="-10"/>
          <w:sz w:val="20"/>
        </w:rPr>
        <w:t xml:space="preserve"> </w:t>
      </w:r>
      <w:r>
        <w:rPr>
          <w:color w:val="231F20"/>
          <w:sz w:val="20"/>
        </w:rPr>
        <w:t xml:space="preserve">that </w:t>
      </w:r>
      <w:r>
        <w:rPr>
          <w:color w:val="231F20"/>
          <w:spacing w:val="-3"/>
          <w:sz w:val="20"/>
        </w:rPr>
        <w:t xml:space="preserve">relate </w:t>
      </w:r>
      <w:r>
        <w:rPr>
          <w:color w:val="231F20"/>
          <w:sz w:val="20"/>
        </w:rPr>
        <w:t>to</w:t>
      </w:r>
      <w:r>
        <w:rPr>
          <w:color w:val="231F20"/>
          <w:spacing w:val="-6"/>
          <w:sz w:val="20"/>
        </w:rPr>
        <w:t xml:space="preserve"> </w:t>
      </w:r>
      <w:r>
        <w:rPr>
          <w:color w:val="231F20"/>
          <w:sz w:val="20"/>
        </w:rPr>
        <w:t>police.</w:t>
      </w:r>
    </w:p>
    <w:p w14:paraId="3EF864AC" w14:textId="77777777" w:rsidR="00894070" w:rsidRDefault="00894070">
      <w:pPr>
        <w:pStyle w:val="BodyText"/>
      </w:pPr>
    </w:p>
    <w:p w14:paraId="5A3AF692" w14:textId="77777777" w:rsidR="00894070" w:rsidRDefault="00894070">
      <w:pPr>
        <w:pStyle w:val="BodyText"/>
      </w:pPr>
    </w:p>
    <w:p w14:paraId="231221F2" w14:textId="77777777" w:rsidR="00894070" w:rsidRDefault="00894070">
      <w:pPr>
        <w:pStyle w:val="BodyText"/>
      </w:pPr>
    </w:p>
    <w:p w14:paraId="09AD11C4" w14:textId="77777777" w:rsidR="00894070" w:rsidRDefault="00894070">
      <w:pPr>
        <w:pStyle w:val="BodyText"/>
      </w:pPr>
    </w:p>
    <w:p w14:paraId="4F8F3F4E" w14:textId="77777777" w:rsidR="00894070" w:rsidRDefault="00894070">
      <w:pPr>
        <w:pStyle w:val="BodyText"/>
      </w:pPr>
    </w:p>
    <w:p w14:paraId="457C6888" w14:textId="77777777" w:rsidR="00894070" w:rsidRDefault="00894070">
      <w:pPr>
        <w:pStyle w:val="BodyText"/>
      </w:pPr>
    </w:p>
    <w:p w14:paraId="50C2F109" w14:textId="77777777" w:rsidR="00894070" w:rsidRDefault="00894070">
      <w:pPr>
        <w:pStyle w:val="BodyText"/>
      </w:pPr>
    </w:p>
    <w:p w14:paraId="61A5D8FC" w14:textId="77777777" w:rsidR="00894070" w:rsidRDefault="00894070">
      <w:pPr>
        <w:pStyle w:val="BodyText"/>
      </w:pPr>
    </w:p>
    <w:p w14:paraId="328218E9" w14:textId="77777777" w:rsidR="00894070" w:rsidRDefault="00894070">
      <w:pPr>
        <w:pStyle w:val="BodyText"/>
      </w:pPr>
    </w:p>
    <w:p w14:paraId="4402628F" w14:textId="77777777" w:rsidR="00894070" w:rsidRDefault="00894070">
      <w:pPr>
        <w:pStyle w:val="BodyText"/>
      </w:pPr>
    </w:p>
    <w:p w14:paraId="2A8BDF78" w14:textId="77777777" w:rsidR="00894070" w:rsidRDefault="00894070">
      <w:pPr>
        <w:pStyle w:val="BodyText"/>
      </w:pPr>
    </w:p>
    <w:p w14:paraId="5308B810" w14:textId="77777777" w:rsidR="00894070" w:rsidRDefault="00894070">
      <w:pPr>
        <w:pStyle w:val="BodyText"/>
      </w:pPr>
    </w:p>
    <w:p w14:paraId="108A23DE" w14:textId="77777777" w:rsidR="00894070" w:rsidRDefault="00894070">
      <w:pPr>
        <w:pStyle w:val="BodyText"/>
      </w:pPr>
    </w:p>
    <w:p w14:paraId="1E8EBE43" w14:textId="77777777" w:rsidR="00894070" w:rsidRDefault="00894070">
      <w:pPr>
        <w:pStyle w:val="BodyText"/>
      </w:pPr>
    </w:p>
    <w:p w14:paraId="6525D62C" w14:textId="77777777" w:rsidR="00894070" w:rsidRDefault="00894070">
      <w:pPr>
        <w:pStyle w:val="BodyText"/>
      </w:pPr>
    </w:p>
    <w:p w14:paraId="77963AE9" w14:textId="77777777" w:rsidR="00894070" w:rsidRDefault="00894070">
      <w:pPr>
        <w:pStyle w:val="BodyText"/>
      </w:pPr>
    </w:p>
    <w:p w14:paraId="595EF02F" w14:textId="77777777" w:rsidR="00894070" w:rsidRDefault="00894070">
      <w:pPr>
        <w:pStyle w:val="BodyText"/>
      </w:pPr>
    </w:p>
    <w:p w14:paraId="2A311883" w14:textId="77777777" w:rsidR="00894070" w:rsidRDefault="00894070">
      <w:pPr>
        <w:pStyle w:val="BodyText"/>
      </w:pPr>
    </w:p>
    <w:p w14:paraId="38862079" w14:textId="77777777" w:rsidR="00894070" w:rsidRDefault="00894070">
      <w:pPr>
        <w:pStyle w:val="BodyText"/>
      </w:pPr>
    </w:p>
    <w:p w14:paraId="0C98955B" w14:textId="77777777" w:rsidR="00894070" w:rsidRDefault="00894070">
      <w:pPr>
        <w:pStyle w:val="BodyText"/>
      </w:pPr>
    </w:p>
    <w:p w14:paraId="54A67DE7" w14:textId="77777777" w:rsidR="00894070" w:rsidRDefault="00894070">
      <w:pPr>
        <w:pStyle w:val="BodyText"/>
      </w:pPr>
    </w:p>
    <w:p w14:paraId="1238E974" w14:textId="77777777" w:rsidR="00894070" w:rsidRDefault="00894070">
      <w:pPr>
        <w:pStyle w:val="BodyText"/>
      </w:pPr>
    </w:p>
    <w:p w14:paraId="2C60B526" w14:textId="77777777" w:rsidR="00894070" w:rsidRDefault="00894070">
      <w:pPr>
        <w:pStyle w:val="BodyText"/>
      </w:pPr>
    </w:p>
    <w:p w14:paraId="15123A84" w14:textId="77777777" w:rsidR="00894070" w:rsidRDefault="00894070">
      <w:pPr>
        <w:pStyle w:val="BodyText"/>
      </w:pPr>
    </w:p>
    <w:p w14:paraId="775B86E8" w14:textId="77777777" w:rsidR="00894070" w:rsidRDefault="00894070">
      <w:pPr>
        <w:pStyle w:val="BodyText"/>
      </w:pPr>
    </w:p>
    <w:p w14:paraId="0D5371E3" w14:textId="77777777" w:rsidR="00894070" w:rsidRDefault="00894070">
      <w:pPr>
        <w:pStyle w:val="BodyText"/>
      </w:pPr>
    </w:p>
    <w:p w14:paraId="5544D1D4" w14:textId="77777777" w:rsidR="00894070" w:rsidRDefault="00894070">
      <w:pPr>
        <w:pStyle w:val="BodyText"/>
      </w:pPr>
    </w:p>
    <w:p w14:paraId="4C328CFA" w14:textId="77777777" w:rsidR="00894070" w:rsidRDefault="00894070">
      <w:pPr>
        <w:pStyle w:val="BodyText"/>
      </w:pPr>
    </w:p>
    <w:p w14:paraId="4A57404A" w14:textId="77777777" w:rsidR="00894070" w:rsidRDefault="00894070">
      <w:pPr>
        <w:pStyle w:val="BodyText"/>
      </w:pPr>
    </w:p>
    <w:p w14:paraId="104A3F30" w14:textId="77777777" w:rsidR="00894070" w:rsidRDefault="00894070">
      <w:pPr>
        <w:pStyle w:val="BodyText"/>
      </w:pPr>
    </w:p>
    <w:p w14:paraId="0B66C1EC" w14:textId="77777777" w:rsidR="00894070" w:rsidRDefault="00894070">
      <w:pPr>
        <w:pStyle w:val="BodyText"/>
      </w:pPr>
    </w:p>
    <w:p w14:paraId="002A3808" w14:textId="77777777" w:rsidR="00894070" w:rsidRDefault="00894070">
      <w:pPr>
        <w:pStyle w:val="BodyText"/>
      </w:pPr>
    </w:p>
    <w:p w14:paraId="6EB42E58" w14:textId="77777777" w:rsidR="00894070" w:rsidRDefault="00894070">
      <w:pPr>
        <w:pStyle w:val="BodyText"/>
      </w:pPr>
    </w:p>
    <w:p w14:paraId="1162E2F4" w14:textId="77777777" w:rsidR="00894070" w:rsidRDefault="00894070">
      <w:pPr>
        <w:pStyle w:val="BodyText"/>
      </w:pPr>
    </w:p>
    <w:p w14:paraId="19A96B9B" w14:textId="77777777" w:rsidR="00894070" w:rsidRDefault="00894070">
      <w:pPr>
        <w:pStyle w:val="BodyText"/>
      </w:pPr>
    </w:p>
    <w:p w14:paraId="1391DF4B" w14:textId="77777777" w:rsidR="00894070" w:rsidRDefault="00894070">
      <w:pPr>
        <w:pStyle w:val="BodyText"/>
      </w:pPr>
    </w:p>
    <w:p w14:paraId="5E300CBF" w14:textId="77777777" w:rsidR="00894070" w:rsidRDefault="00894070">
      <w:pPr>
        <w:pStyle w:val="BodyText"/>
      </w:pPr>
    </w:p>
    <w:p w14:paraId="7465E6AE" w14:textId="77777777" w:rsidR="00894070" w:rsidRDefault="00894070">
      <w:pPr>
        <w:pStyle w:val="BodyText"/>
      </w:pPr>
    </w:p>
    <w:p w14:paraId="044FA59D" w14:textId="77777777" w:rsidR="00894070" w:rsidRDefault="00894070">
      <w:pPr>
        <w:pStyle w:val="BodyText"/>
      </w:pPr>
    </w:p>
    <w:p w14:paraId="7E912A02" w14:textId="77777777" w:rsidR="00894070" w:rsidRDefault="009F6793">
      <w:pPr>
        <w:pStyle w:val="BodyText"/>
        <w:spacing w:before="9"/>
        <w:rPr>
          <w:sz w:val="19"/>
        </w:rPr>
      </w:pPr>
      <w:r>
        <w:pict w14:anchorId="74AE6A57">
          <v:line id="_x0000_s1630" style="position:absolute;z-index:251463680;mso-wrap-distance-left:0;mso-wrap-distance-right:0;mso-position-horizontal-relative:page" from="79.35pt,16.1pt" to="515.9pt,16.1pt" strokecolor="#f8cabc" strokeweight="1pt">
            <w10:wrap type="topAndBottom" anchorx="page"/>
          </v:line>
        </w:pict>
      </w:r>
    </w:p>
    <w:p w14:paraId="220594DA" w14:textId="77777777" w:rsidR="00894070" w:rsidRDefault="009B7AFD">
      <w:pPr>
        <w:pStyle w:val="ListParagraph"/>
        <w:numPr>
          <w:ilvl w:val="0"/>
          <w:numId w:val="165"/>
        </w:numPr>
        <w:tabs>
          <w:tab w:val="left" w:pos="1800"/>
          <w:tab w:val="left" w:pos="1802"/>
          <w:tab w:val="right" w:pos="10669"/>
        </w:tabs>
        <w:spacing w:line="297" w:lineRule="exact"/>
        <w:rPr>
          <w:b/>
          <w:sz w:val="24"/>
        </w:rPr>
      </w:pPr>
      <w:r>
        <w:rPr>
          <w:color w:val="231F20"/>
          <w:sz w:val="13"/>
        </w:rPr>
        <w:t xml:space="preserve">As discussed </w:t>
      </w:r>
      <w:r>
        <w:rPr>
          <w:color w:val="231F20"/>
          <w:spacing w:val="2"/>
          <w:sz w:val="13"/>
        </w:rPr>
        <w:t xml:space="preserve">earlier </w:t>
      </w:r>
      <w:r>
        <w:rPr>
          <w:color w:val="231F20"/>
          <w:sz w:val="13"/>
        </w:rPr>
        <w:t>in</w:t>
      </w:r>
      <w:r>
        <w:rPr>
          <w:color w:val="231F20"/>
          <w:spacing w:val="-2"/>
          <w:sz w:val="13"/>
        </w:rPr>
        <w:t xml:space="preserve"> </w:t>
      </w:r>
      <w:r>
        <w:rPr>
          <w:color w:val="231F20"/>
          <w:sz w:val="13"/>
        </w:rPr>
        <w:t>this chapter.</w:t>
      </w:r>
      <w:r>
        <w:rPr>
          <w:color w:val="231F20"/>
          <w:sz w:val="13"/>
        </w:rPr>
        <w:tab/>
      </w:r>
      <w:r>
        <w:rPr>
          <w:b/>
          <w:color w:val="EA5B50"/>
          <w:sz w:val="24"/>
        </w:rPr>
        <w:t>29</w:t>
      </w:r>
    </w:p>
    <w:p w14:paraId="4B2C2811" w14:textId="77777777" w:rsidR="00894070" w:rsidRDefault="00894070">
      <w:pPr>
        <w:spacing w:line="297" w:lineRule="exact"/>
        <w:rPr>
          <w:sz w:val="24"/>
        </w:rPr>
        <w:sectPr w:rsidR="00894070">
          <w:pgSz w:w="11910" w:h="16840"/>
          <w:pgMar w:top="840" w:right="420" w:bottom="280" w:left="580" w:header="0" w:footer="0" w:gutter="0"/>
          <w:cols w:space="720"/>
        </w:sectPr>
      </w:pPr>
    </w:p>
    <w:p w14:paraId="7809E8D7" w14:textId="77777777" w:rsidR="00894070" w:rsidRDefault="009F6793">
      <w:pPr>
        <w:pStyle w:val="BodyText"/>
        <w:rPr>
          <w:b/>
          <w:sz w:val="28"/>
        </w:rPr>
      </w:pPr>
      <w:r>
        <w:lastRenderedPageBreak/>
        <w:pict w14:anchorId="623280F1">
          <v:rect id="_x0000_s1629" style="position:absolute;margin-left:79.35pt;margin-top:0;width:515.9pt;height:841.9pt;z-index:251529216;mso-position-horizontal-relative:page;mso-position-vertical-relative:page" fillcolor="#ea5b50" stroked="f">
            <w10:wrap anchorx="page" anchory="page"/>
          </v:rect>
        </w:pict>
      </w:r>
    </w:p>
    <w:p w14:paraId="2F368A0D" w14:textId="77777777" w:rsidR="00894070" w:rsidRDefault="00894070">
      <w:pPr>
        <w:pStyle w:val="BodyText"/>
        <w:rPr>
          <w:b/>
          <w:sz w:val="28"/>
        </w:rPr>
      </w:pPr>
    </w:p>
    <w:p w14:paraId="5A5AD7A2" w14:textId="77777777" w:rsidR="00894070" w:rsidRDefault="00894070">
      <w:pPr>
        <w:pStyle w:val="BodyText"/>
        <w:rPr>
          <w:b/>
          <w:sz w:val="28"/>
        </w:rPr>
      </w:pPr>
    </w:p>
    <w:p w14:paraId="6A0F438E" w14:textId="77777777" w:rsidR="00894070" w:rsidRDefault="00894070">
      <w:pPr>
        <w:pStyle w:val="BodyText"/>
        <w:rPr>
          <w:b/>
          <w:sz w:val="28"/>
        </w:rPr>
      </w:pPr>
    </w:p>
    <w:p w14:paraId="669F9964" w14:textId="77777777" w:rsidR="00894070" w:rsidRDefault="00894070">
      <w:pPr>
        <w:pStyle w:val="BodyText"/>
        <w:rPr>
          <w:b/>
          <w:sz w:val="28"/>
        </w:rPr>
      </w:pPr>
    </w:p>
    <w:p w14:paraId="13CC865E" w14:textId="77777777" w:rsidR="00894070" w:rsidRDefault="00894070">
      <w:pPr>
        <w:pStyle w:val="BodyText"/>
        <w:rPr>
          <w:b/>
          <w:sz w:val="28"/>
        </w:rPr>
      </w:pPr>
    </w:p>
    <w:p w14:paraId="284B9359" w14:textId="77777777" w:rsidR="00894070" w:rsidRDefault="00894070">
      <w:pPr>
        <w:pStyle w:val="BodyText"/>
        <w:rPr>
          <w:b/>
          <w:sz w:val="28"/>
        </w:rPr>
      </w:pPr>
    </w:p>
    <w:p w14:paraId="766096F1" w14:textId="77777777" w:rsidR="00894070" w:rsidRDefault="00894070">
      <w:pPr>
        <w:pStyle w:val="BodyText"/>
        <w:rPr>
          <w:b/>
          <w:sz w:val="28"/>
        </w:rPr>
      </w:pPr>
    </w:p>
    <w:p w14:paraId="728BA50B" w14:textId="77777777" w:rsidR="00894070" w:rsidRDefault="00894070">
      <w:pPr>
        <w:pStyle w:val="BodyText"/>
        <w:rPr>
          <w:b/>
          <w:sz w:val="28"/>
        </w:rPr>
      </w:pPr>
    </w:p>
    <w:p w14:paraId="72477CD2" w14:textId="77777777" w:rsidR="00894070" w:rsidRDefault="00894070">
      <w:pPr>
        <w:pStyle w:val="BodyText"/>
        <w:rPr>
          <w:b/>
          <w:sz w:val="28"/>
        </w:rPr>
      </w:pPr>
    </w:p>
    <w:p w14:paraId="3B8C7ECC" w14:textId="77777777" w:rsidR="00894070" w:rsidRDefault="00894070">
      <w:pPr>
        <w:pStyle w:val="BodyText"/>
        <w:rPr>
          <w:b/>
          <w:sz w:val="28"/>
        </w:rPr>
      </w:pPr>
    </w:p>
    <w:p w14:paraId="17E9315A" w14:textId="77777777" w:rsidR="00894070" w:rsidRDefault="00894070">
      <w:pPr>
        <w:pStyle w:val="BodyText"/>
        <w:rPr>
          <w:b/>
          <w:sz w:val="28"/>
        </w:rPr>
      </w:pPr>
    </w:p>
    <w:p w14:paraId="681709FB" w14:textId="77777777" w:rsidR="00894070" w:rsidRDefault="00894070">
      <w:pPr>
        <w:pStyle w:val="BodyText"/>
        <w:rPr>
          <w:b/>
          <w:sz w:val="28"/>
        </w:rPr>
      </w:pPr>
    </w:p>
    <w:p w14:paraId="56E6DC8A" w14:textId="77777777" w:rsidR="00894070" w:rsidRDefault="00894070">
      <w:pPr>
        <w:pStyle w:val="BodyText"/>
        <w:rPr>
          <w:b/>
          <w:sz w:val="28"/>
        </w:rPr>
      </w:pPr>
    </w:p>
    <w:p w14:paraId="71A78BB9" w14:textId="77777777" w:rsidR="00894070" w:rsidRDefault="00894070">
      <w:pPr>
        <w:pStyle w:val="BodyText"/>
        <w:rPr>
          <w:b/>
          <w:sz w:val="28"/>
        </w:rPr>
      </w:pPr>
    </w:p>
    <w:p w14:paraId="43A82022" w14:textId="77777777" w:rsidR="00894070" w:rsidRDefault="00894070">
      <w:pPr>
        <w:pStyle w:val="BodyText"/>
        <w:rPr>
          <w:b/>
          <w:sz w:val="28"/>
        </w:rPr>
      </w:pPr>
    </w:p>
    <w:p w14:paraId="23E58FCB" w14:textId="77777777" w:rsidR="00894070" w:rsidRDefault="00894070">
      <w:pPr>
        <w:pStyle w:val="BodyText"/>
        <w:rPr>
          <w:b/>
          <w:sz w:val="28"/>
        </w:rPr>
      </w:pPr>
    </w:p>
    <w:p w14:paraId="38CA379D" w14:textId="77777777" w:rsidR="00894070" w:rsidRDefault="00894070">
      <w:pPr>
        <w:pStyle w:val="BodyText"/>
        <w:rPr>
          <w:b/>
          <w:sz w:val="28"/>
        </w:rPr>
      </w:pPr>
    </w:p>
    <w:p w14:paraId="40C445D8" w14:textId="77777777" w:rsidR="00894070" w:rsidRDefault="00894070">
      <w:pPr>
        <w:pStyle w:val="BodyText"/>
        <w:rPr>
          <w:b/>
          <w:sz w:val="28"/>
        </w:rPr>
      </w:pPr>
    </w:p>
    <w:p w14:paraId="44B85812" w14:textId="77777777" w:rsidR="00894070" w:rsidRDefault="00894070">
      <w:pPr>
        <w:pStyle w:val="BodyText"/>
        <w:rPr>
          <w:b/>
          <w:sz w:val="28"/>
        </w:rPr>
      </w:pPr>
    </w:p>
    <w:p w14:paraId="6F1773E4" w14:textId="77777777" w:rsidR="00894070" w:rsidRDefault="00894070">
      <w:pPr>
        <w:pStyle w:val="BodyText"/>
        <w:rPr>
          <w:b/>
          <w:sz w:val="28"/>
        </w:rPr>
      </w:pPr>
    </w:p>
    <w:p w14:paraId="71C5EB5C" w14:textId="77777777" w:rsidR="00894070" w:rsidRDefault="00894070">
      <w:pPr>
        <w:pStyle w:val="BodyText"/>
        <w:rPr>
          <w:b/>
          <w:sz w:val="28"/>
        </w:rPr>
      </w:pPr>
    </w:p>
    <w:p w14:paraId="50E31A3D" w14:textId="77777777" w:rsidR="00894070" w:rsidRDefault="00894070">
      <w:pPr>
        <w:pStyle w:val="BodyText"/>
        <w:rPr>
          <w:b/>
          <w:sz w:val="28"/>
        </w:rPr>
      </w:pPr>
    </w:p>
    <w:p w14:paraId="33726CB4" w14:textId="77777777" w:rsidR="00894070" w:rsidRDefault="00894070">
      <w:pPr>
        <w:pStyle w:val="BodyText"/>
        <w:rPr>
          <w:b/>
          <w:sz w:val="28"/>
        </w:rPr>
      </w:pPr>
    </w:p>
    <w:p w14:paraId="47C1075D" w14:textId="77777777" w:rsidR="00894070" w:rsidRDefault="00894070">
      <w:pPr>
        <w:pStyle w:val="BodyText"/>
        <w:rPr>
          <w:b/>
          <w:sz w:val="28"/>
        </w:rPr>
      </w:pPr>
    </w:p>
    <w:p w14:paraId="534449AF" w14:textId="77777777" w:rsidR="00894070" w:rsidRDefault="00894070">
      <w:pPr>
        <w:pStyle w:val="BodyText"/>
        <w:rPr>
          <w:b/>
          <w:sz w:val="28"/>
        </w:rPr>
      </w:pPr>
    </w:p>
    <w:p w14:paraId="7DCBA2AD" w14:textId="77777777" w:rsidR="00894070" w:rsidRDefault="00894070">
      <w:pPr>
        <w:pStyle w:val="BodyText"/>
        <w:rPr>
          <w:b/>
          <w:sz w:val="28"/>
        </w:rPr>
      </w:pPr>
    </w:p>
    <w:p w14:paraId="082CBA77" w14:textId="77777777" w:rsidR="00894070" w:rsidRDefault="00894070">
      <w:pPr>
        <w:pStyle w:val="BodyText"/>
        <w:rPr>
          <w:b/>
          <w:sz w:val="28"/>
        </w:rPr>
      </w:pPr>
    </w:p>
    <w:p w14:paraId="36FA2532" w14:textId="77777777" w:rsidR="00894070" w:rsidRDefault="00894070">
      <w:pPr>
        <w:pStyle w:val="BodyText"/>
        <w:rPr>
          <w:b/>
          <w:sz w:val="28"/>
        </w:rPr>
      </w:pPr>
    </w:p>
    <w:p w14:paraId="3571D152" w14:textId="77777777" w:rsidR="00894070" w:rsidRDefault="00894070">
      <w:pPr>
        <w:pStyle w:val="BodyText"/>
        <w:rPr>
          <w:b/>
          <w:sz w:val="28"/>
        </w:rPr>
      </w:pPr>
    </w:p>
    <w:p w14:paraId="6A780EAD" w14:textId="77777777" w:rsidR="00894070" w:rsidRDefault="00894070">
      <w:pPr>
        <w:pStyle w:val="BodyText"/>
        <w:rPr>
          <w:b/>
          <w:sz w:val="28"/>
        </w:rPr>
      </w:pPr>
    </w:p>
    <w:p w14:paraId="1AD80586" w14:textId="77777777" w:rsidR="00894070" w:rsidRDefault="00894070">
      <w:pPr>
        <w:pStyle w:val="BodyText"/>
        <w:rPr>
          <w:b/>
          <w:sz w:val="28"/>
        </w:rPr>
      </w:pPr>
    </w:p>
    <w:p w14:paraId="6C58B720" w14:textId="77777777" w:rsidR="00894070" w:rsidRDefault="00894070">
      <w:pPr>
        <w:pStyle w:val="BodyText"/>
        <w:rPr>
          <w:b/>
          <w:sz w:val="28"/>
        </w:rPr>
      </w:pPr>
    </w:p>
    <w:p w14:paraId="2276317A" w14:textId="77777777" w:rsidR="00894070" w:rsidRDefault="00894070">
      <w:pPr>
        <w:pStyle w:val="BodyText"/>
        <w:rPr>
          <w:b/>
          <w:sz w:val="28"/>
        </w:rPr>
      </w:pPr>
    </w:p>
    <w:p w14:paraId="2B54C9B2" w14:textId="77777777" w:rsidR="00894070" w:rsidRDefault="00894070">
      <w:pPr>
        <w:pStyle w:val="BodyText"/>
        <w:rPr>
          <w:b/>
          <w:sz w:val="28"/>
        </w:rPr>
      </w:pPr>
    </w:p>
    <w:p w14:paraId="6ECA8A3A" w14:textId="77777777" w:rsidR="00894070" w:rsidRDefault="00894070">
      <w:pPr>
        <w:pStyle w:val="BodyText"/>
        <w:rPr>
          <w:b/>
          <w:sz w:val="28"/>
        </w:rPr>
      </w:pPr>
    </w:p>
    <w:p w14:paraId="6B25C7BB" w14:textId="77777777" w:rsidR="00894070" w:rsidRDefault="00894070">
      <w:pPr>
        <w:pStyle w:val="BodyText"/>
        <w:spacing w:before="3"/>
        <w:rPr>
          <w:b/>
          <w:sz w:val="30"/>
        </w:rPr>
      </w:pPr>
    </w:p>
    <w:p w14:paraId="236C4A18" w14:textId="77777777" w:rsidR="00894070" w:rsidRDefault="009B7AFD">
      <w:pPr>
        <w:pStyle w:val="Heading8"/>
        <w:ind w:left="140"/>
      </w:pPr>
      <w:r>
        <w:rPr>
          <w:color w:val="EA5B50"/>
        </w:rPr>
        <w:t>30</w:t>
      </w:r>
    </w:p>
    <w:p w14:paraId="0C63499F" w14:textId="77777777" w:rsidR="00894070" w:rsidRDefault="00894070">
      <w:pPr>
        <w:sectPr w:rsidR="00894070">
          <w:headerReference w:type="even" r:id="rId67"/>
          <w:pgSz w:w="11910" w:h="16840"/>
          <w:pgMar w:top="1580" w:right="420" w:bottom="280" w:left="580" w:header="0" w:footer="0" w:gutter="0"/>
          <w:cols w:space="720"/>
        </w:sectPr>
      </w:pPr>
    </w:p>
    <w:p w14:paraId="580C1680" w14:textId="77777777" w:rsidR="00894070" w:rsidRDefault="009F6793">
      <w:pPr>
        <w:pStyle w:val="BodyText"/>
        <w:rPr>
          <w:b/>
          <w:sz w:val="11"/>
        </w:rPr>
      </w:pPr>
      <w:r>
        <w:lastRenderedPageBreak/>
        <w:pict w14:anchorId="468988C6">
          <v:rect id="_x0000_s1628" style="position:absolute;margin-left:0;margin-top:0;width:595.3pt;height:841.9pt;z-index:-251508736;mso-position-horizontal-relative:page;mso-position-vertical-relative:page" fillcolor="#ea5b50" stroked="f">
            <w10:wrap anchorx="page" anchory="page"/>
          </v:rect>
        </w:pict>
      </w:r>
    </w:p>
    <w:p w14:paraId="62C8201D" w14:textId="77777777" w:rsidR="00894070" w:rsidRDefault="009F6793">
      <w:pPr>
        <w:spacing w:line="688" w:lineRule="exact"/>
        <w:ind w:right="705"/>
        <w:jc w:val="right"/>
        <w:rPr>
          <w:rFonts w:ascii="Raleway SemiBold"/>
          <w:b/>
          <w:sz w:val="50"/>
        </w:rPr>
      </w:pPr>
      <w:r>
        <w:pict w14:anchorId="2550EB00">
          <v:shape id="_x0000_s1627" type="#_x0000_t202" style="position:absolute;left:0;text-align:left;margin-left:412.2pt;margin-top:-3.3pt;width:141.25pt;height:152.65pt;z-index:-251507712;mso-position-horizontal-relative:page" filled="f" stroked="f">
            <v:textbox inset="0,0,0,0">
              <w:txbxContent>
                <w:p w14:paraId="73D28827" w14:textId="77777777" w:rsidR="00894070" w:rsidRDefault="009B7AFD">
                  <w:pPr>
                    <w:spacing w:line="3052" w:lineRule="exact"/>
                    <w:rPr>
                      <w:b/>
                      <w:sz w:val="260"/>
                    </w:rPr>
                  </w:pPr>
                  <w:r>
                    <w:rPr>
                      <w:b/>
                      <w:color w:val="FFFFFF"/>
                      <w:spacing w:val="-112"/>
                      <w:sz w:val="260"/>
                    </w:rPr>
                    <w:t>03</w:t>
                  </w:r>
                </w:p>
              </w:txbxContent>
            </v:textbox>
            <w10:wrap anchorx="page"/>
          </v:shape>
        </w:pict>
      </w:r>
      <w:r w:rsidR="009B7AFD">
        <w:rPr>
          <w:rFonts w:ascii="Raleway SemiBold"/>
          <w:b/>
          <w:color w:val="FFFFFF"/>
          <w:sz w:val="50"/>
        </w:rPr>
        <w:t>CHAPTER</w:t>
      </w:r>
    </w:p>
    <w:p w14:paraId="3284DCCA" w14:textId="77777777" w:rsidR="00894070" w:rsidRDefault="00894070">
      <w:pPr>
        <w:pStyle w:val="BodyText"/>
        <w:rPr>
          <w:rFonts w:ascii="Raleway SemiBold"/>
          <w:b/>
        </w:rPr>
      </w:pPr>
    </w:p>
    <w:p w14:paraId="2E170C92" w14:textId="77777777" w:rsidR="00894070" w:rsidRDefault="00894070">
      <w:pPr>
        <w:pStyle w:val="BodyText"/>
        <w:rPr>
          <w:rFonts w:ascii="Raleway SemiBold"/>
          <w:b/>
        </w:rPr>
      </w:pPr>
    </w:p>
    <w:p w14:paraId="454A190D" w14:textId="77777777" w:rsidR="00894070" w:rsidRDefault="00894070">
      <w:pPr>
        <w:pStyle w:val="BodyText"/>
        <w:rPr>
          <w:rFonts w:ascii="Raleway SemiBold"/>
          <w:b/>
        </w:rPr>
      </w:pPr>
    </w:p>
    <w:p w14:paraId="46AFE3A9" w14:textId="77777777" w:rsidR="00894070" w:rsidRDefault="00894070">
      <w:pPr>
        <w:pStyle w:val="BodyText"/>
        <w:rPr>
          <w:rFonts w:ascii="Raleway SemiBold"/>
          <w:b/>
        </w:rPr>
      </w:pPr>
    </w:p>
    <w:p w14:paraId="64BD9F5C" w14:textId="77777777" w:rsidR="00894070" w:rsidRDefault="00894070">
      <w:pPr>
        <w:pStyle w:val="BodyText"/>
        <w:rPr>
          <w:rFonts w:ascii="Raleway SemiBold"/>
          <w:b/>
        </w:rPr>
      </w:pPr>
    </w:p>
    <w:p w14:paraId="59978BE0" w14:textId="77777777" w:rsidR="00894070" w:rsidRDefault="00894070">
      <w:pPr>
        <w:pStyle w:val="BodyText"/>
        <w:rPr>
          <w:rFonts w:ascii="Raleway SemiBold"/>
          <w:b/>
        </w:rPr>
      </w:pPr>
    </w:p>
    <w:p w14:paraId="25DDE918" w14:textId="77777777" w:rsidR="00894070" w:rsidRDefault="00894070">
      <w:pPr>
        <w:pStyle w:val="BodyText"/>
        <w:rPr>
          <w:rFonts w:ascii="Raleway SemiBold"/>
          <w:b/>
        </w:rPr>
      </w:pPr>
    </w:p>
    <w:p w14:paraId="4D43F397" w14:textId="77777777" w:rsidR="00894070" w:rsidRDefault="00894070">
      <w:pPr>
        <w:pStyle w:val="BodyText"/>
        <w:rPr>
          <w:rFonts w:ascii="Raleway SemiBold"/>
          <w:b/>
        </w:rPr>
      </w:pPr>
    </w:p>
    <w:p w14:paraId="42E4D8B3" w14:textId="77777777" w:rsidR="00894070" w:rsidRDefault="00894070">
      <w:pPr>
        <w:pStyle w:val="BodyText"/>
        <w:rPr>
          <w:rFonts w:ascii="Raleway SemiBold"/>
          <w:b/>
        </w:rPr>
      </w:pPr>
    </w:p>
    <w:p w14:paraId="605A13A2" w14:textId="77777777" w:rsidR="00894070" w:rsidRDefault="00894070">
      <w:pPr>
        <w:pStyle w:val="BodyText"/>
        <w:rPr>
          <w:rFonts w:ascii="Raleway SemiBold"/>
          <w:b/>
        </w:rPr>
      </w:pPr>
    </w:p>
    <w:p w14:paraId="7AB00810" w14:textId="77777777" w:rsidR="00894070" w:rsidRDefault="00894070">
      <w:pPr>
        <w:pStyle w:val="BodyText"/>
        <w:rPr>
          <w:rFonts w:ascii="Raleway SemiBold"/>
          <w:b/>
        </w:rPr>
      </w:pPr>
    </w:p>
    <w:p w14:paraId="4E324253" w14:textId="77777777" w:rsidR="00894070" w:rsidRDefault="00894070">
      <w:pPr>
        <w:pStyle w:val="BodyText"/>
        <w:rPr>
          <w:rFonts w:ascii="Raleway SemiBold"/>
          <w:b/>
        </w:rPr>
      </w:pPr>
    </w:p>
    <w:p w14:paraId="7927555F" w14:textId="77777777" w:rsidR="00894070" w:rsidRDefault="00894070">
      <w:pPr>
        <w:pStyle w:val="BodyText"/>
        <w:rPr>
          <w:rFonts w:ascii="Raleway SemiBold"/>
          <w:b/>
        </w:rPr>
      </w:pPr>
    </w:p>
    <w:p w14:paraId="75031AF0" w14:textId="77777777" w:rsidR="00894070" w:rsidRDefault="00894070">
      <w:pPr>
        <w:pStyle w:val="BodyText"/>
        <w:spacing w:before="5"/>
        <w:rPr>
          <w:rFonts w:ascii="Raleway SemiBold"/>
          <w:b/>
          <w:sz w:val="17"/>
        </w:rPr>
      </w:pPr>
    </w:p>
    <w:p w14:paraId="132D6C17" w14:textId="77777777" w:rsidR="00894070" w:rsidRDefault="009B7AFD">
      <w:pPr>
        <w:spacing w:before="166" w:line="180" w:lineRule="auto"/>
        <w:ind w:left="1007"/>
        <w:rPr>
          <w:rFonts w:ascii="Raleway ExtraBold"/>
          <w:b/>
          <w:sz w:val="88"/>
        </w:rPr>
      </w:pPr>
      <w:r>
        <w:rPr>
          <w:rFonts w:ascii="Raleway ExtraBold"/>
          <w:b/>
          <w:color w:val="FFFFFF"/>
          <w:spacing w:val="-21"/>
          <w:sz w:val="88"/>
        </w:rPr>
        <w:t xml:space="preserve">Responses </w:t>
      </w:r>
      <w:r>
        <w:rPr>
          <w:rFonts w:ascii="Raleway ExtraBold"/>
          <w:b/>
          <w:color w:val="FFFFFF"/>
          <w:spacing w:val="-16"/>
          <w:sz w:val="88"/>
        </w:rPr>
        <w:t xml:space="preserve">to </w:t>
      </w:r>
      <w:r>
        <w:rPr>
          <w:rFonts w:ascii="Raleway ExtraBold"/>
          <w:b/>
          <w:color w:val="FFFFFF"/>
          <w:spacing w:val="-22"/>
          <w:sz w:val="88"/>
        </w:rPr>
        <w:t>cyberstalking</w:t>
      </w:r>
    </w:p>
    <w:p w14:paraId="50986E6B" w14:textId="77777777" w:rsidR="00894070" w:rsidRDefault="00894070">
      <w:pPr>
        <w:pStyle w:val="BodyText"/>
        <w:rPr>
          <w:rFonts w:ascii="Raleway ExtraBold"/>
          <w:b/>
        </w:rPr>
      </w:pPr>
    </w:p>
    <w:p w14:paraId="02D0E454" w14:textId="77777777" w:rsidR="00894070" w:rsidRDefault="00894070">
      <w:pPr>
        <w:pStyle w:val="BodyText"/>
        <w:rPr>
          <w:rFonts w:ascii="Raleway ExtraBold"/>
          <w:b/>
        </w:rPr>
      </w:pPr>
    </w:p>
    <w:p w14:paraId="22D41BBF" w14:textId="77777777" w:rsidR="00894070" w:rsidRDefault="00894070">
      <w:pPr>
        <w:pStyle w:val="BodyText"/>
        <w:spacing w:before="4"/>
        <w:rPr>
          <w:rFonts w:ascii="Raleway ExtraBold"/>
          <w:b/>
          <w:sz w:val="27"/>
        </w:rPr>
      </w:pPr>
    </w:p>
    <w:p w14:paraId="3E392ED4" w14:textId="77777777" w:rsidR="00894070" w:rsidRDefault="009F6793">
      <w:pPr>
        <w:pStyle w:val="ListParagraph"/>
        <w:numPr>
          <w:ilvl w:val="0"/>
          <w:numId w:val="164"/>
        </w:numPr>
        <w:tabs>
          <w:tab w:val="left" w:pos="1545"/>
          <w:tab w:val="left" w:pos="1546"/>
        </w:tabs>
        <w:spacing w:before="49"/>
        <w:ind w:hanging="566"/>
        <w:rPr>
          <w:b/>
          <w:sz w:val="24"/>
        </w:rPr>
      </w:pPr>
      <w:r>
        <w:pict w14:anchorId="2C541506">
          <v:line id="_x0000_s1626" style="position:absolute;left:0;text-align:left;z-index:251464704;mso-wrap-distance-left:0;mso-wrap-distance-right:0;mso-position-horizontal-relative:page" from="77.95pt,22.95pt" to="103.45pt,22.95pt" strokecolor="#f4a997" strokeweight="2pt">
            <w10:wrap type="topAndBottom" anchorx="page"/>
          </v:line>
        </w:pict>
      </w:r>
      <w:hyperlink w:anchor="_bookmark22" w:history="1">
        <w:r w:rsidR="009B7AFD">
          <w:rPr>
            <w:b/>
            <w:color w:val="FFFFFF"/>
            <w:sz w:val="24"/>
          </w:rPr>
          <w:t>Overview</w:t>
        </w:r>
      </w:hyperlink>
    </w:p>
    <w:p w14:paraId="32C64D96" w14:textId="77777777" w:rsidR="00894070" w:rsidRDefault="009F6793">
      <w:pPr>
        <w:pStyle w:val="ListParagraph"/>
        <w:numPr>
          <w:ilvl w:val="0"/>
          <w:numId w:val="164"/>
        </w:numPr>
        <w:tabs>
          <w:tab w:val="left" w:pos="1545"/>
          <w:tab w:val="left" w:pos="1546"/>
        </w:tabs>
        <w:spacing w:before="14" w:after="57"/>
        <w:ind w:hanging="566"/>
        <w:rPr>
          <w:b/>
          <w:sz w:val="24"/>
        </w:rPr>
      </w:pPr>
      <w:hyperlink w:anchor="_bookmark23" w:history="1">
        <w:r w:rsidR="009B7AFD">
          <w:rPr>
            <w:b/>
            <w:color w:val="FFFFFF"/>
            <w:sz w:val="24"/>
          </w:rPr>
          <w:t>Cyberstalking is a growing social</w:t>
        </w:r>
        <w:r w:rsidR="009B7AFD">
          <w:rPr>
            <w:b/>
            <w:color w:val="FFFFFF"/>
            <w:spacing w:val="-2"/>
            <w:sz w:val="24"/>
          </w:rPr>
          <w:t xml:space="preserve"> </w:t>
        </w:r>
        <w:r w:rsidR="009B7AFD">
          <w:rPr>
            <w:b/>
            <w:color w:val="FFFFFF"/>
            <w:sz w:val="24"/>
          </w:rPr>
          <w:t>problem</w:t>
        </w:r>
      </w:hyperlink>
    </w:p>
    <w:p w14:paraId="7C9B53C6" w14:textId="77777777" w:rsidR="00894070" w:rsidRDefault="009F6793">
      <w:pPr>
        <w:pStyle w:val="BodyText"/>
        <w:spacing w:line="40" w:lineRule="exact"/>
        <w:ind w:left="959"/>
        <w:rPr>
          <w:sz w:val="4"/>
        </w:rPr>
      </w:pPr>
      <w:r>
        <w:rPr>
          <w:sz w:val="4"/>
        </w:rPr>
      </w:r>
      <w:r>
        <w:rPr>
          <w:sz w:val="4"/>
        </w:rPr>
        <w:pict w14:anchorId="05DB30F3">
          <v:group id="_x0000_s1624" style="width:25.55pt;height:2pt;mso-position-horizontal-relative:char;mso-position-vertical-relative:line" coordsize="511,40">
            <v:line id="_x0000_s1625" style="position:absolute" from="0,20" to="510,20" strokecolor="#f4a997" strokeweight="2pt"/>
            <w10:anchorlock/>
          </v:group>
        </w:pict>
      </w:r>
    </w:p>
    <w:p w14:paraId="6DE9BC6D" w14:textId="77777777" w:rsidR="00894070" w:rsidRDefault="009F6793">
      <w:pPr>
        <w:tabs>
          <w:tab w:val="left" w:pos="1545"/>
        </w:tabs>
        <w:spacing w:before="43"/>
        <w:ind w:left="979"/>
        <w:rPr>
          <w:b/>
          <w:sz w:val="24"/>
        </w:rPr>
      </w:pPr>
      <w:r>
        <w:pict w14:anchorId="44F18EE1">
          <v:line id="_x0000_s1623" style="position:absolute;left:0;text-align:left;z-index:251465728;mso-wrap-distance-left:0;mso-wrap-distance-right:0;mso-position-horizontal-relative:page" from="77.95pt,22.65pt" to="103.45pt,22.65pt" strokecolor="#f4a997" strokeweight="2pt">
            <w10:wrap type="topAndBottom" anchorx="page"/>
          </v:line>
        </w:pict>
      </w:r>
      <w:hyperlink w:anchor="_bookmark23" w:history="1">
        <w:r w:rsidR="009B7AFD">
          <w:rPr>
            <w:b/>
            <w:color w:val="FFFFFF"/>
            <w:sz w:val="24"/>
          </w:rPr>
          <w:t>33</w:t>
        </w:r>
        <w:r w:rsidR="009B7AFD">
          <w:rPr>
            <w:b/>
            <w:color w:val="FFFFFF"/>
            <w:sz w:val="24"/>
          </w:rPr>
          <w:tab/>
          <w:t>What is</w:t>
        </w:r>
        <w:r w:rsidR="009B7AFD">
          <w:rPr>
            <w:b/>
            <w:color w:val="FFFFFF"/>
            <w:spacing w:val="-1"/>
            <w:sz w:val="24"/>
          </w:rPr>
          <w:t xml:space="preserve"> </w:t>
        </w:r>
        <w:r w:rsidR="009B7AFD">
          <w:rPr>
            <w:b/>
            <w:color w:val="FFFFFF"/>
            <w:sz w:val="24"/>
          </w:rPr>
          <w:t>cyberstalking?</w:t>
        </w:r>
      </w:hyperlink>
    </w:p>
    <w:p w14:paraId="3AEE9836" w14:textId="77777777" w:rsidR="00894070" w:rsidRDefault="009F6793">
      <w:pPr>
        <w:tabs>
          <w:tab w:val="left" w:pos="1545"/>
        </w:tabs>
        <w:spacing w:before="14" w:after="57"/>
        <w:ind w:left="979"/>
        <w:rPr>
          <w:b/>
          <w:sz w:val="24"/>
        </w:rPr>
      </w:pPr>
      <w:hyperlink w:anchor="_bookmark24" w:history="1">
        <w:r w:rsidR="009B7AFD">
          <w:rPr>
            <w:b/>
            <w:color w:val="FFFFFF"/>
            <w:sz w:val="24"/>
          </w:rPr>
          <w:t>35</w:t>
        </w:r>
        <w:r w:rsidR="009B7AFD">
          <w:rPr>
            <w:b/>
            <w:color w:val="FFFFFF"/>
            <w:sz w:val="24"/>
          </w:rPr>
          <w:tab/>
          <w:t xml:space="preserve">Cyberstalking can </w:t>
        </w:r>
        <w:r w:rsidR="009B7AFD">
          <w:rPr>
            <w:b/>
            <w:color w:val="FFFFFF"/>
            <w:spacing w:val="-4"/>
            <w:sz w:val="24"/>
          </w:rPr>
          <w:t xml:space="preserve">have </w:t>
        </w:r>
        <w:r w:rsidR="009B7AFD">
          <w:rPr>
            <w:b/>
            <w:color w:val="FFFFFF"/>
            <w:sz w:val="24"/>
          </w:rPr>
          <w:t>serious</w:t>
        </w:r>
        <w:r w:rsidR="009B7AFD">
          <w:rPr>
            <w:b/>
            <w:color w:val="FFFFFF"/>
            <w:spacing w:val="2"/>
            <w:sz w:val="24"/>
          </w:rPr>
          <w:t xml:space="preserve"> </w:t>
        </w:r>
        <w:r w:rsidR="009B7AFD">
          <w:rPr>
            <w:b/>
            <w:color w:val="FFFFFF"/>
            <w:sz w:val="24"/>
          </w:rPr>
          <w:t>effects</w:t>
        </w:r>
      </w:hyperlink>
    </w:p>
    <w:p w14:paraId="6E5217C5" w14:textId="77777777" w:rsidR="00894070" w:rsidRDefault="009F6793">
      <w:pPr>
        <w:pStyle w:val="BodyText"/>
        <w:spacing w:line="40" w:lineRule="exact"/>
        <w:ind w:left="959"/>
        <w:rPr>
          <w:sz w:val="4"/>
        </w:rPr>
      </w:pPr>
      <w:r>
        <w:rPr>
          <w:sz w:val="4"/>
        </w:rPr>
      </w:r>
      <w:r>
        <w:rPr>
          <w:sz w:val="4"/>
        </w:rPr>
        <w:pict w14:anchorId="4B438AC5">
          <v:group id="_x0000_s1621" style="width:25.55pt;height:2pt;mso-position-horizontal-relative:char;mso-position-vertical-relative:line" coordsize="511,40">
            <v:line id="_x0000_s1622" style="position:absolute" from="0,20" to="510,20" strokecolor="#f4a997" strokeweight="2pt"/>
            <w10:anchorlock/>
          </v:group>
        </w:pict>
      </w:r>
    </w:p>
    <w:p w14:paraId="5E66DDB2" w14:textId="77777777" w:rsidR="00894070" w:rsidRDefault="009F6793">
      <w:pPr>
        <w:tabs>
          <w:tab w:val="left" w:pos="1545"/>
        </w:tabs>
        <w:spacing w:before="43"/>
        <w:ind w:left="979"/>
        <w:rPr>
          <w:b/>
          <w:sz w:val="24"/>
        </w:rPr>
      </w:pPr>
      <w:r>
        <w:pict w14:anchorId="792F7B69">
          <v:line id="_x0000_s1620" style="position:absolute;left:0;text-align:left;z-index:251466752;mso-wrap-distance-left:0;mso-wrap-distance-right:0;mso-position-horizontal-relative:page" from="77.95pt,22.65pt" to="103.45pt,22.65pt" strokecolor="#f4a997" strokeweight="2pt">
            <w10:wrap type="topAndBottom" anchorx="page"/>
          </v:line>
        </w:pict>
      </w:r>
      <w:hyperlink w:anchor="_bookmark24" w:history="1">
        <w:r w:rsidR="009B7AFD">
          <w:rPr>
            <w:b/>
            <w:color w:val="FFFFFF"/>
            <w:sz w:val="24"/>
          </w:rPr>
          <w:t>35</w:t>
        </w:r>
        <w:r w:rsidR="009B7AFD">
          <w:rPr>
            <w:b/>
            <w:color w:val="FFFFFF"/>
            <w:sz w:val="24"/>
          </w:rPr>
          <w:tab/>
          <w:t xml:space="preserve">What do </w:t>
        </w:r>
        <w:r w:rsidR="009B7AFD">
          <w:rPr>
            <w:b/>
            <w:color w:val="FFFFFF"/>
            <w:spacing w:val="-3"/>
            <w:sz w:val="24"/>
          </w:rPr>
          <w:t xml:space="preserve">we </w:t>
        </w:r>
        <w:r w:rsidR="009B7AFD">
          <w:rPr>
            <w:b/>
            <w:color w:val="FFFFFF"/>
            <w:sz w:val="24"/>
          </w:rPr>
          <w:t>know about cyberstalking in the</w:t>
        </w:r>
        <w:r w:rsidR="009B7AFD">
          <w:rPr>
            <w:b/>
            <w:color w:val="FFFFFF"/>
            <w:spacing w:val="-4"/>
            <w:sz w:val="24"/>
          </w:rPr>
          <w:t xml:space="preserve"> </w:t>
        </w:r>
        <w:r w:rsidR="009B7AFD">
          <w:rPr>
            <w:b/>
            <w:color w:val="FFFFFF"/>
            <w:sz w:val="24"/>
          </w:rPr>
          <w:t>community?</w:t>
        </w:r>
      </w:hyperlink>
    </w:p>
    <w:p w14:paraId="2B53DCB1" w14:textId="77777777" w:rsidR="00894070" w:rsidRDefault="009F6793">
      <w:pPr>
        <w:tabs>
          <w:tab w:val="left" w:pos="1545"/>
        </w:tabs>
        <w:spacing w:before="14" w:after="57"/>
        <w:ind w:left="979"/>
        <w:rPr>
          <w:b/>
          <w:sz w:val="24"/>
        </w:rPr>
      </w:pPr>
      <w:hyperlink w:anchor="_bookmark27" w:history="1">
        <w:r w:rsidR="009B7AFD">
          <w:rPr>
            <w:b/>
            <w:color w:val="FFFFFF"/>
            <w:sz w:val="24"/>
          </w:rPr>
          <w:t>38</w:t>
        </w:r>
        <w:r w:rsidR="009B7AFD">
          <w:rPr>
            <w:b/>
            <w:color w:val="FFFFFF"/>
            <w:sz w:val="24"/>
          </w:rPr>
          <w:tab/>
          <w:t>What are the legal and regulatory responses to</w:t>
        </w:r>
        <w:r w:rsidR="009B7AFD">
          <w:rPr>
            <w:b/>
            <w:color w:val="FFFFFF"/>
            <w:spacing w:val="-9"/>
            <w:sz w:val="24"/>
          </w:rPr>
          <w:t xml:space="preserve"> </w:t>
        </w:r>
        <w:r w:rsidR="009B7AFD">
          <w:rPr>
            <w:b/>
            <w:color w:val="FFFFFF"/>
            <w:sz w:val="24"/>
          </w:rPr>
          <w:t>cyberstalking?</w:t>
        </w:r>
      </w:hyperlink>
    </w:p>
    <w:p w14:paraId="4B4642C6" w14:textId="77777777" w:rsidR="00894070" w:rsidRDefault="009F6793">
      <w:pPr>
        <w:pStyle w:val="BodyText"/>
        <w:spacing w:line="40" w:lineRule="exact"/>
        <w:ind w:left="959"/>
        <w:rPr>
          <w:sz w:val="4"/>
        </w:rPr>
      </w:pPr>
      <w:r>
        <w:rPr>
          <w:sz w:val="4"/>
        </w:rPr>
      </w:r>
      <w:r>
        <w:rPr>
          <w:sz w:val="4"/>
        </w:rPr>
        <w:pict w14:anchorId="30B450A6">
          <v:group id="_x0000_s1618" style="width:25.55pt;height:2pt;mso-position-horizontal-relative:char;mso-position-vertical-relative:line" coordsize="511,40">
            <v:line id="_x0000_s1619" style="position:absolute" from="0,20" to="510,20" strokecolor="#f4a997" strokeweight="2pt"/>
            <w10:anchorlock/>
          </v:group>
        </w:pict>
      </w:r>
    </w:p>
    <w:p w14:paraId="617C82EA" w14:textId="77777777" w:rsidR="00894070" w:rsidRDefault="009F6793">
      <w:pPr>
        <w:tabs>
          <w:tab w:val="left" w:pos="1545"/>
        </w:tabs>
        <w:spacing w:before="43"/>
        <w:ind w:left="979"/>
        <w:rPr>
          <w:b/>
          <w:sz w:val="24"/>
        </w:rPr>
      </w:pPr>
      <w:r>
        <w:pict w14:anchorId="1086CEB8">
          <v:line id="_x0000_s1617" style="position:absolute;left:0;text-align:left;z-index:251467776;mso-wrap-distance-left:0;mso-wrap-distance-right:0;mso-position-horizontal-relative:page" from="77.95pt,22.65pt" to="103.45pt,22.65pt" strokecolor="#f4a997" strokeweight="2pt">
            <w10:wrap type="topAndBottom" anchorx="page"/>
          </v:line>
        </w:pict>
      </w:r>
      <w:hyperlink w:anchor="_bookmark29" w:history="1">
        <w:r w:rsidR="009B7AFD">
          <w:rPr>
            <w:b/>
            <w:color w:val="FFFFFF"/>
            <w:sz w:val="24"/>
          </w:rPr>
          <w:t>41</w:t>
        </w:r>
        <w:r w:rsidR="009B7AFD">
          <w:rPr>
            <w:b/>
            <w:color w:val="FFFFFF"/>
            <w:sz w:val="24"/>
          </w:rPr>
          <w:tab/>
          <w:t>What are the barriers to seeking help for</w:t>
        </w:r>
        <w:r w:rsidR="009B7AFD">
          <w:rPr>
            <w:b/>
            <w:color w:val="FFFFFF"/>
            <w:spacing w:val="-6"/>
            <w:sz w:val="24"/>
          </w:rPr>
          <w:t xml:space="preserve"> </w:t>
        </w:r>
        <w:r w:rsidR="009B7AFD">
          <w:rPr>
            <w:b/>
            <w:color w:val="FFFFFF"/>
            <w:sz w:val="24"/>
          </w:rPr>
          <w:t>cyberstalking?</w:t>
        </w:r>
      </w:hyperlink>
    </w:p>
    <w:p w14:paraId="00B734D0" w14:textId="77777777" w:rsidR="00894070" w:rsidRDefault="009F6793">
      <w:pPr>
        <w:tabs>
          <w:tab w:val="left" w:pos="1545"/>
        </w:tabs>
        <w:spacing w:before="14" w:after="57"/>
        <w:ind w:left="979"/>
        <w:rPr>
          <w:b/>
          <w:sz w:val="24"/>
        </w:rPr>
      </w:pPr>
      <w:hyperlink w:anchor="_bookmark29" w:history="1">
        <w:r w:rsidR="009B7AFD">
          <w:rPr>
            <w:b/>
            <w:color w:val="FFFFFF"/>
            <w:sz w:val="24"/>
          </w:rPr>
          <w:t>41</w:t>
        </w:r>
        <w:r w:rsidR="009B7AFD">
          <w:rPr>
            <w:b/>
            <w:color w:val="FFFFFF"/>
            <w:sz w:val="24"/>
          </w:rPr>
          <w:tab/>
          <w:t>There should be public education about</w:t>
        </w:r>
        <w:r w:rsidR="009B7AFD">
          <w:rPr>
            <w:b/>
            <w:color w:val="FFFFFF"/>
            <w:spacing w:val="-4"/>
            <w:sz w:val="24"/>
          </w:rPr>
          <w:t xml:space="preserve"> </w:t>
        </w:r>
        <w:r w:rsidR="009B7AFD">
          <w:rPr>
            <w:b/>
            <w:color w:val="FFFFFF"/>
            <w:sz w:val="24"/>
          </w:rPr>
          <w:t>cyberstalking</w:t>
        </w:r>
      </w:hyperlink>
    </w:p>
    <w:p w14:paraId="0F71AEF6" w14:textId="77777777" w:rsidR="00894070" w:rsidRDefault="009F6793">
      <w:pPr>
        <w:pStyle w:val="BodyText"/>
        <w:spacing w:line="40" w:lineRule="exact"/>
        <w:ind w:left="959"/>
        <w:rPr>
          <w:sz w:val="4"/>
        </w:rPr>
      </w:pPr>
      <w:r>
        <w:rPr>
          <w:sz w:val="4"/>
        </w:rPr>
      </w:r>
      <w:r>
        <w:rPr>
          <w:sz w:val="4"/>
        </w:rPr>
        <w:pict w14:anchorId="2448D042">
          <v:group id="_x0000_s1615" style="width:25.55pt;height:2pt;mso-position-horizontal-relative:char;mso-position-vertical-relative:line" coordsize="511,40">
            <v:line id="_x0000_s1616" style="position:absolute" from="0,20" to="510,20" strokecolor="#f4a997" strokeweight="2pt"/>
            <w10:anchorlock/>
          </v:group>
        </w:pict>
      </w:r>
    </w:p>
    <w:p w14:paraId="1751CAF8" w14:textId="77777777" w:rsidR="00894070" w:rsidRDefault="009F6793">
      <w:pPr>
        <w:tabs>
          <w:tab w:val="left" w:pos="1545"/>
        </w:tabs>
        <w:spacing w:before="43"/>
        <w:ind w:left="979"/>
        <w:rPr>
          <w:b/>
          <w:sz w:val="24"/>
        </w:rPr>
      </w:pPr>
      <w:r>
        <w:pict w14:anchorId="186A32B2">
          <v:line id="_x0000_s1614" style="position:absolute;left:0;text-align:left;z-index:251468800;mso-wrap-distance-left:0;mso-wrap-distance-right:0;mso-position-horizontal-relative:page" from="77.95pt,22.65pt" to="103.45pt,22.65pt" strokecolor="#f4a997" strokeweight="2pt">
            <w10:wrap type="topAndBottom" anchorx="page"/>
          </v:line>
        </w:pict>
      </w:r>
      <w:hyperlink w:anchor="_bookmark31" w:history="1">
        <w:r w:rsidR="009B7AFD">
          <w:rPr>
            <w:b/>
            <w:color w:val="FFFFFF"/>
            <w:spacing w:val="-3"/>
            <w:sz w:val="24"/>
          </w:rPr>
          <w:t>43</w:t>
        </w:r>
        <w:r w:rsidR="009B7AFD">
          <w:rPr>
            <w:b/>
            <w:color w:val="FFFFFF"/>
            <w:spacing w:val="-3"/>
            <w:sz w:val="24"/>
          </w:rPr>
          <w:tab/>
        </w:r>
        <w:r w:rsidR="009B7AFD">
          <w:rPr>
            <w:b/>
            <w:color w:val="FFFFFF"/>
            <w:sz w:val="24"/>
          </w:rPr>
          <w:t>Where can people get help and support for</w:t>
        </w:r>
        <w:r w:rsidR="009B7AFD">
          <w:rPr>
            <w:b/>
            <w:color w:val="FFFFFF"/>
            <w:spacing w:val="-5"/>
            <w:sz w:val="24"/>
          </w:rPr>
          <w:t xml:space="preserve"> </w:t>
        </w:r>
        <w:r w:rsidR="009B7AFD">
          <w:rPr>
            <w:b/>
            <w:color w:val="FFFFFF"/>
            <w:sz w:val="24"/>
          </w:rPr>
          <w:t>cyberstalking?</w:t>
        </w:r>
      </w:hyperlink>
    </w:p>
    <w:p w14:paraId="37E44288" w14:textId="77777777" w:rsidR="00894070" w:rsidRDefault="009F6793">
      <w:pPr>
        <w:tabs>
          <w:tab w:val="left" w:pos="1545"/>
        </w:tabs>
        <w:spacing w:before="14" w:after="57"/>
        <w:ind w:left="979"/>
        <w:rPr>
          <w:b/>
          <w:sz w:val="24"/>
        </w:rPr>
      </w:pPr>
      <w:hyperlink w:anchor="_bookmark32" w:history="1">
        <w:r w:rsidR="009B7AFD">
          <w:rPr>
            <w:b/>
            <w:color w:val="FFFFFF"/>
            <w:sz w:val="24"/>
          </w:rPr>
          <w:t>45</w:t>
        </w:r>
        <w:r w:rsidR="009B7AFD">
          <w:rPr>
            <w:b/>
            <w:color w:val="FFFFFF"/>
            <w:sz w:val="24"/>
          </w:rPr>
          <w:tab/>
          <w:t>People who experience cyberstalking need more</w:t>
        </w:r>
        <w:r w:rsidR="009B7AFD">
          <w:rPr>
            <w:b/>
            <w:color w:val="FFFFFF"/>
            <w:spacing w:val="-4"/>
            <w:sz w:val="24"/>
          </w:rPr>
          <w:t xml:space="preserve"> </w:t>
        </w:r>
        <w:r w:rsidR="009B7AFD">
          <w:rPr>
            <w:b/>
            <w:color w:val="FFFFFF"/>
            <w:sz w:val="24"/>
          </w:rPr>
          <w:t>support</w:t>
        </w:r>
      </w:hyperlink>
    </w:p>
    <w:p w14:paraId="4AD9209A" w14:textId="77777777" w:rsidR="00894070" w:rsidRDefault="009F6793">
      <w:pPr>
        <w:pStyle w:val="BodyText"/>
        <w:spacing w:line="40" w:lineRule="exact"/>
        <w:ind w:left="959"/>
        <w:rPr>
          <w:sz w:val="4"/>
        </w:rPr>
      </w:pPr>
      <w:r>
        <w:rPr>
          <w:sz w:val="4"/>
        </w:rPr>
      </w:r>
      <w:r>
        <w:rPr>
          <w:sz w:val="4"/>
        </w:rPr>
        <w:pict w14:anchorId="311C368D">
          <v:group id="_x0000_s1612" style="width:25.55pt;height:2pt;mso-position-horizontal-relative:char;mso-position-vertical-relative:line" coordsize="511,40">
            <v:line id="_x0000_s1613" style="position:absolute" from="0,20" to="510,20" strokecolor="#f4a997" strokeweight="2pt"/>
            <w10:anchorlock/>
          </v:group>
        </w:pict>
      </w:r>
    </w:p>
    <w:p w14:paraId="06C49727" w14:textId="77777777" w:rsidR="00894070" w:rsidRDefault="009F6793">
      <w:pPr>
        <w:tabs>
          <w:tab w:val="left" w:pos="1545"/>
        </w:tabs>
        <w:spacing w:before="43"/>
        <w:ind w:left="979"/>
        <w:rPr>
          <w:b/>
          <w:sz w:val="24"/>
        </w:rPr>
      </w:pPr>
      <w:r>
        <w:pict w14:anchorId="22659F48">
          <v:line id="_x0000_s1611" style="position:absolute;left:0;text-align:left;z-index:251470848;mso-wrap-distance-left:0;mso-wrap-distance-right:0;mso-position-horizontal-relative:page" from="77.95pt,22.65pt" to="103.45pt,22.65pt" strokecolor="#f4a997" strokeweight="2pt">
            <w10:wrap type="topAndBottom" anchorx="page"/>
          </v:line>
        </w:pict>
      </w:r>
      <w:hyperlink w:anchor="_bookmark34" w:history="1">
        <w:r w:rsidR="009B7AFD">
          <w:rPr>
            <w:b/>
            <w:color w:val="FFFFFF"/>
            <w:spacing w:val="-6"/>
            <w:sz w:val="24"/>
          </w:rPr>
          <w:t>47</w:t>
        </w:r>
        <w:r w:rsidR="009B7AFD">
          <w:rPr>
            <w:b/>
            <w:color w:val="FFFFFF"/>
            <w:spacing w:val="-6"/>
            <w:sz w:val="24"/>
          </w:rPr>
          <w:tab/>
        </w:r>
        <w:r w:rsidR="009B7AFD">
          <w:rPr>
            <w:b/>
            <w:color w:val="FFFFFF"/>
            <w:sz w:val="24"/>
          </w:rPr>
          <w:t>Police responses to cyberstalking need to</w:t>
        </w:r>
        <w:r w:rsidR="009B7AFD">
          <w:rPr>
            <w:b/>
            <w:color w:val="FFFFFF"/>
            <w:spacing w:val="-3"/>
            <w:sz w:val="24"/>
          </w:rPr>
          <w:t xml:space="preserve"> improve</w:t>
        </w:r>
      </w:hyperlink>
    </w:p>
    <w:p w14:paraId="3EE77987" w14:textId="77777777" w:rsidR="00894070" w:rsidRDefault="009F6793">
      <w:pPr>
        <w:tabs>
          <w:tab w:val="left" w:pos="1545"/>
        </w:tabs>
        <w:spacing w:before="14" w:after="57"/>
        <w:ind w:left="979"/>
        <w:rPr>
          <w:b/>
          <w:sz w:val="24"/>
        </w:rPr>
      </w:pPr>
      <w:hyperlink w:anchor="_bookmark37" w:history="1">
        <w:r w:rsidR="009B7AFD">
          <w:rPr>
            <w:b/>
            <w:color w:val="FFFFFF"/>
            <w:sz w:val="24"/>
          </w:rPr>
          <w:t>51</w:t>
        </w:r>
        <w:r w:rsidR="009B7AFD">
          <w:rPr>
            <w:b/>
            <w:color w:val="FFFFFF"/>
            <w:sz w:val="24"/>
          </w:rPr>
          <w:tab/>
        </w:r>
        <w:r w:rsidR="009B7AFD">
          <w:rPr>
            <w:b/>
            <w:color w:val="FFFFFF"/>
            <w:spacing w:val="-5"/>
            <w:sz w:val="24"/>
          </w:rPr>
          <w:t xml:space="preserve">Work </w:t>
        </w:r>
        <w:r w:rsidR="009B7AFD">
          <w:rPr>
            <w:b/>
            <w:color w:val="FFFFFF"/>
            <w:sz w:val="24"/>
          </w:rPr>
          <w:t xml:space="preserve">is under </w:t>
        </w:r>
        <w:r w:rsidR="009B7AFD">
          <w:rPr>
            <w:b/>
            <w:color w:val="FFFFFF"/>
            <w:spacing w:val="-3"/>
            <w:sz w:val="24"/>
          </w:rPr>
          <w:t xml:space="preserve">way </w:t>
        </w:r>
        <w:r w:rsidR="009B7AFD">
          <w:rPr>
            <w:b/>
            <w:color w:val="FFFFFF"/>
            <w:sz w:val="24"/>
          </w:rPr>
          <w:t>to keep people safe</w:t>
        </w:r>
        <w:r w:rsidR="009B7AFD">
          <w:rPr>
            <w:b/>
            <w:color w:val="FFFFFF"/>
            <w:spacing w:val="5"/>
            <w:sz w:val="24"/>
          </w:rPr>
          <w:t xml:space="preserve"> </w:t>
        </w:r>
        <w:r w:rsidR="009B7AFD">
          <w:rPr>
            <w:b/>
            <w:color w:val="FFFFFF"/>
            <w:sz w:val="24"/>
          </w:rPr>
          <w:t>online</w:t>
        </w:r>
      </w:hyperlink>
    </w:p>
    <w:p w14:paraId="512DF906" w14:textId="77777777" w:rsidR="00894070" w:rsidRDefault="009F6793">
      <w:pPr>
        <w:pStyle w:val="BodyText"/>
        <w:spacing w:line="40" w:lineRule="exact"/>
        <w:ind w:left="959"/>
        <w:rPr>
          <w:sz w:val="4"/>
        </w:rPr>
      </w:pPr>
      <w:r>
        <w:rPr>
          <w:sz w:val="4"/>
        </w:rPr>
      </w:r>
      <w:r>
        <w:rPr>
          <w:sz w:val="4"/>
        </w:rPr>
        <w:pict w14:anchorId="1D5EDF5D">
          <v:group id="_x0000_s1609" style="width:25.55pt;height:2pt;mso-position-horizontal-relative:char;mso-position-vertical-relative:line" coordsize="511,40">
            <v:line id="_x0000_s1610" style="position:absolute" from="0,20" to="510,20" strokecolor="#f4a997" strokeweight="2pt"/>
            <w10:anchorlock/>
          </v:group>
        </w:pict>
      </w:r>
    </w:p>
    <w:p w14:paraId="6BB731DF" w14:textId="77777777" w:rsidR="00894070" w:rsidRDefault="00894070">
      <w:pPr>
        <w:spacing w:line="40" w:lineRule="exact"/>
        <w:rPr>
          <w:sz w:val="4"/>
        </w:rPr>
        <w:sectPr w:rsidR="00894070">
          <w:headerReference w:type="even" r:id="rId68"/>
          <w:headerReference w:type="default" r:id="rId69"/>
          <w:pgSz w:w="11910" w:h="16840"/>
          <w:pgMar w:top="480" w:right="420" w:bottom="280" w:left="580" w:header="0" w:footer="0" w:gutter="0"/>
          <w:cols w:space="720"/>
        </w:sectPr>
      </w:pPr>
    </w:p>
    <w:p w14:paraId="6E0117EB" w14:textId="77777777" w:rsidR="00894070" w:rsidRDefault="009F6793">
      <w:pPr>
        <w:pStyle w:val="BodyText"/>
        <w:rPr>
          <w:b/>
        </w:rPr>
      </w:pPr>
      <w:r>
        <w:lastRenderedPageBreak/>
        <w:pict w14:anchorId="5BABB9BE">
          <v:rect id="_x0000_s1608" style="position:absolute;margin-left:0;margin-top:99.2pt;width:14.15pt;height:85.75pt;z-index:251541504;mso-position-horizontal-relative:page;mso-position-vertical-relative:page" fillcolor="#ea5b50" stroked="f">
            <w10:wrap anchorx="page" anchory="page"/>
          </v:rect>
        </w:pict>
      </w:r>
    </w:p>
    <w:p w14:paraId="3AFF7F64" w14:textId="77777777" w:rsidR="00894070" w:rsidRDefault="00894070">
      <w:pPr>
        <w:pStyle w:val="BodyText"/>
        <w:rPr>
          <w:b/>
        </w:rPr>
      </w:pPr>
    </w:p>
    <w:p w14:paraId="76C70441" w14:textId="77777777" w:rsidR="00894070" w:rsidRDefault="00894070">
      <w:pPr>
        <w:pStyle w:val="BodyText"/>
        <w:spacing w:before="2"/>
        <w:rPr>
          <w:b/>
          <w:sz w:val="25"/>
        </w:rPr>
      </w:pPr>
    </w:p>
    <w:p w14:paraId="4BFB2527" w14:textId="77777777" w:rsidR="00894070" w:rsidRDefault="009B7AFD">
      <w:pPr>
        <w:pStyle w:val="ListParagraph"/>
        <w:numPr>
          <w:ilvl w:val="0"/>
          <w:numId w:val="177"/>
        </w:numPr>
        <w:tabs>
          <w:tab w:val="left" w:pos="846"/>
        </w:tabs>
        <w:spacing w:line="758" w:lineRule="exact"/>
        <w:ind w:left="845" w:hanging="594"/>
        <w:jc w:val="left"/>
        <w:rPr>
          <w:rFonts w:ascii="Raleway ExtraBold"/>
          <w:b/>
          <w:color w:val="EA5B50"/>
          <w:sz w:val="56"/>
        </w:rPr>
      </w:pPr>
      <w:bookmarkStart w:id="44" w:name="3._Responses_to_cyberstalking"/>
      <w:bookmarkStart w:id="45" w:name="_bookmark22"/>
      <w:bookmarkEnd w:id="44"/>
      <w:bookmarkEnd w:id="45"/>
      <w:r>
        <w:rPr>
          <w:rFonts w:ascii="Raleway ExtraBold"/>
          <w:b/>
          <w:color w:val="EA5B50"/>
          <w:spacing w:val="-4"/>
          <w:sz w:val="56"/>
        </w:rPr>
        <w:t xml:space="preserve">Responses </w:t>
      </w:r>
      <w:r>
        <w:rPr>
          <w:rFonts w:ascii="Raleway ExtraBold"/>
          <w:b/>
          <w:color w:val="EA5B50"/>
          <w:spacing w:val="-5"/>
          <w:sz w:val="56"/>
        </w:rPr>
        <w:t>to</w:t>
      </w:r>
      <w:r>
        <w:rPr>
          <w:rFonts w:ascii="Raleway ExtraBold"/>
          <w:b/>
          <w:color w:val="EA5B50"/>
          <w:spacing w:val="3"/>
          <w:sz w:val="56"/>
        </w:rPr>
        <w:t xml:space="preserve"> </w:t>
      </w:r>
      <w:r>
        <w:rPr>
          <w:rFonts w:ascii="Raleway ExtraBold"/>
          <w:b/>
          <w:color w:val="EA5B50"/>
          <w:spacing w:val="-4"/>
          <w:sz w:val="56"/>
        </w:rPr>
        <w:t>cyberstalking</w:t>
      </w:r>
    </w:p>
    <w:p w14:paraId="7CCD269A" w14:textId="77777777" w:rsidR="00894070" w:rsidRDefault="00894070">
      <w:pPr>
        <w:pStyle w:val="BodyText"/>
        <w:rPr>
          <w:rFonts w:ascii="Raleway ExtraBold"/>
          <w:b/>
          <w:sz w:val="66"/>
        </w:rPr>
      </w:pPr>
    </w:p>
    <w:p w14:paraId="654ECF30" w14:textId="77777777" w:rsidR="00894070" w:rsidRDefault="00894070">
      <w:pPr>
        <w:pStyle w:val="BodyText"/>
        <w:rPr>
          <w:rFonts w:ascii="Raleway ExtraBold"/>
          <w:b/>
          <w:sz w:val="66"/>
        </w:rPr>
      </w:pPr>
    </w:p>
    <w:p w14:paraId="1B6F5E59" w14:textId="77777777" w:rsidR="00894070" w:rsidRDefault="00894070">
      <w:pPr>
        <w:pStyle w:val="BodyText"/>
        <w:spacing w:before="8"/>
        <w:rPr>
          <w:rFonts w:ascii="Raleway ExtraBold"/>
          <w:b/>
          <w:sz w:val="85"/>
        </w:rPr>
      </w:pPr>
    </w:p>
    <w:p w14:paraId="1A83441E" w14:textId="77777777" w:rsidR="00894070" w:rsidRDefault="009B7AFD">
      <w:pPr>
        <w:ind w:left="1007"/>
        <w:rPr>
          <w:rFonts w:ascii="Raleway ExtraBold"/>
          <w:b/>
          <w:sz w:val="28"/>
        </w:rPr>
      </w:pPr>
      <w:r>
        <w:rPr>
          <w:rFonts w:ascii="Raleway ExtraBold"/>
          <w:b/>
          <w:color w:val="EA5B50"/>
          <w:sz w:val="28"/>
        </w:rPr>
        <w:t>Overview</w:t>
      </w:r>
    </w:p>
    <w:p w14:paraId="38D8E6D3" w14:textId="77777777" w:rsidR="00894070" w:rsidRDefault="009B7AFD">
      <w:pPr>
        <w:pStyle w:val="ListParagraph"/>
        <w:numPr>
          <w:ilvl w:val="0"/>
          <w:numId w:val="163"/>
        </w:numPr>
        <w:tabs>
          <w:tab w:val="left" w:pos="2141"/>
          <w:tab w:val="left" w:pos="2142"/>
        </w:tabs>
        <w:spacing w:before="146" w:line="206" w:lineRule="auto"/>
        <w:ind w:right="1343" w:hanging="340"/>
        <w:rPr>
          <w:sz w:val="11"/>
        </w:rPr>
      </w:pPr>
      <w:r>
        <w:rPr>
          <w:color w:val="231F20"/>
          <w:sz w:val="20"/>
        </w:rPr>
        <w:t xml:space="preserve">Cyberstalking is stalking using information and communication </w:t>
      </w:r>
      <w:r>
        <w:rPr>
          <w:color w:val="231F20"/>
          <w:spacing w:val="-3"/>
          <w:sz w:val="20"/>
        </w:rPr>
        <w:t xml:space="preserve">technology. </w:t>
      </w:r>
      <w:r>
        <w:rPr>
          <w:color w:val="231F20"/>
          <w:sz w:val="20"/>
        </w:rPr>
        <w:t>In Victoria,</w:t>
      </w:r>
      <w:r>
        <w:rPr>
          <w:color w:val="231F20"/>
          <w:spacing w:val="-12"/>
          <w:sz w:val="20"/>
        </w:rPr>
        <w:t xml:space="preserve"> </w:t>
      </w:r>
      <w:r>
        <w:rPr>
          <w:color w:val="231F20"/>
          <w:sz w:val="20"/>
        </w:rPr>
        <w:t>cyberstalking</w:t>
      </w:r>
      <w:r>
        <w:rPr>
          <w:color w:val="231F20"/>
          <w:spacing w:val="-11"/>
          <w:sz w:val="20"/>
        </w:rPr>
        <w:t xml:space="preserve"> </w:t>
      </w:r>
      <w:r>
        <w:rPr>
          <w:color w:val="231F20"/>
          <w:sz w:val="20"/>
        </w:rPr>
        <w:t>is</w:t>
      </w:r>
      <w:r>
        <w:rPr>
          <w:color w:val="231F20"/>
          <w:spacing w:val="-11"/>
          <w:sz w:val="20"/>
        </w:rPr>
        <w:t xml:space="preserve"> </w:t>
      </w:r>
      <w:r>
        <w:rPr>
          <w:color w:val="231F20"/>
          <w:spacing w:val="-4"/>
          <w:sz w:val="20"/>
        </w:rPr>
        <w:t>covered</w:t>
      </w:r>
      <w:r>
        <w:rPr>
          <w:color w:val="231F20"/>
          <w:spacing w:val="-11"/>
          <w:sz w:val="20"/>
        </w:rPr>
        <w:t xml:space="preserve"> </w:t>
      </w:r>
      <w:r>
        <w:rPr>
          <w:color w:val="231F20"/>
          <w:spacing w:val="-3"/>
          <w:sz w:val="20"/>
        </w:rPr>
        <w:t>by</w:t>
      </w:r>
      <w:r>
        <w:rPr>
          <w:color w:val="231F20"/>
          <w:spacing w:val="-12"/>
          <w:sz w:val="20"/>
        </w:rPr>
        <w:t xml:space="preserve"> </w:t>
      </w:r>
      <w:r>
        <w:rPr>
          <w:color w:val="231F20"/>
          <w:sz w:val="20"/>
        </w:rPr>
        <w:t>the</w:t>
      </w:r>
      <w:r>
        <w:rPr>
          <w:color w:val="231F20"/>
          <w:spacing w:val="-11"/>
          <w:sz w:val="20"/>
        </w:rPr>
        <w:t xml:space="preserve"> </w:t>
      </w:r>
      <w:r>
        <w:rPr>
          <w:color w:val="231F20"/>
          <w:sz w:val="20"/>
        </w:rPr>
        <w:t>stalking</w:t>
      </w:r>
      <w:r>
        <w:rPr>
          <w:color w:val="231F20"/>
          <w:spacing w:val="-11"/>
          <w:sz w:val="20"/>
        </w:rPr>
        <w:t xml:space="preserve"> </w:t>
      </w:r>
      <w:r>
        <w:rPr>
          <w:color w:val="231F20"/>
          <w:spacing w:val="-3"/>
          <w:sz w:val="20"/>
        </w:rPr>
        <w:t>offence,</w:t>
      </w:r>
      <w:r>
        <w:rPr>
          <w:color w:val="231F20"/>
          <w:spacing w:val="-11"/>
          <w:sz w:val="20"/>
        </w:rPr>
        <w:t xml:space="preserve"> </w:t>
      </w:r>
      <w:r>
        <w:rPr>
          <w:color w:val="231F20"/>
          <w:sz w:val="20"/>
        </w:rPr>
        <w:t>which</w:t>
      </w:r>
      <w:r>
        <w:rPr>
          <w:color w:val="231F20"/>
          <w:spacing w:val="-12"/>
          <w:sz w:val="20"/>
        </w:rPr>
        <w:t xml:space="preserve"> </w:t>
      </w:r>
      <w:r>
        <w:rPr>
          <w:color w:val="231F20"/>
          <w:sz w:val="20"/>
        </w:rPr>
        <w:t>is</w:t>
      </w:r>
      <w:r>
        <w:rPr>
          <w:color w:val="231F20"/>
          <w:spacing w:val="-11"/>
          <w:sz w:val="20"/>
        </w:rPr>
        <w:t xml:space="preserve"> </w:t>
      </w:r>
      <w:r>
        <w:rPr>
          <w:color w:val="231F20"/>
          <w:sz w:val="20"/>
        </w:rPr>
        <w:t xml:space="preserve">‘technologically </w:t>
      </w:r>
      <w:r>
        <w:rPr>
          <w:color w:val="231F20"/>
          <w:spacing w:val="-4"/>
          <w:sz w:val="20"/>
        </w:rPr>
        <w:t>neutral’.</w:t>
      </w:r>
      <w:r>
        <w:rPr>
          <w:color w:val="231F20"/>
          <w:spacing w:val="-4"/>
          <w:position w:val="7"/>
          <w:sz w:val="11"/>
        </w:rPr>
        <w:t>1</w:t>
      </w:r>
    </w:p>
    <w:p w14:paraId="741C01C5" w14:textId="77777777" w:rsidR="00894070" w:rsidRDefault="009B7AFD">
      <w:pPr>
        <w:pStyle w:val="ListParagraph"/>
        <w:numPr>
          <w:ilvl w:val="0"/>
          <w:numId w:val="163"/>
        </w:numPr>
        <w:tabs>
          <w:tab w:val="left" w:pos="2141"/>
          <w:tab w:val="left" w:pos="2142"/>
        </w:tabs>
        <w:spacing w:before="89" w:line="206" w:lineRule="auto"/>
        <w:ind w:right="1496" w:hanging="340"/>
        <w:rPr>
          <w:sz w:val="20"/>
        </w:rPr>
      </w:pPr>
      <w:r>
        <w:rPr>
          <w:color w:val="231F20"/>
          <w:sz w:val="20"/>
        </w:rPr>
        <w:t>People</w:t>
      </w:r>
      <w:r>
        <w:rPr>
          <w:color w:val="231F20"/>
          <w:spacing w:val="-13"/>
          <w:sz w:val="20"/>
        </w:rPr>
        <w:t xml:space="preserve"> </w:t>
      </w:r>
      <w:r>
        <w:rPr>
          <w:color w:val="231F20"/>
          <w:sz w:val="20"/>
        </w:rPr>
        <w:t>who</w:t>
      </w:r>
      <w:r>
        <w:rPr>
          <w:color w:val="231F20"/>
          <w:spacing w:val="-13"/>
          <w:sz w:val="20"/>
        </w:rPr>
        <w:t xml:space="preserve"> </w:t>
      </w:r>
      <w:r>
        <w:rPr>
          <w:color w:val="231F20"/>
          <w:sz w:val="20"/>
        </w:rPr>
        <w:t>experience</w:t>
      </w:r>
      <w:r>
        <w:rPr>
          <w:color w:val="231F20"/>
          <w:spacing w:val="-13"/>
          <w:sz w:val="20"/>
        </w:rPr>
        <w:t xml:space="preserve"> </w:t>
      </w:r>
      <w:r>
        <w:rPr>
          <w:color w:val="231F20"/>
          <w:sz w:val="20"/>
        </w:rPr>
        <w:t>cyberstalking</w:t>
      </w:r>
      <w:r>
        <w:rPr>
          <w:color w:val="231F20"/>
          <w:spacing w:val="-13"/>
          <w:sz w:val="20"/>
        </w:rPr>
        <w:t xml:space="preserve"> </w:t>
      </w:r>
      <w:r>
        <w:rPr>
          <w:color w:val="231F20"/>
          <w:sz w:val="20"/>
        </w:rPr>
        <w:t>face</w:t>
      </w:r>
      <w:r>
        <w:rPr>
          <w:color w:val="231F20"/>
          <w:spacing w:val="-13"/>
          <w:sz w:val="20"/>
        </w:rPr>
        <w:t xml:space="preserve"> </w:t>
      </w:r>
      <w:r>
        <w:rPr>
          <w:color w:val="231F20"/>
          <w:sz w:val="20"/>
        </w:rPr>
        <w:t>barriers</w:t>
      </w:r>
      <w:r>
        <w:rPr>
          <w:color w:val="231F20"/>
          <w:spacing w:val="-13"/>
          <w:sz w:val="20"/>
        </w:rPr>
        <w:t xml:space="preserve"> </w:t>
      </w:r>
      <w:r>
        <w:rPr>
          <w:color w:val="231F20"/>
          <w:sz w:val="20"/>
        </w:rPr>
        <w:t>to</w:t>
      </w:r>
      <w:r>
        <w:rPr>
          <w:color w:val="231F20"/>
          <w:spacing w:val="-13"/>
          <w:sz w:val="20"/>
        </w:rPr>
        <w:t xml:space="preserve"> </w:t>
      </w:r>
      <w:r>
        <w:rPr>
          <w:color w:val="231F20"/>
          <w:sz w:val="20"/>
        </w:rPr>
        <w:t>disclosing</w:t>
      </w:r>
      <w:r>
        <w:rPr>
          <w:color w:val="231F20"/>
          <w:spacing w:val="-13"/>
          <w:sz w:val="20"/>
        </w:rPr>
        <w:t xml:space="preserve"> </w:t>
      </w:r>
      <w:r>
        <w:rPr>
          <w:color w:val="231F20"/>
          <w:sz w:val="20"/>
        </w:rPr>
        <w:t>and</w:t>
      </w:r>
      <w:r>
        <w:rPr>
          <w:color w:val="231F20"/>
          <w:spacing w:val="-13"/>
          <w:sz w:val="20"/>
        </w:rPr>
        <w:t xml:space="preserve"> </w:t>
      </w:r>
      <w:r>
        <w:rPr>
          <w:color w:val="231F20"/>
          <w:sz w:val="20"/>
        </w:rPr>
        <w:t>reporting</w:t>
      </w:r>
      <w:r>
        <w:rPr>
          <w:color w:val="231F20"/>
          <w:spacing w:val="-13"/>
          <w:sz w:val="20"/>
        </w:rPr>
        <w:t xml:space="preserve"> </w:t>
      </w:r>
      <w:r>
        <w:rPr>
          <w:color w:val="231F20"/>
          <w:sz w:val="20"/>
        </w:rPr>
        <w:t>it and getting an outcome in the justice</w:t>
      </w:r>
      <w:r>
        <w:rPr>
          <w:color w:val="231F20"/>
          <w:spacing w:val="-33"/>
          <w:sz w:val="20"/>
        </w:rPr>
        <w:t xml:space="preserve"> </w:t>
      </w:r>
      <w:r>
        <w:rPr>
          <w:color w:val="231F20"/>
          <w:sz w:val="20"/>
        </w:rPr>
        <w:t>system.</w:t>
      </w:r>
    </w:p>
    <w:p w14:paraId="717CC997" w14:textId="77777777" w:rsidR="00894070" w:rsidRDefault="009B7AFD">
      <w:pPr>
        <w:pStyle w:val="ListParagraph"/>
        <w:numPr>
          <w:ilvl w:val="0"/>
          <w:numId w:val="163"/>
        </w:numPr>
        <w:tabs>
          <w:tab w:val="left" w:pos="2141"/>
          <w:tab w:val="left" w:pos="2142"/>
        </w:tabs>
        <w:spacing w:before="88" w:line="206" w:lineRule="auto"/>
        <w:ind w:right="1552" w:hanging="340"/>
        <w:rPr>
          <w:sz w:val="20"/>
        </w:rPr>
      </w:pPr>
      <w:r>
        <w:rPr>
          <w:color w:val="231F20"/>
          <w:sz w:val="20"/>
        </w:rPr>
        <w:t>Cyberstalking</w:t>
      </w:r>
      <w:r>
        <w:rPr>
          <w:color w:val="231F20"/>
          <w:spacing w:val="-9"/>
          <w:sz w:val="20"/>
        </w:rPr>
        <w:t xml:space="preserve"> </w:t>
      </w:r>
      <w:r>
        <w:rPr>
          <w:color w:val="231F20"/>
          <w:sz w:val="20"/>
        </w:rPr>
        <w:t>is</w:t>
      </w:r>
      <w:r>
        <w:rPr>
          <w:color w:val="231F20"/>
          <w:spacing w:val="-9"/>
          <w:sz w:val="20"/>
        </w:rPr>
        <w:t xml:space="preserve"> </w:t>
      </w:r>
      <w:r>
        <w:rPr>
          <w:color w:val="231F20"/>
          <w:sz w:val="20"/>
        </w:rPr>
        <w:t>a</w:t>
      </w:r>
      <w:r>
        <w:rPr>
          <w:color w:val="231F20"/>
          <w:spacing w:val="-8"/>
          <w:sz w:val="20"/>
        </w:rPr>
        <w:t xml:space="preserve"> </w:t>
      </w:r>
      <w:r>
        <w:rPr>
          <w:color w:val="231F20"/>
          <w:sz w:val="20"/>
        </w:rPr>
        <w:t>crime</w:t>
      </w:r>
      <w:r>
        <w:rPr>
          <w:color w:val="231F20"/>
          <w:spacing w:val="-9"/>
          <w:sz w:val="20"/>
        </w:rPr>
        <w:t xml:space="preserve"> </w:t>
      </w:r>
      <w:r>
        <w:rPr>
          <w:color w:val="231F20"/>
          <w:sz w:val="20"/>
        </w:rPr>
        <w:t>that</w:t>
      </w:r>
      <w:r>
        <w:rPr>
          <w:color w:val="231F20"/>
          <w:spacing w:val="-9"/>
          <w:sz w:val="20"/>
        </w:rPr>
        <w:t xml:space="preserve"> </w:t>
      </w:r>
      <w:r>
        <w:rPr>
          <w:color w:val="231F20"/>
          <w:sz w:val="20"/>
        </w:rPr>
        <w:t>is</w:t>
      </w:r>
      <w:r>
        <w:rPr>
          <w:color w:val="231F20"/>
          <w:spacing w:val="-8"/>
          <w:sz w:val="20"/>
        </w:rPr>
        <w:t xml:space="preserve"> </w:t>
      </w:r>
      <w:r>
        <w:rPr>
          <w:color w:val="231F20"/>
          <w:sz w:val="20"/>
        </w:rPr>
        <w:t>not</w:t>
      </w:r>
      <w:r>
        <w:rPr>
          <w:color w:val="231F20"/>
          <w:spacing w:val="-9"/>
          <w:sz w:val="20"/>
        </w:rPr>
        <w:t xml:space="preserve"> </w:t>
      </w:r>
      <w:r>
        <w:rPr>
          <w:color w:val="231F20"/>
          <w:spacing w:val="-3"/>
          <w:sz w:val="20"/>
        </w:rPr>
        <w:t>well</w:t>
      </w:r>
      <w:r>
        <w:rPr>
          <w:color w:val="231F20"/>
          <w:spacing w:val="-9"/>
          <w:sz w:val="20"/>
        </w:rPr>
        <w:t xml:space="preserve"> </w:t>
      </w:r>
      <w:r>
        <w:rPr>
          <w:color w:val="231F20"/>
          <w:sz w:val="20"/>
        </w:rPr>
        <w:t>understood.</w:t>
      </w:r>
      <w:r>
        <w:rPr>
          <w:color w:val="231F20"/>
          <w:spacing w:val="-8"/>
          <w:sz w:val="20"/>
        </w:rPr>
        <w:t xml:space="preserve"> </w:t>
      </w:r>
      <w:r>
        <w:rPr>
          <w:color w:val="231F20"/>
          <w:sz w:val="20"/>
        </w:rPr>
        <w:t>People</w:t>
      </w:r>
      <w:r>
        <w:rPr>
          <w:color w:val="231F20"/>
          <w:spacing w:val="-9"/>
          <w:sz w:val="20"/>
        </w:rPr>
        <w:t xml:space="preserve"> </w:t>
      </w:r>
      <w:r>
        <w:rPr>
          <w:color w:val="231F20"/>
          <w:sz w:val="20"/>
        </w:rPr>
        <w:t>need</w:t>
      </w:r>
      <w:r>
        <w:rPr>
          <w:color w:val="231F20"/>
          <w:spacing w:val="-9"/>
          <w:sz w:val="20"/>
        </w:rPr>
        <w:t xml:space="preserve"> </w:t>
      </w:r>
      <w:r>
        <w:rPr>
          <w:color w:val="231F20"/>
          <w:sz w:val="20"/>
        </w:rPr>
        <w:t>to</w:t>
      </w:r>
      <w:r>
        <w:rPr>
          <w:color w:val="231F20"/>
          <w:spacing w:val="-8"/>
          <w:sz w:val="20"/>
        </w:rPr>
        <w:t xml:space="preserve"> </w:t>
      </w:r>
      <w:r>
        <w:rPr>
          <w:color w:val="231F20"/>
          <w:spacing w:val="-3"/>
          <w:sz w:val="20"/>
        </w:rPr>
        <w:t>know</w:t>
      </w:r>
      <w:r>
        <w:rPr>
          <w:color w:val="231F20"/>
          <w:spacing w:val="-9"/>
          <w:sz w:val="20"/>
        </w:rPr>
        <w:t xml:space="preserve"> </w:t>
      </w:r>
      <w:r>
        <w:rPr>
          <w:color w:val="231F20"/>
          <w:sz w:val="20"/>
        </w:rPr>
        <w:t>more about</w:t>
      </w:r>
      <w:r>
        <w:rPr>
          <w:color w:val="231F20"/>
          <w:spacing w:val="-5"/>
          <w:sz w:val="20"/>
        </w:rPr>
        <w:t xml:space="preserve"> </w:t>
      </w:r>
      <w:r>
        <w:rPr>
          <w:color w:val="231F20"/>
          <w:sz w:val="20"/>
        </w:rPr>
        <w:t>what</w:t>
      </w:r>
      <w:r>
        <w:rPr>
          <w:color w:val="231F20"/>
          <w:spacing w:val="-5"/>
          <w:sz w:val="20"/>
        </w:rPr>
        <w:t xml:space="preserve"> </w:t>
      </w:r>
      <w:r>
        <w:rPr>
          <w:color w:val="231F20"/>
          <w:sz w:val="20"/>
        </w:rPr>
        <w:t>it</w:t>
      </w:r>
      <w:r>
        <w:rPr>
          <w:color w:val="231F20"/>
          <w:spacing w:val="-5"/>
          <w:sz w:val="20"/>
        </w:rPr>
        <w:t xml:space="preserve"> </w:t>
      </w:r>
      <w:r>
        <w:rPr>
          <w:color w:val="231F20"/>
          <w:sz w:val="20"/>
        </w:rPr>
        <w:t>is,</w:t>
      </w:r>
      <w:r>
        <w:rPr>
          <w:color w:val="231F20"/>
          <w:spacing w:val="-5"/>
          <w:sz w:val="20"/>
        </w:rPr>
        <w:t xml:space="preserve"> </w:t>
      </w:r>
      <w:r>
        <w:rPr>
          <w:color w:val="231F20"/>
          <w:spacing w:val="-3"/>
          <w:sz w:val="20"/>
        </w:rPr>
        <w:t>how</w:t>
      </w:r>
      <w:r>
        <w:rPr>
          <w:color w:val="231F20"/>
          <w:spacing w:val="-5"/>
          <w:sz w:val="20"/>
        </w:rPr>
        <w:t xml:space="preserve"> </w:t>
      </w:r>
      <w:r>
        <w:rPr>
          <w:color w:val="231F20"/>
          <w:sz w:val="20"/>
        </w:rPr>
        <w:t>to</w:t>
      </w:r>
      <w:r>
        <w:rPr>
          <w:color w:val="231F20"/>
          <w:spacing w:val="-4"/>
          <w:sz w:val="20"/>
        </w:rPr>
        <w:t xml:space="preserve"> </w:t>
      </w:r>
      <w:r>
        <w:rPr>
          <w:color w:val="231F20"/>
          <w:sz w:val="20"/>
        </w:rPr>
        <w:t>stay</w:t>
      </w:r>
      <w:r>
        <w:rPr>
          <w:color w:val="231F20"/>
          <w:spacing w:val="-5"/>
          <w:sz w:val="20"/>
        </w:rPr>
        <w:t xml:space="preserve"> </w:t>
      </w:r>
      <w:r>
        <w:rPr>
          <w:color w:val="231F20"/>
          <w:spacing w:val="-3"/>
          <w:sz w:val="20"/>
        </w:rPr>
        <w:t>safe</w:t>
      </w:r>
      <w:r>
        <w:rPr>
          <w:color w:val="231F20"/>
          <w:spacing w:val="-5"/>
          <w:sz w:val="20"/>
        </w:rPr>
        <w:t xml:space="preserve"> </w:t>
      </w:r>
      <w:r>
        <w:rPr>
          <w:color w:val="231F20"/>
          <w:sz w:val="20"/>
        </w:rPr>
        <w:t>online,</w:t>
      </w:r>
      <w:r>
        <w:rPr>
          <w:color w:val="231F20"/>
          <w:spacing w:val="-5"/>
          <w:sz w:val="20"/>
        </w:rPr>
        <w:t xml:space="preserve"> </w:t>
      </w:r>
      <w:r>
        <w:rPr>
          <w:color w:val="231F20"/>
          <w:sz w:val="20"/>
        </w:rPr>
        <w:t>and</w:t>
      </w:r>
      <w:r>
        <w:rPr>
          <w:color w:val="231F20"/>
          <w:spacing w:val="-5"/>
          <w:sz w:val="20"/>
        </w:rPr>
        <w:t xml:space="preserve"> </w:t>
      </w:r>
      <w:r>
        <w:rPr>
          <w:color w:val="231F20"/>
          <w:sz w:val="20"/>
        </w:rPr>
        <w:t>who</w:t>
      </w:r>
      <w:r>
        <w:rPr>
          <w:color w:val="231F20"/>
          <w:spacing w:val="-4"/>
          <w:sz w:val="20"/>
        </w:rPr>
        <w:t xml:space="preserve"> </w:t>
      </w:r>
      <w:r>
        <w:rPr>
          <w:color w:val="231F20"/>
          <w:sz w:val="20"/>
        </w:rPr>
        <w:t>can</w:t>
      </w:r>
      <w:r>
        <w:rPr>
          <w:color w:val="231F20"/>
          <w:spacing w:val="-5"/>
          <w:sz w:val="20"/>
        </w:rPr>
        <w:t xml:space="preserve"> </w:t>
      </w:r>
      <w:r>
        <w:rPr>
          <w:color w:val="231F20"/>
          <w:sz w:val="20"/>
        </w:rPr>
        <w:t>help.</w:t>
      </w:r>
    </w:p>
    <w:p w14:paraId="5B4E9CC4" w14:textId="77777777" w:rsidR="00894070" w:rsidRDefault="009B7AFD">
      <w:pPr>
        <w:pStyle w:val="ListParagraph"/>
        <w:numPr>
          <w:ilvl w:val="0"/>
          <w:numId w:val="163"/>
        </w:numPr>
        <w:tabs>
          <w:tab w:val="left" w:pos="2141"/>
          <w:tab w:val="left" w:pos="2142"/>
        </w:tabs>
        <w:spacing w:before="87" w:line="206" w:lineRule="auto"/>
        <w:ind w:right="1321" w:hanging="340"/>
        <w:rPr>
          <w:sz w:val="20"/>
        </w:rPr>
      </w:pPr>
      <w:r>
        <w:rPr>
          <w:color w:val="231F20"/>
          <w:sz w:val="20"/>
        </w:rPr>
        <w:t>People</w:t>
      </w:r>
      <w:r>
        <w:rPr>
          <w:color w:val="231F20"/>
          <w:spacing w:val="-13"/>
          <w:sz w:val="20"/>
        </w:rPr>
        <w:t xml:space="preserve"> </w:t>
      </w:r>
      <w:r>
        <w:rPr>
          <w:color w:val="231F20"/>
          <w:sz w:val="20"/>
        </w:rPr>
        <w:t>who</w:t>
      </w:r>
      <w:r>
        <w:rPr>
          <w:color w:val="231F20"/>
          <w:spacing w:val="-13"/>
          <w:sz w:val="20"/>
        </w:rPr>
        <w:t xml:space="preserve"> </w:t>
      </w:r>
      <w:r>
        <w:rPr>
          <w:color w:val="231F20"/>
          <w:sz w:val="20"/>
        </w:rPr>
        <w:t>experience</w:t>
      </w:r>
      <w:r>
        <w:rPr>
          <w:color w:val="231F20"/>
          <w:spacing w:val="-12"/>
          <w:sz w:val="20"/>
        </w:rPr>
        <w:t xml:space="preserve"> </w:t>
      </w:r>
      <w:r>
        <w:rPr>
          <w:color w:val="231F20"/>
          <w:sz w:val="20"/>
        </w:rPr>
        <w:t>cyberstalking</w:t>
      </w:r>
      <w:r>
        <w:rPr>
          <w:color w:val="231F20"/>
          <w:spacing w:val="-13"/>
          <w:sz w:val="20"/>
        </w:rPr>
        <w:t xml:space="preserve"> </w:t>
      </w:r>
      <w:r>
        <w:rPr>
          <w:color w:val="231F20"/>
          <w:sz w:val="20"/>
        </w:rPr>
        <w:t>need</w:t>
      </w:r>
      <w:r>
        <w:rPr>
          <w:color w:val="231F20"/>
          <w:spacing w:val="-12"/>
          <w:sz w:val="20"/>
        </w:rPr>
        <w:t xml:space="preserve"> </w:t>
      </w:r>
      <w:r>
        <w:rPr>
          <w:color w:val="231F20"/>
          <w:sz w:val="20"/>
        </w:rPr>
        <w:t>quick</w:t>
      </w:r>
      <w:r>
        <w:rPr>
          <w:color w:val="231F20"/>
          <w:spacing w:val="-13"/>
          <w:sz w:val="20"/>
        </w:rPr>
        <w:t xml:space="preserve"> </w:t>
      </w:r>
      <w:r>
        <w:rPr>
          <w:color w:val="231F20"/>
          <w:sz w:val="20"/>
        </w:rPr>
        <w:t>and</w:t>
      </w:r>
      <w:r>
        <w:rPr>
          <w:color w:val="231F20"/>
          <w:spacing w:val="-12"/>
          <w:sz w:val="20"/>
        </w:rPr>
        <w:t xml:space="preserve"> </w:t>
      </w:r>
      <w:r>
        <w:rPr>
          <w:color w:val="231F20"/>
          <w:sz w:val="20"/>
        </w:rPr>
        <w:t>practical</w:t>
      </w:r>
      <w:r>
        <w:rPr>
          <w:color w:val="231F20"/>
          <w:spacing w:val="-13"/>
          <w:sz w:val="20"/>
        </w:rPr>
        <w:t xml:space="preserve"> </w:t>
      </w:r>
      <w:r>
        <w:rPr>
          <w:color w:val="231F20"/>
          <w:sz w:val="20"/>
        </w:rPr>
        <w:t>support,</w:t>
      </w:r>
      <w:r>
        <w:rPr>
          <w:color w:val="231F20"/>
          <w:spacing w:val="-12"/>
          <w:sz w:val="20"/>
        </w:rPr>
        <w:t xml:space="preserve"> </w:t>
      </w:r>
      <w:r>
        <w:rPr>
          <w:color w:val="231F20"/>
          <w:sz w:val="20"/>
        </w:rPr>
        <w:t>including replacement phones and services to check digital</w:t>
      </w:r>
      <w:r>
        <w:rPr>
          <w:color w:val="231F20"/>
          <w:spacing w:val="-34"/>
          <w:sz w:val="20"/>
        </w:rPr>
        <w:t xml:space="preserve"> </w:t>
      </w:r>
      <w:r>
        <w:rPr>
          <w:color w:val="231F20"/>
          <w:spacing w:val="-4"/>
          <w:sz w:val="20"/>
        </w:rPr>
        <w:t>safety.</w:t>
      </w:r>
    </w:p>
    <w:p w14:paraId="71E0EF3B" w14:textId="77777777" w:rsidR="00894070" w:rsidRDefault="009B7AFD">
      <w:pPr>
        <w:pStyle w:val="ListParagraph"/>
        <w:numPr>
          <w:ilvl w:val="0"/>
          <w:numId w:val="163"/>
        </w:numPr>
        <w:tabs>
          <w:tab w:val="left" w:pos="2141"/>
          <w:tab w:val="left" w:pos="2142"/>
        </w:tabs>
        <w:spacing w:before="55" w:line="259" w:lineRule="exact"/>
        <w:ind w:hanging="340"/>
        <w:rPr>
          <w:sz w:val="20"/>
        </w:rPr>
      </w:pPr>
      <w:r>
        <w:rPr>
          <w:color w:val="231F20"/>
          <w:sz w:val="20"/>
        </w:rPr>
        <w:t>The</w:t>
      </w:r>
      <w:r>
        <w:rPr>
          <w:color w:val="231F20"/>
          <w:spacing w:val="-6"/>
          <w:sz w:val="20"/>
        </w:rPr>
        <w:t xml:space="preserve"> </w:t>
      </w:r>
      <w:r>
        <w:rPr>
          <w:color w:val="231F20"/>
          <w:sz w:val="20"/>
        </w:rPr>
        <w:t>police</w:t>
      </w:r>
      <w:r>
        <w:rPr>
          <w:color w:val="231F20"/>
          <w:spacing w:val="-5"/>
          <w:sz w:val="20"/>
        </w:rPr>
        <w:t xml:space="preserve"> </w:t>
      </w:r>
      <w:r>
        <w:rPr>
          <w:color w:val="231F20"/>
          <w:sz w:val="20"/>
        </w:rPr>
        <w:t>response</w:t>
      </w:r>
      <w:r>
        <w:rPr>
          <w:color w:val="231F20"/>
          <w:spacing w:val="-5"/>
          <w:sz w:val="20"/>
        </w:rPr>
        <w:t xml:space="preserve"> </w:t>
      </w:r>
      <w:r>
        <w:rPr>
          <w:color w:val="231F20"/>
          <w:sz w:val="20"/>
        </w:rPr>
        <w:t>to</w:t>
      </w:r>
      <w:r>
        <w:rPr>
          <w:color w:val="231F20"/>
          <w:spacing w:val="-5"/>
          <w:sz w:val="20"/>
        </w:rPr>
        <w:t xml:space="preserve"> </w:t>
      </w:r>
      <w:r>
        <w:rPr>
          <w:color w:val="231F20"/>
          <w:sz w:val="20"/>
        </w:rPr>
        <w:t>cyberstalking</w:t>
      </w:r>
      <w:r>
        <w:rPr>
          <w:color w:val="231F20"/>
          <w:spacing w:val="-6"/>
          <w:sz w:val="20"/>
        </w:rPr>
        <w:t xml:space="preserve"> </w:t>
      </w:r>
      <w:r>
        <w:rPr>
          <w:color w:val="231F20"/>
          <w:sz w:val="20"/>
        </w:rPr>
        <w:t>needs</w:t>
      </w:r>
      <w:r>
        <w:rPr>
          <w:color w:val="231F20"/>
          <w:spacing w:val="-5"/>
          <w:sz w:val="20"/>
        </w:rPr>
        <w:t xml:space="preserve"> </w:t>
      </w:r>
      <w:r>
        <w:rPr>
          <w:color w:val="231F20"/>
          <w:sz w:val="20"/>
        </w:rPr>
        <w:t>to</w:t>
      </w:r>
      <w:r>
        <w:rPr>
          <w:color w:val="231F20"/>
          <w:spacing w:val="-5"/>
          <w:sz w:val="20"/>
        </w:rPr>
        <w:t xml:space="preserve"> </w:t>
      </w:r>
      <w:r>
        <w:rPr>
          <w:color w:val="231F20"/>
          <w:spacing w:val="-4"/>
          <w:sz w:val="20"/>
        </w:rPr>
        <w:t>improve</w:t>
      </w:r>
      <w:r>
        <w:rPr>
          <w:color w:val="231F20"/>
          <w:spacing w:val="-5"/>
          <w:sz w:val="20"/>
        </w:rPr>
        <w:t xml:space="preserve"> </w:t>
      </w:r>
      <w:r>
        <w:rPr>
          <w:color w:val="231F20"/>
          <w:sz w:val="20"/>
        </w:rPr>
        <w:t>and</w:t>
      </w:r>
      <w:r>
        <w:rPr>
          <w:color w:val="231F20"/>
          <w:spacing w:val="-6"/>
          <w:sz w:val="20"/>
        </w:rPr>
        <w:t xml:space="preserve"> </w:t>
      </w:r>
      <w:r>
        <w:rPr>
          <w:color w:val="231F20"/>
          <w:sz w:val="20"/>
        </w:rPr>
        <w:t>must</w:t>
      </w:r>
      <w:r>
        <w:rPr>
          <w:color w:val="231F20"/>
          <w:spacing w:val="-5"/>
          <w:sz w:val="20"/>
        </w:rPr>
        <w:t xml:space="preserve"> </w:t>
      </w:r>
      <w:r>
        <w:rPr>
          <w:color w:val="231F20"/>
          <w:sz w:val="20"/>
        </w:rPr>
        <w:t>be</w:t>
      </w:r>
      <w:r>
        <w:rPr>
          <w:color w:val="231F20"/>
          <w:spacing w:val="-5"/>
          <w:sz w:val="20"/>
        </w:rPr>
        <w:t xml:space="preserve"> </w:t>
      </w:r>
      <w:r>
        <w:rPr>
          <w:color w:val="231F20"/>
          <w:sz w:val="20"/>
        </w:rPr>
        <w:t>part</w:t>
      </w:r>
      <w:r>
        <w:rPr>
          <w:color w:val="231F20"/>
          <w:spacing w:val="-5"/>
          <w:sz w:val="20"/>
        </w:rPr>
        <w:t xml:space="preserve"> </w:t>
      </w:r>
      <w:r>
        <w:rPr>
          <w:color w:val="231F20"/>
          <w:sz w:val="20"/>
        </w:rPr>
        <w:t>of</w:t>
      </w:r>
      <w:r>
        <w:rPr>
          <w:color w:val="231F20"/>
          <w:spacing w:val="-6"/>
          <w:sz w:val="20"/>
        </w:rPr>
        <w:t xml:space="preserve"> </w:t>
      </w:r>
      <w:r>
        <w:rPr>
          <w:color w:val="231F20"/>
          <w:sz w:val="20"/>
        </w:rPr>
        <w:t>the</w:t>
      </w:r>
    </w:p>
    <w:p w14:paraId="5D469714" w14:textId="77777777" w:rsidR="00894070" w:rsidRDefault="009B7AFD">
      <w:pPr>
        <w:pStyle w:val="BodyText"/>
        <w:spacing w:line="259" w:lineRule="exact"/>
        <w:ind w:left="2141"/>
      </w:pPr>
      <w:r>
        <w:rPr>
          <w:color w:val="231F20"/>
        </w:rPr>
        <w:t>response to stalking.</w:t>
      </w:r>
    </w:p>
    <w:p w14:paraId="781EC2CA" w14:textId="77777777" w:rsidR="00894070" w:rsidRDefault="009B7AFD">
      <w:pPr>
        <w:pStyle w:val="ListParagraph"/>
        <w:numPr>
          <w:ilvl w:val="0"/>
          <w:numId w:val="163"/>
        </w:numPr>
        <w:tabs>
          <w:tab w:val="left" w:pos="2141"/>
          <w:tab w:val="left" w:pos="2142"/>
        </w:tabs>
        <w:spacing w:before="48" w:line="259" w:lineRule="exact"/>
        <w:ind w:hanging="340"/>
        <w:rPr>
          <w:sz w:val="20"/>
        </w:rPr>
      </w:pPr>
      <w:r>
        <w:rPr>
          <w:color w:val="231F20"/>
          <w:sz w:val="20"/>
        </w:rPr>
        <w:t xml:space="preserve">Australian </w:t>
      </w:r>
      <w:r>
        <w:rPr>
          <w:color w:val="231F20"/>
          <w:spacing w:val="-3"/>
          <w:sz w:val="20"/>
        </w:rPr>
        <w:t xml:space="preserve">Government work </w:t>
      </w:r>
      <w:r>
        <w:rPr>
          <w:color w:val="231F20"/>
          <w:sz w:val="20"/>
        </w:rPr>
        <w:t>on online safety and countering</w:t>
      </w:r>
      <w:r>
        <w:rPr>
          <w:color w:val="231F20"/>
          <w:spacing w:val="-33"/>
          <w:sz w:val="20"/>
        </w:rPr>
        <w:t xml:space="preserve"> </w:t>
      </w:r>
      <w:r>
        <w:rPr>
          <w:color w:val="231F20"/>
          <w:spacing w:val="-3"/>
          <w:sz w:val="20"/>
        </w:rPr>
        <w:t>technology-facilitated</w:t>
      </w:r>
    </w:p>
    <w:p w14:paraId="4F23A822" w14:textId="77777777" w:rsidR="00894070" w:rsidRDefault="009B7AFD">
      <w:pPr>
        <w:pStyle w:val="BodyText"/>
        <w:spacing w:line="259" w:lineRule="exact"/>
        <w:ind w:left="2141"/>
      </w:pPr>
      <w:r>
        <w:rPr>
          <w:color w:val="231F20"/>
        </w:rPr>
        <w:t>abuse is part of the response to cyberstalking.</w:t>
      </w:r>
    </w:p>
    <w:p w14:paraId="25F5F7CB" w14:textId="77777777" w:rsidR="00894070" w:rsidRDefault="00894070">
      <w:pPr>
        <w:pStyle w:val="BodyText"/>
      </w:pPr>
    </w:p>
    <w:p w14:paraId="682FFF9C" w14:textId="77777777" w:rsidR="00894070" w:rsidRDefault="009F6793">
      <w:pPr>
        <w:pStyle w:val="BodyText"/>
        <w:spacing w:before="9"/>
        <w:rPr>
          <w:sz w:val="11"/>
        </w:rPr>
      </w:pPr>
      <w:r>
        <w:pict w14:anchorId="66018863">
          <v:group id="_x0000_s1599" style="position:absolute;margin-left:79.35pt;margin-top:10.05pt;width:436.55pt;height:143.1pt;z-index:251474944;mso-wrap-distance-left:0;mso-wrap-distance-right:0;mso-position-horizontal-relative:page" coordorigin="1587,201" coordsize="8731,2862">
            <v:rect id="_x0000_s1607" style="position:absolute;left:1592;top:205;width:8721;height:2852" fillcolor="#fee7de" stroked="f"/>
            <v:line id="_x0000_s1606" style="position:absolute" from="1587,206" to="10318,206" strokecolor="#ea5b50" strokeweight=".5pt"/>
            <v:line id="_x0000_s1605" style="position:absolute" from="1592,3052" to="1592,211" strokecolor="#ea5b50" strokeweight=".5pt"/>
            <v:line id="_x0000_s1604" style="position:absolute" from="10313,3052" to="10313,211" strokecolor="#ea5b50" strokeweight=".5pt"/>
            <v:line id="_x0000_s1603" style="position:absolute" from="1587,3057" to="10318,3057" strokecolor="#ea5b50" strokeweight=".5pt"/>
            <v:shape id="_x0000_s1602" type="#_x0000_t202" style="position:absolute;left:2159;top:792;width:7801;height:2085" filled="f" stroked="f">
              <v:textbox inset="0,0,0,0">
                <w:txbxContent>
                  <w:p w14:paraId="1295FB66" w14:textId="77777777" w:rsidR="00894070" w:rsidRDefault="009B7AFD">
                    <w:pPr>
                      <w:spacing w:line="206" w:lineRule="auto"/>
                      <w:ind w:right="18"/>
                      <w:jc w:val="both"/>
                      <w:rPr>
                        <w:sz w:val="20"/>
                      </w:rPr>
                    </w:pPr>
                    <w:r>
                      <w:rPr>
                        <w:b/>
                        <w:color w:val="231F20"/>
                        <w:sz w:val="20"/>
                      </w:rPr>
                      <w:t>Information</w:t>
                    </w:r>
                    <w:r>
                      <w:rPr>
                        <w:b/>
                        <w:color w:val="231F20"/>
                        <w:spacing w:val="-11"/>
                        <w:sz w:val="20"/>
                      </w:rPr>
                      <w:t xml:space="preserve"> </w:t>
                    </w:r>
                    <w:r>
                      <w:rPr>
                        <w:b/>
                        <w:color w:val="231F20"/>
                        <w:sz w:val="20"/>
                      </w:rPr>
                      <w:t>and</w:t>
                    </w:r>
                    <w:r>
                      <w:rPr>
                        <w:b/>
                        <w:color w:val="231F20"/>
                        <w:spacing w:val="-11"/>
                        <w:sz w:val="20"/>
                      </w:rPr>
                      <w:t xml:space="preserve"> </w:t>
                    </w:r>
                    <w:r>
                      <w:rPr>
                        <w:b/>
                        <w:color w:val="231F20"/>
                        <w:sz w:val="20"/>
                      </w:rPr>
                      <w:t>communication</w:t>
                    </w:r>
                    <w:r>
                      <w:rPr>
                        <w:b/>
                        <w:color w:val="231F20"/>
                        <w:spacing w:val="-11"/>
                        <w:sz w:val="20"/>
                      </w:rPr>
                      <w:t xml:space="preserve"> </w:t>
                    </w:r>
                    <w:r>
                      <w:rPr>
                        <w:b/>
                        <w:color w:val="231F20"/>
                        <w:sz w:val="20"/>
                      </w:rPr>
                      <w:t>technology</w:t>
                    </w:r>
                    <w:r>
                      <w:rPr>
                        <w:b/>
                        <w:color w:val="231F20"/>
                        <w:spacing w:val="-12"/>
                        <w:sz w:val="20"/>
                      </w:rPr>
                      <w:t xml:space="preserve"> </w:t>
                    </w:r>
                    <w:r>
                      <w:rPr>
                        <w:b/>
                        <w:color w:val="231F20"/>
                        <w:sz w:val="20"/>
                      </w:rPr>
                      <w:t>(ICT)</w:t>
                    </w:r>
                    <w:r>
                      <w:rPr>
                        <w:b/>
                        <w:color w:val="231F20"/>
                        <w:spacing w:val="-8"/>
                        <w:sz w:val="20"/>
                      </w:rPr>
                      <w:t xml:space="preserve"> </w:t>
                    </w:r>
                    <w:r>
                      <w:rPr>
                        <w:color w:val="231F20"/>
                        <w:spacing w:val="-3"/>
                        <w:sz w:val="20"/>
                      </w:rPr>
                      <w:t>refers</w:t>
                    </w:r>
                    <w:r>
                      <w:rPr>
                        <w:color w:val="231F20"/>
                        <w:spacing w:val="-12"/>
                        <w:sz w:val="20"/>
                      </w:rPr>
                      <w:t xml:space="preserve"> </w:t>
                    </w:r>
                    <w:r>
                      <w:rPr>
                        <w:color w:val="231F20"/>
                        <w:sz w:val="20"/>
                      </w:rPr>
                      <w:t>to</w:t>
                    </w:r>
                    <w:r>
                      <w:rPr>
                        <w:color w:val="231F20"/>
                        <w:spacing w:val="-11"/>
                        <w:sz w:val="20"/>
                      </w:rPr>
                      <w:t xml:space="preserve"> </w:t>
                    </w:r>
                    <w:r>
                      <w:rPr>
                        <w:color w:val="231F20"/>
                        <w:sz w:val="20"/>
                      </w:rPr>
                      <w:t>a</w:t>
                    </w:r>
                    <w:r>
                      <w:rPr>
                        <w:color w:val="231F20"/>
                        <w:spacing w:val="-12"/>
                        <w:sz w:val="20"/>
                      </w:rPr>
                      <w:t xml:space="preserve"> </w:t>
                    </w:r>
                    <w:r>
                      <w:rPr>
                        <w:color w:val="231F20"/>
                        <w:sz w:val="20"/>
                      </w:rPr>
                      <w:t>range</w:t>
                    </w:r>
                    <w:r>
                      <w:rPr>
                        <w:color w:val="231F20"/>
                        <w:spacing w:val="-11"/>
                        <w:sz w:val="20"/>
                      </w:rPr>
                      <w:t xml:space="preserve"> </w:t>
                    </w:r>
                    <w:r>
                      <w:rPr>
                        <w:color w:val="231F20"/>
                        <w:sz w:val="20"/>
                      </w:rPr>
                      <w:t>of</w:t>
                    </w:r>
                    <w:r>
                      <w:rPr>
                        <w:color w:val="231F20"/>
                        <w:spacing w:val="-11"/>
                        <w:sz w:val="20"/>
                      </w:rPr>
                      <w:t xml:space="preserve"> </w:t>
                    </w:r>
                    <w:r>
                      <w:rPr>
                        <w:color w:val="231F20"/>
                        <w:sz w:val="20"/>
                      </w:rPr>
                      <w:t>electronic</w:t>
                    </w:r>
                    <w:r>
                      <w:rPr>
                        <w:color w:val="231F20"/>
                        <w:spacing w:val="-12"/>
                        <w:sz w:val="20"/>
                      </w:rPr>
                      <w:t xml:space="preserve"> </w:t>
                    </w:r>
                    <w:r>
                      <w:rPr>
                        <w:color w:val="231F20"/>
                        <w:sz w:val="20"/>
                      </w:rPr>
                      <w:t>and digital</w:t>
                    </w:r>
                    <w:r>
                      <w:rPr>
                        <w:color w:val="231F20"/>
                        <w:spacing w:val="-14"/>
                        <w:sz w:val="20"/>
                      </w:rPr>
                      <w:t xml:space="preserve"> </w:t>
                    </w:r>
                    <w:r>
                      <w:rPr>
                        <w:color w:val="231F20"/>
                        <w:sz w:val="20"/>
                      </w:rPr>
                      <w:t>technologies</w:t>
                    </w:r>
                    <w:r>
                      <w:rPr>
                        <w:color w:val="231F20"/>
                        <w:spacing w:val="-14"/>
                        <w:sz w:val="20"/>
                      </w:rPr>
                      <w:t xml:space="preserve"> </w:t>
                    </w:r>
                    <w:r>
                      <w:rPr>
                        <w:color w:val="231F20"/>
                        <w:spacing w:val="-3"/>
                        <w:sz w:val="20"/>
                      </w:rPr>
                      <w:t>for</w:t>
                    </w:r>
                    <w:r>
                      <w:rPr>
                        <w:color w:val="231F20"/>
                        <w:spacing w:val="-14"/>
                        <w:sz w:val="20"/>
                      </w:rPr>
                      <w:t xml:space="preserve"> </w:t>
                    </w:r>
                    <w:r>
                      <w:rPr>
                        <w:color w:val="231F20"/>
                        <w:sz w:val="20"/>
                      </w:rPr>
                      <w:t>communicating</w:t>
                    </w:r>
                    <w:r>
                      <w:rPr>
                        <w:color w:val="231F20"/>
                        <w:spacing w:val="-13"/>
                        <w:sz w:val="20"/>
                      </w:rPr>
                      <w:t xml:space="preserve"> </w:t>
                    </w:r>
                    <w:r>
                      <w:rPr>
                        <w:color w:val="231F20"/>
                        <w:sz w:val="20"/>
                      </w:rPr>
                      <w:t>and</w:t>
                    </w:r>
                    <w:r>
                      <w:rPr>
                        <w:color w:val="231F20"/>
                        <w:spacing w:val="-14"/>
                        <w:sz w:val="20"/>
                      </w:rPr>
                      <w:t xml:space="preserve"> </w:t>
                    </w:r>
                    <w:r>
                      <w:rPr>
                        <w:color w:val="231F20"/>
                        <w:sz w:val="20"/>
                      </w:rPr>
                      <w:t>sharing</w:t>
                    </w:r>
                    <w:r>
                      <w:rPr>
                        <w:color w:val="231F20"/>
                        <w:spacing w:val="-14"/>
                        <w:sz w:val="20"/>
                      </w:rPr>
                      <w:t xml:space="preserve"> </w:t>
                    </w:r>
                    <w:r>
                      <w:rPr>
                        <w:color w:val="231F20"/>
                        <w:spacing w:val="-2"/>
                        <w:sz w:val="20"/>
                      </w:rPr>
                      <w:t>information,</w:t>
                    </w:r>
                    <w:r>
                      <w:rPr>
                        <w:color w:val="231F20"/>
                        <w:spacing w:val="-13"/>
                        <w:sz w:val="20"/>
                      </w:rPr>
                      <w:t xml:space="preserve"> </w:t>
                    </w:r>
                    <w:r>
                      <w:rPr>
                        <w:color w:val="231F20"/>
                        <w:sz w:val="20"/>
                      </w:rPr>
                      <w:t>including</w:t>
                    </w:r>
                    <w:r>
                      <w:rPr>
                        <w:color w:val="231F20"/>
                        <w:spacing w:val="-14"/>
                        <w:sz w:val="20"/>
                      </w:rPr>
                      <w:t xml:space="preserve"> </w:t>
                    </w:r>
                    <w:r>
                      <w:rPr>
                        <w:color w:val="231F20"/>
                        <w:sz w:val="20"/>
                      </w:rPr>
                      <w:t>computers, smartphones,</w:t>
                    </w:r>
                    <w:r>
                      <w:rPr>
                        <w:color w:val="231F20"/>
                        <w:spacing w:val="-6"/>
                        <w:sz w:val="20"/>
                      </w:rPr>
                      <w:t xml:space="preserve"> </w:t>
                    </w:r>
                    <w:r>
                      <w:rPr>
                        <w:color w:val="231F20"/>
                        <w:sz w:val="20"/>
                      </w:rPr>
                      <w:t>social</w:t>
                    </w:r>
                    <w:r>
                      <w:rPr>
                        <w:color w:val="231F20"/>
                        <w:spacing w:val="-6"/>
                        <w:sz w:val="20"/>
                      </w:rPr>
                      <w:t xml:space="preserve"> </w:t>
                    </w:r>
                    <w:r>
                      <w:rPr>
                        <w:color w:val="231F20"/>
                        <w:sz w:val="20"/>
                      </w:rPr>
                      <w:t>media,</w:t>
                    </w:r>
                    <w:r>
                      <w:rPr>
                        <w:color w:val="231F20"/>
                        <w:spacing w:val="-7"/>
                        <w:sz w:val="20"/>
                      </w:rPr>
                      <w:t xml:space="preserve"> </w:t>
                    </w:r>
                    <w:r>
                      <w:rPr>
                        <w:color w:val="231F20"/>
                        <w:sz w:val="20"/>
                      </w:rPr>
                      <w:t>email,</w:t>
                    </w:r>
                    <w:r>
                      <w:rPr>
                        <w:color w:val="231F20"/>
                        <w:spacing w:val="-5"/>
                        <w:sz w:val="20"/>
                      </w:rPr>
                      <w:t xml:space="preserve"> </w:t>
                    </w:r>
                    <w:r>
                      <w:rPr>
                        <w:color w:val="231F20"/>
                        <w:sz w:val="20"/>
                      </w:rPr>
                      <w:t>instant</w:t>
                    </w:r>
                    <w:r>
                      <w:rPr>
                        <w:color w:val="231F20"/>
                        <w:spacing w:val="-6"/>
                        <w:sz w:val="20"/>
                      </w:rPr>
                      <w:t xml:space="preserve"> </w:t>
                    </w:r>
                    <w:r>
                      <w:rPr>
                        <w:color w:val="231F20"/>
                        <w:sz w:val="20"/>
                      </w:rPr>
                      <w:t>messaging,</w:t>
                    </w:r>
                    <w:r>
                      <w:rPr>
                        <w:color w:val="231F20"/>
                        <w:spacing w:val="-6"/>
                        <w:sz w:val="20"/>
                      </w:rPr>
                      <w:t xml:space="preserve"> </w:t>
                    </w:r>
                    <w:r>
                      <w:rPr>
                        <w:color w:val="231F20"/>
                        <w:sz w:val="20"/>
                      </w:rPr>
                      <w:t>software</w:t>
                    </w:r>
                    <w:r>
                      <w:rPr>
                        <w:color w:val="231F20"/>
                        <w:spacing w:val="-6"/>
                        <w:sz w:val="20"/>
                      </w:rPr>
                      <w:t xml:space="preserve"> </w:t>
                    </w:r>
                    <w:r>
                      <w:rPr>
                        <w:color w:val="231F20"/>
                        <w:sz w:val="20"/>
                      </w:rPr>
                      <w:t>and</w:t>
                    </w:r>
                    <w:r>
                      <w:rPr>
                        <w:color w:val="231F20"/>
                        <w:spacing w:val="-6"/>
                        <w:sz w:val="20"/>
                      </w:rPr>
                      <w:t xml:space="preserve"> </w:t>
                    </w:r>
                    <w:r>
                      <w:rPr>
                        <w:color w:val="231F20"/>
                        <w:sz w:val="20"/>
                      </w:rPr>
                      <w:t>apps.</w:t>
                    </w:r>
                  </w:p>
                  <w:p w14:paraId="1EDA3353" w14:textId="77777777" w:rsidR="00894070" w:rsidRDefault="009B7AFD">
                    <w:pPr>
                      <w:spacing w:before="78" w:line="206" w:lineRule="auto"/>
                      <w:ind w:right="52"/>
                      <w:rPr>
                        <w:sz w:val="11"/>
                      </w:rPr>
                    </w:pPr>
                    <w:r>
                      <w:rPr>
                        <w:b/>
                        <w:color w:val="231F20"/>
                        <w:spacing w:val="-3"/>
                        <w:sz w:val="20"/>
                      </w:rPr>
                      <w:t xml:space="preserve">Technology-facilitated </w:t>
                    </w:r>
                    <w:r>
                      <w:rPr>
                        <w:b/>
                        <w:color w:val="231F20"/>
                        <w:sz w:val="20"/>
                      </w:rPr>
                      <w:t xml:space="preserve">abuse </w:t>
                    </w:r>
                    <w:r>
                      <w:rPr>
                        <w:color w:val="231F20"/>
                        <w:sz w:val="20"/>
                      </w:rPr>
                      <w:t>means using technology to harm people and commit crimes.</w:t>
                    </w:r>
                    <w:r>
                      <w:rPr>
                        <w:color w:val="231F20"/>
                        <w:position w:val="7"/>
                        <w:sz w:val="11"/>
                      </w:rPr>
                      <w:t xml:space="preserve">2 </w:t>
                    </w:r>
                    <w:r>
                      <w:rPr>
                        <w:color w:val="231F20"/>
                        <w:sz w:val="20"/>
                      </w:rPr>
                      <w:t xml:space="preserve">Examples include stalking and </w:t>
                    </w:r>
                    <w:r>
                      <w:rPr>
                        <w:color w:val="231F20"/>
                        <w:spacing w:val="-3"/>
                        <w:sz w:val="20"/>
                      </w:rPr>
                      <w:t xml:space="preserve">intimate </w:t>
                    </w:r>
                    <w:r>
                      <w:rPr>
                        <w:color w:val="231F20"/>
                        <w:sz w:val="20"/>
                      </w:rPr>
                      <w:t>image-based abuse.</w:t>
                    </w:r>
                    <w:r>
                      <w:rPr>
                        <w:color w:val="231F20"/>
                        <w:position w:val="7"/>
                        <w:sz w:val="11"/>
                      </w:rPr>
                      <w:t>3</w:t>
                    </w:r>
                  </w:p>
                  <w:p w14:paraId="33EFC4A1" w14:textId="77777777" w:rsidR="00894070" w:rsidRDefault="009B7AFD">
                    <w:pPr>
                      <w:spacing w:before="88" w:line="206" w:lineRule="auto"/>
                      <w:ind w:right="52"/>
                      <w:rPr>
                        <w:sz w:val="20"/>
                      </w:rPr>
                    </w:pPr>
                    <w:r>
                      <w:rPr>
                        <w:b/>
                        <w:color w:val="231F20"/>
                        <w:sz w:val="20"/>
                      </w:rPr>
                      <w:t>Online</w:t>
                    </w:r>
                    <w:r>
                      <w:rPr>
                        <w:b/>
                        <w:color w:val="231F20"/>
                        <w:spacing w:val="-12"/>
                        <w:sz w:val="20"/>
                      </w:rPr>
                      <w:t xml:space="preserve"> </w:t>
                    </w:r>
                    <w:r>
                      <w:rPr>
                        <w:b/>
                        <w:color w:val="231F20"/>
                        <w:sz w:val="20"/>
                      </w:rPr>
                      <w:t>service</w:t>
                    </w:r>
                    <w:r>
                      <w:rPr>
                        <w:b/>
                        <w:color w:val="231F20"/>
                        <w:spacing w:val="-11"/>
                        <w:sz w:val="20"/>
                      </w:rPr>
                      <w:t xml:space="preserve"> </w:t>
                    </w:r>
                    <w:r>
                      <w:rPr>
                        <w:b/>
                        <w:color w:val="231F20"/>
                        <w:sz w:val="20"/>
                      </w:rPr>
                      <w:t>providers</w:t>
                    </w:r>
                    <w:r>
                      <w:rPr>
                        <w:b/>
                        <w:color w:val="231F20"/>
                        <w:spacing w:val="-8"/>
                        <w:sz w:val="20"/>
                      </w:rPr>
                      <w:t xml:space="preserve"> </w:t>
                    </w:r>
                    <w:r>
                      <w:rPr>
                        <w:color w:val="231F20"/>
                        <w:spacing w:val="-3"/>
                        <w:sz w:val="20"/>
                      </w:rPr>
                      <w:t>are</w:t>
                    </w:r>
                    <w:r>
                      <w:rPr>
                        <w:color w:val="231F20"/>
                        <w:spacing w:val="-12"/>
                        <w:sz w:val="20"/>
                      </w:rPr>
                      <w:t xml:space="preserve"> </w:t>
                    </w:r>
                    <w:r>
                      <w:rPr>
                        <w:color w:val="231F20"/>
                        <w:sz w:val="20"/>
                      </w:rPr>
                      <w:t>‘third</w:t>
                    </w:r>
                    <w:r>
                      <w:rPr>
                        <w:color w:val="231F20"/>
                        <w:spacing w:val="-11"/>
                        <w:sz w:val="20"/>
                      </w:rPr>
                      <w:t xml:space="preserve"> </w:t>
                    </w:r>
                    <w:r>
                      <w:rPr>
                        <w:color w:val="231F20"/>
                        <w:sz w:val="20"/>
                      </w:rPr>
                      <w:t>parties’</w:t>
                    </w:r>
                    <w:r>
                      <w:rPr>
                        <w:color w:val="231F20"/>
                        <w:spacing w:val="-12"/>
                        <w:sz w:val="20"/>
                      </w:rPr>
                      <w:t xml:space="preserve"> </w:t>
                    </w:r>
                    <w:r>
                      <w:rPr>
                        <w:color w:val="231F20"/>
                        <w:sz w:val="20"/>
                      </w:rPr>
                      <w:t>such</w:t>
                    </w:r>
                    <w:r>
                      <w:rPr>
                        <w:color w:val="231F20"/>
                        <w:spacing w:val="-11"/>
                        <w:sz w:val="20"/>
                      </w:rPr>
                      <w:t xml:space="preserve"> </w:t>
                    </w:r>
                    <w:r>
                      <w:rPr>
                        <w:color w:val="231F20"/>
                        <w:sz w:val="20"/>
                      </w:rPr>
                      <w:t>as</w:t>
                    </w:r>
                    <w:r>
                      <w:rPr>
                        <w:color w:val="231F20"/>
                        <w:spacing w:val="-12"/>
                        <w:sz w:val="20"/>
                      </w:rPr>
                      <w:t xml:space="preserve"> </w:t>
                    </w:r>
                    <w:r>
                      <w:rPr>
                        <w:color w:val="231F20"/>
                        <w:sz w:val="20"/>
                      </w:rPr>
                      <w:t>social</w:t>
                    </w:r>
                    <w:r>
                      <w:rPr>
                        <w:color w:val="231F20"/>
                        <w:spacing w:val="-11"/>
                        <w:sz w:val="20"/>
                      </w:rPr>
                      <w:t xml:space="preserve"> </w:t>
                    </w:r>
                    <w:r>
                      <w:rPr>
                        <w:color w:val="231F20"/>
                        <w:sz w:val="20"/>
                      </w:rPr>
                      <w:t>media</w:t>
                    </w:r>
                    <w:r>
                      <w:rPr>
                        <w:color w:val="231F20"/>
                        <w:spacing w:val="-12"/>
                        <w:sz w:val="20"/>
                      </w:rPr>
                      <w:t xml:space="preserve"> </w:t>
                    </w:r>
                    <w:r>
                      <w:rPr>
                        <w:color w:val="231F20"/>
                        <w:sz w:val="20"/>
                      </w:rPr>
                      <w:t>platforms,</w:t>
                    </w:r>
                    <w:r>
                      <w:rPr>
                        <w:color w:val="231F20"/>
                        <w:spacing w:val="-11"/>
                        <w:sz w:val="20"/>
                      </w:rPr>
                      <w:t xml:space="preserve"> </w:t>
                    </w:r>
                    <w:r>
                      <w:rPr>
                        <w:color w:val="231F20"/>
                        <w:sz w:val="20"/>
                      </w:rPr>
                      <w:t xml:space="preserve">electronic messaging services, search engines, app distribution services, </w:t>
                    </w:r>
                    <w:r>
                      <w:rPr>
                        <w:color w:val="231F20"/>
                        <w:spacing w:val="-3"/>
                        <w:sz w:val="20"/>
                      </w:rPr>
                      <w:t xml:space="preserve">internet </w:t>
                    </w:r>
                    <w:r>
                      <w:rPr>
                        <w:color w:val="231F20"/>
                        <w:sz w:val="20"/>
                      </w:rPr>
                      <w:t xml:space="preserve">service </w:t>
                    </w:r>
                    <w:r>
                      <w:rPr>
                        <w:color w:val="231F20"/>
                        <w:spacing w:val="-3"/>
                        <w:sz w:val="20"/>
                      </w:rPr>
                      <w:t xml:space="preserve">providers </w:t>
                    </w:r>
                    <w:r>
                      <w:rPr>
                        <w:color w:val="231F20"/>
                        <w:sz w:val="20"/>
                      </w:rPr>
                      <w:t>and hosting service</w:t>
                    </w:r>
                    <w:r>
                      <w:rPr>
                        <w:color w:val="231F20"/>
                        <w:spacing w:val="-15"/>
                        <w:sz w:val="20"/>
                      </w:rPr>
                      <w:t xml:space="preserve"> </w:t>
                    </w:r>
                    <w:r>
                      <w:rPr>
                        <w:color w:val="231F20"/>
                        <w:sz w:val="20"/>
                      </w:rPr>
                      <w:t>providers.</w:t>
                    </w:r>
                  </w:p>
                </w:txbxContent>
              </v:textbox>
            </v:shape>
            <v:shape id="_x0000_s1601" type="#_x0000_t202" style="position:absolute;left:1819;top:792;width:91;height:1605" filled="f" stroked="f">
              <v:textbox inset="0,0,0,0">
                <w:txbxContent>
                  <w:p w14:paraId="7A8AEA57" w14:textId="77777777" w:rsidR="00894070" w:rsidRDefault="009B7AFD">
                    <w:pPr>
                      <w:spacing w:line="235" w:lineRule="exact"/>
                      <w:rPr>
                        <w:sz w:val="20"/>
                      </w:rPr>
                    </w:pPr>
                    <w:r>
                      <w:rPr>
                        <w:color w:val="231F20"/>
                        <w:sz w:val="20"/>
                      </w:rPr>
                      <w:t>•</w:t>
                    </w:r>
                  </w:p>
                  <w:p w14:paraId="3E4D0F1B" w14:textId="77777777" w:rsidR="00894070" w:rsidRDefault="00894070"/>
                  <w:p w14:paraId="2D495042" w14:textId="77777777" w:rsidR="00894070" w:rsidRDefault="00894070">
                    <w:pPr>
                      <w:spacing w:before="13"/>
                      <w:rPr>
                        <w:sz w:val="15"/>
                      </w:rPr>
                    </w:pPr>
                  </w:p>
                  <w:p w14:paraId="7098B875" w14:textId="77777777" w:rsidR="00894070" w:rsidRDefault="009B7AFD">
                    <w:pPr>
                      <w:spacing w:before="1"/>
                      <w:rPr>
                        <w:sz w:val="20"/>
                      </w:rPr>
                    </w:pPr>
                    <w:r>
                      <w:rPr>
                        <w:color w:val="231F20"/>
                        <w:sz w:val="20"/>
                      </w:rPr>
                      <w:t>•</w:t>
                    </w:r>
                  </w:p>
                  <w:p w14:paraId="2DE96175" w14:textId="77777777" w:rsidR="00894070" w:rsidRDefault="00894070">
                    <w:pPr>
                      <w:spacing w:before="9"/>
                      <w:rPr>
                        <w:sz w:val="20"/>
                      </w:rPr>
                    </w:pPr>
                  </w:p>
                  <w:p w14:paraId="6D4C9034" w14:textId="77777777" w:rsidR="00894070" w:rsidRDefault="009B7AFD">
                    <w:pPr>
                      <w:rPr>
                        <w:sz w:val="20"/>
                      </w:rPr>
                    </w:pPr>
                    <w:r>
                      <w:rPr>
                        <w:color w:val="231F20"/>
                        <w:sz w:val="20"/>
                      </w:rPr>
                      <w:t>•</w:t>
                    </w:r>
                  </w:p>
                </w:txbxContent>
              </v:textbox>
            </v:shape>
            <v:shape id="_x0000_s1600" type="#_x0000_t202" style="position:absolute;left:1819;top:432;width:1883;height:235" filled="f" stroked="f">
              <v:textbox inset="0,0,0,0">
                <w:txbxContent>
                  <w:p w14:paraId="4FBA130E" w14:textId="77777777" w:rsidR="00894070" w:rsidRDefault="009B7AFD">
                    <w:pPr>
                      <w:spacing w:line="235" w:lineRule="exact"/>
                      <w:rPr>
                        <w:b/>
                        <w:sz w:val="20"/>
                      </w:rPr>
                    </w:pPr>
                    <w:r>
                      <w:rPr>
                        <w:b/>
                        <w:color w:val="231F20"/>
                        <w:sz w:val="20"/>
                      </w:rPr>
                      <w:t>A note on language</w:t>
                    </w:r>
                  </w:p>
                </w:txbxContent>
              </v:textbox>
            </v:shape>
            <w10:wrap type="topAndBottom" anchorx="page"/>
          </v:group>
        </w:pict>
      </w:r>
    </w:p>
    <w:p w14:paraId="146DEDD9" w14:textId="77777777" w:rsidR="00894070" w:rsidRDefault="00894070">
      <w:pPr>
        <w:pStyle w:val="BodyText"/>
      </w:pPr>
    </w:p>
    <w:p w14:paraId="584A6011" w14:textId="77777777" w:rsidR="00894070" w:rsidRDefault="00894070">
      <w:pPr>
        <w:pStyle w:val="BodyText"/>
      </w:pPr>
    </w:p>
    <w:p w14:paraId="38545BE5" w14:textId="77777777" w:rsidR="00894070" w:rsidRDefault="00894070">
      <w:pPr>
        <w:pStyle w:val="BodyText"/>
      </w:pPr>
    </w:p>
    <w:p w14:paraId="1756335D" w14:textId="77777777" w:rsidR="00894070" w:rsidRDefault="00894070">
      <w:pPr>
        <w:pStyle w:val="BodyText"/>
      </w:pPr>
    </w:p>
    <w:p w14:paraId="60FD4216" w14:textId="77777777" w:rsidR="00894070" w:rsidRDefault="00894070">
      <w:pPr>
        <w:pStyle w:val="BodyText"/>
      </w:pPr>
    </w:p>
    <w:p w14:paraId="6EDD34E2" w14:textId="77777777" w:rsidR="00894070" w:rsidRDefault="00894070">
      <w:pPr>
        <w:pStyle w:val="BodyText"/>
      </w:pPr>
    </w:p>
    <w:p w14:paraId="3742BBB6" w14:textId="77777777" w:rsidR="00894070" w:rsidRDefault="00894070">
      <w:pPr>
        <w:pStyle w:val="BodyText"/>
      </w:pPr>
    </w:p>
    <w:p w14:paraId="16280777" w14:textId="77777777" w:rsidR="00894070" w:rsidRDefault="00894070">
      <w:pPr>
        <w:pStyle w:val="BodyText"/>
      </w:pPr>
    </w:p>
    <w:p w14:paraId="18B32B9C" w14:textId="77777777" w:rsidR="00894070" w:rsidRDefault="009F6793">
      <w:pPr>
        <w:pStyle w:val="BodyText"/>
        <w:spacing w:before="2"/>
        <w:rPr>
          <w:sz w:val="16"/>
        </w:rPr>
      </w:pPr>
      <w:r>
        <w:pict w14:anchorId="63DA1A0D">
          <v:line id="_x0000_s1598" style="position:absolute;z-index:251476992;mso-wrap-distance-left:0;mso-wrap-distance-right:0;mso-position-horizontal-relative:page" from="79.35pt,13.7pt" to="515.9pt,13.7pt" strokecolor="#f8cabc" strokeweight="1pt">
            <w10:wrap type="topAndBottom" anchorx="page"/>
          </v:line>
        </w:pict>
      </w:r>
    </w:p>
    <w:p w14:paraId="2C9CCF2C" w14:textId="77777777" w:rsidR="00894070" w:rsidRDefault="009B7AFD">
      <w:pPr>
        <w:pStyle w:val="ListParagraph"/>
        <w:numPr>
          <w:ilvl w:val="0"/>
          <w:numId w:val="162"/>
        </w:numPr>
        <w:tabs>
          <w:tab w:val="left" w:pos="1801"/>
          <w:tab w:val="left" w:pos="1802"/>
        </w:tabs>
        <w:spacing w:before="91" w:line="170" w:lineRule="exact"/>
        <w:rPr>
          <w:sz w:val="13"/>
        </w:rPr>
      </w:pPr>
      <w:r>
        <w:rPr>
          <w:i/>
          <w:color w:val="231F20"/>
          <w:sz w:val="13"/>
        </w:rPr>
        <w:t xml:space="preserve">Crimes Act 1958 </w:t>
      </w:r>
      <w:r>
        <w:rPr>
          <w:color w:val="231F20"/>
          <w:sz w:val="13"/>
        </w:rPr>
        <w:t xml:space="preserve">(Vic) s </w:t>
      </w:r>
      <w:r>
        <w:rPr>
          <w:color w:val="231F20"/>
          <w:spacing w:val="2"/>
          <w:sz w:val="13"/>
        </w:rPr>
        <w:t xml:space="preserve">21A; Submissions </w:t>
      </w:r>
      <w:r>
        <w:rPr>
          <w:color w:val="231F20"/>
          <w:sz w:val="13"/>
        </w:rPr>
        <w:t xml:space="preserve">56 </w:t>
      </w:r>
      <w:r>
        <w:rPr>
          <w:color w:val="231F20"/>
          <w:spacing w:val="2"/>
          <w:sz w:val="13"/>
        </w:rPr>
        <w:t xml:space="preserve">(Derryn </w:t>
      </w:r>
      <w:proofErr w:type="spellStart"/>
      <w:r>
        <w:rPr>
          <w:color w:val="231F20"/>
          <w:sz w:val="13"/>
        </w:rPr>
        <w:t>Hinch’s</w:t>
      </w:r>
      <w:proofErr w:type="spellEnd"/>
      <w:r>
        <w:rPr>
          <w:color w:val="231F20"/>
          <w:sz w:val="13"/>
        </w:rPr>
        <w:t xml:space="preserve"> Justice Party), 98 (Law Institute of</w:t>
      </w:r>
      <w:r>
        <w:rPr>
          <w:color w:val="231F20"/>
          <w:spacing w:val="10"/>
          <w:sz w:val="13"/>
        </w:rPr>
        <w:t xml:space="preserve"> </w:t>
      </w:r>
      <w:r>
        <w:rPr>
          <w:color w:val="231F20"/>
          <w:sz w:val="13"/>
        </w:rPr>
        <w:t>Victoria).</w:t>
      </w:r>
    </w:p>
    <w:p w14:paraId="16C49A1D" w14:textId="77777777" w:rsidR="00894070" w:rsidRDefault="009F6793">
      <w:pPr>
        <w:pStyle w:val="ListParagraph"/>
        <w:numPr>
          <w:ilvl w:val="0"/>
          <w:numId w:val="162"/>
        </w:numPr>
        <w:tabs>
          <w:tab w:val="left" w:pos="1800"/>
          <w:tab w:val="left" w:pos="1802"/>
        </w:tabs>
        <w:spacing w:before="6" w:line="213" w:lineRule="auto"/>
        <w:ind w:right="1480"/>
        <w:rPr>
          <w:sz w:val="13"/>
        </w:rPr>
      </w:pPr>
      <w:r>
        <w:pict w14:anchorId="412647A1">
          <v:shape id="_x0000_s1597" type="#_x0000_t202" style="position:absolute;left:0;text-align:left;margin-left:36pt;margin-top:11.7pt;width:13.55pt;height:14.1pt;z-index:251542528;mso-position-horizontal-relative:page" filled="f" stroked="f">
            <v:textbox inset="0,0,0,0">
              <w:txbxContent>
                <w:p w14:paraId="4C14DD01" w14:textId="77777777" w:rsidR="00894070" w:rsidRDefault="009B7AFD">
                  <w:pPr>
                    <w:spacing w:line="282" w:lineRule="exact"/>
                    <w:rPr>
                      <w:b/>
                      <w:sz w:val="24"/>
                    </w:rPr>
                  </w:pPr>
                  <w:r>
                    <w:rPr>
                      <w:b/>
                      <w:color w:val="EA5B50"/>
                      <w:sz w:val="24"/>
                    </w:rPr>
                    <w:t>32</w:t>
                  </w:r>
                </w:p>
              </w:txbxContent>
            </v:textbox>
            <w10:wrap anchorx="page"/>
          </v:shape>
        </w:pict>
      </w:r>
      <w:r w:rsidR="009B7AFD">
        <w:rPr>
          <w:color w:val="231F20"/>
          <w:sz w:val="13"/>
        </w:rPr>
        <w:t xml:space="preserve">Puneet Kaur et </w:t>
      </w:r>
      <w:r w:rsidR="009B7AFD">
        <w:rPr>
          <w:color w:val="231F20"/>
          <w:spacing w:val="2"/>
          <w:sz w:val="13"/>
        </w:rPr>
        <w:t xml:space="preserve">al, </w:t>
      </w:r>
      <w:r w:rsidR="009B7AFD">
        <w:rPr>
          <w:color w:val="231F20"/>
          <w:spacing w:val="-4"/>
          <w:sz w:val="13"/>
        </w:rPr>
        <w:t xml:space="preserve">‘A </w:t>
      </w:r>
      <w:r w:rsidR="009B7AFD">
        <w:rPr>
          <w:color w:val="231F20"/>
          <w:sz w:val="13"/>
        </w:rPr>
        <w:t xml:space="preserve">Systematic Literature Review on </w:t>
      </w:r>
      <w:r w:rsidR="009B7AFD">
        <w:rPr>
          <w:color w:val="231F20"/>
          <w:spacing w:val="2"/>
          <w:sz w:val="13"/>
        </w:rPr>
        <w:t xml:space="preserve">Cyberstalking. </w:t>
      </w:r>
      <w:r w:rsidR="009B7AFD">
        <w:rPr>
          <w:color w:val="231F20"/>
          <w:sz w:val="13"/>
        </w:rPr>
        <w:t xml:space="preserve">An Analysis of Past Achievements and Future Promises’ (2021) 163 </w:t>
      </w:r>
      <w:r w:rsidR="009B7AFD">
        <w:rPr>
          <w:i/>
          <w:color w:val="231F20"/>
          <w:sz w:val="13"/>
        </w:rPr>
        <w:t xml:space="preserve">Technological Forecasting and Social Change </w:t>
      </w:r>
      <w:r w:rsidR="009B7AFD">
        <w:rPr>
          <w:color w:val="231F20"/>
          <w:sz w:val="13"/>
        </w:rPr>
        <w:t>120426:1–15,</w:t>
      </w:r>
      <w:r w:rsidR="009B7AFD">
        <w:rPr>
          <w:color w:val="231F20"/>
          <w:spacing w:val="5"/>
          <w:sz w:val="13"/>
        </w:rPr>
        <w:t xml:space="preserve"> </w:t>
      </w:r>
      <w:r w:rsidR="009B7AFD">
        <w:rPr>
          <w:color w:val="231F20"/>
          <w:sz w:val="13"/>
        </w:rPr>
        <w:t>6.</w:t>
      </w:r>
    </w:p>
    <w:p w14:paraId="0F58F6D2" w14:textId="77777777" w:rsidR="00894070" w:rsidRDefault="009B7AFD">
      <w:pPr>
        <w:pStyle w:val="ListParagraph"/>
        <w:numPr>
          <w:ilvl w:val="0"/>
          <w:numId w:val="162"/>
        </w:numPr>
        <w:tabs>
          <w:tab w:val="left" w:pos="1801"/>
          <w:tab w:val="left" w:pos="1802"/>
        </w:tabs>
        <w:spacing w:line="163" w:lineRule="exact"/>
        <w:rPr>
          <w:sz w:val="13"/>
        </w:rPr>
      </w:pPr>
      <w:r>
        <w:rPr>
          <w:i/>
          <w:color w:val="231F20"/>
          <w:spacing w:val="2"/>
          <w:sz w:val="13"/>
        </w:rPr>
        <w:t xml:space="preserve">Summary </w:t>
      </w:r>
      <w:r>
        <w:rPr>
          <w:i/>
          <w:color w:val="231F20"/>
          <w:sz w:val="13"/>
        </w:rPr>
        <w:t xml:space="preserve">Offences Act 1966 </w:t>
      </w:r>
      <w:r>
        <w:rPr>
          <w:color w:val="231F20"/>
          <w:sz w:val="13"/>
        </w:rPr>
        <w:t xml:space="preserve">(Vic) div </w:t>
      </w:r>
      <w:r>
        <w:rPr>
          <w:color w:val="231F20"/>
          <w:spacing w:val="2"/>
          <w:sz w:val="13"/>
        </w:rPr>
        <w:t xml:space="preserve">4A; </w:t>
      </w:r>
      <w:r>
        <w:rPr>
          <w:i/>
          <w:color w:val="231F20"/>
          <w:sz w:val="13"/>
        </w:rPr>
        <w:t xml:space="preserve">Crimes Act 1958 </w:t>
      </w:r>
      <w:r>
        <w:rPr>
          <w:color w:val="231F20"/>
          <w:sz w:val="13"/>
        </w:rPr>
        <w:t xml:space="preserve">(Vic) s </w:t>
      </w:r>
      <w:r>
        <w:rPr>
          <w:color w:val="231F20"/>
          <w:spacing w:val="3"/>
          <w:sz w:val="13"/>
        </w:rPr>
        <w:t>21A.</w:t>
      </w:r>
    </w:p>
    <w:p w14:paraId="6301972D" w14:textId="77777777" w:rsidR="00894070" w:rsidRDefault="00894070">
      <w:pPr>
        <w:spacing w:line="163" w:lineRule="exact"/>
        <w:rPr>
          <w:sz w:val="13"/>
        </w:rPr>
        <w:sectPr w:rsidR="00894070">
          <w:pgSz w:w="11910" w:h="16840"/>
          <w:pgMar w:top="860" w:right="420" w:bottom="280" w:left="580" w:header="567" w:footer="0" w:gutter="0"/>
          <w:cols w:space="720"/>
        </w:sectPr>
      </w:pPr>
    </w:p>
    <w:p w14:paraId="4F117EBA" w14:textId="77777777" w:rsidR="00894070" w:rsidRDefault="00894070">
      <w:pPr>
        <w:pStyle w:val="BodyText"/>
      </w:pPr>
    </w:p>
    <w:p w14:paraId="6D377631" w14:textId="77777777" w:rsidR="00894070" w:rsidRDefault="00894070">
      <w:pPr>
        <w:pStyle w:val="BodyText"/>
      </w:pPr>
    </w:p>
    <w:p w14:paraId="03BE20BA" w14:textId="77777777" w:rsidR="00894070" w:rsidRDefault="00894070">
      <w:pPr>
        <w:pStyle w:val="BodyText"/>
      </w:pPr>
    </w:p>
    <w:p w14:paraId="2FFA3AD7" w14:textId="77777777" w:rsidR="00894070" w:rsidRDefault="00894070">
      <w:pPr>
        <w:pStyle w:val="BodyText"/>
        <w:spacing w:before="6"/>
        <w:rPr>
          <w:sz w:val="14"/>
        </w:rPr>
      </w:pPr>
    </w:p>
    <w:p w14:paraId="2DB01795" w14:textId="77777777" w:rsidR="00894070" w:rsidRDefault="009B7AFD">
      <w:pPr>
        <w:pStyle w:val="Heading7"/>
        <w:spacing w:before="41"/>
      </w:pPr>
      <w:bookmarkStart w:id="46" w:name="Cyberstalking_is_a_growing_social_proble"/>
      <w:bookmarkStart w:id="47" w:name="What_is_cyberstalking?"/>
      <w:bookmarkStart w:id="48" w:name="_bookmark23"/>
      <w:bookmarkEnd w:id="46"/>
      <w:bookmarkEnd w:id="47"/>
      <w:bookmarkEnd w:id="48"/>
      <w:r>
        <w:rPr>
          <w:color w:val="EA5B50"/>
        </w:rPr>
        <w:t>Cyberstalking is a growing social problem</w:t>
      </w:r>
    </w:p>
    <w:p w14:paraId="578581EC" w14:textId="77777777" w:rsidR="00894070" w:rsidRDefault="009B7AFD">
      <w:pPr>
        <w:pStyle w:val="ListParagraph"/>
        <w:numPr>
          <w:ilvl w:val="1"/>
          <w:numId w:val="162"/>
        </w:numPr>
        <w:tabs>
          <w:tab w:val="left" w:pos="1801"/>
          <w:tab w:val="left" w:pos="1802"/>
        </w:tabs>
        <w:spacing w:before="146" w:line="206" w:lineRule="auto"/>
        <w:ind w:right="2113"/>
        <w:rPr>
          <w:sz w:val="11"/>
        </w:rPr>
      </w:pPr>
      <w:r>
        <w:rPr>
          <w:color w:val="231F20"/>
          <w:sz w:val="20"/>
        </w:rPr>
        <w:t>Cyberstalking</w:t>
      </w:r>
      <w:r>
        <w:rPr>
          <w:color w:val="231F20"/>
          <w:spacing w:val="-7"/>
          <w:sz w:val="20"/>
        </w:rPr>
        <w:t xml:space="preserve"> </w:t>
      </w:r>
      <w:r>
        <w:rPr>
          <w:color w:val="231F20"/>
          <w:sz w:val="20"/>
        </w:rPr>
        <w:t>is</w:t>
      </w:r>
      <w:r>
        <w:rPr>
          <w:color w:val="231F20"/>
          <w:spacing w:val="-7"/>
          <w:sz w:val="20"/>
        </w:rPr>
        <w:t xml:space="preserve"> </w:t>
      </w:r>
      <w:r>
        <w:rPr>
          <w:color w:val="231F20"/>
          <w:sz w:val="20"/>
        </w:rPr>
        <w:t>a</w:t>
      </w:r>
      <w:r>
        <w:rPr>
          <w:color w:val="231F20"/>
          <w:spacing w:val="-7"/>
          <w:sz w:val="20"/>
        </w:rPr>
        <w:t xml:space="preserve"> </w:t>
      </w:r>
      <w:r>
        <w:rPr>
          <w:color w:val="231F20"/>
          <w:sz w:val="20"/>
        </w:rPr>
        <w:t>type</w:t>
      </w:r>
      <w:r>
        <w:rPr>
          <w:color w:val="231F20"/>
          <w:spacing w:val="-6"/>
          <w:sz w:val="20"/>
        </w:rPr>
        <w:t xml:space="preserve"> </w:t>
      </w:r>
      <w:r>
        <w:rPr>
          <w:color w:val="231F20"/>
          <w:sz w:val="20"/>
        </w:rPr>
        <w:t>of</w:t>
      </w:r>
      <w:r>
        <w:rPr>
          <w:color w:val="231F20"/>
          <w:spacing w:val="-7"/>
          <w:sz w:val="20"/>
        </w:rPr>
        <w:t xml:space="preserve"> </w:t>
      </w:r>
      <w:r>
        <w:rPr>
          <w:color w:val="231F20"/>
          <w:spacing w:val="-3"/>
          <w:sz w:val="20"/>
        </w:rPr>
        <w:t>technology-facilitated</w:t>
      </w:r>
      <w:r>
        <w:rPr>
          <w:color w:val="231F20"/>
          <w:spacing w:val="-7"/>
          <w:sz w:val="20"/>
        </w:rPr>
        <w:t xml:space="preserve"> </w:t>
      </w:r>
      <w:r>
        <w:rPr>
          <w:color w:val="231F20"/>
          <w:sz w:val="20"/>
        </w:rPr>
        <w:t>abuse.</w:t>
      </w:r>
      <w:r>
        <w:rPr>
          <w:color w:val="231F20"/>
          <w:spacing w:val="-7"/>
          <w:sz w:val="20"/>
        </w:rPr>
        <w:t xml:space="preserve"> </w:t>
      </w:r>
      <w:r>
        <w:rPr>
          <w:color w:val="231F20"/>
          <w:sz w:val="20"/>
        </w:rPr>
        <w:t>It</w:t>
      </w:r>
      <w:r>
        <w:rPr>
          <w:color w:val="231F20"/>
          <w:spacing w:val="-6"/>
          <w:sz w:val="20"/>
        </w:rPr>
        <w:t xml:space="preserve"> </w:t>
      </w:r>
      <w:r>
        <w:rPr>
          <w:color w:val="231F20"/>
          <w:sz w:val="20"/>
        </w:rPr>
        <w:t>is</w:t>
      </w:r>
      <w:r>
        <w:rPr>
          <w:color w:val="231F20"/>
          <w:spacing w:val="-7"/>
          <w:sz w:val="20"/>
        </w:rPr>
        <w:t xml:space="preserve"> </w:t>
      </w:r>
      <w:r>
        <w:rPr>
          <w:color w:val="231F20"/>
          <w:sz w:val="20"/>
        </w:rPr>
        <w:t>stalking</w:t>
      </w:r>
      <w:r>
        <w:rPr>
          <w:color w:val="231F20"/>
          <w:spacing w:val="-7"/>
          <w:sz w:val="20"/>
        </w:rPr>
        <w:t xml:space="preserve"> </w:t>
      </w:r>
      <w:r>
        <w:rPr>
          <w:color w:val="231F20"/>
          <w:sz w:val="20"/>
        </w:rPr>
        <w:t>that</w:t>
      </w:r>
      <w:r>
        <w:rPr>
          <w:color w:val="231F20"/>
          <w:spacing w:val="-7"/>
          <w:sz w:val="20"/>
        </w:rPr>
        <w:t xml:space="preserve"> </w:t>
      </w:r>
      <w:r>
        <w:rPr>
          <w:color w:val="231F20"/>
          <w:sz w:val="20"/>
        </w:rPr>
        <w:t>uses information and communication</w:t>
      </w:r>
      <w:r>
        <w:rPr>
          <w:color w:val="231F20"/>
          <w:spacing w:val="-15"/>
          <w:sz w:val="20"/>
        </w:rPr>
        <w:t xml:space="preserve"> </w:t>
      </w:r>
      <w:r>
        <w:rPr>
          <w:color w:val="231F20"/>
          <w:sz w:val="20"/>
        </w:rPr>
        <w:t>technology.</w:t>
      </w:r>
      <w:r>
        <w:rPr>
          <w:color w:val="231F20"/>
          <w:position w:val="7"/>
          <w:sz w:val="11"/>
        </w:rPr>
        <w:t>4</w:t>
      </w:r>
    </w:p>
    <w:p w14:paraId="37D62FEC" w14:textId="77777777" w:rsidR="00894070" w:rsidRDefault="009B7AFD">
      <w:pPr>
        <w:pStyle w:val="ListParagraph"/>
        <w:numPr>
          <w:ilvl w:val="1"/>
          <w:numId w:val="162"/>
        </w:numPr>
        <w:tabs>
          <w:tab w:val="left" w:pos="1801"/>
          <w:tab w:val="left" w:pos="1802"/>
        </w:tabs>
        <w:spacing w:before="122" w:line="206" w:lineRule="auto"/>
        <w:ind w:right="1295"/>
        <w:rPr>
          <w:sz w:val="11"/>
        </w:rPr>
      </w:pPr>
      <w:r>
        <w:rPr>
          <w:color w:val="231F20"/>
          <w:sz w:val="20"/>
        </w:rPr>
        <w:t>Cyberstalking</w:t>
      </w:r>
      <w:r>
        <w:rPr>
          <w:color w:val="231F20"/>
          <w:spacing w:val="-11"/>
          <w:sz w:val="20"/>
        </w:rPr>
        <w:t xml:space="preserve"> </w:t>
      </w:r>
      <w:r>
        <w:rPr>
          <w:color w:val="231F20"/>
          <w:sz w:val="20"/>
        </w:rPr>
        <w:t>can</w:t>
      </w:r>
      <w:r>
        <w:rPr>
          <w:color w:val="231F20"/>
          <w:spacing w:val="-10"/>
          <w:sz w:val="20"/>
        </w:rPr>
        <w:t xml:space="preserve"> </w:t>
      </w:r>
      <w:r>
        <w:rPr>
          <w:color w:val="231F20"/>
          <w:sz w:val="20"/>
        </w:rPr>
        <w:t>occur</w:t>
      </w:r>
      <w:r>
        <w:rPr>
          <w:color w:val="231F20"/>
          <w:spacing w:val="-10"/>
          <w:sz w:val="20"/>
        </w:rPr>
        <w:t xml:space="preserve"> </w:t>
      </w:r>
      <w:r>
        <w:rPr>
          <w:color w:val="231F20"/>
          <w:sz w:val="20"/>
        </w:rPr>
        <w:t>alongside</w:t>
      </w:r>
      <w:r>
        <w:rPr>
          <w:color w:val="231F20"/>
          <w:spacing w:val="-11"/>
          <w:sz w:val="20"/>
        </w:rPr>
        <w:t xml:space="preserve"> </w:t>
      </w:r>
      <w:r>
        <w:rPr>
          <w:color w:val="231F20"/>
          <w:sz w:val="20"/>
        </w:rPr>
        <w:t>stalking</w:t>
      </w:r>
      <w:r>
        <w:rPr>
          <w:color w:val="231F20"/>
          <w:spacing w:val="-10"/>
          <w:sz w:val="20"/>
        </w:rPr>
        <w:t xml:space="preserve"> </w:t>
      </w:r>
      <w:proofErr w:type="spellStart"/>
      <w:r>
        <w:rPr>
          <w:color w:val="231F20"/>
          <w:sz w:val="20"/>
        </w:rPr>
        <w:t>behaviours</w:t>
      </w:r>
      <w:proofErr w:type="spellEnd"/>
      <w:r>
        <w:rPr>
          <w:color w:val="231F20"/>
          <w:spacing w:val="-10"/>
          <w:sz w:val="20"/>
        </w:rPr>
        <w:t xml:space="preserve"> </w:t>
      </w:r>
      <w:r>
        <w:rPr>
          <w:color w:val="231F20"/>
          <w:sz w:val="20"/>
        </w:rPr>
        <w:t>that</w:t>
      </w:r>
      <w:r>
        <w:rPr>
          <w:color w:val="231F20"/>
          <w:spacing w:val="-11"/>
          <w:sz w:val="20"/>
        </w:rPr>
        <w:t xml:space="preserve"> </w:t>
      </w:r>
      <w:r>
        <w:rPr>
          <w:color w:val="231F20"/>
          <w:sz w:val="20"/>
        </w:rPr>
        <w:t>do</w:t>
      </w:r>
      <w:r>
        <w:rPr>
          <w:color w:val="231F20"/>
          <w:spacing w:val="-10"/>
          <w:sz w:val="20"/>
        </w:rPr>
        <w:t xml:space="preserve"> </w:t>
      </w:r>
      <w:r>
        <w:rPr>
          <w:color w:val="231F20"/>
          <w:sz w:val="20"/>
        </w:rPr>
        <w:t>not</w:t>
      </w:r>
      <w:r>
        <w:rPr>
          <w:color w:val="231F20"/>
          <w:spacing w:val="-10"/>
          <w:sz w:val="20"/>
        </w:rPr>
        <w:t xml:space="preserve"> </w:t>
      </w:r>
      <w:r>
        <w:rPr>
          <w:color w:val="231F20"/>
          <w:spacing w:val="-5"/>
          <w:sz w:val="20"/>
        </w:rPr>
        <w:t>involve</w:t>
      </w:r>
      <w:r>
        <w:rPr>
          <w:color w:val="231F20"/>
          <w:spacing w:val="-11"/>
          <w:sz w:val="20"/>
        </w:rPr>
        <w:t xml:space="preserve"> </w:t>
      </w:r>
      <w:r>
        <w:rPr>
          <w:color w:val="231F20"/>
          <w:spacing w:val="-3"/>
          <w:sz w:val="20"/>
        </w:rPr>
        <w:t xml:space="preserve">technology. </w:t>
      </w:r>
      <w:r>
        <w:rPr>
          <w:color w:val="231F20"/>
          <w:sz w:val="20"/>
        </w:rPr>
        <w:t xml:space="preserve">Cyberstalking that begins online </w:t>
      </w:r>
      <w:r>
        <w:rPr>
          <w:color w:val="231F20"/>
          <w:spacing w:val="-3"/>
          <w:sz w:val="20"/>
        </w:rPr>
        <w:t xml:space="preserve">may </w:t>
      </w:r>
      <w:r>
        <w:rPr>
          <w:color w:val="231F20"/>
          <w:sz w:val="20"/>
        </w:rPr>
        <w:t xml:space="preserve">turn </w:t>
      </w:r>
      <w:r>
        <w:rPr>
          <w:color w:val="231F20"/>
          <w:spacing w:val="-3"/>
          <w:sz w:val="20"/>
        </w:rPr>
        <w:t xml:space="preserve">into </w:t>
      </w:r>
      <w:r>
        <w:rPr>
          <w:color w:val="231F20"/>
          <w:sz w:val="20"/>
        </w:rPr>
        <w:t xml:space="preserve">stalking in person or physical </w:t>
      </w:r>
      <w:r>
        <w:rPr>
          <w:color w:val="231F20"/>
          <w:spacing w:val="-2"/>
          <w:sz w:val="20"/>
        </w:rPr>
        <w:t xml:space="preserve">violence, </w:t>
      </w:r>
      <w:r>
        <w:rPr>
          <w:color w:val="231F20"/>
          <w:sz w:val="20"/>
        </w:rPr>
        <w:t>or vice</w:t>
      </w:r>
      <w:r>
        <w:rPr>
          <w:color w:val="231F20"/>
          <w:spacing w:val="-9"/>
          <w:sz w:val="20"/>
        </w:rPr>
        <w:t xml:space="preserve"> </w:t>
      </w:r>
      <w:r>
        <w:rPr>
          <w:color w:val="231F20"/>
          <w:sz w:val="20"/>
        </w:rPr>
        <w:t>versa.</w:t>
      </w:r>
      <w:r>
        <w:rPr>
          <w:color w:val="231F20"/>
          <w:position w:val="7"/>
          <w:sz w:val="11"/>
        </w:rPr>
        <w:t>5</w:t>
      </w:r>
    </w:p>
    <w:p w14:paraId="2EF94DDF" w14:textId="77777777" w:rsidR="00894070" w:rsidRDefault="009B7AFD">
      <w:pPr>
        <w:pStyle w:val="ListParagraph"/>
        <w:numPr>
          <w:ilvl w:val="1"/>
          <w:numId w:val="162"/>
        </w:numPr>
        <w:tabs>
          <w:tab w:val="left" w:pos="1801"/>
          <w:tab w:val="left" w:pos="1802"/>
        </w:tabs>
        <w:spacing w:before="124" w:line="206" w:lineRule="auto"/>
        <w:ind w:right="1352"/>
        <w:rPr>
          <w:sz w:val="11"/>
        </w:rPr>
      </w:pPr>
      <w:r>
        <w:rPr>
          <w:color w:val="231F20"/>
          <w:spacing w:val="-4"/>
          <w:sz w:val="20"/>
        </w:rPr>
        <w:t xml:space="preserve">Technology </w:t>
      </w:r>
      <w:r>
        <w:rPr>
          <w:color w:val="231F20"/>
          <w:sz w:val="20"/>
        </w:rPr>
        <w:t xml:space="preserve">is changing </w:t>
      </w:r>
      <w:r>
        <w:rPr>
          <w:color w:val="231F20"/>
          <w:spacing w:val="-4"/>
          <w:sz w:val="20"/>
        </w:rPr>
        <w:t xml:space="preserve">rapidly, </w:t>
      </w:r>
      <w:r>
        <w:rPr>
          <w:color w:val="231F20"/>
          <w:sz w:val="20"/>
        </w:rPr>
        <w:t xml:space="preserve">and people, businesses and governments </w:t>
      </w:r>
      <w:r>
        <w:rPr>
          <w:color w:val="231F20"/>
          <w:spacing w:val="-3"/>
          <w:sz w:val="20"/>
        </w:rPr>
        <w:t xml:space="preserve">are </w:t>
      </w:r>
      <w:r>
        <w:rPr>
          <w:color w:val="231F20"/>
          <w:sz w:val="20"/>
        </w:rPr>
        <w:t>becoming</w:t>
      </w:r>
      <w:r>
        <w:rPr>
          <w:color w:val="231F20"/>
          <w:spacing w:val="-10"/>
          <w:sz w:val="20"/>
        </w:rPr>
        <w:t xml:space="preserve"> </w:t>
      </w:r>
      <w:r>
        <w:rPr>
          <w:color w:val="231F20"/>
          <w:sz w:val="20"/>
        </w:rPr>
        <w:t>more</w:t>
      </w:r>
      <w:r>
        <w:rPr>
          <w:color w:val="231F20"/>
          <w:spacing w:val="-10"/>
          <w:sz w:val="20"/>
        </w:rPr>
        <w:t xml:space="preserve"> </w:t>
      </w:r>
      <w:r>
        <w:rPr>
          <w:color w:val="231F20"/>
          <w:sz w:val="20"/>
        </w:rPr>
        <w:t>dependent</w:t>
      </w:r>
      <w:r>
        <w:rPr>
          <w:color w:val="231F20"/>
          <w:spacing w:val="-9"/>
          <w:sz w:val="20"/>
        </w:rPr>
        <w:t xml:space="preserve"> </w:t>
      </w:r>
      <w:r>
        <w:rPr>
          <w:color w:val="231F20"/>
          <w:sz w:val="20"/>
        </w:rPr>
        <w:t>on</w:t>
      </w:r>
      <w:r>
        <w:rPr>
          <w:color w:val="231F20"/>
          <w:spacing w:val="-10"/>
          <w:sz w:val="20"/>
        </w:rPr>
        <w:t xml:space="preserve"> </w:t>
      </w:r>
      <w:r>
        <w:rPr>
          <w:color w:val="231F20"/>
          <w:spacing w:val="-3"/>
          <w:sz w:val="20"/>
        </w:rPr>
        <w:t>technology,</w:t>
      </w:r>
      <w:r>
        <w:rPr>
          <w:color w:val="231F20"/>
          <w:spacing w:val="-9"/>
          <w:sz w:val="20"/>
        </w:rPr>
        <w:t xml:space="preserve"> </w:t>
      </w:r>
      <w:r>
        <w:rPr>
          <w:color w:val="231F20"/>
          <w:sz w:val="20"/>
        </w:rPr>
        <w:t>social</w:t>
      </w:r>
      <w:r>
        <w:rPr>
          <w:color w:val="231F20"/>
          <w:spacing w:val="-10"/>
          <w:sz w:val="20"/>
        </w:rPr>
        <w:t xml:space="preserve"> </w:t>
      </w:r>
      <w:proofErr w:type="gramStart"/>
      <w:r>
        <w:rPr>
          <w:color w:val="231F20"/>
          <w:sz w:val="20"/>
        </w:rPr>
        <w:t>media</w:t>
      </w:r>
      <w:proofErr w:type="gramEnd"/>
      <w:r>
        <w:rPr>
          <w:color w:val="231F20"/>
          <w:spacing w:val="-9"/>
          <w:sz w:val="20"/>
        </w:rPr>
        <w:t xml:space="preserve"> </w:t>
      </w:r>
      <w:r>
        <w:rPr>
          <w:color w:val="231F20"/>
          <w:sz w:val="20"/>
        </w:rPr>
        <w:t>and</w:t>
      </w:r>
      <w:r>
        <w:rPr>
          <w:color w:val="231F20"/>
          <w:spacing w:val="-10"/>
          <w:sz w:val="20"/>
        </w:rPr>
        <w:t xml:space="preserve"> </w:t>
      </w:r>
      <w:r>
        <w:rPr>
          <w:color w:val="231F20"/>
          <w:sz w:val="20"/>
        </w:rPr>
        <w:t>other</w:t>
      </w:r>
      <w:r>
        <w:rPr>
          <w:color w:val="231F20"/>
          <w:spacing w:val="-9"/>
          <w:sz w:val="20"/>
        </w:rPr>
        <w:t xml:space="preserve"> </w:t>
      </w:r>
      <w:r>
        <w:rPr>
          <w:color w:val="231F20"/>
          <w:sz w:val="20"/>
        </w:rPr>
        <w:t>online</w:t>
      </w:r>
      <w:r>
        <w:rPr>
          <w:color w:val="231F20"/>
          <w:spacing w:val="-10"/>
          <w:sz w:val="20"/>
        </w:rPr>
        <w:t xml:space="preserve"> </w:t>
      </w:r>
      <w:r>
        <w:rPr>
          <w:color w:val="231F20"/>
          <w:sz w:val="20"/>
        </w:rPr>
        <w:t>systems.</w:t>
      </w:r>
      <w:r>
        <w:rPr>
          <w:color w:val="231F20"/>
          <w:spacing w:val="-9"/>
          <w:sz w:val="20"/>
        </w:rPr>
        <w:t xml:space="preserve"> </w:t>
      </w:r>
      <w:r>
        <w:rPr>
          <w:color w:val="231F20"/>
          <w:spacing w:val="-3"/>
          <w:sz w:val="20"/>
        </w:rPr>
        <w:t xml:space="preserve">At </w:t>
      </w:r>
      <w:r>
        <w:rPr>
          <w:color w:val="231F20"/>
          <w:sz w:val="20"/>
        </w:rPr>
        <w:t>the</w:t>
      </w:r>
      <w:r>
        <w:rPr>
          <w:color w:val="231F20"/>
          <w:spacing w:val="-10"/>
          <w:sz w:val="20"/>
        </w:rPr>
        <w:t xml:space="preserve"> </w:t>
      </w:r>
      <w:r>
        <w:rPr>
          <w:color w:val="231F20"/>
          <w:sz w:val="20"/>
        </w:rPr>
        <w:t>same</w:t>
      </w:r>
      <w:r>
        <w:rPr>
          <w:color w:val="231F20"/>
          <w:spacing w:val="-9"/>
          <w:sz w:val="20"/>
        </w:rPr>
        <w:t xml:space="preserve"> </w:t>
      </w:r>
      <w:r>
        <w:rPr>
          <w:color w:val="231F20"/>
          <w:sz w:val="20"/>
        </w:rPr>
        <w:t>time,</w:t>
      </w:r>
      <w:r>
        <w:rPr>
          <w:color w:val="231F20"/>
          <w:spacing w:val="-10"/>
          <w:sz w:val="20"/>
        </w:rPr>
        <w:t xml:space="preserve"> </w:t>
      </w:r>
      <w:r>
        <w:rPr>
          <w:color w:val="231F20"/>
          <w:sz w:val="20"/>
        </w:rPr>
        <w:t>cyberstalking</w:t>
      </w:r>
      <w:r>
        <w:rPr>
          <w:color w:val="231F20"/>
          <w:spacing w:val="-9"/>
          <w:sz w:val="20"/>
        </w:rPr>
        <w:t xml:space="preserve"> </w:t>
      </w:r>
      <w:r>
        <w:rPr>
          <w:color w:val="231F20"/>
          <w:sz w:val="20"/>
        </w:rPr>
        <w:t>is</w:t>
      </w:r>
      <w:r>
        <w:rPr>
          <w:color w:val="231F20"/>
          <w:spacing w:val="-9"/>
          <w:sz w:val="20"/>
        </w:rPr>
        <w:t xml:space="preserve"> </w:t>
      </w:r>
      <w:r>
        <w:rPr>
          <w:color w:val="231F20"/>
          <w:sz w:val="20"/>
        </w:rPr>
        <w:t>becoming</w:t>
      </w:r>
      <w:r>
        <w:rPr>
          <w:color w:val="231F20"/>
          <w:spacing w:val="-10"/>
          <w:sz w:val="20"/>
        </w:rPr>
        <w:t xml:space="preserve"> </w:t>
      </w:r>
      <w:r>
        <w:rPr>
          <w:color w:val="231F20"/>
          <w:sz w:val="20"/>
        </w:rPr>
        <w:t>a</w:t>
      </w:r>
      <w:r>
        <w:rPr>
          <w:color w:val="231F20"/>
          <w:spacing w:val="-9"/>
          <w:sz w:val="20"/>
        </w:rPr>
        <w:t xml:space="preserve"> </w:t>
      </w:r>
      <w:r>
        <w:rPr>
          <w:color w:val="231F20"/>
          <w:sz w:val="20"/>
        </w:rPr>
        <w:t>significant</w:t>
      </w:r>
      <w:r>
        <w:rPr>
          <w:color w:val="231F20"/>
          <w:spacing w:val="-10"/>
          <w:sz w:val="20"/>
        </w:rPr>
        <w:t xml:space="preserve"> </w:t>
      </w:r>
      <w:r>
        <w:rPr>
          <w:color w:val="231F20"/>
          <w:sz w:val="20"/>
        </w:rPr>
        <w:t>and</w:t>
      </w:r>
      <w:r>
        <w:rPr>
          <w:color w:val="231F20"/>
          <w:spacing w:val="-9"/>
          <w:sz w:val="20"/>
        </w:rPr>
        <w:t xml:space="preserve"> </w:t>
      </w:r>
      <w:r>
        <w:rPr>
          <w:color w:val="231F20"/>
          <w:spacing w:val="-3"/>
          <w:sz w:val="20"/>
        </w:rPr>
        <w:t>growing</w:t>
      </w:r>
      <w:r>
        <w:rPr>
          <w:color w:val="231F20"/>
          <w:spacing w:val="-9"/>
          <w:sz w:val="20"/>
        </w:rPr>
        <w:t xml:space="preserve"> </w:t>
      </w:r>
      <w:r>
        <w:rPr>
          <w:color w:val="231F20"/>
          <w:sz w:val="20"/>
        </w:rPr>
        <w:t>social</w:t>
      </w:r>
      <w:r>
        <w:rPr>
          <w:color w:val="231F20"/>
          <w:spacing w:val="-10"/>
          <w:sz w:val="20"/>
        </w:rPr>
        <w:t xml:space="preserve"> </w:t>
      </w:r>
      <w:r>
        <w:rPr>
          <w:color w:val="231F20"/>
          <w:sz w:val="20"/>
        </w:rPr>
        <w:t>problem.</w:t>
      </w:r>
      <w:r>
        <w:rPr>
          <w:color w:val="231F20"/>
          <w:position w:val="7"/>
          <w:sz w:val="11"/>
        </w:rPr>
        <w:t>6</w:t>
      </w:r>
    </w:p>
    <w:p w14:paraId="2D2D3563" w14:textId="77777777" w:rsidR="00894070" w:rsidRDefault="009B7AFD">
      <w:pPr>
        <w:pStyle w:val="ListParagraph"/>
        <w:numPr>
          <w:ilvl w:val="1"/>
          <w:numId w:val="162"/>
        </w:numPr>
        <w:tabs>
          <w:tab w:val="left" w:pos="1801"/>
          <w:tab w:val="left" w:pos="1802"/>
        </w:tabs>
        <w:spacing w:before="124" w:line="206" w:lineRule="auto"/>
        <w:ind w:right="1482"/>
        <w:rPr>
          <w:sz w:val="20"/>
        </w:rPr>
      </w:pPr>
      <w:r>
        <w:rPr>
          <w:color w:val="231F20"/>
          <w:spacing w:val="-4"/>
          <w:sz w:val="20"/>
        </w:rPr>
        <w:t xml:space="preserve">Technology </w:t>
      </w:r>
      <w:r>
        <w:rPr>
          <w:color w:val="231F20"/>
          <w:sz w:val="20"/>
        </w:rPr>
        <w:t xml:space="preserve">enables people who stalk to </w:t>
      </w:r>
      <w:r>
        <w:rPr>
          <w:color w:val="231F20"/>
          <w:spacing w:val="-3"/>
          <w:sz w:val="20"/>
        </w:rPr>
        <w:t xml:space="preserve">‘infiltrate </w:t>
      </w:r>
      <w:r>
        <w:rPr>
          <w:color w:val="231F20"/>
          <w:sz w:val="20"/>
        </w:rPr>
        <w:t xml:space="preserve">deeper </w:t>
      </w:r>
      <w:r>
        <w:rPr>
          <w:color w:val="231F20"/>
          <w:spacing w:val="-3"/>
          <w:sz w:val="20"/>
        </w:rPr>
        <w:t>into victims’ lives.’</w:t>
      </w:r>
      <w:r>
        <w:rPr>
          <w:color w:val="231F20"/>
          <w:spacing w:val="-3"/>
          <w:position w:val="7"/>
          <w:sz w:val="11"/>
        </w:rPr>
        <w:t xml:space="preserve">7 </w:t>
      </w:r>
      <w:r>
        <w:rPr>
          <w:color w:val="231F20"/>
          <w:sz w:val="20"/>
        </w:rPr>
        <w:t xml:space="preserve">People </w:t>
      </w:r>
      <w:r>
        <w:rPr>
          <w:color w:val="231F20"/>
          <w:spacing w:val="-3"/>
          <w:sz w:val="20"/>
        </w:rPr>
        <w:t>may</w:t>
      </w:r>
      <w:r>
        <w:rPr>
          <w:color w:val="231F20"/>
          <w:spacing w:val="-7"/>
          <w:sz w:val="20"/>
        </w:rPr>
        <w:t xml:space="preserve"> </w:t>
      </w:r>
      <w:r>
        <w:rPr>
          <w:color w:val="231F20"/>
          <w:sz w:val="20"/>
        </w:rPr>
        <w:t>be</w:t>
      </w:r>
      <w:r>
        <w:rPr>
          <w:color w:val="231F20"/>
          <w:spacing w:val="-7"/>
          <w:sz w:val="20"/>
        </w:rPr>
        <w:t xml:space="preserve"> </w:t>
      </w:r>
      <w:r>
        <w:rPr>
          <w:color w:val="231F20"/>
          <w:sz w:val="20"/>
        </w:rPr>
        <w:t>targeted</w:t>
      </w:r>
      <w:r>
        <w:rPr>
          <w:color w:val="231F20"/>
          <w:spacing w:val="-6"/>
          <w:sz w:val="20"/>
        </w:rPr>
        <w:t xml:space="preserve"> </w:t>
      </w:r>
      <w:r>
        <w:rPr>
          <w:color w:val="231F20"/>
          <w:sz w:val="20"/>
        </w:rPr>
        <w:t>in</w:t>
      </w:r>
      <w:r>
        <w:rPr>
          <w:color w:val="231F20"/>
          <w:spacing w:val="-7"/>
          <w:sz w:val="20"/>
        </w:rPr>
        <w:t xml:space="preserve"> </w:t>
      </w:r>
      <w:r>
        <w:rPr>
          <w:color w:val="231F20"/>
          <w:sz w:val="20"/>
        </w:rPr>
        <w:t>many</w:t>
      </w:r>
      <w:r>
        <w:rPr>
          <w:color w:val="231F20"/>
          <w:spacing w:val="-6"/>
          <w:sz w:val="20"/>
        </w:rPr>
        <w:t xml:space="preserve"> </w:t>
      </w:r>
      <w:r>
        <w:rPr>
          <w:color w:val="231F20"/>
          <w:sz w:val="20"/>
        </w:rPr>
        <w:t>unfamiliar</w:t>
      </w:r>
      <w:r>
        <w:rPr>
          <w:color w:val="231F20"/>
          <w:spacing w:val="-7"/>
          <w:sz w:val="20"/>
        </w:rPr>
        <w:t xml:space="preserve"> </w:t>
      </w:r>
      <w:r>
        <w:rPr>
          <w:color w:val="231F20"/>
          <w:spacing w:val="-3"/>
          <w:sz w:val="20"/>
        </w:rPr>
        <w:t>ways,</w:t>
      </w:r>
      <w:r>
        <w:rPr>
          <w:color w:val="231F20"/>
          <w:spacing w:val="-7"/>
          <w:sz w:val="20"/>
        </w:rPr>
        <w:t xml:space="preserve"> </w:t>
      </w:r>
      <w:r>
        <w:rPr>
          <w:color w:val="231F20"/>
          <w:sz w:val="20"/>
        </w:rPr>
        <w:t>sometimes</w:t>
      </w:r>
      <w:r>
        <w:rPr>
          <w:color w:val="231F20"/>
          <w:spacing w:val="-6"/>
          <w:sz w:val="20"/>
        </w:rPr>
        <w:t xml:space="preserve"> </w:t>
      </w:r>
      <w:r>
        <w:rPr>
          <w:color w:val="231F20"/>
          <w:sz w:val="20"/>
        </w:rPr>
        <w:t>without</w:t>
      </w:r>
      <w:r>
        <w:rPr>
          <w:color w:val="231F20"/>
          <w:spacing w:val="-7"/>
          <w:sz w:val="20"/>
        </w:rPr>
        <w:t xml:space="preserve"> </w:t>
      </w:r>
      <w:r>
        <w:rPr>
          <w:color w:val="231F20"/>
          <w:sz w:val="20"/>
        </w:rPr>
        <w:t>their</w:t>
      </w:r>
      <w:r>
        <w:rPr>
          <w:color w:val="231F20"/>
          <w:spacing w:val="-7"/>
          <w:sz w:val="20"/>
        </w:rPr>
        <w:t xml:space="preserve"> </w:t>
      </w:r>
      <w:r>
        <w:rPr>
          <w:color w:val="231F20"/>
          <w:spacing w:val="-3"/>
          <w:sz w:val="20"/>
        </w:rPr>
        <w:t>knowledge.</w:t>
      </w:r>
    </w:p>
    <w:p w14:paraId="3A65D47B" w14:textId="77777777" w:rsidR="00894070" w:rsidRDefault="009B7AFD">
      <w:pPr>
        <w:pStyle w:val="ListParagraph"/>
        <w:numPr>
          <w:ilvl w:val="1"/>
          <w:numId w:val="162"/>
        </w:numPr>
        <w:tabs>
          <w:tab w:val="left" w:pos="1801"/>
          <w:tab w:val="left" w:pos="1802"/>
        </w:tabs>
        <w:spacing w:before="90" w:line="259" w:lineRule="exact"/>
        <w:rPr>
          <w:sz w:val="20"/>
        </w:rPr>
      </w:pPr>
      <w:r>
        <w:rPr>
          <w:color w:val="231F20"/>
          <w:sz w:val="20"/>
        </w:rPr>
        <w:t>Cyberstalking</w:t>
      </w:r>
      <w:r>
        <w:rPr>
          <w:color w:val="231F20"/>
          <w:spacing w:val="-6"/>
          <w:sz w:val="20"/>
        </w:rPr>
        <w:t xml:space="preserve"> </w:t>
      </w:r>
      <w:r>
        <w:rPr>
          <w:color w:val="231F20"/>
          <w:sz w:val="20"/>
        </w:rPr>
        <w:t>can</w:t>
      </w:r>
      <w:r>
        <w:rPr>
          <w:color w:val="231F20"/>
          <w:spacing w:val="-5"/>
          <w:sz w:val="20"/>
        </w:rPr>
        <w:t xml:space="preserve"> </w:t>
      </w:r>
      <w:r>
        <w:rPr>
          <w:color w:val="231F20"/>
          <w:sz w:val="20"/>
        </w:rPr>
        <w:t>feel</w:t>
      </w:r>
      <w:r>
        <w:rPr>
          <w:color w:val="231F20"/>
          <w:spacing w:val="-5"/>
          <w:sz w:val="20"/>
        </w:rPr>
        <w:t xml:space="preserve"> </w:t>
      </w:r>
      <w:r>
        <w:rPr>
          <w:color w:val="231F20"/>
          <w:sz w:val="20"/>
        </w:rPr>
        <w:t>impossible</w:t>
      </w:r>
      <w:r>
        <w:rPr>
          <w:color w:val="231F20"/>
          <w:spacing w:val="-5"/>
          <w:sz w:val="20"/>
        </w:rPr>
        <w:t xml:space="preserve"> </w:t>
      </w:r>
      <w:r>
        <w:rPr>
          <w:color w:val="231F20"/>
          <w:sz w:val="20"/>
        </w:rPr>
        <w:t>to</w:t>
      </w:r>
      <w:r>
        <w:rPr>
          <w:color w:val="231F20"/>
          <w:spacing w:val="-6"/>
          <w:sz w:val="20"/>
        </w:rPr>
        <w:t xml:space="preserve"> </w:t>
      </w:r>
      <w:r>
        <w:rPr>
          <w:color w:val="231F20"/>
          <w:sz w:val="20"/>
        </w:rPr>
        <w:t>escape,</w:t>
      </w:r>
      <w:r>
        <w:rPr>
          <w:color w:val="231F20"/>
          <w:spacing w:val="-5"/>
          <w:sz w:val="20"/>
        </w:rPr>
        <w:t xml:space="preserve"> </w:t>
      </w:r>
      <w:r>
        <w:rPr>
          <w:color w:val="231F20"/>
          <w:spacing w:val="-3"/>
          <w:sz w:val="20"/>
        </w:rPr>
        <w:t>creating</w:t>
      </w:r>
      <w:r>
        <w:rPr>
          <w:color w:val="231F20"/>
          <w:spacing w:val="-5"/>
          <w:sz w:val="20"/>
        </w:rPr>
        <w:t xml:space="preserve"> </w:t>
      </w:r>
      <w:r>
        <w:rPr>
          <w:color w:val="231F20"/>
          <w:spacing w:val="-4"/>
          <w:sz w:val="20"/>
        </w:rPr>
        <w:t>‘a</w:t>
      </w:r>
      <w:r>
        <w:rPr>
          <w:color w:val="231F20"/>
          <w:spacing w:val="-5"/>
          <w:sz w:val="20"/>
        </w:rPr>
        <w:t xml:space="preserve"> </w:t>
      </w:r>
      <w:r>
        <w:rPr>
          <w:color w:val="231F20"/>
          <w:sz w:val="20"/>
        </w:rPr>
        <w:t>sense</w:t>
      </w:r>
      <w:r>
        <w:rPr>
          <w:color w:val="231F20"/>
          <w:spacing w:val="-6"/>
          <w:sz w:val="20"/>
        </w:rPr>
        <w:t xml:space="preserve"> </w:t>
      </w:r>
      <w:r>
        <w:rPr>
          <w:color w:val="231F20"/>
          <w:sz w:val="20"/>
        </w:rPr>
        <w:t>of</w:t>
      </w:r>
      <w:r>
        <w:rPr>
          <w:color w:val="231F20"/>
          <w:spacing w:val="-5"/>
          <w:sz w:val="20"/>
        </w:rPr>
        <w:t xml:space="preserve"> </w:t>
      </w:r>
      <w:r>
        <w:rPr>
          <w:color w:val="231F20"/>
          <w:spacing w:val="-3"/>
          <w:sz w:val="20"/>
        </w:rPr>
        <w:t>omnipresence’.</w:t>
      </w:r>
      <w:r>
        <w:rPr>
          <w:color w:val="231F20"/>
          <w:spacing w:val="-5"/>
          <w:sz w:val="20"/>
        </w:rPr>
        <w:t xml:space="preserve"> </w:t>
      </w:r>
      <w:r>
        <w:rPr>
          <w:color w:val="231F20"/>
          <w:sz w:val="20"/>
        </w:rPr>
        <w:t>It</w:t>
      </w:r>
      <w:r>
        <w:rPr>
          <w:color w:val="231F20"/>
          <w:spacing w:val="-5"/>
          <w:sz w:val="20"/>
        </w:rPr>
        <w:t xml:space="preserve"> </w:t>
      </w:r>
      <w:r>
        <w:rPr>
          <w:color w:val="231F20"/>
          <w:sz w:val="20"/>
        </w:rPr>
        <w:t>can</w:t>
      </w:r>
    </w:p>
    <w:p w14:paraId="6F955164" w14:textId="77777777" w:rsidR="00894070" w:rsidRDefault="009B7AFD">
      <w:pPr>
        <w:pStyle w:val="BodyText"/>
        <w:spacing w:line="259" w:lineRule="exact"/>
        <w:ind w:left="1801"/>
        <w:rPr>
          <w:sz w:val="11"/>
        </w:rPr>
      </w:pPr>
      <w:r>
        <w:rPr>
          <w:color w:val="231F20"/>
        </w:rPr>
        <w:t>remove the usual boundaries of physical space and make a person feel unsafe.</w:t>
      </w:r>
      <w:r>
        <w:rPr>
          <w:color w:val="231F20"/>
          <w:position w:val="7"/>
          <w:sz w:val="11"/>
        </w:rPr>
        <w:t>8</w:t>
      </w:r>
    </w:p>
    <w:p w14:paraId="4E6059F2" w14:textId="77777777" w:rsidR="00894070" w:rsidRDefault="009B7AFD">
      <w:pPr>
        <w:pStyle w:val="ListParagraph"/>
        <w:numPr>
          <w:ilvl w:val="1"/>
          <w:numId w:val="162"/>
        </w:numPr>
        <w:tabs>
          <w:tab w:val="left" w:pos="1801"/>
          <w:tab w:val="left" w:pos="1802"/>
        </w:tabs>
        <w:spacing w:before="82"/>
        <w:rPr>
          <w:sz w:val="11"/>
        </w:rPr>
      </w:pPr>
      <w:r>
        <w:rPr>
          <w:color w:val="231F20"/>
          <w:sz w:val="20"/>
        </w:rPr>
        <w:t>Cyberstalking</w:t>
      </w:r>
      <w:r>
        <w:rPr>
          <w:color w:val="231F20"/>
          <w:spacing w:val="-5"/>
          <w:sz w:val="20"/>
        </w:rPr>
        <w:t xml:space="preserve"> </w:t>
      </w:r>
      <w:r>
        <w:rPr>
          <w:color w:val="231F20"/>
          <w:sz w:val="20"/>
        </w:rPr>
        <w:t>is</w:t>
      </w:r>
      <w:r>
        <w:rPr>
          <w:color w:val="231F20"/>
          <w:spacing w:val="-4"/>
          <w:sz w:val="20"/>
        </w:rPr>
        <w:t xml:space="preserve"> </w:t>
      </w:r>
      <w:r>
        <w:rPr>
          <w:color w:val="231F20"/>
          <w:spacing w:val="-3"/>
          <w:sz w:val="20"/>
        </w:rPr>
        <w:t>under-reported</w:t>
      </w:r>
      <w:r>
        <w:rPr>
          <w:color w:val="231F20"/>
          <w:spacing w:val="-5"/>
          <w:sz w:val="20"/>
        </w:rPr>
        <w:t xml:space="preserve"> </w:t>
      </w:r>
      <w:r>
        <w:rPr>
          <w:color w:val="231F20"/>
          <w:sz w:val="20"/>
        </w:rPr>
        <w:t>in</w:t>
      </w:r>
      <w:r>
        <w:rPr>
          <w:color w:val="231F20"/>
          <w:spacing w:val="-4"/>
          <w:sz w:val="20"/>
        </w:rPr>
        <w:t xml:space="preserve"> </w:t>
      </w:r>
      <w:r>
        <w:rPr>
          <w:color w:val="231F20"/>
          <w:sz w:val="20"/>
        </w:rPr>
        <w:t>part</w:t>
      </w:r>
      <w:r>
        <w:rPr>
          <w:color w:val="231F20"/>
          <w:spacing w:val="-5"/>
          <w:sz w:val="20"/>
        </w:rPr>
        <w:t xml:space="preserve"> </w:t>
      </w:r>
      <w:r>
        <w:rPr>
          <w:color w:val="231F20"/>
          <w:sz w:val="20"/>
        </w:rPr>
        <w:t>because</w:t>
      </w:r>
      <w:r>
        <w:rPr>
          <w:color w:val="231F20"/>
          <w:spacing w:val="-4"/>
          <w:sz w:val="20"/>
        </w:rPr>
        <w:t xml:space="preserve"> </w:t>
      </w:r>
      <w:r>
        <w:rPr>
          <w:color w:val="231F20"/>
          <w:sz w:val="20"/>
        </w:rPr>
        <w:t>it</w:t>
      </w:r>
      <w:r>
        <w:rPr>
          <w:color w:val="231F20"/>
          <w:spacing w:val="-4"/>
          <w:sz w:val="20"/>
        </w:rPr>
        <w:t xml:space="preserve"> </w:t>
      </w:r>
      <w:r>
        <w:rPr>
          <w:color w:val="231F20"/>
          <w:sz w:val="20"/>
        </w:rPr>
        <w:t>is</w:t>
      </w:r>
      <w:r>
        <w:rPr>
          <w:color w:val="231F20"/>
          <w:spacing w:val="-5"/>
          <w:sz w:val="20"/>
        </w:rPr>
        <w:t xml:space="preserve"> </w:t>
      </w:r>
      <w:r>
        <w:rPr>
          <w:color w:val="231F20"/>
          <w:sz w:val="20"/>
        </w:rPr>
        <w:t>not</w:t>
      </w:r>
      <w:r>
        <w:rPr>
          <w:color w:val="231F20"/>
          <w:spacing w:val="-4"/>
          <w:sz w:val="20"/>
        </w:rPr>
        <w:t xml:space="preserve"> </w:t>
      </w:r>
      <w:r>
        <w:rPr>
          <w:color w:val="231F20"/>
          <w:spacing w:val="-3"/>
          <w:sz w:val="20"/>
        </w:rPr>
        <w:t>well</w:t>
      </w:r>
      <w:r>
        <w:rPr>
          <w:color w:val="231F20"/>
          <w:spacing w:val="-5"/>
          <w:sz w:val="20"/>
        </w:rPr>
        <w:t xml:space="preserve"> </w:t>
      </w:r>
      <w:r>
        <w:rPr>
          <w:color w:val="231F20"/>
          <w:sz w:val="20"/>
        </w:rPr>
        <w:t>understood.</w:t>
      </w:r>
      <w:r>
        <w:rPr>
          <w:color w:val="231F20"/>
          <w:position w:val="7"/>
          <w:sz w:val="11"/>
        </w:rPr>
        <w:t>9</w:t>
      </w:r>
    </w:p>
    <w:p w14:paraId="6167730D" w14:textId="77777777" w:rsidR="00894070" w:rsidRDefault="009B7AFD">
      <w:pPr>
        <w:pStyle w:val="ListParagraph"/>
        <w:numPr>
          <w:ilvl w:val="1"/>
          <w:numId w:val="162"/>
        </w:numPr>
        <w:tabs>
          <w:tab w:val="left" w:pos="1801"/>
          <w:tab w:val="left" w:pos="1802"/>
        </w:tabs>
        <w:spacing w:before="83" w:line="259" w:lineRule="exact"/>
        <w:rPr>
          <w:sz w:val="20"/>
        </w:rPr>
      </w:pPr>
      <w:r>
        <w:rPr>
          <w:color w:val="231F20"/>
          <w:sz w:val="20"/>
        </w:rPr>
        <w:t>This</w:t>
      </w:r>
      <w:r>
        <w:rPr>
          <w:color w:val="231F20"/>
          <w:spacing w:val="-6"/>
          <w:sz w:val="20"/>
        </w:rPr>
        <w:t xml:space="preserve"> </w:t>
      </w:r>
      <w:r>
        <w:rPr>
          <w:color w:val="231F20"/>
          <w:spacing w:val="-3"/>
          <w:sz w:val="20"/>
        </w:rPr>
        <w:t>chapter</w:t>
      </w:r>
      <w:r>
        <w:rPr>
          <w:color w:val="231F20"/>
          <w:spacing w:val="-5"/>
          <w:sz w:val="20"/>
        </w:rPr>
        <w:t xml:space="preserve"> </w:t>
      </w:r>
      <w:r>
        <w:rPr>
          <w:color w:val="231F20"/>
          <w:sz w:val="20"/>
        </w:rPr>
        <w:t>is</w:t>
      </w:r>
      <w:r>
        <w:rPr>
          <w:color w:val="231F20"/>
          <w:spacing w:val="-5"/>
          <w:sz w:val="20"/>
        </w:rPr>
        <w:t xml:space="preserve"> </w:t>
      </w:r>
      <w:r>
        <w:rPr>
          <w:color w:val="231F20"/>
          <w:sz w:val="20"/>
        </w:rPr>
        <w:t>about</w:t>
      </w:r>
      <w:r>
        <w:rPr>
          <w:color w:val="231F20"/>
          <w:spacing w:val="-6"/>
          <w:sz w:val="20"/>
        </w:rPr>
        <w:t xml:space="preserve"> </w:t>
      </w:r>
      <w:r>
        <w:rPr>
          <w:color w:val="231F20"/>
          <w:sz w:val="20"/>
        </w:rPr>
        <w:t>the</w:t>
      </w:r>
      <w:r>
        <w:rPr>
          <w:color w:val="231F20"/>
          <w:spacing w:val="-5"/>
          <w:sz w:val="20"/>
        </w:rPr>
        <w:t xml:space="preserve"> </w:t>
      </w:r>
      <w:r>
        <w:rPr>
          <w:color w:val="231F20"/>
          <w:sz w:val="20"/>
        </w:rPr>
        <w:t>challenges</w:t>
      </w:r>
      <w:r>
        <w:rPr>
          <w:color w:val="231F20"/>
          <w:spacing w:val="-5"/>
          <w:sz w:val="20"/>
        </w:rPr>
        <w:t xml:space="preserve"> </w:t>
      </w:r>
      <w:r>
        <w:rPr>
          <w:color w:val="231F20"/>
          <w:sz w:val="20"/>
        </w:rPr>
        <w:t>of</w:t>
      </w:r>
      <w:r>
        <w:rPr>
          <w:color w:val="231F20"/>
          <w:spacing w:val="-5"/>
          <w:sz w:val="20"/>
        </w:rPr>
        <w:t xml:space="preserve"> </w:t>
      </w:r>
      <w:r>
        <w:rPr>
          <w:color w:val="231F20"/>
          <w:sz w:val="20"/>
        </w:rPr>
        <w:t>responding</w:t>
      </w:r>
      <w:r>
        <w:rPr>
          <w:color w:val="231F20"/>
          <w:spacing w:val="-6"/>
          <w:sz w:val="20"/>
        </w:rPr>
        <w:t xml:space="preserve"> </w:t>
      </w:r>
      <w:r>
        <w:rPr>
          <w:color w:val="231F20"/>
          <w:sz w:val="20"/>
        </w:rPr>
        <w:t>to</w:t>
      </w:r>
      <w:r>
        <w:rPr>
          <w:color w:val="231F20"/>
          <w:spacing w:val="-5"/>
          <w:sz w:val="20"/>
        </w:rPr>
        <w:t xml:space="preserve"> </w:t>
      </w:r>
      <w:r>
        <w:rPr>
          <w:color w:val="231F20"/>
          <w:sz w:val="20"/>
        </w:rPr>
        <w:t>cyberstalking</w:t>
      </w:r>
      <w:r>
        <w:rPr>
          <w:color w:val="231F20"/>
          <w:spacing w:val="-5"/>
          <w:sz w:val="20"/>
        </w:rPr>
        <w:t xml:space="preserve"> </w:t>
      </w:r>
      <w:r>
        <w:rPr>
          <w:color w:val="231F20"/>
          <w:sz w:val="20"/>
        </w:rPr>
        <w:t>and</w:t>
      </w:r>
      <w:r>
        <w:rPr>
          <w:color w:val="231F20"/>
          <w:spacing w:val="-5"/>
          <w:sz w:val="20"/>
        </w:rPr>
        <w:t xml:space="preserve"> </w:t>
      </w:r>
      <w:r>
        <w:rPr>
          <w:color w:val="231F20"/>
          <w:spacing w:val="-3"/>
          <w:sz w:val="20"/>
        </w:rPr>
        <w:t>how</w:t>
      </w:r>
      <w:r>
        <w:rPr>
          <w:color w:val="231F20"/>
          <w:spacing w:val="-6"/>
          <w:sz w:val="20"/>
        </w:rPr>
        <w:t xml:space="preserve"> </w:t>
      </w:r>
      <w:r>
        <w:rPr>
          <w:color w:val="231F20"/>
          <w:sz w:val="20"/>
        </w:rPr>
        <w:t>to</w:t>
      </w:r>
    </w:p>
    <w:p w14:paraId="58B5A744" w14:textId="77777777" w:rsidR="00894070" w:rsidRDefault="009B7AFD">
      <w:pPr>
        <w:pStyle w:val="BodyText"/>
        <w:spacing w:line="259" w:lineRule="exact"/>
        <w:ind w:left="1801"/>
      </w:pPr>
      <w:r>
        <w:rPr>
          <w:color w:val="231F20"/>
        </w:rPr>
        <w:t>improve the response. Challenges include:</w:t>
      </w:r>
    </w:p>
    <w:p w14:paraId="4BDECAF9" w14:textId="77777777" w:rsidR="00894070" w:rsidRDefault="009B7AFD">
      <w:pPr>
        <w:pStyle w:val="ListParagraph"/>
        <w:numPr>
          <w:ilvl w:val="2"/>
          <w:numId w:val="162"/>
        </w:numPr>
        <w:tabs>
          <w:tab w:val="left" w:pos="2141"/>
          <w:tab w:val="left" w:pos="2142"/>
        </w:tabs>
        <w:spacing w:before="114" w:line="206" w:lineRule="auto"/>
        <w:ind w:right="1301" w:hanging="340"/>
        <w:rPr>
          <w:sz w:val="11"/>
        </w:rPr>
      </w:pPr>
      <w:r>
        <w:rPr>
          <w:color w:val="231F20"/>
          <w:sz w:val="20"/>
        </w:rPr>
        <w:t>The</w:t>
      </w:r>
      <w:r>
        <w:rPr>
          <w:color w:val="231F20"/>
          <w:spacing w:val="-13"/>
          <w:sz w:val="20"/>
        </w:rPr>
        <w:t xml:space="preserve"> </w:t>
      </w:r>
      <w:r>
        <w:rPr>
          <w:color w:val="231F20"/>
          <w:sz w:val="20"/>
        </w:rPr>
        <w:t>Office</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proofErr w:type="spellStart"/>
      <w:r>
        <w:rPr>
          <w:color w:val="231F20"/>
          <w:sz w:val="20"/>
        </w:rPr>
        <w:t>eSafety</w:t>
      </w:r>
      <w:proofErr w:type="spellEnd"/>
      <w:r>
        <w:rPr>
          <w:color w:val="231F20"/>
          <w:spacing w:val="-13"/>
          <w:sz w:val="20"/>
        </w:rPr>
        <w:t xml:space="preserve"> </w:t>
      </w:r>
      <w:r>
        <w:rPr>
          <w:color w:val="231F20"/>
          <w:sz w:val="20"/>
        </w:rPr>
        <w:t>Commissioner</w:t>
      </w:r>
      <w:r>
        <w:rPr>
          <w:color w:val="231F20"/>
          <w:spacing w:val="-13"/>
          <w:sz w:val="20"/>
        </w:rPr>
        <w:t xml:space="preserve"> </w:t>
      </w:r>
      <w:r>
        <w:rPr>
          <w:color w:val="231F20"/>
          <w:spacing w:val="-4"/>
          <w:sz w:val="20"/>
        </w:rPr>
        <w:t>(</w:t>
      </w:r>
      <w:proofErr w:type="spellStart"/>
      <w:r>
        <w:rPr>
          <w:color w:val="231F20"/>
          <w:spacing w:val="-4"/>
          <w:sz w:val="20"/>
        </w:rPr>
        <w:t>eSafety</w:t>
      </w:r>
      <w:proofErr w:type="spellEnd"/>
      <w:r>
        <w:rPr>
          <w:color w:val="231F20"/>
          <w:spacing w:val="-4"/>
          <w:sz w:val="20"/>
        </w:rPr>
        <w:t>),</w:t>
      </w:r>
      <w:r>
        <w:rPr>
          <w:color w:val="231F20"/>
          <w:spacing w:val="-4"/>
          <w:position w:val="7"/>
          <w:sz w:val="11"/>
        </w:rPr>
        <w:t>10</w:t>
      </w:r>
      <w:r>
        <w:rPr>
          <w:color w:val="231F20"/>
          <w:spacing w:val="11"/>
          <w:position w:val="7"/>
          <w:sz w:val="11"/>
        </w:rPr>
        <w:t xml:space="preserve"> </w:t>
      </w:r>
      <w:proofErr w:type="gramStart"/>
      <w:r>
        <w:rPr>
          <w:color w:val="231F20"/>
          <w:sz w:val="20"/>
        </w:rPr>
        <w:t>state</w:t>
      </w:r>
      <w:proofErr w:type="gramEnd"/>
      <w:r>
        <w:rPr>
          <w:color w:val="231F20"/>
          <w:spacing w:val="-12"/>
          <w:sz w:val="20"/>
        </w:rPr>
        <w:t xml:space="preserve"> </w:t>
      </w:r>
      <w:r>
        <w:rPr>
          <w:color w:val="231F20"/>
          <w:sz w:val="20"/>
        </w:rPr>
        <w:t>and</w:t>
      </w:r>
      <w:r>
        <w:rPr>
          <w:color w:val="231F20"/>
          <w:spacing w:val="-13"/>
          <w:sz w:val="20"/>
        </w:rPr>
        <w:t xml:space="preserve"> </w:t>
      </w:r>
      <w:r>
        <w:rPr>
          <w:color w:val="231F20"/>
          <w:sz w:val="20"/>
        </w:rPr>
        <w:t>federal</w:t>
      </w:r>
      <w:r>
        <w:rPr>
          <w:color w:val="231F20"/>
          <w:spacing w:val="-13"/>
          <w:sz w:val="20"/>
        </w:rPr>
        <w:t xml:space="preserve"> </w:t>
      </w:r>
      <w:r>
        <w:rPr>
          <w:color w:val="231F20"/>
          <w:sz w:val="20"/>
        </w:rPr>
        <w:t>governments all</w:t>
      </w:r>
      <w:r>
        <w:rPr>
          <w:color w:val="231F20"/>
          <w:spacing w:val="-6"/>
          <w:sz w:val="20"/>
        </w:rPr>
        <w:t xml:space="preserve"> </w:t>
      </w:r>
      <w:r>
        <w:rPr>
          <w:color w:val="231F20"/>
          <w:sz w:val="20"/>
        </w:rPr>
        <w:t>need</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pacing w:val="-4"/>
          <w:sz w:val="20"/>
        </w:rPr>
        <w:t>involved</w:t>
      </w:r>
      <w:r>
        <w:rPr>
          <w:color w:val="231F20"/>
          <w:spacing w:val="-5"/>
          <w:sz w:val="20"/>
        </w:rPr>
        <w:t xml:space="preserve"> </w:t>
      </w:r>
      <w:r>
        <w:rPr>
          <w:color w:val="231F20"/>
          <w:sz w:val="20"/>
        </w:rPr>
        <w:t>in</w:t>
      </w:r>
      <w:r>
        <w:rPr>
          <w:color w:val="231F20"/>
          <w:spacing w:val="-5"/>
          <w:sz w:val="20"/>
        </w:rPr>
        <w:t xml:space="preserve"> </w:t>
      </w:r>
      <w:r>
        <w:rPr>
          <w:color w:val="231F20"/>
          <w:sz w:val="20"/>
        </w:rPr>
        <w:t>regulating</w:t>
      </w:r>
      <w:r>
        <w:rPr>
          <w:color w:val="231F20"/>
          <w:spacing w:val="-5"/>
          <w:sz w:val="20"/>
        </w:rPr>
        <w:t xml:space="preserve"> </w:t>
      </w:r>
      <w:r>
        <w:rPr>
          <w:color w:val="231F20"/>
          <w:sz w:val="20"/>
        </w:rPr>
        <w:t>and</w:t>
      </w:r>
      <w:r>
        <w:rPr>
          <w:color w:val="231F20"/>
          <w:spacing w:val="-6"/>
          <w:sz w:val="20"/>
        </w:rPr>
        <w:t xml:space="preserve"> </w:t>
      </w:r>
      <w:r>
        <w:rPr>
          <w:color w:val="231F20"/>
          <w:sz w:val="20"/>
        </w:rPr>
        <w:t>responding</w:t>
      </w:r>
      <w:r>
        <w:rPr>
          <w:color w:val="231F20"/>
          <w:spacing w:val="-5"/>
          <w:sz w:val="20"/>
        </w:rPr>
        <w:t xml:space="preserve"> </w:t>
      </w:r>
      <w:r>
        <w:rPr>
          <w:color w:val="231F20"/>
          <w:sz w:val="20"/>
        </w:rPr>
        <w:t>to</w:t>
      </w:r>
      <w:r>
        <w:rPr>
          <w:color w:val="231F20"/>
          <w:spacing w:val="-5"/>
          <w:sz w:val="20"/>
        </w:rPr>
        <w:t xml:space="preserve"> </w:t>
      </w:r>
      <w:r>
        <w:rPr>
          <w:color w:val="231F20"/>
          <w:sz w:val="20"/>
        </w:rPr>
        <w:t>this</w:t>
      </w:r>
      <w:r>
        <w:rPr>
          <w:color w:val="231F20"/>
          <w:spacing w:val="-5"/>
          <w:sz w:val="20"/>
        </w:rPr>
        <w:t xml:space="preserve"> </w:t>
      </w:r>
      <w:r>
        <w:rPr>
          <w:color w:val="231F20"/>
          <w:sz w:val="20"/>
        </w:rPr>
        <w:t>harm.</w:t>
      </w:r>
      <w:r>
        <w:rPr>
          <w:color w:val="231F20"/>
          <w:position w:val="7"/>
          <w:sz w:val="11"/>
        </w:rPr>
        <w:t>11</w:t>
      </w:r>
    </w:p>
    <w:p w14:paraId="3D1D822E" w14:textId="77777777" w:rsidR="00894070" w:rsidRDefault="009B7AFD">
      <w:pPr>
        <w:pStyle w:val="ListParagraph"/>
        <w:numPr>
          <w:ilvl w:val="2"/>
          <w:numId w:val="162"/>
        </w:numPr>
        <w:tabs>
          <w:tab w:val="left" w:pos="2142"/>
        </w:tabs>
        <w:spacing w:before="88" w:line="206" w:lineRule="auto"/>
        <w:ind w:right="1551" w:hanging="340"/>
        <w:jc w:val="both"/>
        <w:rPr>
          <w:sz w:val="11"/>
        </w:rPr>
      </w:pPr>
      <w:r>
        <w:rPr>
          <w:color w:val="231F20"/>
          <w:sz w:val="20"/>
        </w:rPr>
        <w:t>The</w:t>
      </w:r>
      <w:r>
        <w:rPr>
          <w:color w:val="231F20"/>
          <w:spacing w:val="-9"/>
          <w:sz w:val="20"/>
        </w:rPr>
        <w:t xml:space="preserve"> </w:t>
      </w:r>
      <w:r>
        <w:rPr>
          <w:color w:val="231F20"/>
          <w:spacing w:val="-3"/>
          <w:sz w:val="20"/>
        </w:rPr>
        <w:t>role</w:t>
      </w:r>
      <w:r>
        <w:rPr>
          <w:color w:val="231F20"/>
          <w:spacing w:val="-9"/>
          <w:sz w:val="20"/>
        </w:rPr>
        <w:t xml:space="preserve"> </w:t>
      </w:r>
      <w:r>
        <w:rPr>
          <w:color w:val="231F20"/>
          <w:sz w:val="20"/>
        </w:rPr>
        <w:t>and</w:t>
      </w:r>
      <w:r>
        <w:rPr>
          <w:color w:val="231F20"/>
          <w:spacing w:val="-9"/>
          <w:sz w:val="20"/>
        </w:rPr>
        <w:t xml:space="preserve"> </w:t>
      </w:r>
      <w:r>
        <w:rPr>
          <w:color w:val="231F20"/>
          <w:sz w:val="20"/>
        </w:rPr>
        <w:t>responsibilities</w:t>
      </w:r>
      <w:r>
        <w:rPr>
          <w:color w:val="231F20"/>
          <w:spacing w:val="-9"/>
          <w:sz w:val="20"/>
        </w:rPr>
        <w:t xml:space="preserve"> </w:t>
      </w:r>
      <w:r>
        <w:rPr>
          <w:color w:val="231F20"/>
          <w:sz w:val="20"/>
        </w:rPr>
        <w:t>of</w:t>
      </w:r>
      <w:r>
        <w:rPr>
          <w:color w:val="231F20"/>
          <w:spacing w:val="-9"/>
          <w:sz w:val="20"/>
        </w:rPr>
        <w:t xml:space="preserve"> </w:t>
      </w:r>
      <w:r>
        <w:rPr>
          <w:color w:val="231F20"/>
          <w:sz w:val="20"/>
        </w:rPr>
        <w:t>online</w:t>
      </w:r>
      <w:r>
        <w:rPr>
          <w:color w:val="231F20"/>
          <w:spacing w:val="-9"/>
          <w:sz w:val="20"/>
        </w:rPr>
        <w:t xml:space="preserve"> </w:t>
      </w:r>
      <w:r>
        <w:rPr>
          <w:color w:val="231F20"/>
          <w:sz w:val="20"/>
        </w:rPr>
        <w:t>service</w:t>
      </w:r>
      <w:r>
        <w:rPr>
          <w:color w:val="231F20"/>
          <w:spacing w:val="-9"/>
          <w:sz w:val="20"/>
        </w:rPr>
        <w:t xml:space="preserve"> </w:t>
      </w:r>
      <w:r>
        <w:rPr>
          <w:color w:val="231F20"/>
          <w:spacing w:val="-3"/>
          <w:sz w:val="20"/>
        </w:rPr>
        <w:t>providers</w:t>
      </w:r>
      <w:r>
        <w:rPr>
          <w:color w:val="231F20"/>
          <w:spacing w:val="-9"/>
          <w:sz w:val="20"/>
        </w:rPr>
        <w:t xml:space="preserve"> </w:t>
      </w:r>
      <w:r>
        <w:rPr>
          <w:color w:val="231F20"/>
          <w:sz w:val="20"/>
        </w:rPr>
        <w:t>need</w:t>
      </w:r>
      <w:r>
        <w:rPr>
          <w:color w:val="231F20"/>
          <w:spacing w:val="-9"/>
          <w:sz w:val="20"/>
        </w:rPr>
        <w:t xml:space="preserve"> </w:t>
      </w:r>
      <w:r>
        <w:rPr>
          <w:color w:val="231F20"/>
          <w:sz w:val="20"/>
        </w:rPr>
        <w:t>to</w:t>
      </w:r>
      <w:r>
        <w:rPr>
          <w:color w:val="231F20"/>
          <w:spacing w:val="-9"/>
          <w:sz w:val="20"/>
        </w:rPr>
        <w:t xml:space="preserve"> </w:t>
      </w:r>
      <w:r>
        <w:rPr>
          <w:color w:val="231F20"/>
          <w:sz w:val="20"/>
        </w:rPr>
        <w:t>be</w:t>
      </w:r>
      <w:r>
        <w:rPr>
          <w:color w:val="231F20"/>
          <w:spacing w:val="-9"/>
          <w:sz w:val="20"/>
        </w:rPr>
        <w:t xml:space="preserve"> </w:t>
      </w:r>
      <w:r>
        <w:rPr>
          <w:color w:val="231F20"/>
          <w:sz w:val="20"/>
        </w:rPr>
        <w:t>considered, especially</w:t>
      </w:r>
      <w:r>
        <w:rPr>
          <w:color w:val="231F20"/>
          <w:spacing w:val="-12"/>
          <w:sz w:val="20"/>
        </w:rPr>
        <w:t xml:space="preserve"> </w:t>
      </w:r>
      <w:r>
        <w:rPr>
          <w:color w:val="231F20"/>
          <w:sz w:val="20"/>
        </w:rPr>
        <w:t>their</w:t>
      </w:r>
      <w:r>
        <w:rPr>
          <w:color w:val="231F20"/>
          <w:spacing w:val="-12"/>
          <w:sz w:val="20"/>
        </w:rPr>
        <w:t xml:space="preserve"> </w:t>
      </w:r>
      <w:r>
        <w:rPr>
          <w:color w:val="231F20"/>
          <w:sz w:val="20"/>
        </w:rPr>
        <w:t>responsibilities</w:t>
      </w:r>
      <w:r>
        <w:rPr>
          <w:color w:val="231F20"/>
          <w:spacing w:val="-11"/>
          <w:sz w:val="20"/>
        </w:rPr>
        <w:t xml:space="preserve"> </w:t>
      </w:r>
      <w:r>
        <w:rPr>
          <w:color w:val="231F20"/>
          <w:spacing w:val="-3"/>
          <w:sz w:val="20"/>
        </w:rPr>
        <w:t>for</w:t>
      </w:r>
      <w:r>
        <w:rPr>
          <w:color w:val="231F20"/>
          <w:spacing w:val="-12"/>
          <w:sz w:val="20"/>
        </w:rPr>
        <w:t xml:space="preserve"> </w:t>
      </w:r>
      <w:r>
        <w:rPr>
          <w:color w:val="231F20"/>
          <w:sz w:val="20"/>
        </w:rPr>
        <w:t>making</w:t>
      </w:r>
      <w:r>
        <w:rPr>
          <w:color w:val="231F20"/>
          <w:spacing w:val="-12"/>
          <w:sz w:val="20"/>
        </w:rPr>
        <w:t xml:space="preserve"> </w:t>
      </w:r>
      <w:r>
        <w:rPr>
          <w:color w:val="231F20"/>
          <w:sz w:val="20"/>
        </w:rPr>
        <w:t>their</w:t>
      </w:r>
      <w:r>
        <w:rPr>
          <w:color w:val="231F20"/>
          <w:spacing w:val="-11"/>
          <w:sz w:val="20"/>
        </w:rPr>
        <w:t xml:space="preserve"> </w:t>
      </w:r>
      <w:r>
        <w:rPr>
          <w:color w:val="231F20"/>
          <w:sz w:val="20"/>
        </w:rPr>
        <w:t>services</w:t>
      </w:r>
      <w:r>
        <w:rPr>
          <w:color w:val="231F20"/>
          <w:spacing w:val="-12"/>
          <w:sz w:val="20"/>
        </w:rPr>
        <w:t xml:space="preserve"> </w:t>
      </w:r>
      <w:r>
        <w:rPr>
          <w:color w:val="231F20"/>
          <w:sz w:val="20"/>
        </w:rPr>
        <w:t>and</w:t>
      </w:r>
      <w:r>
        <w:rPr>
          <w:color w:val="231F20"/>
          <w:spacing w:val="-11"/>
          <w:sz w:val="20"/>
        </w:rPr>
        <w:t xml:space="preserve"> </w:t>
      </w:r>
      <w:r>
        <w:rPr>
          <w:color w:val="231F20"/>
          <w:sz w:val="20"/>
        </w:rPr>
        <w:t>platforms</w:t>
      </w:r>
      <w:r>
        <w:rPr>
          <w:color w:val="231F20"/>
          <w:spacing w:val="-12"/>
          <w:sz w:val="20"/>
        </w:rPr>
        <w:t xml:space="preserve"> </w:t>
      </w:r>
      <w:r>
        <w:rPr>
          <w:color w:val="231F20"/>
          <w:spacing w:val="-3"/>
          <w:sz w:val="20"/>
        </w:rPr>
        <w:t>safe</w:t>
      </w:r>
      <w:r>
        <w:rPr>
          <w:color w:val="231F20"/>
          <w:spacing w:val="-12"/>
          <w:sz w:val="20"/>
        </w:rPr>
        <w:t xml:space="preserve"> </w:t>
      </w:r>
      <w:r>
        <w:rPr>
          <w:color w:val="231F20"/>
          <w:sz w:val="20"/>
        </w:rPr>
        <w:t>and responding to reports of</w:t>
      </w:r>
      <w:r>
        <w:rPr>
          <w:color w:val="231F20"/>
          <w:spacing w:val="-18"/>
          <w:sz w:val="20"/>
        </w:rPr>
        <w:t xml:space="preserve"> </w:t>
      </w:r>
      <w:r>
        <w:rPr>
          <w:color w:val="231F20"/>
          <w:sz w:val="20"/>
        </w:rPr>
        <w:t>cyberstalking.</w:t>
      </w:r>
      <w:r>
        <w:rPr>
          <w:color w:val="231F20"/>
          <w:position w:val="7"/>
          <w:sz w:val="11"/>
        </w:rPr>
        <w:t>12</w:t>
      </w:r>
    </w:p>
    <w:p w14:paraId="301802BE" w14:textId="77777777" w:rsidR="00894070" w:rsidRDefault="009B7AFD">
      <w:pPr>
        <w:pStyle w:val="ListParagraph"/>
        <w:numPr>
          <w:ilvl w:val="2"/>
          <w:numId w:val="162"/>
        </w:numPr>
        <w:tabs>
          <w:tab w:val="left" w:pos="2141"/>
          <w:tab w:val="left" w:pos="2142"/>
        </w:tabs>
        <w:spacing w:before="57" w:line="259" w:lineRule="exact"/>
        <w:ind w:hanging="340"/>
        <w:rPr>
          <w:sz w:val="20"/>
        </w:rPr>
      </w:pPr>
      <w:r>
        <w:rPr>
          <w:color w:val="231F20"/>
          <w:spacing w:val="-3"/>
          <w:sz w:val="20"/>
        </w:rPr>
        <w:t>For</w:t>
      </w:r>
      <w:r>
        <w:rPr>
          <w:color w:val="231F20"/>
          <w:spacing w:val="-6"/>
          <w:sz w:val="20"/>
        </w:rPr>
        <w:t xml:space="preserve"> </w:t>
      </w:r>
      <w:r>
        <w:rPr>
          <w:color w:val="231F20"/>
          <w:sz w:val="20"/>
        </w:rPr>
        <w:t>the</w:t>
      </w:r>
      <w:r>
        <w:rPr>
          <w:color w:val="231F20"/>
          <w:spacing w:val="-5"/>
          <w:sz w:val="20"/>
        </w:rPr>
        <w:t xml:space="preserve"> </w:t>
      </w:r>
      <w:r>
        <w:rPr>
          <w:color w:val="231F20"/>
          <w:sz w:val="20"/>
        </w:rPr>
        <w:t>police,</w:t>
      </w:r>
      <w:r>
        <w:rPr>
          <w:color w:val="231F20"/>
          <w:spacing w:val="-5"/>
          <w:sz w:val="20"/>
        </w:rPr>
        <w:t xml:space="preserve"> </w:t>
      </w:r>
      <w:r>
        <w:rPr>
          <w:color w:val="231F20"/>
          <w:sz w:val="20"/>
        </w:rPr>
        <w:t>cyberstalking</w:t>
      </w:r>
      <w:r>
        <w:rPr>
          <w:color w:val="231F20"/>
          <w:spacing w:val="-6"/>
          <w:sz w:val="20"/>
        </w:rPr>
        <w:t xml:space="preserve"> </w:t>
      </w:r>
      <w:r>
        <w:rPr>
          <w:color w:val="231F20"/>
          <w:spacing w:val="-3"/>
          <w:sz w:val="20"/>
        </w:rPr>
        <w:t>requires</w:t>
      </w:r>
      <w:r>
        <w:rPr>
          <w:color w:val="231F20"/>
          <w:spacing w:val="-5"/>
          <w:sz w:val="20"/>
        </w:rPr>
        <w:t xml:space="preserve"> </w:t>
      </w:r>
      <w:r>
        <w:rPr>
          <w:color w:val="231F20"/>
          <w:sz w:val="20"/>
        </w:rPr>
        <w:t>a</w:t>
      </w:r>
      <w:r>
        <w:rPr>
          <w:color w:val="231F20"/>
          <w:spacing w:val="-5"/>
          <w:sz w:val="20"/>
        </w:rPr>
        <w:t xml:space="preserve"> </w:t>
      </w:r>
      <w:r>
        <w:rPr>
          <w:color w:val="231F20"/>
          <w:sz w:val="20"/>
        </w:rPr>
        <w:t>shift</w:t>
      </w:r>
      <w:r>
        <w:rPr>
          <w:color w:val="231F20"/>
          <w:spacing w:val="-6"/>
          <w:sz w:val="20"/>
        </w:rPr>
        <w:t xml:space="preserve"> </w:t>
      </w:r>
      <w:r>
        <w:rPr>
          <w:color w:val="231F20"/>
          <w:sz w:val="20"/>
        </w:rPr>
        <w:t>in</w:t>
      </w:r>
      <w:r>
        <w:rPr>
          <w:color w:val="231F20"/>
          <w:spacing w:val="-5"/>
          <w:sz w:val="20"/>
        </w:rPr>
        <w:t xml:space="preserve"> </w:t>
      </w:r>
      <w:r>
        <w:rPr>
          <w:color w:val="231F20"/>
          <w:spacing w:val="-3"/>
          <w:sz w:val="20"/>
        </w:rPr>
        <w:t>how</w:t>
      </w:r>
      <w:r>
        <w:rPr>
          <w:color w:val="231F20"/>
          <w:spacing w:val="-5"/>
          <w:sz w:val="20"/>
        </w:rPr>
        <w:t xml:space="preserve"> </w:t>
      </w:r>
      <w:r>
        <w:rPr>
          <w:color w:val="231F20"/>
          <w:sz w:val="20"/>
        </w:rPr>
        <w:t>they</w:t>
      </w:r>
      <w:r>
        <w:rPr>
          <w:color w:val="231F20"/>
          <w:spacing w:val="-6"/>
          <w:sz w:val="20"/>
        </w:rPr>
        <w:t xml:space="preserve"> </w:t>
      </w:r>
      <w:r>
        <w:rPr>
          <w:color w:val="231F20"/>
          <w:sz w:val="20"/>
        </w:rPr>
        <w:t>think</w:t>
      </w:r>
      <w:r>
        <w:rPr>
          <w:color w:val="231F20"/>
          <w:spacing w:val="-5"/>
          <w:sz w:val="20"/>
        </w:rPr>
        <w:t xml:space="preserve"> </w:t>
      </w:r>
      <w:r>
        <w:rPr>
          <w:color w:val="231F20"/>
          <w:sz w:val="20"/>
        </w:rPr>
        <w:t>about</w:t>
      </w:r>
      <w:r>
        <w:rPr>
          <w:color w:val="231F20"/>
          <w:spacing w:val="-5"/>
          <w:sz w:val="20"/>
        </w:rPr>
        <w:t xml:space="preserve"> </w:t>
      </w:r>
      <w:r>
        <w:rPr>
          <w:color w:val="231F20"/>
          <w:sz w:val="20"/>
        </w:rPr>
        <w:t>stalking,</w:t>
      </w:r>
      <w:r>
        <w:rPr>
          <w:color w:val="231F20"/>
          <w:spacing w:val="-6"/>
          <w:sz w:val="20"/>
        </w:rPr>
        <w:t xml:space="preserve"> </w:t>
      </w:r>
      <w:r>
        <w:rPr>
          <w:color w:val="231F20"/>
          <w:sz w:val="20"/>
        </w:rPr>
        <w:t>and</w:t>
      </w:r>
    </w:p>
    <w:p w14:paraId="242DF94F" w14:textId="77777777" w:rsidR="00894070" w:rsidRDefault="009B7AFD">
      <w:pPr>
        <w:pStyle w:val="BodyText"/>
        <w:spacing w:line="259" w:lineRule="exact"/>
        <w:ind w:left="2141"/>
      </w:pPr>
      <w:r>
        <w:rPr>
          <w:color w:val="231F20"/>
        </w:rPr>
        <w:t>new methods of investigation.</w:t>
      </w:r>
    </w:p>
    <w:p w14:paraId="12C20DB7" w14:textId="77777777" w:rsidR="00894070" w:rsidRDefault="009B7AFD">
      <w:pPr>
        <w:pStyle w:val="Heading7"/>
        <w:spacing w:before="185"/>
      </w:pPr>
      <w:r>
        <w:rPr>
          <w:color w:val="EA5B50"/>
        </w:rPr>
        <w:t>What is cyberstalking?</w:t>
      </w:r>
    </w:p>
    <w:p w14:paraId="3994D9EE" w14:textId="77777777" w:rsidR="00894070" w:rsidRDefault="009B7AFD">
      <w:pPr>
        <w:pStyle w:val="ListParagraph"/>
        <w:numPr>
          <w:ilvl w:val="1"/>
          <w:numId w:val="162"/>
        </w:numPr>
        <w:tabs>
          <w:tab w:val="left" w:pos="1801"/>
          <w:tab w:val="left" w:pos="1802"/>
        </w:tabs>
        <w:spacing w:before="146" w:line="206" w:lineRule="auto"/>
        <w:ind w:right="1370"/>
        <w:rPr>
          <w:sz w:val="20"/>
        </w:rPr>
      </w:pPr>
      <w:r>
        <w:rPr>
          <w:color w:val="231F20"/>
          <w:sz w:val="20"/>
        </w:rPr>
        <w:t xml:space="preserve">Cyberstalking has been defined </w:t>
      </w:r>
      <w:r>
        <w:rPr>
          <w:color w:val="231F20"/>
          <w:spacing w:val="-3"/>
          <w:sz w:val="20"/>
        </w:rPr>
        <w:t xml:space="preserve">by </w:t>
      </w:r>
      <w:r>
        <w:rPr>
          <w:color w:val="231F20"/>
          <w:sz w:val="20"/>
        </w:rPr>
        <w:t xml:space="preserve">some </w:t>
      </w:r>
      <w:r>
        <w:rPr>
          <w:color w:val="231F20"/>
          <w:spacing w:val="-3"/>
          <w:sz w:val="20"/>
        </w:rPr>
        <w:t xml:space="preserve">researchers </w:t>
      </w:r>
      <w:r>
        <w:rPr>
          <w:color w:val="231F20"/>
          <w:sz w:val="20"/>
        </w:rPr>
        <w:t xml:space="preserve">as </w:t>
      </w:r>
      <w:r>
        <w:rPr>
          <w:color w:val="231F20"/>
          <w:spacing w:val="-3"/>
          <w:sz w:val="20"/>
        </w:rPr>
        <w:t xml:space="preserve">repetitive </w:t>
      </w:r>
      <w:r>
        <w:rPr>
          <w:color w:val="231F20"/>
          <w:sz w:val="20"/>
        </w:rPr>
        <w:t xml:space="preserve">and </w:t>
      </w:r>
      <w:r>
        <w:rPr>
          <w:color w:val="231F20"/>
          <w:spacing w:val="-3"/>
          <w:sz w:val="20"/>
        </w:rPr>
        <w:t xml:space="preserve">unwanted </w:t>
      </w:r>
      <w:r>
        <w:rPr>
          <w:color w:val="231F20"/>
          <w:sz w:val="20"/>
        </w:rPr>
        <w:t>contact</w:t>
      </w:r>
      <w:r>
        <w:rPr>
          <w:color w:val="231F20"/>
          <w:spacing w:val="-11"/>
          <w:sz w:val="20"/>
        </w:rPr>
        <w:t xml:space="preserve"> </w:t>
      </w:r>
      <w:r>
        <w:rPr>
          <w:color w:val="231F20"/>
          <w:sz w:val="20"/>
        </w:rPr>
        <w:t>with</w:t>
      </w:r>
      <w:r>
        <w:rPr>
          <w:color w:val="231F20"/>
          <w:spacing w:val="-11"/>
          <w:sz w:val="20"/>
        </w:rPr>
        <w:t xml:space="preserve"> </w:t>
      </w:r>
      <w:r>
        <w:rPr>
          <w:color w:val="231F20"/>
          <w:sz w:val="20"/>
        </w:rPr>
        <w:t>a</w:t>
      </w:r>
      <w:r>
        <w:rPr>
          <w:color w:val="231F20"/>
          <w:spacing w:val="-11"/>
          <w:sz w:val="20"/>
        </w:rPr>
        <w:t xml:space="preserve"> </w:t>
      </w:r>
      <w:r>
        <w:rPr>
          <w:color w:val="231F20"/>
          <w:sz w:val="20"/>
        </w:rPr>
        <w:t>person</w:t>
      </w:r>
      <w:r>
        <w:rPr>
          <w:color w:val="231F20"/>
          <w:spacing w:val="-12"/>
          <w:sz w:val="20"/>
        </w:rPr>
        <w:t xml:space="preserve"> </w:t>
      </w:r>
      <w:r>
        <w:rPr>
          <w:color w:val="231F20"/>
          <w:sz w:val="20"/>
        </w:rPr>
        <w:t>using</w:t>
      </w:r>
      <w:r>
        <w:rPr>
          <w:color w:val="231F20"/>
          <w:spacing w:val="-12"/>
          <w:sz w:val="20"/>
        </w:rPr>
        <w:t xml:space="preserve"> </w:t>
      </w:r>
      <w:r>
        <w:rPr>
          <w:color w:val="231F20"/>
          <w:sz w:val="20"/>
        </w:rPr>
        <w:t>information</w:t>
      </w:r>
      <w:r>
        <w:rPr>
          <w:color w:val="231F20"/>
          <w:spacing w:val="-11"/>
          <w:sz w:val="20"/>
        </w:rPr>
        <w:t xml:space="preserve"> </w:t>
      </w:r>
      <w:r>
        <w:rPr>
          <w:color w:val="231F20"/>
          <w:sz w:val="20"/>
        </w:rPr>
        <w:t>and</w:t>
      </w:r>
      <w:r>
        <w:rPr>
          <w:color w:val="231F20"/>
          <w:spacing w:val="-11"/>
          <w:sz w:val="20"/>
        </w:rPr>
        <w:t xml:space="preserve"> </w:t>
      </w:r>
      <w:r>
        <w:rPr>
          <w:color w:val="231F20"/>
          <w:sz w:val="20"/>
        </w:rPr>
        <w:t>communication</w:t>
      </w:r>
      <w:r>
        <w:rPr>
          <w:color w:val="231F20"/>
          <w:spacing w:val="-12"/>
          <w:sz w:val="20"/>
        </w:rPr>
        <w:t xml:space="preserve"> </w:t>
      </w:r>
      <w:proofErr w:type="gramStart"/>
      <w:r>
        <w:rPr>
          <w:color w:val="231F20"/>
          <w:spacing w:val="-3"/>
          <w:sz w:val="20"/>
        </w:rPr>
        <w:t>technology,</w:t>
      </w:r>
      <w:r>
        <w:rPr>
          <w:color w:val="231F20"/>
          <w:spacing w:val="-11"/>
          <w:sz w:val="20"/>
        </w:rPr>
        <w:t xml:space="preserve"> </w:t>
      </w:r>
      <w:r>
        <w:rPr>
          <w:color w:val="231F20"/>
          <w:sz w:val="20"/>
        </w:rPr>
        <w:t>and</w:t>
      </w:r>
      <w:proofErr w:type="gramEnd"/>
      <w:r>
        <w:rPr>
          <w:color w:val="231F20"/>
          <w:spacing w:val="-11"/>
          <w:sz w:val="20"/>
        </w:rPr>
        <w:t xml:space="preserve"> </w:t>
      </w:r>
      <w:r>
        <w:rPr>
          <w:color w:val="231F20"/>
          <w:sz w:val="20"/>
        </w:rPr>
        <w:t>causing that</w:t>
      </w:r>
      <w:r>
        <w:rPr>
          <w:color w:val="231F20"/>
          <w:spacing w:val="-8"/>
          <w:sz w:val="20"/>
        </w:rPr>
        <w:t xml:space="preserve"> </w:t>
      </w:r>
      <w:r>
        <w:rPr>
          <w:color w:val="231F20"/>
          <w:sz w:val="20"/>
        </w:rPr>
        <w:t>person</w:t>
      </w:r>
      <w:r>
        <w:rPr>
          <w:color w:val="231F20"/>
          <w:spacing w:val="-8"/>
          <w:sz w:val="20"/>
        </w:rPr>
        <w:t xml:space="preserve"> </w:t>
      </w:r>
      <w:r>
        <w:rPr>
          <w:color w:val="231F20"/>
          <w:sz w:val="20"/>
        </w:rPr>
        <w:t>to</w:t>
      </w:r>
      <w:r>
        <w:rPr>
          <w:color w:val="231F20"/>
          <w:spacing w:val="-7"/>
          <w:sz w:val="20"/>
        </w:rPr>
        <w:t xml:space="preserve"> </w:t>
      </w:r>
      <w:r>
        <w:rPr>
          <w:color w:val="231F20"/>
          <w:sz w:val="20"/>
        </w:rPr>
        <w:t>feel</w:t>
      </w:r>
      <w:r>
        <w:rPr>
          <w:color w:val="231F20"/>
          <w:spacing w:val="-8"/>
          <w:sz w:val="20"/>
        </w:rPr>
        <w:t xml:space="preserve"> </w:t>
      </w:r>
      <w:r>
        <w:rPr>
          <w:color w:val="231F20"/>
          <w:spacing w:val="-4"/>
          <w:sz w:val="20"/>
        </w:rPr>
        <w:t>fear.</w:t>
      </w:r>
      <w:r>
        <w:rPr>
          <w:color w:val="231F20"/>
          <w:spacing w:val="-4"/>
          <w:position w:val="7"/>
          <w:sz w:val="11"/>
        </w:rPr>
        <w:t>13</w:t>
      </w:r>
      <w:r>
        <w:rPr>
          <w:color w:val="231F20"/>
          <w:spacing w:val="17"/>
          <w:position w:val="7"/>
          <w:sz w:val="11"/>
        </w:rPr>
        <w:t xml:space="preserve"> </w:t>
      </w:r>
      <w:r>
        <w:rPr>
          <w:color w:val="231F20"/>
          <w:sz w:val="20"/>
        </w:rPr>
        <w:t>Cyberstalking</w:t>
      </w:r>
      <w:r>
        <w:rPr>
          <w:color w:val="231F20"/>
          <w:spacing w:val="-8"/>
          <w:sz w:val="20"/>
        </w:rPr>
        <w:t xml:space="preserve"> </w:t>
      </w:r>
      <w:r>
        <w:rPr>
          <w:color w:val="231F20"/>
          <w:sz w:val="20"/>
        </w:rPr>
        <w:t>becomes</w:t>
      </w:r>
      <w:r>
        <w:rPr>
          <w:color w:val="231F20"/>
          <w:spacing w:val="-8"/>
          <w:sz w:val="20"/>
        </w:rPr>
        <w:t xml:space="preserve"> </w:t>
      </w:r>
      <w:r>
        <w:rPr>
          <w:color w:val="231F20"/>
          <w:sz w:val="20"/>
        </w:rPr>
        <w:t>a</w:t>
      </w:r>
      <w:r>
        <w:rPr>
          <w:color w:val="231F20"/>
          <w:spacing w:val="-7"/>
          <w:sz w:val="20"/>
        </w:rPr>
        <w:t xml:space="preserve"> </w:t>
      </w:r>
      <w:r>
        <w:rPr>
          <w:color w:val="231F20"/>
          <w:sz w:val="20"/>
        </w:rPr>
        <w:t>crime</w:t>
      </w:r>
      <w:r>
        <w:rPr>
          <w:color w:val="231F20"/>
          <w:spacing w:val="-8"/>
          <w:sz w:val="20"/>
        </w:rPr>
        <w:t xml:space="preserve"> </w:t>
      </w:r>
      <w:r>
        <w:rPr>
          <w:color w:val="231F20"/>
          <w:sz w:val="20"/>
        </w:rPr>
        <w:t>when</w:t>
      </w:r>
      <w:r>
        <w:rPr>
          <w:color w:val="231F20"/>
          <w:spacing w:val="-7"/>
          <w:sz w:val="20"/>
        </w:rPr>
        <w:t xml:space="preserve"> </w:t>
      </w:r>
      <w:r>
        <w:rPr>
          <w:color w:val="231F20"/>
          <w:sz w:val="20"/>
        </w:rPr>
        <w:t>this</w:t>
      </w:r>
      <w:r>
        <w:rPr>
          <w:color w:val="231F20"/>
          <w:spacing w:val="-8"/>
          <w:sz w:val="20"/>
        </w:rPr>
        <w:t xml:space="preserve"> </w:t>
      </w:r>
      <w:r>
        <w:rPr>
          <w:color w:val="231F20"/>
          <w:sz w:val="20"/>
        </w:rPr>
        <w:t>contact</w:t>
      </w:r>
      <w:r>
        <w:rPr>
          <w:color w:val="231F20"/>
          <w:spacing w:val="-7"/>
          <w:sz w:val="20"/>
        </w:rPr>
        <w:t xml:space="preserve"> </w:t>
      </w:r>
      <w:r>
        <w:rPr>
          <w:color w:val="231F20"/>
          <w:sz w:val="20"/>
        </w:rPr>
        <w:t>forms</w:t>
      </w:r>
    </w:p>
    <w:p w14:paraId="1E795EFF" w14:textId="77777777" w:rsidR="00894070" w:rsidRDefault="009B7AFD">
      <w:pPr>
        <w:pStyle w:val="BodyText"/>
        <w:spacing w:before="4" w:line="206" w:lineRule="auto"/>
        <w:ind w:left="1801" w:right="1616"/>
      </w:pPr>
      <w:r>
        <w:rPr>
          <w:color w:val="231F20"/>
        </w:rPr>
        <w:t xml:space="preserve">a ‘course of conduct’ with a specific </w:t>
      </w:r>
      <w:r>
        <w:rPr>
          <w:color w:val="231F20"/>
          <w:spacing w:val="-3"/>
        </w:rPr>
        <w:t xml:space="preserve">intent </w:t>
      </w:r>
      <w:r>
        <w:rPr>
          <w:color w:val="231F20"/>
        </w:rPr>
        <w:t xml:space="preserve">to cause harm or </w:t>
      </w:r>
      <w:r>
        <w:rPr>
          <w:color w:val="231F20"/>
          <w:spacing w:val="-3"/>
        </w:rPr>
        <w:t>fear.</w:t>
      </w:r>
      <w:r>
        <w:rPr>
          <w:color w:val="231F20"/>
          <w:spacing w:val="-3"/>
          <w:position w:val="7"/>
          <w:sz w:val="11"/>
        </w:rPr>
        <w:t xml:space="preserve">14 </w:t>
      </w:r>
      <w:r>
        <w:rPr>
          <w:color w:val="231F20"/>
          <w:spacing w:val="-3"/>
        </w:rPr>
        <w:t xml:space="preserve">(We </w:t>
      </w:r>
      <w:r>
        <w:rPr>
          <w:color w:val="231F20"/>
        </w:rPr>
        <w:t xml:space="preserve">discuss the stalking offence and its elements in </w:t>
      </w:r>
      <w:r>
        <w:rPr>
          <w:color w:val="231F20"/>
          <w:spacing w:val="-3"/>
        </w:rPr>
        <w:t xml:space="preserve">Chapter </w:t>
      </w:r>
      <w:r>
        <w:rPr>
          <w:color w:val="231F20"/>
          <w:spacing w:val="-6"/>
        </w:rPr>
        <w:t>7.)</w:t>
      </w:r>
    </w:p>
    <w:p w14:paraId="313E26D1" w14:textId="77777777" w:rsidR="00894070" w:rsidRDefault="009B7AFD">
      <w:pPr>
        <w:pStyle w:val="ListParagraph"/>
        <w:numPr>
          <w:ilvl w:val="1"/>
          <w:numId w:val="162"/>
        </w:numPr>
        <w:tabs>
          <w:tab w:val="left" w:pos="1801"/>
          <w:tab w:val="left" w:pos="1802"/>
        </w:tabs>
        <w:spacing w:before="90" w:line="259" w:lineRule="exact"/>
        <w:rPr>
          <w:sz w:val="20"/>
        </w:rPr>
      </w:pPr>
      <w:r>
        <w:rPr>
          <w:color w:val="231F20"/>
          <w:sz w:val="20"/>
        </w:rPr>
        <w:t xml:space="preserve">While the defining characteristics of stalking and cyberstalking </w:t>
      </w:r>
      <w:r>
        <w:rPr>
          <w:color w:val="231F20"/>
          <w:spacing w:val="-3"/>
          <w:sz w:val="20"/>
        </w:rPr>
        <w:t xml:space="preserve">are </w:t>
      </w:r>
      <w:r>
        <w:rPr>
          <w:color w:val="231F20"/>
          <w:sz w:val="20"/>
        </w:rPr>
        <w:t>the</w:t>
      </w:r>
      <w:r>
        <w:rPr>
          <w:color w:val="231F20"/>
          <w:spacing w:val="-37"/>
          <w:sz w:val="20"/>
        </w:rPr>
        <w:t xml:space="preserve"> </w:t>
      </w:r>
      <w:r>
        <w:rPr>
          <w:color w:val="231F20"/>
          <w:sz w:val="20"/>
        </w:rPr>
        <w:t>same,</w:t>
      </w:r>
      <w:r>
        <w:rPr>
          <w:color w:val="231F20"/>
          <w:position w:val="7"/>
          <w:sz w:val="11"/>
        </w:rPr>
        <w:t xml:space="preserve">15 </w:t>
      </w:r>
      <w:r>
        <w:rPr>
          <w:color w:val="231F20"/>
          <w:sz w:val="20"/>
        </w:rPr>
        <w:t>the</w:t>
      </w:r>
    </w:p>
    <w:p w14:paraId="3863F306" w14:textId="77777777" w:rsidR="00894070" w:rsidRDefault="009B7AFD">
      <w:pPr>
        <w:pStyle w:val="BodyText"/>
        <w:spacing w:line="259" w:lineRule="exact"/>
        <w:ind w:left="1801"/>
      </w:pPr>
      <w:r>
        <w:rPr>
          <w:color w:val="231F20"/>
        </w:rPr>
        <w:t>methods used are different.</w:t>
      </w:r>
    </w:p>
    <w:p w14:paraId="6D6EF183" w14:textId="77777777" w:rsidR="00894070" w:rsidRDefault="00894070">
      <w:pPr>
        <w:pStyle w:val="BodyText"/>
      </w:pPr>
    </w:p>
    <w:p w14:paraId="5434219B" w14:textId="77777777" w:rsidR="00894070" w:rsidRDefault="009F6793">
      <w:pPr>
        <w:pStyle w:val="BodyText"/>
        <w:spacing w:before="9"/>
        <w:rPr>
          <w:sz w:val="27"/>
        </w:rPr>
      </w:pPr>
      <w:r>
        <w:pict w14:anchorId="7496BC55">
          <v:line id="_x0000_s1596" style="position:absolute;z-index:251479040;mso-wrap-distance-left:0;mso-wrap-distance-right:0;mso-position-horizontal-relative:page" from="79.35pt,21.7pt" to="515.9pt,21.7pt" strokecolor="#f8cabc" strokeweight="1pt">
            <w10:wrap type="topAndBottom" anchorx="page"/>
          </v:line>
        </w:pict>
      </w:r>
    </w:p>
    <w:p w14:paraId="6EFA0A40" w14:textId="77777777" w:rsidR="00894070" w:rsidRDefault="009B7AFD">
      <w:pPr>
        <w:pStyle w:val="ListParagraph"/>
        <w:numPr>
          <w:ilvl w:val="0"/>
          <w:numId w:val="162"/>
        </w:numPr>
        <w:tabs>
          <w:tab w:val="left" w:pos="1800"/>
          <w:tab w:val="left" w:pos="1802"/>
        </w:tabs>
        <w:spacing w:before="91" w:line="170" w:lineRule="exact"/>
        <w:rPr>
          <w:sz w:val="13"/>
        </w:rPr>
      </w:pPr>
      <w:r>
        <w:rPr>
          <w:color w:val="231F20"/>
          <w:spacing w:val="2"/>
          <w:sz w:val="13"/>
        </w:rPr>
        <w:t xml:space="preserve">Cyberstalking </w:t>
      </w:r>
      <w:r>
        <w:rPr>
          <w:color w:val="231F20"/>
          <w:sz w:val="13"/>
        </w:rPr>
        <w:t xml:space="preserve">may </w:t>
      </w:r>
      <w:r>
        <w:rPr>
          <w:color w:val="231F20"/>
          <w:spacing w:val="2"/>
          <w:sz w:val="13"/>
        </w:rPr>
        <w:t xml:space="preserve">also </w:t>
      </w:r>
      <w:r>
        <w:rPr>
          <w:color w:val="231F20"/>
          <w:sz w:val="13"/>
        </w:rPr>
        <w:t>be known as ‘online stalking’ or ‘Internet</w:t>
      </w:r>
      <w:r>
        <w:rPr>
          <w:color w:val="231F20"/>
          <w:spacing w:val="1"/>
          <w:sz w:val="13"/>
        </w:rPr>
        <w:t xml:space="preserve"> </w:t>
      </w:r>
      <w:r>
        <w:rPr>
          <w:color w:val="231F20"/>
          <w:sz w:val="13"/>
        </w:rPr>
        <w:t>stalking’.</w:t>
      </w:r>
    </w:p>
    <w:p w14:paraId="09683C61" w14:textId="77777777" w:rsidR="00894070" w:rsidRDefault="009B7AFD">
      <w:pPr>
        <w:pStyle w:val="ListParagraph"/>
        <w:numPr>
          <w:ilvl w:val="0"/>
          <w:numId w:val="162"/>
        </w:numPr>
        <w:tabs>
          <w:tab w:val="left" w:pos="1800"/>
          <w:tab w:val="left" w:pos="1802"/>
        </w:tabs>
        <w:spacing w:before="6" w:line="213" w:lineRule="auto"/>
        <w:ind w:right="1378"/>
        <w:rPr>
          <w:sz w:val="13"/>
        </w:rPr>
      </w:pP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 xml:space="preserve">Support Services </w:t>
      </w:r>
      <w:r>
        <w:rPr>
          <w:i/>
          <w:color w:val="231F20"/>
          <w:sz w:val="13"/>
        </w:rPr>
        <w:t xml:space="preserve">Stakeholders </w:t>
      </w:r>
      <w:r>
        <w:rPr>
          <w:color w:val="231F20"/>
          <w:sz w:val="13"/>
        </w:rPr>
        <w:t xml:space="preserve">(Research </w:t>
      </w:r>
      <w:r>
        <w:rPr>
          <w:color w:val="231F20"/>
          <w:spacing w:val="2"/>
          <w:sz w:val="13"/>
        </w:rPr>
        <w:t xml:space="preserve">Report </w:t>
      </w:r>
      <w:r>
        <w:rPr>
          <w:color w:val="231F20"/>
          <w:sz w:val="13"/>
        </w:rPr>
        <w:t xml:space="preserve">No 2, ANROWS, July 2021) 12; Bradford W </w:t>
      </w:r>
      <w:proofErr w:type="spellStart"/>
      <w:r>
        <w:rPr>
          <w:color w:val="231F20"/>
          <w:sz w:val="13"/>
        </w:rPr>
        <w:t>Reyns</w:t>
      </w:r>
      <w:proofErr w:type="spellEnd"/>
      <w:r>
        <w:rPr>
          <w:color w:val="231F20"/>
          <w:sz w:val="13"/>
        </w:rPr>
        <w:t xml:space="preserve"> and Bonnie S Fisher, ‘The Relationship Between Offline and </w:t>
      </w:r>
      <w:r>
        <w:rPr>
          <w:color w:val="231F20"/>
          <w:spacing w:val="2"/>
          <w:sz w:val="13"/>
        </w:rPr>
        <w:t xml:space="preserve">Online </w:t>
      </w:r>
      <w:r>
        <w:rPr>
          <w:color w:val="231F20"/>
          <w:sz w:val="13"/>
        </w:rPr>
        <w:t xml:space="preserve">Stalking Victimization: A Gender-Specific Analysis’ (2018) </w:t>
      </w:r>
      <w:r>
        <w:rPr>
          <w:color w:val="231F20"/>
          <w:spacing w:val="2"/>
          <w:sz w:val="13"/>
        </w:rPr>
        <w:t xml:space="preserve">33(4) </w:t>
      </w:r>
      <w:r>
        <w:rPr>
          <w:i/>
          <w:color w:val="231F20"/>
          <w:sz w:val="13"/>
        </w:rPr>
        <w:t xml:space="preserve">Violence and Victims </w:t>
      </w:r>
      <w:r>
        <w:rPr>
          <w:color w:val="231F20"/>
          <w:sz w:val="13"/>
        </w:rPr>
        <w:t>769,</w:t>
      </w:r>
      <w:r>
        <w:rPr>
          <w:color w:val="231F20"/>
          <w:spacing w:val="19"/>
          <w:sz w:val="13"/>
        </w:rPr>
        <w:t xml:space="preserve"> </w:t>
      </w:r>
      <w:r>
        <w:rPr>
          <w:color w:val="231F20"/>
          <w:sz w:val="13"/>
        </w:rPr>
        <w:t>781.</w:t>
      </w:r>
    </w:p>
    <w:p w14:paraId="7EE103EA" w14:textId="77777777" w:rsidR="00894070" w:rsidRDefault="009B7AFD">
      <w:pPr>
        <w:pStyle w:val="ListParagraph"/>
        <w:numPr>
          <w:ilvl w:val="0"/>
          <w:numId w:val="162"/>
        </w:numPr>
        <w:tabs>
          <w:tab w:val="left" w:pos="1800"/>
          <w:tab w:val="left" w:pos="1802"/>
        </w:tabs>
        <w:spacing w:line="213" w:lineRule="auto"/>
        <w:ind w:right="1480"/>
        <w:rPr>
          <w:sz w:val="13"/>
        </w:rPr>
      </w:pPr>
      <w:r>
        <w:rPr>
          <w:color w:val="231F20"/>
          <w:sz w:val="13"/>
        </w:rPr>
        <w:t xml:space="preserve">Puneet Kaur et </w:t>
      </w:r>
      <w:r>
        <w:rPr>
          <w:color w:val="231F20"/>
          <w:spacing w:val="2"/>
          <w:sz w:val="13"/>
        </w:rPr>
        <w:t xml:space="preserve">al, </w:t>
      </w:r>
      <w:r>
        <w:rPr>
          <w:color w:val="231F20"/>
          <w:spacing w:val="-4"/>
          <w:sz w:val="13"/>
        </w:rPr>
        <w:t xml:space="preserve">‘A </w:t>
      </w:r>
      <w:r>
        <w:rPr>
          <w:color w:val="231F20"/>
          <w:sz w:val="13"/>
        </w:rPr>
        <w:t xml:space="preserve">Systematic Literature Review on </w:t>
      </w:r>
      <w:r>
        <w:rPr>
          <w:color w:val="231F20"/>
          <w:spacing w:val="2"/>
          <w:sz w:val="13"/>
        </w:rPr>
        <w:t xml:space="preserve">Cyberstalking. </w:t>
      </w:r>
      <w:r>
        <w:rPr>
          <w:color w:val="231F20"/>
          <w:sz w:val="13"/>
        </w:rPr>
        <w:t xml:space="preserve">An Analysis of Past Achievements and Future Promises’ (2021) 163 </w:t>
      </w:r>
      <w:r>
        <w:rPr>
          <w:i/>
          <w:color w:val="231F20"/>
          <w:sz w:val="13"/>
        </w:rPr>
        <w:t xml:space="preserve">Technological Forecasting and Social Change </w:t>
      </w:r>
      <w:r>
        <w:rPr>
          <w:color w:val="231F20"/>
          <w:sz w:val="13"/>
        </w:rPr>
        <w:t>120426:1–15,</w:t>
      </w:r>
      <w:r>
        <w:rPr>
          <w:color w:val="231F20"/>
          <w:spacing w:val="5"/>
          <w:sz w:val="13"/>
        </w:rPr>
        <w:t xml:space="preserve"> </w:t>
      </w:r>
      <w:r>
        <w:rPr>
          <w:color w:val="231F20"/>
          <w:sz w:val="13"/>
        </w:rPr>
        <w:t>6.</w:t>
      </w:r>
    </w:p>
    <w:p w14:paraId="19602E6F" w14:textId="77777777" w:rsidR="00894070" w:rsidRDefault="009B7AFD">
      <w:pPr>
        <w:pStyle w:val="ListParagraph"/>
        <w:numPr>
          <w:ilvl w:val="0"/>
          <w:numId w:val="162"/>
        </w:numPr>
        <w:tabs>
          <w:tab w:val="left" w:pos="1800"/>
          <w:tab w:val="left" w:pos="1802"/>
        </w:tabs>
        <w:spacing w:line="153" w:lineRule="exact"/>
        <w:rPr>
          <w:i/>
          <w:sz w:val="13"/>
        </w:rPr>
      </w:pP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Support Services</w:t>
      </w:r>
      <w:r>
        <w:rPr>
          <w:i/>
          <w:color w:val="231F20"/>
          <w:spacing w:val="18"/>
          <w:sz w:val="13"/>
        </w:rPr>
        <w:t xml:space="preserve"> </w:t>
      </w:r>
      <w:r>
        <w:rPr>
          <w:i/>
          <w:color w:val="231F20"/>
          <w:sz w:val="13"/>
        </w:rPr>
        <w:t>Stakeholders</w:t>
      </w:r>
    </w:p>
    <w:p w14:paraId="19E206B5" w14:textId="77777777" w:rsidR="00894070" w:rsidRDefault="009B7AFD">
      <w:pPr>
        <w:spacing w:line="160" w:lineRule="exact"/>
        <w:ind w:left="1801"/>
        <w:rPr>
          <w:sz w:val="13"/>
        </w:rPr>
      </w:pPr>
      <w:r>
        <w:rPr>
          <w:color w:val="231F20"/>
          <w:sz w:val="13"/>
        </w:rPr>
        <w:t>(Research Report No 2, ANROWS, July 2021) 10.</w:t>
      </w:r>
    </w:p>
    <w:p w14:paraId="0F2811F1" w14:textId="77777777" w:rsidR="00894070" w:rsidRDefault="009B7AFD">
      <w:pPr>
        <w:pStyle w:val="ListParagraph"/>
        <w:numPr>
          <w:ilvl w:val="0"/>
          <w:numId w:val="162"/>
        </w:numPr>
        <w:tabs>
          <w:tab w:val="left" w:pos="1801"/>
          <w:tab w:val="left" w:pos="1802"/>
        </w:tabs>
        <w:spacing w:before="4" w:line="213" w:lineRule="auto"/>
        <w:ind w:right="1199"/>
        <w:rPr>
          <w:sz w:val="13"/>
        </w:rPr>
      </w:pPr>
      <w:r>
        <w:rPr>
          <w:i/>
          <w:color w:val="231F20"/>
          <w:sz w:val="13"/>
        </w:rPr>
        <w:t xml:space="preserve">Royal Commission into Family Violence: </w:t>
      </w:r>
      <w:r>
        <w:rPr>
          <w:i/>
          <w:color w:val="231F20"/>
          <w:spacing w:val="2"/>
          <w:sz w:val="13"/>
        </w:rPr>
        <w:t xml:space="preserve">Report </w:t>
      </w:r>
      <w:r>
        <w:rPr>
          <w:i/>
          <w:color w:val="231F20"/>
          <w:sz w:val="13"/>
        </w:rPr>
        <w:t xml:space="preserve">and Recommendations </w:t>
      </w:r>
      <w:r>
        <w:rPr>
          <w:color w:val="231F20"/>
          <w:sz w:val="13"/>
        </w:rPr>
        <w:t xml:space="preserve">(Final </w:t>
      </w:r>
      <w:r>
        <w:rPr>
          <w:color w:val="231F20"/>
          <w:spacing w:val="2"/>
          <w:sz w:val="13"/>
        </w:rPr>
        <w:t xml:space="preserve">Report, </w:t>
      </w:r>
      <w:r>
        <w:rPr>
          <w:color w:val="231F20"/>
          <w:sz w:val="13"/>
        </w:rPr>
        <w:t xml:space="preserve">March 2016) vol 1, 31; </w:t>
      </w:r>
      <w:r>
        <w:rPr>
          <w:color w:val="231F20"/>
          <w:spacing w:val="2"/>
          <w:sz w:val="13"/>
        </w:rPr>
        <w:t xml:space="preserve">Delanie </w:t>
      </w:r>
      <w:proofErr w:type="spellStart"/>
      <w:r>
        <w:rPr>
          <w:color w:val="231F20"/>
          <w:sz w:val="13"/>
        </w:rPr>
        <w:t>Woodlock</w:t>
      </w:r>
      <w:proofErr w:type="spellEnd"/>
      <w:r>
        <w:rPr>
          <w:color w:val="231F20"/>
          <w:sz w:val="13"/>
        </w:rPr>
        <w:t xml:space="preserve">, ‘The Abuse of Technology in </w:t>
      </w:r>
      <w:r>
        <w:rPr>
          <w:color w:val="231F20"/>
          <w:spacing w:val="2"/>
          <w:sz w:val="13"/>
        </w:rPr>
        <w:t xml:space="preserve">Domestic </w:t>
      </w:r>
      <w:r>
        <w:rPr>
          <w:color w:val="231F20"/>
          <w:sz w:val="13"/>
        </w:rPr>
        <w:t xml:space="preserve">Violence and Stalking’ (2017) </w:t>
      </w:r>
      <w:r>
        <w:rPr>
          <w:color w:val="231F20"/>
          <w:spacing w:val="2"/>
          <w:sz w:val="13"/>
        </w:rPr>
        <w:t xml:space="preserve">23(5) </w:t>
      </w:r>
      <w:r>
        <w:rPr>
          <w:i/>
          <w:color w:val="231F20"/>
          <w:sz w:val="13"/>
        </w:rPr>
        <w:t xml:space="preserve">Violence Against Women </w:t>
      </w:r>
      <w:r>
        <w:rPr>
          <w:color w:val="231F20"/>
          <w:spacing w:val="2"/>
          <w:sz w:val="13"/>
        </w:rPr>
        <w:t>584,</w:t>
      </w:r>
      <w:r>
        <w:rPr>
          <w:color w:val="231F20"/>
          <w:spacing w:val="16"/>
          <w:sz w:val="13"/>
        </w:rPr>
        <w:t xml:space="preserve"> </w:t>
      </w:r>
      <w:r>
        <w:rPr>
          <w:color w:val="231F20"/>
          <w:spacing w:val="2"/>
          <w:sz w:val="13"/>
        </w:rPr>
        <w:t>598.</w:t>
      </w:r>
    </w:p>
    <w:p w14:paraId="0F450945" w14:textId="77777777" w:rsidR="00894070" w:rsidRDefault="009B7AFD">
      <w:pPr>
        <w:pStyle w:val="ListParagraph"/>
        <w:numPr>
          <w:ilvl w:val="0"/>
          <w:numId w:val="162"/>
        </w:numPr>
        <w:tabs>
          <w:tab w:val="left" w:pos="1800"/>
          <w:tab w:val="left" w:pos="1802"/>
        </w:tabs>
        <w:spacing w:line="213" w:lineRule="auto"/>
        <w:ind w:right="1614"/>
        <w:rPr>
          <w:sz w:val="13"/>
        </w:rPr>
      </w:pPr>
      <w:proofErr w:type="spellStart"/>
      <w:r>
        <w:rPr>
          <w:color w:val="231F20"/>
          <w:sz w:val="13"/>
        </w:rPr>
        <w:t>Billea</w:t>
      </w:r>
      <w:proofErr w:type="spellEnd"/>
      <w:r>
        <w:rPr>
          <w:color w:val="231F20"/>
          <w:sz w:val="13"/>
        </w:rPr>
        <w:t xml:space="preserve"> </w:t>
      </w:r>
      <w:proofErr w:type="spellStart"/>
      <w:r>
        <w:rPr>
          <w:color w:val="231F20"/>
          <w:sz w:val="13"/>
        </w:rPr>
        <w:t>Ahlgrim</w:t>
      </w:r>
      <w:proofErr w:type="spellEnd"/>
      <w:r>
        <w:rPr>
          <w:color w:val="231F20"/>
          <w:sz w:val="13"/>
        </w:rPr>
        <w:t xml:space="preserve"> and </w:t>
      </w:r>
      <w:r>
        <w:rPr>
          <w:color w:val="231F20"/>
          <w:spacing w:val="2"/>
          <w:sz w:val="13"/>
        </w:rPr>
        <w:t xml:space="preserve">Cheryl </w:t>
      </w:r>
      <w:r>
        <w:rPr>
          <w:color w:val="231F20"/>
          <w:sz w:val="13"/>
        </w:rPr>
        <w:t xml:space="preserve">Terrance, ‘Perceptions of </w:t>
      </w:r>
      <w:r>
        <w:rPr>
          <w:color w:val="231F20"/>
          <w:spacing w:val="2"/>
          <w:sz w:val="13"/>
        </w:rPr>
        <w:t xml:space="preserve">Cyberstalking: </w:t>
      </w:r>
      <w:r>
        <w:rPr>
          <w:color w:val="231F20"/>
          <w:sz w:val="13"/>
        </w:rPr>
        <w:t xml:space="preserve">Impact of Perpetrator </w:t>
      </w:r>
      <w:r>
        <w:rPr>
          <w:color w:val="231F20"/>
          <w:spacing w:val="2"/>
          <w:sz w:val="13"/>
        </w:rPr>
        <w:t xml:space="preserve">Gender </w:t>
      </w:r>
      <w:r>
        <w:rPr>
          <w:color w:val="231F20"/>
          <w:sz w:val="13"/>
        </w:rPr>
        <w:t xml:space="preserve">and </w:t>
      </w:r>
      <w:proofErr w:type="spellStart"/>
      <w:r>
        <w:rPr>
          <w:color w:val="231F20"/>
          <w:sz w:val="13"/>
        </w:rPr>
        <w:t>Cyberstalker</w:t>
      </w:r>
      <w:proofErr w:type="spellEnd"/>
      <w:r>
        <w:rPr>
          <w:color w:val="231F20"/>
          <w:sz w:val="13"/>
        </w:rPr>
        <w:t xml:space="preserve">/Victim Relationship’ (2021) 36(7–8) </w:t>
      </w:r>
      <w:r>
        <w:rPr>
          <w:i/>
          <w:color w:val="231F20"/>
          <w:sz w:val="13"/>
        </w:rPr>
        <w:t xml:space="preserve">Journal of Interpersonal Violence </w:t>
      </w:r>
      <w:r>
        <w:rPr>
          <w:color w:val="231F20"/>
          <w:sz w:val="13"/>
        </w:rPr>
        <w:t>NP4074,</w:t>
      </w:r>
      <w:r>
        <w:rPr>
          <w:color w:val="231F20"/>
          <w:spacing w:val="4"/>
          <w:sz w:val="13"/>
        </w:rPr>
        <w:t xml:space="preserve"> </w:t>
      </w:r>
      <w:r>
        <w:rPr>
          <w:color w:val="231F20"/>
          <w:sz w:val="13"/>
        </w:rPr>
        <w:t>NP4077.</w:t>
      </w:r>
    </w:p>
    <w:p w14:paraId="668150D0" w14:textId="77777777" w:rsidR="00894070" w:rsidRDefault="009B7AFD">
      <w:pPr>
        <w:pStyle w:val="ListParagraph"/>
        <w:numPr>
          <w:ilvl w:val="0"/>
          <w:numId w:val="162"/>
        </w:numPr>
        <w:tabs>
          <w:tab w:val="left" w:pos="1801"/>
          <w:tab w:val="left" w:pos="1802"/>
        </w:tabs>
        <w:spacing w:line="153" w:lineRule="exact"/>
        <w:rPr>
          <w:sz w:val="13"/>
        </w:rPr>
      </w:pPr>
      <w:r>
        <w:rPr>
          <w:color w:val="231F20"/>
          <w:sz w:val="13"/>
        </w:rPr>
        <w:t xml:space="preserve">The 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 xml:space="preserve">is Australia’s </w:t>
      </w:r>
      <w:r>
        <w:rPr>
          <w:color w:val="231F20"/>
          <w:spacing w:val="2"/>
          <w:sz w:val="13"/>
        </w:rPr>
        <w:t xml:space="preserve">independent </w:t>
      </w:r>
      <w:r>
        <w:rPr>
          <w:color w:val="231F20"/>
          <w:sz w:val="13"/>
        </w:rPr>
        <w:t>regulator for online</w:t>
      </w:r>
      <w:r>
        <w:rPr>
          <w:color w:val="231F20"/>
          <w:spacing w:val="2"/>
          <w:sz w:val="13"/>
        </w:rPr>
        <w:t xml:space="preserve"> </w:t>
      </w:r>
      <w:r>
        <w:rPr>
          <w:color w:val="231F20"/>
          <w:sz w:val="13"/>
        </w:rPr>
        <w:t>safety.</w:t>
      </w:r>
    </w:p>
    <w:p w14:paraId="0A0636F9" w14:textId="77777777" w:rsidR="00894070" w:rsidRDefault="009B7AFD">
      <w:pPr>
        <w:pStyle w:val="ListParagraph"/>
        <w:numPr>
          <w:ilvl w:val="0"/>
          <w:numId w:val="162"/>
        </w:numPr>
        <w:tabs>
          <w:tab w:val="left" w:pos="1801"/>
          <w:tab w:val="left" w:pos="1802"/>
        </w:tabs>
        <w:spacing w:line="160" w:lineRule="exact"/>
        <w:rPr>
          <w:i/>
          <w:sz w:val="13"/>
        </w:rPr>
      </w:pP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Support Services</w:t>
      </w:r>
      <w:r>
        <w:rPr>
          <w:i/>
          <w:color w:val="231F20"/>
          <w:spacing w:val="16"/>
          <w:sz w:val="13"/>
        </w:rPr>
        <w:t xml:space="preserve"> </w:t>
      </w:r>
      <w:r>
        <w:rPr>
          <w:i/>
          <w:color w:val="231F20"/>
          <w:sz w:val="13"/>
        </w:rPr>
        <w:t>Stakeholders</w:t>
      </w:r>
    </w:p>
    <w:p w14:paraId="2B77A827" w14:textId="77777777" w:rsidR="00894070" w:rsidRDefault="009B7AFD">
      <w:pPr>
        <w:spacing w:line="160" w:lineRule="exact"/>
        <w:ind w:left="1801"/>
        <w:rPr>
          <w:sz w:val="13"/>
        </w:rPr>
      </w:pPr>
      <w:r>
        <w:rPr>
          <w:color w:val="231F20"/>
          <w:sz w:val="13"/>
        </w:rPr>
        <w:t>(Research Report No 2, ANROWS, July 2021) 44.</w:t>
      </w:r>
    </w:p>
    <w:p w14:paraId="287AB4C4" w14:textId="77777777" w:rsidR="00894070" w:rsidRDefault="009B7AFD">
      <w:pPr>
        <w:pStyle w:val="ListParagraph"/>
        <w:numPr>
          <w:ilvl w:val="0"/>
          <w:numId w:val="162"/>
        </w:numPr>
        <w:tabs>
          <w:tab w:val="left" w:pos="1801"/>
          <w:tab w:val="left" w:pos="1802"/>
        </w:tabs>
        <w:spacing w:before="6" w:line="213" w:lineRule="auto"/>
        <w:ind w:right="1663"/>
        <w:rPr>
          <w:sz w:val="13"/>
        </w:rPr>
      </w:pPr>
      <w:r>
        <w:rPr>
          <w:color w:val="231F20"/>
          <w:sz w:val="13"/>
        </w:rPr>
        <w:t xml:space="preserve">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i/>
          <w:color w:val="231F20"/>
          <w:sz w:val="13"/>
        </w:rPr>
        <w:t xml:space="preserve">Safety by </w:t>
      </w:r>
      <w:r>
        <w:rPr>
          <w:i/>
          <w:color w:val="231F20"/>
          <w:spacing w:val="2"/>
          <w:sz w:val="13"/>
        </w:rPr>
        <w:t xml:space="preserve">Design </w:t>
      </w:r>
      <w:r>
        <w:rPr>
          <w:color w:val="231F20"/>
          <w:spacing w:val="2"/>
          <w:sz w:val="13"/>
        </w:rPr>
        <w:t xml:space="preserve">(Report, </w:t>
      </w:r>
      <w:r>
        <w:rPr>
          <w:color w:val="231F20"/>
          <w:sz w:val="13"/>
        </w:rPr>
        <w:t xml:space="preserve">2019) 7–8; Herman T Tavani and Frances S </w:t>
      </w:r>
      <w:proofErr w:type="spellStart"/>
      <w:r>
        <w:rPr>
          <w:color w:val="231F20"/>
          <w:sz w:val="13"/>
        </w:rPr>
        <w:t>Grodzinsky</w:t>
      </w:r>
      <w:proofErr w:type="spellEnd"/>
      <w:r>
        <w:rPr>
          <w:color w:val="231F20"/>
          <w:sz w:val="13"/>
        </w:rPr>
        <w:t xml:space="preserve">, </w:t>
      </w:r>
      <w:r>
        <w:rPr>
          <w:color w:val="231F20"/>
          <w:spacing w:val="2"/>
          <w:sz w:val="13"/>
        </w:rPr>
        <w:t xml:space="preserve">‘Cyberstalking, </w:t>
      </w:r>
      <w:r>
        <w:rPr>
          <w:color w:val="231F20"/>
          <w:sz w:val="13"/>
        </w:rPr>
        <w:t xml:space="preserve">Personal Privacy, and Moral Responsibility’ (2002) </w:t>
      </w:r>
      <w:r>
        <w:rPr>
          <w:color w:val="231F20"/>
          <w:spacing w:val="2"/>
          <w:sz w:val="13"/>
        </w:rPr>
        <w:t xml:space="preserve">4(2) </w:t>
      </w:r>
      <w:r>
        <w:rPr>
          <w:i/>
          <w:color w:val="231F20"/>
          <w:sz w:val="13"/>
        </w:rPr>
        <w:t>Ethics and Information Technology</w:t>
      </w:r>
      <w:r>
        <w:rPr>
          <w:i/>
          <w:color w:val="231F20"/>
          <w:spacing w:val="31"/>
          <w:sz w:val="13"/>
        </w:rPr>
        <w:t xml:space="preserve"> </w:t>
      </w:r>
      <w:r>
        <w:rPr>
          <w:color w:val="231F20"/>
          <w:spacing w:val="2"/>
          <w:sz w:val="13"/>
        </w:rPr>
        <w:t>123.</w:t>
      </w:r>
    </w:p>
    <w:p w14:paraId="06757974" w14:textId="77777777" w:rsidR="00894070" w:rsidRDefault="009B7AFD">
      <w:pPr>
        <w:pStyle w:val="ListParagraph"/>
        <w:numPr>
          <w:ilvl w:val="0"/>
          <w:numId w:val="162"/>
        </w:numPr>
        <w:tabs>
          <w:tab w:val="left" w:pos="1801"/>
          <w:tab w:val="left" w:pos="1802"/>
        </w:tabs>
        <w:spacing w:line="213" w:lineRule="auto"/>
        <w:ind w:right="1235"/>
        <w:rPr>
          <w:sz w:val="13"/>
        </w:rPr>
      </w:pPr>
      <w:r>
        <w:rPr>
          <w:color w:val="231F20"/>
          <w:sz w:val="13"/>
        </w:rPr>
        <w:t xml:space="preserve">Puneet Kaur et </w:t>
      </w:r>
      <w:r>
        <w:rPr>
          <w:color w:val="231F20"/>
          <w:spacing w:val="2"/>
          <w:sz w:val="13"/>
        </w:rPr>
        <w:t xml:space="preserve">al, </w:t>
      </w:r>
      <w:r>
        <w:rPr>
          <w:color w:val="231F20"/>
          <w:spacing w:val="-4"/>
          <w:sz w:val="13"/>
        </w:rPr>
        <w:t xml:space="preserve">‘A </w:t>
      </w:r>
      <w:r>
        <w:rPr>
          <w:color w:val="231F20"/>
          <w:sz w:val="13"/>
        </w:rPr>
        <w:t xml:space="preserve">Systematic Literature Review on </w:t>
      </w:r>
      <w:r>
        <w:rPr>
          <w:color w:val="231F20"/>
          <w:spacing w:val="2"/>
          <w:sz w:val="13"/>
        </w:rPr>
        <w:t xml:space="preserve">Cyberstalking. </w:t>
      </w:r>
      <w:r>
        <w:rPr>
          <w:color w:val="231F20"/>
          <w:sz w:val="13"/>
        </w:rPr>
        <w:t>An Analysis of Past Achievements and Future Promises’</w:t>
      </w:r>
      <w:proofErr w:type="gramStart"/>
      <w:r>
        <w:rPr>
          <w:color w:val="231F20"/>
          <w:sz w:val="13"/>
        </w:rPr>
        <w:t xml:space="preserve">   (</w:t>
      </w:r>
      <w:proofErr w:type="gramEnd"/>
      <w:r>
        <w:rPr>
          <w:color w:val="231F20"/>
          <w:sz w:val="13"/>
        </w:rPr>
        <w:t xml:space="preserve">2021) 163 </w:t>
      </w:r>
      <w:r>
        <w:rPr>
          <w:i/>
          <w:color w:val="231F20"/>
          <w:sz w:val="13"/>
        </w:rPr>
        <w:t xml:space="preserve">Technological Forecasting and Social Change </w:t>
      </w:r>
      <w:r>
        <w:rPr>
          <w:color w:val="231F20"/>
          <w:sz w:val="13"/>
        </w:rPr>
        <w:t xml:space="preserve">120426:1–15, 1, 2; Laurence Miller, </w:t>
      </w:r>
      <w:r>
        <w:rPr>
          <w:color w:val="231F20"/>
          <w:spacing w:val="2"/>
          <w:sz w:val="13"/>
        </w:rPr>
        <w:t xml:space="preserve">‘Stalking: </w:t>
      </w:r>
      <w:r>
        <w:rPr>
          <w:color w:val="231F20"/>
          <w:sz w:val="13"/>
        </w:rPr>
        <w:t xml:space="preserve">Patterns, Motives, and Intervention Strategies’ (2012) 17 </w:t>
      </w:r>
      <w:r>
        <w:rPr>
          <w:i/>
          <w:color w:val="231F20"/>
          <w:sz w:val="13"/>
        </w:rPr>
        <w:t xml:space="preserve">Aggression and Violent Behavior </w:t>
      </w:r>
      <w:r>
        <w:rPr>
          <w:color w:val="231F20"/>
          <w:spacing w:val="3"/>
          <w:sz w:val="13"/>
        </w:rPr>
        <w:t xml:space="preserve">495, </w:t>
      </w:r>
      <w:r>
        <w:rPr>
          <w:color w:val="231F20"/>
          <w:sz w:val="13"/>
        </w:rPr>
        <w:t xml:space="preserve">501. See </w:t>
      </w:r>
      <w:r>
        <w:rPr>
          <w:color w:val="231F20"/>
          <w:spacing w:val="2"/>
          <w:sz w:val="13"/>
        </w:rPr>
        <w:t xml:space="preserve">also </w:t>
      </w:r>
      <w:r>
        <w:rPr>
          <w:color w:val="231F20"/>
          <w:sz w:val="13"/>
        </w:rPr>
        <w:t xml:space="preserve">Majeed Khader and Stephanie Chan,  ‘Unwanted Attention: A Survey on </w:t>
      </w:r>
      <w:r>
        <w:rPr>
          <w:color w:val="231F20"/>
          <w:spacing w:val="2"/>
          <w:sz w:val="13"/>
        </w:rPr>
        <w:t xml:space="preserve">Cyberstalking </w:t>
      </w:r>
      <w:r>
        <w:rPr>
          <w:color w:val="231F20"/>
          <w:sz w:val="13"/>
        </w:rPr>
        <w:t xml:space="preserve">Victimization’ in Heng </w:t>
      </w:r>
      <w:proofErr w:type="spellStart"/>
      <w:r>
        <w:rPr>
          <w:color w:val="231F20"/>
          <w:sz w:val="13"/>
        </w:rPr>
        <w:t>Choon</w:t>
      </w:r>
      <w:proofErr w:type="spellEnd"/>
      <w:r>
        <w:rPr>
          <w:color w:val="231F20"/>
          <w:sz w:val="13"/>
        </w:rPr>
        <w:t xml:space="preserve"> (Oliver) Chan and Lorraine </w:t>
      </w:r>
      <w:r>
        <w:rPr>
          <w:color w:val="231F20"/>
          <w:spacing w:val="2"/>
          <w:sz w:val="13"/>
        </w:rPr>
        <w:t xml:space="preserve">Sheridan </w:t>
      </w:r>
      <w:r>
        <w:rPr>
          <w:color w:val="231F20"/>
          <w:sz w:val="13"/>
        </w:rPr>
        <w:t xml:space="preserve">(eds), </w:t>
      </w:r>
      <w:r>
        <w:rPr>
          <w:i/>
          <w:color w:val="231F20"/>
          <w:sz w:val="13"/>
        </w:rPr>
        <w:t xml:space="preserve">Psycho- Criminological Approaches to Stalking Behavior: An International Perspective </w:t>
      </w:r>
      <w:r>
        <w:rPr>
          <w:color w:val="231F20"/>
          <w:sz w:val="13"/>
        </w:rPr>
        <w:t xml:space="preserve">(John Wiley and Sons, 2020) 77, 79; ‘Cyberstalking’, </w:t>
      </w:r>
      <w:proofErr w:type="spellStart"/>
      <w:r>
        <w:rPr>
          <w:i/>
          <w:color w:val="231F20"/>
          <w:sz w:val="13"/>
        </w:rPr>
        <w:t>ESafety</w:t>
      </w:r>
      <w:proofErr w:type="spellEnd"/>
      <w:r>
        <w:rPr>
          <w:i/>
          <w:color w:val="231F20"/>
          <w:sz w:val="13"/>
        </w:rPr>
        <w:t xml:space="preserve"> Commissioner </w:t>
      </w:r>
      <w:r>
        <w:rPr>
          <w:color w:val="231F20"/>
          <w:sz w:val="13"/>
        </w:rPr>
        <w:t>(Web Pag</w:t>
      </w:r>
      <w:hyperlink r:id="rId70">
        <w:r>
          <w:rPr>
            <w:color w:val="231F20"/>
            <w:sz w:val="13"/>
          </w:rPr>
          <w:t>e) &lt;https://www.esafety.gov.au/key-issues/domestic-family-violence/technology-facilitated-</w:t>
        </w:r>
      </w:hyperlink>
      <w:hyperlink r:id="rId71">
        <w:r>
          <w:rPr>
            <w:color w:val="231F20"/>
            <w:sz w:val="13"/>
          </w:rPr>
          <w:t xml:space="preserve"> abuse/cyberstalking</w:t>
        </w:r>
      </w:hyperlink>
      <w:r>
        <w:rPr>
          <w:color w:val="231F20"/>
          <w:sz w:val="13"/>
        </w:rPr>
        <w:t>&gt;.</w:t>
      </w:r>
    </w:p>
    <w:p w14:paraId="63C11E19" w14:textId="77777777" w:rsidR="00894070" w:rsidRDefault="009F6793">
      <w:pPr>
        <w:pStyle w:val="ListParagraph"/>
        <w:numPr>
          <w:ilvl w:val="0"/>
          <w:numId w:val="162"/>
        </w:numPr>
        <w:tabs>
          <w:tab w:val="left" w:pos="1801"/>
          <w:tab w:val="left" w:pos="1802"/>
        </w:tabs>
        <w:spacing w:line="150" w:lineRule="exact"/>
        <w:rPr>
          <w:sz w:val="13"/>
        </w:rPr>
      </w:pPr>
      <w:r>
        <w:pict w14:anchorId="55C408B5">
          <v:shape id="_x0000_s1595" type="#_x0000_t202" style="position:absolute;left:0;text-align:left;margin-left:548.95pt;margin-top:3.2pt;width:13.15pt;height:14.1pt;z-index:251545600;mso-position-horizontal-relative:page" filled="f" stroked="f">
            <v:textbox inset="0,0,0,0">
              <w:txbxContent>
                <w:p w14:paraId="641E78A3" w14:textId="77777777" w:rsidR="00894070" w:rsidRDefault="009B7AFD">
                  <w:pPr>
                    <w:spacing w:line="282" w:lineRule="exact"/>
                    <w:rPr>
                      <w:b/>
                      <w:sz w:val="24"/>
                    </w:rPr>
                  </w:pPr>
                  <w:r>
                    <w:rPr>
                      <w:b/>
                      <w:color w:val="EA5B50"/>
                      <w:spacing w:val="-3"/>
                      <w:sz w:val="24"/>
                    </w:rPr>
                    <w:t>33</w:t>
                  </w:r>
                </w:p>
              </w:txbxContent>
            </v:textbox>
            <w10:wrap anchorx="page"/>
          </v:shape>
        </w:pict>
      </w:r>
      <w:r w:rsidR="009B7AFD">
        <w:rPr>
          <w:i/>
          <w:color w:val="231F20"/>
          <w:sz w:val="13"/>
        </w:rPr>
        <w:t xml:space="preserve">Crimes Act 1958 </w:t>
      </w:r>
      <w:r w:rsidR="009B7AFD">
        <w:rPr>
          <w:color w:val="231F20"/>
          <w:sz w:val="13"/>
        </w:rPr>
        <w:t xml:space="preserve">(Vic) s </w:t>
      </w:r>
      <w:r w:rsidR="009B7AFD">
        <w:rPr>
          <w:color w:val="231F20"/>
          <w:spacing w:val="3"/>
          <w:sz w:val="13"/>
        </w:rPr>
        <w:t>21A.</w:t>
      </w:r>
    </w:p>
    <w:p w14:paraId="02AC7F73" w14:textId="77777777" w:rsidR="00894070" w:rsidRDefault="009B7AFD">
      <w:pPr>
        <w:pStyle w:val="ListParagraph"/>
        <w:numPr>
          <w:ilvl w:val="0"/>
          <w:numId w:val="162"/>
        </w:numPr>
        <w:tabs>
          <w:tab w:val="left" w:pos="1801"/>
          <w:tab w:val="left" w:pos="1802"/>
        </w:tabs>
        <w:spacing w:line="170"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(Consultation Paper, June 2021)</w:t>
      </w:r>
      <w:r>
        <w:rPr>
          <w:color w:val="231F20"/>
          <w:spacing w:val="3"/>
          <w:sz w:val="13"/>
        </w:rPr>
        <w:t xml:space="preserve"> </w:t>
      </w:r>
      <w:r>
        <w:rPr>
          <w:color w:val="231F20"/>
          <w:spacing w:val="2"/>
          <w:sz w:val="13"/>
        </w:rPr>
        <w:t>[8.2].</w:t>
      </w:r>
    </w:p>
    <w:p w14:paraId="2EA21481" w14:textId="77777777" w:rsidR="00894070" w:rsidRDefault="00894070">
      <w:pPr>
        <w:spacing w:line="170" w:lineRule="exact"/>
        <w:rPr>
          <w:sz w:val="13"/>
        </w:rPr>
        <w:sectPr w:rsidR="00894070">
          <w:headerReference w:type="even" r:id="rId72"/>
          <w:headerReference w:type="default" r:id="rId73"/>
          <w:pgSz w:w="11910" w:h="16840"/>
          <w:pgMar w:top="840" w:right="420" w:bottom="280" w:left="580" w:header="0" w:footer="0" w:gutter="0"/>
          <w:cols w:space="720"/>
        </w:sectPr>
      </w:pPr>
    </w:p>
    <w:p w14:paraId="1AF95569" w14:textId="77777777" w:rsidR="00894070" w:rsidRDefault="00894070">
      <w:pPr>
        <w:pStyle w:val="BodyText"/>
      </w:pPr>
    </w:p>
    <w:p w14:paraId="6A4E5EA1" w14:textId="77777777" w:rsidR="00894070" w:rsidRDefault="00894070">
      <w:pPr>
        <w:pStyle w:val="BodyText"/>
      </w:pPr>
    </w:p>
    <w:p w14:paraId="5B913D40" w14:textId="77777777" w:rsidR="00894070" w:rsidRDefault="00894070">
      <w:pPr>
        <w:pStyle w:val="BodyText"/>
      </w:pPr>
    </w:p>
    <w:p w14:paraId="6DE79644" w14:textId="77777777" w:rsidR="00894070" w:rsidRDefault="00894070">
      <w:pPr>
        <w:pStyle w:val="BodyText"/>
        <w:spacing w:before="7"/>
        <w:rPr>
          <w:sz w:val="16"/>
        </w:rPr>
      </w:pPr>
    </w:p>
    <w:p w14:paraId="687C9C9F" w14:textId="77777777" w:rsidR="00894070" w:rsidRDefault="009B7AFD">
      <w:pPr>
        <w:pStyle w:val="ListParagraph"/>
        <w:numPr>
          <w:ilvl w:val="1"/>
          <w:numId w:val="161"/>
        </w:numPr>
        <w:tabs>
          <w:tab w:val="left" w:pos="1801"/>
          <w:tab w:val="left" w:pos="1802"/>
        </w:tabs>
        <w:rPr>
          <w:sz w:val="20"/>
        </w:rPr>
      </w:pPr>
      <w:r>
        <w:rPr>
          <w:color w:val="231F20"/>
          <w:sz w:val="20"/>
        </w:rPr>
        <w:t>People</w:t>
      </w:r>
      <w:r>
        <w:rPr>
          <w:color w:val="231F20"/>
          <w:spacing w:val="-6"/>
          <w:sz w:val="20"/>
        </w:rPr>
        <w:t xml:space="preserve"> </w:t>
      </w:r>
      <w:r>
        <w:rPr>
          <w:color w:val="231F20"/>
          <w:sz w:val="20"/>
        </w:rPr>
        <w:t>who</w:t>
      </w:r>
      <w:r>
        <w:rPr>
          <w:color w:val="231F20"/>
          <w:spacing w:val="-6"/>
          <w:sz w:val="20"/>
        </w:rPr>
        <w:t xml:space="preserve"> </w:t>
      </w:r>
      <w:r>
        <w:rPr>
          <w:color w:val="231F20"/>
          <w:sz w:val="20"/>
        </w:rPr>
        <w:t>cyberstalk</w:t>
      </w:r>
      <w:r>
        <w:rPr>
          <w:color w:val="231F20"/>
          <w:spacing w:val="-5"/>
          <w:sz w:val="20"/>
        </w:rPr>
        <w:t xml:space="preserve"> </w:t>
      </w:r>
      <w:r>
        <w:rPr>
          <w:color w:val="231F20"/>
          <w:spacing w:val="-3"/>
          <w:sz w:val="20"/>
        </w:rPr>
        <w:t>may</w:t>
      </w:r>
      <w:r>
        <w:rPr>
          <w:color w:val="231F20"/>
          <w:spacing w:val="-6"/>
          <w:sz w:val="20"/>
        </w:rPr>
        <w:t xml:space="preserve"> </w:t>
      </w:r>
      <w:r>
        <w:rPr>
          <w:color w:val="231F20"/>
          <w:sz w:val="20"/>
        </w:rPr>
        <w:t>use</w:t>
      </w:r>
      <w:r>
        <w:rPr>
          <w:color w:val="231F20"/>
          <w:spacing w:val="-5"/>
          <w:sz w:val="20"/>
        </w:rPr>
        <w:t xml:space="preserve"> </w:t>
      </w:r>
      <w:r>
        <w:rPr>
          <w:color w:val="231F20"/>
          <w:sz w:val="20"/>
        </w:rPr>
        <w:t>a</w:t>
      </w:r>
      <w:r>
        <w:rPr>
          <w:color w:val="231F20"/>
          <w:spacing w:val="-6"/>
          <w:sz w:val="20"/>
        </w:rPr>
        <w:t xml:space="preserve"> </w:t>
      </w:r>
      <w:r>
        <w:rPr>
          <w:color w:val="231F20"/>
          <w:sz w:val="20"/>
        </w:rPr>
        <w:t>range</w:t>
      </w:r>
      <w:r>
        <w:rPr>
          <w:color w:val="231F20"/>
          <w:spacing w:val="-5"/>
          <w:sz w:val="20"/>
        </w:rPr>
        <w:t xml:space="preserve"> </w:t>
      </w:r>
      <w:r>
        <w:rPr>
          <w:color w:val="231F20"/>
          <w:sz w:val="20"/>
        </w:rPr>
        <w:t>of</w:t>
      </w:r>
      <w:r>
        <w:rPr>
          <w:color w:val="231F20"/>
          <w:spacing w:val="-6"/>
          <w:sz w:val="20"/>
        </w:rPr>
        <w:t xml:space="preserve"> </w:t>
      </w:r>
      <w:r>
        <w:rPr>
          <w:color w:val="231F20"/>
          <w:sz w:val="20"/>
        </w:rPr>
        <w:t>online</w:t>
      </w:r>
      <w:r>
        <w:rPr>
          <w:color w:val="231F20"/>
          <w:spacing w:val="-5"/>
          <w:sz w:val="20"/>
        </w:rPr>
        <w:t xml:space="preserve"> </w:t>
      </w:r>
      <w:r>
        <w:rPr>
          <w:color w:val="231F20"/>
          <w:sz w:val="20"/>
        </w:rPr>
        <w:t>and</w:t>
      </w:r>
      <w:r>
        <w:rPr>
          <w:color w:val="231F20"/>
          <w:spacing w:val="-6"/>
          <w:sz w:val="20"/>
        </w:rPr>
        <w:t xml:space="preserve"> </w:t>
      </w:r>
      <w:r>
        <w:rPr>
          <w:color w:val="231F20"/>
          <w:sz w:val="20"/>
        </w:rPr>
        <w:t>offline</w:t>
      </w:r>
      <w:r>
        <w:rPr>
          <w:color w:val="231F20"/>
          <w:spacing w:val="-5"/>
          <w:sz w:val="20"/>
        </w:rPr>
        <w:t xml:space="preserve"> </w:t>
      </w:r>
      <w:r>
        <w:rPr>
          <w:color w:val="231F20"/>
          <w:sz w:val="20"/>
        </w:rPr>
        <w:t>technologies:</w:t>
      </w:r>
    </w:p>
    <w:p w14:paraId="0F916B96" w14:textId="77777777" w:rsidR="00894070" w:rsidRDefault="009B7AFD">
      <w:pPr>
        <w:pStyle w:val="ListParagraph"/>
        <w:numPr>
          <w:ilvl w:val="2"/>
          <w:numId w:val="161"/>
        </w:numPr>
        <w:tabs>
          <w:tab w:val="left" w:pos="2141"/>
          <w:tab w:val="left" w:pos="2142"/>
        </w:tabs>
        <w:spacing w:before="82"/>
        <w:ind w:hanging="340"/>
        <w:rPr>
          <w:sz w:val="20"/>
        </w:rPr>
      </w:pPr>
      <w:r>
        <w:rPr>
          <w:color w:val="231F20"/>
          <w:sz w:val="20"/>
        </w:rPr>
        <w:t xml:space="preserve">global positioning </w:t>
      </w:r>
      <w:r>
        <w:rPr>
          <w:color w:val="231F20"/>
          <w:spacing w:val="-2"/>
          <w:sz w:val="20"/>
        </w:rPr>
        <w:t xml:space="preserve">system </w:t>
      </w:r>
      <w:r>
        <w:rPr>
          <w:color w:val="231F20"/>
          <w:sz w:val="20"/>
        </w:rPr>
        <w:t>(GPS)</w:t>
      </w:r>
      <w:r>
        <w:rPr>
          <w:color w:val="231F20"/>
          <w:spacing w:val="-16"/>
          <w:sz w:val="20"/>
        </w:rPr>
        <w:t xml:space="preserve"> </w:t>
      </w:r>
      <w:r>
        <w:rPr>
          <w:color w:val="231F20"/>
          <w:sz w:val="20"/>
        </w:rPr>
        <w:t>trackers</w:t>
      </w:r>
    </w:p>
    <w:p w14:paraId="58D91B94" w14:textId="77777777" w:rsidR="00894070" w:rsidRDefault="009B7AFD">
      <w:pPr>
        <w:pStyle w:val="ListParagraph"/>
        <w:numPr>
          <w:ilvl w:val="2"/>
          <w:numId w:val="161"/>
        </w:numPr>
        <w:tabs>
          <w:tab w:val="left" w:pos="2141"/>
          <w:tab w:val="left" w:pos="2142"/>
        </w:tabs>
        <w:spacing w:before="48"/>
        <w:ind w:hanging="340"/>
        <w:rPr>
          <w:sz w:val="11"/>
        </w:rPr>
      </w:pPr>
      <w:r>
        <w:rPr>
          <w:color w:val="231F20"/>
          <w:spacing w:val="-2"/>
          <w:sz w:val="20"/>
        </w:rPr>
        <w:t>keyloggers</w:t>
      </w:r>
      <w:r>
        <w:rPr>
          <w:color w:val="231F20"/>
          <w:spacing w:val="-2"/>
          <w:position w:val="7"/>
          <w:sz w:val="11"/>
        </w:rPr>
        <w:t>16</w:t>
      </w:r>
    </w:p>
    <w:p w14:paraId="1C03DE8D" w14:textId="77777777" w:rsidR="00894070" w:rsidRDefault="009B7AFD">
      <w:pPr>
        <w:pStyle w:val="ListParagraph"/>
        <w:numPr>
          <w:ilvl w:val="2"/>
          <w:numId w:val="161"/>
        </w:numPr>
        <w:tabs>
          <w:tab w:val="left" w:pos="2141"/>
          <w:tab w:val="left" w:pos="2142"/>
        </w:tabs>
        <w:spacing w:before="47"/>
        <w:ind w:hanging="340"/>
        <w:rPr>
          <w:sz w:val="20"/>
        </w:rPr>
      </w:pPr>
      <w:r>
        <w:rPr>
          <w:color w:val="231F20"/>
          <w:sz w:val="20"/>
        </w:rPr>
        <w:t>hidden cameras or</w:t>
      </w:r>
      <w:r>
        <w:rPr>
          <w:color w:val="231F20"/>
          <w:spacing w:val="-13"/>
          <w:sz w:val="20"/>
        </w:rPr>
        <w:t xml:space="preserve"> </w:t>
      </w:r>
      <w:r>
        <w:rPr>
          <w:color w:val="231F20"/>
          <w:sz w:val="20"/>
        </w:rPr>
        <w:t>webcams</w:t>
      </w:r>
    </w:p>
    <w:p w14:paraId="5B7D7C45" w14:textId="77777777" w:rsidR="00894070" w:rsidRDefault="009B7AFD">
      <w:pPr>
        <w:pStyle w:val="ListParagraph"/>
        <w:numPr>
          <w:ilvl w:val="2"/>
          <w:numId w:val="161"/>
        </w:numPr>
        <w:tabs>
          <w:tab w:val="left" w:pos="2141"/>
          <w:tab w:val="left" w:pos="2142"/>
        </w:tabs>
        <w:spacing w:before="47"/>
        <w:ind w:hanging="340"/>
        <w:rPr>
          <w:sz w:val="20"/>
        </w:rPr>
      </w:pPr>
      <w:r>
        <w:rPr>
          <w:color w:val="231F20"/>
          <w:sz w:val="20"/>
        </w:rPr>
        <w:t>audio bugs, microphones,</w:t>
      </w:r>
      <w:r>
        <w:rPr>
          <w:color w:val="231F20"/>
          <w:spacing w:val="-14"/>
          <w:sz w:val="20"/>
        </w:rPr>
        <w:t xml:space="preserve"> </w:t>
      </w:r>
      <w:r>
        <w:rPr>
          <w:color w:val="231F20"/>
          <w:sz w:val="20"/>
        </w:rPr>
        <w:t>telephones</w:t>
      </w:r>
    </w:p>
    <w:p w14:paraId="781553FB" w14:textId="77777777" w:rsidR="00894070" w:rsidRDefault="009B7AFD">
      <w:pPr>
        <w:pStyle w:val="ListParagraph"/>
        <w:numPr>
          <w:ilvl w:val="2"/>
          <w:numId w:val="161"/>
        </w:numPr>
        <w:tabs>
          <w:tab w:val="left" w:pos="2141"/>
          <w:tab w:val="left" w:pos="2142"/>
        </w:tabs>
        <w:spacing w:before="48"/>
        <w:ind w:hanging="340"/>
        <w:rPr>
          <w:sz w:val="20"/>
        </w:rPr>
      </w:pPr>
      <w:r>
        <w:rPr>
          <w:color w:val="231F20"/>
          <w:sz w:val="20"/>
        </w:rPr>
        <w:t>location-based dating</w:t>
      </w:r>
      <w:r>
        <w:rPr>
          <w:color w:val="231F20"/>
          <w:spacing w:val="-9"/>
          <w:sz w:val="20"/>
        </w:rPr>
        <w:t xml:space="preserve"> </w:t>
      </w:r>
      <w:r>
        <w:rPr>
          <w:color w:val="231F20"/>
          <w:sz w:val="20"/>
        </w:rPr>
        <w:t>apps</w:t>
      </w:r>
    </w:p>
    <w:p w14:paraId="6543BA1E" w14:textId="77777777" w:rsidR="00894070" w:rsidRDefault="009B7AFD">
      <w:pPr>
        <w:pStyle w:val="ListParagraph"/>
        <w:numPr>
          <w:ilvl w:val="2"/>
          <w:numId w:val="161"/>
        </w:numPr>
        <w:tabs>
          <w:tab w:val="left" w:pos="2141"/>
          <w:tab w:val="left" w:pos="2142"/>
        </w:tabs>
        <w:spacing w:before="47"/>
        <w:ind w:hanging="340"/>
        <w:rPr>
          <w:sz w:val="20"/>
        </w:rPr>
      </w:pPr>
      <w:r>
        <w:rPr>
          <w:color w:val="231F20"/>
          <w:spacing w:val="-3"/>
          <w:sz w:val="20"/>
        </w:rPr>
        <w:t xml:space="preserve">spyware, </w:t>
      </w:r>
      <w:r>
        <w:rPr>
          <w:color w:val="231F20"/>
          <w:sz w:val="20"/>
        </w:rPr>
        <w:t>mobile stalker</w:t>
      </w:r>
      <w:r>
        <w:rPr>
          <w:color w:val="231F20"/>
          <w:spacing w:val="-10"/>
          <w:sz w:val="20"/>
        </w:rPr>
        <w:t xml:space="preserve"> </w:t>
      </w:r>
      <w:r>
        <w:rPr>
          <w:color w:val="231F20"/>
          <w:sz w:val="20"/>
        </w:rPr>
        <w:t>apps</w:t>
      </w:r>
    </w:p>
    <w:p w14:paraId="72480D80" w14:textId="77777777" w:rsidR="00894070" w:rsidRDefault="009B7AFD">
      <w:pPr>
        <w:pStyle w:val="ListParagraph"/>
        <w:numPr>
          <w:ilvl w:val="2"/>
          <w:numId w:val="161"/>
        </w:numPr>
        <w:tabs>
          <w:tab w:val="left" w:pos="2141"/>
          <w:tab w:val="left" w:pos="2142"/>
        </w:tabs>
        <w:spacing w:before="48"/>
        <w:ind w:hanging="340"/>
        <w:rPr>
          <w:sz w:val="20"/>
        </w:rPr>
      </w:pPr>
      <w:r>
        <w:rPr>
          <w:color w:val="231F20"/>
          <w:sz w:val="20"/>
        </w:rPr>
        <w:t>email</w:t>
      </w:r>
      <w:r>
        <w:rPr>
          <w:color w:val="231F20"/>
          <w:spacing w:val="-5"/>
          <w:sz w:val="20"/>
        </w:rPr>
        <w:t xml:space="preserve"> </w:t>
      </w:r>
      <w:r>
        <w:rPr>
          <w:color w:val="231F20"/>
          <w:sz w:val="20"/>
        </w:rPr>
        <w:t>accounts</w:t>
      </w:r>
    </w:p>
    <w:p w14:paraId="513AEA53" w14:textId="77777777" w:rsidR="00894070" w:rsidRDefault="009B7AFD">
      <w:pPr>
        <w:pStyle w:val="ListParagraph"/>
        <w:numPr>
          <w:ilvl w:val="2"/>
          <w:numId w:val="161"/>
        </w:numPr>
        <w:tabs>
          <w:tab w:val="left" w:pos="2141"/>
          <w:tab w:val="left" w:pos="2142"/>
        </w:tabs>
        <w:spacing w:before="47"/>
        <w:ind w:hanging="340"/>
        <w:rPr>
          <w:sz w:val="20"/>
        </w:rPr>
      </w:pPr>
      <w:r>
        <w:rPr>
          <w:color w:val="231F20"/>
          <w:sz w:val="20"/>
        </w:rPr>
        <w:t>social</w:t>
      </w:r>
      <w:r>
        <w:rPr>
          <w:color w:val="231F20"/>
          <w:spacing w:val="-6"/>
          <w:sz w:val="20"/>
        </w:rPr>
        <w:t xml:space="preserve"> </w:t>
      </w:r>
      <w:r>
        <w:rPr>
          <w:color w:val="231F20"/>
          <w:sz w:val="20"/>
        </w:rPr>
        <w:t>media</w:t>
      </w:r>
    </w:p>
    <w:p w14:paraId="5C3C51AF" w14:textId="77777777" w:rsidR="00894070" w:rsidRDefault="009B7AFD">
      <w:pPr>
        <w:pStyle w:val="ListParagraph"/>
        <w:numPr>
          <w:ilvl w:val="2"/>
          <w:numId w:val="161"/>
        </w:numPr>
        <w:tabs>
          <w:tab w:val="left" w:pos="2141"/>
          <w:tab w:val="left" w:pos="2142"/>
        </w:tabs>
        <w:spacing w:before="48"/>
        <w:ind w:hanging="340"/>
        <w:rPr>
          <w:sz w:val="11"/>
        </w:rPr>
      </w:pPr>
      <w:r>
        <w:rPr>
          <w:color w:val="231F20"/>
          <w:sz w:val="20"/>
        </w:rPr>
        <w:t>online</w:t>
      </w:r>
      <w:r>
        <w:rPr>
          <w:color w:val="231F20"/>
          <w:spacing w:val="-5"/>
          <w:sz w:val="20"/>
        </w:rPr>
        <w:t xml:space="preserve"> </w:t>
      </w:r>
      <w:r>
        <w:rPr>
          <w:color w:val="231F20"/>
          <w:sz w:val="20"/>
        </w:rPr>
        <w:t>maps</w:t>
      </w:r>
      <w:r>
        <w:rPr>
          <w:color w:val="231F20"/>
          <w:position w:val="7"/>
          <w:sz w:val="11"/>
        </w:rPr>
        <w:t>17</w:t>
      </w:r>
    </w:p>
    <w:p w14:paraId="1116971F" w14:textId="77777777" w:rsidR="00894070" w:rsidRDefault="009B7AFD">
      <w:pPr>
        <w:pStyle w:val="ListParagraph"/>
        <w:numPr>
          <w:ilvl w:val="2"/>
          <w:numId w:val="161"/>
        </w:numPr>
        <w:tabs>
          <w:tab w:val="left" w:pos="2141"/>
          <w:tab w:val="left" w:pos="2142"/>
        </w:tabs>
        <w:spacing w:before="47"/>
        <w:ind w:hanging="340"/>
        <w:rPr>
          <w:sz w:val="11"/>
        </w:rPr>
      </w:pPr>
      <w:r>
        <w:rPr>
          <w:color w:val="231F20"/>
          <w:spacing w:val="-3"/>
          <w:sz w:val="20"/>
        </w:rPr>
        <w:t xml:space="preserve">reverse </w:t>
      </w:r>
      <w:r>
        <w:rPr>
          <w:color w:val="231F20"/>
          <w:sz w:val="20"/>
        </w:rPr>
        <w:t>image</w:t>
      </w:r>
      <w:r>
        <w:rPr>
          <w:color w:val="231F20"/>
          <w:spacing w:val="-6"/>
          <w:sz w:val="20"/>
        </w:rPr>
        <w:t xml:space="preserve"> </w:t>
      </w:r>
      <w:r>
        <w:rPr>
          <w:color w:val="231F20"/>
          <w:sz w:val="20"/>
        </w:rPr>
        <w:t>searches</w:t>
      </w:r>
      <w:r>
        <w:rPr>
          <w:color w:val="231F20"/>
          <w:position w:val="7"/>
          <w:sz w:val="11"/>
        </w:rPr>
        <w:t>18</w:t>
      </w:r>
    </w:p>
    <w:p w14:paraId="2AB02CFF" w14:textId="77777777" w:rsidR="00894070" w:rsidRDefault="009B7AFD">
      <w:pPr>
        <w:pStyle w:val="ListParagraph"/>
        <w:numPr>
          <w:ilvl w:val="2"/>
          <w:numId w:val="161"/>
        </w:numPr>
        <w:tabs>
          <w:tab w:val="left" w:pos="2141"/>
          <w:tab w:val="left" w:pos="2142"/>
        </w:tabs>
        <w:spacing w:before="47"/>
        <w:ind w:hanging="340"/>
        <w:rPr>
          <w:sz w:val="20"/>
        </w:rPr>
      </w:pPr>
      <w:r>
        <w:rPr>
          <w:color w:val="231F20"/>
          <w:sz w:val="20"/>
        </w:rPr>
        <w:t>‘</w:t>
      </w:r>
      <w:proofErr w:type="gramStart"/>
      <w:r>
        <w:rPr>
          <w:color w:val="231F20"/>
          <w:sz w:val="20"/>
        </w:rPr>
        <w:t>find</w:t>
      </w:r>
      <w:proofErr w:type="gramEnd"/>
      <w:r>
        <w:rPr>
          <w:color w:val="231F20"/>
          <w:sz w:val="20"/>
        </w:rPr>
        <w:t xml:space="preserve"> </w:t>
      </w:r>
      <w:r>
        <w:rPr>
          <w:color w:val="231F20"/>
          <w:spacing w:val="-3"/>
          <w:sz w:val="20"/>
        </w:rPr>
        <w:t>my device’</w:t>
      </w:r>
      <w:r>
        <w:rPr>
          <w:color w:val="231F20"/>
          <w:spacing w:val="-10"/>
          <w:sz w:val="20"/>
        </w:rPr>
        <w:t xml:space="preserve"> </w:t>
      </w:r>
      <w:r>
        <w:rPr>
          <w:color w:val="231F20"/>
          <w:sz w:val="20"/>
        </w:rPr>
        <w:t>services</w:t>
      </w:r>
    </w:p>
    <w:p w14:paraId="43BAF6F9" w14:textId="77777777" w:rsidR="00894070" w:rsidRDefault="009B7AFD">
      <w:pPr>
        <w:pStyle w:val="ListParagraph"/>
        <w:numPr>
          <w:ilvl w:val="2"/>
          <w:numId w:val="161"/>
        </w:numPr>
        <w:tabs>
          <w:tab w:val="left" w:pos="2141"/>
          <w:tab w:val="left" w:pos="2142"/>
        </w:tabs>
        <w:spacing w:before="48"/>
        <w:ind w:hanging="340"/>
        <w:rPr>
          <w:sz w:val="11"/>
        </w:rPr>
      </w:pPr>
      <w:proofErr w:type="spellStart"/>
      <w:r>
        <w:rPr>
          <w:color w:val="231F20"/>
          <w:sz w:val="20"/>
        </w:rPr>
        <w:t>bluetooth</w:t>
      </w:r>
      <w:proofErr w:type="spellEnd"/>
      <w:r>
        <w:rPr>
          <w:color w:val="231F20"/>
          <w:sz w:val="20"/>
        </w:rPr>
        <w:t>.</w:t>
      </w:r>
      <w:r>
        <w:rPr>
          <w:color w:val="231F20"/>
          <w:position w:val="7"/>
          <w:sz w:val="11"/>
        </w:rPr>
        <w:t>19</w:t>
      </w:r>
    </w:p>
    <w:p w14:paraId="76A17B1B" w14:textId="77777777" w:rsidR="00894070" w:rsidRDefault="009B7AFD">
      <w:pPr>
        <w:pStyle w:val="ListParagraph"/>
        <w:numPr>
          <w:ilvl w:val="1"/>
          <w:numId w:val="161"/>
        </w:numPr>
        <w:tabs>
          <w:tab w:val="left" w:pos="1801"/>
          <w:tab w:val="left" w:pos="1802"/>
        </w:tabs>
        <w:spacing w:before="47"/>
        <w:rPr>
          <w:sz w:val="20"/>
        </w:rPr>
      </w:pPr>
      <w:r>
        <w:rPr>
          <w:color w:val="231F20"/>
          <w:sz w:val="20"/>
        </w:rPr>
        <w:t xml:space="preserve">Examples of cyberstalking </w:t>
      </w:r>
      <w:proofErr w:type="spellStart"/>
      <w:r>
        <w:rPr>
          <w:color w:val="231F20"/>
          <w:sz w:val="20"/>
        </w:rPr>
        <w:t>behaviours</w:t>
      </w:r>
      <w:proofErr w:type="spellEnd"/>
      <w:r>
        <w:rPr>
          <w:color w:val="231F20"/>
          <w:spacing w:val="-18"/>
          <w:sz w:val="20"/>
        </w:rPr>
        <w:t xml:space="preserve"> </w:t>
      </w:r>
      <w:r>
        <w:rPr>
          <w:color w:val="231F20"/>
          <w:spacing w:val="-3"/>
          <w:sz w:val="20"/>
        </w:rPr>
        <w:t>include:</w:t>
      </w:r>
    </w:p>
    <w:p w14:paraId="2BFCB40B" w14:textId="77777777" w:rsidR="00894070" w:rsidRDefault="009B7AFD">
      <w:pPr>
        <w:pStyle w:val="ListParagraph"/>
        <w:numPr>
          <w:ilvl w:val="2"/>
          <w:numId w:val="161"/>
        </w:numPr>
        <w:tabs>
          <w:tab w:val="left" w:pos="2141"/>
          <w:tab w:val="left" w:pos="2142"/>
        </w:tabs>
        <w:spacing w:before="83"/>
        <w:ind w:hanging="340"/>
        <w:rPr>
          <w:sz w:val="20"/>
        </w:rPr>
      </w:pPr>
      <w:r>
        <w:rPr>
          <w:color w:val="231F20"/>
          <w:sz w:val="20"/>
        </w:rPr>
        <w:t>sending</w:t>
      </w:r>
      <w:r>
        <w:rPr>
          <w:color w:val="231F20"/>
          <w:spacing w:val="-6"/>
          <w:sz w:val="20"/>
        </w:rPr>
        <w:t xml:space="preserve"> </w:t>
      </w:r>
      <w:r>
        <w:rPr>
          <w:color w:val="231F20"/>
          <w:sz w:val="20"/>
        </w:rPr>
        <w:t>or</w:t>
      </w:r>
      <w:r>
        <w:rPr>
          <w:color w:val="231F20"/>
          <w:spacing w:val="-5"/>
          <w:sz w:val="20"/>
        </w:rPr>
        <w:t xml:space="preserve"> </w:t>
      </w:r>
      <w:r>
        <w:rPr>
          <w:color w:val="231F20"/>
          <w:sz w:val="20"/>
        </w:rPr>
        <w:t>posting</w:t>
      </w:r>
      <w:r>
        <w:rPr>
          <w:color w:val="231F20"/>
          <w:spacing w:val="-5"/>
          <w:sz w:val="20"/>
        </w:rPr>
        <w:t xml:space="preserve"> </w:t>
      </w:r>
      <w:r>
        <w:rPr>
          <w:color w:val="231F20"/>
          <w:spacing w:val="-3"/>
          <w:sz w:val="20"/>
        </w:rPr>
        <w:t>offensive</w:t>
      </w:r>
      <w:r>
        <w:rPr>
          <w:color w:val="231F20"/>
          <w:spacing w:val="-5"/>
          <w:sz w:val="20"/>
        </w:rPr>
        <w:t xml:space="preserve"> </w:t>
      </w:r>
      <w:r>
        <w:rPr>
          <w:color w:val="231F20"/>
          <w:sz w:val="20"/>
        </w:rPr>
        <w:t>online</w:t>
      </w:r>
      <w:r>
        <w:rPr>
          <w:color w:val="231F20"/>
          <w:spacing w:val="-5"/>
          <w:sz w:val="20"/>
        </w:rPr>
        <w:t xml:space="preserve"> </w:t>
      </w:r>
      <w:r>
        <w:rPr>
          <w:color w:val="231F20"/>
          <w:sz w:val="20"/>
        </w:rPr>
        <w:t>messages,</w:t>
      </w:r>
      <w:r>
        <w:rPr>
          <w:color w:val="231F20"/>
          <w:spacing w:val="-5"/>
          <w:sz w:val="20"/>
        </w:rPr>
        <w:t xml:space="preserve"> </w:t>
      </w:r>
      <w:proofErr w:type="gramStart"/>
      <w:r>
        <w:rPr>
          <w:color w:val="231F20"/>
          <w:sz w:val="20"/>
        </w:rPr>
        <w:t>images</w:t>
      </w:r>
      <w:proofErr w:type="gramEnd"/>
      <w:r>
        <w:rPr>
          <w:color w:val="231F20"/>
          <w:spacing w:val="-5"/>
          <w:sz w:val="20"/>
        </w:rPr>
        <w:t xml:space="preserve"> </w:t>
      </w:r>
      <w:r>
        <w:rPr>
          <w:color w:val="231F20"/>
          <w:sz w:val="20"/>
        </w:rPr>
        <w:t>or</w:t>
      </w:r>
      <w:r>
        <w:rPr>
          <w:color w:val="231F20"/>
          <w:spacing w:val="-5"/>
          <w:sz w:val="20"/>
        </w:rPr>
        <w:t xml:space="preserve"> </w:t>
      </w:r>
      <w:r>
        <w:rPr>
          <w:color w:val="231F20"/>
          <w:sz w:val="20"/>
        </w:rPr>
        <w:t>personal</w:t>
      </w:r>
      <w:r>
        <w:rPr>
          <w:color w:val="231F20"/>
          <w:spacing w:val="-5"/>
          <w:sz w:val="20"/>
        </w:rPr>
        <w:t xml:space="preserve"> </w:t>
      </w:r>
      <w:r>
        <w:rPr>
          <w:color w:val="231F20"/>
          <w:spacing w:val="-3"/>
          <w:sz w:val="20"/>
        </w:rPr>
        <w:t>information</w:t>
      </w:r>
    </w:p>
    <w:p w14:paraId="1893DFF1" w14:textId="77777777" w:rsidR="00894070" w:rsidRDefault="009B7AFD">
      <w:pPr>
        <w:pStyle w:val="ListParagraph"/>
        <w:numPr>
          <w:ilvl w:val="2"/>
          <w:numId w:val="161"/>
        </w:numPr>
        <w:tabs>
          <w:tab w:val="left" w:pos="2141"/>
          <w:tab w:val="left" w:pos="2142"/>
        </w:tabs>
        <w:spacing w:before="47"/>
        <w:ind w:hanging="340"/>
        <w:rPr>
          <w:sz w:val="20"/>
        </w:rPr>
      </w:pPr>
      <w:r>
        <w:rPr>
          <w:color w:val="231F20"/>
          <w:sz w:val="20"/>
        </w:rPr>
        <w:t>impersonating someone</w:t>
      </w:r>
      <w:r>
        <w:rPr>
          <w:color w:val="231F20"/>
          <w:spacing w:val="-9"/>
          <w:sz w:val="20"/>
        </w:rPr>
        <w:t xml:space="preserve"> </w:t>
      </w:r>
      <w:r>
        <w:rPr>
          <w:color w:val="231F20"/>
          <w:sz w:val="20"/>
        </w:rPr>
        <w:t>online</w:t>
      </w:r>
    </w:p>
    <w:p w14:paraId="7C02E123" w14:textId="77777777" w:rsidR="00894070" w:rsidRDefault="009B7AFD">
      <w:pPr>
        <w:pStyle w:val="ListParagraph"/>
        <w:numPr>
          <w:ilvl w:val="2"/>
          <w:numId w:val="161"/>
        </w:numPr>
        <w:tabs>
          <w:tab w:val="left" w:pos="2141"/>
          <w:tab w:val="left" w:pos="2142"/>
        </w:tabs>
        <w:spacing w:before="48"/>
        <w:ind w:hanging="340"/>
        <w:rPr>
          <w:sz w:val="11"/>
        </w:rPr>
      </w:pPr>
      <w:r>
        <w:rPr>
          <w:color w:val="231F20"/>
          <w:spacing w:val="-3"/>
          <w:sz w:val="20"/>
        </w:rPr>
        <w:t xml:space="preserve">following, </w:t>
      </w:r>
      <w:proofErr w:type="gramStart"/>
      <w:r>
        <w:rPr>
          <w:color w:val="231F20"/>
          <w:sz w:val="20"/>
        </w:rPr>
        <w:t>monitoring</w:t>
      </w:r>
      <w:proofErr w:type="gramEnd"/>
      <w:r>
        <w:rPr>
          <w:color w:val="231F20"/>
          <w:sz w:val="20"/>
        </w:rPr>
        <w:t xml:space="preserve"> or tracking a </w:t>
      </w:r>
      <w:r>
        <w:rPr>
          <w:color w:val="231F20"/>
          <w:spacing w:val="-3"/>
          <w:sz w:val="20"/>
        </w:rPr>
        <w:t xml:space="preserve">person’s </w:t>
      </w:r>
      <w:r>
        <w:rPr>
          <w:color w:val="231F20"/>
          <w:sz w:val="20"/>
        </w:rPr>
        <w:t>location and</w:t>
      </w:r>
      <w:r>
        <w:rPr>
          <w:color w:val="231F20"/>
          <w:spacing w:val="-31"/>
          <w:sz w:val="20"/>
        </w:rPr>
        <w:t xml:space="preserve"> </w:t>
      </w:r>
      <w:r>
        <w:rPr>
          <w:color w:val="231F20"/>
          <w:sz w:val="20"/>
        </w:rPr>
        <w:t>activities.</w:t>
      </w:r>
      <w:r>
        <w:rPr>
          <w:color w:val="231F20"/>
          <w:position w:val="7"/>
          <w:sz w:val="11"/>
        </w:rPr>
        <w:t>20</w:t>
      </w:r>
    </w:p>
    <w:p w14:paraId="1583EB96" w14:textId="77777777" w:rsidR="00894070" w:rsidRDefault="009B7AFD">
      <w:pPr>
        <w:pStyle w:val="ListParagraph"/>
        <w:numPr>
          <w:ilvl w:val="1"/>
          <w:numId w:val="161"/>
        </w:numPr>
        <w:tabs>
          <w:tab w:val="left" w:pos="1801"/>
          <w:tab w:val="left" w:pos="1802"/>
        </w:tabs>
        <w:spacing w:before="79" w:line="206" w:lineRule="auto"/>
        <w:ind w:right="1404"/>
        <w:rPr>
          <w:sz w:val="11"/>
        </w:rPr>
      </w:pP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z w:val="20"/>
        </w:rPr>
        <w:t>stalk</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be</w:t>
      </w:r>
      <w:r>
        <w:rPr>
          <w:color w:val="231F20"/>
          <w:spacing w:val="-8"/>
          <w:sz w:val="20"/>
        </w:rPr>
        <w:t xml:space="preserve"> </w:t>
      </w:r>
      <w:r>
        <w:rPr>
          <w:color w:val="231F20"/>
          <w:sz w:val="20"/>
        </w:rPr>
        <w:t>part</w:t>
      </w:r>
      <w:r>
        <w:rPr>
          <w:color w:val="231F20"/>
          <w:spacing w:val="-8"/>
          <w:sz w:val="20"/>
        </w:rPr>
        <w:t xml:space="preserve"> </w:t>
      </w:r>
      <w:r>
        <w:rPr>
          <w:color w:val="231F20"/>
          <w:sz w:val="20"/>
        </w:rPr>
        <w:t>of</w:t>
      </w:r>
      <w:r>
        <w:rPr>
          <w:color w:val="231F20"/>
          <w:spacing w:val="-8"/>
          <w:sz w:val="20"/>
        </w:rPr>
        <w:t xml:space="preserve"> </w:t>
      </w:r>
      <w:r>
        <w:rPr>
          <w:color w:val="231F20"/>
          <w:sz w:val="20"/>
        </w:rPr>
        <w:t>underground</w:t>
      </w:r>
      <w:r>
        <w:rPr>
          <w:color w:val="231F20"/>
          <w:spacing w:val="-8"/>
          <w:sz w:val="20"/>
        </w:rPr>
        <w:t xml:space="preserve"> </w:t>
      </w:r>
      <w:r>
        <w:rPr>
          <w:color w:val="231F20"/>
          <w:sz w:val="20"/>
        </w:rPr>
        <w:t>or</w:t>
      </w:r>
      <w:r>
        <w:rPr>
          <w:color w:val="231F20"/>
          <w:spacing w:val="-8"/>
          <w:sz w:val="20"/>
        </w:rPr>
        <w:t xml:space="preserve"> </w:t>
      </w:r>
      <w:r>
        <w:rPr>
          <w:color w:val="231F20"/>
          <w:spacing w:val="-4"/>
          <w:sz w:val="20"/>
        </w:rPr>
        <w:t>‘dark</w:t>
      </w:r>
      <w:r>
        <w:rPr>
          <w:color w:val="231F20"/>
          <w:spacing w:val="-8"/>
          <w:sz w:val="20"/>
        </w:rPr>
        <w:t xml:space="preserve"> </w:t>
      </w:r>
      <w:r>
        <w:rPr>
          <w:color w:val="231F20"/>
          <w:spacing w:val="-5"/>
          <w:sz w:val="20"/>
        </w:rPr>
        <w:t>web’</w:t>
      </w:r>
      <w:r>
        <w:rPr>
          <w:color w:val="231F20"/>
          <w:spacing w:val="-8"/>
          <w:sz w:val="20"/>
        </w:rPr>
        <w:t xml:space="preserve"> </w:t>
      </w:r>
      <w:r>
        <w:rPr>
          <w:color w:val="231F20"/>
          <w:sz w:val="20"/>
        </w:rPr>
        <w:t>groups</w:t>
      </w:r>
      <w:r>
        <w:rPr>
          <w:color w:val="231F20"/>
          <w:spacing w:val="-8"/>
          <w:sz w:val="20"/>
        </w:rPr>
        <w:t xml:space="preserve"> </w:t>
      </w:r>
      <w:r>
        <w:rPr>
          <w:color w:val="231F20"/>
          <w:sz w:val="20"/>
        </w:rPr>
        <w:t>where</w:t>
      </w:r>
      <w:r>
        <w:rPr>
          <w:color w:val="231F20"/>
          <w:spacing w:val="-8"/>
          <w:sz w:val="20"/>
        </w:rPr>
        <w:t xml:space="preserve"> </w:t>
      </w:r>
      <w:r>
        <w:rPr>
          <w:color w:val="231F20"/>
          <w:sz w:val="20"/>
        </w:rPr>
        <w:t>they</w:t>
      </w:r>
      <w:r>
        <w:rPr>
          <w:color w:val="231F20"/>
          <w:spacing w:val="-8"/>
          <w:sz w:val="20"/>
        </w:rPr>
        <w:t xml:space="preserve"> </w:t>
      </w:r>
      <w:r>
        <w:rPr>
          <w:color w:val="231F20"/>
          <w:spacing w:val="-3"/>
          <w:sz w:val="20"/>
        </w:rPr>
        <w:t xml:space="preserve">share </w:t>
      </w:r>
      <w:r>
        <w:rPr>
          <w:color w:val="231F20"/>
          <w:sz w:val="20"/>
        </w:rPr>
        <w:t xml:space="preserve">new methods of </w:t>
      </w:r>
      <w:r>
        <w:rPr>
          <w:color w:val="231F20"/>
          <w:spacing w:val="-3"/>
          <w:sz w:val="20"/>
        </w:rPr>
        <w:t>technology-facilitated</w:t>
      </w:r>
      <w:r>
        <w:rPr>
          <w:color w:val="231F20"/>
          <w:spacing w:val="-16"/>
          <w:sz w:val="20"/>
        </w:rPr>
        <w:t xml:space="preserve"> </w:t>
      </w:r>
      <w:r>
        <w:rPr>
          <w:color w:val="231F20"/>
          <w:sz w:val="20"/>
        </w:rPr>
        <w:t>abuse.</w:t>
      </w:r>
      <w:r>
        <w:rPr>
          <w:color w:val="231F20"/>
          <w:position w:val="7"/>
          <w:sz w:val="11"/>
        </w:rPr>
        <w:t>21</w:t>
      </w:r>
    </w:p>
    <w:p w14:paraId="00F19451" w14:textId="77777777" w:rsidR="00894070" w:rsidRDefault="009B7AFD">
      <w:pPr>
        <w:pStyle w:val="ListParagraph"/>
        <w:numPr>
          <w:ilvl w:val="1"/>
          <w:numId w:val="161"/>
        </w:numPr>
        <w:tabs>
          <w:tab w:val="left" w:pos="1801"/>
          <w:tab w:val="left" w:pos="1802"/>
        </w:tabs>
        <w:spacing w:before="123" w:line="206" w:lineRule="auto"/>
        <w:ind w:right="1296"/>
        <w:rPr>
          <w:sz w:val="11"/>
        </w:rPr>
      </w:pPr>
      <w:r>
        <w:rPr>
          <w:color w:val="231F20"/>
          <w:sz w:val="20"/>
        </w:rPr>
        <w:t>Cyberstalking</w:t>
      </w:r>
      <w:r>
        <w:rPr>
          <w:color w:val="231F20"/>
          <w:spacing w:val="-8"/>
          <w:sz w:val="20"/>
        </w:rPr>
        <w:t xml:space="preserve"> </w:t>
      </w:r>
      <w:r>
        <w:rPr>
          <w:color w:val="231F20"/>
          <w:sz w:val="20"/>
        </w:rPr>
        <w:t>can</w:t>
      </w:r>
      <w:r>
        <w:rPr>
          <w:color w:val="231F20"/>
          <w:spacing w:val="-8"/>
          <w:sz w:val="20"/>
        </w:rPr>
        <w:t xml:space="preserve"> </w:t>
      </w:r>
      <w:r>
        <w:rPr>
          <w:color w:val="231F20"/>
          <w:sz w:val="20"/>
        </w:rPr>
        <w:t>occur</w:t>
      </w:r>
      <w:r>
        <w:rPr>
          <w:color w:val="231F20"/>
          <w:spacing w:val="-8"/>
          <w:sz w:val="20"/>
        </w:rPr>
        <w:t xml:space="preserve"> </w:t>
      </w:r>
      <w:r>
        <w:rPr>
          <w:color w:val="231F20"/>
          <w:sz w:val="20"/>
        </w:rPr>
        <w:t>in</w:t>
      </w:r>
      <w:r>
        <w:rPr>
          <w:color w:val="231F20"/>
          <w:spacing w:val="-8"/>
          <w:sz w:val="20"/>
        </w:rPr>
        <w:t xml:space="preserve"> </w:t>
      </w:r>
      <w:r>
        <w:rPr>
          <w:color w:val="231F20"/>
          <w:spacing w:val="-3"/>
          <w:sz w:val="20"/>
        </w:rPr>
        <w:t>different</w:t>
      </w:r>
      <w:r>
        <w:rPr>
          <w:color w:val="231F20"/>
          <w:spacing w:val="-8"/>
          <w:sz w:val="20"/>
        </w:rPr>
        <w:t xml:space="preserve"> </w:t>
      </w:r>
      <w:r>
        <w:rPr>
          <w:color w:val="231F20"/>
          <w:sz w:val="20"/>
        </w:rPr>
        <w:t>contexts,</w:t>
      </w:r>
      <w:r>
        <w:rPr>
          <w:color w:val="231F20"/>
          <w:spacing w:val="-8"/>
          <w:sz w:val="20"/>
        </w:rPr>
        <w:t xml:space="preserve"> </w:t>
      </w:r>
      <w:r>
        <w:rPr>
          <w:color w:val="231F20"/>
          <w:sz w:val="20"/>
        </w:rPr>
        <w:t>such</w:t>
      </w:r>
      <w:r>
        <w:rPr>
          <w:color w:val="231F20"/>
          <w:spacing w:val="-8"/>
          <w:sz w:val="20"/>
        </w:rPr>
        <w:t xml:space="preserve"> </w:t>
      </w:r>
      <w:r>
        <w:rPr>
          <w:color w:val="231F20"/>
          <w:sz w:val="20"/>
        </w:rPr>
        <w:t>as</w:t>
      </w:r>
      <w:r>
        <w:rPr>
          <w:color w:val="231F20"/>
          <w:spacing w:val="-8"/>
          <w:sz w:val="20"/>
        </w:rPr>
        <w:t xml:space="preserve"> </w:t>
      </w:r>
      <w:r>
        <w:rPr>
          <w:color w:val="231F20"/>
          <w:spacing w:val="-3"/>
          <w:sz w:val="20"/>
        </w:rPr>
        <w:t>family</w:t>
      </w:r>
      <w:r>
        <w:rPr>
          <w:color w:val="231F20"/>
          <w:spacing w:val="-8"/>
          <w:sz w:val="20"/>
        </w:rPr>
        <w:t xml:space="preserve"> </w:t>
      </w:r>
      <w:r>
        <w:rPr>
          <w:color w:val="231F20"/>
          <w:spacing w:val="-2"/>
          <w:sz w:val="20"/>
        </w:rPr>
        <w:t>violence,</w:t>
      </w:r>
      <w:r>
        <w:rPr>
          <w:color w:val="231F20"/>
          <w:spacing w:val="-8"/>
          <w:sz w:val="20"/>
        </w:rPr>
        <w:t xml:space="preserve"> </w:t>
      </w:r>
      <w:r>
        <w:rPr>
          <w:color w:val="231F20"/>
          <w:spacing w:val="-3"/>
          <w:sz w:val="20"/>
        </w:rPr>
        <w:t>intimate</w:t>
      </w:r>
      <w:r>
        <w:rPr>
          <w:color w:val="231F20"/>
          <w:spacing w:val="-8"/>
          <w:sz w:val="20"/>
        </w:rPr>
        <w:t xml:space="preserve"> </w:t>
      </w:r>
      <w:r>
        <w:rPr>
          <w:color w:val="231F20"/>
          <w:sz w:val="20"/>
        </w:rPr>
        <w:t xml:space="preserve">partner </w:t>
      </w:r>
      <w:r>
        <w:rPr>
          <w:color w:val="231F20"/>
          <w:spacing w:val="-2"/>
          <w:sz w:val="20"/>
        </w:rPr>
        <w:t xml:space="preserve">violence, </w:t>
      </w:r>
      <w:r>
        <w:rPr>
          <w:color w:val="231F20"/>
          <w:sz w:val="20"/>
        </w:rPr>
        <w:t xml:space="preserve">sexual </w:t>
      </w:r>
      <w:proofErr w:type="gramStart"/>
      <w:r>
        <w:rPr>
          <w:color w:val="231F20"/>
          <w:sz w:val="20"/>
        </w:rPr>
        <w:t>violence</w:t>
      </w:r>
      <w:proofErr w:type="gramEnd"/>
      <w:r>
        <w:rPr>
          <w:color w:val="231F20"/>
          <w:sz w:val="20"/>
        </w:rPr>
        <w:t xml:space="preserve"> and workplace</w:t>
      </w:r>
      <w:r>
        <w:rPr>
          <w:color w:val="231F20"/>
          <w:spacing w:val="-22"/>
          <w:sz w:val="20"/>
        </w:rPr>
        <w:t xml:space="preserve"> </w:t>
      </w:r>
      <w:r>
        <w:rPr>
          <w:color w:val="231F20"/>
          <w:sz w:val="20"/>
        </w:rPr>
        <w:t>bullying.</w:t>
      </w:r>
      <w:r>
        <w:rPr>
          <w:color w:val="231F20"/>
          <w:position w:val="7"/>
          <w:sz w:val="11"/>
        </w:rPr>
        <w:t>22</w:t>
      </w:r>
    </w:p>
    <w:p w14:paraId="4ED38B17" w14:textId="77777777" w:rsidR="00894070" w:rsidRDefault="009B7AFD">
      <w:pPr>
        <w:pStyle w:val="ListParagraph"/>
        <w:numPr>
          <w:ilvl w:val="1"/>
          <w:numId w:val="161"/>
        </w:numPr>
        <w:tabs>
          <w:tab w:val="left" w:pos="1801"/>
          <w:tab w:val="left" w:pos="1802"/>
        </w:tabs>
        <w:spacing w:before="122" w:line="206" w:lineRule="auto"/>
        <w:ind w:right="1872"/>
        <w:rPr>
          <w:sz w:val="11"/>
        </w:rPr>
      </w:pPr>
      <w:r>
        <w:rPr>
          <w:color w:val="231F20"/>
          <w:sz w:val="20"/>
        </w:rPr>
        <w:t>Cyberstalking</w:t>
      </w:r>
      <w:r>
        <w:rPr>
          <w:color w:val="231F20"/>
          <w:spacing w:val="-14"/>
          <w:sz w:val="20"/>
        </w:rPr>
        <w:t xml:space="preserve"> </w:t>
      </w:r>
      <w:r>
        <w:rPr>
          <w:color w:val="231F20"/>
          <w:spacing w:val="-3"/>
          <w:sz w:val="20"/>
        </w:rPr>
        <w:t>shares</w:t>
      </w:r>
      <w:r>
        <w:rPr>
          <w:color w:val="231F20"/>
          <w:spacing w:val="-14"/>
          <w:sz w:val="20"/>
        </w:rPr>
        <w:t xml:space="preserve"> </w:t>
      </w:r>
      <w:r>
        <w:rPr>
          <w:color w:val="231F20"/>
          <w:sz w:val="20"/>
        </w:rPr>
        <w:t>elements</w:t>
      </w:r>
      <w:r>
        <w:rPr>
          <w:color w:val="231F20"/>
          <w:spacing w:val="-14"/>
          <w:sz w:val="20"/>
        </w:rPr>
        <w:t xml:space="preserve"> </w:t>
      </w:r>
      <w:r>
        <w:rPr>
          <w:color w:val="231F20"/>
          <w:sz w:val="20"/>
        </w:rPr>
        <w:t>of</w:t>
      </w:r>
      <w:r>
        <w:rPr>
          <w:color w:val="231F20"/>
          <w:spacing w:val="-14"/>
          <w:sz w:val="20"/>
        </w:rPr>
        <w:t xml:space="preserve"> </w:t>
      </w:r>
      <w:r>
        <w:rPr>
          <w:color w:val="231F20"/>
          <w:sz w:val="20"/>
        </w:rPr>
        <w:t>stalking:</w:t>
      </w:r>
      <w:r>
        <w:rPr>
          <w:color w:val="231F20"/>
          <w:spacing w:val="-13"/>
          <w:sz w:val="20"/>
        </w:rPr>
        <w:t xml:space="preserve"> </w:t>
      </w:r>
      <w:r>
        <w:rPr>
          <w:color w:val="231F20"/>
          <w:sz w:val="20"/>
        </w:rPr>
        <w:t>surveillance,</w:t>
      </w:r>
      <w:r>
        <w:rPr>
          <w:color w:val="231F20"/>
          <w:spacing w:val="-14"/>
          <w:sz w:val="20"/>
        </w:rPr>
        <w:t xml:space="preserve"> </w:t>
      </w:r>
      <w:r>
        <w:rPr>
          <w:color w:val="231F20"/>
          <w:sz w:val="20"/>
        </w:rPr>
        <w:t>repetition,</w:t>
      </w:r>
      <w:r>
        <w:rPr>
          <w:color w:val="231F20"/>
          <w:spacing w:val="-14"/>
          <w:sz w:val="20"/>
        </w:rPr>
        <w:t xml:space="preserve"> </w:t>
      </w:r>
      <w:proofErr w:type="gramStart"/>
      <w:r>
        <w:rPr>
          <w:color w:val="231F20"/>
          <w:sz w:val="20"/>
        </w:rPr>
        <w:t>intrusion</w:t>
      </w:r>
      <w:proofErr w:type="gramEnd"/>
      <w:r>
        <w:rPr>
          <w:color w:val="231F20"/>
          <w:spacing w:val="-14"/>
          <w:sz w:val="20"/>
        </w:rPr>
        <w:t xml:space="preserve"> </w:t>
      </w:r>
      <w:r>
        <w:rPr>
          <w:color w:val="231F20"/>
          <w:sz w:val="20"/>
        </w:rPr>
        <w:t>and degradation.</w:t>
      </w:r>
      <w:r>
        <w:rPr>
          <w:color w:val="231F20"/>
          <w:spacing w:val="-7"/>
          <w:sz w:val="20"/>
        </w:rPr>
        <w:t xml:space="preserve"> </w:t>
      </w:r>
      <w:r>
        <w:rPr>
          <w:color w:val="231F20"/>
          <w:spacing w:val="-6"/>
          <w:sz w:val="20"/>
        </w:rPr>
        <w:t>We</w:t>
      </w:r>
      <w:r>
        <w:rPr>
          <w:color w:val="231F20"/>
          <w:spacing w:val="-7"/>
          <w:sz w:val="20"/>
        </w:rPr>
        <w:t xml:space="preserve"> </w:t>
      </w:r>
      <w:r>
        <w:rPr>
          <w:color w:val="231F20"/>
          <w:sz w:val="20"/>
        </w:rPr>
        <w:t>explained</w:t>
      </w:r>
      <w:r>
        <w:rPr>
          <w:color w:val="231F20"/>
          <w:spacing w:val="-7"/>
          <w:sz w:val="20"/>
        </w:rPr>
        <w:t xml:space="preserve"> </w:t>
      </w:r>
      <w:r>
        <w:rPr>
          <w:color w:val="231F20"/>
          <w:sz w:val="20"/>
        </w:rPr>
        <w:t>these</w:t>
      </w:r>
      <w:r>
        <w:rPr>
          <w:color w:val="231F20"/>
          <w:spacing w:val="-7"/>
          <w:sz w:val="20"/>
        </w:rPr>
        <w:t xml:space="preserve"> </w:t>
      </w:r>
      <w:r>
        <w:rPr>
          <w:color w:val="231F20"/>
          <w:sz w:val="20"/>
        </w:rPr>
        <w:t>concepts</w:t>
      </w:r>
      <w:r>
        <w:rPr>
          <w:color w:val="231F20"/>
          <w:spacing w:val="-7"/>
          <w:sz w:val="20"/>
        </w:rPr>
        <w:t xml:space="preserve"> </w:t>
      </w:r>
      <w:r>
        <w:rPr>
          <w:color w:val="231F20"/>
          <w:sz w:val="20"/>
        </w:rPr>
        <w:t>in</w:t>
      </w:r>
      <w:r>
        <w:rPr>
          <w:color w:val="231F20"/>
          <w:spacing w:val="-6"/>
          <w:sz w:val="20"/>
        </w:rPr>
        <w:t xml:space="preserve"> </w:t>
      </w:r>
      <w:r>
        <w:rPr>
          <w:color w:val="231F20"/>
          <w:sz w:val="20"/>
        </w:rPr>
        <w:t>our</w:t>
      </w:r>
      <w:r>
        <w:rPr>
          <w:color w:val="231F20"/>
          <w:spacing w:val="-7"/>
          <w:sz w:val="20"/>
        </w:rPr>
        <w:t xml:space="preserve"> </w:t>
      </w:r>
      <w:r>
        <w:rPr>
          <w:color w:val="231F20"/>
          <w:sz w:val="20"/>
        </w:rPr>
        <w:t>consultation</w:t>
      </w:r>
      <w:r>
        <w:rPr>
          <w:color w:val="231F20"/>
          <w:spacing w:val="-7"/>
          <w:sz w:val="20"/>
        </w:rPr>
        <w:t xml:space="preserve"> </w:t>
      </w:r>
      <w:r>
        <w:rPr>
          <w:color w:val="231F20"/>
          <w:sz w:val="20"/>
        </w:rPr>
        <w:t>paper.</w:t>
      </w:r>
      <w:r>
        <w:rPr>
          <w:color w:val="231F20"/>
          <w:position w:val="7"/>
          <w:sz w:val="11"/>
        </w:rPr>
        <w:t>23</w:t>
      </w:r>
    </w:p>
    <w:p w14:paraId="248BDCE1" w14:textId="77777777" w:rsidR="00894070" w:rsidRDefault="009B7AFD">
      <w:pPr>
        <w:pStyle w:val="ListParagraph"/>
        <w:numPr>
          <w:ilvl w:val="1"/>
          <w:numId w:val="161"/>
        </w:numPr>
        <w:tabs>
          <w:tab w:val="left" w:pos="1801"/>
          <w:tab w:val="left" w:pos="1802"/>
        </w:tabs>
        <w:spacing w:before="123" w:line="206" w:lineRule="auto"/>
        <w:ind w:right="1180"/>
        <w:rPr>
          <w:sz w:val="20"/>
        </w:rPr>
      </w:pPr>
      <w:r>
        <w:rPr>
          <w:color w:val="231F20"/>
          <w:sz w:val="20"/>
        </w:rPr>
        <w:t xml:space="preserve">Cyberstalking can </w:t>
      </w:r>
      <w:r>
        <w:rPr>
          <w:color w:val="231F20"/>
          <w:spacing w:val="-3"/>
          <w:sz w:val="20"/>
        </w:rPr>
        <w:t xml:space="preserve">overlap </w:t>
      </w:r>
      <w:r>
        <w:rPr>
          <w:color w:val="231F20"/>
          <w:sz w:val="20"/>
        </w:rPr>
        <w:t xml:space="preserve">with cyberbullying, image-based </w:t>
      </w:r>
      <w:proofErr w:type="gramStart"/>
      <w:r>
        <w:rPr>
          <w:color w:val="231F20"/>
          <w:sz w:val="20"/>
        </w:rPr>
        <w:t>abuse</w:t>
      </w:r>
      <w:proofErr w:type="gramEnd"/>
      <w:r>
        <w:rPr>
          <w:color w:val="231F20"/>
          <w:sz w:val="20"/>
        </w:rPr>
        <w:t xml:space="preserve"> and online harassment.</w:t>
      </w:r>
      <w:r>
        <w:rPr>
          <w:color w:val="231F20"/>
          <w:position w:val="7"/>
          <w:sz w:val="11"/>
        </w:rPr>
        <w:t xml:space="preserve">24 </w:t>
      </w:r>
      <w:r>
        <w:rPr>
          <w:color w:val="231F20"/>
          <w:sz w:val="20"/>
        </w:rPr>
        <w:t xml:space="preserve">It is defined </w:t>
      </w:r>
      <w:r>
        <w:rPr>
          <w:color w:val="231F20"/>
          <w:spacing w:val="-3"/>
          <w:sz w:val="20"/>
        </w:rPr>
        <w:t xml:space="preserve">by </w:t>
      </w:r>
      <w:r>
        <w:rPr>
          <w:color w:val="231F20"/>
          <w:sz w:val="20"/>
        </w:rPr>
        <w:t xml:space="preserve">the </w:t>
      </w:r>
      <w:r>
        <w:rPr>
          <w:color w:val="231F20"/>
          <w:spacing w:val="-3"/>
          <w:sz w:val="20"/>
        </w:rPr>
        <w:t xml:space="preserve">technology-facilitated </w:t>
      </w:r>
      <w:proofErr w:type="spellStart"/>
      <w:r>
        <w:rPr>
          <w:color w:val="231F20"/>
          <w:sz w:val="20"/>
        </w:rPr>
        <w:t>behaviours</w:t>
      </w:r>
      <w:proofErr w:type="spellEnd"/>
      <w:r>
        <w:rPr>
          <w:color w:val="231F20"/>
          <w:sz w:val="20"/>
        </w:rPr>
        <w:t xml:space="preserve"> being </w:t>
      </w:r>
      <w:r>
        <w:rPr>
          <w:color w:val="231F20"/>
          <w:spacing w:val="-3"/>
          <w:sz w:val="20"/>
        </w:rPr>
        <w:t xml:space="preserve">repeated </w:t>
      </w:r>
      <w:r>
        <w:rPr>
          <w:color w:val="231F20"/>
          <w:sz w:val="20"/>
        </w:rPr>
        <w:t>and persistent.</w:t>
      </w:r>
    </w:p>
    <w:p w14:paraId="24A57BC8" w14:textId="77777777" w:rsidR="00894070" w:rsidRDefault="009B7AFD">
      <w:pPr>
        <w:pStyle w:val="ListParagraph"/>
        <w:numPr>
          <w:ilvl w:val="1"/>
          <w:numId w:val="161"/>
        </w:numPr>
        <w:tabs>
          <w:tab w:val="left" w:pos="1801"/>
          <w:tab w:val="left" w:pos="1802"/>
        </w:tabs>
        <w:spacing w:before="124" w:line="206" w:lineRule="auto"/>
        <w:ind w:right="1472"/>
        <w:rPr>
          <w:sz w:val="11"/>
        </w:rPr>
      </w:pPr>
      <w:r>
        <w:rPr>
          <w:color w:val="231F20"/>
          <w:sz w:val="20"/>
        </w:rPr>
        <w:t xml:space="preserve">A course of conduct </w:t>
      </w:r>
      <w:r>
        <w:rPr>
          <w:color w:val="231F20"/>
          <w:spacing w:val="-3"/>
          <w:sz w:val="20"/>
        </w:rPr>
        <w:t xml:space="preserve">for </w:t>
      </w:r>
      <w:r>
        <w:rPr>
          <w:color w:val="231F20"/>
          <w:sz w:val="20"/>
        </w:rPr>
        <w:t>stalking can be made up of the same conduct as other standalone</w:t>
      </w:r>
      <w:r>
        <w:rPr>
          <w:color w:val="231F20"/>
          <w:spacing w:val="-16"/>
          <w:sz w:val="20"/>
        </w:rPr>
        <w:t xml:space="preserve"> </w:t>
      </w:r>
      <w:r>
        <w:rPr>
          <w:color w:val="231F20"/>
          <w:sz w:val="20"/>
        </w:rPr>
        <w:t>offences,</w:t>
      </w:r>
      <w:r>
        <w:rPr>
          <w:color w:val="231F20"/>
          <w:spacing w:val="-15"/>
          <w:sz w:val="20"/>
        </w:rPr>
        <w:t xml:space="preserve"> </w:t>
      </w:r>
      <w:r>
        <w:rPr>
          <w:color w:val="231F20"/>
          <w:sz w:val="20"/>
        </w:rPr>
        <w:t>such</w:t>
      </w:r>
      <w:r>
        <w:rPr>
          <w:color w:val="231F20"/>
          <w:spacing w:val="-15"/>
          <w:sz w:val="20"/>
        </w:rPr>
        <w:t xml:space="preserve"> </w:t>
      </w:r>
      <w:r>
        <w:rPr>
          <w:color w:val="231F20"/>
          <w:sz w:val="20"/>
        </w:rPr>
        <w:t>as</w:t>
      </w:r>
      <w:r>
        <w:rPr>
          <w:color w:val="231F20"/>
          <w:spacing w:val="-15"/>
          <w:sz w:val="20"/>
        </w:rPr>
        <w:t xml:space="preserve"> </w:t>
      </w:r>
      <w:r>
        <w:rPr>
          <w:color w:val="231F20"/>
          <w:spacing w:val="-3"/>
          <w:sz w:val="20"/>
        </w:rPr>
        <w:t>intimate</w:t>
      </w:r>
      <w:r>
        <w:rPr>
          <w:color w:val="231F20"/>
          <w:spacing w:val="-15"/>
          <w:sz w:val="20"/>
        </w:rPr>
        <w:t xml:space="preserve"> </w:t>
      </w:r>
      <w:r>
        <w:rPr>
          <w:color w:val="231F20"/>
          <w:sz w:val="20"/>
        </w:rPr>
        <w:t>image-based</w:t>
      </w:r>
      <w:r>
        <w:rPr>
          <w:color w:val="231F20"/>
          <w:spacing w:val="-15"/>
          <w:sz w:val="20"/>
        </w:rPr>
        <w:t xml:space="preserve"> </w:t>
      </w:r>
      <w:r>
        <w:rPr>
          <w:color w:val="231F20"/>
          <w:sz w:val="20"/>
        </w:rPr>
        <w:t>abuse</w:t>
      </w:r>
      <w:r>
        <w:rPr>
          <w:color w:val="231F20"/>
          <w:spacing w:val="-15"/>
          <w:sz w:val="20"/>
        </w:rPr>
        <w:t xml:space="preserve"> </w:t>
      </w:r>
      <w:r>
        <w:rPr>
          <w:color w:val="231F20"/>
          <w:sz w:val="20"/>
        </w:rPr>
        <w:t>offences.</w:t>
      </w:r>
      <w:r>
        <w:rPr>
          <w:color w:val="231F20"/>
          <w:position w:val="7"/>
          <w:sz w:val="11"/>
        </w:rPr>
        <w:t>25</w:t>
      </w:r>
      <w:r>
        <w:rPr>
          <w:color w:val="231F20"/>
          <w:spacing w:val="9"/>
          <w:position w:val="7"/>
          <w:sz w:val="11"/>
        </w:rPr>
        <w:t xml:space="preserve"> </w:t>
      </w:r>
      <w:r>
        <w:rPr>
          <w:color w:val="231F20"/>
          <w:sz w:val="20"/>
        </w:rPr>
        <w:t xml:space="preserve">Cyberbullying and online harassment, which is </w:t>
      </w:r>
      <w:r>
        <w:rPr>
          <w:color w:val="231F20"/>
          <w:spacing w:val="-3"/>
          <w:sz w:val="20"/>
        </w:rPr>
        <w:t xml:space="preserve">bullying </w:t>
      </w:r>
      <w:r>
        <w:rPr>
          <w:color w:val="231F20"/>
          <w:sz w:val="20"/>
        </w:rPr>
        <w:t xml:space="preserve">and harassment </w:t>
      </w:r>
      <w:r>
        <w:rPr>
          <w:color w:val="231F20"/>
          <w:spacing w:val="-4"/>
          <w:sz w:val="20"/>
        </w:rPr>
        <w:t xml:space="preserve">over </w:t>
      </w:r>
      <w:r>
        <w:rPr>
          <w:color w:val="231F20"/>
          <w:sz w:val="20"/>
        </w:rPr>
        <w:t xml:space="preserve">digital </w:t>
      </w:r>
      <w:r>
        <w:rPr>
          <w:color w:val="231F20"/>
          <w:spacing w:val="-3"/>
          <w:sz w:val="20"/>
        </w:rPr>
        <w:t xml:space="preserve">devices </w:t>
      </w:r>
      <w:r>
        <w:rPr>
          <w:color w:val="231F20"/>
          <w:sz w:val="20"/>
        </w:rPr>
        <w:t xml:space="preserve">and platforms, </w:t>
      </w:r>
      <w:r>
        <w:rPr>
          <w:color w:val="231F20"/>
          <w:spacing w:val="-3"/>
          <w:sz w:val="20"/>
        </w:rPr>
        <w:t xml:space="preserve">are </w:t>
      </w:r>
      <w:r>
        <w:rPr>
          <w:color w:val="231F20"/>
          <w:spacing w:val="-4"/>
          <w:sz w:val="20"/>
        </w:rPr>
        <w:t xml:space="preserve">covered </w:t>
      </w:r>
      <w:r>
        <w:rPr>
          <w:color w:val="231F20"/>
          <w:sz w:val="20"/>
        </w:rPr>
        <w:t>under the stalking</w:t>
      </w:r>
      <w:r>
        <w:rPr>
          <w:color w:val="231F20"/>
          <w:spacing w:val="-21"/>
          <w:sz w:val="20"/>
        </w:rPr>
        <w:t xml:space="preserve"> </w:t>
      </w:r>
      <w:r>
        <w:rPr>
          <w:color w:val="231F20"/>
          <w:sz w:val="20"/>
        </w:rPr>
        <w:t>offence.</w:t>
      </w:r>
      <w:r>
        <w:rPr>
          <w:color w:val="231F20"/>
          <w:position w:val="7"/>
          <w:sz w:val="11"/>
        </w:rPr>
        <w:t>26</w:t>
      </w:r>
    </w:p>
    <w:p w14:paraId="7B8A6B8A" w14:textId="77777777" w:rsidR="00894070" w:rsidRDefault="00894070">
      <w:pPr>
        <w:pStyle w:val="BodyText"/>
      </w:pPr>
    </w:p>
    <w:p w14:paraId="084C7CB4" w14:textId="77777777" w:rsidR="00894070" w:rsidRDefault="00894070">
      <w:pPr>
        <w:pStyle w:val="BodyText"/>
      </w:pPr>
    </w:p>
    <w:p w14:paraId="7958CAB2" w14:textId="77777777" w:rsidR="00894070" w:rsidRDefault="00894070">
      <w:pPr>
        <w:pStyle w:val="BodyText"/>
      </w:pPr>
    </w:p>
    <w:p w14:paraId="5E650F8A" w14:textId="77777777" w:rsidR="00894070" w:rsidRDefault="00894070">
      <w:pPr>
        <w:pStyle w:val="BodyText"/>
      </w:pPr>
    </w:p>
    <w:p w14:paraId="66120B28" w14:textId="77777777" w:rsidR="00894070" w:rsidRDefault="00894070">
      <w:pPr>
        <w:pStyle w:val="BodyText"/>
      </w:pPr>
    </w:p>
    <w:p w14:paraId="5D42D831" w14:textId="77777777" w:rsidR="00894070" w:rsidRDefault="00894070">
      <w:pPr>
        <w:pStyle w:val="BodyText"/>
      </w:pPr>
    </w:p>
    <w:p w14:paraId="686CC7C2" w14:textId="77777777" w:rsidR="00894070" w:rsidRDefault="009F6793">
      <w:pPr>
        <w:pStyle w:val="BodyText"/>
        <w:spacing w:before="3"/>
        <w:rPr>
          <w:sz w:val="28"/>
        </w:rPr>
      </w:pPr>
      <w:r>
        <w:pict w14:anchorId="5C8EDD19">
          <v:line id="_x0000_s1594" style="position:absolute;z-index:251481088;mso-wrap-distance-left:0;mso-wrap-distance-right:0;mso-position-horizontal-relative:page" from="79.35pt,22.05pt" to="515.9pt,22.05pt" strokecolor="#f8cabc" strokeweight="1pt">
            <w10:wrap type="topAndBottom" anchorx="page"/>
          </v:line>
        </w:pict>
      </w:r>
    </w:p>
    <w:p w14:paraId="30385643" w14:textId="77777777" w:rsidR="00894070" w:rsidRDefault="009B7AFD">
      <w:pPr>
        <w:pStyle w:val="ListParagraph"/>
        <w:numPr>
          <w:ilvl w:val="0"/>
          <w:numId w:val="160"/>
        </w:numPr>
        <w:tabs>
          <w:tab w:val="left" w:pos="1801"/>
          <w:tab w:val="left" w:pos="1802"/>
        </w:tabs>
        <w:spacing w:before="91" w:line="170" w:lineRule="exact"/>
        <w:rPr>
          <w:sz w:val="13"/>
        </w:rPr>
      </w:pPr>
      <w:r>
        <w:rPr>
          <w:color w:val="231F20"/>
          <w:sz w:val="13"/>
        </w:rPr>
        <w:t>This is a type of monitoring software designed to log computer</w:t>
      </w:r>
      <w:r>
        <w:rPr>
          <w:color w:val="231F20"/>
          <w:spacing w:val="7"/>
          <w:sz w:val="13"/>
        </w:rPr>
        <w:t xml:space="preserve"> </w:t>
      </w:r>
      <w:r>
        <w:rPr>
          <w:color w:val="231F20"/>
          <w:sz w:val="13"/>
        </w:rPr>
        <w:t>keystrokes.</w:t>
      </w:r>
    </w:p>
    <w:p w14:paraId="7C521AAF" w14:textId="77777777" w:rsidR="00894070" w:rsidRDefault="009B7AFD">
      <w:pPr>
        <w:pStyle w:val="ListParagraph"/>
        <w:numPr>
          <w:ilvl w:val="0"/>
          <w:numId w:val="160"/>
        </w:numPr>
        <w:tabs>
          <w:tab w:val="left" w:pos="1801"/>
          <w:tab w:val="left" w:pos="1802"/>
        </w:tabs>
        <w:spacing w:line="160" w:lineRule="exact"/>
        <w:rPr>
          <w:sz w:val="13"/>
        </w:rPr>
      </w:pPr>
      <w:r>
        <w:rPr>
          <w:color w:val="231F20"/>
          <w:sz w:val="13"/>
        </w:rPr>
        <w:t>For example, location sharing and tracking features that show a user’s live location can be used for</w:t>
      </w:r>
      <w:r>
        <w:rPr>
          <w:color w:val="231F20"/>
          <w:spacing w:val="21"/>
          <w:sz w:val="13"/>
        </w:rPr>
        <w:t xml:space="preserve"> </w:t>
      </w:r>
      <w:r>
        <w:rPr>
          <w:color w:val="231F20"/>
          <w:spacing w:val="2"/>
          <w:sz w:val="13"/>
        </w:rPr>
        <w:t>stalking.</w:t>
      </w:r>
    </w:p>
    <w:p w14:paraId="74D69D50" w14:textId="77777777" w:rsidR="00894070" w:rsidRDefault="009B7AFD">
      <w:pPr>
        <w:pStyle w:val="ListParagraph"/>
        <w:numPr>
          <w:ilvl w:val="0"/>
          <w:numId w:val="160"/>
        </w:numPr>
        <w:tabs>
          <w:tab w:val="left" w:pos="1801"/>
          <w:tab w:val="left" w:pos="1802"/>
        </w:tabs>
        <w:spacing w:line="160" w:lineRule="exact"/>
        <w:rPr>
          <w:sz w:val="13"/>
        </w:rPr>
      </w:pPr>
      <w:r>
        <w:rPr>
          <w:color w:val="231F20"/>
          <w:sz w:val="13"/>
        </w:rPr>
        <w:t xml:space="preserve">For example, running a person’s photo through Google’s image search function to find where </w:t>
      </w:r>
      <w:r>
        <w:rPr>
          <w:color w:val="231F20"/>
          <w:spacing w:val="2"/>
          <w:sz w:val="13"/>
        </w:rPr>
        <w:t xml:space="preserve">else </w:t>
      </w:r>
      <w:r>
        <w:rPr>
          <w:color w:val="231F20"/>
          <w:sz w:val="13"/>
        </w:rPr>
        <w:t>the photo appears</w:t>
      </w:r>
      <w:r>
        <w:rPr>
          <w:color w:val="231F20"/>
          <w:spacing w:val="3"/>
          <w:sz w:val="13"/>
        </w:rPr>
        <w:t xml:space="preserve"> </w:t>
      </w:r>
      <w:r>
        <w:rPr>
          <w:color w:val="231F20"/>
          <w:sz w:val="13"/>
        </w:rPr>
        <w:t>online,</w:t>
      </w:r>
    </w:p>
    <w:p w14:paraId="685DFC13" w14:textId="77777777" w:rsidR="00894070" w:rsidRDefault="009B7AFD">
      <w:pPr>
        <w:spacing w:line="160" w:lineRule="exact"/>
        <w:ind w:left="1801"/>
        <w:rPr>
          <w:sz w:val="13"/>
        </w:rPr>
      </w:pPr>
      <w:r>
        <w:rPr>
          <w:color w:val="231F20"/>
          <w:sz w:val="13"/>
        </w:rPr>
        <w:t>including other websites or platforms that contain personal information.</w:t>
      </w:r>
    </w:p>
    <w:p w14:paraId="789C4209" w14:textId="77777777" w:rsidR="00894070" w:rsidRDefault="009B7AFD">
      <w:pPr>
        <w:pStyle w:val="ListParagraph"/>
        <w:numPr>
          <w:ilvl w:val="0"/>
          <w:numId w:val="160"/>
        </w:numPr>
        <w:tabs>
          <w:tab w:val="left" w:pos="1801"/>
          <w:tab w:val="left" w:pos="1802"/>
        </w:tabs>
        <w:spacing w:line="160" w:lineRule="exact"/>
        <w:rPr>
          <w:i/>
          <w:sz w:val="13"/>
        </w:rPr>
      </w:pP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Support Services</w:t>
      </w:r>
      <w:r>
        <w:rPr>
          <w:i/>
          <w:color w:val="231F20"/>
          <w:spacing w:val="18"/>
          <w:sz w:val="13"/>
        </w:rPr>
        <w:t xml:space="preserve"> </w:t>
      </w:r>
      <w:r>
        <w:rPr>
          <w:i/>
          <w:color w:val="231F20"/>
          <w:sz w:val="13"/>
        </w:rPr>
        <w:t>Stakeholders</w:t>
      </w:r>
    </w:p>
    <w:p w14:paraId="1D9E4B02" w14:textId="77777777" w:rsidR="00894070" w:rsidRDefault="009B7AFD">
      <w:pPr>
        <w:spacing w:line="160" w:lineRule="exact"/>
        <w:ind w:left="1801"/>
        <w:rPr>
          <w:sz w:val="13"/>
        </w:rPr>
      </w:pPr>
      <w:r>
        <w:rPr>
          <w:color w:val="231F20"/>
          <w:sz w:val="13"/>
        </w:rPr>
        <w:t>(Research Report No 2, ANROWS, July 2021) 10–11.</w:t>
      </w:r>
    </w:p>
    <w:p w14:paraId="5CB04964" w14:textId="77777777" w:rsidR="00894070" w:rsidRDefault="009B7AFD">
      <w:pPr>
        <w:pStyle w:val="ListParagraph"/>
        <w:numPr>
          <w:ilvl w:val="0"/>
          <w:numId w:val="160"/>
        </w:numPr>
        <w:tabs>
          <w:tab w:val="left" w:pos="1801"/>
          <w:tab w:val="left" w:pos="1802"/>
        </w:tabs>
        <w:spacing w:line="160" w:lineRule="exact"/>
        <w:rPr>
          <w:sz w:val="13"/>
        </w:rPr>
      </w:pPr>
      <w:r>
        <w:rPr>
          <w:color w:val="231F20"/>
          <w:sz w:val="13"/>
        </w:rPr>
        <w:t>Ibid.</w:t>
      </w:r>
    </w:p>
    <w:p w14:paraId="71FC6DF9" w14:textId="77777777" w:rsidR="00894070" w:rsidRDefault="009B7AFD">
      <w:pPr>
        <w:pStyle w:val="ListParagraph"/>
        <w:numPr>
          <w:ilvl w:val="0"/>
          <w:numId w:val="160"/>
        </w:numPr>
        <w:tabs>
          <w:tab w:val="left" w:pos="1801"/>
          <w:tab w:val="left" w:pos="1802"/>
        </w:tabs>
        <w:spacing w:line="160"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7C13D1D4" w14:textId="77777777" w:rsidR="00894070" w:rsidRDefault="009B7AFD">
      <w:pPr>
        <w:pStyle w:val="ListParagraph"/>
        <w:numPr>
          <w:ilvl w:val="0"/>
          <w:numId w:val="160"/>
        </w:numPr>
        <w:tabs>
          <w:tab w:val="left" w:pos="1800"/>
          <w:tab w:val="left" w:pos="1802"/>
        </w:tabs>
        <w:spacing w:before="6" w:line="213" w:lineRule="auto"/>
        <w:ind w:right="1352"/>
        <w:rPr>
          <w:sz w:val="13"/>
        </w:rPr>
      </w:pP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 xml:space="preserve">Support Services </w:t>
      </w:r>
      <w:r>
        <w:rPr>
          <w:i/>
          <w:color w:val="231F20"/>
          <w:sz w:val="13"/>
        </w:rPr>
        <w:t xml:space="preserve">Stakeholders </w:t>
      </w:r>
      <w:r>
        <w:rPr>
          <w:color w:val="231F20"/>
          <w:sz w:val="13"/>
        </w:rPr>
        <w:t xml:space="preserve">(Research </w:t>
      </w:r>
      <w:r>
        <w:rPr>
          <w:color w:val="231F20"/>
          <w:spacing w:val="2"/>
          <w:sz w:val="13"/>
        </w:rPr>
        <w:t xml:space="preserve">Report </w:t>
      </w:r>
      <w:r>
        <w:rPr>
          <w:color w:val="231F20"/>
          <w:sz w:val="13"/>
        </w:rPr>
        <w:t xml:space="preserve">No 2, ANROWS, July 2021) 26; </w:t>
      </w:r>
      <w:r>
        <w:rPr>
          <w:color w:val="231F20"/>
          <w:spacing w:val="2"/>
          <w:sz w:val="13"/>
        </w:rPr>
        <w:t xml:space="preserve">Nicola Henry </w:t>
      </w:r>
      <w:r>
        <w:rPr>
          <w:color w:val="231F20"/>
          <w:sz w:val="13"/>
        </w:rPr>
        <w:t xml:space="preserve">et </w:t>
      </w:r>
      <w:r>
        <w:rPr>
          <w:color w:val="231F20"/>
          <w:spacing w:val="2"/>
          <w:sz w:val="13"/>
        </w:rPr>
        <w:t xml:space="preserve">al, </w:t>
      </w:r>
      <w:r>
        <w:rPr>
          <w:color w:val="231F20"/>
          <w:sz w:val="13"/>
        </w:rPr>
        <w:t xml:space="preserve">‘Technology-Facilitated </w:t>
      </w:r>
      <w:r>
        <w:rPr>
          <w:color w:val="231F20"/>
          <w:spacing w:val="2"/>
          <w:sz w:val="13"/>
        </w:rPr>
        <w:t xml:space="preserve">Domestic </w:t>
      </w:r>
      <w:r>
        <w:rPr>
          <w:color w:val="231F20"/>
          <w:sz w:val="13"/>
        </w:rPr>
        <w:t xml:space="preserve">Violence against Immigrant and Refugee Women: A Qualitative Study’ [2021] </w:t>
      </w:r>
      <w:r>
        <w:rPr>
          <w:i/>
          <w:color w:val="231F20"/>
          <w:sz w:val="13"/>
        </w:rPr>
        <w:t xml:space="preserve">Journal of Interpersonal Violence </w:t>
      </w:r>
      <w:r>
        <w:rPr>
          <w:color w:val="231F20"/>
          <w:sz w:val="13"/>
        </w:rPr>
        <w:t xml:space="preserve">10.1177/08862605211001465:1–27, 5–6; </w:t>
      </w:r>
      <w:r>
        <w:rPr>
          <w:color w:val="231F20"/>
          <w:spacing w:val="2"/>
          <w:sz w:val="13"/>
        </w:rPr>
        <w:t xml:space="preserve">Delanie </w:t>
      </w:r>
      <w:proofErr w:type="spellStart"/>
      <w:r>
        <w:rPr>
          <w:color w:val="231F20"/>
          <w:sz w:val="13"/>
        </w:rPr>
        <w:t>Woodlock</w:t>
      </w:r>
      <w:proofErr w:type="spellEnd"/>
      <w:r>
        <w:rPr>
          <w:color w:val="231F20"/>
          <w:sz w:val="13"/>
        </w:rPr>
        <w:t xml:space="preserve"> et </w:t>
      </w:r>
      <w:r>
        <w:rPr>
          <w:color w:val="231F20"/>
          <w:spacing w:val="2"/>
          <w:sz w:val="13"/>
        </w:rPr>
        <w:t xml:space="preserve">al, </w:t>
      </w:r>
      <w:r>
        <w:rPr>
          <w:i/>
          <w:color w:val="231F20"/>
          <w:sz w:val="13"/>
        </w:rPr>
        <w:t xml:space="preserve">Second National Survey on Technology Abuse in Australia </w:t>
      </w:r>
      <w:r>
        <w:rPr>
          <w:color w:val="231F20"/>
          <w:spacing w:val="2"/>
          <w:sz w:val="13"/>
        </w:rPr>
        <w:t xml:space="preserve">(Report, </w:t>
      </w:r>
      <w:r>
        <w:rPr>
          <w:color w:val="231F20"/>
          <w:sz w:val="13"/>
        </w:rPr>
        <w:t>24 November</w:t>
      </w:r>
      <w:r>
        <w:rPr>
          <w:color w:val="231F20"/>
          <w:spacing w:val="2"/>
          <w:sz w:val="13"/>
        </w:rPr>
        <w:t xml:space="preserve"> </w:t>
      </w:r>
      <w:r>
        <w:rPr>
          <w:color w:val="231F20"/>
          <w:sz w:val="13"/>
        </w:rPr>
        <w:t>2020).</w:t>
      </w:r>
    </w:p>
    <w:p w14:paraId="1F65B345" w14:textId="77777777" w:rsidR="00894070" w:rsidRDefault="009B7AFD">
      <w:pPr>
        <w:pStyle w:val="ListParagraph"/>
        <w:numPr>
          <w:ilvl w:val="0"/>
          <w:numId w:val="160"/>
        </w:numPr>
        <w:tabs>
          <w:tab w:val="left" w:pos="1800"/>
          <w:tab w:val="left" w:pos="1802"/>
        </w:tabs>
        <w:spacing w:line="213" w:lineRule="auto"/>
        <w:ind w:right="1470"/>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(Consultation Paper, June 2021) 60. See </w:t>
      </w:r>
      <w:r>
        <w:rPr>
          <w:color w:val="231F20"/>
          <w:spacing w:val="2"/>
          <w:sz w:val="13"/>
        </w:rPr>
        <w:t xml:space="preserve">also </w:t>
      </w:r>
      <w:r>
        <w:rPr>
          <w:color w:val="231F20"/>
          <w:sz w:val="13"/>
        </w:rPr>
        <w:t xml:space="preserve">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proofErr w:type="spellStart"/>
      <w:r>
        <w:rPr>
          <w:i/>
          <w:color w:val="231F20"/>
          <w:sz w:val="13"/>
        </w:rPr>
        <w:t>ESafety</w:t>
      </w:r>
      <w:proofErr w:type="spellEnd"/>
      <w:r>
        <w:rPr>
          <w:i/>
          <w:color w:val="231F20"/>
          <w:sz w:val="13"/>
        </w:rPr>
        <w:t xml:space="preserve"> for Women from Culturally and Linguistically Diverse Backgrounds </w:t>
      </w:r>
      <w:r>
        <w:rPr>
          <w:color w:val="231F20"/>
          <w:spacing w:val="2"/>
          <w:sz w:val="13"/>
        </w:rPr>
        <w:t xml:space="preserve">(Summary Report, </w:t>
      </w:r>
      <w:r>
        <w:rPr>
          <w:color w:val="231F20"/>
          <w:sz w:val="13"/>
        </w:rPr>
        <w:t>18 February</w:t>
      </w:r>
      <w:r>
        <w:rPr>
          <w:color w:val="231F20"/>
          <w:spacing w:val="5"/>
          <w:sz w:val="13"/>
        </w:rPr>
        <w:t xml:space="preserve"> </w:t>
      </w:r>
      <w:r>
        <w:rPr>
          <w:color w:val="231F20"/>
          <w:sz w:val="13"/>
        </w:rPr>
        <w:t>2019)</w:t>
      </w:r>
    </w:p>
    <w:p w14:paraId="1B9B1E48" w14:textId="77777777" w:rsidR="00894070" w:rsidRDefault="009B7AFD">
      <w:pPr>
        <w:pStyle w:val="ListParagraph"/>
        <w:numPr>
          <w:ilvl w:val="0"/>
          <w:numId w:val="160"/>
        </w:numPr>
        <w:tabs>
          <w:tab w:val="left" w:pos="1801"/>
          <w:tab w:val="left" w:pos="1802"/>
        </w:tabs>
        <w:spacing w:line="152" w:lineRule="exact"/>
        <w:rPr>
          <w:sz w:val="13"/>
        </w:rPr>
      </w:pPr>
      <w:r>
        <w:rPr>
          <w:color w:val="231F20"/>
          <w:sz w:val="13"/>
        </w:rPr>
        <w:t xml:space="preserve">Consultations 4 (Sexual </w:t>
      </w:r>
      <w:r>
        <w:rPr>
          <w:color w:val="231F20"/>
          <w:spacing w:val="2"/>
          <w:sz w:val="13"/>
        </w:rPr>
        <w:t xml:space="preserve">Assault Services </w:t>
      </w:r>
      <w:r>
        <w:rPr>
          <w:color w:val="231F20"/>
          <w:sz w:val="13"/>
        </w:rPr>
        <w:t xml:space="preserve">Network), 10 (Victorian Aboriginal Legal Service), 23 </w:t>
      </w:r>
      <w:r>
        <w:rPr>
          <w:color w:val="231F20"/>
          <w:spacing w:val="2"/>
          <w:sz w:val="13"/>
        </w:rPr>
        <w:t>(Cyberstalking</w:t>
      </w:r>
      <w:r>
        <w:rPr>
          <w:color w:val="231F20"/>
          <w:spacing w:val="21"/>
          <w:sz w:val="13"/>
        </w:rPr>
        <w:t xml:space="preserve"> </w:t>
      </w:r>
      <w:r>
        <w:rPr>
          <w:color w:val="231F20"/>
          <w:sz w:val="13"/>
        </w:rPr>
        <w:t>roundtable).</w:t>
      </w:r>
    </w:p>
    <w:p w14:paraId="28E57D2F" w14:textId="77777777" w:rsidR="00894070" w:rsidRDefault="009B7AFD">
      <w:pPr>
        <w:pStyle w:val="ListParagraph"/>
        <w:numPr>
          <w:ilvl w:val="0"/>
          <w:numId w:val="160"/>
        </w:numPr>
        <w:tabs>
          <w:tab w:val="left" w:pos="1801"/>
          <w:tab w:val="left" w:pos="1802"/>
        </w:tabs>
        <w:spacing w:line="160" w:lineRule="exact"/>
        <w:rPr>
          <w:sz w:val="13"/>
        </w:rPr>
      </w:pPr>
      <w:r>
        <w:rPr>
          <w:i/>
          <w:color w:val="231F20"/>
          <w:spacing w:val="2"/>
          <w:sz w:val="13"/>
        </w:rPr>
        <w:t xml:space="preserve">Summary </w:t>
      </w:r>
      <w:r>
        <w:rPr>
          <w:i/>
          <w:color w:val="231F20"/>
          <w:sz w:val="13"/>
        </w:rPr>
        <w:t xml:space="preserve">Offences Act 1966 </w:t>
      </w:r>
      <w:r>
        <w:rPr>
          <w:color w:val="231F20"/>
          <w:sz w:val="13"/>
        </w:rPr>
        <w:t>(Vic) div</w:t>
      </w:r>
      <w:r>
        <w:rPr>
          <w:color w:val="231F20"/>
          <w:spacing w:val="-2"/>
          <w:sz w:val="13"/>
        </w:rPr>
        <w:t xml:space="preserve"> </w:t>
      </w:r>
      <w:r>
        <w:rPr>
          <w:color w:val="231F20"/>
          <w:spacing w:val="3"/>
          <w:sz w:val="13"/>
        </w:rPr>
        <w:t>4A.</w:t>
      </w:r>
    </w:p>
    <w:p w14:paraId="0700436D" w14:textId="77777777" w:rsidR="00894070" w:rsidRDefault="009F6793">
      <w:pPr>
        <w:pStyle w:val="ListParagraph"/>
        <w:numPr>
          <w:ilvl w:val="0"/>
          <w:numId w:val="160"/>
        </w:numPr>
        <w:tabs>
          <w:tab w:val="left" w:pos="1801"/>
          <w:tab w:val="left" w:pos="1802"/>
        </w:tabs>
        <w:spacing w:line="160" w:lineRule="exact"/>
        <w:rPr>
          <w:sz w:val="13"/>
        </w:rPr>
      </w:pPr>
      <w:r>
        <w:pict w14:anchorId="6FC4DDA6">
          <v:shape id="_x0000_s1593" type="#_x0000_t202" style="position:absolute;left:0;text-align:left;margin-left:36pt;margin-top:3.7pt;width:13.6pt;height:14.1pt;z-index:251547648;mso-position-horizontal-relative:page" filled="f" stroked="f">
            <v:textbox inset="0,0,0,0">
              <w:txbxContent>
                <w:p w14:paraId="25F7E79C" w14:textId="77777777" w:rsidR="00894070" w:rsidRDefault="009B7AFD">
                  <w:pPr>
                    <w:spacing w:line="282" w:lineRule="exact"/>
                    <w:rPr>
                      <w:b/>
                      <w:sz w:val="24"/>
                    </w:rPr>
                  </w:pPr>
                  <w:r>
                    <w:rPr>
                      <w:b/>
                      <w:color w:val="EA5B50"/>
                      <w:sz w:val="24"/>
                    </w:rPr>
                    <w:t>34</w:t>
                  </w:r>
                </w:p>
              </w:txbxContent>
            </v:textbox>
            <w10:wrap anchorx="page"/>
          </v:shape>
        </w:pict>
      </w:r>
      <w:r w:rsidR="009B7AFD">
        <w:rPr>
          <w:color w:val="231F20"/>
          <w:spacing w:val="2"/>
          <w:sz w:val="13"/>
        </w:rPr>
        <w:t xml:space="preserve">Department </w:t>
      </w:r>
      <w:r w:rsidR="009B7AFD">
        <w:rPr>
          <w:color w:val="231F20"/>
          <w:sz w:val="13"/>
        </w:rPr>
        <w:t xml:space="preserve">of Justice and Community Safety (Vic), </w:t>
      </w:r>
      <w:r w:rsidR="009B7AFD">
        <w:rPr>
          <w:color w:val="231F20"/>
          <w:spacing w:val="2"/>
          <w:sz w:val="13"/>
        </w:rPr>
        <w:t xml:space="preserve">‘What </w:t>
      </w:r>
      <w:r w:rsidR="009B7AFD">
        <w:rPr>
          <w:color w:val="231F20"/>
          <w:sz w:val="13"/>
        </w:rPr>
        <w:t xml:space="preserve">Is Brodie’s Law’, </w:t>
      </w:r>
      <w:r w:rsidR="009B7AFD">
        <w:rPr>
          <w:i/>
          <w:color w:val="231F20"/>
          <w:sz w:val="13"/>
        </w:rPr>
        <w:t xml:space="preserve">Bullying—Brodie’s Law </w:t>
      </w:r>
      <w:r w:rsidR="009B7AFD">
        <w:rPr>
          <w:color w:val="231F20"/>
          <w:sz w:val="13"/>
        </w:rPr>
        <w:t>(Web Page, 13 August</w:t>
      </w:r>
      <w:r w:rsidR="009B7AFD">
        <w:rPr>
          <w:color w:val="231F20"/>
          <w:spacing w:val="31"/>
          <w:sz w:val="13"/>
        </w:rPr>
        <w:t xml:space="preserve"> </w:t>
      </w:r>
      <w:r w:rsidR="009B7AFD">
        <w:rPr>
          <w:color w:val="231F20"/>
          <w:sz w:val="13"/>
        </w:rPr>
        <w:t>2021)</w:t>
      </w:r>
    </w:p>
    <w:p w14:paraId="30276DC9" w14:textId="77777777" w:rsidR="00894070" w:rsidRDefault="009F6793">
      <w:pPr>
        <w:spacing w:line="170" w:lineRule="exact"/>
        <w:ind w:left="1801"/>
        <w:rPr>
          <w:sz w:val="13"/>
        </w:rPr>
      </w:pPr>
      <w:hyperlink r:id="rId74">
        <w:r w:rsidR="009B7AFD">
          <w:rPr>
            <w:color w:val="231F20"/>
            <w:sz w:val="13"/>
          </w:rPr>
          <w:t>&lt;https://www.justice.vic.gov.au/saynotobullying</w:t>
        </w:r>
      </w:hyperlink>
      <w:r w:rsidR="009B7AFD">
        <w:rPr>
          <w:color w:val="231F20"/>
          <w:sz w:val="13"/>
        </w:rPr>
        <w:t xml:space="preserve">&gt;; </w:t>
      </w:r>
      <w:r w:rsidR="009B7AFD">
        <w:rPr>
          <w:i/>
          <w:color w:val="231F20"/>
          <w:sz w:val="13"/>
        </w:rPr>
        <w:t xml:space="preserve">Crimes Act 1958 </w:t>
      </w:r>
      <w:r w:rsidR="009B7AFD">
        <w:rPr>
          <w:color w:val="231F20"/>
          <w:sz w:val="13"/>
        </w:rPr>
        <w:t>(Vic) s 21</w:t>
      </w:r>
      <w:proofErr w:type="gramStart"/>
      <w:r w:rsidR="009B7AFD">
        <w:rPr>
          <w:color w:val="231F20"/>
          <w:sz w:val="13"/>
        </w:rPr>
        <w:t>A(</w:t>
      </w:r>
      <w:proofErr w:type="gramEnd"/>
      <w:r w:rsidR="009B7AFD">
        <w:rPr>
          <w:color w:val="231F20"/>
          <w:sz w:val="13"/>
        </w:rPr>
        <w:t>2).</w:t>
      </w:r>
    </w:p>
    <w:p w14:paraId="73AB92E8" w14:textId="77777777" w:rsidR="00894070" w:rsidRDefault="00894070">
      <w:pPr>
        <w:spacing w:line="170" w:lineRule="exact"/>
        <w:rPr>
          <w:sz w:val="13"/>
        </w:rPr>
        <w:sectPr w:rsidR="00894070">
          <w:pgSz w:w="11910" w:h="16840"/>
          <w:pgMar w:top="860" w:right="420" w:bottom="280" w:left="580" w:header="567" w:footer="0" w:gutter="0"/>
          <w:cols w:space="720"/>
        </w:sectPr>
      </w:pPr>
    </w:p>
    <w:p w14:paraId="182FB4C9" w14:textId="77777777" w:rsidR="00894070" w:rsidRDefault="00894070">
      <w:pPr>
        <w:pStyle w:val="BodyText"/>
      </w:pPr>
    </w:p>
    <w:p w14:paraId="79374913" w14:textId="77777777" w:rsidR="00894070" w:rsidRDefault="00894070">
      <w:pPr>
        <w:pStyle w:val="BodyText"/>
      </w:pPr>
    </w:p>
    <w:p w14:paraId="58FB57BC" w14:textId="77777777" w:rsidR="00894070" w:rsidRDefault="00894070">
      <w:pPr>
        <w:pStyle w:val="BodyText"/>
      </w:pPr>
    </w:p>
    <w:p w14:paraId="3D61AEA0" w14:textId="77777777" w:rsidR="00894070" w:rsidRDefault="00894070">
      <w:pPr>
        <w:pStyle w:val="BodyText"/>
        <w:spacing w:before="6"/>
        <w:rPr>
          <w:sz w:val="14"/>
        </w:rPr>
      </w:pPr>
    </w:p>
    <w:p w14:paraId="6774F61B" w14:textId="77777777" w:rsidR="00894070" w:rsidRDefault="009B7AFD">
      <w:pPr>
        <w:pStyle w:val="Heading7"/>
        <w:spacing w:before="41"/>
      </w:pPr>
      <w:bookmarkStart w:id="49" w:name="Cyberstalking_can_have_serious_effects"/>
      <w:bookmarkStart w:id="50" w:name="What_do_we_know_about_cyberstalking_in_t"/>
      <w:bookmarkStart w:id="51" w:name="_bookmark24"/>
      <w:bookmarkEnd w:id="49"/>
      <w:bookmarkEnd w:id="50"/>
      <w:bookmarkEnd w:id="51"/>
      <w:r>
        <w:rPr>
          <w:color w:val="EA5B50"/>
        </w:rPr>
        <w:t>Cyberstalking can have serious effects</w:t>
      </w:r>
    </w:p>
    <w:p w14:paraId="0D125CAD" w14:textId="77777777" w:rsidR="00894070" w:rsidRDefault="009B7AFD">
      <w:pPr>
        <w:pStyle w:val="ListParagraph"/>
        <w:numPr>
          <w:ilvl w:val="1"/>
          <w:numId w:val="161"/>
        </w:numPr>
        <w:tabs>
          <w:tab w:val="left" w:pos="1802"/>
        </w:tabs>
        <w:spacing w:before="146" w:line="206" w:lineRule="auto"/>
        <w:ind w:right="1690"/>
        <w:jc w:val="both"/>
        <w:rPr>
          <w:sz w:val="20"/>
        </w:rPr>
      </w:pPr>
      <w:r>
        <w:rPr>
          <w:color w:val="231F20"/>
          <w:sz w:val="20"/>
        </w:rPr>
        <w:t>Victim</w:t>
      </w:r>
      <w:r>
        <w:rPr>
          <w:color w:val="231F20"/>
          <w:spacing w:val="-14"/>
          <w:sz w:val="20"/>
        </w:rPr>
        <w:t xml:space="preserve"> </w:t>
      </w:r>
      <w:r>
        <w:rPr>
          <w:color w:val="231F20"/>
          <w:sz w:val="20"/>
        </w:rPr>
        <w:t>survivors</w:t>
      </w:r>
      <w:r>
        <w:rPr>
          <w:color w:val="231F20"/>
          <w:spacing w:val="-14"/>
          <w:sz w:val="20"/>
        </w:rPr>
        <w:t xml:space="preserve"> </w:t>
      </w:r>
      <w:r>
        <w:rPr>
          <w:color w:val="231F20"/>
          <w:sz w:val="20"/>
        </w:rPr>
        <w:t>of</w:t>
      </w:r>
      <w:r>
        <w:rPr>
          <w:color w:val="231F20"/>
          <w:spacing w:val="-14"/>
          <w:sz w:val="20"/>
        </w:rPr>
        <w:t xml:space="preserve"> </w:t>
      </w:r>
      <w:r>
        <w:rPr>
          <w:color w:val="231F20"/>
          <w:sz w:val="20"/>
        </w:rPr>
        <w:t>cyberstalking</w:t>
      </w:r>
      <w:r>
        <w:rPr>
          <w:color w:val="231F20"/>
          <w:spacing w:val="-14"/>
          <w:sz w:val="20"/>
        </w:rPr>
        <w:t xml:space="preserve"> </w:t>
      </w:r>
      <w:r>
        <w:rPr>
          <w:color w:val="231F20"/>
          <w:sz w:val="20"/>
        </w:rPr>
        <w:t>experience</w:t>
      </w:r>
      <w:r>
        <w:rPr>
          <w:color w:val="231F20"/>
          <w:spacing w:val="-14"/>
          <w:sz w:val="20"/>
        </w:rPr>
        <w:t xml:space="preserve"> </w:t>
      </w:r>
      <w:r>
        <w:rPr>
          <w:color w:val="231F20"/>
          <w:sz w:val="20"/>
        </w:rPr>
        <w:t>similar</w:t>
      </w:r>
      <w:r>
        <w:rPr>
          <w:color w:val="231F20"/>
          <w:spacing w:val="-14"/>
          <w:sz w:val="20"/>
        </w:rPr>
        <w:t xml:space="preserve"> </w:t>
      </w:r>
      <w:r>
        <w:rPr>
          <w:color w:val="231F20"/>
          <w:sz w:val="20"/>
        </w:rPr>
        <w:t>serious</w:t>
      </w:r>
      <w:r>
        <w:rPr>
          <w:color w:val="231F20"/>
          <w:spacing w:val="-13"/>
          <w:sz w:val="20"/>
        </w:rPr>
        <w:t xml:space="preserve"> </w:t>
      </w:r>
      <w:r>
        <w:rPr>
          <w:color w:val="231F20"/>
          <w:sz w:val="20"/>
        </w:rPr>
        <w:t>effects</w:t>
      </w:r>
      <w:r>
        <w:rPr>
          <w:color w:val="231F20"/>
          <w:spacing w:val="-14"/>
          <w:sz w:val="20"/>
        </w:rPr>
        <w:t xml:space="preserve"> </w:t>
      </w:r>
      <w:r>
        <w:rPr>
          <w:color w:val="231F20"/>
          <w:sz w:val="20"/>
        </w:rPr>
        <w:t>to</w:t>
      </w:r>
      <w:r>
        <w:rPr>
          <w:color w:val="231F20"/>
          <w:spacing w:val="-14"/>
          <w:sz w:val="20"/>
        </w:rPr>
        <w:t xml:space="preserve"> </w:t>
      </w:r>
      <w:r>
        <w:rPr>
          <w:color w:val="231F20"/>
          <w:sz w:val="20"/>
        </w:rPr>
        <w:t>people</w:t>
      </w:r>
      <w:r>
        <w:rPr>
          <w:color w:val="231F20"/>
          <w:spacing w:val="-14"/>
          <w:sz w:val="20"/>
        </w:rPr>
        <w:t xml:space="preserve"> </w:t>
      </w:r>
      <w:r>
        <w:rPr>
          <w:color w:val="231F20"/>
          <w:sz w:val="20"/>
        </w:rPr>
        <w:t>who experience other kinds of stalking:</w:t>
      </w:r>
      <w:r>
        <w:rPr>
          <w:color w:val="231F20"/>
          <w:position w:val="7"/>
          <w:sz w:val="11"/>
        </w:rPr>
        <w:t xml:space="preserve">27 </w:t>
      </w:r>
      <w:r>
        <w:rPr>
          <w:color w:val="231F20"/>
          <w:spacing w:val="-3"/>
          <w:sz w:val="20"/>
        </w:rPr>
        <w:t xml:space="preserve">anxiety, </w:t>
      </w:r>
      <w:proofErr w:type="gramStart"/>
      <w:r>
        <w:rPr>
          <w:color w:val="231F20"/>
          <w:sz w:val="20"/>
        </w:rPr>
        <w:t>depression</w:t>
      </w:r>
      <w:proofErr w:type="gramEnd"/>
      <w:r>
        <w:rPr>
          <w:color w:val="231F20"/>
          <w:sz w:val="20"/>
        </w:rPr>
        <w:t xml:space="preserve"> and </w:t>
      </w:r>
      <w:r>
        <w:rPr>
          <w:color w:val="231F20"/>
          <w:spacing w:val="-3"/>
          <w:sz w:val="20"/>
        </w:rPr>
        <w:t xml:space="preserve">post-traumatic </w:t>
      </w:r>
      <w:r>
        <w:rPr>
          <w:color w:val="231F20"/>
          <w:spacing w:val="-2"/>
          <w:sz w:val="20"/>
        </w:rPr>
        <w:t xml:space="preserve">stress </w:t>
      </w:r>
      <w:r>
        <w:rPr>
          <w:color w:val="231F20"/>
          <w:spacing w:val="-3"/>
          <w:sz w:val="20"/>
        </w:rPr>
        <w:t xml:space="preserve">disorder. </w:t>
      </w:r>
      <w:r>
        <w:rPr>
          <w:color w:val="231F20"/>
          <w:sz w:val="20"/>
        </w:rPr>
        <w:t xml:space="preserve">(See </w:t>
      </w:r>
      <w:r>
        <w:rPr>
          <w:color w:val="231F20"/>
          <w:spacing w:val="-3"/>
          <w:sz w:val="20"/>
        </w:rPr>
        <w:t>Chapter</w:t>
      </w:r>
      <w:r>
        <w:rPr>
          <w:color w:val="231F20"/>
          <w:spacing w:val="-9"/>
          <w:sz w:val="20"/>
        </w:rPr>
        <w:t xml:space="preserve"> </w:t>
      </w:r>
      <w:r>
        <w:rPr>
          <w:color w:val="231F20"/>
          <w:sz w:val="20"/>
        </w:rPr>
        <w:t>2.)</w:t>
      </w:r>
    </w:p>
    <w:p w14:paraId="147A1DC9" w14:textId="77777777" w:rsidR="00894070" w:rsidRDefault="009B7AFD">
      <w:pPr>
        <w:pStyle w:val="ListParagraph"/>
        <w:numPr>
          <w:ilvl w:val="1"/>
          <w:numId w:val="161"/>
        </w:numPr>
        <w:tabs>
          <w:tab w:val="left" w:pos="1801"/>
          <w:tab w:val="left" w:pos="1802"/>
        </w:tabs>
        <w:spacing w:before="123" w:line="206" w:lineRule="auto"/>
        <w:ind w:right="1186"/>
        <w:rPr>
          <w:sz w:val="11"/>
        </w:rPr>
      </w:pPr>
      <w:r>
        <w:rPr>
          <w:color w:val="231F20"/>
          <w:sz w:val="20"/>
        </w:rPr>
        <w:t xml:space="preserve">The ‘sense of omnipresence’ that cyberstalking </w:t>
      </w:r>
      <w:r>
        <w:rPr>
          <w:color w:val="231F20"/>
          <w:spacing w:val="-3"/>
          <w:sz w:val="20"/>
        </w:rPr>
        <w:t xml:space="preserve">creates </w:t>
      </w:r>
      <w:r>
        <w:rPr>
          <w:color w:val="231F20"/>
          <w:sz w:val="20"/>
        </w:rPr>
        <w:t xml:space="preserve">can make people feel </w:t>
      </w:r>
      <w:r>
        <w:rPr>
          <w:color w:val="231F20"/>
          <w:spacing w:val="-2"/>
          <w:sz w:val="20"/>
        </w:rPr>
        <w:t xml:space="preserve">unsafe </w:t>
      </w:r>
      <w:r>
        <w:rPr>
          <w:color w:val="231F20"/>
          <w:sz w:val="20"/>
        </w:rPr>
        <w:t>and</w:t>
      </w:r>
      <w:r>
        <w:rPr>
          <w:color w:val="231F20"/>
          <w:spacing w:val="-9"/>
          <w:sz w:val="20"/>
        </w:rPr>
        <w:t xml:space="preserve"> </w:t>
      </w:r>
      <w:r>
        <w:rPr>
          <w:color w:val="231F20"/>
          <w:sz w:val="20"/>
        </w:rPr>
        <w:t>unable</w:t>
      </w:r>
      <w:r>
        <w:rPr>
          <w:color w:val="231F20"/>
          <w:spacing w:val="-8"/>
          <w:sz w:val="20"/>
        </w:rPr>
        <w:t xml:space="preserve"> </w:t>
      </w:r>
      <w:r>
        <w:rPr>
          <w:color w:val="231F20"/>
          <w:sz w:val="20"/>
        </w:rPr>
        <w:t>to</w:t>
      </w:r>
      <w:r>
        <w:rPr>
          <w:color w:val="231F20"/>
          <w:spacing w:val="-8"/>
          <w:sz w:val="20"/>
        </w:rPr>
        <w:t xml:space="preserve"> </w:t>
      </w:r>
      <w:r>
        <w:rPr>
          <w:color w:val="231F20"/>
          <w:sz w:val="20"/>
        </w:rPr>
        <w:t>use</w:t>
      </w:r>
      <w:r>
        <w:rPr>
          <w:color w:val="231F20"/>
          <w:spacing w:val="-8"/>
          <w:sz w:val="20"/>
        </w:rPr>
        <w:t xml:space="preserve"> </w:t>
      </w:r>
      <w:r>
        <w:rPr>
          <w:color w:val="231F20"/>
          <w:sz w:val="20"/>
        </w:rPr>
        <w:t>technology</w:t>
      </w:r>
      <w:r>
        <w:rPr>
          <w:color w:val="231F20"/>
          <w:spacing w:val="-8"/>
          <w:sz w:val="20"/>
        </w:rPr>
        <w:t xml:space="preserve"> </w:t>
      </w:r>
      <w:r>
        <w:rPr>
          <w:color w:val="231F20"/>
          <w:spacing w:val="-4"/>
          <w:sz w:val="20"/>
        </w:rPr>
        <w:t>freely.</w:t>
      </w:r>
      <w:r>
        <w:rPr>
          <w:color w:val="231F20"/>
          <w:spacing w:val="-8"/>
          <w:sz w:val="20"/>
        </w:rPr>
        <w:t xml:space="preserve"> </w:t>
      </w:r>
      <w:r>
        <w:rPr>
          <w:color w:val="231F20"/>
          <w:sz w:val="20"/>
        </w:rPr>
        <w:t>They</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isolate</w:t>
      </w:r>
      <w:r>
        <w:rPr>
          <w:color w:val="231F20"/>
          <w:spacing w:val="-8"/>
          <w:sz w:val="20"/>
        </w:rPr>
        <w:t xml:space="preserve"> </w:t>
      </w:r>
      <w:r>
        <w:rPr>
          <w:color w:val="231F20"/>
          <w:spacing w:val="-3"/>
          <w:sz w:val="20"/>
        </w:rPr>
        <w:t>themselves</w:t>
      </w:r>
      <w:r>
        <w:rPr>
          <w:color w:val="231F20"/>
          <w:spacing w:val="-8"/>
          <w:sz w:val="20"/>
        </w:rPr>
        <w:t xml:space="preserve"> </w:t>
      </w:r>
      <w:r>
        <w:rPr>
          <w:color w:val="231F20"/>
          <w:spacing w:val="-3"/>
          <w:sz w:val="20"/>
        </w:rPr>
        <w:t>from</w:t>
      </w:r>
      <w:r>
        <w:rPr>
          <w:color w:val="231F20"/>
          <w:spacing w:val="-8"/>
          <w:sz w:val="20"/>
        </w:rPr>
        <w:t xml:space="preserve"> </w:t>
      </w:r>
      <w:r>
        <w:rPr>
          <w:color w:val="231F20"/>
          <w:sz w:val="20"/>
        </w:rPr>
        <w:t>their</w:t>
      </w:r>
      <w:r>
        <w:rPr>
          <w:color w:val="231F20"/>
          <w:spacing w:val="-8"/>
          <w:sz w:val="20"/>
        </w:rPr>
        <w:t xml:space="preserve"> </w:t>
      </w:r>
      <w:r>
        <w:rPr>
          <w:color w:val="231F20"/>
          <w:sz w:val="20"/>
        </w:rPr>
        <w:t>social</w:t>
      </w:r>
      <w:r>
        <w:rPr>
          <w:color w:val="231F20"/>
          <w:spacing w:val="-8"/>
          <w:sz w:val="20"/>
        </w:rPr>
        <w:t xml:space="preserve"> </w:t>
      </w:r>
      <w:r>
        <w:rPr>
          <w:color w:val="231F20"/>
          <w:sz w:val="20"/>
        </w:rPr>
        <w:t>and support</w:t>
      </w:r>
      <w:r>
        <w:rPr>
          <w:color w:val="231F20"/>
          <w:spacing w:val="-4"/>
          <w:sz w:val="20"/>
        </w:rPr>
        <w:t xml:space="preserve"> </w:t>
      </w:r>
      <w:r>
        <w:rPr>
          <w:color w:val="231F20"/>
          <w:sz w:val="20"/>
        </w:rPr>
        <w:t>networks.</w:t>
      </w:r>
      <w:r>
        <w:rPr>
          <w:color w:val="231F20"/>
          <w:position w:val="7"/>
          <w:sz w:val="11"/>
        </w:rPr>
        <w:t>28</w:t>
      </w:r>
    </w:p>
    <w:p w14:paraId="2BD55FB1" w14:textId="77777777" w:rsidR="00894070" w:rsidRDefault="009B7AFD">
      <w:pPr>
        <w:pStyle w:val="ListParagraph"/>
        <w:numPr>
          <w:ilvl w:val="1"/>
          <w:numId w:val="161"/>
        </w:numPr>
        <w:tabs>
          <w:tab w:val="left" w:pos="1801"/>
          <w:tab w:val="left" w:pos="1802"/>
        </w:tabs>
        <w:spacing w:before="92" w:line="259" w:lineRule="exact"/>
        <w:rPr>
          <w:sz w:val="20"/>
        </w:rPr>
      </w:pPr>
      <w:r>
        <w:rPr>
          <w:color w:val="231F20"/>
          <w:sz w:val="20"/>
        </w:rPr>
        <w:t>People</w:t>
      </w:r>
      <w:r>
        <w:rPr>
          <w:color w:val="231F20"/>
          <w:spacing w:val="-7"/>
          <w:sz w:val="20"/>
        </w:rPr>
        <w:t xml:space="preserve"> </w:t>
      </w:r>
      <w:r>
        <w:rPr>
          <w:color w:val="231F20"/>
          <w:sz w:val="20"/>
        </w:rPr>
        <w:t>who</w:t>
      </w:r>
      <w:r>
        <w:rPr>
          <w:color w:val="231F20"/>
          <w:spacing w:val="-6"/>
          <w:sz w:val="20"/>
        </w:rPr>
        <w:t xml:space="preserve"> </w:t>
      </w:r>
      <w:r>
        <w:rPr>
          <w:color w:val="231F20"/>
          <w:sz w:val="20"/>
        </w:rPr>
        <w:t>experience</w:t>
      </w:r>
      <w:r>
        <w:rPr>
          <w:color w:val="231F20"/>
          <w:spacing w:val="-6"/>
          <w:sz w:val="20"/>
        </w:rPr>
        <w:t xml:space="preserve"> </w:t>
      </w:r>
      <w:r>
        <w:rPr>
          <w:color w:val="231F20"/>
          <w:sz w:val="20"/>
        </w:rPr>
        <w:t>cyberstalking</w:t>
      </w:r>
      <w:r>
        <w:rPr>
          <w:color w:val="231F20"/>
          <w:spacing w:val="-7"/>
          <w:sz w:val="20"/>
        </w:rPr>
        <w:t xml:space="preserve"> </w:t>
      </w:r>
      <w:r>
        <w:rPr>
          <w:color w:val="231F20"/>
          <w:spacing w:val="-3"/>
          <w:sz w:val="20"/>
        </w:rPr>
        <w:t>may</w:t>
      </w:r>
      <w:r>
        <w:rPr>
          <w:color w:val="231F20"/>
          <w:spacing w:val="-6"/>
          <w:sz w:val="20"/>
        </w:rPr>
        <w:t xml:space="preserve"> </w:t>
      </w:r>
      <w:r>
        <w:rPr>
          <w:color w:val="231F20"/>
          <w:sz w:val="20"/>
        </w:rPr>
        <w:t>carry</w:t>
      </w:r>
      <w:r>
        <w:rPr>
          <w:color w:val="231F20"/>
          <w:spacing w:val="-6"/>
          <w:sz w:val="20"/>
        </w:rPr>
        <w:t xml:space="preserve"> </w:t>
      </w:r>
      <w:r>
        <w:rPr>
          <w:color w:val="231F20"/>
          <w:sz w:val="20"/>
        </w:rPr>
        <w:t>a</w:t>
      </w:r>
      <w:r>
        <w:rPr>
          <w:color w:val="231F20"/>
          <w:spacing w:val="-6"/>
          <w:sz w:val="20"/>
        </w:rPr>
        <w:t xml:space="preserve"> </w:t>
      </w:r>
      <w:r>
        <w:rPr>
          <w:color w:val="231F20"/>
          <w:sz w:val="20"/>
        </w:rPr>
        <w:t>financial</w:t>
      </w:r>
      <w:r>
        <w:rPr>
          <w:color w:val="231F20"/>
          <w:spacing w:val="-7"/>
          <w:sz w:val="20"/>
        </w:rPr>
        <w:t xml:space="preserve"> </w:t>
      </w:r>
      <w:r>
        <w:rPr>
          <w:color w:val="231F20"/>
          <w:sz w:val="20"/>
        </w:rPr>
        <w:t>burden,</w:t>
      </w:r>
      <w:r>
        <w:rPr>
          <w:color w:val="231F20"/>
          <w:spacing w:val="-6"/>
          <w:sz w:val="20"/>
        </w:rPr>
        <w:t xml:space="preserve"> </w:t>
      </w:r>
      <w:r>
        <w:rPr>
          <w:color w:val="231F20"/>
          <w:sz w:val="20"/>
        </w:rPr>
        <w:t>such</w:t>
      </w:r>
      <w:r>
        <w:rPr>
          <w:color w:val="231F20"/>
          <w:spacing w:val="-6"/>
          <w:sz w:val="20"/>
        </w:rPr>
        <w:t xml:space="preserve"> </w:t>
      </w:r>
      <w:r>
        <w:rPr>
          <w:color w:val="231F20"/>
          <w:sz w:val="20"/>
        </w:rPr>
        <w:t>as</w:t>
      </w:r>
      <w:r>
        <w:rPr>
          <w:color w:val="231F20"/>
          <w:spacing w:val="-7"/>
          <w:sz w:val="20"/>
        </w:rPr>
        <w:t xml:space="preserve"> </w:t>
      </w:r>
      <w:r>
        <w:rPr>
          <w:color w:val="231F20"/>
          <w:sz w:val="20"/>
        </w:rPr>
        <w:t>the</w:t>
      </w:r>
      <w:r>
        <w:rPr>
          <w:color w:val="231F20"/>
          <w:spacing w:val="-6"/>
          <w:sz w:val="20"/>
        </w:rPr>
        <w:t xml:space="preserve"> </w:t>
      </w:r>
      <w:r>
        <w:rPr>
          <w:color w:val="231F20"/>
          <w:sz w:val="20"/>
        </w:rPr>
        <w:t>cost</w:t>
      </w:r>
      <w:r>
        <w:rPr>
          <w:color w:val="231F20"/>
          <w:spacing w:val="-6"/>
          <w:sz w:val="20"/>
        </w:rPr>
        <w:t xml:space="preserve"> </w:t>
      </w:r>
      <w:r>
        <w:rPr>
          <w:color w:val="231F20"/>
          <w:sz w:val="20"/>
        </w:rPr>
        <w:t>of</w:t>
      </w:r>
    </w:p>
    <w:p w14:paraId="33C4E191" w14:textId="77777777" w:rsidR="00894070" w:rsidRDefault="009B7AFD">
      <w:pPr>
        <w:pStyle w:val="BodyText"/>
        <w:spacing w:line="259" w:lineRule="exact"/>
        <w:ind w:left="1801"/>
        <w:rPr>
          <w:sz w:val="11"/>
        </w:rPr>
      </w:pPr>
      <w:r>
        <w:rPr>
          <w:color w:val="231F20"/>
        </w:rPr>
        <w:t>increased security measures.</w:t>
      </w:r>
      <w:r>
        <w:rPr>
          <w:color w:val="231F20"/>
          <w:position w:val="7"/>
          <w:sz w:val="11"/>
        </w:rPr>
        <w:t>29</w:t>
      </w:r>
    </w:p>
    <w:p w14:paraId="230E5078" w14:textId="77777777" w:rsidR="00894070" w:rsidRDefault="009B7AFD">
      <w:pPr>
        <w:pStyle w:val="ListParagraph"/>
        <w:numPr>
          <w:ilvl w:val="1"/>
          <w:numId w:val="161"/>
        </w:numPr>
        <w:tabs>
          <w:tab w:val="left" w:pos="1801"/>
          <w:tab w:val="left" w:pos="1802"/>
        </w:tabs>
        <w:spacing w:before="82" w:line="259" w:lineRule="exact"/>
        <w:rPr>
          <w:sz w:val="20"/>
        </w:rPr>
      </w:pPr>
      <w:r>
        <w:rPr>
          <w:color w:val="231F20"/>
          <w:sz w:val="20"/>
        </w:rPr>
        <w:t>The</w:t>
      </w:r>
      <w:r>
        <w:rPr>
          <w:color w:val="231F20"/>
          <w:spacing w:val="-6"/>
          <w:sz w:val="20"/>
        </w:rPr>
        <w:t xml:space="preserve"> </w:t>
      </w:r>
      <w:r>
        <w:rPr>
          <w:color w:val="231F20"/>
          <w:sz w:val="20"/>
        </w:rPr>
        <w:t>Alannah</w:t>
      </w:r>
      <w:r>
        <w:rPr>
          <w:color w:val="231F20"/>
          <w:spacing w:val="-5"/>
          <w:sz w:val="20"/>
        </w:rPr>
        <w:t xml:space="preserve"> </w:t>
      </w:r>
      <w:r>
        <w:rPr>
          <w:color w:val="231F20"/>
          <w:sz w:val="20"/>
        </w:rPr>
        <w:t>and</w:t>
      </w:r>
      <w:r>
        <w:rPr>
          <w:color w:val="231F20"/>
          <w:spacing w:val="-5"/>
          <w:sz w:val="20"/>
        </w:rPr>
        <w:t xml:space="preserve"> </w:t>
      </w:r>
      <w:r>
        <w:rPr>
          <w:color w:val="231F20"/>
          <w:sz w:val="20"/>
        </w:rPr>
        <w:t>Madeline</w:t>
      </w:r>
      <w:r>
        <w:rPr>
          <w:color w:val="231F20"/>
          <w:spacing w:val="-5"/>
          <w:sz w:val="20"/>
        </w:rPr>
        <w:t xml:space="preserve"> </w:t>
      </w:r>
      <w:r>
        <w:rPr>
          <w:color w:val="231F20"/>
          <w:sz w:val="20"/>
        </w:rPr>
        <w:t>Foundation</w:t>
      </w:r>
      <w:r>
        <w:rPr>
          <w:color w:val="231F20"/>
          <w:spacing w:val="-5"/>
          <w:sz w:val="20"/>
        </w:rPr>
        <w:t xml:space="preserve"> </w:t>
      </w:r>
      <w:r>
        <w:rPr>
          <w:color w:val="231F20"/>
          <w:spacing w:val="-3"/>
          <w:sz w:val="20"/>
        </w:rPr>
        <w:t>told</w:t>
      </w:r>
      <w:r>
        <w:rPr>
          <w:color w:val="231F20"/>
          <w:spacing w:val="-5"/>
          <w:sz w:val="20"/>
        </w:rPr>
        <w:t xml:space="preserve"> </w:t>
      </w:r>
      <w:r>
        <w:rPr>
          <w:color w:val="231F20"/>
          <w:sz w:val="20"/>
        </w:rPr>
        <w:t>us</w:t>
      </w:r>
      <w:r>
        <w:rPr>
          <w:color w:val="231F20"/>
          <w:spacing w:val="-5"/>
          <w:sz w:val="20"/>
        </w:rPr>
        <w:t xml:space="preserve"> </w:t>
      </w:r>
      <w:r>
        <w:rPr>
          <w:color w:val="231F20"/>
          <w:sz w:val="20"/>
        </w:rPr>
        <w:t>that</w:t>
      </w:r>
      <w:r>
        <w:rPr>
          <w:color w:val="231F20"/>
          <w:spacing w:val="-5"/>
          <w:sz w:val="20"/>
        </w:rPr>
        <w:t xml:space="preserve"> </w:t>
      </w:r>
      <w:r>
        <w:rPr>
          <w:color w:val="231F20"/>
          <w:spacing w:val="-3"/>
          <w:sz w:val="20"/>
        </w:rPr>
        <w:t>children</w:t>
      </w:r>
      <w:r>
        <w:rPr>
          <w:color w:val="231F20"/>
          <w:spacing w:val="-5"/>
          <w:sz w:val="20"/>
        </w:rPr>
        <w:t xml:space="preserve"> </w:t>
      </w:r>
      <w:r>
        <w:rPr>
          <w:color w:val="231F20"/>
          <w:sz w:val="20"/>
        </w:rPr>
        <w:t>who</w:t>
      </w:r>
      <w:r>
        <w:rPr>
          <w:color w:val="231F20"/>
          <w:spacing w:val="-5"/>
          <w:sz w:val="20"/>
        </w:rPr>
        <w:t xml:space="preserve"> </w:t>
      </w:r>
      <w:r>
        <w:rPr>
          <w:color w:val="231F20"/>
          <w:sz w:val="20"/>
        </w:rPr>
        <w:t>experience</w:t>
      </w:r>
    </w:p>
    <w:p w14:paraId="7731C86F" w14:textId="77777777" w:rsidR="00894070" w:rsidRDefault="009B7AFD">
      <w:pPr>
        <w:pStyle w:val="BodyText"/>
        <w:spacing w:line="259" w:lineRule="exact"/>
        <w:ind w:left="593" w:right="1651"/>
        <w:jc w:val="center"/>
        <w:rPr>
          <w:sz w:val="11"/>
        </w:rPr>
      </w:pPr>
      <w:r>
        <w:rPr>
          <w:color w:val="231F20"/>
        </w:rPr>
        <w:t>cyberstalking can become disengaged from school and education.</w:t>
      </w:r>
      <w:r>
        <w:rPr>
          <w:color w:val="231F20"/>
          <w:position w:val="7"/>
          <w:sz w:val="11"/>
        </w:rPr>
        <w:t>30</w:t>
      </w:r>
    </w:p>
    <w:p w14:paraId="4BE3370B" w14:textId="77777777" w:rsidR="00894070" w:rsidRDefault="009B7AFD">
      <w:pPr>
        <w:pStyle w:val="ListParagraph"/>
        <w:numPr>
          <w:ilvl w:val="1"/>
          <w:numId w:val="161"/>
        </w:numPr>
        <w:tabs>
          <w:tab w:val="left" w:pos="1801"/>
          <w:tab w:val="left" w:pos="1802"/>
        </w:tabs>
        <w:spacing w:before="115" w:line="206" w:lineRule="auto"/>
        <w:ind w:right="1514"/>
        <w:rPr>
          <w:sz w:val="11"/>
        </w:rPr>
      </w:pPr>
      <w:r>
        <w:rPr>
          <w:color w:val="231F20"/>
          <w:sz w:val="20"/>
        </w:rPr>
        <w:t>People</w:t>
      </w:r>
      <w:r>
        <w:rPr>
          <w:color w:val="231F20"/>
          <w:spacing w:val="-11"/>
          <w:sz w:val="20"/>
        </w:rPr>
        <w:t xml:space="preserve"> </w:t>
      </w:r>
      <w:r>
        <w:rPr>
          <w:color w:val="231F20"/>
          <w:spacing w:val="-3"/>
          <w:sz w:val="20"/>
        </w:rPr>
        <w:t>from</w:t>
      </w:r>
      <w:r>
        <w:rPr>
          <w:color w:val="231F20"/>
          <w:spacing w:val="-10"/>
          <w:sz w:val="20"/>
        </w:rPr>
        <w:t xml:space="preserve"> </w:t>
      </w:r>
      <w:r>
        <w:rPr>
          <w:color w:val="231F20"/>
          <w:spacing w:val="-3"/>
          <w:sz w:val="20"/>
        </w:rPr>
        <w:t>culturally</w:t>
      </w:r>
      <w:r>
        <w:rPr>
          <w:color w:val="231F20"/>
          <w:spacing w:val="-11"/>
          <w:sz w:val="20"/>
        </w:rPr>
        <w:t xml:space="preserve"> </w:t>
      </w:r>
      <w:r>
        <w:rPr>
          <w:color w:val="231F20"/>
          <w:sz w:val="20"/>
        </w:rPr>
        <w:t>diverse</w:t>
      </w:r>
      <w:r>
        <w:rPr>
          <w:color w:val="231F20"/>
          <w:spacing w:val="-10"/>
          <w:sz w:val="20"/>
        </w:rPr>
        <w:t xml:space="preserve"> </w:t>
      </w:r>
      <w:r>
        <w:rPr>
          <w:color w:val="231F20"/>
          <w:sz w:val="20"/>
        </w:rPr>
        <w:t>communities</w:t>
      </w:r>
      <w:r>
        <w:rPr>
          <w:color w:val="231F20"/>
          <w:spacing w:val="-11"/>
          <w:sz w:val="20"/>
        </w:rPr>
        <w:t xml:space="preserve"> </w:t>
      </w:r>
      <w:r>
        <w:rPr>
          <w:color w:val="231F20"/>
          <w:spacing w:val="-3"/>
          <w:sz w:val="20"/>
        </w:rPr>
        <w:t>may</w:t>
      </w:r>
      <w:r>
        <w:rPr>
          <w:color w:val="231F20"/>
          <w:spacing w:val="-10"/>
          <w:sz w:val="20"/>
        </w:rPr>
        <w:t xml:space="preserve"> </w:t>
      </w:r>
      <w:r>
        <w:rPr>
          <w:color w:val="231F20"/>
          <w:sz w:val="20"/>
        </w:rPr>
        <w:t>experience</w:t>
      </w:r>
      <w:r>
        <w:rPr>
          <w:color w:val="231F20"/>
          <w:spacing w:val="-11"/>
          <w:sz w:val="20"/>
        </w:rPr>
        <w:t xml:space="preserve"> </w:t>
      </w:r>
      <w:r>
        <w:rPr>
          <w:color w:val="231F20"/>
          <w:sz w:val="20"/>
        </w:rPr>
        <w:t>additional</w:t>
      </w:r>
      <w:r>
        <w:rPr>
          <w:color w:val="231F20"/>
          <w:spacing w:val="-10"/>
          <w:sz w:val="20"/>
        </w:rPr>
        <w:t xml:space="preserve"> </w:t>
      </w:r>
      <w:r>
        <w:rPr>
          <w:color w:val="231F20"/>
          <w:sz w:val="20"/>
        </w:rPr>
        <w:t>impacts.</w:t>
      </w:r>
      <w:r>
        <w:rPr>
          <w:color w:val="231F20"/>
          <w:spacing w:val="-10"/>
          <w:sz w:val="20"/>
        </w:rPr>
        <w:t xml:space="preserve"> </w:t>
      </w:r>
      <w:r>
        <w:rPr>
          <w:color w:val="231F20"/>
          <w:spacing w:val="-3"/>
          <w:sz w:val="20"/>
        </w:rPr>
        <w:t xml:space="preserve">For example, </w:t>
      </w:r>
      <w:r>
        <w:rPr>
          <w:color w:val="231F20"/>
          <w:sz w:val="20"/>
        </w:rPr>
        <w:t xml:space="preserve">women who wear head </w:t>
      </w:r>
      <w:r>
        <w:rPr>
          <w:color w:val="231F20"/>
          <w:spacing w:val="-3"/>
          <w:sz w:val="20"/>
        </w:rPr>
        <w:t xml:space="preserve">coverings for </w:t>
      </w:r>
      <w:r>
        <w:rPr>
          <w:color w:val="231F20"/>
          <w:sz w:val="20"/>
        </w:rPr>
        <w:t xml:space="preserve">religious or </w:t>
      </w:r>
      <w:r>
        <w:rPr>
          <w:color w:val="231F20"/>
          <w:spacing w:val="-3"/>
          <w:sz w:val="20"/>
        </w:rPr>
        <w:t xml:space="preserve">cultural </w:t>
      </w:r>
      <w:r>
        <w:rPr>
          <w:color w:val="231F20"/>
          <w:sz w:val="20"/>
        </w:rPr>
        <w:t xml:space="preserve">reasons might experience shame </w:t>
      </w:r>
      <w:r>
        <w:rPr>
          <w:color w:val="231F20"/>
          <w:spacing w:val="-3"/>
          <w:sz w:val="20"/>
        </w:rPr>
        <w:t xml:space="preserve">from having </w:t>
      </w:r>
      <w:r>
        <w:rPr>
          <w:color w:val="231F20"/>
          <w:sz w:val="20"/>
        </w:rPr>
        <w:t xml:space="preserve">their photographs posted online without their head </w:t>
      </w:r>
      <w:r>
        <w:rPr>
          <w:color w:val="231F20"/>
          <w:spacing w:val="-3"/>
          <w:sz w:val="20"/>
        </w:rPr>
        <w:t>covering.</w:t>
      </w:r>
      <w:r>
        <w:rPr>
          <w:color w:val="231F20"/>
          <w:spacing w:val="-6"/>
          <w:sz w:val="20"/>
        </w:rPr>
        <w:t xml:space="preserve"> </w:t>
      </w:r>
      <w:r>
        <w:rPr>
          <w:color w:val="231F20"/>
          <w:sz w:val="20"/>
        </w:rPr>
        <w:t>They</w:t>
      </w:r>
      <w:r>
        <w:rPr>
          <w:color w:val="231F20"/>
          <w:spacing w:val="-6"/>
          <w:sz w:val="20"/>
        </w:rPr>
        <w:t xml:space="preserve"> </w:t>
      </w:r>
      <w:r>
        <w:rPr>
          <w:color w:val="231F20"/>
          <w:spacing w:val="-3"/>
          <w:sz w:val="20"/>
        </w:rPr>
        <w:t>may</w:t>
      </w:r>
      <w:r>
        <w:rPr>
          <w:color w:val="231F20"/>
          <w:spacing w:val="-6"/>
          <w:sz w:val="20"/>
        </w:rPr>
        <w:t xml:space="preserve"> </w:t>
      </w:r>
      <w:r>
        <w:rPr>
          <w:color w:val="231F20"/>
          <w:sz w:val="20"/>
        </w:rPr>
        <w:t>also</w:t>
      </w:r>
      <w:r>
        <w:rPr>
          <w:color w:val="231F20"/>
          <w:spacing w:val="-6"/>
          <w:sz w:val="20"/>
        </w:rPr>
        <w:t xml:space="preserve"> </w:t>
      </w:r>
      <w:r>
        <w:rPr>
          <w:color w:val="231F20"/>
          <w:sz w:val="20"/>
        </w:rPr>
        <w:t>experience</w:t>
      </w:r>
      <w:r>
        <w:rPr>
          <w:color w:val="231F20"/>
          <w:spacing w:val="-6"/>
          <w:sz w:val="20"/>
        </w:rPr>
        <w:t xml:space="preserve"> </w:t>
      </w:r>
      <w:proofErr w:type="spellStart"/>
      <w:r>
        <w:rPr>
          <w:color w:val="231F20"/>
          <w:sz w:val="20"/>
        </w:rPr>
        <w:t>honour</w:t>
      </w:r>
      <w:proofErr w:type="spellEnd"/>
      <w:r>
        <w:rPr>
          <w:color w:val="231F20"/>
          <w:sz w:val="20"/>
        </w:rPr>
        <w:t>-based</w:t>
      </w:r>
      <w:r>
        <w:rPr>
          <w:color w:val="231F20"/>
          <w:spacing w:val="-6"/>
          <w:sz w:val="20"/>
        </w:rPr>
        <w:t xml:space="preserve"> </w:t>
      </w:r>
      <w:r>
        <w:rPr>
          <w:color w:val="231F20"/>
          <w:sz w:val="20"/>
        </w:rPr>
        <w:t>threats</w:t>
      </w:r>
      <w:r>
        <w:rPr>
          <w:color w:val="231F20"/>
          <w:spacing w:val="-6"/>
          <w:sz w:val="20"/>
        </w:rPr>
        <w:t xml:space="preserve"> </w:t>
      </w:r>
      <w:r>
        <w:rPr>
          <w:color w:val="231F20"/>
          <w:sz w:val="20"/>
        </w:rPr>
        <w:t>or</w:t>
      </w:r>
      <w:r>
        <w:rPr>
          <w:color w:val="231F20"/>
          <w:spacing w:val="-6"/>
          <w:sz w:val="20"/>
        </w:rPr>
        <w:t xml:space="preserve"> </w:t>
      </w:r>
      <w:r>
        <w:rPr>
          <w:color w:val="231F20"/>
          <w:sz w:val="20"/>
        </w:rPr>
        <w:t>violence.</w:t>
      </w:r>
      <w:r>
        <w:rPr>
          <w:color w:val="231F20"/>
          <w:position w:val="7"/>
          <w:sz w:val="11"/>
        </w:rPr>
        <w:t>31</w:t>
      </w:r>
    </w:p>
    <w:p w14:paraId="66C3906A" w14:textId="77777777" w:rsidR="00894070" w:rsidRDefault="00894070">
      <w:pPr>
        <w:pStyle w:val="BodyText"/>
        <w:spacing w:before="8"/>
        <w:rPr>
          <w:sz w:val="16"/>
        </w:rPr>
      </w:pPr>
    </w:p>
    <w:p w14:paraId="7788102A" w14:textId="77777777" w:rsidR="00894070" w:rsidRDefault="009B7AFD">
      <w:pPr>
        <w:pStyle w:val="Heading7"/>
      </w:pPr>
      <w:r>
        <w:rPr>
          <w:color w:val="EA5B50"/>
        </w:rPr>
        <w:t>What do we know about cyberstalking in the community?</w:t>
      </w:r>
    </w:p>
    <w:p w14:paraId="39E11D69" w14:textId="77777777" w:rsidR="00894070" w:rsidRDefault="009B7AFD">
      <w:pPr>
        <w:pStyle w:val="ListParagraph"/>
        <w:numPr>
          <w:ilvl w:val="1"/>
          <w:numId w:val="161"/>
        </w:numPr>
        <w:tabs>
          <w:tab w:val="left" w:pos="1801"/>
          <w:tab w:val="left" w:pos="1802"/>
        </w:tabs>
        <w:spacing w:before="146" w:line="206" w:lineRule="auto"/>
        <w:ind w:right="1400"/>
        <w:rPr>
          <w:sz w:val="20"/>
        </w:rPr>
      </w:pPr>
      <w:r>
        <w:rPr>
          <w:color w:val="231F20"/>
          <w:sz w:val="20"/>
        </w:rPr>
        <w:t>There</w:t>
      </w:r>
      <w:r>
        <w:rPr>
          <w:color w:val="231F20"/>
          <w:spacing w:val="-10"/>
          <w:sz w:val="20"/>
        </w:rPr>
        <w:t xml:space="preserve"> </w:t>
      </w:r>
      <w:r>
        <w:rPr>
          <w:color w:val="231F20"/>
          <w:spacing w:val="-4"/>
          <w:sz w:val="20"/>
        </w:rPr>
        <w:t>have</w:t>
      </w:r>
      <w:r>
        <w:rPr>
          <w:color w:val="231F20"/>
          <w:spacing w:val="-9"/>
          <w:sz w:val="20"/>
        </w:rPr>
        <w:t xml:space="preserve"> </w:t>
      </w:r>
      <w:r>
        <w:rPr>
          <w:color w:val="231F20"/>
          <w:sz w:val="20"/>
        </w:rPr>
        <w:t>been</w:t>
      </w:r>
      <w:r>
        <w:rPr>
          <w:color w:val="231F20"/>
          <w:spacing w:val="-9"/>
          <w:sz w:val="20"/>
        </w:rPr>
        <w:t xml:space="preserve"> </w:t>
      </w:r>
      <w:r>
        <w:rPr>
          <w:color w:val="231F20"/>
          <w:sz w:val="20"/>
        </w:rPr>
        <w:t>increasing</w:t>
      </w:r>
      <w:r>
        <w:rPr>
          <w:color w:val="231F20"/>
          <w:spacing w:val="-10"/>
          <w:sz w:val="20"/>
        </w:rPr>
        <w:t xml:space="preserve"> </w:t>
      </w:r>
      <w:r>
        <w:rPr>
          <w:color w:val="231F20"/>
          <w:sz w:val="20"/>
        </w:rPr>
        <w:t>efforts</w:t>
      </w:r>
      <w:r>
        <w:rPr>
          <w:color w:val="231F20"/>
          <w:spacing w:val="-9"/>
          <w:sz w:val="20"/>
        </w:rPr>
        <w:t xml:space="preserve"> </w:t>
      </w:r>
      <w:r>
        <w:rPr>
          <w:color w:val="231F20"/>
          <w:sz w:val="20"/>
        </w:rPr>
        <w:t>to</w:t>
      </w:r>
      <w:r>
        <w:rPr>
          <w:color w:val="231F20"/>
          <w:spacing w:val="-9"/>
          <w:sz w:val="20"/>
        </w:rPr>
        <w:t xml:space="preserve"> </w:t>
      </w:r>
      <w:r>
        <w:rPr>
          <w:color w:val="231F20"/>
          <w:sz w:val="20"/>
        </w:rPr>
        <w:t>understand</w:t>
      </w:r>
      <w:r>
        <w:rPr>
          <w:color w:val="231F20"/>
          <w:spacing w:val="-10"/>
          <w:sz w:val="20"/>
        </w:rPr>
        <w:t xml:space="preserve"> </w:t>
      </w:r>
      <w:r>
        <w:rPr>
          <w:color w:val="231F20"/>
          <w:sz w:val="20"/>
        </w:rPr>
        <w:t>stalking</w:t>
      </w:r>
      <w:r>
        <w:rPr>
          <w:color w:val="231F20"/>
          <w:spacing w:val="-9"/>
          <w:sz w:val="20"/>
        </w:rPr>
        <w:t xml:space="preserve"> </w:t>
      </w:r>
      <w:r>
        <w:rPr>
          <w:color w:val="231F20"/>
          <w:sz w:val="20"/>
        </w:rPr>
        <w:t>and</w:t>
      </w:r>
      <w:r>
        <w:rPr>
          <w:color w:val="231F20"/>
          <w:spacing w:val="-9"/>
          <w:sz w:val="20"/>
        </w:rPr>
        <w:t xml:space="preserve"> </w:t>
      </w:r>
      <w:r>
        <w:rPr>
          <w:color w:val="231F20"/>
          <w:spacing w:val="-3"/>
          <w:sz w:val="20"/>
        </w:rPr>
        <w:t xml:space="preserve">technology-facilitated </w:t>
      </w:r>
      <w:r>
        <w:rPr>
          <w:color w:val="231F20"/>
          <w:sz w:val="20"/>
        </w:rPr>
        <w:t xml:space="preserve">abuse in a </w:t>
      </w:r>
      <w:r>
        <w:rPr>
          <w:color w:val="231F20"/>
          <w:spacing w:val="-3"/>
          <w:sz w:val="20"/>
        </w:rPr>
        <w:t xml:space="preserve">family </w:t>
      </w:r>
      <w:r>
        <w:rPr>
          <w:color w:val="231F20"/>
          <w:sz w:val="20"/>
        </w:rPr>
        <w:t>violence context.</w:t>
      </w:r>
      <w:r>
        <w:rPr>
          <w:color w:val="231F20"/>
          <w:position w:val="7"/>
          <w:sz w:val="11"/>
        </w:rPr>
        <w:t xml:space="preserve">32 </w:t>
      </w:r>
      <w:r>
        <w:rPr>
          <w:color w:val="231F20"/>
          <w:sz w:val="20"/>
        </w:rPr>
        <w:t xml:space="preserve">Less </w:t>
      </w:r>
      <w:r>
        <w:rPr>
          <w:color w:val="231F20"/>
          <w:spacing w:val="-3"/>
          <w:sz w:val="20"/>
        </w:rPr>
        <w:t xml:space="preserve">attention </w:t>
      </w:r>
      <w:r>
        <w:rPr>
          <w:color w:val="231F20"/>
          <w:sz w:val="20"/>
        </w:rPr>
        <w:t xml:space="preserve">has been </w:t>
      </w:r>
      <w:r>
        <w:rPr>
          <w:color w:val="231F20"/>
          <w:spacing w:val="-3"/>
          <w:sz w:val="20"/>
        </w:rPr>
        <w:t xml:space="preserve">given </w:t>
      </w:r>
      <w:r>
        <w:rPr>
          <w:color w:val="231F20"/>
          <w:sz w:val="20"/>
        </w:rPr>
        <w:t>to non-family violence</w:t>
      </w:r>
      <w:r>
        <w:rPr>
          <w:color w:val="231F20"/>
          <w:spacing w:val="-5"/>
          <w:sz w:val="20"/>
        </w:rPr>
        <w:t xml:space="preserve"> </w:t>
      </w:r>
      <w:r>
        <w:rPr>
          <w:color w:val="231F20"/>
          <w:sz w:val="20"/>
        </w:rPr>
        <w:t>cyberstalking.</w:t>
      </w:r>
    </w:p>
    <w:p w14:paraId="0C320C41" w14:textId="77777777" w:rsidR="00894070" w:rsidRDefault="009B7AFD">
      <w:pPr>
        <w:pStyle w:val="ListParagraph"/>
        <w:numPr>
          <w:ilvl w:val="1"/>
          <w:numId w:val="161"/>
        </w:numPr>
        <w:tabs>
          <w:tab w:val="left" w:pos="1801"/>
          <w:tab w:val="left" w:pos="1802"/>
        </w:tabs>
        <w:spacing w:before="124" w:line="206" w:lineRule="auto"/>
        <w:ind w:right="1299"/>
        <w:rPr>
          <w:sz w:val="11"/>
        </w:rPr>
      </w:pPr>
      <w:r>
        <w:rPr>
          <w:color w:val="231F20"/>
          <w:sz w:val="20"/>
        </w:rPr>
        <w:t xml:space="preserve">Some </w:t>
      </w:r>
      <w:r>
        <w:rPr>
          <w:color w:val="231F20"/>
          <w:spacing w:val="-3"/>
          <w:sz w:val="20"/>
        </w:rPr>
        <w:t xml:space="preserve">valuable research </w:t>
      </w:r>
      <w:r>
        <w:rPr>
          <w:color w:val="231F20"/>
          <w:sz w:val="20"/>
        </w:rPr>
        <w:t>exists on non-family violence cyberstalking, but it has limitations</w:t>
      </w:r>
      <w:r>
        <w:rPr>
          <w:color w:val="231F20"/>
          <w:spacing w:val="-11"/>
          <w:sz w:val="20"/>
        </w:rPr>
        <w:t xml:space="preserve"> </w:t>
      </w:r>
      <w:r>
        <w:rPr>
          <w:color w:val="231F20"/>
          <w:sz w:val="20"/>
        </w:rPr>
        <w:t>such</w:t>
      </w:r>
      <w:r>
        <w:rPr>
          <w:color w:val="231F20"/>
          <w:spacing w:val="-10"/>
          <w:sz w:val="20"/>
        </w:rPr>
        <w:t xml:space="preserve"> </w:t>
      </w:r>
      <w:r>
        <w:rPr>
          <w:color w:val="231F20"/>
          <w:sz w:val="20"/>
        </w:rPr>
        <w:t>as</w:t>
      </w:r>
      <w:r>
        <w:rPr>
          <w:color w:val="231F20"/>
          <w:spacing w:val="-11"/>
          <w:sz w:val="20"/>
        </w:rPr>
        <w:t xml:space="preserve"> </w:t>
      </w:r>
      <w:r>
        <w:rPr>
          <w:color w:val="231F20"/>
          <w:sz w:val="20"/>
        </w:rPr>
        <w:t>small</w:t>
      </w:r>
      <w:r>
        <w:rPr>
          <w:color w:val="231F20"/>
          <w:spacing w:val="-10"/>
          <w:sz w:val="20"/>
        </w:rPr>
        <w:t xml:space="preserve"> </w:t>
      </w:r>
      <w:r>
        <w:rPr>
          <w:color w:val="231F20"/>
          <w:sz w:val="20"/>
        </w:rPr>
        <w:t>sample</w:t>
      </w:r>
      <w:r>
        <w:rPr>
          <w:color w:val="231F20"/>
          <w:spacing w:val="-10"/>
          <w:sz w:val="20"/>
        </w:rPr>
        <w:t xml:space="preserve"> </w:t>
      </w:r>
      <w:r>
        <w:rPr>
          <w:color w:val="231F20"/>
          <w:spacing w:val="-4"/>
          <w:sz w:val="20"/>
        </w:rPr>
        <w:t>sizes</w:t>
      </w:r>
      <w:r>
        <w:rPr>
          <w:color w:val="231F20"/>
          <w:spacing w:val="-11"/>
          <w:sz w:val="20"/>
        </w:rPr>
        <w:t xml:space="preserve"> </w:t>
      </w:r>
      <w:r>
        <w:rPr>
          <w:color w:val="231F20"/>
          <w:sz w:val="20"/>
        </w:rPr>
        <w:t>and</w:t>
      </w:r>
      <w:r>
        <w:rPr>
          <w:color w:val="231F20"/>
          <w:spacing w:val="-10"/>
          <w:sz w:val="20"/>
        </w:rPr>
        <w:t xml:space="preserve"> </w:t>
      </w:r>
      <w:r>
        <w:rPr>
          <w:color w:val="231F20"/>
          <w:spacing w:val="-3"/>
          <w:sz w:val="20"/>
        </w:rPr>
        <w:t>different</w:t>
      </w:r>
      <w:r>
        <w:rPr>
          <w:color w:val="231F20"/>
          <w:spacing w:val="-11"/>
          <w:sz w:val="20"/>
        </w:rPr>
        <w:t xml:space="preserve"> </w:t>
      </w:r>
      <w:r>
        <w:rPr>
          <w:color w:val="231F20"/>
          <w:sz w:val="20"/>
        </w:rPr>
        <w:t>definitions</w:t>
      </w:r>
      <w:r>
        <w:rPr>
          <w:color w:val="231F20"/>
          <w:spacing w:val="-10"/>
          <w:sz w:val="20"/>
        </w:rPr>
        <w:t xml:space="preserve"> </w:t>
      </w:r>
      <w:r>
        <w:rPr>
          <w:color w:val="231F20"/>
          <w:sz w:val="20"/>
        </w:rPr>
        <w:t>of</w:t>
      </w:r>
      <w:r>
        <w:rPr>
          <w:color w:val="231F20"/>
          <w:spacing w:val="-10"/>
          <w:sz w:val="20"/>
        </w:rPr>
        <w:t xml:space="preserve"> </w:t>
      </w:r>
      <w:r>
        <w:rPr>
          <w:color w:val="231F20"/>
          <w:sz w:val="20"/>
        </w:rPr>
        <w:t>cyberstalking.</w:t>
      </w:r>
      <w:r>
        <w:rPr>
          <w:color w:val="231F20"/>
          <w:position w:val="7"/>
          <w:sz w:val="11"/>
        </w:rPr>
        <w:t>33</w:t>
      </w:r>
      <w:r>
        <w:rPr>
          <w:color w:val="231F20"/>
          <w:spacing w:val="13"/>
          <w:position w:val="7"/>
          <w:sz w:val="11"/>
        </w:rPr>
        <w:t xml:space="preserve"> </w:t>
      </w:r>
      <w:r>
        <w:rPr>
          <w:color w:val="231F20"/>
          <w:spacing w:val="-4"/>
          <w:sz w:val="20"/>
        </w:rPr>
        <w:t xml:space="preserve">More </w:t>
      </w:r>
      <w:r>
        <w:rPr>
          <w:color w:val="231F20"/>
          <w:sz w:val="20"/>
        </w:rPr>
        <w:t xml:space="preserve">in-depth </w:t>
      </w:r>
      <w:r>
        <w:rPr>
          <w:color w:val="231F20"/>
          <w:spacing w:val="-3"/>
          <w:sz w:val="20"/>
        </w:rPr>
        <w:t xml:space="preserve">research </w:t>
      </w:r>
      <w:r>
        <w:rPr>
          <w:color w:val="231F20"/>
          <w:sz w:val="20"/>
        </w:rPr>
        <w:t>is</w:t>
      </w:r>
      <w:r>
        <w:rPr>
          <w:color w:val="231F20"/>
          <w:spacing w:val="-9"/>
          <w:sz w:val="20"/>
        </w:rPr>
        <w:t xml:space="preserve"> </w:t>
      </w:r>
      <w:r>
        <w:rPr>
          <w:color w:val="231F20"/>
          <w:sz w:val="20"/>
        </w:rPr>
        <w:t>needed.</w:t>
      </w:r>
      <w:r>
        <w:rPr>
          <w:color w:val="231F20"/>
          <w:position w:val="7"/>
          <w:sz w:val="11"/>
        </w:rPr>
        <w:t>34</w:t>
      </w:r>
    </w:p>
    <w:p w14:paraId="770CDB8C" w14:textId="77777777" w:rsidR="00894070" w:rsidRDefault="009B7AFD">
      <w:pPr>
        <w:pStyle w:val="ListParagraph"/>
        <w:numPr>
          <w:ilvl w:val="1"/>
          <w:numId w:val="161"/>
        </w:numPr>
        <w:tabs>
          <w:tab w:val="left" w:pos="1801"/>
          <w:tab w:val="left" w:pos="1802"/>
        </w:tabs>
        <w:spacing w:before="124" w:line="206" w:lineRule="auto"/>
        <w:ind w:right="1490"/>
        <w:rPr>
          <w:sz w:val="20"/>
        </w:rPr>
      </w:pPr>
      <w:r>
        <w:rPr>
          <w:color w:val="231F20"/>
          <w:sz w:val="20"/>
        </w:rPr>
        <w:t xml:space="preserve">In the meantime, </w:t>
      </w:r>
      <w:r>
        <w:rPr>
          <w:color w:val="231F20"/>
          <w:spacing w:val="-3"/>
          <w:sz w:val="20"/>
        </w:rPr>
        <w:t xml:space="preserve">research </w:t>
      </w:r>
      <w:r>
        <w:rPr>
          <w:color w:val="231F20"/>
          <w:sz w:val="20"/>
        </w:rPr>
        <w:t xml:space="preserve">on </w:t>
      </w:r>
      <w:r>
        <w:rPr>
          <w:color w:val="231F20"/>
          <w:spacing w:val="-3"/>
          <w:sz w:val="20"/>
        </w:rPr>
        <w:t xml:space="preserve">technology-facilitated </w:t>
      </w:r>
      <w:r>
        <w:rPr>
          <w:color w:val="231F20"/>
          <w:sz w:val="20"/>
        </w:rPr>
        <w:t xml:space="preserve">abuse in general, as </w:t>
      </w:r>
      <w:r>
        <w:rPr>
          <w:color w:val="231F20"/>
          <w:spacing w:val="-3"/>
          <w:sz w:val="20"/>
        </w:rPr>
        <w:t xml:space="preserve">well </w:t>
      </w:r>
      <w:r>
        <w:rPr>
          <w:color w:val="231F20"/>
          <w:sz w:val="20"/>
        </w:rPr>
        <w:t>as cyberstalking</w:t>
      </w:r>
      <w:r>
        <w:rPr>
          <w:color w:val="231F20"/>
          <w:spacing w:val="-7"/>
          <w:sz w:val="20"/>
        </w:rPr>
        <w:t xml:space="preserve"> </w:t>
      </w:r>
      <w:r>
        <w:rPr>
          <w:color w:val="231F20"/>
          <w:spacing w:val="-3"/>
          <w:sz w:val="20"/>
        </w:rPr>
        <w:t>research</w:t>
      </w:r>
      <w:r>
        <w:rPr>
          <w:color w:val="231F20"/>
          <w:spacing w:val="-7"/>
          <w:sz w:val="20"/>
        </w:rPr>
        <w:t xml:space="preserve"> </w:t>
      </w:r>
      <w:r>
        <w:rPr>
          <w:color w:val="231F20"/>
          <w:spacing w:val="-3"/>
          <w:sz w:val="20"/>
        </w:rPr>
        <w:t>from</w:t>
      </w:r>
      <w:r>
        <w:rPr>
          <w:color w:val="231F20"/>
          <w:spacing w:val="-6"/>
          <w:sz w:val="20"/>
        </w:rPr>
        <w:t xml:space="preserve"> </w:t>
      </w:r>
      <w:r>
        <w:rPr>
          <w:color w:val="231F20"/>
          <w:spacing w:val="-3"/>
          <w:sz w:val="20"/>
        </w:rPr>
        <w:t>different</w:t>
      </w:r>
      <w:r>
        <w:rPr>
          <w:color w:val="231F20"/>
          <w:spacing w:val="-7"/>
          <w:sz w:val="20"/>
        </w:rPr>
        <w:t xml:space="preserve"> </w:t>
      </w:r>
      <w:r>
        <w:rPr>
          <w:color w:val="231F20"/>
          <w:sz w:val="20"/>
        </w:rPr>
        <w:t>parts</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pacing w:val="-3"/>
          <w:sz w:val="20"/>
        </w:rPr>
        <w:t>world,</w:t>
      </w:r>
      <w:r>
        <w:rPr>
          <w:color w:val="231F20"/>
          <w:spacing w:val="-7"/>
          <w:sz w:val="20"/>
        </w:rPr>
        <w:t xml:space="preserve"> </w:t>
      </w:r>
      <w:r>
        <w:rPr>
          <w:color w:val="231F20"/>
          <w:sz w:val="20"/>
        </w:rPr>
        <w:t>can</w:t>
      </w:r>
      <w:r>
        <w:rPr>
          <w:color w:val="231F20"/>
          <w:spacing w:val="-6"/>
          <w:sz w:val="20"/>
        </w:rPr>
        <w:t xml:space="preserve"> </w:t>
      </w:r>
      <w:r>
        <w:rPr>
          <w:color w:val="231F20"/>
          <w:sz w:val="20"/>
        </w:rPr>
        <w:t>help</w:t>
      </w:r>
      <w:r>
        <w:rPr>
          <w:color w:val="231F20"/>
          <w:spacing w:val="-7"/>
          <w:sz w:val="20"/>
        </w:rPr>
        <w:t xml:space="preserve"> </w:t>
      </w:r>
      <w:r>
        <w:rPr>
          <w:color w:val="231F20"/>
          <w:sz w:val="20"/>
        </w:rPr>
        <w:t>us</w:t>
      </w:r>
      <w:r>
        <w:rPr>
          <w:color w:val="231F20"/>
          <w:spacing w:val="-7"/>
          <w:sz w:val="20"/>
        </w:rPr>
        <w:t xml:space="preserve"> </w:t>
      </w:r>
      <w:r>
        <w:rPr>
          <w:color w:val="231F20"/>
          <w:sz w:val="20"/>
        </w:rPr>
        <w:t>understand</w:t>
      </w:r>
      <w:r>
        <w:rPr>
          <w:color w:val="231F20"/>
          <w:spacing w:val="-6"/>
          <w:sz w:val="20"/>
        </w:rPr>
        <w:t xml:space="preserve"> </w:t>
      </w:r>
      <w:r>
        <w:rPr>
          <w:color w:val="231F20"/>
          <w:sz w:val="20"/>
        </w:rPr>
        <w:t>the problem.</w:t>
      </w:r>
    </w:p>
    <w:p w14:paraId="434F8411" w14:textId="77777777" w:rsidR="00894070" w:rsidRDefault="00894070">
      <w:pPr>
        <w:pStyle w:val="BodyText"/>
      </w:pPr>
    </w:p>
    <w:p w14:paraId="5C8A63E7" w14:textId="77777777" w:rsidR="00894070" w:rsidRDefault="00894070">
      <w:pPr>
        <w:pStyle w:val="BodyText"/>
      </w:pPr>
    </w:p>
    <w:p w14:paraId="44278C0E" w14:textId="77777777" w:rsidR="00894070" w:rsidRDefault="00894070">
      <w:pPr>
        <w:pStyle w:val="BodyText"/>
      </w:pPr>
    </w:p>
    <w:p w14:paraId="3C34C795" w14:textId="77777777" w:rsidR="00894070" w:rsidRDefault="00894070">
      <w:pPr>
        <w:pStyle w:val="BodyText"/>
      </w:pPr>
    </w:p>
    <w:p w14:paraId="4FD97871" w14:textId="77777777" w:rsidR="00894070" w:rsidRDefault="00894070">
      <w:pPr>
        <w:pStyle w:val="BodyText"/>
      </w:pPr>
    </w:p>
    <w:p w14:paraId="64EE74AB" w14:textId="77777777" w:rsidR="00894070" w:rsidRDefault="00894070">
      <w:pPr>
        <w:pStyle w:val="BodyText"/>
      </w:pPr>
    </w:p>
    <w:p w14:paraId="2AFEBA5C" w14:textId="77777777" w:rsidR="00894070" w:rsidRDefault="009F6793">
      <w:pPr>
        <w:pStyle w:val="BodyText"/>
        <w:spacing w:before="8"/>
        <w:rPr>
          <w:sz w:val="24"/>
        </w:rPr>
      </w:pPr>
      <w:r>
        <w:pict w14:anchorId="6E7813C6">
          <v:line id="_x0000_s1592" style="position:absolute;z-index:251482112;mso-wrap-distance-left:0;mso-wrap-distance-right:0;mso-position-horizontal-relative:page" from="79.35pt,19.5pt" to="515.9pt,19.5pt" strokecolor="#f8cabc" strokeweight="1pt">
            <w10:wrap type="topAndBottom" anchorx="page"/>
          </v:line>
        </w:pict>
      </w:r>
    </w:p>
    <w:p w14:paraId="09402707" w14:textId="77777777" w:rsidR="00894070" w:rsidRDefault="009B7AFD">
      <w:pPr>
        <w:pStyle w:val="ListParagraph"/>
        <w:numPr>
          <w:ilvl w:val="0"/>
          <w:numId w:val="159"/>
        </w:numPr>
        <w:tabs>
          <w:tab w:val="left" w:pos="1801"/>
          <w:tab w:val="left" w:pos="1802"/>
        </w:tabs>
        <w:spacing w:before="107" w:line="213" w:lineRule="auto"/>
        <w:ind w:right="1222"/>
        <w:rPr>
          <w:sz w:val="13"/>
        </w:rPr>
      </w:pPr>
      <w:r>
        <w:rPr>
          <w:color w:val="231F20"/>
          <w:spacing w:val="2"/>
          <w:sz w:val="13"/>
        </w:rPr>
        <w:t xml:space="preserve">Submission </w:t>
      </w:r>
      <w:r>
        <w:rPr>
          <w:color w:val="231F20"/>
          <w:sz w:val="13"/>
        </w:rPr>
        <w:t xml:space="preserve">65 (Code </w:t>
      </w:r>
      <w:r>
        <w:rPr>
          <w:color w:val="231F20"/>
          <w:spacing w:val="2"/>
          <w:sz w:val="13"/>
        </w:rPr>
        <w:t xml:space="preserve">Black </w:t>
      </w:r>
      <w:r>
        <w:rPr>
          <w:color w:val="231F20"/>
          <w:sz w:val="13"/>
        </w:rPr>
        <w:t xml:space="preserve">Threat </w:t>
      </w:r>
      <w:r>
        <w:rPr>
          <w:color w:val="231F20"/>
          <w:spacing w:val="2"/>
          <w:sz w:val="13"/>
        </w:rPr>
        <w:t xml:space="preserve">Management); </w:t>
      </w:r>
      <w:r>
        <w:rPr>
          <w:color w:val="231F20"/>
          <w:sz w:val="13"/>
        </w:rPr>
        <w:t xml:space="preserve">Erica R </w:t>
      </w:r>
      <w:proofErr w:type="spellStart"/>
      <w:r>
        <w:rPr>
          <w:color w:val="231F20"/>
          <w:sz w:val="13"/>
        </w:rPr>
        <w:t>Fissel</w:t>
      </w:r>
      <w:proofErr w:type="spellEnd"/>
      <w:r>
        <w:rPr>
          <w:color w:val="231F20"/>
          <w:sz w:val="13"/>
        </w:rPr>
        <w:t xml:space="preserve"> and Bradford W </w:t>
      </w:r>
      <w:proofErr w:type="spellStart"/>
      <w:r>
        <w:rPr>
          <w:color w:val="231F20"/>
          <w:sz w:val="13"/>
        </w:rPr>
        <w:t>Reyns</w:t>
      </w:r>
      <w:proofErr w:type="spellEnd"/>
      <w:r>
        <w:rPr>
          <w:color w:val="231F20"/>
          <w:sz w:val="13"/>
        </w:rPr>
        <w:t xml:space="preserve">, ‘The Aftermath of </w:t>
      </w:r>
      <w:r>
        <w:rPr>
          <w:color w:val="231F20"/>
          <w:spacing w:val="2"/>
          <w:sz w:val="13"/>
        </w:rPr>
        <w:t xml:space="preserve">Cyberstalking: School, </w:t>
      </w:r>
      <w:r>
        <w:rPr>
          <w:color w:val="231F20"/>
          <w:sz w:val="13"/>
        </w:rPr>
        <w:t xml:space="preserve">Work, </w:t>
      </w:r>
      <w:r>
        <w:rPr>
          <w:color w:val="231F20"/>
          <w:spacing w:val="2"/>
          <w:sz w:val="13"/>
        </w:rPr>
        <w:t xml:space="preserve">Social, </w:t>
      </w:r>
      <w:r>
        <w:rPr>
          <w:color w:val="231F20"/>
          <w:sz w:val="13"/>
        </w:rPr>
        <w:t xml:space="preserve">and Health </w:t>
      </w:r>
      <w:r>
        <w:rPr>
          <w:color w:val="231F20"/>
          <w:spacing w:val="2"/>
          <w:sz w:val="13"/>
        </w:rPr>
        <w:t xml:space="preserve">Costs </w:t>
      </w:r>
      <w:r>
        <w:rPr>
          <w:color w:val="231F20"/>
          <w:sz w:val="13"/>
        </w:rPr>
        <w:t xml:space="preserve">of Victimization’ (2020) 45(1) </w:t>
      </w:r>
      <w:r>
        <w:rPr>
          <w:i/>
          <w:color w:val="231F20"/>
          <w:sz w:val="13"/>
        </w:rPr>
        <w:t xml:space="preserve">American Journal of Criminal Justice </w:t>
      </w:r>
      <w:r>
        <w:rPr>
          <w:color w:val="231F20"/>
          <w:sz w:val="13"/>
        </w:rPr>
        <w:t xml:space="preserve">70, 71; Puneet Kaur et </w:t>
      </w:r>
      <w:r>
        <w:rPr>
          <w:color w:val="231F20"/>
          <w:spacing w:val="2"/>
          <w:sz w:val="13"/>
        </w:rPr>
        <w:t xml:space="preserve">al, </w:t>
      </w:r>
      <w:r>
        <w:rPr>
          <w:color w:val="231F20"/>
          <w:spacing w:val="-4"/>
          <w:sz w:val="13"/>
        </w:rPr>
        <w:t xml:space="preserve">‘A </w:t>
      </w:r>
      <w:r>
        <w:rPr>
          <w:color w:val="231F20"/>
          <w:sz w:val="13"/>
        </w:rPr>
        <w:t xml:space="preserve">Systematic Literature Review on </w:t>
      </w:r>
      <w:r>
        <w:rPr>
          <w:color w:val="231F20"/>
          <w:spacing w:val="2"/>
          <w:sz w:val="13"/>
        </w:rPr>
        <w:t xml:space="preserve">Cyberstalking. </w:t>
      </w:r>
      <w:r>
        <w:rPr>
          <w:color w:val="231F20"/>
          <w:sz w:val="13"/>
        </w:rPr>
        <w:t xml:space="preserve">An Analysis of Past Achievements and Future Promises’ (2021) 163 </w:t>
      </w:r>
      <w:r>
        <w:rPr>
          <w:i/>
          <w:color w:val="231F20"/>
          <w:sz w:val="13"/>
        </w:rPr>
        <w:t xml:space="preserve">Technological Forecasting and Social Change </w:t>
      </w:r>
      <w:r>
        <w:rPr>
          <w:color w:val="231F20"/>
          <w:sz w:val="13"/>
        </w:rPr>
        <w:t>120426:1–15,</w:t>
      </w:r>
      <w:r>
        <w:rPr>
          <w:color w:val="231F20"/>
          <w:spacing w:val="2"/>
          <w:sz w:val="13"/>
        </w:rPr>
        <w:t xml:space="preserve"> </w:t>
      </w:r>
      <w:r>
        <w:rPr>
          <w:color w:val="231F20"/>
          <w:sz w:val="13"/>
        </w:rPr>
        <w:t>2.</w:t>
      </w:r>
    </w:p>
    <w:p w14:paraId="7D25F595" w14:textId="77777777" w:rsidR="00894070" w:rsidRDefault="009B7AFD">
      <w:pPr>
        <w:pStyle w:val="ListParagraph"/>
        <w:numPr>
          <w:ilvl w:val="0"/>
          <w:numId w:val="159"/>
        </w:numPr>
        <w:tabs>
          <w:tab w:val="left" w:pos="1801"/>
          <w:tab w:val="left" w:pos="1802"/>
        </w:tabs>
        <w:spacing w:line="213" w:lineRule="auto"/>
        <w:ind w:right="1210"/>
        <w:rPr>
          <w:sz w:val="13"/>
        </w:rPr>
      </w:pP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 xml:space="preserve">Support Services </w:t>
      </w:r>
      <w:r>
        <w:rPr>
          <w:i/>
          <w:color w:val="231F20"/>
          <w:sz w:val="13"/>
        </w:rPr>
        <w:t xml:space="preserve">Stakeholders </w:t>
      </w:r>
      <w:r>
        <w:rPr>
          <w:color w:val="231F20"/>
          <w:sz w:val="13"/>
        </w:rPr>
        <w:t xml:space="preserve">(Research </w:t>
      </w:r>
      <w:r>
        <w:rPr>
          <w:color w:val="231F20"/>
          <w:spacing w:val="2"/>
          <w:sz w:val="13"/>
        </w:rPr>
        <w:t xml:space="preserve">Report </w:t>
      </w:r>
      <w:r>
        <w:rPr>
          <w:color w:val="231F20"/>
          <w:sz w:val="13"/>
        </w:rPr>
        <w:t xml:space="preserve">No 2, ANROWS, July 2021) </w:t>
      </w:r>
      <w:r>
        <w:rPr>
          <w:color w:val="231F20"/>
          <w:spacing w:val="2"/>
          <w:sz w:val="13"/>
        </w:rPr>
        <w:t xml:space="preserve">39. </w:t>
      </w:r>
      <w:r>
        <w:rPr>
          <w:color w:val="231F20"/>
          <w:sz w:val="13"/>
        </w:rPr>
        <w:t xml:space="preserve">See </w:t>
      </w:r>
      <w:r>
        <w:rPr>
          <w:color w:val="231F20"/>
          <w:spacing w:val="2"/>
          <w:sz w:val="13"/>
        </w:rPr>
        <w:t xml:space="preserve">also </w:t>
      </w:r>
      <w:r>
        <w:rPr>
          <w:color w:val="231F20"/>
          <w:sz w:val="13"/>
        </w:rPr>
        <w:t xml:space="preserve">Puneet Kaur et </w:t>
      </w:r>
      <w:r>
        <w:rPr>
          <w:color w:val="231F20"/>
          <w:spacing w:val="2"/>
          <w:sz w:val="13"/>
        </w:rPr>
        <w:t xml:space="preserve">al, </w:t>
      </w:r>
      <w:r>
        <w:rPr>
          <w:color w:val="231F20"/>
          <w:spacing w:val="-4"/>
          <w:sz w:val="13"/>
        </w:rPr>
        <w:t xml:space="preserve">‘A </w:t>
      </w:r>
      <w:r>
        <w:rPr>
          <w:color w:val="231F20"/>
          <w:sz w:val="13"/>
        </w:rPr>
        <w:t xml:space="preserve">Systematic Literature Review on </w:t>
      </w:r>
      <w:r>
        <w:rPr>
          <w:color w:val="231F20"/>
          <w:spacing w:val="2"/>
          <w:sz w:val="13"/>
        </w:rPr>
        <w:t xml:space="preserve">Cyberstalking. </w:t>
      </w:r>
      <w:r>
        <w:rPr>
          <w:color w:val="231F20"/>
          <w:sz w:val="13"/>
        </w:rPr>
        <w:t>An Analysis</w:t>
      </w:r>
      <w:r>
        <w:rPr>
          <w:color w:val="231F20"/>
          <w:spacing w:val="5"/>
          <w:sz w:val="13"/>
        </w:rPr>
        <w:t xml:space="preserve"> </w:t>
      </w:r>
      <w:r>
        <w:rPr>
          <w:color w:val="231F20"/>
          <w:sz w:val="13"/>
        </w:rPr>
        <w:t>of</w:t>
      </w:r>
      <w:r>
        <w:rPr>
          <w:color w:val="231F20"/>
          <w:spacing w:val="5"/>
          <w:sz w:val="13"/>
        </w:rPr>
        <w:t xml:space="preserve"> </w:t>
      </w:r>
      <w:r>
        <w:rPr>
          <w:color w:val="231F20"/>
          <w:sz w:val="13"/>
        </w:rPr>
        <w:t>Past</w:t>
      </w:r>
      <w:r>
        <w:rPr>
          <w:color w:val="231F20"/>
          <w:spacing w:val="5"/>
          <w:sz w:val="13"/>
        </w:rPr>
        <w:t xml:space="preserve"> </w:t>
      </w:r>
      <w:r>
        <w:rPr>
          <w:color w:val="231F20"/>
          <w:sz w:val="13"/>
        </w:rPr>
        <w:t>Achievements</w:t>
      </w:r>
      <w:r>
        <w:rPr>
          <w:color w:val="231F20"/>
          <w:spacing w:val="6"/>
          <w:sz w:val="13"/>
        </w:rPr>
        <w:t xml:space="preserve"> </w:t>
      </w:r>
      <w:r>
        <w:rPr>
          <w:color w:val="231F20"/>
          <w:sz w:val="13"/>
        </w:rPr>
        <w:t>and</w:t>
      </w:r>
      <w:r>
        <w:rPr>
          <w:color w:val="231F20"/>
          <w:spacing w:val="5"/>
          <w:sz w:val="13"/>
        </w:rPr>
        <w:t xml:space="preserve"> </w:t>
      </w:r>
      <w:r>
        <w:rPr>
          <w:color w:val="231F20"/>
          <w:sz w:val="13"/>
        </w:rPr>
        <w:t>Future</w:t>
      </w:r>
      <w:r>
        <w:rPr>
          <w:color w:val="231F20"/>
          <w:spacing w:val="5"/>
          <w:sz w:val="13"/>
        </w:rPr>
        <w:t xml:space="preserve"> </w:t>
      </w:r>
      <w:r>
        <w:rPr>
          <w:color w:val="231F20"/>
          <w:sz w:val="13"/>
        </w:rPr>
        <w:t>Promises’</w:t>
      </w:r>
      <w:r>
        <w:rPr>
          <w:color w:val="231F20"/>
          <w:spacing w:val="5"/>
          <w:sz w:val="13"/>
        </w:rPr>
        <w:t xml:space="preserve"> </w:t>
      </w:r>
      <w:r>
        <w:rPr>
          <w:color w:val="231F20"/>
          <w:sz w:val="13"/>
        </w:rPr>
        <w:t>(2021)</w:t>
      </w:r>
      <w:r>
        <w:rPr>
          <w:color w:val="231F20"/>
          <w:spacing w:val="6"/>
          <w:sz w:val="13"/>
        </w:rPr>
        <w:t xml:space="preserve"> </w:t>
      </w:r>
      <w:r>
        <w:rPr>
          <w:color w:val="231F20"/>
          <w:sz w:val="13"/>
        </w:rPr>
        <w:t>163</w:t>
      </w:r>
      <w:r>
        <w:rPr>
          <w:color w:val="231F20"/>
          <w:spacing w:val="5"/>
          <w:sz w:val="13"/>
        </w:rPr>
        <w:t xml:space="preserve"> </w:t>
      </w:r>
      <w:r>
        <w:rPr>
          <w:i/>
          <w:color w:val="231F20"/>
          <w:sz w:val="13"/>
        </w:rPr>
        <w:t>Technological</w:t>
      </w:r>
      <w:r>
        <w:rPr>
          <w:i/>
          <w:color w:val="231F20"/>
          <w:spacing w:val="4"/>
          <w:sz w:val="13"/>
        </w:rPr>
        <w:t xml:space="preserve"> </w:t>
      </w:r>
      <w:r>
        <w:rPr>
          <w:i/>
          <w:color w:val="231F20"/>
          <w:sz w:val="13"/>
        </w:rPr>
        <w:t>Forecasting</w:t>
      </w:r>
      <w:r>
        <w:rPr>
          <w:i/>
          <w:color w:val="231F20"/>
          <w:spacing w:val="5"/>
          <w:sz w:val="13"/>
        </w:rPr>
        <w:t xml:space="preserve"> </w:t>
      </w:r>
      <w:r>
        <w:rPr>
          <w:i/>
          <w:color w:val="231F20"/>
          <w:sz w:val="13"/>
        </w:rPr>
        <w:t>and</w:t>
      </w:r>
      <w:r>
        <w:rPr>
          <w:i/>
          <w:color w:val="231F20"/>
          <w:spacing w:val="5"/>
          <w:sz w:val="13"/>
        </w:rPr>
        <w:t xml:space="preserve"> </w:t>
      </w:r>
      <w:r>
        <w:rPr>
          <w:i/>
          <w:color w:val="231F20"/>
          <w:sz w:val="13"/>
        </w:rPr>
        <w:t>Social</w:t>
      </w:r>
      <w:r>
        <w:rPr>
          <w:i/>
          <w:color w:val="231F20"/>
          <w:spacing w:val="5"/>
          <w:sz w:val="13"/>
        </w:rPr>
        <w:t xml:space="preserve"> </w:t>
      </w:r>
      <w:r>
        <w:rPr>
          <w:i/>
          <w:color w:val="231F20"/>
          <w:sz w:val="13"/>
        </w:rPr>
        <w:t>Change</w:t>
      </w:r>
      <w:r>
        <w:rPr>
          <w:i/>
          <w:color w:val="231F20"/>
          <w:spacing w:val="5"/>
          <w:sz w:val="13"/>
        </w:rPr>
        <w:t xml:space="preserve"> </w:t>
      </w:r>
      <w:r>
        <w:rPr>
          <w:color w:val="231F20"/>
          <w:sz w:val="13"/>
        </w:rPr>
        <w:t>120426:1–15,</w:t>
      </w:r>
      <w:r>
        <w:rPr>
          <w:color w:val="231F20"/>
          <w:spacing w:val="6"/>
          <w:sz w:val="13"/>
        </w:rPr>
        <w:t xml:space="preserve"> </w:t>
      </w:r>
      <w:r>
        <w:rPr>
          <w:color w:val="231F20"/>
          <w:spacing w:val="-3"/>
          <w:sz w:val="13"/>
        </w:rPr>
        <w:t>7.</w:t>
      </w:r>
    </w:p>
    <w:p w14:paraId="344B3E41" w14:textId="77777777" w:rsidR="00894070" w:rsidRDefault="009B7AFD">
      <w:pPr>
        <w:pStyle w:val="ListParagraph"/>
        <w:numPr>
          <w:ilvl w:val="0"/>
          <w:numId w:val="159"/>
        </w:numPr>
        <w:tabs>
          <w:tab w:val="left" w:pos="1801"/>
          <w:tab w:val="left" w:pos="1802"/>
        </w:tabs>
        <w:spacing w:line="213" w:lineRule="auto"/>
        <w:ind w:right="1588"/>
        <w:rPr>
          <w:sz w:val="13"/>
        </w:rPr>
      </w:pP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 xml:space="preserve">Support Services </w:t>
      </w:r>
      <w:r>
        <w:rPr>
          <w:i/>
          <w:color w:val="231F20"/>
          <w:sz w:val="13"/>
        </w:rPr>
        <w:t xml:space="preserve">Stakeholders </w:t>
      </w:r>
      <w:r>
        <w:rPr>
          <w:color w:val="231F20"/>
          <w:sz w:val="13"/>
        </w:rPr>
        <w:t xml:space="preserve">(Research </w:t>
      </w:r>
      <w:r>
        <w:rPr>
          <w:color w:val="231F20"/>
          <w:spacing w:val="2"/>
          <w:sz w:val="13"/>
        </w:rPr>
        <w:t xml:space="preserve">Report </w:t>
      </w:r>
      <w:r>
        <w:rPr>
          <w:color w:val="231F20"/>
          <w:sz w:val="13"/>
        </w:rPr>
        <w:t xml:space="preserve">No 2, ANROWS, July 2021) 11; Chanelle </w:t>
      </w:r>
      <w:r>
        <w:rPr>
          <w:color w:val="231F20"/>
          <w:spacing w:val="2"/>
          <w:sz w:val="13"/>
        </w:rPr>
        <w:t xml:space="preserve">Wilson, </w:t>
      </w:r>
      <w:r>
        <w:rPr>
          <w:color w:val="231F20"/>
          <w:sz w:val="13"/>
        </w:rPr>
        <w:t xml:space="preserve">Lorraine </w:t>
      </w:r>
      <w:proofErr w:type="gramStart"/>
      <w:r>
        <w:rPr>
          <w:color w:val="231F20"/>
          <w:sz w:val="13"/>
        </w:rPr>
        <w:t>Sheridan</w:t>
      </w:r>
      <w:proofErr w:type="gramEnd"/>
      <w:r>
        <w:rPr>
          <w:color w:val="231F20"/>
          <w:sz w:val="13"/>
        </w:rPr>
        <w:t xml:space="preserve"> and David Garratt-Reed, </w:t>
      </w:r>
      <w:r>
        <w:rPr>
          <w:color w:val="231F20"/>
          <w:spacing w:val="2"/>
          <w:sz w:val="13"/>
        </w:rPr>
        <w:t xml:space="preserve">‘What </w:t>
      </w:r>
      <w:r>
        <w:rPr>
          <w:color w:val="231F20"/>
          <w:sz w:val="13"/>
        </w:rPr>
        <w:t>Is Cyberstalking?</w:t>
      </w:r>
      <w:r>
        <w:rPr>
          <w:color w:val="231F20"/>
          <w:spacing w:val="3"/>
          <w:sz w:val="13"/>
        </w:rPr>
        <w:t xml:space="preserve"> </w:t>
      </w:r>
      <w:r>
        <w:rPr>
          <w:color w:val="231F20"/>
          <w:sz w:val="13"/>
        </w:rPr>
        <w:t>A</w:t>
      </w:r>
      <w:r>
        <w:rPr>
          <w:color w:val="231F20"/>
          <w:spacing w:val="4"/>
          <w:sz w:val="13"/>
        </w:rPr>
        <w:t xml:space="preserve"> </w:t>
      </w:r>
      <w:r>
        <w:rPr>
          <w:color w:val="231F20"/>
          <w:sz w:val="13"/>
        </w:rPr>
        <w:t>Review</w:t>
      </w:r>
      <w:r>
        <w:rPr>
          <w:color w:val="231F20"/>
          <w:spacing w:val="4"/>
          <w:sz w:val="13"/>
        </w:rPr>
        <w:t xml:space="preserve"> </w:t>
      </w:r>
      <w:r>
        <w:rPr>
          <w:color w:val="231F20"/>
          <w:sz w:val="13"/>
        </w:rPr>
        <w:t>of</w:t>
      </w:r>
      <w:r>
        <w:rPr>
          <w:color w:val="231F20"/>
          <w:spacing w:val="4"/>
          <w:sz w:val="13"/>
        </w:rPr>
        <w:t xml:space="preserve"> </w:t>
      </w:r>
      <w:r>
        <w:rPr>
          <w:color w:val="231F20"/>
          <w:sz w:val="13"/>
        </w:rPr>
        <w:t>Measurements’</w:t>
      </w:r>
      <w:r>
        <w:rPr>
          <w:color w:val="231F20"/>
          <w:spacing w:val="4"/>
          <w:sz w:val="13"/>
        </w:rPr>
        <w:t xml:space="preserve"> </w:t>
      </w:r>
      <w:r>
        <w:rPr>
          <w:color w:val="231F20"/>
          <w:sz w:val="13"/>
        </w:rPr>
        <w:t>(2022)</w:t>
      </w:r>
      <w:r>
        <w:rPr>
          <w:color w:val="231F20"/>
          <w:spacing w:val="4"/>
          <w:sz w:val="13"/>
        </w:rPr>
        <w:t xml:space="preserve"> </w:t>
      </w:r>
      <w:r>
        <w:rPr>
          <w:color w:val="231F20"/>
          <w:sz w:val="13"/>
        </w:rPr>
        <w:t>37(11–12)</w:t>
      </w:r>
      <w:r>
        <w:rPr>
          <w:color w:val="231F20"/>
          <w:spacing w:val="4"/>
          <w:sz w:val="13"/>
        </w:rPr>
        <w:t xml:space="preserve"> </w:t>
      </w:r>
      <w:r>
        <w:rPr>
          <w:i/>
          <w:color w:val="231F20"/>
          <w:sz w:val="13"/>
        </w:rPr>
        <w:t>Journal</w:t>
      </w:r>
      <w:r>
        <w:rPr>
          <w:i/>
          <w:color w:val="231F20"/>
          <w:spacing w:val="4"/>
          <w:sz w:val="13"/>
        </w:rPr>
        <w:t xml:space="preserve"> </w:t>
      </w:r>
      <w:r>
        <w:rPr>
          <w:i/>
          <w:color w:val="231F20"/>
          <w:sz w:val="13"/>
        </w:rPr>
        <w:t>of</w:t>
      </w:r>
      <w:r>
        <w:rPr>
          <w:i/>
          <w:color w:val="231F20"/>
          <w:spacing w:val="4"/>
          <w:sz w:val="13"/>
        </w:rPr>
        <w:t xml:space="preserve"> </w:t>
      </w:r>
      <w:r>
        <w:rPr>
          <w:i/>
          <w:color w:val="231F20"/>
          <w:sz w:val="13"/>
        </w:rPr>
        <w:t>Interpersonal</w:t>
      </w:r>
      <w:r>
        <w:rPr>
          <w:i/>
          <w:color w:val="231F20"/>
          <w:spacing w:val="4"/>
          <w:sz w:val="13"/>
        </w:rPr>
        <w:t xml:space="preserve"> </w:t>
      </w:r>
      <w:r>
        <w:rPr>
          <w:i/>
          <w:color w:val="231F20"/>
          <w:sz w:val="13"/>
        </w:rPr>
        <w:t>Violence</w:t>
      </w:r>
      <w:r>
        <w:rPr>
          <w:i/>
          <w:color w:val="231F20"/>
          <w:spacing w:val="4"/>
          <w:sz w:val="13"/>
        </w:rPr>
        <w:t xml:space="preserve"> </w:t>
      </w:r>
      <w:r>
        <w:rPr>
          <w:color w:val="231F20"/>
          <w:sz w:val="13"/>
        </w:rPr>
        <w:t>NP9763,</w:t>
      </w:r>
      <w:r>
        <w:rPr>
          <w:color w:val="231F20"/>
          <w:spacing w:val="3"/>
          <w:sz w:val="13"/>
        </w:rPr>
        <w:t xml:space="preserve"> </w:t>
      </w:r>
      <w:r>
        <w:rPr>
          <w:color w:val="231F20"/>
          <w:sz w:val="13"/>
        </w:rPr>
        <w:t>NP9764.</w:t>
      </w:r>
    </w:p>
    <w:p w14:paraId="45A01775" w14:textId="77777777" w:rsidR="00894070" w:rsidRDefault="009B7AFD">
      <w:pPr>
        <w:pStyle w:val="ListParagraph"/>
        <w:numPr>
          <w:ilvl w:val="0"/>
          <w:numId w:val="159"/>
        </w:numPr>
        <w:tabs>
          <w:tab w:val="left" w:pos="1801"/>
          <w:tab w:val="left" w:pos="1802"/>
        </w:tabs>
        <w:spacing w:line="152" w:lineRule="exact"/>
        <w:rPr>
          <w:sz w:val="13"/>
        </w:rPr>
      </w:pPr>
      <w:r>
        <w:rPr>
          <w:color w:val="231F20"/>
          <w:spacing w:val="2"/>
          <w:sz w:val="13"/>
        </w:rPr>
        <w:t xml:space="preserve">Submission </w:t>
      </w:r>
      <w:r>
        <w:rPr>
          <w:color w:val="231F20"/>
          <w:sz w:val="13"/>
        </w:rPr>
        <w:t xml:space="preserve">104 </w:t>
      </w:r>
      <w:r>
        <w:rPr>
          <w:color w:val="231F20"/>
          <w:spacing w:val="2"/>
          <w:sz w:val="13"/>
        </w:rPr>
        <w:t xml:space="preserve">(Alannah </w:t>
      </w:r>
      <w:r>
        <w:rPr>
          <w:color w:val="231F20"/>
          <w:sz w:val="13"/>
        </w:rPr>
        <w:t>and Madeline</w:t>
      </w:r>
      <w:r>
        <w:rPr>
          <w:color w:val="231F20"/>
          <w:spacing w:val="-5"/>
          <w:sz w:val="13"/>
        </w:rPr>
        <w:t xml:space="preserve"> </w:t>
      </w:r>
      <w:r>
        <w:rPr>
          <w:color w:val="231F20"/>
          <w:sz w:val="13"/>
        </w:rPr>
        <w:t>Foundation).</w:t>
      </w:r>
    </w:p>
    <w:p w14:paraId="29B0C729" w14:textId="77777777" w:rsidR="00894070" w:rsidRDefault="009B7AFD">
      <w:pPr>
        <w:pStyle w:val="ListParagraph"/>
        <w:numPr>
          <w:ilvl w:val="0"/>
          <w:numId w:val="159"/>
        </w:numPr>
        <w:tabs>
          <w:tab w:val="left" w:pos="1801"/>
          <w:tab w:val="left" w:pos="1802"/>
        </w:tabs>
        <w:spacing w:before="2" w:line="213" w:lineRule="auto"/>
        <w:ind w:right="1406"/>
        <w:rPr>
          <w:sz w:val="13"/>
        </w:rPr>
      </w:pPr>
      <w:r>
        <w:rPr>
          <w:color w:val="231F20"/>
          <w:sz w:val="13"/>
        </w:rPr>
        <w:t xml:space="preserve">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proofErr w:type="spellStart"/>
      <w:r>
        <w:rPr>
          <w:i/>
          <w:color w:val="231F20"/>
          <w:sz w:val="13"/>
        </w:rPr>
        <w:t>ESafety</w:t>
      </w:r>
      <w:proofErr w:type="spellEnd"/>
      <w:r>
        <w:rPr>
          <w:i/>
          <w:color w:val="231F20"/>
          <w:sz w:val="13"/>
        </w:rPr>
        <w:t xml:space="preserve"> for Women from Culturally and Linguistically Diverse Backgrounds </w:t>
      </w:r>
      <w:r>
        <w:rPr>
          <w:color w:val="231F20"/>
          <w:spacing w:val="2"/>
          <w:sz w:val="13"/>
        </w:rPr>
        <w:t xml:space="preserve">(Summary Report, </w:t>
      </w:r>
      <w:r>
        <w:rPr>
          <w:color w:val="231F20"/>
          <w:sz w:val="13"/>
        </w:rPr>
        <w:t>18 February</w:t>
      </w:r>
      <w:r>
        <w:rPr>
          <w:color w:val="231F20"/>
          <w:spacing w:val="-2"/>
          <w:sz w:val="13"/>
        </w:rPr>
        <w:t xml:space="preserve"> </w:t>
      </w:r>
      <w:r>
        <w:rPr>
          <w:color w:val="231F20"/>
          <w:sz w:val="13"/>
        </w:rPr>
        <w:t>2019).</w:t>
      </w:r>
    </w:p>
    <w:p w14:paraId="7DD539B2" w14:textId="77777777" w:rsidR="00894070" w:rsidRDefault="009B7AFD">
      <w:pPr>
        <w:pStyle w:val="ListParagraph"/>
        <w:numPr>
          <w:ilvl w:val="0"/>
          <w:numId w:val="159"/>
        </w:numPr>
        <w:tabs>
          <w:tab w:val="left" w:pos="1801"/>
          <w:tab w:val="left" w:pos="1802"/>
        </w:tabs>
        <w:spacing w:line="213" w:lineRule="auto"/>
        <w:ind w:right="1327"/>
        <w:rPr>
          <w:sz w:val="13"/>
        </w:rPr>
      </w:pPr>
      <w:r>
        <w:rPr>
          <w:color w:val="231F20"/>
          <w:sz w:val="13"/>
        </w:rPr>
        <w:t xml:space="preserve">See, </w:t>
      </w:r>
      <w:proofErr w:type="spellStart"/>
      <w:r>
        <w:rPr>
          <w:color w:val="231F20"/>
          <w:sz w:val="13"/>
        </w:rPr>
        <w:t>eg</w:t>
      </w:r>
      <w:proofErr w:type="spellEnd"/>
      <w:r>
        <w:rPr>
          <w:color w:val="231F20"/>
          <w:sz w:val="13"/>
        </w:rPr>
        <w:t>, Hadeel Al-</w:t>
      </w:r>
      <w:proofErr w:type="spellStart"/>
      <w:r>
        <w:rPr>
          <w:color w:val="231F20"/>
          <w:sz w:val="13"/>
        </w:rPr>
        <w:t>Alosi</w:t>
      </w:r>
      <w:proofErr w:type="spellEnd"/>
      <w:r>
        <w:rPr>
          <w:color w:val="231F20"/>
          <w:sz w:val="13"/>
        </w:rPr>
        <w:t xml:space="preserve">, ‘Cyber-Violence: Digital Abuse in the Context of </w:t>
      </w:r>
      <w:r>
        <w:rPr>
          <w:color w:val="231F20"/>
          <w:spacing w:val="2"/>
          <w:sz w:val="13"/>
        </w:rPr>
        <w:t xml:space="preserve">Domestic </w:t>
      </w:r>
      <w:r>
        <w:rPr>
          <w:color w:val="231F20"/>
          <w:sz w:val="13"/>
        </w:rPr>
        <w:t xml:space="preserve">Violence’ (2017) </w:t>
      </w:r>
      <w:r>
        <w:rPr>
          <w:color w:val="231F20"/>
          <w:spacing w:val="2"/>
          <w:sz w:val="13"/>
        </w:rPr>
        <w:t xml:space="preserve">40(4) </w:t>
      </w:r>
      <w:r>
        <w:rPr>
          <w:i/>
          <w:color w:val="231F20"/>
          <w:sz w:val="13"/>
        </w:rPr>
        <w:t xml:space="preserve">UNSW Law Journal </w:t>
      </w:r>
      <w:r>
        <w:rPr>
          <w:color w:val="231F20"/>
          <w:sz w:val="13"/>
        </w:rPr>
        <w:t xml:space="preserve">1573; </w:t>
      </w:r>
      <w:r>
        <w:rPr>
          <w:color w:val="231F20"/>
          <w:spacing w:val="2"/>
          <w:sz w:val="13"/>
        </w:rPr>
        <w:t xml:space="preserve">Nicola Henry </w:t>
      </w:r>
      <w:r>
        <w:rPr>
          <w:color w:val="231F20"/>
          <w:sz w:val="13"/>
        </w:rPr>
        <w:t xml:space="preserve">et </w:t>
      </w:r>
      <w:r>
        <w:rPr>
          <w:color w:val="231F20"/>
          <w:spacing w:val="2"/>
          <w:sz w:val="13"/>
        </w:rPr>
        <w:t xml:space="preserve">al, </w:t>
      </w:r>
      <w:r>
        <w:rPr>
          <w:color w:val="231F20"/>
          <w:sz w:val="13"/>
        </w:rPr>
        <w:t xml:space="preserve">‘Technology-Facilitated </w:t>
      </w:r>
      <w:r>
        <w:rPr>
          <w:color w:val="231F20"/>
          <w:spacing w:val="2"/>
          <w:sz w:val="13"/>
        </w:rPr>
        <w:t xml:space="preserve">Domestic </w:t>
      </w:r>
      <w:r>
        <w:rPr>
          <w:color w:val="231F20"/>
          <w:sz w:val="13"/>
        </w:rPr>
        <w:t xml:space="preserve">Violence against Immigrant and Refugee Women: A Qualitative  Study’ [2021] </w:t>
      </w:r>
      <w:r>
        <w:rPr>
          <w:i/>
          <w:color w:val="231F20"/>
          <w:sz w:val="13"/>
        </w:rPr>
        <w:t xml:space="preserve">Journal of Interpersonal Violence </w:t>
      </w:r>
      <w:r>
        <w:rPr>
          <w:color w:val="231F20"/>
          <w:sz w:val="13"/>
        </w:rPr>
        <w:t xml:space="preserve">10.1177/08862605211001465:1–27; </w:t>
      </w:r>
      <w:r>
        <w:rPr>
          <w:color w:val="231F20"/>
          <w:spacing w:val="2"/>
          <w:sz w:val="13"/>
        </w:rPr>
        <w:t xml:space="preserve">Delanie </w:t>
      </w:r>
      <w:proofErr w:type="spellStart"/>
      <w:r>
        <w:rPr>
          <w:color w:val="231F20"/>
          <w:sz w:val="13"/>
        </w:rPr>
        <w:t>Woodlock</w:t>
      </w:r>
      <w:proofErr w:type="spellEnd"/>
      <w:r>
        <w:rPr>
          <w:color w:val="231F20"/>
          <w:sz w:val="13"/>
        </w:rPr>
        <w:t xml:space="preserve">, ‘The Abuse of Technology    in </w:t>
      </w:r>
      <w:r>
        <w:rPr>
          <w:color w:val="231F20"/>
          <w:spacing w:val="2"/>
          <w:sz w:val="13"/>
        </w:rPr>
        <w:t xml:space="preserve">Domestic </w:t>
      </w:r>
      <w:r>
        <w:rPr>
          <w:color w:val="231F20"/>
          <w:sz w:val="13"/>
        </w:rPr>
        <w:t xml:space="preserve">Violence and Stalking’ (2017) </w:t>
      </w:r>
      <w:r>
        <w:rPr>
          <w:color w:val="231F20"/>
          <w:spacing w:val="2"/>
          <w:sz w:val="13"/>
        </w:rPr>
        <w:t xml:space="preserve">23(5) </w:t>
      </w:r>
      <w:r>
        <w:rPr>
          <w:i/>
          <w:color w:val="231F20"/>
          <w:sz w:val="13"/>
        </w:rPr>
        <w:t xml:space="preserve">Violence Against Women </w:t>
      </w:r>
      <w:r>
        <w:rPr>
          <w:color w:val="231F20"/>
          <w:sz w:val="13"/>
        </w:rPr>
        <w:t xml:space="preserve">584; </w:t>
      </w:r>
      <w:r>
        <w:rPr>
          <w:i/>
          <w:color w:val="231F20"/>
          <w:sz w:val="13"/>
        </w:rPr>
        <w:t xml:space="preserve">Royal Commission into Family Violence: </w:t>
      </w:r>
      <w:r>
        <w:rPr>
          <w:i/>
          <w:color w:val="231F20"/>
          <w:spacing w:val="2"/>
          <w:sz w:val="13"/>
        </w:rPr>
        <w:t xml:space="preserve">Report and </w:t>
      </w:r>
      <w:r>
        <w:rPr>
          <w:i/>
          <w:color w:val="231F20"/>
          <w:sz w:val="13"/>
        </w:rPr>
        <w:t xml:space="preserve">Recommendations </w:t>
      </w:r>
      <w:r>
        <w:rPr>
          <w:color w:val="231F20"/>
          <w:sz w:val="13"/>
        </w:rPr>
        <w:t xml:space="preserve">(Final </w:t>
      </w:r>
      <w:r>
        <w:rPr>
          <w:color w:val="231F20"/>
          <w:spacing w:val="2"/>
          <w:sz w:val="13"/>
        </w:rPr>
        <w:t xml:space="preserve">Report, </w:t>
      </w:r>
      <w:r>
        <w:rPr>
          <w:color w:val="231F20"/>
          <w:sz w:val="13"/>
        </w:rPr>
        <w:t xml:space="preserve">March 2016) vol 1, </w:t>
      </w:r>
      <w:proofErr w:type="spellStart"/>
      <w:r>
        <w:rPr>
          <w:color w:val="231F20"/>
          <w:sz w:val="13"/>
        </w:rPr>
        <w:t>ch</w:t>
      </w:r>
      <w:proofErr w:type="spellEnd"/>
      <w:r>
        <w:rPr>
          <w:color w:val="231F20"/>
          <w:spacing w:val="1"/>
          <w:sz w:val="13"/>
        </w:rPr>
        <w:t xml:space="preserve"> </w:t>
      </w:r>
      <w:r>
        <w:rPr>
          <w:color w:val="231F20"/>
          <w:sz w:val="13"/>
        </w:rPr>
        <w:t>2.</w:t>
      </w:r>
    </w:p>
    <w:p w14:paraId="78135EA4" w14:textId="77777777" w:rsidR="00894070" w:rsidRDefault="009B7AFD">
      <w:pPr>
        <w:pStyle w:val="ListParagraph"/>
        <w:numPr>
          <w:ilvl w:val="0"/>
          <w:numId w:val="159"/>
        </w:numPr>
        <w:tabs>
          <w:tab w:val="left" w:pos="1800"/>
          <w:tab w:val="left" w:pos="1802"/>
        </w:tabs>
        <w:spacing w:line="213" w:lineRule="auto"/>
        <w:ind w:right="1287"/>
        <w:rPr>
          <w:sz w:val="13"/>
        </w:rPr>
      </w:pPr>
      <w:r>
        <w:rPr>
          <w:color w:val="231F20"/>
          <w:sz w:val="13"/>
        </w:rPr>
        <w:t xml:space="preserve">Cristina </w:t>
      </w:r>
      <w:proofErr w:type="spellStart"/>
      <w:r>
        <w:rPr>
          <w:color w:val="231F20"/>
          <w:sz w:val="13"/>
        </w:rPr>
        <w:t>Cavezza</w:t>
      </w:r>
      <w:proofErr w:type="spellEnd"/>
      <w:r>
        <w:rPr>
          <w:color w:val="231F20"/>
          <w:sz w:val="13"/>
        </w:rPr>
        <w:t xml:space="preserve"> and </w:t>
      </w:r>
      <w:r>
        <w:rPr>
          <w:color w:val="231F20"/>
          <w:spacing w:val="-3"/>
          <w:sz w:val="13"/>
        </w:rPr>
        <w:t xml:space="preserve">Troy </w:t>
      </w:r>
      <w:r>
        <w:rPr>
          <w:color w:val="231F20"/>
          <w:sz w:val="13"/>
        </w:rPr>
        <w:t xml:space="preserve">E McEwan, </w:t>
      </w:r>
      <w:r>
        <w:rPr>
          <w:color w:val="231F20"/>
          <w:spacing w:val="2"/>
          <w:sz w:val="13"/>
        </w:rPr>
        <w:t xml:space="preserve">‘Cyberstalking </w:t>
      </w:r>
      <w:r>
        <w:rPr>
          <w:color w:val="231F20"/>
          <w:sz w:val="13"/>
        </w:rPr>
        <w:t xml:space="preserve">versus Off-Line Stalking in a Forensic Sample’ (2014) 20(10) </w:t>
      </w:r>
      <w:proofErr w:type="gramStart"/>
      <w:r>
        <w:rPr>
          <w:i/>
          <w:color w:val="231F20"/>
          <w:sz w:val="13"/>
        </w:rPr>
        <w:t xml:space="preserve">Psychology,   </w:t>
      </w:r>
      <w:proofErr w:type="gramEnd"/>
      <w:r>
        <w:rPr>
          <w:i/>
          <w:color w:val="231F20"/>
          <w:sz w:val="13"/>
        </w:rPr>
        <w:t xml:space="preserve">Crime and Law </w:t>
      </w:r>
      <w:r>
        <w:rPr>
          <w:color w:val="231F20"/>
          <w:spacing w:val="3"/>
          <w:sz w:val="13"/>
        </w:rPr>
        <w:t xml:space="preserve">955, </w:t>
      </w:r>
      <w:r>
        <w:rPr>
          <w:color w:val="231F20"/>
          <w:sz w:val="13"/>
        </w:rPr>
        <w:t xml:space="preserve">956; Puneet Kaur et </w:t>
      </w:r>
      <w:r>
        <w:rPr>
          <w:color w:val="231F20"/>
          <w:spacing w:val="2"/>
          <w:sz w:val="13"/>
        </w:rPr>
        <w:t xml:space="preserve">al, </w:t>
      </w:r>
      <w:r>
        <w:rPr>
          <w:color w:val="231F20"/>
          <w:spacing w:val="-4"/>
          <w:sz w:val="13"/>
        </w:rPr>
        <w:t xml:space="preserve">‘A </w:t>
      </w:r>
      <w:r>
        <w:rPr>
          <w:color w:val="231F20"/>
          <w:sz w:val="13"/>
        </w:rPr>
        <w:t xml:space="preserve">Systematic Literature Review on </w:t>
      </w:r>
      <w:r>
        <w:rPr>
          <w:color w:val="231F20"/>
          <w:spacing w:val="2"/>
          <w:sz w:val="13"/>
        </w:rPr>
        <w:t xml:space="preserve">Cyberstalking. </w:t>
      </w:r>
      <w:r>
        <w:rPr>
          <w:color w:val="231F20"/>
          <w:sz w:val="13"/>
        </w:rPr>
        <w:t xml:space="preserve">An Analysis of Past Achievements and Future Promises’ (2021) 163 </w:t>
      </w:r>
      <w:r>
        <w:rPr>
          <w:i/>
          <w:color w:val="231F20"/>
          <w:sz w:val="13"/>
        </w:rPr>
        <w:t xml:space="preserve">Technological Forecasting and Social Change </w:t>
      </w:r>
      <w:r>
        <w:rPr>
          <w:color w:val="231F20"/>
          <w:sz w:val="13"/>
        </w:rPr>
        <w:t xml:space="preserve">120426:1–15; </w:t>
      </w:r>
      <w:r>
        <w:rPr>
          <w:color w:val="231F20"/>
          <w:spacing w:val="2"/>
          <w:sz w:val="13"/>
        </w:rPr>
        <w:t xml:space="preserve">Catherine </w:t>
      </w:r>
      <w:r>
        <w:rPr>
          <w:color w:val="231F20"/>
          <w:sz w:val="13"/>
        </w:rPr>
        <w:t xml:space="preserve">D Marcum and George E Higgins, </w:t>
      </w:r>
      <w:r>
        <w:rPr>
          <w:color w:val="231F20"/>
          <w:spacing w:val="-4"/>
          <w:sz w:val="13"/>
        </w:rPr>
        <w:t xml:space="preserve">‘A </w:t>
      </w:r>
      <w:r>
        <w:rPr>
          <w:color w:val="231F20"/>
          <w:sz w:val="13"/>
        </w:rPr>
        <w:t xml:space="preserve">Systematic Review of </w:t>
      </w:r>
      <w:r>
        <w:rPr>
          <w:color w:val="231F20"/>
          <w:spacing w:val="2"/>
          <w:sz w:val="13"/>
        </w:rPr>
        <w:t xml:space="preserve">Cyberstalking </w:t>
      </w:r>
      <w:r>
        <w:rPr>
          <w:color w:val="231F20"/>
          <w:sz w:val="13"/>
        </w:rPr>
        <w:t xml:space="preserve">Victimization and Offending Behaviors’ (2021) 46(6) </w:t>
      </w:r>
      <w:r>
        <w:rPr>
          <w:i/>
          <w:color w:val="231F20"/>
          <w:sz w:val="13"/>
        </w:rPr>
        <w:t xml:space="preserve">American Journal of Criminal Justice </w:t>
      </w:r>
      <w:r>
        <w:rPr>
          <w:color w:val="231F20"/>
          <w:sz w:val="13"/>
        </w:rPr>
        <w:t xml:space="preserve">882; Chanelle </w:t>
      </w:r>
      <w:r>
        <w:rPr>
          <w:color w:val="231F20"/>
          <w:spacing w:val="2"/>
          <w:sz w:val="13"/>
        </w:rPr>
        <w:t xml:space="preserve">Wilson, </w:t>
      </w:r>
      <w:r>
        <w:rPr>
          <w:color w:val="231F20"/>
          <w:sz w:val="13"/>
        </w:rPr>
        <w:t xml:space="preserve">Lorraine </w:t>
      </w:r>
      <w:proofErr w:type="gramStart"/>
      <w:r>
        <w:rPr>
          <w:color w:val="231F20"/>
          <w:spacing w:val="2"/>
          <w:sz w:val="13"/>
        </w:rPr>
        <w:t>Sheridan</w:t>
      </w:r>
      <w:proofErr w:type="gramEnd"/>
      <w:r>
        <w:rPr>
          <w:color w:val="231F20"/>
          <w:spacing w:val="2"/>
          <w:sz w:val="13"/>
        </w:rPr>
        <w:t xml:space="preserve"> </w:t>
      </w:r>
      <w:r>
        <w:rPr>
          <w:color w:val="231F20"/>
          <w:sz w:val="13"/>
        </w:rPr>
        <w:t xml:space="preserve">and David Garratt-Reed, </w:t>
      </w:r>
      <w:r>
        <w:rPr>
          <w:color w:val="231F20"/>
          <w:spacing w:val="2"/>
          <w:sz w:val="13"/>
        </w:rPr>
        <w:t xml:space="preserve">‘What </w:t>
      </w:r>
      <w:r>
        <w:rPr>
          <w:color w:val="231F20"/>
          <w:sz w:val="13"/>
        </w:rPr>
        <w:t xml:space="preserve">Is Cyberstalking? A Review of Measurements’ (2022) 37(11–12) </w:t>
      </w:r>
      <w:r>
        <w:rPr>
          <w:i/>
          <w:color w:val="231F20"/>
          <w:sz w:val="13"/>
        </w:rPr>
        <w:t xml:space="preserve">Journal of Interpersonal Violence </w:t>
      </w:r>
      <w:r>
        <w:rPr>
          <w:color w:val="231F20"/>
          <w:sz w:val="13"/>
        </w:rPr>
        <w:t>NP9763,</w:t>
      </w:r>
      <w:r>
        <w:rPr>
          <w:color w:val="231F20"/>
          <w:spacing w:val="4"/>
          <w:sz w:val="13"/>
        </w:rPr>
        <w:t xml:space="preserve"> </w:t>
      </w:r>
      <w:r>
        <w:rPr>
          <w:color w:val="231F20"/>
          <w:spacing w:val="2"/>
          <w:sz w:val="13"/>
        </w:rPr>
        <w:t>NP9778–9.</w:t>
      </w:r>
    </w:p>
    <w:p w14:paraId="1A22B8E2" w14:textId="77777777" w:rsidR="00894070" w:rsidRDefault="009B7AFD">
      <w:pPr>
        <w:pStyle w:val="ListParagraph"/>
        <w:numPr>
          <w:ilvl w:val="0"/>
          <w:numId w:val="159"/>
        </w:numPr>
        <w:tabs>
          <w:tab w:val="left" w:pos="1801"/>
          <w:tab w:val="left" w:pos="1802"/>
        </w:tabs>
        <w:spacing w:line="213" w:lineRule="auto"/>
        <w:ind w:right="1615"/>
        <w:rPr>
          <w:sz w:val="13"/>
        </w:rPr>
      </w:pPr>
      <w:proofErr w:type="spellStart"/>
      <w:r>
        <w:rPr>
          <w:color w:val="231F20"/>
          <w:sz w:val="13"/>
        </w:rPr>
        <w:t>Billea</w:t>
      </w:r>
      <w:proofErr w:type="spellEnd"/>
      <w:r>
        <w:rPr>
          <w:color w:val="231F20"/>
          <w:sz w:val="13"/>
        </w:rPr>
        <w:t xml:space="preserve"> </w:t>
      </w:r>
      <w:proofErr w:type="spellStart"/>
      <w:r>
        <w:rPr>
          <w:color w:val="231F20"/>
          <w:sz w:val="13"/>
        </w:rPr>
        <w:t>Ahlgrim</w:t>
      </w:r>
      <w:proofErr w:type="spellEnd"/>
      <w:r>
        <w:rPr>
          <w:color w:val="231F20"/>
          <w:sz w:val="13"/>
        </w:rPr>
        <w:t xml:space="preserve"> and </w:t>
      </w:r>
      <w:r>
        <w:rPr>
          <w:color w:val="231F20"/>
          <w:spacing w:val="2"/>
          <w:sz w:val="13"/>
        </w:rPr>
        <w:t xml:space="preserve">Cheryl </w:t>
      </w:r>
      <w:r>
        <w:rPr>
          <w:color w:val="231F20"/>
          <w:sz w:val="13"/>
        </w:rPr>
        <w:t xml:space="preserve">Terrance, ‘Perceptions of </w:t>
      </w:r>
      <w:r>
        <w:rPr>
          <w:color w:val="231F20"/>
          <w:spacing w:val="2"/>
          <w:sz w:val="13"/>
        </w:rPr>
        <w:t xml:space="preserve">Cyberstalking: </w:t>
      </w:r>
      <w:proofErr w:type="gramStart"/>
      <w:r>
        <w:rPr>
          <w:color w:val="231F20"/>
          <w:sz w:val="13"/>
        </w:rPr>
        <w:t>Impact  of</w:t>
      </w:r>
      <w:proofErr w:type="gramEnd"/>
      <w:r>
        <w:rPr>
          <w:color w:val="231F20"/>
          <w:sz w:val="13"/>
        </w:rPr>
        <w:t xml:space="preserve">  Perpetrator  </w:t>
      </w:r>
      <w:r>
        <w:rPr>
          <w:color w:val="231F20"/>
          <w:spacing w:val="2"/>
          <w:sz w:val="13"/>
        </w:rPr>
        <w:t xml:space="preserve">Gender  </w:t>
      </w:r>
      <w:r>
        <w:rPr>
          <w:color w:val="231F20"/>
          <w:sz w:val="13"/>
        </w:rPr>
        <w:t xml:space="preserve">and  </w:t>
      </w:r>
      <w:proofErr w:type="spellStart"/>
      <w:r>
        <w:rPr>
          <w:color w:val="231F20"/>
          <w:sz w:val="13"/>
        </w:rPr>
        <w:t>Cyberstalker</w:t>
      </w:r>
      <w:proofErr w:type="spellEnd"/>
      <w:r>
        <w:rPr>
          <w:color w:val="231F20"/>
          <w:sz w:val="13"/>
        </w:rPr>
        <w:t>/ Victim</w:t>
      </w:r>
      <w:r>
        <w:rPr>
          <w:color w:val="231F20"/>
          <w:spacing w:val="7"/>
          <w:sz w:val="13"/>
        </w:rPr>
        <w:t xml:space="preserve"> </w:t>
      </w:r>
      <w:r>
        <w:rPr>
          <w:color w:val="231F20"/>
          <w:sz w:val="13"/>
        </w:rPr>
        <w:t>Relationship’</w:t>
      </w:r>
      <w:r>
        <w:rPr>
          <w:color w:val="231F20"/>
          <w:spacing w:val="8"/>
          <w:sz w:val="13"/>
        </w:rPr>
        <w:t xml:space="preserve"> </w:t>
      </w:r>
      <w:r>
        <w:rPr>
          <w:color w:val="231F20"/>
          <w:sz w:val="13"/>
        </w:rPr>
        <w:t>(2021)</w:t>
      </w:r>
      <w:r>
        <w:rPr>
          <w:color w:val="231F20"/>
          <w:spacing w:val="8"/>
          <w:sz w:val="13"/>
        </w:rPr>
        <w:t xml:space="preserve"> </w:t>
      </w:r>
      <w:r>
        <w:rPr>
          <w:color w:val="231F20"/>
          <w:sz w:val="13"/>
        </w:rPr>
        <w:t>36(7–8)</w:t>
      </w:r>
      <w:r>
        <w:rPr>
          <w:color w:val="231F20"/>
          <w:spacing w:val="8"/>
          <w:sz w:val="13"/>
        </w:rPr>
        <w:t xml:space="preserve"> </w:t>
      </w:r>
      <w:r>
        <w:rPr>
          <w:i/>
          <w:color w:val="231F20"/>
          <w:sz w:val="13"/>
        </w:rPr>
        <w:t>Journal</w:t>
      </w:r>
      <w:r>
        <w:rPr>
          <w:i/>
          <w:color w:val="231F20"/>
          <w:spacing w:val="8"/>
          <w:sz w:val="13"/>
        </w:rPr>
        <w:t xml:space="preserve"> </w:t>
      </w:r>
      <w:r>
        <w:rPr>
          <w:i/>
          <w:color w:val="231F20"/>
          <w:sz w:val="13"/>
        </w:rPr>
        <w:t>of</w:t>
      </w:r>
      <w:r>
        <w:rPr>
          <w:i/>
          <w:color w:val="231F20"/>
          <w:spacing w:val="8"/>
          <w:sz w:val="13"/>
        </w:rPr>
        <w:t xml:space="preserve"> </w:t>
      </w:r>
      <w:r>
        <w:rPr>
          <w:i/>
          <w:color w:val="231F20"/>
          <w:sz w:val="13"/>
        </w:rPr>
        <w:t>Interpersonal</w:t>
      </w:r>
      <w:r>
        <w:rPr>
          <w:i/>
          <w:color w:val="231F20"/>
          <w:spacing w:val="7"/>
          <w:sz w:val="13"/>
        </w:rPr>
        <w:t xml:space="preserve"> </w:t>
      </w:r>
      <w:r>
        <w:rPr>
          <w:i/>
          <w:color w:val="231F20"/>
          <w:sz w:val="13"/>
        </w:rPr>
        <w:t>Violence</w:t>
      </w:r>
      <w:r>
        <w:rPr>
          <w:i/>
          <w:color w:val="231F20"/>
          <w:spacing w:val="8"/>
          <w:sz w:val="13"/>
        </w:rPr>
        <w:t xml:space="preserve"> </w:t>
      </w:r>
      <w:r>
        <w:rPr>
          <w:color w:val="231F20"/>
          <w:sz w:val="13"/>
        </w:rPr>
        <w:t>NP4074,</w:t>
      </w:r>
      <w:r>
        <w:rPr>
          <w:color w:val="231F20"/>
          <w:spacing w:val="8"/>
          <w:sz w:val="13"/>
        </w:rPr>
        <w:t xml:space="preserve"> </w:t>
      </w:r>
      <w:r>
        <w:rPr>
          <w:color w:val="231F20"/>
          <w:sz w:val="13"/>
        </w:rPr>
        <w:t>NP4077;</w:t>
      </w:r>
      <w:r>
        <w:rPr>
          <w:color w:val="231F20"/>
          <w:spacing w:val="8"/>
          <w:sz w:val="13"/>
        </w:rPr>
        <w:t xml:space="preserve"> </w:t>
      </w:r>
      <w:r>
        <w:rPr>
          <w:color w:val="231F20"/>
          <w:sz w:val="13"/>
        </w:rPr>
        <w:t>Cristina</w:t>
      </w:r>
      <w:r>
        <w:rPr>
          <w:color w:val="231F20"/>
          <w:spacing w:val="8"/>
          <w:sz w:val="13"/>
        </w:rPr>
        <w:t xml:space="preserve"> </w:t>
      </w:r>
      <w:proofErr w:type="spellStart"/>
      <w:r>
        <w:rPr>
          <w:color w:val="231F20"/>
          <w:sz w:val="13"/>
        </w:rPr>
        <w:t>Cavezza</w:t>
      </w:r>
      <w:proofErr w:type="spellEnd"/>
      <w:r>
        <w:rPr>
          <w:color w:val="231F20"/>
          <w:spacing w:val="8"/>
          <w:sz w:val="13"/>
        </w:rPr>
        <w:t xml:space="preserve"> </w:t>
      </w:r>
      <w:r>
        <w:rPr>
          <w:color w:val="231F20"/>
          <w:sz w:val="13"/>
        </w:rPr>
        <w:t>and</w:t>
      </w:r>
      <w:r>
        <w:rPr>
          <w:color w:val="231F20"/>
          <w:spacing w:val="8"/>
          <w:sz w:val="13"/>
        </w:rPr>
        <w:t xml:space="preserve"> </w:t>
      </w:r>
      <w:r>
        <w:rPr>
          <w:color w:val="231F20"/>
          <w:spacing w:val="-3"/>
          <w:sz w:val="13"/>
        </w:rPr>
        <w:t>Troy</w:t>
      </w:r>
      <w:r>
        <w:rPr>
          <w:color w:val="231F20"/>
          <w:spacing w:val="8"/>
          <w:sz w:val="13"/>
        </w:rPr>
        <w:t xml:space="preserve"> </w:t>
      </w:r>
      <w:r>
        <w:rPr>
          <w:color w:val="231F20"/>
          <w:sz w:val="13"/>
        </w:rPr>
        <w:t>E</w:t>
      </w:r>
      <w:r>
        <w:rPr>
          <w:color w:val="231F20"/>
          <w:spacing w:val="7"/>
          <w:sz w:val="13"/>
        </w:rPr>
        <w:t xml:space="preserve"> </w:t>
      </w:r>
      <w:r>
        <w:rPr>
          <w:color w:val="231F20"/>
          <w:sz w:val="13"/>
        </w:rPr>
        <w:t>McEwan,</w:t>
      </w:r>
    </w:p>
    <w:p w14:paraId="411B80F5" w14:textId="77777777" w:rsidR="00894070" w:rsidRDefault="009F6793">
      <w:pPr>
        <w:spacing w:line="213" w:lineRule="auto"/>
        <w:ind w:left="1801" w:right="1219"/>
        <w:rPr>
          <w:sz w:val="13"/>
        </w:rPr>
      </w:pPr>
      <w:r>
        <w:pict w14:anchorId="0F9B977B">
          <v:shape id="_x0000_s1591" type="#_x0000_t202" style="position:absolute;left:0;text-align:left;margin-left:548.9pt;margin-top:11.4pt;width:13.4pt;height:14.1pt;z-index:251550720;mso-position-horizontal-relative:page" filled="f" stroked="f">
            <v:textbox inset="0,0,0,0">
              <w:txbxContent>
                <w:p w14:paraId="020D0055" w14:textId="77777777" w:rsidR="00894070" w:rsidRDefault="009B7AFD">
                  <w:pPr>
                    <w:spacing w:line="282" w:lineRule="exact"/>
                    <w:rPr>
                      <w:b/>
                      <w:sz w:val="24"/>
                    </w:rPr>
                  </w:pPr>
                  <w:r>
                    <w:rPr>
                      <w:b/>
                      <w:color w:val="EA5B50"/>
                      <w:sz w:val="24"/>
                    </w:rPr>
                    <w:t>35</w:t>
                  </w:r>
                </w:p>
              </w:txbxContent>
            </v:textbox>
            <w10:wrap anchorx="page"/>
          </v:shape>
        </w:pict>
      </w:r>
      <w:r w:rsidR="009B7AFD">
        <w:rPr>
          <w:color w:val="231F20"/>
          <w:sz w:val="13"/>
        </w:rPr>
        <w:t xml:space="preserve">‘Cyberstalking versus Off-Line Stalking in a Forensic Sample’ (2014) 20(10) </w:t>
      </w:r>
      <w:r w:rsidR="009B7AFD">
        <w:rPr>
          <w:i/>
          <w:color w:val="231F20"/>
          <w:sz w:val="13"/>
        </w:rPr>
        <w:t xml:space="preserve">Psychology, Crime and Law </w:t>
      </w:r>
      <w:r w:rsidR="009B7AFD">
        <w:rPr>
          <w:color w:val="231F20"/>
          <w:sz w:val="13"/>
        </w:rPr>
        <w:t xml:space="preserve">955, 956; Chanelle Wilson, Lorraine </w:t>
      </w:r>
      <w:proofErr w:type="gramStart"/>
      <w:r w:rsidR="009B7AFD">
        <w:rPr>
          <w:color w:val="231F20"/>
          <w:sz w:val="13"/>
        </w:rPr>
        <w:t>Sheridan</w:t>
      </w:r>
      <w:proofErr w:type="gramEnd"/>
      <w:r w:rsidR="009B7AFD">
        <w:rPr>
          <w:color w:val="231F20"/>
          <w:sz w:val="13"/>
        </w:rPr>
        <w:t xml:space="preserve"> and David Garratt-Reed, ‘What Is Cyberstalking? A Review of Measurements’ (2022) </w:t>
      </w:r>
      <w:r w:rsidR="009B7AFD">
        <w:rPr>
          <w:i/>
          <w:color w:val="231F20"/>
          <w:sz w:val="13"/>
        </w:rPr>
        <w:t xml:space="preserve">Journal of Interpersonal Violence </w:t>
      </w:r>
      <w:r w:rsidR="009B7AFD">
        <w:rPr>
          <w:color w:val="231F20"/>
          <w:sz w:val="13"/>
        </w:rPr>
        <w:t>37(11–12) NP9763, NP9778–9.</w:t>
      </w:r>
    </w:p>
    <w:p w14:paraId="572EFC16" w14:textId="77777777" w:rsidR="00894070" w:rsidRDefault="00894070">
      <w:pPr>
        <w:spacing w:line="213" w:lineRule="auto"/>
        <w:rPr>
          <w:sz w:val="13"/>
        </w:rPr>
        <w:sectPr w:rsidR="00894070">
          <w:pgSz w:w="11910" w:h="16840"/>
          <w:pgMar w:top="840" w:right="420" w:bottom="280" w:left="580" w:header="0" w:footer="0" w:gutter="0"/>
          <w:cols w:space="720"/>
        </w:sectPr>
      </w:pPr>
    </w:p>
    <w:p w14:paraId="4089C3F7" w14:textId="77777777" w:rsidR="00894070" w:rsidRDefault="00894070">
      <w:pPr>
        <w:pStyle w:val="BodyText"/>
      </w:pPr>
    </w:p>
    <w:p w14:paraId="002FAAC2" w14:textId="77777777" w:rsidR="00894070" w:rsidRDefault="00894070">
      <w:pPr>
        <w:pStyle w:val="BodyText"/>
      </w:pPr>
    </w:p>
    <w:p w14:paraId="3FB687A7" w14:textId="77777777" w:rsidR="00894070" w:rsidRDefault="00894070">
      <w:pPr>
        <w:pStyle w:val="BodyText"/>
      </w:pPr>
    </w:p>
    <w:p w14:paraId="587EEDD4" w14:textId="77777777" w:rsidR="00894070" w:rsidRDefault="009B7AFD">
      <w:pPr>
        <w:pStyle w:val="Heading8"/>
        <w:spacing w:before="220"/>
        <w:ind w:left="1007"/>
      </w:pPr>
      <w:bookmarkStart w:id="52" w:name="_bookmark25"/>
      <w:bookmarkEnd w:id="52"/>
      <w:r>
        <w:rPr>
          <w:color w:val="231F20"/>
        </w:rPr>
        <w:t>How common is cyberstalking?</w:t>
      </w:r>
    </w:p>
    <w:p w14:paraId="1876D647" w14:textId="77777777" w:rsidR="00894070" w:rsidRDefault="009B7AFD">
      <w:pPr>
        <w:pStyle w:val="ListParagraph"/>
        <w:numPr>
          <w:ilvl w:val="1"/>
          <w:numId w:val="161"/>
        </w:numPr>
        <w:tabs>
          <w:tab w:val="left" w:pos="1801"/>
          <w:tab w:val="left" w:pos="1802"/>
        </w:tabs>
        <w:spacing w:before="95" w:line="259" w:lineRule="exact"/>
        <w:rPr>
          <w:sz w:val="20"/>
        </w:rPr>
      </w:pPr>
      <w:r>
        <w:rPr>
          <w:color w:val="231F20"/>
          <w:sz w:val="20"/>
        </w:rPr>
        <w:t>Studies</w:t>
      </w:r>
      <w:r>
        <w:rPr>
          <w:color w:val="231F20"/>
          <w:spacing w:val="-6"/>
          <w:sz w:val="20"/>
        </w:rPr>
        <w:t xml:space="preserve"> </w:t>
      </w:r>
      <w:r>
        <w:rPr>
          <w:color w:val="231F20"/>
          <w:spacing w:val="-3"/>
          <w:sz w:val="20"/>
        </w:rPr>
        <w:t>provide</w:t>
      </w:r>
      <w:r>
        <w:rPr>
          <w:color w:val="231F20"/>
          <w:spacing w:val="-6"/>
          <w:sz w:val="20"/>
        </w:rPr>
        <w:t xml:space="preserve"> </w:t>
      </w:r>
      <w:r>
        <w:rPr>
          <w:color w:val="231F20"/>
          <w:sz w:val="20"/>
        </w:rPr>
        <w:t>very</w:t>
      </w:r>
      <w:r>
        <w:rPr>
          <w:color w:val="231F20"/>
          <w:spacing w:val="-6"/>
          <w:sz w:val="20"/>
        </w:rPr>
        <w:t xml:space="preserve"> </w:t>
      </w:r>
      <w:r>
        <w:rPr>
          <w:color w:val="231F20"/>
          <w:spacing w:val="-3"/>
          <w:sz w:val="20"/>
        </w:rPr>
        <w:t>different</w:t>
      </w:r>
      <w:r>
        <w:rPr>
          <w:color w:val="231F20"/>
          <w:spacing w:val="-6"/>
          <w:sz w:val="20"/>
        </w:rPr>
        <w:t xml:space="preserve"> </w:t>
      </w:r>
      <w:r>
        <w:rPr>
          <w:color w:val="231F20"/>
          <w:sz w:val="20"/>
        </w:rPr>
        <w:t>estimates</w:t>
      </w:r>
      <w:r>
        <w:rPr>
          <w:color w:val="231F20"/>
          <w:spacing w:val="-6"/>
          <w:sz w:val="20"/>
        </w:rPr>
        <w:t xml:space="preserve"> </w:t>
      </w:r>
      <w:r>
        <w:rPr>
          <w:color w:val="231F20"/>
          <w:sz w:val="20"/>
        </w:rPr>
        <w:t>of</w:t>
      </w:r>
      <w:r>
        <w:rPr>
          <w:color w:val="231F20"/>
          <w:spacing w:val="-5"/>
          <w:sz w:val="20"/>
        </w:rPr>
        <w:t xml:space="preserve"> </w:t>
      </w:r>
      <w:r>
        <w:rPr>
          <w:color w:val="231F20"/>
          <w:spacing w:val="-3"/>
          <w:sz w:val="20"/>
        </w:rPr>
        <w:t>how</w:t>
      </w:r>
      <w:r>
        <w:rPr>
          <w:color w:val="231F20"/>
          <w:spacing w:val="-6"/>
          <w:sz w:val="20"/>
        </w:rPr>
        <w:t xml:space="preserve"> </w:t>
      </w:r>
      <w:r>
        <w:rPr>
          <w:color w:val="231F20"/>
          <w:sz w:val="20"/>
        </w:rPr>
        <w:t>common</w:t>
      </w:r>
      <w:r>
        <w:rPr>
          <w:color w:val="231F20"/>
          <w:spacing w:val="-6"/>
          <w:sz w:val="20"/>
        </w:rPr>
        <w:t xml:space="preserve"> </w:t>
      </w:r>
      <w:r>
        <w:rPr>
          <w:color w:val="231F20"/>
          <w:sz w:val="20"/>
        </w:rPr>
        <w:t>cyberstalking</w:t>
      </w:r>
      <w:r>
        <w:rPr>
          <w:color w:val="231F20"/>
          <w:spacing w:val="-6"/>
          <w:sz w:val="20"/>
        </w:rPr>
        <w:t xml:space="preserve"> </w:t>
      </w:r>
      <w:r>
        <w:rPr>
          <w:color w:val="231F20"/>
          <w:sz w:val="20"/>
        </w:rPr>
        <w:t>is,</w:t>
      </w:r>
      <w:r>
        <w:rPr>
          <w:color w:val="231F20"/>
          <w:spacing w:val="-6"/>
          <w:sz w:val="20"/>
        </w:rPr>
        <w:t xml:space="preserve"> </w:t>
      </w:r>
      <w:r>
        <w:rPr>
          <w:color w:val="231F20"/>
          <w:sz w:val="20"/>
        </w:rPr>
        <w:t>ranging</w:t>
      </w:r>
      <w:r>
        <w:rPr>
          <w:color w:val="231F20"/>
          <w:spacing w:val="-5"/>
          <w:sz w:val="20"/>
        </w:rPr>
        <w:t xml:space="preserve"> </w:t>
      </w:r>
      <w:r>
        <w:rPr>
          <w:color w:val="231F20"/>
          <w:spacing w:val="-3"/>
          <w:sz w:val="20"/>
        </w:rPr>
        <w:t>from</w:t>
      </w:r>
    </w:p>
    <w:p w14:paraId="220729BA" w14:textId="77777777" w:rsidR="00894070" w:rsidRDefault="009B7AFD">
      <w:pPr>
        <w:pStyle w:val="BodyText"/>
        <w:spacing w:before="13" w:line="206" w:lineRule="auto"/>
        <w:ind w:left="1801" w:right="1162"/>
        <w:rPr>
          <w:sz w:val="11"/>
        </w:rPr>
      </w:pPr>
      <w:r>
        <w:rPr>
          <w:color w:val="231F20"/>
        </w:rPr>
        <w:t>3.7</w:t>
      </w:r>
      <w:r>
        <w:rPr>
          <w:color w:val="231F20"/>
          <w:spacing w:val="-11"/>
        </w:rPr>
        <w:t xml:space="preserve"> </w:t>
      </w:r>
      <w:r>
        <w:rPr>
          <w:color w:val="231F20"/>
        </w:rPr>
        <w:t>per</w:t>
      </w:r>
      <w:r>
        <w:rPr>
          <w:color w:val="231F20"/>
          <w:spacing w:val="-10"/>
        </w:rPr>
        <w:t xml:space="preserve"> </w:t>
      </w:r>
      <w:r>
        <w:rPr>
          <w:color w:val="231F20"/>
        </w:rPr>
        <w:t>cent</w:t>
      </w:r>
      <w:r>
        <w:rPr>
          <w:color w:val="231F20"/>
          <w:spacing w:val="-11"/>
        </w:rPr>
        <w:t xml:space="preserve"> </w:t>
      </w:r>
      <w:r>
        <w:rPr>
          <w:color w:val="231F20"/>
        </w:rPr>
        <w:t>to</w:t>
      </w:r>
      <w:r>
        <w:rPr>
          <w:color w:val="231F20"/>
          <w:spacing w:val="-10"/>
        </w:rPr>
        <w:t xml:space="preserve"> </w:t>
      </w:r>
      <w:r>
        <w:rPr>
          <w:color w:val="231F20"/>
        </w:rPr>
        <w:t>82</w:t>
      </w:r>
      <w:r>
        <w:rPr>
          <w:color w:val="231F20"/>
          <w:spacing w:val="-11"/>
        </w:rPr>
        <w:t xml:space="preserve"> </w:t>
      </w:r>
      <w:r>
        <w:rPr>
          <w:color w:val="231F20"/>
        </w:rPr>
        <w:t>per</w:t>
      </w:r>
      <w:r>
        <w:rPr>
          <w:color w:val="231F20"/>
          <w:spacing w:val="-10"/>
        </w:rPr>
        <w:t xml:space="preserve"> </w:t>
      </w:r>
      <w:r>
        <w:rPr>
          <w:color w:val="231F20"/>
        </w:rPr>
        <w:t>cent</w:t>
      </w:r>
      <w:r>
        <w:rPr>
          <w:color w:val="231F20"/>
          <w:spacing w:val="-11"/>
        </w:rPr>
        <w:t xml:space="preserve"> </w:t>
      </w:r>
      <w:r>
        <w:rPr>
          <w:color w:val="231F20"/>
        </w:rPr>
        <w:t>of</w:t>
      </w:r>
      <w:r>
        <w:rPr>
          <w:color w:val="231F20"/>
          <w:spacing w:val="-10"/>
        </w:rPr>
        <w:t xml:space="preserve"> </w:t>
      </w:r>
      <w:proofErr w:type="spellStart"/>
      <w:r>
        <w:rPr>
          <w:color w:val="231F20"/>
        </w:rPr>
        <w:t>victimisation</w:t>
      </w:r>
      <w:proofErr w:type="spellEnd"/>
      <w:r>
        <w:rPr>
          <w:color w:val="231F20"/>
          <w:spacing w:val="-11"/>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groups</w:t>
      </w:r>
      <w:r>
        <w:rPr>
          <w:color w:val="231F20"/>
          <w:spacing w:val="-11"/>
        </w:rPr>
        <w:t xml:space="preserve"> </w:t>
      </w:r>
      <w:r>
        <w:rPr>
          <w:color w:val="231F20"/>
        </w:rPr>
        <w:t>studied.</w:t>
      </w:r>
      <w:r>
        <w:rPr>
          <w:color w:val="231F20"/>
          <w:position w:val="7"/>
          <w:sz w:val="11"/>
        </w:rPr>
        <w:t>35</w:t>
      </w:r>
      <w:r>
        <w:rPr>
          <w:color w:val="231F20"/>
          <w:spacing w:val="14"/>
          <w:position w:val="7"/>
          <w:sz w:val="11"/>
        </w:rPr>
        <w:t xml:space="preserve"> </w:t>
      </w:r>
      <w:r>
        <w:rPr>
          <w:color w:val="231F20"/>
        </w:rPr>
        <w:t>Cyberstalking</w:t>
      </w:r>
      <w:r>
        <w:rPr>
          <w:color w:val="231F20"/>
          <w:spacing w:val="-11"/>
        </w:rPr>
        <w:t xml:space="preserve"> </w:t>
      </w:r>
      <w:r>
        <w:rPr>
          <w:color w:val="231F20"/>
        </w:rPr>
        <w:t xml:space="preserve">studies in university settings around the </w:t>
      </w:r>
      <w:r>
        <w:rPr>
          <w:color w:val="231F20"/>
          <w:spacing w:val="-3"/>
        </w:rPr>
        <w:t xml:space="preserve">world </w:t>
      </w:r>
      <w:r>
        <w:rPr>
          <w:color w:val="231F20"/>
        </w:rPr>
        <w:t xml:space="preserve">indicate </w:t>
      </w:r>
      <w:r>
        <w:rPr>
          <w:color w:val="231F20"/>
          <w:spacing w:val="-3"/>
        </w:rPr>
        <w:t xml:space="preserve">rates </w:t>
      </w:r>
      <w:r>
        <w:rPr>
          <w:color w:val="231F20"/>
        </w:rPr>
        <w:t xml:space="preserve">of </w:t>
      </w:r>
      <w:proofErr w:type="spellStart"/>
      <w:r>
        <w:rPr>
          <w:color w:val="231F20"/>
        </w:rPr>
        <w:t>victimisation</w:t>
      </w:r>
      <w:proofErr w:type="spellEnd"/>
      <w:r>
        <w:rPr>
          <w:color w:val="231F20"/>
        </w:rPr>
        <w:t xml:space="preserve"> ranging </w:t>
      </w:r>
      <w:r>
        <w:rPr>
          <w:color w:val="231F20"/>
          <w:spacing w:val="-3"/>
        </w:rPr>
        <w:t xml:space="preserve">from </w:t>
      </w:r>
      <w:r>
        <w:rPr>
          <w:color w:val="231F20"/>
        </w:rPr>
        <w:t>one per cent to 41 per</w:t>
      </w:r>
      <w:r>
        <w:rPr>
          <w:color w:val="231F20"/>
          <w:spacing w:val="-21"/>
        </w:rPr>
        <w:t xml:space="preserve"> </w:t>
      </w:r>
      <w:r>
        <w:rPr>
          <w:color w:val="231F20"/>
        </w:rPr>
        <w:t>cent.</w:t>
      </w:r>
      <w:r>
        <w:rPr>
          <w:color w:val="231F20"/>
          <w:position w:val="7"/>
          <w:sz w:val="11"/>
        </w:rPr>
        <w:t>36</w:t>
      </w:r>
    </w:p>
    <w:p w14:paraId="07D88670" w14:textId="77777777" w:rsidR="00894070" w:rsidRDefault="009B7AFD">
      <w:pPr>
        <w:pStyle w:val="ListParagraph"/>
        <w:numPr>
          <w:ilvl w:val="1"/>
          <w:numId w:val="161"/>
        </w:numPr>
        <w:tabs>
          <w:tab w:val="left" w:pos="1801"/>
          <w:tab w:val="left" w:pos="1802"/>
        </w:tabs>
        <w:spacing w:before="124" w:line="206" w:lineRule="auto"/>
        <w:ind w:right="1411"/>
        <w:rPr>
          <w:sz w:val="20"/>
        </w:rPr>
      </w:pPr>
      <w:r>
        <w:rPr>
          <w:color w:val="231F20"/>
          <w:sz w:val="20"/>
        </w:rPr>
        <w:t>Studies</w:t>
      </w:r>
      <w:r>
        <w:rPr>
          <w:color w:val="231F20"/>
          <w:spacing w:val="-7"/>
          <w:sz w:val="20"/>
        </w:rPr>
        <w:t xml:space="preserve"> </w:t>
      </w:r>
      <w:r>
        <w:rPr>
          <w:color w:val="231F20"/>
          <w:sz w:val="20"/>
        </w:rPr>
        <w:t>on</w:t>
      </w:r>
      <w:r>
        <w:rPr>
          <w:color w:val="231F20"/>
          <w:spacing w:val="-6"/>
          <w:sz w:val="20"/>
        </w:rPr>
        <w:t xml:space="preserve"> </w:t>
      </w:r>
      <w:r>
        <w:rPr>
          <w:color w:val="231F20"/>
          <w:spacing w:val="-3"/>
          <w:sz w:val="20"/>
        </w:rPr>
        <w:t>technology-facilitated</w:t>
      </w:r>
      <w:r>
        <w:rPr>
          <w:color w:val="231F20"/>
          <w:spacing w:val="-6"/>
          <w:sz w:val="20"/>
        </w:rPr>
        <w:t xml:space="preserve"> </w:t>
      </w:r>
      <w:r>
        <w:rPr>
          <w:color w:val="231F20"/>
          <w:sz w:val="20"/>
        </w:rPr>
        <w:t>abuse</w:t>
      </w:r>
      <w:r>
        <w:rPr>
          <w:color w:val="231F20"/>
          <w:spacing w:val="-6"/>
          <w:sz w:val="20"/>
        </w:rPr>
        <w:t xml:space="preserve"> </w:t>
      </w:r>
      <w:r>
        <w:rPr>
          <w:color w:val="231F20"/>
          <w:sz w:val="20"/>
        </w:rPr>
        <w:t>or</w:t>
      </w:r>
      <w:r>
        <w:rPr>
          <w:color w:val="231F20"/>
          <w:spacing w:val="-6"/>
          <w:sz w:val="20"/>
        </w:rPr>
        <w:t xml:space="preserve"> </w:t>
      </w:r>
      <w:r>
        <w:rPr>
          <w:color w:val="231F20"/>
          <w:sz w:val="20"/>
        </w:rPr>
        <w:t>online</w:t>
      </w:r>
      <w:r>
        <w:rPr>
          <w:color w:val="231F20"/>
          <w:spacing w:val="-6"/>
          <w:sz w:val="20"/>
        </w:rPr>
        <w:t xml:space="preserve"> </w:t>
      </w:r>
      <w:r>
        <w:rPr>
          <w:color w:val="231F20"/>
          <w:sz w:val="20"/>
        </w:rPr>
        <w:t>harassment</w:t>
      </w:r>
      <w:r>
        <w:rPr>
          <w:color w:val="231F20"/>
          <w:spacing w:val="-6"/>
          <w:sz w:val="20"/>
        </w:rPr>
        <w:t xml:space="preserve"> </w:t>
      </w:r>
      <w:r>
        <w:rPr>
          <w:color w:val="231F20"/>
          <w:sz w:val="20"/>
        </w:rPr>
        <w:t>can</w:t>
      </w:r>
      <w:r>
        <w:rPr>
          <w:color w:val="231F20"/>
          <w:spacing w:val="-7"/>
          <w:sz w:val="20"/>
        </w:rPr>
        <w:t xml:space="preserve"> </w:t>
      </w:r>
      <w:r>
        <w:rPr>
          <w:color w:val="231F20"/>
          <w:spacing w:val="-3"/>
          <w:sz w:val="20"/>
        </w:rPr>
        <w:t>provide</w:t>
      </w:r>
      <w:r>
        <w:rPr>
          <w:color w:val="231F20"/>
          <w:spacing w:val="-6"/>
          <w:sz w:val="20"/>
        </w:rPr>
        <w:t xml:space="preserve"> </w:t>
      </w:r>
      <w:r>
        <w:rPr>
          <w:color w:val="231F20"/>
          <w:sz w:val="20"/>
        </w:rPr>
        <w:t>a</w:t>
      </w:r>
      <w:r>
        <w:rPr>
          <w:color w:val="231F20"/>
          <w:spacing w:val="-6"/>
          <w:sz w:val="20"/>
        </w:rPr>
        <w:t xml:space="preserve"> </w:t>
      </w:r>
      <w:r>
        <w:rPr>
          <w:color w:val="231F20"/>
          <w:sz w:val="20"/>
        </w:rPr>
        <w:t>sense</w:t>
      </w:r>
      <w:r>
        <w:rPr>
          <w:color w:val="231F20"/>
          <w:spacing w:val="-6"/>
          <w:sz w:val="20"/>
        </w:rPr>
        <w:t xml:space="preserve"> </w:t>
      </w:r>
      <w:r>
        <w:rPr>
          <w:color w:val="231F20"/>
          <w:sz w:val="20"/>
        </w:rPr>
        <w:t xml:space="preserve">of </w:t>
      </w:r>
      <w:r>
        <w:rPr>
          <w:color w:val="231F20"/>
          <w:spacing w:val="-3"/>
          <w:sz w:val="20"/>
        </w:rPr>
        <w:t xml:space="preserve">how </w:t>
      </w:r>
      <w:r>
        <w:rPr>
          <w:color w:val="231F20"/>
          <w:sz w:val="20"/>
        </w:rPr>
        <w:t xml:space="preserve">common cyberstalking is. </w:t>
      </w:r>
      <w:r>
        <w:rPr>
          <w:color w:val="231F20"/>
          <w:spacing w:val="-3"/>
          <w:sz w:val="20"/>
        </w:rPr>
        <w:t>For</w:t>
      </w:r>
      <w:r>
        <w:rPr>
          <w:color w:val="231F20"/>
          <w:spacing w:val="-18"/>
          <w:sz w:val="20"/>
        </w:rPr>
        <w:t xml:space="preserve"> </w:t>
      </w:r>
      <w:r>
        <w:rPr>
          <w:color w:val="231F20"/>
          <w:spacing w:val="-3"/>
          <w:sz w:val="20"/>
        </w:rPr>
        <w:t>example:</w:t>
      </w:r>
    </w:p>
    <w:p w14:paraId="18AA1D34" w14:textId="77777777" w:rsidR="00894070" w:rsidRDefault="009B7AFD">
      <w:pPr>
        <w:pStyle w:val="ListParagraph"/>
        <w:numPr>
          <w:ilvl w:val="2"/>
          <w:numId w:val="161"/>
        </w:numPr>
        <w:tabs>
          <w:tab w:val="left" w:pos="2141"/>
          <w:tab w:val="left" w:pos="2142"/>
        </w:tabs>
        <w:spacing w:before="123" w:line="206" w:lineRule="auto"/>
        <w:ind w:right="1744" w:hanging="340"/>
        <w:rPr>
          <w:sz w:val="11"/>
        </w:rPr>
      </w:pPr>
      <w:r>
        <w:rPr>
          <w:color w:val="231F20"/>
          <w:sz w:val="20"/>
        </w:rPr>
        <w:t xml:space="preserve">A </w:t>
      </w:r>
      <w:r>
        <w:rPr>
          <w:color w:val="231F20"/>
          <w:spacing w:val="-4"/>
          <w:sz w:val="20"/>
        </w:rPr>
        <w:t xml:space="preserve">2020 </w:t>
      </w:r>
      <w:r>
        <w:rPr>
          <w:color w:val="231F20"/>
          <w:sz w:val="20"/>
        </w:rPr>
        <w:t xml:space="preserve">report </w:t>
      </w:r>
      <w:r>
        <w:rPr>
          <w:color w:val="231F20"/>
          <w:spacing w:val="-3"/>
          <w:sz w:val="20"/>
        </w:rPr>
        <w:t xml:space="preserve">from </w:t>
      </w:r>
      <w:proofErr w:type="spellStart"/>
      <w:r>
        <w:rPr>
          <w:color w:val="231F20"/>
          <w:sz w:val="20"/>
        </w:rPr>
        <w:t>eSafety</w:t>
      </w:r>
      <w:proofErr w:type="spellEnd"/>
      <w:r>
        <w:rPr>
          <w:color w:val="231F20"/>
          <w:sz w:val="20"/>
        </w:rPr>
        <w:t xml:space="preserve"> found that 67 per cent of Australian adults had had</w:t>
      </w:r>
      <w:r>
        <w:rPr>
          <w:color w:val="231F20"/>
          <w:spacing w:val="-10"/>
          <w:sz w:val="20"/>
        </w:rPr>
        <w:t xml:space="preserve"> </w:t>
      </w:r>
      <w:r>
        <w:rPr>
          <w:color w:val="231F20"/>
          <w:sz w:val="20"/>
        </w:rPr>
        <w:t>a</w:t>
      </w:r>
      <w:r>
        <w:rPr>
          <w:color w:val="231F20"/>
          <w:spacing w:val="-9"/>
          <w:sz w:val="20"/>
        </w:rPr>
        <w:t xml:space="preserve"> </w:t>
      </w:r>
      <w:r>
        <w:rPr>
          <w:color w:val="231F20"/>
          <w:spacing w:val="-3"/>
          <w:sz w:val="20"/>
        </w:rPr>
        <w:t>negative</w:t>
      </w:r>
      <w:r>
        <w:rPr>
          <w:color w:val="231F20"/>
          <w:spacing w:val="-9"/>
          <w:sz w:val="20"/>
        </w:rPr>
        <w:t xml:space="preserve"> </w:t>
      </w:r>
      <w:r>
        <w:rPr>
          <w:color w:val="231F20"/>
          <w:sz w:val="20"/>
        </w:rPr>
        <w:t>experience</w:t>
      </w:r>
      <w:r>
        <w:rPr>
          <w:color w:val="231F20"/>
          <w:spacing w:val="-9"/>
          <w:sz w:val="20"/>
        </w:rPr>
        <w:t xml:space="preserve"> </w:t>
      </w:r>
      <w:r>
        <w:rPr>
          <w:color w:val="231F20"/>
          <w:sz w:val="20"/>
        </w:rPr>
        <w:t>online</w:t>
      </w:r>
      <w:r>
        <w:rPr>
          <w:color w:val="231F20"/>
          <w:spacing w:val="-9"/>
          <w:sz w:val="20"/>
        </w:rPr>
        <w:t xml:space="preserve"> </w:t>
      </w:r>
      <w:r>
        <w:rPr>
          <w:color w:val="231F20"/>
          <w:sz w:val="20"/>
        </w:rPr>
        <w:t>in</w:t>
      </w:r>
      <w:r>
        <w:rPr>
          <w:color w:val="231F20"/>
          <w:spacing w:val="-9"/>
          <w:sz w:val="20"/>
        </w:rPr>
        <w:t xml:space="preserve"> </w:t>
      </w:r>
      <w:r>
        <w:rPr>
          <w:color w:val="231F20"/>
          <w:sz w:val="20"/>
        </w:rPr>
        <w:t>a</w:t>
      </w:r>
      <w:r>
        <w:rPr>
          <w:color w:val="231F20"/>
          <w:spacing w:val="-9"/>
          <w:sz w:val="20"/>
        </w:rPr>
        <w:t xml:space="preserve"> </w:t>
      </w:r>
      <w:r>
        <w:rPr>
          <w:color w:val="231F20"/>
          <w:spacing w:val="-3"/>
          <w:sz w:val="20"/>
        </w:rPr>
        <w:t>recent</w:t>
      </w:r>
      <w:r>
        <w:rPr>
          <w:color w:val="231F20"/>
          <w:spacing w:val="-9"/>
          <w:sz w:val="20"/>
        </w:rPr>
        <w:t xml:space="preserve"> </w:t>
      </w:r>
      <w:r>
        <w:rPr>
          <w:color w:val="231F20"/>
          <w:sz w:val="20"/>
        </w:rPr>
        <w:t>one-year</w:t>
      </w:r>
      <w:r>
        <w:rPr>
          <w:color w:val="231F20"/>
          <w:spacing w:val="-9"/>
          <w:sz w:val="20"/>
        </w:rPr>
        <w:t xml:space="preserve"> </w:t>
      </w:r>
      <w:r>
        <w:rPr>
          <w:color w:val="231F20"/>
          <w:sz w:val="20"/>
        </w:rPr>
        <w:t>period,</w:t>
      </w:r>
      <w:r>
        <w:rPr>
          <w:color w:val="231F20"/>
          <w:spacing w:val="-9"/>
          <w:sz w:val="20"/>
        </w:rPr>
        <w:t xml:space="preserve"> </w:t>
      </w:r>
      <w:r>
        <w:rPr>
          <w:color w:val="231F20"/>
          <w:sz w:val="20"/>
        </w:rPr>
        <w:t>which</w:t>
      </w:r>
      <w:r>
        <w:rPr>
          <w:color w:val="231F20"/>
          <w:spacing w:val="-10"/>
          <w:sz w:val="20"/>
        </w:rPr>
        <w:t xml:space="preserve"> </w:t>
      </w:r>
      <w:r>
        <w:rPr>
          <w:color w:val="231F20"/>
          <w:sz w:val="20"/>
        </w:rPr>
        <w:t>included cyberstalking-related</w:t>
      </w:r>
      <w:r>
        <w:rPr>
          <w:color w:val="231F20"/>
          <w:spacing w:val="-5"/>
          <w:sz w:val="20"/>
        </w:rPr>
        <w:t xml:space="preserve"> </w:t>
      </w:r>
      <w:proofErr w:type="spellStart"/>
      <w:r>
        <w:rPr>
          <w:color w:val="231F20"/>
          <w:spacing w:val="-3"/>
          <w:sz w:val="20"/>
        </w:rPr>
        <w:t>behaviour</w:t>
      </w:r>
      <w:proofErr w:type="spellEnd"/>
      <w:r>
        <w:rPr>
          <w:color w:val="231F20"/>
          <w:spacing w:val="-3"/>
          <w:sz w:val="20"/>
        </w:rPr>
        <w:t>.</w:t>
      </w:r>
      <w:r>
        <w:rPr>
          <w:color w:val="231F20"/>
          <w:spacing w:val="-3"/>
          <w:position w:val="7"/>
          <w:sz w:val="11"/>
        </w:rPr>
        <w:t>37</w:t>
      </w:r>
    </w:p>
    <w:p w14:paraId="512F154D" w14:textId="77777777" w:rsidR="00894070" w:rsidRDefault="009B7AFD">
      <w:pPr>
        <w:pStyle w:val="ListParagraph"/>
        <w:numPr>
          <w:ilvl w:val="2"/>
          <w:numId w:val="161"/>
        </w:numPr>
        <w:tabs>
          <w:tab w:val="left" w:pos="2141"/>
          <w:tab w:val="left" w:pos="2142"/>
        </w:tabs>
        <w:spacing w:before="89" w:line="206" w:lineRule="auto"/>
        <w:ind w:right="1453" w:hanging="340"/>
        <w:rPr>
          <w:sz w:val="11"/>
        </w:rPr>
      </w:pPr>
      <w:r>
        <w:rPr>
          <w:color w:val="231F20"/>
          <w:sz w:val="20"/>
        </w:rPr>
        <w:t xml:space="preserve">In a report on girls’ and young </w:t>
      </w:r>
      <w:r>
        <w:rPr>
          <w:color w:val="231F20"/>
          <w:spacing w:val="-3"/>
          <w:sz w:val="20"/>
        </w:rPr>
        <w:t xml:space="preserve">women’s </w:t>
      </w:r>
      <w:r>
        <w:rPr>
          <w:color w:val="231F20"/>
          <w:sz w:val="20"/>
        </w:rPr>
        <w:t xml:space="preserve">online experiences </w:t>
      </w:r>
      <w:r>
        <w:rPr>
          <w:color w:val="231F20"/>
          <w:spacing w:val="-3"/>
          <w:sz w:val="20"/>
        </w:rPr>
        <w:t xml:space="preserve">across </w:t>
      </w:r>
      <w:r>
        <w:rPr>
          <w:color w:val="231F20"/>
          <w:sz w:val="20"/>
        </w:rPr>
        <w:t>32 countries, including</w:t>
      </w:r>
      <w:r>
        <w:rPr>
          <w:color w:val="231F20"/>
          <w:spacing w:val="-13"/>
          <w:sz w:val="20"/>
        </w:rPr>
        <w:t xml:space="preserve"> </w:t>
      </w:r>
      <w:r>
        <w:rPr>
          <w:color w:val="231F20"/>
          <w:sz w:val="20"/>
        </w:rPr>
        <w:t>Australia,</w:t>
      </w:r>
      <w:r>
        <w:rPr>
          <w:color w:val="231F20"/>
          <w:spacing w:val="-13"/>
          <w:sz w:val="20"/>
        </w:rPr>
        <w:t xml:space="preserve"> </w:t>
      </w:r>
      <w:r>
        <w:rPr>
          <w:color w:val="231F20"/>
          <w:sz w:val="20"/>
        </w:rPr>
        <w:t>more</w:t>
      </w:r>
      <w:r>
        <w:rPr>
          <w:color w:val="231F20"/>
          <w:spacing w:val="-13"/>
          <w:sz w:val="20"/>
        </w:rPr>
        <w:t xml:space="preserve"> </w:t>
      </w:r>
      <w:r>
        <w:rPr>
          <w:color w:val="231F20"/>
          <w:sz w:val="20"/>
        </w:rPr>
        <w:t>than</w:t>
      </w:r>
      <w:r>
        <w:rPr>
          <w:color w:val="231F20"/>
          <w:spacing w:val="-13"/>
          <w:sz w:val="20"/>
        </w:rPr>
        <w:t xml:space="preserve"> </w:t>
      </w:r>
      <w:r>
        <w:rPr>
          <w:color w:val="231F20"/>
          <w:sz w:val="20"/>
        </w:rPr>
        <w:t>half</w:t>
      </w:r>
      <w:r>
        <w:rPr>
          <w:color w:val="231F20"/>
          <w:spacing w:val="-13"/>
          <w:sz w:val="20"/>
        </w:rPr>
        <w:t xml:space="preserve"> </w:t>
      </w:r>
      <w:r>
        <w:rPr>
          <w:color w:val="231F20"/>
          <w:sz w:val="20"/>
        </w:rPr>
        <w:t>had</w:t>
      </w:r>
      <w:r>
        <w:rPr>
          <w:color w:val="231F20"/>
          <w:spacing w:val="-13"/>
          <w:sz w:val="20"/>
        </w:rPr>
        <w:t xml:space="preserve"> </w:t>
      </w:r>
      <w:r>
        <w:rPr>
          <w:color w:val="231F20"/>
          <w:sz w:val="20"/>
        </w:rPr>
        <w:t>experienced</w:t>
      </w:r>
      <w:r>
        <w:rPr>
          <w:color w:val="231F20"/>
          <w:spacing w:val="-13"/>
          <w:sz w:val="20"/>
        </w:rPr>
        <w:t xml:space="preserve"> </w:t>
      </w:r>
      <w:r>
        <w:rPr>
          <w:color w:val="231F20"/>
          <w:sz w:val="20"/>
        </w:rPr>
        <w:t>online</w:t>
      </w:r>
      <w:r>
        <w:rPr>
          <w:color w:val="231F20"/>
          <w:spacing w:val="-12"/>
          <w:sz w:val="20"/>
        </w:rPr>
        <w:t xml:space="preserve"> </w:t>
      </w:r>
      <w:r>
        <w:rPr>
          <w:color w:val="231F20"/>
          <w:sz w:val="20"/>
        </w:rPr>
        <w:t>harassment</w:t>
      </w:r>
      <w:r>
        <w:rPr>
          <w:color w:val="231F20"/>
          <w:spacing w:val="-13"/>
          <w:sz w:val="20"/>
        </w:rPr>
        <w:t xml:space="preserve"> </w:t>
      </w:r>
      <w:r>
        <w:rPr>
          <w:color w:val="231F20"/>
          <w:sz w:val="20"/>
        </w:rPr>
        <w:t>or</w:t>
      </w:r>
      <w:r>
        <w:rPr>
          <w:color w:val="231F20"/>
          <w:spacing w:val="-13"/>
          <w:sz w:val="20"/>
        </w:rPr>
        <w:t xml:space="preserve"> </w:t>
      </w:r>
      <w:r>
        <w:rPr>
          <w:color w:val="231F20"/>
          <w:sz w:val="20"/>
        </w:rPr>
        <w:t>abuse, including</w:t>
      </w:r>
      <w:r>
        <w:rPr>
          <w:color w:val="231F20"/>
          <w:spacing w:val="-5"/>
          <w:sz w:val="20"/>
        </w:rPr>
        <w:t xml:space="preserve"> </w:t>
      </w:r>
      <w:r>
        <w:rPr>
          <w:color w:val="231F20"/>
          <w:sz w:val="20"/>
        </w:rPr>
        <w:t>cyberstalking.</w:t>
      </w:r>
      <w:r>
        <w:rPr>
          <w:color w:val="231F20"/>
          <w:position w:val="7"/>
          <w:sz w:val="11"/>
        </w:rPr>
        <w:t>38</w:t>
      </w:r>
    </w:p>
    <w:p w14:paraId="16511AC5" w14:textId="77777777" w:rsidR="00894070" w:rsidRDefault="009B7AFD">
      <w:pPr>
        <w:pStyle w:val="ListParagraph"/>
        <w:numPr>
          <w:ilvl w:val="1"/>
          <w:numId w:val="161"/>
        </w:numPr>
        <w:tabs>
          <w:tab w:val="left" w:pos="1801"/>
          <w:tab w:val="left" w:pos="1802"/>
        </w:tabs>
        <w:spacing w:before="56" w:line="259" w:lineRule="exact"/>
        <w:rPr>
          <w:sz w:val="20"/>
        </w:rPr>
      </w:pPr>
      <w:r>
        <w:rPr>
          <w:color w:val="231F20"/>
          <w:sz w:val="20"/>
        </w:rPr>
        <w:t>In</w:t>
      </w:r>
      <w:r>
        <w:rPr>
          <w:color w:val="231F20"/>
          <w:spacing w:val="-6"/>
          <w:sz w:val="20"/>
        </w:rPr>
        <w:t xml:space="preserve"> </w:t>
      </w:r>
      <w:r>
        <w:rPr>
          <w:color w:val="231F20"/>
          <w:sz w:val="20"/>
        </w:rPr>
        <w:t>a</w:t>
      </w:r>
      <w:r>
        <w:rPr>
          <w:color w:val="231F20"/>
          <w:spacing w:val="-5"/>
          <w:sz w:val="20"/>
        </w:rPr>
        <w:t xml:space="preserve"> </w:t>
      </w:r>
      <w:r>
        <w:rPr>
          <w:color w:val="231F20"/>
          <w:spacing w:val="-3"/>
          <w:sz w:val="20"/>
        </w:rPr>
        <w:t>recent</w:t>
      </w:r>
      <w:r>
        <w:rPr>
          <w:color w:val="231F20"/>
          <w:spacing w:val="-5"/>
          <w:sz w:val="20"/>
        </w:rPr>
        <w:t xml:space="preserve"> </w:t>
      </w:r>
      <w:r>
        <w:rPr>
          <w:color w:val="231F20"/>
          <w:sz w:val="20"/>
        </w:rPr>
        <w:t>survey</w:t>
      </w:r>
      <w:r>
        <w:rPr>
          <w:color w:val="231F20"/>
          <w:spacing w:val="-5"/>
          <w:sz w:val="20"/>
        </w:rPr>
        <w:t xml:space="preserve"> </w:t>
      </w:r>
      <w:r>
        <w:rPr>
          <w:color w:val="231F20"/>
          <w:sz w:val="20"/>
        </w:rPr>
        <w:t>of</w:t>
      </w:r>
      <w:r>
        <w:rPr>
          <w:color w:val="231F20"/>
          <w:spacing w:val="-5"/>
          <w:sz w:val="20"/>
        </w:rPr>
        <w:t xml:space="preserve"> </w:t>
      </w:r>
      <w:r>
        <w:rPr>
          <w:color w:val="231F20"/>
          <w:sz w:val="20"/>
        </w:rPr>
        <w:t>victim</w:t>
      </w:r>
      <w:r>
        <w:rPr>
          <w:color w:val="231F20"/>
          <w:spacing w:val="-5"/>
          <w:sz w:val="20"/>
        </w:rPr>
        <w:t xml:space="preserve"> </w:t>
      </w:r>
      <w:r>
        <w:rPr>
          <w:color w:val="231F20"/>
          <w:sz w:val="20"/>
        </w:rPr>
        <w:t>support</w:t>
      </w:r>
      <w:r>
        <w:rPr>
          <w:color w:val="231F20"/>
          <w:spacing w:val="-5"/>
          <w:sz w:val="20"/>
        </w:rPr>
        <w:t xml:space="preserve"> </w:t>
      </w:r>
      <w:r>
        <w:rPr>
          <w:color w:val="231F20"/>
          <w:spacing w:val="-3"/>
          <w:sz w:val="20"/>
        </w:rPr>
        <w:t>workers</w:t>
      </w:r>
      <w:r>
        <w:rPr>
          <w:color w:val="231F20"/>
          <w:spacing w:val="-5"/>
          <w:sz w:val="20"/>
        </w:rPr>
        <w:t xml:space="preserve"> </w:t>
      </w:r>
      <w:r>
        <w:rPr>
          <w:color w:val="231F20"/>
          <w:spacing w:val="-3"/>
          <w:sz w:val="20"/>
        </w:rPr>
        <w:t>across</w:t>
      </w:r>
      <w:r>
        <w:rPr>
          <w:color w:val="231F20"/>
          <w:spacing w:val="-5"/>
          <w:sz w:val="20"/>
        </w:rPr>
        <w:t xml:space="preserve"> </w:t>
      </w:r>
      <w:r>
        <w:rPr>
          <w:color w:val="231F20"/>
          <w:sz w:val="20"/>
        </w:rPr>
        <w:t>Australia,</w:t>
      </w:r>
      <w:r>
        <w:rPr>
          <w:color w:val="231F20"/>
          <w:spacing w:val="-5"/>
          <w:sz w:val="20"/>
        </w:rPr>
        <w:t xml:space="preserve"> </w:t>
      </w:r>
      <w:r>
        <w:rPr>
          <w:color w:val="231F20"/>
          <w:sz w:val="20"/>
        </w:rPr>
        <w:t>the</w:t>
      </w:r>
      <w:r>
        <w:rPr>
          <w:color w:val="231F20"/>
          <w:spacing w:val="-5"/>
          <w:sz w:val="20"/>
        </w:rPr>
        <w:t xml:space="preserve"> </w:t>
      </w:r>
      <w:r>
        <w:rPr>
          <w:color w:val="231F20"/>
          <w:sz w:val="20"/>
        </w:rPr>
        <w:t>most</w:t>
      </w:r>
      <w:r>
        <w:rPr>
          <w:color w:val="231F20"/>
          <w:spacing w:val="-5"/>
          <w:sz w:val="20"/>
        </w:rPr>
        <w:t xml:space="preserve"> </w:t>
      </w:r>
      <w:r>
        <w:rPr>
          <w:color w:val="231F20"/>
          <w:sz w:val="20"/>
        </w:rPr>
        <w:t>common</w:t>
      </w:r>
      <w:r>
        <w:rPr>
          <w:color w:val="231F20"/>
          <w:spacing w:val="-5"/>
          <w:sz w:val="20"/>
        </w:rPr>
        <w:t xml:space="preserve"> </w:t>
      </w:r>
      <w:r>
        <w:rPr>
          <w:color w:val="231F20"/>
          <w:sz w:val="20"/>
        </w:rPr>
        <w:t>types</w:t>
      </w:r>
    </w:p>
    <w:p w14:paraId="407CAB58" w14:textId="77777777" w:rsidR="00894070" w:rsidRDefault="009B7AFD">
      <w:pPr>
        <w:pStyle w:val="BodyText"/>
        <w:spacing w:line="259" w:lineRule="exact"/>
        <w:ind w:left="1801"/>
        <w:rPr>
          <w:sz w:val="11"/>
        </w:rPr>
      </w:pPr>
      <w:r>
        <w:rPr>
          <w:color w:val="231F20"/>
        </w:rPr>
        <w:t>of technology-facilitated abuse reported were ‘monitoring, stalking or controlling’.</w:t>
      </w:r>
      <w:r>
        <w:rPr>
          <w:color w:val="231F20"/>
          <w:position w:val="7"/>
          <w:sz w:val="11"/>
        </w:rPr>
        <w:t>39</w:t>
      </w:r>
    </w:p>
    <w:p w14:paraId="09C61627" w14:textId="77777777" w:rsidR="00894070" w:rsidRDefault="009B7AFD">
      <w:pPr>
        <w:pStyle w:val="ListParagraph"/>
        <w:numPr>
          <w:ilvl w:val="1"/>
          <w:numId w:val="161"/>
        </w:numPr>
        <w:tabs>
          <w:tab w:val="left" w:pos="1801"/>
          <w:tab w:val="left" w:pos="1802"/>
        </w:tabs>
        <w:spacing w:before="83" w:line="259" w:lineRule="exact"/>
        <w:rPr>
          <w:sz w:val="20"/>
        </w:rPr>
      </w:pPr>
      <w:r>
        <w:rPr>
          <w:color w:val="231F20"/>
          <w:sz w:val="20"/>
        </w:rPr>
        <w:t>The</w:t>
      </w:r>
      <w:r>
        <w:rPr>
          <w:color w:val="231F20"/>
          <w:spacing w:val="-6"/>
          <w:sz w:val="20"/>
        </w:rPr>
        <w:t xml:space="preserve"> </w:t>
      </w:r>
      <w:r>
        <w:rPr>
          <w:color w:val="231F20"/>
          <w:sz w:val="20"/>
        </w:rPr>
        <w:t>true</w:t>
      </w:r>
      <w:r>
        <w:rPr>
          <w:color w:val="231F20"/>
          <w:spacing w:val="-5"/>
          <w:sz w:val="20"/>
        </w:rPr>
        <w:t xml:space="preserve"> </w:t>
      </w:r>
      <w:r>
        <w:rPr>
          <w:color w:val="231F20"/>
          <w:spacing w:val="-3"/>
          <w:sz w:val="20"/>
        </w:rPr>
        <w:t>prevalence</w:t>
      </w:r>
      <w:r>
        <w:rPr>
          <w:color w:val="231F20"/>
          <w:spacing w:val="-6"/>
          <w:sz w:val="20"/>
        </w:rPr>
        <w:t xml:space="preserve"> </w:t>
      </w:r>
      <w:r>
        <w:rPr>
          <w:color w:val="231F20"/>
          <w:sz w:val="20"/>
        </w:rPr>
        <w:t>of</w:t>
      </w:r>
      <w:r>
        <w:rPr>
          <w:color w:val="231F20"/>
          <w:spacing w:val="-5"/>
          <w:sz w:val="20"/>
        </w:rPr>
        <w:t xml:space="preserve"> </w:t>
      </w:r>
      <w:r>
        <w:rPr>
          <w:color w:val="231F20"/>
          <w:sz w:val="20"/>
        </w:rPr>
        <w:t>cyberstalking</w:t>
      </w:r>
      <w:r>
        <w:rPr>
          <w:color w:val="231F20"/>
          <w:spacing w:val="-5"/>
          <w:sz w:val="20"/>
        </w:rPr>
        <w:t xml:space="preserve"> </w:t>
      </w:r>
      <w:r>
        <w:rPr>
          <w:color w:val="231F20"/>
          <w:sz w:val="20"/>
        </w:rPr>
        <w:t>is</w:t>
      </w:r>
      <w:r>
        <w:rPr>
          <w:color w:val="231F20"/>
          <w:spacing w:val="-6"/>
          <w:sz w:val="20"/>
        </w:rPr>
        <w:t xml:space="preserve"> </w:t>
      </w:r>
      <w:r>
        <w:rPr>
          <w:color w:val="231F20"/>
          <w:sz w:val="20"/>
        </w:rPr>
        <w:t>unknown,</w:t>
      </w:r>
      <w:r>
        <w:rPr>
          <w:color w:val="231F20"/>
          <w:spacing w:val="-5"/>
          <w:sz w:val="20"/>
        </w:rPr>
        <w:t xml:space="preserve"> </w:t>
      </w:r>
      <w:r>
        <w:rPr>
          <w:color w:val="231F20"/>
          <w:sz w:val="20"/>
        </w:rPr>
        <w:t>but</w:t>
      </w:r>
      <w:r>
        <w:rPr>
          <w:color w:val="231F20"/>
          <w:spacing w:val="-5"/>
          <w:sz w:val="20"/>
        </w:rPr>
        <w:t xml:space="preserve"> </w:t>
      </w:r>
      <w:r>
        <w:rPr>
          <w:color w:val="231F20"/>
          <w:spacing w:val="-3"/>
          <w:sz w:val="20"/>
        </w:rPr>
        <w:t>research</w:t>
      </w:r>
      <w:r>
        <w:rPr>
          <w:color w:val="231F20"/>
          <w:spacing w:val="-6"/>
          <w:sz w:val="20"/>
        </w:rPr>
        <w:t xml:space="preserve"> </w:t>
      </w:r>
      <w:r>
        <w:rPr>
          <w:color w:val="231F20"/>
          <w:sz w:val="20"/>
        </w:rPr>
        <w:t>suggests</w:t>
      </w:r>
      <w:r>
        <w:rPr>
          <w:color w:val="231F20"/>
          <w:spacing w:val="-5"/>
          <w:sz w:val="20"/>
        </w:rPr>
        <w:t xml:space="preserve"> </w:t>
      </w:r>
      <w:r>
        <w:rPr>
          <w:color w:val="231F20"/>
          <w:sz w:val="20"/>
        </w:rPr>
        <w:t>that</w:t>
      </w:r>
      <w:r>
        <w:rPr>
          <w:color w:val="231F20"/>
          <w:spacing w:val="-5"/>
          <w:sz w:val="20"/>
        </w:rPr>
        <w:t xml:space="preserve"> </w:t>
      </w:r>
      <w:r>
        <w:rPr>
          <w:color w:val="231F20"/>
          <w:sz w:val="20"/>
        </w:rPr>
        <w:t>it</w:t>
      </w:r>
      <w:r>
        <w:rPr>
          <w:color w:val="231F20"/>
          <w:spacing w:val="-6"/>
          <w:sz w:val="20"/>
        </w:rPr>
        <w:t xml:space="preserve"> </w:t>
      </w:r>
      <w:r>
        <w:rPr>
          <w:color w:val="231F20"/>
          <w:sz w:val="20"/>
        </w:rPr>
        <w:t>is</w:t>
      </w:r>
      <w:r>
        <w:rPr>
          <w:color w:val="231F20"/>
          <w:spacing w:val="-5"/>
          <w:sz w:val="20"/>
        </w:rPr>
        <w:t xml:space="preserve"> </w:t>
      </w:r>
      <w:r>
        <w:rPr>
          <w:color w:val="231F20"/>
          <w:spacing w:val="-3"/>
          <w:sz w:val="20"/>
        </w:rPr>
        <w:t>likely</w:t>
      </w:r>
    </w:p>
    <w:p w14:paraId="0F4C9F14" w14:textId="77777777" w:rsidR="00894070" w:rsidRDefault="009B7AFD">
      <w:pPr>
        <w:pStyle w:val="BodyText"/>
        <w:spacing w:line="259" w:lineRule="exact"/>
        <w:ind w:left="1801"/>
        <w:rPr>
          <w:sz w:val="11"/>
        </w:rPr>
      </w:pPr>
      <w:r>
        <w:rPr>
          <w:color w:val="231F20"/>
        </w:rPr>
        <w:t>to be greater than what is reported.</w:t>
      </w:r>
      <w:r>
        <w:rPr>
          <w:color w:val="231F20"/>
          <w:position w:val="7"/>
          <w:sz w:val="11"/>
        </w:rPr>
        <w:t>40</w:t>
      </w:r>
    </w:p>
    <w:p w14:paraId="097F6BA1" w14:textId="77777777" w:rsidR="00894070" w:rsidRDefault="00894070">
      <w:pPr>
        <w:pStyle w:val="BodyText"/>
        <w:spacing w:before="1"/>
        <w:rPr>
          <w:sz w:val="15"/>
        </w:rPr>
      </w:pPr>
    </w:p>
    <w:p w14:paraId="7850BD27" w14:textId="77777777" w:rsidR="00894070" w:rsidRDefault="009B7AFD">
      <w:pPr>
        <w:pStyle w:val="Heading8"/>
        <w:ind w:left="1007"/>
      </w:pPr>
      <w:r>
        <w:rPr>
          <w:color w:val="231F20"/>
        </w:rPr>
        <w:t>Cyberstalking is gendered</w:t>
      </w:r>
    </w:p>
    <w:p w14:paraId="4C756DD0" w14:textId="77777777" w:rsidR="00894070" w:rsidRDefault="009B7AFD">
      <w:pPr>
        <w:pStyle w:val="ListParagraph"/>
        <w:numPr>
          <w:ilvl w:val="1"/>
          <w:numId w:val="161"/>
        </w:numPr>
        <w:tabs>
          <w:tab w:val="left" w:pos="1801"/>
          <w:tab w:val="left" w:pos="1802"/>
        </w:tabs>
        <w:spacing w:before="127" w:line="206" w:lineRule="auto"/>
        <w:ind w:right="1437"/>
        <w:rPr>
          <w:sz w:val="11"/>
        </w:rPr>
      </w:pPr>
      <w:r>
        <w:rPr>
          <w:color w:val="231F20"/>
          <w:sz w:val="20"/>
        </w:rPr>
        <w:t>Research</w:t>
      </w:r>
      <w:r>
        <w:rPr>
          <w:color w:val="231F20"/>
          <w:spacing w:val="-14"/>
          <w:sz w:val="20"/>
        </w:rPr>
        <w:t xml:space="preserve"> </w:t>
      </w:r>
      <w:r>
        <w:rPr>
          <w:color w:val="231F20"/>
          <w:sz w:val="20"/>
        </w:rPr>
        <w:t>indicates</w:t>
      </w:r>
      <w:r>
        <w:rPr>
          <w:color w:val="231F20"/>
          <w:spacing w:val="-13"/>
          <w:sz w:val="20"/>
        </w:rPr>
        <w:t xml:space="preserve"> </w:t>
      </w:r>
      <w:r>
        <w:rPr>
          <w:color w:val="231F20"/>
          <w:sz w:val="20"/>
        </w:rPr>
        <w:t>that</w:t>
      </w:r>
      <w:r>
        <w:rPr>
          <w:color w:val="231F20"/>
          <w:spacing w:val="-13"/>
          <w:sz w:val="20"/>
        </w:rPr>
        <w:t xml:space="preserve"> </w:t>
      </w:r>
      <w:r>
        <w:rPr>
          <w:color w:val="231F20"/>
          <w:sz w:val="20"/>
        </w:rPr>
        <w:t>cyberstalking</w:t>
      </w:r>
      <w:r>
        <w:rPr>
          <w:color w:val="231F20"/>
          <w:spacing w:val="-13"/>
          <w:sz w:val="20"/>
        </w:rPr>
        <w:t xml:space="preserve"> </w:t>
      </w:r>
      <w:r>
        <w:rPr>
          <w:color w:val="231F20"/>
          <w:sz w:val="20"/>
        </w:rPr>
        <w:t>is</w:t>
      </w:r>
      <w:r>
        <w:rPr>
          <w:color w:val="231F20"/>
          <w:spacing w:val="-13"/>
          <w:sz w:val="20"/>
        </w:rPr>
        <w:t xml:space="preserve"> </w:t>
      </w:r>
      <w:r>
        <w:rPr>
          <w:color w:val="231F20"/>
          <w:sz w:val="20"/>
        </w:rPr>
        <w:t>gendered,</w:t>
      </w:r>
      <w:r>
        <w:rPr>
          <w:color w:val="231F20"/>
          <w:spacing w:val="-13"/>
          <w:sz w:val="20"/>
        </w:rPr>
        <w:t xml:space="preserve"> </w:t>
      </w:r>
      <w:r>
        <w:rPr>
          <w:color w:val="231F20"/>
          <w:sz w:val="20"/>
        </w:rPr>
        <w:t>which</w:t>
      </w:r>
      <w:r>
        <w:rPr>
          <w:color w:val="231F20"/>
          <w:spacing w:val="-13"/>
          <w:sz w:val="20"/>
        </w:rPr>
        <w:t xml:space="preserve"> </w:t>
      </w:r>
      <w:r>
        <w:rPr>
          <w:color w:val="231F20"/>
          <w:sz w:val="20"/>
        </w:rPr>
        <w:t>is</w:t>
      </w:r>
      <w:r>
        <w:rPr>
          <w:color w:val="231F20"/>
          <w:spacing w:val="-13"/>
          <w:sz w:val="20"/>
        </w:rPr>
        <w:t xml:space="preserve"> </w:t>
      </w:r>
      <w:r>
        <w:rPr>
          <w:color w:val="231F20"/>
          <w:sz w:val="20"/>
        </w:rPr>
        <w:t>consistent</w:t>
      </w:r>
      <w:r>
        <w:rPr>
          <w:color w:val="231F20"/>
          <w:spacing w:val="-13"/>
          <w:sz w:val="20"/>
        </w:rPr>
        <w:t xml:space="preserve"> </w:t>
      </w:r>
      <w:r>
        <w:rPr>
          <w:color w:val="231F20"/>
          <w:sz w:val="20"/>
        </w:rPr>
        <w:t>with</w:t>
      </w:r>
      <w:r>
        <w:rPr>
          <w:color w:val="231F20"/>
          <w:spacing w:val="-13"/>
          <w:sz w:val="20"/>
        </w:rPr>
        <w:t xml:space="preserve"> </w:t>
      </w:r>
      <w:r>
        <w:rPr>
          <w:color w:val="231F20"/>
          <w:sz w:val="20"/>
        </w:rPr>
        <w:t>patterns of</w:t>
      </w:r>
      <w:r>
        <w:rPr>
          <w:color w:val="231F20"/>
          <w:spacing w:val="-8"/>
          <w:sz w:val="20"/>
        </w:rPr>
        <w:t xml:space="preserve"> </w:t>
      </w:r>
      <w:r>
        <w:rPr>
          <w:color w:val="231F20"/>
          <w:spacing w:val="-3"/>
          <w:sz w:val="20"/>
        </w:rPr>
        <w:t>family</w:t>
      </w:r>
      <w:r>
        <w:rPr>
          <w:color w:val="231F20"/>
          <w:spacing w:val="-8"/>
          <w:sz w:val="20"/>
        </w:rPr>
        <w:t xml:space="preserve"> </w:t>
      </w:r>
      <w:r>
        <w:rPr>
          <w:color w:val="231F20"/>
          <w:sz w:val="20"/>
        </w:rPr>
        <w:t>violence</w:t>
      </w:r>
      <w:r>
        <w:rPr>
          <w:color w:val="231F20"/>
          <w:spacing w:val="-8"/>
          <w:sz w:val="20"/>
        </w:rPr>
        <w:t xml:space="preserve"> </w:t>
      </w:r>
      <w:r>
        <w:rPr>
          <w:color w:val="231F20"/>
          <w:sz w:val="20"/>
        </w:rPr>
        <w:t>and</w:t>
      </w:r>
      <w:r>
        <w:rPr>
          <w:color w:val="231F20"/>
          <w:spacing w:val="-8"/>
          <w:sz w:val="20"/>
        </w:rPr>
        <w:t xml:space="preserve"> </w:t>
      </w:r>
      <w:r>
        <w:rPr>
          <w:color w:val="231F20"/>
          <w:spacing w:val="-3"/>
          <w:sz w:val="20"/>
        </w:rPr>
        <w:t>sexual</w:t>
      </w:r>
      <w:r>
        <w:rPr>
          <w:color w:val="231F20"/>
          <w:spacing w:val="-8"/>
          <w:sz w:val="20"/>
        </w:rPr>
        <w:t xml:space="preserve"> </w:t>
      </w:r>
      <w:r>
        <w:rPr>
          <w:color w:val="231F20"/>
          <w:sz w:val="20"/>
        </w:rPr>
        <w:t>violence</w:t>
      </w:r>
      <w:r>
        <w:rPr>
          <w:color w:val="231F20"/>
          <w:spacing w:val="-8"/>
          <w:sz w:val="20"/>
        </w:rPr>
        <w:t xml:space="preserve"> </w:t>
      </w:r>
      <w:r>
        <w:rPr>
          <w:color w:val="231F20"/>
          <w:sz w:val="20"/>
        </w:rPr>
        <w:t>and</w:t>
      </w:r>
      <w:r>
        <w:rPr>
          <w:color w:val="231F20"/>
          <w:spacing w:val="-8"/>
          <w:sz w:val="20"/>
        </w:rPr>
        <w:t xml:space="preserve"> </w:t>
      </w:r>
      <w:r>
        <w:rPr>
          <w:color w:val="231F20"/>
          <w:sz w:val="20"/>
        </w:rPr>
        <w:t>harassment.</w:t>
      </w:r>
      <w:r>
        <w:rPr>
          <w:color w:val="231F20"/>
          <w:spacing w:val="-8"/>
          <w:sz w:val="20"/>
        </w:rPr>
        <w:t xml:space="preserve"> </w:t>
      </w:r>
      <w:r>
        <w:rPr>
          <w:color w:val="231F20"/>
          <w:sz w:val="20"/>
        </w:rPr>
        <w:t>It</w:t>
      </w:r>
      <w:r>
        <w:rPr>
          <w:color w:val="231F20"/>
          <w:spacing w:val="-8"/>
          <w:sz w:val="20"/>
        </w:rPr>
        <w:t xml:space="preserve"> </w:t>
      </w:r>
      <w:r>
        <w:rPr>
          <w:color w:val="231F20"/>
          <w:sz w:val="20"/>
        </w:rPr>
        <w:t>is</w:t>
      </w:r>
      <w:r>
        <w:rPr>
          <w:color w:val="231F20"/>
          <w:spacing w:val="-8"/>
          <w:sz w:val="20"/>
        </w:rPr>
        <w:t xml:space="preserve"> </w:t>
      </w:r>
      <w:r>
        <w:rPr>
          <w:color w:val="231F20"/>
          <w:sz w:val="20"/>
        </w:rPr>
        <w:t>often</w:t>
      </w:r>
      <w:r>
        <w:rPr>
          <w:color w:val="231F20"/>
          <w:spacing w:val="-8"/>
          <w:sz w:val="20"/>
        </w:rPr>
        <w:t xml:space="preserve"> </w:t>
      </w:r>
      <w:r>
        <w:rPr>
          <w:color w:val="231F20"/>
          <w:sz w:val="20"/>
        </w:rPr>
        <w:t>carried</w:t>
      </w:r>
      <w:r>
        <w:rPr>
          <w:color w:val="231F20"/>
          <w:spacing w:val="-8"/>
          <w:sz w:val="20"/>
        </w:rPr>
        <w:t xml:space="preserve"> </w:t>
      </w:r>
      <w:r>
        <w:rPr>
          <w:color w:val="231F20"/>
          <w:sz w:val="20"/>
        </w:rPr>
        <w:t>out</w:t>
      </w:r>
      <w:r>
        <w:rPr>
          <w:color w:val="231F20"/>
          <w:spacing w:val="-8"/>
          <w:sz w:val="20"/>
        </w:rPr>
        <w:t xml:space="preserve"> </w:t>
      </w:r>
      <w:r>
        <w:rPr>
          <w:color w:val="231F20"/>
          <w:spacing w:val="-3"/>
          <w:sz w:val="20"/>
        </w:rPr>
        <w:t>by</w:t>
      </w:r>
      <w:r>
        <w:rPr>
          <w:color w:val="231F20"/>
          <w:spacing w:val="-8"/>
          <w:sz w:val="20"/>
        </w:rPr>
        <w:t xml:space="preserve"> </w:t>
      </w:r>
      <w:r>
        <w:rPr>
          <w:color w:val="231F20"/>
          <w:sz w:val="20"/>
        </w:rPr>
        <w:t>men against women and</w:t>
      </w:r>
      <w:r>
        <w:rPr>
          <w:color w:val="231F20"/>
          <w:spacing w:val="-13"/>
          <w:sz w:val="20"/>
        </w:rPr>
        <w:t xml:space="preserve"> </w:t>
      </w:r>
      <w:r>
        <w:rPr>
          <w:color w:val="231F20"/>
          <w:sz w:val="20"/>
        </w:rPr>
        <w:t>girls.</w:t>
      </w:r>
      <w:r>
        <w:rPr>
          <w:color w:val="231F20"/>
          <w:position w:val="7"/>
          <w:sz w:val="11"/>
        </w:rPr>
        <w:t>41</w:t>
      </w:r>
    </w:p>
    <w:p w14:paraId="5002AD16" w14:textId="77777777" w:rsidR="00894070" w:rsidRDefault="009B7AFD">
      <w:pPr>
        <w:pStyle w:val="ListParagraph"/>
        <w:numPr>
          <w:ilvl w:val="1"/>
          <w:numId w:val="161"/>
        </w:numPr>
        <w:tabs>
          <w:tab w:val="left" w:pos="1801"/>
          <w:tab w:val="left" w:pos="1802"/>
        </w:tabs>
        <w:spacing w:before="124" w:line="206" w:lineRule="auto"/>
        <w:ind w:right="1183"/>
        <w:rPr>
          <w:sz w:val="11"/>
        </w:rPr>
      </w:pPr>
      <w:r>
        <w:rPr>
          <w:color w:val="231F20"/>
          <w:sz w:val="20"/>
        </w:rPr>
        <w:t xml:space="preserve">This is also consistent with broader </w:t>
      </w:r>
      <w:r>
        <w:rPr>
          <w:color w:val="231F20"/>
          <w:spacing w:val="-3"/>
          <w:sz w:val="20"/>
        </w:rPr>
        <w:t xml:space="preserve">research </w:t>
      </w:r>
      <w:r>
        <w:rPr>
          <w:color w:val="231F20"/>
          <w:sz w:val="20"/>
        </w:rPr>
        <w:t xml:space="preserve">on </w:t>
      </w:r>
      <w:r>
        <w:rPr>
          <w:color w:val="231F20"/>
          <w:spacing w:val="-3"/>
          <w:sz w:val="20"/>
        </w:rPr>
        <w:t xml:space="preserve">technology-facilitated </w:t>
      </w:r>
      <w:r>
        <w:rPr>
          <w:color w:val="231F20"/>
          <w:sz w:val="20"/>
        </w:rPr>
        <w:t xml:space="preserve">abuse. Around </w:t>
      </w:r>
      <w:r>
        <w:rPr>
          <w:color w:val="231F20"/>
          <w:spacing w:val="-4"/>
          <w:sz w:val="20"/>
        </w:rPr>
        <w:t>70</w:t>
      </w:r>
      <w:r>
        <w:rPr>
          <w:color w:val="231F20"/>
          <w:spacing w:val="-9"/>
          <w:sz w:val="20"/>
        </w:rPr>
        <w:t xml:space="preserve"> </w:t>
      </w:r>
      <w:r>
        <w:rPr>
          <w:color w:val="231F20"/>
          <w:sz w:val="20"/>
        </w:rPr>
        <w:t>per</w:t>
      </w:r>
      <w:r>
        <w:rPr>
          <w:color w:val="231F20"/>
          <w:spacing w:val="-8"/>
          <w:sz w:val="20"/>
        </w:rPr>
        <w:t xml:space="preserve"> </w:t>
      </w:r>
      <w:r>
        <w:rPr>
          <w:color w:val="231F20"/>
          <w:sz w:val="20"/>
        </w:rPr>
        <w:t>cent</w:t>
      </w:r>
      <w:r>
        <w:rPr>
          <w:color w:val="231F20"/>
          <w:spacing w:val="-9"/>
          <w:sz w:val="20"/>
        </w:rPr>
        <w:t xml:space="preserve"> </w:t>
      </w:r>
      <w:r>
        <w:rPr>
          <w:color w:val="231F20"/>
          <w:sz w:val="20"/>
        </w:rPr>
        <w:t>of</w:t>
      </w:r>
      <w:r>
        <w:rPr>
          <w:color w:val="231F20"/>
          <w:spacing w:val="-8"/>
          <w:sz w:val="20"/>
        </w:rPr>
        <w:t xml:space="preserve"> </w:t>
      </w:r>
      <w:r>
        <w:rPr>
          <w:color w:val="231F20"/>
          <w:sz w:val="20"/>
        </w:rPr>
        <w:t>the</w:t>
      </w:r>
      <w:r>
        <w:rPr>
          <w:color w:val="231F20"/>
          <w:spacing w:val="-9"/>
          <w:sz w:val="20"/>
        </w:rPr>
        <w:t xml:space="preserve"> </w:t>
      </w:r>
      <w:r>
        <w:rPr>
          <w:color w:val="231F20"/>
          <w:sz w:val="20"/>
        </w:rPr>
        <w:t>online</w:t>
      </w:r>
      <w:r>
        <w:rPr>
          <w:color w:val="231F20"/>
          <w:spacing w:val="-8"/>
          <w:sz w:val="20"/>
        </w:rPr>
        <w:t xml:space="preserve"> </w:t>
      </w:r>
      <w:r>
        <w:rPr>
          <w:color w:val="231F20"/>
          <w:sz w:val="20"/>
        </w:rPr>
        <w:t>harm</w:t>
      </w:r>
      <w:r>
        <w:rPr>
          <w:color w:val="231F20"/>
          <w:spacing w:val="-9"/>
          <w:sz w:val="20"/>
        </w:rPr>
        <w:t xml:space="preserve"> </w:t>
      </w:r>
      <w:r>
        <w:rPr>
          <w:color w:val="231F20"/>
          <w:sz w:val="20"/>
        </w:rPr>
        <w:t>reports</w:t>
      </w:r>
      <w:r>
        <w:rPr>
          <w:color w:val="231F20"/>
          <w:spacing w:val="-8"/>
          <w:sz w:val="20"/>
        </w:rPr>
        <w:t xml:space="preserve"> </w:t>
      </w:r>
      <w:r>
        <w:rPr>
          <w:color w:val="231F20"/>
          <w:sz w:val="20"/>
        </w:rPr>
        <w:t>that</w:t>
      </w:r>
      <w:r>
        <w:rPr>
          <w:color w:val="231F20"/>
          <w:spacing w:val="-8"/>
          <w:sz w:val="20"/>
        </w:rPr>
        <w:t xml:space="preserve"> </w:t>
      </w:r>
      <w:proofErr w:type="spellStart"/>
      <w:r>
        <w:rPr>
          <w:color w:val="231F20"/>
          <w:sz w:val="20"/>
        </w:rPr>
        <w:t>eSafety</w:t>
      </w:r>
      <w:proofErr w:type="spellEnd"/>
      <w:r>
        <w:rPr>
          <w:color w:val="231F20"/>
          <w:spacing w:val="-9"/>
          <w:sz w:val="20"/>
        </w:rPr>
        <w:t xml:space="preserve"> </w:t>
      </w:r>
      <w:r>
        <w:rPr>
          <w:color w:val="231F20"/>
          <w:spacing w:val="-3"/>
          <w:sz w:val="20"/>
        </w:rPr>
        <w:t>receives</w:t>
      </w:r>
      <w:r>
        <w:rPr>
          <w:color w:val="231F20"/>
          <w:spacing w:val="-8"/>
          <w:sz w:val="20"/>
        </w:rPr>
        <w:t xml:space="preserve"> </w:t>
      </w:r>
      <w:r>
        <w:rPr>
          <w:color w:val="231F20"/>
          <w:spacing w:val="-3"/>
          <w:sz w:val="20"/>
        </w:rPr>
        <w:t>are</w:t>
      </w:r>
      <w:r>
        <w:rPr>
          <w:color w:val="231F20"/>
          <w:spacing w:val="-9"/>
          <w:sz w:val="20"/>
        </w:rPr>
        <w:t xml:space="preserve"> </w:t>
      </w:r>
      <w:r>
        <w:rPr>
          <w:color w:val="231F20"/>
          <w:spacing w:val="-3"/>
          <w:sz w:val="20"/>
        </w:rPr>
        <w:t>from</w:t>
      </w:r>
      <w:r>
        <w:rPr>
          <w:color w:val="231F20"/>
          <w:spacing w:val="-8"/>
          <w:sz w:val="20"/>
        </w:rPr>
        <w:t xml:space="preserve"> </w:t>
      </w:r>
      <w:r>
        <w:rPr>
          <w:color w:val="231F20"/>
          <w:sz w:val="20"/>
        </w:rPr>
        <w:t>Australian</w:t>
      </w:r>
      <w:r>
        <w:rPr>
          <w:color w:val="231F20"/>
          <w:spacing w:val="-9"/>
          <w:sz w:val="20"/>
        </w:rPr>
        <w:t xml:space="preserve"> </w:t>
      </w:r>
      <w:r>
        <w:rPr>
          <w:color w:val="231F20"/>
          <w:sz w:val="20"/>
        </w:rPr>
        <w:t>women and</w:t>
      </w:r>
      <w:r>
        <w:rPr>
          <w:color w:val="231F20"/>
          <w:spacing w:val="-4"/>
          <w:sz w:val="20"/>
        </w:rPr>
        <w:t xml:space="preserve"> </w:t>
      </w:r>
      <w:r>
        <w:rPr>
          <w:color w:val="231F20"/>
          <w:sz w:val="20"/>
        </w:rPr>
        <w:t>girls.</w:t>
      </w:r>
      <w:r>
        <w:rPr>
          <w:color w:val="231F20"/>
          <w:position w:val="7"/>
          <w:sz w:val="11"/>
        </w:rPr>
        <w:t>42</w:t>
      </w:r>
    </w:p>
    <w:p w14:paraId="11B70DBF" w14:textId="77777777" w:rsidR="00894070" w:rsidRDefault="009B7AFD">
      <w:pPr>
        <w:pStyle w:val="ListParagraph"/>
        <w:numPr>
          <w:ilvl w:val="1"/>
          <w:numId w:val="161"/>
        </w:numPr>
        <w:tabs>
          <w:tab w:val="left" w:pos="1801"/>
          <w:tab w:val="left" w:pos="1802"/>
        </w:tabs>
        <w:spacing w:before="124" w:line="206" w:lineRule="auto"/>
        <w:ind w:right="1306"/>
        <w:rPr>
          <w:sz w:val="11"/>
        </w:rPr>
      </w:pPr>
      <w:r>
        <w:rPr>
          <w:color w:val="231F20"/>
          <w:sz w:val="20"/>
        </w:rPr>
        <w:t>As</w:t>
      </w:r>
      <w:r>
        <w:rPr>
          <w:color w:val="231F20"/>
          <w:spacing w:val="-12"/>
          <w:sz w:val="20"/>
        </w:rPr>
        <w:t xml:space="preserve"> </w:t>
      </w:r>
      <w:r>
        <w:rPr>
          <w:color w:val="231F20"/>
          <w:sz w:val="20"/>
        </w:rPr>
        <w:t>the</w:t>
      </w:r>
      <w:r>
        <w:rPr>
          <w:color w:val="231F20"/>
          <w:spacing w:val="-11"/>
          <w:sz w:val="20"/>
        </w:rPr>
        <w:t xml:space="preserve"> </w:t>
      </w:r>
      <w:r>
        <w:rPr>
          <w:color w:val="231F20"/>
          <w:sz w:val="20"/>
        </w:rPr>
        <w:t>United</w:t>
      </w:r>
      <w:r>
        <w:rPr>
          <w:color w:val="231F20"/>
          <w:spacing w:val="-11"/>
          <w:sz w:val="20"/>
        </w:rPr>
        <w:t xml:space="preserve"> </w:t>
      </w:r>
      <w:r>
        <w:rPr>
          <w:color w:val="231F20"/>
          <w:sz w:val="20"/>
        </w:rPr>
        <w:t>Nations</w:t>
      </w:r>
      <w:r>
        <w:rPr>
          <w:color w:val="231F20"/>
          <w:spacing w:val="-11"/>
          <w:sz w:val="20"/>
        </w:rPr>
        <w:t xml:space="preserve"> </w:t>
      </w:r>
      <w:r>
        <w:rPr>
          <w:color w:val="231F20"/>
          <w:sz w:val="20"/>
        </w:rPr>
        <w:t>Special</w:t>
      </w:r>
      <w:r>
        <w:rPr>
          <w:color w:val="231F20"/>
          <w:spacing w:val="-12"/>
          <w:sz w:val="20"/>
        </w:rPr>
        <w:t xml:space="preserve"> </w:t>
      </w:r>
      <w:r>
        <w:rPr>
          <w:color w:val="231F20"/>
          <w:sz w:val="20"/>
        </w:rPr>
        <w:t>Rapporteur</w:t>
      </w:r>
      <w:r>
        <w:rPr>
          <w:color w:val="231F20"/>
          <w:spacing w:val="-11"/>
          <w:sz w:val="20"/>
        </w:rPr>
        <w:t xml:space="preserve"> </w:t>
      </w:r>
      <w:r>
        <w:rPr>
          <w:color w:val="231F20"/>
          <w:sz w:val="20"/>
        </w:rPr>
        <w:t>on</w:t>
      </w:r>
      <w:r>
        <w:rPr>
          <w:color w:val="231F20"/>
          <w:spacing w:val="-11"/>
          <w:sz w:val="20"/>
        </w:rPr>
        <w:t xml:space="preserve"> </w:t>
      </w:r>
      <w:r>
        <w:rPr>
          <w:color w:val="231F20"/>
          <w:sz w:val="20"/>
        </w:rPr>
        <w:t>Violence</w:t>
      </w:r>
      <w:r>
        <w:rPr>
          <w:color w:val="231F20"/>
          <w:spacing w:val="-11"/>
          <w:sz w:val="20"/>
        </w:rPr>
        <w:t xml:space="preserve"> </w:t>
      </w:r>
      <w:r>
        <w:rPr>
          <w:color w:val="231F20"/>
          <w:sz w:val="20"/>
        </w:rPr>
        <w:t>against</w:t>
      </w:r>
      <w:r>
        <w:rPr>
          <w:color w:val="231F20"/>
          <w:spacing w:val="-11"/>
          <w:sz w:val="20"/>
        </w:rPr>
        <w:t xml:space="preserve"> </w:t>
      </w:r>
      <w:r>
        <w:rPr>
          <w:color w:val="231F20"/>
          <w:spacing w:val="-3"/>
          <w:sz w:val="20"/>
        </w:rPr>
        <w:t>Women</w:t>
      </w:r>
      <w:r>
        <w:rPr>
          <w:color w:val="231F20"/>
          <w:spacing w:val="-12"/>
          <w:sz w:val="20"/>
        </w:rPr>
        <w:t xml:space="preserve"> </w:t>
      </w:r>
      <w:r>
        <w:rPr>
          <w:color w:val="231F20"/>
          <w:sz w:val="20"/>
        </w:rPr>
        <w:t>explains,</w:t>
      </w:r>
      <w:r>
        <w:rPr>
          <w:color w:val="231F20"/>
          <w:spacing w:val="-11"/>
          <w:sz w:val="20"/>
        </w:rPr>
        <w:t xml:space="preserve"> </w:t>
      </w:r>
      <w:r>
        <w:rPr>
          <w:color w:val="231F20"/>
          <w:sz w:val="20"/>
        </w:rPr>
        <w:t xml:space="preserve">while technology can </w:t>
      </w:r>
      <w:r>
        <w:rPr>
          <w:color w:val="231F20"/>
          <w:spacing w:val="-3"/>
          <w:sz w:val="20"/>
        </w:rPr>
        <w:t xml:space="preserve">empower </w:t>
      </w:r>
      <w:r>
        <w:rPr>
          <w:color w:val="231F20"/>
          <w:sz w:val="20"/>
        </w:rPr>
        <w:t xml:space="preserve">women and girls, they </w:t>
      </w:r>
      <w:r>
        <w:rPr>
          <w:color w:val="231F20"/>
          <w:spacing w:val="-4"/>
          <w:sz w:val="20"/>
        </w:rPr>
        <w:t xml:space="preserve">have </w:t>
      </w:r>
      <w:r>
        <w:rPr>
          <w:color w:val="231F20"/>
          <w:sz w:val="20"/>
        </w:rPr>
        <w:t xml:space="preserve">also </w:t>
      </w:r>
      <w:r>
        <w:rPr>
          <w:color w:val="231F20"/>
          <w:spacing w:val="-3"/>
          <w:sz w:val="20"/>
        </w:rPr>
        <w:t xml:space="preserve">‘increasingly </w:t>
      </w:r>
      <w:r>
        <w:rPr>
          <w:color w:val="231F20"/>
          <w:sz w:val="20"/>
        </w:rPr>
        <w:t>voiced their concern</w:t>
      </w:r>
      <w:r>
        <w:rPr>
          <w:color w:val="231F20"/>
          <w:spacing w:val="-10"/>
          <w:sz w:val="20"/>
        </w:rPr>
        <w:t xml:space="preserve"> </w:t>
      </w:r>
      <w:r>
        <w:rPr>
          <w:color w:val="231F20"/>
          <w:sz w:val="20"/>
        </w:rPr>
        <w:t>at</w:t>
      </w:r>
      <w:r>
        <w:rPr>
          <w:color w:val="231F20"/>
          <w:spacing w:val="-9"/>
          <w:sz w:val="20"/>
        </w:rPr>
        <w:t xml:space="preserve"> </w:t>
      </w:r>
      <w:r>
        <w:rPr>
          <w:color w:val="231F20"/>
          <w:sz w:val="20"/>
        </w:rPr>
        <w:t>harmful,</w:t>
      </w:r>
      <w:r>
        <w:rPr>
          <w:color w:val="231F20"/>
          <w:spacing w:val="-10"/>
          <w:sz w:val="20"/>
        </w:rPr>
        <w:t xml:space="preserve"> </w:t>
      </w:r>
      <w:r>
        <w:rPr>
          <w:color w:val="231F20"/>
          <w:sz w:val="20"/>
        </w:rPr>
        <w:t>sexist,</w:t>
      </w:r>
      <w:r>
        <w:rPr>
          <w:color w:val="231F20"/>
          <w:spacing w:val="-9"/>
          <w:sz w:val="20"/>
        </w:rPr>
        <w:t xml:space="preserve"> </w:t>
      </w:r>
      <w:r>
        <w:rPr>
          <w:color w:val="231F20"/>
          <w:sz w:val="20"/>
        </w:rPr>
        <w:t>misogynistic</w:t>
      </w:r>
      <w:r>
        <w:rPr>
          <w:color w:val="231F20"/>
          <w:spacing w:val="-10"/>
          <w:sz w:val="20"/>
        </w:rPr>
        <w:t xml:space="preserve"> </w:t>
      </w:r>
      <w:r>
        <w:rPr>
          <w:color w:val="231F20"/>
          <w:sz w:val="20"/>
        </w:rPr>
        <w:t>and</w:t>
      </w:r>
      <w:r>
        <w:rPr>
          <w:color w:val="231F20"/>
          <w:spacing w:val="-9"/>
          <w:sz w:val="20"/>
        </w:rPr>
        <w:t xml:space="preserve"> </w:t>
      </w:r>
      <w:r>
        <w:rPr>
          <w:color w:val="231F20"/>
          <w:sz w:val="20"/>
        </w:rPr>
        <w:t>violent</w:t>
      </w:r>
      <w:r>
        <w:rPr>
          <w:color w:val="231F20"/>
          <w:spacing w:val="-10"/>
          <w:sz w:val="20"/>
        </w:rPr>
        <w:t xml:space="preserve"> </w:t>
      </w:r>
      <w:r>
        <w:rPr>
          <w:color w:val="231F20"/>
          <w:spacing w:val="-3"/>
          <w:sz w:val="20"/>
        </w:rPr>
        <w:t>content</w:t>
      </w:r>
      <w:r>
        <w:rPr>
          <w:color w:val="231F20"/>
          <w:spacing w:val="-9"/>
          <w:sz w:val="20"/>
        </w:rPr>
        <w:t xml:space="preserve"> </w:t>
      </w:r>
      <w:r>
        <w:rPr>
          <w:color w:val="231F20"/>
          <w:sz w:val="20"/>
        </w:rPr>
        <w:t>and</w:t>
      </w:r>
      <w:r>
        <w:rPr>
          <w:color w:val="231F20"/>
          <w:spacing w:val="-10"/>
          <w:sz w:val="20"/>
        </w:rPr>
        <w:t xml:space="preserve"> </w:t>
      </w:r>
      <w:proofErr w:type="spellStart"/>
      <w:r>
        <w:rPr>
          <w:color w:val="231F20"/>
          <w:sz w:val="20"/>
        </w:rPr>
        <w:t>behaviour</w:t>
      </w:r>
      <w:proofErr w:type="spellEnd"/>
      <w:r>
        <w:rPr>
          <w:color w:val="231F20"/>
          <w:spacing w:val="-9"/>
          <w:sz w:val="20"/>
        </w:rPr>
        <w:t xml:space="preserve"> </w:t>
      </w:r>
      <w:r>
        <w:rPr>
          <w:color w:val="231F20"/>
          <w:sz w:val="20"/>
        </w:rPr>
        <w:t>online’.</w:t>
      </w:r>
      <w:r>
        <w:rPr>
          <w:color w:val="231F20"/>
          <w:position w:val="7"/>
          <w:sz w:val="11"/>
        </w:rPr>
        <w:t>43</w:t>
      </w:r>
    </w:p>
    <w:p w14:paraId="36970951" w14:textId="77777777" w:rsidR="00894070" w:rsidRDefault="00894070">
      <w:pPr>
        <w:pStyle w:val="BodyText"/>
      </w:pPr>
    </w:p>
    <w:p w14:paraId="5B4D335A" w14:textId="77777777" w:rsidR="00894070" w:rsidRDefault="00894070">
      <w:pPr>
        <w:pStyle w:val="BodyText"/>
      </w:pPr>
    </w:p>
    <w:p w14:paraId="3BB7F61D" w14:textId="77777777" w:rsidR="00894070" w:rsidRDefault="00894070">
      <w:pPr>
        <w:pStyle w:val="BodyText"/>
      </w:pPr>
    </w:p>
    <w:p w14:paraId="1B697806" w14:textId="77777777" w:rsidR="00894070" w:rsidRDefault="00894070">
      <w:pPr>
        <w:pStyle w:val="BodyText"/>
      </w:pPr>
    </w:p>
    <w:p w14:paraId="382E4E94" w14:textId="77777777" w:rsidR="00894070" w:rsidRDefault="009F6793">
      <w:pPr>
        <w:pStyle w:val="BodyText"/>
        <w:spacing w:before="9"/>
        <w:rPr>
          <w:sz w:val="25"/>
        </w:rPr>
      </w:pPr>
      <w:r>
        <w:pict w14:anchorId="5F0F0999">
          <v:line id="_x0000_s1590" style="position:absolute;z-index:251484160;mso-wrap-distance-left:0;mso-wrap-distance-right:0;mso-position-horizontal-relative:page" from="79.35pt,20.3pt" to="515.9pt,20.3pt" strokecolor="#f8cabc" strokeweight="1pt">
            <w10:wrap type="topAndBottom" anchorx="page"/>
          </v:line>
        </w:pict>
      </w:r>
    </w:p>
    <w:p w14:paraId="638959C8" w14:textId="77777777" w:rsidR="00894070" w:rsidRDefault="009B7AFD">
      <w:pPr>
        <w:pStyle w:val="ListParagraph"/>
        <w:numPr>
          <w:ilvl w:val="0"/>
          <w:numId w:val="158"/>
        </w:numPr>
        <w:tabs>
          <w:tab w:val="left" w:pos="1800"/>
          <w:tab w:val="left" w:pos="1802"/>
        </w:tabs>
        <w:spacing w:before="107" w:line="213" w:lineRule="auto"/>
        <w:ind w:right="1369"/>
        <w:rPr>
          <w:sz w:val="13"/>
        </w:rPr>
      </w:pPr>
      <w:r>
        <w:rPr>
          <w:color w:val="231F20"/>
          <w:sz w:val="13"/>
        </w:rPr>
        <w:t xml:space="preserve">Majeed Khader and Stephanie Chan, ‘Unwanted Attention: A Survey on </w:t>
      </w:r>
      <w:r>
        <w:rPr>
          <w:color w:val="231F20"/>
          <w:spacing w:val="2"/>
          <w:sz w:val="13"/>
        </w:rPr>
        <w:t xml:space="preserve">Cyberstalking </w:t>
      </w:r>
      <w:r>
        <w:rPr>
          <w:color w:val="231F20"/>
          <w:sz w:val="13"/>
        </w:rPr>
        <w:t xml:space="preserve">Victimization’ in Heng </w:t>
      </w:r>
      <w:proofErr w:type="spellStart"/>
      <w:r>
        <w:rPr>
          <w:color w:val="231F20"/>
          <w:sz w:val="13"/>
        </w:rPr>
        <w:t>Choon</w:t>
      </w:r>
      <w:proofErr w:type="spellEnd"/>
      <w:r>
        <w:rPr>
          <w:color w:val="231F20"/>
          <w:sz w:val="13"/>
        </w:rPr>
        <w:t xml:space="preserve"> (Oliver)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An International Perspective </w:t>
      </w:r>
      <w:r>
        <w:rPr>
          <w:color w:val="231F20"/>
          <w:spacing w:val="2"/>
          <w:sz w:val="13"/>
        </w:rPr>
        <w:t xml:space="preserve">(John </w:t>
      </w:r>
      <w:r>
        <w:rPr>
          <w:color w:val="231F20"/>
          <w:sz w:val="13"/>
        </w:rPr>
        <w:t xml:space="preserve">Wiley and Sons, 2020) 77, </w:t>
      </w:r>
      <w:r>
        <w:rPr>
          <w:color w:val="231F20"/>
          <w:spacing w:val="2"/>
          <w:sz w:val="13"/>
        </w:rPr>
        <w:t xml:space="preserve">79–80; </w:t>
      </w:r>
      <w:r>
        <w:rPr>
          <w:color w:val="231F20"/>
          <w:sz w:val="13"/>
        </w:rPr>
        <w:t xml:space="preserve">Harald Dressing et </w:t>
      </w:r>
      <w:r>
        <w:rPr>
          <w:color w:val="231F20"/>
          <w:spacing w:val="2"/>
          <w:sz w:val="13"/>
        </w:rPr>
        <w:t xml:space="preserve">al, ‘Cyberstalking </w:t>
      </w:r>
      <w:r>
        <w:rPr>
          <w:color w:val="231F20"/>
          <w:sz w:val="13"/>
        </w:rPr>
        <w:t xml:space="preserve">in a Large Sample of Social Network Users: Prevalence, Characteristics, and Impact upon Victims’ (2014) 17(2) </w:t>
      </w:r>
      <w:r>
        <w:rPr>
          <w:i/>
          <w:color w:val="231F20"/>
          <w:sz w:val="13"/>
        </w:rPr>
        <w:t xml:space="preserve">Cyberpsychology, Behavior and Social Networking </w:t>
      </w:r>
      <w:r>
        <w:rPr>
          <w:color w:val="231F20"/>
          <w:sz w:val="13"/>
        </w:rPr>
        <w:t>61, 61. Studies may not distinguish between family violence and non-family violence</w:t>
      </w:r>
      <w:r>
        <w:rPr>
          <w:color w:val="231F20"/>
          <w:spacing w:val="5"/>
          <w:sz w:val="13"/>
        </w:rPr>
        <w:t xml:space="preserve"> </w:t>
      </w:r>
      <w:r>
        <w:rPr>
          <w:color w:val="231F20"/>
          <w:spacing w:val="2"/>
          <w:sz w:val="13"/>
        </w:rPr>
        <w:t>stalking.</w:t>
      </w:r>
    </w:p>
    <w:p w14:paraId="27463B94" w14:textId="77777777" w:rsidR="00894070" w:rsidRDefault="009B7AFD">
      <w:pPr>
        <w:pStyle w:val="ListParagraph"/>
        <w:numPr>
          <w:ilvl w:val="0"/>
          <w:numId w:val="158"/>
        </w:numPr>
        <w:tabs>
          <w:tab w:val="left" w:pos="1801"/>
          <w:tab w:val="left" w:pos="1802"/>
        </w:tabs>
        <w:spacing w:line="213" w:lineRule="auto"/>
        <w:ind w:right="1530"/>
        <w:rPr>
          <w:sz w:val="13"/>
        </w:rPr>
      </w:pPr>
      <w:r>
        <w:rPr>
          <w:color w:val="231F20"/>
          <w:sz w:val="13"/>
        </w:rPr>
        <w:t xml:space="preserve">Cristina </w:t>
      </w:r>
      <w:proofErr w:type="spellStart"/>
      <w:r>
        <w:rPr>
          <w:color w:val="231F20"/>
          <w:sz w:val="13"/>
        </w:rPr>
        <w:t>Cavezza</w:t>
      </w:r>
      <w:proofErr w:type="spellEnd"/>
      <w:r>
        <w:rPr>
          <w:color w:val="231F20"/>
          <w:sz w:val="13"/>
        </w:rPr>
        <w:t xml:space="preserve"> and </w:t>
      </w:r>
      <w:r>
        <w:rPr>
          <w:color w:val="231F20"/>
          <w:spacing w:val="-3"/>
          <w:sz w:val="13"/>
        </w:rPr>
        <w:t xml:space="preserve">Troy </w:t>
      </w:r>
      <w:r>
        <w:rPr>
          <w:color w:val="231F20"/>
          <w:sz w:val="13"/>
        </w:rPr>
        <w:t xml:space="preserve">E McEwan, </w:t>
      </w:r>
      <w:r>
        <w:rPr>
          <w:color w:val="231F20"/>
          <w:spacing w:val="2"/>
          <w:sz w:val="13"/>
        </w:rPr>
        <w:t xml:space="preserve">‘Cyberstalking </w:t>
      </w:r>
      <w:r>
        <w:rPr>
          <w:color w:val="231F20"/>
          <w:sz w:val="13"/>
        </w:rPr>
        <w:t xml:space="preserve">versus Off-Line Stalking in a Forensic Sample’ (2014) 20(10) </w:t>
      </w:r>
      <w:r>
        <w:rPr>
          <w:i/>
          <w:color w:val="231F20"/>
          <w:sz w:val="13"/>
        </w:rPr>
        <w:t xml:space="preserve">Psychology, Crime and Law </w:t>
      </w:r>
      <w:r>
        <w:rPr>
          <w:color w:val="231F20"/>
          <w:spacing w:val="3"/>
          <w:sz w:val="13"/>
        </w:rPr>
        <w:t>955,</w:t>
      </w:r>
      <w:r>
        <w:rPr>
          <w:color w:val="231F20"/>
          <w:spacing w:val="-1"/>
          <w:sz w:val="13"/>
        </w:rPr>
        <w:t xml:space="preserve"> </w:t>
      </w:r>
      <w:r>
        <w:rPr>
          <w:color w:val="231F20"/>
          <w:spacing w:val="2"/>
          <w:sz w:val="13"/>
        </w:rPr>
        <w:t>956.</w:t>
      </w:r>
    </w:p>
    <w:p w14:paraId="4C686226" w14:textId="77777777" w:rsidR="00894070" w:rsidRDefault="009B7AFD">
      <w:pPr>
        <w:pStyle w:val="ListParagraph"/>
        <w:numPr>
          <w:ilvl w:val="0"/>
          <w:numId w:val="158"/>
        </w:numPr>
        <w:tabs>
          <w:tab w:val="left" w:pos="1801"/>
          <w:tab w:val="left" w:pos="1802"/>
        </w:tabs>
        <w:spacing w:line="152" w:lineRule="exact"/>
        <w:rPr>
          <w:sz w:val="13"/>
        </w:rPr>
      </w:pPr>
      <w:r>
        <w:rPr>
          <w:color w:val="231F20"/>
          <w:sz w:val="13"/>
        </w:rPr>
        <w:t xml:space="preserve">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i/>
          <w:color w:val="231F20"/>
          <w:sz w:val="13"/>
        </w:rPr>
        <w:t xml:space="preserve">Adults’ Negative Online </w:t>
      </w:r>
      <w:r>
        <w:rPr>
          <w:i/>
          <w:color w:val="231F20"/>
          <w:spacing w:val="2"/>
          <w:sz w:val="13"/>
        </w:rPr>
        <w:t xml:space="preserve">Experiences </w:t>
      </w:r>
      <w:r>
        <w:rPr>
          <w:color w:val="231F20"/>
          <w:spacing w:val="2"/>
          <w:sz w:val="13"/>
        </w:rPr>
        <w:t xml:space="preserve">(Report, </w:t>
      </w:r>
      <w:r>
        <w:rPr>
          <w:color w:val="231F20"/>
          <w:sz w:val="13"/>
        </w:rPr>
        <w:t>2020)</w:t>
      </w:r>
      <w:r>
        <w:rPr>
          <w:color w:val="231F20"/>
          <w:spacing w:val="-4"/>
          <w:sz w:val="13"/>
        </w:rPr>
        <w:t xml:space="preserve"> </w:t>
      </w:r>
      <w:r>
        <w:rPr>
          <w:color w:val="231F20"/>
          <w:spacing w:val="3"/>
          <w:sz w:val="13"/>
        </w:rPr>
        <w:t>4.</w:t>
      </w:r>
    </w:p>
    <w:p w14:paraId="5B8A2D49" w14:textId="77777777" w:rsidR="00894070" w:rsidRDefault="009B7AFD">
      <w:pPr>
        <w:pStyle w:val="ListParagraph"/>
        <w:numPr>
          <w:ilvl w:val="0"/>
          <w:numId w:val="158"/>
        </w:numPr>
        <w:tabs>
          <w:tab w:val="left" w:pos="1801"/>
          <w:tab w:val="left" w:pos="1802"/>
        </w:tabs>
        <w:spacing w:before="4" w:line="213" w:lineRule="auto"/>
        <w:ind w:right="1321"/>
        <w:rPr>
          <w:sz w:val="13"/>
        </w:rPr>
      </w:pPr>
      <w:r>
        <w:rPr>
          <w:color w:val="231F20"/>
          <w:sz w:val="13"/>
        </w:rPr>
        <w:t xml:space="preserve">This includes non-family violence </w:t>
      </w:r>
      <w:r>
        <w:rPr>
          <w:color w:val="231F20"/>
          <w:spacing w:val="2"/>
          <w:sz w:val="13"/>
        </w:rPr>
        <w:t xml:space="preserve">stalking: </w:t>
      </w:r>
      <w:r>
        <w:rPr>
          <w:color w:val="231F20"/>
          <w:sz w:val="13"/>
        </w:rPr>
        <w:t xml:space="preserve">see Plan International, </w:t>
      </w:r>
      <w:r>
        <w:rPr>
          <w:i/>
          <w:color w:val="231F20"/>
          <w:sz w:val="13"/>
        </w:rPr>
        <w:t xml:space="preserve">Free to Be Online </w:t>
      </w:r>
      <w:r>
        <w:rPr>
          <w:color w:val="231F20"/>
          <w:spacing w:val="2"/>
          <w:sz w:val="13"/>
        </w:rPr>
        <w:t xml:space="preserve">(Report, </w:t>
      </w:r>
      <w:r>
        <w:rPr>
          <w:color w:val="231F20"/>
          <w:sz w:val="13"/>
        </w:rPr>
        <w:t>202</w:t>
      </w:r>
      <w:hyperlink r:id="rId75">
        <w:r>
          <w:rPr>
            <w:color w:val="231F20"/>
            <w:sz w:val="13"/>
          </w:rPr>
          <w:t>0) 7 &lt;https://www.plan.org.au/</w:t>
        </w:r>
      </w:hyperlink>
      <w:hyperlink r:id="rId76">
        <w:r>
          <w:rPr>
            <w:color w:val="231F20"/>
            <w:sz w:val="13"/>
          </w:rPr>
          <w:t xml:space="preserve"> publications/free-to-be-online/</w:t>
        </w:r>
      </w:hyperlink>
      <w:r>
        <w:rPr>
          <w:color w:val="231F20"/>
          <w:sz w:val="13"/>
        </w:rPr>
        <w:t>&gt;.</w:t>
      </w:r>
    </w:p>
    <w:p w14:paraId="5EF82F6C" w14:textId="77777777" w:rsidR="00894070" w:rsidRDefault="009B7AFD">
      <w:pPr>
        <w:pStyle w:val="ListParagraph"/>
        <w:numPr>
          <w:ilvl w:val="0"/>
          <w:numId w:val="158"/>
        </w:numPr>
        <w:tabs>
          <w:tab w:val="left" w:pos="1800"/>
          <w:tab w:val="left" w:pos="1802"/>
        </w:tabs>
        <w:spacing w:line="213" w:lineRule="auto"/>
        <w:ind w:right="1233"/>
        <w:rPr>
          <w:sz w:val="13"/>
        </w:rPr>
      </w:pPr>
      <w:r>
        <w:rPr>
          <w:color w:val="231F20"/>
          <w:sz w:val="13"/>
        </w:rPr>
        <w:t xml:space="preserve">For example, keeping track of the victim survivor’s movements and interactions; maintaining unwanted contact or hacking the victim survivor’s personal accounts: </w:t>
      </w: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 xml:space="preserve">Support Services </w:t>
      </w:r>
      <w:r>
        <w:rPr>
          <w:i/>
          <w:color w:val="231F20"/>
          <w:sz w:val="13"/>
        </w:rPr>
        <w:t xml:space="preserve">Stakeholders </w:t>
      </w:r>
      <w:r>
        <w:rPr>
          <w:color w:val="231F20"/>
          <w:sz w:val="13"/>
        </w:rPr>
        <w:t xml:space="preserve">(Research </w:t>
      </w:r>
      <w:r>
        <w:rPr>
          <w:color w:val="231F20"/>
          <w:spacing w:val="2"/>
          <w:sz w:val="13"/>
        </w:rPr>
        <w:t xml:space="preserve">Report </w:t>
      </w:r>
      <w:r>
        <w:rPr>
          <w:color w:val="231F20"/>
          <w:sz w:val="13"/>
        </w:rPr>
        <w:t>No 2, ANROWS, July 2021)</w:t>
      </w:r>
      <w:r>
        <w:rPr>
          <w:color w:val="231F20"/>
          <w:spacing w:val="-1"/>
          <w:sz w:val="13"/>
        </w:rPr>
        <w:t xml:space="preserve"> </w:t>
      </w:r>
      <w:r>
        <w:rPr>
          <w:color w:val="231F20"/>
          <w:spacing w:val="2"/>
          <w:sz w:val="13"/>
        </w:rPr>
        <w:t>21.</w:t>
      </w:r>
    </w:p>
    <w:p w14:paraId="72401D45" w14:textId="77777777" w:rsidR="00894070" w:rsidRDefault="009B7AFD">
      <w:pPr>
        <w:pStyle w:val="ListParagraph"/>
        <w:numPr>
          <w:ilvl w:val="0"/>
          <w:numId w:val="158"/>
        </w:numPr>
        <w:tabs>
          <w:tab w:val="left" w:pos="1801"/>
          <w:tab w:val="left" w:pos="1802"/>
        </w:tabs>
        <w:spacing w:line="213" w:lineRule="auto"/>
        <w:ind w:right="1217"/>
        <w:jc w:val="both"/>
        <w:rPr>
          <w:sz w:val="13"/>
        </w:rPr>
      </w:pPr>
      <w:r>
        <w:rPr>
          <w:color w:val="231F20"/>
          <w:sz w:val="13"/>
        </w:rPr>
        <w:t xml:space="preserve">Majeed Khader and Stephanie Chan, ‘Unwanted Attention: A Survey on </w:t>
      </w:r>
      <w:r>
        <w:rPr>
          <w:color w:val="231F20"/>
          <w:spacing w:val="2"/>
          <w:sz w:val="13"/>
        </w:rPr>
        <w:t xml:space="preserve">Cyberstalking </w:t>
      </w:r>
      <w:r>
        <w:rPr>
          <w:color w:val="231F20"/>
          <w:sz w:val="13"/>
        </w:rPr>
        <w:t xml:space="preserve">Victimization’ in Heng </w:t>
      </w:r>
      <w:proofErr w:type="spellStart"/>
      <w:r>
        <w:rPr>
          <w:color w:val="231F20"/>
          <w:sz w:val="13"/>
        </w:rPr>
        <w:t>Choon</w:t>
      </w:r>
      <w:proofErr w:type="spellEnd"/>
      <w:r>
        <w:rPr>
          <w:color w:val="231F20"/>
          <w:sz w:val="13"/>
        </w:rPr>
        <w:t xml:space="preserve"> (Oliver)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An International Perspective </w:t>
      </w:r>
      <w:r>
        <w:rPr>
          <w:color w:val="231F20"/>
          <w:sz w:val="13"/>
        </w:rPr>
        <w:t xml:space="preserve">(John Wiley and Sons, 2020) 77, </w:t>
      </w:r>
      <w:r>
        <w:rPr>
          <w:color w:val="231F20"/>
          <w:spacing w:val="2"/>
          <w:sz w:val="13"/>
        </w:rPr>
        <w:t>79–80.</w:t>
      </w:r>
    </w:p>
    <w:p w14:paraId="20AFD482" w14:textId="77777777" w:rsidR="00894070" w:rsidRDefault="009B7AFD">
      <w:pPr>
        <w:pStyle w:val="ListParagraph"/>
        <w:numPr>
          <w:ilvl w:val="0"/>
          <w:numId w:val="158"/>
        </w:numPr>
        <w:tabs>
          <w:tab w:val="left" w:pos="1801"/>
          <w:tab w:val="left" w:pos="1802"/>
        </w:tabs>
        <w:spacing w:line="213" w:lineRule="auto"/>
        <w:ind w:right="1362"/>
        <w:rPr>
          <w:sz w:val="13"/>
        </w:rPr>
      </w:pPr>
      <w:proofErr w:type="spellStart"/>
      <w:r>
        <w:rPr>
          <w:color w:val="231F20"/>
          <w:sz w:val="13"/>
        </w:rPr>
        <w:t>Billea</w:t>
      </w:r>
      <w:proofErr w:type="spellEnd"/>
      <w:r>
        <w:rPr>
          <w:color w:val="231F20"/>
          <w:sz w:val="13"/>
        </w:rPr>
        <w:t xml:space="preserve"> </w:t>
      </w:r>
      <w:proofErr w:type="spellStart"/>
      <w:r>
        <w:rPr>
          <w:color w:val="231F20"/>
          <w:sz w:val="13"/>
        </w:rPr>
        <w:t>Ahlgrim</w:t>
      </w:r>
      <w:proofErr w:type="spellEnd"/>
      <w:r>
        <w:rPr>
          <w:color w:val="231F20"/>
          <w:sz w:val="13"/>
        </w:rPr>
        <w:t xml:space="preserve"> and </w:t>
      </w:r>
      <w:r>
        <w:rPr>
          <w:color w:val="231F20"/>
          <w:spacing w:val="2"/>
          <w:sz w:val="13"/>
        </w:rPr>
        <w:t xml:space="preserve">Cheryl </w:t>
      </w:r>
      <w:r>
        <w:rPr>
          <w:color w:val="231F20"/>
          <w:sz w:val="13"/>
        </w:rPr>
        <w:t xml:space="preserve">Terrance, ‘Perceptions of </w:t>
      </w:r>
      <w:r>
        <w:rPr>
          <w:color w:val="231F20"/>
          <w:spacing w:val="2"/>
          <w:sz w:val="13"/>
        </w:rPr>
        <w:t xml:space="preserve">Cyberstalking: </w:t>
      </w:r>
      <w:r>
        <w:rPr>
          <w:color w:val="231F20"/>
          <w:sz w:val="13"/>
        </w:rPr>
        <w:t xml:space="preserve">Impact of Perpetrator </w:t>
      </w:r>
      <w:r>
        <w:rPr>
          <w:color w:val="231F20"/>
          <w:spacing w:val="2"/>
          <w:sz w:val="13"/>
        </w:rPr>
        <w:t xml:space="preserve">Gender </w:t>
      </w:r>
      <w:r>
        <w:rPr>
          <w:color w:val="231F20"/>
          <w:sz w:val="13"/>
        </w:rPr>
        <w:t xml:space="preserve">and </w:t>
      </w:r>
      <w:proofErr w:type="spellStart"/>
      <w:r>
        <w:rPr>
          <w:color w:val="231F20"/>
          <w:sz w:val="13"/>
        </w:rPr>
        <w:t>Cyberstalker</w:t>
      </w:r>
      <w:proofErr w:type="spellEnd"/>
      <w:r>
        <w:rPr>
          <w:color w:val="231F20"/>
          <w:sz w:val="13"/>
        </w:rPr>
        <w:t xml:space="preserve">/Victim Relationship’ (2021) 36(7–8) </w:t>
      </w:r>
      <w:r>
        <w:rPr>
          <w:i/>
          <w:color w:val="231F20"/>
          <w:sz w:val="13"/>
        </w:rPr>
        <w:t xml:space="preserve">Journal of Interpersonal Violence </w:t>
      </w:r>
      <w:r>
        <w:rPr>
          <w:color w:val="231F20"/>
          <w:sz w:val="13"/>
        </w:rPr>
        <w:t xml:space="preserve">NP4074; Harald Dressing et </w:t>
      </w:r>
      <w:r>
        <w:rPr>
          <w:color w:val="231F20"/>
          <w:spacing w:val="2"/>
          <w:sz w:val="13"/>
        </w:rPr>
        <w:t xml:space="preserve">al, ‘Cyberstalking </w:t>
      </w:r>
      <w:r>
        <w:rPr>
          <w:color w:val="231F20"/>
          <w:sz w:val="13"/>
        </w:rPr>
        <w:t xml:space="preserve">in a Large Sample      of Social Network Users: Prevalence, Characteristics, and Impact upon Victims’ (2014) 17(2) </w:t>
      </w:r>
      <w:r>
        <w:rPr>
          <w:i/>
          <w:color w:val="231F20"/>
          <w:sz w:val="13"/>
        </w:rPr>
        <w:t xml:space="preserve">Cyberpsychology, Behavior and     Social Networking </w:t>
      </w:r>
      <w:r>
        <w:rPr>
          <w:color w:val="231F20"/>
          <w:sz w:val="13"/>
        </w:rPr>
        <w:t xml:space="preserve">61; Suzie Dunn, ‘Technology-Facilitated Gender-Based Violence: An Overview’ (Centre for International Governance Innovation: </w:t>
      </w:r>
      <w:r>
        <w:rPr>
          <w:color w:val="231F20"/>
          <w:spacing w:val="2"/>
          <w:sz w:val="13"/>
        </w:rPr>
        <w:t xml:space="preserve">Supporting </w:t>
      </w:r>
      <w:r>
        <w:rPr>
          <w:color w:val="231F20"/>
          <w:sz w:val="13"/>
        </w:rPr>
        <w:t xml:space="preserve">a Safer Internet Paper No 1, Social </w:t>
      </w:r>
      <w:r>
        <w:rPr>
          <w:color w:val="231F20"/>
          <w:spacing w:val="2"/>
          <w:sz w:val="13"/>
        </w:rPr>
        <w:t xml:space="preserve">Science </w:t>
      </w:r>
      <w:r>
        <w:rPr>
          <w:color w:val="231F20"/>
          <w:sz w:val="13"/>
        </w:rPr>
        <w:t>Research Network, 202</w:t>
      </w:r>
      <w:hyperlink r:id="rId77">
        <w:r>
          <w:rPr>
            <w:color w:val="231F20"/>
            <w:sz w:val="13"/>
          </w:rPr>
          <w:t>0) &lt;https://papers.ssrn.</w:t>
        </w:r>
      </w:hyperlink>
      <w:hyperlink r:id="rId78">
        <w:r>
          <w:rPr>
            <w:color w:val="231F20"/>
            <w:sz w:val="13"/>
          </w:rPr>
          <w:t xml:space="preserve"> com/abstract=3772042</w:t>
        </w:r>
      </w:hyperlink>
      <w:r>
        <w:rPr>
          <w:color w:val="231F20"/>
          <w:sz w:val="13"/>
        </w:rPr>
        <w:t>&gt;;</w:t>
      </w:r>
      <w:r>
        <w:rPr>
          <w:color w:val="231F20"/>
          <w:spacing w:val="6"/>
          <w:sz w:val="13"/>
        </w:rPr>
        <w:t xml:space="preserve"> </w:t>
      </w:r>
      <w:r>
        <w:rPr>
          <w:color w:val="231F20"/>
          <w:sz w:val="13"/>
        </w:rPr>
        <w:t>House</w:t>
      </w:r>
      <w:r>
        <w:rPr>
          <w:color w:val="231F20"/>
          <w:spacing w:val="7"/>
          <w:sz w:val="13"/>
        </w:rPr>
        <w:t xml:space="preserve"> </w:t>
      </w:r>
      <w:r>
        <w:rPr>
          <w:color w:val="231F20"/>
          <w:sz w:val="13"/>
        </w:rPr>
        <w:t>of</w:t>
      </w:r>
      <w:r>
        <w:rPr>
          <w:color w:val="231F20"/>
          <w:spacing w:val="7"/>
          <w:sz w:val="13"/>
        </w:rPr>
        <w:t xml:space="preserve"> </w:t>
      </w:r>
      <w:r>
        <w:rPr>
          <w:color w:val="231F20"/>
          <w:sz w:val="13"/>
        </w:rPr>
        <w:t>Representatives</w:t>
      </w:r>
      <w:r>
        <w:rPr>
          <w:color w:val="231F20"/>
          <w:spacing w:val="7"/>
          <w:sz w:val="13"/>
        </w:rPr>
        <w:t xml:space="preserve"> </w:t>
      </w:r>
      <w:r>
        <w:rPr>
          <w:color w:val="231F20"/>
          <w:sz w:val="13"/>
        </w:rPr>
        <w:t>Select</w:t>
      </w:r>
      <w:r>
        <w:rPr>
          <w:color w:val="231F20"/>
          <w:spacing w:val="7"/>
          <w:sz w:val="13"/>
        </w:rPr>
        <w:t xml:space="preserve"> </w:t>
      </w:r>
      <w:r>
        <w:rPr>
          <w:color w:val="231F20"/>
          <w:sz w:val="13"/>
        </w:rPr>
        <w:t>Committee</w:t>
      </w:r>
      <w:r>
        <w:rPr>
          <w:color w:val="231F20"/>
          <w:spacing w:val="7"/>
          <w:sz w:val="13"/>
        </w:rPr>
        <w:t xml:space="preserve"> </w:t>
      </w:r>
      <w:r>
        <w:rPr>
          <w:color w:val="231F20"/>
          <w:sz w:val="13"/>
        </w:rPr>
        <w:t>on</w:t>
      </w:r>
      <w:r>
        <w:rPr>
          <w:color w:val="231F20"/>
          <w:spacing w:val="7"/>
          <w:sz w:val="13"/>
        </w:rPr>
        <w:t xml:space="preserve"> </w:t>
      </w:r>
      <w:r>
        <w:rPr>
          <w:color w:val="231F20"/>
          <w:sz w:val="13"/>
        </w:rPr>
        <w:t>Social</w:t>
      </w:r>
      <w:r>
        <w:rPr>
          <w:color w:val="231F20"/>
          <w:spacing w:val="7"/>
          <w:sz w:val="13"/>
        </w:rPr>
        <w:t xml:space="preserve"> </w:t>
      </w:r>
      <w:r>
        <w:rPr>
          <w:color w:val="231F20"/>
          <w:sz w:val="13"/>
        </w:rPr>
        <w:t>Media</w:t>
      </w:r>
      <w:r>
        <w:rPr>
          <w:color w:val="231F20"/>
          <w:spacing w:val="7"/>
          <w:sz w:val="13"/>
        </w:rPr>
        <w:t xml:space="preserve"> </w:t>
      </w:r>
      <w:r>
        <w:rPr>
          <w:color w:val="231F20"/>
          <w:sz w:val="13"/>
        </w:rPr>
        <w:t>and</w:t>
      </w:r>
      <w:r>
        <w:rPr>
          <w:color w:val="231F20"/>
          <w:spacing w:val="7"/>
          <w:sz w:val="13"/>
        </w:rPr>
        <w:t xml:space="preserve"> </w:t>
      </w:r>
      <w:r>
        <w:rPr>
          <w:color w:val="231F20"/>
          <w:sz w:val="13"/>
        </w:rPr>
        <w:t>Online</w:t>
      </w:r>
      <w:r>
        <w:rPr>
          <w:color w:val="231F20"/>
          <w:spacing w:val="7"/>
          <w:sz w:val="13"/>
        </w:rPr>
        <w:t xml:space="preserve"> </w:t>
      </w:r>
      <w:r>
        <w:rPr>
          <w:color w:val="231F20"/>
          <w:sz w:val="13"/>
        </w:rPr>
        <w:t>Safety,</w:t>
      </w:r>
      <w:r>
        <w:rPr>
          <w:color w:val="231F20"/>
          <w:spacing w:val="7"/>
          <w:sz w:val="13"/>
        </w:rPr>
        <w:t xml:space="preserve"> </w:t>
      </w:r>
      <w:r>
        <w:rPr>
          <w:color w:val="231F20"/>
          <w:sz w:val="13"/>
        </w:rPr>
        <w:t>Parliament</w:t>
      </w:r>
      <w:r>
        <w:rPr>
          <w:color w:val="231F20"/>
          <w:spacing w:val="6"/>
          <w:sz w:val="13"/>
        </w:rPr>
        <w:t xml:space="preserve"> </w:t>
      </w:r>
      <w:r>
        <w:rPr>
          <w:color w:val="231F20"/>
          <w:sz w:val="13"/>
        </w:rPr>
        <w:t>of</w:t>
      </w:r>
      <w:r>
        <w:rPr>
          <w:color w:val="231F20"/>
          <w:spacing w:val="7"/>
          <w:sz w:val="13"/>
        </w:rPr>
        <w:t xml:space="preserve"> </w:t>
      </w:r>
      <w:r>
        <w:rPr>
          <w:color w:val="231F20"/>
          <w:sz w:val="13"/>
        </w:rPr>
        <w:t>the</w:t>
      </w:r>
    </w:p>
    <w:p w14:paraId="14783D32" w14:textId="77777777" w:rsidR="00894070" w:rsidRDefault="009B7AFD">
      <w:pPr>
        <w:spacing w:line="213" w:lineRule="auto"/>
        <w:ind w:left="1800" w:right="1219"/>
        <w:rPr>
          <w:sz w:val="13"/>
        </w:rPr>
      </w:pPr>
      <w:r>
        <w:rPr>
          <w:color w:val="231F20"/>
          <w:sz w:val="13"/>
        </w:rPr>
        <w:t xml:space="preserve">Commonwealth of Australia, </w:t>
      </w:r>
      <w:proofErr w:type="gramStart"/>
      <w:r>
        <w:rPr>
          <w:i/>
          <w:color w:val="231F20"/>
          <w:sz w:val="13"/>
        </w:rPr>
        <w:t>Social Media</w:t>
      </w:r>
      <w:proofErr w:type="gramEnd"/>
      <w:r>
        <w:rPr>
          <w:i/>
          <w:color w:val="231F20"/>
          <w:sz w:val="13"/>
        </w:rPr>
        <w:t xml:space="preserve"> and Online Safety </w:t>
      </w:r>
      <w:r>
        <w:rPr>
          <w:color w:val="231F20"/>
          <w:sz w:val="13"/>
        </w:rPr>
        <w:t xml:space="preserve">(Report, March 2022) 36; Anastasia Powell, Adrian J Scott and Nicola Henry, ‘Digital Harassment and Abuse: Experiences of Sexuality and Gender Minority Adults’ (2020) 17(2) </w:t>
      </w:r>
      <w:r>
        <w:rPr>
          <w:i/>
          <w:color w:val="231F20"/>
          <w:sz w:val="13"/>
        </w:rPr>
        <w:t xml:space="preserve">European Journal of Criminology </w:t>
      </w:r>
      <w:r>
        <w:rPr>
          <w:color w:val="231F20"/>
          <w:sz w:val="13"/>
        </w:rPr>
        <w:t>199, 204.</w:t>
      </w:r>
    </w:p>
    <w:p w14:paraId="63D062F4" w14:textId="77777777" w:rsidR="00894070" w:rsidRDefault="009B7AFD">
      <w:pPr>
        <w:pStyle w:val="ListParagraph"/>
        <w:numPr>
          <w:ilvl w:val="0"/>
          <w:numId w:val="158"/>
        </w:numPr>
        <w:tabs>
          <w:tab w:val="left" w:pos="1800"/>
          <w:tab w:val="left" w:pos="1802"/>
        </w:tabs>
        <w:spacing w:line="213" w:lineRule="auto"/>
        <w:ind w:right="1530"/>
        <w:rPr>
          <w:sz w:val="13"/>
        </w:rPr>
      </w:pPr>
      <w:r>
        <w:rPr>
          <w:color w:val="231F20"/>
          <w:sz w:val="13"/>
        </w:rPr>
        <w:t xml:space="preserve">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color w:val="231F20"/>
          <w:spacing w:val="2"/>
          <w:sz w:val="13"/>
        </w:rPr>
        <w:t xml:space="preserve">‘Domestic </w:t>
      </w:r>
      <w:r>
        <w:rPr>
          <w:color w:val="231F20"/>
          <w:sz w:val="13"/>
        </w:rPr>
        <w:t xml:space="preserve">and Family Violence’, </w:t>
      </w:r>
      <w:proofErr w:type="spellStart"/>
      <w:r>
        <w:rPr>
          <w:i/>
          <w:color w:val="231F20"/>
          <w:sz w:val="13"/>
        </w:rPr>
        <w:t>ESafety</w:t>
      </w:r>
      <w:proofErr w:type="spellEnd"/>
      <w:r>
        <w:rPr>
          <w:i/>
          <w:color w:val="231F20"/>
          <w:sz w:val="13"/>
        </w:rPr>
        <w:t xml:space="preserve"> Commissioner </w:t>
      </w:r>
      <w:r>
        <w:rPr>
          <w:color w:val="231F20"/>
          <w:sz w:val="13"/>
        </w:rPr>
        <w:t>(Web Pag</w:t>
      </w:r>
      <w:hyperlink r:id="rId79">
        <w:r>
          <w:rPr>
            <w:color w:val="231F20"/>
            <w:sz w:val="13"/>
          </w:rPr>
          <w:t>e) &lt;https://www.</w:t>
        </w:r>
      </w:hyperlink>
      <w:hyperlink r:id="rId80">
        <w:r>
          <w:rPr>
            <w:color w:val="231F20"/>
            <w:sz w:val="13"/>
          </w:rPr>
          <w:t xml:space="preserve"> esafety.gov.au/key-issues/domestic-family-violence</w:t>
        </w:r>
      </w:hyperlink>
      <w:r>
        <w:rPr>
          <w:color w:val="231F20"/>
          <w:sz w:val="13"/>
        </w:rPr>
        <w:t>&gt;.</w:t>
      </w:r>
    </w:p>
    <w:p w14:paraId="4C7128E5" w14:textId="77777777" w:rsidR="00894070" w:rsidRDefault="009F6793">
      <w:pPr>
        <w:pStyle w:val="ListParagraph"/>
        <w:numPr>
          <w:ilvl w:val="0"/>
          <w:numId w:val="158"/>
        </w:numPr>
        <w:tabs>
          <w:tab w:val="left" w:pos="1800"/>
          <w:tab w:val="left" w:pos="1802"/>
        </w:tabs>
        <w:spacing w:line="213" w:lineRule="auto"/>
        <w:ind w:right="1289"/>
        <w:rPr>
          <w:sz w:val="13"/>
        </w:rPr>
      </w:pPr>
      <w:r>
        <w:pict w14:anchorId="5EF00A19">
          <v:shape id="_x0000_s1589" type="#_x0000_t202" style="position:absolute;left:0;text-align:left;margin-left:36pt;margin-top:11.4pt;width:14.2pt;height:14.1pt;z-index:251552768;mso-position-horizontal-relative:page" filled="f" stroked="f">
            <v:textbox inset="0,0,0,0">
              <w:txbxContent>
                <w:p w14:paraId="6CF11E77" w14:textId="77777777" w:rsidR="00894070" w:rsidRDefault="009B7AFD">
                  <w:pPr>
                    <w:spacing w:line="282" w:lineRule="exact"/>
                    <w:rPr>
                      <w:b/>
                      <w:sz w:val="24"/>
                    </w:rPr>
                  </w:pPr>
                  <w:r>
                    <w:rPr>
                      <w:b/>
                      <w:color w:val="EA5B50"/>
                      <w:sz w:val="24"/>
                    </w:rPr>
                    <w:t>36</w:t>
                  </w:r>
                </w:p>
              </w:txbxContent>
            </v:textbox>
            <w10:wrap anchorx="page"/>
          </v:shape>
        </w:pict>
      </w:r>
      <w:proofErr w:type="spellStart"/>
      <w:r w:rsidR="009B7AFD">
        <w:rPr>
          <w:color w:val="231F20"/>
          <w:sz w:val="13"/>
        </w:rPr>
        <w:t>Dubravka</w:t>
      </w:r>
      <w:proofErr w:type="spellEnd"/>
      <w:r w:rsidR="009B7AFD">
        <w:rPr>
          <w:color w:val="231F20"/>
          <w:sz w:val="13"/>
        </w:rPr>
        <w:t xml:space="preserve"> </w:t>
      </w:r>
      <w:proofErr w:type="spellStart"/>
      <w:r w:rsidR="009B7AFD">
        <w:rPr>
          <w:color w:val="231F20"/>
          <w:sz w:val="13"/>
        </w:rPr>
        <w:t>Šimonović</w:t>
      </w:r>
      <w:proofErr w:type="spellEnd"/>
      <w:r w:rsidR="009B7AFD">
        <w:rPr>
          <w:color w:val="231F20"/>
          <w:sz w:val="13"/>
        </w:rPr>
        <w:t xml:space="preserve">, </w:t>
      </w:r>
      <w:r w:rsidR="009B7AFD">
        <w:rPr>
          <w:color w:val="231F20"/>
          <w:spacing w:val="2"/>
          <w:sz w:val="13"/>
        </w:rPr>
        <w:t xml:space="preserve">Special </w:t>
      </w:r>
      <w:r w:rsidR="009B7AFD">
        <w:rPr>
          <w:color w:val="231F20"/>
          <w:sz w:val="13"/>
        </w:rPr>
        <w:t xml:space="preserve">Rapporteur, </w:t>
      </w:r>
      <w:r w:rsidR="009B7AFD">
        <w:rPr>
          <w:i/>
          <w:color w:val="231F20"/>
          <w:spacing w:val="2"/>
          <w:sz w:val="13"/>
        </w:rPr>
        <w:t xml:space="preserve">Report </w:t>
      </w:r>
      <w:r w:rsidR="009B7AFD">
        <w:rPr>
          <w:i/>
          <w:color w:val="231F20"/>
          <w:sz w:val="13"/>
        </w:rPr>
        <w:t xml:space="preserve">of the </w:t>
      </w:r>
      <w:r w:rsidR="009B7AFD">
        <w:rPr>
          <w:i/>
          <w:color w:val="231F20"/>
          <w:spacing w:val="2"/>
          <w:sz w:val="13"/>
        </w:rPr>
        <w:t xml:space="preserve">Special </w:t>
      </w:r>
      <w:r w:rsidR="009B7AFD">
        <w:rPr>
          <w:i/>
          <w:color w:val="231F20"/>
          <w:sz w:val="13"/>
        </w:rPr>
        <w:t xml:space="preserve">Rapporteur on Violence Against Women, </w:t>
      </w:r>
      <w:r w:rsidR="009B7AFD">
        <w:rPr>
          <w:i/>
          <w:color w:val="231F20"/>
          <w:spacing w:val="2"/>
          <w:sz w:val="13"/>
        </w:rPr>
        <w:t xml:space="preserve">Its </w:t>
      </w:r>
      <w:r w:rsidR="009B7AFD">
        <w:rPr>
          <w:i/>
          <w:color w:val="231F20"/>
          <w:sz w:val="13"/>
        </w:rPr>
        <w:t xml:space="preserve">Causes </w:t>
      </w:r>
      <w:r w:rsidR="009B7AFD">
        <w:rPr>
          <w:i/>
          <w:color w:val="231F20"/>
          <w:spacing w:val="2"/>
          <w:sz w:val="13"/>
        </w:rPr>
        <w:t xml:space="preserve">and </w:t>
      </w:r>
      <w:r w:rsidR="009B7AFD">
        <w:rPr>
          <w:i/>
          <w:color w:val="231F20"/>
          <w:sz w:val="13"/>
        </w:rPr>
        <w:t xml:space="preserve">Consequences on Online Violence Against Women and </w:t>
      </w:r>
      <w:r w:rsidR="009B7AFD">
        <w:rPr>
          <w:i/>
          <w:color w:val="231F20"/>
          <w:spacing w:val="2"/>
          <w:sz w:val="13"/>
        </w:rPr>
        <w:t xml:space="preserve">Girls </w:t>
      </w:r>
      <w:r w:rsidR="009B7AFD">
        <w:rPr>
          <w:i/>
          <w:color w:val="231F20"/>
          <w:sz w:val="13"/>
        </w:rPr>
        <w:t xml:space="preserve">from a Human </w:t>
      </w:r>
      <w:r w:rsidR="009B7AFD">
        <w:rPr>
          <w:i/>
          <w:color w:val="231F20"/>
          <w:spacing w:val="2"/>
          <w:sz w:val="13"/>
        </w:rPr>
        <w:t xml:space="preserve">Rights </w:t>
      </w:r>
      <w:r w:rsidR="009B7AFD">
        <w:rPr>
          <w:i/>
          <w:color w:val="231F20"/>
          <w:sz w:val="13"/>
        </w:rPr>
        <w:t>Perspective</w:t>
      </w:r>
      <w:r w:rsidR="009B7AFD">
        <w:rPr>
          <w:color w:val="231F20"/>
          <w:sz w:val="13"/>
        </w:rPr>
        <w:t xml:space="preserve">, Human Rights </w:t>
      </w:r>
      <w:r w:rsidR="009B7AFD">
        <w:rPr>
          <w:color w:val="231F20"/>
          <w:spacing w:val="2"/>
          <w:sz w:val="13"/>
        </w:rPr>
        <w:t xml:space="preserve">Council, </w:t>
      </w:r>
      <w:r w:rsidR="009B7AFD">
        <w:rPr>
          <w:color w:val="231F20"/>
          <w:sz w:val="13"/>
        </w:rPr>
        <w:t xml:space="preserve">UN Doc </w:t>
      </w:r>
      <w:r w:rsidR="009B7AFD">
        <w:rPr>
          <w:color w:val="231F20"/>
          <w:spacing w:val="2"/>
          <w:sz w:val="13"/>
        </w:rPr>
        <w:t xml:space="preserve">A/ </w:t>
      </w:r>
      <w:r w:rsidR="009B7AFD">
        <w:rPr>
          <w:color w:val="231F20"/>
          <w:sz w:val="13"/>
        </w:rPr>
        <w:t xml:space="preserve">HRC/38/47 </w:t>
      </w:r>
      <w:r w:rsidR="009B7AFD">
        <w:rPr>
          <w:color w:val="231F20"/>
          <w:spacing w:val="2"/>
          <w:sz w:val="13"/>
        </w:rPr>
        <w:t xml:space="preserve">(14 </w:t>
      </w:r>
      <w:r w:rsidR="009B7AFD">
        <w:rPr>
          <w:color w:val="231F20"/>
          <w:sz w:val="13"/>
        </w:rPr>
        <w:t>June 2018) 5</w:t>
      </w:r>
      <w:r w:rsidR="009B7AFD">
        <w:rPr>
          <w:color w:val="231F20"/>
          <w:spacing w:val="-2"/>
          <w:sz w:val="13"/>
        </w:rPr>
        <w:t xml:space="preserve"> </w:t>
      </w:r>
      <w:r w:rsidR="009B7AFD">
        <w:rPr>
          <w:color w:val="231F20"/>
          <w:sz w:val="13"/>
        </w:rPr>
        <w:t>[14].</w:t>
      </w:r>
    </w:p>
    <w:p w14:paraId="2C3AB581" w14:textId="77777777" w:rsidR="00894070" w:rsidRDefault="00894070">
      <w:pPr>
        <w:spacing w:line="213" w:lineRule="auto"/>
        <w:rPr>
          <w:sz w:val="13"/>
        </w:rPr>
        <w:sectPr w:rsidR="00894070">
          <w:pgSz w:w="11910" w:h="16840"/>
          <w:pgMar w:top="860" w:right="420" w:bottom="280" w:left="580" w:header="567" w:footer="0" w:gutter="0"/>
          <w:cols w:space="720"/>
        </w:sectPr>
      </w:pPr>
    </w:p>
    <w:p w14:paraId="6351E74F" w14:textId="77777777" w:rsidR="00894070" w:rsidRDefault="00894070">
      <w:pPr>
        <w:pStyle w:val="BodyText"/>
      </w:pPr>
    </w:p>
    <w:p w14:paraId="5823AC8C" w14:textId="77777777" w:rsidR="00894070" w:rsidRDefault="00894070">
      <w:pPr>
        <w:pStyle w:val="BodyText"/>
      </w:pPr>
    </w:p>
    <w:p w14:paraId="6B9F5172" w14:textId="77777777" w:rsidR="00894070" w:rsidRDefault="00894070">
      <w:pPr>
        <w:pStyle w:val="BodyText"/>
      </w:pPr>
    </w:p>
    <w:p w14:paraId="5A047368" w14:textId="77777777" w:rsidR="00894070" w:rsidRDefault="00894070">
      <w:pPr>
        <w:pStyle w:val="BodyText"/>
        <w:spacing w:before="6"/>
        <w:rPr>
          <w:sz w:val="14"/>
        </w:rPr>
      </w:pPr>
    </w:p>
    <w:p w14:paraId="77CC3352" w14:textId="77777777" w:rsidR="00894070" w:rsidRDefault="009B7AFD">
      <w:pPr>
        <w:pStyle w:val="ListParagraph"/>
        <w:numPr>
          <w:ilvl w:val="1"/>
          <w:numId w:val="161"/>
        </w:numPr>
        <w:tabs>
          <w:tab w:val="left" w:pos="1801"/>
          <w:tab w:val="left" w:pos="1802"/>
        </w:tabs>
        <w:spacing w:before="58" w:line="259" w:lineRule="exact"/>
        <w:rPr>
          <w:sz w:val="20"/>
        </w:rPr>
      </w:pPr>
      <w:bookmarkStart w:id="53" w:name="_bookmark26"/>
      <w:bookmarkEnd w:id="53"/>
      <w:r>
        <w:rPr>
          <w:color w:val="231F20"/>
          <w:sz w:val="20"/>
        </w:rPr>
        <w:t>Men also experience cyberstalking.</w:t>
      </w:r>
      <w:r>
        <w:rPr>
          <w:color w:val="231F20"/>
          <w:position w:val="7"/>
          <w:sz w:val="11"/>
        </w:rPr>
        <w:t xml:space="preserve">44 </w:t>
      </w:r>
      <w:r>
        <w:rPr>
          <w:color w:val="231F20"/>
          <w:sz w:val="20"/>
        </w:rPr>
        <w:t xml:space="preserve">Some </w:t>
      </w:r>
      <w:r>
        <w:rPr>
          <w:color w:val="231F20"/>
          <w:spacing w:val="-3"/>
          <w:sz w:val="20"/>
        </w:rPr>
        <w:t xml:space="preserve">research </w:t>
      </w:r>
      <w:r>
        <w:rPr>
          <w:color w:val="231F20"/>
          <w:sz w:val="20"/>
        </w:rPr>
        <w:t>suggests that women</w:t>
      </w:r>
      <w:r>
        <w:rPr>
          <w:color w:val="231F20"/>
          <w:spacing w:val="-21"/>
          <w:sz w:val="20"/>
        </w:rPr>
        <w:t xml:space="preserve"> </w:t>
      </w:r>
      <w:r>
        <w:rPr>
          <w:color w:val="231F20"/>
          <w:sz w:val="20"/>
        </w:rPr>
        <w:t>cyberstalk</w:t>
      </w:r>
    </w:p>
    <w:p w14:paraId="6FD9C91F" w14:textId="77777777" w:rsidR="00894070" w:rsidRDefault="009B7AFD">
      <w:pPr>
        <w:pStyle w:val="BodyText"/>
        <w:spacing w:line="259" w:lineRule="exact"/>
        <w:ind w:left="1801"/>
        <w:rPr>
          <w:sz w:val="11"/>
        </w:rPr>
      </w:pPr>
      <w:r>
        <w:rPr>
          <w:color w:val="231F20"/>
        </w:rPr>
        <w:t xml:space="preserve">more than men, and </w:t>
      </w:r>
      <w:proofErr w:type="gramStart"/>
      <w:r>
        <w:rPr>
          <w:color w:val="231F20"/>
        </w:rPr>
        <w:t>that men</w:t>
      </w:r>
      <w:proofErr w:type="gramEnd"/>
      <w:r>
        <w:rPr>
          <w:color w:val="231F20"/>
        </w:rPr>
        <w:t xml:space="preserve"> report more online </w:t>
      </w:r>
      <w:proofErr w:type="spellStart"/>
      <w:r>
        <w:rPr>
          <w:color w:val="231F20"/>
        </w:rPr>
        <w:t>victimisation</w:t>
      </w:r>
      <w:proofErr w:type="spellEnd"/>
      <w:r>
        <w:rPr>
          <w:color w:val="231F20"/>
        </w:rPr>
        <w:t xml:space="preserve"> than women.</w:t>
      </w:r>
      <w:r>
        <w:rPr>
          <w:color w:val="231F20"/>
          <w:position w:val="7"/>
          <w:sz w:val="11"/>
        </w:rPr>
        <w:t>45</w:t>
      </w:r>
    </w:p>
    <w:p w14:paraId="11059FAD" w14:textId="77777777" w:rsidR="00894070" w:rsidRDefault="00894070">
      <w:pPr>
        <w:pStyle w:val="BodyText"/>
        <w:spacing w:before="1"/>
        <w:rPr>
          <w:sz w:val="15"/>
        </w:rPr>
      </w:pPr>
    </w:p>
    <w:p w14:paraId="1FCB7B9A" w14:textId="77777777" w:rsidR="00894070" w:rsidRDefault="009B7AFD">
      <w:pPr>
        <w:pStyle w:val="Heading8"/>
        <w:ind w:left="1007"/>
      </w:pPr>
      <w:r>
        <w:rPr>
          <w:color w:val="231F20"/>
        </w:rPr>
        <w:t>Cyberstalking affects a range of people</w:t>
      </w:r>
    </w:p>
    <w:p w14:paraId="5C518EEC" w14:textId="77777777" w:rsidR="00894070" w:rsidRDefault="009B7AFD">
      <w:pPr>
        <w:pStyle w:val="ListParagraph"/>
        <w:numPr>
          <w:ilvl w:val="1"/>
          <w:numId w:val="161"/>
        </w:numPr>
        <w:tabs>
          <w:tab w:val="left" w:pos="1801"/>
          <w:tab w:val="left" w:pos="1802"/>
        </w:tabs>
        <w:spacing w:before="127" w:line="206" w:lineRule="auto"/>
        <w:ind w:right="1859"/>
        <w:rPr>
          <w:sz w:val="11"/>
        </w:rPr>
      </w:pPr>
      <w:r>
        <w:rPr>
          <w:color w:val="231F20"/>
          <w:sz w:val="20"/>
        </w:rPr>
        <w:t>People</w:t>
      </w:r>
      <w:r>
        <w:rPr>
          <w:color w:val="231F20"/>
          <w:spacing w:val="-12"/>
          <w:sz w:val="20"/>
        </w:rPr>
        <w:t xml:space="preserve"> </w:t>
      </w:r>
      <w:r>
        <w:rPr>
          <w:color w:val="231F20"/>
          <w:sz w:val="20"/>
        </w:rPr>
        <w:t>who</w:t>
      </w:r>
      <w:r>
        <w:rPr>
          <w:color w:val="231F20"/>
          <w:spacing w:val="-11"/>
          <w:sz w:val="20"/>
        </w:rPr>
        <w:t xml:space="preserve"> </w:t>
      </w:r>
      <w:r>
        <w:rPr>
          <w:color w:val="231F20"/>
          <w:sz w:val="20"/>
        </w:rPr>
        <w:t>experience</w:t>
      </w:r>
      <w:r>
        <w:rPr>
          <w:color w:val="231F20"/>
          <w:spacing w:val="-12"/>
          <w:sz w:val="20"/>
        </w:rPr>
        <w:t xml:space="preserve"> </w:t>
      </w:r>
      <w:r>
        <w:rPr>
          <w:color w:val="231F20"/>
          <w:sz w:val="20"/>
        </w:rPr>
        <w:t>cyberstalking</w:t>
      </w:r>
      <w:r>
        <w:rPr>
          <w:color w:val="231F20"/>
          <w:spacing w:val="-11"/>
          <w:sz w:val="20"/>
        </w:rPr>
        <w:t xml:space="preserve"> </w:t>
      </w:r>
      <w:r>
        <w:rPr>
          <w:color w:val="231F20"/>
          <w:spacing w:val="-3"/>
          <w:sz w:val="20"/>
        </w:rPr>
        <w:t>may</w:t>
      </w:r>
      <w:r>
        <w:rPr>
          <w:color w:val="231F20"/>
          <w:spacing w:val="-12"/>
          <w:sz w:val="20"/>
        </w:rPr>
        <w:t xml:space="preserve"> </w:t>
      </w:r>
      <w:r>
        <w:rPr>
          <w:color w:val="231F20"/>
          <w:sz w:val="20"/>
        </w:rPr>
        <w:t>be</w:t>
      </w:r>
      <w:r>
        <w:rPr>
          <w:color w:val="231F20"/>
          <w:spacing w:val="-11"/>
          <w:sz w:val="20"/>
        </w:rPr>
        <w:t xml:space="preserve"> </w:t>
      </w:r>
      <w:r>
        <w:rPr>
          <w:color w:val="231F20"/>
          <w:sz w:val="20"/>
        </w:rPr>
        <w:t>targeted</w:t>
      </w:r>
      <w:r>
        <w:rPr>
          <w:color w:val="231F20"/>
          <w:spacing w:val="-12"/>
          <w:sz w:val="20"/>
        </w:rPr>
        <w:t xml:space="preserve"> </w:t>
      </w:r>
      <w:r>
        <w:rPr>
          <w:color w:val="231F20"/>
          <w:sz w:val="20"/>
        </w:rPr>
        <w:t>because</w:t>
      </w:r>
      <w:r>
        <w:rPr>
          <w:color w:val="231F20"/>
          <w:spacing w:val="-11"/>
          <w:sz w:val="20"/>
        </w:rPr>
        <w:t xml:space="preserve"> </w:t>
      </w:r>
      <w:r>
        <w:rPr>
          <w:color w:val="231F20"/>
          <w:sz w:val="20"/>
        </w:rPr>
        <w:t>of</w:t>
      </w:r>
      <w:r>
        <w:rPr>
          <w:color w:val="231F20"/>
          <w:spacing w:val="-12"/>
          <w:sz w:val="20"/>
        </w:rPr>
        <w:t xml:space="preserve"> </w:t>
      </w:r>
      <w:r>
        <w:rPr>
          <w:color w:val="231F20"/>
          <w:sz w:val="20"/>
        </w:rPr>
        <w:t>their</w:t>
      </w:r>
      <w:r>
        <w:rPr>
          <w:color w:val="231F20"/>
          <w:spacing w:val="-11"/>
          <w:sz w:val="20"/>
        </w:rPr>
        <w:t xml:space="preserve"> </w:t>
      </w:r>
      <w:r>
        <w:rPr>
          <w:color w:val="231F20"/>
          <w:sz w:val="20"/>
        </w:rPr>
        <w:t xml:space="preserve">gender </w:t>
      </w:r>
      <w:r>
        <w:rPr>
          <w:color w:val="231F20"/>
          <w:spacing w:val="-3"/>
          <w:sz w:val="20"/>
        </w:rPr>
        <w:t xml:space="preserve">identity, sexuality, </w:t>
      </w:r>
      <w:proofErr w:type="gramStart"/>
      <w:r>
        <w:rPr>
          <w:color w:val="231F20"/>
          <w:sz w:val="20"/>
        </w:rPr>
        <w:t>race</w:t>
      </w:r>
      <w:proofErr w:type="gramEnd"/>
      <w:r>
        <w:rPr>
          <w:color w:val="231F20"/>
          <w:sz w:val="20"/>
        </w:rPr>
        <w:t xml:space="preserve"> or</w:t>
      </w:r>
      <w:r>
        <w:rPr>
          <w:color w:val="231F20"/>
          <w:spacing w:val="-11"/>
          <w:sz w:val="20"/>
        </w:rPr>
        <w:t xml:space="preserve"> </w:t>
      </w:r>
      <w:r>
        <w:rPr>
          <w:color w:val="231F20"/>
          <w:sz w:val="20"/>
        </w:rPr>
        <w:t>ability.</w:t>
      </w:r>
      <w:r>
        <w:rPr>
          <w:color w:val="231F20"/>
          <w:position w:val="7"/>
          <w:sz w:val="11"/>
        </w:rPr>
        <w:t>46</w:t>
      </w:r>
    </w:p>
    <w:p w14:paraId="3FE4D49E" w14:textId="77777777" w:rsidR="00894070" w:rsidRDefault="009B7AFD">
      <w:pPr>
        <w:pStyle w:val="ListParagraph"/>
        <w:numPr>
          <w:ilvl w:val="1"/>
          <w:numId w:val="161"/>
        </w:numPr>
        <w:tabs>
          <w:tab w:val="left" w:pos="1801"/>
          <w:tab w:val="left" w:pos="1802"/>
        </w:tabs>
        <w:spacing w:before="123" w:line="206" w:lineRule="auto"/>
        <w:ind w:right="1202"/>
        <w:rPr>
          <w:sz w:val="11"/>
        </w:rPr>
      </w:pPr>
      <w:r>
        <w:rPr>
          <w:color w:val="231F20"/>
          <w:sz w:val="20"/>
        </w:rPr>
        <w:t>The</w:t>
      </w:r>
      <w:r>
        <w:rPr>
          <w:color w:val="231F20"/>
          <w:spacing w:val="-12"/>
          <w:sz w:val="20"/>
        </w:rPr>
        <w:t xml:space="preserve"> </w:t>
      </w:r>
      <w:r>
        <w:rPr>
          <w:color w:val="231F20"/>
          <w:sz w:val="20"/>
        </w:rPr>
        <w:t>Victorian</w:t>
      </w:r>
      <w:r>
        <w:rPr>
          <w:color w:val="231F20"/>
          <w:spacing w:val="-11"/>
          <w:sz w:val="20"/>
        </w:rPr>
        <w:t xml:space="preserve"> </w:t>
      </w:r>
      <w:r>
        <w:rPr>
          <w:color w:val="231F20"/>
          <w:sz w:val="20"/>
        </w:rPr>
        <w:t>Pride</w:t>
      </w:r>
      <w:r>
        <w:rPr>
          <w:color w:val="231F20"/>
          <w:spacing w:val="-11"/>
          <w:sz w:val="20"/>
        </w:rPr>
        <w:t xml:space="preserve"> </w:t>
      </w:r>
      <w:r>
        <w:rPr>
          <w:color w:val="231F20"/>
          <w:spacing w:val="-3"/>
          <w:sz w:val="20"/>
        </w:rPr>
        <w:t>Lobby</w:t>
      </w:r>
      <w:r>
        <w:rPr>
          <w:color w:val="231F20"/>
          <w:spacing w:val="-11"/>
          <w:sz w:val="20"/>
        </w:rPr>
        <w:t xml:space="preserve"> </w:t>
      </w:r>
      <w:r>
        <w:rPr>
          <w:color w:val="231F20"/>
          <w:sz w:val="20"/>
        </w:rPr>
        <w:t>highlighted</w:t>
      </w:r>
      <w:r>
        <w:rPr>
          <w:color w:val="231F20"/>
          <w:spacing w:val="-11"/>
          <w:sz w:val="20"/>
        </w:rPr>
        <w:t xml:space="preserve"> </w:t>
      </w:r>
      <w:r>
        <w:rPr>
          <w:color w:val="231F20"/>
          <w:spacing w:val="-3"/>
          <w:sz w:val="20"/>
        </w:rPr>
        <w:t>research</w:t>
      </w:r>
      <w:r>
        <w:rPr>
          <w:color w:val="231F20"/>
          <w:spacing w:val="-11"/>
          <w:sz w:val="20"/>
        </w:rPr>
        <w:t xml:space="preserve"> </w:t>
      </w:r>
      <w:r>
        <w:rPr>
          <w:color w:val="231F20"/>
          <w:sz w:val="20"/>
        </w:rPr>
        <w:t>that</w:t>
      </w:r>
      <w:r>
        <w:rPr>
          <w:color w:val="231F20"/>
          <w:spacing w:val="-12"/>
          <w:sz w:val="20"/>
        </w:rPr>
        <w:t xml:space="preserve"> </w:t>
      </w:r>
      <w:r>
        <w:rPr>
          <w:color w:val="231F20"/>
          <w:sz w:val="20"/>
        </w:rPr>
        <w:t>indicates</w:t>
      </w:r>
      <w:r>
        <w:rPr>
          <w:color w:val="231F20"/>
          <w:spacing w:val="-11"/>
          <w:sz w:val="20"/>
        </w:rPr>
        <w:t xml:space="preserve"> </w:t>
      </w:r>
      <w:r>
        <w:rPr>
          <w:color w:val="231F20"/>
          <w:sz w:val="20"/>
        </w:rPr>
        <w:t>cyberstalking</w:t>
      </w:r>
      <w:r>
        <w:rPr>
          <w:color w:val="231F20"/>
          <w:spacing w:val="-11"/>
          <w:sz w:val="20"/>
        </w:rPr>
        <w:t xml:space="preserve"> </w:t>
      </w:r>
      <w:r>
        <w:rPr>
          <w:color w:val="231F20"/>
          <w:sz w:val="20"/>
        </w:rPr>
        <w:t>among</w:t>
      </w:r>
      <w:r>
        <w:rPr>
          <w:color w:val="231F20"/>
          <w:spacing w:val="-11"/>
          <w:sz w:val="20"/>
        </w:rPr>
        <w:t xml:space="preserve"> </w:t>
      </w:r>
      <w:r>
        <w:rPr>
          <w:color w:val="231F20"/>
          <w:spacing w:val="-3"/>
          <w:sz w:val="20"/>
        </w:rPr>
        <w:t xml:space="preserve">gay </w:t>
      </w:r>
      <w:r>
        <w:rPr>
          <w:color w:val="231F20"/>
          <w:sz w:val="20"/>
        </w:rPr>
        <w:t>and bisexual men is common.</w:t>
      </w:r>
      <w:r>
        <w:rPr>
          <w:color w:val="231F20"/>
          <w:position w:val="7"/>
          <w:sz w:val="11"/>
        </w:rPr>
        <w:t xml:space="preserve">47 </w:t>
      </w:r>
      <w:r>
        <w:rPr>
          <w:color w:val="231F20"/>
          <w:sz w:val="20"/>
        </w:rPr>
        <w:t xml:space="preserve">It said that people in the public </w:t>
      </w:r>
      <w:r>
        <w:rPr>
          <w:color w:val="231F20"/>
          <w:spacing w:val="-4"/>
          <w:sz w:val="20"/>
        </w:rPr>
        <w:t xml:space="preserve">eye, </w:t>
      </w:r>
      <w:r>
        <w:rPr>
          <w:color w:val="231F20"/>
          <w:sz w:val="20"/>
        </w:rPr>
        <w:t>such as political candidates and those with online platforms, can be targets of cyberstalking based on their sexual</w:t>
      </w:r>
      <w:r>
        <w:rPr>
          <w:color w:val="231F20"/>
          <w:spacing w:val="-9"/>
          <w:sz w:val="20"/>
        </w:rPr>
        <w:t xml:space="preserve"> </w:t>
      </w:r>
      <w:r>
        <w:rPr>
          <w:color w:val="231F20"/>
          <w:sz w:val="20"/>
        </w:rPr>
        <w:t>orientation.</w:t>
      </w:r>
      <w:r>
        <w:rPr>
          <w:color w:val="231F20"/>
          <w:position w:val="7"/>
          <w:sz w:val="11"/>
        </w:rPr>
        <w:t>48</w:t>
      </w:r>
    </w:p>
    <w:p w14:paraId="48BD85EB" w14:textId="77777777" w:rsidR="00894070" w:rsidRDefault="009B7AFD">
      <w:pPr>
        <w:pStyle w:val="ListParagraph"/>
        <w:numPr>
          <w:ilvl w:val="1"/>
          <w:numId w:val="161"/>
        </w:numPr>
        <w:tabs>
          <w:tab w:val="left" w:pos="1801"/>
          <w:tab w:val="left" w:pos="1802"/>
        </w:tabs>
        <w:spacing w:before="125" w:line="206" w:lineRule="auto"/>
        <w:ind w:right="1257"/>
        <w:rPr>
          <w:sz w:val="11"/>
        </w:rPr>
      </w:pPr>
      <w:r>
        <w:rPr>
          <w:color w:val="231F20"/>
          <w:sz w:val="20"/>
        </w:rPr>
        <w:t xml:space="preserve">One </w:t>
      </w:r>
      <w:r>
        <w:rPr>
          <w:color w:val="231F20"/>
          <w:spacing w:val="-4"/>
          <w:sz w:val="20"/>
        </w:rPr>
        <w:t xml:space="preserve">2020 </w:t>
      </w:r>
      <w:r>
        <w:rPr>
          <w:color w:val="231F20"/>
          <w:sz w:val="20"/>
        </w:rPr>
        <w:t xml:space="preserve">study suggests that transgender people experience more </w:t>
      </w:r>
      <w:r>
        <w:rPr>
          <w:color w:val="231F20"/>
          <w:spacing w:val="-3"/>
          <w:sz w:val="20"/>
        </w:rPr>
        <w:t xml:space="preserve">technology- </w:t>
      </w:r>
      <w:r>
        <w:rPr>
          <w:color w:val="231F20"/>
          <w:sz w:val="20"/>
        </w:rPr>
        <w:t>facilitated</w:t>
      </w:r>
      <w:r>
        <w:rPr>
          <w:color w:val="231F20"/>
          <w:spacing w:val="-10"/>
          <w:sz w:val="20"/>
        </w:rPr>
        <w:t xml:space="preserve"> </w:t>
      </w:r>
      <w:r>
        <w:rPr>
          <w:color w:val="231F20"/>
          <w:sz w:val="20"/>
        </w:rPr>
        <w:t>abuse</w:t>
      </w:r>
      <w:r>
        <w:rPr>
          <w:color w:val="231F20"/>
          <w:spacing w:val="-10"/>
          <w:sz w:val="20"/>
        </w:rPr>
        <w:t xml:space="preserve"> </w:t>
      </w:r>
      <w:r>
        <w:rPr>
          <w:color w:val="231F20"/>
          <w:sz w:val="20"/>
        </w:rPr>
        <w:t>and</w:t>
      </w:r>
      <w:r>
        <w:rPr>
          <w:color w:val="231F20"/>
          <w:spacing w:val="-10"/>
          <w:sz w:val="20"/>
        </w:rPr>
        <w:t xml:space="preserve"> </w:t>
      </w:r>
      <w:r>
        <w:rPr>
          <w:color w:val="231F20"/>
          <w:sz w:val="20"/>
        </w:rPr>
        <w:t>harassment</w:t>
      </w:r>
      <w:r>
        <w:rPr>
          <w:color w:val="231F20"/>
          <w:spacing w:val="-10"/>
          <w:sz w:val="20"/>
        </w:rPr>
        <w:t xml:space="preserve"> </w:t>
      </w:r>
      <w:r>
        <w:rPr>
          <w:color w:val="231F20"/>
          <w:sz w:val="20"/>
        </w:rPr>
        <w:t>compared</w:t>
      </w:r>
      <w:r>
        <w:rPr>
          <w:color w:val="231F20"/>
          <w:spacing w:val="-10"/>
          <w:sz w:val="20"/>
        </w:rPr>
        <w:t xml:space="preserve"> </w:t>
      </w:r>
      <w:r>
        <w:rPr>
          <w:color w:val="231F20"/>
          <w:sz w:val="20"/>
        </w:rPr>
        <w:t>with</w:t>
      </w:r>
      <w:r>
        <w:rPr>
          <w:color w:val="231F20"/>
          <w:spacing w:val="-10"/>
          <w:sz w:val="20"/>
        </w:rPr>
        <w:t xml:space="preserve"> </w:t>
      </w:r>
      <w:r>
        <w:rPr>
          <w:color w:val="231F20"/>
          <w:spacing w:val="-3"/>
          <w:sz w:val="20"/>
        </w:rPr>
        <w:t>heterosexual</w:t>
      </w:r>
      <w:r>
        <w:rPr>
          <w:color w:val="231F20"/>
          <w:spacing w:val="-10"/>
          <w:sz w:val="20"/>
        </w:rPr>
        <w:t xml:space="preserve"> </w:t>
      </w:r>
      <w:r>
        <w:rPr>
          <w:color w:val="231F20"/>
          <w:sz w:val="20"/>
        </w:rPr>
        <w:t>cisgender</w:t>
      </w:r>
      <w:r>
        <w:rPr>
          <w:color w:val="231F20"/>
          <w:spacing w:val="-10"/>
          <w:sz w:val="20"/>
        </w:rPr>
        <w:t xml:space="preserve"> </w:t>
      </w:r>
      <w:r>
        <w:rPr>
          <w:color w:val="231F20"/>
          <w:sz w:val="20"/>
        </w:rPr>
        <w:t>individuals.</w:t>
      </w:r>
      <w:r>
        <w:rPr>
          <w:color w:val="231F20"/>
          <w:position w:val="7"/>
          <w:sz w:val="11"/>
        </w:rPr>
        <w:t>49</w:t>
      </w:r>
    </w:p>
    <w:p w14:paraId="29C75E04" w14:textId="77777777" w:rsidR="00894070" w:rsidRDefault="009B7AFD">
      <w:pPr>
        <w:pStyle w:val="ListParagraph"/>
        <w:numPr>
          <w:ilvl w:val="1"/>
          <w:numId w:val="161"/>
        </w:numPr>
        <w:tabs>
          <w:tab w:val="left" w:pos="1801"/>
          <w:tab w:val="left" w:pos="1802"/>
        </w:tabs>
        <w:spacing w:before="122" w:line="206" w:lineRule="auto"/>
        <w:ind w:right="1352"/>
        <w:rPr>
          <w:sz w:val="11"/>
        </w:rPr>
      </w:pPr>
      <w:r>
        <w:rPr>
          <w:color w:val="231F20"/>
          <w:spacing w:val="-3"/>
          <w:sz w:val="20"/>
        </w:rPr>
        <w:t xml:space="preserve">For </w:t>
      </w:r>
      <w:r>
        <w:rPr>
          <w:color w:val="231F20"/>
          <w:sz w:val="20"/>
        </w:rPr>
        <w:t xml:space="preserve">Aboriginal and </w:t>
      </w:r>
      <w:r>
        <w:rPr>
          <w:color w:val="231F20"/>
          <w:spacing w:val="-5"/>
          <w:sz w:val="20"/>
        </w:rPr>
        <w:t xml:space="preserve">Torres </w:t>
      </w:r>
      <w:r>
        <w:rPr>
          <w:color w:val="231F20"/>
          <w:sz w:val="20"/>
        </w:rPr>
        <w:t xml:space="preserve">Strait Islander women living in </w:t>
      </w:r>
      <w:r>
        <w:rPr>
          <w:color w:val="231F20"/>
          <w:spacing w:val="-3"/>
          <w:sz w:val="20"/>
        </w:rPr>
        <w:t xml:space="preserve">remote </w:t>
      </w:r>
      <w:r>
        <w:rPr>
          <w:color w:val="231F20"/>
          <w:sz w:val="20"/>
        </w:rPr>
        <w:t>and regional areas, cyberstalking</w:t>
      </w:r>
      <w:r>
        <w:rPr>
          <w:color w:val="231F20"/>
          <w:spacing w:val="-8"/>
          <w:sz w:val="20"/>
        </w:rPr>
        <w:t xml:space="preserve"> </w:t>
      </w:r>
      <w:r>
        <w:rPr>
          <w:color w:val="231F20"/>
          <w:sz w:val="20"/>
        </w:rPr>
        <w:t>appears</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7"/>
          <w:sz w:val="20"/>
        </w:rPr>
        <w:t xml:space="preserve"> </w:t>
      </w:r>
      <w:r>
        <w:rPr>
          <w:color w:val="231F20"/>
          <w:sz w:val="20"/>
        </w:rPr>
        <w:t>one</w:t>
      </w:r>
      <w:r>
        <w:rPr>
          <w:color w:val="231F20"/>
          <w:spacing w:val="-7"/>
          <w:sz w:val="20"/>
        </w:rPr>
        <w:t xml:space="preserve"> </w:t>
      </w:r>
      <w:r>
        <w:rPr>
          <w:color w:val="231F20"/>
          <w:sz w:val="20"/>
        </w:rPr>
        <w:t>of</w:t>
      </w:r>
      <w:r>
        <w:rPr>
          <w:color w:val="231F20"/>
          <w:spacing w:val="-8"/>
          <w:sz w:val="20"/>
        </w:rPr>
        <w:t xml:space="preserve"> </w:t>
      </w:r>
      <w:r>
        <w:rPr>
          <w:color w:val="231F20"/>
          <w:sz w:val="20"/>
        </w:rPr>
        <w:t>the</w:t>
      </w:r>
      <w:r>
        <w:rPr>
          <w:color w:val="231F20"/>
          <w:spacing w:val="-7"/>
          <w:sz w:val="20"/>
        </w:rPr>
        <w:t xml:space="preserve"> </w:t>
      </w:r>
      <w:r>
        <w:rPr>
          <w:color w:val="231F20"/>
          <w:sz w:val="20"/>
        </w:rPr>
        <w:t>most</w:t>
      </w:r>
      <w:r>
        <w:rPr>
          <w:color w:val="231F20"/>
          <w:spacing w:val="-7"/>
          <w:sz w:val="20"/>
        </w:rPr>
        <w:t xml:space="preserve"> </w:t>
      </w:r>
      <w:r>
        <w:rPr>
          <w:color w:val="231F20"/>
          <w:sz w:val="20"/>
        </w:rPr>
        <w:t>common</w:t>
      </w:r>
      <w:r>
        <w:rPr>
          <w:color w:val="231F20"/>
          <w:spacing w:val="-7"/>
          <w:sz w:val="20"/>
        </w:rPr>
        <w:t xml:space="preserve"> </w:t>
      </w:r>
      <w:r>
        <w:rPr>
          <w:color w:val="231F20"/>
          <w:sz w:val="20"/>
        </w:rPr>
        <w:t>types</w:t>
      </w:r>
      <w:r>
        <w:rPr>
          <w:color w:val="231F20"/>
          <w:spacing w:val="-7"/>
          <w:sz w:val="20"/>
        </w:rPr>
        <w:t xml:space="preserve"> </w:t>
      </w:r>
      <w:r>
        <w:rPr>
          <w:color w:val="231F20"/>
          <w:sz w:val="20"/>
        </w:rPr>
        <w:t>of</w:t>
      </w:r>
      <w:r>
        <w:rPr>
          <w:color w:val="231F20"/>
          <w:spacing w:val="-8"/>
          <w:sz w:val="20"/>
        </w:rPr>
        <w:t xml:space="preserve"> </w:t>
      </w:r>
      <w:r>
        <w:rPr>
          <w:color w:val="231F20"/>
          <w:spacing w:val="-3"/>
          <w:sz w:val="20"/>
        </w:rPr>
        <w:t xml:space="preserve">technology-facilitated </w:t>
      </w:r>
      <w:r>
        <w:rPr>
          <w:color w:val="231F20"/>
          <w:sz w:val="20"/>
        </w:rPr>
        <w:t xml:space="preserve">abuse they experience. Aboriginal women living in urban areas also experience </w:t>
      </w:r>
      <w:r>
        <w:rPr>
          <w:color w:val="231F20"/>
          <w:spacing w:val="-3"/>
          <w:sz w:val="20"/>
        </w:rPr>
        <w:t xml:space="preserve">technology-facilitated </w:t>
      </w:r>
      <w:r>
        <w:rPr>
          <w:color w:val="231F20"/>
          <w:sz w:val="20"/>
        </w:rPr>
        <w:t>abuse, including</w:t>
      </w:r>
      <w:r>
        <w:rPr>
          <w:color w:val="231F20"/>
          <w:spacing w:val="-10"/>
          <w:sz w:val="20"/>
        </w:rPr>
        <w:t xml:space="preserve"> </w:t>
      </w:r>
      <w:r>
        <w:rPr>
          <w:color w:val="231F20"/>
          <w:sz w:val="20"/>
        </w:rPr>
        <w:t>cyberstalking.</w:t>
      </w:r>
      <w:r>
        <w:rPr>
          <w:color w:val="231F20"/>
          <w:position w:val="7"/>
          <w:sz w:val="11"/>
        </w:rPr>
        <w:t>50</w:t>
      </w:r>
    </w:p>
    <w:p w14:paraId="606E8A88" w14:textId="77777777" w:rsidR="00894070" w:rsidRDefault="009B7AFD">
      <w:pPr>
        <w:pStyle w:val="ListParagraph"/>
        <w:numPr>
          <w:ilvl w:val="1"/>
          <w:numId w:val="161"/>
        </w:numPr>
        <w:tabs>
          <w:tab w:val="left" w:pos="1801"/>
          <w:tab w:val="left" w:pos="1802"/>
        </w:tabs>
        <w:spacing w:before="125" w:line="206" w:lineRule="auto"/>
        <w:ind w:right="1317"/>
        <w:rPr>
          <w:sz w:val="11"/>
        </w:rPr>
      </w:pPr>
      <w:r>
        <w:rPr>
          <w:color w:val="231F20"/>
          <w:sz w:val="20"/>
        </w:rPr>
        <w:t xml:space="preserve">One study in a </w:t>
      </w:r>
      <w:r>
        <w:rPr>
          <w:color w:val="231F20"/>
          <w:spacing w:val="-3"/>
          <w:sz w:val="20"/>
        </w:rPr>
        <w:t xml:space="preserve">family </w:t>
      </w:r>
      <w:r>
        <w:rPr>
          <w:color w:val="231F20"/>
          <w:sz w:val="20"/>
        </w:rPr>
        <w:t xml:space="preserve">violence setting found that </w:t>
      </w:r>
      <w:r>
        <w:rPr>
          <w:color w:val="231F20"/>
          <w:spacing w:val="-3"/>
          <w:sz w:val="20"/>
        </w:rPr>
        <w:t xml:space="preserve">culturally </w:t>
      </w:r>
      <w:r>
        <w:rPr>
          <w:color w:val="231F20"/>
          <w:sz w:val="20"/>
        </w:rPr>
        <w:t xml:space="preserve">and linguistically diverse and refugee women who experience </w:t>
      </w:r>
      <w:r>
        <w:rPr>
          <w:color w:val="231F20"/>
          <w:spacing w:val="-3"/>
          <w:sz w:val="20"/>
        </w:rPr>
        <w:t xml:space="preserve">technology-facilitated </w:t>
      </w:r>
      <w:r>
        <w:rPr>
          <w:color w:val="231F20"/>
          <w:sz w:val="20"/>
        </w:rPr>
        <w:t xml:space="preserve">abuse </w:t>
      </w:r>
      <w:r>
        <w:rPr>
          <w:color w:val="231F20"/>
          <w:spacing w:val="-3"/>
          <w:sz w:val="20"/>
        </w:rPr>
        <w:t xml:space="preserve">may </w:t>
      </w:r>
      <w:r>
        <w:rPr>
          <w:color w:val="231F20"/>
          <w:sz w:val="20"/>
        </w:rPr>
        <w:t>be taken advantage</w:t>
      </w:r>
      <w:r>
        <w:rPr>
          <w:color w:val="231F20"/>
          <w:spacing w:val="-14"/>
          <w:sz w:val="20"/>
        </w:rPr>
        <w:t xml:space="preserve"> </w:t>
      </w:r>
      <w:r>
        <w:rPr>
          <w:color w:val="231F20"/>
          <w:sz w:val="20"/>
        </w:rPr>
        <w:t>of</w:t>
      </w:r>
      <w:r>
        <w:rPr>
          <w:color w:val="231F20"/>
          <w:spacing w:val="-13"/>
          <w:sz w:val="20"/>
        </w:rPr>
        <w:t xml:space="preserve"> </w:t>
      </w:r>
      <w:r>
        <w:rPr>
          <w:color w:val="231F20"/>
          <w:sz w:val="20"/>
        </w:rPr>
        <w:t>due</w:t>
      </w:r>
      <w:r>
        <w:rPr>
          <w:color w:val="231F20"/>
          <w:spacing w:val="-13"/>
          <w:sz w:val="20"/>
        </w:rPr>
        <w:t xml:space="preserve"> </w:t>
      </w:r>
      <w:r>
        <w:rPr>
          <w:color w:val="231F20"/>
          <w:sz w:val="20"/>
        </w:rPr>
        <w:t>to</w:t>
      </w:r>
      <w:r>
        <w:rPr>
          <w:color w:val="231F20"/>
          <w:spacing w:val="-13"/>
          <w:sz w:val="20"/>
        </w:rPr>
        <w:t xml:space="preserve"> </w:t>
      </w:r>
      <w:r>
        <w:rPr>
          <w:color w:val="231F20"/>
          <w:sz w:val="20"/>
        </w:rPr>
        <w:t>their</w:t>
      </w:r>
      <w:r>
        <w:rPr>
          <w:color w:val="231F20"/>
          <w:spacing w:val="-13"/>
          <w:sz w:val="20"/>
        </w:rPr>
        <w:t xml:space="preserve"> </w:t>
      </w:r>
      <w:r>
        <w:rPr>
          <w:color w:val="231F20"/>
          <w:sz w:val="20"/>
        </w:rPr>
        <w:t>circumstances.</w:t>
      </w:r>
      <w:r>
        <w:rPr>
          <w:color w:val="231F20"/>
          <w:spacing w:val="-13"/>
          <w:sz w:val="20"/>
        </w:rPr>
        <w:t xml:space="preserve"> </w:t>
      </w:r>
      <w:r>
        <w:rPr>
          <w:color w:val="231F20"/>
          <w:sz w:val="20"/>
        </w:rPr>
        <w:t>These</w:t>
      </w:r>
      <w:r>
        <w:rPr>
          <w:color w:val="231F20"/>
          <w:spacing w:val="-13"/>
          <w:sz w:val="20"/>
        </w:rPr>
        <w:t xml:space="preserve"> </w:t>
      </w:r>
      <w:r>
        <w:rPr>
          <w:color w:val="231F20"/>
          <w:sz w:val="20"/>
        </w:rPr>
        <w:t>circumstances</w:t>
      </w:r>
      <w:r>
        <w:rPr>
          <w:color w:val="231F20"/>
          <w:spacing w:val="-13"/>
          <w:sz w:val="20"/>
        </w:rPr>
        <w:t xml:space="preserve"> </w:t>
      </w:r>
      <w:r>
        <w:rPr>
          <w:color w:val="231F20"/>
          <w:spacing w:val="-3"/>
          <w:sz w:val="20"/>
        </w:rPr>
        <w:t>may</w:t>
      </w:r>
      <w:r>
        <w:rPr>
          <w:color w:val="231F20"/>
          <w:spacing w:val="-13"/>
          <w:sz w:val="20"/>
        </w:rPr>
        <w:t xml:space="preserve"> </w:t>
      </w:r>
      <w:r>
        <w:rPr>
          <w:color w:val="231F20"/>
          <w:sz w:val="20"/>
        </w:rPr>
        <w:t>include</w:t>
      </w:r>
      <w:r>
        <w:rPr>
          <w:color w:val="231F20"/>
          <w:spacing w:val="-13"/>
          <w:sz w:val="20"/>
        </w:rPr>
        <w:t xml:space="preserve"> </w:t>
      </w:r>
      <w:r>
        <w:rPr>
          <w:color w:val="231F20"/>
          <w:sz w:val="20"/>
        </w:rPr>
        <w:t>uncertain residency</w:t>
      </w:r>
      <w:r>
        <w:rPr>
          <w:color w:val="231F20"/>
          <w:spacing w:val="-6"/>
          <w:sz w:val="20"/>
        </w:rPr>
        <w:t xml:space="preserve"> </w:t>
      </w:r>
      <w:r>
        <w:rPr>
          <w:color w:val="231F20"/>
          <w:sz w:val="20"/>
        </w:rPr>
        <w:t>status,</w:t>
      </w:r>
      <w:r>
        <w:rPr>
          <w:color w:val="231F20"/>
          <w:spacing w:val="-5"/>
          <w:sz w:val="20"/>
        </w:rPr>
        <w:t xml:space="preserve"> </w:t>
      </w:r>
      <w:r>
        <w:rPr>
          <w:color w:val="231F20"/>
          <w:sz w:val="20"/>
        </w:rPr>
        <w:t>language</w:t>
      </w:r>
      <w:r>
        <w:rPr>
          <w:color w:val="231F20"/>
          <w:spacing w:val="-5"/>
          <w:sz w:val="20"/>
        </w:rPr>
        <w:t xml:space="preserve"> </w:t>
      </w:r>
      <w:r>
        <w:rPr>
          <w:color w:val="231F20"/>
          <w:sz w:val="20"/>
        </w:rPr>
        <w:t>barriers</w:t>
      </w:r>
      <w:r>
        <w:rPr>
          <w:color w:val="231F20"/>
          <w:spacing w:val="-5"/>
          <w:sz w:val="20"/>
        </w:rPr>
        <w:t xml:space="preserve"> </w:t>
      </w:r>
      <w:r>
        <w:rPr>
          <w:color w:val="231F20"/>
          <w:sz w:val="20"/>
        </w:rPr>
        <w:t>or</w:t>
      </w:r>
      <w:r>
        <w:rPr>
          <w:color w:val="231F20"/>
          <w:spacing w:val="-5"/>
          <w:sz w:val="20"/>
        </w:rPr>
        <w:t xml:space="preserve"> </w:t>
      </w:r>
      <w:r>
        <w:rPr>
          <w:color w:val="231F20"/>
          <w:sz w:val="20"/>
        </w:rPr>
        <w:t>lack</w:t>
      </w:r>
      <w:r>
        <w:rPr>
          <w:color w:val="231F20"/>
          <w:spacing w:val="-5"/>
          <w:sz w:val="20"/>
        </w:rPr>
        <w:t xml:space="preserve"> </w:t>
      </w:r>
      <w:r>
        <w:rPr>
          <w:color w:val="231F20"/>
          <w:sz w:val="20"/>
        </w:rPr>
        <w:t>of</w:t>
      </w:r>
      <w:r>
        <w:rPr>
          <w:color w:val="231F20"/>
          <w:spacing w:val="-5"/>
          <w:sz w:val="20"/>
        </w:rPr>
        <w:t xml:space="preserve"> </w:t>
      </w:r>
      <w:r>
        <w:rPr>
          <w:color w:val="231F20"/>
          <w:spacing w:val="-3"/>
          <w:sz w:val="20"/>
        </w:rPr>
        <w:t>awareness</w:t>
      </w:r>
      <w:r>
        <w:rPr>
          <w:color w:val="231F20"/>
          <w:spacing w:val="-5"/>
          <w:sz w:val="20"/>
        </w:rPr>
        <w:t xml:space="preserve"> </w:t>
      </w:r>
      <w:r>
        <w:rPr>
          <w:color w:val="231F20"/>
          <w:sz w:val="20"/>
        </w:rPr>
        <w:t>about</w:t>
      </w:r>
      <w:r>
        <w:rPr>
          <w:color w:val="231F20"/>
          <w:spacing w:val="-5"/>
          <w:sz w:val="20"/>
        </w:rPr>
        <w:t xml:space="preserve"> </w:t>
      </w:r>
      <w:r>
        <w:rPr>
          <w:color w:val="231F20"/>
          <w:sz w:val="20"/>
        </w:rPr>
        <w:t>laws.</w:t>
      </w:r>
      <w:r>
        <w:rPr>
          <w:color w:val="231F20"/>
          <w:position w:val="7"/>
          <w:sz w:val="11"/>
        </w:rPr>
        <w:t>51</w:t>
      </w:r>
    </w:p>
    <w:p w14:paraId="0BC55D66" w14:textId="77777777" w:rsidR="00894070" w:rsidRDefault="009B7AFD">
      <w:pPr>
        <w:pStyle w:val="ListParagraph"/>
        <w:numPr>
          <w:ilvl w:val="1"/>
          <w:numId w:val="161"/>
        </w:numPr>
        <w:tabs>
          <w:tab w:val="left" w:pos="1801"/>
          <w:tab w:val="left" w:pos="1802"/>
        </w:tabs>
        <w:spacing w:before="125" w:line="206" w:lineRule="auto"/>
        <w:ind w:right="1196"/>
        <w:rPr>
          <w:sz w:val="11"/>
        </w:rPr>
      </w:pPr>
      <w:r>
        <w:rPr>
          <w:color w:val="231F20"/>
          <w:spacing w:val="-3"/>
          <w:sz w:val="20"/>
        </w:rPr>
        <w:t xml:space="preserve">Women </w:t>
      </w:r>
      <w:r>
        <w:rPr>
          <w:color w:val="231F20"/>
          <w:sz w:val="20"/>
        </w:rPr>
        <w:t xml:space="preserve">with </w:t>
      </w:r>
      <w:r>
        <w:rPr>
          <w:color w:val="231F20"/>
          <w:spacing w:val="-3"/>
          <w:sz w:val="20"/>
        </w:rPr>
        <w:t xml:space="preserve">intellectual </w:t>
      </w:r>
      <w:r>
        <w:rPr>
          <w:color w:val="231F20"/>
          <w:sz w:val="20"/>
        </w:rPr>
        <w:t xml:space="preserve">or </w:t>
      </w:r>
      <w:r>
        <w:rPr>
          <w:color w:val="231F20"/>
          <w:spacing w:val="-3"/>
          <w:sz w:val="20"/>
        </w:rPr>
        <w:t xml:space="preserve">cognitive </w:t>
      </w:r>
      <w:r>
        <w:rPr>
          <w:color w:val="231F20"/>
          <w:sz w:val="20"/>
        </w:rPr>
        <w:t xml:space="preserve">disabilities </w:t>
      </w:r>
      <w:r>
        <w:rPr>
          <w:color w:val="231F20"/>
          <w:spacing w:val="-3"/>
          <w:sz w:val="20"/>
        </w:rPr>
        <w:t xml:space="preserve">may </w:t>
      </w:r>
      <w:r>
        <w:rPr>
          <w:color w:val="231F20"/>
          <w:sz w:val="20"/>
        </w:rPr>
        <w:t xml:space="preserve">experience </w:t>
      </w:r>
      <w:r>
        <w:rPr>
          <w:color w:val="231F20"/>
          <w:spacing w:val="-3"/>
          <w:sz w:val="20"/>
        </w:rPr>
        <w:t xml:space="preserve">technology-facilitated </w:t>
      </w:r>
      <w:r>
        <w:rPr>
          <w:color w:val="231F20"/>
          <w:sz w:val="20"/>
        </w:rPr>
        <w:t xml:space="preserve">abuse more than other people. </w:t>
      </w:r>
      <w:r>
        <w:rPr>
          <w:color w:val="231F20"/>
          <w:spacing w:val="-3"/>
          <w:sz w:val="20"/>
        </w:rPr>
        <w:t xml:space="preserve">For example, any </w:t>
      </w:r>
      <w:r>
        <w:rPr>
          <w:color w:val="231F20"/>
          <w:sz w:val="20"/>
        </w:rPr>
        <w:t xml:space="preserve">communication difficulties they </w:t>
      </w:r>
      <w:r>
        <w:rPr>
          <w:color w:val="231F20"/>
          <w:spacing w:val="-4"/>
          <w:sz w:val="20"/>
        </w:rPr>
        <w:t xml:space="preserve">have </w:t>
      </w:r>
      <w:r>
        <w:rPr>
          <w:color w:val="231F20"/>
          <w:sz w:val="20"/>
        </w:rPr>
        <w:t xml:space="preserve">could be </w:t>
      </w:r>
      <w:r>
        <w:rPr>
          <w:color w:val="231F20"/>
          <w:spacing w:val="-3"/>
          <w:sz w:val="20"/>
        </w:rPr>
        <w:t xml:space="preserve">exploited by </w:t>
      </w:r>
      <w:r>
        <w:rPr>
          <w:color w:val="231F20"/>
          <w:sz w:val="20"/>
        </w:rPr>
        <w:t xml:space="preserve">the person who stalks. The victim survivor </w:t>
      </w:r>
      <w:r>
        <w:rPr>
          <w:color w:val="231F20"/>
          <w:spacing w:val="-3"/>
          <w:sz w:val="20"/>
        </w:rPr>
        <w:t xml:space="preserve">may </w:t>
      </w:r>
      <w:r>
        <w:rPr>
          <w:color w:val="231F20"/>
          <w:sz w:val="20"/>
        </w:rPr>
        <w:t xml:space="preserve">also depend </w:t>
      </w:r>
      <w:r>
        <w:rPr>
          <w:color w:val="231F20"/>
          <w:spacing w:val="-3"/>
          <w:sz w:val="20"/>
        </w:rPr>
        <w:t xml:space="preserve">for </w:t>
      </w:r>
      <w:r>
        <w:rPr>
          <w:color w:val="231F20"/>
          <w:sz w:val="20"/>
        </w:rPr>
        <w:t>their care on the person who is stalking</w:t>
      </w:r>
      <w:r>
        <w:rPr>
          <w:color w:val="231F20"/>
          <w:spacing w:val="-35"/>
          <w:sz w:val="20"/>
        </w:rPr>
        <w:t xml:space="preserve"> </w:t>
      </w:r>
      <w:r>
        <w:rPr>
          <w:color w:val="231F20"/>
          <w:sz w:val="20"/>
        </w:rPr>
        <w:t>them.</w:t>
      </w:r>
      <w:r>
        <w:rPr>
          <w:color w:val="231F20"/>
          <w:position w:val="7"/>
          <w:sz w:val="11"/>
        </w:rPr>
        <w:t>52</w:t>
      </w:r>
    </w:p>
    <w:p w14:paraId="2D9CCB4D" w14:textId="77777777" w:rsidR="00894070" w:rsidRDefault="009B7AFD">
      <w:pPr>
        <w:pStyle w:val="ListParagraph"/>
        <w:numPr>
          <w:ilvl w:val="1"/>
          <w:numId w:val="161"/>
        </w:numPr>
        <w:tabs>
          <w:tab w:val="left" w:pos="1801"/>
          <w:tab w:val="left" w:pos="1802"/>
        </w:tabs>
        <w:spacing w:before="125" w:line="206" w:lineRule="auto"/>
        <w:ind w:right="1875"/>
        <w:rPr>
          <w:sz w:val="20"/>
        </w:rPr>
      </w:pPr>
      <w:r>
        <w:rPr>
          <w:color w:val="231F20"/>
          <w:sz w:val="20"/>
        </w:rPr>
        <w:t xml:space="preserve">There </w:t>
      </w:r>
      <w:r>
        <w:rPr>
          <w:color w:val="231F20"/>
          <w:spacing w:val="-3"/>
          <w:sz w:val="20"/>
        </w:rPr>
        <w:t xml:space="preserve">are, </w:t>
      </w:r>
      <w:r>
        <w:rPr>
          <w:color w:val="231F20"/>
          <w:sz w:val="20"/>
        </w:rPr>
        <w:t xml:space="preserve">of course, many more communities whose experiences </w:t>
      </w:r>
      <w:r>
        <w:rPr>
          <w:color w:val="231F20"/>
          <w:spacing w:val="-4"/>
          <w:sz w:val="20"/>
        </w:rPr>
        <w:t xml:space="preserve">matter. </w:t>
      </w:r>
      <w:r>
        <w:rPr>
          <w:color w:val="231F20"/>
          <w:sz w:val="20"/>
        </w:rPr>
        <w:t xml:space="preserve">The communities </w:t>
      </w:r>
      <w:r>
        <w:rPr>
          <w:color w:val="231F20"/>
          <w:spacing w:val="-3"/>
          <w:sz w:val="20"/>
        </w:rPr>
        <w:t xml:space="preserve">we </w:t>
      </w:r>
      <w:r>
        <w:rPr>
          <w:color w:val="231F20"/>
          <w:sz w:val="20"/>
        </w:rPr>
        <w:t xml:space="preserve">discuss here </w:t>
      </w:r>
      <w:r>
        <w:rPr>
          <w:color w:val="231F20"/>
          <w:spacing w:val="-3"/>
          <w:sz w:val="20"/>
        </w:rPr>
        <w:t xml:space="preserve">are themselves </w:t>
      </w:r>
      <w:r>
        <w:rPr>
          <w:color w:val="231F20"/>
          <w:sz w:val="20"/>
        </w:rPr>
        <w:t xml:space="preserve">diverse. More </w:t>
      </w:r>
      <w:r>
        <w:rPr>
          <w:color w:val="231F20"/>
          <w:spacing w:val="-3"/>
          <w:sz w:val="20"/>
        </w:rPr>
        <w:t xml:space="preserve">research into </w:t>
      </w:r>
      <w:r>
        <w:rPr>
          <w:color w:val="231F20"/>
          <w:sz w:val="20"/>
        </w:rPr>
        <w:t>the frequency</w:t>
      </w:r>
      <w:r>
        <w:rPr>
          <w:color w:val="231F20"/>
          <w:spacing w:val="-9"/>
          <w:sz w:val="20"/>
        </w:rPr>
        <w:t xml:space="preserve"> </w:t>
      </w:r>
      <w:r>
        <w:rPr>
          <w:color w:val="231F20"/>
          <w:sz w:val="20"/>
        </w:rPr>
        <w:t>of</w:t>
      </w:r>
      <w:r>
        <w:rPr>
          <w:color w:val="231F20"/>
          <w:spacing w:val="-9"/>
          <w:sz w:val="20"/>
        </w:rPr>
        <w:t xml:space="preserve"> </w:t>
      </w:r>
      <w:r>
        <w:rPr>
          <w:color w:val="231F20"/>
          <w:sz w:val="20"/>
        </w:rPr>
        <w:t>cyberstalking</w:t>
      </w:r>
      <w:r>
        <w:rPr>
          <w:color w:val="231F20"/>
          <w:spacing w:val="-9"/>
          <w:sz w:val="20"/>
        </w:rPr>
        <w:t xml:space="preserve"> </w:t>
      </w:r>
      <w:r>
        <w:rPr>
          <w:color w:val="231F20"/>
          <w:sz w:val="20"/>
        </w:rPr>
        <w:t>in</w:t>
      </w:r>
      <w:r>
        <w:rPr>
          <w:color w:val="231F20"/>
          <w:spacing w:val="-9"/>
          <w:sz w:val="20"/>
        </w:rPr>
        <w:t xml:space="preserve"> </w:t>
      </w:r>
      <w:r>
        <w:rPr>
          <w:color w:val="231F20"/>
          <w:sz w:val="20"/>
        </w:rPr>
        <w:t>diverse</w:t>
      </w:r>
      <w:r>
        <w:rPr>
          <w:color w:val="231F20"/>
          <w:spacing w:val="-9"/>
          <w:sz w:val="20"/>
        </w:rPr>
        <w:t xml:space="preserve"> </w:t>
      </w:r>
      <w:r>
        <w:rPr>
          <w:color w:val="231F20"/>
          <w:sz w:val="20"/>
        </w:rPr>
        <w:t>communities</w:t>
      </w:r>
      <w:r>
        <w:rPr>
          <w:color w:val="231F20"/>
          <w:spacing w:val="-9"/>
          <w:sz w:val="20"/>
        </w:rPr>
        <w:t xml:space="preserve"> </w:t>
      </w:r>
      <w:r>
        <w:rPr>
          <w:color w:val="231F20"/>
          <w:sz w:val="20"/>
        </w:rPr>
        <w:t>is</w:t>
      </w:r>
      <w:r>
        <w:rPr>
          <w:color w:val="231F20"/>
          <w:spacing w:val="-9"/>
          <w:sz w:val="20"/>
        </w:rPr>
        <w:t xml:space="preserve"> </w:t>
      </w:r>
      <w:r>
        <w:rPr>
          <w:color w:val="231F20"/>
          <w:sz w:val="20"/>
        </w:rPr>
        <w:t>needed.</w:t>
      </w:r>
      <w:r>
        <w:rPr>
          <w:color w:val="231F20"/>
          <w:position w:val="7"/>
          <w:sz w:val="11"/>
        </w:rPr>
        <w:t>53</w:t>
      </w:r>
      <w:r>
        <w:rPr>
          <w:color w:val="231F20"/>
          <w:spacing w:val="15"/>
          <w:position w:val="7"/>
          <w:sz w:val="11"/>
        </w:rPr>
        <w:t xml:space="preserve"> </w:t>
      </w:r>
      <w:r>
        <w:rPr>
          <w:color w:val="231F20"/>
          <w:sz w:val="20"/>
        </w:rPr>
        <w:t>In</w:t>
      </w:r>
      <w:r>
        <w:rPr>
          <w:color w:val="231F20"/>
          <w:spacing w:val="-9"/>
          <w:sz w:val="20"/>
        </w:rPr>
        <w:t xml:space="preserve"> </w:t>
      </w:r>
      <w:r>
        <w:rPr>
          <w:color w:val="231F20"/>
          <w:spacing w:val="-3"/>
          <w:sz w:val="20"/>
        </w:rPr>
        <w:t>Chapter</w:t>
      </w:r>
      <w:r>
        <w:rPr>
          <w:color w:val="231F20"/>
          <w:spacing w:val="-9"/>
          <w:sz w:val="20"/>
        </w:rPr>
        <w:t xml:space="preserve"> </w:t>
      </w:r>
      <w:r>
        <w:rPr>
          <w:color w:val="231F20"/>
          <w:sz w:val="20"/>
        </w:rPr>
        <w:t>2,</w:t>
      </w:r>
      <w:r>
        <w:rPr>
          <w:color w:val="231F20"/>
          <w:spacing w:val="-9"/>
          <w:sz w:val="20"/>
        </w:rPr>
        <w:t xml:space="preserve"> </w:t>
      </w:r>
      <w:r>
        <w:rPr>
          <w:color w:val="231F20"/>
          <w:spacing w:val="-3"/>
          <w:sz w:val="20"/>
        </w:rPr>
        <w:t xml:space="preserve">we </w:t>
      </w:r>
      <w:r>
        <w:rPr>
          <w:color w:val="231F20"/>
          <w:sz w:val="20"/>
        </w:rPr>
        <w:t xml:space="preserve">recommend the Victorian </w:t>
      </w:r>
      <w:r>
        <w:rPr>
          <w:color w:val="231F20"/>
          <w:spacing w:val="-3"/>
          <w:sz w:val="20"/>
        </w:rPr>
        <w:t xml:space="preserve">Government </w:t>
      </w:r>
      <w:r>
        <w:rPr>
          <w:color w:val="231F20"/>
          <w:spacing w:val="-4"/>
          <w:sz w:val="20"/>
        </w:rPr>
        <w:t xml:space="preserve">improve </w:t>
      </w:r>
      <w:r>
        <w:rPr>
          <w:color w:val="231F20"/>
          <w:sz w:val="20"/>
        </w:rPr>
        <w:t>data on</w:t>
      </w:r>
      <w:r>
        <w:rPr>
          <w:color w:val="231F20"/>
          <w:spacing w:val="-27"/>
          <w:sz w:val="20"/>
        </w:rPr>
        <w:t xml:space="preserve"> </w:t>
      </w:r>
      <w:r>
        <w:rPr>
          <w:color w:val="231F20"/>
          <w:sz w:val="20"/>
        </w:rPr>
        <w:t>stalking.</w:t>
      </w:r>
    </w:p>
    <w:p w14:paraId="73301A1E" w14:textId="77777777" w:rsidR="00894070" w:rsidRDefault="00894070">
      <w:pPr>
        <w:pStyle w:val="BodyText"/>
        <w:spacing w:before="12"/>
        <w:rPr>
          <w:sz w:val="15"/>
        </w:rPr>
      </w:pPr>
    </w:p>
    <w:p w14:paraId="1766E63D" w14:textId="77777777" w:rsidR="00894070" w:rsidRDefault="009B7AFD">
      <w:pPr>
        <w:pStyle w:val="Heading8"/>
        <w:ind w:left="1007"/>
      </w:pPr>
      <w:r>
        <w:rPr>
          <w:color w:val="231F20"/>
        </w:rPr>
        <w:t>Children and young people have a different experience of cyberstalking</w:t>
      </w:r>
    </w:p>
    <w:p w14:paraId="619B7704" w14:textId="77777777" w:rsidR="00894070" w:rsidRDefault="009B7AFD">
      <w:pPr>
        <w:pStyle w:val="ListParagraph"/>
        <w:numPr>
          <w:ilvl w:val="1"/>
          <w:numId w:val="161"/>
        </w:numPr>
        <w:tabs>
          <w:tab w:val="left" w:pos="1801"/>
          <w:tab w:val="left" w:pos="1802"/>
        </w:tabs>
        <w:spacing w:before="95" w:line="259" w:lineRule="exact"/>
        <w:rPr>
          <w:sz w:val="20"/>
        </w:rPr>
      </w:pPr>
      <w:r>
        <w:rPr>
          <w:color w:val="231F20"/>
          <w:sz w:val="20"/>
        </w:rPr>
        <w:t>A</w:t>
      </w:r>
      <w:r>
        <w:rPr>
          <w:color w:val="231F20"/>
          <w:spacing w:val="-5"/>
          <w:sz w:val="20"/>
        </w:rPr>
        <w:t xml:space="preserve"> </w:t>
      </w:r>
      <w:r>
        <w:rPr>
          <w:color w:val="231F20"/>
          <w:spacing w:val="-3"/>
          <w:sz w:val="20"/>
        </w:rPr>
        <w:t>2016</w:t>
      </w:r>
      <w:r>
        <w:rPr>
          <w:color w:val="231F20"/>
          <w:spacing w:val="-5"/>
          <w:sz w:val="20"/>
        </w:rPr>
        <w:t xml:space="preserve"> </w:t>
      </w:r>
      <w:r>
        <w:rPr>
          <w:color w:val="231F20"/>
          <w:sz w:val="20"/>
        </w:rPr>
        <w:t>study</w:t>
      </w:r>
      <w:r>
        <w:rPr>
          <w:color w:val="231F20"/>
          <w:spacing w:val="-5"/>
          <w:sz w:val="20"/>
        </w:rPr>
        <w:t xml:space="preserve"> </w:t>
      </w:r>
      <w:r>
        <w:rPr>
          <w:color w:val="231F20"/>
          <w:sz w:val="20"/>
        </w:rPr>
        <w:t>suggested</w:t>
      </w:r>
      <w:r>
        <w:rPr>
          <w:color w:val="231F20"/>
          <w:spacing w:val="-5"/>
          <w:sz w:val="20"/>
        </w:rPr>
        <w:t xml:space="preserve"> </w:t>
      </w:r>
      <w:r>
        <w:rPr>
          <w:color w:val="231F20"/>
          <w:sz w:val="20"/>
        </w:rPr>
        <w:t>that</w:t>
      </w:r>
      <w:r>
        <w:rPr>
          <w:color w:val="231F20"/>
          <w:spacing w:val="-5"/>
          <w:sz w:val="20"/>
        </w:rPr>
        <w:t xml:space="preserve"> </w:t>
      </w:r>
      <w:r>
        <w:rPr>
          <w:color w:val="231F20"/>
          <w:sz w:val="20"/>
        </w:rPr>
        <w:t>the</w:t>
      </w:r>
      <w:r>
        <w:rPr>
          <w:color w:val="231F20"/>
          <w:spacing w:val="-5"/>
          <w:sz w:val="20"/>
        </w:rPr>
        <w:t xml:space="preserve"> </w:t>
      </w:r>
      <w:r>
        <w:rPr>
          <w:color w:val="231F20"/>
          <w:sz w:val="20"/>
        </w:rPr>
        <w:t>most</w:t>
      </w:r>
      <w:r>
        <w:rPr>
          <w:color w:val="231F20"/>
          <w:spacing w:val="-5"/>
          <w:sz w:val="20"/>
        </w:rPr>
        <w:t xml:space="preserve"> </w:t>
      </w:r>
      <w:r>
        <w:rPr>
          <w:color w:val="231F20"/>
          <w:sz w:val="20"/>
        </w:rPr>
        <w:t>common</w:t>
      </w:r>
      <w:r>
        <w:rPr>
          <w:color w:val="231F20"/>
          <w:spacing w:val="-5"/>
          <w:sz w:val="20"/>
        </w:rPr>
        <w:t xml:space="preserve"> </w:t>
      </w:r>
      <w:r>
        <w:rPr>
          <w:color w:val="231F20"/>
          <w:sz w:val="20"/>
        </w:rPr>
        <w:t>forms</w:t>
      </w:r>
      <w:r>
        <w:rPr>
          <w:color w:val="231F20"/>
          <w:spacing w:val="-5"/>
          <w:sz w:val="20"/>
        </w:rPr>
        <w:t xml:space="preserve"> </w:t>
      </w:r>
      <w:r>
        <w:rPr>
          <w:color w:val="231F20"/>
          <w:sz w:val="20"/>
        </w:rPr>
        <w:t>of</w:t>
      </w:r>
      <w:r>
        <w:rPr>
          <w:color w:val="231F20"/>
          <w:spacing w:val="-5"/>
          <w:sz w:val="20"/>
        </w:rPr>
        <w:t xml:space="preserve"> </w:t>
      </w:r>
      <w:r>
        <w:rPr>
          <w:color w:val="231F20"/>
          <w:spacing w:val="-3"/>
          <w:sz w:val="20"/>
        </w:rPr>
        <w:t>technology-facilitated</w:t>
      </w:r>
      <w:r>
        <w:rPr>
          <w:color w:val="231F20"/>
          <w:spacing w:val="-5"/>
          <w:sz w:val="20"/>
        </w:rPr>
        <w:t xml:space="preserve"> </w:t>
      </w:r>
      <w:r>
        <w:rPr>
          <w:color w:val="231F20"/>
          <w:sz w:val="20"/>
        </w:rPr>
        <w:t>abuse</w:t>
      </w:r>
    </w:p>
    <w:p w14:paraId="2431D1E3" w14:textId="77777777" w:rsidR="00894070" w:rsidRDefault="009B7AFD">
      <w:pPr>
        <w:pStyle w:val="BodyText"/>
        <w:spacing w:line="259" w:lineRule="exact"/>
        <w:ind w:left="1276" w:right="1651"/>
        <w:jc w:val="center"/>
        <w:rPr>
          <w:sz w:val="11"/>
        </w:rPr>
      </w:pPr>
      <w:r>
        <w:rPr>
          <w:color w:val="231F20"/>
        </w:rPr>
        <w:t xml:space="preserve">against children and young people are monitoring and stalking </w:t>
      </w:r>
      <w:proofErr w:type="spellStart"/>
      <w:r>
        <w:rPr>
          <w:color w:val="231F20"/>
        </w:rPr>
        <w:t>behaviours</w:t>
      </w:r>
      <w:proofErr w:type="spellEnd"/>
      <w:r>
        <w:rPr>
          <w:color w:val="231F20"/>
        </w:rPr>
        <w:t>.</w:t>
      </w:r>
      <w:r>
        <w:rPr>
          <w:color w:val="231F20"/>
          <w:position w:val="7"/>
          <w:sz w:val="11"/>
        </w:rPr>
        <w:t>54</w:t>
      </w:r>
    </w:p>
    <w:p w14:paraId="264DA77D" w14:textId="77777777" w:rsidR="00894070" w:rsidRDefault="00894070">
      <w:pPr>
        <w:pStyle w:val="BodyText"/>
      </w:pPr>
    </w:p>
    <w:p w14:paraId="0C1F3ED4" w14:textId="77777777" w:rsidR="00894070" w:rsidRDefault="00894070">
      <w:pPr>
        <w:pStyle w:val="BodyText"/>
      </w:pPr>
    </w:p>
    <w:p w14:paraId="25BA0B62" w14:textId="77777777" w:rsidR="00894070" w:rsidRDefault="00894070">
      <w:pPr>
        <w:pStyle w:val="BodyText"/>
      </w:pPr>
    </w:p>
    <w:p w14:paraId="6D536333" w14:textId="77777777" w:rsidR="00894070" w:rsidRDefault="00894070">
      <w:pPr>
        <w:pStyle w:val="BodyText"/>
      </w:pPr>
    </w:p>
    <w:p w14:paraId="33118900" w14:textId="77777777" w:rsidR="00894070" w:rsidRDefault="00894070">
      <w:pPr>
        <w:pStyle w:val="BodyText"/>
      </w:pPr>
    </w:p>
    <w:p w14:paraId="42C18703" w14:textId="77777777" w:rsidR="00894070" w:rsidRDefault="009F6793">
      <w:pPr>
        <w:pStyle w:val="BodyText"/>
        <w:spacing w:before="1"/>
        <w:rPr>
          <w:sz w:val="19"/>
        </w:rPr>
      </w:pPr>
      <w:r>
        <w:pict w14:anchorId="39C040EB">
          <v:line id="_x0000_s1588" style="position:absolute;z-index:251485184;mso-wrap-distance-left:0;mso-wrap-distance-right:0;mso-position-horizontal-relative:page" from="79.35pt,15.7pt" to="515.9pt,15.7pt" strokecolor="#f8cabc" strokeweight="1pt">
            <w10:wrap type="topAndBottom" anchorx="page"/>
          </v:line>
        </w:pict>
      </w:r>
    </w:p>
    <w:p w14:paraId="156558E8" w14:textId="77777777" w:rsidR="00894070" w:rsidRDefault="009B7AFD">
      <w:pPr>
        <w:pStyle w:val="ListParagraph"/>
        <w:numPr>
          <w:ilvl w:val="0"/>
          <w:numId w:val="157"/>
        </w:numPr>
        <w:tabs>
          <w:tab w:val="left" w:pos="1801"/>
          <w:tab w:val="left" w:pos="1802"/>
        </w:tabs>
        <w:spacing w:before="107" w:line="213" w:lineRule="auto"/>
        <w:ind w:right="1548"/>
        <w:rPr>
          <w:sz w:val="13"/>
        </w:rPr>
      </w:pPr>
      <w:proofErr w:type="spellStart"/>
      <w:r>
        <w:rPr>
          <w:color w:val="231F20"/>
          <w:sz w:val="13"/>
        </w:rPr>
        <w:t>Billea</w:t>
      </w:r>
      <w:proofErr w:type="spellEnd"/>
      <w:r>
        <w:rPr>
          <w:color w:val="231F20"/>
          <w:sz w:val="13"/>
        </w:rPr>
        <w:t xml:space="preserve"> </w:t>
      </w:r>
      <w:proofErr w:type="spellStart"/>
      <w:r>
        <w:rPr>
          <w:color w:val="231F20"/>
          <w:sz w:val="13"/>
        </w:rPr>
        <w:t>Ahlgrim</w:t>
      </w:r>
      <w:proofErr w:type="spellEnd"/>
      <w:r>
        <w:rPr>
          <w:color w:val="231F20"/>
          <w:sz w:val="13"/>
        </w:rPr>
        <w:t xml:space="preserve"> and </w:t>
      </w:r>
      <w:r>
        <w:rPr>
          <w:color w:val="231F20"/>
          <w:spacing w:val="2"/>
          <w:sz w:val="13"/>
        </w:rPr>
        <w:t xml:space="preserve">Cheryl </w:t>
      </w:r>
      <w:r>
        <w:rPr>
          <w:color w:val="231F20"/>
          <w:sz w:val="13"/>
        </w:rPr>
        <w:t xml:space="preserve">Terrance, ‘Perceptions of </w:t>
      </w:r>
      <w:r>
        <w:rPr>
          <w:color w:val="231F20"/>
          <w:spacing w:val="2"/>
          <w:sz w:val="13"/>
        </w:rPr>
        <w:t xml:space="preserve">Cyberstalking: </w:t>
      </w:r>
      <w:r>
        <w:rPr>
          <w:color w:val="231F20"/>
          <w:sz w:val="13"/>
        </w:rPr>
        <w:t xml:space="preserve">Impact of Perpetrator </w:t>
      </w:r>
      <w:r>
        <w:rPr>
          <w:color w:val="231F20"/>
          <w:spacing w:val="2"/>
          <w:sz w:val="13"/>
        </w:rPr>
        <w:t xml:space="preserve">Gender </w:t>
      </w:r>
      <w:r>
        <w:rPr>
          <w:color w:val="231F20"/>
          <w:sz w:val="13"/>
        </w:rPr>
        <w:t xml:space="preserve">and </w:t>
      </w:r>
      <w:proofErr w:type="spellStart"/>
      <w:r>
        <w:rPr>
          <w:color w:val="231F20"/>
          <w:sz w:val="13"/>
        </w:rPr>
        <w:t>Cyberstalker</w:t>
      </w:r>
      <w:proofErr w:type="spellEnd"/>
      <w:r>
        <w:rPr>
          <w:color w:val="231F20"/>
          <w:sz w:val="13"/>
        </w:rPr>
        <w:t xml:space="preserve">/Victim Relationship’ (2021) 36(7–8) </w:t>
      </w:r>
      <w:r>
        <w:rPr>
          <w:i/>
          <w:color w:val="231F20"/>
          <w:sz w:val="13"/>
        </w:rPr>
        <w:t xml:space="preserve">Journal of Interpersonal Violence </w:t>
      </w:r>
      <w:r>
        <w:rPr>
          <w:color w:val="231F20"/>
          <w:sz w:val="13"/>
        </w:rPr>
        <w:t xml:space="preserve">NP4074; </w:t>
      </w: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Technology-Facilitated</w:t>
      </w:r>
      <w:r>
        <w:rPr>
          <w:i/>
          <w:color w:val="231F20"/>
          <w:spacing w:val="6"/>
          <w:sz w:val="13"/>
        </w:rPr>
        <w:t xml:space="preserve"> </w:t>
      </w:r>
      <w:r>
        <w:rPr>
          <w:i/>
          <w:color w:val="231F20"/>
          <w:sz w:val="13"/>
        </w:rPr>
        <w:t>Abuse:</w:t>
      </w:r>
      <w:r>
        <w:rPr>
          <w:i/>
          <w:color w:val="231F20"/>
          <w:spacing w:val="6"/>
          <w:sz w:val="13"/>
        </w:rPr>
        <w:t xml:space="preserve"> </w:t>
      </w:r>
      <w:r>
        <w:rPr>
          <w:i/>
          <w:color w:val="231F20"/>
          <w:sz w:val="13"/>
        </w:rPr>
        <w:t>A</w:t>
      </w:r>
      <w:r>
        <w:rPr>
          <w:i/>
          <w:color w:val="231F20"/>
          <w:spacing w:val="6"/>
          <w:sz w:val="13"/>
        </w:rPr>
        <w:t xml:space="preserve"> </w:t>
      </w:r>
      <w:r>
        <w:rPr>
          <w:i/>
          <w:color w:val="231F20"/>
          <w:sz w:val="13"/>
        </w:rPr>
        <w:t>Survey</w:t>
      </w:r>
      <w:r>
        <w:rPr>
          <w:i/>
          <w:color w:val="231F20"/>
          <w:spacing w:val="6"/>
          <w:sz w:val="13"/>
        </w:rPr>
        <w:t xml:space="preserve"> </w:t>
      </w:r>
      <w:r>
        <w:rPr>
          <w:i/>
          <w:color w:val="231F20"/>
          <w:sz w:val="13"/>
        </w:rPr>
        <w:t>of</w:t>
      </w:r>
      <w:r>
        <w:rPr>
          <w:i/>
          <w:color w:val="231F20"/>
          <w:spacing w:val="6"/>
          <w:sz w:val="13"/>
        </w:rPr>
        <w:t xml:space="preserve"> </w:t>
      </w:r>
      <w:r>
        <w:rPr>
          <w:i/>
          <w:color w:val="231F20"/>
          <w:spacing w:val="2"/>
          <w:sz w:val="13"/>
        </w:rPr>
        <w:t>Support</w:t>
      </w:r>
      <w:r>
        <w:rPr>
          <w:i/>
          <w:color w:val="231F20"/>
          <w:spacing w:val="7"/>
          <w:sz w:val="13"/>
        </w:rPr>
        <w:t xml:space="preserve"> </w:t>
      </w:r>
      <w:r>
        <w:rPr>
          <w:i/>
          <w:color w:val="231F20"/>
          <w:spacing w:val="2"/>
          <w:sz w:val="13"/>
        </w:rPr>
        <w:t>Services</w:t>
      </w:r>
      <w:r>
        <w:rPr>
          <w:i/>
          <w:color w:val="231F20"/>
          <w:spacing w:val="6"/>
          <w:sz w:val="13"/>
        </w:rPr>
        <w:t xml:space="preserve"> </w:t>
      </w:r>
      <w:r>
        <w:rPr>
          <w:i/>
          <w:color w:val="231F20"/>
          <w:sz w:val="13"/>
        </w:rPr>
        <w:t>Stakeholders</w:t>
      </w:r>
      <w:r>
        <w:rPr>
          <w:i/>
          <w:color w:val="231F20"/>
          <w:spacing w:val="6"/>
          <w:sz w:val="13"/>
        </w:rPr>
        <w:t xml:space="preserve"> </w:t>
      </w:r>
      <w:r>
        <w:rPr>
          <w:color w:val="231F20"/>
          <w:sz w:val="13"/>
        </w:rPr>
        <w:t>(Research</w:t>
      </w:r>
      <w:r>
        <w:rPr>
          <w:color w:val="231F20"/>
          <w:spacing w:val="6"/>
          <w:sz w:val="13"/>
        </w:rPr>
        <w:t xml:space="preserve"> </w:t>
      </w:r>
      <w:r>
        <w:rPr>
          <w:color w:val="231F20"/>
          <w:spacing w:val="2"/>
          <w:sz w:val="13"/>
        </w:rPr>
        <w:t>Report</w:t>
      </w:r>
      <w:r>
        <w:rPr>
          <w:color w:val="231F20"/>
          <w:spacing w:val="7"/>
          <w:sz w:val="13"/>
        </w:rPr>
        <w:t xml:space="preserve"> </w:t>
      </w:r>
      <w:r>
        <w:rPr>
          <w:color w:val="231F20"/>
          <w:sz w:val="13"/>
        </w:rPr>
        <w:t>No</w:t>
      </w:r>
      <w:r>
        <w:rPr>
          <w:color w:val="231F20"/>
          <w:spacing w:val="6"/>
          <w:sz w:val="13"/>
        </w:rPr>
        <w:t xml:space="preserve"> </w:t>
      </w:r>
      <w:r>
        <w:rPr>
          <w:color w:val="231F20"/>
          <w:sz w:val="13"/>
        </w:rPr>
        <w:t>2,</w:t>
      </w:r>
      <w:r>
        <w:rPr>
          <w:color w:val="231F20"/>
          <w:spacing w:val="6"/>
          <w:sz w:val="13"/>
        </w:rPr>
        <w:t xml:space="preserve"> </w:t>
      </w:r>
      <w:r>
        <w:rPr>
          <w:color w:val="231F20"/>
          <w:sz w:val="13"/>
        </w:rPr>
        <w:t>ANROWS,</w:t>
      </w:r>
      <w:r>
        <w:rPr>
          <w:color w:val="231F20"/>
          <w:spacing w:val="7"/>
          <w:sz w:val="13"/>
        </w:rPr>
        <w:t xml:space="preserve"> </w:t>
      </w:r>
      <w:r>
        <w:rPr>
          <w:color w:val="231F20"/>
          <w:sz w:val="13"/>
        </w:rPr>
        <w:t>July</w:t>
      </w:r>
      <w:r>
        <w:rPr>
          <w:color w:val="231F20"/>
          <w:spacing w:val="6"/>
          <w:sz w:val="13"/>
        </w:rPr>
        <w:t xml:space="preserve"> </w:t>
      </w:r>
      <w:r>
        <w:rPr>
          <w:color w:val="231F20"/>
          <w:sz w:val="13"/>
        </w:rPr>
        <w:t>2021)</w:t>
      </w:r>
      <w:r>
        <w:rPr>
          <w:color w:val="231F20"/>
          <w:spacing w:val="6"/>
          <w:sz w:val="13"/>
        </w:rPr>
        <w:t xml:space="preserve"> </w:t>
      </w:r>
      <w:r>
        <w:rPr>
          <w:color w:val="231F20"/>
          <w:sz w:val="13"/>
        </w:rPr>
        <w:t>19,</w:t>
      </w:r>
      <w:r>
        <w:rPr>
          <w:color w:val="231F20"/>
          <w:spacing w:val="7"/>
          <w:sz w:val="13"/>
        </w:rPr>
        <w:t xml:space="preserve"> </w:t>
      </w:r>
      <w:r>
        <w:rPr>
          <w:color w:val="231F20"/>
          <w:spacing w:val="2"/>
          <w:sz w:val="13"/>
        </w:rPr>
        <w:t>38.</w:t>
      </w:r>
    </w:p>
    <w:p w14:paraId="6C107573" w14:textId="77777777" w:rsidR="00894070" w:rsidRDefault="009B7AFD">
      <w:pPr>
        <w:pStyle w:val="ListParagraph"/>
        <w:numPr>
          <w:ilvl w:val="0"/>
          <w:numId w:val="157"/>
        </w:numPr>
        <w:tabs>
          <w:tab w:val="left" w:pos="1801"/>
          <w:tab w:val="left" w:pos="1802"/>
        </w:tabs>
        <w:spacing w:line="213" w:lineRule="auto"/>
        <w:ind w:right="1177"/>
        <w:rPr>
          <w:sz w:val="13"/>
        </w:rPr>
      </w:pPr>
      <w:r>
        <w:rPr>
          <w:color w:val="231F20"/>
          <w:sz w:val="13"/>
        </w:rPr>
        <w:t xml:space="preserve">Suzie Dunn, ‘Technology-Facilitated Gender-Based Violence: An Overview’ (Centre for International Governance Innovation: </w:t>
      </w:r>
      <w:r>
        <w:rPr>
          <w:color w:val="231F20"/>
          <w:spacing w:val="2"/>
          <w:sz w:val="13"/>
        </w:rPr>
        <w:t xml:space="preserve">Supporting </w:t>
      </w:r>
      <w:r>
        <w:rPr>
          <w:color w:val="231F20"/>
          <w:sz w:val="13"/>
        </w:rPr>
        <w:t xml:space="preserve">a Safer Internet Paper No 1, Social </w:t>
      </w:r>
      <w:r>
        <w:rPr>
          <w:color w:val="231F20"/>
          <w:spacing w:val="2"/>
          <w:sz w:val="13"/>
        </w:rPr>
        <w:t xml:space="preserve">Science </w:t>
      </w:r>
      <w:r>
        <w:rPr>
          <w:color w:val="231F20"/>
          <w:sz w:val="13"/>
        </w:rPr>
        <w:t xml:space="preserve">Research Network, 2020) </w:t>
      </w:r>
      <w:r>
        <w:rPr>
          <w:color w:val="231F20"/>
          <w:spacing w:val="2"/>
          <w:sz w:val="13"/>
        </w:rPr>
        <w:t>1</w:t>
      </w:r>
      <w:hyperlink r:id="rId81">
        <w:r>
          <w:rPr>
            <w:color w:val="231F20"/>
            <w:spacing w:val="2"/>
            <w:sz w:val="13"/>
          </w:rPr>
          <w:t xml:space="preserve">4 </w:t>
        </w:r>
        <w:r>
          <w:rPr>
            <w:color w:val="231F20"/>
            <w:sz w:val="13"/>
          </w:rPr>
          <w:t>&lt;https://papers.ssrn.com/abstract=3772042</w:t>
        </w:r>
      </w:hyperlink>
      <w:r>
        <w:rPr>
          <w:color w:val="231F20"/>
          <w:sz w:val="13"/>
        </w:rPr>
        <w:t xml:space="preserve">&gt;; </w:t>
      </w:r>
      <w:r>
        <w:rPr>
          <w:color w:val="231F20"/>
          <w:spacing w:val="2"/>
          <w:sz w:val="13"/>
        </w:rPr>
        <w:t xml:space="preserve">Anastasia </w:t>
      </w:r>
      <w:r>
        <w:rPr>
          <w:color w:val="231F20"/>
          <w:sz w:val="13"/>
        </w:rPr>
        <w:t xml:space="preserve">Powell, Adrian J Scott and </w:t>
      </w:r>
      <w:r>
        <w:rPr>
          <w:color w:val="231F20"/>
          <w:spacing w:val="2"/>
          <w:sz w:val="13"/>
        </w:rPr>
        <w:t xml:space="preserve">Nicola </w:t>
      </w:r>
      <w:r>
        <w:rPr>
          <w:color w:val="231F20"/>
          <w:sz w:val="13"/>
        </w:rPr>
        <w:t xml:space="preserve">Henry, </w:t>
      </w:r>
      <w:r>
        <w:rPr>
          <w:color w:val="231F20"/>
          <w:spacing w:val="2"/>
          <w:sz w:val="13"/>
        </w:rPr>
        <w:t xml:space="preserve">‘Digital Harassment </w:t>
      </w:r>
      <w:r>
        <w:rPr>
          <w:color w:val="231F20"/>
          <w:sz w:val="13"/>
        </w:rPr>
        <w:t xml:space="preserve">and Abuse: </w:t>
      </w:r>
      <w:r>
        <w:rPr>
          <w:color w:val="231F20"/>
          <w:spacing w:val="2"/>
          <w:sz w:val="13"/>
        </w:rPr>
        <w:t xml:space="preserve">Experiences </w:t>
      </w:r>
      <w:r>
        <w:rPr>
          <w:color w:val="231F20"/>
          <w:sz w:val="13"/>
        </w:rPr>
        <w:t xml:space="preserve">of Sexuality and </w:t>
      </w:r>
      <w:r>
        <w:rPr>
          <w:color w:val="231F20"/>
          <w:spacing w:val="2"/>
          <w:sz w:val="13"/>
        </w:rPr>
        <w:t xml:space="preserve">Gender </w:t>
      </w:r>
      <w:r>
        <w:rPr>
          <w:color w:val="231F20"/>
          <w:sz w:val="13"/>
        </w:rPr>
        <w:t xml:space="preserve">Minority Adults’ (2020) 17(2) </w:t>
      </w:r>
      <w:r>
        <w:rPr>
          <w:i/>
          <w:color w:val="231F20"/>
          <w:sz w:val="13"/>
        </w:rPr>
        <w:t xml:space="preserve">European Journal of Criminology </w:t>
      </w:r>
      <w:r>
        <w:rPr>
          <w:color w:val="231F20"/>
          <w:spacing w:val="2"/>
          <w:sz w:val="13"/>
        </w:rPr>
        <w:t>199,</w:t>
      </w:r>
      <w:r>
        <w:rPr>
          <w:color w:val="231F20"/>
          <w:spacing w:val="4"/>
          <w:sz w:val="13"/>
        </w:rPr>
        <w:t xml:space="preserve"> </w:t>
      </w:r>
      <w:r>
        <w:rPr>
          <w:color w:val="231F20"/>
          <w:sz w:val="13"/>
        </w:rPr>
        <w:t>204.</w:t>
      </w:r>
    </w:p>
    <w:p w14:paraId="4E76AD52" w14:textId="77777777" w:rsidR="00894070" w:rsidRDefault="009B7AFD">
      <w:pPr>
        <w:pStyle w:val="ListParagraph"/>
        <w:numPr>
          <w:ilvl w:val="0"/>
          <w:numId w:val="157"/>
        </w:numPr>
        <w:tabs>
          <w:tab w:val="left" w:pos="1801"/>
          <w:tab w:val="left" w:pos="1802"/>
        </w:tabs>
        <w:spacing w:line="151" w:lineRule="exact"/>
        <w:rPr>
          <w:sz w:val="13"/>
        </w:rPr>
      </w:pPr>
      <w:r>
        <w:rPr>
          <w:color w:val="231F20"/>
          <w:sz w:val="13"/>
        </w:rPr>
        <w:t>Consultation 28 (Victorian Pride</w:t>
      </w:r>
      <w:r>
        <w:rPr>
          <w:color w:val="231F20"/>
          <w:spacing w:val="1"/>
          <w:sz w:val="13"/>
        </w:rPr>
        <w:t xml:space="preserve"> </w:t>
      </w:r>
      <w:r>
        <w:rPr>
          <w:color w:val="231F20"/>
          <w:sz w:val="13"/>
        </w:rPr>
        <w:t>Lobby).</w:t>
      </w:r>
    </w:p>
    <w:p w14:paraId="39E3F609" w14:textId="77777777" w:rsidR="00894070" w:rsidRDefault="009B7AFD">
      <w:pPr>
        <w:pStyle w:val="ListParagraph"/>
        <w:numPr>
          <w:ilvl w:val="0"/>
          <w:numId w:val="157"/>
        </w:numPr>
        <w:tabs>
          <w:tab w:val="left" w:pos="1801"/>
          <w:tab w:val="left" w:pos="1802"/>
        </w:tabs>
        <w:spacing w:before="5" w:line="213" w:lineRule="auto"/>
        <w:ind w:right="1713"/>
        <w:rPr>
          <w:sz w:val="13"/>
        </w:rPr>
      </w:pPr>
      <w:r>
        <w:rPr>
          <w:color w:val="231F20"/>
          <w:sz w:val="13"/>
        </w:rPr>
        <w:t xml:space="preserve">Ibid, citing W </w:t>
      </w:r>
      <w:r>
        <w:rPr>
          <w:color w:val="231F20"/>
          <w:spacing w:val="2"/>
          <w:sz w:val="13"/>
        </w:rPr>
        <w:t xml:space="preserve">Spencer </w:t>
      </w:r>
      <w:r>
        <w:rPr>
          <w:color w:val="231F20"/>
          <w:sz w:val="13"/>
        </w:rPr>
        <w:t xml:space="preserve">Scott, ‘Electronic </w:t>
      </w:r>
      <w:r>
        <w:rPr>
          <w:color w:val="231F20"/>
          <w:spacing w:val="2"/>
          <w:sz w:val="13"/>
        </w:rPr>
        <w:t xml:space="preserve">Boundary Violations </w:t>
      </w:r>
      <w:r>
        <w:rPr>
          <w:color w:val="231F20"/>
          <w:sz w:val="13"/>
        </w:rPr>
        <w:t>Among Gay and Bisexual Men’ (Doctoral Project, Roosevelt University, 2016).</w:t>
      </w:r>
    </w:p>
    <w:p w14:paraId="7962898A" w14:textId="77777777" w:rsidR="00894070" w:rsidRDefault="009B7AFD">
      <w:pPr>
        <w:pStyle w:val="ListParagraph"/>
        <w:numPr>
          <w:ilvl w:val="0"/>
          <w:numId w:val="157"/>
        </w:numPr>
        <w:tabs>
          <w:tab w:val="left" w:pos="1801"/>
          <w:tab w:val="left" w:pos="1802"/>
        </w:tabs>
        <w:spacing w:line="213" w:lineRule="auto"/>
        <w:ind w:right="1304"/>
        <w:rPr>
          <w:sz w:val="13"/>
        </w:rPr>
      </w:pPr>
      <w:r>
        <w:rPr>
          <w:color w:val="231F20"/>
          <w:sz w:val="13"/>
        </w:rPr>
        <w:t xml:space="preserve">Consultation 28 (Victorian Pride Lobby), citing W </w:t>
      </w:r>
      <w:r>
        <w:rPr>
          <w:color w:val="231F20"/>
          <w:spacing w:val="2"/>
          <w:sz w:val="13"/>
        </w:rPr>
        <w:t xml:space="preserve">Spencer </w:t>
      </w:r>
      <w:r>
        <w:rPr>
          <w:color w:val="231F20"/>
          <w:sz w:val="13"/>
        </w:rPr>
        <w:t xml:space="preserve">Scott, ‘Electronic </w:t>
      </w:r>
      <w:r>
        <w:rPr>
          <w:color w:val="231F20"/>
          <w:spacing w:val="2"/>
          <w:sz w:val="13"/>
        </w:rPr>
        <w:t xml:space="preserve">Boundary Violations </w:t>
      </w:r>
      <w:r>
        <w:rPr>
          <w:color w:val="231F20"/>
          <w:sz w:val="13"/>
        </w:rPr>
        <w:t>Among Gay and Bisexual Men’ (Doctoral Project, Roosevelt University,</w:t>
      </w:r>
      <w:r>
        <w:rPr>
          <w:color w:val="231F20"/>
          <w:spacing w:val="1"/>
          <w:sz w:val="13"/>
        </w:rPr>
        <w:t xml:space="preserve"> </w:t>
      </w:r>
      <w:r>
        <w:rPr>
          <w:color w:val="231F20"/>
          <w:sz w:val="13"/>
        </w:rPr>
        <w:t>2016).</w:t>
      </w:r>
    </w:p>
    <w:p w14:paraId="54435DE8" w14:textId="77777777" w:rsidR="00894070" w:rsidRDefault="009B7AFD">
      <w:pPr>
        <w:pStyle w:val="ListParagraph"/>
        <w:numPr>
          <w:ilvl w:val="0"/>
          <w:numId w:val="157"/>
        </w:numPr>
        <w:tabs>
          <w:tab w:val="left" w:pos="1800"/>
          <w:tab w:val="left" w:pos="1802"/>
        </w:tabs>
        <w:spacing w:line="213" w:lineRule="auto"/>
        <w:ind w:right="1177"/>
        <w:rPr>
          <w:sz w:val="13"/>
        </w:rPr>
      </w:pPr>
      <w:r>
        <w:rPr>
          <w:color w:val="231F20"/>
          <w:spacing w:val="2"/>
          <w:sz w:val="13"/>
        </w:rPr>
        <w:t xml:space="preserve">Anastasia </w:t>
      </w:r>
      <w:r>
        <w:rPr>
          <w:color w:val="231F20"/>
          <w:sz w:val="13"/>
        </w:rPr>
        <w:t xml:space="preserve">Powell, Adrian J </w:t>
      </w:r>
      <w:proofErr w:type="gramStart"/>
      <w:r>
        <w:rPr>
          <w:color w:val="231F20"/>
          <w:sz w:val="13"/>
        </w:rPr>
        <w:t>Scott</w:t>
      </w:r>
      <w:proofErr w:type="gramEnd"/>
      <w:r>
        <w:rPr>
          <w:color w:val="231F20"/>
          <w:sz w:val="13"/>
        </w:rPr>
        <w:t xml:space="preserve"> and </w:t>
      </w:r>
      <w:r>
        <w:rPr>
          <w:color w:val="231F20"/>
          <w:spacing w:val="2"/>
          <w:sz w:val="13"/>
        </w:rPr>
        <w:t xml:space="preserve">Nicola </w:t>
      </w:r>
      <w:r>
        <w:rPr>
          <w:color w:val="231F20"/>
          <w:sz w:val="13"/>
        </w:rPr>
        <w:t xml:space="preserve">Henry, </w:t>
      </w:r>
      <w:r>
        <w:rPr>
          <w:color w:val="231F20"/>
          <w:spacing w:val="2"/>
          <w:sz w:val="13"/>
        </w:rPr>
        <w:t xml:space="preserve">‘Digital Harassment </w:t>
      </w:r>
      <w:r>
        <w:rPr>
          <w:color w:val="231F20"/>
          <w:sz w:val="13"/>
        </w:rPr>
        <w:t xml:space="preserve">and Abuse: </w:t>
      </w:r>
      <w:r>
        <w:rPr>
          <w:color w:val="231F20"/>
          <w:spacing w:val="2"/>
          <w:sz w:val="13"/>
        </w:rPr>
        <w:t xml:space="preserve">Experiences </w:t>
      </w:r>
      <w:r>
        <w:rPr>
          <w:color w:val="231F20"/>
          <w:sz w:val="13"/>
        </w:rPr>
        <w:t xml:space="preserve">of Sexuality and </w:t>
      </w:r>
      <w:r>
        <w:rPr>
          <w:color w:val="231F20"/>
          <w:spacing w:val="2"/>
          <w:sz w:val="13"/>
        </w:rPr>
        <w:t xml:space="preserve">Gender </w:t>
      </w:r>
      <w:r>
        <w:rPr>
          <w:color w:val="231F20"/>
          <w:sz w:val="13"/>
        </w:rPr>
        <w:t xml:space="preserve">Minority Adults’ (2020) 17(2) </w:t>
      </w:r>
      <w:r>
        <w:rPr>
          <w:i/>
          <w:color w:val="231F20"/>
          <w:sz w:val="13"/>
        </w:rPr>
        <w:t>European Journal of Criminology</w:t>
      </w:r>
      <w:r>
        <w:rPr>
          <w:i/>
          <w:color w:val="231F20"/>
          <w:spacing w:val="2"/>
          <w:sz w:val="13"/>
        </w:rPr>
        <w:t xml:space="preserve"> </w:t>
      </w:r>
      <w:r>
        <w:rPr>
          <w:color w:val="231F20"/>
          <w:spacing w:val="2"/>
          <w:sz w:val="13"/>
        </w:rPr>
        <w:t>199.</w:t>
      </w:r>
    </w:p>
    <w:p w14:paraId="377660FA" w14:textId="77777777" w:rsidR="00894070" w:rsidRDefault="009B7AFD">
      <w:pPr>
        <w:pStyle w:val="ListParagraph"/>
        <w:numPr>
          <w:ilvl w:val="0"/>
          <w:numId w:val="157"/>
        </w:numPr>
        <w:tabs>
          <w:tab w:val="left" w:pos="1801"/>
          <w:tab w:val="left" w:pos="1802"/>
        </w:tabs>
        <w:spacing w:line="213" w:lineRule="auto"/>
        <w:ind w:right="1438"/>
        <w:rPr>
          <w:sz w:val="13"/>
        </w:rPr>
      </w:pPr>
      <w:r>
        <w:rPr>
          <w:color w:val="231F20"/>
          <w:sz w:val="13"/>
        </w:rPr>
        <w:t xml:space="preserve">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i/>
          <w:color w:val="231F20"/>
          <w:sz w:val="13"/>
        </w:rPr>
        <w:t xml:space="preserve">Technology-Facilitated Abuse among Aboriginal and Torres Strait Islander Women </w:t>
      </w:r>
      <w:r>
        <w:rPr>
          <w:color w:val="231F20"/>
          <w:spacing w:val="2"/>
          <w:sz w:val="13"/>
        </w:rPr>
        <w:t xml:space="preserve">(Report, </w:t>
      </w:r>
      <w:r>
        <w:rPr>
          <w:color w:val="231F20"/>
          <w:sz w:val="13"/>
        </w:rPr>
        <w:t xml:space="preserve">2021); 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i/>
          <w:color w:val="231F20"/>
          <w:sz w:val="13"/>
        </w:rPr>
        <w:t xml:space="preserve">Online Safety for Aboriginal and Torres Strait Islander Women Living in Urban Areas </w:t>
      </w:r>
      <w:r>
        <w:rPr>
          <w:color w:val="231F20"/>
          <w:spacing w:val="2"/>
          <w:sz w:val="13"/>
        </w:rPr>
        <w:t xml:space="preserve">(Report, </w:t>
      </w:r>
      <w:r>
        <w:rPr>
          <w:color w:val="231F20"/>
          <w:sz w:val="13"/>
        </w:rPr>
        <w:t>October</w:t>
      </w:r>
      <w:r>
        <w:rPr>
          <w:color w:val="231F20"/>
          <w:spacing w:val="-2"/>
          <w:sz w:val="13"/>
        </w:rPr>
        <w:t xml:space="preserve"> </w:t>
      </w:r>
      <w:r>
        <w:rPr>
          <w:color w:val="231F20"/>
          <w:sz w:val="13"/>
        </w:rPr>
        <w:t>2019).</w:t>
      </w:r>
    </w:p>
    <w:p w14:paraId="53732C8A" w14:textId="77777777" w:rsidR="00894070" w:rsidRDefault="009B7AFD">
      <w:pPr>
        <w:pStyle w:val="ListParagraph"/>
        <w:numPr>
          <w:ilvl w:val="0"/>
          <w:numId w:val="157"/>
        </w:numPr>
        <w:tabs>
          <w:tab w:val="left" w:pos="1801"/>
          <w:tab w:val="left" w:pos="1802"/>
        </w:tabs>
        <w:spacing w:line="213" w:lineRule="auto"/>
        <w:ind w:right="1491"/>
        <w:rPr>
          <w:sz w:val="13"/>
        </w:rPr>
      </w:pPr>
      <w:r>
        <w:rPr>
          <w:color w:val="231F20"/>
          <w:spacing w:val="2"/>
          <w:sz w:val="13"/>
        </w:rPr>
        <w:t xml:space="preserve">Nicola Henry </w:t>
      </w:r>
      <w:r>
        <w:rPr>
          <w:color w:val="231F20"/>
          <w:sz w:val="13"/>
        </w:rPr>
        <w:t xml:space="preserve">et </w:t>
      </w:r>
      <w:r>
        <w:rPr>
          <w:color w:val="231F20"/>
          <w:spacing w:val="2"/>
          <w:sz w:val="13"/>
        </w:rPr>
        <w:t xml:space="preserve">al, </w:t>
      </w:r>
      <w:r>
        <w:rPr>
          <w:color w:val="231F20"/>
          <w:sz w:val="13"/>
        </w:rPr>
        <w:t xml:space="preserve">‘Technology-Facilitated </w:t>
      </w:r>
      <w:r>
        <w:rPr>
          <w:color w:val="231F20"/>
          <w:spacing w:val="2"/>
          <w:sz w:val="13"/>
        </w:rPr>
        <w:t xml:space="preserve">Domestic </w:t>
      </w:r>
      <w:r>
        <w:rPr>
          <w:color w:val="231F20"/>
          <w:sz w:val="13"/>
        </w:rPr>
        <w:t xml:space="preserve">Violence against Immigrant and Refugee Women: A Qualitative Study’ [2021] </w:t>
      </w:r>
      <w:r>
        <w:rPr>
          <w:i/>
          <w:color w:val="231F20"/>
          <w:sz w:val="13"/>
        </w:rPr>
        <w:t xml:space="preserve">Journal of Interpersonal Violence </w:t>
      </w:r>
      <w:r>
        <w:rPr>
          <w:color w:val="231F20"/>
          <w:sz w:val="13"/>
        </w:rPr>
        <w:t>10.1177/08862605211001465:1–27,</w:t>
      </w:r>
      <w:r>
        <w:rPr>
          <w:color w:val="231F20"/>
          <w:spacing w:val="2"/>
          <w:sz w:val="13"/>
        </w:rPr>
        <w:t xml:space="preserve"> </w:t>
      </w:r>
      <w:r>
        <w:rPr>
          <w:color w:val="231F20"/>
          <w:sz w:val="13"/>
        </w:rPr>
        <w:t>17–18.</w:t>
      </w:r>
    </w:p>
    <w:p w14:paraId="04807C2F" w14:textId="77777777" w:rsidR="00894070" w:rsidRDefault="009B7AFD">
      <w:pPr>
        <w:pStyle w:val="ListParagraph"/>
        <w:numPr>
          <w:ilvl w:val="0"/>
          <w:numId w:val="157"/>
        </w:numPr>
        <w:tabs>
          <w:tab w:val="left" w:pos="1801"/>
          <w:tab w:val="left" w:pos="1802"/>
        </w:tabs>
        <w:spacing w:line="213" w:lineRule="auto"/>
        <w:ind w:right="1267"/>
        <w:rPr>
          <w:sz w:val="13"/>
        </w:rPr>
      </w:pPr>
      <w:r>
        <w:rPr>
          <w:color w:val="231F20"/>
          <w:sz w:val="13"/>
        </w:rPr>
        <w:t xml:space="preserve">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i/>
          <w:color w:val="231F20"/>
          <w:sz w:val="13"/>
        </w:rPr>
        <w:t xml:space="preserve">Technology-Facilitated Abuse of Women with Intellectual or Cognitive Disability </w:t>
      </w:r>
      <w:r>
        <w:rPr>
          <w:color w:val="231F20"/>
          <w:spacing w:val="2"/>
          <w:sz w:val="13"/>
        </w:rPr>
        <w:t xml:space="preserve">(Report, </w:t>
      </w:r>
      <w:r>
        <w:rPr>
          <w:color w:val="231F20"/>
          <w:sz w:val="13"/>
        </w:rPr>
        <w:t xml:space="preserve">2021) </w:t>
      </w:r>
      <w:r>
        <w:rPr>
          <w:color w:val="231F20"/>
          <w:spacing w:val="3"/>
          <w:sz w:val="13"/>
        </w:rPr>
        <w:t>4.</w:t>
      </w:r>
    </w:p>
    <w:p w14:paraId="5028C694" w14:textId="77777777" w:rsidR="00894070" w:rsidRDefault="009F6793">
      <w:pPr>
        <w:pStyle w:val="ListParagraph"/>
        <w:numPr>
          <w:ilvl w:val="0"/>
          <w:numId w:val="157"/>
        </w:numPr>
        <w:tabs>
          <w:tab w:val="left" w:pos="1800"/>
          <w:tab w:val="left" w:pos="1802"/>
        </w:tabs>
        <w:spacing w:line="153" w:lineRule="exact"/>
        <w:rPr>
          <w:sz w:val="13"/>
        </w:rPr>
      </w:pPr>
      <w:r>
        <w:pict w14:anchorId="1F873710">
          <v:shape id="_x0000_s1587" type="#_x0000_t202" style="position:absolute;left:0;text-align:left;margin-left:548.95pt;margin-top:3.35pt;width:13.3pt;height:14.1pt;z-index:251555840;mso-position-horizontal-relative:page" filled="f" stroked="f">
            <v:textbox inset="0,0,0,0">
              <w:txbxContent>
                <w:p w14:paraId="7731A565" w14:textId="77777777" w:rsidR="00894070" w:rsidRDefault="009B7AFD">
                  <w:pPr>
                    <w:spacing w:line="282" w:lineRule="exact"/>
                    <w:rPr>
                      <w:b/>
                      <w:sz w:val="24"/>
                    </w:rPr>
                  </w:pPr>
                  <w:r>
                    <w:rPr>
                      <w:b/>
                      <w:color w:val="EA5B50"/>
                      <w:spacing w:val="-2"/>
                      <w:sz w:val="24"/>
                    </w:rPr>
                    <w:t>37</w:t>
                  </w:r>
                </w:p>
              </w:txbxContent>
            </v:textbox>
            <w10:wrap anchorx="page"/>
          </v:shape>
        </w:pict>
      </w:r>
      <w:r w:rsidR="009B7AFD">
        <w:rPr>
          <w:color w:val="231F20"/>
          <w:sz w:val="13"/>
        </w:rPr>
        <w:t>Consultation 28 (Victorian Pride</w:t>
      </w:r>
      <w:r w:rsidR="009B7AFD">
        <w:rPr>
          <w:color w:val="231F20"/>
          <w:spacing w:val="1"/>
          <w:sz w:val="13"/>
        </w:rPr>
        <w:t xml:space="preserve"> </w:t>
      </w:r>
      <w:r w:rsidR="009B7AFD">
        <w:rPr>
          <w:color w:val="231F20"/>
          <w:sz w:val="13"/>
        </w:rPr>
        <w:t>Lobby).</w:t>
      </w:r>
    </w:p>
    <w:p w14:paraId="4756FBC0" w14:textId="77777777" w:rsidR="00894070" w:rsidRDefault="009B7AFD">
      <w:pPr>
        <w:pStyle w:val="ListParagraph"/>
        <w:numPr>
          <w:ilvl w:val="0"/>
          <w:numId w:val="157"/>
        </w:numPr>
        <w:tabs>
          <w:tab w:val="left" w:pos="1801"/>
          <w:tab w:val="left" w:pos="1802"/>
        </w:tabs>
        <w:spacing w:line="170" w:lineRule="exact"/>
        <w:rPr>
          <w:sz w:val="13"/>
        </w:rPr>
      </w:pPr>
      <w:r>
        <w:rPr>
          <w:color w:val="231F20"/>
          <w:sz w:val="13"/>
        </w:rPr>
        <w:t>Laura</w:t>
      </w:r>
      <w:r>
        <w:rPr>
          <w:color w:val="231F20"/>
          <w:spacing w:val="2"/>
          <w:sz w:val="13"/>
        </w:rPr>
        <w:t xml:space="preserve"> </w:t>
      </w:r>
      <w:r>
        <w:rPr>
          <w:color w:val="231F20"/>
          <w:sz w:val="13"/>
        </w:rPr>
        <w:t>Fazio,</w:t>
      </w:r>
      <w:r>
        <w:rPr>
          <w:color w:val="231F20"/>
          <w:spacing w:val="3"/>
          <w:sz w:val="13"/>
        </w:rPr>
        <w:t xml:space="preserve"> </w:t>
      </w:r>
      <w:r>
        <w:rPr>
          <w:color w:val="231F20"/>
          <w:sz w:val="13"/>
        </w:rPr>
        <w:t>‘Young</w:t>
      </w:r>
      <w:r>
        <w:rPr>
          <w:color w:val="231F20"/>
          <w:spacing w:val="3"/>
          <w:sz w:val="13"/>
        </w:rPr>
        <w:t xml:space="preserve"> </w:t>
      </w:r>
      <w:r>
        <w:rPr>
          <w:color w:val="231F20"/>
          <w:sz w:val="13"/>
        </w:rPr>
        <w:t>People</w:t>
      </w:r>
      <w:r>
        <w:rPr>
          <w:color w:val="231F20"/>
          <w:spacing w:val="2"/>
          <w:sz w:val="13"/>
        </w:rPr>
        <w:t xml:space="preserve"> </w:t>
      </w:r>
      <w:r>
        <w:rPr>
          <w:color w:val="231F20"/>
          <w:sz w:val="13"/>
        </w:rPr>
        <w:t>and</w:t>
      </w:r>
      <w:r>
        <w:rPr>
          <w:color w:val="231F20"/>
          <w:spacing w:val="3"/>
          <w:sz w:val="13"/>
        </w:rPr>
        <w:t xml:space="preserve"> </w:t>
      </w:r>
      <w:r>
        <w:rPr>
          <w:color w:val="231F20"/>
          <w:sz w:val="13"/>
        </w:rPr>
        <w:t>Cyberspace:</w:t>
      </w:r>
      <w:r>
        <w:rPr>
          <w:color w:val="231F20"/>
          <w:spacing w:val="3"/>
          <w:sz w:val="13"/>
        </w:rPr>
        <w:t xml:space="preserve"> </w:t>
      </w:r>
      <w:r>
        <w:rPr>
          <w:color w:val="231F20"/>
          <w:sz w:val="13"/>
        </w:rPr>
        <w:t>Introduction’</w:t>
      </w:r>
      <w:r>
        <w:rPr>
          <w:color w:val="231F20"/>
          <w:spacing w:val="2"/>
          <w:sz w:val="13"/>
        </w:rPr>
        <w:t xml:space="preserve"> </w:t>
      </w:r>
      <w:r>
        <w:rPr>
          <w:color w:val="231F20"/>
          <w:sz w:val="13"/>
        </w:rPr>
        <w:t>(2016)</w:t>
      </w:r>
      <w:r>
        <w:rPr>
          <w:color w:val="231F20"/>
          <w:spacing w:val="3"/>
          <w:sz w:val="13"/>
        </w:rPr>
        <w:t xml:space="preserve"> </w:t>
      </w:r>
      <w:r>
        <w:rPr>
          <w:color w:val="231F20"/>
          <w:sz w:val="13"/>
        </w:rPr>
        <w:t>22(2)</w:t>
      </w:r>
      <w:r>
        <w:rPr>
          <w:color w:val="231F20"/>
          <w:spacing w:val="3"/>
          <w:sz w:val="13"/>
        </w:rPr>
        <w:t xml:space="preserve"> </w:t>
      </w:r>
      <w:r>
        <w:rPr>
          <w:i/>
          <w:color w:val="231F20"/>
          <w:sz w:val="13"/>
        </w:rPr>
        <w:t>European</w:t>
      </w:r>
      <w:r>
        <w:rPr>
          <w:i/>
          <w:color w:val="231F20"/>
          <w:spacing w:val="2"/>
          <w:sz w:val="13"/>
        </w:rPr>
        <w:t xml:space="preserve"> </w:t>
      </w:r>
      <w:r>
        <w:rPr>
          <w:i/>
          <w:color w:val="231F20"/>
          <w:sz w:val="13"/>
        </w:rPr>
        <w:t>Journal</w:t>
      </w:r>
      <w:r>
        <w:rPr>
          <w:i/>
          <w:color w:val="231F20"/>
          <w:spacing w:val="3"/>
          <w:sz w:val="13"/>
        </w:rPr>
        <w:t xml:space="preserve"> </w:t>
      </w:r>
      <w:r>
        <w:rPr>
          <w:i/>
          <w:color w:val="231F20"/>
          <w:sz w:val="13"/>
        </w:rPr>
        <w:t>on</w:t>
      </w:r>
      <w:r>
        <w:rPr>
          <w:i/>
          <w:color w:val="231F20"/>
          <w:spacing w:val="3"/>
          <w:sz w:val="13"/>
        </w:rPr>
        <w:t xml:space="preserve"> </w:t>
      </w:r>
      <w:r>
        <w:rPr>
          <w:i/>
          <w:color w:val="231F20"/>
          <w:sz w:val="13"/>
        </w:rPr>
        <w:t>Criminal</w:t>
      </w:r>
      <w:r>
        <w:rPr>
          <w:i/>
          <w:color w:val="231F20"/>
          <w:spacing w:val="2"/>
          <w:sz w:val="13"/>
        </w:rPr>
        <w:t xml:space="preserve"> </w:t>
      </w:r>
      <w:r>
        <w:rPr>
          <w:i/>
          <w:color w:val="231F20"/>
          <w:sz w:val="13"/>
        </w:rPr>
        <w:t>Policy</w:t>
      </w:r>
      <w:r>
        <w:rPr>
          <w:i/>
          <w:color w:val="231F20"/>
          <w:spacing w:val="3"/>
          <w:sz w:val="13"/>
        </w:rPr>
        <w:t xml:space="preserve"> </w:t>
      </w:r>
      <w:r>
        <w:rPr>
          <w:i/>
          <w:color w:val="231F20"/>
          <w:sz w:val="13"/>
        </w:rPr>
        <w:t>and</w:t>
      </w:r>
      <w:r>
        <w:rPr>
          <w:i/>
          <w:color w:val="231F20"/>
          <w:spacing w:val="2"/>
          <w:sz w:val="13"/>
        </w:rPr>
        <w:t xml:space="preserve"> </w:t>
      </w:r>
      <w:r>
        <w:rPr>
          <w:i/>
          <w:color w:val="231F20"/>
          <w:sz w:val="13"/>
        </w:rPr>
        <w:t>Resear</w:t>
      </w:r>
      <w:r>
        <w:rPr>
          <w:color w:val="231F20"/>
          <w:sz w:val="13"/>
        </w:rPr>
        <w:t>ch</w:t>
      </w:r>
      <w:r>
        <w:rPr>
          <w:color w:val="231F20"/>
          <w:spacing w:val="3"/>
          <w:sz w:val="13"/>
        </w:rPr>
        <w:t xml:space="preserve"> </w:t>
      </w:r>
      <w:r>
        <w:rPr>
          <w:color w:val="231F20"/>
          <w:spacing w:val="2"/>
          <w:sz w:val="13"/>
        </w:rPr>
        <w:t>211,</w:t>
      </w:r>
      <w:r>
        <w:rPr>
          <w:color w:val="231F20"/>
          <w:spacing w:val="3"/>
          <w:sz w:val="13"/>
        </w:rPr>
        <w:t xml:space="preserve"> </w:t>
      </w:r>
      <w:r>
        <w:rPr>
          <w:color w:val="231F20"/>
          <w:spacing w:val="2"/>
          <w:sz w:val="13"/>
        </w:rPr>
        <w:t>211.</w:t>
      </w:r>
    </w:p>
    <w:p w14:paraId="6F04C260" w14:textId="77777777" w:rsidR="00894070" w:rsidRDefault="00894070">
      <w:pPr>
        <w:spacing w:line="170" w:lineRule="exact"/>
        <w:rPr>
          <w:sz w:val="13"/>
        </w:rPr>
        <w:sectPr w:rsidR="00894070">
          <w:pgSz w:w="11910" w:h="16840"/>
          <w:pgMar w:top="840" w:right="420" w:bottom="280" w:left="580" w:header="0" w:footer="0" w:gutter="0"/>
          <w:cols w:space="720"/>
        </w:sectPr>
      </w:pPr>
    </w:p>
    <w:p w14:paraId="24A1BD9C" w14:textId="77777777" w:rsidR="00894070" w:rsidRDefault="00894070">
      <w:pPr>
        <w:pStyle w:val="BodyText"/>
      </w:pPr>
    </w:p>
    <w:p w14:paraId="6BF3D054" w14:textId="77777777" w:rsidR="00894070" w:rsidRDefault="00894070">
      <w:pPr>
        <w:pStyle w:val="BodyText"/>
      </w:pPr>
    </w:p>
    <w:p w14:paraId="038C0B60" w14:textId="77777777" w:rsidR="00894070" w:rsidRDefault="00894070">
      <w:pPr>
        <w:pStyle w:val="BodyText"/>
      </w:pPr>
    </w:p>
    <w:p w14:paraId="2E9D01DF" w14:textId="77777777" w:rsidR="00894070" w:rsidRDefault="00894070">
      <w:pPr>
        <w:pStyle w:val="BodyText"/>
        <w:spacing w:before="11"/>
        <w:rPr>
          <w:sz w:val="18"/>
        </w:rPr>
      </w:pPr>
    </w:p>
    <w:p w14:paraId="585D90FE" w14:textId="77777777" w:rsidR="00894070" w:rsidRDefault="009B7AFD">
      <w:pPr>
        <w:pStyle w:val="ListParagraph"/>
        <w:numPr>
          <w:ilvl w:val="1"/>
          <w:numId w:val="161"/>
        </w:numPr>
        <w:tabs>
          <w:tab w:val="left" w:pos="1801"/>
          <w:tab w:val="left" w:pos="1802"/>
        </w:tabs>
        <w:spacing w:line="206" w:lineRule="auto"/>
        <w:ind w:right="1215"/>
        <w:rPr>
          <w:sz w:val="11"/>
        </w:rPr>
      </w:pPr>
      <w:bookmarkStart w:id="54" w:name="What_are_the_legal_and_regulatory_respon"/>
      <w:bookmarkStart w:id="55" w:name="_bookmark27"/>
      <w:bookmarkEnd w:id="54"/>
      <w:bookmarkEnd w:id="55"/>
      <w:r>
        <w:rPr>
          <w:color w:val="231F20"/>
          <w:sz w:val="20"/>
        </w:rPr>
        <w:t xml:space="preserve">It appears that </w:t>
      </w:r>
      <w:r>
        <w:rPr>
          <w:color w:val="231F20"/>
          <w:spacing w:val="-3"/>
          <w:sz w:val="20"/>
        </w:rPr>
        <w:t xml:space="preserve">children </w:t>
      </w:r>
      <w:r>
        <w:rPr>
          <w:color w:val="231F20"/>
          <w:sz w:val="20"/>
        </w:rPr>
        <w:t xml:space="preserve">and young people </w:t>
      </w:r>
      <w:r>
        <w:rPr>
          <w:color w:val="231F20"/>
          <w:spacing w:val="-3"/>
          <w:sz w:val="20"/>
        </w:rPr>
        <w:t xml:space="preserve">are </w:t>
      </w:r>
      <w:r>
        <w:rPr>
          <w:color w:val="231F20"/>
          <w:sz w:val="20"/>
        </w:rPr>
        <w:t xml:space="preserve">more </w:t>
      </w:r>
      <w:r>
        <w:rPr>
          <w:color w:val="231F20"/>
          <w:spacing w:val="-3"/>
          <w:sz w:val="20"/>
        </w:rPr>
        <w:t xml:space="preserve">likely </w:t>
      </w:r>
      <w:r>
        <w:rPr>
          <w:color w:val="231F20"/>
          <w:sz w:val="20"/>
        </w:rPr>
        <w:t>to experience cyberstalking compared to adults and older people.</w:t>
      </w:r>
      <w:r>
        <w:rPr>
          <w:color w:val="231F20"/>
          <w:position w:val="7"/>
          <w:sz w:val="11"/>
        </w:rPr>
        <w:t xml:space="preserve">55 </w:t>
      </w:r>
      <w:r>
        <w:rPr>
          <w:color w:val="231F20"/>
          <w:sz w:val="20"/>
        </w:rPr>
        <w:t xml:space="preserve">As </w:t>
      </w:r>
      <w:r>
        <w:rPr>
          <w:color w:val="231F20"/>
          <w:spacing w:val="-3"/>
          <w:sz w:val="20"/>
        </w:rPr>
        <w:t xml:space="preserve">‘digital </w:t>
      </w:r>
      <w:r>
        <w:rPr>
          <w:color w:val="231F20"/>
          <w:spacing w:val="-4"/>
          <w:sz w:val="20"/>
        </w:rPr>
        <w:t>natives’,</w:t>
      </w:r>
      <w:r>
        <w:rPr>
          <w:color w:val="231F20"/>
          <w:spacing w:val="-4"/>
          <w:position w:val="7"/>
          <w:sz w:val="11"/>
        </w:rPr>
        <w:t xml:space="preserve">56 </w:t>
      </w:r>
      <w:r>
        <w:rPr>
          <w:color w:val="231F20"/>
          <w:spacing w:val="-3"/>
          <w:sz w:val="20"/>
        </w:rPr>
        <w:t xml:space="preserve">children </w:t>
      </w:r>
      <w:r>
        <w:rPr>
          <w:color w:val="231F20"/>
          <w:sz w:val="20"/>
        </w:rPr>
        <w:t xml:space="preserve">and young people </w:t>
      </w:r>
      <w:r>
        <w:rPr>
          <w:color w:val="231F20"/>
          <w:spacing w:val="-3"/>
          <w:sz w:val="20"/>
        </w:rPr>
        <w:t xml:space="preserve">are </w:t>
      </w:r>
      <w:r>
        <w:rPr>
          <w:color w:val="231F20"/>
          <w:sz w:val="20"/>
        </w:rPr>
        <w:t xml:space="preserve">in an online </w:t>
      </w:r>
      <w:r>
        <w:rPr>
          <w:color w:val="231F20"/>
          <w:spacing w:val="-3"/>
          <w:sz w:val="20"/>
        </w:rPr>
        <w:t xml:space="preserve">environment </w:t>
      </w:r>
      <w:r>
        <w:rPr>
          <w:color w:val="231F20"/>
          <w:sz w:val="20"/>
        </w:rPr>
        <w:t xml:space="preserve">every </w:t>
      </w:r>
      <w:r>
        <w:rPr>
          <w:color w:val="231F20"/>
          <w:spacing w:val="-6"/>
          <w:sz w:val="20"/>
        </w:rPr>
        <w:t xml:space="preserve">day, </w:t>
      </w:r>
      <w:r>
        <w:rPr>
          <w:color w:val="231F20"/>
          <w:spacing w:val="-3"/>
          <w:sz w:val="20"/>
        </w:rPr>
        <w:t xml:space="preserve">navigating </w:t>
      </w:r>
      <w:r>
        <w:rPr>
          <w:color w:val="231F20"/>
          <w:sz w:val="20"/>
        </w:rPr>
        <w:t xml:space="preserve">‘issues of relationships, </w:t>
      </w:r>
      <w:r>
        <w:rPr>
          <w:color w:val="231F20"/>
          <w:spacing w:val="-3"/>
          <w:sz w:val="20"/>
        </w:rPr>
        <w:t xml:space="preserve">identity, </w:t>
      </w:r>
      <w:r>
        <w:rPr>
          <w:color w:val="231F20"/>
          <w:sz w:val="20"/>
        </w:rPr>
        <w:t xml:space="preserve">and </w:t>
      </w:r>
      <w:r>
        <w:rPr>
          <w:color w:val="231F20"/>
          <w:spacing w:val="-3"/>
          <w:sz w:val="20"/>
        </w:rPr>
        <w:t>intimacy’.</w:t>
      </w:r>
      <w:r>
        <w:rPr>
          <w:color w:val="231F20"/>
          <w:spacing w:val="-3"/>
          <w:position w:val="7"/>
          <w:sz w:val="11"/>
        </w:rPr>
        <w:t>57</w:t>
      </w:r>
      <w:r>
        <w:rPr>
          <w:color w:val="231F20"/>
          <w:spacing w:val="15"/>
          <w:position w:val="7"/>
          <w:sz w:val="11"/>
        </w:rPr>
        <w:t xml:space="preserve"> </w:t>
      </w:r>
      <w:r>
        <w:rPr>
          <w:color w:val="231F20"/>
          <w:sz w:val="20"/>
        </w:rPr>
        <w:t>They</w:t>
      </w:r>
      <w:r>
        <w:rPr>
          <w:color w:val="231F20"/>
          <w:spacing w:val="-8"/>
          <w:sz w:val="20"/>
        </w:rPr>
        <w:t xml:space="preserve"> </w:t>
      </w:r>
      <w:r>
        <w:rPr>
          <w:color w:val="231F20"/>
          <w:spacing w:val="-3"/>
          <w:sz w:val="20"/>
        </w:rPr>
        <w:t>may</w:t>
      </w:r>
      <w:r>
        <w:rPr>
          <w:color w:val="231F20"/>
          <w:spacing w:val="-8"/>
          <w:sz w:val="20"/>
        </w:rPr>
        <w:t xml:space="preserve"> </w:t>
      </w:r>
      <w:r>
        <w:rPr>
          <w:color w:val="231F20"/>
          <w:spacing w:val="-3"/>
          <w:sz w:val="20"/>
        </w:rPr>
        <w:t>therefore</w:t>
      </w:r>
      <w:r>
        <w:rPr>
          <w:color w:val="231F20"/>
          <w:spacing w:val="-9"/>
          <w:sz w:val="20"/>
        </w:rPr>
        <w:t xml:space="preserve"> </w:t>
      </w:r>
      <w:r>
        <w:rPr>
          <w:color w:val="231F20"/>
          <w:sz w:val="20"/>
        </w:rPr>
        <w:t>be</w:t>
      </w:r>
      <w:r>
        <w:rPr>
          <w:color w:val="231F20"/>
          <w:spacing w:val="-8"/>
          <w:sz w:val="20"/>
        </w:rPr>
        <w:t xml:space="preserve"> </w:t>
      </w:r>
      <w:r>
        <w:rPr>
          <w:color w:val="231F20"/>
          <w:sz w:val="20"/>
        </w:rPr>
        <w:t>more</w:t>
      </w:r>
      <w:r>
        <w:rPr>
          <w:color w:val="231F20"/>
          <w:spacing w:val="-8"/>
          <w:sz w:val="20"/>
        </w:rPr>
        <w:t xml:space="preserve"> </w:t>
      </w:r>
      <w:r>
        <w:rPr>
          <w:color w:val="231F20"/>
          <w:sz w:val="20"/>
        </w:rPr>
        <w:t>prone</w:t>
      </w:r>
      <w:r>
        <w:rPr>
          <w:color w:val="231F20"/>
          <w:spacing w:val="-8"/>
          <w:sz w:val="20"/>
        </w:rPr>
        <w:t xml:space="preserve"> </w:t>
      </w:r>
      <w:r>
        <w:rPr>
          <w:color w:val="231F20"/>
          <w:sz w:val="20"/>
        </w:rPr>
        <w:t>than</w:t>
      </w:r>
      <w:r>
        <w:rPr>
          <w:color w:val="231F20"/>
          <w:spacing w:val="-9"/>
          <w:sz w:val="20"/>
        </w:rPr>
        <w:t xml:space="preserve"> </w:t>
      </w:r>
      <w:r>
        <w:rPr>
          <w:color w:val="231F20"/>
          <w:sz w:val="20"/>
        </w:rPr>
        <w:t>adults</w:t>
      </w:r>
      <w:r>
        <w:rPr>
          <w:color w:val="231F20"/>
          <w:spacing w:val="-8"/>
          <w:sz w:val="20"/>
        </w:rPr>
        <w:t xml:space="preserve"> </w:t>
      </w:r>
      <w:r>
        <w:rPr>
          <w:color w:val="231F20"/>
          <w:sz w:val="20"/>
        </w:rPr>
        <w:t>to</w:t>
      </w:r>
      <w:r>
        <w:rPr>
          <w:color w:val="231F20"/>
          <w:spacing w:val="-8"/>
          <w:sz w:val="20"/>
        </w:rPr>
        <w:t xml:space="preserve"> </w:t>
      </w:r>
      <w:r>
        <w:rPr>
          <w:color w:val="231F20"/>
          <w:sz w:val="20"/>
        </w:rPr>
        <w:t>experiencing</w:t>
      </w:r>
      <w:r>
        <w:rPr>
          <w:color w:val="231F20"/>
          <w:spacing w:val="-8"/>
          <w:sz w:val="20"/>
        </w:rPr>
        <w:t xml:space="preserve"> </w:t>
      </w:r>
      <w:r>
        <w:rPr>
          <w:color w:val="231F20"/>
          <w:sz w:val="20"/>
        </w:rPr>
        <w:t>this</w:t>
      </w:r>
      <w:r>
        <w:rPr>
          <w:color w:val="231F20"/>
          <w:spacing w:val="-8"/>
          <w:sz w:val="20"/>
        </w:rPr>
        <w:t xml:space="preserve"> </w:t>
      </w:r>
      <w:r>
        <w:rPr>
          <w:color w:val="231F20"/>
          <w:sz w:val="20"/>
        </w:rPr>
        <w:t xml:space="preserve">harmful </w:t>
      </w:r>
      <w:proofErr w:type="spellStart"/>
      <w:r>
        <w:rPr>
          <w:color w:val="231F20"/>
          <w:sz w:val="20"/>
        </w:rPr>
        <w:t>behaviour</w:t>
      </w:r>
      <w:proofErr w:type="spellEnd"/>
      <w:r>
        <w:rPr>
          <w:color w:val="231F20"/>
          <w:sz w:val="20"/>
        </w:rPr>
        <w:t>.</w:t>
      </w:r>
      <w:r>
        <w:rPr>
          <w:color w:val="231F20"/>
          <w:position w:val="7"/>
          <w:sz w:val="11"/>
        </w:rPr>
        <w:t>58</w:t>
      </w:r>
    </w:p>
    <w:p w14:paraId="189036F8" w14:textId="77777777" w:rsidR="00894070" w:rsidRDefault="009B7AFD">
      <w:pPr>
        <w:pStyle w:val="ListParagraph"/>
        <w:numPr>
          <w:ilvl w:val="1"/>
          <w:numId w:val="161"/>
        </w:numPr>
        <w:tabs>
          <w:tab w:val="left" w:pos="1801"/>
          <w:tab w:val="left" w:pos="1802"/>
        </w:tabs>
        <w:spacing w:before="127" w:line="206" w:lineRule="auto"/>
        <w:ind w:right="1338"/>
        <w:rPr>
          <w:sz w:val="11"/>
        </w:rPr>
      </w:pPr>
      <w:r>
        <w:rPr>
          <w:color w:val="231F20"/>
          <w:spacing w:val="-3"/>
          <w:sz w:val="20"/>
        </w:rPr>
        <w:t>For</w:t>
      </w:r>
      <w:r>
        <w:rPr>
          <w:color w:val="231F20"/>
          <w:spacing w:val="-10"/>
          <w:sz w:val="20"/>
        </w:rPr>
        <w:t xml:space="preserve"> </w:t>
      </w:r>
      <w:r>
        <w:rPr>
          <w:color w:val="231F20"/>
          <w:spacing w:val="-3"/>
          <w:sz w:val="20"/>
        </w:rPr>
        <w:t>children</w:t>
      </w:r>
      <w:r>
        <w:rPr>
          <w:color w:val="231F20"/>
          <w:spacing w:val="-9"/>
          <w:sz w:val="20"/>
        </w:rPr>
        <w:t xml:space="preserve"> </w:t>
      </w:r>
      <w:r>
        <w:rPr>
          <w:color w:val="231F20"/>
          <w:sz w:val="20"/>
        </w:rPr>
        <w:t>and</w:t>
      </w:r>
      <w:r>
        <w:rPr>
          <w:color w:val="231F20"/>
          <w:spacing w:val="-10"/>
          <w:sz w:val="20"/>
        </w:rPr>
        <w:t xml:space="preserve"> </w:t>
      </w:r>
      <w:r>
        <w:rPr>
          <w:color w:val="231F20"/>
          <w:sz w:val="20"/>
        </w:rPr>
        <w:t>young</w:t>
      </w:r>
      <w:r>
        <w:rPr>
          <w:color w:val="231F20"/>
          <w:spacing w:val="-9"/>
          <w:sz w:val="20"/>
        </w:rPr>
        <w:t xml:space="preserve"> </w:t>
      </w:r>
      <w:r>
        <w:rPr>
          <w:color w:val="231F20"/>
          <w:sz w:val="20"/>
        </w:rPr>
        <w:t>people,</w:t>
      </w:r>
      <w:r>
        <w:rPr>
          <w:color w:val="231F20"/>
          <w:spacing w:val="-10"/>
          <w:sz w:val="20"/>
        </w:rPr>
        <w:t xml:space="preserve"> </w:t>
      </w:r>
      <w:r>
        <w:rPr>
          <w:color w:val="231F20"/>
          <w:sz w:val="20"/>
        </w:rPr>
        <w:t>cyberstalking</w:t>
      </w:r>
      <w:r>
        <w:rPr>
          <w:color w:val="231F20"/>
          <w:spacing w:val="-9"/>
          <w:sz w:val="20"/>
        </w:rPr>
        <w:t xml:space="preserve"> </w:t>
      </w:r>
      <w:r>
        <w:rPr>
          <w:color w:val="231F20"/>
          <w:spacing w:val="-3"/>
          <w:sz w:val="20"/>
        </w:rPr>
        <w:t>may</w:t>
      </w:r>
      <w:r>
        <w:rPr>
          <w:color w:val="231F20"/>
          <w:spacing w:val="-10"/>
          <w:sz w:val="20"/>
        </w:rPr>
        <w:t xml:space="preserve"> </w:t>
      </w:r>
      <w:r>
        <w:rPr>
          <w:color w:val="231F20"/>
          <w:sz w:val="20"/>
        </w:rPr>
        <w:t>be</w:t>
      </w:r>
      <w:r>
        <w:rPr>
          <w:color w:val="231F20"/>
          <w:spacing w:val="-9"/>
          <w:sz w:val="20"/>
        </w:rPr>
        <w:t xml:space="preserve"> </w:t>
      </w:r>
      <w:r>
        <w:rPr>
          <w:color w:val="231F20"/>
          <w:sz w:val="20"/>
        </w:rPr>
        <w:t>an</w:t>
      </w:r>
      <w:r>
        <w:rPr>
          <w:color w:val="231F20"/>
          <w:spacing w:val="-9"/>
          <w:sz w:val="20"/>
        </w:rPr>
        <w:t xml:space="preserve"> </w:t>
      </w:r>
      <w:r>
        <w:rPr>
          <w:color w:val="231F20"/>
          <w:sz w:val="20"/>
        </w:rPr>
        <w:t>extension</w:t>
      </w:r>
      <w:r>
        <w:rPr>
          <w:color w:val="231F20"/>
          <w:spacing w:val="-10"/>
          <w:sz w:val="20"/>
        </w:rPr>
        <w:t xml:space="preserve"> </w:t>
      </w:r>
      <w:r>
        <w:rPr>
          <w:color w:val="231F20"/>
          <w:sz w:val="20"/>
        </w:rPr>
        <w:t>of</w:t>
      </w:r>
      <w:r>
        <w:rPr>
          <w:color w:val="231F20"/>
          <w:spacing w:val="-9"/>
          <w:sz w:val="20"/>
        </w:rPr>
        <w:t xml:space="preserve"> </w:t>
      </w:r>
      <w:r>
        <w:rPr>
          <w:color w:val="231F20"/>
          <w:sz w:val="20"/>
        </w:rPr>
        <w:t>cyberbullying.</w:t>
      </w:r>
      <w:r>
        <w:rPr>
          <w:color w:val="231F20"/>
          <w:position w:val="7"/>
          <w:sz w:val="11"/>
        </w:rPr>
        <w:t>59</w:t>
      </w:r>
      <w:r>
        <w:rPr>
          <w:color w:val="231F20"/>
          <w:sz w:val="11"/>
        </w:rPr>
        <w:t xml:space="preserve"> </w:t>
      </w:r>
      <w:r>
        <w:rPr>
          <w:color w:val="231F20"/>
          <w:sz w:val="20"/>
        </w:rPr>
        <w:t xml:space="preserve">It is estimated that one in five young Australians has experienced cyberbullying </w:t>
      </w:r>
      <w:proofErr w:type="spellStart"/>
      <w:r>
        <w:rPr>
          <w:color w:val="231F20"/>
          <w:spacing w:val="-3"/>
          <w:sz w:val="20"/>
        </w:rPr>
        <w:t>behaviour</w:t>
      </w:r>
      <w:proofErr w:type="spellEnd"/>
      <w:r>
        <w:rPr>
          <w:color w:val="231F20"/>
          <w:spacing w:val="-3"/>
          <w:sz w:val="20"/>
        </w:rPr>
        <w:t>.</w:t>
      </w:r>
      <w:r>
        <w:rPr>
          <w:color w:val="231F20"/>
          <w:spacing w:val="-3"/>
          <w:position w:val="7"/>
          <w:sz w:val="11"/>
        </w:rPr>
        <w:t xml:space="preserve">60 </w:t>
      </w:r>
      <w:r>
        <w:rPr>
          <w:color w:val="231F20"/>
          <w:sz w:val="20"/>
        </w:rPr>
        <w:t xml:space="preserve">Research </w:t>
      </w:r>
      <w:r>
        <w:rPr>
          <w:color w:val="231F20"/>
          <w:spacing w:val="-3"/>
          <w:sz w:val="20"/>
        </w:rPr>
        <w:t xml:space="preserve">by </w:t>
      </w:r>
      <w:proofErr w:type="spellStart"/>
      <w:r>
        <w:rPr>
          <w:color w:val="231F20"/>
          <w:sz w:val="20"/>
        </w:rPr>
        <w:t>eSafety</w:t>
      </w:r>
      <w:proofErr w:type="spellEnd"/>
      <w:r>
        <w:rPr>
          <w:color w:val="231F20"/>
          <w:sz w:val="20"/>
        </w:rPr>
        <w:t xml:space="preserve"> indicates that 30 per cent of teenagers reported cyberbullying at</w:t>
      </w:r>
      <w:r>
        <w:rPr>
          <w:color w:val="231F20"/>
          <w:spacing w:val="-9"/>
          <w:sz w:val="20"/>
        </w:rPr>
        <w:t xml:space="preserve"> </w:t>
      </w:r>
      <w:r>
        <w:rPr>
          <w:color w:val="231F20"/>
          <w:sz w:val="20"/>
        </w:rPr>
        <w:t>school.</w:t>
      </w:r>
      <w:r>
        <w:rPr>
          <w:color w:val="231F20"/>
          <w:position w:val="7"/>
          <w:sz w:val="11"/>
        </w:rPr>
        <w:t>61</w:t>
      </w:r>
    </w:p>
    <w:p w14:paraId="6F9981A3" w14:textId="77777777" w:rsidR="00894070" w:rsidRDefault="009B7AFD">
      <w:pPr>
        <w:pStyle w:val="ListParagraph"/>
        <w:numPr>
          <w:ilvl w:val="1"/>
          <w:numId w:val="161"/>
        </w:numPr>
        <w:tabs>
          <w:tab w:val="left" w:pos="1801"/>
          <w:tab w:val="left" w:pos="1802"/>
        </w:tabs>
        <w:spacing w:before="125" w:line="206" w:lineRule="auto"/>
        <w:ind w:right="1318"/>
        <w:rPr>
          <w:sz w:val="11"/>
        </w:rPr>
      </w:pPr>
      <w:r>
        <w:rPr>
          <w:color w:val="231F20"/>
          <w:spacing w:val="-6"/>
          <w:sz w:val="20"/>
        </w:rPr>
        <w:t xml:space="preserve">We </w:t>
      </w:r>
      <w:r>
        <w:rPr>
          <w:color w:val="231F20"/>
          <w:sz w:val="20"/>
        </w:rPr>
        <w:t xml:space="preserve">heard that cyberstalking became worse during </w:t>
      </w:r>
      <w:r>
        <w:rPr>
          <w:color w:val="231F20"/>
          <w:spacing w:val="-3"/>
          <w:sz w:val="20"/>
        </w:rPr>
        <w:t xml:space="preserve">coronavirus (COVID-19) </w:t>
      </w:r>
      <w:r>
        <w:rPr>
          <w:color w:val="231F20"/>
          <w:sz w:val="20"/>
        </w:rPr>
        <w:t>lockdowns.</w:t>
      </w:r>
      <w:r>
        <w:rPr>
          <w:color w:val="231F20"/>
          <w:position w:val="7"/>
          <w:sz w:val="11"/>
        </w:rPr>
        <w:t>62</w:t>
      </w:r>
      <w:r>
        <w:rPr>
          <w:color w:val="231F20"/>
          <w:spacing w:val="11"/>
          <w:position w:val="7"/>
          <w:sz w:val="11"/>
        </w:rPr>
        <w:t xml:space="preserve"> </w:t>
      </w:r>
      <w:r>
        <w:rPr>
          <w:color w:val="231F20"/>
          <w:sz w:val="20"/>
        </w:rPr>
        <w:t>This</w:t>
      </w:r>
      <w:r>
        <w:rPr>
          <w:color w:val="231F20"/>
          <w:spacing w:val="-12"/>
          <w:sz w:val="20"/>
        </w:rPr>
        <w:t xml:space="preserve"> </w:t>
      </w:r>
      <w:r>
        <w:rPr>
          <w:color w:val="231F20"/>
          <w:sz w:val="20"/>
        </w:rPr>
        <w:t>affected</w:t>
      </w:r>
      <w:r>
        <w:rPr>
          <w:color w:val="231F20"/>
          <w:spacing w:val="-12"/>
          <w:sz w:val="20"/>
        </w:rPr>
        <w:t xml:space="preserve"> </w:t>
      </w:r>
      <w:r>
        <w:rPr>
          <w:color w:val="231F20"/>
          <w:spacing w:val="-3"/>
          <w:sz w:val="20"/>
        </w:rPr>
        <w:t>children</w:t>
      </w:r>
      <w:r>
        <w:rPr>
          <w:color w:val="231F20"/>
          <w:spacing w:val="-13"/>
          <w:sz w:val="20"/>
        </w:rPr>
        <w:t xml:space="preserve"> </w:t>
      </w:r>
      <w:r>
        <w:rPr>
          <w:color w:val="231F20"/>
          <w:sz w:val="20"/>
        </w:rPr>
        <w:t>and</w:t>
      </w:r>
      <w:r>
        <w:rPr>
          <w:color w:val="231F20"/>
          <w:spacing w:val="-12"/>
          <w:sz w:val="20"/>
        </w:rPr>
        <w:t xml:space="preserve"> </w:t>
      </w:r>
      <w:r>
        <w:rPr>
          <w:color w:val="231F20"/>
          <w:sz w:val="20"/>
        </w:rPr>
        <w:t>young</w:t>
      </w:r>
      <w:r>
        <w:rPr>
          <w:color w:val="231F20"/>
          <w:spacing w:val="-12"/>
          <w:sz w:val="20"/>
        </w:rPr>
        <w:t xml:space="preserve"> </w:t>
      </w:r>
      <w:r>
        <w:rPr>
          <w:color w:val="231F20"/>
          <w:sz w:val="20"/>
        </w:rPr>
        <w:t>people</w:t>
      </w:r>
      <w:r>
        <w:rPr>
          <w:color w:val="231F20"/>
          <w:spacing w:val="-12"/>
          <w:sz w:val="20"/>
        </w:rPr>
        <w:t xml:space="preserve"> </w:t>
      </w:r>
      <w:r>
        <w:rPr>
          <w:color w:val="231F20"/>
          <w:sz w:val="20"/>
        </w:rPr>
        <w:t>more</w:t>
      </w:r>
      <w:r>
        <w:rPr>
          <w:color w:val="231F20"/>
          <w:spacing w:val="-12"/>
          <w:sz w:val="20"/>
        </w:rPr>
        <w:t xml:space="preserve"> </w:t>
      </w:r>
      <w:r>
        <w:rPr>
          <w:color w:val="231F20"/>
          <w:sz w:val="20"/>
        </w:rPr>
        <w:t>than</w:t>
      </w:r>
      <w:r>
        <w:rPr>
          <w:color w:val="231F20"/>
          <w:spacing w:val="-13"/>
          <w:sz w:val="20"/>
        </w:rPr>
        <w:t xml:space="preserve"> </w:t>
      </w:r>
      <w:r>
        <w:rPr>
          <w:color w:val="231F20"/>
          <w:sz w:val="20"/>
        </w:rPr>
        <w:t>others</w:t>
      </w:r>
      <w:r>
        <w:rPr>
          <w:color w:val="231F20"/>
          <w:spacing w:val="-12"/>
          <w:sz w:val="20"/>
        </w:rPr>
        <w:t xml:space="preserve"> </w:t>
      </w:r>
      <w:r>
        <w:rPr>
          <w:color w:val="231F20"/>
          <w:sz w:val="20"/>
        </w:rPr>
        <w:t>because</w:t>
      </w:r>
      <w:r>
        <w:rPr>
          <w:color w:val="231F20"/>
          <w:spacing w:val="-12"/>
          <w:sz w:val="20"/>
        </w:rPr>
        <w:t xml:space="preserve"> </w:t>
      </w:r>
      <w:r>
        <w:rPr>
          <w:color w:val="231F20"/>
          <w:sz w:val="20"/>
        </w:rPr>
        <w:t xml:space="preserve">they </w:t>
      </w:r>
      <w:r>
        <w:rPr>
          <w:color w:val="231F20"/>
          <w:spacing w:val="-4"/>
          <w:sz w:val="20"/>
        </w:rPr>
        <w:t>were</w:t>
      </w:r>
      <w:r>
        <w:rPr>
          <w:color w:val="231F20"/>
          <w:spacing w:val="-6"/>
          <w:sz w:val="20"/>
        </w:rPr>
        <w:t xml:space="preserve"> </w:t>
      </w:r>
      <w:r>
        <w:rPr>
          <w:color w:val="231F20"/>
          <w:spacing w:val="-3"/>
          <w:sz w:val="20"/>
        </w:rPr>
        <w:t>relying</w:t>
      </w:r>
      <w:r>
        <w:rPr>
          <w:color w:val="231F20"/>
          <w:spacing w:val="-5"/>
          <w:sz w:val="20"/>
        </w:rPr>
        <w:t xml:space="preserve"> </w:t>
      </w:r>
      <w:r>
        <w:rPr>
          <w:color w:val="231F20"/>
          <w:sz w:val="20"/>
        </w:rPr>
        <w:t>on</w:t>
      </w:r>
      <w:r>
        <w:rPr>
          <w:color w:val="231F20"/>
          <w:spacing w:val="-6"/>
          <w:sz w:val="20"/>
        </w:rPr>
        <w:t xml:space="preserve"> </w:t>
      </w:r>
      <w:r>
        <w:rPr>
          <w:color w:val="231F20"/>
          <w:sz w:val="20"/>
        </w:rPr>
        <w:t>technology</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their</w:t>
      </w:r>
      <w:r>
        <w:rPr>
          <w:color w:val="231F20"/>
          <w:spacing w:val="-5"/>
          <w:sz w:val="20"/>
        </w:rPr>
        <w:t xml:space="preserve"> </w:t>
      </w:r>
      <w:r>
        <w:rPr>
          <w:color w:val="231F20"/>
          <w:sz w:val="20"/>
        </w:rPr>
        <w:t>education</w:t>
      </w:r>
      <w:r>
        <w:rPr>
          <w:color w:val="231F20"/>
          <w:spacing w:val="-5"/>
          <w:sz w:val="20"/>
        </w:rPr>
        <w:t xml:space="preserve"> </w:t>
      </w:r>
      <w:r>
        <w:rPr>
          <w:color w:val="231F20"/>
          <w:sz w:val="20"/>
        </w:rPr>
        <w:t>and</w:t>
      </w:r>
      <w:r>
        <w:rPr>
          <w:color w:val="231F20"/>
          <w:spacing w:val="-6"/>
          <w:sz w:val="20"/>
        </w:rPr>
        <w:t xml:space="preserve"> </w:t>
      </w:r>
      <w:r>
        <w:rPr>
          <w:color w:val="231F20"/>
          <w:sz w:val="20"/>
        </w:rPr>
        <w:t>social</w:t>
      </w:r>
      <w:r>
        <w:rPr>
          <w:color w:val="231F20"/>
          <w:spacing w:val="-6"/>
          <w:sz w:val="20"/>
        </w:rPr>
        <w:t xml:space="preserve"> </w:t>
      </w:r>
      <w:r>
        <w:rPr>
          <w:color w:val="231F20"/>
          <w:sz w:val="20"/>
        </w:rPr>
        <w:t>connection.</w:t>
      </w:r>
      <w:r>
        <w:rPr>
          <w:color w:val="231F20"/>
          <w:position w:val="7"/>
          <w:sz w:val="11"/>
        </w:rPr>
        <w:t>63</w:t>
      </w:r>
    </w:p>
    <w:p w14:paraId="6F0F373C" w14:textId="77777777" w:rsidR="00894070" w:rsidRDefault="00894070">
      <w:pPr>
        <w:pStyle w:val="BodyText"/>
        <w:spacing w:before="7"/>
        <w:rPr>
          <w:sz w:val="16"/>
        </w:rPr>
      </w:pPr>
    </w:p>
    <w:p w14:paraId="35C6DDBA" w14:textId="77777777" w:rsidR="00894070" w:rsidRDefault="009B7AFD">
      <w:pPr>
        <w:pStyle w:val="Heading7"/>
      </w:pPr>
      <w:r>
        <w:rPr>
          <w:color w:val="EA5B50"/>
        </w:rPr>
        <w:t>What</w:t>
      </w:r>
      <w:r>
        <w:rPr>
          <w:color w:val="EA5B50"/>
          <w:spacing w:val="-7"/>
        </w:rPr>
        <w:t xml:space="preserve"> </w:t>
      </w:r>
      <w:r>
        <w:rPr>
          <w:color w:val="EA5B50"/>
        </w:rPr>
        <w:t>are</w:t>
      </w:r>
      <w:r>
        <w:rPr>
          <w:color w:val="EA5B50"/>
          <w:spacing w:val="-7"/>
        </w:rPr>
        <w:t xml:space="preserve"> </w:t>
      </w:r>
      <w:r>
        <w:rPr>
          <w:color w:val="EA5B50"/>
        </w:rPr>
        <w:t>the</w:t>
      </w:r>
      <w:r>
        <w:rPr>
          <w:color w:val="EA5B50"/>
          <w:spacing w:val="-6"/>
        </w:rPr>
        <w:t xml:space="preserve"> </w:t>
      </w:r>
      <w:r>
        <w:rPr>
          <w:color w:val="EA5B50"/>
        </w:rPr>
        <w:t>legal</w:t>
      </w:r>
      <w:r>
        <w:rPr>
          <w:color w:val="EA5B50"/>
          <w:spacing w:val="-7"/>
        </w:rPr>
        <w:t xml:space="preserve"> </w:t>
      </w:r>
      <w:r>
        <w:rPr>
          <w:color w:val="EA5B50"/>
        </w:rPr>
        <w:t>and</w:t>
      </w:r>
      <w:r>
        <w:rPr>
          <w:color w:val="EA5B50"/>
          <w:spacing w:val="-6"/>
        </w:rPr>
        <w:t xml:space="preserve"> </w:t>
      </w:r>
      <w:r>
        <w:rPr>
          <w:color w:val="EA5B50"/>
        </w:rPr>
        <w:t>regulatory</w:t>
      </w:r>
      <w:r>
        <w:rPr>
          <w:color w:val="EA5B50"/>
          <w:spacing w:val="-7"/>
        </w:rPr>
        <w:t xml:space="preserve"> </w:t>
      </w:r>
      <w:r>
        <w:rPr>
          <w:color w:val="EA5B50"/>
        </w:rPr>
        <w:t>responses</w:t>
      </w:r>
      <w:r>
        <w:rPr>
          <w:color w:val="EA5B50"/>
          <w:spacing w:val="-7"/>
        </w:rPr>
        <w:t xml:space="preserve"> </w:t>
      </w:r>
      <w:r>
        <w:rPr>
          <w:color w:val="EA5B50"/>
        </w:rPr>
        <w:t>to</w:t>
      </w:r>
      <w:r>
        <w:rPr>
          <w:color w:val="EA5B50"/>
          <w:spacing w:val="-6"/>
        </w:rPr>
        <w:t xml:space="preserve"> </w:t>
      </w:r>
      <w:r>
        <w:rPr>
          <w:color w:val="EA5B50"/>
        </w:rPr>
        <w:t>cyberstalking?</w:t>
      </w:r>
    </w:p>
    <w:p w14:paraId="2934F5D3" w14:textId="77777777" w:rsidR="00894070" w:rsidRDefault="009B7AFD">
      <w:pPr>
        <w:pStyle w:val="ListParagraph"/>
        <w:numPr>
          <w:ilvl w:val="1"/>
          <w:numId w:val="161"/>
        </w:numPr>
        <w:tabs>
          <w:tab w:val="left" w:pos="1801"/>
          <w:tab w:val="left" w:pos="1802"/>
        </w:tabs>
        <w:spacing w:before="146" w:line="206" w:lineRule="auto"/>
        <w:ind w:right="1509"/>
        <w:rPr>
          <w:sz w:val="20"/>
        </w:rPr>
      </w:pPr>
      <w:r>
        <w:rPr>
          <w:color w:val="231F20"/>
          <w:sz w:val="20"/>
        </w:rPr>
        <w:t>The</w:t>
      </w:r>
      <w:r>
        <w:rPr>
          <w:color w:val="231F20"/>
          <w:spacing w:val="-11"/>
          <w:sz w:val="20"/>
        </w:rPr>
        <w:t xml:space="preserve"> </w:t>
      </w:r>
      <w:r>
        <w:rPr>
          <w:color w:val="231F20"/>
          <w:sz w:val="20"/>
        </w:rPr>
        <w:t>response</w:t>
      </w:r>
      <w:r>
        <w:rPr>
          <w:color w:val="231F20"/>
          <w:spacing w:val="-11"/>
          <w:sz w:val="20"/>
        </w:rPr>
        <w:t xml:space="preserve"> </w:t>
      </w:r>
      <w:r>
        <w:rPr>
          <w:color w:val="231F20"/>
          <w:sz w:val="20"/>
        </w:rPr>
        <w:t>to</w:t>
      </w:r>
      <w:r>
        <w:rPr>
          <w:color w:val="231F20"/>
          <w:spacing w:val="-10"/>
          <w:sz w:val="20"/>
        </w:rPr>
        <w:t xml:space="preserve"> </w:t>
      </w:r>
      <w:r>
        <w:rPr>
          <w:color w:val="231F20"/>
          <w:sz w:val="20"/>
        </w:rPr>
        <w:t>cyberstalking</w:t>
      </w:r>
      <w:r>
        <w:rPr>
          <w:color w:val="231F20"/>
          <w:spacing w:val="-11"/>
          <w:sz w:val="20"/>
        </w:rPr>
        <w:t xml:space="preserve"> </w:t>
      </w:r>
      <w:r>
        <w:rPr>
          <w:color w:val="231F20"/>
          <w:sz w:val="20"/>
        </w:rPr>
        <w:t>includes</w:t>
      </w:r>
      <w:r>
        <w:rPr>
          <w:color w:val="231F20"/>
          <w:spacing w:val="-11"/>
          <w:sz w:val="20"/>
        </w:rPr>
        <w:t xml:space="preserve"> </w:t>
      </w:r>
      <w:r>
        <w:rPr>
          <w:color w:val="231F20"/>
          <w:sz w:val="20"/>
        </w:rPr>
        <w:t>legal</w:t>
      </w:r>
      <w:r>
        <w:rPr>
          <w:color w:val="231F20"/>
          <w:spacing w:val="-10"/>
          <w:sz w:val="20"/>
        </w:rPr>
        <w:t xml:space="preserve"> </w:t>
      </w:r>
      <w:r>
        <w:rPr>
          <w:color w:val="231F20"/>
          <w:spacing w:val="-3"/>
          <w:sz w:val="20"/>
        </w:rPr>
        <w:t>avenues</w:t>
      </w:r>
      <w:r>
        <w:rPr>
          <w:color w:val="231F20"/>
          <w:spacing w:val="-11"/>
          <w:sz w:val="20"/>
        </w:rPr>
        <w:t xml:space="preserve"> </w:t>
      </w:r>
      <w:r>
        <w:rPr>
          <w:color w:val="231F20"/>
          <w:spacing w:val="-3"/>
          <w:sz w:val="20"/>
        </w:rPr>
        <w:t>through</w:t>
      </w:r>
      <w:r>
        <w:rPr>
          <w:color w:val="231F20"/>
          <w:spacing w:val="-10"/>
          <w:sz w:val="20"/>
        </w:rPr>
        <w:t xml:space="preserve"> </w:t>
      </w:r>
      <w:r>
        <w:rPr>
          <w:color w:val="231F20"/>
          <w:sz w:val="20"/>
        </w:rPr>
        <w:t>criminal</w:t>
      </w:r>
      <w:r>
        <w:rPr>
          <w:color w:val="231F20"/>
          <w:spacing w:val="-11"/>
          <w:sz w:val="20"/>
        </w:rPr>
        <w:t xml:space="preserve"> </w:t>
      </w:r>
      <w:r>
        <w:rPr>
          <w:color w:val="231F20"/>
          <w:sz w:val="20"/>
        </w:rPr>
        <w:t>and</w:t>
      </w:r>
      <w:r>
        <w:rPr>
          <w:color w:val="231F20"/>
          <w:spacing w:val="-11"/>
          <w:sz w:val="20"/>
        </w:rPr>
        <w:t xml:space="preserve"> </w:t>
      </w:r>
      <w:r>
        <w:rPr>
          <w:color w:val="231F20"/>
          <w:sz w:val="20"/>
        </w:rPr>
        <w:t>civil</w:t>
      </w:r>
      <w:r>
        <w:rPr>
          <w:color w:val="231F20"/>
          <w:spacing w:val="-10"/>
          <w:sz w:val="20"/>
        </w:rPr>
        <w:t xml:space="preserve"> </w:t>
      </w:r>
      <w:r>
        <w:rPr>
          <w:color w:val="231F20"/>
          <w:sz w:val="20"/>
        </w:rPr>
        <w:t xml:space="preserve">law and a regulatory response </w:t>
      </w:r>
      <w:r>
        <w:rPr>
          <w:color w:val="231F20"/>
          <w:spacing w:val="-3"/>
          <w:sz w:val="20"/>
        </w:rPr>
        <w:t xml:space="preserve">through </w:t>
      </w:r>
      <w:proofErr w:type="spellStart"/>
      <w:r>
        <w:rPr>
          <w:color w:val="231F20"/>
          <w:sz w:val="20"/>
        </w:rPr>
        <w:t>eSafety</w:t>
      </w:r>
      <w:proofErr w:type="spellEnd"/>
      <w:r>
        <w:rPr>
          <w:color w:val="231F20"/>
          <w:sz w:val="20"/>
        </w:rPr>
        <w:t xml:space="preserve"> (see </w:t>
      </w:r>
      <w:r>
        <w:rPr>
          <w:color w:val="231F20"/>
          <w:spacing w:val="-6"/>
          <w:sz w:val="20"/>
        </w:rPr>
        <w:t>Table</w:t>
      </w:r>
      <w:r>
        <w:rPr>
          <w:color w:val="231F20"/>
          <w:spacing w:val="-34"/>
          <w:sz w:val="20"/>
        </w:rPr>
        <w:t xml:space="preserve"> </w:t>
      </w:r>
      <w:r>
        <w:rPr>
          <w:color w:val="231F20"/>
          <w:spacing w:val="-4"/>
          <w:sz w:val="20"/>
        </w:rPr>
        <w:t>6).</w:t>
      </w:r>
    </w:p>
    <w:p w14:paraId="6FC75D8A" w14:textId="77777777" w:rsidR="00894070" w:rsidRDefault="009B7AFD">
      <w:pPr>
        <w:spacing w:before="102"/>
        <w:ind w:left="1801"/>
        <w:rPr>
          <w:b/>
          <w:sz w:val="19"/>
        </w:rPr>
      </w:pPr>
      <w:r>
        <w:rPr>
          <w:b/>
          <w:color w:val="231F20"/>
          <w:sz w:val="19"/>
        </w:rPr>
        <w:t>Table 6: Examples of legal and regulatory responses to cyberstalking</w:t>
      </w:r>
    </w:p>
    <w:p w14:paraId="4E5C78AF" w14:textId="77777777" w:rsidR="00894070" w:rsidRDefault="00894070">
      <w:pPr>
        <w:pStyle w:val="BodyText"/>
        <w:spacing w:before="2"/>
        <w:rPr>
          <w:b/>
          <w:sz w:val="11"/>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5953"/>
        <w:gridCol w:w="1974"/>
      </w:tblGrid>
      <w:tr w:rsidR="00894070" w14:paraId="28BCCDD2" w14:textId="77777777">
        <w:trPr>
          <w:trHeight w:val="518"/>
        </w:trPr>
        <w:tc>
          <w:tcPr>
            <w:tcW w:w="5953" w:type="dxa"/>
            <w:shd w:val="clear" w:color="auto" w:fill="F4BCAE"/>
          </w:tcPr>
          <w:p w14:paraId="4C8EADA9" w14:textId="77777777" w:rsidR="00894070" w:rsidRDefault="009B7AFD">
            <w:pPr>
              <w:pStyle w:val="TableParagraph"/>
              <w:spacing w:before="122"/>
              <w:rPr>
                <w:b/>
                <w:sz w:val="20"/>
              </w:rPr>
            </w:pPr>
            <w:r>
              <w:rPr>
                <w:b/>
                <w:color w:val="231F20"/>
                <w:sz w:val="20"/>
              </w:rPr>
              <w:t>Legal or regulatory response</w:t>
            </w:r>
          </w:p>
        </w:tc>
        <w:tc>
          <w:tcPr>
            <w:tcW w:w="1974" w:type="dxa"/>
            <w:shd w:val="clear" w:color="auto" w:fill="F4BCAE"/>
          </w:tcPr>
          <w:p w14:paraId="18A90F4D" w14:textId="77777777" w:rsidR="00894070" w:rsidRDefault="009B7AFD">
            <w:pPr>
              <w:pStyle w:val="TableParagraph"/>
              <w:spacing w:before="122"/>
              <w:rPr>
                <w:b/>
                <w:sz w:val="20"/>
              </w:rPr>
            </w:pPr>
            <w:r>
              <w:rPr>
                <w:b/>
                <w:color w:val="231F20"/>
                <w:sz w:val="20"/>
              </w:rPr>
              <w:t>Jurisdiction</w:t>
            </w:r>
          </w:p>
        </w:tc>
      </w:tr>
      <w:tr w:rsidR="00894070" w14:paraId="6B5A5567" w14:textId="77777777">
        <w:trPr>
          <w:trHeight w:val="884"/>
        </w:trPr>
        <w:tc>
          <w:tcPr>
            <w:tcW w:w="5953" w:type="dxa"/>
          </w:tcPr>
          <w:p w14:paraId="6E30CAC0" w14:textId="77777777" w:rsidR="00894070" w:rsidRDefault="009B7AFD">
            <w:pPr>
              <w:pStyle w:val="TableParagraph"/>
              <w:spacing w:before="98" w:line="206" w:lineRule="auto"/>
              <w:ind w:right="55"/>
              <w:rPr>
                <w:sz w:val="11"/>
              </w:rPr>
            </w:pPr>
            <w:r>
              <w:rPr>
                <w:color w:val="231F20"/>
                <w:sz w:val="20"/>
              </w:rPr>
              <w:t xml:space="preserve">Offence to use listening, optical surveillance and tracking devices without the consent of the person who is being tracked under the </w:t>
            </w:r>
            <w:r>
              <w:rPr>
                <w:i/>
                <w:color w:val="231F20"/>
                <w:sz w:val="20"/>
              </w:rPr>
              <w:t xml:space="preserve">Surveillance Devices Act 1999 </w:t>
            </w:r>
            <w:r>
              <w:rPr>
                <w:color w:val="231F20"/>
                <w:sz w:val="20"/>
              </w:rPr>
              <w:t>(Vic).</w:t>
            </w:r>
            <w:r>
              <w:rPr>
                <w:color w:val="231F20"/>
                <w:position w:val="7"/>
                <w:sz w:val="11"/>
              </w:rPr>
              <w:t>64</w:t>
            </w:r>
          </w:p>
        </w:tc>
        <w:tc>
          <w:tcPr>
            <w:tcW w:w="1974" w:type="dxa"/>
          </w:tcPr>
          <w:p w14:paraId="60DF234E" w14:textId="77777777" w:rsidR="00894070" w:rsidRDefault="009B7AFD">
            <w:pPr>
              <w:pStyle w:val="TableParagraph"/>
              <w:spacing w:before="65"/>
              <w:rPr>
                <w:sz w:val="20"/>
              </w:rPr>
            </w:pPr>
            <w:r>
              <w:rPr>
                <w:color w:val="231F20"/>
                <w:sz w:val="20"/>
              </w:rPr>
              <w:t>Victoria (Criminal)</w:t>
            </w:r>
          </w:p>
        </w:tc>
      </w:tr>
      <w:tr w:rsidR="00894070" w14:paraId="06FFC512" w14:textId="77777777">
        <w:trPr>
          <w:trHeight w:val="644"/>
        </w:trPr>
        <w:tc>
          <w:tcPr>
            <w:tcW w:w="5953" w:type="dxa"/>
          </w:tcPr>
          <w:p w14:paraId="038B4A1B" w14:textId="77777777" w:rsidR="00894070" w:rsidRDefault="009B7AFD">
            <w:pPr>
              <w:pStyle w:val="TableParagraph"/>
              <w:spacing w:before="65" w:line="259" w:lineRule="exact"/>
              <w:rPr>
                <w:sz w:val="20"/>
              </w:rPr>
            </w:pPr>
            <w:r>
              <w:rPr>
                <w:color w:val="231F20"/>
                <w:sz w:val="20"/>
              </w:rPr>
              <w:t>Offences related to intimate image-based abuse under the</w:t>
            </w:r>
          </w:p>
          <w:p w14:paraId="11A6A0B0" w14:textId="77777777" w:rsidR="00894070" w:rsidRDefault="009B7AFD">
            <w:pPr>
              <w:pStyle w:val="TableParagraph"/>
              <w:spacing w:line="259" w:lineRule="exact"/>
              <w:rPr>
                <w:sz w:val="11"/>
              </w:rPr>
            </w:pPr>
            <w:r>
              <w:rPr>
                <w:i/>
                <w:color w:val="231F20"/>
                <w:sz w:val="20"/>
              </w:rPr>
              <w:t xml:space="preserve">Summary Offences Act 1966 </w:t>
            </w:r>
            <w:r>
              <w:rPr>
                <w:color w:val="231F20"/>
                <w:sz w:val="20"/>
              </w:rPr>
              <w:t>(Vic).</w:t>
            </w:r>
            <w:r>
              <w:rPr>
                <w:color w:val="231F20"/>
                <w:position w:val="7"/>
                <w:sz w:val="11"/>
              </w:rPr>
              <w:t>65</w:t>
            </w:r>
          </w:p>
        </w:tc>
        <w:tc>
          <w:tcPr>
            <w:tcW w:w="1974" w:type="dxa"/>
          </w:tcPr>
          <w:p w14:paraId="406F403A" w14:textId="77777777" w:rsidR="00894070" w:rsidRDefault="009B7AFD">
            <w:pPr>
              <w:pStyle w:val="TableParagraph"/>
              <w:spacing w:before="65"/>
              <w:rPr>
                <w:sz w:val="20"/>
              </w:rPr>
            </w:pPr>
            <w:r>
              <w:rPr>
                <w:color w:val="231F20"/>
                <w:sz w:val="20"/>
              </w:rPr>
              <w:t>Victoria (Criminal)</w:t>
            </w:r>
          </w:p>
        </w:tc>
      </w:tr>
      <w:tr w:rsidR="00894070" w14:paraId="787CCA55" w14:textId="77777777">
        <w:trPr>
          <w:trHeight w:val="1124"/>
        </w:trPr>
        <w:tc>
          <w:tcPr>
            <w:tcW w:w="5953" w:type="dxa"/>
          </w:tcPr>
          <w:p w14:paraId="1D37E868" w14:textId="77777777" w:rsidR="00894070" w:rsidRDefault="009B7AFD">
            <w:pPr>
              <w:pStyle w:val="TableParagraph"/>
              <w:spacing w:before="98" w:line="206" w:lineRule="auto"/>
              <w:ind w:right="55"/>
              <w:rPr>
                <w:sz w:val="20"/>
              </w:rPr>
            </w:pPr>
            <w:r>
              <w:rPr>
                <w:color w:val="231F20"/>
                <w:sz w:val="20"/>
              </w:rPr>
              <w:t xml:space="preserve">Personal safety intervention orders (PSIOs) can include conditions to stop the respondent from cyberstalking under the </w:t>
            </w:r>
            <w:r>
              <w:rPr>
                <w:i/>
                <w:color w:val="231F20"/>
                <w:sz w:val="20"/>
              </w:rPr>
              <w:t xml:space="preserve">Personal Safety Intervention Orders Act 2010 </w:t>
            </w:r>
            <w:r>
              <w:rPr>
                <w:color w:val="231F20"/>
                <w:sz w:val="20"/>
              </w:rPr>
              <w:t>(Vic). PSIOs are discussed in more detail in Chapter 6.</w:t>
            </w:r>
          </w:p>
        </w:tc>
        <w:tc>
          <w:tcPr>
            <w:tcW w:w="1974" w:type="dxa"/>
          </w:tcPr>
          <w:p w14:paraId="04DB9F59" w14:textId="77777777" w:rsidR="00894070" w:rsidRDefault="009B7AFD">
            <w:pPr>
              <w:pStyle w:val="TableParagraph"/>
              <w:spacing w:before="65"/>
              <w:rPr>
                <w:sz w:val="20"/>
              </w:rPr>
            </w:pPr>
            <w:r>
              <w:rPr>
                <w:color w:val="231F20"/>
                <w:sz w:val="20"/>
              </w:rPr>
              <w:t>Victoria (Civil)</w:t>
            </w:r>
          </w:p>
        </w:tc>
      </w:tr>
      <w:tr w:rsidR="00894070" w14:paraId="46687CD3" w14:textId="77777777">
        <w:trPr>
          <w:trHeight w:val="884"/>
        </w:trPr>
        <w:tc>
          <w:tcPr>
            <w:tcW w:w="5953" w:type="dxa"/>
          </w:tcPr>
          <w:p w14:paraId="666B1723" w14:textId="77777777" w:rsidR="00894070" w:rsidRDefault="009B7AFD">
            <w:pPr>
              <w:pStyle w:val="TableParagraph"/>
              <w:spacing w:before="98" w:line="206" w:lineRule="auto"/>
              <w:rPr>
                <w:sz w:val="11"/>
              </w:rPr>
            </w:pPr>
            <w:r>
              <w:rPr>
                <w:color w:val="231F20"/>
                <w:sz w:val="20"/>
              </w:rPr>
              <w:t xml:space="preserve">Offence to use a carriage service to menace, harass or cause offence, or to make threats to kill or harm under the </w:t>
            </w:r>
            <w:r>
              <w:rPr>
                <w:i/>
                <w:color w:val="231F20"/>
                <w:sz w:val="20"/>
              </w:rPr>
              <w:t xml:space="preserve">Criminal Code Act 1995 </w:t>
            </w:r>
            <w:r>
              <w:rPr>
                <w:color w:val="231F20"/>
                <w:sz w:val="20"/>
              </w:rPr>
              <w:t>(</w:t>
            </w:r>
            <w:proofErr w:type="spellStart"/>
            <w:r>
              <w:rPr>
                <w:color w:val="231F20"/>
                <w:sz w:val="20"/>
              </w:rPr>
              <w:t>Cth</w:t>
            </w:r>
            <w:proofErr w:type="spellEnd"/>
            <w:r>
              <w:rPr>
                <w:color w:val="231F20"/>
                <w:sz w:val="20"/>
              </w:rPr>
              <w:t>).</w:t>
            </w:r>
            <w:r>
              <w:rPr>
                <w:color w:val="231F20"/>
                <w:position w:val="7"/>
                <w:sz w:val="11"/>
              </w:rPr>
              <w:t>66</w:t>
            </w:r>
          </w:p>
        </w:tc>
        <w:tc>
          <w:tcPr>
            <w:tcW w:w="1974" w:type="dxa"/>
          </w:tcPr>
          <w:p w14:paraId="35638816" w14:textId="77777777" w:rsidR="00894070" w:rsidRDefault="009B7AFD">
            <w:pPr>
              <w:pStyle w:val="TableParagraph"/>
              <w:spacing w:before="65"/>
              <w:rPr>
                <w:sz w:val="20"/>
              </w:rPr>
            </w:pPr>
            <w:r>
              <w:rPr>
                <w:color w:val="231F20"/>
                <w:sz w:val="20"/>
              </w:rPr>
              <w:t>Federal (Criminal)</w:t>
            </w:r>
          </w:p>
        </w:tc>
      </w:tr>
      <w:tr w:rsidR="00894070" w14:paraId="6941D3D4" w14:textId="77777777">
        <w:trPr>
          <w:trHeight w:val="644"/>
        </w:trPr>
        <w:tc>
          <w:tcPr>
            <w:tcW w:w="5953" w:type="dxa"/>
          </w:tcPr>
          <w:p w14:paraId="31897369" w14:textId="77777777" w:rsidR="00894070" w:rsidRDefault="009B7AFD">
            <w:pPr>
              <w:pStyle w:val="TableParagraph"/>
              <w:spacing w:before="65" w:line="259" w:lineRule="exact"/>
              <w:rPr>
                <w:sz w:val="20"/>
              </w:rPr>
            </w:pPr>
            <w:r>
              <w:rPr>
                <w:color w:val="231F20"/>
                <w:sz w:val="20"/>
              </w:rPr>
              <w:t>Offence to intercept telecommunications under the</w:t>
            </w:r>
          </w:p>
          <w:p w14:paraId="011D44F0" w14:textId="77777777" w:rsidR="00894070" w:rsidRDefault="009B7AFD">
            <w:pPr>
              <w:pStyle w:val="TableParagraph"/>
              <w:spacing w:line="259" w:lineRule="exact"/>
              <w:rPr>
                <w:sz w:val="11"/>
              </w:rPr>
            </w:pPr>
            <w:r>
              <w:rPr>
                <w:i/>
                <w:color w:val="231F20"/>
                <w:sz w:val="20"/>
              </w:rPr>
              <w:t xml:space="preserve">Telecommunications (Interception and Access) Act 1979 </w:t>
            </w:r>
            <w:r>
              <w:rPr>
                <w:color w:val="231F20"/>
                <w:sz w:val="20"/>
              </w:rPr>
              <w:t>(</w:t>
            </w:r>
            <w:proofErr w:type="spellStart"/>
            <w:r>
              <w:rPr>
                <w:color w:val="231F20"/>
                <w:sz w:val="20"/>
              </w:rPr>
              <w:t>Cth</w:t>
            </w:r>
            <w:proofErr w:type="spellEnd"/>
            <w:r>
              <w:rPr>
                <w:color w:val="231F20"/>
                <w:sz w:val="20"/>
              </w:rPr>
              <w:t>).</w:t>
            </w:r>
            <w:r>
              <w:rPr>
                <w:color w:val="231F20"/>
                <w:position w:val="7"/>
                <w:sz w:val="11"/>
              </w:rPr>
              <w:t>67</w:t>
            </w:r>
          </w:p>
        </w:tc>
        <w:tc>
          <w:tcPr>
            <w:tcW w:w="1974" w:type="dxa"/>
          </w:tcPr>
          <w:p w14:paraId="5AEA4ABB" w14:textId="77777777" w:rsidR="00894070" w:rsidRDefault="009B7AFD">
            <w:pPr>
              <w:pStyle w:val="TableParagraph"/>
              <w:spacing w:before="65"/>
              <w:rPr>
                <w:sz w:val="20"/>
              </w:rPr>
            </w:pPr>
            <w:r>
              <w:rPr>
                <w:color w:val="231F20"/>
                <w:sz w:val="20"/>
              </w:rPr>
              <w:t>Federal (Criminal)</w:t>
            </w:r>
          </w:p>
        </w:tc>
      </w:tr>
    </w:tbl>
    <w:p w14:paraId="1D6866E7" w14:textId="77777777" w:rsidR="00894070" w:rsidRDefault="00894070">
      <w:pPr>
        <w:pStyle w:val="BodyText"/>
        <w:rPr>
          <w:b/>
        </w:rPr>
      </w:pPr>
    </w:p>
    <w:p w14:paraId="49405B33" w14:textId="77777777" w:rsidR="00894070" w:rsidRDefault="00894070">
      <w:pPr>
        <w:pStyle w:val="BodyText"/>
        <w:rPr>
          <w:b/>
        </w:rPr>
      </w:pPr>
    </w:p>
    <w:p w14:paraId="44F77E9B" w14:textId="77777777" w:rsidR="00894070" w:rsidRDefault="00894070">
      <w:pPr>
        <w:pStyle w:val="BodyText"/>
        <w:rPr>
          <w:b/>
        </w:rPr>
      </w:pPr>
    </w:p>
    <w:p w14:paraId="65C0DA4C" w14:textId="77777777" w:rsidR="00894070" w:rsidRDefault="009F6793">
      <w:pPr>
        <w:pStyle w:val="BodyText"/>
        <w:spacing w:before="7"/>
        <w:rPr>
          <w:b/>
        </w:rPr>
      </w:pPr>
      <w:r>
        <w:pict w14:anchorId="2158236D">
          <v:line id="_x0000_s1586" style="position:absolute;z-index:251486208;mso-wrap-distance-left:0;mso-wrap-distance-right:0;mso-position-horizontal-relative:page" from="79.35pt,16.7pt" to="515.9pt,16.7pt" strokecolor="#f8cabc" strokeweight="1pt">
            <w10:wrap type="topAndBottom" anchorx="page"/>
          </v:line>
        </w:pict>
      </w:r>
    </w:p>
    <w:p w14:paraId="32837538" w14:textId="77777777" w:rsidR="00894070" w:rsidRDefault="009B7AFD">
      <w:pPr>
        <w:pStyle w:val="ListParagraph"/>
        <w:numPr>
          <w:ilvl w:val="0"/>
          <w:numId w:val="156"/>
        </w:numPr>
        <w:tabs>
          <w:tab w:val="left" w:pos="1801"/>
          <w:tab w:val="left" w:pos="1802"/>
        </w:tabs>
        <w:spacing w:before="107" w:line="213" w:lineRule="auto"/>
        <w:ind w:right="1335"/>
        <w:rPr>
          <w:sz w:val="13"/>
        </w:rPr>
      </w:pPr>
      <w:r>
        <w:rPr>
          <w:color w:val="231F20"/>
          <w:sz w:val="13"/>
        </w:rPr>
        <w:t xml:space="preserve">Consultations 4 (Sexual </w:t>
      </w:r>
      <w:r>
        <w:rPr>
          <w:color w:val="231F20"/>
          <w:spacing w:val="2"/>
          <w:sz w:val="13"/>
        </w:rPr>
        <w:t xml:space="preserve">Assault Services </w:t>
      </w:r>
      <w:r>
        <w:rPr>
          <w:color w:val="231F20"/>
          <w:sz w:val="13"/>
        </w:rPr>
        <w:t>Network), 20 (Law Institute of Victoria), 27 (</w:t>
      </w:r>
      <w:proofErr w:type="spellStart"/>
      <w:r>
        <w:rPr>
          <w:color w:val="231F20"/>
          <w:sz w:val="13"/>
        </w:rPr>
        <w:t>Kulturbrille</w:t>
      </w:r>
      <w:proofErr w:type="spellEnd"/>
      <w:r>
        <w:rPr>
          <w:color w:val="231F20"/>
          <w:sz w:val="13"/>
        </w:rPr>
        <w:t xml:space="preserve">); </w:t>
      </w: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 xml:space="preserve">Support Services </w:t>
      </w:r>
      <w:r>
        <w:rPr>
          <w:i/>
          <w:color w:val="231F20"/>
          <w:sz w:val="13"/>
        </w:rPr>
        <w:t xml:space="preserve">Stakeholders </w:t>
      </w:r>
      <w:r>
        <w:rPr>
          <w:color w:val="231F20"/>
          <w:sz w:val="13"/>
        </w:rPr>
        <w:t xml:space="preserve">(Research </w:t>
      </w:r>
      <w:r>
        <w:rPr>
          <w:color w:val="231F20"/>
          <w:spacing w:val="2"/>
          <w:sz w:val="13"/>
        </w:rPr>
        <w:t xml:space="preserve">Report </w:t>
      </w:r>
      <w:r>
        <w:rPr>
          <w:color w:val="231F20"/>
          <w:sz w:val="13"/>
        </w:rPr>
        <w:t xml:space="preserve">No 2, ANROWS, July 2021) 10–11; Puneet Kaur et </w:t>
      </w:r>
      <w:r>
        <w:rPr>
          <w:color w:val="231F20"/>
          <w:spacing w:val="2"/>
          <w:sz w:val="13"/>
        </w:rPr>
        <w:t xml:space="preserve">al, </w:t>
      </w:r>
      <w:r>
        <w:rPr>
          <w:color w:val="231F20"/>
          <w:spacing w:val="-4"/>
          <w:sz w:val="13"/>
        </w:rPr>
        <w:t xml:space="preserve">‘A </w:t>
      </w:r>
      <w:r>
        <w:rPr>
          <w:color w:val="231F20"/>
          <w:sz w:val="13"/>
        </w:rPr>
        <w:t xml:space="preserve">Systematic Literature Review on </w:t>
      </w:r>
      <w:r>
        <w:rPr>
          <w:color w:val="231F20"/>
          <w:spacing w:val="2"/>
          <w:sz w:val="13"/>
        </w:rPr>
        <w:t xml:space="preserve">Cyberstalking. </w:t>
      </w:r>
      <w:r>
        <w:rPr>
          <w:color w:val="231F20"/>
          <w:sz w:val="13"/>
        </w:rPr>
        <w:t>An Analysis of Past Achievements and Future</w:t>
      </w:r>
      <w:r>
        <w:rPr>
          <w:color w:val="231F20"/>
          <w:spacing w:val="6"/>
          <w:sz w:val="13"/>
        </w:rPr>
        <w:t xml:space="preserve"> </w:t>
      </w:r>
      <w:r>
        <w:rPr>
          <w:color w:val="231F20"/>
          <w:sz w:val="13"/>
        </w:rPr>
        <w:t>Promises’</w:t>
      </w:r>
      <w:r>
        <w:rPr>
          <w:color w:val="231F20"/>
          <w:spacing w:val="6"/>
          <w:sz w:val="13"/>
        </w:rPr>
        <w:t xml:space="preserve"> </w:t>
      </w:r>
      <w:r>
        <w:rPr>
          <w:color w:val="231F20"/>
          <w:sz w:val="13"/>
        </w:rPr>
        <w:t>(2021)</w:t>
      </w:r>
      <w:r>
        <w:rPr>
          <w:color w:val="231F20"/>
          <w:spacing w:val="6"/>
          <w:sz w:val="13"/>
        </w:rPr>
        <w:t xml:space="preserve"> </w:t>
      </w:r>
      <w:r>
        <w:rPr>
          <w:color w:val="231F20"/>
          <w:sz w:val="13"/>
        </w:rPr>
        <w:t>163</w:t>
      </w:r>
      <w:r>
        <w:rPr>
          <w:color w:val="231F20"/>
          <w:spacing w:val="6"/>
          <w:sz w:val="13"/>
        </w:rPr>
        <w:t xml:space="preserve"> </w:t>
      </w:r>
      <w:r>
        <w:rPr>
          <w:i/>
          <w:color w:val="231F20"/>
          <w:sz w:val="13"/>
        </w:rPr>
        <w:t>Technological</w:t>
      </w:r>
      <w:r>
        <w:rPr>
          <w:i/>
          <w:color w:val="231F20"/>
          <w:spacing w:val="5"/>
          <w:sz w:val="13"/>
        </w:rPr>
        <w:t xml:space="preserve"> </w:t>
      </w:r>
      <w:r>
        <w:rPr>
          <w:i/>
          <w:color w:val="231F20"/>
          <w:sz w:val="13"/>
        </w:rPr>
        <w:t>Forecasting</w:t>
      </w:r>
      <w:r>
        <w:rPr>
          <w:i/>
          <w:color w:val="231F20"/>
          <w:spacing w:val="6"/>
          <w:sz w:val="13"/>
        </w:rPr>
        <w:t xml:space="preserve"> </w:t>
      </w:r>
      <w:r>
        <w:rPr>
          <w:i/>
          <w:color w:val="231F20"/>
          <w:sz w:val="13"/>
        </w:rPr>
        <w:t>and</w:t>
      </w:r>
      <w:r>
        <w:rPr>
          <w:i/>
          <w:color w:val="231F20"/>
          <w:spacing w:val="7"/>
          <w:sz w:val="13"/>
        </w:rPr>
        <w:t xml:space="preserve"> </w:t>
      </w:r>
      <w:r>
        <w:rPr>
          <w:i/>
          <w:color w:val="231F20"/>
          <w:sz w:val="13"/>
        </w:rPr>
        <w:t>Social</w:t>
      </w:r>
      <w:r>
        <w:rPr>
          <w:i/>
          <w:color w:val="231F20"/>
          <w:spacing w:val="6"/>
          <w:sz w:val="13"/>
        </w:rPr>
        <w:t xml:space="preserve"> </w:t>
      </w:r>
      <w:r>
        <w:rPr>
          <w:i/>
          <w:color w:val="231F20"/>
          <w:sz w:val="13"/>
        </w:rPr>
        <w:t>Change</w:t>
      </w:r>
      <w:r>
        <w:rPr>
          <w:i/>
          <w:color w:val="231F20"/>
          <w:spacing w:val="6"/>
          <w:sz w:val="13"/>
        </w:rPr>
        <w:t xml:space="preserve"> </w:t>
      </w:r>
      <w:r>
        <w:rPr>
          <w:color w:val="231F20"/>
          <w:sz w:val="13"/>
        </w:rPr>
        <w:t>120426:1–15,</w:t>
      </w:r>
      <w:r>
        <w:rPr>
          <w:color w:val="231F20"/>
          <w:spacing w:val="6"/>
          <w:sz w:val="13"/>
        </w:rPr>
        <w:t xml:space="preserve"> </w:t>
      </w:r>
      <w:r>
        <w:rPr>
          <w:color w:val="231F20"/>
          <w:sz w:val="13"/>
        </w:rPr>
        <w:t>8–10;</w:t>
      </w:r>
      <w:r>
        <w:rPr>
          <w:color w:val="231F20"/>
          <w:spacing w:val="6"/>
          <w:sz w:val="13"/>
        </w:rPr>
        <w:t xml:space="preserve"> </w:t>
      </w:r>
      <w:r>
        <w:rPr>
          <w:color w:val="231F20"/>
          <w:spacing w:val="2"/>
          <w:sz w:val="13"/>
        </w:rPr>
        <w:t>Catherine</w:t>
      </w:r>
      <w:r>
        <w:rPr>
          <w:color w:val="231F20"/>
          <w:spacing w:val="6"/>
          <w:sz w:val="13"/>
        </w:rPr>
        <w:t xml:space="preserve"> </w:t>
      </w:r>
      <w:r>
        <w:rPr>
          <w:color w:val="231F20"/>
          <w:sz w:val="13"/>
        </w:rPr>
        <w:t>D</w:t>
      </w:r>
      <w:r>
        <w:rPr>
          <w:color w:val="231F20"/>
          <w:spacing w:val="7"/>
          <w:sz w:val="13"/>
        </w:rPr>
        <w:t xml:space="preserve"> </w:t>
      </w:r>
      <w:r>
        <w:rPr>
          <w:color w:val="231F20"/>
          <w:sz w:val="13"/>
        </w:rPr>
        <w:t>Marcum</w:t>
      </w:r>
      <w:r>
        <w:rPr>
          <w:color w:val="231F20"/>
          <w:spacing w:val="6"/>
          <w:sz w:val="13"/>
        </w:rPr>
        <w:t xml:space="preserve"> </w:t>
      </w:r>
      <w:r>
        <w:rPr>
          <w:color w:val="231F20"/>
          <w:sz w:val="13"/>
        </w:rPr>
        <w:t>and</w:t>
      </w:r>
      <w:r>
        <w:rPr>
          <w:color w:val="231F20"/>
          <w:spacing w:val="6"/>
          <w:sz w:val="13"/>
        </w:rPr>
        <w:t xml:space="preserve"> </w:t>
      </w:r>
      <w:r>
        <w:rPr>
          <w:color w:val="231F20"/>
          <w:sz w:val="13"/>
        </w:rPr>
        <w:t>George</w:t>
      </w:r>
    </w:p>
    <w:p w14:paraId="7834B67D" w14:textId="77777777" w:rsidR="00894070" w:rsidRDefault="009B7AFD">
      <w:pPr>
        <w:spacing w:line="213" w:lineRule="auto"/>
        <w:ind w:left="1801" w:right="1459"/>
        <w:rPr>
          <w:sz w:val="13"/>
        </w:rPr>
      </w:pPr>
      <w:r>
        <w:rPr>
          <w:color w:val="231F20"/>
          <w:sz w:val="13"/>
        </w:rPr>
        <w:t xml:space="preserve">E Higgins, ‘A Systematic Review of Cyberstalking Victimization and Offending Behaviors’ (2021) 46(6) </w:t>
      </w:r>
      <w:r>
        <w:rPr>
          <w:i/>
          <w:color w:val="231F20"/>
          <w:sz w:val="13"/>
        </w:rPr>
        <w:t xml:space="preserve">American Journal of Criminal Justice </w:t>
      </w:r>
      <w:r>
        <w:rPr>
          <w:color w:val="231F20"/>
          <w:sz w:val="13"/>
        </w:rPr>
        <w:t xml:space="preserve">882, 905–6; Chanelle Wilson, Lorraine </w:t>
      </w:r>
      <w:proofErr w:type="gramStart"/>
      <w:r>
        <w:rPr>
          <w:color w:val="231F20"/>
          <w:sz w:val="13"/>
        </w:rPr>
        <w:t>Sheridan</w:t>
      </w:r>
      <w:proofErr w:type="gramEnd"/>
      <w:r>
        <w:rPr>
          <w:color w:val="231F20"/>
          <w:sz w:val="13"/>
        </w:rPr>
        <w:t xml:space="preserve"> and David Garratt-Reed, ‘What Is Cyberstalking? A Review of Measurements’ (2022) 37(11–12) </w:t>
      </w:r>
      <w:r>
        <w:rPr>
          <w:i/>
          <w:color w:val="231F20"/>
          <w:sz w:val="13"/>
        </w:rPr>
        <w:t xml:space="preserve">Journal of Interpersonal Violence </w:t>
      </w:r>
      <w:r>
        <w:rPr>
          <w:color w:val="231F20"/>
          <w:sz w:val="13"/>
        </w:rPr>
        <w:t>NP9763, NP9764.</w:t>
      </w:r>
    </w:p>
    <w:p w14:paraId="1949CEC0" w14:textId="77777777" w:rsidR="00894070" w:rsidRDefault="009B7AFD">
      <w:pPr>
        <w:pStyle w:val="ListParagraph"/>
        <w:numPr>
          <w:ilvl w:val="0"/>
          <w:numId w:val="156"/>
        </w:numPr>
        <w:tabs>
          <w:tab w:val="left" w:pos="1801"/>
          <w:tab w:val="left" w:pos="1802"/>
        </w:tabs>
        <w:spacing w:line="152" w:lineRule="exact"/>
        <w:rPr>
          <w:sz w:val="13"/>
        </w:rPr>
      </w:pPr>
      <w:r>
        <w:rPr>
          <w:color w:val="231F20"/>
          <w:sz w:val="13"/>
        </w:rPr>
        <w:t>Laura</w:t>
      </w:r>
      <w:r>
        <w:rPr>
          <w:color w:val="231F20"/>
          <w:spacing w:val="2"/>
          <w:sz w:val="13"/>
        </w:rPr>
        <w:t xml:space="preserve"> </w:t>
      </w:r>
      <w:r>
        <w:rPr>
          <w:color w:val="231F20"/>
          <w:sz w:val="13"/>
        </w:rPr>
        <w:t>Fazio,</w:t>
      </w:r>
      <w:r>
        <w:rPr>
          <w:color w:val="231F20"/>
          <w:spacing w:val="3"/>
          <w:sz w:val="13"/>
        </w:rPr>
        <w:t xml:space="preserve"> </w:t>
      </w:r>
      <w:r>
        <w:rPr>
          <w:color w:val="231F20"/>
          <w:sz w:val="13"/>
        </w:rPr>
        <w:t>‘Young</w:t>
      </w:r>
      <w:r>
        <w:rPr>
          <w:color w:val="231F20"/>
          <w:spacing w:val="2"/>
          <w:sz w:val="13"/>
        </w:rPr>
        <w:t xml:space="preserve"> </w:t>
      </w:r>
      <w:r>
        <w:rPr>
          <w:color w:val="231F20"/>
          <w:sz w:val="13"/>
        </w:rPr>
        <w:t>People</w:t>
      </w:r>
      <w:r>
        <w:rPr>
          <w:color w:val="231F20"/>
          <w:spacing w:val="3"/>
          <w:sz w:val="13"/>
        </w:rPr>
        <w:t xml:space="preserve"> </w:t>
      </w:r>
      <w:r>
        <w:rPr>
          <w:color w:val="231F20"/>
          <w:sz w:val="13"/>
        </w:rPr>
        <w:t>and</w:t>
      </w:r>
      <w:r>
        <w:rPr>
          <w:color w:val="231F20"/>
          <w:spacing w:val="3"/>
          <w:sz w:val="13"/>
        </w:rPr>
        <w:t xml:space="preserve"> </w:t>
      </w:r>
      <w:r>
        <w:rPr>
          <w:color w:val="231F20"/>
          <w:sz w:val="13"/>
        </w:rPr>
        <w:t>Cyberspace:</w:t>
      </w:r>
      <w:r>
        <w:rPr>
          <w:color w:val="231F20"/>
          <w:spacing w:val="2"/>
          <w:sz w:val="13"/>
        </w:rPr>
        <w:t xml:space="preserve"> </w:t>
      </w:r>
      <w:r>
        <w:rPr>
          <w:color w:val="231F20"/>
          <w:sz w:val="13"/>
        </w:rPr>
        <w:t>Introduction’</w:t>
      </w:r>
      <w:r>
        <w:rPr>
          <w:color w:val="231F20"/>
          <w:spacing w:val="3"/>
          <w:sz w:val="13"/>
        </w:rPr>
        <w:t xml:space="preserve"> </w:t>
      </w:r>
      <w:r>
        <w:rPr>
          <w:color w:val="231F20"/>
          <w:sz w:val="13"/>
        </w:rPr>
        <w:t>(2016)</w:t>
      </w:r>
      <w:r>
        <w:rPr>
          <w:color w:val="231F20"/>
          <w:spacing w:val="3"/>
          <w:sz w:val="13"/>
        </w:rPr>
        <w:t xml:space="preserve"> </w:t>
      </w:r>
      <w:r>
        <w:rPr>
          <w:color w:val="231F20"/>
          <w:sz w:val="13"/>
        </w:rPr>
        <w:t>22(2)</w:t>
      </w:r>
      <w:r>
        <w:rPr>
          <w:color w:val="231F20"/>
          <w:spacing w:val="2"/>
          <w:sz w:val="13"/>
        </w:rPr>
        <w:t xml:space="preserve"> </w:t>
      </w:r>
      <w:r>
        <w:rPr>
          <w:i/>
          <w:color w:val="231F20"/>
          <w:sz w:val="13"/>
        </w:rPr>
        <w:t>European</w:t>
      </w:r>
      <w:r>
        <w:rPr>
          <w:i/>
          <w:color w:val="231F20"/>
          <w:spacing w:val="3"/>
          <w:sz w:val="13"/>
        </w:rPr>
        <w:t xml:space="preserve"> </w:t>
      </w:r>
      <w:r>
        <w:rPr>
          <w:i/>
          <w:color w:val="231F20"/>
          <w:sz w:val="13"/>
        </w:rPr>
        <w:t>Journal</w:t>
      </w:r>
      <w:r>
        <w:rPr>
          <w:i/>
          <w:color w:val="231F20"/>
          <w:spacing w:val="2"/>
          <w:sz w:val="13"/>
        </w:rPr>
        <w:t xml:space="preserve"> </w:t>
      </w:r>
      <w:r>
        <w:rPr>
          <w:i/>
          <w:color w:val="231F20"/>
          <w:sz w:val="13"/>
        </w:rPr>
        <w:t>on</w:t>
      </w:r>
      <w:r>
        <w:rPr>
          <w:i/>
          <w:color w:val="231F20"/>
          <w:spacing w:val="3"/>
          <w:sz w:val="13"/>
        </w:rPr>
        <w:t xml:space="preserve"> </w:t>
      </w:r>
      <w:r>
        <w:rPr>
          <w:i/>
          <w:color w:val="231F20"/>
          <w:sz w:val="13"/>
        </w:rPr>
        <w:t>Criminal</w:t>
      </w:r>
      <w:r>
        <w:rPr>
          <w:i/>
          <w:color w:val="231F20"/>
          <w:spacing w:val="3"/>
          <w:sz w:val="13"/>
        </w:rPr>
        <w:t xml:space="preserve"> </w:t>
      </w:r>
      <w:r>
        <w:rPr>
          <w:i/>
          <w:color w:val="231F20"/>
          <w:sz w:val="13"/>
        </w:rPr>
        <w:t>Policy</w:t>
      </w:r>
      <w:r>
        <w:rPr>
          <w:i/>
          <w:color w:val="231F20"/>
          <w:spacing w:val="2"/>
          <w:sz w:val="13"/>
        </w:rPr>
        <w:t xml:space="preserve"> </w:t>
      </w:r>
      <w:r>
        <w:rPr>
          <w:i/>
          <w:color w:val="231F20"/>
          <w:sz w:val="13"/>
        </w:rPr>
        <w:t>and</w:t>
      </w:r>
      <w:r>
        <w:rPr>
          <w:i/>
          <w:color w:val="231F20"/>
          <w:spacing w:val="3"/>
          <w:sz w:val="13"/>
        </w:rPr>
        <w:t xml:space="preserve"> </w:t>
      </w:r>
      <w:r>
        <w:rPr>
          <w:i/>
          <w:color w:val="231F20"/>
          <w:sz w:val="13"/>
        </w:rPr>
        <w:t>Research</w:t>
      </w:r>
      <w:r>
        <w:rPr>
          <w:i/>
          <w:color w:val="231F20"/>
          <w:spacing w:val="2"/>
          <w:sz w:val="13"/>
        </w:rPr>
        <w:t xml:space="preserve"> </w:t>
      </w:r>
      <w:r>
        <w:rPr>
          <w:color w:val="231F20"/>
          <w:spacing w:val="2"/>
          <w:sz w:val="13"/>
        </w:rPr>
        <w:t>211,</w:t>
      </w:r>
      <w:r>
        <w:rPr>
          <w:color w:val="231F20"/>
          <w:spacing w:val="3"/>
          <w:sz w:val="13"/>
        </w:rPr>
        <w:t xml:space="preserve"> </w:t>
      </w:r>
      <w:r>
        <w:rPr>
          <w:color w:val="231F20"/>
          <w:spacing w:val="2"/>
          <w:sz w:val="13"/>
        </w:rPr>
        <w:t>211.</w:t>
      </w:r>
    </w:p>
    <w:p w14:paraId="3F8D609C" w14:textId="77777777" w:rsidR="00894070" w:rsidRDefault="009B7AFD">
      <w:pPr>
        <w:pStyle w:val="ListParagraph"/>
        <w:numPr>
          <w:ilvl w:val="0"/>
          <w:numId w:val="156"/>
        </w:numPr>
        <w:tabs>
          <w:tab w:val="left" w:pos="1800"/>
          <w:tab w:val="left" w:pos="1802"/>
        </w:tabs>
        <w:spacing w:line="160" w:lineRule="exact"/>
        <w:rPr>
          <w:sz w:val="13"/>
        </w:rPr>
      </w:pPr>
      <w:r>
        <w:rPr>
          <w:color w:val="231F20"/>
          <w:sz w:val="13"/>
        </w:rPr>
        <w:t>Ibid</w:t>
      </w:r>
      <w:r>
        <w:rPr>
          <w:color w:val="231F20"/>
          <w:spacing w:val="7"/>
          <w:sz w:val="13"/>
        </w:rPr>
        <w:t xml:space="preserve"> </w:t>
      </w:r>
      <w:r>
        <w:rPr>
          <w:color w:val="231F20"/>
          <w:spacing w:val="2"/>
          <w:sz w:val="13"/>
        </w:rPr>
        <w:t>212.</w:t>
      </w:r>
    </w:p>
    <w:p w14:paraId="2DC017BD" w14:textId="77777777" w:rsidR="00894070" w:rsidRDefault="009B7AFD">
      <w:pPr>
        <w:pStyle w:val="ListParagraph"/>
        <w:numPr>
          <w:ilvl w:val="0"/>
          <w:numId w:val="156"/>
        </w:numPr>
        <w:tabs>
          <w:tab w:val="left" w:pos="1800"/>
          <w:tab w:val="left" w:pos="1802"/>
        </w:tabs>
        <w:spacing w:line="160" w:lineRule="exact"/>
        <w:rPr>
          <w:sz w:val="13"/>
        </w:rPr>
      </w:pPr>
      <w:r>
        <w:rPr>
          <w:color w:val="231F20"/>
          <w:sz w:val="13"/>
        </w:rPr>
        <w:t>Ibid</w:t>
      </w:r>
      <w:r>
        <w:rPr>
          <w:color w:val="231F20"/>
          <w:spacing w:val="7"/>
          <w:sz w:val="13"/>
        </w:rPr>
        <w:t xml:space="preserve"> </w:t>
      </w:r>
      <w:r>
        <w:rPr>
          <w:color w:val="231F20"/>
          <w:spacing w:val="2"/>
          <w:sz w:val="13"/>
        </w:rPr>
        <w:t>211.</w:t>
      </w:r>
    </w:p>
    <w:p w14:paraId="3D5B8A0C" w14:textId="77777777" w:rsidR="00894070" w:rsidRDefault="009B7AFD">
      <w:pPr>
        <w:pStyle w:val="ListParagraph"/>
        <w:numPr>
          <w:ilvl w:val="0"/>
          <w:numId w:val="156"/>
        </w:numPr>
        <w:tabs>
          <w:tab w:val="left" w:pos="1800"/>
          <w:tab w:val="left" w:pos="1802"/>
        </w:tabs>
        <w:spacing w:line="160" w:lineRule="exact"/>
        <w:rPr>
          <w:sz w:val="13"/>
        </w:rPr>
      </w:pPr>
      <w:r>
        <w:rPr>
          <w:color w:val="231F20"/>
          <w:spacing w:val="2"/>
          <w:sz w:val="13"/>
        </w:rPr>
        <w:t xml:space="preserve">Submission </w:t>
      </w:r>
      <w:r>
        <w:rPr>
          <w:color w:val="231F20"/>
          <w:sz w:val="13"/>
        </w:rPr>
        <w:t xml:space="preserve">104 </w:t>
      </w:r>
      <w:r>
        <w:rPr>
          <w:color w:val="231F20"/>
          <w:spacing w:val="2"/>
          <w:sz w:val="13"/>
        </w:rPr>
        <w:t xml:space="preserve">(Alannah </w:t>
      </w:r>
      <w:r>
        <w:rPr>
          <w:color w:val="231F20"/>
          <w:sz w:val="13"/>
        </w:rPr>
        <w:t>and Madeline</w:t>
      </w:r>
      <w:r>
        <w:rPr>
          <w:color w:val="231F20"/>
          <w:spacing w:val="-5"/>
          <w:sz w:val="13"/>
        </w:rPr>
        <w:t xml:space="preserve"> </w:t>
      </w:r>
      <w:r>
        <w:rPr>
          <w:color w:val="231F20"/>
          <w:sz w:val="13"/>
        </w:rPr>
        <w:t>Foundation).</w:t>
      </w:r>
    </w:p>
    <w:p w14:paraId="7BCBC6C5" w14:textId="77777777" w:rsidR="00894070" w:rsidRDefault="009B7AFD">
      <w:pPr>
        <w:pStyle w:val="ListParagraph"/>
        <w:numPr>
          <w:ilvl w:val="0"/>
          <w:numId w:val="156"/>
        </w:numPr>
        <w:tabs>
          <w:tab w:val="left" w:pos="1801"/>
          <w:tab w:val="left" w:pos="1802"/>
        </w:tabs>
        <w:spacing w:line="160" w:lineRule="exact"/>
        <w:rPr>
          <w:sz w:val="13"/>
        </w:rPr>
      </w:pPr>
      <w:r>
        <w:rPr>
          <w:color w:val="231F20"/>
          <w:sz w:val="13"/>
        </w:rPr>
        <w:t>House</w:t>
      </w:r>
      <w:r>
        <w:rPr>
          <w:color w:val="231F20"/>
          <w:spacing w:val="2"/>
          <w:sz w:val="13"/>
        </w:rPr>
        <w:t xml:space="preserve"> </w:t>
      </w:r>
      <w:r>
        <w:rPr>
          <w:color w:val="231F20"/>
          <w:sz w:val="13"/>
        </w:rPr>
        <w:t>of</w:t>
      </w:r>
      <w:r>
        <w:rPr>
          <w:color w:val="231F20"/>
          <w:spacing w:val="3"/>
          <w:sz w:val="13"/>
        </w:rPr>
        <w:t xml:space="preserve"> </w:t>
      </w:r>
      <w:r>
        <w:rPr>
          <w:color w:val="231F20"/>
          <w:sz w:val="13"/>
        </w:rPr>
        <w:t>Representatives</w:t>
      </w:r>
      <w:r>
        <w:rPr>
          <w:color w:val="231F20"/>
          <w:spacing w:val="3"/>
          <w:sz w:val="13"/>
        </w:rPr>
        <w:t xml:space="preserve"> </w:t>
      </w:r>
      <w:r>
        <w:rPr>
          <w:color w:val="231F20"/>
          <w:sz w:val="13"/>
        </w:rPr>
        <w:t>Select</w:t>
      </w:r>
      <w:r>
        <w:rPr>
          <w:color w:val="231F20"/>
          <w:spacing w:val="3"/>
          <w:sz w:val="13"/>
        </w:rPr>
        <w:t xml:space="preserve"> </w:t>
      </w:r>
      <w:r>
        <w:rPr>
          <w:color w:val="231F20"/>
          <w:sz w:val="13"/>
        </w:rPr>
        <w:t>Committee</w:t>
      </w:r>
      <w:r>
        <w:rPr>
          <w:color w:val="231F20"/>
          <w:spacing w:val="3"/>
          <w:sz w:val="13"/>
        </w:rPr>
        <w:t xml:space="preserve"> </w:t>
      </w:r>
      <w:r>
        <w:rPr>
          <w:color w:val="231F20"/>
          <w:sz w:val="13"/>
        </w:rPr>
        <w:t>on</w:t>
      </w:r>
      <w:r>
        <w:rPr>
          <w:color w:val="231F20"/>
          <w:spacing w:val="2"/>
          <w:sz w:val="13"/>
        </w:rPr>
        <w:t xml:space="preserve"> </w:t>
      </w:r>
      <w:proofErr w:type="gramStart"/>
      <w:r>
        <w:rPr>
          <w:color w:val="231F20"/>
          <w:sz w:val="13"/>
        </w:rPr>
        <w:t>Social</w:t>
      </w:r>
      <w:r>
        <w:rPr>
          <w:color w:val="231F20"/>
          <w:spacing w:val="3"/>
          <w:sz w:val="13"/>
        </w:rPr>
        <w:t xml:space="preserve"> </w:t>
      </w:r>
      <w:r>
        <w:rPr>
          <w:color w:val="231F20"/>
          <w:sz w:val="13"/>
        </w:rPr>
        <w:t>Media</w:t>
      </w:r>
      <w:proofErr w:type="gramEnd"/>
      <w:r>
        <w:rPr>
          <w:color w:val="231F20"/>
          <w:spacing w:val="3"/>
          <w:sz w:val="13"/>
        </w:rPr>
        <w:t xml:space="preserve"> </w:t>
      </w:r>
      <w:r>
        <w:rPr>
          <w:color w:val="231F20"/>
          <w:sz w:val="13"/>
        </w:rPr>
        <w:t>and</w:t>
      </w:r>
      <w:r>
        <w:rPr>
          <w:color w:val="231F20"/>
          <w:spacing w:val="3"/>
          <w:sz w:val="13"/>
        </w:rPr>
        <w:t xml:space="preserve"> </w:t>
      </w:r>
      <w:r>
        <w:rPr>
          <w:color w:val="231F20"/>
          <w:spacing w:val="2"/>
          <w:sz w:val="13"/>
        </w:rPr>
        <w:t xml:space="preserve">Online </w:t>
      </w:r>
      <w:r>
        <w:rPr>
          <w:color w:val="231F20"/>
          <w:sz w:val="13"/>
        </w:rPr>
        <w:t>Safety,</w:t>
      </w:r>
      <w:r>
        <w:rPr>
          <w:color w:val="231F20"/>
          <w:spacing w:val="3"/>
          <w:sz w:val="13"/>
        </w:rPr>
        <w:t xml:space="preserve"> </w:t>
      </w:r>
      <w:r>
        <w:rPr>
          <w:color w:val="231F20"/>
          <w:sz w:val="13"/>
        </w:rPr>
        <w:t>Parliament</w:t>
      </w:r>
      <w:r>
        <w:rPr>
          <w:color w:val="231F20"/>
          <w:spacing w:val="3"/>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Commonwealth</w:t>
      </w:r>
      <w:r>
        <w:rPr>
          <w:color w:val="231F20"/>
          <w:spacing w:val="2"/>
          <w:sz w:val="13"/>
        </w:rPr>
        <w:t xml:space="preserve"> </w:t>
      </w:r>
      <w:r>
        <w:rPr>
          <w:color w:val="231F20"/>
          <w:sz w:val="13"/>
        </w:rPr>
        <w:t>of</w:t>
      </w:r>
      <w:r>
        <w:rPr>
          <w:color w:val="231F20"/>
          <w:spacing w:val="3"/>
          <w:sz w:val="13"/>
        </w:rPr>
        <w:t xml:space="preserve"> </w:t>
      </w:r>
      <w:r>
        <w:rPr>
          <w:color w:val="231F20"/>
          <w:sz w:val="13"/>
        </w:rPr>
        <w:t>Australia,</w:t>
      </w:r>
    </w:p>
    <w:p w14:paraId="539580A8" w14:textId="77777777" w:rsidR="00894070" w:rsidRDefault="009B7AFD">
      <w:pPr>
        <w:spacing w:line="160" w:lineRule="exact"/>
        <w:ind w:left="1801"/>
        <w:rPr>
          <w:sz w:val="13"/>
        </w:rPr>
      </w:pPr>
      <w:r>
        <w:rPr>
          <w:i/>
          <w:color w:val="231F20"/>
          <w:sz w:val="13"/>
        </w:rPr>
        <w:t xml:space="preserve">Social Media and Online Safety </w:t>
      </w:r>
      <w:r>
        <w:rPr>
          <w:color w:val="231F20"/>
          <w:sz w:val="13"/>
        </w:rPr>
        <w:t>(Report, March 2022) 28.</w:t>
      </w:r>
    </w:p>
    <w:p w14:paraId="29758812" w14:textId="77777777" w:rsidR="00894070" w:rsidRDefault="009B7AFD">
      <w:pPr>
        <w:pStyle w:val="ListParagraph"/>
        <w:numPr>
          <w:ilvl w:val="0"/>
          <w:numId w:val="156"/>
        </w:numPr>
        <w:tabs>
          <w:tab w:val="left" w:pos="1801"/>
          <w:tab w:val="left" w:pos="1802"/>
        </w:tabs>
        <w:spacing w:line="160" w:lineRule="exact"/>
        <w:rPr>
          <w:sz w:val="13"/>
        </w:rPr>
      </w:pPr>
      <w:r>
        <w:rPr>
          <w:color w:val="231F20"/>
          <w:sz w:val="13"/>
        </w:rPr>
        <w:t xml:space="preserve">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i/>
          <w:color w:val="231F20"/>
          <w:sz w:val="13"/>
        </w:rPr>
        <w:t xml:space="preserve">Digital Lives of Aussie Teens </w:t>
      </w:r>
      <w:r>
        <w:rPr>
          <w:color w:val="231F20"/>
          <w:spacing w:val="2"/>
          <w:sz w:val="13"/>
        </w:rPr>
        <w:t xml:space="preserve">(Report, </w:t>
      </w:r>
      <w:r>
        <w:rPr>
          <w:color w:val="231F20"/>
          <w:sz w:val="13"/>
        </w:rPr>
        <w:t>February 2021)</w:t>
      </w:r>
      <w:r>
        <w:rPr>
          <w:color w:val="231F20"/>
          <w:spacing w:val="2"/>
          <w:sz w:val="13"/>
        </w:rPr>
        <w:t xml:space="preserve"> </w:t>
      </w:r>
      <w:r>
        <w:rPr>
          <w:color w:val="231F20"/>
          <w:spacing w:val="3"/>
          <w:sz w:val="13"/>
        </w:rPr>
        <w:t>5.</w:t>
      </w:r>
    </w:p>
    <w:p w14:paraId="1CF1E89E" w14:textId="77777777" w:rsidR="00894070" w:rsidRDefault="009B7AFD">
      <w:pPr>
        <w:pStyle w:val="ListParagraph"/>
        <w:numPr>
          <w:ilvl w:val="0"/>
          <w:numId w:val="156"/>
        </w:numPr>
        <w:tabs>
          <w:tab w:val="left" w:pos="1800"/>
          <w:tab w:val="left" w:pos="1802"/>
        </w:tabs>
        <w:spacing w:before="4" w:line="213" w:lineRule="auto"/>
        <w:ind w:right="1845"/>
        <w:rPr>
          <w:sz w:val="13"/>
        </w:rPr>
      </w:pPr>
      <w:r>
        <w:rPr>
          <w:color w:val="231F20"/>
          <w:spacing w:val="2"/>
          <w:sz w:val="13"/>
        </w:rPr>
        <w:t xml:space="preserve">Submissions </w:t>
      </w:r>
      <w:r>
        <w:rPr>
          <w:color w:val="231F20"/>
          <w:sz w:val="13"/>
        </w:rPr>
        <w:t xml:space="preserve">56 </w:t>
      </w:r>
      <w:r>
        <w:rPr>
          <w:color w:val="231F20"/>
          <w:spacing w:val="2"/>
          <w:sz w:val="13"/>
        </w:rPr>
        <w:t xml:space="preserve">(Derryn </w:t>
      </w:r>
      <w:proofErr w:type="spellStart"/>
      <w:r>
        <w:rPr>
          <w:color w:val="231F20"/>
          <w:sz w:val="13"/>
        </w:rPr>
        <w:t>Hinch’s</w:t>
      </w:r>
      <w:proofErr w:type="spellEnd"/>
      <w:r>
        <w:rPr>
          <w:color w:val="231F20"/>
          <w:sz w:val="13"/>
        </w:rPr>
        <w:t xml:space="preserve"> Justice Party), 104 </w:t>
      </w:r>
      <w:r>
        <w:rPr>
          <w:color w:val="231F20"/>
          <w:spacing w:val="2"/>
          <w:sz w:val="13"/>
        </w:rPr>
        <w:t xml:space="preserve">(Alannah </w:t>
      </w:r>
      <w:r>
        <w:rPr>
          <w:color w:val="231F20"/>
          <w:sz w:val="13"/>
        </w:rPr>
        <w:t xml:space="preserve">and Madeline Foundation); Consultation 23 </w:t>
      </w:r>
      <w:r>
        <w:rPr>
          <w:color w:val="231F20"/>
          <w:spacing w:val="2"/>
          <w:sz w:val="13"/>
        </w:rPr>
        <w:t xml:space="preserve">(Cyberstalking </w:t>
      </w:r>
      <w:r>
        <w:rPr>
          <w:color w:val="231F20"/>
          <w:sz w:val="13"/>
        </w:rPr>
        <w:t>roundtable).</w:t>
      </w:r>
    </w:p>
    <w:p w14:paraId="0775B338" w14:textId="77777777" w:rsidR="00894070" w:rsidRDefault="009B7AFD">
      <w:pPr>
        <w:pStyle w:val="ListParagraph"/>
        <w:numPr>
          <w:ilvl w:val="0"/>
          <w:numId w:val="156"/>
        </w:numPr>
        <w:tabs>
          <w:tab w:val="left" w:pos="1801"/>
          <w:tab w:val="left" w:pos="1802"/>
        </w:tabs>
        <w:spacing w:line="153" w:lineRule="exact"/>
        <w:rPr>
          <w:sz w:val="13"/>
        </w:rPr>
      </w:pPr>
      <w:r>
        <w:rPr>
          <w:color w:val="231F20"/>
          <w:spacing w:val="2"/>
          <w:sz w:val="13"/>
        </w:rPr>
        <w:t xml:space="preserve">Submission </w:t>
      </w:r>
      <w:r>
        <w:rPr>
          <w:color w:val="231F20"/>
          <w:sz w:val="13"/>
        </w:rPr>
        <w:t xml:space="preserve">104 </w:t>
      </w:r>
      <w:r>
        <w:rPr>
          <w:color w:val="231F20"/>
          <w:spacing w:val="2"/>
          <w:sz w:val="13"/>
        </w:rPr>
        <w:t xml:space="preserve">(Alannah </w:t>
      </w:r>
      <w:r>
        <w:rPr>
          <w:color w:val="231F20"/>
          <w:sz w:val="13"/>
        </w:rPr>
        <w:t>and Madeline</w:t>
      </w:r>
      <w:r>
        <w:rPr>
          <w:color w:val="231F20"/>
          <w:spacing w:val="-5"/>
          <w:sz w:val="13"/>
        </w:rPr>
        <w:t xml:space="preserve"> </w:t>
      </w:r>
      <w:r>
        <w:rPr>
          <w:color w:val="231F20"/>
          <w:sz w:val="13"/>
        </w:rPr>
        <w:t>Foundation).</w:t>
      </w:r>
    </w:p>
    <w:p w14:paraId="49691933" w14:textId="77777777" w:rsidR="00894070" w:rsidRDefault="009B7AFD">
      <w:pPr>
        <w:pStyle w:val="ListParagraph"/>
        <w:numPr>
          <w:ilvl w:val="0"/>
          <w:numId w:val="156"/>
        </w:numPr>
        <w:tabs>
          <w:tab w:val="left" w:pos="1801"/>
          <w:tab w:val="left" w:pos="1802"/>
        </w:tabs>
        <w:spacing w:line="160" w:lineRule="exact"/>
        <w:rPr>
          <w:sz w:val="13"/>
        </w:rPr>
      </w:pPr>
      <w:r>
        <w:rPr>
          <w:i/>
          <w:color w:val="231F20"/>
          <w:sz w:val="13"/>
        </w:rPr>
        <w:t xml:space="preserve">Surveillance Devices Act </w:t>
      </w:r>
      <w:r>
        <w:rPr>
          <w:i/>
          <w:color w:val="231F20"/>
          <w:spacing w:val="2"/>
          <w:sz w:val="13"/>
        </w:rPr>
        <w:t xml:space="preserve">1999 </w:t>
      </w:r>
      <w:r>
        <w:rPr>
          <w:color w:val="231F20"/>
          <w:sz w:val="13"/>
        </w:rPr>
        <w:t xml:space="preserve">(Vic) </w:t>
      </w:r>
      <w:proofErr w:type="spellStart"/>
      <w:r>
        <w:rPr>
          <w:color w:val="231F20"/>
          <w:sz w:val="13"/>
        </w:rPr>
        <w:t>pt</w:t>
      </w:r>
      <w:proofErr w:type="spellEnd"/>
      <w:r>
        <w:rPr>
          <w:color w:val="231F20"/>
          <w:spacing w:val="-1"/>
          <w:sz w:val="13"/>
        </w:rPr>
        <w:t xml:space="preserve"> </w:t>
      </w:r>
      <w:r>
        <w:rPr>
          <w:color w:val="231F20"/>
          <w:sz w:val="13"/>
        </w:rPr>
        <w:t>2.</w:t>
      </w:r>
    </w:p>
    <w:p w14:paraId="5FF899A9" w14:textId="77777777" w:rsidR="00894070" w:rsidRDefault="009B7AFD">
      <w:pPr>
        <w:pStyle w:val="ListParagraph"/>
        <w:numPr>
          <w:ilvl w:val="0"/>
          <w:numId w:val="156"/>
        </w:numPr>
        <w:tabs>
          <w:tab w:val="left" w:pos="1801"/>
          <w:tab w:val="left" w:pos="1802"/>
        </w:tabs>
        <w:spacing w:line="160" w:lineRule="exact"/>
        <w:rPr>
          <w:sz w:val="13"/>
        </w:rPr>
      </w:pPr>
      <w:r>
        <w:rPr>
          <w:i/>
          <w:color w:val="231F20"/>
          <w:spacing w:val="2"/>
          <w:sz w:val="13"/>
        </w:rPr>
        <w:t xml:space="preserve">Summary </w:t>
      </w:r>
      <w:r>
        <w:rPr>
          <w:i/>
          <w:color w:val="231F20"/>
          <w:sz w:val="13"/>
        </w:rPr>
        <w:t xml:space="preserve">Offences Act 1966 </w:t>
      </w:r>
      <w:r>
        <w:rPr>
          <w:color w:val="231F20"/>
          <w:sz w:val="13"/>
        </w:rPr>
        <w:t>(Vic) div</w:t>
      </w:r>
      <w:r>
        <w:rPr>
          <w:color w:val="231F20"/>
          <w:spacing w:val="-2"/>
          <w:sz w:val="13"/>
        </w:rPr>
        <w:t xml:space="preserve"> </w:t>
      </w:r>
      <w:r>
        <w:rPr>
          <w:color w:val="231F20"/>
          <w:spacing w:val="3"/>
          <w:sz w:val="13"/>
        </w:rPr>
        <w:t>4A.</w:t>
      </w:r>
    </w:p>
    <w:p w14:paraId="5F2BC3F5" w14:textId="77777777" w:rsidR="00894070" w:rsidRDefault="009F6793">
      <w:pPr>
        <w:tabs>
          <w:tab w:val="left" w:pos="1801"/>
        </w:tabs>
        <w:spacing w:line="160" w:lineRule="exact"/>
        <w:ind w:left="1007"/>
        <w:rPr>
          <w:sz w:val="13"/>
        </w:rPr>
      </w:pPr>
      <w:r>
        <w:pict w14:anchorId="4D53D26E">
          <v:shape id="_x0000_s1585" type="#_x0000_t202" style="position:absolute;left:0;text-align:left;margin-left:36pt;margin-top:3.7pt;width:14.05pt;height:14.1pt;z-index:251557888;mso-position-horizontal-relative:page" filled="f" stroked="f">
            <v:textbox inset="0,0,0,0">
              <w:txbxContent>
                <w:p w14:paraId="79DA42F4" w14:textId="77777777" w:rsidR="00894070" w:rsidRDefault="009B7AFD">
                  <w:pPr>
                    <w:spacing w:line="282" w:lineRule="exact"/>
                    <w:rPr>
                      <w:b/>
                      <w:sz w:val="24"/>
                    </w:rPr>
                  </w:pPr>
                  <w:r>
                    <w:rPr>
                      <w:b/>
                      <w:color w:val="EA5B50"/>
                      <w:sz w:val="24"/>
                    </w:rPr>
                    <w:t>38</w:t>
                  </w:r>
                </w:p>
              </w:txbxContent>
            </v:textbox>
            <w10:wrap anchorx="page"/>
          </v:shape>
        </w:pict>
      </w:r>
      <w:r w:rsidR="009B7AFD">
        <w:rPr>
          <w:color w:val="231F20"/>
          <w:sz w:val="13"/>
        </w:rPr>
        <w:t>66</w:t>
      </w:r>
      <w:r w:rsidR="009B7AFD">
        <w:rPr>
          <w:color w:val="231F20"/>
          <w:sz w:val="13"/>
        </w:rPr>
        <w:tab/>
      </w:r>
      <w:r w:rsidR="009B7AFD">
        <w:rPr>
          <w:i/>
          <w:color w:val="231F20"/>
          <w:sz w:val="13"/>
        </w:rPr>
        <w:t xml:space="preserve">Criminal Code Act 1995 </w:t>
      </w:r>
      <w:r w:rsidR="009B7AFD">
        <w:rPr>
          <w:color w:val="231F20"/>
          <w:sz w:val="13"/>
        </w:rPr>
        <w:t>(</w:t>
      </w:r>
      <w:proofErr w:type="spellStart"/>
      <w:r w:rsidR="009B7AFD">
        <w:rPr>
          <w:color w:val="231F20"/>
          <w:sz w:val="13"/>
        </w:rPr>
        <w:t>Cth</w:t>
      </w:r>
      <w:proofErr w:type="spellEnd"/>
      <w:r w:rsidR="009B7AFD">
        <w:rPr>
          <w:color w:val="231F20"/>
          <w:sz w:val="13"/>
        </w:rPr>
        <w:t>) ss 474.17, 474.17A(1)</w:t>
      </w:r>
      <w:proofErr w:type="gramStart"/>
      <w:r w:rsidR="009B7AFD">
        <w:rPr>
          <w:color w:val="231F20"/>
          <w:sz w:val="13"/>
        </w:rPr>
        <w:t>–(</w:t>
      </w:r>
      <w:proofErr w:type="gramEnd"/>
      <w:r w:rsidR="009B7AFD">
        <w:rPr>
          <w:color w:val="231F20"/>
          <w:sz w:val="13"/>
        </w:rPr>
        <w:t>3),</w:t>
      </w:r>
      <w:r w:rsidR="009B7AFD">
        <w:rPr>
          <w:color w:val="231F20"/>
          <w:spacing w:val="3"/>
          <w:sz w:val="13"/>
        </w:rPr>
        <w:t xml:space="preserve"> </w:t>
      </w:r>
      <w:r w:rsidR="009B7AFD">
        <w:rPr>
          <w:color w:val="231F20"/>
          <w:sz w:val="13"/>
        </w:rPr>
        <w:t>474.15(1)–(2).</w:t>
      </w:r>
    </w:p>
    <w:p w14:paraId="2D09667F" w14:textId="77777777" w:rsidR="00894070" w:rsidRDefault="009B7AFD">
      <w:pPr>
        <w:tabs>
          <w:tab w:val="left" w:pos="1801"/>
        </w:tabs>
        <w:spacing w:line="170" w:lineRule="exact"/>
        <w:ind w:left="1007"/>
        <w:rPr>
          <w:sz w:val="13"/>
        </w:rPr>
      </w:pPr>
      <w:r>
        <w:rPr>
          <w:color w:val="231F20"/>
          <w:sz w:val="13"/>
        </w:rPr>
        <w:t>67</w:t>
      </w:r>
      <w:r>
        <w:rPr>
          <w:color w:val="231F20"/>
          <w:sz w:val="13"/>
        </w:rPr>
        <w:tab/>
        <w:t xml:space="preserve">See, </w:t>
      </w:r>
      <w:proofErr w:type="spellStart"/>
      <w:r>
        <w:rPr>
          <w:color w:val="231F20"/>
          <w:sz w:val="13"/>
        </w:rPr>
        <w:t>eg</w:t>
      </w:r>
      <w:proofErr w:type="spellEnd"/>
      <w:r>
        <w:rPr>
          <w:color w:val="231F20"/>
          <w:sz w:val="13"/>
        </w:rPr>
        <w:t xml:space="preserve">, </w:t>
      </w:r>
      <w:r>
        <w:rPr>
          <w:i/>
          <w:color w:val="231F20"/>
          <w:sz w:val="13"/>
        </w:rPr>
        <w:t xml:space="preserve">Telecommunications (Interception and Access) Act 1979 </w:t>
      </w:r>
      <w:r>
        <w:rPr>
          <w:color w:val="231F20"/>
          <w:sz w:val="13"/>
        </w:rPr>
        <w:t>(</w:t>
      </w:r>
      <w:proofErr w:type="spellStart"/>
      <w:r>
        <w:rPr>
          <w:color w:val="231F20"/>
          <w:sz w:val="13"/>
        </w:rPr>
        <w:t>Cth</w:t>
      </w:r>
      <w:proofErr w:type="spellEnd"/>
      <w:r>
        <w:rPr>
          <w:color w:val="231F20"/>
          <w:sz w:val="13"/>
        </w:rPr>
        <w:t>) s</w:t>
      </w:r>
      <w:r>
        <w:rPr>
          <w:color w:val="231F20"/>
          <w:spacing w:val="2"/>
          <w:sz w:val="13"/>
        </w:rPr>
        <w:t xml:space="preserve"> </w:t>
      </w:r>
      <w:r>
        <w:rPr>
          <w:color w:val="231F20"/>
          <w:sz w:val="13"/>
        </w:rPr>
        <w:t>105.</w:t>
      </w:r>
    </w:p>
    <w:p w14:paraId="5CADDD78" w14:textId="77777777" w:rsidR="00894070" w:rsidRDefault="00894070">
      <w:pPr>
        <w:spacing w:line="170" w:lineRule="exact"/>
        <w:rPr>
          <w:sz w:val="13"/>
        </w:rPr>
        <w:sectPr w:rsidR="00894070">
          <w:pgSz w:w="11910" w:h="16840"/>
          <w:pgMar w:top="860" w:right="420" w:bottom="280" w:left="580" w:header="567" w:footer="0" w:gutter="0"/>
          <w:cols w:space="720"/>
        </w:sectPr>
      </w:pPr>
    </w:p>
    <w:p w14:paraId="15161B70" w14:textId="77777777" w:rsidR="00894070" w:rsidRDefault="00894070">
      <w:pPr>
        <w:pStyle w:val="BodyText"/>
      </w:pPr>
    </w:p>
    <w:p w14:paraId="0C275F2C" w14:textId="77777777" w:rsidR="00894070" w:rsidRDefault="00894070">
      <w:pPr>
        <w:pStyle w:val="BodyText"/>
      </w:pPr>
    </w:p>
    <w:p w14:paraId="5D7AD966" w14:textId="77777777" w:rsidR="00894070" w:rsidRDefault="00894070">
      <w:pPr>
        <w:pStyle w:val="BodyText"/>
      </w:pPr>
    </w:p>
    <w:p w14:paraId="4CF303A8" w14:textId="77777777" w:rsidR="00894070" w:rsidRDefault="00894070">
      <w:pPr>
        <w:pStyle w:val="BodyText"/>
        <w:spacing w:before="9"/>
        <w:rPr>
          <w:sz w:val="21"/>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5953"/>
        <w:gridCol w:w="1974"/>
      </w:tblGrid>
      <w:tr w:rsidR="00894070" w14:paraId="3C232AE8" w14:textId="77777777">
        <w:trPr>
          <w:trHeight w:val="518"/>
        </w:trPr>
        <w:tc>
          <w:tcPr>
            <w:tcW w:w="5953" w:type="dxa"/>
            <w:shd w:val="clear" w:color="auto" w:fill="F4BCAE"/>
          </w:tcPr>
          <w:p w14:paraId="21E02990" w14:textId="77777777" w:rsidR="00894070" w:rsidRDefault="009B7AFD">
            <w:pPr>
              <w:pStyle w:val="TableParagraph"/>
              <w:spacing w:before="122"/>
              <w:rPr>
                <w:b/>
                <w:sz w:val="20"/>
              </w:rPr>
            </w:pPr>
            <w:r>
              <w:rPr>
                <w:b/>
                <w:color w:val="231F20"/>
                <w:sz w:val="20"/>
              </w:rPr>
              <w:t>Legal or regulatory response</w:t>
            </w:r>
          </w:p>
        </w:tc>
        <w:tc>
          <w:tcPr>
            <w:tcW w:w="1974" w:type="dxa"/>
            <w:shd w:val="clear" w:color="auto" w:fill="F4BCAE"/>
          </w:tcPr>
          <w:p w14:paraId="2FA73183" w14:textId="77777777" w:rsidR="00894070" w:rsidRDefault="009B7AFD">
            <w:pPr>
              <w:pStyle w:val="TableParagraph"/>
              <w:spacing w:before="122"/>
              <w:rPr>
                <w:b/>
                <w:sz w:val="20"/>
              </w:rPr>
            </w:pPr>
            <w:r>
              <w:rPr>
                <w:b/>
                <w:color w:val="231F20"/>
                <w:sz w:val="20"/>
              </w:rPr>
              <w:t>Jurisdiction</w:t>
            </w:r>
          </w:p>
        </w:tc>
      </w:tr>
      <w:tr w:rsidR="00894070" w14:paraId="4C7B3B1E" w14:textId="77777777">
        <w:trPr>
          <w:trHeight w:val="1124"/>
        </w:trPr>
        <w:tc>
          <w:tcPr>
            <w:tcW w:w="5953" w:type="dxa"/>
          </w:tcPr>
          <w:p w14:paraId="2C31E897" w14:textId="77777777" w:rsidR="00894070" w:rsidRDefault="009B7AFD">
            <w:pPr>
              <w:pStyle w:val="TableParagraph"/>
              <w:spacing w:before="98" w:line="206" w:lineRule="auto"/>
              <w:ind w:right="132"/>
              <w:rPr>
                <w:sz w:val="11"/>
              </w:rPr>
            </w:pPr>
            <w:r>
              <w:rPr>
                <w:i/>
                <w:color w:val="231F20"/>
                <w:sz w:val="20"/>
              </w:rPr>
              <w:t xml:space="preserve">Cyber abuse scheme for adults: </w:t>
            </w:r>
            <w:proofErr w:type="spellStart"/>
            <w:r>
              <w:rPr>
                <w:color w:val="231F20"/>
                <w:sz w:val="20"/>
              </w:rPr>
              <w:t>eSafety</w:t>
            </w:r>
            <w:proofErr w:type="spellEnd"/>
            <w:r>
              <w:rPr>
                <w:color w:val="231F20"/>
                <w:sz w:val="20"/>
              </w:rPr>
              <w:t xml:space="preserve"> can issue notices to online service providers or end-users to remove within 24 hours material related to adult cyber abuse.</w:t>
            </w:r>
            <w:r>
              <w:rPr>
                <w:color w:val="231F20"/>
                <w:position w:val="7"/>
                <w:sz w:val="11"/>
              </w:rPr>
              <w:t xml:space="preserve">68 </w:t>
            </w:r>
            <w:r>
              <w:rPr>
                <w:color w:val="231F20"/>
                <w:sz w:val="20"/>
              </w:rPr>
              <w:t>Penalties apply if the content is not removed.</w:t>
            </w:r>
            <w:r>
              <w:rPr>
                <w:color w:val="231F20"/>
                <w:position w:val="7"/>
                <w:sz w:val="11"/>
              </w:rPr>
              <w:t>69</w:t>
            </w:r>
          </w:p>
        </w:tc>
        <w:tc>
          <w:tcPr>
            <w:tcW w:w="1974" w:type="dxa"/>
          </w:tcPr>
          <w:p w14:paraId="11B4A853" w14:textId="77777777" w:rsidR="00894070" w:rsidRDefault="009B7AFD">
            <w:pPr>
              <w:pStyle w:val="TableParagraph"/>
              <w:spacing w:before="65" w:line="259" w:lineRule="exact"/>
              <w:rPr>
                <w:sz w:val="20"/>
              </w:rPr>
            </w:pPr>
            <w:r>
              <w:rPr>
                <w:color w:val="231F20"/>
                <w:sz w:val="20"/>
              </w:rPr>
              <w:t>Federal</w:t>
            </w:r>
          </w:p>
          <w:p w14:paraId="5AAA25DB" w14:textId="77777777" w:rsidR="00894070" w:rsidRDefault="009B7AFD">
            <w:pPr>
              <w:pStyle w:val="TableParagraph"/>
              <w:spacing w:line="259" w:lineRule="exact"/>
              <w:rPr>
                <w:sz w:val="20"/>
              </w:rPr>
            </w:pPr>
            <w:r>
              <w:rPr>
                <w:color w:val="231F20"/>
                <w:sz w:val="20"/>
              </w:rPr>
              <w:t>(Regulatory)</w:t>
            </w:r>
          </w:p>
        </w:tc>
      </w:tr>
      <w:tr w:rsidR="00894070" w14:paraId="3B4B4F27" w14:textId="77777777">
        <w:trPr>
          <w:trHeight w:val="1124"/>
        </w:trPr>
        <w:tc>
          <w:tcPr>
            <w:tcW w:w="5953" w:type="dxa"/>
          </w:tcPr>
          <w:p w14:paraId="2E97D1B4" w14:textId="77777777" w:rsidR="00894070" w:rsidRDefault="009B7AFD">
            <w:pPr>
              <w:pStyle w:val="TableParagraph"/>
              <w:spacing w:before="65" w:line="259" w:lineRule="exact"/>
              <w:rPr>
                <w:sz w:val="20"/>
              </w:rPr>
            </w:pPr>
            <w:r>
              <w:rPr>
                <w:i/>
                <w:color w:val="231F20"/>
                <w:sz w:val="20"/>
              </w:rPr>
              <w:t xml:space="preserve">Cyberbullying scheme for children: </w:t>
            </w:r>
            <w:proofErr w:type="spellStart"/>
            <w:r>
              <w:rPr>
                <w:color w:val="231F20"/>
                <w:sz w:val="20"/>
              </w:rPr>
              <w:t>eSafety</w:t>
            </w:r>
            <w:proofErr w:type="spellEnd"/>
            <w:r>
              <w:rPr>
                <w:color w:val="231F20"/>
                <w:sz w:val="20"/>
              </w:rPr>
              <w:t xml:space="preserve"> can issue notices</w:t>
            </w:r>
          </w:p>
          <w:p w14:paraId="1154BE23" w14:textId="77777777" w:rsidR="00894070" w:rsidRDefault="009B7AFD">
            <w:pPr>
              <w:pStyle w:val="TableParagraph"/>
              <w:spacing w:before="14" w:line="206" w:lineRule="auto"/>
              <w:rPr>
                <w:sz w:val="11"/>
              </w:rPr>
            </w:pPr>
            <w:r>
              <w:rPr>
                <w:color w:val="231F20"/>
                <w:sz w:val="20"/>
              </w:rPr>
              <w:t>to online service providers or end-users to remove within 24 hours material related to cyberbullying.</w:t>
            </w:r>
            <w:r>
              <w:rPr>
                <w:color w:val="231F20"/>
                <w:position w:val="7"/>
                <w:sz w:val="11"/>
              </w:rPr>
              <w:t xml:space="preserve">70 </w:t>
            </w:r>
            <w:r>
              <w:rPr>
                <w:color w:val="231F20"/>
                <w:sz w:val="20"/>
              </w:rPr>
              <w:t>Penalties apply if the content is not removed.</w:t>
            </w:r>
            <w:r>
              <w:rPr>
                <w:color w:val="231F20"/>
                <w:position w:val="7"/>
                <w:sz w:val="11"/>
              </w:rPr>
              <w:t>71</w:t>
            </w:r>
          </w:p>
        </w:tc>
        <w:tc>
          <w:tcPr>
            <w:tcW w:w="1974" w:type="dxa"/>
          </w:tcPr>
          <w:p w14:paraId="7B0EECB9" w14:textId="77777777" w:rsidR="00894070" w:rsidRDefault="009B7AFD">
            <w:pPr>
              <w:pStyle w:val="TableParagraph"/>
              <w:spacing w:before="65" w:line="259" w:lineRule="exact"/>
              <w:rPr>
                <w:sz w:val="20"/>
              </w:rPr>
            </w:pPr>
            <w:r>
              <w:rPr>
                <w:color w:val="231F20"/>
                <w:sz w:val="20"/>
              </w:rPr>
              <w:t>Federal</w:t>
            </w:r>
          </w:p>
          <w:p w14:paraId="069C7543" w14:textId="77777777" w:rsidR="00894070" w:rsidRDefault="009B7AFD">
            <w:pPr>
              <w:pStyle w:val="TableParagraph"/>
              <w:spacing w:line="259" w:lineRule="exact"/>
              <w:rPr>
                <w:sz w:val="20"/>
              </w:rPr>
            </w:pPr>
            <w:r>
              <w:rPr>
                <w:color w:val="231F20"/>
                <w:sz w:val="20"/>
              </w:rPr>
              <w:t>(Regulatory)</w:t>
            </w:r>
          </w:p>
        </w:tc>
      </w:tr>
      <w:tr w:rsidR="00894070" w14:paraId="4EA014C4" w14:textId="77777777">
        <w:trPr>
          <w:trHeight w:val="1124"/>
        </w:trPr>
        <w:tc>
          <w:tcPr>
            <w:tcW w:w="5953" w:type="dxa"/>
          </w:tcPr>
          <w:p w14:paraId="53284D67" w14:textId="77777777" w:rsidR="00894070" w:rsidRDefault="009B7AFD">
            <w:pPr>
              <w:pStyle w:val="TableParagraph"/>
              <w:spacing w:before="98" w:line="206" w:lineRule="auto"/>
              <w:ind w:right="132"/>
              <w:rPr>
                <w:sz w:val="11"/>
              </w:rPr>
            </w:pPr>
            <w:r>
              <w:rPr>
                <w:i/>
                <w:color w:val="231F20"/>
                <w:sz w:val="20"/>
              </w:rPr>
              <w:t xml:space="preserve">Image-based abuse scheme: </w:t>
            </w:r>
            <w:proofErr w:type="spellStart"/>
            <w:r>
              <w:rPr>
                <w:color w:val="231F20"/>
                <w:sz w:val="20"/>
              </w:rPr>
              <w:t>eSafety</w:t>
            </w:r>
            <w:proofErr w:type="spellEnd"/>
            <w:r>
              <w:rPr>
                <w:color w:val="231F20"/>
                <w:sz w:val="20"/>
              </w:rPr>
              <w:t xml:space="preserve"> can issue notices to online service providers or end-users to remove intimate images within 24 hours. Penalties apply if the content is not removed.</w:t>
            </w:r>
            <w:r>
              <w:rPr>
                <w:color w:val="231F20"/>
                <w:position w:val="7"/>
                <w:sz w:val="11"/>
              </w:rPr>
              <w:t>72</w:t>
            </w:r>
          </w:p>
        </w:tc>
        <w:tc>
          <w:tcPr>
            <w:tcW w:w="1974" w:type="dxa"/>
          </w:tcPr>
          <w:p w14:paraId="4C2E5823" w14:textId="77777777" w:rsidR="00894070" w:rsidRDefault="009B7AFD">
            <w:pPr>
              <w:pStyle w:val="TableParagraph"/>
              <w:spacing w:before="65" w:line="259" w:lineRule="exact"/>
              <w:rPr>
                <w:sz w:val="20"/>
              </w:rPr>
            </w:pPr>
            <w:r>
              <w:rPr>
                <w:color w:val="231F20"/>
                <w:sz w:val="20"/>
              </w:rPr>
              <w:t>Federal</w:t>
            </w:r>
          </w:p>
          <w:p w14:paraId="28F809E3" w14:textId="77777777" w:rsidR="00894070" w:rsidRDefault="009B7AFD">
            <w:pPr>
              <w:pStyle w:val="TableParagraph"/>
              <w:spacing w:line="259" w:lineRule="exact"/>
              <w:rPr>
                <w:sz w:val="20"/>
              </w:rPr>
            </w:pPr>
            <w:r>
              <w:rPr>
                <w:color w:val="231F20"/>
                <w:sz w:val="20"/>
              </w:rPr>
              <w:t>(Regulatory)</w:t>
            </w:r>
          </w:p>
        </w:tc>
      </w:tr>
      <w:tr w:rsidR="00894070" w14:paraId="1A252DAA" w14:textId="77777777">
        <w:trPr>
          <w:trHeight w:val="1364"/>
        </w:trPr>
        <w:tc>
          <w:tcPr>
            <w:tcW w:w="5953" w:type="dxa"/>
          </w:tcPr>
          <w:p w14:paraId="6E499218" w14:textId="77777777" w:rsidR="00894070" w:rsidRDefault="009B7AFD">
            <w:pPr>
              <w:pStyle w:val="TableParagraph"/>
              <w:spacing w:before="98" w:line="206" w:lineRule="auto"/>
              <w:ind w:right="132"/>
              <w:rPr>
                <w:sz w:val="11"/>
              </w:rPr>
            </w:pPr>
            <w:r>
              <w:rPr>
                <w:i/>
                <w:color w:val="231F20"/>
                <w:sz w:val="20"/>
              </w:rPr>
              <w:t xml:space="preserve">Investigative powers: </w:t>
            </w:r>
            <w:proofErr w:type="spellStart"/>
            <w:r>
              <w:rPr>
                <w:color w:val="231F20"/>
                <w:sz w:val="20"/>
              </w:rPr>
              <w:t>eSafety</w:t>
            </w:r>
            <w:proofErr w:type="spellEnd"/>
            <w:r>
              <w:rPr>
                <w:color w:val="231F20"/>
                <w:sz w:val="20"/>
              </w:rPr>
              <w:t xml:space="preserve"> has investigative powers including the ability to compel a person to answer questions and produce documents or information. </w:t>
            </w:r>
            <w:proofErr w:type="spellStart"/>
            <w:r>
              <w:rPr>
                <w:color w:val="231F20"/>
                <w:sz w:val="20"/>
              </w:rPr>
              <w:t>eSafety</w:t>
            </w:r>
            <w:proofErr w:type="spellEnd"/>
            <w:r>
              <w:rPr>
                <w:color w:val="231F20"/>
                <w:sz w:val="20"/>
              </w:rPr>
              <w:t xml:space="preserve"> also has information-gathering powers to obtain end-user identity and contact information from the provider of an online service.</w:t>
            </w:r>
            <w:r>
              <w:rPr>
                <w:color w:val="231F20"/>
                <w:position w:val="7"/>
                <w:sz w:val="11"/>
              </w:rPr>
              <w:t>73</w:t>
            </w:r>
          </w:p>
        </w:tc>
        <w:tc>
          <w:tcPr>
            <w:tcW w:w="1974" w:type="dxa"/>
          </w:tcPr>
          <w:p w14:paraId="17769C55" w14:textId="77777777" w:rsidR="00894070" w:rsidRDefault="009B7AFD">
            <w:pPr>
              <w:pStyle w:val="TableParagraph"/>
              <w:spacing w:before="65" w:line="259" w:lineRule="exact"/>
              <w:rPr>
                <w:sz w:val="20"/>
              </w:rPr>
            </w:pPr>
            <w:r>
              <w:rPr>
                <w:color w:val="231F20"/>
                <w:sz w:val="20"/>
              </w:rPr>
              <w:t>Federal</w:t>
            </w:r>
          </w:p>
          <w:p w14:paraId="3C5814DD" w14:textId="77777777" w:rsidR="00894070" w:rsidRDefault="009B7AFD">
            <w:pPr>
              <w:pStyle w:val="TableParagraph"/>
              <w:spacing w:line="259" w:lineRule="exact"/>
              <w:rPr>
                <w:sz w:val="20"/>
              </w:rPr>
            </w:pPr>
            <w:r>
              <w:rPr>
                <w:color w:val="231F20"/>
                <w:sz w:val="20"/>
              </w:rPr>
              <w:t>(Regulatory)</w:t>
            </w:r>
          </w:p>
        </w:tc>
      </w:tr>
    </w:tbl>
    <w:p w14:paraId="1F55A242" w14:textId="77777777" w:rsidR="00894070" w:rsidRDefault="00894070">
      <w:pPr>
        <w:pStyle w:val="BodyText"/>
        <w:spacing w:before="5"/>
        <w:rPr>
          <w:sz w:val="25"/>
        </w:rPr>
      </w:pPr>
    </w:p>
    <w:p w14:paraId="333E8D1A" w14:textId="77777777" w:rsidR="00894070" w:rsidRDefault="009B7AFD">
      <w:pPr>
        <w:pStyle w:val="ListParagraph"/>
        <w:numPr>
          <w:ilvl w:val="1"/>
          <w:numId w:val="161"/>
        </w:numPr>
        <w:tabs>
          <w:tab w:val="left" w:pos="1801"/>
          <w:tab w:val="left" w:pos="1802"/>
        </w:tabs>
        <w:spacing w:before="89" w:line="206" w:lineRule="auto"/>
        <w:ind w:left="1800" w:right="1214" w:hanging="793"/>
        <w:rPr>
          <w:sz w:val="20"/>
        </w:rPr>
      </w:pPr>
      <w:r>
        <w:rPr>
          <w:color w:val="231F20"/>
          <w:sz w:val="20"/>
        </w:rPr>
        <w:t>Cyberstalking</w:t>
      </w:r>
      <w:r>
        <w:rPr>
          <w:color w:val="231F20"/>
          <w:spacing w:val="-12"/>
          <w:sz w:val="20"/>
        </w:rPr>
        <w:t xml:space="preserve"> </w:t>
      </w:r>
      <w:r>
        <w:rPr>
          <w:color w:val="231F20"/>
          <w:sz w:val="20"/>
        </w:rPr>
        <w:t>can</w:t>
      </w:r>
      <w:r>
        <w:rPr>
          <w:color w:val="231F20"/>
          <w:spacing w:val="-12"/>
          <w:sz w:val="20"/>
        </w:rPr>
        <w:t xml:space="preserve"> </w:t>
      </w:r>
      <w:r>
        <w:rPr>
          <w:color w:val="231F20"/>
          <w:sz w:val="20"/>
        </w:rPr>
        <w:t>fall</w:t>
      </w:r>
      <w:r>
        <w:rPr>
          <w:color w:val="231F20"/>
          <w:spacing w:val="-11"/>
          <w:sz w:val="20"/>
        </w:rPr>
        <w:t xml:space="preserve"> </w:t>
      </w:r>
      <w:r>
        <w:rPr>
          <w:color w:val="231F20"/>
          <w:sz w:val="20"/>
        </w:rPr>
        <w:t>under</w:t>
      </w:r>
      <w:r>
        <w:rPr>
          <w:color w:val="231F20"/>
          <w:spacing w:val="-12"/>
          <w:sz w:val="20"/>
        </w:rPr>
        <w:t xml:space="preserve"> </w:t>
      </w:r>
      <w:r>
        <w:rPr>
          <w:color w:val="231F20"/>
          <w:sz w:val="20"/>
        </w:rPr>
        <w:t>the</w:t>
      </w:r>
      <w:r>
        <w:rPr>
          <w:color w:val="231F20"/>
          <w:spacing w:val="-11"/>
          <w:sz w:val="20"/>
        </w:rPr>
        <w:t xml:space="preserve"> </w:t>
      </w:r>
      <w:r>
        <w:rPr>
          <w:color w:val="231F20"/>
          <w:sz w:val="20"/>
        </w:rPr>
        <w:t>criminal</w:t>
      </w:r>
      <w:r>
        <w:rPr>
          <w:color w:val="231F20"/>
          <w:spacing w:val="-12"/>
          <w:sz w:val="20"/>
        </w:rPr>
        <w:t xml:space="preserve"> </w:t>
      </w:r>
      <w:r>
        <w:rPr>
          <w:color w:val="231F20"/>
          <w:sz w:val="20"/>
        </w:rPr>
        <w:t>offence</w:t>
      </w:r>
      <w:r>
        <w:rPr>
          <w:color w:val="231F20"/>
          <w:spacing w:val="-11"/>
          <w:sz w:val="20"/>
        </w:rPr>
        <w:t xml:space="preserve"> </w:t>
      </w:r>
      <w:r>
        <w:rPr>
          <w:color w:val="231F20"/>
          <w:sz w:val="20"/>
        </w:rPr>
        <w:t>of</w:t>
      </w:r>
      <w:r>
        <w:rPr>
          <w:color w:val="231F20"/>
          <w:spacing w:val="-12"/>
          <w:sz w:val="20"/>
        </w:rPr>
        <w:t xml:space="preserve"> </w:t>
      </w:r>
      <w:r>
        <w:rPr>
          <w:color w:val="231F20"/>
          <w:sz w:val="20"/>
        </w:rPr>
        <w:t>stalking</w:t>
      </w:r>
      <w:r>
        <w:rPr>
          <w:color w:val="231F20"/>
          <w:spacing w:val="-11"/>
          <w:sz w:val="20"/>
        </w:rPr>
        <w:t xml:space="preserve"> </w:t>
      </w:r>
      <w:r>
        <w:rPr>
          <w:color w:val="231F20"/>
          <w:sz w:val="20"/>
        </w:rPr>
        <w:t>in</w:t>
      </w:r>
      <w:r>
        <w:rPr>
          <w:color w:val="231F20"/>
          <w:spacing w:val="-12"/>
          <w:sz w:val="20"/>
        </w:rPr>
        <w:t xml:space="preserve"> </w:t>
      </w:r>
      <w:r>
        <w:rPr>
          <w:color w:val="231F20"/>
          <w:sz w:val="20"/>
        </w:rPr>
        <w:t>the</w:t>
      </w:r>
      <w:r>
        <w:rPr>
          <w:color w:val="231F20"/>
          <w:spacing w:val="-12"/>
          <w:sz w:val="20"/>
        </w:rPr>
        <w:t xml:space="preserve"> </w:t>
      </w:r>
      <w:r>
        <w:rPr>
          <w:i/>
          <w:color w:val="231F20"/>
          <w:sz w:val="20"/>
        </w:rPr>
        <w:t>Crimes</w:t>
      </w:r>
      <w:r>
        <w:rPr>
          <w:i/>
          <w:color w:val="231F20"/>
          <w:spacing w:val="-11"/>
          <w:sz w:val="20"/>
        </w:rPr>
        <w:t xml:space="preserve"> </w:t>
      </w:r>
      <w:r>
        <w:rPr>
          <w:i/>
          <w:color w:val="231F20"/>
          <w:sz w:val="20"/>
        </w:rPr>
        <w:t>Act</w:t>
      </w:r>
      <w:r>
        <w:rPr>
          <w:i/>
          <w:color w:val="231F20"/>
          <w:spacing w:val="-12"/>
          <w:sz w:val="20"/>
        </w:rPr>
        <w:t xml:space="preserve"> </w:t>
      </w:r>
      <w:r>
        <w:rPr>
          <w:i/>
          <w:color w:val="231F20"/>
          <w:sz w:val="20"/>
        </w:rPr>
        <w:t>1958</w:t>
      </w:r>
      <w:r>
        <w:rPr>
          <w:i/>
          <w:color w:val="231F20"/>
          <w:spacing w:val="-10"/>
          <w:sz w:val="20"/>
        </w:rPr>
        <w:t xml:space="preserve"> </w:t>
      </w:r>
      <w:r>
        <w:rPr>
          <w:color w:val="231F20"/>
          <w:spacing w:val="-2"/>
          <w:sz w:val="20"/>
        </w:rPr>
        <w:t>(Vic</w:t>
      </w:r>
      <w:proofErr w:type="gramStart"/>
      <w:r>
        <w:rPr>
          <w:color w:val="231F20"/>
          <w:spacing w:val="-2"/>
          <w:sz w:val="20"/>
        </w:rPr>
        <w:t xml:space="preserve">), </w:t>
      </w:r>
      <w:r>
        <w:rPr>
          <w:color w:val="231F20"/>
          <w:sz w:val="20"/>
        </w:rPr>
        <w:t>and</w:t>
      </w:r>
      <w:proofErr w:type="gramEnd"/>
      <w:r>
        <w:rPr>
          <w:color w:val="231F20"/>
          <w:sz w:val="20"/>
        </w:rPr>
        <w:t xml:space="preserve"> is </w:t>
      </w:r>
      <w:r>
        <w:rPr>
          <w:color w:val="231F20"/>
          <w:spacing w:val="-3"/>
          <w:sz w:val="20"/>
        </w:rPr>
        <w:t xml:space="preserve">investigated by </w:t>
      </w:r>
      <w:r>
        <w:rPr>
          <w:color w:val="231F20"/>
          <w:sz w:val="20"/>
        </w:rPr>
        <w:t xml:space="preserve">Victoria Police. In </w:t>
      </w:r>
      <w:r>
        <w:rPr>
          <w:color w:val="231F20"/>
          <w:spacing w:val="-3"/>
          <w:sz w:val="20"/>
        </w:rPr>
        <w:t xml:space="preserve">Chapter </w:t>
      </w:r>
      <w:r>
        <w:rPr>
          <w:color w:val="231F20"/>
          <w:sz w:val="20"/>
        </w:rPr>
        <w:t xml:space="preserve">7 </w:t>
      </w:r>
      <w:r>
        <w:rPr>
          <w:color w:val="231F20"/>
          <w:spacing w:val="-3"/>
          <w:sz w:val="20"/>
        </w:rPr>
        <w:t xml:space="preserve">we </w:t>
      </w:r>
      <w:r>
        <w:rPr>
          <w:color w:val="231F20"/>
          <w:sz w:val="20"/>
        </w:rPr>
        <w:t>outline the stalking offence in more</w:t>
      </w:r>
      <w:r>
        <w:rPr>
          <w:color w:val="231F20"/>
          <w:spacing w:val="-5"/>
          <w:sz w:val="20"/>
        </w:rPr>
        <w:t xml:space="preserve"> </w:t>
      </w:r>
      <w:r>
        <w:rPr>
          <w:color w:val="231F20"/>
          <w:sz w:val="20"/>
        </w:rPr>
        <w:t>detail.</w:t>
      </w:r>
    </w:p>
    <w:p w14:paraId="01B7F118" w14:textId="77777777" w:rsidR="00894070" w:rsidRDefault="009B7AFD">
      <w:pPr>
        <w:pStyle w:val="ListParagraph"/>
        <w:numPr>
          <w:ilvl w:val="1"/>
          <w:numId w:val="161"/>
        </w:numPr>
        <w:tabs>
          <w:tab w:val="left" w:pos="1801"/>
          <w:tab w:val="left" w:pos="1802"/>
        </w:tabs>
        <w:spacing w:before="92"/>
        <w:rPr>
          <w:sz w:val="11"/>
        </w:rPr>
      </w:pPr>
      <w:r>
        <w:rPr>
          <w:color w:val="231F20"/>
          <w:spacing w:val="-3"/>
          <w:sz w:val="20"/>
        </w:rPr>
        <w:t>Victoria’s</w:t>
      </w:r>
      <w:r>
        <w:rPr>
          <w:color w:val="231F20"/>
          <w:spacing w:val="-7"/>
          <w:sz w:val="20"/>
        </w:rPr>
        <w:t xml:space="preserve"> </w:t>
      </w:r>
      <w:r>
        <w:rPr>
          <w:color w:val="231F20"/>
          <w:sz w:val="20"/>
        </w:rPr>
        <w:t>stalking</w:t>
      </w:r>
      <w:r>
        <w:rPr>
          <w:color w:val="231F20"/>
          <w:spacing w:val="-6"/>
          <w:sz w:val="20"/>
        </w:rPr>
        <w:t xml:space="preserve"> </w:t>
      </w:r>
      <w:r>
        <w:rPr>
          <w:color w:val="231F20"/>
          <w:sz w:val="20"/>
        </w:rPr>
        <w:t>offence</w:t>
      </w:r>
      <w:r>
        <w:rPr>
          <w:color w:val="231F20"/>
          <w:spacing w:val="-7"/>
          <w:sz w:val="20"/>
        </w:rPr>
        <w:t xml:space="preserve"> </w:t>
      </w:r>
      <w:r>
        <w:rPr>
          <w:color w:val="231F20"/>
          <w:sz w:val="20"/>
        </w:rPr>
        <w:t>is</w:t>
      </w:r>
      <w:r>
        <w:rPr>
          <w:color w:val="231F20"/>
          <w:spacing w:val="-6"/>
          <w:sz w:val="20"/>
        </w:rPr>
        <w:t xml:space="preserve"> </w:t>
      </w:r>
      <w:r>
        <w:rPr>
          <w:color w:val="231F20"/>
          <w:sz w:val="20"/>
        </w:rPr>
        <w:t>sufficiently</w:t>
      </w:r>
      <w:r>
        <w:rPr>
          <w:color w:val="231F20"/>
          <w:spacing w:val="-7"/>
          <w:sz w:val="20"/>
        </w:rPr>
        <w:t xml:space="preserve"> </w:t>
      </w:r>
      <w:r>
        <w:rPr>
          <w:color w:val="231F20"/>
          <w:sz w:val="20"/>
        </w:rPr>
        <w:t>‘technologically</w:t>
      </w:r>
      <w:r>
        <w:rPr>
          <w:color w:val="231F20"/>
          <w:spacing w:val="-6"/>
          <w:sz w:val="20"/>
        </w:rPr>
        <w:t xml:space="preserve"> </w:t>
      </w:r>
      <w:r>
        <w:rPr>
          <w:color w:val="231F20"/>
          <w:spacing w:val="-3"/>
          <w:sz w:val="20"/>
        </w:rPr>
        <w:t>neutral’</w:t>
      </w:r>
      <w:r>
        <w:rPr>
          <w:color w:val="231F20"/>
          <w:spacing w:val="-7"/>
          <w:sz w:val="20"/>
        </w:rPr>
        <w:t xml:space="preserve"> </w:t>
      </w:r>
      <w:r>
        <w:rPr>
          <w:color w:val="231F20"/>
          <w:sz w:val="20"/>
        </w:rPr>
        <w:t>to</w:t>
      </w:r>
      <w:r>
        <w:rPr>
          <w:color w:val="231F20"/>
          <w:spacing w:val="-6"/>
          <w:sz w:val="20"/>
        </w:rPr>
        <w:t xml:space="preserve"> </w:t>
      </w:r>
      <w:r>
        <w:rPr>
          <w:color w:val="231F20"/>
          <w:spacing w:val="-4"/>
          <w:sz w:val="20"/>
        </w:rPr>
        <w:t>cover</w:t>
      </w:r>
      <w:r>
        <w:rPr>
          <w:color w:val="231F20"/>
          <w:spacing w:val="-7"/>
          <w:sz w:val="20"/>
        </w:rPr>
        <w:t xml:space="preserve"> </w:t>
      </w:r>
      <w:r>
        <w:rPr>
          <w:color w:val="231F20"/>
          <w:spacing w:val="-3"/>
          <w:sz w:val="20"/>
        </w:rPr>
        <w:t>cyberstalking.</w:t>
      </w:r>
      <w:r>
        <w:rPr>
          <w:color w:val="231F20"/>
          <w:spacing w:val="-3"/>
          <w:position w:val="7"/>
          <w:sz w:val="11"/>
        </w:rPr>
        <w:t>74</w:t>
      </w:r>
    </w:p>
    <w:p w14:paraId="08A8E69C" w14:textId="77777777" w:rsidR="00894070" w:rsidRDefault="009B7AFD">
      <w:pPr>
        <w:pStyle w:val="ListParagraph"/>
        <w:numPr>
          <w:ilvl w:val="1"/>
          <w:numId w:val="161"/>
        </w:numPr>
        <w:tabs>
          <w:tab w:val="left" w:pos="1801"/>
          <w:tab w:val="left" w:pos="1802"/>
        </w:tabs>
        <w:spacing w:before="114" w:line="206" w:lineRule="auto"/>
        <w:ind w:right="1307"/>
        <w:rPr>
          <w:sz w:val="20"/>
        </w:rPr>
      </w:pPr>
      <w:r>
        <w:rPr>
          <w:color w:val="231F20"/>
          <w:sz w:val="20"/>
        </w:rPr>
        <w:t>Other</w:t>
      </w:r>
      <w:r>
        <w:rPr>
          <w:color w:val="231F20"/>
          <w:spacing w:val="-11"/>
          <w:sz w:val="20"/>
        </w:rPr>
        <w:t xml:space="preserve"> </w:t>
      </w:r>
      <w:r>
        <w:rPr>
          <w:color w:val="231F20"/>
          <w:sz w:val="20"/>
        </w:rPr>
        <w:t>possible</w:t>
      </w:r>
      <w:r>
        <w:rPr>
          <w:color w:val="231F20"/>
          <w:spacing w:val="-10"/>
          <w:sz w:val="20"/>
        </w:rPr>
        <w:t xml:space="preserve"> </w:t>
      </w:r>
      <w:r>
        <w:rPr>
          <w:color w:val="231F20"/>
          <w:sz w:val="20"/>
        </w:rPr>
        <w:t>legal</w:t>
      </w:r>
      <w:r>
        <w:rPr>
          <w:color w:val="231F20"/>
          <w:spacing w:val="-10"/>
          <w:sz w:val="20"/>
        </w:rPr>
        <w:t xml:space="preserve"> </w:t>
      </w:r>
      <w:r>
        <w:rPr>
          <w:color w:val="231F20"/>
          <w:sz w:val="20"/>
        </w:rPr>
        <w:t>responses</w:t>
      </w:r>
      <w:r>
        <w:rPr>
          <w:color w:val="231F20"/>
          <w:spacing w:val="-10"/>
          <w:sz w:val="20"/>
        </w:rPr>
        <w:t xml:space="preserve"> </w:t>
      </w:r>
      <w:r>
        <w:rPr>
          <w:color w:val="231F20"/>
          <w:sz w:val="20"/>
        </w:rPr>
        <w:t>to</w:t>
      </w:r>
      <w:r>
        <w:rPr>
          <w:color w:val="231F20"/>
          <w:spacing w:val="-10"/>
          <w:sz w:val="20"/>
        </w:rPr>
        <w:t xml:space="preserve"> </w:t>
      </w:r>
      <w:r>
        <w:rPr>
          <w:color w:val="231F20"/>
          <w:sz w:val="20"/>
        </w:rPr>
        <w:t>cyberstalking</w:t>
      </w:r>
      <w:r>
        <w:rPr>
          <w:color w:val="231F20"/>
          <w:spacing w:val="-10"/>
          <w:sz w:val="20"/>
        </w:rPr>
        <w:t xml:space="preserve"> </w:t>
      </w:r>
      <w:r>
        <w:rPr>
          <w:color w:val="231F20"/>
          <w:spacing w:val="-3"/>
          <w:sz w:val="20"/>
        </w:rPr>
        <w:t>are</w:t>
      </w:r>
      <w:r>
        <w:rPr>
          <w:color w:val="231F20"/>
          <w:spacing w:val="-10"/>
          <w:sz w:val="20"/>
        </w:rPr>
        <w:t xml:space="preserve"> </w:t>
      </w:r>
      <w:r>
        <w:rPr>
          <w:color w:val="231F20"/>
          <w:sz w:val="20"/>
        </w:rPr>
        <w:t>outlined</w:t>
      </w:r>
      <w:r>
        <w:rPr>
          <w:color w:val="231F20"/>
          <w:spacing w:val="-10"/>
          <w:sz w:val="20"/>
        </w:rPr>
        <w:t xml:space="preserve"> </w:t>
      </w:r>
      <w:r>
        <w:rPr>
          <w:color w:val="231F20"/>
          <w:sz w:val="20"/>
        </w:rPr>
        <w:t>in</w:t>
      </w:r>
      <w:r>
        <w:rPr>
          <w:color w:val="231F20"/>
          <w:spacing w:val="-10"/>
          <w:sz w:val="20"/>
        </w:rPr>
        <w:t xml:space="preserve"> </w:t>
      </w:r>
      <w:r>
        <w:rPr>
          <w:color w:val="231F20"/>
          <w:spacing w:val="-6"/>
          <w:sz w:val="20"/>
        </w:rPr>
        <w:t>Table</w:t>
      </w:r>
      <w:r>
        <w:rPr>
          <w:color w:val="231F20"/>
          <w:spacing w:val="-11"/>
          <w:sz w:val="20"/>
        </w:rPr>
        <w:t xml:space="preserve"> </w:t>
      </w:r>
      <w:r>
        <w:rPr>
          <w:color w:val="231F20"/>
          <w:sz w:val="20"/>
        </w:rPr>
        <w:t>6</w:t>
      </w:r>
      <w:r>
        <w:rPr>
          <w:color w:val="231F20"/>
          <w:spacing w:val="-10"/>
          <w:sz w:val="20"/>
        </w:rPr>
        <w:t xml:space="preserve"> </w:t>
      </w:r>
      <w:r>
        <w:rPr>
          <w:color w:val="231F20"/>
          <w:spacing w:val="-3"/>
          <w:sz w:val="20"/>
        </w:rPr>
        <w:t>above.</w:t>
      </w:r>
      <w:r>
        <w:rPr>
          <w:color w:val="231F20"/>
          <w:spacing w:val="-10"/>
          <w:sz w:val="20"/>
        </w:rPr>
        <w:t xml:space="preserve"> </w:t>
      </w:r>
      <w:r>
        <w:rPr>
          <w:color w:val="231F20"/>
          <w:sz w:val="20"/>
        </w:rPr>
        <w:t xml:space="preserve">Federal offences </w:t>
      </w:r>
      <w:r>
        <w:rPr>
          <w:color w:val="231F20"/>
          <w:spacing w:val="-3"/>
          <w:sz w:val="20"/>
        </w:rPr>
        <w:t xml:space="preserve">are investigated by </w:t>
      </w:r>
      <w:r>
        <w:rPr>
          <w:color w:val="231F20"/>
          <w:sz w:val="20"/>
        </w:rPr>
        <w:t>the Australian Federal Police, and sometimes federal offences</w:t>
      </w:r>
      <w:r>
        <w:rPr>
          <w:color w:val="231F20"/>
          <w:spacing w:val="-11"/>
          <w:sz w:val="20"/>
        </w:rPr>
        <w:t xml:space="preserve"> </w:t>
      </w:r>
      <w:r>
        <w:rPr>
          <w:color w:val="231F20"/>
          <w:spacing w:val="-3"/>
          <w:sz w:val="20"/>
        </w:rPr>
        <w:t>are</w:t>
      </w:r>
      <w:r>
        <w:rPr>
          <w:color w:val="231F20"/>
          <w:spacing w:val="-10"/>
          <w:sz w:val="20"/>
        </w:rPr>
        <w:t xml:space="preserve"> </w:t>
      </w:r>
      <w:r>
        <w:rPr>
          <w:color w:val="231F20"/>
          <w:sz w:val="20"/>
        </w:rPr>
        <w:t>pursued</w:t>
      </w:r>
      <w:r>
        <w:rPr>
          <w:color w:val="231F20"/>
          <w:spacing w:val="-11"/>
          <w:sz w:val="20"/>
        </w:rPr>
        <w:t xml:space="preserve"> </w:t>
      </w:r>
      <w:r>
        <w:rPr>
          <w:color w:val="231F20"/>
          <w:sz w:val="20"/>
        </w:rPr>
        <w:t>instead</w:t>
      </w:r>
      <w:r>
        <w:rPr>
          <w:color w:val="231F20"/>
          <w:spacing w:val="-10"/>
          <w:sz w:val="20"/>
        </w:rPr>
        <w:t xml:space="preserve"> </w:t>
      </w:r>
      <w:r>
        <w:rPr>
          <w:color w:val="231F20"/>
          <w:sz w:val="20"/>
        </w:rPr>
        <w:t>of</w:t>
      </w:r>
      <w:r>
        <w:rPr>
          <w:color w:val="231F20"/>
          <w:spacing w:val="-11"/>
          <w:sz w:val="20"/>
        </w:rPr>
        <w:t xml:space="preserve"> </w:t>
      </w:r>
      <w:r>
        <w:rPr>
          <w:color w:val="231F20"/>
          <w:sz w:val="20"/>
        </w:rPr>
        <w:t>the</w:t>
      </w:r>
      <w:r>
        <w:rPr>
          <w:color w:val="231F20"/>
          <w:spacing w:val="-10"/>
          <w:sz w:val="20"/>
        </w:rPr>
        <w:t xml:space="preserve"> </w:t>
      </w:r>
      <w:r>
        <w:rPr>
          <w:color w:val="231F20"/>
          <w:sz w:val="20"/>
        </w:rPr>
        <w:t>Victorian</w:t>
      </w:r>
      <w:r>
        <w:rPr>
          <w:color w:val="231F20"/>
          <w:spacing w:val="-11"/>
          <w:sz w:val="20"/>
        </w:rPr>
        <w:t xml:space="preserve"> </w:t>
      </w:r>
      <w:r>
        <w:rPr>
          <w:color w:val="231F20"/>
          <w:spacing w:val="-3"/>
          <w:sz w:val="20"/>
        </w:rPr>
        <w:t>offence.</w:t>
      </w:r>
      <w:r>
        <w:rPr>
          <w:color w:val="231F20"/>
          <w:spacing w:val="-3"/>
          <w:position w:val="7"/>
          <w:sz w:val="11"/>
        </w:rPr>
        <w:t>75</w:t>
      </w:r>
      <w:r>
        <w:rPr>
          <w:color w:val="231F20"/>
          <w:spacing w:val="13"/>
          <w:position w:val="7"/>
          <w:sz w:val="11"/>
        </w:rPr>
        <w:t xml:space="preserve"> </w:t>
      </w:r>
      <w:r>
        <w:rPr>
          <w:color w:val="231F20"/>
          <w:spacing w:val="-5"/>
          <w:sz w:val="20"/>
        </w:rPr>
        <w:t>However,</w:t>
      </w:r>
      <w:r>
        <w:rPr>
          <w:color w:val="231F20"/>
          <w:spacing w:val="-10"/>
          <w:sz w:val="20"/>
        </w:rPr>
        <w:t xml:space="preserve"> </w:t>
      </w:r>
      <w:r>
        <w:rPr>
          <w:color w:val="231F20"/>
          <w:sz w:val="20"/>
        </w:rPr>
        <w:t>our</w:t>
      </w:r>
      <w:r>
        <w:rPr>
          <w:color w:val="231F20"/>
          <w:spacing w:val="-11"/>
          <w:sz w:val="20"/>
        </w:rPr>
        <w:t xml:space="preserve"> </w:t>
      </w:r>
      <w:r>
        <w:rPr>
          <w:color w:val="231F20"/>
          <w:spacing w:val="-3"/>
          <w:sz w:val="20"/>
        </w:rPr>
        <w:t>focus</w:t>
      </w:r>
      <w:r>
        <w:rPr>
          <w:color w:val="231F20"/>
          <w:spacing w:val="-10"/>
          <w:sz w:val="20"/>
        </w:rPr>
        <w:t xml:space="preserve"> </w:t>
      </w:r>
      <w:r>
        <w:rPr>
          <w:color w:val="231F20"/>
          <w:sz w:val="20"/>
        </w:rPr>
        <w:t>is</w:t>
      </w:r>
      <w:r>
        <w:rPr>
          <w:color w:val="231F20"/>
          <w:spacing w:val="-11"/>
          <w:sz w:val="20"/>
        </w:rPr>
        <w:t xml:space="preserve"> </w:t>
      </w:r>
      <w:r>
        <w:rPr>
          <w:color w:val="231F20"/>
          <w:sz w:val="20"/>
        </w:rPr>
        <w:t xml:space="preserve">Victorian </w:t>
      </w:r>
      <w:r>
        <w:rPr>
          <w:color w:val="231F20"/>
          <w:spacing w:val="-5"/>
          <w:sz w:val="20"/>
        </w:rPr>
        <w:t xml:space="preserve">law, </w:t>
      </w:r>
      <w:r>
        <w:rPr>
          <w:color w:val="231F20"/>
          <w:sz w:val="20"/>
        </w:rPr>
        <w:t xml:space="preserve">and when </w:t>
      </w:r>
      <w:r>
        <w:rPr>
          <w:color w:val="231F20"/>
          <w:spacing w:val="-3"/>
          <w:sz w:val="20"/>
        </w:rPr>
        <w:t xml:space="preserve">we </w:t>
      </w:r>
      <w:r>
        <w:rPr>
          <w:color w:val="231F20"/>
          <w:spacing w:val="-4"/>
          <w:sz w:val="20"/>
        </w:rPr>
        <w:t xml:space="preserve">refer </w:t>
      </w:r>
      <w:r>
        <w:rPr>
          <w:color w:val="231F20"/>
          <w:sz w:val="20"/>
        </w:rPr>
        <w:t xml:space="preserve">to </w:t>
      </w:r>
      <w:r>
        <w:rPr>
          <w:color w:val="231F20"/>
          <w:spacing w:val="-3"/>
          <w:sz w:val="20"/>
        </w:rPr>
        <w:t xml:space="preserve">‘police’ we </w:t>
      </w:r>
      <w:r>
        <w:rPr>
          <w:color w:val="231F20"/>
          <w:sz w:val="20"/>
        </w:rPr>
        <w:t>mean Victoria</w:t>
      </w:r>
      <w:r>
        <w:rPr>
          <w:color w:val="231F20"/>
          <w:spacing w:val="-27"/>
          <w:sz w:val="20"/>
        </w:rPr>
        <w:t xml:space="preserve"> </w:t>
      </w:r>
      <w:r>
        <w:rPr>
          <w:color w:val="231F20"/>
          <w:sz w:val="20"/>
        </w:rPr>
        <w:t>Police.</w:t>
      </w:r>
    </w:p>
    <w:p w14:paraId="52A3ADB0" w14:textId="77777777" w:rsidR="00894070" w:rsidRDefault="009B7AFD">
      <w:pPr>
        <w:pStyle w:val="ListParagraph"/>
        <w:numPr>
          <w:ilvl w:val="1"/>
          <w:numId w:val="161"/>
        </w:numPr>
        <w:tabs>
          <w:tab w:val="left" w:pos="1801"/>
          <w:tab w:val="left" w:pos="1802"/>
        </w:tabs>
        <w:spacing w:before="125" w:line="206" w:lineRule="auto"/>
        <w:ind w:right="1266"/>
        <w:rPr>
          <w:sz w:val="20"/>
        </w:rPr>
      </w:pPr>
      <w:proofErr w:type="spellStart"/>
      <w:r>
        <w:rPr>
          <w:color w:val="231F20"/>
          <w:sz w:val="20"/>
        </w:rPr>
        <w:t>eSafety</w:t>
      </w:r>
      <w:proofErr w:type="spellEnd"/>
      <w:r>
        <w:rPr>
          <w:color w:val="231F20"/>
          <w:spacing w:val="-8"/>
          <w:sz w:val="20"/>
        </w:rPr>
        <w:t xml:space="preserve"> </w:t>
      </w:r>
      <w:r>
        <w:rPr>
          <w:color w:val="231F20"/>
          <w:sz w:val="20"/>
        </w:rPr>
        <w:t>is</w:t>
      </w:r>
      <w:r>
        <w:rPr>
          <w:color w:val="231F20"/>
          <w:spacing w:val="-8"/>
          <w:sz w:val="20"/>
        </w:rPr>
        <w:t xml:space="preserve"> </w:t>
      </w:r>
      <w:r>
        <w:rPr>
          <w:color w:val="231F20"/>
          <w:sz w:val="20"/>
        </w:rPr>
        <w:t>an</w:t>
      </w:r>
      <w:r>
        <w:rPr>
          <w:color w:val="231F20"/>
          <w:spacing w:val="-8"/>
          <w:sz w:val="20"/>
        </w:rPr>
        <w:t xml:space="preserve"> </w:t>
      </w:r>
      <w:r>
        <w:rPr>
          <w:color w:val="231F20"/>
          <w:sz w:val="20"/>
        </w:rPr>
        <w:t>Australian</w:t>
      </w:r>
      <w:r>
        <w:rPr>
          <w:color w:val="231F20"/>
          <w:spacing w:val="-8"/>
          <w:sz w:val="20"/>
        </w:rPr>
        <w:t xml:space="preserve"> </w:t>
      </w:r>
      <w:r>
        <w:rPr>
          <w:color w:val="231F20"/>
          <w:spacing w:val="-3"/>
          <w:sz w:val="20"/>
        </w:rPr>
        <w:t>Government</w:t>
      </w:r>
      <w:r>
        <w:rPr>
          <w:color w:val="231F20"/>
          <w:spacing w:val="-8"/>
          <w:sz w:val="20"/>
        </w:rPr>
        <w:t xml:space="preserve"> </w:t>
      </w:r>
      <w:r>
        <w:rPr>
          <w:color w:val="231F20"/>
          <w:sz w:val="20"/>
        </w:rPr>
        <w:t>authority</w:t>
      </w:r>
      <w:r>
        <w:rPr>
          <w:color w:val="231F20"/>
          <w:spacing w:val="-7"/>
          <w:sz w:val="20"/>
        </w:rPr>
        <w:t xml:space="preserve"> </w:t>
      </w:r>
      <w:r>
        <w:rPr>
          <w:color w:val="231F20"/>
          <w:spacing w:val="-3"/>
          <w:sz w:val="20"/>
        </w:rPr>
        <w:t>responsible</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keeping</w:t>
      </w:r>
      <w:r>
        <w:rPr>
          <w:color w:val="231F20"/>
          <w:spacing w:val="-8"/>
          <w:sz w:val="20"/>
        </w:rPr>
        <w:t xml:space="preserve"> </w:t>
      </w:r>
      <w:r>
        <w:rPr>
          <w:color w:val="231F20"/>
          <w:sz w:val="20"/>
        </w:rPr>
        <w:t>Australians</w:t>
      </w:r>
      <w:r>
        <w:rPr>
          <w:color w:val="231F20"/>
          <w:spacing w:val="-8"/>
          <w:sz w:val="20"/>
        </w:rPr>
        <w:t xml:space="preserve"> </w:t>
      </w:r>
      <w:r>
        <w:rPr>
          <w:color w:val="231F20"/>
          <w:spacing w:val="-3"/>
          <w:sz w:val="20"/>
        </w:rPr>
        <w:t xml:space="preserve">safe </w:t>
      </w:r>
      <w:r>
        <w:rPr>
          <w:color w:val="231F20"/>
          <w:sz w:val="20"/>
        </w:rPr>
        <w:t xml:space="preserve">online. It </w:t>
      </w:r>
      <w:r>
        <w:rPr>
          <w:color w:val="231F20"/>
          <w:spacing w:val="-3"/>
          <w:sz w:val="20"/>
        </w:rPr>
        <w:t xml:space="preserve">provides </w:t>
      </w:r>
      <w:r>
        <w:rPr>
          <w:color w:val="231F20"/>
          <w:sz w:val="20"/>
        </w:rPr>
        <w:t xml:space="preserve">a regulatory response to some </w:t>
      </w:r>
      <w:r>
        <w:rPr>
          <w:color w:val="231F20"/>
          <w:spacing w:val="-3"/>
          <w:sz w:val="20"/>
        </w:rPr>
        <w:t xml:space="preserve">technology-facilitated </w:t>
      </w:r>
      <w:r>
        <w:rPr>
          <w:color w:val="231F20"/>
          <w:sz w:val="20"/>
        </w:rPr>
        <w:t xml:space="preserve">harms under the </w:t>
      </w:r>
      <w:r>
        <w:rPr>
          <w:i/>
          <w:color w:val="231F20"/>
          <w:sz w:val="20"/>
        </w:rPr>
        <w:t xml:space="preserve">Online Safety Act </w:t>
      </w:r>
      <w:r>
        <w:rPr>
          <w:i/>
          <w:color w:val="231F20"/>
          <w:spacing w:val="-3"/>
          <w:sz w:val="20"/>
        </w:rPr>
        <w:t xml:space="preserve">2021 </w:t>
      </w:r>
      <w:r>
        <w:rPr>
          <w:color w:val="231F20"/>
          <w:spacing w:val="-4"/>
          <w:sz w:val="20"/>
        </w:rPr>
        <w:t>(</w:t>
      </w:r>
      <w:proofErr w:type="spellStart"/>
      <w:r>
        <w:rPr>
          <w:color w:val="231F20"/>
          <w:spacing w:val="-4"/>
          <w:sz w:val="20"/>
        </w:rPr>
        <w:t>Cth</w:t>
      </w:r>
      <w:proofErr w:type="spellEnd"/>
      <w:r>
        <w:rPr>
          <w:color w:val="231F20"/>
          <w:spacing w:val="-4"/>
          <w:sz w:val="20"/>
        </w:rPr>
        <w:t xml:space="preserve">). </w:t>
      </w:r>
      <w:r>
        <w:rPr>
          <w:color w:val="231F20"/>
          <w:sz w:val="20"/>
        </w:rPr>
        <w:t>Its functions</w:t>
      </w:r>
      <w:r>
        <w:rPr>
          <w:color w:val="231F20"/>
          <w:spacing w:val="-27"/>
          <w:sz w:val="20"/>
        </w:rPr>
        <w:t xml:space="preserve"> </w:t>
      </w:r>
      <w:r>
        <w:rPr>
          <w:color w:val="231F20"/>
          <w:spacing w:val="-3"/>
          <w:sz w:val="20"/>
        </w:rPr>
        <w:t>include:</w:t>
      </w:r>
    </w:p>
    <w:p w14:paraId="6C4B208D" w14:textId="77777777" w:rsidR="00894070" w:rsidRDefault="009B7AFD">
      <w:pPr>
        <w:pStyle w:val="ListParagraph"/>
        <w:numPr>
          <w:ilvl w:val="2"/>
          <w:numId w:val="161"/>
        </w:numPr>
        <w:tabs>
          <w:tab w:val="left" w:pos="2141"/>
          <w:tab w:val="left" w:pos="2142"/>
        </w:tabs>
        <w:spacing w:before="92"/>
        <w:ind w:hanging="340"/>
        <w:rPr>
          <w:sz w:val="20"/>
        </w:rPr>
      </w:pPr>
      <w:r>
        <w:rPr>
          <w:color w:val="231F20"/>
          <w:sz w:val="20"/>
        </w:rPr>
        <w:t xml:space="preserve">promoting online safety </w:t>
      </w:r>
      <w:r>
        <w:rPr>
          <w:color w:val="231F20"/>
          <w:spacing w:val="-3"/>
          <w:sz w:val="20"/>
        </w:rPr>
        <w:t>for</w:t>
      </w:r>
      <w:r>
        <w:rPr>
          <w:color w:val="231F20"/>
          <w:spacing w:val="-18"/>
          <w:sz w:val="20"/>
        </w:rPr>
        <w:t xml:space="preserve"> </w:t>
      </w:r>
      <w:r>
        <w:rPr>
          <w:color w:val="231F20"/>
          <w:sz w:val="20"/>
        </w:rPr>
        <w:t>Australians</w:t>
      </w:r>
    </w:p>
    <w:p w14:paraId="192CBA29" w14:textId="77777777" w:rsidR="00894070" w:rsidRDefault="009B7AFD">
      <w:pPr>
        <w:pStyle w:val="ListParagraph"/>
        <w:numPr>
          <w:ilvl w:val="2"/>
          <w:numId w:val="161"/>
        </w:numPr>
        <w:tabs>
          <w:tab w:val="left" w:pos="2141"/>
          <w:tab w:val="left" w:pos="2142"/>
        </w:tabs>
        <w:spacing w:before="47"/>
        <w:ind w:hanging="340"/>
        <w:rPr>
          <w:sz w:val="20"/>
        </w:rPr>
      </w:pPr>
      <w:r>
        <w:rPr>
          <w:color w:val="231F20"/>
          <w:sz w:val="20"/>
        </w:rPr>
        <w:t xml:space="preserve">managing a complaints </w:t>
      </w:r>
      <w:r>
        <w:rPr>
          <w:color w:val="231F20"/>
          <w:spacing w:val="-2"/>
          <w:sz w:val="20"/>
        </w:rPr>
        <w:t xml:space="preserve">system </w:t>
      </w:r>
      <w:r>
        <w:rPr>
          <w:color w:val="231F20"/>
          <w:spacing w:val="-3"/>
          <w:sz w:val="20"/>
        </w:rPr>
        <w:t>for cyberbullying</w:t>
      </w:r>
      <w:r>
        <w:rPr>
          <w:color w:val="231F20"/>
          <w:spacing w:val="-21"/>
          <w:sz w:val="20"/>
        </w:rPr>
        <w:t xml:space="preserve"> </w:t>
      </w:r>
      <w:r>
        <w:rPr>
          <w:color w:val="231F20"/>
          <w:sz w:val="20"/>
        </w:rPr>
        <w:t>material</w:t>
      </w:r>
    </w:p>
    <w:p w14:paraId="63EE70F6" w14:textId="77777777" w:rsidR="00894070" w:rsidRDefault="009B7AFD">
      <w:pPr>
        <w:pStyle w:val="ListParagraph"/>
        <w:numPr>
          <w:ilvl w:val="2"/>
          <w:numId w:val="161"/>
        </w:numPr>
        <w:tabs>
          <w:tab w:val="left" w:pos="2141"/>
          <w:tab w:val="left" w:pos="2142"/>
        </w:tabs>
        <w:spacing w:before="48"/>
        <w:ind w:hanging="340"/>
        <w:rPr>
          <w:sz w:val="20"/>
        </w:rPr>
      </w:pPr>
      <w:r>
        <w:rPr>
          <w:color w:val="231F20"/>
          <w:sz w:val="20"/>
        </w:rPr>
        <w:t xml:space="preserve">managing a complaints </w:t>
      </w:r>
      <w:r>
        <w:rPr>
          <w:color w:val="231F20"/>
          <w:spacing w:val="-2"/>
          <w:sz w:val="20"/>
        </w:rPr>
        <w:t xml:space="preserve">system </w:t>
      </w:r>
      <w:r>
        <w:rPr>
          <w:color w:val="231F20"/>
          <w:spacing w:val="-3"/>
          <w:sz w:val="20"/>
        </w:rPr>
        <w:t>for cyber-abuse</w:t>
      </w:r>
      <w:r>
        <w:rPr>
          <w:color w:val="231F20"/>
          <w:spacing w:val="-21"/>
          <w:sz w:val="20"/>
        </w:rPr>
        <w:t xml:space="preserve"> </w:t>
      </w:r>
      <w:r>
        <w:rPr>
          <w:color w:val="231F20"/>
          <w:sz w:val="20"/>
        </w:rPr>
        <w:t>material</w:t>
      </w:r>
    </w:p>
    <w:p w14:paraId="4D7084CD" w14:textId="77777777" w:rsidR="00894070" w:rsidRDefault="009B7AFD">
      <w:pPr>
        <w:pStyle w:val="ListParagraph"/>
        <w:numPr>
          <w:ilvl w:val="2"/>
          <w:numId w:val="161"/>
        </w:numPr>
        <w:tabs>
          <w:tab w:val="left" w:pos="2141"/>
          <w:tab w:val="left" w:pos="2142"/>
        </w:tabs>
        <w:spacing w:before="47" w:line="259" w:lineRule="exact"/>
        <w:ind w:hanging="340"/>
        <w:rPr>
          <w:sz w:val="20"/>
        </w:rPr>
      </w:pPr>
      <w:r>
        <w:rPr>
          <w:color w:val="231F20"/>
          <w:sz w:val="20"/>
        </w:rPr>
        <w:t>managing</w:t>
      </w:r>
      <w:r>
        <w:rPr>
          <w:color w:val="231F20"/>
          <w:spacing w:val="-6"/>
          <w:sz w:val="20"/>
        </w:rPr>
        <w:t xml:space="preserve"> </w:t>
      </w:r>
      <w:r>
        <w:rPr>
          <w:color w:val="231F20"/>
          <w:sz w:val="20"/>
        </w:rPr>
        <w:t>a</w:t>
      </w:r>
      <w:r>
        <w:rPr>
          <w:color w:val="231F20"/>
          <w:spacing w:val="-5"/>
          <w:sz w:val="20"/>
        </w:rPr>
        <w:t xml:space="preserve"> </w:t>
      </w:r>
      <w:r>
        <w:rPr>
          <w:color w:val="231F20"/>
          <w:sz w:val="20"/>
        </w:rPr>
        <w:t>complaints</w:t>
      </w:r>
      <w:r>
        <w:rPr>
          <w:color w:val="231F20"/>
          <w:spacing w:val="-5"/>
          <w:sz w:val="20"/>
        </w:rPr>
        <w:t xml:space="preserve"> </w:t>
      </w:r>
      <w:r>
        <w:rPr>
          <w:color w:val="231F20"/>
          <w:sz w:val="20"/>
        </w:rPr>
        <w:t>and</w:t>
      </w:r>
      <w:r>
        <w:rPr>
          <w:color w:val="231F20"/>
          <w:spacing w:val="-6"/>
          <w:sz w:val="20"/>
        </w:rPr>
        <w:t xml:space="preserve"> </w:t>
      </w:r>
      <w:r>
        <w:rPr>
          <w:color w:val="231F20"/>
          <w:sz w:val="20"/>
        </w:rPr>
        <w:t>objections</w:t>
      </w:r>
      <w:r>
        <w:rPr>
          <w:color w:val="231F20"/>
          <w:spacing w:val="-5"/>
          <w:sz w:val="20"/>
        </w:rPr>
        <w:t xml:space="preserve"> </w:t>
      </w:r>
      <w:r>
        <w:rPr>
          <w:color w:val="231F20"/>
          <w:spacing w:val="-2"/>
          <w:sz w:val="20"/>
        </w:rPr>
        <w:t>system</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non-consensual</w:t>
      </w:r>
      <w:r>
        <w:rPr>
          <w:color w:val="231F20"/>
          <w:spacing w:val="-6"/>
          <w:sz w:val="20"/>
        </w:rPr>
        <w:t xml:space="preserve"> </w:t>
      </w:r>
      <w:r>
        <w:rPr>
          <w:color w:val="231F20"/>
          <w:sz w:val="20"/>
        </w:rPr>
        <w:t>sharing</w:t>
      </w:r>
      <w:r>
        <w:rPr>
          <w:color w:val="231F20"/>
          <w:spacing w:val="-5"/>
          <w:sz w:val="20"/>
        </w:rPr>
        <w:t xml:space="preserve"> </w:t>
      </w:r>
      <w:r>
        <w:rPr>
          <w:color w:val="231F20"/>
          <w:sz w:val="20"/>
        </w:rPr>
        <w:t>of</w:t>
      </w:r>
    </w:p>
    <w:p w14:paraId="70A39AD7" w14:textId="77777777" w:rsidR="00894070" w:rsidRDefault="009B7AFD">
      <w:pPr>
        <w:pStyle w:val="BodyText"/>
        <w:spacing w:line="259" w:lineRule="exact"/>
        <w:ind w:left="2141"/>
        <w:rPr>
          <w:sz w:val="11"/>
        </w:rPr>
      </w:pPr>
      <w:r>
        <w:rPr>
          <w:color w:val="231F20"/>
        </w:rPr>
        <w:t>intimate images.</w:t>
      </w:r>
      <w:r>
        <w:rPr>
          <w:color w:val="231F20"/>
          <w:position w:val="7"/>
          <w:sz w:val="11"/>
        </w:rPr>
        <w:t>76</w:t>
      </w:r>
    </w:p>
    <w:p w14:paraId="4F78194C" w14:textId="77777777" w:rsidR="00894070" w:rsidRDefault="009B7AFD">
      <w:pPr>
        <w:pStyle w:val="ListParagraph"/>
        <w:numPr>
          <w:ilvl w:val="1"/>
          <w:numId w:val="161"/>
        </w:numPr>
        <w:tabs>
          <w:tab w:val="left" w:pos="1801"/>
          <w:tab w:val="left" w:pos="1802"/>
        </w:tabs>
        <w:spacing w:before="80" w:line="206" w:lineRule="auto"/>
        <w:ind w:right="1174"/>
        <w:rPr>
          <w:sz w:val="20"/>
        </w:rPr>
      </w:pPr>
      <w:proofErr w:type="spellStart"/>
      <w:r>
        <w:rPr>
          <w:color w:val="231F20"/>
          <w:sz w:val="20"/>
        </w:rPr>
        <w:t>eSafety</w:t>
      </w:r>
      <w:proofErr w:type="spellEnd"/>
      <w:r>
        <w:rPr>
          <w:color w:val="231F20"/>
          <w:spacing w:val="-9"/>
          <w:sz w:val="20"/>
        </w:rPr>
        <w:t xml:space="preserve"> </w:t>
      </w:r>
      <w:r>
        <w:rPr>
          <w:color w:val="231F20"/>
          <w:sz w:val="20"/>
        </w:rPr>
        <w:t>has</w:t>
      </w:r>
      <w:r>
        <w:rPr>
          <w:color w:val="231F20"/>
          <w:spacing w:val="-9"/>
          <w:sz w:val="20"/>
        </w:rPr>
        <w:t xml:space="preserve"> </w:t>
      </w:r>
      <w:r>
        <w:rPr>
          <w:color w:val="231F20"/>
          <w:sz w:val="20"/>
        </w:rPr>
        <w:t>a</w:t>
      </w:r>
      <w:r>
        <w:rPr>
          <w:color w:val="231F20"/>
          <w:spacing w:val="-9"/>
          <w:sz w:val="20"/>
        </w:rPr>
        <w:t xml:space="preserve"> </w:t>
      </w:r>
      <w:r>
        <w:rPr>
          <w:color w:val="231F20"/>
          <w:sz w:val="20"/>
        </w:rPr>
        <w:t>range</w:t>
      </w:r>
      <w:r>
        <w:rPr>
          <w:color w:val="231F20"/>
          <w:spacing w:val="-8"/>
          <w:sz w:val="20"/>
        </w:rPr>
        <w:t xml:space="preserve"> </w:t>
      </w:r>
      <w:r>
        <w:rPr>
          <w:color w:val="231F20"/>
          <w:sz w:val="20"/>
        </w:rPr>
        <w:t>of</w:t>
      </w:r>
      <w:r>
        <w:rPr>
          <w:color w:val="231F20"/>
          <w:spacing w:val="-9"/>
          <w:sz w:val="20"/>
        </w:rPr>
        <w:t xml:space="preserve"> </w:t>
      </w:r>
      <w:r>
        <w:rPr>
          <w:color w:val="231F20"/>
          <w:spacing w:val="-3"/>
          <w:sz w:val="20"/>
        </w:rPr>
        <w:t>powers</w:t>
      </w:r>
      <w:r>
        <w:rPr>
          <w:color w:val="231F20"/>
          <w:spacing w:val="-9"/>
          <w:sz w:val="20"/>
        </w:rPr>
        <w:t xml:space="preserve"> </w:t>
      </w:r>
      <w:r>
        <w:rPr>
          <w:color w:val="231F20"/>
          <w:sz w:val="20"/>
        </w:rPr>
        <w:t>to</w:t>
      </w:r>
      <w:r>
        <w:rPr>
          <w:color w:val="231F20"/>
          <w:spacing w:val="-8"/>
          <w:sz w:val="20"/>
        </w:rPr>
        <w:t xml:space="preserve"> </w:t>
      </w:r>
      <w:r>
        <w:rPr>
          <w:color w:val="231F20"/>
          <w:sz w:val="20"/>
        </w:rPr>
        <w:t>help</w:t>
      </w:r>
      <w:r>
        <w:rPr>
          <w:color w:val="231F20"/>
          <w:spacing w:val="-9"/>
          <w:sz w:val="20"/>
        </w:rPr>
        <w:t xml:space="preserve"> </w:t>
      </w:r>
      <w:r>
        <w:rPr>
          <w:color w:val="231F20"/>
          <w:sz w:val="20"/>
        </w:rPr>
        <w:t>adults</w:t>
      </w:r>
      <w:r>
        <w:rPr>
          <w:color w:val="231F20"/>
          <w:spacing w:val="-9"/>
          <w:sz w:val="20"/>
        </w:rPr>
        <w:t xml:space="preserve"> </w:t>
      </w:r>
      <w:r>
        <w:rPr>
          <w:color w:val="231F20"/>
          <w:sz w:val="20"/>
        </w:rPr>
        <w:t>and</w:t>
      </w:r>
      <w:r>
        <w:rPr>
          <w:color w:val="231F20"/>
          <w:spacing w:val="-8"/>
          <w:sz w:val="20"/>
        </w:rPr>
        <w:t xml:space="preserve"> </w:t>
      </w:r>
      <w:r>
        <w:rPr>
          <w:color w:val="231F20"/>
          <w:spacing w:val="-3"/>
          <w:sz w:val="20"/>
        </w:rPr>
        <w:t>children</w:t>
      </w:r>
      <w:r>
        <w:rPr>
          <w:color w:val="231F20"/>
          <w:spacing w:val="-9"/>
          <w:sz w:val="20"/>
        </w:rPr>
        <w:t xml:space="preserve"> </w:t>
      </w:r>
      <w:r>
        <w:rPr>
          <w:color w:val="231F20"/>
          <w:sz w:val="20"/>
        </w:rPr>
        <w:t>deal</w:t>
      </w:r>
      <w:r>
        <w:rPr>
          <w:color w:val="231F20"/>
          <w:spacing w:val="-9"/>
          <w:sz w:val="20"/>
        </w:rPr>
        <w:t xml:space="preserve"> </w:t>
      </w:r>
      <w:r>
        <w:rPr>
          <w:color w:val="231F20"/>
          <w:sz w:val="20"/>
        </w:rPr>
        <w:t>with</w:t>
      </w:r>
      <w:r>
        <w:rPr>
          <w:color w:val="231F20"/>
          <w:spacing w:val="-8"/>
          <w:sz w:val="20"/>
        </w:rPr>
        <w:t xml:space="preserve"> </w:t>
      </w:r>
      <w:r>
        <w:rPr>
          <w:color w:val="231F20"/>
          <w:sz w:val="20"/>
        </w:rPr>
        <w:t>harmful</w:t>
      </w:r>
      <w:r>
        <w:rPr>
          <w:color w:val="231F20"/>
          <w:spacing w:val="-9"/>
          <w:sz w:val="20"/>
        </w:rPr>
        <w:t xml:space="preserve"> </w:t>
      </w:r>
      <w:proofErr w:type="spellStart"/>
      <w:r>
        <w:rPr>
          <w:color w:val="231F20"/>
          <w:sz w:val="20"/>
        </w:rPr>
        <w:t>behaviours</w:t>
      </w:r>
      <w:proofErr w:type="spellEnd"/>
      <w:r>
        <w:rPr>
          <w:color w:val="231F20"/>
          <w:sz w:val="20"/>
        </w:rPr>
        <w:t xml:space="preserve"> such as </w:t>
      </w:r>
      <w:r>
        <w:rPr>
          <w:color w:val="231F20"/>
          <w:spacing w:val="-3"/>
          <w:sz w:val="20"/>
        </w:rPr>
        <w:t xml:space="preserve">intimate </w:t>
      </w:r>
      <w:r>
        <w:rPr>
          <w:color w:val="231F20"/>
          <w:sz w:val="20"/>
        </w:rPr>
        <w:t xml:space="preserve">image-based abuse and cyberbullying (see </w:t>
      </w:r>
      <w:r>
        <w:rPr>
          <w:color w:val="231F20"/>
          <w:spacing w:val="-6"/>
          <w:sz w:val="20"/>
        </w:rPr>
        <w:t xml:space="preserve">Table </w:t>
      </w:r>
      <w:r>
        <w:rPr>
          <w:color w:val="231F20"/>
          <w:spacing w:val="-4"/>
          <w:sz w:val="20"/>
        </w:rPr>
        <w:t xml:space="preserve">6). </w:t>
      </w:r>
      <w:r>
        <w:rPr>
          <w:color w:val="231F20"/>
          <w:sz w:val="20"/>
        </w:rPr>
        <w:t xml:space="preserve">People can contact </w:t>
      </w:r>
      <w:proofErr w:type="spellStart"/>
      <w:r>
        <w:rPr>
          <w:color w:val="231F20"/>
          <w:sz w:val="20"/>
        </w:rPr>
        <w:t>eSafety</w:t>
      </w:r>
      <w:proofErr w:type="spellEnd"/>
      <w:r>
        <w:rPr>
          <w:color w:val="231F20"/>
          <w:sz w:val="20"/>
        </w:rPr>
        <w:t xml:space="preserve"> </w:t>
      </w:r>
      <w:r>
        <w:rPr>
          <w:color w:val="231F20"/>
          <w:spacing w:val="-3"/>
          <w:sz w:val="20"/>
        </w:rPr>
        <w:t xml:space="preserve">directly for </w:t>
      </w:r>
      <w:r>
        <w:rPr>
          <w:color w:val="231F20"/>
          <w:sz w:val="20"/>
        </w:rPr>
        <w:t>help and</w:t>
      </w:r>
      <w:r>
        <w:rPr>
          <w:color w:val="231F20"/>
          <w:spacing w:val="-22"/>
          <w:sz w:val="20"/>
        </w:rPr>
        <w:t xml:space="preserve"> </w:t>
      </w:r>
      <w:r>
        <w:rPr>
          <w:color w:val="231F20"/>
          <w:sz w:val="20"/>
        </w:rPr>
        <w:t>information.</w:t>
      </w:r>
    </w:p>
    <w:p w14:paraId="4D6F67BA" w14:textId="77777777" w:rsidR="00894070" w:rsidRDefault="009F6793">
      <w:pPr>
        <w:pStyle w:val="BodyText"/>
        <w:spacing w:before="12"/>
        <w:rPr>
          <w:sz w:val="18"/>
        </w:rPr>
      </w:pPr>
      <w:r>
        <w:pict w14:anchorId="23BCAAE4">
          <v:line id="_x0000_s1584" style="position:absolute;z-index:251487232;mso-wrap-distance-left:0;mso-wrap-distance-right:0;mso-position-horizontal-relative:page" from="79.35pt,15.6pt" to="515.9pt,15.6pt" strokecolor="#f8cabc" strokeweight="1pt">
            <w10:wrap type="topAndBottom" anchorx="page"/>
          </v:line>
        </w:pict>
      </w:r>
    </w:p>
    <w:p w14:paraId="45EB32B8" w14:textId="77777777" w:rsidR="00894070" w:rsidRDefault="009B7AFD">
      <w:pPr>
        <w:pStyle w:val="ListParagraph"/>
        <w:numPr>
          <w:ilvl w:val="0"/>
          <w:numId w:val="155"/>
        </w:numPr>
        <w:tabs>
          <w:tab w:val="left" w:pos="1800"/>
          <w:tab w:val="left" w:pos="1802"/>
        </w:tabs>
        <w:spacing w:before="107" w:line="213" w:lineRule="auto"/>
        <w:ind w:right="1311"/>
        <w:rPr>
          <w:sz w:val="13"/>
        </w:rPr>
      </w:pPr>
      <w:r>
        <w:rPr>
          <w:color w:val="231F20"/>
          <w:sz w:val="13"/>
        </w:rPr>
        <w:t xml:space="preserve">Adult cyber abuse material is </w:t>
      </w:r>
      <w:r>
        <w:rPr>
          <w:color w:val="231F20"/>
          <w:spacing w:val="2"/>
          <w:sz w:val="13"/>
        </w:rPr>
        <w:t xml:space="preserve">‘the </w:t>
      </w:r>
      <w:r>
        <w:rPr>
          <w:color w:val="231F20"/>
          <w:sz w:val="13"/>
        </w:rPr>
        <w:t xml:space="preserve">most severely abusive material’ intended to cause serious harm and be menacing, harassing   or offensive. This includes material that is realistically threatening and unrelenting, including in situations of </w:t>
      </w:r>
      <w:r>
        <w:rPr>
          <w:color w:val="231F20"/>
          <w:spacing w:val="2"/>
          <w:sz w:val="13"/>
        </w:rPr>
        <w:t xml:space="preserve">cyberstalking: </w:t>
      </w:r>
      <w:r>
        <w:rPr>
          <w:color w:val="231F20"/>
          <w:sz w:val="13"/>
        </w:rPr>
        <w:t>Consultation 8 (</w:t>
      </w:r>
      <w:proofErr w:type="spellStart"/>
      <w:r>
        <w:rPr>
          <w:color w:val="231F20"/>
          <w:sz w:val="13"/>
        </w:rPr>
        <w:t>eSafety</w:t>
      </w:r>
      <w:proofErr w:type="spellEnd"/>
      <w:r>
        <w:rPr>
          <w:color w:val="231F20"/>
          <w:sz w:val="13"/>
        </w:rPr>
        <w:t xml:space="preserve"> Commissioner); 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i/>
          <w:color w:val="231F20"/>
          <w:sz w:val="13"/>
        </w:rPr>
        <w:t>Adult Cyber Abuse Schem</w:t>
      </w:r>
      <w:r>
        <w:rPr>
          <w:color w:val="231F20"/>
          <w:sz w:val="13"/>
        </w:rPr>
        <w:t xml:space="preserve">e (Regulatory Guidance No </w:t>
      </w:r>
      <w:proofErr w:type="spellStart"/>
      <w:r>
        <w:rPr>
          <w:color w:val="231F20"/>
          <w:sz w:val="13"/>
        </w:rPr>
        <w:t>eSC</w:t>
      </w:r>
      <w:proofErr w:type="spellEnd"/>
      <w:r>
        <w:rPr>
          <w:color w:val="231F20"/>
          <w:sz w:val="13"/>
        </w:rPr>
        <w:t xml:space="preserve"> RG </w:t>
      </w:r>
      <w:r>
        <w:rPr>
          <w:color w:val="231F20"/>
          <w:spacing w:val="2"/>
          <w:sz w:val="13"/>
        </w:rPr>
        <w:t xml:space="preserve">3, December </w:t>
      </w:r>
      <w:r>
        <w:rPr>
          <w:color w:val="231F20"/>
          <w:sz w:val="13"/>
        </w:rPr>
        <w:t>2021)</w:t>
      </w:r>
      <w:r>
        <w:rPr>
          <w:color w:val="231F20"/>
          <w:spacing w:val="-3"/>
          <w:sz w:val="13"/>
        </w:rPr>
        <w:t xml:space="preserve"> </w:t>
      </w:r>
      <w:r>
        <w:rPr>
          <w:color w:val="231F20"/>
          <w:spacing w:val="3"/>
          <w:sz w:val="13"/>
        </w:rPr>
        <w:t>3.</w:t>
      </w:r>
    </w:p>
    <w:p w14:paraId="6B05A91D" w14:textId="77777777" w:rsidR="00894070" w:rsidRDefault="009B7AFD">
      <w:pPr>
        <w:pStyle w:val="ListParagraph"/>
        <w:numPr>
          <w:ilvl w:val="0"/>
          <w:numId w:val="155"/>
        </w:numPr>
        <w:tabs>
          <w:tab w:val="left" w:pos="1801"/>
          <w:tab w:val="left" w:pos="1802"/>
        </w:tabs>
        <w:spacing w:line="151" w:lineRule="exact"/>
        <w:rPr>
          <w:sz w:val="13"/>
        </w:rPr>
      </w:pPr>
      <w:r>
        <w:rPr>
          <w:i/>
          <w:color w:val="231F20"/>
          <w:sz w:val="13"/>
        </w:rPr>
        <w:t xml:space="preserve">Online Safety Act 2021 </w:t>
      </w:r>
      <w:r>
        <w:rPr>
          <w:color w:val="231F20"/>
          <w:sz w:val="13"/>
        </w:rPr>
        <w:t>(</w:t>
      </w:r>
      <w:proofErr w:type="spellStart"/>
      <w:r>
        <w:rPr>
          <w:color w:val="231F20"/>
          <w:sz w:val="13"/>
        </w:rPr>
        <w:t>Cth</w:t>
      </w:r>
      <w:proofErr w:type="spellEnd"/>
      <w:r>
        <w:rPr>
          <w:color w:val="231F20"/>
          <w:sz w:val="13"/>
        </w:rPr>
        <w:t xml:space="preserve">) </w:t>
      </w:r>
      <w:proofErr w:type="spellStart"/>
      <w:r>
        <w:rPr>
          <w:color w:val="231F20"/>
          <w:sz w:val="13"/>
        </w:rPr>
        <w:t>pt</w:t>
      </w:r>
      <w:proofErr w:type="spellEnd"/>
      <w:r>
        <w:rPr>
          <w:color w:val="231F20"/>
          <w:sz w:val="13"/>
        </w:rPr>
        <w:t xml:space="preserve"> </w:t>
      </w:r>
      <w:r>
        <w:rPr>
          <w:color w:val="231F20"/>
          <w:spacing w:val="-3"/>
          <w:sz w:val="13"/>
        </w:rPr>
        <w:t>7.</w:t>
      </w:r>
    </w:p>
    <w:p w14:paraId="5335A96E" w14:textId="77777777" w:rsidR="00894070" w:rsidRDefault="009B7AFD">
      <w:pPr>
        <w:pStyle w:val="ListParagraph"/>
        <w:numPr>
          <w:ilvl w:val="0"/>
          <w:numId w:val="155"/>
        </w:numPr>
        <w:tabs>
          <w:tab w:val="left" w:pos="1800"/>
          <w:tab w:val="left" w:pos="1802"/>
        </w:tabs>
        <w:spacing w:before="6" w:line="213" w:lineRule="auto"/>
        <w:ind w:right="1670"/>
        <w:rPr>
          <w:sz w:val="13"/>
        </w:rPr>
      </w:pPr>
      <w:r>
        <w:rPr>
          <w:color w:val="231F20"/>
          <w:sz w:val="13"/>
        </w:rPr>
        <w:t xml:space="preserve">Cyberbullying material is ‘online communication to or about an Australian child that is seriously threatening, seriously intimidating, seriously harassing or seriously humiliating’: 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i/>
          <w:color w:val="231F20"/>
          <w:sz w:val="13"/>
        </w:rPr>
        <w:t xml:space="preserve">Cyberbullying Scheme </w:t>
      </w:r>
      <w:r>
        <w:rPr>
          <w:color w:val="231F20"/>
          <w:sz w:val="13"/>
        </w:rPr>
        <w:t xml:space="preserve">(Regulatory Guidance No </w:t>
      </w:r>
      <w:proofErr w:type="spellStart"/>
      <w:r>
        <w:rPr>
          <w:color w:val="231F20"/>
          <w:sz w:val="13"/>
        </w:rPr>
        <w:t>eSC</w:t>
      </w:r>
      <w:proofErr w:type="spellEnd"/>
      <w:r>
        <w:rPr>
          <w:color w:val="231F20"/>
          <w:sz w:val="13"/>
        </w:rPr>
        <w:t xml:space="preserve"> RG 1, November 2021)</w:t>
      </w:r>
      <w:r>
        <w:rPr>
          <w:color w:val="231F20"/>
          <w:spacing w:val="4"/>
          <w:sz w:val="13"/>
        </w:rPr>
        <w:t xml:space="preserve"> </w:t>
      </w:r>
      <w:r>
        <w:rPr>
          <w:color w:val="231F20"/>
          <w:spacing w:val="3"/>
          <w:sz w:val="13"/>
        </w:rPr>
        <w:t>3.</w:t>
      </w:r>
    </w:p>
    <w:p w14:paraId="4CB1D061" w14:textId="77777777" w:rsidR="00894070" w:rsidRDefault="009B7AFD">
      <w:pPr>
        <w:pStyle w:val="ListParagraph"/>
        <w:numPr>
          <w:ilvl w:val="0"/>
          <w:numId w:val="155"/>
        </w:numPr>
        <w:tabs>
          <w:tab w:val="left" w:pos="1801"/>
          <w:tab w:val="left" w:pos="1802"/>
        </w:tabs>
        <w:spacing w:line="152" w:lineRule="exact"/>
        <w:rPr>
          <w:sz w:val="13"/>
        </w:rPr>
      </w:pPr>
      <w:r>
        <w:rPr>
          <w:i/>
          <w:color w:val="231F20"/>
          <w:sz w:val="13"/>
        </w:rPr>
        <w:t xml:space="preserve">Online Safety Act 2021 </w:t>
      </w:r>
      <w:r>
        <w:rPr>
          <w:color w:val="231F20"/>
          <w:sz w:val="13"/>
        </w:rPr>
        <w:t>(</w:t>
      </w:r>
      <w:proofErr w:type="spellStart"/>
      <w:r>
        <w:rPr>
          <w:color w:val="231F20"/>
          <w:sz w:val="13"/>
        </w:rPr>
        <w:t>Cth</w:t>
      </w:r>
      <w:proofErr w:type="spellEnd"/>
      <w:r>
        <w:rPr>
          <w:color w:val="231F20"/>
          <w:sz w:val="13"/>
        </w:rPr>
        <w:t xml:space="preserve">) </w:t>
      </w:r>
      <w:proofErr w:type="spellStart"/>
      <w:r>
        <w:rPr>
          <w:color w:val="231F20"/>
          <w:sz w:val="13"/>
        </w:rPr>
        <w:t>pt</w:t>
      </w:r>
      <w:proofErr w:type="spellEnd"/>
      <w:r>
        <w:rPr>
          <w:color w:val="231F20"/>
          <w:sz w:val="13"/>
        </w:rPr>
        <w:t xml:space="preserve"> </w:t>
      </w:r>
      <w:r>
        <w:rPr>
          <w:color w:val="231F20"/>
          <w:spacing w:val="3"/>
          <w:sz w:val="13"/>
        </w:rPr>
        <w:t>5.</w:t>
      </w:r>
    </w:p>
    <w:p w14:paraId="5C93F6E6" w14:textId="77777777" w:rsidR="00894070" w:rsidRDefault="009B7AFD">
      <w:pPr>
        <w:pStyle w:val="ListParagraph"/>
        <w:numPr>
          <w:ilvl w:val="0"/>
          <w:numId w:val="155"/>
        </w:numPr>
        <w:tabs>
          <w:tab w:val="left" w:pos="1801"/>
          <w:tab w:val="left" w:pos="1802"/>
        </w:tabs>
        <w:spacing w:before="7" w:line="213" w:lineRule="auto"/>
        <w:ind w:right="1183"/>
        <w:rPr>
          <w:sz w:val="13"/>
        </w:rPr>
      </w:pPr>
      <w:r>
        <w:rPr>
          <w:color w:val="231F20"/>
          <w:sz w:val="13"/>
        </w:rPr>
        <w:t xml:space="preserve">Ibid </w:t>
      </w:r>
      <w:proofErr w:type="spellStart"/>
      <w:r>
        <w:rPr>
          <w:color w:val="231F20"/>
          <w:sz w:val="13"/>
        </w:rPr>
        <w:t>pt</w:t>
      </w:r>
      <w:proofErr w:type="spellEnd"/>
      <w:r>
        <w:rPr>
          <w:color w:val="231F20"/>
          <w:sz w:val="13"/>
        </w:rPr>
        <w:t xml:space="preserve"> 6. </w:t>
      </w:r>
      <w:r>
        <w:rPr>
          <w:color w:val="231F20"/>
          <w:spacing w:val="2"/>
          <w:sz w:val="13"/>
        </w:rPr>
        <w:t xml:space="preserve">Image-based </w:t>
      </w:r>
      <w:r>
        <w:rPr>
          <w:color w:val="231F20"/>
          <w:sz w:val="13"/>
        </w:rPr>
        <w:t xml:space="preserve">abuse means sharing online, or threatening to share, an intimate image without the consent of the </w:t>
      </w:r>
      <w:r>
        <w:rPr>
          <w:color w:val="231F20"/>
          <w:spacing w:val="2"/>
          <w:sz w:val="13"/>
        </w:rPr>
        <w:t xml:space="preserve">person </w:t>
      </w:r>
      <w:r>
        <w:rPr>
          <w:color w:val="231F20"/>
          <w:sz w:val="13"/>
        </w:rPr>
        <w:t xml:space="preserve">shown: 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i/>
          <w:color w:val="231F20"/>
          <w:spacing w:val="2"/>
          <w:sz w:val="13"/>
        </w:rPr>
        <w:t xml:space="preserve">Image-Based </w:t>
      </w:r>
      <w:r>
        <w:rPr>
          <w:i/>
          <w:color w:val="231F20"/>
          <w:sz w:val="13"/>
        </w:rPr>
        <w:t xml:space="preserve">Abuse Scheme </w:t>
      </w:r>
      <w:r>
        <w:rPr>
          <w:color w:val="231F20"/>
          <w:sz w:val="13"/>
        </w:rPr>
        <w:t xml:space="preserve">(Regulatory Guidance No </w:t>
      </w:r>
      <w:proofErr w:type="spellStart"/>
      <w:r>
        <w:rPr>
          <w:color w:val="231F20"/>
          <w:sz w:val="13"/>
        </w:rPr>
        <w:t>eSC</w:t>
      </w:r>
      <w:proofErr w:type="spellEnd"/>
      <w:r>
        <w:rPr>
          <w:color w:val="231F20"/>
          <w:sz w:val="13"/>
        </w:rPr>
        <w:t xml:space="preserve"> RG 2, November   2021</w:t>
      </w:r>
      <w:hyperlink r:id="rId82" w:anchor="cyberbullying-scheme">
        <w:r>
          <w:rPr>
            <w:color w:val="231F20"/>
            <w:sz w:val="13"/>
          </w:rPr>
          <w:t>) 4</w:t>
        </w:r>
        <w:r>
          <w:rPr>
            <w:color w:val="231F20"/>
            <w:spacing w:val="4"/>
            <w:sz w:val="13"/>
          </w:rPr>
          <w:t xml:space="preserve"> </w:t>
        </w:r>
        <w:r>
          <w:rPr>
            <w:color w:val="231F20"/>
            <w:sz w:val="13"/>
          </w:rPr>
          <w:t>&lt;https://www.esafety.gov.au/about-us/who-we-are/regulatory-schemes#cyberbullying-scheme</w:t>
        </w:r>
      </w:hyperlink>
      <w:r>
        <w:rPr>
          <w:color w:val="231F20"/>
          <w:sz w:val="13"/>
        </w:rPr>
        <w:t>&gt;.</w:t>
      </w:r>
    </w:p>
    <w:p w14:paraId="3373B158" w14:textId="77777777" w:rsidR="00894070" w:rsidRDefault="009B7AFD">
      <w:pPr>
        <w:pStyle w:val="ListParagraph"/>
        <w:numPr>
          <w:ilvl w:val="0"/>
          <w:numId w:val="155"/>
        </w:numPr>
        <w:tabs>
          <w:tab w:val="left" w:pos="1801"/>
          <w:tab w:val="left" w:pos="1802"/>
        </w:tabs>
        <w:spacing w:line="152" w:lineRule="exact"/>
        <w:rPr>
          <w:sz w:val="13"/>
        </w:rPr>
      </w:pPr>
      <w:r>
        <w:rPr>
          <w:i/>
          <w:color w:val="231F20"/>
          <w:sz w:val="13"/>
        </w:rPr>
        <w:t xml:space="preserve">Online Safety Act 2021 </w:t>
      </w:r>
      <w:r>
        <w:rPr>
          <w:color w:val="231F20"/>
          <w:sz w:val="13"/>
        </w:rPr>
        <w:t>(</w:t>
      </w:r>
      <w:proofErr w:type="spellStart"/>
      <w:r>
        <w:rPr>
          <w:color w:val="231F20"/>
          <w:sz w:val="13"/>
        </w:rPr>
        <w:t>Cth</w:t>
      </w:r>
      <w:proofErr w:type="spellEnd"/>
      <w:r>
        <w:rPr>
          <w:color w:val="231F20"/>
          <w:sz w:val="13"/>
        </w:rPr>
        <w:t xml:space="preserve">) </w:t>
      </w:r>
      <w:proofErr w:type="spellStart"/>
      <w:r>
        <w:rPr>
          <w:color w:val="231F20"/>
          <w:sz w:val="13"/>
        </w:rPr>
        <w:t>pt</w:t>
      </w:r>
      <w:proofErr w:type="spellEnd"/>
      <w:r>
        <w:rPr>
          <w:color w:val="231F20"/>
          <w:sz w:val="13"/>
        </w:rPr>
        <w:t xml:space="preserve"> </w:t>
      </w:r>
      <w:r>
        <w:rPr>
          <w:color w:val="231F20"/>
          <w:spacing w:val="2"/>
          <w:sz w:val="13"/>
        </w:rPr>
        <w:t>13–14.</w:t>
      </w:r>
    </w:p>
    <w:p w14:paraId="786743FF" w14:textId="77777777" w:rsidR="00894070" w:rsidRDefault="009B7AFD">
      <w:pPr>
        <w:pStyle w:val="ListParagraph"/>
        <w:numPr>
          <w:ilvl w:val="0"/>
          <w:numId w:val="155"/>
        </w:numPr>
        <w:tabs>
          <w:tab w:val="left" w:pos="1801"/>
          <w:tab w:val="left" w:pos="1802"/>
        </w:tabs>
        <w:spacing w:line="160" w:lineRule="exact"/>
        <w:rPr>
          <w:sz w:val="13"/>
        </w:rPr>
      </w:pPr>
      <w:r>
        <w:rPr>
          <w:color w:val="231F20"/>
          <w:spacing w:val="2"/>
          <w:sz w:val="13"/>
        </w:rPr>
        <w:t xml:space="preserve">Submissions </w:t>
      </w:r>
      <w:r>
        <w:rPr>
          <w:color w:val="231F20"/>
          <w:sz w:val="13"/>
        </w:rPr>
        <w:t xml:space="preserve">56 </w:t>
      </w:r>
      <w:r>
        <w:rPr>
          <w:color w:val="231F20"/>
          <w:spacing w:val="2"/>
          <w:sz w:val="13"/>
        </w:rPr>
        <w:t xml:space="preserve">(Derryn </w:t>
      </w:r>
      <w:proofErr w:type="spellStart"/>
      <w:r>
        <w:rPr>
          <w:color w:val="231F20"/>
          <w:sz w:val="13"/>
        </w:rPr>
        <w:t>Hinch’s</w:t>
      </w:r>
      <w:proofErr w:type="spellEnd"/>
      <w:r>
        <w:rPr>
          <w:color w:val="231F20"/>
          <w:sz w:val="13"/>
        </w:rPr>
        <w:t xml:space="preserve"> Justice Party), 98 (Law Institute of Victoria).</w:t>
      </w:r>
    </w:p>
    <w:p w14:paraId="2CA89555" w14:textId="77777777" w:rsidR="00894070" w:rsidRDefault="009F6793">
      <w:pPr>
        <w:pStyle w:val="ListParagraph"/>
        <w:numPr>
          <w:ilvl w:val="0"/>
          <w:numId w:val="155"/>
        </w:numPr>
        <w:tabs>
          <w:tab w:val="left" w:pos="1800"/>
          <w:tab w:val="left" w:pos="1802"/>
        </w:tabs>
        <w:spacing w:before="6" w:line="213" w:lineRule="auto"/>
        <w:ind w:right="1412"/>
        <w:rPr>
          <w:sz w:val="13"/>
        </w:rPr>
      </w:pPr>
      <w:r>
        <w:pict w14:anchorId="17F4BA02">
          <v:shape id="_x0000_s1583" type="#_x0000_t202" style="position:absolute;left:0;text-align:left;margin-left:548.7pt;margin-top:11.7pt;width:13.85pt;height:14.1pt;z-index:251559936;mso-position-horizontal-relative:page" filled="f" stroked="f">
            <v:textbox inset="0,0,0,0">
              <w:txbxContent>
                <w:p w14:paraId="6105DBE9" w14:textId="77777777" w:rsidR="00894070" w:rsidRDefault="009B7AFD">
                  <w:pPr>
                    <w:spacing w:line="282" w:lineRule="exact"/>
                    <w:rPr>
                      <w:b/>
                      <w:sz w:val="24"/>
                    </w:rPr>
                  </w:pPr>
                  <w:r>
                    <w:rPr>
                      <w:b/>
                      <w:color w:val="EA5B50"/>
                      <w:sz w:val="24"/>
                    </w:rPr>
                    <w:t>39</w:t>
                  </w:r>
                </w:p>
              </w:txbxContent>
            </v:textbox>
            <w10:wrap anchorx="page"/>
          </v:shape>
        </w:pict>
      </w:r>
      <w:r w:rsidR="009B7AFD">
        <w:rPr>
          <w:color w:val="231F20"/>
          <w:sz w:val="13"/>
        </w:rPr>
        <w:t xml:space="preserve">Michelle </w:t>
      </w:r>
      <w:proofErr w:type="spellStart"/>
      <w:r w:rsidR="009B7AFD">
        <w:rPr>
          <w:color w:val="231F20"/>
          <w:spacing w:val="2"/>
          <w:sz w:val="13"/>
        </w:rPr>
        <w:t>Sibenik</w:t>
      </w:r>
      <w:proofErr w:type="spellEnd"/>
      <w:r w:rsidR="009B7AFD">
        <w:rPr>
          <w:color w:val="231F20"/>
          <w:spacing w:val="2"/>
          <w:sz w:val="13"/>
        </w:rPr>
        <w:t xml:space="preserve">, </w:t>
      </w:r>
      <w:r w:rsidR="009B7AFD">
        <w:rPr>
          <w:color w:val="231F20"/>
          <w:spacing w:val="-4"/>
          <w:sz w:val="13"/>
        </w:rPr>
        <w:t xml:space="preserve">‘A </w:t>
      </w:r>
      <w:r w:rsidR="009B7AFD">
        <w:rPr>
          <w:color w:val="231F20"/>
          <w:sz w:val="13"/>
        </w:rPr>
        <w:t xml:space="preserve">Critical Analysis of the </w:t>
      </w:r>
      <w:r w:rsidR="009B7AFD">
        <w:rPr>
          <w:color w:val="231F20"/>
          <w:spacing w:val="2"/>
          <w:sz w:val="13"/>
        </w:rPr>
        <w:t xml:space="preserve">Applications </w:t>
      </w:r>
      <w:r w:rsidR="009B7AFD">
        <w:rPr>
          <w:color w:val="231F20"/>
          <w:sz w:val="13"/>
        </w:rPr>
        <w:t>of Anti-Stalking Legislation in Victoria, Australia’ (PhD Thesis, Monash University, 2018) 131, 157–8.</w:t>
      </w:r>
    </w:p>
    <w:p w14:paraId="5A75B5EB" w14:textId="77777777" w:rsidR="00894070" w:rsidRDefault="009B7AFD">
      <w:pPr>
        <w:pStyle w:val="ListParagraph"/>
        <w:numPr>
          <w:ilvl w:val="0"/>
          <w:numId w:val="155"/>
        </w:numPr>
        <w:tabs>
          <w:tab w:val="left" w:pos="1801"/>
          <w:tab w:val="left" w:pos="1802"/>
        </w:tabs>
        <w:spacing w:line="163" w:lineRule="exact"/>
        <w:rPr>
          <w:sz w:val="13"/>
        </w:rPr>
      </w:pPr>
      <w:r>
        <w:rPr>
          <w:i/>
          <w:color w:val="231F20"/>
          <w:sz w:val="13"/>
        </w:rPr>
        <w:t xml:space="preserve">Online Safety Act 2021 </w:t>
      </w:r>
      <w:r>
        <w:rPr>
          <w:color w:val="231F20"/>
          <w:sz w:val="13"/>
        </w:rPr>
        <w:t>(</w:t>
      </w:r>
      <w:proofErr w:type="spellStart"/>
      <w:r>
        <w:rPr>
          <w:color w:val="231F20"/>
          <w:sz w:val="13"/>
        </w:rPr>
        <w:t>Cth</w:t>
      </w:r>
      <w:proofErr w:type="spellEnd"/>
      <w:r>
        <w:rPr>
          <w:color w:val="231F20"/>
          <w:sz w:val="13"/>
        </w:rPr>
        <w:t xml:space="preserve">) s </w:t>
      </w:r>
      <w:r>
        <w:rPr>
          <w:color w:val="231F20"/>
          <w:spacing w:val="3"/>
          <w:sz w:val="13"/>
        </w:rPr>
        <w:t>4.</w:t>
      </w:r>
    </w:p>
    <w:p w14:paraId="70D0E29E" w14:textId="77777777" w:rsidR="00894070" w:rsidRDefault="00894070">
      <w:pPr>
        <w:spacing w:line="163" w:lineRule="exact"/>
        <w:rPr>
          <w:sz w:val="13"/>
        </w:rPr>
        <w:sectPr w:rsidR="00894070">
          <w:pgSz w:w="11910" w:h="16840"/>
          <w:pgMar w:top="840" w:right="420" w:bottom="280" w:left="580" w:header="0" w:footer="0" w:gutter="0"/>
          <w:cols w:space="720"/>
        </w:sectPr>
      </w:pPr>
    </w:p>
    <w:p w14:paraId="1892B6F8" w14:textId="77777777" w:rsidR="00894070" w:rsidRDefault="00894070">
      <w:pPr>
        <w:pStyle w:val="BodyText"/>
      </w:pPr>
    </w:p>
    <w:p w14:paraId="4F820D67" w14:textId="77777777" w:rsidR="00894070" w:rsidRDefault="00894070">
      <w:pPr>
        <w:pStyle w:val="BodyText"/>
      </w:pPr>
    </w:p>
    <w:p w14:paraId="4B4902EE" w14:textId="77777777" w:rsidR="00894070" w:rsidRDefault="00894070">
      <w:pPr>
        <w:pStyle w:val="BodyText"/>
      </w:pPr>
    </w:p>
    <w:p w14:paraId="4B024E7C" w14:textId="77777777" w:rsidR="00894070" w:rsidRDefault="00894070">
      <w:pPr>
        <w:pStyle w:val="BodyText"/>
        <w:spacing w:before="7"/>
        <w:rPr>
          <w:sz w:val="16"/>
        </w:rPr>
      </w:pPr>
    </w:p>
    <w:p w14:paraId="3289C5B6" w14:textId="77777777" w:rsidR="00894070" w:rsidRDefault="009B7AFD">
      <w:pPr>
        <w:pStyle w:val="ListParagraph"/>
        <w:numPr>
          <w:ilvl w:val="1"/>
          <w:numId w:val="161"/>
        </w:numPr>
        <w:tabs>
          <w:tab w:val="left" w:pos="1801"/>
          <w:tab w:val="left" w:pos="1802"/>
        </w:tabs>
        <w:rPr>
          <w:sz w:val="11"/>
        </w:rPr>
      </w:pPr>
      <w:bookmarkStart w:id="56" w:name="_bookmark28"/>
      <w:bookmarkEnd w:id="56"/>
      <w:r>
        <w:rPr>
          <w:color w:val="231F20"/>
          <w:sz w:val="20"/>
        </w:rPr>
        <w:t>In</w:t>
      </w:r>
      <w:r>
        <w:rPr>
          <w:color w:val="231F20"/>
          <w:spacing w:val="-5"/>
          <w:sz w:val="20"/>
        </w:rPr>
        <w:t xml:space="preserve"> </w:t>
      </w:r>
      <w:r>
        <w:rPr>
          <w:color w:val="231F20"/>
          <w:sz w:val="20"/>
        </w:rPr>
        <w:t>some</w:t>
      </w:r>
      <w:r>
        <w:rPr>
          <w:color w:val="231F20"/>
          <w:spacing w:val="-5"/>
          <w:sz w:val="20"/>
        </w:rPr>
        <w:t xml:space="preserve"> </w:t>
      </w:r>
      <w:r>
        <w:rPr>
          <w:color w:val="231F20"/>
          <w:sz w:val="20"/>
        </w:rPr>
        <w:t>cases,</w:t>
      </w:r>
      <w:r>
        <w:rPr>
          <w:color w:val="231F20"/>
          <w:spacing w:val="-5"/>
          <w:sz w:val="20"/>
        </w:rPr>
        <w:t xml:space="preserve"> </w:t>
      </w:r>
      <w:proofErr w:type="spellStart"/>
      <w:r>
        <w:rPr>
          <w:color w:val="231F20"/>
          <w:sz w:val="20"/>
        </w:rPr>
        <w:t>eSafety</w:t>
      </w:r>
      <w:proofErr w:type="spellEnd"/>
      <w:r>
        <w:rPr>
          <w:color w:val="231F20"/>
          <w:spacing w:val="-5"/>
          <w:sz w:val="20"/>
        </w:rPr>
        <w:t xml:space="preserve"> </w:t>
      </w:r>
      <w:r>
        <w:rPr>
          <w:color w:val="231F20"/>
          <w:sz w:val="20"/>
        </w:rPr>
        <w:t>can</w:t>
      </w:r>
      <w:r>
        <w:rPr>
          <w:color w:val="231F20"/>
          <w:spacing w:val="-5"/>
          <w:sz w:val="20"/>
        </w:rPr>
        <w:t xml:space="preserve"> </w:t>
      </w:r>
      <w:r>
        <w:rPr>
          <w:color w:val="231F20"/>
          <w:sz w:val="20"/>
        </w:rPr>
        <w:t>help</w:t>
      </w:r>
      <w:r>
        <w:rPr>
          <w:color w:val="231F20"/>
          <w:spacing w:val="-5"/>
          <w:sz w:val="20"/>
        </w:rPr>
        <w:t xml:space="preserve"> </w:t>
      </w:r>
      <w:r>
        <w:rPr>
          <w:color w:val="231F20"/>
          <w:spacing w:val="-4"/>
          <w:sz w:val="20"/>
        </w:rPr>
        <w:t>remove</w:t>
      </w:r>
      <w:r>
        <w:rPr>
          <w:color w:val="231F20"/>
          <w:spacing w:val="-5"/>
          <w:sz w:val="20"/>
        </w:rPr>
        <w:t xml:space="preserve"> </w:t>
      </w:r>
      <w:r>
        <w:rPr>
          <w:color w:val="231F20"/>
          <w:sz w:val="20"/>
        </w:rPr>
        <w:t>the</w:t>
      </w:r>
      <w:r>
        <w:rPr>
          <w:color w:val="231F20"/>
          <w:spacing w:val="-5"/>
          <w:sz w:val="20"/>
        </w:rPr>
        <w:t xml:space="preserve"> </w:t>
      </w:r>
      <w:r>
        <w:rPr>
          <w:color w:val="231F20"/>
          <w:sz w:val="20"/>
        </w:rPr>
        <w:t>harmful</w:t>
      </w:r>
      <w:r>
        <w:rPr>
          <w:color w:val="231F20"/>
          <w:spacing w:val="-5"/>
          <w:sz w:val="20"/>
        </w:rPr>
        <w:t xml:space="preserve"> </w:t>
      </w:r>
      <w:r>
        <w:rPr>
          <w:color w:val="231F20"/>
          <w:spacing w:val="-3"/>
          <w:sz w:val="20"/>
        </w:rPr>
        <w:t>content</w:t>
      </w:r>
      <w:r>
        <w:rPr>
          <w:color w:val="231F20"/>
          <w:spacing w:val="-5"/>
          <w:sz w:val="20"/>
        </w:rPr>
        <w:t xml:space="preserve"> </w:t>
      </w:r>
      <w:r>
        <w:rPr>
          <w:color w:val="231F20"/>
          <w:spacing w:val="-3"/>
          <w:sz w:val="20"/>
        </w:rPr>
        <w:t>from</w:t>
      </w:r>
      <w:r>
        <w:rPr>
          <w:color w:val="231F20"/>
          <w:spacing w:val="-5"/>
          <w:sz w:val="20"/>
        </w:rPr>
        <w:t xml:space="preserve"> </w:t>
      </w:r>
      <w:r>
        <w:rPr>
          <w:color w:val="231F20"/>
          <w:sz w:val="20"/>
        </w:rPr>
        <w:t>online</w:t>
      </w:r>
      <w:r>
        <w:rPr>
          <w:color w:val="231F20"/>
          <w:spacing w:val="-5"/>
          <w:sz w:val="20"/>
        </w:rPr>
        <w:t xml:space="preserve"> </w:t>
      </w:r>
      <w:r>
        <w:rPr>
          <w:color w:val="231F20"/>
          <w:sz w:val="20"/>
        </w:rPr>
        <w:t>platforms.</w:t>
      </w:r>
      <w:r>
        <w:rPr>
          <w:color w:val="231F20"/>
          <w:position w:val="7"/>
          <w:sz w:val="11"/>
        </w:rPr>
        <w:t>77</w:t>
      </w:r>
    </w:p>
    <w:p w14:paraId="6A72A8B6" w14:textId="77777777" w:rsidR="00894070" w:rsidRDefault="009B7AFD">
      <w:pPr>
        <w:pStyle w:val="ListParagraph"/>
        <w:numPr>
          <w:ilvl w:val="1"/>
          <w:numId w:val="161"/>
        </w:numPr>
        <w:tabs>
          <w:tab w:val="left" w:pos="1801"/>
          <w:tab w:val="left" w:pos="1802"/>
        </w:tabs>
        <w:spacing w:before="82" w:line="259" w:lineRule="exact"/>
        <w:rPr>
          <w:sz w:val="20"/>
        </w:rPr>
      </w:pPr>
      <w:proofErr w:type="spellStart"/>
      <w:r>
        <w:rPr>
          <w:color w:val="231F20"/>
          <w:sz w:val="20"/>
        </w:rPr>
        <w:t>eSafety</w:t>
      </w:r>
      <w:proofErr w:type="spellEnd"/>
      <w:r>
        <w:rPr>
          <w:color w:val="231F20"/>
          <w:sz w:val="20"/>
        </w:rPr>
        <w:t xml:space="preserve"> has online </w:t>
      </w:r>
      <w:r>
        <w:rPr>
          <w:color w:val="231F20"/>
          <w:spacing w:val="-3"/>
          <w:sz w:val="20"/>
        </w:rPr>
        <w:t xml:space="preserve">information </w:t>
      </w:r>
      <w:r>
        <w:rPr>
          <w:color w:val="231F20"/>
          <w:sz w:val="20"/>
        </w:rPr>
        <w:t xml:space="preserve">on </w:t>
      </w:r>
      <w:r>
        <w:rPr>
          <w:color w:val="231F20"/>
          <w:spacing w:val="-3"/>
          <w:sz w:val="20"/>
        </w:rPr>
        <w:t xml:space="preserve">how </w:t>
      </w:r>
      <w:r>
        <w:rPr>
          <w:color w:val="231F20"/>
          <w:sz w:val="20"/>
        </w:rPr>
        <w:t xml:space="preserve">to identify </w:t>
      </w:r>
      <w:r>
        <w:rPr>
          <w:color w:val="231F20"/>
          <w:spacing w:val="-3"/>
          <w:sz w:val="20"/>
        </w:rPr>
        <w:t xml:space="preserve">technology-facilitated </w:t>
      </w:r>
      <w:r>
        <w:rPr>
          <w:color w:val="231F20"/>
          <w:sz w:val="20"/>
        </w:rPr>
        <w:t>abuse</w:t>
      </w:r>
      <w:r>
        <w:rPr>
          <w:color w:val="231F20"/>
          <w:spacing w:val="-34"/>
          <w:sz w:val="20"/>
        </w:rPr>
        <w:t xml:space="preserve"> </w:t>
      </w:r>
      <w:r>
        <w:rPr>
          <w:color w:val="231F20"/>
          <w:sz w:val="20"/>
        </w:rPr>
        <w:t>and</w:t>
      </w:r>
    </w:p>
    <w:p w14:paraId="4BBF46E7" w14:textId="77777777" w:rsidR="00894070" w:rsidRDefault="009B7AFD">
      <w:pPr>
        <w:pStyle w:val="BodyText"/>
        <w:spacing w:line="259" w:lineRule="exact"/>
        <w:ind w:left="1801"/>
        <w:rPr>
          <w:sz w:val="11"/>
        </w:rPr>
      </w:pPr>
      <w:r>
        <w:rPr>
          <w:color w:val="231F20"/>
        </w:rPr>
        <w:t>develop an online safety plan.</w:t>
      </w:r>
      <w:r>
        <w:rPr>
          <w:color w:val="231F20"/>
          <w:position w:val="7"/>
          <w:sz w:val="11"/>
        </w:rPr>
        <w:t>78</w:t>
      </w:r>
    </w:p>
    <w:p w14:paraId="040FDE45" w14:textId="77777777" w:rsidR="00894070" w:rsidRDefault="009B7AFD">
      <w:pPr>
        <w:pStyle w:val="ListParagraph"/>
        <w:numPr>
          <w:ilvl w:val="1"/>
          <w:numId w:val="161"/>
        </w:numPr>
        <w:tabs>
          <w:tab w:val="left" w:pos="1801"/>
          <w:tab w:val="left" w:pos="1802"/>
        </w:tabs>
        <w:spacing w:before="115" w:line="206" w:lineRule="auto"/>
        <w:ind w:right="1300"/>
        <w:rPr>
          <w:sz w:val="20"/>
        </w:rPr>
      </w:pPr>
      <w:r>
        <w:rPr>
          <w:color w:val="231F20"/>
          <w:spacing w:val="-4"/>
          <w:sz w:val="20"/>
        </w:rPr>
        <w:t>Even</w:t>
      </w:r>
      <w:r>
        <w:rPr>
          <w:color w:val="231F20"/>
          <w:spacing w:val="-14"/>
          <w:sz w:val="20"/>
        </w:rPr>
        <w:t xml:space="preserve"> </w:t>
      </w:r>
      <w:r>
        <w:rPr>
          <w:color w:val="231F20"/>
          <w:sz w:val="20"/>
        </w:rPr>
        <w:t>with</w:t>
      </w:r>
      <w:r>
        <w:rPr>
          <w:color w:val="231F20"/>
          <w:spacing w:val="-13"/>
          <w:sz w:val="20"/>
        </w:rPr>
        <w:t xml:space="preserve"> </w:t>
      </w:r>
      <w:r>
        <w:rPr>
          <w:color w:val="231F20"/>
          <w:sz w:val="20"/>
        </w:rPr>
        <w:t>these</w:t>
      </w:r>
      <w:r>
        <w:rPr>
          <w:color w:val="231F20"/>
          <w:spacing w:val="-14"/>
          <w:sz w:val="20"/>
        </w:rPr>
        <w:t xml:space="preserve"> </w:t>
      </w:r>
      <w:r>
        <w:rPr>
          <w:color w:val="231F20"/>
          <w:sz w:val="20"/>
        </w:rPr>
        <w:t>legal</w:t>
      </w:r>
      <w:r>
        <w:rPr>
          <w:color w:val="231F20"/>
          <w:spacing w:val="-13"/>
          <w:sz w:val="20"/>
        </w:rPr>
        <w:t xml:space="preserve"> </w:t>
      </w:r>
      <w:r>
        <w:rPr>
          <w:color w:val="231F20"/>
          <w:sz w:val="20"/>
        </w:rPr>
        <w:t>and</w:t>
      </w:r>
      <w:r>
        <w:rPr>
          <w:color w:val="231F20"/>
          <w:spacing w:val="-14"/>
          <w:sz w:val="20"/>
        </w:rPr>
        <w:t xml:space="preserve"> </w:t>
      </w:r>
      <w:r>
        <w:rPr>
          <w:color w:val="231F20"/>
          <w:sz w:val="20"/>
        </w:rPr>
        <w:t>regulatory</w:t>
      </w:r>
      <w:r>
        <w:rPr>
          <w:color w:val="231F20"/>
          <w:spacing w:val="-13"/>
          <w:sz w:val="20"/>
        </w:rPr>
        <w:t xml:space="preserve"> </w:t>
      </w:r>
      <w:r>
        <w:rPr>
          <w:color w:val="231F20"/>
          <w:sz w:val="20"/>
        </w:rPr>
        <w:t>options,</w:t>
      </w:r>
      <w:r>
        <w:rPr>
          <w:color w:val="231F20"/>
          <w:spacing w:val="-14"/>
          <w:sz w:val="20"/>
        </w:rPr>
        <w:t xml:space="preserve"> </w:t>
      </w:r>
      <w:r>
        <w:rPr>
          <w:color w:val="231F20"/>
          <w:sz w:val="20"/>
        </w:rPr>
        <w:t>cyberstalking</w:t>
      </w:r>
      <w:r>
        <w:rPr>
          <w:color w:val="231F20"/>
          <w:spacing w:val="-13"/>
          <w:sz w:val="20"/>
        </w:rPr>
        <w:t xml:space="preserve"> </w:t>
      </w:r>
      <w:r>
        <w:rPr>
          <w:color w:val="231F20"/>
          <w:sz w:val="20"/>
        </w:rPr>
        <w:t>can</w:t>
      </w:r>
      <w:r>
        <w:rPr>
          <w:color w:val="231F20"/>
          <w:spacing w:val="-14"/>
          <w:sz w:val="20"/>
        </w:rPr>
        <w:t xml:space="preserve"> </w:t>
      </w:r>
      <w:r>
        <w:rPr>
          <w:color w:val="231F20"/>
          <w:sz w:val="20"/>
        </w:rPr>
        <w:t>be</w:t>
      </w:r>
      <w:r>
        <w:rPr>
          <w:color w:val="231F20"/>
          <w:spacing w:val="-13"/>
          <w:sz w:val="20"/>
        </w:rPr>
        <w:t xml:space="preserve"> </w:t>
      </w:r>
      <w:r>
        <w:rPr>
          <w:color w:val="231F20"/>
          <w:sz w:val="20"/>
        </w:rPr>
        <w:t>difficult</w:t>
      </w:r>
      <w:r>
        <w:rPr>
          <w:color w:val="231F20"/>
          <w:spacing w:val="-14"/>
          <w:sz w:val="20"/>
        </w:rPr>
        <w:t xml:space="preserve"> </w:t>
      </w:r>
      <w:r>
        <w:rPr>
          <w:color w:val="231F20"/>
          <w:sz w:val="20"/>
        </w:rPr>
        <w:t>to</w:t>
      </w:r>
      <w:r>
        <w:rPr>
          <w:color w:val="231F20"/>
          <w:spacing w:val="-13"/>
          <w:sz w:val="20"/>
        </w:rPr>
        <w:t xml:space="preserve"> </w:t>
      </w:r>
      <w:r>
        <w:rPr>
          <w:color w:val="231F20"/>
          <w:sz w:val="20"/>
        </w:rPr>
        <w:t xml:space="preserve">address. The reasons </w:t>
      </w:r>
      <w:r>
        <w:rPr>
          <w:color w:val="231F20"/>
          <w:spacing w:val="-3"/>
          <w:sz w:val="20"/>
        </w:rPr>
        <w:t xml:space="preserve">for </w:t>
      </w:r>
      <w:r>
        <w:rPr>
          <w:color w:val="231F20"/>
          <w:sz w:val="20"/>
        </w:rPr>
        <w:t xml:space="preserve">this </w:t>
      </w:r>
      <w:r>
        <w:rPr>
          <w:color w:val="231F20"/>
          <w:spacing w:val="-3"/>
          <w:sz w:val="20"/>
        </w:rPr>
        <w:t xml:space="preserve">are </w:t>
      </w:r>
      <w:r>
        <w:rPr>
          <w:color w:val="231F20"/>
          <w:sz w:val="20"/>
        </w:rPr>
        <w:t>discussed</w:t>
      </w:r>
      <w:r>
        <w:rPr>
          <w:color w:val="231F20"/>
          <w:spacing w:val="-20"/>
          <w:sz w:val="20"/>
        </w:rPr>
        <w:t xml:space="preserve"> </w:t>
      </w:r>
      <w:r>
        <w:rPr>
          <w:color w:val="231F20"/>
          <w:sz w:val="20"/>
        </w:rPr>
        <w:t>next.</w:t>
      </w:r>
    </w:p>
    <w:p w14:paraId="6FCEA214" w14:textId="77777777" w:rsidR="00894070" w:rsidRDefault="00894070">
      <w:pPr>
        <w:pStyle w:val="BodyText"/>
        <w:spacing w:before="9"/>
        <w:rPr>
          <w:sz w:val="15"/>
        </w:rPr>
      </w:pPr>
    </w:p>
    <w:p w14:paraId="652CCF20" w14:textId="77777777" w:rsidR="00894070" w:rsidRDefault="009B7AFD">
      <w:pPr>
        <w:pStyle w:val="Heading8"/>
        <w:ind w:left="1007"/>
      </w:pPr>
      <w:r>
        <w:rPr>
          <w:color w:val="231F20"/>
        </w:rPr>
        <w:t>Complexities of the legal and regulatory responses</w:t>
      </w:r>
    </w:p>
    <w:p w14:paraId="0312F431" w14:textId="77777777" w:rsidR="00894070" w:rsidRDefault="009B7AFD">
      <w:pPr>
        <w:pStyle w:val="ListParagraph"/>
        <w:numPr>
          <w:ilvl w:val="1"/>
          <w:numId w:val="161"/>
        </w:numPr>
        <w:tabs>
          <w:tab w:val="left" w:pos="1802"/>
        </w:tabs>
        <w:spacing w:before="127" w:line="206" w:lineRule="auto"/>
        <w:ind w:right="1533"/>
        <w:jc w:val="both"/>
        <w:rPr>
          <w:sz w:val="11"/>
        </w:rPr>
      </w:pPr>
      <w:r>
        <w:rPr>
          <w:color w:val="231F20"/>
          <w:spacing w:val="-10"/>
          <w:sz w:val="20"/>
        </w:rPr>
        <w:t>To</w:t>
      </w:r>
      <w:r>
        <w:rPr>
          <w:color w:val="231F20"/>
          <w:spacing w:val="-12"/>
          <w:sz w:val="20"/>
        </w:rPr>
        <w:t xml:space="preserve"> </w:t>
      </w:r>
      <w:r>
        <w:rPr>
          <w:color w:val="231F20"/>
          <w:sz w:val="20"/>
        </w:rPr>
        <w:t>collect</w:t>
      </w:r>
      <w:r>
        <w:rPr>
          <w:color w:val="231F20"/>
          <w:spacing w:val="-12"/>
          <w:sz w:val="20"/>
        </w:rPr>
        <w:t xml:space="preserve"> </w:t>
      </w:r>
      <w:r>
        <w:rPr>
          <w:color w:val="231F20"/>
          <w:sz w:val="20"/>
        </w:rPr>
        <w:t>evidence</w:t>
      </w:r>
      <w:r>
        <w:rPr>
          <w:color w:val="231F20"/>
          <w:spacing w:val="-11"/>
          <w:sz w:val="20"/>
        </w:rPr>
        <w:t xml:space="preserve"> </w:t>
      </w:r>
      <w:r>
        <w:rPr>
          <w:color w:val="231F20"/>
          <w:sz w:val="20"/>
        </w:rPr>
        <w:t>of</w:t>
      </w:r>
      <w:r>
        <w:rPr>
          <w:color w:val="231F20"/>
          <w:spacing w:val="-12"/>
          <w:sz w:val="20"/>
        </w:rPr>
        <w:t xml:space="preserve"> </w:t>
      </w:r>
      <w:r>
        <w:rPr>
          <w:color w:val="231F20"/>
          <w:sz w:val="20"/>
        </w:rPr>
        <w:t>cyberstalking,</w:t>
      </w:r>
      <w:r>
        <w:rPr>
          <w:color w:val="231F20"/>
          <w:spacing w:val="-11"/>
          <w:sz w:val="20"/>
        </w:rPr>
        <w:t xml:space="preserve"> </w:t>
      </w:r>
      <w:r>
        <w:rPr>
          <w:color w:val="231F20"/>
          <w:sz w:val="20"/>
        </w:rPr>
        <w:t>it</w:t>
      </w:r>
      <w:r>
        <w:rPr>
          <w:color w:val="231F20"/>
          <w:spacing w:val="-12"/>
          <w:sz w:val="20"/>
        </w:rPr>
        <w:t xml:space="preserve"> </w:t>
      </w:r>
      <w:r>
        <w:rPr>
          <w:color w:val="231F20"/>
          <w:sz w:val="20"/>
        </w:rPr>
        <w:t>is</w:t>
      </w:r>
      <w:r>
        <w:rPr>
          <w:color w:val="231F20"/>
          <w:spacing w:val="-12"/>
          <w:sz w:val="20"/>
        </w:rPr>
        <w:t xml:space="preserve"> </w:t>
      </w:r>
      <w:r>
        <w:rPr>
          <w:color w:val="231F20"/>
          <w:sz w:val="20"/>
        </w:rPr>
        <w:t>essential</w:t>
      </w:r>
      <w:r>
        <w:rPr>
          <w:color w:val="231F20"/>
          <w:spacing w:val="-11"/>
          <w:sz w:val="20"/>
        </w:rPr>
        <w:t xml:space="preserve"> </w:t>
      </w:r>
      <w:r>
        <w:rPr>
          <w:color w:val="231F20"/>
          <w:sz w:val="20"/>
        </w:rPr>
        <w:t>that</w:t>
      </w:r>
      <w:r>
        <w:rPr>
          <w:color w:val="231F20"/>
          <w:spacing w:val="-12"/>
          <w:sz w:val="20"/>
        </w:rPr>
        <w:t xml:space="preserve"> </w:t>
      </w:r>
      <w:r>
        <w:rPr>
          <w:color w:val="231F20"/>
          <w:sz w:val="20"/>
        </w:rPr>
        <w:t>service</w:t>
      </w:r>
      <w:r>
        <w:rPr>
          <w:color w:val="231F20"/>
          <w:spacing w:val="-11"/>
          <w:sz w:val="20"/>
        </w:rPr>
        <w:t xml:space="preserve"> </w:t>
      </w:r>
      <w:r>
        <w:rPr>
          <w:color w:val="231F20"/>
          <w:spacing w:val="-3"/>
          <w:sz w:val="20"/>
        </w:rPr>
        <w:t>providers</w:t>
      </w:r>
      <w:r>
        <w:rPr>
          <w:color w:val="231F20"/>
          <w:spacing w:val="-12"/>
          <w:sz w:val="20"/>
        </w:rPr>
        <w:t xml:space="preserve"> </w:t>
      </w:r>
      <w:r>
        <w:rPr>
          <w:color w:val="231F20"/>
          <w:sz w:val="20"/>
        </w:rPr>
        <w:t>cooperate. They</w:t>
      </w:r>
      <w:r>
        <w:rPr>
          <w:color w:val="231F20"/>
          <w:spacing w:val="-9"/>
          <w:sz w:val="20"/>
        </w:rPr>
        <w:t xml:space="preserve"> </w:t>
      </w:r>
      <w:r>
        <w:rPr>
          <w:color w:val="231F20"/>
          <w:spacing w:val="-4"/>
          <w:sz w:val="20"/>
        </w:rPr>
        <w:t>have</w:t>
      </w:r>
      <w:r>
        <w:rPr>
          <w:color w:val="231F20"/>
          <w:spacing w:val="-8"/>
          <w:sz w:val="20"/>
        </w:rPr>
        <w:t xml:space="preserve"> </w:t>
      </w:r>
      <w:r>
        <w:rPr>
          <w:color w:val="231F20"/>
          <w:sz w:val="20"/>
        </w:rPr>
        <w:t>access</w:t>
      </w:r>
      <w:r>
        <w:rPr>
          <w:color w:val="231F20"/>
          <w:spacing w:val="-8"/>
          <w:sz w:val="20"/>
        </w:rPr>
        <w:t xml:space="preserve"> </w:t>
      </w:r>
      <w:r>
        <w:rPr>
          <w:color w:val="231F20"/>
          <w:sz w:val="20"/>
        </w:rPr>
        <w:t>to</w:t>
      </w:r>
      <w:r>
        <w:rPr>
          <w:color w:val="231F20"/>
          <w:spacing w:val="-8"/>
          <w:sz w:val="20"/>
        </w:rPr>
        <w:t xml:space="preserve"> </w:t>
      </w:r>
      <w:r>
        <w:rPr>
          <w:color w:val="231F20"/>
          <w:spacing w:val="-4"/>
          <w:sz w:val="20"/>
        </w:rPr>
        <w:t>key</w:t>
      </w:r>
      <w:r>
        <w:rPr>
          <w:color w:val="231F20"/>
          <w:spacing w:val="-8"/>
          <w:sz w:val="20"/>
        </w:rPr>
        <w:t xml:space="preserve"> </w:t>
      </w:r>
      <w:r>
        <w:rPr>
          <w:color w:val="231F20"/>
          <w:spacing w:val="-3"/>
          <w:sz w:val="20"/>
        </w:rPr>
        <w:t>information</w:t>
      </w:r>
      <w:r>
        <w:rPr>
          <w:color w:val="231F20"/>
          <w:spacing w:val="-8"/>
          <w:sz w:val="20"/>
        </w:rPr>
        <w:t xml:space="preserve"> </w:t>
      </w:r>
      <w:r>
        <w:rPr>
          <w:color w:val="231F20"/>
          <w:sz w:val="20"/>
        </w:rPr>
        <w:t>about</w:t>
      </w:r>
      <w:r>
        <w:rPr>
          <w:color w:val="231F20"/>
          <w:spacing w:val="-9"/>
          <w:sz w:val="20"/>
        </w:rPr>
        <w:t xml:space="preserve"> </w:t>
      </w:r>
      <w:r>
        <w:rPr>
          <w:color w:val="231F20"/>
          <w:sz w:val="20"/>
        </w:rPr>
        <w:t>incidents</w:t>
      </w:r>
      <w:r>
        <w:rPr>
          <w:color w:val="231F20"/>
          <w:spacing w:val="-8"/>
          <w:sz w:val="20"/>
        </w:rPr>
        <w:t xml:space="preserve"> </w:t>
      </w:r>
      <w:r>
        <w:rPr>
          <w:color w:val="231F20"/>
          <w:sz w:val="20"/>
        </w:rPr>
        <w:t>that</w:t>
      </w:r>
      <w:r>
        <w:rPr>
          <w:color w:val="231F20"/>
          <w:spacing w:val="-8"/>
          <w:sz w:val="20"/>
        </w:rPr>
        <w:t xml:space="preserve"> </w:t>
      </w:r>
      <w:r>
        <w:rPr>
          <w:color w:val="231F20"/>
          <w:sz w:val="20"/>
        </w:rPr>
        <w:t>could</w:t>
      </w:r>
      <w:r>
        <w:rPr>
          <w:color w:val="231F20"/>
          <w:spacing w:val="-8"/>
          <w:sz w:val="20"/>
        </w:rPr>
        <w:t xml:space="preserve"> </w:t>
      </w:r>
      <w:r>
        <w:rPr>
          <w:color w:val="231F20"/>
          <w:sz w:val="20"/>
        </w:rPr>
        <w:t>be</w:t>
      </w:r>
      <w:r>
        <w:rPr>
          <w:color w:val="231F20"/>
          <w:spacing w:val="-8"/>
          <w:sz w:val="20"/>
        </w:rPr>
        <w:t xml:space="preserve"> </w:t>
      </w:r>
      <w:r>
        <w:rPr>
          <w:color w:val="231F20"/>
          <w:sz w:val="20"/>
        </w:rPr>
        <w:t>used</w:t>
      </w:r>
      <w:r>
        <w:rPr>
          <w:color w:val="231F20"/>
          <w:spacing w:val="-8"/>
          <w:sz w:val="20"/>
        </w:rPr>
        <w:t xml:space="preserve"> </w:t>
      </w:r>
      <w:r>
        <w:rPr>
          <w:color w:val="231F20"/>
          <w:sz w:val="20"/>
        </w:rPr>
        <w:t>to</w:t>
      </w:r>
      <w:r>
        <w:rPr>
          <w:color w:val="231F20"/>
          <w:spacing w:val="-9"/>
          <w:sz w:val="20"/>
        </w:rPr>
        <w:t xml:space="preserve"> </w:t>
      </w:r>
      <w:r>
        <w:rPr>
          <w:color w:val="231F20"/>
          <w:sz w:val="20"/>
        </w:rPr>
        <w:t>address cyberstalking</w:t>
      </w:r>
      <w:r>
        <w:rPr>
          <w:color w:val="231F20"/>
          <w:spacing w:val="-4"/>
          <w:sz w:val="20"/>
        </w:rPr>
        <w:t xml:space="preserve"> </w:t>
      </w:r>
      <w:proofErr w:type="spellStart"/>
      <w:r>
        <w:rPr>
          <w:color w:val="231F20"/>
          <w:spacing w:val="-4"/>
          <w:sz w:val="20"/>
        </w:rPr>
        <w:t>behaviour</w:t>
      </w:r>
      <w:proofErr w:type="spellEnd"/>
      <w:r>
        <w:rPr>
          <w:color w:val="231F20"/>
          <w:spacing w:val="-4"/>
          <w:sz w:val="20"/>
        </w:rPr>
        <w:t>.</w:t>
      </w:r>
      <w:r>
        <w:rPr>
          <w:color w:val="231F20"/>
          <w:spacing w:val="-4"/>
          <w:position w:val="7"/>
          <w:sz w:val="11"/>
        </w:rPr>
        <w:t>79</w:t>
      </w:r>
    </w:p>
    <w:p w14:paraId="092EAF0E" w14:textId="77777777" w:rsidR="00894070" w:rsidRDefault="009B7AFD">
      <w:pPr>
        <w:pStyle w:val="ListParagraph"/>
        <w:numPr>
          <w:ilvl w:val="1"/>
          <w:numId w:val="161"/>
        </w:numPr>
        <w:tabs>
          <w:tab w:val="left" w:pos="1801"/>
          <w:tab w:val="left" w:pos="1802"/>
        </w:tabs>
        <w:spacing w:before="124" w:line="206" w:lineRule="auto"/>
        <w:ind w:right="1391"/>
        <w:rPr>
          <w:sz w:val="11"/>
        </w:rPr>
      </w:pPr>
      <w:r>
        <w:rPr>
          <w:color w:val="231F20"/>
          <w:spacing w:val="-6"/>
          <w:sz w:val="20"/>
        </w:rPr>
        <w:t>We</w:t>
      </w:r>
      <w:r>
        <w:rPr>
          <w:color w:val="231F20"/>
          <w:spacing w:val="-8"/>
          <w:sz w:val="20"/>
        </w:rPr>
        <w:t xml:space="preserve"> </w:t>
      </w:r>
      <w:r>
        <w:rPr>
          <w:color w:val="231F20"/>
          <w:sz w:val="20"/>
        </w:rPr>
        <w:t>heard</w:t>
      </w:r>
      <w:r>
        <w:rPr>
          <w:color w:val="231F20"/>
          <w:spacing w:val="-8"/>
          <w:sz w:val="20"/>
        </w:rPr>
        <w:t xml:space="preserve"> </w:t>
      </w:r>
      <w:r>
        <w:rPr>
          <w:color w:val="231F20"/>
          <w:sz w:val="20"/>
        </w:rPr>
        <w:t>support</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increasing</w:t>
      </w:r>
      <w:r>
        <w:rPr>
          <w:color w:val="231F20"/>
          <w:spacing w:val="-8"/>
          <w:sz w:val="20"/>
        </w:rPr>
        <w:t xml:space="preserve"> </w:t>
      </w:r>
      <w:r>
        <w:rPr>
          <w:color w:val="231F20"/>
          <w:sz w:val="20"/>
        </w:rPr>
        <w:t>regulation</w:t>
      </w:r>
      <w:r>
        <w:rPr>
          <w:color w:val="231F20"/>
          <w:spacing w:val="-8"/>
          <w:sz w:val="20"/>
        </w:rPr>
        <w:t xml:space="preserve"> </w:t>
      </w:r>
      <w:r>
        <w:rPr>
          <w:color w:val="231F20"/>
          <w:sz w:val="20"/>
        </w:rPr>
        <w:t>of</w:t>
      </w:r>
      <w:r>
        <w:rPr>
          <w:color w:val="231F20"/>
          <w:spacing w:val="-8"/>
          <w:sz w:val="20"/>
        </w:rPr>
        <w:t xml:space="preserve"> </w:t>
      </w:r>
      <w:r>
        <w:rPr>
          <w:color w:val="231F20"/>
          <w:sz w:val="20"/>
        </w:rPr>
        <w:t>online</w:t>
      </w:r>
      <w:r>
        <w:rPr>
          <w:color w:val="231F20"/>
          <w:spacing w:val="-8"/>
          <w:sz w:val="20"/>
        </w:rPr>
        <w:t xml:space="preserve"> </w:t>
      </w:r>
      <w:r>
        <w:rPr>
          <w:color w:val="231F20"/>
          <w:sz w:val="20"/>
        </w:rPr>
        <w:t>service</w:t>
      </w:r>
      <w:r>
        <w:rPr>
          <w:color w:val="231F20"/>
          <w:spacing w:val="-8"/>
          <w:sz w:val="20"/>
        </w:rPr>
        <w:t xml:space="preserve"> </w:t>
      </w:r>
      <w:r>
        <w:rPr>
          <w:color w:val="231F20"/>
          <w:spacing w:val="-3"/>
          <w:sz w:val="20"/>
        </w:rPr>
        <w:t>providers</w:t>
      </w:r>
      <w:r>
        <w:rPr>
          <w:color w:val="231F20"/>
          <w:spacing w:val="-8"/>
          <w:sz w:val="20"/>
        </w:rPr>
        <w:t xml:space="preserve"> </w:t>
      </w:r>
      <w:r>
        <w:rPr>
          <w:color w:val="231F20"/>
          <w:sz w:val="20"/>
        </w:rPr>
        <w:t>and</w:t>
      </w:r>
      <w:r>
        <w:rPr>
          <w:color w:val="231F20"/>
          <w:spacing w:val="-8"/>
          <w:sz w:val="20"/>
        </w:rPr>
        <w:t xml:space="preserve"> </w:t>
      </w:r>
      <w:r>
        <w:rPr>
          <w:color w:val="231F20"/>
          <w:spacing w:val="-3"/>
          <w:sz w:val="20"/>
        </w:rPr>
        <w:t xml:space="preserve">improving </w:t>
      </w:r>
      <w:r>
        <w:rPr>
          <w:color w:val="231F20"/>
          <w:sz w:val="20"/>
        </w:rPr>
        <w:t>their cooperation with police officers.</w:t>
      </w:r>
      <w:r>
        <w:rPr>
          <w:color w:val="231F20"/>
          <w:position w:val="7"/>
          <w:sz w:val="11"/>
        </w:rPr>
        <w:t xml:space="preserve">80 </w:t>
      </w:r>
      <w:r>
        <w:rPr>
          <w:color w:val="231F20"/>
          <w:sz w:val="20"/>
        </w:rPr>
        <w:t xml:space="preserve">This </w:t>
      </w:r>
      <w:r>
        <w:rPr>
          <w:color w:val="231F20"/>
          <w:spacing w:val="-3"/>
          <w:sz w:val="20"/>
        </w:rPr>
        <w:t xml:space="preserve">would </w:t>
      </w:r>
      <w:r>
        <w:rPr>
          <w:color w:val="231F20"/>
          <w:sz w:val="20"/>
        </w:rPr>
        <w:t xml:space="preserve">assist police to </w:t>
      </w:r>
      <w:r>
        <w:rPr>
          <w:color w:val="231F20"/>
          <w:spacing w:val="-3"/>
          <w:sz w:val="20"/>
        </w:rPr>
        <w:t xml:space="preserve">progress </w:t>
      </w:r>
      <w:r>
        <w:rPr>
          <w:color w:val="231F20"/>
          <w:sz w:val="20"/>
        </w:rPr>
        <w:t>investigations.</w:t>
      </w:r>
      <w:r>
        <w:rPr>
          <w:color w:val="231F20"/>
          <w:position w:val="7"/>
          <w:sz w:val="11"/>
        </w:rPr>
        <w:t>81</w:t>
      </w:r>
    </w:p>
    <w:p w14:paraId="5EFE68DB" w14:textId="77777777" w:rsidR="00894070" w:rsidRDefault="009B7AFD">
      <w:pPr>
        <w:pStyle w:val="ListParagraph"/>
        <w:numPr>
          <w:ilvl w:val="1"/>
          <w:numId w:val="161"/>
        </w:numPr>
        <w:tabs>
          <w:tab w:val="left" w:pos="1801"/>
          <w:tab w:val="left" w:pos="1802"/>
        </w:tabs>
        <w:spacing w:before="124" w:line="206" w:lineRule="auto"/>
        <w:ind w:right="1406"/>
        <w:rPr>
          <w:sz w:val="11"/>
        </w:rPr>
      </w:pPr>
      <w:r>
        <w:rPr>
          <w:color w:val="231F20"/>
          <w:sz w:val="20"/>
        </w:rPr>
        <w:t>In</w:t>
      </w:r>
      <w:r>
        <w:rPr>
          <w:color w:val="231F20"/>
          <w:spacing w:val="-11"/>
          <w:sz w:val="20"/>
        </w:rPr>
        <w:t xml:space="preserve"> </w:t>
      </w:r>
      <w:r>
        <w:rPr>
          <w:color w:val="231F20"/>
          <w:sz w:val="20"/>
        </w:rPr>
        <w:t>a</w:t>
      </w:r>
      <w:r>
        <w:rPr>
          <w:color w:val="231F20"/>
          <w:spacing w:val="-10"/>
          <w:sz w:val="20"/>
        </w:rPr>
        <w:t xml:space="preserve"> </w:t>
      </w:r>
      <w:r>
        <w:rPr>
          <w:color w:val="231F20"/>
          <w:sz w:val="20"/>
        </w:rPr>
        <w:t>roundtable</w:t>
      </w:r>
      <w:r>
        <w:rPr>
          <w:color w:val="231F20"/>
          <w:spacing w:val="-11"/>
          <w:sz w:val="20"/>
        </w:rPr>
        <w:t xml:space="preserve"> </w:t>
      </w:r>
      <w:r>
        <w:rPr>
          <w:color w:val="231F20"/>
          <w:sz w:val="20"/>
        </w:rPr>
        <w:t>discussion</w:t>
      </w:r>
      <w:r>
        <w:rPr>
          <w:color w:val="231F20"/>
          <w:spacing w:val="-10"/>
          <w:sz w:val="20"/>
        </w:rPr>
        <w:t xml:space="preserve"> </w:t>
      </w:r>
      <w:r>
        <w:rPr>
          <w:color w:val="231F20"/>
          <w:sz w:val="20"/>
        </w:rPr>
        <w:t>on</w:t>
      </w:r>
      <w:r>
        <w:rPr>
          <w:color w:val="231F20"/>
          <w:spacing w:val="-11"/>
          <w:sz w:val="20"/>
        </w:rPr>
        <w:t xml:space="preserve"> </w:t>
      </w:r>
      <w:proofErr w:type="gramStart"/>
      <w:r>
        <w:rPr>
          <w:color w:val="231F20"/>
          <w:sz w:val="20"/>
        </w:rPr>
        <w:t>cyberstalking</w:t>
      </w:r>
      <w:proofErr w:type="gramEnd"/>
      <w:r>
        <w:rPr>
          <w:color w:val="231F20"/>
          <w:spacing w:val="-10"/>
          <w:sz w:val="20"/>
        </w:rPr>
        <w:t xml:space="preserve"> </w:t>
      </w:r>
      <w:r>
        <w:rPr>
          <w:color w:val="231F20"/>
          <w:spacing w:val="-3"/>
          <w:sz w:val="20"/>
        </w:rPr>
        <w:t>we</w:t>
      </w:r>
      <w:r>
        <w:rPr>
          <w:color w:val="231F20"/>
          <w:spacing w:val="-11"/>
          <w:sz w:val="20"/>
        </w:rPr>
        <w:t xml:space="preserve"> </w:t>
      </w:r>
      <w:r>
        <w:rPr>
          <w:color w:val="231F20"/>
          <w:sz w:val="20"/>
        </w:rPr>
        <w:t>heard</w:t>
      </w:r>
      <w:r>
        <w:rPr>
          <w:color w:val="231F20"/>
          <w:spacing w:val="-10"/>
          <w:sz w:val="20"/>
        </w:rPr>
        <w:t xml:space="preserve"> </w:t>
      </w:r>
      <w:r>
        <w:rPr>
          <w:color w:val="231F20"/>
          <w:sz w:val="20"/>
        </w:rPr>
        <w:t>that</w:t>
      </w:r>
      <w:r>
        <w:rPr>
          <w:color w:val="231F20"/>
          <w:spacing w:val="-11"/>
          <w:sz w:val="20"/>
        </w:rPr>
        <w:t xml:space="preserve"> </w:t>
      </w:r>
      <w:r>
        <w:rPr>
          <w:color w:val="231F20"/>
          <w:sz w:val="20"/>
        </w:rPr>
        <w:t>some</w:t>
      </w:r>
      <w:r>
        <w:rPr>
          <w:color w:val="231F20"/>
          <w:spacing w:val="-10"/>
          <w:sz w:val="20"/>
        </w:rPr>
        <w:t xml:space="preserve"> </w:t>
      </w:r>
      <w:r>
        <w:rPr>
          <w:color w:val="231F20"/>
          <w:spacing w:val="-3"/>
          <w:sz w:val="20"/>
        </w:rPr>
        <w:t>providers</w:t>
      </w:r>
      <w:r>
        <w:rPr>
          <w:color w:val="231F20"/>
          <w:spacing w:val="-11"/>
          <w:sz w:val="20"/>
        </w:rPr>
        <w:t xml:space="preserve"> </w:t>
      </w:r>
      <w:r>
        <w:rPr>
          <w:color w:val="231F20"/>
          <w:sz w:val="20"/>
        </w:rPr>
        <w:t xml:space="preserve">cooperate with police officers, but </w:t>
      </w:r>
      <w:r>
        <w:rPr>
          <w:color w:val="231F20"/>
          <w:spacing w:val="-3"/>
          <w:sz w:val="20"/>
        </w:rPr>
        <w:t xml:space="preserve">are </w:t>
      </w:r>
      <w:r>
        <w:rPr>
          <w:color w:val="231F20"/>
          <w:sz w:val="20"/>
        </w:rPr>
        <w:t xml:space="preserve">not </w:t>
      </w:r>
      <w:r>
        <w:rPr>
          <w:color w:val="231F20"/>
          <w:spacing w:val="-3"/>
          <w:sz w:val="20"/>
        </w:rPr>
        <w:t xml:space="preserve">legally required </w:t>
      </w:r>
      <w:r>
        <w:rPr>
          <w:color w:val="231F20"/>
          <w:spacing w:val="-2"/>
          <w:sz w:val="20"/>
        </w:rPr>
        <w:t xml:space="preserve">to. </w:t>
      </w:r>
      <w:r>
        <w:rPr>
          <w:color w:val="231F20"/>
          <w:sz w:val="20"/>
        </w:rPr>
        <w:t xml:space="preserve">They </w:t>
      </w:r>
      <w:r>
        <w:rPr>
          <w:color w:val="231F20"/>
          <w:spacing w:val="-3"/>
          <w:sz w:val="20"/>
        </w:rPr>
        <w:t xml:space="preserve">are </w:t>
      </w:r>
      <w:r>
        <w:rPr>
          <w:color w:val="231F20"/>
          <w:sz w:val="20"/>
        </w:rPr>
        <w:t xml:space="preserve">also not </w:t>
      </w:r>
      <w:r>
        <w:rPr>
          <w:color w:val="231F20"/>
          <w:spacing w:val="-3"/>
          <w:sz w:val="20"/>
        </w:rPr>
        <w:t xml:space="preserve">required </w:t>
      </w:r>
      <w:r>
        <w:rPr>
          <w:color w:val="231F20"/>
          <w:sz w:val="20"/>
        </w:rPr>
        <w:t>to do anything</w:t>
      </w:r>
      <w:r>
        <w:rPr>
          <w:color w:val="231F20"/>
          <w:spacing w:val="-5"/>
          <w:sz w:val="20"/>
        </w:rPr>
        <w:t xml:space="preserve"> </w:t>
      </w:r>
      <w:r>
        <w:rPr>
          <w:color w:val="231F20"/>
          <w:spacing w:val="-3"/>
          <w:sz w:val="20"/>
        </w:rPr>
        <w:t>differently</w:t>
      </w:r>
      <w:r>
        <w:rPr>
          <w:color w:val="231F20"/>
          <w:spacing w:val="-5"/>
          <w:sz w:val="20"/>
        </w:rPr>
        <w:t xml:space="preserve"> </w:t>
      </w:r>
      <w:r>
        <w:rPr>
          <w:color w:val="231F20"/>
          <w:sz w:val="20"/>
        </w:rPr>
        <w:t>if</w:t>
      </w:r>
      <w:r>
        <w:rPr>
          <w:color w:val="231F20"/>
          <w:spacing w:val="-5"/>
          <w:sz w:val="20"/>
        </w:rPr>
        <w:t xml:space="preserve"> </w:t>
      </w:r>
      <w:r>
        <w:rPr>
          <w:color w:val="231F20"/>
          <w:sz w:val="20"/>
        </w:rPr>
        <w:t>their</w:t>
      </w:r>
      <w:r>
        <w:rPr>
          <w:color w:val="231F20"/>
          <w:spacing w:val="-5"/>
          <w:sz w:val="20"/>
        </w:rPr>
        <w:t xml:space="preserve"> </w:t>
      </w:r>
      <w:r>
        <w:rPr>
          <w:color w:val="231F20"/>
          <w:sz w:val="20"/>
        </w:rPr>
        <w:t>platform</w:t>
      </w:r>
      <w:r>
        <w:rPr>
          <w:color w:val="231F20"/>
          <w:spacing w:val="-5"/>
          <w:sz w:val="20"/>
        </w:rPr>
        <w:t xml:space="preserve"> </w:t>
      </w:r>
      <w:r>
        <w:rPr>
          <w:color w:val="231F20"/>
          <w:sz w:val="20"/>
        </w:rPr>
        <w:t>is</w:t>
      </w:r>
      <w:r>
        <w:rPr>
          <w:color w:val="231F20"/>
          <w:spacing w:val="-5"/>
          <w:sz w:val="20"/>
        </w:rPr>
        <w:t xml:space="preserve"> </w:t>
      </w:r>
      <w:r>
        <w:rPr>
          <w:color w:val="231F20"/>
          <w:sz w:val="20"/>
        </w:rPr>
        <w:t>being</w:t>
      </w:r>
      <w:r>
        <w:rPr>
          <w:color w:val="231F20"/>
          <w:spacing w:val="-5"/>
          <w:sz w:val="20"/>
        </w:rPr>
        <w:t xml:space="preserve"> </w:t>
      </w:r>
      <w:r>
        <w:rPr>
          <w:color w:val="231F20"/>
          <w:sz w:val="20"/>
        </w:rPr>
        <w:t>used</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stalking.</w:t>
      </w:r>
      <w:r>
        <w:rPr>
          <w:color w:val="231F20"/>
          <w:position w:val="7"/>
          <w:sz w:val="11"/>
        </w:rPr>
        <w:t>82</w:t>
      </w:r>
    </w:p>
    <w:p w14:paraId="61096FF1" w14:textId="77777777" w:rsidR="00894070" w:rsidRDefault="009B7AFD">
      <w:pPr>
        <w:pStyle w:val="ListParagraph"/>
        <w:numPr>
          <w:ilvl w:val="1"/>
          <w:numId w:val="161"/>
        </w:numPr>
        <w:tabs>
          <w:tab w:val="left" w:pos="1801"/>
          <w:tab w:val="left" w:pos="1802"/>
        </w:tabs>
        <w:spacing w:before="91" w:line="259" w:lineRule="exact"/>
        <w:rPr>
          <w:sz w:val="20"/>
        </w:rPr>
      </w:pPr>
      <w:r>
        <w:rPr>
          <w:color w:val="231F20"/>
          <w:sz w:val="20"/>
        </w:rPr>
        <w:t>Victoria</w:t>
      </w:r>
      <w:r>
        <w:rPr>
          <w:color w:val="231F20"/>
          <w:spacing w:val="-6"/>
          <w:sz w:val="20"/>
        </w:rPr>
        <w:t xml:space="preserve"> </w:t>
      </w:r>
      <w:r>
        <w:rPr>
          <w:color w:val="231F20"/>
          <w:sz w:val="20"/>
        </w:rPr>
        <w:t>Police</w:t>
      </w:r>
      <w:r>
        <w:rPr>
          <w:color w:val="231F20"/>
          <w:spacing w:val="-6"/>
          <w:sz w:val="20"/>
        </w:rPr>
        <w:t xml:space="preserve"> </w:t>
      </w:r>
      <w:r>
        <w:rPr>
          <w:color w:val="231F20"/>
          <w:sz w:val="20"/>
        </w:rPr>
        <w:t>stated</w:t>
      </w:r>
      <w:r>
        <w:rPr>
          <w:color w:val="231F20"/>
          <w:spacing w:val="-6"/>
          <w:sz w:val="20"/>
        </w:rPr>
        <w:t xml:space="preserve"> </w:t>
      </w:r>
      <w:r>
        <w:rPr>
          <w:color w:val="231F20"/>
          <w:sz w:val="20"/>
        </w:rPr>
        <w:t>that</w:t>
      </w:r>
      <w:r>
        <w:rPr>
          <w:color w:val="231F20"/>
          <w:spacing w:val="-6"/>
          <w:sz w:val="20"/>
        </w:rPr>
        <w:t xml:space="preserve"> </w:t>
      </w:r>
      <w:r>
        <w:rPr>
          <w:color w:val="231F20"/>
          <w:spacing w:val="-3"/>
          <w:sz w:val="20"/>
        </w:rPr>
        <w:t>reform</w:t>
      </w:r>
      <w:r>
        <w:rPr>
          <w:color w:val="231F20"/>
          <w:spacing w:val="-5"/>
          <w:sz w:val="20"/>
        </w:rPr>
        <w:t xml:space="preserve"> </w:t>
      </w:r>
      <w:r>
        <w:rPr>
          <w:color w:val="231F20"/>
          <w:sz w:val="20"/>
        </w:rPr>
        <w:t>is</w:t>
      </w:r>
      <w:r>
        <w:rPr>
          <w:color w:val="231F20"/>
          <w:spacing w:val="-6"/>
          <w:sz w:val="20"/>
        </w:rPr>
        <w:t xml:space="preserve"> </w:t>
      </w:r>
      <w:r>
        <w:rPr>
          <w:color w:val="231F20"/>
          <w:sz w:val="20"/>
        </w:rPr>
        <w:t>needed</w:t>
      </w:r>
      <w:r>
        <w:rPr>
          <w:color w:val="231F20"/>
          <w:spacing w:val="-6"/>
          <w:sz w:val="20"/>
        </w:rPr>
        <w:t xml:space="preserve"> </w:t>
      </w:r>
      <w:r>
        <w:rPr>
          <w:color w:val="231F20"/>
          <w:sz w:val="20"/>
        </w:rPr>
        <w:t>to</w:t>
      </w:r>
      <w:r>
        <w:rPr>
          <w:color w:val="231F20"/>
          <w:spacing w:val="-6"/>
          <w:sz w:val="20"/>
        </w:rPr>
        <w:t xml:space="preserve"> </w:t>
      </w:r>
      <w:r>
        <w:rPr>
          <w:color w:val="231F20"/>
          <w:sz w:val="20"/>
        </w:rPr>
        <w:t>ensure</w:t>
      </w:r>
      <w:r>
        <w:rPr>
          <w:color w:val="231F20"/>
          <w:spacing w:val="-5"/>
          <w:sz w:val="20"/>
        </w:rPr>
        <w:t xml:space="preserve"> </w:t>
      </w:r>
      <w:r>
        <w:rPr>
          <w:color w:val="231F20"/>
          <w:sz w:val="20"/>
        </w:rPr>
        <w:t>they</w:t>
      </w:r>
      <w:r>
        <w:rPr>
          <w:color w:val="231F20"/>
          <w:spacing w:val="-6"/>
          <w:sz w:val="20"/>
        </w:rPr>
        <w:t xml:space="preserve"> </w:t>
      </w:r>
      <w:r>
        <w:rPr>
          <w:color w:val="231F20"/>
          <w:sz w:val="20"/>
        </w:rPr>
        <w:t>can</w:t>
      </w:r>
      <w:r>
        <w:rPr>
          <w:color w:val="231F20"/>
          <w:spacing w:val="-6"/>
          <w:sz w:val="20"/>
        </w:rPr>
        <w:t xml:space="preserve"> </w:t>
      </w:r>
      <w:r>
        <w:rPr>
          <w:color w:val="231F20"/>
          <w:sz w:val="20"/>
        </w:rPr>
        <w:t>get</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information</w:t>
      </w:r>
      <w:r>
        <w:rPr>
          <w:color w:val="231F20"/>
          <w:spacing w:val="-5"/>
          <w:sz w:val="20"/>
        </w:rPr>
        <w:t xml:space="preserve"> </w:t>
      </w:r>
      <w:r>
        <w:rPr>
          <w:color w:val="231F20"/>
          <w:sz w:val="20"/>
        </w:rPr>
        <w:t>they</w:t>
      </w:r>
    </w:p>
    <w:p w14:paraId="42184BAA" w14:textId="77777777" w:rsidR="00894070" w:rsidRDefault="009B7AFD">
      <w:pPr>
        <w:pStyle w:val="BodyText"/>
        <w:spacing w:line="259" w:lineRule="exact"/>
        <w:ind w:left="1801"/>
      </w:pPr>
      <w:r>
        <w:rPr>
          <w:color w:val="231F20"/>
        </w:rPr>
        <w:t>need from online service providers in a timely way.</w:t>
      </w:r>
      <w:r>
        <w:rPr>
          <w:color w:val="231F20"/>
          <w:position w:val="7"/>
          <w:sz w:val="11"/>
        </w:rPr>
        <w:t xml:space="preserve">83 </w:t>
      </w:r>
      <w:r>
        <w:rPr>
          <w:color w:val="231F20"/>
        </w:rPr>
        <w:t>Suggestions included:</w:t>
      </w:r>
    </w:p>
    <w:p w14:paraId="391B8DCD" w14:textId="77777777" w:rsidR="00894070" w:rsidRDefault="009B7AFD">
      <w:pPr>
        <w:pStyle w:val="ListParagraph"/>
        <w:numPr>
          <w:ilvl w:val="2"/>
          <w:numId w:val="161"/>
        </w:numPr>
        <w:tabs>
          <w:tab w:val="left" w:pos="2141"/>
          <w:tab w:val="left" w:pos="2142"/>
        </w:tabs>
        <w:spacing w:before="83"/>
        <w:ind w:hanging="340"/>
        <w:rPr>
          <w:sz w:val="11"/>
        </w:rPr>
      </w:pPr>
      <w:r>
        <w:rPr>
          <w:color w:val="231F20"/>
          <w:spacing w:val="-3"/>
          <w:sz w:val="20"/>
        </w:rPr>
        <w:t xml:space="preserve">enforceable </w:t>
      </w:r>
      <w:r>
        <w:rPr>
          <w:color w:val="231F20"/>
          <w:sz w:val="20"/>
        </w:rPr>
        <w:t xml:space="preserve">responsibilities on </w:t>
      </w:r>
      <w:r>
        <w:rPr>
          <w:color w:val="231F20"/>
          <w:spacing w:val="-3"/>
          <w:sz w:val="20"/>
        </w:rPr>
        <w:t xml:space="preserve">providers </w:t>
      </w:r>
      <w:r>
        <w:rPr>
          <w:color w:val="231F20"/>
          <w:sz w:val="20"/>
        </w:rPr>
        <w:t>to support police</w:t>
      </w:r>
      <w:r>
        <w:rPr>
          <w:color w:val="231F20"/>
          <w:spacing w:val="-29"/>
          <w:sz w:val="20"/>
        </w:rPr>
        <w:t xml:space="preserve"> </w:t>
      </w:r>
      <w:r>
        <w:rPr>
          <w:color w:val="231F20"/>
          <w:sz w:val="20"/>
        </w:rPr>
        <w:t>investigations</w:t>
      </w:r>
      <w:r>
        <w:rPr>
          <w:color w:val="231F20"/>
          <w:position w:val="7"/>
          <w:sz w:val="11"/>
        </w:rPr>
        <w:t>84</w:t>
      </w:r>
    </w:p>
    <w:p w14:paraId="711BD187" w14:textId="77777777" w:rsidR="00894070" w:rsidRDefault="009B7AFD">
      <w:pPr>
        <w:pStyle w:val="ListParagraph"/>
        <w:numPr>
          <w:ilvl w:val="2"/>
          <w:numId w:val="161"/>
        </w:numPr>
        <w:tabs>
          <w:tab w:val="left" w:pos="2141"/>
          <w:tab w:val="left" w:pos="2142"/>
        </w:tabs>
        <w:spacing w:before="79" w:line="206" w:lineRule="auto"/>
        <w:ind w:right="1540" w:hanging="340"/>
        <w:rPr>
          <w:sz w:val="20"/>
        </w:rPr>
      </w:pPr>
      <w:r>
        <w:rPr>
          <w:color w:val="231F20"/>
          <w:sz w:val="20"/>
        </w:rPr>
        <w:t>agreements</w:t>
      </w:r>
      <w:r>
        <w:rPr>
          <w:color w:val="231F20"/>
          <w:spacing w:val="-14"/>
          <w:sz w:val="20"/>
        </w:rPr>
        <w:t xml:space="preserve"> </w:t>
      </w:r>
      <w:r>
        <w:rPr>
          <w:color w:val="231F20"/>
          <w:sz w:val="20"/>
        </w:rPr>
        <w:t>with</w:t>
      </w:r>
      <w:r>
        <w:rPr>
          <w:color w:val="231F20"/>
          <w:spacing w:val="-14"/>
          <w:sz w:val="20"/>
        </w:rPr>
        <w:t xml:space="preserve"> </w:t>
      </w:r>
      <w:r>
        <w:rPr>
          <w:color w:val="231F20"/>
          <w:sz w:val="20"/>
        </w:rPr>
        <w:t>technology</w:t>
      </w:r>
      <w:r>
        <w:rPr>
          <w:color w:val="231F20"/>
          <w:spacing w:val="-13"/>
          <w:sz w:val="20"/>
        </w:rPr>
        <w:t xml:space="preserve"> </w:t>
      </w:r>
      <w:r>
        <w:rPr>
          <w:color w:val="231F20"/>
          <w:sz w:val="20"/>
        </w:rPr>
        <w:t>companies</w:t>
      </w:r>
      <w:r>
        <w:rPr>
          <w:color w:val="231F20"/>
          <w:spacing w:val="-14"/>
          <w:sz w:val="20"/>
        </w:rPr>
        <w:t xml:space="preserve"> </w:t>
      </w:r>
      <w:r>
        <w:rPr>
          <w:color w:val="231F20"/>
          <w:sz w:val="20"/>
        </w:rPr>
        <w:t>in</w:t>
      </w:r>
      <w:r>
        <w:rPr>
          <w:color w:val="231F20"/>
          <w:spacing w:val="-13"/>
          <w:sz w:val="20"/>
        </w:rPr>
        <w:t xml:space="preserve"> </w:t>
      </w:r>
      <w:r>
        <w:rPr>
          <w:color w:val="231F20"/>
          <w:sz w:val="20"/>
        </w:rPr>
        <w:t>relation</w:t>
      </w:r>
      <w:r>
        <w:rPr>
          <w:color w:val="231F20"/>
          <w:spacing w:val="-14"/>
          <w:sz w:val="20"/>
        </w:rPr>
        <w:t xml:space="preserve"> </w:t>
      </w:r>
      <w:r>
        <w:rPr>
          <w:color w:val="231F20"/>
          <w:sz w:val="20"/>
        </w:rPr>
        <w:t>to</w:t>
      </w:r>
      <w:r>
        <w:rPr>
          <w:color w:val="231F20"/>
          <w:spacing w:val="-13"/>
          <w:sz w:val="20"/>
        </w:rPr>
        <w:t xml:space="preserve"> </w:t>
      </w:r>
      <w:r>
        <w:rPr>
          <w:color w:val="231F20"/>
          <w:sz w:val="20"/>
        </w:rPr>
        <w:t>cyberstalking</w:t>
      </w:r>
      <w:r>
        <w:rPr>
          <w:color w:val="231F20"/>
          <w:spacing w:val="-14"/>
          <w:sz w:val="20"/>
        </w:rPr>
        <w:t xml:space="preserve"> </w:t>
      </w:r>
      <w:r>
        <w:rPr>
          <w:color w:val="231F20"/>
          <w:sz w:val="20"/>
        </w:rPr>
        <w:t>against</w:t>
      </w:r>
      <w:r>
        <w:rPr>
          <w:color w:val="231F20"/>
          <w:spacing w:val="-13"/>
          <w:sz w:val="20"/>
        </w:rPr>
        <w:t xml:space="preserve"> </w:t>
      </w:r>
      <w:r>
        <w:rPr>
          <w:color w:val="231F20"/>
          <w:spacing w:val="-3"/>
          <w:sz w:val="20"/>
        </w:rPr>
        <w:t xml:space="preserve">any </w:t>
      </w:r>
      <w:r>
        <w:rPr>
          <w:color w:val="231F20"/>
          <w:sz w:val="20"/>
        </w:rPr>
        <w:t>Victorian</w:t>
      </w:r>
    </w:p>
    <w:p w14:paraId="53422300" w14:textId="77777777" w:rsidR="00894070" w:rsidRDefault="009B7AFD">
      <w:pPr>
        <w:pStyle w:val="ListParagraph"/>
        <w:numPr>
          <w:ilvl w:val="2"/>
          <w:numId w:val="161"/>
        </w:numPr>
        <w:tabs>
          <w:tab w:val="left" w:pos="2141"/>
          <w:tab w:val="left" w:pos="2142"/>
        </w:tabs>
        <w:spacing w:before="56"/>
        <w:ind w:hanging="340"/>
        <w:rPr>
          <w:sz w:val="11"/>
        </w:rPr>
      </w:pPr>
      <w:r>
        <w:rPr>
          <w:color w:val="231F20"/>
          <w:sz w:val="20"/>
        </w:rPr>
        <w:t xml:space="preserve">a code of conduct </w:t>
      </w:r>
      <w:r>
        <w:rPr>
          <w:color w:val="231F20"/>
          <w:spacing w:val="-3"/>
          <w:sz w:val="20"/>
        </w:rPr>
        <w:t xml:space="preserve">for internet </w:t>
      </w:r>
      <w:r>
        <w:rPr>
          <w:color w:val="231F20"/>
          <w:sz w:val="20"/>
        </w:rPr>
        <w:t>and social media</w:t>
      </w:r>
      <w:r>
        <w:rPr>
          <w:color w:val="231F20"/>
          <w:spacing w:val="-33"/>
          <w:sz w:val="20"/>
        </w:rPr>
        <w:t xml:space="preserve"> </w:t>
      </w:r>
      <w:r>
        <w:rPr>
          <w:color w:val="231F20"/>
          <w:sz w:val="20"/>
        </w:rPr>
        <w:t>companies</w:t>
      </w:r>
      <w:r>
        <w:rPr>
          <w:color w:val="231F20"/>
          <w:position w:val="7"/>
          <w:sz w:val="11"/>
        </w:rPr>
        <w:t>85</w:t>
      </w:r>
    </w:p>
    <w:p w14:paraId="2B4593B0" w14:textId="77777777" w:rsidR="00894070" w:rsidRDefault="009B7AFD">
      <w:pPr>
        <w:pStyle w:val="ListParagraph"/>
        <w:numPr>
          <w:ilvl w:val="2"/>
          <w:numId w:val="161"/>
        </w:numPr>
        <w:tabs>
          <w:tab w:val="left" w:pos="2141"/>
          <w:tab w:val="left" w:pos="2142"/>
        </w:tabs>
        <w:spacing w:before="79" w:line="206" w:lineRule="auto"/>
        <w:ind w:right="1531" w:hanging="340"/>
        <w:rPr>
          <w:sz w:val="11"/>
        </w:rPr>
      </w:pPr>
      <w:r>
        <w:rPr>
          <w:color w:val="231F20"/>
          <w:sz w:val="20"/>
        </w:rPr>
        <w:t>transparency</w:t>
      </w:r>
      <w:r>
        <w:rPr>
          <w:color w:val="231F20"/>
          <w:spacing w:val="-11"/>
          <w:sz w:val="20"/>
        </w:rPr>
        <w:t xml:space="preserve"> </w:t>
      </w:r>
      <w:r>
        <w:rPr>
          <w:color w:val="231F20"/>
          <w:sz w:val="20"/>
        </w:rPr>
        <w:t>around</w:t>
      </w:r>
      <w:r>
        <w:rPr>
          <w:color w:val="231F20"/>
          <w:spacing w:val="-11"/>
          <w:sz w:val="20"/>
        </w:rPr>
        <w:t xml:space="preserve"> </w:t>
      </w:r>
      <w:r>
        <w:rPr>
          <w:color w:val="231F20"/>
          <w:sz w:val="20"/>
        </w:rPr>
        <w:t>the</w:t>
      </w:r>
      <w:r>
        <w:rPr>
          <w:color w:val="231F20"/>
          <w:spacing w:val="-11"/>
          <w:sz w:val="20"/>
        </w:rPr>
        <w:t xml:space="preserve"> </w:t>
      </w:r>
      <w:r>
        <w:rPr>
          <w:color w:val="231F20"/>
          <w:sz w:val="20"/>
        </w:rPr>
        <w:t>policies</w:t>
      </w:r>
      <w:r>
        <w:rPr>
          <w:color w:val="231F20"/>
          <w:spacing w:val="-11"/>
          <w:sz w:val="20"/>
        </w:rPr>
        <w:t xml:space="preserve"> </w:t>
      </w:r>
      <w:r>
        <w:rPr>
          <w:color w:val="231F20"/>
          <w:sz w:val="20"/>
        </w:rPr>
        <w:t>and</w:t>
      </w:r>
      <w:r>
        <w:rPr>
          <w:color w:val="231F20"/>
          <w:spacing w:val="-11"/>
          <w:sz w:val="20"/>
        </w:rPr>
        <w:t xml:space="preserve"> </w:t>
      </w:r>
      <w:r>
        <w:rPr>
          <w:color w:val="231F20"/>
          <w:sz w:val="20"/>
        </w:rPr>
        <w:t>practices</w:t>
      </w:r>
      <w:r>
        <w:rPr>
          <w:color w:val="231F20"/>
          <w:spacing w:val="-11"/>
          <w:sz w:val="20"/>
        </w:rPr>
        <w:t xml:space="preserve"> </w:t>
      </w:r>
      <w:r>
        <w:rPr>
          <w:color w:val="231F20"/>
          <w:sz w:val="20"/>
        </w:rPr>
        <w:t>an</w:t>
      </w:r>
      <w:r>
        <w:rPr>
          <w:color w:val="231F20"/>
          <w:spacing w:val="-11"/>
          <w:sz w:val="20"/>
        </w:rPr>
        <w:t xml:space="preserve"> </w:t>
      </w:r>
      <w:r>
        <w:rPr>
          <w:color w:val="231F20"/>
          <w:sz w:val="20"/>
        </w:rPr>
        <w:t>online</w:t>
      </w:r>
      <w:r>
        <w:rPr>
          <w:color w:val="231F20"/>
          <w:spacing w:val="-11"/>
          <w:sz w:val="20"/>
        </w:rPr>
        <w:t xml:space="preserve"> </w:t>
      </w:r>
      <w:r>
        <w:rPr>
          <w:color w:val="231F20"/>
          <w:sz w:val="20"/>
        </w:rPr>
        <w:t>company</w:t>
      </w:r>
      <w:r>
        <w:rPr>
          <w:color w:val="231F20"/>
          <w:spacing w:val="-11"/>
          <w:sz w:val="20"/>
        </w:rPr>
        <w:t xml:space="preserve"> </w:t>
      </w:r>
      <w:r>
        <w:rPr>
          <w:color w:val="231F20"/>
          <w:sz w:val="20"/>
        </w:rPr>
        <w:t>will</w:t>
      </w:r>
      <w:r>
        <w:rPr>
          <w:color w:val="231F20"/>
          <w:spacing w:val="-11"/>
          <w:sz w:val="20"/>
        </w:rPr>
        <w:t xml:space="preserve"> </w:t>
      </w:r>
      <w:r>
        <w:rPr>
          <w:color w:val="231F20"/>
          <w:spacing w:val="-4"/>
          <w:sz w:val="20"/>
        </w:rPr>
        <w:t>follow</w:t>
      </w:r>
      <w:r>
        <w:rPr>
          <w:color w:val="231F20"/>
          <w:spacing w:val="-11"/>
          <w:sz w:val="20"/>
        </w:rPr>
        <w:t xml:space="preserve"> </w:t>
      </w:r>
      <w:r>
        <w:rPr>
          <w:color w:val="231F20"/>
          <w:sz w:val="20"/>
        </w:rPr>
        <w:t>in responding to</w:t>
      </w:r>
      <w:r>
        <w:rPr>
          <w:color w:val="231F20"/>
          <w:spacing w:val="-9"/>
          <w:sz w:val="20"/>
        </w:rPr>
        <w:t xml:space="preserve"> </w:t>
      </w:r>
      <w:r>
        <w:rPr>
          <w:color w:val="231F20"/>
          <w:sz w:val="20"/>
        </w:rPr>
        <w:t>reports.</w:t>
      </w:r>
      <w:r>
        <w:rPr>
          <w:color w:val="231F20"/>
          <w:position w:val="7"/>
          <w:sz w:val="11"/>
        </w:rPr>
        <w:t>86</w:t>
      </w:r>
    </w:p>
    <w:p w14:paraId="273F94DD" w14:textId="77777777" w:rsidR="00894070" w:rsidRDefault="009B7AFD">
      <w:pPr>
        <w:pStyle w:val="ListParagraph"/>
        <w:numPr>
          <w:ilvl w:val="1"/>
          <w:numId w:val="161"/>
        </w:numPr>
        <w:tabs>
          <w:tab w:val="left" w:pos="1801"/>
          <w:tab w:val="left" w:pos="1802"/>
        </w:tabs>
        <w:spacing w:before="56"/>
        <w:rPr>
          <w:sz w:val="20"/>
        </w:rPr>
      </w:pPr>
      <w:r>
        <w:rPr>
          <w:color w:val="231F20"/>
          <w:sz w:val="20"/>
        </w:rPr>
        <w:t>There</w:t>
      </w:r>
      <w:r>
        <w:rPr>
          <w:color w:val="231F20"/>
          <w:spacing w:val="-5"/>
          <w:sz w:val="20"/>
        </w:rPr>
        <w:t xml:space="preserve"> </w:t>
      </w:r>
      <w:r>
        <w:rPr>
          <w:color w:val="231F20"/>
          <w:sz w:val="20"/>
        </w:rPr>
        <w:t>is</w:t>
      </w:r>
      <w:r>
        <w:rPr>
          <w:color w:val="231F20"/>
          <w:spacing w:val="-4"/>
          <w:sz w:val="20"/>
        </w:rPr>
        <w:t xml:space="preserve"> </w:t>
      </w:r>
      <w:r>
        <w:rPr>
          <w:color w:val="231F20"/>
          <w:sz w:val="20"/>
        </w:rPr>
        <w:t>a</w:t>
      </w:r>
      <w:r>
        <w:rPr>
          <w:color w:val="231F20"/>
          <w:spacing w:val="-5"/>
          <w:sz w:val="20"/>
        </w:rPr>
        <w:t xml:space="preserve"> </w:t>
      </w:r>
      <w:r>
        <w:rPr>
          <w:color w:val="231F20"/>
          <w:sz w:val="20"/>
        </w:rPr>
        <w:t>limit</w:t>
      </w:r>
      <w:r>
        <w:rPr>
          <w:color w:val="231F20"/>
          <w:spacing w:val="-4"/>
          <w:sz w:val="20"/>
        </w:rPr>
        <w:t xml:space="preserve"> </w:t>
      </w:r>
      <w:r>
        <w:rPr>
          <w:color w:val="231F20"/>
          <w:sz w:val="20"/>
        </w:rPr>
        <w:t>to</w:t>
      </w:r>
      <w:r>
        <w:rPr>
          <w:color w:val="231F20"/>
          <w:spacing w:val="-5"/>
          <w:sz w:val="20"/>
        </w:rPr>
        <w:t xml:space="preserve"> </w:t>
      </w:r>
      <w:r>
        <w:rPr>
          <w:color w:val="231F20"/>
          <w:sz w:val="20"/>
        </w:rPr>
        <w:t>what</w:t>
      </w:r>
      <w:r>
        <w:rPr>
          <w:color w:val="231F20"/>
          <w:spacing w:val="-4"/>
          <w:sz w:val="20"/>
        </w:rPr>
        <w:t xml:space="preserve"> </w:t>
      </w:r>
      <w:r>
        <w:rPr>
          <w:color w:val="231F20"/>
          <w:spacing w:val="-3"/>
          <w:sz w:val="20"/>
        </w:rPr>
        <w:t>we</w:t>
      </w:r>
      <w:r>
        <w:rPr>
          <w:color w:val="231F20"/>
          <w:spacing w:val="-5"/>
          <w:sz w:val="20"/>
        </w:rPr>
        <w:t xml:space="preserve"> </w:t>
      </w:r>
      <w:r>
        <w:rPr>
          <w:color w:val="231F20"/>
          <w:sz w:val="20"/>
        </w:rPr>
        <w:t>can</w:t>
      </w:r>
      <w:r>
        <w:rPr>
          <w:color w:val="231F20"/>
          <w:spacing w:val="-4"/>
          <w:sz w:val="20"/>
        </w:rPr>
        <w:t xml:space="preserve"> </w:t>
      </w:r>
      <w:r>
        <w:rPr>
          <w:color w:val="231F20"/>
          <w:sz w:val="20"/>
        </w:rPr>
        <w:t>recommend</w:t>
      </w:r>
      <w:r>
        <w:rPr>
          <w:color w:val="231F20"/>
          <w:spacing w:val="-5"/>
          <w:sz w:val="20"/>
        </w:rPr>
        <w:t xml:space="preserve"> </w:t>
      </w:r>
      <w:r>
        <w:rPr>
          <w:color w:val="231F20"/>
          <w:sz w:val="20"/>
        </w:rPr>
        <w:t>in</w:t>
      </w:r>
      <w:r>
        <w:rPr>
          <w:color w:val="231F20"/>
          <w:spacing w:val="-4"/>
          <w:sz w:val="20"/>
        </w:rPr>
        <w:t xml:space="preserve"> </w:t>
      </w:r>
      <w:r>
        <w:rPr>
          <w:color w:val="231F20"/>
          <w:sz w:val="20"/>
        </w:rPr>
        <w:t>this</w:t>
      </w:r>
      <w:r>
        <w:rPr>
          <w:color w:val="231F20"/>
          <w:spacing w:val="-4"/>
          <w:sz w:val="20"/>
        </w:rPr>
        <w:t xml:space="preserve"> </w:t>
      </w:r>
      <w:r>
        <w:rPr>
          <w:color w:val="231F20"/>
          <w:spacing w:val="-3"/>
          <w:sz w:val="20"/>
        </w:rPr>
        <w:t>area:</w:t>
      </w:r>
    </w:p>
    <w:p w14:paraId="4D3EB887" w14:textId="77777777" w:rsidR="00894070" w:rsidRDefault="009B7AFD">
      <w:pPr>
        <w:pStyle w:val="ListParagraph"/>
        <w:numPr>
          <w:ilvl w:val="2"/>
          <w:numId w:val="161"/>
        </w:numPr>
        <w:tabs>
          <w:tab w:val="left" w:pos="2141"/>
          <w:tab w:val="left" w:pos="2142"/>
        </w:tabs>
        <w:spacing w:before="114" w:line="206" w:lineRule="auto"/>
        <w:ind w:right="1206" w:hanging="340"/>
        <w:rPr>
          <w:sz w:val="20"/>
        </w:rPr>
      </w:pPr>
      <w:r>
        <w:rPr>
          <w:color w:val="231F20"/>
          <w:sz w:val="20"/>
        </w:rPr>
        <w:t xml:space="preserve">Many of these issues </w:t>
      </w:r>
      <w:r>
        <w:rPr>
          <w:color w:val="231F20"/>
          <w:spacing w:val="-3"/>
          <w:sz w:val="20"/>
        </w:rPr>
        <w:t xml:space="preserve">are </w:t>
      </w:r>
      <w:r>
        <w:rPr>
          <w:color w:val="231F20"/>
          <w:sz w:val="20"/>
        </w:rPr>
        <w:t xml:space="preserve">regulated </w:t>
      </w:r>
      <w:r>
        <w:rPr>
          <w:color w:val="231F20"/>
          <w:spacing w:val="-3"/>
          <w:sz w:val="20"/>
        </w:rPr>
        <w:t xml:space="preserve">by </w:t>
      </w:r>
      <w:r>
        <w:rPr>
          <w:color w:val="231F20"/>
          <w:sz w:val="20"/>
        </w:rPr>
        <w:t xml:space="preserve">federal </w:t>
      </w:r>
      <w:r>
        <w:rPr>
          <w:color w:val="231F20"/>
          <w:spacing w:val="-3"/>
          <w:sz w:val="20"/>
        </w:rPr>
        <w:t xml:space="preserve">laws </w:t>
      </w:r>
      <w:r>
        <w:rPr>
          <w:color w:val="231F20"/>
          <w:sz w:val="20"/>
        </w:rPr>
        <w:t xml:space="preserve">and sit outside the Victorian jurisdiction. The Australian </w:t>
      </w:r>
      <w:r>
        <w:rPr>
          <w:color w:val="231F20"/>
          <w:spacing w:val="-3"/>
          <w:sz w:val="20"/>
        </w:rPr>
        <w:t xml:space="preserve">Government </w:t>
      </w:r>
      <w:r>
        <w:rPr>
          <w:color w:val="231F20"/>
          <w:sz w:val="20"/>
        </w:rPr>
        <w:t xml:space="preserve">is also </w:t>
      </w:r>
      <w:r>
        <w:rPr>
          <w:color w:val="231F20"/>
          <w:spacing w:val="-4"/>
          <w:sz w:val="20"/>
        </w:rPr>
        <w:t xml:space="preserve">involved </w:t>
      </w:r>
      <w:r>
        <w:rPr>
          <w:color w:val="231F20"/>
          <w:sz w:val="20"/>
        </w:rPr>
        <w:t>in the response to cyberstalking.</w:t>
      </w:r>
      <w:r>
        <w:rPr>
          <w:color w:val="231F20"/>
          <w:spacing w:val="-9"/>
          <w:sz w:val="20"/>
        </w:rPr>
        <w:t xml:space="preserve"> </w:t>
      </w:r>
      <w:r>
        <w:rPr>
          <w:color w:val="231F20"/>
          <w:sz w:val="20"/>
        </w:rPr>
        <w:t>Our</w:t>
      </w:r>
      <w:r>
        <w:rPr>
          <w:color w:val="231F20"/>
          <w:spacing w:val="-8"/>
          <w:sz w:val="20"/>
        </w:rPr>
        <w:t xml:space="preserve"> </w:t>
      </w:r>
      <w:r>
        <w:rPr>
          <w:color w:val="231F20"/>
          <w:spacing w:val="-3"/>
          <w:sz w:val="20"/>
        </w:rPr>
        <w:t>focus</w:t>
      </w:r>
      <w:r>
        <w:rPr>
          <w:color w:val="231F20"/>
          <w:spacing w:val="-8"/>
          <w:sz w:val="20"/>
        </w:rPr>
        <w:t xml:space="preserve"> </w:t>
      </w:r>
      <w:r>
        <w:rPr>
          <w:color w:val="231F20"/>
          <w:sz w:val="20"/>
        </w:rPr>
        <w:t>is</w:t>
      </w:r>
      <w:r>
        <w:rPr>
          <w:color w:val="231F20"/>
          <w:spacing w:val="-8"/>
          <w:sz w:val="20"/>
        </w:rPr>
        <w:t xml:space="preserve"> </w:t>
      </w:r>
      <w:r>
        <w:rPr>
          <w:color w:val="231F20"/>
          <w:sz w:val="20"/>
        </w:rPr>
        <w:t>on</w:t>
      </w:r>
      <w:r>
        <w:rPr>
          <w:color w:val="231F20"/>
          <w:spacing w:val="-8"/>
          <w:sz w:val="20"/>
        </w:rPr>
        <w:t xml:space="preserve"> </w:t>
      </w:r>
      <w:r>
        <w:rPr>
          <w:color w:val="231F20"/>
          <w:sz w:val="20"/>
        </w:rPr>
        <w:t>Victorian</w:t>
      </w:r>
      <w:r>
        <w:rPr>
          <w:color w:val="231F20"/>
          <w:spacing w:val="-8"/>
          <w:sz w:val="20"/>
        </w:rPr>
        <w:t xml:space="preserve"> </w:t>
      </w:r>
      <w:r>
        <w:rPr>
          <w:color w:val="231F20"/>
          <w:sz w:val="20"/>
        </w:rPr>
        <w:t>law</w:t>
      </w:r>
      <w:r>
        <w:rPr>
          <w:color w:val="231F20"/>
          <w:spacing w:val="-8"/>
          <w:sz w:val="20"/>
        </w:rPr>
        <w:t xml:space="preserve"> </w:t>
      </w:r>
      <w:r>
        <w:rPr>
          <w:color w:val="231F20"/>
          <w:sz w:val="20"/>
        </w:rPr>
        <w:t>and</w:t>
      </w:r>
      <w:r>
        <w:rPr>
          <w:color w:val="231F20"/>
          <w:spacing w:val="-8"/>
          <w:sz w:val="20"/>
        </w:rPr>
        <w:t xml:space="preserve"> </w:t>
      </w:r>
      <w:r>
        <w:rPr>
          <w:color w:val="231F20"/>
          <w:sz w:val="20"/>
        </w:rPr>
        <w:t>what</w:t>
      </w:r>
      <w:r>
        <w:rPr>
          <w:color w:val="231F20"/>
          <w:spacing w:val="-8"/>
          <w:sz w:val="20"/>
        </w:rPr>
        <w:t xml:space="preserve"> </w:t>
      </w:r>
      <w:r>
        <w:rPr>
          <w:color w:val="231F20"/>
          <w:sz w:val="20"/>
        </w:rPr>
        <w:t>the</w:t>
      </w:r>
      <w:r>
        <w:rPr>
          <w:color w:val="231F20"/>
          <w:spacing w:val="-8"/>
          <w:sz w:val="20"/>
        </w:rPr>
        <w:t xml:space="preserve"> </w:t>
      </w:r>
      <w:r>
        <w:rPr>
          <w:color w:val="231F20"/>
          <w:sz w:val="20"/>
        </w:rPr>
        <w:t>Victorian</w:t>
      </w:r>
      <w:r>
        <w:rPr>
          <w:color w:val="231F20"/>
          <w:spacing w:val="-8"/>
          <w:sz w:val="20"/>
        </w:rPr>
        <w:t xml:space="preserve"> </w:t>
      </w:r>
      <w:r>
        <w:rPr>
          <w:color w:val="231F20"/>
          <w:spacing w:val="-3"/>
          <w:sz w:val="20"/>
        </w:rPr>
        <w:t>Government</w:t>
      </w:r>
      <w:r>
        <w:rPr>
          <w:color w:val="231F20"/>
          <w:spacing w:val="-8"/>
          <w:sz w:val="20"/>
        </w:rPr>
        <w:t xml:space="preserve"> </w:t>
      </w:r>
      <w:r>
        <w:rPr>
          <w:color w:val="231F20"/>
          <w:sz w:val="20"/>
        </w:rPr>
        <w:t>can do in</w:t>
      </w:r>
      <w:r>
        <w:rPr>
          <w:color w:val="231F20"/>
          <w:spacing w:val="-9"/>
          <w:sz w:val="20"/>
        </w:rPr>
        <w:t xml:space="preserve"> </w:t>
      </w:r>
      <w:r>
        <w:rPr>
          <w:color w:val="231F20"/>
          <w:spacing w:val="-2"/>
          <w:sz w:val="20"/>
        </w:rPr>
        <w:t>response.</w:t>
      </w:r>
    </w:p>
    <w:p w14:paraId="7A39EF80" w14:textId="77777777" w:rsidR="00894070" w:rsidRDefault="009B7AFD">
      <w:pPr>
        <w:pStyle w:val="ListParagraph"/>
        <w:numPr>
          <w:ilvl w:val="2"/>
          <w:numId w:val="161"/>
        </w:numPr>
        <w:tabs>
          <w:tab w:val="left" w:pos="2141"/>
          <w:tab w:val="left" w:pos="2142"/>
        </w:tabs>
        <w:spacing w:before="90" w:line="206" w:lineRule="auto"/>
        <w:ind w:right="1555" w:hanging="340"/>
        <w:rPr>
          <w:sz w:val="20"/>
        </w:rPr>
      </w:pPr>
      <w:r>
        <w:rPr>
          <w:color w:val="231F20"/>
          <w:sz w:val="20"/>
        </w:rPr>
        <w:t xml:space="preserve">Cyberstalking </w:t>
      </w:r>
      <w:r>
        <w:rPr>
          <w:color w:val="231F20"/>
          <w:spacing w:val="-3"/>
          <w:sz w:val="20"/>
        </w:rPr>
        <w:t xml:space="preserve">overlaps </w:t>
      </w:r>
      <w:r>
        <w:rPr>
          <w:color w:val="231F20"/>
          <w:sz w:val="20"/>
        </w:rPr>
        <w:t xml:space="preserve">with other </w:t>
      </w:r>
      <w:r>
        <w:rPr>
          <w:color w:val="231F20"/>
          <w:spacing w:val="-3"/>
          <w:sz w:val="20"/>
        </w:rPr>
        <w:t xml:space="preserve">technology-facilitated </w:t>
      </w:r>
      <w:r>
        <w:rPr>
          <w:color w:val="231F20"/>
          <w:sz w:val="20"/>
        </w:rPr>
        <w:t>harms, online safety issues,</w:t>
      </w:r>
      <w:r>
        <w:rPr>
          <w:color w:val="231F20"/>
          <w:spacing w:val="-9"/>
          <w:sz w:val="20"/>
        </w:rPr>
        <w:t xml:space="preserve"> </w:t>
      </w:r>
      <w:proofErr w:type="gramStart"/>
      <w:r>
        <w:rPr>
          <w:color w:val="231F20"/>
          <w:sz w:val="20"/>
        </w:rPr>
        <w:t>privacy</w:t>
      </w:r>
      <w:proofErr w:type="gramEnd"/>
      <w:r>
        <w:rPr>
          <w:color w:val="231F20"/>
          <w:spacing w:val="-8"/>
          <w:sz w:val="20"/>
        </w:rPr>
        <w:t xml:space="preserve"> </w:t>
      </w:r>
      <w:r>
        <w:rPr>
          <w:color w:val="231F20"/>
          <w:sz w:val="20"/>
        </w:rPr>
        <w:t>and</w:t>
      </w:r>
      <w:r>
        <w:rPr>
          <w:color w:val="231F20"/>
          <w:spacing w:val="-8"/>
          <w:sz w:val="20"/>
        </w:rPr>
        <w:t xml:space="preserve"> </w:t>
      </w:r>
      <w:r>
        <w:rPr>
          <w:color w:val="231F20"/>
          <w:sz w:val="20"/>
        </w:rPr>
        <w:t>data</w:t>
      </w:r>
      <w:r>
        <w:rPr>
          <w:color w:val="231F20"/>
          <w:spacing w:val="-9"/>
          <w:sz w:val="20"/>
        </w:rPr>
        <w:t xml:space="preserve"> </w:t>
      </w:r>
      <w:r>
        <w:rPr>
          <w:color w:val="231F20"/>
          <w:sz w:val="20"/>
        </w:rPr>
        <w:t>protection.</w:t>
      </w:r>
      <w:r>
        <w:rPr>
          <w:color w:val="231F20"/>
          <w:position w:val="7"/>
          <w:sz w:val="11"/>
        </w:rPr>
        <w:t>87</w:t>
      </w:r>
      <w:r>
        <w:rPr>
          <w:color w:val="231F20"/>
          <w:spacing w:val="16"/>
          <w:position w:val="7"/>
          <w:sz w:val="11"/>
        </w:rPr>
        <w:t xml:space="preserve"> </w:t>
      </w:r>
      <w:r>
        <w:rPr>
          <w:color w:val="231F20"/>
          <w:sz w:val="20"/>
        </w:rPr>
        <w:t>It</w:t>
      </w:r>
      <w:r>
        <w:rPr>
          <w:color w:val="231F20"/>
          <w:spacing w:val="-9"/>
          <w:sz w:val="20"/>
        </w:rPr>
        <w:t xml:space="preserve"> </w:t>
      </w:r>
      <w:r>
        <w:rPr>
          <w:color w:val="231F20"/>
          <w:sz w:val="20"/>
        </w:rPr>
        <w:t>is</w:t>
      </w:r>
      <w:r>
        <w:rPr>
          <w:color w:val="231F20"/>
          <w:spacing w:val="-8"/>
          <w:sz w:val="20"/>
        </w:rPr>
        <w:t xml:space="preserve"> </w:t>
      </w:r>
      <w:r>
        <w:rPr>
          <w:color w:val="231F20"/>
          <w:sz w:val="20"/>
        </w:rPr>
        <w:t>a</w:t>
      </w:r>
      <w:r>
        <w:rPr>
          <w:color w:val="231F20"/>
          <w:spacing w:val="-8"/>
          <w:sz w:val="20"/>
        </w:rPr>
        <w:t xml:space="preserve"> </w:t>
      </w:r>
      <w:r>
        <w:rPr>
          <w:color w:val="231F20"/>
          <w:spacing w:val="-4"/>
          <w:sz w:val="20"/>
        </w:rPr>
        <w:t>feature</w:t>
      </w:r>
      <w:r>
        <w:rPr>
          <w:color w:val="231F20"/>
          <w:spacing w:val="-9"/>
          <w:sz w:val="20"/>
        </w:rPr>
        <w:t xml:space="preserve"> </w:t>
      </w:r>
      <w:r>
        <w:rPr>
          <w:color w:val="231F20"/>
          <w:sz w:val="20"/>
        </w:rPr>
        <w:t>of</w:t>
      </w:r>
      <w:r>
        <w:rPr>
          <w:color w:val="231F20"/>
          <w:spacing w:val="-8"/>
          <w:sz w:val="20"/>
        </w:rPr>
        <w:t xml:space="preserve"> </w:t>
      </w:r>
      <w:r>
        <w:rPr>
          <w:color w:val="231F20"/>
          <w:spacing w:val="-3"/>
          <w:sz w:val="20"/>
        </w:rPr>
        <w:t>family</w:t>
      </w:r>
      <w:r>
        <w:rPr>
          <w:color w:val="231F20"/>
          <w:spacing w:val="-8"/>
          <w:sz w:val="20"/>
        </w:rPr>
        <w:t xml:space="preserve"> </w:t>
      </w:r>
      <w:r>
        <w:rPr>
          <w:color w:val="231F20"/>
          <w:sz w:val="20"/>
        </w:rPr>
        <w:t>violence</w:t>
      </w:r>
      <w:r>
        <w:rPr>
          <w:color w:val="231F20"/>
          <w:spacing w:val="-9"/>
          <w:sz w:val="20"/>
        </w:rPr>
        <w:t xml:space="preserve"> </w:t>
      </w:r>
      <w:r>
        <w:rPr>
          <w:color w:val="231F20"/>
          <w:sz w:val="20"/>
        </w:rPr>
        <w:t>and</w:t>
      </w:r>
      <w:r>
        <w:rPr>
          <w:color w:val="231F20"/>
          <w:spacing w:val="-8"/>
          <w:sz w:val="20"/>
        </w:rPr>
        <w:t xml:space="preserve"> </w:t>
      </w:r>
      <w:r>
        <w:rPr>
          <w:color w:val="231F20"/>
          <w:sz w:val="20"/>
        </w:rPr>
        <w:t>sexual violence.</w:t>
      </w:r>
      <w:r>
        <w:rPr>
          <w:color w:val="231F20"/>
          <w:spacing w:val="-6"/>
          <w:sz w:val="20"/>
        </w:rPr>
        <w:t xml:space="preserve"> </w:t>
      </w:r>
      <w:r>
        <w:rPr>
          <w:color w:val="231F20"/>
          <w:sz w:val="20"/>
        </w:rPr>
        <w:t>The</w:t>
      </w:r>
      <w:r>
        <w:rPr>
          <w:color w:val="231F20"/>
          <w:spacing w:val="-5"/>
          <w:sz w:val="20"/>
        </w:rPr>
        <w:t xml:space="preserve"> </w:t>
      </w:r>
      <w:r>
        <w:rPr>
          <w:color w:val="231F20"/>
          <w:sz w:val="20"/>
        </w:rPr>
        <w:t>scope</w:t>
      </w:r>
      <w:r>
        <w:rPr>
          <w:color w:val="231F20"/>
          <w:spacing w:val="-5"/>
          <w:sz w:val="20"/>
        </w:rPr>
        <w:t xml:space="preserve"> </w:t>
      </w:r>
      <w:r>
        <w:rPr>
          <w:color w:val="231F20"/>
          <w:sz w:val="20"/>
        </w:rPr>
        <w:t>of</w:t>
      </w:r>
      <w:r>
        <w:rPr>
          <w:color w:val="231F20"/>
          <w:spacing w:val="-5"/>
          <w:sz w:val="20"/>
        </w:rPr>
        <w:t xml:space="preserve"> </w:t>
      </w:r>
      <w:r>
        <w:rPr>
          <w:color w:val="231F20"/>
          <w:sz w:val="20"/>
        </w:rPr>
        <w:t>our</w:t>
      </w:r>
      <w:r>
        <w:rPr>
          <w:color w:val="231F20"/>
          <w:spacing w:val="-5"/>
          <w:sz w:val="20"/>
        </w:rPr>
        <w:t xml:space="preserve"> </w:t>
      </w:r>
      <w:r>
        <w:rPr>
          <w:color w:val="231F20"/>
          <w:sz w:val="20"/>
        </w:rPr>
        <w:t>inquiry</w:t>
      </w:r>
      <w:r>
        <w:rPr>
          <w:color w:val="231F20"/>
          <w:spacing w:val="-5"/>
          <w:sz w:val="20"/>
        </w:rPr>
        <w:t xml:space="preserve"> </w:t>
      </w:r>
      <w:r>
        <w:rPr>
          <w:color w:val="231F20"/>
          <w:sz w:val="20"/>
        </w:rPr>
        <w:t>is</w:t>
      </w:r>
      <w:r>
        <w:rPr>
          <w:color w:val="231F20"/>
          <w:spacing w:val="-5"/>
          <w:sz w:val="20"/>
        </w:rPr>
        <w:t xml:space="preserve"> </w:t>
      </w:r>
      <w:r>
        <w:rPr>
          <w:color w:val="231F20"/>
          <w:sz w:val="20"/>
        </w:rPr>
        <w:t>limited</w:t>
      </w:r>
      <w:r>
        <w:rPr>
          <w:color w:val="231F20"/>
          <w:spacing w:val="-5"/>
          <w:sz w:val="20"/>
        </w:rPr>
        <w:t xml:space="preserve"> </w:t>
      </w:r>
      <w:r>
        <w:rPr>
          <w:color w:val="231F20"/>
          <w:sz w:val="20"/>
        </w:rPr>
        <w:t>to</w:t>
      </w:r>
      <w:r>
        <w:rPr>
          <w:color w:val="231F20"/>
          <w:spacing w:val="-5"/>
          <w:sz w:val="20"/>
        </w:rPr>
        <w:t xml:space="preserve"> </w:t>
      </w:r>
      <w:r>
        <w:rPr>
          <w:color w:val="231F20"/>
          <w:sz w:val="20"/>
        </w:rPr>
        <w:t>stalking.</w:t>
      </w:r>
    </w:p>
    <w:p w14:paraId="1BA60740" w14:textId="77777777" w:rsidR="00894070" w:rsidRDefault="009B7AFD">
      <w:pPr>
        <w:pStyle w:val="ListParagraph"/>
        <w:numPr>
          <w:ilvl w:val="1"/>
          <w:numId w:val="161"/>
        </w:numPr>
        <w:tabs>
          <w:tab w:val="left" w:pos="1801"/>
          <w:tab w:val="left" w:pos="1802"/>
        </w:tabs>
        <w:spacing w:before="57" w:line="259" w:lineRule="exact"/>
        <w:rPr>
          <w:sz w:val="20"/>
        </w:rPr>
      </w:pPr>
      <w:r>
        <w:rPr>
          <w:color w:val="231F20"/>
          <w:sz w:val="20"/>
        </w:rPr>
        <w:t>A</w:t>
      </w:r>
      <w:r>
        <w:rPr>
          <w:color w:val="231F20"/>
          <w:spacing w:val="-6"/>
          <w:sz w:val="20"/>
        </w:rPr>
        <w:t xml:space="preserve"> </w:t>
      </w:r>
      <w:r>
        <w:rPr>
          <w:color w:val="231F20"/>
          <w:sz w:val="20"/>
        </w:rPr>
        <w:t>broad,</w:t>
      </w:r>
      <w:r>
        <w:rPr>
          <w:color w:val="231F20"/>
          <w:spacing w:val="-6"/>
          <w:sz w:val="20"/>
        </w:rPr>
        <w:t xml:space="preserve"> </w:t>
      </w:r>
      <w:proofErr w:type="gramStart"/>
      <w:r>
        <w:rPr>
          <w:color w:val="231F20"/>
          <w:sz w:val="20"/>
        </w:rPr>
        <w:t>systemic</w:t>
      </w:r>
      <w:proofErr w:type="gramEnd"/>
      <w:r>
        <w:rPr>
          <w:color w:val="231F20"/>
          <w:spacing w:val="-6"/>
          <w:sz w:val="20"/>
        </w:rPr>
        <w:t xml:space="preserve"> </w:t>
      </w:r>
      <w:r>
        <w:rPr>
          <w:color w:val="231F20"/>
          <w:sz w:val="20"/>
        </w:rPr>
        <w:t>and</w:t>
      </w:r>
      <w:r>
        <w:rPr>
          <w:color w:val="231F20"/>
          <w:spacing w:val="-5"/>
          <w:sz w:val="20"/>
        </w:rPr>
        <w:t xml:space="preserve"> </w:t>
      </w:r>
      <w:r>
        <w:rPr>
          <w:color w:val="231F20"/>
          <w:sz w:val="20"/>
        </w:rPr>
        <w:t>cross-jurisdictional</w:t>
      </w:r>
      <w:r>
        <w:rPr>
          <w:color w:val="231F20"/>
          <w:spacing w:val="-6"/>
          <w:sz w:val="20"/>
        </w:rPr>
        <w:t xml:space="preserve"> </w:t>
      </w:r>
      <w:r>
        <w:rPr>
          <w:color w:val="231F20"/>
          <w:sz w:val="20"/>
        </w:rPr>
        <w:t>response</w:t>
      </w:r>
      <w:r>
        <w:rPr>
          <w:color w:val="231F20"/>
          <w:spacing w:val="-6"/>
          <w:sz w:val="20"/>
        </w:rPr>
        <w:t xml:space="preserve"> </w:t>
      </w:r>
      <w:r>
        <w:rPr>
          <w:color w:val="231F20"/>
          <w:sz w:val="20"/>
        </w:rPr>
        <w:t>is</w:t>
      </w:r>
      <w:r>
        <w:rPr>
          <w:color w:val="231F20"/>
          <w:spacing w:val="-6"/>
          <w:sz w:val="20"/>
        </w:rPr>
        <w:t xml:space="preserve"> </w:t>
      </w:r>
      <w:r>
        <w:rPr>
          <w:color w:val="231F20"/>
          <w:sz w:val="20"/>
        </w:rPr>
        <w:t>needed</w:t>
      </w:r>
      <w:r>
        <w:rPr>
          <w:color w:val="231F20"/>
          <w:spacing w:val="-5"/>
          <w:sz w:val="20"/>
        </w:rPr>
        <w:t xml:space="preserve"> </w:t>
      </w:r>
      <w:r>
        <w:rPr>
          <w:color w:val="231F20"/>
          <w:sz w:val="20"/>
        </w:rPr>
        <w:t>to</w:t>
      </w:r>
      <w:r>
        <w:rPr>
          <w:color w:val="231F20"/>
          <w:spacing w:val="-6"/>
          <w:sz w:val="20"/>
        </w:rPr>
        <w:t xml:space="preserve"> </w:t>
      </w:r>
      <w:r>
        <w:rPr>
          <w:color w:val="231F20"/>
          <w:spacing w:val="-3"/>
          <w:sz w:val="20"/>
        </w:rPr>
        <w:t>properly</w:t>
      </w:r>
      <w:r>
        <w:rPr>
          <w:color w:val="231F20"/>
          <w:spacing w:val="-6"/>
          <w:sz w:val="20"/>
        </w:rPr>
        <w:t xml:space="preserve"> </w:t>
      </w:r>
      <w:r>
        <w:rPr>
          <w:color w:val="231F20"/>
          <w:sz w:val="20"/>
        </w:rPr>
        <w:t>tackle</w:t>
      </w:r>
    </w:p>
    <w:p w14:paraId="4B70DE91" w14:textId="77777777" w:rsidR="00894070" w:rsidRDefault="009B7AFD">
      <w:pPr>
        <w:pStyle w:val="BodyText"/>
        <w:spacing w:line="259" w:lineRule="exact"/>
        <w:ind w:left="1801"/>
      </w:pPr>
      <w:r>
        <w:rPr>
          <w:color w:val="231F20"/>
        </w:rPr>
        <w:t>technology-facilitated abuse in all its forms.</w:t>
      </w:r>
    </w:p>
    <w:p w14:paraId="441742FB" w14:textId="77777777" w:rsidR="00894070" w:rsidRDefault="00894070">
      <w:pPr>
        <w:pStyle w:val="BodyText"/>
      </w:pPr>
    </w:p>
    <w:p w14:paraId="4B717D03" w14:textId="77777777" w:rsidR="00894070" w:rsidRDefault="00894070">
      <w:pPr>
        <w:pStyle w:val="BodyText"/>
      </w:pPr>
    </w:p>
    <w:p w14:paraId="5BD5B028" w14:textId="77777777" w:rsidR="00894070" w:rsidRDefault="00894070">
      <w:pPr>
        <w:pStyle w:val="BodyText"/>
      </w:pPr>
    </w:p>
    <w:p w14:paraId="2FD3E718" w14:textId="77777777" w:rsidR="00894070" w:rsidRDefault="00894070">
      <w:pPr>
        <w:pStyle w:val="BodyText"/>
      </w:pPr>
    </w:p>
    <w:p w14:paraId="6F554128" w14:textId="77777777" w:rsidR="00894070" w:rsidRDefault="009F6793">
      <w:pPr>
        <w:pStyle w:val="BodyText"/>
        <w:spacing w:before="3"/>
        <w:rPr>
          <w:sz w:val="19"/>
        </w:rPr>
      </w:pPr>
      <w:r>
        <w:pict w14:anchorId="229095A7">
          <v:line id="_x0000_s1582" style="position:absolute;z-index:251488256;mso-wrap-distance-left:0;mso-wrap-distance-right:0;mso-position-horizontal-relative:page" from="79.35pt,15.8pt" to="515.9pt,15.8pt" strokecolor="#f8cabc" strokeweight="1pt">
            <w10:wrap type="topAndBottom" anchorx="page"/>
          </v:line>
        </w:pict>
      </w:r>
    </w:p>
    <w:p w14:paraId="34B199A3" w14:textId="77777777" w:rsidR="00894070" w:rsidRDefault="009B7AFD">
      <w:pPr>
        <w:pStyle w:val="ListParagraph"/>
        <w:numPr>
          <w:ilvl w:val="0"/>
          <w:numId w:val="154"/>
        </w:numPr>
        <w:tabs>
          <w:tab w:val="left" w:pos="1801"/>
          <w:tab w:val="left" w:pos="1802"/>
        </w:tabs>
        <w:spacing w:before="107" w:line="213" w:lineRule="auto"/>
        <w:ind w:right="1404"/>
        <w:rPr>
          <w:sz w:val="13"/>
        </w:rPr>
      </w:pPr>
      <w:r>
        <w:rPr>
          <w:color w:val="231F20"/>
          <w:sz w:val="13"/>
        </w:rPr>
        <w:t xml:space="preserve">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w:t>
      </w:r>
      <w:r>
        <w:rPr>
          <w:color w:val="231F20"/>
          <w:spacing w:val="2"/>
          <w:sz w:val="13"/>
        </w:rPr>
        <w:t xml:space="preserve">‘What </w:t>
      </w:r>
      <w:r>
        <w:rPr>
          <w:color w:val="231F20"/>
          <w:sz w:val="13"/>
        </w:rPr>
        <w:t xml:space="preserve">You </w:t>
      </w:r>
      <w:r>
        <w:rPr>
          <w:color w:val="231F20"/>
          <w:spacing w:val="2"/>
          <w:sz w:val="13"/>
        </w:rPr>
        <w:t xml:space="preserve">Can Report </w:t>
      </w:r>
      <w:r>
        <w:rPr>
          <w:color w:val="231F20"/>
          <w:sz w:val="13"/>
        </w:rPr>
        <w:t xml:space="preserve">to </w:t>
      </w:r>
      <w:proofErr w:type="spellStart"/>
      <w:r>
        <w:rPr>
          <w:color w:val="231F20"/>
          <w:sz w:val="13"/>
        </w:rPr>
        <w:t>ESafety</w:t>
      </w:r>
      <w:proofErr w:type="spellEnd"/>
      <w:r>
        <w:rPr>
          <w:color w:val="231F20"/>
          <w:sz w:val="13"/>
        </w:rPr>
        <w:t xml:space="preserve">’, </w:t>
      </w:r>
      <w:proofErr w:type="spellStart"/>
      <w:r>
        <w:rPr>
          <w:i/>
          <w:color w:val="231F20"/>
          <w:sz w:val="13"/>
        </w:rPr>
        <w:t>ESafety</w:t>
      </w:r>
      <w:proofErr w:type="spellEnd"/>
      <w:r>
        <w:rPr>
          <w:i/>
          <w:color w:val="231F20"/>
          <w:sz w:val="13"/>
        </w:rPr>
        <w:t xml:space="preserve"> Commissioner </w:t>
      </w:r>
      <w:r>
        <w:rPr>
          <w:color w:val="231F20"/>
          <w:sz w:val="13"/>
        </w:rPr>
        <w:t>(Web Pag</w:t>
      </w:r>
      <w:hyperlink r:id="rId83">
        <w:r>
          <w:rPr>
            <w:color w:val="231F20"/>
            <w:sz w:val="13"/>
          </w:rPr>
          <w:t>e) &lt;https://www.</w:t>
        </w:r>
      </w:hyperlink>
      <w:hyperlink r:id="rId84">
        <w:r>
          <w:rPr>
            <w:color w:val="231F20"/>
            <w:sz w:val="13"/>
          </w:rPr>
          <w:t xml:space="preserve"> esafety.gov.au/report/what-you-can-report-to-</w:t>
        </w:r>
        <w:proofErr w:type="spellStart"/>
        <w:r>
          <w:rPr>
            <w:color w:val="231F20"/>
            <w:sz w:val="13"/>
          </w:rPr>
          <w:t>esafety</w:t>
        </w:r>
        <w:proofErr w:type="spellEnd"/>
      </w:hyperlink>
      <w:r>
        <w:rPr>
          <w:color w:val="231F20"/>
          <w:sz w:val="13"/>
        </w:rPr>
        <w:t>&gt;.</w:t>
      </w:r>
    </w:p>
    <w:p w14:paraId="1C5FD0AB" w14:textId="77777777" w:rsidR="00894070" w:rsidRDefault="009B7AFD">
      <w:pPr>
        <w:pStyle w:val="ListParagraph"/>
        <w:numPr>
          <w:ilvl w:val="0"/>
          <w:numId w:val="154"/>
        </w:numPr>
        <w:tabs>
          <w:tab w:val="left" w:pos="1800"/>
          <w:tab w:val="left" w:pos="1802"/>
        </w:tabs>
        <w:spacing w:line="213" w:lineRule="auto"/>
        <w:ind w:right="1270"/>
        <w:rPr>
          <w:sz w:val="13"/>
        </w:rPr>
      </w:pPr>
      <w:r>
        <w:rPr>
          <w:color w:val="231F20"/>
          <w:sz w:val="13"/>
        </w:rPr>
        <w:t xml:space="preserve">Office of the </w:t>
      </w:r>
      <w:proofErr w:type="spellStart"/>
      <w:r>
        <w:rPr>
          <w:color w:val="231F20"/>
          <w:sz w:val="13"/>
        </w:rPr>
        <w:t>eSafety</w:t>
      </w:r>
      <w:proofErr w:type="spellEnd"/>
      <w:r>
        <w:rPr>
          <w:color w:val="231F20"/>
          <w:sz w:val="13"/>
        </w:rPr>
        <w:t xml:space="preserve"> </w:t>
      </w:r>
      <w:r>
        <w:rPr>
          <w:color w:val="231F20"/>
          <w:spacing w:val="2"/>
          <w:sz w:val="13"/>
        </w:rPr>
        <w:t xml:space="preserve">Commissioner </w:t>
      </w:r>
      <w:r>
        <w:rPr>
          <w:color w:val="231F20"/>
          <w:sz w:val="13"/>
        </w:rPr>
        <w:t>(</w:t>
      </w:r>
      <w:proofErr w:type="spellStart"/>
      <w:r>
        <w:rPr>
          <w:color w:val="231F20"/>
          <w:sz w:val="13"/>
        </w:rPr>
        <w:t>Cth</w:t>
      </w:r>
      <w:proofErr w:type="spellEnd"/>
      <w:r>
        <w:rPr>
          <w:color w:val="231F20"/>
          <w:sz w:val="13"/>
        </w:rPr>
        <w:t xml:space="preserve">), ‘Online Safety Planning’, </w:t>
      </w:r>
      <w:proofErr w:type="spellStart"/>
      <w:r>
        <w:rPr>
          <w:i/>
          <w:color w:val="231F20"/>
          <w:sz w:val="13"/>
        </w:rPr>
        <w:t>ESafety</w:t>
      </w:r>
      <w:proofErr w:type="spellEnd"/>
      <w:r>
        <w:rPr>
          <w:i/>
          <w:color w:val="231F20"/>
          <w:sz w:val="13"/>
        </w:rPr>
        <w:t xml:space="preserve"> Commissioner </w:t>
      </w:r>
      <w:r>
        <w:rPr>
          <w:color w:val="231F20"/>
          <w:sz w:val="13"/>
        </w:rPr>
        <w:t>(Web Pag</w:t>
      </w:r>
      <w:hyperlink r:id="rId85">
        <w:r>
          <w:rPr>
            <w:color w:val="231F20"/>
            <w:sz w:val="13"/>
          </w:rPr>
          <w:t>e) &lt;https://www.esafety.gov.</w:t>
        </w:r>
      </w:hyperlink>
      <w:hyperlink r:id="rId86">
        <w:r>
          <w:rPr>
            <w:color w:val="231F20"/>
            <w:sz w:val="13"/>
          </w:rPr>
          <w:t xml:space="preserve"> au/key-issues/domestic-family-violence/</w:t>
        </w:r>
        <w:proofErr w:type="spellStart"/>
        <w:r>
          <w:rPr>
            <w:color w:val="231F20"/>
            <w:sz w:val="13"/>
          </w:rPr>
          <w:t>onlineSafety</w:t>
        </w:r>
        <w:proofErr w:type="spellEnd"/>
        <w:r>
          <w:rPr>
            <w:color w:val="231F20"/>
            <w:sz w:val="13"/>
          </w:rPr>
          <w:t>-planning</w:t>
        </w:r>
      </w:hyperlink>
      <w:r>
        <w:rPr>
          <w:color w:val="231F20"/>
          <w:sz w:val="13"/>
        </w:rPr>
        <w:t>&gt;.</w:t>
      </w:r>
    </w:p>
    <w:p w14:paraId="22D4EA6B" w14:textId="77777777" w:rsidR="00894070" w:rsidRDefault="009B7AFD">
      <w:pPr>
        <w:pStyle w:val="ListParagraph"/>
        <w:numPr>
          <w:ilvl w:val="0"/>
          <w:numId w:val="154"/>
        </w:numPr>
        <w:tabs>
          <w:tab w:val="left" w:pos="1800"/>
          <w:tab w:val="left" w:pos="1802"/>
        </w:tabs>
        <w:spacing w:line="213" w:lineRule="auto"/>
        <w:ind w:right="1480"/>
        <w:rPr>
          <w:sz w:val="13"/>
        </w:rPr>
      </w:pPr>
      <w:r>
        <w:rPr>
          <w:color w:val="231F20"/>
          <w:sz w:val="13"/>
        </w:rPr>
        <w:t xml:space="preserve">Puneet Kaur et </w:t>
      </w:r>
      <w:r>
        <w:rPr>
          <w:color w:val="231F20"/>
          <w:spacing w:val="2"/>
          <w:sz w:val="13"/>
        </w:rPr>
        <w:t xml:space="preserve">al, </w:t>
      </w:r>
      <w:r>
        <w:rPr>
          <w:color w:val="231F20"/>
          <w:spacing w:val="-4"/>
          <w:sz w:val="13"/>
        </w:rPr>
        <w:t xml:space="preserve">‘A </w:t>
      </w:r>
      <w:r>
        <w:rPr>
          <w:color w:val="231F20"/>
          <w:sz w:val="13"/>
        </w:rPr>
        <w:t xml:space="preserve">Systematic Literature Review on </w:t>
      </w:r>
      <w:r>
        <w:rPr>
          <w:color w:val="231F20"/>
          <w:spacing w:val="2"/>
          <w:sz w:val="13"/>
        </w:rPr>
        <w:t xml:space="preserve">Cyberstalking. </w:t>
      </w:r>
      <w:r>
        <w:rPr>
          <w:color w:val="231F20"/>
          <w:sz w:val="13"/>
        </w:rPr>
        <w:t xml:space="preserve">An Analysis of Past Achievements and Future Promises’ (2021) 163 </w:t>
      </w:r>
      <w:r>
        <w:rPr>
          <w:i/>
          <w:color w:val="231F20"/>
          <w:sz w:val="13"/>
        </w:rPr>
        <w:t xml:space="preserve">Technological Forecasting and Social Change </w:t>
      </w:r>
      <w:r>
        <w:rPr>
          <w:color w:val="231F20"/>
          <w:sz w:val="13"/>
        </w:rPr>
        <w:t>120426:1–15, 7 (citations</w:t>
      </w:r>
      <w:r>
        <w:rPr>
          <w:color w:val="231F20"/>
          <w:spacing w:val="13"/>
          <w:sz w:val="13"/>
        </w:rPr>
        <w:t xml:space="preserve"> </w:t>
      </w:r>
      <w:r>
        <w:rPr>
          <w:color w:val="231F20"/>
          <w:sz w:val="13"/>
        </w:rPr>
        <w:t>omitted).</w:t>
      </w:r>
    </w:p>
    <w:p w14:paraId="5D31CA7C" w14:textId="77777777" w:rsidR="00894070" w:rsidRDefault="009B7AFD">
      <w:pPr>
        <w:pStyle w:val="ListParagraph"/>
        <w:numPr>
          <w:ilvl w:val="0"/>
          <w:numId w:val="154"/>
        </w:numPr>
        <w:tabs>
          <w:tab w:val="left" w:pos="1801"/>
          <w:tab w:val="left" w:pos="1802"/>
        </w:tabs>
        <w:spacing w:line="152" w:lineRule="exact"/>
        <w:rPr>
          <w:sz w:val="13"/>
        </w:rPr>
      </w:pPr>
      <w:r>
        <w:rPr>
          <w:color w:val="231F20"/>
          <w:spacing w:val="2"/>
          <w:sz w:val="13"/>
        </w:rPr>
        <w:t xml:space="preserve">Submissions </w:t>
      </w:r>
      <w:r>
        <w:rPr>
          <w:color w:val="231F20"/>
          <w:sz w:val="13"/>
        </w:rPr>
        <w:t xml:space="preserve">56 </w:t>
      </w:r>
      <w:r>
        <w:rPr>
          <w:color w:val="231F20"/>
          <w:spacing w:val="2"/>
          <w:sz w:val="13"/>
        </w:rPr>
        <w:t xml:space="preserve">(Derryn </w:t>
      </w:r>
      <w:proofErr w:type="spellStart"/>
      <w:r>
        <w:rPr>
          <w:color w:val="231F20"/>
          <w:sz w:val="13"/>
        </w:rPr>
        <w:t>Hinch’s</w:t>
      </w:r>
      <w:proofErr w:type="spellEnd"/>
      <w:r>
        <w:rPr>
          <w:color w:val="231F20"/>
          <w:sz w:val="13"/>
        </w:rPr>
        <w:t xml:space="preserve"> Justice Party), </w:t>
      </w:r>
      <w:r>
        <w:rPr>
          <w:color w:val="231F20"/>
          <w:spacing w:val="2"/>
          <w:sz w:val="13"/>
        </w:rPr>
        <w:t xml:space="preserve">115 </w:t>
      </w:r>
      <w:r>
        <w:rPr>
          <w:color w:val="231F20"/>
          <w:sz w:val="13"/>
        </w:rPr>
        <w:t xml:space="preserve">(Victoria Police); Consultation 23 </w:t>
      </w:r>
      <w:r>
        <w:rPr>
          <w:color w:val="231F20"/>
          <w:spacing w:val="2"/>
          <w:sz w:val="13"/>
        </w:rPr>
        <w:t>(Cyberstalking</w:t>
      </w:r>
      <w:r>
        <w:rPr>
          <w:color w:val="231F20"/>
          <w:spacing w:val="9"/>
          <w:sz w:val="13"/>
        </w:rPr>
        <w:t xml:space="preserve"> </w:t>
      </w:r>
      <w:r>
        <w:rPr>
          <w:color w:val="231F20"/>
          <w:sz w:val="13"/>
        </w:rPr>
        <w:t>roundtable).</w:t>
      </w:r>
    </w:p>
    <w:p w14:paraId="5A31D90D" w14:textId="77777777" w:rsidR="00894070" w:rsidRDefault="009B7AFD">
      <w:pPr>
        <w:pStyle w:val="ListParagraph"/>
        <w:numPr>
          <w:ilvl w:val="0"/>
          <w:numId w:val="154"/>
        </w:numPr>
        <w:tabs>
          <w:tab w:val="left" w:pos="1800"/>
          <w:tab w:val="left" w:pos="1802"/>
        </w:tabs>
        <w:spacing w:line="160" w:lineRule="exact"/>
        <w:rPr>
          <w:sz w:val="13"/>
        </w:rPr>
      </w:pPr>
      <w:r>
        <w:rPr>
          <w:color w:val="231F20"/>
          <w:sz w:val="13"/>
        </w:rPr>
        <w:t xml:space="preserve">Wei-Jung Chang, </w:t>
      </w:r>
      <w:r>
        <w:rPr>
          <w:color w:val="231F20"/>
          <w:spacing w:val="2"/>
          <w:sz w:val="13"/>
        </w:rPr>
        <w:t xml:space="preserve">‘Cyberstalking </w:t>
      </w:r>
      <w:r>
        <w:rPr>
          <w:color w:val="231F20"/>
          <w:sz w:val="13"/>
        </w:rPr>
        <w:t xml:space="preserve">and Law Enforcement’ (2020) 176 </w:t>
      </w:r>
      <w:r>
        <w:rPr>
          <w:i/>
          <w:color w:val="231F20"/>
          <w:sz w:val="13"/>
        </w:rPr>
        <w:t xml:space="preserve">Procedia Computer Science </w:t>
      </w:r>
      <w:r>
        <w:rPr>
          <w:color w:val="231F20"/>
          <w:sz w:val="13"/>
        </w:rPr>
        <w:t>1188,</w:t>
      </w:r>
      <w:r>
        <w:rPr>
          <w:color w:val="231F20"/>
          <w:spacing w:val="8"/>
          <w:sz w:val="13"/>
        </w:rPr>
        <w:t xml:space="preserve"> </w:t>
      </w:r>
      <w:r>
        <w:rPr>
          <w:color w:val="231F20"/>
          <w:sz w:val="13"/>
        </w:rPr>
        <w:t>1192.</w:t>
      </w:r>
    </w:p>
    <w:p w14:paraId="4560B80A" w14:textId="77777777" w:rsidR="00894070" w:rsidRDefault="009B7AFD">
      <w:pPr>
        <w:pStyle w:val="ListParagraph"/>
        <w:numPr>
          <w:ilvl w:val="0"/>
          <w:numId w:val="154"/>
        </w:numPr>
        <w:tabs>
          <w:tab w:val="left" w:pos="1801"/>
          <w:tab w:val="left" w:pos="1802"/>
        </w:tabs>
        <w:spacing w:line="160"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2A813C30" w14:textId="77777777" w:rsidR="00894070" w:rsidRDefault="009B7AFD">
      <w:pPr>
        <w:pStyle w:val="ListParagraph"/>
        <w:numPr>
          <w:ilvl w:val="0"/>
          <w:numId w:val="154"/>
        </w:numPr>
        <w:tabs>
          <w:tab w:val="left" w:pos="1801"/>
          <w:tab w:val="left" w:pos="1802"/>
        </w:tabs>
        <w:spacing w:line="160" w:lineRule="exact"/>
        <w:rPr>
          <w:sz w:val="13"/>
        </w:rPr>
      </w:pPr>
      <w:r>
        <w:rPr>
          <w:color w:val="231F20"/>
          <w:spacing w:val="2"/>
          <w:sz w:val="13"/>
        </w:rPr>
        <w:t xml:space="preserve">Submission 115 </w:t>
      </w:r>
      <w:r>
        <w:rPr>
          <w:color w:val="231F20"/>
          <w:sz w:val="13"/>
        </w:rPr>
        <w:t>(Victoria</w:t>
      </w:r>
      <w:r>
        <w:rPr>
          <w:color w:val="231F20"/>
          <w:spacing w:val="-5"/>
          <w:sz w:val="13"/>
        </w:rPr>
        <w:t xml:space="preserve"> </w:t>
      </w:r>
      <w:r>
        <w:rPr>
          <w:color w:val="231F20"/>
          <w:sz w:val="13"/>
        </w:rPr>
        <w:t>Police).</w:t>
      </w:r>
    </w:p>
    <w:p w14:paraId="3AEECE23" w14:textId="77777777" w:rsidR="00894070" w:rsidRDefault="009B7AFD">
      <w:pPr>
        <w:pStyle w:val="ListParagraph"/>
        <w:numPr>
          <w:ilvl w:val="0"/>
          <w:numId w:val="154"/>
        </w:numPr>
        <w:tabs>
          <w:tab w:val="left" w:pos="1800"/>
          <w:tab w:val="left" w:pos="1802"/>
        </w:tabs>
        <w:spacing w:before="4" w:line="213" w:lineRule="auto"/>
        <w:ind w:right="1226"/>
        <w:rPr>
          <w:sz w:val="13"/>
        </w:rPr>
      </w:pPr>
      <w:r>
        <w:rPr>
          <w:color w:val="231F20"/>
          <w:spacing w:val="2"/>
          <w:sz w:val="13"/>
        </w:rPr>
        <w:t xml:space="preserve">Ibid. </w:t>
      </w:r>
      <w:r>
        <w:rPr>
          <w:color w:val="231F20"/>
          <w:sz w:val="13"/>
        </w:rPr>
        <w:t xml:space="preserve">Victoria Police pointed to </w:t>
      </w:r>
      <w:r>
        <w:rPr>
          <w:color w:val="231F20"/>
          <w:spacing w:val="2"/>
          <w:sz w:val="13"/>
        </w:rPr>
        <w:t xml:space="preserve">its earlier </w:t>
      </w:r>
      <w:r>
        <w:rPr>
          <w:color w:val="231F20"/>
          <w:sz w:val="13"/>
        </w:rPr>
        <w:t xml:space="preserve">submission to our sexual </w:t>
      </w:r>
      <w:proofErr w:type="gramStart"/>
      <w:r>
        <w:rPr>
          <w:color w:val="231F20"/>
          <w:sz w:val="13"/>
        </w:rPr>
        <w:t>offences</w:t>
      </w:r>
      <w:proofErr w:type="gramEnd"/>
      <w:r>
        <w:rPr>
          <w:color w:val="231F20"/>
          <w:sz w:val="13"/>
        </w:rPr>
        <w:t xml:space="preserve"> inquiry, in which it discussed jurisdictional issues that can arise where online providers are based overseas, and stated: </w:t>
      </w:r>
      <w:r>
        <w:rPr>
          <w:color w:val="231F20"/>
          <w:spacing w:val="2"/>
          <w:sz w:val="13"/>
        </w:rPr>
        <w:t xml:space="preserve">‘Victoria </w:t>
      </w:r>
      <w:r>
        <w:rPr>
          <w:color w:val="231F20"/>
          <w:sz w:val="13"/>
        </w:rPr>
        <w:t xml:space="preserve">Police would welcome consideration of a place-of- consumption approach, whereby statutory obligations are automatically imposed on all providers which choose to make their platforms available to Victorian consumers ... With this, requirements for providers to verify the identity of </w:t>
      </w:r>
      <w:r>
        <w:rPr>
          <w:color w:val="231F20"/>
          <w:spacing w:val="2"/>
          <w:sz w:val="13"/>
        </w:rPr>
        <w:t xml:space="preserve">individuals </w:t>
      </w:r>
      <w:r>
        <w:rPr>
          <w:color w:val="231F20"/>
          <w:sz w:val="13"/>
        </w:rPr>
        <w:t xml:space="preserve">creating profiles on these platforms, and to retain this information, would be both </w:t>
      </w:r>
      <w:r>
        <w:rPr>
          <w:color w:val="231F20"/>
          <w:spacing w:val="2"/>
          <w:sz w:val="13"/>
        </w:rPr>
        <w:t xml:space="preserve">necessary </w:t>
      </w:r>
      <w:r>
        <w:rPr>
          <w:color w:val="231F20"/>
          <w:sz w:val="13"/>
        </w:rPr>
        <w:t>and</w:t>
      </w:r>
      <w:r>
        <w:rPr>
          <w:color w:val="231F20"/>
          <w:spacing w:val="19"/>
          <w:sz w:val="13"/>
        </w:rPr>
        <w:t xml:space="preserve"> </w:t>
      </w:r>
      <w:r>
        <w:rPr>
          <w:color w:val="231F20"/>
          <w:sz w:val="13"/>
        </w:rPr>
        <w:t>appropriate’.</w:t>
      </w:r>
    </w:p>
    <w:p w14:paraId="7666E03D" w14:textId="77777777" w:rsidR="00894070" w:rsidRDefault="009B7AFD">
      <w:pPr>
        <w:pStyle w:val="ListParagraph"/>
        <w:numPr>
          <w:ilvl w:val="0"/>
          <w:numId w:val="154"/>
        </w:numPr>
        <w:tabs>
          <w:tab w:val="left" w:pos="1801"/>
          <w:tab w:val="left" w:pos="1802"/>
        </w:tabs>
        <w:spacing w:line="151" w:lineRule="exac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proofErr w:type="spellStart"/>
      <w:r>
        <w:rPr>
          <w:color w:val="231F20"/>
          <w:sz w:val="13"/>
        </w:rPr>
        <w:t>Hinch’s</w:t>
      </w:r>
      <w:proofErr w:type="spellEnd"/>
      <w:r>
        <w:rPr>
          <w:color w:val="231F20"/>
          <w:sz w:val="13"/>
        </w:rPr>
        <w:t xml:space="preserve"> Justice</w:t>
      </w:r>
      <w:r>
        <w:rPr>
          <w:color w:val="231F20"/>
          <w:spacing w:val="-4"/>
          <w:sz w:val="13"/>
        </w:rPr>
        <w:t xml:space="preserve"> </w:t>
      </w:r>
      <w:r>
        <w:rPr>
          <w:color w:val="231F20"/>
          <w:sz w:val="13"/>
        </w:rPr>
        <w:t>Party).</w:t>
      </w:r>
    </w:p>
    <w:p w14:paraId="63B587F5" w14:textId="77777777" w:rsidR="00894070" w:rsidRDefault="009B7AFD">
      <w:pPr>
        <w:pStyle w:val="ListParagraph"/>
        <w:numPr>
          <w:ilvl w:val="0"/>
          <w:numId w:val="154"/>
        </w:numPr>
        <w:tabs>
          <w:tab w:val="left" w:pos="1801"/>
          <w:tab w:val="left" w:pos="1802"/>
        </w:tabs>
        <w:spacing w:line="160" w:lineRule="exact"/>
        <w:rPr>
          <w:sz w:val="13"/>
        </w:rPr>
      </w:pPr>
      <w:r>
        <w:rPr>
          <w:color w:val="231F20"/>
          <w:spacing w:val="2"/>
          <w:sz w:val="13"/>
        </w:rPr>
        <w:t xml:space="preserve">Submission </w:t>
      </w:r>
      <w:r>
        <w:rPr>
          <w:color w:val="231F20"/>
          <w:sz w:val="13"/>
        </w:rPr>
        <w:t xml:space="preserve">104 </w:t>
      </w:r>
      <w:r>
        <w:rPr>
          <w:color w:val="231F20"/>
          <w:spacing w:val="2"/>
          <w:sz w:val="13"/>
        </w:rPr>
        <w:t xml:space="preserve">(Alannah </w:t>
      </w:r>
      <w:r>
        <w:rPr>
          <w:color w:val="231F20"/>
          <w:sz w:val="13"/>
        </w:rPr>
        <w:t>and Madeline</w:t>
      </w:r>
      <w:r>
        <w:rPr>
          <w:color w:val="231F20"/>
          <w:spacing w:val="-5"/>
          <w:sz w:val="13"/>
        </w:rPr>
        <w:t xml:space="preserve"> </w:t>
      </w:r>
      <w:r>
        <w:rPr>
          <w:color w:val="231F20"/>
          <w:sz w:val="13"/>
        </w:rPr>
        <w:t>Foundation).</w:t>
      </w:r>
    </w:p>
    <w:p w14:paraId="462DAF53" w14:textId="77777777" w:rsidR="00894070" w:rsidRDefault="009F6793">
      <w:pPr>
        <w:pStyle w:val="ListParagraph"/>
        <w:numPr>
          <w:ilvl w:val="0"/>
          <w:numId w:val="154"/>
        </w:numPr>
        <w:tabs>
          <w:tab w:val="left" w:pos="1801"/>
          <w:tab w:val="left" w:pos="1802"/>
        </w:tabs>
        <w:spacing w:before="6" w:line="213" w:lineRule="auto"/>
        <w:ind w:right="1193"/>
        <w:rPr>
          <w:sz w:val="13"/>
        </w:rPr>
      </w:pPr>
      <w:r>
        <w:pict w14:anchorId="1FC9E09E">
          <v:shape id="_x0000_s1581" type="#_x0000_t202" style="position:absolute;left:0;text-align:left;margin-left:36pt;margin-top:3.7pt;width:14.1pt;height:14.1pt;z-index:251561984;mso-position-horizontal-relative:page" filled="f" stroked="f">
            <v:textbox inset="0,0,0,0">
              <w:txbxContent>
                <w:p w14:paraId="7BCA8052" w14:textId="77777777" w:rsidR="00894070" w:rsidRDefault="009B7AFD">
                  <w:pPr>
                    <w:spacing w:line="282" w:lineRule="exact"/>
                    <w:rPr>
                      <w:b/>
                      <w:sz w:val="24"/>
                    </w:rPr>
                  </w:pPr>
                  <w:r>
                    <w:rPr>
                      <w:b/>
                      <w:color w:val="EA5B50"/>
                      <w:spacing w:val="-2"/>
                      <w:sz w:val="24"/>
                    </w:rPr>
                    <w:t>40</w:t>
                  </w:r>
                </w:p>
              </w:txbxContent>
            </v:textbox>
            <w10:wrap anchorx="page"/>
          </v:shape>
        </w:pict>
      </w:r>
      <w:r w:rsidR="009B7AFD">
        <w:rPr>
          <w:color w:val="231F20"/>
          <w:spacing w:val="2"/>
          <w:sz w:val="13"/>
        </w:rPr>
        <w:t xml:space="preserve">Participants </w:t>
      </w:r>
      <w:r w:rsidR="009B7AFD">
        <w:rPr>
          <w:color w:val="231F20"/>
          <w:sz w:val="13"/>
        </w:rPr>
        <w:t xml:space="preserve">in a roundtable discussion stated that there may be critical work required around the </w:t>
      </w:r>
      <w:r w:rsidR="009B7AFD">
        <w:rPr>
          <w:i/>
          <w:color w:val="231F20"/>
          <w:sz w:val="13"/>
        </w:rPr>
        <w:t xml:space="preserve">Privacy and Data Protection Act 2014 </w:t>
      </w:r>
      <w:r w:rsidR="009B7AFD">
        <w:rPr>
          <w:color w:val="231F20"/>
          <w:sz w:val="13"/>
        </w:rPr>
        <w:t xml:space="preserve">(Vic) that can strengthen these safety reforms: Consultation 23 </w:t>
      </w:r>
      <w:r w:rsidR="009B7AFD">
        <w:rPr>
          <w:color w:val="231F20"/>
          <w:spacing w:val="2"/>
          <w:sz w:val="13"/>
        </w:rPr>
        <w:t>(Cyberstalking</w:t>
      </w:r>
      <w:r w:rsidR="009B7AFD">
        <w:rPr>
          <w:color w:val="231F20"/>
          <w:spacing w:val="16"/>
          <w:sz w:val="13"/>
        </w:rPr>
        <w:t xml:space="preserve"> </w:t>
      </w:r>
      <w:r w:rsidR="009B7AFD">
        <w:rPr>
          <w:color w:val="231F20"/>
          <w:sz w:val="13"/>
        </w:rPr>
        <w:t>roundtable).</w:t>
      </w:r>
    </w:p>
    <w:p w14:paraId="61ABDD84" w14:textId="77777777" w:rsidR="00894070" w:rsidRDefault="00894070">
      <w:pPr>
        <w:spacing w:line="213" w:lineRule="auto"/>
        <w:rPr>
          <w:sz w:val="13"/>
        </w:rPr>
        <w:sectPr w:rsidR="00894070">
          <w:pgSz w:w="11910" w:h="16840"/>
          <w:pgMar w:top="860" w:right="420" w:bottom="280" w:left="580" w:header="567" w:footer="0" w:gutter="0"/>
          <w:cols w:space="720"/>
        </w:sectPr>
      </w:pPr>
    </w:p>
    <w:p w14:paraId="195DED0B" w14:textId="77777777" w:rsidR="00894070" w:rsidRDefault="00894070">
      <w:pPr>
        <w:pStyle w:val="BodyText"/>
      </w:pPr>
    </w:p>
    <w:p w14:paraId="435B7B8A" w14:textId="77777777" w:rsidR="00894070" w:rsidRDefault="00894070">
      <w:pPr>
        <w:pStyle w:val="BodyText"/>
      </w:pPr>
    </w:p>
    <w:p w14:paraId="279F2DFB" w14:textId="77777777" w:rsidR="00894070" w:rsidRDefault="00894070">
      <w:pPr>
        <w:pStyle w:val="BodyText"/>
      </w:pPr>
    </w:p>
    <w:p w14:paraId="20B3CFA6" w14:textId="77777777" w:rsidR="00894070" w:rsidRDefault="00894070">
      <w:pPr>
        <w:pStyle w:val="BodyText"/>
        <w:spacing w:before="6"/>
        <w:rPr>
          <w:sz w:val="14"/>
        </w:rPr>
      </w:pPr>
    </w:p>
    <w:p w14:paraId="2D31E880" w14:textId="77777777" w:rsidR="00894070" w:rsidRDefault="009B7AFD">
      <w:pPr>
        <w:pStyle w:val="Heading7"/>
        <w:spacing w:before="41"/>
      </w:pPr>
      <w:bookmarkStart w:id="57" w:name="What_are_the_barriers_to_seeking_help_fo"/>
      <w:bookmarkStart w:id="58" w:name="There_should_be_public_education_about_c"/>
      <w:bookmarkStart w:id="59" w:name="_bookmark29"/>
      <w:bookmarkEnd w:id="57"/>
      <w:bookmarkEnd w:id="58"/>
      <w:bookmarkEnd w:id="59"/>
      <w:r>
        <w:rPr>
          <w:color w:val="EA5B50"/>
        </w:rPr>
        <w:t>What are the barriers to seeking help for cyberstalking?</w:t>
      </w:r>
    </w:p>
    <w:p w14:paraId="6EB13E21" w14:textId="77777777" w:rsidR="00894070" w:rsidRDefault="009B7AFD">
      <w:pPr>
        <w:pStyle w:val="ListParagraph"/>
        <w:numPr>
          <w:ilvl w:val="1"/>
          <w:numId w:val="161"/>
        </w:numPr>
        <w:tabs>
          <w:tab w:val="left" w:pos="1801"/>
          <w:tab w:val="left" w:pos="1802"/>
        </w:tabs>
        <w:spacing w:before="146" w:line="206" w:lineRule="auto"/>
        <w:ind w:right="1228"/>
        <w:rPr>
          <w:sz w:val="11"/>
        </w:rPr>
      </w:pPr>
      <w:r>
        <w:rPr>
          <w:color w:val="231F20"/>
          <w:sz w:val="20"/>
        </w:rPr>
        <w:t>There</w:t>
      </w:r>
      <w:r>
        <w:rPr>
          <w:color w:val="231F20"/>
          <w:spacing w:val="-8"/>
          <w:sz w:val="20"/>
        </w:rPr>
        <w:t xml:space="preserve"> </w:t>
      </w:r>
      <w:r>
        <w:rPr>
          <w:color w:val="231F20"/>
          <w:spacing w:val="-3"/>
          <w:sz w:val="20"/>
        </w:rPr>
        <w:t>are</w:t>
      </w:r>
      <w:r>
        <w:rPr>
          <w:color w:val="231F20"/>
          <w:spacing w:val="-7"/>
          <w:sz w:val="20"/>
        </w:rPr>
        <w:t xml:space="preserve"> </w:t>
      </w:r>
      <w:r>
        <w:rPr>
          <w:color w:val="231F20"/>
          <w:sz w:val="20"/>
        </w:rPr>
        <w:t>significant</w:t>
      </w:r>
      <w:r>
        <w:rPr>
          <w:color w:val="231F20"/>
          <w:spacing w:val="-7"/>
          <w:sz w:val="20"/>
        </w:rPr>
        <w:t xml:space="preserve"> </w:t>
      </w:r>
      <w:r>
        <w:rPr>
          <w:color w:val="231F20"/>
          <w:sz w:val="20"/>
        </w:rPr>
        <w:t>barriers</w:t>
      </w:r>
      <w:r>
        <w:rPr>
          <w:color w:val="231F20"/>
          <w:spacing w:val="-7"/>
          <w:sz w:val="20"/>
        </w:rPr>
        <w:t xml:space="preserve"> </w:t>
      </w:r>
      <w:r>
        <w:rPr>
          <w:color w:val="231F20"/>
          <w:sz w:val="20"/>
        </w:rPr>
        <w:t>to</w:t>
      </w:r>
      <w:r>
        <w:rPr>
          <w:color w:val="231F20"/>
          <w:spacing w:val="-7"/>
          <w:sz w:val="20"/>
        </w:rPr>
        <w:t xml:space="preserve"> </w:t>
      </w:r>
      <w:r>
        <w:rPr>
          <w:color w:val="231F20"/>
          <w:sz w:val="20"/>
        </w:rPr>
        <w:t>people</w:t>
      </w:r>
      <w:r>
        <w:rPr>
          <w:color w:val="231F20"/>
          <w:spacing w:val="-7"/>
          <w:sz w:val="20"/>
        </w:rPr>
        <w:t xml:space="preserve"> </w:t>
      </w:r>
      <w:r>
        <w:rPr>
          <w:color w:val="231F20"/>
          <w:sz w:val="20"/>
        </w:rPr>
        <w:t>seeking</w:t>
      </w:r>
      <w:r>
        <w:rPr>
          <w:color w:val="231F20"/>
          <w:spacing w:val="-7"/>
          <w:sz w:val="20"/>
        </w:rPr>
        <w:t xml:space="preserve"> </w:t>
      </w:r>
      <w:r>
        <w:rPr>
          <w:color w:val="231F20"/>
          <w:sz w:val="20"/>
        </w:rPr>
        <w:t>help</w:t>
      </w:r>
      <w:r>
        <w:rPr>
          <w:color w:val="231F20"/>
          <w:spacing w:val="-7"/>
          <w:sz w:val="20"/>
        </w:rPr>
        <w:t xml:space="preserve"> </w:t>
      </w:r>
      <w:r>
        <w:rPr>
          <w:color w:val="231F20"/>
          <w:spacing w:val="-3"/>
          <w:sz w:val="20"/>
        </w:rPr>
        <w:t>for</w:t>
      </w:r>
      <w:r>
        <w:rPr>
          <w:color w:val="231F20"/>
          <w:spacing w:val="-7"/>
          <w:sz w:val="20"/>
        </w:rPr>
        <w:t xml:space="preserve"> </w:t>
      </w:r>
      <w:r>
        <w:rPr>
          <w:color w:val="231F20"/>
          <w:spacing w:val="-3"/>
          <w:sz w:val="20"/>
        </w:rPr>
        <w:t>technology-facilitated</w:t>
      </w:r>
      <w:r>
        <w:rPr>
          <w:color w:val="231F20"/>
          <w:spacing w:val="-7"/>
          <w:sz w:val="20"/>
        </w:rPr>
        <w:t xml:space="preserve"> </w:t>
      </w:r>
      <w:r>
        <w:rPr>
          <w:color w:val="231F20"/>
          <w:sz w:val="20"/>
        </w:rPr>
        <w:t>abuse.</w:t>
      </w:r>
      <w:r>
        <w:rPr>
          <w:color w:val="231F20"/>
          <w:position w:val="7"/>
          <w:sz w:val="11"/>
        </w:rPr>
        <w:t>88</w:t>
      </w:r>
      <w:r>
        <w:rPr>
          <w:color w:val="231F20"/>
          <w:sz w:val="11"/>
        </w:rPr>
        <w:t xml:space="preserve"> </w:t>
      </w:r>
      <w:r>
        <w:rPr>
          <w:color w:val="231F20"/>
          <w:sz w:val="20"/>
        </w:rPr>
        <w:t xml:space="preserve">Seeking help could include reporting the </w:t>
      </w:r>
      <w:proofErr w:type="spellStart"/>
      <w:r>
        <w:rPr>
          <w:color w:val="231F20"/>
          <w:sz w:val="20"/>
        </w:rPr>
        <w:t>behaviour</w:t>
      </w:r>
      <w:proofErr w:type="spellEnd"/>
      <w:r>
        <w:rPr>
          <w:color w:val="231F20"/>
          <w:sz w:val="20"/>
        </w:rPr>
        <w:t xml:space="preserve"> to police or contacting support services.</w:t>
      </w:r>
      <w:r>
        <w:rPr>
          <w:color w:val="231F20"/>
          <w:spacing w:val="-5"/>
          <w:sz w:val="20"/>
        </w:rPr>
        <w:t xml:space="preserve"> </w:t>
      </w:r>
      <w:r>
        <w:rPr>
          <w:color w:val="231F20"/>
          <w:sz w:val="20"/>
        </w:rPr>
        <w:t>In</w:t>
      </w:r>
      <w:r>
        <w:rPr>
          <w:color w:val="231F20"/>
          <w:spacing w:val="-5"/>
          <w:sz w:val="20"/>
        </w:rPr>
        <w:t xml:space="preserve"> </w:t>
      </w:r>
      <w:r>
        <w:rPr>
          <w:color w:val="231F20"/>
          <w:sz w:val="20"/>
        </w:rPr>
        <w:t>our</w:t>
      </w:r>
      <w:r>
        <w:rPr>
          <w:color w:val="231F20"/>
          <w:spacing w:val="-5"/>
          <w:sz w:val="20"/>
        </w:rPr>
        <w:t xml:space="preserve"> </w:t>
      </w:r>
      <w:r>
        <w:rPr>
          <w:color w:val="231F20"/>
          <w:sz w:val="20"/>
        </w:rPr>
        <w:t>consultation</w:t>
      </w:r>
      <w:r>
        <w:rPr>
          <w:color w:val="231F20"/>
          <w:spacing w:val="-5"/>
          <w:sz w:val="20"/>
        </w:rPr>
        <w:t xml:space="preserve"> </w:t>
      </w:r>
      <w:r>
        <w:rPr>
          <w:color w:val="231F20"/>
          <w:sz w:val="20"/>
        </w:rPr>
        <w:t>paper</w:t>
      </w:r>
      <w:r>
        <w:rPr>
          <w:color w:val="231F20"/>
          <w:spacing w:val="-5"/>
          <w:sz w:val="20"/>
        </w:rPr>
        <w:t xml:space="preserve"> </w:t>
      </w:r>
      <w:r>
        <w:rPr>
          <w:color w:val="231F20"/>
          <w:spacing w:val="-3"/>
          <w:sz w:val="20"/>
        </w:rPr>
        <w:t>we</w:t>
      </w:r>
      <w:r>
        <w:rPr>
          <w:color w:val="231F20"/>
          <w:spacing w:val="-5"/>
          <w:sz w:val="20"/>
        </w:rPr>
        <w:t xml:space="preserve"> </w:t>
      </w:r>
      <w:r>
        <w:rPr>
          <w:color w:val="231F20"/>
          <w:sz w:val="20"/>
        </w:rPr>
        <w:t>asked</w:t>
      </w:r>
      <w:r>
        <w:rPr>
          <w:color w:val="231F20"/>
          <w:spacing w:val="-5"/>
          <w:sz w:val="20"/>
        </w:rPr>
        <w:t xml:space="preserve"> </w:t>
      </w:r>
      <w:r>
        <w:rPr>
          <w:color w:val="231F20"/>
          <w:sz w:val="20"/>
        </w:rPr>
        <w:t>about</w:t>
      </w:r>
      <w:r>
        <w:rPr>
          <w:color w:val="231F20"/>
          <w:spacing w:val="-5"/>
          <w:sz w:val="20"/>
        </w:rPr>
        <w:t xml:space="preserve"> </w:t>
      </w:r>
      <w:r>
        <w:rPr>
          <w:color w:val="231F20"/>
          <w:sz w:val="20"/>
        </w:rPr>
        <w:t>these</w:t>
      </w:r>
      <w:r>
        <w:rPr>
          <w:color w:val="231F20"/>
          <w:spacing w:val="-5"/>
          <w:sz w:val="20"/>
        </w:rPr>
        <w:t xml:space="preserve"> </w:t>
      </w:r>
      <w:r>
        <w:rPr>
          <w:color w:val="231F20"/>
          <w:sz w:val="20"/>
        </w:rPr>
        <w:t>barriers.</w:t>
      </w:r>
      <w:r>
        <w:rPr>
          <w:color w:val="231F20"/>
          <w:position w:val="7"/>
          <w:sz w:val="11"/>
        </w:rPr>
        <w:t>89</w:t>
      </w:r>
    </w:p>
    <w:p w14:paraId="20A96AB5" w14:textId="77777777" w:rsidR="00894070" w:rsidRDefault="009B7AFD">
      <w:pPr>
        <w:pStyle w:val="ListParagraph"/>
        <w:numPr>
          <w:ilvl w:val="1"/>
          <w:numId w:val="161"/>
        </w:numPr>
        <w:tabs>
          <w:tab w:val="left" w:pos="1801"/>
          <w:tab w:val="left" w:pos="1802"/>
        </w:tabs>
        <w:spacing w:before="91"/>
        <w:rPr>
          <w:sz w:val="20"/>
        </w:rPr>
      </w:pPr>
      <w:r>
        <w:rPr>
          <w:color w:val="231F20"/>
          <w:sz w:val="20"/>
        </w:rPr>
        <w:t>The</w:t>
      </w:r>
      <w:r>
        <w:rPr>
          <w:color w:val="231F20"/>
          <w:spacing w:val="-6"/>
          <w:sz w:val="20"/>
        </w:rPr>
        <w:t xml:space="preserve"> </w:t>
      </w:r>
      <w:r>
        <w:rPr>
          <w:color w:val="231F20"/>
          <w:sz w:val="20"/>
        </w:rPr>
        <w:t>barriers</w:t>
      </w:r>
      <w:r>
        <w:rPr>
          <w:color w:val="231F20"/>
          <w:spacing w:val="-6"/>
          <w:sz w:val="20"/>
        </w:rPr>
        <w:t xml:space="preserve"> </w:t>
      </w:r>
      <w:r>
        <w:rPr>
          <w:color w:val="231F20"/>
          <w:sz w:val="20"/>
        </w:rPr>
        <w:t>to</w:t>
      </w:r>
      <w:r>
        <w:rPr>
          <w:color w:val="231F20"/>
          <w:spacing w:val="-6"/>
          <w:sz w:val="20"/>
        </w:rPr>
        <w:t xml:space="preserve"> </w:t>
      </w:r>
      <w:r>
        <w:rPr>
          <w:color w:val="231F20"/>
          <w:sz w:val="20"/>
        </w:rPr>
        <w:t>seeking</w:t>
      </w:r>
      <w:r>
        <w:rPr>
          <w:color w:val="231F20"/>
          <w:spacing w:val="-6"/>
          <w:sz w:val="20"/>
        </w:rPr>
        <w:t xml:space="preserve"> </w:t>
      </w:r>
      <w:r>
        <w:rPr>
          <w:color w:val="231F20"/>
          <w:sz w:val="20"/>
        </w:rPr>
        <w:t>and</w:t>
      </w:r>
      <w:r>
        <w:rPr>
          <w:color w:val="231F20"/>
          <w:spacing w:val="-6"/>
          <w:sz w:val="20"/>
        </w:rPr>
        <w:t xml:space="preserve"> </w:t>
      </w:r>
      <w:r>
        <w:rPr>
          <w:color w:val="231F20"/>
          <w:sz w:val="20"/>
        </w:rPr>
        <w:t>getting</w:t>
      </w:r>
      <w:r>
        <w:rPr>
          <w:color w:val="231F20"/>
          <w:spacing w:val="-5"/>
          <w:sz w:val="20"/>
        </w:rPr>
        <w:t xml:space="preserve"> </w:t>
      </w:r>
      <w:r>
        <w:rPr>
          <w:color w:val="231F20"/>
          <w:sz w:val="20"/>
        </w:rPr>
        <w:t>help</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cyberstalking</w:t>
      </w:r>
      <w:r>
        <w:rPr>
          <w:color w:val="231F20"/>
          <w:spacing w:val="-6"/>
          <w:sz w:val="20"/>
        </w:rPr>
        <w:t xml:space="preserve"> </w:t>
      </w:r>
      <w:r>
        <w:rPr>
          <w:color w:val="231F20"/>
          <w:spacing w:val="-3"/>
          <w:sz w:val="20"/>
        </w:rPr>
        <w:t>we</w:t>
      </w:r>
      <w:r>
        <w:rPr>
          <w:color w:val="231F20"/>
          <w:spacing w:val="-6"/>
          <w:sz w:val="20"/>
        </w:rPr>
        <w:t xml:space="preserve"> </w:t>
      </w:r>
      <w:r>
        <w:rPr>
          <w:color w:val="231F20"/>
          <w:sz w:val="20"/>
        </w:rPr>
        <w:t>heard</w:t>
      </w:r>
      <w:r>
        <w:rPr>
          <w:color w:val="231F20"/>
          <w:spacing w:val="-6"/>
          <w:sz w:val="20"/>
        </w:rPr>
        <w:t xml:space="preserve"> </w:t>
      </w:r>
      <w:r>
        <w:rPr>
          <w:color w:val="231F20"/>
          <w:sz w:val="20"/>
        </w:rPr>
        <w:t>about</w:t>
      </w:r>
      <w:r>
        <w:rPr>
          <w:color w:val="231F20"/>
          <w:spacing w:val="-5"/>
          <w:sz w:val="20"/>
        </w:rPr>
        <w:t xml:space="preserve"> </w:t>
      </w:r>
      <w:r>
        <w:rPr>
          <w:color w:val="231F20"/>
          <w:sz w:val="20"/>
        </w:rPr>
        <w:t>included:</w:t>
      </w:r>
    </w:p>
    <w:p w14:paraId="1E6F58D4" w14:textId="77777777" w:rsidR="00894070" w:rsidRDefault="009B7AFD">
      <w:pPr>
        <w:pStyle w:val="ListParagraph"/>
        <w:numPr>
          <w:ilvl w:val="2"/>
          <w:numId w:val="161"/>
        </w:numPr>
        <w:tabs>
          <w:tab w:val="left" w:pos="2141"/>
          <w:tab w:val="left" w:pos="2142"/>
        </w:tabs>
        <w:spacing w:before="115" w:line="206" w:lineRule="auto"/>
        <w:ind w:right="1486" w:hanging="340"/>
        <w:rPr>
          <w:sz w:val="11"/>
        </w:rPr>
      </w:pPr>
      <w:r>
        <w:rPr>
          <w:i/>
          <w:color w:val="231F20"/>
          <w:sz w:val="20"/>
        </w:rPr>
        <w:t>Lack</w:t>
      </w:r>
      <w:r>
        <w:rPr>
          <w:i/>
          <w:color w:val="231F20"/>
          <w:spacing w:val="-10"/>
          <w:sz w:val="20"/>
        </w:rPr>
        <w:t xml:space="preserve"> </w:t>
      </w:r>
      <w:r>
        <w:rPr>
          <w:i/>
          <w:color w:val="231F20"/>
          <w:sz w:val="20"/>
        </w:rPr>
        <w:t>of</w:t>
      </w:r>
      <w:r>
        <w:rPr>
          <w:i/>
          <w:color w:val="231F20"/>
          <w:spacing w:val="-10"/>
          <w:sz w:val="20"/>
        </w:rPr>
        <w:t xml:space="preserve"> </w:t>
      </w:r>
      <w:r>
        <w:rPr>
          <w:i/>
          <w:color w:val="231F20"/>
          <w:spacing w:val="-3"/>
          <w:sz w:val="20"/>
        </w:rPr>
        <w:t>knowledge</w:t>
      </w:r>
      <w:r>
        <w:rPr>
          <w:i/>
          <w:color w:val="231F20"/>
          <w:spacing w:val="-9"/>
          <w:sz w:val="20"/>
        </w:rPr>
        <w:t xml:space="preserve"> </w:t>
      </w:r>
      <w:r>
        <w:rPr>
          <w:i/>
          <w:color w:val="231F20"/>
          <w:sz w:val="20"/>
        </w:rPr>
        <w:t>about</w:t>
      </w:r>
      <w:r>
        <w:rPr>
          <w:i/>
          <w:color w:val="231F20"/>
          <w:spacing w:val="-10"/>
          <w:sz w:val="20"/>
        </w:rPr>
        <w:t xml:space="preserve"> </w:t>
      </w:r>
      <w:r>
        <w:rPr>
          <w:i/>
          <w:color w:val="231F20"/>
          <w:sz w:val="20"/>
        </w:rPr>
        <w:t>the</w:t>
      </w:r>
      <w:r>
        <w:rPr>
          <w:i/>
          <w:color w:val="231F20"/>
          <w:spacing w:val="-9"/>
          <w:sz w:val="20"/>
        </w:rPr>
        <w:t xml:space="preserve"> </w:t>
      </w:r>
      <w:r>
        <w:rPr>
          <w:i/>
          <w:color w:val="231F20"/>
          <w:sz w:val="20"/>
        </w:rPr>
        <w:t>technology</w:t>
      </w:r>
      <w:r>
        <w:rPr>
          <w:color w:val="231F20"/>
          <w:position w:val="7"/>
          <w:sz w:val="11"/>
        </w:rPr>
        <w:t>90</w:t>
      </w:r>
      <w:r>
        <w:rPr>
          <w:color w:val="231F20"/>
          <w:sz w:val="20"/>
        </w:rPr>
        <w:t>—People</w:t>
      </w:r>
      <w:r>
        <w:rPr>
          <w:color w:val="231F20"/>
          <w:spacing w:val="-10"/>
          <w:sz w:val="20"/>
        </w:rPr>
        <w:t xml:space="preserve"> </w:t>
      </w:r>
      <w:r>
        <w:rPr>
          <w:color w:val="231F20"/>
          <w:spacing w:val="-3"/>
          <w:sz w:val="20"/>
        </w:rPr>
        <w:t>may</w:t>
      </w:r>
      <w:r>
        <w:rPr>
          <w:color w:val="231F20"/>
          <w:spacing w:val="-9"/>
          <w:sz w:val="20"/>
        </w:rPr>
        <w:t xml:space="preserve"> </w:t>
      </w:r>
      <w:r>
        <w:rPr>
          <w:color w:val="231F20"/>
          <w:sz w:val="20"/>
        </w:rPr>
        <w:t>be</w:t>
      </w:r>
      <w:r>
        <w:rPr>
          <w:color w:val="231F20"/>
          <w:spacing w:val="-10"/>
          <w:sz w:val="20"/>
        </w:rPr>
        <w:t xml:space="preserve"> </w:t>
      </w:r>
      <w:r>
        <w:rPr>
          <w:color w:val="231F20"/>
          <w:sz w:val="20"/>
        </w:rPr>
        <w:t>monitored</w:t>
      </w:r>
      <w:r>
        <w:rPr>
          <w:color w:val="231F20"/>
          <w:spacing w:val="-10"/>
          <w:sz w:val="20"/>
        </w:rPr>
        <w:t xml:space="preserve"> </w:t>
      </w:r>
      <w:r>
        <w:rPr>
          <w:color w:val="231F20"/>
          <w:sz w:val="20"/>
        </w:rPr>
        <w:t>or</w:t>
      </w:r>
      <w:r>
        <w:rPr>
          <w:color w:val="231F20"/>
          <w:spacing w:val="-9"/>
          <w:sz w:val="20"/>
        </w:rPr>
        <w:t xml:space="preserve"> </w:t>
      </w:r>
      <w:r>
        <w:rPr>
          <w:color w:val="231F20"/>
          <w:sz w:val="20"/>
        </w:rPr>
        <w:t>tracked without</w:t>
      </w:r>
      <w:r>
        <w:rPr>
          <w:color w:val="231F20"/>
          <w:spacing w:val="-14"/>
          <w:sz w:val="20"/>
        </w:rPr>
        <w:t xml:space="preserve"> </w:t>
      </w:r>
      <w:r>
        <w:rPr>
          <w:color w:val="231F20"/>
          <w:sz w:val="20"/>
        </w:rPr>
        <w:t>their</w:t>
      </w:r>
      <w:r>
        <w:rPr>
          <w:color w:val="231F20"/>
          <w:spacing w:val="-13"/>
          <w:sz w:val="20"/>
        </w:rPr>
        <w:t xml:space="preserve"> </w:t>
      </w:r>
      <w:r>
        <w:rPr>
          <w:color w:val="231F20"/>
          <w:sz w:val="20"/>
        </w:rPr>
        <w:t>knowledge.</w:t>
      </w:r>
      <w:r>
        <w:rPr>
          <w:color w:val="231F20"/>
          <w:position w:val="7"/>
          <w:sz w:val="11"/>
        </w:rPr>
        <w:t>91</w:t>
      </w:r>
      <w:r>
        <w:rPr>
          <w:color w:val="231F20"/>
          <w:spacing w:val="10"/>
          <w:position w:val="7"/>
          <w:sz w:val="11"/>
        </w:rPr>
        <w:t xml:space="preserve"> </w:t>
      </w:r>
      <w:r>
        <w:rPr>
          <w:color w:val="231F20"/>
          <w:sz w:val="20"/>
        </w:rPr>
        <w:t>A</w:t>
      </w:r>
      <w:r>
        <w:rPr>
          <w:color w:val="231F20"/>
          <w:spacing w:val="-13"/>
          <w:sz w:val="20"/>
        </w:rPr>
        <w:t xml:space="preserve"> </w:t>
      </w:r>
      <w:r>
        <w:rPr>
          <w:color w:val="231F20"/>
          <w:sz w:val="20"/>
        </w:rPr>
        <w:t>lack</w:t>
      </w:r>
      <w:r>
        <w:rPr>
          <w:color w:val="231F20"/>
          <w:spacing w:val="-13"/>
          <w:sz w:val="20"/>
        </w:rPr>
        <w:t xml:space="preserve"> </w:t>
      </w:r>
      <w:r>
        <w:rPr>
          <w:color w:val="231F20"/>
          <w:sz w:val="20"/>
        </w:rPr>
        <w:t>of</w:t>
      </w:r>
      <w:r>
        <w:rPr>
          <w:color w:val="231F20"/>
          <w:spacing w:val="-13"/>
          <w:sz w:val="20"/>
        </w:rPr>
        <w:t xml:space="preserve"> </w:t>
      </w:r>
      <w:r>
        <w:rPr>
          <w:color w:val="231F20"/>
          <w:sz w:val="20"/>
        </w:rPr>
        <w:t>knowledge</w:t>
      </w:r>
      <w:r>
        <w:rPr>
          <w:color w:val="231F20"/>
          <w:spacing w:val="-14"/>
          <w:sz w:val="20"/>
        </w:rPr>
        <w:t xml:space="preserve"> </w:t>
      </w:r>
      <w:r>
        <w:rPr>
          <w:color w:val="231F20"/>
          <w:sz w:val="20"/>
        </w:rPr>
        <w:t>about</w:t>
      </w:r>
      <w:r>
        <w:rPr>
          <w:color w:val="231F20"/>
          <w:spacing w:val="-13"/>
          <w:sz w:val="20"/>
        </w:rPr>
        <w:t xml:space="preserve"> </w:t>
      </w:r>
      <w:r>
        <w:rPr>
          <w:color w:val="231F20"/>
          <w:sz w:val="20"/>
        </w:rPr>
        <w:t>cyberstalking</w:t>
      </w:r>
      <w:r>
        <w:rPr>
          <w:color w:val="231F20"/>
          <w:spacing w:val="-13"/>
          <w:sz w:val="20"/>
        </w:rPr>
        <w:t xml:space="preserve"> </w:t>
      </w:r>
      <w:r>
        <w:rPr>
          <w:color w:val="231F20"/>
          <w:sz w:val="20"/>
        </w:rPr>
        <w:t xml:space="preserve">technology </w:t>
      </w:r>
      <w:r>
        <w:rPr>
          <w:color w:val="231F20"/>
          <w:spacing w:val="-3"/>
          <w:sz w:val="20"/>
        </w:rPr>
        <w:t xml:space="preserve">may </w:t>
      </w:r>
      <w:r>
        <w:rPr>
          <w:color w:val="231F20"/>
          <w:sz w:val="20"/>
        </w:rPr>
        <w:t>be more pronounced in some communities, such as amongst Aboriginal women.</w:t>
      </w:r>
      <w:r>
        <w:rPr>
          <w:color w:val="231F20"/>
          <w:position w:val="7"/>
          <w:sz w:val="11"/>
        </w:rPr>
        <w:t>92</w:t>
      </w:r>
    </w:p>
    <w:p w14:paraId="30AF83E6" w14:textId="77777777" w:rsidR="00894070" w:rsidRDefault="009B7AFD">
      <w:pPr>
        <w:pStyle w:val="ListParagraph"/>
        <w:numPr>
          <w:ilvl w:val="2"/>
          <w:numId w:val="161"/>
        </w:numPr>
        <w:tabs>
          <w:tab w:val="left" w:pos="2141"/>
          <w:tab w:val="left" w:pos="2142"/>
        </w:tabs>
        <w:spacing w:before="90" w:line="206" w:lineRule="auto"/>
        <w:ind w:right="1305" w:hanging="340"/>
        <w:rPr>
          <w:sz w:val="20"/>
        </w:rPr>
      </w:pPr>
      <w:r>
        <w:rPr>
          <w:i/>
          <w:color w:val="231F20"/>
          <w:sz w:val="20"/>
        </w:rPr>
        <w:t xml:space="preserve">Cyberstalking may be </w:t>
      </w:r>
      <w:r>
        <w:rPr>
          <w:i/>
          <w:color w:val="231F20"/>
          <w:spacing w:val="-3"/>
          <w:sz w:val="20"/>
        </w:rPr>
        <w:t xml:space="preserve">treated </w:t>
      </w:r>
      <w:r>
        <w:rPr>
          <w:i/>
          <w:color w:val="231F20"/>
          <w:sz w:val="20"/>
        </w:rPr>
        <w:t xml:space="preserve">as </w:t>
      </w:r>
      <w:r>
        <w:rPr>
          <w:i/>
          <w:color w:val="231F20"/>
          <w:spacing w:val="-4"/>
          <w:sz w:val="20"/>
        </w:rPr>
        <w:t>bullying</w:t>
      </w:r>
      <w:r>
        <w:rPr>
          <w:color w:val="231F20"/>
          <w:spacing w:val="-4"/>
          <w:sz w:val="20"/>
        </w:rPr>
        <w:t xml:space="preserve">—This </w:t>
      </w:r>
      <w:r>
        <w:rPr>
          <w:color w:val="231F20"/>
          <w:sz w:val="20"/>
        </w:rPr>
        <w:t>often results in disciplinary actions within a school setting, rather than a legal response to stalking.</w:t>
      </w:r>
      <w:r>
        <w:rPr>
          <w:color w:val="231F20"/>
          <w:position w:val="7"/>
          <w:sz w:val="11"/>
        </w:rPr>
        <w:t xml:space="preserve">93 </w:t>
      </w:r>
      <w:r>
        <w:rPr>
          <w:color w:val="231F20"/>
          <w:spacing w:val="-5"/>
          <w:sz w:val="20"/>
        </w:rPr>
        <w:t xml:space="preserve">(However, </w:t>
      </w:r>
      <w:r>
        <w:rPr>
          <w:color w:val="231F20"/>
          <w:sz w:val="20"/>
        </w:rPr>
        <w:t xml:space="preserve">as </w:t>
      </w:r>
      <w:r>
        <w:rPr>
          <w:color w:val="231F20"/>
          <w:spacing w:val="-3"/>
          <w:sz w:val="20"/>
        </w:rPr>
        <w:t xml:space="preserve">we </w:t>
      </w:r>
      <w:r>
        <w:rPr>
          <w:color w:val="231F20"/>
          <w:sz w:val="20"/>
        </w:rPr>
        <w:t>discuss</w:t>
      </w:r>
      <w:r>
        <w:rPr>
          <w:color w:val="231F20"/>
          <w:spacing w:val="-6"/>
          <w:sz w:val="20"/>
        </w:rPr>
        <w:t xml:space="preserve"> </w:t>
      </w:r>
      <w:r>
        <w:rPr>
          <w:color w:val="231F20"/>
          <w:sz w:val="20"/>
        </w:rPr>
        <w:t>in</w:t>
      </w:r>
      <w:r>
        <w:rPr>
          <w:color w:val="231F20"/>
          <w:spacing w:val="-5"/>
          <w:sz w:val="20"/>
        </w:rPr>
        <w:t xml:space="preserve"> </w:t>
      </w:r>
      <w:r>
        <w:rPr>
          <w:color w:val="231F20"/>
          <w:spacing w:val="-3"/>
          <w:sz w:val="20"/>
        </w:rPr>
        <w:t>Chapter</w:t>
      </w:r>
      <w:r>
        <w:rPr>
          <w:color w:val="231F20"/>
          <w:spacing w:val="-5"/>
          <w:sz w:val="20"/>
        </w:rPr>
        <w:t xml:space="preserve"> </w:t>
      </w:r>
      <w:r>
        <w:rPr>
          <w:color w:val="231F20"/>
          <w:sz w:val="20"/>
        </w:rPr>
        <w:t>6,</w:t>
      </w:r>
      <w:r>
        <w:rPr>
          <w:color w:val="231F20"/>
          <w:spacing w:val="-5"/>
          <w:sz w:val="20"/>
        </w:rPr>
        <w:t xml:space="preserve"> </w:t>
      </w:r>
      <w:r>
        <w:rPr>
          <w:color w:val="231F20"/>
          <w:spacing w:val="-3"/>
          <w:sz w:val="20"/>
        </w:rPr>
        <w:t>alternative</w:t>
      </w:r>
      <w:r>
        <w:rPr>
          <w:color w:val="231F20"/>
          <w:spacing w:val="-5"/>
          <w:sz w:val="20"/>
        </w:rPr>
        <w:t xml:space="preserve"> </w:t>
      </w:r>
      <w:r>
        <w:rPr>
          <w:color w:val="231F20"/>
          <w:spacing w:val="-4"/>
          <w:sz w:val="20"/>
        </w:rPr>
        <w:t>pathways</w:t>
      </w:r>
      <w:r>
        <w:rPr>
          <w:color w:val="231F20"/>
          <w:spacing w:val="-5"/>
          <w:sz w:val="20"/>
        </w:rPr>
        <w:t xml:space="preserve"> </w:t>
      </w:r>
      <w:r>
        <w:rPr>
          <w:color w:val="231F20"/>
          <w:spacing w:val="-3"/>
          <w:sz w:val="20"/>
        </w:rPr>
        <w:t>for</w:t>
      </w:r>
      <w:r>
        <w:rPr>
          <w:color w:val="231F20"/>
          <w:spacing w:val="-5"/>
          <w:sz w:val="20"/>
        </w:rPr>
        <w:t xml:space="preserve"> </w:t>
      </w:r>
      <w:r>
        <w:rPr>
          <w:color w:val="231F20"/>
          <w:spacing w:val="-3"/>
          <w:sz w:val="20"/>
        </w:rPr>
        <w:t>children</w:t>
      </w:r>
      <w:r>
        <w:rPr>
          <w:color w:val="231F20"/>
          <w:spacing w:val="-5"/>
          <w:sz w:val="20"/>
        </w:rPr>
        <w:t xml:space="preserve"> </w:t>
      </w:r>
      <w:r>
        <w:rPr>
          <w:color w:val="231F20"/>
          <w:sz w:val="20"/>
        </w:rPr>
        <w:t>and</w:t>
      </w:r>
      <w:r>
        <w:rPr>
          <w:color w:val="231F20"/>
          <w:spacing w:val="-5"/>
          <w:sz w:val="20"/>
        </w:rPr>
        <w:t xml:space="preserve"> </w:t>
      </w:r>
      <w:r>
        <w:rPr>
          <w:color w:val="231F20"/>
          <w:sz w:val="20"/>
        </w:rPr>
        <w:t>young</w:t>
      </w:r>
      <w:r>
        <w:rPr>
          <w:color w:val="231F20"/>
          <w:spacing w:val="-5"/>
          <w:sz w:val="20"/>
        </w:rPr>
        <w:t xml:space="preserve"> </w:t>
      </w:r>
      <w:r>
        <w:rPr>
          <w:color w:val="231F20"/>
          <w:sz w:val="20"/>
        </w:rPr>
        <w:t>people</w:t>
      </w:r>
      <w:r>
        <w:rPr>
          <w:color w:val="231F20"/>
          <w:spacing w:val="-5"/>
          <w:sz w:val="20"/>
        </w:rPr>
        <w:t xml:space="preserve"> </w:t>
      </w:r>
      <w:r>
        <w:rPr>
          <w:color w:val="231F20"/>
          <w:sz w:val="20"/>
        </w:rPr>
        <w:t>might</w:t>
      </w:r>
      <w:r>
        <w:rPr>
          <w:color w:val="231F20"/>
          <w:spacing w:val="-6"/>
          <w:sz w:val="20"/>
        </w:rPr>
        <w:t xml:space="preserve"> </w:t>
      </w:r>
      <w:r>
        <w:rPr>
          <w:color w:val="231F20"/>
          <w:sz w:val="20"/>
        </w:rPr>
        <w:t>be better than a legal</w:t>
      </w:r>
      <w:r>
        <w:rPr>
          <w:color w:val="231F20"/>
          <w:spacing w:val="-17"/>
          <w:sz w:val="20"/>
        </w:rPr>
        <w:t xml:space="preserve"> </w:t>
      </w:r>
      <w:r>
        <w:rPr>
          <w:color w:val="231F20"/>
          <w:spacing w:val="-2"/>
          <w:sz w:val="20"/>
        </w:rPr>
        <w:t>response.)</w:t>
      </w:r>
    </w:p>
    <w:p w14:paraId="5863E1F3" w14:textId="77777777" w:rsidR="00894070" w:rsidRDefault="009B7AFD">
      <w:pPr>
        <w:pStyle w:val="ListParagraph"/>
        <w:numPr>
          <w:ilvl w:val="1"/>
          <w:numId w:val="161"/>
        </w:numPr>
        <w:tabs>
          <w:tab w:val="left" w:pos="1801"/>
          <w:tab w:val="left" w:pos="1802"/>
        </w:tabs>
        <w:spacing w:before="58" w:line="259" w:lineRule="exact"/>
        <w:rPr>
          <w:sz w:val="20"/>
        </w:rPr>
      </w:pPr>
      <w:r>
        <w:rPr>
          <w:color w:val="231F20"/>
          <w:sz w:val="20"/>
        </w:rPr>
        <w:t>Most</w:t>
      </w:r>
      <w:r>
        <w:rPr>
          <w:color w:val="231F20"/>
          <w:spacing w:val="-6"/>
          <w:sz w:val="20"/>
        </w:rPr>
        <w:t xml:space="preserve"> </w:t>
      </w:r>
      <w:r>
        <w:rPr>
          <w:color w:val="231F20"/>
          <w:sz w:val="20"/>
        </w:rPr>
        <w:t>other</w:t>
      </w:r>
      <w:r>
        <w:rPr>
          <w:color w:val="231F20"/>
          <w:spacing w:val="-5"/>
          <w:sz w:val="20"/>
        </w:rPr>
        <w:t xml:space="preserve"> </w:t>
      </w:r>
      <w:r>
        <w:rPr>
          <w:color w:val="231F20"/>
          <w:sz w:val="20"/>
        </w:rPr>
        <w:t>barriers</w:t>
      </w:r>
      <w:r>
        <w:rPr>
          <w:color w:val="231F20"/>
          <w:spacing w:val="-5"/>
          <w:sz w:val="20"/>
        </w:rPr>
        <w:t xml:space="preserve"> </w:t>
      </w:r>
      <w:r>
        <w:rPr>
          <w:color w:val="231F20"/>
          <w:sz w:val="20"/>
        </w:rPr>
        <w:t>to</w:t>
      </w:r>
      <w:r>
        <w:rPr>
          <w:color w:val="231F20"/>
          <w:spacing w:val="-6"/>
          <w:sz w:val="20"/>
        </w:rPr>
        <w:t xml:space="preserve"> </w:t>
      </w:r>
      <w:r>
        <w:rPr>
          <w:color w:val="231F20"/>
          <w:sz w:val="20"/>
        </w:rPr>
        <w:t>seeking</w:t>
      </w:r>
      <w:r>
        <w:rPr>
          <w:color w:val="231F20"/>
          <w:spacing w:val="-5"/>
          <w:sz w:val="20"/>
        </w:rPr>
        <w:t xml:space="preserve"> </w:t>
      </w:r>
      <w:r>
        <w:rPr>
          <w:color w:val="231F20"/>
          <w:sz w:val="20"/>
        </w:rPr>
        <w:t>help</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cyberstalking</w:t>
      </w:r>
      <w:r>
        <w:rPr>
          <w:color w:val="231F20"/>
          <w:spacing w:val="-5"/>
          <w:sz w:val="20"/>
        </w:rPr>
        <w:t xml:space="preserve"> </w:t>
      </w:r>
      <w:r>
        <w:rPr>
          <w:color w:val="231F20"/>
          <w:spacing w:val="-3"/>
          <w:sz w:val="20"/>
        </w:rPr>
        <w:t>are</w:t>
      </w:r>
      <w:r>
        <w:rPr>
          <w:color w:val="231F20"/>
          <w:spacing w:val="-5"/>
          <w:sz w:val="20"/>
        </w:rPr>
        <w:t xml:space="preserve"> </w:t>
      </w:r>
      <w:proofErr w:type="gramStart"/>
      <w:r>
        <w:rPr>
          <w:color w:val="231F20"/>
          <w:sz w:val="20"/>
        </w:rPr>
        <w:t>similar</w:t>
      </w:r>
      <w:r>
        <w:rPr>
          <w:color w:val="231F20"/>
          <w:spacing w:val="-5"/>
          <w:sz w:val="20"/>
        </w:rPr>
        <w:t xml:space="preserve"> </w:t>
      </w:r>
      <w:r>
        <w:rPr>
          <w:color w:val="231F20"/>
          <w:sz w:val="20"/>
        </w:rPr>
        <w:t>to</w:t>
      </w:r>
      <w:proofErr w:type="gramEnd"/>
      <w:r>
        <w:rPr>
          <w:color w:val="231F20"/>
          <w:spacing w:val="-6"/>
          <w:sz w:val="20"/>
        </w:rPr>
        <w:t xml:space="preserve"> </w:t>
      </w:r>
      <w:r>
        <w:rPr>
          <w:color w:val="231F20"/>
          <w:sz w:val="20"/>
        </w:rPr>
        <w:t>the</w:t>
      </w:r>
      <w:r>
        <w:rPr>
          <w:color w:val="231F20"/>
          <w:spacing w:val="-5"/>
          <w:sz w:val="20"/>
        </w:rPr>
        <w:t xml:space="preserve"> </w:t>
      </w:r>
      <w:r>
        <w:rPr>
          <w:color w:val="231F20"/>
          <w:sz w:val="20"/>
        </w:rPr>
        <w:t>barriers</w:t>
      </w:r>
      <w:r>
        <w:rPr>
          <w:color w:val="231F20"/>
          <w:spacing w:val="-5"/>
          <w:sz w:val="20"/>
        </w:rPr>
        <w:t xml:space="preserve"> </w:t>
      </w:r>
      <w:r>
        <w:rPr>
          <w:color w:val="231F20"/>
          <w:spacing w:val="-3"/>
          <w:sz w:val="20"/>
        </w:rPr>
        <w:t>for</w:t>
      </w:r>
    </w:p>
    <w:p w14:paraId="0AE0077D" w14:textId="77777777" w:rsidR="00894070" w:rsidRDefault="009B7AFD">
      <w:pPr>
        <w:pStyle w:val="BodyText"/>
        <w:spacing w:line="259" w:lineRule="exact"/>
        <w:ind w:left="1801"/>
      </w:pPr>
      <w:r>
        <w:rPr>
          <w:color w:val="231F20"/>
        </w:rPr>
        <w:t>stalking (see Chapter 2). These include:</w:t>
      </w:r>
    </w:p>
    <w:p w14:paraId="4F8C0294" w14:textId="77777777" w:rsidR="00894070" w:rsidRDefault="009B7AFD">
      <w:pPr>
        <w:pStyle w:val="ListParagraph"/>
        <w:numPr>
          <w:ilvl w:val="2"/>
          <w:numId w:val="161"/>
        </w:numPr>
        <w:tabs>
          <w:tab w:val="left" w:pos="2141"/>
          <w:tab w:val="left" w:pos="2142"/>
        </w:tabs>
        <w:spacing w:before="82"/>
        <w:ind w:hanging="340"/>
        <w:rPr>
          <w:sz w:val="20"/>
        </w:rPr>
      </w:pPr>
      <w:r>
        <w:rPr>
          <w:color w:val="231F20"/>
          <w:sz w:val="20"/>
        </w:rPr>
        <w:t>people</w:t>
      </w:r>
      <w:r>
        <w:rPr>
          <w:color w:val="231F20"/>
          <w:spacing w:val="-6"/>
          <w:sz w:val="20"/>
        </w:rPr>
        <w:t xml:space="preserve"> </w:t>
      </w:r>
      <w:r>
        <w:rPr>
          <w:color w:val="231F20"/>
          <w:sz w:val="20"/>
        </w:rPr>
        <w:t>not</w:t>
      </w:r>
      <w:r>
        <w:rPr>
          <w:color w:val="231F20"/>
          <w:spacing w:val="-6"/>
          <w:sz w:val="20"/>
        </w:rPr>
        <w:t xml:space="preserve"> </w:t>
      </w:r>
      <w:r>
        <w:rPr>
          <w:color w:val="231F20"/>
          <w:sz w:val="20"/>
        </w:rPr>
        <w:t>being</w:t>
      </w:r>
      <w:r>
        <w:rPr>
          <w:color w:val="231F20"/>
          <w:spacing w:val="-6"/>
          <w:sz w:val="20"/>
        </w:rPr>
        <w:t xml:space="preserve"> </w:t>
      </w:r>
      <w:r>
        <w:rPr>
          <w:color w:val="231F20"/>
          <w:spacing w:val="-4"/>
          <w:sz w:val="20"/>
        </w:rPr>
        <w:t>aware</w:t>
      </w:r>
      <w:r>
        <w:rPr>
          <w:color w:val="231F20"/>
          <w:spacing w:val="-6"/>
          <w:sz w:val="20"/>
        </w:rPr>
        <w:t xml:space="preserve"> </w:t>
      </w:r>
      <w:r>
        <w:rPr>
          <w:color w:val="231F20"/>
          <w:sz w:val="20"/>
        </w:rPr>
        <w:t>that</w:t>
      </w:r>
      <w:r>
        <w:rPr>
          <w:color w:val="231F20"/>
          <w:spacing w:val="-6"/>
          <w:sz w:val="20"/>
        </w:rPr>
        <w:t xml:space="preserve"> </w:t>
      </w:r>
      <w:r>
        <w:rPr>
          <w:color w:val="231F20"/>
          <w:sz w:val="20"/>
        </w:rPr>
        <w:t>the</w:t>
      </w:r>
      <w:r>
        <w:rPr>
          <w:color w:val="231F20"/>
          <w:spacing w:val="-6"/>
          <w:sz w:val="20"/>
        </w:rPr>
        <w:t xml:space="preserve"> </w:t>
      </w:r>
      <w:proofErr w:type="spellStart"/>
      <w:r>
        <w:rPr>
          <w:color w:val="231F20"/>
          <w:sz w:val="20"/>
        </w:rPr>
        <w:t>behaviour</w:t>
      </w:r>
      <w:proofErr w:type="spellEnd"/>
      <w:r>
        <w:rPr>
          <w:color w:val="231F20"/>
          <w:spacing w:val="-6"/>
          <w:sz w:val="20"/>
        </w:rPr>
        <w:t xml:space="preserve"> </w:t>
      </w:r>
      <w:r>
        <w:rPr>
          <w:color w:val="231F20"/>
          <w:sz w:val="20"/>
        </w:rPr>
        <w:t>they</w:t>
      </w:r>
      <w:r>
        <w:rPr>
          <w:color w:val="231F20"/>
          <w:spacing w:val="-6"/>
          <w:sz w:val="20"/>
        </w:rPr>
        <w:t xml:space="preserve"> </w:t>
      </w:r>
      <w:r>
        <w:rPr>
          <w:color w:val="231F20"/>
          <w:spacing w:val="-3"/>
          <w:sz w:val="20"/>
        </w:rPr>
        <w:t>are</w:t>
      </w:r>
      <w:r>
        <w:rPr>
          <w:color w:val="231F20"/>
          <w:spacing w:val="-6"/>
          <w:sz w:val="20"/>
        </w:rPr>
        <w:t xml:space="preserve"> </w:t>
      </w:r>
      <w:r>
        <w:rPr>
          <w:color w:val="231F20"/>
          <w:sz w:val="20"/>
        </w:rPr>
        <w:t>experiencing</w:t>
      </w:r>
      <w:r>
        <w:rPr>
          <w:color w:val="231F20"/>
          <w:spacing w:val="-6"/>
          <w:sz w:val="20"/>
        </w:rPr>
        <w:t xml:space="preserve"> </w:t>
      </w:r>
      <w:r>
        <w:rPr>
          <w:color w:val="231F20"/>
          <w:sz w:val="20"/>
        </w:rPr>
        <w:t>is</w:t>
      </w:r>
      <w:r>
        <w:rPr>
          <w:color w:val="231F20"/>
          <w:spacing w:val="-6"/>
          <w:sz w:val="20"/>
        </w:rPr>
        <w:t xml:space="preserve"> </w:t>
      </w:r>
      <w:r>
        <w:rPr>
          <w:color w:val="231F20"/>
          <w:sz w:val="20"/>
        </w:rPr>
        <w:t>cyberstalking</w:t>
      </w:r>
    </w:p>
    <w:p w14:paraId="494BBC22" w14:textId="77777777" w:rsidR="00894070" w:rsidRDefault="009B7AFD">
      <w:pPr>
        <w:pStyle w:val="ListParagraph"/>
        <w:numPr>
          <w:ilvl w:val="2"/>
          <w:numId w:val="161"/>
        </w:numPr>
        <w:tabs>
          <w:tab w:val="left" w:pos="2141"/>
          <w:tab w:val="left" w:pos="2142"/>
        </w:tabs>
        <w:spacing w:before="80" w:line="206" w:lineRule="auto"/>
        <w:ind w:right="1555" w:hanging="340"/>
        <w:rPr>
          <w:sz w:val="11"/>
        </w:rPr>
      </w:pPr>
      <w:r>
        <w:rPr>
          <w:color w:val="231F20"/>
          <w:sz w:val="20"/>
        </w:rPr>
        <w:t>people</w:t>
      </w:r>
      <w:r>
        <w:rPr>
          <w:color w:val="231F20"/>
          <w:spacing w:val="-12"/>
          <w:sz w:val="20"/>
        </w:rPr>
        <w:t xml:space="preserve"> </w:t>
      </w:r>
      <w:proofErr w:type="spellStart"/>
      <w:r>
        <w:rPr>
          <w:color w:val="231F20"/>
          <w:sz w:val="20"/>
        </w:rPr>
        <w:t>minimising</w:t>
      </w:r>
      <w:proofErr w:type="spellEnd"/>
      <w:r>
        <w:rPr>
          <w:color w:val="231F20"/>
          <w:spacing w:val="-12"/>
          <w:sz w:val="20"/>
        </w:rPr>
        <w:t xml:space="preserve"> </w:t>
      </w:r>
      <w:r>
        <w:rPr>
          <w:color w:val="231F20"/>
          <w:sz w:val="20"/>
        </w:rPr>
        <w:t>the</w:t>
      </w:r>
      <w:r>
        <w:rPr>
          <w:color w:val="231F20"/>
          <w:spacing w:val="-12"/>
          <w:sz w:val="20"/>
        </w:rPr>
        <w:t xml:space="preserve"> </w:t>
      </w:r>
      <w:r>
        <w:rPr>
          <w:color w:val="231F20"/>
          <w:sz w:val="20"/>
        </w:rPr>
        <w:t>harm</w:t>
      </w:r>
      <w:r>
        <w:rPr>
          <w:color w:val="231F20"/>
          <w:spacing w:val="-12"/>
          <w:sz w:val="20"/>
        </w:rPr>
        <w:t xml:space="preserve"> </w:t>
      </w:r>
      <w:r>
        <w:rPr>
          <w:color w:val="231F20"/>
          <w:sz w:val="20"/>
        </w:rPr>
        <w:t>they</w:t>
      </w:r>
      <w:r>
        <w:rPr>
          <w:color w:val="231F20"/>
          <w:spacing w:val="-11"/>
          <w:sz w:val="20"/>
        </w:rPr>
        <w:t xml:space="preserve"> </w:t>
      </w:r>
      <w:r>
        <w:rPr>
          <w:color w:val="231F20"/>
          <w:spacing w:val="-3"/>
          <w:sz w:val="20"/>
        </w:rPr>
        <w:t>are</w:t>
      </w:r>
      <w:r>
        <w:rPr>
          <w:color w:val="231F20"/>
          <w:spacing w:val="-12"/>
          <w:sz w:val="20"/>
        </w:rPr>
        <w:t xml:space="preserve"> </w:t>
      </w:r>
      <w:r>
        <w:rPr>
          <w:color w:val="231F20"/>
          <w:sz w:val="20"/>
        </w:rPr>
        <w:t>experiencing—for</w:t>
      </w:r>
      <w:r>
        <w:rPr>
          <w:color w:val="231F20"/>
          <w:spacing w:val="-12"/>
          <w:sz w:val="20"/>
        </w:rPr>
        <w:t xml:space="preserve"> </w:t>
      </w:r>
      <w:r>
        <w:rPr>
          <w:color w:val="231F20"/>
          <w:spacing w:val="-3"/>
          <w:sz w:val="20"/>
        </w:rPr>
        <w:t>example,</w:t>
      </w:r>
      <w:r>
        <w:rPr>
          <w:color w:val="231F20"/>
          <w:spacing w:val="-12"/>
          <w:sz w:val="20"/>
        </w:rPr>
        <w:t xml:space="preserve"> </w:t>
      </w:r>
      <w:r>
        <w:rPr>
          <w:color w:val="231F20"/>
          <w:sz w:val="20"/>
        </w:rPr>
        <w:t>among</w:t>
      </w:r>
      <w:r>
        <w:rPr>
          <w:color w:val="231F20"/>
          <w:spacing w:val="-11"/>
          <w:sz w:val="20"/>
        </w:rPr>
        <w:t xml:space="preserve"> </w:t>
      </w:r>
      <w:r>
        <w:rPr>
          <w:color w:val="231F20"/>
          <w:sz w:val="20"/>
        </w:rPr>
        <w:t>young people,</w:t>
      </w:r>
      <w:r>
        <w:rPr>
          <w:color w:val="231F20"/>
          <w:spacing w:val="-8"/>
          <w:sz w:val="20"/>
        </w:rPr>
        <w:t xml:space="preserve"> </w:t>
      </w:r>
      <w:r>
        <w:rPr>
          <w:color w:val="231F20"/>
          <w:sz w:val="20"/>
        </w:rPr>
        <w:t>some</w:t>
      </w:r>
      <w:r>
        <w:rPr>
          <w:color w:val="231F20"/>
          <w:spacing w:val="-8"/>
          <w:sz w:val="20"/>
        </w:rPr>
        <w:t xml:space="preserve"> </w:t>
      </w:r>
      <w:r>
        <w:rPr>
          <w:color w:val="231F20"/>
          <w:spacing w:val="-3"/>
          <w:sz w:val="20"/>
        </w:rPr>
        <w:t>controlling</w:t>
      </w:r>
      <w:r>
        <w:rPr>
          <w:color w:val="231F20"/>
          <w:spacing w:val="-7"/>
          <w:sz w:val="20"/>
        </w:rPr>
        <w:t xml:space="preserve"> </w:t>
      </w:r>
      <w:r>
        <w:rPr>
          <w:color w:val="231F20"/>
          <w:sz w:val="20"/>
        </w:rPr>
        <w:t>and</w:t>
      </w:r>
      <w:r>
        <w:rPr>
          <w:color w:val="231F20"/>
          <w:spacing w:val="-8"/>
          <w:sz w:val="20"/>
        </w:rPr>
        <w:t xml:space="preserve"> </w:t>
      </w:r>
      <w:r>
        <w:rPr>
          <w:color w:val="231F20"/>
          <w:sz w:val="20"/>
        </w:rPr>
        <w:t>harassing</w:t>
      </w:r>
      <w:r>
        <w:rPr>
          <w:color w:val="231F20"/>
          <w:spacing w:val="-8"/>
          <w:sz w:val="20"/>
        </w:rPr>
        <w:t xml:space="preserve"> </w:t>
      </w:r>
      <w:proofErr w:type="spellStart"/>
      <w:r>
        <w:rPr>
          <w:color w:val="231F20"/>
          <w:sz w:val="20"/>
        </w:rPr>
        <w:t>behaviours</w:t>
      </w:r>
      <w:proofErr w:type="spellEnd"/>
      <w:r>
        <w:rPr>
          <w:color w:val="231F20"/>
          <w:spacing w:val="-7"/>
          <w:sz w:val="20"/>
        </w:rPr>
        <w:t xml:space="preserve"> </w:t>
      </w:r>
      <w:r>
        <w:rPr>
          <w:color w:val="231F20"/>
          <w:sz w:val="20"/>
        </w:rPr>
        <w:t>online</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be</w:t>
      </w:r>
      <w:r>
        <w:rPr>
          <w:color w:val="231F20"/>
          <w:spacing w:val="-7"/>
          <w:sz w:val="20"/>
        </w:rPr>
        <w:t xml:space="preserve"> </w:t>
      </w:r>
      <w:proofErr w:type="spellStart"/>
      <w:r>
        <w:rPr>
          <w:color w:val="231F20"/>
          <w:sz w:val="20"/>
        </w:rPr>
        <w:t>normalised</w:t>
      </w:r>
      <w:proofErr w:type="spellEnd"/>
      <w:r>
        <w:rPr>
          <w:color w:val="231F20"/>
          <w:position w:val="7"/>
          <w:sz w:val="11"/>
        </w:rPr>
        <w:t>94</w:t>
      </w:r>
    </w:p>
    <w:p w14:paraId="797D526B" w14:textId="77777777" w:rsidR="00894070" w:rsidRDefault="009B7AFD">
      <w:pPr>
        <w:pStyle w:val="ListParagraph"/>
        <w:numPr>
          <w:ilvl w:val="2"/>
          <w:numId w:val="161"/>
        </w:numPr>
        <w:tabs>
          <w:tab w:val="left" w:pos="2141"/>
          <w:tab w:val="left" w:pos="2142"/>
        </w:tabs>
        <w:spacing w:before="55"/>
        <w:ind w:hanging="340"/>
        <w:rPr>
          <w:sz w:val="20"/>
        </w:rPr>
      </w:pPr>
      <w:r>
        <w:rPr>
          <w:color w:val="231F20"/>
          <w:sz w:val="20"/>
        </w:rPr>
        <w:t>fear</w:t>
      </w:r>
      <w:r>
        <w:rPr>
          <w:color w:val="231F20"/>
          <w:spacing w:val="-5"/>
          <w:sz w:val="20"/>
        </w:rPr>
        <w:t xml:space="preserve"> </w:t>
      </w:r>
      <w:r>
        <w:rPr>
          <w:color w:val="231F20"/>
          <w:sz w:val="20"/>
        </w:rPr>
        <w:t>of</w:t>
      </w:r>
      <w:r>
        <w:rPr>
          <w:color w:val="231F20"/>
          <w:spacing w:val="-5"/>
          <w:sz w:val="20"/>
        </w:rPr>
        <w:t xml:space="preserve"> </w:t>
      </w:r>
      <w:r>
        <w:rPr>
          <w:color w:val="231F20"/>
          <w:sz w:val="20"/>
        </w:rPr>
        <w:t>feeling</w:t>
      </w:r>
      <w:r>
        <w:rPr>
          <w:color w:val="231F20"/>
          <w:spacing w:val="-5"/>
          <w:sz w:val="20"/>
        </w:rPr>
        <w:t xml:space="preserve"> </w:t>
      </w:r>
      <w:r>
        <w:rPr>
          <w:color w:val="231F20"/>
          <w:sz w:val="20"/>
        </w:rPr>
        <w:t>shame</w:t>
      </w:r>
      <w:r>
        <w:rPr>
          <w:color w:val="231F20"/>
          <w:spacing w:val="-4"/>
          <w:sz w:val="20"/>
        </w:rPr>
        <w:t xml:space="preserve"> </w:t>
      </w:r>
      <w:r>
        <w:rPr>
          <w:color w:val="231F20"/>
          <w:sz w:val="20"/>
        </w:rPr>
        <w:t>or</w:t>
      </w:r>
      <w:r>
        <w:rPr>
          <w:color w:val="231F20"/>
          <w:spacing w:val="-5"/>
          <w:sz w:val="20"/>
        </w:rPr>
        <w:t xml:space="preserve"> </w:t>
      </w:r>
      <w:r>
        <w:rPr>
          <w:color w:val="231F20"/>
          <w:sz w:val="20"/>
        </w:rPr>
        <w:t>embarrassment,</w:t>
      </w:r>
      <w:r>
        <w:rPr>
          <w:color w:val="231F20"/>
          <w:spacing w:val="-5"/>
          <w:sz w:val="20"/>
        </w:rPr>
        <w:t xml:space="preserve"> </w:t>
      </w:r>
      <w:r>
        <w:rPr>
          <w:color w:val="231F20"/>
          <w:sz w:val="20"/>
        </w:rPr>
        <w:t>or</w:t>
      </w:r>
      <w:r>
        <w:rPr>
          <w:color w:val="231F20"/>
          <w:spacing w:val="-5"/>
          <w:sz w:val="20"/>
        </w:rPr>
        <w:t xml:space="preserve"> </w:t>
      </w:r>
      <w:r>
        <w:rPr>
          <w:color w:val="231F20"/>
          <w:sz w:val="20"/>
        </w:rPr>
        <w:t>of</w:t>
      </w:r>
      <w:r>
        <w:rPr>
          <w:color w:val="231F20"/>
          <w:spacing w:val="-4"/>
          <w:sz w:val="20"/>
        </w:rPr>
        <w:t xml:space="preserve"> </w:t>
      </w:r>
      <w:r>
        <w:rPr>
          <w:color w:val="231F20"/>
          <w:sz w:val="20"/>
        </w:rPr>
        <w:t>being</w:t>
      </w:r>
      <w:r>
        <w:rPr>
          <w:color w:val="231F20"/>
          <w:spacing w:val="-5"/>
          <w:sz w:val="20"/>
        </w:rPr>
        <w:t xml:space="preserve"> </w:t>
      </w:r>
      <w:r>
        <w:rPr>
          <w:color w:val="231F20"/>
          <w:sz w:val="20"/>
        </w:rPr>
        <w:t>blamed</w:t>
      </w:r>
    </w:p>
    <w:p w14:paraId="57CFCC8E" w14:textId="77777777" w:rsidR="00894070" w:rsidRDefault="009B7AFD">
      <w:pPr>
        <w:pStyle w:val="ListParagraph"/>
        <w:numPr>
          <w:ilvl w:val="2"/>
          <w:numId w:val="161"/>
        </w:numPr>
        <w:tabs>
          <w:tab w:val="left" w:pos="2141"/>
          <w:tab w:val="left" w:pos="2142"/>
        </w:tabs>
        <w:spacing w:before="80" w:line="206" w:lineRule="auto"/>
        <w:ind w:right="1468" w:hanging="340"/>
        <w:rPr>
          <w:sz w:val="11"/>
        </w:rPr>
      </w:pPr>
      <w:r>
        <w:rPr>
          <w:color w:val="231F20"/>
          <w:sz w:val="20"/>
        </w:rPr>
        <w:t>fear</w:t>
      </w:r>
      <w:r>
        <w:rPr>
          <w:color w:val="231F20"/>
          <w:spacing w:val="-9"/>
          <w:sz w:val="20"/>
        </w:rPr>
        <w:t xml:space="preserve"> </w:t>
      </w:r>
      <w:r>
        <w:rPr>
          <w:color w:val="231F20"/>
          <w:sz w:val="20"/>
        </w:rPr>
        <w:t>that</w:t>
      </w:r>
      <w:r>
        <w:rPr>
          <w:color w:val="231F20"/>
          <w:spacing w:val="-8"/>
          <w:sz w:val="20"/>
        </w:rPr>
        <w:t xml:space="preserve"> </w:t>
      </w:r>
      <w:r>
        <w:rPr>
          <w:color w:val="231F20"/>
          <w:sz w:val="20"/>
        </w:rPr>
        <w:t>reporting</w:t>
      </w:r>
      <w:r>
        <w:rPr>
          <w:color w:val="231F20"/>
          <w:spacing w:val="-8"/>
          <w:sz w:val="20"/>
        </w:rPr>
        <w:t xml:space="preserve"> </w:t>
      </w:r>
      <w:r>
        <w:rPr>
          <w:color w:val="231F20"/>
          <w:sz w:val="20"/>
        </w:rPr>
        <w:t>the</w:t>
      </w:r>
      <w:r>
        <w:rPr>
          <w:color w:val="231F20"/>
          <w:spacing w:val="-8"/>
          <w:sz w:val="20"/>
        </w:rPr>
        <w:t xml:space="preserve"> </w:t>
      </w:r>
      <w:proofErr w:type="spellStart"/>
      <w:r>
        <w:rPr>
          <w:color w:val="231F20"/>
          <w:sz w:val="20"/>
        </w:rPr>
        <w:t>behaviour</w:t>
      </w:r>
      <w:proofErr w:type="spellEnd"/>
      <w:r>
        <w:rPr>
          <w:color w:val="231F20"/>
          <w:spacing w:val="-8"/>
          <w:sz w:val="20"/>
        </w:rPr>
        <w:t xml:space="preserve"> </w:t>
      </w:r>
      <w:r>
        <w:rPr>
          <w:color w:val="231F20"/>
          <w:sz w:val="20"/>
        </w:rPr>
        <w:t>will</w:t>
      </w:r>
      <w:r>
        <w:rPr>
          <w:color w:val="231F20"/>
          <w:spacing w:val="-8"/>
          <w:sz w:val="20"/>
        </w:rPr>
        <w:t xml:space="preserve"> </w:t>
      </w:r>
      <w:r>
        <w:rPr>
          <w:color w:val="231F20"/>
          <w:sz w:val="20"/>
        </w:rPr>
        <w:t>lead</w:t>
      </w:r>
      <w:r>
        <w:rPr>
          <w:color w:val="231F20"/>
          <w:spacing w:val="-8"/>
          <w:sz w:val="20"/>
        </w:rPr>
        <w:t xml:space="preserve"> </w:t>
      </w:r>
      <w:r>
        <w:rPr>
          <w:color w:val="231F20"/>
          <w:sz w:val="20"/>
        </w:rPr>
        <w:t>to</w:t>
      </w:r>
      <w:r>
        <w:rPr>
          <w:color w:val="231F20"/>
          <w:spacing w:val="-8"/>
          <w:sz w:val="20"/>
        </w:rPr>
        <w:t xml:space="preserve"> </w:t>
      </w:r>
      <w:r>
        <w:rPr>
          <w:color w:val="231F20"/>
          <w:sz w:val="20"/>
        </w:rPr>
        <w:t>bad</w:t>
      </w:r>
      <w:r>
        <w:rPr>
          <w:color w:val="231F20"/>
          <w:spacing w:val="-8"/>
          <w:sz w:val="20"/>
        </w:rPr>
        <w:t xml:space="preserve"> </w:t>
      </w:r>
      <w:r>
        <w:rPr>
          <w:color w:val="231F20"/>
          <w:spacing w:val="-3"/>
          <w:sz w:val="20"/>
        </w:rPr>
        <w:t>consequences—for</w:t>
      </w:r>
      <w:r>
        <w:rPr>
          <w:color w:val="231F20"/>
          <w:spacing w:val="-8"/>
          <w:sz w:val="20"/>
        </w:rPr>
        <w:t xml:space="preserve"> </w:t>
      </w:r>
      <w:r>
        <w:rPr>
          <w:color w:val="231F20"/>
          <w:spacing w:val="-3"/>
          <w:sz w:val="20"/>
        </w:rPr>
        <w:t>example,</w:t>
      </w:r>
      <w:r>
        <w:rPr>
          <w:color w:val="231F20"/>
          <w:spacing w:val="-8"/>
          <w:sz w:val="20"/>
        </w:rPr>
        <w:t xml:space="preserve"> </w:t>
      </w:r>
      <w:r>
        <w:rPr>
          <w:color w:val="231F20"/>
          <w:sz w:val="20"/>
        </w:rPr>
        <w:t>in the</w:t>
      </w:r>
      <w:r>
        <w:rPr>
          <w:color w:val="231F20"/>
          <w:spacing w:val="-5"/>
          <w:sz w:val="20"/>
        </w:rPr>
        <w:t xml:space="preserve"> </w:t>
      </w:r>
      <w:r>
        <w:rPr>
          <w:color w:val="231F20"/>
          <w:sz w:val="20"/>
        </w:rPr>
        <w:t>case</w:t>
      </w:r>
      <w:r>
        <w:rPr>
          <w:color w:val="231F20"/>
          <w:spacing w:val="-5"/>
          <w:sz w:val="20"/>
        </w:rPr>
        <w:t xml:space="preserve"> </w:t>
      </w:r>
      <w:r>
        <w:rPr>
          <w:color w:val="231F20"/>
          <w:sz w:val="20"/>
        </w:rPr>
        <w:t>of</w:t>
      </w:r>
      <w:r>
        <w:rPr>
          <w:color w:val="231F20"/>
          <w:spacing w:val="-5"/>
          <w:sz w:val="20"/>
        </w:rPr>
        <w:t xml:space="preserve"> </w:t>
      </w:r>
      <w:r>
        <w:rPr>
          <w:color w:val="231F20"/>
          <w:sz w:val="20"/>
        </w:rPr>
        <w:t>young</w:t>
      </w:r>
      <w:r>
        <w:rPr>
          <w:color w:val="231F20"/>
          <w:spacing w:val="-5"/>
          <w:sz w:val="20"/>
        </w:rPr>
        <w:t xml:space="preserve"> </w:t>
      </w:r>
      <w:r>
        <w:rPr>
          <w:color w:val="231F20"/>
          <w:sz w:val="20"/>
        </w:rPr>
        <w:t>people</w:t>
      </w:r>
      <w:r>
        <w:rPr>
          <w:color w:val="231F20"/>
          <w:spacing w:val="-5"/>
          <w:sz w:val="20"/>
        </w:rPr>
        <w:t xml:space="preserve"> </w:t>
      </w:r>
      <w:r>
        <w:rPr>
          <w:color w:val="231F20"/>
          <w:sz w:val="20"/>
        </w:rPr>
        <w:t>at</w:t>
      </w:r>
      <w:r>
        <w:rPr>
          <w:color w:val="231F20"/>
          <w:spacing w:val="-5"/>
          <w:sz w:val="20"/>
        </w:rPr>
        <w:t xml:space="preserve"> </w:t>
      </w:r>
      <w:r>
        <w:rPr>
          <w:color w:val="231F20"/>
          <w:sz w:val="20"/>
        </w:rPr>
        <w:t>school,</w:t>
      </w:r>
      <w:r>
        <w:rPr>
          <w:color w:val="231F20"/>
          <w:spacing w:val="-5"/>
          <w:sz w:val="20"/>
        </w:rPr>
        <w:t xml:space="preserve"> </w:t>
      </w:r>
      <w:r>
        <w:rPr>
          <w:color w:val="231F20"/>
          <w:spacing w:val="-3"/>
          <w:sz w:val="20"/>
        </w:rPr>
        <w:t>having</w:t>
      </w:r>
      <w:r>
        <w:rPr>
          <w:color w:val="231F20"/>
          <w:spacing w:val="-5"/>
          <w:sz w:val="20"/>
        </w:rPr>
        <w:t xml:space="preserve"> </w:t>
      </w:r>
      <w:r>
        <w:rPr>
          <w:color w:val="231F20"/>
          <w:sz w:val="20"/>
        </w:rPr>
        <w:t>their</w:t>
      </w:r>
      <w:r>
        <w:rPr>
          <w:color w:val="231F20"/>
          <w:spacing w:val="-5"/>
          <w:sz w:val="20"/>
        </w:rPr>
        <w:t xml:space="preserve"> </w:t>
      </w:r>
      <w:r>
        <w:rPr>
          <w:color w:val="231F20"/>
          <w:spacing w:val="-3"/>
          <w:sz w:val="20"/>
        </w:rPr>
        <w:t>devices</w:t>
      </w:r>
      <w:r>
        <w:rPr>
          <w:color w:val="231F20"/>
          <w:spacing w:val="-5"/>
          <w:sz w:val="20"/>
        </w:rPr>
        <w:t xml:space="preserve"> </w:t>
      </w:r>
      <w:r>
        <w:rPr>
          <w:color w:val="231F20"/>
          <w:sz w:val="20"/>
        </w:rPr>
        <w:t>taken</w:t>
      </w:r>
      <w:r>
        <w:rPr>
          <w:color w:val="231F20"/>
          <w:spacing w:val="-4"/>
          <w:sz w:val="20"/>
        </w:rPr>
        <w:t xml:space="preserve"> </w:t>
      </w:r>
      <w:r>
        <w:rPr>
          <w:color w:val="231F20"/>
          <w:spacing w:val="-2"/>
          <w:sz w:val="20"/>
        </w:rPr>
        <w:t>away</w:t>
      </w:r>
      <w:r>
        <w:rPr>
          <w:color w:val="231F20"/>
          <w:spacing w:val="-2"/>
          <w:position w:val="7"/>
          <w:sz w:val="11"/>
        </w:rPr>
        <w:t>95</w:t>
      </w:r>
    </w:p>
    <w:p w14:paraId="59E73CD3" w14:textId="77777777" w:rsidR="00894070" w:rsidRDefault="009B7AFD">
      <w:pPr>
        <w:pStyle w:val="ListParagraph"/>
        <w:numPr>
          <w:ilvl w:val="2"/>
          <w:numId w:val="161"/>
        </w:numPr>
        <w:tabs>
          <w:tab w:val="left" w:pos="2141"/>
          <w:tab w:val="left" w:pos="2142"/>
        </w:tabs>
        <w:spacing w:before="55"/>
        <w:ind w:hanging="340"/>
        <w:rPr>
          <w:sz w:val="11"/>
        </w:rPr>
      </w:pPr>
      <w:r>
        <w:rPr>
          <w:color w:val="231F20"/>
          <w:sz w:val="20"/>
        </w:rPr>
        <w:t xml:space="preserve">difficulty in finding up-to-date, </w:t>
      </w:r>
      <w:r>
        <w:rPr>
          <w:color w:val="231F20"/>
          <w:spacing w:val="-3"/>
          <w:sz w:val="20"/>
        </w:rPr>
        <w:t xml:space="preserve">relevant information </w:t>
      </w:r>
      <w:r>
        <w:rPr>
          <w:color w:val="231F20"/>
          <w:sz w:val="20"/>
        </w:rPr>
        <w:t>and</w:t>
      </w:r>
      <w:r>
        <w:rPr>
          <w:color w:val="231F20"/>
          <w:spacing w:val="-28"/>
          <w:sz w:val="20"/>
        </w:rPr>
        <w:t xml:space="preserve"> </w:t>
      </w:r>
      <w:r>
        <w:rPr>
          <w:color w:val="231F20"/>
          <w:sz w:val="20"/>
        </w:rPr>
        <w:t>help</w:t>
      </w:r>
      <w:r>
        <w:rPr>
          <w:color w:val="231F20"/>
          <w:position w:val="7"/>
          <w:sz w:val="11"/>
        </w:rPr>
        <w:t>96</w:t>
      </w:r>
    </w:p>
    <w:p w14:paraId="1715514F" w14:textId="77777777" w:rsidR="00894070" w:rsidRDefault="009B7AFD">
      <w:pPr>
        <w:pStyle w:val="ListParagraph"/>
        <w:numPr>
          <w:ilvl w:val="2"/>
          <w:numId w:val="161"/>
        </w:numPr>
        <w:tabs>
          <w:tab w:val="left" w:pos="2141"/>
          <w:tab w:val="left" w:pos="2142"/>
        </w:tabs>
        <w:spacing w:before="80" w:line="206" w:lineRule="auto"/>
        <w:ind w:right="2385" w:hanging="340"/>
        <w:rPr>
          <w:sz w:val="11"/>
        </w:rPr>
      </w:pPr>
      <w:r>
        <w:rPr>
          <w:color w:val="231F20"/>
          <w:sz w:val="20"/>
        </w:rPr>
        <w:t>doubt</w:t>
      </w:r>
      <w:r>
        <w:rPr>
          <w:color w:val="231F20"/>
          <w:spacing w:val="-12"/>
          <w:sz w:val="20"/>
        </w:rPr>
        <w:t xml:space="preserve"> </w:t>
      </w:r>
      <w:r>
        <w:rPr>
          <w:color w:val="231F20"/>
          <w:sz w:val="20"/>
        </w:rPr>
        <w:t>that</w:t>
      </w:r>
      <w:r>
        <w:rPr>
          <w:color w:val="231F20"/>
          <w:spacing w:val="-12"/>
          <w:sz w:val="20"/>
        </w:rPr>
        <w:t xml:space="preserve"> </w:t>
      </w:r>
      <w:r>
        <w:rPr>
          <w:color w:val="231F20"/>
          <w:sz w:val="20"/>
        </w:rPr>
        <w:t>help</w:t>
      </w:r>
      <w:r>
        <w:rPr>
          <w:color w:val="231F20"/>
          <w:spacing w:val="-12"/>
          <w:sz w:val="20"/>
        </w:rPr>
        <w:t xml:space="preserve"> </w:t>
      </w:r>
      <w:r>
        <w:rPr>
          <w:color w:val="231F20"/>
          <w:sz w:val="20"/>
        </w:rPr>
        <w:t>is</w:t>
      </w:r>
      <w:r>
        <w:rPr>
          <w:color w:val="231F20"/>
          <w:spacing w:val="-11"/>
          <w:sz w:val="20"/>
        </w:rPr>
        <w:t xml:space="preserve"> </w:t>
      </w:r>
      <w:r>
        <w:rPr>
          <w:color w:val="231F20"/>
          <w:sz w:val="20"/>
        </w:rPr>
        <w:t>possible,</w:t>
      </w:r>
      <w:r>
        <w:rPr>
          <w:color w:val="231F20"/>
          <w:spacing w:val="-12"/>
          <w:sz w:val="20"/>
        </w:rPr>
        <w:t xml:space="preserve"> </w:t>
      </w:r>
      <w:r>
        <w:rPr>
          <w:color w:val="231F20"/>
          <w:sz w:val="20"/>
        </w:rPr>
        <w:t>especially</w:t>
      </w:r>
      <w:r>
        <w:rPr>
          <w:color w:val="231F20"/>
          <w:spacing w:val="-12"/>
          <w:sz w:val="20"/>
        </w:rPr>
        <w:t xml:space="preserve"> </w:t>
      </w:r>
      <w:r>
        <w:rPr>
          <w:color w:val="231F20"/>
          <w:sz w:val="20"/>
        </w:rPr>
        <w:t>where</w:t>
      </w:r>
      <w:r>
        <w:rPr>
          <w:color w:val="231F20"/>
          <w:spacing w:val="-11"/>
          <w:sz w:val="20"/>
        </w:rPr>
        <w:t xml:space="preserve"> </w:t>
      </w:r>
      <w:r>
        <w:rPr>
          <w:color w:val="231F20"/>
          <w:sz w:val="20"/>
        </w:rPr>
        <w:t>the</w:t>
      </w:r>
      <w:r>
        <w:rPr>
          <w:color w:val="231F20"/>
          <w:spacing w:val="-12"/>
          <w:sz w:val="20"/>
        </w:rPr>
        <w:t xml:space="preserve"> </w:t>
      </w:r>
      <w:r>
        <w:rPr>
          <w:color w:val="231F20"/>
          <w:sz w:val="20"/>
        </w:rPr>
        <w:t>identity</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1"/>
          <w:sz w:val="20"/>
        </w:rPr>
        <w:t xml:space="preserve"> </w:t>
      </w:r>
      <w:r>
        <w:rPr>
          <w:color w:val="231F20"/>
          <w:sz w:val="20"/>
        </w:rPr>
        <w:t>person cyberstalking is</w:t>
      </w:r>
      <w:r>
        <w:rPr>
          <w:color w:val="231F20"/>
          <w:spacing w:val="-9"/>
          <w:sz w:val="20"/>
        </w:rPr>
        <w:t xml:space="preserve"> </w:t>
      </w:r>
      <w:r>
        <w:rPr>
          <w:color w:val="231F20"/>
          <w:sz w:val="20"/>
        </w:rPr>
        <w:t>unknown.</w:t>
      </w:r>
      <w:r>
        <w:rPr>
          <w:color w:val="231F20"/>
          <w:position w:val="7"/>
          <w:sz w:val="11"/>
        </w:rPr>
        <w:t>97</w:t>
      </w:r>
    </w:p>
    <w:p w14:paraId="27DCF155" w14:textId="77777777" w:rsidR="00894070" w:rsidRDefault="009B7AFD">
      <w:pPr>
        <w:pStyle w:val="ListParagraph"/>
        <w:numPr>
          <w:ilvl w:val="1"/>
          <w:numId w:val="161"/>
        </w:numPr>
        <w:tabs>
          <w:tab w:val="left" w:pos="1801"/>
          <w:tab w:val="left" w:pos="1802"/>
        </w:tabs>
        <w:spacing w:before="87" w:line="206" w:lineRule="auto"/>
        <w:ind w:right="1631"/>
        <w:rPr>
          <w:sz w:val="11"/>
        </w:rPr>
      </w:pPr>
      <w:r>
        <w:rPr>
          <w:color w:val="231F20"/>
          <w:spacing w:val="-6"/>
          <w:sz w:val="20"/>
        </w:rPr>
        <w:t>We</w:t>
      </w:r>
      <w:r>
        <w:rPr>
          <w:color w:val="231F20"/>
          <w:spacing w:val="-11"/>
          <w:sz w:val="20"/>
        </w:rPr>
        <w:t xml:space="preserve"> </w:t>
      </w:r>
      <w:r>
        <w:rPr>
          <w:color w:val="231F20"/>
          <w:sz w:val="20"/>
        </w:rPr>
        <w:t>heard</w:t>
      </w:r>
      <w:r>
        <w:rPr>
          <w:color w:val="231F20"/>
          <w:spacing w:val="-11"/>
          <w:sz w:val="20"/>
        </w:rPr>
        <w:t xml:space="preserve"> </w:t>
      </w:r>
      <w:r>
        <w:rPr>
          <w:color w:val="231F20"/>
          <w:sz w:val="20"/>
        </w:rPr>
        <w:t>that</w:t>
      </w:r>
      <w:r>
        <w:rPr>
          <w:color w:val="231F20"/>
          <w:spacing w:val="-10"/>
          <w:sz w:val="20"/>
        </w:rPr>
        <w:t xml:space="preserve"> </w:t>
      </w:r>
      <w:r>
        <w:rPr>
          <w:color w:val="231F20"/>
          <w:sz w:val="20"/>
        </w:rPr>
        <w:t>some</w:t>
      </w:r>
      <w:r>
        <w:rPr>
          <w:color w:val="231F20"/>
          <w:spacing w:val="-11"/>
          <w:sz w:val="20"/>
        </w:rPr>
        <w:t xml:space="preserve"> </w:t>
      </w:r>
      <w:r>
        <w:rPr>
          <w:color w:val="231F20"/>
          <w:sz w:val="20"/>
        </w:rPr>
        <w:t>communities</w:t>
      </w:r>
      <w:r>
        <w:rPr>
          <w:color w:val="231F20"/>
          <w:spacing w:val="-10"/>
          <w:sz w:val="20"/>
        </w:rPr>
        <w:t xml:space="preserve"> </w:t>
      </w:r>
      <w:r>
        <w:rPr>
          <w:color w:val="231F20"/>
          <w:sz w:val="20"/>
        </w:rPr>
        <w:t>do</w:t>
      </w:r>
      <w:r>
        <w:rPr>
          <w:color w:val="231F20"/>
          <w:spacing w:val="-11"/>
          <w:sz w:val="20"/>
        </w:rPr>
        <w:t xml:space="preserve"> </w:t>
      </w:r>
      <w:r>
        <w:rPr>
          <w:color w:val="231F20"/>
          <w:sz w:val="20"/>
        </w:rPr>
        <w:t>not</w:t>
      </w:r>
      <w:r>
        <w:rPr>
          <w:color w:val="231F20"/>
          <w:spacing w:val="-10"/>
          <w:sz w:val="20"/>
        </w:rPr>
        <w:t xml:space="preserve"> </w:t>
      </w:r>
      <w:r>
        <w:rPr>
          <w:color w:val="231F20"/>
          <w:sz w:val="20"/>
        </w:rPr>
        <w:t>trust</w:t>
      </w:r>
      <w:r>
        <w:rPr>
          <w:color w:val="231F20"/>
          <w:spacing w:val="-11"/>
          <w:sz w:val="20"/>
        </w:rPr>
        <w:t xml:space="preserve"> </w:t>
      </w:r>
      <w:r>
        <w:rPr>
          <w:color w:val="231F20"/>
          <w:sz w:val="20"/>
        </w:rPr>
        <w:t>police,</w:t>
      </w:r>
      <w:r>
        <w:rPr>
          <w:color w:val="231F20"/>
          <w:spacing w:val="-10"/>
          <w:sz w:val="20"/>
        </w:rPr>
        <w:t xml:space="preserve"> </w:t>
      </w:r>
      <w:r>
        <w:rPr>
          <w:color w:val="231F20"/>
          <w:sz w:val="20"/>
        </w:rPr>
        <w:t>especially</w:t>
      </w:r>
      <w:r>
        <w:rPr>
          <w:color w:val="231F20"/>
          <w:spacing w:val="-11"/>
          <w:sz w:val="20"/>
        </w:rPr>
        <w:t xml:space="preserve"> </w:t>
      </w:r>
      <w:r>
        <w:rPr>
          <w:color w:val="231F20"/>
          <w:sz w:val="20"/>
        </w:rPr>
        <w:t>if</w:t>
      </w:r>
      <w:r>
        <w:rPr>
          <w:color w:val="231F20"/>
          <w:spacing w:val="-10"/>
          <w:sz w:val="20"/>
        </w:rPr>
        <w:t xml:space="preserve"> </w:t>
      </w:r>
      <w:r>
        <w:rPr>
          <w:color w:val="231F20"/>
          <w:sz w:val="20"/>
        </w:rPr>
        <w:t>they</w:t>
      </w:r>
      <w:r>
        <w:rPr>
          <w:color w:val="231F20"/>
          <w:spacing w:val="-11"/>
          <w:sz w:val="20"/>
        </w:rPr>
        <w:t xml:space="preserve"> </w:t>
      </w:r>
      <w:r>
        <w:rPr>
          <w:color w:val="231F20"/>
          <w:spacing w:val="-4"/>
          <w:sz w:val="20"/>
        </w:rPr>
        <w:t>have</w:t>
      </w:r>
      <w:r>
        <w:rPr>
          <w:color w:val="231F20"/>
          <w:spacing w:val="-10"/>
          <w:sz w:val="20"/>
        </w:rPr>
        <w:t xml:space="preserve"> </w:t>
      </w:r>
      <w:r>
        <w:rPr>
          <w:color w:val="231F20"/>
          <w:sz w:val="20"/>
        </w:rPr>
        <w:t>faced discrimination</w:t>
      </w:r>
      <w:r>
        <w:rPr>
          <w:color w:val="231F20"/>
          <w:spacing w:val="-7"/>
          <w:sz w:val="20"/>
        </w:rPr>
        <w:t xml:space="preserve"> </w:t>
      </w:r>
      <w:r>
        <w:rPr>
          <w:color w:val="231F20"/>
          <w:sz w:val="20"/>
        </w:rPr>
        <w:t>in</w:t>
      </w:r>
      <w:r>
        <w:rPr>
          <w:color w:val="231F20"/>
          <w:spacing w:val="-6"/>
          <w:sz w:val="20"/>
        </w:rPr>
        <w:t xml:space="preserve"> </w:t>
      </w:r>
      <w:r>
        <w:rPr>
          <w:color w:val="231F20"/>
          <w:sz w:val="20"/>
        </w:rPr>
        <w:t>the</w:t>
      </w:r>
      <w:r>
        <w:rPr>
          <w:color w:val="231F20"/>
          <w:spacing w:val="-7"/>
          <w:sz w:val="20"/>
        </w:rPr>
        <w:t xml:space="preserve"> </w:t>
      </w:r>
      <w:r>
        <w:rPr>
          <w:color w:val="231F20"/>
          <w:sz w:val="20"/>
        </w:rPr>
        <w:t>past,</w:t>
      </w:r>
      <w:r>
        <w:rPr>
          <w:color w:val="231F20"/>
          <w:spacing w:val="-6"/>
          <w:sz w:val="20"/>
        </w:rPr>
        <w:t xml:space="preserve"> </w:t>
      </w:r>
      <w:r>
        <w:rPr>
          <w:color w:val="231F20"/>
          <w:sz w:val="20"/>
        </w:rPr>
        <w:t>such</w:t>
      </w:r>
      <w:r>
        <w:rPr>
          <w:color w:val="231F20"/>
          <w:spacing w:val="-6"/>
          <w:sz w:val="20"/>
        </w:rPr>
        <w:t xml:space="preserve"> </w:t>
      </w:r>
      <w:r>
        <w:rPr>
          <w:color w:val="231F20"/>
          <w:sz w:val="20"/>
        </w:rPr>
        <w:t>as</w:t>
      </w:r>
      <w:r>
        <w:rPr>
          <w:color w:val="231F20"/>
          <w:spacing w:val="-7"/>
          <w:sz w:val="20"/>
        </w:rPr>
        <w:t xml:space="preserve"> </w:t>
      </w:r>
      <w:r>
        <w:rPr>
          <w:color w:val="231F20"/>
          <w:sz w:val="20"/>
        </w:rPr>
        <w:t>Aboriginal</w:t>
      </w:r>
      <w:r>
        <w:rPr>
          <w:color w:val="231F20"/>
          <w:spacing w:val="-6"/>
          <w:sz w:val="20"/>
        </w:rPr>
        <w:t xml:space="preserve"> </w:t>
      </w:r>
      <w:r>
        <w:rPr>
          <w:color w:val="231F20"/>
          <w:sz w:val="20"/>
        </w:rPr>
        <w:t>people</w:t>
      </w:r>
      <w:r>
        <w:rPr>
          <w:color w:val="231F20"/>
          <w:spacing w:val="-7"/>
          <w:sz w:val="20"/>
        </w:rPr>
        <w:t xml:space="preserve"> </w:t>
      </w:r>
      <w:r>
        <w:rPr>
          <w:color w:val="231F20"/>
          <w:sz w:val="20"/>
        </w:rPr>
        <w:t>and</w:t>
      </w:r>
      <w:r>
        <w:rPr>
          <w:color w:val="231F20"/>
          <w:spacing w:val="-6"/>
          <w:sz w:val="20"/>
        </w:rPr>
        <w:t xml:space="preserve"> </w:t>
      </w:r>
      <w:r>
        <w:rPr>
          <w:color w:val="231F20"/>
          <w:spacing w:val="-4"/>
          <w:sz w:val="20"/>
        </w:rPr>
        <w:t>LGBTIQA+</w:t>
      </w:r>
      <w:r>
        <w:rPr>
          <w:color w:val="231F20"/>
          <w:spacing w:val="-6"/>
          <w:sz w:val="20"/>
        </w:rPr>
        <w:t xml:space="preserve"> </w:t>
      </w:r>
      <w:r>
        <w:rPr>
          <w:color w:val="231F20"/>
          <w:sz w:val="20"/>
        </w:rPr>
        <w:t>people.</w:t>
      </w:r>
      <w:r>
        <w:rPr>
          <w:color w:val="231F20"/>
          <w:position w:val="7"/>
          <w:sz w:val="11"/>
        </w:rPr>
        <w:t>98</w:t>
      </w:r>
    </w:p>
    <w:p w14:paraId="6223151B" w14:textId="77777777" w:rsidR="00894070" w:rsidRDefault="00894070">
      <w:pPr>
        <w:pStyle w:val="BodyText"/>
        <w:spacing w:before="6"/>
        <w:rPr>
          <w:sz w:val="16"/>
        </w:rPr>
      </w:pPr>
    </w:p>
    <w:p w14:paraId="76ED94BB" w14:textId="77777777" w:rsidR="00894070" w:rsidRDefault="009B7AFD">
      <w:pPr>
        <w:pStyle w:val="Heading7"/>
      </w:pPr>
      <w:r>
        <w:rPr>
          <w:color w:val="EA5B50"/>
        </w:rPr>
        <w:t>There should be public education about cyberstalking</w:t>
      </w:r>
    </w:p>
    <w:p w14:paraId="136FC7AB" w14:textId="77777777" w:rsidR="00894070" w:rsidRDefault="009B7AFD">
      <w:pPr>
        <w:pStyle w:val="ListParagraph"/>
        <w:numPr>
          <w:ilvl w:val="1"/>
          <w:numId w:val="161"/>
        </w:numPr>
        <w:tabs>
          <w:tab w:val="left" w:pos="1801"/>
          <w:tab w:val="left" w:pos="1802"/>
        </w:tabs>
        <w:spacing w:before="146" w:line="206" w:lineRule="auto"/>
        <w:ind w:right="1200"/>
        <w:rPr>
          <w:sz w:val="11"/>
        </w:rPr>
      </w:pPr>
      <w:r>
        <w:rPr>
          <w:color w:val="231F20"/>
          <w:sz w:val="20"/>
        </w:rPr>
        <w:t xml:space="preserve">Lack of </w:t>
      </w:r>
      <w:r>
        <w:rPr>
          <w:color w:val="231F20"/>
          <w:spacing w:val="-3"/>
          <w:sz w:val="20"/>
        </w:rPr>
        <w:t xml:space="preserve">awareness </w:t>
      </w:r>
      <w:r>
        <w:rPr>
          <w:color w:val="231F20"/>
          <w:sz w:val="20"/>
        </w:rPr>
        <w:t xml:space="preserve">is a barrier to people seeking help </w:t>
      </w:r>
      <w:r>
        <w:rPr>
          <w:color w:val="231F20"/>
          <w:spacing w:val="-3"/>
          <w:sz w:val="20"/>
        </w:rPr>
        <w:t xml:space="preserve">for </w:t>
      </w:r>
      <w:r>
        <w:rPr>
          <w:color w:val="231F20"/>
          <w:sz w:val="20"/>
        </w:rPr>
        <w:t>cyberstalking. Many community</w:t>
      </w:r>
      <w:r>
        <w:rPr>
          <w:color w:val="231F20"/>
          <w:spacing w:val="-10"/>
          <w:sz w:val="20"/>
        </w:rPr>
        <w:t xml:space="preserve"> </w:t>
      </w:r>
      <w:r>
        <w:rPr>
          <w:color w:val="231F20"/>
          <w:sz w:val="20"/>
        </w:rPr>
        <w:t>members</w:t>
      </w:r>
      <w:r>
        <w:rPr>
          <w:color w:val="231F20"/>
          <w:spacing w:val="-9"/>
          <w:sz w:val="20"/>
        </w:rPr>
        <w:t xml:space="preserve"> </w:t>
      </w:r>
      <w:r>
        <w:rPr>
          <w:color w:val="231F20"/>
          <w:sz w:val="20"/>
        </w:rPr>
        <w:t>do</w:t>
      </w:r>
      <w:r>
        <w:rPr>
          <w:color w:val="231F20"/>
          <w:spacing w:val="-10"/>
          <w:sz w:val="20"/>
        </w:rPr>
        <w:t xml:space="preserve"> </w:t>
      </w:r>
      <w:r>
        <w:rPr>
          <w:color w:val="231F20"/>
          <w:sz w:val="20"/>
        </w:rPr>
        <w:t>not</w:t>
      </w:r>
      <w:r>
        <w:rPr>
          <w:color w:val="231F20"/>
          <w:spacing w:val="-9"/>
          <w:sz w:val="20"/>
        </w:rPr>
        <w:t xml:space="preserve"> </w:t>
      </w:r>
      <w:r>
        <w:rPr>
          <w:color w:val="231F20"/>
          <w:spacing w:val="-3"/>
          <w:sz w:val="20"/>
        </w:rPr>
        <w:t>know</w:t>
      </w:r>
      <w:r>
        <w:rPr>
          <w:color w:val="231F20"/>
          <w:spacing w:val="-9"/>
          <w:sz w:val="20"/>
        </w:rPr>
        <w:t xml:space="preserve"> </w:t>
      </w:r>
      <w:r>
        <w:rPr>
          <w:color w:val="231F20"/>
          <w:sz w:val="20"/>
        </w:rPr>
        <w:t>what</w:t>
      </w:r>
      <w:r>
        <w:rPr>
          <w:color w:val="231F20"/>
          <w:spacing w:val="-10"/>
          <w:sz w:val="20"/>
        </w:rPr>
        <w:t xml:space="preserve"> </w:t>
      </w:r>
      <w:r>
        <w:rPr>
          <w:color w:val="231F20"/>
          <w:sz w:val="20"/>
        </w:rPr>
        <w:t>cyberstalking</w:t>
      </w:r>
      <w:r>
        <w:rPr>
          <w:color w:val="231F20"/>
          <w:spacing w:val="-9"/>
          <w:sz w:val="20"/>
        </w:rPr>
        <w:t xml:space="preserve"> </w:t>
      </w:r>
      <w:r>
        <w:rPr>
          <w:color w:val="231F20"/>
          <w:sz w:val="20"/>
        </w:rPr>
        <w:t>is,</w:t>
      </w:r>
      <w:r>
        <w:rPr>
          <w:color w:val="231F20"/>
          <w:spacing w:val="-10"/>
          <w:sz w:val="20"/>
        </w:rPr>
        <w:t xml:space="preserve"> </w:t>
      </w:r>
      <w:r>
        <w:rPr>
          <w:color w:val="231F20"/>
          <w:spacing w:val="-3"/>
          <w:sz w:val="20"/>
        </w:rPr>
        <w:t>how</w:t>
      </w:r>
      <w:r>
        <w:rPr>
          <w:color w:val="231F20"/>
          <w:spacing w:val="-9"/>
          <w:sz w:val="20"/>
        </w:rPr>
        <w:t xml:space="preserve"> </w:t>
      </w:r>
      <w:r>
        <w:rPr>
          <w:color w:val="231F20"/>
          <w:sz w:val="20"/>
        </w:rPr>
        <w:t>it</w:t>
      </w:r>
      <w:r>
        <w:rPr>
          <w:color w:val="231F20"/>
          <w:spacing w:val="-9"/>
          <w:sz w:val="20"/>
        </w:rPr>
        <w:t xml:space="preserve"> </w:t>
      </w:r>
      <w:r>
        <w:rPr>
          <w:color w:val="231F20"/>
          <w:sz w:val="20"/>
        </w:rPr>
        <w:t>is</w:t>
      </w:r>
      <w:r>
        <w:rPr>
          <w:color w:val="231F20"/>
          <w:spacing w:val="-10"/>
          <w:sz w:val="20"/>
        </w:rPr>
        <w:t xml:space="preserve"> </w:t>
      </w:r>
      <w:r>
        <w:rPr>
          <w:color w:val="231F20"/>
          <w:sz w:val="20"/>
        </w:rPr>
        <w:t>committed,</w:t>
      </w:r>
      <w:r>
        <w:rPr>
          <w:color w:val="231F20"/>
          <w:spacing w:val="-9"/>
          <w:sz w:val="20"/>
        </w:rPr>
        <w:t xml:space="preserve"> </w:t>
      </w:r>
      <w:r>
        <w:rPr>
          <w:color w:val="231F20"/>
          <w:sz w:val="20"/>
        </w:rPr>
        <w:t>where</w:t>
      </w:r>
      <w:r>
        <w:rPr>
          <w:color w:val="231F20"/>
          <w:spacing w:val="-10"/>
          <w:sz w:val="20"/>
        </w:rPr>
        <w:t xml:space="preserve"> </w:t>
      </w:r>
      <w:r>
        <w:rPr>
          <w:color w:val="231F20"/>
          <w:sz w:val="20"/>
        </w:rPr>
        <w:t xml:space="preserve">to get help and </w:t>
      </w:r>
      <w:r>
        <w:rPr>
          <w:color w:val="231F20"/>
          <w:spacing w:val="-3"/>
          <w:sz w:val="20"/>
        </w:rPr>
        <w:t xml:space="preserve">how </w:t>
      </w:r>
      <w:r>
        <w:rPr>
          <w:color w:val="231F20"/>
          <w:sz w:val="20"/>
        </w:rPr>
        <w:t>to stay</w:t>
      </w:r>
      <w:r>
        <w:rPr>
          <w:color w:val="231F20"/>
          <w:spacing w:val="-22"/>
          <w:sz w:val="20"/>
        </w:rPr>
        <w:t xml:space="preserve"> </w:t>
      </w:r>
      <w:r>
        <w:rPr>
          <w:color w:val="231F20"/>
          <w:sz w:val="20"/>
        </w:rPr>
        <w:t>safe.</w:t>
      </w:r>
      <w:r>
        <w:rPr>
          <w:color w:val="231F20"/>
          <w:position w:val="7"/>
          <w:sz w:val="11"/>
        </w:rPr>
        <w:t>99</w:t>
      </w:r>
    </w:p>
    <w:p w14:paraId="424B96CE" w14:textId="77777777" w:rsidR="00894070" w:rsidRDefault="009B7AFD">
      <w:pPr>
        <w:pStyle w:val="ListParagraph"/>
        <w:numPr>
          <w:ilvl w:val="1"/>
          <w:numId w:val="161"/>
        </w:numPr>
        <w:tabs>
          <w:tab w:val="left" w:pos="1801"/>
          <w:tab w:val="left" w:pos="1802"/>
        </w:tabs>
        <w:spacing w:before="124" w:line="206" w:lineRule="auto"/>
        <w:ind w:right="1244"/>
        <w:rPr>
          <w:sz w:val="11"/>
        </w:rPr>
      </w:pPr>
      <w:r>
        <w:rPr>
          <w:color w:val="231F20"/>
          <w:sz w:val="20"/>
        </w:rPr>
        <w:t xml:space="preserve">In response to the question in our consultation </w:t>
      </w:r>
      <w:r>
        <w:rPr>
          <w:color w:val="231F20"/>
          <w:spacing w:val="-4"/>
          <w:sz w:val="20"/>
        </w:rPr>
        <w:t xml:space="preserve">paper, </w:t>
      </w:r>
      <w:r>
        <w:rPr>
          <w:color w:val="231F20"/>
          <w:sz w:val="20"/>
        </w:rPr>
        <w:t xml:space="preserve">‘If a person suspects that they </w:t>
      </w:r>
      <w:r>
        <w:rPr>
          <w:color w:val="231F20"/>
          <w:spacing w:val="-3"/>
          <w:sz w:val="20"/>
        </w:rPr>
        <w:t>are</w:t>
      </w:r>
      <w:r>
        <w:rPr>
          <w:color w:val="231F20"/>
          <w:spacing w:val="-10"/>
          <w:sz w:val="20"/>
        </w:rPr>
        <w:t xml:space="preserve"> </w:t>
      </w:r>
      <w:r>
        <w:rPr>
          <w:color w:val="231F20"/>
          <w:sz w:val="20"/>
        </w:rPr>
        <w:t>being</w:t>
      </w:r>
      <w:r>
        <w:rPr>
          <w:color w:val="231F20"/>
          <w:spacing w:val="-9"/>
          <w:sz w:val="20"/>
        </w:rPr>
        <w:t xml:space="preserve"> </w:t>
      </w:r>
      <w:r>
        <w:rPr>
          <w:color w:val="231F20"/>
          <w:spacing w:val="-3"/>
          <w:sz w:val="20"/>
        </w:rPr>
        <w:t>kept</w:t>
      </w:r>
      <w:r>
        <w:rPr>
          <w:color w:val="231F20"/>
          <w:spacing w:val="-9"/>
          <w:sz w:val="20"/>
        </w:rPr>
        <w:t xml:space="preserve"> </w:t>
      </w:r>
      <w:r>
        <w:rPr>
          <w:color w:val="231F20"/>
          <w:sz w:val="20"/>
        </w:rPr>
        <w:t>under</w:t>
      </w:r>
      <w:r>
        <w:rPr>
          <w:color w:val="231F20"/>
          <w:spacing w:val="-9"/>
          <w:sz w:val="20"/>
        </w:rPr>
        <w:t xml:space="preserve"> </w:t>
      </w:r>
      <w:r>
        <w:rPr>
          <w:color w:val="231F20"/>
          <w:sz w:val="20"/>
        </w:rPr>
        <w:t>surveillance</w:t>
      </w:r>
      <w:r>
        <w:rPr>
          <w:color w:val="231F20"/>
          <w:spacing w:val="-9"/>
          <w:sz w:val="20"/>
        </w:rPr>
        <w:t xml:space="preserve"> </w:t>
      </w:r>
      <w:r>
        <w:rPr>
          <w:color w:val="231F20"/>
          <w:sz w:val="20"/>
        </w:rPr>
        <w:t>using</w:t>
      </w:r>
      <w:r>
        <w:rPr>
          <w:color w:val="231F20"/>
          <w:spacing w:val="-9"/>
          <w:sz w:val="20"/>
        </w:rPr>
        <w:t xml:space="preserve"> </w:t>
      </w:r>
      <w:r>
        <w:rPr>
          <w:color w:val="231F20"/>
          <w:sz w:val="20"/>
        </w:rPr>
        <w:t>cyberstalking,</w:t>
      </w:r>
      <w:r>
        <w:rPr>
          <w:color w:val="231F20"/>
          <w:spacing w:val="-9"/>
          <w:sz w:val="20"/>
        </w:rPr>
        <w:t xml:space="preserve"> </w:t>
      </w:r>
      <w:r>
        <w:rPr>
          <w:color w:val="231F20"/>
          <w:sz w:val="20"/>
        </w:rPr>
        <w:t>what</w:t>
      </w:r>
      <w:r>
        <w:rPr>
          <w:color w:val="231F20"/>
          <w:spacing w:val="-9"/>
          <w:sz w:val="20"/>
        </w:rPr>
        <w:t xml:space="preserve"> </w:t>
      </w:r>
      <w:r>
        <w:rPr>
          <w:color w:val="231F20"/>
          <w:sz w:val="20"/>
        </w:rPr>
        <w:t>kind</w:t>
      </w:r>
      <w:r>
        <w:rPr>
          <w:color w:val="231F20"/>
          <w:spacing w:val="-9"/>
          <w:sz w:val="20"/>
        </w:rPr>
        <w:t xml:space="preserve"> </w:t>
      </w:r>
      <w:r>
        <w:rPr>
          <w:color w:val="231F20"/>
          <w:sz w:val="20"/>
        </w:rPr>
        <w:t>of</w:t>
      </w:r>
      <w:r>
        <w:rPr>
          <w:color w:val="231F20"/>
          <w:spacing w:val="-9"/>
          <w:sz w:val="20"/>
        </w:rPr>
        <w:t xml:space="preserve"> </w:t>
      </w:r>
      <w:r>
        <w:rPr>
          <w:color w:val="231F20"/>
          <w:sz w:val="20"/>
        </w:rPr>
        <w:t>help</w:t>
      </w:r>
      <w:r>
        <w:rPr>
          <w:color w:val="231F20"/>
          <w:spacing w:val="-9"/>
          <w:sz w:val="20"/>
        </w:rPr>
        <w:t xml:space="preserve"> </w:t>
      </w:r>
      <w:r>
        <w:rPr>
          <w:color w:val="231F20"/>
          <w:sz w:val="20"/>
        </w:rPr>
        <w:t>do</w:t>
      </w:r>
      <w:r>
        <w:rPr>
          <w:color w:val="231F20"/>
          <w:spacing w:val="-9"/>
          <w:sz w:val="20"/>
        </w:rPr>
        <w:t xml:space="preserve"> </w:t>
      </w:r>
      <w:r>
        <w:rPr>
          <w:color w:val="231F20"/>
          <w:sz w:val="20"/>
        </w:rPr>
        <w:t>they</w:t>
      </w:r>
      <w:r>
        <w:rPr>
          <w:color w:val="231F20"/>
          <w:spacing w:val="-9"/>
          <w:sz w:val="20"/>
        </w:rPr>
        <w:t xml:space="preserve"> </w:t>
      </w:r>
      <w:r>
        <w:rPr>
          <w:color w:val="231F20"/>
          <w:sz w:val="20"/>
        </w:rPr>
        <w:t>need to</w:t>
      </w:r>
      <w:r>
        <w:rPr>
          <w:color w:val="231F20"/>
          <w:spacing w:val="-10"/>
          <w:sz w:val="20"/>
        </w:rPr>
        <w:t xml:space="preserve"> </w:t>
      </w:r>
      <w:r>
        <w:rPr>
          <w:color w:val="231F20"/>
          <w:sz w:val="20"/>
        </w:rPr>
        <w:t>ensure</w:t>
      </w:r>
      <w:r>
        <w:rPr>
          <w:color w:val="231F20"/>
          <w:spacing w:val="-10"/>
          <w:sz w:val="20"/>
        </w:rPr>
        <w:t xml:space="preserve"> </w:t>
      </w:r>
      <w:r>
        <w:rPr>
          <w:color w:val="231F20"/>
          <w:sz w:val="20"/>
        </w:rPr>
        <w:t>that</w:t>
      </w:r>
      <w:r>
        <w:rPr>
          <w:color w:val="231F20"/>
          <w:spacing w:val="-9"/>
          <w:sz w:val="20"/>
        </w:rPr>
        <w:t xml:space="preserve"> </w:t>
      </w:r>
      <w:r>
        <w:rPr>
          <w:color w:val="231F20"/>
          <w:sz w:val="20"/>
        </w:rPr>
        <w:t>they</w:t>
      </w:r>
      <w:r>
        <w:rPr>
          <w:color w:val="231F20"/>
          <w:spacing w:val="-10"/>
          <w:sz w:val="20"/>
        </w:rPr>
        <w:t xml:space="preserve"> </w:t>
      </w:r>
      <w:r>
        <w:rPr>
          <w:color w:val="231F20"/>
          <w:spacing w:val="-3"/>
          <w:sz w:val="20"/>
        </w:rPr>
        <w:t>are</w:t>
      </w:r>
      <w:r>
        <w:rPr>
          <w:color w:val="231F20"/>
          <w:spacing w:val="-9"/>
          <w:sz w:val="20"/>
        </w:rPr>
        <w:t xml:space="preserve"> </w:t>
      </w:r>
      <w:r>
        <w:rPr>
          <w:color w:val="231F20"/>
          <w:spacing w:val="-4"/>
          <w:sz w:val="20"/>
        </w:rPr>
        <w:t>safe?’,</w:t>
      </w:r>
      <w:r>
        <w:rPr>
          <w:color w:val="231F20"/>
          <w:spacing w:val="-10"/>
          <w:sz w:val="20"/>
        </w:rPr>
        <w:t xml:space="preserve"> </w:t>
      </w:r>
      <w:r>
        <w:rPr>
          <w:color w:val="231F20"/>
          <w:sz w:val="20"/>
        </w:rPr>
        <w:t>one</w:t>
      </w:r>
      <w:r>
        <w:rPr>
          <w:color w:val="231F20"/>
          <w:spacing w:val="-9"/>
          <w:sz w:val="20"/>
        </w:rPr>
        <w:t xml:space="preserve"> </w:t>
      </w:r>
      <w:r>
        <w:rPr>
          <w:color w:val="231F20"/>
          <w:sz w:val="20"/>
        </w:rPr>
        <w:t>victim</w:t>
      </w:r>
      <w:r>
        <w:rPr>
          <w:color w:val="231F20"/>
          <w:spacing w:val="-10"/>
          <w:sz w:val="20"/>
        </w:rPr>
        <w:t xml:space="preserve"> </w:t>
      </w:r>
      <w:r>
        <w:rPr>
          <w:color w:val="231F20"/>
          <w:sz w:val="20"/>
        </w:rPr>
        <w:t>survivor</w:t>
      </w:r>
      <w:r>
        <w:rPr>
          <w:color w:val="231F20"/>
          <w:spacing w:val="-9"/>
          <w:sz w:val="20"/>
        </w:rPr>
        <w:t xml:space="preserve"> </w:t>
      </w:r>
      <w:r>
        <w:rPr>
          <w:color w:val="231F20"/>
          <w:sz w:val="20"/>
        </w:rPr>
        <w:t>replied,</w:t>
      </w:r>
      <w:r>
        <w:rPr>
          <w:color w:val="231F20"/>
          <w:spacing w:val="-10"/>
          <w:sz w:val="20"/>
        </w:rPr>
        <w:t xml:space="preserve"> </w:t>
      </w:r>
      <w:r>
        <w:rPr>
          <w:color w:val="231F20"/>
          <w:sz w:val="20"/>
        </w:rPr>
        <w:t>‘That</w:t>
      </w:r>
      <w:r>
        <w:rPr>
          <w:color w:val="231F20"/>
          <w:spacing w:val="-9"/>
          <w:sz w:val="20"/>
        </w:rPr>
        <w:t xml:space="preserve"> </w:t>
      </w:r>
      <w:r>
        <w:rPr>
          <w:color w:val="231F20"/>
          <w:sz w:val="20"/>
        </w:rPr>
        <w:t>is</w:t>
      </w:r>
      <w:r>
        <w:rPr>
          <w:color w:val="231F20"/>
          <w:spacing w:val="-10"/>
          <w:sz w:val="20"/>
        </w:rPr>
        <w:t xml:space="preserve"> </w:t>
      </w:r>
      <w:r>
        <w:rPr>
          <w:color w:val="231F20"/>
          <w:sz w:val="20"/>
        </w:rPr>
        <w:t>an</w:t>
      </w:r>
      <w:r>
        <w:rPr>
          <w:color w:val="231F20"/>
          <w:spacing w:val="-9"/>
          <w:sz w:val="20"/>
        </w:rPr>
        <w:t xml:space="preserve"> </w:t>
      </w:r>
      <w:r>
        <w:rPr>
          <w:color w:val="231F20"/>
          <w:spacing w:val="-3"/>
          <w:sz w:val="20"/>
        </w:rPr>
        <w:t>excellent</w:t>
      </w:r>
      <w:r>
        <w:rPr>
          <w:color w:val="231F20"/>
          <w:spacing w:val="-10"/>
          <w:sz w:val="20"/>
        </w:rPr>
        <w:t xml:space="preserve"> </w:t>
      </w:r>
      <w:r>
        <w:rPr>
          <w:color w:val="231F20"/>
          <w:sz w:val="20"/>
        </w:rPr>
        <w:t>question, and</w:t>
      </w:r>
      <w:r>
        <w:rPr>
          <w:color w:val="231F20"/>
          <w:spacing w:val="-4"/>
          <w:sz w:val="20"/>
        </w:rPr>
        <w:t xml:space="preserve"> </w:t>
      </w:r>
      <w:r>
        <w:rPr>
          <w:color w:val="231F20"/>
          <w:sz w:val="20"/>
        </w:rPr>
        <w:t>I</w:t>
      </w:r>
      <w:r>
        <w:rPr>
          <w:color w:val="231F20"/>
          <w:spacing w:val="-4"/>
          <w:sz w:val="20"/>
        </w:rPr>
        <w:t xml:space="preserve"> </w:t>
      </w:r>
      <w:r>
        <w:rPr>
          <w:color w:val="231F20"/>
          <w:sz w:val="20"/>
        </w:rPr>
        <w:t>wish</w:t>
      </w:r>
      <w:r>
        <w:rPr>
          <w:color w:val="231F20"/>
          <w:spacing w:val="-4"/>
          <w:sz w:val="20"/>
        </w:rPr>
        <w:t xml:space="preserve"> </w:t>
      </w:r>
      <w:r>
        <w:rPr>
          <w:color w:val="231F20"/>
          <w:sz w:val="20"/>
        </w:rPr>
        <w:t>I</w:t>
      </w:r>
      <w:r>
        <w:rPr>
          <w:color w:val="231F20"/>
          <w:spacing w:val="-4"/>
          <w:sz w:val="20"/>
        </w:rPr>
        <w:t xml:space="preserve"> </w:t>
      </w:r>
      <w:r>
        <w:rPr>
          <w:color w:val="231F20"/>
          <w:spacing w:val="-3"/>
          <w:sz w:val="20"/>
        </w:rPr>
        <w:t>[had]</w:t>
      </w:r>
      <w:r>
        <w:rPr>
          <w:color w:val="231F20"/>
          <w:spacing w:val="-4"/>
          <w:sz w:val="20"/>
        </w:rPr>
        <w:t xml:space="preserve"> </w:t>
      </w:r>
      <w:r>
        <w:rPr>
          <w:color w:val="231F20"/>
          <w:sz w:val="20"/>
        </w:rPr>
        <w:t>the</w:t>
      </w:r>
      <w:r>
        <w:rPr>
          <w:color w:val="231F20"/>
          <w:spacing w:val="-4"/>
          <w:sz w:val="20"/>
        </w:rPr>
        <w:t xml:space="preserve"> </w:t>
      </w:r>
      <w:r>
        <w:rPr>
          <w:color w:val="231F20"/>
          <w:sz w:val="20"/>
        </w:rPr>
        <w:t>answer</w:t>
      </w:r>
      <w:r>
        <w:rPr>
          <w:color w:val="231F20"/>
          <w:spacing w:val="-4"/>
          <w:sz w:val="20"/>
        </w:rPr>
        <w:t xml:space="preserve"> </w:t>
      </w:r>
      <w:r>
        <w:rPr>
          <w:color w:val="231F20"/>
          <w:spacing w:val="-3"/>
          <w:sz w:val="20"/>
        </w:rPr>
        <w:t>for</w:t>
      </w:r>
      <w:r>
        <w:rPr>
          <w:color w:val="231F20"/>
          <w:spacing w:val="-4"/>
          <w:sz w:val="20"/>
        </w:rPr>
        <w:t xml:space="preserve"> </w:t>
      </w:r>
      <w:r>
        <w:rPr>
          <w:color w:val="231F20"/>
          <w:sz w:val="20"/>
        </w:rPr>
        <w:t>it,</w:t>
      </w:r>
      <w:r>
        <w:rPr>
          <w:color w:val="231F20"/>
          <w:spacing w:val="-4"/>
          <w:sz w:val="20"/>
        </w:rPr>
        <w:t xml:space="preserve"> </w:t>
      </w:r>
      <w:r>
        <w:rPr>
          <w:color w:val="231F20"/>
          <w:sz w:val="20"/>
        </w:rPr>
        <w:t>so</w:t>
      </w:r>
      <w:r>
        <w:rPr>
          <w:color w:val="231F20"/>
          <w:spacing w:val="-4"/>
          <w:sz w:val="20"/>
        </w:rPr>
        <w:t xml:space="preserve"> </w:t>
      </w:r>
      <w:r>
        <w:rPr>
          <w:color w:val="231F20"/>
          <w:sz w:val="20"/>
        </w:rPr>
        <w:t>I</w:t>
      </w:r>
      <w:r>
        <w:rPr>
          <w:color w:val="231F20"/>
          <w:spacing w:val="-4"/>
          <w:sz w:val="20"/>
        </w:rPr>
        <w:t xml:space="preserve"> </w:t>
      </w:r>
      <w:r>
        <w:rPr>
          <w:color w:val="231F20"/>
          <w:sz w:val="20"/>
        </w:rPr>
        <w:t>can</w:t>
      </w:r>
      <w:r>
        <w:rPr>
          <w:color w:val="231F20"/>
          <w:spacing w:val="-4"/>
          <w:sz w:val="20"/>
        </w:rPr>
        <w:t xml:space="preserve"> </w:t>
      </w:r>
      <w:r>
        <w:rPr>
          <w:color w:val="231F20"/>
          <w:sz w:val="20"/>
        </w:rPr>
        <w:t>help</w:t>
      </w:r>
      <w:r>
        <w:rPr>
          <w:color w:val="231F20"/>
          <w:spacing w:val="-4"/>
          <w:sz w:val="20"/>
        </w:rPr>
        <w:t xml:space="preserve"> </w:t>
      </w:r>
      <w:r>
        <w:rPr>
          <w:color w:val="231F20"/>
          <w:spacing w:val="-3"/>
          <w:sz w:val="20"/>
        </w:rPr>
        <w:t>myself’.</w:t>
      </w:r>
      <w:r>
        <w:rPr>
          <w:color w:val="231F20"/>
          <w:spacing w:val="-3"/>
          <w:position w:val="7"/>
          <w:sz w:val="11"/>
        </w:rPr>
        <w:t>100</w:t>
      </w:r>
    </w:p>
    <w:p w14:paraId="68E532B4" w14:textId="77777777" w:rsidR="00894070" w:rsidRDefault="009B7AFD">
      <w:pPr>
        <w:pStyle w:val="ListParagraph"/>
        <w:numPr>
          <w:ilvl w:val="1"/>
          <w:numId w:val="161"/>
        </w:numPr>
        <w:tabs>
          <w:tab w:val="left" w:pos="1801"/>
          <w:tab w:val="left" w:pos="1802"/>
        </w:tabs>
        <w:spacing w:before="125" w:line="206" w:lineRule="auto"/>
        <w:ind w:right="1522"/>
        <w:rPr>
          <w:sz w:val="20"/>
        </w:rPr>
      </w:pPr>
      <w:r>
        <w:rPr>
          <w:color w:val="231F20"/>
          <w:sz w:val="20"/>
        </w:rPr>
        <w:t xml:space="preserve">In </w:t>
      </w:r>
      <w:r>
        <w:rPr>
          <w:color w:val="231F20"/>
          <w:spacing w:val="-3"/>
          <w:sz w:val="20"/>
        </w:rPr>
        <w:t xml:space="preserve">Chapter </w:t>
      </w:r>
      <w:r>
        <w:rPr>
          <w:color w:val="231F20"/>
          <w:sz w:val="20"/>
        </w:rPr>
        <w:t xml:space="preserve">4 </w:t>
      </w:r>
      <w:r>
        <w:rPr>
          <w:color w:val="231F20"/>
          <w:spacing w:val="-3"/>
          <w:sz w:val="20"/>
        </w:rPr>
        <w:t xml:space="preserve">we </w:t>
      </w:r>
      <w:r>
        <w:rPr>
          <w:color w:val="231F20"/>
          <w:sz w:val="20"/>
        </w:rPr>
        <w:t xml:space="preserve">discuss </w:t>
      </w:r>
      <w:r>
        <w:rPr>
          <w:color w:val="231F20"/>
          <w:spacing w:val="-3"/>
          <w:sz w:val="20"/>
        </w:rPr>
        <w:t xml:space="preserve">why </w:t>
      </w:r>
      <w:r>
        <w:rPr>
          <w:color w:val="231F20"/>
          <w:sz w:val="20"/>
        </w:rPr>
        <w:t>more education is needed on stalking, including cyberstalking,</w:t>
      </w:r>
      <w:r>
        <w:rPr>
          <w:color w:val="231F20"/>
          <w:spacing w:val="-10"/>
          <w:sz w:val="20"/>
        </w:rPr>
        <w:t xml:space="preserve"> </w:t>
      </w:r>
      <w:r>
        <w:rPr>
          <w:color w:val="231F20"/>
          <w:sz w:val="20"/>
        </w:rPr>
        <w:t>so</w:t>
      </w:r>
      <w:r>
        <w:rPr>
          <w:color w:val="231F20"/>
          <w:spacing w:val="-9"/>
          <w:sz w:val="20"/>
        </w:rPr>
        <w:t xml:space="preserve"> </w:t>
      </w:r>
      <w:r>
        <w:rPr>
          <w:color w:val="231F20"/>
          <w:sz w:val="20"/>
        </w:rPr>
        <w:t>that</w:t>
      </w:r>
      <w:r>
        <w:rPr>
          <w:color w:val="231F20"/>
          <w:spacing w:val="-10"/>
          <w:sz w:val="20"/>
        </w:rPr>
        <w:t xml:space="preserve"> </w:t>
      </w:r>
      <w:r>
        <w:rPr>
          <w:color w:val="231F20"/>
          <w:sz w:val="20"/>
        </w:rPr>
        <w:t>people</w:t>
      </w:r>
      <w:r>
        <w:rPr>
          <w:color w:val="231F20"/>
          <w:spacing w:val="-9"/>
          <w:sz w:val="20"/>
        </w:rPr>
        <w:t xml:space="preserve"> </w:t>
      </w:r>
      <w:r>
        <w:rPr>
          <w:color w:val="231F20"/>
          <w:sz w:val="20"/>
        </w:rPr>
        <w:t>who</w:t>
      </w:r>
      <w:r>
        <w:rPr>
          <w:color w:val="231F20"/>
          <w:spacing w:val="-10"/>
          <w:sz w:val="20"/>
        </w:rPr>
        <w:t xml:space="preserve"> </w:t>
      </w:r>
      <w:r>
        <w:rPr>
          <w:color w:val="231F20"/>
          <w:spacing w:val="-3"/>
          <w:sz w:val="20"/>
        </w:rPr>
        <w:t>are</w:t>
      </w:r>
      <w:r>
        <w:rPr>
          <w:color w:val="231F20"/>
          <w:spacing w:val="-9"/>
          <w:sz w:val="20"/>
        </w:rPr>
        <w:t xml:space="preserve"> </w:t>
      </w:r>
      <w:r>
        <w:rPr>
          <w:color w:val="231F20"/>
          <w:sz w:val="20"/>
        </w:rPr>
        <w:t>being</w:t>
      </w:r>
      <w:r>
        <w:rPr>
          <w:color w:val="231F20"/>
          <w:spacing w:val="-10"/>
          <w:sz w:val="20"/>
        </w:rPr>
        <w:t xml:space="preserve"> </w:t>
      </w:r>
      <w:r>
        <w:rPr>
          <w:color w:val="231F20"/>
          <w:sz w:val="20"/>
        </w:rPr>
        <w:t>harmed</w:t>
      </w:r>
      <w:r>
        <w:rPr>
          <w:color w:val="231F20"/>
          <w:spacing w:val="-9"/>
          <w:sz w:val="20"/>
        </w:rPr>
        <w:t xml:space="preserve"> </w:t>
      </w:r>
      <w:r>
        <w:rPr>
          <w:color w:val="231F20"/>
          <w:spacing w:val="-3"/>
          <w:sz w:val="20"/>
        </w:rPr>
        <w:t>by</w:t>
      </w:r>
      <w:r>
        <w:rPr>
          <w:color w:val="231F20"/>
          <w:spacing w:val="-10"/>
          <w:sz w:val="20"/>
        </w:rPr>
        <w:t xml:space="preserve"> </w:t>
      </w:r>
      <w:r>
        <w:rPr>
          <w:color w:val="231F20"/>
          <w:sz w:val="20"/>
        </w:rPr>
        <w:t>cyberstalking</w:t>
      </w:r>
      <w:r>
        <w:rPr>
          <w:color w:val="231F20"/>
          <w:spacing w:val="-9"/>
          <w:sz w:val="20"/>
        </w:rPr>
        <w:t xml:space="preserve"> </w:t>
      </w:r>
      <w:r>
        <w:rPr>
          <w:color w:val="231F20"/>
          <w:sz w:val="20"/>
        </w:rPr>
        <w:t>can</w:t>
      </w:r>
      <w:r>
        <w:rPr>
          <w:color w:val="231F20"/>
          <w:spacing w:val="-9"/>
          <w:sz w:val="20"/>
        </w:rPr>
        <w:t xml:space="preserve"> </w:t>
      </w:r>
      <w:r>
        <w:rPr>
          <w:color w:val="231F20"/>
          <w:sz w:val="20"/>
        </w:rPr>
        <w:t>speak</w:t>
      </w:r>
      <w:r>
        <w:rPr>
          <w:color w:val="231F20"/>
          <w:spacing w:val="-10"/>
          <w:sz w:val="20"/>
        </w:rPr>
        <w:t xml:space="preserve"> </w:t>
      </w:r>
      <w:r>
        <w:rPr>
          <w:color w:val="231F20"/>
          <w:sz w:val="20"/>
        </w:rPr>
        <w:t>up and seek support or</w:t>
      </w:r>
      <w:r>
        <w:rPr>
          <w:color w:val="231F20"/>
          <w:spacing w:val="-17"/>
          <w:sz w:val="20"/>
        </w:rPr>
        <w:t xml:space="preserve"> </w:t>
      </w:r>
      <w:r>
        <w:rPr>
          <w:color w:val="231F20"/>
          <w:sz w:val="20"/>
        </w:rPr>
        <w:t>justice.</w:t>
      </w:r>
    </w:p>
    <w:p w14:paraId="3BD70360" w14:textId="77777777" w:rsidR="00894070" w:rsidRDefault="00894070">
      <w:pPr>
        <w:pStyle w:val="BodyText"/>
      </w:pPr>
    </w:p>
    <w:p w14:paraId="42A94780" w14:textId="77777777" w:rsidR="00894070" w:rsidRDefault="009F6793">
      <w:pPr>
        <w:pStyle w:val="BodyText"/>
        <w:rPr>
          <w:sz w:val="15"/>
        </w:rPr>
      </w:pPr>
      <w:r>
        <w:pict w14:anchorId="1EBAC2AD">
          <v:line id="_x0000_s1580" style="position:absolute;z-index:251490304;mso-wrap-distance-left:0;mso-wrap-distance-right:0;mso-position-horizontal-relative:page" from="79.35pt,12.9pt" to="515.9pt,12.9pt" strokecolor="#f8cabc" strokeweight="1pt">
            <w10:wrap type="topAndBottom" anchorx="page"/>
          </v:line>
        </w:pict>
      </w:r>
    </w:p>
    <w:p w14:paraId="7328DA3B" w14:textId="77777777" w:rsidR="00894070" w:rsidRDefault="009B7AFD">
      <w:pPr>
        <w:pStyle w:val="ListParagraph"/>
        <w:numPr>
          <w:ilvl w:val="0"/>
          <w:numId w:val="153"/>
        </w:numPr>
        <w:tabs>
          <w:tab w:val="left" w:pos="1801"/>
          <w:tab w:val="left" w:pos="1802"/>
        </w:tabs>
        <w:spacing w:before="91" w:line="170" w:lineRule="exact"/>
        <w:rPr>
          <w:i/>
          <w:sz w:val="13"/>
        </w:rPr>
      </w:pP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Support Services</w:t>
      </w:r>
      <w:r>
        <w:rPr>
          <w:i/>
          <w:color w:val="231F20"/>
          <w:spacing w:val="18"/>
          <w:sz w:val="13"/>
        </w:rPr>
        <w:t xml:space="preserve"> </w:t>
      </w:r>
      <w:r>
        <w:rPr>
          <w:i/>
          <w:color w:val="231F20"/>
          <w:sz w:val="13"/>
        </w:rPr>
        <w:t>Stakeholders</w:t>
      </w:r>
    </w:p>
    <w:p w14:paraId="0148F662" w14:textId="77777777" w:rsidR="00894070" w:rsidRDefault="009B7AFD">
      <w:pPr>
        <w:spacing w:line="160" w:lineRule="exact"/>
        <w:ind w:left="1801"/>
        <w:rPr>
          <w:sz w:val="13"/>
        </w:rPr>
      </w:pPr>
      <w:r>
        <w:rPr>
          <w:color w:val="231F20"/>
          <w:sz w:val="13"/>
        </w:rPr>
        <w:t>(Research Report No 2, ANROWS, July 2021) 5.</w:t>
      </w:r>
    </w:p>
    <w:p w14:paraId="6720C545" w14:textId="77777777" w:rsidR="00894070" w:rsidRDefault="009B7AFD">
      <w:pPr>
        <w:pStyle w:val="ListParagraph"/>
        <w:numPr>
          <w:ilvl w:val="0"/>
          <w:numId w:val="153"/>
        </w:numPr>
        <w:tabs>
          <w:tab w:val="left" w:pos="1801"/>
          <w:tab w:val="left" w:pos="1802"/>
        </w:tabs>
        <w:spacing w:line="160"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(Consultation Paper, June 2021) </w:t>
      </w:r>
      <w:r>
        <w:rPr>
          <w:color w:val="231F20"/>
          <w:spacing w:val="2"/>
          <w:sz w:val="13"/>
        </w:rPr>
        <w:t>Question</w:t>
      </w:r>
      <w:r>
        <w:rPr>
          <w:color w:val="231F20"/>
          <w:spacing w:val="4"/>
          <w:sz w:val="13"/>
        </w:rPr>
        <w:t xml:space="preserve"> </w:t>
      </w:r>
      <w:r>
        <w:rPr>
          <w:color w:val="231F20"/>
          <w:sz w:val="13"/>
        </w:rPr>
        <w:t>28.</w:t>
      </w:r>
    </w:p>
    <w:p w14:paraId="6F3CE6B2" w14:textId="77777777" w:rsidR="00894070" w:rsidRDefault="009B7AFD">
      <w:pPr>
        <w:pStyle w:val="ListParagraph"/>
        <w:numPr>
          <w:ilvl w:val="0"/>
          <w:numId w:val="153"/>
        </w:numPr>
        <w:tabs>
          <w:tab w:val="left" w:pos="1801"/>
          <w:tab w:val="left" w:pos="1802"/>
        </w:tabs>
        <w:spacing w:line="160" w:lineRule="exact"/>
        <w:rPr>
          <w:sz w:val="13"/>
        </w:rPr>
      </w:pPr>
      <w:r>
        <w:rPr>
          <w:color w:val="231F20"/>
          <w:spacing w:val="2"/>
          <w:sz w:val="13"/>
        </w:rPr>
        <w:t xml:space="preserve">Submissions </w:t>
      </w:r>
      <w:r>
        <w:rPr>
          <w:color w:val="231F20"/>
          <w:sz w:val="13"/>
        </w:rPr>
        <w:t>41 (</w:t>
      </w:r>
      <w:proofErr w:type="spellStart"/>
      <w:r>
        <w:rPr>
          <w:color w:val="231F20"/>
          <w:sz w:val="13"/>
        </w:rPr>
        <w:t>Djirra</w:t>
      </w:r>
      <w:proofErr w:type="spellEnd"/>
      <w:r>
        <w:rPr>
          <w:color w:val="231F20"/>
          <w:sz w:val="13"/>
        </w:rPr>
        <w:t>), 98 (Law Institute of Victoria).</w:t>
      </w:r>
    </w:p>
    <w:p w14:paraId="0E6B1EEC" w14:textId="77777777" w:rsidR="00894070" w:rsidRDefault="009B7AFD">
      <w:pPr>
        <w:pStyle w:val="ListParagraph"/>
        <w:numPr>
          <w:ilvl w:val="0"/>
          <w:numId w:val="153"/>
        </w:numPr>
        <w:tabs>
          <w:tab w:val="left" w:pos="1800"/>
          <w:tab w:val="left" w:pos="1802"/>
        </w:tabs>
        <w:spacing w:line="160" w:lineRule="exact"/>
        <w:rPr>
          <w:sz w:val="13"/>
        </w:rPr>
      </w:pPr>
      <w:r>
        <w:rPr>
          <w:color w:val="231F20"/>
          <w:sz w:val="13"/>
        </w:rPr>
        <w:t xml:space="preserve">Consultation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w:t>
      </w:r>
      <w:r>
        <w:rPr>
          <w:color w:val="231F20"/>
          <w:spacing w:val="6"/>
          <w:sz w:val="13"/>
        </w:rPr>
        <w:t xml:space="preserve"> </w:t>
      </w:r>
      <w:r>
        <w:rPr>
          <w:color w:val="231F20"/>
          <w:sz w:val="13"/>
        </w:rPr>
        <w:t>Victoria).</w:t>
      </w:r>
    </w:p>
    <w:p w14:paraId="3E8DF8B6" w14:textId="77777777" w:rsidR="00894070" w:rsidRDefault="009B7AFD">
      <w:pPr>
        <w:pStyle w:val="ListParagraph"/>
        <w:numPr>
          <w:ilvl w:val="0"/>
          <w:numId w:val="153"/>
        </w:numPr>
        <w:tabs>
          <w:tab w:val="left" w:pos="1801"/>
          <w:tab w:val="left" w:pos="1802"/>
        </w:tabs>
        <w:spacing w:line="160" w:lineRule="exact"/>
        <w:rPr>
          <w:sz w:val="13"/>
        </w:rPr>
      </w:pPr>
      <w:r>
        <w:rPr>
          <w:color w:val="231F20"/>
          <w:spacing w:val="2"/>
          <w:sz w:val="13"/>
        </w:rPr>
        <w:t xml:space="preserve">Submission </w:t>
      </w:r>
      <w:r>
        <w:rPr>
          <w:color w:val="231F20"/>
          <w:sz w:val="13"/>
        </w:rPr>
        <w:t>41</w:t>
      </w:r>
      <w:r>
        <w:rPr>
          <w:color w:val="231F20"/>
          <w:spacing w:val="-3"/>
          <w:sz w:val="13"/>
        </w:rPr>
        <w:t xml:space="preserve"> </w:t>
      </w:r>
      <w:r>
        <w:rPr>
          <w:color w:val="231F20"/>
          <w:sz w:val="13"/>
        </w:rPr>
        <w:t>(</w:t>
      </w:r>
      <w:proofErr w:type="spellStart"/>
      <w:r>
        <w:rPr>
          <w:color w:val="231F20"/>
          <w:sz w:val="13"/>
        </w:rPr>
        <w:t>Djirra</w:t>
      </w:r>
      <w:proofErr w:type="spellEnd"/>
      <w:r>
        <w:rPr>
          <w:color w:val="231F20"/>
          <w:sz w:val="13"/>
        </w:rPr>
        <w:t>).</w:t>
      </w:r>
    </w:p>
    <w:p w14:paraId="678B21B3" w14:textId="77777777" w:rsidR="00894070" w:rsidRDefault="009B7AFD">
      <w:pPr>
        <w:pStyle w:val="ListParagraph"/>
        <w:numPr>
          <w:ilvl w:val="0"/>
          <w:numId w:val="153"/>
        </w:numPr>
        <w:tabs>
          <w:tab w:val="left" w:pos="1800"/>
          <w:tab w:val="left" w:pos="1802"/>
        </w:tabs>
        <w:spacing w:line="160" w:lineRule="exact"/>
        <w:rPr>
          <w:sz w:val="13"/>
        </w:rPr>
      </w:pPr>
      <w:r>
        <w:rPr>
          <w:color w:val="231F20"/>
          <w:sz w:val="13"/>
        </w:rPr>
        <w:t xml:space="preserve">Consultation 29 </w:t>
      </w:r>
      <w:r>
        <w:rPr>
          <w:color w:val="231F20"/>
          <w:spacing w:val="2"/>
          <w:sz w:val="13"/>
        </w:rPr>
        <w:t xml:space="preserve">(Alannah </w:t>
      </w:r>
      <w:r>
        <w:rPr>
          <w:color w:val="231F20"/>
          <w:sz w:val="13"/>
        </w:rPr>
        <w:t>&amp; Madeline</w:t>
      </w:r>
      <w:r>
        <w:rPr>
          <w:color w:val="231F20"/>
          <w:spacing w:val="-1"/>
          <w:sz w:val="13"/>
        </w:rPr>
        <w:t xml:space="preserve"> </w:t>
      </w:r>
      <w:r>
        <w:rPr>
          <w:color w:val="231F20"/>
          <w:sz w:val="13"/>
        </w:rPr>
        <w:t>Foundation</w:t>
      </w:r>
      <w:proofErr w:type="gramStart"/>
      <w:r>
        <w:rPr>
          <w:color w:val="231F20"/>
          <w:sz w:val="13"/>
        </w:rPr>
        <w:t>)..</w:t>
      </w:r>
      <w:proofErr w:type="gramEnd"/>
    </w:p>
    <w:p w14:paraId="5F98CA15" w14:textId="77777777" w:rsidR="00894070" w:rsidRDefault="009B7AFD">
      <w:pPr>
        <w:pStyle w:val="ListParagraph"/>
        <w:numPr>
          <w:ilvl w:val="0"/>
          <w:numId w:val="153"/>
        </w:numPr>
        <w:tabs>
          <w:tab w:val="left" w:pos="1801"/>
          <w:tab w:val="left" w:pos="1802"/>
        </w:tabs>
        <w:spacing w:line="160" w:lineRule="exact"/>
        <w:rPr>
          <w:sz w:val="13"/>
        </w:rPr>
      </w:pPr>
      <w:proofErr w:type="gramStart"/>
      <w:r>
        <w:rPr>
          <w:color w:val="231F20"/>
          <w:sz w:val="13"/>
        </w:rPr>
        <w:t>Ibid;</w:t>
      </w:r>
      <w:proofErr w:type="gramEnd"/>
      <w:r>
        <w:rPr>
          <w:color w:val="231F20"/>
          <w:sz w:val="13"/>
        </w:rPr>
        <w:t xml:space="preserve"> Consultation 28 (Victorian Pride</w:t>
      </w:r>
      <w:r>
        <w:rPr>
          <w:color w:val="231F20"/>
          <w:spacing w:val="1"/>
          <w:sz w:val="13"/>
        </w:rPr>
        <w:t xml:space="preserve"> </w:t>
      </w:r>
      <w:r>
        <w:rPr>
          <w:color w:val="231F20"/>
          <w:sz w:val="13"/>
        </w:rPr>
        <w:t>Lobby).</w:t>
      </w:r>
    </w:p>
    <w:p w14:paraId="038D83B7" w14:textId="77777777" w:rsidR="00894070" w:rsidRDefault="009B7AFD">
      <w:pPr>
        <w:pStyle w:val="ListParagraph"/>
        <w:numPr>
          <w:ilvl w:val="0"/>
          <w:numId w:val="153"/>
        </w:numPr>
        <w:tabs>
          <w:tab w:val="left" w:pos="1800"/>
          <w:tab w:val="left" w:pos="1802"/>
        </w:tabs>
        <w:spacing w:line="160" w:lineRule="exact"/>
        <w:rPr>
          <w:sz w:val="13"/>
        </w:rPr>
      </w:pPr>
      <w:r>
        <w:rPr>
          <w:color w:val="231F20"/>
          <w:spacing w:val="2"/>
          <w:sz w:val="13"/>
        </w:rPr>
        <w:t xml:space="preserve">Submission </w:t>
      </w:r>
      <w:r>
        <w:rPr>
          <w:color w:val="231F20"/>
          <w:sz w:val="13"/>
        </w:rPr>
        <w:t xml:space="preserve">104 </w:t>
      </w:r>
      <w:r>
        <w:rPr>
          <w:color w:val="231F20"/>
          <w:spacing w:val="2"/>
          <w:sz w:val="13"/>
        </w:rPr>
        <w:t xml:space="preserve">(Alannah </w:t>
      </w:r>
      <w:r>
        <w:rPr>
          <w:color w:val="231F20"/>
          <w:sz w:val="13"/>
        </w:rPr>
        <w:t>and Madeline Foundation); Consultation 10 (Victorian Aboriginal Legal</w:t>
      </w:r>
      <w:r>
        <w:rPr>
          <w:color w:val="231F20"/>
          <w:spacing w:val="11"/>
          <w:sz w:val="13"/>
        </w:rPr>
        <w:t xml:space="preserve"> </w:t>
      </w:r>
      <w:r>
        <w:rPr>
          <w:color w:val="231F20"/>
          <w:sz w:val="13"/>
        </w:rPr>
        <w:t>Service).</w:t>
      </w:r>
    </w:p>
    <w:p w14:paraId="6702AF29" w14:textId="77777777" w:rsidR="00894070" w:rsidRDefault="009B7AFD">
      <w:pPr>
        <w:pStyle w:val="ListParagraph"/>
        <w:numPr>
          <w:ilvl w:val="0"/>
          <w:numId w:val="153"/>
        </w:numPr>
        <w:tabs>
          <w:tab w:val="left" w:pos="1801"/>
          <w:tab w:val="left" w:pos="1802"/>
        </w:tabs>
        <w:spacing w:before="6" w:line="213" w:lineRule="auto"/>
        <w:ind w:right="1349"/>
        <w:rPr>
          <w:sz w:val="13"/>
        </w:rPr>
      </w:pPr>
      <w:r>
        <w:rPr>
          <w:color w:val="231F20"/>
          <w:sz w:val="13"/>
        </w:rPr>
        <w:t xml:space="preserve">Consultation 23 </w:t>
      </w:r>
      <w:r>
        <w:rPr>
          <w:color w:val="231F20"/>
          <w:spacing w:val="2"/>
          <w:sz w:val="13"/>
        </w:rPr>
        <w:t xml:space="preserve">(Cyberstalking </w:t>
      </w:r>
      <w:r>
        <w:rPr>
          <w:color w:val="231F20"/>
          <w:sz w:val="13"/>
        </w:rPr>
        <w:t xml:space="preserve">roundtable); </w:t>
      </w: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w:t>
      </w:r>
      <w:proofErr w:type="spellStart"/>
      <w:r>
        <w:rPr>
          <w:color w:val="231F20"/>
          <w:sz w:val="13"/>
        </w:rPr>
        <w:t>Hindes</w:t>
      </w:r>
      <w:proofErr w:type="spellEnd"/>
      <w:r>
        <w:rPr>
          <w:color w:val="231F20"/>
          <w:sz w:val="13"/>
        </w:rPr>
        <w:t xml:space="preserve">, </w:t>
      </w:r>
      <w:r>
        <w:rPr>
          <w:i/>
          <w:color w:val="231F20"/>
          <w:sz w:val="13"/>
        </w:rPr>
        <w:t xml:space="preserve">Technology-Facilitated Abuse: A Survey of </w:t>
      </w:r>
      <w:r>
        <w:rPr>
          <w:i/>
          <w:color w:val="231F20"/>
          <w:spacing w:val="2"/>
          <w:sz w:val="13"/>
        </w:rPr>
        <w:t xml:space="preserve">Support Services </w:t>
      </w:r>
      <w:r>
        <w:rPr>
          <w:i/>
          <w:color w:val="231F20"/>
          <w:sz w:val="13"/>
        </w:rPr>
        <w:t xml:space="preserve">Stakeholders </w:t>
      </w:r>
      <w:r>
        <w:rPr>
          <w:color w:val="231F20"/>
          <w:sz w:val="13"/>
        </w:rPr>
        <w:t xml:space="preserve">(Research </w:t>
      </w:r>
      <w:r>
        <w:rPr>
          <w:color w:val="231F20"/>
          <w:spacing w:val="2"/>
          <w:sz w:val="13"/>
        </w:rPr>
        <w:t xml:space="preserve">Report </w:t>
      </w:r>
      <w:r>
        <w:rPr>
          <w:color w:val="231F20"/>
          <w:sz w:val="13"/>
        </w:rPr>
        <w:t>No 2, ANROWS, July 2021)</w:t>
      </w:r>
      <w:r>
        <w:rPr>
          <w:color w:val="231F20"/>
          <w:spacing w:val="5"/>
          <w:sz w:val="13"/>
        </w:rPr>
        <w:t xml:space="preserve"> </w:t>
      </w:r>
      <w:r>
        <w:rPr>
          <w:color w:val="231F20"/>
          <w:spacing w:val="2"/>
          <w:sz w:val="13"/>
        </w:rPr>
        <w:t>13–14.</w:t>
      </w:r>
    </w:p>
    <w:p w14:paraId="6D06B420" w14:textId="77777777" w:rsidR="00894070" w:rsidRDefault="009B7AFD">
      <w:pPr>
        <w:pStyle w:val="ListParagraph"/>
        <w:numPr>
          <w:ilvl w:val="0"/>
          <w:numId w:val="153"/>
        </w:numPr>
        <w:tabs>
          <w:tab w:val="left" w:pos="1801"/>
          <w:tab w:val="left" w:pos="1802"/>
        </w:tabs>
        <w:spacing w:line="153" w:lineRule="exact"/>
        <w:rPr>
          <w:sz w:val="13"/>
        </w:rPr>
      </w:pPr>
      <w:r>
        <w:rPr>
          <w:color w:val="231F20"/>
          <w:spacing w:val="2"/>
          <w:sz w:val="13"/>
        </w:rPr>
        <w:t xml:space="preserve">Submission </w:t>
      </w:r>
      <w:r>
        <w:rPr>
          <w:color w:val="231F20"/>
          <w:sz w:val="13"/>
        </w:rPr>
        <w:t>98 (Law Institute of</w:t>
      </w:r>
      <w:r>
        <w:rPr>
          <w:color w:val="231F20"/>
          <w:spacing w:val="-2"/>
          <w:sz w:val="13"/>
        </w:rPr>
        <w:t xml:space="preserve"> </w:t>
      </w:r>
      <w:r>
        <w:rPr>
          <w:color w:val="231F20"/>
          <w:sz w:val="13"/>
        </w:rPr>
        <w:t>Victoria).</w:t>
      </w:r>
    </w:p>
    <w:p w14:paraId="35390F9C" w14:textId="77777777" w:rsidR="00894070" w:rsidRDefault="009B7AFD">
      <w:pPr>
        <w:pStyle w:val="ListParagraph"/>
        <w:numPr>
          <w:ilvl w:val="0"/>
          <w:numId w:val="153"/>
        </w:numPr>
        <w:tabs>
          <w:tab w:val="left" w:pos="1801"/>
          <w:tab w:val="left" w:pos="1802"/>
        </w:tabs>
        <w:spacing w:before="6" w:line="213" w:lineRule="auto"/>
        <w:ind w:right="1167"/>
        <w:rPr>
          <w:sz w:val="13"/>
        </w:rPr>
      </w:pPr>
      <w:r>
        <w:rPr>
          <w:color w:val="231F20"/>
          <w:sz w:val="13"/>
        </w:rPr>
        <w:t>Consultations 8 (</w:t>
      </w:r>
      <w:proofErr w:type="spellStart"/>
      <w:r>
        <w:rPr>
          <w:color w:val="231F20"/>
          <w:sz w:val="13"/>
        </w:rPr>
        <w:t>eSafety</w:t>
      </w:r>
      <w:proofErr w:type="spellEnd"/>
      <w:r>
        <w:rPr>
          <w:color w:val="231F20"/>
          <w:sz w:val="13"/>
        </w:rPr>
        <w:t xml:space="preserve"> Commissioner), 10 (Victorian Aboriginal Legal Service), 23 </w:t>
      </w:r>
      <w:r>
        <w:rPr>
          <w:color w:val="231F20"/>
          <w:spacing w:val="2"/>
          <w:sz w:val="13"/>
        </w:rPr>
        <w:t xml:space="preserve">(Cyberstalking </w:t>
      </w:r>
      <w:r>
        <w:rPr>
          <w:color w:val="231F20"/>
          <w:sz w:val="13"/>
        </w:rPr>
        <w:t>roundtable), 28 (Victorian Pride Lobby).</w:t>
      </w:r>
    </w:p>
    <w:p w14:paraId="6918A15F" w14:textId="77777777" w:rsidR="00894070" w:rsidRDefault="009F6793">
      <w:pPr>
        <w:pStyle w:val="ListParagraph"/>
        <w:numPr>
          <w:ilvl w:val="0"/>
          <w:numId w:val="153"/>
        </w:numPr>
        <w:tabs>
          <w:tab w:val="left" w:pos="1801"/>
          <w:tab w:val="left" w:pos="1802"/>
        </w:tabs>
        <w:spacing w:line="213" w:lineRule="auto"/>
        <w:ind w:right="1807"/>
        <w:rPr>
          <w:sz w:val="13"/>
        </w:rPr>
      </w:pPr>
      <w:r>
        <w:pict w14:anchorId="7DCB1FF1">
          <v:shape id="_x0000_s1579" type="#_x0000_t202" style="position:absolute;left:0;text-align:left;margin-left:549.25pt;margin-top:11.4pt;width:12.65pt;height:14.1pt;z-index:251564032;mso-position-horizontal-relative:page" filled="f" stroked="f">
            <v:textbox inset="0,0,0,0">
              <w:txbxContent>
                <w:p w14:paraId="6857B431" w14:textId="77777777" w:rsidR="00894070" w:rsidRDefault="009B7AFD">
                  <w:pPr>
                    <w:spacing w:line="282" w:lineRule="exact"/>
                    <w:rPr>
                      <w:b/>
                      <w:sz w:val="24"/>
                    </w:rPr>
                  </w:pPr>
                  <w:r>
                    <w:rPr>
                      <w:b/>
                      <w:color w:val="EA5B50"/>
                      <w:spacing w:val="-2"/>
                      <w:sz w:val="24"/>
                    </w:rPr>
                    <w:t>41</w:t>
                  </w:r>
                </w:p>
              </w:txbxContent>
            </v:textbox>
            <w10:wrap anchorx="page"/>
          </v:shape>
        </w:pict>
      </w:r>
      <w:r w:rsidR="009B7AFD">
        <w:rPr>
          <w:color w:val="231F20"/>
          <w:spacing w:val="2"/>
          <w:sz w:val="13"/>
        </w:rPr>
        <w:t xml:space="preserve">Submissions </w:t>
      </w:r>
      <w:r w:rsidR="009B7AFD">
        <w:rPr>
          <w:color w:val="231F20"/>
          <w:sz w:val="13"/>
        </w:rPr>
        <w:t>41 (</w:t>
      </w:r>
      <w:proofErr w:type="spellStart"/>
      <w:r w:rsidR="009B7AFD">
        <w:rPr>
          <w:color w:val="231F20"/>
          <w:sz w:val="13"/>
        </w:rPr>
        <w:t>Djirra</w:t>
      </w:r>
      <w:proofErr w:type="spellEnd"/>
      <w:r w:rsidR="009B7AFD">
        <w:rPr>
          <w:color w:val="231F20"/>
          <w:sz w:val="13"/>
        </w:rPr>
        <w:t xml:space="preserve">), 98 (Law Institute of Victoria), 104 </w:t>
      </w:r>
      <w:r w:rsidR="009B7AFD">
        <w:rPr>
          <w:color w:val="231F20"/>
          <w:spacing w:val="2"/>
          <w:sz w:val="13"/>
        </w:rPr>
        <w:t xml:space="preserve">(Alannah </w:t>
      </w:r>
      <w:r w:rsidR="009B7AFD">
        <w:rPr>
          <w:color w:val="231F20"/>
          <w:sz w:val="13"/>
        </w:rPr>
        <w:t>and Madeline Foundation); Consultation 10 (Victorian Aboriginal Legal Service).</w:t>
      </w:r>
    </w:p>
    <w:p w14:paraId="70F3A136" w14:textId="77777777" w:rsidR="00894070" w:rsidRDefault="009B7AFD">
      <w:pPr>
        <w:pStyle w:val="ListParagraph"/>
        <w:numPr>
          <w:ilvl w:val="0"/>
          <w:numId w:val="153"/>
        </w:numPr>
        <w:tabs>
          <w:tab w:val="left" w:pos="1800"/>
          <w:tab w:val="left" w:pos="1802"/>
        </w:tabs>
        <w:spacing w:line="163" w:lineRule="exact"/>
        <w:rPr>
          <w:sz w:val="13"/>
        </w:rPr>
      </w:pPr>
      <w:r>
        <w:rPr>
          <w:color w:val="231F20"/>
          <w:spacing w:val="2"/>
          <w:sz w:val="13"/>
        </w:rPr>
        <w:t xml:space="preserve">Submission </w:t>
      </w:r>
      <w:r>
        <w:rPr>
          <w:color w:val="231F20"/>
          <w:sz w:val="13"/>
        </w:rPr>
        <w:t xml:space="preserve">36 </w:t>
      </w:r>
      <w:r>
        <w:rPr>
          <w:color w:val="231F20"/>
          <w:spacing w:val="2"/>
          <w:sz w:val="13"/>
        </w:rPr>
        <w:t>(Ahmad</w:t>
      </w:r>
      <w:r>
        <w:rPr>
          <w:color w:val="231F20"/>
          <w:spacing w:val="-3"/>
          <w:sz w:val="13"/>
        </w:rPr>
        <w:t xml:space="preserve"> </w:t>
      </w:r>
      <w:proofErr w:type="spellStart"/>
      <w:r>
        <w:rPr>
          <w:color w:val="231F20"/>
          <w:sz w:val="13"/>
        </w:rPr>
        <w:t>Masri</w:t>
      </w:r>
      <w:proofErr w:type="spellEnd"/>
      <w:r>
        <w:rPr>
          <w:color w:val="231F20"/>
          <w:sz w:val="13"/>
        </w:rPr>
        <w:t>).</w:t>
      </w:r>
    </w:p>
    <w:p w14:paraId="4D7C7D71" w14:textId="77777777" w:rsidR="00894070" w:rsidRDefault="00894070">
      <w:pPr>
        <w:spacing w:line="163" w:lineRule="exact"/>
        <w:rPr>
          <w:sz w:val="13"/>
        </w:rPr>
        <w:sectPr w:rsidR="00894070">
          <w:pgSz w:w="11910" w:h="16840"/>
          <w:pgMar w:top="840" w:right="420" w:bottom="280" w:left="580" w:header="0" w:footer="0" w:gutter="0"/>
          <w:cols w:space="720"/>
        </w:sectPr>
      </w:pPr>
    </w:p>
    <w:p w14:paraId="3BE53663" w14:textId="77777777" w:rsidR="00894070" w:rsidRDefault="00894070">
      <w:pPr>
        <w:pStyle w:val="BodyText"/>
      </w:pPr>
    </w:p>
    <w:p w14:paraId="636441BD" w14:textId="77777777" w:rsidR="00894070" w:rsidRDefault="00894070">
      <w:pPr>
        <w:pStyle w:val="BodyText"/>
      </w:pPr>
    </w:p>
    <w:p w14:paraId="183ADE55" w14:textId="77777777" w:rsidR="00894070" w:rsidRDefault="00894070">
      <w:pPr>
        <w:pStyle w:val="BodyText"/>
      </w:pPr>
    </w:p>
    <w:p w14:paraId="25702139" w14:textId="77777777" w:rsidR="00894070" w:rsidRDefault="009B7AFD">
      <w:pPr>
        <w:pStyle w:val="Heading8"/>
        <w:spacing w:before="220"/>
        <w:ind w:left="1007"/>
      </w:pPr>
      <w:bookmarkStart w:id="60" w:name="_bookmark30"/>
      <w:bookmarkEnd w:id="60"/>
      <w:r>
        <w:rPr>
          <w:color w:val="231F20"/>
        </w:rPr>
        <w:t>What information about cyberstalking is important?</w:t>
      </w:r>
    </w:p>
    <w:p w14:paraId="59B73FFA" w14:textId="77777777" w:rsidR="00894070" w:rsidRDefault="009B7AFD">
      <w:pPr>
        <w:pStyle w:val="ListParagraph"/>
        <w:numPr>
          <w:ilvl w:val="1"/>
          <w:numId w:val="161"/>
        </w:numPr>
        <w:tabs>
          <w:tab w:val="left" w:pos="1801"/>
          <w:tab w:val="left" w:pos="1802"/>
        </w:tabs>
        <w:spacing w:before="127" w:line="206" w:lineRule="auto"/>
        <w:ind w:right="1555"/>
        <w:rPr>
          <w:sz w:val="11"/>
        </w:rPr>
      </w:pPr>
      <w:r>
        <w:rPr>
          <w:color w:val="231F20"/>
          <w:sz w:val="20"/>
        </w:rPr>
        <w:t xml:space="preserve">In </w:t>
      </w:r>
      <w:r>
        <w:rPr>
          <w:color w:val="231F20"/>
          <w:spacing w:val="-3"/>
          <w:sz w:val="20"/>
        </w:rPr>
        <w:t xml:space="preserve">Chapter </w:t>
      </w:r>
      <w:r>
        <w:rPr>
          <w:color w:val="231F20"/>
          <w:sz w:val="20"/>
        </w:rPr>
        <w:t xml:space="preserve">4 </w:t>
      </w:r>
      <w:r>
        <w:rPr>
          <w:color w:val="231F20"/>
          <w:spacing w:val="-3"/>
          <w:sz w:val="20"/>
        </w:rPr>
        <w:t xml:space="preserve">we </w:t>
      </w:r>
      <w:r>
        <w:rPr>
          <w:color w:val="231F20"/>
          <w:sz w:val="20"/>
        </w:rPr>
        <w:t xml:space="preserve">outline information about stalking that should become common </w:t>
      </w:r>
      <w:r>
        <w:rPr>
          <w:color w:val="231F20"/>
          <w:spacing w:val="-3"/>
          <w:sz w:val="20"/>
        </w:rPr>
        <w:t xml:space="preserve">knowledge, </w:t>
      </w:r>
      <w:r>
        <w:rPr>
          <w:color w:val="231F20"/>
          <w:sz w:val="20"/>
        </w:rPr>
        <w:t>which should include information about cyberstalking. People should be</w:t>
      </w:r>
      <w:r>
        <w:rPr>
          <w:color w:val="231F20"/>
          <w:spacing w:val="-9"/>
          <w:sz w:val="20"/>
        </w:rPr>
        <w:t xml:space="preserve"> </w:t>
      </w:r>
      <w:r>
        <w:rPr>
          <w:color w:val="231F20"/>
          <w:sz w:val="20"/>
        </w:rPr>
        <w:t>able</w:t>
      </w:r>
      <w:r>
        <w:rPr>
          <w:color w:val="231F20"/>
          <w:spacing w:val="-9"/>
          <w:sz w:val="20"/>
        </w:rPr>
        <w:t xml:space="preserve"> </w:t>
      </w:r>
      <w:r>
        <w:rPr>
          <w:color w:val="231F20"/>
          <w:sz w:val="20"/>
        </w:rPr>
        <w:t>to</w:t>
      </w:r>
      <w:r>
        <w:rPr>
          <w:color w:val="231F20"/>
          <w:spacing w:val="-8"/>
          <w:sz w:val="20"/>
        </w:rPr>
        <w:t xml:space="preserve"> </w:t>
      </w:r>
      <w:r>
        <w:rPr>
          <w:color w:val="231F20"/>
          <w:sz w:val="20"/>
        </w:rPr>
        <w:t>identify</w:t>
      </w:r>
      <w:r>
        <w:rPr>
          <w:color w:val="231F20"/>
          <w:spacing w:val="-9"/>
          <w:sz w:val="20"/>
        </w:rPr>
        <w:t xml:space="preserve"> </w:t>
      </w:r>
      <w:r>
        <w:rPr>
          <w:color w:val="231F20"/>
          <w:sz w:val="20"/>
        </w:rPr>
        <w:t>cyberstalking</w:t>
      </w:r>
      <w:r>
        <w:rPr>
          <w:color w:val="231F20"/>
          <w:spacing w:val="-8"/>
          <w:sz w:val="20"/>
        </w:rPr>
        <w:t xml:space="preserve"> </w:t>
      </w:r>
      <w:r>
        <w:rPr>
          <w:color w:val="231F20"/>
          <w:sz w:val="20"/>
        </w:rPr>
        <w:t>as</w:t>
      </w:r>
      <w:r>
        <w:rPr>
          <w:color w:val="231F20"/>
          <w:spacing w:val="-9"/>
          <w:sz w:val="20"/>
        </w:rPr>
        <w:t xml:space="preserve"> </w:t>
      </w:r>
      <w:r>
        <w:rPr>
          <w:color w:val="231F20"/>
          <w:sz w:val="20"/>
        </w:rPr>
        <w:t>a</w:t>
      </w:r>
      <w:r>
        <w:rPr>
          <w:color w:val="231F20"/>
          <w:spacing w:val="-8"/>
          <w:sz w:val="20"/>
        </w:rPr>
        <w:t xml:space="preserve"> </w:t>
      </w:r>
      <w:r>
        <w:rPr>
          <w:color w:val="231F20"/>
          <w:sz w:val="20"/>
        </w:rPr>
        <w:t>crime,</w:t>
      </w:r>
      <w:r>
        <w:rPr>
          <w:color w:val="231F20"/>
          <w:spacing w:val="-9"/>
          <w:sz w:val="20"/>
        </w:rPr>
        <w:t xml:space="preserve"> </w:t>
      </w:r>
      <w:r>
        <w:rPr>
          <w:color w:val="231F20"/>
          <w:spacing w:val="-3"/>
          <w:sz w:val="20"/>
        </w:rPr>
        <w:t>know</w:t>
      </w:r>
      <w:r>
        <w:rPr>
          <w:color w:val="231F20"/>
          <w:spacing w:val="-9"/>
          <w:sz w:val="20"/>
        </w:rPr>
        <w:t xml:space="preserve"> </w:t>
      </w:r>
      <w:r>
        <w:rPr>
          <w:color w:val="231F20"/>
          <w:spacing w:val="-3"/>
          <w:sz w:val="20"/>
        </w:rPr>
        <w:t>how</w:t>
      </w:r>
      <w:r>
        <w:rPr>
          <w:color w:val="231F20"/>
          <w:spacing w:val="-8"/>
          <w:sz w:val="20"/>
        </w:rPr>
        <w:t xml:space="preserve"> </w:t>
      </w:r>
      <w:r>
        <w:rPr>
          <w:color w:val="231F20"/>
          <w:sz w:val="20"/>
        </w:rPr>
        <w:t>to</w:t>
      </w:r>
      <w:r>
        <w:rPr>
          <w:color w:val="231F20"/>
          <w:spacing w:val="-9"/>
          <w:sz w:val="20"/>
        </w:rPr>
        <w:t xml:space="preserve"> </w:t>
      </w:r>
      <w:r>
        <w:rPr>
          <w:color w:val="231F20"/>
          <w:sz w:val="20"/>
        </w:rPr>
        <w:t>report</w:t>
      </w:r>
      <w:r>
        <w:rPr>
          <w:color w:val="231F20"/>
          <w:spacing w:val="-8"/>
          <w:sz w:val="20"/>
        </w:rPr>
        <w:t xml:space="preserve"> </w:t>
      </w:r>
      <w:r>
        <w:rPr>
          <w:color w:val="231F20"/>
          <w:sz w:val="20"/>
        </w:rPr>
        <w:t>it</w:t>
      </w:r>
      <w:r>
        <w:rPr>
          <w:color w:val="231F20"/>
          <w:spacing w:val="-9"/>
          <w:sz w:val="20"/>
        </w:rPr>
        <w:t xml:space="preserve"> </w:t>
      </w:r>
      <w:r>
        <w:rPr>
          <w:color w:val="231F20"/>
          <w:sz w:val="20"/>
        </w:rPr>
        <w:t>to</w:t>
      </w:r>
      <w:r>
        <w:rPr>
          <w:color w:val="231F20"/>
          <w:spacing w:val="-8"/>
          <w:sz w:val="20"/>
        </w:rPr>
        <w:t xml:space="preserve"> </w:t>
      </w:r>
      <w:r>
        <w:rPr>
          <w:color w:val="231F20"/>
          <w:sz w:val="20"/>
        </w:rPr>
        <w:t>the</w:t>
      </w:r>
      <w:r>
        <w:rPr>
          <w:color w:val="231F20"/>
          <w:spacing w:val="-9"/>
          <w:sz w:val="20"/>
        </w:rPr>
        <w:t xml:space="preserve"> </w:t>
      </w:r>
      <w:r>
        <w:rPr>
          <w:color w:val="231F20"/>
          <w:sz w:val="20"/>
        </w:rPr>
        <w:t>police,</w:t>
      </w:r>
      <w:r>
        <w:rPr>
          <w:color w:val="231F20"/>
          <w:spacing w:val="-8"/>
          <w:sz w:val="20"/>
        </w:rPr>
        <w:t xml:space="preserve"> </w:t>
      </w:r>
      <w:r>
        <w:rPr>
          <w:color w:val="231F20"/>
          <w:sz w:val="20"/>
        </w:rPr>
        <w:t>and understand where else they can seek</w:t>
      </w:r>
      <w:r>
        <w:rPr>
          <w:color w:val="231F20"/>
          <w:spacing w:val="-26"/>
          <w:sz w:val="20"/>
        </w:rPr>
        <w:t xml:space="preserve"> </w:t>
      </w:r>
      <w:r>
        <w:rPr>
          <w:color w:val="231F20"/>
          <w:sz w:val="20"/>
        </w:rPr>
        <w:t>help.</w:t>
      </w:r>
      <w:r>
        <w:rPr>
          <w:color w:val="231F20"/>
          <w:position w:val="7"/>
          <w:sz w:val="11"/>
        </w:rPr>
        <w:t>101</w:t>
      </w:r>
    </w:p>
    <w:p w14:paraId="661E4378" w14:textId="77777777" w:rsidR="00894070" w:rsidRDefault="009B7AFD">
      <w:pPr>
        <w:pStyle w:val="ListParagraph"/>
        <w:numPr>
          <w:ilvl w:val="1"/>
          <w:numId w:val="161"/>
        </w:numPr>
        <w:tabs>
          <w:tab w:val="left" w:pos="1801"/>
          <w:tab w:val="left" w:pos="1802"/>
        </w:tabs>
        <w:spacing w:before="125" w:line="206" w:lineRule="auto"/>
        <w:ind w:right="1291"/>
        <w:rPr>
          <w:sz w:val="20"/>
        </w:rPr>
      </w:pPr>
      <w:r>
        <w:rPr>
          <w:color w:val="231F20"/>
          <w:spacing w:val="-3"/>
          <w:sz w:val="20"/>
        </w:rPr>
        <w:t xml:space="preserve">Information </w:t>
      </w:r>
      <w:r>
        <w:rPr>
          <w:color w:val="231F20"/>
          <w:sz w:val="20"/>
        </w:rPr>
        <w:t xml:space="preserve">on the support and justice options </w:t>
      </w:r>
      <w:r>
        <w:rPr>
          <w:color w:val="231F20"/>
          <w:spacing w:val="-3"/>
          <w:sz w:val="20"/>
        </w:rPr>
        <w:t xml:space="preserve">for </w:t>
      </w:r>
      <w:r>
        <w:rPr>
          <w:color w:val="231F20"/>
          <w:sz w:val="20"/>
        </w:rPr>
        <w:t xml:space="preserve">people who </w:t>
      </w:r>
      <w:r>
        <w:rPr>
          <w:color w:val="231F20"/>
          <w:spacing w:val="-3"/>
          <w:sz w:val="20"/>
        </w:rPr>
        <w:t xml:space="preserve">are </w:t>
      </w:r>
      <w:r>
        <w:rPr>
          <w:color w:val="231F20"/>
          <w:sz w:val="20"/>
        </w:rPr>
        <w:t>stalked, and what steps</w:t>
      </w:r>
      <w:r>
        <w:rPr>
          <w:color w:val="231F20"/>
          <w:spacing w:val="-12"/>
          <w:sz w:val="20"/>
        </w:rPr>
        <w:t xml:space="preserve"> </w:t>
      </w:r>
      <w:r>
        <w:rPr>
          <w:color w:val="231F20"/>
          <w:sz w:val="20"/>
        </w:rPr>
        <w:t>they</w:t>
      </w:r>
      <w:r>
        <w:rPr>
          <w:color w:val="231F20"/>
          <w:spacing w:val="-12"/>
          <w:sz w:val="20"/>
        </w:rPr>
        <w:t xml:space="preserve"> </w:t>
      </w:r>
      <w:r>
        <w:rPr>
          <w:color w:val="231F20"/>
          <w:sz w:val="20"/>
        </w:rPr>
        <w:t>can</w:t>
      </w:r>
      <w:r>
        <w:rPr>
          <w:color w:val="231F20"/>
          <w:spacing w:val="-11"/>
          <w:sz w:val="20"/>
        </w:rPr>
        <w:t xml:space="preserve"> </w:t>
      </w:r>
      <w:r>
        <w:rPr>
          <w:color w:val="231F20"/>
          <w:spacing w:val="-3"/>
          <w:sz w:val="20"/>
        </w:rPr>
        <w:t>take,</w:t>
      </w:r>
      <w:r>
        <w:rPr>
          <w:color w:val="231F20"/>
          <w:spacing w:val="-12"/>
          <w:sz w:val="20"/>
        </w:rPr>
        <w:t xml:space="preserve"> </w:t>
      </w:r>
      <w:r>
        <w:rPr>
          <w:color w:val="231F20"/>
          <w:sz w:val="20"/>
        </w:rPr>
        <w:t>should</w:t>
      </w:r>
      <w:r>
        <w:rPr>
          <w:color w:val="231F20"/>
          <w:spacing w:val="-11"/>
          <w:sz w:val="20"/>
        </w:rPr>
        <w:t xml:space="preserve"> </w:t>
      </w:r>
      <w:r>
        <w:rPr>
          <w:color w:val="231F20"/>
          <w:sz w:val="20"/>
        </w:rPr>
        <w:t>include</w:t>
      </w:r>
      <w:r>
        <w:rPr>
          <w:color w:val="231F20"/>
          <w:spacing w:val="-12"/>
          <w:sz w:val="20"/>
        </w:rPr>
        <w:t xml:space="preserve"> </w:t>
      </w:r>
      <w:r>
        <w:rPr>
          <w:color w:val="231F20"/>
          <w:sz w:val="20"/>
        </w:rPr>
        <w:t>options</w:t>
      </w:r>
      <w:r>
        <w:rPr>
          <w:color w:val="231F20"/>
          <w:spacing w:val="-12"/>
          <w:sz w:val="20"/>
        </w:rPr>
        <w:t xml:space="preserve"> </w:t>
      </w:r>
      <w:r>
        <w:rPr>
          <w:color w:val="231F20"/>
          <w:sz w:val="20"/>
        </w:rPr>
        <w:t>specific</w:t>
      </w:r>
      <w:r>
        <w:rPr>
          <w:color w:val="231F20"/>
          <w:spacing w:val="-11"/>
          <w:sz w:val="20"/>
        </w:rPr>
        <w:t xml:space="preserve"> </w:t>
      </w:r>
      <w:r>
        <w:rPr>
          <w:color w:val="231F20"/>
          <w:sz w:val="20"/>
        </w:rPr>
        <w:t>to</w:t>
      </w:r>
      <w:r>
        <w:rPr>
          <w:color w:val="231F20"/>
          <w:spacing w:val="-12"/>
          <w:sz w:val="20"/>
        </w:rPr>
        <w:t xml:space="preserve"> </w:t>
      </w:r>
      <w:r>
        <w:rPr>
          <w:color w:val="231F20"/>
          <w:sz w:val="20"/>
        </w:rPr>
        <w:t>cyberstalking,</w:t>
      </w:r>
      <w:r>
        <w:rPr>
          <w:color w:val="231F20"/>
          <w:position w:val="7"/>
          <w:sz w:val="11"/>
        </w:rPr>
        <w:t>102</w:t>
      </w:r>
      <w:r>
        <w:rPr>
          <w:color w:val="231F20"/>
          <w:spacing w:val="12"/>
          <w:position w:val="7"/>
          <w:sz w:val="11"/>
        </w:rPr>
        <w:t xml:space="preserve"> </w:t>
      </w:r>
      <w:r>
        <w:rPr>
          <w:color w:val="231F20"/>
          <w:sz w:val="20"/>
        </w:rPr>
        <w:t>including</w:t>
      </w:r>
      <w:r>
        <w:rPr>
          <w:color w:val="231F20"/>
          <w:spacing w:val="-11"/>
          <w:sz w:val="20"/>
        </w:rPr>
        <w:t xml:space="preserve"> </w:t>
      </w:r>
      <w:r>
        <w:rPr>
          <w:color w:val="231F20"/>
          <w:spacing w:val="-4"/>
          <w:sz w:val="20"/>
        </w:rPr>
        <w:t xml:space="preserve">ways </w:t>
      </w:r>
      <w:r>
        <w:rPr>
          <w:color w:val="231F20"/>
          <w:sz w:val="20"/>
        </w:rPr>
        <w:t xml:space="preserve">to </w:t>
      </w:r>
      <w:r>
        <w:rPr>
          <w:color w:val="231F20"/>
          <w:spacing w:val="-3"/>
          <w:sz w:val="20"/>
        </w:rPr>
        <w:t xml:space="preserve">self-help. </w:t>
      </w:r>
      <w:r>
        <w:rPr>
          <w:color w:val="231F20"/>
          <w:sz w:val="20"/>
        </w:rPr>
        <w:t>As one person who experienced stalking</w:t>
      </w:r>
      <w:r>
        <w:rPr>
          <w:color w:val="231F20"/>
          <w:spacing w:val="-35"/>
          <w:sz w:val="20"/>
        </w:rPr>
        <w:t xml:space="preserve"> </w:t>
      </w:r>
      <w:r>
        <w:rPr>
          <w:color w:val="231F20"/>
          <w:spacing w:val="-3"/>
          <w:sz w:val="20"/>
        </w:rPr>
        <w:t xml:space="preserve">told </w:t>
      </w:r>
      <w:r>
        <w:rPr>
          <w:color w:val="231F20"/>
          <w:sz w:val="20"/>
        </w:rPr>
        <w:t>us:</w:t>
      </w:r>
    </w:p>
    <w:p w14:paraId="320F30C8" w14:textId="77777777" w:rsidR="00894070" w:rsidRDefault="009F6793">
      <w:pPr>
        <w:pStyle w:val="BodyText"/>
        <w:spacing w:before="8"/>
        <w:rPr>
          <w:sz w:val="23"/>
        </w:rPr>
      </w:pPr>
      <w:r>
        <w:pict w14:anchorId="74954A1F">
          <v:shape id="_x0000_s1578" type="#_x0000_t202" style="position:absolute;margin-left:119.3pt;margin-top:18.55pt;width:396.35pt;height:68.1pt;z-index:251492352;mso-wrap-distance-left:0;mso-wrap-distance-right:0;mso-position-horizontal-relative:page" fillcolor="#fee7de" strokecolor="#ea5b50" strokeweight=".5pt">
            <v:textbox inset="0,0,0,0">
              <w:txbxContent>
                <w:p w14:paraId="6BE00AF6" w14:textId="77777777" w:rsidR="00894070" w:rsidRDefault="00894070">
                  <w:pPr>
                    <w:pStyle w:val="BodyText"/>
                    <w:spacing w:before="3"/>
                    <w:rPr>
                      <w:sz w:val="15"/>
                    </w:rPr>
                  </w:pPr>
                </w:p>
                <w:p w14:paraId="0D116593" w14:textId="77777777" w:rsidR="00894070" w:rsidRDefault="009B7AFD">
                  <w:pPr>
                    <w:pStyle w:val="BodyText"/>
                    <w:spacing w:line="206" w:lineRule="auto"/>
                    <w:ind w:left="221" w:right="217"/>
                    <w:rPr>
                      <w:sz w:val="11"/>
                    </w:rPr>
                  </w:pPr>
                  <w:r>
                    <w:rPr>
                      <w:color w:val="231F20"/>
                    </w:rPr>
                    <w:t xml:space="preserve">Another thing I would find hugely helpful is to </w:t>
                  </w:r>
                  <w:r>
                    <w:rPr>
                      <w:color w:val="231F20"/>
                      <w:spacing w:val="-3"/>
                    </w:rPr>
                    <w:t xml:space="preserve">have </w:t>
                  </w:r>
                  <w:r>
                    <w:rPr>
                      <w:color w:val="231F20"/>
                    </w:rPr>
                    <w:t>information made available on the net on how to determine if spyware has been attached to your phone and how</w:t>
                  </w:r>
                  <w:r>
                    <w:rPr>
                      <w:color w:val="231F20"/>
                      <w:spacing w:val="-5"/>
                    </w:rPr>
                    <w:t xml:space="preserve"> </w:t>
                  </w:r>
                  <w:r>
                    <w:rPr>
                      <w:color w:val="231F20"/>
                    </w:rPr>
                    <w:t>to</w:t>
                  </w:r>
                  <w:r>
                    <w:rPr>
                      <w:color w:val="231F20"/>
                      <w:spacing w:val="-4"/>
                    </w:rPr>
                    <w:t xml:space="preserve"> </w:t>
                  </w:r>
                  <w:r>
                    <w:rPr>
                      <w:color w:val="231F20"/>
                    </w:rPr>
                    <w:t>disable</w:t>
                  </w:r>
                  <w:r>
                    <w:rPr>
                      <w:color w:val="231F20"/>
                      <w:spacing w:val="-5"/>
                    </w:rPr>
                    <w:t xml:space="preserve"> </w:t>
                  </w:r>
                  <w:r>
                    <w:rPr>
                      <w:color w:val="231F20"/>
                    </w:rPr>
                    <w:t>it</w:t>
                  </w:r>
                  <w:r>
                    <w:rPr>
                      <w:color w:val="231F20"/>
                      <w:spacing w:val="-4"/>
                    </w:rPr>
                    <w:t xml:space="preserve"> </w:t>
                  </w:r>
                  <w:r>
                    <w:rPr>
                      <w:color w:val="231F20"/>
                    </w:rPr>
                    <w:t>if</w:t>
                  </w:r>
                  <w:r>
                    <w:rPr>
                      <w:color w:val="231F20"/>
                      <w:spacing w:val="-5"/>
                    </w:rPr>
                    <w:t xml:space="preserve"> </w:t>
                  </w:r>
                  <w:r>
                    <w:rPr>
                      <w:color w:val="231F20"/>
                    </w:rPr>
                    <w:t>so.</w:t>
                  </w:r>
                  <w:r>
                    <w:rPr>
                      <w:color w:val="231F20"/>
                      <w:spacing w:val="-4"/>
                    </w:rPr>
                    <w:t xml:space="preserve"> </w:t>
                  </w:r>
                  <w:r>
                    <w:rPr>
                      <w:color w:val="231F20"/>
                    </w:rPr>
                    <w:t>How</w:t>
                  </w:r>
                  <w:r>
                    <w:rPr>
                      <w:color w:val="231F20"/>
                      <w:spacing w:val="-4"/>
                    </w:rPr>
                    <w:t xml:space="preserve"> </w:t>
                  </w:r>
                  <w:r>
                    <w:rPr>
                      <w:color w:val="231F20"/>
                    </w:rPr>
                    <w:t>can</w:t>
                  </w:r>
                  <w:r>
                    <w:rPr>
                      <w:color w:val="231F20"/>
                      <w:spacing w:val="-5"/>
                    </w:rPr>
                    <w:t xml:space="preserve"> </w:t>
                  </w:r>
                  <w:r>
                    <w:rPr>
                      <w:color w:val="231F20"/>
                    </w:rPr>
                    <w:t>you</w:t>
                  </w:r>
                  <w:r>
                    <w:rPr>
                      <w:color w:val="231F20"/>
                      <w:spacing w:val="-4"/>
                    </w:rPr>
                    <w:t xml:space="preserve"> </w:t>
                  </w:r>
                  <w:r>
                    <w:rPr>
                      <w:color w:val="231F20"/>
                      <w:spacing w:val="-3"/>
                    </w:rPr>
                    <w:t>prove</w:t>
                  </w:r>
                  <w:r>
                    <w:rPr>
                      <w:color w:val="231F20"/>
                      <w:spacing w:val="-5"/>
                    </w:rPr>
                    <w:t xml:space="preserve"> </w:t>
                  </w:r>
                  <w:r>
                    <w:rPr>
                      <w:color w:val="231F20"/>
                    </w:rPr>
                    <w:t>that</w:t>
                  </w:r>
                  <w:r>
                    <w:rPr>
                      <w:color w:val="231F20"/>
                      <w:spacing w:val="-4"/>
                    </w:rPr>
                    <w:t xml:space="preserve"> </w:t>
                  </w:r>
                  <w:r>
                    <w:rPr>
                      <w:color w:val="231F20"/>
                    </w:rPr>
                    <w:t>your</w:t>
                  </w:r>
                  <w:r>
                    <w:rPr>
                      <w:color w:val="231F20"/>
                      <w:spacing w:val="-4"/>
                    </w:rPr>
                    <w:t xml:space="preserve"> </w:t>
                  </w:r>
                  <w:r>
                    <w:rPr>
                      <w:color w:val="231F20"/>
                    </w:rPr>
                    <w:t>phone</w:t>
                  </w:r>
                  <w:r>
                    <w:rPr>
                      <w:color w:val="231F20"/>
                      <w:spacing w:val="-5"/>
                    </w:rPr>
                    <w:t xml:space="preserve"> </w:t>
                  </w:r>
                  <w:r>
                    <w:rPr>
                      <w:color w:val="231F20"/>
                    </w:rPr>
                    <w:t>is</w:t>
                  </w:r>
                  <w:r>
                    <w:rPr>
                      <w:color w:val="231F20"/>
                      <w:spacing w:val="-4"/>
                    </w:rPr>
                    <w:t xml:space="preserve"> </w:t>
                  </w:r>
                  <w:r>
                    <w:rPr>
                      <w:color w:val="231F20"/>
                    </w:rPr>
                    <w:t>being</w:t>
                  </w:r>
                  <w:r>
                    <w:rPr>
                      <w:color w:val="231F20"/>
                      <w:spacing w:val="-5"/>
                    </w:rPr>
                    <w:t xml:space="preserve"> </w:t>
                  </w:r>
                  <w:r>
                    <w:rPr>
                      <w:color w:val="231F20"/>
                    </w:rPr>
                    <w:t>monitored</w:t>
                  </w:r>
                  <w:r>
                    <w:rPr>
                      <w:color w:val="231F20"/>
                      <w:spacing w:val="-4"/>
                    </w:rPr>
                    <w:t xml:space="preserve"> </w:t>
                  </w:r>
                  <w:r>
                    <w:rPr>
                      <w:color w:val="231F20"/>
                    </w:rPr>
                    <w:t>and what can you do to stop this happening?</w:t>
                  </w:r>
                  <w:r>
                    <w:rPr>
                      <w:color w:val="231F20"/>
                      <w:spacing w:val="-22"/>
                    </w:rPr>
                    <w:t xml:space="preserve"> </w:t>
                  </w:r>
                  <w:r>
                    <w:rPr>
                      <w:color w:val="231F20"/>
                      <w:position w:val="7"/>
                      <w:sz w:val="11"/>
                    </w:rPr>
                    <w:t>103</w:t>
                  </w:r>
                </w:p>
              </w:txbxContent>
            </v:textbox>
            <w10:wrap type="topAndBottom" anchorx="page"/>
          </v:shape>
        </w:pict>
      </w:r>
    </w:p>
    <w:p w14:paraId="0BCF2880" w14:textId="77777777" w:rsidR="00894070" w:rsidRDefault="00894070">
      <w:pPr>
        <w:pStyle w:val="BodyText"/>
        <w:spacing w:before="6"/>
        <w:rPr>
          <w:sz w:val="19"/>
        </w:rPr>
      </w:pPr>
    </w:p>
    <w:p w14:paraId="255160B0" w14:textId="77777777" w:rsidR="00894070" w:rsidRDefault="009B7AFD">
      <w:pPr>
        <w:pStyle w:val="ListParagraph"/>
        <w:numPr>
          <w:ilvl w:val="1"/>
          <w:numId w:val="161"/>
        </w:numPr>
        <w:tabs>
          <w:tab w:val="left" w:pos="1801"/>
          <w:tab w:val="left" w:pos="1802"/>
        </w:tabs>
        <w:spacing w:before="89" w:line="206" w:lineRule="auto"/>
        <w:ind w:right="1378"/>
        <w:rPr>
          <w:sz w:val="20"/>
        </w:rPr>
      </w:pPr>
      <w:r>
        <w:rPr>
          <w:color w:val="231F20"/>
          <w:spacing w:val="-3"/>
          <w:sz w:val="20"/>
        </w:rPr>
        <w:t xml:space="preserve">Information </w:t>
      </w:r>
      <w:r>
        <w:rPr>
          <w:color w:val="231F20"/>
          <w:sz w:val="20"/>
        </w:rPr>
        <w:t>about support and justice options is especially important in relation to cyberstalking,</w:t>
      </w:r>
      <w:r>
        <w:rPr>
          <w:color w:val="231F20"/>
          <w:spacing w:val="-11"/>
          <w:sz w:val="20"/>
        </w:rPr>
        <w:t xml:space="preserve"> </w:t>
      </w:r>
      <w:r>
        <w:rPr>
          <w:color w:val="231F20"/>
          <w:spacing w:val="-3"/>
          <w:sz w:val="20"/>
        </w:rPr>
        <w:t>given</w:t>
      </w:r>
      <w:r>
        <w:rPr>
          <w:color w:val="231F20"/>
          <w:spacing w:val="-10"/>
          <w:sz w:val="20"/>
        </w:rPr>
        <w:t xml:space="preserve"> </w:t>
      </w:r>
      <w:r>
        <w:rPr>
          <w:color w:val="231F20"/>
          <w:sz w:val="20"/>
        </w:rPr>
        <w:t>the</w:t>
      </w:r>
      <w:r>
        <w:rPr>
          <w:color w:val="231F20"/>
          <w:spacing w:val="-11"/>
          <w:sz w:val="20"/>
        </w:rPr>
        <w:t xml:space="preserve"> </w:t>
      </w:r>
      <w:r>
        <w:rPr>
          <w:color w:val="231F20"/>
          <w:sz w:val="20"/>
        </w:rPr>
        <w:t>complexity</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1"/>
          <w:sz w:val="20"/>
        </w:rPr>
        <w:t xml:space="preserve"> </w:t>
      </w:r>
      <w:r>
        <w:rPr>
          <w:color w:val="231F20"/>
          <w:sz w:val="20"/>
        </w:rPr>
        <w:t>legal</w:t>
      </w:r>
      <w:r>
        <w:rPr>
          <w:color w:val="231F20"/>
          <w:spacing w:val="-10"/>
          <w:sz w:val="20"/>
        </w:rPr>
        <w:t xml:space="preserve"> </w:t>
      </w:r>
      <w:r>
        <w:rPr>
          <w:color w:val="231F20"/>
          <w:sz w:val="20"/>
        </w:rPr>
        <w:t>and</w:t>
      </w:r>
      <w:r>
        <w:rPr>
          <w:color w:val="231F20"/>
          <w:spacing w:val="-10"/>
          <w:sz w:val="20"/>
        </w:rPr>
        <w:t xml:space="preserve"> </w:t>
      </w:r>
      <w:r>
        <w:rPr>
          <w:color w:val="231F20"/>
          <w:sz w:val="20"/>
        </w:rPr>
        <w:t>regulatory</w:t>
      </w:r>
      <w:r>
        <w:rPr>
          <w:color w:val="231F20"/>
          <w:spacing w:val="-11"/>
          <w:sz w:val="20"/>
        </w:rPr>
        <w:t xml:space="preserve"> </w:t>
      </w:r>
      <w:r>
        <w:rPr>
          <w:color w:val="231F20"/>
          <w:sz w:val="20"/>
        </w:rPr>
        <w:t>responses</w:t>
      </w:r>
      <w:r>
        <w:rPr>
          <w:color w:val="231F20"/>
          <w:spacing w:val="-10"/>
          <w:sz w:val="20"/>
        </w:rPr>
        <w:t xml:space="preserve"> </w:t>
      </w:r>
      <w:r>
        <w:rPr>
          <w:color w:val="231F20"/>
          <w:sz w:val="20"/>
        </w:rPr>
        <w:t>(see</w:t>
      </w:r>
      <w:r>
        <w:rPr>
          <w:color w:val="231F20"/>
          <w:spacing w:val="-10"/>
          <w:sz w:val="20"/>
        </w:rPr>
        <w:t xml:space="preserve"> </w:t>
      </w:r>
      <w:r>
        <w:rPr>
          <w:color w:val="231F20"/>
          <w:spacing w:val="-6"/>
          <w:sz w:val="20"/>
        </w:rPr>
        <w:t xml:space="preserve">Table </w:t>
      </w:r>
      <w:r>
        <w:rPr>
          <w:color w:val="231F20"/>
          <w:spacing w:val="-4"/>
          <w:sz w:val="20"/>
        </w:rPr>
        <w:t>6).</w:t>
      </w:r>
      <w:r>
        <w:rPr>
          <w:color w:val="231F20"/>
          <w:spacing w:val="-9"/>
          <w:sz w:val="20"/>
        </w:rPr>
        <w:t xml:space="preserve"> </w:t>
      </w:r>
      <w:r>
        <w:rPr>
          <w:color w:val="231F20"/>
          <w:sz w:val="20"/>
        </w:rPr>
        <w:t>A</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w:t>
      </w:r>
      <w:r>
        <w:rPr>
          <w:color w:val="231F20"/>
          <w:spacing w:val="-8"/>
          <w:sz w:val="20"/>
        </w:rPr>
        <w:t xml:space="preserve"> </w:t>
      </w:r>
      <w:r>
        <w:rPr>
          <w:color w:val="231F20"/>
          <w:spacing w:val="-3"/>
          <w:sz w:val="20"/>
        </w:rPr>
        <w:t>may</w:t>
      </w:r>
      <w:r>
        <w:rPr>
          <w:color w:val="231F20"/>
          <w:spacing w:val="-9"/>
          <w:sz w:val="20"/>
        </w:rPr>
        <w:t xml:space="preserve"> </w:t>
      </w:r>
      <w:r>
        <w:rPr>
          <w:color w:val="231F20"/>
          <w:sz w:val="20"/>
        </w:rPr>
        <w:t>need</w:t>
      </w:r>
      <w:r>
        <w:rPr>
          <w:color w:val="231F20"/>
          <w:spacing w:val="-9"/>
          <w:sz w:val="20"/>
        </w:rPr>
        <w:t xml:space="preserve"> </w:t>
      </w:r>
      <w:r>
        <w:rPr>
          <w:color w:val="231F20"/>
          <w:sz w:val="20"/>
        </w:rPr>
        <w:t>to</w:t>
      </w:r>
      <w:r>
        <w:rPr>
          <w:color w:val="231F20"/>
          <w:spacing w:val="-9"/>
          <w:sz w:val="20"/>
        </w:rPr>
        <w:t xml:space="preserve"> </w:t>
      </w:r>
      <w:r>
        <w:rPr>
          <w:color w:val="231F20"/>
          <w:sz w:val="20"/>
        </w:rPr>
        <w:t>understand</w:t>
      </w:r>
      <w:r>
        <w:rPr>
          <w:color w:val="231F20"/>
          <w:spacing w:val="-8"/>
          <w:sz w:val="20"/>
        </w:rPr>
        <w:t xml:space="preserve"> </w:t>
      </w:r>
      <w:r>
        <w:rPr>
          <w:color w:val="231F20"/>
          <w:sz w:val="20"/>
        </w:rPr>
        <w:t>their</w:t>
      </w:r>
      <w:r>
        <w:rPr>
          <w:color w:val="231F20"/>
          <w:spacing w:val="-9"/>
          <w:sz w:val="20"/>
        </w:rPr>
        <w:t xml:space="preserve"> </w:t>
      </w:r>
      <w:r>
        <w:rPr>
          <w:color w:val="231F20"/>
          <w:sz w:val="20"/>
        </w:rPr>
        <w:t>options</w:t>
      </w:r>
      <w:r>
        <w:rPr>
          <w:color w:val="231F20"/>
          <w:spacing w:val="-9"/>
          <w:sz w:val="20"/>
        </w:rPr>
        <w:t xml:space="preserve"> </w:t>
      </w:r>
      <w:r>
        <w:rPr>
          <w:color w:val="231F20"/>
          <w:sz w:val="20"/>
        </w:rPr>
        <w:t>at</w:t>
      </w:r>
      <w:r>
        <w:rPr>
          <w:color w:val="231F20"/>
          <w:spacing w:val="-8"/>
          <w:sz w:val="20"/>
        </w:rPr>
        <w:t xml:space="preserve"> </w:t>
      </w:r>
      <w:r>
        <w:rPr>
          <w:color w:val="231F20"/>
          <w:sz w:val="20"/>
        </w:rPr>
        <w:t>a</w:t>
      </w:r>
      <w:r>
        <w:rPr>
          <w:color w:val="231F20"/>
          <w:spacing w:val="-9"/>
          <w:sz w:val="20"/>
        </w:rPr>
        <w:t xml:space="preserve"> </w:t>
      </w:r>
      <w:r>
        <w:rPr>
          <w:color w:val="231F20"/>
          <w:sz w:val="20"/>
        </w:rPr>
        <w:t>federal</w:t>
      </w:r>
      <w:r>
        <w:rPr>
          <w:color w:val="231F20"/>
          <w:spacing w:val="-9"/>
          <w:sz w:val="20"/>
        </w:rPr>
        <w:t xml:space="preserve"> </w:t>
      </w:r>
      <w:r>
        <w:rPr>
          <w:color w:val="231F20"/>
          <w:sz w:val="20"/>
        </w:rPr>
        <w:t>and</w:t>
      </w:r>
      <w:r>
        <w:rPr>
          <w:color w:val="231F20"/>
          <w:spacing w:val="-9"/>
          <w:sz w:val="20"/>
        </w:rPr>
        <w:t xml:space="preserve"> </w:t>
      </w:r>
      <w:r>
        <w:rPr>
          <w:color w:val="231F20"/>
          <w:sz w:val="20"/>
        </w:rPr>
        <w:t>state</w:t>
      </w:r>
      <w:r>
        <w:rPr>
          <w:color w:val="231F20"/>
          <w:spacing w:val="-8"/>
          <w:sz w:val="20"/>
        </w:rPr>
        <w:t xml:space="preserve"> </w:t>
      </w:r>
      <w:r>
        <w:rPr>
          <w:color w:val="231F20"/>
          <w:spacing w:val="-3"/>
          <w:sz w:val="20"/>
        </w:rPr>
        <w:t>level,</w:t>
      </w:r>
    </w:p>
    <w:p w14:paraId="3DF6FD87" w14:textId="77777777" w:rsidR="00894070" w:rsidRDefault="009B7AFD">
      <w:pPr>
        <w:pStyle w:val="BodyText"/>
        <w:spacing w:before="4" w:line="206" w:lineRule="auto"/>
        <w:ind w:left="1801" w:right="1162"/>
      </w:pPr>
      <w:r>
        <w:rPr>
          <w:color w:val="231F20"/>
        </w:rPr>
        <w:t>and</w:t>
      </w:r>
      <w:r>
        <w:rPr>
          <w:color w:val="231F20"/>
          <w:spacing w:val="-8"/>
        </w:rPr>
        <w:t xml:space="preserve"> </w:t>
      </w:r>
      <w:r>
        <w:rPr>
          <w:color w:val="231F20"/>
          <w:spacing w:val="-3"/>
        </w:rPr>
        <w:t>through</w:t>
      </w:r>
      <w:r>
        <w:rPr>
          <w:color w:val="231F20"/>
          <w:spacing w:val="-7"/>
        </w:rPr>
        <w:t xml:space="preserve"> </w:t>
      </w:r>
      <w:r>
        <w:rPr>
          <w:color w:val="231F20"/>
        </w:rPr>
        <w:t>legal</w:t>
      </w:r>
      <w:r>
        <w:rPr>
          <w:color w:val="231F20"/>
          <w:spacing w:val="-7"/>
        </w:rPr>
        <w:t xml:space="preserve"> </w:t>
      </w:r>
      <w:r>
        <w:rPr>
          <w:color w:val="231F20"/>
        </w:rPr>
        <w:t>and</w:t>
      </w:r>
      <w:r>
        <w:rPr>
          <w:color w:val="231F20"/>
          <w:spacing w:val="-7"/>
        </w:rPr>
        <w:t xml:space="preserve"> </w:t>
      </w:r>
      <w:r>
        <w:rPr>
          <w:color w:val="231F20"/>
        </w:rPr>
        <w:t>regulatory</w:t>
      </w:r>
      <w:r>
        <w:rPr>
          <w:color w:val="231F20"/>
          <w:spacing w:val="-7"/>
        </w:rPr>
        <w:t xml:space="preserve"> </w:t>
      </w:r>
      <w:r>
        <w:rPr>
          <w:color w:val="231F20"/>
          <w:spacing w:val="-3"/>
        </w:rPr>
        <w:t>avenues,</w:t>
      </w:r>
      <w:r>
        <w:rPr>
          <w:color w:val="231F20"/>
          <w:spacing w:val="-7"/>
        </w:rPr>
        <w:t xml:space="preserve"> </w:t>
      </w:r>
      <w:r>
        <w:rPr>
          <w:color w:val="231F20"/>
        </w:rPr>
        <w:t>which</w:t>
      </w:r>
      <w:r>
        <w:rPr>
          <w:color w:val="231F20"/>
          <w:spacing w:val="-8"/>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challenging</w:t>
      </w:r>
      <w:r>
        <w:rPr>
          <w:color w:val="231F20"/>
          <w:spacing w:val="-7"/>
        </w:rPr>
        <w:t xml:space="preserve"> </w:t>
      </w:r>
      <w:r>
        <w:rPr>
          <w:color w:val="231F20"/>
        </w:rPr>
        <w:t>task.</w:t>
      </w:r>
      <w:r>
        <w:rPr>
          <w:color w:val="231F20"/>
          <w:spacing w:val="-7"/>
        </w:rPr>
        <w:t xml:space="preserve"> </w:t>
      </w:r>
      <w:r>
        <w:rPr>
          <w:color w:val="231F20"/>
        </w:rPr>
        <w:t>As</w:t>
      </w:r>
      <w:r>
        <w:rPr>
          <w:color w:val="231F20"/>
          <w:spacing w:val="-7"/>
        </w:rPr>
        <w:t xml:space="preserve"> </w:t>
      </w:r>
      <w:r>
        <w:rPr>
          <w:color w:val="231F20"/>
          <w:spacing w:val="-3"/>
        </w:rPr>
        <w:t>we</w:t>
      </w:r>
      <w:r>
        <w:rPr>
          <w:color w:val="231F20"/>
          <w:spacing w:val="-7"/>
        </w:rPr>
        <w:t xml:space="preserve"> </w:t>
      </w:r>
      <w:r>
        <w:rPr>
          <w:color w:val="231F20"/>
        </w:rPr>
        <w:t>discuss</w:t>
      </w:r>
      <w:r>
        <w:rPr>
          <w:color w:val="231F20"/>
          <w:spacing w:val="-8"/>
        </w:rPr>
        <w:t xml:space="preserve"> </w:t>
      </w:r>
      <w:r>
        <w:rPr>
          <w:color w:val="231F20"/>
        </w:rPr>
        <w:t xml:space="preserve">in </w:t>
      </w:r>
      <w:r>
        <w:rPr>
          <w:color w:val="231F20"/>
          <w:spacing w:val="-3"/>
        </w:rPr>
        <w:t xml:space="preserve">Chapter </w:t>
      </w:r>
      <w:r>
        <w:rPr>
          <w:color w:val="231F20"/>
        </w:rPr>
        <w:t xml:space="preserve">4, the </w:t>
      </w:r>
      <w:r>
        <w:rPr>
          <w:color w:val="231F20"/>
          <w:spacing w:val="-3"/>
        </w:rPr>
        <w:t xml:space="preserve">information </w:t>
      </w:r>
      <w:r>
        <w:rPr>
          <w:color w:val="231F20"/>
        </w:rPr>
        <w:t xml:space="preserve">is found in </w:t>
      </w:r>
      <w:r>
        <w:rPr>
          <w:color w:val="231F20"/>
          <w:spacing w:val="-3"/>
        </w:rPr>
        <w:t xml:space="preserve">different </w:t>
      </w:r>
      <w:proofErr w:type="gramStart"/>
      <w:r>
        <w:rPr>
          <w:color w:val="231F20"/>
        </w:rPr>
        <w:t>places</w:t>
      </w:r>
      <w:proofErr w:type="gramEnd"/>
      <w:r>
        <w:rPr>
          <w:color w:val="231F20"/>
        </w:rPr>
        <w:t xml:space="preserve"> and it is hard </w:t>
      </w:r>
      <w:r>
        <w:rPr>
          <w:color w:val="231F20"/>
          <w:spacing w:val="-3"/>
        </w:rPr>
        <w:t xml:space="preserve">for </w:t>
      </w:r>
      <w:r>
        <w:rPr>
          <w:color w:val="231F20"/>
        </w:rPr>
        <w:t xml:space="preserve">a person to </w:t>
      </w:r>
      <w:r>
        <w:rPr>
          <w:color w:val="231F20"/>
          <w:spacing w:val="-3"/>
        </w:rPr>
        <w:t xml:space="preserve">form </w:t>
      </w:r>
      <w:r>
        <w:rPr>
          <w:color w:val="231F20"/>
        </w:rPr>
        <w:t xml:space="preserve">a </w:t>
      </w:r>
      <w:r>
        <w:rPr>
          <w:color w:val="231F20"/>
          <w:spacing w:val="-3"/>
        </w:rPr>
        <w:t xml:space="preserve">complete picture </w:t>
      </w:r>
      <w:r>
        <w:rPr>
          <w:color w:val="231F20"/>
        </w:rPr>
        <w:t>of their</w:t>
      </w:r>
      <w:r>
        <w:rPr>
          <w:color w:val="231F20"/>
          <w:spacing w:val="-15"/>
        </w:rPr>
        <w:t xml:space="preserve"> </w:t>
      </w:r>
      <w:r>
        <w:rPr>
          <w:color w:val="231F20"/>
        </w:rPr>
        <w:t>options.</w:t>
      </w:r>
    </w:p>
    <w:p w14:paraId="476909B8" w14:textId="77777777" w:rsidR="00894070" w:rsidRDefault="009B7AFD">
      <w:pPr>
        <w:pStyle w:val="ListParagraph"/>
        <w:numPr>
          <w:ilvl w:val="1"/>
          <w:numId w:val="161"/>
        </w:numPr>
        <w:tabs>
          <w:tab w:val="left" w:pos="1801"/>
          <w:tab w:val="left" w:pos="1802"/>
        </w:tabs>
        <w:spacing w:before="124" w:line="206" w:lineRule="auto"/>
        <w:ind w:right="1271"/>
        <w:rPr>
          <w:sz w:val="11"/>
        </w:rPr>
      </w:pPr>
      <w:r>
        <w:rPr>
          <w:color w:val="231F20"/>
          <w:spacing w:val="-6"/>
          <w:sz w:val="20"/>
        </w:rPr>
        <w:t>We</w:t>
      </w:r>
      <w:r>
        <w:rPr>
          <w:color w:val="231F20"/>
          <w:spacing w:val="-11"/>
          <w:sz w:val="20"/>
        </w:rPr>
        <w:t xml:space="preserve"> </w:t>
      </w:r>
      <w:r>
        <w:rPr>
          <w:color w:val="231F20"/>
          <w:sz w:val="20"/>
        </w:rPr>
        <w:t>heard</w:t>
      </w:r>
      <w:r>
        <w:rPr>
          <w:color w:val="231F20"/>
          <w:spacing w:val="-11"/>
          <w:sz w:val="20"/>
        </w:rPr>
        <w:t xml:space="preserve"> </w:t>
      </w:r>
      <w:r>
        <w:rPr>
          <w:color w:val="231F20"/>
          <w:sz w:val="20"/>
        </w:rPr>
        <w:t>that</w:t>
      </w:r>
      <w:r>
        <w:rPr>
          <w:color w:val="231F20"/>
          <w:spacing w:val="-10"/>
          <w:sz w:val="20"/>
        </w:rPr>
        <w:t xml:space="preserve"> </w:t>
      </w:r>
      <w:r>
        <w:rPr>
          <w:color w:val="231F20"/>
          <w:sz w:val="20"/>
        </w:rPr>
        <w:t>the</w:t>
      </w:r>
      <w:r>
        <w:rPr>
          <w:color w:val="231F20"/>
          <w:spacing w:val="-11"/>
          <w:sz w:val="20"/>
        </w:rPr>
        <w:t xml:space="preserve"> </w:t>
      </w:r>
      <w:r>
        <w:rPr>
          <w:color w:val="231F20"/>
          <w:sz w:val="20"/>
        </w:rPr>
        <w:t>Office</w:t>
      </w:r>
      <w:r>
        <w:rPr>
          <w:color w:val="231F20"/>
          <w:spacing w:val="-10"/>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proofErr w:type="spellStart"/>
      <w:r>
        <w:rPr>
          <w:color w:val="231F20"/>
          <w:sz w:val="20"/>
        </w:rPr>
        <w:t>eSafety</w:t>
      </w:r>
      <w:proofErr w:type="spellEnd"/>
      <w:r>
        <w:rPr>
          <w:color w:val="231F20"/>
          <w:spacing w:val="-10"/>
          <w:sz w:val="20"/>
        </w:rPr>
        <w:t xml:space="preserve"> </w:t>
      </w:r>
      <w:r>
        <w:rPr>
          <w:color w:val="231F20"/>
          <w:sz w:val="20"/>
        </w:rPr>
        <w:t>Commissioner</w:t>
      </w:r>
      <w:r>
        <w:rPr>
          <w:color w:val="231F20"/>
          <w:spacing w:val="-11"/>
          <w:sz w:val="20"/>
        </w:rPr>
        <w:t xml:space="preserve"> </w:t>
      </w:r>
      <w:r>
        <w:rPr>
          <w:color w:val="231F20"/>
          <w:sz w:val="20"/>
        </w:rPr>
        <w:t>is</w:t>
      </w:r>
      <w:r>
        <w:rPr>
          <w:color w:val="231F20"/>
          <w:spacing w:val="-10"/>
          <w:sz w:val="20"/>
        </w:rPr>
        <w:t xml:space="preserve"> </w:t>
      </w:r>
      <w:r>
        <w:rPr>
          <w:color w:val="231F20"/>
          <w:sz w:val="20"/>
        </w:rPr>
        <w:t>a</w:t>
      </w:r>
      <w:r>
        <w:rPr>
          <w:color w:val="231F20"/>
          <w:spacing w:val="-11"/>
          <w:sz w:val="20"/>
        </w:rPr>
        <w:t xml:space="preserve"> </w:t>
      </w:r>
      <w:r>
        <w:rPr>
          <w:color w:val="231F20"/>
          <w:sz w:val="20"/>
        </w:rPr>
        <w:t>useful</w:t>
      </w:r>
      <w:r>
        <w:rPr>
          <w:color w:val="231F20"/>
          <w:spacing w:val="-11"/>
          <w:sz w:val="20"/>
        </w:rPr>
        <w:t xml:space="preserve"> </w:t>
      </w:r>
      <w:r>
        <w:rPr>
          <w:color w:val="231F20"/>
          <w:sz w:val="20"/>
        </w:rPr>
        <w:t>source</w:t>
      </w:r>
      <w:r>
        <w:rPr>
          <w:color w:val="231F20"/>
          <w:spacing w:val="-10"/>
          <w:sz w:val="20"/>
        </w:rPr>
        <w:t xml:space="preserve"> </w:t>
      </w:r>
      <w:r>
        <w:rPr>
          <w:color w:val="231F20"/>
          <w:sz w:val="20"/>
        </w:rPr>
        <w:t>of</w:t>
      </w:r>
      <w:r>
        <w:rPr>
          <w:color w:val="231F20"/>
          <w:spacing w:val="-11"/>
          <w:sz w:val="20"/>
        </w:rPr>
        <w:t xml:space="preserve"> </w:t>
      </w:r>
      <w:r>
        <w:rPr>
          <w:color w:val="231F20"/>
          <w:spacing w:val="-3"/>
          <w:sz w:val="20"/>
        </w:rPr>
        <w:t xml:space="preserve">information </w:t>
      </w:r>
      <w:r>
        <w:rPr>
          <w:color w:val="231F20"/>
          <w:sz w:val="20"/>
        </w:rPr>
        <w:t>and</w:t>
      </w:r>
      <w:r>
        <w:rPr>
          <w:color w:val="231F20"/>
          <w:spacing w:val="-5"/>
          <w:sz w:val="20"/>
        </w:rPr>
        <w:t xml:space="preserve"> </w:t>
      </w:r>
      <w:r>
        <w:rPr>
          <w:color w:val="231F20"/>
          <w:sz w:val="20"/>
        </w:rPr>
        <w:t>help,</w:t>
      </w:r>
      <w:r>
        <w:rPr>
          <w:color w:val="231F20"/>
          <w:spacing w:val="-5"/>
          <w:sz w:val="20"/>
        </w:rPr>
        <w:t xml:space="preserve"> </w:t>
      </w:r>
      <w:r>
        <w:rPr>
          <w:color w:val="231F20"/>
          <w:sz w:val="20"/>
        </w:rPr>
        <w:t>but</w:t>
      </w:r>
      <w:r>
        <w:rPr>
          <w:color w:val="231F20"/>
          <w:spacing w:val="-4"/>
          <w:sz w:val="20"/>
        </w:rPr>
        <w:t xml:space="preserve"> </w:t>
      </w:r>
      <w:r>
        <w:rPr>
          <w:color w:val="231F20"/>
          <w:sz w:val="20"/>
        </w:rPr>
        <w:t>not</w:t>
      </w:r>
      <w:r>
        <w:rPr>
          <w:color w:val="231F20"/>
          <w:spacing w:val="-5"/>
          <w:sz w:val="20"/>
        </w:rPr>
        <w:t xml:space="preserve"> </w:t>
      </w:r>
      <w:r>
        <w:rPr>
          <w:color w:val="231F20"/>
          <w:spacing w:val="-2"/>
          <w:sz w:val="20"/>
        </w:rPr>
        <w:t>everyone</w:t>
      </w:r>
      <w:r>
        <w:rPr>
          <w:color w:val="231F20"/>
          <w:spacing w:val="-4"/>
          <w:sz w:val="20"/>
        </w:rPr>
        <w:t xml:space="preserve"> </w:t>
      </w:r>
      <w:r>
        <w:rPr>
          <w:color w:val="231F20"/>
          <w:sz w:val="20"/>
        </w:rPr>
        <w:t>in</w:t>
      </w:r>
      <w:r>
        <w:rPr>
          <w:color w:val="231F20"/>
          <w:spacing w:val="-5"/>
          <w:sz w:val="20"/>
        </w:rPr>
        <w:t xml:space="preserve"> </w:t>
      </w:r>
      <w:r>
        <w:rPr>
          <w:color w:val="231F20"/>
          <w:sz w:val="20"/>
        </w:rPr>
        <w:t>the</w:t>
      </w:r>
      <w:r>
        <w:rPr>
          <w:color w:val="231F20"/>
          <w:spacing w:val="-4"/>
          <w:sz w:val="20"/>
        </w:rPr>
        <w:t xml:space="preserve"> </w:t>
      </w:r>
      <w:r>
        <w:rPr>
          <w:color w:val="231F20"/>
          <w:sz w:val="20"/>
        </w:rPr>
        <w:t>community</w:t>
      </w:r>
      <w:r>
        <w:rPr>
          <w:color w:val="231F20"/>
          <w:spacing w:val="-5"/>
          <w:sz w:val="20"/>
        </w:rPr>
        <w:t xml:space="preserve"> </w:t>
      </w:r>
      <w:r>
        <w:rPr>
          <w:color w:val="231F20"/>
          <w:spacing w:val="-3"/>
          <w:sz w:val="20"/>
        </w:rPr>
        <w:t>knows</w:t>
      </w:r>
      <w:r>
        <w:rPr>
          <w:color w:val="231F20"/>
          <w:spacing w:val="-4"/>
          <w:sz w:val="20"/>
        </w:rPr>
        <w:t xml:space="preserve"> </w:t>
      </w:r>
      <w:r>
        <w:rPr>
          <w:color w:val="231F20"/>
          <w:sz w:val="20"/>
        </w:rPr>
        <w:t>about</w:t>
      </w:r>
      <w:r>
        <w:rPr>
          <w:color w:val="231F20"/>
          <w:spacing w:val="-5"/>
          <w:sz w:val="20"/>
        </w:rPr>
        <w:t xml:space="preserve"> </w:t>
      </w:r>
      <w:r>
        <w:rPr>
          <w:color w:val="231F20"/>
          <w:sz w:val="20"/>
        </w:rPr>
        <w:t>it.</w:t>
      </w:r>
      <w:r>
        <w:rPr>
          <w:color w:val="231F20"/>
          <w:position w:val="7"/>
          <w:sz w:val="11"/>
        </w:rPr>
        <w:t>104</w:t>
      </w:r>
    </w:p>
    <w:p w14:paraId="23A6C458" w14:textId="77777777" w:rsidR="00894070" w:rsidRDefault="009B7AFD">
      <w:pPr>
        <w:pStyle w:val="ListParagraph"/>
        <w:numPr>
          <w:ilvl w:val="1"/>
          <w:numId w:val="161"/>
        </w:numPr>
        <w:tabs>
          <w:tab w:val="left" w:pos="1801"/>
          <w:tab w:val="left" w:pos="1802"/>
        </w:tabs>
        <w:spacing w:before="122" w:line="206" w:lineRule="auto"/>
        <w:ind w:right="1165"/>
        <w:rPr>
          <w:sz w:val="20"/>
        </w:rPr>
      </w:pPr>
      <w:r>
        <w:rPr>
          <w:color w:val="231F20"/>
          <w:sz w:val="20"/>
        </w:rPr>
        <w:t xml:space="preserve">The </w:t>
      </w:r>
      <w:proofErr w:type="spellStart"/>
      <w:r>
        <w:rPr>
          <w:color w:val="231F20"/>
          <w:sz w:val="20"/>
        </w:rPr>
        <w:t>eSafety</w:t>
      </w:r>
      <w:proofErr w:type="spellEnd"/>
      <w:r>
        <w:rPr>
          <w:color w:val="231F20"/>
          <w:sz w:val="20"/>
        </w:rPr>
        <w:t xml:space="preserve"> </w:t>
      </w:r>
      <w:r>
        <w:rPr>
          <w:color w:val="231F20"/>
          <w:spacing w:val="-3"/>
          <w:sz w:val="20"/>
        </w:rPr>
        <w:t xml:space="preserve">website </w:t>
      </w:r>
      <w:r>
        <w:rPr>
          <w:color w:val="231F20"/>
          <w:sz w:val="20"/>
        </w:rPr>
        <w:t xml:space="preserve">describes cyberstalking as a type of online </w:t>
      </w:r>
      <w:proofErr w:type="gramStart"/>
      <w:r>
        <w:rPr>
          <w:color w:val="231F20"/>
          <w:sz w:val="20"/>
        </w:rPr>
        <w:t>abuse, and</w:t>
      </w:r>
      <w:proofErr w:type="gramEnd"/>
      <w:r>
        <w:rPr>
          <w:color w:val="231F20"/>
          <w:sz w:val="20"/>
        </w:rPr>
        <w:t xml:space="preserve"> lists </w:t>
      </w:r>
      <w:r>
        <w:rPr>
          <w:color w:val="231F20"/>
          <w:spacing w:val="-3"/>
          <w:sz w:val="20"/>
        </w:rPr>
        <w:t>examples</w:t>
      </w:r>
      <w:r>
        <w:rPr>
          <w:color w:val="231F20"/>
          <w:spacing w:val="-15"/>
          <w:sz w:val="20"/>
        </w:rPr>
        <w:t xml:space="preserve"> </w:t>
      </w:r>
      <w:r>
        <w:rPr>
          <w:color w:val="231F20"/>
          <w:sz w:val="20"/>
        </w:rPr>
        <w:t>of</w:t>
      </w:r>
      <w:r>
        <w:rPr>
          <w:color w:val="231F20"/>
          <w:spacing w:val="-14"/>
          <w:sz w:val="20"/>
        </w:rPr>
        <w:t xml:space="preserve"> </w:t>
      </w:r>
      <w:r>
        <w:rPr>
          <w:color w:val="231F20"/>
          <w:sz w:val="20"/>
        </w:rPr>
        <w:t>cyberstalking</w:t>
      </w:r>
      <w:r>
        <w:rPr>
          <w:color w:val="231F20"/>
          <w:spacing w:val="-14"/>
          <w:sz w:val="20"/>
        </w:rPr>
        <w:t xml:space="preserve"> </w:t>
      </w:r>
      <w:r>
        <w:rPr>
          <w:color w:val="231F20"/>
          <w:sz w:val="20"/>
        </w:rPr>
        <w:t>behaviours.</w:t>
      </w:r>
      <w:r>
        <w:rPr>
          <w:color w:val="231F20"/>
          <w:spacing w:val="-14"/>
          <w:sz w:val="20"/>
        </w:rPr>
        <w:t xml:space="preserve"> </w:t>
      </w:r>
      <w:r>
        <w:rPr>
          <w:color w:val="231F20"/>
          <w:sz w:val="20"/>
        </w:rPr>
        <w:t>It</w:t>
      </w:r>
      <w:r>
        <w:rPr>
          <w:color w:val="231F20"/>
          <w:spacing w:val="-14"/>
          <w:sz w:val="20"/>
        </w:rPr>
        <w:t xml:space="preserve"> </w:t>
      </w:r>
      <w:r>
        <w:rPr>
          <w:color w:val="231F20"/>
          <w:sz w:val="20"/>
        </w:rPr>
        <w:t>explains</w:t>
      </w:r>
      <w:r>
        <w:rPr>
          <w:color w:val="231F20"/>
          <w:spacing w:val="-14"/>
          <w:sz w:val="20"/>
        </w:rPr>
        <w:t xml:space="preserve"> </w:t>
      </w:r>
      <w:r>
        <w:rPr>
          <w:color w:val="231F20"/>
          <w:sz w:val="20"/>
        </w:rPr>
        <w:t>that</w:t>
      </w:r>
      <w:r>
        <w:rPr>
          <w:color w:val="231F20"/>
          <w:spacing w:val="-14"/>
          <w:sz w:val="20"/>
        </w:rPr>
        <w:t xml:space="preserve"> </w:t>
      </w:r>
      <w:r>
        <w:rPr>
          <w:color w:val="231F20"/>
          <w:sz w:val="20"/>
        </w:rPr>
        <w:t>those</w:t>
      </w:r>
      <w:r>
        <w:rPr>
          <w:color w:val="231F20"/>
          <w:spacing w:val="-14"/>
          <w:sz w:val="20"/>
        </w:rPr>
        <w:t xml:space="preserve"> </w:t>
      </w:r>
      <w:r>
        <w:rPr>
          <w:color w:val="231F20"/>
          <w:sz w:val="20"/>
        </w:rPr>
        <w:t>experiencing</w:t>
      </w:r>
      <w:r>
        <w:rPr>
          <w:color w:val="231F20"/>
          <w:spacing w:val="-14"/>
          <w:sz w:val="20"/>
        </w:rPr>
        <w:t xml:space="preserve"> </w:t>
      </w:r>
      <w:r>
        <w:rPr>
          <w:color w:val="231F20"/>
          <w:sz w:val="20"/>
        </w:rPr>
        <w:t xml:space="preserve">cyberstalking should </w:t>
      </w:r>
      <w:r>
        <w:rPr>
          <w:color w:val="231F20"/>
          <w:spacing w:val="-3"/>
          <w:sz w:val="20"/>
        </w:rPr>
        <w:t xml:space="preserve">immediately </w:t>
      </w:r>
      <w:r>
        <w:rPr>
          <w:color w:val="231F20"/>
          <w:sz w:val="20"/>
        </w:rPr>
        <w:t>contact their local police.</w:t>
      </w:r>
      <w:r>
        <w:rPr>
          <w:color w:val="231F20"/>
          <w:position w:val="7"/>
          <w:sz w:val="11"/>
        </w:rPr>
        <w:t xml:space="preserve">105 </w:t>
      </w:r>
      <w:r>
        <w:rPr>
          <w:color w:val="231F20"/>
          <w:spacing w:val="-5"/>
          <w:sz w:val="20"/>
        </w:rPr>
        <w:t xml:space="preserve">However, </w:t>
      </w:r>
      <w:r>
        <w:rPr>
          <w:color w:val="231F20"/>
          <w:sz w:val="20"/>
        </w:rPr>
        <w:t xml:space="preserve">there </w:t>
      </w:r>
      <w:r>
        <w:rPr>
          <w:color w:val="231F20"/>
          <w:spacing w:val="-3"/>
          <w:sz w:val="20"/>
        </w:rPr>
        <w:t xml:space="preserve">are </w:t>
      </w:r>
      <w:r>
        <w:rPr>
          <w:color w:val="231F20"/>
          <w:sz w:val="20"/>
        </w:rPr>
        <w:t xml:space="preserve">gaps in the </w:t>
      </w:r>
      <w:r>
        <w:rPr>
          <w:color w:val="231F20"/>
          <w:spacing w:val="-3"/>
          <w:sz w:val="20"/>
        </w:rPr>
        <w:t xml:space="preserve">information </w:t>
      </w:r>
      <w:r>
        <w:rPr>
          <w:color w:val="231F20"/>
          <w:sz w:val="20"/>
        </w:rPr>
        <w:t xml:space="preserve">on </w:t>
      </w:r>
      <w:r>
        <w:rPr>
          <w:color w:val="231F20"/>
          <w:spacing w:val="-3"/>
          <w:sz w:val="20"/>
        </w:rPr>
        <w:t>eSafety’s website. For</w:t>
      </w:r>
      <w:r>
        <w:rPr>
          <w:color w:val="231F20"/>
          <w:spacing w:val="-10"/>
          <w:sz w:val="20"/>
        </w:rPr>
        <w:t xml:space="preserve"> </w:t>
      </w:r>
      <w:r>
        <w:rPr>
          <w:color w:val="231F20"/>
          <w:spacing w:val="-3"/>
          <w:sz w:val="20"/>
        </w:rPr>
        <w:t>example:</w:t>
      </w:r>
    </w:p>
    <w:p w14:paraId="4FC7180B" w14:textId="77777777" w:rsidR="00894070" w:rsidRDefault="009B7AFD">
      <w:pPr>
        <w:pStyle w:val="ListParagraph"/>
        <w:numPr>
          <w:ilvl w:val="2"/>
          <w:numId w:val="161"/>
        </w:numPr>
        <w:tabs>
          <w:tab w:val="left" w:pos="2141"/>
          <w:tab w:val="left" w:pos="2142"/>
        </w:tabs>
        <w:spacing w:before="93"/>
        <w:ind w:hanging="340"/>
        <w:rPr>
          <w:sz w:val="20"/>
        </w:rPr>
      </w:pPr>
      <w:r>
        <w:rPr>
          <w:color w:val="231F20"/>
          <w:sz w:val="20"/>
        </w:rPr>
        <w:t xml:space="preserve">It </w:t>
      </w:r>
      <w:r>
        <w:rPr>
          <w:color w:val="231F20"/>
          <w:spacing w:val="-3"/>
          <w:sz w:val="20"/>
        </w:rPr>
        <w:t xml:space="preserve">only </w:t>
      </w:r>
      <w:r>
        <w:rPr>
          <w:color w:val="231F20"/>
          <w:sz w:val="20"/>
        </w:rPr>
        <w:t xml:space="preserve">discusses </w:t>
      </w:r>
      <w:r>
        <w:rPr>
          <w:color w:val="231F20"/>
          <w:spacing w:val="-3"/>
          <w:sz w:val="20"/>
        </w:rPr>
        <w:t xml:space="preserve">family </w:t>
      </w:r>
      <w:r>
        <w:rPr>
          <w:color w:val="231F20"/>
          <w:sz w:val="20"/>
        </w:rPr>
        <w:t>violence</w:t>
      </w:r>
      <w:r>
        <w:rPr>
          <w:color w:val="231F20"/>
          <w:spacing w:val="-16"/>
          <w:sz w:val="20"/>
        </w:rPr>
        <w:t xml:space="preserve"> </w:t>
      </w:r>
      <w:r>
        <w:rPr>
          <w:color w:val="231F20"/>
          <w:sz w:val="20"/>
        </w:rPr>
        <w:t>stalking.</w:t>
      </w:r>
    </w:p>
    <w:p w14:paraId="23F2410E" w14:textId="77777777" w:rsidR="00894070" w:rsidRDefault="009B7AFD">
      <w:pPr>
        <w:pStyle w:val="ListParagraph"/>
        <w:numPr>
          <w:ilvl w:val="2"/>
          <w:numId w:val="161"/>
        </w:numPr>
        <w:tabs>
          <w:tab w:val="left" w:pos="2142"/>
        </w:tabs>
        <w:spacing w:before="80" w:line="206" w:lineRule="auto"/>
        <w:ind w:right="1978" w:hanging="340"/>
        <w:jc w:val="both"/>
        <w:rPr>
          <w:sz w:val="11"/>
        </w:rPr>
      </w:pPr>
      <w:r>
        <w:rPr>
          <w:color w:val="231F20"/>
          <w:sz w:val="20"/>
        </w:rPr>
        <w:t>The</w:t>
      </w:r>
      <w:r>
        <w:rPr>
          <w:color w:val="231F20"/>
          <w:spacing w:val="-8"/>
          <w:sz w:val="20"/>
        </w:rPr>
        <w:t xml:space="preserve"> </w:t>
      </w:r>
      <w:r>
        <w:rPr>
          <w:color w:val="231F20"/>
          <w:sz w:val="20"/>
        </w:rPr>
        <w:t>list</w:t>
      </w:r>
      <w:r>
        <w:rPr>
          <w:color w:val="231F20"/>
          <w:spacing w:val="-8"/>
          <w:sz w:val="20"/>
        </w:rPr>
        <w:t xml:space="preserve"> </w:t>
      </w:r>
      <w:r>
        <w:rPr>
          <w:color w:val="231F20"/>
          <w:sz w:val="20"/>
        </w:rPr>
        <w:t>of</w:t>
      </w:r>
      <w:r>
        <w:rPr>
          <w:color w:val="231F20"/>
          <w:spacing w:val="-8"/>
          <w:sz w:val="20"/>
        </w:rPr>
        <w:t xml:space="preserve"> </w:t>
      </w:r>
      <w:r>
        <w:rPr>
          <w:color w:val="231F20"/>
          <w:sz w:val="20"/>
        </w:rPr>
        <w:t>‘classroom</w:t>
      </w:r>
      <w:r>
        <w:rPr>
          <w:color w:val="231F20"/>
          <w:spacing w:val="-8"/>
          <w:sz w:val="20"/>
        </w:rPr>
        <w:t xml:space="preserve"> </w:t>
      </w:r>
      <w:r>
        <w:rPr>
          <w:color w:val="231F20"/>
          <w:spacing w:val="-3"/>
          <w:sz w:val="20"/>
        </w:rPr>
        <w:t>resources’</w:t>
      </w:r>
      <w:r>
        <w:rPr>
          <w:color w:val="231F20"/>
          <w:spacing w:val="-8"/>
          <w:sz w:val="20"/>
        </w:rPr>
        <w:t xml:space="preserve"> </w:t>
      </w:r>
      <w:r>
        <w:rPr>
          <w:color w:val="231F20"/>
          <w:spacing w:val="-3"/>
          <w:sz w:val="20"/>
        </w:rPr>
        <w:t>covers</w:t>
      </w:r>
      <w:r>
        <w:rPr>
          <w:color w:val="231F20"/>
          <w:spacing w:val="-8"/>
          <w:sz w:val="20"/>
        </w:rPr>
        <w:t xml:space="preserve"> </w:t>
      </w:r>
      <w:r>
        <w:rPr>
          <w:color w:val="231F20"/>
          <w:sz w:val="20"/>
        </w:rPr>
        <w:t>a</w:t>
      </w:r>
      <w:r>
        <w:rPr>
          <w:color w:val="231F20"/>
          <w:spacing w:val="-8"/>
          <w:sz w:val="20"/>
        </w:rPr>
        <w:t xml:space="preserve"> </w:t>
      </w:r>
      <w:r>
        <w:rPr>
          <w:color w:val="231F20"/>
          <w:sz w:val="20"/>
        </w:rPr>
        <w:t>range</w:t>
      </w:r>
      <w:r>
        <w:rPr>
          <w:color w:val="231F20"/>
          <w:spacing w:val="-7"/>
          <w:sz w:val="20"/>
        </w:rPr>
        <w:t xml:space="preserve"> </w:t>
      </w:r>
      <w:r>
        <w:rPr>
          <w:color w:val="231F20"/>
          <w:sz w:val="20"/>
        </w:rPr>
        <w:t>of</w:t>
      </w:r>
      <w:r>
        <w:rPr>
          <w:color w:val="231F20"/>
          <w:spacing w:val="-8"/>
          <w:sz w:val="20"/>
        </w:rPr>
        <w:t xml:space="preserve"> </w:t>
      </w:r>
      <w:r>
        <w:rPr>
          <w:color w:val="231F20"/>
          <w:spacing w:val="-3"/>
          <w:sz w:val="20"/>
        </w:rPr>
        <w:t>related</w:t>
      </w:r>
      <w:r>
        <w:rPr>
          <w:color w:val="231F20"/>
          <w:spacing w:val="-8"/>
          <w:sz w:val="20"/>
        </w:rPr>
        <w:t xml:space="preserve"> </w:t>
      </w:r>
      <w:r>
        <w:rPr>
          <w:color w:val="231F20"/>
          <w:sz w:val="20"/>
        </w:rPr>
        <w:t>topics,</w:t>
      </w:r>
      <w:r>
        <w:rPr>
          <w:color w:val="231F20"/>
          <w:spacing w:val="-8"/>
          <w:sz w:val="20"/>
        </w:rPr>
        <w:t xml:space="preserve"> </w:t>
      </w:r>
      <w:r>
        <w:rPr>
          <w:color w:val="231F20"/>
          <w:sz w:val="20"/>
        </w:rPr>
        <w:t xml:space="preserve">including </w:t>
      </w:r>
      <w:r>
        <w:rPr>
          <w:color w:val="231F20"/>
          <w:spacing w:val="-3"/>
          <w:sz w:val="20"/>
        </w:rPr>
        <w:t>‘unwanted</w:t>
      </w:r>
      <w:r>
        <w:rPr>
          <w:color w:val="231F20"/>
          <w:spacing w:val="-11"/>
          <w:sz w:val="20"/>
        </w:rPr>
        <w:t xml:space="preserve"> </w:t>
      </w:r>
      <w:r>
        <w:rPr>
          <w:color w:val="231F20"/>
          <w:sz w:val="20"/>
        </w:rPr>
        <w:t>contact’</w:t>
      </w:r>
      <w:r>
        <w:rPr>
          <w:color w:val="231F20"/>
          <w:spacing w:val="-10"/>
          <w:sz w:val="20"/>
        </w:rPr>
        <w:t xml:space="preserve"> </w:t>
      </w:r>
      <w:r>
        <w:rPr>
          <w:color w:val="231F20"/>
          <w:sz w:val="20"/>
        </w:rPr>
        <w:t>and</w:t>
      </w:r>
      <w:r>
        <w:rPr>
          <w:color w:val="231F20"/>
          <w:spacing w:val="-10"/>
          <w:sz w:val="20"/>
        </w:rPr>
        <w:t xml:space="preserve"> </w:t>
      </w:r>
      <w:r>
        <w:rPr>
          <w:color w:val="231F20"/>
          <w:spacing w:val="-3"/>
          <w:sz w:val="20"/>
        </w:rPr>
        <w:t>‘cyberbullying’,</w:t>
      </w:r>
      <w:r>
        <w:rPr>
          <w:color w:val="231F20"/>
          <w:spacing w:val="-10"/>
          <w:sz w:val="20"/>
        </w:rPr>
        <w:t xml:space="preserve"> </w:t>
      </w:r>
      <w:r>
        <w:rPr>
          <w:color w:val="231F20"/>
          <w:sz w:val="20"/>
        </w:rPr>
        <w:t>but</w:t>
      </w:r>
      <w:r>
        <w:rPr>
          <w:color w:val="231F20"/>
          <w:spacing w:val="-10"/>
          <w:sz w:val="20"/>
        </w:rPr>
        <w:t xml:space="preserve"> </w:t>
      </w:r>
      <w:r>
        <w:rPr>
          <w:color w:val="231F20"/>
          <w:sz w:val="20"/>
        </w:rPr>
        <w:t>does</w:t>
      </w:r>
      <w:r>
        <w:rPr>
          <w:color w:val="231F20"/>
          <w:spacing w:val="-10"/>
          <w:sz w:val="20"/>
        </w:rPr>
        <w:t xml:space="preserve"> </w:t>
      </w:r>
      <w:r>
        <w:rPr>
          <w:color w:val="231F20"/>
          <w:sz w:val="20"/>
        </w:rPr>
        <w:t>not</w:t>
      </w:r>
      <w:r>
        <w:rPr>
          <w:color w:val="231F20"/>
          <w:spacing w:val="-10"/>
          <w:sz w:val="20"/>
        </w:rPr>
        <w:t xml:space="preserve"> </w:t>
      </w:r>
      <w:r>
        <w:rPr>
          <w:color w:val="231F20"/>
          <w:sz w:val="20"/>
        </w:rPr>
        <w:t>address</w:t>
      </w:r>
      <w:r>
        <w:rPr>
          <w:color w:val="231F20"/>
          <w:spacing w:val="-10"/>
          <w:sz w:val="20"/>
        </w:rPr>
        <w:t xml:space="preserve"> </w:t>
      </w:r>
      <w:r>
        <w:rPr>
          <w:color w:val="231F20"/>
          <w:sz w:val="20"/>
        </w:rPr>
        <w:t>cyberstalking specifically.</w:t>
      </w:r>
      <w:r>
        <w:rPr>
          <w:color w:val="231F20"/>
          <w:position w:val="7"/>
          <w:sz w:val="11"/>
        </w:rPr>
        <w:t>106</w:t>
      </w:r>
    </w:p>
    <w:p w14:paraId="1FB66E82" w14:textId="77777777" w:rsidR="00894070" w:rsidRDefault="009B7AFD">
      <w:pPr>
        <w:pStyle w:val="ListParagraph"/>
        <w:numPr>
          <w:ilvl w:val="2"/>
          <w:numId w:val="161"/>
        </w:numPr>
        <w:tabs>
          <w:tab w:val="left" w:pos="2141"/>
          <w:tab w:val="left" w:pos="2142"/>
        </w:tabs>
        <w:spacing w:before="56" w:line="259" w:lineRule="exact"/>
        <w:ind w:hanging="340"/>
        <w:rPr>
          <w:sz w:val="20"/>
        </w:rPr>
      </w:pPr>
      <w:r>
        <w:rPr>
          <w:color w:val="231F20"/>
          <w:sz w:val="20"/>
        </w:rPr>
        <w:t>General</w:t>
      </w:r>
      <w:r>
        <w:rPr>
          <w:color w:val="231F20"/>
          <w:spacing w:val="-6"/>
          <w:sz w:val="20"/>
        </w:rPr>
        <w:t xml:space="preserve"> </w:t>
      </w:r>
      <w:r>
        <w:rPr>
          <w:color w:val="231F20"/>
          <w:spacing w:val="-3"/>
          <w:sz w:val="20"/>
        </w:rPr>
        <w:t>resources,</w:t>
      </w:r>
      <w:r>
        <w:rPr>
          <w:color w:val="231F20"/>
          <w:spacing w:val="-5"/>
          <w:sz w:val="20"/>
        </w:rPr>
        <w:t xml:space="preserve"> </w:t>
      </w:r>
      <w:r>
        <w:rPr>
          <w:color w:val="231F20"/>
          <w:sz w:val="20"/>
        </w:rPr>
        <w:t>such</w:t>
      </w:r>
      <w:r>
        <w:rPr>
          <w:color w:val="231F20"/>
          <w:spacing w:val="-5"/>
          <w:sz w:val="20"/>
        </w:rPr>
        <w:t xml:space="preserve"> </w:t>
      </w:r>
      <w:r>
        <w:rPr>
          <w:color w:val="231F20"/>
          <w:sz w:val="20"/>
        </w:rPr>
        <w:t>as</w:t>
      </w:r>
      <w:r>
        <w:rPr>
          <w:color w:val="231F20"/>
          <w:spacing w:val="-6"/>
          <w:sz w:val="20"/>
        </w:rPr>
        <w:t xml:space="preserve"> </w:t>
      </w:r>
      <w:r>
        <w:rPr>
          <w:color w:val="231F20"/>
          <w:sz w:val="20"/>
        </w:rPr>
        <w:t>the</w:t>
      </w:r>
      <w:r>
        <w:rPr>
          <w:color w:val="231F20"/>
          <w:spacing w:val="-5"/>
          <w:sz w:val="20"/>
        </w:rPr>
        <w:t xml:space="preserve"> ‘YeS </w:t>
      </w:r>
      <w:r>
        <w:rPr>
          <w:color w:val="231F20"/>
          <w:sz w:val="20"/>
        </w:rPr>
        <w:t>Project’</w:t>
      </w:r>
      <w:r>
        <w:rPr>
          <w:color w:val="231F20"/>
          <w:spacing w:val="-6"/>
          <w:sz w:val="20"/>
        </w:rPr>
        <w:t xml:space="preserve"> </w:t>
      </w:r>
      <w:r>
        <w:rPr>
          <w:color w:val="231F20"/>
          <w:sz w:val="20"/>
        </w:rPr>
        <w:t>workshop</w:t>
      </w:r>
      <w:r>
        <w:rPr>
          <w:color w:val="231F20"/>
          <w:spacing w:val="-5"/>
          <w:sz w:val="20"/>
        </w:rPr>
        <w:t xml:space="preserve"> </w:t>
      </w:r>
      <w:r>
        <w:rPr>
          <w:color w:val="231F20"/>
          <w:sz w:val="20"/>
        </w:rPr>
        <w:t>handbook,</w:t>
      </w:r>
      <w:r>
        <w:rPr>
          <w:color w:val="231F20"/>
          <w:spacing w:val="-5"/>
          <w:sz w:val="20"/>
        </w:rPr>
        <w:t xml:space="preserve"> </w:t>
      </w:r>
      <w:r>
        <w:rPr>
          <w:color w:val="231F20"/>
          <w:sz w:val="20"/>
        </w:rPr>
        <w:t>contain</w:t>
      </w:r>
      <w:r>
        <w:rPr>
          <w:color w:val="231F20"/>
          <w:spacing w:val="-6"/>
          <w:sz w:val="20"/>
        </w:rPr>
        <w:t xml:space="preserve"> </w:t>
      </w:r>
      <w:r>
        <w:rPr>
          <w:color w:val="231F20"/>
          <w:spacing w:val="-3"/>
          <w:sz w:val="20"/>
        </w:rPr>
        <w:t>only</w:t>
      </w:r>
      <w:r>
        <w:rPr>
          <w:color w:val="231F20"/>
          <w:spacing w:val="-5"/>
          <w:sz w:val="20"/>
        </w:rPr>
        <w:t xml:space="preserve"> </w:t>
      </w:r>
      <w:r>
        <w:rPr>
          <w:color w:val="231F20"/>
          <w:sz w:val="20"/>
        </w:rPr>
        <w:t>very</w:t>
      </w:r>
    </w:p>
    <w:p w14:paraId="34BA4273" w14:textId="77777777" w:rsidR="00894070" w:rsidRDefault="009B7AFD">
      <w:pPr>
        <w:pStyle w:val="BodyText"/>
        <w:spacing w:line="259" w:lineRule="exact"/>
        <w:ind w:left="277" w:right="1651"/>
        <w:jc w:val="center"/>
        <w:rPr>
          <w:sz w:val="11"/>
        </w:rPr>
      </w:pPr>
      <w:r>
        <w:rPr>
          <w:color w:val="231F20"/>
        </w:rPr>
        <w:t>brief references to stalking and the fact that it is a crime.</w:t>
      </w:r>
      <w:r>
        <w:rPr>
          <w:color w:val="231F20"/>
          <w:position w:val="7"/>
          <w:sz w:val="11"/>
        </w:rPr>
        <w:t>107</w:t>
      </w:r>
    </w:p>
    <w:p w14:paraId="68940BB8" w14:textId="77777777" w:rsidR="00894070" w:rsidRDefault="009B7AFD">
      <w:pPr>
        <w:pStyle w:val="Heading8"/>
        <w:spacing w:before="175"/>
        <w:ind w:left="1007"/>
      </w:pPr>
      <w:r>
        <w:rPr>
          <w:color w:val="231F20"/>
        </w:rPr>
        <w:t>How should public education be delivered?</w:t>
      </w:r>
    </w:p>
    <w:p w14:paraId="129278CC" w14:textId="77777777" w:rsidR="00894070" w:rsidRDefault="009B7AFD">
      <w:pPr>
        <w:pStyle w:val="ListParagraph"/>
        <w:numPr>
          <w:ilvl w:val="1"/>
          <w:numId w:val="161"/>
        </w:numPr>
        <w:tabs>
          <w:tab w:val="left" w:pos="1801"/>
          <w:tab w:val="left" w:pos="1802"/>
        </w:tabs>
        <w:spacing w:before="95" w:line="259" w:lineRule="exact"/>
        <w:rPr>
          <w:sz w:val="20"/>
        </w:rPr>
      </w:pPr>
      <w:r>
        <w:rPr>
          <w:color w:val="231F20"/>
          <w:spacing w:val="-3"/>
          <w:sz w:val="20"/>
        </w:rPr>
        <w:t>Children</w:t>
      </w:r>
      <w:r>
        <w:rPr>
          <w:color w:val="231F20"/>
          <w:spacing w:val="-6"/>
          <w:sz w:val="20"/>
        </w:rPr>
        <w:t xml:space="preserve"> </w:t>
      </w:r>
      <w:r>
        <w:rPr>
          <w:color w:val="231F20"/>
          <w:sz w:val="20"/>
        </w:rPr>
        <w:t>and</w:t>
      </w:r>
      <w:r>
        <w:rPr>
          <w:color w:val="231F20"/>
          <w:spacing w:val="-6"/>
          <w:sz w:val="20"/>
        </w:rPr>
        <w:t xml:space="preserve"> </w:t>
      </w:r>
      <w:r>
        <w:rPr>
          <w:color w:val="231F20"/>
          <w:sz w:val="20"/>
        </w:rPr>
        <w:t>young</w:t>
      </w:r>
      <w:r>
        <w:rPr>
          <w:color w:val="231F20"/>
          <w:spacing w:val="-5"/>
          <w:sz w:val="20"/>
        </w:rPr>
        <w:t xml:space="preserve"> </w:t>
      </w:r>
      <w:r>
        <w:rPr>
          <w:color w:val="231F20"/>
          <w:sz w:val="20"/>
        </w:rPr>
        <w:t>people</w:t>
      </w:r>
      <w:r>
        <w:rPr>
          <w:color w:val="231F20"/>
          <w:spacing w:val="-6"/>
          <w:sz w:val="20"/>
        </w:rPr>
        <w:t xml:space="preserve"> </w:t>
      </w:r>
      <w:r>
        <w:rPr>
          <w:color w:val="231F20"/>
          <w:sz w:val="20"/>
        </w:rPr>
        <w:t>appear</w:t>
      </w:r>
      <w:r>
        <w:rPr>
          <w:color w:val="231F20"/>
          <w:spacing w:val="-6"/>
          <w:sz w:val="20"/>
        </w:rPr>
        <w:t xml:space="preserve"> </w:t>
      </w:r>
      <w:r>
        <w:rPr>
          <w:color w:val="231F20"/>
          <w:sz w:val="20"/>
        </w:rPr>
        <w:t>to</w:t>
      </w:r>
      <w:r>
        <w:rPr>
          <w:color w:val="231F20"/>
          <w:spacing w:val="-5"/>
          <w:sz w:val="20"/>
        </w:rPr>
        <w:t xml:space="preserve"> </w:t>
      </w:r>
      <w:r>
        <w:rPr>
          <w:color w:val="231F20"/>
          <w:sz w:val="20"/>
        </w:rPr>
        <w:t>be</w:t>
      </w:r>
      <w:r>
        <w:rPr>
          <w:color w:val="231F20"/>
          <w:spacing w:val="-6"/>
          <w:sz w:val="20"/>
        </w:rPr>
        <w:t xml:space="preserve"> </w:t>
      </w:r>
      <w:r>
        <w:rPr>
          <w:color w:val="231F20"/>
          <w:sz w:val="20"/>
        </w:rPr>
        <w:t>more</w:t>
      </w:r>
      <w:r>
        <w:rPr>
          <w:color w:val="231F20"/>
          <w:spacing w:val="-5"/>
          <w:sz w:val="20"/>
        </w:rPr>
        <w:t xml:space="preserve"> </w:t>
      </w:r>
      <w:r>
        <w:rPr>
          <w:color w:val="231F20"/>
          <w:spacing w:val="-3"/>
          <w:sz w:val="20"/>
        </w:rPr>
        <w:t>likely</w:t>
      </w:r>
      <w:r>
        <w:rPr>
          <w:color w:val="231F20"/>
          <w:spacing w:val="-6"/>
          <w:sz w:val="20"/>
        </w:rPr>
        <w:t xml:space="preserve"> </w:t>
      </w:r>
      <w:r>
        <w:rPr>
          <w:color w:val="231F20"/>
          <w:sz w:val="20"/>
        </w:rPr>
        <w:t>than</w:t>
      </w:r>
      <w:r>
        <w:rPr>
          <w:color w:val="231F20"/>
          <w:spacing w:val="-6"/>
          <w:sz w:val="20"/>
        </w:rPr>
        <w:t xml:space="preserve"> </w:t>
      </w:r>
      <w:r>
        <w:rPr>
          <w:color w:val="231F20"/>
          <w:sz w:val="20"/>
        </w:rPr>
        <w:t>adults</w:t>
      </w:r>
      <w:r>
        <w:rPr>
          <w:color w:val="231F20"/>
          <w:spacing w:val="-5"/>
          <w:sz w:val="20"/>
        </w:rPr>
        <w:t xml:space="preserve"> </w:t>
      </w:r>
      <w:r>
        <w:rPr>
          <w:color w:val="231F20"/>
          <w:sz w:val="20"/>
        </w:rPr>
        <w:t>to</w:t>
      </w:r>
      <w:r>
        <w:rPr>
          <w:color w:val="231F20"/>
          <w:spacing w:val="-6"/>
          <w:sz w:val="20"/>
        </w:rPr>
        <w:t xml:space="preserve"> </w:t>
      </w:r>
      <w:r>
        <w:rPr>
          <w:color w:val="231F20"/>
          <w:sz w:val="20"/>
        </w:rPr>
        <w:t>be</w:t>
      </w:r>
      <w:r>
        <w:rPr>
          <w:color w:val="231F20"/>
          <w:spacing w:val="-5"/>
          <w:sz w:val="20"/>
        </w:rPr>
        <w:t xml:space="preserve"> </w:t>
      </w:r>
      <w:r>
        <w:rPr>
          <w:color w:val="231F20"/>
          <w:sz w:val="20"/>
        </w:rPr>
        <w:t>cyberstalked,</w:t>
      </w:r>
      <w:r>
        <w:rPr>
          <w:color w:val="231F20"/>
          <w:spacing w:val="-6"/>
          <w:sz w:val="20"/>
        </w:rPr>
        <w:t xml:space="preserve"> </w:t>
      </w:r>
      <w:r>
        <w:rPr>
          <w:color w:val="231F20"/>
          <w:sz w:val="20"/>
        </w:rPr>
        <w:t>so</w:t>
      </w:r>
    </w:p>
    <w:p w14:paraId="1830F39E" w14:textId="77777777" w:rsidR="00894070" w:rsidRDefault="009B7AFD">
      <w:pPr>
        <w:pStyle w:val="BodyText"/>
        <w:spacing w:line="259" w:lineRule="exact"/>
        <w:ind w:left="1801"/>
      </w:pPr>
      <w:r>
        <w:rPr>
          <w:color w:val="231F20"/>
        </w:rPr>
        <w:t>they should receive more tailored information on cyberstalking.</w:t>
      </w:r>
    </w:p>
    <w:p w14:paraId="28FEAF25" w14:textId="77777777" w:rsidR="00894070" w:rsidRDefault="009B7AFD">
      <w:pPr>
        <w:pStyle w:val="ListParagraph"/>
        <w:numPr>
          <w:ilvl w:val="1"/>
          <w:numId w:val="161"/>
        </w:numPr>
        <w:tabs>
          <w:tab w:val="left" w:pos="1801"/>
          <w:tab w:val="left" w:pos="1802"/>
        </w:tabs>
        <w:spacing w:before="115" w:line="206" w:lineRule="auto"/>
        <w:ind w:right="1185"/>
        <w:rPr>
          <w:sz w:val="11"/>
        </w:rPr>
      </w:pPr>
      <w:r>
        <w:rPr>
          <w:color w:val="231F20"/>
          <w:spacing w:val="-3"/>
          <w:sz w:val="20"/>
        </w:rPr>
        <w:t xml:space="preserve">Improving </w:t>
      </w:r>
      <w:r>
        <w:rPr>
          <w:color w:val="231F20"/>
          <w:sz w:val="20"/>
        </w:rPr>
        <w:t xml:space="preserve">digital literacy and </w:t>
      </w:r>
      <w:r>
        <w:rPr>
          <w:color w:val="231F20"/>
          <w:spacing w:val="-3"/>
          <w:sz w:val="20"/>
        </w:rPr>
        <w:t xml:space="preserve">awareness </w:t>
      </w:r>
      <w:r>
        <w:rPr>
          <w:color w:val="231F20"/>
          <w:sz w:val="20"/>
        </w:rPr>
        <w:t>about online safety measures is a critical part of</w:t>
      </w:r>
      <w:r>
        <w:rPr>
          <w:color w:val="231F20"/>
          <w:spacing w:val="-8"/>
          <w:sz w:val="20"/>
        </w:rPr>
        <w:t xml:space="preserve"> </w:t>
      </w:r>
      <w:r>
        <w:rPr>
          <w:color w:val="231F20"/>
          <w:sz w:val="20"/>
        </w:rPr>
        <w:t>responding</w:t>
      </w:r>
      <w:r>
        <w:rPr>
          <w:color w:val="231F20"/>
          <w:spacing w:val="-8"/>
          <w:sz w:val="20"/>
        </w:rPr>
        <w:t xml:space="preserve"> </w:t>
      </w:r>
      <w:r>
        <w:rPr>
          <w:color w:val="231F20"/>
          <w:sz w:val="20"/>
        </w:rPr>
        <w:t>to</w:t>
      </w:r>
      <w:r>
        <w:rPr>
          <w:color w:val="231F20"/>
          <w:spacing w:val="-8"/>
          <w:sz w:val="20"/>
        </w:rPr>
        <w:t xml:space="preserve"> </w:t>
      </w:r>
      <w:r>
        <w:rPr>
          <w:color w:val="231F20"/>
          <w:sz w:val="20"/>
        </w:rPr>
        <w:t>cyberstalking.</w:t>
      </w:r>
      <w:r>
        <w:rPr>
          <w:color w:val="231F20"/>
          <w:spacing w:val="-8"/>
          <w:sz w:val="20"/>
        </w:rPr>
        <w:t xml:space="preserve"> </w:t>
      </w:r>
      <w:r>
        <w:rPr>
          <w:color w:val="231F20"/>
          <w:spacing w:val="-3"/>
          <w:sz w:val="20"/>
        </w:rPr>
        <w:t>Improving</w:t>
      </w:r>
      <w:r>
        <w:rPr>
          <w:color w:val="231F20"/>
          <w:spacing w:val="-8"/>
          <w:sz w:val="20"/>
        </w:rPr>
        <w:t xml:space="preserve"> </w:t>
      </w:r>
      <w:r>
        <w:rPr>
          <w:color w:val="231F20"/>
          <w:spacing w:val="-3"/>
          <w:sz w:val="20"/>
        </w:rPr>
        <w:t>parents’</w:t>
      </w:r>
      <w:r>
        <w:rPr>
          <w:color w:val="231F20"/>
          <w:spacing w:val="-8"/>
          <w:sz w:val="20"/>
        </w:rPr>
        <w:t xml:space="preserve"> </w:t>
      </w:r>
      <w:r>
        <w:rPr>
          <w:color w:val="231F20"/>
          <w:sz w:val="20"/>
        </w:rPr>
        <w:t>digital</w:t>
      </w:r>
      <w:r>
        <w:rPr>
          <w:color w:val="231F20"/>
          <w:spacing w:val="-8"/>
          <w:sz w:val="20"/>
        </w:rPr>
        <w:t xml:space="preserve"> </w:t>
      </w:r>
      <w:r>
        <w:rPr>
          <w:color w:val="231F20"/>
          <w:sz w:val="20"/>
        </w:rPr>
        <w:t>literacy</w:t>
      </w:r>
      <w:r>
        <w:rPr>
          <w:color w:val="231F20"/>
          <w:spacing w:val="-8"/>
          <w:sz w:val="20"/>
        </w:rPr>
        <w:t xml:space="preserve"> </w:t>
      </w:r>
      <w:r>
        <w:rPr>
          <w:color w:val="231F20"/>
          <w:sz w:val="20"/>
        </w:rPr>
        <w:t>and</w:t>
      </w:r>
      <w:r>
        <w:rPr>
          <w:color w:val="231F20"/>
          <w:spacing w:val="-7"/>
          <w:sz w:val="20"/>
        </w:rPr>
        <w:t xml:space="preserve"> </w:t>
      </w:r>
      <w:r>
        <w:rPr>
          <w:color w:val="231F20"/>
          <w:spacing w:val="-3"/>
          <w:sz w:val="20"/>
        </w:rPr>
        <w:t>awareness</w:t>
      </w:r>
      <w:r>
        <w:rPr>
          <w:color w:val="231F20"/>
          <w:spacing w:val="-8"/>
          <w:sz w:val="20"/>
        </w:rPr>
        <w:t xml:space="preserve"> </w:t>
      </w:r>
      <w:r>
        <w:rPr>
          <w:color w:val="231F20"/>
          <w:spacing w:val="-3"/>
          <w:sz w:val="20"/>
        </w:rPr>
        <w:t xml:space="preserve">would </w:t>
      </w:r>
      <w:r>
        <w:rPr>
          <w:color w:val="231F20"/>
          <w:sz w:val="20"/>
        </w:rPr>
        <w:t xml:space="preserve">help </w:t>
      </w:r>
      <w:r>
        <w:rPr>
          <w:color w:val="231F20"/>
          <w:spacing w:val="-3"/>
          <w:sz w:val="20"/>
        </w:rPr>
        <w:t xml:space="preserve">children </w:t>
      </w:r>
      <w:r>
        <w:rPr>
          <w:color w:val="231F20"/>
          <w:sz w:val="20"/>
        </w:rPr>
        <w:t xml:space="preserve">and young people who </w:t>
      </w:r>
      <w:r>
        <w:rPr>
          <w:color w:val="231F20"/>
          <w:spacing w:val="-3"/>
          <w:sz w:val="20"/>
        </w:rPr>
        <w:t xml:space="preserve">are </w:t>
      </w:r>
      <w:r>
        <w:rPr>
          <w:color w:val="231F20"/>
          <w:sz w:val="20"/>
        </w:rPr>
        <w:t>experiencing</w:t>
      </w:r>
      <w:r>
        <w:rPr>
          <w:color w:val="231F20"/>
          <w:spacing w:val="-35"/>
          <w:sz w:val="20"/>
        </w:rPr>
        <w:t xml:space="preserve"> </w:t>
      </w:r>
      <w:r>
        <w:rPr>
          <w:color w:val="231F20"/>
          <w:sz w:val="20"/>
        </w:rPr>
        <w:t>cyberstalking.</w:t>
      </w:r>
      <w:r>
        <w:rPr>
          <w:color w:val="231F20"/>
          <w:position w:val="7"/>
          <w:sz w:val="11"/>
        </w:rPr>
        <w:t>108</w:t>
      </w:r>
    </w:p>
    <w:p w14:paraId="4D91E180" w14:textId="77777777" w:rsidR="00894070" w:rsidRDefault="00894070">
      <w:pPr>
        <w:pStyle w:val="BodyText"/>
      </w:pPr>
    </w:p>
    <w:p w14:paraId="7084DB24" w14:textId="77777777" w:rsidR="00894070" w:rsidRDefault="009F6793">
      <w:pPr>
        <w:pStyle w:val="BodyText"/>
        <w:spacing w:before="3"/>
        <w:rPr>
          <w:sz w:val="10"/>
        </w:rPr>
      </w:pPr>
      <w:r>
        <w:pict w14:anchorId="1E4984EB">
          <v:line id="_x0000_s1577" style="position:absolute;z-index:251494400;mso-wrap-distance-left:0;mso-wrap-distance-right:0;mso-position-horizontal-relative:page" from="79.35pt,9.6pt" to="515.9pt,9.6pt" strokecolor="#f8cabc" strokeweight="1pt">
            <w10:wrap type="topAndBottom" anchorx="page"/>
          </v:line>
        </w:pict>
      </w:r>
    </w:p>
    <w:p w14:paraId="33D7E6A5" w14:textId="77777777" w:rsidR="00894070" w:rsidRDefault="009B7AFD">
      <w:pPr>
        <w:pStyle w:val="ListParagraph"/>
        <w:numPr>
          <w:ilvl w:val="0"/>
          <w:numId w:val="152"/>
        </w:numPr>
        <w:tabs>
          <w:tab w:val="left" w:pos="1801"/>
          <w:tab w:val="left" w:pos="1802"/>
        </w:tabs>
        <w:spacing w:before="107" w:line="213" w:lineRule="auto"/>
        <w:ind w:right="1299"/>
        <w:rPr>
          <w:sz w:val="13"/>
        </w:rPr>
      </w:pPr>
      <w:r>
        <w:rPr>
          <w:color w:val="231F20"/>
          <w:sz w:val="13"/>
        </w:rPr>
        <w:t xml:space="preserve">Wei-Jung Chang, </w:t>
      </w:r>
      <w:r>
        <w:rPr>
          <w:color w:val="231F20"/>
          <w:spacing w:val="2"/>
          <w:sz w:val="13"/>
        </w:rPr>
        <w:t xml:space="preserve">‘Cyberstalking </w:t>
      </w:r>
      <w:r>
        <w:rPr>
          <w:color w:val="231F20"/>
          <w:sz w:val="13"/>
        </w:rPr>
        <w:t xml:space="preserve">and Law Enforcement’ (2020) 176 </w:t>
      </w:r>
      <w:r>
        <w:rPr>
          <w:i/>
          <w:color w:val="231F20"/>
          <w:sz w:val="13"/>
        </w:rPr>
        <w:t xml:space="preserve">Procedia Computer Science </w:t>
      </w:r>
      <w:r>
        <w:rPr>
          <w:color w:val="231F20"/>
          <w:sz w:val="13"/>
        </w:rPr>
        <w:t xml:space="preserve">1188, 1192. See </w:t>
      </w:r>
      <w:r>
        <w:rPr>
          <w:color w:val="231F20"/>
          <w:spacing w:val="2"/>
          <w:sz w:val="13"/>
        </w:rPr>
        <w:t xml:space="preserve">also Cassandra </w:t>
      </w:r>
      <w:r>
        <w:rPr>
          <w:color w:val="231F20"/>
          <w:sz w:val="13"/>
        </w:rPr>
        <w:t xml:space="preserve">Cross and Thomas Holt, </w:t>
      </w:r>
      <w:r>
        <w:rPr>
          <w:i/>
          <w:color w:val="231F20"/>
          <w:sz w:val="13"/>
        </w:rPr>
        <w:t xml:space="preserve">Responding to Cybercrime: Results of a Comparison </w:t>
      </w:r>
      <w:r>
        <w:rPr>
          <w:i/>
          <w:color w:val="231F20"/>
          <w:spacing w:val="2"/>
          <w:sz w:val="13"/>
        </w:rPr>
        <w:t xml:space="preserve">between </w:t>
      </w:r>
      <w:r>
        <w:rPr>
          <w:i/>
          <w:color w:val="231F20"/>
          <w:sz w:val="13"/>
        </w:rPr>
        <w:t xml:space="preserve">Community Members and Police Personnel </w:t>
      </w:r>
      <w:r>
        <w:rPr>
          <w:color w:val="231F20"/>
          <w:sz w:val="13"/>
        </w:rPr>
        <w:t>(Trends &amp; Issues in Crime and Criminal Justice No. 635, Australian Institute of Criminology, 19 August 2021) 1</w:t>
      </w:r>
      <w:hyperlink r:id="rId87">
        <w:r>
          <w:rPr>
            <w:color w:val="231F20"/>
            <w:sz w:val="13"/>
          </w:rPr>
          <w:t>5 &lt;https://www.aic.</w:t>
        </w:r>
      </w:hyperlink>
      <w:hyperlink r:id="rId88">
        <w:r>
          <w:rPr>
            <w:color w:val="231F20"/>
            <w:sz w:val="13"/>
          </w:rPr>
          <w:t xml:space="preserve"> gov.au/publications/tandi/tandi635</w:t>
        </w:r>
      </w:hyperlink>
      <w:r>
        <w:rPr>
          <w:color w:val="231F20"/>
          <w:sz w:val="13"/>
        </w:rPr>
        <w:t>&gt;.</w:t>
      </w:r>
    </w:p>
    <w:p w14:paraId="7CB81770" w14:textId="77777777" w:rsidR="00894070" w:rsidRDefault="009B7AFD">
      <w:pPr>
        <w:pStyle w:val="ListParagraph"/>
        <w:numPr>
          <w:ilvl w:val="0"/>
          <w:numId w:val="152"/>
        </w:numPr>
        <w:tabs>
          <w:tab w:val="left" w:pos="1801"/>
          <w:tab w:val="left" w:pos="1802"/>
        </w:tabs>
        <w:spacing w:line="151" w:lineRule="exact"/>
        <w:rPr>
          <w:sz w:val="13"/>
        </w:rPr>
      </w:pPr>
      <w:r>
        <w:rPr>
          <w:color w:val="231F20"/>
          <w:sz w:val="13"/>
        </w:rPr>
        <w:t>Consultation 8 (eSafety Commissioner).</w:t>
      </w:r>
    </w:p>
    <w:p w14:paraId="3D68192D" w14:textId="77777777" w:rsidR="00894070" w:rsidRDefault="009B7AFD">
      <w:pPr>
        <w:pStyle w:val="ListParagraph"/>
        <w:numPr>
          <w:ilvl w:val="0"/>
          <w:numId w:val="152"/>
        </w:numPr>
        <w:tabs>
          <w:tab w:val="left" w:pos="1801"/>
          <w:tab w:val="left" w:pos="1802"/>
        </w:tabs>
        <w:spacing w:before="6"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5D9AA5FE" w14:textId="77777777" w:rsidR="00894070" w:rsidRDefault="009B7AFD">
      <w:pPr>
        <w:pStyle w:val="ListParagraph"/>
        <w:numPr>
          <w:ilvl w:val="0"/>
          <w:numId w:val="152"/>
        </w:numPr>
        <w:tabs>
          <w:tab w:val="left" w:pos="1801"/>
          <w:tab w:val="left" w:pos="1802"/>
        </w:tabs>
        <w:spacing w:line="153" w:lineRule="exact"/>
        <w:rPr>
          <w:sz w:val="13"/>
        </w:rPr>
      </w:pPr>
      <w:r>
        <w:rPr>
          <w:color w:val="231F20"/>
          <w:sz w:val="13"/>
        </w:rPr>
        <w:t xml:space="preserve">Consultation 29 </w:t>
      </w:r>
      <w:r>
        <w:rPr>
          <w:color w:val="231F20"/>
          <w:spacing w:val="2"/>
          <w:sz w:val="13"/>
        </w:rPr>
        <w:t xml:space="preserve">(Alannah </w:t>
      </w:r>
      <w:r>
        <w:rPr>
          <w:color w:val="231F20"/>
          <w:sz w:val="13"/>
        </w:rPr>
        <w:t>&amp; Madeline</w:t>
      </w:r>
      <w:r>
        <w:rPr>
          <w:color w:val="231F20"/>
          <w:spacing w:val="-1"/>
          <w:sz w:val="13"/>
        </w:rPr>
        <w:t xml:space="preserve"> </w:t>
      </w:r>
      <w:r>
        <w:rPr>
          <w:color w:val="231F20"/>
          <w:sz w:val="13"/>
        </w:rPr>
        <w:t>Foundation).</w:t>
      </w:r>
    </w:p>
    <w:p w14:paraId="10DEE887" w14:textId="77777777" w:rsidR="00894070" w:rsidRDefault="009B7AFD">
      <w:pPr>
        <w:pStyle w:val="ListParagraph"/>
        <w:numPr>
          <w:ilvl w:val="0"/>
          <w:numId w:val="152"/>
        </w:numPr>
        <w:tabs>
          <w:tab w:val="left" w:pos="1801"/>
          <w:tab w:val="left" w:pos="1802"/>
        </w:tabs>
        <w:spacing w:before="7" w:line="213" w:lineRule="auto"/>
        <w:ind w:right="1726"/>
        <w:rPr>
          <w:sz w:val="13"/>
        </w:rPr>
      </w:pPr>
      <w:r>
        <w:rPr>
          <w:color w:val="231F20"/>
          <w:sz w:val="13"/>
        </w:rPr>
        <w:t xml:space="preserve">‘Cyberstalking’, </w:t>
      </w:r>
      <w:r>
        <w:rPr>
          <w:i/>
          <w:color w:val="231F20"/>
          <w:sz w:val="13"/>
        </w:rPr>
        <w:t xml:space="preserve">ESafety Commissioner </w:t>
      </w:r>
      <w:r>
        <w:rPr>
          <w:color w:val="231F20"/>
          <w:sz w:val="13"/>
        </w:rPr>
        <w:t>(Web Pag</w:t>
      </w:r>
      <w:hyperlink r:id="rId89">
        <w:r>
          <w:rPr>
            <w:color w:val="231F20"/>
            <w:sz w:val="13"/>
          </w:rPr>
          <w:t>e) &lt;https://www.esafety.gov.au/key-issues/domestic-family-violence/</w:t>
        </w:r>
      </w:hyperlink>
      <w:hyperlink r:id="rId90">
        <w:r>
          <w:rPr>
            <w:color w:val="231F20"/>
            <w:sz w:val="13"/>
          </w:rPr>
          <w:t xml:space="preserve"> technology-facilitated-abuse/cyberstalking</w:t>
        </w:r>
      </w:hyperlink>
      <w:r>
        <w:rPr>
          <w:color w:val="231F20"/>
          <w:sz w:val="13"/>
        </w:rPr>
        <w:t>&gt;.</w:t>
      </w:r>
    </w:p>
    <w:p w14:paraId="528B420F" w14:textId="77777777" w:rsidR="00894070" w:rsidRDefault="009B7AFD">
      <w:pPr>
        <w:pStyle w:val="ListParagraph"/>
        <w:numPr>
          <w:ilvl w:val="0"/>
          <w:numId w:val="152"/>
        </w:numPr>
        <w:tabs>
          <w:tab w:val="left" w:pos="1801"/>
          <w:tab w:val="left" w:pos="1802"/>
        </w:tabs>
        <w:spacing w:line="213" w:lineRule="auto"/>
        <w:ind w:right="1330"/>
        <w:rPr>
          <w:sz w:val="13"/>
        </w:rPr>
      </w:pPr>
      <w:r>
        <w:rPr>
          <w:color w:val="231F20"/>
          <w:sz w:val="13"/>
        </w:rPr>
        <w:t xml:space="preserve">Office of the eSafety </w:t>
      </w:r>
      <w:r>
        <w:rPr>
          <w:color w:val="231F20"/>
          <w:spacing w:val="2"/>
          <w:sz w:val="13"/>
        </w:rPr>
        <w:t xml:space="preserve">Commissioner </w:t>
      </w:r>
      <w:r>
        <w:rPr>
          <w:color w:val="231F20"/>
          <w:sz w:val="13"/>
        </w:rPr>
        <w:t xml:space="preserve">(Cth), ‘Classroom Resources’, </w:t>
      </w:r>
      <w:r>
        <w:rPr>
          <w:i/>
          <w:color w:val="231F20"/>
          <w:sz w:val="13"/>
        </w:rPr>
        <w:t xml:space="preserve">ESafety Commissioner </w:t>
      </w:r>
      <w:r>
        <w:rPr>
          <w:color w:val="231F20"/>
          <w:sz w:val="13"/>
        </w:rPr>
        <w:t>(Web Pag</w:t>
      </w:r>
      <w:hyperlink r:id="rId91">
        <w:r>
          <w:rPr>
            <w:color w:val="231F20"/>
            <w:sz w:val="13"/>
          </w:rPr>
          <w:t>e) &lt;https://www.esafety.gov.</w:t>
        </w:r>
      </w:hyperlink>
      <w:hyperlink r:id="rId92">
        <w:r>
          <w:rPr>
            <w:color w:val="231F20"/>
            <w:sz w:val="13"/>
          </w:rPr>
          <w:t xml:space="preserve"> au/educators/classroom-resources</w:t>
        </w:r>
      </w:hyperlink>
      <w:r>
        <w:rPr>
          <w:color w:val="231F20"/>
          <w:sz w:val="13"/>
        </w:rPr>
        <w:t>&gt;.</w:t>
      </w:r>
    </w:p>
    <w:p w14:paraId="43720A12" w14:textId="77777777" w:rsidR="00894070" w:rsidRDefault="009B7AFD">
      <w:pPr>
        <w:pStyle w:val="ListParagraph"/>
        <w:numPr>
          <w:ilvl w:val="0"/>
          <w:numId w:val="152"/>
        </w:numPr>
        <w:tabs>
          <w:tab w:val="left" w:pos="1800"/>
          <w:tab w:val="left" w:pos="1802"/>
        </w:tabs>
        <w:spacing w:line="213" w:lineRule="auto"/>
        <w:ind w:right="2028"/>
        <w:rPr>
          <w:sz w:val="13"/>
        </w:rPr>
      </w:pPr>
      <w:r>
        <w:rPr>
          <w:color w:val="231F20"/>
          <w:sz w:val="13"/>
        </w:rPr>
        <w:t xml:space="preserve">Natalie Hendry, Jenny Walsh and </w:t>
      </w:r>
      <w:r>
        <w:rPr>
          <w:color w:val="231F20"/>
          <w:spacing w:val="2"/>
          <w:sz w:val="13"/>
        </w:rPr>
        <w:t xml:space="preserve">Sharyn </w:t>
      </w:r>
      <w:r>
        <w:rPr>
          <w:color w:val="231F20"/>
          <w:sz w:val="13"/>
        </w:rPr>
        <w:t xml:space="preserve">Leahy Hatton, </w:t>
      </w:r>
      <w:r>
        <w:rPr>
          <w:i/>
          <w:color w:val="231F20"/>
          <w:sz w:val="13"/>
        </w:rPr>
        <w:t xml:space="preserve">The YeS Project </w:t>
      </w:r>
      <w:r>
        <w:rPr>
          <w:color w:val="231F20"/>
          <w:sz w:val="13"/>
        </w:rPr>
        <w:t xml:space="preserve">(Workshop </w:t>
      </w:r>
      <w:r>
        <w:rPr>
          <w:color w:val="231F20"/>
          <w:spacing w:val="2"/>
          <w:sz w:val="13"/>
        </w:rPr>
        <w:t xml:space="preserve">Handbook, </w:t>
      </w:r>
      <w:r>
        <w:rPr>
          <w:color w:val="231F20"/>
          <w:sz w:val="13"/>
        </w:rPr>
        <w:t xml:space="preserve">Office of the eSafety </w:t>
      </w:r>
      <w:r>
        <w:rPr>
          <w:color w:val="231F20"/>
          <w:spacing w:val="2"/>
          <w:sz w:val="13"/>
        </w:rPr>
        <w:t xml:space="preserve">Commissioner </w:t>
      </w:r>
      <w:r>
        <w:rPr>
          <w:color w:val="231F20"/>
          <w:sz w:val="13"/>
        </w:rPr>
        <w:t>(Cth), 2018)</w:t>
      </w:r>
      <w:r>
        <w:rPr>
          <w:color w:val="231F20"/>
          <w:spacing w:val="-2"/>
          <w:sz w:val="13"/>
        </w:rPr>
        <w:t xml:space="preserve"> </w:t>
      </w:r>
      <w:r>
        <w:rPr>
          <w:color w:val="231F20"/>
          <w:sz w:val="13"/>
        </w:rPr>
        <w:t>46.</w:t>
      </w:r>
    </w:p>
    <w:p w14:paraId="08F93F77" w14:textId="77777777" w:rsidR="00894070" w:rsidRDefault="009F6793">
      <w:pPr>
        <w:pStyle w:val="ListParagraph"/>
        <w:numPr>
          <w:ilvl w:val="0"/>
          <w:numId w:val="152"/>
        </w:numPr>
        <w:tabs>
          <w:tab w:val="left" w:pos="1800"/>
          <w:tab w:val="left" w:pos="1802"/>
        </w:tabs>
        <w:spacing w:line="213" w:lineRule="auto"/>
        <w:ind w:right="1255"/>
        <w:rPr>
          <w:sz w:val="13"/>
        </w:rPr>
      </w:pPr>
      <w:r>
        <w:pict w14:anchorId="057CF661">
          <v:shape id="_x0000_s1576" type="#_x0000_t202" style="position:absolute;left:0;text-align:left;margin-left:36pt;margin-top:3.4pt;width:13.5pt;height:14.1pt;z-index:251567104;mso-position-horizontal-relative:page" filled="f" stroked="f">
            <v:textbox inset="0,0,0,0">
              <w:txbxContent>
                <w:p w14:paraId="123CF873" w14:textId="77777777" w:rsidR="00894070" w:rsidRDefault="009B7AFD">
                  <w:pPr>
                    <w:spacing w:line="282" w:lineRule="exact"/>
                    <w:rPr>
                      <w:b/>
                      <w:sz w:val="24"/>
                    </w:rPr>
                  </w:pPr>
                  <w:r>
                    <w:rPr>
                      <w:b/>
                      <w:color w:val="EA5B50"/>
                      <w:spacing w:val="-2"/>
                      <w:sz w:val="24"/>
                    </w:rPr>
                    <w:t>42</w:t>
                  </w:r>
                </w:p>
              </w:txbxContent>
            </v:textbox>
            <w10:wrap anchorx="page"/>
          </v:shape>
        </w:pict>
      </w:r>
      <w:r w:rsidR="009B7AFD">
        <w:rPr>
          <w:color w:val="231F20"/>
          <w:sz w:val="13"/>
        </w:rPr>
        <w:t xml:space="preserve">Consultation 29 </w:t>
      </w:r>
      <w:r w:rsidR="009B7AFD">
        <w:rPr>
          <w:color w:val="231F20"/>
          <w:spacing w:val="2"/>
          <w:sz w:val="13"/>
        </w:rPr>
        <w:t xml:space="preserve">(Alannah </w:t>
      </w:r>
      <w:r w:rsidR="009B7AFD">
        <w:rPr>
          <w:color w:val="231F20"/>
          <w:sz w:val="13"/>
        </w:rPr>
        <w:t xml:space="preserve">&amp; Madeline Foundation). See </w:t>
      </w:r>
      <w:r w:rsidR="009B7AFD">
        <w:rPr>
          <w:color w:val="231F20"/>
          <w:spacing w:val="2"/>
          <w:sz w:val="13"/>
        </w:rPr>
        <w:t xml:space="preserve">also </w:t>
      </w:r>
      <w:r w:rsidR="009B7AFD">
        <w:rPr>
          <w:color w:val="231F20"/>
          <w:sz w:val="13"/>
        </w:rPr>
        <w:t xml:space="preserve">Puneet Kaur et </w:t>
      </w:r>
      <w:r w:rsidR="009B7AFD">
        <w:rPr>
          <w:color w:val="231F20"/>
          <w:spacing w:val="2"/>
          <w:sz w:val="13"/>
        </w:rPr>
        <w:t xml:space="preserve">al, </w:t>
      </w:r>
      <w:r w:rsidR="009B7AFD">
        <w:rPr>
          <w:color w:val="231F20"/>
          <w:spacing w:val="-4"/>
          <w:sz w:val="13"/>
        </w:rPr>
        <w:t xml:space="preserve">‘A </w:t>
      </w:r>
      <w:r w:rsidR="009B7AFD">
        <w:rPr>
          <w:color w:val="231F20"/>
          <w:sz w:val="13"/>
        </w:rPr>
        <w:t xml:space="preserve">Systematic Literature Review on </w:t>
      </w:r>
      <w:r w:rsidR="009B7AFD">
        <w:rPr>
          <w:color w:val="231F20"/>
          <w:spacing w:val="2"/>
          <w:sz w:val="13"/>
        </w:rPr>
        <w:t xml:space="preserve">Cyberstalking. </w:t>
      </w:r>
      <w:r w:rsidR="009B7AFD">
        <w:rPr>
          <w:color w:val="231F20"/>
          <w:sz w:val="13"/>
        </w:rPr>
        <w:t>An</w:t>
      </w:r>
      <w:r w:rsidR="009B7AFD">
        <w:rPr>
          <w:color w:val="231F20"/>
          <w:spacing w:val="6"/>
          <w:sz w:val="13"/>
        </w:rPr>
        <w:t xml:space="preserve"> </w:t>
      </w:r>
      <w:r w:rsidR="009B7AFD">
        <w:rPr>
          <w:color w:val="231F20"/>
          <w:sz w:val="13"/>
        </w:rPr>
        <w:t>Analysis</w:t>
      </w:r>
      <w:r w:rsidR="009B7AFD">
        <w:rPr>
          <w:color w:val="231F20"/>
          <w:spacing w:val="7"/>
          <w:sz w:val="13"/>
        </w:rPr>
        <w:t xml:space="preserve"> </w:t>
      </w:r>
      <w:r w:rsidR="009B7AFD">
        <w:rPr>
          <w:color w:val="231F20"/>
          <w:sz w:val="13"/>
        </w:rPr>
        <w:t>of</w:t>
      </w:r>
      <w:r w:rsidR="009B7AFD">
        <w:rPr>
          <w:color w:val="231F20"/>
          <w:spacing w:val="7"/>
          <w:sz w:val="13"/>
        </w:rPr>
        <w:t xml:space="preserve"> </w:t>
      </w:r>
      <w:r w:rsidR="009B7AFD">
        <w:rPr>
          <w:color w:val="231F20"/>
          <w:sz w:val="13"/>
        </w:rPr>
        <w:t>Past</w:t>
      </w:r>
      <w:r w:rsidR="009B7AFD">
        <w:rPr>
          <w:color w:val="231F20"/>
          <w:spacing w:val="7"/>
          <w:sz w:val="13"/>
        </w:rPr>
        <w:t xml:space="preserve"> </w:t>
      </w:r>
      <w:r w:rsidR="009B7AFD">
        <w:rPr>
          <w:color w:val="231F20"/>
          <w:sz w:val="13"/>
        </w:rPr>
        <w:t>Achievements</w:t>
      </w:r>
      <w:r w:rsidR="009B7AFD">
        <w:rPr>
          <w:color w:val="231F20"/>
          <w:spacing w:val="7"/>
          <w:sz w:val="13"/>
        </w:rPr>
        <w:t xml:space="preserve"> </w:t>
      </w:r>
      <w:r w:rsidR="009B7AFD">
        <w:rPr>
          <w:color w:val="231F20"/>
          <w:sz w:val="13"/>
        </w:rPr>
        <w:t>and</w:t>
      </w:r>
      <w:r w:rsidR="009B7AFD">
        <w:rPr>
          <w:color w:val="231F20"/>
          <w:spacing w:val="7"/>
          <w:sz w:val="13"/>
        </w:rPr>
        <w:t xml:space="preserve"> </w:t>
      </w:r>
      <w:r w:rsidR="009B7AFD">
        <w:rPr>
          <w:color w:val="231F20"/>
          <w:sz w:val="13"/>
        </w:rPr>
        <w:t>Future</w:t>
      </w:r>
      <w:r w:rsidR="009B7AFD">
        <w:rPr>
          <w:color w:val="231F20"/>
          <w:spacing w:val="7"/>
          <w:sz w:val="13"/>
        </w:rPr>
        <w:t xml:space="preserve"> </w:t>
      </w:r>
      <w:r w:rsidR="009B7AFD">
        <w:rPr>
          <w:color w:val="231F20"/>
          <w:sz w:val="13"/>
        </w:rPr>
        <w:t>Promises’</w:t>
      </w:r>
      <w:r w:rsidR="009B7AFD">
        <w:rPr>
          <w:color w:val="231F20"/>
          <w:spacing w:val="7"/>
          <w:sz w:val="13"/>
        </w:rPr>
        <w:t xml:space="preserve"> </w:t>
      </w:r>
      <w:r w:rsidR="009B7AFD">
        <w:rPr>
          <w:color w:val="231F20"/>
          <w:sz w:val="13"/>
        </w:rPr>
        <w:t>(2021)</w:t>
      </w:r>
      <w:r w:rsidR="009B7AFD">
        <w:rPr>
          <w:color w:val="231F20"/>
          <w:spacing w:val="7"/>
          <w:sz w:val="13"/>
        </w:rPr>
        <w:t xml:space="preserve"> </w:t>
      </w:r>
      <w:r w:rsidR="009B7AFD">
        <w:rPr>
          <w:color w:val="231F20"/>
          <w:sz w:val="13"/>
        </w:rPr>
        <w:t>163</w:t>
      </w:r>
      <w:r w:rsidR="009B7AFD">
        <w:rPr>
          <w:color w:val="231F20"/>
          <w:spacing w:val="7"/>
          <w:sz w:val="13"/>
        </w:rPr>
        <w:t xml:space="preserve"> </w:t>
      </w:r>
      <w:r w:rsidR="009B7AFD">
        <w:rPr>
          <w:i/>
          <w:color w:val="231F20"/>
          <w:sz w:val="13"/>
        </w:rPr>
        <w:t>Technological</w:t>
      </w:r>
      <w:r w:rsidR="009B7AFD">
        <w:rPr>
          <w:i/>
          <w:color w:val="231F20"/>
          <w:spacing w:val="6"/>
          <w:sz w:val="13"/>
        </w:rPr>
        <w:t xml:space="preserve"> </w:t>
      </w:r>
      <w:r w:rsidR="009B7AFD">
        <w:rPr>
          <w:i/>
          <w:color w:val="231F20"/>
          <w:sz w:val="13"/>
        </w:rPr>
        <w:t>Forecasting</w:t>
      </w:r>
      <w:r w:rsidR="009B7AFD">
        <w:rPr>
          <w:i/>
          <w:color w:val="231F20"/>
          <w:spacing w:val="7"/>
          <w:sz w:val="13"/>
        </w:rPr>
        <w:t xml:space="preserve"> </w:t>
      </w:r>
      <w:r w:rsidR="009B7AFD">
        <w:rPr>
          <w:i/>
          <w:color w:val="231F20"/>
          <w:sz w:val="13"/>
        </w:rPr>
        <w:t>and</w:t>
      </w:r>
      <w:r w:rsidR="009B7AFD">
        <w:rPr>
          <w:i/>
          <w:color w:val="231F20"/>
          <w:spacing w:val="7"/>
          <w:sz w:val="13"/>
        </w:rPr>
        <w:t xml:space="preserve"> </w:t>
      </w:r>
      <w:r w:rsidR="009B7AFD">
        <w:rPr>
          <w:i/>
          <w:color w:val="231F20"/>
          <w:sz w:val="13"/>
        </w:rPr>
        <w:t>Social</w:t>
      </w:r>
      <w:r w:rsidR="009B7AFD">
        <w:rPr>
          <w:i/>
          <w:color w:val="231F20"/>
          <w:spacing w:val="6"/>
          <w:sz w:val="13"/>
        </w:rPr>
        <w:t xml:space="preserve"> </w:t>
      </w:r>
      <w:r w:rsidR="009B7AFD">
        <w:rPr>
          <w:i/>
          <w:color w:val="231F20"/>
          <w:sz w:val="13"/>
        </w:rPr>
        <w:t>Change</w:t>
      </w:r>
      <w:r w:rsidR="009B7AFD">
        <w:rPr>
          <w:i/>
          <w:color w:val="231F20"/>
          <w:spacing w:val="7"/>
          <w:sz w:val="13"/>
        </w:rPr>
        <w:t xml:space="preserve"> </w:t>
      </w:r>
      <w:r w:rsidR="009B7AFD">
        <w:rPr>
          <w:color w:val="231F20"/>
          <w:sz w:val="13"/>
        </w:rPr>
        <w:t>120426:1–15,</w:t>
      </w:r>
      <w:r w:rsidR="009B7AFD">
        <w:rPr>
          <w:color w:val="231F20"/>
          <w:spacing w:val="7"/>
          <w:sz w:val="13"/>
        </w:rPr>
        <w:t xml:space="preserve"> </w:t>
      </w:r>
      <w:r w:rsidR="009B7AFD">
        <w:rPr>
          <w:color w:val="231F20"/>
          <w:spacing w:val="-3"/>
          <w:sz w:val="13"/>
        </w:rPr>
        <w:t>7.</w:t>
      </w:r>
    </w:p>
    <w:p w14:paraId="5D04736C" w14:textId="77777777" w:rsidR="00894070" w:rsidRDefault="00894070">
      <w:pPr>
        <w:spacing w:line="213" w:lineRule="auto"/>
        <w:rPr>
          <w:sz w:val="13"/>
        </w:rPr>
        <w:sectPr w:rsidR="00894070">
          <w:pgSz w:w="11910" w:h="16840"/>
          <w:pgMar w:top="860" w:right="420" w:bottom="280" w:left="580" w:header="567" w:footer="0" w:gutter="0"/>
          <w:cols w:space="720"/>
        </w:sectPr>
      </w:pPr>
    </w:p>
    <w:p w14:paraId="0ECCE31C" w14:textId="77777777" w:rsidR="00894070" w:rsidRDefault="00894070">
      <w:pPr>
        <w:pStyle w:val="BodyText"/>
      </w:pPr>
    </w:p>
    <w:p w14:paraId="653159B9" w14:textId="77777777" w:rsidR="00894070" w:rsidRDefault="00894070">
      <w:pPr>
        <w:pStyle w:val="BodyText"/>
      </w:pPr>
    </w:p>
    <w:p w14:paraId="314C0305" w14:textId="77777777" w:rsidR="00894070" w:rsidRDefault="00894070">
      <w:pPr>
        <w:pStyle w:val="BodyText"/>
      </w:pPr>
    </w:p>
    <w:p w14:paraId="4C1CB779" w14:textId="77777777" w:rsidR="00894070" w:rsidRDefault="00894070">
      <w:pPr>
        <w:pStyle w:val="BodyText"/>
        <w:spacing w:before="6"/>
        <w:rPr>
          <w:sz w:val="14"/>
        </w:rPr>
      </w:pPr>
    </w:p>
    <w:p w14:paraId="04B782F0" w14:textId="77777777" w:rsidR="00894070" w:rsidRDefault="009B7AFD">
      <w:pPr>
        <w:pStyle w:val="ListParagraph"/>
        <w:numPr>
          <w:ilvl w:val="1"/>
          <w:numId w:val="161"/>
        </w:numPr>
        <w:tabs>
          <w:tab w:val="left" w:pos="1801"/>
          <w:tab w:val="left" w:pos="1802"/>
        </w:tabs>
        <w:spacing w:before="90" w:line="206" w:lineRule="auto"/>
        <w:ind w:right="1333"/>
        <w:rPr>
          <w:sz w:val="20"/>
        </w:rPr>
      </w:pPr>
      <w:bookmarkStart w:id="61" w:name="Where_can_people_get_help_and_support_fo"/>
      <w:bookmarkStart w:id="62" w:name="_bookmark31"/>
      <w:bookmarkEnd w:id="61"/>
      <w:bookmarkEnd w:id="62"/>
      <w:r>
        <w:rPr>
          <w:color w:val="231F20"/>
          <w:sz w:val="20"/>
        </w:rPr>
        <w:t>The</w:t>
      </w:r>
      <w:r>
        <w:rPr>
          <w:color w:val="231F20"/>
          <w:spacing w:val="-11"/>
          <w:sz w:val="20"/>
        </w:rPr>
        <w:t xml:space="preserve"> </w:t>
      </w:r>
      <w:r>
        <w:rPr>
          <w:color w:val="231F20"/>
          <w:sz w:val="20"/>
        </w:rPr>
        <w:t>Alannah</w:t>
      </w:r>
      <w:r>
        <w:rPr>
          <w:color w:val="231F20"/>
          <w:spacing w:val="-11"/>
          <w:sz w:val="20"/>
        </w:rPr>
        <w:t xml:space="preserve"> </w:t>
      </w:r>
      <w:r>
        <w:rPr>
          <w:color w:val="231F20"/>
          <w:sz w:val="20"/>
        </w:rPr>
        <w:t>and</w:t>
      </w:r>
      <w:r>
        <w:rPr>
          <w:color w:val="231F20"/>
          <w:spacing w:val="-10"/>
          <w:sz w:val="20"/>
        </w:rPr>
        <w:t xml:space="preserve"> </w:t>
      </w:r>
      <w:r>
        <w:rPr>
          <w:color w:val="231F20"/>
          <w:sz w:val="20"/>
        </w:rPr>
        <w:t>Madeline</w:t>
      </w:r>
      <w:r>
        <w:rPr>
          <w:color w:val="231F20"/>
          <w:spacing w:val="-11"/>
          <w:sz w:val="20"/>
        </w:rPr>
        <w:t xml:space="preserve"> </w:t>
      </w:r>
      <w:r>
        <w:rPr>
          <w:color w:val="231F20"/>
          <w:sz w:val="20"/>
        </w:rPr>
        <w:t>Foundation</w:t>
      </w:r>
      <w:r>
        <w:rPr>
          <w:color w:val="231F20"/>
          <w:spacing w:val="-10"/>
          <w:sz w:val="20"/>
        </w:rPr>
        <w:t xml:space="preserve"> </w:t>
      </w:r>
      <w:r>
        <w:rPr>
          <w:color w:val="231F20"/>
          <w:sz w:val="20"/>
        </w:rPr>
        <w:t>suggested</w:t>
      </w:r>
      <w:r>
        <w:rPr>
          <w:color w:val="231F20"/>
          <w:spacing w:val="-11"/>
          <w:sz w:val="20"/>
        </w:rPr>
        <w:t xml:space="preserve"> </w:t>
      </w:r>
      <w:r>
        <w:rPr>
          <w:color w:val="231F20"/>
          <w:sz w:val="20"/>
        </w:rPr>
        <w:t>that</w:t>
      </w:r>
      <w:r>
        <w:rPr>
          <w:color w:val="231F20"/>
          <w:spacing w:val="-10"/>
          <w:sz w:val="20"/>
        </w:rPr>
        <w:t xml:space="preserve"> </w:t>
      </w:r>
      <w:r>
        <w:rPr>
          <w:color w:val="231F20"/>
          <w:sz w:val="20"/>
        </w:rPr>
        <w:t>digital</w:t>
      </w:r>
      <w:r>
        <w:rPr>
          <w:color w:val="231F20"/>
          <w:spacing w:val="-11"/>
          <w:sz w:val="20"/>
        </w:rPr>
        <w:t xml:space="preserve"> </w:t>
      </w:r>
      <w:r>
        <w:rPr>
          <w:color w:val="231F20"/>
          <w:sz w:val="20"/>
        </w:rPr>
        <w:t>literacy</w:t>
      </w:r>
      <w:r>
        <w:rPr>
          <w:color w:val="231F20"/>
          <w:spacing w:val="-10"/>
          <w:sz w:val="20"/>
        </w:rPr>
        <w:t xml:space="preserve"> </w:t>
      </w:r>
      <w:r>
        <w:rPr>
          <w:color w:val="231F20"/>
          <w:sz w:val="20"/>
        </w:rPr>
        <w:t>and</w:t>
      </w:r>
      <w:r>
        <w:rPr>
          <w:color w:val="231F20"/>
          <w:spacing w:val="-11"/>
          <w:sz w:val="20"/>
        </w:rPr>
        <w:t xml:space="preserve"> </w:t>
      </w:r>
      <w:r>
        <w:rPr>
          <w:color w:val="231F20"/>
          <w:spacing w:val="-3"/>
          <w:sz w:val="20"/>
        </w:rPr>
        <w:t xml:space="preserve">awareness </w:t>
      </w:r>
      <w:r>
        <w:rPr>
          <w:color w:val="231F20"/>
          <w:sz w:val="20"/>
        </w:rPr>
        <w:t>could be included in existing school-age programs and curricula such as the Respectful</w:t>
      </w:r>
      <w:r>
        <w:rPr>
          <w:color w:val="231F20"/>
          <w:spacing w:val="-11"/>
          <w:sz w:val="20"/>
        </w:rPr>
        <w:t xml:space="preserve"> </w:t>
      </w:r>
      <w:r>
        <w:rPr>
          <w:color w:val="231F20"/>
          <w:sz w:val="20"/>
        </w:rPr>
        <w:t>Relationships</w:t>
      </w:r>
      <w:r>
        <w:rPr>
          <w:color w:val="231F20"/>
          <w:spacing w:val="-11"/>
          <w:sz w:val="20"/>
        </w:rPr>
        <w:t xml:space="preserve"> </w:t>
      </w:r>
      <w:r>
        <w:rPr>
          <w:color w:val="231F20"/>
          <w:sz w:val="20"/>
        </w:rPr>
        <w:t>curriculum.</w:t>
      </w:r>
      <w:r>
        <w:rPr>
          <w:color w:val="231F20"/>
          <w:spacing w:val="-11"/>
          <w:sz w:val="20"/>
        </w:rPr>
        <w:t xml:space="preserve"> </w:t>
      </w:r>
      <w:r>
        <w:rPr>
          <w:color w:val="231F20"/>
          <w:sz w:val="20"/>
        </w:rPr>
        <w:t>It</w:t>
      </w:r>
      <w:r>
        <w:rPr>
          <w:color w:val="231F20"/>
          <w:spacing w:val="-10"/>
          <w:sz w:val="20"/>
        </w:rPr>
        <w:t xml:space="preserve"> </w:t>
      </w:r>
      <w:r>
        <w:rPr>
          <w:color w:val="231F20"/>
          <w:sz w:val="20"/>
        </w:rPr>
        <w:t>suggested</w:t>
      </w:r>
      <w:r>
        <w:rPr>
          <w:color w:val="231F20"/>
          <w:spacing w:val="-11"/>
          <w:sz w:val="20"/>
        </w:rPr>
        <w:t xml:space="preserve"> </w:t>
      </w:r>
      <w:r>
        <w:rPr>
          <w:color w:val="231F20"/>
          <w:sz w:val="20"/>
        </w:rPr>
        <w:t>further</w:t>
      </w:r>
      <w:r>
        <w:rPr>
          <w:color w:val="231F20"/>
          <w:spacing w:val="-11"/>
          <w:sz w:val="20"/>
        </w:rPr>
        <w:t xml:space="preserve"> </w:t>
      </w:r>
      <w:r>
        <w:rPr>
          <w:color w:val="231F20"/>
          <w:spacing w:val="-3"/>
          <w:sz w:val="20"/>
        </w:rPr>
        <w:t>work</w:t>
      </w:r>
      <w:r>
        <w:rPr>
          <w:color w:val="231F20"/>
          <w:spacing w:val="-11"/>
          <w:sz w:val="20"/>
        </w:rPr>
        <w:t xml:space="preserve"> </w:t>
      </w:r>
      <w:r>
        <w:rPr>
          <w:color w:val="231F20"/>
          <w:sz w:val="20"/>
        </w:rPr>
        <w:t>needed</w:t>
      </w:r>
      <w:r>
        <w:rPr>
          <w:color w:val="231F20"/>
          <w:spacing w:val="-10"/>
          <w:sz w:val="20"/>
        </w:rPr>
        <w:t xml:space="preserve"> </w:t>
      </w:r>
      <w:r>
        <w:rPr>
          <w:color w:val="231F20"/>
          <w:sz w:val="20"/>
        </w:rPr>
        <w:t>to</w:t>
      </w:r>
      <w:r>
        <w:rPr>
          <w:color w:val="231F20"/>
          <w:spacing w:val="-11"/>
          <w:sz w:val="20"/>
        </w:rPr>
        <w:t xml:space="preserve"> </w:t>
      </w:r>
      <w:r>
        <w:rPr>
          <w:color w:val="231F20"/>
          <w:sz w:val="20"/>
        </w:rPr>
        <w:t>be</w:t>
      </w:r>
      <w:r>
        <w:rPr>
          <w:color w:val="231F20"/>
          <w:spacing w:val="-11"/>
          <w:sz w:val="20"/>
        </w:rPr>
        <w:t xml:space="preserve"> </w:t>
      </w:r>
      <w:r>
        <w:rPr>
          <w:color w:val="231F20"/>
          <w:sz w:val="20"/>
        </w:rPr>
        <w:t>done</w:t>
      </w:r>
      <w:r>
        <w:rPr>
          <w:color w:val="231F20"/>
          <w:spacing w:val="-11"/>
          <w:sz w:val="20"/>
        </w:rPr>
        <w:t xml:space="preserve"> </w:t>
      </w:r>
      <w:r>
        <w:rPr>
          <w:color w:val="231F20"/>
          <w:sz w:val="20"/>
        </w:rPr>
        <w:t>on stalking, such</w:t>
      </w:r>
      <w:r>
        <w:rPr>
          <w:color w:val="231F20"/>
          <w:spacing w:val="-9"/>
          <w:sz w:val="20"/>
        </w:rPr>
        <w:t xml:space="preserve"> </w:t>
      </w:r>
      <w:r>
        <w:rPr>
          <w:color w:val="231F20"/>
          <w:sz w:val="20"/>
        </w:rPr>
        <w:t>as:</w:t>
      </w:r>
    </w:p>
    <w:p w14:paraId="0F26ECD5" w14:textId="77777777" w:rsidR="00894070" w:rsidRDefault="009B7AFD">
      <w:pPr>
        <w:pStyle w:val="ListParagraph"/>
        <w:numPr>
          <w:ilvl w:val="2"/>
          <w:numId w:val="161"/>
        </w:numPr>
        <w:tabs>
          <w:tab w:val="left" w:pos="2141"/>
          <w:tab w:val="left" w:pos="2142"/>
        </w:tabs>
        <w:spacing w:before="93"/>
        <w:ind w:hanging="340"/>
        <w:rPr>
          <w:sz w:val="20"/>
        </w:rPr>
      </w:pPr>
      <w:r>
        <w:rPr>
          <w:color w:val="231F20"/>
          <w:sz w:val="20"/>
        </w:rPr>
        <w:t xml:space="preserve">being an </w:t>
      </w:r>
      <w:r>
        <w:rPr>
          <w:color w:val="231F20"/>
          <w:spacing w:val="-3"/>
          <w:sz w:val="20"/>
        </w:rPr>
        <w:t>active</w:t>
      </w:r>
      <w:r>
        <w:rPr>
          <w:color w:val="231F20"/>
          <w:spacing w:val="-13"/>
          <w:sz w:val="20"/>
        </w:rPr>
        <w:t xml:space="preserve"> </w:t>
      </w:r>
      <w:r>
        <w:rPr>
          <w:color w:val="231F20"/>
          <w:sz w:val="20"/>
        </w:rPr>
        <w:t>bystander</w:t>
      </w:r>
    </w:p>
    <w:p w14:paraId="63587155" w14:textId="77777777" w:rsidR="00894070" w:rsidRDefault="009B7AFD">
      <w:pPr>
        <w:pStyle w:val="ListParagraph"/>
        <w:numPr>
          <w:ilvl w:val="2"/>
          <w:numId w:val="161"/>
        </w:numPr>
        <w:tabs>
          <w:tab w:val="left" w:pos="2141"/>
          <w:tab w:val="left" w:pos="2142"/>
        </w:tabs>
        <w:spacing w:before="47"/>
        <w:ind w:hanging="340"/>
        <w:rPr>
          <w:sz w:val="20"/>
        </w:rPr>
      </w:pPr>
      <w:r>
        <w:rPr>
          <w:color w:val="231F20"/>
          <w:sz w:val="20"/>
        </w:rPr>
        <w:t xml:space="preserve">supporting friends who </w:t>
      </w:r>
      <w:r>
        <w:rPr>
          <w:color w:val="231F20"/>
          <w:spacing w:val="-3"/>
          <w:sz w:val="20"/>
        </w:rPr>
        <w:t xml:space="preserve">are </w:t>
      </w:r>
      <w:r>
        <w:rPr>
          <w:color w:val="231F20"/>
          <w:sz w:val="20"/>
        </w:rPr>
        <w:t>experiencing</w:t>
      </w:r>
      <w:r>
        <w:rPr>
          <w:color w:val="231F20"/>
          <w:spacing w:val="-19"/>
          <w:sz w:val="20"/>
        </w:rPr>
        <w:t xml:space="preserve"> </w:t>
      </w:r>
      <w:r>
        <w:rPr>
          <w:color w:val="231F20"/>
          <w:sz w:val="20"/>
        </w:rPr>
        <w:t>harm</w:t>
      </w:r>
    </w:p>
    <w:p w14:paraId="5300AE6F" w14:textId="77777777" w:rsidR="00894070" w:rsidRDefault="009B7AFD">
      <w:pPr>
        <w:pStyle w:val="ListParagraph"/>
        <w:numPr>
          <w:ilvl w:val="2"/>
          <w:numId w:val="161"/>
        </w:numPr>
        <w:tabs>
          <w:tab w:val="left" w:pos="2141"/>
          <w:tab w:val="left" w:pos="2142"/>
        </w:tabs>
        <w:spacing w:before="48"/>
        <w:ind w:hanging="340"/>
        <w:rPr>
          <w:sz w:val="20"/>
        </w:rPr>
      </w:pPr>
      <w:r>
        <w:rPr>
          <w:color w:val="231F20"/>
          <w:sz w:val="20"/>
        </w:rPr>
        <w:t>making ethical</w:t>
      </w:r>
      <w:r>
        <w:rPr>
          <w:color w:val="231F20"/>
          <w:spacing w:val="-9"/>
          <w:sz w:val="20"/>
        </w:rPr>
        <w:t xml:space="preserve"> </w:t>
      </w:r>
      <w:r>
        <w:rPr>
          <w:color w:val="231F20"/>
          <w:sz w:val="20"/>
        </w:rPr>
        <w:t>choices</w:t>
      </w:r>
    </w:p>
    <w:p w14:paraId="5C30A905" w14:textId="77777777" w:rsidR="00894070" w:rsidRDefault="009B7AFD">
      <w:pPr>
        <w:pStyle w:val="ListParagraph"/>
        <w:numPr>
          <w:ilvl w:val="2"/>
          <w:numId w:val="161"/>
        </w:numPr>
        <w:tabs>
          <w:tab w:val="left" w:pos="2141"/>
          <w:tab w:val="left" w:pos="2142"/>
        </w:tabs>
        <w:spacing w:before="47"/>
        <w:ind w:hanging="340"/>
        <w:rPr>
          <w:sz w:val="20"/>
        </w:rPr>
      </w:pPr>
      <w:r>
        <w:rPr>
          <w:color w:val="231F20"/>
          <w:sz w:val="20"/>
        </w:rPr>
        <w:t>knowing when to encourage someone to seek</w:t>
      </w:r>
      <w:r>
        <w:rPr>
          <w:color w:val="231F20"/>
          <w:spacing w:val="-32"/>
          <w:sz w:val="20"/>
        </w:rPr>
        <w:t xml:space="preserve"> </w:t>
      </w:r>
      <w:r>
        <w:rPr>
          <w:color w:val="231F20"/>
          <w:sz w:val="20"/>
        </w:rPr>
        <w:t>help</w:t>
      </w:r>
    </w:p>
    <w:p w14:paraId="51D116B5" w14:textId="77777777" w:rsidR="00894070" w:rsidRDefault="009B7AFD">
      <w:pPr>
        <w:pStyle w:val="ListParagraph"/>
        <w:numPr>
          <w:ilvl w:val="2"/>
          <w:numId w:val="161"/>
        </w:numPr>
        <w:tabs>
          <w:tab w:val="left" w:pos="2141"/>
          <w:tab w:val="left" w:pos="2142"/>
        </w:tabs>
        <w:spacing w:before="47"/>
        <w:ind w:hanging="340"/>
        <w:rPr>
          <w:sz w:val="11"/>
        </w:rPr>
      </w:pPr>
      <w:r>
        <w:rPr>
          <w:color w:val="231F20"/>
          <w:sz w:val="20"/>
        </w:rPr>
        <w:t>knowing</w:t>
      </w:r>
      <w:r>
        <w:rPr>
          <w:color w:val="231F20"/>
          <w:spacing w:val="-5"/>
          <w:sz w:val="20"/>
        </w:rPr>
        <w:t xml:space="preserve"> </w:t>
      </w:r>
      <w:r>
        <w:rPr>
          <w:color w:val="231F20"/>
          <w:spacing w:val="-3"/>
          <w:sz w:val="20"/>
        </w:rPr>
        <w:t>how</w:t>
      </w:r>
      <w:r>
        <w:rPr>
          <w:color w:val="231F20"/>
          <w:spacing w:val="-5"/>
          <w:sz w:val="20"/>
        </w:rPr>
        <w:t xml:space="preserve"> </w:t>
      </w:r>
      <w:r>
        <w:rPr>
          <w:color w:val="231F20"/>
          <w:sz w:val="20"/>
        </w:rPr>
        <w:t>to</w:t>
      </w:r>
      <w:r>
        <w:rPr>
          <w:color w:val="231F20"/>
          <w:spacing w:val="-5"/>
          <w:sz w:val="20"/>
        </w:rPr>
        <w:t xml:space="preserve"> </w:t>
      </w:r>
      <w:r>
        <w:rPr>
          <w:color w:val="231F20"/>
          <w:sz w:val="20"/>
        </w:rPr>
        <w:t>respond</w:t>
      </w:r>
      <w:r>
        <w:rPr>
          <w:color w:val="231F20"/>
          <w:spacing w:val="-5"/>
          <w:sz w:val="20"/>
        </w:rPr>
        <w:t xml:space="preserve"> </w:t>
      </w:r>
      <w:r>
        <w:rPr>
          <w:color w:val="231F20"/>
          <w:sz w:val="20"/>
        </w:rPr>
        <w:t>to</w:t>
      </w:r>
      <w:r>
        <w:rPr>
          <w:color w:val="231F20"/>
          <w:spacing w:val="-5"/>
          <w:sz w:val="20"/>
        </w:rPr>
        <w:t xml:space="preserve"> </w:t>
      </w:r>
      <w:r>
        <w:rPr>
          <w:color w:val="231F20"/>
          <w:sz w:val="20"/>
        </w:rPr>
        <w:t>something</w:t>
      </w:r>
      <w:r>
        <w:rPr>
          <w:color w:val="231F20"/>
          <w:spacing w:val="-4"/>
          <w:sz w:val="20"/>
        </w:rPr>
        <w:t xml:space="preserve"> </w:t>
      </w:r>
      <w:r>
        <w:rPr>
          <w:color w:val="231F20"/>
          <w:sz w:val="20"/>
        </w:rPr>
        <w:t>that</w:t>
      </w:r>
      <w:r>
        <w:rPr>
          <w:color w:val="231F20"/>
          <w:spacing w:val="-5"/>
          <w:sz w:val="20"/>
        </w:rPr>
        <w:t xml:space="preserve"> </w:t>
      </w:r>
      <w:r>
        <w:rPr>
          <w:color w:val="231F20"/>
          <w:sz w:val="20"/>
        </w:rPr>
        <w:t>is</w:t>
      </w:r>
      <w:r>
        <w:rPr>
          <w:color w:val="231F20"/>
          <w:spacing w:val="-5"/>
          <w:sz w:val="20"/>
        </w:rPr>
        <w:t xml:space="preserve"> </w:t>
      </w:r>
      <w:r>
        <w:rPr>
          <w:color w:val="231F20"/>
          <w:sz w:val="20"/>
        </w:rPr>
        <w:t>disturbing</w:t>
      </w:r>
      <w:r>
        <w:rPr>
          <w:color w:val="231F20"/>
          <w:spacing w:val="-5"/>
          <w:sz w:val="20"/>
        </w:rPr>
        <w:t xml:space="preserve"> </w:t>
      </w:r>
      <w:r>
        <w:rPr>
          <w:color w:val="231F20"/>
          <w:sz w:val="20"/>
        </w:rPr>
        <w:t>you.</w:t>
      </w:r>
      <w:r>
        <w:rPr>
          <w:color w:val="231F20"/>
          <w:position w:val="7"/>
          <w:sz w:val="11"/>
        </w:rPr>
        <w:t>109</w:t>
      </w:r>
    </w:p>
    <w:p w14:paraId="5D60FB30" w14:textId="77777777" w:rsidR="00894070" w:rsidRDefault="009B7AFD">
      <w:pPr>
        <w:pStyle w:val="ListParagraph"/>
        <w:numPr>
          <w:ilvl w:val="1"/>
          <w:numId w:val="161"/>
        </w:numPr>
        <w:tabs>
          <w:tab w:val="left" w:pos="1801"/>
          <w:tab w:val="left" w:pos="1802"/>
        </w:tabs>
        <w:spacing w:before="80" w:line="206" w:lineRule="auto"/>
        <w:ind w:right="1875"/>
        <w:rPr>
          <w:sz w:val="20"/>
        </w:rPr>
      </w:pPr>
      <w:r>
        <w:rPr>
          <w:color w:val="231F20"/>
          <w:sz w:val="20"/>
        </w:rPr>
        <w:t>Existing</w:t>
      </w:r>
      <w:r>
        <w:rPr>
          <w:color w:val="231F20"/>
          <w:spacing w:val="-11"/>
          <w:sz w:val="20"/>
        </w:rPr>
        <w:t xml:space="preserve"> </w:t>
      </w:r>
      <w:r>
        <w:rPr>
          <w:color w:val="231F20"/>
          <w:sz w:val="20"/>
        </w:rPr>
        <w:t>education</w:t>
      </w:r>
      <w:r>
        <w:rPr>
          <w:color w:val="231F20"/>
          <w:spacing w:val="-10"/>
          <w:sz w:val="20"/>
        </w:rPr>
        <w:t xml:space="preserve"> </w:t>
      </w:r>
      <w:r>
        <w:rPr>
          <w:color w:val="231F20"/>
          <w:sz w:val="20"/>
        </w:rPr>
        <w:t>programs</w:t>
      </w:r>
      <w:r>
        <w:rPr>
          <w:color w:val="231F20"/>
          <w:spacing w:val="-10"/>
          <w:sz w:val="20"/>
        </w:rPr>
        <w:t xml:space="preserve"> </w:t>
      </w:r>
      <w:r>
        <w:rPr>
          <w:color w:val="231F20"/>
          <w:sz w:val="20"/>
        </w:rPr>
        <w:t>on</w:t>
      </w:r>
      <w:r>
        <w:rPr>
          <w:color w:val="231F20"/>
          <w:spacing w:val="-10"/>
          <w:sz w:val="20"/>
        </w:rPr>
        <w:t xml:space="preserve"> </w:t>
      </w:r>
      <w:r>
        <w:rPr>
          <w:color w:val="231F20"/>
          <w:sz w:val="20"/>
        </w:rPr>
        <w:t>digital</w:t>
      </w:r>
      <w:r>
        <w:rPr>
          <w:color w:val="231F20"/>
          <w:spacing w:val="-11"/>
          <w:sz w:val="20"/>
        </w:rPr>
        <w:t xml:space="preserve"> </w:t>
      </w:r>
      <w:r>
        <w:rPr>
          <w:color w:val="231F20"/>
          <w:sz w:val="20"/>
        </w:rPr>
        <w:t>literacy</w:t>
      </w:r>
      <w:r>
        <w:rPr>
          <w:color w:val="231F20"/>
          <w:spacing w:val="-10"/>
          <w:sz w:val="20"/>
        </w:rPr>
        <w:t xml:space="preserve"> </w:t>
      </w:r>
      <w:r>
        <w:rPr>
          <w:color w:val="231F20"/>
          <w:sz w:val="20"/>
        </w:rPr>
        <w:t>and</w:t>
      </w:r>
      <w:r>
        <w:rPr>
          <w:color w:val="231F20"/>
          <w:spacing w:val="-10"/>
          <w:sz w:val="20"/>
        </w:rPr>
        <w:t xml:space="preserve"> </w:t>
      </w:r>
      <w:r>
        <w:rPr>
          <w:color w:val="231F20"/>
          <w:sz w:val="20"/>
        </w:rPr>
        <w:t>cyberstalking</w:t>
      </w:r>
      <w:r>
        <w:rPr>
          <w:color w:val="231F20"/>
          <w:spacing w:val="-10"/>
          <w:sz w:val="20"/>
        </w:rPr>
        <w:t xml:space="preserve"> </w:t>
      </w:r>
      <w:r>
        <w:rPr>
          <w:color w:val="231F20"/>
          <w:spacing w:val="-3"/>
          <w:sz w:val="20"/>
        </w:rPr>
        <w:t>may</w:t>
      </w:r>
      <w:r>
        <w:rPr>
          <w:color w:val="231F20"/>
          <w:spacing w:val="-10"/>
          <w:sz w:val="20"/>
        </w:rPr>
        <w:t xml:space="preserve"> </w:t>
      </w:r>
      <w:r>
        <w:rPr>
          <w:color w:val="231F20"/>
          <w:spacing w:val="-3"/>
          <w:sz w:val="20"/>
        </w:rPr>
        <w:t>provide</w:t>
      </w:r>
      <w:r>
        <w:rPr>
          <w:color w:val="231F20"/>
          <w:spacing w:val="-11"/>
          <w:sz w:val="20"/>
        </w:rPr>
        <w:t xml:space="preserve"> </w:t>
      </w:r>
      <w:r>
        <w:rPr>
          <w:color w:val="231F20"/>
          <w:sz w:val="20"/>
        </w:rPr>
        <w:t>a starting point (see</w:t>
      </w:r>
      <w:r>
        <w:rPr>
          <w:color w:val="231F20"/>
          <w:spacing w:val="-13"/>
          <w:sz w:val="20"/>
        </w:rPr>
        <w:t xml:space="preserve"> </w:t>
      </w:r>
      <w:r>
        <w:rPr>
          <w:color w:val="231F20"/>
          <w:spacing w:val="-3"/>
          <w:sz w:val="20"/>
        </w:rPr>
        <w:t>box).</w:t>
      </w:r>
    </w:p>
    <w:p w14:paraId="6C914DAE" w14:textId="77777777" w:rsidR="00894070" w:rsidRDefault="009F6793">
      <w:pPr>
        <w:pStyle w:val="BodyText"/>
        <w:spacing w:before="11"/>
        <w:rPr>
          <w:sz w:val="8"/>
        </w:rPr>
      </w:pPr>
      <w:r>
        <w:pict w14:anchorId="260493E6">
          <v:group id="_x0000_s1567" style="position:absolute;margin-left:79.35pt;margin-top:8.1pt;width:437.05pt;height:215.1pt;z-index:251496448;mso-wrap-distance-left:0;mso-wrap-distance-right:0;mso-position-horizontal-relative:page" coordorigin="1587,162" coordsize="8741,4302">
            <v:rect id="_x0000_s1575" style="position:absolute;left:1592;top:166;width:8731;height:4292" fillcolor="#fee7de" stroked="f"/>
            <v:line id="_x0000_s1574" style="position:absolute" from="1587,167" to="10328,167" strokecolor="#ea5b50" strokeweight=".5pt"/>
            <v:line id="_x0000_s1573" style="position:absolute" from="1592,4453" to="1592,172" strokecolor="#ea5b50" strokeweight=".5pt"/>
            <v:line id="_x0000_s1572" style="position:absolute" from="10323,4453" to="10323,172" strokecolor="#ea5b50" strokeweight=".5pt"/>
            <v:line id="_x0000_s1571" style="position:absolute" from="1587,4458" to="10328,4458" strokecolor="#ea5b50" strokeweight=".5pt"/>
            <v:shape id="_x0000_s1570" type="#_x0000_t202" style="position:absolute;left:2159;top:993;width:7946;height:3285" filled="f" stroked="f">
              <v:textbox inset="0,0,0,0">
                <w:txbxContent>
                  <w:p w14:paraId="45330598" w14:textId="77777777" w:rsidR="00894070" w:rsidRDefault="009B7AFD">
                    <w:pPr>
                      <w:spacing w:line="206" w:lineRule="auto"/>
                      <w:ind w:right="5"/>
                      <w:rPr>
                        <w:sz w:val="11"/>
                      </w:rPr>
                    </w:pPr>
                    <w:r>
                      <w:rPr>
                        <w:color w:val="231F20"/>
                        <w:sz w:val="20"/>
                      </w:rPr>
                      <w:t>eSmart</w:t>
                    </w:r>
                    <w:r>
                      <w:rPr>
                        <w:color w:val="231F20"/>
                        <w:spacing w:val="-10"/>
                        <w:sz w:val="20"/>
                      </w:rPr>
                      <w:t xml:space="preserve"> </w:t>
                    </w:r>
                    <w:r>
                      <w:rPr>
                        <w:color w:val="231F20"/>
                        <w:sz w:val="20"/>
                      </w:rPr>
                      <w:t>Digital</w:t>
                    </w:r>
                    <w:r>
                      <w:rPr>
                        <w:color w:val="231F20"/>
                        <w:spacing w:val="-10"/>
                        <w:sz w:val="20"/>
                      </w:rPr>
                      <w:t xml:space="preserve"> </w:t>
                    </w:r>
                    <w:r>
                      <w:rPr>
                        <w:color w:val="231F20"/>
                        <w:sz w:val="20"/>
                      </w:rPr>
                      <w:t>Licence</w:t>
                    </w:r>
                    <w:r>
                      <w:rPr>
                        <w:color w:val="231F20"/>
                        <w:spacing w:val="-10"/>
                        <w:sz w:val="20"/>
                      </w:rPr>
                      <w:t xml:space="preserve"> </w:t>
                    </w:r>
                    <w:r>
                      <w:rPr>
                        <w:color w:val="231F20"/>
                        <w:sz w:val="20"/>
                      </w:rPr>
                      <w:t>Program</w:t>
                    </w:r>
                    <w:r>
                      <w:rPr>
                        <w:color w:val="231F20"/>
                        <w:spacing w:val="-9"/>
                        <w:sz w:val="20"/>
                      </w:rPr>
                      <w:t xml:space="preserve"> </w:t>
                    </w:r>
                    <w:r>
                      <w:rPr>
                        <w:color w:val="231F20"/>
                        <w:sz w:val="20"/>
                      </w:rPr>
                      <w:t>is</w:t>
                    </w:r>
                    <w:r>
                      <w:rPr>
                        <w:color w:val="231F20"/>
                        <w:spacing w:val="-10"/>
                        <w:sz w:val="20"/>
                      </w:rPr>
                      <w:t xml:space="preserve"> </w:t>
                    </w:r>
                    <w:r>
                      <w:rPr>
                        <w:color w:val="231F20"/>
                        <w:sz w:val="20"/>
                      </w:rPr>
                      <w:t>an</w:t>
                    </w:r>
                    <w:r>
                      <w:rPr>
                        <w:color w:val="231F20"/>
                        <w:spacing w:val="-10"/>
                        <w:sz w:val="20"/>
                      </w:rPr>
                      <w:t xml:space="preserve"> </w:t>
                    </w:r>
                    <w:r>
                      <w:rPr>
                        <w:color w:val="231F20"/>
                        <w:spacing w:val="-3"/>
                        <w:sz w:val="20"/>
                      </w:rPr>
                      <w:t>award-winning</w:t>
                    </w:r>
                    <w:r>
                      <w:rPr>
                        <w:color w:val="231F20"/>
                        <w:spacing w:val="-9"/>
                        <w:sz w:val="20"/>
                      </w:rPr>
                      <w:t xml:space="preserve"> </w:t>
                    </w:r>
                    <w:r>
                      <w:rPr>
                        <w:color w:val="231F20"/>
                        <w:spacing w:val="-3"/>
                        <w:sz w:val="20"/>
                      </w:rPr>
                      <w:t>interactive</w:t>
                    </w:r>
                    <w:r>
                      <w:rPr>
                        <w:color w:val="231F20"/>
                        <w:spacing w:val="-10"/>
                        <w:sz w:val="20"/>
                      </w:rPr>
                      <w:t xml:space="preserve"> </w:t>
                    </w:r>
                    <w:r>
                      <w:rPr>
                        <w:color w:val="231F20"/>
                        <w:sz w:val="20"/>
                      </w:rPr>
                      <w:t>gamified</w:t>
                    </w:r>
                    <w:r>
                      <w:rPr>
                        <w:color w:val="231F20"/>
                        <w:spacing w:val="-10"/>
                        <w:sz w:val="20"/>
                      </w:rPr>
                      <w:t xml:space="preserve"> </w:t>
                    </w:r>
                    <w:r>
                      <w:rPr>
                        <w:color w:val="231F20"/>
                        <w:sz w:val="20"/>
                      </w:rPr>
                      <w:t>digital</w:t>
                    </w:r>
                    <w:r>
                      <w:rPr>
                        <w:color w:val="231F20"/>
                        <w:spacing w:val="-9"/>
                        <w:sz w:val="20"/>
                      </w:rPr>
                      <w:t xml:space="preserve"> </w:t>
                    </w:r>
                    <w:r>
                      <w:rPr>
                        <w:color w:val="231F20"/>
                        <w:sz w:val="20"/>
                      </w:rPr>
                      <w:t xml:space="preserve">literacy model that supports </w:t>
                    </w:r>
                    <w:r>
                      <w:rPr>
                        <w:color w:val="231F20"/>
                        <w:spacing w:val="-3"/>
                        <w:sz w:val="20"/>
                      </w:rPr>
                      <w:t xml:space="preserve">children </w:t>
                    </w:r>
                    <w:r>
                      <w:rPr>
                        <w:color w:val="231F20"/>
                        <w:sz w:val="20"/>
                      </w:rPr>
                      <w:t>aged 10–14 to reflect on their values, ethical choices and social behaviours</w:t>
                    </w:r>
                    <w:r>
                      <w:rPr>
                        <w:color w:val="231F20"/>
                        <w:spacing w:val="-9"/>
                        <w:sz w:val="20"/>
                      </w:rPr>
                      <w:t xml:space="preserve"> </w:t>
                    </w:r>
                    <w:r>
                      <w:rPr>
                        <w:color w:val="231F20"/>
                        <w:sz w:val="20"/>
                      </w:rPr>
                      <w:t>online.</w:t>
                    </w:r>
                    <w:r>
                      <w:rPr>
                        <w:color w:val="231F20"/>
                        <w:position w:val="7"/>
                        <w:sz w:val="11"/>
                      </w:rPr>
                      <w:t>111</w:t>
                    </w:r>
                  </w:p>
                  <w:p w14:paraId="516A6A6A" w14:textId="77777777" w:rsidR="00894070" w:rsidRDefault="009B7AFD">
                    <w:pPr>
                      <w:spacing w:before="46" w:line="259" w:lineRule="exact"/>
                      <w:rPr>
                        <w:sz w:val="20"/>
                      </w:rPr>
                    </w:pPr>
                    <w:r>
                      <w:rPr>
                        <w:color w:val="231F20"/>
                        <w:sz w:val="20"/>
                      </w:rPr>
                      <w:t>eSafety training sessions and resources inform people of the common ways they may</w:t>
                    </w:r>
                  </w:p>
                  <w:p w14:paraId="7A81484F" w14:textId="77777777" w:rsidR="00894070" w:rsidRDefault="009B7AFD">
                    <w:pPr>
                      <w:spacing w:line="259" w:lineRule="exact"/>
                      <w:rPr>
                        <w:sz w:val="11"/>
                      </w:rPr>
                    </w:pPr>
                    <w:r>
                      <w:rPr>
                        <w:color w:val="231F20"/>
                        <w:sz w:val="20"/>
                      </w:rPr>
                      <w:t>be exposing personal details online.</w:t>
                    </w:r>
                    <w:r>
                      <w:rPr>
                        <w:color w:val="231F20"/>
                        <w:position w:val="7"/>
                        <w:sz w:val="11"/>
                      </w:rPr>
                      <w:t>112</w:t>
                    </w:r>
                  </w:p>
                  <w:p w14:paraId="4CBFFCCE" w14:textId="77777777" w:rsidR="00894070" w:rsidRDefault="009B7AFD">
                    <w:pPr>
                      <w:spacing w:before="79" w:line="206" w:lineRule="auto"/>
                      <w:ind w:right="252"/>
                      <w:rPr>
                        <w:sz w:val="20"/>
                      </w:rPr>
                    </w:pPr>
                    <w:r>
                      <w:rPr>
                        <w:color w:val="231F20"/>
                        <w:sz w:val="20"/>
                      </w:rPr>
                      <w:t>The</w:t>
                    </w:r>
                    <w:r>
                      <w:rPr>
                        <w:color w:val="231F20"/>
                        <w:spacing w:val="-10"/>
                        <w:sz w:val="20"/>
                      </w:rPr>
                      <w:t xml:space="preserve"> </w:t>
                    </w:r>
                    <w:r>
                      <w:rPr>
                        <w:color w:val="231F20"/>
                        <w:sz w:val="20"/>
                      </w:rPr>
                      <w:t>Safety</w:t>
                    </w:r>
                    <w:r>
                      <w:rPr>
                        <w:color w:val="231F20"/>
                        <w:spacing w:val="-9"/>
                        <w:sz w:val="20"/>
                      </w:rPr>
                      <w:t xml:space="preserve"> </w:t>
                    </w:r>
                    <w:r>
                      <w:rPr>
                        <w:color w:val="231F20"/>
                        <w:sz w:val="20"/>
                      </w:rPr>
                      <w:t>Net</w:t>
                    </w:r>
                    <w:r>
                      <w:rPr>
                        <w:color w:val="231F20"/>
                        <w:spacing w:val="-10"/>
                        <w:sz w:val="20"/>
                      </w:rPr>
                      <w:t xml:space="preserve"> </w:t>
                    </w:r>
                    <w:r>
                      <w:rPr>
                        <w:color w:val="231F20"/>
                        <w:sz w:val="20"/>
                      </w:rPr>
                      <w:t>Project,</w:t>
                    </w:r>
                    <w:r>
                      <w:rPr>
                        <w:color w:val="231F20"/>
                        <w:spacing w:val="-9"/>
                        <w:sz w:val="20"/>
                      </w:rPr>
                      <w:t xml:space="preserve"> </w:t>
                    </w:r>
                    <w:r>
                      <w:rPr>
                        <w:color w:val="231F20"/>
                        <w:sz w:val="20"/>
                      </w:rPr>
                      <w:t>based</w:t>
                    </w:r>
                    <w:r>
                      <w:rPr>
                        <w:color w:val="231F20"/>
                        <w:spacing w:val="-10"/>
                        <w:sz w:val="20"/>
                      </w:rPr>
                      <w:t xml:space="preserve"> </w:t>
                    </w:r>
                    <w:r>
                      <w:rPr>
                        <w:color w:val="231F20"/>
                        <w:sz w:val="20"/>
                      </w:rPr>
                      <w:t>in</w:t>
                    </w:r>
                    <w:r>
                      <w:rPr>
                        <w:color w:val="231F20"/>
                        <w:spacing w:val="-9"/>
                        <w:sz w:val="20"/>
                      </w:rPr>
                      <w:t xml:space="preserve"> </w:t>
                    </w:r>
                    <w:r>
                      <w:rPr>
                        <w:color w:val="231F20"/>
                        <w:sz w:val="20"/>
                      </w:rPr>
                      <w:t>the</w:t>
                    </w:r>
                    <w:r>
                      <w:rPr>
                        <w:color w:val="231F20"/>
                        <w:spacing w:val="-10"/>
                        <w:sz w:val="20"/>
                      </w:rPr>
                      <w:t xml:space="preserve"> </w:t>
                    </w:r>
                    <w:r>
                      <w:rPr>
                        <w:color w:val="231F20"/>
                        <w:sz w:val="20"/>
                      </w:rPr>
                      <w:t>United</w:t>
                    </w:r>
                    <w:r>
                      <w:rPr>
                        <w:color w:val="231F20"/>
                        <w:spacing w:val="-9"/>
                        <w:sz w:val="20"/>
                      </w:rPr>
                      <w:t xml:space="preserve"> </w:t>
                    </w:r>
                    <w:r>
                      <w:rPr>
                        <w:color w:val="231F20"/>
                        <w:spacing w:val="-3"/>
                        <w:sz w:val="20"/>
                      </w:rPr>
                      <w:t>States</w:t>
                    </w:r>
                    <w:r>
                      <w:rPr>
                        <w:color w:val="231F20"/>
                        <w:spacing w:val="-10"/>
                        <w:sz w:val="20"/>
                      </w:rPr>
                      <w:t xml:space="preserve"> </w:t>
                    </w:r>
                    <w:r>
                      <w:rPr>
                        <w:color w:val="231F20"/>
                        <w:sz w:val="20"/>
                      </w:rPr>
                      <w:t>and</w:t>
                    </w:r>
                    <w:r>
                      <w:rPr>
                        <w:color w:val="231F20"/>
                        <w:spacing w:val="-9"/>
                        <w:sz w:val="20"/>
                      </w:rPr>
                      <w:t xml:space="preserve"> </w:t>
                    </w:r>
                    <w:r>
                      <w:rPr>
                        <w:color w:val="231F20"/>
                        <w:sz w:val="20"/>
                      </w:rPr>
                      <w:t>run</w:t>
                    </w:r>
                    <w:r>
                      <w:rPr>
                        <w:color w:val="231F20"/>
                        <w:spacing w:val="-10"/>
                        <w:sz w:val="20"/>
                      </w:rPr>
                      <w:t xml:space="preserve"> </w:t>
                    </w:r>
                    <w:r>
                      <w:rPr>
                        <w:color w:val="231F20"/>
                        <w:spacing w:val="-3"/>
                        <w:sz w:val="20"/>
                      </w:rPr>
                      <w:t>by</w:t>
                    </w:r>
                    <w:r>
                      <w:rPr>
                        <w:color w:val="231F20"/>
                        <w:spacing w:val="-9"/>
                        <w:sz w:val="20"/>
                      </w:rPr>
                      <w:t xml:space="preserve"> </w:t>
                    </w:r>
                    <w:r>
                      <w:rPr>
                        <w:color w:val="231F20"/>
                        <w:sz w:val="20"/>
                      </w:rPr>
                      <w:t>the</w:t>
                    </w:r>
                    <w:r>
                      <w:rPr>
                        <w:color w:val="231F20"/>
                        <w:spacing w:val="-10"/>
                        <w:sz w:val="20"/>
                      </w:rPr>
                      <w:t xml:space="preserve"> </w:t>
                    </w:r>
                    <w:r>
                      <w:rPr>
                        <w:color w:val="231F20"/>
                        <w:sz w:val="20"/>
                      </w:rPr>
                      <w:t>National</w:t>
                    </w:r>
                    <w:r>
                      <w:rPr>
                        <w:color w:val="231F20"/>
                        <w:spacing w:val="-9"/>
                        <w:sz w:val="20"/>
                      </w:rPr>
                      <w:t xml:space="preserve"> </w:t>
                    </w:r>
                    <w:r>
                      <w:rPr>
                        <w:color w:val="231F20"/>
                        <w:sz w:val="20"/>
                      </w:rPr>
                      <w:t>Network to</w:t>
                    </w:r>
                    <w:r>
                      <w:rPr>
                        <w:color w:val="231F20"/>
                        <w:spacing w:val="-8"/>
                        <w:sz w:val="20"/>
                      </w:rPr>
                      <w:t xml:space="preserve"> </w:t>
                    </w:r>
                    <w:r>
                      <w:rPr>
                        <w:color w:val="231F20"/>
                        <w:sz w:val="20"/>
                      </w:rPr>
                      <w:t>End</w:t>
                    </w:r>
                    <w:r>
                      <w:rPr>
                        <w:color w:val="231F20"/>
                        <w:spacing w:val="-8"/>
                        <w:sz w:val="20"/>
                      </w:rPr>
                      <w:t xml:space="preserve"> </w:t>
                    </w:r>
                    <w:r>
                      <w:rPr>
                        <w:color w:val="231F20"/>
                        <w:sz w:val="20"/>
                      </w:rPr>
                      <w:t>Domestic</w:t>
                    </w:r>
                    <w:r>
                      <w:rPr>
                        <w:color w:val="231F20"/>
                        <w:spacing w:val="-8"/>
                        <w:sz w:val="20"/>
                      </w:rPr>
                      <w:t xml:space="preserve"> </w:t>
                    </w:r>
                    <w:r>
                      <w:rPr>
                        <w:color w:val="231F20"/>
                        <w:sz w:val="20"/>
                      </w:rPr>
                      <w:t>Violence</w:t>
                    </w:r>
                    <w:r>
                      <w:rPr>
                        <w:color w:val="231F20"/>
                        <w:spacing w:val="-8"/>
                        <w:sz w:val="20"/>
                      </w:rPr>
                      <w:t xml:space="preserve"> </w:t>
                    </w:r>
                    <w:r>
                      <w:rPr>
                        <w:color w:val="231F20"/>
                        <w:spacing w:val="-4"/>
                        <w:sz w:val="20"/>
                      </w:rPr>
                      <w:t>(NNEDV),</w:t>
                    </w:r>
                    <w:r>
                      <w:rPr>
                        <w:color w:val="231F20"/>
                        <w:spacing w:val="-8"/>
                        <w:sz w:val="20"/>
                      </w:rPr>
                      <w:t xml:space="preserve"> </w:t>
                    </w:r>
                    <w:r>
                      <w:rPr>
                        <w:color w:val="231F20"/>
                        <w:sz w:val="20"/>
                      </w:rPr>
                      <w:t>‘focuses</w:t>
                    </w:r>
                    <w:r>
                      <w:rPr>
                        <w:color w:val="231F20"/>
                        <w:spacing w:val="-8"/>
                        <w:sz w:val="20"/>
                      </w:rPr>
                      <w:t xml:space="preserve"> </w:t>
                    </w:r>
                    <w:r>
                      <w:rPr>
                        <w:color w:val="231F20"/>
                        <w:sz w:val="20"/>
                      </w:rPr>
                      <w:t>on</w:t>
                    </w:r>
                    <w:r>
                      <w:rPr>
                        <w:color w:val="231F20"/>
                        <w:spacing w:val="-8"/>
                        <w:sz w:val="20"/>
                      </w:rPr>
                      <w:t xml:space="preserve"> </w:t>
                    </w:r>
                    <w:r>
                      <w:rPr>
                        <w:color w:val="231F20"/>
                        <w:sz w:val="20"/>
                      </w:rPr>
                      <w:t>the</w:t>
                    </w:r>
                    <w:r>
                      <w:rPr>
                        <w:color w:val="231F20"/>
                        <w:spacing w:val="-8"/>
                        <w:sz w:val="20"/>
                      </w:rPr>
                      <w:t xml:space="preserve"> </w:t>
                    </w:r>
                    <w:r>
                      <w:rPr>
                        <w:color w:val="231F20"/>
                        <w:sz w:val="20"/>
                      </w:rPr>
                      <w:t>intersection</w:t>
                    </w:r>
                    <w:r>
                      <w:rPr>
                        <w:color w:val="231F20"/>
                        <w:spacing w:val="-8"/>
                        <w:sz w:val="20"/>
                      </w:rPr>
                      <w:t xml:space="preserve"> </w:t>
                    </w:r>
                    <w:r>
                      <w:rPr>
                        <w:color w:val="231F20"/>
                        <w:sz w:val="20"/>
                      </w:rPr>
                      <w:t>of</w:t>
                    </w:r>
                    <w:r>
                      <w:rPr>
                        <w:color w:val="231F20"/>
                        <w:spacing w:val="-8"/>
                        <w:sz w:val="20"/>
                      </w:rPr>
                      <w:t xml:space="preserve"> </w:t>
                    </w:r>
                    <w:r>
                      <w:rPr>
                        <w:color w:val="231F20"/>
                        <w:sz w:val="20"/>
                      </w:rPr>
                      <w:t>technology</w:t>
                    </w:r>
                  </w:p>
                  <w:p w14:paraId="7C523948" w14:textId="77777777" w:rsidR="00894070" w:rsidRDefault="009B7AFD">
                    <w:pPr>
                      <w:spacing w:before="3" w:line="206" w:lineRule="auto"/>
                      <w:ind w:right="5"/>
                      <w:rPr>
                        <w:sz w:val="11"/>
                      </w:rPr>
                    </w:pPr>
                    <w:r>
                      <w:rPr>
                        <w:color w:val="231F20"/>
                        <w:sz w:val="20"/>
                      </w:rPr>
                      <w:t xml:space="preserve">and domestic and </w:t>
                    </w:r>
                    <w:r>
                      <w:rPr>
                        <w:color w:val="231F20"/>
                        <w:spacing w:val="-2"/>
                        <w:sz w:val="20"/>
                      </w:rPr>
                      <w:t xml:space="preserve">sexual </w:t>
                    </w:r>
                    <w:r>
                      <w:rPr>
                        <w:color w:val="231F20"/>
                        <w:sz w:val="20"/>
                      </w:rPr>
                      <w:t xml:space="preserve">violence [including stalking] and works to address </w:t>
                    </w:r>
                    <w:r>
                      <w:rPr>
                        <w:color w:val="231F20"/>
                        <w:spacing w:val="-3"/>
                        <w:sz w:val="20"/>
                      </w:rPr>
                      <w:t xml:space="preserve">how </w:t>
                    </w:r>
                    <w:r>
                      <w:rPr>
                        <w:color w:val="231F20"/>
                        <w:sz w:val="20"/>
                      </w:rPr>
                      <w:t xml:space="preserve">it impacts the </w:t>
                    </w:r>
                    <w:r>
                      <w:rPr>
                        <w:color w:val="231F20"/>
                        <w:spacing w:val="-4"/>
                        <w:sz w:val="20"/>
                      </w:rPr>
                      <w:t xml:space="preserve">safety, privacy, </w:t>
                    </w:r>
                    <w:r>
                      <w:rPr>
                        <w:color w:val="231F20"/>
                        <w:spacing w:val="-3"/>
                        <w:sz w:val="20"/>
                      </w:rPr>
                      <w:t xml:space="preserve">accessibility, </w:t>
                    </w:r>
                    <w:r>
                      <w:rPr>
                        <w:color w:val="231F20"/>
                        <w:sz w:val="20"/>
                      </w:rPr>
                      <w:t xml:space="preserve">and civil rights of </w:t>
                    </w:r>
                    <w:r>
                      <w:rPr>
                        <w:color w:val="231F20"/>
                        <w:spacing w:val="-3"/>
                        <w:sz w:val="20"/>
                      </w:rPr>
                      <w:t>victims’.</w:t>
                    </w:r>
                    <w:r>
                      <w:rPr>
                        <w:color w:val="231F20"/>
                        <w:spacing w:val="-3"/>
                        <w:position w:val="7"/>
                        <w:sz w:val="11"/>
                      </w:rPr>
                      <w:t xml:space="preserve">113 </w:t>
                    </w:r>
                    <w:r>
                      <w:rPr>
                        <w:color w:val="231F20"/>
                        <w:spacing w:val="-4"/>
                        <w:sz w:val="20"/>
                      </w:rPr>
                      <w:t xml:space="preserve">NNEDV </w:t>
                    </w:r>
                    <w:r>
                      <w:rPr>
                        <w:color w:val="231F20"/>
                        <w:sz w:val="20"/>
                      </w:rPr>
                      <w:t xml:space="preserve">also has a </w:t>
                    </w:r>
                    <w:r>
                      <w:rPr>
                        <w:color w:val="231F20"/>
                        <w:spacing w:val="-4"/>
                        <w:sz w:val="20"/>
                      </w:rPr>
                      <w:t xml:space="preserve">‘Technology </w:t>
                    </w:r>
                    <w:r>
                      <w:rPr>
                        <w:color w:val="231F20"/>
                        <w:sz w:val="20"/>
                      </w:rPr>
                      <w:t>Safety’ website,</w:t>
                    </w:r>
                    <w:r>
                      <w:rPr>
                        <w:color w:val="231F20"/>
                        <w:position w:val="7"/>
                        <w:sz w:val="11"/>
                      </w:rPr>
                      <w:t xml:space="preserve">114 </w:t>
                    </w:r>
                    <w:r>
                      <w:rPr>
                        <w:color w:val="231F20"/>
                        <w:sz w:val="20"/>
                      </w:rPr>
                      <w:t xml:space="preserve">and an app called </w:t>
                    </w:r>
                    <w:r>
                      <w:rPr>
                        <w:color w:val="231F20"/>
                        <w:spacing w:val="-6"/>
                        <w:sz w:val="20"/>
                      </w:rPr>
                      <w:t xml:space="preserve">Tech </w:t>
                    </w:r>
                    <w:r>
                      <w:rPr>
                        <w:color w:val="231F20"/>
                        <w:sz w:val="20"/>
                      </w:rPr>
                      <w:t xml:space="preserve">Safety which </w:t>
                    </w:r>
                    <w:r>
                      <w:rPr>
                        <w:color w:val="231F20"/>
                        <w:spacing w:val="-3"/>
                        <w:sz w:val="20"/>
                      </w:rPr>
                      <w:t xml:space="preserve">‘offers information </w:t>
                    </w:r>
                    <w:r>
                      <w:rPr>
                        <w:color w:val="231F20"/>
                        <w:sz w:val="20"/>
                      </w:rPr>
                      <w:t xml:space="preserve">and tips </w:t>
                    </w:r>
                    <w:r>
                      <w:rPr>
                        <w:color w:val="231F20"/>
                        <w:spacing w:val="-3"/>
                        <w:sz w:val="20"/>
                      </w:rPr>
                      <w:t xml:space="preserve">for </w:t>
                    </w:r>
                    <w:r>
                      <w:rPr>
                        <w:color w:val="231F20"/>
                        <w:sz w:val="20"/>
                      </w:rPr>
                      <w:t xml:space="preserve">someone who might be stalked or harassed </w:t>
                    </w:r>
                    <w:r>
                      <w:rPr>
                        <w:color w:val="231F20"/>
                        <w:spacing w:val="-3"/>
                        <w:sz w:val="20"/>
                      </w:rPr>
                      <w:t xml:space="preserve">through </w:t>
                    </w:r>
                    <w:r>
                      <w:rPr>
                        <w:color w:val="231F20"/>
                        <w:sz w:val="20"/>
                      </w:rPr>
                      <w:t>[t]echnology’.</w:t>
                    </w:r>
                    <w:r>
                      <w:rPr>
                        <w:color w:val="231F20"/>
                        <w:position w:val="7"/>
                        <w:sz w:val="11"/>
                      </w:rPr>
                      <w:t xml:space="preserve">115 </w:t>
                    </w:r>
                    <w:r>
                      <w:rPr>
                        <w:color w:val="231F20"/>
                        <w:spacing w:val="-3"/>
                        <w:sz w:val="20"/>
                      </w:rPr>
                      <w:t xml:space="preserve">Resources </w:t>
                    </w:r>
                    <w:r>
                      <w:rPr>
                        <w:color w:val="231F20"/>
                        <w:sz w:val="20"/>
                      </w:rPr>
                      <w:t xml:space="preserve">available include tips on </w:t>
                    </w:r>
                    <w:r>
                      <w:rPr>
                        <w:color w:val="231F20"/>
                        <w:spacing w:val="-3"/>
                        <w:sz w:val="20"/>
                      </w:rPr>
                      <w:t xml:space="preserve">how </w:t>
                    </w:r>
                    <w:r>
                      <w:rPr>
                        <w:color w:val="231F20"/>
                        <w:sz w:val="20"/>
                      </w:rPr>
                      <w:t>to document abuse, a ‘survivor’s guide to location tracking’ and technology safety plans.</w:t>
                    </w:r>
                    <w:r>
                      <w:rPr>
                        <w:color w:val="231F20"/>
                        <w:position w:val="7"/>
                        <w:sz w:val="11"/>
                      </w:rPr>
                      <w:t>116</w:t>
                    </w:r>
                  </w:p>
                </w:txbxContent>
              </v:textbox>
            </v:shape>
            <v:shape id="_x0000_s1569" type="#_x0000_t202" style="position:absolute;left:1819;top:993;width:91;height:1605" filled="f" stroked="f">
              <v:textbox inset="0,0,0,0">
                <w:txbxContent>
                  <w:p w14:paraId="53645279" w14:textId="77777777" w:rsidR="00894070" w:rsidRDefault="009B7AFD">
                    <w:pPr>
                      <w:spacing w:line="235" w:lineRule="exact"/>
                      <w:rPr>
                        <w:sz w:val="20"/>
                      </w:rPr>
                    </w:pPr>
                    <w:r>
                      <w:rPr>
                        <w:color w:val="231F20"/>
                        <w:sz w:val="20"/>
                      </w:rPr>
                      <w:t>•</w:t>
                    </w:r>
                  </w:p>
                  <w:p w14:paraId="4ABCDBF9" w14:textId="77777777" w:rsidR="00894070" w:rsidRDefault="00894070"/>
                  <w:p w14:paraId="4A4FCE80" w14:textId="77777777" w:rsidR="00894070" w:rsidRDefault="00894070">
                    <w:pPr>
                      <w:spacing w:before="13"/>
                      <w:rPr>
                        <w:sz w:val="15"/>
                      </w:rPr>
                    </w:pPr>
                  </w:p>
                  <w:p w14:paraId="72B1E5AE" w14:textId="77777777" w:rsidR="00894070" w:rsidRDefault="009B7AFD">
                    <w:pPr>
                      <w:spacing w:before="1"/>
                      <w:rPr>
                        <w:sz w:val="20"/>
                      </w:rPr>
                    </w:pPr>
                    <w:r>
                      <w:rPr>
                        <w:color w:val="231F20"/>
                        <w:sz w:val="20"/>
                      </w:rPr>
                      <w:t>•</w:t>
                    </w:r>
                  </w:p>
                  <w:p w14:paraId="2DC5349B" w14:textId="77777777" w:rsidR="00894070" w:rsidRDefault="00894070">
                    <w:pPr>
                      <w:spacing w:before="9"/>
                      <w:rPr>
                        <w:sz w:val="20"/>
                      </w:rPr>
                    </w:pPr>
                  </w:p>
                  <w:p w14:paraId="017FE379" w14:textId="77777777" w:rsidR="00894070" w:rsidRDefault="009B7AFD">
                    <w:pPr>
                      <w:rPr>
                        <w:sz w:val="20"/>
                      </w:rPr>
                    </w:pPr>
                    <w:r>
                      <w:rPr>
                        <w:color w:val="231F20"/>
                        <w:sz w:val="20"/>
                      </w:rPr>
                      <w:t>•</w:t>
                    </w:r>
                  </w:p>
                </w:txbxContent>
              </v:textbox>
            </v:shape>
            <v:shape id="_x0000_s1568" type="#_x0000_t202" style="position:absolute;left:1819;top:393;width:7930;height:475" filled="f" stroked="f">
              <v:textbox inset="0,0,0,0">
                <w:txbxContent>
                  <w:p w14:paraId="7BF246E2" w14:textId="77777777" w:rsidR="00894070" w:rsidRDefault="009B7AFD">
                    <w:pPr>
                      <w:spacing w:line="206" w:lineRule="auto"/>
                      <w:rPr>
                        <w:sz w:val="11"/>
                      </w:rPr>
                    </w:pPr>
                    <w:r>
                      <w:rPr>
                        <w:b/>
                        <w:color w:val="231F20"/>
                        <w:sz w:val="20"/>
                      </w:rPr>
                      <w:t>Examples</w:t>
                    </w:r>
                    <w:r>
                      <w:rPr>
                        <w:b/>
                        <w:color w:val="231F20"/>
                        <w:spacing w:val="-6"/>
                        <w:sz w:val="20"/>
                      </w:rPr>
                      <w:t xml:space="preserve"> </w:t>
                    </w:r>
                    <w:r>
                      <w:rPr>
                        <w:b/>
                        <w:color w:val="231F20"/>
                        <w:sz w:val="20"/>
                      </w:rPr>
                      <w:t>of</w:t>
                    </w:r>
                    <w:r>
                      <w:rPr>
                        <w:b/>
                        <w:color w:val="231F20"/>
                        <w:spacing w:val="-6"/>
                        <w:sz w:val="20"/>
                      </w:rPr>
                      <w:t xml:space="preserve"> </w:t>
                    </w:r>
                    <w:r>
                      <w:rPr>
                        <w:b/>
                        <w:color w:val="231F20"/>
                        <w:sz w:val="20"/>
                      </w:rPr>
                      <w:t>existing</w:t>
                    </w:r>
                    <w:r>
                      <w:rPr>
                        <w:b/>
                        <w:color w:val="231F20"/>
                        <w:spacing w:val="-6"/>
                        <w:sz w:val="20"/>
                      </w:rPr>
                      <w:t xml:space="preserve"> </w:t>
                    </w:r>
                    <w:r>
                      <w:rPr>
                        <w:b/>
                        <w:color w:val="231F20"/>
                        <w:sz w:val="20"/>
                      </w:rPr>
                      <w:t>programs</w:t>
                    </w:r>
                    <w:r>
                      <w:rPr>
                        <w:b/>
                        <w:color w:val="231F20"/>
                        <w:spacing w:val="-6"/>
                        <w:sz w:val="20"/>
                      </w:rPr>
                      <w:t xml:space="preserve"> </w:t>
                    </w:r>
                    <w:r>
                      <w:rPr>
                        <w:b/>
                        <w:color w:val="231F20"/>
                        <w:sz w:val="20"/>
                      </w:rPr>
                      <w:t>and</w:t>
                    </w:r>
                    <w:r>
                      <w:rPr>
                        <w:b/>
                        <w:color w:val="231F20"/>
                        <w:spacing w:val="-6"/>
                        <w:sz w:val="20"/>
                      </w:rPr>
                      <w:t xml:space="preserve"> </w:t>
                    </w:r>
                    <w:r>
                      <w:rPr>
                        <w:b/>
                        <w:color w:val="231F20"/>
                        <w:sz w:val="20"/>
                      </w:rPr>
                      <w:t>resources</w:t>
                    </w:r>
                    <w:r>
                      <w:rPr>
                        <w:b/>
                        <w:color w:val="231F20"/>
                        <w:spacing w:val="-6"/>
                        <w:sz w:val="20"/>
                      </w:rPr>
                      <w:t xml:space="preserve"> </w:t>
                    </w:r>
                    <w:r>
                      <w:rPr>
                        <w:b/>
                        <w:color w:val="231F20"/>
                        <w:sz w:val="20"/>
                      </w:rPr>
                      <w:t>to</w:t>
                    </w:r>
                    <w:r>
                      <w:rPr>
                        <w:b/>
                        <w:color w:val="231F20"/>
                        <w:spacing w:val="-5"/>
                        <w:sz w:val="20"/>
                      </w:rPr>
                      <w:t xml:space="preserve"> </w:t>
                    </w:r>
                    <w:r>
                      <w:rPr>
                        <w:b/>
                        <w:color w:val="231F20"/>
                        <w:sz w:val="20"/>
                      </w:rPr>
                      <w:t>improve</w:t>
                    </w:r>
                    <w:r>
                      <w:rPr>
                        <w:b/>
                        <w:color w:val="231F20"/>
                        <w:spacing w:val="-6"/>
                        <w:sz w:val="20"/>
                      </w:rPr>
                      <w:t xml:space="preserve"> </w:t>
                    </w:r>
                    <w:r>
                      <w:rPr>
                        <w:b/>
                        <w:color w:val="231F20"/>
                        <w:sz w:val="20"/>
                      </w:rPr>
                      <w:t>digital</w:t>
                    </w:r>
                    <w:r>
                      <w:rPr>
                        <w:b/>
                        <w:color w:val="231F20"/>
                        <w:spacing w:val="-6"/>
                        <w:sz w:val="20"/>
                      </w:rPr>
                      <w:t xml:space="preserve"> </w:t>
                    </w:r>
                    <w:r>
                      <w:rPr>
                        <w:b/>
                        <w:color w:val="231F20"/>
                        <w:sz w:val="20"/>
                      </w:rPr>
                      <w:t>literacy</w:t>
                    </w:r>
                    <w:r>
                      <w:rPr>
                        <w:b/>
                        <w:color w:val="231F20"/>
                        <w:spacing w:val="-6"/>
                        <w:sz w:val="20"/>
                      </w:rPr>
                      <w:t xml:space="preserve"> </w:t>
                    </w:r>
                    <w:r>
                      <w:rPr>
                        <w:b/>
                        <w:color w:val="231F20"/>
                        <w:sz w:val="20"/>
                      </w:rPr>
                      <w:t>and</w:t>
                    </w:r>
                    <w:r>
                      <w:rPr>
                        <w:b/>
                        <w:color w:val="231F20"/>
                        <w:spacing w:val="-6"/>
                        <w:sz w:val="20"/>
                      </w:rPr>
                      <w:t xml:space="preserve"> </w:t>
                    </w:r>
                    <w:r>
                      <w:rPr>
                        <w:b/>
                        <w:color w:val="231F20"/>
                        <w:sz w:val="20"/>
                      </w:rPr>
                      <w:t>online safety</w:t>
                    </w:r>
                    <w:r>
                      <w:rPr>
                        <w:b/>
                        <w:color w:val="231F20"/>
                        <w:spacing w:val="-22"/>
                        <w:sz w:val="20"/>
                      </w:rPr>
                      <w:t xml:space="preserve"> </w:t>
                    </w:r>
                    <w:r>
                      <w:rPr>
                        <w:color w:val="231F20"/>
                        <w:position w:val="7"/>
                        <w:sz w:val="11"/>
                      </w:rPr>
                      <w:t>110</w:t>
                    </w:r>
                  </w:p>
                </w:txbxContent>
              </v:textbox>
            </v:shape>
            <w10:wrap type="topAndBottom" anchorx="page"/>
          </v:group>
        </w:pict>
      </w:r>
    </w:p>
    <w:p w14:paraId="1D5E05F9" w14:textId="77777777" w:rsidR="00894070" w:rsidRDefault="00894070">
      <w:pPr>
        <w:pStyle w:val="BodyText"/>
        <w:spacing w:before="6"/>
        <w:rPr>
          <w:sz w:val="8"/>
        </w:rPr>
      </w:pPr>
    </w:p>
    <w:p w14:paraId="3B17DB61" w14:textId="77777777" w:rsidR="00894070" w:rsidRDefault="009B7AFD">
      <w:pPr>
        <w:pStyle w:val="Heading7"/>
        <w:spacing w:before="41"/>
      </w:pPr>
      <w:r>
        <w:rPr>
          <w:color w:val="EA5B50"/>
        </w:rPr>
        <w:t>Where can people get help and support for cyberstalking?</w:t>
      </w:r>
    </w:p>
    <w:p w14:paraId="1D47DB60" w14:textId="77777777" w:rsidR="00894070" w:rsidRDefault="009B7AFD">
      <w:pPr>
        <w:pStyle w:val="ListParagraph"/>
        <w:numPr>
          <w:ilvl w:val="1"/>
          <w:numId w:val="161"/>
        </w:numPr>
        <w:tabs>
          <w:tab w:val="left" w:pos="1802"/>
        </w:tabs>
        <w:spacing w:before="146" w:line="206" w:lineRule="auto"/>
        <w:ind w:right="1359"/>
        <w:jc w:val="both"/>
        <w:rPr>
          <w:sz w:val="20"/>
        </w:rPr>
      </w:pPr>
      <w:r>
        <w:rPr>
          <w:color w:val="231F20"/>
          <w:sz w:val="20"/>
        </w:rPr>
        <w:t>There</w:t>
      </w:r>
      <w:r>
        <w:rPr>
          <w:color w:val="231F20"/>
          <w:spacing w:val="-10"/>
          <w:sz w:val="20"/>
        </w:rPr>
        <w:t xml:space="preserve"> </w:t>
      </w:r>
      <w:r>
        <w:rPr>
          <w:color w:val="231F20"/>
          <w:spacing w:val="-3"/>
          <w:sz w:val="20"/>
        </w:rPr>
        <w:t>are</w:t>
      </w:r>
      <w:r>
        <w:rPr>
          <w:color w:val="231F20"/>
          <w:spacing w:val="-9"/>
          <w:sz w:val="20"/>
        </w:rPr>
        <w:t xml:space="preserve"> </w:t>
      </w:r>
      <w:r>
        <w:rPr>
          <w:color w:val="231F20"/>
          <w:sz w:val="20"/>
        </w:rPr>
        <w:t>no</w:t>
      </w:r>
      <w:r>
        <w:rPr>
          <w:color w:val="231F20"/>
          <w:spacing w:val="-10"/>
          <w:sz w:val="20"/>
        </w:rPr>
        <w:t xml:space="preserve"> </w:t>
      </w:r>
      <w:r>
        <w:rPr>
          <w:color w:val="231F20"/>
          <w:sz w:val="20"/>
        </w:rPr>
        <w:t>support</w:t>
      </w:r>
      <w:r>
        <w:rPr>
          <w:color w:val="231F20"/>
          <w:spacing w:val="-9"/>
          <w:sz w:val="20"/>
        </w:rPr>
        <w:t xml:space="preserve"> </w:t>
      </w:r>
      <w:r>
        <w:rPr>
          <w:color w:val="231F20"/>
          <w:sz w:val="20"/>
        </w:rPr>
        <w:t>services</w:t>
      </w:r>
      <w:r>
        <w:rPr>
          <w:color w:val="231F20"/>
          <w:spacing w:val="-10"/>
          <w:sz w:val="20"/>
        </w:rPr>
        <w:t xml:space="preserve"> </w:t>
      </w:r>
      <w:r>
        <w:rPr>
          <w:color w:val="231F20"/>
          <w:sz w:val="20"/>
        </w:rPr>
        <w:t>that</w:t>
      </w:r>
      <w:r>
        <w:rPr>
          <w:color w:val="231F20"/>
          <w:spacing w:val="-9"/>
          <w:sz w:val="20"/>
        </w:rPr>
        <w:t xml:space="preserve"> </w:t>
      </w:r>
      <w:r>
        <w:rPr>
          <w:color w:val="231F20"/>
          <w:sz w:val="20"/>
        </w:rPr>
        <w:t>specialise</w:t>
      </w:r>
      <w:r>
        <w:rPr>
          <w:color w:val="231F20"/>
          <w:spacing w:val="-10"/>
          <w:sz w:val="20"/>
        </w:rPr>
        <w:t xml:space="preserve"> </w:t>
      </w:r>
      <w:r>
        <w:rPr>
          <w:color w:val="231F20"/>
          <w:sz w:val="20"/>
        </w:rPr>
        <w:t>in</w:t>
      </w:r>
      <w:r>
        <w:rPr>
          <w:color w:val="231F20"/>
          <w:spacing w:val="-9"/>
          <w:sz w:val="20"/>
        </w:rPr>
        <w:t xml:space="preserve"> </w:t>
      </w:r>
      <w:r>
        <w:rPr>
          <w:color w:val="231F20"/>
          <w:sz w:val="20"/>
        </w:rPr>
        <w:t>helping</w:t>
      </w:r>
      <w:r>
        <w:rPr>
          <w:color w:val="231F20"/>
          <w:spacing w:val="-10"/>
          <w:sz w:val="20"/>
        </w:rPr>
        <w:t xml:space="preserve"> </w:t>
      </w:r>
      <w:r>
        <w:rPr>
          <w:color w:val="231F20"/>
          <w:sz w:val="20"/>
        </w:rPr>
        <w:t>people</w:t>
      </w:r>
      <w:r>
        <w:rPr>
          <w:color w:val="231F20"/>
          <w:spacing w:val="-9"/>
          <w:sz w:val="20"/>
        </w:rPr>
        <w:t xml:space="preserve"> </w:t>
      </w:r>
      <w:r>
        <w:rPr>
          <w:color w:val="231F20"/>
          <w:sz w:val="20"/>
        </w:rPr>
        <w:t>who</w:t>
      </w:r>
      <w:r>
        <w:rPr>
          <w:color w:val="231F20"/>
          <w:spacing w:val="-10"/>
          <w:sz w:val="20"/>
        </w:rPr>
        <w:t xml:space="preserve"> </w:t>
      </w:r>
      <w:r>
        <w:rPr>
          <w:color w:val="231F20"/>
          <w:spacing w:val="-3"/>
          <w:sz w:val="20"/>
        </w:rPr>
        <w:t>are</w:t>
      </w:r>
      <w:r>
        <w:rPr>
          <w:color w:val="231F20"/>
          <w:spacing w:val="-9"/>
          <w:sz w:val="20"/>
        </w:rPr>
        <w:t xml:space="preserve"> </w:t>
      </w:r>
      <w:r>
        <w:rPr>
          <w:color w:val="231F20"/>
          <w:sz w:val="20"/>
        </w:rPr>
        <w:t>experiencing non-family</w:t>
      </w:r>
      <w:r>
        <w:rPr>
          <w:color w:val="231F20"/>
          <w:spacing w:val="-15"/>
          <w:sz w:val="20"/>
        </w:rPr>
        <w:t xml:space="preserve"> </w:t>
      </w:r>
      <w:r>
        <w:rPr>
          <w:color w:val="231F20"/>
          <w:sz w:val="20"/>
        </w:rPr>
        <w:t>violence</w:t>
      </w:r>
      <w:r>
        <w:rPr>
          <w:color w:val="231F20"/>
          <w:spacing w:val="-14"/>
          <w:sz w:val="20"/>
        </w:rPr>
        <w:t xml:space="preserve"> </w:t>
      </w:r>
      <w:r>
        <w:rPr>
          <w:color w:val="231F20"/>
          <w:sz w:val="20"/>
        </w:rPr>
        <w:t>stalking.</w:t>
      </w:r>
      <w:r>
        <w:rPr>
          <w:color w:val="231F20"/>
          <w:spacing w:val="-15"/>
          <w:sz w:val="20"/>
        </w:rPr>
        <w:t xml:space="preserve"> </w:t>
      </w:r>
      <w:r>
        <w:rPr>
          <w:color w:val="231F20"/>
          <w:sz w:val="20"/>
        </w:rPr>
        <w:t>In</w:t>
      </w:r>
      <w:r>
        <w:rPr>
          <w:color w:val="231F20"/>
          <w:spacing w:val="-14"/>
          <w:sz w:val="20"/>
        </w:rPr>
        <w:t xml:space="preserve"> </w:t>
      </w:r>
      <w:r>
        <w:rPr>
          <w:color w:val="231F20"/>
          <w:sz w:val="20"/>
        </w:rPr>
        <w:t>contrast,</w:t>
      </w:r>
      <w:r>
        <w:rPr>
          <w:color w:val="231F20"/>
          <w:spacing w:val="-14"/>
          <w:sz w:val="20"/>
        </w:rPr>
        <w:t xml:space="preserve"> </w:t>
      </w:r>
      <w:r>
        <w:rPr>
          <w:color w:val="231F20"/>
          <w:sz w:val="20"/>
        </w:rPr>
        <w:t>people</w:t>
      </w:r>
      <w:r>
        <w:rPr>
          <w:color w:val="231F20"/>
          <w:spacing w:val="-15"/>
          <w:sz w:val="20"/>
        </w:rPr>
        <w:t xml:space="preserve"> </w:t>
      </w:r>
      <w:r>
        <w:rPr>
          <w:color w:val="231F20"/>
          <w:sz w:val="20"/>
        </w:rPr>
        <w:t>who</w:t>
      </w:r>
      <w:r>
        <w:rPr>
          <w:color w:val="231F20"/>
          <w:spacing w:val="-14"/>
          <w:sz w:val="20"/>
        </w:rPr>
        <w:t xml:space="preserve"> </w:t>
      </w:r>
      <w:r>
        <w:rPr>
          <w:color w:val="231F20"/>
          <w:sz w:val="20"/>
        </w:rPr>
        <w:t>experience</w:t>
      </w:r>
      <w:r>
        <w:rPr>
          <w:color w:val="231F20"/>
          <w:spacing w:val="-14"/>
          <w:sz w:val="20"/>
        </w:rPr>
        <w:t xml:space="preserve"> </w:t>
      </w:r>
      <w:r>
        <w:rPr>
          <w:color w:val="231F20"/>
          <w:sz w:val="20"/>
        </w:rPr>
        <w:t>stalking</w:t>
      </w:r>
      <w:r>
        <w:rPr>
          <w:color w:val="231F20"/>
          <w:spacing w:val="-15"/>
          <w:sz w:val="20"/>
        </w:rPr>
        <w:t xml:space="preserve"> </w:t>
      </w:r>
      <w:r>
        <w:rPr>
          <w:color w:val="231F20"/>
          <w:sz w:val="20"/>
        </w:rPr>
        <w:t>in</w:t>
      </w:r>
      <w:r>
        <w:rPr>
          <w:color w:val="231F20"/>
          <w:spacing w:val="-14"/>
          <w:sz w:val="20"/>
        </w:rPr>
        <w:t xml:space="preserve"> </w:t>
      </w:r>
      <w:r>
        <w:rPr>
          <w:color w:val="231F20"/>
          <w:sz w:val="20"/>
        </w:rPr>
        <w:t>situations of</w:t>
      </w:r>
      <w:r>
        <w:rPr>
          <w:color w:val="231F20"/>
          <w:spacing w:val="-6"/>
          <w:sz w:val="20"/>
        </w:rPr>
        <w:t xml:space="preserve"> </w:t>
      </w:r>
      <w:r>
        <w:rPr>
          <w:color w:val="231F20"/>
          <w:spacing w:val="-3"/>
          <w:sz w:val="20"/>
        </w:rPr>
        <w:t>family</w:t>
      </w:r>
      <w:r>
        <w:rPr>
          <w:color w:val="231F20"/>
          <w:spacing w:val="-5"/>
          <w:sz w:val="20"/>
        </w:rPr>
        <w:t xml:space="preserve"> </w:t>
      </w:r>
      <w:r>
        <w:rPr>
          <w:color w:val="231F20"/>
          <w:sz w:val="20"/>
        </w:rPr>
        <w:t>or</w:t>
      </w:r>
      <w:r>
        <w:rPr>
          <w:color w:val="231F20"/>
          <w:spacing w:val="-6"/>
          <w:sz w:val="20"/>
        </w:rPr>
        <w:t xml:space="preserve"> </w:t>
      </w:r>
      <w:r>
        <w:rPr>
          <w:color w:val="231F20"/>
          <w:sz w:val="20"/>
        </w:rPr>
        <w:t>sexual</w:t>
      </w:r>
      <w:r>
        <w:rPr>
          <w:color w:val="231F20"/>
          <w:spacing w:val="-5"/>
          <w:sz w:val="20"/>
        </w:rPr>
        <w:t xml:space="preserve"> </w:t>
      </w:r>
      <w:r>
        <w:rPr>
          <w:color w:val="231F20"/>
          <w:sz w:val="20"/>
        </w:rPr>
        <w:t>violence</w:t>
      </w:r>
      <w:r>
        <w:rPr>
          <w:color w:val="231F20"/>
          <w:spacing w:val="-6"/>
          <w:sz w:val="20"/>
        </w:rPr>
        <w:t xml:space="preserve"> </w:t>
      </w:r>
      <w:r>
        <w:rPr>
          <w:color w:val="231F20"/>
          <w:sz w:val="20"/>
        </w:rPr>
        <w:t>can</w:t>
      </w:r>
      <w:r>
        <w:rPr>
          <w:color w:val="231F20"/>
          <w:spacing w:val="-5"/>
          <w:sz w:val="20"/>
        </w:rPr>
        <w:t xml:space="preserve"> </w:t>
      </w:r>
      <w:r>
        <w:rPr>
          <w:color w:val="231F20"/>
          <w:sz w:val="20"/>
        </w:rPr>
        <w:t>access</w:t>
      </w:r>
      <w:r>
        <w:rPr>
          <w:color w:val="231F20"/>
          <w:spacing w:val="-6"/>
          <w:sz w:val="20"/>
        </w:rPr>
        <w:t xml:space="preserve"> </w:t>
      </w:r>
      <w:r>
        <w:rPr>
          <w:color w:val="231F20"/>
          <w:sz w:val="20"/>
        </w:rPr>
        <w:t>support</w:t>
      </w:r>
      <w:r>
        <w:rPr>
          <w:color w:val="231F20"/>
          <w:spacing w:val="-5"/>
          <w:sz w:val="20"/>
        </w:rPr>
        <w:t xml:space="preserve"> </w:t>
      </w:r>
      <w:r>
        <w:rPr>
          <w:color w:val="231F20"/>
          <w:spacing w:val="-3"/>
          <w:sz w:val="20"/>
        </w:rPr>
        <w:t>through</w:t>
      </w:r>
      <w:r>
        <w:rPr>
          <w:color w:val="231F20"/>
          <w:spacing w:val="-6"/>
          <w:sz w:val="20"/>
        </w:rPr>
        <w:t xml:space="preserve"> </w:t>
      </w:r>
      <w:r>
        <w:rPr>
          <w:color w:val="231F20"/>
          <w:sz w:val="20"/>
        </w:rPr>
        <w:t>specialist</w:t>
      </w:r>
      <w:r>
        <w:rPr>
          <w:color w:val="231F20"/>
          <w:spacing w:val="-5"/>
          <w:sz w:val="20"/>
        </w:rPr>
        <w:t xml:space="preserve"> </w:t>
      </w:r>
      <w:r>
        <w:rPr>
          <w:color w:val="231F20"/>
          <w:sz w:val="20"/>
        </w:rPr>
        <w:t>services.</w:t>
      </w:r>
    </w:p>
    <w:p w14:paraId="68B7C21F" w14:textId="77777777" w:rsidR="00894070" w:rsidRDefault="009B7AFD">
      <w:pPr>
        <w:pStyle w:val="ListParagraph"/>
        <w:numPr>
          <w:ilvl w:val="1"/>
          <w:numId w:val="161"/>
        </w:numPr>
        <w:tabs>
          <w:tab w:val="left" w:pos="1801"/>
          <w:tab w:val="left" w:pos="1802"/>
        </w:tabs>
        <w:spacing w:before="123" w:line="206" w:lineRule="auto"/>
        <w:ind w:right="1296"/>
        <w:rPr>
          <w:sz w:val="11"/>
        </w:rPr>
      </w:pPr>
      <w:r>
        <w:rPr>
          <w:color w:val="231F20"/>
          <w:spacing w:val="-6"/>
          <w:sz w:val="20"/>
        </w:rPr>
        <w:t>We</w:t>
      </w:r>
      <w:r>
        <w:rPr>
          <w:color w:val="231F20"/>
          <w:spacing w:val="-11"/>
          <w:sz w:val="20"/>
        </w:rPr>
        <w:t xml:space="preserve"> </w:t>
      </w:r>
      <w:r>
        <w:rPr>
          <w:color w:val="231F20"/>
          <w:sz w:val="20"/>
        </w:rPr>
        <w:t>heard</w:t>
      </w:r>
      <w:r>
        <w:rPr>
          <w:color w:val="231F20"/>
          <w:spacing w:val="-11"/>
          <w:sz w:val="20"/>
        </w:rPr>
        <w:t xml:space="preserve"> </w:t>
      </w:r>
      <w:r>
        <w:rPr>
          <w:color w:val="231F20"/>
          <w:sz w:val="20"/>
        </w:rPr>
        <w:t>that</w:t>
      </w:r>
      <w:r>
        <w:rPr>
          <w:color w:val="231F20"/>
          <w:spacing w:val="-11"/>
          <w:sz w:val="20"/>
        </w:rPr>
        <w:t xml:space="preserve"> </w:t>
      </w:r>
      <w:r>
        <w:rPr>
          <w:color w:val="231F20"/>
          <w:sz w:val="20"/>
        </w:rPr>
        <w:t>there</w:t>
      </w:r>
      <w:r>
        <w:rPr>
          <w:color w:val="231F20"/>
          <w:spacing w:val="-11"/>
          <w:sz w:val="20"/>
        </w:rPr>
        <w:t xml:space="preserve"> </w:t>
      </w:r>
      <w:r>
        <w:rPr>
          <w:color w:val="231F20"/>
          <w:sz w:val="20"/>
        </w:rPr>
        <w:t>is</w:t>
      </w:r>
      <w:r>
        <w:rPr>
          <w:color w:val="231F20"/>
          <w:spacing w:val="-10"/>
          <w:sz w:val="20"/>
        </w:rPr>
        <w:t xml:space="preserve"> </w:t>
      </w:r>
      <w:r>
        <w:rPr>
          <w:color w:val="231F20"/>
          <w:sz w:val="20"/>
        </w:rPr>
        <w:t>a</w:t>
      </w:r>
      <w:r>
        <w:rPr>
          <w:color w:val="231F20"/>
          <w:spacing w:val="-11"/>
          <w:sz w:val="20"/>
        </w:rPr>
        <w:t xml:space="preserve"> </w:t>
      </w:r>
      <w:r>
        <w:rPr>
          <w:color w:val="231F20"/>
          <w:sz w:val="20"/>
        </w:rPr>
        <w:t>gap</w:t>
      </w:r>
      <w:r>
        <w:rPr>
          <w:color w:val="231F20"/>
          <w:spacing w:val="-11"/>
          <w:sz w:val="20"/>
        </w:rPr>
        <w:t xml:space="preserve"> </w:t>
      </w:r>
      <w:r>
        <w:rPr>
          <w:color w:val="231F20"/>
          <w:sz w:val="20"/>
        </w:rPr>
        <w:t>in</w:t>
      </w:r>
      <w:r>
        <w:rPr>
          <w:color w:val="231F20"/>
          <w:spacing w:val="-11"/>
          <w:sz w:val="20"/>
        </w:rPr>
        <w:t xml:space="preserve"> </w:t>
      </w:r>
      <w:r>
        <w:rPr>
          <w:color w:val="231F20"/>
          <w:sz w:val="20"/>
        </w:rPr>
        <w:t>victim</w:t>
      </w:r>
      <w:r>
        <w:rPr>
          <w:color w:val="231F20"/>
          <w:spacing w:val="-11"/>
          <w:sz w:val="20"/>
        </w:rPr>
        <w:t xml:space="preserve"> </w:t>
      </w:r>
      <w:r>
        <w:rPr>
          <w:color w:val="231F20"/>
          <w:sz w:val="20"/>
        </w:rPr>
        <w:t>support</w:t>
      </w:r>
      <w:r>
        <w:rPr>
          <w:color w:val="231F20"/>
          <w:spacing w:val="-10"/>
          <w:sz w:val="20"/>
        </w:rPr>
        <w:t xml:space="preserve"> </w:t>
      </w:r>
      <w:r>
        <w:rPr>
          <w:color w:val="231F20"/>
          <w:sz w:val="20"/>
        </w:rPr>
        <w:t>where</w:t>
      </w:r>
      <w:r>
        <w:rPr>
          <w:color w:val="231F20"/>
          <w:spacing w:val="-11"/>
          <w:sz w:val="20"/>
        </w:rPr>
        <w:t xml:space="preserve"> </w:t>
      </w:r>
      <w:r>
        <w:rPr>
          <w:color w:val="231F20"/>
          <w:sz w:val="20"/>
        </w:rPr>
        <w:t>people</w:t>
      </w:r>
      <w:r>
        <w:rPr>
          <w:color w:val="231F20"/>
          <w:spacing w:val="-11"/>
          <w:sz w:val="20"/>
        </w:rPr>
        <w:t xml:space="preserve"> </w:t>
      </w:r>
      <w:r>
        <w:rPr>
          <w:color w:val="231F20"/>
          <w:sz w:val="20"/>
        </w:rPr>
        <w:t>experience</w:t>
      </w:r>
      <w:r>
        <w:rPr>
          <w:color w:val="231F20"/>
          <w:spacing w:val="-11"/>
          <w:sz w:val="20"/>
        </w:rPr>
        <w:t xml:space="preserve"> </w:t>
      </w:r>
      <w:r>
        <w:rPr>
          <w:color w:val="231F20"/>
          <w:sz w:val="20"/>
        </w:rPr>
        <w:t xml:space="preserve">cyberstalking but do not also experience </w:t>
      </w:r>
      <w:r>
        <w:rPr>
          <w:color w:val="231F20"/>
          <w:spacing w:val="-3"/>
          <w:sz w:val="20"/>
        </w:rPr>
        <w:t xml:space="preserve">family </w:t>
      </w:r>
      <w:r>
        <w:rPr>
          <w:color w:val="231F20"/>
          <w:sz w:val="20"/>
        </w:rPr>
        <w:t xml:space="preserve">or sexual violence. They cannot access victim support </w:t>
      </w:r>
      <w:r>
        <w:rPr>
          <w:color w:val="231F20"/>
          <w:spacing w:val="-3"/>
          <w:sz w:val="20"/>
        </w:rPr>
        <w:t>for technology-facilitated</w:t>
      </w:r>
      <w:r>
        <w:rPr>
          <w:color w:val="231F20"/>
          <w:spacing w:val="-9"/>
          <w:sz w:val="20"/>
        </w:rPr>
        <w:t xml:space="preserve"> </w:t>
      </w:r>
      <w:r>
        <w:rPr>
          <w:color w:val="231F20"/>
          <w:sz w:val="20"/>
        </w:rPr>
        <w:t>abuse.</w:t>
      </w:r>
      <w:r>
        <w:rPr>
          <w:color w:val="231F20"/>
          <w:position w:val="7"/>
          <w:sz w:val="11"/>
        </w:rPr>
        <w:t>117</w:t>
      </w:r>
    </w:p>
    <w:p w14:paraId="6C9F0DB4" w14:textId="77777777" w:rsidR="00894070" w:rsidRDefault="009B7AFD">
      <w:pPr>
        <w:pStyle w:val="ListParagraph"/>
        <w:numPr>
          <w:ilvl w:val="1"/>
          <w:numId w:val="161"/>
        </w:numPr>
        <w:tabs>
          <w:tab w:val="left" w:pos="1801"/>
          <w:tab w:val="left" w:pos="1802"/>
        </w:tabs>
        <w:spacing w:before="92" w:line="259" w:lineRule="exact"/>
        <w:rPr>
          <w:sz w:val="20"/>
        </w:rPr>
      </w:pPr>
      <w:r>
        <w:rPr>
          <w:color w:val="231F20"/>
          <w:sz w:val="20"/>
        </w:rPr>
        <w:t>In</w:t>
      </w:r>
      <w:r>
        <w:rPr>
          <w:color w:val="231F20"/>
          <w:spacing w:val="-6"/>
          <w:sz w:val="20"/>
        </w:rPr>
        <w:t xml:space="preserve"> </w:t>
      </w:r>
      <w:r>
        <w:rPr>
          <w:color w:val="231F20"/>
          <w:sz w:val="20"/>
        </w:rPr>
        <w:t>our</w:t>
      </w:r>
      <w:r>
        <w:rPr>
          <w:color w:val="231F20"/>
          <w:spacing w:val="-5"/>
          <w:sz w:val="20"/>
        </w:rPr>
        <w:t xml:space="preserve"> </w:t>
      </w:r>
      <w:r>
        <w:rPr>
          <w:color w:val="231F20"/>
          <w:sz w:val="20"/>
        </w:rPr>
        <w:t>consultation</w:t>
      </w:r>
      <w:r>
        <w:rPr>
          <w:color w:val="231F20"/>
          <w:spacing w:val="-6"/>
          <w:sz w:val="20"/>
        </w:rPr>
        <w:t xml:space="preserve"> </w:t>
      </w:r>
      <w:r>
        <w:rPr>
          <w:color w:val="231F20"/>
          <w:sz w:val="20"/>
        </w:rPr>
        <w:t>paper</w:t>
      </w:r>
      <w:r>
        <w:rPr>
          <w:color w:val="231F20"/>
          <w:spacing w:val="-5"/>
          <w:sz w:val="20"/>
        </w:rPr>
        <w:t xml:space="preserve"> </w:t>
      </w:r>
      <w:r>
        <w:rPr>
          <w:color w:val="231F20"/>
          <w:spacing w:val="-3"/>
          <w:sz w:val="20"/>
        </w:rPr>
        <w:t>we</w:t>
      </w:r>
      <w:r>
        <w:rPr>
          <w:color w:val="231F20"/>
          <w:spacing w:val="-6"/>
          <w:sz w:val="20"/>
        </w:rPr>
        <w:t xml:space="preserve"> </w:t>
      </w:r>
      <w:r>
        <w:rPr>
          <w:color w:val="231F20"/>
          <w:sz w:val="20"/>
        </w:rPr>
        <w:t>asked</w:t>
      </w:r>
      <w:r>
        <w:rPr>
          <w:color w:val="231F20"/>
          <w:spacing w:val="-5"/>
          <w:sz w:val="20"/>
        </w:rPr>
        <w:t xml:space="preserve"> </w:t>
      </w:r>
      <w:r>
        <w:rPr>
          <w:color w:val="231F20"/>
          <w:sz w:val="20"/>
        </w:rPr>
        <w:t>where</w:t>
      </w:r>
      <w:r>
        <w:rPr>
          <w:color w:val="231F20"/>
          <w:spacing w:val="-5"/>
          <w:sz w:val="20"/>
        </w:rPr>
        <w:t xml:space="preserve"> </w:t>
      </w:r>
      <w:r>
        <w:rPr>
          <w:color w:val="231F20"/>
          <w:sz w:val="20"/>
        </w:rPr>
        <w:t>people</w:t>
      </w:r>
      <w:r>
        <w:rPr>
          <w:color w:val="231F20"/>
          <w:spacing w:val="-6"/>
          <w:sz w:val="20"/>
        </w:rPr>
        <w:t xml:space="preserve"> </w:t>
      </w:r>
      <w:r>
        <w:rPr>
          <w:color w:val="231F20"/>
          <w:sz w:val="20"/>
        </w:rPr>
        <w:t>can</w:t>
      </w:r>
      <w:r>
        <w:rPr>
          <w:color w:val="231F20"/>
          <w:spacing w:val="-5"/>
          <w:sz w:val="20"/>
        </w:rPr>
        <w:t xml:space="preserve"> </w:t>
      </w:r>
      <w:r>
        <w:rPr>
          <w:color w:val="231F20"/>
          <w:sz w:val="20"/>
        </w:rPr>
        <w:t>go</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help</w:t>
      </w:r>
      <w:r>
        <w:rPr>
          <w:color w:val="231F20"/>
          <w:spacing w:val="-5"/>
          <w:sz w:val="20"/>
        </w:rPr>
        <w:t xml:space="preserve"> </w:t>
      </w:r>
      <w:r>
        <w:rPr>
          <w:color w:val="231F20"/>
          <w:sz w:val="20"/>
        </w:rPr>
        <w:t>if</w:t>
      </w:r>
      <w:r>
        <w:rPr>
          <w:color w:val="231F20"/>
          <w:spacing w:val="-6"/>
          <w:sz w:val="20"/>
        </w:rPr>
        <w:t xml:space="preserve"> </w:t>
      </w:r>
      <w:r>
        <w:rPr>
          <w:color w:val="231F20"/>
          <w:sz w:val="20"/>
        </w:rPr>
        <w:t>they</w:t>
      </w:r>
      <w:r>
        <w:rPr>
          <w:color w:val="231F20"/>
          <w:spacing w:val="-5"/>
          <w:sz w:val="20"/>
        </w:rPr>
        <w:t xml:space="preserve"> </w:t>
      </w:r>
      <w:r>
        <w:rPr>
          <w:color w:val="231F20"/>
          <w:spacing w:val="-3"/>
          <w:sz w:val="20"/>
        </w:rPr>
        <w:t>are</w:t>
      </w:r>
      <w:r>
        <w:rPr>
          <w:color w:val="231F20"/>
          <w:spacing w:val="-6"/>
          <w:sz w:val="20"/>
        </w:rPr>
        <w:t xml:space="preserve"> </w:t>
      </w:r>
      <w:r>
        <w:rPr>
          <w:color w:val="231F20"/>
          <w:sz w:val="20"/>
        </w:rPr>
        <w:t>being</w:t>
      </w:r>
    </w:p>
    <w:p w14:paraId="2CDDA88E" w14:textId="77777777" w:rsidR="00894070" w:rsidRDefault="009B7AFD">
      <w:pPr>
        <w:pStyle w:val="BodyText"/>
        <w:spacing w:line="259" w:lineRule="exact"/>
        <w:ind w:left="1801"/>
      </w:pPr>
      <w:r>
        <w:rPr>
          <w:color w:val="231F20"/>
        </w:rPr>
        <w:t>cyberstalked. These avenues are described in Table 7 below.</w:t>
      </w:r>
    </w:p>
    <w:p w14:paraId="4E98144B" w14:textId="77777777" w:rsidR="00894070" w:rsidRDefault="00894070">
      <w:pPr>
        <w:pStyle w:val="BodyText"/>
      </w:pPr>
    </w:p>
    <w:p w14:paraId="3B4F70BD" w14:textId="77777777" w:rsidR="00894070" w:rsidRDefault="00894070">
      <w:pPr>
        <w:pStyle w:val="BodyText"/>
      </w:pPr>
    </w:p>
    <w:p w14:paraId="71A4E749" w14:textId="77777777" w:rsidR="00894070" w:rsidRDefault="00894070">
      <w:pPr>
        <w:pStyle w:val="BodyText"/>
      </w:pPr>
    </w:p>
    <w:p w14:paraId="5E49D98C" w14:textId="77777777" w:rsidR="00894070" w:rsidRDefault="00894070">
      <w:pPr>
        <w:pStyle w:val="BodyText"/>
      </w:pPr>
    </w:p>
    <w:p w14:paraId="522BBDC7" w14:textId="77777777" w:rsidR="00894070" w:rsidRDefault="009F6793">
      <w:pPr>
        <w:pStyle w:val="BodyText"/>
        <w:spacing w:before="3"/>
        <w:rPr>
          <w:sz w:val="29"/>
        </w:rPr>
      </w:pPr>
      <w:r>
        <w:pict w14:anchorId="18AA9BEC">
          <v:line id="_x0000_s1566" style="position:absolute;z-index:251498496;mso-wrap-distance-left:0;mso-wrap-distance-right:0;mso-position-horizontal-relative:page" from="79.35pt,22.75pt" to="515.9pt,22.75pt" strokecolor="#f8cabc" strokeweight="1pt">
            <w10:wrap type="topAndBottom" anchorx="page"/>
          </v:line>
        </w:pict>
      </w:r>
    </w:p>
    <w:p w14:paraId="731C6709" w14:textId="77777777" w:rsidR="00894070" w:rsidRDefault="009B7AFD">
      <w:pPr>
        <w:pStyle w:val="ListParagraph"/>
        <w:numPr>
          <w:ilvl w:val="0"/>
          <w:numId w:val="151"/>
        </w:numPr>
        <w:tabs>
          <w:tab w:val="left" w:pos="1800"/>
          <w:tab w:val="left" w:pos="1802"/>
        </w:tabs>
        <w:spacing w:before="91" w:line="170" w:lineRule="exact"/>
        <w:rPr>
          <w:sz w:val="13"/>
        </w:rPr>
      </w:pPr>
      <w:r>
        <w:rPr>
          <w:color w:val="231F20"/>
          <w:spacing w:val="2"/>
          <w:sz w:val="13"/>
        </w:rPr>
        <w:t xml:space="preserve">Submission </w:t>
      </w:r>
      <w:r>
        <w:rPr>
          <w:color w:val="231F20"/>
          <w:sz w:val="13"/>
        </w:rPr>
        <w:t xml:space="preserve">104 </w:t>
      </w:r>
      <w:r>
        <w:rPr>
          <w:color w:val="231F20"/>
          <w:spacing w:val="2"/>
          <w:sz w:val="13"/>
        </w:rPr>
        <w:t xml:space="preserve">(Alannah </w:t>
      </w:r>
      <w:r>
        <w:rPr>
          <w:color w:val="231F20"/>
          <w:sz w:val="13"/>
        </w:rPr>
        <w:t>and Madeline</w:t>
      </w:r>
      <w:r>
        <w:rPr>
          <w:color w:val="231F20"/>
          <w:spacing w:val="-5"/>
          <w:sz w:val="13"/>
        </w:rPr>
        <w:t xml:space="preserve"> </w:t>
      </w:r>
      <w:r>
        <w:rPr>
          <w:color w:val="231F20"/>
          <w:sz w:val="13"/>
        </w:rPr>
        <w:t>Foundation).</w:t>
      </w:r>
    </w:p>
    <w:p w14:paraId="23A9CC1E" w14:textId="77777777" w:rsidR="00894070" w:rsidRDefault="009B7AFD">
      <w:pPr>
        <w:pStyle w:val="ListParagraph"/>
        <w:numPr>
          <w:ilvl w:val="0"/>
          <w:numId w:val="151"/>
        </w:numPr>
        <w:tabs>
          <w:tab w:val="left" w:pos="1801"/>
          <w:tab w:val="left" w:pos="1802"/>
        </w:tabs>
        <w:spacing w:before="6" w:line="213" w:lineRule="auto"/>
        <w:ind w:right="1244"/>
        <w:rPr>
          <w:sz w:val="13"/>
        </w:rPr>
      </w:pPr>
      <w:r>
        <w:rPr>
          <w:color w:val="231F20"/>
          <w:sz w:val="13"/>
        </w:rPr>
        <w:t xml:space="preserve">Alannah &amp; Madeline Foundation, ‘Cyber and Digital Literacy Resources’, </w:t>
      </w:r>
      <w:r>
        <w:rPr>
          <w:i/>
          <w:color w:val="231F20"/>
          <w:spacing w:val="2"/>
          <w:sz w:val="13"/>
        </w:rPr>
        <w:t xml:space="preserve">ESmart </w:t>
      </w:r>
      <w:r>
        <w:rPr>
          <w:color w:val="231F20"/>
          <w:sz w:val="13"/>
        </w:rPr>
        <w:t>(Web Page, 2022</w:t>
      </w:r>
      <w:hyperlink r:id="rId93">
        <w:r>
          <w:rPr>
            <w:color w:val="231F20"/>
            <w:sz w:val="13"/>
          </w:rPr>
          <w:t>) &lt;https://www.esmart.org.au/</w:t>
        </w:r>
      </w:hyperlink>
      <w:hyperlink r:id="rId94">
        <w:r>
          <w:rPr>
            <w:color w:val="231F20"/>
            <w:sz w:val="13"/>
          </w:rPr>
          <w:t xml:space="preserve"> esmart-libraries/cyber-and-digital-literacy-resources/</w:t>
        </w:r>
      </w:hyperlink>
      <w:r>
        <w:rPr>
          <w:color w:val="231F20"/>
          <w:sz w:val="13"/>
        </w:rPr>
        <w:t>&gt;.</w:t>
      </w:r>
    </w:p>
    <w:p w14:paraId="44085A83" w14:textId="77777777" w:rsidR="00894070" w:rsidRDefault="009B7AFD">
      <w:pPr>
        <w:pStyle w:val="ListParagraph"/>
        <w:numPr>
          <w:ilvl w:val="0"/>
          <w:numId w:val="151"/>
        </w:numPr>
        <w:tabs>
          <w:tab w:val="left" w:pos="1801"/>
          <w:tab w:val="left" w:pos="1802"/>
        </w:tabs>
        <w:spacing w:line="153" w:lineRule="exact"/>
        <w:rPr>
          <w:sz w:val="13"/>
        </w:rPr>
      </w:pPr>
      <w:r>
        <w:rPr>
          <w:color w:val="231F20"/>
          <w:sz w:val="13"/>
        </w:rPr>
        <w:t xml:space="preserve">Alannah &amp; Madeline Foundation, ‘eSmart Digital Licence+’, </w:t>
      </w:r>
      <w:r>
        <w:rPr>
          <w:i/>
          <w:color w:val="231F20"/>
          <w:spacing w:val="2"/>
          <w:sz w:val="13"/>
        </w:rPr>
        <w:t xml:space="preserve">ESmart </w:t>
      </w:r>
      <w:r>
        <w:rPr>
          <w:color w:val="231F20"/>
          <w:sz w:val="13"/>
        </w:rPr>
        <w:t>(Web Page, 2022</w:t>
      </w:r>
      <w:hyperlink r:id="rId95">
        <w:r>
          <w:rPr>
            <w:color w:val="231F20"/>
            <w:sz w:val="13"/>
          </w:rPr>
          <w:t>)</w:t>
        </w:r>
        <w:r>
          <w:rPr>
            <w:color w:val="231F20"/>
            <w:spacing w:val="16"/>
            <w:sz w:val="13"/>
          </w:rPr>
          <w:t xml:space="preserve"> </w:t>
        </w:r>
        <w:r>
          <w:rPr>
            <w:color w:val="231F20"/>
            <w:sz w:val="13"/>
          </w:rPr>
          <w:t>&lt;https://digitallicenceplus.org/</w:t>
        </w:r>
      </w:hyperlink>
      <w:r>
        <w:rPr>
          <w:color w:val="231F20"/>
          <w:sz w:val="13"/>
        </w:rPr>
        <w:t>&gt;.</w:t>
      </w:r>
    </w:p>
    <w:p w14:paraId="0F853599" w14:textId="77777777" w:rsidR="00894070" w:rsidRDefault="009B7AFD">
      <w:pPr>
        <w:pStyle w:val="ListParagraph"/>
        <w:numPr>
          <w:ilvl w:val="0"/>
          <w:numId w:val="151"/>
        </w:numPr>
        <w:tabs>
          <w:tab w:val="left" w:pos="1800"/>
          <w:tab w:val="left" w:pos="1802"/>
        </w:tabs>
        <w:spacing w:line="160"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0465F88A" w14:textId="77777777" w:rsidR="00894070" w:rsidRDefault="009B7AFD">
      <w:pPr>
        <w:pStyle w:val="ListParagraph"/>
        <w:numPr>
          <w:ilvl w:val="0"/>
          <w:numId w:val="151"/>
        </w:numPr>
        <w:tabs>
          <w:tab w:val="left" w:pos="1801"/>
          <w:tab w:val="left" w:pos="1802"/>
        </w:tabs>
        <w:spacing w:before="6" w:line="213" w:lineRule="auto"/>
        <w:ind w:right="1167"/>
        <w:rPr>
          <w:sz w:val="13"/>
        </w:rPr>
      </w:pPr>
      <w:r>
        <w:rPr>
          <w:color w:val="231F20"/>
          <w:sz w:val="13"/>
        </w:rPr>
        <w:t xml:space="preserve">‘The Safety Net Project’, </w:t>
      </w:r>
      <w:r>
        <w:rPr>
          <w:i/>
          <w:color w:val="231F20"/>
          <w:sz w:val="13"/>
        </w:rPr>
        <w:t xml:space="preserve">National Network to End Domestic Violence (NNEDV) </w:t>
      </w:r>
      <w:r>
        <w:rPr>
          <w:color w:val="231F20"/>
          <w:sz w:val="13"/>
        </w:rPr>
        <w:t>(Web Pag</w:t>
      </w:r>
      <w:hyperlink r:id="rId96">
        <w:r>
          <w:rPr>
            <w:color w:val="231F20"/>
            <w:sz w:val="13"/>
          </w:rPr>
          <w:t>e) &lt;https://nnedv.org/content/</w:t>
        </w:r>
      </w:hyperlink>
      <w:hyperlink r:id="rId97">
        <w:r>
          <w:rPr>
            <w:color w:val="231F20"/>
            <w:sz w:val="13"/>
          </w:rPr>
          <w:t xml:space="preserve"> technology-safety/</w:t>
        </w:r>
      </w:hyperlink>
      <w:r>
        <w:rPr>
          <w:color w:val="231F20"/>
          <w:sz w:val="13"/>
        </w:rPr>
        <w:t xml:space="preserve">&gt;. See </w:t>
      </w:r>
      <w:r>
        <w:rPr>
          <w:color w:val="231F20"/>
          <w:spacing w:val="2"/>
          <w:sz w:val="13"/>
        </w:rPr>
        <w:t xml:space="preserve">also </w:t>
      </w:r>
      <w:r>
        <w:rPr>
          <w:color w:val="231F20"/>
          <w:sz w:val="13"/>
        </w:rPr>
        <w:t xml:space="preserve">Women’s </w:t>
      </w:r>
      <w:r>
        <w:rPr>
          <w:color w:val="231F20"/>
          <w:spacing w:val="2"/>
          <w:sz w:val="13"/>
        </w:rPr>
        <w:t xml:space="preserve">Services </w:t>
      </w:r>
      <w:r>
        <w:rPr>
          <w:color w:val="231F20"/>
          <w:sz w:val="13"/>
        </w:rPr>
        <w:t xml:space="preserve">Network </w:t>
      </w:r>
      <w:r>
        <w:rPr>
          <w:color w:val="231F20"/>
          <w:spacing w:val="2"/>
          <w:sz w:val="13"/>
        </w:rPr>
        <w:t xml:space="preserve">(WESNET), ‘WESNET </w:t>
      </w:r>
      <w:r>
        <w:rPr>
          <w:color w:val="231F20"/>
          <w:sz w:val="13"/>
        </w:rPr>
        <w:t xml:space="preserve">Safety Net Australia Service’, </w:t>
      </w:r>
      <w:r>
        <w:rPr>
          <w:i/>
          <w:color w:val="231F20"/>
          <w:sz w:val="13"/>
        </w:rPr>
        <w:t>Technology Safety Australia</w:t>
      </w:r>
      <w:r>
        <w:rPr>
          <w:i/>
          <w:color w:val="231F20"/>
          <w:spacing w:val="6"/>
          <w:sz w:val="13"/>
        </w:rPr>
        <w:t xml:space="preserve"> </w:t>
      </w:r>
      <w:r>
        <w:rPr>
          <w:color w:val="231F20"/>
          <w:sz w:val="13"/>
        </w:rPr>
        <w:t>(Web</w:t>
      </w:r>
      <w:r>
        <w:rPr>
          <w:color w:val="231F20"/>
          <w:spacing w:val="7"/>
          <w:sz w:val="13"/>
        </w:rPr>
        <w:t xml:space="preserve"> </w:t>
      </w:r>
      <w:r>
        <w:rPr>
          <w:color w:val="231F20"/>
          <w:sz w:val="13"/>
        </w:rPr>
        <w:t>Page)</w:t>
      </w:r>
      <w:r>
        <w:rPr>
          <w:color w:val="231F20"/>
          <w:spacing w:val="6"/>
          <w:sz w:val="13"/>
        </w:rPr>
        <w:t xml:space="preserve"> </w:t>
      </w:r>
      <w:r>
        <w:rPr>
          <w:color w:val="231F20"/>
          <w:sz w:val="13"/>
        </w:rPr>
        <w:t>&lt;</w:t>
      </w:r>
      <w:hyperlink r:id="rId98">
        <w:r>
          <w:rPr>
            <w:color w:val="231F20"/>
            <w:sz w:val="13"/>
          </w:rPr>
          <w:t>https://techsafety.org.au/about/</w:t>
        </w:r>
      </w:hyperlink>
      <w:r>
        <w:rPr>
          <w:color w:val="231F20"/>
          <w:sz w:val="13"/>
        </w:rPr>
        <w:t>&gt;,</w:t>
      </w:r>
      <w:r>
        <w:rPr>
          <w:color w:val="231F20"/>
          <w:spacing w:val="7"/>
          <w:sz w:val="13"/>
        </w:rPr>
        <w:t xml:space="preserve"> </w:t>
      </w:r>
      <w:r>
        <w:rPr>
          <w:color w:val="231F20"/>
          <w:spacing w:val="2"/>
          <w:sz w:val="13"/>
        </w:rPr>
        <w:t>established</w:t>
      </w:r>
      <w:r>
        <w:rPr>
          <w:color w:val="231F20"/>
          <w:spacing w:val="6"/>
          <w:sz w:val="13"/>
        </w:rPr>
        <w:t xml:space="preserve"> </w:t>
      </w:r>
      <w:r>
        <w:rPr>
          <w:color w:val="231F20"/>
          <w:sz w:val="13"/>
        </w:rPr>
        <w:t>in</w:t>
      </w:r>
      <w:r>
        <w:rPr>
          <w:color w:val="231F20"/>
          <w:spacing w:val="7"/>
          <w:sz w:val="13"/>
        </w:rPr>
        <w:t xml:space="preserve"> </w:t>
      </w:r>
      <w:r>
        <w:rPr>
          <w:color w:val="231F20"/>
          <w:sz w:val="13"/>
        </w:rPr>
        <w:t>2011</w:t>
      </w:r>
      <w:r>
        <w:rPr>
          <w:color w:val="231F20"/>
          <w:spacing w:val="7"/>
          <w:sz w:val="13"/>
        </w:rPr>
        <w:t xml:space="preserve"> </w:t>
      </w:r>
      <w:r>
        <w:rPr>
          <w:color w:val="231F20"/>
          <w:sz w:val="13"/>
        </w:rPr>
        <w:t>and</w:t>
      </w:r>
      <w:r>
        <w:rPr>
          <w:color w:val="231F20"/>
          <w:spacing w:val="6"/>
          <w:sz w:val="13"/>
        </w:rPr>
        <w:t xml:space="preserve"> </w:t>
      </w:r>
      <w:r>
        <w:rPr>
          <w:color w:val="231F20"/>
          <w:sz w:val="13"/>
        </w:rPr>
        <w:t>working</w:t>
      </w:r>
      <w:r>
        <w:rPr>
          <w:color w:val="231F20"/>
          <w:spacing w:val="7"/>
          <w:sz w:val="13"/>
        </w:rPr>
        <w:t xml:space="preserve"> </w:t>
      </w:r>
      <w:r>
        <w:rPr>
          <w:color w:val="231F20"/>
          <w:sz w:val="13"/>
        </w:rPr>
        <w:t>closely</w:t>
      </w:r>
      <w:r>
        <w:rPr>
          <w:color w:val="231F20"/>
          <w:spacing w:val="7"/>
          <w:sz w:val="13"/>
        </w:rPr>
        <w:t xml:space="preserve"> </w:t>
      </w:r>
      <w:r>
        <w:rPr>
          <w:color w:val="231F20"/>
          <w:sz w:val="13"/>
        </w:rPr>
        <w:t>with</w:t>
      </w:r>
      <w:r>
        <w:rPr>
          <w:color w:val="231F20"/>
          <w:spacing w:val="6"/>
          <w:sz w:val="13"/>
        </w:rPr>
        <w:t xml:space="preserve"> </w:t>
      </w:r>
      <w:r>
        <w:rPr>
          <w:color w:val="231F20"/>
          <w:sz w:val="13"/>
        </w:rPr>
        <w:t>the</w:t>
      </w:r>
      <w:r>
        <w:rPr>
          <w:color w:val="231F20"/>
          <w:spacing w:val="7"/>
          <w:sz w:val="13"/>
        </w:rPr>
        <w:t xml:space="preserve"> </w:t>
      </w:r>
      <w:r>
        <w:rPr>
          <w:color w:val="231F20"/>
          <w:sz w:val="13"/>
        </w:rPr>
        <w:t>US</w:t>
      </w:r>
      <w:r>
        <w:rPr>
          <w:color w:val="231F20"/>
          <w:spacing w:val="6"/>
          <w:sz w:val="13"/>
        </w:rPr>
        <w:t xml:space="preserve"> </w:t>
      </w:r>
      <w:r>
        <w:rPr>
          <w:color w:val="231F20"/>
          <w:sz w:val="13"/>
        </w:rPr>
        <w:t>Safety</w:t>
      </w:r>
      <w:r>
        <w:rPr>
          <w:color w:val="231F20"/>
          <w:spacing w:val="7"/>
          <w:sz w:val="13"/>
        </w:rPr>
        <w:t xml:space="preserve"> </w:t>
      </w:r>
      <w:r>
        <w:rPr>
          <w:color w:val="231F20"/>
          <w:sz w:val="13"/>
        </w:rPr>
        <w:t>Net</w:t>
      </w:r>
      <w:r>
        <w:rPr>
          <w:color w:val="231F20"/>
          <w:spacing w:val="7"/>
          <w:sz w:val="13"/>
        </w:rPr>
        <w:t xml:space="preserve"> </w:t>
      </w:r>
      <w:r>
        <w:rPr>
          <w:color w:val="231F20"/>
          <w:sz w:val="13"/>
        </w:rPr>
        <w:t>Project.</w:t>
      </w:r>
    </w:p>
    <w:p w14:paraId="56FC8452" w14:textId="77777777" w:rsidR="00894070" w:rsidRDefault="009B7AFD">
      <w:pPr>
        <w:pStyle w:val="ListParagraph"/>
        <w:numPr>
          <w:ilvl w:val="0"/>
          <w:numId w:val="151"/>
        </w:numPr>
        <w:tabs>
          <w:tab w:val="left" w:pos="1801"/>
          <w:tab w:val="left" w:pos="1802"/>
        </w:tabs>
        <w:spacing w:line="152" w:lineRule="exact"/>
        <w:rPr>
          <w:sz w:val="13"/>
        </w:rPr>
      </w:pPr>
      <w:r>
        <w:rPr>
          <w:color w:val="231F20"/>
          <w:sz w:val="13"/>
        </w:rPr>
        <w:t xml:space="preserve">‘Technology Safety’, </w:t>
      </w:r>
      <w:r>
        <w:rPr>
          <w:i/>
          <w:color w:val="231F20"/>
          <w:sz w:val="13"/>
        </w:rPr>
        <w:t xml:space="preserve">National Network to End Domestic Violence </w:t>
      </w:r>
      <w:r>
        <w:rPr>
          <w:color w:val="231F20"/>
          <w:sz w:val="13"/>
        </w:rPr>
        <w:t>(Web Pag</w:t>
      </w:r>
      <w:hyperlink r:id="rId99">
        <w:r>
          <w:rPr>
            <w:color w:val="231F20"/>
            <w:sz w:val="13"/>
          </w:rPr>
          <w:t>e)</w:t>
        </w:r>
        <w:r>
          <w:rPr>
            <w:color w:val="231F20"/>
            <w:spacing w:val="7"/>
            <w:sz w:val="13"/>
          </w:rPr>
          <w:t xml:space="preserve"> </w:t>
        </w:r>
        <w:r>
          <w:rPr>
            <w:color w:val="231F20"/>
            <w:sz w:val="13"/>
          </w:rPr>
          <w:t>&lt;https://www.techsafety.org</w:t>
        </w:r>
      </w:hyperlink>
      <w:r>
        <w:rPr>
          <w:color w:val="231F20"/>
          <w:sz w:val="13"/>
        </w:rPr>
        <w:t>&gt;.</w:t>
      </w:r>
    </w:p>
    <w:p w14:paraId="306D34DA" w14:textId="77777777" w:rsidR="00894070" w:rsidRDefault="009B7AFD">
      <w:pPr>
        <w:pStyle w:val="ListParagraph"/>
        <w:numPr>
          <w:ilvl w:val="0"/>
          <w:numId w:val="151"/>
        </w:numPr>
        <w:tabs>
          <w:tab w:val="left" w:pos="1801"/>
          <w:tab w:val="left" w:pos="1802"/>
        </w:tabs>
        <w:spacing w:line="160" w:lineRule="exact"/>
        <w:rPr>
          <w:sz w:val="13"/>
        </w:rPr>
      </w:pPr>
      <w:r>
        <w:rPr>
          <w:color w:val="231F20"/>
          <w:sz w:val="13"/>
        </w:rPr>
        <w:t xml:space="preserve">‘Tech Safety App’, </w:t>
      </w:r>
      <w:r>
        <w:rPr>
          <w:i/>
          <w:color w:val="231F20"/>
          <w:sz w:val="13"/>
        </w:rPr>
        <w:t xml:space="preserve">Tech Safety </w:t>
      </w:r>
      <w:r>
        <w:rPr>
          <w:color w:val="231F20"/>
          <w:sz w:val="13"/>
        </w:rPr>
        <w:t>(Web Pag</w:t>
      </w:r>
      <w:hyperlink r:id="rId100">
        <w:r>
          <w:rPr>
            <w:color w:val="231F20"/>
            <w:sz w:val="13"/>
          </w:rPr>
          <w:t>e) &lt;https://www.techsafetyapp.org/home</w:t>
        </w:r>
      </w:hyperlink>
      <w:r>
        <w:rPr>
          <w:color w:val="231F20"/>
          <w:sz w:val="13"/>
        </w:rPr>
        <w:t>&gt;.</w:t>
      </w:r>
    </w:p>
    <w:p w14:paraId="68915AB9" w14:textId="77777777" w:rsidR="00894070" w:rsidRDefault="009F6793">
      <w:pPr>
        <w:pStyle w:val="ListParagraph"/>
        <w:numPr>
          <w:ilvl w:val="0"/>
          <w:numId w:val="151"/>
        </w:numPr>
        <w:tabs>
          <w:tab w:val="left" w:pos="1801"/>
          <w:tab w:val="left" w:pos="1802"/>
        </w:tabs>
        <w:spacing w:before="7" w:line="213" w:lineRule="auto"/>
        <w:ind w:right="1521"/>
        <w:rPr>
          <w:sz w:val="13"/>
        </w:rPr>
      </w:pPr>
      <w:r>
        <w:pict w14:anchorId="642C7D81">
          <v:shape id="_x0000_s1565" type="#_x0000_t202" style="position:absolute;left:0;text-align:left;margin-left:548.95pt;margin-top:11.75pt;width:12.95pt;height:14.1pt;z-index:251572224;mso-position-horizontal-relative:page" filled="f" stroked="f">
            <v:textbox inset="0,0,0,0">
              <w:txbxContent>
                <w:p w14:paraId="5AB63A10" w14:textId="77777777" w:rsidR="00894070" w:rsidRDefault="009B7AFD">
                  <w:pPr>
                    <w:spacing w:line="282" w:lineRule="exact"/>
                    <w:rPr>
                      <w:b/>
                      <w:sz w:val="24"/>
                    </w:rPr>
                  </w:pPr>
                  <w:r>
                    <w:rPr>
                      <w:b/>
                      <w:color w:val="EA5B50"/>
                      <w:spacing w:val="-6"/>
                      <w:sz w:val="24"/>
                    </w:rPr>
                    <w:t>43</w:t>
                  </w:r>
                </w:p>
              </w:txbxContent>
            </v:textbox>
            <w10:wrap anchorx="page"/>
          </v:shape>
        </w:pict>
      </w:r>
      <w:r w:rsidR="009B7AFD">
        <w:rPr>
          <w:color w:val="231F20"/>
          <w:sz w:val="13"/>
        </w:rPr>
        <w:t xml:space="preserve">‘Technology Safety &amp; Privacy: A Toolkit for Survivors’, </w:t>
      </w:r>
      <w:r w:rsidR="009B7AFD">
        <w:rPr>
          <w:i/>
          <w:color w:val="231F20"/>
          <w:sz w:val="13"/>
        </w:rPr>
        <w:t xml:space="preserve">National Network to End Domestic Violence </w:t>
      </w:r>
      <w:r w:rsidR="009B7AFD">
        <w:rPr>
          <w:color w:val="231F20"/>
          <w:sz w:val="13"/>
        </w:rPr>
        <w:t>(Web Pag</w:t>
      </w:r>
      <w:hyperlink r:id="rId101">
        <w:r w:rsidR="009B7AFD">
          <w:rPr>
            <w:color w:val="231F20"/>
            <w:sz w:val="13"/>
          </w:rPr>
          <w:t>e) &lt;https://www.</w:t>
        </w:r>
      </w:hyperlink>
      <w:hyperlink r:id="rId102">
        <w:r w:rsidR="009B7AFD">
          <w:rPr>
            <w:color w:val="231F20"/>
            <w:sz w:val="13"/>
          </w:rPr>
          <w:t xml:space="preserve"> techsafety.org/resources-survivors</w:t>
        </w:r>
      </w:hyperlink>
      <w:r w:rsidR="009B7AFD">
        <w:rPr>
          <w:color w:val="231F20"/>
          <w:sz w:val="13"/>
        </w:rPr>
        <w:t>&gt;.</w:t>
      </w:r>
    </w:p>
    <w:p w14:paraId="2B5248A5" w14:textId="77777777" w:rsidR="00894070" w:rsidRDefault="009B7AFD">
      <w:pPr>
        <w:pStyle w:val="ListParagraph"/>
        <w:numPr>
          <w:ilvl w:val="0"/>
          <w:numId w:val="151"/>
        </w:numPr>
        <w:tabs>
          <w:tab w:val="left" w:pos="1800"/>
          <w:tab w:val="left" w:pos="1802"/>
        </w:tabs>
        <w:spacing w:line="163" w:lineRule="exact"/>
        <w:rPr>
          <w:sz w:val="13"/>
        </w:rPr>
      </w:pPr>
      <w:r>
        <w:rPr>
          <w:color w:val="231F20"/>
          <w:sz w:val="13"/>
        </w:rPr>
        <w:t xml:space="preserve">Consultation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w:t>
      </w:r>
      <w:r>
        <w:rPr>
          <w:color w:val="231F20"/>
          <w:spacing w:val="6"/>
          <w:sz w:val="13"/>
        </w:rPr>
        <w:t xml:space="preserve"> </w:t>
      </w:r>
      <w:r>
        <w:rPr>
          <w:color w:val="231F20"/>
          <w:sz w:val="13"/>
        </w:rPr>
        <w:t>Victoria).</w:t>
      </w:r>
    </w:p>
    <w:p w14:paraId="0EB9A8D4" w14:textId="77777777" w:rsidR="00894070" w:rsidRDefault="00894070">
      <w:pPr>
        <w:spacing w:line="163" w:lineRule="exact"/>
        <w:rPr>
          <w:sz w:val="13"/>
        </w:rPr>
        <w:sectPr w:rsidR="00894070">
          <w:pgSz w:w="11910" w:h="16840"/>
          <w:pgMar w:top="840" w:right="420" w:bottom="280" w:left="580" w:header="0" w:footer="0" w:gutter="0"/>
          <w:cols w:space="720"/>
        </w:sectPr>
      </w:pPr>
    </w:p>
    <w:p w14:paraId="038E7A0D" w14:textId="77777777" w:rsidR="00894070" w:rsidRDefault="00894070">
      <w:pPr>
        <w:pStyle w:val="BodyText"/>
      </w:pPr>
    </w:p>
    <w:p w14:paraId="0BECFE92" w14:textId="77777777" w:rsidR="00894070" w:rsidRDefault="00894070">
      <w:pPr>
        <w:pStyle w:val="BodyText"/>
      </w:pPr>
    </w:p>
    <w:p w14:paraId="1DEEE335" w14:textId="77777777" w:rsidR="00894070" w:rsidRDefault="00894070">
      <w:pPr>
        <w:pStyle w:val="BodyText"/>
      </w:pPr>
    </w:p>
    <w:p w14:paraId="708F3C9F" w14:textId="77777777" w:rsidR="00894070" w:rsidRDefault="00894070">
      <w:pPr>
        <w:pStyle w:val="BodyText"/>
        <w:spacing w:before="9"/>
        <w:rPr>
          <w:sz w:val="16"/>
        </w:rPr>
      </w:pPr>
    </w:p>
    <w:p w14:paraId="42158DD5" w14:textId="77777777" w:rsidR="00894070" w:rsidRDefault="009B7AFD">
      <w:pPr>
        <w:ind w:left="1007"/>
        <w:rPr>
          <w:b/>
          <w:sz w:val="19"/>
        </w:rPr>
      </w:pPr>
      <w:r>
        <w:rPr>
          <w:b/>
          <w:color w:val="231F20"/>
          <w:sz w:val="19"/>
        </w:rPr>
        <w:t>Table 7: Victim support for cyberstalking</w:t>
      </w:r>
    </w:p>
    <w:p w14:paraId="4FEEF7C6" w14:textId="77777777" w:rsidR="00894070" w:rsidRDefault="00894070">
      <w:pPr>
        <w:pStyle w:val="BodyText"/>
        <w:spacing w:before="3"/>
        <w:rPr>
          <w:b/>
          <w:sz w:val="11"/>
        </w:rPr>
      </w:pPr>
    </w:p>
    <w:tbl>
      <w:tblPr>
        <w:tblW w:w="0" w:type="auto"/>
        <w:tblInd w:w="1017"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1540"/>
        <w:gridCol w:w="4082"/>
        <w:gridCol w:w="3099"/>
      </w:tblGrid>
      <w:tr w:rsidR="00894070" w14:paraId="02D6CE6F" w14:textId="77777777">
        <w:trPr>
          <w:trHeight w:val="758"/>
        </w:trPr>
        <w:tc>
          <w:tcPr>
            <w:tcW w:w="1540" w:type="dxa"/>
            <w:shd w:val="clear" w:color="auto" w:fill="F4BCAE"/>
          </w:tcPr>
          <w:p w14:paraId="1DA44724" w14:textId="77777777" w:rsidR="00894070" w:rsidRDefault="00894070">
            <w:pPr>
              <w:pStyle w:val="TableParagraph"/>
              <w:spacing w:before="6"/>
              <w:ind w:left="0"/>
              <w:rPr>
                <w:b/>
                <w:sz w:val="17"/>
              </w:rPr>
            </w:pPr>
          </w:p>
          <w:p w14:paraId="4249EC3F" w14:textId="77777777" w:rsidR="00894070" w:rsidRDefault="009B7AFD">
            <w:pPr>
              <w:pStyle w:val="TableParagraph"/>
              <w:rPr>
                <w:b/>
                <w:sz w:val="20"/>
              </w:rPr>
            </w:pPr>
            <w:r>
              <w:rPr>
                <w:b/>
                <w:color w:val="231F20"/>
                <w:sz w:val="20"/>
              </w:rPr>
              <w:t>Organisation</w:t>
            </w:r>
          </w:p>
        </w:tc>
        <w:tc>
          <w:tcPr>
            <w:tcW w:w="4082" w:type="dxa"/>
            <w:shd w:val="clear" w:color="auto" w:fill="F4BCAE"/>
          </w:tcPr>
          <w:p w14:paraId="28F90142" w14:textId="77777777" w:rsidR="00894070" w:rsidRDefault="00894070">
            <w:pPr>
              <w:pStyle w:val="TableParagraph"/>
              <w:spacing w:before="6"/>
              <w:ind w:left="0"/>
              <w:rPr>
                <w:b/>
                <w:sz w:val="17"/>
              </w:rPr>
            </w:pPr>
          </w:p>
          <w:p w14:paraId="73B208AE" w14:textId="77777777" w:rsidR="00894070" w:rsidRDefault="009B7AFD">
            <w:pPr>
              <w:pStyle w:val="TableParagraph"/>
              <w:rPr>
                <w:b/>
                <w:sz w:val="20"/>
              </w:rPr>
            </w:pPr>
            <w:r>
              <w:rPr>
                <w:b/>
                <w:color w:val="231F20"/>
                <w:sz w:val="20"/>
              </w:rPr>
              <w:t>About the organisation</w:t>
            </w:r>
          </w:p>
        </w:tc>
        <w:tc>
          <w:tcPr>
            <w:tcW w:w="3099" w:type="dxa"/>
            <w:shd w:val="clear" w:color="auto" w:fill="F4BCAE"/>
          </w:tcPr>
          <w:p w14:paraId="1003F4E6" w14:textId="77777777" w:rsidR="00894070" w:rsidRDefault="009B7AFD">
            <w:pPr>
              <w:pStyle w:val="TableParagraph"/>
              <w:spacing w:before="154" w:line="206" w:lineRule="auto"/>
              <w:ind w:left="112"/>
              <w:rPr>
                <w:b/>
                <w:sz w:val="20"/>
              </w:rPr>
            </w:pPr>
            <w:r>
              <w:rPr>
                <w:b/>
                <w:color w:val="231F20"/>
                <w:sz w:val="20"/>
              </w:rPr>
              <w:t>Help provided to people who experience cyberstalking</w:t>
            </w:r>
          </w:p>
        </w:tc>
      </w:tr>
      <w:tr w:rsidR="00894070" w14:paraId="3A232D0A" w14:textId="77777777">
        <w:trPr>
          <w:trHeight w:val="3864"/>
        </w:trPr>
        <w:tc>
          <w:tcPr>
            <w:tcW w:w="1540" w:type="dxa"/>
          </w:tcPr>
          <w:p w14:paraId="05BA389E" w14:textId="77777777" w:rsidR="00894070" w:rsidRDefault="009B7AFD">
            <w:pPr>
              <w:pStyle w:val="TableParagraph"/>
              <w:spacing w:before="98" w:line="206" w:lineRule="auto"/>
              <w:rPr>
                <w:sz w:val="11"/>
              </w:rPr>
            </w:pPr>
            <w:r>
              <w:rPr>
                <w:color w:val="231F20"/>
                <w:sz w:val="20"/>
              </w:rPr>
              <w:t>Protective Services</w:t>
            </w:r>
            <w:r>
              <w:rPr>
                <w:color w:val="231F20"/>
                <w:position w:val="7"/>
                <w:sz w:val="11"/>
              </w:rPr>
              <w:t>118</w:t>
            </w:r>
          </w:p>
        </w:tc>
        <w:tc>
          <w:tcPr>
            <w:tcW w:w="4082" w:type="dxa"/>
          </w:tcPr>
          <w:p w14:paraId="541AB308" w14:textId="77777777" w:rsidR="00894070" w:rsidRDefault="009B7AFD">
            <w:pPr>
              <w:pStyle w:val="TableParagraph"/>
              <w:numPr>
                <w:ilvl w:val="0"/>
                <w:numId w:val="150"/>
              </w:numPr>
              <w:tabs>
                <w:tab w:val="left" w:pos="453"/>
                <w:tab w:val="left" w:pos="454"/>
              </w:tabs>
              <w:spacing w:before="98" w:line="206" w:lineRule="auto"/>
              <w:ind w:right="108" w:hanging="340"/>
              <w:rPr>
                <w:sz w:val="20"/>
              </w:rPr>
            </w:pPr>
            <w:r>
              <w:rPr>
                <w:color w:val="231F20"/>
                <w:sz w:val="20"/>
              </w:rPr>
              <w:t xml:space="preserve">National organisation aimed at keeping people </w:t>
            </w:r>
            <w:r>
              <w:rPr>
                <w:color w:val="231F20"/>
                <w:spacing w:val="-3"/>
                <w:sz w:val="20"/>
              </w:rPr>
              <w:t xml:space="preserve">safe from technology- </w:t>
            </w:r>
            <w:r>
              <w:rPr>
                <w:color w:val="231F20"/>
                <w:sz w:val="20"/>
              </w:rPr>
              <w:t>facilitated</w:t>
            </w:r>
            <w:r>
              <w:rPr>
                <w:color w:val="231F20"/>
                <w:spacing w:val="-5"/>
                <w:sz w:val="20"/>
              </w:rPr>
              <w:t xml:space="preserve"> </w:t>
            </w:r>
            <w:r>
              <w:rPr>
                <w:color w:val="231F20"/>
                <w:sz w:val="20"/>
              </w:rPr>
              <w:t>abuse.</w:t>
            </w:r>
          </w:p>
          <w:p w14:paraId="1F531C21" w14:textId="77777777" w:rsidR="00894070" w:rsidRDefault="009B7AFD">
            <w:pPr>
              <w:pStyle w:val="TableParagraph"/>
              <w:numPr>
                <w:ilvl w:val="0"/>
                <w:numId w:val="150"/>
              </w:numPr>
              <w:tabs>
                <w:tab w:val="left" w:pos="453"/>
                <w:tab w:val="left" w:pos="454"/>
              </w:tabs>
              <w:spacing w:before="88" w:line="206" w:lineRule="auto"/>
              <w:ind w:right="283" w:hanging="340"/>
              <w:rPr>
                <w:sz w:val="20"/>
              </w:rPr>
            </w:pPr>
            <w:r>
              <w:rPr>
                <w:color w:val="231F20"/>
                <w:spacing w:val="-3"/>
                <w:sz w:val="20"/>
              </w:rPr>
              <w:t xml:space="preserve">Receives </w:t>
            </w:r>
            <w:r>
              <w:rPr>
                <w:color w:val="231F20"/>
                <w:sz w:val="20"/>
              </w:rPr>
              <w:t xml:space="preserve">referrals </w:t>
            </w:r>
            <w:r>
              <w:rPr>
                <w:color w:val="231F20"/>
                <w:spacing w:val="-3"/>
                <w:sz w:val="20"/>
              </w:rPr>
              <w:t xml:space="preserve">from family </w:t>
            </w:r>
            <w:r>
              <w:rPr>
                <w:color w:val="231F20"/>
                <w:sz w:val="20"/>
              </w:rPr>
              <w:t>violence</w:t>
            </w:r>
            <w:r>
              <w:rPr>
                <w:color w:val="231F20"/>
                <w:spacing w:val="-10"/>
                <w:sz w:val="20"/>
              </w:rPr>
              <w:t xml:space="preserve"> </w:t>
            </w:r>
            <w:r>
              <w:rPr>
                <w:color w:val="231F20"/>
                <w:sz w:val="20"/>
              </w:rPr>
              <w:t>services</w:t>
            </w:r>
            <w:r>
              <w:rPr>
                <w:color w:val="231F20"/>
                <w:spacing w:val="-9"/>
                <w:sz w:val="20"/>
              </w:rPr>
              <w:t xml:space="preserve"> </w:t>
            </w:r>
            <w:r>
              <w:rPr>
                <w:color w:val="231F20"/>
                <w:sz w:val="20"/>
              </w:rPr>
              <w:t>such</w:t>
            </w:r>
            <w:r>
              <w:rPr>
                <w:color w:val="231F20"/>
                <w:spacing w:val="-9"/>
                <w:sz w:val="20"/>
              </w:rPr>
              <w:t xml:space="preserve"> </w:t>
            </w:r>
            <w:r>
              <w:rPr>
                <w:color w:val="231F20"/>
                <w:sz w:val="20"/>
              </w:rPr>
              <w:t>as</w:t>
            </w:r>
            <w:r>
              <w:rPr>
                <w:color w:val="231F20"/>
                <w:spacing w:val="-10"/>
                <w:sz w:val="20"/>
              </w:rPr>
              <w:t xml:space="preserve"> </w:t>
            </w:r>
            <w:r>
              <w:rPr>
                <w:color w:val="231F20"/>
                <w:sz w:val="20"/>
              </w:rPr>
              <w:t>Safe</w:t>
            </w:r>
            <w:r>
              <w:rPr>
                <w:color w:val="231F20"/>
                <w:spacing w:val="-9"/>
                <w:sz w:val="20"/>
              </w:rPr>
              <w:t xml:space="preserve"> </w:t>
            </w:r>
            <w:r>
              <w:rPr>
                <w:color w:val="231F20"/>
                <w:spacing w:val="-3"/>
                <w:sz w:val="20"/>
              </w:rPr>
              <w:t xml:space="preserve">Steps </w:t>
            </w:r>
            <w:r>
              <w:rPr>
                <w:color w:val="231F20"/>
                <w:sz w:val="20"/>
              </w:rPr>
              <w:t>or Orange</w:t>
            </w:r>
            <w:r>
              <w:rPr>
                <w:color w:val="231F20"/>
                <w:spacing w:val="-9"/>
                <w:sz w:val="20"/>
              </w:rPr>
              <w:t xml:space="preserve"> </w:t>
            </w:r>
            <w:r>
              <w:rPr>
                <w:color w:val="231F20"/>
                <w:sz w:val="20"/>
              </w:rPr>
              <w:t>Doors.</w:t>
            </w:r>
          </w:p>
          <w:p w14:paraId="526AED90" w14:textId="77777777" w:rsidR="00894070" w:rsidRDefault="009B7AFD">
            <w:pPr>
              <w:pStyle w:val="TableParagraph"/>
              <w:numPr>
                <w:ilvl w:val="0"/>
                <w:numId w:val="150"/>
              </w:numPr>
              <w:tabs>
                <w:tab w:val="left" w:pos="453"/>
                <w:tab w:val="left" w:pos="454"/>
              </w:tabs>
              <w:spacing w:before="89" w:line="206" w:lineRule="auto"/>
              <w:ind w:right="457" w:hanging="340"/>
              <w:rPr>
                <w:sz w:val="20"/>
              </w:rPr>
            </w:pPr>
            <w:r>
              <w:rPr>
                <w:color w:val="231F20"/>
                <w:sz w:val="20"/>
              </w:rPr>
              <w:t>People can also contact</w:t>
            </w:r>
            <w:r>
              <w:rPr>
                <w:color w:val="231F20"/>
                <w:spacing w:val="-36"/>
                <w:sz w:val="20"/>
              </w:rPr>
              <w:t xml:space="preserve"> </w:t>
            </w:r>
            <w:r>
              <w:rPr>
                <w:color w:val="231F20"/>
                <w:spacing w:val="-3"/>
                <w:sz w:val="20"/>
              </w:rPr>
              <w:t xml:space="preserve">Protective </w:t>
            </w:r>
            <w:r>
              <w:rPr>
                <w:color w:val="231F20"/>
                <w:sz w:val="20"/>
              </w:rPr>
              <w:t>Services</w:t>
            </w:r>
            <w:r>
              <w:rPr>
                <w:color w:val="231F20"/>
                <w:spacing w:val="-5"/>
                <w:sz w:val="20"/>
              </w:rPr>
              <w:t xml:space="preserve"> </w:t>
            </w:r>
            <w:r>
              <w:rPr>
                <w:color w:val="231F20"/>
                <w:spacing w:val="-4"/>
                <w:sz w:val="20"/>
              </w:rPr>
              <w:t>directly.</w:t>
            </w:r>
          </w:p>
          <w:p w14:paraId="6B288367" w14:textId="77777777" w:rsidR="00894070" w:rsidRDefault="009B7AFD">
            <w:pPr>
              <w:pStyle w:val="TableParagraph"/>
              <w:numPr>
                <w:ilvl w:val="0"/>
                <w:numId w:val="150"/>
              </w:numPr>
              <w:tabs>
                <w:tab w:val="left" w:pos="453"/>
                <w:tab w:val="left" w:pos="454"/>
              </w:tabs>
              <w:spacing w:before="56" w:line="259" w:lineRule="exact"/>
              <w:ind w:hanging="340"/>
              <w:rPr>
                <w:sz w:val="20"/>
              </w:rPr>
            </w:pPr>
            <w:r>
              <w:rPr>
                <w:color w:val="231F20"/>
                <w:sz w:val="20"/>
              </w:rPr>
              <w:t xml:space="preserve">Services </w:t>
            </w:r>
            <w:r>
              <w:rPr>
                <w:color w:val="231F20"/>
                <w:spacing w:val="-3"/>
                <w:sz w:val="20"/>
              </w:rPr>
              <w:t>are government-funded</w:t>
            </w:r>
            <w:r>
              <w:rPr>
                <w:color w:val="231F20"/>
                <w:spacing w:val="-9"/>
                <w:sz w:val="20"/>
              </w:rPr>
              <w:t xml:space="preserve"> </w:t>
            </w:r>
            <w:r>
              <w:rPr>
                <w:color w:val="231F20"/>
                <w:sz w:val="20"/>
              </w:rPr>
              <w:t>so</w:t>
            </w:r>
          </w:p>
          <w:p w14:paraId="0C45FB4F" w14:textId="77777777" w:rsidR="00894070" w:rsidRDefault="009B7AFD">
            <w:pPr>
              <w:pStyle w:val="TableParagraph"/>
              <w:spacing w:line="259" w:lineRule="exact"/>
              <w:ind w:left="453"/>
              <w:rPr>
                <w:sz w:val="20"/>
              </w:rPr>
            </w:pPr>
            <w:r>
              <w:rPr>
                <w:color w:val="231F20"/>
                <w:sz w:val="20"/>
              </w:rPr>
              <w:t>that they can remain low-cost.</w:t>
            </w:r>
          </w:p>
          <w:p w14:paraId="73C6C6F5" w14:textId="77777777" w:rsidR="00894070" w:rsidRDefault="009B7AFD">
            <w:pPr>
              <w:pStyle w:val="TableParagraph"/>
              <w:numPr>
                <w:ilvl w:val="0"/>
                <w:numId w:val="150"/>
              </w:numPr>
              <w:tabs>
                <w:tab w:val="left" w:pos="453"/>
                <w:tab w:val="left" w:pos="454"/>
              </w:tabs>
              <w:spacing w:before="79" w:line="206" w:lineRule="auto"/>
              <w:ind w:right="525" w:hanging="340"/>
              <w:rPr>
                <w:sz w:val="20"/>
              </w:rPr>
            </w:pPr>
            <w:r>
              <w:rPr>
                <w:color w:val="231F20"/>
                <w:sz w:val="20"/>
              </w:rPr>
              <w:t xml:space="preserve">Due to funding </w:t>
            </w:r>
            <w:r>
              <w:rPr>
                <w:color w:val="231F20"/>
                <w:spacing w:val="-3"/>
                <w:sz w:val="20"/>
              </w:rPr>
              <w:t xml:space="preserve">structure </w:t>
            </w:r>
            <w:r>
              <w:rPr>
                <w:color w:val="231F20"/>
                <w:sz w:val="20"/>
              </w:rPr>
              <w:t>is</w:t>
            </w:r>
            <w:r>
              <w:rPr>
                <w:color w:val="231F20"/>
                <w:spacing w:val="-33"/>
                <w:sz w:val="20"/>
              </w:rPr>
              <w:t xml:space="preserve"> </w:t>
            </w:r>
            <w:r>
              <w:rPr>
                <w:color w:val="231F20"/>
                <w:sz w:val="20"/>
              </w:rPr>
              <w:t xml:space="preserve">unable to help with requests where cyberstalking is outside a </w:t>
            </w:r>
            <w:r>
              <w:rPr>
                <w:color w:val="231F20"/>
                <w:spacing w:val="-3"/>
                <w:sz w:val="20"/>
              </w:rPr>
              <w:t xml:space="preserve">family </w:t>
            </w:r>
            <w:r>
              <w:rPr>
                <w:color w:val="231F20"/>
                <w:sz w:val="20"/>
              </w:rPr>
              <w:t>violence</w:t>
            </w:r>
            <w:r>
              <w:rPr>
                <w:color w:val="231F20"/>
                <w:spacing w:val="-5"/>
                <w:sz w:val="20"/>
              </w:rPr>
              <w:t xml:space="preserve"> </w:t>
            </w:r>
            <w:r>
              <w:rPr>
                <w:color w:val="231F20"/>
                <w:sz w:val="20"/>
              </w:rPr>
              <w:t>context.</w:t>
            </w:r>
          </w:p>
        </w:tc>
        <w:tc>
          <w:tcPr>
            <w:tcW w:w="3099" w:type="dxa"/>
          </w:tcPr>
          <w:p w14:paraId="2BCBAD3A" w14:textId="77777777" w:rsidR="00894070" w:rsidRDefault="009B7AFD">
            <w:pPr>
              <w:pStyle w:val="TableParagraph"/>
              <w:numPr>
                <w:ilvl w:val="0"/>
                <w:numId w:val="149"/>
              </w:numPr>
              <w:tabs>
                <w:tab w:val="left" w:pos="453"/>
                <w:tab w:val="left" w:pos="454"/>
              </w:tabs>
              <w:spacing w:before="65" w:line="259" w:lineRule="exact"/>
              <w:ind w:hanging="340"/>
              <w:rPr>
                <w:sz w:val="20"/>
              </w:rPr>
            </w:pPr>
            <w:r>
              <w:rPr>
                <w:color w:val="231F20"/>
                <w:spacing w:val="-3"/>
                <w:sz w:val="20"/>
              </w:rPr>
              <w:t xml:space="preserve">Technical </w:t>
            </w:r>
            <w:r>
              <w:rPr>
                <w:color w:val="231F20"/>
                <w:sz w:val="20"/>
              </w:rPr>
              <w:t>sweeps of</w:t>
            </w:r>
            <w:r>
              <w:rPr>
                <w:color w:val="231F20"/>
                <w:spacing w:val="-24"/>
                <w:sz w:val="20"/>
              </w:rPr>
              <w:t xml:space="preserve"> </w:t>
            </w:r>
            <w:r>
              <w:rPr>
                <w:color w:val="231F20"/>
                <w:sz w:val="20"/>
              </w:rPr>
              <w:t>homes</w:t>
            </w:r>
          </w:p>
          <w:p w14:paraId="3FC1463D" w14:textId="77777777" w:rsidR="00894070" w:rsidRDefault="009B7AFD">
            <w:pPr>
              <w:pStyle w:val="TableParagraph"/>
              <w:spacing w:line="259" w:lineRule="exact"/>
              <w:ind w:left="453"/>
              <w:rPr>
                <w:sz w:val="20"/>
              </w:rPr>
            </w:pPr>
            <w:r>
              <w:rPr>
                <w:color w:val="231F20"/>
                <w:sz w:val="20"/>
              </w:rPr>
              <w:t>and vehicles.</w:t>
            </w:r>
          </w:p>
          <w:p w14:paraId="74B06687" w14:textId="77777777" w:rsidR="00894070" w:rsidRDefault="009B7AFD">
            <w:pPr>
              <w:pStyle w:val="TableParagraph"/>
              <w:numPr>
                <w:ilvl w:val="0"/>
                <w:numId w:val="149"/>
              </w:numPr>
              <w:tabs>
                <w:tab w:val="left" w:pos="454"/>
              </w:tabs>
              <w:spacing w:before="80" w:line="206" w:lineRule="auto"/>
              <w:ind w:right="422" w:hanging="340"/>
              <w:jc w:val="both"/>
              <w:rPr>
                <w:sz w:val="20"/>
              </w:rPr>
            </w:pPr>
            <w:r>
              <w:rPr>
                <w:color w:val="231F20"/>
                <w:sz w:val="20"/>
              </w:rPr>
              <w:t>Removing</w:t>
            </w:r>
            <w:r>
              <w:rPr>
                <w:color w:val="231F20"/>
                <w:spacing w:val="-30"/>
                <w:sz w:val="20"/>
              </w:rPr>
              <w:t xml:space="preserve"> </w:t>
            </w:r>
            <w:r>
              <w:rPr>
                <w:color w:val="231F20"/>
                <w:sz w:val="20"/>
              </w:rPr>
              <w:t xml:space="preserve">cyberstalking threats such as </w:t>
            </w:r>
            <w:r>
              <w:rPr>
                <w:color w:val="231F20"/>
                <w:spacing w:val="-3"/>
                <w:sz w:val="20"/>
              </w:rPr>
              <w:t xml:space="preserve">spyware </w:t>
            </w:r>
            <w:r>
              <w:rPr>
                <w:color w:val="231F20"/>
                <w:sz w:val="20"/>
              </w:rPr>
              <w:t>and hidden</w:t>
            </w:r>
            <w:r>
              <w:rPr>
                <w:color w:val="231F20"/>
                <w:spacing w:val="-11"/>
                <w:sz w:val="20"/>
              </w:rPr>
              <w:t xml:space="preserve"> </w:t>
            </w:r>
            <w:r>
              <w:rPr>
                <w:color w:val="231F20"/>
                <w:sz w:val="20"/>
              </w:rPr>
              <w:t>cameras.</w:t>
            </w:r>
          </w:p>
          <w:p w14:paraId="2E5A371D" w14:textId="77777777" w:rsidR="00894070" w:rsidRDefault="009B7AFD">
            <w:pPr>
              <w:pStyle w:val="TableParagraph"/>
              <w:numPr>
                <w:ilvl w:val="0"/>
                <w:numId w:val="149"/>
              </w:numPr>
              <w:tabs>
                <w:tab w:val="left" w:pos="453"/>
                <w:tab w:val="left" w:pos="454"/>
              </w:tabs>
              <w:spacing w:before="57" w:line="259" w:lineRule="exact"/>
              <w:ind w:hanging="340"/>
              <w:rPr>
                <w:sz w:val="20"/>
              </w:rPr>
            </w:pPr>
            <w:r>
              <w:rPr>
                <w:color w:val="231F20"/>
                <w:sz w:val="20"/>
              </w:rPr>
              <w:t>In-office computer</w:t>
            </w:r>
            <w:r>
              <w:rPr>
                <w:color w:val="231F20"/>
                <w:spacing w:val="-16"/>
                <w:sz w:val="20"/>
              </w:rPr>
              <w:t xml:space="preserve"> </w:t>
            </w:r>
            <w:r>
              <w:rPr>
                <w:color w:val="231F20"/>
                <w:sz w:val="20"/>
              </w:rPr>
              <w:t>and</w:t>
            </w:r>
          </w:p>
          <w:p w14:paraId="560126EE" w14:textId="77777777" w:rsidR="00894070" w:rsidRDefault="009B7AFD">
            <w:pPr>
              <w:pStyle w:val="TableParagraph"/>
              <w:spacing w:line="259" w:lineRule="exact"/>
              <w:ind w:left="453"/>
              <w:rPr>
                <w:sz w:val="20"/>
              </w:rPr>
            </w:pPr>
            <w:r>
              <w:rPr>
                <w:color w:val="231F20"/>
                <w:sz w:val="20"/>
              </w:rPr>
              <w:t>phone scans.</w:t>
            </w:r>
          </w:p>
          <w:p w14:paraId="053F58AC" w14:textId="77777777" w:rsidR="00894070" w:rsidRDefault="009B7AFD">
            <w:pPr>
              <w:pStyle w:val="TableParagraph"/>
              <w:numPr>
                <w:ilvl w:val="0"/>
                <w:numId w:val="149"/>
              </w:numPr>
              <w:tabs>
                <w:tab w:val="left" w:pos="453"/>
                <w:tab w:val="left" w:pos="454"/>
              </w:tabs>
              <w:spacing w:before="47"/>
              <w:ind w:hanging="340"/>
              <w:rPr>
                <w:sz w:val="20"/>
              </w:rPr>
            </w:pPr>
            <w:r>
              <w:rPr>
                <w:color w:val="231F20"/>
                <w:spacing w:val="-3"/>
                <w:sz w:val="20"/>
              </w:rPr>
              <w:t>Password</w:t>
            </w:r>
            <w:r>
              <w:rPr>
                <w:color w:val="231F20"/>
                <w:spacing w:val="-5"/>
                <w:sz w:val="20"/>
              </w:rPr>
              <w:t xml:space="preserve"> </w:t>
            </w:r>
            <w:r>
              <w:rPr>
                <w:color w:val="231F20"/>
                <w:sz w:val="20"/>
              </w:rPr>
              <w:t>management.</w:t>
            </w:r>
          </w:p>
          <w:p w14:paraId="6A397AA6" w14:textId="77777777" w:rsidR="00894070" w:rsidRDefault="009B7AFD">
            <w:pPr>
              <w:pStyle w:val="TableParagraph"/>
              <w:numPr>
                <w:ilvl w:val="0"/>
                <w:numId w:val="149"/>
              </w:numPr>
              <w:tabs>
                <w:tab w:val="left" w:pos="453"/>
                <w:tab w:val="left" w:pos="454"/>
              </w:tabs>
              <w:spacing w:before="80" w:line="206" w:lineRule="auto"/>
              <w:ind w:right="460" w:hanging="340"/>
              <w:rPr>
                <w:sz w:val="20"/>
              </w:rPr>
            </w:pPr>
            <w:r>
              <w:rPr>
                <w:color w:val="231F20"/>
                <w:sz w:val="20"/>
              </w:rPr>
              <w:t xml:space="preserve">Can support police in criminal investigations </w:t>
            </w:r>
            <w:r>
              <w:rPr>
                <w:color w:val="231F20"/>
                <w:spacing w:val="-3"/>
                <w:sz w:val="20"/>
              </w:rPr>
              <w:t xml:space="preserve">by </w:t>
            </w:r>
            <w:r>
              <w:rPr>
                <w:color w:val="231F20"/>
                <w:sz w:val="20"/>
              </w:rPr>
              <w:t>documenting and collecting the</w:t>
            </w:r>
            <w:r>
              <w:rPr>
                <w:color w:val="231F20"/>
                <w:spacing w:val="-27"/>
                <w:sz w:val="20"/>
              </w:rPr>
              <w:t xml:space="preserve"> </w:t>
            </w:r>
            <w:r>
              <w:rPr>
                <w:color w:val="231F20"/>
                <w:spacing w:val="-2"/>
                <w:sz w:val="20"/>
              </w:rPr>
              <w:t>evidence.</w:t>
            </w:r>
          </w:p>
        </w:tc>
      </w:tr>
      <w:tr w:rsidR="00894070" w14:paraId="0B7FB0F2" w14:textId="77777777">
        <w:trPr>
          <w:trHeight w:val="3214"/>
        </w:trPr>
        <w:tc>
          <w:tcPr>
            <w:tcW w:w="1540" w:type="dxa"/>
          </w:tcPr>
          <w:p w14:paraId="7283A056" w14:textId="77777777" w:rsidR="00894070" w:rsidRDefault="009B7AFD">
            <w:pPr>
              <w:pStyle w:val="TableParagraph"/>
              <w:spacing w:before="65"/>
              <w:rPr>
                <w:sz w:val="11"/>
              </w:rPr>
            </w:pPr>
            <w:r>
              <w:rPr>
                <w:color w:val="231F20"/>
                <w:sz w:val="20"/>
              </w:rPr>
              <w:t>WESNET</w:t>
            </w:r>
            <w:r>
              <w:rPr>
                <w:color w:val="231F20"/>
                <w:position w:val="7"/>
                <w:sz w:val="11"/>
              </w:rPr>
              <w:t>119</w:t>
            </w:r>
          </w:p>
        </w:tc>
        <w:tc>
          <w:tcPr>
            <w:tcW w:w="4082" w:type="dxa"/>
          </w:tcPr>
          <w:p w14:paraId="3EAAFCED" w14:textId="77777777" w:rsidR="00894070" w:rsidRDefault="009B7AFD">
            <w:pPr>
              <w:pStyle w:val="TableParagraph"/>
              <w:numPr>
                <w:ilvl w:val="0"/>
                <w:numId w:val="148"/>
              </w:numPr>
              <w:tabs>
                <w:tab w:val="left" w:pos="453"/>
                <w:tab w:val="left" w:pos="454"/>
              </w:tabs>
              <w:spacing w:before="65" w:line="259" w:lineRule="exact"/>
              <w:ind w:hanging="340"/>
              <w:rPr>
                <w:sz w:val="20"/>
              </w:rPr>
            </w:pPr>
            <w:r>
              <w:rPr>
                <w:color w:val="231F20"/>
                <w:sz w:val="20"/>
              </w:rPr>
              <w:t xml:space="preserve">National peak body </w:t>
            </w:r>
            <w:r>
              <w:rPr>
                <w:color w:val="231F20"/>
                <w:spacing w:val="-3"/>
                <w:sz w:val="20"/>
              </w:rPr>
              <w:t>for</w:t>
            </w:r>
            <w:r>
              <w:rPr>
                <w:color w:val="231F20"/>
                <w:spacing w:val="-22"/>
                <w:sz w:val="20"/>
              </w:rPr>
              <w:t xml:space="preserve"> </w:t>
            </w:r>
            <w:r>
              <w:rPr>
                <w:color w:val="231F20"/>
                <w:sz w:val="20"/>
              </w:rPr>
              <w:t>specialist</w:t>
            </w:r>
          </w:p>
          <w:p w14:paraId="40B5E956" w14:textId="77777777" w:rsidR="00894070" w:rsidRDefault="009B7AFD">
            <w:pPr>
              <w:pStyle w:val="TableParagraph"/>
              <w:spacing w:line="259" w:lineRule="exact"/>
              <w:ind w:left="453"/>
              <w:rPr>
                <w:sz w:val="20"/>
              </w:rPr>
            </w:pPr>
            <w:r>
              <w:rPr>
                <w:color w:val="231F20"/>
                <w:sz w:val="20"/>
              </w:rPr>
              <w:t>women’s family violence services.</w:t>
            </w:r>
          </w:p>
          <w:p w14:paraId="1DC56EE5" w14:textId="77777777" w:rsidR="00894070" w:rsidRDefault="009B7AFD">
            <w:pPr>
              <w:pStyle w:val="TableParagraph"/>
              <w:numPr>
                <w:ilvl w:val="0"/>
                <w:numId w:val="148"/>
              </w:numPr>
              <w:tabs>
                <w:tab w:val="left" w:pos="453"/>
                <w:tab w:val="left" w:pos="454"/>
              </w:tabs>
              <w:spacing w:before="48" w:line="259" w:lineRule="exact"/>
              <w:ind w:hanging="340"/>
              <w:rPr>
                <w:sz w:val="20"/>
              </w:rPr>
            </w:pPr>
            <w:r>
              <w:rPr>
                <w:color w:val="231F20"/>
                <w:sz w:val="20"/>
              </w:rPr>
              <w:t>SafeConnections</w:t>
            </w:r>
            <w:r>
              <w:rPr>
                <w:color w:val="231F20"/>
                <w:spacing w:val="-6"/>
                <w:sz w:val="20"/>
              </w:rPr>
              <w:t xml:space="preserve"> </w:t>
            </w:r>
            <w:r>
              <w:rPr>
                <w:color w:val="231F20"/>
                <w:sz w:val="20"/>
              </w:rPr>
              <w:t>program</w:t>
            </w:r>
          </w:p>
          <w:p w14:paraId="3A3C1B30" w14:textId="77777777" w:rsidR="00894070" w:rsidRDefault="009B7AFD">
            <w:pPr>
              <w:pStyle w:val="TableParagraph"/>
              <w:spacing w:before="13" w:line="206" w:lineRule="auto"/>
              <w:ind w:left="453" w:right="191"/>
              <w:rPr>
                <w:sz w:val="20"/>
              </w:rPr>
            </w:pPr>
            <w:r>
              <w:rPr>
                <w:color w:val="231F20"/>
                <w:sz w:val="20"/>
              </w:rPr>
              <w:t>supports people experiencing technology-facilitated abuse such as cyberstalking.</w:t>
            </w:r>
          </w:p>
          <w:p w14:paraId="2EEBCBAB" w14:textId="77777777" w:rsidR="00894070" w:rsidRDefault="009B7AFD">
            <w:pPr>
              <w:pStyle w:val="TableParagraph"/>
              <w:numPr>
                <w:ilvl w:val="0"/>
                <w:numId w:val="148"/>
              </w:numPr>
              <w:tabs>
                <w:tab w:val="left" w:pos="453"/>
                <w:tab w:val="left" w:pos="454"/>
              </w:tabs>
              <w:spacing w:before="89" w:line="206" w:lineRule="auto"/>
              <w:ind w:right="196" w:hanging="340"/>
              <w:rPr>
                <w:sz w:val="11"/>
              </w:rPr>
            </w:pPr>
            <w:r>
              <w:rPr>
                <w:color w:val="231F20"/>
                <w:sz w:val="20"/>
              </w:rPr>
              <w:t>The</w:t>
            </w:r>
            <w:r>
              <w:rPr>
                <w:color w:val="231F20"/>
                <w:spacing w:val="-11"/>
                <w:sz w:val="20"/>
              </w:rPr>
              <w:t xml:space="preserve"> </w:t>
            </w:r>
            <w:r>
              <w:rPr>
                <w:color w:val="231F20"/>
                <w:sz w:val="20"/>
              </w:rPr>
              <w:t>program</w:t>
            </w:r>
            <w:r>
              <w:rPr>
                <w:color w:val="231F20"/>
                <w:spacing w:val="-11"/>
                <w:sz w:val="20"/>
              </w:rPr>
              <w:t xml:space="preserve"> </w:t>
            </w:r>
            <w:r>
              <w:rPr>
                <w:color w:val="231F20"/>
                <w:sz w:val="20"/>
              </w:rPr>
              <w:t>is</w:t>
            </w:r>
            <w:r>
              <w:rPr>
                <w:color w:val="231F20"/>
                <w:spacing w:val="-10"/>
                <w:sz w:val="20"/>
              </w:rPr>
              <w:t xml:space="preserve"> </w:t>
            </w:r>
            <w:r>
              <w:rPr>
                <w:color w:val="231F20"/>
                <w:sz w:val="20"/>
              </w:rPr>
              <w:t>limited</w:t>
            </w:r>
            <w:r>
              <w:rPr>
                <w:color w:val="231F20"/>
                <w:spacing w:val="-11"/>
                <w:sz w:val="20"/>
              </w:rPr>
              <w:t xml:space="preserve"> </w:t>
            </w:r>
            <w:r>
              <w:rPr>
                <w:color w:val="231F20"/>
                <w:sz w:val="20"/>
              </w:rPr>
              <w:t>to</w:t>
            </w:r>
            <w:r>
              <w:rPr>
                <w:color w:val="231F20"/>
                <w:spacing w:val="-10"/>
                <w:sz w:val="20"/>
              </w:rPr>
              <w:t xml:space="preserve"> </w:t>
            </w:r>
            <w:r>
              <w:rPr>
                <w:color w:val="231F20"/>
                <w:sz w:val="20"/>
              </w:rPr>
              <w:t>people</w:t>
            </w:r>
            <w:r>
              <w:rPr>
                <w:color w:val="231F20"/>
                <w:spacing w:val="-11"/>
                <w:sz w:val="20"/>
              </w:rPr>
              <w:t xml:space="preserve"> </w:t>
            </w:r>
            <w:r>
              <w:rPr>
                <w:color w:val="231F20"/>
                <w:sz w:val="20"/>
              </w:rPr>
              <w:t xml:space="preserve">who </w:t>
            </w:r>
            <w:proofErr w:type="gramStart"/>
            <w:r>
              <w:rPr>
                <w:color w:val="231F20"/>
                <w:spacing w:val="-3"/>
                <w:sz w:val="20"/>
              </w:rPr>
              <w:t xml:space="preserve">are </w:t>
            </w:r>
            <w:r>
              <w:rPr>
                <w:color w:val="231F20"/>
                <w:sz w:val="20"/>
              </w:rPr>
              <w:t>connected with</w:t>
            </w:r>
            <w:proofErr w:type="gramEnd"/>
            <w:r>
              <w:rPr>
                <w:color w:val="231F20"/>
                <w:sz w:val="20"/>
              </w:rPr>
              <w:t xml:space="preserve"> ‘participating </w:t>
            </w:r>
            <w:r>
              <w:rPr>
                <w:color w:val="231F20"/>
                <w:spacing w:val="-3"/>
                <w:sz w:val="20"/>
              </w:rPr>
              <w:t xml:space="preserve">frontline </w:t>
            </w:r>
            <w:r>
              <w:rPr>
                <w:color w:val="231F20"/>
                <w:sz w:val="20"/>
              </w:rPr>
              <w:t xml:space="preserve">agencies to survivors of domestic and </w:t>
            </w:r>
            <w:r>
              <w:rPr>
                <w:color w:val="231F20"/>
                <w:spacing w:val="-3"/>
                <w:sz w:val="20"/>
              </w:rPr>
              <w:t xml:space="preserve">family </w:t>
            </w:r>
            <w:r>
              <w:rPr>
                <w:color w:val="231F20"/>
                <w:spacing w:val="-2"/>
                <w:sz w:val="20"/>
              </w:rPr>
              <w:t xml:space="preserve">violence, </w:t>
            </w:r>
            <w:r>
              <w:rPr>
                <w:color w:val="231F20"/>
                <w:sz w:val="20"/>
              </w:rPr>
              <w:t>sexual assault, and other forms of violence against</w:t>
            </w:r>
            <w:r>
              <w:rPr>
                <w:color w:val="231F20"/>
                <w:spacing w:val="-4"/>
                <w:sz w:val="20"/>
              </w:rPr>
              <w:t xml:space="preserve"> </w:t>
            </w:r>
            <w:r>
              <w:rPr>
                <w:color w:val="231F20"/>
                <w:spacing w:val="-3"/>
                <w:sz w:val="20"/>
              </w:rPr>
              <w:t>women’.</w:t>
            </w:r>
            <w:r>
              <w:rPr>
                <w:color w:val="231F20"/>
                <w:spacing w:val="-3"/>
                <w:position w:val="7"/>
                <w:sz w:val="11"/>
              </w:rPr>
              <w:t>120</w:t>
            </w:r>
          </w:p>
        </w:tc>
        <w:tc>
          <w:tcPr>
            <w:tcW w:w="3099" w:type="dxa"/>
          </w:tcPr>
          <w:p w14:paraId="26F120AF" w14:textId="77777777" w:rsidR="00894070" w:rsidRDefault="009B7AFD">
            <w:pPr>
              <w:pStyle w:val="TableParagraph"/>
              <w:numPr>
                <w:ilvl w:val="0"/>
                <w:numId w:val="147"/>
              </w:numPr>
              <w:tabs>
                <w:tab w:val="left" w:pos="453"/>
                <w:tab w:val="left" w:pos="454"/>
              </w:tabs>
              <w:spacing w:before="98" w:line="206" w:lineRule="auto"/>
              <w:ind w:right="352" w:hanging="340"/>
              <w:rPr>
                <w:sz w:val="20"/>
              </w:rPr>
            </w:pPr>
            <w:r>
              <w:rPr>
                <w:color w:val="231F20"/>
                <w:spacing w:val="-3"/>
                <w:sz w:val="20"/>
              </w:rPr>
              <w:t xml:space="preserve">Providing </w:t>
            </w:r>
            <w:r>
              <w:rPr>
                <w:color w:val="231F20"/>
                <w:sz w:val="20"/>
              </w:rPr>
              <w:t xml:space="preserve">new smartphones and </w:t>
            </w:r>
            <w:r>
              <w:rPr>
                <w:color w:val="231F20"/>
                <w:spacing w:val="-4"/>
                <w:sz w:val="20"/>
              </w:rPr>
              <w:t xml:space="preserve">setting </w:t>
            </w:r>
            <w:r>
              <w:rPr>
                <w:color w:val="231F20"/>
                <w:sz w:val="20"/>
              </w:rPr>
              <w:t>up new</w:t>
            </w:r>
            <w:r>
              <w:rPr>
                <w:color w:val="231F20"/>
                <w:spacing w:val="-11"/>
                <w:sz w:val="20"/>
              </w:rPr>
              <w:t xml:space="preserve"> </w:t>
            </w:r>
            <w:r>
              <w:rPr>
                <w:color w:val="231F20"/>
                <w:sz w:val="20"/>
              </w:rPr>
              <w:t>accounts.</w:t>
            </w:r>
          </w:p>
        </w:tc>
      </w:tr>
      <w:tr w:rsidR="00894070" w14:paraId="2B312413" w14:textId="77777777">
        <w:trPr>
          <w:trHeight w:val="3299"/>
        </w:trPr>
        <w:tc>
          <w:tcPr>
            <w:tcW w:w="1540" w:type="dxa"/>
          </w:tcPr>
          <w:p w14:paraId="3CB3DF73" w14:textId="77777777" w:rsidR="00894070" w:rsidRDefault="009B7AFD">
            <w:pPr>
              <w:pStyle w:val="TableParagraph"/>
              <w:spacing w:before="65"/>
              <w:rPr>
                <w:sz w:val="11"/>
              </w:rPr>
            </w:pPr>
            <w:r>
              <w:rPr>
                <w:color w:val="231F20"/>
                <w:sz w:val="20"/>
              </w:rPr>
              <w:t>IDCARE</w:t>
            </w:r>
            <w:r>
              <w:rPr>
                <w:color w:val="231F20"/>
                <w:position w:val="7"/>
                <w:sz w:val="11"/>
              </w:rPr>
              <w:t>121</w:t>
            </w:r>
          </w:p>
        </w:tc>
        <w:tc>
          <w:tcPr>
            <w:tcW w:w="4082" w:type="dxa"/>
          </w:tcPr>
          <w:p w14:paraId="5B9006B5" w14:textId="77777777" w:rsidR="00894070" w:rsidRDefault="009B7AFD">
            <w:pPr>
              <w:pStyle w:val="TableParagraph"/>
              <w:numPr>
                <w:ilvl w:val="0"/>
                <w:numId w:val="146"/>
              </w:numPr>
              <w:tabs>
                <w:tab w:val="left" w:pos="453"/>
                <w:tab w:val="left" w:pos="454"/>
              </w:tabs>
              <w:spacing w:before="98" w:line="206" w:lineRule="auto"/>
              <w:ind w:right="112" w:hanging="340"/>
              <w:rPr>
                <w:sz w:val="20"/>
              </w:rPr>
            </w:pPr>
            <w:r>
              <w:rPr>
                <w:color w:val="231F20"/>
                <w:sz w:val="20"/>
              </w:rPr>
              <w:t xml:space="preserve">Charitable organisation operating </w:t>
            </w:r>
            <w:r>
              <w:rPr>
                <w:color w:val="231F20"/>
                <w:spacing w:val="-3"/>
                <w:sz w:val="20"/>
              </w:rPr>
              <w:t>across</w:t>
            </w:r>
            <w:r>
              <w:rPr>
                <w:color w:val="231F20"/>
                <w:spacing w:val="-10"/>
                <w:sz w:val="20"/>
              </w:rPr>
              <w:t xml:space="preserve"> </w:t>
            </w:r>
            <w:r>
              <w:rPr>
                <w:color w:val="231F20"/>
                <w:sz w:val="20"/>
              </w:rPr>
              <w:t>Australia</w:t>
            </w:r>
            <w:r>
              <w:rPr>
                <w:color w:val="231F20"/>
                <w:spacing w:val="-10"/>
                <w:sz w:val="20"/>
              </w:rPr>
              <w:t xml:space="preserve"> </w:t>
            </w:r>
            <w:r>
              <w:rPr>
                <w:color w:val="231F20"/>
                <w:sz w:val="20"/>
              </w:rPr>
              <w:t>and</w:t>
            </w:r>
            <w:r>
              <w:rPr>
                <w:color w:val="231F20"/>
                <w:spacing w:val="-10"/>
                <w:sz w:val="20"/>
              </w:rPr>
              <w:t xml:space="preserve"> </w:t>
            </w:r>
            <w:r>
              <w:rPr>
                <w:color w:val="231F20"/>
                <w:sz w:val="20"/>
              </w:rPr>
              <w:t>New</w:t>
            </w:r>
            <w:r>
              <w:rPr>
                <w:color w:val="231F20"/>
                <w:spacing w:val="-10"/>
                <w:sz w:val="20"/>
              </w:rPr>
              <w:t xml:space="preserve"> </w:t>
            </w:r>
            <w:r>
              <w:rPr>
                <w:color w:val="231F20"/>
                <w:sz w:val="20"/>
              </w:rPr>
              <w:t>Zealand</w:t>
            </w:r>
            <w:r>
              <w:rPr>
                <w:color w:val="231F20"/>
                <w:spacing w:val="-10"/>
                <w:sz w:val="20"/>
              </w:rPr>
              <w:t xml:space="preserve"> </w:t>
            </w:r>
            <w:r>
              <w:rPr>
                <w:color w:val="231F20"/>
                <w:sz w:val="20"/>
              </w:rPr>
              <w:t>that helps people with online identity and cyber security</w:t>
            </w:r>
            <w:r>
              <w:rPr>
                <w:color w:val="231F20"/>
                <w:spacing w:val="-10"/>
                <w:sz w:val="20"/>
              </w:rPr>
              <w:t xml:space="preserve"> </w:t>
            </w:r>
            <w:r>
              <w:rPr>
                <w:color w:val="231F20"/>
                <w:sz w:val="20"/>
              </w:rPr>
              <w:t>concerns.</w:t>
            </w:r>
          </w:p>
          <w:p w14:paraId="3F5E35FB" w14:textId="77777777" w:rsidR="00894070" w:rsidRDefault="009B7AFD">
            <w:pPr>
              <w:pStyle w:val="TableParagraph"/>
              <w:numPr>
                <w:ilvl w:val="0"/>
                <w:numId w:val="146"/>
              </w:numPr>
              <w:tabs>
                <w:tab w:val="left" w:pos="453"/>
                <w:tab w:val="left" w:pos="454"/>
              </w:tabs>
              <w:spacing w:before="57" w:line="259" w:lineRule="exact"/>
              <w:ind w:hanging="340"/>
              <w:rPr>
                <w:sz w:val="20"/>
              </w:rPr>
            </w:pPr>
            <w:r>
              <w:rPr>
                <w:color w:val="231F20"/>
                <w:sz w:val="20"/>
              </w:rPr>
              <w:t>Also helps people in</w:t>
            </w:r>
            <w:r>
              <w:rPr>
                <w:color w:val="231F20"/>
                <w:spacing w:val="-23"/>
                <w:sz w:val="20"/>
              </w:rPr>
              <w:t xml:space="preserve"> </w:t>
            </w:r>
            <w:r>
              <w:rPr>
                <w:color w:val="231F20"/>
                <w:sz w:val="20"/>
              </w:rPr>
              <w:t>non-family</w:t>
            </w:r>
          </w:p>
          <w:p w14:paraId="1C49AB10" w14:textId="77777777" w:rsidR="00894070" w:rsidRDefault="009B7AFD">
            <w:pPr>
              <w:pStyle w:val="TableParagraph"/>
              <w:spacing w:line="259" w:lineRule="exact"/>
              <w:ind w:left="453"/>
              <w:rPr>
                <w:sz w:val="11"/>
              </w:rPr>
            </w:pPr>
            <w:r>
              <w:rPr>
                <w:color w:val="231F20"/>
                <w:sz w:val="20"/>
              </w:rPr>
              <w:t>violence stalking matters.</w:t>
            </w:r>
            <w:r>
              <w:rPr>
                <w:color w:val="231F20"/>
                <w:position w:val="7"/>
                <w:sz w:val="11"/>
              </w:rPr>
              <w:t>122</w:t>
            </w:r>
          </w:p>
          <w:p w14:paraId="51344639" w14:textId="77777777" w:rsidR="00894070" w:rsidRDefault="009B7AFD">
            <w:pPr>
              <w:pStyle w:val="TableParagraph"/>
              <w:numPr>
                <w:ilvl w:val="0"/>
                <w:numId w:val="146"/>
              </w:numPr>
              <w:tabs>
                <w:tab w:val="left" w:pos="453"/>
                <w:tab w:val="left" w:pos="454"/>
              </w:tabs>
              <w:spacing w:before="80" w:line="206" w:lineRule="auto"/>
              <w:ind w:right="718" w:hanging="340"/>
              <w:rPr>
                <w:sz w:val="20"/>
              </w:rPr>
            </w:pPr>
            <w:r>
              <w:rPr>
                <w:color w:val="231F20"/>
                <w:sz w:val="20"/>
              </w:rPr>
              <w:t>Victoria</w:t>
            </w:r>
            <w:r>
              <w:rPr>
                <w:color w:val="231F20"/>
                <w:spacing w:val="-10"/>
                <w:sz w:val="20"/>
              </w:rPr>
              <w:t xml:space="preserve"> </w:t>
            </w:r>
            <w:r>
              <w:rPr>
                <w:color w:val="231F20"/>
                <w:sz w:val="20"/>
              </w:rPr>
              <w:t>is</w:t>
            </w:r>
            <w:r>
              <w:rPr>
                <w:color w:val="231F20"/>
                <w:spacing w:val="-10"/>
                <w:sz w:val="20"/>
              </w:rPr>
              <w:t xml:space="preserve"> </w:t>
            </w:r>
            <w:r>
              <w:rPr>
                <w:color w:val="231F20"/>
                <w:sz w:val="20"/>
              </w:rPr>
              <w:t>the</w:t>
            </w:r>
            <w:r>
              <w:rPr>
                <w:color w:val="231F20"/>
                <w:spacing w:val="-10"/>
                <w:sz w:val="20"/>
              </w:rPr>
              <w:t xml:space="preserve"> </w:t>
            </w:r>
            <w:r>
              <w:rPr>
                <w:color w:val="231F20"/>
                <w:spacing w:val="-3"/>
                <w:sz w:val="20"/>
              </w:rPr>
              <w:t>only</w:t>
            </w:r>
            <w:r>
              <w:rPr>
                <w:color w:val="231F20"/>
                <w:spacing w:val="-10"/>
                <w:sz w:val="20"/>
              </w:rPr>
              <w:t xml:space="preserve"> </w:t>
            </w:r>
            <w:r>
              <w:rPr>
                <w:color w:val="231F20"/>
                <w:sz w:val="20"/>
              </w:rPr>
              <w:t>jurisdiction</w:t>
            </w:r>
            <w:r>
              <w:rPr>
                <w:color w:val="231F20"/>
                <w:spacing w:val="-9"/>
                <w:sz w:val="20"/>
              </w:rPr>
              <w:t xml:space="preserve"> </w:t>
            </w:r>
            <w:r>
              <w:rPr>
                <w:color w:val="231F20"/>
                <w:sz w:val="20"/>
              </w:rPr>
              <w:t xml:space="preserve">in Australia where police cannot </w:t>
            </w:r>
            <w:r>
              <w:rPr>
                <w:color w:val="231F20"/>
                <w:spacing w:val="-4"/>
                <w:sz w:val="20"/>
              </w:rPr>
              <w:t>refer</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8"/>
                <w:sz w:val="20"/>
              </w:rPr>
              <w:t xml:space="preserve"> </w:t>
            </w:r>
            <w:r>
              <w:rPr>
                <w:color w:val="231F20"/>
                <w:sz w:val="20"/>
              </w:rPr>
              <w:t>due</w:t>
            </w:r>
            <w:r>
              <w:rPr>
                <w:color w:val="231F20"/>
                <w:spacing w:val="-9"/>
                <w:sz w:val="20"/>
              </w:rPr>
              <w:t xml:space="preserve"> </w:t>
            </w:r>
            <w:r>
              <w:rPr>
                <w:color w:val="231F20"/>
                <w:sz w:val="20"/>
              </w:rPr>
              <w:t>to</w:t>
            </w:r>
            <w:r>
              <w:rPr>
                <w:color w:val="231F20"/>
                <w:spacing w:val="-9"/>
                <w:sz w:val="20"/>
              </w:rPr>
              <w:t xml:space="preserve"> </w:t>
            </w:r>
            <w:r>
              <w:rPr>
                <w:color w:val="231F20"/>
                <w:sz w:val="20"/>
              </w:rPr>
              <w:t>the</w:t>
            </w:r>
          </w:p>
          <w:p w14:paraId="5D76E880" w14:textId="77777777" w:rsidR="00894070" w:rsidRDefault="009B7AFD">
            <w:pPr>
              <w:pStyle w:val="TableParagraph"/>
              <w:spacing w:line="249" w:lineRule="exact"/>
              <w:ind w:left="453"/>
              <w:rPr>
                <w:sz w:val="20"/>
              </w:rPr>
            </w:pPr>
            <w:r>
              <w:rPr>
                <w:color w:val="231F20"/>
                <w:sz w:val="20"/>
              </w:rPr>
              <w:t>government funding being stopped.</w:t>
            </w:r>
          </w:p>
          <w:p w14:paraId="35C250A4" w14:textId="77777777" w:rsidR="00894070" w:rsidRDefault="009B7AFD">
            <w:pPr>
              <w:pStyle w:val="TableParagraph"/>
              <w:numPr>
                <w:ilvl w:val="0"/>
                <w:numId w:val="146"/>
              </w:numPr>
              <w:tabs>
                <w:tab w:val="left" w:pos="453"/>
                <w:tab w:val="left" w:pos="454"/>
              </w:tabs>
              <w:spacing w:before="48" w:line="259" w:lineRule="exact"/>
              <w:ind w:hanging="340"/>
              <w:rPr>
                <w:sz w:val="20"/>
              </w:rPr>
            </w:pPr>
            <w:r>
              <w:rPr>
                <w:color w:val="231F20"/>
                <w:spacing w:val="-3"/>
                <w:sz w:val="20"/>
              </w:rPr>
              <w:t xml:space="preserve">Receives </w:t>
            </w:r>
            <w:r>
              <w:rPr>
                <w:color w:val="231F20"/>
                <w:sz w:val="20"/>
              </w:rPr>
              <w:t xml:space="preserve">funding </w:t>
            </w:r>
            <w:r>
              <w:rPr>
                <w:color w:val="231F20"/>
                <w:spacing w:val="-3"/>
                <w:sz w:val="20"/>
              </w:rPr>
              <w:t>through</w:t>
            </w:r>
            <w:r>
              <w:rPr>
                <w:color w:val="231F20"/>
                <w:spacing w:val="-9"/>
                <w:sz w:val="20"/>
              </w:rPr>
              <w:t xml:space="preserve"> </w:t>
            </w:r>
            <w:r>
              <w:rPr>
                <w:color w:val="231F20"/>
                <w:sz w:val="20"/>
              </w:rPr>
              <w:t>member</w:t>
            </w:r>
          </w:p>
          <w:p w14:paraId="7A9C6AC2" w14:textId="77777777" w:rsidR="00894070" w:rsidRDefault="009B7AFD">
            <w:pPr>
              <w:pStyle w:val="TableParagraph"/>
              <w:spacing w:line="259" w:lineRule="exact"/>
              <w:ind w:left="453"/>
              <w:rPr>
                <w:sz w:val="20"/>
              </w:rPr>
            </w:pPr>
            <w:r>
              <w:rPr>
                <w:color w:val="231F20"/>
                <w:sz w:val="20"/>
              </w:rPr>
              <w:t>organisations’ paid subscriptions.</w:t>
            </w:r>
          </w:p>
        </w:tc>
        <w:tc>
          <w:tcPr>
            <w:tcW w:w="3099" w:type="dxa"/>
          </w:tcPr>
          <w:p w14:paraId="5DB883BE" w14:textId="77777777" w:rsidR="00894070" w:rsidRDefault="009B7AFD">
            <w:pPr>
              <w:pStyle w:val="TableParagraph"/>
              <w:numPr>
                <w:ilvl w:val="0"/>
                <w:numId w:val="145"/>
              </w:numPr>
              <w:tabs>
                <w:tab w:val="left" w:pos="453"/>
                <w:tab w:val="left" w:pos="454"/>
              </w:tabs>
              <w:spacing w:before="98" w:line="206" w:lineRule="auto"/>
              <w:ind w:right="130" w:hanging="340"/>
              <w:rPr>
                <w:sz w:val="20"/>
              </w:rPr>
            </w:pPr>
            <w:r>
              <w:rPr>
                <w:color w:val="231F20"/>
                <w:sz w:val="20"/>
              </w:rPr>
              <w:t>Expert and specialised support and tailored</w:t>
            </w:r>
            <w:r>
              <w:rPr>
                <w:color w:val="231F20"/>
                <w:spacing w:val="-40"/>
                <w:sz w:val="20"/>
              </w:rPr>
              <w:t xml:space="preserve"> </w:t>
            </w:r>
            <w:r>
              <w:rPr>
                <w:color w:val="231F20"/>
                <w:sz w:val="20"/>
              </w:rPr>
              <w:t xml:space="preserve">advice </w:t>
            </w:r>
            <w:r>
              <w:rPr>
                <w:color w:val="231F20"/>
                <w:spacing w:val="-3"/>
                <w:sz w:val="20"/>
              </w:rPr>
              <w:t xml:space="preserve">from </w:t>
            </w:r>
            <w:r>
              <w:rPr>
                <w:color w:val="231F20"/>
                <w:sz w:val="20"/>
              </w:rPr>
              <w:t>identity and cyber security case</w:t>
            </w:r>
            <w:r>
              <w:rPr>
                <w:color w:val="231F20"/>
                <w:spacing w:val="-12"/>
                <w:sz w:val="20"/>
              </w:rPr>
              <w:t xml:space="preserve"> </w:t>
            </w:r>
            <w:r>
              <w:rPr>
                <w:color w:val="231F20"/>
                <w:sz w:val="20"/>
              </w:rPr>
              <w:t>managers</w:t>
            </w:r>
          </w:p>
          <w:p w14:paraId="0AA30630" w14:textId="77777777" w:rsidR="00894070" w:rsidRDefault="009B7AFD">
            <w:pPr>
              <w:pStyle w:val="TableParagraph"/>
              <w:spacing w:before="5" w:line="206" w:lineRule="auto"/>
              <w:ind w:left="453"/>
              <w:rPr>
                <w:sz w:val="11"/>
              </w:rPr>
            </w:pPr>
            <w:r>
              <w:rPr>
                <w:color w:val="231F20"/>
                <w:sz w:val="20"/>
              </w:rPr>
              <w:t>for a range of technology- facilitated harms such as hacking, ransomware and remote access of devices.</w:t>
            </w:r>
            <w:r>
              <w:rPr>
                <w:color w:val="231F20"/>
                <w:position w:val="7"/>
                <w:sz w:val="11"/>
              </w:rPr>
              <w:t>123</w:t>
            </w:r>
          </w:p>
        </w:tc>
      </w:tr>
    </w:tbl>
    <w:p w14:paraId="1741AF11" w14:textId="77777777" w:rsidR="00894070" w:rsidRDefault="00894070">
      <w:pPr>
        <w:pStyle w:val="BodyText"/>
        <w:rPr>
          <w:b/>
        </w:rPr>
      </w:pPr>
    </w:p>
    <w:p w14:paraId="4DE5E190" w14:textId="77777777" w:rsidR="00894070" w:rsidRDefault="00894070">
      <w:pPr>
        <w:pStyle w:val="BodyText"/>
        <w:rPr>
          <w:b/>
        </w:rPr>
      </w:pPr>
    </w:p>
    <w:p w14:paraId="070B289C" w14:textId="77777777" w:rsidR="00894070" w:rsidRDefault="00894070">
      <w:pPr>
        <w:pStyle w:val="BodyText"/>
        <w:rPr>
          <w:b/>
        </w:rPr>
      </w:pPr>
    </w:p>
    <w:p w14:paraId="52218D3C" w14:textId="77777777" w:rsidR="00894070" w:rsidRDefault="00894070">
      <w:pPr>
        <w:pStyle w:val="BodyText"/>
        <w:rPr>
          <w:b/>
        </w:rPr>
      </w:pPr>
    </w:p>
    <w:p w14:paraId="6C342936" w14:textId="77777777" w:rsidR="00894070" w:rsidRDefault="009F6793">
      <w:pPr>
        <w:pStyle w:val="BodyText"/>
        <w:spacing w:before="1"/>
        <w:rPr>
          <w:b/>
          <w:sz w:val="23"/>
        </w:rPr>
      </w:pPr>
      <w:r>
        <w:pict w14:anchorId="19D7B6BA">
          <v:line id="_x0000_s1564" style="position:absolute;z-index:251500544;mso-wrap-distance-left:0;mso-wrap-distance-right:0;mso-position-horizontal-relative:page" from="79.35pt,18.5pt" to="515.9pt,18.5pt" strokecolor="#f8cabc" strokeweight="1pt">
            <w10:wrap type="topAndBottom" anchorx="page"/>
          </v:line>
        </w:pict>
      </w:r>
    </w:p>
    <w:p w14:paraId="281DE478" w14:textId="77777777" w:rsidR="00894070" w:rsidRDefault="009B7AFD">
      <w:pPr>
        <w:pStyle w:val="ListParagraph"/>
        <w:numPr>
          <w:ilvl w:val="0"/>
          <w:numId w:val="151"/>
        </w:numPr>
        <w:tabs>
          <w:tab w:val="left" w:pos="1800"/>
          <w:tab w:val="left" w:pos="1802"/>
        </w:tabs>
        <w:spacing w:before="91" w:line="170"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1DD2A025" w14:textId="77777777" w:rsidR="00894070" w:rsidRDefault="009B7AFD">
      <w:pPr>
        <w:pStyle w:val="ListParagraph"/>
        <w:numPr>
          <w:ilvl w:val="0"/>
          <w:numId w:val="151"/>
        </w:numPr>
        <w:tabs>
          <w:tab w:val="left" w:pos="1801"/>
          <w:tab w:val="left" w:pos="1802"/>
        </w:tabs>
        <w:spacing w:line="160" w:lineRule="exact"/>
        <w:rPr>
          <w:sz w:val="13"/>
        </w:rPr>
      </w:pPr>
      <w:r>
        <w:rPr>
          <w:color w:val="231F20"/>
          <w:sz w:val="13"/>
        </w:rPr>
        <w:t>Ibid.</w:t>
      </w:r>
    </w:p>
    <w:p w14:paraId="34566909" w14:textId="77777777" w:rsidR="00894070" w:rsidRDefault="009B7AFD">
      <w:pPr>
        <w:pStyle w:val="ListParagraph"/>
        <w:numPr>
          <w:ilvl w:val="0"/>
          <w:numId w:val="151"/>
        </w:numPr>
        <w:tabs>
          <w:tab w:val="left" w:pos="1801"/>
          <w:tab w:val="left" w:pos="1802"/>
        </w:tabs>
        <w:spacing w:before="6" w:line="213" w:lineRule="auto"/>
        <w:ind w:right="1263"/>
        <w:rPr>
          <w:sz w:val="13"/>
        </w:rPr>
      </w:pPr>
      <w:r>
        <w:rPr>
          <w:color w:val="231F20"/>
          <w:sz w:val="13"/>
        </w:rPr>
        <w:t xml:space="preserve">Women’s </w:t>
      </w:r>
      <w:r>
        <w:rPr>
          <w:color w:val="231F20"/>
          <w:spacing w:val="2"/>
          <w:sz w:val="13"/>
        </w:rPr>
        <w:t xml:space="preserve">Services </w:t>
      </w:r>
      <w:r>
        <w:rPr>
          <w:color w:val="231F20"/>
          <w:sz w:val="13"/>
        </w:rPr>
        <w:t xml:space="preserve">Network </w:t>
      </w:r>
      <w:r>
        <w:rPr>
          <w:color w:val="231F20"/>
          <w:spacing w:val="2"/>
          <w:sz w:val="13"/>
        </w:rPr>
        <w:t xml:space="preserve">(WESNET), </w:t>
      </w:r>
      <w:r>
        <w:rPr>
          <w:color w:val="231F20"/>
          <w:sz w:val="13"/>
        </w:rPr>
        <w:t xml:space="preserve">‘About Safe Connections’, </w:t>
      </w:r>
      <w:r>
        <w:rPr>
          <w:i/>
          <w:color w:val="231F20"/>
          <w:sz w:val="13"/>
        </w:rPr>
        <w:t xml:space="preserve">Safe Connections 2.0 </w:t>
      </w:r>
      <w:r>
        <w:rPr>
          <w:color w:val="231F20"/>
          <w:sz w:val="13"/>
        </w:rPr>
        <w:t>(Web Pag</w:t>
      </w:r>
      <w:hyperlink r:id="rId103">
        <w:r>
          <w:rPr>
            <w:color w:val="231F20"/>
            <w:sz w:val="13"/>
          </w:rPr>
          <w:t>e) &lt;https://phones.wesnet.org.</w:t>
        </w:r>
      </w:hyperlink>
      <w:hyperlink r:id="rId104">
        <w:r>
          <w:rPr>
            <w:color w:val="231F20"/>
            <w:sz w:val="13"/>
          </w:rPr>
          <w:t xml:space="preserve"> au/safeconnections/</w:t>
        </w:r>
      </w:hyperlink>
      <w:r>
        <w:rPr>
          <w:color w:val="231F20"/>
          <w:sz w:val="13"/>
        </w:rPr>
        <w:t>&gt;.</w:t>
      </w:r>
    </w:p>
    <w:p w14:paraId="72083D95" w14:textId="77777777" w:rsidR="00894070" w:rsidRDefault="009B7AFD">
      <w:pPr>
        <w:pStyle w:val="ListParagraph"/>
        <w:numPr>
          <w:ilvl w:val="0"/>
          <w:numId w:val="151"/>
        </w:numPr>
        <w:tabs>
          <w:tab w:val="left" w:pos="1801"/>
          <w:tab w:val="left" w:pos="1802"/>
        </w:tabs>
        <w:spacing w:line="153"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412F69A0" w14:textId="77777777" w:rsidR="00894070" w:rsidRDefault="009F6793">
      <w:pPr>
        <w:pStyle w:val="ListParagraph"/>
        <w:numPr>
          <w:ilvl w:val="0"/>
          <w:numId w:val="151"/>
        </w:numPr>
        <w:tabs>
          <w:tab w:val="left" w:pos="1801"/>
          <w:tab w:val="left" w:pos="1802"/>
        </w:tabs>
        <w:spacing w:line="160" w:lineRule="exact"/>
        <w:rPr>
          <w:sz w:val="13"/>
        </w:rPr>
      </w:pPr>
      <w:r>
        <w:pict w14:anchorId="0389B087">
          <v:shape id="_x0000_s1563" type="#_x0000_t202" style="position:absolute;left:0;text-align:left;margin-left:36pt;margin-top:3.7pt;width:13.8pt;height:14.1pt;z-index:251574272;mso-position-horizontal-relative:page" filled="f" stroked="f">
            <v:textbox inset="0,0,0,0">
              <w:txbxContent>
                <w:p w14:paraId="3DB54566" w14:textId="77777777" w:rsidR="00894070" w:rsidRDefault="009B7AFD">
                  <w:pPr>
                    <w:spacing w:line="282" w:lineRule="exact"/>
                    <w:rPr>
                      <w:b/>
                      <w:sz w:val="24"/>
                    </w:rPr>
                  </w:pPr>
                  <w:r>
                    <w:rPr>
                      <w:b/>
                      <w:color w:val="EA5B50"/>
                      <w:sz w:val="24"/>
                    </w:rPr>
                    <w:t>44</w:t>
                  </w:r>
                </w:p>
              </w:txbxContent>
            </v:textbox>
            <w10:wrap anchorx="page"/>
          </v:shape>
        </w:pict>
      </w:r>
      <w:r w:rsidR="009B7AFD">
        <w:rPr>
          <w:color w:val="231F20"/>
          <w:sz w:val="13"/>
        </w:rPr>
        <w:t>Ibid.</w:t>
      </w:r>
    </w:p>
    <w:p w14:paraId="52F3F990" w14:textId="77777777" w:rsidR="00894070" w:rsidRDefault="009B7AFD">
      <w:pPr>
        <w:pStyle w:val="ListParagraph"/>
        <w:numPr>
          <w:ilvl w:val="0"/>
          <w:numId w:val="151"/>
        </w:numPr>
        <w:tabs>
          <w:tab w:val="left" w:pos="1800"/>
          <w:tab w:val="left" w:pos="1802"/>
        </w:tabs>
        <w:spacing w:line="170" w:lineRule="exact"/>
        <w:rPr>
          <w:sz w:val="13"/>
        </w:rPr>
      </w:pPr>
      <w:r>
        <w:rPr>
          <w:color w:val="231F20"/>
          <w:sz w:val="13"/>
        </w:rPr>
        <w:t xml:space="preserve">IDCARE, </w:t>
      </w:r>
      <w:r>
        <w:rPr>
          <w:i/>
          <w:color w:val="231F20"/>
          <w:sz w:val="13"/>
        </w:rPr>
        <w:t xml:space="preserve">Individual </w:t>
      </w:r>
      <w:r>
        <w:rPr>
          <w:i/>
          <w:color w:val="231F20"/>
          <w:spacing w:val="2"/>
          <w:sz w:val="13"/>
        </w:rPr>
        <w:t xml:space="preserve">Support Services </w:t>
      </w:r>
      <w:r>
        <w:rPr>
          <w:color w:val="231F20"/>
          <w:sz w:val="13"/>
        </w:rPr>
        <w:t>(Web Page, 2022</w:t>
      </w:r>
      <w:hyperlink r:id="rId105">
        <w:r>
          <w:rPr>
            <w:color w:val="231F20"/>
            <w:sz w:val="13"/>
          </w:rPr>
          <w:t>)</w:t>
        </w:r>
        <w:r>
          <w:rPr>
            <w:color w:val="231F20"/>
            <w:spacing w:val="17"/>
            <w:sz w:val="13"/>
          </w:rPr>
          <w:t xml:space="preserve"> </w:t>
        </w:r>
        <w:r>
          <w:rPr>
            <w:color w:val="231F20"/>
            <w:sz w:val="13"/>
          </w:rPr>
          <w:t>&lt;https://www.idcare.org/support-services/individual-support-services</w:t>
        </w:r>
      </w:hyperlink>
      <w:r>
        <w:rPr>
          <w:color w:val="231F20"/>
          <w:sz w:val="13"/>
        </w:rPr>
        <w:t>&gt;.</w:t>
      </w:r>
    </w:p>
    <w:p w14:paraId="74B9EC5D" w14:textId="77777777" w:rsidR="00894070" w:rsidRDefault="00894070">
      <w:pPr>
        <w:spacing w:line="170" w:lineRule="exact"/>
        <w:rPr>
          <w:sz w:val="13"/>
        </w:rPr>
        <w:sectPr w:rsidR="00894070">
          <w:pgSz w:w="11910" w:h="16840"/>
          <w:pgMar w:top="860" w:right="420" w:bottom="280" w:left="580" w:header="567" w:footer="0" w:gutter="0"/>
          <w:cols w:space="720"/>
        </w:sectPr>
      </w:pPr>
    </w:p>
    <w:p w14:paraId="1BADB0EF" w14:textId="77777777" w:rsidR="00894070" w:rsidRDefault="00894070">
      <w:pPr>
        <w:pStyle w:val="BodyText"/>
      </w:pPr>
    </w:p>
    <w:p w14:paraId="7169921E" w14:textId="77777777" w:rsidR="00894070" w:rsidRDefault="00894070">
      <w:pPr>
        <w:pStyle w:val="BodyText"/>
      </w:pPr>
    </w:p>
    <w:p w14:paraId="7A178C2B" w14:textId="77777777" w:rsidR="00894070" w:rsidRDefault="00894070">
      <w:pPr>
        <w:pStyle w:val="BodyText"/>
      </w:pPr>
    </w:p>
    <w:p w14:paraId="746956D0" w14:textId="77777777" w:rsidR="00894070" w:rsidRDefault="00894070">
      <w:pPr>
        <w:pStyle w:val="BodyText"/>
        <w:spacing w:before="6"/>
        <w:rPr>
          <w:sz w:val="14"/>
        </w:rPr>
      </w:pPr>
    </w:p>
    <w:p w14:paraId="083459E2" w14:textId="77777777" w:rsidR="00894070" w:rsidRDefault="009B7AFD">
      <w:pPr>
        <w:pStyle w:val="Heading7"/>
        <w:spacing w:before="41"/>
      </w:pPr>
      <w:bookmarkStart w:id="63" w:name="People_who_experience_cyberstalking_need"/>
      <w:bookmarkStart w:id="64" w:name="_bookmark32"/>
      <w:bookmarkEnd w:id="63"/>
      <w:bookmarkEnd w:id="64"/>
      <w:r>
        <w:rPr>
          <w:color w:val="EA5B50"/>
        </w:rPr>
        <w:t>People who experience cyberstalking need more support</w:t>
      </w:r>
    </w:p>
    <w:p w14:paraId="5B68F15E" w14:textId="77777777" w:rsidR="00894070" w:rsidRDefault="009B7AFD">
      <w:pPr>
        <w:pStyle w:val="ListParagraph"/>
        <w:numPr>
          <w:ilvl w:val="1"/>
          <w:numId w:val="161"/>
        </w:numPr>
        <w:tabs>
          <w:tab w:val="left" w:pos="1801"/>
          <w:tab w:val="left" w:pos="1802"/>
        </w:tabs>
        <w:spacing w:before="113" w:line="259" w:lineRule="exact"/>
        <w:rPr>
          <w:sz w:val="20"/>
        </w:rPr>
      </w:pPr>
      <w:r>
        <w:rPr>
          <w:color w:val="231F20"/>
          <w:sz w:val="20"/>
        </w:rPr>
        <w:t xml:space="preserve">While cyberstalking appears to be a </w:t>
      </w:r>
      <w:r>
        <w:rPr>
          <w:color w:val="231F20"/>
          <w:spacing w:val="-3"/>
          <w:sz w:val="20"/>
        </w:rPr>
        <w:t xml:space="preserve">growing </w:t>
      </w:r>
      <w:r>
        <w:rPr>
          <w:color w:val="231F20"/>
          <w:sz w:val="20"/>
        </w:rPr>
        <w:t>problem,</w:t>
      </w:r>
      <w:r>
        <w:rPr>
          <w:color w:val="231F20"/>
          <w:position w:val="7"/>
          <w:sz w:val="11"/>
        </w:rPr>
        <w:t xml:space="preserve">124 </w:t>
      </w:r>
      <w:r>
        <w:rPr>
          <w:color w:val="231F20"/>
          <w:spacing w:val="-6"/>
          <w:sz w:val="20"/>
        </w:rPr>
        <w:t xml:space="preserve">Table </w:t>
      </w:r>
      <w:r>
        <w:rPr>
          <w:color w:val="231F20"/>
          <w:sz w:val="20"/>
        </w:rPr>
        <w:t>7 indicates that</w:t>
      </w:r>
      <w:r>
        <w:rPr>
          <w:color w:val="231F20"/>
          <w:spacing w:val="-34"/>
          <w:sz w:val="20"/>
        </w:rPr>
        <w:t xml:space="preserve"> </w:t>
      </w:r>
      <w:r>
        <w:rPr>
          <w:color w:val="231F20"/>
          <w:sz w:val="20"/>
        </w:rPr>
        <w:t>support</w:t>
      </w:r>
    </w:p>
    <w:p w14:paraId="64007AD0" w14:textId="77777777" w:rsidR="00894070" w:rsidRDefault="009B7AFD">
      <w:pPr>
        <w:pStyle w:val="BodyText"/>
        <w:spacing w:line="259" w:lineRule="exact"/>
        <w:ind w:left="1801"/>
      </w:pPr>
      <w:r>
        <w:rPr>
          <w:color w:val="231F20"/>
        </w:rPr>
        <w:t>is limited and often only available to victim survivors of family violence.</w:t>
      </w:r>
    </w:p>
    <w:p w14:paraId="01746B56" w14:textId="77777777" w:rsidR="00894070" w:rsidRDefault="009B7AFD">
      <w:pPr>
        <w:pStyle w:val="ListParagraph"/>
        <w:numPr>
          <w:ilvl w:val="1"/>
          <w:numId w:val="161"/>
        </w:numPr>
        <w:tabs>
          <w:tab w:val="left" w:pos="1801"/>
          <w:tab w:val="left" w:pos="1802"/>
        </w:tabs>
        <w:spacing w:before="115" w:line="206" w:lineRule="auto"/>
        <w:ind w:right="1276"/>
        <w:rPr>
          <w:sz w:val="11"/>
        </w:rPr>
      </w:pPr>
      <w:r>
        <w:rPr>
          <w:color w:val="231F20"/>
          <w:spacing w:val="-3"/>
          <w:sz w:val="20"/>
        </w:rPr>
        <w:t>For</w:t>
      </w:r>
      <w:r>
        <w:rPr>
          <w:color w:val="231F20"/>
          <w:spacing w:val="-10"/>
          <w:sz w:val="20"/>
        </w:rPr>
        <w:t xml:space="preserve"> </w:t>
      </w:r>
      <w:r>
        <w:rPr>
          <w:color w:val="231F20"/>
          <w:sz w:val="20"/>
        </w:rPr>
        <w:t>the</w:t>
      </w:r>
      <w:r>
        <w:rPr>
          <w:color w:val="231F20"/>
          <w:spacing w:val="-10"/>
          <w:sz w:val="20"/>
        </w:rPr>
        <w:t xml:space="preserve"> </w:t>
      </w:r>
      <w:r>
        <w:rPr>
          <w:color w:val="231F20"/>
          <w:sz w:val="20"/>
        </w:rPr>
        <w:t>services</w:t>
      </w:r>
      <w:r>
        <w:rPr>
          <w:color w:val="231F20"/>
          <w:spacing w:val="-10"/>
          <w:sz w:val="20"/>
        </w:rPr>
        <w:t xml:space="preserve"> </w:t>
      </w:r>
      <w:r>
        <w:rPr>
          <w:color w:val="231F20"/>
          <w:sz w:val="20"/>
        </w:rPr>
        <w:t>that</w:t>
      </w:r>
      <w:r>
        <w:rPr>
          <w:color w:val="231F20"/>
          <w:spacing w:val="-9"/>
          <w:sz w:val="20"/>
        </w:rPr>
        <w:t xml:space="preserve"> </w:t>
      </w:r>
      <w:r>
        <w:rPr>
          <w:color w:val="231F20"/>
          <w:sz w:val="20"/>
        </w:rPr>
        <w:t>do</w:t>
      </w:r>
      <w:r>
        <w:rPr>
          <w:color w:val="231F20"/>
          <w:spacing w:val="-10"/>
          <w:sz w:val="20"/>
        </w:rPr>
        <w:t xml:space="preserve"> </w:t>
      </w:r>
      <w:r>
        <w:rPr>
          <w:color w:val="231F20"/>
          <w:sz w:val="20"/>
        </w:rPr>
        <w:t>exist,</w:t>
      </w:r>
      <w:r>
        <w:rPr>
          <w:color w:val="231F20"/>
          <w:spacing w:val="-10"/>
          <w:sz w:val="20"/>
        </w:rPr>
        <w:t xml:space="preserve"> </w:t>
      </w:r>
      <w:r>
        <w:rPr>
          <w:color w:val="231F20"/>
          <w:sz w:val="20"/>
        </w:rPr>
        <w:t>it</w:t>
      </w:r>
      <w:r>
        <w:rPr>
          <w:color w:val="231F20"/>
          <w:spacing w:val="-10"/>
          <w:sz w:val="20"/>
        </w:rPr>
        <w:t xml:space="preserve"> </w:t>
      </w:r>
      <w:r>
        <w:rPr>
          <w:color w:val="231F20"/>
          <w:sz w:val="20"/>
        </w:rPr>
        <w:t>is</w:t>
      </w:r>
      <w:r>
        <w:rPr>
          <w:color w:val="231F20"/>
          <w:spacing w:val="-9"/>
          <w:sz w:val="20"/>
        </w:rPr>
        <w:t xml:space="preserve"> </w:t>
      </w:r>
      <w:r>
        <w:rPr>
          <w:color w:val="231F20"/>
          <w:sz w:val="20"/>
        </w:rPr>
        <w:t>difficult</w:t>
      </w:r>
      <w:r>
        <w:rPr>
          <w:color w:val="231F20"/>
          <w:spacing w:val="-10"/>
          <w:sz w:val="20"/>
        </w:rPr>
        <w:t xml:space="preserve"> </w:t>
      </w:r>
      <w:r>
        <w:rPr>
          <w:color w:val="231F20"/>
          <w:sz w:val="20"/>
        </w:rPr>
        <w:t>to</w:t>
      </w:r>
      <w:r>
        <w:rPr>
          <w:color w:val="231F20"/>
          <w:spacing w:val="-10"/>
          <w:sz w:val="20"/>
        </w:rPr>
        <w:t xml:space="preserve"> </w:t>
      </w:r>
      <w:r>
        <w:rPr>
          <w:color w:val="231F20"/>
          <w:sz w:val="20"/>
        </w:rPr>
        <w:t>keep</w:t>
      </w:r>
      <w:r>
        <w:rPr>
          <w:color w:val="231F20"/>
          <w:spacing w:val="-10"/>
          <w:sz w:val="20"/>
        </w:rPr>
        <w:t xml:space="preserve"> </w:t>
      </w:r>
      <w:r>
        <w:rPr>
          <w:color w:val="231F20"/>
          <w:sz w:val="20"/>
        </w:rPr>
        <w:t>up</w:t>
      </w:r>
      <w:r>
        <w:rPr>
          <w:color w:val="231F20"/>
          <w:spacing w:val="-9"/>
          <w:sz w:val="20"/>
        </w:rPr>
        <w:t xml:space="preserve"> </w:t>
      </w:r>
      <w:r>
        <w:rPr>
          <w:color w:val="231F20"/>
          <w:sz w:val="20"/>
        </w:rPr>
        <w:t>with</w:t>
      </w:r>
      <w:r>
        <w:rPr>
          <w:color w:val="231F20"/>
          <w:spacing w:val="-10"/>
          <w:sz w:val="20"/>
        </w:rPr>
        <w:t xml:space="preserve"> </w:t>
      </w:r>
      <w:r>
        <w:rPr>
          <w:color w:val="231F20"/>
          <w:sz w:val="20"/>
        </w:rPr>
        <w:t>the</w:t>
      </w:r>
      <w:r>
        <w:rPr>
          <w:color w:val="231F20"/>
          <w:spacing w:val="-10"/>
          <w:sz w:val="20"/>
        </w:rPr>
        <w:t xml:space="preserve"> </w:t>
      </w:r>
      <w:r>
        <w:rPr>
          <w:color w:val="231F20"/>
          <w:sz w:val="20"/>
        </w:rPr>
        <w:t>demand.</w:t>
      </w:r>
      <w:r>
        <w:rPr>
          <w:color w:val="231F20"/>
          <w:spacing w:val="-10"/>
          <w:sz w:val="20"/>
        </w:rPr>
        <w:t xml:space="preserve"> </w:t>
      </w:r>
      <w:r>
        <w:rPr>
          <w:color w:val="231F20"/>
          <w:sz w:val="20"/>
        </w:rPr>
        <w:t>More</w:t>
      </w:r>
      <w:r>
        <w:rPr>
          <w:color w:val="231F20"/>
          <w:spacing w:val="-9"/>
          <w:sz w:val="20"/>
        </w:rPr>
        <w:t xml:space="preserve"> </w:t>
      </w:r>
      <w:r>
        <w:rPr>
          <w:color w:val="231F20"/>
          <w:spacing w:val="-3"/>
          <w:sz w:val="20"/>
        </w:rPr>
        <w:t xml:space="preserve">resources </w:t>
      </w:r>
      <w:r>
        <w:rPr>
          <w:color w:val="231F20"/>
          <w:sz w:val="20"/>
        </w:rPr>
        <w:t xml:space="preserve">and </w:t>
      </w:r>
      <w:r>
        <w:rPr>
          <w:color w:val="231F20"/>
          <w:spacing w:val="-3"/>
          <w:sz w:val="20"/>
        </w:rPr>
        <w:t xml:space="preserve">investment are </w:t>
      </w:r>
      <w:r>
        <w:rPr>
          <w:color w:val="231F20"/>
          <w:sz w:val="20"/>
        </w:rPr>
        <w:t xml:space="preserve">needed. WESNET </w:t>
      </w:r>
      <w:r>
        <w:rPr>
          <w:color w:val="231F20"/>
          <w:spacing w:val="-3"/>
          <w:sz w:val="20"/>
        </w:rPr>
        <w:t xml:space="preserve">told </w:t>
      </w:r>
      <w:r>
        <w:rPr>
          <w:color w:val="231F20"/>
          <w:sz w:val="20"/>
        </w:rPr>
        <w:t xml:space="preserve">us about the ‘large </w:t>
      </w:r>
      <w:r>
        <w:rPr>
          <w:color w:val="231F20"/>
          <w:spacing w:val="-3"/>
          <w:sz w:val="20"/>
        </w:rPr>
        <w:t xml:space="preserve">gap’ </w:t>
      </w:r>
      <w:r>
        <w:rPr>
          <w:color w:val="231F20"/>
          <w:sz w:val="20"/>
        </w:rPr>
        <w:t>between its capacity and public</w:t>
      </w:r>
      <w:r>
        <w:rPr>
          <w:color w:val="231F20"/>
          <w:spacing w:val="-13"/>
          <w:sz w:val="20"/>
        </w:rPr>
        <w:t xml:space="preserve"> </w:t>
      </w:r>
      <w:r>
        <w:rPr>
          <w:color w:val="231F20"/>
          <w:sz w:val="20"/>
        </w:rPr>
        <w:t>demand.</w:t>
      </w:r>
      <w:r>
        <w:rPr>
          <w:color w:val="231F20"/>
          <w:position w:val="7"/>
          <w:sz w:val="11"/>
        </w:rPr>
        <w:t>125</w:t>
      </w:r>
    </w:p>
    <w:p w14:paraId="6A4679B0" w14:textId="77777777" w:rsidR="00894070" w:rsidRDefault="009B7AFD">
      <w:pPr>
        <w:pStyle w:val="ListParagraph"/>
        <w:numPr>
          <w:ilvl w:val="1"/>
          <w:numId w:val="161"/>
        </w:numPr>
        <w:tabs>
          <w:tab w:val="left" w:pos="1801"/>
          <w:tab w:val="left" w:pos="1802"/>
        </w:tabs>
        <w:spacing w:before="124" w:line="206" w:lineRule="auto"/>
        <w:ind w:right="1452"/>
        <w:rPr>
          <w:sz w:val="20"/>
        </w:rPr>
      </w:pPr>
      <w:r>
        <w:rPr>
          <w:color w:val="231F20"/>
          <w:sz w:val="20"/>
        </w:rPr>
        <w:t>Expanding</w:t>
      </w:r>
      <w:r>
        <w:rPr>
          <w:color w:val="231F20"/>
          <w:spacing w:val="-11"/>
          <w:sz w:val="20"/>
        </w:rPr>
        <w:t xml:space="preserve"> </w:t>
      </w:r>
      <w:r>
        <w:rPr>
          <w:color w:val="231F20"/>
          <w:sz w:val="20"/>
        </w:rPr>
        <w:t>and</w:t>
      </w:r>
      <w:r>
        <w:rPr>
          <w:color w:val="231F20"/>
          <w:spacing w:val="-11"/>
          <w:sz w:val="20"/>
        </w:rPr>
        <w:t xml:space="preserve"> </w:t>
      </w:r>
      <w:r>
        <w:rPr>
          <w:color w:val="231F20"/>
          <w:sz w:val="20"/>
        </w:rPr>
        <w:t>funding</w:t>
      </w:r>
      <w:r>
        <w:rPr>
          <w:color w:val="231F20"/>
          <w:spacing w:val="-10"/>
          <w:sz w:val="20"/>
        </w:rPr>
        <w:t xml:space="preserve"> </w:t>
      </w:r>
      <w:r>
        <w:rPr>
          <w:color w:val="231F20"/>
          <w:sz w:val="20"/>
        </w:rPr>
        <w:t>support</w:t>
      </w:r>
      <w:r>
        <w:rPr>
          <w:color w:val="231F20"/>
          <w:spacing w:val="-11"/>
          <w:sz w:val="20"/>
        </w:rPr>
        <w:t xml:space="preserve"> </w:t>
      </w:r>
      <w:r>
        <w:rPr>
          <w:color w:val="231F20"/>
          <w:spacing w:val="-3"/>
          <w:sz w:val="20"/>
        </w:rPr>
        <w:t>for</w:t>
      </w:r>
      <w:r>
        <w:rPr>
          <w:color w:val="231F20"/>
          <w:spacing w:val="-10"/>
          <w:sz w:val="20"/>
        </w:rPr>
        <w:t xml:space="preserve"> </w:t>
      </w:r>
      <w:r>
        <w:rPr>
          <w:color w:val="231F20"/>
          <w:spacing w:val="-2"/>
          <w:sz w:val="20"/>
        </w:rPr>
        <w:t>everyone</w:t>
      </w:r>
      <w:r>
        <w:rPr>
          <w:color w:val="231F20"/>
          <w:spacing w:val="-11"/>
          <w:sz w:val="20"/>
        </w:rPr>
        <w:t xml:space="preserve"> </w:t>
      </w:r>
      <w:r>
        <w:rPr>
          <w:color w:val="231F20"/>
          <w:sz w:val="20"/>
        </w:rPr>
        <w:t>who</w:t>
      </w:r>
      <w:r>
        <w:rPr>
          <w:color w:val="231F20"/>
          <w:spacing w:val="-11"/>
          <w:sz w:val="20"/>
        </w:rPr>
        <w:t xml:space="preserve"> </w:t>
      </w:r>
      <w:r>
        <w:rPr>
          <w:color w:val="231F20"/>
          <w:sz w:val="20"/>
        </w:rPr>
        <w:t>experiences</w:t>
      </w:r>
      <w:r>
        <w:rPr>
          <w:color w:val="231F20"/>
          <w:spacing w:val="-10"/>
          <w:sz w:val="20"/>
        </w:rPr>
        <w:t xml:space="preserve"> </w:t>
      </w:r>
      <w:r>
        <w:rPr>
          <w:color w:val="231F20"/>
          <w:sz w:val="20"/>
        </w:rPr>
        <w:t>cyberstalking</w:t>
      </w:r>
      <w:r>
        <w:rPr>
          <w:color w:val="231F20"/>
          <w:spacing w:val="-11"/>
          <w:sz w:val="20"/>
        </w:rPr>
        <w:t xml:space="preserve"> </w:t>
      </w:r>
      <w:r>
        <w:rPr>
          <w:color w:val="231F20"/>
          <w:sz w:val="20"/>
        </w:rPr>
        <w:t xml:space="preserve">should be a priority </w:t>
      </w:r>
      <w:r>
        <w:rPr>
          <w:color w:val="231F20"/>
          <w:spacing w:val="-3"/>
          <w:sz w:val="20"/>
        </w:rPr>
        <w:t xml:space="preserve">for government. </w:t>
      </w:r>
      <w:r>
        <w:rPr>
          <w:color w:val="231F20"/>
          <w:sz w:val="20"/>
        </w:rPr>
        <w:t xml:space="preserve">This support should be practical, </w:t>
      </w:r>
      <w:r>
        <w:rPr>
          <w:color w:val="231F20"/>
          <w:spacing w:val="-3"/>
          <w:sz w:val="20"/>
        </w:rPr>
        <w:t xml:space="preserve">timely </w:t>
      </w:r>
      <w:r>
        <w:rPr>
          <w:color w:val="231F20"/>
          <w:sz w:val="20"/>
        </w:rPr>
        <w:t xml:space="preserve">and </w:t>
      </w:r>
      <w:r>
        <w:rPr>
          <w:color w:val="231F20"/>
          <w:spacing w:val="-3"/>
          <w:sz w:val="20"/>
        </w:rPr>
        <w:t xml:space="preserve">safe, </w:t>
      </w:r>
      <w:r>
        <w:rPr>
          <w:color w:val="231F20"/>
          <w:sz w:val="20"/>
        </w:rPr>
        <w:t xml:space="preserve">and </w:t>
      </w:r>
      <w:r>
        <w:rPr>
          <w:color w:val="231F20"/>
          <w:spacing w:val="-3"/>
          <w:sz w:val="20"/>
        </w:rPr>
        <w:t>include:</w:t>
      </w:r>
    </w:p>
    <w:p w14:paraId="2CB73EAA" w14:textId="77777777" w:rsidR="00894070" w:rsidRDefault="009B7AFD">
      <w:pPr>
        <w:pStyle w:val="ListParagraph"/>
        <w:numPr>
          <w:ilvl w:val="2"/>
          <w:numId w:val="161"/>
        </w:numPr>
        <w:tabs>
          <w:tab w:val="left" w:pos="2190"/>
          <w:tab w:val="left" w:pos="2191"/>
        </w:tabs>
        <w:spacing w:before="91"/>
        <w:ind w:left="2190" w:hanging="389"/>
        <w:rPr>
          <w:sz w:val="20"/>
        </w:rPr>
      </w:pPr>
      <w:r>
        <w:rPr>
          <w:color w:val="231F20"/>
          <w:sz w:val="20"/>
        </w:rPr>
        <w:t>safety</w:t>
      </w:r>
      <w:r>
        <w:rPr>
          <w:color w:val="231F20"/>
          <w:spacing w:val="-6"/>
          <w:sz w:val="20"/>
        </w:rPr>
        <w:t xml:space="preserve"> </w:t>
      </w:r>
      <w:r>
        <w:rPr>
          <w:color w:val="231F20"/>
          <w:sz w:val="20"/>
        </w:rPr>
        <w:t>checks</w:t>
      </w:r>
      <w:r>
        <w:rPr>
          <w:color w:val="231F20"/>
          <w:spacing w:val="-6"/>
          <w:sz w:val="20"/>
        </w:rPr>
        <w:t xml:space="preserve"> </w:t>
      </w:r>
      <w:r>
        <w:rPr>
          <w:color w:val="231F20"/>
          <w:sz w:val="20"/>
        </w:rPr>
        <w:t>on</w:t>
      </w:r>
      <w:r>
        <w:rPr>
          <w:color w:val="231F20"/>
          <w:spacing w:val="-6"/>
          <w:sz w:val="20"/>
        </w:rPr>
        <w:t xml:space="preserve"> </w:t>
      </w:r>
      <w:r>
        <w:rPr>
          <w:color w:val="231F20"/>
          <w:spacing w:val="-3"/>
          <w:sz w:val="20"/>
        </w:rPr>
        <w:t>devices</w:t>
      </w:r>
      <w:r>
        <w:rPr>
          <w:color w:val="231F20"/>
          <w:spacing w:val="-6"/>
          <w:sz w:val="20"/>
        </w:rPr>
        <w:t xml:space="preserve"> </w:t>
      </w:r>
      <w:r>
        <w:rPr>
          <w:color w:val="231F20"/>
          <w:sz w:val="20"/>
        </w:rPr>
        <w:t>and</w:t>
      </w:r>
      <w:r>
        <w:rPr>
          <w:color w:val="231F20"/>
          <w:spacing w:val="-6"/>
          <w:sz w:val="20"/>
        </w:rPr>
        <w:t xml:space="preserve"> </w:t>
      </w:r>
      <w:r>
        <w:rPr>
          <w:color w:val="231F20"/>
          <w:sz w:val="20"/>
        </w:rPr>
        <w:t>online</w:t>
      </w:r>
      <w:r>
        <w:rPr>
          <w:color w:val="231F20"/>
          <w:spacing w:val="-6"/>
          <w:sz w:val="20"/>
        </w:rPr>
        <w:t xml:space="preserve"> </w:t>
      </w:r>
      <w:r>
        <w:rPr>
          <w:color w:val="231F20"/>
          <w:sz w:val="20"/>
        </w:rPr>
        <w:t>networks</w:t>
      </w:r>
      <w:r>
        <w:rPr>
          <w:color w:val="231F20"/>
          <w:spacing w:val="-6"/>
          <w:sz w:val="20"/>
        </w:rPr>
        <w:t xml:space="preserve"> </w:t>
      </w:r>
      <w:r>
        <w:rPr>
          <w:color w:val="231F20"/>
          <w:sz w:val="20"/>
        </w:rPr>
        <w:t>to</w:t>
      </w:r>
      <w:r>
        <w:rPr>
          <w:color w:val="231F20"/>
          <w:spacing w:val="-6"/>
          <w:sz w:val="20"/>
        </w:rPr>
        <w:t xml:space="preserve"> </w:t>
      </w:r>
      <w:r>
        <w:rPr>
          <w:color w:val="231F20"/>
          <w:sz w:val="20"/>
        </w:rPr>
        <w:t>detect</w:t>
      </w:r>
      <w:r>
        <w:rPr>
          <w:color w:val="231F20"/>
          <w:spacing w:val="-6"/>
          <w:sz w:val="20"/>
        </w:rPr>
        <w:t xml:space="preserve"> </w:t>
      </w:r>
      <w:r>
        <w:rPr>
          <w:color w:val="231F20"/>
          <w:sz w:val="20"/>
        </w:rPr>
        <w:t>and</w:t>
      </w:r>
      <w:r>
        <w:rPr>
          <w:color w:val="231F20"/>
          <w:spacing w:val="-6"/>
          <w:sz w:val="20"/>
        </w:rPr>
        <w:t xml:space="preserve"> </w:t>
      </w:r>
      <w:r>
        <w:rPr>
          <w:color w:val="231F20"/>
          <w:sz w:val="20"/>
        </w:rPr>
        <w:t>stop</w:t>
      </w:r>
      <w:r>
        <w:rPr>
          <w:color w:val="231F20"/>
          <w:spacing w:val="-6"/>
          <w:sz w:val="20"/>
        </w:rPr>
        <w:t xml:space="preserve"> </w:t>
      </w:r>
      <w:r>
        <w:rPr>
          <w:color w:val="231F20"/>
          <w:sz w:val="20"/>
        </w:rPr>
        <w:t>the</w:t>
      </w:r>
      <w:r>
        <w:rPr>
          <w:color w:val="231F20"/>
          <w:spacing w:val="-6"/>
          <w:sz w:val="20"/>
        </w:rPr>
        <w:t xml:space="preserve"> </w:t>
      </w:r>
      <w:r>
        <w:rPr>
          <w:color w:val="231F20"/>
          <w:sz w:val="20"/>
        </w:rPr>
        <w:t>cyberstalking</w:t>
      </w:r>
    </w:p>
    <w:p w14:paraId="0CEBCA04" w14:textId="77777777" w:rsidR="00894070" w:rsidRDefault="009B7AFD">
      <w:pPr>
        <w:pStyle w:val="ListParagraph"/>
        <w:numPr>
          <w:ilvl w:val="2"/>
          <w:numId w:val="161"/>
        </w:numPr>
        <w:tabs>
          <w:tab w:val="left" w:pos="2190"/>
          <w:tab w:val="left" w:pos="2191"/>
        </w:tabs>
        <w:spacing w:before="48"/>
        <w:ind w:left="2190" w:hanging="389"/>
        <w:rPr>
          <w:sz w:val="20"/>
        </w:rPr>
      </w:pPr>
      <w:r>
        <w:rPr>
          <w:color w:val="231F20"/>
          <w:sz w:val="20"/>
        </w:rPr>
        <w:t>access to replacement</w:t>
      </w:r>
      <w:r>
        <w:rPr>
          <w:color w:val="231F20"/>
          <w:spacing w:val="-13"/>
          <w:sz w:val="20"/>
        </w:rPr>
        <w:t xml:space="preserve"> </w:t>
      </w:r>
      <w:r>
        <w:rPr>
          <w:color w:val="231F20"/>
          <w:spacing w:val="-3"/>
          <w:sz w:val="20"/>
        </w:rPr>
        <w:t>devices</w:t>
      </w:r>
    </w:p>
    <w:p w14:paraId="4CB1AF27" w14:textId="77777777" w:rsidR="00894070" w:rsidRDefault="009B7AFD">
      <w:pPr>
        <w:pStyle w:val="ListParagraph"/>
        <w:numPr>
          <w:ilvl w:val="2"/>
          <w:numId w:val="161"/>
        </w:numPr>
        <w:tabs>
          <w:tab w:val="left" w:pos="2141"/>
          <w:tab w:val="left" w:pos="2142"/>
        </w:tabs>
        <w:spacing w:before="47"/>
        <w:ind w:hanging="340"/>
        <w:rPr>
          <w:sz w:val="20"/>
        </w:rPr>
      </w:pPr>
      <w:r>
        <w:rPr>
          <w:color w:val="231F20"/>
          <w:sz w:val="20"/>
        </w:rPr>
        <w:t xml:space="preserve">support to collect </w:t>
      </w:r>
      <w:r>
        <w:rPr>
          <w:color w:val="231F20"/>
          <w:spacing w:val="-3"/>
          <w:sz w:val="20"/>
        </w:rPr>
        <w:t xml:space="preserve">evidence, </w:t>
      </w:r>
      <w:r>
        <w:rPr>
          <w:color w:val="231F20"/>
          <w:sz w:val="20"/>
        </w:rPr>
        <w:t>if</w:t>
      </w:r>
      <w:r>
        <w:rPr>
          <w:color w:val="231F20"/>
          <w:spacing w:val="-18"/>
          <w:sz w:val="20"/>
        </w:rPr>
        <w:t xml:space="preserve"> </w:t>
      </w:r>
      <w:r>
        <w:rPr>
          <w:color w:val="231F20"/>
          <w:sz w:val="20"/>
        </w:rPr>
        <w:t>needed.</w:t>
      </w:r>
    </w:p>
    <w:p w14:paraId="579951BE" w14:textId="77777777" w:rsidR="00894070" w:rsidRDefault="009B7AFD">
      <w:pPr>
        <w:pStyle w:val="ListParagraph"/>
        <w:numPr>
          <w:ilvl w:val="1"/>
          <w:numId w:val="161"/>
        </w:numPr>
        <w:tabs>
          <w:tab w:val="left" w:pos="1801"/>
          <w:tab w:val="left" w:pos="1802"/>
        </w:tabs>
        <w:spacing w:before="80" w:line="206" w:lineRule="auto"/>
        <w:ind w:right="2340"/>
        <w:rPr>
          <w:sz w:val="20"/>
        </w:rPr>
      </w:pPr>
      <w:r>
        <w:rPr>
          <w:color w:val="231F20"/>
          <w:sz w:val="20"/>
        </w:rPr>
        <w:t>This</w:t>
      </w:r>
      <w:r>
        <w:rPr>
          <w:color w:val="231F20"/>
          <w:spacing w:val="-9"/>
          <w:sz w:val="20"/>
        </w:rPr>
        <w:t xml:space="preserve"> </w:t>
      </w:r>
      <w:r>
        <w:rPr>
          <w:color w:val="231F20"/>
          <w:sz w:val="20"/>
        </w:rPr>
        <w:t>is</w:t>
      </w:r>
      <w:r>
        <w:rPr>
          <w:color w:val="231F20"/>
          <w:spacing w:val="-9"/>
          <w:sz w:val="20"/>
        </w:rPr>
        <w:t xml:space="preserve"> </w:t>
      </w:r>
      <w:proofErr w:type="gramStart"/>
      <w:r>
        <w:rPr>
          <w:color w:val="231F20"/>
          <w:sz w:val="20"/>
        </w:rPr>
        <w:t>similar</w:t>
      </w:r>
      <w:r>
        <w:rPr>
          <w:color w:val="231F20"/>
          <w:spacing w:val="-9"/>
          <w:sz w:val="20"/>
        </w:rPr>
        <w:t xml:space="preserve"> </w:t>
      </w:r>
      <w:r>
        <w:rPr>
          <w:color w:val="231F20"/>
          <w:sz w:val="20"/>
        </w:rPr>
        <w:t>to</w:t>
      </w:r>
      <w:proofErr w:type="gramEnd"/>
      <w:r>
        <w:rPr>
          <w:color w:val="231F20"/>
          <w:spacing w:val="-9"/>
          <w:sz w:val="20"/>
        </w:rPr>
        <w:t xml:space="preserve"> </w:t>
      </w:r>
      <w:r>
        <w:rPr>
          <w:color w:val="231F20"/>
          <w:sz w:val="20"/>
        </w:rPr>
        <w:t>support</w:t>
      </w:r>
      <w:r>
        <w:rPr>
          <w:color w:val="231F20"/>
          <w:spacing w:val="-9"/>
          <w:sz w:val="20"/>
        </w:rPr>
        <w:t xml:space="preserve"> </w:t>
      </w:r>
      <w:r>
        <w:rPr>
          <w:color w:val="231F20"/>
          <w:sz w:val="20"/>
        </w:rPr>
        <w:t>and</w:t>
      </w:r>
      <w:r>
        <w:rPr>
          <w:color w:val="231F20"/>
          <w:spacing w:val="-9"/>
          <w:sz w:val="20"/>
        </w:rPr>
        <w:t xml:space="preserve"> </w:t>
      </w:r>
      <w:r>
        <w:rPr>
          <w:color w:val="231F20"/>
          <w:sz w:val="20"/>
        </w:rPr>
        <w:t>services</w:t>
      </w:r>
      <w:r>
        <w:rPr>
          <w:color w:val="231F20"/>
          <w:spacing w:val="-9"/>
          <w:sz w:val="20"/>
        </w:rPr>
        <w:t xml:space="preserve"> </w:t>
      </w:r>
      <w:r>
        <w:rPr>
          <w:color w:val="231F20"/>
          <w:sz w:val="20"/>
        </w:rPr>
        <w:t>already</w:t>
      </w:r>
      <w:r>
        <w:rPr>
          <w:color w:val="231F20"/>
          <w:spacing w:val="-9"/>
          <w:sz w:val="20"/>
        </w:rPr>
        <w:t xml:space="preserve"> </w:t>
      </w:r>
      <w:r>
        <w:rPr>
          <w:color w:val="231F20"/>
          <w:sz w:val="20"/>
        </w:rPr>
        <w:t>available</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people</w:t>
      </w:r>
      <w:r>
        <w:rPr>
          <w:color w:val="231F20"/>
          <w:spacing w:val="-9"/>
          <w:sz w:val="20"/>
        </w:rPr>
        <w:t xml:space="preserve"> </w:t>
      </w:r>
      <w:r>
        <w:rPr>
          <w:color w:val="231F20"/>
          <w:sz w:val="20"/>
        </w:rPr>
        <w:t>who</w:t>
      </w:r>
      <w:r>
        <w:rPr>
          <w:color w:val="231F20"/>
          <w:spacing w:val="-9"/>
          <w:sz w:val="20"/>
        </w:rPr>
        <w:t xml:space="preserve"> </w:t>
      </w:r>
      <w:r>
        <w:rPr>
          <w:color w:val="231F20"/>
          <w:spacing w:val="-3"/>
          <w:sz w:val="20"/>
        </w:rPr>
        <w:t xml:space="preserve">are </w:t>
      </w:r>
      <w:r>
        <w:rPr>
          <w:color w:val="231F20"/>
          <w:sz w:val="20"/>
        </w:rPr>
        <w:t xml:space="preserve">cyberstalked in </w:t>
      </w:r>
      <w:r>
        <w:rPr>
          <w:color w:val="231F20"/>
          <w:spacing w:val="-3"/>
          <w:sz w:val="20"/>
        </w:rPr>
        <w:t xml:space="preserve">family </w:t>
      </w:r>
      <w:r>
        <w:rPr>
          <w:color w:val="231F20"/>
          <w:sz w:val="20"/>
        </w:rPr>
        <w:t>violence</w:t>
      </w:r>
      <w:r>
        <w:rPr>
          <w:color w:val="231F20"/>
          <w:spacing w:val="-16"/>
          <w:sz w:val="20"/>
        </w:rPr>
        <w:t xml:space="preserve"> </w:t>
      </w:r>
      <w:r>
        <w:rPr>
          <w:color w:val="231F20"/>
          <w:sz w:val="20"/>
        </w:rPr>
        <w:t>contexts.</w:t>
      </w:r>
    </w:p>
    <w:p w14:paraId="2FE1D96A" w14:textId="77777777" w:rsidR="00894070" w:rsidRDefault="00894070">
      <w:pPr>
        <w:pStyle w:val="BodyText"/>
        <w:spacing w:before="9"/>
        <w:rPr>
          <w:sz w:val="15"/>
        </w:rPr>
      </w:pPr>
    </w:p>
    <w:p w14:paraId="065E86DC" w14:textId="77777777" w:rsidR="00894070" w:rsidRDefault="009B7AFD">
      <w:pPr>
        <w:pStyle w:val="Heading8"/>
        <w:ind w:left="1007"/>
      </w:pPr>
      <w:r>
        <w:rPr>
          <w:color w:val="231F20"/>
        </w:rPr>
        <w:t>Support needs to be practical</w:t>
      </w:r>
    </w:p>
    <w:p w14:paraId="7368671B" w14:textId="77777777" w:rsidR="00894070" w:rsidRDefault="009B7AFD">
      <w:pPr>
        <w:pStyle w:val="ListParagraph"/>
        <w:numPr>
          <w:ilvl w:val="1"/>
          <w:numId w:val="161"/>
        </w:numPr>
        <w:tabs>
          <w:tab w:val="left" w:pos="1801"/>
          <w:tab w:val="left" w:pos="1802"/>
        </w:tabs>
        <w:spacing w:before="127" w:line="206" w:lineRule="auto"/>
        <w:ind w:right="1451"/>
        <w:rPr>
          <w:sz w:val="20"/>
        </w:rPr>
      </w:pPr>
      <w:r>
        <w:rPr>
          <w:color w:val="231F20"/>
          <w:sz w:val="20"/>
        </w:rPr>
        <w:t>In</w:t>
      </w:r>
      <w:r>
        <w:rPr>
          <w:color w:val="231F20"/>
          <w:spacing w:val="-10"/>
          <w:sz w:val="20"/>
        </w:rPr>
        <w:t xml:space="preserve"> </w:t>
      </w:r>
      <w:r>
        <w:rPr>
          <w:color w:val="231F20"/>
          <w:sz w:val="20"/>
        </w:rPr>
        <w:t>our</w:t>
      </w:r>
      <w:r>
        <w:rPr>
          <w:color w:val="231F20"/>
          <w:spacing w:val="-9"/>
          <w:sz w:val="20"/>
        </w:rPr>
        <w:t xml:space="preserve"> </w:t>
      </w:r>
      <w:r>
        <w:rPr>
          <w:color w:val="231F20"/>
          <w:sz w:val="20"/>
        </w:rPr>
        <w:t>consultation</w:t>
      </w:r>
      <w:r>
        <w:rPr>
          <w:color w:val="231F20"/>
          <w:spacing w:val="-9"/>
          <w:sz w:val="20"/>
        </w:rPr>
        <w:t xml:space="preserve"> </w:t>
      </w:r>
      <w:r>
        <w:rPr>
          <w:color w:val="231F20"/>
          <w:sz w:val="20"/>
        </w:rPr>
        <w:t>paper</w:t>
      </w:r>
      <w:r>
        <w:rPr>
          <w:color w:val="231F20"/>
          <w:spacing w:val="-9"/>
          <w:sz w:val="20"/>
        </w:rPr>
        <w:t xml:space="preserve"> </w:t>
      </w:r>
      <w:r>
        <w:rPr>
          <w:color w:val="231F20"/>
          <w:spacing w:val="-3"/>
          <w:sz w:val="20"/>
        </w:rPr>
        <w:t>we</w:t>
      </w:r>
      <w:r>
        <w:rPr>
          <w:color w:val="231F20"/>
          <w:spacing w:val="-9"/>
          <w:sz w:val="20"/>
        </w:rPr>
        <w:t xml:space="preserve"> </w:t>
      </w:r>
      <w:r>
        <w:rPr>
          <w:color w:val="231F20"/>
          <w:sz w:val="20"/>
        </w:rPr>
        <w:t>asked</w:t>
      </w:r>
      <w:r>
        <w:rPr>
          <w:color w:val="231F20"/>
          <w:spacing w:val="-9"/>
          <w:sz w:val="20"/>
        </w:rPr>
        <w:t xml:space="preserve"> </w:t>
      </w:r>
      <w:r>
        <w:rPr>
          <w:color w:val="231F20"/>
          <w:sz w:val="20"/>
        </w:rPr>
        <w:t>what</w:t>
      </w:r>
      <w:r>
        <w:rPr>
          <w:color w:val="231F20"/>
          <w:spacing w:val="-9"/>
          <w:sz w:val="20"/>
        </w:rPr>
        <w:t xml:space="preserve"> </w:t>
      </w:r>
      <w:r>
        <w:rPr>
          <w:color w:val="231F20"/>
          <w:sz w:val="20"/>
        </w:rPr>
        <w:t>kind</w:t>
      </w:r>
      <w:r>
        <w:rPr>
          <w:color w:val="231F20"/>
          <w:spacing w:val="-9"/>
          <w:sz w:val="20"/>
        </w:rPr>
        <w:t xml:space="preserve"> </w:t>
      </w:r>
      <w:r>
        <w:rPr>
          <w:color w:val="231F20"/>
          <w:sz w:val="20"/>
        </w:rPr>
        <w:t>of</w:t>
      </w:r>
      <w:r>
        <w:rPr>
          <w:color w:val="231F20"/>
          <w:spacing w:val="-9"/>
          <w:sz w:val="20"/>
        </w:rPr>
        <w:t xml:space="preserve"> </w:t>
      </w:r>
      <w:r>
        <w:rPr>
          <w:color w:val="231F20"/>
          <w:sz w:val="20"/>
        </w:rPr>
        <w:t>help</w:t>
      </w:r>
      <w:r>
        <w:rPr>
          <w:color w:val="231F20"/>
          <w:spacing w:val="-9"/>
          <w:sz w:val="20"/>
        </w:rPr>
        <w:t xml:space="preserve"> </w:t>
      </w:r>
      <w:r>
        <w:rPr>
          <w:color w:val="231F20"/>
          <w:sz w:val="20"/>
        </w:rPr>
        <w:t>a</w:t>
      </w:r>
      <w:r>
        <w:rPr>
          <w:color w:val="231F20"/>
          <w:spacing w:val="-10"/>
          <w:sz w:val="20"/>
        </w:rPr>
        <w:t xml:space="preserve"> </w:t>
      </w:r>
      <w:r>
        <w:rPr>
          <w:color w:val="231F20"/>
          <w:sz w:val="20"/>
        </w:rPr>
        <w:t>person</w:t>
      </w:r>
      <w:r>
        <w:rPr>
          <w:color w:val="231F20"/>
          <w:spacing w:val="-9"/>
          <w:sz w:val="20"/>
        </w:rPr>
        <w:t xml:space="preserve"> </w:t>
      </w:r>
      <w:r>
        <w:rPr>
          <w:color w:val="231F20"/>
          <w:sz w:val="20"/>
        </w:rPr>
        <w:t>needs</w:t>
      </w:r>
      <w:r>
        <w:rPr>
          <w:color w:val="231F20"/>
          <w:spacing w:val="-9"/>
          <w:sz w:val="20"/>
        </w:rPr>
        <w:t xml:space="preserve"> </w:t>
      </w:r>
      <w:r>
        <w:rPr>
          <w:color w:val="231F20"/>
          <w:sz w:val="20"/>
        </w:rPr>
        <w:t>if</w:t>
      </w:r>
      <w:r>
        <w:rPr>
          <w:color w:val="231F20"/>
          <w:spacing w:val="-9"/>
          <w:sz w:val="20"/>
        </w:rPr>
        <w:t xml:space="preserve"> </w:t>
      </w:r>
      <w:r>
        <w:rPr>
          <w:color w:val="231F20"/>
          <w:sz w:val="20"/>
        </w:rPr>
        <w:t>they</w:t>
      </w:r>
      <w:r>
        <w:rPr>
          <w:color w:val="231F20"/>
          <w:spacing w:val="-9"/>
          <w:sz w:val="20"/>
        </w:rPr>
        <w:t xml:space="preserve"> </w:t>
      </w:r>
      <w:r>
        <w:rPr>
          <w:color w:val="231F20"/>
          <w:sz w:val="20"/>
        </w:rPr>
        <w:t xml:space="preserve">suspect they </w:t>
      </w:r>
      <w:r>
        <w:rPr>
          <w:color w:val="231F20"/>
          <w:spacing w:val="-3"/>
          <w:sz w:val="20"/>
        </w:rPr>
        <w:t xml:space="preserve">are </w:t>
      </w:r>
      <w:r>
        <w:rPr>
          <w:color w:val="231F20"/>
          <w:sz w:val="20"/>
        </w:rPr>
        <w:t>being</w:t>
      </w:r>
      <w:r>
        <w:rPr>
          <w:color w:val="231F20"/>
          <w:spacing w:val="-10"/>
          <w:sz w:val="20"/>
        </w:rPr>
        <w:t xml:space="preserve"> </w:t>
      </w:r>
      <w:r>
        <w:rPr>
          <w:color w:val="231F20"/>
          <w:sz w:val="20"/>
        </w:rPr>
        <w:t>cyberstalked.</w:t>
      </w:r>
    </w:p>
    <w:p w14:paraId="07487810" w14:textId="77777777" w:rsidR="00894070" w:rsidRDefault="009B7AFD">
      <w:pPr>
        <w:pStyle w:val="ListParagraph"/>
        <w:numPr>
          <w:ilvl w:val="1"/>
          <w:numId w:val="161"/>
        </w:numPr>
        <w:tabs>
          <w:tab w:val="left" w:pos="1801"/>
          <w:tab w:val="left" w:pos="1802"/>
        </w:tabs>
        <w:spacing w:before="90"/>
        <w:rPr>
          <w:sz w:val="20"/>
        </w:rPr>
      </w:pPr>
      <w:r>
        <w:rPr>
          <w:color w:val="231F20"/>
          <w:sz w:val="20"/>
        </w:rPr>
        <w:t>One</w:t>
      </w:r>
      <w:r>
        <w:rPr>
          <w:color w:val="231F20"/>
          <w:spacing w:val="-6"/>
          <w:sz w:val="20"/>
        </w:rPr>
        <w:t xml:space="preserve"> </w:t>
      </w:r>
      <w:r>
        <w:rPr>
          <w:color w:val="231F20"/>
          <w:sz w:val="20"/>
        </w:rPr>
        <w:t>person</w:t>
      </w:r>
      <w:r>
        <w:rPr>
          <w:color w:val="231F20"/>
          <w:spacing w:val="-6"/>
          <w:sz w:val="20"/>
        </w:rPr>
        <w:t xml:space="preserve"> </w:t>
      </w:r>
      <w:r>
        <w:rPr>
          <w:color w:val="231F20"/>
          <w:spacing w:val="-3"/>
          <w:sz w:val="20"/>
        </w:rPr>
        <w:t>told</w:t>
      </w:r>
      <w:r>
        <w:rPr>
          <w:color w:val="231F20"/>
          <w:spacing w:val="-6"/>
          <w:sz w:val="20"/>
        </w:rPr>
        <w:t xml:space="preserve"> </w:t>
      </w:r>
      <w:r>
        <w:rPr>
          <w:color w:val="231F20"/>
          <w:sz w:val="20"/>
        </w:rPr>
        <w:t>us</w:t>
      </w:r>
      <w:r>
        <w:rPr>
          <w:color w:val="231F20"/>
          <w:spacing w:val="-6"/>
          <w:sz w:val="20"/>
        </w:rPr>
        <w:t xml:space="preserve"> </w:t>
      </w:r>
      <w:r>
        <w:rPr>
          <w:color w:val="231F20"/>
          <w:sz w:val="20"/>
        </w:rPr>
        <w:t>about</w:t>
      </w:r>
      <w:r>
        <w:rPr>
          <w:color w:val="231F20"/>
          <w:spacing w:val="-6"/>
          <w:sz w:val="20"/>
        </w:rPr>
        <w:t xml:space="preserve"> </w:t>
      </w:r>
      <w:r>
        <w:rPr>
          <w:color w:val="231F20"/>
          <w:sz w:val="20"/>
        </w:rPr>
        <w:t>the</w:t>
      </w:r>
      <w:r>
        <w:rPr>
          <w:color w:val="231F20"/>
          <w:spacing w:val="-5"/>
          <w:sz w:val="20"/>
        </w:rPr>
        <w:t xml:space="preserve"> </w:t>
      </w:r>
      <w:r>
        <w:rPr>
          <w:color w:val="231F20"/>
          <w:sz w:val="20"/>
        </w:rPr>
        <w:t>practical</w:t>
      </w:r>
      <w:r>
        <w:rPr>
          <w:color w:val="231F20"/>
          <w:spacing w:val="-6"/>
          <w:sz w:val="20"/>
        </w:rPr>
        <w:t xml:space="preserve"> </w:t>
      </w:r>
      <w:r>
        <w:rPr>
          <w:color w:val="231F20"/>
          <w:sz w:val="20"/>
        </w:rPr>
        <w:t>and</w:t>
      </w:r>
      <w:r>
        <w:rPr>
          <w:color w:val="231F20"/>
          <w:spacing w:val="-6"/>
          <w:sz w:val="20"/>
        </w:rPr>
        <w:t xml:space="preserve"> </w:t>
      </w:r>
      <w:r>
        <w:rPr>
          <w:color w:val="231F20"/>
          <w:sz w:val="20"/>
        </w:rPr>
        <w:t>financial</w:t>
      </w:r>
      <w:r>
        <w:rPr>
          <w:color w:val="231F20"/>
          <w:spacing w:val="-6"/>
          <w:sz w:val="20"/>
        </w:rPr>
        <w:t xml:space="preserve"> </w:t>
      </w:r>
      <w:r>
        <w:rPr>
          <w:color w:val="231F20"/>
          <w:sz w:val="20"/>
        </w:rPr>
        <w:t>burden</w:t>
      </w:r>
      <w:r>
        <w:rPr>
          <w:color w:val="231F20"/>
          <w:spacing w:val="-6"/>
          <w:sz w:val="20"/>
        </w:rPr>
        <w:t xml:space="preserve"> </w:t>
      </w:r>
      <w:r>
        <w:rPr>
          <w:color w:val="231F20"/>
          <w:sz w:val="20"/>
        </w:rPr>
        <w:t>of</w:t>
      </w:r>
      <w:r>
        <w:rPr>
          <w:color w:val="231F20"/>
          <w:spacing w:val="-5"/>
          <w:sz w:val="20"/>
        </w:rPr>
        <w:t xml:space="preserve"> </w:t>
      </w:r>
      <w:r>
        <w:rPr>
          <w:color w:val="231F20"/>
          <w:sz w:val="20"/>
        </w:rPr>
        <w:t>being</w:t>
      </w:r>
      <w:r>
        <w:rPr>
          <w:color w:val="231F20"/>
          <w:spacing w:val="-6"/>
          <w:sz w:val="20"/>
        </w:rPr>
        <w:t xml:space="preserve"> </w:t>
      </w:r>
      <w:r>
        <w:rPr>
          <w:color w:val="231F20"/>
          <w:sz w:val="20"/>
        </w:rPr>
        <w:t>cyberstalked:</w:t>
      </w:r>
    </w:p>
    <w:p w14:paraId="0232BE08" w14:textId="77777777" w:rsidR="00894070" w:rsidRDefault="009F6793">
      <w:pPr>
        <w:pStyle w:val="BodyText"/>
        <w:spacing w:before="13"/>
        <w:rPr>
          <w:sz w:val="22"/>
        </w:rPr>
      </w:pPr>
      <w:r>
        <w:pict w14:anchorId="5445CBF0">
          <v:shape id="_x0000_s1562" type="#_x0000_t202" style="position:absolute;margin-left:119.3pt;margin-top:18.1pt;width:396.35pt;height:104.1pt;z-index:251501568;mso-wrap-distance-left:0;mso-wrap-distance-right:0;mso-position-horizontal-relative:page" fillcolor="#fee7de" strokecolor="#ea5b50" strokeweight=".5pt">
            <v:textbox inset="0,0,0,0">
              <w:txbxContent>
                <w:p w14:paraId="6095ADF2" w14:textId="77777777" w:rsidR="00894070" w:rsidRDefault="00894070">
                  <w:pPr>
                    <w:pStyle w:val="BodyText"/>
                    <w:spacing w:before="3"/>
                    <w:rPr>
                      <w:sz w:val="15"/>
                    </w:rPr>
                  </w:pPr>
                </w:p>
                <w:p w14:paraId="693EF541" w14:textId="77777777" w:rsidR="00894070" w:rsidRDefault="009B7AFD">
                  <w:pPr>
                    <w:pStyle w:val="BodyText"/>
                    <w:spacing w:line="206" w:lineRule="auto"/>
                    <w:ind w:left="221" w:right="317"/>
                    <w:rPr>
                      <w:sz w:val="11"/>
                    </w:rPr>
                  </w:pPr>
                  <w:r>
                    <w:rPr>
                      <w:color w:val="231F20"/>
                    </w:rPr>
                    <w:t>I would like a cheaper, easier method of being able to determine if your phone is being monitored. It’s enormously difficult being able to determine how your mobile phone is being monitored. I’ve reset my mobile phone back to its factory settings on 16 separate occasions, trying to delete any stalker ware that may have been installed. I’ve purchased a new mobile phone 8 months ago. I’ve purchased equipment to detect whether or not a GPS has been attached to my car, all of which have been very expensive.</w:t>
                  </w:r>
                  <w:r>
                    <w:rPr>
                      <w:color w:val="231F20"/>
                      <w:position w:val="7"/>
                      <w:sz w:val="11"/>
                    </w:rPr>
                    <w:t>126</w:t>
                  </w:r>
                </w:p>
              </w:txbxContent>
            </v:textbox>
            <w10:wrap type="topAndBottom" anchorx="page"/>
          </v:shape>
        </w:pict>
      </w:r>
    </w:p>
    <w:p w14:paraId="6FB0DF91" w14:textId="77777777" w:rsidR="00894070" w:rsidRDefault="00894070">
      <w:pPr>
        <w:pStyle w:val="BodyText"/>
        <w:spacing w:before="6"/>
        <w:rPr>
          <w:sz w:val="19"/>
        </w:rPr>
      </w:pPr>
    </w:p>
    <w:p w14:paraId="6F7DB363" w14:textId="77777777" w:rsidR="00894070" w:rsidRDefault="009B7AFD">
      <w:pPr>
        <w:pStyle w:val="ListParagraph"/>
        <w:numPr>
          <w:ilvl w:val="1"/>
          <w:numId w:val="161"/>
        </w:numPr>
        <w:tabs>
          <w:tab w:val="left" w:pos="1801"/>
          <w:tab w:val="left" w:pos="1802"/>
        </w:tabs>
        <w:spacing w:before="89" w:line="206" w:lineRule="auto"/>
        <w:ind w:right="1336"/>
        <w:rPr>
          <w:sz w:val="11"/>
        </w:rPr>
      </w:pPr>
      <w:r>
        <w:rPr>
          <w:color w:val="231F20"/>
          <w:sz w:val="20"/>
        </w:rPr>
        <w:t>A</w:t>
      </w:r>
      <w:r>
        <w:rPr>
          <w:color w:val="231F20"/>
          <w:spacing w:val="-11"/>
          <w:sz w:val="20"/>
        </w:rPr>
        <w:t xml:space="preserve"> </w:t>
      </w:r>
      <w:r>
        <w:rPr>
          <w:color w:val="231F20"/>
          <w:sz w:val="20"/>
        </w:rPr>
        <w:t>participant</w:t>
      </w:r>
      <w:r>
        <w:rPr>
          <w:color w:val="231F20"/>
          <w:spacing w:val="-11"/>
          <w:sz w:val="20"/>
        </w:rPr>
        <w:t xml:space="preserve"> </w:t>
      </w:r>
      <w:r>
        <w:rPr>
          <w:color w:val="231F20"/>
          <w:sz w:val="20"/>
        </w:rPr>
        <w:t>at</w:t>
      </w:r>
      <w:r>
        <w:rPr>
          <w:color w:val="231F20"/>
          <w:spacing w:val="-10"/>
          <w:sz w:val="20"/>
        </w:rPr>
        <w:t xml:space="preserve"> </w:t>
      </w:r>
      <w:r>
        <w:rPr>
          <w:color w:val="231F20"/>
          <w:sz w:val="20"/>
        </w:rPr>
        <w:t>the</w:t>
      </w:r>
      <w:r>
        <w:rPr>
          <w:color w:val="231F20"/>
          <w:spacing w:val="-11"/>
          <w:sz w:val="20"/>
        </w:rPr>
        <w:t xml:space="preserve"> </w:t>
      </w:r>
      <w:r>
        <w:rPr>
          <w:color w:val="231F20"/>
          <w:sz w:val="20"/>
        </w:rPr>
        <w:t>cyberstalking</w:t>
      </w:r>
      <w:r>
        <w:rPr>
          <w:color w:val="231F20"/>
          <w:spacing w:val="-11"/>
          <w:sz w:val="20"/>
        </w:rPr>
        <w:t xml:space="preserve"> </w:t>
      </w:r>
      <w:r>
        <w:rPr>
          <w:color w:val="231F20"/>
          <w:sz w:val="20"/>
        </w:rPr>
        <w:t>roundtable</w:t>
      </w:r>
      <w:r>
        <w:rPr>
          <w:color w:val="231F20"/>
          <w:spacing w:val="-10"/>
          <w:sz w:val="20"/>
        </w:rPr>
        <w:t xml:space="preserve"> </w:t>
      </w:r>
      <w:r>
        <w:rPr>
          <w:color w:val="231F20"/>
          <w:spacing w:val="-3"/>
          <w:sz w:val="20"/>
        </w:rPr>
        <w:t>told</w:t>
      </w:r>
      <w:r>
        <w:rPr>
          <w:color w:val="231F20"/>
          <w:spacing w:val="-11"/>
          <w:sz w:val="20"/>
        </w:rPr>
        <w:t xml:space="preserve"> </w:t>
      </w:r>
      <w:r>
        <w:rPr>
          <w:color w:val="231F20"/>
          <w:sz w:val="20"/>
        </w:rPr>
        <w:t>us</w:t>
      </w:r>
      <w:r>
        <w:rPr>
          <w:color w:val="231F20"/>
          <w:spacing w:val="-10"/>
          <w:sz w:val="20"/>
        </w:rPr>
        <w:t xml:space="preserve"> </w:t>
      </w:r>
      <w:r>
        <w:rPr>
          <w:color w:val="231F20"/>
          <w:sz w:val="20"/>
        </w:rPr>
        <w:t>that</w:t>
      </w:r>
      <w:r>
        <w:rPr>
          <w:color w:val="231F20"/>
          <w:spacing w:val="-11"/>
          <w:sz w:val="20"/>
        </w:rPr>
        <w:t xml:space="preserve"> </w:t>
      </w:r>
      <w:r>
        <w:rPr>
          <w:color w:val="231F20"/>
          <w:sz w:val="20"/>
        </w:rPr>
        <w:t>they</w:t>
      </w:r>
      <w:r>
        <w:rPr>
          <w:color w:val="231F20"/>
          <w:spacing w:val="-11"/>
          <w:sz w:val="20"/>
        </w:rPr>
        <w:t xml:space="preserve"> </w:t>
      </w:r>
      <w:r>
        <w:rPr>
          <w:color w:val="231F20"/>
          <w:sz w:val="20"/>
        </w:rPr>
        <w:t>very</w:t>
      </w:r>
      <w:r>
        <w:rPr>
          <w:color w:val="231F20"/>
          <w:spacing w:val="-10"/>
          <w:sz w:val="20"/>
        </w:rPr>
        <w:t xml:space="preserve"> </w:t>
      </w:r>
      <w:r>
        <w:rPr>
          <w:color w:val="231F20"/>
          <w:sz w:val="20"/>
        </w:rPr>
        <w:t>commonly</w:t>
      </w:r>
      <w:r>
        <w:rPr>
          <w:color w:val="231F20"/>
          <w:spacing w:val="-11"/>
          <w:sz w:val="20"/>
        </w:rPr>
        <w:t xml:space="preserve"> </w:t>
      </w:r>
      <w:r>
        <w:rPr>
          <w:color w:val="231F20"/>
          <w:spacing w:val="-3"/>
          <w:sz w:val="20"/>
        </w:rPr>
        <w:t xml:space="preserve">receive </w:t>
      </w:r>
      <w:r>
        <w:rPr>
          <w:color w:val="231F20"/>
          <w:sz w:val="20"/>
        </w:rPr>
        <w:t xml:space="preserve">requests </w:t>
      </w:r>
      <w:r>
        <w:rPr>
          <w:color w:val="231F20"/>
          <w:spacing w:val="-3"/>
          <w:sz w:val="20"/>
        </w:rPr>
        <w:t xml:space="preserve">for </w:t>
      </w:r>
      <w:r>
        <w:rPr>
          <w:color w:val="231F20"/>
          <w:sz w:val="20"/>
        </w:rPr>
        <w:t xml:space="preserve">practical help </w:t>
      </w:r>
      <w:r>
        <w:rPr>
          <w:color w:val="231F20"/>
          <w:spacing w:val="-3"/>
          <w:sz w:val="20"/>
        </w:rPr>
        <w:t xml:space="preserve">from frontline </w:t>
      </w:r>
      <w:r>
        <w:rPr>
          <w:color w:val="231F20"/>
          <w:sz w:val="20"/>
        </w:rPr>
        <w:t xml:space="preserve">support </w:t>
      </w:r>
      <w:r>
        <w:rPr>
          <w:color w:val="231F20"/>
          <w:spacing w:val="-3"/>
          <w:sz w:val="20"/>
        </w:rPr>
        <w:t xml:space="preserve">workers </w:t>
      </w:r>
      <w:r>
        <w:rPr>
          <w:color w:val="231F20"/>
          <w:sz w:val="20"/>
        </w:rPr>
        <w:t>and victim survivors, including requests</w:t>
      </w:r>
      <w:r>
        <w:rPr>
          <w:color w:val="231F20"/>
          <w:spacing w:val="-9"/>
          <w:sz w:val="20"/>
        </w:rPr>
        <w:t xml:space="preserve"> </w:t>
      </w:r>
      <w:r>
        <w:rPr>
          <w:color w:val="231F20"/>
          <w:sz w:val="20"/>
        </w:rPr>
        <w:t>for:</w:t>
      </w:r>
      <w:r>
        <w:rPr>
          <w:color w:val="231F20"/>
          <w:position w:val="7"/>
          <w:sz w:val="11"/>
        </w:rPr>
        <w:t>127</w:t>
      </w:r>
    </w:p>
    <w:p w14:paraId="4457DB85" w14:textId="77777777" w:rsidR="00894070" w:rsidRDefault="009B7AFD">
      <w:pPr>
        <w:pStyle w:val="ListParagraph"/>
        <w:numPr>
          <w:ilvl w:val="2"/>
          <w:numId w:val="161"/>
        </w:numPr>
        <w:tabs>
          <w:tab w:val="left" w:pos="2141"/>
          <w:tab w:val="left" w:pos="2142"/>
        </w:tabs>
        <w:spacing w:before="92"/>
        <w:ind w:hanging="340"/>
        <w:rPr>
          <w:sz w:val="11"/>
        </w:rPr>
      </w:pPr>
      <w:r>
        <w:rPr>
          <w:color w:val="231F20"/>
          <w:sz w:val="20"/>
        </w:rPr>
        <w:t xml:space="preserve">safety check services </w:t>
      </w:r>
      <w:r>
        <w:rPr>
          <w:color w:val="231F20"/>
          <w:spacing w:val="-4"/>
          <w:sz w:val="20"/>
        </w:rPr>
        <w:t xml:space="preserve">(for </w:t>
      </w:r>
      <w:r>
        <w:rPr>
          <w:color w:val="231F20"/>
          <w:spacing w:val="-3"/>
          <w:sz w:val="20"/>
        </w:rPr>
        <w:t xml:space="preserve">example, </w:t>
      </w:r>
      <w:r>
        <w:rPr>
          <w:color w:val="231F20"/>
          <w:sz w:val="20"/>
        </w:rPr>
        <w:t xml:space="preserve">‘tech-sweeping’ or </w:t>
      </w:r>
      <w:r>
        <w:rPr>
          <w:color w:val="231F20"/>
          <w:spacing w:val="-3"/>
          <w:sz w:val="20"/>
        </w:rPr>
        <w:t xml:space="preserve">device </w:t>
      </w:r>
      <w:r>
        <w:rPr>
          <w:color w:val="231F20"/>
          <w:sz w:val="20"/>
        </w:rPr>
        <w:t>cleaning</w:t>
      </w:r>
      <w:r>
        <w:rPr>
          <w:color w:val="231F20"/>
          <w:spacing w:val="-37"/>
          <w:sz w:val="20"/>
        </w:rPr>
        <w:t xml:space="preserve"> </w:t>
      </w:r>
      <w:r>
        <w:rPr>
          <w:color w:val="231F20"/>
          <w:sz w:val="20"/>
        </w:rPr>
        <w:t>services)</w:t>
      </w:r>
      <w:r>
        <w:rPr>
          <w:color w:val="231F20"/>
          <w:position w:val="7"/>
          <w:sz w:val="11"/>
        </w:rPr>
        <w:t>128</w:t>
      </w:r>
    </w:p>
    <w:p w14:paraId="798D4F36" w14:textId="77777777" w:rsidR="00894070" w:rsidRDefault="009B7AFD">
      <w:pPr>
        <w:pStyle w:val="ListParagraph"/>
        <w:numPr>
          <w:ilvl w:val="2"/>
          <w:numId w:val="161"/>
        </w:numPr>
        <w:tabs>
          <w:tab w:val="left" w:pos="2141"/>
          <w:tab w:val="left" w:pos="2142"/>
        </w:tabs>
        <w:spacing w:before="47"/>
        <w:ind w:hanging="340"/>
        <w:rPr>
          <w:sz w:val="11"/>
        </w:rPr>
      </w:pPr>
      <w:r>
        <w:rPr>
          <w:color w:val="231F20"/>
          <w:spacing w:val="-3"/>
          <w:sz w:val="20"/>
        </w:rPr>
        <w:t xml:space="preserve">removal </w:t>
      </w:r>
      <w:r>
        <w:rPr>
          <w:color w:val="231F20"/>
          <w:sz w:val="20"/>
        </w:rPr>
        <w:t>of physical or digital tracking</w:t>
      </w:r>
      <w:r>
        <w:rPr>
          <w:color w:val="231F20"/>
          <w:spacing w:val="-24"/>
          <w:sz w:val="20"/>
        </w:rPr>
        <w:t xml:space="preserve"> </w:t>
      </w:r>
      <w:r>
        <w:rPr>
          <w:color w:val="231F20"/>
          <w:sz w:val="20"/>
        </w:rPr>
        <w:t>devices</w:t>
      </w:r>
      <w:r>
        <w:rPr>
          <w:color w:val="231F20"/>
          <w:position w:val="7"/>
          <w:sz w:val="11"/>
        </w:rPr>
        <w:t>129</w:t>
      </w:r>
    </w:p>
    <w:p w14:paraId="3D24B8EA" w14:textId="77777777" w:rsidR="00894070" w:rsidRDefault="009B7AFD">
      <w:pPr>
        <w:pStyle w:val="ListParagraph"/>
        <w:numPr>
          <w:ilvl w:val="2"/>
          <w:numId w:val="161"/>
        </w:numPr>
        <w:tabs>
          <w:tab w:val="left" w:pos="2141"/>
          <w:tab w:val="left" w:pos="2142"/>
        </w:tabs>
        <w:spacing w:before="48"/>
        <w:ind w:hanging="340"/>
        <w:rPr>
          <w:sz w:val="20"/>
        </w:rPr>
      </w:pPr>
      <w:r>
        <w:rPr>
          <w:color w:val="231F20"/>
          <w:sz w:val="20"/>
        </w:rPr>
        <w:t xml:space="preserve">replacement </w:t>
      </w:r>
      <w:r>
        <w:rPr>
          <w:color w:val="231F20"/>
          <w:spacing w:val="-3"/>
          <w:sz w:val="20"/>
        </w:rPr>
        <w:t xml:space="preserve">device </w:t>
      </w:r>
      <w:r>
        <w:rPr>
          <w:color w:val="231F20"/>
          <w:sz w:val="20"/>
        </w:rPr>
        <w:t>services</w:t>
      </w:r>
      <w:r>
        <w:rPr>
          <w:color w:val="231F20"/>
          <w:position w:val="7"/>
          <w:sz w:val="11"/>
        </w:rPr>
        <w:t xml:space="preserve">130 </w:t>
      </w:r>
      <w:r>
        <w:rPr>
          <w:color w:val="231F20"/>
          <w:spacing w:val="-4"/>
          <w:sz w:val="20"/>
        </w:rPr>
        <w:t xml:space="preserve">(for </w:t>
      </w:r>
      <w:r>
        <w:rPr>
          <w:color w:val="231F20"/>
          <w:spacing w:val="-3"/>
          <w:sz w:val="20"/>
        </w:rPr>
        <w:t xml:space="preserve">example </w:t>
      </w:r>
      <w:r>
        <w:rPr>
          <w:color w:val="231F20"/>
          <w:sz w:val="20"/>
        </w:rPr>
        <w:t>a replacement</w:t>
      </w:r>
      <w:r>
        <w:rPr>
          <w:color w:val="231F20"/>
          <w:spacing w:val="-24"/>
          <w:sz w:val="20"/>
        </w:rPr>
        <w:t xml:space="preserve"> </w:t>
      </w:r>
      <w:r>
        <w:rPr>
          <w:color w:val="231F20"/>
          <w:spacing w:val="-3"/>
          <w:sz w:val="20"/>
        </w:rPr>
        <w:t>phone).</w:t>
      </w:r>
    </w:p>
    <w:p w14:paraId="44D6AADF" w14:textId="77777777" w:rsidR="00894070" w:rsidRDefault="009B7AFD">
      <w:pPr>
        <w:pStyle w:val="ListParagraph"/>
        <w:numPr>
          <w:ilvl w:val="1"/>
          <w:numId w:val="161"/>
        </w:numPr>
        <w:tabs>
          <w:tab w:val="left" w:pos="1801"/>
          <w:tab w:val="left" w:pos="1802"/>
        </w:tabs>
        <w:spacing w:before="79" w:line="206" w:lineRule="auto"/>
        <w:ind w:right="1506"/>
        <w:rPr>
          <w:sz w:val="11"/>
        </w:rPr>
      </w:pPr>
      <w:r>
        <w:rPr>
          <w:color w:val="231F20"/>
          <w:sz w:val="20"/>
        </w:rPr>
        <w:t xml:space="preserve">People experiencing cyberstalking need these practical supports to identify and stop the abuse so that they can </w:t>
      </w:r>
      <w:r>
        <w:rPr>
          <w:color w:val="231F20"/>
          <w:spacing w:val="-4"/>
          <w:sz w:val="20"/>
        </w:rPr>
        <w:t xml:space="preserve">move </w:t>
      </w:r>
      <w:r>
        <w:rPr>
          <w:color w:val="231F20"/>
          <w:sz w:val="20"/>
        </w:rPr>
        <w:t xml:space="preserve">forward with their lives. Some might need help collecting evidence and a </w:t>
      </w:r>
      <w:r>
        <w:rPr>
          <w:color w:val="231F20"/>
          <w:spacing w:val="-3"/>
          <w:sz w:val="20"/>
        </w:rPr>
        <w:t xml:space="preserve">forensic </w:t>
      </w:r>
      <w:r>
        <w:rPr>
          <w:color w:val="231F20"/>
          <w:sz w:val="20"/>
        </w:rPr>
        <w:t>analysis.</w:t>
      </w:r>
      <w:r>
        <w:rPr>
          <w:color w:val="231F20"/>
          <w:position w:val="7"/>
          <w:sz w:val="11"/>
        </w:rPr>
        <w:t xml:space="preserve">131 </w:t>
      </w:r>
      <w:r>
        <w:rPr>
          <w:color w:val="231F20"/>
          <w:spacing w:val="-6"/>
          <w:sz w:val="20"/>
        </w:rPr>
        <w:t xml:space="preserve">We </w:t>
      </w:r>
      <w:r>
        <w:rPr>
          <w:color w:val="231F20"/>
          <w:sz w:val="20"/>
        </w:rPr>
        <w:t>also heard that people need help</w:t>
      </w:r>
      <w:r>
        <w:rPr>
          <w:color w:val="231F20"/>
          <w:spacing w:val="-10"/>
          <w:sz w:val="20"/>
        </w:rPr>
        <w:t xml:space="preserve"> </w:t>
      </w:r>
      <w:r>
        <w:rPr>
          <w:color w:val="231F20"/>
          <w:sz w:val="20"/>
        </w:rPr>
        <w:t>with</w:t>
      </w:r>
      <w:r>
        <w:rPr>
          <w:color w:val="231F20"/>
          <w:spacing w:val="-10"/>
          <w:sz w:val="20"/>
        </w:rPr>
        <w:t xml:space="preserve"> </w:t>
      </w:r>
      <w:r>
        <w:rPr>
          <w:color w:val="231F20"/>
          <w:sz w:val="20"/>
        </w:rPr>
        <w:t>accessing</w:t>
      </w:r>
      <w:r>
        <w:rPr>
          <w:color w:val="231F20"/>
          <w:spacing w:val="-10"/>
          <w:sz w:val="20"/>
        </w:rPr>
        <w:t xml:space="preserve"> </w:t>
      </w:r>
      <w:r>
        <w:rPr>
          <w:color w:val="231F20"/>
          <w:spacing w:val="-3"/>
          <w:sz w:val="20"/>
        </w:rPr>
        <w:t>safe</w:t>
      </w:r>
      <w:r>
        <w:rPr>
          <w:color w:val="231F20"/>
          <w:spacing w:val="-9"/>
          <w:sz w:val="20"/>
        </w:rPr>
        <w:t xml:space="preserve"> </w:t>
      </w:r>
      <w:r>
        <w:rPr>
          <w:color w:val="231F20"/>
          <w:sz w:val="20"/>
        </w:rPr>
        <w:t>technology</w:t>
      </w:r>
      <w:r>
        <w:rPr>
          <w:color w:val="231F20"/>
          <w:spacing w:val="-10"/>
          <w:sz w:val="20"/>
        </w:rPr>
        <w:t xml:space="preserve"> </w:t>
      </w:r>
      <w:r>
        <w:rPr>
          <w:color w:val="231F20"/>
          <w:sz w:val="20"/>
        </w:rPr>
        <w:t>so</w:t>
      </w:r>
      <w:r>
        <w:rPr>
          <w:color w:val="231F20"/>
          <w:spacing w:val="-10"/>
          <w:sz w:val="20"/>
        </w:rPr>
        <w:t xml:space="preserve"> </w:t>
      </w:r>
      <w:r>
        <w:rPr>
          <w:color w:val="231F20"/>
          <w:sz w:val="20"/>
        </w:rPr>
        <w:t>that</w:t>
      </w:r>
      <w:r>
        <w:rPr>
          <w:color w:val="231F20"/>
          <w:spacing w:val="-10"/>
          <w:sz w:val="20"/>
        </w:rPr>
        <w:t xml:space="preserve"> </w:t>
      </w:r>
      <w:r>
        <w:rPr>
          <w:color w:val="231F20"/>
          <w:sz w:val="20"/>
        </w:rPr>
        <w:t>they</w:t>
      </w:r>
      <w:r>
        <w:rPr>
          <w:color w:val="231F20"/>
          <w:spacing w:val="-9"/>
          <w:sz w:val="20"/>
        </w:rPr>
        <w:t xml:space="preserve"> </w:t>
      </w:r>
      <w:r>
        <w:rPr>
          <w:color w:val="231F20"/>
          <w:sz w:val="20"/>
        </w:rPr>
        <w:t>can</w:t>
      </w:r>
      <w:r>
        <w:rPr>
          <w:color w:val="231F20"/>
          <w:spacing w:val="-10"/>
          <w:sz w:val="20"/>
        </w:rPr>
        <w:t xml:space="preserve"> </w:t>
      </w:r>
      <w:r>
        <w:rPr>
          <w:color w:val="231F20"/>
          <w:sz w:val="20"/>
        </w:rPr>
        <w:t>participate</w:t>
      </w:r>
      <w:r>
        <w:rPr>
          <w:color w:val="231F20"/>
          <w:spacing w:val="-10"/>
          <w:sz w:val="20"/>
        </w:rPr>
        <w:t xml:space="preserve"> </w:t>
      </w:r>
      <w:r>
        <w:rPr>
          <w:color w:val="231F20"/>
          <w:spacing w:val="-3"/>
          <w:sz w:val="20"/>
        </w:rPr>
        <w:t>safely</w:t>
      </w:r>
      <w:r>
        <w:rPr>
          <w:color w:val="231F20"/>
          <w:spacing w:val="-10"/>
          <w:sz w:val="20"/>
        </w:rPr>
        <w:t xml:space="preserve"> </w:t>
      </w:r>
      <w:r>
        <w:rPr>
          <w:color w:val="231F20"/>
          <w:sz w:val="20"/>
        </w:rPr>
        <w:t>in</w:t>
      </w:r>
      <w:r>
        <w:rPr>
          <w:color w:val="231F20"/>
          <w:spacing w:val="-9"/>
          <w:sz w:val="20"/>
        </w:rPr>
        <w:t xml:space="preserve"> </w:t>
      </w:r>
      <w:r>
        <w:rPr>
          <w:color w:val="231F20"/>
          <w:sz w:val="20"/>
        </w:rPr>
        <w:t>social</w:t>
      </w:r>
      <w:r>
        <w:rPr>
          <w:color w:val="231F20"/>
          <w:spacing w:val="-10"/>
          <w:sz w:val="20"/>
        </w:rPr>
        <w:t xml:space="preserve"> </w:t>
      </w:r>
      <w:r>
        <w:rPr>
          <w:color w:val="231F20"/>
          <w:sz w:val="20"/>
        </w:rPr>
        <w:t>and economic</w:t>
      </w:r>
      <w:r>
        <w:rPr>
          <w:color w:val="231F20"/>
          <w:spacing w:val="-5"/>
          <w:sz w:val="20"/>
        </w:rPr>
        <w:t xml:space="preserve"> </w:t>
      </w:r>
      <w:r>
        <w:rPr>
          <w:color w:val="231F20"/>
          <w:sz w:val="20"/>
        </w:rPr>
        <w:t>life.</w:t>
      </w:r>
      <w:r>
        <w:rPr>
          <w:color w:val="231F20"/>
          <w:position w:val="7"/>
          <w:sz w:val="11"/>
        </w:rPr>
        <w:t>132</w:t>
      </w:r>
    </w:p>
    <w:p w14:paraId="7A65F9E3" w14:textId="77777777" w:rsidR="00894070" w:rsidRDefault="00894070">
      <w:pPr>
        <w:pStyle w:val="BodyText"/>
      </w:pPr>
    </w:p>
    <w:p w14:paraId="3530613E" w14:textId="77777777" w:rsidR="00894070" w:rsidRDefault="009F6793">
      <w:pPr>
        <w:pStyle w:val="BodyText"/>
        <w:spacing w:before="11"/>
        <w:rPr>
          <w:sz w:val="24"/>
        </w:rPr>
      </w:pPr>
      <w:r>
        <w:pict w14:anchorId="14AD8610">
          <v:line id="_x0000_s1561" style="position:absolute;z-index:251503616;mso-wrap-distance-left:0;mso-wrap-distance-right:0;mso-position-horizontal-relative:page" from="79.35pt,19.7pt" to="515.9pt,19.7pt" strokecolor="#f8cabc" strokeweight="1pt">
            <w10:wrap type="topAndBottom" anchorx="page"/>
          </v:line>
        </w:pict>
      </w:r>
    </w:p>
    <w:p w14:paraId="1C0F5108" w14:textId="77777777" w:rsidR="00894070" w:rsidRDefault="009B7AFD">
      <w:pPr>
        <w:pStyle w:val="ListParagraph"/>
        <w:numPr>
          <w:ilvl w:val="0"/>
          <w:numId w:val="144"/>
        </w:numPr>
        <w:tabs>
          <w:tab w:val="left" w:pos="1800"/>
          <w:tab w:val="left" w:pos="1802"/>
        </w:tabs>
        <w:spacing w:before="91" w:line="170" w:lineRule="exact"/>
        <w:rPr>
          <w:sz w:val="13"/>
        </w:rPr>
      </w:pPr>
      <w:r>
        <w:rPr>
          <w:color w:val="231F20"/>
          <w:spacing w:val="2"/>
          <w:sz w:val="13"/>
        </w:rPr>
        <w:t xml:space="preserve">Delanie </w:t>
      </w:r>
      <w:r>
        <w:rPr>
          <w:color w:val="231F20"/>
          <w:sz w:val="13"/>
        </w:rPr>
        <w:t xml:space="preserve">Woodlock et </w:t>
      </w:r>
      <w:r>
        <w:rPr>
          <w:color w:val="231F20"/>
          <w:spacing w:val="2"/>
          <w:sz w:val="13"/>
        </w:rPr>
        <w:t xml:space="preserve">al, </w:t>
      </w:r>
      <w:r>
        <w:rPr>
          <w:i/>
          <w:color w:val="231F20"/>
          <w:sz w:val="13"/>
        </w:rPr>
        <w:t xml:space="preserve">Second National Survey on Technology Abuse in Australia </w:t>
      </w:r>
      <w:r>
        <w:rPr>
          <w:color w:val="231F20"/>
          <w:spacing w:val="2"/>
          <w:sz w:val="13"/>
        </w:rPr>
        <w:t xml:space="preserve">(Report, </w:t>
      </w:r>
      <w:r>
        <w:rPr>
          <w:color w:val="231F20"/>
          <w:sz w:val="13"/>
        </w:rPr>
        <w:t>24 November</w:t>
      </w:r>
      <w:r>
        <w:rPr>
          <w:color w:val="231F20"/>
          <w:spacing w:val="8"/>
          <w:sz w:val="13"/>
        </w:rPr>
        <w:t xml:space="preserve"> </w:t>
      </w:r>
      <w:r>
        <w:rPr>
          <w:color w:val="231F20"/>
          <w:sz w:val="13"/>
        </w:rPr>
        <w:t>2020).</w:t>
      </w:r>
    </w:p>
    <w:p w14:paraId="12A45AA7" w14:textId="77777777" w:rsidR="00894070" w:rsidRDefault="009B7AFD">
      <w:pPr>
        <w:pStyle w:val="ListParagraph"/>
        <w:numPr>
          <w:ilvl w:val="0"/>
          <w:numId w:val="144"/>
        </w:numPr>
        <w:tabs>
          <w:tab w:val="left" w:pos="1801"/>
          <w:tab w:val="left" w:pos="1802"/>
        </w:tabs>
        <w:spacing w:line="160"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46367BBB" w14:textId="77777777" w:rsidR="00894070" w:rsidRDefault="009B7AFD">
      <w:pPr>
        <w:pStyle w:val="ListParagraph"/>
        <w:numPr>
          <w:ilvl w:val="0"/>
          <w:numId w:val="144"/>
        </w:numPr>
        <w:tabs>
          <w:tab w:val="left" w:pos="1801"/>
          <w:tab w:val="left" w:pos="1802"/>
        </w:tabs>
        <w:spacing w:before="6"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33357E37" w14:textId="77777777" w:rsidR="00894070" w:rsidRDefault="009B7AFD">
      <w:pPr>
        <w:pStyle w:val="ListParagraph"/>
        <w:numPr>
          <w:ilvl w:val="0"/>
          <w:numId w:val="144"/>
        </w:numPr>
        <w:tabs>
          <w:tab w:val="left" w:pos="1800"/>
          <w:tab w:val="left" w:pos="1802"/>
        </w:tabs>
        <w:spacing w:line="153"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2637D02F" w14:textId="77777777" w:rsidR="00894070" w:rsidRDefault="009B7AFD">
      <w:pPr>
        <w:pStyle w:val="ListParagraph"/>
        <w:numPr>
          <w:ilvl w:val="0"/>
          <w:numId w:val="144"/>
        </w:numPr>
        <w:tabs>
          <w:tab w:val="left" w:pos="1801"/>
          <w:tab w:val="left" w:pos="1802"/>
        </w:tabs>
        <w:spacing w:line="160" w:lineRule="exact"/>
        <w:rPr>
          <w:sz w:val="13"/>
        </w:rPr>
      </w:pPr>
      <w:r>
        <w:rPr>
          <w:color w:val="231F20"/>
          <w:sz w:val="13"/>
        </w:rPr>
        <w:t xml:space="preserve">These </w:t>
      </w:r>
      <w:r>
        <w:rPr>
          <w:color w:val="231F20"/>
          <w:spacing w:val="2"/>
          <w:sz w:val="13"/>
        </w:rPr>
        <w:t xml:space="preserve">services </w:t>
      </w:r>
      <w:r>
        <w:rPr>
          <w:color w:val="231F20"/>
          <w:sz w:val="13"/>
        </w:rPr>
        <w:t xml:space="preserve">detect and remove </w:t>
      </w:r>
      <w:r>
        <w:rPr>
          <w:color w:val="231F20"/>
          <w:spacing w:val="2"/>
          <w:sz w:val="13"/>
        </w:rPr>
        <w:t xml:space="preserve">surveillance </w:t>
      </w:r>
      <w:r>
        <w:rPr>
          <w:color w:val="231F20"/>
          <w:sz w:val="13"/>
        </w:rPr>
        <w:t xml:space="preserve">devices or software, such as spyware, tracking devices or </w:t>
      </w:r>
      <w:r>
        <w:rPr>
          <w:color w:val="231F20"/>
          <w:spacing w:val="2"/>
          <w:sz w:val="13"/>
        </w:rPr>
        <w:t>vulnerabilities</w:t>
      </w:r>
      <w:r>
        <w:rPr>
          <w:color w:val="231F20"/>
          <w:spacing w:val="22"/>
          <w:sz w:val="13"/>
        </w:rPr>
        <w:t xml:space="preserve"> </w:t>
      </w:r>
      <w:r>
        <w:rPr>
          <w:color w:val="231F20"/>
          <w:sz w:val="13"/>
        </w:rPr>
        <w:t>to</w:t>
      </w:r>
    </w:p>
    <w:p w14:paraId="463A6A80" w14:textId="77777777" w:rsidR="00894070" w:rsidRDefault="009B7AFD">
      <w:pPr>
        <w:spacing w:line="160" w:lineRule="exact"/>
        <w:ind w:left="1801"/>
        <w:rPr>
          <w:sz w:val="13"/>
        </w:rPr>
      </w:pPr>
      <w:r>
        <w:rPr>
          <w:color w:val="231F20"/>
          <w:sz w:val="13"/>
        </w:rPr>
        <w:t>hacking.</w:t>
      </w:r>
    </w:p>
    <w:p w14:paraId="4A1478A8" w14:textId="77777777" w:rsidR="00894070" w:rsidRDefault="009B7AFD">
      <w:pPr>
        <w:pStyle w:val="ListParagraph"/>
        <w:numPr>
          <w:ilvl w:val="0"/>
          <w:numId w:val="144"/>
        </w:numPr>
        <w:tabs>
          <w:tab w:val="left" w:pos="1800"/>
          <w:tab w:val="left" w:pos="1802"/>
        </w:tabs>
        <w:spacing w:line="160" w:lineRule="exact"/>
        <w:rPr>
          <w:sz w:val="13"/>
        </w:rPr>
      </w:pPr>
      <w:r>
        <w:rPr>
          <w:color w:val="231F20"/>
          <w:spacing w:val="2"/>
          <w:sz w:val="13"/>
        </w:rPr>
        <w:t xml:space="preserve">Submission 115 </w:t>
      </w:r>
      <w:r>
        <w:rPr>
          <w:color w:val="231F20"/>
          <w:sz w:val="13"/>
        </w:rPr>
        <w:t xml:space="preserve">(Victoria </w:t>
      </w:r>
      <w:r>
        <w:rPr>
          <w:color w:val="231F20"/>
          <w:spacing w:val="2"/>
          <w:sz w:val="13"/>
        </w:rPr>
        <w:t>Police—supplementary</w:t>
      </w:r>
      <w:r>
        <w:rPr>
          <w:color w:val="231F20"/>
          <w:spacing w:val="-4"/>
          <w:sz w:val="13"/>
        </w:rPr>
        <w:t xml:space="preserve"> </w:t>
      </w:r>
      <w:r>
        <w:rPr>
          <w:color w:val="231F20"/>
          <w:sz w:val="13"/>
        </w:rPr>
        <w:t>response).</w:t>
      </w:r>
    </w:p>
    <w:p w14:paraId="0E659BCD" w14:textId="77777777" w:rsidR="00894070" w:rsidRDefault="009B7AFD">
      <w:pPr>
        <w:pStyle w:val="ListParagraph"/>
        <w:numPr>
          <w:ilvl w:val="0"/>
          <w:numId w:val="144"/>
        </w:numPr>
        <w:tabs>
          <w:tab w:val="left" w:pos="1800"/>
          <w:tab w:val="left" w:pos="1802"/>
        </w:tabs>
        <w:spacing w:before="6" w:line="213" w:lineRule="auto"/>
        <w:ind w:right="1235"/>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 xml:space="preserve">of Crime Commissioner); Consultations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 xml:space="preserve">Violence Resource Centre Victoria), 23 </w:t>
      </w:r>
      <w:r>
        <w:rPr>
          <w:color w:val="231F20"/>
          <w:spacing w:val="2"/>
          <w:sz w:val="13"/>
        </w:rPr>
        <w:t>(Cyberstalking</w:t>
      </w:r>
      <w:r>
        <w:rPr>
          <w:color w:val="231F20"/>
          <w:sz w:val="13"/>
        </w:rPr>
        <w:t xml:space="preserve"> roundtable).</w:t>
      </w:r>
    </w:p>
    <w:p w14:paraId="6B16C7FC" w14:textId="77777777" w:rsidR="00894070" w:rsidRDefault="009F6793">
      <w:pPr>
        <w:pStyle w:val="ListParagraph"/>
        <w:numPr>
          <w:ilvl w:val="0"/>
          <w:numId w:val="144"/>
        </w:numPr>
        <w:tabs>
          <w:tab w:val="left" w:pos="1800"/>
          <w:tab w:val="left" w:pos="1802"/>
        </w:tabs>
        <w:spacing w:line="153" w:lineRule="exact"/>
        <w:rPr>
          <w:sz w:val="13"/>
        </w:rPr>
      </w:pPr>
      <w:r>
        <w:pict w14:anchorId="5FFCDF6A">
          <v:shape id="_x0000_s1560" type="#_x0000_t202" style="position:absolute;left:0;text-align:left;margin-left:548.9pt;margin-top:3.35pt;width:13.35pt;height:14.1pt;z-index:251576320;mso-position-horizontal-relative:page" filled="f" stroked="f">
            <v:textbox inset="0,0,0,0">
              <w:txbxContent>
                <w:p w14:paraId="35EF8199" w14:textId="77777777" w:rsidR="00894070" w:rsidRDefault="009B7AFD">
                  <w:pPr>
                    <w:spacing w:line="282" w:lineRule="exact"/>
                    <w:rPr>
                      <w:b/>
                      <w:sz w:val="24"/>
                    </w:rPr>
                  </w:pPr>
                  <w:r>
                    <w:rPr>
                      <w:b/>
                      <w:color w:val="EA5B50"/>
                      <w:spacing w:val="-2"/>
                      <w:sz w:val="24"/>
                    </w:rPr>
                    <w:t>45</w:t>
                  </w:r>
                </w:p>
              </w:txbxContent>
            </v:textbox>
            <w10:wrap anchorx="page"/>
          </v:shape>
        </w:pict>
      </w:r>
      <w:r w:rsidR="009B7AFD">
        <w:rPr>
          <w:color w:val="231F20"/>
          <w:sz w:val="13"/>
        </w:rPr>
        <w:t xml:space="preserve">Consultation 23 </w:t>
      </w:r>
      <w:r w:rsidR="009B7AFD">
        <w:rPr>
          <w:color w:val="231F20"/>
          <w:spacing w:val="2"/>
          <w:sz w:val="13"/>
        </w:rPr>
        <w:t>(Cyberstalking</w:t>
      </w:r>
      <w:r w:rsidR="009B7AFD">
        <w:rPr>
          <w:color w:val="231F20"/>
          <w:sz w:val="13"/>
        </w:rPr>
        <w:t xml:space="preserve"> roundtable).</w:t>
      </w:r>
    </w:p>
    <w:p w14:paraId="6402F772" w14:textId="77777777" w:rsidR="00894070" w:rsidRDefault="009B7AFD">
      <w:pPr>
        <w:pStyle w:val="ListParagraph"/>
        <w:numPr>
          <w:ilvl w:val="0"/>
          <w:numId w:val="144"/>
        </w:numPr>
        <w:tabs>
          <w:tab w:val="left" w:pos="1801"/>
          <w:tab w:val="left" w:pos="1802"/>
        </w:tabs>
        <w:spacing w:line="170" w:lineRule="exact"/>
        <w:rPr>
          <w:sz w:val="13"/>
        </w:rPr>
      </w:pPr>
      <w:r>
        <w:rPr>
          <w:color w:val="231F20"/>
          <w:sz w:val="13"/>
        </w:rPr>
        <w:t>Ibid.</w:t>
      </w:r>
    </w:p>
    <w:p w14:paraId="60DBB5A4" w14:textId="77777777" w:rsidR="00894070" w:rsidRDefault="00894070">
      <w:pPr>
        <w:spacing w:line="170" w:lineRule="exact"/>
        <w:rPr>
          <w:sz w:val="13"/>
        </w:rPr>
        <w:sectPr w:rsidR="00894070">
          <w:pgSz w:w="11910" w:h="16840"/>
          <w:pgMar w:top="840" w:right="420" w:bottom="280" w:left="580" w:header="0" w:footer="0" w:gutter="0"/>
          <w:cols w:space="720"/>
        </w:sectPr>
      </w:pPr>
    </w:p>
    <w:p w14:paraId="67D43DA0" w14:textId="77777777" w:rsidR="00894070" w:rsidRDefault="00894070">
      <w:pPr>
        <w:pStyle w:val="BodyText"/>
      </w:pPr>
    </w:p>
    <w:p w14:paraId="544D164A" w14:textId="77777777" w:rsidR="00894070" w:rsidRDefault="00894070">
      <w:pPr>
        <w:pStyle w:val="BodyText"/>
      </w:pPr>
    </w:p>
    <w:p w14:paraId="2C5CF5B1" w14:textId="77777777" w:rsidR="00894070" w:rsidRDefault="00894070">
      <w:pPr>
        <w:pStyle w:val="BodyText"/>
      </w:pPr>
    </w:p>
    <w:p w14:paraId="054A54DB" w14:textId="77777777" w:rsidR="00894070" w:rsidRDefault="00894070">
      <w:pPr>
        <w:pStyle w:val="BodyText"/>
        <w:spacing w:before="11"/>
        <w:rPr>
          <w:sz w:val="18"/>
        </w:rPr>
      </w:pPr>
    </w:p>
    <w:p w14:paraId="0FA608F6" w14:textId="77777777" w:rsidR="00894070" w:rsidRDefault="009B7AFD">
      <w:pPr>
        <w:pStyle w:val="ListParagraph"/>
        <w:numPr>
          <w:ilvl w:val="1"/>
          <w:numId w:val="161"/>
        </w:numPr>
        <w:tabs>
          <w:tab w:val="left" w:pos="1801"/>
          <w:tab w:val="left" w:pos="1802"/>
        </w:tabs>
        <w:spacing w:line="206" w:lineRule="auto"/>
        <w:ind w:right="1448"/>
        <w:rPr>
          <w:sz w:val="11"/>
        </w:rPr>
      </w:pPr>
      <w:bookmarkStart w:id="65" w:name="_bookmark33"/>
      <w:bookmarkEnd w:id="65"/>
      <w:r>
        <w:rPr>
          <w:color w:val="231F20"/>
          <w:sz w:val="20"/>
        </w:rPr>
        <w:t>The Victims of Crime Commissioner recommended that victim support services be ‘bolstered</w:t>
      </w:r>
      <w:r>
        <w:rPr>
          <w:color w:val="231F20"/>
          <w:spacing w:val="-11"/>
          <w:sz w:val="20"/>
        </w:rPr>
        <w:t xml:space="preserve"> </w:t>
      </w:r>
      <w:r>
        <w:rPr>
          <w:color w:val="231F20"/>
          <w:sz w:val="20"/>
        </w:rPr>
        <w:t>to</w:t>
      </w:r>
      <w:r>
        <w:rPr>
          <w:color w:val="231F20"/>
          <w:spacing w:val="-10"/>
          <w:sz w:val="20"/>
        </w:rPr>
        <w:t xml:space="preserve"> </w:t>
      </w:r>
      <w:r>
        <w:rPr>
          <w:color w:val="231F20"/>
          <w:sz w:val="20"/>
        </w:rPr>
        <w:t>enhance</w:t>
      </w:r>
      <w:r>
        <w:rPr>
          <w:color w:val="231F20"/>
          <w:spacing w:val="-10"/>
          <w:sz w:val="20"/>
        </w:rPr>
        <w:t xml:space="preserve"> </w:t>
      </w:r>
      <w:r>
        <w:rPr>
          <w:color w:val="231F20"/>
          <w:sz w:val="20"/>
        </w:rPr>
        <w:t>the</w:t>
      </w:r>
      <w:r>
        <w:rPr>
          <w:color w:val="231F20"/>
          <w:spacing w:val="-10"/>
          <w:sz w:val="20"/>
        </w:rPr>
        <w:t xml:space="preserve"> </w:t>
      </w:r>
      <w:r>
        <w:rPr>
          <w:color w:val="231F20"/>
          <w:sz w:val="20"/>
        </w:rPr>
        <w:t>availability</w:t>
      </w:r>
      <w:r>
        <w:rPr>
          <w:color w:val="231F20"/>
          <w:spacing w:val="-10"/>
          <w:sz w:val="20"/>
        </w:rPr>
        <w:t xml:space="preserve"> </w:t>
      </w:r>
      <w:r>
        <w:rPr>
          <w:color w:val="231F20"/>
          <w:sz w:val="20"/>
        </w:rPr>
        <w:t>of</w:t>
      </w:r>
      <w:r>
        <w:rPr>
          <w:color w:val="231F20"/>
          <w:spacing w:val="-10"/>
          <w:sz w:val="20"/>
        </w:rPr>
        <w:t xml:space="preserve"> </w:t>
      </w:r>
      <w:r>
        <w:rPr>
          <w:color w:val="231F20"/>
          <w:sz w:val="20"/>
        </w:rPr>
        <w:t>ongoing</w:t>
      </w:r>
      <w:r>
        <w:rPr>
          <w:color w:val="231F20"/>
          <w:spacing w:val="-10"/>
          <w:sz w:val="20"/>
        </w:rPr>
        <w:t xml:space="preserve"> </w:t>
      </w:r>
      <w:r>
        <w:rPr>
          <w:color w:val="231F20"/>
          <w:sz w:val="20"/>
        </w:rPr>
        <w:t>technology</w:t>
      </w:r>
      <w:r>
        <w:rPr>
          <w:color w:val="231F20"/>
          <w:spacing w:val="-10"/>
          <w:sz w:val="20"/>
        </w:rPr>
        <w:t xml:space="preserve"> </w:t>
      </w:r>
      <w:r>
        <w:rPr>
          <w:color w:val="231F20"/>
          <w:sz w:val="20"/>
        </w:rPr>
        <w:t>support</w:t>
      </w:r>
      <w:r>
        <w:rPr>
          <w:color w:val="231F20"/>
          <w:spacing w:val="-10"/>
          <w:sz w:val="20"/>
        </w:rPr>
        <w:t xml:space="preserve"> </w:t>
      </w:r>
      <w:r>
        <w:rPr>
          <w:color w:val="231F20"/>
          <w:sz w:val="20"/>
        </w:rPr>
        <w:t>as</w:t>
      </w:r>
      <w:r>
        <w:rPr>
          <w:color w:val="231F20"/>
          <w:spacing w:val="-10"/>
          <w:sz w:val="20"/>
        </w:rPr>
        <w:t xml:space="preserve"> </w:t>
      </w:r>
      <w:r>
        <w:rPr>
          <w:color w:val="231F20"/>
          <w:sz w:val="20"/>
        </w:rPr>
        <w:t>a</w:t>
      </w:r>
      <w:r>
        <w:rPr>
          <w:color w:val="231F20"/>
          <w:spacing w:val="-10"/>
          <w:sz w:val="20"/>
        </w:rPr>
        <w:t xml:space="preserve"> </w:t>
      </w:r>
      <w:r>
        <w:rPr>
          <w:color w:val="231F20"/>
          <w:spacing w:val="-4"/>
          <w:sz w:val="20"/>
        </w:rPr>
        <w:t>key</w:t>
      </w:r>
      <w:r>
        <w:rPr>
          <w:color w:val="231F20"/>
          <w:spacing w:val="-10"/>
          <w:sz w:val="20"/>
        </w:rPr>
        <w:t xml:space="preserve"> </w:t>
      </w:r>
      <w:r>
        <w:rPr>
          <w:color w:val="231F20"/>
          <w:sz w:val="20"/>
        </w:rPr>
        <w:t>part</w:t>
      </w:r>
      <w:r>
        <w:rPr>
          <w:color w:val="231F20"/>
          <w:spacing w:val="-10"/>
          <w:sz w:val="20"/>
        </w:rPr>
        <w:t xml:space="preserve"> </w:t>
      </w:r>
      <w:r>
        <w:rPr>
          <w:color w:val="231F20"/>
          <w:sz w:val="20"/>
        </w:rPr>
        <w:t xml:space="preserve">of safety </w:t>
      </w:r>
      <w:r>
        <w:rPr>
          <w:color w:val="231F20"/>
          <w:spacing w:val="-3"/>
          <w:sz w:val="20"/>
        </w:rPr>
        <w:t xml:space="preserve">planning’. </w:t>
      </w:r>
      <w:r>
        <w:rPr>
          <w:color w:val="231F20"/>
          <w:sz w:val="20"/>
        </w:rPr>
        <w:t xml:space="preserve">The Commissioner recommended the </w:t>
      </w:r>
      <w:r>
        <w:rPr>
          <w:color w:val="231F20"/>
          <w:spacing w:val="-3"/>
          <w:sz w:val="20"/>
        </w:rPr>
        <w:t xml:space="preserve">‘provision </w:t>
      </w:r>
      <w:r>
        <w:rPr>
          <w:color w:val="231F20"/>
          <w:sz w:val="20"/>
        </w:rPr>
        <w:t xml:space="preserve">of </w:t>
      </w:r>
      <w:r>
        <w:rPr>
          <w:color w:val="231F20"/>
          <w:spacing w:val="-3"/>
          <w:sz w:val="20"/>
        </w:rPr>
        <w:t xml:space="preserve">flexible </w:t>
      </w:r>
      <w:r>
        <w:rPr>
          <w:color w:val="231F20"/>
          <w:sz w:val="20"/>
        </w:rPr>
        <w:t xml:space="preserve">support </w:t>
      </w:r>
      <w:r>
        <w:rPr>
          <w:color w:val="231F20"/>
          <w:spacing w:val="-3"/>
          <w:sz w:val="20"/>
        </w:rPr>
        <w:t xml:space="preserve">packages’ </w:t>
      </w:r>
      <w:r>
        <w:rPr>
          <w:color w:val="231F20"/>
          <w:sz w:val="20"/>
        </w:rPr>
        <w:t>of practical technical</w:t>
      </w:r>
      <w:r>
        <w:rPr>
          <w:color w:val="231F20"/>
          <w:spacing w:val="-15"/>
          <w:sz w:val="20"/>
        </w:rPr>
        <w:t xml:space="preserve"> </w:t>
      </w:r>
      <w:r>
        <w:rPr>
          <w:color w:val="231F20"/>
          <w:sz w:val="20"/>
        </w:rPr>
        <w:t>support.</w:t>
      </w:r>
      <w:r>
        <w:rPr>
          <w:color w:val="231F20"/>
          <w:position w:val="7"/>
          <w:sz w:val="11"/>
        </w:rPr>
        <w:t>133</w:t>
      </w:r>
    </w:p>
    <w:p w14:paraId="6FB29011" w14:textId="77777777" w:rsidR="00894070" w:rsidRDefault="00894070">
      <w:pPr>
        <w:pStyle w:val="BodyText"/>
        <w:spacing w:before="12"/>
        <w:rPr>
          <w:sz w:val="15"/>
        </w:rPr>
      </w:pPr>
    </w:p>
    <w:p w14:paraId="304DE00D" w14:textId="77777777" w:rsidR="00894070" w:rsidRDefault="009B7AFD">
      <w:pPr>
        <w:pStyle w:val="Heading8"/>
        <w:ind w:left="1007"/>
      </w:pPr>
      <w:r>
        <w:rPr>
          <w:color w:val="231F20"/>
        </w:rPr>
        <w:t>Support needs to be timely</w:t>
      </w:r>
    </w:p>
    <w:p w14:paraId="36992093" w14:textId="77777777" w:rsidR="00894070" w:rsidRDefault="009B7AFD">
      <w:pPr>
        <w:pStyle w:val="ListParagraph"/>
        <w:numPr>
          <w:ilvl w:val="1"/>
          <w:numId w:val="161"/>
        </w:numPr>
        <w:tabs>
          <w:tab w:val="left" w:pos="1801"/>
          <w:tab w:val="left" w:pos="1802"/>
        </w:tabs>
        <w:spacing w:before="127" w:line="206" w:lineRule="auto"/>
        <w:ind w:right="1432"/>
        <w:rPr>
          <w:sz w:val="11"/>
        </w:rPr>
      </w:pPr>
      <w:r>
        <w:rPr>
          <w:color w:val="231F20"/>
          <w:spacing w:val="-6"/>
          <w:sz w:val="20"/>
        </w:rPr>
        <w:t>We</w:t>
      </w:r>
      <w:r>
        <w:rPr>
          <w:color w:val="231F20"/>
          <w:spacing w:val="-9"/>
          <w:sz w:val="20"/>
        </w:rPr>
        <w:t xml:space="preserve"> </w:t>
      </w:r>
      <w:r>
        <w:rPr>
          <w:color w:val="231F20"/>
          <w:sz w:val="20"/>
        </w:rPr>
        <w:t>heard</w:t>
      </w:r>
      <w:r>
        <w:rPr>
          <w:color w:val="231F20"/>
          <w:spacing w:val="-8"/>
          <w:sz w:val="20"/>
        </w:rPr>
        <w:t xml:space="preserve"> </w:t>
      </w:r>
      <w:r>
        <w:rPr>
          <w:color w:val="231F20"/>
          <w:sz w:val="20"/>
        </w:rPr>
        <w:t>that</w:t>
      </w:r>
      <w:r>
        <w:rPr>
          <w:color w:val="231F20"/>
          <w:spacing w:val="-9"/>
          <w:sz w:val="20"/>
        </w:rPr>
        <w:t xml:space="preserve"> </w:t>
      </w:r>
      <w:r>
        <w:rPr>
          <w:color w:val="231F20"/>
          <w:sz w:val="20"/>
        </w:rPr>
        <w:t>the</w:t>
      </w:r>
      <w:r>
        <w:rPr>
          <w:color w:val="231F20"/>
          <w:spacing w:val="-8"/>
          <w:sz w:val="20"/>
        </w:rPr>
        <w:t xml:space="preserve"> </w:t>
      </w:r>
      <w:r>
        <w:rPr>
          <w:color w:val="231F20"/>
          <w:sz w:val="20"/>
        </w:rPr>
        <w:t>services</w:t>
      </w:r>
      <w:r>
        <w:rPr>
          <w:color w:val="231F20"/>
          <w:spacing w:val="-9"/>
          <w:sz w:val="20"/>
        </w:rPr>
        <w:t xml:space="preserve"> </w:t>
      </w:r>
      <w:r>
        <w:rPr>
          <w:color w:val="231F20"/>
          <w:sz w:val="20"/>
        </w:rPr>
        <w:t>in</w:t>
      </w:r>
      <w:r>
        <w:rPr>
          <w:color w:val="231F20"/>
          <w:spacing w:val="-8"/>
          <w:sz w:val="20"/>
        </w:rPr>
        <w:t xml:space="preserve"> </w:t>
      </w:r>
      <w:r>
        <w:rPr>
          <w:color w:val="231F20"/>
          <w:sz w:val="20"/>
        </w:rPr>
        <w:t>place</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cyberstalking</w:t>
      </w:r>
      <w:r>
        <w:rPr>
          <w:color w:val="231F20"/>
          <w:spacing w:val="-8"/>
          <w:sz w:val="20"/>
        </w:rPr>
        <w:t xml:space="preserve"> </w:t>
      </w:r>
      <w:r>
        <w:rPr>
          <w:color w:val="231F20"/>
          <w:spacing w:val="-3"/>
          <w:sz w:val="20"/>
        </w:rPr>
        <w:t>are</w:t>
      </w:r>
      <w:r>
        <w:rPr>
          <w:color w:val="231F20"/>
          <w:spacing w:val="-9"/>
          <w:sz w:val="20"/>
        </w:rPr>
        <w:t xml:space="preserve"> </w:t>
      </w:r>
      <w:r>
        <w:rPr>
          <w:color w:val="231F20"/>
          <w:sz w:val="20"/>
        </w:rPr>
        <w:t>not</w:t>
      </w:r>
      <w:r>
        <w:rPr>
          <w:color w:val="231F20"/>
          <w:spacing w:val="-8"/>
          <w:sz w:val="20"/>
        </w:rPr>
        <w:t xml:space="preserve"> </w:t>
      </w:r>
      <w:r>
        <w:rPr>
          <w:color w:val="231F20"/>
          <w:spacing w:val="-3"/>
          <w:sz w:val="20"/>
        </w:rPr>
        <w:t>frontline</w:t>
      </w:r>
      <w:r>
        <w:rPr>
          <w:color w:val="231F20"/>
          <w:spacing w:val="-9"/>
          <w:sz w:val="20"/>
        </w:rPr>
        <w:t xml:space="preserve"> </w:t>
      </w:r>
      <w:r>
        <w:rPr>
          <w:color w:val="231F20"/>
          <w:sz w:val="20"/>
        </w:rPr>
        <w:t>crisis</w:t>
      </w:r>
      <w:r>
        <w:rPr>
          <w:color w:val="231F20"/>
          <w:spacing w:val="-8"/>
          <w:sz w:val="20"/>
        </w:rPr>
        <w:t xml:space="preserve"> </w:t>
      </w:r>
      <w:r>
        <w:rPr>
          <w:color w:val="231F20"/>
          <w:sz w:val="20"/>
        </w:rPr>
        <w:t xml:space="preserve">response services. There </w:t>
      </w:r>
      <w:r>
        <w:rPr>
          <w:color w:val="231F20"/>
          <w:spacing w:val="-3"/>
          <w:sz w:val="20"/>
        </w:rPr>
        <w:t xml:space="preserve">may </w:t>
      </w:r>
      <w:r>
        <w:rPr>
          <w:color w:val="231F20"/>
          <w:sz w:val="20"/>
        </w:rPr>
        <w:t>be a gap in services where a victim survivor’s safety is under imminent</w:t>
      </w:r>
      <w:r>
        <w:rPr>
          <w:color w:val="231F20"/>
          <w:spacing w:val="-5"/>
          <w:sz w:val="20"/>
        </w:rPr>
        <w:t xml:space="preserve"> </w:t>
      </w:r>
      <w:r>
        <w:rPr>
          <w:color w:val="231F20"/>
          <w:sz w:val="20"/>
        </w:rPr>
        <w:t>threat.</w:t>
      </w:r>
      <w:r>
        <w:rPr>
          <w:color w:val="231F20"/>
          <w:position w:val="7"/>
          <w:sz w:val="11"/>
        </w:rPr>
        <w:t>134</w:t>
      </w:r>
    </w:p>
    <w:p w14:paraId="2B8376AE" w14:textId="77777777" w:rsidR="00894070" w:rsidRDefault="009B7AFD">
      <w:pPr>
        <w:pStyle w:val="ListParagraph"/>
        <w:numPr>
          <w:ilvl w:val="1"/>
          <w:numId w:val="161"/>
        </w:numPr>
        <w:tabs>
          <w:tab w:val="left" w:pos="1801"/>
          <w:tab w:val="left" w:pos="1802"/>
        </w:tabs>
        <w:spacing w:before="124" w:line="206" w:lineRule="auto"/>
        <w:ind w:right="1275"/>
        <w:rPr>
          <w:sz w:val="11"/>
        </w:rPr>
      </w:pPr>
      <w:r>
        <w:rPr>
          <w:color w:val="231F20"/>
          <w:spacing w:val="-6"/>
          <w:sz w:val="20"/>
        </w:rPr>
        <w:t>We</w:t>
      </w:r>
      <w:r>
        <w:rPr>
          <w:color w:val="231F20"/>
          <w:spacing w:val="-10"/>
          <w:sz w:val="20"/>
        </w:rPr>
        <w:t xml:space="preserve"> </w:t>
      </w:r>
      <w:r>
        <w:rPr>
          <w:color w:val="231F20"/>
          <w:sz w:val="20"/>
        </w:rPr>
        <w:t>heard</w:t>
      </w:r>
      <w:r>
        <w:rPr>
          <w:color w:val="231F20"/>
          <w:spacing w:val="-9"/>
          <w:sz w:val="20"/>
        </w:rPr>
        <w:t xml:space="preserve"> </w:t>
      </w:r>
      <w:r>
        <w:rPr>
          <w:color w:val="231F20"/>
          <w:sz w:val="20"/>
        </w:rPr>
        <w:t>that</w:t>
      </w:r>
      <w:r>
        <w:rPr>
          <w:color w:val="231F20"/>
          <w:spacing w:val="-10"/>
          <w:sz w:val="20"/>
        </w:rPr>
        <w:t xml:space="preserve"> </w:t>
      </w:r>
      <w:r>
        <w:rPr>
          <w:color w:val="231F20"/>
          <w:sz w:val="20"/>
        </w:rPr>
        <w:t>Victoria</w:t>
      </w:r>
      <w:r>
        <w:rPr>
          <w:color w:val="231F20"/>
          <w:spacing w:val="-9"/>
          <w:sz w:val="20"/>
        </w:rPr>
        <w:t xml:space="preserve"> </w:t>
      </w:r>
      <w:r>
        <w:rPr>
          <w:color w:val="231F20"/>
          <w:sz w:val="20"/>
        </w:rPr>
        <w:t>Police</w:t>
      </w:r>
      <w:r>
        <w:rPr>
          <w:color w:val="231F20"/>
          <w:spacing w:val="-10"/>
          <w:sz w:val="20"/>
        </w:rPr>
        <w:t xml:space="preserve"> </w:t>
      </w:r>
      <w:r>
        <w:rPr>
          <w:color w:val="231F20"/>
          <w:sz w:val="20"/>
        </w:rPr>
        <w:t>has</w:t>
      </w:r>
      <w:r>
        <w:rPr>
          <w:color w:val="231F20"/>
          <w:spacing w:val="-9"/>
          <w:sz w:val="20"/>
        </w:rPr>
        <w:t xml:space="preserve"> </w:t>
      </w:r>
      <w:r>
        <w:rPr>
          <w:color w:val="231F20"/>
          <w:spacing w:val="-3"/>
          <w:sz w:val="20"/>
        </w:rPr>
        <w:t>invested</w:t>
      </w:r>
      <w:r>
        <w:rPr>
          <w:color w:val="231F20"/>
          <w:spacing w:val="-10"/>
          <w:sz w:val="20"/>
        </w:rPr>
        <w:t xml:space="preserve"> </w:t>
      </w:r>
      <w:r>
        <w:rPr>
          <w:color w:val="231F20"/>
          <w:sz w:val="20"/>
        </w:rPr>
        <w:t>considerably</w:t>
      </w:r>
      <w:r>
        <w:rPr>
          <w:color w:val="231F20"/>
          <w:spacing w:val="-9"/>
          <w:sz w:val="20"/>
        </w:rPr>
        <w:t xml:space="preserve"> </w:t>
      </w:r>
      <w:r>
        <w:rPr>
          <w:color w:val="231F20"/>
          <w:sz w:val="20"/>
        </w:rPr>
        <w:t>in</w:t>
      </w:r>
      <w:r>
        <w:rPr>
          <w:color w:val="231F20"/>
          <w:spacing w:val="-10"/>
          <w:sz w:val="20"/>
        </w:rPr>
        <w:t xml:space="preserve"> </w:t>
      </w:r>
      <w:r>
        <w:rPr>
          <w:color w:val="231F20"/>
          <w:sz w:val="20"/>
        </w:rPr>
        <w:t>its</w:t>
      </w:r>
      <w:r>
        <w:rPr>
          <w:color w:val="231F20"/>
          <w:spacing w:val="-9"/>
          <w:sz w:val="20"/>
        </w:rPr>
        <w:t xml:space="preserve"> </w:t>
      </w:r>
      <w:r>
        <w:rPr>
          <w:color w:val="231F20"/>
          <w:spacing w:val="-3"/>
          <w:sz w:val="20"/>
        </w:rPr>
        <w:t>forensic</w:t>
      </w:r>
      <w:r>
        <w:rPr>
          <w:color w:val="231F20"/>
          <w:spacing w:val="-10"/>
          <w:sz w:val="20"/>
        </w:rPr>
        <w:t xml:space="preserve"> </w:t>
      </w:r>
      <w:r>
        <w:rPr>
          <w:color w:val="231F20"/>
          <w:sz w:val="20"/>
        </w:rPr>
        <w:t>capabilities.</w:t>
      </w:r>
      <w:r>
        <w:rPr>
          <w:color w:val="231F20"/>
          <w:spacing w:val="-9"/>
          <w:sz w:val="20"/>
        </w:rPr>
        <w:t xml:space="preserve"> </w:t>
      </w:r>
      <w:r>
        <w:rPr>
          <w:color w:val="231F20"/>
          <w:sz w:val="20"/>
        </w:rPr>
        <w:t xml:space="preserve">This has </w:t>
      </w:r>
      <w:r>
        <w:rPr>
          <w:color w:val="231F20"/>
          <w:spacing w:val="-3"/>
          <w:sz w:val="20"/>
        </w:rPr>
        <w:t xml:space="preserve">resulted </w:t>
      </w:r>
      <w:r>
        <w:rPr>
          <w:color w:val="231F20"/>
          <w:sz w:val="20"/>
        </w:rPr>
        <w:t xml:space="preserve">in a shorter wait time </w:t>
      </w:r>
      <w:r>
        <w:rPr>
          <w:color w:val="231F20"/>
          <w:spacing w:val="-3"/>
          <w:sz w:val="20"/>
        </w:rPr>
        <w:t xml:space="preserve">for </w:t>
      </w:r>
      <w:r>
        <w:rPr>
          <w:color w:val="231F20"/>
          <w:sz w:val="20"/>
        </w:rPr>
        <w:t xml:space="preserve">victim survivors to </w:t>
      </w:r>
      <w:r>
        <w:rPr>
          <w:color w:val="231F20"/>
          <w:spacing w:val="-4"/>
          <w:sz w:val="20"/>
        </w:rPr>
        <w:t xml:space="preserve">have </w:t>
      </w:r>
      <w:r>
        <w:rPr>
          <w:color w:val="231F20"/>
          <w:sz w:val="20"/>
        </w:rPr>
        <w:t xml:space="preserve">their phones </w:t>
      </w:r>
      <w:r>
        <w:rPr>
          <w:color w:val="231F20"/>
          <w:spacing w:val="-2"/>
          <w:sz w:val="20"/>
        </w:rPr>
        <w:t xml:space="preserve">analysed, </w:t>
      </w:r>
      <w:r>
        <w:rPr>
          <w:color w:val="231F20"/>
          <w:spacing w:val="-3"/>
          <w:sz w:val="20"/>
        </w:rPr>
        <w:t>from</w:t>
      </w:r>
      <w:r>
        <w:rPr>
          <w:color w:val="231F20"/>
          <w:spacing w:val="-8"/>
          <w:sz w:val="20"/>
        </w:rPr>
        <w:t xml:space="preserve"> </w:t>
      </w:r>
      <w:r>
        <w:rPr>
          <w:color w:val="231F20"/>
          <w:sz w:val="20"/>
        </w:rPr>
        <w:t>31</w:t>
      </w:r>
      <w:r>
        <w:rPr>
          <w:color w:val="231F20"/>
          <w:spacing w:val="-7"/>
          <w:sz w:val="20"/>
        </w:rPr>
        <w:t xml:space="preserve"> </w:t>
      </w:r>
      <w:r>
        <w:rPr>
          <w:color w:val="231F20"/>
          <w:sz w:val="20"/>
        </w:rPr>
        <w:t>months</w:t>
      </w:r>
      <w:r>
        <w:rPr>
          <w:color w:val="231F20"/>
          <w:spacing w:val="-8"/>
          <w:sz w:val="20"/>
        </w:rPr>
        <w:t xml:space="preserve"> </w:t>
      </w:r>
      <w:r>
        <w:rPr>
          <w:color w:val="231F20"/>
          <w:sz w:val="20"/>
        </w:rPr>
        <w:t>to</w:t>
      </w:r>
      <w:r>
        <w:rPr>
          <w:color w:val="231F20"/>
          <w:spacing w:val="-7"/>
          <w:sz w:val="20"/>
        </w:rPr>
        <w:t xml:space="preserve"> </w:t>
      </w:r>
      <w:r>
        <w:rPr>
          <w:color w:val="231F20"/>
          <w:sz w:val="20"/>
        </w:rPr>
        <w:t>just</w:t>
      </w:r>
      <w:r>
        <w:rPr>
          <w:color w:val="231F20"/>
          <w:spacing w:val="-7"/>
          <w:sz w:val="20"/>
        </w:rPr>
        <w:t xml:space="preserve"> </w:t>
      </w:r>
      <w:r>
        <w:rPr>
          <w:color w:val="231F20"/>
          <w:spacing w:val="-4"/>
          <w:sz w:val="20"/>
        </w:rPr>
        <w:t>over</w:t>
      </w:r>
      <w:r>
        <w:rPr>
          <w:color w:val="231F20"/>
          <w:spacing w:val="-8"/>
          <w:sz w:val="20"/>
        </w:rPr>
        <w:t xml:space="preserve"> </w:t>
      </w:r>
      <w:r>
        <w:rPr>
          <w:color w:val="231F20"/>
          <w:sz w:val="20"/>
        </w:rPr>
        <w:t>12</w:t>
      </w:r>
      <w:r>
        <w:rPr>
          <w:color w:val="231F20"/>
          <w:spacing w:val="-7"/>
          <w:sz w:val="20"/>
        </w:rPr>
        <w:t xml:space="preserve"> </w:t>
      </w:r>
      <w:r>
        <w:rPr>
          <w:color w:val="231F20"/>
          <w:sz w:val="20"/>
        </w:rPr>
        <w:t>months.</w:t>
      </w:r>
      <w:r>
        <w:rPr>
          <w:color w:val="231F20"/>
          <w:spacing w:val="-7"/>
          <w:sz w:val="20"/>
        </w:rPr>
        <w:t xml:space="preserve"> </w:t>
      </w:r>
      <w:r>
        <w:rPr>
          <w:color w:val="231F20"/>
          <w:sz w:val="20"/>
        </w:rPr>
        <w:t>This</w:t>
      </w:r>
      <w:r>
        <w:rPr>
          <w:color w:val="231F20"/>
          <w:spacing w:val="-8"/>
          <w:sz w:val="20"/>
        </w:rPr>
        <w:t xml:space="preserve"> </w:t>
      </w:r>
      <w:r>
        <w:rPr>
          <w:color w:val="231F20"/>
          <w:sz w:val="20"/>
        </w:rPr>
        <w:t>is</w:t>
      </w:r>
      <w:r>
        <w:rPr>
          <w:color w:val="231F20"/>
          <w:spacing w:val="-7"/>
          <w:sz w:val="20"/>
        </w:rPr>
        <w:t xml:space="preserve"> </w:t>
      </w:r>
      <w:r>
        <w:rPr>
          <w:color w:val="231F20"/>
          <w:sz w:val="20"/>
        </w:rPr>
        <w:t>still</w:t>
      </w:r>
      <w:r>
        <w:rPr>
          <w:color w:val="231F20"/>
          <w:spacing w:val="-7"/>
          <w:sz w:val="20"/>
        </w:rPr>
        <w:t xml:space="preserve"> </w:t>
      </w:r>
      <w:r>
        <w:rPr>
          <w:color w:val="231F20"/>
          <w:sz w:val="20"/>
        </w:rPr>
        <w:t>a</w:t>
      </w:r>
      <w:r>
        <w:rPr>
          <w:color w:val="231F20"/>
          <w:spacing w:val="-8"/>
          <w:sz w:val="20"/>
        </w:rPr>
        <w:t xml:space="preserve"> </w:t>
      </w:r>
      <w:r>
        <w:rPr>
          <w:color w:val="231F20"/>
          <w:sz w:val="20"/>
        </w:rPr>
        <w:t>long</w:t>
      </w:r>
      <w:r>
        <w:rPr>
          <w:color w:val="231F20"/>
          <w:spacing w:val="-7"/>
          <w:sz w:val="20"/>
        </w:rPr>
        <w:t xml:space="preserve"> </w:t>
      </w:r>
      <w:r>
        <w:rPr>
          <w:color w:val="231F20"/>
          <w:sz w:val="20"/>
        </w:rPr>
        <w:t>wait</w:t>
      </w:r>
      <w:r>
        <w:rPr>
          <w:color w:val="231F20"/>
          <w:spacing w:val="-8"/>
          <w:sz w:val="20"/>
        </w:rPr>
        <w:t xml:space="preserve"> </w:t>
      </w:r>
      <w:r>
        <w:rPr>
          <w:color w:val="231F20"/>
          <w:sz w:val="20"/>
        </w:rPr>
        <w:t>and</w:t>
      </w:r>
      <w:r>
        <w:rPr>
          <w:color w:val="231F20"/>
          <w:spacing w:val="-7"/>
          <w:sz w:val="20"/>
        </w:rPr>
        <w:t xml:space="preserve"> </w:t>
      </w:r>
      <w:r>
        <w:rPr>
          <w:color w:val="231F20"/>
          <w:sz w:val="20"/>
        </w:rPr>
        <w:t>victim</w:t>
      </w:r>
      <w:r>
        <w:rPr>
          <w:color w:val="231F20"/>
          <w:spacing w:val="-7"/>
          <w:sz w:val="20"/>
        </w:rPr>
        <w:t xml:space="preserve"> </w:t>
      </w:r>
      <w:r>
        <w:rPr>
          <w:color w:val="231F20"/>
          <w:sz w:val="20"/>
        </w:rPr>
        <w:t>survivors</w:t>
      </w:r>
      <w:r>
        <w:rPr>
          <w:color w:val="231F20"/>
          <w:spacing w:val="-8"/>
          <w:sz w:val="20"/>
        </w:rPr>
        <w:t xml:space="preserve"> </w:t>
      </w:r>
      <w:r>
        <w:rPr>
          <w:color w:val="231F20"/>
          <w:spacing w:val="-3"/>
          <w:sz w:val="20"/>
        </w:rPr>
        <w:t xml:space="preserve">may </w:t>
      </w:r>
      <w:r>
        <w:rPr>
          <w:color w:val="231F20"/>
          <w:sz w:val="20"/>
        </w:rPr>
        <w:t xml:space="preserve">choose not to </w:t>
      </w:r>
      <w:r>
        <w:rPr>
          <w:color w:val="231F20"/>
          <w:spacing w:val="-4"/>
          <w:sz w:val="20"/>
        </w:rPr>
        <w:t xml:space="preserve">bother. </w:t>
      </w:r>
      <w:r>
        <w:rPr>
          <w:color w:val="231F20"/>
          <w:sz w:val="20"/>
        </w:rPr>
        <w:t xml:space="preserve">Victoria Police </w:t>
      </w:r>
      <w:r>
        <w:rPr>
          <w:color w:val="231F20"/>
          <w:spacing w:val="-3"/>
          <w:sz w:val="20"/>
        </w:rPr>
        <w:t xml:space="preserve">told </w:t>
      </w:r>
      <w:r>
        <w:rPr>
          <w:color w:val="231F20"/>
          <w:sz w:val="20"/>
        </w:rPr>
        <w:t xml:space="preserve">us that it does not </w:t>
      </w:r>
      <w:r>
        <w:rPr>
          <w:color w:val="231F20"/>
          <w:spacing w:val="-4"/>
          <w:sz w:val="20"/>
        </w:rPr>
        <w:t xml:space="preserve">have </w:t>
      </w:r>
      <w:r>
        <w:rPr>
          <w:color w:val="231F20"/>
          <w:sz w:val="20"/>
        </w:rPr>
        <w:t xml:space="preserve">capacity to meet all the requests it gets </w:t>
      </w:r>
      <w:r>
        <w:rPr>
          <w:color w:val="231F20"/>
          <w:spacing w:val="-3"/>
          <w:sz w:val="20"/>
        </w:rPr>
        <w:t xml:space="preserve">for analysis </w:t>
      </w:r>
      <w:r>
        <w:rPr>
          <w:color w:val="231F20"/>
          <w:sz w:val="20"/>
        </w:rPr>
        <w:t xml:space="preserve">of phones. In </w:t>
      </w:r>
      <w:r>
        <w:rPr>
          <w:color w:val="231F20"/>
          <w:spacing w:val="-4"/>
          <w:sz w:val="20"/>
        </w:rPr>
        <w:t xml:space="preserve">2020 </w:t>
      </w:r>
      <w:r>
        <w:rPr>
          <w:color w:val="231F20"/>
          <w:spacing w:val="-2"/>
          <w:sz w:val="20"/>
        </w:rPr>
        <w:t xml:space="preserve">alone, </w:t>
      </w:r>
      <w:r>
        <w:rPr>
          <w:color w:val="231F20"/>
          <w:sz w:val="20"/>
        </w:rPr>
        <w:t>there was an increase of 67 per</w:t>
      </w:r>
      <w:r>
        <w:rPr>
          <w:color w:val="231F20"/>
          <w:spacing w:val="-5"/>
          <w:sz w:val="20"/>
        </w:rPr>
        <w:t xml:space="preserve"> </w:t>
      </w:r>
      <w:r>
        <w:rPr>
          <w:color w:val="231F20"/>
          <w:sz w:val="20"/>
        </w:rPr>
        <w:t>cent</w:t>
      </w:r>
      <w:r>
        <w:rPr>
          <w:color w:val="231F20"/>
          <w:spacing w:val="-5"/>
          <w:sz w:val="20"/>
        </w:rPr>
        <w:t xml:space="preserve"> </w:t>
      </w:r>
      <w:r>
        <w:rPr>
          <w:color w:val="231F20"/>
          <w:sz w:val="20"/>
        </w:rPr>
        <w:t>in</w:t>
      </w:r>
      <w:r>
        <w:rPr>
          <w:color w:val="231F20"/>
          <w:spacing w:val="-5"/>
          <w:sz w:val="20"/>
        </w:rPr>
        <w:t xml:space="preserve"> </w:t>
      </w:r>
      <w:r>
        <w:rPr>
          <w:color w:val="231F20"/>
          <w:sz w:val="20"/>
        </w:rPr>
        <w:t>requests</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digital</w:t>
      </w:r>
      <w:r>
        <w:rPr>
          <w:color w:val="231F20"/>
          <w:spacing w:val="-5"/>
          <w:sz w:val="20"/>
        </w:rPr>
        <w:t xml:space="preserve"> </w:t>
      </w:r>
      <w:r>
        <w:rPr>
          <w:color w:val="231F20"/>
          <w:spacing w:val="-3"/>
          <w:sz w:val="20"/>
        </w:rPr>
        <w:t>forensic</w:t>
      </w:r>
      <w:r>
        <w:rPr>
          <w:color w:val="231F20"/>
          <w:spacing w:val="-5"/>
          <w:sz w:val="20"/>
        </w:rPr>
        <w:t xml:space="preserve"> </w:t>
      </w:r>
      <w:r>
        <w:rPr>
          <w:color w:val="231F20"/>
          <w:sz w:val="20"/>
        </w:rPr>
        <w:t>services,</w:t>
      </w:r>
      <w:r>
        <w:rPr>
          <w:color w:val="231F20"/>
          <w:spacing w:val="-5"/>
          <w:sz w:val="20"/>
        </w:rPr>
        <w:t xml:space="preserve"> </w:t>
      </w:r>
      <w:r>
        <w:rPr>
          <w:color w:val="231F20"/>
          <w:sz w:val="20"/>
        </w:rPr>
        <w:t>compared</w:t>
      </w:r>
      <w:r>
        <w:rPr>
          <w:color w:val="231F20"/>
          <w:spacing w:val="-5"/>
          <w:sz w:val="20"/>
        </w:rPr>
        <w:t xml:space="preserve"> </w:t>
      </w:r>
      <w:r>
        <w:rPr>
          <w:color w:val="231F20"/>
          <w:sz w:val="20"/>
        </w:rPr>
        <w:t>to</w:t>
      </w:r>
      <w:r>
        <w:rPr>
          <w:color w:val="231F20"/>
          <w:spacing w:val="-5"/>
          <w:sz w:val="20"/>
        </w:rPr>
        <w:t xml:space="preserve"> </w:t>
      </w:r>
      <w:r>
        <w:rPr>
          <w:color w:val="231F20"/>
          <w:sz w:val="20"/>
        </w:rPr>
        <w:t>2018.</w:t>
      </w:r>
      <w:r>
        <w:rPr>
          <w:color w:val="231F20"/>
          <w:position w:val="7"/>
          <w:sz w:val="11"/>
        </w:rPr>
        <w:t>135</w:t>
      </w:r>
    </w:p>
    <w:p w14:paraId="6D6CAB6E" w14:textId="77777777" w:rsidR="00894070" w:rsidRDefault="009B7AFD">
      <w:pPr>
        <w:pStyle w:val="ListParagraph"/>
        <w:numPr>
          <w:ilvl w:val="1"/>
          <w:numId w:val="161"/>
        </w:numPr>
        <w:tabs>
          <w:tab w:val="left" w:pos="1801"/>
          <w:tab w:val="left" w:pos="1802"/>
        </w:tabs>
        <w:spacing w:before="127" w:line="206" w:lineRule="auto"/>
        <w:ind w:right="1296"/>
        <w:rPr>
          <w:sz w:val="20"/>
        </w:rPr>
      </w:pPr>
      <w:r>
        <w:rPr>
          <w:color w:val="231F20"/>
          <w:sz w:val="20"/>
        </w:rPr>
        <w:t xml:space="preserve">Practical support must be </w:t>
      </w:r>
      <w:r>
        <w:rPr>
          <w:color w:val="231F20"/>
          <w:spacing w:val="-3"/>
          <w:sz w:val="20"/>
        </w:rPr>
        <w:t xml:space="preserve">timely </w:t>
      </w:r>
      <w:r>
        <w:rPr>
          <w:color w:val="231F20"/>
          <w:sz w:val="20"/>
        </w:rPr>
        <w:t xml:space="preserve">so that victim survivors </w:t>
      </w:r>
      <w:r>
        <w:rPr>
          <w:color w:val="231F20"/>
          <w:spacing w:val="-3"/>
          <w:sz w:val="20"/>
        </w:rPr>
        <w:t xml:space="preserve">are </w:t>
      </w:r>
      <w:r>
        <w:rPr>
          <w:color w:val="231F20"/>
          <w:sz w:val="20"/>
        </w:rPr>
        <w:t xml:space="preserve">not disconnected </w:t>
      </w:r>
      <w:r>
        <w:rPr>
          <w:color w:val="231F20"/>
          <w:spacing w:val="-3"/>
          <w:sz w:val="20"/>
        </w:rPr>
        <w:t xml:space="preserve">from </w:t>
      </w:r>
      <w:r>
        <w:rPr>
          <w:color w:val="231F20"/>
          <w:sz w:val="20"/>
        </w:rPr>
        <w:t>online</w:t>
      </w:r>
      <w:r>
        <w:rPr>
          <w:color w:val="231F20"/>
          <w:spacing w:val="-8"/>
          <w:sz w:val="20"/>
        </w:rPr>
        <w:t xml:space="preserve"> </w:t>
      </w:r>
      <w:r>
        <w:rPr>
          <w:color w:val="231F20"/>
          <w:sz w:val="20"/>
        </w:rPr>
        <w:t>spaces</w:t>
      </w:r>
      <w:r>
        <w:rPr>
          <w:color w:val="231F20"/>
          <w:spacing w:val="-7"/>
          <w:sz w:val="20"/>
        </w:rPr>
        <w:t xml:space="preserve"> </w:t>
      </w:r>
      <w:r>
        <w:rPr>
          <w:color w:val="231F20"/>
          <w:sz w:val="20"/>
        </w:rPr>
        <w:t>and</w:t>
      </w:r>
      <w:r>
        <w:rPr>
          <w:color w:val="231F20"/>
          <w:spacing w:val="-8"/>
          <w:sz w:val="20"/>
        </w:rPr>
        <w:t xml:space="preserve"> </w:t>
      </w:r>
      <w:r>
        <w:rPr>
          <w:color w:val="231F20"/>
          <w:sz w:val="20"/>
        </w:rPr>
        <w:t>their</w:t>
      </w:r>
      <w:r>
        <w:rPr>
          <w:color w:val="231F20"/>
          <w:spacing w:val="-7"/>
          <w:sz w:val="20"/>
        </w:rPr>
        <w:t xml:space="preserve"> </w:t>
      </w:r>
      <w:r>
        <w:rPr>
          <w:color w:val="231F20"/>
          <w:spacing w:val="-3"/>
          <w:sz w:val="20"/>
        </w:rPr>
        <w:t>devices</w:t>
      </w:r>
      <w:r>
        <w:rPr>
          <w:color w:val="231F20"/>
          <w:spacing w:val="-8"/>
          <w:sz w:val="20"/>
        </w:rPr>
        <w:t xml:space="preserve"> </w:t>
      </w:r>
      <w:r>
        <w:rPr>
          <w:color w:val="231F20"/>
          <w:spacing w:val="-3"/>
          <w:sz w:val="20"/>
        </w:rPr>
        <w:t>for</w:t>
      </w:r>
      <w:r>
        <w:rPr>
          <w:color w:val="231F20"/>
          <w:spacing w:val="-7"/>
          <w:sz w:val="20"/>
        </w:rPr>
        <w:t xml:space="preserve"> </w:t>
      </w:r>
      <w:r>
        <w:rPr>
          <w:color w:val="231F20"/>
          <w:sz w:val="20"/>
        </w:rPr>
        <w:t>long</w:t>
      </w:r>
      <w:r>
        <w:rPr>
          <w:color w:val="231F20"/>
          <w:spacing w:val="-8"/>
          <w:sz w:val="20"/>
        </w:rPr>
        <w:t xml:space="preserve"> </w:t>
      </w:r>
      <w:r>
        <w:rPr>
          <w:color w:val="231F20"/>
          <w:sz w:val="20"/>
        </w:rPr>
        <w:t>periods</w:t>
      </w:r>
      <w:r>
        <w:rPr>
          <w:color w:val="231F20"/>
          <w:spacing w:val="-7"/>
          <w:sz w:val="20"/>
        </w:rPr>
        <w:t xml:space="preserve"> </w:t>
      </w:r>
      <w:r>
        <w:rPr>
          <w:color w:val="231F20"/>
          <w:sz w:val="20"/>
        </w:rPr>
        <w:t>of</w:t>
      </w:r>
      <w:r>
        <w:rPr>
          <w:color w:val="231F20"/>
          <w:spacing w:val="-8"/>
          <w:sz w:val="20"/>
        </w:rPr>
        <w:t xml:space="preserve"> </w:t>
      </w:r>
      <w:r>
        <w:rPr>
          <w:color w:val="231F20"/>
          <w:sz w:val="20"/>
        </w:rPr>
        <w:t>time.</w:t>
      </w:r>
      <w:r>
        <w:rPr>
          <w:color w:val="231F20"/>
          <w:spacing w:val="-7"/>
          <w:sz w:val="20"/>
        </w:rPr>
        <w:t xml:space="preserve"> </w:t>
      </w:r>
      <w:r>
        <w:rPr>
          <w:color w:val="231F20"/>
          <w:sz w:val="20"/>
        </w:rPr>
        <w:t>These</w:t>
      </w:r>
      <w:r>
        <w:rPr>
          <w:color w:val="231F20"/>
          <w:spacing w:val="-8"/>
          <w:sz w:val="20"/>
        </w:rPr>
        <w:t xml:space="preserve"> </w:t>
      </w:r>
      <w:r>
        <w:rPr>
          <w:color w:val="231F20"/>
          <w:spacing w:val="-3"/>
          <w:sz w:val="20"/>
        </w:rPr>
        <w:t>are</w:t>
      </w:r>
      <w:r>
        <w:rPr>
          <w:color w:val="231F20"/>
          <w:spacing w:val="-7"/>
          <w:sz w:val="20"/>
        </w:rPr>
        <w:t xml:space="preserve"> </w:t>
      </w:r>
      <w:r>
        <w:rPr>
          <w:color w:val="231F20"/>
          <w:sz w:val="20"/>
        </w:rPr>
        <w:t>their</w:t>
      </w:r>
      <w:r>
        <w:rPr>
          <w:color w:val="231F20"/>
          <w:spacing w:val="-8"/>
          <w:sz w:val="20"/>
        </w:rPr>
        <w:t xml:space="preserve"> </w:t>
      </w:r>
      <w:r>
        <w:rPr>
          <w:color w:val="231F20"/>
          <w:sz w:val="20"/>
        </w:rPr>
        <w:t>links</w:t>
      </w:r>
      <w:r>
        <w:rPr>
          <w:color w:val="231F20"/>
          <w:spacing w:val="-7"/>
          <w:sz w:val="20"/>
        </w:rPr>
        <w:t xml:space="preserve"> </w:t>
      </w:r>
      <w:r>
        <w:rPr>
          <w:color w:val="231F20"/>
          <w:sz w:val="20"/>
        </w:rPr>
        <w:t>to</w:t>
      </w:r>
      <w:r>
        <w:rPr>
          <w:color w:val="231F20"/>
          <w:spacing w:val="-8"/>
          <w:sz w:val="20"/>
        </w:rPr>
        <w:t xml:space="preserve"> </w:t>
      </w:r>
      <w:r>
        <w:rPr>
          <w:color w:val="231F20"/>
          <w:spacing w:val="-4"/>
          <w:sz w:val="20"/>
        </w:rPr>
        <w:t xml:space="preserve">family, </w:t>
      </w:r>
      <w:r>
        <w:rPr>
          <w:color w:val="231F20"/>
          <w:sz w:val="20"/>
        </w:rPr>
        <w:t>friends,</w:t>
      </w:r>
      <w:r>
        <w:rPr>
          <w:color w:val="231F20"/>
          <w:spacing w:val="-8"/>
          <w:sz w:val="20"/>
        </w:rPr>
        <w:t xml:space="preserve"> </w:t>
      </w:r>
      <w:proofErr w:type="gramStart"/>
      <w:r>
        <w:rPr>
          <w:color w:val="231F20"/>
          <w:sz w:val="20"/>
        </w:rPr>
        <w:t>services</w:t>
      </w:r>
      <w:proofErr w:type="gramEnd"/>
      <w:r>
        <w:rPr>
          <w:color w:val="231F20"/>
          <w:spacing w:val="-8"/>
          <w:sz w:val="20"/>
        </w:rPr>
        <w:t xml:space="preserve"> </w:t>
      </w:r>
      <w:r>
        <w:rPr>
          <w:color w:val="231F20"/>
          <w:sz w:val="20"/>
        </w:rPr>
        <w:t>and</w:t>
      </w:r>
      <w:r>
        <w:rPr>
          <w:color w:val="231F20"/>
          <w:spacing w:val="-8"/>
          <w:sz w:val="20"/>
        </w:rPr>
        <w:t xml:space="preserve"> </w:t>
      </w:r>
      <w:r>
        <w:rPr>
          <w:color w:val="231F20"/>
          <w:sz w:val="20"/>
        </w:rPr>
        <w:t>the</w:t>
      </w:r>
      <w:r>
        <w:rPr>
          <w:color w:val="231F20"/>
          <w:spacing w:val="-8"/>
          <w:sz w:val="20"/>
        </w:rPr>
        <w:t xml:space="preserve"> </w:t>
      </w:r>
      <w:r>
        <w:rPr>
          <w:color w:val="231F20"/>
          <w:sz w:val="20"/>
        </w:rPr>
        <w:t>justice</w:t>
      </w:r>
      <w:r>
        <w:rPr>
          <w:color w:val="231F20"/>
          <w:spacing w:val="-7"/>
          <w:sz w:val="20"/>
        </w:rPr>
        <w:t xml:space="preserve"> </w:t>
      </w:r>
      <w:r>
        <w:rPr>
          <w:color w:val="231F20"/>
          <w:sz w:val="20"/>
        </w:rPr>
        <w:t>system.</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some</w:t>
      </w:r>
      <w:r>
        <w:rPr>
          <w:color w:val="231F20"/>
          <w:spacing w:val="-8"/>
          <w:sz w:val="20"/>
        </w:rPr>
        <w:t xml:space="preserve"> </w:t>
      </w:r>
      <w:r>
        <w:rPr>
          <w:color w:val="231F20"/>
          <w:sz w:val="20"/>
        </w:rPr>
        <w:t>people,</w:t>
      </w:r>
      <w:r>
        <w:rPr>
          <w:color w:val="231F20"/>
          <w:spacing w:val="-7"/>
          <w:sz w:val="20"/>
        </w:rPr>
        <w:t xml:space="preserve"> </w:t>
      </w:r>
      <w:r>
        <w:rPr>
          <w:color w:val="231F20"/>
          <w:sz w:val="20"/>
        </w:rPr>
        <w:t>they</w:t>
      </w:r>
      <w:r>
        <w:rPr>
          <w:color w:val="231F20"/>
          <w:spacing w:val="-8"/>
          <w:sz w:val="20"/>
        </w:rPr>
        <w:t xml:space="preserve"> </w:t>
      </w:r>
      <w:r>
        <w:rPr>
          <w:color w:val="231F20"/>
          <w:sz w:val="20"/>
        </w:rPr>
        <w:t>might</w:t>
      </w:r>
      <w:r>
        <w:rPr>
          <w:color w:val="231F20"/>
          <w:spacing w:val="-8"/>
          <w:sz w:val="20"/>
        </w:rPr>
        <w:t xml:space="preserve"> </w:t>
      </w:r>
      <w:r>
        <w:rPr>
          <w:color w:val="231F20"/>
          <w:sz w:val="20"/>
        </w:rPr>
        <w:t>be</w:t>
      </w:r>
      <w:r>
        <w:rPr>
          <w:color w:val="231F20"/>
          <w:spacing w:val="-8"/>
          <w:sz w:val="20"/>
        </w:rPr>
        <w:t xml:space="preserve"> </w:t>
      </w:r>
      <w:r>
        <w:rPr>
          <w:color w:val="231F20"/>
          <w:sz w:val="20"/>
        </w:rPr>
        <w:t>a</w:t>
      </w:r>
      <w:r>
        <w:rPr>
          <w:color w:val="231F20"/>
          <w:spacing w:val="-7"/>
          <w:sz w:val="20"/>
        </w:rPr>
        <w:t xml:space="preserve"> </w:t>
      </w:r>
      <w:r>
        <w:rPr>
          <w:color w:val="231F20"/>
          <w:sz w:val="20"/>
        </w:rPr>
        <w:t>lifeline.</w:t>
      </w:r>
    </w:p>
    <w:p w14:paraId="7CF979F7" w14:textId="77777777" w:rsidR="00894070" w:rsidRDefault="009B7AFD">
      <w:pPr>
        <w:pStyle w:val="ListParagraph"/>
        <w:numPr>
          <w:ilvl w:val="1"/>
          <w:numId w:val="161"/>
        </w:numPr>
        <w:tabs>
          <w:tab w:val="left" w:pos="1801"/>
          <w:tab w:val="left" w:pos="1802"/>
        </w:tabs>
        <w:spacing w:before="124" w:line="206" w:lineRule="auto"/>
        <w:ind w:right="1857"/>
        <w:rPr>
          <w:sz w:val="20"/>
        </w:rPr>
      </w:pPr>
      <w:r>
        <w:rPr>
          <w:color w:val="231F20"/>
          <w:sz w:val="20"/>
        </w:rPr>
        <w:t>As</w:t>
      </w:r>
      <w:r>
        <w:rPr>
          <w:color w:val="231F20"/>
          <w:spacing w:val="-6"/>
          <w:sz w:val="20"/>
        </w:rPr>
        <w:t xml:space="preserve"> </w:t>
      </w:r>
      <w:r>
        <w:rPr>
          <w:color w:val="231F20"/>
          <w:spacing w:val="-3"/>
          <w:sz w:val="20"/>
        </w:rPr>
        <w:t>we</w:t>
      </w:r>
      <w:r>
        <w:rPr>
          <w:color w:val="231F20"/>
          <w:spacing w:val="-5"/>
          <w:sz w:val="20"/>
        </w:rPr>
        <w:t xml:space="preserve"> </w:t>
      </w:r>
      <w:r>
        <w:rPr>
          <w:color w:val="231F20"/>
          <w:sz w:val="20"/>
        </w:rPr>
        <w:t>discuss</w:t>
      </w:r>
      <w:r>
        <w:rPr>
          <w:color w:val="231F20"/>
          <w:spacing w:val="-6"/>
          <w:sz w:val="20"/>
        </w:rPr>
        <w:t xml:space="preserve"> </w:t>
      </w:r>
      <w:r>
        <w:rPr>
          <w:color w:val="231F20"/>
          <w:sz w:val="20"/>
        </w:rPr>
        <w:t>in</w:t>
      </w:r>
      <w:r>
        <w:rPr>
          <w:color w:val="231F20"/>
          <w:spacing w:val="-5"/>
          <w:sz w:val="20"/>
        </w:rPr>
        <w:t xml:space="preserve"> </w:t>
      </w:r>
      <w:r>
        <w:rPr>
          <w:color w:val="231F20"/>
          <w:spacing w:val="-3"/>
          <w:sz w:val="20"/>
        </w:rPr>
        <w:t>Chapter</w:t>
      </w:r>
      <w:r>
        <w:rPr>
          <w:color w:val="231F20"/>
          <w:spacing w:val="-5"/>
          <w:sz w:val="20"/>
        </w:rPr>
        <w:t xml:space="preserve"> </w:t>
      </w:r>
      <w:r>
        <w:rPr>
          <w:color w:val="231F20"/>
          <w:sz w:val="20"/>
        </w:rPr>
        <w:t>5,</w:t>
      </w:r>
      <w:r>
        <w:rPr>
          <w:color w:val="231F20"/>
          <w:spacing w:val="-6"/>
          <w:sz w:val="20"/>
        </w:rPr>
        <w:t xml:space="preserve"> </w:t>
      </w:r>
      <w:r>
        <w:rPr>
          <w:color w:val="231F20"/>
          <w:spacing w:val="-3"/>
          <w:sz w:val="20"/>
        </w:rPr>
        <w:t>timely</w:t>
      </w:r>
      <w:r>
        <w:rPr>
          <w:color w:val="231F20"/>
          <w:spacing w:val="-5"/>
          <w:sz w:val="20"/>
        </w:rPr>
        <w:t xml:space="preserve"> </w:t>
      </w:r>
      <w:r>
        <w:rPr>
          <w:color w:val="231F20"/>
          <w:sz w:val="20"/>
        </w:rPr>
        <w:t>support</w:t>
      </w:r>
      <w:r>
        <w:rPr>
          <w:color w:val="231F20"/>
          <w:spacing w:val="-5"/>
          <w:sz w:val="20"/>
        </w:rPr>
        <w:t xml:space="preserve"> </w:t>
      </w:r>
      <w:r>
        <w:rPr>
          <w:color w:val="231F20"/>
          <w:sz w:val="20"/>
        </w:rPr>
        <w:t>also</w:t>
      </w:r>
      <w:r>
        <w:rPr>
          <w:color w:val="231F20"/>
          <w:spacing w:val="-6"/>
          <w:sz w:val="20"/>
        </w:rPr>
        <w:t xml:space="preserve"> </w:t>
      </w:r>
      <w:r>
        <w:rPr>
          <w:color w:val="231F20"/>
          <w:sz w:val="20"/>
        </w:rPr>
        <w:t>means</w:t>
      </w:r>
      <w:r>
        <w:rPr>
          <w:color w:val="231F20"/>
          <w:spacing w:val="-5"/>
          <w:sz w:val="20"/>
        </w:rPr>
        <w:t xml:space="preserve"> </w:t>
      </w:r>
      <w:r>
        <w:rPr>
          <w:color w:val="231F20"/>
          <w:sz w:val="20"/>
        </w:rPr>
        <w:t>the</w:t>
      </w:r>
      <w:r>
        <w:rPr>
          <w:color w:val="231F20"/>
          <w:spacing w:val="-5"/>
          <w:sz w:val="20"/>
        </w:rPr>
        <w:t xml:space="preserve"> </w:t>
      </w:r>
      <w:r>
        <w:rPr>
          <w:color w:val="231F20"/>
          <w:sz w:val="20"/>
        </w:rPr>
        <w:t>cyberstalking</w:t>
      </w:r>
      <w:r>
        <w:rPr>
          <w:color w:val="231F20"/>
          <w:spacing w:val="-6"/>
          <w:sz w:val="20"/>
        </w:rPr>
        <w:t xml:space="preserve"> </w:t>
      </w:r>
      <w:r>
        <w:rPr>
          <w:color w:val="231F20"/>
          <w:sz w:val="20"/>
        </w:rPr>
        <w:t>can</w:t>
      </w:r>
      <w:r>
        <w:rPr>
          <w:color w:val="231F20"/>
          <w:spacing w:val="-5"/>
          <w:sz w:val="20"/>
        </w:rPr>
        <w:t xml:space="preserve"> </w:t>
      </w:r>
      <w:r>
        <w:rPr>
          <w:color w:val="231F20"/>
          <w:sz w:val="20"/>
        </w:rPr>
        <w:t xml:space="preserve">be </w:t>
      </w:r>
      <w:r>
        <w:rPr>
          <w:color w:val="231F20"/>
          <w:spacing w:val="-3"/>
          <w:sz w:val="20"/>
        </w:rPr>
        <w:t xml:space="preserve">detected </w:t>
      </w:r>
      <w:r>
        <w:rPr>
          <w:color w:val="231F20"/>
          <w:sz w:val="20"/>
        </w:rPr>
        <w:t>and stopped as soon as</w:t>
      </w:r>
      <w:r>
        <w:rPr>
          <w:color w:val="231F20"/>
          <w:spacing w:val="-23"/>
          <w:sz w:val="20"/>
        </w:rPr>
        <w:t xml:space="preserve"> </w:t>
      </w:r>
      <w:r>
        <w:rPr>
          <w:color w:val="231F20"/>
          <w:sz w:val="20"/>
        </w:rPr>
        <w:t>possible.</w:t>
      </w:r>
    </w:p>
    <w:p w14:paraId="09C9053A" w14:textId="77777777" w:rsidR="00894070" w:rsidRDefault="00894070">
      <w:pPr>
        <w:pStyle w:val="BodyText"/>
        <w:spacing w:before="9"/>
        <w:rPr>
          <w:sz w:val="15"/>
        </w:rPr>
      </w:pPr>
    </w:p>
    <w:p w14:paraId="7FDA255C" w14:textId="77777777" w:rsidR="00894070" w:rsidRDefault="009B7AFD">
      <w:pPr>
        <w:pStyle w:val="Heading8"/>
        <w:spacing w:before="1"/>
        <w:ind w:left="1007"/>
      </w:pPr>
      <w:r>
        <w:rPr>
          <w:color w:val="231F20"/>
        </w:rPr>
        <w:t>Support needs to be regulated and</w:t>
      </w:r>
      <w:r>
        <w:rPr>
          <w:color w:val="231F20"/>
          <w:spacing w:val="-20"/>
        </w:rPr>
        <w:t xml:space="preserve"> </w:t>
      </w:r>
      <w:r>
        <w:rPr>
          <w:color w:val="231F20"/>
        </w:rPr>
        <w:t>safe</w:t>
      </w:r>
    </w:p>
    <w:p w14:paraId="6ED82977" w14:textId="77777777" w:rsidR="00894070" w:rsidRDefault="009B7AFD">
      <w:pPr>
        <w:pStyle w:val="ListParagraph"/>
        <w:numPr>
          <w:ilvl w:val="1"/>
          <w:numId w:val="161"/>
        </w:numPr>
        <w:tabs>
          <w:tab w:val="left" w:pos="1801"/>
          <w:tab w:val="left" w:pos="1802"/>
        </w:tabs>
        <w:spacing w:before="127" w:line="206" w:lineRule="auto"/>
        <w:ind w:right="1190"/>
        <w:rPr>
          <w:sz w:val="11"/>
        </w:rPr>
      </w:pPr>
      <w:r>
        <w:rPr>
          <w:color w:val="231F20"/>
          <w:spacing w:val="-6"/>
          <w:sz w:val="20"/>
        </w:rPr>
        <w:t>We</w:t>
      </w:r>
      <w:r>
        <w:rPr>
          <w:color w:val="231F20"/>
          <w:spacing w:val="-12"/>
          <w:sz w:val="20"/>
        </w:rPr>
        <w:t xml:space="preserve"> </w:t>
      </w:r>
      <w:r>
        <w:rPr>
          <w:color w:val="231F20"/>
          <w:sz w:val="20"/>
        </w:rPr>
        <w:t>heard</w:t>
      </w:r>
      <w:r>
        <w:rPr>
          <w:color w:val="231F20"/>
          <w:spacing w:val="-11"/>
          <w:sz w:val="20"/>
        </w:rPr>
        <w:t xml:space="preserve"> </w:t>
      </w:r>
      <w:r>
        <w:rPr>
          <w:color w:val="231F20"/>
          <w:sz w:val="20"/>
        </w:rPr>
        <w:t>that</w:t>
      </w:r>
      <w:r>
        <w:rPr>
          <w:color w:val="231F20"/>
          <w:spacing w:val="-11"/>
          <w:sz w:val="20"/>
        </w:rPr>
        <w:t xml:space="preserve"> </w:t>
      </w:r>
      <w:r>
        <w:rPr>
          <w:color w:val="231F20"/>
          <w:spacing w:val="-3"/>
          <w:sz w:val="20"/>
        </w:rPr>
        <w:t>private</w:t>
      </w:r>
      <w:r>
        <w:rPr>
          <w:color w:val="231F20"/>
          <w:spacing w:val="-11"/>
          <w:sz w:val="20"/>
        </w:rPr>
        <w:t xml:space="preserve"> </w:t>
      </w:r>
      <w:r>
        <w:rPr>
          <w:color w:val="231F20"/>
          <w:sz w:val="20"/>
        </w:rPr>
        <w:t>technology</w:t>
      </w:r>
      <w:r>
        <w:rPr>
          <w:color w:val="231F20"/>
          <w:spacing w:val="-11"/>
          <w:sz w:val="20"/>
        </w:rPr>
        <w:t xml:space="preserve"> </w:t>
      </w:r>
      <w:r>
        <w:rPr>
          <w:color w:val="231F20"/>
          <w:sz w:val="20"/>
        </w:rPr>
        <w:t>companies</w:t>
      </w:r>
      <w:r>
        <w:rPr>
          <w:color w:val="231F20"/>
          <w:spacing w:val="-11"/>
          <w:sz w:val="20"/>
        </w:rPr>
        <w:t xml:space="preserve"> </w:t>
      </w:r>
      <w:r>
        <w:rPr>
          <w:color w:val="231F20"/>
          <w:sz w:val="20"/>
        </w:rPr>
        <w:t>can</w:t>
      </w:r>
      <w:r>
        <w:rPr>
          <w:color w:val="231F20"/>
          <w:spacing w:val="-11"/>
          <w:sz w:val="20"/>
        </w:rPr>
        <w:t xml:space="preserve"> </w:t>
      </w:r>
      <w:r>
        <w:rPr>
          <w:color w:val="231F20"/>
          <w:sz w:val="20"/>
        </w:rPr>
        <w:t>take</w:t>
      </w:r>
      <w:r>
        <w:rPr>
          <w:color w:val="231F20"/>
          <w:spacing w:val="-11"/>
          <w:sz w:val="20"/>
        </w:rPr>
        <w:t xml:space="preserve"> </w:t>
      </w:r>
      <w:r>
        <w:rPr>
          <w:color w:val="231F20"/>
          <w:sz w:val="20"/>
        </w:rPr>
        <w:t>advantage</w:t>
      </w:r>
      <w:r>
        <w:rPr>
          <w:color w:val="231F20"/>
          <w:spacing w:val="-11"/>
          <w:sz w:val="20"/>
        </w:rPr>
        <w:t xml:space="preserve"> </w:t>
      </w:r>
      <w:r>
        <w:rPr>
          <w:color w:val="231F20"/>
          <w:sz w:val="20"/>
        </w:rPr>
        <w:t>of</w:t>
      </w:r>
      <w:r>
        <w:rPr>
          <w:color w:val="231F20"/>
          <w:spacing w:val="-11"/>
          <w:sz w:val="20"/>
        </w:rPr>
        <w:t xml:space="preserve"> </w:t>
      </w:r>
      <w:r>
        <w:rPr>
          <w:color w:val="231F20"/>
          <w:sz w:val="20"/>
        </w:rPr>
        <w:t>victim</w:t>
      </w:r>
      <w:r>
        <w:rPr>
          <w:color w:val="231F20"/>
          <w:spacing w:val="-11"/>
          <w:sz w:val="20"/>
        </w:rPr>
        <w:t xml:space="preserve"> </w:t>
      </w:r>
      <w:r>
        <w:rPr>
          <w:color w:val="231F20"/>
          <w:sz w:val="20"/>
        </w:rPr>
        <w:t>survivors</w:t>
      </w:r>
      <w:r>
        <w:rPr>
          <w:color w:val="231F20"/>
          <w:spacing w:val="-11"/>
          <w:sz w:val="20"/>
        </w:rPr>
        <w:t xml:space="preserve"> </w:t>
      </w:r>
      <w:r>
        <w:rPr>
          <w:color w:val="231F20"/>
          <w:spacing w:val="-3"/>
          <w:sz w:val="20"/>
        </w:rPr>
        <w:t xml:space="preserve">by </w:t>
      </w:r>
      <w:r>
        <w:rPr>
          <w:color w:val="231F20"/>
          <w:sz w:val="20"/>
        </w:rPr>
        <w:t>price gouging.</w:t>
      </w:r>
      <w:r>
        <w:rPr>
          <w:color w:val="231F20"/>
          <w:position w:val="7"/>
          <w:sz w:val="11"/>
        </w:rPr>
        <w:t xml:space="preserve">136 </w:t>
      </w:r>
      <w:r>
        <w:rPr>
          <w:color w:val="231F20"/>
          <w:spacing w:val="-6"/>
          <w:sz w:val="20"/>
        </w:rPr>
        <w:t xml:space="preserve">We </w:t>
      </w:r>
      <w:r>
        <w:rPr>
          <w:color w:val="231F20"/>
          <w:sz w:val="20"/>
        </w:rPr>
        <w:t xml:space="preserve">heard of companies charging </w:t>
      </w:r>
      <w:r>
        <w:rPr>
          <w:color w:val="231F20"/>
          <w:spacing w:val="-3"/>
          <w:sz w:val="20"/>
        </w:rPr>
        <w:t xml:space="preserve">roughly </w:t>
      </w:r>
      <w:r>
        <w:rPr>
          <w:color w:val="231F20"/>
          <w:sz w:val="20"/>
        </w:rPr>
        <w:t>$5000–6000 to check cars and</w:t>
      </w:r>
      <w:r>
        <w:rPr>
          <w:color w:val="231F20"/>
          <w:spacing w:val="-4"/>
          <w:sz w:val="20"/>
        </w:rPr>
        <w:t xml:space="preserve"> </w:t>
      </w:r>
      <w:r>
        <w:rPr>
          <w:color w:val="231F20"/>
          <w:sz w:val="20"/>
        </w:rPr>
        <w:t>phones.</w:t>
      </w:r>
      <w:r>
        <w:rPr>
          <w:color w:val="231F20"/>
          <w:position w:val="7"/>
          <w:sz w:val="11"/>
        </w:rPr>
        <w:t>137</w:t>
      </w:r>
    </w:p>
    <w:p w14:paraId="75BB9B8F" w14:textId="77777777" w:rsidR="00894070" w:rsidRDefault="009B7AFD">
      <w:pPr>
        <w:pStyle w:val="ListParagraph"/>
        <w:numPr>
          <w:ilvl w:val="1"/>
          <w:numId w:val="161"/>
        </w:numPr>
        <w:tabs>
          <w:tab w:val="left" w:pos="1801"/>
          <w:tab w:val="left" w:pos="1802"/>
        </w:tabs>
        <w:spacing w:before="123" w:line="206" w:lineRule="auto"/>
        <w:ind w:right="1206"/>
        <w:rPr>
          <w:sz w:val="20"/>
        </w:rPr>
      </w:pPr>
      <w:r>
        <w:rPr>
          <w:color w:val="231F20"/>
          <w:sz w:val="20"/>
        </w:rPr>
        <w:t>eSafety</w:t>
      </w:r>
      <w:r>
        <w:rPr>
          <w:color w:val="231F20"/>
          <w:spacing w:val="-11"/>
          <w:sz w:val="20"/>
        </w:rPr>
        <w:t xml:space="preserve"> </w:t>
      </w:r>
      <w:r>
        <w:rPr>
          <w:color w:val="231F20"/>
          <w:spacing w:val="-3"/>
          <w:sz w:val="20"/>
        </w:rPr>
        <w:t>told</w:t>
      </w:r>
      <w:r>
        <w:rPr>
          <w:color w:val="231F20"/>
          <w:spacing w:val="-10"/>
          <w:sz w:val="20"/>
        </w:rPr>
        <w:t xml:space="preserve"> </w:t>
      </w:r>
      <w:r>
        <w:rPr>
          <w:color w:val="231F20"/>
          <w:sz w:val="20"/>
        </w:rPr>
        <w:t>us</w:t>
      </w:r>
      <w:r>
        <w:rPr>
          <w:color w:val="231F20"/>
          <w:spacing w:val="-11"/>
          <w:sz w:val="20"/>
        </w:rPr>
        <w:t xml:space="preserve"> </w:t>
      </w:r>
      <w:r>
        <w:rPr>
          <w:color w:val="231F20"/>
          <w:sz w:val="20"/>
        </w:rPr>
        <w:t>that</w:t>
      </w:r>
      <w:r>
        <w:rPr>
          <w:color w:val="231F20"/>
          <w:spacing w:val="-10"/>
          <w:sz w:val="20"/>
        </w:rPr>
        <w:t xml:space="preserve"> </w:t>
      </w:r>
      <w:r>
        <w:rPr>
          <w:color w:val="231F20"/>
          <w:sz w:val="20"/>
        </w:rPr>
        <w:t>while</w:t>
      </w:r>
      <w:r>
        <w:rPr>
          <w:color w:val="231F20"/>
          <w:spacing w:val="-10"/>
          <w:sz w:val="20"/>
        </w:rPr>
        <w:t xml:space="preserve"> </w:t>
      </w:r>
      <w:r>
        <w:rPr>
          <w:color w:val="231F20"/>
          <w:sz w:val="20"/>
        </w:rPr>
        <w:t>practical</w:t>
      </w:r>
      <w:r>
        <w:rPr>
          <w:color w:val="231F20"/>
          <w:spacing w:val="-11"/>
          <w:sz w:val="20"/>
        </w:rPr>
        <w:t xml:space="preserve"> </w:t>
      </w:r>
      <w:r>
        <w:rPr>
          <w:color w:val="231F20"/>
          <w:sz w:val="20"/>
        </w:rPr>
        <w:t>support</w:t>
      </w:r>
      <w:r>
        <w:rPr>
          <w:color w:val="231F20"/>
          <w:spacing w:val="-10"/>
          <w:sz w:val="20"/>
        </w:rPr>
        <w:t xml:space="preserve"> </w:t>
      </w:r>
      <w:r>
        <w:rPr>
          <w:color w:val="231F20"/>
          <w:sz w:val="20"/>
        </w:rPr>
        <w:t>such</w:t>
      </w:r>
      <w:r>
        <w:rPr>
          <w:color w:val="231F20"/>
          <w:spacing w:val="-11"/>
          <w:sz w:val="20"/>
        </w:rPr>
        <w:t xml:space="preserve"> </w:t>
      </w:r>
      <w:r>
        <w:rPr>
          <w:color w:val="231F20"/>
          <w:sz w:val="20"/>
        </w:rPr>
        <w:t>as</w:t>
      </w:r>
      <w:r>
        <w:rPr>
          <w:color w:val="231F20"/>
          <w:spacing w:val="-10"/>
          <w:sz w:val="20"/>
        </w:rPr>
        <w:t xml:space="preserve"> </w:t>
      </w:r>
      <w:r>
        <w:rPr>
          <w:color w:val="231F20"/>
          <w:sz w:val="20"/>
        </w:rPr>
        <w:t>tech-sweeping</w:t>
      </w:r>
      <w:r>
        <w:rPr>
          <w:color w:val="231F20"/>
          <w:spacing w:val="-10"/>
          <w:sz w:val="20"/>
        </w:rPr>
        <w:t xml:space="preserve"> </w:t>
      </w:r>
      <w:r>
        <w:rPr>
          <w:color w:val="231F20"/>
          <w:sz w:val="20"/>
        </w:rPr>
        <w:t>services</w:t>
      </w:r>
      <w:r>
        <w:rPr>
          <w:color w:val="231F20"/>
          <w:spacing w:val="-11"/>
          <w:sz w:val="20"/>
        </w:rPr>
        <w:t xml:space="preserve"> </w:t>
      </w:r>
      <w:r>
        <w:rPr>
          <w:color w:val="231F20"/>
          <w:spacing w:val="-3"/>
          <w:sz w:val="20"/>
        </w:rPr>
        <w:t>are</w:t>
      </w:r>
      <w:r>
        <w:rPr>
          <w:color w:val="231F20"/>
          <w:spacing w:val="-10"/>
          <w:sz w:val="20"/>
        </w:rPr>
        <w:t xml:space="preserve"> </w:t>
      </w:r>
      <w:r>
        <w:rPr>
          <w:color w:val="231F20"/>
          <w:sz w:val="20"/>
        </w:rPr>
        <w:t xml:space="preserve">critical, this support lacks a </w:t>
      </w:r>
      <w:r>
        <w:rPr>
          <w:color w:val="231F20"/>
          <w:spacing w:val="-3"/>
          <w:sz w:val="20"/>
        </w:rPr>
        <w:t>coordinated</w:t>
      </w:r>
      <w:r>
        <w:rPr>
          <w:color w:val="231F20"/>
          <w:spacing w:val="-21"/>
          <w:sz w:val="20"/>
        </w:rPr>
        <w:t xml:space="preserve"> </w:t>
      </w:r>
      <w:r>
        <w:rPr>
          <w:color w:val="231F20"/>
          <w:sz w:val="20"/>
        </w:rPr>
        <w:t>approach:</w:t>
      </w:r>
    </w:p>
    <w:p w14:paraId="394BBB5B" w14:textId="77777777" w:rsidR="00894070" w:rsidRDefault="009B7AFD">
      <w:pPr>
        <w:spacing w:before="121" w:line="208" w:lineRule="auto"/>
        <w:ind w:left="2254" w:right="1106"/>
        <w:rPr>
          <w:sz w:val="11"/>
        </w:rPr>
      </w:pPr>
      <w:r>
        <w:rPr>
          <w:color w:val="231F20"/>
          <w:sz w:val="19"/>
        </w:rPr>
        <w:t>there is a gap in service provision for circumstances where there are unsafe intentions and a fear that a device may be corrupted with tracking software or worse, that there is physical tracking occurring, or a camera located in the house, car, or amongst personal possessions. Where do people, mainly women, take these belongings to have them scanned or swept to see if anything malicious is there? There are some services available, but they are not coordinated under an umbrella, or central referral point. There is no accreditation to that.</w:t>
      </w:r>
      <w:r>
        <w:rPr>
          <w:color w:val="231F20"/>
          <w:position w:val="6"/>
          <w:sz w:val="11"/>
        </w:rPr>
        <w:t>138</w:t>
      </w:r>
    </w:p>
    <w:p w14:paraId="295F5605" w14:textId="77777777" w:rsidR="00894070" w:rsidRDefault="009B7AFD">
      <w:pPr>
        <w:pStyle w:val="ListParagraph"/>
        <w:numPr>
          <w:ilvl w:val="1"/>
          <w:numId w:val="161"/>
        </w:numPr>
        <w:tabs>
          <w:tab w:val="left" w:pos="1801"/>
          <w:tab w:val="left" w:pos="1802"/>
        </w:tabs>
        <w:spacing w:before="94" w:line="259" w:lineRule="exact"/>
        <w:rPr>
          <w:sz w:val="20"/>
        </w:rPr>
      </w:pPr>
      <w:r>
        <w:rPr>
          <w:color w:val="231F20"/>
          <w:sz w:val="20"/>
        </w:rPr>
        <w:t>Some</w:t>
      </w:r>
      <w:r>
        <w:rPr>
          <w:color w:val="231F20"/>
          <w:spacing w:val="-5"/>
          <w:sz w:val="20"/>
        </w:rPr>
        <w:t xml:space="preserve"> </w:t>
      </w:r>
      <w:r>
        <w:rPr>
          <w:color w:val="231F20"/>
          <w:sz w:val="20"/>
        </w:rPr>
        <w:t>people</w:t>
      </w:r>
      <w:r>
        <w:rPr>
          <w:color w:val="231F20"/>
          <w:spacing w:val="-5"/>
          <w:sz w:val="20"/>
        </w:rPr>
        <w:t xml:space="preserve"> </w:t>
      </w:r>
      <w:r>
        <w:rPr>
          <w:color w:val="231F20"/>
          <w:spacing w:val="-3"/>
          <w:sz w:val="20"/>
        </w:rPr>
        <w:t>we</w:t>
      </w:r>
      <w:r>
        <w:rPr>
          <w:color w:val="231F20"/>
          <w:spacing w:val="-5"/>
          <w:sz w:val="20"/>
        </w:rPr>
        <w:t xml:space="preserve"> </w:t>
      </w:r>
      <w:r>
        <w:rPr>
          <w:color w:val="231F20"/>
          <w:spacing w:val="-3"/>
          <w:sz w:val="20"/>
        </w:rPr>
        <w:t>consulted</w:t>
      </w:r>
      <w:r>
        <w:rPr>
          <w:color w:val="231F20"/>
          <w:spacing w:val="-5"/>
          <w:sz w:val="20"/>
        </w:rPr>
        <w:t xml:space="preserve"> </w:t>
      </w:r>
      <w:r>
        <w:rPr>
          <w:color w:val="231F20"/>
          <w:sz w:val="20"/>
        </w:rPr>
        <w:t>suggested</w:t>
      </w:r>
      <w:r>
        <w:rPr>
          <w:color w:val="231F20"/>
          <w:spacing w:val="-5"/>
          <w:sz w:val="20"/>
        </w:rPr>
        <w:t xml:space="preserve"> </w:t>
      </w:r>
      <w:r>
        <w:rPr>
          <w:color w:val="231F20"/>
          <w:sz w:val="20"/>
        </w:rPr>
        <w:t>more</w:t>
      </w:r>
      <w:r>
        <w:rPr>
          <w:color w:val="231F20"/>
          <w:spacing w:val="-5"/>
          <w:sz w:val="20"/>
        </w:rPr>
        <w:t xml:space="preserve"> </w:t>
      </w:r>
      <w:r>
        <w:rPr>
          <w:color w:val="231F20"/>
          <w:sz w:val="20"/>
        </w:rPr>
        <w:t>regulation</w:t>
      </w:r>
      <w:r>
        <w:rPr>
          <w:color w:val="231F20"/>
          <w:spacing w:val="-4"/>
          <w:sz w:val="20"/>
        </w:rPr>
        <w:t xml:space="preserve"> </w:t>
      </w:r>
      <w:r>
        <w:rPr>
          <w:color w:val="231F20"/>
          <w:sz w:val="20"/>
        </w:rPr>
        <w:t>in</w:t>
      </w:r>
      <w:r>
        <w:rPr>
          <w:color w:val="231F20"/>
          <w:spacing w:val="-5"/>
          <w:sz w:val="20"/>
        </w:rPr>
        <w:t xml:space="preserve"> </w:t>
      </w:r>
      <w:r>
        <w:rPr>
          <w:color w:val="231F20"/>
          <w:sz w:val="20"/>
        </w:rPr>
        <w:t>this</w:t>
      </w:r>
      <w:r>
        <w:rPr>
          <w:color w:val="231F20"/>
          <w:spacing w:val="-5"/>
          <w:sz w:val="20"/>
        </w:rPr>
        <w:t xml:space="preserve"> </w:t>
      </w:r>
      <w:r>
        <w:rPr>
          <w:color w:val="231F20"/>
          <w:sz w:val="20"/>
        </w:rPr>
        <w:t>area,</w:t>
      </w:r>
      <w:r>
        <w:rPr>
          <w:color w:val="231F20"/>
          <w:spacing w:val="-5"/>
          <w:sz w:val="20"/>
        </w:rPr>
        <w:t xml:space="preserve"> </w:t>
      </w:r>
      <w:r>
        <w:rPr>
          <w:color w:val="231F20"/>
          <w:sz w:val="20"/>
        </w:rPr>
        <w:t>and</w:t>
      </w:r>
      <w:r>
        <w:rPr>
          <w:color w:val="231F20"/>
          <w:spacing w:val="-5"/>
          <w:sz w:val="20"/>
        </w:rPr>
        <w:t xml:space="preserve"> </w:t>
      </w:r>
      <w:r>
        <w:rPr>
          <w:color w:val="231F20"/>
          <w:spacing w:val="-4"/>
          <w:sz w:val="20"/>
        </w:rPr>
        <w:t>‘a</w:t>
      </w:r>
    </w:p>
    <w:p w14:paraId="4973CDFD" w14:textId="77777777" w:rsidR="00894070" w:rsidRDefault="009B7AFD">
      <w:pPr>
        <w:pStyle w:val="BodyText"/>
        <w:spacing w:before="13" w:line="206" w:lineRule="auto"/>
        <w:ind w:left="1801" w:right="1219"/>
        <w:rPr>
          <w:sz w:val="11"/>
        </w:rPr>
      </w:pPr>
      <w:r>
        <w:rPr>
          <w:color w:val="231F20"/>
        </w:rPr>
        <w:t xml:space="preserve">consumer </w:t>
      </w:r>
      <w:r>
        <w:rPr>
          <w:color w:val="231F20"/>
          <w:spacing w:val="-4"/>
        </w:rPr>
        <w:t xml:space="preserve">review </w:t>
      </w:r>
      <w:r>
        <w:rPr>
          <w:color w:val="231F20"/>
          <w:spacing w:val="-3"/>
        </w:rPr>
        <w:t xml:space="preserve">process’ for </w:t>
      </w:r>
      <w:r>
        <w:rPr>
          <w:color w:val="231F20"/>
        </w:rPr>
        <w:t xml:space="preserve">these services </w:t>
      </w:r>
      <w:r>
        <w:rPr>
          <w:color w:val="231F20"/>
          <w:spacing w:val="-3"/>
        </w:rPr>
        <w:t xml:space="preserve">overseen by </w:t>
      </w:r>
      <w:r>
        <w:rPr>
          <w:color w:val="231F20"/>
        </w:rPr>
        <w:t>experts or victim support organisations.</w:t>
      </w:r>
      <w:r>
        <w:rPr>
          <w:color w:val="231F20"/>
          <w:position w:val="7"/>
          <w:sz w:val="11"/>
        </w:rPr>
        <w:t xml:space="preserve">139 </w:t>
      </w:r>
      <w:r>
        <w:rPr>
          <w:color w:val="231F20"/>
        </w:rPr>
        <w:t xml:space="preserve">Domestic Violence Victoria and Domestic Violence </w:t>
      </w:r>
      <w:r>
        <w:rPr>
          <w:color w:val="231F20"/>
          <w:spacing w:val="-3"/>
        </w:rPr>
        <w:t xml:space="preserve">Resource Centre </w:t>
      </w:r>
      <w:r>
        <w:rPr>
          <w:color w:val="231F20"/>
        </w:rPr>
        <w:t xml:space="preserve">Victoria stated that regulation is needed to </w:t>
      </w:r>
      <w:r>
        <w:rPr>
          <w:color w:val="231F20"/>
          <w:spacing w:val="-3"/>
        </w:rPr>
        <w:t xml:space="preserve">‘safeguard </w:t>
      </w:r>
      <w:r>
        <w:rPr>
          <w:color w:val="231F20"/>
        </w:rPr>
        <w:t xml:space="preserve">against perpetrators </w:t>
      </w:r>
      <w:r>
        <w:rPr>
          <w:color w:val="231F20"/>
          <w:spacing w:val="-2"/>
        </w:rPr>
        <w:t xml:space="preserve">infiltrating </w:t>
      </w:r>
      <w:r>
        <w:rPr>
          <w:color w:val="231F20"/>
        </w:rPr>
        <w:t xml:space="preserve">their </w:t>
      </w:r>
      <w:r>
        <w:rPr>
          <w:color w:val="231F20"/>
          <w:spacing w:val="-3"/>
        </w:rPr>
        <w:t>systems’.</w:t>
      </w:r>
      <w:r>
        <w:rPr>
          <w:color w:val="231F20"/>
          <w:spacing w:val="-3"/>
          <w:position w:val="7"/>
          <w:sz w:val="11"/>
        </w:rPr>
        <w:t xml:space="preserve">140 </w:t>
      </w:r>
      <w:r>
        <w:rPr>
          <w:color w:val="231F20"/>
        </w:rPr>
        <w:t>Victoria Police noted that services which help with the identification and</w:t>
      </w:r>
      <w:r>
        <w:rPr>
          <w:color w:val="231F20"/>
          <w:spacing w:val="-10"/>
        </w:rPr>
        <w:t xml:space="preserve"> </w:t>
      </w:r>
      <w:r>
        <w:rPr>
          <w:color w:val="231F20"/>
          <w:spacing w:val="-3"/>
        </w:rPr>
        <w:t>removal</w:t>
      </w:r>
      <w:r>
        <w:rPr>
          <w:color w:val="231F20"/>
          <w:spacing w:val="-10"/>
        </w:rPr>
        <w:t xml:space="preserve"> </w:t>
      </w:r>
      <w:r>
        <w:rPr>
          <w:color w:val="231F20"/>
        </w:rPr>
        <w:t>of</w:t>
      </w:r>
      <w:r>
        <w:rPr>
          <w:color w:val="231F20"/>
          <w:spacing w:val="-9"/>
        </w:rPr>
        <w:t xml:space="preserve"> </w:t>
      </w:r>
      <w:r>
        <w:rPr>
          <w:color w:val="231F20"/>
        </w:rPr>
        <w:t>tracking</w:t>
      </w:r>
      <w:r>
        <w:rPr>
          <w:color w:val="231F20"/>
          <w:spacing w:val="-10"/>
        </w:rPr>
        <w:t xml:space="preserve"> </w:t>
      </w:r>
      <w:r>
        <w:rPr>
          <w:color w:val="231F20"/>
          <w:spacing w:val="-3"/>
        </w:rPr>
        <w:t>devices</w:t>
      </w:r>
      <w:r>
        <w:rPr>
          <w:color w:val="231F20"/>
          <w:spacing w:val="-10"/>
        </w:rPr>
        <w:t xml:space="preserve"> </w:t>
      </w:r>
      <w:r>
        <w:rPr>
          <w:color w:val="231F20"/>
        </w:rPr>
        <w:t>should</w:t>
      </w:r>
      <w:r>
        <w:rPr>
          <w:color w:val="231F20"/>
          <w:spacing w:val="-10"/>
        </w:rPr>
        <w:t xml:space="preserve"> </w:t>
      </w:r>
      <w:r>
        <w:rPr>
          <w:color w:val="231F20"/>
        </w:rPr>
        <w:t>not</w:t>
      </w:r>
      <w:r>
        <w:rPr>
          <w:color w:val="231F20"/>
          <w:spacing w:val="-9"/>
        </w:rPr>
        <w:t xml:space="preserve"> </w:t>
      </w:r>
      <w:r>
        <w:rPr>
          <w:color w:val="231F20"/>
        </w:rPr>
        <w:t>also</w:t>
      </w:r>
      <w:r>
        <w:rPr>
          <w:color w:val="231F20"/>
          <w:spacing w:val="-10"/>
        </w:rPr>
        <w:t xml:space="preserve"> </w:t>
      </w:r>
      <w:r>
        <w:rPr>
          <w:color w:val="231F20"/>
        </w:rPr>
        <w:t>be</w:t>
      </w:r>
      <w:r>
        <w:rPr>
          <w:color w:val="231F20"/>
          <w:spacing w:val="-10"/>
        </w:rPr>
        <w:t xml:space="preserve"> </w:t>
      </w:r>
      <w:r>
        <w:rPr>
          <w:color w:val="231F20"/>
        </w:rPr>
        <w:t>able</w:t>
      </w:r>
      <w:r>
        <w:rPr>
          <w:color w:val="231F20"/>
          <w:spacing w:val="-9"/>
        </w:rPr>
        <w:t xml:space="preserve"> </w:t>
      </w:r>
      <w:r>
        <w:rPr>
          <w:color w:val="231F20"/>
        </w:rPr>
        <w:t>to</w:t>
      </w:r>
      <w:r>
        <w:rPr>
          <w:color w:val="231F20"/>
          <w:spacing w:val="-10"/>
        </w:rPr>
        <w:t xml:space="preserve"> </w:t>
      </w:r>
      <w:r>
        <w:rPr>
          <w:color w:val="231F20"/>
        </w:rPr>
        <w:t>offer</w:t>
      </w:r>
      <w:r>
        <w:rPr>
          <w:color w:val="231F20"/>
          <w:spacing w:val="-10"/>
        </w:rPr>
        <w:t xml:space="preserve"> </w:t>
      </w:r>
      <w:r>
        <w:rPr>
          <w:color w:val="231F20"/>
        </w:rPr>
        <w:t>installation</w:t>
      </w:r>
      <w:r>
        <w:rPr>
          <w:color w:val="231F20"/>
          <w:spacing w:val="-9"/>
        </w:rPr>
        <w:t xml:space="preserve"> </w:t>
      </w:r>
      <w:r>
        <w:rPr>
          <w:color w:val="231F20"/>
        </w:rPr>
        <w:t>services</w:t>
      </w:r>
      <w:r>
        <w:rPr>
          <w:color w:val="231F20"/>
          <w:spacing w:val="-10"/>
        </w:rPr>
        <w:t xml:space="preserve"> </w:t>
      </w:r>
      <w:r>
        <w:rPr>
          <w:color w:val="231F20"/>
        </w:rPr>
        <w:t>to anyone.</w:t>
      </w:r>
      <w:r>
        <w:rPr>
          <w:color w:val="231F20"/>
          <w:position w:val="7"/>
          <w:sz w:val="11"/>
        </w:rPr>
        <w:t>141</w:t>
      </w:r>
    </w:p>
    <w:p w14:paraId="7AB24A62" w14:textId="77777777" w:rsidR="00894070" w:rsidRDefault="009B7AFD">
      <w:pPr>
        <w:pStyle w:val="ListParagraph"/>
        <w:numPr>
          <w:ilvl w:val="1"/>
          <w:numId w:val="161"/>
        </w:numPr>
        <w:tabs>
          <w:tab w:val="left" w:pos="1801"/>
          <w:tab w:val="left" w:pos="1802"/>
        </w:tabs>
        <w:spacing w:before="128" w:line="206" w:lineRule="auto"/>
        <w:ind w:right="1219"/>
        <w:rPr>
          <w:sz w:val="20"/>
        </w:rPr>
      </w:pPr>
      <w:r>
        <w:rPr>
          <w:color w:val="231F20"/>
          <w:sz w:val="20"/>
        </w:rPr>
        <w:t xml:space="preserve">Victim survivors need to </w:t>
      </w:r>
      <w:r>
        <w:rPr>
          <w:color w:val="231F20"/>
          <w:spacing w:val="-3"/>
          <w:sz w:val="20"/>
        </w:rPr>
        <w:t xml:space="preserve">know </w:t>
      </w:r>
      <w:r>
        <w:rPr>
          <w:color w:val="231F20"/>
          <w:sz w:val="20"/>
        </w:rPr>
        <w:t xml:space="preserve">that when they seek </w:t>
      </w:r>
      <w:proofErr w:type="gramStart"/>
      <w:r>
        <w:rPr>
          <w:color w:val="231F20"/>
          <w:sz w:val="20"/>
        </w:rPr>
        <w:t>help</w:t>
      </w:r>
      <w:proofErr w:type="gramEnd"/>
      <w:r>
        <w:rPr>
          <w:color w:val="231F20"/>
          <w:sz w:val="20"/>
        </w:rPr>
        <w:t xml:space="preserve"> they will be </w:t>
      </w:r>
      <w:r>
        <w:rPr>
          <w:color w:val="231F20"/>
          <w:spacing w:val="-3"/>
          <w:sz w:val="20"/>
        </w:rPr>
        <w:t xml:space="preserve">treated </w:t>
      </w:r>
      <w:r>
        <w:rPr>
          <w:color w:val="231F20"/>
          <w:sz w:val="20"/>
        </w:rPr>
        <w:t>in a respectful</w:t>
      </w:r>
      <w:r>
        <w:rPr>
          <w:color w:val="231F20"/>
          <w:spacing w:val="-9"/>
          <w:sz w:val="20"/>
        </w:rPr>
        <w:t xml:space="preserve"> </w:t>
      </w:r>
      <w:r>
        <w:rPr>
          <w:color w:val="231F20"/>
          <w:sz w:val="20"/>
        </w:rPr>
        <w:t>and</w:t>
      </w:r>
      <w:r>
        <w:rPr>
          <w:color w:val="231F20"/>
          <w:spacing w:val="-9"/>
          <w:sz w:val="20"/>
        </w:rPr>
        <w:t xml:space="preserve"> </w:t>
      </w:r>
      <w:r>
        <w:rPr>
          <w:color w:val="231F20"/>
          <w:sz w:val="20"/>
        </w:rPr>
        <w:t>fair</w:t>
      </w:r>
      <w:r>
        <w:rPr>
          <w:color w:val="231F20"/>
          <w:spacing w:val="-9"/>
          <w:sz w:val="20"/>
        </w:rPr>
        <w:t xml:space="preserve"> </w:t>
      </w:r>
      <w:r>
        <w:rPr>
          <w:color w:val="231F20"/>
          <w:spacing w:val="-3"/>
          <w:sz w:val="20"/>
        </w:rPr>
        <w:t>way</w:t>
      </w:r>
      <w:r>
        <w:rPr>
          <w:color w:val="231F20"/>
          <w:spacing w:val="-9"/>
          <w:sz w:val="20"/>
        </w:rPr>
        <w:t xml:space="preserve"> </w:t>
      </w:r>
      <w:r>
        <w:rPr>
          <w:color w:val="231F20"/>
          <w:sz w:val="20"/>
        </w:rPr>
        <w:t>and</w:t>
      </w:r>
      <w:r>
        <w:rPr>
          <w:color w:val="231F20"/>
          <w:spacing w:val="-9"/>
          <w:sz w:val="20"/>
        </w:rPr>
        <w:t xml:space="preserve"> </w:t>
      </w:r>
      <w:r>
        <w:rPr>
          <w:color w:val="231F20"/>
          <w:sz w:val="20"/>
        </w:rPr>
        <w:t>will</w:t>
      </w:r>
      <w:r>
        <w:rPr>
          <w:color w:val="231F20"/>
          <w:spacing w:val="-9"/>
          <w:sz w:val="20"/>
        </w:rPr>
        <w:t xml:space="preserve"> </w:t>
      </w:r>
      <w:r>
        <w:rPr>
          <w:color w:val="231F20"/>
          <w:sz w:val="20"/>
        </w:rPr>
        <w:t>not</w:t>
      </w:r>
      <w:r>
        <w:rPr>
          <w:color w:val="231F20"/>
          <w:spacing w:val="-9"/>
          <w:sz w:val="20"/>
        </w:rPr>
        <w:t xml:space="preserve"> </w:t>
      </w:r>
      <w:r>
        <w:rPr>
          <w:color w:val="231F20"/>
          <w:sz w:val="20"/>
        </w:rPr>
        <w:t>be</w:t>
      </w:r>
      <w:r>
        <w:rPr>
          <w:color w:val="231F20"/>
          <w:spacing w:val="-9"/>
          <w:sz w:val="20"/>
        </w:rPr>
        <w:t xml:space="preserve"> </w:t>
      </w:r>
      <w:r>
        <w:rPr>
          <w:color w:val="231F20"/>
          <w:sz w:val="20"/>
        </w:rPr>
        <w:t>subject</w:t>
      </w:r>
      <w:r>
        <w:rPr>
          <w:color w:val="231F20"/>
          <w:spacing w:val="-9"/>
          <w:sz w:val="20"/>
        </w:rPr>
        <w:t xml:space="preserve"> </w:t>
      </w:r>
      <w:r>
        <w:rPr>
          <w:color w:val="231F20"/>
          <w:sz w:val="20"/>
        </w:rPr>
        <w:t>to</w:t>
      </w:r>
      <w:r>
        <w:rPr>
          <w:color w:val="231F20"/>
          <w:spacing w:val="-9"/>
          <w:sz w:val="20"/>
        </w:rPr>
        <w:t xml:space="preserve"> </w:t>
      </w:r>
      <w:r>
        <w:rPr>
          <w:color w:val="231F20"/>
          <w:sz w:val="20"/>
        </w:rPr>
        <w:t>further</w:t>
      </w:r>
      <w:r>
        <w:rPr>
          <w:color w:val="231F20"/>
          <w:spacing w:val="-9"/>
          <w:sz w:val="20"/>
        </w:rPr>
        <w:t xml:space="preserve"> </w:t>
      </w:r>
      <w:r>
        <w:rPr>
          <w:color w:val="231F20"/>
          <w:sz w:val="20"/>
        </w:rPr>
        <w:t>harm.</w:t>
      </w:r>
      <w:r>
        <w:rPr>
          <w:color w:val="231F20"/>
          <w:spacing w:val="-9"/>
          <w:sz w:val="20"/>
        </w:rPr>
        <w:t xml:space="preserve"> </w:t>
      </w:r>
      <w:r>
        <w:rPr>
          <w:color w:val="231F20"/>
          <w:spacing w:val="-6"/>
          <w:sz w:val="20"/>
        </w:rPr>
        <w:t>We</w:t>
      </w:r>
      <w:r>
        <w:rPr>
          <w:color w:val="231F20"/>
          <w:spacing w:val="-9"/>
          <w:sz w:val="20"/>
        </w:rPr>
        <w:t xml:space="preserve"> </w:t>
      </w:r>
      <w:r>
        <w:rPr>
          <w:color w:val="231F20"/>
          <w:sz w:val="20"/>
        </w:rPr>
        <w:t>recommend</w:t>
      </w:r>
      <w:r>
        <w:rPr>
          <w:color w:val="231F20"/>
          <w:spacing w:val="-9"/>
          <w:sz w:val="20"/>
        </w:rPr>
        <w:t xml:space="preserve"> </w:t>
      </w:r>
      <w:r>
        <w:rPr>
          <w:color w:val="231F20"/>
          <w:sz w:val="20"/>
        </w:rPr>
        <w:t>that</w:t>
      </w:r>
      <w:r>
        <w:rPr>
          <w:color w:val="231F20"/>
          <w:spacing w:val="-8"/>
          <w:sz w:val="20"/>
        </w:rPr>
        <w:t xml:space="preserve"> </w:t>
      </w:r>
      <w:r>
        <w:rPr>
          <w:color w:val="231F20"/>
          <w:spacing w:val="-3"/>
          <w:sz w:val="20"/>
        </w:rPr>
        <w:t xml:space="preserve">for </w:t>
      </w:r>
      <w:r>
        <w:rPr>
          <w:color w:val="231F20"/>
          <w:sz w:val="20"/>
        </w:rPr>
        <w:t>victim</w:t>
      </w:r>
      <w:r>
        <w:rPr>
          <w:color w:val="231F20"/>
          <w:spacing w:val="-7"/>
          <w:sz w:val="20"/>
        </w:rPr>
        <w:t xml:space="preserve"> </w:t>
      </w:r>
      <w:r>
        <w:rPr>
          <w:color w:val="231F20"/>
          <w:sz w:val="20"/>
        </w:rPr>
        <w:t>survivors</w:t>
      </w:r>
      <w:r>
        <w:rPr>
          <w:color w:val="231F20"/>
          <w:spacing w:val="-7"/>
          <w:sz w:val="20"/>
        </w:rPr>
        <w:t xml:space="preserve"> </w:t>
      </w:r>
      <w:r>
        <w:rPr>
          <w:color w:val="231F20"/>
          <w:sz w:val="20"/>
        </w:rPr>
        <w:t>of</w:t>
      </w:r>
      <w:r>
        <w:rPr>
          <w:color w:val="231F20"/>
          <w:spacing w:val="-7"/>
          <w:sz w:val="20"/>
        </w:rPr>
        <w:t xml:space="preserve"> </w:t>
      </w:r>
      <w:r>
        <w:rPr>
          <w:color w:val="231F20"/>
          <w:sz w:val="20"/>
        </w:rPr>
        <w:t>cyberstalking,</w:t>
      </w:r>
      <w:r>
        <w:rPr>
          <w:color w:val="231F20"/>
          <w:spacing w:val="-7"/>
          <w:sz w:val="20"/>
        </w:rPr>
        <w:t xml:space="preserve"> </w:t>
      </w:r>
      <w:r>
        <w:rPr>
          <w:color w:val="231F20"/>
          <w:sz w:val="20"/>
        </w:rPr>
        <w:t>support</w:t>
      </w:r>
      <w:r>
        <w:rPr>
          <w:color w:val="231F20"/>
          <w:spacing w:val="-7"/>
          <w:sz w:val="20"/>
        </w:rPr>
        <w:t xml:space="preserve"> </w:t>
      </w:r>
      <w:r>
        <w:rPr>
          <w:color w:val="231F20"/>
          <w:sz w:val="20"/>
        </w:rPr>
        <w:t>is</w:t>
      </w:r>
      <w:r>
        <w:rPr>
          <w:color w:val="231F20"/>
          <w:spacing w:val="-7"/>
          <w:sz w:val="20"/>
        </w:rPr>
        <w:t xml:space="preserve"> </w:t>
      </w:r>
      <w:r>
        <w:rPr>
          <w:color w:val="231F20"/>
          <w:sz w:val="20"/>
        </w:rPr>
        <w:t>also</w:t>
      </w:r>
      <w:r>
        <w:rPr>
          <w:color w:val="231F20"/>
          <w:spacing w:val="-7"/>
          <w:sz w:val="20"/>
        </w:rPr>
        <w:t xml:space="preserve"> </w:t>
      </w:r>
      <w:r>
        <w:rPr>
          <w:color w:val="231F20"/>
          <w:sz w:val="20"/>
        </w:rPr>
        <w:t>regulated</w:t>
      </w:r>
      <w:r>
        <w:rPr>
          <w:color w:val="231F20"/>
          <w:spacing w:val="-7"/>
          <w:sz w:val="20"/>
        </w:rPr>
        <w:t xml:space="preserve"> </w:t>
      </w:r>
      <w:r>
        <w:rPr>
          <w:color w:val="231F20"/>
          <w:sz w:val="20"/>
        </w:rPr>
        <w:t>and</w:t>
      </w:r>
      <w:r>
        <w:rPr>
          <w:color w:val="231F20"/>
          <w:spacing w:val="-6"/>
          <w:sz w:val="20"/>
        </w:rPr>
        <w:t xml:space="preserve"> </w:t>
      </w:r>
      <w:r>
        <w:rPr>
          <w:color w:val="231F20"/>
          <w:spacing w:val="-3"/>
          <w:sz w:val="20"/>
        </w:rPr>
        <w:t>safe</w:t>
      </w:r>
      <w:r>
        <w:rPr>
          <w:color w:val="231F20"/>
          <w:spacing w:val="-7"/>
          <w:sz w:val="20"/>
        </w:rPr>
        <w:t xml:space="preserve"> </w:t>
      </w:r>
      <w:r>
        <w:rPr>
          <w:color w:val="231F20"/>
          <w:sz w:val="20"/>
        </w:rPr>
        <w:t>(see</w:t>
      </w:r>
      <w:r>
        <w:rPr>
          <w:color w:val="231F20"/>
          <w:spacing w:val="-7"/>
          <w:sz w:val="20"/>
        </w:rPr>
        <w:t xml:space="preserve"> </w:t>
      </w:r>
      <w:r>
        <w:rPr>
          <w:color w:val="231F20"/>
          <w:spacing w:val="-3"/>
          <w:sz w:val="20"/>
        </w:rPr>
        <w:t>Chapter</w:t>
      </w:r>
      <w:r>
        <w:rPr>
          <w:color w:val="231F20"/>
          <w:spacing w:val="-7"/>
          <w:sz w:val="20"/>
        </w:rPr>
        <w:t xml:space="preserve"> </w:t>
      </w:r>
      <w:r>
        <w:rPr>
          <w:color w:val="231F20"/>
          <w:spacing w:val="-3"/>
          <w:sz w:val="20"/>
        </w:rPr>
        <w:t>5).</w:t>
      </w:r>
    </w:p>
    <w:p w14:paraId="24DC8BE3" w14:textId="77777777" w:rsidR="00894070" w:rsidRDefault="00894070">
      <w:pPr>
        <w:pStyle w:val="BodyText"/>
      </w:pPr>
    </w:p>
    <w:p w14:paraId="3BEF47BA" w14:textId="77777777" w:rsidR="00894070" w:rsidRDefault="00894070">
      <w:pPr>
        <w:pStyle w:val="BodyText"/>
      </w:pPr>
    </w:p>
    <w:p w14:paraId="659F7040" w14:textId="77777777" w:rsidR="00894070" w:rsidRDefault="009F6793">
      <w:pPr>
        <w:pStyle w:val="BodyText"/>
        <w:spacing w:before="13"/>
        <w:rPr>
          <w:sz w:val="29"/>
        </w:rPr>
      </w:pPr>
      <w:r>
        <w:pict w14:anchorId="0313C9EA">
          <v:line id="_x0000_s1559" style="position:absolute;z-index:251505664;mso-wrap-distance-left:0;mso-wrap-distance-right:0;mso-position-horizontal-relative:page" from="79.35pt,23.25pt" to="515.9pt,23.25pt" strokecolor="#f8cabc" strokeweight="1pt">
            <w10:wrap type="topAndBottom" anchorx="page"/>
          </v:line>
        </w:pict>
      </w:r>
    </w:p>
    <w:p w14:paraId="30A2449B" w14:textId="77777777" w:rsidR="00894070" w:rsidRDefault="009B7AFD">
      <w:pPr>
        <w:pStyle w:val="ListParagraph"/>
        <w:numPr>
          <w:ilvl w:val="0"/>
          <w:numId w:val="143"/>
        </w:numPr>
        <w:tabs>
          <w:tab w:val="left" w:pos="1801"/>
          <w:tab w:val="left" w:pos="1802"/>
        </w:tabs>
        <w:spacing w:before="91" w:line="17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5C2EC3BA" w14:textId="77777777" w:rsidR="00894070" w:rsidRDefault="009B7AFD">
      <w:pPr>
        <w:pStyle w:val="ListParagraph"/>
        <w:numPr>
          <w:ilvl w:val="0"/>
          <w:numId w:val="143"/>
        </w:numPr>
        <w:tabs>
          <w:tab w:val="left" w:pos="1801"/>
          <w:tab w:val="left" w:pos="1802"/>
        </w:tabs>
        <w:spacing w:line="160"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0917931C" w14:textId="77777777" w:rsidR="00894070" w:rsidRDefault="009B7AFD">
      <w:pPr>
        <w:pStyle w:val="ListParagraph"/>
        <w:numPr>
          <w:ilvl w:val="0"/>
          <w:numId w:val="143"/>
        </w:numPr>
        <w:tabs>
          <w:tab w:val="left" w:pos="1801"/>
          <w:tab w:val="left" w:pos="1802"/>
        </w:tabs>
        <w:spacing w:line="160" w:lineRule="exact"/>
        <w:rPr>
          <w:sz w:val="13"/>
        </w:rPr>
      </w:pPr>
      <w:r>
        <w:rPr>
          <w:color w:val="231F20"/>
          <w:sz w:val="13"/>
        </w:rPr>
        <w:t>Ibid.</w:t>
      </w:r>
    </w:p>
    <w:p w14:paraId="68735929" w14:textId="77777777" w:rsidR="00894070" w:rsidRDefault="009B7AFD">
      <w:pPr>
        <w:pStyle w:val="ListParagraph"/>
        <w:numPr>
          <w:ilvl w:val="0"/>
          <w:numId w:val="143"/>
        </w:numPr>
        <w:tabs>
          <w:tab w:val="left" w:pos="1801"/>
          <w:tab w:val="left" w:pos="1802"/>
        </w:tabs>
        <w:spacing w:line="160" w:lineRule="exact"/>
        <w:rPr>
          <w:sz w:val="13"/>
        </w:rPr>
      </w:pPr>
      <w:r>
        <w:rPr>
          <w:color w:val="231F20"/>
          <w:sz w:val="13"/>
        </w:rPr>
        <w:t xml:space="preserve">Consultations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 xml:space="preserve">Violence Resource Centre Victoria), 23 </w:t>
      </w:r>
      <w:r>
        <w:rPr>
          <w:color w:val="231F20"/>
          <w:spacing w:val="2"/>
          <w:sz w:val="13"/>
        </w:rPr>
        <w:t>(Cyberstalking</w:t>
      </w:r>
      <w:r>
        <w:rPr>
          <w:color w:val="231F20"/>
          <w:spacing w:val="26"/>
          <w:sz w:val="13"/>
        </w:rPr>
        <w:t xml:space="preserve"> </w:t>
      </w:r>
      <w:r>
        <w:rPr>
          <w:color w:val="231F20"/>
          <w:sz w:val="13"/>
        </w:rPr>
        <w:t>roundtable).</w:t>
      </w:r>
    </w:p>
    <w:p w14:paraId="2C305861" w14:textId="77777777" w:rsidR="00894070" w:rsidRDefault="009B7AFD">
      <w:pPr>
        <w:pStyle w:val="ListParagraph"/>
        <w:numPr>
          <w:ilvl w:val="0"/>
          <w:numId w:val="143"/>
        </w:numPr>
        <w:tabs>
          <w:tab w:val="left" w:pos="1801"/>
          <w:tab w:val="left" w:pos="1802"/>
        </w:tabs>
        <w:spacing w:line="160"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55BB5CF3" w14:textId="77777777" w:rsidR="00894070" w:rsidRDefault="009B7AFD">
      <w:pPr>
        <w:pStyle w:val="ListParagraph"/>
        <w:numPr>
          <w:ilvl w:val="0"/>
          <w:numId w:val="143"/>
        </w:numPr>
        <w:tabs>
          <w:tab w:val="left" w:pos="1800"/>
          <w:tab w:val="left" w:pos="1802"/>
        </w:tabs>
        <w:spacing w:line="160" w:lineRule="exact"/>
        <w:rPr>
          <w:sz w:val="13"/>
        </w:rPr>
      </w:pPr>
      <w:r>
        <w:rPr>
          <w:color w:val="231F20"/>
          <w:sz w:val="13"/>
        </w:rPr>
        <w:t>Consultation 8 (eSafety Commissioner).</w:t>
      </w:r>
    </w:p>
    <w:p w14:paraId="0FE9BCB5" w14:textId="77777777" w:rsidR="00894070" w:rsidRDefault="009B7AFD">
      <w:pPr>
        <w:pStyle w:val="ListParagraph"/>
        <w:numPr>
          <w:ilvl w:val="0"/>
          <w:numId w:val="143"/>
        </w:numPr>
        <w:tabs>
          <w:tab w:val="left" w:pos="1801"/>
          <w:tab w:val="left" w:pos="1802"/>
        </w:tabs>
        <w:spacing w:line="160"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14F92AD9" w14:textId="77777777" w:rsidR="00894070" w:rsidRDefault="009F6793">
      <w:pPr>
        <w:pStyle w:val="ListParagraph"/>
        <w:numPr>
          <w:ilvl w:val="0"/>
          <w:numId w:val="143"/>
        </w:numPr>
        <w:tabs>
          <w:tab w:val="left" w:pos="1801"/>
          <w:tab w:val="left" w:pos="1802"/>
        </w:tabs>
        <w:spacing w:line="160" w:lineRule="exact"/>
        <w:rPr>
          <w:sz w:val="13"/>
        </w:rPr>
      </w:pPr>
      <w:r>
        <w:pict w14:anchorId="2935D8C5">
          <v:shape id="_x0000_s1558" type="#_x0000_t202" style="position:absolute;left:0;text-align:left;margin-left:36pt;margin-top:3.7pt;width:14pt;height:14.1pt;z-index:251578368;mso-position-horizontal-relative:page" filled="f" stroked="f">
            <v:textbox inset="0,0,0,0">
              <w:txbxContent>
                <w:p w14:paraId="2E1295E3" w14:textId="77777777" w:rsidR="00894070" w:rsidRDefault="009B7AFD">
                  <w:pPr>
                    <w:spacing w:line="282" w:lineRule="exact"/>
                    <w:rPr>
                      <w:b/>
                      <w:sz w:val="24"/>
                    </w:rPr>
                  </w:pPr>
                  <w:r>
                    <w:rPr>
                      <w:b/>
                      <w:color w:val="EA5B50"/>
                      <w:spacing w:val="-2"/>
                      <w:sz w:val="24"/>
                    </w:rPr>
                    <w:t>46</w:t>
                  </w:r>
                </w:p>
              </w:txbxContent>
            </v:textbox>
            <w10:wrap anchorx="page"/>
          </v:shape>
        </w:pict>
      </w:r>
      <w:r w:rsidR="009B7AFD">
        <w:rPr>
          <w:color w:val="231F20"/>
          <w:sz w:val="13"/>
        </w:rPr>
        <w:t xml:space="preserve">Consultation 12 </w:t>
      </w:r>
      <w:r w:rsidR="009B7AFD">
        <w:rPr>
          <w:color w:val="231F20"/>
          <w:spacing w:val="2"/>
          <w:sz w:val="13"/>
        </w:rPr>
        <w:t xml:space="preserve">(Domestic </w:t>
      </w:r>
      <w:r w:rsidR="009B7AFD">
        <w:rPr>
          <w:color w:val="231F20"/>
          <w:sz w:val="13"/>
        </w:rPr>
        <w:t xml:space="preserve">Violence Victoria and </w:t>
      </w:r>
      <w:r w:rsidR="009B7AFD">
        <w:rPr>
          <w:color w:val="231F20"/>
          <w:spacing w:val="2"/>
          <w:sz w:val="13"/>
        </w:rPr>
        <w:t xml:space="preserve">Domestic </w:t>
      </w:r>
      <w:r w:rsidR="009B7AFD">
        <w:rPr>
          <w:color w:val="231F20"/>
          <w:sz w:val="13"/>
        </w:rPr>
        <w:t>Violence Resource Centre</w:t>
      </w:r>
      <w:r w:rsidR="009B7AFD">
        <w:rPr>
          <w:color w:val="231F20"/>
          <w:spacing w:val="6"/>
          <w:sz w:val="13"/>
        </w:rPr>
        <w:t xml:space="preserve"> </w:t>
      </w:r>
      <w:r w:rsidR="009B7AFD">
        <w:rPr>
          <w:color w:val="231F20"/>
          <w:sz w:val="13"/>
        </w:rPr>
        <w:t>Victoria).</w:t>
      </w:r>
    </w:p>
    <w:p w14:paraId="35ED7810" w14:textId="77777777" w:rsidR="00894070" w:rsidRDefault="009B7AFD">
      <w:pPr>
        <w:pStyle w:val="ListParagraph"/>
        <w:numPr>
          <w:ilvl w:val="0"/>
          <w:numId w:val="143"/>
        </w:numPr>
        <w:tabs>
          <w:tab w:val="left" w:pos="1801"/>
          <w:tab w:val="left" w:pos="1802"/>
        </w:tabs>
        <w:spacing w:line="170" w:lineRule="exact"/>
        <w:rPr>
          <w:sz w:val="13"/>
        </w:rPr>
      </w:pPr>
      <w:r>
        <w:rPr>
          <w:color w:val="231F20"/>
          <w:spacing w:val="2"/>
          <w:sz w:val="13"/>
        </w:rPr>
        <w:t xml:space="preserve">Submission 115 </w:t>
      </w:r>
      <w:r>
        <w:rPr>
          <w:color w:val="231F20"/>
          <w:sz w:val="13"/>
        </w:rPr>
        <w:t xml:space="preserve">(Victoria </w:t>
      </w:r>
      <w:r>
        <w:rPr>
          <w:color w:val="231F20"/>
          <w:spacing w:val="2"/>
          <w:sz w:val="13"/>
        </w:rPr>
        <w:t>Police—supplementary</w:t>
      </w:r>
      <w:r>
        <w:rPr>
          <w:color w:val="231F20"/>
          <w:spacing w:val="-5"/>
          <w:sz w:val="13"/>
        </w:rPr>
        <w:t xml:space="preserve"> </w:t>
      </w:r>
      <w:r>
        <w:rPr>
          <w:color w:val="231F20"/>
          <w:sz w:val="13"/>
        </w:rPr>
        <w:t>response).</w:t>
      </w:r>
    </w:p>
    <w:p w14:paraId="7223BE40" w14:textId="77777777" w:rsidR="00894070" w:rsidRDefault="00894070">
      <w:pPr>
        <w:spacing w:line="170" w:lineRule="exact"/>
        <w:rPr>
          <w:sz w:val="13"/>
        </w:rPr>
        <w:sectPr w:rsidR="00894070">
          <w:pgSz w:w="11910" w:h="16840"/>
          <w:pgMar w:top="860" w:right="420" w:bottom="280" w:left="580" w:header="567" w:footer="0" w:gutter="0"/>
          <w:cols w:space="720"/>
        </w:sectPr>
      </w:pPr>
    </w:p>
    <w:p w14:paraId="60467F2E" w14:textId="77777777" w:rsidR="00894070" w:rsidRDefault="00894070">
      <w:pPr>
        <w:pStyle w:val="BodyText"/>
      </w:pPr>
    </w:p>
    <w:p w14:paraId="0B89F123" w14:textId="77777777" w:rsidR="00894070" w:rsidRDefault="00894070">
      <w:pPr>
        <w:pStyle w:val="BodyText"/>
      </w:pPr>
    </w:p>
    <w:p w14:paraId="45F494FF" w14:textId="77777777" w:rsidR="00894070" w:rsidRDefault="00894070">
      <w:pPr>
        <w:pStyle w:val="BodyText"/>
      </w:pPr>
    </w:p>
    <w:p w14:paraId="5304C6D7" w14:textId="77777777" w:rsidR="00894070" w:rsidRDefault="00894070">
      <w:pPr>
        <w:pStyle w:val="BodyText"/>
        <w:spacing w:before="6"/>
        <w:rPr>
          <w:sz w:val="14"/>
        </w:rPr>
      </w:pPr>
    </w:p>
    <w:p w14:paraId="794CF587" w14:textId="77777777" w:rsidR="00894070" w:rsidRDefault="009B7AFD">
      <w:pPr>
        <w:pStyle w:val="Heading7"/>
        <w:spacing w:before="41"/>
      </w:pPr>
      <w:bookmarkStart w:id="66" w:name="Police_responses_to_cyberstalking_need_t"/>
      <w:bookmarkStart w:id="67" w:name="_bookmark34"/>
      <w:bookmarkEnd w:id="66"/>
      <w:bookmarkEnd w:id="67"/>
      <w:r>
        <w:rPr>
          <w:color w:val="EA5B50"/>
        </w:rPr>
        <w:t>Police responses to cyberstalking need to improve</w:t>
      </w:r>
    </w:p>
    <w:p w14:paraId="18742A91" w14:textId="77777777" w:rsidR="00894070" w:rsidRDefault="009B7AFD">
      <w:pPr>
        <w:pStyle w:val="ListParagraph"/>
        <w:numPr>
          <w:ilvl w:val="1"/>
          <w:numId w:val="161"/>
        </w:numPr>
        <w:tabs>
          <w:tab w:val="left" w:pos="1801"/>
          <w:tab w:val="left" w:pos="1802"/>
        </w:tabs>
        <w:spacing w:before="146" w:line="206" w:lineRule="auto"/>
        <w:ind w:right="1212"/>
        <w:rPr>
          <w:sz w:val="11"/>
        </w:rPr>
      </w:pPr>
      <w:r>
        <w:rPr>
          <w:color w:val="231F20"/>
          <w:sz w:val="20"/>
        </w:rPr>
        <w:t>Victim</w:t>
      </w:r>
      <w:r>
        <w:rPr>
          <w:color w:val="231F20"/>
          <w:spacing w:val="-10"/>
          <w:sz w:val="20"/>
        </w:rPr>
        <w:t xml:space="preserve"> </w:t>
      </w:r>
      <w:r>
        <w:rPr>
          <w:color w:val="231F20"/>
          <w:sz w:val="20"/>
        </w:rPr>
        <w:t>survivors</w:t>
      </w:r>
      <w:r>
        <w:rPr>
          <w:color w:val="231F20"/>
          <w:spacing w:val="-10"/>
          <w:sz w:val="20"/>
        </w:rPr>
        <w:t xml:space="preserve"> </w:t>
      </w:r>
      <w:r>
        <w:rPr>
          <w:color w:val="231F20"/>
          <w:sz w:val="20"/>
        </w:rPr>
        <w:t>report</w:t>
      </w:r>
      <w:r>
        <w:rPr>
          <w:color w:val="231F20"/>
          <w:spacing w:val="-10"/>
          <w:sz w:val="20"/>
        </w:rPr>
        <w:t xml:space="preserve"> </w:t>
      </w:r>
      <w:r>
        <w:rPr>
          <w:color w:val="231F20"/>
          <w:sz w:val="20"/>
        </w:rPr>
        <w:t>cyberstalking</w:t>
      </w:r>
      <w:r>
        <w:rPr>
          <w:color w:val="231F20"/>
          <w:spacing w:val="-10"/>
          <w:sz w:val="20"/>
        </w:rPr>
        <w:t xml:space="preserve"> </w:t>
      </w:r>
      <w:r>
        <w:rPr>
          <w:color w:val="231F20"/>
          <w:sz w:val="20"/>
        </w:rPr>
        <w:t>to</w:t>
      </w:r>
      <w:r>
        <w:rPr>
          <w:color w:val="231F20"/>
          <w:spacing w:val="-9"/>
          <w:sz w:val="20"/>
        </w:rPr>
        <w:t xml:space="preserve"> </w:t>
      </w:r>
      <w:r>
        <w:rPr>
          <w:color w:val="231F20"/>
          <w:sz w:val="20"/>
        </w:rPr>
        <w:t>police</w:t>
      </w:r>
      <w:r>
        <w:rPr>
          <w:color w:val="231F20"/>
          <w:spacing w:val="-10"/>
          <w:sz w:val="20"/>
        </w:rPr>
        <w:t xml:space="preserve"> </w:t>
      </w:r>
      <w:r>
        <w:rPr>
          <w:color w:val="231F20"/>
          <w:sz w:val="20"/>
        </w:rPr>
        <w:t>to</w:t>
      </w:r>
      <w:r>
        <w:rPr>
          <w:color w:val="231F20"/>
          <w:spacing w:val="-10"/>
          <w:sz w:val="20"/>
        </w:rPr>
        <w:t xml:space="preserve"> </w:t>
      </w:r>
      <w:r>
        <w:rPr>
          <w:color w:val="231F20"/>
          <w:spacing w:val="-3"/>
          <w:sz w:val="20"/>
        </w:rPr>
        <w:t>‘gain</w:t>
      </w:r>
      <w:r>
        <w:rPr>
          <w:color w:val="231F20"/>
          <w:spacing w:val="-10"/>
          <w:sz w:val="20"/>
        </w:rPr>
        <w:t xml:space="preserve"> </w:t>
      </w:r>
      <w:r>
        <w:rPr>
          <w:color w:val="231F20"/>
          <w:sz w:val="20"/>
        </w:rPr>
        <w:t>support</w:t>
      </w:r>
      <w:r>
        <w:rPr>
          <w:color w:val="231F20"/>
          <w:spacing w:val="-10"/>
          <w:sz w:val="20"/>
        </w:rPr>
        <w:t xml:space="preserve"> </w:t>
      </w:r>
      <w:r>
        <w:rPr>
          <w:color w:val="231F20"/>
          <w:sz w:val="20"/>
        </w:rPr>
        <w:t>and</w:t>
      </w:r>
      <w:r>
        <w:rPr>
          <w:color w:val="231F20"/>
          <w:spacing w:val="-9"/>
          <w:sz w:val="20"/>
        </w:rPr>
        <w:t xml:space="preserve"> </w:t>
      </w:r>
      <w:r>
        <w:rPr>
          <w:color w:val="231F20"/>
          <w:sz w:val="20"/>
        </w:rPr>
        <w:t>to</w:t>
      </w:r>
      <w:r>
        <w:rPr>
          <w:color w:val="231F20"/>
          <w:spacing w:val="-10"/>
          <w:sz w:val="20"/>
        </w:rPr>
        <w:t xml:space="preserve"> </w:t>
      </w:r>
      <w:r>
        <w:rPr>
          <w:color w:val="231F20"/>
          <w:spacing w:val="-3"/>
          <w:sz w:val="20"/>
        </w:rPr>
        <w:t>provide</w:t>
      </w:r>
      <w:r>
        <w:rPr>
          <w:color w:val="231F20"/>
          <w:spacing w:val="-10"/>
          <w:sz w:val="20"/>
        </w:rPr>
        <w:t xml:space="preserve"> </w:t>
      </w:r>
      <w:r>
        <w:rPr>
          <w:color w:val="231F20"/>
          <w:sz w:val="20"/>
        </w:rPr>
        <w:t xml:space="preserve">evidence </w:t>
      </w:r>
      <w:r>
        <w:rPr>
          <w:color w:val="231F20"/>
          <w:spacing w:val="-3"/>
          <w:sz w:val="20"/>
        </w:rPr>
        <w:t>for investigation’.</w:t>
      </w:r>
      <w:r>
        <w:rPr>
          <w:color w:val="231F20"/>
          <w:spacing w:val="-3"/>
          <w:position w:val="7"/>
          <w:sz w:val="11"/>
        </w:rPr>
        <w:t xml:space="preserve">142 </w:t>
      </w:r>
      <w:r>
        <w:rPr>
          <w:color w:val="231F20"/>
          <w:sz w:val="20"/>
        </w:rPr>
        <w:t xml:space="preserve">But </w:t>
      </w:r>
      <w:r>
        <w:rPr>
          <w:color w:val="231F20"/>
          <w:spacing w:val="-3"/>
          <w:sz w:val="20"/>
        </w:rPr>
        <w:t xml:space="preserve">research </w:t>
      </w:r>
      <w:r>
        <w:rPr>
          <w:color w:val="231F20"/>
          <w:sz w:val="20"/>
        </w:rPr>
        <w:t xml:space="preserve">suggests that the support and response they </w:t>
      </w:r>
      <w:r>
        <w:rPr>
          <w:color w:val="231F20"/>
          <w:spacing w:val="-3"/>
          <w:sz w:val="20"/>
        </w:rPr>
        <w:t xml:space="preserve">receive </w:t>
      </w:r>
      <w:r>
        <w:rPr>
          <w:color w:val="231F20"/>
          <w:sz w:val="20"/>
        </w:rPr>
        <w:t>can be</w:t>
      </w:r>
      <w:r>
        <w:rPr>
          <w:color w:val="231F20"/>
          <w:spacing w:val="-9"/>
          <w:sz w:val="20"/>
        </w:rPr>
        <w:t xml:space="preserve"> </w:t>
      </w:r>
      <w:r>
        <w:rPr>
          <w:color w:val="231F20"/>
          <w:sz w:val="20"/>
        </w:rPr>
        <w:t>inadequate.</w:t>
      </w:r>
      <w:r>
        <w:rPr>
          <w:color w:val="231F20"/>
          <w:position w:val="7"/>
          <w:sz w:val="11"/>
        </w:rPr>
        <w:t>143</w:t>
      </w:r>
    </w:p>
    <w:p w14:paraId="3B91AD28" w14:textId="77777777" w:rsidR="00894070" w:rsidRDefault="00894070">
      <w:pPr>
        <w:pStyle w:val="BodyText"/>
      </w:pPr>
    </w:p>
    <w:p w14:paraId="5EAC9F03" w14:textId="77777777" w:rsidR="00894070" w:rsidRDefault="00894070">
      <w:pPr>
        <w:pStyle w:val="BodyText"/>
        <w:spacing w:before="11"/>
        <w:rPr>
          <w:sz w:val="15"/>
        </w:rPr>
      </w:pPr>
    </w:p>
    <w:p w14:paraId="1F5D1ADF" w14:textId="77777777" w:rsidR="00894070" w:rsidRDefault="009F6793">
      <w:pPr>
        <w:spacing w:before="57"/>
        <w:ind w:left="1239"/>
        <w:rPr>
          <w:b/>
          <w:sz w:val="20"/>
        </w:rPr>
      </w:pPr>
      <w:r>
        <w:pict w14:anchorId="11C9D157">
          <v:group id="_x0000_s1552" style="position:absolute;left:0;text-align:left;margin-left:79.35pt;margin-top:-6.6pt;width:436.55pt;height:523.4pt;z-index:-251506688;mso-position-horizontal-relative:page" coordorigin="1587,-132" coordsize="8731,10468">
            <v:rect id="_x0000_s1557" style="position:absolute;left:1592;top:-127;width:8721;height:10458" fillcolor="#fee7de" stroked="f"/>
            <v:line id="_x0000_s1556" style="position:absolute" from="1587,-127" to="10318,-127" strokecolor="#ea5b50" strokeweight=".5pt"/>
            <v:line id="_x0000_s1555" style="position:absolute" from="1592,10325" to="1592,-122" strokecolor="#ea5b50" strokeweight=".5pt"/>
            <v:line id="_x0000_s1554" style="position:absolute" from="10313,10325" to="10313,-122" strokecolor="#ea5b50" strokeweight=".5pt"/>
            <v:line id="_x0000_s1553" style="position:absolute" from="1587,10330" to="10318,10330" strokecolor="#ea5b50" strokeweight=".5pt"/>
            <w10:wrap anchorx="page"/>
          </v:group>
        </w:pict>
      </w:r>
      <w:r w:rsidR="009B7AFD">
        <w:rPr>
          <w:b/>
          <w:color w:val="231F20"/>
          <w:sz w:val="20"/>
        </w:rPr>
        <w:t>What we heard about the police response to cyberstalking</w:t>
      </w:r>
    </w:p>
    <w:p w14:paraId="51DC9C40" w14:textId="77777777" w:rsidR="00894070" w:rsidRDefault="009B7AFD">
      <w:pPr>
        <w:spacing w:before="83"/>
        <w:ind w:left="1239"/>
        <w:rPr>
          <w:i/>
          <w:sz w:val="20"/>
        </w:rPr>
      </w:pPr>
      <w:r>
        <w:rPr>
          <w:i/>
          <w:color w:val="231F20"/>
          <w:sz w:val="20"/>
        </w:rPr>
        <w:t>One person who reported cyberstalking to the police in the last 2–5 years told us:</w:t>
      </w:r>
    </w:p>
    <w:p w14:paraId="176328C8" w14:textId="77777777" w:rsidR="00894070" w:rsidRDefault="009B7AFD">
      <w:pPr>
        <w:pStyle w:val="BodyText"/>
        <w:spacing w:before="115" w:line="206" w:lineRule="auto"/>
        <w:ind w:left="1239" w:right="1388"/>
        <w:rPr>
          <w:sz w:val="11"/>
        </w:rPr>
      </w:pPr>
      <w:r>
        <w:rPr>
          <w:color w:val="231F20"/>
        </w:rPr>
        <w:t xml:space="preserve">The police saw ‘online stalking’ as not a serious matter and too difficult to investigate further due to the stalker using fake online accounts and we couldn’t confirm their identify. I had submitted many written statements to police, and they questioned me whether it was the same person or a ‘new stalker’ as there was no evidence to say it was the same person. The police would not follow up once statements were </w:t>
      </w:r>
      <w:proofErr w:type="gramStart"/>
      <w:r>
        <w:rPr>
          <w:color w:val="231F20"/>
        </w:rPr>
        <w:t>submitted</w:t>
      </w:r>
      <w:proofErr w:type="gramEnd"/>
      <w:r>
        <w:rPr>
          <w:color w:val="231F20"/>
        </w:rPr>
        <w:t xml:space="preserve"> and they advised me that they didn’t feel the need to complete an intervention order due to the nature of the stalking being majority online—which made me feel unsafe at home and within the community ... The process was </w:t>
      </w:r>
      <w:proofErr w:type="gramStart"/>
      <w:r>
        <w:rPr>
          <w:color w:val="231F20"/>
        </w:rPr>
        <w:t>exhausting</w:t>
      </w:r>
      <w:proofErr w:type="gramEnd"/>
      <w:r>
        <w:rPr>
          <w:color w:val="231F20"/>
        </w:rPr>
        <w:t xml:space="preserve"> and I felt like I was alone and no one was listening to me. There was at least 5 times I went to the police before giving up.</w:t>
      </w:r>
      <w:r>
        <w:rPr>
          <w:color w:val="231F20"/>
          <w:position w:val="7"/>
          <w:sz w:val="11"/>
        </w:rPr>
        <w:t>144</w:t>
      </w:r>
    </w:p>
    <w:p w14:paraId="522038DA" w14:textId="77777777" w:rsidR="00894070" w:rsidRDefault="009B7AFD">
      <w:pPr>
        <w:spacing w:before="99"/>
        <w:ind w:left="1239"/>
        <w:rPr>
          <w:i/>
          <w:sz w:val="20"/>
        </w:rPr>
      </w:pPr>
      <w:r>
        <w:rPr>
          <w:i/>
          <w:color w:val="231F20"/>
          <w:sz w:val="20"/>
        </w:rPr>
        <w:t>Another person who reported cyberstalking to the police in the last 2–5 years told us:</w:t>
      </w:r>
    </w:p>
    <w:p w14:paraId="3931E5E0" w14:textId="77777777" w:rsidR="00894070" w:rsidRDefault="009B7AFD">
      <w:pPr>
        <w:pStyle w:val="BodyText"/>
        <w:spacing w:before="82" w:line="259" w:lineRule="exact"/>
        <w:ind w:left="1239"/>
      </w:pPr>
      <w:r>
        <w:rPr>
          <w:color w:val="231F20"/>
        </w:rPr>
        <w:t xml:space="preserve">[The police were] very dismissive </w:t>
      </w:r>
      <w:proofErr w:type="gramStart"/>
      <w:r>
        <w:rPr>
          <w:color w:val="231F20"/>
        </w:rPr>
        <w:t>on the basis of</w:t>
      </w:r>
      <w:proofErr w:type="gramEnd"/>
      <w:r>
        <w:rPr>
          <w:color w:val="231F20"/>
        </w:rPr>
        <w:t xml:space="preserve"> the online stuff would be too hard to</w:t>
      </w:r>
    </w:p>
    <w:p w14:paraId="4A4CA4AE" w14:textId="77777777" w:rsidR="00894070" w:rsidRDefault="009B7AFD">
      <w:pPr>
        <w:spacing w:line="259" w:lineRule="exact"/>
        <w:ind w:left="1239"/>
        <w:rPr>
          <w:sz w:val="11"/>
        </w:rPr>
      </w:pPr>
      <w:r>
        <w:rPr>
          <w:color w:val="231F20"/>
          <w:sz w:val="20"/>
        </w:rPr>
        <w:t>track down.</w:t>
      </w:r>
      <w:r>
        <w:rPr>
          <w:color w:val="231F20"/>
          <w:position w:val="7"/>
          <w:sz w:val="11"/>
        </w:rPr>
        <w:t>145</w:t>
      </w:r>
    </w:p>
    <w:p w14:paraId="79568D09" w14:textId="77777777" w:rsidR="00894070" w:rsidRDefault="009B7AFD">
      <w:pPr>
        <w:spacing w:before="115" w:line="206" w:lineRule="auto"/>
        <w:ind w:left="1239" w:right="1403"/>
        <w:rPr>
          <w:i/>
          <w:sz w:val="20"/>
        </w:rPr>
      </w:pPr>
      <w:r>
        <w:rPr>
          <w:i/>
          <w:color w:val="231F20"/>
          <w:sz w:val="20"/>
        </w:rPr>
        <w:t>Another person who lived in a rural or regional community who reported cyberstalking to the police in the last 2–5 years told us:</w:t>
      </w:r>
    </w:p>
    <w:p w14:paraId="086D8CB5" w14:textId="77777777" w:rsidR="00894070" w:rsidRDefault="009B7AFD">
      <w:pPr>
        <w:pStyle w:val="BodyText"/>
        <w:spacing w:before="122" w:line="206" w:lineRule="auto"/>
        <w:ind w:left="1239" w:right="1459"/>
        <w:rPr>
          <w:sz w:val="11"/>
        </w:rPr>
      </w:pPr>
      <w:r>
        <w:rPr>
          <w:color w:val="231F20"/>
        </w:rPr>
        <w:t>The police were dismissive and victim blaming. Their attitude was horrendous. They refused to look at screenshots of online abuse and death threats and said I could have faked them. They kept asking me if I had a sexual relationship with my stalker because ‘why else would he be targeting you?’ One detective just kept repeating ‘get off social media and get a life’.</w:t>
      </w:r>
      <w:r>
        <w:rPr>
          <w:color w:val="231F20"/>
          <w:position w:val="7"/>
          <w:sz w:val="11"/>
        </w:rPr>
        <w:t>146</w:t>
      </w:r>
    </w:p>
    <w:p w14:paraId="6DBBA7BC" w14:textId="77777777" w:rsidR="00894070" w:rsidRDefault="009B7AFD">
      <w:pPr>
        <w:spacing w:before="127" w:line="206" w:lineRule="auto"/>
        <w:ind w:left="1239" w:right="1459"/>
        <w:rPr>
          <w:i/>
          <w:sz w:val="20"/>
        </w:rPr>
      </w:pPr>
      <w:r>
        <w:rPr>
          <w:i/>
          <w:color w:val="231F20"/>
          <w:sz w:val="20"/>
        </w:rPr>
        <w:t>Dianne Russell, a mother, speaking about her daughter’s experience of reporting cyberstalking to the police told us:</w:t>
      </w:r>
    </w:p>
    <w:p w14:paraId="531EC90A" w14:textId="77777777" w:rsidR="00894070" w:rsidRDefault="009B7AFD">
      <w:pPr>
        <w:pStyle w:val="BodyText"/>
        <w:spacing w:before="122" w:line="206" w:lineRule="auto"/>
        <w:ind w:left="1239" w:right="1219"/>
      </w:pPr>
      <w:r>
        <w:rPr>
          <w:color w:val="231F20"/>
        </w:rPr>
        <w:t>My daughter’s cyberstalking experience began in 2015 through the Social Media platform. She was harassed on and off for 3 years with numerous obscene messages and threats.</w:t>
      </w:r>
    </w:p>
    <w:p w14:paraId="5F135448" w14:textId="77777777" w:rsidR="00894070" w:rsidRDefault="009B7AFD">
      <w:pPr>
        <w:pStyle w:val="BodyText"/>
        <w:spacing w:before="90" w:line="259" w:lineRule="exact"/>
        <w:ind w:left="1239"/>
      </w:pPr>
      <w:r>
        <w:rPr>
          <w:color w:val="231F20"/>
        </w:rPr>
        <w:t>This person was unknown at the time to her as several fake identities were used to avoid</w:t>
      </w:r>
    </w:p>
    <w:p w14:paraId="03952B39" w14:textId="77777777" w:rsidR="00894070" w:rsidRDefault="009B7AFD">
      <w:pPr>
        <w:pStyle w:val="BodyText"/>
        <w:spacing w:line="259" w:lineRule="exact"/>
        <w:ind w:left="1239"/>
      </w:pPr>
      <w:r>
        <w:rPr>
          <w:color w:val="231F20"/>
        </w:rPr>
        <w:t>tracing.</w:t>
      </w:r>
    </w:p>
    <w:p w14:paraId="0CA7CDC0" w14:textId="77777777" w:rsidR="00894070" w:rsidRDefault="009B7AFD">
      <w:pPr>
        <w:pStyle w:val="BodyText"/>
        <w:spacing w:before="115" w:line="206" w:lineRule="auto"/>
        <w:ind w:left="1239" w:right="1908"/>
        <w:jc w:val="both"/>
      </w:pPr>
      <w:r>
        <w:rPr>
          <w:color w:val="231F20"/>
        </w:rPr>
        <w:t>This</w:t>
      </w:r>
      <w:r>
        <w:rPr>
          <w:color w:val="231F20"/>
          <w:spacing w:val="-5"/>
        </w:rPr>
        <w:t xml:space="preserve"> </w:t>
      </w:r>
      <w:r>
        <w:rPr>
          <w:color w:val="231F20"/>
        </w:rPr>
        <w:t>was</w:t>
      </w:r>
      <w:r>
        <w:rPr>
          <w:color w:val="231F20"/>
          <w:spacing w:val="-5"/>
        </w:rPr>
        <w:t xml:space="preserve"> </w:t>
      </w:r>
      <w:r>
        <w:rPr>
          <w:color w:val="231F20"/>
        </w:rPr>
        <w:t>reported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local</w:t>
      </w:r>
      <w:r>
        <w:rPr>
          <w:color w:val="231F20"/>
          <w:spacing w:val="-5"/>
        </w:rPr>
        <w:t xml:space="preserve"> </w:t>
      </w:r>
      <w:r>
        <w:rPr>
          <w:color w:val="231F20"/>
        </w:rPr>
        <w:t>police</w:t>
      </w:r>
      <w:r>
        <w:rPr>
          <w:color w:val="231F20"/>
          <w:spacing w:val="-5"/>
        </w:rPr>
        <w:t xml:space="preserve"> </w:t>
      </w:r>
      <w:r>
        <w:rPr>
          <w:color w:val="231F20"/>
        </w:rPr>
        <w:t>station,</w:t>
      </w:r>
      <w:r>
        <w:rPr>
          <w:color w:val="231F20"/>
          <w:spacing w:val="-5"/>
        </w:rPr>
        <w:t xml:space="preserve"> </w:t>
      </w:r>
      <w:r>
        <w:rPr>
          <w:color w:val="231F20"/>
        </w:rPr>
        <w:t>a</w:t>
      </w:r>
      <w:r>
        <w:rPr>
          <w:color w:val="231F20"/>
          <w:spacing w:val="-5"/>
        </w:rPr>
        <w:t xml:space="preserve"> </w:t>
      </w:r>
      <w:r>
        <w:rPr>
          <w:color w:val="231F20"/>
        </w:rPr>
        <w:t>written</w:t>
      </w:r>
      <w:r>
        <w:rPr>
          <w:color w:val="231F20"/>
          <w:spacing w:val="-5"/>
        </w:rPr>
        <w:t xml:space="preserve"> </w:t>
      </w:r>
      <w:r>
        <w:rPr>
          <w:color w:val="231F20"/>
        </w:rPr>
        <w:t>statement</w:t>
      </w:r>
      <w:r>
        <w:rPr>
          <w:color w:val="231F20"/>
          <w:spacing w:val="-5"/>
        </w:rPr>
        <w:t xml:space="preserve"> </w:t>
      </w:r>
      <w:r>
        <w:rPr>
          <w:color w:val="231F20"/>
        </w:rPr>
        <w:t>was</w:t>
      </w:r>
      <w:r>
        <w:rPr>
          <w:color w:val="231F20"/>
          <w:spacing w:val="-5"/>
        </w:rPr>
        <w:t xml:space="preserve"> </w:t>
      </w:r>
      <w:r>
        <w:rPr>
          <w:color w:val="231F20"/>
        </w:rPr>
        <w:t>given,</w:t>
      </w:r>
      <w:r>
        <w:rPr>
          <w:color w:val="231F20"/>
          <w:spacing w:val="-5"/>
        </w:rPr>
        <w:t xml:space="preserve"> </w:t>
      </w:r>
      <w:r>
        <w:rPr>
          <w:color w:val="231F20"/>
          <w:spacing w:val="-3"/>
        </w:rPr>
        <w:t xml:space="preserve">however </w:t>
      </w:r>
      <w:r>
        <w:rPr>
          <w:color w:val="231F20"/>
        </w:rPr>
        <w:t>no</w:t>
      </w:r>
      <w:r>
        <w:rPr>
          <w:color w:val="231F20"/>
          <w:spacing w:val="-4"/>
        </w:rPr>
        <w:t xml:space="preserve"> </w:t>
      </w:r>
      <w:r>
        <w:rPr>
          <w:color w:val="231F20"/>
        </w:rPr>
        <w:t>further</w:t>
      </w:r>
      <w:r>
        <w:rPr>
          <w:color w:val="231F20"/>
          <w:spacing w:val="-4"/>
        </w:rPr>
        <w:t xml:space="preserve"> </w:t>
      </w:r>
      <w:r>
        <w:rPr>
          <w:color w:val="231F20"/>
        </w:rPr>
        <w:t>action</w:t>
      </w:r>
      <w:r>
        <w:rPr>
          <w:color w:val="231F20"/>
          <w:spacing w:val="-4"/>
        </w:rPr>
        <w:t xml:space="preserve"> </w:t>
      </w:r>
      <w:r>
        <w:rPr>
          <w:color w:val="231F20"/>
        </w:rPr>
        <w:t>was</w:t>
      </w:r>
      <w:r>
        <w:rPr>
          <w:color w:val="231F20"/>
          <w:spacing w:val="-4"/>
        </w:rPr>
        <w:t xml:space="preserve"> </w:t>
      </w:r>
      <w:proofErr w:type="gramStart"/>
      <w:r>
        <w:rPr>
          <w:color w:val="231F20"/>
        </w:rPr>
        <w:t>taken</w:t>
      </w:r>
      <w:proofErr w:type="gramEnd"/>
      <w:r>
        <w:rPr>
          <w:color w:val="231F20"/>
          <w:spacing w:val="-4"/>
        </w:rPr>
        <w:t xml:space="preserve"> </w:t>
      </w:r>
      <w:r>
        <w:rPr>
          <w:color w:val="231F20"/>
        </w:rPr>
        <w:t>and</w:t>
      </w:r>
      <w:r>
        <w:rPr>
          <w:color w:val="231F20"/>
          <w:spacing w:val="-4"/>
        </w:rPr>
        <w:t xml:space="preserve"> </w:t>
      </w:r>
      <w:r>
        <w:rPr>
          <w:color w:val="231F20"/>
        </w:rPr>
        <w:t>she</w:t>
      </w:r>
      <w:r>
        <w:rPr>
          <w:color w:val="231F20"/>
          <w:spacing w:val="-4"/>
        </w:rPr>
        <w:t xml:space="preserve"> </w:t>
      </w:r>
      <w:r>
        <w:rPr>
          <w:color w:val="231F20"/>
        </w:rPr>
        <w:t>was</w:t>
      </w:r>
      <w:r>
        <w:rPr>
          <w:color w:val="231F20"/>
          <w:spacing w:val="-4"/>
        </w:rPr>
        <w:t xml:space="preserve"> </w:t>
      </w:r>
      <w:r>
        <w:rPr>
          <w:color w:val="231F20"/>
        </w:rPr>
        <w:t>asked</w:t>
      </w:r>
      <w:r>
        <w:rPr>
          <w:color w:val="231F20"/>
          <w:spacing w:val="-4"/>
        </w:rPr>
        <w:t xml:space="preserve"> </w:t>
      </w:r>
      <w:r>
        <w:rPr>
          <w:color w:val="231F20"/>
        </w:rPr>
        <w:t>to</w:t>
      </w:r>
      <w:r>
        <w:rPr>
          <w:color w:val="231F20"/>
          <w:spacing w:val="-4"/>
        </w:rPr>
        <w:t xml:space="preserve"> </w:t>
      </w:r>
      <w:r>
        <w:rPr>
          <w:color w:val="231F20"/>
        </w:rPr>
        <w:t>ignore</w:t>
      </w:r>
      <w:r>
        <w:rPr>
          <w:color w:val="231F20"/>
          <w:spacing w:val="-4"/>
        </w:rPr>
        <w:t xml:space="preserve"> </w:t>
      </w:r>
      <w:r>
        <w:rPr>
          <w:color w:val="231F20"/>
        </w:rPr>
        <w:t>the</w:t>
      </w:r>
      <w:r>
        <w:rPr>
          <w:color w:val="231F20"/>
          <w:spacing w:val="-4"/>
        </w:rPr>
        <w:t xml:space="preserve"> </w:t>
      </w:r>
      <w:r>
        <w:rPr>
          <w:color w:val="231F20"/>
        </w:rPr>
        <w:t>messages</w:t>
      </w:r>
      <w:r>
        <w:rPr>
          <w:color w:val="231F20"/>
          <w:spacing w:val="-4"/>
        </w:rPr>
        <w:t xml:space="preserve"> </w:t>
      </w:r>
      <w:r>
        <w:rPr>
          <w:color w:val="231F20"/>
        </w:rPr>
        <w:t>or</w:t>
      </w:r>
      <w:r>
        <w:rPr>
          <w:color w:val="231F20"/>
          <w:spacing w:val="-4"/>
        </w:rPr>
        <w:t xml:space="preserve"> </w:t>
      </w:r>
      <w:r>
        <w:rPr>
          <w:color w:val="231F20"/>
        </w:rPr>
        <w:t>delete</w:t>
      </w:r>
      <w:r>
        <w:rPr>
          <w:color w:val="231F20"/>
          <w:spacing w:val="-4"/>
        </w:rPr>
        <w:t xml:space="preserve"> </w:t>
      </w:r>
      <w:r>
        <w:rPr>
          <w:color w:val="231F20"/>
        </w:rPr>
        <w:t>her Facebook.</w:t>
      </w:r>
    </w:p>
    <w:p w14:paraId="1C8D0064" w14:textId="77777777" w:rsidR="00894070" w:rsidRDefault="009B7AFD">
      <w:pPr>
        <w:pStyle w:val="BodyText"/>
        <w:spacing w:before="124" w:line="206" w:lineRule="auto"/>
        <w:ind w:left="1239" w:right="1459"/>
      </w:pPr>
      <w:r>
        <w:rPr>
          <w:color w:val="231F20"/>
        </w:rPr>
        <w:t xml:space="preserve">This was not taken seriously and left her and </w:t>
      </w:r>
      <w:proofErr w:type="gramStart"/>
      <w:r>
        <w:rPr>
          <w:color w:val="231F20"/>
        </w:rPr>
        <w:t>myself</w:t>
      </w:r>
      <w:proofErr w:type="gramEnd"/>
      <w:r>
        <w:rPr>
          <w:color w:val="231F20"/>
        </w:rPr>
        <w:t xml:space="preserve"> very frustrated with the lack of support given by the Constable.</w:t>
      </w:r>
    </w:p>
    <w:p w14:paraId="6854B44C" w14:textId="77777777" w:rsidR="00894070" w:rsidRDefault="009B7AFD">
      <w:pPr>
        <w:pStyle w:val="BodyText"/>
        <w:spacing w:before="90"/>
        <w:ind w:left="1239"/>
      </w:pPr>
      <w:r>
        <w:rPr>
          <w:color w:val="231F20"/>
        </w:rPr>
        <w:t xml:space="preserve">He clearly had no interest in her </w:t>
      </w:r>
      <w:proofErr w:type="gramStart"/>
      <w:r>
        <w:rPr>
          <w:color w:val="231F20"/>
        </w:rPr>
        <w:t>concerns</w:t>
      </w:r>
      <w:proofErr w:type="gramEnd"/>
      <w:r>
        <w:rPr>
          <w:color w:val="231F20"/>
        </w:rPr>
        <w:t xml:space="preserve"> and she felt like this was her fault.</w:t>
      </w:r>
    </w:p>
    <w:p w14:paraId="1495BBC0" w14:textId="77777777" w:rsidR="00894070" w:rsidRDefault="009B7AFD">
      <w:pPr>
        <w:pStyle w:val="BodyText"/>
        <w:spacing w:before="115" w:line="206" w:lineRule="auto"/>
        <w:ind w:left="1239" w:right="1735"/>
        <w:rPr>
          <w:sz w:val="11"/>
        </w:rPr>
      </w:pPr>
      <w:r>
        <w:rPr>
          <w:color w:val="231F20"/>
        </w:rPr>
        <w:t xml:space="preserve">This caused severe anxiety, trying to live each day in fear due to the lack of power the Victorian Police have </w:t>
      </w:r>
      <w:proofErr w:type="gramStart"/>
      <w:r>
        <w:rPr>
          <w:color w:val="231F20"/>
        </w:rPr>
        <w:t>in regards to</w:t>
      </w:r>
      <w:proofErr w:type="gramEnd"/>
      <w:r>
        <w:rPr>
          <w:color w:val="231F20"/>
        </w:rPr>
        <w:t xml:space="preserve"> stalking and protection.</w:t>
      </w:r>
      <w:r>
        <w:rPr>
          <w:color w:val="231F20"/>
          <w:position w:val="7"/>
          <w:sz w:val="11"/>
        </w:rPr>
        <w:t>147</w:t>
      </w:r>
    </w:p>
    <w:p w14:paraId="4F507D0E" w14:textId="77777777" w:rsidR="00894070" w:rsidRDefault="00894070">
      <w:pPr>
        <w:pStyle w:val="BodyText"/>
      </w:pPr>
    </w:p>
    <w:p w14:paraId="5DDA66CA" w14:textId="77777777" w:rsidR="00894070" w:rsidRDefault="00894070">
      <w:pPr>
        <w:pStyle w:val="BodyText"/>
      </w:pPr>
    </w:p>
    <w:p w14:paraId="1EA63205" w14:textId="77777777" w:rsidR="00894070" w:rsidRDefault="009F6793">
      <w:pPr>
        <w:pStyle w:val="BodyText"/>
        <w:spacing w:before="4"/>
        <w:rPr>
          <w:sz w:val="16"/>
        </w:rPr>
      </w:pPr>
      <w:r>
        <w:pict w14:anchorId="0670C3EF">
          <v:line id="_x0000_s1551" style="position:absolute;z-index:251507712;mso-wrap-distance-left:0;mso-wrap-distance-right:0;mso-position-horizontal-relative:page" from="79.35pt,13.8pt" to="515.9pt,13.8pt" strokecolor="#f8cabc" strokeweight="1pt">
            <w10:wrap type="topAndBottom" anchorx="page"/>
          </v:line>
        </w:pict>
      </w:r>
    </w:p>
    <w:p w14:paraId="68D9AD1A" w14:textId="77777777" w:rsidR="00894070" w:rsidRDefault="009B7AFD">
      <w:pPr>
        <w:pStyle w:val="ListParagraph"/>
        <w:numPr>
          <w:ilvl w:val="0"/>
          <w:numId w:val="142"/>
        </w:numPr>
        <w:tabs>
          <w:tab w:val="left" w:pos="1800"/>
          <w:tab w:val="left" w:pos="1802"/>
        </w:tabs>
        <w:spacing w:before="107" w:line="213" w:lineRule="auto"/>
        <w:ind w:right="1787"/>
        <w:rPr>
          <w:sz w:val="13"/>
        </w:rPr>
      </w:pPr>
      <w:r>
        <w:rPr>
          <w:color w:val="231F20"/>
          <w:sz w:val="13"/>
        </w:rPr>
        <w:t xml:space="preserve">Joanne D Worsley et </w:t>
      </w:r>
      <w:r>
        <w:rPr>
          <w:color w:val="231F20"/>
          <w:spacing w:val="2"/>
          <w:sz w:val="13"/>
        </w:rPr>
        <w:t xml:space="preserve">al, </w:t>
      </w:r>
      <w:r>
        <w:rPr>
          <w:color w:val="231F20"/>
          <w:sz w:val="13"/>
        </w:rPr>
        <w:t xml:space="preserve">‘Victims’ Voices: </w:t>
      </w:r>
      <w:r>
        <w:rPr>
          <w:color w:val="231F20"/>
          <w:spacing w:val="2"/>
          <w:sz w:val="13"/>
        </w:rPr>
        <w:t xml:space="preserve">Understanding </w:t>
      </w:r>
      <w:r>
        <w:rPr>
          <w:color w:val="231F20"/>
          <w:sz w:val="13"/>
        </w:rPr>
        <w:t xml:space="preserve">the Emotional Impact of </w:t>
      </w:r>
      <w:r>
        <w:rPr>
          <w:color w:val="231F20"/>
          <w:spacing w:val="2"/>
          <w:sz w:val="13"/>
        </w:rPr>
        <w:t xml:space="preserve">Cyberstalking </w:t>
      </w:r>
      <w:r>
        <w:rPr>
          <w:color w:val="231F20"/>
          <w:sz w:val="13"/>
        </w:rPr>
        <w:t xml:space="preserve">and Individuals’ Coping Responses’ (2017) 7(2) </w:t>
      </w:r>
      <w:r>
        <w:rPr>
          <w:i/>
          <w:color w:val="231F20"/>
          <w:sz w:val="13"/>
        </w:rPr>
        <w:t xml:space="preserve">SAGE </w:t>
      </w:r>
      <w:r>
        <w:rPr>
          <w:i/>
          <w:color w:val="231F20"/>
          <w:spacing w:val="2"/>
          <w:sz w:val="13"/>
        </w:rPr>
        <w:t xml:space="preserve">Open </w:t>
      </w:r>
      <w:r>
        <w:rPr>
          <w:color w:val="231F20"/>
          <w:sz w:val="13"/>
        </w:rPr>
        <w:t>10.1177/215824401771029:1–13,</w:t>
      </w:r>
      <w:r>
        <w:rPr>
          <w:color w:val="231F20"/>
          <w:spacing w:val="1"/>
          <w:sz w:val="13"/>
        </w:rPr>
        <w:t xml:space="preserve"> </w:t>
      </w:r>
      <w:r>
        <w:rPr>
          <w:color w:val="231F20"/>
          <w:sz w:val="13"/>
        </w:rPr>
        <w:t>10.</w:t>
      </w:r>
    </w:p>
    <w:p w14:paraId="01D29CA2" w14:textId="77777777" w:rsidR="00894070" w:rsidRDefault="009B7AFD">
      <w:pPr>
        <w:pStyle w:val="ListParagraph"/>
        <w:numPr>
          <w:ilvl w:val="0"/>
          <w:numId w:val="142"/>
        </w:numPr>
        <w:tabs>
          <w:tab w:val="left" w:pos="1801"/>
          <w:tab w:val="left" w:pos="1802"/>
        </w:tabs>
        <w:spacing w:line="213" w:lineRule="auto"/>
        <w:ind w:right="1180"/>
        <w:rPr>
          <w:sz w:val="13"/>
        </w:rPr>
      </w:pPr>
      <w:r>
        <w:rPr>
          <w:color w:val="231F20"/>
          <w:sz w:val="13"/>
        </w:rPr>
        <w:t xml:space="preserve">Wei-Jung Chang, </w:t>
      </w:r>
      <w:r>
        <w:rPr>
          <w:color w:val="231F20"/>
          <w:spacing w:val="2"/>
          <w:sz w:val="13"/>
        </w:rPr>
        <w:t xml:space="preserve">‘Cyberstalking </w:t>
      </w:r>
      <w:r>
        <w:rPr>
          <w:color w:val="231F20"/>
          <w:sz w:val="13"/>
        </w:rPr>
        <w:t xml:space="preserve">and Law Enforcement’ (2020) 176 </w:t>
      </w:r>
      <w:r>
        <w:rPr>
          <w:i/>
          <w:color w:val="231F20"/>
          <w:sz w:val="13"/>
        </w:rPr>
        <w:t xml:space="preserve">Procedia Computer Science </w:t>
      </w:r>
      <w:r>
        <w:rPr>
          <w:color w:val="231F20"/>
          <w:sz w:val="13"/>
        </w:rPr>
        <w:t xml:space="preserve">1188; Joanne D Worsley et </w:t>
      </w:r>
      <w:r>
        <w:rPr>
          <w:color w:val="231F20"/>
          <w:spacing w:val="2"/>
          <w:sz w:val="13"/>
        </w:rPr>
        <w:t xml:space="preserve">al, </w:t>
      </w:r>
      <w:r>
        <w:rPr>
          <w:color w:val="231F20"/>
          <w:sz w:val="13"/>
        </w:rPr>
        <w:t xml:space="preserve">‘Victims’ Voices: </w:t>
      </w:r>
      <w:r>
        <w:rPr>
          <w:color w:val="231F20"/>
          <w:spacing w:val="2"/>
          <w:sz w:val="13"/>
        </w:rPr>
        <w:t xml:space="preserve">Understanding </w:t>
      </w:r>
      <w:r>
        <w:rPr>
          <w:color w:val="231F20"/>
          <w:sz w:val="13"/>
        </w:rPr>
        <w:t xml:space="preserve">the Emotional Impact of </w:t>
      </w:r>
      <w:r>
        <w:rPr>
          <w:color w:val="231F20"/>
          <w:spacing w:val="2"/>
          <w:sz w:val="13"/>
        </w:rPr>
        <w:t xml:space="preserve">Cyberstalking </w:t>
      </w:r>
      <w:r>
        <w:rPr>
          <w:color w:val="231F20"/>
          <w:sz w:val="13"/>
        </w:rPr>
        <w:t xml:space="preserve">and Individuals’ Coping Responses’ (2017) 7(2) </w:t>
      </w:r>
      <w:r>
        <w:rPr>
          <w:i/>
          <w:color w:val="231F20"/>
          <w:sz w:val="13"/>
        </w:rPr>
        <w:t xml:space="preserve">SAGE </w:t>
      </w:r>
      <w:r>
        <w:rPr>
          <w:i/>
          <w:color w:val="231F20"/>
          <w:spacing w:val="3"/>
          <w:sz w:val="13"/>
        </w:rPr>
        <w:t xml:space="preserve">Open </w:t>
      </w:r>
      <w:r>
        <w:rPr>
          <w:color w:val="231F20"/>
          <w:sz w:val="13"/>
        </w:rPr>
        <w:t>10.1177/215824401771029:1–13, 10.</w:t>
      </w:r>
    </w:p>
    <w:p w14:paraId="07CFB2B2" w14:textId="77777777" w:rsidR="00894070" w:rsidRDefault="009B7AFD">
      <w:pPr>
        <w:pStyle w:val="ListParagraph"/>
        <w:numPr>
          <w:ilvl w:val="0"/>
          <w:numId w:val="142"/>
        </w:numPr>
        <w:tabs>
          <w:tab w:val="left" w:pos="1801"/>
          <w:tab w:val="left" w:pos="1802"/>
        </w:tabs>
        <w:spacing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460700DA" w14:textId="77777777" w:rsidR="00894070" w:rsidRDefault="009B7AFD">
      <w:pPr>
        <w:pStyle w:val="ListParagraph"/>
        <w:numPr>
          <w:ilvl w:val="0"/>
          <w:numId w:val="142"/>
        </w:numPr>
        <w:tabs>
          <w:tab w:val="left" w:pos="1801"/>
          <w:tab w:val="left" w:pos="1802"/>
        </w:tabs>
        <w:spacing w:line="152" w:lineRule="exact"/>
        <w:rPr>
          <w:sz w:val="13"/>
        </w:rPr>
      </w:pPr>
      <w:r>
        <w:rPr>
          <w:color w:val="231F20"/>
          <w:sz w:val="13"/>
        </w:rPr>
        <w:t>Ibid.</w:t>
      </w:r>
    </w:p>
    <w:p w14:paraId="15B87FC8" w14:textId="77777777" w:rsidR="00894070" w:rsidRDefault="009F6793">
      <w:pPr>
        <w:pStyle w:val="ListParagraph"/>
        <w:numPr>
          <w:ilvl w:val="0"/>
          <w:numId w:val="142"/>
        </w:numPr>
        <w:tabs>
          <w:tab w:val="left" w:pos="1801"/>
          <w:tab w:val="left" w:pos="1802"/>
        </w:tabs>
        <w:spacing w:line="160" w:lineRule="exact"/>
        <w:rPr>
          <w:sz w:val="13"/>
        </w:rPr>
      </w:pPr>
      <w:r>
        <w:pict w14:anchorId="2F196CAF">
          <v:shape id="_x0000_s1550" type="#_x0000_t202" style="position:absolute;left:0;text-align:left;margin-left:549.05pt;margin-top:3.7pt;width:13.05pt;height:14.1pt;z-index:251579392;mso-position-horizontal-relative:page" filled="f" stroked="f">
            <v:textbox inset="0,0,0,0">
              <w:txbxContent>
                <w:p w14:paraId="7C1BEE00" w14:textId="77777777" w:rsidR="00894070" w:rsidRDefault="009B7AFD">
                  <w:pPr>
                    <w:spacing w:line="282" w:lineRule="exact"/>
                    <w:rPr>
                      <w:b/>
                      <w:sz w:val="24"/>
                    </w:rPr>
                  </w:pPr>
                  <w:r>
                    <w:rPr>
                      <w:b/>
                      <w:color w:val="EA5B50"/>
                      <w:spacing w:val="-6"/>
                      <w:sz w:val="24"/>
                    </w:rPr>
                    <w:t>47</w:t>
                  </w:r>
                </w:p>
              </w:txbxContent>
            </v:textbox>
            <w10:wrap anchorx="page"/>
          </v:shape>
        </w:pict>
      </w:r>
      <w:r w:rsidR="009B7AFD">
        <w:rPr>
          <w:color w:val="231F20"/>
          <w:sz w:val="13"/>
        </w:rPr>
        <w:t>Ibid.</w:t>
      </w:r>
    </w:p>
    <w:p w14:paraId="620AE8FB" w14:textId="77777777" w:rsidR="00894070" w:rsidRDefault="009B7AFD">
      <w:pPr>
        <w:pStyle w:val="ListParagraph"/>
        <w:numPr>
          <w:ilvl w:val="0"/>
          <w:numId w:val="142"/>
        </w:numPr>
        <w:tabs>
          <w:tab w:val="left" w:pos="1800"/>
          <w:tab w:val="left" w:pos="1802"/>
        </w:tabs>
        <w:spacing w:line="170" w:lineRule="exact"/>
        <w:rPr>
          <w:sz w:val="13"/>
        </w:rPr>
      </w:pPr>
      <w:r>
        <w:rPr>
          <w:color w:val="231F20"/>
          <w:spacing w:val="2"/>
          <w:sz w:val="13"/>
        </w:rPr>
        <w:t xml:space="preserve">Submission </w:t>
      </w:r>
      <w:r>
        <w:rPr>
          <w:color w:val="231F20"/>
          <w:sz w:val="13"/>
        </w:rPr>
        <w:t>60 (Dianne</w:t>
      </w:r>
      <w:r>
        <w:rPr>
          <w:color w:val="231F20"/>
          <w:spacing w:val="-2"/>
          <w:sz w:val="13"/>
        </w:rPr>
        <w:t xml:space="preserve"> </w:t>
      </w:r>
      <w:r>
        <w:rPr>
          <w:color w:val="231F20"/>
          <w:sz w:val="13"/>
        </w:rPr>
        <w:t>Russell).</w:t>
      </w:r>
    </w:p>
    <w:p w14:paraId="5798D068" w14:textId="77777777" w:rsidR="00894070" w:rsidRDefault="00894070">
      <w:pPr>
        <w:spacing w:line="170" w:lineRule="exact"/>
        <w:rPr>
          <w:sz w:val="13"/>
        </w:rPr>
        <w:sectPr w:rsidR="00894070">
          <w:pgSz w:w="11910" w:h="16840"/>
          <w:pgMar w:top="840" w:right="420" w:bottom="280" w:left="580" w:header="0" w:footer="0" w:gutter="0"/>
          <w:cols w:space="720"/>
        </w:sectPr>
      </w:pPr>
    </w:p>
    <w:p w14:paraId="1C7FFCDA" w14:textId="77777777" w:rsidR="00894070" w:rsidRDefault="00894070">
      <w:pPr>
        <w:pStyle w:val="BodyText"/>
      </w:pPr>
    </w:p>
    <w:p w14:paraId="7513ED37" w14:textId="77777777" w:rsidR="00894070" w:rsidRDefault="00894070">
      <w:pPr>
        <w:pStyle w:val="BodyText"/>
      </w:pPr>
    </w:p>
    <w:p w14:paraId="188055C3" w14:textId="77777777" w:rsidR="00894070" w:rsidRDefault="00894070">
      <w:pPr>
        <w:pStyle w:val="BodyText"/>
      </w:pPr>
    </w:p>
    <w:p w14:paraId="0E66DA35" w14:textId="77777777" w:rsidR="00894070" w:rsidRDefault="00894070">
      <w:pPr>
        <w:pStyle w:val="BodyText"/>
        <w:spacing w:before="8"/>
        <w:rPr>
          <w:sz w:val="19"/>
        </w:rPr>
      </w:pPr>
    </w:p>
    <w:p w14:paraId="1ACDD7DB" w14:textId="77777777" w:rsidR="00894070" w:rsidRDefault="009F6793">
      <w:pPr>
        <w:pStyle w:val="BodyText"/>
        <w:ind w:left="1007"/>
      </w:pPr>
      <w:r>
        <w:pict w14:anchorId="18680BF8">
          <v:shape id="_x0000_s1742" type="#_x0000_t202" style="width:436.05pt;height:100.95pt;mso-left-percent:-10001;mso-top-percent:-10001;mso-position-horizontal:absolute;mso-position-horizontal-relative:char;mso-position-vertical:absolute;mso-position-vertical-relative:line;mso-left-percent:-10001;mso-top-percent:-10001" fillcolor="#fee7de" strokecolor="#ea5b50" strokeweight=".5pt">
            <v:textbox inset="0,0,0,0">
              <w:txbxContent>
                <w:p w14:paraId="7FADD7D8" w14:textId="77777777" w:rsidR="00894070" w:rsidRDefault="009B7AFD">
                  <w:pPr>
                    <w:spacing w:before="65"/>
                    <w:ind w:left="221"/>
                    <w:rPr>
                      <w:i/>
                      <w:sz w:val="20"/>
                    </w:rPr>
                  </w:pPr>
                  <w:bookmarkStart w:id="68" w:name="_bookmark35"/>
                  <w:bookmarkEnd w:id="68"/>
                  <w:r>
                    <w:rPr>
                      <w:i/>
                      <w:color w:val="231F20"/>
                      <w:sz w:val="20"/>
                    </w:rPr>
                    <w:t>Di McDonald, a person who experienced stalking, said:</w:t>
                  </w:r>
                </w:p>
                <w:p w14:paraId="4B3E6F68" w14:textId="77777777" w:rsidR="00894070" w:rsidRDefault="009B7AFD">
                  <w:pPr>
                    <w:pStyle w:val="BodyText"/>
                    <w:spacing w:before="83"/>
                    <w:ind w:left="221"/>
                    <w:rPr>
                      <w:sz w:val="11"/>
                    </w:rPr>
                  </w:pPr>
                  <w:r>
                    <w:rPr>
                      <w:color w:val="231F20"/>
                    </w:rPr>
                    <w:t>I had a tracker on my phone, when I asked Police to check years ago, I was dismissed.</w:t>
                  </w:r>
                  <w:r>
                    <w:rPr>
                      <w:color w:val="231F20"/>
                      <w:position w:val="7"/>
                      <w:sz w:val="11"/>
                    </w:rPr>
                    <w:t>148</w:t>
                  </w:r>
                </w:p>
                <w:p w14:paraId="3544BF06" w14:textId="77777777" w:rsidR="00894070" w:rsidRDefault="009B7AFD">
                  <w:pPr>
                    <w:pStyle w:val="BodyText"/>
                    <w:spacing w:before="82"/>
                    <w:ind w:left="221"/>
                  </w:pPr>
                  <w:r>
                    <w:rPr>
                      <w:color w:val="231F20"/>
                    </w:rPr>
                    <w:t>Another who had reported to the police less than a year ago said:</w:t>
                  </w:r>
                </w:p>
                <w:p w14:paraId="296125A5" w14:textId="77777777" w:rsidR="00894070" w:rsidRDefault="009B7AFD">
                  <w:pPr>
                    <w:pStyle w:val="BodyText"/>
                    <w:spacing w:before="115" w:line="206" w:lineRule="auto"/>
                    <w:ind w:left="221" w:right="581"/>
                    <w:rPr>
                      <w:sz w:val="11"/>
                    </w:rPr>
                  </w:pPr>
                  <w:r>
                    <w:rPr>
                      <w:color w:val="231F20"/>
                    </w:rPr>
                    <w:t>When I spoke to the police they said there wasn’t much they could do as it was and is social media that I continue to be stalked on.</w:t>
                  </w:r>
                  <w:r>
                    <w:rPr>
                      <w:color w:val="231F20"/>
                      <w:position w:val="7"/>
                      <w:sz w:val="11"/>
                    </w:rPr>
                    <w:t>149</w:t>
                  </w:r>
                </w:p>
              </w:txbxContent>
            </v:textbox>
            <w10:anchorlock/>
          </v:shape>
        </w:pict>
      </w:r>
    </w:p>
    <w:p w14:paraId="65DEB3AA" w14:textId="77777777" w:rsidR="00894070" w:rsidRDefault="00894070">
      <w:pPr>
        <w:pStyle w:val="BodyText"/>
        <w:spacing w:before="9"/>
        <w:rPr>
          <w:sz w:val="28"/>
        </w:rPr>
      </w:pPr>
    </w:p>
    <w:p w14:paraId="2B9F690F" w14:textId="77777777" w:rsidR="00894070" w:rsidRDefault="009B7AFD">
      <w:pPr>
        <w:spacing w:before="48"/>
        <w:ind w:left="1007"/>
        <w:rPr>
          <w:b/>
          <w:sz w:val="24"/>
        </w:rPr>
      </w:pPr>
      <w:r>
        <w:rPr>
          <w:b/>
          <w:color w:val="231F20"/>
          <w:sz w:val="24"/>
        </w:rPr>
        <w:t>The police response too often includes ‘unplugging’</w:t>
      </w:r>
    </w:p>
    <w:p w14:paraId="1D8E384C" w14:textId="77777777" w:rsidR="00894070" w:rsidRDefault="009B7AFD">
      <w:pPr>
        <w:pStyle w:val="ListParagraph"/>
        <w:numPr>
          <w:ilvl w:val="1"/>
          <w:numId w:val="161"/>
        </w:numPr>
        <w:tabs>
          <w:tab w:val="left" w:pos="1801"/>
          <w:tab w:val="left" w:pos="1802"/>
        </w:tabs>
        <w:spacing w:before="128" w:line="206" w:lineRule="auto"/>
        <w:ind w:right="1223"/>
        <w:rPr>
          <w:sz w:val="11"/>
        </w:rPr>
      </w:pPr>
      <w:r>
        <w:rPr>
          <w:color w:val="231F20"/>
          <w:spacing w:val="-6"/>
          <w:sz w:val="20"/>
        </w:rPr>
        <w:t xml:space="preserve">We </w:t>
      </w:r>
      <w:r>
        <w:rPr>
          <w:color w:val="231F20"/>
          <w:sz w:val="20"/>
        </w:rPr>
        <w:t xml:space="preserve">heard that it is common </w:t>
      </w:r>
      <w:r>
        <w:rPr>
          <w:color w:val="231F20"/>
          <w:spacing w:val="-3"/>
          <w:sz w:val="20"/>
        </w:rPr>
        <w:t xml:space="preserve">for </w:t>
      </w:r>
      <w:r>
        <w:rPr>
          <w:color w:val="231F20"/>
          <w:sz w:val="20"/>
        </w:rPr>
        <w:t xml:space="preserve">victim survivors to be </w:t>
      </w:r>
      <w:r>
        <w:rPr>
          <w:color w:val="231F20"/>
          <w:spacing w:val="-3"/>
          <w:sz w:val="20"/>
        </w:rPr>
        <w:t xml:space="preserve">told by </w:t>
      </w:r>
      <w:r>
        <w:rPr>
          <w:color w:val="231F20"/>
          <w:sz w:val="20"/>
        </w:rPr>
        <w:t xml:space="preserve">police to stop using their </w:t>
      </w:r>
      <w:r>
        <w:rPr>
          <w:color w:val="231F20"/>
          <w:spacing w:val="-3"/>
          <w:sz w:val="20"/>
        </w:rPr>
        <w:t xml:space="preserve">device </w:t>
      </w:r>
      <w:r>
        <w:rPr>
          <w:color w:val="231F20"/>
          <w:sz w:val="20"/>
        </w:rPr>
        <w:t>or participating in online spaces to stop the cyberstalking.</w:t>
      </w:r>
      <w:r>
        <w:rPr>
          <w:color w:val="231F20"/>
          <w:position w:val="7"/>
          <w:sz w:val="11"/>
        </w:rPr>
        <w:t xml:space="preserve">150 </w:t>
      </w:r>
      <w:r>
        <w:rPr>
          <w:color w:val="231F20"/>
          <w:sz w:val="20"/>
        </w:rPr>
        <w:t>This is consistent with</w:t>
      </w:r>
      <w:r>
        <w:rPr>
          <w:color w:val="231F20"/>
          <w:spacing w:val="-9"/>
          <w:sz w:val="20"/>
        </w:rPr>
        <w:t xml:space="preserve"> </w:t>
      </w:r>
      <w:r>
        <w:rPr>
          <w:color w:val="231F20"/>
          <w:sz w:val="20"/>
        </w:rPr>
        <w:t>feedback</w:t>
      </w:r>
      <w:r>
        <w:rPr>
          <w:color w:val="231F20"/>
          <w:spacing w:val="-8"/>
          <w:sz w:val="20"/>
        </w:rPr>
        <w:t xml:space="preserve"> </w:t>
      </w:r>
      <w:r>
        <w:rPr>
          <w:color w:val="231F20"/>
          <w:spacing w:val="-3"/>
          <w:sz w:val="20"/>
        </w:rPr>
        <w:t>we</w:t>
      </w:r>
      <w:r>
        <w:rPr>
          <w:color w:val="231F20"/>
          <w:spacing w:val="-8"/>
          <w:sz w:val="20"/>
        </w:rPr>
        <w:t xml:space="preserve"> </w:t>
      </w:r>
      <w:r>
        <w:rPr>
          <w:color w:val="231F20"/>
          <w:spacing w:val="-3"/>
          <w:sz w:val="20"/>
        </w:rPr>
        <w:t>received</w:t>
      </w:r>
      <w:r>
        <w:rPr>
          <w:color w:val="231F20"/>
          <w:spacing w:val="-8"/>
          <w:sz w:val="20"/>
        </w:rPr>
        <w:t xml:space="preserve"> </w:t>
      </w:r>
      <w:r>
        <w:rPr>
          <w:color w:val="231F20"/>
          <w:spacing w:val="-3"/>
          <w:sz w:val="20"/>
        </w:rPr>
        <w:t>from</w:t>
      </w:r>
      <w:r>
        <w:rPr>
          <w:color w:val="231F20"/>
          <w:spacing w:val="-8"/>
          <w:sz w:val="20"/>
        </w:rPr>
        <w:t xml:space="preserve"> </w:t>
      </w:r>
      <w:r>
        <w:rPr>
          <w:color w:val="231F20"/>
          <w:sz w:val="20"/>
        </w:rPr>
        <w:t>victim</w:t>
      </w:r>
      <w:r>
        <w:rPr>
          <w:color w:val="231F20"/>
          <w:spacing w:val="-8"/>
          <w:sz w:val="20"/>
        </w:rPr>
        <w:t xml:space="preserve"> </w:t>
      </w:r>
      <w:r>
        <w:rPr>
          <w:color w:val="231F20"/>
          <w:sz w:val="20"/>
        </w:rPr>
        <w:t>survivors.</w:t>
      </w:r>
      <w:r>
        <w:rPr>
          <w:color w:val="231F20"/>
          <w:spacing w:val="-8"/>
          <w:sz w:val="20"/>
        </w:rPr>
        <w:t xml:space="preserve"> </w:t>
      </w:r>
      <w:r>
        <w:rPr>
          <w:color w:val="231F20"/>
          <w:sz w:val="20"/>
        </w:rPr>
        <w:t>A</w:t>
      </w:r>
      <w:r>
        <w:rPr>
          <w:color w:val="231F20"/>
          <w:spacing w:val="-8"/>
          <w:sz w:val="20"/>
        </w:rPr>
        <w:t xml:space="preserve"> </w:t>
      </w:r>
      <w:r>
        <w:rPr>
          <w:color w:val="231F20"/>
          <w:sz w:val="20"/>
        </w:rPr>
        <w:t>reason</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this</w:t>
      </w:r>
      <w:r>
        <w:rPr>
          <w:color w:val="231F20"/>
          <w:spacing w:val="-8"/>
          <w:sz w:val="20"/>
        </w:rPr>
        <w:t xml:space="preserve"> </w:t>
      </w:r>
      <w:r>
        <w:rPr>
          <w:color w:val="231F20"/>
          <w:sz w:val="20"/>
        </w:rPr>
        <w:t>might</w:t>
      </w:r>
      <w:r>
        <w:rPr>
          <w:color w:val="231F20"/>
          <w:spacing w:val="-8"/>
          <w:sz w:val="20"/>
        </w:rPr>
        <w:t xml:space="preserve"> </w:t>
      </w:r>
      <w:r>
        <w:rPr>
          <w:color w:val="231F20"/>
          <w:sz w:val="20"/>
        </w:rPr>
        <w:t>be</w:t>
      </w:r>
      <w:r>
        <w:rPr>
          <w:color w:val="231F20"/>
          <w:spacing w:val="-9"/>
          <w:sz w:val="20"/>
        </w:rPr>
        <w:t xml:space="preserve"> </w:t>
      </w:r>
      <w:r>
        <w:rPr>
          <w:color w:val="231F20"/>
          <w:sz w:val="20"/>
        </w:rPr>
        <w:t>that</w:t>
      </w:r>
      <w:r>
        <w:rPr>
          <w:color w:val="231F20"/>
          <w:spacing w:val="-8"/>
          <w:sz w:val="20"/>
        </w:rPr>
        <w:t xml:space="preserve"> </w:t>
      </w:r>
      <w:r>
        <w:rPr>
          <w:color w:val="231F20"/>
          <w:sz w:val="20"/>
        </w:rPr>
        <w:t>police lack</w:t>
      </w:r>
      <w:r>
        <w:rPr>
          <w:color w:val="231F20"/>
          <w:spacing w:val="-9"/>
          <w:sz w:val="20"/>
        </w:rPr>
        <w:t xml:space="preserve"> </w:t>
      </w:r>
      <w:r>
        <w:rPr>
          <w:color w:val="231F20"/>
          <w:sz w:val="20"/>
        </w:rPr>
        <w:t>enough</w:t>
      </w:r>
      <w:r>
        <w:rPr>
          <w:color w:val="231F20"/>
          <w:spacing w:val="-9"/>
          <w:sz w:val="20"/>
        </w:rPr>
        <w:t xml:space="preserve"> </w:t>
      </w:r>
      <w:r>
        <w:rPr>
          <w:color w:val="231F20"/>
          <w:spacing w:val="-3"/>
          <w:sz w:val="20"/>
        </w:rPr>
        <w:t>awareness</w:t>
      </w:r>
      <w:r>
        <w:rPr>
          <w:color w:val="231F20"/>
          <w:spacing w:val="-8"/>
          <w:sz w:val="20"/>
        </w:rPr>
        <w:t xml:space="preserve"> </w:t>
      </w:r>
      <w:r>
        <w:rPr>
          <w:color w:val="231F20"/>
          <w:sz w:val="20"/>
        </w:rPr>
        <w:t>of</w:t>
      </w:r>
      <w:r>
        <w:rPr>
          <w:color w:val="231F20"/>
          <w:spacing w:val="-9"/>
          <w:sz w:val="20"/>
        </w:rPr>
        <w:t xml:space="preserve"> </w:t>
      </w:r>
      <w:r>
        <w:rPr>
          <w:color w:val="231F20"/>
          <w:sz w:val="20"/>
        </w:rPr>
        <w:t>cyberstalking,</w:t>
      </w:r>
      <w:r>
        <w:rPr>
          <w:color w:val="231F20"/>
          <w:spacing w:val="-9"/>
          <w:sz w:val="20"/>
        </w:rPr>
        <w:t xml:space="preserve"> </w:t>
      </w:r>
      <w:r>
        <w:rPr>
          <w:color w:val="231F20"/>
          <w:sz w:val="20"/>
        </w:rPr>
        <w:t>so</w:t>
      </w:r>
      <w:r>
        <w:rPr>
          <w:color w:val="231F20"/>
          <w:spacing w:val="-8"/>
          <w:sz w:val="20"/>
        </w:rPr>
        <w:t xml:space="preserve"> </w:t>
      </w:r>
      <w:r>
        <w:rPr>
          <w:color w:val="231F20"/>
          <w:sz w:val="20"/>
        </w:rPr>
        <w:t>they</w:t>
      </w:r>
      <w:r>
        <w:rPr>
          <w:color w:val="231F20"/>
          <w:spacing w:val="-9"/>
          <w:sz w:val="20"/>
        </w:rPr>
        <w:t xml:space="preserve"> </w:t>
      </w:r>
      <w:r>
        <w:rPr>
          <w:color w:val="231F20"/>
          <w:sz w:val="20"/>
        </w:rPr>
        <w:t>do</w:t>
      </w:r>
      <w:r>
        <w:rPr>
          <w:color w:val="231F20"/>
          <w:spacing w:val="-8"/>
          <w:sz w:val="20"/>
        </w:rPr>
        <w:t xml:space="preserve"> </w:t>
      </w:r>
      <w:r>
        <w:rPr>
          <w:color w:val="231F20"/>
          <w:sz w:val="20"/>
        </w:rPr>
        <w:t>not</w:t>
      </w:r>
      <w:r>
        <w:rPr>
          <w:color w:val="231F20"/>
          <w:spacing w:val="-9"/>
          <w:sz w:val="20"/>
        </w:rPr>
        <w:t xml:space="preserve"> </w:t>
      </w:r>
      <w:r>
        <w:rPr>
          <w:color w:val="231F20"/>
          <w:sz w:val="20"/>
        </w:rPr>
        <w:t>identify</w:t>
      </w:r>
      <w:r>
        <w:rPr>
          <w:color w:val="231F20"/>
          <w:spacing w:val="-9"/>
          <w:sz w:val="20"/>
        </w:rPr>
        <w:t xml:space="preserve"> </w:t>
      </w:r>
      <w:r>
        <w:rPr>
          <w:color w:val="231F20"/>
          <w:sz w:val="20"/>
        </w:rPr>
        <w:t>the</w:t>
      </w:r>
      <w:r>
        <w:rPr>
          <w:color w:val="231F20"/>
          <w:spacing w:val="-8"/>
          <w:sz w:val="20"/>
        </w:rPr>
        <w:t xml:space="preserve"> </w:t>
      </w:r>
      <w:r>
        <w:rPr>
          <w:color w:val="231F20"/>
          <w:sz w:val="20"/>
        </w:rPr>
        <w:t>behaviour</w:t>
      </w:r>
      <w:r>
        <w:rPr>
          <w:color w:val="231F20"/>
          <w:spacing w:val="-9"/>
          <w:sz w:val="20"/>
        </w:rPr>
        <w:t xml:space="preserve"> </w:t>
      </w:r>
      <w:r>
        <w:rPr>
          <w:color w:val="231F20"/>
          <w:sz w:val="20"/>
        </w:rPr>
        <w:t>or</w:t>
      </w:r>
      <w:r>
        <w:rPr>
          <w:color w:val="231F20"/>
          <w:spacing w:val="-9"/>
          <w:sz w:val="20"/>
        </w:rPr>
        <w:t xml:space="preserve"> </w:t>
      </w:r>
      <w:r>
        <w:rPr>
          <w:color w:val="231F20"/>
          <w:spacing w:val="-3"/>
          <w:sz w:val="20"/>
        </w:rPr>
        <w:t xml:space="preserve">know how </w:t>
      </w:r>
      <w:r>
        <w:rPr>
          <w:color w:val="231F20"/>
          <w:sz w:val="20"/>
        </w:rPr>
        <w:t>to assist victim</w:t>
      </w:r>
      <w:r>
        <w:rPr>
          <w:color w:val="231F20"/>
          <w:spacing w:val="-14"/>
          <w:sz w:val="20"/>
        </w:rPr>
        <w:t xml:space="preserve"> </w:t>
      </w:r>
      <w:r>
        <w:rPr>
          <w:color w:val="231F20"/>
          <w:sz w:val="20"/>
        </w:rPr>
        <w:t>survivors.</w:t>
      </w:r>
      <w:r>
        <w:rPr>
          <w:color w:val="231F20"/>
          <w:position w:val="7"/>
          <w:sz w:val="11"/>
        </w:rPr>
        <w:t>151</w:t>
      </w:r>
    </w:p>
    <w:p w14:paraId="741278E6" w14:textId="77777777" w:rsidR="00894070" w:rsidRDefault="009B7AFD">
      <w:pPr>
        <w:pStyle w:val="ListParagraph"/>
        <w:numPr>
          <w:ilvl w:val="1"/>
          <w:numId w:val="161"/>
        </w:numPr>
        <w:tabs>
          <w:tab w:val="left" w:pos="1801"/>
          <w:tab w:val="left" w:pos="1802"/>
        </w:tabs>
        <w:spacing w:before="126" w:line="206" w:lineRule="auto"/>
        <w:ind w:right="1562"/>
        <w:rPr>
          <w:sz w:val="20"/>
        </w:rPr>
      </w:pPr>
      <w:r>
        <w:rPr>
          <w:color w:val="231F20"/>
          <w:sz w:val="20"/>
        </w:rPr>
        <w:t>As</w:t>
      </w:r>
      <w:r>
        <w:rPr>
          <w:color w:val="231F20"/>
          <w:spacing w:val="-8"/>
          <w:sz w:val="20"/>
        </w:rPr>
        <w:t xml:space="preserve"> </w:t>
      </w:r>
      <w:r>
        <w:rPr>
          <w:color w:val="231F20"/>
          <w:sz w:val="20"/>
        </w:rPr>
        <w:t>a</w:t>
      </w:r>
      <w:r>
        <w:rPr>
          <w:color w:val="231F20"/>
          <w:spacing w:val="-7"/>
          <w:sz w:val="20"/>
        </w:rPr>
        <w:t xml:space="preserve"> </w:t>
      </w:r>
      <w:r>
        <w:rPr>
          <w:color w:val="231F20"/>
          <w:sz w:val="20"/>
        </w:rPr>
        <w:t>number</w:t>
      </w:r>
      <w:r>
        <w:rPr>
          <w:color w:val="231F20"/>
          <w:spacing w:val="-8"/>
          <w:sz w:val="20"/>
        </w:rPr>
        <w:t xml:space="preserve"> </w:t>
      </w:r>
      <w:r>
        <w:rPr>
          <w:color w:val="231F20"/>
          <w:sz w:val="20"/>
        </w:rPr>
        <w:t>of</w:t>
      </w:r>
      <w:r>
        <w:rPr>
          <w:color w:val="231F20"/>
          <w:spacing w:val="-7"/>
          <w:sz w:val="20"/>
        </w:rPr>
        <w:t xml:space="preserve"> </w:t>
      </w:r>
      <w:r>
        <w:rPr>
          <w:color w:val="231F20"/>
          <w:sz w:val="20"/>
        </w:rPr>
        <w:t>organisations</w:t>
      </w:r>
      <w:r>
        <w:rPr>
          <w:color w:val="231F20"/>
          <w:spacing w:val="-8"/>
          <w:sz w:val="20"/>
        </w:rPr>
        <w:t xml:space="preserve"> </w:t>
      </w:r>
      <w:r>
        <w:rPr>
          <w:color w:val="231F20"/>
          <w:spacing w:val="-3"/>
          <w:sz w:val="20"/>
        </w:rPr>
        <w:t>told</w:t>
      </w:r>
      <w:r>
        <w:rPr>
          <w:color w:val="231F20"/>
          <w:spacing w:val="-7"/>
          <w:sz w:val="20"/>
        </w:rPr>
        <w:t xml:space="preserve"> </w:t>
      </w:r>
      <w:r>
        <w:rPr>
          <w:color w:val="231F20"/>
          <w:sz w:val="20"/>
        </w:rPr>
        <w:t>us,</w:t>
      </w:r>
      <w:r>
        <w:rPr>
          <w:color w:val="231F20"/>
          <w:spacing w:val="-8"/>
          <w:sz w:val="20"/>
        </w:rPr>
        <w:t xml:space="preserve"> </w:t>
      </w:r>
      <w:proofErr w:type="gramStart"/>
      <w:r>
        <w:rPr>
          <w:color w:val="231F20"/>
          <w:spacing w:val="-3"/>
          <w:sz w:val="20"/>
        </w:rPr>
        <w:t>‘unplugging</w:t>
      </w:r>
      <w:proofErr w:type="gramEnd"/>
      <w:r>
        <w:rPr>
          <w:color w:val="231F20"/>
          <w:spacing w:val="-3"/>
          <w:sz w:val="20"/>
        </w:rPr>
        <w:t>’</w:t>
      </w:r>
      <w:r>
        <w:rPr>
          <w:color w:val="231F20"/>
          <w:spacing w:val="-7"/>
          <w:sz w:val="20"/>
        </w:rPr>
        <w:t xml:space="preserve"> </w:t>
      </w:r>
      <w:r>
        <w:rPr>
          <w:color w:val="231F20"/>
          <w:sz w:val="20"/>
        </w:rPr>
        <w:t>is</w:t>
      </w:r>
      <w:r>
        <w:rPr>
          <w:color w:val="231F20"/>
          <w:spacing w:val="-8"/>
          <w:sz w:val="20"/>
        </w:rPr>
        <w:t xml:space="preserve"> </w:t>
      </w:r>
      <w:r>
        <w:rPr>
          <w:color w:val="231F20"/>
          <w:sz w:val="20"/>
        </w:rPr>
        <w:t>not</w:t>
      </w:r>
      <w:r>
        <w:rPr>
          <w:color w:val="231F20"/>
          <w:spacing w:val="-7"/>
          <w:sz w:val="20"/>
        </w:rPr>
        <w:t xml:space="preserve"> </w:t>
      </w:r>
      <w:r>
        <w:rPr>
          <w:color w:val="231F20"/>
          <w:sz w:val="20"/>
        </w:rPr>
        <w:t>the</w:t>
      </w:r>
      <w:r>
        <w:rPr>
          <w:color w:val="231F20"/>
          <w:spacing w:val="-8"/>
          <w:sz w:val="20"/>
        </w:rPr>
        <w:t xml:space="preserve"> </w:t>
      </w:r>
      <w:r>
        <w:rPr>
          <w:color w:val="231F20"/>
          <w:sz w:val="20"/>
        </w:rPr>
        <w:t>right</w:t>
      </w:r>
      <w:r>
        <w:rPr>
          <w:color w:val="231F20"/>
          <w:spacing w:val="-7"/>
          <w:sz w:val="20"/>
        </w:rPr>
        <w:t xml:space="preserve"> </w:t>
      </w:r>
      <w:r>
        <w:rPr>
          <w:color w:val="231F20"/>
          <w:sz w:val="20"/>
        </w:rPr>
        <w:t>solution</w:t>
      </w:r>
      <w:r>
        <w:rPr>
          <w:color w:val="231F20"/>
          <w:spacing w:val="-8"/>
          <w:sz w:val="20"/>
        </w:rPr>
        <w:t xml:space="preserve"> </w:t>
      </w:r>
      <w:r>
        <w:rPr>
          <w:color w:val="231F20"/>
          <w:spacing w:val="-3"/>
          <w:sz w:val="20"/>
        </w:rPr>
        <w:t>for</w:t>
      </w:r>
      <w:r>
        <w:rPr>
          <w:color w:val="231F20"/>
          <w:spacing w:val="-7"/>
          <w:sz w:val="20"/>
        </w:rPr>
        <w:t xml:space="preserve"> </w:t>
      </w:r>
      <w:r>
        <w:rPr>
          <w:color w:val="231F20"/>
          <w:sz w:val="20"/>
        </w:rPr>
        <w:t>victim survivors.</w:t>
      </w:r>
      <w:r>
        <w:rPr>
          <w:color w:val="231F20"/>
          <w:position w:val="7"/>
          <w:sz w:val="11"/>
        </w:rPr>
        <w:t xml:space="preserve">152 </w:t>
      </w:r>
      <w:r>
        <w:rPr>
          <w:color w:val="231F20"/>
          <w:sz w:val="20"/>
        </w:rPr>
        <w:t>The Alannah and Madeline Foundation</w:t>
      </w:r>
      <w:r>
        <w:rPr>
          <w:color w:val="231F20"/>
          <w:spacing w:val="-35"/>
          <w:sz w:val="20"/>
        </w:rPr>
        <w:t xml:space="preserve"> </w:t>
      </w:r>
      <w:r>
        <w:rPr>
          <w:color w:val="231F20"/>
          <w:sz w:val="20"/>
        </w:rPr>
        <w:t>explained:</w:t>
      </w:r>
    </w:p>
    <w:p w14:paraId="03B4FFBA" w14:textId="77777777" w:rsidR="00894070" w:rsidRDefault="009B7AFD">
      <w:pPr>
        <w:spacing w:before="120" w:line="208" w:lineRule="auto"/>
        <w:ind w:left="2254" w:right="1134"/>
        <w:rPr>
          <w:sz w:val="11"/>
        </w:rPr>
      </w:pPr>
      <w:r>
        <w:rPr>
          <w:color w:val="231F20"/>
          <w:sz w:val="19"/>
        </w:rPr>
        <w:t>The advice to withdraw from technology or cyber spaces is not appropriate as it is punishing the person being stalked, which isn’t fair to them. It is increasingly not an option to be offline, and the idea of shutting down social media profiles, especially for young people, often isn’t a viable option.</w:t>
      </w:r>
      <w:r>
        <w:rPr>
          <w:color w:val="231F20"/>
          <w:position w:val="6"/>
          <w:sz w:val="11"/>
        </w:rPr>
        <w:t>153</w:t>
      </w:r>
    </w:p>
    <w:p w14:paraId="51C332E6" w14:textId="77777777" w:rsidR="00894070" w:rsidRDefault="009B7AFD">
      <w:pPr>
        <w:pStyle w:val="ListParagraph"/>
        <w:numPr>
          <w:ilvl w:val="1"/>
          <w:numId w:val="161"/>
        </w:numPr>
        <w:tabs>
          <w:tab w:val="left" w:pos="1801"/>
          <w:tab w:val="left" w:pos="1802"/>
        </w:tabs>
        <w:spacing w:before="125" w:line="206" w:lineRule="auto"/>
        <w:ind w:right="1174"/>
        <w:rPr>
          <w:sz w:val="11"/>
        </w:rPr>
      </w:pPr>
      <w:r>
        <w:rPr>
          <w:color w:val="231F20"/>
          <w:sz w:val="20"/>
        </w:rPr>
        <w:t xml:space="preserve">The Victorian Pride </w:t>
      </w:r>
      <w:r>
        <w:rPr>
          <w:color w:val="231F20"/>
          <w:spacing w:val="-3"/>
          <w:sz w:val="20"/>
        </w:rPr>
        <w:t xml:space="preserve">Lobby </w:t>
      </w:r>
      <w:r>
        <w:rPr>
          <w:color w:val="231F20"/>
          <w:sz w:val="20"/>
        </w:rPr>
        <w:t xml:space="preserve">similarly </w:t>
      </w:r>
      <w:r>
        <w:rPr>
          <w:color w:val="231F20"/>
          <w:spacing w:val="-3"/>
          <w:sz w:val="20"/>
        </w:rPr>
        <w:t xml:space="preserve">told </w:t>
      </w:r>
      <w:r>
        <w:rPr>
          <w:color w:val="231F20"/>
          <w:sz w:val="20"/>
        </w:rPr>
        <w:t xml:space="preserve">us that </w:t>
      </w:r>
      <w:r>
        <w:rPr>
          <w:color w:val="231F20"/>
          <w:spacing w:val="-3"/>
          <w:sz w:val="20"/>
        </w:rPr>
        <w:t xml:space="preserve">for </w:t>
      </w:r>
      <w:r>
        <w:rPr>
          <w:color w:val="231F20"/>
          <w:spacing w:val="-4"/>
          <w:sz w:val="20"/>
        </w:rPr>
        <w:t xml:space="preserve">LGBTIQA+ </w:t>
      </w:r>
      <w:r>
        <w:rPr>
          <w:color w:val="231F20"/>
          <w:sz w:val="20"/>
        </w:rPr>
        <w:t xml:space="preserve">people running </w:t>
      </w:r>
      <w:r>
        <w:rPr>
          <w:color w:val="231F20"/>
          <w:spacing w:val="-3"/>
          <w:sz w:val="20"/>
        </w:rPr>
        <w:t xml:space="preserve">for </w:t>
      </w:r>
      <w:r>
        <w:rPr>
          <w:color w:val="231F20"/>
          <w:sz w:val="20"/>
        </w:rPr>
        <w:t>political</w:t>
      </w:r>
      <w:r>
        <w:rPr>
          <w:color w:val="231F20"/>
          <w:spacing w:val="-13"/>
          <w:sz w:val="20"/>
        </w:rPr>
        <w:t xml:space="preserve"> </w:t>
      </w:r>
      <w:r>
        <w:rPr>
          <w:color w:val="231F20"/>
          <w:sz w:val="20"/>
        </w:rPr>
        <w:t>office,</w:t>
      </w:r>
      <w:r>
        <w:rPr>
          <w:color w:val="231F20"/>
          <w:spacing w:val="-12"/>
          <w:sz w:val="20"/>
        </w:rPr>
        <w:t xml:space="preserve"> </w:t>
      </w:r>
      <w:r>
        <w:rPr>
          <w:color w:val="231F20"/>
          <w:sz w:val="20"/>
        </w:rPr>
        <w:t>the</w:t>
      </w:r>
      <w:r>
        <w:rPr>
          <w:color w:val="231F20"/>
          <w:spacing w:val="-13"/>
          <w:sz w:val="20"/>
        </w:rPr>
        <w:t xml:space="preserve"> </w:t>
      </w:r>
      <w:r>
        <w:rPr>
          <w:color w:val="231F20"/>
          <w:sz w:val="20"/>
        </w:rPr>
        <w:t>police</w:t>
      </w:r>
      <w:r>
        <w:rPr>
          <w:color w:val="231F20"/>
          <w:spacing w:val="-12"/>
          <w:sz w:val="20"/>
        </w:rPr>
        <w:t xml:space="preserve"> </w:t>
      </w:r>
      <w:r>
        <w:rPr>
          <w:color w:val="231F20"/>
          <w:sz w:val="20"/>
        </w:rPr>
        <w:t>might</w:t>
      </w:r>
      <w:r>
        <w:rPr>
          <w:color w:val="231F20"/>
          <w:spacing w:val="-12"/>
          <w:sz w:val="20"/>
        </w:rPr>
        <w:t xml:space="preserve"> </w:t>
      </w:r>
      <w:r>
        <w:rPr>
          <w:color w:val="231F20"/>
          <w:sz w:val="20"/>
        </w:rPr>
        <w:t>see</w:t>
      </w:r>
      <w:r>
        <w:rPr>
          <w:color w:val="231F20"/>
          <w:spacing w:val="-13"/>
          <w:sz w:val="20"/>
        </w:rPr>
        <w:t xml:space="preserve"> </w:t>
      </w:r>
      <w:r>
        <w:rPr>
          <w:color w:val="231F20"/>
          <w:sz w:val="20"/>
        </w:rPr>
        <w:t>the</w:t>
      </w:r>
      <w:r>
        <w:rPr>
          <w:color w:val="231F20"/>
          <w:spacing w:val="-12"/>
          <w:sz w:val="20"/>
        </w:rPr>
        <w:t xml:space="preserve"> </w:t>
      </w:r>
      <w:r>
        <w:rPr>
          <w:color w:val="231F20"/>
          <w:sz w:val="20"/>
        </w:rPr>
        <w:t>experience</w:t>
      </w:r>
      <w:r>
        <w:rPr>
          <w:color w:val="231F20"/>
          <w:spacing w:val="-13"/>
          <w:sz w:val="20"/>
        </w:rPr>
        <w:t xml:space="preserve"> </w:t>
      </w:r>
      <w:r>
        <w:rPr>
          <w:color w:val="231F20"/>
          <w:sz w:val="20"/>
        </w:rPr>
        <w:t>of</w:t>
      </w:r>
      <w:r>
        <w:rPr>
          <w:color w:val="231F20"/>
          <w:spacing w:val="-12"/>
          <w:sz w:val="20"/>
        </w:rPr>
        <w:t xml:space="preserve"> </w:t>
      </w:r>
      <w:r>
        <w:rPr>
          <w:color w:val="231F20"/>
          <w:sz w:val="20"/>
        </w:rPr>
        <w:t>cyberstalking</w:t>
      </w:r>
      <w:r>
        <w:rPr>
          <w:color w:val="231F20"/>
          <w:spacing w:val="-12"/>
          <w:sz w:val="20"/>
        </w:rPr>
        <w:t xml:space="preserve"> </w:t>
      </w:r>
      <w:r>
        <w:rPr>
          <w:color w:val="231F20"/>
          <w:sz w:val="20"/>
        </w:rPr>
        <w:t>as</w:t>
      </w:r>
      <w:r>
        <w:rPr>
          <w:color w:val="231F20"/>
          <w:spacing w:val="-13"/>
          <w:sz w:val="20"/>
        </w:rPr>
        <w:t xml:space="preserve"> </w:t>
      </w:r>
      <w:r>
        <w:rPr>
          <w:color w:val="231F20"/>
          <w:spacing w:val="-3"/>
          <w:sz w:val="20"/>
        </w:rPr>
        <w:t>‘expected’</w:t>
      </w:r>
      <w:r>
        <w:rPr>
          <w:color w:val="231F20"/>
          <w:spacing w:val="-12"/>
          <w:sz w:val="20"/>
        </w:rPr>
        <w:t xml:space="preserve"> </w:t>
      </w:r>
      <w:r>
        <w:rPr>
          <w:color w:val="231F20"/>
          <w:sz w:val="20"/>
        </w:rPr>
        <w:t xml:space="preserve">when </w:t>
      </w:r>
      <w:r>
        <w:rPr>
          <w:color w:val="231F20"/>
          <w:spacing w:val="-3"/>
          <w:sz w:val="20"/>
        </w:rPr>
        <w:t>you</w:t>
      </w:r>
      <w:r>
        <w:rPr>
          <w:color w:val="231F20"/>
          <w:spacing w:val="-11"/>
          <w:sz w:val="20"/>
        </w:rPr>
        <w:t xml:space="preserve"> </w:t>
      </w:r>
      <w:r>
        <w:rPr>
          <w:color w:val="231F20"/>
          <w:sz w:val="20"/>
        </w:rPr>
        <w:t>‘put</w:t>
      </w:r>
      <w:r>
        <w:rPr>
          <w:color w:val="231F20"/>
          <w:spacing w:val="-10"/>
          <w:sz w:val="20"/>
        </w:rPr>
        <w:t xml:space="preserve"> </w:t>
      </w:r>
      <w:r>
        <w:rPr>
          <w:color w:val="231F20"/>
          <w:sz w:val="20"/>
        </w:rPr>
        <w:t>yourself</w:t>
      </w:r>
      <w:r>
        <w:rPr>
          <w:color w:val="231F20"/>
          <w:spacing w:val="-10"/>
          <w:sz w:val="20"/>
        </w:rPr>
        <w:t xml:space="preserve"> </w:t>
      </w:r>
      <w:r>
        <w:rPr>
          <w:color w:val="231F20"/>
          <w:sz w:val="20"/>
        </w:rPr>
        <w:t>out</w:t>
      </w:r>
      <w:r>
        <w:rPr>
          <w:color w:val="231F20"/>
          <w:spacing w:val="-10"/>
          <w:sz w:val="20"/>
        </w:rPr>
        <w:t xml:space="preserve"> </w:t>
      </w:r>
      <w:r>
        <w:rPr>
          <w:color w:val="231F20"/>
          <w:spacing w:val="-4"/>
          <w:sz w:val="20"/>
        </w:rPr>
        <w:t>there’.</w:t>
      </w:r>
      <w:r>
        <w:rPr>
          <w:color w:val="231F20"/>
          <w:spacing w:val="-10"/>
          <w:sz w:val="20"/>
        </w:rPr>
        <w:t xml:space="preserve"> </w:t>
      </w:r>
      <w:r>
        <w:rPr>
          <w:color w:val="231F20"/>
          <w:sz w:val="20"/>
        </w:rPr>
        <w:t>They</w:t>
      </w:r>
      <w:r>
        <w:rPr>
          <w:color w:val="231F20"/>
          <w:spacing w:val="-11"/>
          <w:sz w:val="20"/>
        </w:rPr>
        <w:t xml:space="preserve"> </w:t>
      </w:r>
      <w:r>
        <w:rPr>
          <w:color w:val="231F20"/>
          <w:sz w:val="20"/>
        </w:rPr>
        <w:t>saw</w:t>
      </w:r>
      <w:r>
        <w:rPr>
          <w:color w:val="231F20"/>
          <w:spacing w:val="-10"/>
          <w:sz w:val="20"/>
        </w:rPr>
        <w:t xml:space="preserve"> </w:t>
      </w:r>
      <w:r>
        <w:rPr>
          <w:color w:val="231F20"/>
          <w:sz w:val="20"/>
        </w:rPr>
        <w:t>this</w:t>
      </w:r>
      <w:r>
        <w:rPr>
          <w:color w:val="231F20"/>
          <w:spacing w:val="-10"/>
          <w:sz w:val="20"/>
        </w:rPr>
        <w:t xml:space="preserve"> </w:t>
      </w:r>
      <w:r>
        <w:rPr>
          <w:color w:val="231F20"/>
          <w:sz w:val="20"/>
        </w:rPr>
        <w:t>as</w:t>
      </w:r>
      <w:r>
        <w:rPr>
          <w:color w:val="231F20"/>
          <w:spacing w:val="-10"/>
          <w:sz w:val="20"/>
        </w:rPr>
        <w:t xml:space="preserve"> </w:t>
      </w:r>
      <w:r>
        <w:rPr>
          <w:color w:val="231F20"/>
          <w:sz w:val="20"/>
        </w:rPr>
        <w:t>leading</w:t>
      </w:r>
      <w:r>
        <w:rPr>
          <w:color w:val="231F20"/>
          <w:spacing w:val="-10"/>
          <w:sz w:val="20"/>
        </w:rPr>
        <w:t xml:space="preserve"> </w:t>
      </w:r>
      <w:r>
        <w:rPr>
          <w:color w:val="231F20"/>
          <w:sz w:val="20"/>
        </w:rPr>
        <w:t>to</w:t>
      </w:r>
      <w:r>
        <w:rPr>
          <w:color w:val="231F20"/>
          <w:spacing w:val="-11"/>
          <w:sz w:val="20"/>
        </w:rPr>
        <w:t xml:space="preserve"> </w:t>
      </w:r>
      <w:r>
        <w:rPr>
          <w:color w:val="231F20"/>
          <w:sz w:val="20"/>
        </w:rPr>
        <w:t>advice</w:t>
      </w:r>
      <w:r>
        <w:rPr>
          <w:color w:val="231F20"/>
          <w:spacing w:val="-10"/>
          <w:sz w:val="20"/>
        </w:rPr>
        <w:t xml:space="preserve"> </w:t>
      </w:r>
      <w:r>
        <w:rPr>
          <w:color w:val="231F20"/>
          <w:sz w:val="20"/>
        </w:rPr>
        <w:t>that</w:t>
      </w:r>
      <w:r>
        <w:rPr>
          <w:color w:val="231F20"/>
          <w:spacing w:val="-10"/>
          <w:sz w:val="20"/>
        </w:rPr>
        <w:t xml:space="preserve"> </w:t>
      </w:r>
      <w:r>
        <w:rPr>
          <w:color w:val="231F20"/>
          <w:sz w:val="20"/>
        </w:rPr>
        <w:t>victim</w:t>
      </w:r>
      <w:r>
        <w:rPr>
          <w:color w:val="231F20"/>
          <w:spacing w:val="-10"/>
          <w:sz w:val="20"/>
        </w:rPr>
        <w:t xml:space="preserve"> </w:t>
      </w:r>
      <w:r>
        <w:rPr>
          <w:color w:val="231F20"/>
          <w:sz w:val="20"/>
        </w:rPr>
        <w:t>survivors</w:t>
      </w:r>
      <w:r>
        <w:rPr>
          <w:color w:val="231F20"/>
          <w:spacing w:val="-10"/>
          <w:sz w:val="20"/>
        </w:rPr>
        <w:t xml:space="preserve"> </w:t>
      </w:r>
      <w:r>
        <w:rPr>
          <w:color w:val="231F20"/>
          <w:sz w:val="20"/>
        </w:rPr>
        <w:t xml:space="preserve">stop or adapt their </w:t>
      </w:r>
      <w:r>
        <w:rPr>
          <w:color w:val="231F20"/>
          <w:spacing w:val="-3"/>
          <w:sz w:val="20"/>
        </w:rPr>
        <w:t xml:space="preserve">behaviour, </w:t>
      </w:r>
      <w:r>
        <w:rPr>
          <w:color w:val="231F20"/>
          <w:sz w:val="20"/>
        </w:rPr>
        <w:t>instead of police stopping the behaviour of the people who stalk.</w:t>
      </w:r>
      <w:r>
        <w:rPr>
          <w:color w:val="231F20"/>
          <w:position w:val="7"/>
          <w:sz w:val="11"/>
        </w:rPr>
        <w:t>154</w:t>
      </w:r>
    </w:p>
    <w:p w14:paraId="48848176" w14:textId="77777777" w:rsidR="00894070" w:rsidRDefault="009B7AFD">
      <w:pPr>
        <w:pStyle w:val="ListParagraph"/>
        <w:numPr>
          <w:ilvl w:val="1"/>
          <w:numId w:val="161"/>
        </w:numPr>
        <w:tabs>
          <w:tab w:val="left" w:pos="1801"/>
          <w:tab w:val="left" w:pos="1802"/>
        </w:tabs>
        <w:spacing w:before="126" w:line="206" w:lineRule="auto"/>
        <w:ind w:right="1259"/>
        <w:rPr>
          <w:sz w:val="11"/>
        </w:rPr>
      </w:pPr>
      <w:r>
        <w:rPr>
          <w:color w:val="231F20"/>
          <w:sz w:val="20"/>
        </w:rPr>
        <w:t>Recent</w:t>
      </w:r>
      <w:r>
        <w:rPr>
          <w:color w:val="231F20"/>
          <w:spacing w:val="-8"/>
          <w:sz w:val="20"/>
        </w:rPr>
        <w:t xml:space="preserve"> </w:t>
      </w:r>
      <w:r>
        <w:rPr>
          <w:color w:val="231F20"/>
          <w:spacing w:val="-3"/>
          <w:sz w:val="20"/>
        </w:rPr>
        <w:t>research</w:t>
      </w:r>
      <w:r>
        <w:rPr>
          <w:color w:val="231F20"/>
          <w:spacing w:val="-7"/>
          <w:sz w:val="20"/>
        </w:rPr>
        <w:t xml:space="preserve"> </w:t>
      </w:r>
      <w:r>
        <w:rPr>
          <w:color w:val="231F20"/>
          <w:sz w:val="20"/>
        </w:rPr>
        <w:t>indicates</w:t>
      </w:r>
      <w:r>
        <w:rPr>
          <w:color w:val="231F20"/>
          <w:spacing w:val="-7"/>
          <w:sz w:val="20"/>
        </w:rPr>
        <w:t xml:space="preserve"> </w:t>
      </w:r>
      <w:r>
        <w:rPr>
          <w:color w:val="231F20"/>
          <w:sz w:val="20"/>
        </w:rPr>
        <w:t>that</w:t>
      </w:r>
      <w:r>
        <w:rPr>
          <w:color w:val="231F20"/>
          <w:spacing w:val="-8"/>
          <w:sz w:val="20"/>
        </w:rPr>
        <w:t xml:space="preserve"> </w:t>
      </w:r>
      <w:r>
        <w:rPr>
          <w:color w:val="231F20"/>
          <w:sz w:val="20"/>
        </w:rPr>
        <w:t>victim</w:t>
      </w:r>
      <w:r>
        <w:rPr>
          <w:color w:val="231F20"/>
          <w:spacing w:val="-7"/>
          <w:sz w:val="20"/>
        </w:rPr>
        <w:t xml:space="preserve"> </w:t>
      </w:r>
      <w:r>
        <w:rPr>
          <w:color w:val="231F20"/>
          <w:sz w:val="20"/>
        </w:rPr>
        <w:t>support</w:t>
      </w:r>
      <w:r>
        <w:rPr>
          <w:color w:val="231F20"/>
          <w:spacing w:val="-7"/>
          <w:sz w:val="20"/>
        </w:rPr>
        <w:t xml:space="preserve"> </w:t>
      </w:r>
      <w:r>
        <w:rPr>
          <w:color w:val="231F20"/>
          <w:sz w:val="20"/>
        </w:rPr>
        <w:t>services</w:t>
      </w:r>
      <w:r>
        <w:rPr>
          <w:color w:val="231F20"/>
          <w:spacing w:val="-8"/>
          <w:sz w:val="20"/>
        </w:rPr>
        <w:t xml:space="preserve"> </w:t>
      </w:r>
      <w:r>
        <w:rPr>
          <w:color w:val="231F20"/>
          <w:spacing w:val="-3"/>
          <w:sz w:val="20"/>
        </w:rPr>
        <w:t>may</w:t>
      </w:r>
      <w:r>
        <w:rPr>
          <w:color w:val="231F20"/>
          <w:spacing w:val="-7"/>
          <w:sz w:val="20"/>
        </w:rPr>
        <w:t xml:space="preserve"> </w:t>
      </w:r>
      <w:r>
        <w:rPr>
          <w:color w:val="231F20"/>
          <w:sz w:val="20"/>
        </w:rPr>
        <w:t>be</w:t>
      </w:r>
      <w:r>
        <w:rPr>
          <w:color w:val="231F20"/>
          <w:spacing w:val="-7"/>
          <w:sz w:val="20"/>
        </w:rPr>
        <w:t xml:space="preserve"> </w:t>
      </w:r>
      <w:r>
        <w:rPr>
          <w:color w:val="231F20"/>
          <w:spacing w:val="-3"/>
          <w:sz w:val="20"/>
        </w:rPr>
        <w:t>reluctant</w:t>
      </w:r>
      <w:r>
        <w:rPr>
          <w:color w:val="231F20"/>
          <w:spacing w:val="-8"/>
          <w:sz w:val="20"/>
        </w:rPr>
        <w:t xml:space="preserve"> </w:t>
      </w:r>
      <w:r>
        <w:rPr>
          <w:color w:val="231F20"/>
          <w:sz w:val="20"/>
        </w:rPr>
        <w:t>to</w:t>
      </w:r>
      <w:r>
        <w:rPr>
          <w:color w:val="231F20"/>
          <w:spacing w:val="-7"/>
          <w:sz w:val="20"/>
        </w:rPr>
        <w:t xml:space="preserve"> </w:t>
      </w:r>
      <w:r>
        <w:rPr>
          <w:color w:val="231F20"/>
          <w:spacing w:val="-4"/>
          <w:sz w:val="20"/>
        </w:rPr>
        <w:t>refer</w:t>
      </w:r>
      <w:r>
        <w:rPr>
          <w:color w:val="231F20"/>
          <w:spacing w:val="-7"/>
          <w:sz w:val="20"/>
        </w:rPr>
        <w:t xml:space="preserve"> </w:t>
      </w:r>
      <w:r>
        <w:rPr>
          <w:color w:val="231F20"/>
          <w:sz w:val="20"/>
        </w:rPr>
        <w:t>victim survivors of cyberstalking to police because of concerns about their response.</w:t>
      </w:r>
      <w:r>
        <w:rPr>
          <w:color w:val="231F20"/>
          <w:position w:val="7"/>
          <w:sz w:val="11"/>
        </w:rPr>
        <w:t xml:space="preserve">155 </w:t>
      </w:r>
      <w:r>
        <w:rPr>
          <w:color w:val="231F20"/>
          <w:sz w:val="20"/>
        </w:rPr>
        <w:t>The Victorian</w:t>
      </w:r>
      <w:r>
        <w:rPr>
          <w:color w:val="231F20"/>
          <w:spacing w:val="-12"/>
          <w:sz w:val="20"/>
        </w:rPr>
        <w:t xml:space="preserve"> </w:t>
      </w:r>
      <w:r>
        <w:rPr>
          <w:color w:val="231F20"/>
          <w:sz w:val="20"/>
        </w:rPr>
        <w:t>Aboriginal</w:t>
      </w:r>
      <w:r>
        <w:rPr>
          <w:color w:val="231F20"/>
          <w:spacing w:val="-12"/>
          <w:sz w:val="20"/>
        </w:rPr>
        <w:t xml:space="preserve"> </w:t>
      </w:r>
      <w:r>
        <w:rPr>
          <w:color w:val="231F20"/>
          <w:sz w:val="20"/>
        </w:rPr>
        <w:t>Legal</w:t>
      </w:r>
      <w:r>
        <w:rPr>
          <w:color w:val="231F20"/>
          <w:spacing w:val="-11"/>
          <w:sz w:val="20"/>
        </w:rPr>
        <w:t xml:space="preserve"> </w:t>
      </w:r>
      <w:r>
        <w:rPr>
          <w:color w:val="231F20"/>
          <w:sz w:val="20"/>
        </w:rPr>
        <w:t>Service</w:t>
      </w:r>
      <w:r>
        <w:rPr>
          <w:color w:val="231F20"/>
          <w:spacing w:val="-12"/>
          <w:sz w:val="20"/>
        </w:rPr>
        <w:t xml:space="preserve"> </w:t>
      </w:r>
      <w:r>
        <w:rPr>
          <w:color w:val="231F20"/>
          <w:sz w:val="20"/>
        </w:rPr>
        <w:t>reported</w:t>
      </w:r>
      <w:r>
        <w:rPr>
          <w:color w:val="231F20"/>
          <w:spacing w:val="-11"/>
          <w:sz w:val="20"/>
        </w:rPr>
        <w:t xml:space="preserve"> </w:t>
      </w:r>
      <w:r>
        <w:rPr>
          <w:color w:val="231F20"/>
          <w:sz w:val="20"/>
        </w:rPr>
        <w:t>that</w:t>
      </w:r>
      <w:r>
        <w:rPr>
          <w:color w:val="231F20"/>
          <w:spacing w:val="-12"/>
          <w:sz w:val="20"/>
        </w:rPr>
        <w:t xml:space="preserve"> </w:t>
      </w:r>
      <w:r>
        <w:rPr>
          <w:color w:val="231F20"/>
          <w:sz w:val="20"/>
        </w:rPr>
        <w:t>it</w:t>
      </w:r>
      <w:r>
        <w:rPr>
          <w:color w:val="231F20"/>
          <w:spacing w:val="-11"/>
          <w:sz w:val="20"/>
        </w:rPr>
        <w:t xml:space="preserve"> </w:t>
      </w:r>
      <w:r>
        <w:rPr>
          <w:color w:val="231F20"/>
          <w:sz w:val="20"/>
        </w:rPr>
        <w:t>has</w:t>
      </w:r>
      <w:r>
        <w:rPr>
          <w:color w:val="231F20"/>
          <w:spacing w:val="-12"/>
          <w:sz w:val="20"/>
        </w:rPr>
        <w:t xml:space="preserve"> </w:t>
      </w:r>
      <w:r>
        <w:rPr>
          <w:color w:val="231F20"/>
          <w:sz w:val="20"/>
        </w:rPr>
        <w:t>‘struggled</w:t>
      </w:r>
      <w:r>
        <w:rPr>
          <w:color w:val="231F20"/>
          <w:spacing w:val="-11"/>
          <w:sz w:val="20"/>
        </w:rPr>
        <w:t xml:space="preserve"> </w:t>
      </w:r>
      <w:r>
        <w:rPr>
          <w:color w:val="231F20"/>
          <w:sz w:val="20"/>
        </w:rPr>
        <w:t>to</w:t>
      </w:r>
      <w:r>
        <w:rPr>
          <w:color w:val="231F20"/>
          <w:spacing w:val="-12"/>
          <w:sz w:val="20"/>
        </w:rPr>
        <w:t xml:space="preserve"> </w:t>
      </w:r>
      <w:r>
        <w:rPr>
          <w:color w:val="231F20"/>
          <w:spacing w:val="-4"/>
          <w:sz w:val="20"/>
        </w:rPr>
        <w:t>refer</w:t>
      </w:r>
      <w:r>
        <w:rPr>
          <w:color w:val="231F20"/>
          <w:spacing w:val="-11"/>
          <w:sz w:val="20"/>
        </w:rPr>
        <w:t xml:space="preserve"> </w:t>
      </w:r>
      <w:r>
        <w:rPr>
          <w:color w:val="231F20"/>
          <w:sz w:val="20"/>
        </w:rPr>
        <w:t>young</w:t>
      </w:r>
      <w:r>
        <w:rPr>
          <w:color w:val="231F20"/>
          <w:spacing w:val="-12"/>
          <w:sz w:val="20"/>
        </w:rPr>
        <w:t xml:space="preserve"> </w:t>
      </w:r>
      <w:r>
        <w:rPr>
          <w:color w:val="231F20"/>
          <w:sz w:val="20"/>
        </w:rPr>
        <w:t xml:space="preserve">people to areas of the police that </w:t>
      </w:r>
      <w:r>
        <w:rPr>
          <w:color w:val="231F20"/>
          <w:spacing w:val="-3"/>
          <w:sz w:val="20"/>
        </w:rPr>
        <w:t xml:space="preserve">we are </w:t>
      </w:r>
      <w:r>
        <w:rPr>
          <w:color w:val="231F20"/>
          <w:sz w:val="20"/>
        </w:rPr>
        <w:t xml:space="preserve">comfortable </w:t>
      </w:r>
      <w:r>
        <w:rPr>
          <w:color w:val="231F20"/>
          <w:spacing w:val="-3"/>
          <w:sz w:val="20"/>
        </w:rPr>
        <w:t xml:space="preserve">would </w:t>
      </w:r>
      <w:r>
        <w:rPr>
          <w:color w:val="231F20"/>
          <w:sz w:val="20"/>
        </w:rPr>
        <w:t xml:space="preserve">be </w:t>
      </w:r>
      <w:r>
        <w:rPr>
          <w:color w:val="231F20"/>
          <w:spacing w:val="-3"/>
          <w:sz w:val="20"/>
        </w:rPr>
        <w:t xml:space="preserve">appropriately </w:t>
      </w:r>
      <w:r>
        <w:rPr>
          <w:color w:val="231F20"/>
          <w:sz w:val="20"/>
        </w:rPr>
        <w:t>trained to deal with</w:t>
      </w:r>
      <w:r>
        <w:rPr>
          <w:color w:val="231F20"/>
          <w:spacing w:val="-6"/>
          <w:sz w:val="20"/>
        </w:rPr>
        <w:t xml:space="preserve"> </w:t>
      </w:r>
      <w:r>
        <w:rPr>
          <w:color w:val="231F20"/>
          <w:sz w:val="20"/>
        </w:rPr>
        <w:t>offences</w:t>
      </w:r>
      <w:r>
        <w:rPr>
          <w:color w:val="231F20"/>
          <w:spacing w:val="-5"/>
          <w:sz w:val="20"/>
        </w:rPr>
        <w:t xml:space="preserve"> </w:t>
      </w:r>
      <w:r>
        <w:rPr>
          <w:color w:val="231F20"/>
          <w:sz w:val="20"/>
        </w:rPr>
        <w:t>such</w:t>
      </w:r>
      <w:r>
        <w:rPr>
          <w:color w:val="231F20"/>
          <w:spacing w:val="-6"/>
          <w:sz w:val="20"/>
        </w:rPr>
        <w:t xml:space="preserve"> </w:t>
      </w:r>
      <w:r>
        <w:rPr>
          <w:color w:val="231F20"/>
          <w:sz w:val="20"/>
        </w:rPr>
        <w:t>as</w:t>
      </w:r>
      <w:r>
        <w:rPr>
          <w:color w:val="231F20"/>
          <w:spacing w:val="-5"/>
          <w:sz w:val="20"/>
        </w:rPr>
        <w:t xml:space="preserve"> </w:t>
      </w:r>
      <w:r>
        <w:rPr>
          <w:color w:val="231F20"/>
          <w:sz w:val="20"/>
        </w:rPr>
        <w:t>cyber</w:t>
      </w:r>
      <w:r>
        <w:rPr>
          <w:color w:val="231F20"/>
          <w:spacing w:val="-5"/>
          <w:sz w:val="20"/>
        </w:rPr>
        <w:t xml:space="preserve"> </w:t>
      </w:r>
      <w:r>
        <w:rPr>
          <w:color w:val="231F20"/>
          <w:sz w:val="20"/>
        </w:rPr>
        <w:t>stalking</w:t>
      </w:r>
      <w:r>
        <w:rPr>
          <w:color w:val="231F20"/>
          <w:spacing w:val="-6"/>
          <w:sz w:val="20"/>
        </w:rPr>
        <w:t xml:space="preserve"> </w:t>
      </w:r>
      <w:r>
        <w:rPr>
          <w:color w:val="231F20"/>
          <w:sz w:val="20"/>
        </w:rPr>
        <w:t>and</w:t>
      </w:r>
      <w:r>
        <w:rPr>
          <w:color w:val="231F20"/>
          <w:spacing w:val="-5"/>
          <w:sz w:val="20"/>
        </w:rPr>
        <w:t xml:space="preserve"> </w:t>
      </w:r>
      <w:r>
        <w:rPr>
          <w:color w:val="231F20"/>
          <w:sz w:val="20"/>
        </w:rPr>
        <w:t>online</w:t>
      </w:r>
      <w:r>
        <w:rPr>
          <w:color w:val="231F20"/>
          <w:spacing w:val="-5"/>
          <w:sz w:val="20"/>
        </w:rPr>
        <w:t xml:space="preserve"> </w:t>
      </w:r>
      <w:r>
        <w:rPr>
          <w:color w:val="231F20"/>
          <w:sz w:val="20"/>
        </w:rPr>
        <w:t>blackmail’.</w:t>
      </w:r>
      <w:r>
        <w:rPr>
          <w:color w:val="231F20"/>
          <w:position w:val="7"/>
          <w:sz w:val="11"/>
        </w:rPr>
        <w:t>156</w:t>
      </w:r>
    </w:p>
    <w:p w14:paraId="1E6778E4" w14:textId="77777777" w:rsidR="00894070" w:rsidRDefault="00894070">
      <w:pPr>
        <w:pStyle w:val="BodyText"/>
        <w:spacing w:before="13"/>
        <w:rPr>
          <w:sz w:val="15"/>
        </w:rPr>
      </w:pPr>
    </w:p>
    <w:p w14:paraId="02958153" w14:textId="77777777" w:rsidR="00894070" w:rsidRDefault="009B7AFD">
      <w:pPr>
        <w:pStyle w:val="Heading8"/>
        <w:ind w:left="1007"/>
      </w:pPr>
      <w:r>
        <w:rPr>
          <w:color w:val="231F20"/>
        </w:rPr>
        <w:t>Cyberstalking can be difficult for police to investigate</w:t>
      </w:r>
    </w:p>
    <w:p w14:paraId="3C8EECFF" w14:textId="77777777" w:rsidR="00894070" w:rsidRDefault="009B7AFD">
      <w:pPr>
        <w:pStyle w:val="ListParagraph"/>
        <w:numPr>
          <w:ilvl w:val="1"/>
          <w:numId w:val="161"/>
        </w:numPr>
        <w:tabs>
          <w:tab w:val="left" w:pos="1801"/>
          <w:tab w:val="left" w:pos="1802"/>
        </w:tabs>
        <w:spacing w:before="127" w:line="206" w:lineRule="auto"/>
        <w:ind w:right="1305"/>
        <w:rPr>
          <w:sz w:val="20"/>
        </w:rPr>
      </w:pPr>
      <w:r>
        <w:rPr>
          <w:color w:val="231F20"/>
          <w:sz w:val="20"/>
        </w:rPr>
        <w:t>When</w:t>
      </w:r>
      <w:r>
        <w:rPr>
          <w:color w:val="231F20"/>
          <w:spacing w:val="-11"/>
          <w:sz w:val="20"/>
        </w:rPr>
        <w:t xml:space="preserve"> </w:t>
      </w:r>
      <w:r>
        <w:rPr>
          <w:color w:val="231F20"/>
          <w:sz w:val="20"/>
        </w:rPr>
        <w:t>police</w:t>
      </w:r>
      <w:r>
        <w:rPr>
          <w:color w:val="231F20"/>
          <w:spacing w:val="-10"/>
          <w:sz w:val="20"/>
        </w:rPr>
        <w:t xml:space="preserve"> </w:t>
      </w:r>
      <w:r>
        <w:rPr>
          <w:color w:val="231F20"/>
          <w:sz w:val="20"/>
        </w:rPr>
        <w:t>do</w:t>
      </w:r>
      <w:r>
        <w:rPr>
          <w:color w:val="231F20"/>
          <w:spacing w:val="-10"/>
          <w:sz w:val="20"/>
        </w:rPr>
        <w:t xml:space="preserve"> </w:t>
      </w:r>
      <w:r>
        <w:rPr>
          <w:color w:val="231F20"/>
          <w:sz w:val="20"/>
        </w:rPr>
        <w:t>identify</w:t>
      </w:r>
      <w:r>
        <w:rPr>
          <w:color w:val="231F20"/>
          <w:spacing w:val="-10"/>
          <w:sz w:val="20"/>
        </w:rPr>
        <w:t xml:space="preserve"> </w:t>
      </w:r>
      <w:r>
        <w:rPr>
          <w:color w:val="231F20"/>
          <w:sz w:val="20"/>
        </w:rPr>
        <w:t>cyberstalking</w:t>
      </w:r>
      <w:r>
        <w:rPr>
          <w:color w:val="231F20"/>
          <w:spacing w:val="-10"/>
          <w:sz w:val="20"/>
        </w:rPr>
        <w:t xml:space="preserve"> </w:t>
      </w:r>
      <w:r>
        <w:rPr>
          <w:color w:val="231F20"/>
          <w:sz w:val="20"/>
        </w:rPr>
        <w:t>behaviours</w:t>
      </w:r>
      <w:r>
        <w:rPr>
          <w:color w:val="231F20"/>
          <w:spacing w:val="-10"/>
          <w:sz w:val="20"/>
        </w:rPr>
        <w:t xml:space="preserve"> </w:t>
      </w:r>
      <w:r>
        <w:rPr>
          <w:color w:val="231F20"/>
          <w:sz w:val="20"/>
        </w:rPr>
        <w:t>and</w:t>
      </w:r>
      <w:r>
        <w:rPr>
          <w:color w:val="231F20"/>
          <w:spacing w:val="-10"/>
          <w:sz w:val="20"/>
        </w:rPr>
        <w:t xml:space="preserve"> </w:t>
      </w:r>
      <w:r>
        <w:rPr>
          <w:color w:val="231F20"/>
          <w:sz w:val="20"/>
        </w:rPr>
        <w:t>decide</w:t>
      </w:r>
      <w:r>
        <w:rPr>
          <w:color w:val="231F20"/>
          <w:spacing w:val="-10"/>
          <w:sz w:val="20"/>
        </w:rPr>
        <w:t xml:space="preserve"> </w:t>
      </w:r>
      <w:r>
        <w:rPr>
          <w:color w:val="231F20"/>
          <w:sz w:val="20"/>
        </w:rPr>
        <w:t>to</w:t>
      </w:r>
      <w:r>
        <w:rPr>
          <w:color w:val="231F20"/>
          <w:spacing w:val="-10"/>
          <w:sz w:val="20"/>
        </w:rPr>
        <w:t xml:space="preserve"> </w:t>
      </w:r>
      <w:r>
        <w:rPr>
          <w:color w:val="231F20"/>
          <w:spacing w:val="-3"/>
          <w:sz w:val="20"/>
        </w:rPr>
        <w:t>investigate,</w:t>
      </w:r>
      <w:r>
        <w:rPr>
          <w:color w:val="231F20"/>
          <w:spacing w:val="-10"/>
          <w:sz w:val="20"/>
        </w:rPr>
        <w:t xml:space="preserve"> </w:t>
      </w:r>
      <w:r>
        <w:rPr>
          <w:color w:val="231F20"/>
          <w:sz w:val="20"/>
        </w:rPr>
        <w:t>they</w:t>
      </w:r>
      <w:r>
        <w:rPr>
          <w:color w:val="231F20"/>
          <w:spacing w:val="-10"/>
          <w:sz w:val="20"/>
        </w:rPr>
        <w:t xml:space="preserve"> </w:t>
      </w:r>
      <w:r>
        <w:rPr>
          <w:color w:val="231F20"/>
          <w:spacing w:val="-3"/>
          <w:sz w:val="20"/>
        </w:rPr>
        <w:t xml:space="preserve">may </w:t>
      </w:r>
      <w:r>
        <w:rPr>
          <w:color w:val="231F20"/>
          <w:sz w:val="20"/>
        </w:rPr>
        <w:t xml:space="preserve">face practical difficulties, as outlined in </w:t>
      </w:r>
      <w:r>
        <w:rPr>
          <w:color w:val="231F20"/>
          <w:spacing w:val="-6"/>
          <w:sz w:val="20"/>
        </w:rPr>
        <w:t xml:space="preserve">Table </w:t>
      </w:r>
      <w:r>
        <w:rPr>
          <w:color w:val="231F20"/>
          <w:sz w:val="20"/>
        </w:rPr>
        <w:t>8</w:t>
      </w:r>
      <w:r>
        <w:rPr>
          <w:color w:val="231F20"/>
          <w:spacing w:val="-34"/>
          <w:sz w:val="20"/>
        </w:rPr>
        <w:t xml:space="preserve"> </w:t>
      </w:r>
      <w:r>
        <w:rPr>
          <w:color w:val="231F20"/>
          <w:spacing w:val="-5"/>
          <w:sz w:val="20"/>
        </w:rPr>
        <w:t>below.</w:t>
      </w:r>
    </w:p>
    <w:p w14:paraId="5226D40C" w14:textId="77777777" w:rsidR="00894070" w:rsidRDefault="00894070">
      <w:pPr>
        <w:pStyle w:val="BodyText"/>
      </w:pPr>
    </w:p>
    <w:p w14:paraId="36A19FEF" w14:textId="77777777" w:rsidR="00894070" w:rsidRDefault="00894070">
      <w:pPr>
        <w:pStyle w:val="BodyText"/>
      </w:pPr>
    </w:p>
    <w:p w14:paraId="718169EA" w14:textId="77777777" w:rsidR="00894070" w:rsidRDefault="00894070">
      <w:pPr>
        <w:pStyle w:val="BodyText"/>
      </w:pPr>
    </w:p>
    <w:p w14:paraId="0CC92AE6" w14:textId="77777777" w:rsidR="00894070" w:rsidRDefault="00894070">
      <w:pPr>
        <w:pStyle w:val="BodyText"/>
      </w:pPr>
    </w:p>
    <w:p w14:paraId="1C7F7AD2" w14:textId="77777777" w:rsidR="00894070" w:rsidRDefault="00894070">
      <w:pPr>
        <w:pStyle w:val="BodyText"/>
      </w:pPr>
    </w:p>
    <w:p w14:paraId="619785C8" w14:textId="77777777" w:rsidR="00894070" w:rsidRDefault="009F6793">
      <w:pPr>
        <w:pStyle w:val="BodyText"/>
        <w:spacing w:before="3"/>
        <w:rPr>
          <w:sz w:val="29"/>
        </w:rPr>
      </w:pPr>
      <w:r>
        <w:pict w14:anchorId="6A9FDB38">
          <v:line id="_x0000_s1548" style="position:absolute;z-index:251510784;mso-wrap-distance-left:0;mso-wrap-distance-right:0;mso-position-horizontal-relative:page" from="79.35pt,22.75pt" to="515.9pt,22.75pt" strokecolor="#f8cabc" strokeweight="1pt">
            <w10:wrap type="topAndBottom" anchorx="page"/>
          </v:line>
        </w:pict>
      </w:r>
    </w:p>
    <w:p w14:paraId="0CF42C0A" w14:textId="77777777" w:rsidR="00894070" w:rsidRDefault="009B7AFD">
      <w:pPr>
        <w:pStyle w:val="ListParagraph"/>
        <w:numPr>
          <w:ilvl w:val="0"/>
          <w:numId w:val="141"/>
        </w:numPr>
        <w:tabs>
          <w:tab w:val="left" w:pos="1801"/>
          <w:tab w:val="left" w:pos="1802"/>
        </w:tabs>
        <w:spacing w:before="91" w:line="170" w:lineRule="exact"/>
        <w:rPr>
          <w:sz w:val="13"/>
        </w:rPr>
      </w:pPr>
      <w:r>
        <w:rPr>
          <w:color w:val="231F20"/>
          <w:spacing w:val="2"/>
          <w:sz w:val="13"/>
        </w:rPr>
        <w:t xml:space="preserve">Submission </w:t>
      </w:r>
      <w:r>
        <w:rPr>
          <w:color w:val="231F20"/>
          <w:sz w:val="13"/>
        </w:rPr>
        <w:t>70 (Di</w:t>
      </w:r>
      <w:r>
        <w:rPr>
          <w:color w:val="231F20"/>
          <w:spacing w:val="-3"/>
          <w:sz w:val="13"/>
        </w:rPr>
        <w:t xml:space="preserve"> </w:t>
      </w:r>
      <w:r>
        <w:rPr>
          <w:color w:val="231F20"/>
          <w:sz w:val="13"/>
        </w:rPr>
        <w:t>McDonald).</w:t>
      </w:r>
    </w:p>
    <w:p w14:paraId="0E4A4212" w14:textId="77777777" w:rsidR="00894070" w:rsidRDefault="009B7AFD">
      <w:pPr>
        <w:pStyle w:val="ListParagraph"/>
        <w:numPr>
          <w:ilvl w:val="0"/>
          <w:numId w:val="141"/>
        </w:numPr>
        <w:tabs>
          <w:tab w:val="left" w:pos="1801"/>
          <w:tab w:val="left" w:pos="1802"/>
        </w:tabs>
        <w:spacing w:before="6"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51D55620" w14:textId="77777777" w:rsidR="00894070" w:rsidRDefault="009B7AFD">
      <w:pPr>
        <w:pStyle w:val="ListParagraph"/>
        <w:numPr>
          <w:ilvl w:val="0"/>
          <w:numId w:val="141"/>
        </w:numPr>
        <w:tabs>
          <w:tab w:val="left" w:pos="1800"/>
          <w:tab w:val="left" w:pos="1802"/>
        </w:tabs>
        <w:spacing w:line="213" w:lineRule="auto"/>
        <w:ind w:right="1495"/>
        <w:rPr>
          <w:sz w:val="13"/>
        </w:rPr>
      </w:pPr>
      <w:r>
        <w:rPr>
          <w:color w:val="231F20"/>
          <w:spacing w:val="2"/>
          <w:sz w:val="13"/>
        </w:rPr>
        <w:t xml:space="preserve">Submission </w:t>
      </w:r>
      <w:r>
        <w:rPr>
          <w:color w:val="231F20"/>
          <w:sz w:val="13"/>
        </w:rPr>
        <w:t xml:space="preserve">32 (Centre for Forensic Behavioural Science). See </w:t>
      </w:r>
      <w:r>
        <w:rPr>
          <w:color w:val="231F20"/>
          <w:spacing w:val="2"/>
          <w:sz w:val="13"/>
        </w:rPr>
        <w:t xml:space="preserve">also </w:t>
      </w:r>
      <w:r>
        <w:rPr>
          <w:color w:val="231F20"/>
          <w:sz w:val="13"/>
        </w:rPr>
        <w:t xml:space="preserve">Holly Taylor-Dunn, Erica </w:t>
      </w:r>
      <w:proofErr w:type="gramStart"/>
      <w:r>
        <w:rPr>
          <w:color w:val="231F20"/>
          <w:sz w:val="13"/>
        </w:rPr>
        <w:t>Bowen</w:t>
      </w:r>
      <w:proofErr w:type="gramEnd"/>
      <w:r>
        <w:rPr>
          <w:color w:val="231F20"/>
          <w:sz w:val="13"/>
        </w:rPr>
        <w:t xml:space="preserve"> and Elizabeth A Gilchrist, </w:t>
      </w:r>
      <w:r>
        <w:rPr>
          <w:color w:val="231F20"/>
          <w:spacing w:val="2"/>
          <w:sz w:val="13"/>
        </w:rPr>
        <w:t xml:space="preserve">‘Reporting Harassment </w:t>
      </w:r>
      <w:r>
        <w:rPr>
          <w:color w:val="231F20"/>
          <w:sz w:val="13"/>
        </w:rPr>
        <w:t xml:space="preserve">and Stalking to the Police: A Qualitative Study of Victims’ </w:t>
      </w:r>
      <w:r>
        <w:rPr>
          <w:color w:val="231F20"/>
          <w:spacing w:val="2"/>
          <w:sz w:val="13"/>
        </w:rPr>
        <w:t xml:space="preserve">Experiences’ </w:t>
      </w:r>
      <w:r>
        <w:rPr>
          <w:color w:val="231F20"/>
          <w:sz w:val="13"/>
        </w:rPr>
        <w:t xml:space="preserve">(2021) 36(11–12) </w:t>
      </w:r>
      <w:r>
        <w:rPr>
          <w:i/>
          <w:color w:val="231F20"/>
          <w:sz w:val="13"/>
        </w:rPr>
        <w:t xml:space="preserve">Journal of Interpersonal Violence </w:t>
      </w:r>
      <w:r>
        <w:rPr>
          <w:color w:val="231F20"/>
          <w:sz w:val="13"/>
        </w:rPr>
        <w:t>10.1177/0886260518811423:1–29,</w:t>
      </w:r>
      <w:r>
        <w:rPr>
          <w:color w:val="231F20"/>
          <w:spacing w:val="1"/>
          <w:sz w:val="13"/>
        </w:rPr>
        <w:t xml:space="preserve"> </w:t>
      </w:r>
      <w:r>
        <w:rPr>
          <w:color w:val="231F20"/>
          <w:sz w:val="13"/>
        </w:rPr>
        <w:t>8.</w:t>
      </w:r>
    </w:p>
    <w:p w14:paraId="0055DC33" w14:textId="77777777" w:rsidR="00894070" w:rsidRDefault="009B7AFD">
      <w:pPr>
        <w:pStyle w:val="ListParagraph"/>
        <w:numPr>
          <w:ilvl w:val="0"/>
          <w:numId w:val="141"/>
        </w:numPr>
        <w:tabs>
          <w:tab w:val="left" w:pos="1800"/>
          <w:tab w:val="left" w:pos="1802"/>
        </w:tabs>
        <w:spacing w:line="213" w:lineRule="auto"/>
        <w:ind w:right="1172"/>
        <w:rPr>
          <w:sz w:val="13"/>
        </w:rPr>
      </w:pPr>
      <w:r>
        <w:rPr>
          <w:color w:val="231F20"/>
          <w:sz w:val="13"/>
        </w:rPr>
        <w:t xml:space="preserve">Wei-Jung Chang, </w:t>
      </w:r>
      <w:r>
        <w:rPr>
          <w:color w:val="231F20"/>
          <w:spacing w:val="2"/>
          <w:sz w:val="13"/>
        </w:rPr>
        <w:t xml:space="preserve">‘Cyberstalking </w:t>
      </w:r>
      <w:r>
        <w:rPr>
          <w:color w:val="231F20"/>
          <w:sz w:val="13"/>
        </w:rPr>
        <w:t xml:space="preserve">and Law Enforcement’ (2020) 176 </w:t>
      </w:r>
      <w:r>
        <w:rPr>
          <w:i/>
          <w:color w:val="231F20"/>
          <w:sz w:val="13"/>
        </w:rPr>
        <w:t xml:space="preserve">Procedia Computer Science </w:t>
      </w:r>
      <w:r>
        <w:rPr>
          <w:color w:val="231F20"/>
          <w:sz w:val="13"/>
        </w:rPr>
        <w:t xml:space="preserve">1188, 1191 (citations omitted); </w:t>
      </w: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w:t>
      </w:r>
      <w:r>
        <w:rPr>
          <w:color w:val="231F20"/>
          <w:spacing w:val="2"/>
          <w:sz w:val="13"/>
        </w:rPr>
        <w:t xml:space="preserve">Sophie </w:t>
      </w:r>
      <w:r>
        <w:rPr>
          <w:color w:val="231F20"/>
          <w:sz w:val="13"/>
        </w:rPr>
        <w:t xml:space="preserve">Hindes, </w:t>
      </w:r>
      <w:r>
        <w:rPr>
          <w:i/>
          <w:color w:val="231F20"/>
          <w:sz w:val="13"/>
        </w:rPr>
        <w:t xml:space="preserve">Technology-Facilitated Abuse: A Survey of </w:t>
      </w:r>
      <w:r>
        <w:rPr>
          <w:i/>
          <w:color w:val="231F20"/>
          <w:spacing w:val="2"/>
          <w:sz w:val="13"/>
        </w:rPr>
        <w:t xml:space="preserve">Support Services </w:t>
      </w:r>
      <w:r>
        <w:rPr>
          <w:i/>
          <w:color w:val="231F20"/>
          <w:sz w:val="13"/>
        </w:rPr>
        <w:t xml:space="preserve">Stakeholders </w:t>
      </w:r>
      <w:r>
        <w:rPr>
          <w:color w:val="231F20"/>
          <w:sz w:val="13"/>
        </w:rPr>
        <w:t xml:space="preserve">(Research </w:t>
      </w:r>
      <w:r>
        <w:rPr>
          <w:color w:val="231F20"/>
          <w:spacing w:val="2"/>
          <w:sz w:val="13"/>
        </w:rPr>
        <w:t xml:space="preserve">Report </w:t>
      </w:r>
      <w:r>
        <w:rPr>
          <w:color w:val="231F20"/>
          <w:sz w:val="13"/>
        </w:rPr>
        <w:t>No 2, ANROWS, July 2021)</w:t>
      </w:r>
      <w:r>
        <w:rPr>
          <w:color w:val="231F20"/>
          <w:spacing w:val="-2"/>
          <w:sz w:val="13"/>
        </w:rPr>
        <w:t xml:space="preserve"> </w:t>
      </w:r>
      <w:r>
        <w:rPr>
          <w:color w:val="231F20"/>
          <w:sz w:val="13"/>
        </w:rPr>
        <w:t>40.</w:t>
      </w:r>
    </w:p>
    <w:p w14:paraId="78ED4A72" w14:textId="77777777" w:rsidR="00894070" w:rsidRDefault="009B7AFD">
      <w:pPr>
        <w:pStyle w:val="ListParagraph"/>
        <w:numPr>
          <w:ilvl w:val="0"/>
          <w:numId w:val="141"/>
        </w:numPr>
        <w:tabs>
          <w:tab w:val="left" w:pos="1800"/>
          <w:tab w:val="left" w:pos="1802"/>
        </w:tabs>
        <w:spacing w:line="213" w:lineRule="auto"/>
        <w:ind w:right="1251"/>
        <w:rPr>
          <w:sz w:val="13"/>
        </w:rPr>
      </w:pPr>
      <w:r>
        <w:rPr>
          <w:color w:val="231F20"/>
          <w:spacing w:val="2"/>
          <w:sz w:val="13"/>
        </w:rPr>
        <w:t xml:space="preserve">Submissions </w:t>
      </w:r>
      <w:r>
        <w:rPr>
          <w:color w:val="231F20"/>
          <w:sz w:val="13"/>
        </w:rPr>
        <w:t xml:space="preserve">32 (Centre for Forensic Behavioural Science), 39 (Victorian Pride Lobby), 56 </w:t>
      </w:r>
      <w:r>
        <w:rPr>
          <w:color w:val="231F20"/>
          <w:spacing w:val="2"/>
          <w:sz w:val="13"/>
        </w:rPr>
        <w:t xml:space="preserve">(Derryn </w:t>
      </w:r>
      <w:r>
        <w:rPr>
          <w:color w:val="231F20"/>
          <w:sz w:val="13"/>
        </w:rPr>
        <w:t xml:space="preserve">Hinch’s Justice Party), 65 (Code </w:t>
      </w:r>
      <w:r>
        <w:rPr>
          <w:color w:val="231F20"/>
          <w:spacing w:val="2"/>
          <w:sz w:val="13"/>
        </w:rPr>
        <w:t xml:space="preserve">Black </w:t>
      </w:r>
      <w:r>
        <w:rPr>
          <w:color w:val="231F20"/>
          <w:sz w:val="13"/>
        </w:rPr>
        <w:t xml:space="preserve">Threat </w:t>
      </w:r>
      <w:r>
        <w:rPr>
          <w:color w:val="231F20"/>
          <w:spacing w:val="2"/>
          <w:sz w:val="13"/>
        </w:rPr>
        <w:t xml:space="preserve">Management); </w:t>
      </w:r>
      <w:r>
        <w:rPr>
          <w:color w:val="231F20"/>
          <w:sz w:val="13"/>
        </w:rPr>
        <w:t xml:space="preserve">Consultation 29 </w:t>
      </w:r>
      <w:r>
        <w:rPr>
          <w:color w:val="231F20"/>
          <w:spacing w:val="2"/>
          <w:sz w:val="13"/>
        </w:rPr>
        <w:t xml:space="preserve">(Alannah </w:t>
      </w:r>
      <w:r>
        <w:rPr>
          <w:color w:val="231F20"/>
          <w:sz w:val="13"/>
        </w:rPr>
        <w:t>&amp; Madeline</w:t>
      </w:r>
      <w:r>
        <w:rPr>
          <w:color w:val="231F20"/>
          <w:spacing w:val="-1"/>
          <w:sz w:val="13"/>
        </w:rPr>
        <w:t xml:space="preserve"> </w:t>
      </w:r>
      <w:r>
        <w:rPr>
          <w:color w:val="231F20"/>
          <w:sz w:val="13"/>
        </w:rPr>
        <w:t>Foundation).</w:t>
      </w:r>
    </w:p>
    <w:p w14:paraId="424DE0EA" w14:textId="77777777" w:rsidR="00894070" w:rsidRDefault="009B7AFD">
      <w:pPr>
        <w:pStyle w:val="ListParagraph"/>
        <w:numPr>
          <w:ilvl w:val="0"/>
          <w:numId w:val="141"/>
        </w:numPr>
        <w:tabs>
          <w:tab w:val="left" w:pos="1801"/>
          <w:tab w:val="left" w:pos="1802"/>
        </w:tabs>
        <w:spacing w:line="152" w:lineRule="exact"/>
        <w:rPr>
          <w:sz w:val="13"/>
        </w:rPr>
      </w:pPr>
      <w:r>
        <w:rPr>
          <w:color w:val="231F20"/>
          <w:sz w:val="13"/>
        </w:rPr>
        <w:t xml:space="preserve">Consultation 29 </w:t>
      </w:r>
      <w:r>
        <w:rPr>
          <w:color w:val="231F20"/>
          <w:spacing w:val="2"/>
          <w:sz w:val="13"/>
        </w:rPr>
        <w:t xml:space="preserve">(Alannah </w:t>
      </w:r>
      <w:r>
        <w:rPr>
          <w:color w:val="231F20"/>
          <w:sz w:val="13"/>
        </w:rPr>
        <w:t>&amp; Madeline</w:t>
      </w:r>
      <w:r>
        <w:rPr>
          <w:color w:val="231F20"/>
          <w:spacing w:val="-1"/>
          <w:sz w:val="13"/>
        </w:rPr>
        <w:t xml:space="preserve"> </w:t>
      </w:r>
      <w:r>
        <w:rPr>
          <w:color w:val="231F20"/>
          <w:sz w:val="13"/>
        </w:rPr>
        <w:t>Foundation).</w:t>
      </w:r>
    </w:p>
    <w:p w14:paraId="40BA4FA4" w14:textId="77777777" w:rsidR="00894070" w:rsidRDefault="009B7AFD">
      <w:pPr>
        <w:pStyle w:val="ListParagraph"/>
        <w:numPr>
          <w:ilvl w:val="0"/>
          <w:numId w:val="141"/>
        </w:numPr>
        <w:tabs>
          <w:tab w:val="left" w:pos="1800"/>
          <w:tab w:val="left" w:pos="1802"/>
        </w:tabs>
        <w:spacing w:line="160" w:lineRule="exact"/>
        <w:rPr>
          <w:sz w:val="13"/>
        </w:rPr>
      </w:pPr>
      <w:r>
        <w:rPr>
          <w:color w:val="231F20"/>
          <w:spacing w:val="2"/>
          <w:sz w:val="13"/>
        </w:rPr>
        <w:t xml:space="preserve">Submission </w:t>
      </w:r>
      <w:r>
        <w:rPr>
          <w:color w:val="231F20"/>
          <w:sz w:val="13"/>
        </w:rPr>
        <w:t>39 (Victorian Pride</w:t>
      </w:r>
      <w:r>
        <w:rPr>
          <w:color w:val="231F20"/>
          <w:spacing w:val="-3"/>
          <w:sz w:val="13"/>
        </w:rPr>
        <w:t xml:space="preserve"> </w:t>
      </w:r>
      <w:r>
        <w:rPr>
          <w:color w:val="231F20"/>
          <w:sz w:val="13"/>
        </w:rPr>
        <w:t>Lobby).</w:t>
      </w:r>
    </w:p>
    <w:p w14:paraId="468E303A" w14:textId="77777777" w:rsidR="00894070" w:rsidRDefault="009F6793">
      <w:pPr>
        <w:pStyle w:val="ListParagraph"/>
        <w:numPr>
          <w:ilvl w:val="0"/>
          <w:numId w:val="141"/>
        </w:numPr>
        <w:tabs>
          <w:tab w:val="left" w:pos="1800"/>
          <w:tab w:val="left" w:pos="1802"/>
        </w:tabs>
        <w:spacing w:before="2" w:line="213" w:lineRule="auto"/>
        <w:ind w:right="1555"/>
        <w:jc w:val="both"/>
        <w:rPr>
          <w:sz w:val="13"/>
        </w:rPr>
      </w:pPr>
      <w:r>
        <w:pict w14:anchorId="11A9E10B">
          <v:shape id="_x0000_s1547" type="#_x0000_t202" style="position:absolute;left:0;text-align:left;margin-left:36pt;margin-top:19.5pt;width:14pt;height:14.1pt;z-index:251582464;mso-position-horizontal-relative:page" filled="f" stroked="f">
            <v:textbox inset="0,0,0,0">
              <w:txbxContent>
                <w:p w14:paraId="574F36F9" w14:textId="77777777" w:rsidR="00894070" w:rsidRDefault="009B7AFD">
                  <w:pPr>
                    <w:spacing w:line="282" w:lineRule="exact"/>
                    <w:rPr>
                      <w:b/>
                      <w:sz w:val="24"/>
                    </w:rPr>
                  </w:pPr>
                  <w:r>
                    <w:rPr>
                      <w:b/>
                      <w:color w:val="EA5B50"/>
                      <w:spacing w:val="-2"/>
                      <w:sz w:val="24"/>
                    </w:rPr>
                    <w:t>48</w:t>
                  </w:r>
                </w:p>
              </w:txbxContent>
            </v:textbox>
            <w10:wrap anchorx="page"/>
          </v:shape>
        </w:pict>
      </w:r>
      <w:r w:rsidR="009B7AFD">
        <w:rPr>
          <w:color w:val="231F20"/>
          <w:spacing w:val="2"/>
          <w:sz w:val="13"/>
        </w:rPr>
        <w:t xml:space="preserve">Asher </w:t>
      </w:r>
      <w:r w:rsidR="009B7AFD">
        <w:rPr>
          <w:color w:val="231F20"/>
          <w:sz w:val="13"/>
        </w:rPr>
        <w:t xml:space="preserve">Flynn, </w:t>
      </w:r>
      <w:r w:rsidR="009B7AFD">
        <w:rPr>
          <w:color w:val="231F20"/>
          <w:spacing w:val="2"/>
          <w:sz w:val="13"/>
        </w:rPr>
        <w:t xml:space="preserve">Anastasia </w:t>
      </w:r>
      <w:r w:rsidR="009B7AFD">
        <w:rPr>
          <w:color w:val="231F20"/>
          <w:sz w:val="13"/>
        </w:rPr>
        <w:t xml:space="preserve">Powell and Sophie Hindes, </w:t>
      </w:r>
      <w:r w:rsidR="009B7AFD">
        <w:rPr>
          <w:i/>
          <w:color w:val="231F20"/>
          <w:sz w:val="13"/>
        </w:rPr>
        <w:t xml:space="preserve">Technology-Facilitated Abuse: A Survey of </w:t>
      </w:r>
      <w:r w:rsidR="009B7AFD">
        <w:rPr>
          <w:i/>
          <w:color w:val="231F20"/>
          <w:spacing w:val="2"/>
          <w:sz w:val="13"/>
        </w:rPr>
        <w:t xml:space="preserve">Support Services </w:t>
      </w:r>
      <w:r w:rsidR="009B7AFD">
        <w:rPr>
          <w:i/>
          <w:color w:val="231F20"/>
          <w:sz w:val="13"/>
        </w:rPr>
        <w:t xml:space="preserve">Stakeholders </w:t>
      </w:r>
      <w:r w:rsidR="009B7AFD">
        <w:rPr>
          <w:color w:val="231F20"/>
          <w:sz w:val="13"/>
        </w:rPr>
        <w:t xml:space="preserve">(Research </w:t>
      </w:r>
      <w:r w:rsidR="009B7AFD">
        <w:rPr>
          <w:color w:val="231F20"/>
          <w:spacing w:val="2"/>
          <w:sz w:val="13"/>
        </w:rPr>
        <w:t xml:space="preserve">Report </w:t>
      </w:r>
      <w:r w:rsidR="009B7AFD">
        <w:rPr>
          <w:color w:val="231F20"/>
          <w:sz w:val="13"/>
        </w:rPr>
        <w:t xml:space="preserve">No 2, ANROWS, July 2021), citing </w:t>
      </w:r>
      <w:r w:rsidR="009B7AFD">
        <w:rPr>
          <w:color w:val="231F20"/>
          <w:spacing w:val="2"/>
          <w:sz w:val="13"/>
        </w:rPr>
        <w:t xml:space="preserve">Delanie </w:t>
      </w:r>
      <w:r w:rsidR="009B7AFD">
        <w:rPr>
          <w:color w:val="231F20"/>
          <w:sz w:val="13"/>
        </w:rPr>
        <w:t xml:space="preserve">Woodlock et </w:t>
      </w:r>
      <w:r w:rsidR="009B7AFD">
        <w:rPr>
          <w:color w:val="231F20"/>
          <w:spacing w:val="2"/>
          <w:sz w:val="13"/>
        </w:rPr>
        <w:t xml:space="preserve">al, </w:t>
      </w:r>
      <w:r w:rsidR="009B7AFD">
        <w:rPr>
          <w:i/>
          <w:color w:val="231F20"/>
          <w:sz w:val="13"/>
        </w:rPr>
        <w:t xml:space="preserve">Second National Survey on Technology Abuse in Australia </w:t>
      </w:r>
      <w:r w:rsidR="009B7AFD">
        <w:rPr>
          <w:color w:val="231F20"/>
          <w:spacing w:val="2"/>
          <w:sz w:val="13"/>
        </w:rPr>
        <w:t xml:space="preserve">(Report, </w:t>
      </w:r>
      <w:r w:rsidR="009B7AFD">
        <w:rPr>
          <w:color w:val="231F20"/>
          <w:sz w:val="13"/>
        </w:rPr>
        <w:t>24 November</w:t>
      </w:r>
      <w:r w:rsidR="009B7AFD">
        <w:rPr>
          <w:color w:val="231F20"/>
          <w:spacing w:val="-2"/>
          <w:sz w:val="13"/>
        </w:rPr>
        <w:t xml:space="preserve"> </w:t>
      </w:r>
      <w:r w:rsidR="009B7AFD">
        <w:rPr>
          <w:color w:val="231F20"/>
          <w:sz w:val="13"/>
        </w:rPr>
        <w:t>2020).</w:t>
      </w:r>
    </w:p>
    <w:p w14:paraId="57DCFF41" w14:textId="77777777" w:rsidR="00894070" w:rsidRDefault="009B7AFD">
      <w:pPr>
        <w:pStyle w:val="ListParagraph"/>
        <w:numPr>
          <w:ilvl w:val="0"/>
          <w:numId w:val="141"/>
        </w:numPr>
        <w:tabs>
          <w:tab w:val="left" w:pos="1800"/>
          <w:tab w:val="left" w:pos="1802"/>
        </w:tabs>
        <w:spacing w:line="162" w:lineRule="exact"/>
        <w:rPr>
          <w:sz w:val="13"/>
        </w:rPr>
      </w:pPr>
      <w:r>
        <w:rPr>
          <w:color w:val="231F20"/>
          <w:sz w:val="13"/>
        </w:rPr>
        <w:t>Consultation 10 (Victorian Aboriginal Legal</w:t>
      </w:r>
      <w:r>
        <w:rPr>
          <w:color w:val="231F20"/>
          <w:spacing w:val="2"/>
          <w:sz w:val="13"/>
        </w:rPr>
        <w:t xml:space="preserve"> </w:t>
      </w:r>
      <w:r>
        <w:rPr>
          <w:color w:val="231F20"/>
          <w:sz w:val="13"/>
        </w:rPr>
        <w:t>Service).</w:t>
      </w:r>
    </w:p>
    <w:p w14:paraId="543946D1" w14:textId="77777777" w:rsidR="00894070" w:rsidRDefault="00894070">
      <w:pPr>
        <w:spacing w:line="162" w:lineRule="exact"/>
        <w:rPr>
          <w:sz w:val="13"/>
        </w:rPr>
        <w:sectPr w:rsidR="00894070">
          <w:pgSz w:w="11910" w:h="16840"/>
          <w:pgMar w:top="860" w:right="420" w:bottom="280" w:left="580" w:header="567" w:footer="0" w:gutter="0"/>
          <w:cols w:space="720"/>
        </w:sectPr>
      </w:pPr>
    </w:p>
    <w:p w14:paraId="345E907A" w14:textId="77777777" w:rsidR="00894070" w:rsidRDefault="00894070">
      <w:pPr>
        <w:pStyle w:val="BodyText"/>
      </w:pPr>
    </w:p>
    <w:p w14:paraId="2AD955EA" w14:textId="77777777" w:rsidR="00894070" w:rsidRDefault="00894070">
      <w:pPr>
        <w:pStyle w:val="BodyText"/>
      </w:pPr>
    </w:p>
    <w:p w14:paraId="6EC1B152" w14:textId="77777777" w:rsidR="00894070" w:rsidRDefault="00894070">
      <w:pPr>
        <w:pStyle w:val="BodyText"/>
      </w:pPr>
    </w:p>
    <w:p w14:paraId="17BC834A" w14:textId="77777777" w:rsidR="00894070" w:rsidRDefault="00894070">
      <w:pPr>
        <w:pStyle w:val="BodyText"/>
        <w:spacing w:before="6"/>
        <w:rPr>
          <w:sz w:val="14"/>
        </w:rPr>
      </w:pPr>
    </w:p>
    <w:p w14:paraId="360561F5" w14:textId="77777777" w:rsidR="00894070" w:rsidRDefault="009B7AFD">
      <w:pPr>
        <w:spacing w:before="80" w:line="218" w:lineRule="auto"/>
        <w:ind w:left="1801" w:right="1459"/>
        <w:rPr>
          <w:b/>
          <w:sz w:val="19"/>
        </w:rPr>
      </w:pPr>
      <w:r>
        <w:rPr>
          <w:b/>
          <w:color w:val="231F20"/>
          <w:sz w:val="19"/>
        </w:rPr>
        <w:t>Table 8: Why cyberstalking can be difficult to address through a criminal justice response</w:t>
      </w:r>
    </w:p>
    <w:p w14:paraId="078BD710" w14:textId="77777777" w:rsidR="00894070" w:rsidRDefault="00894070">
      <w:pPr>
        <w:pStyle w:val="BodyText"/>
        <w:spacing w:before="12"/>
        <w:rPr>
          <w:b/>
          <w:sz w:val="13"/>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1971"/>
        <w:gridCol w:w="5956"/>
      </w:tblGrid>
      <w:tr w:rsidR="00894070" w14:paraId="136B89C3" w14:textId="77777777">
        <w:trPr>
          <w:trHeight w:val="518"/>
        </w:trPr>
        <w:tc>
          <w:tcPr>
            <w:tcW w:w="1971" w:type="dxa"/>
            <w:shd w:val="clear" w:color="auto" w:fill="F4BCAE"/>
          </w:tcPr>
          <w:p w14:paraId="1AC6393C" w14:textId="77777777" w:rsidR="00894070" w:rsidRDefault="009B7AFD">
            <w:pPr>
              <w:pStyle w:val="TableParagraph"/>
              <w:spacing w:before="122"/>
              <w:rPr>
                <w:b/>
                <w:sz w:val="20"/>
              </w:rPr>
            </w:pPr>
            <w:r>
              <w:rPr>
                <w:b/>
                <w:color w:val="231F20"/>
                <w:sz w:val="20"/>
              </w:rPr>
              <w:t>Reason</w:t>
            </w:r>
          </w:p>
        </w:tc>
        <w:tc>
          <w:tcPr>
            <w:tcW w:w="5956" w:type="dxa"/>
            <w:shd w:val="clear" w:color="auto" w:fill="F4BCAE"/>
          </w:tcPr>
          <w:p w14:paraId="418E8405" w14:textId="77777777" w:rsidR="00894070" w:rsidRDefault="009B7AFD">
            <w:pPr>
              <w:pStyle w:val="TableParagraph"/>
              <w:spacing w:before="122"/>
              <w:rPr>
                <w:b/>
                <w:sz w:val="20"/>
              </w:rPr>
            </w:pPr>
            <w:r>
              <w:rPr>
                <w:b/>
                <w:color w:val="231F20"/>
                <w:sz w:val="20"/>
              </w:rPr>
              <w:t>Description</w:t>
            </w:r>
          </w:p>
        </w:tc>
      </w:tr>
      <w:tr w:rsidR="00894070" w14:paraId="33E9F557" w14:textId="77777777">
        <w:trPr>
          <w:trHeight w:val="1124"/>
        </w:trPr>
        <w:tc>
          <w:tcPr>
            <w:tcW w:w="1971" w:type="dxa"/>
          </w:tcPr>
          <w:p w14:paraId="1F90BE6E" w14:textId="77777777" w:rsidR="00894070" w:rsidRDefault="009B7AFD">
            <w:pPr>
              <w:pStyle w:val="TableParagraph"/>
              <w:spacing w:before="98" w:line="206" w:lineRule="auto"/>
              <w:ind w:right="310"/>
              <w:rPr>
                <w:sz w:val="20"/>
              </w:rPr>
            </w:pPr>
            <w:r>
              <w:rPr>
                <w:color w:val="231F20"/>
                <w:sz w:val="20"/>
              </w:rPr>
              <w:t>Not being able to identify the person who is cyberstalking</w:t>
            </w:r>
          </w:p>
        </w:tc>
        <w:tc>
          <w:tcPr>
            <w:tcW w:w="5956" w:type="dxa"/>
          </w:tcPr>
          <w:p w14:paraId="0EE64B78" w14:textId="77777777" w:rsidR="00894070" w:rsidRDefault="009B7AFD">
            <w:pPr>
              <w:pStyle w:val="TableParagraph"/>
              <w:spacing w:before="98" w:line="206" w:lineRule="auto"/>
              <w:ind w:right="242"/>
              <w:rPr>
                <w:sz w:val="11"/>
              </w:rPr>
            </w:pPr>
            <w:r>
              <w:rPr>
                <w:color w:val="231F20"/>
                <w:sz w:val="20"/>
              </w:rPr>
              <w:t>Finding out the identity of the person who stalks and collecting evidence can be challenging because they may use fake online profiles or other people’s accounts.</w:t>
            </w:r>
            <w:r>
              <w:rPr>
                <w:color w:val="231F20"/>
                <w:position w:val="7"/>
                <w:sz w:val="11"/>
              </w:rPr>
              <w:t>157</w:t>
            </w:r>
          </w:p>
        </w:tc>
      </w:tr>
      <w:tr w:rsidR="00894070" w14:paraId="1F4A8430" w14:textId="77777777">
        <w:trPr>
          <w:trHeight w:val="884"/>
        </w:trPr>
        <w:tc>
          <w:tcPr>
            <w:tcW w:w="1971" w:type="dxa"/>
          </w:tcPr>
          <w:p w14:paraId="3175CDAB" w14:textId="77777777" w:rsidR="00894070" w:rsidRDefault="009B7AFD">
            <w:pPr>
              <w:pStyle w:val="TableParagraph"/>
              <w:spacing w:before="98" w:line="206" w:lineRule="auto"/>
              <w:ind w:right="532"/>
              <w:rPr>
                <w:sz w:val="20"/>
              </w:rPr>
            </w:pPr>
            <w:r>
              <w:rPr>
                <w:color w:val="231F20"/>
                <w:sz w:val="20"/>
              </w:rPr>
              <w:t>Not being able to detect cyberstalking</w:t>
            </w:r>
          </w:p>
        </w:tc>
        <w:tc>
          <w:tcPr>
            <w:tcW w:w="5956" w:type="dxa"/>
          </w:tcPr>
          <w:p w14:paraId="0F5FE267" w14:textId="77777777" w:rsidR="00894070" w:rsidRDefault="009B7AFD">
            <w:pPr>
              <w:pStyle w:val="TableParagraph"/>
              <w:spacing w:before="65" w:line="259" w:lineRule="exact"/>
              <w:rPr>
                <w:sz w:val="20"/>
              </w:rPr>
            </w:pPr>
            <w:r>
              <w:rPr>
                <w:color w:val="231F20"/>
                <w:sz w:val="20"/>
              </w:rPr>
              <w:t>A person who is being cyberstalked may not be aware of it,</w:t>
            </w:r>
          </w:p>
          <w:p w14:paraId="6C7D559E" w14:textId="77777777" w:rsidR="00894070" w:rsidRDefault="009B7AFD">
            <w:pPr>
              <w:pStyle w:val="TableParagraph"/>
              <w:spacing w:line="259" w:lineRule="exact"/>
              <w:rPr>
                <w:sz w:val="20"/>
              </w:rPr>
            </w:pPr>
            <w:r>
              <w:rPr>
                <w:color w:val="231F20"/>
                <w:sz w:val="20"/>
              </w:rPr>
              <w:t>because surveillance devices can be hidden.</w:t>
            </w:r>
          </w:p>
        </w:tc>
      </w:tr>
      <w:tr w:rsidR="00894070" w14:paraId="227DC036" w14:textId="77777777">
        <w:trPr>
          <w:trHeight w:val="1844"/>
        </w:trPr>
        <w:tc>
          <w:tcPr>
            <w:tcW w:w="1971" w:type="dxa"/>
          </w:tcPr>
          <w:p w14:paraId="08BDED99" w14:textId="77777777" w:rsidR="00894070" w:rsidRDefault="009B7AFD">
            <w:pPr>
              <w:pStyle w:val="TableParagraph"/>
              <w:spacing w:before="98" w:line="206" w:lineRule="auto"/>
              <w:ind w:right="615"/>
              <w:rPr>
                <w:sz w:val="20"/>
              </w:rPr>
            </w:pPr>
            <w:r>
              <w:rPr>
                <w:color w:val="231F20"/>
                <w:sz w:val="20"/>
              </w:rPr>
              <w:t>Jurisdictional issues</w:t>
            </w:r>
          </w:p>
        </w:tc>
        <w:tc>
          <w:tcPr>
            <w:tcW w:w="5956" w:type="dxa"/>
          </w:tcPr>
          <w:p w14:paraId="7950B6FC" w14:textId="77777777" w:rsidR="00894070" w:rsidRDefault="009B7AFD">
            <w:pPr>
              <w:pStyle w:val="TableParagraph"/>
              <w:spacing w:before="98" w:line="206" w:lineRule="auto"/>
              <w:ind w:right="106"/>
              <w:rPr>
                <w:sz w:val="20"/>
              </w:rPr>
            </w:pPr>
            <w:r>
              <w:rPr>
                <w:color w:val="231F20"/>
                <w:sz w:val="20"/>
              </w:rPr>
              <w:t>Many online service providers that produce devices, applications</w:t>
            </w:r>
            <w:r>
              <w:rPr>
                <w:color w:val="231F20"/>
                <w:spacing w:val="-9"/>
                <w:sz w:val="20"/>
              </w:rPr>
              <w:t xml:space="preserve"> </w:t>
            </w:r>
            <w:r>
              <w:rPr>
                <w:color w:val="231F20"/>
                <w:sz w:val="20"/>
              </w:rPr>
              <w:t>or</w:t>
            </w:r>
            <w:r>
              <w:rPr>
                <w:color w:val="231F20"/>
                <w:spacing w:val="-8"/>
                <w:sz w:val="20"/>
              </w:rPr>
              <w:t xml:space="preserve"> </w:t>
            </w:r>
            <w:r>
              <w:rPr>
                <w:color w:val="231F20"/>
                <w:sz w:val="20"/>
              </w:rPr>
              <w:t>software,</w:t>
            </w:r>
            <w:r>
              <w:rPr>
                <w:color w:val="231F20"/>
                <w:spacing w:val="-9"/>
                <w:sz w:val="20"/>
              </w:rPr>
              <w:t xml:space="preserve"> </w:t>
            </w:r>
            <w:r>
              <w:rPr>
                <w:color w:val="231F20"/>
                <w:sz w:val="20"/>
              </w:rPr>
              <w:t>or</w:t>
            </w:r>
            <w:r>
              <w:rPr>
                <w:color w:val="231F20"/>
                <w:spacing w:val="-8"/>
                <w:sz w:val="20"/>
              </w:rPr>
              <w:t xml:space="preserve"> </w:t>
            </w:r>
            <w:r>
              <w:rPr>
                <w:color w:val="231F20"/>
                <w:sz w:val="20"/>
              </w:rPr>
              <w:t>host</w:t>
            </w:r>
            <w:r>
              <w:rPr>
                <w:color w:val="231F20"/>
                <w:spacing w:val="-8"/>
                <w:sz w:val="20"/>
              </w:rPr>
              <w:t xml:space="preserve"> </w:t>
            </w:r>
            <w:r>
              <w:rPr>
                <w:color w:val="231F20"/>
                <w:sz w:val="20"/>
              </w:rPr>
              <w:t>online</w:t>
            </w:r>
            <w:r>
              <w:rPr>
                <w:color w:val="231F20"/>
                <w:spacing w:val="-9"/>
                <w:sz w:val="20"/>
              </w:rPr>
              <w:t xml:space="preserve"> </w:t>
            </w:r>
            <w:r>
              <w:rPr>
                <w:color w:val="231F20"/>
                <w:sz w:val="20"/>
              </w:rPr>
              <w:t>content,</w:t>
            </w:r>
            <w:r>
              <w:rPr>
                <w:color w:val="231F20"/>
                <w:spacing w:val="-8"/>
                <w:sz w:val="20"/>
              </w:rPr>
              <w:t xml:space="preserve"> </w:t>
            </w:r>
            <w:r>
              <w:rPr>
                <w:color w:val="231F20"/>
                <w:sz w:val="20"/>
              </w:rPr>
              <w:t>are</w:t>
            </w:r>
            <w:r>
              <w:rPr>
                <w:color w:val="231F20"/>
                <w:spacing w:val="-8"/>
                <w:sz w:val="20"/>
              </w:rPr>
              <w:t xml:space="preserve"> </w:t>
            </w:r>
            <w:r>
              <w:rPr>
                <w:color w:val="231F20"/>
                <w:sz w:val="20"/>
              </w:rPr>
              <w:t>in</w:t>
            </w:r>
            <w:r>
              <w:rPr>
                <w:color w:val="231F20"/>
                <w:spacing w:val="-9"/>
                <w:sz w:val="20"/>
              </w:rPr>
              <w:t xml:space="preserve"> </w:t>
            </w:r>
            <w:r>
              <w:rPr>
                <w:color w:val="231F20"/>
                <w:sz w:val="20"/>
              </w:rPr>
              <w:t>different parts of the world. This makes it hard to get evidence and data stored overseas. Victorian laws and regulations do not apply to these providers.</w:t>
            </w:r>
            <w:r>
              <w:rPr>
                <w:color w:val="231F20"/>
                <w:position w:val="7"/>
                <w:sz w:val="11"/>
              </w:rPr>
              <w:t xml:space="preserve">158 </w:t>
            </w:r>
            <w:r>
              <w:rPr>
                <w:color w:val="231F20"/>
                <w:sz w:val="20"/>
              </w:rPr>
              <w:t>Police may also be less</w:t>
            </w:r>
            <w:r>
              <w:rPr>
                <w:color w:val="231F20"/>
                <w:spacing w:val="-27"/>
                <w:sz w:val="20"/>
              </w:rPr>
              <w:t xml:space="preserve"> </w:t>
            </w:r>
            <w:r>
              <w:rPr>
                <w:color w:val="231F20"/>
                <w:sz w:val="20"/>
              </w:rPr>
              <w:t>likely</w:t>
            </w:r>
          </w:p>
          <w:p w14:paraId="2888C86D" w14:textId="77777777" w:rsidR="00894070" w:rsidRDefault="009B7AFD">
            <w:pPr>
              <w:pStyle w:val="TableParagraph"/>
              <w:spacing w:before="6" w:line="206" w:lineRule="auto"/>
              <w:rPr>
                <w:sz w:val="11"/>
              </w:rPr>
            </w:pPr>
            <w:r>
              <w:rPr>
                <w:color w:val="231F20"/>
                <w:sz w:val="20"/>
              </w:rPr>
              <w:t>to investigate these cases, even though Victoria’s stalking offence applies when the accused is located elsewhere.</w:t>
            </w:r>
            <w:r>
              <w:rPr>
                <w:color w:val="231F20"/>
                <w:position w:val="7"/>
                <w:sz w:val="11"/>
              </w:rPr>
              <w:t>159</w:t>
            </w:r>
          </w:p>
        </w:tc>
      </w:tr>
      <w:tr w:rsidR="00894070" w14:paraId="09FA74C0" w14:textId="77777777">
        <w:trPr>
          <w:trHeight w:val="2684"/>
        </w:trPr>
        <w:tc>
          <w:tcPr>
            <w:tcW w:w="1971" w:type="dxa"/>
          </w:tcPr>
          <w:p w14:paraId="4D439D73" w14:textId="77777777" w:rsidR="00894070" w:rsidRDefault="009B7AFD">
            <w:pPr>
              <w:pStyle w:val="TableParagraph"/>
              <w:spacing w:before="98" w:line="206" w:lineRule="auto"/>
              <w:ind w:right="905"/>
              <w:jc w:val="both"/>
              <w:rPr>
                <w:sz w:val="20"/>
              </w:rPr>
            </w:pPr>
            <w:r>
              <w:rPr>
                <w:color w:val="231F20"/>
                <w:w w:val="95"/>
                <w:sz w:val="20"/>
              </w:rPr>
              <w:t xml:space="preserve">Difficulties </w:t>
            </w:r>
            <w:r>
              <w:rPr>
                <w:color w:val="231F20"/>
                <w:sz w:val="20"/>
              </w:rPr>
              <w:t>collecting evidence</w:t>
            </w:r>
          </w:p>
        </w:tc>
        <w:tc>
          <w:tcPr>
            <w:tcW w:w="5956" w:type="dxa"/>
          </w:tcPr>
          <w:p w14:paraId="35FC29B5" w14:textId="77777777" w:rsidR="00894070" w:rsidRDefault="009B7AFD">
            <w:pPr>
              <w:pStyle w:val="TableParagraph"/>
              <w:spacing w:before="98" w:line="206" w:lineRule="auto"/>
              <w:ind w:right="242"/>
              <w:rPr>
                <w:sz w:val="11"/>
              </w:rPr>
            </w:pPr>
            <w:r>
              <w:rPr>
                <w:color w:val="231F20"/>
                <w:sz w:val="20"/>
              </w:rPr>
              <w:t>Collecting evidence of stalking can be challenging where the person who stalks has used ‘self-destructing’ messaging systems such as Snapchat.</w:t>
            </w:r>
            <w:r>
              <w:rPr>
                <w:color w:val="231F20"/>
                <w:position w:val="7"/>
                <w:sz w:val="11"/>
              </w:rPr>
              <w:t xml:space="preserve">160 </w:t>
            </w:r>
            <w:r>
              <w:rPr>
                <w:color w:val="231F20"/>
                <w:sz w:val="20"/>
              </w:rPr>
              <w:t>Covert stalking or encrypted apps and platforms can make it difficult for police to collect evidence.</w:t>
            </w:r>
            <w:r>
              <w:rPr>
                <w:color w:val="231F20"/>
                <w:position w:val="7"/>
                <w:sz w:val="11"/>
              </w:rPr>
              <w:t xml:space="preserve">161 </w:t>
            </w:r>
            <w:r>
              <w:rPr>
                <w:color w:val="231F20"/>
                <w:sz w:val="20"/>
              </w:rPr>
              <w:t>It can also be difficult for police to collect digital evidence in a form that is admissible in court.</w:t>
            </w:r>
            <w:r>
              <w:rPr>
                <w:color w:val="231F20"/>
                <w:position w:val="7"/>
                <w:sz w:val="11"/>
              </w:rPr>
              <w:t>162</w:t>
            </w:r>
          </w:p>
          <w:p w14:paraId="25D8D1EF" w14:textId="77777777" w:rsidR="00894070" w:rsidRDefault="009B7AFD">
            <w:pPr>
              <w:pStyle w:val="TableParagraph"/>
              <w:spacing w:before="127" w:line="206" w:lineRule="auto"/>
              <w:ind w:right="316"/>
              <w:jc w:val="both"/>
              <w:rPr>
                <w:sz w:val="11"/>
              </w:rPr>
            </w:pPr>
            <w:r>
              <w:rPr>
                <w:color w:val="231F20"/>
                <w:sz w:val="20"/>
              </w:rPr>
              <w:t>Police</w:t>
            </w:r>
            <w:r>
              <w:rPr>
                <w:color w:val="231F20"/>
                <w:spacing w:val="-7"/>
                <w:sz w:val="20"/>
              </w:rPr>
              <w:t xml:space="preserve"> </w:t>
            </w:r>
            <w:r>
              <w:rPr>
                <w:color w:val="231F20"/>
                <w:sz w:val="20"/>
              </w:rPr>
              <w:t>may</w:t>
            </w:r>
            <w:r>
              <w:rPr>
                <w:color w:val="231F20"/>
                <w:spacing w:val="-6"/>
                <w:sz w:val="20"/>
              </w:rPr>
              <w:t xml:space="preserve"> </w:t>
            </w:r>
            <w:r>
              <w:rPr>
                <w:color w:val="231F20"/>
                <w:sz w:val="20"/>
              </w:rPr>
              <w:t>expect</w:t>
            </w:r>
            <w:r>
              <w:rPr>
                <w:color w:val="231F20"/>
                <w:spacing w:val="-6"/>
                <w:sz w:val="20"/>
              </w:rPr>
              <w:t xml:space="preserve"> </w:t>
            </w:r>
            <w:r>
              <w:rPr>
                <w:color w:val="231F20"/>
                <w:sz w:val="20"/>
              </w:rPr>
              <w:t>victim</w:t>
            </w:r>
            <w:r>
              <w:rPr>
                <w:color w:val="231F20"/>
                <w:spacing w:val="-7"/>
                <w:sz w:val="20"/>
              </w:rPr>
              <w:t xml:space="preserve"> </w:t>
            </w:r>
            <w:r>
              <w:rPr>
                <w:color w:val="231F20"/>
                <w:sz w:val="20"/>
              </w:rPr>
              <w:t>survivors</w:t>
            </w:r>
            <w:r>
              <w:rPr>
                <w:color w:val="231F20"/>
                <w:spacing w:val="-6"/>
                <w:sz w:val="20"/>
              </w:rPr>
              <w:t xml:space="preserve"> </w:t>
            </w:r>
            <w:r>
              <w:rPr>
                <w:color w:val="231F20"/>
                <w:sz w:val="20"/>
              </w:rPr>
              <w:t>to</w:t>
            </w:r>
            <w:r>
              <w:rPr>
                <w:color w:val="231F20"/>
                <w:spacing w:val="-6"/>
                <w:sz w:val="20"/>
              </w:rPr>
              <w:t xml:space="preserve"> </w:t>
            </w:r>
            <w:r>
              <w:rPr>
                <w:color w:val="231F20"/>
                <w:spacing w:val="-3"/>
                <w:sz w:val="20"/>
              </w:rPr>
              <w:t>have</w:t>
            </w:r>
            <w:r>
              <w:rPr>
                <w:color w:val="231F20"/>
                <w:spacing w:val="-6"/>
                <w:sz w:val="20"/>
              </w:rPr>
              <w:t xml:space="preserve"> </w:t>
            </w:r>
            <w:r>
              <w:rPr>
                <w:color w:val="231F20"/>
                <w:sz w:val="20"/>
              </w:rPr>
              <w:t>kept</w:t>
            </w:r>
            <w:r>
              <w:rPr>
                <w:color w:val="231F20"/>
                <w:spacing w:val="-7"/>
                <w:sz w:val="20"/>
              </w:rPr>
              <w:t xml:space="preserve"> </w:t>
            </w:r>
            <w:r>
              <w:rPr>
                <w:color w:val="231F20"/>
                <w:sz w:val="20"/>
              </w:rPr>
              <w:t>evidence</w:t>
            </w:r>
            <w:r>
              <w:rPr>
                <w:color w:val="231F20"/>
                <w:spacing w:val="-6"/>
                <w:sz w:val="20"/>
              </w:rPr>
              <w:t xml:space="preserve"> </w:t>
            </w:r>
            <w:r>
              <w:rPr>
                <w:color w:val="231F20"/>
                <w:sz w:val="20"/>
              </w:rPr>
              <w:t>of all interactions they had with the person who stalked them. This</w:t>
            </w:r>
            <w:r>
              <w:rPr>
                <w:color w:val="231F20"/>
                <w:spacing w:val="-7"/>
                <w:sz w:val="20"/>
              </w:rPr>
              <w:t xml:space="preserve"> </w:t>
            </w:r>
            <w:r>
              <w:rPr>
                <w:color w:val="231F20"/>
                <w:sz w:val="20"/>
              </w:rPr>
              <w:t>may</w:t>
            </w:r>
            <w:r>
              <w:rPr>
                <w:color w:val="231F20"/>
                <w:spacing w:val="-7"/>
                <w:sz w:val="20"/>
              </w:rPr>
              <w:t xml:space="preserve"> </w:t>
            </w:r>
            <w:r>
              <w:rPr>
                <w:color w:val="231F20"/>
                <w:sz w:val="20"/>
              </w:rPr>
              <w:t>not</w:t>
            </w:r>
            <w:r>
              <w:rPr>
                <w:color w:val="231F20"/>
                <w:spacing w:val="-6"/>
                <w:sz w:val="20"/>
              </w:rPr>
              <w:t xml:space="preserve"> </w:t>
            </w:r>
            <w:r>
              <w:rPr>
                <w:color w:val="231F20"/>
                <w:sz w:val="20"/>
              </w:rPr>
              <w:t>be</w:t>
            </w:r>
            <w:r>
              <w:rPr>
                <w:color w:val="231F20"/>
                <w:spacing w:val="-7"/>
                <w:sz w:val="20"/>
              </w:rPr>
              <w:t xml:space="preserve"> </w:t>
            </w:r>
            <w:r>
              <w:rPr>
                <w:color w:val="231F20"/>
                <w:sz w:val="20"/>
              </w:rPr>
              <w:t>possible,</w:t>
            </w:r>
            <w:r>
              <w:rPr>
                <w:color w:val="231F20"/>
                <w:spacing w:val="-6"/>
                <w:sz w:val="20"/>
              </w:rPr>
              <w:t xml:space="preserve"> </w:t>
            </w:r>
            <w:r>
              <w:rPr>
                <w:color w:val="231F20"/>
                <w:sz w:val="20"/>
              </w:rPr>
              <w:t>especially</w:t>
            </w:r>
            <w:r>
              <w:rPr>
                <w:color w:val="231F20"/>
                <w:spacing w:val="-7"/>
                <w:sz w:val="20"/>
              </w:rPr>
              <w:t xml:space="preserve"> </w:t>
            </w:r>
            <w:r>
              <w:rPr>
                <w:color w:val="231F20"/>
                <w:sz w:val="20"/>
              </w:rPr>
              <w:t>where,</w:t>
            </w:r>
            <w:r>
              <w:rPr>
                <w:color w:val="231F20"/>
                <w:spacing w:val="-6"/>
                <w:sz w:val="20"/>
              </w:rPr>
              <w:t xml:space="preserve"> </w:t>
            </w:r>
            <w:r>
              <w:rPr>
                <w:color w:val="231F20"/>
                <w:sz w:val="20"/>
              </w:rPr>
              <w:t>at</w:t>
            </w:r>
            <w:r>
              <w:rPr>
                <w:color w:val="231F20"/>
                <w:spacing w:val="-7"/>
                <w:sz w:val="20"/>
              </w:rPr>
              <w:t xml:space="preserve"> </w:t>
            </w:r>
            <w:r>
              <w:rPr>
                <w:color w:val="231F20"/>
                <w:sz w:val="20"/>
              </w:rPr>
              <w:t>the</w:t>
            </w:r>
            <w:r>
              <w:rPr>
                <w:color w:val="231F20"/>
                <w:spacing w:val="-6"/>
                <w:sz w:val="20"/>
              </w:rPr>
              <w:t xml:space="preserve"> </w:t>
            </w:r>
            <w:r>
              <w:rPr>
                <w:color w:val="231F20"/>
                <w:sz w:val="20"/>
              </w:rPr>
              <w:t>time,</w:t>
            </w:r>
            <w:r>
              <w:rPr>
                <w:color w:val="231F20"/>
                <w:spacing w:val="-7"/>
                <w:sz w:val="20"/>
              </w:rPr>
              <w:t xml:space="preserve"> </w:t>
            </w:r>
            <w:r>
              <w:rPr>
                <w:color w:val="231F20"/>
                <w:sz w:val="20"/>
              </w:rPr>
              <w:t xml:space="preserve">they </w:t>
            </w:r>
            <w:r>
              <w:rPr>
                <w:color w:val="231F20"/>
                <w:spacing w:val="-3"/>
                <w:sz w:val="20"/>
              </w:rPr>
              <w:t xml:space="preserve">were </w:t>
            </w:r>
            <w:r>
              <w:rPr>
                <w:color w:val="231F20"/>
                <w:sz w:val="20"/>
              </w:rPr>
              <w:t>not seen as significant or</w:t>
            </w:r>
            <w:r>
              <w:rPr>
                <w:color w:val="231F20"/>
                <w:spacing w:val="-13"/>
                <w:sz w:val="20"/>
              </w:rPr>
              <w:t xml:space="preserve"> </w:t>
            </w:r>
            <w:r>
              <w:rPr>
                <w:color w:val="231F20"/>
                <w:sz w:val="20"/>
              </w:rPr>
              <w:t>problematic.</w:t>
            </w:r>
            <w:r>
              <w:rPr>
                <w:color w:val="231F20"/>
                <w:position w:val="7"/>
                <w:sz w:val="11"/>
              </w:rPr>
              <w:t>163</w:t>
            </w:r>
          </w:p>
        </w:tc>
      </w:tr>
      <w:tr w:rsidR="00894070" w14:paraId="46C3036E" w14:textId="77777777">
        <w:trPr>
          <w:trHeight w:val="1004"/>
        </w:trPr>
        <w:tc>
          <w:tcPr>
            <w:tcW w:w="1971" w:type="dxa"/>
          </w:tcPr>
          <w:p w14:paraId="685DA2B2" w14:textId="77777777" w:rsidR="00894070" w:rsidRDefault="009B7AFD">
            <w:pPr>
              <w:pStyle w:val="TableParagraph"/>
              <w:spacing w:before="98" w:line="206" w:lineRule="auto"/>
              <w:rPr>
                <w:sz w:val="20"/>
              </w:rPr>
            </w:pPr>
            <w:r>
              <w:rPr>
                <w:color w:val="231F20"/>
                <w:sz w:val="20"/>
              </w:rPr>
              <w:t>Technological issues</w:t>
            </w:r>
          </w:p>
        </w:tc>
        <w:tc>
          <w:tcPr>
            <w:tcW w:w="5956" w:type="dxa"/>
          </w:tcPr>
          <w:p w14:paraId="6B37624D" w14:textId="77777777" w:rsidR="00894070" w:rsidRDefault="009B7AFD">
            <w:pPr>
              <w:pStyle w:val="TableParagraph"/>
              <w:spacing w:before="98" w:line="206" w:lineRule="auto"/>
              <w:ind w:right="22"/>
              <w:rPr>
                <w:sz w:val="11"/>
              </w:rPr>
            </w:pPr>
            <w:r>
              <w:rPr>
                <w:color w:val="231F20"/>
                <w:sz w:val="20"/>
              </w:rPr>
              <w:t xml:space="preserve">It can be challenging to keep up with rapidly changing new devices, </w:t>
            </w:r>
            <w:proofErr w:type="gramStart"/>
            <w:r>
              <w:rPr>
                <w:color w:val="231F20"/>
                <w:sz w:val="20"/>
              </w:rPr>
              <w:t>apps</w:t>
            </w:r>
            <w:proofErr w:type="gramEnd"/>
            <w:r>
              <w:rPr>
                <w:color w:val="231F20"/>
                <w:sz w:val="20"/>
              </w:rPr>
              <w:t xml:space="preserve"> and software. Forensic technical expertise can be difficult to build and maintain.</w:t>
            </w:r>
            <w:r>
              <w:rPr>
                <w:color w:val="231F20"/>
                <w:position w:val="7"/>
                <w:sz w:val="11"/>
              </w:rPr>
              <w:t>164</w:t>
            </w:r>
          </w:p>
        </w:tc>
      </w:tr>
      <w:tr w:rsidR="00894070" w14:paraId="735BEE96" w14:textId="77777777">
        <w:trPr>
          <w:trHeight w:val="1604"/>
        </w:trPr>
        <w:tc>
          <w:tcPr>
            <w:tcW w:w="1971" w:type="dxa"/>
          </w:tcPr>
          <w:p w14:paraId="42677CAF" w14:textId="77777777" w:rsidR="00894070" w:rsidRDefault="009B7AFD">
            <w:pPr>
              <w:pStyle w:val="TableParagraph"/>
              <w:spacing w:before="98" w:line="206" w:lineRule="auto"/>
              <w:ind w:right="87"/>
              <w:rPr>
                <w:sz w:val="20"/>
              </w:rPr>
            </w:pPr>
            <w:r>
              <w:rPr>
                <w:color w:val="231F20"/>
                <w:w w:val="95"/>
                <w:sz w:val="20"/>
              </w:rPr>
              <w:t xml:space="preserve">Difficulty applying </w:t>
            </w:r>
            <w:r>
              <w:rPr>
                <w:color w:val="231F20"/>
                <w:sz w:val="20"/>
              </w:rPr>
              <w:t>the stalking offence</w:t>
            </w:r>
          </w:p>
        </w:tc>
        <w:tc>
          <w:tcPr>
            <w:tcW w:w="5956" w:type="dxa"/>
          </w:tcPr>
          <w:p w14:paraId="17272ABB" w14:textId="77777777" w:rsidR="00894070" w:rsidRDefault="009B7AFD">
            <w:pPr>
              <w:pStyle w:val="TableParagraph"/>
              <w:spacing w:before="98" w:line="206" w:lineRule="auto"/>
              <w:ind w:right="528"/>
              <w:rPr>
                <w:sz w:val="20"/>
              </w:rPr>
            </w:pPr>
            <w:r>
              <w:rPr>
                <w:color w:val="231F20"/>
                <w:sz w:val="20"/>
              </w:rPr>
              <w:t>Even though Victoria’s stalking offence is viewed as ‘technologically neutral’,</w:t>
            </w:r>
            <w:r>
              <w:rPr>
                <w:color w:val="231F20"/>
                <w:position w:val="7"/>
                <w:sz w:val="11"/>
              </w:rPr>
              <w:t xml:space="preserve">165 </w:t>
            </w:r>
            <w:r>
              <w:rPr>
                <w:color w:val="231F20"/>
                <w:sz w:val="20"/>
              </w:rPr>
              <w:t>police may find it challenging to establish the stalking offence, especially the ‘course of</w:t>
            </w:r>
          </w:p>
          <w:p w14:paraId="549F03A7" w14:textId="77777777" w:rsidR="00894070" w:rsidRDefault="009B7AFD">
            <w:pPr>
              <w:pStyle w:val="TableParagraph"/>
              <w:spacing w:before="3" w:line="206" w:lineRule="auto"/>
              <w:rPr>
                <w:sz w:val="11"/>
              </w:rPr>
            </w:pPr>
            <w:r>
              <w:rPr>
                <w:color w:val="231F20"/>
                <w:sz w:val="20"/>
              </w:rPr>
              <w:t>conduct’ element. Police may focus more on ‘extreme’ cases, such as those with intimate image-based abuse, instead of more subtle unwanted contact.</w:t>
            </w:r>
            <w:r>
              <w:rPr>
                <w:color w:val="231F20"/>
                <w:position w:val="7"/>
                <w:sz w:val="11"/>
              </w:rPr>
              <w:t>166</w:t>
            </w:r>
          </w:p>
        </w:tc>
      </w:tr>
    </w:tbl>
    <w:p w14:paraId="28DCF74A" w14:textId="77777777" w:rsidR="00894070" w:rsidRDefault="00894070">
      <w:pPr>
        <w:pStyle w:val="BodyText"/>
        <w:rPr>
          <w:b/>
        </w:rPr>
      </w:pPr>
    </w:p>
    <w:p w14:paraId="4007A308" w14:textId="77777777" w:rsidR="00894070" w:rsidRDefault="009F6793">
      <w:pPr>
        <w:pStyle w:val="BodyText"/>
        <w:spacing w:before="5"/>
        <w:rPr>
          <w:b/>
          <w:sz w:val="17"/>
        </w:rPr>
      </w:pPr>
      <w:r>
        <w:pict w14:anchorId="3D2B137A">
          <v:line id="_x0000_s1546" style="position:absolute;z-index:251512832;mso-wrap-distance-left:0;mso-wrap-distance-right:0;mso-position-horizontal-relative:page" from="79.35pt,14.5pt" to="515.9pt,14.5pt" strokecolor="#f8cabc" strokeweight="1pt">
            <w10:wrap type="topAndBottom" anchorx="page"/>
          </v:line>
        </w:pict>
      </w:r>
    </w:p>
    <w:p w14:paraId="000638E3" w14:textId="77777777" w:rsidR="00894070" w:rsidRDefault="009B7AFD">
      <w:pPr>
        <w:pStyle w:val="ListParagraph"/>
        <w:numPr>
          <w:ilvl w:val="0"/>
          <w:numId w:val="141"/>
        </w:numPr>
        <w:tabs>
          <w:tab w:val="left" w:pos="1801"/>
          <w:tab w:val="left" w:pos="1802"/>
        </w:tabs>
        <w:spacing w:before="107" w:line="213" w:lineRule="auto"/>
        <w:ind w:right="1217"/>
        <w:rPr>
          <w:sz w:val="13"/>
        </w:rPr>
      </w:pPr>
      <w:r>
        <w:rPr>
          <w:color w:val="231F20"/>
          <w:spacing w:val="2"/>
          <w:sz w:val="13"/>
        </w:rPr>
        <w:t xml:space="preserve">Submissions </w:t>
      </w:r>
      <w:r>
        <w:rPr>
          <w:color w:val="231F20"/>
          <w:sz w:val="13"/>
        </w:rPr>
        <w:t xml:space="preserve">55 (Springvale Monash Legal Service), 65 (Code </w:t>
      </w:r>
      <w:r>
        <w:rPr>
          <w:color w:val="231F20"/>
          <w:spacing w:val="2"/>
          <w:sz w:val="13"/>
        </w:rPr>
        <w:t xml:space="preserve">Black </w:t>
      </w:r>
      <w:r>
        <w:rPr>
          <w:color w:val="231F20"/>
          <w:sz w:val="13"/>
        </w:rPr>
        <w:t xml:space="preserve">Threat Management), 97 (Federation of Community Legal Centres); Consultations 10 (Victorian Aboriginal Legal Service), 13 (Victoria Legal Aid), 20 (Law Institute of Victoria); Luke Bartlett   and Annabel Chan, </w:t>
      </w:r>
      <w:r>
        <w:rPr>
          <w:color w:val="231F20"/>
          <w:spacing w:val="2"/>
          <w:sz w:val="13"/>
        </w:rPr>
        <w:t xml:space="preserve">‘Hashtag </w:t>
      </w:r>
      <w:r>
        <w:rPr>
          <w:color w:val="231F20"/>
          <w:sz w:val="13"/>
        </w:rPr>
        <w:t xml:space="preserve">You’re It: Limitations of PsychoLegal Responses to </w:t>
      </w:r>
      <w:r>
        <w:rPr>
          <w:color w:val="231F20"/>
          <w:spacing w:val="2"/>
          <w:sz w:val="13"/>
        </w:rPr>
        <w:t xml:space="preserve">Online </w:t>
      </w:r>
      <w:r>
        <w:rPr>
          <w:color w:val="231F20"/>
          <w:sz w:val="13"/>
        </w:rPr>
        <w:t xml:space="preserve">Interpersonal Harm’ in Heng Choon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An International Perspective </w:t>
      </w:r>
      <w:r>
        <w:rPr>
          <w:color w:val="231F20"/>
          <w:sz w:val="13"/>
        </w:rPr>
        <w:t xml:space="preserve">(John Wiley and Sons, 2020) 287, </w:t>
      </w:r>
      <w:r>
        <w:rPr>
          <w:color w:val="231F20"/>
          <w:spacing w:val="3"/>
          <w:sz w:val="13"/>
        </w:rPr>
        <w:t>298–9.</w:t>
      </w:r>
    </w:p>
    <w:p w14:paraId="09C0FAD0" w14:textId="77777777" w:rsidR="00894070" w:rsidRDefault="009B7AFD">
      <w:pPr>
        <w:pStyle w:val="ListParagraph"/>
        <w:numPr>
          <w:ilvl w:val="0"/>
          <w:numId w:val="141"/>
        </w:numPr>
        <w:tabs>
          <w:tab w:val="left" w:pos="1801"/>
          <w:tab w:val="left" w:pos="1802"/>
        </w:tabs>
        <w:spacing w:line="213" w:lineRule="auto"/>
        <w:ind w:right="1241"/>
        <w:rPr>
          <w:sz w:val="13"/>
        </w:rPr>
      </w:pPr>
      <w:r>
        <w:rPr>
          <w:color w:val="231F20"/>
          <w:spacing w:val="2"/>
          <w:sz w:val="13"/>
        </w:rPr>
        <w:t xml:space="preserve">Submissions </w:t>
      </w:r>
      <w:r>
        <w:rPr>
          <w:color w:val="231F20"/>
          <w:sz w:val="13"/>
        </w:rPr>
        <w:t xml:space="preserve">32 (Centre for Forensic Behavioural Science), 56 </w:t>
      </w:r>
      <w:r>
        <w:rPr>
          <w:color w:val="231F20"/>
          <w:spacing w:val="2"/>
          <w:sz w:val="13"/>
        </w:rPr>
        <w:t xml:space="preserve">(Derryn </w:t>
      </w:r>
      <w:r>
        <w:rPr>
          <w:color w:val="231F20"/>
          <w:sz w:val="13"/>
        </w:rPr>
        <w:t xml:space="preserve">Hinch’s Justice Party), 97 (Federation of Community Legal Centres), </w:t>
      </w:r>
      <w:r>
        <w:rPr>
          <w:color w:val="231F20"/>
          <w:spacing w:val="2"/>
          <w:sz w:val="13"/>
        </w:rPr>
        <w:t xml:space="preserve">115 </w:t>
      </w:r>
      <w:r>
        <w:rPr>
          <w:color w:val="231F20"/>
          <w:sz w:val="13"/>
        </w:rPr>
        <w:t xml:space="preserve">(Victoria Police); Consultations 13 (Victoria Legal Aid), 23 </w:t>
      </w:r>
      <w:r>
        <w:rPr>
          <w:color w:val="231F20"/>
          <w:spacing w:val="2"/>
          <w:sz w:val="13"/>
        </w:rPr>
        <w:t xml:space="preserve">(Cyberstalking </w:t>
      </w:r>
      <w:r>
        <w:rPr>
          <w:color w:val="231F20"/>
          <w:sz w:val="13"/>
        </w:rPr>
        <w:t xml:space="preserve">roundtable); </w:t>
      </w:r>
      <w:r>
        <w:rPr>
          <w:color w:val="231F20"/>
          <w:spacing w:val="2"/>
          <w:sz w:val="13"/>
        </w:rPr>
        <w:t xml:space="preserve">Asher </w:t>
      </w:r>
      <w:r>
        <w:rPr>
          <w:color w:val="231F20"/>
          <w:sz w:val="13"/>
        </w:rPr>
        <w:t xml:space="preserve">Flynn, </w:t>
      </w:r>
      <w:r>
        <w:rPr>
          <w:color w:val="231F20"/>
          <w:spacing w:val="2"/>
          <w:sz w:val="13"/>
        </w:rPr>
        <w:t xml:space="preserve">Anastasia </w:t>
      </w:r>
      <w:r>
        <w:rPr>
          <w:color w:val="231F20"/>
          <w:sz w:val="13"/>
        </w:rPr>
        <w:t xml:space="preserve">Powell and Sophie Hindes, </w:t>
      </w:r>
      <w:r>
        <w:rPr>
          <w:i/>
          <w:color w:val="231F20"/>
          <w:sz w:val="13"/>
        </w:rPr>
        <w:t xml:space="preserve">Technology-Facilitated Abuse: A Survey of </w:t>
      </w:r>
      <w:r>
        <w:rPr>
          <w:i/>
          <w:color w:val="231F20"/>
          <w:spacing w:val="2"/>
          <w:sz w:val="13"/>
        </w:rPr>
        <w:t xml:space="preserve">Support Services </w:t>
      </w:r>
      <w:r>
        <w:rPr>
          <w:i/>
          <w:color w:val="231F20"/>
          <w:sz w:val="13"/>
        </w:rPr>
        <w:t xml:space="preserve">Stakeholders </w:t>
      </w:r>
      <w:r>
        <w:rPr>
          <w:color w:val="231F20"/>
          <w:sz w:val="13"/>
        </w:rPr>
        <w:t xml:space="preserve">(Research </w:t>
      </w:r>
      <w:r>
        <w:rPr>
          <w:color w:val="231F20"/>
          <w:spacing w:val="2"/>
          <w:sz w:val="13"/>
        </w:rPr>
        <w:t xml:space="preserve">Report </w:t>
      </w:r>
      <w:r>
        <w:rPr>
          <w:color w:val="231F20"/>
          <w:sz w:val="13"/>
        </w:rPr>
        <w:t xml:space="preserve">No 2, </w:t>
      </w:r>
      <w:proofErr w:type="gramStart"/>
      <w:r>
        <w:rPr>
          <w:color w:val="231F20"/>
          <w:sz w:val="13"/>
        </w:rPr>
        <w:t>ANROWS,  July</w:t>
      </w:r>
      <w:proofErr w:type="gramEnd"/>
      <w:r>
        <w:rPr>
          <w:color w:val="231F20"/>
          <w:sz w:val="13"/>
        </w:rPr>
        <w:t xml:space="preserve"> 2021) 40; Victorian Law Reform </w:t>
      </w:r>
      <w:r>
        <w:rPr>
          <w:color w:val="231F20"/>
          <w:spacing w:val="2"/>
          <w:sz w:val="13"/>
        </w:rPr>
        <w:t xml:space="preserve">Commission, </w:t>
      </w:r>
      <w:r>
        <w:rPr>
          <w:i/>
          <w:color w:val="231F20"/>
          <w:sz w:val="13"/>
        </w:rPr>
        <w:t xml:space="preserve">Stalking </w:t>
      </w:r>
      <w:r>
        <w:rPr>
          <w:color w:val="231F20"/>
          <w:sz w:val="13"/>
        </w:rPr>
        <w:t xml:space="preserve">(Consultation Paper, June 2021). See </w:t>
      </w:r>
      <w:r>
        <w:rPr>
          <w:color w:val="231F20"/>
          <w:spacing w:val="2"/>
          <w:sz w:val="13"/>
        </w:rPr>
        <w:t xml:space="preserve">also </w:t>
      </w:r>
      <w:r>
        <w:rPr>
          <w:color w:val="231F20"/>
          <w:sz w:val="13"/>
        </w:rPr>
        <w:t xml:space="preserve">Puneet Kaur et </w:t>
      </w:r>
      <w:r>
        <w:rPr>
          <w:color w:val="231F20"/>
          <w:spacing w:val="2"/>
          <w:sz w:val="13"/>
        </w:rPr>
        <w:t xml:space="preserve">al, </w:t>
      </w:r>
      <w:r>
        <w:rPr>
          <w:color w:val="231F20"/>
          <w:spacing w:val="-4"/>
          <w:sz w:val="13"/>
        </w:rPr>
        <w:t xml:space="preserve">‘A </w:t>
      </w:r>
      <w:r>
        <w:rPr>
          <w:color w:val="231F20"/>
          <w:sz w:val="13"/>
        </w:rPr>
        <w:t xml:space="preserve">Systematic Literature Review on </w:t>
      </w:r>
      <w:r>
        <w:rPr>
          <w:color w:val="231F20"/>
          <w:spacing w:val="2"/>
          <w:sz w:val="13"/>
        </w:rPr>
        <w:t xml:space="preserve">Cyberstalking. </w:t>
      </w:r>
      <w:r>
        <w:rPr>
          <w:color w:val="231F20"/>
          <w:sz w:val="13"/>
        </w:rPr>
        <w:t xml:space="preserve">An Analysis of Past Achievements and Future Promises’ (2021) 163 </w:t>
      </w:r>
      <w:r>
        <w:rPr>
          <w:i/>
          <w:color w:val="231F20"/>
          <w:sz w:val="13"/>
        </w:rPr>
        <w:t>Technological Forecasting and Social Chang</w:t>
      </w:r>
      <w:r>
        <w:rPr>
          <w:color w:val="231F20"/>
          <w:sz w:val="13"/>
        </w:rPr>
        <w:t>e 120426:1–15,</w:t>
      </w:r>
      <w:r>
        <w:rPr>
          <w:color w:val="231F20"/>
          <w:spacing w:val="1"/>
          <w:sz w:val="13"/>
        </w:rPr>
        <w:t xml:space="preserve"> </w:t>
      </w:r>
      <w:r>
        <w:rPr>
          <w:color w:val="231F20"/>
          <w:spacing w:val="-3"/>
          <w:sz w:val="13"/>
        </w:rPr>
        <w:t>7.</w:t>
      </w:r>
    </w:p>
    <w:p w14:paraId="4B62C6B2" w14:textId="77777777" w:rsidR="00894070" w:rsidRDefault="009B7AFD">
      <w:pPr>
        <w:pStyle w:val="ListParagraph"/>
        <w:numPr>
          <w:ilvl w:val="0"/>
          <w:numId w:val="141"/>
        </w:numPr>
        <w:tabs>
          <w:tab w:val="left" w:pos="1801"/>
          <w:tab w:val="left" w:pos="1802"/>
        </w:tabs>
        <w:spacing w:line="150" w:lineRule="exact"/>
        <w:rPr>
          <w:sz w:val="13"/>
        </w:rPr>
      </w:pPr>
      <w:r>
        <w:rPr>
          <w:i/>
          <w:color w:val="231F20"/>
          <w:sz w:val="13"/>
        </w:rPr>
        <w:t xml:space="preserve">Crimes Act 1958 </w:t>
      </w:r>
      <w:r>
        <w:rPr>
          <w:color w:val="231F20"/>
          <w:sz w:val="13"/>
        </w:rPr>
        <w:t>(Vic) s 21</w:t>
      </w:r>
      <w:proofErr w:type="gramStart"/>
      <w:r>
        <w:rPr>
          <w:color w:val="231F20"/>
          <w:sz w:val="13"/>
        </w:rPr>
        <w:t>A(</w:t>
      </w:r>
      <w:proofErr w:type="gramEnd"/>
      <w:r>
        <w:rPr>
          <w:color w:val="231F20"/>
          <w:sz w:val="13"/>
        </w:rPr>
        <w:t>6).</w:t>
      </w:r>
    </w:p>
    <w:p w14:paraId="276D6696" w14:textId="77777777" w:rsidR="00894070" w:rsidRDefault="009B7AFD">
      <w:pPr>
        <w:pStyle w:val="ListParagraph"/>
        <w:numPr>
          <w:ilvl w:val="0"/>
          <w:numId w:val="141"/>
        </w:numPr>
        <w:tabs>
          <w:tab w:val="left" w:pos="1801"/>
          <w:tab w:val="left" w:pos="1802"/>
        </w:tabs>
        <w:spacing w:before="4" w:line="213" w:lineRule="auto"/>
        <w:ind w:right="1472"/>
        <w:rPr>
          <w:sz w:val="13"/>
        </w:rPr>
      </w:pPr>
      <w:r>
        <w:rPr>
          <w:color w:val="231F20"/>
          <w:spacing w:val="2"/>
          <w:sz w:val="13"/>
        </w:rPr>
        <w:t xml:space="preserve">Submissions </w:t>
      </w:r>
      <w:r>
        <w:rPr>
          <w:color w:val="231F20"/>
          <w:sz w:val="13"/>
        </w:rPr>
        <w:t>55 (Springvale Monash Legal Service), 97 (Federation of Community Legal Centres); Consultations 10 (Victorian Aboriginal Legal Service), 13 (Victoria Legal Aid), 20 (Law Institute of</w:t>
      </w:r>
      <w:r>
        <w:rPr>
          <w:color w:val="231F20"/>
          <w:spacing w:val="11"/>
          <w:sz w:val="13"/>
        </w:rPr>
        <w:t xml:space="preserve"> </w:t>
      </w:r>
      <w:r>
        <w:rPr>
          <w:color w:val="231F20"/>
          <w:sz w:val="13"/>
        </w:rPr>
        <w:t>Victoria).</w:t>
      </w:r>
    </w:p>
    <w:p w14:paraId="2B055A8A" w14:textId="77777777" w:rsidR="00894070" w:rsidRDefault="009B7AFD">
      <w:pPr>
        <w:pStyle w:val="ListParagraph"/>
        <w:numPr>
          <w:ilvl w:val="0"/>
          <w:numId w:val="141"/>
        </w:numPr>
        <w:tabs>
          <w:tab w:val="left" w:pos="1801"/>
          <w:tab w:val="left" w:pos="1802"/>
        </w:tabs>
        <w:spacing w:line="153" w:lineRule="exact"/>
        <w:rPr>
          <w:sz w:val="13"/>
        </w:rPr>
      </w:pPr>
      <w:r>
        <w:rPr>
          <w:color w:val="231F20"/>
          <w:sz w:val="13"/>
        </w:rPr>
        <w:t xml:space="preserve">Consultations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 xml:space="preserve">Violence Resource Centre Victoria), 23 </w:t>
      </w:r>
      <w:r>
        <w:rPr>
          <w:color w:val="231F20"/>
          <w:spacing w:val="2"/>
          <w:sz w:val="13"/>
        </w:rPr>
        <w:t>(Cyberstalking</w:t>
      </w:r>
      <w:r>
        <w:rPr>
          <w:color w:val="231F20"/>
          <w:spacing w:val="26"/>
          <w:sz w:val="13"/>
        </w:rPr>
        <w:t xml:space="preserve"> </w:t>
      </w:r>
      <w:r>
        <w:rPr>
          <w:color w:val="231F20"/>
          <w:sz w:val="13"/>
        </w:rPr>
        <w:t>roundtable).</w:t>
      </w:r>
    </w:p>
    <w:p w14:paraId="076F3601" w14:textId="77777777" w:rsidR="00894070" w:rsidRDefault="009B7AFD">
      <w:pPr>
        <w:pStyle w:val="ListParagraph"/>
        <w:numPr>
          <w:ilvl w:val="0"/>
          <w:numId w:val="141"/>
        </w:numPr>
        <w:tabs>
          <w:tab w:val="left" w:pos="1800"/>
          <w:tab w:val="left" w:pos="1802"/>
        </w:tabs>
        <w:spacing w:line="160" w:lineRule="exact"/>
        <w:rPr>
          <w:sz w:val="13"/>
        </w:rPr>
      </w:pPr>
      <w:r>
        <w:rPr>
          <w:color w:val="231F20"/>
          <w:sz w:val="13"/>
        </w:rPr>
        <w:t>Consultation 8 (eSafety Commissioner).</w:t>
      </w:r>
    </w:p>
    <w:p w14:paraId="50777DFC" w14:textId="77777777" w:rsidR="00894070" w:rsidRDefault="009B7AFD">
      <w:pPr>
        <w:pStyle w:val="ListParagraph"/>
        <w:numPr>
          <w:ilvl w:val="0"/>
          <w:numId w:val="141"/>
        </w:numPr>
        <w:tabs>
          <w:tab w:val="left" w:pos="1801"/>
          <w:tab w:val="left" w:pos="1802"/>
        </w:tabs>
        <w:spacing w:line="160" w:lineRule="exact"/>
        <w:rPr>
          <w:sz w:val="13"/>
        </w:rPr>
      </w:pPr>
      <w:r>
        <w:rPr>
          <w:color w:val="231F20"/>
          <w:sz w:val="13"/>
        </w:rPr>
        <w:t xml:space="preserve">Consultation 23 </w:t>
      </w:r>
      <w:r>
        <w:rPr>
          <w:color w:val="231F20"/>
          <w:spacing w:val="2"/>
          <w:sz w:val="13"/>
        </w:rPr>
        <w:t>(Cyberstalking</w:t>
      </w:r>
      <w:r>
        <w:rPr>
          <w:color w:val="231F20"/>
          <w:sz w:val="13"/>
        </w:rPr>
        <w:t xml:space="preserve"> roundtable).</w:t>
      </w:r>
    </w:p>
    <w:p w14:paraId="1328FA2D" w14:textId="77777777" w:rsidR="00894070" w:rsidRDefault="009B7AFD">
      <w:pPr>
        <w:pStyle w:val="ListParagraph"/>
        <w:numPr>
          <w:ilvl w:val="0"/>
          <w:numId w:val="141"/>
        </w:numPr>
        <w:tabs>
          <w:tab w:val="left" w:pos="1801"/>
          <w:tab w:val="left" w:pos="1802"/>
        </w:tabs>
        <w:spacing w:line="160" w:lineRule="exact"/>
        <w:rPr>
          <w:sz w:val="13"/>
        </w:rPr>
      </w:pPr>
      <w:r>
        <w:rPr>
          <w:color w:val="231F20"/>
          <w:spacing w:val="2"/>
          <w:sz w:val="13"/>
        </w:rPr>
        <w:t xml:space="preserve">Submissions </w:t>
      </w:r>
      <w:r>
        <w:rPr>
          <w:color w:val="231F20"/>
          <w:sz w:val="13"/>
        </w:rPr>
        <w:t xml:space="preserve">56 </w:t>
      </w:r>
      <w:r>
        <w:rPr>
          <w:color w:val="231F20"/>
          <w:spacing w:val="2"/>
          <w:sz w:val="13"/>
        </w:rPr>
        <w:t xml:space="preserve">(Derryn </w:t>
      </w:r>
      <w:r>
        <w:rPr>
          <w:color w:val="231F20"/>
          <w:sz w:val="13"/>
        </w:rPr>
        <w:t>Hinch’s Justice Party), 97 (Federation of Community Legal</w:t>
      </w:r>
      <w:r>
        <w:rPr>
          <w:color w:val="231F20"/>
          <w:spacing w:val="4"/>
          <w:sz w:val="13"/>
        </w:rPr>
        <w:t xml:space="preserve"> </w:t>
      </w:r>
      <w:r>
        <w:rPr>
          <w:color w:val="231F20"/>
          <w:sz w:val="13"/>
        </w:rPr>
        <w:t>Centres).</w:t>
      </w:r>
    </w:p>
    <w:p w14:paraId="26124AB8" w14:textId="77777777" w:rsidR="00894070" w:rsidRDefault="009F6793">
      <w:pPr>
        <w:pStyle w:val="ListParagraph"/>
        <w:numPr>
          <w:ilvl w:val="0"/>
          <w:numId w:val="141"/>
        </w:numPr>
        <w:tabs>
          <w:tab w:val="left" w:pos="1800"/>
          <w:tab w:val="left" w:pos="1802"/>
        </w:tabs>
        <w:spacing w:line="160" w:lineRule="exact"/>
        <w:rPr>
          <w:sz w:val="13"/>
        </w:rPr>
      </w:pPr>
      <w:r>
        <w:pict w14:anchorId="3896F6CD">
          <v:shape id="_x0000_s1545" type="#_x0000_t202" style="position:absolute;left:0;text-align:left;margin-left:548.7pt;margin-top:3.7pt;width:13.8pt;height:14.1pt;z-index:251584512;mso-position-horizontal-relative:page" filled="f" stroked="f">
            <v:textbox inset="0,0,0,0">
              <w:txbxContent>
                <w:p w14:paraId="40D65AB2" w14:textId="77777777" w:rsidR="00894070" w:rsidRDefault="009B7AFD">
                  <w:pPr>
                    <w:spacing w:line="282" w:lineRule="exact"/>
                    <w:rPr>
                      <w:b/>
                      <w:sz w:val="24"/>
                    </w:rPr>
                  </w:pPr>
                  <w:r>
                    <w:rPr>
                      <w:b/>
                      <w:color w:val="EA5B50"/>
                      <w:spacing w:val="-2"/>
                      <w:sz w:val="24"/>
                    </w:rPr>
                    <w:t>49</w:t>
                  </w:r>
                </w:p>
              </w:txbxContent>
            </v:textbox>
            <w10:wrap anchorx="page"/>
          </v:shape>
        </w:pict>
      </w:r>
      <w:r w:rsidR="009B7AFD">
        <w:rPr>
          <w:color w:val="231F20"/>
          <w:spacing w:val="2"/>
          <w:sz w:val="13"/>
        </w:rPr>
        <w:t xml:space="preserve">Submission </w:t>
      </w:r>
      <w:r w:rsidR="009B7AFD">
        <w:rPr>
          <w:color w:val="231F20"/>
          <w:sz w:val="13"/>
        </w:rPr>
        <w:t>98 (Law Institute of</w:t>
      </w:r>
      <w:r w:rsidR="009B7AFD">
        <w:rPr>
          <w:color w:val="231F20"/>
          <w:spacing w:val="-2"/>
          <w:sz w:val="13"/>
        </w:rPr>
        <w:t xml:space="preserve"> </w:t>
      </w:r>
      <w:r w:rsidR="009B7AFD">
        <w:rPr>
          <w:color w:val="231F20"/>
          <w:sz w:val="13"/>
        </w:rPr>
        <w:t>Victoria).</w:t>
      </w:r>
    </w:p>
    <w:p w14:paraId="26C93B6E" w14:textId="77777777" w:rsidR="00894070" w:rsidRDefault="009B7AFD">
      <w:pPr>
        <w:pStyle w:val="ListParagraph"/>
        <w:numPr>
          <w:ilvl w:val="0"/>
          <w:numId w:val="141"/>
        </w:numPr>
        <w:tabs>
          <w:tab w:val="left" w:pos="1800"/>
          <w:tab w:val="left" w:pos="1802"/>
        </w:tabs>
        <w:spacing w:line="170" w:lineRule="exact"/>
        <w:rPr>
          <w:sz w:val="13"/>
        </w:rPr>
      </w:pPr>
      <w:r>
        <w:rPr>
          <w:color w:val="231F20"/>
          <w:sz w:val="13"/>
        </w:rPr>
        <w:t xml:space="preserve">Consultation 29 </w:t>
      </w:r>
      <w:r>
        <w:rPr>
          <w:color w:val="231F20"/>
          <w:spacing w:val="2"/>
          <w:sz w:val="13"/>
        </w:rPr>
        <w:t xml:space="preserve">(Alannah </w:t>
      </w:r>
      <w:r>
        <w:rPr>
          <w:color w:val="231F20"/>
          <w:sz w:val="13"/>
        </w:rPr>
        <w:t>&amp; Madeline</w:t>
      </w:r>
      <w:r>
        <w:rPr>
          <w:color w:val="231F20"/>
          <w:spacing w:val="-1"/>
          <w:sz w:val="13"/>
        </w:rPr>
        <w:t xml:space="preserve"> </w:t>
      </w:r>
      <w:r>
        <w:rPr>
          <w:color w:val="231F20"/>
          <w:sz w:val="13"/>
        </w:rPr>
        <w:t>Foundation).</w:t>
      </w:r>
    </w:p>
    <w:p w14:paraId="10F9A27C" w14:textId="77777777" w:rsidR="00894070" w:rsidRDefault="00894070">
      <w:pPr>
        <w:spacing w:line="170" w:lineRule="exact"/>
        <w:rPr>
          <w:sz w:val="13"/>
        </w:rPr>
        <w:sectPr w:rsidR="00894070">
          <w:pgSz w:w="11910" w:h="16840"/>
          <w:pgMar w:top="840" w:right="420" w:bottom="280" w:left="580" w:header="0" w:footer="0" w:gutter="0"/>
          <w:cols w:space="720"/>
        </w:sectPr>
      </w:pPr>
    </w:p>
    <w:p w14:paraId="53DB3960" w14:textId="77777777" w:rsidR="00894070" w:rsidRDefault="00894070">
      <w:pPr>
        <w:pStyle w:val="BodyText"/>
      </w:pPr>
    </w:p>
    <w:p w14:paraId="1C34F8E9" w14:textId="77777777" w:rsidR="00894070" w:rsidRDefault="00894070">
      <w:pPr>
        <w:pStyle w:val="BodyText"/>
      </w:pPr>
    </w:p>
    <w:p w14:paraId="373DBEBD" w14:textId="77777777" w:rsidR="00894070" w:rsidRDefault="00894070">
      <w:pPr>
        <w:pStyle w:val="BodyText"/>
      </w:pPr>
    </w:p>
    <w:p w14:paraId="56CB260F" w14:textId="77777777" w:rsidR="00894070" w:rsidRDefault="009B7AFD">
      <w:pPr>
        <w:pStyle w:val="Heading8"/>
        <w:spacing w:before="248" w:line="216" w:lineRule="auto"/>
        <w:ind w:left="1007" w:right="1459"/>
      </w:pPr>
      <w:bookmarkStart w:id="69" w:name="_bookmark36"/>
      <w:bookmarkEnd w:id="69"/>
      <w:r>
        <w:rPr>
          <w:color w:val="231F20"/>
        </w:rPr>
        <w:t>Responses to cyberstalking should be part of the police response to stalking</w:t>
      </w:r>
    </w:p>
    <w:p w14:paraId="4A7FFFA4" w14:textId="77777777" w:rsidR="00894070" w:rsidRDefault="009B7AFD">
      <w:pPr>
        <w:pStyle w:val="ListParagraph"/>
        <w:numPr>
          <w:ilvl w:val="1"/>
          <w:numId w:val="161"/>
        </w:numPr>
        <w:tabs>
          <w:tab w:val="left" w:pos="1801"/>
          <w:tab w:val="left" w:pos="1802"/>
        </w:tabs>
        <w:spacing w:before="100"/>
        <w:rPr>
          <w:sz w:val="20"/>
        </w:rPr>
      </w:pPr>
      <w:r>
        <w:rPr>
          <w:color w:val="231F20"/>
          <w:sz w:val="20"/>
        </w:rPr>
        <w:t>As</w:t>
      </w:r>
      <w:r>
        <w:rPr>
          <w:color w:val="231F20"/>
          <w:spacing w:val="-6"/>
          <w:sz w:val="20"/>
        </w:rPr>
        <w:t xml:space="preserve"> </w:t>
      </w:r>
      <w:r>
        <w:rPr>
          <w:color w:val="231F20"/>
          <w:sz w:val="20"/>
        </w:rPr>
        <w:t>discussed</w:t>
      </w:r>
      <w:r>
        <w:rPr>
          <w:color w:val="231F20"/>
          <w:spacing w:val="-5"/>
          <w:sz w:val="20"/>
        </w:rPr>
        <w:t xml:space="preserve"> </w:t>
      </w:r>
      <w:r>
        <w:rPr>
          <w:color w:val="231F20"/>
          <w:spacing w:val="-3"/>
          <w:sz w:val="20"/>
        </w:rPr>
        <w:t>above,</w:t>
      </w:r>
      <w:r>
        <w:rPr>
          <w:color w:val="231F20"/>
          <w:spacing w:val="-6"/>
          <w:sz w:val="20"/>
        </w:rPr>
        <w:t xml:space="preserve"> </w:t>
      </w:r>
      <w:r>
        <w:rPr>
          <w:color w:val="231F20"/>
          <w:sz w:val="20"/>
        </w:rPr>
        <w:t>cyberstalking</w:t>
      </w:r>
      <w:r>
        <w:rPr>
          <w:color w:val="231F20"/>
          <w:spacing w:val="-5"/>
          <w:sz w:val="20"/>
        </w:rPr>
        <w:t xml:space="preserve"> </w:t>
      </w:r>
      <w:r>
        <w:rPr>
          <w:color w:val="231F20"/>
          <w:sz w:val="20"/>
        </w:rPr>
        <w:t>falls</w:t>
      </w:r>
      <w:r>
        <w:rPr>
          <w:color w:val="231F20"/>
          <w:spacing w:val="-5"/>
          <w:sz w:val="20"/>
        </w:rPr>
        <w:t xml:space="preserve"> </w:t>
      </w:r>
      <w:r>
        <w:rPr>
          <w:color w:val="231F20"/>
          <w:sz w:val="20"/>
        </w:rPr>
        <w:t>within</w:t>
      </w:r>
      <w:r>
        <w:rPr>
          <w:color w:val="231F20"/>
          <w:spacing w:val="-6"/>
          <w:sz w:val="20"/>
        </w:rPr>
        <w:t xml:space="preserve"> </w:t>
      </w:r>
      <w:r>
        <w:rPr>
          <w:color w:val="231F20"/>
          <w:sz w:val="20"/>
        </w:rPr>
        <w:t>the</w:t>
      </w:r>
      <w:r>
        <w:rPr>
          <w:color w:val="231F20"/>
          <w:spacing w:val="-5"/>
          <w:sz w:val="20"/>
        </w:rPr>
        <w:t xml:space="preserve"> </w:t>
      </w:r>
      <w:r>
        <w:rPr>
          <w:color w:val="231F20"/>
          <w:sz w:val="20"/>
        </w:rPr>
        <w:t>legal</w:t>
      </w:r>
      <w:r>
        <w:rPr>
          <w:color w:val="231F20"/>
          <w:spacing w:val="-5"/>
          <w:sz w:val="20"/>
        </w:rPr>
        <w:t xml:space="preserve"> </w:t>
      </w:r>
      <w:r>
        <w:rPr>
          <w:color w:val="231F20"/>
          <w:sz w:val="20"/>
        </w:rPr>
        <w:t>definition</w:t>
      </w:r>
      <w:r>
        <w:rPr>
          <w:color w:val="231F20"/>
          <w:spacing w:val="-6"/>
          <w:sz w:val="20"/>
        </w:rPr>
        <w:t xml:space="preserve"> </w:t>
      </w:r>
      <w:r>
        <w:rPr>
          <w:color w:val="231F20"/>
          <w:sz w:val="20"/>
        </w:rPr>
        <w:t>of</w:t>
      </w:r>
      <w:r>
        <w:rPr>
          <w:color w:val="231F20"/>
          <w:spacing w:val="-5"/>
          <w:sz w:val="20"/>
        </w:rPr>
        <w:t xml:space="preserve"> </w:t>
      </w:r>
      <w:r>
        <w:rPr>
          <w:color w:val="231F20"/>
          <w:sz w:val="20"/>
        </w:rPr>
        <w:t>stalking.</w:t>
      </w:r>
    </w:p>
    <w:p w14:paraId="2B7F0986" w14:textId="77777777" w:rsidR="00894070" w:rsidRDefault="009B7AFD">
      <w:pPr>
        <w:pStyle w:val="ListParagraph"/>
        <w:numPr>
          <w:ilvl w:val="1"/>
          <w:numId w:val="161"/>
        </w:numPr>
        <w:tabs>
          <w:tab w:val="left" w:pos="1801"/>
          <w:tab w:val="left" w:pos="1802"/>
        </w:tabs>
        <w:spacing w:before="115" w:line="206" w:lineRule="auto"/>
        <w:ind w:right="1268"/>
        <w:rPr>
          <w:sz w:val="11"/>
        </w:rPr>
      </w:pPr>
      <w:r>
        <w:rPr>
          <w:color w:val="231F20"/>
          <w:spacing w:val="-7"/>
          <w:sz w:val="20"/>
        </w:rPr>
        <w:t>Yet</w:t>
      </w:r>
      <w:r>
        <w:rPr>
          <w:color w:val="231F20"/>
          <w:spacing w:val="-9"/>
          <w:sz w:val="20"/>
        </w:rPr>
        <w:t xml:space="preserve"> </w:t>
      </w:r>
      <w:r>
        <w:rPr>
          <w:color w:val="231F20"/>
          <w:sz w:val="20"/>
        </w:rPr>
        <w:t>it</w:t>
      </w:r>
      <w:r>
        <w:rPr>
          <w:color w:val="231F20"/>
          <w:spacing w:val="-8"/>
          <w:sz w:val="20"/>
        </w:rPr>
        <w:t xml:space="preserve"> </w:t>
      </w:r>
      <w:r>
        <w:rPr>
          <w:color w:val="231F20"/>
          <w:sz w:val="20"/>
        </w:rPr>
        <w:t>is</w:t>
      </w:r>
      <w:r>
        <w:rPr>
          <w:color w:val="231F20"/>
          <w:spacing w:val="-8"/>
          <w:sz w:val="20"/>
        </w:rPr>
        <w:t xml:space="preserve"> </w:t>
      </w:r>
      <w:r>
        <w:rPr>
          <w:color w:val="231F20"/>
          <w:sz w:val="20"/>
        </w:rPr>
        <w:t>often</w:t>
      </w:r>
      <w:r>
        <w:rPr>
          <w:color w:val="231F20"/>
          <w:spacing w:val="-8"/>
          <w:sz w:val="20"/>
        </w:rPr>
        <w:t xml:space="preserve"> </w:t>
      </w:r>
      <w:r>
        <w:rPr>
          <w:color w:val="231F20"/>
          <w:spacing w:val="-3"/>
          <w:sz w:val="20"/>
        </w:rPr>
        <w:t>viewed</w:t>
      </w:r>
      <w:r>
        <w:rPr>
          <w:color w:val="231F20"/>
          <w:spacing w:val="-9"/>
          <w:sz w:val="20"/>
        </w:rPr>
        <w:t xml:space="preserve"> </w:t>
      </w:r>
      <w:r>
        <w:rPr>
          <w:color w:val="231F20"/>
          <w:spacing w:val="-3"/>
          <w:sz w:val="20"/>
        </w:rPr>
        <w:t>differently</w:t>
      </w:r>
      <w:r>
        <w:rPr>
          <w:color w:val="231F20"/>
          <w:spacing w:val="-8"/>
          <w:sz w:val="20"/>
        </w:rPr>
        <w:t xml:space="preserve"> </w:t>
      </w:r>
      <w:r>
        <w:rPr>
          <w:color w:val="231F20"/>
          <w:spacing w:val="-3"/>
          <w:sz w:val="20"/>
        </w:rPr>
        <w:t>from</w:t>
      </w:r>
      <w:r>
        <w:rPr>
          <w:color w:val="231F20"/>
          <w:spacing w:val="-8"/>
          <w:sz w:val="20"/>
        </w:rPr>
        <w:t xml:space="preserve"> </w:t>
      </w:r>
      <w:r>
        <w:rPr>
          <w:color w:val="231F20"/>
          <w:sz w:val="20"/>
        </w:rPr>
        <w:t>more</w:t>
      </w:r>
      <w:r>
        <w:rPr>
          <w:color w:val="231F20"/>
          <w:spacing w:val="-8"/>
          <w:sz w:val="20"/>
        </w:rPr>
        <w:t xml:space="preserve"> </w:t>
      </w:r>
      <w:r>
        <w:rPr>
          <w:color w:val="231F20"/>
          <w:sz w:val="20"/>
        </w:rPr>
        <w:t>traditional</w:t>
      </w:r>
      <w:r>
        <w:rPr>
          <w:color w:val="231F20"/>
          <w:spacing w:val="-8"/>
          <w:sz w:val="20"/>
        </w:rPr>
        <w:t xml:space="preserve"> </w:t>
      </w:r>
      <w:r>
        <w:rPr>
          <w:color w:val="231F20"/>
          <w:sz w:val="20"/>
        </w:rPr>
        <w:t>forms</w:t>
      </w:r>
      <w:r>
        <w:rPr>
          <w:color w:val="231F20"/>
          <w:spacing w:val="-9"/>
          <w:sz w:val="20"/>
        </w:rPr>
        <w:t xml:space="preserve"> </w:t>
      </w:r>
      <w:r>
        <w:rPr>
          <w:color w:val="231F20"/>
          <w:sz w:val="20"/>
        </w:rPr>
        <w:t>of</w:t>
      </w:r>
      <w:r>
        <w:rPr>
          <w:color w:val="231F20"/>
          <w:spacing w:val="-8"/>
          <w:sz w:val="20"/>
        </w:rPr>
        <w:t xml:space="preserve"> </w:t>
      </w:r>
      <w:r>
        <w:rPr>
          <w:color w:val="231F20"/>
          <w:sz w:val="20"/>
        </w:rPr>
        <w:t>stalking</w:t>
      </w:r>
      <w:r>
        <w:rPr>
          <w:color w:val="231F20"/>
          <w:spacing w:val="-8"/>
          <w:sz w:val="20"/>
        </w:rPr>
        <w:t xml:space="preserve"> </w:t>
      </w:r>
      <w:r>
        <w:rPr>
          <w:color w:val="231F20"/>
          <w:sz w:val="20"/>
        </w:rPr>
        <w:t>and</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not</w:t>
      </w:r>
      <w:r>
        <w:rPr>
          <w:color w:val="231F20"/>
          <w:spacing w:val="-9"/>
          <w:sz w:val="20"/>
        </w:rPr>
        <w:t xml:space="preserve"> </w:t>
      </w:r>
      <w:r>
        <w:rPr>
          <w:color w:val="231F20"/>
          <w:sz w:val="20"/>
        </w:rPr>
        <w:t>be considered</w:t>
      </w:r>
      <w:r>
        <w:rPr>
          <w:color w:val="231F20"/>
          <w:spacing w:val="-9"/>
          <w:sz w:val="20"/>
        </w:rPr>
        <w:t xml:space="preserve"> </w:t>
      </w:r>
      <w:r>
        <w:rPr>
          <w:color w:val="231F20"/>
          <w:spacing w:val="-3"/>
          <w:sz w:val="20"/>
        </w:rPr>
        <w:t>by</w:t>
      </w:r>
      <w:r>
        <w:rPr>
          <w:color w:val="231F20"/>
          <w:spacing w:val="-8"/>
          <w:sz w:val="20"/>
        </w:rPr>
        <w:t xml:space="preserve"> </w:t>
      </w:r>
      <w:r>
        <w:rPr>
          <w:color w:val="231F20"/>
          <w:sz w:val="20"/>
        </w:rPr>
        <w:t>some</w:t>
      </w:r>
      <w:r>
        <w:rPr>
          <w:color w:val="231F20"/>
          <w:spacing w:val="-9"/>
          <w:sz w:val="20"/>
        </w:rPr>
        <w:t xml:space="preserve"> </w:t>
      </w: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z w:val="20"/>
        </w:rPr>
        <w:t>stalking</w:t>
      </w:r>
      <w:r>
        <w:rPr>
          <w:color w:val="231F20"/>
          <w:spacing w:val="-9"/>
          <w:sz w:val="20"/>
        </w:rPr>
        <w:t xml:space="preserve"> </w:t>
      </w:r>
      <w:r>
        <w:rPr>
          <w:color w:val="231F20"/>
          <w:sz w:val="20"/>
        </w:rPr>
        <w:t>at</w:t>
      </w:r>
      <w:r>
        <w:rPr>
          <w:color w:val="231F20"/>
          <w:spacing w:val="-8"/>
          <w:sz w:val="20"/>
        </w:rPr>
        <w:t xml:space="preserve"> </w:t>
      </w:r>
      <w:r>
        <w:rPr>
          <w:color w:val="231F20"/>
          <w:sz w:val="20"/>
        </w:rPr>
        <w:t>all.</w:t>
      </w:r>
      <w:r>
        <w:rPr>
          <w:color w:val="231F20"/>
          <w:position w:val="7"/>
          <w:sz w:val="11"/>
        </w:rPr>
        <w:t>167</w:t>
      </w:r>
      <w:r>
        <w:rPr>
          <w:color w:val="231F20"/>
          <w:spacing w:val="15"/>
          <w:position w:val="7"/>
          <w:sz w:val="11"/>
        </w:rPr>
        <w:t xml:space="preserve"> </w:t>
      </w:r>
      <w:r>
        <w:rPr>
          <w:color w:val="231F20"/>
          <w:sz w:val="20"/>
        </w:rPr>
        <w:t>As</w:t>
      </w:r>
      <w:r>
        <w:rPr>
          <w:color w:val="231F20"/>
          <w:spacing w:val="-8"/>
          <w:sz w:val="20"/>
        </w:rPr>
        <w:t xml:space="preserve"> </w:t>
      </w:r>
      <w:r>
        <w:rPr>
          <w:color w:val="231F20"/>
          <w:sz w:val="20"/>
        </w:rPr>
        <w:t>one</w:t>
      </w:r>
      <w:r>
        <w:rPr>
          <w:color w:val="231F20"/>
          <w:spacing w:val="-8"/>
          <w:sz w:val="20"/>
        </w:rPr>
        <w:t xml:space="preserve"> </w:t>
      </w:r>
      <w:r>
        <w:rPr>
          <w:color w:val="231F20"/>
          <w:sz w:val="20"/>
        </w:rPr>
        <w:t>person</w:t>
      </w:r>
      <w:r>
        <w:rPr>
          <w:color w:val="231F20"/>
          <w:spacing w:val="-9"/>
          <w:sz w:val="20"/>
        </w:rPr>
        <w:t xml:space="preserve"> </w:t>
      </w:r>
      <w:r>
        <w:rPr>
          <w:color w:val="231F20"/>
          <w:sz w:val="20"/>
        </w:rPr>
        <w:t>who</w:t>
      </w:r>
      <w:r>
        <w:rPr>
          <w:color w:val="231F20"/>
          <w:spacing w:val="-8"/>
          <w:sz w:val="20"/>
        </w:rPr>
        <w:t xml:space="preserve"> </w:t>
      </w:r>
      <w:r>
        <w:rPr>
          <w:color w:val="231F20"/>
          <w:sz w:val="20"/>
        </w:rPr>
        <w:t>reported</w:t>
      </w:r>
      <w:r>
        <w:rPr>
          <w:color w:val="231F20"/>
          <w:spacing w:val="-9"/>
          <w:sz w:val="20"/>
        </w:rPr>
        <w:t xml:space="preserve"> </w:t>
      </w:r>
      <w:r>
        <w:rPr>
          <w:color w:val="231F20"/>
          <w:sz w:val="20"/>
        </w:rPr>
        <w:t xml:space="preserve">cyberstalking to the police in the last 2–5 years said, ‘The victims should be made to feel </w:t>
      </w:r>
      <w:r>
        <w:rPr>
          <w:color w:val="231F20"/>
          <w:spacing w:val="-3"/>
          <w:sz w:val="20"/>
        </w:rPr>
        <w:t xml:space="preserve">safe </w:t>
      </w:r>
      <w:r>
        <w:rPr>
          <w:color w:val="231F20"/>
          <w:sz w:val="20"/>
        </w:rPr>
        <w:t xml:space="preserve">and </w:t>
      </w:r>
      <w:r>
        <w:rPr>
          <w:color w:val="231F20"/>
          <w:spacing w:val="-3"/>
          <w:sz w:val="20"/>
        </w:rPr>
        <w:t xml:space="preserve">offered </w:t>
      </w:r>
      <w:r>
        <w:rPr>
          <w:color w:val="231F20"/>
          <w:sz w:val="20"/>
        </w:rPr>
        <w:t xml:space="preserve">[an </w:t>
      </w:r>
      <w:r>
        <w:rPr>
          <w:color w:val="231F20"/>
          <w:spacing w:val="-2"/>
          <w:sz w:val="20"/>
        </w:rPr>
        <w:t xml:space="preserve">intervention </w:t>
      </w:r>
      <w:r>
        <w:rPr>
          <w:color w:val="231F20"/>
          <w:spacing w:val="-3"/>
          <w:sz w:val="20"/>
        </w:rPr>
        <w:t xml:space="preserve">order] even </w:t>
      </w:r>
      <w:r>
        <w:rPr>
          <w:color w:val="231F20"/>
          <w:sz w:val="20"/>
        </w:rPr>
        <w:t>if it is online</w:t>
      </w:r>
      <w:r>
        <w:rPr>
          <w:color w:val="231F20"/>
          <w:spacing w:val="-27"/>
          <w:sz w:val="20"/>
        </w:rPr>
        <w:t xml:space="preserve"> </w:t>
      </w:r>
      <w:r>
        <w:rPr>
          <w:color w:val="231F20"/>
          <w:spacing w:val="-4"/>
          <w:sz w:val="20"/>
        </w:rPr>
        <w:t>only.’</w:t>
      </w:r>
      <w:r>
        <w:rPr>
          <w:color w:val="231F20"/>
          <w:spacing w:val="-4"/>
          <w:position w:val="7"/>
          <w:sz w:val="11"/>
        </w:rPr>
        <w:t>168</w:t>
      </w:r>
    </w:p>
    <w:p w14:paraId="439D3671" w14:textId="77777777" w:rsidR="00894070" w:rsidRDefault="009B7AFD">
      <w:pPr>
        <w:pStyle w:val="ListParagraph"/>
        <w:numPr>
          <w:ilvl w:val="1"/>
          <w:numId w:val="161"/>
        </w:numPr>
        <w:tabs>
          <w:tab w:val="left" w:pos="1801"/>
          <w:tab w:val="left" w:pos="1802"/>
        </w:tabs>
        <w:spacing w:before="125" w:line="206" w:lineRule="auto"/>
        <w:ind w:right="1657"/>
        <w:rPr>
          <w:sz w:val="20"/>
        </w:rPr>
      </w:pPr>
      <w:proofErr w:type="gramStart"/>
      <w:r>
        <w:rPr>
          <w:color w:val="231F20"/>
          <w:sz w:val="20"/>
        </w:rPr>
        <w:t>A</w:t>
      </w:r>
      <w:r>
        <w:rPr>
          <w:color w:val="231F20"/>
          <w:spacing w:val="-10"/>
          <w:sz w:val="20"/>
        </w:rPr>
        <w:t xml:space="preserve"> </w:t>
      </w:r>
      <w:r>
        <w:rPr>
          <w:color w:val="231F20"/>
          <w:sz w:val="20"/>
        </w:rPr>
        <w:t>number</w:t>
      </w:r>
      <w:r>
        <w:rPr>
          <w:color w:val="231F20"/>
          <w:spacing w:val="-10"/>
          <w:sz w:val="20"/>
        </w:rPr>
        <w:t xml:space="preserve"> </w:t>
      </w:r>
      <w:r>
        <w:rPr>
          <w:color w:val="231F20"/>
          <w:sz w:val="20"/>
        </w:rPr>
        <w:t>of</w:t>
      </w:r>
      <w:proofErr w:type="gramEnd"/>
      <w:r>
        <w:rPr>
          <w:color w:val="231F20"/>
          <w:spacing w:val="-10"/>
          <w:sz w:val="20"/>
        </w:rPr>
        <w:t xml:space="preserve"> </w:t>
      </w:r>
      <w:r>
        <w:rPr>
          <w:color w:val="231F20"/>
          <w:sz w:val="20"/>
        </w:rPr>
        <w:t>organisations</w:t>
      </w:r>
      <w:r>
        <w:rPr>
          <w:color w:val="231F20"/>
          <w:spacing w:val="-9"/>
          <w:sz w:val="20"/>
        </w:rPr>
        <w:t xml:space="preserve"> </w:t>
      </w:r>
      <w:r>
        <w:rPr>
          <w:color w:val="231F20"/>
          <w:spacing w:val="-4"/>
          <w:sz w:val="20"/>
        </w:rPr>
        <w:t>were</w:t>
      </w:r>
      <w:r>
        <w:rPr>
          <w:color w:val="231F20"/>
          <w:spacing w:val="-10"/>
          <w:sz w:val="20"/>
        </w:rPr>
        <w:t xml:space="preserve"> </w:t>
      </w:r>
      <w:r>
        <w:rPr>
          <w:color w:val="231F20"/>
          <w:sz w:val="20"/>
        </w:rPr>
        <w:t>in</w:t>
      </w:r>
      <w:r>
        <w:rPr>
          <w:color w:val="231F20"/>
          <w:spacing w:val="-10"/>
          <w:sz w:val="20"/>
        </w:rPr>
        <w:t xml:space="preserve"> </w:t>
      </w:r>
      <w:r>
        <w:rPr>
          <w:color w:val="231F20"/>
          <w:spacing w:val="-3"/>
          <w:sz w:val="20"/>
        </w:rPr>
        <w:t>favour</w:t>
      </w:r>
      <w:r>
        <w:rPr>
          <w:color w:val="231F20"/>
          <w:spacing w:val="-10"/>
          <w:sz w:val="20"/>
        </w:rPr>
        <w:t xml:space="preserve"> </w:t>
      </w:r>
      <w:r>
        <w:rPr>
          <w:color w:val="231F20"/>
          <w:sz w:val="20"/>
        </w:rPr>
        <w:t>of</w:t>
      </w:r>
      <w:r>
        <w:rPr>
          <w:color w:val="231F20"/>
          <w:spacing w:val="-9"/>
          <w:sz w:val="20"/>
        </w:rPr>
        <w:t xml:space="preserve"> </w:t>
      </w:r>
      <w:r>
        <w:rPr>
          <w:color w:val="231F20"/>
          <w:sz w:val="20"/>
        </w:rPr>
        <w:t>building</w:t>
      </w:r>
      <w:r>
        <w:rPr>
          <w:color w:val="231F20"/>
          <w:spacing w:val="-10"/>
          <w:sz w:val="20"/>
        </w:rPr>
        <w:t xml:space="preserve"> </w:t>
      </w:r>
      <w:r>
        <w:rPr>
          <w:color w:val="231F20"/>
          <w:sz w:val="20"/>
        </w:rPr>
        <w:t>police</w:t>
      </w:r>
      <w:r>
        <w:rPr>
          <w:color w:val="231F20"/>
          <w:spacing w:val="-10"/>
          <w:sz w:val="20"/>
        </w:rPr>
        <w:t xml:space="preserve"> </w:t>
      </w:r>
      <w:r>
        <w:rPr>
          <w:color w:val="231F20"/>
          <w:sz w:val="20"/>
        </w:rPr>
        <w:t>capacity</w:t>
      </w:r>
      <w:r>
        <w:rPr>
          <w:color w:val="231F20"/>
          <w:spacing w:val="-9"/>
          <w:sz w:val="20"/>
        </w:rPr>
        <w:t xml:space="preserve"> </w:t>
      </w:r>
      <w:r>
        <w:rPr>
          <w:color w:val="231F20"/>
          <w:sz w:val="20"/>
        </w:rPr>
        <w:t>to</w:t>
      </w:r>
      <w:r>
        <w:rPr>
          <w:color w:val="231F20"/>
          <w:spacing w:val="-10"/>
          <w:sz w:val="20"/>
        </w:rPr>
        <w:t xml:space="preserve"> </w:t>
      </w:r>
      <w:r>
        <w:rPr>
          <w:color w:val="231F20"/>
          <w:sz w:val="20"/>
        </w:rPr>
        <w:t>respond</w:t>
      </w:r>
      <w:r>
        <w:rPr>
          <w:color w:val="231F20"/>
          <w:spacing w:val="-10"/>
          <w:sz w:val="20"/>
        </w:rPr>
        <w:t xml:space="preserve"> </w:t>
      </w:r>
      <w:r>
        <w:rPr>
          <w:color w:val="231F20"/>
          <w:sz w:val="20"/>
        </w:rPr>
        <w:t>to cyberstalking</w:t>
      </w:r>
      <w:r>
        <w:rPr>
          <w:color w:val="231F20"/>
          <w:spacing w:val="-5"/>
          <w:sz w:val="20"/>
        </w:rPr>
        <w:t xml:space="preserve"> </w:t>
      </w:r>
      <w:r>
        <w:rPr>
          <w:color w:val="231F20"/>
          <w:spacing w:val="-3"/>
          <w:sz w:val="20"/>
        </w:rPr>
        <w:t>through:</w:t>
      </w:r>
    </w:p>
    <w:p w14:paraId="013E61F3" w14:textId="77777777" w:rsidR="00894070" w:rsidRDefault="009B7AFD">
      <w:pPr>
        <w:pStyle w:val="ListParagraph"/>
        <w:numPr>
          <w:ilvl w:val="2"/>
          <w:numId w:val="161"/>
        </w:numPr>
        <w:tabs>
          <w:tab w:val="left" w:pos="2141"/>
          <w:tab w:val="left" w:pos="2142"/>
        </w:tabs>
        <w:spacing w:before="90"/>
        <w:ind w:hanging="340"/>
        <w:rPr>
          <w:sz w:val="11"/>
        </w:rPr>
      </w:pPr>
      <w:r>
        <w:rPr>
          <w:color w:val="231F20"/>
          <w:sz w:val="20"/>
        </w:rPr>
        <w:t>increasing</w:t>
      </w:r>
      <w:r>
        <w:rPr>
          <w:color w:val="231F20"/>
          <w:spacing w:val="-5"/>
          <w:sz w:val="20"/>
        </w:rPr>
        <w:t xml:space="preserve"> </w:t>
      </w:r>
      <w:r>
        <w:rPr>
          <w:color w:val="231F20"/>
          <w:sz w:val="20"/>
        </w:rPr>
        <w:t>the</w:t>
      </w:r>
      <w:r>
        <w:rPr>
          <w:color w:val="231F20"/>
          <w:spacing w:val="-5"/>
          <w:sz w:val="20"/>
        </w:rPr>
        <w:t xml:space="preserve"> </w:t>
      </w:r>
      <w:r>
        <w:rPr>
          <w:color w:val="231F20"/>
          <w:sz w:val="20"/>
        </w:rPr>
        <w:t>use</w:t>
      </w:r>
      <w:r>
        <w:rPr>
          <w:color w:val="231F20"/>
          <w:spacing w:val="-5"/>
          <w:sz w:val="20"/>
        </w:rPr>
        <w:t xml:space="preserve"> </w:t>
      </w:r>
      <w:r>
        <w:rPr>
          <w:color w:val="231F20"/>
          <w:sz w:val="20"/>
        </w:rPr>
        <w:t>of</w:t>
      </w:r>
      <w:r>
        <w:rPr>
          <w:color w:val="231F20"/>
          <w:spacing w:val="-5"/>
          <w:sz w:val="20"/>
        </w:rPr>
        <w:t xml:space="preserve"> </w:t>
      </w:r>
      <w:r>
        <w:rPr>
          <w:color w:val="231F20"/>
          <w:sz w:val="20"/>
        </w:rPr>
        <w:t>digital</w:t>
      </w:r>
      <w:r>
        <w:rPr>
          <w:color w:val="231F20"/>
          <w:spacing w:val="-5"/>
          <w:sz w:val="20"/>
        </w:rPr>
        <w:t xml:space="preserve"> </w:t>
      </w:r>
      <w:r>
        <w:rPr>
          <w:color w:val="231F20"/>
          <w:spacing w:val="-3"/>
          <w:sz w:val="20"/>
        </w:rPr>
        <w:t>forensic</w:t>
      </w:r>
      <w:r>
        <w:rPr>
          <w:color w:val="231F20"/>
          <w:spacing w:val="-5"/>
          <w:sz w:val="20"/>
        </w:rPr>
        <w:t xml:space="preserve"> </w:t>
      </w:r>
      <w:r>
        <w:rPr>
          <w:color w:val="231F20"/>
          <w:sz w:val="20"/>
        </w:rPr>
        <w:t>expertise</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investigate</w:t>
      </w:r>
      <w:r>
        <w:rPr>
          <w:color w:val="231F20"/>
          <w:spacing w:val="-5"/>
          <w:sz w:val="20"/>
        </w:rPr>
        <w:t xml:space="preserve"> </w:t>
      </w:r>
      <w:r>
        <w:rPr>
          <w:color w:val="231F20"/>
          <w:sz w:val="20"/>
        </w:rPr>
        <w:t>cyberstalking</w:t>
      </w:r>
      <w:r>
        <w:rPr>
          <w:color w:val="231F20"/>
          <w:position w:val="7"/>
          <w:sz w:val="11"/>
        </w:rPr>
        <w:t>169</w:t>
      </w:r>
    </w:p>
    <w:p w14:paraId="51405309" w14:textId="77777777" w:rsidR="00894070" w:rsidRDefault="009B7AFD">
      <w:pPr>
        <w:pStyle w:val="ListParagraph"/>
        <w:numPr>
          <w:ilvl w:val="2"/>
          <w:numId w:val="161"/>
        </w:numPr>
        <w:tabs>
          <w:tab w:val="left" w:pos="2141"/>
          <w:tab w:val="left" w:pos="2142"/>
        </w:tabs>
        <w:spacing w:before="48"/>
        <w:ind w:hanging="340"/>
        <w:rPr>
          <w:sz w:val="11"/>
        </w:rPr>
      </w:pPr>
      <w:r>
        <w:rPr>
          <w:color w:val="231F20"/>
          <w:sz w:val="20"/>
        </w:rPr>
        <w:t>evidence-based</w:t>
      </w:r>
      <w:r>
        <w:rPr>
          <w:color w:val="231F20"/>
          <w:spacing w:val="-6"/>
          <w:sz w:val="20"/>
        </w:rPr>
        <w:t xml:space="preserve"> </w:t>
      </w:r>
      <w:r>
        <w:rPr>
          <w:color w:val="231F20"/>
          <w:sz w:val="20"/>
        </w:rPr>
        <w:t>training</w:t>
      </w:r>
      <w:r>
        <w:rPr>
          <w:color w:val="231F20"/>
          <w:spacing w:val="-6"/>
          <w:sz w:val="20"/>
        </w:rPr>
        <w:t xml:space="preserve"> </w:t>
      </w:r>
      <w:r>
        <w:rPr>
          <w:color w:val="231F20"/>
          <w:sz w:val="20"/>
        </w:rPr>
        <w:t>on</w:t>
      </w:r>
      <w:r>
        <w:rPr>
          <w:color w:val="231F20"/>
          <w:spacing w:val="-5"/>
          <w:sz w:val="20"/>
        </w:rPr>
        <w:t xml:space="preserve"> </w:t>
      </w:r>
      <w:r>
        <w:rPr>
          <w:color w:val="231F20"/>
          <w:sz w:val="20"/>
        </w:rPr>
        <w:t>the</w:t>
      </w:r>
      <w:r>
        <w:rPr>
          <w:color w:val="231F20"/>
          <w:spacing w:val="-6"/>
          <w:sz w:val="20"/>
        </w:rPr>
        <w:t xml:space="preserve"> </w:t>
      </w:r>
      <w:r>
        <w:rPr>
          <w:color w:val="231F20"/>
          <w:spacing w:val="-3"/>
          <w:sz w:val="20"/>
        </w:rPr>
        <w:t>nature</w:t>
      </w:r>
      <w:r>
        <w:rPr>
          <w:color w:val="231F20"/>
          <w:spacing w:val="-5"/>
          <w:sz w:val="20"/>
        </w:rPr>
        <w:t xml:space="preserve"> </w:t>
      </w:r>
      <w:r>
        <w:rPr>
          <w:color w:val="231F20"/>
          <w:sz w:val="20"/>
        </w:rPr>
        <w:t>of</w:t>
      </w:r>
      <w:r>
        <w:rPr>
          <w:color w:val="231F20"/>
          <w:spacing w:val="-6"/>
          <w:sz w:val="20"/>
        </w:rPr>
        <w:t xml:space="preserve"> </w:t>
      </w:r>
      <w:r>
        <w:rPr>
          <w:color w:val="231F20"/>
          <w:sz w:val="20"/>
        </w:rPr>
        <w:t>cyberstalking</w:t>
      </w:r>
      <w:r>
        <w:rPr>
          <w:color w:val="231F20"/>
          <w:spacing w:val="-6"/>
          <w:sz w:val="20"/>
        </w:rPr>
        <w:t xml:space="preserve"> </w:t>
      </w:r>
      <w:r>
        <w:rPr>
          <w:color w:val="231F20"/>
          <w:sz w:val="20"/>
        </w:rPr>
        <w:t>and</w:t>
      </w:r>
      <w:r>
        <w:rPr>
          <w:color w:val="231F20"/>
          <w:spacing w:val="-5"/>
          <w:sz w:val="20"/>
        </w:rPr>
        <w:t xml:space="preserve"> </w:t>
      </w:r>
      <w:r>
        <w:rPr>
          <w:color w:val="231F20"/>
          <w:sz w:val="20"/>
        </w:rPr>
        <w:t>collecting</w:t>
      </w:r>
      <w:r>
        <w:rPr>
          <w:color w:val="231F20"/>
          <w:spacing w:val="-6"/>
          <w:sz w:val="20"/>
        </w:rPr>
        <w:t xml:space="preserve"> </w:t>
      </w:r>
      <w:r>
        <w:rPr>
          <w:color w:val="231F20"/>
          <w:spacing w:val="-2"/>
          <w:sz w:val="20"/>
        </w:rPr>
        <w:t>evidence</w:t>
      </w:r>
      <w:r>
        <w:rPr>
          <w:color w:val="231F20"/>
          <w:spacing w:val="-2"/>
          <w:position w:val="7"/>
          <w:sz w:val="11"/>
        </w:rPr>
        <w:t>170</w:t>
      </w:r>
    </w:p>
    <w:p w14:paraId="2BBE5D1C" w14:textId="77777777" w:rsidR="00894070" w:rsidRDefault="009B7AFD">
      <w:pPr>
        <w:pStyle w:val="ListParagraph"/>
        <w:numPr>
          <w:ilvl w:val="2"/>
          <w:numId w:val="161"/>
        </w:numPr>
        <w:tabs>
          <w:tab w:val="left" w:pos="2141"/>
          <w:tab w:val="left" w:pos="2142"/>
        </w:tabs>
        <w:spacing w:before="47"/>
        <w:ind w:hanging="340"/>
        <w:rPr>
          <w:sz w:val="11"/>
        </w:rPr>
      </w:pPr>
      <w:r>
        <w:rPr>
          <w:color w:val="231F20"/>
          <w:sz w:val="20"/>
        </w:rPr>
        <w:t>collaborating with eSafety and other online safety</w:t>
      </w:r>
      <w:r>
        <w:rPr>
          <w:color w:val="231F20"/>
          <w:spacing w:val="-34"/>
          <w:sz w:val="20"/>
        </w:rPr>
        <w:t xml:space="preserve"> </w:t>
      </w:r>
      <w:r>
        <w:rPr>
          <w:color w:val="231F20"/>
          <w:sz w:val="20"/>
        </w:rPr>
        <w:t>experts.</w:t>
      </w:r>
      <w:r>
        <w:rPr>
          <w:color w:val="231F20"/>
          <w:position w:val="7"/>
          <w:sz w:val="11"/>
        </w:rPr>
        <w:t>171</w:t>
      </w:r>
    </w:p>
    <w:p w14:paraId="4106BC23" w14:textId="77777777" w:rsidR="00894070" w:rsidRDefault="009B7AFD">
      <w:pPr>
        <w:pStyle w:val="ListParagraph"/>
        <w:numPr>
          <w:ilvl w:val="1"/>
          <w:numId w:val="161"/>
        </w:numPr>
        <w:tabs>
          <w:tab w:val="left" w:pos="1801"/>
          <w:tab w:val="left" w:pos="1802"/>
        </w:tabs>
        <w:spacing w:before="80" w:line="206" w:lineRule="auto"/>
        <w:ind w:right="1870"/>
        <w:rPr>
          <w:sz w:val="20"/>
        </w:rPr>
      </w:pPr>
      <w:r>
        <w:rPr>
          <w:color w:val="231F20"/>
          <w:sz w:val="20"/>
        </w:rPr>
        <w:t>In</w:t>
      </w:r>
      <w:r>
        <w:rPr>
          <w:color w:val="231F20"/>
          <w:spacing w:val="-9"/>
          <w:sz w:val="20"/>
        </w:rPr>
        <w:t xml:space="preserve"> </w:t>
      </w:r>
      <w:r>
        <w:rPr>
          <w:color w:val="231F20"/>
          <w:sz w:val="20"/>
        </w:rPr>
        <w:t>our</w:t>
      </w:r>
      <w:r>
        <w:rPr>
          <w:color w:val="231F20"/>
          <w:spacing w:val="-9"/>
          <w:sz w:val="20"/>
        </w:rPr>
        <w:t xml:space="preserve"> </w:t>
      </w:r>
      <w:r>
        <w:rPr>
          <w:color w:val="231F20"/>
          <w:spacing w:val="-3"/>
          <w:sz w:val="20"/>
        </w:rPr>
        <w:t>interim</w:t>
      </w:r>
      <w:r>
        <w:rPr>
          <w:color w:val="231F20"/>
          <w:spacing w:val="-8"/>
          <w:sz w:val="20"/>
        </w:rPr>
        <w:t xml:space="preserve"> </w:t>
      </w:r>
      <w:r>
        <w:rPr>
          <w:color w:val="231F20"/>
          <w:sz w:val="20"/>
        </w:rPr>
        <w:t>report</w:t>
      </w:r>
      <w:r>
        <w:rPr>
          <w:color w:val="231F20"/>
          <w:spacing w:val="-9"/>
          <w:sz w:val="20"/>
        </w:rPr>
        <w:t xml:space="preserve"> </w:t>
      </w:r>
      <w:r>
        <w:rPr>
          <w:color w:val="231F20"/>
          <w:spacing w:val="-3"/>
          <w:sz w:val="20"/>
        </w:rPr>
        <w:t>we</w:t>
      </w:r>
      <w:r>
        <w:rPr>
          <w:color w:val="231F20"/>
          <w:spacing w:val="-8"/>
          <w:sz w:val="20"/>
        </w:rPr>
        <w:t xml:space="preserve"> </w:t>
      </w:r>
      <w:r>
        <w:rPr>
          <w:color w:val="231F20"/>
          <w:sz w:val="20"/>
        </w:rPr>
        <w:t>made</w:t>
      </w:r>
      <w:r>
        <w:rPr>
          <w:color w:val="231F20"/>
          <w:spacing w:val="-9"/>
          <w:sz w:val="20"/>
        </w:rPr>
        <w:t xml:space="preserve"> </w:t>
      </w:r>
      <w:r>
        <w:rPr>
          <w:color w:val="231F20"/>
          <w:sz w:val="20"/>
        </w:rPr>
        <w:t>recommendations</w:t>
      </w:r>
      <w:r>
        <w:rPr>
          <w:color w:val="231F20"/>
          <w:spacing w:val="-8"/>
          <w:sz w:val="20"/>
        </w:rPr>
        <w:t xml:space="preserve"> </w:t>
      </w:r>
      <w:r>
        <w:rPr>
          <w:color w:val="231F20"/>
          <w:sz w:val="20"/>
        </w:rPr>
        <w:t>to</w:t>
      </w:r>
      <w:r>
        <w:rPr>
          <w:color w:val="231F20"/>
          <w:spacing w:val="-9"/>
          <w:sz w:val="20"/>
        </w:rPr>
        <w:t xml:space="preserve"> </w:t>
      </w:r>
      <w:r>
        <w:rPr>
          <w:color w:val="231F20"/>
          <w:spacing w:val="-4"/>
          <w:sz w:val="20"/>
        </w:rPr>
        <w:t>improve</w:t>
      </w:r>
      <w:r>
        <w:rPr>
          <w:color w:val="231F20"/>
          <w:spacing w:val="-8"/>
          <w:sz w:val="20"/>
        </w:rPr>
        <w:t xml:space="preserve"> </w:t>
      </w:r>
      <w:r>
        <w:rPr>
          <w:color w:val="231F20"/>
          <w:spacing w:val="-3"/>
          <w:sz w:val="20"/>
        </w:rPr>
        <w:t>how</w:t>
      </w:r>
      <w:r>
        <w:rPr>
          <w:color w:val="231F20"/>
          <w:spacing w:val="-9"/>
          <w:sz w:val="20"/>
        </w:rPr>
        <w:t xml:space="preserve"> </w:t>
      </w:r>
      <w:r>
        <w:rPr>
          <w:color w:val="231F20"/>
          <w:sz w:val="20"/>
        </w:rPr>
        <w:t>Victoria</w:t>
      </w:r>
      <w:r>
        <w:rPr>
          <w:color w:val="231F20"/>
          <w:spacing w:val="-9"/>
          <w:sz w:val="20"/>
        </w:rPr>
        <w:t xml:space="preserve"> </w:t>
      </w:r>
      <w:r>
        <w:rPr>
          <w:color w:val="231F20"/>
          <w:sz w:val="20"/>
        </w:rPr>
        <w:t>Police identifies and responds to reports of stalking</w:t>
      </w:r>
      <w:r>
        <w:rPr>
          <w:color w:val="231F20"/>
          <w:spacing w:val="-34"/>
          <w:sz w:val="20"/>
        </w:rPr>
        <w:t xml:space="preserve"> </w:t>
      </w:r>
      <w:r>
        <w:rPr>
          <w:color w:val="231F20"/>
          <w:spacing w:val="-3"/>
          <w:sz w:val="20"/>
        </w:rPr>
        <w:t>by:</w:t>
      </w:r>
    </w:p>
    <w:p w14:paraId="3A6C50B3" w14:textId="77777777" w:rsidR="00894070" w:rsidRDefault="009B7AFD">
      <w:pPr>
        <w:pStyle w:val="ListParagraph"/>
        <w:numPr>
          <w:ilvl w:val="2"/>
          <w:numId w:val="161"/>
        </w:numPr>
        <w:tabs>
          <w:tab w:val="left" w:pos="2141"/>
          <w:tab w:val="left" w:pos="2142"/>
        </w:tabs>
        <w:spacing w:before="90" w:line="259" w:lineRule="exact"/>
        <w:ind w:hanging="340"/>
        <w:rPr>
          <w:sz w:val="20"/>
        </w:rPr>
      </w:pPr>
      <w:r>
        <w:rPr>
          <w:color w:val="231F20"/>
          <w:sz w:val="20"/>
        </w:rPr>
        <w:t>training</w:t>
      </w:r>
      <w:r>
        <w:rPr>
          <w:color w:val="231F20"/>
          <w:spacing w:val="-7"/>
          <w:sz w:val="20"/>
        </w:rPr>
        <w:t xml:space="preserve"> </w:t>
      </w:r>
      <w:r>
        <w:rPr>
          <w:color w:val="231F20"/>
          <w:spacing w:val="-3"/>
          <w:sz w:val="20"/>
        </w:rPr>
        <w:t>frontline</w:t>
      </w:r>
      <w:r>
        <w:rPr>
          <w:color w:val="231F20"/>
          <w:spacing w:val="-7"/>
          <w:sz w:val="20"/>
        </w:rPr>
        <w:t xml:space="preserve"> </w:t>
      </w:r>
      <w:r>
        <w:rPr>
          <w:color w:val="231F20"/>
          <w:sz w:val="20"/>
        </w:rPr>
        <w:t>officers</w:t>
      </w:r>
      <w:r>
        <w:rPr>
          <w:color w:val="231F20"/>
          <w:spacing w:val="-6"/>
          <w:sz w:val="20"/>
        </w:rPr>
        <w:t xml:space="preserve"> </w:t>
      </w:r>
      <w:r>
        <w:rPr>
          <w:color w:val="231F20"/>
          <w:sz w:val="20"/>
        </w:rPr>
        <w:t>to</w:t>
      </w:r>
      <w:r>
        <w:rPr>
          <w:color w:val="231F20"/>
          <w:spacing w:val="-7"/>
          <w:sz w:val="20"/>
        </w:rPr>
        <w:t xml:space="preserve"> </w:t>
      </w:r>
      <w:r>
        <w:rPr>
          <w:color w:val="231F20"/>
          <w:sz w:val="20"/>
        </w:rPr>
        <w:t>enhance</w:t>
      </w:r>
      <w:r>
        <w:rPr>
          <w:color w:val="231F20"/>
          <w:spacing w:val="-7"/>
          <w:sz w:val="20"/>
        </w:rPr>
        <w:t xml:space="preserve"> </w:t>
      </w:r>
      <w:r>
        <w:rPr>
          <w:color w:val="231F20"/>
          <w:sz w:val="20"/>
        </w:rPr>
        <w:t>their</w:t>
      </w:r>
      <w:r>
        <w:rPr>
          <w:color w:val="231F20"/>
          <w:spacing w:val="-6"/>
          <w:sz w:val="20"/>
        </w:rPr>
        <w:t xml:space="preserve"> </w:t>
      </w:r>
      <w:r>
        <w:rPr>
          <w:color w:val="231F20"/>
          <w:sz w:val="20"/>
        </w:rPr>
        <w:t>understanding</w:t>
      </w:r>
      <w:r>
        <w:rPr>
          <w:color w:val="231F20"/>
          <w:spacing w:val="-7"/>
          <w:sz w:val="20"/>
        </w:rPr>
        <w:t xml:space="preserve"> </w:t>
      </w:r>
      <w:r>
        <w:rPr>
          <w:color w:val="231F20"/>
          <w:sz w:val="20"/>
        </w:rPr>
        <w:t>of</w:t>
      </w:r>
      <w:r>
        <w:rPr>
          <w:color w:val="231F20"/>
          <w:spacing w:val="-6"/>
          <w:sz w:val="20"/>
        </w:rPr>
        <w:t xml:space="preserve"> </w:t>
      </w:r>
      <w:r>
        <w:rPr>
          <w:color w:val="231F20"/>
          <w:sz w:val="20"/>
        </w:rPr>
        <w:t>stalking</w:t>
      </w:r>
      <w:r>
        <w:rPr>
          <w:color w:val="231F20"/>
          <w:spacing w:val="-7"/>
          <w:sz w:val="20"/>
        </w:rPr>
        <w:t xml:space="preserve"> </w:t>
      </w:r>
      <w:r>
        <w:rPr>
          <w:color w:val="231F20"/>
          <w:sz w:val="20"/>
        </w:rPr>
        <w:t>behaviours</w:t>
      </w:r>
      <w:r>
        <w:rPr>
          <w:color w:val="231F20"/>
          <w:spacing w:val="-7"/>
          <w:sz w:val="20"/>
        </w:rPr>
        <w:t xml:space="preserve"> </w:t>
      </w:r>
      <w:r>
        <w:rPr>
          <w:color w:val="231F20"/>
          <w:sz w:val="20"/>
        </w:rPr>
        <w:t>as</w:t>
      </w:r>
    </w:p>
    <w:p w14:paraId="6860AF87" w14:textId="77777777" w:rsidR="00894070" w:rsidRDefault="009B7AFD">
      <w:pPr>
        <w:spacing w:line="259" w:lineRule="exact"/>
        <w:ind w:left="2141"/>
        <w:rPr>
          <w:sz w:val="20"/>
        </w:rPr>
      </w:pPr>
      <w:r>
        <w:rPr>
          <w:color w:val="231F20"/>
          <w:sz w:val="20"/>
        </w:rPr>
        <w:t xml:space="preserve">set out in the </w:t>
      </w:r>
      <w:r>
        <w:rPr>
          <w:i/>
          <w:color w:val="231F20"/>
          <w:sz w:val="20"/>
        </w:rPr>
        <w:t xml:space="preserve">Crimes Act 1958 </w:t>
      </w:r>
      <w:r>
        <w:rPr>
          <w:color w:val="231F20"/>
          <w:sz w:val="20"/>
        </w:rPr>
        <w:t>(Vic)</w:t>
      </w:r>
    </w:p>
    <w:p w14:paraId="603AB957" w14:textId="77777777" w:rsidR="00894070" w:rsidRDefault="009B7AFD">
      <w:pPr>
        <w:pStyle w:val="ListParagraph"/>
        <w:numPr>
          <w:ilvl w:val="2"/>
          <w:numId w:val="161"/>
        </w:numPr>
        <w:tabs>
          <w:tab w:val="left" w:pos="2141"/>
          <w:tab w:val="left" w:pos="2142"/>
        </w:tabs>
        <w:spacing w:before="80" w:line="206" w:lineRule="auto"/>
        <w:ind w:right="1271" w:hanging="340"/>
        <w:rPr>
          <w:sz w:val="20"/>
        </w:rPr>
      </w:pPr>
      <w:r>
        <w:rPr>
          <w:color w:val="231F20"/>
          <w:spacing w:val="-3"/>
          <w:sz w:val="20"/>
        </w:rPr>
        <w:t>developing</w:t>
      </w:r>
      <w:r>
        <w:rPr>
          <w:color w:val="231F20"/>
          <w:spacing w:val="-13"/>
          <w:sz w:val="20"/>
        </w:rPr>
        <w:t xml:space="preserve"> </w:t>
      </w:r>
      <w:r>
        <w:rPr>
          <w:color w:val="231F20"/>
          <w:sz w:val="20"/>
        </w:rPr>
        <w:t>guidance</w:t>
      </w:r>
      <w:r>
        <w:rPr>
          <w:color w:val="231F20"/>
          <w:spacing w:val="-12"/>
          <w:sz w:val="20"/>
        </w:rPr>
        <w:t xml:space="preserve"> </w:t>
      </w:r>
      <w:r>
        <w:rPr>
          <w:color w:val="231F20"/>
          <w:spacing w:val="-3"/>
          <w:sz w:val="20"/>
        </w:rPr>
        <w:t>for</w:t>
      </w:r>
      <w:r>
        <w:rPr>
          <w:color w:val="231F20"/>
          <w:spacing w:val="-12"/>
          <w:sz w:val="20"/>
        </w:rPr>
        <w:t xml:space="preserve"> </w:t>
      </w:r>
      <w:r>
        <w:rPr>
          <w:color w:val="231F20"/>
          <w:spacing w:val="-3"/>
          <w:sz w:val="20"/>
        </w:rPr>
        <w:t>frontline</w:t>
      </w:r>
      <w:r>
        <w:rPr>
          <w:color w:val="231F20"/>
          <w:spacing w:val="-13"/>
          <w:sz w:val="20"/>
        </w:rPr>
        <w:t xml:space="preserve"> </w:t>
      </w:r>
      <w:r>
        <w:rPr>
          <w:color w:val="231F20"/>
          <w:sz w:val="20"/>
        </w:rPr>
        <w:t>officers</w:t>
      </w:r>
      <w:r>
        <w:rPr>
          <w:color w:val="231F20"/>
          <w:spacing w:val="-12"/>
          <w:sz w:val="20"/>
        </w:rPr>
        <w:t xml:space="preserve"> </w:t>
      </w:r>
      <w:r>
        <w:rPr>
          <w:color w:val="231F20"/>
          <w:spacing w:val="-3"/>
          <w:sz w:val="20"/>
        </w:rPr>
        <w:t>for</w:t>
      </w:r>
      <w:r>
        <w:rPr>
          <w:color w:val="231F20"/>
          <w:spacing w:val="-12"/>
          <w:sz w:val="20"/>
        </w:rPr>
        <w:t xml:space="preserve"> </w:t>
      </w:r>
      <w:r>
        <w:rPr>
          <w:color w:val="231F20"/>
          <w:sz w:val="20"/>
        </w:rPr>
        <w:t>interviewing</w:t>
      </w:r>
      <w:r>
        <w:rPr>
          <w:color w:val="231F20"/>
          <w:spacing w:val="-12"/>
          <w:sz w:val="20"/>
        </w:rPr>
        <w:t xml:space="preserve"> </w:t>
      </w:r>
      <w:r>
        <w:rPr>
          <w:color w:val="231F20"/>
          <w:sz w:val="20"/>
        </w:rPr>
        <w:t>and</w:t>
      </w:r>
      <w:r>
        <w:rPr>
          <w:color w:val="231F20"/>
          <w:spacing w:val="-13"/>
          <w:sz w:val="20"/>
        </w:rPr>
        <w:t xml:space="preserve"> </w:t>
      </w:r>
      <w:r>
        <w:rPr>
          <w:color w:val="231F20"/>
          <w:sz w:val="20"/>
        </w:rPr>
        <w:t>communicating</w:t>
      </w:r>
      <w:r>
        <w:rPr>
          <w:color w:val="231F20"/>
          <w:spacing w:val="-12"/>
          <w:sz w:val="20"/>
        </w:rPr>
        <w:t xml:space="preserve"> </w:t>
      </w:r>
      <w:r>
        <w:rPr>
          <w:color w:val="231F20"/>
          <w:sz w:val="20"/>
        </w:rPr>
        <w:t>with victim survivors of</w:t>
      </w:r>
      <w:r>
        <w:rPr>
          <w:color w:val="231F20"/>
          <w:spacing w:val="-13"/>
          <w:sz w:val="20"/>
        </w:rPr>
        <w:t xml:space="preserve"> </w:t>
      </w:r>
      <w:r>
        <w:rPr>
          <w:color w:val="231F20"/>
          <w:sz w:val="20"/>
        </w:rPr>
        <w:t>stalking</w:t>
      </w:r>
    </w:p>
    <w:p w14:paraId="47E51CA4" w14:textId="77777777" w:rsidR="00894070" w:rsidRDefault="009B7AFD">
      <w:pPr>
        <w:pStyle w:val="ListParagraph"/>
        <w:numPr>
          <w:ilvl w:val="2"/>
          <w:numId w:val="161"/>
        </w:numPr>
        <w:tabs>
          <w:tab w:val="left" w:pos="2141"/>
          <w:tab w:val="left" w:pos="2142"/>
        </w:tabs>
        <w:spacing w:before="55" w:line="259" w:lineRule="exact"/>
        <w:ind w:hanging="340"/>
        <w:rPr>
          <w:sz w:val="20"/>
        </w:rPr>
      </w:pPr>
      <w:r>
        <w:rPr>
          <w:color w:val="231F20"/>
          <w:spacing w:val="-3"/>
          <w:sz w:val="20"/>
        </w:rPr>
        <w:t xml:space="preserve">developing </w:t>
      </w:r>
      <w:r>
        <w:rPr>
          <w:color w:val="231F20"/>
          <w:sz w:val="20"/>
        </w:rPr>
        <w:t xml:space="preserve">guidance </w:t>
      </w:r>
      <w:r>
        <w:rPr>
          <w:color w:val="231F20"/>
          <w:spacing w:val="-3"/>
          <w:sz w:val="20"/>
        </w:rPr>
        <w:t xml:space="preserve">for </w:t>
      </w:r>
      <w:r>
        <w:rPr>
          <w:color w:val="231F20"/>
          <w:sz w:val="20"/>
        </w:rPr>
        <w:t xml:space="preserve">identifying and gathering </w:t>
      </w:r>
      <w:r>
        <w:rPr>
          <w:color w:val="231F20"/>
          <w:spacing w:val="-3"/>
          <w:sz w:val="20"/>
        </w:rPr>
        <w:t xml:space="preserve">information </w:t>
      </w:r>
      <w:r>
        <w:rPr>
          <w:color w:val="231F20"/>
          <w:sz w:val="20"/>
        </w:rPr>
        <w:t>about stalking</w:t>
      </w:r>
      <w:r>
        <w:rPr>
          <w:color w:val="231F20"/>
          <w:spacing w:val="-35"/>
          <w:sz w:val="20"/>
        </w:rPr>
        <w:t xml:space="preserve"> </w:t>
      </w:r>
      <w:r>
        <w:rPr>
          <w:color w:val="231F20"/>
          <w:spacing w:val="-3"/>
          <w:sz w:val="20"/>
        </w:rPr>
        <w:t>for</w:t>
      </w:r>
    </w:p>
    <w:p w14:paraId="3B8897D8" w14:textId="77777777" w:rsidR="00894070" w:rsidRDefault="009B7AFD">
      <w:pPr>
        <w:pStyle w:val="BodyText"/>
        <w:spacing w:line="259" w:lineRule="exact"/>
        <w:ind w:left="2141"/>
      </w:pPr>
      <w:r>
        <w:rPr>
          <w:color w:val="231F20"/>
        </w:rPr>
        <w:t>frontline police</w:t>
      </w:r>
    </w:p>
    <w:p w14:paraId="02361243" w14:textId="77777777" w:rsidR="00894070" w:rsidRDefault="009B7AFD">
      <w:pPr>
        <w:pStyle w:val="ListParagraph"/>
        <w:numPr>
          <w:ilvl w:val="2"/>
          <w:numId w:val="161"/>
        </w:numPr>
        <w:tabs>
          <w:tab w:val="left" w:pos="2141"/>
          <w:tab w:val="left" w:pos="2142"/>
        </w:tabs>
        <w:spacing w:before="48"/>
        <w:ind w:hanging="340"/>
        <w:rPr>
          <w:sz w:val="20"/>
        </w:rPr>
      </w:pPr>
      <w:r>
        <w:rPr>
          <w:color w:val="231F20"/>
          <w:spacing w:val="-3"/>
          <w:sz w:val="20"/>
        </w:rPr>
        <w:t xml:space="preserve">referring complex </w:t>
      </w:r>
      <w:r>
        <w:rPr>
          <w:color w:val="231F20"/>
          <w:sz w:val="20"/>
        </w:rPr>
        <w:t xml:space="preserve">cases to specialist police </w:t>
      </w:r>
      <w:r>
        <w:rPr>
          <w:color w:val="231F20"/>
          <w:spacing w:val="-3"/>
          <w:sz w:val="20"/>
        </w:rPr>
        <w:t xml:space="preserve">for investigation </w:t>
      </w:r>
      <w:r>
        <w:rPr>
          <w:color w:val="231F20"/>
          <w:sz w:val="20"/>
        </w:rPr>
        <w:t>where</w:t>
      </w:r>
      <w:r>
        <w:rPr>
          <w:color w:val="231F20"/>
          <w:spacing w:val="-26"/>
          <w:sz w:val="20"/>
        </w:rPr>
        <w:t xml:space="preserve"> </w:t>
      </w:r>
      <w:r>
        <w:rPr>
          <w:color w:val="231F20"/>
          <w:spacing w:val="-3"/>
          <w:sz w:val="20"/>
        </w:rPr>
        <w:t>required</w:t>
      </w:r>
    </w:p>
    <w:p w14:paraId="6F67512E" w14:textId="77777777" w:rsidR="00894070" w:rsidRDefault="009B7AFD">
      <w:pPr>
        <w:pStyle w:val="ListParagraph"/>
        <w:numPr>
          <w:ilvl w:val="2"/>
          <w:numId w:val="161"/>
        </w:numPr>
        <w:tabs>
          <w:tab w:val="left" w:pos="2141"/>
          <w:tab w:val="left" w:pos="2142"/>
        </w:tabs>
        <w:spacing w:before="47"/>
        <w:ind w:hanging="340"/>
        <w:rPr>
          <w:sz w:val="20"/>
        </w:rPr>
      </w:pPr>
      <w:r>
        <w:rPr>
          <w:color w:val="231F20"/>
          <w:spacing w:val="-3"/>
          <w:sz w:val="20"/>
        </w:rPr>
        <w:t>referring</w:t>
      </w:r>
      <w:r>
        <w:rPr>
          <w:color w:val="231F20"/>
          <w:spacing w:val="-6"/>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6"/>
          <w:sz w:val="20"/>
        </w:rPr>
        <w:t xml:space="preserve"> </w:t>
      </w:r>
      <w:r>
        <w:rPr>
          <w:color w:val="231F20"/>
          <w:sz w:val="20"/>
        </w:rPr>
        <w:t>of</w:t>
      </w:r>
      <w:r>
        <w:rPr>
          <w:color w:val="231F20"/>
          <w:spacing w:val="-6"/>
          <w:sz w:val="20"/>
        </w:rPr>
        <w:t xml:space="preserve"> </w:t>
      </w:r>
      <w:r>
        <w:rPr>
          <w:color w:val="231F20"/>
          <w:sz w:val="20"/>
        </w:rPr>
        <w:t>stalking</w:t>
      </w:r>
      <w:r>
        <w:rPr>
          <w:color w:val="231F20"/>
          <w:spacing w:val="-6"/>
          <w:sz w:val="20"/>
        </w:rPr>
        <w:t xml:space="preserve"> </w:t>
      </w:r>
      <w:r>
        <w:rPr>
          <w:color w:val="231F20"/>
          <w:sz w:val="20"/>
        </w:rPr>
        <w:t>to</w:t>
      </w:r>
      <w:r>
        <w:rPr>
          <w:color w:val="231F20"/>
          <w:spacing w:val="-6"/>
          <w:sz w:val="20"/>
        </w:rPr>
        <w:t xml:space="preserve"> </w:t>
      </w:r>
      <w:r>
        <w:rPr>
          <w:color w:val="231F20"/>
          <w:sz w:val="20"/>
        </w:rPr>
        <w:t>external</w:t>
      </w:r>
      <w:r>
        <w:rPr>
          <w:color w:val="231F20"/>
          <w:spacing w:val="-6"/>
          <w:sz w:val="20"/>
        </w:rPr>
        <w:t xml:space="preserve"> </w:t>
      </w:r>
      <w:r>
        <w:rPr>
          <w:color w:val="231F20"/>
          <w:sz w:val="20"/>
        </w:rPr>
        <w:t>services,</w:t>
      </w:r>
      <w:r>
        <w:rPr>
          <w:color w:val="231F20"/>
          <w:spacing w:val="-6"/>
          <w:sz w:val="20"/>
        </w:rPr>
        <w:t xml:space="preserve"> </w:t>
      </w:r>
      <w:r>
        <w:rPr>
          <w:color w:val="231F20"/>
          <w:sz w:val="20"/>
        </w:rPr>
        <w:t>including</w:t>
      </w:r>
      <w:r>
        <w:rPr>
          <w:color w:val="231F20"/>
          <w:spacing w:val="-6"/>
          <w:sz w:val="20"/>
        </w:rPr>
        <w:t xml:space="preserve"> </w:t>
      </w:r>
      <w:r>
        <w:rPr>
          <w:color w:val="231F20"/>
          <w:sz w:val="20"/>
        </w:rPr>
        <w:t>victim</w:t>
      </w:r>
      <w:r>
        <w:rPr>
          <w:color w:val="231F20"/>
          <w:spacing w:val="-6"/>
          <w:sz w:val="20"/>
        </w:rPr>
        <w:t xml:space="preserve"> </w:t>
      </w:r>
      <w:r>
        <w:rPr>
          <w:color w:val="231F20"/>
          <w:sz w:val="20"/>
        </w:rPr>
        <w:t>support</w:t>
      </w:r>
    </w:p>
    <w:p w14:paraId="69A23E6F" w14:textId="77777777" w:rsidR="00894070" w:rsidRDefault="009B7AFD">
      <w:pPr>
        <w:pStyle w:val="ListParagraph"/>
        <w:numPr>
          <w:ilvl w:val="2"/>
          <w:numId w:val="161"/>
        </w:numPr>
        <w:tabs>
          <w:tab w:val="left" w:pos="2141"/>
          <w:tab w:val="left" w:pos="2142"/>
        </w:tabs>
        <w:spacing w:before="48"/>
        <w:ind w:hanging="340"/>
        <w:rPr>
          <w:sz w:val="11"/>
        </w:rPr>
      </w:pPr>
      <w:r>
        <w:rPr>
          <w:color w:val="231F20"/>
          <w:sz w:val="20"/>
        </w:rPr>
        <w:t xml:space="preserve">using ‘The Whole Story’ </w:t>
      </w:r>
      <w:r>
        <w:rPr>
          <w:color w:val="231F20"/>
          <w:spacing w:val="-3"/>
          <w:sz w:val="20"/>
        </w:rPr>
        <w:t xml:space="preserve">investigative framework for </w:t>
      </w:r>
      <w:r>
        <w:rPr>
          <w:color w:val="231F20"/>
          <w:sz w:val="20"/>
        </w:rPr>
        <w:t>stalking</w:t>
      </w:r>
      <w:r>
        <w:rPr>
          <w:color w:val="231F20"/>
          <w:spacing w:val="-25"/>
          <w:sz w:val="20"/>
        </w:rPr>
        <w:t xml:space="preserve"> </w:t>
      </w:r>
      <w:r>
        <w:rPr>
          <w:color w:val="231F20"/>
          <w:sz w:val="20"/>
        </w:rPr>
        <w:t>reports.</w:t>
      </w:r>
      <w:r>
        <w:rPr>
          <w:color w:val="231F20"/>
          <w:position w:val="7"/>
          <w:sz w:val="11"/>
        </w:rPr>
        <w:t>172</w:t>
      </w:r>
    </w:p>
    <w:p w14:paraId="10420850" w14:textId="77777777" w:rsidR="00894070" w:rsidRDefault="009B7AFD">
      <w:pPr>
        <w:pStyle w:val="ListParagraph"/>
        <w:numPr>
          <w:ilvl w:val="1"/>
          <w:numId w:val="161"/>
        </w:numPr>
        <w:tabs>
          <w:tab w:val="left" w:pos="1801"/>
          <w:tab w:val="left" w:pos="1802"/>
        </w:tabs>
        <w:spacing w:before="79" w:line="206" w:lineRule="auto"/>
        <w:ind w:right="1676"/>
        <w:rPr>
          <w:sz w:val="20"/>
        </w:rPr>
      </w:pPr>
      <w:r>
        <w:rPr>
          <w:color w:val="231F20"/>
          <w:sz w:val="20"/>
        </w:rPr>
        <w:t xml:space="preserve">These recommendations should also </w:t>
      </w:r>
      <w:r>
        <w:rPr>
          <w:color w:val="231F20"/>
          <w:spacing w:val="-3"/>
          <w:sz w:val="20"/>
        </w:rPr>
        <w:t xml:space="preserve">apply </w:t>
      </w:r>
      <w:r>
        <w:rPr>
          <w:color w:val="231F20"/>
          <w:sz w:val="20"/>
        </w:rPr>
        <w:t xml:space="preserve">to </w:t>
      </w:r>
      <w:r>
        <w:rPr>
          <w:color w:val="231F20"/>
          <w:spacing w:val="-3"/>
          <w:sz w:val="20"/>
        </w:rPr>
        <w:t xml:space="preserve">improving </w:t>
      </w:r>
      <w:r>
        <w:rPr>
          <w:color w:val="231F20"/>
          <w:sz w:val="20"/>
        </w:rPr>
        <w:t>police responses to cyberstalking</w:t>
      </w:r>
      <w:r>
        <w:rPr>
          <w:color w:val="231F20"/>
          <w:spacing w:val="-12"/>
          <w:sz w:val="20"/>
        </w:rPr>
        <w:t xml:space="preserve"> </w:t>
      </w:r>
      <w:r>
        <w:rPr>
          <w:color w:val="231F20"/>
          <w:sz w:val="20"/>
        </w:rPr>
        <w:t>when</w:t>
      </w:r>
      <w:r>
        <w:rPr>
          <w:color w:val="231F20"/>
          <w:spacing w:val="-11"/>
          <w:sz w:val="20"/>
        </w:rPr>
        <w:t xml:space="preserve"> </w:t>
      </w:r>
      <w:r>
        <w:rPr>
          <w:color w:val="231F20"/>
          <w:sz w:val="20"/>
        </w:rPr>
        <w:t>victim</w:t>
      </w:r>
      <w:r>
        <w:rPr>
          <w:color w:val="231F20"/>
          <w:spacing w:val="-11"/>
          <w:sz w:val="20"/>
        </w:rPr>
        <w:t xml:space="preserve"> </w:t>
      </w:r>
      <w:r>
        <w:rPr>
          <w:color w:val="231F20"/>
          <w:sz w:val="20"/>
        </w:rPr>
        <w:t>survivors</w:t>
      </w:r>
      <w:r>
        <w:rPr>
          <w:color w:val="231F20"/>
          <w:spacing w:val="-11"/>
          <w:sz w:val="20"/>
        </w:rPr>
        <w:t xml:space="preserve"> </w:t>
      </w:r>
      <w:r>
        <w:rPr>
          <w:color w:val="231F20"/>
          <w:sz w:val="20"/>
        </w:rPr>
        <w:t>make</w:t>
      </w:r>
      <w:r>
        <w:rPr>
          <w:color w:val="231F20"/>
          <w:spacing w:val="-11"/>
          <w:sz w:val="20"/>
        </w:rPr>
        <w:t xml:space="preserve"> </w:t>
      </w:r>
      <w:r>
        <w:rPr>
          <w:color w:val="231F20"/>
          <w:sz w:val="20"/>
        </w:rPr>
        <w:t>reports.</w:t>
      </w:r>
      <w:r>
        <w:rPr>
          <w:color w:val="231F20"/>
          <w:spacing w:val="-11"/>
          <w:sz w:val="20"/>
        </w:rPr>
        <w:t xml:space="preserve"> </w:t>
      </w:r>
      <w:r>
        <w:rPr>
          <w:color w:val="231F20"/>
          <w:sz w:val="20"/>
        </w:rPr>
        <w:t>Further</w:t>
      </w:r>
      <w:r>
        <w:rPr>
          <w:color w:val="231F20"/>
          <w:spacing w:val="-11"/>
          <w:sz w:val="20"/>
        </w:rPr>
        <w:t xml:space="preserve"> </w:t>
      </w:r>
      <w:r>
        <w:rPr>
          <w:color w:val="231F20"/>
          <w:sz w:val="20"/>
        </w:rPr>
        <w:t>training</w:t>
      </w:r>
      <w:r>
        <w:rPr>
          <w:color w:val="231F20"/>
          <w:spacing w:val="-11"/>
          <w:sz w:val="20"/>
        </w:rPr>
        <w:t xml:space="preserve"> </w:t>
      </w:r>
      <w:r>
        <w:rPr>
          <w:color w:val="231F20"/>
          <w:spacing w:val="-3"/>
          <w:sz w:val="20"/>
        </w:rPr>
        <w:t>would</w:t>
      </w:r>
      <w:r>
        <w:rPr>
          <w:color w:val="231F20"/>
          <w:spacing w:val="-11"/>
          <w:sz w:val="20"/>
        </w:rPr>
        <w:t xml:space="preserve"> </w:t>
      </w:r>
      <w:r>
        <w:rPr>
          <w:color w:val="231F20"/>
          <w:sz w:val="20"/>
        </w:rPr>
        <w:t>help</w:t>
      </w:r>
      <w:r>
        <w:rPr>
          <w:color w:val="231F20"/>
          <w:spacing w:val="-11"/>
          <w:sz w:val="20"/>
        </w:rPr>
        <w:t xml:space="preserve"> </w:t>
      </w:r>
      <w:r>
        <w:rPr>
          <w:color w:val="231F20"/>
          <w:sz w:val="20"/>
        </w:rPr>
        <w:t>the police:</w:t>
      </w:r>
    </w:p>
    <w:p w14:paraId="50458C53" w14:textId="77777777" w:rsidR="00894070" w:rsidRDefault="009B7AFD">
      <w:pPr>
        <w:pStyle w:val="ListParagraph"/>
        <w:numPr>
          <w:ilvl w:val="2"/>
          <w:numId w:val="161"/>
        </w:numPr>
        <w:tabs>
          <w:tab w:val="left" w:pos="2141"/>
          <w:tab w:val="left" w:pos="2142"/>
        </w:tabs>
        <w:spacing w:before="92"/>
        <w:ind w:hanging="340"/>
        <w:rPr>
          <w:sz w:val="20"/>
        </w:rPr>
      </w:pPr>
      <w:r>
        <w:rPr>
          <w:color w:val="231F20"/>
          <w:spacing w:val="-3"/>
          <w:sz w:val="20"/>
        </w:rPr>
        <w:t xml:space="preserve">avoid inadequate </w:t>
      </w:r>
      <w:r>
        <w:rPr>
          <w:color w:val="231F20"/>
          <w:sz w:val="20"/>
        </w:rPr>
        <w:t>responses, such as telling victim survivors to</w:t>
      </w:r>
      <w:r>
        <w:rPr>
          <w:color w:val="231F20"/>
          <w:spacing w:val="-37"/>
          <w:sz w:val="20"/>
        </w:rPr>
        <w:t xml:space="preserve"> </w:t>
      </w:r>
      <w:r>
        <w:rPr>
          <w:color w:val="231F20"/>
          <w:spacing w:val="-3"/>
          <w:sz w:val="20"/>
        </w:rPr>
        <w:t>‘unplug’</w:t>
      </w:r>
    </w:p>
    <w:p w14:paraId="17252CE3" w14:textId="77777777" w:rsidR="00894070" w:rsidRDefault="009B7AFD">
      <w:pPr>
        <w:pStyle w:val="ListParagraph"/>
        <w:numPr>
          <w:ilvl w:val="2"/>
          <w:numId w:val="161"/>
        </w:numPr>
        <w:tabs>
          <w:tab w:val="left" w:pos="2141"/>
          <w:tab w:val="left" w:pos="2142"/>
        </w:tabs>
        <w:spacing w:before="80" w:line="206" w:lineRule="auto"/>
        <w:ind w:right="1284" w:hanging="340"/>
        <w:rPr>
          <w:sz w:val="20"/>
        </w:rPr>
      </w:pPr>
      <w:r>
        <w:rPr>
          <w:color w:val="231F20"/>
          <w:sz w:val="20"/>
        </w:rPr>
        <w:t>make</w:t>
      </w:r>
      <w:r>
        <w:rPr>
          <w:color w:val="231F20"/>
          <w:spacing w:val="-6"/>
          <w:sz w:val="20"/>
        </w:rPr>
        <w:t xml:space="preserve"> </w:t>
      </w:r>
      <w:r>
        <w:rPr>
          <w:color w:val="231F20"/>
          <w:sz w:val="20"/>
        </w:rPr>
        <w:t>decisions</w:t>
      </w:r>
      <w:r>
        <w:rPr>
          <w:color w:val="231F20"/>
          <w:spacing w:val="-5"/>
          <w:sz w:val="20"/>
        </w:rPr>
        <w:t xml:space="preserve"> </w:t>
      </w:r>
      <w:r>
        <w:rPr>
          <w:color w:val="231F20"/>
          <w:sz w:val="20"/>
        </w:rPr>
        <w:t>about</w:t>
      </w:r>
      <w:r>
        <w:rPr>
          <w:color w:val="231F20"/>
          <w:spacing w:val="-5"/>
          <w:sz w:val="20"/>
        </w:rPr>
        <w:t xml:space="preserve"> </w:t>
      </w:r>
      <w:r>
        <w:rPr>
          <w:color w:val="231F20"/>
          <w:spacing w:val="-3"/>
          <w:sz w:val="20"/>
        </w:rPr>
        <w:t>how</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progress</w:t>
      </w:r>
      <w:r>
        <w:rPr>
          <w:color w:val="231F20"/>
          <w:spacing w:val="-5"/>
          <w:sz w:val="20"/>
        </w:rPr>
        <w:t xml:space="preserve"> </w:t>
      </w:r>
      <w:r>
        <w:rPr>
          <w:color w:val="231F20"/>
          <w:sz w:val="20"/>
        </w:rPr>
        <w:t>a</w:t>
      </w:r>
      <w:r>
        <w:rPr>
          <w:color w:val="231F20"/>
          <w:spacing w:val="-6"/>
          <w:sz w:val="20"/>
        </w:rPr>
        <w:t xml:space="preserve"> </w:t>
      </w:r>
      <w:r>
        <w:rPr>
          <w:color w:val="231F20"/>
          <w:sz w:val="20"/>
        </w:rPr>
        <w:t>report,</w:t>
      </w:r>
      <w:r>
        <w:rPr>
          <w:color w:val="231F20"/>
          <w:spacing w:val="-5"/>
          <w:sz w:val="20"/>
        </w:rPr>
        <w:t xml:space="preserve"> </w:t>
      </w:r>
      <w:r>
        <w:rPr>
          <w:color w:val="231F20"/>
          <w:spacing w:val="-3"/>
          <w:sz w:val="20"/>
        </w:rPr>
        <w:t>for</w:t>
      </w:r>
      <w:r>
        <w:rPr>
          <w:color w:val="231F20"/>
          <w:spacing w:val="-5"/>
          <w:sz w:val="20"/>
        </w:rPr>
        <w:t xml:space="preserve"> </w:t>
      </w:r>
      <w:r>
        <w:rPr>
          <w:color w:val="231F20"/>
          <w:spacing w:val="-3"/>
          <w:sz w:val="20"/>
        </w:rPr>
        <w:t>example</w:t>
      </w:r>
      <w:r>
        <w:rPr>
          <w:color w:val="231F20"/>
          <w:spacing w:val="-5"/>
          <w:sz w:val="20"/>
        </w:rPr>
        <w:t xml:space="preserve"> </w:t>
      </w:r>
      <w:r>
        <w:rPr>
          <w:color w:val="231F20"/>
          <w:spacing w:val="-3"/>
          <w:sz w:val="20"/>
        </w:rPr>
        <w:t>by</w:t>
      </w:r>
      <w:r>
        <w:rPr>
          <w:color w:val="231F20"/>
          <w:spacing w:val="-5"/>
          <w:sz w:val="20"/>
        </w:rPr>
        <w:t xml:space="preserve"> </w:t>
      </w:r>
      <w:r>
        <w:rPr>
          <w:color w:val="231F20"/>
          <w:spacing w:val="-3"/>
          <w:sz w:val="20"/>
        </w:rPr>
        <w:t>referring</w:t>
      </w:r>
      <w:r>
        <w:rPr>
          <w:color w:val="231F20"/>
          <w:spacing w:val="-5"/>
          <w:sz w:val="20"/>
        </w:rPr>
        <w:t xml:space="preserve"> </w:t>
      </w:r>
      <w:r>
        <w:rPr>
          <w:color w:val="231F20"/>
          <w:sz w:val="20"/>
        </w:rPr>
        <w:t>a</w:t>
      </w:r>
      <w:r>
        <w:rPr>
          <w:color w:val="231F20"/>
          <w:spacing w:val="-6"/>
          <w:sz w:val="20"/>
        </w:rPr>
        <w:t xml:space="preserve"> </w:t>
      </w:r>
      <w:r>
        <w:rPr>
          <w:color w:val="231F20"/>
          <w:sz w:val="20"/>
        </w:rPr>
        <w:t>case</w:t>
      </w:r>
      <w:r>
        <w:rPr>
          <w:color w:val="231F20"/>
          <w:spacing w:val="-5"/>
          <w:sz w:val="20"/>
        </w:rPr>
        <w:t xml:space="preserve"> </w:t>
      </w:r>
      <w:r>
        <w:rPr>
          <w:color w:val="231F20"/>
          <w:sz w:val="20"/>
        </w:rPr>
        <w:t>on to a specialist team or victim support</w:t>
      </w:r>
      <w:r>
        <w:rPr>
          <w:color w:val="231F20"/>
          <w:spacing w:val="-32"/>
          <w:sz w:val="20"/>
        </w:rPr>
        <w:t xml:space="preserve"> </w:t>
      </w:r>
      <w:r>
        <w:rPr>
          <w:color w:val="231F20"/>
          <w:sz w:val="20"/>
        </w:rPr>
        <w:t>services</w:t>
      </w:r>
    </w:p>
    <w:p w14:paraId="0837C70D" w14:textId="77777777" w:rsidR="00894070" w:rsidRDefault="009B7AFD">
      <w:pPr>
        <w:pStyle w:val="ListParagraph"/>
        <w:numPr>
          <w:ilvl w:val="2"/>
          <w:numId w:val="161"/>
        </w:numPr>
        <w:tabs>
          <w:tab w:val="left" w:pos="2141"/>
          <w:tab w:val="left" w:pos="2142"/>
        </w:tabs>
        <w:spacing w:before="55"/>
        <w:ind w:hanging="340"/>
        <w:rPr>
          <w:sz w:val="11"/>
        </w:rPr>
      </w:pPr>
      <w:r>
        <w:rPr>
          <w:color w:val="231F20"/>
          <w:sz w:val="20"/>
        </w:rPr>
        <w:t>collect</w:t>
      </w:r>
      <w:r>
        <w:rPr>
          <w:color w:val="231F20"/>
          <w:spacing w:val="-5"/>
          <w:sz w:val="20"/>
        </w:rPr>
        <w:t xml:space="preserve"> </w:t>
      </w:r>
      <w:r>
        <w:rPr>
          <w:color w:val="231F20"/>
          <w:sz w:val="20"/>
        </w:rPr>
        <w:t>digital</w:t>
      </w:r>
      <w:r>
        <w:rPr>
          <w:color w:val="231F20"/>
          <w:spacing w:val="-5"/>
          <w:sz w:val="20"/>
        </w:rPr>
        <w:t xml:space="preserve"> </w:t>
      </w:r>
      <w:r>
        <w:rPr>
          <w:color w:val="231F20"/>
          <w:sz w:val="20"/>
        </w:rPr>
        <w:t>evidence</w:t>
      </w:r>
      <w:r>
        <w:rPr>
          <w:color w:val="231F20"/>
          <w:spacing w:val="-5"/>
          <w:sz w:val="20"/>
        </w:rPr>
        <w:t xml:space="preserve"> </w:t>
      </w:r>
      <w:r>
        <w:rPr>
          <w:color w:val="231F20"/>
          <w:sz w:val="20"/>
        </w:rPr>
        <w:t>to</w:t>
      </w:r>
      <w:r>
        <w:rPr>
          <w:color w:val="231F20"/>
          <w:spacing w:val="-5"/>
          <w:sz w:val="20"/>
        </w:rPr>
        <w:t xml:space="preserve"> </w:t>
      </w:r>
      <w:r>
        <w:rPr>
          <w:color w:val="231F20"/>
          <w:sz w:val="20"/>
        </w:rPr>
        <w:t>support</w:t>
      </w:r>
      <w:r>
        <w:rPr>
          <w:color w:val="231F20"/>
          <w:spacing w:val="-5"/>
          <w:sz w:val="20"/>
        </w:rPr>
        <w:t xml:space="preserve"> </w:t>
      </w:r>
      <w:r>
        <w:rPr>
          <w:color w:val="231F20"/>
          <w:sz w:val="20"/>
        </w:rPr>
        <w:t>a</w:t>
      </w:r>
      <w:r>
        <w:rPr>
          <w:color w:val="231F20"/>
          <w:spacing w:val="-5"/>
          <w:sz w:val="20"/>
        </w:rPr>
        <w:t xml:space="preserve"> </w:t>
      </w:r>
      <w:r>
        <w:rPr>
          <w:color w:val="231F20"/>
          <w:sz w:val="20"/>
        </w:rPr>
        <w:t>PSIO</w:t>
      </w:r>
      <w:r>
        <w:rPr>
          <w:color w:val="231F20"/>
          <w:spacing w:val="-5"/>
          <w:sz w:val="20"/>
        </w:rPr>
        <w:t xml:space="preserve"> </w:t>
      </w:r>
      <w:r>
        <w:rPr>
          <w:color w:val="231F20"/>
          <w:sz w:val="20"/>
        </w:rPr>
        <w:t>or</w:t>
      </w:r>
      <w:r>
        <w:rPr>
          <w:color w:val="231F20"/>
          <w:spacing w:val="-5"/>
          <w:sz w:val="20"/>
        </w:rPr>
        <w:t xml:space="preserve"> </w:t>
      </w:r>
      <w:r>
        <w:rPr>
          <w:color w:val="231F20"/>
          <w:sz w:val="20"/>
        </w:rPr>
        <w:t>criminal</w:t>
      </w:r>
      <w:r>
        <w:rPr>
          <w:color w:val="231F20"/>
          <w:spacing w:val="-4"/>
          <w:sz w:val="20"/>
        </w:rPr>
        <w:t xml:space="preserve"> </w:t>
      </w:r>
      <w:r>
        <w:rPr>
          <w:color w:val="231F20"/>
          <w:sz w:val="20"/>
        </w:rPr>
        <w:t>charge.</w:t>
      </w:r>
      <w:r>
        <w:rPr>
          <w:color w:val="231F20"/>
          <w:position w:val="7"/>
          <w:sz w:val="11"/>
        </w:rPr>
        <w:t>173</w:t>
      </w:r>
    </w:p>
    <w:p w14:paraId="5EDBF53E" w14:textId="77777777" w:rsidR="00894070" w:rsidRDefault="009B7AFD">
      <w:pPr>
        <w:pStyle w:val="ListParagraph"/>
        <w:numPr>
          <w:ilvl w:val="1"/>
          <w:numId w:val="161"/>
        </w:numPr>
        <w:tabs>
          <w:tab w:val="left" w:pos="1801"/>
          <w:tab w:val="left" w:pos="1802"/>
        </w:tabs>
        <w:spacing w:before="47"/>
        <w:rPr>
          <w:sz w:val="20"/>
        </w:rPr>
      </w:pPr>
      <w:r>
        <w:rPr>
          <w:color w:val="231F20"/>
          <w:spacing w:val="-4"/>
          <w:sz w:val="20"/>
        </w:rPr>
        <w:t xml:space="preserve">Training </w:t>
      </w:r>
      <w:r>
        <w:rPr>
          <w:color w:val="231F20"/>
          <w:spacing w:val="-3"/>
          <w:sz w:val="20"/>
        </w:rPr>
        <w:t xml:space="preserve">for </w:t>
      </w:r>
      <w:r>
        <w:rPr>
          <w:color w:val="231F20"/>
          <w:sz w:val="20"/>
        </w:rPr>
        <w:t>cyberstalking could</w:t>
      </w:r>
      <w:r>
        <w:rPr>
          <w:color w:val="231F20"/>
          <w:spacing w:val="-10"/>
          <w:sz w:val="20"/>
        </w:rPr>
        <w:t xml:space="preserve"> </w:t>
      </w:r>
      <w:r>
        <w:rPr>
          <w:color w:val="231F20"/>
          <w:spacing w:val="-3"/>
          <w:sz w:val="20"/>
        </w:rPr>
        <w:t>include:</w:t>
      </w:r>
    </w:p>
    <w:p w14:paraId="375C3C37" w14:textId="77777777" w:rsidR="00894070" w:rsidRDefault="009B7AFD">
      <w:pPr>
        <w:pStyle w:val="ListParagraph"/>
        <w:numPr>
          <w:ilvl w:val="2"/>
          <w:numId w:val="161"/>
        </w:numPr>
        <w:tabs>
          <w:tab w:val="left" w:pos="2141"/>
          <w:tab w:val="left" w:pos="2142"/>
        </w:tabs>
        <w:spacing w:before="83"/>
        <w:ind w:hanging="340"/>
        <w:rPr>
          <w:sz w:val="20"/>
        </w:rPr>
      </w:pPr>
      <w:r>
        <w:rPr>
          <w:color w:val="231F20"/>
          <w:spacing w:val="-3"/>
          <w:sz w:val="20"/>
        </w:rPr>
        <w:t xml:space="preserve">improving </w:t>
      </w:r>
      <w:r>
        <w:rPr>
          <w:color w:val="231F20"/>
          <w:sz w:val="20"/>
        </w:rPr>
        <w:t>officers’ technological skills and</w:t>
      </w:r>
      <w:r>
        <w:rPr>
          <w:color w:val="231F20"/>
          <w:spacing w:val="-22"/>
          <w:sz w:val="20"/>
        </w:rPr>
        <w:t xml:space="preserve"> </w:t>
      </w:r>
      <w:r>
        <w:rPr>
          <w:color w:val="231F20"/>
          <w:sz w:val="20"/>
        </w:rPr>
        <w:t>expertise</w:t>
      </w:r>
    </w:p>
    <w:p w14:paraId="687EEB03" w14:textId="77777777" w:rsidR="00894070" w:rsidRDefault="009B7AFD">
      <w:pPr>
        <w:pStyle w:val="ListParagraph"/>
        <w:numPr>
          <w:ilvl w:val="2"/>
          <w:numId w:val="161"/>
        </w:numPr>
        <w:tabs>
          <w:tab w:val="left" w:pos="2141"/>
          <w:tab w:val="left" w:pos="2142"/>
        </w:tabs>
        <w:spacing w:before="47"/>
        <w:ind w:hanging="340"/>
        <w:rPr>
          <w:sz w:val="20"/>
        </w:rPr>
      </w:pPr>
      <w:r>
        <w:rPr>
          <w:color w:val="231F20"/>
          <w:sz w:val="20"/>
        </w:rPr>
        <w:t>understanding advances in</w:t>
      </w:r>
      <w:r>
        <w:rPr>
          <w:color w:val="231F20"/>
          <w:spacing w:val="-14"/>
          <w:sz w:val="20"/>
        </w:rPr>
        <w:t xml:space="preserve"> </w:t>
      </w:r>
      <w:r>
        <w:rPr>
          <w:color w:val="231F20"/>
          <w:sz w:val="20"/>
        </w:rPr>
        <w:t>technology</w:t>
      </w:r>
    </w:p>
    <w:p w14:paraId="680AB48B" w14:textId="77777777" w:rsidR="00894070" w:rsidRDefault="009B7AFD">
      <w:pPr>
        <w:pStyle w:val="ListParagraph"/>
        <w:numPr>
          <w:ilvl w:val="2"/>
          <w:numId w:val="161"/>
        </w:numPr>
        <w:tabs>
          <w:tab w:val="left" w:pos="2141"/>
          <w:tab w:val="left" w:pos="2142"/>
        </w:tabs>
        <w:spacing w:before="48"/>
        <w:ind w:hanging="340"/>
        <w:rPr>
          <w:sz w:val="20"/>
        </w:rPr>
      </w:pPr>
      <w:r>
        <w:rPr>
          <w:color w:val="231F20"/>
          <w:sz w:val="20"/>
        </w:rPr>
        <w:t xml:space="preserve">methods and tools used </w:t>
      </w:r>
      <w:r>
        <w:rPr>
          <w:color w:val="231F20"/>
          <w:spacing w:val="-3"/>
          <w:sz w:val="20"/>
        </w:rPr>
        <w:t xml:space="preserve">by </w:t>
      </w:r>
      <w:r>
        <w:rPr>
          <w:color w:val="231F20"/>
          <w:sz w:val="20"/>
        </w:rPr>
        <w:t>people to</w:t>
      </w:r>
      <w:r>
        <w:rPr>
          <w:color w:val="231F20"/>
          <w:spacing w:val="-28"/>
          <w:sz w:val="20"/>
        </w:rPr>
        <w:t xml:space="preserve"> </w:t>
      </w:r>
      <w:r>
        <w:rPr>
          <w:color w:val="231F20"/>
          <w:sz w:val="20"/>
        </w:rPr>
        <w:t>cyberstalk</w:t>
      </w:r>
    </w:p>
    <w:p w14:paraId="7DBD2C42" w14:textId="77777777" w:rsidR="00894070" w:rsidRDefault="009B7AFD">
      <w:pPr>
        <w:pStyle w:val="ListParagraph"/>
        <w:numPr>
          <w:ilvl w:val="2"/>
          <w:numId w:val="161"/>
        </w:numPr>
        <w:tabs>
          <w:tab w:val="left" w:pos="2141"/>
          <w:tab w:val="left" w:pos="2142"/>
        </w:tabs>
        <w:spacing w:before="47"/>
        <w:ind w:hanging="340"/>
        <w:rPr>
          <w:sz w:val="11"/>
        </w:rPr>
      </w:pPr>
      <w:r>
        <w:rPr>
          <w:color w:val="231F20"/>
          <w:sz w:val="20"/>
        </w:rPr>
        <w:t>cyberstalking behaviour</w:t>
      </w:r>
      <w:r>
        <w:rPr>
          <w:color w:val="231F20"/>
          <w:spacing w:val="-9"/>
          <w:sz w:val="20"/>
        </w:rPr>
        <w:t xml:space="preserve"> </w:t>
      </w:r>
      <w:r>
        <w:rPr>
          <w:color w:val="231F20"/>
          <w:spacing w:val="-3"/>
          <w:sz w:val="20"/>
        </w:rPr>
        <w:t>patterns</w:t>
      </w:r>
      <w:r>
        <w:rPr>
          <w:color w:val="231F20"/>
          <w:spacing w:val="-3"/>
          <w:position w:val="7"/>
          <w:sz w:val="11"/>
        </w:rPr>
        <w:t>174</w:t>
      </w:r>
    </w:p>
    <w:p w14:paraId="5D57D22A" w14:textId="77777777" w:rsidR="00894070" w:rsidRDefault="009B7AFD">
      <w:pPr>
        <w:pStyle w:val="ListParagraph"/>
        <w:numPr>
          <w:ilvl w:val="2"/>
          <w:numId w:val="161"/>
        </w:numPr>
        <w:tabs>
          <w:tab w:val="left" w:pos="2141"/>
          <w:tab w:val="left" w:pos="2142"/>
        </w:tabs>
        <w:spacing w:before="80" w:line="206" w:lineRule="auto"/>
        <w:ind w:right="1353" w:hanging="340"/>
        <w:rPr>
          <w:sz w:val="11"/>
        </w:rPr>
      </w:pPr>
      <w:r>
        <w:rPr>
          <w:color w:val="231F20"/>
          <w:spacing w:val="-3"/>
          <w:sz w:val="20"/>
        </w:rPr>
        <w:t>improving</w:t>
      </w:r>
      <w:r>
        <w:rPr>
          <w:color w:val="231F20"/>
          <w:spacing w:val="-14"/>
          <w:sz w:val="20"/>
        </w:rPr>
        <w:t xml:space="preserve"> </w:t>
      </w:r>
      <w:r>
        <w:rPr>
          <w:color w:val="231F20"/>
          <w:sz w:val="20"/>
        </w:rPr>
        <w:t>officers’</w:t>
      </w:r>
      <w:r>
        <w:rPr>
          <w:color w:val="231F20"/>
          <w:spacing w:val="-13"/>
          <w:sz w:val="20"/>
        </w:rPr>
        <w:t xml:space="preserve"> </w:t>
      </w:r>
      <w:r>
        <w:rPr>
          <w:color w:val="231F20"/>
          <w:sz w:val="20"/>
        </w:rPr>
        <w:t>understanding</w:t>
      </w:r>
      <w:r>
        <w:rPr>
          <w:color w:val="231F20"/>
          <w:spacing w:val="-14"/>
          <w:sz w:val="20"/>
        </w:rPr>
        <w:t xml:space="preserve"> </w:t>
      </w:r>
      <w:r>
        <w:rPr>
          <w:color w:val="231F20"/>
          <w:sz w:val="20"/>
        </w:rPr>
        <w:t>of</w:t>
      </w:r>
      <w:r>
        <w:rPr>
          <w:color w:val="231F20"/>
          <w:spacing w:val="-13"/>
          <w:sz w:val="20"/>
        </w:rPr>
        <w:t xml:space="preserve"> </w:t>
      </w:r>
      <w:r>
        <w:rPr>
          <w:color w:val="231F20"/>
          <w:spacing w:val="-3"/>
          <w:sz w:val="20"/>
        </w:rPr>
        <w:t>how</w:t>
      </w:r>
      <w:r>
        <w:rPr>
          <w:color w:val="231F20"/>
          <w:spacing w:val="-14"/>
          <w:sz w:val="20"/>
        </w:rPr>
        <w:t xml:space="preserve"> </w:t>
      </w:r>
      <w:r>
        <w:rPr>
          <w:color w:val="231F20"/>
          <w:sz w:val="20"/>
        </w:rPr>
        <w:t>a</w:t>
      </w:r>
      <w:r>
        <w:rPr>
          <w:color w:val="231F20"/>
          <w:spacing w:val="-13"/>
          <w:sz w:val="20"/>
        </w:rPr>
        <w:t xml:space="preserve"> </w:t>
      </w:r>
      <w:r>
        <w:rPr>
          <w:color w:val="231F20"/>
          <w:sz w:val="20"/>
        </w:rPr>
        <w:t>‘course</w:t>
      </w:r>
      <w:r>
        <w:rPr>
          <w:color w:val="231F20"/>
          <w:spacing w:val="-14"/>
          <w:sz w:val="20"/>
        </w:rPr>
        <w:t xml:space="preserve"> </w:t>
      </w:r>
      <w:r>
        <w:rPr>
          <w:color w:val="231F20"/>
          <w:sz w:val="20"/>
        </w:rPr>
        <w:t>of</w:t>
      </w:r>
      <w:r>
        <w:rPr>
          <w:color w:val="231F20"/>
          <w:spacing w:val="-13"/>
          <w:sz w:val="20"/>
        </w:rPr>
        <w:t xml:space="preserve"> </w:t>
      </w:r>
      <w:r>
        <w:rPr>
          <w:color w:val="231F20"/>
          <w:sz w:val="20"/>
        </w:rPr>
        <w:t>conduct’</w:t>
      </w:r>
      <w:r>
        <w:rPr>
          <w:color w:val="231F20"/>
          <w:spacing w:val="-13"/>
          <w:sz w:val="20"/>
        </w:rPr>
        <w:t xml:space="preserve"> </w:t>
      </w:r>
      <w:r>
        <w:rPr>
          <w:color w:val="231F20"/>
          <w:sz w:val="20"/>
        </w:rPr>
        <w:t>translates</w:t>
      </w:r>
      <w:r>
        <w:rPr>
          <w:color w:val="231F20"/>
          <w:spacing w:val="-14"/>
          <w:sz w:val="20"/>
        </w:rPr>
        <w:t xml:space="preserve"> </w:t>
      </w:r>
      <w:r>
        <w:rPr>
          <w:color w:val="231F20"/>
          <w:sz w:val="20"/>
        </w:rPr>
        <w:t>to</w:t>
      </w:r>
      <w:r>
        <w:rPr>
          <w:color w:val="231F20"/>
          <w:spacing w:val="-13"/>
          <w:sz w:val="20"/>
        </w:rPr>
        <w:t xml:space="preserve"> </w:t>
      </w:r>
      <w:r>
        <w:rPr>
          <w:color w:val="231F20"/>
          <w:sz w:val="20"/>
        </w:rPr>
        <w:t xml:space="preserve">online </w:t>
      </w:r>
      <w:r>
        <w:rPr>
          <w:color w:val="231F20"/>
          <w:spacing w:val="-3"/>
          <w:sz w:val="20"/>
        </w:rPr>
        <w:t>behaviour.</w:t>
      </w:r>
      <w:r>
        <w:rPr>
          <w:color w:val="231F20"/>
          <w:spacing w:val="-3"/>
          <w:position w:val="7"/>
          <w:sz w:val="11"/>
        </w:rPr>
        <w:t>175</w:t>
      </w:r>
    </w:p>
    <w:p w14:paraId="0D268E92" w14:textId="77777777" w:rsidR="00894070" w:rsidRDefault="00894070">
      <w:pPr>
        <w:pStyle w:val="BodyText"/>
      </w:pPr>
    </w:p>
    <w:p w14:paraId="1B382D71" w14:textId="77777777" w:rsidR="00894070" w:rsidRDefault="009F6793">
      <w:pPr>
        <w:pStyle w:val="BodyText"/>
        <w:spacing w:before="3"/>
        <w:rPr>
          <w:sz w:val="18"/>
        </w:rPr>
      </w:pPr>
      <w:r>
        <w:pict w14:anchorId="1286FB41">
          <v:line id="_x0000_s1544" style="position:absolute;z-index:251514880;mso-wrap-distance-left:0;mso-wrap-distance-right:0;mso-position-horizontal-relative:page" from="79.35pt,15.1pt" to="515.9pt,15.1pt" strokecolor="#f8cabc" strokeweight="1pt">
            <w10:wrap type="topAndBottom" anchorx="page"/>
          </v:line>
        </w:pict>
      </w:r>
    </w:p>
    <w:p w14:paraId="5533F695" w14:textId="77777777" w:rsidR="00894070" w:rsidRDefault="009B7AFD">
      <w:pPr>
        <w:pStyle w:val="ListParagraph"/>
        <w:numPr>
          <w:ilvl w:val="0"/>
          <w:numId w:val="140"/>
        </w:numPr>
        <w:tabs>
          <w:tab w:val="left" w:pos="1800"/>
          <w:tab w:val="left" w:pos="1802"/>
        </w:tabs>
        <w:spacing w:before="91" w:line="170" w:lineRule="exact"/>
        <w:rPr>
          <w:sz w:val="13"/>
        </w:rPr>
      </w:pPr>
      <w:r>
        <w:rPr>
          <w:color w:val="231F20"/>
          <w:sz w:val="13"/>
        </w:rPr>
        <w:t xml:space="preserve">See, eg, </w:t>
      </w:r>
      <w:r>
        <w:rPr>
          <w:color w:val="231F20"/>
          <w:spacing w:val="2"/>
          <w:sz w:val="13"/>
        </w:rPr>
        <w:t xml:space="preserve">Submission </w:t>
      </w:r>
      <w:r>
        <w:rPr>
          <w:color w:val="231F20"/>
          <w:sz w:val="13"/>
        </w:rPr>
        <w:t>32 (Centre for Forensic Behavioural</w:t>
      </w:r>
      <w:r>
        <w:rPr>
          <w:color w:val="231F20"/>
          <w:spacing w:val="1"/>
          <w:sz w:val="13"/>
        </w:rPr>
        <w:t xml:space="preserve"> </w:t>
      </w:r>
      <w:r>
        <w:rPr>
          <w:color w:val="231F20"/>
          <w:sz w:val="13"/>
        </w:rPr>
        <w:t>Science).</w:t>
      </w:r>
    </w:p>
    <w:p w14:paraId="45878440" w14:textId="77777777" w:rsidR="00894070" w:rsidRDefault="009B7AFD">
      <w:pPr>
        <w:pStyle w:val="ListParagraph"/>
        <w:numPr>
          <w:ilvl w:val="0"/>
          <w:numId w:val="140"/>
        </w:numPr>
        <w:tabs>
          <w:tab w:val="left" w:pos="1801"/>
          <w:tab w:val="left" w:pos="1802"/>
        </w:tabs>
        <w:spacing w:before="6"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7AE96815" w14:textId="77777777" w:rsidR="00894070" w:rsidRDefault="009B7AFD">
      <w:pPr>
        <w:pStyle w:val="ListParagraph"/>
        <w:numPr>
          <w:ilvl w:val="0"/>
          <w:numId w:val="140"/>
        </w:numPr>
        <w:tabs>
          <w:tab w:val="left" w:pos="1801"/>
          <w:tab w:val="left" w:pos="1802"/>
        </w:tabs>
        <w:spacing w:line="153" w:lineRule="exact"/>
        <w:rPr>
          <w:sz w:val="13"/>
        </w:rPr>
      </w:pPr>
      <w:r>
        <w:rPr>
          <w:color w:val="231F20"/>
          <w:spacing w:val="2"/>
          <w:sz w:val="13"/>
        </w:rPr>
        <w:t xml:space="preserve">Submission </w:t>
      </w:r>
      <w:r>
        <w:rPr>
          <w:color w:val="231F20"/>
          <w:sz w:val="13"/>
        </w:rPr>
        <w:t>32 (Centre for Forensic Behavioural Science).</w:t>
      </w:r>
    </w:p>
    <w:p w14:paraId="674AEFDA" w14:textId="77777777" w:rsidR="00894070" w:rsidRDefault="009B7AFD">
      <w:pPr>
        <w:pStyle w:val="ListParagraph"/>
        <w:numPr>
          <w:ilvl w:val="0"/>
          <w:numId w:val="140"/>
        </w:numPr>
        <w:tabs>
          <w:tab w:val="left" w:pos="1801"/>
          <w:tab w:val="left" w:pos="1802"/>
        </w:tabs>
        <w:spacing w:before="6" w:line="213" w:lineRule="auto"/>
        <w:ind w:right="1414"/>
        <w:rPr>
          <w:sz w:val="13"/>
        </w:rPr>
      </w:pPr>
      <w:r>
        <w:rPr>
          <w:color w:val="231F20"/>
          <w:spacing w:val="2"/>
          <w:sz w:val="13"/>
        </w:rPr>
        <w:t xml:space="preserve">Submissions </w:t>
      </w:r>
      <w:r>
        <w:rPr>
          <w:color w:val="231F20"/>
          <w:sz w:val="13"/>
        </w:rPr>
        <w:t xml:space="preserve">49 </w:t>
      </w:r>
      <w:r>
        <w:rPr>
          <w:color w:val="231F20"/>
          <w:spacing w:val="2"/>
          <w:sz w:val="13"/>
        </w:rPr>
        <w:t xml:space="preserve">(Victims </w:t>
      </w:r>
      <w:r>
        <w:rPr>
          <w:color w:val="231F20"/>
          <w:sz w:val="13"/>
        </w:rPr>
        <w:t xml:space="preserve">of Crime Commissioner), 76 </w:t>
      </w:r>
      <w:r>
        <w:rPr>
          <w:color w:val="231F20"/>
          <w:spacing w:val="2"/>
          <w:sz w:val="13"/>
        </w:rPr>
        <w:t xml:space="preserve">(Australian Association </w:t>
      </w:r>
      <w:r>
        <w:rPr>
          <w:color w:val="231F20"/>
          <w:sz w:val="13"/>
        </w:rPr>
        <w:t>of Social Workers), 97 (Federation of Community Legal Centres).</w:t>
      </w:r>
    </w:p>
    <w:p w14:paraId="40E072B6" w14:textId="77777777" w:rsidR="00894070" w:rsidRDefault="009B7AFD">
      <w:pPr>
        <w:pStyle w:val="ListParagraph"/>
        <w:numPr>
          <w:ilvl w:val="0"/>
          <w:numId w:val="140"/>
        </w:numPr>
        <w:tabs>
          <w:tab w:val="left" w:pos="1800"/>
          <w:tab w:val="left" w:pos="1802"/>
        </w:tabs>
        <w:spacing w:line="153" w:lineRule="exac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6"/>
          <w:sz w:val="13"/>
        </w:rPr>
        <w:t xml:space="preserve"> </w:t>
      </w:r>
      <w:r>
        <w:rPr>
          <w:color w:val="231F20"/>
          <w:sz w:val="13"/>
        </w:rPr>
        <w:t>Centres).</w:t>
      </w:r>
    </w:p>
    <w:p w14:paraId="7D9D74E6" w14:textId="77777777" w:rsidR="00894070" w:rsidRDefault="009B7AFD">
      <w:pPr>
        <w:pStyle w:val="ListParagraph"/>
        <w:numPr>
          <w:ilvl w:val="0"/>
          <w:numId w:val="140"/>
        </w:numPr>
        <w:tabs>
          <w:tab w:val="left" w:pos="1800"/>
          <w:tab w:val="left" w:pos="1802"/>
        </w:tabs>
        <w:spacing w:before="7" w:line="213" w:lineRule="auto"/>
        <w:ind w:right="1427"/>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 xml:space="preserve">2021). The Whole Story approach is a way to improve the identification of </w:t>
      </w:r>
      <w:r>
        <w:rPr>
          <w:color w:val="231F20"/>
          <w:spacing w:val="2"/>
          <w:sz w:val="13"/>
        </w:rPr>
        <w:t xml:space="preserve">stalking </w:t>
      </w:r>
      <w:r>
        <w:rPr>
          <w:color w:val="231F20"/>
          <w:sz w:val="13"/>
        </w:rPr>
        <w:t xml:space="preserve">behaviour and enhance the ability of </w:t>
      </w:r>
      <w:r>
        <w:rPr>
          <w:color w:val="231F20"/>
          <w:spacing w:val="2"/>
          <w:sz w:val="13"/>
        </w:rPr>
        <w:t xml:space="preserve">police </w:t>
      </w:r>
      <w:r>
        <w:rPr>
          <w:color w:val="231F20"/>
          <w:sz w:val="13"/>
        </w:rPr>
        <w:t>to respond appropriately. It provides a more complete</w:t>
      </w:r>
      <w:r>
        <w:rPr>
          <w:color w:val="231F20"/>
          <w:spacing w:val="6"/>
          <w:sz w:val="13"/>
        </w:rPr>
        <w:t xml:space="preserve"> </w:t>
      </w:r>
      <w:r>
        <w:rPr>
          <w:color w:val="231F20"/>
          <w:sz w:val="13"/>
        </w:rPr>
        <w:t>picture</w:t>
      </w:r>
      <w:r>
        <w:rPr>
          <w:color w:val="231F20"/>
          <w:spacing w:val="7"/>
          <w:sz w:val="13"/>
        </w:rPr>
        <w:t xml:space="preserve"> </w:t>
      </w:r>
      <w:r>
        <w:rPr>
          <w:color w:val="231F20"/>
          <w:sz w:val="13"/>
        </w:rPr>
        <w:t>of</w:t>
      </w:r>
      <w:r>
        <w:rPr>
          <w:color w:val="231F20"/>
          <w:spacing w:val="6"/>
          <w:sz w:val="13"/>
        </w:rPr>
        <w:t xml:space="preserve"> </w:t>
      </w:r>
      <w:r>
        <w:rPr>
          <w:color w:val="231F20"/>
          <w:sz w:val="13"/>
        </w:rPr>
        <w:t>any</w:t>
      </w:r>
      <w:r>
        <w:rPr>
          <w:color w:val="231F20"/>
          <w:spacing w:val="7"/>
          <w:sz w:val="13"/>
        </w:rPr>
        <w:t xml:space="preserve"> </w:t>
      </w:r>
      <w:r>
        <w:rPr>
          <w:color w:val="231F20"/>
          <w:sz w:val="13"/>
        </w:rPr>
        <w:t>identifiable</w:t>
      </w:r>
      <w:r>
        <w:rPr>
          <w:color w:val="231F20"/>
          <w:spacing w:val="6"/>
          <w:sz w:val="13"/>
        </w:rPr>
        <w:t xml:space="preserve"> </w:t>
      </w:r>
      <w:r>
        <w:rPr>
          <w:color w:val="231F20"/>
          <w:sz w:val="13"/>
        </w:rPr>
        <w:t>course</w:t>
      </w:r>
      <w:r>
        <w:rPr>
          <w:color w:val="231F20"/>
          <w:spacing w:val="7"/>
          <w:sz w:val="13"/>
        </w:rPr>
        <w:t xml:space="preserve"> </w:t>
      </w:r>
      <w:r>
        <w:rPr>
          <w:color w:val="231F20"/>
          <w:sz w:val="13"/>
        </w:rPr>
        <w:t>of</w:t>
      </w:r>
      <w:r>
        <w:rPr>
          <w:color w:val="231F20"/>
          <w:spacing w:val="6"/>
          <w:sz w:val="13"/>
        </w:rPr>
        <w:t xml:space="preserve"> </w:t>
      </w:r>
      <w:r>
        <w:rPr>
          <w:color w:val="231F20"/>
          <w:sz w:val="13"/>
        </w:rPr>
        <w:t>conduct,</w:t>
      </w:r>
      <w:r>
        <w:rPr>
          <w:color w:val="231F20"/>
          <w:spacing w:val="7"/>
          <w:sz w:val="13"/>
        </w:rPr>
        <w:t xml:space="preserve"> </w:t>
      </w:r>
      <w:r>
        <w:rPr>
          <w:color w:val="231F20"/>
          <w:sz w:val="13"/>
        </w:rPr>
        <w:t>allowing</w:t>
      </w:r>
      <w:r>
        <w:rPr>
          <w:color w:val="231F20"/>
          <w:spacing w:val="6"/>
          <w:sz w:val="13"/>
        </w:rPr>
        <w:t xml:space="preserve"> </w:t>
      </w:r>
      <w:r>
        <w:rPr>
          <w:color w:val="231F20"/>
          <w:sz w:val="13"/>
        </w:rPr>
        <w:t>more</w:t>
      </w:r>
      <w:r>
        <w:rPr>
          <w:color w:val="231F20"/>
          <w:spacing w:val="7"/>
          <w:sz w:val="13"/>
        </w:rPr>
        <w:t xml:space="preserve"> </w:t>
      </w:r>
      <w:r>
        <w:rPr>
          <w:color w:val="231F20"/>
          <w:sz w:val="13"/>
        </w:rPr>
        <w:t>informed</w:t>
      </w:r>
      <w:r>
        <w:rPr>
          <w:color w:val="231F20"/>
          <w:spacing w:val="6"/>
          <w:sz w:val="13"/>
        </w:rPr>
        <w:t xml:space="preserve"> </w:t>
      </w:r>
      <w:r>
        <w:rPr>
          <w:color w:val="231F20"/>
          <w:sz w:val="13"/>
        </w:rPr>
        <w:t>decisions</w:t>
      </w:r>
      <w:r>
        <w:rPr>
          <w:color w:val="231F20"/>
          <w:spacing w:val="7"/>
          <w:sz w:val="13"/>
        </w:rPr>
        <w:t xml:space="preserve"> </w:t>
      </w:r>
      <w:r>
        <w:rPr>
          <w:color w:val="231F20"/>
          <w:sz w:val="13"/>
        </w:rPr>
        <w:t>to</w:t>
      </w:r>
      <w:r>
        <w:rPr>
          <w:color w:val="231F20"/>
          <w:spacing w:val="6"/>
          <w:sz w:val="13"/>
        </w:rPr>
        <w:t xml:space="preserve"> </w:t>
      </w:r>
      <w:r>
        <w:rPr>
          <w:color w:val="231F20"/>
          <w:sz w:val="13"/>
        </w:rPr>
        <w:t>be</w:t>
      </w:r>
      <w:r>
        <w:rPr>
          <w:color w:val="231F20"/>
          <w:spacing w:val="7"/>
          <w:sz w:val="13"/>
        </w:rPr>
        <w:t xml:space="preserve"> </w:t>
      </w:r>
      <w:r>
        <w:rPr>
          <w:color w:val="231F20"/>
          <w:sz w:val="13"/>
        </w:rPr>
        <w:t>made</w:t>
      </w:r>
      <w:r>
        <w:rPr>
          <w:color w:val="231F20"/>
          <w:spacing w:val="6"/>
          <w:sz w:val="13"/>
        </w:rPr>
        <w:t xml:space="preserve"> </w:t>
      </w:r>
      <w:r>
        <w:rPr>
          <w:color w:val="231F20"/>
          <w:sz w:val="13"/>
        </w:rPr>
        <w:t>about</w:t>
      </w:r>
      <w:r>
        <w:rPr>
          <w:color w:val="231F20"/>
          <w:spacing w:val="7"/>
          <w:sz w:val="13"/>
        </w:rPr>
        <w:t xml:space="preserve"> </w:t>
      </w:r>
      <w:r>
        <w:rPr>
          <w:color w:val="231F20"/>
          <w:sz w:val="13"/>
        </w:rPr>
        <w:t>interventions.</w:t>
      </w:r>
    </w:p>
    <w:p w14:paraId="1C9A9205" w14:textId="77777777" w:rsidR="00894070" w:rsidRDefault="009B7AFD">
      <w:pPr>
        <w:pStyle w:val="ListParagraph"/>
        <w:numPr>
          <w:ilvl w:val="0"/>
          <w:numId w:val="140"/>
        </w:numPr>
        <w:tabs>
          <w:tab w:val="left" w:pos="1801"/>
          <w:tab w:val="left" w:pos="1802"/>
        </w:tabs>
        <w:spacing w:line="213" w:lineRule="auto"/>
        <w:ind w:right="1417"/>
        <w:rPr>
          <w:sz w:val="13"/>
        </w:rPr>
      </w:pPr>
      <w:r>
        <w:rPr>
          <w:color w:val="231F20"/>
          <w:spacing w:val="2"/>
          <w:sz w:val="13"/>
        </w:rPr>
        <w:t xml:space="preserve">Submission </w:t>
      </w:r>
      <w:r>
        <w:rPr>
          <w:color w:val="231F20"/>
          <w:sz w:val="13"/>
        </w:rPr>
        <w:t xml:space="preserve">32 (Centre for Forensic Behavioural Science); Chris Todd, Joanne </w:t>
      </w:r>
      <w:proofErr w:type="gramStart"/>
      <w:r>
        <w:rPr>
          <w:color w:val="231F20"/>
          <w:sz w:val="13"/>
        </w:rPr>
        <w:t>Bryce</w:t>
      </w:r>
      <w:proofErr w:type="gramEnd"/>
      <w:r>
        <w:rPr>
          <w:color w:val="231F20"/>
          <w:sz w:val="13"/>
        </w:rPr>
        <w:t xml:space="preserve"> and Virginia NL Franqueira, ‘Technology, </w:t>
      </w:r>
      <w:r>
        <w:rPr>
          <w:color w:val="231F20"/>
          <w:spacing w:val="2"/>
          <w:sz w:val="13"/>
        </w:rPr>
        <w:t>Cyberstalking</w:t>
      </w:r>
      <w:r>
        <w:rPr>
          <w:color w:val="231F20"/>
          <w:spacing w:val="8"/>
          <w:sz w:val="13"/>
        </w:rPr>
        <w:t xml:space="preserve"> </w:t>
      </w:r>
      <w:r>
        <w:rPr>
          <w:color w:val="231F20"/>
          <w:sz w:val="13"/>
        </w:rPr>
        <w:t>and</w:t>
      </w:r>
      <w:r>
        <w:rPr>
          <w:color w:val="231F20"/>
          <w:spacing w:val="9"/>
          <w:sz w:val="13"/>
        </w:rPr>
        <w:t xml:space="preserve"> </w:t>
      </w:r>
      <w:r>
        <w:rPr>
          <w:color w:val="231F20"/>
          <w:spacing w:val="2"/>
          <w:sz w:val="13"/>
        </w:rPr>
        <w:t>Domestic</w:t>
      </w:r>
      <w:r>
        <w:rPr>
          <w:color w:val="231F20"/>
          <w:spacing w:val="8"/>
          <w:sz w:val="13"/>
        </w:rPr>
        <w:t xml:space="preserve"> </w:t>
      </w:r>
      <w:r>
        <w:rPr>
          <w:color w:val="231F20"/>
          <w:sz w:val="13"/>
        </w:rPr>
        <w:t>Homicide:</w:t>
      </w:r>
      <w:r>
        <w:rPr>
          <w:color w:val="231F20"/>
          <w:spacing w:val="9"/>
          <w:sz w:val="13"/>
        </w:rPr>
        <w:t xml:space="preserve"> </w:t>
      </w:r>
      <w:r>
        <w:rPr>
          <w:color w:val="231F20"/>
          <w:sz w:val="13"/>
        </w:rPr>
        <w:t>Informing</w:t>
      </w:r>
      <w:r>
        <w:rPr>
          <w:color w:val="231F20"/>
          <w:spacing w:val="8"/>
          <w:sz w:val="13"/>
        </w:rPr>
        <w:t xml:space="preserve"> </w:t>
      </w:r>
      <w:r>
        <w:rPr>
          <w:color w:val="231F20"/>
          <w:sz w:val="13"/>
        </w:rPr>
        <w:t>Prevention</w:t>
      </w:r>
      <w:r>
        <w:rPr>
          <w:color w:val="231F20"/>
          <w:spacing w:val="9"/>
          <w:sz w:val="13"/>
        </w:rPr>
        <w:t xml:space="preserve"> </w:t>
      </w:r>
      <w:r>
        <w:rPr>
          <w:color w:val="231F20"/>
          <w:sz w:val="13"/>
        </w:rPr>
        <w:t>and</w:t>
      </w:r>
      <w:r>
        <w:rPr>
          <w:color w:val="231F20"/>
          <w:spacing w:val="9"/>
          <w:sz w:val="13"/>
        </w:rPr>
        <w:t xml:space="preserve"> </w:t>
      </w:r>
      <w:r>
        <w:rPr>
          <w:color w:val="231F20"/>
          <w:sz w:val="13"/>
        </w:rPr>
        <w:t>Response</w:t>
      </w:r>
      <w:r>
        <w:rPr>
          <w:color w:val="231F20"/>
          <w:spacing w:val="8"/>
          <w:sz w:val="13"/>
        </w:rPr>
        <w:t xml:space="preserve"> </w:t>
      </w:r>
      <w:r>
        <w:rPr>
          <w:color w:val="231F20"/>
          <w:sz w:val="13"/>
        </w:rPr>
        <w:t>Strategies’</w:t>
      </w:r>
      <w:r>
        <w:rPr>
          <w:color w:val="231F20"/>
          <w:spacing w:val="9"/>
          <w:sz w:val="13"/>
        </w:rPr>
        <w:t xml:space="preserve"> </w:t>
      </w:r>
      <w:r>
        <w:rPr>
          <w:color w:val="231F20"/>
          <w:sz w:val="13"/>
        </w:rPr>
        <w:t>(2021)</w:t>
      </w:r>
      <w:r>
        <w:rPr>
          <w:color w:val="231F20"/>
          <w:spacing w:val="8"/>
          <w:sz w:val="13"/>
        </w:rPr>
        <w:t xml:space="preserve"> </w:t>
      </w:r>
      <w:r>
        <w:rPr>
          <w:color w:val="231F20"/>
          <w:sz w:val="13"/>
        </w:rPr>
        <w:t>31(1)</w:t>
      </w:r>
      <w:r>
        <w:rPr>
          <w:color w:val="231F20"/>
          <w:spacing w:val="9"/>
          <w:sz w:val="13"/>
        </w:rPr>
        <w:t xml:space="preserve"> </w:t>
      </w:r>
      <w:r>
        <w:rPr>
          <w:i/>
          <w:color w:val="231F20"/>
          <w:sz w:val="13"/>
        </w:rPr>
        <w:t>Policing</w:t>
      </w:r>
      <w:r>
        <w:rPr>
          <w:i/>
          <w:color w:val="231F20"/>
          <w:spacing w:val="8"/>
          <w:sz w:val="13"/>
        </w:rPr>
        <w:t xml:space="preserve"> </w:t>
      </w:r>
      <w:r>
        <w:rPr>
          <w:i/>
          <w:color w:val="231F20"/>
          <w:sz w:val="13"/>
        </w:rPr>
        <w:t>and</w:t>
      </w:r>
      <w:r>
        <w:rPr>
          <w:i/>
          <w:color w:val="231F20"/>
          <w:spacing w:val="9"/>
          <w:sz w:val="13"/>
        </w:rPr>
        <w:t xml:space="preserve"> </w:t>
      </w:r>
      <w:r>
        <w:rPr>
          <w:i/>
          <w:color w:val="231F20"/>
          <w:sz w:val="13"/>
        </w:rPr>
        <w:t>Society</w:t>
      </w:r>
      <w:r>
        <w:rPr>
          <w:i/>
          <w:color w:val="231F20"/>
          <w:spacing w:val="8"/>
          <w:sz w:val="13"/>
        </w:rPr>
        <w:t xml:space="preserve"> </w:t>
      </w:r>
      <w:r>
        <w:rPr>
          <w:color w:val="231F20"/>
          <w:sz w:val="13"/>
        </w:rPr>
        <w:t>82,</w:t>
      </w:r>
      <w:r>
        <w:rPr>
          <w:color w:val="231F20"/>
          <w:spacing w:val="9"/>
          <w:sz w:val="13"/>
        </w:rPr>
        <w:t xml:space="preserve"> </w:t>
      </w:r>
      <w:r>
        <w:rPr>
          <w:color w:val="231F20"/>
          <w:sz w:val="13"/>
        </w:rPr>
        <w:t>92.</w:t>
      </w:r>
    </w:p>
    <w:p w14:paraId="70E08408" w14:textId="77777777" w:rsidR="00894070" w:rsidRDefault="009B7AFD">
      <w:pPr>
        <w:pStyle w:val="ListParagraph"/>
        <w:numPr>
          <w:ilvl w:val="0"/>
          <w:numId w:val="140"/>
        </w:numPr>
        <w:tabs>
          <w:tab w:val="left" w:pos="1800"/>
          <w:tab w:val="left" w:pos="1802"/>
        </w:tabs>
        <w:spacing w:line="152" w:lineRule="exact"/>
        <w:rPr>
          <w:sz w:val="13"/>
        </w:rPr>
      </w:pPr>
      <w:r>
        <w:rPr>
          <w:color w:val="231F20"/>
          <w:sz w:val="13"/>
        </w:rPr>
        <w:t xml:space="preserve">Wei-Jung Chang, </w:t>
      </w:r>
      <w:r>
        <w:rPr>
          <w:color w:val="231F20"/>
          <w:spacing w:val="2"/>
          <w:sz w:val="13"/>
        </w:rPr>
        <w:t xml:space="preserve">‘Cyberstalking </w:t>
      </w:r>
      <w:r>
        <w:rPr>
          <w:color w:val="231F20"/>
          <w:sz w:val="13"/>
        </w:rPr>
        <w:t xml:space="preserve">and Law Enforcement’ (2020) 176 </w:t>
      </w:r>
      <w:r>
        <w:rPr>
          <w:i/>
          <w:color w:val="231F20"/>
          <w:sz w:val="13"/>
        </w:rPr>
        <w:t xml:space="preserve">Procedia Computer Science </w:t>
      </w:r>
      <w:r>
        <w:rPr>
          <w:color w:val="231F20"/>
          <w:sz w:val="13"/>
        </w:rPr>
        <w:t>1188,</w:t>
      </w:r>
      <w:r>
        <w:rPr>
          <w:color w:val="231F20"/>
          <w:spacing w:val="8"/>
          <w:sz w:val="13"/>
        </w:rPr>
        <w:t xml:space="preserve"> </w:t>
      </w:r>
      <w:r>
        <w:rPr>
          <w:color w:val="231F20"/>
          <w:sz w:val="13"/>
        </w:rPr>
        <w:t>1192.</w:t>
      </w:r>
    </w:p>
    <w:p w14:paraId="70362C47" w14:textId="77777777" w:rsidR="00894070" w:rsidRDefault="009F6793">
      <w:pPr>
        <w:pStyle w:val="ListParagraph"/>
        <w:numPr>
          <w:ilvl w:val="0"/>
          <w:numId w:val="140"/>
        </w:numPr>
        <w:tabs>
          <w:tab w:val="left" w:pos="1801"/>
          <w:tab w:val="left" w:pos="1802"/>
        </w:tabs>
        <w:spacing w:line="160" w:lineRule="exact"/>
        <w:rPr>
          <w:sz w:val="13"/>
        </w:rPr>
      </w:pPr>
      <w:r>
        <w:pict w14:anchorId="5F61ABDA">
          <v:shape id="_x0000_s1543" type="#_x0000_t202" style="position:absolute;left:0;text-align:left;margin-left:36pt;margin-top:3.7pt;width:13.8pt;height:14.1pt;z-index:251586560;mso-position-horizontal-relative:page" filled="f" stroked="f">
            <v:textbox inset="0,0,0,0">
              <w:txbxContent>
                <w:p w14:paraId="2432C924" w14:textId="77777777" w:rsidR="00894070" w:rsidRDefault="009B7AFD">
                  <w:pPr>
                    <w:spacing w:line="282" w:lineRule="exact"/>
                    <w:rPr>
                      <w:b/>
                      <w:sz w:val="24"/>
                    </w:rPr>
                  </w:pPr>
                  <w:r>
                    <w:rPr>
                      <w:b/>
                      <w:color w:val="EA5B50"/>
                      <w:spacing w:val="-3"/>
                      <w:sz w:val="24"/>
                    </w:rPr>
                    <w:t>50</w:t>
                  </w:r>
                </w:p>
              </w:txbxContent>
            </v:textbox>
            <w10:wrap anchorx="page"/>
          </v:shape>
        </w:pict>
      </w:r>
      <w:r w:rsidR="009B7AFD">
        <w:rPr>
          <w:color w:val="231F20"/>
          <w:sz w:val="13"/>
        </w:rPr>
        <w:t xml:space="preserve">For the elements of the </w:t>
      </w:r>
      <w:r w:rsidR="009B7AFD">
        <w:rPr>
          <w:color w:val="231F20"/>
          <w:spacing w:val="2"/>
          <w:sz w:val="13"/>
        </w:rPr>
        <w:t xml:space="preserve">stalking </w:t>
      </w:r>
      <w:r w:rsidR="009B7AFD">
        <w:rPr>
          <w:color w:val="231F20"/>
          <w:sz w:val="13"/>
        </w:rPr>
        <w:t>offence with the most obvious connection to online behaviour (and therefore</w:t>
      </w:r>
      <w:r w:rsidR="009B7AFD">
        <w:rPr>
          <w:color w:val="231F20"/>
          <w:spacing w:val="31"/>
          <w:sz w:val="13"/>
        </w:rPr>
        <w:t xml:space="preserve"> </w:t>
      </w:r>
      <w:r w:rsidR="009B7AFD">
        <w:rPr>
          <w:color w:val="231F20"/>
          <w:spacing w:val="2"/>
          <w:sz w:val="13"/>
        </w:rPr>
        <w:t>cyberstalking):</w:t>
      </w:r>
    </w:p>
    <w:p w14:paraId="694D85EB" w14:textId="77777777" w:rsidR="00894070" w:rsidRDefault="009B7AFD">
      <w:pPr>
        <w:spacing w:line="170" w:lineRule="exact"/>
        <w:ind w:left="1801"/>
        <w:rPr>
          <w:sz w:val="13"/>
        </w:rPr>
      </w:pPr>
      <w:r>
        <w:rPr>
          <w:color w:val="231F20"/>
          <w:sz w:val="13"/>
        </w:rPr>
        <w:t xml:space="preserve">see </w:t>
      </w:r>
      <w:r>
        <w:rPr>
          <w:i/>
          <w:color w:val="231F20"/>
          <w:sz w:val="13"/>
        </w:rPr>
        <w:t xml:space="preserve">Crimes Act 1958 </w:t>
      </w:r>
      <w:r>
        <w:rPr>
          <w:color w:val="231F20"/>
          <w:sz w:val="13"/>
        </w:rPr>
        <w:t>(Vic) s 21A(2)(b), (ba), (bb), (bc), (f).</w:t>
      </w:r>
    </w:p>
    <w:p w14:paraId="5E177863" w14:textId="77777777" w:rsidR="00894070" w:rsidRDefault="00894070">
      <w:pPr>
        <w:spacing w:line="170" w:lineRule="exact"/>
        <w:rPr>
          <w:sz w:val="13"/>
        </w:rPr>
        <w:sectPr w:rsidR="00894070">
          <w:pgSz w:w="11910" w:h="16840"/>
          <w:pgMar w:top="860" w:right="420" w:bottom="280" w:left="580" w:header="567" w:footer="0" w:gutter="0"/>
          <w:cols w:space="720"/>
        </w:sectPr>
      </w:pPr>
    </w:p>
    <w:p w14:paraId="45725D02" w14:textId="77777777" w:rsidR="00894070" w:rsidRDefault="00894070">
      <w:pPr>
        <w:pStyle w:val="BodyText"/>
      </w:pPr>
    </w:p>
    <w:p w14:paraId="4F66F6E8" w14:textId="77777777" w:rsidR="00894070" w:rsidRDefault="00894070">
      <w:pPr>
        <w:pStyle w:val="BodyText"/>
      </w:pPr>
    </w:p>
    <w:p w14:paraId="3C1B12AD" w14:textId="77777777" w:rsidR="00894070" w:rsidRDefault="00894070">
      <w:pPr>
        <w:pStyle w:val="BodyText"/>
      </w:pPr>
    </w:p>
    <w:p w14:paraId="75A83C01" w14:textId="77777777" w:rsidR="00894070" w:rsidRDefault="00894070">
      <w:pPr>
        <w:pStyle w:val="BodyText"/>
        <w:spacing w:before="6"/>
        <w:rPr>
          <w:sz w:val="14"/>
        </w:rPr>
      </w:pPr>
    </w:p>
    <w:p w14:paraId="5212E54D" w14:textId="77777777" w:rsidR="00894070" w:rsidRDefault="009B7AFD">
      <w:pPr>
        <w:pStyle w:val="ListParagraph"/>
        <w:numPr>
          <w:ilvl w:val="1"/>
          <w:numId w:val="161"/>
        </w:numPr>
        <w:tabs>
          <w:tab w:val="left" w:pos="1801"/>
          <w:tab w:val="left" w:pos="1802"/>
        </w:tabs>
        <w:spacing w:before="90" w:line="206" w:lineRule="auto"/>
        <w:ind w:right="1832"/>
        <w:rPr>
          <w:sz w:val="20"/>
        </w:rPr>
      </w:pPr>
      <w:bookmarkStart w:id="70" w:name="Work_is_under_way_to_keep_people_safe_on"/>
      <w:bookmarkStart w:id="71" w:name="_bookmark37"/>
      <w:bookmarkEnd w:id="70"/>
      <w:bookmarkEnd w:id="71"/>
      <w:r>
        <w:rPr>
          <w:color w:val="231F20"/>
          <w:sz w:val="20"/>
        </w:rPr>
        <w:t>The</w:t>
      </w:r>
      <w:r>
        <w:rPr>
          <w:color w:val="231F20"/>
          <w:spacing w:val="-12"/>
          <w:sz w:val="20"/>
        </w:rPr>
        <w:t xml:space="preserve"> </w:t>
      </w:r>
      <w:r>
        <w:rPr>
          <w:color w:val="231F20"/>
          <w:sz w:val="20"/>
        </w:rPr>
        <w:t>Whole</w:t>
      </w:r>
      <w:r>
        <w:rPr>
          <w:color w:val="231F20"/>
          <w:spacing w:val="-12"/>
          <w:sz w:val="20"/>
        </w:rPr>
        <w:t xml:space="preserve"> </w:t>
      </w:r>
      <w:r>
        <w:rPr>
          <w:color w:val="231F20"/>
          <w:sz w:val="20"/>
        </w:rPr>
        <w:t>Story</w:t>
      </w:r>
      <w:r>
        <w:rPr>
          <w:color w:val="231F20"/>
          <w:spacing w:val="-11"/>
          <w:sz w:val="20"/>
        </w:rPr>
        <w:t xml:space="preserve"> </w:t>
      </w:r>
      <w:r>
        <w:rPr>
          <w:color w:val="231F20"/>
          <w:sz w:val="20"/>
        </w:rPr>
        <w:t>approach</w:t>
      </w:r>
      <w:r>
        <w:rPr>
          <w:color w:val="231F20"/>
          <w:spacing w:val="-12"/>
          <w:sz w:val="20"/>
        </w:rPr>
        <w:t xml:space="preserve"> </w:t>
      </w:r>
      <w:r>
        <w:rPr>
          <w:color w:val="231F20"/>
          <w:sz w:val="20"/>
        </w:rPr>
        <w:t>could</w:t>
      </w:r>
      <w:r>
        <w:rPr>
          <w:color w:val="231F20"/>
          <w:spacing w:val="-11"/>
          <w:sz w:val="20"/>
        </w:rPr>
        <w:t xml:space="preserve"> </w:t>
      </w:r>
      <w:r>
        <w:rPr>
          <w:color w:val="231F20"/>
          <w:sz w:val="20"/>
        </w:rPr>
        <w:t>help</w:t>
      </w:r>
      <w:r>
        <w:rPr>
          <w:color w:val="231F20"/>
          <w:spacing w:val="-12"/>
          <w:sz w:val="20"/>
        </w:rPr>
        <w:t xml:space="preserve"> </w:t>
      </w:r>
      <w:r>
        <w:rPr>
          <w:color w:val="231F20"/>
          <w:sz w:val="20"/>
        </w:rPr>
        <w:t>police</w:t>
      </w:r>
      <w:r>
        <w:rPr>
          <w:color w:val="231F20"/>
          <w:spacing w:val="-12"/>
          <w:sz w:val="20"/>
        </w:rPr>
        <w:t xml:space="preserve"> </w:t>
      </w:r>
      <w:r>
        <w:rPr>
          <w:color w:val="231F20"/>
          <w:sz w:val="20"/>
        </w:rPr>
        <w:t>officers</w:t>
      </w:r>
      <w:r>
        <w:rPr>
          <w:color w:val="231F20"/>
          <w:spacing w:val="-11"/>
          <w:sz w:val="20"/>
        </w:rPr>
        <w:t xml:space="preserve"> </w:t>
      </w:r>
      <w:r>
        <w:rPr>
          <w:color w:val="231F20"/>
          <w:spacing w:val="-3"/>
          <w:sz w:val="20"/>
        </w:rPr>
        <w:t>by</w:t>
      </w:r>
      <w:r>
        <w:rPr>
          <w:color w:val="231F20"/>
          <w:spacing w:val="-12"/>
          <w:sz w:val="20"/>
        </w:rPr>
        <w:t xml:space="preserve"> </w:t>
      </w:r>
      <w:r>
        <w:rPr>
          <w:color w:val="231F20"/>
          <w:sz w:val="20"/>
        </w:rPr>
        <w:t>giving</w:t>
      </w:r>
      <w:r>
        <w:rPr>
          <w:color w:val="231F20"/>
          <w:spacing w:val="-11"/>
          <w:sz w:val="20"/>
        </w:rPr>
        <w:t xml:space="preserve"> </w:t>
      </w:r>
      <w:r>
        <w:rPr>
          <w:color w:val="231F20"/>
          <w:sz w:val="20"/>
        </w:rPr>
        <w:t>them</w:t>
      </w:r>
      <w:r>
        <w:rPr>
          <w:color w:val="231F20"/>
          <w:spacing w:val="-12"/>
          <w:sz w:val="20"/>
        </w:rPr>
        <w:t xml:space="preserve"> </w:t>
      </w:r>
      <w:r>
        <w:rPr>
          <w:color w:val="231F20"/>
          <w:sz w:val="20"/>
        </w:rPr>
        <w:t>a</w:t>
      </w:r>
      <w:r>
        <w:rPr>
          <w:color w:val="231F20"/>
          <w:spacing w:val="-12"/>
          <w:sz w:val="20"/>
        </w:rPr>
        <w:t xml:space="preserve"> </w:t>
      </w:r>
      <w:r>
        <w:rPr>
          <w:color w:val="231F20"/>
          <w:spacing w:val="-3"/>
          <w:sz w:val="20"/>
        </w:rPr>
        <w:t>complete picture</w:t>
      </w:r>
      <w:r>
        <w:rPr>
          <w:color w:val="231F20"/>
          <w:spacing w:val="-5"/>
          <w:sz w:val="20"/>
        </w:rPr>
        <w:t xml:space="preserve"> </w:t>
      </w:r>
      <w:r>
        <w:rPr>
          <w:color w:val="231F20"/>
          <w:sz w:val="20"/>
        </w:rPr>
        <w:t>of</w:t>
      </w:r>
      <w:r>
        <w:rPr>
          <w:color w:val="231F20"/>
          <w:spacing w:val="-5"/>
          <w:sz w:val="20"/>
        </w:rPr>
        <w:t xml:space="preserve"> </w:t>
      </w:r>
      <w:r>
        <w:rPr>
          <w:color w:val="231F20"/>
          <w:spacing w:val="-3"/>
          <w:sz w:val="20"/>
        </w:rPr>
        <w:t>how</w:t>
      </w:r>
      <w:r>
        <w:rPr>
          <w:color w:val="231F20"/>
          <w:spacing w:val="-5"/>
          <w:sz w:val="20"/>
        </w:rPr>
        <w:t xml:space="preserve"> </w:t>
      </w:r>
      <w:r>
        <w:rPr>
          <w:color w:val="231F20"/>
          <w:sz w:val="20"/>
        </w:rPr>
        <w:t>a</w:t>
      </w:r>
      <w:r>
        <w:rPr>
          <w:color w:val="231F20"/>
          <w:spacing w:val="-5"/>
          <w:sz w:val="20"/>
        </w:rPr>
        <w:t xml:space="preserve"> </w:t>
      </w:r>
      <w:r>
        <w:rPr>
          <w:color w:val="231F20"/>
          <w:sz w:val="20"/>
        </w:rPr>
        <w:t>victim</w:t>
      </w:r>
      <w:r>
        <w:rPr>
          <w:color w:val="231F20"/>
          <w:spacing w:val="-4"/>
          <w:sz w:val="20"/>
        </w:rPr>
        <w:t xml:space="preserve"> </w:t>
      </w:r>
      <w:r>
        <w:rPr>
          <w:color w:val="231F20"/>
          <w:sz w:val="20"/>
        </w:rPr>
        <w:t>survivor</w:t>
      </w:r>
      <w:r>
        <w:rPr>
          <w:color w:val="231F20"/>
          <w:spacing w:val="-5"/>
          <w:sz w:val="20"/>
        </w:rPr>
        <w:t xml:space="preserve"> </w:t>
      </w:r>
      <w:r>
        <w:rPr>
          <w:color w:val="231F20"/>
          <w:sz w:val="20"/>
        </w:rPr>
        <w:t>is</w:t>
      </w:r>
      <w:r>
        <w:rPr>
          <w:color w:val="231F20"/>
          <w:spacing w:val="-5"/>
          <w:sz w:val="20"/>
        </w:rPr>
        <w:t xml:space="preserve"> </w:t>
      </w:r>
      <w:r>
        <w:rPr>
          <w:color w:val="231F20"/>
          <w:sz w:val="20"/>
        </w:rPr>
        <w:t>being</w:t>
      </w:r>
      <w:r>
        <w:rPr>
          <w:color w:val="231F20"/>
          <w:spacing w:val="-5"/>
          <w:sz w:val="20"/>
        </w:rPr>
        <w:t xml:space="preserve"> </w:t>
      </w:r>
      <w:r>
        <w:rPr>
          <w:color w:val="231F20"/>
          <w:sz w:val="20"/>
        </w:rPr>
        <w:t>harmed</w:t>
      </w:r>
      <w:r>
        <w:rPr>
          <w:color w:val="231F20"/>
          <w:spacing w:val="-5"/>
          <w:sz w:val="20"/>
        </w:rPr>
        <w:t xml:space="preserve"> </w:t>
      </w:r>
      <w:r>
        <w:rPr>
          <w:color w:val="231F20"/>
          <w:sz w:val="20"/>
        </w:rPr>
        <w:t>using</w:t>
      </w:r>
      <w:r>
        <w:rPr>
          <w:color w:val="231F20"/>
          <w:spacing w:val="-4"/>
          <w:sz w:val="20"/>
        </w:rPr>
        <w:t xml:space="preserve"> </w:t>
      </w:r>
      <w:r>
        <w:rPr>
          <w:color w:val="231F20"/>
          <w:spacing w:val="-3"/>
          <w:sz w:val="20"/>
        </w:rPr>
        <w:t>technology.</w:t>
      </w:r>
    </w:p>
    <w:p w14:paraId="39F3AD64" w14:textId="77777777" w:rsidR="00894070" w:rsidRDefault="009B7AFD">
      <w:pPr>
        <w:pStyle w:val="ListParagraph"/>
        <w:numPr>
          <w:ilvl w:val="1"/>
          <w:numId w:val="161"/>
        </w:numPr>
        <w:tabs>
          <w:tab w:val="left" w:pos="1801"/>
          <w:tab w:val="left" w:pos="1802"/>
        </w:tabs>
        <w:spacing w:before="122" w:line="206" w:lineRule="auto"/>
        <w:ind w:right="1352"/>
        <w:rPr>
          <w:sz w:val="11"/>
        </w:rPr>
      </w:pPr>
      <w:r>
        <w:rPr>
          <w:color w:val="231F20"/>
          <w:sz w:val="20"/>
        </w:rPr>
        <w:t>Experts</w:t>
      </w:r>
      <w:r>
        <w:rPr>
          <w:color w:val="231F20"/>
          <w:spacing w:val="-10"/>
          <w:sz w:val="20"/>
        </w:rPr>
        <w:t xml:space="preserve"> </w:t>
      </w:r>
      <w:r>
        <w:rPr>
          <w:color w:val="231F20"/>
          <w:sz w:val="20"/>
        </w:rPr>
        <w:t>on</w:t>
      </w:r>
      <w:r>
        <w:rPr>
          <w:color w:val="231F20"/>
          <w:spacing w:val="-9"/>
          <w:sz w:val="20"/>
        </w:rPr>
        <w:t xml:space="preserve"> </w:t>
      </w:r>
      <w:r>
        <w:rPr>
          <w:color w:val="231F20"/>
          <w:sz w:val="20"/>
        </w:rPr>
        <w:t>cyberstalking</w:t>
      </w:r>
      <w:r>
        <w:rPr>
          <w:color w:val="231F20"/>
          <w:spacing w:val="-9"/>
          <w:sz w:val="20"/>
        </w:rPr>
        <w:t xml:space="preserve"> </w:t>
      </w:r>
      <w:r>
        <w:rPr>
          <w:color w:val="231F20"/>
          <w:spacing w:val="-2"/>
          <w:sz w:val="20"/>
        </w:rPr>
        <w:t>stress</w:t>
      </w:r>
      <w:r>
        <w:rPr>
          <w:color w:val="231F20"/>
          <w:spacing w:val="-10"/>
          <w:sz w:val="20"/>
        </w:rPr>
        <w:t xml:space="preserve"> </w:t>
      </w:r>
      <w:r>
        <w:rPr>
          <w:color w:val="231F20"/>
          <w:sz w:val="20"/>
        </w:rPr>
        <w:t>the</w:t>
      </w:r>
      <w:r>
        <w:rPr>
          <w:color w:val="231F20"/>
          <w:spacing w:val="-9"/>
          <w:sz w:val="20"/>
        </w:rPr>
        <w:t xml:space="preserve"> </w:t>
      </w:r>
      <w:r>
        <w:rPr>
          <w:color w:val="231F20"/>
          <w:sz w:val="20"/>
        </w:rPr>
        <w:t>need</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police</w:t>
      </w:r>
      <w:r>
        <w:rPr>
          <w:color w:val="231F20"/>
          <w:spacing w:val="-10"/>
          <w:sz w:val="20"/>
        </w:rPr>
        <w:t xml:space="preserve"> </w:t>
      </w:r>
      <w:r>
        <w:rPr>
          <w:color w:val="231F20"/>
          <w:sz w:val="20"/>
        </w:rPr>
        <w:t>officers</w:t>
      </w:r>
      <w:r>
        <w:rPr>
          <w:color w:val="231F20"/>
          <w:spacing w:val="-9"/>
          <w:sz w:val="20"/>
        </w:rPr>
        <w:t xml:space="preserve"> </w:t>
      </w:r>
      <w:r>
        <w:rPr>
          <w:color w:val="231F20"/>
          <w:sz w:val="20"/>
        </w:rPr>
        <w:t>to</w:t>
      </w:r>
      <w:r>
        <w:rPr>
          <w:color w:val="231F20"/>
          <w:spacing w:val="-9"/>
          <w:sz w:val="20"/>
        </w:rPr>
        <w:t xml:space="preserve"> </w:t>
      </w:r>
      <w:r>
        <w:rPr>
          <w:color w:val="231F20"/>
          <w:spacing w:val="-4"/>
          <w:sz w:val="20"/>
        </w:rPr>
        <w:t>have</w:t>
      </w:r>
      <w:r>
        <w:rPr>
          <w:color w:val="231F20"/>
          <w:spacing w:val="-9"/>
          <w:sz w:val="20"/>
        </w:rPr>
        <w:t xml:space="preserve"> </w:t>
      </w:r>
      <w:r>
        <w:rPr>
          <w:color w:val="231F20"/>
          <w:sz w:val="20"/>
        </w:rPr>
        <w:t>the</w:t>
      </w:r>
      <w:r>
        <w:rPr>
          <w:color w:val="231F20"/>
          <w:spacing w:val="-10"/>
          <w:sz w:val="20"/>
        </w:rPr>
        <w:t xml:space="preserve"> </w:t>
      </w:r>
      <w:r>
        <w:rPr>
          <w:color w:val="231F20"/>
          <w:sz w:val="20"/>
        </w:rPr>
        <w:t>right</w:t>
      </w:r>
      <w:r>
        <w:rPr>
          <w:color w:val="231F20"/>
          <w:spacing w:val="-9"/>
          <w:sz w:val="20"/>
        </w:rPr>
        <w:t xml:space="preserve"> </w:t>
      </w:r>
      <w:r>
        <w:rPr>
          <w:color w:val="231F20"/>
          <w:sz w:val="20"/>
        </w:rPr>
        <w:t>tools</w:t>
      </w:r>
      <w:r>
        <w:rPr>
          <w:color w:val="231F20"/>
          <w:spacing w:val="-9"/>
          <w:sz w:val="20"/>
        </w:rPr>
        <w:t xml:space="preserve"> </w:t>
      </w:r>
      <w:r>
        <w:rPr>
          <w:color w:val="231F20"/>
          <w:sz w:val="20"/>
        </w:rPr>
        <w:t xml:space="preserve">and technology at their disposal </w:t>
      </w:r>
      <w:r>
        <w:rPr>
          <w:color w:val="231F20"/>
          <w:spacing w:val="-3"/>
          <w:sz w:val="20"/>
        </w:rPr>
        <w:t xml:space="preserve">for </w:t>
      </w:r>
      <w:r>
        <w:rPr>
          <w:color w:val="231F20"/>
          <w:sz w:val="20"/>
        </w:rPr>
        <w:t xml:space="preserve">an </w:t>
      </w:r>
      <w:r>
        <w:rPr>
          <w:color w:val="231F20"/>
          <w:spacing w:val="-3"/>
          <w:sz w:val="20"/>
        </w:rPr>
        <w:t>effective</w:t>
      </w:r>
      <w:r>
        <w:rPr>
          <w:color w:val="231F20"/>
          <w:spacing w:val="-33"/>
          <w:sz w:val="20"/>
        </w:rPr>
        <w:t xml:space="preserve"> </w:t>
      </w:r>
      <w:r>
        <w:rPr>
          <w:color w:val="231F20"/>
          <w:sz w:val="20"/>
        </w:rPr>
        <w:t>investigation.</w:t>
      </w:r>
      <w:r>
        <w:rPr>
          <w:color w:val="231F20"/>
          <w:position w:val="7"/>
          <w:sz w:val="11"/>
        </w:rPr>
        <w:t>176</w:t>
      </w:r>
    </w:p>
    <w:p w14:paraId="544F96D1" w14:textId="77777777" w:rsidR="00894070" w:rsidRDefault="009B7AFD">
      <w:pPr>
        <w:pStyle w:val="ListParagraph"/>
        <w:numPr>
          <w:ilvl w:val="1"/>
          <w:numId w:val="161"/>
        </w:numPr>
        <w:tabs>
          <w:tab w:val="left" w:pos="1801"/>
          <w:tab w:val="left" w:pos="1802"/>
        </w:tabs>
        <w:spacing w:before="123" w:line="206" w:lineRule="auto"/>
        <w:ind w:right="1408"/>
        <w:rPr>
          <w:sz w:val="11"/>
        </w:rPr>
      </w:pPr>
      <w:r>
        <w:rPr>
          <w:color w:val="231F20"/>
          <w:sz w:val="20"/>
        </w:rPr>
        <w:t>The</w:t>
      </w:r>
      <w:r>
        <w:rPr>
          <w:color w:val="231F20"/>
          <w:spacing w:val="-11"/>
          <w:sz w:val="20"/>
        </w:rPr>
        <w:t xml:space="preserve"> </w:t>
      </w:r>
      <w:r>
        <w:rPr>
          <w:color w:val="231F20"/>
          <w:sz w:val="20"/>
        </w:rPr>
        <w:t>police</w:t>
      </w:r>
      <w:r>
        <w:rPr>
          <w:color w:val="231F20"/>
          <w:spacing w:val="-11"/>
          <w:sz w:val="20"/>
        </w:rPr>
        <w:t xml:space="preserve"> </w:t>
      </w:r>
      <w:r>
        <w:rPr>
          <w:color w:val="231F20"/>
          <w:sz w:val="20"/>
        </w:rPr>
        <w:t>response</w:t>
      </w:r>
      <w:r>
        <w:rPr>
          <w:color w:val="231F20"/>
          <w:spacing w:val="-10"/>
          <w:sz w:val="20"/>
        </w:rPr>
        <w:t xml:space="preserve"> </w:t>
      </w:r>
      <w:r>
        <w:rPr>
          <w:color w:val="231F20"/>
          <w:sz w:val="20"/>
        </w:rPr>
        <w:t>should</w:t>
      </w:r>
      <w:r>
        <w:rPr>
          <w:color w:val="231F20"/>
          <w:spacing w:val="-11"/>
          <w:sz w:val="20"/>
        </w:rPr>
        <w:t xml:space="preserve"> </w:t>
      </w:r>
      <w:r>
        <w:rPr>
          <w:color w:val="231F20"/>
          <w:sz w:val="20"/>
        </w:rPr>
        <w:t>include</w:t>
      </w:r>
      <w:r>
        <w:rPr>
          <w:color w:val="231F20"/>
          <w:spacing w:val="-10"/>
          <w:sz w:val="20"/>
        </w:rPr>
        <w:t xml:space="preserve"> </w:t>
      </w:r>
      <w:r>
        <w:rPr>
          <w:color w:val="231F20"/>
          <w:sz w:val="20"/>
        </w:rPr>
        <w:t>a</w:t>
      </w:r>
      <w:r>
        <w:rPr>
          <w:color w:val="231F20"/>
          <w:spacing w:val="-11"/>
          <w:sz w:val="20"/>
        </w:rPr>
        <w:t xml:space="preserve"> </w:t>
      </w:r>
      <w:r>
        <w:rPr>
          <w:color w:val="231F20"/>
          <w:spacing w:val="-4"/>
          <w:sz w:val="20"/>
        </w:rPr>
        <w:t>pathway</w:t>
      </w:r>
      <w:r>
        <w:rPr>
          <w:color w:val="231F20"/>
          <w:spacing w:val="-10"/>
          <w:sz w:val="20"/>
        </w:rPr>
        <w:t xml:space="preserve"> </w:t>
      </w:r>
      <w:r>
        <w:rPr>
          <w:color w:val="231F20"/>
          <w:sz w:val="20"/>
        </w:rPr>
        <w:t>to</w:t>
      </w:r>
      <w:r>
        <w:rPr>
          <w:color w:val="231F20"/>
          <w:spacing w:val="-11"/>
          <w:sz w:val="20"/>
        </w:rPr>
        <w:t xml:space="preserve"> </w:t>
      </w:r>
      <w:r>
        <w:rPr>
          <w:color w:val="231F20"/>
          <w:sz w:val="20"/>
        </w:rPr>
        <w:t>services</w:t>
      </w:r>
      <w:r>
        <w:rPr>
          <w:color w:val="231F20"/>
          <w:spacing w:val="-11"/>
          <w:sz w:val="20"/>
        </w:rPr>
        <w:t xml:space="preserve"> </w:t>
      </w:r>
      <w:r>
        <w:rPr>
          <w:color w:val="231F20"/>
          <w:sz w:val="20"/>
        </w:rPr>
        <w:t>that</w:t>
      </w:r>
      <w:r>
        <w:rPr>
          <w:color w:val="231F20"/>
          <w:spacing w:val="-10"/>
          <w:sz w:val="20"/>
        </w:rPr>
        <w:t xml:space="preserve"> </w:t>
      </w:r>
      <w:r>
        <w:rPr>
          <w:color w:val="231F20"/>
          <w:spacing w:val="-3"/>
          <w:sz w:val="20"/>
        </w:rPr>
        <w:t>provide</w:t>
      </w:r>
      <w:r>
        <w:rPr>
          <w:color w:val="231F20"/>
          <w:spacing w:val="-11"/>
          <w:sz w:val="20"/>
        </w:rPr>
        <w:t xml:space="preserve"> </w:t>
      </w:r>
      <w:r>
        <w:rPr>
          <w:color w:val="231F20"/>
          <w:sz w:val="20"/>
        </w:rPr>
        <w:t xml:space="preserve">technological support </w:t>
      </w:r>
      <w:r>
        <w:rPr>
          <w:color w:val="231F20"/>
          <w:spacing w:val="-3"/>
          <w:sz w:val="20"/>
        </w:rPr>
        <w:t xml:space="preserve">for </w:t>
      </w:r>
      <w:r>
        <w:rPr>
          <w:color w:val="231F20"/>
          <w:sz w:val="20"/>
        </w:rPr>
        <w:t xml:space="preserve">cyberstalking. These services should be able to </w:t>
      </w:r>
      <w:r>
        <w:rPr>
          <w:color w:val="231F20"/>
          <w:spacing w:val="-3"/>
          <w:sz w:val="20"/>
        </w:rPr>
        <w:t xml:space="preserve">accept </w:t>
      </w:r>
      <w:r>
        <w:rPr>
          <w:color w:val="231F20"/>
          <w:sz w:val="20"/>
        </w:rPr>
        <w:t xml:space="preserve">referrals </w:t>
      </w:r>
      <w:r>
        <w:rPr>
          <w:color w:val="231F20"/>
          <w:spacing w:val="-3"/>
          <w:sz w:val="20"/>
        </w:rPr>
        <w:t xml:space="preserve">from </w:t>
      </w:r>
      <w:r>
        <w:rPr>
          <w:color w:val="231F20"/>
          <w:sz w:val="20"/>
        </w:rPr>
        <w:t>police</w:t>
      </w:r>
      <w:r>
        <w:rPr>
          <w:color w:val="231F20"/>
          <w:spacing w:val="-7"/>
          <w:sz w:val="20"/>
        </w:rPr>
        <w:t xml:space="preserve"> </w:t>
      </w:r>
      <w:r>
        <w:rPr>
          <w:color w:val="231F20"/>
          <w:sz w:val="20"/>
        </w:rPr>
        <w:t>to</w:t>
      </w:r>
      <w:r>
        <w:rPr>
          <w:color w:val="231F20"/>
          <w:spacing w:val="-6"/>
          <w:sz w:val="20"/>
        </w:rPr>
        <w:t xml:space="preserve"> </w:t>
      </w:r>
      <w:r>
        <w:rPr>
          <w:color w:val="231F20"/>
          <w:sz w:val="20"/>
        </w:rPr>
        <w:t>assist</w:t>
      </w:r>
      <w:r>
        <w:rPr>
          <w:color w:val="231F20"/>
          <w:spacing w:val="-6"/>
          <w:sz w:val="20"/>
        </w:rPr>
        <w:t xml:space="preserve"> </w:t>
      </w:r>
      <w:r>
        <w:rPr>
          <w:color w:val="231F20"/>
          <w:sz w:val="20"/>
        </w:rPr>
        <w:t>people</w:t>
      </w:r>
      <w:r>
        <w:rPr>
          <w:color w:val="231F20"/>
          <w:spacing w:val="-6"/>
          <w:sz w:val="20"/>
        </w:rPr>
        <w:t xml:space="preserve"> </w:t>
      </w:r>
      <w:r>
        <w:rPr>
          <w:color w:val="231F20"/>
          <w:sz w:val="20"/>
        </w:rPr>
        <w:t>who</w:t>
      </w:r>
      <w:r>
        <w:rPr>
          <w:color w:val="231F20"/>
          <w:spacing w:val="-6"/>
          <w:sz w:val="20"/>
        </w:rPr>
        <w:t xml:space="preserve"> </w:t>
      </w:r>
      <w:r>
        <w:rPr>
          <w:color w:val="231F20"/>
          <w:sz w:val="20"/>
        </w:rPr>
        <w:t>experience</w:t>
      </w:r>
      <w:r>
        <w:rPr>
          <w:color w:val="231F20"/>
          <w:spacing w:val="-6"/>
          <w:sz w:val="20"/>
        </w:rPr>
        <w:t xml:space="preserve"> </w:t>
      </w:r>
      <w:r>
        <w:rPr>
          <w:color w:val="231F20"/>
          <w:sz w:val="20"/>
        </w:rPr>
        <w:t>non-family</w:t>
      </w:r>
      <w:r>
        <w:rPr>
          <w:color w:val="231F20"/>
          <w:spacing w:val="-6"/>
          <w:sz w:val="20"/>
        </w:rPr>
        <w:t xml:space="preserve"> </w:t>
      </w:r>
      <w:r>
        <w:rPr>
          <w:color w:val="231F20"/>
          <w:sz w:val="20"/>
        </w:rPr>
        <w:t>violence</w:t>
      </w:r>
      <w:r>
        <w:rPr>
          <w:color w:val="231F20"/>
          <w:spacing w:val="-6"/>
          <w:sz w:val="20"/>
        </w:rPr>
        <w:t xml:space="preserve"> </w:t>
      </w:r>
      <w:r>
        <w:rPr>
          <w:color w:val="231F20"/>
          <w:sz w:val="20"/>
        </w:rPr>
        <w:t>stalking.</w:t>
      </w:r>
      <w:r>
        <w:rPr>
          <w:color w:val="231F20"/>
          <w:position w:val="7"/>
          <w:sz w:val="11"/>
        </w:rPr>
        <w:t>177</w:t>
      </w:r>
    </w:p>
    <w:p w14:paraId="0C59A054" w14:textId="77777777" w:rsidR="00894070" w:rsidRDefault="009B7AFD">
      <w:pPr>
        <w:pStyle w:val="ListParagraph"/>
        <w:numPr>
          <w:ilvl w:val="1"/>
          <w:numId w:val="161"/>
        </w:numPr>
        <w:tabs>
          <w:tab w:val="left" w:pos="1801"/>
          <w:tab w:val="left" w:pos="1802"/>
        </w:tabs>
        <w:spacing w:before="124" w:line="206" w:lineRule="auto"/>
        <w:ind w:right="1639"/>
        <w:rPr>
          <w:sz w:val="11"/>
        </w:rPr>
      </w:pPr>
      <w:r>
        <w:rPr>
          <w:color w:val="231F20"/>
          <w:sz w:val="20"/>
        </w:rPr>
        <w:t>These</w:t>
      </w:r>
      <w:r>
        <w:rPr>
          <w:color w:val="231F20"/>
          <w:spacing w:val="-15"/>
          <w:sz w:val="20"/>
        </w:rPr>
        <w:t xml:space="preserve"> </w:t>
      </w:r>
      <w:r>
        <w:rPr>
          <w:color w:val="231F20"/>
          <w:sz w:val="20"/>
        </w:rPr>
        <w:t>recommendations</w:t>
      </w:r>
      <w:r>
        <w:rPr>
          <w:color w:val="231F20"/>
          <w:spacing w:val="-15"/>
          <w:sz w:val="20"/>
        </w:rPr>
        <w:t xml:space="preserve"> </w:t>
      </w:r>
      <w:r>
        <w:rPr>
          <w:color w:val="231F20"/>
          <w:spacing w:val="-3"/>
          <w:sz w:val="20"/>
        </w:rPr>
        <w:t>would</w:t>
      </w:r>
      <w:r>
        <w:rPr>
          <w:color w:val="231F20"/>
          <w:spacing w:val="-15"/>
          <w:sz w:val="20"/>
        </w:rPr>
        <w:t xml:space="preserve"> </w:t>
      </w:r>
      <w:r>
        <w:rPr>
          <w:color w:val="231F20"/>
          <w:sz w:val="20"/>
        </w:rPr>
        <w:t>complement</w:t>
      </w:r>
      <w:r>
        <w:rPr>
          <w:color w:val="231F20"/>
          <w:spacing w:val="-15"/>
          <w:sz w:val="20"/>
        </w:rPr>
        <w:t xml:space="preserve"> </w:t>
      </w:r>
      <w:r>
        <w:rPr>
          <w:color w:val="231F20"/>
          <w:sz w:val="20"/>
        </w:rPr>
        <w:t>Victoria</w:t>
      </w:r>
      <w:r>
        <w:rPr>
          <w:color w:val="231F20"/>
          <w:spacing w:val="-15"/>
          <w:sz w:val="20"/>
        </w:rPr>
        <w:t xml:space="preserve"> </w:t>
      </w:r>
      <w:r>
        <w:rPr>
          <w:color w:val="231F20"/>
          <w:spacing w:val="-3"/>
          <w:sz w:val="20"/>
        </w:rPr>
        <w:t>Police’s</w:t>
      </w:r>
      <w:r>
        <w:rPr>
          <w:color w:val="231F20"/>
          <w:spacing w:val="-15"/>
          <w:sz w:val="20"/>
        </w:rPr>
        <w:t xml:space="preserve"> </w:t>
      </w:r>
      <w:r>
        <w:rPr>
          <w:color w:val="231F20"/>
          <w:sz w:val="20"/>
        </w:rPr>
        <w:t>cybercrime</w:t>
      </w:r>
      <w:r>
        <w:rPr>
          <w:color w:val="231F20"/>
          <w:spacing w:val="-15"/>
          <w:sz w:val="20"/>
        </w:rPr>
        <w:t xml:space="preserve"> </w:t>
      </w:r>
      <w:r>
        <w:rPr>
          <w:color w:val="231F20"/>
          <w:sz w:val="20"/>
        </w:rPr>
        <w:t xml:space="preserve">division, launched in </w:t>
      </w:r>
      <w:r>
        <w:rPr>
          <w:color w:val="231F20"/>
          <w:spacing w:val="-3"/>
          <w:sz w:val="20"/>
        </w:rPr>
        <w:t xml:space="preserve">2021 </w:t>
      </w:r>
      <w:r>
        <w:rPr>
          <w:color w:val="231F20"/>
          <w:sz w:val="20"/>
        </w:rPr>
        <w:t xml:space="preserve">to build Victoria </w:t>
      </w:r>
      <w:r>
        <w:rPr>
          <w:color w:val="231F20"/>
          <w:spacing w:val="-3"/>
          <w:sz w:val="20"/>
        </w:rPr>
        <w:t xml:space="preserve">Police’s </w:t>
      </w:r>
      <w:r>
        <w:rPr>
          <w:color w:val="231F20"/>
          <w:sz w:val="20"/>
        </w:rPr>
        <w:t xml:space="preserve">capacity to fight cyber and </w:t>
      </w:r>
      <w:r>
        <w:rPr>
          <w:color w:val="231F20"/>
          <w:spacing w:val="-3"/>
          <w:sz w:val="20"/>
        </w:rPr>
        <w:t xml:space="preserve">technology- </w:t>
      </w:r>
      <w:r>
        <w:rPr>
          <w:color w:val="231F20"/>
          <w:sz w:val="20"/>
        </w:rPr>
        <w:t>enabled</w:t>
      </w:r>
      <w:r>
        <w:rPr>
          <w:color w:val="231F20"/>
          <w:spacing w:val="-5"/>
          <w:sz w:val="20"/>
        </w:rPr>
        <w:t xml:space="preserve"> </w:t>
      </w:r>
      <w:r>
        <w:rPr>
          <w:color w:val="231F20"/>
          <w:sz w:val="20"/>
        </w:rPr>
        <w:t>crime.</w:t>
      </w:r>
      <w:r>
        <w:rPr>
          <w:color w:val="231F20"/>
          <w:position w:val="7"/>
          <w:sz w:val="11"/>
        </w:rPr>
        <w:t>178</w:t>
      </w:r>
    </w:p>
    <w:p w14:paraId="6568662B" w14:textId="77777777" w:rsidR="00894070" w:rsidRDefault="009B7AFD">
      <w:pPr>
        <w:pStyle w:val="ListParagraph"/>
        <w:numPr>
          <w:ilvl w:val="1"/>
          <w:numId w:val="161"/>
        </w:numPr>
        <w:tabs>
          <w:tab w:val="left" w:pos="1801"/>
          <w:tab w:val="left" w:pos="1802"/>
        </w:tabs>
        <w:spacing w:before="124" w:line="206" w:lineRule="auto"/>
        <w:ind w:right="1417"/>
        <w:rPr>
          <w:sz w:val="11"/>
        </w:rPr>
      </w:pPr>
      <w:r>
        <w:rPr>
          <w:color w:val="231F20"/>
          <w:sz w:val="20"/>
        </w:rPr>
        <w:t xml:space="preserve">Victoria Police </w:t>
      </w:r>
      <w:r>
        <w:rPr>
          <w:color w:val="231F20"/>
          <w:spacing w:val="-3"/>
          <w:sz w:val="20"/>
        </w:rPr>
        <w:t xml:space="preserve">told </w:t>
      </w:r>
      <w:r>
        <w:rPr>
          <w:color w:val="231F20"/>
          <w:sz w:val="20"/>
        </w:rPr>
        <w:t xml:space="preserve">us that </w:t>
      </w:r>
      <w:r>
        <w:rPr>
          <w:color w:val="231F20"/>
          <w:spacing w:val="-3"/>
          <w:sz w:val="20"/>
        </w:rPr>
        <w:t xml:space="preserve">intimate </w:t>
      </w:r>
      <w:r>
        <w:rPr>
          <w:color w:val="231F20"/>
          <w:sz w:val="20"/>
        </w:rPr>
        <w:t xml:space="preserve">image-based abuse can occur in the </w:t>
      </w:r>
      <w:r>
        <w:rPr>
          <w:color w:val="231F20"/>
          <w:spacing w:val="-3"/>
          <w:sz w:val="20"/>
        </w:rPr>
        <w:t xml:space="preserve">context </w:t>
      </w:r>
      <w:r>
        <w:rPr>
          <w:color w:val="231F20"/>
          <w:sz w:val="20"/>
        </w:rPr>
        <w:t>of cyberstalking,</w:t>
      </w:r>
      <w:r>
        <w:rPr>
          <w:color w:val="231F20"/>
          <w:spacing w:val="-11"/>
          <w:sz w:val="20"/>
        </w:rPr>
        <w:t xml:space="preserve"> </w:t>
      </w:r>
      <w:r>
        <w:rPr>
          <w:color w:val="231F20"/>
          <w:sz w:val="20"/>
        </w:rPr>
        <w:t>and</w:t>
      </w:r>
      <w:r>
        <w:rPr>
          <w:color w:val="231F20"/>
          <w:spacing w:val="-11"/>
          <w:sz w:val="20"/>
        </w:rPr>
        <w:t xml:space="preserve"> </w:t>
      </w:r>
      <w:r>
        <w:rPr>
          <w:color w:val="231F20"/>
          <w:sz w:val="20"/>
        </w:rPr>
        <w:t>that</w:t>
      </w:r>
      <w:r>
        <w:rPr>
          <w:color w:val="231F20"/>
          <w:spacing w:val="-10"/>
          <w:sz w:val="20"/>
        </w:rPr>
        <w:t xml:space="preserve"> </w:t>
      </w:r>
      <w:r>
        <w:rPr>
          <w:color w:val="231F20"/>
          <w:spacing w:val="-3"/>
          <w:sz w:val="20"/>
        </w:rPr>
        <w:t>intimate</w:t>
      </w:r>
      <w:r>
        <w:rPr>
          <w:color w:val="231F20"/>
          <w:spacing w:val="-11"/>
          <w:sz w:val="20"/>
        </w:rPr>
        <w:t xml:space="preserve"> </w:t>
      </w:r>
      <w:r>
        <w:rPr>
          <w:color w:val="231F20"/>
          <w:sz w:val="20"/>
        </w:rPr>
        <w:t>image-based</w:t>
      </w:r>
      <w:r>
        <w:rPr>
          <w:color w:val="231F20"/>
          <w:spacing w:val="-11"/>
          <w:sz w:val="20"/>
        </w:rPr>
        <w:t xml:space="preserve"> </w:t>
      </w:r>
      <w:r>
        <w:rPr>
          <w:color w:val="231F20"/>
          <w:sz w:val="20"/>
        </w:rPr>
        <w:t>abuse</w:t>
      </w:r>
      <w:r>
        <w:rPr>
          <w:color w:val="231F20"/>
          <w:spacing w:val="-10"/>
          <w:sz w:val="20"/>
        </w:rPr>
        <w:t xml:space="preserve"> </w:t>
      </w:r>
      <w:r>
        <w:rPr>
          <w:color w:val="231F20"/>
          <w:sz w:val="20"/>
        </w:rPr>
        <w:t>offences</w:t>
      </w:r>
      <w:r>
        <w:rPr>
          <w:color w:val="231F20"/>
          <w:spacing w:val="-11"/>
          <w:sz w:val="20"/>
        </w:rPr>
        <w:t xml:space="preserve"> </w:t>
      </w:r>
      <w:r>
        <w:rPr>
          <w:color w:val="231F20"/>
          <w:sz w:val="20"/>
        </w:rPr>
        <w:t>should</w:t>
      </w:r>
      <w:r>
        <w:rPr>
          <w:color w:val="231F20"/>
          <w:spacing w:val="-10"/>
          <w:sz w:val="20"/>
        </w:rPr>
        <w:t xml:space="preserve"> </w:t>
      </w:r>
      <w:r>
        <w:rPr>
          <w:color w:val="231F20"/>
          <w:sz w:val="20"/>
        </w:rPr>
        <w:t>be</w:t>
      </w:r>
      <w:r>
        <w:rPr>
          <w:color w:val="231F20"/>
          <w:spacing w:val="-11"/>
          <w:sz w:val="20"/>
        </w:rPr>
        <w:t xml:space="preserve"> </w:t>
      </w:r>
      <w:r>
        <w:rPr>
          <w:color w:val="231F20"/>
          <w:spacing w:val="-4"/>
          <w:sz w:val="20"/>
        </w:rPr>
        <w:t>reviewed</w:t>
      </w:r>
      <w:r>
        <w:rPr>
          <w:color w:val="231F20"/>
          <w:spacing w:val="-11"/>
          <w:sz w:val="20"/>
        </w:rPr>
        <w:t xml:space="preserve"> </w:t>
      </w:r>
      <w:r>
        <w:rPr>
          <w:color w:val="231F20"/>
          <w:sz w:val="20"/>
        </w:rPr>
        <w:t>‘to ensure</w:t>
      </w:r>
      <w:r>
        <w:rPr>
          <w:color w:val="231F20"/>
          <w:spacing w:val="-9"/>
          <w:sz w:val="20"/>
        </w:rPr>
        <w:t xml:space="preserve"> </w:t>
      </w:r>
      <w:r>
        <w:rPr>
          <w:color w:val="231F20"/>
          <w:sz w:val="20"/>
        </w:rPr>
        <w:t>police</w:t>
      </w:r>
      <w:r>
        <w:rPr>
          <w:color w:val="231F20"/>
          <w:spacing w:val="-9"/>
          <w:sz w:val="20"/>
        </w:rPr>
        <w:t xml:space="preserve"> </w:t>
      </w:r>
      <w:r>
        <w:rPr>
          <w:color w:val="231F20"/>
          <w:spacing w:val="-3"/>
          <w:sz w:val="20"/>
        </w:rPr>
        <w:t>are</w:t>
      </w:r>
      <w:r>
        <w:rPr>
          <w:color w:val="231F20"/>
          <w:spacing w:val="-9"/>
          <w:sz w:val="20"/>
        </w:rPr>
        <w:t xml:space="preserve"> </w:t>
      </w:r>
      <w:r>
        <w:rPr>
          <w:color w:val="231F20"/>
          <w:sz w:val="20"/>
        </w:rPr>
        <w:t>sufficiently</w:t>
      </w:r>
      <w:r>
        <w:rPr>
          <w:color w:val="231F20"/>
          <w:spacing w:val="-9"/>
          <w:sz w:val="20"/>
        </w:rPr>
        <w:t xml:space="preserve"> </w:t>
      </w:r>
      <w:r>
        <w:rPr>
          <w:color w:val="231F20"/>
          <w:spacing w:val="-3"/>
          <w:sz w:val="20"/>
        </w:rPr>
        <w:t>empowered</w:t>
      </w:r>
      <w:r>
        <w:rPr>
          <w:color w:val="231F20"/>
          <w:spacing w:val="-8"/>
          <w:sz w:val="20"/>
        </w:rPr>
        <w:t xml:space="preserve"> </w:t>
      </w:r>
      <w:r>
        <w:rPr>
          <w:color w:val="231F20"/>
          <w:sz w:val="20"/>
        </w:rPr>
        <w:t>to</w:t>
      </w:r>
      <w:r>
        <w:rPr>
          <w:color w:val="231F20"/>
          <w:spacing w:val="-9"/>
          <w:sz w:val="20"/>
        </w:rPr>
        <w:t xml:space="preserve"> </w:t>
      </w:r>
      <w:r>
        <w:rPr>
          <w:color w:val="231F20"/>
          <w:spacing w:val="-3"/>
          <w:sz w:val="20"/>
        </w:rPr>
        <w:t>investigate</w:t>
      </w:r>
      <w:r>
        <w:rPr>
          <w:color w:val="231F20"/>
          <w:spacing w:val="-9"/>
          <w:sz w:val="20"/>
        </w:rPr>
        <w:t xml:space="preserve"> </w:t>
      </w:r>
      <w:r>
        <w:rPr>
          <w:color w:val="231F20"/>
          <w:sz w:val="20"/>
        </w:rPr>
        <w:t>and</w:t>
      </w:r>
      <w:r>
        <w:rPr>
          <w:color w:val="231F20"/>
          <w:spacing w:val="-9"/>
          <w:sz w:val="20"/>
        </w:rPr>
        <w:t xml:space="preserve"> </w:t>
      </w:r>
      <w:r>
        <w:rPr>
          <w:color w:val="231F20"/>
          <w:spacing w:val="-3"/>
          <w:sz w:val="20"/>
        </w:rPr>
        <w:t>enforce</w:t>
      </w:r>
      <w:r>
        <w:rPr>
          <w:color w:val="231F20"/>
          <w:spacing w:val="-8"/>
          <w:sz w:val="20"/>
        </w:rPr>
        <w:t xml:space="preserve"> </w:t>
      </w:r>
      <w:r>
        <w:rPr>
          <w:color w:val="231F20"/>
          <w:sz w:val="20"/>
        </w:rPr>
        <w:t>these</w:t>
      </w:r>
      <w:r>
        <w:rPr>
          <w:color w:val="231F20"/>
          <w:spacing w:val="-9"/>
          <w:sz w:val="20"/>
        </w:rPr>
        <w:t xml:space="preserve"> </w:t>
      </w:r>
      <w:r>
        <w:rPr>
          <w:color w:val="231F20"/>
          <w:spacing w:val="-3"/>
          <w:sz w:val="20"/>
        </w:rPr>
        <w:t>crimes’.</w:t>
      </w:r>
      <w:r>
        <w:rPr>
          <w:color w:val="231F20"/>
          <w:spacing w:val="-3"/>
          <w:position w:val="7"/>
          <w:sz w:val="11"/>
        </w:rPr>
        <w:t>179</w:t>
      </w:r>
    </w:p>
    <w:p w14:paraId="71246D8A" w14:textId="77777777" w:rsidR="00894070" w:rsidRDefault="009B7AFD">
      <w:pPr>
        <w:pStyle w:val="ListParagraph"/>
        <w:numPr>
          <w:ilvl w:val="1"/>
          <w:numId w:val="161"/>
        </w:numPr>
        <w:tabs>
          <w:tab w:val="left" w:pos="1801"/>
          <w:tab w:val="left" w:pos="1802"/>
        </w:tabs>
        <w:spacing w:before="123" w:line="206" w:lineRule="auto"/>
        <w:ind w:right="1165"/>
        <w:rPr>
          <w:sz w:val="20"/>
        </w:rPr>
      </w:pPr>
      <w:r>
        <w:rPr>
          <w:color w:val="231F20"/>
          <w:sz w:val="20"/>
        </w:rPr>
        <w:t xml:space="preserve">In our report </w:t>
      </w:r>
      <w:r>
        <w:rPr>
          <w:i/>
          <w:color w:val="231F20"/>
          <w:spacing w:val="-3"/>
          <w:sz w:val="20"/>
        </w:rPr>
        <w:t xml:space="preserve">Improving </w:t>
      </w:r>
      <w:r>
        <w:rPr>
          <w:i/>
          <w:color w:val="231F20"/>
          <w:sz w:val="20"/>
        </w:rPr>
        <w:t xml:space="preserve">the Justice </w:t>
      </w:r>
      <w:r>
        <w:rPr>
          <w:i/>
          <w:color w:val="231F20"/>
          <w:spacing w:val="-3"/>
          <w:sz w:val="20"/>
        </w:rPr>
        <w:t xml:space="preserve">System </w:t>
      </w:r>
      <w:r>
        <w:rPr>
          <w:i/>
          <w:color w:val="231F20"/>
          <w:sz w:val="20"/>
        </w:rPr>
        <w:t xml:space="preserve">Response </w:t>
      </w:r>
      <w:r>
        <w:rPr>
          <w:i/>
          <w:color w:val="231F20"/>
          <w:spacing w:val="-3"/>
          <w:sz w:val="20"/>
        </w:rPr>
        <w:t xml:space="preserve">to </w:t>
      </w:r>
      <w:r>
        <w:rPr>
          <w:i/>
          <w:color w:val="231F20"/>
          <w:sz w:val="20"/>
        </w:rPr>
        <w:t xml:space="preserve">Sexual Offences </w:t>
      </w:r>
      <w:r>
        <w:rPr>
          <w:color w:val="231F20"/>
          <w:spacing w:val="-3"/>
          <w:sz w:val="20"/>
        </w:rPr>
        <w:t xml:space="preserve">(2021), we </w:t>
      </w:r>
      <w:r>
        <w:rPr>
          <w:color w:val="231F20"/>
          <w:sz w:val="20"/>
        </w:rPr>
        <w:t>recommended</w:t>
      </w:r>
      <w:r>
        <w:rPr>
          <w:color w:val="231F20"/>
          <w:spacing w:val="-11"/>
          <w:sz w:val="20"/>
        </w:rPr>
        <w:t xml:space="preserve"> </w:t>
      </w:r>
      <w:r>
        <w:rPr>
          <w:color w:val="231F20"/>
          <w:sz w:val="20"/>
        </w:rPr>
        <w:t>that</w:t>
      </w:r>
      <w:r>
        <w:rPr>
          <w:color w:val="231F20"/>
          <w:spacing w:val="-11"/>
          <w:sz w:val="20"/>
        </w:rPr>
        <w:t xml:space="preserve"> </w:t>
      </w:r>
      <w:r>
        <w:rPr>
          <w:color w:val="231F20"/>
          <w:spacing w:val="-3"/>
          <w:sz w:val="20"/>
        </w:rPr>
        <w:t>intimate</w:t>
      </w:r>
      <w:r>
        <w:rPr>
          <w:color w:val="231F20"/>
          <w:spacing w:val="-11"/>
          <w:sz w:val="20"/>
        </w:rPr>
        <w:t xml:space="preserve"> </w:t>
      </w:r>
      <w:r>
        <w:rPr>
          <w:color w:val="231F20"/>
          <w:sz w:val="20"/>
        </w:rPr>
        <w:t>image-based</w:t>
      </w:r>
      <w:r>
        <w:rPr>
          <w:color w:val="231F20"/>
          <w:spacing w:val="-10"/>
          <w:sz w:val="20"/>
        </w:rPr>
        <w:t xml:space="preserve"> </w:t>
      </w:r>
      <w:r>
        <w:rPr>
          <w:color w:val="231F20"/>
          <w:sz w:val="20"/>
        </w:rPr>
        <w:t>abuse</w:t>
      </w:r>
      <w:r>
        <w:rPr>
          <w:color w:val="231F20"/>
          <w:spacing w:val="-11"/>
          <w:sz w:val="20"/>
        </w:rPr>
        <w:t xml:space="preserve"> </w:t>
      </w:r>
      <w:r>
        <w:rPr>
          <w:color w:val="231F20"/>
          <w:sz w:val="20"/>
        </w:rPr>
        <w:t>offences</w:t>
      </w:r>
      <w:r>
        <w:rPr>
          <w:color w:val="231F20"/>
          <w:spacing w:val="-11"/>
          <w:sz w:val="20"/>
        </w:rPr>
        <w:t xml:space="preserve"> </w:t>
      </w:r>
      <w:r>
        <w:rPr>
          <w:color w:val="231F20"/>
          <w:sz w:val="20"/>
        </w:rPr>
        <w:t>be</w:t>
      </w:r>
      <w:r>
        <w:rPr>
          <w:color w:val="231F20"/>
          <w:spacing w:val="-11"/>
          <w:sz w:val="20"/>
        </w:rPr>
        <w:t xml:space="preserve"> </w:t>
      </w:r>
      <w:r>
        <w:rPr>
          <w:color w:val="231F20"/>
          <w:sz w:val="20"/>
        </w:rPr>
        <w:t>upgraded</w:t>
      </w:r>
      <w:r>
        <w:rPr>
          <w:color w:val="231F20"/>
          <w:spacing w:val="-10"/>
          <w:sz w:val="20"/>
        </w:rPr>
        <w:t xml:space="preserve"> </w:t>
      </w:r>
      <w:r>
        <w:rPr>
          <w:color w:val="231F20"/>
          <w:spacing w:val="-3"/>
          <w:sz w:val="20"/>
        </w:rPr>
        <w:t>from</w:t>
      </w:r>
      <w:r>
        <w:rPr>
          <w:color w:val="231F20"/>
          <w:spacing w:val="-11"/>
          <w:sz w:val="20"/>
        </w:rPr>
        <w:t xml:space="preserve"> </w:t>
      </w:r>
      <w:r>
        <w:rPr>
          <w:color w:val="231F20"/>
          <w:sz w:val="20"/>
        </w:rPr>
        <w:t xml:space="preserve">summary offences to indictable offences. One of the reasons </w:t>
      </w:r>
      <w:r>
        <w:rPr>
          <w:color w:val="231F20"/>
          <w:spacing w:val="-3"/>
          <w:sz w:val="20"/>
        </w:rPr>
        <w:t xml:space="preserve">we </w:t>
      </w:r>
      <w:r>
        <w:rPr>
          <w:color w:val="231F20"/>
          <w:sz w:val="20"/>
        </w:rPr>
        <w:t xml:space="preserve">suggested this change is to increase Victoria </w:t>
      </w:r>
      <w:r>
        <w:rPr>
          <w:color w:val="231F20"/>
          <w:spacing w:val="-3"/>
          <w:sz w:val="20"/>
        </w:rPr>
        <w:t xml:space="preserve">Police’s powers </w:t>
      </w:r>
      <w:r>
        <w:rPr>
          <w:color w:val="231F20"/>
          <w:sz w:val="20"/>
        </w:rPr>
        <w:t xml:space="preserve">to </w:t>
      </w:r>
      <w:r>
        <w:rPr>
          <w:color w:val="231F20"/>
          <w:spacing w:val="-3"/>
          <w:sz w:val="20"/>
        </w:rPr>
        <w:t xml:space="preserve">investigate </w:t>
      </w:r>
      <w:r>
        <w:rPr>
          <w:color w:val="231F20"/>
          <w:sz w:val="20"/>
        </w:rPr>
        <w:t>these matters, issue warrants and collect digital evidence.</w:t>
      </w:r>
      <w:r>
        <w:rPr>
          <w:color w:val="231F20"/>
          <w:position w:val="7"/>
          <w:sz w:val="11"/>
        </w:rPr>
        <w:t xml:space="preserve">180 </w:t>
      </w:r>
      <w:r>
        <w:rPr>
          <w:color w:val="231F20"/>
          <w:sz w:val="20"/>
        </w:rPr>
        <w:t xml:space="preserve">Implementing this recommendation </w:t>
      </w:r>
      <w:r>
        <w:rPr>
          <w:color w:val="231F20"/>
          <w:spacing w:val="-3"/>
          <w:sz w:val="20"/>
        </w:rPr>
        <w:t xml:space="preserve">would </w:t>
      </w:r>
      <w:r>
        <w:rPr>
          <w:color w:val="231F20"/>
          <w:sz w:val="20"/>
        </w:rPr>
        <w:t>also strengthen police</w:t>
      </w:r>
      <w:r>
        <w:rPr>
          <w:color w:val="231F20"/>
          <w:spacing w:val="-9"/>
          <w:sz w:val="20"/>
        </w:rPr>
        <w:t xml:space="preserve"> </w:t>
      </w:r>
      <w:r>
        <w:rPr>
          <w:color w:val="231F20"/>
          <w:spacing w:val="-3"/>
          <w:sz w:val="20"/>
        </w:rPr>
        <w:t>investigative</w:t>
      </w:r>
      <w:r>
        <w:rPr>
          <w:color w:val="231F20"/>
          <w:spacing w:val="-9"/>
          <w:sz w:val="20"/>
        </w:rPr>
        <w:t xml:space="preserve"> </w:t>
      </w:r>
      <w:r>
        <w:rPr>
          <w:color w:val="231F20"/>
          <w:spacing w:val="-3"/>
          <w:sz w:val="20"/>
        </w:rPr>
        <w:t>powers</w:t>
      </w:r>
      <w:r>
        <w:rPr>
          <w:color w:val="231F20"/>
          <w:spacing w:val="-9"/>
          <w:sz w:val="20"/>
        </w:rPr>
        <w:t xml:space="preserve"> </w:t>
      </w:r>
      <w:r>
        <w:rPr>
          <w:color w:val="231F20"/>
          <w:sz w:val="20"/>
        </w:rPr>
        <w:t>in</w:t>
      </w:r>
      <w:r>
        <w:rPr>
          <w:color w:val="231F20"/>
          <w:spacing w:val="-9"/>
          <w:sz w:val="20"/>
        </w:rPr>
        <w:t xml:space="preserve"> </w:t>
      </w:r>
      <w:r>
        <w:rPr>
          <w:color w:val="231F20"/>
          <w:sz w:val="20"/>
        </w:rPr>
        <w:t>relation</w:t>
      </w:r>
      <w:r>
        <w:rPr>
          <w:color w:val="231F20"/>
          <w:spacing w:val="-9"/>
          <w:sz w:val="20"/>
        </w:rPr>
        <w:t xml:space="preserve"> </w:t>
      </w:r>
      <w:r>
        <w:rPr>
          <w:color w:val="231F20"/>
          <w:sz w:val="20"/>
        </w:rPr>
        <w:t>to</w:t>
      </w:r>
      <w:r>
        <w:rPr>
          <w:color w:val="231F20"/>
          <w:spacing w:val="-9"/>
          <w:sz w:val="20"/>
        </w:rPr>
        <w:t xml:space="preserve"> </w:t>
      </w:r>
      <w:r>
        <w:rPr>
          <w:color w:val="231F20"/>
          <w:sz w:val="20"/>
        </w:rPr>
        <w:t>cyberstalking</w:t>
      </w:r>
      <w:r>
        <w:rPr>
          <w:color w:val="231F20"/>
          <w:spacing w:val="-9"/>
          <w:sz w:val="20"/>
        </w:rPr>
        <w:t xml:space="preserve"> </w:t>
      </w:r>
      <w:r>
        <w:rPr>
          <w:color w:val="231F20"/>
          <w:sz w:val="20"/>
        </w:rPr>
        <w:t>when</w:t>
      </w:r>
      <w:r>
        <w:rPr>
          <w:color w:val="231F20"/>
          <w:spacing w:val="-9"/>
          <w:sz w:val="20"/>
        </w:rPr>
        <w:t xml:space="preserve"> </w:t>
      </w:r>
      <w:r>
        <w:rPr>
          <w:color w:val="231F20"/>
          <w:sz w:val="20"/>
        </w:rPr>
        <w:t>it</w:t>
      </w:r>
      <w:r>
        <w:rPr>
          <w:color w:val="231F20"/>
          <w:spacing w:val="-9"/>
          <w:sz w:val="20"/>
        </w:rPr>
        <w:t xml:space="preserve"> </w:t>
      </w:r>
      <w:r>
        <w:rPr>
          <w:color w:val="231F20"/>
          <w:sz w:val="20"/>
        </w:rPr>
        <w:t>includes</w:t>
      </w:r>
      <w:r>
        <w:rPr>
          <w:color w:val="231F20"/>
          <w:spacing w:val="-9"/>
          <w:sz w:val="20"/>
        </w:rPr>
        <w:t xml:space="preserve"> </w:t>
      </w:r>
      <w:r>
        <w:rPr>
          <w:color w:val="231F20"/>
          <w:spacing w:val="-3"/>
          <w:sz w:val="20"/>
        </w:rPr>
        <w:t>intimate</w:t>
      </w:r>
      <w:r>
        <w:rPr>
          <w:color w:val="231F20"/>
          <w:spacing w:val="-8"/>
          <w:sz w:val="20"/>
        </w:rPr>
        <w:t xml:space="preserve"> </w:t>
      </w:r>
      <w:r>
        <w:rPr>
          <w:color w:val="231F20"/>
          <w:sz w:val="20"/>
        </w:rPr>
        <w:t>image- based</w:t>
      </w:r>
      <w:r>
        <w:rPr>
          <w:color w:val="231F20"/>
          <w:spacing w:val="-5"/>
          <w:sz w:val="20"/>
        </w:rPr>
        <w:t xml:space="preserve"> </w:t>
      </w:r>
      <w:r>
        <w:rPr>
          <w:color w:val="231F20"/>
          <w:sz w:val="20"/>
        </w:rPr>
        <w:t>abuse.</w:t>
      </w:r>
    </w:p>
    <w:p w14:paraId="1D8B32E2" w14:textId="77777777" w:rsidR="00894070" w:rsidRDefault="009F6793">
      <w:pPr>
        <w:pStyle w:val="BodyText"/>
        <w:spacing w:before="12"/>
        <w:rPr>
          <w:sz w:val="19"/>
        </w:rPr>
      </w:pPr>
      <w:r>
        <w:pict w14:anchorId="410AAFB9">
          <v:group id="_x0000_s1537" style="position:absolute;margin-left:62.35pt;margin-top:15.75pt;width:479.1pt;height:148.65pt;z-index:251515904;mso-wrap-distance-left:0;mso-wrap-distance-right:0;mso-position-horizontal-relative:page" coordorigin="1247,315" coordsize="9582,2973">
            <v:rect id="_x0000_s1542" style="position:absolute;left:1587;top:314;width:8731;height:2973" fillcolor="#fee7de" stroked="f"/>
            <v:line id="_x0000_s1541" style="position:absolute" from="1247,1122" to="10828,1122" strokecolor="white" strokeweight="2.5pt"/>
            <v:shape id="_x0000_s1540" type="#_x0000_t202" style="position:absolute;left:2381;top:1347;width:7656;height:1760" filled="f" stroked="f">
              <v:textbox inset="0,0,0,0">
                <w:txbxContent>
                  <w:p w14:paraId="061E6D7F" w14:textId="77777777" w:rsidR="00894070" w:rsidRDefault="009B7AFD">
                    <w:pPr>
                      <w:spacing w:line="247" w:lineRule="auto"/>
                      <w:rPr>
                        <w:rFonts w:ascii="Trebuchet MS"/>
                        <w:sz w:val="20"/>
                      </w:rPr>
                    </w:pPr>
                    <w:r>
                      <w:rPr>
                        <w:rFonts w:ascii="Trebuchet MS"/>
                        <w:color w:val="231F20"/>
                        <w:sz w:val="20"/>
                      </w:rPr>
                      <w:t xml:space="preserve">In implementing Recommendations 1-9 of the interim report, Victoria Police should ensure that frontline and specialist police improve their capability to identify, </w:t>
                    </w:r>
                    <w:r>
                      <w:rPr>
                        <w:rFonts w:ascii="Trebuchet MS"/>
                        <w:color w:val="231F20"/>
                        <w:w w:val="80"/>
                        <w:sz w:val="20"/>
                      </w:rPr>
                      <w:t>i</w:t>
                    </w:r>
                    <w:r>
                      <w:rPr>
                        <w:rFonts w:ascii="Trebuchet MS"/>
                        <w:color w:val="231F20"/>
                        <w:w w:val="107"/>
                        <w:sz w:val="20"/>
                      </w:rPr>
                      <w:t>n</w:t>
                    </w:r>
                    <w:r>
                      <w:rPr>
                        <w:rFonts w:ascii="Trebuchet MS"/>
                        <w:color w:val="231F20"/>
                        <w:w w:val="109"/>
                        <w:sz w:val="20"/>
                      </w:rPr>
                      <w:t>v</w:t>
                    </w:r>
                    <w:r>
                      <w:rPr>
                        <w:rFonts w:ascii="Trebuchet MS"/>
                        <w:color w:val="231F20"/>
                        <w:w w:val="108"/>
                        <w:sz w:val="20"/>
                      </w:rPr>
                      <w:t>e</w:t>
                    </w:r>
                    <w:r>
                      <w:rPr>
                        <w:rFonts w:ascii="Trebuchet MS"/>
                        <w:color w:val="231F20"/>
                        <w:w w:val="122"/>
                        <w:sz w:val="20"/>
                      </w:rPr>
                      <w:t>s</w:t>
                    </w:r>
                    <w:r>
                      <w:rPr>
                        <w:rFonts w:ascii="Trebuchet MS"/>
                        <w:color w:val="231F20"/>
                        <w:w w:val="88"/>
                        <w:sz w:val="20"/>
                      </w:rPr>
                      <w:t>t</w:t>
                    </w:r>
                    <w:r>
                      <w:rPr>
                        <w:rFonts w:ascii="Trebuchet MS"/>
                        <w:color w:val="231F20"/>
                        <w:w w:val="80"/>
                        <w:sz w:val="20"/>
                      </w:rPr>
                      <w:t>i</w:t>
                    </w:r>
                    <w:r>
                      <w:rPr>
                        <w:rFonts w:ascii="Trebuchet MS"/>
                        <w:color w:val="231F20"/>
                        <w:w w:val="124"/>
                        <w:sz w:val="20"/>
                      </w:rPr>
                      <w:t>g</w:t>
                    </w:r>
                    <w:r>
                      <w:rPr>
                        <w:rFonts w:ascii="Trebuchet MS"/>
                        <w:color w:val="231F20"/>
                        <w:w w:val="105"/>
                        <w:sz w:val="20"/>
                      </w:rPr>
                      <w:t>a</w:t>
                    </w:r>
                    <w:r>
                      <w:rPr>
                        <w:rFonts w:ascii="Trebuchet MS"/>
                        <w:color w:val="231F20"/>
                        <w:w w:val="88"/>
                        <w:sz w:val="20"/>
                      </w:rPr>
                      <w:t>t</w:t>
                    </w:r>
                    <w:r>
                      <w:rPr>
                        <w:rFonts w:ascii="Trebuchet MS"/>
                        <w:color w:val="231F20"/>
                        <w:w w:val="108"/>
                        <w:sz w:val="20"/>
                      </w:rPr>
                      <w:t>e</w:t>
                    </w:r>
                    <w:r>
                      <w:rPr>
                        <w:rFonts w:ascii="Trebuchet MS"/>
                        <w:color w:val="231F20"/>
                        <w:sz w:val="20"/>
                      </w:rPr>
                      <w:t xml:space="preserve"> </w:t>
                    </w:r>
                    <w:r>
                      <w:rPr>
                        <w:rFonts w:ascii="Trebuchet MS"/>
                        <w:color w:val="231F20"/>
                        <w:w w:val="105"/>
                        <w:sz w:val="20"/>
                      </w:rPr>
                      <w:t>a</w:t>
                    </w:r>
                    <w:r>
                      <w:rPr>
                        <w:rFonts w:ascii="Trebuchet MS"/>
                        <w:color w:val="231F20"/>
                        <w:w w:val="107"/>
                        <w:sz w:val="20"/>
                      </w:rPr>
                      <w:t>n</w:t>
                    </w:r>
                    <w:r>
                      <w:rPr>
                        <w:rFonts w:ascii="Trebuchet MS"/>
                        <w:color w:val="231F20"/>
                        <w:w w:val="112"/>
                        <w:sz w:val="20"/>
                      </w:rPr>
                      <w:t>d</w:t>
                    </w:r>
                    <w:r>
                      <w:rPr>
                        <w:rFonts w:ascii="Trebuchet MS"/>
                        <w:color w:val="231F20"/>
                        <w:sz w:val="20"/>
                      </w:rPr>
                      <w:t xml:space="preserve"> </w:t>
                    </w:r>
                    <w:r>
                      <w:rPr>
                        <w:rFonts w:ascii="Trebuchet MS"/>
                        <w:color w:val="231F20"/>
                        <w:w w:val="93"/>
                        <w:sz w:val="20"/>
                      </w:rPr>
                      <w:t>r</w:t>
                    </w:r>
                    <w:r>
                      <w:rPr>
                        <w:rFonts w:ascii="Trebuchet MS"/>
                        <w:color w:val="231F20"/>
                        <w:w w:val="108"/>
                        <w:sz w:val="20"/>
                      </w:rPr>
                      <w:t>e</w:t>
                    </w:r>
                    <w:r>
                      <w:rPr>
                        <w:rFonts w:ascii="Trebuchet MS"/>
                        <w:color w:val="231F20"/>
                        <w:w w:val="122"/>
                        <w:sz w:val="20"/>
                      </w:rPr>
                      <w:t>s</w:t>
                    </w:r>
                    <w:r>
                      <w:rPr>
                        <w:rFonts w:ascii="Trebuchet MS"/>
                        <w:color w:val="231F20"/>
                        <w:w w:val="111"/>
                        <w:sz w:val="20"/>
                      </w:rPr>
                      <w:t>po</w:t>
                    </w:r>
                    <w:r>
                      <w:rPr>
                        <w:rFonts w:ascii="Trebuchet MS"/>
                        <w:color w:val="231F20"/>
                        <w:w w:val="107"/>
                        <w:sz w:val="20"/>
                      </w:rPr>
                      <w:t>n</w:t>
                    </w:r>
                    <w:r>
                      <w:rPr>
                        <w:rFonts w:ascii="Trebuchet MS"/>
                        <w:color w:val="231F20"/>
                        <w:w w:val="112"/>
                        <w:sz w:val="20"/>
                      </w:rPr>
                      <w:t>d</w:t>
                    </w:r>
                    <w:r>
                      <w:rPr>
                        <w:rFonts w:ascii="Trebuchet MS"/>
                        <w:color w:val="231F20"/>
                        <w:sz w:val="20"/>
                      </w:rPr>
                      <w:t xml:space="preserve"> </w:t>
                    </w:r>
                    <w:r>
                      <w:rPr>
                        <w:rFonts w:ascii="Trebuchet MS"/>
                        <w:color w:val="231F20"/>
                        <w:w w:val="88"/>
                        <w:sz w:val="20"/>
                      </w:rPr>
                      <w:t>t</w:t>
                    </w:r>
                    <w:r>
                      <w:rPr>
                        <w:rFonts w:ascii="Trebuchet MS"/>
                        <w:color w:val="231F20"/>
                        <w:w w:val="111"/>
                        <w:sz w:val="20"/>
                      </w:rPr>
                      <w:t>o</w:t>
                    </w:r>
                    <w:r>
                      <w:rPr>
                        <w:rFonts w:ascii="Trebuchet MS"/>
                        <w:color w:val="231F20"/>
                        <w:sz w:val="20"/>
                      </w:rPr>
                      <w:t xml:space="preserve"> </w:t>
                    </w:r>
                    <w:r>
                      <w:rPr>
                        <w:rFonts w:ascii="Trebuchet MS"/>
                        <w:color w:val="231F20"/>
                        <w:w w:val="107"/>
                        <w:sz w:val="20"/>
                      </w:rPr>
                      <w:t>n</w:t>
                    </w:r>
                    <w:r>
                      <w:rPr>
                        <w:rFonts w:ascii="Trebuchet MS"/>
                        <w:color w:val="231F20"/>
                        <w:w w:val="111"/>
                        <w:sz w:val="20"/>
                      </w:rPr>
                      <w:t>o</w:t>
                    </w:r>
                    <w:r>
                      <w:rPr>
                        <w:rFonts w:ascii="Trebuchet MS"/>
                        <w:color w:val="231F20"/>
                        <w:w w:val="107"/>
                        <w:sz w:val="20"/>
                      </w:rPr>
                      <w:t>n</w:t>
                    </w:r>
                    <w:r>
                      <w:rPr>
                        <w:rFonts w:ascii="Trebuchet MS"/>
                        <w:color w:val="231F20"/>
                        <w:w w:val="115"/>
                        <w:sz w:val="20"/>
                      </w:rPr>
                      <w:t>-</w:t>
                    </w:r>
                    <w:r>
                      <w:rPr>
                        <w:rFonts w:ascii="Trebuchet MS"/>
                        <w:color w:val="231F20"/>
                        <w:w w:val="92"/>
                        <w:sz w:val="20"/>
                      </w:rPr>
                      <w:t>f</w:t>
                    </w:r>
                    <w:r>
                      <w:rPr>
                        <w:rFonts w:ascii="Trebuchet MS"/>
                        <w:color w:val="231F20"/>
                        <w:w w:val="105"/>
                        <w:sz w:val="20"/>
                      </w:rPr>
                      <w:t>a</w:t>
                    </w:r>
                    <w:r>
                      <w:rPr>
                        <w:rFonts w:ascii="Trebuchet MS"/>
                        <w:color w:val="231F20"/>
                        <w:w w:val="111"/>
                        <w:sz w:val="20"/>
                      </w:rPr>
                      <w:t>m</w:t>
                    </w:r>
                    <w:r>
                      <w:rPr>
                        <w:rFonts w:ascii="Trebuchet MS"/>
                        <w:color w:val="231F20"/>
                        <w:w w:val="80"/>
                        <w:sz w:val="20"/>
                      </w:rPr>
                      <w:t>i</w:t>
                    </w:r>
                    <w:r>
                      <w:rPr>
                        <w:rFonts w:ascii="Trebuchet MS"/>
                        <w:color w:val="231F20"/>
                        <w:w w:val="96"/>
                        <w:sz w:val="20"/>
                      </w:rPr>
                      <w:t>l</w:t>
                    </w:r>
                    <w:r>
                      <w:rPr>
                        <w:rFonts w:ascii="Trebuchet MS"/>
                        <w:color w:val="231F20"/>
                        <w:w w:val="110"/>
                        <w:sz w:val="20"/>
                      </w:rPr>
                      <w:t>y</w:t>
                    </w:r>
                    <w:r>
                      <w:rPr>
                        <w:rFonts w:ascii="Trebuchet MS"/>
                        <w:color w:val="231F20"/>
                        <w:sz w:val="20"/>
                      </w:rPr>
                      <w:t xml:space="preserve"> </w:t>
                    </w:r>
                    <w:r>
                      <w:rPr>
                        <w:rFonts w:ascii="Trebuchet MS"/>
                        <w:color w:val="231F20"/>
                        <w:w w:val="109"/>
                        <w:sz w:val="20"/>
                      </w:rPr>
                      <w:t>v</w:t>
                    </w:r>
                    <w:r>
                      <w:rPr>
                        <w:rFonts w:ascii="Trebuchet MS"/>
                        <w:color w:val="231F20"/>
                        <w:w w:val="80"/>
                        <w:sz w:val="20"/>
                      </w:rPr>
                      <w:t>i</w:t>
                    </w:r>
                    <w:r>
                      <w:rPr>
                        <w:rFonts w:ascii="Trebuchet MS"/>
                        <w:color w:val="231F20"/>
                        <w:w w:val="111"/>
                        <w:sz w:val="20"/>
                      </w:rPr>
                      <w:t>o</w:t>
                    </w:r>
                    <w:r>
                      <w:rPr>
                        <w:rFonts w:ascii="Trebuchet MS"/>
                        <w:color w:val="231F20"/>
                        <w:w w:val="96"/>
                        <w:sz w:val="20"/>
                      </w:rPr>
                      <w:t>l</w:t>
                    </w:r>
                    <w:r>
                      <w:rPr>
                        <w:rFonts w:ascii="Trebuchet MS"/>
                        <w:color w:val="231F20"/>
                        <w:w w:val="108"/>
                        <w:sz w:val="20"/>
                      </w:rPr>
                      <w:t>e</w:t>
                    </w:r>
                    <w:r>
                      <w:rPr>
                        <w:rFonts w:ascii="Trebuchet MS"/>
                        <w:color w:val="231F20"/>
                        <w:w w:val="107"/>
                        <w:sz w:val="20"/>
                      </w:rPr>
                      <w:t>n</w:t>
                    </w:r>
                    <w:r>
                      <w:rPr>
                        <w:rFonts w:ascii="Trebuchet MS"/>
                        <w:color w:val="231F20"/>
                        <w:w w:val="111"/>
                        <w:sz w:val="20"/>
                      </w:rPr>
                      <w:t>c</w:t>
                    </w:r>
                    <w:r>
                      <w:rPr>
                        <w:rFonts w:ascii="Trebuchet MS"/>
                        <w:color w:val="231F20"/>
                        <w:w w:val="108"/>
                        <w:sz w:val="20"/>
                      </w:rPr>
                      <w:t>e</w:t>
                    </w:r>
                    <w:r>
                      <w:rPr>
                        <w:rFonts w:ascii="Trebuchet MS"/>
                        <w:color w:val="231F20"/>
                        <w:sz w:val="20"/>
                      </w:rPr>
                      <w:t xml:space="preserve"> </w:t>
                    </w:r>
                    <w:r>
                      <w:rPr>
                        <w:rFonts w:ascii="Trebuchet MS"/>
                        <w:color w:val="231F20"/>
                        <w:w w:val="111"/>
                        <w:sz w:val="20"/>
                      </w:rPr>
                      <w:t>cyb</w:t>
                    </w:r>
                    <w:r>
                      <w:rPr>
                        <w:rFonts w:ascii="Trebuchet MS"/>
                        <w:color w:val="231F20"/>
                        <w:w w:val="108"/>
                        <w:sz w:val="20"/>
                      </w:rPr>
                      <w:t>e</w:t>
                    </w:r>
                    <w:r>
                      <w:rPr>
                        <w:rFonts w:ascii="Trebuchet MS"/>
                        <w:color w:val="231F20"/>
                        <w:w w:val="93"/>
                        <w:sz w:val="20"/>
                      </w:rPr>
                      <w:t>r</w:t>
                    </w:r>
                    <w:r>
                      <w:rPr>
                        <w:rFonts w:ascii="Trebuchet MS"/>
                        <w:color w:val="231F20"/>
                        <w:w w:val="122"/>
                        <w:sz w:val="20"/>
                      </w:rPr>
                      <w:t>s</w:t>
                    </w:r>
                    <w:r>
                      <w:rPr>
                        <w:rFonts w:ascii="Trebuchet MS"/>
                        <w:color w:val="231F20"/>
                        <w:w w:val="88"/>
                        <w:sz w:val="20"/>
                      </w:rPr>
                      <w:t>t</w:t>
                    </w:r>
                    <w:r>
                      <w:rPr>
                        <w:rFonts w:ascii="Trebuchet MS"/>
                        <w:color w:val="231F20"/>
                        <w:w w:val="105"/>
                        <w:sz w:val="20"/>
                      </w:rPr>
                      <w:t>a</w:t>
                    </w:r>
                    <w:r>
                      <w:rPr>
                        <w:rFonts w:ascii="Trebuchet MS"/>
                        <w:color w:val="231F20"/>
                        <w:w w:val="96"/>
                        <w:sz w:val="20"/>
                      </w:rPr>
                      <w:t>l</w:t>
                    </w:r>
                    <w:r>
                      <w:rPr>
                        <w:rFonts w:ascii="Trebuchet MS"/>
                        <w:color w:val="231F20"/>
                        <w:w w:val="106"/>
                        <w:sz w:val="20"/>
                      </w:rPr>
                      <w:t>k</w:t>
                    </w:r>
                    <w:r>
                      <w:rPr>
                        <w:rFonts w:ascii="Trebuchet MS"/>
                        <w:color w:val="231F20"/>
                        <w:w w:val="80"/>
                        <w:sz w:val="20"/>
                      </w:rPr>
                      <w:t>i</w:t>
                    </w:r>
                    <w:r>
                      <w:rPr>
                        <w:rFonts w:ascii="Trebuchet MS"/>
                        <w:color w:val="231F20"/>
                        <w:w w:val="107"/>
                        <w:sz w:val="20"/>
                      </w:rPr>
                      <w:t>n</w:t>
                    </w:r>
                    <w:r>
                      <w:rPr>
                        <w:rFonts w:ascii="Trebuchet MS"/>
                        <w:color w:val="231F20"/>
                        <w:w w:val="124"/>
                        <w:sz w:val="20"/>
                      </w:rPr>
                      <w:t>g</w:t>
                    </w:r>
                    <w:r>
                      <w:rPr>
                        <w:rFonts w:ascii="Trebuchet MS"/>
                        <w:color w:val="231F20"/>
                        <w:w w:val="55"/>
                        <w:sz w:val="20"/>
                      </w:rPr>
                      <w:t>.</w:t>
                    </w:r>
                  </w:p>
                  <w:p w14:paraId="585B5AC1" w14:textId="77777777" w:rsidR="00894070" w:rsidRDefault="009B7AFD">
                    <w:pPr>
                      <w:spacing w:before="87" w:line="247" w:lineRule="auto"/>
                      <w:rPr>
                        <w:rFonts w:ascii="Trebuchet MS"/>
                        <w:sz w:val="20"/>
                      </w:rPr>
                    </w:pPr>
                    <w:r>
                      <w:rPr>
                        <w:rFonts w:ascii="Trebuchet MS"/>
                        <w:color w:val="231F20"/>
                        <w:w w:val="105"/>
                        <w:sz w:val="20"/>
                      </w:rPr>
                      <w:t>In</w:t>
                    </w:r>
                    <w:r>
                      <w:rPr>
                        <w:rFonts w:ascii="Trebuchet MS"/>
                        <w:color w:val="231F20"/>
                        <w:spacing w:val="-25"/>
                        <w:w w:val="105"/>
                        <w:sz w:val="20"/>
                      </w:rPr>
                      <w:t xml:space="preserve"> </w:t>
                    </w:r>
                    <w:r>
                      <w:rPr>
                        <w:rFonts w:ascii="Trebuchet MS"/>
                        <w:color w:val="231F20"/>
                        <w:w w:val="105"/>
                        <w:sz w:val="20"/>
                      </w:rPr>
                      <w:t>implementing</w:t>
                    </w:r>
                    <w:r>
                      <w:rPr>
                        <w:rFonts w:ascii="Trebuchet MS"/>
                        <w:color w:val="231F20"/>
                        <w:spacing w:val="-24"/>
                        <w:w w:val="105"/>
                        <w:sz w:val="20"/>
                      </w:rPr>
                      <w:t xml:space="preserve"> </w:t>
                    </w:r>
                    <w:r>
                      <w:rPr>
                        <w:rFonts w:ascii="Trebuchet MS"/>
                        <w:color w:val="231F20"/>
                        <w:w w:val="105"/>
                        <w:sz w:val="20"/>
                      </w:rPr>
                      <w:t>Recommendation</w:t>
                    </w:r>
                    <w:r>
                      <w:rPr>
                        <w:rFonts w:ascii="Trebuchet MS"/>
                        <w:color w:val="231F20"/>
                        <w:spacing w:val="-25"/>
                        <w:w w:val="105"/>
                        <w:sz w:val="20"/>
                      </w:rPr>
                      <w:t xml:space="preserve"> </w:t>
                    </w:r>
                    <w:r>
                      <w:rPr>
                        <w:rFonts w:ascii="Trebuchet MS"/>
                        <w:color w:val="231F20"/>
                        <w:w w:val="105"/>
                        <w:sz w:val="20"/>
                      </w:rPr>
                      <w:t>8</w:t>
                    </w:r>
                    <w:r>
                      <w:rPr>
                        <w:rFonts w:ascii="Trebuchet MS"/>
                        <w:color w:val="231F20"/>
                        <w:spacing w:val="-24"/>
                        <w:w w:val="105"/>
                        <w:sz w:val="20"/>
                      </w:rPr>
                      <w:t xml:space="preserve"> </w:t>
                    </w:r>
                    <w:r>
                      <w:rPr>
                        <w:rFonts w:ascii="Trebuchet MS"/>
                        <w:color w:val="231F20"/>
                        <w:w w:val="105"/>
                        <w:sz w:val="20"/>
                      </w:rPr>
                      <w:t>of</w:t>
                    </w:r>
                    <w:r>
                      <w:rPr>
                        <w:rFonts w:ascii="Trebuchet MS"/>
                        <w:color w:val="231F20"/>
                        <w:spacing w:val="-25"/>
                        <w:w w:val="105"/>
                        <w:sz w:val="20"/>
                      </w:rPr>
                      <w:t xml:space="preserve"> </w:t>
                    </w:r>
                    <w:r>
                      <w:rPr>
                        <w:rFonts w:ascii="Trebuchet MS"/>
                        <w:color w:val="231F20"/>
                        <w:w w:val="105"/>
                        <w:sz w:val="20"/>
                      </w:rPr>
                      <w:t>the</w:t>
                    </w:r>
                    <w:r>
                      <w:rPr>
                        <w:rFonts w:ascii="Trebuchet MS"/>
                        <w:color w:val="231F20"/>
                        <w:spacing w:val="-24"/>
                        <w:w w:val="105"/>
                        <w:sz w:val="20"/>
                      </w:rPr>
                      <w:t xml:space="preserve"> </w:t>
                    </w:r>
                    <w:r>
                      <w:rPr>
                        <w:rFonts w:ascii="Trebuchet MS"/>
                        <w:color w:val="231F20"/>
                        <w:spacing w:val="-3"/>
                        <w:w w:val="105"/>
                        <w:sz w:val="20"/>
                      </w:rPr>
                      <w:t>interim</w:t>
                    </w:r>
                    <w:r>
                      <w:rPr>
                        <w:rFonts w:ascii="Trebuchet MS"/>
                        <w:color w:val="231F20"/>
                        <w:spacing w:val="-25"/>
                        <w:w w:val="105"/>
                        <w:sz w:val="20"/>
                      </w:rPr>
                      <w:t xml:space="preserve"> </w:t>
                    </w:r>
                    <w:r>
                      <w:rPr>
                        <w:rFonts w:ascii="Trebuchet MS"/>
                        <w:color w:val="231F20"/>
                        <w:w w:val="105"/>
                        <w:sz w:val="20"/>
                      </w:rPr>
                      <w:t>report,</w:t>
                    </w:r>
                    <w:r>
                      <w:rPr>
                        <w:rFonts w:ascii="Trebuchet MS"/>
                        <w:color w:val="231F20"/>
                        <w:spacing w:val="-24"/>
                        <w:w w:val="105"/>
                        <w:sz w:val="20"/>
                      </w:rPr>
                      <w:t xml:space="preserve"> </w:t>
                    </w:r>
                    <w:r>
                      <w:rPr>
                        <w:rFonts w:ascii="Trebuchet MS"/>
                        <w:color w:val="231F20"/>
                        <w:w w:val="105"/>
                        <w:sz w:val="20"/>
                      </w:rPr>
                      <w:t>Victoria</w:t>
                    </w:r>
                    <w:r>
                      <w:rPr>
                        <w:rFonts w:ascii="Trebuchet MS"/>
                        <w:color w:val="231F20"/>
                        <w:spacing w:val="-25"/>
                        <w:w w:val="105"/>
                        <w:sz w:val="20"/>
                      </w:rPr>
                      <w:t xml:space="preserve"> </w:t>
                    </w:r>
                    <w:r>
                      <w:rPr>
                        <w:rFonts w:ascii="Trebuchet MS"/>
                        <w:color w:val="231F20"/>
                        <w:w w:val="105"/>
                        <w:sz w:val="20"/>
                      </w:rPr>
                      <w:t>Police</w:t>
                    </w:r>
                    <w:r>
                      <w:rPr>
                        <w:rFonts w:ascii="Trebuchet MS"/>
                        <w:color w:val="231F20"/>
                        <w:spacing w:val="-24"/>
                        <w:w w:val="105"/>
                        <w:sz w:val="20"/>
                      </w:rPr>
                      <w:t xml:space="preserve"> </w:t>
                    </w:r>
                    <w:r>
                      <w:rPr>
                        <w:rFonts w:ascii="Trebuchet MS"/>
                        <w:color w:val="231F20"/>
                        <w:w w:val="105"/>
                        <w:sz w:val="20"/>
                      </w:rPr>
                      <w:t xml:space="preserve">should ensure that referrals </w:t>
                    </w:r>
                    <w:r>
                      <w:rPr>
                        <w:rFonts w:ascii="Trebuchet MS"/>
                        <w:color w:val="231F20"/>
                        <w:spacing w:val="-2"/>
                        <w:w w:val="105"/>
                        <w:sz w:val="20"/>
                      </w:rPr>
                      <w:t xml:space="preserve">are </w:t>
                    </w:r>
                    <w:r>
                      <w:rPr>
                        <w:rFonts w:ascii="Trebuchet MS"/>
                        <w:color w:val="231F20"/>
                        <w:w w:val="105"/>
                        <w:sz w:val="20"/>
                      </w:rPr>
                      <w:t xml:space="preserve">made efficiently to services that </w:t>
                    </w:r>
                    <w:r>
                      <w:rPr>
                        <w:rFonts w:ascii="Trebuchet MS"/>
                        <w:color w:val="231F20"/>
                        <w:spacing w:val="-3"/>
                        <w:w w:val="105"/>
                        <w:sz w:val="20"/>
                      </w:rPr>
                      <w:t xml:space="preserve">provide </w:t>
                    </w:r>
                    <w:r>
                      <w:rPr>
                        <w:rFonts w:ascii="Trebuchet MS"/>
                        <w:color w:val="231F20"/>
                        <w:w w:val="105"/>
                        <w:sz w:val="20"/>
                      </w:rPr>
                      <w:t xml:space="preserve">technical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1"/>
                        <w:w w:val="111"/>
                        <w:sz w:val="20"/>
                      </w:rPr>
                      <w:t>ppo</w:t>
                    </w:r>
                    <w:r>
                      <w:rPr>
                        <w:rFonts w:ascii="Trebuchet MS"/>
                        <w:color w:val="231F20"/>
                        <w:spacing w:val="2"/>
                        <w:w w:val="93"/>
                        <w:sz w:val="20"/>
                      </w:rPr>
                      <w:t>r</w:t>
                    </w:r>
                    <w:r>
                      <w:rPr>
                        <w:rFonts w:ascii="Trebuchet MS"/>
                        <w:color w:val="231F20"/>
                        <w:w w:val="88"/>
                        <w:sz w:val="20"/>
                      </w:rPr>
                      <w:t>t</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1"/>
                        <w:sz w:val="20"/>
                      </w:rPr>
                      <w:t>cy</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2"/>
                        <w:w w:val="88"/>
                        <w:sz w:val="20"/>
                      </w:rPr>
                      <w:t>t</w:t>
                    </w:r>
                    <w:r>
                      <w:rPr>
                        <w:rFonts w:ascii="Trebuchet MS"/>
                        <w:color w:val="231F20"/>
                        <w:spacing w:val="-2"/>
                        <w:w w:val="80"/>
                        <w:sz w:val="20"/>
                      </w:rPr>
                      <w:t>i</w:t>
                    </w:r>
                    <w:r>
                      <w:rPr>
                        <w:rFonts w:ascii="Trebuchet MS"/>
                        <w:color w:val="231F20"/>
                        <w:w w:val="111"/>
                        <w:sz w:val="20"/>
                      </w:rPr>
                      <w:t>m</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3"/>
                        <w:w w:val="93"/>
                        <w:sz w:val="20"/>
                      </w:rPr>
                      <w:t>r</w:t>
                    </w:r>
                    <w:r>
                      <w:rPr>
                        <w:rFonts w:ascii="Trebuchet MS"/>
                        <w:color w:val="231F20"/>
                        <w:spacing w:val="-2"/>
                        <w:w w:val="109"/>
                        <w:sz w:val="20"/>
                      </w:rPr>
                      <w:t>v</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11"/>
                        <w:sz w:val="20"/>
                      </w:rPr>
                      <w:t>o</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w w:val="105"/>
                        <w:sz w:val="20"/>
                      </w:rPr>
                      <w:t>a</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22"/>
                        <w:sz w:val="20"/>
                      </w:rPr>
                      <w:t>s</w:t>
                    </w:r>
                    <w:r>
                      <w:rPr>
                        <w:rFonts w:ascii="Trebuchet MS"/>
                        <w:color w:val="231F20"/>
                        <w:spacing w:val="-3"/>
                        <w:w w:val="108"/>
                        <w:sz w:val="20"/>
                      </w:rPr>
                      <w:t>e</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3"/>
                        <w:w w:val="109"/>
                        <w:sz w:val="20"/>
                      </w:rPr>
                      <w:t>u</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 xml:space="preserve">n </w:t>
                    </w:r>
                    <w:r>
                      <w:rPr>
                        <w:rFonts w:ascii="Trebuchet MS"/>
                        <w:color w:val="231F20"/>
                        <w:spacing w:val="-3"/>
                        <w:w w:val="112"/>
                        <w:sz w:val="20"/>
                      </w:rPr>
                      <w:t>R</w:t>
                    </w:r>
                    <w:r>
                      <w:rPr>
                        <w:rFonts w:ascii="Trebuchet MS"/>
                        <w:color w:val="231F20"/>
                        <w:w w:val="108"/>
                        <w:sz w:val="20"/>
                      </w:rPr>
                      <w:t>e</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11"/>
                        <w:sz w:val="20"/>
                      </w:rPr>
                      <w:t>m</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w w:val="102"/>
                        <w:sz w:val="20"/>
                      </w:rPr>
                      <w:t>7</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2"/>
                        <w:w w:val="107"/>
                        <w:sz w:val="20"/>
                      </w:rPr>
                      <w:t>h</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1"/>
                        <w:w w:val="108"/>
                        <w:sz w:val="20"/>
                      </w:rPr>
                      <w:t>e</w:t>
                    </w:r>
                    <w:r>
                      <w:rPr>
                        <w:rFonts w:ascii="Trebuchet MS"/>
                        <w:color w:val="231F20"/>
                        <w:spacing w:val="-1"/>
                        <w:w w:val="111"/>
                        <w:sz w:val="20"/>
                      </w:rPr>
                      <w:t>po</w:t>
                    </w:r>
                    <w:r>
                      <w:rPr>
                        <w:rFonts w:ascii="Trebuchet MS"/>
                        <w:color w:val="231F20"/>
                        <w:spacing w:val="2"/>
                        <w:w w:val="93"/>
                        <w:sz w:val="20"/>
                      </w:rPr>
                      <w:t>r</w:t>
                    </w:r>
                    <w:r>
                      <w:rPr>
                        <w:rFonts w:ascii="Trebuchet MS"/>
                        <w:color w:val="231F20"/>
                        <w:spacing w:val="1"/>
                        <w:w w:val="88"/>
                        <w:sz w:val="20"/>
                      </w:rPr>
                      <w:t>t</w:t>
                    </w:r>
                    <w:r>
                      <w:rPr>
                        <w:rFonts w:ascii="Trebuchet MS"/>
                        <w:color w:val="231F20"/>
                        <w:w w:val="55"/>
                        <w:sz w:val="20"/>
                      </w:rPr>
                      <w:t>.</w:t>
                    </w:r>
                  </w:p>
                </w:txbxContent>
              </v:textbox>
            </v:shape>
            <v:shape id="_x0000_s1539" type="#_x0000_t202" style="position:absolute;left:1814;top:1347;width:174;height:1040" filled="f" stroked="f">
              <v:textbox inset="0,0,0,0">
                <w:txbxContent>
                  <w:p w14:paraId="27B2D02E" w14:textId="77777777" w:rsidR="00894070" w:rsidRDefault="009B7AFD">
                    <w:pPr>
                      <w:rPr>
                        <w:rFonts w:ascii="Trebuchet MS"/>
                        <w:sz w:val="20"/>
                      </w:rPr>
                    </w:pPr>
                    <w:r>
                      <w:rPr>
                        <w:rFonts w:ascii="Trebuchet MS"/>
                        <w:color w:val="231F20"/>
                        <w:w w:val="90"/>
                        <w:sz w:val="20"/>
                      </w:rPr>
                      <w:t>2.</w:t>
                    </w:r>
                  </w:p>
                  <w:p w14:paraId="11E93B4C" w14:textId="77777777" w:rsidR="00894070" w:rsidRDefault="00894070"/>
                  <w:p w14:paraId="3B948A22" w14:textId="77777777" w:rsidR="00894070" w:rsidRDefault="00894070">
                    <w:pPr>
                      <w:spacing w:before="3"/>
                      <w:rPr>
                        <w:sz w:val="19"/>
                      </w:rPr>
                    </w:pPr>
                  </w:p>
                  <w:p w14:paraId="4C8404AE" w14:textId="77777777" w:rsidR="00894070" w:rsidRDefault="009B7AFD">
                    <w:pPr>
                      <w:spacing w:before="1"/>
                      <w:rPr>
                        <w:rFonts w:ascii="Trebuchet MS"/>
                        <w:sz w:val="20"/>
                      </w:rPr>
                    </w:pPr>
                    <w:r>
                      <w:rPr>
                        <w:rFonts w:ascii="Trebuchet MS"/>
                        <w:color w:val="231F20"/>
                        <w:w w:val="90"/>
                        <w:sz w:val="20"/>
                      </w:rPr>
                      <w:t>3.</w:t>
                    </w:r>
                  </w:p>
                </w:txbxContent>
              </v:textbox>
            </v:shape>
            <v:shape id="_x0000_s1538" type="#_x0000_t202" style="position:absolute;left:1587;top:314;width:8731;height:783" fillcolor="#fee7de" stroked="f">
              <v:textbox inset="0,0,0,0">
                <w:txbxContent>
                  <w:p w14:paraId="470FF4FB" w14:textId="77777777" w:rsidR="00894070" w:rsidRDefault="009B7AFD">
                    <w:pPr>
                      <w:spacing w:before="158"/>
                      <w:ind w:left="226"/>
                      <w:rPr>
                        <w:rFonts w:ascii="Raleway ExtraBold"/>
                        <w:b/>
                        <w:sz w:val="32"/>
                      </w:rPr>
                    </w:pPr>
                    <w:r>
                      <w:rPr>
                        <w:rFonts w:ascii="Raleway ExtraBold"/>
                        <w:b/>
                        <w:color w:val="EA5B50"/>
                        <w:sz w:val="32"/>
                      </w:rPr>
                      <w:t>Recommendations</w:t>
                    </w:r>
                  </w:p>
                </w:txbxContent>
              </v:textbox>
            </v:shape>
            <w10:wrap type="topAndBottom" anchorx="page"/>
          </v:group>
        </w:pict>
      </w:r>
    </w:p>
    <w:p w14:paraId="002BC360" w14:textId="77777777" w:rsidR="00894070" w:rsidRDefault="00894070">
      <w:pPr>
        <w:pStyle w:val="BodyText"/>
      </w:pPr>
    </w:p>
    <w:p w14:paraId="29F2E0FD" w14:textId="77777777" w:rsidR="00894070" w:rsidRDefault="009B7AFD">
      <w:pPr>
        <w:pStyle w:val="Heading7"/>
        <w:spacing w:before="187"/>
      </w:pPr>
      <w:r>
        <w:rPr>
          <w:color w:val="EA5B50"/>
        </w:rPr>
        <w:t>Work is under way to keep people safe online</w:t>
      </w:r>
    </w:p>
    <w:p w14:paraId="65AE1CB5" w14:textId="77777777" w:rsidR="00894070" w:rsidRDefault="009B7AFD">
      <w:pPr>
        <w:pStyle w:val="ListParagraph"/>
        <w:numPr>
          <w:ilvl w:val="1"/>
          <w:numId w:val="161"/>
        </w:numPr>
        <w:tabs>
          <w:tab w:val="left" w:pos="1801"/>
          <w:tab w:val="left" w:pos="1802"/>
        </w:tabs>
        <w:spacing w:before="146" w:line="206" w:lineRule="auto"/>
        <w:ind w:right="1550"/>
        <w:rPr>
          <w:sz w:val="11"/>
        </w:rPr>
      </w:pPr>
      <w:r>
        <w:rPr>
          <w:color w:val="231F20"/>
          <w:spacing w:val="-4"/>
          <w:sz w:val="20"/>
        </w:rPr>
        <w:t>Work</w:t>
      </w:r>
      <w:r>
        <w:rPr>
          <w:color w:val="231F20"/>
          <w:spacing w:val="-8"/>
          <w:sz w:val="20"/>
        </w:rPr>
        <w:t xml:space="preserve"> </w:t>
      </w:r>
      <w:r>
        <w:rPr>
          <w:color w:val="231F20"/>
          <w:sz w:val="20"/>
        </w:rPr>
        <w:t>is</w:t>
      </w:r>
      <w:r>
        <w:rPr>
          <w:color w:val="231F20"/>
          <w:spacing w:val="-8"/>
          <w:sz w:val="20"/>
        </w:rPr>
        <w:t xml:space="preserve"> </w:t>
      </w:r>
      <w:r>
        <w:rPr>
          <w:color w:val="231F20"/>
          <w:sz w:val="20"/>
        </w:rPr>
        <w:t>being</w:t>
      </w:r>
      <w:r>
        <w:rPr>
          <w:color w:val="231F20"/>
          <w:spacing w:val="-7"/>
          <w:sz w:val="20"/>
        </w:rPr>
        <w:t xml:space="preserve"> </w:t>
      </w:r>
      <w:r>
        <w:rPr>
          <w:color w:val="231F20"/>
          <w:sz w:val="20"/>
        </w:rPr>
        <w:t>done</w:t>
      </w:r>
      <w:r>
        <w:rPr>
          <w:color w:val="231F20"/>
          <w:spacing w:val="-8"/>
          <w:sz w:val="20"/>
        </w:rPr>
        <w:t xml:space="preserve"> </w:t>
      </w:r>
      <w:r>
        <w:rPr>
          <w:color w:val="231F20"/>
          <w:sz w:val="20"/>
        </w:rPr>
        <w:t>at</w:t>
      </w:r>
      <w:r>
        <w:rPr>
          <w:color w:val="231F20"/>
          <w:spacing w:val="-7"/>
          <w:sz w:val="20"/>
        </w:rPr>
        <w:t xml:space="preserve"> </w:t>
      </w:r>
      <w:r>
        <w:rPr>
          <w:color w:val="231F20"/>
          <w:sz w:val="20"/>
        </w:rPr>
        <w:t>the</w:t>
      </w:r>
      <w:r>
        <w:rPr>
          <w:color w:val="231F20"/>
          <w:spacing w:val="-8"/>
          <w:sz w:val="20"/>
        </w:rPr>
        <w:t xml:space="preserve"> </w:t>
      </w:r>
      <w:r>
        <w:rPr>
          <w:color w:val="231F20"/>
          <w:sz w:val="20"/>
        </w:rPr>
        <w:t>state</w:t>
      </w:r>
      <w:r>
        <w:rPr>
          <w:color w:val="231F20"/>
          <w:spacing w:val="-8"/>
          <w:sz w:val="20"/>
        </w:rPr>
        <w:t xml:space="preserve"> </w:t>
      </w:r>
      <w:r>
        <w:rPr>
          <w:color w:val="231F20"/>
          <w:sz w:val="20"/>
        </w:rPr>
        <w:t>and</w:t>
      </w:r>
      <w:r>
        <w:rPr>
          <w:color w:val="231F20"/>
          <w:spacing w:val="-7"/>
          <w:sz w:val="20"/>
        </w:rPr>
        <w:t xml:space="preserve"> </w:t>
      </w:r>
      <w:r>
        <w:rPr>
          <w:color w:val="231F20"/>
          <w:sz w:val="20"/>
        </w:rPr>
        <w:t>federal</w:t>
      </w:r>
      <w:r>
        <w:rPr>
          <w:color w:val="231F20"/>
          <w:spacing w:val="-8"/>
          <w:sz w:val="20"/>
        </w:rPr>
        <w:t xml:space="preserve"> </w:t>
      </w:r>
      <w:r>
        <w:rPr>
          <w:color w:val="231F20"/>
          <w:spacing w:val="-3"/>
          <w:sz w:val="20"/>
        </w:rPr>
        <w:t>levels</w:t>
      </w:r>
      <w:r>
        <w:rPr>
          <w:color w:val="231F20"/>
          <w:spacing w:val="-7"/>
          <w:sz w:val="20"/>
        </w:rPr>
        <w:t xml:space="preserve"> </w:t>
      </w:r>
      <w:r>
        <w:rPr>
          <w:color w:val="231F20"/>
          <w:sz w:val="20"/>
        </w:rPr>
        <w:t>in</w:t>
      </w:r>
      <w:r>
        <w:rPr>
          <w:color w:val="231F20"/>
          <w:spacing w:val="-8"/>
          <w:sz w:val="20"/>
        </w:rPr>
        <w:t xml:space="preserve"> </w:t>
      </w:r>
      <w:r>
        <w:rPr>
          <w:color w:val="231F20"/>
          <w:sz w:val="20"/>
        </w:rPr>
        <w:t>Australia</w:t>
      </w:r>
      <w:r>
        <w:rPr>
          <w:color w:val="231F20"/>
          <w:spacing w:val="-7"/>
          <w:sz w:val="20"/>
        </w:rPr>
        <w:t xml:space="preserve"> </w:t>
      </w:r>
      <w:r>
        <w:rPr>
          <w:color w:val="231F20"/>
          <w:sz w:val="20"/>
        </w:rPr>
        <w:t>to</w:t>
      </w:r>
      <w:r>
        <w:rPr>
          <w:color w:val="231F20"/>
          <w:spacing w:val="-8"/>
          <w:sz w:val="20"/>
        </w:rPr>
        <w:t xml:space="preserve"> </w:t>
      </w:r>
      <w:r>
        <w:rPr>
          <w:color w:val="231F20"/>
          <w:sz w:val="20"/>
        </w:rPr>
        <w:t>tackle</w:t>
      </w:r>
      <w:r>
        <w:rPr>
          <w:color w:val="231F20"/>
          <w:spacing w:val="-8"/>
          <w:sz w:val="20"/>
        </w:rPr>
        <w:t xml:space="preserve"> </w:t>
      </w:r>
      <w:r>
        <w:rPr>
          <w:color w:val="231F20"/>
          <w:spacing w:val="-3"/>
          <w:sz w:val="20"/>
        </w:rPr>
        <w:t xml:space="preserve">technology- </w:t>
      </w:r>
      <w:r>
        <w:rPr>
          <w:color w:val="231F20"/>
          <w:sz w:val="20"/>
        </w:rPr>
        <w:t xml:space="preserve">facilitated abuse, cybercrime and </w:t>
      </w:r>
      <w:r>
        <w:rPr>
          <w:color w:val="231F20"/>
          <w:spacing w:val="-4"/>
          <w:sz w:val="20"/>
        </w:rPr>
        <w:t xml:space="preserve">improve </w:t>
      </w:r>
      <w:r>
        <w:rPr>
          <w:color w:val="231F20"/>
          <w:sz w:val="20"/>
        </w:rPr>
        <w:t>online</w:t>
      </w:r>
      <w:r>
        <w:rPr>
          <w:color w:val="231F20"/>
          <w:spacing w:val="-24"/>
          <w:sz w:val="20"/>
        </w:rPr>
        <w:t xml:space="preserve"> </w:t>
      </w:r>
      <w:r>
        <w:rPr>
          <w:color w:val="231F20"/>
          <w:spacing w:val="-3"/>
          <w:sz w:val="20"/>
        </w:rPr>
        <w:t>safety.</w:t>
      </w:r>
      <w:r>
        <w:rPr>
          <w:color w:val="231F20"/>
          <w:spacing w:val="-3"/>
          <w:position w:val="7"/>
          <w:sz w:val="11"/>
        </w:rPr>
        <w:t>181</w:t>
      </w:r>
    </w:p>
    <w:p w14:paraId="639028F6" w14:textId="77777777" w:rsidR="00894070" w:rsidRDefault="009B7AFD">
      <w:pPr>
        <w:pStyle w:val="ListParagraph"/>
        <w:numPr>
          <w:ilvl w:val="1"/>
          <w:numId w:val="161"/>
        </w:numPr>
        <w:tabs>
          <w:tab w:val="left" w:pos="1801"/>
          <w:tab w:val="left" w:pos="1802"/>
        </w:tabs>
        <w:spacing w:before="122" w:line="206" w:lineRule="auto"/>
        <w:ind w:right="1564"/>
        <w:rPr>
          <w:sz w:val="20"/>
        </w:rPr>
      </w:pPr>
      <w:r>
        <w:rPr>
          <w:color w:val="231F20"/>
          <w:spacing w:val="-3"/>
          <w:sz w:val="20"/>
        </w:rPr>
        <w:t xml:space="preserve">For example, Victoria’s </w:t>
      </w:r>
      <w:r>
        <w:rPr>
          <w:color w:val="231F20"/>
          <w:sz w:val="20"/>
        </w:rPr>
        <w:t xml:space="preserve">Cyber </w:t>
      </w:r>
      <w:r>
        <w:rPr>
          <w:color w:val="231F20"/>
          <w:spacing w:val="-3"/>
          <w:sz w:val="20"/>
        </w:rPr>
        <w:t xml:space="preserve">Strategy </w:t>
      </w:r>
      <w:r>
        <w:rPr>
          <w:color w:val="231F20"/>
          <w:spacing w:val="-5"/>
          <w:sz w:val="20"/>
        </w:rPr>
        <w:t xml:space="preserve">2021–26 </w:t>
      </w:r>
      <w:r>
        <w:rPr>
          <w:color w:val="231F20"/>
          <w:sz w:val="20"/>
        </w:rPr>
        <w:t xml:space="preserve">aims to </w:t>
      </w:r>
      <w:r>
        <w:rPr>
          <w:color w:val="231F20"/>
          <w:spacing w:val="-3"/>
          <w:sz w:val="20"/>
        </w:rPr>
        <w:t xml:space="preserve">create </w:t>
      </w:r>
      <w:r>
        <w:rPr>
          <w:color w:val="231F20"/>
          <w:spacing w:val="-4"/>
          <w:sz w:val="20"/>
        </w:rPr>
        <w:t xml:space="preserve">‘a </w:t>
      </w:r>
      <w:r>
        <w:rPr>
          <w:color w:val="231F20"/>
          <w:sz w:val="20"/>
        </w:rPr>
        <w:t xml:space="preserve">cyber </w:t>
      </w:r>
      <w:r>
        <w:rPr>
          <w:color w:val="231F20"/>
          <w:spacing w:val="-3"/>
          <w:sz w:val="20"/>
        </w:rPr>
        <w:t xml:space="preserve">safe </w:t>
      </w:r>
      <w:r>
        <w:rPr>
          <w:color w:val="231F20"/>
          <w:sz w:val="20"/>
        </w:rPr>
        <w:t xml:space="preserve">place to work, </w:t>
      </w:r>
      <w:r>
        <w:rPr>
          <w:color w:val="231F20"/>
          <w:spacing w:val="-3"/>
          <w:sz w:val="20"/>
        </w:rPr>
        <w:t xml:space="preserve">live </w:t>
      </w:r>
      <w:r>
        <w:rPr>
          <w:color w:val="231F20"/>
          <w:sz w:val="20"/>
        </w:rPr>
        <w:t xml:space="preserve">and </w:t>
      </w:r>
      <w:r>
        <w:rPr>
          <w:color w:val="231F20"/>
          <w:spacing w:val="-3"/>
          <w:sz w:val="20"/>
        </w:rPr>
        <w:t>learn’.</w:t>
      </w:r>
      <w:r>
        <w:rPr>
          <w:color w:val="231F20"/>
          <w:spacing w:val="-3"/>
          <w:position w:val="7"/>
          <w:sz w:val="11"/>
        </w:rPr>
        <w:t xml:space="preserve">182 </w:t>
      </w:r>
      <w:r>
        <w:rPr>
          <w:color w:val="231F20"/>
          <w:sz w:val="20"/>
        </w:rPr>
        <w:t>The priorities under this strategy</w:t>
      </w:r>
      <w:r>
        <w:rPr>
          <w:color w:val="231F20"/>
          <w:spacing w:val="-37"/>
          <w:sz w:val="20"/>
        </w:rPr>
        <w:t xml:space="preserve"> </w:t>
      </w:r>
      <w:r>
        <w:rPr>
          <w:color w:val="231F20"/>
          <w:spacing w:val="-3"/>
          <w:sz w:val="20"/>
        </w:rPr>
        <w:t>include:</w:t>
      </w:r>
    </w:p>
    <w:p w14:paraId="2C806413" w14:textId="77777777" w:rsidR="00894070" w:rsidRDefault="009B7AFD">
      <w:pPr>
        <w:pStyle w:val="ListParagraph"/>
        <w:numPr>
          <w:ilvl w:val="2"/>
          <w:numId w:val="161"/>
        </w:numPr>
        <w:tabs>
          <w:tab w:val="left" w:pos="2141"/>
          <w:tab w:val="left" w:pos="2142"/>
        </w:tabs>
        <w:spacing w:before="91"/>
        <w:ind w:hanging="340"/>
        <w:rPr>
          <w:sz w:val="20"/>
        </w:rPr>
      </w:pPr>
      <w:r>
        <w:rPr>
          <w:color w:val="231F20"/>
          <w:spacing w:val="-3"/>
          <w:sz w:val="20"/>
        </w:rPr>
        <w:t>providing</w:t>
      </w:r>
      <w:r>
        <w:rPr>
          <w:color w:val="231F20"/>
          <w:spacing w:val="-5"/>
          <w:sz w:val="20"/>
        </w:rPr>
        <w:t xml:space="preserve"> </w:t>
      </w:r>
      <w:r>
        <w:rPr>
          <w:color w:val="231F20"/>
          <w:sz w:val="20"/>
        </w:rPr>
        <w:t>practical</w:t>
      </w:r>
      <w:r>
        <w:rPr>
          <w:color w:val="231F20"/>
          <w:spacing w:val="-5"/>
          <w:sz w:val="20"/>
        </w:rPr>
        <w:t xml:space="preserve"> </w:t>
      </w:r>
      <w:r>
        <w:rPr>
          <w:color w:val="231F20"/>
          <w:sz w:val="20"/>
        </w:rPr>
        <w:t>advice</w:t>
      </w:r>
      <w:r>
        <w:rPr>
          <w:color w:val="231F20"/>
          <w:spacing w:val="-5"/>
          <w:sz w:val="20"/>
        </w:rPr>
        <w:t xml:space="preserve"> </w:t>
      </w:r>
      <w:r>
        <w:rPr>
          <w:color w:val="231F20"/>
          <w:sz w:val="20"/>
        </w:rPr>
        <w:t>to</w:t>
      </w:r>
      <w:r>
        <w:rPr>
          <w:color w:val="231F20"/>
          <w:spacing w:val="-5"/>
          <w:sz w:val="20"/>
        </w:rPr>
        <w:t xml:space="preserve"> </w:t>
      </w:r>
      <w:r>
        <w:rPr>
          <w:color w:val="231F20"/>
          <w:sz w:val="20"/>
        </w:rPr>
        <w:t>Victorians</w:t>
      </w:r>
      <w:r>
        <w:rPr>
          <w:color w:val="231F20"/>
          <w:spacing w:val="-4"/>
          <w:sz w:val="20"/>
        </w:rPr>
        <w:t xml:space="preserve"> </w:t>
      </w:r>
      <w:r>
        <w:rPr>
          <w:color w:val="231F20"/>
          <w:sz w:val="20"/>
        </w:rPr>
        <w:t>about</w:t>
      </w:r>
      <w:r>
        <w:rPr>
          <w:color w:val="231F20"/>
          <w:spacing w:val="-5"/>
          <w:sz w:val="20"/>
        </w:rPr>
        <w:t xml:space="preserve"> </w:t>
      </w:r>
      <w:r>
        <w:rPr>
          <w:color w:val="231F20"/>
          <w:spacing w:val="-3"/>
          <w:sz w:val="20"/>
        </w:rPr>
        <w:t>how</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reduce</w:t>
      </w:r>
      <w:r>
        <w:rPr>
          <w:color w:val="231F20"/>
          <w:spacing w:val="-4"/>
          <w:sz w:val="20"/>
        </w:rPr>
        <w:t xml:space="preserve"> </w:t>
      </w:r>
      <w:r>
        <w:rPr>
          <w:color w:val="231F20"/>
          <w:sz w:val="20"/>
        </w:rPr>
        <w:t>cyber</w:t>
      </w:r>
      <w:r>
        <w:rPr>
          <w:color w:val="231F20"/>
          <w:spacing w:val="-5"/>
          <w:sz w:val="20"/>
        </w:rPr>
        <w:t xml:space="preserve"> </w:t>
      </w:r>
      <w:r>
        <w:rPr>
          <w:color w:val="231F20"/>
          <w:sz w:val="20"/>
        </w:rPr>
        <w:t>risks</w:t>
      </w:r>
    </w:p>
    <w:p w14:paraId="548BE64C" w14:textId="77777777" w:rsidR="00894070" w:rsidRDefault="009B7AFD">
      <w:pPr>
        <w:pStyle w:val="ListParagraph"/>
        <w:numPr>
          <w:ilvl w:val="2"/>
          <w:numId w:val="161"/>
        </w:numPr>
        <w:tabs>
          <w:tab w:val="left" w:pos="2141"/>
          <w:tab w:val="left" w:pos="2142"/>
        </w:tabs>
        <w:spacing w:before="47" w:line="259" w:lineRule="exact"/>
        <w:ind w:hanging="340"/>
        <w:rPr>
          <w:sz w:val="20"/>
        </w:rPr>
      </w:pPr>
      <w:r>
        <w:rPr>
          <w:color w:val="231F20"/>
          <w:sz w:val="20"/>
        </w:rPr>
        <w:t>supporting</w:t>
      </w:r>
      <w:r>
        <w:rPr>
          <w:color w:val="231F20"/>
          <w:spacing w:val="-7"/>
          <w:sz w:val="20"/>
        </w:rPr>
        <w:t xml:space="preserve"> </w:t>
      </w:r>
      <w:r>
        <w:rPr>
          <w:color w:val="231F20"/>
          <w:sz w:val="20"/>
        </w:rPr>
        <w:t>police</w:t>
      </w:r>
      <w:r>
        <w:rPr>
          <w:color w:val="231F20"/>
          <w:spacing w:val="-7"/>
          <w:sz w:val="20"/>
        </w:rPr>
        <w:t xml:space="preserve"> </w:t>
      </w:r>
      <w:r>
        <w:rPr>
          <w:color w:val="231F20"/>
          <w:sz w:val="20"/>
        </w:rPr>
        <w:t>officers</w:t>
      </w:r>
      <w:r>
        <w:rPr>
          <w:color w:val="231F20"/>
          <w:spacing w:val="-6"/>
          <w:sz w:val="20"/>
        </w:rPr>
        <w:t xml:space="preserve"> </w:t>
      </w:r>
      <w:r>
        <w:rPr>
          <w:color w:val="231F20"/>
          <w:sz w:val="20"/>
        </w:rPr>
        <w:t>to</w:t>
      </w:r>
      <w:r>
        <w:rPr>
          <w:color w:val="231F20"/>
          <w:spacing w:val="-7"/>
          <w:sz w:val="20"/>
        </w:rPr>
        <w:t xml:space="preserve"> </w:t>
      </w:r>
      <w:r>
        <w:rPr>
          <w:color w:val="231F20"/>
          <w:spacing w:val="-3"/>
          <w:sz w:val="20"/>
        </w:rPr>
        <w:t>prevent,</w:t>
      </w:r>
      <w:r>
        <w:rPr>
          <w:color w:val="231F20"/>
          <w:spacing w:val="-6"/>
          <w:sz w:val="20"/>
        </w:rPr>
        <w:t xml:space="preserve"> </w:t>
      </w:r>
      <w:r>
        <w:rPr>
          <w:color w:val="231F20"/>
          <w:sz w:val="20"/>
        </w:rPr>
        <w:t>detect,</w:t>
      </w:r>
      <w:r>
        <w:rPr>
          <w:color w:val="231F20"/>
          <w:spacing w:val="-7"/>
          <w:sz w:val="20"/>
        </w:rPr>
        <w:t xml:space="preserve"> </w:t>
      </w:r>
      <w:proofErr w:type="gramStart"/>
      <w:r>
        <w:rPr>
          <w:color w:val="231F20"/>
          <w:sz w:val="20"/>
        </w:rPr>
        <w:t>disrupt</w:t>
      </w:r>
      <w:proofErr w:type="gramEnd"/>
      <w:r>
        <w:rPr>
          <w:color w:val="231F20"/>
          <w:spacing w:val="-7"/>
          <w:sz w:val="20"/>
        </w:rPr>
        <w:t xml:space="preserve"> </w:t>
      </w:r>
      <w:r>
        <w:rPr>
          <w:color w:val="231F20"/>
          <w:sz w:val="20"/>
        </w:rPr>
        <w:t>and</w:t>
      </w:r>
      <w:r>
        <w:rPr>
          <w:color w:val="231F20"/>
          <w:spacing w:val="-6"/>
          <w:sz w:val="20"/>
        </w:rPr>
        <w:t xml:space="preserve"> </w:t>
      </w:r>
      <w:r>
        <w:rPr>
          <w:color w:val="231F20"/>
          <w:spacing w:val="-3"/>
          <w:sz w:val="20"/>
        </w:rPr>
        <w:t>prosecute</w:t>
      </w:r>
      <w:r>
        <w:rPr>
          <w:color w:val="231F20"/>
          <w:spacing w:val="-7"/>
          <w:sz w:val="20"/>
        </w:rPr>
        <w:t xml:space="preserve"> </w:t>
      </w:r>
      <w:r>
        <w:rPr>
          <w:color w:val="231F20"/>
          <w:sz w:val="20"/>
        </w:rPr>
        <w:t>cybercrime</w:t>
      </w:r>
      <w:r>
        <w:rPr>
          <w:color w:val="231F20"/>
          <w:spacing w:val="-6"/>
          <w:sz w:val="20"/>
        </w:rPr>
        <w:t xml:space="preserve"> </w:t>
      </w:r>
      <w:r>
        <w:rPr>
          <w:color w:val="231F20"/>
          <w:sz w:val="20"/>
        </w:rPr>
        <w:t>and</w:t>
      </w:r>
    </w:p>
    <w:p w14:paraId="160ED0B2" w14:textId="77777777" w:rsidR="00894070" w:rsidRDefault="009B7AFD">
      <w:pPr>
        <w:pStyle w:val="BodyText"/>
        <w:spacing w:line="259" w:lineRule="exact"/>
        <w:ind w:left="2141"/>
        <w:rPr>
          <w:sz w:val="11"/>
        </w:rPr>
      </w:pPr>
      <w:r>
        <w:rPr>
          <w:color w:val="231F20"/>
        </w:rPr>
        <w:t>other technology-facilitated crimes.</w:t>
      </w:r>
      <w:r>
        <w:rPr>
          <w:color w:val="231F20"/>
          <w:position w:val="7"/>
          <w:sz w:val="11"/>
        </w:rPr>
        <w:t>183</w:t>
      </w:r>
    </w:p>
    <w:p w14:paraId="51690365" w14:textId="77777777" w:rsidR="00894070" w:rsidRDefault="00894070">
      <w:pPr>
        <w:pStyle w:val="BodyText"/>
      </w:pPr>
    </w:p>
    <w:p w14:paraId="44B42583" w14:textId="77777777" w:rsidR="00894070" w:rsidRDefault="009F6793">
      <w:pPr>
        <w:pStyle w:val="BodyText"/>
        <w:spacing w:before="13"/>
        <w:rPr>
          <w:sz w:val="26"/>
        </w:rPr>
      </w:pPr>
      <w:r>
        <w:pict w14:anchorId="52042AC4">
          <v:line id="_x0000_s1536" style="position:absolute;z-index:251516928;mso-wrap-distance-left:0;mso-wrap-distance-right:0;mso-position-horizontal-relative:page" from="79.35pt,21.15pt" to="515.9pt,21.15pt" strokecolor="#f8cabc" strokeweight="1pt">
            <w10:wrap type="topAndBottom" anchorx="page"/>
          </v:line>
        </w:pict>
      </w:r>
    </w:p>
    <w:p w14:paraId="4E0FFB0A" w14:textId="77777777" w:rsidR="00894070" w:rsidRDefault="009B7AFD">
      <w:pPr>
        <w:pStyle w:val="ListParagraph"/>
        <w:numPr>
          <w:ilvl w:val="0"/>
          <w:numId w:val="139"/>
        </w:numPr>
        <w:tabs>
          <w:tab w:val="left" w:pos="1801"/>
          <w:tab w:val="left" w:pos="1802"/>
        </w:tabs>
        <w:spacing w:before="91" w:line="170" w:lineRule="exact"/>
        <w:rPr>
          <w:sz w:val="13"/>
        </w:rPr>
      </w:pPr>
      <w:r>
        <w:rPr>
          <w:color w:val="231F20"/>
          <w:sz w:val="13"/>
        </w:rPr>
        <w:t xml:space="preserve">Wei-Jung Chang, </w:t>
      </w:r>
      <w:r>
        <w:rPr>
          <w:color w:val="231F20"/>
          <w:spacing w:val="2"/>
          <w:sz w:val="13"/>
        </w:rPr>
        <w:t xml:space="preserve">‘Cyberstalking </w:t>
      </w:r>
      <w:r>
        <w:rPr>
          <w:color w:val="231F20"/>
          <w:sz w:val="13"/>
        </w:rPr>
        <w:t xml:space="preserve">and Law Enforcement’ (2020) 176 </w:t>
      </w:r>
      <w:r>
        <w:rPr>
          <w:i/>
          <w:color w:val="231F20"/>
          <w:sz w:val="13"/>
        </w:rPr>
        <w:t xml:space="preserve">Procedia Computer Science </w:t>
      </w:r>
      <w:r>
        <w:rPr>
          <w:color w:val="231F20"/>
          <w:sz w:val="13"/>
        </w:rPr>
        <w:t>1188,</w:t>
      </w:r>
      <w:r>
        <w:rPr>
          <w:color w:val="231F20"/>
          <w:spacing w:val="8"/>
          <w:sz w:val="13"/>
        </w:rPr>
        <w:t xml:space="preserve"> </w:t>
      </w:r>
      <w:r>
        <w:rPr>
          <w:color w:val="231F20"/>
          <w:sz w:val="13"/>
        </w:rPr>
        <w:t>1192.</w:t>
      </w:r>
    </w:p>
    <w:p w14:paraId="561E906A" w14:textId="77777777" w:rsidR="00894070" w:rsidRDefault="009B7AFD">
      <w:pPr>
        <w:pStyle w:val="ListParagraph"/>
        <w:numPr>
          <w:ilvl w:val="0"/>
          <w:numId w:val="139"/>
        </w:numPr>
        <w:tabs>
          <w:tab w:val="left" w:pos="1801"/>
          <w:tab w:val="left" w:pos="1802"/>
        </w:tabs>
        <w:spacing w:line="160" w:lineRule="exact"/>
        <w:rPr>
          <w:sz w:val="13"/>
        </w:rPr>
      </w:pPr>
      <w:r>
        <w:rPr>
          <w:color w:val="231F20"/>
          <w:spacing w:val="2"/>
          <w:sz w:val="13"/>
        </w:rPr>
        <w:t xml:space="preserve">Submission 115 </w:t>
      </w:r>
      <w:r>
        <w:rPr>
          <w:color w:val="231F20"/>
          <w:sz w:val="13"/>
        </w:rPr>
        <w:t xml:space="preserve">(Victoria </w:t>
      </w:r>
      <w:r>
        <w:rPr>
          <w:color w:val="231F20"/>
          <w:spacing w:val="2"/>
          <w:sz w:val="13"/>
        </w:rPr>
        <w:t>Police—supplementary</w:t>
      </w:r>
      <w:r>
        <w:rPr>
          <w:color w:val="231F20"/>
          <w:spacing w:val="-4"/>
          <w:sz w:val="13"/>
        </w:rPr>
        <w:t xml:space="preserve"> </w:t>
      </w:r>
      <w:r>
        <w:rPr>
          <w:color w:val="231F20"/>
          <w:sz w:val="13"/>
        </w:rPr>
        <w:t>response).</w:t>
      </w:r>
    </w:p>
    <w:p w14:paraId="6D970DEB" w14:textId="77777777" w:rsidR="00894070" w:rsidRDefault="009B7AFD">
      <w:pPr>
        <w:pStyle w:val="ListParagraph"/>
        <w:numPr>
          <w:ilvl w:val="0"/>
          <w:numId w:val="139"/>
        </w:numPr>
        <w:tabs>
          <w:tab w:val="left" w:pos="1800"/>
          <w:tab w:val="left" w:pos="1802"/>
        </w:tabs>
        <w:spacing w:before="6" w:line="213" w:lineRule="auto"/>
        <w:ind w:right="1202"/>
        <w:rPr>
          <w:sz w:val="13"/>
        </w:rPr>
      </w:pPr>
      <w:r>
        <w:rPr>
          <w:color w:val="231F20"/>
          <w:sz w:val="13"/>
        </w:rPr>
        <w:t xml:space="preserve">John Silvester, ‘Cyber-Crime: How Police Are Rebooting Methods for a New Era’, </w:t>
      </w:r>
      <w:r>
        <w:rPr>
          <w:i/>
          <w:color w:val="231F20"/>
          <w:sz w:val="13"/>
        </w:rPr>
        <w:t xml:space="preserve">The Age </w:t>
      </w:r>
      <w:r>
        <w:rPr>
          <w:color w:val="231F20"/>
          <w:sz w:val="13"/>
        </w:rPr>
        <w:t>(online, 15 October 2021</w:t>
      </w:r>
      <w:hyperlink r:id="rId106">
        <w:r>
          <w:rPr>
            <w:color w:val="231F20"/>
            <w:sz w:val="13"/>
          </w:rPr>
          <w:t>) &lt;https://www.</w:t>
        </w:r>
      </w:hyperlink>
      <w:hyperlink r:id="rId107">
        <w:r>
          <w:rPr>
            <w:color w:val="231F20"/>
            <w:sz w:val="13"/>
          </w:rPr>
          <w:t xml:space="preserve"> theage.com.au/national/victoria/cyber-cops-the-new-frontier-20211014-p58zuv.html</w:t>
        </w:r>
      </w:hyperlink>
      <w:r>
        <w:rPr>
          <w:color w:val="231F20"/>
          <w:sz w:val="13"/>
        </w:rPr>
        <w:t>&gt;.</w:t>
      </w:r>
    </w:p>
    <w:p w14:paraId="56FDE149" w14:textId="77777777" w:rsidR="00894070" w:rsidRDefault="009B7AFD">
      <w:pPr>
        <w:pStyle w:val="ListParagraph"/>
        <w:numPr>
          <w:ilvl w:val="0"/>
          <w:numId w:val="139"/>
        </w:numPr>
        <w:tabs>
          <w:tab w:val="left" w:pos="1801"/>
          <w:tab w:val="left" w:pos="1802"/>
        </w:tabs>
        <w:spacing w:line="153" w:lineRule="exact"/>
        <w:rPr>
          <w:sz w:val="13"/>
        </w:rPr>
      </w:pPr>
      <w:r>
        <w:rPr>
          <w:color w:val="231F20"/>
          <w:spacing w:val="2"/>
          <w:sz w:val="13"/>
        </w:rPr>
        <w:t xml:space="preserve">Submission 115 </w:t>
      </w:r>
      <w:r>
        <w:rPr>
          <w:color w:val="231F20"/>
          <w:sz w:val="13"/>
        </w:rPr>
        <w:t>(Victoria</w:t>
      </w:r>
      <w:r>
        <w:rPr>
          <w:color w:val="231F20"/>
          <w:spacing w:val="-4"/>
          <w:sz w:val="13"/>
        </w:rPr>
        <w:t xml:space="preserve"> </w:t>
      </w:r>
      <w:r>
        <w:rPr>
          <w:color w:val="231F20"/>
          <w:sz w:val="13"/>
        </w:rPr>
        <w:t>Police).</w:t>
      </w:r>
    </w:p>
    <w:p w14:paraId="64B8A388" w14:textId="77777777" w:rsidR="00894070" w:rsidRDefault="009B7AFD">
      <w:pPr>
        <w:pStyle w:val="ListParagraph"/>
        <w:numPr>
          <w:ilvl w:val="0"/>
          <w:numId w:val="139"/>
        </w:numPr>
        <w:tabs>
          <w:tab w:val="left" w:pos="1800"/>
          <w:tab w:val="left" w:pos="1802"/>
        </w:tabs>
        <w:spacing w:before="6" w:line="213" w:lineRule="auto"/>
        <w:ind w:right="1421"/>
        <w:rPr>
          <w:sz w:val="13"/>
        </w:rPr>
      </w:pPr>
      <w:r>
        <w:rPr>
          <w:color w:val="231F20"/>
          <w:sz w:val="13"/>
        </w:rPr>
        <w:t xml:space="preserve">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 xml:space="preserve">No 42, September 2021) </w:t>
      </w:r>
      <w:r>
        <w:rPr>
          <w:color w:val="231F20"/>
          <w:spacing w:val="2"/>
          <w:sz w:val="13"/>
        </w:rPr>
        <w:t xml:space="preserve">[14.114] </w:t>
      </w:r>
      <w:r>
        <w:rPr>
          <w:color w:val="231F20"/>
          <w:sz w:val="13"/>
        </w:rPr>
        <w:t>Recommendations</w:t>
      </w:r>
      <w:r>
        <w:rPr>
          <w:color w:val="231F20"/>
          <w:spacing w:val="-2"/>
          <w:sz w:val="13"/>
        </w:rPr>
        <w:t xml:space="preserve"> </w:t>
      </w:r>
      <w:r>
        <w:rPr>
          <w:color w:val="231F20"/>
          <w:spacing w:val="2"/>
          <w:sz w:val="13"/>
        </w:rPr>
        <w:t>52–55.</w:t>
      </w:r>
    </w:p>
    <w:p w14:paraId="1A667578" w14:textId="77777777" w:rsidR="00894070" w:rsidRDefault="009B7AFD">
      <w:pPr>
        <w:pStyle w:val="ListParagraph"/>
        <w:numPr>
          <w:ilvl w:val="0"/>
          <w:numId w:val="139"/>
        </w:numPr>
        <w:tabs>
          <w:tab w:val="left" w:pos="1801"/>
          <w:tab w:val="left" w:pos="1802"/>
        </w:tabs>
        <w:spacing w:line="213" w:lineRule="auto"/>
        <w:ind w:right="1584"/>
        <w:rPr>
          <w:sz w:val="13"/>
        </w:rPr>
      </w:pPr>
      <w:r>
        <w:rPr>
          <w:color w:val="231F20"/>
          <w:sz w:val="13"/>
        </w:rPr>
        <w:t xml:space="preserve">Consultation 29 </w:t>
      </w:r>
      <w:r>
        <w:rPr>
          <w:color w:val="231F20"/>
          <w:spacing w:val="2"/>
          <w:sz w:val="13"/>
        </w:rPr>
        <w:t xml:space="preserve">(Alannah </w:t>
      </w:r>
      <w:r>
        <w:rPr>
          <w:color w:val="231F20"/>
          <w:sz w:val="13"/>
        </w:rPr>
        <w:t xml:space="preserve">&amp; Madeline Foundation); </w:t>
      </w:r>
      <w:r>
        <w:rPr>
          <w:color w:val="231F20"/>
          <w:spacing w:val="2"/>
          <w:sz w:val="13"/>
        </w:rPr>
        <w:t xml:space="preserve">Delanie </w:t>
      </w:r>
      <w:r>
        <w:rPr>
          <w:color w:val="231F20"/>
          <w:sz w:val="13"/>
        </w:rPr>
        <w:t xml:space="preserve">Woodlock et </w:t>
      </w:r>
      <w:r>
        <w:rPr>
          <w:color w:val="231F20"/>
          <w:spacing w:val="2"/>
          <w:sz w:val="13"/>
        </w:rPr>
        <w:t xml:space="preserve">al, </w:t>
      </w:r>
      <w:r>
        <w:rPr>
          <w:i/>
          <w:color w:val="231F20"/>
          <w:sz w:val="13"/>
        </w:rPr>
        <w:t xml:space="preserve">Second National Survey on Technology Abuse in Australia </w:t>
      </w:r>
      <w:r>
        <w:rPr>
          <w:color w:val="231F20"/>
          <w:spacing w:val="2"/>
          <w:sz w:val="13"/>
        </w:rPr>
        <w:t xml:space="preserve">(Report, </w:t>
      </w:r>
      <w:r>
        <w:rPr>
          <w:color w:val="231F20"/>
          <w:sz w:val="13"/>
        </w:rPr>
        <w:t>24 November 2020)</w:t>
      </w:r>
      <w:r>
        <w:rPr>
          <w:color w:val="231F20"/>
          <w:spacing w:val="-1"/>
          <w:sz w:val="13"/>
        </w:rPr>
        <w:t xml:space="preserve"> </w:t>
      </w:r>
      <w:r>
        <w:rPr>
          <w:color w:val="231F20"/>
          <w:sz w:val="13"/>
        </w:rPr>
        <w:t>7–8.</w:t>
      </w:r>
    </w:p>
    <w:p w14:paraId="67B546FF" w14:textId="77777777" w:rsidR="00894070" w:rsidRDefault="009F6793">
      <w:pPr>
        <w:pStyle w:val="ListParagraph"/>
        <w:numPr>
          <w:ilvl w:val="0"/>
          <w:numId w:val="139"/>
        </w:numPr>
        <w:tabs>
          <w:tab w:val="left" w:pos="1800"/>
          <w:tab w:val="left" w:pos="1802"/>
        </w:tabs>
        <w:spacing w:line="153" w:lineRule="exact"/>
        <w:rPr>
          <w:sz w:val="13"/>
        </w:rPr>
      </w:pPr>
      <w:r>
        <w:pict w14:anchorId="04E983E3">
          <v:shape id="_x0000_s1535" type="#_x0000_t202" style="position:absolute;left:0;text-align:left;margin-left:549.3pt;margin-top:3.35pt;width:12.55pt;height:14.1pt;z-index:251589632;mso-position-horizontal-relative:page" filled="f" stroked="f">
            <v:textbox inset="0,0,0,0">
              <w:txbxContent>
                <w:p w14:paraId="16E01C10" w14:textId="77777777" w:rsidR="00894070" w:rsidRDefault="009B7AFD">
                  <w:pPr>
                    <w:spacing w:line="282" w:lineRule="exact"/>
                    <w:rPr>
                      <w:b/>
                      <w:sz w:val="24"/>
                    </w:rPr>
                  </w:pPr>
                  <w:r>
                    <w:rPr>
                      <w:b/>
                      <w:color w:val="EA5B50"/>
                      <w:spacing w:val="-1"/>
                      <w:sz w:val="24"/>
                    </w:rPr>
                    <w:t>51</w:t>
                  </w:r>
                </w:p>
              </w:txbxContent>
            </v:textbox>
            <w10:wrap anchorx="page"/>
          </v:shape>
        </w:pict>
      </w:r>
      <w:r w:rsidR="009B7AFD">
        <w:rPr>
          <w:color w:val="231F20"/>
          <w:spacing w:val="2"/>
          <w:sz w:val="13"/>
        </w:rPr>
        <w:t xml:space="preserve">Department </w:t>
      </w:r>
      <w:r w:rsidR="009B7AFD">
        <w:rPr>
          <w:color w:val="231F20"/>
          <w:sz w:val="13"/>
        </w:rPr>
        <w:t xml:space="preserve">of Premier and Cabinet (Vic), </w:t>
      </w:r>
      <w:r w:rsidR="009B7AFD">
        <w:rPr>
          <w:i/>
          <w:color w:val="231F20"/>
          <w:sz w:val="13"/>
        </w:rPr>
        <w:t xml:space="preserve">Victoria’s Cyber Strategy 2021 </w:t>
      </w:r>
      <w:r w:rsidR="009B7AFD">
        <w:rPr>
          <w:color w:val="231F20"/>
          <w:sz w:val="13"/>
        </w:rPr>
        <w:t>(Strategy, 2021)</w:t>
      </w:r>
      <w:r w:rsidR="009B7AFD">
        <w:rPr>
          <w:color w:val="231F20"/>
          <w:spacing w:val="5"/>
          <w:sz w:val="13"/>
        </w:rPr>
        <w:t xml:space="preserve"> </w:t>
      </w:r>
      <w:r w:rsidR="009B7AFD">
        <w:rPr>
          <w:color w:val="231F20"/>
          <w:sz w:val="13"/>
        </w:rPr>
        <w:t>8.</w:t>
      </w:r>
    </w:p>
    <w:p w14:paraId="30718CA3" w14:textId="77777777" w:rsidR="00894070" w:rsidRDefault="009B7AFD">
      <w:pPr>
        <w:pStyle w:val="ListParagraph"/>
        <w:numPr>
          <w:ilvl w:val="0"/>
          <w:numId w:val="139"/>
        </w:numPr>
        <w:tabs>
          <w:tab w:val="left" w:pos="1800"/>
          <w:tab w:val="left" w:pos="1802"/>
        </w:tabs>
        <w:spacing w:line="170" w:lineRule="exact"/>
        <w:rPr>
          <w:sz w:val="13"/>
        </w:rPr>
      </w:pPr>
      <w:r>
        <w:rPr>
          <w:color w:val="231F20"/>
          <w:sz w:val="13"/>
        </w:rPr>
        <w:t xml:space="preserve">Ibid </w:t>
      </w:r>
      <w:r>
        <w:rPr>
          <w:color w:val="231F20"/>
          <w:spacing w:val="2"/>
          <w:sz w:val="13"/>
        </w:rPr>
        <w:t>11.</w:t>
      </w:r>
    </w:p>
    <w:p w14:paraId="0F2D278E" w14:textId="77777777" w:rsidR="00894070" w:rsidRDefault="00894070">
      <w:pPr>
        <w:spacing w:line="170" w:lineRule="exact"/>
        <w:rPr>
          <w:sz w:val="13"/>
        </w:rPr>
        <w:sectPr w:rsidR="00894070">
          <w:pgSz w:w="11910" w:h="16840"/>
          <w:pgMar w:top="840" w:right="420" w:bottom="280" w:left="580" w:header="0" w:footer="0" w:gutter="0"/>
          <w:cols w:space="720"/>
        </w:sectPr>
      </w:pPr>
    </w:p>
    <w:p w14:paraId="525319FF" w14:textId="77777777" w:rsidR="00894070" w:rsidRDefault="00894070">
      <w:pPr>
        <w:pStyle w:val="BodyText"/>
      </w:pPr>
    </w:p>
    <w:p w14:paraId="59193A4E" w14:textId="77777777" w:rsidR="00894070" w:rsidRDefault="00894070">
      <w:pPr>
        <w:pStyle w:val="BodyText"/>
      </w:pPr>
    </w:p>
    <w:p w14:paraId="37DEA70A" w14:textId="77777777" w:rsidR="00894070" w:rsidRDefault="00894070">
      <w:pPr>
        <w:pStyle w:val="BodyText"/>
      </w:pPr>
    </w:p>
    <w:p w14:paraId="73BB0944" w14:textId="77777777" w:rsidR="00894070" w:rsidRDefault="00894070">
      <w:pPr>
        <w:pStyle w:val="BodyText"/>
        <w:spacing w:before="11"/>
        <w:rPr>
          <w:sz w:val="18"/>
        </w:rPr>
      </w:pPr>
    </w:p>
    <w:p w14:paraId="695F5F5A" w14:textId="77777777" w:rsidR="00894070" w:rsidRDefault="009B7AFD">
      <w:pPr>
        <w:pStyle w:val="ListParagraph"/>
        <w:numPr>
          <w:ilvl w:val="1"/>
          <w:numId w:val="161"/>
        </w:numPr>
        <w:tabs>
          <w:tab w:val="left" w:pos="1801"/>
          <w:tab w:val="left" w:pos="1802"/>
        </w:tabs>
        <w:spacing w:line="206" w:lineRule="auto"/>
        <w:ind w:right="1487"/>
        <w:rPr>
          <w:sz w:val="11"/>
        </w:rPr>
      </w:pPr>
      <w:r>
        <w:rPr>
          <w:color w:val="231F20"/>
          <w:sz w:val="20"/>
        </w:rPr>
        <w:t>The</w:t>
      </w:r>
      <w:r>
        <w:rPr>
          <w:color w:val="231F20"/>
          <w:spacing w:val="-9"/>
          <w:sz w:val="20"/>
        </w:rPr>
        <w:t xml:space="preserve"> </w:t>
      </w:r>
      <w:r>
        <w:rPr>
          <w:color w:val="231F20"/>
          <w:sz w:val="20"/>
        </w:rPr>
        <w:t>Australian</w:t>
      </w:r>
      <w:r>
        <w:rPr>
          <w:color w:val="231F20"/>
          <w:spacing w:val="-9"/>
          <w:sz w:val="20"/>
        </w:rPr>
        <w:t xml:space="preserve"> </w:t>
      </w:r>
      <w:r>
        <w:rPr>
          <w:color w:val="231F20"/>
          <w:spacing w:val="-3"/>
          <w:sz w:val="20"/>
        </w:rPr>
        <w:t>Government</w:t>
      </w:r>
      <w:r>
        <w:rPr>
          <w:color w:val="231F20"/>
          <w:spacing w:val="-9"/>
          <w:sz w:val="20"/>
        </w:rPr>
        <w:t xml:space="preserve"> </w:t>
      </w:r>
      <w:r>
        <w:rPr>
          <w:color w:val="231F20"/>
          <w:sz w:val="20"/>
        </w:rPr>
        <w:t>has</w:t>
      </w:r>
      <w:r>
        <w:rPr>
          <w:color w:val="231F20"/>
          <w:spacing w:val="-9"/>
          <w:sz w:val="20"/>
        </w:rPr>
        <w:t xml:space="preserve"> </w:t>
      </w:r>
      <w:r>
        <w:rPr>
          <w:color w:val="231F20"/>
          <w:sz w:val="20"/>
        </w:rPr>
        <w:t>established</w:t>
      </w:r>
      <w:r>
        <w:rPr>
          <w:color w:val="231F20"/>
          <w:spacing w:val="-9"/>
          <w:sz w:val="20"/>
        </w:rPr>
        <w:t xml:space="preserve"> </w:t>
      </w:r>
      <w:r>
        <w:rPr>
          <w:color w:val="231F20"/>
          <w:sz w:val="20"/>
        </w:rPr>
        <w:t>an</w:t>
      </w:r>
      <w:r>
        <w:rPr>
          <w:color w:val="231F20"/>
          <w:spacing w:val="-9"/>
          <w:sz w:val="20"/>
        </w:rPr>
        <w:t xml:space="preserve"> </w:t>
      </w:r>
      <w:r>
        <w:rPr>
          <w:color w:val="231F20"/>
          <w:sz w:val="20"/>
        </w:rPr>
        <w:t>Online</w:t>
      </w:r>
      <w:r>
        <w:rPr>
          <w:color w:val="231F20"/>
          <w:spacing w:val="-8"/>
          <w:sz w:val="20"/>
        </w:rPr>
        <w:t xml:space="preserve"> </w:t>
      </w:r>
      <w:r>
        <w:rPr>
          <w:color w:val="231F20"/>
          <w:sz w:val="20"/>
        </w:rPr>
        <w:t>Safety</w:t>
      </w:r>
      <w:r>
        <w:rPr>
          <w:color w:val="231F20"/>
          <w:spacing w:val="-9"/>
          <w:sz w:val="20"/>
        </w:rPr>
        <w:t xml:space="preserve"> </w:t>
      </w:r>
      <w:r>
        <w:rPr>
          <w:color w:val="231F20"/>
          <w:sz w:val="20"/>
        </w:rPr>
        <w:t>Charter</w:t>
      </w:r>
      <w:r>
        <w:rPr>
          <w:color w:val="231F20"/>
          <w:spacing w:val="-9"/>
          <w:sz w:val="20"/>
        </w:rPr>
        <w:t xml:space="preserve"> </w:t>
      </w:r>
      <w:r>
        <w:rPr>
          <w:color w:val="231F20"/>
          <w:sz w:val="20"/>
        </w:rPr>
        <w:t>which</w:t>
      </w:r>
      <w:r>
        <w:rPr>
          <w:color w:val="231F20"/>
          <w:spacing w:val="-9"/>
          <w:sz w:val="20"/>
        </w:rPr>
        <w:t xml:space="preserve"> </w:t>
      </w:r>
      <w:r>
        <w:rPr>
          <w:color w:val="231F20"/>
          <w:sz w:val="20"/>
        </w:rPr>
        <w:t>sets</w:t>
      </w:r>
      <w:r>
        <w:rPr>
          <w:color w:val="231F20"/>
          <w:spacing w:val="-9"/>
          <w:sz w:val="20"/>
        </w:rPr>
        <w:t xml:space="preserve"> </w:t>
      </w:r>
      <w:r>
        <w:rPr>
          <w:color w:val="231F20"/>
          <w:sz w:val="20"/>
        </w:rPr>
        <w:t xml:space="preserve">out expectations </w:t>
      </w:r>
      <w:r>
        <w:rPr>
          <w:color w:val="231F20"/>
          <w:spacing w:val="-3"/>
          <w:sz w:val="20"/>
        </w:rPr>
        <w:t xml:space="preserve">for </w:t>
      </w:r>
      <w:r>
        <w:rPr>
          <w:color w:val="231F20"/>
          <w:sz w:val="20"/>
        </w:rPr>
        <w:t xml:space="preserve">the technology industry to </w:t>
      </w:r>
      <w:r>
        <w:rPr>
          <w:color w:val="231F20"/>
          <w:spacing w:val="-3"/>
          <w:sz w:val="20"/>
        </w:rPr>
        <w:t xml:space="preserve">protect </w:t>
      </w:r>
      <w:r>
        <w:rPr>
          <w:color w:val="231F20"/>
          <w:sz w:val="20"/>
        </w:rPr>
        <w:t xml:space="preserve">Australians </w:t>
      </w:r>
      <w:r>
        <w:rPr>
          <w:color w:val="231F20"/>
          <w:spacing w:val="-3"/>
          <w:sz w:val="20"/>
        </w:rPr>
        <w:t xml:space="preserve">from </w:t>
      </w:r>
      <w:r>
        <w:rPr>
          <w:color w:val="231F20"/>
          <w:sz w:val="20"/>
        </w:rPr>
        <w:t>harmful online experiences</w:t>
      </w:r>
      <w:r>
        <w:rPr>
          <w:color w:val="231F20"/>
          <w:spacing w:val="-12"/>
          <w:sz w:val="20"/>
        </w:rPr>
        <w:t xml:space="preserve"> </w:t>
      </w:r>
      <w:r>
        <w:rPr>
          <w:color w:val="231F20"/>
          <w:sz w:val="20"/>
        </w:rPr>
        <w:t>and</w:t>
      </w:r>
      <w:r>
        <w:rPr>
          <w:color w:val="231F20"/>
          <w:spacing w:val="-11"/>
          <w:sz w:val="20"/>
        </w:rPr>
        <w:t xml:space="preserve"> </w:t>
      </w:r>
      <w:r>
        <w:rPr>
          <w:color w:val="231F20"/>
          <w:sz w:val="20"/>
        </w:rPr>
        <w:t>to</w:t>
      </w:r>
      <w:r>
        <w:rPr>
          <w:color w:val="231F20"/>
          <w:spacing w:val="-11"/>
          <w:sz w:val="20"/>
        </w:rPr>
        <w:t xml:space="preserve"> </w:t>
      </w:r>
      <w:r>
        <w:rPr>
          <w:color w:val="231F20"/>
          <w:sz w:val="20"/>
        </w:rPr>
        <w:t>take</w:t>
      </w:r>
      <w:r>
        <w:rPr>
          <w:color w:val="231F20"/>
          <w:spacing w:val="-12"/>
          <w:sz w:val="20"/>
        </w:rPr>
        <w:t xml:space="preserve"> </w:t>
      </w:r>
      <w:r>
        <w:rPr>
          <w:color w:val="231F20"/>
          <w:sz w:val="20"/>
        </w:rPr>
        <w:t>meaningful</w:t>
      </w:r>
      <w:r>
        <w:rPr>
          <w:color w:val="231F20"/>
          <w:spacing w:val="-11"/>
          <w:sz w:val="20"/>
        </w:rPr>
        <w:t xml:space="preserve"> </w:t>
      </w:r>
      <w:r>
        <w:rPr>
          <w:color w:val="231F20"/>
          <w:sz w:val="20"/>
        </w:rPr>
        <w:t>action</w:t>
      </w:r>
      <w:r>
        <w:rPr>
          <w:color w:val="231F20"/>
          <w:spacing w:val="-11"/>
          <w:sz w:val="20"/>
        </w:rPr>
        <w:t xml:space="preserve"> </w:t>
      </w:r>
      <w:r>
        <w:rPr>
          <w:color w:val="231F20"/>
          <w:sz w:val="20"/>
        </w:rPr>
        <w:t>to</w:t>
      </w:r>
      <w:r>
        <w:rPr>
          <w:color w:val="231F20"/>
          <w:spacing w:val="-12"/>
          <w:sz w:val="20"/>
        </w:rPr>
        <w:t xml:space="preserve"> </w:t>
      </w:r>
      <w:r>
        <w:rPr>
          <w:color w:val="231F20"/>
          <w:sz w:val="20"/>
        </w:rPr>
        <w:t>address</w:t>
      </w:r>
      <w:r>
        <w:rPr>
          <w:color w:val="231F20"/>
          <w:spacing w:val="-11"/>
          <w:sz w:val="20"/>
        </w:rPr>
        <w:t xml:space="preserve"> </w:t>
      </w:r>
      <w:r>
        <w:rPr>
          <w:color w:val="231F20"/>
          <w:sz w:val="20"/>
        </w:rPr>
        <w:t>online</w:t>
      </w:r>
      <w:r>
        <w:rPr>
          <w:color w:val="231F20"/>
          <w:spacing w:val="-11"/>
          <w:sz w:val="20"/>
        </w:rPr>
        <w:t xml:space="preserve"> </w:t>
      </w:r>
      <w:r>
        <w:rPr>
          <w:color w:val="231F20"/>
          <w:sz w:val="20"/>
        </w:rPr>
        <w:t>harms</w:t>
      </w:r>
      <w:r>
        <w:rPr>
          <w:color w:val="231F20"/>
          <w:spacing w:val="-12"/>
          <w:sz w:val="20"/>
        </w:rPr>
        <w:t xml:space="preserve"> </w:t>
      </w:r>
      <w:r>
        <w:rPr>
          <w:color w:val="231F20"/>
          <w:sz w:val="20"/>
        </w:rPr>
        <w:t>to</w:t>
      </w:r>
      <w:r>
        <w:rPr>
          <w:color w:val="231F20"/>
          <w:spacing w:val="-11"/>
          <w:sz w:val="20"/>
        </w:rPr>
        <w:t xml:space="preserve"> </w:t>
      </w:r>
      <w:r>
        <w:rPr>
          <w:color w:val="231F20"/>
          <w:sz w:val="20"/>
        </w:rPr>
        <w:t>people</w:t>
      </w:r>
      <w:r>
        <w:rPr>
          <w:color w:val="231F20"/>
          <w:spacing w:val="-11"/>
          <w:sz w:val="20"/>
        </w:rPr>
        <w:t xml:space="preserve"> </w:t>
      </w:r>
      <w:r>
        <w:rPr>
          <w:color w:val="231F20"/>
          <w:sz w:val="20"/>
        </w:rPr>
        <w:t>using their products or</w:t>
      </w:r>
      <w:r>
        <w:rPr>
          <w:color w:val="231F20"/>
          <w:spacing w:val="-13"/>
          <w:sz w:val="20"/>
        </w:rPr>
        <w:t xml:space="preserve"> </w:t>
      </w:r>
      <w:r>
        <w:rPr>
          <w:color w:val="231F20"/>
          <w:sz w:val="20"/>
        </w:rPr>
        <w:t>services.</w:t>
      </w:r>
      <w:r>
        <w:rPr>
          <w:color w:val="231F20"/>
          <w:position w:val="7"/>
          <w:sz w:val="11"/>
        </w:rPr>
        <w:t>184</w:t>
      </w:r>
    </w:p>
    <w:p w14:paraId="0AD9DE09" w14:textId="77777777" w:rsidR="00894070" w:rsidRDefault="009B7AFD">
      <w:pPr>
        <w:pStyle w:val="ListParagraph"/>
        <w:numPr>
          <w:ilvl w:val="1"/>
          <w:numId w:val="161"/>
        </w:numPr>
        <w:tabs>
          <w:tab w:val="left" w:pos="1801"/>
          <w:tab w:val="left" w:pos="1802"/>
        </w:tabs>
        <w:spacing w:before="125" w:line="206" w:lineRule="auto"/>
        <w:ind w:right="1392"/>
        <w:rPr>
          <w:sz w:val="11"/>
        </w:rPr>
      </w:pP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context</w:t>
      </w:r>
      <w:r>
        <w:rPr>
          <w:color w:val="231F20"/>
          <w:spacing w:val="-8"/>
          <w:sz w:val="20"/>
        </w:rPr>
        <w:t xml:space="preserve"> </w:t>
      </w:r>
      <w:r>
        <w:rPr>
          <w:color w:val="231F20"/>
          <w:sz w:val="20"/>
        </w:rPr>
        <w:t>of</w:t>
      </w:r>
      <w:r>
        <w:rPr>
          <w:color w:val="231F20"/>
          <w:spacing w:val="-8"/>
          <w:sz w:val="20"/>
        </w:rPr>
        <w:t xml:space="preserve"> </w:t>
      </w:r>
      <w:r>
        <w:rPr>
          <w:color w:val="231F20"/>
          <w:spacing w:val="-3"/>
          <w:sz w:val="20"/>
        </w:rPr>
        <w:t>intimate</w:t>
      </w:r>
      <w:r>
        <w:rPr>
          <w:color w:val="231F20"/>
          <w:spacing w:val="-7"/>
          <w:sz w:val="20"/>
        </w:rPr>
        <w:t xml:space="preserve"> </w:t>
      </w:r>
      <w:r>
        <w:rPr>
          <w:color w:val="231F20"/>
          <w:sz w:val="20"/>
        </w:rPr>
        <w:t>image-based</w:t>
      </w:r>
      <w:r>
        <w:rPr>
          <w:color w:val="231F20"/>
          <w:spacing w:val="-8"/>
          <w:sz w:val="20"/>
        </w:rPr>
        <w:t xml:space="preserve"> </w:t>
      </w:r>
      <w:r>
        <w:rPr>
          <w:color w:val="231F20"/>
          <w:sz w:val="20"/>
        </w:rPr>
        <w:t>abuse</w:t>
      </w:r>
      <w:r>
        <w:rPr>
          <w:color w:val="231F20"/>
          <w:spacing w:val="-8"/>
          <w:sz w:val="20"/>
        </w:rPr>
        <w:t xml:space="preserve"> </w:t>
      </w:r>
      <w:r>
        <w:rPr>
          <w:color w:val="231F20"/>
          <w:sz w:val="20"/>
        </w:rPr>
        <w:t>crimes,</w:t>
      </w:r>
      <w:r>
        <w:rPr>
          <w:color w:val="231F20"/>
          <w:spacing w:val="-8"/>
          <w:sz w:val="20"/>
        </w:rPr>
        <w:t xml:space="preserve"> </w:t>
      </w:r>
      <w:r>
        <w:rPr>
          <w:color w:val="231F20"/>
          <w:sz w:val="20"/>
        </w:rPr>
        <w:t>eSafety</w:t>
      </w:r>
      <w:r>
        <w:rPr>
          <w:color w:val="231F20"/>
          <w:spacing w:val="-7"/>
          <w:sz w:val="20"/>
        </w:rPr>
        <w:t xml:space="preserve"> </w:t>
      </w:r>
      <w:r>
        <w:rPr>
          <w:color w:val="231F20"/>
          <w:sz w:val="20"/>
        </w:rPr>
        <w:t>has</w:t>
      </w:r>
      <w:r>
        <w:rPr>
          <w:color w:val="231F20"/>
          <w:spacing w:val="-8"/>
          <w:sz w:val="20"/>
        </w:rPr>
        <w:t xml:space="preserve"> </w:t>
      </w:r>
      <w:r>
        <w:rPr>
          <w:color w:val="231F20"/>
          <w:sz w:val="20"/>
        </w:rPr>
        <w:t>a</w:t>
      </w:r>
      <w:r>
        <w:rPr>
          <w:color w:val="231F20"/>
          <w:spacing w:val="-8"/>
          <w:sz w:val="20"/>
        </w:rPr>
        <w:t xml:space="preserve"> </w:t>
      </w:r>
      <w:r>
        <w:rPr>
          <w:color w:val="231F20"/>
          <w:sz w:val="20"/>
        </w:rPr>
        <w:t>memorandum</w:t>
      </w:r>
      <w:r>
        <w:rPr>
          <w:color w:val="231F20"/>
          <w:spacing w:val="-8"/>
          <w:sz w:val="20"/>
        </w:rPr>
        <w:t xml:space="preserve"> </w:t>
      </w:r>
      <w:r>
        <w:rPr>
          <w:color w:val="231F20"/>
          <w:sz w:val="20"/>
        </w:rPr>
        <w:t xml:space="preserve">of understanding (MOU) with the Australian Federal Police. MOUs with state police </w:t>
      </w:r>
      <w:r>
        <w:rPr>
          <w:color w:val="231F20"/>
          <w:spacing w:val="-3"/>
          <w:sz w:val="20"/>
        </w:rPr>
        <w:t xml:space="preserve">are </w:t>
      </w:r>
      <w:r>
        <w:rPr>
          <w:color w:val="231F20"/>
          <w:sz w:val="20"/>
        </w:rPr>
        <w:t>also being</w:t>
      </w:r>
      <w:r>
        <w:rPr>
          <w:color w:val="231F20"/>
          <w:spacing w:val="-9"/>
          <w:sz w:val="20"/>
        </w:rPr>
        <w:t xml:space="preserve"> </w:t>
      </w:r>
      <w:r>
        <w:rPr>
          <w:color w:val="231F20"/>
          <w:sz w:val="20"/>
        </w:rPr>
        <w:t>developed.</w:t>
      </w:r>
      <w:r>
        <w:rPr>
          <w:color w:val="231F20"/>
          <w:position w:val="7"/>
          <w:sz w:val="11"/>
        </w:rPr>
        <w:t>185</w:t>
      </w:r>
    </w:p>
    <w:p w14:paraId="6327A6AE" w14:textId="77777777" w:rsidR="00894070" w:rsidRDefault="009B7AFD">
      <w:pPr>
        <w:pStyle w:val="ListParagraph"/>
        <w:numPr>
          <w:ilvl w:val="1"/>
          <w:numId w:val="161"/>
        </w:numPr>
        <w:tabs>
          <w:tab w:val="left" w:pos="1801"/>
          <w:tab w:val="left" w:pos="1802"/>
        </w:tabs>
        <w:spacing w:before="124" w:line="206" w:lineRule="auto"/>
        <w:ind w:right="1435"/>
        <w:rPr>
          <w:sz w:val="11"/>
        </w:rPr>
      </w:pPr>
      <w:r>
        <w:rPr>
          <w:color w:val="231F20"/>
          <w:sz w:val="20"/>
        </w:rPr>
        <w:t xml:space="preserve">A </w:t>
      </w:r>
      <w:r>
        <w:rPr>
          <w:color w:val="231F20"/>
          <w:spacing w:val="-3"/>
          <w:sz w:val="20"/>
        </w:rPr>
        <w:t xml:space="preserve">recent </w:t>
      </w:r>
      <w:r>
        <w:rPr>
          <w:color w:val="231F20"/>
          <w:sz w:val="20"/>
        </w:rPr>
        <w:t xml:space="preserve">report </w:t>
      </w:r>
      <w:r>
        <w:rPr>
          <w:color w:val="231F20"/>
          <w:spacing w:val="-3"/>
          <w:sz w:val="20"/>
        </w:rPr>
        <w:t xml:space="preserve">by </w:t>
      </w:r>
      <w:r>
        <w:rPr>
          <w:color w:val="231F20"/>
          <w:sz w:val="20"/>
        </w:rPr>
        <w:t xml:space="preserve">the federal parliamentary committee on social media and online safety made recommendations including a </w:t>
      </w:r>
      <w:r>
        <w:rPr>
          <w:color w:val="231F20"/>
          <w:spacing w:val="-4"/>
          <w:sz w:val="20"/>
        </w:rPr>
        <w:t xml:space="preserve">review </w:t>
      </w:r>
      <w:r>
        <w:rPr>
          <w:color w:val="231F20"/>
          <w:sz w:val="20"/>
        </w:rPr>
        <w:t>of the Online Safety Act</w:t>
      </w:r>
      <w:r>
        <w:rPr>
          <w:color w:val="231F20"/>
          <w:position w:val="7"/>
          <w:sz w:val="11"/>
        </w:rPr>
        <w:t xml:space="preserve">186 </w:t>
      </w:r>
      <w:r>
        <w:rPr>
          <w:color w:val="231F20"/>
          <w:sz w:val="20"/>
        </w:rPr>
        <w:t xml:space="preserve">and a </w:t>
      </w:r>
      <w:r>
        <w:rPr>
          <w:color w:val="231F20"/>
          <w:spacing w:val="-4"/>
          <w:sz w:val="20"/>
        </w:rPr>
        <w:t>review</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9"/>
          <w:sz w:val="20"/>
        </w:rPr>
        <w:t xml:space="preserve"> </w:t>
      </w:r>
      <w:r>
        <w:rPr>
          <w:color w:val="231F20"/>
          <w:sz w:val="20"/>
        </w:rPr>
        <w:t>legislative</w:t>
      </w:r>
      <w:r>
        <w:rPr>
          <w:color w:val="231F20"/>
          <w:spacing w:val="-10"/>
          <w:sz w:val="20"/>
        </w:rPr>
        <w:t xml:space="preserve"> </w:t>
      </w:r>
      <w:r>
        <w:rPr>
          <w:color w:val="231F20"/>
          <w:spacing w:val="-3"/>
          <w:sz w:val="20"/>
        </w:rPr>
        <w:t>framework</w:t>
      </w:r>
      <w:r>
        <w:rPr>
          <w:color w:val="231F20"/>
          <w:spacing w:val="-9"/>
          <w:sz w:val="20"/>
        </w:rPr>
        <w:t xml:space="preserve"> </w:t>
      </w:r>
      <w:r>
        <w:rPr>
          <w:color w:val="231F20"/>
          <w:sz w:val="20"/>
        </w:rPr>
        <w:t>and</w:t>
      </w:r>
      <w:r>
        <w:rPr>
          <w:color w:val="231F20"/>
          <w:spacing w:val="-10"/>
          <w:sz w:val="20"/>
        </w:rPr>
        <w:t xml:space="preserve"> </w:t>
      </w:r>
      <w:r>
        <w:rPr>
          <w:color w:val="231F20"/>
          <w:sz w:val="20"/>
        </w:rPr>
        <w:t>regulation</w:t>
      </w:r>
      <w:r>
        <w:rPr>
          <w:color w:val="231F20"/>
          <w:spacing w:val="-9"/>
          <w:sz w:val="20"/>
        </w:rPr>
        <w:t xml:space="preserve"> </w:t>
      </w:r>
      <w:r>
        <w:rPr>
          <w:color w:val="231F20"/>
          <w:sz w:val="20"/>
        </w:rPr>
        <w:t>in</w:t>
      </w:r>
      <w:r>
        <w:rPr>
          <w:color w:val="231F20"/>
          <w:spacing w:val="-10"/>
          <w:sz w:val="20"/>
        </w:rPr>
        <w:t xml:space="preserve"> </w:t>
      </w:r>
      <w:r>
        <w:rPr>
          <w:color w:val="231F20"/>
          <w:sz w:val="20"/>
        </w:rPr>
        <w:t>relation</w:t>
      </w:r>
      <w:r>
        <w:rPr>
          <w:color w:val="231F20"/>
          <w:spacing w:val="-10"/>
          <w:sz w:val="20"/>
        </w:rPr>
        <w:t xml:space="preserve"> </w:t>
      </w:r>
      <w:r>
        <w:rPr>
          <w:color w:val="231F20"/>
          <w:sz w:val="20"/>
        </w:rPr>
        <w:t>to</w:t>
      </w:r>
      <w:r>
        <w:rPr>
          <w:color w:val="231F20"/>
          <w:spacing w:val="-9"/>
          <w:sz w:val="20"/>
        </w:rPr>
        <w:t xml:space="preserve"> </w:t>
      </w:r>
      <w:r>
        <w:rPr>
          <w:color w:val="231F20"/>
          <w:sz w:val="20"/>
        </w:rPr>
        <w:t>the</w:t>
      </w:r>
      <w:r>
        <w:rPr>
          <w:color w:val="231F20"/>
          <w:spacing w:val="-10"/>
          <w:sz w:val="20"/>
        </w:rPr>
        <w:t xml:space="preserve"> </w:t>
      </w:r>
      <w:r>
        <w:rPr>
          <w:color w:val="231F20"/>
          <w:sz w:val="20"/>
        </w:rPr>
        <w:t>digital</w:t>
      </w:r>
      <w:r>
        <w:rPr>
          <w:color w:val="231F20"/>
          <w:spacing w:val="-9"/>
          <w:sz w:val="20"/>
        </w:rPr>
        <w:t xml:space="preserve"> </w:t>
      </w:r>
      <w:r>
        <w:rPr>
          <w:color w:val="231F20"/>
          <w:sz w:val="20"/>
        </w:rPr>
        <w:t>industry.</w:t>
      </w:r>
      <w:r>
        <w:rPr>
          <w:color w:val="231F20"/>
          <w:position w:val="7"/>
          <w:sz w:val="11"/>
        </w:rPr>
        <w:t>187</w:t>
      </w:r>
    </w:p>
    <w:p w14:paraId="03324FE2" w14:textId="77777777" w:rsidR="00894070" w:rsidRDefault="009B7AFD">
      <w:pPr>
        <w:pStyle w:val="ListParagraph"/>
        <w:numPr>
          <w:ilvl w:val="1"/>
          <w:numId w:val="161"/>
        </w:numPr>
        <w:tabs>
          <w:tab w:val="left" w:pos="1802"/>
        </w:tabs>
        <w:spacing w:before="124" w:line="206" w:lineRule="auto"/>
        <w:ind w:right="1467"/>
        <w:jc w:val="both"/>
        <w:rPr>
          <w:sz w:val="20"/>
        </w:rPr>
      </w:pPr>
      <w:r>
        <w:rPr>
          <w:color w:val="231F20"/>
          <w:spacing w:val="-6"/>
          <w:sz w:val="20"/>
        </w:rPr>
        <w:t>We</w:t>
      </w:r>
      <w:r>
        <w:rPr>
          <w:color w:val="231F20"/>
          <w:spacing w:val="-8"/>
          <w:sz w:val="20"/>
        </w:rPr>
        <w:t xml:space="preserve"> </w:t>
      </w:r>
      <w:r>
        <w:rPr>
          <w:color w:val="231F20"/>
          <w:sz w:val="20"/>
        </w:rPr>
        <w:t>also</w:t>
      </w:r>
      <w:r>
        <w:rPr>
          <w:color w:val="231F20"/>
          <w:spacing w:val="-7"/>
          <w:sz w:val="20"/>
        </w:rPr>
        <w:t xml:space="preserve"> </w:t>
      </w:r>
      <w:r>
        <w:rPr>
          <w:color w:val="231F20"/>
          <w:spacing w:val="-3"/>
          <w:sz w:val="20"/>
        </w:rPr>
        <w:t>note</w:t>
      </w:r>
      <w:r>
        <w:rPr>
          <w:color w:val="231F20"/>
          <w:spacing w:val="-7"/>
          <w:sz w:val="20"/>
        </w:rPr>
        <w:t xml:space="preserve"> </w:t>
      </w:r>
      <w:r>
        <w:rPr>
          <w:color w:val="231F20"/>
          <w:sz w:val="20"/>
        </w:rPr>
        <w:t>that</w:t>
      </w:r>
      <w:r>
        <w:rPr>
          <w:color w:val="231F20"/>
          <w:spacing w:val="-8"/>
          <w:sz w:val="20"/>
        </w:rPr>
        <w:t xml:space="preserve"> </w:t>
      </w:r>
      <w:r>
        <w:rPr>
          <w:color w:val="231F20"/>
          <w:sz w:val="20"/>
        </w:rPr>
        <w:t>the</w:t>
      </w:r>
      <w:r>
        <w:rPr>
          <w:color w:val="231F20"/>
          <w:spacing w:val="-7"/>
          <w:sz w:val="20"/>
        </w:rPr>
        <w:t xml:space="preserve"> </w:t>
      </w:r>
      <w:r>
        <w:rPr>
          <w:color w:val="231F20"/>
          <w:sz w:val="20"/>
        </w:rPr>
        <w:t>new</w:t>
      </w:r>
      <w:r>
        <w:rPr>
          <w:color w:val="231F20"/>
          <w:spacing w:val="-7"/>
          <w:sz w:val="20"/>
        </w:rPr>
        <w:t xml:space="preserve"> </w:t>
      </w:r>
      <w:r>
        <w:rPr>
          <w:i/>
          <w:color w:val="231F20"/>
          <w:spacing w:val="-3"/>
          <w:sz w:val="20"/>
        </w:rPr>
        <w:t>Telecommunications</w:t>
      </w:r>
      <w:r>
        <w:rPr>
          <w:i/>
          <w:color w:val="231F20"/>
          <w:spacing w:val="-8"/>
          <w:sz w:val="20"/>
        </w:rPr>
        <w:t xml:space="preserve"> </w:t>
      </w:r>
      <w:r>
        <w:rPr>
          <w:i/>
          <w:color w:val="231F20"/>
          <w:spacing w:val="-3"/>
          <w:sz w:val="20"/>
        </w:rPr>
        <w:t>Legislation</w:t>
      </w:r>
      <w:r>
        <w:rPr>
          <w:i/>
          <w:color w:val="231F20"/>
          <w:spacing w:val="-7"/>
          <w:sz w:val="20"/>
        </w:rPr>
        <w:t xml:space="preserve"> </w:t>
      </w:r>
      <w:r>
        <w:rPr>
          <w:i/>
          <w:color w:val="231F20"/>
          <w:sz w:val="20"/>
        </w:rPr>
        <w:t>Amendment</w:t>
      </w:r>
      <w:r>
        <w:rPr>
          <w:i/>
          <w:color w:val="231F20"/>
          <w:spacing w:val="-7"/>
          <w:sz w:val="20"/>
        </w:rPr>
        <w:t xml:space="preserve"> </w:t>
      </w:r>
      <w:r>
        <w:rPr>
          <w:i/>
          <w:color w:val="231F20"/>
          <w:sz w:val="20"/>
        </w:rPr>
        <w:t xml:space="preserve">(International Production </w:t>
      </w:r>
      <w:r>
        <w:rPr>
          <w:i/>
          <w:color w:val="231F20"/>
          <w:spacing w:val="-3"/>
          <w:sz w:val="20"/>
        </w:rPr>
        <w:t xml:space="preserve">Orders) </w:t>
      </w:r>
      <w:r>
        <w:rPr>
          <w:i/>
          <w:color w:val="231F20"/>
          <w:sz w:val="20"/>
        </w:rPr>
        <w:t xml:space="preserve">Act </w:t>
      </w:r>
      <w:r>
        <w:rPr>
          <w:i/>
          <w:color w:val="231F20"/>
          <w:spacing w:val="-3"/>
          <w:sz w:val="20"/>
        </w:rPr>
        <w:t xml:space="preserve">2021 </w:t>
      </w:r>
      <w:r>
        <w:rPr>
          <w:color w:val="231F20"/>
          <w:spacing w:val="-3"/>
          <w:sz w:val="20"/>
        </w:rPr>
        <w:t xml:space="preserve">(Cth) </w:t>
      </w:r>
      <w:r>
        <w:rPr>
          <w:color w:val="231F20"/>
          <w:sz w:val="20"/>
        </w:rPr>
        <w:t xml:space="preserve">has the </w:t>
      </w:r>
      <w:r>
        <w:rPr>
          <w:color w:val="231F20"/>
          <w:spacing w:val="-3"/>
          <w:sz w:val="20"/>
        </w:rPr>
        <w:t xml:space="preserve">potential </w:t>
      </w:r>
      <w:r>
        <w:rPr>
          <w:color w:val="231F20"/>
          <w:sz w:val="20"/>
        </w:rPr>
        <w:t xml:space="preserve">to speed up requests </w:t>
      </w:r>
      <w:r>
        <w:rPr>
          <w:color w:val="231F20"/>
          <w:spacing w:val="-3"/>
          <w:sz w:val="20"/>
        </w:rPr>
        <w:t xml:space="preserve">for </w:t>
      </w:r>
      <w:r>
        <w:rPr>
          <w:color w:val="231F20"/>
          <w:sz w:val="20"/>
        </w:rPr>
        <w:t>police to obtain</w:t>
      </w:r>
      <w:r>
        <w:rPr>
          <w:color w:val="231F20"/>
          <w:spacing w:val="-11"/>
          <w:sz w:val="20"/>
        </w:rPr>
        <w:t xml:space="preserve"> </w:t>
      </w:r>
      <w:r>
        <w:rPr>
          <w:color w:val="231F20"/>
          <w:sz w:val="20"/>
        </w:rPr>
        <w:t>Australians’</w:t>
      </w:r>
      <w:r>
        <w:rPr>
          <w:color w:val="231F20"/>
          <w:spacing w:val="-10"/>
          <w:sz w:val="20"/>
        </w:rPr>
        <w:t xml:space="preserve"> </w:t>
      </w:r>
      <w:r>
        <w:rPr>
          <w:color w:val="231F20"/>
          <w:sz w:val="20"/>
        </w:rPr>
        <w:t>telecommunications</w:t>
      </w:r>
      <w:r>
        <w:rPr>
          <w:color w:val="231F20"/>
          <w:spacing w:val="-10"/>
          <w:sz w:val="20"/>
        </w:rPr>
        <w:t xml:space="preserve"> </w:t>
      </w:r>
      <w:r>
        <w:rPr>
          <w:color w:val="231F20"/>
          <w:sz w:val="20"/>
        </w:rPr>
        <w:t>data</w:t>
      </w:r>
      <w:r>
        <w:rPr>
          <w:color w:val="231F20"/>
          <w:spacing w:val="-11"/>
          <w:sz w:val="20"/>
        </w:rPr>
        <w:t xml:space="preserve"> </w:t>
      </w:r>
      <w:r>
        <w:rPr>
          <w:color w:val="231F20"/>
          <w:sz w:val="20"/>
        </w:rPr>
        <w:t>held</w:t>
      </w:r>
      <w:r>
        <w:rPr>
          <w:color w:val="231F20"/>
          <w:spacing w:val="-10"/>
          <w:sz w:val="20"/>
        </w:rPr>
        <w:t xml:space="preserve"> </w:t>
      </w:r>
      <w:r>
        <w:rPr>
          <w:color w:val="231F20"/>
          <w:sz w:val="20"/>
        </w:rPr>
        <w:t>offshore</w:t>
      </w:r>
      <w:r>
        <w:rPr>
          <w:color w:val="231F20"/>
          <w:spacing w:val="-10"/>
          <w:sz w:val="20"/>
        </w:rPr>
        <w:t xml:space="preserve"> </w:t>
      </w:r>
      <w:r>
        <w:rPr>
          <w:color w:val="231F20"/>
          <w:sz w:val="20"/>
        </w:rPr>
        <w:t>in</w:t>
      </w:r>
      <w:r>
        <w:rPr>
          <w:color w:val="231F20"/>
          <w:spacing w:val="-11"/>
          <w:sz w:val="20"/>
        </w:rPr>
        <w:t xml:space="preserve"> </w:t>
      </w:r>
      <w:r>
        <w:rPr>
          <w:color w:val="231F20"/>
          <w:sz w:val="20"/>
        </w:rPr>
        <w:t>the</w:t>
      </w:r>
      <w:r>
        <w:rPr>
          <w:color w:val="231F20"/>
          <w:spacing w:val="-10"/>
          <w:sz w:val="20"/>
        </w:rPr>
        <w:t xml:space="preserve"> </w:t>
      </w:r>
      <w:r>
        <w:rPr>
          <w:color w:val="231F20"/>
          <w:sz w:val="20"/>
        </w:rPr>
        <w:t>United</w:t>
      </w:r>
      <w:r>
        <w:rPr>
          <w:color w:val="231F20"/>
          <w:spacing w:val="-10"/>
          <w:sz w:val="20"/>
        </w:rPr>
        <w:t xml:space="preserve"> </w:t>
      </w:r>
      <w:r>
        <w:rPr>
          <w:color w:val="231F20"/>
          <w:sz w:val="20"/>
        </w:rPr>
        <w:t>States.</w:t>
      </w:r>
    </w:p>
    <w:p w14:paraId="3C2F4F71" w14:textId="77777777" w:rsidR="00894070" w:rsidRDefault="00894070">
      <w:pPr>
        <w:pStyle w:val="BodyText"/>
      </w:pPr>
    </w:p>
    <w:p w14:paraId="7E0780AF" w14:textId="77777777" w:rsidR="00894070" w:rsidRDefault="00894070">
      <w:pPr>
        <w:pStyle w:val="BodyText"/>
      </w:pPr>
    </w:p>
    <w:p w14:paraId="00E0BA3B" w14:textId="77777777" w:rsidR="00894070" w:rsidRDefault="00894070">
      <w:pPr>
        <w:pStyle w:val="BodyText"/>
      </w:pPr>
    </w:p>
    <w:p w14:paraId="48551843" w14:textId="77777777" w:rsidR="00894070" w:rsidRDefault="00894070">
      <w:pPr>
        <w:pStyle w:val="BodyText"/>
      </w:pPr>
    </w:p>
    <w:p w14:paraId="0390B057" w14:textId="77777777" w:rsidR="00894070" w:rsidRDefault="00894070">
      <w:pPr>
        <w:pStyle w:val="BodyText"/>
      </w:pPr>
    </w:p>
    <w:p w14:paraId="60C9AB0E" w14:textId="77777777" w:rsidR="00894070" w:rsidRDefault="00894070">
      <w:pPr>
        <w:pStyle w:val="BodyText"/>
      </w:pPr>
    </w:p>
    <w:p w14:paraId="33B433CB" w14:textId="77777777" w:rsidR="00894070" w:rsidRDefault="00894070">
      <w:pPr>
        <w:pStyle w:val="BodyText"/>
      </w:pPr>
    </w:p>
    <w:p w14:paraId="2333C851" w14:textId="77777777" w:rsidR="00894070" w:rsidRDefault="00894070">
      <w:pPr>
        <w:pStyle w:val="BodyText"/>
      </w:pPr>
    </w:p>
    <w:p w14:paraId="14988F8A" w14:textId="77777777" w:rsidR="00894070" w:rsidRDefault="00894070">
      <w:pPr>
        <w:pStyle w:val="BodyText"/>
      </w:pPr>
    </w:p>
    <w:p w14:paraId="3BC758E1" w14:textId="77777777" w:rsidR="00894070" w:rsidRDefault="00894070">
      <w:pPr>
        <w:pStyle w:val="BodyText"/>
      </w:pPr>
    </w:p>
    <w:p w14:paraId="69A98EF8" w14:textId="77777777" w:rsidR="00894070" w:rsidRDefault="00894070">
      <w:pPr>
        <w:pStyle w:val="BodyText"/>
      </w:pPr>
    </w:p>
    <w:p w14:paraId="28DEBB21" w14:textId="77777777" w:rsidR="00894070" w:rsidRDefault="00894070">
      <w:pPr>
        <w:pStyle w:val="BodyText"/>
      </w:pPr>
    </w:p>
    <w:p w14:paraId="03BD9E35" w14:textId="77777777" w:rsidR="00894070" w:rsidRDefault="00894070">
      <w:pPr>
        <w:pStyle w:val="BodyText"/>
      </w:pPr>
    </w:p>
    <w:p w14:paraId="1C6B1A18" w14:textId="77777777" w:rsidR="00894070" w:rsidRDefault="00894070">
      <w:pPr>
        <w:pStyle w:val="BodyText"/>
      </w:pPr>
    </w:p>
    <w:p w14:paraId="53D4BF18" w14:textId="77777777" w:rsidR="00894070" w:rsidRDefault="00894070">
      <w:pPr>
        <w:pStyle w:val="BodyText"/>
      </w:pPr>
    </w:p>
    <w:p w14:paraId="23B3D449" w14:textId="77777777" w:rsidR="00894070" w:rsidRDefault="00894070">
      <w:pPr>
        <w:pStyle w:val="BodyText"/>
      </w:pPr>
    </w:p>
    <w:p w14:paraId="44E3C2D2" w14:textId="77777777" w:rsidR="00894070" w:rsidRDefault="00894070">
      <w:pPr>
        <w:pStyle w:val="BodyText"/>
      </w:pPr>
    </w:p>
    <w:p w14:paraId="70B5C502" w14:textId="77777777" w:rsidR="00894070" w:rsidRDefault="00894070">
      <w:pPr>
        <w:pStyle w:val="BodyText"/>
      </w:pPr>
    </w:p>
    <w:p w14:paraId="0853CBF3" w14:textId="77777777" w:rsidR="00894070" w:rsidRDefault="00894070">
      <w:pPr>
        <w:pStyle w:val="BodyText"/>
      </w:pPr>
    </w:p>
    <w:p w14:paraId="11C3E440" w14:textId="77777777" w:rsidR="00894070" w:rsidRDefault="00894070">
      <w:pPr>
        <w:pStyle w:val="BodyText"/>
      </w:pPr>
    </w:p>
    <w:p w14:paraId="23181CDB" w14:textId="77777777" w:rsidR="00894070" w:rsidRDefault="00894070">
      <w:pPr>
        <w:pStyle w:val="BodyText"/>
      </w:pPr>
    </w:p>
    <w:p w14:paraId="6F17BA79" w14:textId="77777777" w:rsidR="00894070" w:rsidRDefault="00894070">
      <w:pPr>
        <w:pStyle w:val="BodyText"/>
      </w:pPr>
    </w:p>
    <w:p w14:paraId="7C59A7A5" w14:textId="77777777" w:rsidR="00894070" w:rsidRDefault="00894070">
      <w:pPr>
        <w:pStyle w:val="BodyText"/>
      </w:pPr>
    </w:p>
    <w:p w14:paraId="1681502B" w14:textId="77777777" w:rsidR="00894070" w:rsidRDefault="00894070">
      <w:pPr>
        <w:pStyle w:val="BodyText"/>
      </w:pPr>
    </w:p>
    <w:p w14:paraId="79ED3265" w14:textId="77777777" w:rsidR="00894070" w:rsidRDefault="00894070">
      <w:pPr>
        <w:pStyle w:val="BodyText"/>
      </w:pPr>
    </w:p>
    <w:p w14:paraId="1BB3566A" w14:textId="77777777" w:rsidR="00894070" w:rsidRDefault="00894070">
      <w:pPr>
        <w:pStyle w:val="BodyText"/>
      </w:pPr>
    </w:p>
    <w:p w14:paraId="4A06CE97" w14:textId="77777777" w:rsidR="00894070" w:rsidRDefault="00894070">
      <w:pPr>
        <w:pStyle w:val="BodyText"/>
      </w:pPr>
    </w:p>
    <w:p w14:paraId="02304589" w14:textId="77777777" w:rsidR="00894070" w:rsidRDefault="00894070">
      <w:pPr>
        <w:pStyle w:val="BodyText"/>
      </w:pPr>
    </w:p>
    <w:p w14:paraId="10E8419C" w14:textId="77777777" w:rsidR="00894070" w:rsidRDefault="00894070">
      <w:pPr>
        <w:pStyle w:val="BodyText"/>
      </w:pPr>
    </w:p>
    <w:p w14:paraId="3929B0ED" w14:textId="77777777" w:rsidR="00894070" w:rsidRDefault="00894070">
      <w:pPr>
        <w:pStyle w:val="BodyText"/>
      </w:pPr>
    </w:p>
    <w:p w14:paraId="0F7547DF" w14:textId="77777777" w:rsidR="00894070" w:rsidRDefault="00894070">
      <w:pPr>
        <w:pStyle w:val="BodyText"/>
      </w:pPr>
    </w:p>
    <w:p w14:paraId="2152EC56" w14:textId="77777777" w:rsidR="00894070" w:rsidRDefault="00894070">
      <w:pPr>
        <w:pStyle w:val="BodyText"/>
      </w:pPr>
    </w:p>
    <w:p w14:paraId="05416D2C" w14:textId="77777777" w:rsidR="00894070" w:rsidRDefault="00894070">
      <w:pPr>
        <w:pStyle w:val="BodyText"/>
      </w:pPr>
    </w:p>
    <w:p w14:paraId="3A05E0DD" w14:textId="77777777" w:rsidR="00894070" w:rsidRDefault="00894070">
      <w:pPr>
        <w:pStyle w:val="BodyText"/>
      </w:pPr>
    </w:p>
    <w:p w14:paraId="0E905AC0" w14:textId="77777777" w:rsidR="00894070" w:rsidRDefault="009F6793">
      <w:pPr>
        <w:pStyle w:val="BodyText"/>
        <w:spacing w:before="11"/>
        <w:rPr>
          <w:sz w:val="29"/>
        </w:rPr>
      </w:pPr>
      <w:r>
        <w:pict w14:anchorId="0D755769">
          <v:line id="_x0000_s1534" style="position:absolute;z-index:251518976;mso-wrap-distance-left:0;mso-wrap-distance-right:0;mso-position-horizontal-relative:page" from="79.35pt,23.15pt" to="515.9pt,23.15pt" strokecolor="#f8cabc" strokeweight="1pt">
            <w10:wrap type="topAndBottom" anchorx="page"/>
          </v:line>
        </w:pict>
      </w:r>
    </w:p>
    <w:p w14:paraId="52F630C5" w14:textId="77777777" w:rsidR="00894070" w:rsidRDefault="009B7AFD">
      <w:pPr>
        <w:pStyle w:val="ListParagraph"/>
        <w:numPr>
          <w:ilvl w:val="0"/>
          <w:numId w:val="138"/>
        </w:numPr>
        <w:tabs>
          <w:tab w:val="left" w:pos="1801"/>
          <w:tab w:val="left" w:pos="1802"/>
        </w:tabs>
        <w:spacing w:before="91" w:line="170" w:lineRule="exact"/>
        <w:rPr>
          <w:sz w:val="13"/>
        </w:rPr>
      </w:pPr>
      <w:r>
        <w:rPr>
          <w:color w:val="231F20"/>
          <w:sz w:val="13"/>
        </w:rPr>
        <w:t xml:space="preserve">Commonwealth of Australia, </w:t>
      </w:r>
      <w:r>
        <w:rPr>
          <w:i/>
          <w:color w:val="231F20"/>
          <w:sz w:val="13"/>
        </w:rPr>
        <w:t xml:space="preserve">Online Safety Charter </w:t>
      </w:r>
      <w:r>
        <w:rPr>
          <w:color w:val="231F20"/>
          <w:sz w:val="13"/>
        </w:rPr>
        <w:t>(Charter,</w:t>
      </w:r>
      <w:r>
        <w:rPr>
          <w:color w:val="231F20"/>
          <w:spacing w:val="3"/>
          <w:sz w:val="13"/>
        </w:rPr>
        <w:t xml:space="preserve"> </w:t>
      </w:r>
      <w:r>
        <w:rPr>
          <w:color w:val="231F20"/>
          <w:sz w:val="13"/>
        </w:rPr>
        <w:t>2019).</w:t>
      </w:r>
    </w:p>
    <w:p w14:paraId="49B9D82C" w14:textId="77777777" w:rsidR="00894070" w:rsidRDefault="009B7AFD">
      <w:pPr>
        <w:pStyle w:val="ListParagraph"/>
        <w:numPr>
          <w:ilvl w:val="0"/>
          <w:numId w:val="138"/>
        </w:numPr>
        <w:tabs>
          <w:tab w:val="left" w:pos="1800"/>
          <w:tab w:val="left" w:pos="1802"/>
        </w:tabs>
        <w:spacing w:line="160" w:lineRule="exact"/>
        <w:rPr>
          <w:sz w:val="13"/>
        </w:rPr>
      </w:pPr>
      <w:r>
        <w:rPr>
          <w:color w:val="231F20"/>
          <w:sz w:val="13"/>
        </w:rPr>
        <w:t>Consultation 8 (eSafety Commissioner).</w:t>
      </w:r>
    </w:p>
    <w:p w14:paraId="79A6EB52" w14:textId="77777777" w:rsidR="00894070" w:rsidRDefault="009B7AFD">
      <w:pPr>
        <w:pStyle w:val="ListParagraph"/>
        <w:numPr>
          <w:ilvl w:val="0"/>
          <w:numId w:val="138"/>
        </w:numPr>
        <w:tabs>
          <w:tab w:val="left" w:pos="1801"/>
          <w:tab w:val="left" w:pos="1802"/>
        </w:tabs>
        <w:spacing w:line="160" w:lineRule="exact"/>
        <w:rPr>
          <w:sz w:val="13"/>
        </w:rPr>
      </w:pPr>
      <w:r>
        <w:rPr>
          <w:color w:val="231F20"/>
          <w:sz w:val="13"/>
        </w:rPr>
        <w:t>House</w:t>
      </w:r>
      <w:r>
        <w:rPr>
          <w:color w:val="231F20"/>
          <w:spacing w:val="2"/>
          <w:sz w:val="13"/>
        </w:rPr>
        <w:t xml:space="preserve"> </w:t>
      </w:r>
      <w:r>
        <w:rPr>
          <w:color w:val="231F20"/>
          <w:sz w:val="13"/>
        </w:rPr>
        <w:t>of</w:t>
      </w:r>
      <w:r>
        <w:rPr>
          <w:color w:val="231F20"/>
          <w:spacing w:val="3"/>
          <w:sz w:val="13"/>
        </w:rPr>
        <w:t xml:space="preserve"> </w:t>
      </w:r>
      <w:r>
        <w:rPr>
          <w:color w:val="231F20"/>
          <w:sz w:val="13"/>
        </w:rPr>
        <w:t>Representatives</w:t>
      </w:r>
      <w:r>
        <w:rPr>
          <w:color w:val="231F20"/>
          <w:spacing w:val="3"/>
          <w:sz w:val="13"/>
        </w:rPr>
        <w:t xml:space="preserve"> </w:t>
      </w:r>
      <w:r>
        <w:rPr>
          <w:color w:val="231F20"/>
          <w:sz w:val="13"/>
        </w:rPr>
        <w:t>Select</w:t>
      </w:r>
      <w:r>
        <w:rPr>
          <w:color w:val="231F20"/>
          <w:spacing w:val="3"/>
          <w:sz w:val="13"/>
        </w:rPr>
        <w:t xml:space="preserve"> </w:t>
      </w:r>
      <w:r>
        <w:rPr>
          <w:color w:val="231F20"/>
          <w:sz w:val="13"/>
        </w:rPr>
        <w:t>Committee</w:t>
      </w:r>
      <w:r>
        <w:rPr>
          <w:color w:val="231F20"/>
          <w:spacing w:val="3"/>
          <w:sz w:val="13"/>
        </w:rPr>
        <w:t xml:space="preserve"> </w:t>
      </w:r>
      <w:r>
        <w:rPr>
          <w:color w:val="231F20"/>
          <w:sz w:val="13"/>
        </w:rPr>
        <w:t>on</w:t>
      </w:r>
      <w:r>
        <w:rPr>
          <w:color w:val="231F20"/>
          <w:spacing w:val="2"/>
          <w:sz w:val="13"/>
        </w:rPr>
        <w:t xml:space="preserve"> </w:t>
      </w:r>
      <w:proofErr w:type="gramStart"/>
      <w:r>
        <w:rPr>
          <w:color w:val="231F20"/>
          <w:sz w:val="13"/>
        </w:rPr>
        <w:t>Social</w:t>
      </w:r>
      <w:r>
        <w:rPr>
          <w:color w:val="231F20"/>
          <w:spacing w:val="3"/>
          <w:sz w:val="13"/>
        </w:rPr>
        <w:t xml:space="preserve"> </w:t>
      </w:r>
      <w:r>
        <w:rPr>
          <w:color w:val="231F20"/>
          <w:sz w:val="13"/>
        </w:rPr>
        <w:t>Media</w:t>
      </w:r>
      <w:proofErr w:type="gramEnd"/>
      <w:r>
        <w:rPr>
          <w:color w:val="231F20"/>
          <w:spacing w:val="3"/>
          <w:sz w:val="13"/>
        </w:rPr>
        <w:t xml:space="preserve"> </w:t>
      </w:r>
      <w:r>
        <w:rPr>
          <w:color w:val="231F20"/>
          <w:sz w:val="13"/>
        </w:rPr>
        <w:t>and</w:t>
      </w:r>
      <w:r>
        <w:rPr>
          <w:color w:val="231F20"/>
          <w:spacing w:val="3"/>
          <w:sz w:val="13"/>
        </w:rPr>
        <w:t xml:space="preserve"> </w:t>
      </w:r>
      <w:r>
        <w:rPr>
          <w:color w:val="231F20"/>
          <w:spacing w:val="2"/>
          <w:sz w:val="13"/>
        </w:rPr>
        <w:t xml:space="preserve">Online </w:t>
      </w:r>
      <w:r>
        <w:rPr>
          <w:color w:val="231F20"/>
          <w:sz w:val="13"/>
        </w:rPr>
        <w:t>Safety,</w:t>
      </w:r>
      <w:r>
        <w:rPr>
          <w:color w:val="231F20"/>
          <w:spacing w:val="3"/>
          <w:sz w:val="13"/>
        </w:rPr>
        <w:t xml:space="preserve"> </w:t>
      </w:r>
      <w:r>
        <w:rPr>
          <w:color w:val="231F20"/>
          <w:sz w:val="13"/>
        </w:rPr>
        <w:t>Parliament</w:t>
      </w:r>
      <w:r>
        <w:rPr>
          <w:color w:val="231F20"/>
          <w:spacing w:val="3"/>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Commonwealth</w:t>
      </w:r>
      <w:r>
        <w:rPr>
          <w:color w:val="231F20"/>
          <w:spacing w:val="2"/>
          <w:sz w:val="13"/>
        </w:rPr>
        <w:t xml:space="preserve"> </w:t>
      </w:r>
      <w:r>
        <w:rPr>
          <w:color w:val="231F20"/>
          <w:sz w:val="13"/>
        </w:rPr>
        <w:t>of</w:t>
      </w:r>
      <w:r>
        <w:rPr>
          <w:color w:val="231F20"/>
          <w:spacing w:val="3"/>
          <w:sz w:val="13"/>
        </w:rPr>
        <w:t xml:space="preserve"> </w:t>
      </w:r>
      <w:r>
        <w:rPr>
          <w:color w:val="231F20"/>
          <w:sz w:val="13"/>
        </w:rPr>
        <w:t>Australia,</w:t>
      </w:r>
    </w:p>
    <w:p w14:paraId="139E92BE" w14:textId="77777777" w:rsidR="00894070" w:rsidRDefault="009F6793">
      <w:pPr>
        <w:spacing w:line="160" w:lineRule="exact"/>
        <w:ind w:left="1801"/>
        <w:rPr>
          <w:sz w:val="13"/>
        </w:rPr>
      </w:pPr>
      <w:r>
        <w:pict w14:anchorId="69A7169B">
          <v:shape id="_x0000_s1533" type="#_x0000_t202" style="position:absolute;left:0;text-align:left;margin-left:36pt;margin-top:3.7pt;width:13.4pt;height:14.1pt;z-index:251591680;mso-position-horizontal-relative:page" filled="f" stroked="f">
            <v:textbox inset="0,0,0,0">
              <w:txbxContent>
                <w:p w14:paraId="7F671176" w14:textId="77777777" w:rsidR="00894070" w:rsidRDefault="009B7AFD">
                  <w:pPr>
                    <w:spacing w:line="282" w:lineRule="exact"/>
                    <w:rPr>
                      <w:b/>
                      <w:sz w:val="24"/>
                    </w:rPr>
                  </w:pPr>
                  <w:r>
                    <w:rPr>
                      <w:b/>
                      <w:color w:val="EA5B50"/>
                      <w:spacing w:val="-1"/>
                      <w:sz w:val="24"/>
                    </w:rPr>
                    <w:t>52</w:t>
                  </w:r>
                </w:p>
              </w:txbxContent>
            </v:textbox>
            <w10:wrap anchorx="page"/>
          </v:shape>
        </w:pict>
      </w:r>
      <w:r w:rsidR="009B7AFD">
        <w:rPr>
          <w:i/>
          <w:color w:val="231F20"/>
          <w:sz w:val="13"/>
        </w:rPr>
        <w:t xml:space="preserve">Social Media and Online Safety </w:t>
      </w:r>
      <w:r w:rsidR="009B7AFD">
        <w:rPr>
          <w:color w:val="231F20"/>
          <w:sz w:val="13"/>
        </w:rPr>
        <w:t>(Report, March 2022) [1.23] Recommendation 1.</w:t>
      </w:r>
    </w:p>
    <w:p w14:paraId="45703081" w14:textId="77777777" w:rsidR="00894070" w:rsidRDefault="009B7AFD">
      <w:pPr>
        <w:pStyle w:val="ListParagraph"/>
        <w:numPr>
          <w:ilvl w:val="0"/>
          <w:numId w:val="138"/>
        </w:numPr>
        <w:tabs>
          <w:tab w:val="left" w:pos="1800"/>
          <w:tab w:val="left" w:pos="1802"/>
        </w:tabs>
        <w:spacing w:line="170" w:lineRule="exact"/>
        <w:rPr>
          <w:sz w:val="13"/>
        </w:rPr>
      </w:pPr>
      <w:r>
        <w:rPr>
          <w:color w:val="231F20"/>
          <w:sz w:val="13"/>
        </w:rPr>
        <w:t>Ibid Recommendation 18.</w:t>
      </w:r>
    </w:p>
    <w:p w14:paraId="7C01A884" w14:textId="77777777" w:rsidR="00894070" w:rsidRDefault="00894070">
      <w:pPr>
        <w:spacing w:line="170" w:lineRule="exact"/>
        <w:rPr>
          <w:sz w:val="13"/>
        </w:rPr>
        <w:sectPr w:rsidR="00894070">
          <w:pgSz w:w="11910" w:h="16840"/>
          <w:pgMar w:top="860" w:right="420" w:bottom="280" w:left="580" w:header="567" w:footer="0" w:gutter="0"/>
          <w:cols w:space="720"/>
        </w:sectPr>
      </w:pPr>
    </w:p>
    <w:p w14:paraId="66AAC01E" w14:textId="77777777" w:rsidR="00894070" w:rsidRDefault="009F6793">
      <w:pPr>
        <w:pStyle w:val="BodyText"/>
        <w:rPr>
          <w:sz w:val="11"/>
        </w:rPr>
      </w:pPr>
      <w:r>
        <w:lastRenderedPageBreak/>
        <w:pict w14:anchorId="4A1B32BE">
          <v:rect id="_x0000_s1532" style="position:absolute;margin-left:0;margin-top:0;width:595.3pt;height:841.9pt;z-index:-251505664;mso-position-horizontal-relative:page;mso-position-vertical-relative:page" fillcolor="#ea5b50" stroked="f">
            <w10:wrap anchorx="page" anchory="page"/>
          </v:rect>
        </w:pict>
      </w:r>
    </w:p>
    <w:p w14:paraId="3F993BF4" w14:textId="77777777" w:rsidR="00894070" w:rsidRDefault="009F6793">
      <w:pPr>
        <w:pStyle w:val="Heading4"/>
        <w:rPr>
          <w:b/>
        </w:rPr>
      </w:pPr>
      <w:r>
        <w:pict w14:anchorId="10767539">
          <v:shape id="_x0000_s1531" type="#_x0000_t202" style="position:absolute;left:0;text-align:left;margin-left:410.2pt;margin-top:-3.3pt;width:136.4pt;height:152.65pt;z-index:-251504640;mso-position-horizontal-relative:page" filled="f" stroked="f">
            <v:textbox inset="0,0,0,0">
              <w:txbxContent>
                <w:p w14:paraId="4FDC84FA" w14:textId="77777777" w:rsidR="00894070" w:rsidRDefault="009B7AFD">
                  <w:pPr>
                    <w:spacing w:line="3052" w:lineRule="exact"/>
                    <w:rPr>
                      <w:b/>
                      <w:sz w:val="260"/>
                    </w:rPr>
                  </w:pPr>
                  <w:r>
                    <w:rPr>
                      <w:b/>
                      <w:color w:val="FFFFFF"/>
                      <w:spacing w:val="-177"/>
                      <w:sz w:val="260"/>
                    </w:rPr>
                    <w:t>04</w:t>
                  </w:r>
                </w:p>
              </w:txbxContent>
            </v:textbox>
            <w10:wrap anchorx="page"/>
          </v:shape>
        </w:pict>
      </w:r>
      <w:r w:rsidR="009B7AFD">
        <w:rPr>
          <w:b/>
          <w:color w:val="FFFFFF"/>
        </w:rPr>
        <w:t>CHAPTER</w:t>
      </w:r>
    </w:p>
    <w:p w14:paraId="749DDF8C" w14:textId="77777777" w:rsidR="00894070" w:rsidRDefault="00894070">
      <w:pPr>
        <w:pStyle w:val="BodyText"/>
        <w:rPr>
          <w:rFonts w:ascii="Raleway SemiBold"/>
          <w:b/>
        </w:rPr>
      </w:pPr>
    </w:p>
    <w:p w14:paraId="6795EAE1" w14:textId="77777777" w:rsidR="00894070" w:rsidRDefault="00894070">
      <w:pPr>
        <w:pStyle w:val="BodyText"/>
        <w:rPr>
          <w:rFonts w:ascii="Raleway SemiBold"/>
          <w:b/>
        </w:rPr>
      </w:pPr>
    </w:p>
    <w:p w14:paraId="7D609EAA" w14:textId="77777777" w:rsidR="00894070" w:rsidRDefault="00894070">
      <w:pPr>
        <w:pStyle w:val="BodyText"/>
        <w:rPr>
          <w:rFonts w:ascii="Raleway SemiBold"/>
          <w:b/>
        </w:rPr>
      </w:pPr>
    </w:p>
    <w:p w14:paraId="7EB3D34B" w14:textId="77777777" w:rsidR="00894070" w:rsidRDefault="00894070">
      <w:pPr>
        <w:pStyle w:val="BodyText"/>
        <w:rPr>
          <w:rFonts w:ascii="Raleway SemiBold"/>
          <w:b/>
        </w:rPr>
      </w:pPr>
    </w:p>
    <w:p w14:paraId="53BDE80B" w14:textId="77777777" w:rsidR="00894070" w:rsidRDefault="00894070">
      <w:pPr>
        <w:pStyle w:val="BodyText"/>
        <w:rPr>
          <w:rFonts w:ascii="Raleway SemiBold"/>
          <w:b/>
        </w:rPr>
      </w:pPr>
    </w:p>
    <w:p w14:paraId="377BDB51" w14:textId="77777777" w:rsidR="00894070" w:rsidRDefault="00894070">
      <w:pPr>
        <w:pStyle w:val="BodyText"/>
        <w:rPr>
          <w:rFonts w:ascii="Raleway SemiBold"/>
          <w:b/>
        </w:rPr>
      </w:pPr>
    </w:p>
    <w:p w14:paraId="25998CCB" w14:textId="77777777" w:rsidR="00894070" w:rsidRDefault="00894070">
      <w:pPr>
        <w:pStyle w:val="BodyText"/>
        <w:rPr>
          <w:rFonts w:ascii="Raleway SemiBold"/>
          <w:b/>
        </w:rPr>
      </w:pPr>
    </w:p>
    <w:p w14:paraId="0EBAFD79" w14:textId="77777777" w:rsidR="00894070" w:rsidRDefault="00894070">
      <w:pPr>
        <w:pStyle w:val="BodyText"/>
        <w:rPr>
          <w:rFonts w:ascii="Raleway SemiBold"/>
          <w:b/>
        </w:rPr>
      </w:pPr>
    </w:p>
    <w:p w14:paraId="369AC780" w14:textId="77777777" w:rsidR="00894070" w:rsidRDefault="00894070">
      <w:pPr>
        <w:pStyle w:val="BodyText"/>
        <w:rPr>
          <w:rFonts w:ascii="Raleway SemiBold"/>
          <w:b/>
        </w:rPr>
      </w:pPr>
    </w:p>
    <w:p w14:paraId="6AE44A58" w14:textId="77777777" w:rsidR="00894070" w:rsidRDefault="00894070">
      <w:pPr>
        <w:pStyle w:val="BodyText"/>
        <w:rPr>
          <w:rFonts w:ascii="Raleway SemiBold"/>
          <w:b/>
        </w:rPr>
      </w:pPr>
    </w:p>
    <w:p w14:paraId="530511CC" w14:textId="77777777" w:rsidR="00894070" w:rsidRDefault="009B7AFD">
      <w:pPr>
        <w:spacing w:before="320" w:line="180" w:lineRule="auto"/>
        <w:ind w:left="1007"/>
        <w:rPr>
          <w:rFonts w:ascii="Raleway ExtraBold"/>
          <w:b/>
          <w:sz w:val="88"/>
        </w:rPr>
      </w:pPr>
      <w:r>
        <w:rPr>
          <w:rFonts w:ascii="Raleway ExtraBold"/>
          <w:b/>
          <w:color w:val="FFFFFF"/>
          <w:spacing w:val="-21"/>
          <w:sz w:val="88"/>
        </w:rPr>
        <w:t xml:space="preserve">Understanding </w:t>
      </w:r>
      <w:r>
        <w:rPr>
          <w:rFonts w:ascii="Raleway ExtraBold"/>
          <w:b/>
          <w:color w:val="FFFFFF"/>
          <w:spacing w:val="-20"/>
          <w:sz w:val="88"/>
        </w:rPr>
        <w:t>and responding</w:t>
      </w:r>
      <w:r>
        <w:rPr>
          <w:rFonts w:ascii="Raleway ExtraBold"/>
          <w:b/>
          <w:color w:val="FFFFFF"/>
          <w:spacing w:val="-91"/>
          <w:sz w:val="88"/>
        </w:rPr>
        <w:t xml:space="preserve"> </w:t>
      </w:r>
      <w:r>
        <w:rPr>
          <w:rFonts w:ascii="Raleway ExtraBold"/>
          <w:b/>
          <w:color w:val="FFFFFF"/>
          <w:spacing w:val="-25"/>
          <w:sz w:val="88"/>
        </w:rPr>
        <w:t xml:space="preserve">effectively </w:t>
      </w:r>
      <w:r>
        <w:rPr>
          <w:rFonts w:ascii="Raleway ExtraBold"/>
          <w:b/>
          <w:color w:val="FFFFFF"/>
          <w:spacing w:val="-16"/>
          <w:sz w:val="88"/>
        </w:rPr>
        <w:t xml:space="preserve">to </w:t>
      </w:r>
      <w:r>
        <w:rPr>
          <w:rFonts w:ascii="Raleway ExtraBold"/>
          <w:b/>
          <w:color w:val="FFFFFF"/>
          <w:spacing w:val="-21"/>
          <w:sz w:val="88"/>
        </w:rPr>
        <w:t>stalking</w:t>
      </w:r>
    </w:p>
    <w:p w14:paraId="04889475" w14:textId="77777777" w:rsidR="00894070" w:rsidRDefault="00894070">
      <w:pPr>
        <w:pStyle w:val="BodyText"/>
        <w:rPr>
          <w:rFonts w:ascii="Raleway ExtraBold"/>
          <w:b/>
        </w:rPr>
      </w:pPr>
    </w:p>
    <w:p w14:paraId="06B3FBB6" w14:textId="77777777" w:rsidR="00894070" w:rsidRDefault="00894070">
      <w:pPr>
        <w:pStyle w:val="BodyText"/>
        <w:rPr>
          <w:rFonts w:ascii="Raleway ExtraBold"/>
          <w:b/>
        </w:rPr>
      </w:pPr>
    </w:p>
    <w:p w14:paraId="41CC393A" w14:textId="77777777" w:rsidR="00894070" w:rsidRDefault="00894070">
      <w:pPr>
        <w:pStyle w:val="BodyText"/>
        <w:spacing w:before="8"/>
        <w:rPr>
          <w:rFonts w:ascii="Raleway ExtraBold"/>
          <w:b/>
          <w:sz w:val="27"/>
        </w:rPr>
      </w:pPr>
    </w:p>
    <w:p w14:paraId="52BC442E" w14:textId="77777777" w:rsidR="00894070" w:rsidRDefault="009F6793">
      <w:pPr>
        <w:pStyle w:val="Heading8"/>
        <w:tabs>
          <w:tab w:val="left" w:pos="1588"/>
        </w:tabs>
        <w:spacing w:before="48"/>
        <w:ind w:left="1021"/>
      </w:pPr>
      <w:r>
        <w:pict w14:anchorId="2B7BC926">
          <v:line id="_x0000_s1530" style="position:absolute;left:0;text-align:left;z-index:251520000;mso-wrap-distance-left:0;mso-wrap-distance-right:0;mso-position-horizontal-relative:page" from="80.1pt,22.9pt" to="105.6pt,22.9pt" strokecolor="#f4a997" strokeweight="2pt">
            <w10:wrap type="topAndBottom" anchorx="page"/>
          </v:line>
        </w:pict>
      </w:r>
      <w:hyperlink w:anchor="_bookmark38" w:history="1">
        <w:r w:rsidR="009B7AFD">
          <w:rPr>
            <w:color w:val="FFFFFF"/>
          </w:rPr>
          <w:t>54</w:t>
        </w:r>
        <w:r w:rsidR="009B7AFD">
          <w:rPr>
            <w:color w:val="FFFFFF"/>
          </w:rPr>
          <w:tab/>
          <w:t>Overview</w:t>
        </w:r>
      </w:hyperlink>
    </w:p>
    <w:p w14:paraId="1B9077F3" w14:textId="77777777" w:rsidR="00894070" w:rsidRDefault="009F6793">
      <w:pPr>
        <w:pStyle w:val="ListParagraph"/>
        <w:numPr>
          <w:ilvl w:val="0"/>
          <w:numId w:val="137"/>
        </w:numPr>
        <w:tabs>
          <w:tab w:val="left" w:pos="1588"/>
          <w:tab w:val="left" w:pos="1589"/>
        </w:tabs>
        <w:spacing w:before="14" w:after="57"/>
        <w:rPr>
          <w:b/>
          <w:sz w:val="24"/>
        </w:rPr>
      </w:pPr>
      <w:hyperlink w:anchor="_bookmark38" w:history="1">
        <w:r w:rsidR="009B7AFD">
          <w:rPr>
            <w:b/>
            <w:color w:val="FFFFFF"/>
            <w:sz w:val="24"/>
          </w:rPr>
          <w:t>Stalking requires a community</w:t>
        </w:r>
        <w:r w:rsidR="009B7AFD">
          <w:rPr>
            <w:b/>
            <w:color w:val="FFFFFF"/>
            <w:spacing w:val="-2"/>
            <w:sz w:val="24"/>
          </w:rPr>
          <w:t xml:space="preserve"> </w:t>
        </w:r>
        <w:r w:rsidR="009B7AFD">
          <w:rPr>
            <w:b/>
            <w:color w:val="FFFFFF"/>
            <w:sz w:val="24"/>
          </w:rPr>
          <w:t>response</w:t>
        </w:r>
      </w:hyperlink>
    </w:p>
    <w:p w14:paraId="10565396" w14:textId="77777777" w:rsidR="00894070" w:rsidRDefault="009F6793">
      <w:pPr>
        <w:pStyle w:val="BodyText"/>
        <w:spacing w:line="40" w:lineRule="exact"/>
        <w:ind w:left="1001"/>
        <w:rPr>
          <w:sz w:val="4"/>
        </w:rPr>
      </w:pPr>
      <w:r>
        <w:rPr>
          <w:sz w:val="4"/>
        </w:rPr>
      </w:r>
      <w:r>
        <w:rPr>
          <w:sz w:val="4"/>
        </w:rPr>
        <w:pict w14:anchorId="2FC95F3C">
          <v:group id="_x0000_s1528" style="width:25.55pt;height:2pt;mso-position-horizontal-relative:char;mso-position-vertical-relative:line" coordsize="511,40">
            <v:line id="_x0000_s1529" style="position:absolute" from="0,20" to="510,20" strokecolor="#f4a997" strokeweight="2pt"/>
            <w10:anchorlock/>
          </v:group>
        </w:pict>
      </w:r>
    </w:p>
    <w:p w14:paraId="5AD15EB5" w14:textId="77777777" w:rsidR="00894070" w:rsidRDefault="009F6793">
      <w:pPr>
        <w:pStyle w:val="ListParagraph"/>
        <w:numPr>
          <w:ilvl w:val="0"/>
          <w:numId w:val="137"/>
        </w:numPr>
        <w:tabs>
          <w:tab w:val="left" w:pos="1588"/>
          <w:tab w:val="left" w:pos="1589"/>
        </w:tabs>
        <w:spacing w:before="43"/>
        <w:rPr>
          <w:b/>
          <w:sz w:val="24"/>
        </w:rPr>
      </w:pPr>
      <w:r>
        <w:pict w14:anchorId="5B575A7C">
          <v:line id="_x0000_s1527" style="position:absolute;left:0;text-align:left;z-index:251522048;mso-wrap-distance-left:0;mso-wrap-distance-right:0;mso-position-horizontal-relative:page" from="80.1pt,22.65pt" to="105.6pt,22.65pt" strokecolor="#f4a997" strokeweight="2pt">
            <w10:wrap type="topAndBottom" anchorx="page"/>
          </v:line>
        </w:pict>
      </w:r>
      <w:hyperlink w:anchor="_bookmark39" w:history="1">
        <w:r w:rsidR="009B7AFD">
          <w:rPr>
            <w:b/>
            <w:color w:val="FFFFFF"/>
            <w:sz w:val="24"/>
          </w:rPr>
          <w:t>What information about stalking needs to be common</w:t>
        </w:r>
        <w:r w:rsidR="009B7AFD">
          <w:rPr>
            <w:b/>
            <w:color w:val="FFFFFF"/>
            <w:spacing w:val="-14"/>
            <w:sz w:val="24"/>
          </w:rPr>
          <w:t xml:space="preserve"> </w:t>
        </w:r>
        <w:r w:rsidR="009B7AFD">
          <w:rPr>
            <w:b/>
            <w:color w:val="FFFFFF"/>
            <w:sz w:val="24"/>
          </w:rPr>
          <w:t>knowledge?</w:t>
        </w:r>
      </w:hyperlink>
    </w:p>
    <w:p w14:paraId="2D2B2EF4" w14:textId="77777777" w:rsidR="00894070" w:rsidRDefault="009F6793">
      <w:pPr>
        <w:pStyle w:val="ListParagraph"/>
        <w:numPr>
          <w:ilvl w:val="0"/>
          <w:numId w:val="137"/>
        </w:numPr>
        <w:tabs>
          <w:tab w:val="left" w:pos="1588"/>
          <w:tab w:val="left" w:pos="1589"/>
        </w:tabs>
        <w:spacing w:before="14" w:after="57"/>
        <w:rPr>
          <w:b/>
          <w:sz w:val="24"/>
        </w:rPr>
      </w:pPr>
      <w:hyperlink w:anchor="_bookmark40" w:history="1">
        <w:r w:rsidR="009B7AFD">
          <w:rPr>
            <w:b/>
            <w:color w:val="FFFFFF"/>
            <w:sz w:val="24"/>
          </w:rPr>
          <w:t>Stalking is not well</w:t>
        </w:r>
        <w:r w:rsidR="009B7AFD">
          <w:rPr>
            <w:b/>
            <w:color w:val="FFFFFF"/>
            <w:spacing w:val="-2"/>
            <w:sz w:val="24"/>
          </w:rPr>
          <w:t xml:space="preserve"> </w:t>
        </w:r>
        <w:r w:rsidR="009B7AFD">
          <w:rPr>
            <w:b/>
            <w:color w:val="FFFFFF"/>
            <w:sz w:val="24"/>
          </w:rPr>
          <w:t>understood</w:t>
        </w:r>
      </w:hyperlink>
    </w:p>
    <w:p w14:paraId="6CB52160" w14:textId="77777777" w:rsidR="00894070" w:rsidRDefault="009F6793">
      <w:pPr>
        <w:pStyle w:val="BodyText"/>
        <w:spacing w:line="40" w:lineRule="exact"/>
        <w:ind w:left="1001"/>
        <w:rPr>
          <w:sz w:val="4"/>
        </w:rPr>
      </w:pPr>
      <w:r>
        <w:rPr>
          <w:sz w:val="4"/>
        </w:rPr>
      </w:r>
      <w:r>
        <w:rPr>
          <w:sz w:val="4"/>
        </w:rPr>
        <w:pict w14:anchorId="7D653A12">
          <v:group id="_x0000_s1525" style="width:25.55pt;height:2pt;mso-position-horizontal-relative:char;mso-position-vertical-relative:line" coordsize="511,40">
            <v:line id="_x0000_s1526" style="position:absolute" from="0,20" to="510,20" strokecolor="#f4a997" strokeweight="2pt"/>
            <w10:anchorlock/>
          </v:group>
        </w:pict>
      </w:r>
    </w:p>
    <w:p w14:paraId="7BCE5ECD" w14:textId="77777777" w:rsidR="00894070" w:rsidRDefault="009F6793">
      <w:pPr>
        <w:pStyle w:val="ListParagraph"/>
        <w:numPr>
          <w:ilvl w:val="0"/>
          <w:numId w:val="136"/>
        </w:numPr>
        <w:tabs>
          <w:tab w:val="left" w:pos="1588"/>
          <w:tab w:val="left" w:pos="1589"/>
        </w:tabs>
        <w:spacing w:before="43"/>
        <w:rPr>
          <w:b/>
          <w:sz w:val="24"/>
        </w:rPr>
      </w:pPr>
      <w:r>
        <w:pict w14:anchorId="2F71B861">
          <v:line id="_x0000_s1524" style="position:absolute;left:0;text-align:left;z-index:251523072;mso-wrap-distance-left:0;mso-wrap-distance-right:0;mso-position-horizontal-relative:page" from="80.1pt,22.65pt" to="105.6pt,22.65pt" strokecolor="#f4a997" strokeweight="2pt">
            <w10:wrap type="topAndBottom" anchorx="page"/>
          </v:line>
        </w:pict>
      </w:r>
      <w:hyperlink w:anchor="_bookmark41" w:history="1">
        <w:r w:rsidR="009B7AFD">
          <w:rPr>
            <w:b/>
            <w:color w:val="FFFFFF"/>
            <w:sz w:val="24"/>
          </w:rPr>
          <w:t>Current sources of information are</w:t>
        </w:r>
        <w:r w:rsidR="009B7AFD">
          <w:rPr>
            <w:b/>
            <w:color w:val="FFFFFF"/>
            <w:spacing w:val="-3"/>
            <w:sz w:val="24"/>
          </w:rPr>
          <w:t xml:space="preserve"> </w:t>
        </w:r>
        <w:r w:rsidR="009B7AFD">
          <w:rPr>
            <w:b/>
            <w:color w:val="FFFFFF"/>
            <w:sz w:val="24"/>
          </w:rPr>
          <w:t>limited</w:t>
        </w:r>
      </w:hyperlink>
    </w:p>
    <w:p w14:paraId="3717D349" w14:textId="77777777" w:rsidR="00894070" w:rsidRDefault="009F6793">
      <w:pPr>
        <w:pStyle w:val="ListParagraph"/>
        <w:numPr>
          <w:ilvl w:val="0"/>
          <w:numId w:val="136"/>
        </w:numPr>
        <w:tabs>
          <w:tab w:val="left" w:pos="1588"/>
          <w:tab w:val="left" w:pos="1589"/>
        </w:tabs>
        <w:spacing w:before="14" w:after="57"/>
        <w:rPr>
          <w:b/>
          <w:sz w:val="24"/>
        </w:rPr>
      </w:pPr>
      <w:hyperlink w:anchor="_bookmark42" w:history="1">
        <w:r w:rsidR="009B7AFD">
          <w:rPr>
            <w:b/>
            <w:color w:val="FFFFFF"/>
            <w:sz w:val="24"/>
          </w:rPr>
          <w:t>There should be a commitment to public education about</w:t>
        </w:r>
        <w:r w:rsidR="009B7AFD">
          <w:rPr>
            <w:b/>
            <w:color w:val="FFFFFF"/>
            <w:spacing w:val="-11"/>
            <w:sz w:val="24"/>
          </w:rPr>
          <w:t xml:space="preserve"> </w:t>
        </w:r>
        <w:r w:rsidR="009B7AFD">
          <w:rPr>
            <w:b/>
            <w:color w:val="FFFFFF"/>
            <w:sz w:val="24"/>
          </w:rPr>
          <w:t>stalking</w:t>
        </w:r>
      </w:hyperlink>
    </w:p>
    <w:p w14:paraId="28117841" w14:textId="77777777" w:rsidR="00894070" w:rsidRDefault="009F6793">
      <w:pPr>
        <w:pStyle w:val="BodyText"/>
        <w:spacing w:line="40" w:lineRule="exact"/>
        <w:ind w:left="1001"/>
        <w:rPr>
          <w:sz w:val="4"/>
        </w:rPr>
      </w:pPr>
      <w:r>
        <w:rPr>
          <w:sz w:val="4"/>
        </w:rPr>
      </w:r>
      <w:r>
        <w:rPr>
          <w:sz w:val="4"/>
        </w:rPr>
        <w:pict w14:anchorId="00CDCBD7">
          <v:group id="_x0000_s1522" style="width:25.55pt;height:2pt;mso-position-horizontal-relative:char;mso-position-vertical-relative:line" coordsize="511,40">
            <v:line id="_x0000_s1523" style="position:absolute" from="0,20" to="510,20" strokecolor="#f4a997" strokeweight="2pt"/>
            <w10:anchorlock/>
          </v:group>
        </w:pict>
      </w:r>
    </w:p>
    <w:p w14:paraId="413F1C32" w14:textId="77777777" w:rsidR="00894070" w:rsidRDefault="009F6793">
      <w:pPr>
        <w:tabs>
          <w:tab w:val="left" w:pos="1588"/>
        </w:tabs>
        <w:spacing w:before="43"/>
        <w:ind w:left="1021"/>
        <w:rPr>
          <w:b/>
          <w:sz w:val="24"/>
        </w:rPr>
      </w:pPr>
      <w:r>
        <w:pict w14:anchorId="7211A5A2">
          <v:line id="_x0000_s1521" style="position:absolute;left:0;text-align:left;z-index:251525120;mso-wrap-distance-left:0;mso-wrap-distance-right:0;mso-position-horizontal-relative:page" from="80.1pt,22.65pt" to="105.6pt,22.65pt" strokecolor="#f4a997" strokeweight="2pt">
            <w10:wrap type="topAndBottom" anchorx="page"/>
          </v:line>
        </w:pict>
      </w:r>
      <w:hyperlink w:anchor="_bookmark44" w:history="1">
        <w:r w:rsidR="009B7AFD">
          <w:rPr>
            <w:b/>
            <w:color w:val="FFFFFF"/>
            <w:sz w:val="24"/>
          </w:rPr>
          <w:t>66</w:t>
        </w:r>
        <w:r w:rsidR="009B7AFD">
          <w:rPr>
            <w:b/>
            <w:color w:val="FFFFFF"/>
            <w:sz w:val="24"/>
          </w:rPr>
          <w:tab/>
          <w:t>Education about stalking for people working in the justice</w:t>
        </w:r>
        <w:r w:rsidR="009B7AFD">
          <w:rPr>
            <w:b/>
            <w:color w:val="FFFFFF"/>
            <w:spacing w:val="-11"/>
            <w:sz w:val="24"/>
          </w:rPr>
          <w:t xml:space="preserve"> </w:t>
        </w:r>
        <w:r w:rsidR="009B7AFD">
          <w:rPr>
            <w:b/>
            <w:color w:val="FFFFFF"/>
            <w:spacing w:val="-2"/>
            <w:sz w:val="24"/>
          </w:rPr>
          <w:t>system</w:t>
        </w:r>
      </w:hyperlink>
    </w:p>
    <w:p w14:paraId="2D29880D" w14:textId="77777777" w:rsidR="00894070" w:rsidRDefault="00894070">
      <w:pPr>
        <w:rPr>
          <w:sz w:val="24"/>
        </w:rPr>
        <w:sectPr w:rsidR="00894070">
          <w:headerReference w:type="even" r:id="rId108"/>
          <w:headerReference w:type="default" r:id="rId109"/>
          <w:pgSz w:w="11910" w:h="16840"/>
          <w:pgMar w:top="480" w:right="420" w:bottom="280" w:left="580" w:header="0" w:footer="0" w:gutter="0"/>
          <w:cols w:space="720"/>
        </w:sectPr>
      </w:pPr>
    </w:p>
    <w:p w14:paraId="2D55250E" w14:textId="77777777" w:rsidR="00894070" w:rsidRDefault="009F6793">
      <w:pPr>
        <w:pStyle w:val="BodyText"/>
        <w:rPr>
          <w:b/>
        </w:rPr>
      </w:pPr>
      <w:r>
        <w:lastRenderedPageBreak/>
        <w:pict w14:anchorId="2A0C3057">
          <v:rect id="_x0000_s1520" style="position:absolute;margin-left:0;margin-top:99.2pt;width:14.15pt;height:85.75pt;z-index:251599872;mso-position-horizontal-relative:page;mso-position-vertical-relative:page" fillcolor="#ea5b50" stroked="f">
            <w10:wrap anchorx="page" anchory="page"/>
          </v:rect>
        </w:pict>
      </w:r>
    </w:p>
    <w:p w14:paraId="367B44C1" w14:textId="77777777" w:rsidR="00894070" w:rsidRDefault="00894070">
      <w:pPr>
        <w:pStyle w:val="BodyText"/>
        <w:rPr>
          <w:b/>
        </w:rPr>
      </w:pPr>
    </w:p>
    <w:p w14:paraId="32098292" w14:textId="77777777" w:rsidR="00894070" w:rsidRDefault="00894070">
      <w:pPr>
        <w:pStyle w:val="BodyText"/>
        <w:spacing w:before="2"/>
        <w:rPr>
          <w:b/>
          <w:sz w:val="25"/>
        </w:rPr>
      </w:pPr>
    </w:p>
    <w:p w14:paraId="31E2E871" w14:textId="77777777" w:rsidR="00894070" w:rsidRDefault="009B7AFD">
      <w:pPr>
        <w:pStyle w:val="ListParagraph"/>
        <w:numPr>
          <w:ilvl w:val="0"/>
          <w:numId w:val="177"/>
        </w:numPr>
        <w:tabs>
          <w:tab w:val="left" w:pos="871"/>
        </w:tabs>
        <w:spacing w:before="129" w:line="184" w:lineRule="auto"/>
        <w:ind w:left="270" w:right="4590" w:firstLine="0"/>
        <w:jc w:val="left"/>
        <w:rPr>
          <w:rFonts w:ascii="Raleway ExtraBold"/>
          <w:b/>
          <w:color w:val="EA5B50"/>
          <w:sz w:val="56"/>
        </w:rPr>
      </w:pPr>
      <w:bookmarkStart w:id="72" w:name="4._Understanding_and_responding_effectiv"/>
      <w:bookmarkStart w:id="73" w:name="Stalking_requires_a_community_response"/>
      <w:bookmarkStart w:id="74" w:name="_bookmark38"/>
      <w:bookmarkEnd w:id="72"/>
      <w:bookmarkEnd w:id="73"/>
      <w:bookmarkEnd w:id="74"/>
      <w:r>
        <w:rPr>
          <w:rFonts w:ascii="Raleway ExtraBold"/>
          <w:b/>
          <w:color w:val="EA5B50"/>
          <w:spacing w:val="-4"/>
          <w:sz w:val="56"/>
        </w:rPr>
        <w:t xml:space="preserve">Understanding </w:t>
      </w:r>
      <w:r>
        <w:rPr>
          <w:rFonts w:ascii="Raleway ExtraBold"/>
          <w:b/>
          <w:color w:val="EA5B50"/>
          <w:spacing w:val="-3"/>
          <w:sz w:val="56"/>
        </w:rPr>
        <w:t>and responding</w:t>
      </w:r>
      <w:r>
        <w:rPr>
          <w:rFonts w:ascii="Raleway ExtraBold"/>
          <w:b/>
          <w:color w:val="EA5B50"/>
          <w:spacing w:val="-46"/>
          <w:sz w:val="56"/>
        </w:rPr>
        <w:t xml:space="preserve"> </w:t>
      </w:r>
      <w:r>
        <w:rPr>
          <w:rFonts w:ascii="Raleway ExtraBold"/>
          <w:b/>
          <w:color w:val="EA5B50"/>
          <w:spacing w:val="-6"/>
          <w:sz w:val="56"/>
        </w:rPr>
        <w:t xml:space="preserve">effectively </w:t>
      </w:r>
      <w:r>
        <w:rPr>
          <w:rFonts w:ascii="Raleway ExtraBold"/>
          <w:b/>
          <w:color w:val="EA5B50"/>
          <w:spacing w:val="-5"/>
          <w:sz w:val="56"/>
        </w:rPr>
        <w:t>to</w:t>
      </w:r>
      <w:r>
        <w:rPr>
          <w:rFonts w:ascii="Raleway ExtraBold"/>
          <w:b/>
          <w:color w:val="EA5B50"/>
          <w:sz w:val="56"/>
        </w:rPr>
        <w:t xml:space="preserve"> </w:t>
      </w:r>
      <w:r>
        <w:rPr>
          <w:rFonts w:ascii="Raleway ExtraBold"/>
          <w:b/>
          <w:color w:val="EA5B50"/>
          <w:spacing w:val="-4"/>
          <w:sz w:val="56"/>
        </w:rPr>
        <w:t>stalking</w:t>
      </w:r>
    </w:p>
    <w:p w14:paraId="68FC02E0" w14:textId="77777777" w:rsidR="00894070" w:rsidRDefault="00894070">
      <w:pPr>
        <w:pStyle w:val="BodyText"/>
        <w:rPr>
          <w:rFonts w:ascii="Raleway ExtraBold"/>
          <w:b/>
          <w:sz w:val="66"/>
        </w:rPr>
      </w:pPr>
    </w:p>
    <w:p w14:paraId="270744B0" w14:textId="77777777" w:rsidR="00894070" w:rsidRDefault="00894070">
      <w:pPr>
        <w:pStyle w:val="BodyText"/>
        <w:spacing w:before="12"/>
        <w:rPr>
          <w:rFonts w:ascii="Raleway ExtraBold"/>
          <w:b/>
          <w:sz w:val="66"/>
        </w:rPr>
      </w:pPr>
    </w:p>
    <w:p w14:paraId="5CE2CA56" w14:textId="77777777" w:rsidR="00894070" w:rsidRDefault="009B7AFD">
      <w:pPr>
        <w:ind w:left="1007"/>
        <w:rPr>
          <w:rFonts w:ascii="Raleway ExtraBold"/>
          <w:b/>
          <w:sz w:val="28"/>
        </w:rPr>
      </w:pPr>
      <w:r>
        <w:rPr>
          <w:rFonts w:ascii="Raleway ExtraBold"/>
          <w:b/>
          <w:color w:val="EA5B50"/>
          <w:sz w:val="28"/>
        </w:rPr>
        <w:t>Overview</w:t>
      </w:r>
    </w:p>
    <w:p w14:paraId="03791A24" w14:textId="77777777" w:rsidR="00894070" w:rsidRDefault="009B7AFD">
      <w:pPr>
        <w:pStyle w:val="ListParagraph"/>
        <w:numPr>
          <w:ilvl w:val="0"/>
          <w:numId w:val="135"/>
        </w:numPr>
        <w:tabs>
          <w:tab w:val="left" w:pos="2141"/>
          <w:tab w:val="left" w:pos="2142"/>
        </w:tabs>
        <w:spacing w:before="146" w:line="206" w:lineRule="auto"/>
        <w:ind w:right="1337" w:hanging="340"/>
        <w:rPr>
          <w:sz w:val="20"/>
        </w:rPr>
      </w:pPr>
      <w:r>
        <w:rPr>
          <w:color w:val="231F20"/>
          <w:sz w:val="20"/>
        </w:rPr>
        <w:t>The</w:t>
      </w:r>
      <w:r>
        <w:rPr>
          <w:color w:val="231F20"/>
          <w:spacing w:val="-12"/>
          <w:sz w:val="20"/>
        </w:rPr>
        <w:t xml:space="preserve"> </w:t>
      </w:r>
      <w:r>
        <w:rPr>
          <w:color w:val="231F20"/>
          <w:sz w:val="20"/>
        </w:rPr>
        <w:t>community</w:t>
      </w:r>
      <w:r>
        <w:rPr>
          <w:color w:val="231F20"/>
          <w:spacing w:val="-11"/>
          <w:sz w:val="20"/>
        </w:rPr>
        <w:t xml:space="preserve"> </w:t>
      </w:r>
      <w:r>
        <w:rPr>
          <w:color w:val="231F20"/>
          <w:sz w:val="20"/>
        </w:rPr>
        <w:t>needs</w:t>
      </w:r>
      <w:r>
        <w:rPr>
          <w:color w:val="231F20"/>
          <w:spacing w:val="-11"/>
          <w:sz w:val="20"/>
        </w:rPr>
        <w:t xml:space="preserve"> </w:t>
      </w:r>
      <w:r>
        <w:rPr>
          <w:color w:val="231F20"/>
          <w:sz w:val="20"/>
        </w:rPr>
        <w:t>education</w:t>
      </w:r>
      <w:r>
        <w:rPr>
          <w:color w:val="231F20"/>
          <w:spacing w:val="-11"/>
          <w:sz w:val="20"/>
        </w:rPr>
        <w:t xml:space="preserve"> </w:t>
      </w:r>
      <w:r>
        <w:rPr>
          <w:color w:val="231F20"/>
          <w:sz w:val="20"/>
        </w:rPr>
        <w:t>about</w:t>
      </w:r>
      <w:r>
        <w:rPr>
          <w:color w:val="231F20"/>
          <w:spacing w:val="-12"/>
          <w:sz w:val="20"/>
        </w:rPr>
        <w:t xml:space="preserve"> </w:t>
      </w:r>
      <w:r>
        <w:rPr>
          <w:color w:val="231F20"/>
          <w:sz w:val="20"/>
        </w:rPr>
        <w:t>stalking,</w:t>
      </w:r>
      <w:r>
        <w:rPr>
          <w:color w:val="231F20"/>
          <w:spacing w:val="-11"/>
          <w:sz w:val="20"/>
        </w:rPr>
        <w:t xml:space="preserve"> </w:t>
      </w:r>
      <w:proofErr w:type="gramStart"/>
      <w:r>
        <w:rPr>
          <w:color w:val="231F20"/>
          <w:sz w:val="20"/>
        </w:rPr>
        <w:t>harassment</w:t>
      </w:r>
      <w:proofErr w:type="gramEnd"/>
      <w:r>
        <w:rPr>
          <w:color w:val="231F20"/>
          <w:spacing w:val="-11"/>
          <w:sz w:val="20"/>
        </w:rPr>
        <w:t xml:space="preserve"> </w:t>
      </w:r>
      <w:r>
        <w:rPr>
          <w:color w:val="231F20"/>
          <w:sz w:val="20"/>
        </w:rPr>
        <w:t>and</w:t>
      </w:r>
      <w:r>
        <w:rPr>
          <w:color w:val="231F20"/>
          <w:spacing w:val="-11"/>
          <w:sz w:val="20"/>
        </w:rPr>
        <w:t xml:space="preserve"> </w:t>
      </w:r>
      <w:r>
        <w:rPr>
          <w:color w:val="231F20"/>
          <w:sz w:val="20"/>
        </w:rPr>
        <w:t>similar</w:t>
      </w:r>
      <w:r>
        <w:rPr>
          <w:color w:val="231F20"/>
          <w:spacing w:val="-12"/>
          <w:sz w:val="20"/>
        </w:rPr>
        <w:t xml:space="preserve"> </w:t>
      </w:r>
      <w:r>
        <w:rPr>
          <w:color w:val="231F20"/>
          <w:sz w:val="20"/>
        </w:rPr>
        <w:t xml:space="preserve">conduct, and </w:t>
      </w:r>
      <w:r>
        <w:rPr>
          <w:color w:val="231F20"/>
          <w:spacing w:val="-3"/>
          <w:sz w:val="20"/>
        </w:rPr>
        <w:t xml:space="preserve">how </w:t>
      </w:r>
      <w:r>
        <w:rPr>
          <w:color w:val="231F20"/>
          <w:sz w:val="20"/>
        </w:rPr>
        <w:t>to respond to</w:t>
      </w:r>
      <w:r>
        <w:rPr>
          <w:color w:val="231F20"/>
          <w:spacing w:val="-20"/>
          <w:sz w:val="20"/>
        </w:rPr>
        <w:t xml:space="preserve"> </w:t>
      </w:r>
      <w:r>
        <w:rPr>
          <w:color w:val="231F20"/>
          <w:sz w:val="20"/>
        </w:rPr>
        <w:t>disclosures.</w:t>
      </w:r>
    </w:p>
    <w:p w14:paraId="57EC82D6" w14:textId="77777777" w:rsidR="00894070" w:rsidRDefault="009B7AFD">
      <w:pPr>
        <w:pStyle w:val="ListParagraph"/>
        <w:numPr>
          <w:ilvl w:val="0"/>
          <w:numId w:val="135"/>
        </w:numPr>
        <w:tabs>
          <w:tab w:val="left" w:pos="2141"/>
          <w:tab w:val="left" w:pos="2142"/>
        </w:tabs>
        <w:spacing w:before="55"/>
        <w:ind w:hanging="340"/>
        <w:rPr>
          <w:sz w:val="20"/>
        </w:rPr>
      </w:pPr>
      <w:r>
        <w:rPr>
          <w:color w:val="231F20"/>
          <w:spacing w:val="-3"/>
          <w:sz w:val="20"/>
        </w:rPr>
        <w:t>Education</w:t>
      </w:r>
      <w:r>
        <w:rPr>
          <w:color w:val="231F20"/>
          <w:spacing w:val="-6"/>
          <w:sz w:val="20"/>
        </w:rPr>
        <w:t xml:space="preserve"> </w:t>
      </w:r>
      <w:r>
        <w:rPr>
          <w:color w:val="231F20"/>
          <w:sz w:val="20"/>
        </w:rPr>
        <w:t>should</w:t>
      </w:r>
      <w:r>
        <w:rPr>
          <w:color w:val="231F20"/>
          <w:spacing w:val="-5"/>
          <w:sz w:val="20"/>
        </w:rPr>
        <w:t xml:space="preserve"> </w:t>
      </w:r>
      <w:r>
        <w:rPr>
          <w:color w:val="231F20"/>
          <w:sz w:val="20"/>
        </w:rPr>
        <w:t>make</w:t>
      </w:r>
      <w:r>
        <w:rPr>
          <w:color w:val="231F20"/>
          <w:spacing w:val="-5"/>
          <w:sz w:val="20"/>
        </w:rPr>
        <w:t xml:space="preserve"> </w:t>
      </w:r>
      <w:r>
        <w:rPr>
          <w:color w:val="231F20"/>
          <w:sz w:val="20"/>
        </w:rPr>
        <w:t>it</w:t>
      </w:r>
      <w:r>
        <w:rPr>
          <w:color w:val="231F20"/>
          <w:spacing w:val="-5"/>
          <w:sz w:val="20"/>
        </w:rPr>
        <w:t xml:space="preserve"> </w:t>
      </w:r>
      <w:r>
        <w:rPr>
          <w:color w:val="231F20"/>
          <w:sz w:val="20"/>
        </w:rPr>
        <w:t>clear</w:t>
      </w:r>
      <w:r>
        <w:rPr>
          <w:color w:val="231F20"/>
          <w:spacing w:val="-5"/>
          <w:sz w:val="20"/>
        </w:rPr>
        <w:t xml:space="preserve"> </w:t>
      </w:r>
      <w:r>
        <w:rPr>
          <w:color w:val="231F20"/>
          <w:sz w:val="20"/>
        </w:rPr>
        <w:t>that</w:t>
      </w:r>
      <w:r>
        <w:rPr>
          <w:color w:val="231F20"/>
          <w:spacing w:val="-5"/>
          <w:sz w:val="20"/>
        </w:rPr>
        <w:t xml:space="preserve"> </w:t>
      </w:r>
      <w:r>
        <w:rPr>
          <w:color w:val="231F20"/>
          <w:sz w:val="20"/>
        </w:rPr>
        <w:t>stalking</w:t>
      </w:r>
      <w:r>
        <w:rPr>
          <w:color w:val="231F20"/>
          <w:spacing w:val="-5"/>
          <w:sz w:val="20"/>
        </w:rPr>
        <w:t xml:space="preserve"> </w:t>
      </w:r>
      <w:r>
        <w:rPr>
          <w:color w:val="231F20"/>
          <w:sz w:val="20"/>
        </w:rPr>
        <w:t>is</w:t>
      </w:r>
      <w:r>
        <w:rPr>
          <w:color w:val="231F20"/>
          <w:spacing w:val="-5"/>
          <w:sz w:val="20"/>
        </w:rPr>
        <w:t xml:space="preserve"> </w:t>
      </w:r>
      <w:r>
        <w:rPr>
          <w:color w:val="231F20"/>
          <w:sz w:val="20"/>
        </w:rPr>
        <w:t>a</w:t>
      </w:r>
      <w:r>
        <w:rPr>
          <w:color w:val="231F20"/>
          <w:spacing w:val="-5"/>
          <w:sz w:val="20"/>
        </w:rPr>
        <w:t xml:space="preserve"> </w:t>
      </w:r>
      <w:r>
        <w:rPr>
          <w:color w:val="231F20"/>
          <w:sz w:val="20"/>
        </w:rPr>
        <w:t>serious</w:t>
      </w:r>
      <w:r>
        <w:rPr>
          <w:color w:val="231F20"/>
          <w:spacing w:val="-5"/>
          <w:sz w:val="20"/>
        </w:rPr>
        <w:t xml:space="preserve"> </w:t>
      </w:r>
      <w:r>
        <w:rPr>
          <w:color w:val="231F20"/>
          <w:sz w:val="20"/>
        </w:rPr>
        <w:t>criminal</w:t>
      </w:r>
      <w:r>
        <w:rPr>
          <w:color w:val="231F20"/>
          <w:spacing w:val="-5"/>
          <w:sz w:val="20"/>
        </w:rPr>
        <w:t xml:space="preserve"> </w:t>
      </w:r>
      <w:r>
        <w:rPr>
          <w:color w:val="231F20"/>
          <w:spacing w:val="-3"/>
          <w:sz w:val="20"/>
        </w:rPr>
        <w:t>offence.</w:t>
      </w:r>
    </w:p>
    <w:p w14:paraId="27642895" w14:textId="77777777" w:rsidR="00894070" w:rsidRDefault="009B7AFD">
      <w:pPr>
        <w:pStyle w:val="ListParagraph"/>
        <w:numPr>
          <w:ilvl w:val="0"/>
          <w:numId w:val="135"/>
        </w:numPr>
        <w:tabs>
          <w:tab w:val="left" w:pos="2141"/>
          <w:tab w:val="left" w:pos="2142"/>
        </w:tabs>
        <w:spacing w:before="48" w:line="259" w:lineRule="exact"/>
        <w:ind w:hanging="340"/>
        <w:rPr>
          <w:sz w:val="20"/>
        </w:rPr>
      </w:pPr>
      <w:r>
        <w:rPr>
          <w:color w:val="231F20"/>
          <w:sz w:val="20"/>
        </w:rPr>
        <w:t>Education</w:t>
      </w:r>
      <w:r>
        <w:rPr>
          <w:color w:val="231F20"/>
          <w:spacing w:val="-6"/>
          <w:sz w:val="20"/>
        </w:rPr>
        <w:t xml:space="preserve"> </w:t>
      </w:r>
      <w:r>
        <w:rPr>
          <w:color w:val="231F20"/>
          <w:sz w:val="20"/>
        </w:rPr>
        <w:t>should</w:t>
      </w:r>
      <w:r>
        <w:rPr>
          <w:color w:val="231F20"/>
          <w:spacing w:val="-6"/>
          <w:sz w:val="20"/>
        </w:rPr>
        <w:t xml:space="preserve"> </w:t>
      </w:r>
      <w:r>
        <w:rPr>
          <w:color w:val="231F20"/>
          <w:sz w:val="20"/>
        </w:rPr>
        <w:t>address</w:t>
      </w:r>
      <w:r>
        <w:rPr>
          <w:color w:val="231F20"/>
          <w:spacing w:val="-6"/>
          <w:sz w:val="20"/>
        </w:rPr>
        <w:t xml:space="preserve"> </w:t>
      </w:r>
      <w:r>
        <w:rPr>
          <w:color w:val="231F20"/>
          <w:sz w:val="20"/>
        </w:rPr>
        <w:t>myths</w:t>
      </w:r>
      <w:r>
        <w:rPr>
          <w:color w:val="231F20"/>
          <w:spacing w:val="-6"/>
          <w:sz w:val="20"/>
        </w:rPr>
        <w:t xml:space="preserve"> </w:t>
      </w:r>
      <w:r>
        <w:rPr>
          <w:color w:val="231F20"/>
          <w:sz w:val="20"/>
        </w:rPr>
        <w:t>about</w:t>
      </w:r>
      <w:r>
        <w:rPr>
          <w:color w:val="231F20"/>
          <w:spacing w:val="-6"/>
          <w:sz w:val="20"/>
        </w:rPr>
        <w:t xml:space="preserve"> </w:t>
      </w:r>
      <w:r>
        <w:rPr>
          <w:color w:val="231F20"/>
          <w:sz w:val="20"/>
        </w:rPr>
        <w:t>stalking</w:t>
      </w:r>
      <w:r>
        <w:rPr>
          <w:color w:val="231F20"/>
          <w:spacing w:val="-6"/>
          <w:sz w:val="20"/>
        </w:rPr>
        <w:t xml:space="preserve"> </w:t>
      </w:r>
      <w:r>
        <w:rPr>
          <w:color w:val="231F20"/>
          <w:sz w:val="20"/>
        </w:rPr>
        <w:t>and</w:t>
      </w:r>
      <w:r>
        <w:rPr>
          <w:color w:val="231F20"/>
          <w:spacing w:val="-6"/>
          <w:sz w:val="20"/>
        </w:rPr>
        <w:t xml:space="preserve"> </w:t>
      </w:r>
      <w:r>
        <w:rPr>
          <w:color w:val="231F20"/>
          <w:sz w:val="20"/>
        </w:rPr>
        <w:t>emphasise</w:t>
      </w:r>
      <w:r>
        <w:rPr>
          <w:color w:val="231F20"/>
          <w:spacing w:val="-6"/>
          <w:sz w:val="20"/>
        </w:rPr>
        <w:t xml:space="preserve"> </w:t>
      </w:r>
      <w:r>
        <w:rPr>
          <w:color w:val="231F20"/>
          <w:sz w:val="20"/>
        </w:rPr>
        <w:t>that</w:t>
      </w:r>
      <w:r>
        <w:rPr>
          <w:color w:val="231F20"/>
          <w:spacing w:val="-6"/>
          <w:sz w:val="20"/>
        </w:rPr>
        <w:t xml:space="preserve"> </w:t>
      </w:r>
      <w:r>
        <w:rPr>
          <w:color w:val="231F20"/>
          <w:sz w:val="20"/>
        </w:rPr>
        <w:t>people</w:t>
      </w:r>
      <w:r>
        <w:rPr>
          <w:color w:val="231F20"/>
          <w:spacing w:val="-6"/>
          <w:sz w:val="20"/>
        </w:rPr>
        <w:t xml:space="preserve"> </w:t>
      </w:r>
      <w:r>
        <w:rPr>
          <w:color w:val="231F20"/>
          <w:sz w:val="20"/>
        </w:rPr>
        <w:t>who</w:t>
      </w:r>
    </w:p>
    <w:p w14:paraId="487591A1" w14:textId="77777777" w:rsidR="00894070" w:rsidRDefault="009B7AFD">
      <w:pPr>
        <w:pStyle w:val="BodyText"/>
        <w:spacing w:line="259" w:lineRule="exact"/>
        <w:ind w:left="2141"/>
      </w:pPr>
      <w:r>
        <w:rPr>
          <w:color w:val="231F20"/>
        </w:rPr>
        <w:t xml:space="preserve">experience stalking </w:t>
      </w:r>
      <w:proofErr w:type="gramStart"/>
      <w:r>
        <w:rPr>
          <w:color w:val="231F20"/>
        </w:rPr>
        <w:t>are</w:t>
      </w:r>
      <w:proofErr w:type="gramEnd"/>
      <w:r>
        <w:rPr>
          <w:color w:val="231F20"/>
        </w:rPr>
        <w:t xml:space="preserve"> not responsible for it.</w:t>
      </w:r>
    </w:p>
    <w:p w14:paraId="61609B7D" w14:textId="77777777" w:rsidR="00894070" w:rsidRDefault="009B7AFD">
      <w:pPr>
        <w:pStyle w:val="ListParagraph"/>
        <w:numPr>
          <w:ilvl w:val="0"/>
          <w:numId w:val="135"/>
        </w:numPr>
        <w:tabs>
          <w:tab w:val="left" w:pos="2141"/>
          <w:tab w:val="left" w:pos="2142"/>
        </w:tabs>
        <w:spacing w:before="47" w:line="259" w:lineRule="exact"/>
        <w:ind w:hanging="340"/>
        <w:rPr>
          <w:sz w:val="20"/>
        </w:rPr>
      </w:pPr>
      <w:r>
        <w:rPr>
          <w:color w:val="231F20"/>
          <w:sz w:val="20"/>
        </w:rPr>
        <w:t>People</w:t>
      </w:r>
      <w:r>
        <w:rPr>
          <w:color w:val="231F20"/>
          <w:spacing w:val="-6"/>
          <w:sz w:val="20"/>
        </w:rPr>
        <w:t xml:space="preserve"> </w:t>
      </w:r>
      <w:r>
        <w:rPr>
          <w:color w:val="231F20"/>
          <w:sz w:val="20"/>
        </w:rPr>
        <w:t>working</w:t>
      </w:r>
      <w:r>
        <w:rPr>
          <w:color w:val="231F20"/>
          <w:spacing w:val="-6"/>
          <w:sz w:val="20"/>
        </w:rPr>
        <w:t xml:space="preserve"> </w:t>
      </w:r>
      <w:r>
        <w:rPr>
          <w:color w:val="231F20"/>
          <w:sz w:val="20"/>
        </w:rPr>
        <w:t>in</w:t>
      </w:r>
      <w:r>
        <w:rPr>
          <w:color w:val="231F20"/>
          <w:spacing w:val="-5"/>
          <w:sz w:val="20"/>
        </w:rPr>
        <w:t xml:space="preserve"> </w:t>
      </w:r>
      <w:r>
        <w:rPr>
          <w:color w:val="231F20"/>
          <w:sz w:val="20"/>
        </w:rPr>
        <w:t>the</w:t>
      </w:r>
      <w:r>
        <w:rPr>
          <w:color w:val="231F20"/>
          <w:spacing w:val="-6"/>
          <w:sz w:val="20"/>
        </w:rPr>
        <w:t xml:space="preserve"> </w:t>
      </w:r>
      <w:r>
        <w:rPr>
          <w:color w:val="231F20"/>
          <w:sz w:val="20"/>
        </w:rPr>
        <w:t>justice</w:t>
      </w:r>
      <w:r>
        <w:rPr>
          <w:color w:val="231F20"/>
          <w:spacing w:val="-5"/>
          <w:sz w:val="20"/>
        </w:rPr>
        <w:t xml:space="preserve"> </w:t>
      </w:r>
      <w:r>
        <w:rPr>
          <w:color w:val="231F20"/>
          <w:spacing w:val="-2"/>
          <w:sz w:val="20"/>
        </w:rPr>
        <w:t>system</w:t>
      </w:r>
      <w:r>
        <w:rPr>
          <w:color w:val="231F20"/>
          <w:spacing w:val="-6"/>
          <w:sz w:val="20"/>
        </w:rPr>
        <w:t xml:space="preserve"> </w:t>
      </w:r>
      <w:r>
        <w:rPr>
          <w:color w:val="231F20"/>
          <w:sz w:val="20"/>
        </w:rPr>
        <w:t>need</w:t>
      </w:r>
      <w:r>
        <w:rPr>
          <w:color w:val="231F20"/>
          <w:spacing w:val="-6"/>
          <w:sz w:val="20"/>
        </w:rPr>
        <w:t xml:space="preserve"> </w:t>
      </w:r>
      <w:r>
        <w:rPr>
          <w:color w:val="231F20"/>
          <w:sz w:val="20"/>
        </w:rPr>
        <w:t>to</w:t>
      </w:r>
      <w:r>
        <w:rPr>
          <w:color w:val="231F20"/>
          <w:spacing w:val="-5"/>
          <w:sz w:val="20"/>
        </w:rPr>
        <w:t xml:space="preserve"> </w:t>
      </w:r>
      <w:r>
        <w:rPr>
          <w:color w:val="231F20"/>
          <w:sz w:val="20"/>
        </w:rPr>
        <w:t>understand</w:t>
      </w:r>
      <w:r>
        <w:rPr>
          <w:color w:val="231F20"/>
          <w:spacing w:val="-6"/>
          <w:sz w:val="20"/>
        </w:rPr>
        <w:t xml:space="preserve"> </w:t>
      </w:r>
      <w:r>
        <w:rPr>
          <w:color w:val="231F20"/>
          <w:sz w:val="20"/>
        </w:rPr>
        <w:t>stalking</w:t>
      </w:r>
      <w:r>
        <w:rPr>
          <w:color w:val="231F20"/>
          <w:spacing w:val="-5"/>
          <w:sz w:val="20"/>
        </w:rPr>
        <w:t xml:space="preserve"> </w:t>
      </w:r>
      <w:r>
        <w:rPr>
          <w:color w:val="231F20"/>
          <w:sz w:val="20"/>
        </w:rPr>
        <w:t>and</w:t>
      </w:r>
      <w:r>
        <w:rPr>
          <w:color w:val="231F20"/>
          <w:spacing w:val="-6"/>
          <w:sz w:val="20"/>
        </w:rPr>
        <w:t xml:space="preserve"> </w:t>
      </w:r>
      <w:r>
        <w:rPr>
          <w:color w:val="231F20"/>
          <w:spacing w:val="-3"/>
          <w:sz w:val="20"/>
        </w:rPr>
        <w:t>how</w:t>
      </w:r>
      <w:r>
        <w:rPr>
          <w:color w:val="231F20"/>
          <w:spacing w:val="-6"/>
          <w:sz w:val="20"/>
        </w:rPr>
        <w:t xml:space="preserve"> </w:t>
      </w:r>
      <w:r>
        <w:rPr>
          <w:color w:val="231F20"/>
          <w:sz w:val="20"/>
        </w:rPr>
        <w:t>best</w:t>
      </w:r>
      <w:r>
        <w:rPr>
          <w:color w:val="231F20"/>
          <w:spacing w:val="-5"/>
          <w:sz w:val="20"/>
        </w:rPr>
        <w:t xml:space="preserve"> </w:t>
      </w:r>
      <w:r>
        <w:rPr>
          <w:color w:val="231F20"/>
          <w:sz w:val="20"/>
        </w:rPr>
        <w:t>to</w:t>
      </w:r>
    </w:p>
    <w:p w14:paraId="5239E79F" w14:textId="77777777" w:rsidR="00894070" w:rsidRDefault="009B7AFD">
      <w:pPr>
        <w:pStyle w:val="BodyText"/>
        <w:spacing w:line="259" w:lineRule="exact"/>
        <w:ind w:left="2141"/>
      </w:pPr>
      <w:r>
        <w:rPr>
          <w:color w:val="231F20"/>
        </w:rPr>
        <w:t>respond to it.</w:t>
      </w:r>
    </w:p>
    <w:p w14:paraId="1277971B" w14:textId="77777777" w:rsidR="00894070" w:rsidRDefault="009B7AFD">
      <w:pPr>
        <w:spacing w:before="185"/>
        <w:ind w:left="1007"/>
        <w:rPr>
          <w:rFonts w:ascii="Raleway ExtraBold"/>
          <w:b/>
          <w:sz w:val="28"/>
        </w:rPr>
      </w:pPr>
      <w:r>
        <w:rPr>
          <w:rFonts w:ascii="Raleway ExtraBold"/>
          <w:b/>
          <w:color w:val="EA5B50"/>
          <w:sz w:val="28"/>
        </w:rPr>
        <w:t>Stalking requires a community response</w:t>
      </w:r>
    </w:p>
    <w:p w14:paraId="10ECA035" w14:textId="77777777" w:rsidR="00894070" w:rsidRDefault="009B7AFD">
      <w:pPr>
        <w:pStyle w:val="ListParagraph"/>
        <w:numPr>
          <w:ilvl w:val="1"/>
          <w:numId w:val="177"/>
        </w:numPr>
        <w:tabs>
          <w:tab w:val="left" w:pos="1801"/>
          <w:tab w:val="left" w:pos="1802"/>
        </w:tabs>
        <w:spacing w:before="146" w:line="206" w:lineRule="auto"/>
        <w:ind w:right="1669"/>
        <w:rPr>
          <w:sz w:val="20"/>
        </w:rPr>
      </w:pPr>
      <w:r>
        <w:rPr>
          <w:color w:val="231F20"/>
          <w:sz w:val="20"/>
        </w:rPr>
        <w:t>Research</w:t>
      </w:r>
      <w:r>
        <w:rPr>
          <w:color w:val="231F20"/>
          <w:spacing w:val="-9"/>
          <w:sz w:val="20"/>
        </w:rPr>
        <w:t xml:space="preserve"> </w:t>
      </w:r>
      <w:r>
        <w:rPr>
          <w:color w:val="231F20"/>
          <w:sz w:val="20"/>
        </w:rPr>
        <w:t>suggests</w:t>
      </w:r>
      <w:r>
        <w:rPr>
          <w:color w:val="231F20"/>
          <w:spacing w:val="-9"/>
          <w:sz w:val="20"/>
        </w:rPr>
        <w:t xml:space="preserve"> </w:t>
      </w:r>
      <w:r>
        <w:rPr>
          <w:color w:val="231F20"/>
          <w:sz w:val="20"/>
        </w:rPr>
        <w:t>stalking</w:t>
      </w:r>
      <w:r>
        <w:rPr>
          <w:color w:val="231F20"/>
          <w:spacing w:val="-8"/>
          <w:sz w:val="20"/>
        </w:rPr>
        <w:t xml:space="preserve"> </w:t>
      </w:r>
      <w:r>
        <w:rPr>
          <w:color w:val="231F20"/>
          <w:sz w:val="20"/>
        </w:rPr>
        <w:t>is</w:t>
      </w:r>
      <w:r>
        <w:rPr>
          <w:color w:val="231F20"/>
          <w:spacing w:val="-9"/>
          <w:sz w:val="20"/>
        </w:rPr>
        <w:t xml:space="preserve"> </w:t>
      </w:r>
      <w:r>
        <w:rPr>
          <w:color w:val="231F20"/>
          <w:sz w:val="20"/>
        </w:rPr>
        <w:t>widespread</w:t>
      </w:r>
      <w:r>
        <w:rPr>
          <w:color w:val="231F20"/>
          <w:spacing w:val="-9"/>
          <w:sz w:val="20"/>
        </w:rPr>
        <w:t xml:space="preserve"> </w:t>
      </w:r>
      <w:r>
        <w:rPr>
          <w:color w:val="231F20"/>
          <w:sz w:val="20"/>
        </w:rPr>
        <w:t>(see</w:t>
      </w:r>
      <w:r>
        <w:rPr>
          <w:color w:val="231F20"/>
          <w:spacing w:val="-8"/>
          <w:sz w:val="20"/>
        </w:rPr>
        <w:t xml:space="preserve"> </w:t>
      </w:r>
      <w:r>
        <w:rPr>
          <w:color w:val="231F20"/>
          <w:spacing w:val="-3"/>
          <w:sz w:val="20"/>
        </w:rPr>
        <w:t>Chapter</w:t>
      </w:r>
      <w:r>
        <w:rPr>
          <w:color w:val="231F20"/>
          <w:spacing w:val="-9"/>
          <w:sz w:val="20"/>
        </w:rPr>
        <w:t xml:space="preserve"> </w:t>
      </w:r>
      <w:r>
        <w:rPr>
          <w:color w:val="231F20"/>
          <w:spacing w:val="-3"/>
          <w:sz w:val="20"/>
        </w:rPr>
        <w:t>2),</w:t>
      </w:r>
      <w:r>
        <w:rPr>
          <w:color w:val="231F20"/>
          <w:spacing w:val="-8"/>
          <w:sz w:val="20"/>
        </w:rPr>
        <w:t xml:space="preserve"> </w:t>
      </w:r>
      <w:r>
        <w:rPr>
          <w:color w:val="231F20"/>
          <w:sz w:val="20"/>
        </w:rPr>
        <w:t>but</w:t>
      </w:r>
      <w:r>
        <w:rPr>
          <w:color w:val="231F20"/>
          <w:spacing w:val="-9"/>
          <w:sz w:val="20"/>
        </w:rPr>
        <w:t xml:space="preserve"> </w:t>
      </w:r>
      <w:r>
        <w:rPr>
          <w:color w:val="231F20"/>
          <w:sz w:val="20"/>
        </w:rPr>
        <w:t>as</w:t>
      </w:r>
      <w:r>
        <w:rPr>
          <w:color w:val="231F20"/>
          <w:spacing w:val="-9"/>
          <w:sz w:val="20"/>
        </w:rPr>
        <w:t xml:space="preserve"> </w:t>
      </w:r>
      <w:r>
        <w:rPr>
          <w:color w:val="231F20"/>
          <w:sz w:val="20"/>
        </w:rPr>
        <w:t>a</w:t>
      </w:r>
      <w:r>
        <w:rPr>
          <w:color w:val="231F20"/>
          <w:spacing w:val="-8"/>
          <w:sz w:val="20"/>
        </w:rPr>
        <w:t xml:space="preserve"> </w:t>
      </w:r>
      <w:r>
        <w:rPr>
          <w:color w:val="231F20"/>
          <w:sz w:val="20"/>
        </w:rPr>
        <w:t>community</w:t>
      </w:r>
      <w:r>
        <w:rPr>
          <w:color w:val="231F20"/>
          <w:spacing w:val="-9"/>
          <w:sz w:val="20"/>
        </w:rPr>
        <w:t xml:space="preserve"> </w:t>
      </w:r>
      <w:r>
        <w:rPr>
          <w:color w:val="231F20"/>
          <w:spacing w:val="-3"/>
          <w:sz w:val="20"/>
        </w:rPr>
        <w:t xml:space="preserve">we </w:t>
      </w:r>
      <w:r>
        <w:rPr>
          <w:color w:val="231F20"/>
          <w:sz w:val="20"/>
        </w:rPr>
        <w:t>appear</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ignoring</w:t>
      </w:r>
      <w:r>
        <w:rPr>
          <w:color w:val="231F20"/>
          <w:spacing w:val="-5"/>
          <w:sz w:val="20"/>
        </w:rPr>
        <w:t xml:space="preserve"> </w:t>
      </w:r>
      <w:r>
        <w:rPr>
          <w:color w:val="231F20"/>
          <w:sz w:val="20"/>
        </w:rPr>
        <w:t>the</w:t>
      </w:r>
      <w:r>
        <w:rPr>
          <w:color w:val="231F20"/>
          <w:spacing w:val="-5"/>
          <w:sz w:val="20"/>
        </w:rPr>
        <w:t xml:space="preserve"> </w:t>
      </w:r>
      <w:r>
        <w:rPr>
          <w:color w:val="231F20"/>
          <w:sz w:val="20"/>
        </w:rPr>
        <w:t>problem.</w:t>
      </w:r>
      <w:r>
        <w:rPr>
          <w:color w:val="231F20"/>
          <w:spacing w:val="-4"/>
          <w:sz w:val="20"/>
        </w:rPr>
        <w:t xml:space="preserve"> </w:t>
      </w:r>
      <w:r>
        <w:rPr>
          <w:color w:val="231F20"/>
          <w:sz w:val="20"/>
        </w:rPr>
        <w:t>This</w:t>
      </w:r>
      <w:r>
        <w:rPr>
          <w:color w:val="231F20"/>
          <w:spacing w:val="-5"/>
          <w:sz w:val="20"/>
        </w:rPr>
        <w:t xml:space="preserve"> </w:t>
      </w:r>
      <w:r>
        <w:rPr>
          <w:color w:val="231F20"/>
          <w:sz w:val="20"/>
        </w:rPr>
        <w:t>means</w:t>
      </w:r>
      <w:r>
        <w:rPr>
          <w:color w:val="231F20"/>
          <w:spacing w:val="-5"/>
          <w:sz w:val="20"/>
        </w:rPr>
        <w:t xml:space="preserve"> </w:t>
      </w:r>
      <w:r>
        <w:rPr>
          <w:color w:val="231F20"/>
          <w:sz w:val="20"/>
        </w:rPr>
        <w:t>that:</w:t>
      </w:r>
    </w:p>
    <w:p w14:paraId="60CAC9F9" w14:textId="77777777" w:rsidR="00894070" w:rsidRDefault="009B7AFD">
      <w:pPr>
        <w:pStyle w:val="ListParagraph"/>
        <w:numPr>
          <w:ilvl w:val="2"/>
          <w:numId w:val="177"/>
        </w:numPr>
        <w:tabs>
          <w:tab w:val="left" w:pos="2141"/>
          <w:tab w:val="left" w:pos="2142"/>
        </w:tabs>
        <w:spacing w:before="123" w:line="206" w:lineRule="auto"/>
        <w:ind w:right="1220" w:hanging="340"/>
        <w:rPr>
          <w:sz w:val="20"/>
        </w:rPr>
      </w:pP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z w:val="20"/>
        </w:rPr>
        <w:t>engage</w:t>
      </w:r>
      <w:r>
        <w:rPr>
          <w:color w:val="231F20"/>
          <w:spacing w:val="-8"/>
          <w:sz w:val="20"/>
        </w:rPr>
        <w:t xml:space="preserve"> </w:t>
      </w:r>
      <w:r>
        <w:rPr>
          <w:color w:val="231F20"/>
          <w:sz w:val="20"/>
        </w:rPr>
        <w:t>in</w:t>
      </w:r>
      <w:r>
        <w:rPr>
          <w:color w:val="231F20"/>
          <w:spacing w:val="-8"/>
          <w:sz w:val="20"/>
        </w:rPr>
        <w:t xml:space="preserve"> </w:t>
      </w:r>
      <w:r>
        <w:rPr>
          <w:color w:val="231F20"/>
          <w:sz w:val="20"/>
        </w:rPr>
        <w:t>stalking</w:t>
      </w:r>
      <w:r>
        <w:rPr>
          <w:color w:val="231F20"/>
          <w:spacing w:val="-7"/>
          <w:sz w:val="20"/>
        </w:rPr>
        <w:t xml:space="preserve"> </w:t>
      </w:r>
      <w:r>
        <w:rPr>
          <w:color w:val="231F20"/>
          <w:spacing w:val="-3"/>
          <w:sz w:val="20"/>
        </w:rPr>
        <w:t>may</w:t>
      </w:r>
      <w:r>
        <w:rPr>
          <w:color w:val="231F20"/>
          <w:spacing w:val="-8"/>
          <w:sz w:val="20"/>
        </w:rPr>
        <w:t xml:space="preserve"> </w:t>
      </w:r>
      <w:r>
        <w:rPr>
          <w:color w:val="231F20"/>
          <w:sz w:val="20"/>
        </w:rPr>
        <w:t>not</w:t>
      </w:r>
      <w:r>
        <w:rPr>
          <w:color w:val="231F20"/>
          <w:spacing w:val="-8"/>
          <w:sz w:val="20"/>
        </w:rPr>
        <w:t xml:space="preserve"> </w:t>
      </w:r>
      <w:r>
        <w:rPr>
          <w:color w:val="231F20"/>
          <w:spacing w:val="-3"/>
          <w:sz w:val="20"/>
        </w:rPr>
        <w:t>know</w:t>
      </w:r>
      <w:r>
        <w:rPr>
          <w:color w:val="231F20"/>
          <w:spacing w:val="-8"/>
          <w:sz w:val="20"/>
        </w:rPr>
        <w:t xml:space="preserve"> </w:t>
      </w:r>
      <w:r>
        <w:rPr>
          <w:color w:val="231F20"/>
          <w:sz w:val="20"/>
        </w:rPr>
        <w:t>that</w:t>
      </w:r>
      <w:r>
        <w:rPr>
          <w:color w:val="231F20"/>
          <w:spacing w:val="-8"/>
          <w:sz w:val="20"/>
        </w:rPr>
        <w:t xml:space="preserve"> </w:t>
      </w:r>
      <w:r>
        <w:rPr>
          <w:color w:val="231F20"/>
          <w:sz w:val="20"/>
        </w:rPr>
        <w:t>what</w:t>
      </w:r>
      <w:r>
        <w:rPr>
          <w:color w:val="231F20"/>
          <w:spacing w:val="-7"/>
          <w:sz w:val="20"/>
        </w:rPr>
        <w:t xml:space="preserve"> </w:t>
      </w:r>
      <w:r>
        <w:rPr>
          <w:color w:val="231F20"/>
          <w:sz w:val="20"/>
        </w:rPr>
        <w:t>they</w:t>
      </w:r>
      <w:r>
        <w:rPr>
          <w:color w:val="231F20"/>
          <w:spacing w:val="-8"/>
          <w:sz w:val="20"/>
        </w:rPr>
        <w:t xml:space="preserve"> </w:t>
      </w:r>
      <w:r>
        <w:rPr>
          <w:color w:val="231F20"/>
          <w:spacing w:val="-3"/>
          <w:sz w:val="20"/>
        </w:rPr>
        <w:t>are</w:t>
      </w:r>
      <w:r>
        <w:rPr>
          <w:color w:val="231F20"/>
          <w:spacing w:val="-8"/>
          <w:sz w:val="20"/>
        </w:rPr>
        <w:t xml:space="preserve"> </w:t>
      </w:r>
      <w:r>
        <w:rPr>
          <w:color w:val="231F20"/>
          <w:sz w:val="20"/>
        </w:rPr>
        <w:t>doing</w:t>
      </w:r>
      <w:r>
        <w:rPr>
          <w:color w:val="231F20"/>
          <w:spacing w:val="-8"/>
          <w:sz w:val="20"/>
        </w:rPr>
        <w:t xml:space="preserve"> </w:t>
      </w:r>
      <w:r>
        <w:rPr>
          <w:color w:val="231F20"/>
          <w:sz w:val="20"/>
        </w:rPr>
        <w:t>is</w:t>
      </w:r>
      <w:r>
        <w:rPr>
          <w:color w:val="231F20"/>
          <w:spacing w:val="-8"/>
          <w:sz w:val="20"/>
        </w:rPr>
        <w:t xml:space="preserve"> </w:t>
      </w:r>
      <w:r>
        <w:rPr>
          <w:color w:val="231F20"/>
          <w:sz w:val="20"/>
        </w:rPr>
        <w:t>a</w:t>
      </w:r>
      <w:r>
        <w:rPr>
          <w:color w:val="231F20"/>
          <w:spacing w:val="-7"/>
          <w:sz w:val="20"/>
        </w:rPr>
        <w:t xml:space="preserve"> </w:t>
      </w:r>
      <w:r>
        <w:rPr>
          <w:color w:val="231F20"/>
          <w:sz w:val="20"/>
        </w:rPr>
        <w:t>crime</w:t>
      </w:r>
      <w:r>
        <w:rPr>
          <w:color w:val="231F20"/>
          <w:spacing w:val="-8"/>
          <w:sz w:val="20"/>
        </w:rPr>
        <w:t xml:space="preserve"> </w:t>
      </w:r>
      <w:r>
        <w:rPr>
          <w:color w:val="231F20"/>
          <w:sz w:val="20"/>
        </w:rPr>
        <w:t xml:space="preserve">or </w:t>
      </w:r>
      <w:r>
        <w:rPr>
          <w:color w:val="231F20"/>
          <w:spacing w:val="-3"/>
          <w:sz w:val="20"/>
        </w:rPr>
        <w:t xml:space="preserve">fully </w:t>
      </w:r>
      <w:r>
        <w:rPr>
          <w:color w:val="231F20"/>
          <w:sz w:val="20"/>
        </w:rPr>
        <w:t>understand its</w:t>
      </w:r>
      <w:r>
        <w:rPr>
          <w:color w:val="231F20"/>
          <w:spacing w:val="-10"/>
          <w:sz w:val="20"/>
        </w:rPr>
        <w:t xml:space="preserve"> </w:t>
      </w:r>
      <w:r>
        <w:rPr>
          <w:color w:val="231F20"/>
          <w:sz w:val="20"/>
        </w:rPr>
        <w:t>impacts</w:t>
      </w:r>
    </w:p>
    <w:p w14:paraId="5EB3428D" w14:textId="77777777" w:rsidR="00894070" w:rsidRDefault="009B7AFD">
      <w:pPr>
        <w:pStyle w:val="ListParagraph"/>
        <w:numPr>
          <w:ilvl w:val="2"/>
          <w:numId w:val="177"/>
        </w:numPr>
        <w:tabs>
          <w:tab w:val="left" w:pos="2141"/>
          <w:tab w:val="left" w:pos="2142"/>
        </w:tabs>
        <w:spacing w:before="87" w:line="206" w:lineRule="auto"/>
        <w:ind w:right="2082" w:hanging="340"/>
        <w:rPr>
          <w:sz w:val="20"/>
        </w:rPr>
      </w:pP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pacing w:val="-3"/>
          <w:sz w:val="20"/>
        </w:rPr>
        <w:t>are</w:t>
      </w:r>
      <w:r>
        <w:rPr>
          <w:color w:val="231F20"/>
          <w:spacing w:val="-8"/>
          <w:sz w:val="20"/>
        </w:rPr>
        <w:t xml:space="preserve"> </w:t>
      </w:r>
      <w:r>
        <w:rPr>
          <w:color w:val="231F20"/>
          <w:sz w:val="20"/>
        </w:rPr>
        <w:t>experiencing</w:t>
      </w:r>
      <w:r>
        <w:rPr>
          <w:color w:val="231F20"/>
          <w:spacing w:val="-8"/>
          <w:sz w:val="20"/>
        </w:rPr>
        <w:t xml:space="preserve"> </w:t>
      </w:r>
      <w:r>
        <w:rPr>
          <w:color w:val="231F20"/>
          <w:sz w:val="20"/>
        </w:rPr>
        <w:t>stalking</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not</w:t>
      </w:r>
      <w:r>
        <w:rPr>
          <w:color w:val="231F20"/>
          <w:spacing w:val="-8"/>
          <w:sz w:val="20"/>
        </w:rPr>
        <w:t xml:space="preserve"> </w:t>
      </w:r>
      <w:r>
        <w:rPr>
          <w:color w:val="231F20"/>
          <w:spacing w:val="-3"/>
          <w:sz w:val="20"/>
        </w:rPr>
        <w:t>know</w:t>
      </w:r>
      <w:r>
        <w:rPr>
          <w:color w:val="231F20"/>
          <w:spacing w:val="-8"/>
          <w:sz w:val="20"/>
        </w:rPr>
        <w:t xml:space="preserve"> </w:t>
      </w:r>
      <w:r>
        <w:rPr>
          <w:color w:val="231F20"/>
          <w:spacing w:val="-3"/>
          <w:sz w:val="20"/>
        </w:rPr>
        <w:t>how</w:t>
      </w:r>
      <w:r>
        <w:rPr>
          <w:color w:val="231F20"/>
          <w:spacing w:val="-8"/>
          <w:sz w:val="20"/>
        </w:rPr>
        <w:t xml:space="preserve"> </w:t>
      </w:r>
      <w:r>
        <w:rPr>
          <w:color w:val="231F20"/>
          <w:sz w:val="20"/>
        </w:rPr>
        <w:t>to</w:t>
      </w:r>
      <w:r>
        <w:rPr>
          <w:color w:val="231F20"/>
          <w:spacing w:val="-8"/>
          <w:sz w:val="20"/>
        </w:rPr>
        <w:t xml:space="preserve"> </w:t>
      </w:r>
      <w:r>
        <w:rPr>
          <w:color w:val="231F20"/>
          <w:sz w:val="20"/>
        </w:rPr>
        <w:t>name</w:t>
      </w:r>
      <w:r>
        <w:rPr>
          <w:color w:val="231F20"/>
          <w:spacing w:val="-7"/>
          <w:sz w:val="20"/>
        </w:rPr>
        <w:t xml:space="preserve"> </w:t>
      </w:r>
      <w:r>
        <w:rPr>
          <w:color w:val="231F20"/>
          <w:sz w:val="20"/>
        </w:rPr>
        <w:t>what</w:t>
      </w:r>
      <w:r>
        <w:rPr>
          <w:color w:val="231F20"/>
          <w:spacing w:val="-8"/>
          <w:sz w:val="20"/>
        </w:rPr>
        <w:t xml:space="preserve"> </w:t>
      </w:r>
      <w:r>
        <w:rPr>
          <w:color w:val="231F20"/>
          <w:sz w:val="20"/>
        </w:rPr>
        <w:t>is happening</w:t>
      </w:r>
      <w:r>
        <w:rPr>
          <w:color w:val="231F20"/>
          <w:spacing w:val="-7"/>
          <w:sz w:val="20"/>
        </w:rPr>
        <w:t xml:space="preserve"> </w:t>
      </w:r>
      <w:r>
        <w:rPr>
          <w:color w:val="231F20"/>
          <w:sz w:val="20"/>
        </w:rPr>
        <w:t>to</w:t>
      </w:r>
      <w:r>
        <w:rPr>
          <w:color w:val="231F20"/>
          <w:spacing w:val="-7"/>
          <w:sz w:val="20"/>
        </w:rPr>
        <w:t xml:space="preserve"> </w:t>
      </w:r>
      <w:r>
        <w:rPr>
          <w:color w:val="231F20"/>
          <w:sz w:val="20"/>
        </w:rPr>
        <w:t>them,</w:t>
      </w:r>
      <w:r>
        <w:rPr>
          <w:color w:val="231F20"/>
          <w:spacing w:val="-7"/>
          <w:sz w:val="20"/>
        </w:rPr>
        <w:t xml:space="preserve"> </w:t>
      </w:r>
      <w:r>
        <w:rPr>
          <w:color w:val="231F20"/>
          <w:spacing w:val="-3"/>
          <w:sz w:val="20"/>
        </w:rPr>
        <w:t>how</w:t>
      </w:r>
      <w:r>
        <w:rPr>
          <w:color w:val="231F20"/>
          <w:spacing w:val="-7"/>
          <w:sz w:val="20"/>
        </w:rPr>
        <w:t xml:space="preserve"> </w:t>
      </w:r>
      <w:r>
        <w:rPr>
          <w:color w:val="231F20"/>
          <w:sz w:val="20"/>
        </w:rPr>
        <w:t>to</w:t>
      </w:r>
      <w:r>
        <w:rPr>
          <w:color w:val="231F20"/>
          <w:spacing w:val="-7"/>
          <w:sz w:val="20"/>
        </w:rPr>
        <w:t xml:space="preserve"> </w:t>
      </w:r>
      <w:r>
        <w:rPr>
          <w:color w:val="231F20"/>
          <w:sz w:val="20"/>
        </w:rPr>
        <w:t>get</w:t>
      </w:r>
      <w:r>
        <w:rPr>
          <w:color w:val="231F20"/>
          <w:spacing w:val="-6"/>
          <w:sz w:val="20"/>
        </w:rPr>
        <w:t xml:space="preserve"> </w:t>
      </w:r>
      <w:r>
        <w:rPr>
          <w:color w:val="231F20"/>
          <w:sz w:val="20"/>
        </w:rPr>
        <w:t>support</w:t>
      </w:r>
      <w:r>
        <w:rPr>
          <w:color w:val="231F20"/>
          <w:spacing w:val="-7"/>
          <w:sz w:val="20"/>
        </w:rPr>
        <w:t xml:space="preserve"> </w:t>
      </w:r>
      <w:r>
        <w:rPr>
          <w:color w:val="231F20"/>
          <w:sz w:val="20"/>
        </w:rPr>
        <w:t>or</w:t>
      </w:r>
      <w:r>
        <w:rPr>
          <w:color w:val="231F20"/>
          <w:spacing w:val="-7"/>
          <w:sz w:val="20"/>
        </w:rPr>
        <w:t xml:space="preserve"> </w:t>
      </w:r>
      <w:r>
        <w:rPr>
          <w:color w:val="231F20"/>
          <w:sz w:val="20"/>
        </w:rPr>
        <w:t>access</w:t>
      </w:r>
      <w:r>
        <w:rPr>
          <w:color w:val="231F20"/>
          <w:spacing w:val="-7"/>
          <w:sz w:val="20"/>
        </w:rPr>
        <w:t xml:space="preserve"> </w:t>
      </w:r>
      <w:r>
        <w:rPr>
          <w:color w:val="231F20"/>
          <w:sz w:val="20"/>
        </w:rPr>
        <w:t>the</w:t>
      </w:r>
      <w:r>
        <w:rPr>
          <w:color w:val="231F20"/>
          <w:spacing w:val="-7"/>
          <w:sz w:val="20"/>
        </w:rPr>
        <w:t xml:space="preserve"> </w:t>
      </w:r>
      <w:r>
        <w:rPr>
          <w:color w:val="231F20"/>
          <w:sz w:val="20"/>
        </w:rPr>
        <w:t>justice</w:t>
      </w:r>
      <w:r>
        <w:rPr>
          <w:color w:val="231F20"/>
          <w:spacing w:val="-6"/>
          <w:sz w:val="20"/>
        </w:rPr>
        <w:t xml:space="preserve"> </w:t>
      </w:r>
      <w:r>
        <w:rPr>
          <w:color w:val="231F20"/>
          <w:sz w:val="20"/>
        </w:rPr>
        <w:t>system.</w:t>
      </w:r>
    </w:p>
    <w:p w14:paraId="1E0D070C" w14:textId="77777777" w:rsidR="00894070" w:rsidRDefault="009B7AFD">
      <w:pPr>
        <w:pStyle w:val="ListParagraph"/>
        <w:numPr>
          <w:ilvl w:val="1"/>
          <w:numId w:val="177"/>
        </w:numPr>
        <w:tabs>
          <w:tab w:val="left" w:pos="1801"/>
          <w:tab w:val="left" w:pos="1802"/>
        </w:tabs>
        <w:spacing w:before="56"/>
        <w:rPr>
          <w:sz w:val="20"/>
        </w:rPr>
      </w:pPr>
      <w:r>
        <w:rPr>
          <w:color w:val="231F20"/>
          <w:sz w:val="20"/>
        </w:rPr>
        <w:t>Education</w:t>
      </w:r>
      <w:r>
        <w:rPr>
          <w:color w:val="231F20"/>
          <w:spacing w:val="-5"/>
          <w:sz w:val="20"/>
        </w:rPr>
        <w:t xml:space="preserve"> </w:t>
      </w:r>
      <w:r>
        <w:rPr>
          <w:color w:val="231F20"/>
          <w:sz w:val="20"/>
        </w:rPr>
        <w:t>is</w:t>
      </w:r>
      <w:r>
        <w:rPr>
          <w:color w:val="231F20"/>
          <w:spacing w:val="-5"/>
          <w:sz w:val="20"/>
        </w:rPr>
        <w:t xml:space="preserve"> </w:t>
      </w:r>
      <w:r>
        <w:rPr>
          <w:color w:val="231F20"/>
          <w:spacing w:val="-3"/>
          <w:sz w:val="20"/>
        </w:rPr>
        <w:t>required</w:t>
      </w:r>
      <w:r>
        <w:rPr>
          <w:color w:val="231F20"/>
          <w:spacing w:val="-6"/>
          <w:sz w:val="20"/>
        </w:rPr>
        <w:t xml:space="preserve"> </w:t>
      </w:r>
      <w:r>
        <w:rPr>
          <w:color w:val="231F20"/>
          <w:sz w:val="20"/>
        </w:rPr>
        <w:t>so</w:t>
      </w:r>
      <w:r>
        <w:rPr>
          <w:color w:val="231F20"/>
          <w:spacing w:val="-6"/>
          <w:sz w:val="20"/>
        </w:rPr>
        <w:t xml:space="preserve"> </w:t>
      </w:r>
      <w:r>
        <w:rPr>
          <w:color w:val="231F20"/>
          <w:sz w:val="20"/>
        </w:rPr>
        <w:t>that</w:t>
      </w:r>
      <w:r>
        <w:rPr>
          <w:color w:val="231F20"/>
          <w:spacing w:val="-6"/>
          <w:sz w:val="20"/>
        </w:rPr>
        <w:t xml:space="preserve"> </w:t>
      </w:r>
      <w:r>
        <w:rPr>
          <w:color w:val="231F20"/>
          <w:sz w:val="20"/>
        </w:rPr>
        <w:t>the</w:t>
      </w:r>
      <w:r>
        <w:rPr>
          <w:color w:val="231F20"/>
          <w:spacing w:val="-5"/>
          <w:sz w:val="20"/>
        </w:rPr>
        <w:t xml:space="preserve"> </w:t>
      </w:r>
      <w:r>
        <w:rPr>
          <w:color w:val="231F20"/>
          <w:sz w:val="20"/>
        </w:rPr>
        <w:t>community</w:t>
      </w:r>
      <w:r>
        <w:rPr>
          <w:color w:val="231F20"/>
          <w:spacing w:val="-5"/>
          <w:sz w:val="20"/>
        </w:rPr>
        <w:t xml:space="preserve"> </w:t>
      </w:r>
      <w:r>
        <w:rPr>
          <w:color w:val="231F20"/>
          <w:sz w:val="20"/>
        </w:rPr>
        <w:t>can</w:t>
      </w:r>
      <w:r>
        <w:rPr>
          <w:color w:val="231F20"/>
          <w:spacing w:val="-5"/>
          <w:sz w:val="20"/>
        </w:rPr>
        <w:t xml:space="preserve"> </w:t>
      </w:r>
      <w:r>
        <w:rPr>
          <w:color w:val="231F20"/>
          <w:sz w:val="20"/>
        </w:rPr>
        <w:t>respond</w:t>
      </w:r>
      <w:r>
        <w:rPr>
          <w:color w:val="231F20"/>
          <w:spacing w:val="-5"/>
          <w:sz w:val="20"/>
        </w:rPr>
        <w:t xml:space="preserve"> </w:t>
      </w:r>
      <w:r>
        <w:rPr>
          <w:color w:val="231F20"/>
          <w:spacing w:val="-3"/>
          <w:sz w:val="20"/>
        </w:rPr>
        <w:t>appropriately</w:t>
      </w:r>
      <w:r>
        <w:rPr>
          <w:color w:val="231F20"/>
          <w:spacing w:val="-5"/>
          <w:sz w:val="20"/>
        </w:rPr>
        <w:t xml:space="preserve"> </w:t>
      </w:r>
      <w:r>
        <w:rPr>
          <w:color w:val="231F20"/>
          <w:sz w:val="20"/>
        </w:rPr>
        <w:t>to</w:t>
      </w:r>
      <w:r>
        <w:rPr>
          <w:color w:val="231F20"/>
          <w:spacing w:val="-5"/>
          <w:sz w:val="20"/>
        </w:rPr>
        <w:t xml:space="preserve"> </w:t>
      </w:r>
      <w:r>
        <w:rPr>
          <w:color w:val="231F20"/>
          <w:sz w:val="20"/>
        </w:rPr>
        <w:t>stalking.</w:t>
      </w:r>
    </w:p>
    <w:p w14:paraId="74D41971" w14:textId="77777777" w:rsidR="00894070" w:rsidRDefault="009B7AFD">
      <w:pPr>
        <w:pStyle w:val="ListParagraph"/>
        <w:numPr>
          <w:ilvl w:val="1"/>
          <w:numId w:val="177"/>
        </w:numPr>
        <w:tabs>
          <w:tab w:val="left" w:pos="1801"/>
          <w:tab w:val="left" w:pos="1802"/>
        </w:tabs>
        <w:spacing w:before="82"/>
        <w:rPr>
          <w:sz w:val="20"/>
        </w:rPr>
      </w:pPr>
      <w:r>
        <w:rPr>
          <w:color w:val="231F20"/>
          <w:sz w:val="20"/>
        </w:rPr>
        <w:t xml:space="preserve">A community that understands stalking </w:t>
      </w:r>
      <w:r>
        <w:rPr>
          <w:color w:val="231F20"/>
          <w:spacing w:val="-3"/>
          <w:sz w:val="20"/>
        </w:rPr>
        <w:t>may</w:t>
      </w:r>
      <w:r>
        <w:rPr>
          <w:color w:val="231F20"/>
          <w:spacing w:val="-27"/>
          <w:sz w:val="20"/>
        </w:rPr>
        <w:t xml:space="preserve"> </w:t>
      </w:r>
      <w:r>
        <w:rPr>
          <w:color w:val="231F20"/>
          <w:sz w:val="20"/>
        </w:rPr>
        <w:t>help:</w:t>
      </w:r>
    </w:p>
    <w:p w14:paraId="07E10C33" w14:textId="77777777" w:rsidR="00894070" w:rsidRDefault="009B7AFD">
      <w:pPr>
        <w:pStyle w:val="ListParagraph"/>
        <w:numPr>
          <w:ilvl w:val="2"/>
          <w:numId w:val="177"/>
        </w:numPr>
        <w:tabs>
          <w:tab w:val="left" w:pos="2141"/>
          <w:tab w:val="left" w:pos="2142"/>
        </w:tabs>
        <w:spacing w:before="115" w:line="206" w:lineRule="auto"/>
        <w:ind w:right="1844" w:hanging="340"/>
        <w:rPr>
          <w:sz w:val="20"/>
        </w:rPr>
      </w:pPr>
      <w:r>
        <w:rPr>
          <w:color w:val="231F20"/>
          <w:sz w:val="20"/>
        </w:rPr>
        <w:t>meet</w:t>
      </w:r>
      <w:r>
        <w:rPr>
          <w:color w:val="231F20"/>
          <w:spacing w:val="-9"/>
          <w:sz w:val="20"/>
        </w:rPr>
        <w:t xml:space="preserve"> </w:t>
      </w:r>
      <w:r>
        <w:rPr>
          <w:color w:val="231F20"/>
          <w:sz w:val="20"/>
        </w:rPr>
        <w:t>victim</w:t>
      </w:r>
      <w:r>
        <w:rPr>
          <w:color w:val="231F20"/>
          <w:spacing w:val="-8"/>
          <w:sz w:val="20"/>
        </w:rPr>
        <w:t xml:space="preserve"> </w:t>
      </w:r>
      <w:r>
        <w:rPr>
          <w:color w:val="231F20"/>
          <w:sz w:val="20"/>
        </w:rPr>
        <w:t>survivors’</w:t>
      </w:r>
      <w:r>
        <w:rPr>
          <w:color w:val="231F20"/>
          <w:spacing w:val="-9"/>
          <w:sz w:val="20"/>
        </w:rPr>
        <w:t xml:space="preserve"> </w:t>
      </w:r>
      <w:r>
        <w:rPr>
          <w:color w:val="231F20"/>
          <w:sz w:val="20"/>
        </w:rPr>
        <w:t>justice</w:t>
      </w:r>
      <w:r>
        <w:rPr>
          <w:color w:val="231F20"/>
          <w:spacing w:val="-8"/>
          <w:sz w:val="20"/>
        </w:rPr>
        <w:t xml:space="preserve"> </w:t>
      </w:r>
      <w:r>
        <w:rPr>
          <w:color w:val="231F20"/>
          <w:sz w:val="20"/>
        </w:rPr>
        <w:t>needs,</w:t>
      </w:r>
      <w:r>
        <w:rPr>
          <w:color w:val="231F20"/>
          <w:spacing w:val="-9"/>
          <w:sz w:val="20"/>
        </w:rPr>
        <w:t xml:space="preserve"> </w:t>
      </w:r>
      <w:r>
        <w:rPr>
          <w:color w:val="231F20"/>
          <w:sz w:val="20"/>
        </w:rPr>
        <w:t>including</w:t>
      </w:r>
      <w:r>
        <w:rPr>
          <w:color w:val="231F20"/>
          <w:spacing w:val="-8"/>
          <w:sz w:val="20"/>
        </w:rPr>
        <w:t xml:space="preserve"> </w:t>
      </w:r>
      <w:r>
        <w:rPr>
          <w:color w:val="231F20"/>
          <w:sz w:val="20"/>
        </w:rPr>
        <w:t>needs</w:t>
      </w:r>
      <w:r>
        <w:rPr>
          <w:color w:val="231F20"/>
          <w:spacing w:val="-9"/>
          <w:sz w:val="20"/>
        </w:rPr>
        <w:t xml:space="preserve"> </w:t>
      </w:r>
      <w:r>
        <w:rPr>
          <w:color w:val="231F20"/>
          <w:spacing w:val="-3"/>
          <w:sz w:val="20"/>
        </w:rPr>
        <w:t>for</w:t>
      </w:r>
      <w:r>
        <w:rPr>
          <w:color w:val="231F20"/>
          <w:spacing w:val="-8"/>
          <w:sz w:val="20"/>
        </w:rPr>
        <w:t xml:space="preserve"> </w:t>
      </w:r>
      <w:r>
        <w:rPr>
          <w:color w:val="231F20"/>
          <w:spacing w:val="-3"/>
          <w:sz w:val="20"/>
        </w:rPr>
        <w:t>information</w:t>
      </w:r>
      <w:r>
        <w:rPr>
          <w:color w:val="231F20"/>
          <w:spacing w:val="-9"/>
          <w:sz w:val="20"/>
        </w:rPr>
        <w:t xml:space="preserve"> </w:t>
      </w:r>
      <w:r>
        <w:rPr>
          <w:color w:val="231F20"/>
          <w:sz w:val="20"/>
        </w:rPr>
        <w:t>or</w:t>
      </w:r>
      <w:r>
        <w:rPr>
          <w:color w:val="231F20"/>
          <w:spacing w:val="-8"/>
          <w:sz w:val="20"/>
        </w:rPr>
        <w:t xml:space="preserve"> </w:t>
      </w:r>
      <w:r>
        <w:rPr>
          <w:color w:val="231F20"/>
          <w:sz w:val="20"/>
        </w:rPr>
        <w:t>to</w:t>
      </w:r>
      <w:r>
        <w:rPr>
          <w:color w:val="231F20"/>
          <w:spacing w:val="-9"/>
          <w:sz w:val="20"/>
        </w:rPr>
        <w:t xml:space="preserve"> </w:t>
      </w:r>
      <w:r>
        <w:rPr>
          <w:color w:val="231F20"/>
          <w:sz w:val="20"/>
        </w:rPr>
        <w:t xml:space="preserve">be believed (see </w:t>
      </w:r>
      <w:r>
        <w:rPr>
          <w:color w:val="231F20"/>
          <w:spacing w:val="-3"/>
          <w:sz w:val="20"/>
        </w:rPr>
        <w:t>Chapter</w:t>
      </w:r>
      <w:r>
        <w:rPr>
          <w:color w:val="231F20"/>
          <w:spacing w:val="-13"/>
          <w:sz w:val="20"/>
        </w:rPr>
        <w:t xml:space="preserve"> </w:t>
      </w:r>
      <w:r>
        <w:rPr>
          <w:color w:val="231F20"/>
          <w:sz w:val="20"/>
        </w:rPr>
        <w:t>1)</w:t>
      </w:r>
    </w:p>
    <w:p w14:paraId="5F9DB5A6" w14:textId="77777777" w:rsidR="00894070" w:rsidRDefault="009B7AFD">
      <w:pPr>
        <w:pStyle w:val="ListParagraph"/>
        <w:numPr>
          <w:ilvl w:val="2"/>
          <w:numId w:val="177"/>
        </w:numPr>
        <w:tabs>
          <w:tab w:val="left" w:pos="2141"/>
          <w:tab w:val="left" w:pos="2142"/>
        </w:tabs>
        <w:spacing w:before="55"/>
        <w:ind w:hanging="340"/>
        <w:rPr>
          <w:sz w:val="20"/>
        </w:rPr>
      </w:pPr>
      <w:r>
        <w:rPr>
          <w:color w:val="231F20"/>
          <w:spacing w:val="-3"/>
          <w:sz w:val="20"/>
        </w:rPr>
        <w:t xml:space="preserve">overcome </w:t>
      </w:r>
      <w:r>
        <w:rPr>
          <w:color w:val="231F20"/>
          <w:sz w:val="20"/>
        </w:rPr>
        <w:t xml:space="preserve">the barriers to reporting stalking (see </w:t>
      </w:r>
      <w:r>
        <w:rPr>
          <w:color w:val="231F20"/>
          <w:spacing w:val="-3"/>
          <w:sz w:val="20"/>
        </w:rPr>
        <w:t>Chapter</w:t>
      </w:r>
      <w:r>
        <w:rPr>
          <w:color w:val="231F20"/>
          <w:spacing w:val="-33"/>
          <w:sz w:val="20"/>
        </w:rPr>
        <w:t xml:space="preserve"> </w:t>
      </w:r>
      <w:r>
        <w:rPr>
          <w:color w:val="231F20"/>
          <w:spacing w:val="-3"/>
          <w:sz w:val="20"/>
        </w:rPr>
        <w:t>2).</w:t>
      </w:r>
    </w:p>
    <w:p w14:paraId="404E9931" w14:textId="77777777" w:rsidR="00894070" w:rsidRDefault="009B7AFD">
      <w:pPr>
        <w:pStyle w:val="ListParagraph"/>
        <w:numPr>
          <w:ilvl w:val="1"/>
          <w:numId w:val="177"/>
        </w:numPr>
        <w:tabs>
          <w:tab w:val="left" w:pos="1801"/>
          <w:tab w:val="left" w:pos="1802"/>
        </w:tabs>
        <w:spacing w:before="80" w:line="206" w:lineRule="auto"/>
        <w:ind w:right="2022"/>
        <w:rPr>
          <w:sz w:val="11"/>
        </w:rPr>
      </w:pPr>
      <w:r>
        <w:rPr>
          <w:color w:val="231F20"/>
          <w:spacing w:val="-3"/>
          <w:sz w:val="20"/>
        </w:rPr>
        <w:t>Education</w:t>
      </w:r>
      <w:r>
        <w:rPr>
          <w:color w:val="231F20"/>
          <w:spacing w:val="-6"/>
          <w:sz w:val="20"/>
        </w:rPr>
        <w:t xml:space="preserve"> </w:t>
      </w:r>
      <w:r>
        <w:rPr>
          <w:color w:val="231F20"/>
          <w:spacing w:val="-3"/>
          <w:sz w:val="20"/>
        </w:rPr>
        <w:t>may</w:t>
      </w:r>
      <w:r>
        <w:rPr>
          <w:color w:val="231F20"/>
          <w:spacing w:val="-5"/>
          <w:sz w:val="20"/>
        </w:rPr>
        <w:t xml:space="preserve"> </w:t>
      </w:r>
      <w:r>
        <w:rPr>
          <w:color w:val="231F20"/>
          <w:sz w:val="20"/>
        </w:rPr>
        <w:t>also</w:t>
      </w:r>
      <w:r>
        <w:rPr>
          <w:color w:val="231F20"/>
          <w:spacing w:val="-5"/>
          <w:sz w:val="20"/>
        </w:rPr>
        <w:t xml:space="preserve"> </w:t>
      </w:r>
      <w:r>
        <w:rPr>
          <w:color w:val="231F20"/>
          <w:sz w:val="20"/>
        </w:rPr>
        <w:t>play</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role</w:t>
      </w:r>
      <w:r>
        <w:rPr>
          <w:color w:val="231F20"/>
          <w:spacing w:val="-5"/>
          <w:sz w:val="20"/>
        </w:rPr>
        <w:t xml:space="preserve"> </w:t>
      </w:r>
      <w:r>
        <w:rPr>
          <w:color w:val="231F20"/>
          <w:sz w:val="20"/>
        </w:rPr>
        <w:t>alongside</w:t>
      </w:r>
      <w:r>
        <w:rPr>
          <w:color w:val="231F20"/>
          <w:spacing w:val="-6"/>
          <w:sz w:val="20"/>
        </w:rPr>
        <w:t xml:space="preserve"> </w:t>
      </w:r>
      <w:r>
        <w:rPr>
          <w:color w:val="231F20"/>
          <w:spacing w:val="-3"/>
          <w:sz w:val="20"/>
        </w:rPr>
        <w:t>early</w:t>
      </w:r>
      <w:r>
        <w:rPr>
          <w:color w:val="231F20"/>
          <w:spacing w:val="-5"/>
          <w:sz w:val="20"/>
        </w:rPr>
        <w:t xml:space="preserve"> </w:t>
      </w:r>
      <w:r>
        <w:rPr>
          <w:color w:val="231F20"/>
          <w:spacing w:val="-2"/>
          <w:sz w:val="20"/>
        </w:rPr>
        <w:t>intervention</w:t>
      </w:r>
      <w:r>
        <w:rPr>
          <w:color w:val="231F20"/>
          <w:spacing w:val="-5"/>
          <w:sz w:val="20"/>
        </w:rPr>
        <w:t xml:space="preserve"> </w:t>
      </w:r>
      <w:r>
        <w:rPr>
          <w:color w:val="231F20"/>
          <w:sz w:val="20"/>
        </w:rPr>
        <w:t>to</w:t>
      </w:r>
      <w:r>
        <w:rPr>
          <w:color w:val="231F20"/>
          <w:spacing w:val="-5"/>
          <w:sz w:val="20"/>
        </w:rPr>
        <w:t xml:space="preserve"> </w:t>
      </w:r>
      <w:r>
        <w:rPr>
          <w:color w:val="231F20"/>
          <w:spacing w:val="-4"/>
          <w:sz w:val="20"/>
        </w:rPr>
        <w:t>prevent</w:t>
      </w:r>
      <w:r>
        <w:rPr>
          <w:color w:val="231F20"/>
          <w:spacing w:val="-5"/>
          <w:sz w:val="20"/>
        </w:rPr>
        <w:t xml:space="preserve"> </w:t>
      </w:r>
      <w:r>
        <w:rPr>
          <w:color w:val="231F20"/>
          <w:sz w:val="20"/>
        </w:rPr>
        <w:t xml:space="preserve">stalking </w:t>
      </w:r>
      <w:r>
        <w:rPr>
          <w:color w:val="231F20"/>
          <w:spacing w:val="-3"/>
          <w:sz w:val="20"/>
        </w:rPr>
        <w:t>behaviour.</w:t>
      </w:r>
      <w:r>
        <w:rPr>
          <w:color w:val="231F20"/>
          <w:spacing w:val="-3"/>
          <w:position w:val="7"/>
          <w:sz w:val="11"/>
        </w:rPr>
        <w:t>1</w:t>
      </w:r>
    </w:p>
    <w:p w14:paraId="2257B841" w14:textId="77777777" w:rsidR="00894070" w:rsidRDefault="009B7AFD">
      <w:pPr>
        <w:pStyle w:val="ListParagraph"/>
        <w:numPr>
          <w:ilvl w:val="1"/>
          <w:numId w:val="177"/>
        </w:numPr>
        <w:tabs>
          <w:tab w:val="left" w:pos="1801"/>
          <w:tab w:val="left" w:pos="1802"/>
        </w:tabs>
        <w:spacing w:before="90" w:line="259" w:lineRule="exact"/>
        <w:rPr>
          <w:sz w:val="20"/>
        </w:rPr>
      </w:pPr>
      <w:r>
        <w:rPr>
          <w:color w:val="231F20"/>
          <w:spacing w:val="-5"/>
          <w:sz w:val="20"/>
        </w:rPr>
        <w:t>Targeted</w:t>
      </w:r>
      <w:r>
        <w:rPr>
          <w:color w:val="231F20"/>
          <w:spacing w:val="-6"/>
          <w:sz w:val="20"/>
        </w:rPr>
        <w:t xml:space="preserve"> </w:t>
      </w:r>
      <w:r>
        <w:rPr>
          <w:color w:val="231F20"/>
          <w:sz w:val="20"/>
        </w:rPr>
        <w:t>education</w:t>
      </w:r>
      <w:r>
        <w:rPr>
          <w:color w:val="231F20"/>
          <w:spacing w:val="-5"/>
          <w:sz w:val="20"/>
        </w:rPr>
        <w:t xml:space="preserve"> </w:t>
      </w:r>
      <w:r>
        <w:rPr>
          <w:color w:val="231F20"/>
          <w:sz w:val="20"/>
        </w:rPr>
        <w:t>is</w:t>
      </w:r>
      <w:r>
        <w:rPr>
          <w:color w:val="231F20"/>
          <w:spacing w:val="-5"/>
          <w:sz w:val="20"/>
        </w:rPr>
        <w:t xml:space="preserve"> </w:t>
      </w:r>
      <w:r>
        <w:rPr>
          <w:color w:val="231F20"/>
          <w:spacing w:val="-3"/>
          <w:sz w:val="20"/>
        </w:rPr>
        <w:t>required</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people</w:t>
      </w:r>
      <w:r>
        <w:rPr>
          <w:color w:val="231F20"/>
          <w:spacing w:val="-5"/>
          <w:sz w:val="20"/>
        </w:rPr>
        <w:t xml:space="preserve"> </w:t>
      </w:r>
      <w:r>
        <w:rPr>
          <w:color w:val="231F20"/>
          <w:sz w:val="20"/>
        </w:rPr>
        <w:t>working</w:t>
      </w:r>
      <w:r>
        <w:rPr>
          <w:color w:val="231F20"/>
          <w:spacing w:val="-5"/>
          <w:sz w:val="20"/>
        </w:rPr>
        <w:t xml:space="preserve"> </w:t>
      </w: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z w:val="20"/>
        </w:rPr>
        <w:t>justice</w:t>
      </w:r>
      <w:r>
        <w:rPr>
          <w:color w:val="231F20"/>
          <w:spacing w:val="-6"/>
          <w:sz w:val="20"/>
        </w:rPr>
        <w:t xml:space="preserve"> </w:t>
      </w:r>
      <w:r>
        <w:rPr>
          <w:color w:val="231F20"/>
          <w:sz w:val="20"/>
        </w:rPr>
        <w:t>system,</w:t>
      </w:r>
      <w:r>
        <w:rPr>
          <w:color w:val="231F20"/>
          <w:spacing w:val="-5"/>
          <w:sz w:val="20"/>
        </w:rPr>
        <w:t xml:space="preserve"> </w:t>
      </w:r>
      <w:r>
        <w:rPr>
          <w:color w:val="231F20"/>
          <w:sz w:val="20"/>
        </w:rPr>
        <w:t>so</w:t>
      </w:r>
      <w:r>
        <w:rPr>
          <w:color w:val="231F20"/>
          <w:spacing w:val="-5"/>
          <w:sz w:val="20"/>
        </w:rPr>
        <w:t xml:space="preserve"> </w:t>
      </w:r>
      <w:r>
        <w:rPr>
          <w:color w:val="231F20"/>
          <w:sz w:val="20"/>
        </w:rPr>
        <w:t>they</w:t>
      </w:r>
      <w:r>
        <w:rPr>
          <w:color w:val="231F20"/>
          <w:spacing w:val="-5"/>
          <w:sz w:val="20"/>
        </w:rPr>
        <w:t xml:space="preserve"> </w:t>
      </w:r>
      <w:r>
        <w:rPr>
          <w:color w:val="231F20"/>
          <w:sz w:val="20"/>
        </w:rPr>
        <w:t>can</w:t>
      </w:r>
    </w:p>
    <w:p w14:paraId="1A446C15" w14:textId="77777777" w:rsidR="00894070" w:rsidRDefault="009B7AFD">
      <w:pPr>
        <w:pStyle w:val="BodyText"/>
        <w:spacing w:line="259" w:lineRule="exact"/>
        <w:ind w:left="1801"/>
      </w:pPr>
      <w:r>
        <w:rPr>
          <w:color w:val="231F20"/>
        </w:rPr>
        <w:t>respond appropriately.</w:t>
      </w:r>
    </w:p>
    <w:p w14:paraId="4DF32CA2" w14:textId="77777777" w:rsidR="00894070" w:rsidRDefault="009B7AFD">
      <w:pPr>
        <w:pStyle w:val="ListParagraph"/>
        <w:numPr>
          <w:ilvl w:val="1"/>
          <w:numId w:val="177"/>
        </w:numPr>
        <w:tabs>
          <w:tab w:val="left" w:pos="1801"/>
          <w:tab w:val="left" w:pos="1802"/>
        </w:tabs>
        <w:spacing w:before="115" w:line="206" w:lineRule="auto"/>
        <w:ind w:right="1429"/>
        <w:rPr>
          <w:sz w:val="20"/>
        </w:rPr>
      </w:pPr>
      <w:r>
        <w:rPr>
          <w:color w:val="231F20"/>
          <w:sz w:val="20"/>
        </w:rPr>
        <w:t>In</w:t>
      </w:r>
      <w:r>
        <w:rPr>
          <w:color w:val="231F20"/>
          <w:spacing w:val="-9"/>
          <w:sz w:val="20"/>
        </w:rPr>
        <w:t xml:space="preserve"> </w:t>
      </w:r>
      <w:r>
        <w:rPr>
          <w:color w:val="231F20"/>
          <w:sz w:val="20"/>
        </w:rPr>
        <w:t>our</w:t>
      </w:r>
      <w:r>
        <w:rPr>
          <w:color w:val="231F20"/>
          <w:spacing w:val="-9"/>
          <w:sz w:val="20"/>
        </w:rPr>
        <w:t xml:space="preserve"> </w:t>
      </w:r>
      <w:r>
        <w:rPr>
          <w:color w:val="231F20"/>
          <w:spacing w:val="-3"/>
          <w:sz w:val="20"/>
        </w:rPr>
        <w:t>interim</w:t>
      </w:r>
      <w:r>
        <w:rPr>
          <w:color w:val="231F20"/>
          <w:spacing w:val="-9"/>
          <w:sz w:val="20"/>
        </w:rPr>
        <w:t xml:space="preserve"> </w:t>
      </w:r>
      <w:r>
        <w:rPr>
          <w:color w:val="231F20"/>
          <w:sz w:val="20"/>
        </w:rPr>
        <w:t>report</w:t>
      </w:r>
      <w:r>
        <w:rPr>
          <w:color w:val="231F20"/>
          <w:spacing w:val="-9"/>
          <w:sz w:val="20"/>
        </w:rPr>
        <w:t xml:space="preserve"> </w:t>
      </w:r>
      <w:r>
        <w:rPr>
          <w:color w:val="231F20"/>
          <w:spacing w:val="-3"/>
          <w:sz w:val="20"/>
        </w:rPr>
        <w:t>we</w:t>
      </w:r>
      <w:r>
        <w:rPr>
          <w:color w:val="231F20"/>
          <w:spacing w:val="-9"/>
          <w:sz w:val="20"/>
        </w:rPr>
        <w:t xml:space="preserve"> </w:t>
      </w:r>
      <w:r>
        <w:rPr>
          <w:color w:val="231F20"/>
          <w:sz w:val="20"/>
        </w:rPr>
        <w:t>made</w:t>
      </w:r>
      <w:r>
        <w:rPr>
          <w:color w:val="231F20"/>
          <w:spacing w:val="-9"/>
          <w:sz w:val="20"/>
        </w:rPr>
        <w:t xml:space="preserve"> </w:t>
      </w:r>
      <w:r>
        <w:rPr>
          <w:color w:val="231F20"/>
          <w:sz w:val="20"/>
        </w:rPr>
        <w:t>recommendations</w:t>
      </w:r>
      <w:r>
        <w:rPr>
          <w:color w:val="231F20"/>
          <w:spacing w:val="-9"/>
          <w:sz w:val="20"/>
        </w:rPr>
        <w:t xml:space="preserve"> </w:t>
      </w:r>
      <w:r>
        <w:rPr>
          <w:color w:val="231F20"/>
          <w:sz w:val="20"/>
        </w:rPr>
        <w:t>to</w:t>
      </w:r>
      <w:r>
        <w:rPr>
          <w:color w:val="231F20"/>
          <w:spacing w:val="-9"/>
          <w:sz w:val="20"/>
        </w:rPr>
        <w:t xml:space="preserve"> </w:t>
      </w:r>
      <w:r>
        <w:rPr>
          <w:color w:val="231F20"/>
          <w:spacing w:val="-4"/>
          <w:sz w:val="20"/>
        </w:rPr>
        <w:t>improve</w:t>
      </w:r>
      <w:r>
        <w:rPr>
          <w:color w:val="231F20"/>
          <w:spacing w:val="-9"/>
          <w:sz w:val="20"/>
        </w:rPr>
        <w:t xml:space="preserve"> </w:t>
      </w:r>
      <w:r>
        <w:rPr>
          <w:color w:val="231F20"/>
          <w:sz w:val="20"/>
        </w:rPr>
        <w:t>police</w:t>
      </w:r>
      <w:r>
        <w:rPr>
          <w:color w:val="231F20"/>
          <w:spacing w:val="-9"/>
          <w:sz w:val="20"/>
        </w:rPr>
        <w:t xml:space="preserve"> </w:t>
      </w:r>
      <w:r>
        <w:rPr>
          <w:color w:val="231F20"/>
          <w:sz w:val="20"/>
        </w:rPr>
        <w:t>understanding</w:t>
      </w:r>
      <w:r>
        <w:rPr>
          <w:color w:val="231F20"/>
          <w:spacing w:val="-9"/>
          <w:sz w:val="20"/>
        </w:rPr>
        <w:t xml:space="preserve"> </w:t>
      </w:r>
      <w:r>
        <w:rPr>
          <w:color w:val="231F20"/>
          <w:sz w:val="20"/>
        </w:rPr>
        <w:t>of stalking.</w:t>
      </w:r>
      <w:r>
        <w:rPr>
          <w:color w:val="231F20"/>
          <w:position w:val="7"/>
          <w:sz w:val="11"/>
        </w:rPr>
        <w:t xml:space="preserve">2 </w:t>
      </w:r>
      <w:r>
        <w:rPr>
          <w:color w:val="231F20"/>
          <w:sz w:val="20"/>
        </w:rPr>
        <w:t xml:space="preserve">In this </w:t>
      </w:r>
      <w:r>
        <w:rPr>
          <w:color w:val="231F20"/>
          <w:spacing w:val="-3"/>
          <w:sz w:val="20"/>
        </w:rPr>
        <w:t xml:space="preserve">chapter we </w:t>
      </w:r>
      <w:r>
        <w:rPr>
          <w:color w:val="231F20"/>
          <w:sz w:val="20"/>
        </w:rPr>
        <w:t xml:space="preserve">discuss </w:t>
      </w:r>
      <w:r>
        <w:rPr>
          <w:color w:val="231F20"/>
          <w:spacing w:val="-3"/>
          <w:sz w:val="20"/>
        </w:rPr>
        <w:t xml:space="preserve">improving </w:t>
      </w:r>
      <w:r>
        <w:rPr>
          <w:color w:val="231F20"/>
          <w:sz w:val="20"/>
        </w:rPr>
        <w:t xml:space="preserve">the understanding of </w:t>
      </w:r>
      <w:r>
        <w:rPr>
          <w:color w:val="231F20"/>
          <w:spacing w:val="-2"/>
          <w:sz w:val="20"/>
        </w:rPr>
        <w:t xml:space="preserve">everyone </w:t>
      </w:r>
      <w:r>
        <w:rPr>
          <w:color w:val="231F20"/>
          <w:sz w:val="20"/>
        </w:rPr>
        <w:t>who works in the civil and criminal justice</w:t>
      </w:r>
      <w:r>
        <w:rPr>
          <w:color w:val="231F20"/>
          <w:spacing w:val="-33"/>
          <w:sz w:val="20"/>
        </w:rPr>
        <w:t xml:space="preserve"> </w:t>
      </w:r>
      <w:r>
        <w:rPr>
          <w:color w:val="231F20"/>
          <w:sz w:val="20"/>
        </w:rPr>
        <w:t>systems.</w:t>
      </w:r>
    </w:p>
    <w:p w14:paraId="050415E0" w14:textId="77777777" w:rsidR="00894070" w:rsidRDefault="00894070">
      <w:pPr>
        <w:pStyle w:val="BodyText"/>
      </w:pPr>
    </w:p>
    <w:p w14:paraId="08C7EFBF" w14:textId="77777777" w:rsidR="00894070" w:rsidRDefault="00894070">
      <w:pPr>
        <w:pStyle w:val="BodyText"/>
      </w:pPr>
    </w:p>
    <w:p w14:paraId="79451CCB" w14:textId="77777777" w:rsidR="00894070" w:rsidRDefault="00894070">
      <w:pPr>
        <w:pStyle w:val="BodyText"/>
      </w:pPr>
    </w:p>
    <w:p w14:paraId="6B6E909A" w14:textId="77777777" w:rsidR="00894070" w:rsidRDefault="00894070">
      <w:pPr>
        <w:pStyle w:val="BodyText"/>
      </w:pPr>
    </w:p>
    <w:p w14:paraId="0BAE63B4" w14:textId="77777777" w:rsidR="00894070" w:rsidRDefault="00894070">
      <w:pPr>
        <w:pStyle w:val="BodyText"/>
      </w:pPr>
    </w:p>
    <w:p w14:paraId="3C339854" w14:textId="77777777" w:rsidR="00894070" w:rsidRDefault="009F6793">
      <w:pPr>
        <w:pStyle w:val="BodyText"/>
        <w:spacing w:before="7"/>
        <w:rPr>
          <w:sz w:val="16"/>
        </w:rPr>
      </w:pPr>
      <w:r>
        <w:pict w14:anchorId="30A73B9E">
          <v:line id="_x0000_s1519" style="position:absolute;z-index:251527168;mso-wrap-distance-left:0;mso-wrap-distance-right:0;mso-position-horizontal-relative:page" from="79.35pt,13.95pt" to="515.9pt,13.95pt" strokecolor="#f8cabc" strokeweight="1pt">
            <w10:wrap type="topAndBottom" anchorx="page"/>
          </v:line>
        </w:pict>
      </w:r>
    </w:p>
    <w:p w14:paraId="2267A13D" w14:textId="77777777" w:rsidR="00894070" w:rsidRDefault="009B7AFD">
      <w:pPr>
        <w:pStyle w:val="ListParagraph"/>
        <w:numPr>
          <w:ilvl w:val="0"/>
          <w:numId w:val="134"/>
        </w:numPr>
        <w:tabs>
          <w:tab w:val="left" w:pos="1800"/>
          <w:tab w:val="left" w:pos="1802"/>
        </w:tabs>
        <w:spacing w:before="91" w:line="170" w:lineRule="exact"/>
        <w:rPr>
          <w:sz w:val="13"/>
        </w:rPr>
      </w:pPr>
      <w:r>
        <w:rPr>
          <w:color w:val="231F20"/>
          <w:sz w:val="13"/>
        </w:rPr>
        <w:t>We</w:t>
      </w:r>
      <w:r>
        <w:rPr>
          <w:color w:val="231F20"/>
          <w:spacing w:val="2"/>
          <w:sz w:val="13"/>
        </w:rPr>
        <w:t xml:space="preserve"> </w:t>
      </w:r>
      <w:r>
        <w:rPr>
          <w:color w:val="231F20"/>
          <w:sz w:val="13"/>
        </w:rPr>
        <w:t>discuss</w:t>
      </w:r>
      <w:r>
        <w:rPr>
          <w:color w:val="231F20"/>
          <w:spacing w:val="2"/>
          <w:sz w:val="13"/>
        </w:rPr>
        <w:t xml:space="preserve"> </w:t>
      </w:r>
      <w:r>
        <w:rPr>
          <w:color w:val="231F20"/>
          <w:sz w:val="13"/>
        </w:rPr>
        <w:t>alternative</w:t>
      </w:r>
      <w:r>
        <w:rPr>
          <w:color w:val="231F20"/>
          <w:spacing w:val="3"/>
          <w:sz w:val="13"/>
        </w:rPr>
        <w:t xml:space="preserve"> </w:t>
      </w:r>
      <w:r>
        <w:rPr>
          <w:color w:val="231F20"/>
          <w:sz w:val="13"/>
        </w:rPr>
        <w:t>pathways</w:t>
      </w:r>
      <w:r>
        <w:rPr>
          <w:color w:val="231F20"/>
          <w:spacing w:val="2"/>
          <w:sz w:val="13"/>
        </w:rPr>
        <w:t xml:space="preserve"> </w:t>
      </w:r>
      <w:r>
        <w:rPr>
          <w:color w:val="231F20"/>
          <w:sz w:val="13"/>
        </w:rPr>
        <w:t>to</w:t>
      </w:r>
      <w:r>
        <w:rPr>
          <w:color w:val="231F20"/>
          <w:spacing w:val="3"/>
          <w:sz w:val="13"/>
        </w:rPr>
        <w:t xml:space="preserve"> </w:t>
      </w:r>
      <w:r>
        <w:rPr>
          <w:color w:val="231F20"/>
          <w:sz w:val="13"/>
        </w:rPr>
        <w:t>the</w:t>
      </w:r>
      <w:r>
        <w:rPr>
          <w:color w:val="231F20"/>
          <w:spacing w:val="2"/>
          <w:sz w:val="13"/>
        </w:rPr>
        <w:t xml:space="preserve"> </w:t>
      </w:r>
      <w:r>
        <w:rPr>
          <w:color w:val="231F20"/>
          <w:sz w:val="13"/>
        </w:rPr>
        <w:t>justice</w:t>
      </w:r>
      <w:r>
        <w:rPr>
          <w:color w:val="231F20"/>
          <w:spacing w:val="2"/>
          <w:sz w:val="13"/>
        </w:rPr>
        <w:t xml:space="preserve"> </w:t>
      </w:r>
      <w:r>
        <w:rPr>
          <w:color w:val="231F20"/>
          <w:sz w:val="13"/>
        </w:rPr>
        <w:t>system</w:t>
      </w:r>
      <w:r>
        <w:rPr>
          <w:color w:val="231F20"/>
          <w:spacing w:val="3"/>
          <w:sz w:val="13"/>
        </w:rPr>
        <w:t xml:space="preserve"> </w:t>
      </w:r>
      <w:r>
        <w:rPr>
          <w:color w:val="231F20"/>
          <w:sz w:val="13"/>
        </w:rPr>
        <w:t>for</w:t>
      </w:r>
      <w:r>
        <w:rPr>
          <w:color w:val="231F20"/>
          <w:spacing w:val="2"/>
          <w:sz w:val="13"/>
        </w:rPr>
        <w:t xml:space="preserve"> </w:t>
      </w:r>
      <w:r>
        <w:rPr>
          <w:color w:val="231F20"/>
          <w:sz w:val="13"/>
        </w:rPr>
        <w:t>children</w:t>
      </w:r>
      <w:r>
        <w:rPr>
          <w:color w:val="231F20"/>
          <w:spacing w:val="3"/>
          <w:sz w:val="13"/>
        </w:rPr>
        <w:t xml:space="preserve"> </w:t>
      </w:r>
      <w:r>
        <w:rPr>
          <w:color w:val="231F20"/>
          <w:sz w:val="13"/>
        </w:rPr>
        <w:t>and</w:t>
      </w:r>
      <w:r>
        <w:rPr>
          <w:color w:val="231F20"/>
          <w:spacing w:val="2"/>
          <w:sz w:val="13"/>
        </w:rPr>
        <w:t xml:space="preserve"> </w:t>
      </w:r>
      <w:r>
        <w:rPr>
          <w:color w:val="231F20"/>
          <w:sz w:val="13"/>
        </w:rPr>
        <w:t>young</w:t>
      </w:r>
      <w:r>
        <w:rPr>
          <w:color w:val="231F20"/>
          <w:spacing w:val="3"/>
          <w:sz w:val="13"/>
        </w:rPr>
        <w:t xml:space="preserve"> </w:t>
      </w:r>
      <w:r>
        <w:rPr>
          <w:color w:val="231F20"/>
          <w:sz w:val="13"/>
        </w:rPr>
        <w:t>people</w:t>
      </w:r>
      <w:r>
        <w:rPr>
          <w:color w:val="231F20"/>
          <w:spacing w:val="2"/>
          <w:sz w:val="13"/>
        </w:rPr>
        <w:t xml:space="preserve"> </w:t>
      </w:r>
      <w:r>
        <w:rPr>
          <w:color w:val="231F20"/>
          <w:sz w:val="13"/>
        </w:rPr>
        <w:t>in</w:t>
      </w:r>
      <w:r>
        <w:rPr>
          <w:color w:val="231F20"/>
          <w:spacing w:val="2"/>
          <w:sz w:val="13"/>
        </w:rPr>
        <w:t xml:space="preserve"> </w:t>
      </w:r>
      <w:r>
        <w:rPr>
          <w:color w:val="231F20"/>
          <w:sz w:val="13"/>
        </w:rPr>
        <w:t>Chapter</w:t>
      </w:r>
      <w:r>
        <w:rPr>
          <w:color w:val="231F20"/>
          <w:spacing w:val="3"/>
          <w:sz w:val="13"/>
        </w:rPr>
        <w:t xml:space="preserve"> </w:t>
      </w:r>
      <w:r>
        <w:rPr>
          <w:color w:val="231F20"/>
          <w:sz w:val="13"/>
        </w:rPr>
        <w:t>6.</w:t>
      </w:r>
      <w:r>
        <w:rPr>
          <w:color w:val="231F20"/>
          <w:spacing w:val="2"/>
          <w:sz w:val="13"/>
        </w:rPr>
        <w:t xml:space="preserve"> </w:t>
      </w:r>
      <w:r>
        <w:rPr>
          <w:color w:val="231F20"/>
          <w:sz w:val="13"/>
        </w:rPr>
        <w:t>We</w:t>
      </w:r>
      <w:r>
        <w:rPr>
          <w:color w:val="231F20"/>
          <w:spacing w:val="3"/>
          <w:sz w:val="13"/>
        </w:rPr>
        <w:t xml:space="preserve"> </w:t>
      </w:r>
      <w:r>
        <w:rPr>
          <w:color w:val="231F20"/>
          <w:sz w:val="13"/>
        </w:rPr>
        <w:t>discuss</w:t>
      </w:r>
      <w:r>
        <w:rPr>
          <w:color w:val="231F20"/>
          <w:spacing w:val="2"/>
          <w:sz w:val="13"/>
        </w:rPr>
        <w:t xml:space="preserve"> </w:t>
      </w:r>
      <w:r>
        <w:rPr>
          <w:color w:val="231F20"/>
          <w:sz w:val="13"/>
        </w:rPr>
        <w:t>early</w:t>
      </w:r>
      <w:r>
        <w:rPr>
          <w:color w:val="231F20"/>
          <w:spacing w:val="3"/>
          <w:sz w:val="13"/>
        </w:rPr>
        <w:t xml:space="preserve"> </w:t>
      </w:r>
      <w:r>
        <w:rPr>
          <w:color w:val="231F20"/>
          <w:sz w:val="13"/>
        </w:rPr>
        <w:t>intervention</w:t>
      </w:r>
    </w:p>
    <w:p w14:paraId="7CA16903" w14:textId="77777777" w:rsidR="00894070" w:rsidRDefault="009F6793">
      <w:pPr>
        <w:spacing w:line="160" w:lineRule="exact"/>
        <w:ind w:left="1801"/>
        <w:rPr>
          <w:sz w:val="13"/>
        </w:rPr>
      </w:pPr>
      <w:r>
        <w:pict w14:anchorId="1AA6F737">
          <v:shape id="_x0000_s1518" type="#_x0000_t202" style="position:absolute;left:0;text-align:left;margin-left:36pt;margin-top:3.7pt;width:13.6pt;height:14.1pt;z-index:251601920;mso-position-horizontal-relative:page" filled="f" stroked="f">
            <v:textbox inset="0,0,0,0">
              <w:txbxContent>
                <w:p w14:paraId="73F2E166" w14:textId="77777777" w:rsidR="00894070" w:rsidRDefault="009B7AFD">
                  <w:pPr>
                    <w:spacing w:line="282" w:lineRule="exact"/>
                    <w:rPr>
                      <w:b/>
                      <w:sz w:val="24"/>
                    </w:rPr>
                  </w:pPr>
                  <w:r>
                    <w:rPr>
                      <w:b/>
                      <w:color w:val="EA5B50"/>
                      <w:sz w:val="24"/>
                    </w:rPr>
                    <w:t>54</w:t>
                  </w:r>
                </w:p>
              </w:txbxContent>
            </v:textbox>
            <w10:wrap anchorx="page"/>
          </v:shape>
        </w:pict>
      </w:r>
      <w:r w:rsidR="009B7AFD">
        <w:rPr>
          <w:color w:val="231F20"/>
          <w:sz w:val="13"/>
        </w:rPr>
        <w:t>for adults in Chapter 8.</w:t>
      </w:r>
    </w:p>
    <w:p w14:paraId="57469FB5" w14:textId="77777777" w:rsidR="00894070" w:rsidRDefault="009B7AFD">
      <w:pPr>
        <w:pStyle w:val="ListParagraph"/>
        <w:numPr>
          <w:ilvl w:val="0"/>
          <w:numId w:val="134"/>
        </w:numPr>
        <w:tabs>
          <w:tab w:val="left" w:pos="1800"/>
          <w:tab w:val="left" w:pos="1802"/>
        </w:tabs>
        <w:spacing w:line="170"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December</w:t>
      </w:r>
      <w:r>
        <w:rPr>
          <w:color w:val="231F20"/>
          <w:spacing w:val="-3"/>
          <w:sz w:val="13"/>
        </w:rPr>
        <w:t xml:space="preserve"> </w:t>
      </w:r>
      <w:r>
        <w:rPr>
          <w:color w:val="231F20"/>
          <w:sz w:val="13"/>
        </w:rPr>
        <w:t>2021).</w:t>
      </w:r>
    </w:p>
    <w:p w14:paraId="4B69DA44" w14:textId="77777777" w:rsidR="00894070" w:rsidRDefault="00894070">
      <w:pPr>
        <w:spacing w:line="170" w:lineRule="exact"/>
        <w:rPr>
          <w:sz w:val="13"/>
        </w:rPr>
        <w:sectPr w:rsidR="00894070">
          <w:pgSz w:w="11910" w:h="16840"/>
          <w:pgMar w:top="860" w:right="420" w:bottom="280" w:left="580" w:header="567" w:footer="0" w:gutter="0"/>
          <w:cols w:space="720"/>
        </w:sectPr>
      </w:pPr>
    </w:p>
    <w:p w14:paraId="36E731AE" w14:textId="77777777" w:rsidR="00894070" w:rsidRDefault="00894070">
      <w:pPr>
        <w:pStyle w:val="BodyText"/>
      </w:pPr>
    </w:p>
    <w:p w14:paraId="5E69A4EB" w14:textId="77777777" w:rsidR="00894070" w:rsidRDefault="00894070">
      <w:pPr>
        <w:pStyle w:val="BodyText"/>
      </w:pPr>
    </w:p>
    <w:p w14:paraId="15E8BADE" w14:textId="77777777" w:rsidR="00894070" w:rsidRDefault="00894070">
      <w:pPr>
        <w:pStyle w:val="BodyText"/>
      </w:pPr>
    </w:p>
    <w:p w14:paraId="1C5594EB" w14:textId="77777777" w:rsidR="00894070" w:rsidRDefault="00894070">
      <w:pPr>
        <w:pStyle w:val="BodyText"/>
        <w:spacing w:before="6"/>
        <w:rPr>
          <w:sz w:val="14"/>
        </w:rPr>
      </w:pPr>
    </w:p>
    <w:p w14:paraId="1A3EACAD" w14:textId="77777777" w:rsidR="00894070" w:rsidRDefault="009B7AFD">
      <w:pPr>
        <w:pStyle w:val="Heading7"/>
        <w:spacing w:before="115" w:line="184" w:lineRule="auto"/>
        <w:ind w:right="1459"/>
      </w:pPr>
      <w:bookmarkStart w:id="75" w:name="What_information_about_stalking_needs_to"/>
      <w:bookmarkStart w:id="76" w:name="_bookmark39"/>
      <w:bookmarkEnd w:id="75"/>
      <w:bookmarkEnd w:id="76"/>
      <w:r>
        <w:rPr>
          <w:color w:val="EA5B50"/>
        </w:rPr>
        <w:t>What information about stalking needs to be common knowledge?</w:t>
      </w:r>
    </w:p>
    <w:p w14:paraId="71733040" w14:textId="77777777" w:rsidR="00894070" w:rsidRDefault="009B7AFD">
      <w:pPr>
        <w:pStyle w:val="ListParagraph"/>
        <w:numPr>
          <w:ilvl w:val="1"/>
          <w:numId w:val="177"/>
        </w:numPr>
        <w:tabs>
          <w:tab w:val="left" w:pos="1801"/>
          <w:tab w:val="left" w:pos="1802"/>
        </w:tabs>
        <w:spacing w:before="162" w:line="206" w:lineRule="auto"/>
        <w:ind w:right="1386"/>
        <w:rPr>
          <w:sz w:val="20"/>
        </w:rPr>
      </w:pPr>
      <w:r>
        <w:rPr>
          <w:color w:val="231F20"/>
          <w:sz w:val="20"/>
        </w:rPr>
        <w:t xml:space="preserve">Guided </w:t>
      </w:r>
      <w:r>
        <w:rPr>
          <w:color w:val="231F20"/>
          <w:spacing w:val="-3"/>
          <w:sz w:val="20"/>
        </w:rPr>
        <w:t xml:space="preserve">by </w:t>
      </w:r>
      <w:r>
        <w:rPr>
          <w:color w:val="231F20"/>
          <w:sz w:val="20"/>
        </w:rPr>
        <w:t xml:space="preserve">existing and ongoing </w:t>
      </w:r>
      <w:r>
        <w:rPr>
          <w:color w:val="231F20"/>
          <w:spacing w:val="-3"/>
          <w:sz w:val="20"/>
        </w:rPr>
        <w:t xml:space="preserve">research, </w:t>
      </w:r>
      <w:r>
        <w:rPr>
          <w:color w:val="231F20"/>
          <w:sz w:val="20"/>
        </w:rPr>
        <w:t>education should challenge and correct common</w:t>
      </w:r>
      <w:r>
        <w:rPr>
          <w:color w:val="231F20"/>
          <w:spacing w:val="-8"/>
          <w:sz w:val="20"/>
        </w:rPr>
        <w:t xml:space="preserve"> </w:t>
      </w:r>
      <w:r>
        <w:rPr>
          <w:color w:val="231F20"/>
          <w:sz w:val="20"/>
        </w:rPr>
        <w:t>myths</w:t>
      </w:r>
      <w:r>
        <w:rPr>
          <w:color w:val="231F20"/>
          <w:spacing w:val="-8"/>
          <w:sz w:val="20"/>
        </w:rPr>
        <w:t xml:space="preserve"> </w:t>
      </w:r>
      <w:r>
        <w:rPr>
          <w:color w:val="231F20"/>
          <w:sz w:val="20"/>
        </w:rPr>
        <w:t>about</w:t>
      </w:r>
      <w:r>
        <w:rPr>
          <w:color w:val="231F20"/>
          <w:spacing w:val="-8"/>
          <w:sz w:val="20"/>
        </w:rPr>
        <w:t xml:space="preserve"> </w:t>
      </w:r>
      <w:r>
        <w:rPr>
          <w:color w:val="231F20"/>
          <w:sz w:val="20"/>
        </w:rPr>
        <w:t>stalking.</w:t>
      </w:r>
      <w:r>
        <w:rPr>
          <w:color w:val="231F20"/>
          <w:spacing w:val="-7"/>
          <w:sz w:val="20"/>
        </w:rPr>
        <w:t xml:space="preserve"> </w:t>
      </w:r>
      <w:r>
        <w:rPr>
          <w:color w:val="231F20"/>
          <w:spacing w:val="-6"/>
          <w:sz w:val="20"/>
        </w:rPr>
        <w:t>We</w:t>
      </w:r>
      <w:r>
        <w:rPr>
          <w:color w:val="231F20"/>
          <w:spacing w:val="-8"/>
          <w:sz w:val="20"/>
        </w:rPr>
        <w:t xml:space="preserve"> </w:t>
      </w:r>
      <w:r>
        <w:rPr>
          <w:color w:val="231F20"/>
          <w:sz w:val="20"/>
        </w:rPr>
        <w:t>identify</w:t>
      </w:r>
      <w:r>
        <w:rPr>
          <w:color w:val="231F20"/>
          <w:spacing w:val="-8"/>
          <w:sz w:val="20"/>
        </w:rPr>
        <w:t xml:space="preserve"> </w:t>
      </w:r>
      <w:r>
        <w:rPr>
          <w:color w:val="231F20"/>
          <w:sz w:val="20"/>
        </w:rPr>
        <w:t>some</w:t>
      </w:r>
      <w:r>
        <w:rPr>
          <w:color w:val="231F20"/>
          <w:spacing w:val="-8"/>
          <w:sz w:val="20"/>
        </w:rPr>
        <w:t xml:space="preserve"> </w:t>
      </w:r>
      <w:r>
        <w:rPr>
          <w:color w:val="231F20"/>
          <w:sz w:val="20"/>
        </w:rPr>
        <w:t>of</w:t>
      </w:r>
      <w:r>
        <w:rPr>
          <w:color w:val="231F20"/>
          <w:spacing w:val="-7"/>
          <w:sz w:val="20"/>
        </w:rPr>
        <w:t xml:space="preserve"> </w:t>
      </w:r>
      <w:r>
        <w:rPr>
          <w:color w:val="231F20"/>
          <w:sz w:val="20"/>
        </w:rPr>
        <w:t>these</w:t>
      </w:r>
      <w:r>
        <w:rPr>
          <w:color w:val="231F20"/>
          <w:spacing w:val="-8"/>
          <w:sz w:val="20"/>
        </w:rPr>
        <w:t xml:space="preserve"> </w:t>
      </w:r>
      <w:r>
        <w:rPr>
          <w:color w:val="231F20"/>
          <w:sz w:val="20"/>
        </w:rPr>
        <w:t>myths</w:t>
      </w:r>
      <w:r>
        <w:rPr>
          <w:color w:val="231F20"/>
          <w:spacing w:val="-8"/>
          <w:sz w:val="20"/>
        </w:rPr>
        <w:t xml:space="preserve"> </w:t>
      </w:r>
      <w:r>
        <w:rPr>
          <w:color w:val="231F20"/>
          <w:spacing w:val="-3"/>
          <w:sz w:val="20"/>
        </w:rPr>
        <w:t>below</w:t>
      </w:r>
      <w:r>
        <w:rPr>
          <w:color w:val="231F20"/>
          <w:spacing w:val="-7"/>
          <w:sz w:val="20"/>
        </w:rPr>
        <w:t xml:space="preserve"> </w:t>
      </w:r>
      <w:r>
        <w:rPr>
          <w:color w:val="231F20"/>
          <w:sz w:val="20"/>
        </w:rPr>
        <w:t>(see</w:t>
      </w:r>
      <w:r>
        <w:rPr>
          <w:color w:val="231F20"/>
          <w:spacing w:val="-8"/>
          <w:sz w:val="20"/>
        </w:rPr>
        <w:t xml:space="preserve"> </w:t>
      </w:r>
      <w:r>
        <w:rPr>
          <w:color w:val="231F20"/>
          <w:spacing w:val="-6"/>
          <w:sz w:val="20"/>
        </w:rPr>
        <w:t>Table</w:t>
      </w:r>
      <w:r>
        <w:rPr>
          <w:color w:val="231F20"/>
          <w:spacing w:val="-8"/>
          <w:sz w:val="20"/>
        </w:rPr>
        <w:t xml:space="preserve"> </w:t>
      </w:r>
      <w:r>
        <w:rPr>
          <w:color w:val="231F20"/>
          <w:spacing w:val="-4"/>
          <w:sz w:val="20"/>
        </w:rPr>
        <w:t>9).</w:t>
      </w:r>
    </w:p>
    <w:p w14:paraId="6B0F0B6C" w14:textId="77777777" w:rsidR="00894070" w:rsidRDefault="009B7AFD">
      <w:pPr>
        <w:pStyle w:val="ListParagraph"/>
        <w:numPr>
          <w:ilvl w:val="1"/>
          <w:numId w:val="177"/>
        </w:numPr>
        <w:tabs>
          <w:tab w:val="left" w:pos="1801"/>
          <w:tab w:val="left" w:pos="1802"/>
        </w:tabs>
        <w:spacing w:before="90"/>
        <w:rPr>
          <w:sz w:val="20"/>
        </w:rPr>
      </w:pPr>
      <w:proofErr w:type="gramStart"/>
      <w:r>
        <w:rPr>
          <w:color w:val="231F20"/>
          <w:sz w:val="20"/>
        </w:rPr>
        <w:t>On</w:t>
      </w:r>
      <w:r>
        <w:rPr>
          <w:color w:val="231F20"/>
          <w:spacing w:val="-6"/>
          <w:sz w:val="20"/>
        </w:rPr>
        <w:t xml:space="preserve"> </w:t>
      </w:r>
      <w:r>
        <w:rPr>
          <w:color w:val="231F20"/>
          <w:sz w:val="20"/>
        </w:rPr>
        <w:t>the</w:t>
      </w:r>
      <w:r>
        <w:rPr>
          <w:color w:val="231F20"/>
          <w:spacing w:val="-5"/>
          <w:sz w:val="20"/>
        </w:rPr>
        <w:t xml:space="preserve"> </w:t>
      </w:r>
      <w:r>
        <w:rPr>
          <w:color w:val="231F20"/>
          <w:sz w:val="20"/>
        </w:rPr>
        <w:t>basis</w:t>
      </w:r>
      <w:r>
        <w:rPr>
          <w:color w:val="231F20"/>
          <w:spacing w:val="-5"/>
          <w:sz w:val="20"/>
        </w:rPr>
        <w:t xml:space="preserve"> </w:t>
      </w:r>
      <w:r>
        <w:rPr>
          <w:color w:val="231F20"/>
          <w:sz w:val="20"/>
        </w:rPr>
        <w:t>of</w:t>
      </w:r>
      <w:proofErr w:type="gramEnd"/>
      <w:r>
        <w:rPr>
          <w:color w:val="231F20"/>
          <w:spacing w:val="-5"/>
          <w:sz w:val="20"/>
        </w:rPr>
        <w:t xml:space="preserve"> </w:t>
      </w:r>
      <w:r>
        <w:rPr>
          <w:color w:val="231F20"/>
          <w:sz w:val="20"/>
        </w:rPr>
        <w:t>the</w:t>
      </w:r>
      <w:r>
        <w:rPr>
          <w:color w:val="231F20"/>
          <w:spacing w:val="-6"/>
          <w:sz w:val="20"/>
        </w:rPr>
        <w:t xml:space="preserve"> </w:t>
      </w:r>
      <w:r>
        <w:rPr>
          <w:color w:val="231F20"/>
          <w:sz w:val="20"/>
        </w:rPr>
        <w:t>available</w:t>
      </w:r>
      <w:r>
        <w:rPr>
          <w:color w:val="231F20"/>
          <w:spacing w:val="-5"/>
          <w:sz w:val="20"/>
        </w:rPr>
        <w:t xml:space="preserve"> </w:t>
      </w:r>
      <w:r>
        <w:rPr>
          <w:color w:val="231F20"/>
          <w:spacing w:val="-3"/>
          <w:sz w:val="20"/>
        </w:rPr>
        <w:t>research,</w:t>
      </w:r>
      <w:r>
        <w:rPr>
          <w:color w:val="231F20"/>
          <w:spacing w:val="-5"/>
          <w:sz w:val="20"/>
        </w:rPr>
        <w:t xml:space="preserve"> </w:t>
      </w:r>
      <w:r>
        <w:rPr>
          <w:color w:val="231F20"/>
          <w:spacing w:val="-2"/>
          <w:sz w:val="20"/>
        </w:rPr>
        <w:t>everyone</w:t>
      </w:r>
      <w:r>
        <w:rPr>
          <w:color w:val="231F20"/>
          <w:spacing w:val="-6"/>
          <w:sz w:val="20"/>
        </w:rPr>
        <w:t xml:space="preserve"> </w:t>
      </w: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z w:val="20"/>
        </w:rPr>
        <w:t>community</w:t>
      </w:r>
      <w:r>
        <w:rPr>
          <w:color w:val="231F20"/>
          <w:spacing w:val="-5"/>
          <w:sz w:val="20"/>
        </w:rPr>
        <w:t xml:space="preserve"> </w:t>
      </w:r>
      <w:r>
        <w:rPr>
          <w:color w:val="231F20"/>
          <w:sz w:val="20"/>
        </w:rPr>
        <w:t>should</w:t>
      </w:r>
      <w:r>
        <w:rPr>
          <w:color w:val="231F20"/>
          <w:spacing w:val="-6"/>
          <w:sz w:val="20"/>
        </w:rPr>
        <w:t xml:space="preserve"> </w:t>
      </w:r>
      <w:r>
        <w:rPr>
          <w:color w:val="231F20"/>
          <w:sz w:val="20"/>
        </w:rPr>
        <w:t>be</w:t>
      </w:r>
      <w:r>
        <w:rPr>
          <w:color w:val="231F20"/>
          <w:spacing w:val="-5"/>
          <w:sz w:val="20"/>
        </w:rPr>
        <w:t xml:space="preserve"> </w:t>
      </w:r>
      <w:r>
        <w:rPr>
          <w:color w:val="231F20"/>
          <w:sz w:val="20"/>
        </w:rPr>
        <w:t>able</w:t>
      </w:r>
      <w:r>
        <w:rPr>
          <w:color w:val="231F20"/>
          <w:spacing w:val="-5"/>
          <w:sz w:val="20"/>
        </w:rPr>
        <w:t xml:space="preserve"> </w:t>
      </w:r>
      <w:r>
        <w:rPr>
          <w:color w:val="231F20"/>
          <w:spacing w:val="-3"/>
          <w:sz w:val="20"/>
        </w:rPr>
        <w:t>to:</w:t>
      </w:r>
    </w:p>
    <w:p w14:paraId="3B3617F5"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 xml:space="preserve">identify stalking and </w:t>
      </w:r>
      <w:r>
        <w:rPr>
          <w:color w:val="231F20"/>
          <w:spacing w:val="-3"/>
          <w:sz w:val="20"/>
        </w:rPr>
        <w:t xml:space="preserve">know </w:t>
      </w:r>
      <w:r>
        <w:rPr>
          <w:color w:val="231F20"/>
          <w:sz w:val="20"/>
        </w:rPr>
        <w:t>it is a criminal</w:t>
      </w:r>
      <w:r>
        <w:rPr>
          <w:color w:val="231F20"/>
          <w:spacing w:val="-34"/>
          <w:sz w:val="20"/>
        </w:rPr>
        <w:t xml:space="preserve"> </w:t>
      </w:r>
      <w:r>
        <w:rPr>
          <w:color w:val="231F20"/>
          <w:sz w:val="20"/>
        </w:rPr>
        <w:t>offence</w:t>
      </w:r>
    </w:p>
    <w:p w14:paraId="2541F73C" w14:textId="77777777" w:rsidR="00894070" w:rsidRDefault="009B7AFD">
      <w:pPr>
        <w:pStyle w:val="ListParagraph"/>
        <w:numPr>
          <w:ilvl w:val="2"/>
          <w:numId w:val="177"/>
        </w:numPr>
        <w:tabs>
          <w:tab w:val="left" w:pos="2141"/>
          <w:tab w:val="left" w:pos="2142"/>
        </w:tabs>
        <w:spacing w:before="48" w:line="259" w:lineRule="exact"/>
        <w:ind w:hanging="340"/>
        <w:rPr>
          <w:sz w:val="20"/>
        </w:rPr>
      </w:pPr>
      <w:r>
        <w:rPr>
          <w:color w:val="231F20"/>
          <w:spacing w:val="-3"/>
          <w:sz w:val="20"/>
        </w:rPr>
        <w:t>know</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different</w:t>
      </w:r>
      <w:r>
        <w:rPr>
          <w:color w:val="231F20"/>
          <w:spacing w:val="-5"/>
          <w:sz w:val="20"/>
        </w:rPr>
        <w:t xml:space="preserve"> </w:t>
      </w:r>
      <w:r>
        <w:rPr>
          <w:color w:val="231F20"/>
          <w:sz w:val="20"/>
        </w:rPr>
        <w:t>forms</w:t>
      </w:r>
      <w:r>
        <w:rPr>
          <w:color w:val="231F20"/>
          <w:spacing w:val="-5"/>
          <w:sz w:val="20"/>
        </w:rPr>
        <w:t xml:space="preserve"> </w:t>
      </w:r>
      <w:r>
        <w:rPr>
          <w:color w:val="231F20"/>
          <w:sz w:val="20"/>
        </w:rPr>
        <w:t>stalking</w:t>
      </w:r>
      <w:r>
        <w:rPr>
          <w:color w:val="231F20"/>
          <w:spacing w:val="-5"/>
          <w:sz w:val="20"/>
        </w:rPr>
        <w:t xml:space="preserve"> </w:t>
      </w:r>
      <w:r>
        <w:rPr>
          <w:color w:val="231F20"/>
          <w:sz w:val="20"/>
        </w:rPr>
        <w:t>can</w:t>
      </w:r>
      <w:r>
        <w:rPr>
          <w:color w:val="231F20"/>
          <w:spacing w:val="-5"/>
          <w:sz w:val="20"/>
        </w:rPr>
        <w:t xml:space="preserve"> </w:t>
      </w:r>
      <w:r>
        <w:rPr>
          <w:color w:val="231F20"/>
          <w:spacing w:val="-3"/>
          <w:sz w:val="20"/>
        </w:rPr>
        <w:t>take,</w:t>
      </w:r>
      <w:r>
        <w:rPr>
          <w:color w:val="231F20"/>
          <w:spacing w:val="-5"/>
          <w:sz w:val="20"/>
        </w:rPr>
        <w:t xml:space="preserve"> </w:t>
      </w:r>
      <w:r>
        <w:rPr>
          <w:color w:val="231F20"/>
          <w:sz w:val="20"/>
        </w:rPr>
        <w:t>including</w:t>
      </w:r>
      <w:r>
        <w:rPr>
          <w:color w:val="231F20"/>
          <w:spacing w:val="-5"/>
          <w:sz w:val="20"/>
        </w:rPr>
        <w:t xml:space="preserve"> </w:t>
      </w:r>
      <w:r>
        <w:rPr>
          <w:color w:val="231F20"/>
          <w:sz w:val="20"/>
        </w:rPr>
        <w:t>in</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family</w:t>
      </w:r>
      <w:r>
        <w:rPr>
          <w:color w:val="231F20"/>
          <w:spacing w:val="-5"/>
          <w:sz w:val="20"/>
        </w:rPr>
        <w:t xml:space="preserve"> </w:t>
      </w:r>
      <w:r>
        <w:rPr>
          <w:color w:val="231F20"/>
          <w:sz w:val="20"/>
        </w:rPr>
        <w:t>violence</w:t>
      </w:r>
      <w:r>
        <w:rPr>
          <w:color w:val="231F20"/>
          <w:spacing w:val="-5"/>
          <w:sz w:val="20"/>
        </w:rPr>
        <w:t xml:space="preserve"> </w:t>
      </w:r>
      <w:r>
        <w:rPr>
          <w:color w:val="231F20"/>
          <w:spacing w:val="-3"/>
          <w:sz w:val="20"/>
        </w:rPr>
        <w:t>context</w:t>
      </w:r>
    </w:p>
    <w:p w14:paraId="6EB67B7B" w14:textId="77777777" w:rsidR="00894070" w:rsidRDefault="009B7AFD">
      <w:pPr>
        <w:pStyle w:val="BodyText"/>
        <w:spacing w:line="259" w:lineRule="exact"/>
        <w:ind w:left="1288" w:right="6219"/>
        <w:jc w:val="center"/>
        <w:rPr>
          <w:sz w:val="11"/>
        </w:rPr>
      </w:pPr>
      <w:r>
        <w:rPr>
          <w:color w:val="231F20"/>
        </w:rPr>
        <w:t>and cyberstalking</w:t>
      </w:r>
      <w:r>
        <w:rPr>
          <w:color w:val="231F20"/>
          <w:position w:val="7"/>
          <w:sz w:val="11"/>
        </w:rPr>
        <w:t>3</w:t>
      </w:r>
    </w:p>
    <w:p w14:paraId="69AC10D9" w14:textId="77777777" w:rsidR="00894070" w:rsidRDefault="009B7AFD">
      <w:pPr>
        <w:pStyle w:val="ListParagraph"/>
        <w:numPr>
          <w:ilvl w:val="2"/>
          <w:numId w:val="177"/>
        </w:numPr>
        <w:tabs>
          <w:tab w:val="left" w:pos="2141"/>
          <w:tab w:val="left" w:pos="2142"/>
        </w:tabs>
        <w:spacing w:before="47"/>
        <w:ind w:hanging="340"/>
        <w:rPr>
          <w:sz w:val="11"/>
        </w:rPr>
      </w:pPr>
      <w:r>
        <w:rPr>
          <w:color w:val="231F20"/>
          <w:spacing w:val="-3"/>
          <w:sz w:val="20"/>
        </w:rPr>
        <w:t xml:space="preserve">know how </w:t>
      </w:r>
      <w:r>
        <w:rPr>
          <w:color w:val="231F20"/>
          <w:sz w:val="20"/>
        </w:rPr>
        <w:t xml:space="preserve">stalking is </w:t>
      </w:r>
      <w:r>
        <w:rPr>
          <w:color w:val="231F20"/>
          <w:spacing w:val="-3"/>
          <w:sz w:val="20"/>
        </w:rPr>
        <w:t xml:space="preserve">different from </w:t>
      </w:r>
      <w:r>
        <w:rPr>
          <w:color w:val="231F20"/>
          <w:sz w:val="20"/>
        </w:rPr>
        <w:t>harassment and similar</w:t>
      </w:r>
      <w:r>
        <w:rPr>
          <w:color w:val="231F20"/>
          <w:spacing w:val="-29"/>
          <w:sz w:val="20"/>
        </w:rPr>
        <w:t xml:space="preserve"> </w:t>
      </w:r>
      <w:r>
        <w:rPr>
          <w:color w:val="231F20"/>
          <w:sz w:val="20"/>
        </w:rPr>
        <w:t>conduct</w:t>
      </w:r>
      <w:r>
        <w:rPr>
          <w:color w:val="231F20"/>
          <w:position w:val="7"/>
          <w:sz w:val="11"/>
        </w:rPr>
        <w:t>4</w:t>
      </w:r>
    </w:p>
    <w:p w14:paraId="090F35B8" w14:textId="77777777" w:rsidR="00894070" w:rsidRDefault="009B7AFD">
      <w:pPr>
        <w:pStyle w:val="ListParagraph"/>
        <w:numPr>
          <w:ilvl w:val="2"/>
          <w:numId w:val="177"/>
        </w:numPr>
        <w:tabs>
          <w:tab w:val="left" w:pos="2141"/>
          <w:tab w:val="left" w:pos="2142"/>
        </w:tabs>
        <w:spacing w:before="80" w:line="206" w:lineRule="auto"/>
        <w:ind w:right="1487" w:hanging="340"/>
        <w:rPr>
          <w:sz w:val="11"/>
        </w:rPr>
      </w:pPr>
      <w:r>
        <w:rPr>
          <w:color w:val="231F20"/>
          <w:spacing w:val="-3"/>
          <w:sz w:val="20"/>
        </w:rPr>
        <w:t>know</w:t>
      </w:r>
      <w:r>
        <w:rPr>
          <w:color w:val="231F20"/>
          <w:spacing w:val="-8"/>
          <w:sz w:val="20"/>
        </w:rPr>
        <w:t xml:space="preserve"> </w:t>
      </w:r>
      <w:r>
        <w:rPr>
          <w:color w:val="231F20"/>
          <w:sz w:val="20"/>
        </w:rPr>
        <w:t>what</w:t>
      </w:r>
      <w:r>
        <w:rPr>
          <w:color w:val="231F20"/>
          <w:spacing w:val="-8"/>
          <w:sz w:val="20"/>
        </w:rPr>
        <w:t xml:space="preserve"> </w:t>
      </w:r>
      <w:r>
        <w:rPr>
          <w:color w:val="231F20"/>
          <w:sz w:val="20"/>
        </w:rPr>
        <w:t>people</w:t>
      </w:r>
      <w:r>
        <w:rPr>
          <w:color w:val="231F20"/>
          <w:spacing w:val="-7"/>
          <w:sz w:val="20"/>
        </w:rPr>
        <w:t xml:space="preserve"> </w:t>
      </w:r>
      <w:r>
        <w:rPr>
          <w:color w:val="231F20"/>
          <w:sz w:val="20"/>
        </w:rPr>
        <w:t>can</w:t>
      </w:r>
      <w:r>
        <w:rPr>
          <w:color w:val="231F20"/>
          <w:spacing w:val="-8"/>
          <w:sz w:val="20"/>
        </w:rPr>
        <w:t xml:space="preserve"> </w:t>
      </w:r>
      <w:r>
        <w:rPr>
          <w:color w:val="231F20"/>
          <w:sz w:val="20"/>
        </w:rPr>
        <w:t>do</w:t>
      </w:r>
      <w:r>
        <w:rPr>
          <w:color w:val="231F20"/>
          <w:spacing w:val="-7"/>
          <w:sz w:val="20"/>
        </w:rPr>
        <w:t xml:space="preserve"> </w:t>
      </w:r>
      <w:r>
        <w:rPr>
          <w:color w:val="231F20"/>
          <w:sz w:val="20"/>
        </w:rPr>
        <w:t>to</w:t>
      </w:r>
      <w:r>
        <w:rPr>
          <w:color w:val="231F20"/>
          <w:spacing w:val="-8"/>
          <w:sz w:val="20"/>
        </w:rPr>
        <w:t xml:space="preserve"> </w:t>
      </w:r>
      <w:r>
        <w:rPr>
          <w:color w:val="231F20"/>
          <w:spacing w:val="-3"/>
          <w:sz w:val="20"/>
        </w:rPr>
        <w:t>protect</w:t>
      </w:r>
      <w:r>
        <w:rPr>
          <w:color w:val="231F20"/>
          <w:spacing w:val="-8"/>
          <w:sz w:val="20"/>
        </w:rPr>
        <w:t xml:space="preserve"> </w:t>
      </w:r>
      <w:r>
        <w:rPr>
          <w:color w:val="231F20"/>
          <w:spacing w:val="-3"/>
          <w:sz w:val="20"/>
        </w:rPr>
        <w:t>themselves</w:t>
      </w:r>
      <w:r>
        <w:rPr>
          <w:color w:val="231F20"/>
          <w:spacing w:val="-7"/>
          <w:sz w:val="20"/>
        </w:rPr>
        <w:t xml:space="preserve"> </w:t>
      </w:r>
      <w:r>
        <w:rPr>
          <w:color w:val="231F20"/>
          <w:sz w:val="20"/>
        </w:rPr>
        <w:t>if</w:t>
      </w:r>
      <w:r>
        <w:rPr>
          <w:color w:val="231F20"/>
          <w:spacing w:val="-8"/>
          <w:sz w:val="20"/>
        </w:rPr>
        <w:t xml:space="preserve"> </w:t>
      </w:r>
      <w:r>
        <w:rPr>
          <w:color w:val="231F20"/>
          <w:sz w:val="20"/>
        </w:rPr>
        <w:t>they</w:t>
      </w:r>
      <w:r>
        <w:rPr>
          <w:color w:val="231F20"/>
          <w:spacing w:val="-7"/>
          <w:sz w:val="20"/>
        </w:rPr>
        <w:t xml:space="preserve"> </w:t>
      </w:r>
      <w:r>
        <w:rPr>
          <w:color w:val="231F20"/>
          <w:sz w:val="20"/>
        </w:rPr>
        <w:t>experience</w:t>
      </w:r>
      <w:r>
        <w:rPr>
          <w:color w:val="231F20"/>
          <w:spacing w:val="-8"/>
          <w:sz w:val="20"/>
        </w:rPr>
        <w:t xml:space="preserve"> </w:t>
      </w:r>
      <w:r>
        <w:rPr>
          <w:color w:val="231F20"/>
          <w:sz w:val="20"/>
        </w:rPr>
        <w:t>stalking,</w:t>
      </w:r>
      <w:r>
        <w:rPr>
          <w:color w:val="231F20"/>
          <w:spacing w:val="-7"/>
          <w:sz w:val="20"/>
        </w:rPr>
        <w:t xml:space="preserve"> </w:t>
      </w:r>
      <w:r>
        <w:rPr>
          <w:color w:val="231F20"/>
          <w:sz w:val="20"/>
        </w:rPr>
        <w:t>and who</w:t>
      </w:r>
      <w:r>
        <w:rPr>
          <w:color w:val="231F20"/>
          <w:spacing w:val="-6"/>
          <w:sz w:val="20"/>
        </w:rPr>
        <w:t xml:space="preserve"> </w:t>
      </w:r>
      <w:r>
        <w:rPr>
          <w:color w:val="231F20"/>
          <w:sz w:val="20"/>
        </w:rPr>
        <w:t>to</w:t>
      </w:r>
      <w:r>
        <w:rPr>
          <w:color w:val="231F20"/>
          <w:spacing w:val="-6"/>
          <w:sz w:val="20"/>
        </w:rPr>
        <w:t xml:space="preserve"> </w:t>
      </w:r>
      <w:r>
        <w:rPr>
          <w:color w:val="231F20"/>
          <w:sz w:val="20"/>
        </w:rPr>
        <w:t>speak</w:t>
      </w:r>
      <w:r>
        <w:rPr>
          <w:color w:val="231F20"/>
          <w:spacing w:val="-6"/>
          <w:sz w:val="20"/>
        </w:rPr>
        <w:t xml:space="preserve"> </w:t>
      </w:r>
      <w:r>
        <w:rPr>
          <w:color w:val="231F20"/>
          <w:sz w:val="20"/>
        </w:rPr>
        <w:t>to</w:t>
      </w:r>
      <w:r>
        <w:rPr>
          <w:color w:val="231F20"/>
          <w:spacing w:val="-6"/>
          <w:sz w:val="20"/>
        </w:rPr>
        <w:t xml:space="preserve"> </w:t>
      </w:r>
      <w:r>
        <w:rPr>
          <w:color w:val="231F20"/>
          <w:sz w:val="20"/>
        </w:rPr>
        <w:t>about</w:t>
      </w:r>
      <w:r>
        <w:rPr>
          <w:color w:val="231F20"/>
          <w:spacing w:val="-6"/>
          <w:sz w:val="20"/>
        </w:rPr>
        <w:t xml:space="preserve"> </w:t>
      </w:r>
      <w:r>
        <w:rPr>
          <w:color w:val="231F20"/>
          <w:sz w:val="20"/>
        </w:rPr>
        <w:t>safety</w:t>
      </w:r>
      <w:r>
        <w:rPr>
          <w:color w:val="231F20"/>
          <w:spacing w:val="-6"/>
          <w:sz w:val="20"/>
        </w:rPr>
        <w:t xml:space="preserve"> </w:t>
      </w:r>
      <w:r>
        <w:rPr>
          <w:color w:val="231F20"/>
          <w:sz w:val="20"/>
        </w:rPr>
        <w:t>planning</w:t>
      </w:r>
      <w:r>
        <w:rPr>
          <w:color w:val="231F20"/>
          <w:spacing w:val="-5"/>
          <w:sz w:val="20"/>
        </w:rPr>
        <w:t xml:space="preserve"> </w:t>
      </w:r>
      <w:r>
        <w:rPr>
          <w:color w:val="231F20"/>
          <w:sz w:val="20"/>
        </w:rPr>
        <w:t>and</w:t>
      </w:r>
      <w:r>
        <w:rPr>
          <w:color w:val="231F20"/>
          <w:spacing w:val="-6"/>
          <w:sz w:val="20"/>
        </w:rPr>
        <w:t xml:space="preserve"> </w:t>
      </w:r>
      <w:r>
        <w:rPr>
          <w:color w:val="231F20"/>
          <w:sz w:val="20"/>
        </w:rPr>
        <w:t>collecting</w:t>
      </w:r>
      <w:r>
        <w:rPr>
          <w:color w:val="231F20"/>
          <w:spacing w:val="-6"/>
          <w:sz w:val="20"/>
        </w:rPr>
        <w:t xml:space="preserve"> </w:t>
      </w:r>
      <w:r>
        <w:rPr>
          <w:color w:val="231F20"/>
          <w:sz w:val="20"/>
        </w:rPr>
        <w:t>evidence.</w:t>
      </w:r>
      <w:r>
        <w:rPr>
          <w:color w:val="231F20"/>
          <w:position w:val="7"/>
          <w:sz w:val="11"/>
        </w:rPr>
        <w:t>5</w:t>
      </w:r>
    </w:p>
    <w:p w14:paraId="278C8200" w14:textId="77777777" w:rsidR="00894070" w:rsidRDefault="009B7AFD">
      <w:pPr>
        <w:pStyle w:val="ListParagraph"/>
        <w:numPr>
          <w:ilvl w:val="1"/>
          <w:numId w:val="177"/>
        </w:numPr>
        <w:tabs>
          <w:tab w:val="left" w:pos="1801"/>
          <w:tab w:val="left" w:pos="1802"/>
        </w:tabs>
        <w:spacing w:before="88" w:line="206" w:lineRule="auto"/>
        <w:ind w:right="1676"/>
        <w:rPr>
          <w:sz w:val="20"/>
        </w:rPr>
      </w:pPr>
      <w:r>
        <w:rPr>
          <w:color w:val="231F20"/>
          <w:spacing w:val="-3"/>
          <w:sz w:val="20"/>
        </w:rPr>
        <w:t>Education</w:t>
      </w:r>
      <w:r>
        <w:rPr>
          <w:color w:val="231F20"/>
          <w:spacing w:val="-12"/>
          <w:sz w:val="20"/>
        </w:rPr>
        <w:t xml:space="preserve"> </w:t>
      </w:r>
      <w:r>
        <w:rPr>
          <w:color w:val="231F20"/>
          <w:sz w:val="20"/>
        </w:rPr>
        <w:t>should</w:t>
      </w:r>
      <w:r>
        <w:rPr>
          <w:color w:val="231F20"/>
          <w:spacing w:val="-11"/>
          <w:sz w:val="20"/>
        </w:rPr>
        <w:t xml:space="preserve"> </w:t>
      </w:r>
      <w:r>
        <w:rPr>
          <w:color w:val="231F20"/>
          <w:sz w:val="20"/>
        </w:rPr>
        <w:t>help</w:t>
      </w:r>
      <w:r>
        <w:rPr>
          <w:color w:val="231F20"/>
          <w:spacing w:val="-11"/>
          <w:sz w:val="20"/>
        </w:rPr>
        <w:t xml:space="preserve"> </w:t>
      </w:r>
      <w:r>
        <w:rPr>
          <w:color w:val="231F20"/>
          <w:sz w:val="20"/>
        </w:rPr>
        <w:t>people</w:t>
      </w:r>
      <w:r>
        <w:rPr>
          <w:color w:val="231F20"/>
          <w:spacing w:val="-11"/>
          <w:sz w:val="20"/>
        </w:rPr>
        <w:t xml:space="preserve"> </w:t>
      </w:r>
      <w:r>
        <w:rPr>
          <w:color w:val="231F20"/>
          <w:sz w:val="20"/>
        </w:rPr>
        <w:t>who</w:t>
      </w:r>
      <w:r>
        <w:rPr>
          <w:color w:val="231F20"/>
          <w:spacing w:val="-11"/>
          <w:sz w:val="20"/>
        </w:rPr>
        <w:t xml:space="preserve"> </w:t>
      </w:r>
      <w:r>
        <w:rPr>
          <w:color w:val="231F20"/>
          <w:sz w:val="20"/>
        </w:rPr>
        <w:t>experience</w:t>
      </w:r>
      <w:r>
        <w:rPr>
          <w:color w:val="231F20"/>
          <w:spacing w:val="-11"/>
          <w:sz w:val="20"/>
        </w:rPr>
        <w:t xml:space="preserve"> </w:t>
      </w:r>
      <w:r>
        <w:rPr>
          <w:color w:val="231F20"/>
          <w:sz w:val="20"/>
        </w:rPr>
        <w:t>stalking</w:t>
      </w:r>
      <w:r>
        <w:rPr>
          <w:color w:val="231F20"/>
          <w:spacing w:val="-11"/>
          <w:sz w:val="20"/>
        </w:rPr>
        <w:t xml:space="preserve"> </w:t>
      </w:r>
      <w:r>
        <w:rPr>
          <w:color w:val="231F20"/>
          <w:sz w:val="20"/>
        </w:rPr>
        <w:t>to</w:t>
      </w:r>
      <w:r>
        <w:rPr>
          <w:color w:val="231F20"/>
          <w:spacing w:val="-12"/>
          <w:sz w:val="20"/>
        </w:rPr>
        <w:t xml:space="preserve"> </w:t>
      </w:r>
      <w:r>
        <w:rPr>
          <w:color w:val="231F20"/>
          <w:sz w:val="20"/>
        </w:rPr>
        <w:t>make</w:t>
      </w:r>
      <w:r>
        <w:rPr>
          <w:color w:val="231F20"/>
          <w:spacing w:val="-11"/>
          <w:sz w:val="20"/>
        </w:rPr>
        <w:t xml:space="preserve"> </w:t>
      </w:r>
      <w:r>
        <w:rPr>
          <w:color w:val="231F20"/>
          <w:sz w:val="20"/>
        </w:rPr>
        <w:t>informed</w:t>
      </w:r>
      <w:r>
        <w:rPr>
          <w:color w:val="231F20"/>
          <w:spacing w:val="-11"/>
          <w:sz w:val="20"/>
        </w:rPr>
        <w:t xml:space="preserve"> </w:t>
      </w:r>
      <w:r>
        <w:rPr>
          <w:color w:val="231F20"/>
          <w:sz w:val="20"/>
        </w:rPr>
        <w:t>choices about:</w:t>
      </w:r>
    </w:p>
    <w:p w14:paraId="54640FA4" w14:textId="77777777" w:rsidR="00894070" w:rsidRDefault="009B7AFD">
      <w:pPr>
        <w:pStyle w:val="ListParagraph"/>
        <w:numPr>
          <w:ilvl w:val="2"/>
          <w:numId w:val="177"/>
        </w:numPr>
        <w:tabs>
          <w:tab w:val="left" w:pos="2141"/>
          <w:tab w:val="left" w:pos="2142"/>
        </w:tabs>
        <w:spacing w:before="90"/>
        <w:ind w:hanging="340"/>
        <w:rPr>
          <w:sz w:val="20"/>
        </w:rPr>
      </w:pPr>
      <w:r>
        <w:rPr>
          <w:color w:val="231F20"/>
          <w:sz w:val="20"/>
        </w:rPr>
        <w:t>getting help and accessing victim</w:t>
      </w:r>
      <w:r>
        <w:rPr>
          <w:color w:val="231F20"/>
          <w:spacing w:val="-22"/>
          <w:sz w:val="20"/>
        </w:rPr>
        <w:t xml:space="preserve"> </w:t>
      </w:r>
      <w:r>
        <w:rPr>
          <w:color w:val="231F20"/>
          <w:sz w:val="20"/>
        </w:rPr>
        <w:t>support</w:t>
      </w:r>
    </w:p>
    <w:p w14:paraId="1DB8F806" w14:textId="77777777" w:rsidR="00894070" w:rsidRDefault="009B7AFD">
      <w:pPr>
        <w:pStyle w:val="ListParagraph"/>
        <w:numPr>
          <w:ilvl w:val="2"/>
          <w:numId w:val="177"/>
        </w:numPr>
        <w:tabs>
          <w:tab w:val="left" w:pos="2141"/>
          <w:tab w:val="left" w:pos="2142"/>
        </w:tabs>
        <w:spacing w:before="80" w:line="206" w:lineRule="auto"/>
        <w:ind w:right="1542" w:hanging="340"/>
        <w:rPr>
          <w:sz w:val="11"/>
        </w:rPr>
      </w:pPr>
      <w:r>
        <w:rPr>
          <w:color w:val="231F20"/>
          <w:sz w:val="20"/>
        </w:rPr>
        <w:t>reporting</w:t>
      </w:r>
      <w:r>
        <w:rPr>
          <w:color w:val="231F20"/>
          <w:spacing w:val="-11"/>
          <w:sz w:val="20"/>
        </w:rPr>
        <w:t xml:space="preserve"> </w:t>
      </w:r>
      <w:r>
        <w:rPr>
          <w:color w:val="231F20"/>
          <w:sz w:val="20"/>
        </w:rPr>
        <w:t>and</w:t>
      </w:r>
      <w:r>
        <w:rPr>
          <w:color w:val="231F20"/>
          <w:spacing w:val="-10"/>
          <w:sz w:val="20"/>
        </w:rPr>
        <w:t xml:space="preserve"> </w:t>
      </w:r>
      <w:r>
        <w:rPr>
          <w:color w:val="231F20"/>
          <w:sz w:val="20"/>
        </w:rPr>
        <w:t>what</w:t>
      </w:r>
      <w:r>
        <w:rPr>
          <w:color w:val="231F20"/>
          <w:spacing w:val="-10"/>
          <w:sz w:val="20"/>
        </w:rPr>
        <w:t xml:space="preserve"> </w:t>
      </w:r>
      <w:r>
        <w:rPr>
          <w:color w:val="231F20"/>
          <w:sz w:val="20"/>
        </w:rPr>
        <w:t>this</w:t>
      </w:r>
      <w:r>
        <w:rPr>
          <w:color w:val="231F20"/>
          <w:spacing w:val="-10"/>
          <w:sz w:val="20"/>
        </w:rPr>
        <w:t xml:space="preserve"> </w:t>
      </w:r>
      <w:r>
        <w:rPr>
          <w:color w:val="231F20"/>
          <w:spacing w:val="-4"/>
          <w:sz w:val="20"/>
        </w:rPr>
        <w:t>involves,</w:t>
      </w:r>
      <w:r>
        <w:rPr>
          <w:color w:val="231F20"/>
          <w:spacing w:val="-10"/>
          <w:sz w:val="20"/>
        </w:rPr>
        <w:t xml:space="preserve"> </w:t>
      </w:r>
      <w:r>
        <w:rPr>
          <w:color w:val="231F20"/>
          <w:sz w:val="20"/>
        </w:rPr>
        <w:t>including</w:t>
      </w:r>
      <w:r>
        <w:rPr>
          <w:color w:val="231F20"/>
          <w:spacing w:val="-10"/>
          <w:sz w:val="20"/>
        </w:rPr>
        <w:t xml:space="preserve"> </w:t>
      </w:r>
      <w:r>
        <w:rPr>
          <w:color w:val="231F20"/>
          <w:sz w:val="20"/>
        </w:rPr>
        <w:t>what</w:t>
      </w:r>
      <w:r>
        <w:rPr>
          <w:color w:val="231F20"/>
          <w:spacing w:val="-10"/>
          <w:sz w:val="20"/>
        </w:rPr>
        <w:t xml:space="preserve"> </w:t>
      </w:r>
      <w:r>
        <w:rPr>
          <w:color w:val="231F20"/>
          <w:sz w:val="20"/>
        </w:rPr>
        <w:t>will</w:t>
      </w:r>
      <w:r>
        <w:rPr>
          <w:color w:val="231F20"/>
          <w:spacing w:val="-10"/>
          <w:sz w:val="20"/>
        </w:rPr>
        <w:t xml:space="preserve"> </w:t>
      </w:r>
      <w:r>
        <w:rPr>
          <w:color w:val="231F20"/>
          <w:sz w:val="20"/>
        </w:rPr>
        <w:t>happen</w:t>
      </w:r>
      <w:r>
        <w:rPr>
          <w:color w:val="231F20"/>
          <w:spacing w:val="-10"/>
          <w:sz w:val="20"/>
        </w:rPr>
        <w:t xml:space="preserve"> </w:t>
      </w:r>
      <w:r>
        <w:rPr>
          <w:color w:val="231F20"/>
          <w:sz w:val="20"/>
        </w:rPr>
        <w:t>if</w:t>
      </w:r>
      <w:r>
        <w:rPr>
          <w:color w:val="231F20"/>
          <w:spacing w:val="-10"/>
          <w:sz w:val="20"/>
        </w:rPr>
        <w:t xml:space="preserve"> </w:t>
      </w:r>
      <w:r>
        <w:rPr>
          <w:color w:val="231F20"/>
          <w:sz w:val="20"/>
        </w:rPr>
        <w:t>the</w:t>
      </w:r>
      <w:r>
        <w:rPr>
          <w:color w:val="231F20"/>
          <w:spacing w:val="-10"/>
          <w:sz w:val="20"/>
        </w:rPr>
        <w:t xml:space="preserve"> </w:t>
      </w:r>
      <w:r>
        <w:rPr>
          <w:color w:val="231F20"/>
          <w:sz w:val="20"/>
        </w:rPr>
        <w:t>police</w:t>
      </w:r>
      <w:r>
        <w:rPr>
          <w:color w:val="231F20"/>
          <w:spacing w:val="-10"/>
          <w:sz w:val="20"/>
        </w:rPr>
        <w:t xml:space="preserve"> </w:t>
      </w:r>
      <w:r>
        <w:rPr>
          <w:color w:val="231F20"/>
          <w:sz w:val="20"/>
        </w:rPr>
        <w:t>charge someone with a criminal</w:t>
      </w:r>
      <w:r>
        <w:rPr>
          <w:color w:val="231F20"/>
          <w:spacing w:val="-19"/>
          <w:sz w:val="20"/>
        </w:rPr>
        <w:t xml:space="preserve"> </w:t>
      </w:r>
      <w:r>
        <w:rPr>
          <w:color w:val="231F20"/>
          <w:sz w:val="20"/>
        </w:rPr>
        <w:t>offence.</w:t>
      </w:r>
      <w:r>
        <w:rPr>
          <w:color w:val="231F20"/>
          <w:position w:val="7"/>
          <w:sz w:val="11"/>
        </w:rPr>
        <w:t>6</w:t>
      </w:r>
    </w:p>
    <w:p w14:paraId="5C0FB1CE" w14:textId="77777777" w:rsidR="00894070" w:rsidRDefault="009B7AFD">
      <w:pPr>
        <w:pStyle w:val="ListParagraph"/>
        <w:numPr>
          <w:ilvl w:val="1"/>
          <w:numId w:val="177"/>
        </w:numPr>
        <w:tabs>
          <w:tab w:val="left" w:pos="1801"/>
          <w:tab w:val="left" w:pos="1802"/>
        </w:tabs>
        <w:spacing w:before="55"/>
        <w:rPr>
          <w:sz w:val="20"/>
        </w:rPr>
      </w:pPr>
      <w:r>
        <w:rPr>
          <w:color w:val="231F20"/>
          <w:spacing w:val="-3"/>
          <w:sz w:val="20"/>
        </w:rPr>
        <w:t>Education</w:t>
      </w:r>
      <w:r>
        <w:rPr>
          <w:color w:val="231F20"/>
          <w:spacing w:val="-5"/>
          <w:sz w:val="20"/>
        </w:rPr>
        <w:t xml:space="preserve"> </w:t>
      </w:r>
      <w:r>
        <w:rPr>
          <w:color w:val="231F20"/>
          <w:sz w:val="20"/>
        </w:rPr>
        <w:t>should</w:t>
      </w:r>
      <w:r>
        <w:rPr>
          <w:color w:val="231F20"/>
          <w:spacing w:val="-5"/>
          <w:sz w:val="20"/>
        </w:rPr>
        <w:t xml:space="preserve"> </w:t>
      </w:r>
      <w:r>
        <w:rPr>
          <w:color w:val="231F20"/>
          <w:sz w:val="20"/>
        </w:rPr>
        <w:t>help</w:t>
      </w:r>
      <w:r>
        <w:rPr>
          <w:color w:val="231F20"/>
          <w:spacing w:val="-4"/>
          <w:sz w:val="20"/>
        </w:rPr>
        <w:t xml:space="preserve"> family,</w:t>
      </w:r>
      <w:r>
        <w:rPr>
          <w:color w:val="231F20"/>
          <w:spacing w:val="-5"/>
          <w:sz w:val="20"/>
        </w:rPr>
        <w:t xml:space="preserve"> </w:t>
      </w:r>
      <w:r>
        <w:rPr>
          <w:color w:val="231F20"/>
          <w:sz w:val="20"/>
        </w:rPr>
        <w:t>friends,</w:t>
      </w:r>
      <w:r>
        <w:rPr>
          <w:color w:val="231F20"/>
          <w:spacing w:val="-5"/>
          <w:sz w:val="20"/>
        </w:rPr>
        <w:t xml:space="preserve"> </w:t>
      </w:r>
      <w:r>
        <w:rPr>
          <w:color w:val="231F20"/>
          <w:sz w:val="20"/>
        </w:rPr>
        <w:t>and</w:t>
      </w:r>
      <w:r>
        <w:rPr>
          <w:color w:val="231F20"/>
          <w:spacing w:val="-4"/>
          <w:sz w:val="20"/>
        </w:rPr>
        <w:t xml:space="preserve"> </w:t>
      </w:r>
      <w:r>
        <w:rPr>
          <w:color w:val="231F20"/>
          <w:sz w:val="20"/>
        </w:rPr>
        <w:t>others</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5"/>
          <w:sz w:val="20"/>
        </w:rPr>
        <w:t xml:space="preserve"> </w:t>
      </w:r>
      <w:r>
        <w:rPr>
          <w:color w:val="231F20"/>
          <w:sz w:val="20"/>
        </w:rPr>
        <w:t>community</w:t>
      </w:r>
      <w:r>
        <w:rPr>
          <w:color w:val="231F20"/>
          <w:spacing w:val="-5"/>
          <w:sz w:val="20"/>
        </w:rPr>
        <w:t xml:space="preserve"> </w:t>
      </w:r>
      <w:r>
        <w:rPr>
          <w:color w:val="231F20"/>
          <w:spacing w:val="-3"/>
          <w:sz w:val="20"/>
        </w:rPr>
        <w:t>know</w:t>
      </w:r>
      <w:r>
        <w:rPr>
          <w:color w:val="231F20"/>
          <w:spacing w:val="-4"/>
          <w:sz w:val="20"/>
        </w:rPr>
        <w:t xml:space="preserve"> </w:t>
      </w:r>
      <w:r>
        <w:rPr>
          <w:color w:val="231F20"/>
          <w:spacing w:val="-3"/>
          <w:sz w:val="20"/>
        </w:rPr>
        <w:t>how</w:t>
      </w:r>
      <w:r>
        <w:rPr>
          <w:color w:val="231F20"/>
          <w:spacing w:val="-5"/>
          <w:sz w:val="20"/>
        </w:rPr>
        <w:t xml:space="preserve"> </w:t>
      </w:r>
      <w:r>
        <w:rPr>
          <w:color w:val="231F20"/>
          <w:spacing w:val="-3"/>
          <w:sz w:val="20"/>
        </w:rPr>
        <w:t>to:</w:t>
      </w:r>
    </w:p>
    <w:p w14:paraId="61250B71"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support someone who is being</w:t>
      </w:r>
      <w:r>
        <w:rPr>
          <w:color w:val="231F20"/>
          <w:spacing w:val="-22"/>
          <w:sz w:val="20"/>
        </w:rPr>
        <w:t xml:space="preserve"> </w:t>
      </w:r>
      <w:r>
        <w:rPr>
          <w:color w:val="231F20"/>
          <w:sz w:val="20"/>
        </w:rPr>
        <w:t>stalked</w:t>
      </w:r>
    </w:p>
    <w:p w14:paraId="6534E58F"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respond</w:t>
      </w:r>
      <w:r>
        <w:rPr>
          <w:color w:val="231F20"/>
          <w:spacing w:val="-11"/>
          <w:sz w:val="20"/>
        </w:rPr>
        <w:t xml:space="preserve"> </w:t>
      </w:r>
      <w:r>
        <w:rPr>
          <w:color w:val="231F20"/>
          <w:sz w:val="20"/>
        </w:rPr>
        <w:t>if</w:t>
      </w:r>
      <w:r>
        <w:rPr>
          <w:color w:val="231F20"/>
          <w:spacing w:val="-10"/>
          <w:sz w:val="20"/>
        </w:rPr>
        <w:t xml:space="preserve"> </w:t>
      </w:r>
      <w:r>
        <w:rPr>
          <w:color w:val="231F20"/>
          <w:sz w:val="20"/>
        </w:rPr>
        <w:t>they</w:t>
      </w:r>
      <w:r>
        <w:rPr>
          <w:color w:val="231F20"/>
          <w:spacing w:val="-10"/>
          <w:sz w:val="20"/>
        </w:rPr>
        <w:t xml:space="preserve"> </w:t>
      </w:r>
      <w:r>
        <w:rPr>
          <w:color w:val="231F20"/>
          <w:sz w:val="20"/>
        </w:rPr>
        <w:t>become</w:t>
      </w:r>
      <w:r>
        <w:rPr>
          <w:color w:val="231F20"/>
          <w:spacing w:val="-10"/>
          <w:sz w:val="20"/>
        </w:rPr>
        <w:t xml:space="preserve"> </w:t>
      </w:r>
      <w:r>
        <w:rPr>
          <w:color w:val="231F20"/>
          <w:spacing w:val="-4"/>
          <w:sz w:val="20"/>
        </w:rPr>
        <w:t>aware</w:t>
      </w:r>
      <w:r>
        <w:rPr>
          <w:color w:val="231F20"/>
          <w:spacing w:val="-10"/>
          <w:sz w:val="20"/>
        </w:rPr>
        <w:t xml:space="preserve"> </w:t>
      </w:r>
      <w:r>
        <w:rPr>
          <w:color w:val="231F20"/>
          <w:sz w:val="20"/>
        </w:rPr>
        <w:t>of</w:t>
      </w:r>
      <w:r>
        <w:rPr>
          <w:color w:val="231F20"/>
          <w:spacing w:val="-10"/>
          <w:sz w:val="20"/>
        </w:rPr>
        <w:t xml:space="preserve"> </w:t>
      </w:r>
      <w:r>
        <w:rPr>
          <w:color w:val="231F20"/>
          <w:sz w:val="20"/>
        </w:rPr>
        <w:t>behaviour</w:t>
      </w:r>
      <w:r>
        <w:rPr>
          <w:color w:val="231F20"/>
          <w:spacing w:val="-10"/>
          <w:sz w:val="20"/>
        </w:rPr>
        <w:t xml:space="preserve"> </w:t>
      </w:r>
      <w:r>
        <w:rPr>
          <w:color w:val="231F20"/>
          <w:sz w:val="20"/>
        </w:rPr>
        <w:t>that</w:t>
      </w:r>
      <w:r>
        <w:rPr>
          <w:color w:val="231F20"/>
          <w:spacing w:val="-11"/>
          <w:sz w:val="20"/>
        </w:rPr>
        <w:t xml:space="preserve"> </w:t>
      </w:r>
      <w:r>
        <w:rPr>
          <w:color w:val="231F20"/>
          <w:sz w:val="20"/>
        </w:rPr>
        <w:t>might</w:t>
      </w:r>
      <w:r>
        <w:rPr>
          <w:color w:val="231F20"/>
          <w:spacing w:val="-10"/>
          <w:sz w:val="20"/>
        </w:rPr>
        <w:t xml:space="preserve"> </w:t>
      </w:r>
      <w:r>
        <w:rPr>
          <w:color w:val="231F20"/>
          <w:spacing w:val="-5"/>
          <w:sz w:val="20"/>
        </w:rPr>
        <w:t>involve</w:t>
      </w:r>
      <w:r>
        <w:rPr>
          <w:color w:val="231F20"/>
          <w:spacing w:val="-10"/>
          <w:sz w:val="20"/>
        </w:rPr>
        <w:t xml:space="preserve"> </w:t>
      </w:r>
      <w:r>
        <w:rPr>
          <w:color w:val="231F20"/>
          <w:sz w:val="20"/>
        </w:rPr>
        <w:t>stalking.</w:t>
      </w:r>
    </w:p>
    <w:p w14:paraId="3957944A" w14:textId="77777777" w:rsidR="00894070" w:rsidRDefault="009B7AFD">
      <w:pPr>
        <w:pStyle w:val="ListParagraph"/>
        <w:numPr>
          <w:ilvl w:val="1"/>
          <w:numId w:val="177"/>
        </w:numPr>
        <w:tabs>
          <w:tab w:val="left" w:pos="1801"/>
          <w:tab w:val="left" w:pos="1802"/>
        </w:tabs>
        <w:spacing w:before="47" w:line="259" w:lineRule="exact"/>
        <w:rPr>
          <w:sz w:val="20"/>
        </w:rPr>
      </w:pPr>
      <w:r>
        <w:rPr>
          <w:color w:val="231F20"/>
          <w:spacing w:val="-3"/>
          <w:sz w:val="20"/>
        </w:rPr>
        <w:t>Education</w:t>
      </w:r>
      <w:r>
        <w:rPr>
          <w:color w:val="231F20"/>
          <w:spacing w:val="-10"/>
          <w:sz w:val="20"/>
        </w:rPr>
        <w:t xml:space="preserve"> </w:t>
      </w:r>
      <w:r>
        <w:rPr>
          <w:color w:val="231F20"/>
          <w:sz w:val="20"/>
        </w:rPr>
        <w:t>should</w:t>
      </w:r>
      <w:r>
        <w:rPr>
          <w:color w:val="231F20"/>
          <w:spacing w:val="-9"/>
          <w:sz w:val="20"/>
        </w:rPr>
        <w:t xml:space="preserve"> </w:t>
      </w:r>
      <w:r>
        <w:rPr>
          <w:color w:val="231F20"/>
          <w:sz w:val="20"/>
        </w:rPr>
        <w:t>make</w:t>
      </w:r>
      <w:r>
        <w:rPr>
          <w:color w:val="231F20"/>
          <w:spacing w:val="-10"/>
          <w:sz w:val="20"/>
        </w:rPr>
        <w:t xml:space="preserve"> </w:t>
      </w:r>
      <w:r>
        <w:rPr>
          <w:color w:val="231F20"/>
          <w:sz w:val="20"/>
        </w:rPr>
        <w:t>it</w:t>
      </w:r>
      <w:r>
        <w:rPr>
          <w:color w:val="231F20"/>
          <w:spacing w:val="-9"/>
          <w:sz w:val="20"/>
        </w:rPr>
        <w:t xml:space="preserve"> </w:t>
      </w:r>
      <w:r>
        <w:rPr>
          <w:color w:val="231F20"/>
          <w:sz w:val="20"/>
        </w:rPr>
        <w:t>clear</w:t>
      </w:r>
      <w:r>
        <w:rPr>
          <w:color w:val="231F20"/>
          <w:spacing w:val="-10"/>
          <w:sz w:val="20"/>
        </w:rPr>
        <w:t xml:space="preserve"> </w:t>
      </w:r>
      <w:r>
        <w:rPr>
          <w:color w:val="231F20"/>
          <w:sz w:val="20"/>
        </w:rPr>
        <w:t>that</w:t>
      </w:r>
      <w:r>
        <w:rPr>
          <w:color w:val="231F20"/>
          <w:spacing w:val="-9"/>
          <w:sz w:val="20"/>
        </w:rPr>
        <w:t xml:space="preserve"> </w:t>
      </w:r>
      <w:r>
        <w:rPr>
          <w:color w:val="231F20"/>
          <w:sz w:val="20"/>
        </w:rPr>
        <w:t>people</w:t>
      </w:r>
      <w:r>
        <w:rPr>
          <w:color w:val="231F20"/>
          <w:spacing w:val="-10"/>
          <w:sz w:val="20"/>
        </w:rPr>
        <w:t xml:space="preserve"> </w:t>
      </w:r>
      <w:r>
        <w:rPr>
          <w:color w:val="231F20"/>
          <w:sz w:val="20"/>
        </w:rPr>
        <w:t>who</w:t>
      </w:r>
      <w:r>
        <w:rPr>
          <w:color w:val="231F20"/>
          <w:spacing w:val="-9"/>
          <w:sz w:val="20"/>
        </w:rPr>
        <w:t xml:space="preserve"> </w:t>
      </w:r>
      <w:r>
        <w:rPr>
          <w:color w:val="231F20"/>
          <w:sz w:val="20"/>
        </w:rPr>
        <w:t>stalk</w:t>
      </w:r>
      <w:r>
        <w:rPr>
          <w:color w:val="231F20"/>
          <w:spacing w:val="-10"/>
          <w:sz w:val="20"/>
        </w:rPr>
        <w:t xml:space="preserve"> </w:t>
      </w:r>
      <w:r>
        <w:rPr>
          <w:color w:val="231F20"/>
          <w:spacing w:val="-3"/>
          <w:sz w:val="20"/>
        </w:rPr>
        <w:t>are</w:t>
      </w:r>
      <w:r>
        <w:rPr>
          <w:color w:val="231F20"/>
          <w:spacing w:val="-9"/>
          <w:sz w:val="20"/>
        </w:rPr>
        <w:t xml:space="preserve"> </w:t>
      </w:r>
      <w:r>
        <w:rPr>
          <w:color w:val="231F20"/>
          <w:sz w:val="20"/>
        </w:rPr>
        <w:t>accountable</w:t>
      </w:r>
      <w:r>
        <w:rPr>
          <w:color w:val="231F20"/>
          <w:spacing w:val="-9"/>
          <w:sz w:val="20"/>
        </w:rPr>
        <w:t xml:space="preserve"> </w:t>
      </w:r>
      <w:r>
        <w:rPr>
          <w:color w:val="231F20"/>
          <w:spacing w:val="-3"/>
          <w:sz w:val="20"/>
        </w:rPr>
        <w:t>for</w:t>
      </w:r>
      <w:r>
        <w:rPr>
          <w:color w:val="231F20"/>
          <w:spacing w:val="-10"/>
          <w:sz w:val="20"/>
        </w:rPr>
        <w:t xml:space="preserve"> </w:t>
      </w:r>
      <w:proofErr w:type="gramStart"/>
      <w:r>
        <w:rPr>
          <w:color w:val="231F20"/>
          <w:sz w:val="20"/>
        </w:rPr>
        <w:t>their</w:t>
      </w:r>
      <w:proofErr w:type="gramEnd"/>
    </w:p>
    <w:p w14:paraId="6FE09F97" w14:textId="77777777" w:rsidR="00894070" w:rsidRDefault="009B7AFD">
      <w:pPr>
        <w:pStyle w:val="BodyText"/>
        <w:spacing w:line="259" w:lineRule="exact"/>
        <w:ind w:left="1801"/>
      </w:pPr>
      <w:r>
        <w:rPr>
          <w:color w:val="231F20"/>
        </w:rPr>
        <w:t>behaviour (see Chapter 1).</w:t>
      </w:r>
    </w:p>
    <w:p w14:paraId="1757535A" w14:textId="77777777" w:rsidR="00894070" w:rsidRDefault="009B7AFD">
      <w:pPr>
        <w:pStyle w:val="ListParagraph"/>
        <w:numPr>
          <w:ilvl w:val="1"/>
          <w:numId w:val="177"/>
        </w:numPr>
        <w:tabs>
          <w:tab w:val="left" w:pos="1801"/>
          <w:tab w:val="left" w:pos="1802"/>
        </w:tabs>
        <w:spacing w:before="82"/>
        <w:rPr>
          <w:sz w:val="20"/>
        </w:rPr>
      </w:pPr>
      <w:r>
        <w:rPr>
          <w:color w:val="231F20"/>
          <w:sz w:val="20"/>
        </w:rPr>
        <w:t xml:space="preserve">One member of the public </w:t>
      </w:r>
      <w:r>
        <w:rPr>
          <w:color w:val="231F20"/>
          <w:spacing w:val="-3"/>
          <w:sz w:val="20"/>
        </w:rPr>
        <w:t>told</w:t>
      </w:r>
      <w:r>
        <w:rPr>
          <w:color w:val="231F20"/>
          <w:spacing w:val="-25"/>
          <w:sz w:val="20"/>
        </w:rPr>
        <w:t xml:space="preserve"> </w:t>
      </w:r>
      <w:r>
        <w:rPr>
          <w:color w:val="231F20"/>
          <w:sz w:val="20"/>
        </w:rPr>
        <w:t>us:</w:t>
      </w:r>
    </w:p>
    <w:p w14:paraId="0C2561F7" w14:textId="77777777" w:rsidR="00894070" w:rsidRDefault="009B7AFD">
      <w:pPr>
        <w:spacing w:before="113" w:line="208" w:lineRule="auto"/>
        <w:ind w:left="2254" w:right="1219"/>
        <w:rPr>
          <w:sz w:val="11"/>
        </w:rPr>
      </w:pPr>
      <w:r>
        <w:rPr>
          <w:color w:val="231F20"/>
          <w:sz w:val="19"/>
        </w:rPr>
        <w:t>Women should not have to have their awareness ‘raised’. Quite simply, men should not stalk women. With whatever education campaign you create, please ensure that women are not seen as somehow responsible for the actions of others.</w:t>
      </w:r>
      <w:r>
        <w:rPr>
          <w:color w:val="231F20"/>
          <w:position w:val="6"/>
          <w:sz w:val="11"/>
        </w:rPr>
        <w:t>7</w:t>
      </w:r>
    </w:p>
    <w:p w14:paraId="112BF209" w14:textId="77777777" w:rsidR="00894070" w:rsidRDefault="009B7AFD">
      <w:pPr>
        <w:pStyle w:val="ListParagraph"/>
        <w:numPr>
          <w:ilvl w:val="1"/>
          <w:numId w:val="177"/>
        </w:numPr>
        <w:tabs>
          <w:tab w:val="left" w:pos="1801"/>
          <w:tab w:val="left" w:pos="1802"/>
        </w:tabs>
        <w:spacing w:before="124" w:line="206" w:lineRule="auto"/>
        <w:ind w:right="1333"/>
        <w:rPr>
          <w:sz w:val="20"/>
        </w:rPr>
      </w:pPr>
      <w:r>
        <w:rPr>
          <w:color w:val="231F20"/>
          <w:sz w:val="20"/>
        </w:rPr>
        <w:t xml:space="preserve">People who stalk, or whose behaviour could turn </w:t>
      </w:r>
      <w:r>
        <w:rPr>
          <w:color w:val="231F20"/>
          <w:spacing w:val="-3"/>
          <w:sz w:val="20"/>
        </w:rPr>
        <w:t xml:space="preserve">into </w:t>
      </w:r>
      <w:r>
        <w:rPr>
          <w:color w:val="231F20"/>
          <w:sz w:val="20"/>
        </w:rPr>
        <w:t xml:space="preserve">stalking, should be able to recognise what they </w:t>
      </w:r>
      <w:r>
        <w:rPr>
          <w:color w:val="231F20"/>
          <w:spacing w:val="-3"/>
          <w:sz w:val="20"/>
        </w:rPr>
        <w:t xml:space="preserve">are </w:t>
      </w:r>
      <w:r>
        <w:rPr>
          <w:color w:val="231F20"/>
          <w:sz w:val="20"/>
        </w:rPr>
        <w:t xml:space="preserve">doing, </w:t>
      </w:r>
      <w:r>
        <w:rPr>
          <w:color w:val="231F20"/>
          <w:spacing w:val="-3"/>
          <w:sz w:val="20"/>
        </w:rPr>
        <w:t xml:space="preserve">know </w:t>
      </w:r>
      <w:r>
        <w:rPr>
          <w:color w:val="231F20"/>
          <w:sz w:val="20"/>
        </w:rPr>
        <w:t xml:space="preserve">that it is wrong or illegal, and </w:t>
      </w:r>
      <w:r>
        <w:rPr>
          <w:color w:val="231F20"/>
          <w:spacing w:val="-3"/>
          <w:sz w:val="20"/>
        </w:rPr>
        <w:t xml:space="preserve">know </w:t>
      </w:r>
      <w:r>
        <w:rPr>
          <w:color w:val="231F20"/>
          <w:sz w:val="20"/>
        </w:rPr>
        <w:t xml:space="preserve">where they can get help to </w:t>
      </w:r>
      <w:r>
        <w:rPr>
          <w:color w:val="231F20"/>
          <w:spacing w:val="-4"/>
          <w:sz w:val="20"/>
        </w:rPr>
        <w:t xml:space="preserve">prevent </w:t>
      </w:r>
      <w:r>
        <w:rPr>
          <w:color w:val="231F20"/>
          <w:sz w:val="20"/>
        </w:rPr>
        <w:t xml:space="preserve">or change their </w:t>
      </w:r>
      <w:r>
        <w:rPr>
          <w:color w:val="231F20"/>
          <w:spacing w:val="-3"/>
          <w:sz w:val="20"/>
        </w:rPr>
        <w:t>behaviour.</w:t>
      </w:r>
      <w:r>
        <w:rPr>
          <w:color w:val="231F20"/>
          <w:spacing w:val="-3"/>
          <w:position w:val="7"/>
          <w:sz w:val="11"/>
        </w:rPr>
        <w:t xml:space="preserve">8 </w:t>
      </w:r>
      <w:r>
        <w:rPr>
          <w:color w:val="231F20"/>
          <w:sz w:val="20"/>
        </w:rPr>
        <w:t xml:space="preserve">In </w:t>
      </w:r>
      <w:r>
        <w:rPr>
          <w:color w:val="231F20"/>
          <w:spacing w:val="-3"/>
          <w:sz w:val="20"/>
        </w:rPr>
        <w:t xml:space="preserve">Chapter </w:t>
      </w:r>
      <w:r>
        <w:rPr>
          <w:color w:val="231F20"/>
          <w:sz w:val="20"/>
        </w:rPr>
        <w:t xml:space="preserve">8 </w:t>
      </w:r>
      <w:r>
        <w:rPr>
          <w:color w:val="231F20"/>
          <w:spacing w:val="-3"/>
          <w:sz w:val="20"/>
        </w:rPr>
        <w:t xml:space="preserve">we </w:t>
      </w:r>
      <w:r>
        <w:rPr>
          <w:color w:val="231F20"/>
          <w:sz w:val="20"/>
        </w:rPr>
        <w:t xml:space="preserve">discuss </w:t>
      </w:r>
      <w:r>
        <w:rPr>
          <w:color w:val="231F20"/>
          <w:spacing w:val="-3"/>
          <w:sz w:val="20"/>
        </w:rPr>
        <w:t xml:space="preserve">improving treatment </w:t>
      </w:r>
      <w:r>
        <w:rPr>
          <w:color w:val="231F20"/>
          <w:sz w:val="20"/>
        </w:rPr>
        <w:t xml:space="preserve">and support </w:t>
      </w:r>
      <w:r>
        <w:rPr>
          <w:color w:val="231F20"/>
          <w:spacing w:val="-3"/>
          <w:sz w:val="20"/>
        </w:rPr>
        <w:t xml:space="preserve">for </w:t>
      </w:r>
      <w:r>
        <w:rPr>
          <w:color w:val="231F20"/>
          <w:sz w:val="20"/>
        </w:rPr>
        <w:t>people who</w:t>
      </w:r>
      <w:r>
        <w:rPr>
          <w:color w:val="231F20"/>
          <w:spacing w:val="-19"/>
          <w:sz w:val="20"/>
        </w:rPr>
        <w:t xml:space="preserve"> </w:t>
      </w:r>
      <w:r>
        <w:rPr>
          <w:color w:val="231F20"/>
          <w:sz w:val="20"/>
        </w:rPr>
        <w:t>stalk.</w:t>
      </w:r>
    </w:p>
    <w:p w14:paraId="5DF10AAD" w14:textId="77777777" w:rsidR="00894070" w:rsidRDefault="009B7AFD">
      <w:pPr>
        <w:pStyle w:val="ListParagraph"/>
        <w:numPr>
          <w:ilvl w:val="1"/>
          <w:numId w:val="177"/>
        </w:numPr>
        <w:tabs>
          <w:tab w:val="left" w:pos="1801"/>
          <w:tab w:val="left" w:pos="1802"/>
        </w:tabs>
        <w:spacing w:before="93"/>
        <w:rPr>
          <w:sz w:val="20"/>
        </w:rPr>
      </w:pPr>
      <w:r>
        <w:rPr>
          <w:color w:val="231F20"/>
          <w:sz w:val="20"/>
        </w:rPr>
        <w:t>In</w:t>
      </w:r>
      <w:r>
        <w:rPr>
          <w:color w:val="231F20"/>
          <w:spacing w:val="-5"/>
          <w:sz w:val="20"/>
        </w:rPr>
        <w:t xml:space="preserve"> </w:t>
      </w:r>
      <w:r>
        <w:rPr>
          <w:color w:val="231F20"/>
          <w:spacing w:val="-3"/>
          <w:sz w:val="20"/>
        </w:rPr>
        <w:t>Chapter</w:t>
      </w:r>
      <w:r>
        <w:rPr>
          <w:color w:val="231F20"/>
          <w:spacing w:val="-5"/>
          <w:sz w:val="20"/>
        </w:rPr>
        <w:t xml:space="preserve"> </w:t>
      </w:r>
      <w:r>
        <w:rPr>
          <w:color w:val="231F20"/>
          <w:sz w:val="20"/>
        </w:rPr>
        <w:t>3</w:t>
      </w:r>
      <w:r>
        <w:rPr>
          <w:color w:val="231F20"/>
          <w:spacing w:val="-5"/>
          <w:sz w:val="20"/>
        </w:rPr>
        <w:t xml:space="preserve"> </w:t>
      </w:r>
      <w:r>
        <w:rPr>
          <w:color w:val="231F20"/>
          <w:spacing w:val="-3"/>
          <w:sz w:val="20"/>
        </w:rPr>
        <w:t>we</w:t>
      </w:r>
      <w:r>
        <w:rPr>
          <w:color w:val="231F20"/>
          <w:spacing w:val="-5"/>
          <w:sz w:val="20"/>
        </w:rPr>
        <w:t xml:space="preserve"> </w:t>
      </w:r>
      <w:r>
        <w:rPr>
          <w:color w:val="231F20"/>
          <w:sz w:val="20"/>
        </w:rPr>
        <w:t>discuss</w:t>
      </w:r>
      <w:r>
        <w:rPr>
          <w:color w:val="231F20"/>
          <w:spacing w:val="-5"/>
          <w:sz w:val="20"/>
        </w:rPr>
        <w:t xml:space="preserve"> </w:t>
      </w:r>
      <w:r>
        <w:rPr>
          <w:color w:val="231F20"/>
          <w:sz w:val="20"/>
        </w:rPr>
        <w:t>what</w:t>
      </w:r>
      <w:r>
        <w:rPr>
          <w:color w:val="231F20"/>
          <w:spacing w:val="-5"/>
          <w:sz w:val="20"/>
        </w:rPr>
        <w:t xml:space="preserve"> </w:t>
      </w:r>
      <w:r>
        <w:rPr>
          <w:color w:val="231F20"/>
          <w:sz w:val="20"/>
        </w:rPr>
        <w:t>public</w:t>
      </w:r>
      <w:r>
        <w:rPr>
          <w:color w:val="231F20"/>
          <w:spacing w:val="-5"/>
          <w:sz w:val="20"/>
        </w:rPr>
        <w:t xml:space="preserve"> </w:t>
      </w:r>
      <w:r>
        <w:rPr>
          <w:color w:val="231F20"/>
          <w:sz w:val="20"/>
        </w:rPr>
        <w:t>education</w:t>
      </w:r>
      <w:r>
        <w:rPr>
          <w:color w:val="231F20"/>
          <w:spacing w:val="-5"/>
          <w:sz w:val="20"/>
        </w:rPr>
        <w:t xml:space="preserve"> </w:t>
      </w:r>
      <w:r>
        <w:rPr>
          <w:color w:val="231F20"/>
          <w:sz w:val="20"/>
        </w:rPr>
        <w:t>on</w:t>
      </w:r>
      <w:r>
        <w:rPr>
          <w:color w:val="231F20"/>
          <w:spacing w:val="-5"/>
          <w:sz w:val="20"/>
        </w:rPr>
        <w:t xml:space="preserve"> </w:t>
      </w:r>
      <w:r>
        <w:rPr>
          <w:color w:val="231F20"/>
          <w:sz w:val="20"/>
        </w:rPr>
        <w:t>cyberstalking</w:t>
      </w:r>
      <w:r>
        <w:rPr>
          <w:color w:val="231F20"/>
          <w:spacing w:val="-5"/>
          <w:sz w:val="20"/>
        </w:rPr>
        <w:t xml:space="preserve"> </w:t>
      </w:r>
      <w:r>
        <w:rPr>
          <w:color w:val="231F20"/>
          <w:sz w:val="20"/>
        </w:rPr>
        <w:t>should</w:t>
      </w:r>
      <w:r>
        <w:rPr>
          <w:color w:val="231F20"/>
          <w:spacing w:val="-5"/>
          <w:sz w:val="20"/>
        </w:rPr>
        <w:t xml:space="preserve"> cover.</w:t>
      </w:r>
    </w:p>
    <w:p w14:paraId="03336CA9" w14:textId="77777777" w:rsidR="00894070" w:rsidRDefault="00894070">
      <w:pPr>
        <w:pStyle w:val="BodyText"/>
      </w:pPr>
    </w:p>
    <w:p w14:paraId="66DC52C1" w14:textId="77777777" w:rsidR="00894070" w:rsidRDefault="00894070">
      <w:pPr>
        <w:pStyle w:val="BodyText"/>
      </w:pPr>
    </w:p>
    <w:p w14:paraId="2D5F9B45" w14:textId="77777777" w:rsidR="00894070" w:rsidRDefault="00894070">
      <w:pPr>
        <w:pStyle w:val="BodyText"/>
      </w:pPr>
    </w:p>
    <w:p w14:paraId="47D478C9" w14:textId="77777777" w:rsidR="00894070" w:rsidRDefault="00894070">
      <w:pPr>
        <w:pStyle w:val="BodyText"/>
      </w:pPr>
    </w:p>
    <w:p w14:paraId="3D2AA53D" w14:textId="77777777" w:rsidR="00894070" w:rsidRDefault="00894070">
      <w:pPr>
        <w:pStyle w:val="BodyText"/>
      </w:pPr>
    </w:p>
    <w:p w14:paraId="2811F66B" w14:textId="77777777" w:rsidR="00894070" w:rsidRDefault="00894070">
      <w:pPr>
        <w:pStyle w:val="BodyText"/>
      </w:pPr>
    </w:p>
    <w:p w14:paraId="542737DE" w14:textId="77777777" w:rsidR="00894070" w:rsidRDefault="00894070">
      <w:pPr>
        <w:pStyle w:val="BodyText"/>
      </w:pPr>
    </w:p>
    <w:p w14:paraId="7F97270C" w14:textId="77777777" w:rsidR="00894070" w:rsidRDefault="00894070">
      <w:pPr>
        <w:pStyle w:val="BodyText"/>
      </w:pPr>
    </w:p>
    <w:p w14:paraId="64C1EAAC" w14:textId="77777777" w:rsidR="00894070" w:rsidRDefault="009F6793">
      <w:pPr>
        <w:pStyle w:val="BodyText"/>
        <w:spacing w:before="11"/>
        <w:rPr>
          <w:sz w:val="27"/>
        </w:rPr>
      </w:pPr>
      <w:r>
        <w:pict w14:anchorId="1266B227">
          <v:line id="_x0000_s1517" style="position:absolute;z-index:251530240;mso-wrap-distance-left:0;mso-wrap-distance-right:0;mso-position-horizontal-relative:page" from="79.35pt,21.75pt" to="515.9pt,21.75pt" strokecolor="#f8cabc" strokeweight="1pt">
            <w10:wrap type="topAndBottom" anchorx="page"/>
          </v:line>
        </w:pict>
      </w:r>
    </w:p>
    <w:p w14:paraId="7E54B74D" w14:textId="77777777" w:rsidR="00894070" w:rsidRDefault="009B7AFD">
      <w:pPr>
        <w:pStyle w:val="ListParagraph"/>
        <w:numPr>
          <w:ilvl w:val="0"/>
          <w:numId w:val="134"/>
        </w:numPr>
        <w:tabs>
          <w:tab w:val="left" w:pos="1800"/>
          <w:tab w:val="left" w:pos="1802"/>
        </w:tabs>
        <w:spacing w:before="91" w:line="170" w:lineRule="exact"/>
        <w:rPr>
          <w:sz w:val="13"/>
        </w:rPr>
      </w:pPr>
      <w:r>
        <w:rPr>
          <w:color w:val="231F20"/>
          <w:sz w:val="13"/>
        </w:rPr>
        <w:t>Consultation 8 (eSafety Commissioner).</w:t>
      </w:r>
    </w:p>
    <w:p w14:paraId="1308F79E" w14:textId="77777777" w:rsidR="00894070" w:rsidRDefault="009B7AFD">
      <w:pPr>
        <w:pStyle w:val="ListParagraph"/>
        <w:numPr>
          <w:ilvl w:val="0"/>
          <w:numId w:val="134"/>
        </w:numPr>
        <w:tabs>
          <w:tab w:val="left" w:pos="1800"/>
          <w:tab w:val="left" w:pos="1802"/>
        </w:tabs>
        <w:spacing w:before="6" w:line="213" w:lineRule="auto"/>
        <w:ind w:left="1800" w:right="1368" w:hanging="793"/>
        <w:rPr>
          <w:sz w:val="13"/>
        </w:rPr>
      </w:pPr>
      <w:r>
        <w:rPr>
          <w:color w:val="231F20"/>
          <w:spacing w:val="2"/>
          <w:sz w:val="13"/>
        </w:rPr>
        <w:t xml:space="preserve">Harassment </w:t>
      </w:r>
      <w:r>
        <w:rPr>
          <w:color w:val="231F20"/>
          <w:sz w:val="13"/>
        </w:rPr>
        <w:t xml:space="preserve">can be </w:t>
      </w:r>
      <w:r>
        <w:rPr>
          <w:color w:val="231F20"/>
          <w:spacing w:val="2"/>
          <w:sz w:val="13"/>
        </w:rPr>
        <w:t xml:space="preserve">distinguished </w:t>
      </w:r>
      <w:r>
        <w:rPr>
          <w:color w:val="231F20"/>
          <w:sz w:val="13"/>
        </w:rPr>
        <w:t xml:space="preserve">from </w:t>
      </w:r>
      <w:r>
        <w:rPr>
          <w:color w:val="231F20"/>
          <w:spacing w:val="2"/>
          <w:sz w:val="13"/>
        </w:rPr>
        <w:t xml:space="preserve">stalking because </w:t>
      </w:r>
      <w:r>
        <w:rPr>
          <w:color w:val="231F20"/>
          <w:sz w:val="13"/>
        </w:rPr>
        <w:t xml:space="preserve">it is not necessarily ongoing, the intention of the </w:t>
      </w:r>
      <w:r>
        <w:rPr>
          <w:color w:val="231F20"/>
          <w:spacing w:val="2"/>
          <w:sz w:val="13"/>
        </w:rPr>
        <w:t xml:space="preserve">person </w:t>
      </w:r>
      <w:r>
        <w:rPr>
          <w:color w:val="231F20"/>
          <w:sz w:val="13"/>
        </w:rPr>
        <w:t xml:space="preserve">harassing is irrelevant to </w:t>
      </w:r>
      <w:r>
        <w:rPr>
          <w:color w:val="231F20"/>
          <w:spacing w:val="2"/>
          <w:sz w:val="13"/>
        </w:rPr>
        <w:t xml:space="preserve">establishing </w:t>
      </w:r>
      <w:r>
        <w:rPr>
          <w:color w:val="231F20"/>
          <w:sz w:val="13"/>
        </w:rPr>
        <w:t xml:space="preserve">the </w:t>
      </w:r>
      <w:r>
        <w:rPr>
          <w:color w:val="231F20"/>
          <w:spacing w:val="2"/>
          <w:sz w:val="13"/>
        </w:rPr>
        <w:t xml:space="preserve">harassment, </w:t>
      </w:r>
      <w:r>
        <w:rPr>
          <w:color w:val="231F20"/>
          <w:sz w:val="13"/>
        </w:rPr>
        <w:t xml:space="preserve">and it may be suitable for mediation or conciliation. See, eg, ‘Sexual Harassment’, </w:t>
      </w:r>
      <w:r>
        <w:rPr>
          <w:i/>
          <w:color w:val="231F20"/>
          <w:sz w:val="13"/>
        </w:rPr>
        <w:t xml:space="preserve">Victorian Equal Opportunity and Human </w:t>
      </w:r>
      <w:r>
        <w:rPr>
          <w:i/>
          <w:color w:val="231F20"/>
          <w:spacing w:val="2"/>
          <w:sz w:val="13"/>
        </w:rPr>
        <w:t xml:space="preserve">Rights </w:t>
      </w:r>
      <w:r>
        <w:rPr>
          <w:i/>
          <w:color w:val="231F20"/>
          <w:sz w:val="13"/>
        </w:rPr>
        <w:t xml:space="preserve">Commission </w:t>
      </w:r>
      <w:r>
        <w:rPr>
          <w:color w:val="231F20"/>
          <w:sz w:val="13"/>
        </w:rPr>
        <w:t>(Web Pag</w:t>
      </w:r>
      <w:hyperlink r:id="rId110">
        <w:r>
          <w:rPr>
            <w:color w:val="231F20"/>
            <w:sz w:val="13"/>
          </w:rPr>
          <w:t>e) &lt;https://www.humanrights.vic.gov.au/for-individuals/</w:t>
        </w:r>
      </w:hyperlink>
      <w:hyperlink r:id="rId111">
        <w:r>
          <w:rPr>
            <w:color w:val="231F20"/>
            <w:sz w:val="13"/>
          </w:rPr>
          <w:t xml:space="preserve"> sexual-harassment/</w:t>
        </w:r>
      </w:hyperlink>
      <w:r>
        <w:rPr>
          <w:color w:val="231F20"/>
          <w:sz w:val="13"/>
        </w:rPr>
        <w:t>&gt;.</w:t>
      </w:r>
    </w:p>
    <w:p w14:paraId="5A101893" w14:textId="77777777" w:rsidR="00894070" w:rsidRDefault="009B7AFD">
      <w:pPr>
        <w:pStyle w:val="ListParagraph"/>
        <w:numPr>
          <w:ilvl w:val="0"/>
          <w:numId w:val="134"/>
        </w:numPr>
        <w:tabs>
          <w:tab w:val="left" w:pos="1800"/>
          <w:tab w:val="left" w:pos="1802"/>
        </w:tabs>
        <w:spacing w:line="213" w:lineRule="auto"/>
        <w:ind w:right="1384"/>
        <w:rPr>
          <w:sz w:val="13"/>
        </w:rPr>
      </w:pPr>
      <w:r>
        <w:rPr>
          <w:color w:val="231F20"/>
          <w:spacing w:val="2"/>
          <w:sz w:val="13"/>
        </w:rPr>
        <w:t xml:space="preserve">Submission </w:t>
      </w:r>
      <w:r>
        <w:rPr>
          <w:color w:val="231F20"/>
          <w:sz w:val="13"/>
        </w:rPr>
        <w:t xml:space="preserve">100 (Forensicare). Victoria Police told us about the challenges that can arise if people who experience </w:t>
      </w:r>
      <w:r>
        <w:rPr>
          <w:color w:val="231F20"/>
          <w:spacing w:val="2"/>
          <w:sz w:val="13"/>
        </w:rPr>
        <w:t xml:space="preserve">stalking </w:t>
      </w:r>
      <w:r>
        <w:rPr>
          <w:color w:val="231F20"/>
          <w:sz w:val="13"/>
        </w:rPr>
        <w:t>do not</w:t>
      </w:r>
      <w:r>
        <w:rPr>
          <w:color w:val="231F20"/>
          <w:spacing w:val="3"/>
          <w:sz w:val="13"/>
        </w:rPr>
        <w:t xml:space="preserve"> </w:t>
      </w:r>
      <w:r>
        <w:rPr>
          <w:color w:val="231F20"/>
          <w:sz w:val="13"/>
        </w:rPr>
        <w:t>keep</w:t>
      </w:r>
      <w:r>
        <w:rPr>
          <w:color w:val="231F20"/>
          <w:spacing w:val="3"/>
          <w:sz w:val="13"/>
        </w:rPr>
        <w:t xml:space="preserve"> </w:t>
      </w:r>
      <w:r>
        <w:rPr>
          <w:color w:val="231F20"/>
          <w:spacing w:val="2"/>
          <w:sz w:val="13"/>
        </w:rPr>
        <w:t>details</w:t>
      </w:r>
      <w:r>
        <w:rPr>
          <w:color w:val="231F20"/>
          <w:spacing w:val="3"/>
          <w:sz w:val="13"/>
        </w:rPr>
        <w:t xml:space="preserve"> </w:t>
      </w:r>
      <w:r>
        <w:rPr>
          <w:color w:val="231F20"/>
          <w:sz w:val="13"/>
        </w:rPr>
        <w:t>of</w:t>
      </w:r>
      <w:r>
        <w:rPr>
          <w:color w:val="231F20"/>
          <w:spacing w:val="3"/>
          <w:sz w:val="13"/>
        </w:rPr>
        <w:t xml:space="preserve"> </w:t>
      </w:r>
      <w:proofErr w:type="gramStart"/>
      <w:r>
        <w:rPr>
          <w:color w:val="231F20"/>
          <w:sz w:val="13"/>
        </w:rPr>
        <w:t>interactions</w:t>
      </w:r>
      <w:proofErr w:type="gramEnd"/>
      <w:r>
        <w:rPr>
          <w:color w:val="231F20"/>
          <w:spacing w:val="3"/>
          <w:sz w:val="13"/>
        </w:rPr>
        <w:t xml:space="preserve"> </w:t>
      </w:r>
      <w:r>
        <w:rPr>
          <w:color w:val="231F20"/>
          <w:sz w:val="13"/>
        </w:rPr>
        <w:t>they</w:t>
      </w:r>
      <w:r>
        <w:rPr>
          <w:color w:val="231F20"/>
          <w:spacing w:val="3"/>
          <w:sz w:val="13"/>
        </w:rPr>
        <w:t xml:space="preserve"> </w:t>
      </w:r>
      <w:r>
        <w:rPr>
          <w:color w:val="231F20"/>
          <w:sz w:val="13"/>
        </w:rPr>
        <w:t>have</w:t>
      </w:r>
      <w:r>
        <w:rPr>
          <w:color w:val="231F20"/>
          <w:spacing w:val="3"/>
          <w:sz w:val="13"/>
        </w:rPr>
        <w:t xml:space="preserve"> </w:t>
      </w:r>
      <w:r>
        <w:rPr>
          <w:color w:val="231F20"/>
          <w:sz w:val="13"/>
        </w:rPr>
        <w:t>had</w:t>
      </w:r>
      <w:r>
        <w:rPr>
          <w:color w:val="231F20"/>
          <w:spacing w:val="3"/>
          <w:sz w:val="13"/>
        </w:rPr>
        <w:t xml:space="preserve"> </w:t>
      </w:r>
      <w:r>
        <w:rPr>
          <w:color w:val="231F20"/>
          <w:sz w:val="13"/>
        </w:rPr>
        <w:t>with</w:t>
      </w:r>
      <w:r>
        <w:rPr>
          <w:color w:val="231F20"/>
          <w:spacing w:val="3"/>
          <w:sz w:val="13"/>
        </w:rPr>
        <w:t xml:space="preserve"> </w:t>
      </w:r>
      <w:r>
        <w:rPr>
          <w:color w:val="231F20"/>
          <w:sz w:val="13"/>
        </w:rPr>
        <w:t>the</w:t>
      </w:r>
      <w:r>
        <w:rPr>
          <w:color w:val="231F20"/>
          <w:spacing w:val="3"/>
          <w:sz w:val="13"/>
        </w:rPr>
        <w:t xml:space="preserve"> </w:t>
      </w:r>
      <w:r>
        <w:rPr>
          <w:color w:val="231F20"/>
          <w:sz w:val="13"/>
        </w:rPr>
        <w:t>person</w:t>
      </w:r>
      <w:r>
        <w:rPr>
          <w:color w:val="231F20"/>
          <w:spacing w:val="3"/>
          <w:sz w:val="13"/>
        </w:rPr>
        <w:t xml:space="preserve"> </w:t>
      </w:r>
      <w:r>
        <w:rPr>
          <w:color w:val="231F20"/>
          <w:sz w:val="13"/>
        </w:rPr>
        <w:t>who</w:t>
      </w:r>
      <w:r>
        <w:rPr>
          <w:color w:val="231F20"/>
          <w:spacing w:val="3"/>
          <w:sz w:val="13"/>
        </w:rPr>
        <w:t xml:space="preserve"> </w:t>
      </w:r>
      <w:r>
        <w:rPr>
          <w:color w:val="231F20"/>
          <w:sz w:val="13"/>
        </w:rPr>
        <w:t>is</w:t>
      </w:r>
      <w:r>
        <w:rPr>
          <w:color w:val="231F20"/>
          <w:spacing w:val="3"/>
          <w:sz w:val="13"/>
        </w:rPr>
        <w:t xml:space="preserve"> </w:t>
      </w:r>
      <w:r>
        <w:rPr>
          <w:color w:val="231F20"/>
          <w:spacing w:val="2"/>
          <w:sz w:val="13"/>
        </w:rPr>
        <w:t>stalking</w:t>
      </w:r>
      <w:r>
        <w:rPr>
          <w:color w:val="231F20"/>
          <w:spacing w:val="3"/>
          <w:sz w:val="13"/>
        </w:rPr>
        <w:t xml:space="preserve"> </w:t>
      </w:r>
      <w:r>
        <w:rPr>
          <w:color w:val="231F20"/>
          <w:sz w:val="13"/>
        </w:rPr>
        <w:t>them:</w:t>
      </w:r>
      <w:r>
        <w:rPr>
          <w:color w:val="231F20"/>
          <w:spacing w:val="3"/>
          <w:sz w:val="13"/>
        </w:rPr>
        <w:t xml:space="preserve"> </w:t>
      </w:r>
      <w:r>
        <w:rPr>
          <w:color w:val="231F20"/>
          <w:spacing w:val="2"/>
          <w:sz w:val="13"/>
        </w:rPr>
        <w:t>Submission</w:t>
      </w:r>
      <w:r>
        <w:rPr>
          <w:color w:val="231F20"/>
          <w:spacing w:val="3"/>
          <w:sz w:val="13"/>
        </w:rPr>
        <w:t xml:space="preserve"> </w:t>
      </w:r>
      <w:r>
        <w:rPr>
          <w:color w:val="231F20"/>
          <w:spacing w:val="2"/>
          <w:sz w:val="13"/>
        </w:rPr>
        <w:t>115</w:t>
      </w:r>
      <w:r>
        <w:rPr>
          <w:color w:val="231F20"/>
          <w:spacing w:val="3"/>
          <w:sz w:val="13"/>
        </w:rPr>
        <w:t xml:space="preserve"> </w:t>
      </w:r>
      <w:r>
        <w:rPr>
          <w:color w:val="231F20"/>
          <w:sz w:val="13"/>
        </w:rPr>
        <w:t>(Victoria</w:t>
      </w:r>
      <w:r>
        <w:rPr>
          <w:color w:val="231F20"/>
          <w:spacing w:val="3"/>
          <w:sz w:val="13"/>
        </w:rPr>
        <w:t xml:space="preserve"> </w:t>
      </w:r>
      <w:r>
        <w:rPr>
          <w:color w:val="231F20"/>
          <w:sz w:val="13"/>
        </w:rPr>
        <w:t>Police).</w:t>
      </w:r>
    </w:p>
    <w:p w14:paraId="368BB7BD" w14:textId="77777777" w:rsidR="00894070" w:rsidRDefault="009B7AFD">
      <w:pPr>
        <w:pStyle w:val="ListParagraph"/>
        <w:numPr>
          <w:ilvl w:val="0"/>
          <w:numId w:val="134"/>
        </w:numPr>
        <w:tabs>
          <w:tab w:val="left" w:pos="1800"/>
          <w:tab w:val="left" w:pos="1802"/>
        </w:tabs>
        <w:spacing w:line="213" w:lineRule="auto"/>
        <w:ind w:right="1202"/>
        <w:rPr>
          <w:sz w:val="13"/>
        </w:rPr>
      </w:pPr>
      <w:r>
        <w:rPr>
          <w:color w:val="231F20"/>
          <w:spacing w:val="2"/>
          <w:sz w:val="13"/>
        </w:rPr>
        <w:t xml:space="preserve">Submissions </w:t>
      </w:r>
      <w:r>
        <w:rPr>
          <w:color w:val="231F20"/>
          <w:sz w:val="13"/>
        </w:rPr>
        <w:t xml:space="preserve">32 (Centre for Forensic Behavioural Science), 51 (Matthew Raj). </w:t>
      </w:r>
      <w:r>
        <w:rPr>
          <w:color w:val="231F20"/>
          <w:spacing w:val="2"/>
          <w:sz w:val="13"/>
        </w:rPr>
        <w:t xml:space="preserve">Assistant </w:t>
      </w:r>
      <w:r>
        <w:rPr>
          <w:color w:val="231F20"/>
          <w:sz w:val="13"/>
        </w:rPr>
        <w:t xml:space="preserve">Professor Raj </w:t>
      </w:r>
      <w:r>
        <w:rPr>
          <w:color w:val="231F20"/>
          <w:spacing w:val="2"/>
          <w:sz w:val="13"/>
        </w:rPr>
        <w:t xml:space="preserve">also </w:t>
      </w:r>
      <w:r>
        <w:rPr>
          <w:color w:val="231F20"/>
          <w:sz w:val="13"/>
        </w:rPr>
        <w:t xml:space="preserve">suggested it would be useful to </w:t>
      </w:r>
      <w:r>
        <w:rPr>
          <w:color w:val="231F20"/>
          <w:spacing w:val="2"/>
          <w:sz w:val="13"/>
        </w:rPr>
        <w:t xml:space="preserve">identify </w:t>
      </w:r>
      <w:r>
        <w:rPr>
          <w:color w:val="231F20"/>
          <w:sz w:val="13"/>
        </w:rPr>
        <w:t xml:space="preserve">conduct that is counter-productive, such as physically confronting the person </w:t>
      </w:r>
      <w:r>
        <w:rPr>
          <w:color w:val="231F20"/>
          <w:spacing w:val="2"/>
          <w:sz w:val="13"/>
        </w:rPr>
        <w:t xml:space="preserve">stalking </w:t>
      </w:r>
      <w:r>
        <w:rPr>
          <w:color w:val="231F20"/>
          <w:sz w:val="13"/>
        </w:rPr>
        <w:t>you, or blaming yourself for the</w:t>
      </w:r>
      <w:r>
        <w:rPr>
          <w:color w:val="231F20"/>
          <w:spacing w:val="-1"/>
          <w:sz w:val="13"/>
        </w:rPr>
        <w:t xml:space="preserve"> </w:t>
      </w:r>
      <w:r>
        <w:rPr>
          <w:color w:val="231F20"/>
          <w:spacing w:val="2"/>
          <w:sz w:val="13"/>
        </w:rPr>
        <w:t>stalking.</w:t>
      </w:r>
    </w:p>
    <w:p w14:paraId="29149C90" w14:textId="77777777" w:rsidR="00894070" w:rsidRDefault="009B7AFD">
      <w:pPr>
        <w:pStyle w:val="ListParagraph"/>
        <w:numPr>
          <w:ilvl w:val="0"/>
          <w:numId w:val="134"/>
        </w:numPr>
        <w:tabs>
          <w:tab w:val="left" w:pos="1800"/>
          <w:tab w:val="left" w:pos="1802"/>
        </w:tabs>
        <w:spacing w:line="152" w:lineRule="exact"/>
        <w:rPr>
          <w:sz w:val="13"/>
        </w:rPr>
      </w:pPr>
      <w:r>
        <w:rPr>
          <w:color w:val="231F20"/>
          <w:spacing w:val="2"/>
          <w:sz w:val="13"/>
        </w:rPr>
        <w:t xml:space="preserve">Submission </w:t>
      </w:r>
      <w:r>
        <w:rPr>
          <w:color w:val="231F20"/>
          <w:sz w:val="13"/>
        </w:rPr>
        <w:t xml:space="preserve">11 (Anonymous). See </w:t>
      </w:r>
      <w:r>
        <w:rPr>
          <w:color w:val="231F20"/>
          <w:spacing w:val="2"/>
          <w:sz w:val="13"/>
        </w:rPr>
        <w:t xml:space="preserve">also Submission </w:t>
      </w:r>
      <w:r>
        <w:rPr>
          <w:color w:val="231F20"/>
          <w:sz w:val="13"/>
        </w:rPr>
        <w:t>51 (Matthew</w:t>
      </w:r>
      <w:r>
        <w:rPr>
          <w:color w:val="231F20"/>
          <w:spacing w:val="-4"/>
          <w:sz w:val="13"/>
        </w:rPr>
        <w:t xml:space="preserve"> </w:t>
      </w:r>
      <w:r>
        <w:rPr>
          <w:color w:val="231F20"/>
          <w:sz w:val="13"/>
        </w:rPr>
        <w:t>Raj).</w:t>
      </w:r>
    </w:p>
    <w:p w14:paraId="16C6FE0E" w14:textId="77777777" w:rsidR="00894070" w:rsidRDefault="009F6793">
      <w:pPr>
        <w:pStyle w:val="ListParagraph"/>
        <w:numPr>
          <w:ilvl w:val="0"/>
          <w:numId w:val="134"/>
        </w:numPr>
        <w:tabs>
          <w:tab w:val="left" w:pos="1800"/>
          <w:tab w:val="left" w:pos="1802"/>
        </w:tabs>
        <w:spacing w:before="3" w:line="213" w:lineRule="auto"/>
        <w:ind w:right="1218"/>
        <w:rPr>
          <w:sz w:val="13"/>
        </w:rPr>
      </w:pPr>
      <w:r>
        <w:pict w14:anchorId="08CD4C5A">
          <v:shape id="_x0000_s1516" type="#_x0000_t202" style="position:absolute;left:0;text-align:left;margin-left:548.95pt;margin-top:19.55pt;width:13.2pt;height:14.1pt;z-index:251603968;mso-position-horizontal-relative:page" filled="f" stroked="f">
            <v:textbox inset="0,0,0,0">
              <w:txbxContent>
                <w:p w14:paraId="5C28F001" w14:textId="77777777" w:rsidR="00894070" w:rsidRDefault="009B7AFD">
                  <w:pPr>
                    <w:spacing w:line="282" w:lineRule="exact"/>
                    <w:rPr>
                      <w:b/>
                      <w:sz w:val="24"/>
                    </w:rPr>
                  </w:pPr>
                  <w:r>
                    <w:rPr>
                      <w:b/>
                      <w:color w:val="EA5B50"/>
                      <w:spacing w:val="-2"/>
                      <w:sz w:val="24"/>
                    </w:rPr>
                    <w:t>55</w:t>
                  </w:r>
                </w:p>
              </w:txbxContent>
            </v:textbox>
            <w10:wrap anchorx="page"/>
          </v:shape>
        </w:pict>
      </w:r>
      <w:r w:rsidR="009B7AFD">
        <w:rPr>
          <w:color w:val="231F20"/>
          <w:sz w:val="13"/>
        </w:rPr>
        <w:t xml:space="preserve">See generally </w:t>
      </w:r>
      <w:r w:rsidR="009B7AFD">
        <w:rPr>
          <w:color w:val="231F20"/>
          <w:spacing w:val="2"/>
          <w:sz w:val="13"/>
        </w:rPr>
        <w:t xml:space="preserve">Submission </w:t>
      </w:r>
      <w:r w:rsidR="009B7AFD">
        <w:rPr>
          <w:color w:val="231F20"/>
          <w:sz w:val="13"/>
        </w:rPr>
        <w:t xml:space="preserve">100 (Forensicare); Consultation 31 (Roundtable with multicultural and multifaith community organisations). Some people who </w:t>
      </w:r>
      <w:r w:rsidR="009B7AFD">
        <w:rPr>
          <w:color w:val="231F20"/>
          <w:spacing w:val="2"/>
          <w:sz w:val="13"/>
        </w:rPr>
        <w:t xml:space="preserve">stalk </w:t>
      </w:r>
      <w:r w:rsidR="009B7AFD">
        <w:rPr>
          <w:color w:val="231F20"/>
          <w:sz w:val="13"/>
        </w:rPr>
        <w:t xml:space="preserve">may not be aware that what they are doing is </w:t>
      </w:r>
      <w:r w:rsidR="009B7AFD">
        <w:rPr>
          <w:color w:val="231F20"/>
          <w:spacing w:val="2"/>
          <w:sz w:val="13"/>
        </w:rPr>
        <w:t xml:space="preserve">stalking </w:t>
      </w:r>
      <w:r w:rsidR="009B7AFD">
        <w:rPr>
          <w:color w:val="231F20"/>
          <w:sz w:val="13"/>
        </w:rPr>
        <w:t xml:space="preserve">and illegal: see generally Adrian J Scott et </w:t>
      </w:r>
      <w:r w:rsidR="009B7AFD">
        <w:rPr>
          <w:color w:val="231F20"/>
          <w:spacing w:val="2"/>
          <w:sz w:val="13"/>
        </w:rPr>
        <w:t xml:space="preserve">al, </w:t>
      </w:r>
      <w:r w:rsidR="009B7AFD">
        <w:rPr>
          <w:color w:val="231F20"/>
          <w:sz w:val="13"/>
        </w:rPr>
        <w:t xml:space="preserve">‘International Perceptions of Stalking and Responsibility: The Influence of Prior Relationship and Severity of Behavior’ (2014) 41(2) </w:t>
      </w:r>
      <w:r w:rsidR="009B7AFD">
        <w:rPr>
          <w:i/>
          <w:color w:val="231F20"/>
          <w:sz w:val="13"/>
        </w:rPr>
        <w:t>Criminal Justice and Behavior</w:t>
      </w:r>
      <w:r w:rsidR="009B7AFD">
        <w:rPr>
          <w:i/>
          <w:color w:val="231F20"/>
          <w:spacing w:val="2"/>
          <w:sz w:val="13"/>
        </w:rPr>
        <w:t xml:space="preserve"> </w:t>
      </w:r>
      <w:r w:rsidR="009B7AFD">
        <w:rPr>
          <w:color w:val="231F20"/>
          <w:sz w:val="13"/>
        </w:rPr>
        <w:t>220.</w:t>
      </w:r>
    </w:p>
    <w:p w14:paraId="6B0D2C56" w14:textId="77777777" w:rsidR="00894070" w:rsidRDefault="00894070">
      <w:pPr>
        <w:spacing w:line="213" w:lineRule="auto"/>
        <w:rPr>
          <w:sz w:val="13"/>
        </w:rPr>
        <w:sectPr w:rsidR="00894070">
          <w:headerReference w:type="even" r:id="rId112"/>
          <w:headerReference w:type="default" r:id="rId113"/>
          <w:pgSz w:w="11910" w:h="16840"/>
          <w:pgMar w:top="840" w:right="420" w:bottom="280" w:left="580" w:header="0" w:footer="0" w:gutter="0"/>
          <w:cols w:space="720"/>
        </w:sectPr>
      </w:pPr>
    </w:p>
    <w:p w14:paraId="736AC37E" w14:textId="77777777" w:rsidR="00894070" w:rsidRDefault="00894070">
      <w:pPr>
        <w:pStyle w:val="BodyText"/>
      </w:pPr>
    </w:p>
    <w:p w14:paraId="61DABA79" w14:textId="77777777" w:rsidR="00894070" w:rsidRDefault="00894070">
      <w:pPr>
        <w:pStyle w:val="BodyText"/>
      </w:pPr>
    </w:p>
    <w:p w14:paraId="1F309DFC" w14:textId="77777777" w:rsidR="00894070" w:rsidRDefault="00894070">
      <w:pPr>
        <w:pStyle w:val="BodyText"/>
      </w:pPr>
    </w:p>
    <w:p w14:paraId="272980D9" w14:textId="77777777" w:rsidR="00894070" w:rsidRDefault="00894070">
      <w:pPr>
        <w:pStyle w:val="BodyText"/>
        <w:spacing w:before="11"/>
        <w:rPr>
          <w:sz w:val="18"/>
        </w:rPr>
      </w:pPr>
    </w:p>
    <w:p w14:paraId="7E40D66D" w14:textId="77777777" w:rsidR="00894070" w:rsidRDefault="009B7AFD">
      <w:pPr>
        <w:pStyle w:val="ListParagraph"/>
        <w:numPr>
          <w:ilvl w:val="1"/>
          <w:numId w:val="177"/>
        </w:numPr>
        <w:tabs>
          <w:tab w:val="left" w:pos="1801"/>
          <w:tab w:val="left" w:pos="1802"/>
        </w:tabs>
        <w:spacing w:line="206" w:lineRule="auto"/>
        <w:ind w:right="1190"/>
        <w:rPr>
          <w:sz w:val="11"/>
        </w:rPr>
      </w:pPr>
      <w:bookmarkStart w:id="77" w:name="Stalking_is_not_well_understood"/>
      <w:bookmarkStart w:id="78" w:name="_bookmark40"/>
      <w:bookmarkEnd w:id="77"/>
      <w:bookmarkEnd w:id="78"/>
      <w:r>
        <w:rPr>
          <w:color w:val="231F20"/>
          <w:sz w:val="20"/>
        </w:rPr>
        <w:t xml:space="preserve">It </w:t>
      </w:r>
      <w:r>
        <w:rPr>
          <w:color w:val="231F20"/>
          <w:spacing w:val="-3"/>
          <w:sz w:val="20"/>
        </w:rPr>
        <w:t xml:space="preserve">may </w:t>
      </w:r>
      <w:r>
        <w:rPr>
          <w:color w:val="231F20"/>
          <w:sz w:val="20"/>
        </w:rPr>
        <w:t xml:space="preserve">be useful </w:t>
      </w:r>
      <w:r>
        <w:rPr>
          <w:color w:val="231F20"/>
          <w:spacing w:val="-3"/>
          <w:sz w:val="20"/>
        </w:rPr>
        <w:t xml:space="preserve">for information </w:t>
      </w:r>
      <w:r>
        <w:rPr>
          <w:color w:val="231F20"/>
          <w:sz w:val="20"/>
        </w:rPr>
        <w:t xml:space="preserve">sources to </w:t>
      </w:r>
      <w:r>
        <w:rPr>
          <w:color w:val="231F20"/>
          <w:spacing w:val="-3"/>
          <w:sz w:val="20"/>
        </w:rPr>
        <w:t xml:space="preserve">provide </w:t>
      </w:r>
      <w:r>
        <w:rPr>
          <w:color w:val="231F20"/>
          <w:sz w:val="20"/>
        </w:rPr>
        <w:t xml:space="preserve">clear summaries of </w:t>
      </w:r>
      <w:r>
        <w:rPr>
          <w:color w:val="231F20"/>
          <w:spacing w:val="-3"/>
          <w:sz w:val="20"/>
        </w:rPr>
        <w:t xml:space="preserve">how </w:t>
      </w:r>
      <w:r>
        <w:rPr>
          <w:color w:val="231F20"/>
          <w:sz w:val="20"/>
        </w:rPr>
        <w:t>to recognise</w:t>
      </w:r>
      <w:r>
        <w:rPr>
          <w:color w:val="231F20"/>
          <w:spacing w:val="-7"/>
          <w:sz w:val="20"/>
        </w:rPr>
        <w:t xml:space="preserve"> </w:t>
      </w:r>
      <w:r>
        <w:rPr>
          <w:color w:val="231F20"/>
          <w:sz w:val="20"/>
        </w:rPr>
        <w:t>and</w:t>
      </w:r>
      <w:r>
        <w:rPr>
          <w:color w:val="231F20"/>
          <w:spacing w:val="-6"/>
          <w:sz w:val="20"/>
        </w:rPr>
        <w:t xml:space="preserve"> </w:t>
      </w:r>
      <w:r>
        <w:rPr>
          <w:color w:val="231F20"/>
          <w:sz w:val="20"/>
        </w:rPr>
        <w:t>respond</w:t>
      </w:r>
      <w:r>
        <w:rPr>
          <w:color w:val="231F20"/>
          <w:spacing w:val="-7"/>
          <w:sz w:val="20"/>
        </w:rPr>
        <w:t xml:space="preserve"> </w:t>
      </w:r>
      <w:r>
        <w:rPr>
          <w:color w:val="231F20"/>
          <w:sz w:val="20"/>
        </w:rPr>
        <w:t>to</w:t>
      </w:r>
      <w:r>
        <w:rPr>
          <w:color w:val="231F20"/>
          <w:spacing w:val="-6"/>
          <w:sz w:val="20"/>
        </w:rPr>
        <w:t xml:space="preserve"> </w:t>
      </w:r>
      <w:r>
        <w:rPr>
          <w:color w:val="231F20"/>
          <w:sz w:val="20"/>
        </w:rPr>
        <w:t>stalking.</w:t>
      </w:r>
      <w:r>
        <w:rPr>
          <w:color w:val="231F20"/>
          <w:position w:val="7"/>
          <w:sz w:val="11"/>
        </w:rPr>
        <w:t>9</w:t>
      </w:r>
      <w:r>
        <w:rPr>
          <w:color w:val="231F20"/>
          <w:spacing w:val="17"/>
          <w:position w:val="7"/>
          <w:sz w:val="11"/>
        </w:rPr>
        <w:t xml:space="preserve"> </w:t>
      </w:r>
      <w:r>
        <w:rPr>
          <w:color w:val="231F20"/>
          <w:spacing w:val="-3"/>
          <w:sz w:val="20"/>
        </w:rPr>
        <w:t>For</w:t>
      </w:r>
      <w:r>
        <w:rPr>
          <w:color w:val="231F20"/>
          <w:spacing w:val="-6"/>
          <w:sz w:val="20"/>
        </w:rPr>
        <w:t xml:space="preserve"> </w:t>
      </w:r>
      <w:r>
        <w:rPr>
          <w:color w:val="231F20"/>
          <w:spacing w:val="-3"/>
          <w:sz w:val="20"/>
        </w:rPr>
        <w:t>example,</w:t>
      </w:r>
      <w:r>
        <w:rPr>
          <w:color w:val="231F20"/>
          <w:spacing w:val="-7"/>
          <w:sz w:val="20"/>
        </w:rPr>
        <w:t xml:space="preserve"> </w:t>
      </w:r>
      <w:r>
        <w:rPr>
          <w:color w:val="231F20"/>
          <w:sz w:val="20"/>
        </w:rPr>
        <w:t>the</w:t>
      </w:r>
      <w:r>
        <w:rPr>
          <w:color w:val="231F20"/>
          <w:spacing w:val="-6"/>
          <w:sz w:val="20"/>
        </w:rPr>
        <w:t xml:space="preserve"> </w:t>
      </w:r>
      <w:r>
        <w:rPr>
          <w:color w:val="231F20"/>
          <w:spacing w:val="-3"/>
          <w:sz w:val="20"/>
        </w:rPr>
        <w:t>‘rules’</w:t>
      </w:r>
      <w:r>
        <w:rPr>
          <w:color w:val="231F20"/>
          <w:spacing w:val="-7"/>
          <w:sz w:val="20"/>
        </w:rPr>
        <w:t xml:space="preserve"> </w:t>
      </w:r>
      <w:r>
        <w:rPr>
          <w:color w:val="231F20"/>
          <w:spacing w:val="-3"/>
          <w:sz w:val="20"/>
        </w:rPr>
        <w:t>below</w:t>
      </w:r>
      <w:r>
        <w:rPr>
          <w:color w:val="231F20"/>
          <w:spacing w:val="-6"/>
          <w:sz w:val="20"/>
        </w:rPr>
        <w:t xml:space="preserve"> </w:t>
      </w:r>
      <w:r>
        <w:rPr>
          <w:color w:val="231F20"/>
          <w:spacing w:val="-3"/>
          <w:sz w:val="20"/>
        </w:rPr>
        <w:t>are</w:t>
      </w:r>
      <w:r>
        <w:rPr>
          <w:color w:val="231F20"/>
          <w:spacing w:val="-7"/>
          <w:sz w:val="20"/>
        </w:rPr>
        <w:t xml:space="preserve"> </w:t>
      </w:r>
      <w:r>
        <w:rPr>
          <w:color w:val="231F20"/>
          <w:sz w:val="20"/>
        </w:rPr>
        <w:t>used</w:t>
      </w:r>
      <w:r>
        <w:rPr>
          <w:color w:val="231F20"/>
          <w:spacing w:val="-6"/>
          <w:sz w:val="20"/>
        </w:rPr>
        <w:t xml:space="preserve"> </w:t>
      </w:r>
      <w:r>
        <w:rPr>
          <w:color w:val="231F20"/>
          <w:sz w:val="20"/>
        </w:rPr>
        <w:t>in</w:t>
      </w:r>
      <w:r>
        <w:rPr>
          <w:color w:val="231F20"/>
          <w:spacing w:val="-7"/>
          <w:sz w:val="20"/>
        </w:rPr>
        <w:t xml:space="preserve"> </w:t>
      </w:r>
      <w:r>
        <w:rPr>
          <w:color w:val="231F20"/>
          <w:spacing w:val="-3"/>
          <w:sz w:val="20"/>
        </w:rPr>
        <w:t xml:space="preserve">Germany. </w:t>
      </w:r>
      <w:r>
        <w:rPr>
          <w:color w:val="231F20"/>
          <w:sz w:val="20"/>
        </w:rPr>
        <w:t xml:space="preserve">After suitable </w:t>
      </w:r>
      <w:r>
        <w:rPr>
          <w:color w:val="231F20"/>
          <w:spacing w:val="-3"/>
          <w:sz w:val="20"/>
        </w:rPr>
        <w:t xml:space="preserve">evaluation, </w:t>
      </w:r>
      <w:r>
        <w:rPr>
          <w:color w:val="231F20"/>
          <w:sz w:val="20"/>
        </w:rPr>
        <w:t>they could be adapted to suit the needs of people who experience stalking in Victoria (see</w:t>
      </w:r>
      <w:r>
        <w:rPr>
          <w:color w:val="231F20"/>
          <w:spacing w:val="-22"/>
          <w:sz w:val="20"/>
        </w:rPr>
        <w:t xml:space="preserve"> </w:t>
      </w:r>
      <w:r>
        <w:rPr>
          <w:color w:val="231F20"/>
          <w:spacing w:val="-3"/>
          <w:sz w:val="20"/>
        </w:rPr>
        <w:t>box).</w:t>
      </w:r>
      <w:r>
        <w:rPr>
          <w:color w:val="231F20"/>
          <w:spacing w:val="-3"/>
          <w:position w:val="7"/>
          <w:sz w:val="11"/>
        </w:rPr>
        <w:t>10</w:t>
      </w:r>
    </w:p>
    <w:p w14:paraId="186F0C63" w14:textId="77777777" w:rsidR="00894070" w:rsidRDefault="009F6793">
      <w:pPr>
        <w:pStyle w:val="BodyText"/>
        <w:spacing w:before="9"/>
        <w:rPr>
          <w:sz w:val="23"/>
        </w:rPr>
      </w:pPr>
      <w:r>
        <w:pict w14:anchorId="46F6C56D">
          <v:group id="_x0000_s1507" style="position:absolute;margin-left:79.35pt;margin-top:18.4pt;width:436.55pt;height:218.6pt;z-index:251531264;mso-wrap-distance-left:0;mso-wrap-distance-right:0;mso-position-horizontal-relative:page" coordorigin="1587,368" coordsize="8731,4372">
            <v:rect id="_x0000_s1515" style="position:absolute;left:1592;top:372;width:8721;height:4362" fillcolor="#fee7de" stroked="f"/>
            <v:line id="_x0000_s1514" style="position:absolute" from="1587,373" to="10318,373" strokecolor="#ea5b50" strokeweight=".5pt"/>
            <v:line id="_x0000_s1513" style="position:absolute" from="1592,4729" to="1592,378" strokecolor="#ea5b50" strokeweight=".5pt"/>
            <v:line id="_x0000_s1512" style="position:absolute" from="10313,4729" to="10313,378" strokecolor="#ea5b50" strokeweight=".5pt"/>
            <v:line id="_x0000_s1511" style="position:absolute" from="1587,4734" to="10318,4734" strokecolor="#ea5b50" strokeweight=".5pt"/>
            <v:shape id="_x0000_s1510" type="#_x0000_t202" style="position:absolute;left:2612;top:959;width:7076;height:3595" filled="f" stroked="f">
              <v:textbox inset="0,0,0,0">
                <w:txbxContent>
                  <w:p w14:paraId="06ED7558" w14:textId="77777777" w:rsidR="00894070" w:rsidRDefault="009B7AFD">
                    <w:pPr>
                      <w:spacing w:line="235" w:lineRule="exact"/>
                      <w:rPr>
                        <w:sz w:val="20"/>
                      </w:rPr>
                    </w:pPr>
                    <w:r>
                      <w:rPr>
                        <w:color w:val="231F20"/>
                        <w:sz w:val="20"/>
                      </w:rPr>
                      <w:t>Explain only once, but with absolute clarity, that no contact is wanted.</w:t>
                    </w:r>
                  </w:p>
                  <w:p w14:paraId="5EBB6903" w14:textId="77777777" w:rsidR="00894070" w:rsidRDefault="009B7AFD">
                    <w:pPr>
                      <w:spacing w:before="82"/>
                      <w:rPr>
                        <w:sz w:val="20"/>
                      </w:rPr>
                    </w:pPr>
                    <w:r>
                      <w:rPr>
                        <w:color w:val="231F20"/>
                        <w:sz w:val="20"/>
                      </w:rPr>
                      <w:t>Ignore completely all further attempts at contact.</w:t>
                    </w:r>
                  </w:p>
                  <w:p w14:paraId="56B89332" w14:textId="77777777" w:rsidR="00894070" w:rsidRDefault="009B7AFD">
                    <w:pPr>
                      <w:spacing w:before="82"/>
                      <w:rPr>
                        <w:sz w:val="20"/>
                      </w:rPr>
                    </w:pPr>
                    <w:r>
                      <w:rPr>
                        <w:color w:val="231F20"/>
                        <w:sz w:val="20"/>
                      </w:rPr>
                      <w:t>Make public what is going on, ie inform neighbours, colleagues and friends.</w:t>
                    </w:r>
                  </w:p>
                  <w:p w14:paraId="01F3CFB7" w14:textId="77777777" w:rsidR="00894070" w:rsidRDefault="009B7AFD">
                    <w:pPr>
                      <w:spacing w:before="83"/>
                      <w:rPr>
                        <w:sz w:val="20"/>
                      </w:rPr>
                    </w:pPr>
                    <w:r>
                      <w:rPr>
                        <w:color w:val="231F20"/>
                        <w:sz w:val="20"/>
                      </w:rPr>
                      <w:t>Document all events in a stalking diary.</w:t>
                    </w:r>
                  </w:p>
                  <w:p w14:paraId="01745E33" w14:textId="77777777" w:rsidR="00894070" w:rsidRDefault="009B7AFD">
                    <w:pPr>
                      <w:spacing w:before="82"/>
                      <w:rPr>
                        <w:sz w:val="20"/>
                      </w:rPr>
                    </w:pPr>
                    <w:r>
                      <w:rPr>
                        <w:color w:val="231F20"/>
                        <w:sz w:val="20"/>
                      </w:rPr>
                      <w:t>Do not delete text messages and e-mails: they constitute evidence.</w:t>
                    </w:r>
                  </w:p>
                  <w:p w14:paraId="684E7F47" w14:textId="77777777" w:rsidR="00894070" w:rsidRDefault="009B7AFD">
                    <w:pPr>
                      <w:spacing w:before="83" w:line="259" w:lineRule="exact"/>
                      <w:rPr>
                        <w:sz w:val="20"/>
                      </w:rPr>
                    </w:pPr>
                    <w:r>
                      <w:rPr>
                        <w:color w:val="231F20"/>
                        <w:sz w:val="20"/>
                      </w:rPr>
                      <w:t>Do not cancel your telephone number, but record the stalker’s calls on an</w:t>
                    </w:r>
                  </w:p>
                  <w:p w14:paraId="2675B2D6" w14:textId="77777777" w:rsidR="00894070" w:rsidRDefault="009B7AFD">
                    <w:pPr>
                      <w:spacing w:line="259" w:lineRule="exact"/>
                      <w:rPr>
                        <w:sz w:val="20"/>
                      </w:rPr>
                    </w:pPr>
                    <w:r>
                      <w:rPr>
                        <w:color w:val="231F20"/>
                        <w:sz w:val="20"/>
                      </w:rPr>
                      <w:t>answering machine. Use a secret number for all other calls.</w:t>
                    </w:r>
                  </w:p>
                  <w:p w14:paraId="0C5A7FA1" w14:textId="77777777" w:rsidR="00894070" w:rsidRDefault="009B7AFD">
                    <w:pPr>
                      <w:spacing w:before="82" w:line="259" w:lineRule="exact"/>
                      <w:rPr>
                        <w:sz w:val="20"/>
                      </w:rPr>
                    </w:pPr>
                    <w:r>
                      <w:rPr>
                        <w:color w:val="231F20"/>
                        <w:sz w:val="20"/>
                      </w:rPr>
                      <w:t>Do</w:t>
                    </w:r>
                    <w:r>
                      <w:rPr>
                        <w:color w:val="231F20"/>
                        <w:spacing w:val="-6"/>
                        <w:sz w:val="20"/>
                      </w:rPr>
                      <w:t xml:space="preserve"> </w:t>
                    </w:r>
                    <w:r>
                      <w:rPr>
                        <w:color w:val="231F20"/>
                        <w:sz w:val="20"/>
                      </w:rPr>
                      <w:t>not</w:t>
                    </w:r>
                    <w:r>
                      <w:rPr>
                        <w:color w:val="231F20"/>
                        <w:spacing w:val="-5"/>
                        <w:sz w:val="20"/>
                      </w:rPr>
                      <w:t xml:space="preserve"> </w:t>
                    </w:r>
                    <w:r>
                      <w:rPr>
                        <w:color w:val="231F20"/>
                        <w:sz w:val="20"/>
                      </w:rPr>
                      <w:t>return</w:t>
                    </w:r>
                    <w:r>
                      <w:rPr>
                        <w:color w:val="231F20"/>
                        <w:spacing w:val="-6"/>
                        <w:sz w:val="20"/>
                      </w:rPr>
                      <w:t xml:space="preserve"> </w:t>
                    </w:r>
                    <w:r>
                      <w:rPr>
                        <w:color w:val="231F20"/>
                        <w:sz w:val="20"/>
                      </w:rPr>
                      <w:t>any</w:t>
                    </w:r>
                    <w:r>
                      <w:rPr>
                        <w:color w:val="231F20"/>
                        <w:spacing w:val="-5"/>
                        <w:sz w:val="20"/>
                      </w:rPr>
                      <w:t xml:space="preserve"> </w:t>
                    </w:r>
                    <w:r>
                      <w:rPr>
                        <w:color w:val="231F20"/>
                        <w:sz w:val="20"/>
                      </w:rPr>
                      <w:t>presents</w:t>
                    </w:r>
                    <w:r>
                      <w:rPr>
                        <w:color w:val="231F20"/>
                        <w:spacing w:val="-5"/>
                        <w:sz w:val="20"/>
                      </w:rPr>
                      <w:t xml:space="preserve"> </w:t>
                    </w:r>
                    <w:r>
                      <w:rPr>
                        <w:color w:val="231F20"/>
                        <w:sz w:val="20"/>
                      </w:rPr>
                      <w:t>the</w:t>
                    </w:r>
                    <w:r>
                      <w:rPr>
                        <w:color w:val="231F20"/>
                        <w:spacing w:val="-6"/>
                        <w:sz w:val="20"/>
                      </w:rPr>
                      <w:t xml:space="preserve"> </w:t>
                    </w:r>
                    <w:r>
                      <w:rPr>
                        <w:color w:val="231F20"/>
                        <w:sz w:val="20"/>
                      </w:rPr>
                      <w:t>stalker</w:t>
                    </w:r>
                    <w:r>
                      <w:rPr>
                        <w:color w:val="231F20"/>
                        <w:spacing w:val="-5"/>
                        <w:sz w:val="20"/>
                      </w:rPr>
                      <w:t xml:space="preserve"> </w:t>
                    </w:r>
                    <w:r>
                      <w:rPr>
                        <w:color w:val="231F20"/>
                        <w:sz w:val="20"/>
                      </w:rPr>
                      <w:t>may</w:t>
                    </w:r>
                    <w:r>
                      <w:rPr>
                        <w:color w:val="231F20"/>
                        <w:spacing w:val="-6"/>
                        <w:sz w:val="20"/>
                      </w:rPr>
                      <w:t xml:space="preserve"> </w:t>
                    </w:r>
                    <w:r>
                      <w:rPr>
                        <w:color w:val="231F20"/>
                        <w:sz w:val="20"/>
                      </w:rPr>
                      <w:t>send,</w:t>
                    </w:r>
                    <w:r>
                      <w:rPr>
                        <w:color w:val="231F20"/>
                        <w:spacing w:val="-5"/>
                        <w:sz w:val="20"/>
                      </w:rPr>
                      <w:t xml:space="preserve"> </w:t>
                    </w:r>
                    <w:r>
                      <w:rPr>
                        <w:color w:val="231F20"/>
                        <w:sz w:val="20"/>
                      </w:rPr>
                      <w:t>but</w:t>
                    </w:r>
                    <w:r>
                      <w:rPr>
                        <w:color w:val="231F20"/>
                        <w:spacing w:val="-5"/>
                        <w:sz w:val="20"/>
                      </w:rPr>
                      <w:t xml:space="preserve"> </w:t>
                    </w:r>
                    <w:r>
                      <w:rPr>
                        <w:color w:val="231F20"/>
                        <w:sz w:val="20"/>
                      </w:rPr>
                      <w:t>keep</w:t>
                    </w:r>
                    <w:r>
                      <w:rPr>
                        <w:color w:val="231F20"/>
                        <w:spacing w:val="-6"/>
                        <w:sz w:val="20"/>
                      </w:rPr>
                      <w:t xml:space="preserve"> </w:t>
                    </w:r>
                    <w:r>
                      <w:rPr>
                        <w:color w:val="231F20"/>
                        <w:sz w:val="20"/>
                      </w:rPr>
                      <w:t>them</w:t>
                    </w:r>
                    <w:r>
                      <w:rPr>
                        <w:color w:val="231F20"/>
                        <w:spacing w:val="-5"/>
                        <w:sz w:val="20"/>
                      </w:rPr>
                      <w:t xml:space="preserve"> </w:t>
                    </w:r>
                    <w:r>
                      <w:rPr>
                        <w:color w:val="231F20"/>
                        <w:sz w:val="20"/>
                      </w:rPr>
                      <w:t>as</w:t>
                    </w:r>
                    <w:r>
                      <w:rPr>
                        <w:color w:val="231F20"/>
                        <w:spacing w:val="-5"/>
                        <w:sz w:val="20"/>
                      </w:rPr>
                      <w:t xml:space="preserve"> </w:t>
                    </w:r>
                    <w:r>
                      <w:rPr>
                        <w:color w:val="231F20"/>
                        <w:sz w:val="20"/>
                      </w:rPr>
                      <w:t>evidence.</w:t>
                    </w:r>
                  </w:p>
                  <w:p w14:paraId="06DF0CB2" w14:textId="77777777" w:rsidR="00894070" w:rsidRDefault="009B7AFD">
                    <w:pPr>
                      <w:spacing w:line="259" w:lineRule="exact"/>
                      <w:rPr>
                        <w:sz w:val="20"/>
                      </w:rPr>
                    </w:pPr>
                    <w:r>
                      <w:rPr>
                        <w:color w:val="231F20"/>
                        <w:sz w:val="20"/>
                      </w:rPr>
                      <w:t>Sending them back establishes contact.</w:t>
                    </w:r>
                  </w:p>
                  <w:p w14:paraId="35F6CDE6" w14:textId="77777777" w:rsidR="00894070" w:rsidRDefault="009B7AFD">
                    <w:pPr>
                      <w:spacing w:before="82"/>
                      <w:rPr>
                        <w:sz w:val="20"/>
                      </w:rPr>
                    </w:pPr>
                    <w:r>
                      <w:rPr>
                        <w:color w:val="231F20"/>
                        <w:sz w:val="20"/>
                      </w:rPr>
                      <w:t>Talk to the police at an early stage.</w:t>
                    </w:r>
                  </w:p>
                  <w:p w14:paraId="5845C419" w14:textId="77777777" w:rsidR="00894070" w:rsidRDefault="009B7AFD">
                    <w:pPr>
                      <w:spacing w:before="83"/>
                      <w:rPr>
                        <w:sz w:val="20"/>
                      </w:rPr>
                    </w:pPr>
                    <w:r>
                      <w:rPr>
                        <w:color w:val="231F20"/>
                        <w:sz w:val="20"/>
                      </w:rPr>
                      <w:t>Seek early advice from a specialized attorney.</w:t>
                    </w:r>
                  </w:p>
                </w:txbxContent>
              </v:textbox>
            </v:shape>
            <v:shape id="_x0000_s1509" type="#_x0000_t202" style="position:absolute;left:1819;top:959;width:141;height:3595" filled="f" stroked="f">
              <v:textbox inset="0,0,0,0">
                <w:txbxContent>
                  <w:p w14:paraId="764D485B" w14:textId="77777777" w:rsidR="00894070" w:rsidRDefault="009B7AFD">
                    <w:pPr>
                      <w:spacing w:line="235" w:lineRule="exact"/>
                      <w:rPr>
                        <w:sz w:val="20"/>
                      </w:rPr>
                    </w:pPr>
                    <w:r>
                      <w:rPr>
                        <w:color w:val="231F20"/>
                        <w:sz w:val="20"/>
                      </w:rPr>
                      <w:t>1</w:t>
                    </w:r>
                  </w:p>
                  <w:p w14:paraId="0DDDC68B" w14:textId="77777777" w:rsidR="00894070" w:rsidRDefault="009B7AFD">
                    <w:pPr>
                      <w:spacing w:before="82"/>
                      <w:rPr>
                        <w:sz w:val="20"/>
                      </w:rPr>
                    </w:pPr>
                    <w:r>
                      <w:rPr>
                        <w:color w:val="231F20"/>
                        <w:sz w:val="20"/>
                      </w:rPr>
                      <w:t>2</w:t>
                    </w:r>
                  </w:p>
                  <w:p w14:paraId="1016832A" w14:textId="77777777" w:rsidR="00894070" w:rsidRDefault="009B7AFD">
                    <w:pPr>
                      <w:spacing w:before="82"/>
                      <w:rPr>
                        <w:sz w:val="20"/>
                      </w:rPr>
                    </w:pPr>
                    <w:r>
                      <w:rPr>
                        <w:color w:val="231F20"/>
                        <w:sz w:val="20"/>
                      </w:rPr>
                      <w:t>3</w:t>
                    </w:r>
                  </w:p>
                  <w:p w14:paraId="4AB28C5E" w14:textId="77777777" w:rsidR="00894070" w:rsidRDefault="009B7AFD">
                    <w:pPr>
                      <w:spacing w:before="83"/>
                      <w:rPr>
                        <w:sz w:val="20"/>
                      </w:rPr>
                    </w:pPr>
                    <w:r>
                      <w:rPr>
                        <w:color w:val="231F20"/>
                        <w:sz w:val="20"/>
                      </w:rPr>
                      <w:t>4</w:t>
                    </w:r>
                  </w:p>
                  <w:p w14:paraId="3EBFCF23" w14:textId="77777777" w:rsidR="00894070" w:rsidRDefault="009B7AFD">
                    <w:pPr>
                      <w:spacing w:before="82"/>
                      <w:rPr>
                        <w:sz w:val="20"/>
                      </w:rPr>
                    </w:pPr>
                    <w:r>
                      <w:rPr>
                        <w:color w:val="231F20"/>
                        <w:sz w:val="20"/>
                      </w:rPr>
                      <w:t>5</w:t>
                    </w:r>
                  </w:p>
                  <w:p w14:paraId="5F7A3526" w14:textId="77777777" w:rsidR="00894070" w:rsidRDefault="009B7AFD">
                    <w:pPr>
                      <w:spacing w:before="83"/>
                      <w:rPr>
                        <w:sz w:val="20"/>
                      </w:rPr>
                    </w:pPr>
                    <w:r>
                      <w:rPr>
                        <w:color w:val="231F20"/>
                        <w:sz w:val="20"/>
                      </w:rPr>
                      <w:t>6</w:t>
                    </w:r>
                  </w:p>
                  <w:p w14:paraId="6E55DEEC" w14:textId="77777777" w:rsidR="00894070" w:rsidRDefault="00894070">
                    <w:pPr>
                      <w:spacing w:before="3"/>
                      <w:rPr>
                        <w:sz w:val="23"/>
                      </w:rPr>
                    </w:pPr>
                  </w:p>
                  <w:p w14:paraId="6F56080E" w14:textId="77777777" w:rsidR="00894070" w:rsidRDefault="009B7AFD">
                    <w:pPr>
                      <w:rPr>
                        <w:sz w:val="20"/>
                      </w:rPr>
                    </w:pPr>
                    <w:r>
                      <w:rPr>
                        <w:color w:val="231F20"/>
                        <w:sz w:val="20"/>
                      </w:rPr>
                      <w:t>7</w:t>
                    </w:r>
                  </w:p>
                  <w:p w14:paraId="527FF8E5" w14:textId="77777777" w:rsidR="00894070" w:rsidRDefault="00894070">
                    <w:pPr>
                      <w:spacing w:before="3"/>
                      <w:rPr>
                        <w:sz w:val="23"/>
                      </w:rPr>
                    </w:pPr>
                  </w:p>
                  <w:p w14:paraId="127C541E" w14:textId="77777777" w:rsidR="00894070" w:rsidRDefault="009B7AFD">
                    <w:pPr>
                      <w:rPr>
                        <w:sz w:val="20"/>
                      </w:rPr>
                    </w:pPr>
                    <w:r>
                      <w:rPr>
                        <w:color w:val="231F20"/>
                        <w:sz w:val="20"/>
                      </w:rPr>
                      <w:t>8</w:t>
                    </w:r>
                  </w:p>
                  <w:p w14:paraId="46B3BE17" w14:textId="77777777" w:rsidR="00894070" w:rsidRDefault="009B7AFD">
                    <w:pPr>
                      <w:spacing w:before="82"/>
                      <w:rPr>
                        <w:sz w:val="20"/>
                      </w:rPr>
                    </w:pPr>
                    <w:r>
                      <w:rPr>
                        <w:color w:val="231F20"/>
                        <w:sz w:val="20"/>
                      </w:rPr>
                      <w:t>9</w:t>
                    </w:r>
                  </w:p>
                </w:txbxContent>
              </v:textbox>
            </v:shape>
            <v:shape id="_x0000_s1508" type="#_x0000_t202" style="position:absolute;left:1819;top:599;width:1777;height:235" filled="f" stroked="f">
              <v:textbox inset="0,0,0,0">
                <w:txbxContent>
                  <w:p w14:paraId="568838FC" w14:textId="77777777" w:rsidR="00894070" w:rsidRDefault="009B7AFD">
                    <w:pPr>
                      <w:spacing w:line="235" w:lineRule="exact"/>
                      <w:rPr>
                        <w:b/>
                        <w:sz w:val="20"/>
                      </w:rPr>
                    </w:pPr>
                    <w:r>
                      <w:rPr>
                        <w:b/>
                        <w:color w:val="231F20"/>
                        <w:sz w:val="20"/>
                      </w:rPr>
                      <w:t>Anti-stalking rules</w:t>
                    </w:r>
                  </w:p>
                </w:txbxContent>
              </v:textbox>
            </v:shape>
            <w10:wrap type="topAndBottom" anchorx="page"/>
          </v:group>
        </w:pict>
      </w:r>
    </w:p>
    <w:p w14:paraId="773ADDF2" w14:textId="77777777" w:rsidR="00894070" w:rsidRDefault="00894070">
      <w:pPr>
        <w:pStyle w:val="BodyText"/>
      </w:pPr>
    </w:p>
    <w:p w14:paraId="28617EA8" w14:textId="77777777" w:rsidR="00894070" w:rsidRDefault="009B7AFD">
      <w:pPr>
        <w:pStyle w:val="Heading7"/>
        <w:spacing w:before="187"/>
      </w:pPr>
      <w:r>
        <w:rPr>
          <w:color w:val="EA5B50"/>
        </w:rPr>
        <w:t>Stalking is not well understood</w:t>
      </w:r>
    </w:p>
    <w:p w14:paraId="3F44C2AE" w14:textId="77777777" w:rsidR="00894070" w:rsidRDefault="009F6793">
      <w:pPr>
        <w:pStyle w:val="BodyText"/>
        <w:spacing w:before="2"/>
        <w:rPr>
          <w:rFonts w:ascii="Raleway ExtraBold"/>
          <w:b/>
          <w:sz w:val="25"/>
        </w:rPr>
      </w:pPr>
      <w:r>
        <w:pict w14:anchorId="0400D14D">
          <v:shape id="_x0000_s1506" type="#_x0000_t202" style="position:absolute;margin-left:79.6pt;margin-top:19.65pt;width:436.55pt;height:104.1pt;z-index:251532288;mso-wrap-distance-left:0;mso-wrap-distance-right:0;mso-position-horizontal-relative:page" fillcolor="#fee7de" strokecolor="#ea5b50" strokeweight=".5pt">
            <v:textbox inset="0,0,0,0">
              <w:txbxContent>
                <w:p w14:paraId="4E237A14" w14:textId="77777777" w:rsidR="00894070" w:rsidRDefault="00894070">
                  <w:pPr>
                    <w:pStyle w:val="BodyText"/>
                    <w:spacing w:before="3"/>
                    <w:rPr>
                      <w:rFonts w:ascii="Raleway ExtraBold"/>
                      <w:b/>
                      <w:sz w:val="15"/>
                    </w:rPr>
                  </w:pPr>
                </w:p>
                <w:p w14:paraId="420F373E" w14:textId="77777777" w:rsidR="00894070" w:rsidRDefault="009B7AFD">
                  <w:pPr>
                    <w:pStyle w:val="BodyText"/>
                    <w:spacing w:line="206" w:lineRule="auto"/>
                    <w:ind w:left="221" w:right="316"/>
                    <w:rPr>
                      <w:sz w:val="11"/>
                    </w:rPr>
                  </w:pPr>
                  <w:r>
                    <w:rPr>
                      <w:color w:val="231F20"/>
                    </w:rPr>
                    <w:t xml:space="preserve">I only realised I was being stalked after I reported it to the university services and they took me through the different </w:t>
                  </w:r>
                  <w:r>
                    <w:rPr>
                      <w:color w:val="231F20"/>
                      <w:spacing w:val="-3"/>
                    </w:rPr>
                    <w:t xml:space="preserve">features </w:t>
                  </w:r>
                  <w:r>
                    <w:rPr>
                      <w:color w:val="231F20"/>
                    </w:rPr>
                    <w:t>of a stalking case, and I realised how I was able to relate to almost all of them.</w:t>
                  </w:r>
                  <w:r>
                    <w:rPr>
                      <w:color w:val="231F20"/>
                      <w:position w:val="7"/>
                      <w:sz w:val="11"/>
                    </w:rPr>
                    <w:t>11</w:t>
                  </w:r>
                </w:p>
                <w:p w14:paraId="5CC72787" w14:textId="77777777" w:rsidR="00894070" w:rsidRDefault="009B7AFD">
                  <w:pPr>
                    <w:pStyle w:val="BodyText"/>
                    <w:spacing w:before="91"/>
                    <w:ind w:left="221"/>
                    <w:rPr>
                      <w:sz w:val="11"/>
                    </w:rPr>
                  </w:pPr>
                  <w:r>
                    <w:rPr>
                      <w:color w:val="231F20"/>
                    </w:rPr>
                    <w:t>I knew nothing.</w:t>
                  </w:r>
                  <w:r>
                    <w:rPr>
                      <w:color w:val="231F20"/>
                      <w:position w:val="7"/>
                      <w:sz w:val="11"/>
                    </w:rPr>
                    <w:t>12</w:t>
                  </w:r>
                </w:p>
                <w:p w14:paraId="5F44565C" w14:textId="77777777" w:rsidR="00894070" w:rsidRDefault="009B7AFD">
                  <w:pPr>
                    <w:pStyle w:val="BodyText"/>
                    <w:spacing w:before="115" w:line="206" w:lineRule="auto"/>
                    <w:ind w:left="221"/>
                    <w:rPr>
                      <w:sz w:val="11"/>
                    </w:rPr>
                  </w:pPr>
                  <w:r>
                    <w:rPr>
                      <w:color w:val="231F20"/>
                    </w:rPr>
                    <w:t>I had no idea about what support was available—indeed, I still have no idea what help is available.</w:t>
                  </w:r>
                  <w:r>
                    <w:rPr>
                      <w:color w:val="231F20"/>
                      <w:position w:val="7"/>
                      <w:sz w:val="11"/>
                    </w:rPr>
                    <w:t>13</w:t>
                  </w:r>
                </w:p>
              </w:txbxContent>
            </v:textbox>
            <w10:wrap type="topAndBottom" anchorx="page"/>
          </v:shape>
        </w:pict>
      </w:r>
    </w:p>
    <w:p w14:paraId="4BED6A45" w14:textId="77777777" w:rsidR="00894070" w:rsidRDefault="00894070">
      <w:pPr>
        <w:pStyle w:val="BodyText"/>
        <w:rPr>
          <w:rFonts w:ascii="Raleway ExtraBold"/>
          <w:b/>
        </w:rPr>
      </w:pPr>
    </w:p>
    <w:p w14:paraId="6E12C9D5" w14:textId="77777777" w:rsidR="00894070" w:rsidRDefault="00894070">
      <w:pPr>
        <w:pStyle w:val="BodyText"/>
        <w:rPr>
          <w:rFonts w:ascii="Raleway ExtraBold"/>
          <w:b/>
        </w:rPr>
      </w:pPr>
    </w:p>
    <w:p w14:paraId="61D5D861" w14:textId="77777777" w:rsidR="00894070" w:rsidRDefault="00894070">
      <w:pPr>
        <w:pStyle w:val="BodyText"/>
        <w:rPr>
          <w:rFonts w:ascii="Raleway ExtraBold"/>
          <w:b/>
        </w:rPr>
      </w:pPr>
    </w:p>
    <w:p w14:paraId="63DADF92" w14:textId="77777777" w:rsidR="00894070" w:rsidRDefault="00894070">
      <w:pPr>
        <w:pStyle w:val="BodyText"/>
        <w:rPr>
          <w:rFonts w:ascii="Raleway ExtraBold"/>
          <w:b/>
        </w:rPr>
      </w:pPr>
    </w:p>
    <w:p w14:paraId="5EBFD82D" w14:textId="77777777" w:rsidR="00894070" w:rsidRDefault="00894070">
      <w:pPr>
        <w:pStyle w:val="BodyText"/>
        <w:rPr>
          <w:rFonts w:ascii="Raleway ExtraBold"/>
          <w:b/>
        </w:rPr>
      </w:pPr>
    </w:p>
    <w:p w14:paraId="00D52505" w14:textId="77777777" w:rsidR="00894070" w:rsidRDefault="00894070">
      <w:pPr>
        <w:pStyle w:val="BodyText"/>
        <w:rPr>
          <w:rFonts w:ascii="Raleway ExtraBold"/>
          <w:b/>
        </w:rPr>
      </w:pPr>
    </w:p>
    <w:p w14:paraId="0BF9EF29" w14:textId="77777777" w:rsidR="00894070" w:rsidRDefault="00894070">
      <w:pPr>
        <w:pStyle w:val="BodyText"/>
        <w:rPr>
          <w:rFonts w:ascii="Raleway ExtraBold"/>
          <w:b/>
        </w:rPr>
      </w:pPr>
    </w:p>
    <w:p w14:paraId="0E58B02C" w14:textId="77777777" w:rsidR="00894070" w:rsidRDefault="00894070">
      <w:pPr>
        <w:pStyle w:val="BodyText"/>
        <w:rPr>
          <w:rFonts w:ascii="Raleway ExtraBold"/>
          <w:b/>
        </w:rPr>
      </w:pPr>
    </w:p>
    <w:p w14:paraId="7B6B3068" w14:textId="77777777" w:rsidR="00894070" w:rsidRDefault="00894070">
      <w:pPr>
        <w:pStyle w:val="BodyText"/>
        <w:rPr>
          <w:rFonts w:ascii="Raleway ExtraBold"/>
          <w:b/>
        </w:rPr>
      </w:pPr>
    </w:p>
    <w:p w14:paraId="5A2CF29D" w14:textId="77777777" w:rsidR="00894070" w:rsidRDefault="009F6793">
      <w:pPr>
        <w:pStyle w:val="BodyText"/>
        <w:spacing w:before="6"/>
        <w:rPr>
          <w:rFonts w:ascii="Raleway ExtraBold"/>
          <w:b/>
          <w:sz w:val="10"/>
        </w:rPr>
      </w:pPr>
      <w:r>
        <w:pict w14:anchorId="2E6A1D43">
          <v:line id="_x0000_s1505" style="position:absolute;z-index:251533312;mso-wrap-distance-left:0;mso-wrap-distance-right:0;mso-position-horizontal-relative:page" from="79.35pt,9.7pt" to="515.9pt,9.7pt" strokecolor="#f8cabc" strokeweight="1pt">
            <w10:wrap type="topAndBottom" anchorx="page"/>
          </v:line>
        </w:pict>
      </w:r>
    </w:p>
    <w:p w14:paraId="096457C4" w14:textId="77777777" w:rsidR="00894070" w:rsidRDefault="009B7AFD">
      <w:pPr>
        <w:pStyle w:val="ListParagraph"/>
        <w:numPr>
          <w:ilvl w:val="0"/>
          <w:numId w:val="134"/>
        </w:numPr>
        <w:tabs>
          <w:tab w:val="left" w:pos="1800"/>
          <w:tab w:val="left" w:pos="1802"/>
        </w:tabs>
        <w:spacing w:before="107" w:line="213" w:lineRule="auto"/>
        <w:ind w:right="1300"/>
        <w:rPr>
          <w:sz w:val="13"/>
        </w:rPr>
      </w:pPr>
      <w:r>
        <w:rPr>
          <w:color w:val="231F20"/>
          <w:sz w:val="13"/>
        </w:rPr>
        <w:t xml:space="preserve">The </w:t>
      </w:r>
      <w:r>
        <w:rPr>
          <w:color w:val="231F20"/>
          <w:spacing w:val="2"/>
          <w:sz w:val="13"/>
        </w:rPr>
        <w:t xml:space="preserve">Suzy </w:t>
      </w:r>
      <w:r>
        <w:rPr>
          <w:color w:val="231F20"/>
          <w:sz w:val="13"/>
        </w:rPr>
        <w:t xml:space="preserve">Lamplugh Trust (a charity that runs the UK’s National Stalking Helpline) has a page on </w:t>
      </w:r>
      <w:r>
        <w:rPr>
          <w:color w:val="231F20"/>
          <w:spacing w:val="2"/>
          <w:sz w:val="13"/>
        </w:rPr>
        <w:t xml:space="preserve">its </w:t>
      </w:r>
      <w:r>
        <w:rPr>
          <w:color w:val="231F20"/>
          <w:sz w:val="13"/>
        </w:rPr>
        <w:t xml:space="preserve">website, ‘Get </w:t>
      </w:r>
      <w:r>
        <w:rPr>
          <w:color w:val="231F20"/>
          <w:spacing w:val="2"/>
          <w:sz w:val="13"/>
        </w:rPr>
        <w:t xml:space="preserve">stalking      </w:t>
      </w:r>
      <w:r>
        <w:rPr>
          <w:color w:val="231F20"/>
          <w:sz w:val="13"/>
        </w:rPr>
        <w:t xml:space="preserve">advice and help’, with an online tool that can be used ‘to better </w:t>
      </w:r>
      <w:r>
        <w:rPr>
          <w:color w:val="231F20"/>
          <w:spacing w:val="2"/>
          <w:sz w:val="13"/>
        </w:rPr>
        <w:t xml:space="preserve">understand </w:t>
      </w:r>
      <w:r>
        <w:rPr>
          <w:color w:val="231F20"/>
          <w:sz w:val="13"/>
        </w:rPr>
        <w:t xml:space="preserve">if you are being stalked and what </w:t>
      </w:r>
      <w:r>
        <w:rPr>
          <w:color w:val="231F20"/>
          <w:spacing w:val="2"/>
          <w:sz w:val="13"/>
        </w:rPr>
        <w:t xml:space="preserve">support </w:t>
      </w:r>
      <w:r>
        <w:rPr>
          <w:color w:val="231F20"/>
          <w:sz w:val="13"/>
        </w:rPr>
        <w:t xml:space="preserve">[there       is]’: ‘Get Stalking Advice and Help’, </w:t>
      </w:r>
      <w:r>
        <w:rPr>
          <w:i/>
          <w:color w:val="231F20"/>
          <w:sz w:val="13"/>
        </w:rPr>
        <w:t xml:space="preserve">Suzy Lamplugh Trust </w:t>
      </w:r>
      <w:r>
        <w:rPr>
          <w:color w:val="231F20"/>
          <w:sz w:val="13"/>
        </w:rPr>
        <w:t>(Web Page, 2019</w:t>
      </w:r>
      <w:hyperlink r:id="rId114">
        <w:r>
          <w:rPr>
            <w:color w:val="231F20"/>
            <w:sz w:val="13"/>
          </w:rPr>
          <w:t>) &lt;https://www.suzylamplugh.org/Pages/Category/</w:t>
        </w:r>
      </w:hyperlink>
      <w:hyperlink r:id="rId115">
        <w:r>
          <w:rPr>
            <w:color w:val="231F20"/>
            <w:sz w:val="13"/>
          </w:rPr>
          <w:t xml:space="preserve"> get-stalking-advice-and-help</w:t>
        </w:r>
      </w:hyperlink>
      <w:r>
        <w:rPr>
          <w:color w:val="231F20"/>
          <w:sz w:val="13"/>
        </w:rPr>
        <w:t xml:space="preserve">&gt;. </w:t>
      </w:r>
      <w:r>
        <w:rPr>
          <w:color w:val="231F20"/>
          <w:spacing w:val="2"/>
          <w:sz w:val="13"/>
        </w:rPr>
        <w:t xml:space="preserve">‘Victim Support’ </w:t>
      </w:r>
      <w:r>
        <w:rPr>
          <w:color w:val="231F20"/>
          <w:sz w:val="13"/>
        </w:rPr>
        <w:t xml:space="preserve">in the United Kingdom </w:t>
      </w:r>
      <w:r>
        <w:rPr>
          <w:color w:val="231F20"/>
          <w:spacing w:val="2"/>
          <w:sz w:val="13"/>
        </w:rPr>
        <w:t xml:space="preserve">also </w:t>
      </w:r>
      <w:r>
        <w:rPr>
          <w:color w:val="231F20"/>
          <w:sz w:val="13"/>
        </w:rPr>
        <w:t xml:space="preserve">has a </w:t>
      </w:r>
      <w:r>
        <w:rPr>
          <w:color w:val="231F20"/>
          <w:spacing w:val="2"/>
          <w:sz w:val="13"/>
        </w:rPr>
        <w:t xml:space="preserve">‘Stalking </w:t>
      </w:r>
      <w:r>
        <w:rPr>
          <w:color w:val="231F20"/>
          <w:sz w:val="13"/>
        </w:rPr>
        <w:t xml:space="preserve">and </w:t>
      </w:r>
      <w:r>
        <w:rPr>
          <w:color w:val="231F20"/>
          <w:spacing w:val="2"/>
          <w:sz w:val="13"/>
        </w:rPr>
        <w:t xml:space="preserve">harassment’ </w:t>
      </w:r>
      <w:r>
        <w:rPr>
          <w:color w:val="231F20"/>
          <w:sz w:val="13"/>
        </w:rPr>
        <w:t>web page, with information</w:t>
      </w:r>
      <w:r>
        <w:rPr>
          <w:color w:val="231F20"/>
          <w:spacing w:val="6"/>
          <w:sz w:val="13"/>
        </w:rPr>
        <w:t xml:space="preserve"> </w:t>
      </w:r>
      <w:r>
        <w:rPr>
          <w:color w:val="231F20"/>
          <w:sz w:val="13"/>
        </w:rPr>
        <w:t>about</w:t>
      </w:r>
      <w:r>
        <w:rPr>
          <w:color w:val="231F20"/>
          <w:spacing w:val="6"/>
          <w:sz w:val="13"/>
        </w:rPr>
        <w:t xml:space="preserve"> </w:t>
      </w:r>
      <w:r>
        <w:rPr>
          <w:color w:val="231F20"/>
          <w:sz w:val="13"/>
        </w:rPr>
        <w:t>how</w:t>
      </w:r>
      <w:r>
        <w:rPr>
          <w:color w:val="231F20"/>
          <w:spacing w:val="6"/>
          <w:sz w:val="13"/>
        </w:rPr>
        <w:t xml:space="preserve"> </w:t>
      </w:r>
      <w:r>
        <w:rPr>
          <w:color w:val="231F20"/>
          <w:sz w:val="13"/>
        </w:rPr>
        <w:t>to</w:t>
      </w:r>
      <w:r>
        <w:rPr>
          <w:color w:val="231F20"/>
          <w:spacing w:val="6"/>
          <w:sz w:val="13"/>
        </w:rPr>
        <w:t xml:space="preserve"> </w:t>
      </w:r>
      <w:r>
        <w:rPr>
          <w:color w:val="231F20"/>
          <w:spacing w:val="2"/>
          <w:sz w:val="13"/>
        </w:rPr>
        <w:t>identify</w:t>
      </w:r>
      <w:r>
        <w:rPr>
          <w:color w:val="231F20"/>
          <w:spacing w:val="6"/>
          <w:sz w:val="13"/>
        </w:rPr>
        <w:t xml:space="preserve"> </w:t>
      </w:r>
      <w:r>
        <w:rPr>
          <w:color w:val="231F20"/>
          <w:sz w:val="13"/>
        </w:rPr>
        <w:t>stalking;</w:t>
      </w:r>
      <w:r>
        <w:rPr>
          <w:color w:val="231F20"/>
          <w:spacing w:val="6"/>
          <w:sz w:val="13"/>
        </w:rPr>
        <w:t xml:space="preserve"> </w:t>
      </w:r>
      <w:r>
        <w:rPr>
          <w:color w:val="231F20"/>
          <w:sz w:val="13"/>
        </w:rPr>
        <w:t>practical</w:t>
      </w:r>
      <w:r>
        <w:rPr>
          <w:color w:val="231F20"/>
          <w:spacing w:val="6"/>
          <w:sz w:val="13"/>
        </w:rPr>
        <w:t xml:space="preserve"> </w:t>
      </w:r>
      <w:r>
        <w:rPr>
          <w:color w:val="231F20"/>
          <w:spacing w:val="2"/>
          <w:sz w:val="13"/>
        </w:rPr>
        <w:t>ideas,</w:t>
      </w:r>
      <w:r>
        <w:rPr>
          <w:color w:val="231F20"/>
          <w:spacing w:val="6"/>
          <w:sz w:val="13"/>
        </w:rPr>
        <w:t xml:space="preserve"> </w:t>
      </w:r>
      <w:r>
        <w:rPr>
          <w:color w:val="231F20"/>
          <w:sz w:val="13"/>
        </w:rPr>
        <w:t>including</w:t>
      </w:r>
      <w:r>
        <w:rPr>
          <w:color w:val="231F20"/>
          <w:spacing w:val="6"/>
          <w:sz w:val="13"/>
        </w:rPr>
        <w:t xml:space="preserve"> </w:t>
      </w:r>
      <w:r>
        <w:rPr>
          <w:color w:val="231F20"/>
          <w:sz w:val="13"/>
        </w:rPr>
        <w:t>keeping</w:t>
      </w:r>
      <w:r>
        <w:rPr>
          <w:color w:val="231F20"/>
          <w:spacing w:val="6"/>
          <w:sz w:val="13"/>
        </w:rPr>
        <w:t xml:space="preserve"> </w:t>
      </w:r>
      <w:r>
        <w:rPr>
          <w:color w:val="231F20"/>
          <w:sz w:val="13"/>
        </w:rPr>
        <w:t>a</w:t>
      </w:r>
      <w:r>
        <w:rPr>
          <w:color w:val="231F20"/>
          <w:spacing w:val="6"/>
          <w:sz w:val="13"/>
        </w:rPr>
        <w:t xml:space="preserve"> </w:t>
      </w:r>
      <w:r>
        <w:rPr>
          <w:color w:val="231F20"/>
          <w:spacing w:val="2"/>
          <w:sz w:val="13"/>
        </w:rPr>
        <w:t>diary</w:t>
      </w:r>
      <w:r>
        <w:rPr>
          <w:color w:val="231F20"/>
          <w:spacing w:val="7"/>
          <w:sz w:val="13"/>
        </w:rPr>
        <w:t xml:space="preserve"> </w:t>
      </w:r>
      <w:r>
        <w:rPr>
          <w:color w:val="231F20"/>
          <w:sz w:val="13"/>
        </w:rPr>
        <w:t>of</w:t>
      </w:r>
      <w:r>
        <w:rPr>
          <w:color w:val="231F20"/>
          <w:spacing w:val="6"/>
          <w:sz w:val="13"/>
        </w:rPr>
        <w:t xml:space="preserve"> </w:t>
      </w:r>
      <w:r>
        <w:rPr>
          <w:color w:val="231F20"/>
          <w:sz w:val="13"/>
        </w:rPr>
        <w:t>events;</w:t>
      </w:r>
      <w:r>
        <w:rPr>
          <w:color w:val="231F20"/>
          <w:spacing w:val="6"/>
          <w:sz w:val="13"/>
        </w:rPr>
        <w:t xml:space="preserve"> </w:t>
      </w:r>
      <w:r>
        <w:rPr>
          <w:color w:val="231F20"/>
          <w:sz w:val="13"/>
        </w:rPr>
        <w:t>and</w:t>
      </w:r>
      <w:r>
        <w:rPr>
          <w:color w:val="231F20"/>
          <w:spacing w:val="6"/>
          <w:sz w:val="13"/>
        </w:rPr>
        <w:t xml:space="preserve"> </w:t>
      </w:r>
      <w:r>
        <w:rPr>
          <w:color w:val="231F20"/>
          <w:sz w:val="13"/>
        </w:rPr>
        <w:t>how</w:t>
      </w:r>
      <w:r>
        <w:rPr>
          <w:color w:val="231F20"/>
          <w:spacing w:val="6"/>
          <w:sz w:val="13"/>
        </w:rPr>
        <w:t xml:space="preserve"> </w:t>
      </w:r>
      <w:r>
        <w:rPr>
          <w:color w:val="231F20"/>
          <w:sz w:val="13"/>
        </w:rPr>
        <w:t>to</w:t>
      </w:r>
      <w:r>
        <w:rPr>
          <w:color w:val="231F20"/>
          <w:spacing w:val="6"/>
          <w:sz w:val="13"/>
        </w:rPr>
        <w:t xml:space="preserve"> </w:t>
      </w:r>
      <w:r>
        <w:rPr>
          <w:color w:val="231F20"/>
          <w:sz w:val="13"/>
        </w:rPr>
        <w:t>get</w:t>
      </w:r>
      <w:r>
        <w:rPr>
          <w:color w:val="231F20"/>
          <w:spacing w:val="6"/>
          <w:sz w:val="13"/>
        </w:rPr>
        <w:t xml:space="preserve"> </w:t>
      </w:r>
      <w:r>
        <w:rPr>
          <w:color w:val="231F20"/>
          <w:sz w:val="13"/>
        </w:rPr>
        <w:t>help</w:t>
      </w:r>
      <w:r>
        <w:rPr>
          <w:color w:val="231F20"/>
          <w:spacing w:val="6"/>
          <w:sz w:val="13"/>
        </w:rPr>
        <w:t xml:space="preserve"> </w:t>
      </w:r>
      <w:r>
        <w:rPr>
          <w:color w:val="231F20"/>
          <w:sz w:val="13"/>
        </w:rPr>
        <w:t>from</w:t>
      </w:r>
      <w:r>
        <w:rPr>
          <w:color w:val="231F20"/>
          <w:spacing w:val="6"/>
          <w:sz w:val="13"/>
        </w:rPr>
        <w:t xml:space="preserve"> </w:t>
      </w:r>
      <w:r>
        <w:rPr>
          <w:color w:val="231F20"/>
          <w:sz w:val="13"/>
        </w:rPr>
        <w:t>Victim</w:t>
      </w:r>
    </w:p>
    <w:p w14:paraId="6987AECD" w14:textId="77777777" w:rsidR="00894070" w:rsidRDefault="009B7AFD">
      <w:pPr>
        <w:spacing w:line="213" w:lineRule="auto"/>
        <w:ind w:left="1800" w:right="1285"/>
        <w:rPr>
          <w:sz w:val="13"/>
        </w:rPr>
      </w:pPr>
      <w:r>
        <w:rPr>
          <w:color w:val="231F20"/>
          <w:sz w:val="13"/>
        </w:rPr>
        <w:t xml:space="preserve">Support. The page has links to other resources, including to information and safety tips for people experiencing cyber-stalking: ‘Stalking and Harassment’, </w:t>
      </w:r>
      <w:r>
        <w:rPr>
          <w:i/>
          <w:color w:val="231F20"/>
          <w:sz w:val="13"/>
        </w:rPr>
        <w:t xml:space="preserve">Victim Support </w:t>
      </w:r>
      <w:r>
        <w:rPr>
          <w:color w:val="231F20"/>
          <w:sz w:val="13"/>
        </w:rPr>
        <w:t>(Web Pag</w:t>
      </w:r>
      <w:hyperlink r:id="rId116">
        <w:r>
          <w:rPr>
            <w:color w:val="231F20"/>
            <w:sz w:val="13"/>
          </w:rPr>
          <w:t>e) &lt;https://www.victimsupport.org.uk/crime-info/types-crime/stalking-</w:t>
        </w:r>
      </w:hyperlink>
      <w:r>
        <w:rPr>
          <w:color w:val="231F20"/>
          <w:sz w:val="13"/>
        </w:rPr>
        <w:t xml:space="preserve"> </w:t>
      </w:r>
      <w:hyperlink r:id="rId117">
        <w:r>
          <w:rPr>
            <w:color w:val="231F20"/>
            <w:sz w:val="13"/>
          </w:rPr>
          <w:t>and-harassment/</w:t>
        </w:r>
      </w:hyperlink>
      <w:r>
        <w:rPr>
          <w:color w:val="231F20"/>
          <w:sz w:val="13"/>
        </w:rPr>
        <w:t>&gt;.</w:t>
      </w:r>
    </w:p>
    <w:p w14:paraId="1549DBF2" w14:textId="77777777" w:rsidR="00894070" w:rsidRDefault="009B7AFD">
      <w:pPr>
        <w:pStyle w:val="ListParagraph"/>
        <w:numPr>
          <w:ilvl w:val="0"/>
          <w:numId w:val="134"/>
        </w:numPr>
        <w:tabs>
          <w:tab w:val="left" w:pos="1801"/>
          <w:tab w:val="left" w:pos="1802"/>
        </w:tabs>
        <w:spacing w:line="213" w:lineRule="auto"/>
        <w:ind w:right="1166"/>
        <w:rPr>
          <w:sz w:val="13"/>
        </w:rPr>
      </w:pPr>
      <w:r>
        <w:rPr>
          <w:color w:val="231F20"/>
          <w:sz w:val="13"/>
        </w:rPr>
        <w:t xml:space="preserve">The rules are reproduced in: Harald Dressing et </w:t>
      </w:r>
      <w:r>
        <w:rPr>
          <w:color w:val="231F20"/>
          <w:spacing w:val="2"/>
          <w:sz w:val="13"/>
        </w:rPr>
        <w:t xml:space="preserve">al, </w:t>
      </w:r>
      <w:r>
        <w:rPr>
          <w:color w:val="231F20"/>
          <w:sz w:val="13"/>
        </w:rPr>
        <w:t xml:space="preserve">‘The Prevalence and Effects of Stalking’ (2020) 117(20) </w:t>
      </w:r>
      <w:r>
        <w:rPr>
          <w:i/>
          <w:color w:val="231F20"/>
          <w:spacing w:val="2"/>
          <w:sz w:val="13"/>
        </w:rPr>
        <w:t xml:space="preserve">Deutsches </w:t>
      </w:r>
      <w:r>
        <w:rPr>
          <w:i/>
          <w:color w:val="231F20"/>
          <w:sz w:val="13"/>
        </w:rPr>
        <w:t xml:space="preserve">Ärzteblatt International </w:t>
      </w:r>
      <w:r>
        <w:rPr>
          <w:color w:val="231F20"/>
          <w:sz w:val="13"/>
        </w:rPr>
        <w:t xml:space="preserve">347, </w:t>
      </w:r>
      <w:r>
        <w:rPr>
          <w:color w:val="231F20"/>
          <w:spacing w:val="2"/>
          <w:sz w:val="13"/>
        </w:rPr>
        <w:t xml:space="preserve">349. </w:t>
      </w:r>
      <w:r>
        <w:rPr>
          <w:color w:val="231F20"/>
          <w:sz w:val="13"/>
        </w:rPr>
        <w:t xml:space="preserve">One way they could be adapted for use in Victoria would be by recommending calling the Victims of Crime </w:t>
      </w:r>
      <w:r>
        <w:rPr>
          <w:color w:val="231F20"/>
          <w:spacing w:val="2"/>
          <w:sz w:val="13"/>
        </w:rPr>
        <w:t xml:space="preserve">helpline </w:t>
      </w:r>
      <w:r>
        <w:rPr>
          <w:color w:val="231F20"/>
          <w:sz w:val="13"/>
        </w:rPr>
        <w:t>rather than contacting a ‘specialized attorney’ (point</w:t>
      </w:r>
      <w:r>
        <w:rPr>
          <w:color w:val="231F20"/>
          <w:spacing w:val="2"/>
          <w:sz w:val="13"/>
        </w:rPr>
        <w:t xml:space="preserve"> </w:t>
      </w:r>
      <w:r>
        <w:rPr>
          <w:color w:val="231F20"/>
          <w:sz w:val="13"/>
        </w:rPr>
        <w:t>9).</w:t>
      </w:r>
    </w:p>
    <w:p w14:paraId="4D8794DA" w14:textId="77777777" w:rsidR="00894070" w:rsidRDefault="009B7AFD">
      <w:pPr>
        <w:pStyle w:val="ListParagraph"/>
        <w:numPr>
          <w:ilvl w:val="0"/>
          <w:numId w:val="134"/>
        </w:numPr>
        <w:tabs>
          <w:tab w:val="left" w:pos="1801"/>
          <w:tab w:val="left" w:pos="1802"/>
        </w:tabs>
        <w:spacing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6566430A" w14:textId="77777777" w:rsidR="00894070" w:rsidRDefault="009F6793">
      <w:pPr>
        <w:pStyle w:val="ListParagraph"/>
        <w:numPr>
          <w:ilvl w:val="0"/>
          <w:numId w:val="134"/>
        </w:numPr>
        <w:tabs>
          <w:tab w:val="left" w:pos="1801"/>
          <w:tab w:val="left" w:pos="1802"/>
        </w:tabs>
        <w:spacing w:line="152" w:lineRule="exact"/>
        <w:rPr>
          <w:sz w:val="13"/>
        </w:rPr>
      </w:pPr>
      <w:r>
        <w:pict w14:anchorId="37F16636">
          <v:shape id="_x0000_s1504" type="#_x0000_t202" style="position:absolute;left:0;text-align:left;margin-left:36pt;margin-top:3.35pt;width:13.9pt;height:14.1pt;z-index:251608064;mso-position-horizontal-relative:page" filled="f" stroked="f">
            <v:textbox inset="0,0,0,0">
              <w:txbxContent>
                <w:p w14:paraId="53B6A684" w14:textId="77777777" w:rsidR="00894070" w:rsidRDefault="009B7AFD">
                  <w:pPr>
                    <w:spacing w:line="282" w:lineRule="exact"/>
                    <w:rPr>
                      <w:b/>
                      <w:sz w:val="24"/>
                    </w:rPr>
                  </w:pPr>
                  <w:r>
                    <w:rPr>
                      <w:b/>
                      <w:color w:val="EA5B50"/>
                      <w:spacing w:val="-1"/>
                      <w:sz w:val="24"/>
                    </w:rPr>
                    <w:t>56</w:t>
                  </w:r>
                </w:p>
              </w:txbxContent>
            </v:textbox>
            <w10:wrap anchorx="page"/>
          </v:shape>
        </w:pict>
      </w:r>
      <w:r w:rsidR="009B7AFD">
        <w:rPr>
          <w:color w:val="231F20"/>
          <w:sz w:val="13"/>
        </w:rPr>
        <w:t xml:space="preserve">A victim survivor of </w:t>
      </w:r>
      <w:r w:rsidR="009B7AFD">
        <w:rPr>
          <w:color w:val="231F20"/>
          <w:spacing w:val="2"/>
          <w:sz w:val="13"/>
        </w:rPr>
        <w:t xml:space="preserve">stalking </w:t>
      </w:r>
      <w:r w:rsidR="009B7AFD">
        <w:rPr>
          <w:color w:val="231F20"/>
          <w:sz w:val="13"/>
        </w:rPr>
        <w:t xml:space="preserve">who identified as having a </w:t>
      </w:r>
      <w:r w:rsidR="009B7AFD">
        <w:rPr>
          <w:color w:val="231F20"/>
          <w:spacing w:val="2"/>
          <w:sz w:val="13"/>
        </w:rPr>
        <w:t xml:space="preserve">disability: </w:t>
      </w:r>
      <w:r w:rsidR="009B7AFD">
        <w:rPr>
          <w:color w:val="231F20"/>
          <w:sz w:val="13"/>
        </w:rPr>
        <w:t>Ibid.</w:t>
      </w:r>
    </w:p>
    <w:p w14:paraId="1F26BA4A" w14:textId="77777777" w:rsidR="00894070" w:rsidRDefault="009B7AFD">
      <w:pPr>
        <w:pStyle w:val="ListParagraph"/>
        <w:numPr>
          <w:ilvl w:val="0"/>
          <w:numId w:val="134"/>
        </w:numPr>
        <w:tabs>
          <w:tab w:val="left" w:pos="1801"/>
          <w:tab w:val="left" w:pos="1802"/>
        </w:tabs>
        <w:spacing w:line="170" w:lineRule="exact"/>
        <w:rPr>
          <w:sz w:val="13"/>
        </w:rPr>
      </w:pPr>
      <w:r>
        <w:rPr>
          <w:color w:val="231F20"/>
          <w:sz w:val="13"/>
        </w:rPr>
        <w:t xml:space="preserve">A victim survivor of </w:t>
      </w:r>
      <w:r>
        <w:rPr>
          <w:color w:val="231F20"/>
          <w:spacing w:val="2"/>
          <w:sz w:val="13"/>
        </w:rPr>
        <w:t xml:space="preserve">stalking </w:t>
      </w:r>
      <w:r>
        <w:rPr>
          <w:color w:val="231F20"/>
          <w:sz w:val="13"/>
        </w:rPr>
        <w:t>who identified as a refugee or migrant:</w:t>
      </w:r>
      <w:r>
        <w:rPr>
          <w:color w:val="231F20"/>
          <w:spacing w:val="4"/>
          <w:sz w:val="13"/>
        </w:rPr>
        <w:t xml:space="preserve"> </w:t>
      </w:r>
      <w:r>
        <w:rPr>
          <w:color w:val="231F20"/>
          <w:sz w:val="13"/>
        </w:rPr>
        <w:t>Ibid.</w:t>
      </w:r>
    </w:p>
    <w:p w14:paraId="2BC572B0" w14:textId="77777777" w:rsidR="00894070" w:rsidRDefault="00894070">
      <w:pPr>
        <w:spacing w:line="170" w:lineRule="exact"/>
        <w:rPr>
          <w:sz w:val="13"/>
        </w:rPr>
        <w:sectPr w:rsidR="00894070">
          <w:pgSz w:w="11910" w:h="16840"/>
          <w:pgMar w:top="860" w:right="420" w:bottom="280" w:left="580" w:header="567" w:footer="0" w:gutter="0"/>
          <w:cols w:space="720"/>
        </w:sectPr>
      </w:pPr>
    </w:p>
    <w:p w14:paraId="50CDA08E" w14:textId="77777777" w:rsidR="00894070" w:rsidRDefault="00894070">
      <w:pPr>
        <w:pStyle w:val="BodyText"/>
      </w:pPr>
    </w:p>
    <w:p w14:paraId="7B954086" w14:textId="77777777" w:rsidR="00894070" w:rsidRDefault="00894070">
      <w:pPr>
        <w:pStyle w:val="BodyText"/>
      </w:pPr>
    </w:p>
    <w:p w14:paraId="27D945D3" w14:textId="77777777" w:rsidR="00894070" w:rsidRDefault="00894070">
      <w:pPr>
        <w:pStyle w:val="BodyText"/>
      </w:pPr>
    </w:p>
    <w:p w14:paraId="55586DEB" w14:textId="77777777" w:rsidR="00894070" w:rsidRDefault="00894070">
      <w:pPr>
        <w:pStyle w:val="BodyText"/>
        <w:spacing w:before="6"/>
        <w:rPr>
          <w:sz w:val="14"/>
        </w:rPr>
      </w:pPr>
    </w:p>
    <w:p w14:paraId="3C7DA80A" w14:textId="77777777" w:rsidR="00894070" w:rsidRDefault="009B7AFD">
      <w:pPr>
        <w:pStyle w:val="ListParagraph"/>
        <w:numPr>
          <w:ilvl w:val="1"/>
          <w:numId w:val="177"/>
        </w:numPr>
        <w:tabs>
          <w:tab w:val="left" w:pos="1801"/>
          <w:tab w:val="left" w:pos="1802"/>
        </w:tabs>
        <w:spacing w:before="58"/>
        <w:rPr>
          <w:sz w:val="20"/>
        </w:rPr>
      </w:pPr>
      <w:r>
        <w:rPr>
          <w:color w:val="231F20"/>
          <w:sz w:val="20"/>
        </w:rPr>
        <w:t>Victim</w:t>
      </w:r>
      <w:r>
        <w:rPr>
          <w:color w:val="231F20"/>
          <w:spacing w:val="-5"/>
          <w:sz w:val="20"/>
        </w:rPr>
        <w:t xml:space="preserve"> </w:t>
      </w:r>
      <w:r>
        <w:rPr>
          <w:color w:val="231F20"/>
          <w:sz w:val="20"/>
        </w:rPr>
        <w:t>survivors</w:t>
      </w:r>
      <w:r>
        <w:rPr>
          <w:color w:val="231F20"/>
          <w:spacing w:val="-5"/>
          <w:sz w:val="20"/>
        </w:rPr>
        <w:t xml:space="preserve"> </w:t>
      </w:r>
      <w:r>
        <w:rPr>
          <w:color w:val="231F20"/>
          <w:spacing w:val="-3"/>
          <w:sz w:val="20"/>
        </w:rPr>
        <w:t>told</w:t>
      </w:r>
      <w:r>
        <w:rPr>
          <w:color w:val="231F20"/>
          <w:spacing w:val="-5"/>
          <w:sz w:val="20"/>
        </w:rPr>
        <w:t xml:space="preserve"> </w:t>
      </w:r>
      <w:r>
        <w:rPr>
          <w:color w:val="231F20"/>
          <w:sz w:val="20"/>
        </w:rPr>
        <w:t>us</w:t>
      </w:r>
      <w:r>
        <w:rPr>
          <w:color w:val="231F20"/>
          <w:spacing w:val="-5"/>
          <w:sz w:val="20"/>
        </w:rPr>
        <w:t xml:space="preserve"> </w:t>
      </w:r>
      <w:r>
        <w:rPr>
          <w:color w:val="231F20"/>
          <w:sz w:val="20"/>
        </w:rPr>
        <w:t>about</w:t>
      </w:r>
      <w:r>
        <w:rPr>
          <w:color w:val="231F20"/>
          <w:spacing w:val="-5"/>
          <w:sz w:val="20"/>
        </w:rPr>
        <w:t xml:space="preserve"> </w:t>
      </w:r>
      <w:r>
        <w:rPr>
          <w:color w:val="231F20"/>
          <w:sz w:val="20"/>
        </w:rPr>
        <w:t>gaps</w:t>
      </w:r>
      <w:r>
        <w:rPr>
          <w:color w:val="231F20"/>
          <w:spacing w:val="-5"/>
          <w:sz w:val="20"/>
        </w:rPr>
        <w:t xml:space="preserve"> </w:t>
      </w:r>
      <w:r>
        <w:rPr>
          <w:color w:val="231F20"/>
          <w:sz w:val="20"/>
        </w:rPr>
        <w:t>in</w:t>
      </w:r>
      <w:r>
        <w:rPr>
          <w:color w:val="231F20"/>
          <w:spacing w:val="-5"/>
          <w:sz w:val="20"/>
        </w:rPr>
        <w:t xml:space="preserve"> </w:t>
      </w:r>
      <w:r>
        <w:rPr>
          <w:color w:val="231F20"/>
          <w:sz w:val="20"/>
        </w:rPr>
        <w:t>knowledge</w:t>
      </w:r>
      <w:r>
        <w:rPr>
          <w:color w:val="231F20"/>
          <w:spacing w:val="-5"/>
          <w:sz w:val="20"/>
        </w:rPr>
        <w:t xml:space="preserve"> </w:t>
      </w:r>
      <w:r>
        <w:rPr>
          <w:color w:val="231F20"/>
          <w:sz w:val="20"/>
        </w:rPr>
        <w:t>and</w:t>
      </w:r>
      <w:r>
        <w:rPr>
          <w:color w:val="231F20"/>
          <w:spacing w:val="-5"/>
          <w:sz w:val="20"/>
        </w:rPr>
        <w:t xml:space="preserve"> </w:t>
      </w:r>
      <w:r>
        <w:rPr>
          <w:color w:val="231F20"/>
          <w:spacing w:val="-3"/>
          <w:sz w:val="20"/>
        </w:rPr>
        <w:t>information,</w:t>
      </w:r>
      <w:r>
        <w:rPr>
          <w:color w:val="231F20"/>
          <w:spacing w:val="-5"/>
          <w:sz w:val="20"/>
        </w:rPr>
        <w:t xml:space="preserve"> </w:t>
      </w:r>
      <w:r>
        <w:rPr>
          <w:color w:val="231F20"/>
          <w:sz w:val="20"/>
        </w:rPr>
        <w:t>including:</w:t>
      </w:r>
    </w:p>
    <w:p w14:paraId="3BA44F0A" w14:textId="77777777" w:rsidR="00894070" w:rsidRDefault="009B7AFD">
      <w:pPr>
        <w:pStyle w:val="ListParagraph"/>
        <w:numPr>
          <w:ilvl w:val="2"/>
          <w:numId w:val="177"/>
        </w:numPr>
        <w:tabs>
          <w:tab w:val="left" w:pos="2141"/>
          <w:tab w:val="left" w:pos="2142"/>
        </w:tabs>
        <w:spacing w:before="82"/>
        <w:ind w:hanging="340"/>
        <w:rPr>
          <w:sz w:val="11"/>
        </w:rPr>
      </w:pPr>
      <w:r>
        <w:rPr>
          <w:color w:val="231F20"/>
          <w:spacing w:val="-3"/>
          <w:sz w:val="20"/>
        </w:rPr>
        <w:t xml:space="preserve">how </w:t>
      </w:r>
      <w:r>
        <w:rPr>
          <w:color w:val="231F20"/>
          <w:sz w:val="20"/>
        </w:rPr>
        <w:t xml:space="preserve">to identify stalking and the </w:t>
      </w:r>
      <w:r>
        <w:rPr>
          <w:color w:val="231F20"/>
          <w:spacing w:val="-3"/>
          <w:sz w:val="20"/>
        </w:rPr>
        <w:t xml:space="preserve">different </w:t>
      </w:r>
      <w:r>
        <w:rPr>
          <w:color w:val="231F20"/>
          <w:sz w:val="20"/>
        </w:rPr>
        <w:t>types of</w:t>
      </w:r>
      <w:r>
        <w:rPr>
          <w:color w:val="231F20"/>
          <w:spacing w:val="-35"/>
          <w:sz w:val="20"/>
        </w:rPr>
        <w:t xml:space="preserve"> </w:t>
      </w:r>
      <w:r>
        <w:rPr>
          <w:color w:val="231F20"/>
          <w:sz w:val="20"/>
        </w:rPr>
        <w:t>stalking</w:t>
      </w:r>
      <w:r>
        <w:rPr>
          <w:color w:val="231F20"/>
          <w:position w:val="7"/>
          <w:sz w:val="11"/>
        </w:rPr>
        <w:t>14</w:t>
      </w:r>
    </w:p>
    <w:p w14:paraId="29791072" w14:textId="77777777" w:rsidR="00894070" w:rsidRDefault="009B7AFD">
      <w:pPr>
        <w:pStyle w:val="ListParagraph"/>
        <w:numPr>
          <w:ilvl w:val="2"/>
          <w:numId w:val="177"/>
        </w:numPr>
        <w:tabs>
          <w:tab w:val="left" w:pos="2141"/>
          <w:tab w:val="left" w:pos="2142"/>
        </w:tabs>
        <w:spacing w:before="47"/>
        <w:ind w:hanging="340"/>
        <w:rPr>
          <w:sz w:val="11"/>
        </w:rPr>
      </w:pPr>
      <w:r>
        <w:rPr>
          <w:color w:val="231F20"/>
          <w:sz w:val="20"/>
        </w:rPr>
        <w:t>that stalking is against the</w:t>
      </w:r>
      <w:r>
        <w:rPr>
          <w:color w:val="231F20"/>
          <w:spacing w:val="-21"/>
          <w:sz w:val="20"/>
        </w:rPr>
        <w:t xml:space="preserve"> </w:t>
      </w:r>
      <w:r>
        <w:rPr>
          <w:color w:val="231F20"/>
          <w:sz w:val="20"/>
        </w:rPr>
        <w:t>law</w:t>
      </w:r>
      <w:r>
        <w:rPr>
          <w:color w:val="231F20"/>
          <w:position w:val="7"/>
          <w:sz w:val="11"/>
        </w:rPr>
        <w:t>15</w:t>
      </w:r>
    </w:p>
    <w:p w14:paraId="2478A8C7" w14:textId="77777777" w:rsidR="00894070" w:rsidRDefault="009B7AFD">
      <w:pPr>
        <w:pStyle w:val="ListParagraph"/>
        <w:numPr>
          <w:ilvl w:val="2"/>
          <w:numId w:val="177"/>
        </w:numPr>
        <w:tabs>
          <w:tab w:val="left" w:pos="2141"/>
          <w:tab w:val="left" w:pos="2142"/>
        </w:tabs>
        <w:spacing w:before="48"/>
        <w:ind w:hanging="340"/>
        <w:rPr>
          <w:sz w:val="11"/>
        </w:rPr>
      </w:pPr>
      <w:r>
        <w:rPr>
          <w:color w:val="231F20"/>
          <w:spacing w:val="-3"/>
          <w:sz w:val="20"/>
        </w:rPr>
        <w:t xml:space="preserve">how </w:t>
      </w:r>
      <w:r>
        <w:rPr>
          <w:color w:val="231F20"/>
          <w:sz w:val="20"/>
        </w:rPr>
        <w:t>to stay</w:t>
      </w:r>
      <w:r>
        <w:rPr>
          <w:color w:val="231F20"/>
          <w:spacing w:val="-10"/>
          <w:sz w:val="20"/>
        </w:rPr>
        <w:t xml:space="preserve"> </w:t>
      </w:r>
      <w:r>
        <w:rPr>
          <w:color w:val="231F20"/>
          <w:sz w:val="20"/>
        </w:rPr>
        <w:t>safe</w:t>
      </w:r>
      <w:r>
        <w:rPr>
          <w:color w:val="231F20"/>
          <w:position w:val="7"/>
          <w:sz w:val="11"/>
        </w:rPr>
        <w:t>16</w:t>
      </w:r>
    </w:p>
    <w:p w14:paraId="43EF9915" w14:textId="77777777" w:rsidR="00894070" w:rsidRDefault="009B7AFD">
      <w:pPr>
        <w:pStyle w:val="ListParagraph"/>
        <w:numPr>
          <w:ilvl w:val="2"/>
          <w:numId w:val="177"/>
        </w:numPr>
        <w:tabs>
          <w:tab w:val="left" w:pos="2141"/>
          <w:tab w:val="left" w:pos="2142"/>
        </w:tabs>
        <w:spacing w:before="47"/>
        <w:ind w:hanging="340"/>
        <w:rPr>
          <w:sz w:val="11"/>
        </w:rPr>
      </w:pPr>
      <w:r>
        <w:rPr>
          <w:color w:val="231F20"/>
          <w:spacing w:val="-3"/>
          <w:sz w:val="20"/>
        </w:rPr>
        <w:t xml:space="preserve">how </w:t>
      </w:r>
      <w:r>
        <w:rPr>
          <w:color w:val="231F20"/>
          <w:sz w:val="20"/>
        </w:rPr>
        <w:t xml:space="preserve">to </w:t>
      </w:r>
      <w:proofErr w:type="gramStart"/>
      <w:r>
        <w:rPr>
          <w:color w:val="231F20"/>
          <w:sz w:val="20"/>
        </w:rPr>
        <w:t>take</w:t>
      </w:r>
      <w:r>
        <w:rPr>
          <w:color w:val="231F20"/>
          <w:spacing w:val="-10"/>
          <w:sz w:val="20"/>
        </w:rPr>
        <w:t xml:space="preserve"> </w:t>
      </w:r>
      <w:r>
        <w:rPr>
          <w:color w:val="231F20"/>
          <w:sz w:val="20"/>
        </w:rPr>
        <w:t>action</w:t>
      </w:r>
      <w:proofErr w:type="gramEnd"/>
      <w:r>
        <w:rPr>
          <w:color w:val="231F20"/>
          <w:sz w:val="20"/>
        </w:rPr>
        <w:t>.</w:t>
      </w:r>
      <w:r>
        <w:rPr>
          <w:color w:val="231F20"/>
          <w:position w:val="7"/>
          <w:sz w:val="11"/>
        </w:rPr>
        <w:t>17</w:t>
      </w:r>
    </w:p>
    <w:p w14:paraId="59D09CB5" w14:textId="77777777" w:rsidR="00894070" w:rsidRDefault="009B7AFD">
      <w:pPr>
        <w:pStyle w:val="ListParagraph"/>
        <w:numPr>
          <w:ilvl w:val="1"/>
          <w:numId w:val="177"/>
        </w:numPr>
        <w:tabs>
          <w:tab w:val="left" w:pos="1801"/>
          <w:tab w:val="left" w:pos="1802"/>
        </w:tabs>
        <w:spacing w:before="80" w:line="206" w:lineRule="auto"/>
        <w:ind w:right="1170"/>
        <w:rPr>
          <w:sz w:val="20"/>
        </w:rPr>
      </w:pPr>
      <w:r>
        <w:rPr>
          <w:color w:val="231F20"/>
          <w:sz w:val="20"/>
        </w:rPr>
        <w:t>These</w:t>
      </w:r>
      <w:r>
        <w:rPr>
          <w:color w:val="231F20"/>
          <w:spacing w:val="-10"/>
          <w:sz w:val="20"/>
        </w:rPr>
        <w:t xml:space="preserve"> </w:t>
      </w:r>
      <w:r>
        <w:rPr>
          <w:color w:val="231F20"/>
          <w:sz w:val="20"/>
        </w:rPr>
        <w:t>gaps</w:t>
      </w:r>
      <w:r>
        <w:rPr>
          <w:color w:val="231F20"/>
          <w:spacing w:val="-9"/>
          <w:sz w:val="20"/>
        </w:rPr>
        <w:t xml:space="preserve"> </w:t>
      </w:r>
      <w:r>
        <w:rPr>
          <w:color w:val="231F20"/>
          <w:spacing w:val="-4"/>
          <w:sz w:val="20"/>
        </w:rPr>
        <w:t>were</w:t>
      </w:r>
      <w:r>
        <w:rPr>
          <w:color w:val="231F20"/>
          <w:spacing w:val="-9"/>
          <w:sz w:val="20"/>
        </w:rPr>
        <w:t xml:space="preserve"> </w:t>
      </w:r>
      <w:r>
        <w:rPr>
          <w:color w:val="231F20"/>
          <w:sz w:val="20"/>
        </w:rPr>
        <w:t>also</w:t>
      </w:r>
      <w:r>
        <w:rPr>
          <w:color w:val="231F20"/>
          <w:spacing w:val="-9"/>
          <w:sz w:val="20"/>
        </w:rPr>
        <w:t xml:space="preserve"> </w:t>
      </w:r>
      <w:r>
        <w:rPr>
          <w:color w:val="231F20"/>
          <w:sz w:val="20"/>
        </w:rPr>
        <w:t>identified</w:t>
      </w:r>
      <w:r>
        <w:rPr>
          <w:color w:val="231F20"/>
          <w:spacing w:val="-9"/>
          <w:sz w:val="20"/>
        </w:rPr>
        <w:t xml:space="preserve"> </w:t>
      </w:r>
      <w:r>
        <w:rPr>
          <w:color w:val="231F20"/>
          <w:spacing w:val="-3"/>
          <w:sz w:val="20"/>
        </w:rPr>
        <w:t>by</w:t>
      </w:r>
      <w:r>
        <w:rPr>
          <w:color w:val="231F20"/>
          <w:spacing w:val="-9"/>
          <w:sz w:val="20"/>
        </w:rPr>
        <w:t xml:space="preserve"> </w:t>
      </w:r>
      <w:r>
        <w:rPr>
          <w:color w:val="231F20"/>
          <w:sz w:val="20"/>
        </w:rPr>
        <w:t>other</w:t>
      </w:r>
      <w:r>
        <w:rPr>
          <w:color w:val="231F20"/>
          <w:spacing w:val="-9"/>
          <w:sz w:val="20"/>
        </w:rPr>
        <w:t xml:space="preserve"> </w:t>
      </w:r>
      <w:r>
        <w:rPr>
          <w:color w:val="231F20"/>
          <w:sz w:val="20"/>
        </w:rPr>
        <w:t>submissions</w:t>
      </w:r>
      <w:r>
        <w:rPr>
          <w:color w:val="231F20"/>
          <w:spacing w:val="-9"/>
          <w:sz w:val="20"/>
        </w:rPr>
        <w:t xml:space="preserve"> </w:t>
      </w:r>
      <w:r>
        <w:rPr>
          <w:color w:val="231F20"/>
          <w:sz w:val="20"/>
        </w:rPr>
        <w:t>and</w:t>
      </w:r>
      <w:r>
        <w:rPr>
          <w:color w:val="231F20"/>
          <w:spacing w:val="-9"/>
          <w:sz w:val="20"/>
        </w:rPr>
        <w:t xml:space="preserve"> </w:t>
      </w:r>
      <w:r>
        <w:rPr>
          <w:color w:val="231F20"/>
          <w:sz w:val="20"/>
        </w:rPr>
        <w:t>consultations.</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Centre</w:t>
      </w:r>
      <w:r>
        <w:rPr>
          <w:color w:val="231F20"/>
          <w:spacing w:val="-9"/>
          <w:sz w:val="20"/>
        </w:rPr>
        <w:t xml:space="preserve"> </w:t>
      </w:r>
      <w:r>
        <w:rPr>
          <w:color w:val="231F20"/>
          <w:spacing w:val="-3"/>
          <w:sz w:val="20"/>
        </w:rPr>
        <w:t xml:space="preserve">for Forensic </w:t>
      </w:r>
      <w:r>
        <w:rPr>
          <w:color w:val="231F20"/>
          <w:sz w:val="20"/>
        </w:rPr>
        <w:t xml:space="preserve">Behavioural Science </w:t>
      </w:r>
      <w:r>
        <w:rPr>
          <w:color w:val="231F20"/>
          <w:spacing w:val="-3"/>
          <w:sz w:val="20"/>
        </w:rPr>
        <w:t>told</w:t>
      </w:r>
      <w:r>
        <w:rPr>
          <w:color w:val="231F20"/>
          <w:spacing w:val="-14"/>
          <w:sz w:val="20"/>
        </w:rPr>
        <w:t xml:space="preserve"> </w:t>
      </w:r>
      <w:r>
        <w:rPr>
          <w:color w:val="231F20"/>
          <w:sz w:val="20"/>
        </w:rPr>
        <w:t>us:</w:t>
      </w:r>
    </w:p>
    <w:p w14:paraId="3318C30A" w14:textId="77777777" w:rsidR="00894070" w:rsidRDefault="009B7AFD">
      <w:pPr>
        <w:spacing w:before="120" w:line="208" w:lineRule="auto"/>
        <w:ind w:left="2254" w:right="1219"/>
        <w:rPr>
          <w:sz w:val="11"/>
        </w:rPr>
      </w:pPr>
      <w:r>
        <w:rPr>
          <w:color w:val="231F20"/>
          <w:sz w:val="19"/>
        </w:rPr>
        <w:t>there is a need to provide information and support to victims of stalking, particularly those who experience non-family stalking, for which very few resources exist.</w:t>
      </w:r>
      <w:r>
        <w:rPr>
          <w:color w:val="231F20"/>
          <w:position w:val="6"/>
          <w:sz w:val="11"/>
        </w:rPr>
        <w:t>18</w:t>
      </w:r>
    </w:p>
    <w:p w14:paraId="57FF3710" w14:textId="77777777" w:rsidR="00894070" w:rsidRDefault="009B7AFD">
      <w:pPr>
        <w:pStyle w:val="ListParagraph"/>
        <w:numPr>
          <w:ilvl w:val="1"/>
          <w:numId w:val="177"/>
        </w:numPr>
        <w:tabs>
          <w:tab w:val="left" w:pos="1801"/>
          <w:tab w:val="left" w:pos="1802"/>
        </w:tabs>
        <w:spacing w:before="124" w:line="206" w:lineRule="auto"/>
        <w:ind w:right="1179"/>
        <w:rPr>
          <w:sz w:val="11"/>
        </w:rPr>
      </w:pPr>
      <w:r>
        <w:rPr>
          <w:color w:val="231F20"/>
          <w:sz w:val="20"/>
        </w:rPr>
        <w:t>Stalking</w:t>
      </w:r>
      <w:r>
        <w:rPr>
          <w:color w:val="231F20"/>
          <w:spacing w:val="-10"/>
          <w:sz w:val="20"/>
        </w:rPr>
        <w:t xml:space="preserve"> </w:t>
      </w:r>
      <w:r>
        <w:rPr>
          <w:color w:val="231F20"/>
          <w:sz w:val="20"/>
        </w:rPr>
        <w:t>behaviours</w:t>
      </w:r>
      <w:r>
        <w:rPr>
          <w:color w:val="231F20"/>
          <w:spacing w:val="-9"/>
          <w:sz w:val="20"/>
        </w:rPr>
        <w:t xml:space="preserve"> </w:t>
      </w:r>
      <w:r>
        <w:rPr>
          <w:color w:val="231F20"/>
          <w:spacing w:val="-3"/>
          <w:sz w:val="20"/>
        </w:rPr>
        <w:t>are</w:t>
      </w:r>
      <w:r>
        <w:rPr>
          <w:color w:val="231F20"/>
          <w:spacing w:val="-9"/>
          <w:sz w:val="20"/>
        </w:rPr>
        <w:t xml:space="preserve"> </w:t>
      </w:r>
      <w:r>
        <w:rPr>
          <w:color w:val="231F20"/>
          <w:sz w:val="20"/>
        </w:rPr>
        <w:t>sometimes</w:t>
      </w:r>
      <w:r>
        <w:rPr>
          <w:color w:val="231F20"/>
          <w:spacing w:val="-9"/>
          <w:sz w:val="20"/>
        </w:rPr>
        <w:t xml:space="preserve"> </w:t>
      </w:r>
      <w:r>
        <w:rPr>
          <w:color w:val="231F20"/>
          <w:spacing w:val="-3"/>
          <w:sz w:val="20"/>
        </w:rPr>
        <w:t>viewed</w:t>
      </w:r>
      <w:r>
        <w:rPr>
          <w:color w:val="231F20"/>
          <w:spacing w:val="-9"/>
          <w:sz w:val="20"/>
        </w:rPr>
        <w:t xml:space="preserve"> </w:t>
      </w:r>
      <w:r>
        <w:rPr>
          <w:color w:val="231F20"/>
          <w:sz w:val="20"/>
        </w:rPr>
        <w:t>as</w:t>
      </w:r>
      <w:r>
        <w:rPr>
          <w:color w:val="231F20"/>
          <w:spacing w:val="-9"/>
          <w:sz w:val="20"/>
        </w:rPr>
        <w:t xml:space="preserve"> </w:t>
      </w:r>
      <w:r>
        <w:rPr>
          <w:color w:val="231F20"/>
          <w:sz w:val="20"/>
        </w:rPr>
        <w:t>normal</w:t>
      </w:r>
      <w:r>
        <w:rPr>
          <w:color w:val="231F20"/>
          <w:spacing w:val="-9"/>
          <w:sz w:val="20"/>
        </w:rPr>
        <w:t xml:space="preserve"> </w:t>
      </w:r>
      <w:r>
        <w:rPr>
          <w:color w:val="231F20"/>
          <w:sz w:val="20"/>
        </w:rPr>
        <w:t>or</w:t>
      </w:r>
      <w:r>
        <w:rPr>
          <w:color w:val="231F20"/>
          <w:spacing w:val="-9"/>
          <w:sz w:val="20"/>
        </w:rPr>
        <w:t xml:space="preserve"> </w:t>
      </w:r>
      <w:r>
        <w:rPr>
          <w:color w:val="231F20"/>
          <w:sz w:val="20"/>
        </w:rPr>
        <w:t>romantic.</w:t>
      </w:r>
      <w:r>
        <w:rPr>
          <w:color w:val="231F20"/>
          <w:position w:val="7"/>
          <w:sz w:val="11"/>
        </w:rPr>
        <w:t>19</w:t>
      </w:r>
      <w:r>
        <w:rPr>
          <w:color w:val="231F20"/>
          <w:spacing w:val="15"/>
          <w:position w:val="7"/>
          <w:sz w:val="11"/>
        </w:rPr>
        <w:t xml:space="preserve"> </w:t>
      </w:r>
      <w:r>
        <w:rPr>
          <w:color w:val="231F20"/>
          <w:sz w:val="20"/>
        </w:rPr>
        <w:t>Popular</w:t>
      </w:r>
      <w:r>
        <w:rPr>
          <w:color w:val="231F20"/>
          <w:spacing w:val="-9"/>
          <w:sz w:val="20"/>
        </w:rPr>
        <w:t xml:space="preserve"> </w:t>
      </w:r>
      <w:r>
        <w:rPr>
          <w:color w:val="231F20"/>
          <w:spacing w:val="-3"/>
          <w:sz w:val="20"/>
        </w:rPr>
        <w:t>culture</w:t>
      </w:r>
      <w:r>
        <w:rPr>
          <w:color w:val="231F20"/>
          <w:spacing w:val="-9"/>
          <w:sz w:val="20"/>
        </w:rPr>
        <w:t xml:space="preserve"> </w:t>
      </w:r>
      <w:r>
        <w:rPr>
          <w:color w:val="231F20"/>
          <w:sz w:val="20"/>
        </w:rPr>
        <w:t xml:space="preserve">can </w:t>
      </w:r>
      <w:r>
        <w:rPr>
          <w:color w:val="231F20"/>
          <w:spacing w:val="-3"/>
          <w:sz w:val="20"/>
        </w:rPr>
        <w:t>perpetuate</w:t>
      </w:r>
      <w:r>
        <w:rPr>
          <w:color w:val="231F20"/>
          <w:spacing w:val="-5"/>
          <w:sz w:val="20"/>
        </w:rPr>
        <w:t xml:space="preserve"> </w:t>
      </w:r>
      <w:r>
        <w:rPr>
          <w:color w:val="231F20"/>
          <w:sz w:val="20"/>
        </w:rPr>
        <w:t>the</w:t>
      </w:r>
      <w:r>
        <w:rPr>
          <w:color w:val="231F20"/>
          <w:spacing w:val="-5"/>
          <w:sz w:val="20"/>
        </w:rPr>
        <w:t xml:space="preserve"> </w:t>
      </w:r>
      <w:r>
        <w:rPr>
          <w:color w:val="231F20"/>
          <w:sz w:val="20"/>
        </w:rPr>
        <w:t>myth</w:t>
      </w:r>
      <w:r>
        <w:rPr>
          <w:color w:val="231F20"/>
          <w:spacing w:val="-5"/>
          <w:sz w:val="20"/>
        </w:rPr>
        <w:t xml:space="preserve"> </w:t>
      </w:r>
      <w:r>
        <w:rPr>
          <w:color w:val="231F20"/>
          <w:sz w:val="20"/>
        </w:rPr>
        <w:t>that</w:t>
      </w:r>
      <w:r>
        <w:rPr>
          <w:color w:val="231F20"/>
          <w:spacing w:val="-5"/>
          <w:sz w:val="20"/>
        </w:rPr>
        <w:t xml:space="preserve"> </w:t>
      </w:r>
      <w:r>
        <w:rPr>
          <w:color w:val="231F20"/>
          <w:sz w:val="20"/>
        </w:rPr>
        <w:t>‘the</w:t>
      </w:r>
      <w:r>
        <w:rPr>
          <w:color w:val="231F20"/>
          <w:spacing w:val="-5"/>
          <w:sz w:val="20"/>
        </w:rPr>
        <w:t xml:space="preserve"> </w:t>
      </w:r>
      <w:r>
        <w:rPr>
          <w:color w:val="231F20"/>
          <w:sz w:val="20"/>
        </w:rPr>
        <w:t>stalker</w:t>
      </w:r>
      <w:r>
        <w:rPr>
          <w:color w:val="231F20"/>
          <w:spacing w:val="-5"/>
          <w:sz w:val="20"/>
        </w:rPr>
        <w:t xml:space="preserve"> </w:t>
      </w:r>
      <w:r>
        <w:rPr>
          <w:color w:val="231F20"/>
          <w:sz w:val="20"/>
        </w:rPr>
        <w:t>was</w:t>
      </w:r>
      <w:r>
        <w:rPr>
          <w:color w:val="231F20"/>
          <w:spacing w:val="-4"/>
          <w:sz w:val="20"/>
        </w:rPr>
        <w:t xml:space="preserve"> </w:t>
      </w:r>
      <w:r>
        <w:rPr>
          <w:color w:val="231F20"/>
          <w:spacing w:val="-3"/>
          <w:sz w:val="20"/>
        </w:rPr>
        <w:t>actually</w:t>
      </w:r>
      <w:r>
        <w:rPr>
          <w:color w:val="231F20"/>
          <w:spacing w:val="-5"/>
          <w:sz w:val="20"/>
        </w:rPr>
        <w:t xml:space="preserve"> </w:t>
      </w:r>
      <w:r>
        <w:rPr>
          <w:color w:val="231F20"/>
          <w:sz w:val="20"/>
        </w:rPr>
        <w:t>the</w:t>
      </w:r>
      <w:r>
        <w:rPr>
          <w:color w:val="231F20"/>
          <w:spacing w:val="-5"/>
          <w:sz w:val="20"/>
        </w:rPr>
        <w:t xml:space="preserve"> </w:t>
      </w:r>
      <w:r>
        <w:rPr>
          <w:color w:val="231F20"/>
          <w:sz w:val="20"/>
        </w:rPr>
        <w:t>right</w:t>
      </w:r>
      <w:r>
        <w:rPr>
          <w:color w:val="231F20"/>
          <w:spacing w:val="-5"/>
          <w:sz w:val="20"/>
        </w:rPr>
        <w:t xml:space="preserve"> </w:t>
      </w:r>
      <w:r>
        <w:rPr>
          <w:color w:val="231F20"/>
          <w:sz w:val="20"/>
        </w:rPr>
        <w:t>person</w:t>
      </w:r>
      <w:r>
        <w:rPr>
          <w:color w:val="231F20"/>
          <w:spacing w:val="-5"/>
          <w:sz w:val="20"/>
        </w:rPr>
        <w:t xml:space="preserve"> </w:t>
      </w:r>
      <w:r>
        <w:rPr>
          <w:color w:val="231F20"/>
          <w:sz w:val="20"/>
        </w:rPr>
        <w:t>all</w:t>
      </w:r>
      <w:r>
        <w:rPr>
          <w:color w:val="231F20"/>
          <w:spacing w:val="-5"/>
          <w:sz w:val="20"/>
        </w:rPr>
        <w:t xml:space="preserve"> </w:t>
      </w:r>
      <w:r>
        <w:rPr>
          <w:color w:val="231F20"/>
          <w:spacing w:val="-3"/>
          <w:sz w:val="20"/>
        </w:rPr>
        <w:t>along’.</w:t>
      </w:r>
      <w:r>
        <w:rPr>
          <w:color w:val="231F20"/>
          <w:spacing w:val="-3"/>
          <w:position w:val="7"/>
          <w:sz w:val="11"/>
        </w:rPr>
        <w:t>20</w:t>
      </w:r>
    </w:p>
    <w:p w14:paraId="74F0583F" w14:textId="77777777" w:rsidR="00894070" w:rsidRDefault="009B7AFD">
      <w:pPr>
        <w:pStyle w:val="ListParagraph"/>
        <w:numPr>
          <w:ilvl w:val="1"/>
          <w:numId w:val="177"/>
        </w:numPr>
        <w:tabs>
          <w:tab w:val="left" w:pos="1801"/>
          <w:tab w:val="left" w:pos="1802"/>
        </w:tabs>
        <w:spacing w:before="90"/>
        <w:rPr>
          <w:sz w:val="20"/>
        </w:rPr>
      </w:pPr>
      <w:r>
        <w:rPr>
          <w:color w:val="231F20"/>
          <w:sz w:val="20"/>
        </w:rPr>
        <w:t xml:space="preserve">As a male victim of stalking </w:t>
      </w:r>
      <w:r>
        <w:rPr>
          <w:color w:val="231F20"/>
          <w:spacing w:val="-3"/>
          <w:sz w:val="20"/>
        </w:rPr>
        <w:t>told</w:t>
      </w:r>
      <w:r>
        <w:rPr>
          <w:color w:val="231F20"/>
          <w:spacing w:val="-30"/>
          <w:sz w:val="20"/>
        </w:rPr>
        <w:t xml:space="preserve"> </w:t>
      </w:r>
      <w:r>
        <w:rPr>
          <w:color w:val="231F20"/>
          <w:sz w:val="20"/>
        </w:rPr>
        <w:t>us:</w:t>
      </w:r>
    </w:p>
    <w:p w14:paraId="43765742" w14:textId="77777777" w:rsidR="00894070" w:rsidRDefault="009F6793">
      <w:pPr>
        <w:pStyle w:val="BodyText"/>
        <w:spacing w:before="12"/>
        <w:rPr>
          <w:sz w:val="22"/>
        </w:rPr>
      </w:pPr>
      <w:r>
        <w:pict w14:anchorId="42EAFB69">
          <v:shape id="_x0000_s1503" type="#_x0000_t202" style="position:absolute;margin-left:119.3pt;margin-top:18.1pt;width:396.35pt;height:68.1pt;z-index:251534336;mso-wrap-distance-left:0;mso-wrap-distance-right:0;mso-position-horizontal-relative:page" fillcolor="#fee7de" strokecolor="#ea5b50" strokeweight=".5pt">
            <v:textbox inset="0,0,0,0">
              <w:txbxContent>
                <w:p w14:paraId="3E7CC6E8" w14:textId="77777777" w:rsidR="00894070" w:rsidRDefault="009B7AFD">
                  <w:pPr>
                    <w:pStyle w:val="BodyText"/>
                    <w:spacing w:before="179" w:line="259" w:lineRule="exact"/>
                    <w:ind w:left="221"/>
                  </w:pPr>
                  <w:r>
                    <w:rPr>
                      <w:color w:val="231F20"/>
                    </w:rPr>
                    <w:t>The whole understanding of a stalker needs to be taken very seriously.</w:t>
                  </w:r>
                </w:p>
                <w:p w14:paraId="53E7792A" w14:textId="77777777" w:rsidR="00894070" w:rsidRDefault="009B7AFD">
                  <w:pPr>
                    <w:pStyle w:val="BodyText"/>
                    <w:spacing w:before="13" w:line="206" w:lineRule="auto"/>
                    <w:ind w:left="221" w:right="184"/>
                    <w:rPr>
                      <w:sz w:val="11"/>
                    </w:rPr>
                  </w:pPr>
                  <w:r>
                    <w:rPr>
                      <w:color w:val="231F20"/>
                    </w:rPr>
                    <w:t>Most people still see it as a harmless act, indeed to some point as almost complimentary, to be stalked. The public should be informed in the same degree as to domestic violence.</w:t>
                  </w:r>
                  <w:r>
                    <w:rPr>
                      <w:color w:val="231F20"/>
                      <w:position w:val="7"/>
                      <w:sz w:val="11"/>
                    </w:rPr>
                    <w:t>21</w:t>
                  </w:r>
                </w:p>
              </w:txbxContent>
            </v:textbox>
            <w10:wrap type="topAndBottom" anchorx="page"/>
          </v:shape>
        </w:pict>
      </w:r>
    </w:p>
    <w:p w14:paraId="2DFE47E2" w14:textId="77777777" w:rsidR="00894070" w:rsidRDefault="00894070">
      <w:pPr>
        <w:pStyle w:val="BodyText"/>
        <w:spacing w:before="6"/>
        <w:rPr>
          <w:sz w:val="19"/>
        </w:rPr>
      </w:pPr>
    </w:p>
    <w:p w14:paraId="0F1878D4" w14:textId="77777777" w:rsidR="00894070" w:rsidRDefault="009B7AFD">
      <w:pPr>
        <w:pStyle w:val="ListParagraph"/>
        <w:numPr>
          <w:ilvl w:val="1"/>
          <w:numId w:val="177"/>
        </w:numPr>
        <w:tabs>
          <w:tab w:val="left" w:pos="1801"/>
          <w:tab w:val="left" w:pos="1802"/>
        </w:tabs>
        <w:spacing w:before="57"/>
        <w:rPr>
          <w:sz w:val="20"/>
        </w:rPr>
      </w:pPr>
      <w:r>
        <w:rPr>
          <w:color w:val="231F20"/>
          <w:spacing w:val="-6"/>
          <w:sz w:val="20"/>
        </w:rPr>
        <w:t>We</w:t>
      </w:r>
      <w:r>
        <w:rPr>
          <w:color w:val="231F20"/>
          <w:spacing w:val="-5"/>
          <w:sz w:val="20"/>
        </w:rPr>
        <w:t xml:space="preserve"> </w:t>
      </w:r>
      <w:r>
        <w:rPr>
          <w:color w:val="231F20"/>
          <w:sz w:val="20"/>
        </w:rPr>
        <w:t>summarise</w:t>
      </w:r>
      <w:r>
        <w:rPr>
          <w:color w:val="231F20"/>
          <w:spacing w:val="-6"/>
          <w:sz w:val="20"/>
        </w:rPr>
        <w:t xml:space="preserve"> </w:t>
      </w:r>
      <w:r>
        <w:rPr>
          <w:color w:val="231F20"/>
          <w:sz w:val="20"/>
        </w:rPr>
        <w:t>what</w:t>
      </w:r>
      <w:r>
        <w:rPr>
          <w:color w:val="231F20"/>
          <w:spacing w:val="-5"/>
          <w:sz w:val="20"/>
        </w:rPr>
        <w:t xml:space="preserve"> </w:t>
      </w:r>
      <w:r>
        <w:rPr>
          <w:color w:val="231F20"/>
          <w:sz w:val="20"/>
        </w:rPr>
        <w:t>appear</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common</w:t>
      </w:r>
      <w:r>
        <w:rPr>
          <w:color w:val="231F20"/>
          <w:spacing w:val="-5"/>
          <w:sz w:val="20"/>
        </w:rPr>
        <w:t xml:space="preserve"> </w:t>
      </w:r>
      <w:r>
        <w:rPr>
          <w:color w:val="231F20"/>
          <w:sz w:val="20"/>
        </w:rPr>
        <w:t>myths</w:t>
      </w:r>
      <w:r>
        <w:rPr>
          <w:color w:val="231F20"/>
          <w:spacing w:val="-5"/>
          <w:sz w:val="20"/>
        </w:rPr>
        <w:t xml:space="preserve"> </w:t>
      </w:r>
      <w:r>
        <w:rPr>
          <w:color w:val="231F20"/>
          <w:sz w:val="20"/>
        </w:rPr>
        <w:t>about</w:t>
      </w:r>
      <w:r>
        <w:rPr>
          <w:color w:val="231F20"/>
          <w:spacing w:val="-5"/>
          <w:sz w:val="20"/>
        </w:rPr>
        <w:t xml:space="preserve"> </w:t>
      </w:r>
      <w:r>
        <w:rPr>
          <w:color w:val="231F20"/>
          <w:sz w:val="20"/>
        </w:rPr>
        <w:t>stalking</w:t>
      </w:r>
      <w:r>
        <w:rPr>
          <w:color w:val="231F20"/>
          <w:spacing w:val="-5"/>
          <w:sz w:val="20"/>
        </w:rPr>
        <w:t xml:space="preserve"> </w:t>
      </w:r>
      <w:r>
        <w:rPr>
          <w:color w:val="231F20"/>
          <w:sz w:val="20"/>
        </w:rPr>
        <w:t>in</w:t>
      </w:r>
      <w:r>
        <w:rPr>
          <w:color w:val="231F20"/>
          <w:spacing w:val="-5"/>
          <w:sz w:val="20"/>
        </w:rPr>
        <w:t xml:space="preserve"> </w:t>
      </w:r>
      <w:r>
        <w:rPr>
          <w:color w:val="231F20"/>
          <w:spacing w:val="-6"/>
          <w:sz w:val="20"/>
        </w:rPr>
        <w:t>Table</w:t>
      </w:r>
      <w:r>
        <w:rPr>
          <w:color w:val="231F20"/>
          <w:spacing w:val="-5"/>
          <w:sz w:val="20"/>
        </w:rPr>
        <w:t xml:space="preserve"> </w:t>
      </w:r>
      <w:r>
        <w:rPr>
          <w:color w:val="231F20"/>
          <w:sz w:val="20"/>
        </w:rPr>
        <w:t>9</w:t>
      </w:r>
      <w:r>
        <w:rPr>
          <w:color w:val="231F20"/>
          <w:spacing w:val="-5"/>
          <w:sz w:val="20"/>
        </w:rPr>
        <w:t xml:space="preserve"> below.</w:t>
      </w:r>
    </w:p>
    <w:p w14:paraId="38E01AAF" w14:textId="77777777" w:rsidR="00894070" w:rsidRDefault="009B7AFD">
      <w:pPr>
        <w:spacing w:before="94"/>
        <w:ind w:left="1801"/>
        <w:rPr>
          <w:b/>
          <w:sz w:val="19"/>
        </w:rPr>
      </w:pPr>
      <w:r>
        <w:rPr>
          <w:b/>
          <w:color w:val="231F20"/>
          <w:sz w:val="19"/>
        </w:rPr>
        <w:t>Table 9: Common myths about stalking</w:t>
      </w:r>
    </w:p>
    <w:p w14:paraId="086C71DC" w14:textId="77777777" w:rsidR="00894070" w:rsidRDefault="00894070">
      <w:pPr>
        <w:pStyle w:val="BodyText"/>
        <w:spacing w:before="8"/>
        <w:rPr>
          <w:b/>
          <w:sz w:val="13"/>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3075"/>
        <w:gridCol w:w="4851"/>
      </w:tblGrid>
      <w:tr w:rsidR="00894070" w14:paraId="5A16E1BF" w14:textId="77777777">
        <w:trPr>
          <w:trHeight w:val="518"/>
        </w:trPr>
        <w:tc>
          <w:tcPr>
            <w:tcW w:w="3075" w:type="dxa"/>
            <w:shd w:val="clear" w:color="auto" w:fill="F4BCAE"/>
          </w:tcPr>
          <w:p w14:paraId="4358C6EF" w14:textId="77777777" w:rsidR="00894070" w:rsidRDefault="009B7AFD">
            <w:pPr>
              <w:pStyle w:val="TableParagraph"/>
              <w:spacing w:before="122"/>
              <w:rPr>
                <w:b/>
                <w:sz w:val="20"/>
              </w:rPr>
            </w:pPr>
            <w:r>
              <w:rPr>
                <w:b/>
                <w:color w:val="231F20"/>
                <w:sz w:val="20"/>
              </w:rPr>
              <w:t>Myth</w:t>
            </w:r>
          </w:p>
        </w:tc>
        <w:tc>
          <w:tcPr>
            <w:tcW w:w="4851" w:type="dxa"/>
            <w:shd w:val="clear" w:color="auto" w:fill="F4BCAE"/>
          </w:tcPr>
          <w:p w14:paraId="3FD499A3" w14:textId="77777777" w:rsidR="00894070" w:rsidRDefault="009B7AFD">
            <w:pPr>
              <w:pStyle w:val="TableParagraph"/>
              <w:spacing w:before="122"/>
              <w:rPr>
                <w:b/>
                <w:sz w:val="20"/>
              </w:rPr>
            </w:pPr>
            <w:r>
              <w:rPr>
                <w:b/>
                <w:color w:val="231F20"/>
                <w:sz w:val="20"/>
              </w:rPr>
              <w:t>What the research suggests</w:t>
            </w:r>
          </w:p>
        </w:tc>
      </w:tr>
      <w:tr w:rsidR="00894070" w14:paraId="3007882C" w14:textId="77777777">
        <w:trPr>
          <w:trHeight w:val="644"/>
        </w:trPr>
        <w:tc>
          <w:tcPr>
            <w:tcW w:w="3075" w:type="dxa"/>
          </w:tcPr>
          <w:p w14:paraId="3ADF4CEE" w14:textId="77777777" w:rsidR="00894070" w:rsidRDefault="009B7AFD">
            <w:pPr>
              <w:pStyle w:val="TableParagraph"/>
              <w:spacing w:before="98" w:line="206" w:lineRule="auto"/>
              <w:ind w:right="82"/>
              <w:rPr>
                <w:sz w:val="11"/>
              </w:rPr>
            </w:pPr>
            <w:r>
              <w:rPr>
                <w:color w:val="231F20"/>
                <w:sz w:val="20"/>
              </w:rPr>
              <w:t>Stalking behaviour is romantic or a sign of affection.</w:t>
            </w:r>
            <w:r>
              <w:rPr>
                <w:color w:val="231F20"/>
                <w:position w:val="7"/>
                <w:sz w:val="11"/>
              </w:rPr>
              <w:t>22</w:t>
            </w:r>
          </w:p>
        </w:tc>
        <w:tc>
          <w:tcPr>
            <w:tcW w:w="4851" w:type="dxa"/>
          </w:tcPr>
          <w:p w14:paraId="2397198F" w14:textId="77777777" w:rsidR="00894070" w:rsidRDefault="009B7AFD">
            <w:pPr>
              <w:pStyle w:val="TableParagraph"/>
              <w:spacing w:before="65" w:line="259" w:lineRule="exact"/>
              <w:rPr>
                <w:sz w:val="20"/>
              </w:rPr>
            </w:pPr>
            <w:r>
              <w:rPr>
                <w:color w:val="231F20"/>
                <w:sz w:val="20"/>
              </w:rPr>
              <w:t xml:space="preserve">Stalking is about control. It is </w:t>
            </w:r>
            <w:proofErr w:type="gramStart"/>
            <w:r>
              <w:rPr>
                <w:color w:val="231F20"/>
                <w:sz w:val="20"/>
              </w:rPr>
              <w:t>unwelcome</w:t>
            </w:r>
            <w:proofErr w:type="gramEnd"/>
            <w:r>
              <w:rPr>
                <w:color w:val="231F20"/>
                <w:sz w:val="20"/>
              </w:rPr>
              <w:t xml:space="preserve"> and</w:t>
            </w:r>
          </w:p>
          <w:p w14:paraId="76BC4748" w14:textId="77777777" w:rsidR="00894070" w:rsidRDefault="009B7AFD">
            <w:pPr>
              <w:pStyle w:val="TableParagraph"/>
              <w:spacing w:line="259" w:lineRule="exact"/>
              <w:rPr>
                <w:sz w:val="11"/>
              </w:rPr>
            </w:pPr>
            <w:r>
              <w:rPr>
                <w:color w:val="231F20"/>
                <w:sz w:val="20"/>
              </w:rPr>
              <w:t>intrusive, and may cause fear and distress.</w:t>
            </w:r>
            <w:r>
              <w:rPr>
                <w:color w:val="231F20"/>
                <w:position w:val="7"/>
                <w:sz w:val="11"/>
              </w:rPr>
              <w:t>23</w:t>
            </w:r>
          </w:p>
        </w:tc>
      </w:tr>
    </w:tbl>
    <w:p w14:paraId="2BFFD2EE" w14:textId="77777777" w:rsidR="00894070" w:rsidRDefault="00894070">
      <w:pPr>
        <w:pStyle w:val="BodyText"/>
        <w:rPr>
          <w:b/>
        </w:rPr>
      </w:pPr>
    </w:p>
    <w:p w14:paraId="104BD13A" w14:textId="77777777" w:rsidR="00894070" w:rsidRDefault="00894070">
      <w:pPr>
        <w:pStyle w:val="BodyText"/>
        <w:rPr>
          <w:b/>
        </w:rPr>
      </w:pPr>
    </w:p>
    <w:p w14:paraId="47A64C9A" w14:textId="77777777" w:rsidR="00894070" w:rsidRDefault="00894070">
      <w:pPr>
        <w:pStyle w:val="BodyText"/>
        <w:rPr>
          <w:b/>
        </w:rPr>
      </w:pPr>
    </w:p>
    <w:p w14:paraId="51D58211" w14:textId="77777777" w:rsidR="00894070" w:rsidRDefault="00894070">
      <w:pPr>
        <w:pStyle w:val="BodyText"/>
        <w:rPr>
          <w:b/>
        </w:rPr>
      </w:pPr>
    </w:p>
    <w:p w14:paraId="06EBA304" w14:textId="77777777" w:rsidR="00894070" w:rsidRDefault="00894070">
      <w:pPr>
        <w:pStyle w:val="BodyText"/>
        <w:rPr>
          <w:b/>
        </w:rPr>
      </w:pPr>
    </w:p>
    <w:p w14:paraId="18D985F4" w14:textId="77777777" w:rsidR="00894070" w:rsidRDefault="00894070">
      <w:pPr>
        <w:pStyle w:val="BodyText"/>
        <w:rPr>
          <w:b/>
        </w:rPr>
      </w:pPr>
    </w:p>
    <w:p w14:paraId="6BF4AFA3" w14:textId="77777777" w:rsidR="00894070" w:rsidRDefault="009F6793">
      <w:pPr>
        <w:pStyle w:val="BodyText"/>
        <w:spacing w:before="8"/>
        <w:rPr>
          <w:b/>
          <w:sz w:val="25"/>
        </w:rPr>
      </w:pPr>
      <w:r>
        <w:pict w14:anchorId="4BBBC429">
          <v:line id="_x0000_s1502" style="position:absolute;z-index:251535360;mso-wrap-distance-left:0;mso-wrap-distance-right:0;mso-position-horizontal-relative:page" from="79.35pt,20.25pt" to="515.9pt,20.25pt" strokecolor="#f8cabc" strokeweight="1pt">
            <w10:wrap type="topAndBottom" anchorx="page"/>
          </v:line>
        </w:pict>
      </w:r>
    </w:p>
    <w:p w14:paraId="250303CA" w14:textId="77777777" w:rsidR="00894070" w:rsidRDefault="009B7AFD">
      <w:pPr>
        <w:pStyle w:val="ListParagraph"/>
        <w:numPr>
          <w:ilvl w:val="0"/>
          <w:numId w:val="134"/>
        </w:numPr>
        <w:tabs>
          <w:tab w:val="left" w:pos="1800"/>
          <w:tab w:val="left" w:pos="1802"/>
        </w:tabs>
        <w:spacing w:before="91" w:line="170" w:lineRule="exact"/>
        <w:rPr>
          <w:sz w:val="13"/>
        </w:rPr>
      </w:pPr>
      <w:r>
        <w:rPr>
          <w:color w:val="231F20"/>
          <w:sz w:val="13"/>
        </w:rPr>
        <w:t>Ibid.</w:t>
      </w:r>
    </w:p>
    <w:p w14:paraId="7FB534B8" w14:textId="77777777" w:rsidR="00894070" w:rsidRDefault="009B7AFD">
      <w:pPr>
        <w:pStyle w:val="ListParagraph"/>
        <w:numPr>
          <w:ilvl w:val="0"/>
          <w:numId w:val="134"/>
        </w:numPr>
        <w:tabs>
          <w:tab w:val="left" w:pos="1801"/>
          <w:tab w:val="left" w:pos="1802"/>
        </w:tabs>
        <w:spacing w:line="160" w:lineRule="exact"/>
        <w:rPr>
          <w:sz w:val="13"/>
        </w:rPr>
      </w:pPr>
      <w:r>
        <w:rPr>
          <w:color w:val="231F20"/>
          <w:spacing w:val="2"/>
          <w:sz w:val="13"/>
        </w:rPr>
        <w:t xml:space="preserve">Submission </w:t>
      </w:r>
      <w:r>
        <w:rPr>
          <w:color w:val="231F20"/>
          <w:sz w:val="13"/>
        </w:rPr>
        <w:t>4 (Name</w:t>
      </w:r>
      <w:r>
        <w:rPr>
          <w:color w:val="231F20"/>
          <w:spacing w:val="-3"/>
          <w:sz w:val="13"/>
        </w:rPr>
        <w:t xml:space="preserve"> </w:t>
      </w:r>
      <w:r>
        <w:rPr>
          <w:color w:val="231F20"/>
          <w:sz w:val="13"/>
        </w:rPr>
        <w:t>withheld).</w:t>
      </w:r>
    </w:p>
    <w:p w14:paraId="65B47CF7" w14:textId="77777777" w:rsidR="00894070" w:rsidRDefault="009B7AFD">
      <w:pPr>
        <w:pStyle w:val="ListParagraph"/>
        <w:numPr>
          <w:ilvl w:val="0"/>
          <w:numId w:val="134"/>
        </w:numPr>
        <w:tabs>
          <w:tab w:val="left" w:pos="1801"/>
          <w:tab w:val="left" w:pos="1802"/>
        </w:tabs>
        <w:spacing w:line="160" w:lineRule="exact"/>
        <w:rPr>
          <w:sz w:val="13"/>
        </w:rPr>
      </w:pPr>
      <w:r>
        <w:rPr>
          <w:color w:val="231F20"/>
          <w:spacing w:val="2"/>
          <w:sz w:val="13"/>
        </w:rPr>
        <w:t xml:space="preserve">Submission </w:t>
      </w:r>
      <w:r>
        <w:rPr>
          <w:color w:val="231F20"/>
          <w:sz w:val="13"/>
        </w:rPr>
        <w:t>59 (Name</w:t>
      </w:r>
      <w:r>
        <w:rPr>
          <w:color w:val="231F20"/>
          <w:spacing w:val="-3"/>
          <w:sz w:val="13"/>
        </w:rPr>
        <w:t xml:space="preserve"> </w:t>
      </w:r>
      <w:r>
        <w:rPr>
          <w:color w:val="231F20"/>
          <w:sz w:val="13"/>
        </w:rPr>
        <w:t>withheld).</w:t>
      </w:r>
    </w:p>
    <w:p w14:paraId="582AEEF7" w14:textId="77777777" w:rsidR="00894070" w:rsidRDefault="009B7AFD">
      <w:pPr>
        <w:pStyle w:val="ListParagraph"/>
        <w:numPr>
          <w:ilvl w:val="0"/>
          <w:numId w:val="134"/>
        </w:numPr>
        <w:tabs>
          <w:tab w:val="left" w:pos="1801"/>
          <w:tab w:val="left" w:pos="1802"/>
        </w:tabs>
        <w:spacing w:before="6"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021E4E67" w14:textId="77777777" w:rsidR="00894070" w:rsidRDefault="009B7AFD">
      <w:pPr>
        <w:pStyle w:val="ListParagraph"/>
        <w:numPr>
          <w:ilvl w:val="0"/>
          <w:numId w:val="134"/>
        </w:numPr>
        <w:tabs>
          <w:tab w:val="left" w:pos="1801"/>
          <w:tab w:val="left" w:pos="1802"/>
        </w:tabs>
        <w:spacing w:line="213" w:lineRule="auto"/>
        <w:ind w:right="1176"/>
        <w:rPr>
          <w:sz w:val="13"/>
        </w:rPr>
      </w:pPr>
      <w:r>
        <w:rPr>
          <w:color w:val="231F20"/>
          <w:spacing w:val="2"/>
          <w:sz w:val="13"/>
        </w:rPr>
        <w:t xml:space="preserve">Submission </w:t>
      </w:r>
      <w:r>
        <w:rPr>
          <w:color w:val="231F20"/>
          <w:sz w:val="13"/>
        </w:rPr>
        <w:t xml:space="preserve">32 (Centre for Forensic Behavioural Science). We were told in numerous submissions and consultations that people   are often unable to </w:t>
      </w:r>
      <w:r>
        <w:rPr>
          <w:color w:val="231F20"/>
          <w:spacing w:val="2"/>
          <w:sz w:val="13"/>
        </w:rPr>
        <w:t xml:space="preserve">identify </w:t>
      </w:r>
      <w:r>
        <w:rPr>
          <w:color w:val="231F20"/>
          <w:sz w:val="13"/>
        </w:rPr>
        <w:t xml:space="preserve">they are being stalked and do not know where to go for help: see, eg, Consultations 4 (Sexual </w:t>
      </w:r>
      <w:r>
        <w:rPr>
          <w:color w:val="231F20"/>
          <w:spacing w:val="2"/>
          <w:sz w:val="13"/>
        </w:rPr>
        <w:t xml:space="preserve">Assault Services </w:t>
      </w:r>
      <w:r>
        <w:rPr>
          <w:color w:val="231F20"/>
          <w:sz w:val="13"/>
        </w:rPr>
        <w:t xml:space="preserve">Network), 17 (Small group meeting on </w:t>
      </w:r>
      <w:r>
        <w:rPr>
          <w:color w:val="231F20"/>
          <w:spacing w:val="2"/>
          <w:sz w:val="13"/>
        </w:rPr>
        <w:t xml:space="preserve">stalking </w:t>
      </w:r>
      <w:r>
        <w:rPr>
          <w:color w:val="231F20"/>
          <w:sz w:val="13"/>
        </w:rPr>
        <w:t xml:space="preserve">and young people), 30 (Roundtable with multicultural and </w:t>
      </w:r>
      <w:proofErr w:type="gramStart"/>
      <w:r>
        <w:rPr>
          <w:color w:val="231F20"/>
          <w:sz w:val="13"/>
        </w:rPr>
        <w:t>multifaith  lawyers</w:t>
      </w:r>
      <w:proofErr w:type="gramEnd"/>
      <w:r>
        <w:rPr>
          <w:color w:val="231F20"/>
          <w:sz w:val="13"/>
        </w:rPr>
        <w:t xml:space="preserve"> and legal stakeholders), 31 (Roundtable with multicultural and multifaith community organisations). See </w:t>
      </w:r>
      <w:r>
        <w:rPr>
          <w:color w:val="231F20"/>
          <w:spacing w:val="2"/>
          <w:sz w:val="13"/>
        </w:rPr>
        <w:t xml:space="preserve">also </w:t>
      </w: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2021) [2.17]</w:t>
      </w:r>
      <w:proofErr w:type="gramStart"/>
      <w:r>
        <w:rPr>
          <w:color w:val="231F20"/>
          <w:sz w:val="13"/>
        </w:rPr>
        <w:t>–[</w:t>
      </w:r>
      <w:proofErr w:type="gramEnd"/>
      <w:r>
        <w:rPr>
          <w:color w:val="231F20"/>
          <w:sz w:val="13"/>
        </w:rPr>
        <w:t xml:space="preserve">2.18]; Tim Boehnlein et </w:t>
      </w:r>
      <w:r>
        <w:rPr>
          <w:color w:val="231F20"/>
          <w:spacing w:val="2"/>
          <w:sz w:val="13"/>
        </w:rPr>
        <w:t xml:space="preserve">al, </w:t>
      </w:r>
      <w:r>
        <w:rPr>
          <w:color w:val="231F20"/>
          <w:sz w:val="13"/>
        </w:rPr>
        <w:t>‘Responding to    Stalking</w:t>
      </w:r>
      <w:r>
        <w:rPr>
          <w:color w:val="231F20"/>
          <w:spacing w:val="5"/>
          <w:sz w:val="13"/>
        </w:rPr>
        <w:t xml:space="preserve"> </w:t>
      </w:r>
      <w:r>
        <w:rPr>
          <w:color w:val="231F20"/>
          <w:sz w:val="13"/>
        </w:rPr>
        <w:t>Victims:</w:t>
      </w:r>
      <w:r>
        <w:rPr>
          <w:color w:val="231F20"/>
          <w:spacing w:val="5"/>
          <w:sz w:val="13"/>
        </w:rPr>
        <w:t xml:space="preserve"> </w:t>
      </w:r>
      <w:r>
        <w:rPr>
          <w:color w:val="231F20"/>
          <w:sz w:val="13"/>
        </w:rPr>
        <w:t>Perceptions,</w:t>
      </w:r>
      <w:r>
        <w:rPr>
          <w:color w:val="231F20"/>
          <w:spacing w:val="6"/>
          <w:sz w:val="13"/>
        </w:rPr>
        <w:t xml:space="preserve"> </w:t>
      </w:r>
      <w:r>
        <w:rPr>
          <w:color w:val="231F20"/>
          <w:spacing w:val="2"/>
          <w:sz w:val="13"/>
        </w:rPr>
        <w:t>Barriers,</w:t>
      </w:r>
      <w:r>
        <w:rPr>
          <w:color w:val="231F20"/>
          <w:spacing w:val="5"/>
          <w:sz w:val="13"/>
        </w:rPr>
        <w:t xml:space="preserve"> </w:t>
      </w:r>
      <w:r>
        <w:rPr>
          <w:color w:val="231F20"/>
          <w:sz w:val="13"/>
        </w:rPr>
        <w:t>and</w:t>
      </w:r>
      <w:r>
        <w:rPr>
          <w:color w:val="231F20"/>
          <w:spacing w:val="5"/>
          <w:sz w:val="13"/>
        </w:rPr>
        <w:t xml:space="preserve"> </w:t>
      </w:r>
      <w:r>
        <w:rPr>
          <w:color w:val="231F20"/>
          <w:sz w:val="13"/>
        </w:rPr>
        <w:t>Directions</w:t>
      </w:r>
      <w:r>
        <w:rPr>
          <w:color w:val="231F20"/>
          <w:spacing w:val="6"/>
          <w:sz w:val="13"/>
        </w:rPr>
        <w:t xml:space="preserve"> </w:t>
      </w:r>
      <w:r>
        <w:rPr>
          <w:color w:val="231F20"/>
          <w:sz w:val="13"/>
        </w:rPr>
        <w:t>for</w:t>
      </w:r>
      <w:r>
        <w:rPr>
          <w:color w:val="231F20"/>
          <w:spacing w:val="5"/>
          <w:sz w:val="13"/>
        </w:rPr>
        <w:t xml:space="preserve"> </w:t>
      </w:r>
      <w:r>
        <w:rPr>
          <w:color w:val="231F20"/>
          <w:sz w:val="13"/>
        </w:rPr>
        <w:t>Future</w:t>
      </w:r>
      <w:r>
        <w:rPr>
          <w:color w:val="231F20"/>
          <w:spacing w:val="5"/>
          <w:sz w:val="13"/>
        </w:rPr>
        <w:t xml:space="preserve"> </w:t>
      </w:r>
      <w:r>
        <w:rPr>
          <w:color w:val="231F20"/>
          <w:sz w:val="13"/>
        </w:rPr>
        <w:t>Research’</w:t>
      </w:r>
      <w:r>
        <w:rPr>
          <w:color w:val="231F20"/>
          <w:spacing w:val="6"/>
          <w:sz w:val="13"/>
        </w:rPr>
        <w:t xml:space="preserve"> </w:t>
      </w:r>
      <w:r>
        <w:rPr>
          <w:color w:val="231F20"/>
          <w:sz w:val="13"/>
        </w:rPr>
        <w:t>(2020)</w:t>
      </w:r>
      <w:r>
        <w:rPr>
          <w:color w:val="231F20"/>
          <w:spacing w:val="5"/>
          <w:sz w:val="13"/>
        </w:rPr>
        <w:t xml:space="preserve"> </w:t>
      </w:r>
      <w:r>
        <w:rPr>
          <w:color w:val="231F20"/>
          <w:sz w:val="13"/>
        </w:rPr>
        <w:t>35(7)</w:t>
      </w:r>
      <w:r>
        <w:rPr>
          <w:color w:val="231F20"/>
          <w:spacing w:val="6"/>
          <w:sz w:val="13"/>
        </w:rPr>
        <w:t xml:space="preserve"> </w:t>
      </w:r>
      <w:r>
        <w:rPr>
          <w:i/>
          <w:color w:val="231F20"/>
          <w:sz w:val="13"/>
        </w:rPr>
        <w:t>Journal</w:t>
      </w:r>
      <w:r>
        <w:rPr>
          <w:i/>
          <w:color w:val="231F20"/>
          <w:spacing w:val="5"/>
          <w:sz w:val="13"/>
        </w:rPr>
        <w:t xml:space="preserve"> </w:t>
      </w:r>
      <w:r>
        <w:rPr>
          <w:i/>
          <w:color w:val="231F20"/>
          <w:sz w:val="13"/>
        </w:rPr>
        <w:t>of</w:t>
      </w:r>
      <w:r>
        <w:rPr>
          <w:i/>
          <w:color w:val="231F20"/>
          <w:spacing w:val="5"/>
          <w:sz w:val="13"/>
        </w:rPr>
        <w:t xml:space="preserve"> </w:t>
      </w:r>
      <w:r>
        <w:rPr>
          <w:i/>
          <w:color w:val="231F20"/>
          <w:sz w:val="13"/>
        </w:rPr>
        <w:t>Family</w:t>
      </w:r>
      <w:r>
        <w:rPr>
          <w:i/>
          <w:color w:val="231F20"/>
          <w:spacing w:val="5"/>
          <w:sz w:val="13"/>
        </w:rPr>
        <w:t xml:space="preserve"> </w:t>
      </w:r>
      <w:r>
        <w:rPr>
          <w:i/>
          <w:color w:val="231F20"/>
          <w:sz w:val="13"/>
        </w:rPr>
        <w:t>Violence</w:t>
      </w:r>
      <w:r>
        <w:rPr>
          <w:i/>
          <w:color w:val="231F20"/>
          <w:spacing w:val="5"/>
          <w:sz w:val="13"/>
        </w:rPr>
        <w:t xml:space="preserve"> </w:t>
      </w:r>
      <w:r>
        <w:rPr>
          <w:color w:val="231F20"/>
          <w:spacing w:val="2"/>
          <w:sz w:val="13"/>
        </w:rPr>
        <w:t>755,</w:t>
      </w:r>
      <w:r>
        <w:rPr>
          <w:color w:val="231F20"/>
          <w:spacing w:val="6"/>
          <w:sz w:val="13"/>
        </w:rPr>
        <w:t xml:space="preserve"> </w:t>
      </w:r>
      <w:r>
        <w:rPr>
          <w:color w:val="231F20"/>
          <w:sz w:val="13"/>
        </w:rPr>
        <w:t>755–6.</w:t>
      </w:r>
    </w:p>
    <w:p w14:paraId="5FB282A2" w14:textId="77777777" w:rsidR="00894070" w:rsidRDefault="009B7AFD">
      <w:pPr>
        <w:pStyle w:val="ListParagraph"/>
        <w:numPr>
          <w:ilvl w:val="0"/>
          <w:numId w:val="134"/>
        </w:numPr>
        <w:tabs>
          <w:tab w:val="left" w:pos="1801"/>
          <w:tab w:val="left" w:pos="1802"/>
        </w:tabs>
        <w:spacing w:line="213" w:lineRule="auto"/>
        <w:ind w:right="1412"/>
        <w:rPr>
          <w:sz w:val="13"/>
        </w:rPr>
      </w:pP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 xml:space="preserve">of Anti-Stalking Legislation in Victoria, Australia’ (PhD Thesis, Monash University, 2018) </w:t>
      </w:r>
      <w:r>
        <w:rPr>
          <w:color w:val="231F20"/>
          <w:spacing w:val="2"/>
          <w:sz w:val="13"/>
        </w:rPr>
        <w:t xml:space="preserve">49, </w:t>
      </w:r>
      <w:r>
        <w:rPr>
          <w:color w:val="231F20"/>
          <w:spacing w:val="-3"/>
          <w:sz w:val="13"/>
        </w:rPr>
        <w:t>57,</w:t>
      </w:r>
      <w:r>
        <w:rPr>
          <w:color w:val="231F20"/>
          <w:spacing w:val="-2"/>
          <w:sz w:val="13"/>
        </w:rPr>
        <w:t xml:space="preserve"> </w:t>
      </w:r>
      <w:r>
        <w:rPr>
          <w:color w:val="231F20"/>
          <w:sz w:val="13"/>
        </w:rPr>
        <w:t>61–2.</w:t>
      </w:r>
    </w:p>
    <w:p w14:paraId="5E4A6A0D" w14:textId="77777777" w:rsidR="00894070" w:rsidRDefault="009B7AFD">
      <w:pPr>
        <w:pStyle w:val="ListParagraph"/>
        <w:numPr>
          <w:ilvl w:val="0"/>
          <w:numId w:val="134"/>
        </w:numPr>
        <w:tabs>
          <w:tab w:val="left" w:pos="1801"/>
          <w:tab w:val="left" w:pos="1802"/>
        </w:tabs>
        <w:spacing w:line="152" w:lineRule="exact"/>
        <w:rPr>
          <w:sz w:val="13"/>
        </w:rPr>
      </w:pPr>
      <w:r>
        <w:rPr>
          <w:color w:val="231F20"/>
          <w:sz w:val="13"/>
        </w:rPr>
        <w:t xml:space="preserve">Consultation 4 (Sexual </w:t>
      </w:r>
      <w:r>
        <w:rPr>
          <w:color w:val="231F20"/>
          <w:spacing w:val="2"/>
          <w:sz w:val="13"/>
        </w:rPr>
        <w:t>Assault Services</w:t>
      </w:r>
      <w:r>
        <w:rPr>
          <w:color w:val="231F20"/>
          <w:spacing w:val="-1"/>
          <w:sz w:val="13"/>
        </w:rPr>
        <w:t xml:space="preserve"> </w:t>
      </w:r>
      <w:r>
        <w:rPr>
          <w:color w:val="231F20"/>
          <w:sz w:val="13"/>
        </w:rPr>
        <w:t>Network).</w:t>
      </w:r>
    </w:p>
    <w:p w14:paraId="67D36676" w14:textId="77777777" w:rsidR="00894070" w:rsidRDefault="009B7AFD">
      <w:pPr>
        <w:pStyle w:val="ListParagraph"/>
        <w:numPr>
          <w:ilvl w:val="0"/>
          <w:numId w:val="134"/>
        </w:numPr>
        <w:tabs>
          <w:tab w:val="left" w:pos="1801"/>
          <w:tab w:val="left" w:pos="1802"/>
        </w:tabs>
        <w:spacing w:before="2"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340EB2BB" w14:textId="77777777" w:rsidR="00894070" w:rsidRDefault="009B7AFD">
      <w:pPr>
        <w:pStyle w:val="ListParagraph"/>
        <w:numPr>
          <w:ilvl w:val="0"/>
          <w:numId w:val="134"/>
        </w:numPr>
        <w:tabs>
          <w:tab w:val="left" w:pos="1800"/>
          <w:tab w:val="left" w:pos="1802"/>
        </w:tabs>
        <w:spacing w:line="213" w:lineRule="auto"/>
        <w:ind w:right="1412"/>
        <w:rPr>
          <w:sz w:val="13"/>
        </w:rPr>
      </w:pPr>
      <w:r>
        <w:rPr>
          <w:color w:val="231F20"/>
          <w:sz w:val="13"/>
        </w:rPr>
        <w:t xml:space="preserve">Laurence Miller, </w:t>
      </w:r>
      <w:r>
        <w:rPr>
          <w:color w:val="231F20"/>
          <w:spacing w:val="2"/>
          <w:sz w:val="13"/>
        </w:rPr>
        <w:t xml:space="preserve">‘Stalking: </w:t>
      </w:r>
      <w:r>
        <w:rPr>
          <w:color w:val="231F20"/>
          <w:sz w:val="13"/>
        </w:rPr>
        <w:t xml:space="preserve">Patterns, Motives, and Intervention Strategies’ (2012) 17 </w:t>
      </w:r>
      <w:r>
        <w:rPr>
          <w:i/>
          <w:color w:val="231F20"/>
          <w:sz w:val="13"/>
        </w:rPr>
        <w:t xml:space="preserve">Aggression and Violent Behavior </w:t>
      </w:r>
      <w:r>
        <w:rPr>
          <w:color w:val="231F20"/>
          <w:spacing w:val="3"/>
          <w:sz w:val="13"/>
        </w:rPr>
        <w:t xml:space="preserve">495, </w:t>
      </w:r>
      <w:r>
        <w:rPr>
          <w:color w:val="231F20"/>
          <w:sz w:val="13"/>
        </w:rPr>
        <w:t xml:space="preserve">496; 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 xml:space="preserve">of Anti-Stalking Legislation in Victoria, Australia’ (PhD Thesis, Monash University, 2018) </w:t>
      </w:r>
      <w:r>
        <w:rPr>
          <w:color w:val="231F20"/>
          <w:spacing w:val="2"/>
          <w:sz w:val="13"/>
        </w:rPr>
        <w:t xml:space="preserve">49, </w:t>
      </w:r>
      <w:r>
        <w:rPr>
          <w:color w:val="231F20"/>
          <w:spacing w:val="-3"/>
          <w:sz w:val="13"/>
        </w:rPr>
        <w:t xml:space="preserve">57, </w:t>
      </w:r>
      <w:r>
        <w:rPr>
          <w:color w:val="231F20"/>
          <w:sz w:val="13"/>
        </w:rPr>
        <w:t xml:space="preserve">61–2. See </w:t>
      </w:r>
      <w:r>
        <w:rPr>
          <w:color w:val="231F20"/>
          <w:spacing w:val="2"/>
          <w:sz w:val="13"/>
        </w:rPr>
        <w:t xml:space="preserve">also </w:t>
      </w:r>
      <w:r>
        <w:rPr>
          <w:color w:val="231F20"/>
          <w:sz w:val="13"/>
        </w:rPr>
        <w:t xml:space="preserve">Bronwyn McKeon, </w:t>
      </w:r>
      <w:r>
        <w:rPr>
          <w:color w:val="231F20"/>
          <w:spacing w:val="-3"/>
          <w:sz w:val="13"/>
        </w:rPr>
        <w:t xml:space="preserve">Troy </w:t>
      </w:r>
      <w:r>
        <w:rPr>
          <w:color w:val="231F20"/>
          <w:sz w:val="13"/>
        </w:rPr>
        <w:t xml:space="preserve">E </w:t>
      </w:r>
      <w:proofErr w:type="gramStart"/>
      <w:r>
        <w:rPr>
          <w:color w:val="231F20"/>
          <w:sz w:val="13"/>
        </w:rPr>
        <w:t>McEwan</w:t>
      </w:r>
      <w:proofErr w:type="gramEnd"/>
      <w:r>
        <w:rPr>
          <w:color w:val="231F20"/>
          <w:sz w:val="13"/>
        </w:rPr>
        <w:t xml:space="preserve"> and Stefan </w:t>
      </w:r>
      <w:r>
        <w:rPr>
          <w:color w:val="231F20"/>
          <w:spacing w:val="2"/>
          <w:sz w:val="13"/>
        </w:rPr>
        <w:t xml:space="preserve">Luebbers, ‘“It’s </w:t>
      </w:r>
      <w:r>
        <w:rPr>
          <w:color w:val="231F20"/>
          <w:sz w:val="13"/>
        </w:rPr>
        <w:t xml:space="preserve">Not Really Stalking If You Know the Person”: Measuring Community Attitudes That Normalize, </w:t>
      </w:r>
      <w:r>
        <w:rPr>
          <w:color w:val="231F20"/>
          <w:spacing w:val="2"/>
          <w:sz w:val="13"/>
        </w:rPr>
        <w:t xml:space="preserve">Justify </w:t>
      </w:r>
      <w:r>
        <w:rPr>
          <w:color w:val="231F20"/>
          <w:sz w:val="13"/>
        </w:rPr>
        <w:t xml:space="preserve">and Minimise Stalking’ (2015) 22(2) </w:t>
      </w:r>
      <w:r>
        <w:rPr>
          <w:i/>
          <w:color w:val="231F20"/>
          <w:sz w:val="13"/>
        </w:rPr>
        <w:t xml:space="preserve">Psychiatry, Psychology and Law </w:t>
      </w:r>
      <w:r>
        <w:rPr>
          <w:color w:val="231F20"/>
          <w:sz w:val="13"/>
        </w:rPr>
        <w:t>291, 292–3,</w:t>
      </w:r>
      <w:r>
        <w:rPr>
          <w:color w:val="231F20"/>
          <w:spacing w:val="1"/>
          <w:sz w:val="13"/>
        </w:rPr>
        <w:t xml:space="preserve"> </w:t>
      </w:r>
      <w:r>
        <w:rPr>
          <w:color w:val="231F20"/>
          <w:spacing w:val="2"/>
          <w:sz w:val="13"/>
        </w:rPr>
        <w:t>300–1.</w:t>
      </w:r>
    </w:p>
    <w:p w14:paraId="32EB7F0F" w14:textId="77777777" w:rsidR="00894070" w:rsidRDefault="009F6793">
      <w:pPr>
        <w:pStyle w:val="ListParagraph"/>
        <w:numPr>
          <w:ilvl w:val="0"/>
          <w:numId w:val="134"/>
        </w:numPr>
        <w:tabs>
          <w:tab w:val="left" w:pos="1801"/>
          <w:tab w:val="left" w:pos="1802"/>
        </w:tabs>
        <w:spacing w:line="213" w:lineRule="auto"/>
        <w:ind w:right="1175"/>
        <w:rPr>
          <w:sz w:val="13"/>
        </w:rPr>
      </w:pPr>
      <w:r>
        <w:pict w14:anchorId="7D612AA3">
          <v:shape id="_x0000_s1501" type="#_x0000_t202" style="position:absolute;left:0;text-align:left;margin-left:549pt;margin-top:35.4pt;width:12.9pt;height:14.1pt;z-index:251611136;mso-position-horizontal-relative:page" filled="f" stroked="f">
            <v:textbox inset="0,0,0,0">
              <w:txbxContent>
                <w:p w14:paraId="539ECDE0" w14:textId="77777777" w:rsidR="00894070" w:rsidRDefault="009B7AFD">
                  <w:pPr>
                    <w:spacing w:line="282" w:lineRule="exact"/>
                    <w:rPr>
                      <w:b/>
                      <w:sz w:val="24"/>
                    </w:rPr>
                  </w:pPr>
                  <w:r>
                    <w:rPr>
                      <w:b/>
                      <w:color w:val="EA5B50"/>
                      <w:spacing w:val="-5"/>
                      <w:sz w:val="24"/>
                    </w:rPr>
                    <w:t>57</w:t>
                  </w:r>
                </w:p>
              </w:txbxContent>
            </v:textbox>
            <w10:wrap anchorx="page"/>
          </v:shape>
        </w:pict>
      </w:r>
      <w:r w:rsidR="009B7AFD">
        <w:rPr>
          <w:color w:val="231F20"/>
          <w:sz w:val="13"/>
        </w:rPr>
        <w:t xml:space="preserve">See, eg, Victorian Law Reform </w:t>
      </w:r>
      <w:r w:rsidR="009B7AFD">
        <w:rPr>
          <w:color w:val="231F20"/>
          <w:spacing w:val="2"/>
          <w:sz w:val="13"/>
        </w:rPr>
        <w:t xml:space="preserve">Commission, </w:t>
      </w:r>
      <w:r w:rsidR="009B7AFD">
        <w:rPr>
          <w:i/>
          <w:color w:val="231F20"/>
          <w:sz w:val="13"/>
        </w:rPr>
        <w:t xml:space="preserve">Stalking: </w:t>
      </w:r>
      <w:r w:rsidR="009B7AFD">
        <w:rPr>
          <w:i/>
          <w:color w:val="231F20"/>
          <w:spacing w:val="2"/>
          <w:sz w:val="13"/>
        </w:rPr>
        <w:t xml:space="preserve">Summary </w:t>
      </w:r>
      <w:r w:rsidR="009B7AFD">
        <w:rPr>
          <w:i/>
          <w:color w:val="231F20"/>
          <w:sz w:val="13"/>
        </w:rPr>
        <w:t xml:space="preserve">of Responses to Online  Feedback  Form  from  People  with </w:t>
      </w:r>
      <w:r w:rsidR="009B7AFD">
        <w:rPr>
          <w:i/>
          <w:color w:val="231F20"/>
          <w:spacing w:val="2"/>
          <w:sz w:val="13"/>
        </w:rPr>
        <w:t xml:space="preserve">Experience </w:t>
      </w:r>
      <w:r w:rsidR="009B7AFD">
        <w:rPr>
          <w:i/>
          <w:color w:val="231F20"/>
          <w:sz w:val="13"/>
        </w:rPr>
        <w:t xml:space="preserve">of Stalking </w:t>
      </w:r>
      <w:r w:rsidR="009B7AFD">
        <w:rPr>
          <w:color w:val="231F20"/>
          <w:spacing w:val="2"/>
          <w:sz w:val="13"/>
        </w:rPr>
        <w:t xml:space="preserve">(Report, </w:t>
      </w:r>
      <w:r w:rsidR="009B7AFD">
        <w:rPr>
          <w:color w:val="231F20"/>
          <w:sz w:val="13"/>
        </w:rPr>
        <w:t xml:space="preserve">August 2021); </w:t>
      </w:r>
      <w:r w:rsidR="009B7AFD">
        <w:rPr>
          <w:color w:val="231F20"/>
          <w:spacing w:val="2"/>
          <w:sz w:val="13"/>
        </w:rPr>
        <w:t xml:space="preserve">Submission </w:t>
      </w:r>
      <w:r w:rsidR="009B7AFD">
        <w:rPr>
          <w:color w:val="231F20"/>
          <w:sz w:val="13"/>
        </w:rPr>
        <w:t xml:space="preserve">32 (Centre for Forensic Behavioural Science); Tim Boehnlein et </w:t>
      </w:r>
      <w:r w:rsidR="009B7AFD">
        <w:rPr>
          <w:color w:val="231F20"/>
          <w:spacing w:val="2"/>
          <w:sz w:val="13"/>
        </w:rPr>
        <w:t xml:space="preserve">al, </w:t>
      </w:r>
      <w:r w:rsidR="009B7AFD">
        <w:rPr>
          <w:color w:val="231F20"/>
          <w:sz w:val="13"/>
        </w:rPr>
        <w:t xml:space="preserve">‘Responding to Stalking Victims: Perceptions, </w:t>
      </w:r>
      <w:r w:rsidR="009B7AFD">
        <w:rPr>
          <w:color w:val="231F20"/>
          <w:spacing w:val="2"/>
          <w:sz w:val="13"/>
        </w:rPr>
        <w:t xml:space="preserve">Barriers, </w:t>
      </w:r>
      <w:r w:rsidR="009B7AFD">
        <w:rPr>
          <w:color w:val="231F20"/>
          <w:sz w:val="13"/>
        </w:rPr>
        <w:t xml:space="preserve">and Directions for Future Research’ (2020) 35(7) </w:t>
      </w:r>
      <w:r w:rsidR="009B7AFD">
        <w:rPr>
          <w:i/>
          <w:color w:val="231F20"/>
          <w:sz w:val="13"/>
        </w:rPr>
        <w:t xml:space="preserve">Journal of Family Violence </w:t>
      </w:r>
      <w:r w:rsidR="009B7AFD">
        <w:rPr>
          <w:color w:val="231F20"/>
          <w:spacing w:val="2"/>
          <w:sz w:val="13"/>
        </w:rPr>
        <w:t xml:space="preserve">755, </w:t>
      </w:r>
      <w:r w:rsidR="009B7AFD">
        <w:rPr>
          <w:color w:val="231F20"/>
          <w:sz w:val="13"/>
        </w:rPr>
        <w:t xml:space="preserve">764; Lise Linn </w:t>
      </w:r>
      <w:r w:rsidR="009B7AFD">
        <w:rPr>
          <w:color w:val="231F20"/>
          <w:spacing w:val="2"/>
          <w:sz w:val="13"/>
        </w:rPr>
        <w:t xml:space="preserve">Larsen, </w:t>
      </w:r>
      <w:r w:rsidR="009B7AFD">
        <w:rPr>
          <w:color w:val="231F20"/>
          <w:sz w:val="13"/>
        </w:rPr>
        <w:t xml:space="preserve">Dianna Bomholt and Helle Hundahl, </w:t>
      </w:r>
      <w:r w:rsidR="009B7AFD">
        <w:rPr>
          <w:color w:val="231F20"/>
          <w:spacing w:val="2"/>
          <w:sz w:val="13"/>
        </w:rPr>
        <w:t xml:space="preserve">‘Stalking </w:t>
      </w:r>
      <w:r w:rsidR="009B7AFD">
        <w:rPr>
          <w:color w:val="231F20"/>
          <w:sz w:val="13"/>
        </w:rPr>
        <w:t xml:space="preserve">as a </w:t>
      </w:r>
      <w:r w:rsidR="009B7AFD">
        <w:rPr>
          <w:color w:val="231F20"/>
          <w:spacing w:val="2"/>
          <w:sz w:val="13"/>
        </w:rPr>
        <w:t xml:space="preserve">Phenomenon </w:t>
      </w:r>
      <w:r w:rsidR="009B7AFD">
        <w:rPr>
          <w:color w:val="231F20"/>
          <w:sz w:val="13"/>
        </w:rPr>
        <w:t xml:space="preserve">in a Danish Context’ in Heng Choon (Oliver) Chan and Lorraine Sheridan (eds), </w:t>
      </w:r>
      <w:r w:rsidR="009B7AFD">
        <w:rPr>
          <w:i/>
          <w:color w:val="231F20"/>
          <w:sz w:val="13"/>
        </w:rPr>
        <w:t xml:space="preserve">Psycho-Criminological Approaches to Stalking Behavior: International Perspectives </w:t>
      </w:r>
      <w:r w:rsidR="009B7AFD">
        <w:rPr>
          <w:color w:val="231F20"/>
          <w:spacing w:val="2"/>
          <w:sz w:val="13"/>
        </w:rPr>
        <w:t xml:space="preserve">(John </w:t>
      </w:r>
      <w:r w:rsidR="009B7AFD">
        <w:rPr>
          <w:color w:val="231F20"/>
          <w:sz w:val="13"/>
        </w:rPr>
        <w:t xml:space="preserve">Wiley and Sons, 2020) </w:t>
      </w:r>
      <w:r w:rsidR="009B7AFD">
        <w:rPr>
          <w:color w:val="231F20"/>
          <w:spacing w:val="2"/>
          <w:sz w:val="13"/>
        </w:rPr>
        <w:t>195,</w:t>
      </w:r>
      <w:r w:rsidR="009B7AFD">
        <w:rPr>
          <w:color w:val="231F20"/>
          <w:sz w:val="13"/>
        </w:rPr>
        <w:t xml:space="preserve"> 201–2.</w:t>
      </w:r>
    </w:p>
    <w:p w14:paraId="0F763519" w14:textId="77777777" w:rsidR="00894070" w:rsidRDefault="00894070">
      <w:pPr>
        <w:spacing w:line="213" w:lineRule="auto"/>
        <w:rPr>
          <w:sz w:val="13"/>
        </w:rPr>
        <w:sectPr w:rsidR="00894070">
          <w:pgSz w:w="11910" w:h="16840"/>
          <w:pgMar w:top="840" w:right="420" w:bottom="280" w:left="580" w:header="0" w:footer="0" w:gutter="0"/>
          <w:cols w:space="720"/>
        </w:sectPr>
      </w:pPr>
    </w:p>
    <w:p w14:paraId="44DFC0F8" w14:textId="77777777" w:rsidR="00894070" w:rsidRDefault="00894070">
      <w:pPr>
        <w:pStyle w:val="BodyText"/>
      </w:pPr>
    </w:p>
    <w:p w14:paraId="56FACF78" w14:textId="77777777" w:rsidR="00894070" w:rsidRDefault="00894070">
      <w:pPr>
        <w:pStyle w:val="BodyText"/>
      </w:pPr>
    </w:p>
    <w:p w14:paraId="6EF62594" w14:textId="77777777" w:rsidR="00894070" w:rsidRDefault="00894070">
      <w:pPr>
        <w:pStyle w:val="BodyText"/>
      </w:pPr>
    </w:p>
    <w:p w14:paraId="740C89AF" w14:textId="77777777" w:rsidR="00894070" w:rsidRDefault="00894070">
      <w:pPr>
        <w:pStyle w:val="BodyText"/>
        <w:spacing w:before="8"/>
        <w:rPr>
          <w:sz w:val="19"/>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3075"/>
        <w:gridCol w:w="4851"/>
      </w:tblGrid>
      <w:tr w:rsidR="00894070" w14:paraId="62A6669E" w14:textId="77777777">
        <w:trPr>
          <w:trHeight w:val="518"/>
        </w:trPr>
        <w:tc>
          <w:tcPr>
            <w:tcW w:w="3075" w:type="dxa"/>
            <w:shd w:val="clear" w:color="auto" w:fill="F4BCAE"/>
          </w:tcPr>
          <w:p w14:paraId="200B0692" w14:textId="77777777" w:rsidR="00894070" w:rsidRDefault="009B7AFD">
            <w:pPr>
              <w:pStyle w:val="TableParagraph"/>
              <w:spacing w:before="122"/>
              <w:rPr>
                <w:b/>
                <w:sz w:val="20"/>
              </w:rPr>
            </w:pPr>
            <w:r>
              <w:rPr>
                <w:b/>
                <w:color w:val="231F20"/>
                <w:sz w:val="20"/>
              </w:rPr>
              <w:t>Myth</w:t>
            </w:r>
          </w:p>
        </w:tc>
        <w:tc>
          <w:tcPr>
            <w:tcW w:w="4851" w:type="dxa"/>
            <w:shd w:val="clear" w:color="auto" w:fill="F4BCAE"/>
          </w:tcPr>
          <w:p w14:paraId="6207DC97" w14:textId="77777777" w:rsidR="00894070" w:rsidRDefault="009B7AFD">
            <w:pPr>
              <w:pStyle w:val="TableParagraph"/>
              <w:spacing w:before="122"/>
              <w:rPr>
                <w:b/>
                <w:sz w:val="20"/>
              </w:rPr>
            </w:pPr>
            <w:r>
              <w:rPr>
                <w:b/>
                <w:color w:val="231F20"/>
                <w:sz w:val="20"/>
              </w:rPr>
              <w:t>What the research suggests</w:t>
            </w:r>
          </w:p>
        </w:tc>
      </w:tr>
      <w:tr w:rsidR="00894070" w14:paraId="3D11FCE0" w14:textId="77777777">
        <w:trPr>
          <w:trHeight w:val="1364"/>
        </w:trPr>
        <w:tc>
          <w:tcPr>
            <w:tcW w:w="3075" w:type="dxa"/>
          </w:tcPr>
          <w:p w14:paraId="24BBAC78" w14:textId="77777777" w:rsidR="00894070" w:rsidRDefault="009B7AFD">
            <w:pPr>
              <w:pStyle w:val="TableParagraph"/>
              <w:spacing w:before="98" w:line="206" w:lineRule="auto"/>
              <w:rPr>
                <w:sz w:val="11"/>
              </w:rPr>
            </w:pPr>
            <w:r>
              <w:rPr>
                <w:color w:val="231F20"/>
                <w:sz w:val="20"/>
              </w:rPr>
              <w:t>For stalking to be a crime, it must involve explicit threats or violence.</w:t>
            </w:r>
            <w:r>
              <w:rPr>
                <w:color w:val="231F20"/>
                <w:position w:val="7"/>
                <w:sz w:val="11"/>
              </w:rPr>
              <w:t>24</w:t>
            </w:r>
          </w:p>
        </w:tc>
        <w:tc>
          <w:tcPr>
            <w:tcW w:w="4851" w:type="dxa"/>
          </w:tcPr>
          <w:p w14:paraId="4ED42EBE" w14:textId="77777777" w:rsidR="00894070" w:rsidRDefault="009B7AFD">
            <w:pPr>
              <w:pStyle w:val="TableParagraph"/>
              <w:spacing w:before="98" w:line="206" w:lineRule="auto"/>
              <w:ind w:right="271"/>
              <w:rPr>
                <w:sz w:val="11"/>
              </w:rPr>
            </w:pPr>
            <w:r>
              <w:rPr>
                <w:color w:val="231F20"/>
                <w:sz w:val="20"/>
              </w:rPr>
              <w:t>Most stalking involves acts that are part of everyday life, such as calling and messaging. If these acts are repeated over time and intended (or reasonably likely) to cause harm or fear, they are stalking, which is a crime.</w:t>
            </w:r>
            <w:r>
              <w:rPr>
                <w:color w:val="231F20"/>
                <w:position w:val="7"/>
                <w:sz w:val="11"/>
              </w:rPr>
              <w:t>25</w:t>
            </w:r>
          </w:p>
        </w:tc>
      </w:tr>
      <w:tr w:rsidR="00894070" w14:paraId="5B3ABAF4" w14:textId="77777777">
        <w:trPr>
          <w:trHeight w:val="644"/>
        </w:trPr>
        <w:tc>
          <w:tcPr>
            <w:tcW w:w="3075" w:type="dxa"/>
          </w:tcPr>
          <w:p w14:paraId="761EECA5" w14:textId="77777777" w:rsidR="00894070" w:rsidRDefault="009B7AFD">
            <w:pPr>
              <w:pStyle w:val="TableParagraph"/>
              <w:spacing w:before="65" w:line="259" w:lineRule="exact"/>
              <w:rPr>
                <w:sz w:val="20"/>
              </w:rPr>
            </w:pPr>
            <w:r>
              <w:rPr>
                <w:color w:val="231F20"/>
                <w:sz w:val="20"/>
              </w:rPr>
              <w:t>If you ignore the unwanted</w:t>
            </w:r>
          </w:p>
          <w:p w14:paraId="1B697CE4" w14:textId="77777777" w:rsidR="00894070" w:rsidRDefault="009B7AFD">
            <w:pPr>
              <w:pStyle w:val="TableParagraph"/>
              <w:spacing w:line="259" w:lineRule="exact"/>
              <w:rPr>
                <w:sz w:val="11"/>
              </w:rPr>
            </w:pPr>
            <w:r>
              <w:rPr>
                <w:color w:val="231F20"/>
                <w:sz w:val="20"/>
              </w:rPr>
              <w:t>behaviour, it will just go away.</w:t>
            </w:r>
            <w:r>
              <w:rPr>
                <w:color w:val="231F20"/>
                <w:position w:val="7"/>
                <w:sz w:val="11"/>
              </w:rPr>
              <w:t>26</w:t>
            </w:r>
          </w:p>
        </w:tc>
        <w:tc>
          <w:tcPr>
            <w:tcW w:w="4851" w:type="dxa"/>
          </w:tcPr>
          <w:p w14:paraId="38E8EF8D" w14:textId="77777777" w:rsidR="00894070" w:rsidRDefault="009B7AFD">
            <w:pPr>
              <w:pStyle w:val="TableParagraph"/>
              <w:spacing w:before="98" w:line="206" w:lineRule="auto"/>
              <w:rPr>
                <w:sz w:val="11"/>
              </w:rPr>
            </w:pPr>
            <w:r>
              <w:rPr>
                <w:color w:val="231F20"/>
                <w:sz w:val="20"/>
              </w:rPr>
              <w:t>Once stalking continues beyond two weeks, there is a risk it will go on for much longer.</w:t>
            </w:r>
            <w:r>
              <w:rPr>
                <w:color w:val="231F20"/>
                <w:position w:val="7"/>
                <w:sz w:val="11"/>
              </w:rPr>
              <w:t>27</w:t>
            </w:r>
          </w:p>
        </w:tc>
      </w:tr>
      <w:tr w:rsidR="00894070" w14:paraId="5D7BDE5B" w14:textId="77777777">
        <w:trPr>
          <w:trHeight w:val="1364"/>
        </w:trPr>
        <w:tc>
          <w:tcPr>
            <w:tcW w:w="3075" w:type="dxa"/>
          </w:tcPr>
          <w:p w14:paraId="77230E76" w14:textId="77777777" w:rsidR="00894070" w:rsidRDefault="009B7AFD">
            <w:pPr>
              <w:pStyle w:val="TableParagraph"/>
              <w:spacing w:before="98" w:line="206" w:lineRule="auto"/>
              <w:ind w:right="82"/>
              <w:rPr>
                <w:sz w:val="11"/>
              </w:rPr>
            </w:pPr>
            <w:r>
              <w:rPr>
                <w:color w:val="231F20"/>
                <w:sz w:val="20"/>
              </w:rPr>
              <w:t xml:space="preserve">It is better to wait until you have collected detailed </w:t>
            </w:r>
            <w:proofErr w:type="gramStart"/>
            <w:r>
              <w:rPr>
                <w:color w:val="231F20"/>
                <w:sz w:val="20"/>
              </w:rPr>
              <w:t>evidence</w:t>
            </w:r>
            <w:proofErr w:type="gramEnd"/>
            <w:r>
              <w:rPr>
                <w:color w:val="231F20"/>
                <w:sz w:val="20"/>
              </w:rPr>
              <w:t xml:space="preserve"> or the stalking has escalated to physical threats before seeking help.</w:t>
            </w:r>
            <w:r>
              <w:rPr>
                <w:color w:val="231F20"/>
                <w:position w:val="7"/>
                <w:sz w:val="11"/>
              </w:rPr>
              <w:t>28</w:t>
            </w:r>
          </w:p>
        </w:tc>
        <w:tc>
          <w:tcPr>
            <w:tcW w:w="4851" w:type="dxa"/>
          </w:tcPr>
          <w:p w14:paraId="16EEAD52" w14:textId="77777777" w:rsidR="00894070" w:rsidRDefault="009B7AFD">
            <w:pPr>
              <w:pStyle w:val="TableParagraph"/>
              <w:spacing w:before="98" w:line="206" w:lineRule="auto"/>
              <w:ind w:right="271"/>
              <w:rPr>
                <w:sz w:val="11"/>
              </w:rPr>
            </w:pPr>
            <w:r>
              <w:rPr>
                <w:color w:val="231F20"/>
                <w:sz w:val="20"/>
              </w:rPr>
              <w:t>It is important to seek help at an early stage. People who are being stalked can be assisted with safety plans and other supports. An early legal response may be appropriate.</w:t>
            </w:r>
            <w:r>
              <w:rPr>
                <w:color w:val="231F20"/>
                <w:position w:val="7"/>
                <w:sz w:val="11"/>
              </w:rPr>
              <w:t>29</w:t>
            </w:r>
          </w:p>
        </w:tc>
      </w:tr>
      <w:tr w:rsidR="00894070" w14:paraId="173B60E8" w14:textId="77777777">
        <w:trPr>
          <w:trHeight w:val="1364"/>
        </w:trPr>
        <w:tc>
          <w:tcPr>
            <w:tcW w:w="3075" w:type="dxa"/>
          </w:tcPr>
          <w:p w14:paraId="740E3268" w14:textId="77777777" w:rsidR="00894070" w:rsidRDefault="009B7AFD">
            <w:pPr>
              <w:pStyle w:val="TableParagraph"/>
              <w:spacing w:before="98" w:line="206" w:lineRule="auto"/>
              <w:rPr>
                <w:sz w:val="11"/>
              </w:rPr>
            </w:pPr>
            <w:r>
              <w:rPr>
                <w:color w:val="231F20"/>
                <w:sz w:val="20"/>
              </w:rPr>
              <w:t>Strangers are more likely than partners or ex-partners to threaten and use violence as part of stalking.</w:t>
            </w:r>
            <w:r>
              <w:rPr>
                <w:color w:val="231F20"/>
                <w:position w:val="7"/>
                <w:sz w:val="11"/>
              </w:rPr>
              <w:t>30</w:t>
            </w:r>
          </w:p>
        </w:tc>
        <w:tc>
          <w:tcPr>
            <w:tcW w:w="4851" w:type="dxa"/>
          </w:tcPr>
          <w:p w14:paraId="5FB0A874" w14:textId="77777777" w:rsidR="00894070" w:rsidRDefault="009B7AFD">
            <w:pPr>
              <w:pStyle w:val="TableParagraph"/>
              <w:spacing w:before="98" w:line="206" w:lineRule="auto"/>
              <w:ind w:right="104"/>
              <w:rPr>
                <w:sz w:val="11"/>
              </w:rPr>
            </w:pPr>
            <w:r>
              <w:rPr>
                <w:color w:val="231F20"/>
                <w:sz w:val="20"/>
              </w:rPr>
              <w:t>While our focus in this report is on non-family violence stalking, it is important to be clear that partners or ex-partners appear to be more likely than strangers to threaten and use violence as part of stalking.</w:t>
            </w:r>
            <w:r>
              <w:rPr>
                <w:color w:val="231F20"/>
                <w:position w:val="7"/>
                <w:sz w:val="11"/>
              </w:rPr>
              <w:t>31</w:t>
            </w:r>
          </w:p>
        </w:tc>
      </w:tr>
      <w:tr w:rsidR="00894070" w14:paraId="5C6395C5" w14:textId="77777777">
        <w:trPr>
          <w:trHeight w:val="884"/>
        </w:trPr>
        <w:tc>
          <w:tcPr>
            <w:tcW w:w="3075" w:type="dxa"/>
          </w:tcPr>
          <w:p w14:paraId="5C0153EF" w14:textId="77777777" w:rsidR="00894070" w:rsidRDefault="009B7AFD">
            <w:pPr>
              <w:pStyle w:val="TableParagraph"/>
              <w:spacing w:before="98" w:line="206" w:lineRule="auto"/>
              <w:rPr>
                <w:sz w:val="11"/>
              </w:rPr>
            </w:pPr>
            <w:r>
              <w:rPr>
                <w:color w:val="231F20"/>
                <w:sz w:val="20"/>
              </w:rPr>
              <w:t>The person being stalked secretly likes the attention.</w:t>
            </w:r>
            <w:r>
              <w:rPr>
                <w:color w:val="231F20"/>
                <w:position w:val="7"/>
                <w:sz w:val="11"/>
              </w:rPr>
              <w:t>32</w:t>
            </w:r>
          </w:p>
        </w:tc>
        <w:tc>
          <w:tcPr>
            <w:tcW w:w="4851" w:type="dxa"/>
          </w:tcPr>
          <w:p w14:paraId="39FDE5BF" w14:textId="77777777" w:rsidR="00894070" w:rsidRDefault="009B7AFD">
            <w:pPr>
              <w:pStyle w:val="TableParagraph"/>
              <w:spacing w:before="98" w:line="206" w:lineRule="auto"/>
              <w:ind w:right="510"/>
              <w:jc w:val="both"/>
              <w:rPr>
                <w:sz w:val="11"/>
              </w:rPr>
            </w:pPr>
            <w:r>
              <w:rPr>
                <w:color w:val="231F20"/>
                <w:sz w:val="20"/>
              </w:rPr>
              <w:t>Stalking</w:t>
            </w:r>
            <w:r>
              <w:rPr>
                <w:color w:val="231F20"/>
                <w:spacing w:val="-8"/>
                <w:sz w:val="20"/>
              </w:rPr>
              <w:t xml:space="preserve"> </w:t>
            </w:r>
            <w:r>
              <w:rPr>
                <w:color w:val="231F20"/>
                <w:sz w:val="20"/>
              </w:rPr>
              <w:t>is</w:t>
            </w:r>
            <w:r>
              <w:rPr>
                <w:color w:val="231F20"/>
                <w:spacing w:val="-7"/>
                <w:sz w:val="20"/>
              </w:rPr>
              <w:t xml:space="preserve"> </w:t>
            </w:r>
            <w:r>
              <w:rPr>
                <w:color w:val="231F20"/>
                <w:sz w:val="20"/>
              </w:rPr>
              <w:t>unwanted</w:t>
            </w:r>
            <w:r>
              <w:rPr>
                <w:color w:val="231F20"/>
                <w:spacing w:val="-7"/>
                <w:sz w:val="20"/>
              </w:rPr>
              <w:t xml:space="preserve"> </w:t>
            </w:r>
            <w:r>
              <w:rPr>
                <w:color w:val="231F20"/>
                <w:sz w:val="20"/>
              </w:rPr>
              <w:t>behaviour</w:t>
            </w:r>
            <w:r>
              <w:rPr>
                <w:color w:val="231F20"/>
                <w:spacing w:val="-7"/>
                <w:sz w:val="20"/>
              </w:rPr>
              <w:t xml:space="preserve"> </w:t>
            </w:r>
            <w:r>
              <w:rPr>
                <w:color w:val="231F20"/>
                <w:sz w:val="20"/>
              </w:rPr>
              <w:t>that</w:t>
            </w:r>
            <w:r>
              <w:rPr>
                <w:color w:val="231F20"/>
                <w:spacing w:val="-7"/>
                <w:sz w:val="20"/>
              </w:rPr>
              <w:t xml:space="preserve"> </w:t>
            </w:r>
            <w:r>
              <w:rPr>
                <w:color w:val="231F20"/>
                <w:sz w:val="20"/>
              </w:rPr>
              <w:t>may</w:t>
            </w:r>
            <w:r>
              <w:rPr>
                <w:color w:val="231F20"/>
                <w:spacing w:val="-7"/>
                <w:sz w:val="20"/>
              </w:rPr>
              <w:t xml:space="preserve"> </w:t>
            </w:r>
            <w:r>
              <w:rPr>
                <w:color w:val="231F20"/>
                <w:spacing w:val="-3"/>
                <w:sz w:val="20"/>
              </w:rPr>
              <w:t xml:space="preserve">have </w:t>
            </w:r>
            <w:r>
              <w:rPr>
                <w:color w:val="231F20"/>
                <w:sz w:val="20"/>
              </w:rPr>
              <w:t>serious and long-lasting negative effects (see Chapter</w:t>
            </w:r>
            <w:r>
              <w:rPr>
                <w:color w:val="231F20"/>
                <w:spacing w:val="-3"/>
                <w:sz w:val="20"/>
              </w:rPr>
              <w:t xml:space="preserve"> </w:t>
            </w:r>
            <w:r>
              <w:rPr>
                <w:color w:val="231F20"/>
                <w:sz w:val="20"/>
              </w:rPr>
              <w:t>2).</w:t>
            </w:r>
            <w:r>
              <w:rPr>
                <w:color w:val="231F20"/>
                <w:position w:val="7"/>
                <w:sz w:val="11"/>
              </w:rPr>
              <w:t>33</w:t>
            </w:r>
          </w:p>
        </w:tc>
      </w:tr>
    </w:tbl>
    <w:p w14:paraId="7375880C" w14:textId="77777777" w:rsidR="00894070" w:rsidRDefault="009F6793">
      <w:pPr>
        <w:pStyle w:val="BodyText"/>
        <w:spacing w:before="10"/>
        <w:rPr>
          <w:sz w:val="27"/>
        </w:rPr>
      </w:pPr>
      <w:r>
        <w:pict w14:anchorId="13ADB5F0">
          <v:line id="_x0000_s1500" style="position:absolute;z-index:251536384;mso-wrap-distance-left:0;mso-wrap-distance-right:0;mso-position-horizontal-relative:page;mso-position-vertical-relative:text" from="79.35pt,21.75pt" to="515.9pt,21.75pt" strokecolor="#f8cabc" strokeweight="1pt">
            <w10:wrap type="topAndBottom" anchorx="page"/>
          </v:line>
        </w:pict>
      </w:r>
    </w:p>
    <w:p w14:paraId="7EF11A42" w14:textId="77777777" w:rsidR="00894070" w:rsidRDefault="009B7AFD">
      <w:pPr>
        <w:pStyle w:val="ListParagraph"/>
        <w:numPr>
          <w:ilvl w:val="0"/>
          <w:numId w:val="134"/>
        </w:numPr>
        <w:tabs>
          <w:tab w:val="left" w:pos="1801"/>
          <w:tab w:val="left" w:pos="1802"/>
        </w:tabs>
        <w:spacing w:before="107" w:line="213" w:lineRule="auto"/>
        <w:ind w:right="1328"/>
        <w:rPr>
          <w:sz w:val="13"/>
        </w:rPr>
      </w:pPr>
      <w:r>
        <w:rPr>
          <w:color w:val="231F20"/>
          <w:spacing w:val="2"/>
          <w:sz w:val="13"/>
        </w:rPr>
        <w:t xml:space="preserve">Submission </w:t>
      </w:r>
      <w:r>
        <w:rPr>
          <w:color w:val="231F20"/>
          <w:sz w:val="13"/>
        </w:rPr>
        <w:t xml:space="preserve">32 (Centre for Forensic Behavioural Science); Bronwyn McKeon, </w:t>
      </w:r>
      <w:r>
        <w:rPr>
          <w:color w:val="231F20"/>
          <w:spacing w:val="-3"/>
          <w:sz w:val="13"/>
        </w:rPr>
        <w:t xml:space="preserve">Troy </w:t>
      </w:r>
      <w:r>
        <w:rPr>
          <w:color w:val="231F20"/>
          <w:sz w:val="13"/>
        </w:rPr>
        <w:t xml:space="preserve">E </w:t>
      </w:r>
      <w:proofErr w:type="gramStart"/>
      <w:r>
        <w:rPr>
          <w:color w:val="231F20"/>
          <w:sz w:val="13"/>
        </w:rPr>
        <w:t>McEwan</w:t>
      </w:r>
      <w:proofErr w:type="gramEnd"/>
      <w:r>
        <w:rPr>
          <w:color w:val="231F20"/>
          <w:sz w:val="13"/>
        </w:rPr>
        <w:t xml:space="preserve"> and Stefan </w:t>
      </w:r>
      <w:r>
        <w:rPr>
          <w:color w:val="231F20"/>
          <w:spacing w:val="2"/>
          <w:sz w:val="13"/>
        </w:rPr>
        <w:t xml:space="preserve">Luebbers, ‘“It’s </w:t>
      </w:r>
      <w:r>
        <w:rPr>
          <w:color w:val="231F20"/>
          <w:sz w:val="13"/>
        </w:rPr>
        <w:t xml:space="preserve">Not Really Stalking If You Know the Person”: Measuring Community Attitudes That Normalize, </w:t>
      </w:r>
      <w:r>
        <w:rPr>
          <w:color w:val="231F20"/>
          <w:spacing w:val="2"/>
          <w:sz w:val="13"/>
        </w:rPr>
        <w:t xml:space="preserve">Justify </w:t>
      </w:r>
      <w:r>
        <w:rPr>
          <w:color w:val="231F20"/>
          <w:sz w:val="13"/>
        </w:rPr>
        <w:t xml:space="preserve">and Minimise Stalking’ (2015) 22(2) </w:t>
      </w:r>
      <w:r>
        <w:rPr>
          <w:i/>
          <w:color w:val="231F20"/>
          <w:sz w:val="13"/>
        </w:rPr>
        <w:t xml:space="preserve">Psychiatry, Psychology and Law </w:t>
      </w:r>
      <w:r>
        <w:rPr>
          <w:color w:val="231F20"/>
          <w:sz w:val="13"/>
        </w:rPr>
        <w:t xml:space="preserve">291, 292; Adrian J Scott et </w:t>
      </w:r>
      <w:r>
        <w:rPr>
          <w:color w:val="231F20"/>
          <w:spacing w:val="2"/>
          <w:sz w:val="13"/>
        </w:rPr>
        <w:t xml:space="preserve">al, </w:t>
      </w:r>
      <w:r>
        <w:rPr>
          <w:color w:val="231F20"/>
          <w:sz w:val="13"/>
        </w:rPr>
        <w:t>‘International Perceptions of Stalking and Responsibility: The Influence</w:t>
      </w:r>
      <w:r>
        <w:rPr>
          <w:color w:val="231F20"/>
          <w:spacing w:val="2"/>
          <w:sz w:val="13"/>
        </w:rPr>
        <w:t xml:space="preserve"> </w:t>
      </w:r>
      <w:r>
        <w:rPr>
          <w:color w:val="231F20"/>
          <w:sz w:val="13"/>
        </w:rPr>
        <w:t>of</w:t>
      </w:r>
      <w:r>
        <w:rPr>
          <w:color w:val="231F20"/>
          <w:spacing w:val="3"/>
          <w:sz w:val="13"/>
        </w:rPr>
        <w:t xml:space="preserve"> </w:t>
      </w:r>
      <w:r>
        <w:rPr>
          <w:color w:val="231F20"/>
          <w:sz w:val="13"/>
        </w:rPr>
        <w:t>Prior</w:t>
      </w:r>
      <w:r>
        <w:rPr>
          <w:color w:val="231F20"/>
          <w:spacing w:val="3"/>
          <w:sz w:val="13"/>
        </w:rPr>
        <w:t xml:space="preserve"> </w:t>
      </w:r>
      <w:r>
        <w:rPr>
          <w:color w:val="231F20"/>
          <w:sz w:val="13"/>
        </w:rPr>
        <w:t>Relationship</w:t>
      </w:r>
      <w:r>
        <w:rPr>
          <w:color w:val="231F20"/>
          <w:spacing w:val="3"/>
          <w:sz w:val="13"/>
        </w:rPr>
        <w:t xml:space="preserve"> </w:t>
      </w:r>
      <w:r>
        <w:rPr>
          <w:color w:val="231F20"/>
          <w:sz w:val="13"/>
        </w:rPr>
        <w:t>and</w:t>
      </w:r>
      <w:r>
        <w:rPr>
          <w:color w:val="231F20"/>
          <w:spacing w:val="3"/>
          <w:sz w:val="13"/>
        </w:rPr>
        <w:t xml:space="preserve"> </w:t>
      </w:r>
      <w:r>
        <w:rPr>
          <w:color w:val="231F20"/>
          <w:sz w:val="13"/>
        </w:rPr>
        <w:t>Severity</w:t>
      </w:r>
      <w:r>
        <w:rPr>
          <w:color w:val="231F20"/>
          <w:spacing w:val="3"/>
          <w:sz w:val="13"/>
        </w:rPr>
        <w:t xml:space="preserve"> </w:t>
      </w:r>
      <w:r>
        <w:rPr>
          <w:color w:val="231F20"/>
          <w:sz w:val="13"/>
        </w:rPr>
        <w:t>of</w:t>
      </w:r>
      <w:r>
        <w:rPr>
          <w:color w:val="231F20"/>
          <w:spacing w:val="3"/>
          <w:sz w:val="13"/>
        </w:rPr>
        <w:t xml:space="preserve"> </w:t>
      </w:r>
      <w:r>
        <w:rPr>
          <w:color w:val="231F20"/>
          <w:sz w:val="13"/>
        </w:rPr>
        <w:t>Behavior’</w:t>
      </w:r>
      <w:r>
        <w:rPr>
          <w:color w:val="231F20"/>
          <w:spacing w:val="3"/>
          <w:sz w:val="13"/>
        </w:rPr>
        <w:t xml:space="preserve"> </w:t>
      </w:r>
      <w:r>
        <w:rPr>
          <w:color w:val="231F20"/>
          <w:sz w:val="13"/>
        </w:rPr>
        <w:t>(2014)</w:t>
      </w:r>
      <w:r>
        <w:rPr>
          <w:color w:val="231F20"/>
          <w:spacing w:val="3"/>
          <w:sz w:val="13"/>
        </w:rPr>
        <w:t xml:space="preserve"> </w:t>
      </w:r>
      <w:r>
        <w:rPr>
          <w:color w:val="231F20"/>
          <w:sz w:val="13"/>
        </w:rPr>
        <w:t>41(2)</w:t>
      </w:r>
      <w:r>
        <w:rPr>
          <w:color w:val="231F20"/>
          <w:spacing w:val="3"/>
          <w:sz w:val="13"/>
        </w:rPr>
        <w:t xml:space="preserve"> </w:t>
      </w:r>
      <w:r>
        <w:rPr>
          <w:i/>
          <w:color w:val="231F20"/>
          <w:sz w:val="13"/>
        </w:rPr>
        <w:t>Criminal</w:t>
      </w:r>
      <w:r>
        <w:rPr>
          <w:i/>
          <w:color w:val="231F20"/>
          <w:spacing w:val="2"/>
          <w:sz w:val="13"/>
        </w:rPr>
        <w:t xml:space="preserve"> </w:t>
      </w:r>
      <w:r>
        <w:rPr>
          <w:i/>
          <w:color w:val="231F20"/>
          <w:sz w:val="13"/>
        </w:rPr>
        <w:t>Justice</w:t>
      </w:r>
      <w:r>
        <w:rPr>
          <w:i/>
          <w:color w:val="231F20"/>
          <w:spacing w:val="3"/>
          <w:sz w:val="13"/>
        </w:rPr>
        <w:t xml:space="preserve"> </w:t>
      </w:r>
      <w:r>
        <w:rPr>
          <w:i/>
          <w:color w:val="231F20"/>
          <w:sz w:val="13"/>
        </w:rPr>
        <w:t>and</w:t>
      </w:r>
      <w:r>
        <w:rPr>
          <w:i/>
          <w:color w:val="231F20"/>
          <w:spacing w:val="3"/>
          <w:sz w:val="13"/>
        </w:rPr>
        <w:t xml:space="preserve"> </w:t>
      </w:r>
      <w:r>
        <w:rPr>
          <w:i/>
          <w:color w:val="231F20"/>
          <w:sz w:val="13"/>
        </w:rPr>
        <w:t>Behavior</w:t>
      </w:r>
      <w:r>
        <w:rPr>
          <w:i/>
          <w:color w:val="231F20"/>
          <w:spacing w:val="3"/>
          <w:sz w:val="13"/>
        </w:rPr>
        <w:t xml:space="preserve"> </w:t>
      </w:r>
      <w:r>
        <w:rPr>
          <w:color w:val="231F20"/>
          <w:sz w:val="13"/>
        </w:rPr>
        <w:t>220,</w:t>
      </w:r>
      <w:r>
        <w:rPr>
          <w:color w:val="231F20"/>
          <w:spacing w:val="3"/>
          <w:sz w:val="13"/>
        </w:rPr>
        <w:t xml:space="preserve"> </w:t>
      </w:r>
      <w:r>
        <w:rPr>
          <w:color w:val="231F20"/>
          <w:sz w:val="13"/>
        </w:rPr>
        <w:t>221–2.</w:t>
      </w:r>
    </w:p>
    <w:p w14:paraId="02895762" w14:textId="77777777" w:rsidR="00894070" w:rsidRDefault="009B7AFD">
      <w:pPr>
        <w:pStyle w:val="ListParagraph"/>
        <w:numPr>
          <w:ilvl w:val="0"/>
          <w:numId w:val="134"/>
        </w:numPr>
        <w:tabs>
          <w:tab w:val="left" w:pos="1801"/>
          <w:tab w:val="left" w:pos="1802"/>
        </w:tabs>
        <w:spacing w:line="213" w:lineRule="auto"/>
        <w:ind w:right="1217"/>
        <w:rPr>
          <w:sz w:val="13"/>
        </w:rPr>
      </w:pPr>
      <w:r>
        <w:rPr>
          <w:color w:val="231F20"/>
          <w:sz w:val="13"/>
        </w:rPr>
        <w:t xml:space="preserve">Brandt and Voerman point out that ‘The majority of </w:t>
      </w:r>
      <w:r>
        <w:rPr>
          <w:color w:val="231F20"/>
          <w:spacing w:val="2"/>
          <w:sz w:val="13"/>
        </w:rPr>
        <w:t xml:space="preserve">stalking </w:t>
      </w:r>
      <w:r>
        <w:rPr>
          <w:color w:val="231F20"/>
          <w:sz w:val="13"/>
        </w:rPr>
        <w:t xml:space="preserve">cases do not involve violence … but serious and sometimes fatal </w:t>
      </w:r>
      <w:r>
        <w:rPr>
          <w:color w:val="231F20"/>
          <w:spacing w:val="2"/>
          <w:sz w:val="13"/>
        </w:rPr>
        <w:t xml:space="preserve">incidents </w:t>
      </w:r>
      <w:r>
        <w:rPr>
          <w:color w:val="231F20"/>
          <w:sz w:val="13"/>
        </w:rPr>
        <w:t xml:space="preserve">of violence </w:t>
      </w:r>
      <w:r>
        <w:rPr>
          <w:color w:val="231F20"/>
          <w:spacing w:val="2"/>
          <w:sz w:val="13"/>
        </w:rPr>
        <w:t xml:space="preserve">happen </w:t>
      </w:r>
      <w:r>
        <w:rPr>
          <w:color w:val="231F20"/>
          <w:sz w:val="13"/>
        </w:rPr>
        <w:t xml:space="preserve">during a small </w:t>
      </w:r>
      <w:r>
        <w:rPr>
          <w:color w:val="231F20"/>
          <w:spacing w:val="2"/>
          <w:sz w:val="13"/>
        </w:rPr>
        <w:t xml:space="preserve">number </w:t>
      </w:r>
      <w:r>
        <w:rPr>
          <w:color w:val="231F20"/>
          <w:sz w:val="13"/>
        </w:rPr>
        <w:t xml:space="preserve">of </w:t>
      </w:r>
      <w:r>
        <w:rPr>
          <w:color w:val="231F20"/>
          <w:spacing w:val="2"/>
          <w:sz w:val="13"/>
        </w:rPr>
        <w:t xml:space="preserve">stalking </w:t>
      </w:r>
      <w:r>
        <w:rPr>
          <w:color w:val="231F20"/>
          <w:sz w:val="13"/>
        </w:rPr>
        <w:t xml:space="preserve">cases’: Cleo Brandt and </w:t>
      </w:r>
      <w:r>
        <w:rPr>
          <w:color w:val="231F20"/>
          <w:spacing w:val="2"/>
          <w:sz w:val="13"/>
        </w:rPr>
        <w:t xml:space="preserve">Bianca </w:t>
      </w:r>
      <w:r>
        <w:rPr>
          <w:color w:val="231F20"/>
          <w:sz w:val="13"/>
        </w:rPr>
        <w:t xml:space="preserve">Voerman, ‘The Dutch </w:t>
      </w:r>
      <w:r>
        <w:rPr>
          <w:color w:val="231F20"/>
          <w:spacing w:val="2"/>
          <w:sz w:val="13"/>
        </w:rPr>
        <w:t xml:space="preserve">Model: </w:t>
      </w:r>
      <w:r>
        <w:rPr>
          <w:color w:val="231F20"/>
          <w:sz w:val="13"/>
        </w:rPr>
        <w:t xml:space="preserve">A New Approach to Policing Stalking’ in Heng Choon (Oliver)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An International Perspective </w:t>
      </w:r>
      <w:r>
        <w:rPr>
          <w:color w:val="231F20"/>
          <w:sz w:val="13"/>
        </w:rPr>
        <w:t xml:space="preserve">(John Wiley and Sons, 2020) 251, </w:t>
      </w:r>
      <w:r>
        <w:rPr>
          <w:color w:val="231F20"/>
          <w:spacing w:val="2"/>
          <w:sz w:val="13"/>
        </w:rPr>
        <w:t xml:space="preserve">253. </w:t>
      </w:r>
      <w:r>
        <w:rPr>
          <w:color w:val="231F20"/>
          <w:sz w:val="13"/>
        </w:rPr>
        <w:t xml:space="preserve">However, Dressing and his co-authors    found a </w:t>
      </w:r>
      <w:r>
        <w:rPr>
          <w:color w:val="231F20"/>
          <w:spacing w:val="2"/>
          <w:sz w:val="13"/>
        </w:rPr>
        <w:t xml:space="preserve">higher </w:t>
      </w:r>
      <w:r>
        <w:rPr>
          <w:color w:val="231F20"/>
          <w:sz w:val="13"/>
        </w:rPr>
        <w:t xml:space="preserve">incidence (over 50%) of physical and/or sexual violence in their 2003 and 2018 studies of </w:t>
      </w:r>
      <w:r>
        <w:rPr>
          <w:color w:val="231F20"/>
          <w:spacing w:val="2"/>
          <w:sz w:val="13"/>
        </w:rPr>
        <w:t xml:space="preserve">stalking </w:t>
      </w:r>
      <w:r>
        <w:rPr>
          <w:color w:val="231F20"/>
          <w:sz w:val="13"/>
        </w:rPr>
        <w:t xml:space="preserve">in Germany.  These studies did not distinguish between family/intimate </w:t>
      </w:r>
      <w:r>
        <w:rPr>
          <w:color w:val="231F20"/>
          <w:spacing w:val="2"/>
          <w:sz w:val="13"/>
        </w:rPr>
        <w:t xml:space="preserve">partner stalking </w:t>
      </w:r>
      <w:r>
        <w:rPr>
          <w:color w:val="231F20"/>
          <w:sz w:val="13"/>
        </w:rPr>
        <w:t xml:space="preserve">and non-family </w:t>
      </w:r>
      <w:r>
        <w:rPr>
          <w:color w:val="231F20"/>
          <w:spacing w:val="2"/>
          <w:sz w:val="13"/>
        </w:rPr>
        <w:t xml:space="preserve">stalking: </w:t>
      </w:r>
      <w:r>
        <w:rPr>
          <w:color w:val="231F20"/>
          <w:sz w:val="13"/>
        </w:rPr>
        <w:t xml:space="preserve">Harald Dressing et </w:t>
      </w:r>
      <w:r>
        <w:rPr>
          <w:color w:val="231F20"/>
          <w:spacing w:val="2"/>
          <w:sz w:val="13"/>
        </w:rPr>
        <w:t xml:space="preserve">al, </w:t>
      </w:r>
      <w:r>
        <w:rPr>
          <w:color w:val="231F20"/>
          <w:sz w:val="13"/>
        </w:rPr>
        <w:t xml:space="preserve">‘The Prevalence and Effects of Stalking’ (2020) 117(20) </w:t>
      </w:r>
      <w:r>
        <w:rPr>
          <w:i/>
          <w:color w:val="231F20"/>
          <w:sz w:val="13"/>
        </w:rPr>
        <w:t xml:space="preserve">Deutsches Ärzteblatt International </w:t>
      </w:r>
      <w:r>
        <w:rPr>
          <w:color w:val="231F20"/>
          <w:sz w:val="13"/>
        </w:rPr>
        <w:t xml:space="preserve">347. The Centre for Forensic Behavioural </w:t>
      </w:r>
      <w:r>
        <w:rPr>
          <w:color w:val="231F20"/>
          <w:spacing w:val="2"/>
          <w:sz w:val="13"/>
        </w:rPr>
        <w:t xml:space="preserve">Science </w:t>
      </w:r>
      <w:r>
        <w:rPr>
          <w:color w:val="231F20"/>
          <w:sz w:val="13"/>
        </w:rPr>
        <w:t xml:space="preserve">points out that ‘both the </w:t>
      </w:r>
      <w:r>
        <w:rPr>
          <w:color w:val="231F20"/>
          <w:spacing w:val="2"/>
          <w:sz w:val="13"/>
        </w:rPr>
        <w:t xml:space="preserve">general </w:t>
      </w:r>
      <w:r>
        <w:rPr>
          <w:color w:val="231F20"/>
          <w:sz w:val="13"/>
        </w:rPr>
        <w:t xml:space="preserve">community and professionals are prone to misperceptions about the nature, </w:t>
      </w:r>
      <w:proofErr w:type="gramStart"/>
      <w:r>
        <w:rPr>
          <w:color w:val="231F20"/>
          <w:sz w:val="13"/>
        </w:rPr>
        <w:t xml:space="preserve">impact,   </w:t>
      </w:r>
      <w:proofErr w:type="gramEnd"/>
      <w:r>
        <w:rPr>
          <w:color w:val="231F20"/>
          <w:sz w:val="13"/>
        </w:rPr>
        <w:t xml:space="preserve">  risk and severity of </w:t>
      </w:r>
      <w:r>
        <w:rPr>
          <w:color w:val="231F20"/>
          <w:spacing w:val="2"/>
          <w:sz w:val="13"/>
        </w:rPr>
        <w:t xml:space="preserve">stalking, </w:t>
      </w:r>
      <w:r>
        <w:rPr>
          <w:color w:val="231F20"/>
          <w:sz w:val="13"/>
        </w:rPr>
        <w:t xml:space="preserve">which in turn influences whether they perceive </w:t>
      </w:r>
      <w:r>
        <w:rPr>
          <w:color w:val="231F20"/>
          <w:spacing w:val="2"/>
          <w:sz w:val="13"/>
        </w:rPr>
        <w:t xml:space="preserve">stalking </w:t>
      </w:r>
      <w:r>
        <w:rPr>
          <w:color w:val="231F20"/>
          <w:sz w:val="13"/>
        </w:rPr>
        <w:t xml:space="preserve">to be present. In </w:t>
      </w:r>
      <w:r>
        <w:rPr>
          <w:color w:val="231F20"/>
          <w:spacing w:val="2"/>
          <w:sz w:val="13"/>
        </w:rPr>
        <w:t xml:space="preserve">general, </w:t>
      </w:r>
      <w:r>
        <w:rPr>
          <w:color w:val="231F20"/>
          <w:sz w:val="13"/>
        </w:rPr>
        <w:t>people incorrectly rely on extreme behaviours that are crimes in and of themselves (</w:t>
      </w:r>
      <w:proofErr w:type="gramStart"/>
      <w:r>
        <w:rPr>
          <w:color w:val="231F20"/>
          <w:sz w:val="13"/>
        </w:rPr>
        <w:t>eg</w:t>
      </w:r>
      <w:proofErr w:type="gramEnd"/>
      <w:r>
        <w:rPr>
          <w:color w:val="231F20"/>
          <w:sz w:val="13"/>
        </w:rPr>
        <w:t xml:space="preserve"> threats or physical violence) to determine whether </w:t>
      </w:r>
      <w:r>
        <w:rPr>
          <w:color w:val="231F20"/>
          <w:spacing w:val="2"/>
          <w:sz w:val="13"/>
        </w:rPr>
        <w:t xml:space="preserve">stalking     </w:t>
      </w:r>
      <w:r>
        <w:rPr>
          <w:color w:val="231F20"/>
          <w:sz w:val="13"/>
        </w:rPr>
        <w:t xml:space="preserve">is present’: </w:t>
      </w:r>
      <w:r>
        <w:rPr>
          <w:color w:val="231F20"/>
          <w:spacing w:val="2"/>
          <w:sz w:val="13"/>
        </w:rPr>
        <w:t xml:space="preserve">Submission </w:t>
      </w:r>
      <w:r>
        <w:rPr>
          <w:color w:val="231F20"/>
          <w:sz w:val="13"/>
        </w:rPr>
        <w:t>32 (Centre for Forensic Behavioural</w:t>
      </w:r>
      <w:r>
        <w:rPr>
          <w:color w:val="231F20"/>
          <w:spacing w:val="2"/>
          <w:sz w:val="13"/>
        </w:rPr>
        <w:t xml:space="preserve"> </w:t>
      </w:r>
      <w:r>
        <w:rPr>
          <w:color w:val="231F20"/>
          <w:sz w:val="13"/>
        </w:rPr>
        <w:t>Science).</w:t>
      </w:r>
    </w:p>
    <w:p w14:paraId="69E9F263" w14:textId="77777777" w:rsidR="00894070" w:rsidRDefault="009B7AFD">
      <w:pPr>
        <w:pStyle w:val="ListParagraph"/>
        <w:numPr>
          <w:ilvl w:val="0"/>
          <w:numId w:val="134"/>
        </w:numPr>
        <w:tabs>
          <w:tab w:val="left" w:pos="1801"/>
          <w:tab w:val="left" w:pos="1802"/>
        </w:tabs>
        <w:spacing w:line="213" w:lineRule="auto"/>
        <w:ind w:right="1259"/>
        <w:rPr>
          <w:sz w:val="13"/>
        </w:rPr>
      </w:pPr>
      <w:r>
        <w:rPr>
          <w:color w:val="231F20"/>
          <w:spacing w:val="2"/>
          <w:sz w:val="13"/>
        </w:rPr>
        <w:t xml:space="preserve">Submission </w:t>
      </w:r>
      <w:r>
        <w:rPr>
          <w:color w:val="231F20"/>
          <w:sz w:val="13"/>
        </w:rPr>
        <w:t xml:space="preserve">32 (Centre for Forensic Behavioural Science); 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4"/>
          <w:sz w:val="13"/>
        </w:rPr>
        <w:t xml:space="preserve"> </w:t>
      </w:r>
      <w:r>
        <w:rPr>
          <w:color w:val="231F20"/>
          <w:sz w:val="13"/>
        </w:rPr>
        <w:t>2021).</w:t>
      </w:r>
    </w:p>
    <w:p w14:paraId="4F04AB1D" w14:textId="77777777" w:rsidR="00894070" w:rsidRDefault="009B7AFD">
      <w:pPr>
        <w:pStyle w:val="ListParagraph"/>
        <w:numPr>
          <w:ilvl w:val="0"/>
          <w:numId w:val="134"/>
        </w:numPr>
        <w:tabs>
          <w:tab w:val="left" w:pos="1800"/>
          <w:tab w:val="left" w:pos="1802"/>
        </w:tabs>
        <w:spacing w:line="213" w:lineRule="auto"/>
        <w:ind w:right="1213"/>
        <w:rPr>
          <w:sz w:val="13"/>
        </w:rPr>
      </w:pPr>
      <w:r>
        <w:rPr>
          <w:color w:val="231F20"/>
          <w:spacing w:val="-3"/>
          <w:sz w:val="13"/>
        </w:rPr>
        <w:t xml:space="preserve">Troy </w:t>
      </w:r>
      <w:r>
        <w:rPr>
          <w:color w:val="231F20"/>
          <w:sz w:val="13"/>
        </w:rPr>
        <w:t xml:space="preserve">McEwan, Paul E </w:t>
      </w:r>
      <w:proofErr w:type="gramStart"/>
      <w:r>
        <w:rPr>
          <w:color w:val="231F20"/>
          <w:sz w:val="13"/>
        </w:rPr>
        <w:t>Mullen</w:t>
      </w:r>
      <w:proofErr w:type="gramEnd"/>
      <w:r>
        <w:rPr>
          <w:color w:val="231F20"/>
          <w:sz w:val="13"/>
        </w:rPr>
        <w:t xml:space="preserve"> and </w:t>
      </w:r>
      <w:r>
        <w:rPr>
          <w:color w:val="231F20"/>
          <w:spacing w:val="2"/>
          <w:sz w:val="13"/>
        </w:rPr>
        <w:t xml:space="preserve">Rosemary </w:t>
      </w:r>
      <w:r>
        <w:rPr>
          <w:color w:val="231F20"/>
          <w:sz w:val="13"/>
        </w:rPr>
        <w:t xml:space="preserve">Purcell, </w:t>
      </w:r>
      <w:r>
        <w:rPr>
          <w:color w:val="231F20"/>
          <w:spacing w:val="2"/>
          <w:sz w:val="13"/>
        </w:rPr>
        <w:t xml:space="preserve">‘Identifying </w:t>
      </w:r>
      <w:r>
        <w:rPr>
          <w:color w:val="231F20"/>
          <w:sz w:val="13"/>
        </w:rPr>
        <w:t xml:space="preserve">Risk Factors in Stalking: A Review of Current Research’ (2007)    </w:t>
      </w:r>
      <w:r>
        <w:rPr>
          <w:color w:val="231F20"/>
          <w:spacing w:val="2"/>
          <w:sz w:val="13"/>
        </w:rPr>
        <w:t xml:space="preserve">30(1) </w:t>
      </w:r>
      <w:r>
        <w:rPr>
          <w:i/>
          <w:color w:val="231F20"/>
          <w:sz w:val="13"/>
        </w:rPr>
        <w:t xml:space="preserve">International Journal of Law and Psychiatry </w:t>
      </w:r>
      <w:r>
        <w:rPr>
          <w:color w:val="231F20"/>
          <w:sz w:val="13"/>
        </w:rPr>
        <w:t xml:space="preserve">1, 6. </w:t>
      </w:r>
      <w:r>
        <w:rPr>
          <w:color w:val="231F20"/>
          <w:spacing w:val="2"/>
          <w:sz w:val="13"/>
        </w:rPr>
        <w:t xml:space="preserve">Other </w:t>
      </w:r>
      <w:r>
        <w:rPr>
          <w:color w:val="231F20"/>
          <w:sz w:val="13"/>
        </w:rPr>
        <w:t xml:space="preserve">researchers have suggested that persistence beyond a </w:t>
      </w:r>
      <w:r>
        <w:rPr>
          <w:color w:val="231F20"/>
          <w:spacing w:val="2"/>
          <w:sz w:val="13"/>
        </w:rPr>
        <w:t xml:space="preserve">period </w:t>
      </w:r>
      <w:r>
        <w:rPr>
          <w:color w:val="231F20"/>
          <w:sz w:val="13"/>
        </w:rPr>
        <w:t xml:space="preserve">of two    to four weeks means the behaviour is then likely to continue for six months or more: Laurence Miller, </w:t>
      </w:r>
      <w:r>
        <w:rPr>
          <w:color w:val="231F20"/>
          <w:spacing w:val="2"/>
          <w:sz w:val="13"/>
        </w:rPr>
        <w:t xml:space="preserve">‘Stalking: </w:t>
      </w:r>
      <w:r>
        <w:rPr>
          <w:color w:val="231F20"/>
          <w:sz w:val="13"/>
        </w:rPr>
        <w:t xml:space="preserve">Patterns, Motives, and Intervention Strategies’ (2012) 17 </w:t>
      </w:r>
      <w:r>
        <w:rPr>
          <w:i/>
          <w:color w:val="231F20"/>
          <w:sz w:val="13"/>
        </w:rPr>
        <w:t xml:space="preserve">Aggression and Violent Behavior </w:t>
      </w:r>
      <w:r>
        <w:rPr>
          <w:color w:val="231F20"/>
          <w:spacing w:val="3"/>
          <w:sz w:val="13"/>
        </w:rPr>
        <w:t xml:space="preserve">495, </w:t>
      </w:r>
      <w:r>
        <w:rPr>
          <w:color w:val="231F20"/>
          <w:spacing w:val="2"/>
          <w:sz w:val="13"/>
        </w:rPr>
        <w:t xml:space="preserve">496. </w:t>
      </w:r>
      <w:r>
        <w:rPr>
          <w:color w:val="231F20"/>
          <w:sz w:val="13"/>
        </w:rPr>
        <w:t xml:space="preserve">See </w:t>
      </w:r>
      <w:r>
        <w:rPr>
          <w:color w:val="231F20"/>
          <w:spacing w:val="2"/>
          <w:sz w:val="13"/>
        </w:rPr>
        <w:t xml:space="preserve">also </w:t>
      </w:r>
      <w:r>
        <w:rPr>
          <w:color w:val="231F20"/>
          <w:sz w:val="13"/>
        </w:rPr>
        <w:t xml:space="preserve">Tim Boehnlein et </w:t>
      </w:r>
      <w:r>
        <w:rPr>
          <w:color w:val="231F20"/>
          <w:spacing w:val="2"/>
          <w:sz w:val="13"/>
        </w:rPr>
        <w:t xml:space="preserve">al, </w:t>
      </w:r>
      <w:r>
        <w:rPr>
          <w:color w:val="231F20"/>
          <w:sz w:val="13"/>
        </w:rPr>
        <w:t>‘Responding to Stalking</w:t>
      </w:r>
      <w:r>
        <w:rPr>
          <w:color w:val="231F20"/>
          <w:spacing w:val="4"/>
          <w:sz w:val="13"/>
        </w:rPr>
        <w:t xml:space="preserve"> </w:t>
      </w:r>
      <w:r>
        <w:rPr>
          <w:color w:val="231F20"/>
          <w:sz w:val="13"/>
        </w:rPr>
        <w:t>Victims:</w:t>
      </w:r>
      <w:r>
        <w:rPr>
          <w:color w:val="231F20"/>
          <w:spacing w:val="5"/>
          <w:sz w:val="13"/>
        </w:rPr>
        <w:t xml:space="preserve"> </w:t>
      </w:r>
      <w:r>
        <w:rPr>
          <w:color w:val="231F20"/>
          <w:sz w:val="13"/>
        </w:rPr>
        <w:t>Perceptions,</w:t>
      </w:r>
      <w:r>
        <w:rPr>
          <w:color w:val="231F20"/>
          <w:spacing w:val="4"/>
          <w:sz w:val="13"/>
        </w:rPr>
        <w:t xml:space="preserve"> </w:t>
      </w:r>
      <w:r>
        <w:rPr>
          <w:color w:val="231F20"/>
          <w:spacing w:val="2"/>
          <w:sz w:val="13"/>
        </w:rPr>
        <w:t>Barriers,</w:t>
      </w:r>
      <w:r>
        <w:rPr>
          <w:color w:val="231F20"/>
          <w:spacing w:val="5"/>
          <w:sz w:val="13"/>
        </w:rPr>
        <w:t xml:space="preserve"> </w:t>
      </w:r>
      <w:r>
        <w:rPr>
          <w:color w:val="231F20"/>
          <w:sz w:val="13"/>
        </w:rPr>
        <w:t>and</w:t>
      </w:r>
      <w:r>
        <w:rPr>
          <w:color w:val="231F20"/>
          <w:spacing w:val="4"/>
          <w:sz w:val="13"/>
        </w:rPr>
        <w:t xml:space="preserve"> </w:t>
      </w:r>
      <w:r>
        <w:rPr>
          <w:color w:val="231F20"/>
          <w:sz w:val="13"/>
        </w:rPr>
        <w:t>Directions</w:t>
      </w:r>
      <w:r>
        <w:rPr>
          <w:color w:val="231F20"/>
          <w:spacing w:val="5"/>
          <w:sz w:val="13"/>
        </w:rPr>
        <w:t xml:space="preserve"> </w:t>
      </w:r>
      <w:r>
        <w:rPr>
          <w:color w:val="231F20"/>
          <w:sz w:val="13"/>
        </w:rPr>
        <w:t>for</w:t>
      </w:r>
      <w:r>
        <w:rPr>
          <w:color w:val="231F20"/>
          <w:spacing w:val="4"/>
          <w:sz w:val="13"/>
        </w:rPr>
        <w:t xml:space="preserve"> </w:t>
      </w:r>
      <w:r>
        <w:rPr>
          <w:color w:val="231F20"/>
          <w:sz w:val="13"/>
        </w:rPr>
        <w:t>Future</w:t>
      </w:r>
      <w:r>
        <w:rPr>
          <w:color w:val="231F20"/>
          <w:spacing w:val="5"/>
          <w:sz w:val="13"/>
        </w:rPr>
        <w:t xml:space="preserve"> </w:t>
      </w:r>
      <w:r>
        <w:rPr>
          <w:color w:val="231F20"/>
          <w:sz w:val="13"/>
        </w:rPr>
        <w:t>Research’</w:t>
      </w:r>
      <w:r>
        <w:rPr>
          <w:color w:val="231F20"/>
          <w:spacing w:val="4"/>
          <w:sz w:val="13"/>
        </w:rPr>
        <w:t xml:space="preserve"> </w:t>
      </w:r>
      <w:r>
        <w:rPr>
          <w:color w:val="231F20"/>
          <w:sz w:val="13"/>
        </w:rPr>
        <w:t>(2020)</w:t>
      </w:r>
      <w:r>
        <w:rPr>
          <w:color w:val="231F20"/>
          <w:spacing w:val="5"/>
          <w:sz w:val="13"/>
        </w:rPr>
        <w:t xml:space="preserve"> </w:t>
      </w:r>
      <w:r>
        <w:rPr>
          <w:color w:val="231F20"/>
          <w:sz w:val="13"/>
        </w:rPr>
        <w:t>35(7)</w:t>
      </w:r>
      <w:r>
        <w:rPr>
          <w:color w:val="231F20"/>
          <w:spacing w:val="4"/>
          <w:sz w:val="13"/>
        </w:rPr>
        <w:t xml:space="preserve"> </w:t>
      </w:r>
      <w:r>
        <w:rPr>
          <w:i/>
          <w:color w:val="231F20"/>
          <w:sz w:val="13"/>
        </w:rPr>
        <w:t>Journal</w:t>
      </w:r>
      <w:r>
        <w:rPr>
          <w:i/>
          <w:color w:val="231F20"/>
          <w:spacing w:val="4"/>
          <w:sz w:val="13"/>
        </w:rPr>
        <w:t xml:space="preserve"> </w:t>
      </w:r>
      <w:r>
        <w:rPr>
          <w:i/>
          <w:color w:val="231F20"/>
          <w:sz w:val="13"/>
        </w:rPr>
        <w:t>of</w:t>
      </w:r>
      <w:r>
        <w:rPr>
          <w:i/>
          <w:color w:val="231F20"/>
          <w:spacing w:val="5"/>
          <w:sz w:val="13"/>
        </w:rPr>
        <w:t xml:space="preserve"> </w:t>
      </w:r>
      <w:r>
        <w:rPr>
          <w:i/>
          <w:color w:val="231F20"/>
          <w:sz w:val="13"/>
        </w:rPr>
        <w:t>Family</w:t>
      </w:r>
      <w:r>
        <w:rPr>
          <w:i/>
          <w:color w:val="231F20"/>
          <w:spacing w:val="4"/>
          <w:sz w:val="13"/>
        </w:rPr>
        <w:t xml:space="preserve"> </w:t>
      </w:r>
      <w:r>
        <w:rPr>
          <w:i/>
          <w:color w:val="231F20"/>
          <w:sz w:val="13"/>
        </w:rPr>
        <w:t>Violence</w:t>
      </w:r>
      <w:r>
        <w:rPr>
          <w:i/>
          <w:color w:val="231F20"/>
          <w:spacing w:val="5"/>
          <w:sz w:val="13"/>
        </w:rPr>
        <w:t xml:space="preserve"> </w:t>
      </w:r>
      <w:r>
        <w:rPr>
          <w:color w:val="231F20"/>
          <w:spacing w:val="2"/>
          <w:sz w:val="13"/>
        </w:rPr>
        <w:t>755,</w:t>
      </w:r>
      <w:r>
        <w:rPr>
          <w:color w:val="231F20"/>
          <w:spacing w:val="3"/>
          <w:sz w:val="13"/>
        </w:rPr>
        <w:t xml:space="preserve"> </w:t>
      </w:r>
      <w:r>
        <w:rPr>
          <w:color w:val="231F20"/>
          <w:sz w:val="13"/>
        </w:rPr>
        <w:t>756.</w:t>
      </w:r>
    </w:p>
    <w:p w14:paraId="01255EA4" w14:textId="77777777" w:rsidR="00894070" w:rsidRDefault="009B7AFD">
      <w:pPr>
        <w:pStyle w:val="ListParagraph"/>
        <w:numPr>
          <w:ilvl w:val="0"/>
          <w:numId w:val="134"/>
        </w:numPr>
        <w:tabs>
          <w:tab w:val="left" w:pos="1801"/>
          <w:tab w:val="left" w:pos="1802"/>
        </w:tabs>
        <w:spacing w:line="213" w:lineRule="auto"/>
        <w:ind w:right="1311"/>
        <w:rPr>
          <w:sz w:val="13"/>
        </w:rPr>
      </w:pPr>
      <w:r>
        <w:rPr>
          <w:color w:val="231F20"/>
          <w:sz w:val="13"/>
        </w:rPr>
        <w:t xml:space="preserve">Sometimes people who are being stalked don’t want to go to the </w:t>
      </w:r>
      <w:r>
        <w:rPr>
          <w:color w:val="231F20"/>
          <w:spacing w:val="2"/>
          <w:sz w:val="13"/>
        </w:rPr>
        <w:t xml:space="preserve">police because </w:t>
      </w:r>
      <w:r>
        <w:rPr>
          <w:color w:val="231F20"/>
          <w:sz w:val="13"/>
        </w:rPr>
        <w:t xml:space="preserve">they are worried the </w:t>
      </w:r>
      <w:r>
        <w:rPr>
          <w:color w:val="231F20"/>
          <w:spacing w:val="2"/>
          <w:sz w:val="13"/>
        </w:rPr>
        <w:t xml:space="preserve">stalking </w:t>
      </w:r>
      <w:r>
        <w:rPr>
          <w:color w:val="231F20"/>
          <w:sz w:val="13"/>
        </w:rPr>
        <w:t xml:space="preserve">behaviour is not serious enough or they don’t have enough evidence to show it is happening: </w:t>
      </w:r>
      <w:r>
        <w:rPr>
          <w:color w:val="231F20"/>
          <w:spacing w:val="2"/>
          <w:sz w:val="13"/>
        </w:rPr>
        <w:t xml:space="preserve">Submission </w:t>
      </w:r>
      <w:r>
        <w:rPr>
          <w:color w:val="231F20"/>
          <w:sz w:val="13"/>
        </w:rPr>
        <w:t xml:space="preserve">32 (Centre for Forensic Behavioural Science); </w:t>
      </w:r>
      <w:r>
        <w:rPr>
          <w:color w:val="231F20"/>
          <w:spacing w:val="2"/>
          <w:sz w:val="13"/>
        </w:rPr>
        <w:t xml:space="preserve">Suzy </w:t>
      </w:r>
      <w:r>
        <w:rPr>
          <w:color w:val="231F20"/>
          <w:sz w:val="13"/>
        </w:rPr>
        <w:t xml:space="preserve">Lamplugh Trust, Unmasking Stalking: </w:t>
      </w:r>
      <w:r>
        <w:rPr>
          <w:i/>
          <w:color w:val="231F20"/>
          <w:sz w:val="13"/>
        </w:rPr>
        <w:t xml:space="preserve">A Changing Landscape </w:t>
      </w:r>
      <w:r>
        <w:rPr>
          <w:color w:val="231F20"/>
          <w:spacing w:val="2"/>
          <w:sz w:val="13"/>
        </w:rPr>
        <w:t xml:space="preserve">(Report, </w:t>
      </w:r>
      <w:r>
        <w:rPr>
          <w:color w:val="231F20"/>
          <w:sz w:val="13"/>
        </w:rPr>
        <w:t>April 2021)</w:t>
      </w:r>
      <w:r>
        <w:rPr>
          <w:color w:val="231F20"/>
          <w:spacing w:val="15"/>
          <w:sz w:val="13"/>
        </w:rPr>
        <w:t xml:space="preserve"> </w:t>
      </w:r>
      <w:r>
        <w:rPr>
          <w:color w:val="231F20"/>
          <w:spacing w:val="2"/>
          <w:sz w:val="13"/>
        </w:rPr>
        <w:t>9.</w:t>
      </w:r>
    </w:p>
    <w:p w14:paraId="11AC6AA9" w14:textId="77777777" w:rsidR="00894070" w:rsidRDefault="009B7AFD">
      <w:pPr>
        <w:pStyle w:val="ListParagraph"/>
        <w:numPr>
          <w:ilvl w:val="0"/>
          <w:numId w:val="134"/>
        </w:numPr>
        <w:tabs>
          <w:tab w:val="left" w:pos="1801"/>
          <w:tab w:val="left" w:pos="1802"/>
        </w:tabs>
        <w:spacing w:line="152" w:lineRule="exact"/>
        <w:rPr>
          <w:sz w:val="13"/>
        </w:rPr>
      </w:pPr>
      <w:r>
        <w:rPr>
          <w:color w:val="231F20"/>
          <w:spacing w:val="2"/>
          <w:sz w:val="13"/>
        </w:rPr>
        <w:t xml:space="preserve">Submission </w:t>
      </w:r>
      <w:r>
        <w:rPr>
          <w:color w:val="231F20"/>
          <w:sz w:val="13"/>
        </w:rPr>
        <w:t>32 (Centre for Forensic Behavioural Science).</w:t>
      </w:r>
    </w:p>
    <w:p w14:paraId="1E8487E6" w14:textId="77777777" w:rsidR="00894070" w:rsidRDefault="009B7AFD">
      <w:pPr>
        <w:pStyle w:val="ListParagraph"/>
        <w:numPr>
          <w:ilvl w:val="0"/>
          <w:numId w:val="134"/>
        </w:numPr>
        <w:tabs>
          <w:tab w:val="left" w:pos="1801"/>
          <w:tab w:val="left" w:pos="1802"/>
        </w:tabs>
        <w:spacing w:line="213" w:lineRule="auto"/>
        <w:ind w:right="1165"/>
        <w:rPr>
          <w:sz w:val="13"/>
        </w:rPr>
      </w:pPr>
      <w:r>
        <w:rPr>
          <w:color w:val="231F20"/>
          <w:sz w:val="13"/>
        </w:rPr>
        <w:t xml:space="preserve">Jeff Gavin and Adrian J Scott, ‘The Influence of the Sex of and Prior Relationship between the Perpetrator and Victim on   Perceptions of Stalking: A Qualitative Analysis’ (2016) </w:t>
      </w:r>
      <w:r>
        <w:rPr>
          <w:color w:val="231F20"/>
          <w:spacing w:val="2"/>
          <w:sz w:val="13"/>
        </w:rPr>
        <w:t xml:space="preserve">23(5) </w:t>
      </w:r>
      <w:r>
        <w:rPr>
          <w:i/>
          <w:color w:val="231F20"/>
          <w:sz w:val="13"/>
        </w:rPr>
        <w:t xml:space="preserve">Psychiatry, Psychology and Law </w:t>
      </w:r>
      <w:r>
        <w:rPr>
          <w:color w:val="231F20"/>
          <w:sz w:val="13"/>
        </w:rPr>
        <w:t xml:space="preserve">716, 718; Bronwyn McKeon, </w:t>
      </w:r>
      <w:r>
        <w:rPr>
          <w:color w:val="231F20"/>
          <w:spacing w:val="-3"/>
          <w:sz w:val="13"/>
        </w:rPr>
        <w:t xml:space="preserve">Troy </w:t>
      </w:r>
      <w:r>
        <w:rPr>
          <w:color w:val="231F20"/>
          <w:sz w:val="13"/>
        </w:rPr>
        <w:t xml:space="preserve">E McEwan and Stefan </w:t>
      </w:r>
      <w:r>
        <w:rPr>
          <w:color w:val="231F20"/>
          <w:spacing w:val="2"/>
          <w:sz w:val="13"/>
        </w:rPr>
        <w:t xml:space="preserve">Luebbers, ‘“It’s </w:t>
      </w:r>
      <w:r>
        <w:rPr>
          <w:color w:val="231F20"/>
          <w:sz w:val="13"/>
        </w:rPr>
        <w:t xml:space="preserve">Not Really Stalking If You Know the Person”: Measuring Community Attitudes That Normalize, </w:t>
      </w:r>
      <w:r>
        <w:rPr>
          <w:color w:val="231F20"/>
          <w:spacing w:val="2"/>
          <w:sz w:val="13"/>
        </w:rPr>
        <w:t xml:space="preserve">Justify </w:t>
      </w:r>
      <w:r>
        <w:rPr>
          <w:color w:val="231F20"/>
          <w:sz w:val="13"/>
        </w:rPr>
        <w:t xml:space="preserve">and Minimise Stalking’ (2015) 22(2) </w:t>
      </w:r>
      <w:r>
        <w:rPr>
          <w:i/>
          <w:color w:val="231F20"/>
          <w:sz w:val="13"/>
        </w:rPr>
        <w:t xml:space="preserve">Psychiatry, Psychology and Law </w:t>
      </w:r>
      <w:r>
        <w:rPr>
          <w:color w:val="231F20"/>
          <w:sz w:val="13"/>
        </w:rPr>
        <w:t xml:space="preserve">291, 292, 294; Adrian J Scott et </w:t>
      </w:r>
      <w:r>
        <w:rPr>
          <w:color w:val="231F20"/>
          <w:spacing w:val="2"/>
          <w:sz w:val="13"/>
        </w:rPr>
        <w:t xml:space="preserve">al, </w:t>
      </w:r>
      <w:r>
        <w:rPr>
          <w:color w:val="231F20"/>
          <w:sz w:val="13"/>
        </w:rPr>
        <w:t xml:space="preserve">‘International  Perceptions of Stalking and Responsibility: The Influence of Prior Relationship and Severity  of  Behavior’  (2014)  41(2)  </w:t>
      </w:r>
      <w:r>
        <w:rPr>
          <w:i/>
          <w:color w:val="231F20"/>
          <w:sz w:val="13"/>
        </w:rPr>
        <w:t xml:space="preserve">Criminal Justice and Behavior </w:t>
      </w:r>
      <w:r>
        <w:rPr>
          <w:color w:val="231F20"/>
          <w:sz w:val="13"/>
        </w:rPr>
        <w:t xml:space="preserve">220, </w:t>
      </w:r>
      <w:r>
        <w:rPr>
          <w:color w:val="231F20"/>
          <w:spacing w:val="2"/>
          <w:sz w:val="13"/>
        </w:rPr>
        <w:t>221.</w:t>
      </w:r>
    </w:p>
    <w:p w14:paraId="5D5E51DD" w14:textId="77777777" w:rsidR="00894070" w:rsidRDefault="009B7AFD">
      <w:pPr>
        <w:pStyle w:val="ListParagraph"/>
        <w:numPr>
          <w:ilvl w:val="0"/>
          <w:numId w:val="134"/>
        </w:numPr>
        <w:tabs>
          <w:tab w:val="left" w:pos="1801"/>
          <w:tab w:val="left" w:pos="1802"/>
        </w:tabs>
        <w:spacing w:line="213" w:lineRule="auto"/>
        <w:ind w:right="1165"/>
        <w:rPr>
          <w:sz w:val="13"/>
        </w:rPr>
      </w:pPr>
      <w:r>
        <w:rPr>
          <w:color w:val="231F20"/>
          <w:sz w:val="13"/>
        </w:rPr>
        <w:t xml:space="preserve">Tim Boehnlein et </w:t>
      </w:r>
      <w:r>
        <w:rPr>
          <w:color w:val="231F20"/>
          <w:spacing w:val="2"/>
          <w:sz w:val="13"/>
        </w:rPr>
        <w:t xml:space="preserve">al, </w:t>
      </w:r>
      <w:r>
        <w:rPr>
          <w:color w:val="231F20"/>
          <w:sz w:val="13"/>
        </w:rPr>
        <w:t xml:space="preserve">‘Responding to Stalking Victims: Perceptions, </w:t>
      </w:r>
      <w:r>
        <w:rPr>
          <w:color w:val="231F20"/>
          <w:spacing w:val="2"/>
          <w:sz w:val="13"/>
        </w:rPr>
        <w:t xml:space="preserve">Barriers, </w:t>
      </w:r>
      <w:r>
        <w:rPr>
          <w:color w:val="231F20"/>
          <w:sz w:val="13"/>
        </w:rPr>
        <w:t xml:space="preserve">and Directions  for  Future  Research’  (2020)  35(7) </w:t>
      </w:r>
      <w:r>
        <w:rPr>
          <w:i/>
          <w:color w:val="231F20"/>
          <w:sz w:val="13"/>
        </w:rPr>
        <w:t xml:space="preserve">Journal of Family Violence </w:t>
      </w:r>
      <w:r>
        <w:rPr>
          <w:color w:val="231F20"/>
          <w:spacing w:val="2"/>
          <w:sz w:val="13"/>
        </w:rPr>
        <w:t xml:space="preserve">755, </w:t>
      </w:r>
      <w:r>
        <w:rPr>
          <w:color w:val="231F20"/>
          <w:sz w:val="13"/>
        </w:rPr>
        <w:t xml:space="preserve">756–7; </w:t>
      </w:r>
      <w:r>
        <w:rPr>
          <w:color w:val="231F20"/>
          <w:spacing w:val="-3"/>
          <w:sz w:val="13"/>
        </w:rPr>
        <w:t xml:space="preserve">Troy </w:t>
      </w:r>
      <w:r>
        <w:rPr>
          <w:color w:val="231F20"/>
          <w:sz w:val="13"/>
        </w:rPr>
        <w:t xml:space="preserve">E McEwan and Michael R Davis, </w:t>
      </w:r>
      <w:r>
        <w:rPr>
          <w:color w:val="231F20"/>
          <w:spacing w:val="2"/>
          <w:sz w:val="13"/>
        </w:rPr>
        <w:t xml:space="preserve">‘Is </w:t>
      </w:r>
      <w:r>
        <w:rPr>
          <w:color w:val="231F20"/>
          <w:sz w:val="13"/>
        </w:rPr>
        <w:t xml:space="preserve">There a </w:t>
      </w:r>
      <w:r>
        <w:rPr>
          <w:color w:val="231F20"/>
          <w:spacing w:val="2"/>
          <w:sz w:val="13"/>
        </w:rPr>
        <w:t xml:space="preserve">“Best” </w:t>
      </w:r>
      <w:r>
        <w:rPr>
          <w:color w:val="231F20"/>
          <w:sz w:val="13"/>
        </w:rPr>
        <w:t xml:space="preserve">Stalking Typology?: Parsing the Heterogeneity of Stalking and Stalkers in an Australian Sample’ in Heng Choon (Oliver) Chan and Lorraine </w:t>
      </w:r>
      <w:r>
        <w:rPr>
          <w:color w:val="231F20"/>
          <w:spacing w:val="2"/>
          <w:sz w:val="13"/>
        </w:rPr>
        <w:t xml:space="preserve">Sheridan </w:t>
      </w:r>
      <w:r>
        <w:rPr>
          <w:color w:val="231F20"/>
          <w:sz w:val="13"/>
        </w:rPr>
        <w:t xml:space="preserve">(eds), </w:t>
      </w:r>
      <w:r>
        <w:rPr>
          <w:i/>
          <w:color w:val="231F20"/>
          <w:sz w:val="13"/>
        </w:rPr>
        <w:t xml:space="preserve">Psycho- Criminological Approaches to Stalking Behavior: An International Perspective </w:t>
      </w:r>
      <w:r>
        <w:rPr>
          <w:color w:val="231F20"/>
          <w:sz w:val="13"/>
        </w:rPr>
        <w:t xml:space="preserve">(John Wiley and Sons, 2020) </w:t>
      </w:r>
      <w:r>
        <w:rPr>
          <w:color w:val="231F20"/>
          <w:spacing w:val="3"/>
          <w:sz w:val="13"/>
        </w:rPr>
        <w:t xml:space="preserve">115, </w:t>
      </w:r>
      <w:r>
        <w:rPr>
          <w:color w:val="231F20"/>
          <w:sz w:val="13"/>
        </w:rPr>
        <w:t xml:space="preserve">132; </w:t>
      </w:r>
      <w:r>
        <w:rPr>
          <w:color w:val="231F20"/>
          <w:spacing w:val="-3"/>
          <w:sz w:val="13"/>
        </w:rPr>
        <w:t xml:space="preserve">Troy  </w:t>
      </w:r>
      <w:r>
        <w:rPr>
          <w:color w:val="231F20"/>
          <w:sz w:val="13"/>
        </w:rPr>
        <w:t xml:space="preserve">McEwan,   Paul E Mullen and </w:t>
      </w:r>
      <w:r>
        <w:rPr>
          <w:color w:val="231F20"/>
          <w:spacing w:val="2"/>
          <w:sz w:val="13"/>
        </w:rPr>
        <w:t xml:space="preserve">Rosemary </w:t>
      </w:r>
      <w:r>
        <w:rPr>
          <w:color w:val="231F20"/>
          <w:sz w:val="13"/>
        </w:rPr>
        <w:t xml:space="preserve">Purcell, </w:t>
      </w:r>
      <w:r>
        <w:rPr>
          <w:color w:val="231F20"/>
          <w:spacing w:val="2"/>
          <w:sz w:val="13"/>
        </w:rPr>
        <w:t xml:space="preserve">‘Identifying </w:t>
      </w:r>
      <w:r>
        <w:rPr>
          <w:color w:val="231F20"/>
          <w:sz w:val="13"/>
        </w:rPr>
        <w:t xml:space="preserve">Risk Factors in Stalking: A Review of Current Research’ (2007) </w:t>
      </w:r>
      <w:r>
        <w:rPr>
          <w:color w:val="231F20"/>
          <w:spacing w:val="2"/>
          <w:sz w:val="13"/>
        </w:rPr>
        <w:t xml:space="preserve">30(1) </w:t>
      </w:r>
      <w:r>
        <w:rPr>
          <w:i/>
          <w:color w:val="231F20"/>
          <w:sz w:val="13"/>
        </w:rPr>
        <w:t xml:space="preserve">International Journal of Law and Psychiatry </w:t>
      </w:r>
      <w:r>
        <w:rPr>
          <w:color w:val="231F20"/>
          <w:sz w:val="13"/>
        </w:rPr>
        <w:t xml:space="preserve">1, 2–3; Bronwyn McKeon, </w:t>
      </w:r>
      <w:r>
        <w:rPr>
          <w:color w:val="231F20"/>
          <w:spacing w:val="-3"/>
          <w:sz w:val="13"/>
        </w:rPr>
        <w:t xml:space="preserve">Troy </w:t>
      </w:r>
      <w:r>
        <w:rPr>
          <w:color w:val="231F20"/>
          <w:sz w:val="13"/>
        </w:rPr>
        <w:t xml:space="preserve">E McEwan and Stefan </w:t>
      </w:r>
      <w:r>
        <w:rPr>
          <w:color w:val="231F20"/>
          <w:spacing w:val="2"/>
          <w:sz w:val="13"/>
        </w:rPr>
        <w:t xml:space="preserve">Luebbers, ‘“It’s </w:t>
      </w:r>
      <w:r>
        <w:rPr>
          <w:color w:val="231F20"/>
          <w:sz w:val="13"/>
        </w:rPr>
        <w:t xml:space="preserve">Not Really Stalking If You Know the Person”: Measuring Community Attitudes That Normalize, </w:t>
      </w:r>
      <w:r>
        <w:rPr>
          <w:color w:val="231F20"/>
          <w:spacing w:val="2"/>
          <w:sz w:val="13"/>
        </w:rPr>
        <w:t xml:space="preserve">Justify </w:t>
      </w:r>
      <w:r>
        <w:rPr>
          <w:color w:val="231F20"/>
          <w:sz w:val="13"/>
        </w:rPr>
        <w:t xml:space="preserve">and Minimise Stalking’ (2015) 22(2) </w:t>
      </w:r>
      <w:r>
        <w:rPr>
          <w:i/>
          <w:color w:val="231F20"/>
          <w:sz w:val="13"/>
        </w:rPr>
        <w:t xml:space="preserve">Psychiatry,  Psychology      and Law </w:t>
      </w:r>
      <w:r>
        <w:rPr>
          <w:color w:val="231F20"/>
          <w:sz w:val="13"/>
        </w:rPr>
        <w:t xml:space="preserve">291, 292; Adrian J Scott and Lorraine </w:t>
      </w:r>
      <w:r>
        <w:rPr>
          <w:color w:val="231F20"/>
          <w:spacing w:val="2"/>
          <w:sz w:val="13"/>
        </w:rPr>
        <w:t xml:space="preserve">Sheridan, </w:t>
      </w:r>
      <w:r>
        <w:rPr>
          <w:color w:val="231F20"/>
          <w:sz w:val="13"/>
        </w:rPr>
        <w:t xml:space="preserve">‘“Reasonable” Perceptions of Stalking: The Influence of Conduct Severity and the Perpetrator–Target Relationship’ </w:t>
      </w:r>
      <w:r>
        <w:rPr>
          <w:color w:val="231F20"/>
          <w:spacing w:val="2"/>
          <w:sz w:val="13"/>
        </w:rPr>
        <w:t xml:space="preserve">(2011) </w:t>
      </w:r>
      <w:r>
        <w:rPr>
          <w:color w:val="231F20"/>
          <w:sz w:val="13"/>
        </w:rPr>
        <w:t xml:space="preserve">17(4) </w:t>
      </w:r>
      <w:r>
        <w:rPr>
          <w:i/>
          <w:color w:val="231F20"/>
          <w:sz w:val="13"/>
        </w:rPr>
        <w:t xml:space="preserve">Psychology, Crime and Law </w:t>
      </w:r>
      <w:r>
        <w:rPr>
          <w:color w:val="231F20"/>
          <w:sz w:val="13"/>
        </w:rPr>
        <w:t>331,</w:t>
      </w:r>
      <w:r>
        <w:rPr>
          <w:color w:val="231F20"/>
          <w:spacing w:val="7"/>
          <w:sz w:val="13"/>
        </w:rPr>
        <w:t xml:space="preserve"> </w:t>
      </w:r>
      <w:r>
        <w:rPr>
          <w:color w:val="231F20"/>
          <w:sz w:val="13"/>
        </w:rPr>
        <w:t>332.</w:t>
      </w:r>
    </w:p>
    <w:p w14:paraId="0677828A" w14:textId="77777777" w:rsidR="00894070" w:rsidRDefault="009B7AFD">
      <w:pPr>
        <w:pStyle w:val="ListParagraph"/>
        <w:numPr>
          <w:ilvl w:val="0"/>
          <w:numId w:val="134"/>
        </w:numPr>
        <w:tabs>
          <w:tab w:val="left" w:pos="1801"/>
          <w:tab w:val="left" w:pos="1802"/>
        </w:tabs>
        <w:spacing w:line="213" w:lineRule="auto"/>
        <w:ind w:right="1681"/>
        <w:rPr>
          <w:sz w:val="13"/>
        </w:rPr>
      </w:pPr>
      <w:r>
        <w:rPr>
          <w:color w:val="231F20"/>
          <w:sz w:val="13"/>
        </w:rPr>
        <w:t xml:space="preserve">See Bronwyn McKeon, </w:t>
      </w:r>
      <w:r>
        <w:rPr>
          <w:color w:val="231F20"/>
          <w:spacing w:val="-3"/>
          <w:sz w:val="13"/>
        </w:rPr>
        <w:t xml:space="preserve">Troy </w:t>
      </w:r>
      <w:r>
        <w:rPr>
          <w:color w:val="231F20"/>
          <w:sz w:val="13"/>
        </w:rPr>
        <w:t xml:space="preserve">E </w:t>
      </w:r>
      <w:proofErr w:type="gramStart"/>
      <w:r>
        <w:rPr>
          <w:color w:val="231F20"/>
          <w:sz w:val="13"/>
        </w:rPr>
        <w:t>McEwan</w:t>
      </w:r>
      <w:proofErr w:type="gramEnd"/>
      <w:r>
        <w:rPr>
          <w:color w:val="231F20"/>
          <w:sz w:val="13"/>
        </w:rPr>
        <w:t xml:space="preserve"> and Stefan </w:t>
      </w:r>
      <w:r>
        <w:rPr>
          <w:color w:val="231F20"/>
          <w:spacing w:val="2"/>
          <w:sz w:val="13"/>
        </w:rPr>
        <w:t xml:space="preserve">Luebbers, ‘“It’s </w:t>
      </w:r>
      <w:r>
        <w:rPr>
          <w:color w:val="231F20"/>
          <w:sz w:val="13"/>
        </w:rPr>
        <w:t>Not Really Stalking If You Know the Person”: Measuring Community</w:t>
      </w:r>
      <w:r>
        <w:rPr>
          <w:color w:val="231F20"/>
          <w:spacing w:val="8"/>
          <w:sz w:val="13"/>
        </w:rPr>
        <w:t xml:space="preserve"> </w:t>
      </w:r>
      <w:r>
        <w:rPr>
          <w:color w:val="231F20"/>
          <w:sz w:val="13"/>
        </w:rPr>
        <w:t>Attitudes</w:t>
      </w:r>
      <w:r>
        <w:rPr>
          <w:color w:val="231F20"/>
          <w:spacing w:val="8"/>
          <w:sz w:val="13"/>
        </w:rPr>
        <w:t xml:space="preserve"> </w:t>
      </w:r>
      <w:r>
        <w:rPr>
          <w:color w:val="231F20"/>
          <w:sz w:val="13"/>
        </w:rPr>
        <w:t>That</w:t>
      </w:r>
      <w:r>
        <w:rPr>
          <w:color w:val="231F20"/>
          <w:spacing w:val="8"/>
          <w:sz w:val="13"/>
        </w:rPr>
        <w:t xml:space="preserve"> </w:t>
      </w:r>
      <w:r>
        <w:rPr>
          <w:color w:val="231F20"/>
          <w:sz w:val="13"/>
        </w:rPr>
        <w:t>Normalize,</w:t>
      </w:r>
      <w:r>
        <w:rPr>
          <w:color w:val="231F20"/>
          <w:spacing w:val="8"/>
          <w:sz w:val="13"/>
        </w:rPr>
        <w:t xml:space="preserve"> </w:t>
      </w:r>
      <w:r>
        <w:rPr>
          <w:color w:val="231F20"/>
          <w:spacing w:val="2"/>
          <w:sz w:val="13"/>
        </w:rPr>
        <w:t>Justify</w:t>
      </w:r>
      <w:r>
        <w:rPr>
          <w:color w:val="231F20"/>
          <w:spacing w:val="9"/>
          <w:sz w:val="13"/>
        </w:rPr>
        <w:t xml:space="preserve"> </w:t>
      </w:r>
      <w:r>
        <w:rPr>
          <w:color w:val="231F20"/>
          <w:sz w:val="13"/>
        </w:rPr>
        <w:t>and</w:t>
      </w:r>
      <w:r>
        <w:rPr>
          <w:color w:val="231F20"/>
          <w:spacing w:val="8"/>
          <w:sz w:val="13"/>
        </w:rPr>
        <w:t xml:space="preserve"> </w:t>
      </w:r>
      <w:r>
        <w:rPr>
          <w:color w:val="231F20"/>
          <w:sz w:val="13"/>
        </w:rPr>
        <w:t>Minimise</w:t>
      </w:r>
      <w:r>
        <w:rPr>
          <w:color w:val="231F20"/>
          <w:spacing w:val="8"/>
          <w:sz w:val="13"/>
        </w:rPr>
        <w:t xml:space="preserve"> </w:t>
      </w:r>
      <w:r>
        <w:rPr>
          <w:color w:val="231F20"/>
          <w:sz w:val="13"/>
        </w:rPr>
        <w:t>Stalking’</w:t>
      </w:r>
      <w:r>
        <w:rPr>
          <w:color w:val="231F20"/>
          <w:spacing w:val="8"/>
          <w:sz w:val="13"/>
        </w:rPr>
        <w:t xml:space="preserve"> </w:t>
      </w:r>
      <w:r>
        <w:rPr>
          <w:color w:val="231F20"/>
          <w:sz w:val="13"/>
        </w:rPr>
        <w:t>(2015)</w:t>
      </w:r>
      <w:r>
        <w:rPr>
          <w:color w:val="231F20"/>
          <w:spacing w:val="9"/>
          <w:sz w:val="13"/>
        </w:rPr>
        <w:t xml:space="preserve"> </w:t>
      </w:r>
      <w:r>
        <w:rPr>
          <w:color w:val="231F20"/>
          <w:sz w:val="13"/>
        </w:rPr>
        <w:t>22(2)</w:t>
      </w:r>
      <w:r>
        <w:rPr>
          <w:color w:val="231F20"/>
          <w:spacing w:val="8"/>
          <w:sz w:val="13"/>
        </w:rPr>
        <w:t xml:space="preserve"> </w:t>
      </w:r>
      <w:r>
        <w:rPr>
          <w:i/>
          <w:color w:val="231F20"/>
          <w:sz w:val="13"/>
        </w:rPr>
        <w:t>Psychiatry,</w:t>
      </w:r>
      <w:r>
        <w:rPr>
          <w:i/>
          <w:color w:val="231F20"/>
          <w:spacing w:val="8"/>
          <w:sz w:val="13"/>
        </w:rPr>
        <w:t xml:space="preserve"> </w:t>
      </w:r>
      <w:r>
        <w:rPr>
          <w:i/>
          <w:color w:val="231F20"/>
          <w:sz w:val="13"/>
        </w:rPr>
        <w:t>Psychology</w:t>
      </w:r>
      <w:r>
        <w:rPr>
          <w:i/>
          <w:color w:val="231F20"/>
          <w:spacing w:val="8"/>
          <w:sz w:val="13"/>
        </w:rPr>
        <w:t xml:space="preserve"> </w:t>
      </w:r>
      <w:r>
        <w:rPr>
          <w:i/>
          <w:color w:val="231F20"/>
          <w:sz w:val="13"/>
        </w:rPr>
        <w:t>and</w:t>
      </w:r>
      <w:r>
        <w:rPr>
          <w:i/>
          <w:color w:val="231F20"/>
          <w:spacing w:val="8"/>
          <w:sz w:val="13"/>
        </w:rPr>
        <w:t xml:space="preserve"> </w:t>
      </w:r>
      <w:r>
        <w:rPr>
          <w:i/>
          <w:color w:val="231F20"/>
          <w:sz w:val="13"/>
        </w:rPr>
        <w:t>Law</w:t>
      </w:r>
      <w:r>
        <w:rPr>
          <w:i/>
          <w:color w:val="231F20"/>
          <w:spacing w:val="8"/>
          <w:sz w:val="13"/>
        </w:rPr>
        <w:t xml:space="preserve"> </w:t>
      </w:r>
      <w:r>
        <w:rPr>
          <w:color w:val="231F20"/>
          <w:sz w:val="13"/>
        </w:rPr>
        <w:t>291,</w:t>
      </w:r>
      <w:r>
        <w:rPr>
          <w:color w:val="231F20"/>
          <w:spacing w:val="8"/>
          <w:sz w:val="13"/>
        </w:rPr>
        <w:t xml:space="preserve"> </w:t>
      </w:r>
      <w:r>
        <w:rPr>
          <w:color w:val="231F20"/>
          <w:sz w:val="13"/>
        </w:rPr>
        <w:t>297.</w:t>
      </w:r>
    </w:p>
    <w:p w14:paraId="31D78B80" w14:textId="77777777" w:rsidR="00894070" w:rsidRDefault="009F6793">
      <w:pPr>
        <w:pStyle w:val="ListParagraph"/>
        <w:numPr>
          <w:ilvl w:val="0"/>
          <w:numId w:val="134"/>
        </w:numPr>
        <w:tabs>
          <w:tab w:val="left" w:pos="1800"/>
          <w:tab w:val="left" w:pos="1802"/>
        </w:tabs>
        <w:spacing w:line="213" w:lineRule="auto"/>
        <w:ind w:right="1259"/>
        <w:rPr>
          <w:sz w:val="13"/>
        </w:rPr>
      </w:pPr>
      <w:r>
        <w:pict w14:anchorId="0A298272">
          <v:shape id="_x0000_s1499" type="#_x0000_t202" style="position:absolute;left:0;text-align:left;margin-left:36pt;margin-top:19.4pt;width:13.9pt;height:14.1pt;z-index:251613184;mso-position-horizontal-relative:page" filled="f" stroked="f">
            <v:textbox inset="0,0,0,0">
              <w:txbxContent>
                <w:p w14:paraId="382954A7" w14:textId="77777777" w:rsidR="00894070" w:rsidRDefault="009B7AFD">
                  <w:pPr>
                    <w:spacing w:line="282" w:lineRule="exact"/>
                    <w:rPr>
                      <w:b/>
                      <w:sz w:val="24"/>
                    </w:rPr>
                  </w:pPr>
                  <w:r>
                    <w:rPr>
                      <w:b/>
                      <w:color w:val="EA5B50"/>
                      <w:sz w:val="24"/>
                    </w:rPr>
                    <w:t>58</w:t>
                  </w:r>
                </w:p>
              </w:txbxContent>
            </v:textbox>
            <w10:wrap anchorx="page"/>
          </v:shape>
        </w:pict>
      </w:r>
      <w:r w:rsidR="009B7AFD">
        <w:rPr>
          <w:color w:val="231F20"/>
          <w:sz w:val="13"/>
        </w:rPr>
        <w:t xml:space="preserve">Lise Linn </w:t>
      </w:r>
      <w:r w:rsidR="009B7AFD">
        <w:rPr>
          <w:color w:val="231F20"/>
          <w:spacing w:val="2"/>
          <w:sz w:val="13"/>
        </w:rPr>
        <w:t xml:space="preserve">Larsen, </w:t>
      </w:r>
      <w:r w:rsidR="009B7AFD">
        <w:rPr>
          <w:color w:val="231F20"/>
          <w:sz w:val="13"/>
        </w:rPr>
        <w:t xml:space="preserve">Dianna Bomholt and Helle Hundahl, </w:t>
      </w:r>
      <w:r w:rsidR="009B7AFD">
        <w:rPr>
          <w:color w:val="231F20"/>
          <w:spacing w:val="2"/>
          <w:sz w:val="13"/>
        </w:rPr>
        <w:t xml:space="preserve">‘Stalking </w:t>
      </w:r>
      <w:r w:rsidR="009B7AFD">
        <w:rPr>
          <w:color w:val="231F20"/>
          <w:sz w:val="13"/>
        </w:rPr>
        <w:t xml:space="preserve">as a </w:t>
      </w:r>
      <w:r w:rsidR="009B7AFD">
        <w:rPr>
          <w:color w:val="231F20"/>
          <w:spacing w:val="2"/>
          <w:sz w:val="13"/>
        </w:rPr>
        <w:t xml:space="preserve">Phenomenon </w:t>
      </w:r>
      <w:r w:rsidR="009B7AFD">
        <w:rPr>
          <w:color w:val="231F20"/>
          <w:sz w:val="13"/>
        </w:rPr>
        <w:t>in a Danish Context’ in Heng Choon (</w:t>
      </w:r>
      <w:proofErr w:type="gramStart"/>
      <w:r w:rsidR="009B7AFD">
        <w:rPr>
          <w:color w:val="231F20"/>
          <w:sz w:val="13"/>
        </w:rPr>
        <w:t>Oliver)  Chan</w:t>
      </w:r>
      <w:proofErr w:type="gramEnd"/>
      <w:r w:rsidR="009B7AFD">
        <w:rPr>
          <w:color w:val="231F20"/>
          <w:sz w:val="13"/>
        </w:rPr>
        <w:t xml:space="preserve"> and Lorraine </w:t>
      </w:r>
      <w:r w:rsidR="009B7AFD">
        <w:rPr>
          <w:color w:val="231F20"/>
          <w:spacing w:val="2"/>
          <w:sz w:val="13"/>
        </w:rPr>
        <w:t xml:space="preserve">Sheridan </w:t>
      </w:r>
      <w:r w:rsidR="009B7AFD">
        <w:rPr>
          <w:color w:val="231F20"/>
          <w:sz w:val="13"/>
        </w:rPr>
        <w:t xml:space="preserve">(eds), </w:t>
      </w:r>
      <w:r w:rsidR="009B7AFD">
        <w:rPr>
          <w:i/>
          <w:color w:val="231F20"/>
          <w:sz w:val="13"/>
        </w:rPr>
        <w:t xml:space="preserve">Psycho-Criminological Approaches to Stalking Behavior: International Perspectives </w:t>
      </w:r>
      <w:r w:rsidR="009B7AFD">
        <w:rPr>
          <w:color w:val="231F20"/>
          <w:sz w:val="13"/>
        </w:rPr>
        <w:t xml:space="preserve">(John Wiley and Sons, 2020) </w:t>
      </w:r>
      <w:r w:rsidR="009B7AFD">
        <w:rPr>
          <w:color w:val="231F20"/>
          <w:spacing w:val="2"/>
          <w:sz w:val="13"/>
        </w:rPr>
        <w:t xml:space="preserve">195, </w:t>
      </w:r>
      <w:r w:rsidR="009B7AFD">
        <w:rPr>
          <w:color w:val="231F20"/>
          <w:sz w:val="13"/>
        </w:rPr>
        <w:t xml:space="preserve">201; Victorian Law Reform </w:t>
      </w:r>
      <w:r w:rsidR="009B7AFD">
        <w:rPr>
          <w:color w:val="231F20"/>
          <w:spacing w:val="2"/>
          <w:sz w:val="13"/>
        </w:rPr>
        <w:t xml:space="preserve">Commission, </w:t>
      </w:r>
      <w:r w:rsidR="009B7AFD">
        <w:rPr>
          <w:i/>
          <w:color w:val="231F20"/>
          <w:sz w:val="13"/>
        </w:rPr>
        <w:t xml:space="preserve">Stalking: </w:t>
      </w:r>
      <w:r w:rsidR="009B7AFD">
        <w:rPr>
          <w:i/>
          <w:color w:val="231F20"/>
          <w:spacing w:val="2"/>
          <w:sz w:val="13"/>
        </w:rPr>
        <w:t xml:space="preserve">Summary </w:t>
      </w:r>
      <w:r w:rsidR="009B7AFD">
        <w:rPr>
          <w:i/>
          <w:color w:val="231F20"/>
          <w:sz w:val="13"/>
        </w:rPr>
        <w:t xml:space="preserve">of Responses to Online Feedback Form from  People with </w:t>
      </w:r>
      <w:r w:rsidR="009B7AFD">
        <w:rPr>
          <w:i/>
          <w:color w:val="231F20"/>
          <w:spacing w:val="2"/>
          <w:sz w:val="13"/>
        </w:rPr>
        <w:t xml:space="preserve">Experience </w:t>
      </w:r>
      <w:r w:rsidR="009B7AFD">
        <w:rPr>
          <w:i/>
          <w:color w:val="231F20"/>
          <w:sz w:val="13"/>
        </w:rPr>
        <w:t xml:space="preserve">of Stalking </w:t>
      </w:r>
      <w:r w:rsidR="009B7AFD">
        <w:rPr>
          <w:color w:val="231F20"/>
          <w:spacing w:val="2"/>
          <w:sz w:val="13"/>
        </w:rPr>
        <w:t xml:space="preserve">(Report, </w:t>
      </w:r>
      <w:r w:rsidR="009B7AFD">
        <w:rPr>
          <w:color w:val="231F20"/>
          <w:sz w:val="13"/>
        </w:rPr>
        <w:t xml:space="preserve">August 2021); </w:t>
      </w:r>
      <w:r w:rsidR="009B7AFD">
        <w:rPr>
          <w:color w:val="231F20"/>
          <w:spacing w:val="2"/>
          <w:sz w:val="13"/>
        </w:rPr>
        <w:t xml:space="preserve">Submission </w:t>
      </w:r>
      <w:r w:rsidR="009B7AFD">
        <w:rPr>
          <w:color w:val="231F20"/>
          <w:sz w:val="13"/>
        </w:rPr>
        <w:t>32 (Centre for Forensic Behavioural</w:t>
      </w:r>
      <w:r w:rsidR="009B7AFD">
        <w:rPr>
          <w:color w:val="231F20"/>
          <w:spacing w:val="29"/>
          <w:sz w:val="13"/>
        </w:rPr>
        <w:t xml:space="preserve"> </w:t>
      </w:r>
      <w:r w:rsidR="009B7AFD">
        <w:rPr>
          <w:color w:val="231F20"/>
          <w:sz w:val="13"/>
        </w:rPr>
        <w:t>Science).</w:t>
      </w:r>
    </w:p>
    <w:p w14:paraId="350F7D26" w14:textId="77777777" w:rsidR="00894070" w:rsidRDefault="00894070">
      <w:pPr>
        <w:spacing w:line="213" w:lineRule="auto"/>
        <w:rPr>
          <w:sz w:val="13"/>
        </w:rPr>
        <w:sectPr w:rsidR="00894070">
          <w:pgSz w:w="11910" w:h="16840"/>
          <w:pgMar w:top="860" w:right="420" w:bottom="280" w:left="580" w:header="567" w:footer="0" w:gutter="0"/>
          <w:cols w:space="720"/>
        </w:sectPr>
      </w:pPr>
    </w:p>
    <w:p w14:paraId="2E40F7DE" w14:textId="77777777" w:rsidR="00894070" w:rsidRDefault="00894070">
      <w:pPr>
        <w:pStyle w:val="BodyText"/>
      </w:pPr>
    </w:p>
    <w:p w14:paraId="0D71CA0E" w14:textId="77777777" w:rsidR="00894070" w:rsidRDefault="00894070">
      <w:pPr>
        <w:pStyle w:val="BodyText"/>
      </w:pPr>
    </w:p>
    <w:p w14:paraId="61613CB9" w14:textId="77777777" w:rsidR="00894070" w:rsidRDefault="00894070">
      <w:pPr>
        <w:pStyle w:val="BodyText"/>
      </w:pPr>
    </w:p>
    <w:p w14:paraId="6A63638A" w14:textId="77777777" w:rsidR="00894070" w:rsidRDefault="00894070">
      <w:pPr>
        <w:pStyle w:val="BodyText"/>
        <w:spacing w:before="6"/>
        <w:rPr>
          <w:sz w:val="14"/>
        </w:rPr>
      </w:pPr>
    </w:p>
    <w:p w14:paraId="01EE9947" w14:textId="77777777" w:rsidR="00894070" w:rsidRDefault="009B7AFD">
      <w:pPr>
        <w:pStyle w:val="Heading8"/>
        <w:spacing w:before="49"/>
        <w:ind w:left="1007"/>
      </w:pPr>
      <w:bookmarkStart w:id="79" w:name="Current_sources_of_information_are_limit"/>
      <w:bookmarkStart w:id="80" w:name="_bookmark41"/>
      <w:bookmarkEnd w:id="79"/>
      <w:bookmarkEnd w:id="80"/>
      <w:r>
        <w:rPr>
          <w:color w:val="231F20"/>
        </w:rPr>
        <w:t>People who experience stalking may feel alone</w:t>
      </w:r>
    </w:p>
    <w:p w14:paraId="397ADABC" w14:textId="77777777" w:rsidR="00894070" w:rsidRDefault="009F6793">
      <w:pPr>
        <w:pStyle w:val="BodyText"/>
        <w:spacing w:before="10"/>
        <w:rPr>
          <w:b/>
          <w:sz w:val="19"/>
        </w:rPr>
      </w:pPr>
      <w:r>
        <w:pict w14:anchorId="757E031D">
          <v:shape id="_x0000_s1498" type="#_x0000_t202" style="position:absolute;margin-left:79.6pt;margin-top:15.9pt;width:436.55pt;height:80.1pt;z-index:251537408;mso-wrap-distance-left:0;mso-wrap-distance-right:0;mso-position-horizontal-relative:page" fillcolor="#fee7de" strokecolor="#ea5b50" strokeweight=".5pt">
            <v:textbox inset="0,0,0,0">
              <w:txbxContent>
                <w:p w14:paraId="5BE20032" w14:textId="77777777" w:rsidR="00894070" w:rsidRDefault="00894070">
                  <w:pPr>
                    <w:pStyle w:val="BodyText"/>
                    <w:spacing w:before="3"/>
                    <w:rPr>
                      <w:b/>
                      <w:sz w:val="15"/>
                    </w:rPr>
                  </w:pPr>
                </w:p>
                <w:p w14:paraId="082E5768" w14:textId="77777777" w:rsidR="00894070" w:rsidRDefault="009B7AFD">
                  <w:pPr>
                    <w:pStyle w:val="BodyText"/>
                    <w:spacing w:line="206" w:lineRule="auto"/>
                    <w:ind w:left="221" w:right="252"/>
                    <w:rPr>
                      <w:sz w:val="11"/>
                    </w:rPr>
                  </w:pPr>
                  <w:r>
                    <w:rPr>
                      <w:color w:val="231F20"/>
                    </w:rPr>
                    <w:t>I</w:t>
                  </w:r>
                  <w:r>
                    <w:rPr>
                      <w:color w:val="231F20"/>
                      <w:spacing w:val="-4"/>
                    </w:rPr>
                    <w:t xml:space="preserve"> </w:t>
                  </w:r>
                  <w:r>
                    <w:rPr>
                      <w:color w:val="231F20"/>
                    </w:rPr>
                    <w:t>talked</w:t>
                  </w:r>
                  <w:r>
                    <w:rPr>
                      <w:color w:val="231F20"/>
                      <w:spacing w:val="-4"/>
                    </w:rPr>
                    <w:t xml:space="preserve"> </w:t>
                  </w:r>
                  <w:r>
                    <w:rPr>
                      <w:color w:val="231F20"/>
                    </w:rPr>
                    <w:t>to</w:t>
                  </w:r>
                  <w:r>
                    <w:rPr>
                      <w:color w:val="231F20"/>
                      <w:spacing w:val="-4"/>
                    </w:rPr>
                    <w:t xml:space="preserve"> </w:t>
                  </w:r>
                  <w:r>
                    <w:rPr>
                      <w:color w:val="231F20"/>
                      <w:spacing w:val="-3"/>
                    </w:rPr>
                    <w:t>my</w:t>
                  </w:r>
                  <w:r>
                    <w:rPr>
                      <w:color w:val="231F20"/>
                      <w:spacing w:val="-4"/>
                    </w:rPr>
                    <w:t xml:space="preserve"> </w:t>
                  </w:r>
                  <w:r>
                    <w:rPr>
                      <w:color w:val="231F20"/>
                    </w:rPr>
                    <w:t>partner</w:t>
                  </w:r>
                  <w:r>
                    <w:rPr>
                      <w:color w:val="231F20"/>
                      <w:spacing w:val="-4"/>
                    </w:rPr>
                    <w:t xml:space="preserve"> </w:t>
                  </w:r>
                  <w:r>
                    <w:rPr>
                      <w:color w:val="231F20"/>
                    </w:rPr>
                    <w:t>and</w:t>
                  </w:r>
                  <w:r>
                    <w:rPr>
                      <w:color w:val="231F20"/>
                      <w:spacing w:val="-4"/>
                    </w:rPr>
                    <w:t xml:space="preserve"> </w:t>
                  </w:r>
                  <w:r>
                    <w:rPr>
                      <w:color w:val="231F20"/>
                    </w:rPr>
                    <w:t>our</w:t>
                  </w:r>
                  <w:r>
                    <w:rPr>
                      <w:color w:val="231F20"/>
                      <w:spacing w:val="-4"/>
                    </w:rPr>
                    <w:t xml:space="preserve"> </w:t>
                  </w:r>
                  <w:r>
                    <w:rPr>
                      <w:color w:val="231F20"/>
                    </w:rPr>
                    <w:t>friends.</w:t>
                  </w:r>
                  <w:r>
                    <w:rPr>
                      <w:color w:val="231F20"/>
                      <w:spacing w:val="-4"/>
                    </w:rPr>
                    <w:t xml:space="preserve"> </w:t>
                  </w:r>
                  <w:r>
                    <w:rPr>
                      <w:color w:val="231F20"/>
                    </w:rPr>
                    <w:t>No-one</w:t>
                  </w:r>
                  <w:r>
                    <w:rPr>
                      <w:color w:val="231F20"/>
                      <w:spacing w:val="-4"/>
                    </w:rPr>
                    <w:t xml:space="preserve"> </w:t>
                  </w:r>
                  <w:r>
                    <w:rPr>
                      <w:color w:val="231F20"/>
                    </w:rPr>
                    <w:t>took</w:t>
                  </w:r>
                  <w:r>
                    <w:rPr>
                      <w:color w:val="231F20"/>
                      <w:spacing w:val="-4"/>
                    </w:rPr>
                    <w:t xml:space="preserve"> </w:t>
                  </w:r>
                  <w:r>
                    <w:rPr>
                      <w:color w:val="231F20"/>
                    </w:rPr>
                    <w:t>what</w:t>
                  </w:r>
                  <w:r>
                    <w:rPr>
                      <w:color w:val="231F20"/>
                      <w:spacing w:val="-4"/>
                    </w:rPr>
                    <w:t xml:space="preserve"> </w:t>
                  </w:r>
                  <w:r>
                    <w:rPr>
                      <w:color w:val="231F20"/>
                    </w:rPr>
                    <w:t>I</w:t>
                  </w:r>
                  <w:r>
                    <w:rPr>
                      <w:color w:val="231F20"/>
                      <w:spacing w:val="-4"/>
                    </w:rPr>
                    <w:t xml:space="preserve"> </w:t>
                  </w:r>
                  <w:r>
                    <w:rPr>
                      <w:color w:val="231F20"/>
                    </w:rPr>
                    <w:t>said</w:t>
                  </w:r>
                  <w:r>
                    <w:rPr>
                      <w:color w:val="231F20"/>
                      <w:spacing w:val="-4"/>
                    </w:rPr>
                    <w:t xml:space="preserve"> </w:t>
                  </w:r>
                  <w:r>
                    <w:rPr>
                      <w:color w:val="231F20"/>
                    </w:rPr>
                    <w:t>seriously.</w:t>
                  </w:r>
                  <w:r>
                    <w:rPr>
                      <w:color w:val="231F20"/>
                      <w:spacing w:val="-4"/>
                    </w:rPr>
                    <w:t xml:space="preserve"> </w:t>
                  </w:r>
                  <w:r>
                    <w:rPr>
                      <w:color w:val="231F20"/>
                    </w:rPr>
                    <w:t>They</w:t>
                  </w:r>
                  <w:r>
                    <w:rPr>
                      <w:color w:val="231F20"/>
                      <w:spacing w:val="-4"/>
                    </w:rPr>
                    <w:t xml:space="preserve"> </w:t>
                  </w:r>
                  <w:r>
                    <w:rPr>
                      <w:color w:val="231F20"/>
                    </w:rPr>
                    <w:t>thought</w:t>
                  </w:r>
                  <w:r>
                    <w:rPr>
                      <w:color w:val="231F20"/>
                      <w:spacing w:val="-4"/>
                    </w:rPr>
                    <w:t xml:space="preserve"> </w:t>
                  </w:r>
                  <w:r>
                    <w:rPr>
                      <w:color w:val="231F20"/>
                    </w:rPr>
                    <w:t xml:space="preserve">her behaviour was </w:t>
                  </w:r>
                  <w:r>
                    <w:rPr>
                      <w:color w:val="231F20"/>
                      <w:spacing w:val="-3"/>
                    </w:rPr>
                    <w:t xml:space="preserve">funny. </w:t>
                  </w:r>
                  <w:r>
                    <w:rPr>
                      <w:color w:val="231F20"/>
                    </w:rPr>
                    <w:t xml:space="preserve">No-one did anything. That was almost as distressing as the stalking. I felt so stupid. I felt like I was overreacting and being silly … Once I fell apart, everyone took me seriously. I felt like it shouldn’t </w:t>
                  </w:r>
                  <w:r>
                    <w:rPr>
                      <w:color w:val="231F20"/>
                      <w:spacing w:val="-3"/>
                    </w:rPr>
                    <w:t xml:space="preserve">have </w:t>
                  </w:r>
                  <w:r>
                    <w:rPr>
                      <w:color w:val="231F20"/>
                    </w:rPr>
                    <w:t xml:space="preserve">gone that far and that I shouldn’t </w:t>
                  </w:r>
                  <w:r>
                    <w:rPr>
                      <w:color w:val="231F20"/>
                      <w:spacing w:val="-3"/>
                    </w:rPr>
                    <w:t xml:space="preserve">have </w:t>
                  </w:r>
                  <w:r>
                    <w:rPr>
                      <w:color w:val="231F20"/>
                    </w:rPr>
                    <w:t>had to fall apart for someone to do</w:t>
                  </w:r>
                  <w:r>
                    <w:rPr>
                      <w:color w:val="231F20"/>
                      <w:spacing w:val="-12"/>
                    </w:rPr>
                    <w:t xml:space="preserve"> </w:t>
                  </w:r>
                  <w:r>
                    <w:rPr>
                      <w:color w:val="231F20"/>
                    </w:rPr>
                    <w:t>something.</w:t>
                  </w:r>
                  <w:r>
                    <w:rPr>
                      <w:color w:val="231F20"/>
                      <w:position w:val="7"/>
                      <w:sz w:val="11"/>
                    </w:rPr>
                    <w:t>34</w:t>
                  </w:r>
                </w:p>
              </w:txbxContent>
            </v:textbox>
            <w10:wrap type="topAndBottom" anchorx="page"/>
          </v:shape>
        </w:pict>
      </w:r>
    </w:p>
    <w:p w14:paraId="39264301" w14:textId="77777777" w:rsidR="00894070" w:rsidRDefault="00894070">
      <w:pPr>
        <w:pStyle w:val="BodyText"/>
        <w:spacing w:before="6"/>
        <w:rPr>
          <w:b/>
          <w:sz w:val="19"/>
        </w:rPr>
      </w:pPr>
    </w:p>
    <w:p w14:paraId="0BE54CA4" w14:textId="77777777" w:rsidR="00894070" w:rsidRDefault="009B7AFD">
      <w:pPr>
        <w:pStyle w:val="ListParagraph"/>
        <w:numPr>
          <w:ilvl w:val="1"/>
          <w:numId w:val="177"/>
        </w:numPr>
        <w:tabs>
          <w:tab w:val="left" w:pos="1801"/>
          <w:tab w:val="left" w:pos="1802"/>
        </w:tabs>
        <w:spacing w:before="89" w:line="206" w:lineRule="auto"/>
        <w:ind w:right="1221"/>
        <w:rPr>
          <w:sz w:val="20"/>
        </w:rPr>
      </w:pPr>
      <w:r>
        <w:rPr>
          <w:color w:val="231F20"/>
          <w:spacing w:val="-3"/>
          <w:sz w:val="20"/>
        </w:rPr>
        <w:t>People</w:t>
      </w:r>
      <w:r>
        <w:rPr>
          <w:color w:val="231F20"/>
          <w:spacing w:val="-8"/>
          <w:sz w:val="20"/>
        </w:rPr>
        <w:t xml:space="preserve"> </w:t>
      </w:r>
      <w:r>
        <w:rPr>
          <w:color w:val="231F20"/>
          <w:sz w:val="20"/>
        </w:rPr>
        <w:t>who</w:t>
      </w:r>
      <w:r>
        <w:rPr>
          <w:color w:val="231F20"/>
          <w:spacing w:val="-8"/>
          <w:sz w:val="20"/>
        </w:rPr>
        <w:t xml:space="preserve"> </w:t>
      </w:r>
      <w:r>
        <w:rPr>
          <w:color w:val="231F20"/>
          <w:spacing w:val="-3"/>
          <w:sz w:val="20"/>
        </w:rPr>
        <w:t>are</w:t>
      </w:r>
      <w:r>
        <w:rPr>
          <w:color w:val="231F20"/>
          <w:spacing w:val="-8"/>
          <w:sz w:val="20"/>
        </w:rPr>
        <w:t xml:space="preserve"> </w:t>
      </w:r>
      <w:r>
        <w:rPr>
          <w:color w:val="231F20"/>
          <w:spacing w:val="-3"/>
          <w:sz w:val="20"/>
        </w:rPr>
        <w:t>stalked</w:t>
      </w:r>
      <w:r>
        <w:rPr>
          <w:color w:val="231F20"/>
          <w:spacing w:val="-7"/>
          <w:sz w:val="20"/>
        </w:rPr>
        <w:t xml:space="preserve"> </w:t>
      </w:r>
      <w:r>
        <w:rPr>
          <w:color w:val="231F20"/>
          <w:spacing w:val="-3"/>
          <w:sz w:val="20"/>
        </w:rPr>
        <w:t>may</w:t>
      </w:r>
      <w:r>
        <w:rPr>
          <w:color w:val="231F20"/>
          <w:spacing w:val="-8"/>
          <w:sz w:val="20"/>
        </w:rPr>
        <w:t xml:space="preserve"> </w:t>
      </w:r>
      <w:r>
        <w:rPr>
          <w:color w:val="231F20"/>
          <w:spacing w:val="-3"/>
          <w:sz w:val="20"/>
        </w:rPr>
        <w:t>feel</w:t>
      </w:r>
      <w:r>
        <w:rPr>
          <w:color w:val="231F20"/>
          <w:spacing w:val="-8"/>
          <w:sz w:val="20"/>
        </w:rPr>
        <w:t xml:space="preserve"> </w:t>
      </w:r>
      <w:r>
        <w:rPr>
          <w:color w:val="231F20"/>
          <w:spacing w:val="-3"/>
          <w:sz w:val="20"/>
        </w:rPr>
        <w:t>alone.</w:t>
      </w:r>
      <w:r>
        <w:rPr>
          <w:color w:val="231F20"/>
          <w:spacing w:val="-7"/>
          <w:sz w:val="20"/>
        </w:rPr>
        <w:t xml:space="preserve"> </w:t>
      </w:r>
      <w:r>
        <w:rPr>
          <w:color w:val="231F20"/>
          <w:spacing w:val="-3"/>
          <w:sz w:val="20"/>
        </w:rPr>
        <w:t>They</w:t>
      </w:r>
      <w:r>
        <w:rPr>
          <w:color w:val="231F20"/>
          <w:spacing w:val="-8"/>
          <w:sz w:val="20"/>
        </w:rPr>
        <w:t xml:space="preserve"> </w:t>
      </w:r>
      <w:r>
        <w:rPr>
          <w:color w:val="231F20"/>
          <w:spacing w:val="-3"/>
          <w:sz w:val="20"/>
        </w:rPr>
        <w:t>may</w:t>
      </w:r>
      <w:r>
        <w:rPr>
          <w:color w:val="231F20"/>
          <w:spacing w:val="-8"/>
          <w:sz w:val="20"/>
        </w:rPr>
        <w:t xml:space="preserve"> </w:t>
      </w:r>
      <w:r>
        <w:rPr>
          <w:color w:val="231F20"/>
          <w:spacing w:val="-2"/>
          <w:sz w:val="20"/>
        </w:rPr>
        <w:t>not</w:t>
      </w:r>
      <w:r>
        <w:rPr>
          <w:color w:val="231F20"/>
          <w:spacing w:val="-7"/>
          <w:sz w:val="20"/>
        </w:rPr>
        <w:t xml:space="preserve"> </w:t>
      </w:r>
      <w:r>
        <w:rPr>
          <w:color w:val="231F20"/>
          <w:sz w:val="20"/>
        </w:rPr>
        <w:t>understand</w:t>
      </w:r>
      <w:r>
        <w:rPr>
          <w:color w:val="231F20"/>
          <w:spacing w:val="-8"/>
          <w:sz w:val="20"/>
        </w:rPr>
        <w:t xml:space="preserve"> </w:t>
      </w:r>
      <w:r>
        <w:rPr>
          <w:color w:val="231F20"/>
          <w:spacing w:val="-3"/>
          <w:sz w:val="20"/>
        </w:rPr>
        <w:t>what</w:t>
      </w:r>
      <w:r>
        <w:rPr>
          <w:color w:val="231F20"/>
          <w:spacing w:val="-8"/>
          <w:sz w:val="20"/>
        </w:rPr>
        <w:t xml:space="preserve"> </w:t>
      </w:r>
      <w:r>
        <w:rPr>
          <w:color w:val="231F20"/>
          <w:sz w:val="20"/>
        </w:rPr>
        <w:t>is</w:t>
      </w:r>
      <w:r>
        <w:rPr>
          <w:color w:val="231F20"/>
          <w:spacing w:val="-7"/>
          <w:sz w:val="20"/>
        </w:rPr>
        <w:t xml:space="preserve"> </w:t>
      </w:r>
      <w:r>
        <w:rPr>
          <w:color w:val="231F20"/>
          <w:sz w:val="20"/>
        </w:rPr>
        <w:t>happening</w:t>
      </w:r>
      <w:r>
        <w:rPr>
          <w:color w:val="231F20"/>
          <w:spacing w:val="-8"/>
          <w:sz w:val="20"/>
        </w:rPr>
        <w:t xml:space="preserve"> </w:t>
      </w:r>
      <w:r>
        <w:rPr>
          <w:color w:val="231F20"/>
          <w:spacing w:val="-3"/>
          <w:sz w:val="20"/>
        </w:rPr>
        <w:t xml:space="preserve">to </w:t>
      </w:r>
      <w:r>
        <w:rPr>
          <w:color w:val="231F20"/>
          <w:sz w:val="20"/>
        </w:rPr>
        <w:t>them.</w:t>
      </w:r>
      <w:r>
        <w:rPr>
          <w:color w:val="231F20"/>
          <w:spacing w:val="-9"/>
          <w:sz w:val="20"/>
        </w:rPr>
        <w:t xml:space="preserve"> </w:t>
      </w:r>
      <w:r>
        <w:rPr>
          <w:color w:val="231F20"/>
          <w:spacing w:val="-3"/>
          <w:sz w:val="20"/>
        </w:rPr>
        <w:t>They</w:t>
      </w:r>
      <w:r>
        <w:rPr>
          <w:color w:val="231F20"/>
          <w:spacing w:val="-9"/>
          <w:sz w:val="20"/>
        </w:rPr>
        <w:t xml:space="preserve"> </w:t>
      </w:r>
      <w:r>
        <w:rPr>
          <w:color w:val="231F20"/>
          <w:spacing w:val="-3"/>
          <w:sz w:val="20"/>
        </w:rPr>
        <w:t>may</w:t>
      </w:r>
      <w:r>
        <w:rPr>
          <w:color w:val="231F20"/>
          <w:spacing w:val="-8"/>
          <w:sz w:val="20"/>
        </w:rPr>
        <w:t xml:space="preserve"> </w:t>
      </w:r>
      <w:r>
        <w:rPr>
          <w:color w:val="231F20"/>
          <w:sz w:val="20"/>
        </w:rPr>
        <w:t>be</w:t>
      </w:r>
      <w:r>
        <w:rPr>
          <w:color w:val="231F20"/>
          <w:spacing w:val="-9"/>
          <w:sz w:val="20"/>
        </w:rPr>
        <w:t xml:space="preserve"> </w:t>
      </w:r>
      <w:r>
        <w:rPr>
          <w:color w:val="231F20"/>
          <w:spacing w:val="-3"/>
          <w:sz w:val="20"/>
        </w:rPr>
        <w:t>unsure</w:t>
      </w:r>
      <w:r>
        <w:rPr>
          <w:color w:val="231F20"/>
          <w:spacing w:val="-8"/>
          <w:sz w:val="20"/>
        </w:rPr>
        <w:t xml:space="preserve"> </w:t>
      </w:r>
      <w:r>
        <w:rPr>
          <w:color w:val="231F20"/>
          <w:spacing w:val="-3"/>
          <w:sz w:val="20"/>
        </w:rPr>
        <w:t>whether</w:t>
      </w:r>
      <w:r>
        <w:rPr>
          <w:color w:val="231F20"/>
          <w:spacing w:val="-9"/>
          <w:sz w:val="20"/>
        </w:rPr>
        <w:t xml:space="preserve"> </w:t>
      </w:r>
      <w:r>
        <w:rPr>
          <w:color w:val="231F20"/>
          <w:spacing w:val="-3"/>
          <w:sz w:val="20"/>
        </w:rPr>
        <w:t>they</w:t>
      </w:r>
      <w:r>
        <w:rPr>
          <w:color w:val="231F20"/>
          <w:spacing w:val="-8"/>
          <w:sz w:val="20"/>
        </w:rPr>
        <w:t xml:space="preserve"> </w:t>
      </w:r>
      <w:r>
        <w:rPr>
          <w:color w:val="231F20"/>
          <w:spacing w:val="-3"/>
          <w:sz w:val="20"/>
        </w:rPr>
        <w:t>will</w:t>
      </w:r>
      <w:r>
        <w:rPr>
          <w:color w:val="231F20"/>
          <w:spacing w:val="-9"/>
          <w:sz w:val="20"/>
        </w:rPr>
        <w:t xml:space="preserve"> </w:t>
      </w:r>
      <w:r>
        <w:rPr>
          <w:color w:val="231F20"/>
          <w:sz w:val="20"/>
        </w:rPr>
        <w:t>be</w:t>
      </w:r>
      <w:r>
        <w:rPr>
          <w:color w:val="231F20"/>
          <w:spacing w:val="-8"/>
          <w:sz w:val="20"/>
        </w:rPr>
        <w:t xml:space="preserve"> </w:t>
      </w:r>
      <w:r>
        <w:rPr>
          <w:color w:val="231F20"/>
          <w:sz w:val="20"/>
        </w:rPr>
        <w:t>supported</w:t>
      </w:r>
      <w:r>
        <w:rPr>
          <w:color w:val="231F20"/>
          <w:spacing w:val="-9"/>
          <w:sz w:val="20"/>
        </w:rPr>
        <w:t xml:space="preserve"> </w:t>
      </w:r>
      <w:r>
        <w:rPr>
          <w:color w:val="231F20"/>
          <w:sz w:val="20"/>
        </w:rPr>
        <w:t>if</w:t>
      </w:r>
      <w:r>
        <w:rPr>
          <w:color w:val="231F20"/>
          <w:spacing w:val="-8"/>
          <w:sz w:val="20"/>
        </w:rPr>
        <w:t xml:space="preserve"> </w:t>
      </w:r>
      <w:r>
        <w:rPr>
          <w:color w:val="231F20"/>
          <w:spacing w:val="-3"/>
          <w:sz w:val="20"/>
        </w:rPr>
        <w:t>they</w:t>
      </w:r>
      <w:r>
        <w:rPr>
          <w:color w:val="231F20"/>
          <w:spacing w:val="-9"/>
          <w:sz w:val="20"/>
        </w:rPr>
        <w:t xml:space="preserve"> </w:t>
      </w:r>
      <w:r>
        <w:rPr>
          <w:color w:val="231F20"/>
          <w:spacing w:val="-3"/>
          <w:sz w:val="20"/>
        </w:rPr>
        <w:t>tell</w:t>
      </w:r>
      <w:r>
        <w:rPr>
          <w:color w:val="231F20"/>
          <w:spacing w:val="-8"/>
          <w:sz w:val="20"/>
        </w:rPr>
        <w:t xml:space="preserve"> </w:t>
      </w:r>
      <w:r>
        <w:rPr>
          <w:color w:val="231F20"/>
          <w:sz w:val="20"/>
        </w:rPr>
        <w:t>someone</w:t>
      </w:r>
      <w:r>
        <w:rPr>
          <w:color w:val="231F20"/>
          <w:spacing w:val="-9"/>
          <w:sz w:val="20"/>
        </w:rPr>
        <w:t xml:space="preserve"> </w:t>
      </w:r>
      <w:r>
        <w:rPr>
          <w:color w:val="231F20"/>
          <w:sz w:val="20"/>
        </w:rPr>
        <w:t>about</w:t>
      </w:r>
      <w:r>
        <w:rPr>
          <w:color w:val="231F20"/>
          <w:spacing w:val="-8"/>
          <w:sz w:val="20"/>
        </w:rPr>
        <w:t xml:space="preserve"> </w:t>
      </w:r>
      <w:r>
        <w:rPr>
          <w:color w:val="231F20"/>
          <w:sz w:val="20"/>
        </w:rPr>
        <w:t>it.</w:t>
      </w:r>
    </w:p>
    <w:p w14:paraId="76B9E9CB" w14:textId="77777777" w:rsidR="00894070" w:rsidRDefault="009B7AFD">
      <w:pPr>
        <w:pStyle w:val="ListParagraph"/>
        <w:numPr>
          <w:ilvl w:val="1"/>
          <w:numId w:val="177"/>
        </w:numPr>
        <w:tabs>
          <w:tab w:val="left" w:pos="1801"/>
          <w:tab w:val="left" w:pos="1802"/>
        </w:tabs>
        <w:spacing w:before="123" w:line="206" w:lineRule="auto"/>
        <w:ind w:right="1165"/>
        <w:rPr>
          <w:sz w:val="20"/>
        </w:rPr>
      </w:pPr>
      <w:r>
        <w:rPr>
          <w:color w:val="231F20"/>
          <w:sz w:val="20"/>
        </w:rPr>
        <w:t xml:space="preserve">People who </w:t>
      </w:r>
      <w:r>
        <w:rPr>
          <w:color w:val="231F20"/>
          <w:spacing w:val="-3"/>
          <w:sz w:val="20"/>
        </w:rPr>
        <w:t xml:space="preserve">are </w:t>
      </w:r>
      <w:r>
        <w:rPr>
          <w:color w:val="231F20"/>
          <w:sz w:val="20"/>
        </w:rPr>
        <w:t xml:space="preserve">stalked should not </w:t>
      </w:r>
      <w:r>
        <w:rPr>
          <w:color w:val="231F20"/>
          <w:spacing w:val="-4"/>
          <w:sz w:val="20"/>
        </w:rPr>
        <w:t xml:space="preserve">have </w:t>
      </w:r>
      <w:r>
        <w:rPr>
          <w:color w:val="231F20"/>
          <w:sz w:val="20"/>
        </w:rPr>
        <w:t xml:space="preserve">to deal with the situation on their </w:t>
      </w:r>
      <w:r>
        <w:rPr>
          <w:color w:val="231F20"/>
          <w:spacing w:val="-3"/>
          <w:sz w:val="20"/>
        </w:rPr>
        <w:t xml:space="preserve">own, </w:t>
      </w:r>
      <w:r>
        <w:rPr>
          <w:color w:val="231F20"/>
          <w:sz w:val="20"/>
        </w:rPr>
        <w:t xml:space="preserve">nor be made to feel they </w:t>
      </w:r>
      <w:r>
        <w:rPr>
          <w:color w:val="231F20"/>
          <w:spacing w:val="-4"/>
          <w:sz w:val="20"/>
        </w:rPr>
        <w:t xml:space="preserve">have </w:t>
      </w:r>
      <w:r>
        <w:rPr>
          <w:color w:val="231F20"/>
          <w:spacing w:val="-3"/>
          <w:sz w:val="20"/>
        </w:rPr>
        <w:t xml:space="preserve">brought </w:t>
      </w:r>
      <w:r>
        <w:rPr>
          <w:color w:val="231F20"/>
          <w:sz w:val="20"/>
        </w:rPr>
        <w:t xml:space="preserve">it on themselves. </w:t>
      </w:r>
      <w:r>
        <w:rPr>
          <w:color w:val="231F20"/>
          <w:spacing w:val="-7"/>
          <w:sz w:val="20"/>
        </w:rPr>
        <w:t xml:space="preserve">Yet </w:t>
      </w:r>
      <w:r>
        <w:rPr>
          <w:color w:val="231F20"/>
          <w:sz w:val="20"/>
        </w:rPr>
        <w:t xml:space="preserve">the myths about stalking that </w:t>
      </w:r>
      <w:r>
        <w:rPr>
          <w:color w:val="231F20"/>
          <w:spacing w:val="-3"/>
          <w:sz w:val="20"/>
        </w:rPr>
        <w:t xml:space="preserve">we </w:t>
      </w:r>
      <w:r>
        <w:rPr>
          <w:color w:val="231F20"/>
          <w:sz w:val="20"/>
        </w:rPr>
        <w:t>identified</w:t>
      </w:r>
      <w:r>
        <w:rPr>
          <w:color w:val="231F20"/>
          <w:spacing w:val="-11"/>
          <w:sz w:val="20"/>
        </w:rPr>
        <w:t xml:space="preserve"> </w:t>
      </w:r>
      <w:r>
        <w:rPr>
          <w:color w:val="231F20"/>
          <w:spacing w:val="-3"/>
          <w:sz w:val="20"/>
        </w:rPr>
        <w:t>above</w:t>
      </w:r>
      <w:r>
        <w:rPr>
          <w:color w:val="231F20"/>
          <w:spacing w:val="-10"/>
          <w:sz w:val="20"/>
        </w:rPr>
        <w:t xml:space="preserve"> </w:t>
      </w:r>
      <w:r>
        <w:rPr>
          <w:color w:val="231F20"/>
          <w:sz w:val="20"/>
        </w:rPr>
        <w:t>appear</w:t>
      </w:r>
      <w:r>
        <w:rPr>
          <w:color w:val="231F20"/>
          <w:spacing w:val="-10"/>
          <w:sz w:val="20"/>
        </w:rPr>
        <w:t xml:space="preserve"> </w:t>
      </w:r>
      <w:r>
        <w:rPr>
          <w:color w:val="231F20"/>
          <w:sz w:val="20"/>
        </w:rPr>
        <w:t>to</w:t>
      </w:r>
      <w:r>
        <w:rPr>
          <w:color w:val="231F20"/>
          <w:spacing w:val="-10"/>
          <w:sz w:val="20"/>
        </w:rPr>
        <w:t xml:space="preserve"> </w:t>
      </w:r>
      <w:r>
        <w:rPr>
          <w:color w:val="231F20"/>
          <w:sz w:val="20"/>
        </w:rPr>
        <w:t>be</w:t>
      </w:r>
      <w:r>
        <w:rPr>
          <w:color w:val="231F20"/>
          <w:spacing w:val="-10"/>
          <w:sz w:val="20"/>
        </w:rPr>
        <w:t xml:space="preserve"> </w:t>
      </w:r>
      <w:r>
        <w:rPr>
          <w:color w:val="231F20"/>
          <w:sz w:val="20"/>
        </w:rPr>
        <w:t>widespread,</w:t>
      </w:r>
      <w:r>
        <w:rPr>
          <w:color w:val="231F20"/>
          <w:spacing w:val="-10"/>
          <w:sz w:val="20"/>
        </w:rPr>
        <w:t xml:space="preserve"> </w:t>
      </w:r>
      <w:r>
        <w:rPr>
          <w:color w:val="231F20"/>
          <w:sz w:val="20"/>
        </w:rPr>
        <w:t>and</w:t>
      </w:r>
      <w:r>
        <w:rPr>
          <w:color w:val="231F20"/>
          <w:spacing w:val="-11"/>
          <w:sz w:val="20"/>
        </w:rPr>
        <w:t xml:space="preserve"> </w:t>
      </w:r>
      <w:r>
        <w:rPr>
          <w:color w:val="231F20"/>
          <w:sz w:val="20"/>
        </w:rPr>
        <w:t>it</w:t>
      </w:r>
      <w:r>
        <w:rPr>
          <w:color w:val="231F20"/>
          <w:spacing w:val="-10"/>
          <w:sz w:val="20"/>
        </w:rPr>
        <w:t xml:space="preserve"> </w:t>
      </w:r>
      <w:r>
        <w:rPr>
          <w:color w:val="231F20"/>
          <w:sz w:val="20"/>
        </w:rPr>
        <w:t>is</w:t>
      </w:r>
      <w:r>
        <w:rPr>
          <w:color w:val="231F20"/>
          <w:spacing w:val="-10"/>
          <w:sz w:val="20"/>
        </w:rPr>
        <w:t xml:space="preserve"> </w:t>
      </w:r>
      <w:r>
        <w:rPr>
          <w:color w:val="231F20"/>
          <w:sz w:val="20"/>
        </w:rPr>
        <w:t>common</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people</w:t>
      </w:r>
      <w:r>
        <w:rPr>
          <w:color w:val="231F20"/>
          <w:spacing w:val="-10"/>
          <w:sz w:val="20"/>
        </w:rPr>
        <w:t xml:space="preserve"> </w:t>
      </w:r>
      <w:r>
        <w:rPr>
          <w:color w:val="231F20"/>
          <w:sz w:val="20"/>
        </w:rPr>
        <w:t>who</w:t>
      </w:r>
      <w:r>
        <w:rPr>
          <w:color w:val="231F20"/>
          <w:spacing w:val="-11"/>
          <w:sz w:val="20"/>
        </w:rPr>
        <w:t xml:space="preserve"> </w:t>
      </w:r>
      <w:r>
        <w:rPr>
          <w:color w:val="231F20"/>
          <w:spacing w:val="-3"/>
          <w:sz w:val="20"/>
        </w:rPr>
        <w:t>are</w:t>
      </w:r>
      <w:r>
        <w:rPr>
          <w:color w:val="231F20"/>
          <w:spacing w:val="-10"/>
          <w:sz w:val="20"/>
        </w:rPr>
        <w:t xml:space="preserve"> </w:t>
      </w:r>
      <w:r>
        <w:rPr>
          <w:color w:val="231F20"/>
          <w:sz w:val="20"/>
        </w:rPr>
        <w:t>stalked to feel</w:t>
      </w:r>
      <w:r>
        <w:rPr>
          <w:color w:val="231F20"/>
          <w:spacing w:val="-8"/>
          <w:sz w:val="20"/>
        </w:rPr>
        <w:t xml:space="preserve"> </w:t>
      </w:r>
      <w:r>
        <w:rPr>
          <w:color w:val="231F20"/>
          <w:spacing w:val="-3"/>
          <w:sz w:val="20"/>
        </w:rPr>
        <w:t>responsible.</w:t>
      </w:r>
    </w:p>
    <w:p w14:paraId="554B161E" w14:textId="77777777" w:rsidR="00894070" w:rsidRDefault="009B7AFD">
      <w:pPr>
        <w:pStyle w:val="ListParagraph"/>
        <w:numPr>
          <w:ilvl w:val="1"/>
          <w:numId w:val="177"/>
        </w:numPr>
        <w:tabs>
          <w:tab w:val="left" w:pos="1801"/>
          <w:tab w:val="left" w:pos="1802"/>
        </w:tabs>
        <w:spacing w:before="125" w:line="206" w:lineRule="auto"/>
        <w:ind w:right="1241"/>
        <w:rPr>
          <w:sz w:val="20"/>
        </w:rPr>
      </w:pPr>
      <w:r>
        <w:rPr>
          <w:color w:val="231F20"/>
          <w:sz w:val="20"/>
        </w:rPr>
        <w:t>This</w:t>
      </w:r>
      <w:r>
        <w:rPr>
          <w:color w:val="231F20"/>
          <w:spacing w:val="-7"/>
          <w:sz w:val="20"/>
        </w:rPr>
        <w:t xml:space="preserve"> </w:t>
      </w:r>
      <w:r>
        <w:rPr>
          <w:color w:val="231F20"/>
          <w:sz w:val="20"/>
        </w:rPr>
        <w:t>means</w:t>
      </w:r>
      <w:r>
        <w:rPr>
          <w:color w:val="231F20"/>
          <w:spacing w:val="-7"/>
          <w:sz w:val="20"/>
        </w:rPr>
        <w:t xml:space="preserve"> </w:t>
      </w:r>
      <w:r>
        <w:rPr>
          <w:color w:val="231F20"/>
          <w:sz w:val="20"/>
        </w:rPr>
        <w:t>that</w:t>
      </w:r>
      <w:r>
        <w:rPr>
          <w:color w:val="231F20"/>
          <w:spacing w:val="-6"/>
          <w:sz w:val="20"/>
        </w:rPr>
        <w:t xml:space="preserve"> </w:t>
      </w:r>
      <w:r>
        <w:rPr>
          <w:color w:val="231F20"/>
          <w:sz w:val="20"/>
        </w:rPr>
        <w:t>their</w:t>
      </w:r>
      <w:r>
        <w:rPr>
          <w:color w:val="231F20"/>
          <w:spacing w:val="-7"/>
          <w:sz w:val="20"/>
        </w:rPr>
        <w:t xml:space="preserve"> </w:t>
      </w:r>
      <w:r>
        <w:rPr>
          <w:color w:val="231F20"/>
          <w:sz w:val="20"/>
        </w:rPr>
        <w:t>justice</w:t>
      </w:r>
      <w:r>
        <w:rPr>
          <w:color w:val="231F20"/>
          <w:spacing w:val="-6"/>
          <w:sz w:val="20"/>
        </w:rPr>
        <w:t xml:space="preserve"> </w:t>
      </w:r>
      <w:r>
        <w:rPr>
          <w:color w:val="231F20"/>
          <w:sz w:val="20"/>
        </w:rPr>
        <w:t>needs</w:t>
      </w:r>
      <w:r>
        <w:rPr>
          <w:color w:val="231F20"/>
          <w:spacing w:val="-7"/>
          <w:sz w:val="20"/>
        </w:rPr>
        <w:t xml:space="preserve"> </w:t>
      </w:r>
      <w:r>
        <w:rPr>
          <w:color w:val="231F20"/>
          <w:spacing w:val="-3"/>
          <w:sz w:val="20"/>
        </w:rPr>
        <w:t>are</w:t>
      </w:r>
      <w:r>
        <w:rPr>
          <w:color w:val="231F20"/>
          <w:spacing w:val="-6"/>
          <w:sz w:val="20"/>
        </w:rPr>
        <w:t xml:space="preserve"> </w:t>
      </w:r>
      <w:r>
        <w:rPr>
          <w:color w:val="231F20"/>
          <w:sz w:val="20"/>
        </w:rPr>
        <w:t>not</w:t>
      </w:r>
      <w:r>
        <w:rPr>
          <w:color w:val="231F20"/>
          <w:spacing w:val="-7"/>
          <w:sz w:val="20"/>
        </w:rPr>
        <w:t xml:space="preserve"> </w:t>
      </w:r>
      <w:r>
        <w:rPr>
          <w:color w:val="231F20"/>
          <w:sz w:val="20"/>
        </w:rPr>
        <w:t>being</w:t>
      </w:r>
      <w:r>
        <w:rPr>
          <w:color w:val="231F20"/>
          <w:spacing w:val="-6"/>
          <w:sz w:val="20"/>
        </w:rPr>
        <w:t xml:space="preserve"> </w:t>
      </w:r>
      <w:r>
        <w:rPr>
          <w:color w:val="231F20"/>
          <w:sz w:val="20"/>
        </w:rPr>
        <w:t>met,</w:t>
      </w:r>
      <w:r>
        <w:rPr>
          <w:color w:val="231F20"/>
          <w:spacing w:val="-7"/>
          <w:sz w:val="20"/>
        </w:rPr>
        <w:t xml:space="preserve"> </w:t>
      </w:r>
      <w:r>
        <w:rPr>
          <w:color w:val="231F20"/>
          <w:sz w:val="20"/>
        </w:rPr>
        <w:t>such</w:t>
      </w:r>
      <w:r>
        <w:rPr>
          <w:color w:val="231F20"/>
          <w:spacing w:val="-7"/>
          <w:sz w:val="20"/>
        </w:rPr>
        <w:t xml:space="preserve"> </w:t>
      </w:r>
      <w:r>
        <w:rPr>
          <w:color w:val="231F20"/>
          <w:sz w:val="20"/>
        </w:rPr>
        <w:t>as</w:t>
      </w:r>
      <w:r>
        <w:rPr>
          <w:color w:val="231F20"/>
          <w:spacing w:val="-6"/>
          <w:sz w:val="20"/>
        </w:rPr>
        <w:t xml:space="preserve"> </w:t>
      </w:r>
      <w:r>
        <w:rPr>
          <w:color w:val="231F20"/>
          <w:sz w:val="20"/>
        </w:rPr>
        <w:t>the</w:t>
      </w:r>
      <w:r>
        <w:rPr>
          <w:color w:val="231F20"/>
          <w:spacing w:val="-7"/>
          <w:sz w:val="20"/>
        </w:rPr>
        <w:t xml:space="preserve"> </w:t>
      </w:r>
      <w:r>
        <w:rPr>
          <w:color w:val="231F20"/>
          <w:sz w:val="20"/>
        </w:rPr>
        <w:t>need</w:t>
      </w:r>
      <w:r>
        <w:rPr>
          <w:color w:val="231F20"/>
          <w:spacing w:val="-6"/>
          <w:sz w:val="20"/>
        </w:rPr>
        <w:t xml:space="preserve"> </w:t>
      </w:r>
      <w:r>
        <w:rPr>
          <w:color w:val="231F20"/>
          <w:spacing w:val="-3"/>
          <w:sz w:val="20"/>
        </w:rPr>
        <w:t>for</w:t>
      </w:r>
      <w:r>
        <w:rPr>
          <w:color w:val="231F20"/>
          <w:spacing w:val="-7"/>
          <w:sz w:val="20"/>
        </w:rPr>
        <w:t xml:space="preserve"> </w:t>
      </w:r>
      <w:r>
        <w:rPr>
          <w:color w:val="231F20"/>
          <w:spacing w:val="-3"/>
          <w:sz w:val="20"/>
        </w:rPr>
        <w:t xml:space="preserve">information </w:t>
      </w:r>
      <w:r>
        <w:rPr>
          <w:color w:val="231F20"/>
          <w:sz w:val="20"/>
        </w:rPr>
        <w:t xml:space="preserve">or to be believed (see </w:t>
      </w:r>
      <w:r>
        <w:rPr>
          <w:color w:val="231F20"/>
          <w:spacing w:val="-3"/>
          <w:sz w:val="20"/>
        </w:rPr>
        <w:t>Chapter</w:t>
      </w:r>
      <w:r>
        <w:rPr>
          <w:color w:val="231F20"/>
          <w:spacing w:val="-26"/>
          <w:sz w:val="20"/>
        </w:rPr>
        <w:t xml:space="preserve"> </w:t>
      </w:r>
      <w:r>
        <w:rPr>
          <w:color w:val="231F20"/>
          <w:sz w:val="20"/>
        </w:rPr>
        <w:t>1).</w:t>
      </w:r>
    </w:p>
    <w:p w14:paraId="3C9C6307" w14:textId="77777777" w:rsidR="00894070" w:rsidRDefault="00894070">
      <w:pPr>
        <w:pStyle w:val="BodyText"/>
        <w:spacing w:before="6"/>
        <w:rPr>
          <w:sz w:val="16"/>
        </w:rPr>
      </w:pPr>
    </w:p>
    <w:p w14:paraId="568FCD1F" w14:textId="77777777" w:rsidR="00894070" w:rsidRDefault="009B7AFD">
      <w:pPr>
        <w:pStyle w:val="Heading7"/>
      </w:pPr>
      <w:r>
        <w:rPr>
          <w:color w:val="EA5B50"/>
        </w:rPr>
        <w:t>Current</w:t>
      </w:r>
      <w:r>
        <w:rPr>
          <w:color w:val="EA5B50"/>
          <w:spacing w:val="-10"/>
        </w:rPr>
        <w:t xml:space="preserve"> </w:t>
      </w:r>
      <w:r>
        <w:rPr>
          <w:color w:val="EA5B50"/>
        </w:rPr>
        <w:t>sources</w:t>
      </w:r>
      <w:r>
        <w:rPr>
          <w:color w:val="EA5B50"/>
          <w:spacing w:val="-10"/>
        </w:rPr>
        <w:t xml:space="preserve"> </w:t>
      </w:r>
      <w:r>
        <w:rPr>
          <w:color w:val="EA5B50"/>
        </w:rPr>
        <w:t>of</w:t>
      </w:r>
      <w:r>
        <w:rPr>
          <w:color w:val="EA5B50"/>
          <w:spacing w:val="-10"/>
        </w:rPr>
        <w:t xml:space="preserve"> </w:t>
      </w:r>
      <w:r>
        <w:rPr>
          <w:color w:val="EA5B50"/>
        </w:rPr>
        <w:t>information</w:t>
      </w:r>
      <w:r>
        <w:rPr>
          <w:color w:val="EA5B50"/>
          <w:spacing w:val="-10"/>
        </w:rPr>
        <w:t xml:space="preserve"> </w:t>
      </w:r>
      <w:r>
        <w:rPr>
          <w:color w:val="EA5B50"/>
        </w:rPr>
        <w:t>are</w:t>
      </w:r>
      <w:r>
        <w:rPr>
          <w:color w:val="EA5B50"/>
          <w:spacing w:val="-9"/>
        </w:rPr>
        <w:t xml:space="preserve"> </w:t>
      </w:r>
      <w:r>
        <w:rPr>
          <w:color w:val="EA5B50"/>
        </w:rPr>
        <w:t>limited</w:t>
      </w:r>
    </w:p>
    <w:p w14:paraId="65BD0656" w14:textId="77777777" w:rsidR="00894070" w:rsidRDefault="009B7AFD">
      <w:pPr>
        <w:pStyle w:val="ListParagraph"/>
        <w:numPr>
          <w:ilvl w:val="1"/>
          <w:numId w:val="177"/>
        </w:numPr>
        <w:tabs>
          <w:tab w:val="left" w:pos="1801"/>
          <w:tab w:val="left" w:pos="1802"/>
        </w:tabs>
        <w:spacing w:before="146" w:line="206" w:lineRule="auto"/>
        <w:ind w:right="1403"/>
        <w:rPr>
          <w:sz w:val="11"/>
        </w:rPr>
      </w:pPr>
      <w:r>
        <w:rPr>
          <w:color w:val="231F20"/>
          <w:sz w:val="20"/>
        </w:rPr>
        <w:t>The</w:t>
      </w:r>
      <w:r>
        <w:rPr>
          <w:color w:val="231F20"/>
          <w:spacing w:val="-8"/>
          <w:sz w:val="20"/>
        </w:rPr>
        <w:t xml:space="preserve"> </w:t>
      </w:r>
      <w:r>
        <w:rPr>
          <w:color w:val="231F20"/>
          <w:sz w:val="20"/>
        </w:rPr>
        <w:t>Victorian</w:t>
      </w:r>
      <w:r>
        <w:rPr>
          <w:color w:val="231F20"/>
          <w:spacing w:val="-7"/>
          <w:sz w:val="20"/>
        </w:rPr>
        <w:t xml:space="preserve"> </w:t>
      </w:r>
      <w:r>
        <w:rPr>
          <w:color w:val="231F20"/>
          <w:spacing w:val="-3"/>
          <w:sz w:val="20"/>
        </w:rPr>
        <w:t>Government’s</w:t>
      </w:r>
      <w:r>
        <w:rPr>
          <w:color w:val="231F20"/>
          <w:spacing w:val="-7"/>
          <w:sz w:val="20"/>
        </w:rPr>
        <w:t xml:space="preserve"> </w:t>
      </w:r>
      <w:r>
        <w:rPr>
          <w:color w:val="231F20"/>
          <w:sz w:val="20"/>
        </w:rPr>
        <w:t>Victims</w:t>
      </w:r>
      <w:r>
        <w:rPr>
          <w:color w:val="231F20"/>
          <w:spacing w:val="-7"/>
          <w:sz w:val="20"/>
        </w:rPr>
        <w:t xml:space="preserve"> </w:t>
      </w:r>
      <w:r>
        <w:rPr>
          <w:color w:val="231F20"/>
          <w:sz w:val="20"/>
        </w:rPr>
        <w:t>of</w:t>
      </w:r>
      <w:r>
        <w:rPr>
          <w:color w:val="231F20"/>
          <w:spacing w:val="-7"/>
          <w:sz w:val="20"/>
        </w:rPr>
        <w:t xml:space="preserve"> </w:t>
      </w:r>
      <w:r>
        <w:rPr>
          <w:color w:val="231F20"/>
          <w:sz w:val="20"/>
        </w:rPr>
        <w:t>Crime</w:t>
      </w:r>
      <w:r>
        <w:rPr>
          <w:color w:val="231F20"/>
          <w:spacing w:val="-7"/>
          <w:sz w:val="20"/>
        </w:rPr>
        <w:t xml:space="preserve"> </w:t>
      </w:r>
      <w:r>
        <w:rPr>
          <w:color w:val="231F20"/>
          <w:spacing w:val="-3"/>
          <w:sz w:val="20"/>
        </w:rPr>
        <w:t>website</w:t>
      </w:r>
      <w:r>
        <w:rPr>
          <w:color w:val="231F20"/>
          <w:spacing w:val="-7"/>
          <w:sz w:val="20"/>
        </w:rPr>
        <w:t xml:space="preserve"> </w:t>
      </w:r>
      <w:r>
        <w:rPr>
          <w:color w:val="231F20"/>
          <w:sz w:val="20"/>
        </w:rPr>
        <w:t>and</w:t>
      </w:r>
      <w:r>
        <w:rPr>
          <w:color w:val="231F20"/>
          <w:spacing w:val="-7"/>
          <w:sz w:val="20"/>
        </w:rPr>
        <w:t xml:space="preserve"> </w:t>
      </w:r>
      <w:r>
        <w:rPr>
          <w:color w:val="231F20"/>
          <w:sz w:val="20"/>
        </w:rPr>
        <w:t>the</w:t>
      </w:r>
      <w:r>
        <w:rPr>
          <w:color w:val="231F20"/>
          <w:spacing w:val="-7"/>
          <w:sz w:val="20"/>
        </w:rPr>
        <w:t xml:space="preserve"> </w:t>
      </w:r>
      <w:r>
        <w:rPr>
          <w:color w:val="231F20"/>
          <w:sz w:val="20"/>
        </w:rPr>
        <w:t>national</w:t>
      </w:r>
      <w:r>
        <w:rPr>
          <w:color w:val="231F20"/>
          <w:spacing w:val="-7"/>
          <w:sz w:val="20"/>
        </w:rPr>
        <w:t xml:space="preserve"> </w:t>
      </w:r>
      <w:r>
        <w:rPr>
          <w:color w:val="231F20"/>
          <w:spacing w:val="-3"/>
          <w:sz w:val="20"/>
        </w:rPr>
        <w:t>1800RESPECT website</w:t>
      </w:r>
      <w:r>
        <w:rPr>
          <w:color w:val="231F20"/>
          <w:spacing w:val="-5"/>
          <w:sz w:val="20"/>
        </w:rPr>
        <w:t xml:space="preserve"> </w:t>
      </w:r>
      <w:r>
        <w:rPr>
          <w:color w:val="231F20"/>
          <w:spacing w:val="-4"/>
          <w:sz w:val="20"/>
        </w:rPr>
        <w:t>have</w:t>
      </w:r>
      <w:r>
        <w:rPr>
          <w:color w:val="231F20"/>
          <w:spacing w:val="-5"/>
          <w:sz w:val="20"/>
        </w:rPr>
        <w:t xml:space="preserve"> </w:t>
      </w:r>
      <w:r>
        <w:rPr>
          <w:color w:val="231F20"/>
          <w:spacing w:val="-3"/>
          <w:sz w:val="20"/>
        </w:rPr>
        <w:t>information</w:t>
      </w:r>
      <w:r>
        <w:rPr>
          <w:color w:val="231F20"/>
          <w:spacing w:val="-5"/>
          <w:sz w:val="20"/>
        </w:rPr>
        <w:t xml:space="preserve"> </w:t>
      </w:r>
      <w:r>
        <w:rPr>
          <w:color w:val="231F20"/>
          <w:sz w:val="20"/>
        </w:rPr>
        <w:t>about</w:t>
      </w:r>
      <w:r>
        <w:rPr>
          <w:color w:val="231F20"/>
          <w:spacing w:val="-5"/>
          <w:sz w:val="20"/>
        </w:rPr>
        <w:t xml:space="preserve"> </w:t>
      </w:r>
      <w:r>
        <w:rPr>
          <w:color w:val="231F20"/>
          <w:sz w:val="20"/>
        </w:rPr>
        <w:t>stalking</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5"/>
          <w:sz w:val="20"/>
        </w:rPr>
        <w:t xml:space="preserve"> </w:t>
      </w:r>
      <w:r>
        <w:rPr>
          <w:color w:val="231F20"/>
          <w:sz w:val="20"/>
        </w:rPr>
        <w:t>justice</w:t>
      </w:r>
      <w:r>
        <w:rPr>
          <w:color w:val="231F20"/>
          <w:spacing w:val="-5"/>
          <w:sz w:val="20"/>
        </w:rPr>
        <w:t xml:space="preserve"> </w:t>
      </w:r>
      <w:r>
        <w:rPr>
          <w:color w:val="231F20"/>
          <w:spacing w:val="-3"/>
          <w:sz w:val="20"/>
        </w:rPr>
        <w:t>system’s</w:t>
      </w:r>
      <w:r>
        <w:rPr>
          <w:color w:val="231F20"/>
          <w:spacing w:val="-5"/>
          <w:sz w:val="20"/>
        </w:rPr>
        <w:t xml:space="preserve"> </w:t>
      </w:r>
      <w:r>
        <w:rPr>
          <w:color w:val="231F20"/>
          <w:sz w:val="20"/>
        </w:rPr>
        <w:t>response</w:t>
      </w:r>
      <w:r>
        <w:rPr>
          <w:color w:val="231F20"/>
          <w:spacing w:val="-5"/>
          <w:sz w:val="20"/>
        </w:rPr>
        <w:t xml:space="preserve"> </w:t>
      </w:r>
      <w:r>
        <w:rPr>
          <w:color w:val="231F20"/>
          <w:sz w:val="20"/>
        </w:rPr>
        <w:t>to</w:t>
      </w:r>
      <w:r>
        <w:rPr>
          <w:color w:val="231F20"/>
          <w:spacing w:val="-5"/>
          <w:sz w:val="20"/>
        </w:rPr>
        <w:t xml:space="preserve"> </w:t>
      </w:r>
      <w:r>
        <w:rPr>
          <w:color w:val="231F20"/>
          <w:sz w:val="20"/>
        </w:rPr>
        <w:t>it.</w:t>
      </w:r>
      <w:r>
        <w:rPr>
          <w:color w:val="231F20"/>
          <w:position w:val="7"/>
          <w:sz w:val="11"/>
        </w:rPr>
        <w:t>35</w:t>
      </w:r>
    </w:p>
    <w:p w14:paraId="1FA8F68C" w14:textId="77777777" w:rsidR="00894070" w:rsidRDefault="009B7AFD">
      <w:pPr>
        <w:pStyle w:val="ListParagraph"/>
        <w:numPr>
          <w:ilvl w:val="1"/>
          <w:numId w:val="177"/>
        </w:numPr>
        <w:tabs>
          <w:tab w:val="left" w:pos="1801"/>
          <w:tab w:val="left" w:pos="1802"/>
        </w:tabs>
        <w:spacing w:before="122" w:line="206" w:lineRule="auto"/>
        <w:ind w:right="1242"/>
        <w:rPr>
          <w:sz w:val="11"/>
        </w:rPr>
      </w:pPr>
      <w:r>
        <w:rPr>
          <w:color w:val="231F20"/>
          <w:sz w:val="20"/>
        </w:rPr>
        <w:t xml:space="preserve">This </w:t>
      </w:r>
      <w:r>
        <w:rPr>
          <w:color w:val="231F20"/>
          <w:spacing w:val="-3"/>
          <w:sz w:val="20"/>
        </w:rPr>
        <w:t xml:space="preserve">information </w:t>
      </w:r>
      <w:r>
        <w:rPr>
          <w:color w:val="231F20"/>
          <w:sz w:val="20"/>
        </w:rPr>
        <w:t xml:space="preserve">is clear and practical, but people </w:t>
      </w:r>
      <w:r>
        <w:rPr>
          <w:color w:val="231F20"/>
          <w:spacing w:val="-3"/>
          <w:sz w:val="20"/>
        </w:rPr>
        <w:t xml:space="preserve">may </w:t>
      </w:r>
      <w:r>
        <w:rPr>
          <w:color w:val="231F20"/>
          <w:sz w:val="20"/>
        </w:rPr>
        <w:t xml:space="preserve">not </w:t>
      </w:r>
      <w:r>
        <w:rPr>
          <w:color w:val="231F20"/>
          <w:spacing w:val="-3"/>
          <w:sz w:val="20"/>
        </w:rPr>
        <w:t xml:space="preserve">know </w:t>
      </w:r>
      <w:r>
        <w:rPr>
          <w:color w:val="231F20"/>
          <w:sz w:val="20"/>
        </w:rPr>
        <w:t xml:space="preserve">it exists or where to find it. While both </w:t>
      </w:r>
      <w:r>
        <w:rPr>
          <w:color w:val="231F20"/>
          <w:spacing w:val="-3"/>
          <w:sz w:val="20"/>
        </w:rPr>
        <w:t xml:space="preserve">websites </w:t>
      </w:r>
      <w:r>
        <w:rPr>
          <w:color w:val="231F20"/>
          <w:sz w:val="20"/>
        </w:rPr>
        <w:t xml:space="preserve">appear at the top of an online search using the phrase ‘stalking get </w:t>
      </w:r>
      <w:r>
        <w:rPr>
          <w:color w:val="231F20"/>
          <w:spacing w:val="-4"/>
          <w:sz w:val="20"/>
        </w:rPr>
        <w:t xml:space="preserve">help’, </w:t>
      </w:r>
      <w:r>
        <w:rPr>
          <w:color w:val="231F20"/>
          <w:sz w:val="20"/>
        </w:rPr>
        <w:t xml:space="preserve">this will not help people who do not </w:t>
      </w:r>
      <w:r>
        <w:rPr>
          <w:color w:val="231F20"/>
          <w:spacing w:val="-3"/>
          <w:sz w:val="20"/>
        </w:rPr>
        <w:t xml:space="preserve">know </w:t>
      </w:r>
      <w:r>
        <w:rPr>
          <w:color w:val="231F20"/>
          <w:sz w:val="20"/>
        </w:rPr>
        <w:t xml:space="preserve">that what they </w:t>
      </w:r>
      <w:r>
        <w:rPr>
          <w:color w:val="231F20"/>
          <w:spacing w:val="-3"/>
          <w:sz w:val="20"/>
        </w:rPr>
        <w:t xml:space="preserve">are </w:t>
      </w:r>
      <w:r>
        <w:rPr>
          <w:color w:val="231F20"/>
          <w:sz w:val="20"/>
        </w:rPr>
        <w:t>experiencing</w:t>
      </w:r>
      <w:r>
        <w:rPr>
          <w:color w:val="231F20"/>
          <w:spacing w:val="-11"/>
          <w:sz w:val="20"/>
        </w:rPr>
        <w:t xml:space="preserve"> </w:t>
      </w:r>
      <w:r>
        <w:rPr>
          <w:color w:val="231F20"/>
          <w:sz w:val="20"/>
        </w:rPr>
        <w:t>is</w:t>
      </w:r>
      <w:r>
        <w:rPr>
          <w:color w:val="231F20"/>
          <w:spacing w:val="-10"/>
          <w:sz w:val="20"/>
        </w:rPr>
        <w:t xml:space="preserve"> </w:t>
      </w:r>
      <w:r>
        <w:rPr>
          <w:color w:val="231F20"/>
          <w:sz w:val="20"/>
        </w:rPr>
        <w:t>stalking.</w:t>
      </w:r>
      <w:r>
        <w:rPr>
          <w:color w:val="231F20"/>
          <w:spacing w:val="-10"/>
          <w:sz w:val="20"/>
        </w:rPr>
        <w:t xml:space="preserve"> </w:t>
      </w:r>
      <w:r>
        <w:rPr>
          <w:color w:val="231F20"/>
          <w:sz w:val="20"/>
        </w:rPr>
        <w:t>Nor</w:t>
      </w:r>
      <w:r>
        <w:rPr>
          <w:color w:val="231F20"/>
          <w:spacing w:val="-10"/>
          <w:sz w:val="20"/>
        </w:rPr>
        <w:t xml:space="preserve"> </w:t>
      </w:r>
      <w:r>
        <w:rPr>
          <w:color w:val="231F20"/>
          <w:sz w:val="20"/>
        </w:rPr>
        <w:t>does</w:t>
      </w:r>
      <w:r>
        <w:rPr>
          <w:color w:val="231F20"/>
          <w:spacing w:val="-10"/>
          <w:sz w:val="20"/>
        </w:rPr>
        <w:t xml:space="preserve"> </w:t>
      </w:r>
      <w:r>
        <w:rPr>
          <w:color w:val="231F20"/>
          <w:sz w:val="20"/>
        </w:rPr>
        <w:t>the</w:t>
      </w:r>
      <w:r>
        <w:rPr>
          <w:color w:val="231F20"/>
          <w:spacing w:val="-10"/>
          <w:sz w:val="20"/>
        </w:rPr>
        <w:t xml:space="preserve"> </w:t>
      </w:r>
      <w:r>
        <w:rPr>
          <w:color w:val="231F20"/>
          <w:sz w:val="20"/>
        </w:rPr>
        <w:t>Victims</w:t>
      </w:r>
      <w:r>
        <w:rPr>
          <w:color w:val="231F20"/>
          <w:spacing w:val="-10"/>
          <w:sz w:val="20"/>
        </w:rPr>
        <w:t xml:space="preserve"> </w:t>
      </w:r>
      <w:r>
        <w:rPr>
          <w:color w:val="231F20"/>
          <w:sz w:val="20"/>
        </w:rPr>
        <w:t>of</w:t>
      </w:r>
      <w:r>
        <w:rPr>
          <w:color w:val="231F20"/>
          <w:spacing w:val="-10"/>
          <w:sz w:val="20"/>
        </w:rPr>
        <w:t xml:space="preserve"> </w:t>
      </w:r>
      <w:r>
        <w:rPr>
          <w:color w:val="231F20"/>
          <w:sz w:val="20"/>
        </w:rPr>
        <w:t>Crime</w:t>
      </w:r>
      <w:r>
        <w:rPr>
          <w:color w:val="231F20"/>
          <w:spacing w:val="-10"/>
          <w:sz w:val="20"/>
        </w:rPr>
        <w:t xml:space="preserve"> </w:t>
      </w:r>
      <w:r>
        <w:rPr>
          <w:color w:val="231F20"/>
          <w:spacing w:val="-3"/>
          <w:sz w:val="20"/>
        </w:rPr>
        <w:t>website</w:t>
      </w:r>
      <w:r>
        <w:rPr>
          <w:color w:val="231F20"/>
          <w:spacing w:val="-10"/>
          <w:sz w:val="20"/>
        </w:rPr>
        <w:t xml:space="preserve"> </w:t>
      </w:r>
      <w:r>
        <w:rPr>
          <w:color w:val="231F20"/>
          <w:sz w:val="20"/>
        </w:rPr>
        <w:t>emphasise</w:t>
      </w:r>
      <w:r>
        <w:rPr>
          <w:color w:val="231F20"/>
          <w:spacing w:val="-10"/>
          <w:sz w:val="20"/>
        </w:rPr>
        <w:t xml:space="preserve"> </w:t>
      </w:r>
      <w:r>
        <w:rPr>
          <w:color w:val="231F20"/>
          <w:sz w:val="20"/>
        </w:rPr>
        <w:t>that</w:t>
      </w:r>
      <w:r>
        <w:rPr>
          <w:color w:val="231F20"/>
          <w:spacing w:val="-10"/>
          <w:sz w:val="20"/>
        </w:rPr>
        <w:t xml:space="preserve"> </w:t>
      </w:r>
      <w:r>
        <w:rPr>
          <w:color w:val="231F20"/>
          <w:sz w:val="20"/>
        </w:rPr>
        <w:t xml:space="preserve">people who experience stalking </w:t>
      </w:r>
      <w:r>
        <w:rPr>
          <w:color w:val="231F20"/>
          <w:spacing w:val="-3"/>
          <w:sz w:val="20"/>
        </w:rPr>
        <w:t xml:space="preserve">are </w:t>
      </w:r>
      <w:r>
        <w:rPr>
          <w:color w:val="231F20"/>
          <w:sz w:val="20"/>
        </w:rPr>
        <w:t xml:space="preserve">not </w:t>
      </w:r>
      <w:r>
        <w:rPr>
          <w:color w:val="231F20"/>
          <w:spacing w:val="-3"/>
          <w:sz w:val="20"/>
        </w:rPr>
        <w:t xml:space="preserve">responsible for </w:t>
      </w:r>
      <w:r>
        <w:rPr>
          <w:color w:val="231F20"/>
          <w:sz w:val="20"/>
        </w:rPr>
        <w:t xml:space="preserve">the </w:t>
      </w:r>
      <w:r>
        <w:rPr>
          <w:color w:val="231F20"/>
          <w:spacing w:val="-3"/>
          <w:sz w:val="20"/>
        </w:rPr>
        <w:t>behaviour.</w:t>
      </w:r>
      <w:r>
        <w:rPr>
          <w:color w:val="231F20"/>
          <w:spacing w:val="-3"/>
          <w:position w:val="7"/>
          <w:sz w:val="11"/>
        </w:rPr>
        <w:t xml:space="preserve">36 </w:t>
      </w:r>
      <w:r>
        <w:rPr>
          <w:color w:val="231F20"/>
          <w:sz w:val="20"/>
        </w:rPr>
        <w:t xml:space="preserve">This important point is highlighted on the </w:t>
      </w:r>
      <w:r>
        <w:rPr>
          <w:color w:val="231F20"/>
          <w:spacing w:val="-3"/>
          <w:sz w:val="20"/>
        </w:rPr>
        <w:t>1800RESPECT</w:t>
      </w:r>
      <w:r>
        <w:rPr>
          <w:color w:val="231F20"/>
          <w:spacing w:val="-17"/>
          <w:sz w:val="20"/>
        </w:rPr>
        <w:t xml:space="preserve"> </w:t>
      </w:r>
      <w:r>
        <w:rPr>
          <w:color w:val="231F20"/>
          <w:spacing w:val="-3"/>
          <w:sz w:val="20"/>
        </w:rPr>
        <w:t>website.</w:t>
      </w:r>
      <w:r>
        <w:rPr>
          <w:color w:val="231F20"/>
          <w:spacing w:val="-3"/>
          <w:position w:val="7"/>
          <w:sz w:val="11"/>
        </w:rPr>
        <w:t>37</w:t>
      </w:r>
    </w:p>
    <w:p w14:paraId="30072284" w14:textId="77777777" w:rsidR="00894070" w:rsidRDefault="009B7AFD">
      <w:pPr>
        <w:pStyle w:val="ListParagraph"/>
        <w:numPr>
          <w:ilvl w:val="1"/>
          <w:numId w:val="177"/>
        </w:numPr>
        <w:tabs>
          <w:tab w:val="left" w:pos="1801"/>
          <w:tab w:val="left" w:pos="1802"/>
        </w:tabs>
        <w:spacing w:before="128" w:line="206" w:lineRule="auto"/>
        <w:ind w:right="1295"/>
        <w:rPr>
          <w:sz w:val="11"/>
        </w:rPr>
      </w:pPr>
      <w:r>
        <w:rPr>
          <w:color w:val="231F20"/>
          <w:sz w:val="20"/>
        </w:rPr>
        <w:t xml:space="preserve">The </w:t>
      </w:r>
      <w:r>
        <w:rPr>
          <w:color w:val="231F20"/>
          <w:spacing w:val="-3"/>
          <w:sz w:val="20"/>
        </w:rPr>
        <w:t xml:space="preserve">information </w:t>
      </w:r>
      <w:r>
        <w:rPr>
          <w:color w:val="231F20"/>
          <w:sz w:val="20"/>
        </w:rPr>
        <w:t xml:space="preserve">is found in </w:t>
      </w:r>
      <w:r>
        <w:rPr>
          <w:color w:val="231F20"/>
          <w:spacing w:val="-3"/>
          <w:sz w:val="20"/>
        </w:rPr>
        <w:t xml:space="preserve">different </w:t>
      </w:r>
      <w:r>
        <w:rPr>
          <w:color w:val="231F20"/>
          <w:sz w:val="20"/>
        </w:rPr>
        <w:t xml:space="preserve">places and does not </w:t>
      </w:r>
      <w:r>
        <w:rPr>
          <w:color w:val="231F20"/>
          <w:spacing w:val="-3"/>
          <w:sz w:val="20"/>
        </w:rPr>
        <w:t xml:space="preserve">give </w:t>
      </w:r>
      <w:r>
        <w:rPr>
          <w:color w:val="231F20"/>
          <w:sz w:val="20"/>
        </w:rPr>
        <w:t xml:space="preserve">people a </w:t>
      </w:r>
      <w:r>
        <w:rPr>
          <w:color w:val="231F20"/>
          <w:spacing w:val="-3"/>
          <w:sz w:val="20"/>
        </w:rPr>
        <w:t xml:space="preserve">complete picture </w:t>
      </w:r>
      <w:r>
        <w:rPr>
          <w:color w:val="231F20"/>
          <w:sz w:val="20"/>
        </w:rPr>
        <w:t xml:space="preserve">of their options. </w:t>
      </w:r>
      <w:r>
        <w:rPr>
          <w:color w:val="231F20"/>
          <w:spacing w:val="-3"/>
          <w:sz w:val="20"/>
        </w:rPr>
        <w:t xml:space="preserve">For example, information </w:t>
      </w:r>
      <w:r>
        <w:rPr>
          <w:color w:val="231F20"/>
          <w:sz w:val="20"/>
        </w:rPr>
        <w:t xml:space="preserve">about personal safety </w:t>
      </w:r>
      <w:r>
        <w:rPr>
          <w:color w:val="231F20"/>
          <w:spacing w:val="-2"/>
          <w:sz w:val="20"/>
        </w:rPr>
        <w:t xml:space="preserve">intervention </w:t>
      </w:r>
      <w:r>
        <w:rPr>
          <w:color w:val="231F20"/>
          <w:sz w:val="20"/>
        </w:rPr>
        <w:t>orders</w:t>
      </w:r>
      <w:r>
        <w:rPr>
          <w:color w:val="231F20"/>
          <w:spacing w:val="-13"/>
          <w:sz w:val="20"/>
        </w:rPr>
        <w:t xml:space="preserve"> </w:t>
      </w:r>
      <w:r>
        <w:rPr>
          <w:color w:val="231F20"/>
          <w:sz w:val="20"/>
        </w:rPr>
        <w:t>(PSIOs)</w:t>
      </w:r>
      <w:r>
        <w:rPr>
          <w:color w:val="231F20"/>
          <w:spacing w:val="-13"/>
          <w:sz w:val="20"/>
        </w:rPr>
        <w:t xml:space="preserve"> </w:t>
      </w:r>
      <w:r>
        <w:rPr>
          <w:color w:val="231F20"/>
          <w:sz w:val="20"/>
        </w:rPr>
        <w:t>is</w:t>
      </w:r>
      <w:r>
        <w:rPr>
          <w:color w:val="231F20"/>
          <w:spacing w:val="-13"/>
          <w:sz w:val="20"/>
        </w:rPr>
        <w:t xml:space="preserve"> </w:t>
      </w:r>
      <w:r>
        <w:rPr>
          <w:color w:val="231F20"/>
          <w:sz w:val="20"/>
        </w:rPr>
        <w:t>available</w:t>
      </w:r>
      <w:r>
        <w:rPr>
          <w:color w:val="231F20"/>
          <w:spacing w:val="-12"/>
          <w:sz w:val="20"/>
        </w:rPr>
        <w:t xml:space="preserve"> </w:t>
      </w:r>
      <w:r>
        <w:rPr>
          <w:color w:val="231F20"/>
          <w:sz w:val="20"/>
        </w:rPr>
        <w:t>on</w:t>
      </w:r>
      <w:r>
        <w:rPr>
          <w:color w:val="231F20"/>
          <w:spacing w:val="-13"/>
          <w:sz w:val="20"/>
        </w:rPr>
        <w:t xml:space="preserve"> </w:t>
      </w:r>
      <w:r>
        <w:rPr>
          <w:color w:val="231F20"/>
          <w:sz w:val="20"/>
        </w:rPr>
        <w:t>Victoria</w:t>
      </w:r>
      <w:r>
        <w:rPr>
          <w:color w:val="231F20"/>
          <w:spacing w:val="-13"/>
          <w:sz w:val="20"/>
        </w:rPr>
        <w:t xml:space="preserve"> </w:t>
      </w:r>
      <w:r>
        <w:rPr>
          <w:color w:val="231F20"/>
          <w:sz w:val="20"/>
        </w:rPr>
        <w:t>Legal</w:t>
      </w:r>
      <w:r>
        <w:rPr>
          <w:color w:val="231F20"/>
          <w:spacing w:val="-13"/>
          <w:sz w:val="20"/>
        </w:rPr>
        <w:t xml:space="preserve"> </w:t>
      </w:r>
      <w:r>
        <w:rPr>
          <w:color w:val="231F20"/>
          <w:sz w:val="20"/>
        </w:rPr>
        <w:t>Aid’s</w:t>
      </w:r>
      <w:r>
        <w:rPr>
          <w:color w:val="231F20"/>
          <w:spacing w:val="-12"/>
          <w:sz w:val="20"/>
        </w:rPr>
        <w:t xml:space="preserve"> </w:t>
      </w:r>
      <w:r>
        <w:rPr>
          <w:color w:val="231F20"/>
          <w:sz w:val="20"/>
        </w:rPr>
        <w:t>‘Violence,</w:t>
      </w:r>
      <w:r>
        <w:rPr>
          <w:color w:val="231F20"/>
          <w:spacing w:val="-13"/>
          <w:sz w:val="20"/>
        </w:rPr>
        <w:t xml:space="preserve"> </w:t>
      </w:r>
      <w:r>
        <w:rPr>
          <w:color w:val="231F20"/>
          <w:sz w:val="20"/>
        </w:rPr>
        <w:t>abuse</w:t>
      </w:r>
      <w:r>
        <w:rPr>
          <w:color w:val="231F20"/>
          <w:spacing w:val="-13"/>
          <w:sz w:val="20"/>
        </w:rPr>
        <w:t xml:space="preserve"> </w:t>
      </w:r>
      <w:r>
        <w:rPr>
          <w:color w:val="231F20"/>
          <w:sz w:val="20"/>
        </w:rPr>
        <w:t>and</w:t>
      </w:r>
      <w:r>
        <w:rPr>
          <w:color w:val="231F20"/>
          <w:spacing w:val="-12"/>
          <w:sz w:val="20"/>
        </w:rPr>
        <w:t xml:space="preserve"> </w:t>
      </w:r>
      <w:r>
        <w:rPr>
          <w:color w:val="231F20"/>
          <w:sz w:val="20"/>
        </w:rPr>
        <w:t>personal</w:t>
      </w:r>
      <w:r>
        <w:rPr>
          <w:color w:val="231F20"/>
          <w:spacing w:val="-13"/>
          <w:sz w:val="20"/>
        </w:rPr>
        <w:t xml:space="preserve"> </w:t>
      </w:r>
      <w:r>
        <w:rPr>
          <w:color w:val="231F20"/>
          <w:sz w:val="20"/>
        </w:rPr>
        <w:t xml:space="preserve">safety’ webpage, but this page does not include </w:t>
      </w:r>
      <w:r>
        <w:rPr>
          <w:color w:val="231F20"/>
          <w:spacing w:val="-3"/>
          <w:sz w:val="20"/>
        </w:rPr>
        <w:t xml:space="preserve">information </w:t>
      </w:r>
      <w:r>
        <w:rPr>
          <w:color w:val="231F20"/>
          <w:sz w:val="20"/>
        </w:rPr>
        <w:t>about the criminal offence of stalking.</w:t>
      </w:r>
      <w:r>
        <w:rPr>
          <w:color w:val="231F20"/>
          <w:position w:val="7"/>
          <w:sz w:val="11"/>
        </w:rPr>
        <w:t>38</w:t>
      </w:r>
    </w:p>
    <w:p w14:paraId="1CC3EAA3" w14:textId="77777777" w:rsidR="00894070" w:rsidRDefault="009B7AFD">
      <w:pPr>
        <w:pStyle w:val="ListParagraph"/>
        <w:numPr>
          <w:ilvl w:val="1"/>
          <w:numId w:val="177"/>
        </w:numPr>
        <w:tabs>
          <w:tab w:val="left" w:pos="1801"/>
          <w:tab w:val="left" w:pos="1802"/>
        </w:tabs>
        <w:spacing w:before="126" w:line="206" w:lineRule="auto"/>
        <w:ind w:right="1353"/>
        <w:rPr>
          <w:sz w:val="11"/>
        </w:rPr>
      </w:pPr>
      <w:r>
        <w:rPr>
          <w:color w:val="231F20"/>
          <w:sz w:val="20"/>
        </w:rPr>
        <w:t>Other</w:t>
      </w:r>
      <w:r>
        <w:rPr>
          <w:color w:val="231F20"/>
          <w:spacing w:val="-9"/>
          <w:sz w:val="20"/>
        </w:rPr>
        <w:t xml:space="preserve"> </w:t>
      </w:r>
      <w:r>
        <w:rPr>
          <w:color w:val="231F20"/>
          <w:spacing w:val="-3"/>
          <w:sz w:val="20"/>
        </w:rPr>
        <w:t>information,</w:t>
      </w:r>
      <w:r>
        <w:rPr>
          <w:color w:val="231F20"/>
          <w:spacing w:val="-9"/>
          <w:sz w:val="20"/>
        </w:rPr>
        <w:t xml:space="preserve"> </w:t>
      </w:r>
      <w:r>
        <w:rPr>
          <w:color w:val="231F20"/>
          <w:sz w:val="20"/>
        </w:rPr>
        <w:t>while</w:t>
      </w:r>
      <w:r>
        <w:rPr>
          <w:color w:val="231F20"/>
          <w:spacing w:val="-8"/>
          <w:sz w:val="20"/>
        </w:rPr>
        <w:t xml:space="preserve"> </w:t>
      </w:r>
      <w:r>
        <w:rPr>
          <w:color w:val="231F20"/>
          <w:sz w:val="20"/>
        </w:rPr>
        <w:t>helpful,</w:t>
      </w:r>
      <w:r>
        <w:rPr>
          <w:color w:val="231F20"/>
          <w:spacing w:val="-9"/>
          <w:sz w:val="20"/>
        </w:rPr>
        <w:t xml:space="preserve"> </w:t>
      </w:r>
      <w:r>
        <w:rPr>
          <w:color w:val="231F20"/>
          <w:spacing w:val="-3"/>
          <w:sz w:val="20"/>
        </w:rPr>
        <w:t>may</w:t>
      </w:r>
      <w:r>
        <w:rPr>
          <w:color w:val="231F20"/>
          <w:spacing w:val="-8"/>
          <w:sz w:val="20"/>
        </w:rPr>
        <w:t xml:space="preserve"> </w:t>
      </w:r>
      <w:r>
        <w:rPr>
          <w:color w:val="231F20"/>
          <w:sz w:val="20"/>
        </w:rPr>
        <w:t>not</w:t>
      </w:r>
      <w:r>
        <w:rPr>
          <w:color w:val="231F20"/>
          <w:spacing w:val="-9"/>
          <w:sz w:val="20"/>
        </w:rPr>
        <w:t xml:space="preserve"> </w:t>
      </w:r>
      <w:r>
        <w:rPr>
          <w:color w:val="231F20"/>
          <w:sz w:val="20"/>
        </w:rPr>
        <w:t>be</w:t>
      </w:r>
      <w:r>
        <w:rPr>
          <w:color w:val="231F20"/>
          <w:spacing w:val="-8"/>
          <w:sz w:val="20"/>
        </w:rPr>
        <w:t xml:space="preserve"> </w:t>
      </w:r>
      <w:r>
        <w:rPr>
          <w:color w:val="231F20"/>
          <w:sz w:val="20"/>
        </w:rPr>
        <w:t>clear</w:t>
      </w:r>
      <w:r>
        <w:rPr>
          <w:color w:val="231F20"/>
          <w:spacing w:val="-9"/>
          <w:sz w:val="20"/>
        </w:rPr>
        <w:t xml:space="preserve"> </w:t>
      </w:r>
      <w:r>
        <w:rPr>
          <w:color w:val="231F20"/>
          <w:sz w:val="20"/>
        </w:rPr>
        <w:t>enough</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people</w:t>
      </w:r>
      <w:r>
        <w:rPr>
          <w:color w:val="231F20"/>
          <w:spacing w:val="-9"/>
          <w:sz w:val="20"/>
        </w:rPr>
        <w:t xml:space="preserve"> </w:t>
      </w:r>
      <w:r>
        <w:rPr>
          <w:color w:val="231F20"/>
          <w:sz w:val="20"/>
        </w:rPr>
        <w:t>who</w:t>
      </w:r>
      <w:r>
        <w:rPr>
          <w:color w:val="231F20"/>
          <w:spacing w:val="-8"/>
          <w:sz w:val="20"/>
        </w:rPr>
        <w:t xml:space="preserve"> </w:t>
      </w:r>
      <w:r>
        <w:rPr>
          <w:color w:val="231F20"/>
          <w:sz w:val="20"/>
        </w:rPr>
        <w:t xml:space="preserve">experience stalking. As </w:t>
      </w:r>
      <w:r>
        <w:rPr>
          <w:color w:val="231F20"/>
          <w:spacing w:val="-3"/>
          <w:sz w:val="20"/>
        </w:rPr>
        <w:t xml:space="preserve">we </w:t>
      </w:r>
      <w:r>
        <w:rPr>
          <w:color w:val="231F20"/>
          <w:sz w:val="20"/>
        </w:rPr>
        <w:t xml:space="preserve">discuss in </w:t>
      </w:r>
      <w:r>
        <w:rPr>
          <w:color w:val="231F20"/>
          <w:spacing w:val="-3"/>
          <w:sz w:val="20"/>
        </w:rPr>
        <w:t xml:space="preserve">Chapter </w:t>
      </w:r>
      <w:r>
        <w:rPr>
          <w:color w:val="231F20"/>
          <w:sz w:val="20"/>
        </w:rPr>
        <w:t xml:space="preserve">3, certain forms of </w:t>
      </w:r>
      <w:r>
        <w:rPr>
          <w:color w:val="231F20"/>
          <w:spacing w:val="-3"/>
          <w:sz w:val="20"/>
        </w:rPr>
        <w:t xml:space="preserve">technology-facilitated </w:t>
      </w:r>
      <w:r>
        <w:rPr>
          <w:color w:val="231F20"/>
          <w:sz w:val="20"/>
        </w:rPr>
        <w:t xml:space="preserve">abuse, including cyberstalking, can be reported to the eSafety Commissioner who can </w:t>
      </w:r>
      <w:proofErr w:type="gramStart"/>
      <w:r>
        <w:rPr>
          <w:color w:val="231F20"/>
          <w:sz w:val="20"/>
        </w:rPr>
        <w:t>take action</w:t>
      </w:r>
      <w:proofErr w:type="gramEnd"/>
      <w:r>
        <w:rPr>
          <w:color w:val="231F20"/>
          <w:sz w:val="20"/>
        </w:rPr>
        <w:t xml:space="preserve">. But the information on its </w:t>
      </w:r>
      <w:r>
        <w:rPr>
          <w:color w:val="231F20"/>
          <w:spacing w:val="-3"/>
          <w:sz w:val="20"/>
        </w:rPr>
        <w:t xml:space="preserve">website </w:t>
      </w:r>
      <w:r>
        <w:rPr>
          <w:color w:val="231F20"/>
          <w:sz w:val="20"/>
        </w:rPr>
        <w:t xml:space="preserve">about these options and what a person should do </w:t>
      </w:r>
      <w:r>
        <w:rPr>
          <w:color w:val="231F20"/>
          <w:spacing w:val="-4"/>
          <w:sz w:val="20"/>
        </w:rPr>
        <w:t xml:space="preserve">(for </w:t>
      </w:r>
      <w:r>
        <w:rPr>
          <w:color w:val="231F20"/>
          <w:spacing w:val="-3"/>
          <w:sz w:val="20"/>
        </w:rPr>
        <w:t xml:space="preserve">example, </w:t>
      </w:r>
      <w:r>
        <w:rPr>
          <w:color w:val="231F20"/>
          <w:sz w:val="20"/>
        </w:rPr>
        <w:t xml:space="preserve">collect </w:t>
      </w:r>
      <w:r>
        <w:rPr>
          <w:color w:val="231F20"/>
          <w:spacing w:val="-3"/>
          <w:sz w:val="20"/>
        </w:rPr>
        <w:t xml:space="preserve">evidence) </w:t>
      </w:r>
      <w:r>
        <w:rPr>
          <w:color w:val="231F20"/>
          <w:sz w:val="20"/>
        </w:rPr>
        <w:t>does not make it clear that it applies to people experiencing</w:t>
      </w:r>
      <w:r>
        <w:rPr>
          <w:color w:val="231F20"/>
          <w:spacing w:val="-9"/>
          <w:sz w:val="20"/>
        </w:rPr>
        <w:t xml:space="preserve"> </w:t>
      </w:r>
      <w:r>
        <w:rPr>
          <w:color w:val="231F20"/>
          <w:sz w:val="20"/>
        </w:rPr>
        <w:t>stalking.</w:t>
      </w:r>
      <w:r>
        <w:rPr>
          <w:color w:val="231F20"/>
          <w:position w:val="7"/>
          <w:sz w:val="11"/>
        </w:rPr>
        <w:t>39</w:t>
      </w:r>
    </w:p>
    <w:p w14:paraId="230D2A09" w14:textId="77777777" w:rsidR="00894070" w:rsidRDefault="00894070">
      <w:pPr>
        <w:pStyle w:val="BodyText"/>
      </w:pPr>
    </w:p>
    <w:p w14:paraId="4B12654C" w14:textId="77777777" w:rsidR="00894070" w:rsidRDefault="00894070">
      <w:pPr>
        <w:pStyle w:val="BodyText"/>
      </w:pPr>
    </w:p>
    <w:p w14:paraId="1BC50022" w14:textId="77777777" w:rsidR="00894070" w:rsidRDefault="00894070">
      <w:pPr>
        <w:pStyle w:val="BodyText"/>
      </w:pPr>
    </w:p>
    <w:p w14:paraId="6FA2E4ED" w14:textId="77777777" w:rsidR="00894070" w:rsidRDefault="009F6793">
      <w:pPr>
        <w:pStyle w:val="BodyText"/>
        <w:rPr>
          <w:sz w:val="10"/>
        </w:rPr>
      </w:pPr>
      <w:r>
        <w:pict w14:anchorId="7E4A561C">
          <v:line id="_x0000_s1497" style="position:absolute;z-index:251538432;mso-wrap-distance-left:0;mso-wrap-distance-right:0;mso-position-horizontal-relative:page" from="79.35pt,9.4pt" to="515.9pt,9.4pt" strokecolor="#f8cabc" strokeweight="1pt">
            <w10:wrap type="topAndBottom" anchorx="page"/>
          </v:line>
        </w:pict>
      </w:r>
    </w:p>
    <w:p w14:paraId="57354A5D" w14:textId="77777777" w:rsidR="00894070" w:rsidRDefault="009B7AFD">
      <w:pPr>
        <w:pStyle w:val="ListParagraph"/>
        <w:numPr>
          <w:ilvl w:val="0"/>
          <w:numId w:val="134"/>
        </w:numPr>
        <w:tabs>
          <w:tab w:val="left" w:pos="1801"/>
          <w:tab w:val="left" w:pos="1802"/>
        </w:tabs>
        <w:spacing w:before="107" w:line="213" w:lineRule="auto"/>
        <w:ind w:right="1527"/>
        <w:rPr>
          <w:sz w:val="13"/>
        </w:rPr>
      </w:pPr>
      <w:r>
        <w:rPr>
          <w:color w:val="231F20"/>
          <w:sz w:val="13"/>
        </w:rPr>
        <w:t xml:space="preserve">A person with a </w:t>
      </w:r>
      <w:r>
        <w:rPr>
          <w:color w:val="231F20"/>
          <w:spacing w:val="2"/>
          <w:sz w:val="13"/>
        </w:rPr>
        <w:t xml:space="preserve">disability </w:t>
      </w:r>
      <w:r>
        <w:rPr>
          <w:color w:val="231F20"/>
          <w:sz w:val="13"/>
        </w:rPr>
        <w:t xml:space="preserve">who lives in a rural/regional community: 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14"/>
          <w:sz w:val="13"/>
        </w:rPr>
        <w:t xml:space="preserve"> </w:t>
      </w:r>
      <w:r>
        <w:rPr>
          <w:color w:val="231F20"/>
          <w:sz w:val="13"/>
        </w:rPr>
        <w:t>2021).</w:t>
      </w:r>
    </w:p>
    <w:p w14:paraId="3272ABC6" w14:textId="77777777" w:rsidR="00894070" w:rsidRDefault="009B7AFD">
      <w:pPr>
        <w:pStyle w:val="ListParagraph"/>
        <w:numPr>
          <w:ilvl w:val="0"/>
          <w:numId w:val="134"/>
        </w:numPr>
        <w:tabs>
          <w:tab w:val="left" w:pos="1800"/>
          <w:tab w:val="left" w:pos="1802"/>
        </w:tabs>
        <w:spacing w:line="153" w:lineRule="exact"/>
        <w:rPr>
          <w:sz w:val="13"/>
        </w:rPr>
      </w:pPr>
      <w:r>
        <w:rPr>
          <w:color w:val="231F20"/>
          <w:sz w:val="13"/>
        </w:rPr>
        <w:t xml:space="preserve">Victorian Government, ‘Stalking’, </w:t>
      </w:r>
      <w:r>
        <w:rPr>
          <w:i/>
          <w:color w:val="231F20"/>
          <w:sz w:val="13"/>
        </w:rPr>
        <w:t xml:space="preserve">Victims of Crime—Victorian Government </w:t>
      </w:r>
      <w:r>
        <w:rPr>
          <w:i/>
          <w:color w:val="231F20"/>
          <w:spacing w:val="2"/>
          <w:sz w:val="13"/>
        </w:rPr>
        <w:t xml:space="preserve">Support </w:t>
      </w:r>
      <w:r>
        <w:rPr>
          <w:i/>
          <w:color w:val="231F20"/>
          <w:sz w:val="13"/>
        </w:rPr>
        <w:t xml:space="preserve">for Victims </w:t>
      </w:r>
      <w:r>
        <w:rPr>
          <w:color w:val="231F20"/>
          <w:sz w:val="13"/>
        </w:rPr>
        <w:t>(Web Page, 10 June</w:t>
      </w:r>
      <w:r>
        <w:rPr>
          <w:color w:val="231F20"/>
          <w:spacing w:val="20"/>
          <w:sz w:val="13"/>
        </w:rPr>
        <w:t xml:space="preserve"> </w:t>
      </w:r>
      <w:r>
        <w:rPr>
          <w:color w:val="231F20"/>
          <w:sz w:val="13"/>
        </w:rPr>
        <w:t>2021)</w:t>
      </w:r>
    </w:p>
    <w:p w14:paraId="7434AA89" w14:textId="77777777" w:rsidR="00894070" w:rsidRDefault="009F6793">
      <w:pPr>
        <w:spacing w:before="6" w:line="213" w:lineRule="auto"/>
        <w:ind w:left="1801" w:right="1369"/>
        <w:rPr>
          <w:sz w:val="13"/>
        </w:rPr>
      </w:pPr>
      <w:hyperlink r:id="rId118">
        <w:r w:rsidR="009B7AFD">
          <w:rPr>
            <w:color w:val="231F20"/>
            <w:sz w:val="13"/>
          </w:rPr>
          <w:t>&lt;https://www.victimsofcrime.vic.gov.au/the-crime/types-of-crime/stalking</w:t>
        </w:r>
      </w:hyperlink>
      <w:r w:rsidR="009B7AFD">
        <w:rPr>
          <w:color w:val="231F20"/>
          <w:sz w:val="13"/>
        </w:rPr>
        <w:t xml:space="preserve">&gt;; ‘Stalking’, </w:t>
      </w:r>
      <w:r w:rsidR="009B7AFD">
        <w:rPr>
          <w:i/>
          <w:color w:val="231F20"/>
          <w:sz w:val="13"/>
        </w:rPr>
        <w:t xml:space="preserve">1800RESPECT </w:t>
      </w:r>
      <w:r w:rsidR="009B7AFD">
        <w:rPr>
          <w:color w:val="231F20"/>
          <w:sz w:val="13"/>
        </w:rPr>
        <w:t>(Web Page) &lt;https:// www.1800</w:t>
      </w:r>
      <w:hyperlink r:id="rId119">
        <w:r w:rsidR="009B7AFD">
          <w:rPr>
            <w:color w:val="231F20"/>
            <w:sz w:val="13"/>
          </w:rPr>
          <w:t>respect.org.au/violence-and-abuse/stalking</w:t>
        </w:r>
      </w:hyperlink>
      <w:r w:rsidR="009B7AFD">
        <w:rPr>
          <w:color w:val="231F20"/>
          <w:sz w:val="13"/>
        </w:rPr>
        <w:t xml:space="preserve">&gt;. There are </w:t>
      </w:r>
      <w:r w:rsidR="009B7AFD">
        <w:rPr>
          <w:color w:val="231F20"/>
          <w:spacing w:val="2"/>
          <w:sz w:val="13"/>
        </w:rPr>
        <w:t xml:space="preserve">also </w:t>
      </w:r>
      <w:r w:rsidR="009B7AFD">
        <w:rPr>
          <w:color w:val="231F20"/>
          <w:sz w:val="13"/>
        </w:rPr>
        <w:t xml:space="preserve">Victims of Crime and 1800RESPECT phone </w:t>
      </w:r>
      <w:r w:rsidR="009B7AFD">
        <w:rPr>
          <w:color w:val="231F20"/>
          <w:spacing w:val="2"/>
          <w:sz w:val="13"/>
        </w:rPr>
        <w:t xml:space="preserve">lines, </w:t>
      </w:r>
      <w:r w:rsidR="009B7AFD">
        <w:rPr>
          <w:color w:val="231F20"/>
          <w:sz w:val="13"/>
        </w:rPr>
        <w:t>and the 1800RESPECT website has an online chat</w:t>
      </w:r>
      <w:r w:rsidR="009B7AFD">
        <w:rPr>
          <w:color w:val="231F20"/>
          <w:spacing w:val="2"/>
          <w:sz w:val="13"/>
        </w:rPr>
        <w:t xml:space="preserve"> service.</w:t>
      </w:r>
    </w:p>
    <w:p w14:paraId="237F4148" w14:textId="77777777" w:rsidR="00894070" w:rsidRDefault="009B7AFD">
      <w:pPr>
        <w:pStyle w:val="ListParagraph"/>
        <w:numPr>
          <w:ilvl w:val="0"/>
          <w:numId w:val="134"/>
        </w:numPr>
        <w:tabs>
          <w:tab w:val="left" w:pos="1801"/>
          <w:tab w:val="left" w:pos="1802"/>
        </w:tabs>
        <w:spacing w:line="213" w:lineRule="auto"/>
        <w:ind w:right="1524"/>
        <w:rPr>
          <w:sz w:val="13"/>
        </w:rPr>
      </w:pPr>
      <w:r>
        <w:rPr>
          <w:color w:val="231F20"/>
          <w:sz w:val="13"/>
        </w:rPr>
        <w:t xml:space="preserve">The Victims of Crime website provides mainly </w:t>
      </w:r>
      <w:r>
        <w:rPr>
          <w:color w:val="231F20"/>
          <w:spacing w:val="2"/>
          <w:sz w:val="13"/>
        </w:rPr>
        <w:t xml:space="preserve">generic </w:t>
      </w:r>
      <w:r>
        <w:rPr>
          <w:color w:val="231F20"/>
          <w:sz w:val="13"/>
        </w:rPr>
        <w:t xml:space="preserve">information about the traumatic effects of crime under the heading </w:t>
      </w:r>
      <w:r>
        <w:rPr>
          <w:color w:val="231F20"/>
          <w:spacing w:val="2"/>
          <w:sz w:val="13"/>
        </w:rPr>
        <w:t xml:space="preserve">‘Understanding </w:t>
      </w:r>
      <w:r>
        <w:rPr>
          <w:color w:val="231F20"/>
          <w:sz w:val="13"/>
        </w:rPr>
        <w:t xml:space="preserve">the traumatic effects of stalking’: Victorian Government, ‘Stalking’, </w:t>
      </w:r>
      <w:r>
        <w:rPr>
          <w:i/>
          <w:color w:val="231F20"/>
          <w:sz w:val="13"/>
        </w:rPr>
        <w:t xml:space="preserve">Victims of Crime—Victorian Government </w:t>
      </w:r>
      <w:r>
        <w:rPr>
          <w:i/>
          <w:color w:val="231F20"/>
          <w:spacing w:val="2"/>
          <w:sz w:val="13"/>
        </w:rPr>
        <w:t>Support</w:t>
      </w:r>
      <w:r>
        <w:rPr>
          <w:i/>
          <w:color w:val="231F20"/>
          <w:spacing w:val="12"/>
          <w:sz w:val="13"/>
        </w:rPr>
        <w:t xml:space="preserve"> </w:t>
      </w:r>
      <w:r>
        <w:rPr>
          <w:i/>
          <w:color w:val="231F20"/>
          <w:sz w:val="13"/>
        </w:rPr>
        <w:t>for</w:t>
      </w:r>
      <w:r>
        <w:rPr>
          <w:i/>
          <w:color w:val="231F20"/>
          <w:spacing w:val="12"/>
          <w:sz w:val="13"/>
        </w:rPr>
        <w:t xml:space="preserve"> </w:t>
      </w:r>
      <w:r>
        <w:rPr>
          <w:i/>
          <w:color w:val="231F20"/>
          <w:sz w:val="13"/>
        </w:rPr>
        <w:t>Victims</w:t>
      </w:r>
      <w:r>
        <w:rPr>
          <w:i/>
          <w:color w:val="231F20"/>
          <w:spacing w:val="12"/>
          <w:sz w:val="13"/>
        </w:rPr>
        <w:t xml:space="preserve"> </w:t>
      </w:r>
      <w:r>
        <w:rPr>
          <w:color w:val="231F20"/>
          <w:sz w:val="13"/>
        </w:rPr>
        <w:t>(Web</w:t>
      </w:r>
      <w:r>
        <w:rPr>
          <w:color w:val="231F20"/>
          <w:spacing w:val="13"/>
          <w:sz w:val="13"/>
        </w:rPr>
        <w:t xml:space="preserve"> </w:t>
      </w:r>
      <w:r>
        <w:rPr>
          <w:color w:val="231F20"/>
          <w:sz w:val="13"/>
        </w:rPr>
        <w:t>Page,</w:t>
      </w:r>
      <w:r>
        <w:rPr>
          <w:color w:val="231F20"/>
          <w:spacing w:val="12"/>
          <w:sz w:val="13"/>
        </w:rPr>
        <w:t xml:space="preserve"> </w:t>
      </w:r>
      <w:r>
        <w:rPr>
          <w:color w:val="231F20"/>
          <w:sz w:val="13"/>
        </w:rPr>
        <w:t>10</w:t>
      </w:r>
      <w:r>
        <w:rPr>
          <w:color w:val="231F20"/>
          <w:spacing w:val="13"/>
          <w:sz w:val="13"/>
        </w:rPr>
        <w:t xml:space="preserve"> </w:t>
      </w:r>
      <w:r>
        <w:rPr>
          <w:color w:val="231F20"/>
          <w:sz w:val="13"/>
        </w:rPr>
        <w:t>June</w:t>
      </w:r>
      <w:r>
        <w:rPr>
          <w:color w:val="231F20"/>
          <w:spacing w:val="12"/>
          <w:sz w:val="13"/>
        </w:rPr>
        <w:t xml:space="preserve"> </w:t>
      </w:r>
      <w:r>
        <w:rPr>
          <w:color w:val="231F20"/>
          <w:sz w:val="13"/>
        </w:rPr>
        <w:t>2021</w:t>
      </w:r>
      <w:hyperlink r:id="rId120">
        <w:r>
          <w:rPr>
            <w:color w:val="231F20"/>
            <w:sz w:val="13"/>
          </w:rPr>
          <w:t>)</w:t>
        </w:r>
        <w:r>
          <w:rPr>
            <w:color w:val="231F20"/>
            <w:spacing w:val="13"/>
            <w:sz w:val="13"/>
          </w:rPr>
          <w:t xml:space="preserve"> </w:t>
        </w:r>
        <w:r>
          <w:rPr>
            <w:color w:val="231F20"/>
            <w:sz w:val="13"/>
          </w:rPr>
          <w:t>&lt;https://www.victimsofcrime.vic.gov.au/the-crime/types-of-crime/stalking</w:t>
        </w:r>
      </w:hyperlink>
      <w:r>
        <w:rPr>
          <w:color w:val="231F20"/>
          <w:sz w:val="13"/>
        </w:rPr>
        <w:t>&gt;.</w:t>
      </w:r>
    </w:p>
    <w:p w14:paraId="63F83634" w14:textId="77777777" w:rsidR="00894070" w:rsidRDefault="009B7AFD">
      <w:pPr>
        <w:pStyle w:val="ListParagraph"/>
        <w:numPr>
          <w:ilvl w:val="0"/>
          <w:numId w:val="134"/>
        </w:numPr>
        <w:tabs>
          <w:tab w:val="left" w:pos="1801"/>
          <w:tab w:val="left" w:pos="1802"/>
        </w:tabs>
        <w:spacing w:line="213" w:lineRule="auto"/>
        <w:ind w:right="1381"/>
        <w:rPr>
          <w:sz w:val="13"/>
        </w:rPr>
      </w:pPr>
      <w:r>
        <w:rPr>
          <w:color w:val="231F20"/>
          <w:sz w:val="13"/>
        </w:rPr>
        <w:t xml:space="preserve">Under the heading, </w:t>
      </w:r>
      <w:r>
        <w:rPr>
          <w:color w:val="231F20"/>
          <w:spacing w:val="2"/>
          <w:sz w:val="13"/>
        </w:rPr>
        <w:t xml:space="preserve">‘Who </w:t>
      </w:r>
      <w:r>
        <w:rPr>
          <w:color w:val="231F20"/>
          <w:sz w:val="13"/>
        </w:rPr>
        <w:t xml:space="preserve">is responsible for stalking?’ After explaining that </w:t>
      </w:r>
      <w:r>
        <w:rPr>
          <w:color w:val="231F20"/>
          <w:spacing w:val="2"/>
          <w:sz w:val="13"/>
        </w:rPr>
        <w:t xml:space="preserve">stalking </w:t>
      </w:r>
      <w:r>
        <w:rPr>
          <w:color w:val="231F20"/>
          <w:sz w:val="13"/>
        </w:rPr>
        <w:t xml:space="preserve">can be perpetrated by strangers or people you barely know, as well as by people you have a relationship with (including carers or </w:t>
      </w:r>
      <w:r>
        <w:rPr>
          <w:color w:val="231F20"/>
          <w:spacing w:val="2"/>
          <w:sz w:val="13"/>
        </w:rPr>
        <w:t xml:space="preserve">support </w:t>
      </w:r>
      <w:r>
        <w:rPr>
          <w:color w:val="231F20"/>
          <w:sz w:val="13"/>
        </w:rPr>
        <w:t xml:space="preserve">workers, and adult children), it states clearly, </w:t>
      </w:r>
      <w:r>
        <w:rPr>
          <w:color w:val="231F20"/>
          <w:spacing w:val="2"/>
          <w:sz w:val="13"/>
        </w:rPr>
        <w:t xml:space="preserve">‘None </w:t>
      </w:r>
      <w:r>
        <w:rPr>
          <w:color w:val="231F20"/>
          <w:sz w:val="13"/>
        </w:rPr>
        <w:t xml:space="preserve">of these people has the right to scare and control you with unwanted attention’: ‘Stalking’, </w:t>
      </w:r>
      <w:r>
        <w:rPr>
          <w:i/>
          <w:color w:val="231F20"/>
          <w:sz w:val="13"/>
        </w:rPr>
        <w:t xml:space="preserve">1800RESPECT </w:t>
      </w:r>
      <w:r>
        <w:rPr>
          <w:color w:val="231F20"/>
          <w:sz w:val="13"/>
        </w:rPr>
        <w:t>(Web Page)</w:t>
      </w:r>
      <w:r>
        <w:rPr>
          <w:color w:val="231F20"/>
          <w:spacing w:val="1"/>
          <w:sz w:val="13"/>
        </w:rPr>
        <w:t xml:space="preserve"> </w:t>
      </w:r>
      <w:r>
        <w:rPr>
          <w:color w:val="231F20"/>
          <w:sz w:val="13"/>
        </w:rPr>
        <w:t>&lt;https://www.1800</w:t>
      </w:r>
      <w:hyperlink r:id="rId121">
        <w:r>
          <w:rPr>
            <w:color w:val="231F20"/>
            <w:sz w:val="13"/>
          </w:rPr>
          <w:t>respect.org.au/violence-and-abuse/stalking</w:t>
        </w:r>
      </w:hyperlink>
      <w:r>
        <w:rPr>
          <w:color w:val="231F20"/>
          <w:sz w:val="13"/>
        </w:rPr>
        <w:t>&gt;.</w:t>
      </w:r>
    </w:p>
    <w:p w14:paraId="44445AEE" w14:textId="77777777" w:rsidR="00894070" w:rsidRDefault="009B7AFD">
      <w:pPr>
        <w:pStyle w:val="ListParagraph"/>
        <w:numPr>
          <w:ilvl w:val="0"/>
          <w:numId w:val="134"/>
        </w:numPr>
        <w:tabs>
          <w:tab w:val="left" w:pos="1801"/>
          <w:tab w:val="left" w:pos="1802"/>
        </w:tabs>
        <w:spacing w:line="151" w:lineRule="exact"/>
        <w:rPr>
          <w:sz w:val="13"/>
        </w:rPr>
      </w:pPr>
      <w:r>
        <w:rPr>
          <w:color w:val="231F20"/>
          <w:sz w:val="13"/>
        </w:rPr>
        <w:t xml:space="preserve">Victoria Legal Aid, </w:t>
      </w:r>
      <w:r>
        <w:rPr>
          <w:color w:val="231F20"/>
          <w:spacing w:val="2"/>
          <w:sz w:val="13"/>
        </w:rPr>
        <w:t xml:space="preserve">‘Violence, </w:t>
      </w:r>
      <w:r>
        <w:rPr>
          <w:color w:val="231F20"/>
          <w:sz w:val="13"/>
        </w:rPr>
        <w:t xml:space="preserve">Abuse and Personal Safety’, </w:t>
      </w:r>
      <w:r>
        <w:rPr>
          <w:i/>
          <w:color w:val="231F20"/>
          <w:sz w:val="13"/>
        </w:rPr>
        <w:t xml:space="preserve">Helping Victorians with their Legal Issues </w:t>
      </w:r>
      <w:r>
        <w:rPr>
          <w:color w:val="231F20"/>
          <w:sz w:val="13"/>
        </w:rPr>
        <w:t>(Web Page, 18 May</w:t>
      </w:r>
      <w:r>
        <w:rPr>
          <w:color w:val="231F20"/>
          <w:spacing w:val="30"/>
          <w:sz w:val="13"/>
        </w:rPr>
        <w:t xml:space="preserve"> </w:t>
      </w:r>
      <w:r>
        <w:rPr>
          <w:color w:val="231F20"/>
          <w:sz w:val="13"/>
        </w:rPr>
        <w:t>2022)</w:t>
      </w:r>
    </w:p>
    <w:p w14:paraId="0D6147D6" w14:textId="77777777" w:rsidR="00894070" w:rsidRDefault="009F6793">
      <w:pPr>
        <w:spacing w:line="160" w:lineRule="exact"/>
        <w:ind w:left="1801"/>
        <w:rPr>
          <w:sz w:val="13"/>
        </w:rPr>
      </w:pPr>
      <w:hyperlink r:id="rId122">
        <w:r w:rsidR="009B7AFD">
          <w:rPr>
            <w:color w:val="231F20"/>
            <w:sz w:val="13"/>
          </w:rPr>
          <w:t>&lt;https://www.legalaid.vic.gov.au/violence-abuse-and-personal-safety</w:t>
        </w:r>
      </w:hyperlink>
      <w:r w:rsidR="009B7AFD">
        <w:rPr>
          <w:color w:val="231F20"/>
          <w:sz w:val="13"/>
        </w:rPr>
        <w:t>&gt;.</w:t>
      </w:r>
    </w:p>
    <w:p w14:paraId="680D9B61" w14:textId="77777777" w:rsidR="00894070" w:rsidRDefault="009F6793">
      <w:pPr>
        <w:pStyle w:val="ListParagraph"/>
        <w:numPr>
          <w:ilvl w:val="0"/>
          <w:numId w:val="134"/>
        </w:numPr>
        <w:tabs>
          <w:tab w:val="left" w:pos="1800"/>
          <w:tab w:val="left" w:pos="1802"/>
        </w:tabs>
        <w:spacing w:line="160" w:lineRule="exact"/>
        <w:rPr>
          <w:sz w:val="13"/>
        </w:rPr>
      </w:pPr>
      <w:r>
        <w:pict w14:anchorId="04D663A4">
          <v:shape id="_x0000_s1496" type="#_x0000_t202" style="position:absolute;left:0;text-align:left;margin-left:548.75pt;margin-top:3.7pt;width:13.55pt;height:14.1pt;z-index:251616256;mso-position-horizontal-relative:page" filled="f" stroked="f">
            <v:textbox inset="0,0,0,0">
              <w:txbxContent>
                <w:p w14:paraId="34BC1389" w14:textId="77777777" w:rsidR="00894070" w:rsidRDefault="009B7AFD">
                  <w:pPr>
                    <w:spacing w:line="282" w:lineRule="exact"/>
                    <w:rPr>
                      <w:b/>
                      <w:sz w:val="24"/>
                    </w:rPr>
                  </w:pPr>
                  <w:r>
                    <w:rPr>
                      <w:b/>
                      <w:color w:val="EA5B50"/>
                      <w:spacing w:val="-2"/>
                      <w:sz w:val="24"/>
                    </w:rPr>
                    <w:t>59</w:t>
                  </w:r>
                </w:p>
              </w:txbxContent>
            </v:textbox>
            <w10:wrap anchorx="page"/>
          </v:shape>
        </w:pict>
      </w:r>
      <w:r w:rsidR="009B7AFD">
        <w:rPr>
          <w:color w:val="231F20"/>
          <w:sz w:val="13"/>
        </w:rPr>
        <w:t xml:space="preserve">‘How to </w:t>
      </w:r>
      <w:r w:rsidR="009B7AFD">
        <w:rPr>
          <w:color w:val="231F20"/>
          <w:spacing w:val="2"/>
          <w:sz w:val="13"/>
        </w:rPr>
        <w:t xml:space="preserve">Report </w:t>
      </w:r>
      <w:r w:rsidR="009B7AFD">
        <w:rPr>
          <w:color w:val="231F20"/>
          <w:sz w:val="13"/>
        </w:rPr>
        <w:t xml:space="preserve">Abuse or Content to ESafety’, </w:t>
      </w:r>
      <w:r w:rsidR="009B7AFD">
        <w:rPr>
          <w:i/>
          <w:color w:val="231F20"/>
          <w:sz w:val="13"/>
        </w:rPr>
        <w:t xml:space="preserve">ESafety Commissioner </w:t>
      </w:r>
      <w:r w:rsidR="009B7AFD">
        <w:rPr>
          <w:color w:val="231F20"/>
          <w:sz w:val="13"/>
        </w:rPr>
        <w:t>(Web Pag</w:t>
      </w:r>
      <w:hyperlink r:id="rId123">
        <w:r w:rsidR="009B7AFD">
          <w:rPr>
            <w:color w:val="231F20"/>
            <w:sz w:val="13"/>
          </w:rPr>
          <w:t>e)</w:t>
        </w:r>
        <w:r w:rsidR="009B7AFD">
          <w:rPr>
            <w:color w:val="231F20"/>
            <w:spacing w:val="21"/>
            <w:sz w:val="13"/>
          </w:rPr>
          <w:t xml:space="preserve"> </w:t>
        </w:r>
        <w:r w:rsidR="009B7AFD">
          <w:rPr>
            <w:color w:val="231F20"/>
            <w:sz w:val="13"/>
          </w:rPr>
          <w:t>&lt;https://www.esafety.gov.au/report/how-to-</w:t>
        </w:r>
      </w:hyperlink>
    </w:p>
    <w:p w14:paraId="6D0ED2BE" w14:textId="77777777" w:rsidR="00894070" w:rsidRDefault="009F6793">
      <w:pPr>
        <w:spacing w:line="170" w:lineRule="exact"/>
        <w:ind w:left="1801"/>
        <w:rPr>
          <w:sz w:val="13"/>
        </w:rPr>
      </w:pPr>
      <w:hyperlink r:id="rId124">
        <w:r w:rsidR="009B7AFD">
          <w:rPr>
            <w:color w:val="231F20"/>
            <w:sz w:val="13"/>
          </w:rPr>
          <w:t>report-serious-online-abuse-illegal-restricted-content</w:t>
        </w:r>
      </w:hyperlink>
      <w:r w:rsidR="009B7AFD">
        <w:rPr>
          <w:color w:val="231F20"/>
          <w:sz w:val="13"/>
        </w:rPr>
        <w:t>&gt;.</w:t>
      </w:r>
    </w:p>
    <w:p w14:paraId="6CB7C28D" w14:textId="77777777" w:rsidR="00894070" w:rsidRDefault="00894070">
      <w:pPr>
        <w:spacing w:line="170" w:lineRule="exact"/>
        <w:rPr>
          <w:sz w:val="13"/>
        </w:rPr>
        <w:sectPr w:rsidR="00894070">
          <w:pgSz w:w="11910" w:h="16840"/>
          <w:pgMar w:top="840" w:right="420" w:bottom="280" w:left="580" w:header="0" w:footer="0" w:gutter="0"/>
          <w:cols w:space="720"/>
        </w:sectPr>
      </w:pPr>
    </w:p>
    <w:p w14:paraId="60AF7B0E" w14:textId="77777777" w:rsidR="00894070" w:rsidRDefault="00894070">
      <w:pPr>
        <w:pStyle w:val="BodyText"/>
      </w:pPr>
    </w:p>
    <w:p w14:paraId="4710AE37" w14:textId="77777777" w:rsidR="00894070" w:rsidRDefault="00894070">
      <w:pPr>
        <w:pStyle w:val="BodyText"/>
      </w:pPr>
    </w:p>
    <w:p w14:paraId="65F83D8F" w14:textId="77777777" w:rsidR="00894070" w:rsidRDefault="00894070">
      <w:pPr>
        <w:pStyle w:val="BodyText"/>
      </w:pPr>
    </w:p>
    <w:p w14:paraId="7F5E7F05" w14:textId="77777777" w:rsidR="00894070" w:rsidRDefault="00894070">
      <w:pPr>
        <w:pStyle w:val="BodyText"/>
        <w:spacing w:before="11"/>
        <w:rPr>
          <w:sz w:val="18"/>
        </w:rPr>
      </w:pPr>
    </w:p>
    <w:p w14:paraId="673BEE7B" w14:textId="77777777" w:rsidR="00894070" w:rsidRDefault="009B7AFD">
      <w:pPr>
        <w:pStyle w:val="ListParagraph"/>
        <w:numPr>
          <w:ilvl w:val="1"/>
          <w:numId w:val="177"/>
        </w:numPr>
        <w:tabs>
          <w:tab w:val="left" w:pos="1801"/>
          <w:tab w:val="left" w:pos="1802"/>
        </w:tabs>
        <w:spacing w:line="206" w:lineRule="auto"/>
        <w:ind w:right="1258"/>
        <w:rPr>
          <w:sz w:val="20"/>
        </w:rPr>
      </w:pPr>
      <w:bookmarkStart w:id="81" w:name="There_should_be_a_commitment_to_public_e"/>
      <w:bookmarkStart w:id="82" w:name="_bookmark42"/>
      <w:bookmarkEnd w:id="81"/>
      <w:bookmarkEnd w:id="82"/>
      <w:r>
        <w:rPr>
          <w:color w:val="231F20"/>
          <w:sz w:val="20"/>
        </w:rPr>
        <w:t xml:space="preserve">These </w:t>
      </w:r>
      <w:r>
        <w:rPr>
          <w:color w:val="231F20"/>
          <w:spacing w:val="-3"/>
          <w:sz w:val="20"/>
        </w:rPr>
        <w:t xml:space="preserve">websites </w:t>
      </w:r>
      <w:r>
        <w:rPr>
          <w:color w:val="231F20"/>
          <w:spacing w:val="-4"/>
          <w:sz w:val="20"/>
        </w:rPr>
        <w:t xml:space="preserve">have </w:t>
      </w:r>
      <w:r>
        <w:rPr>
          <w:color w:val="231F20"/>
          <w:spacing w:val="-3"/>
          <w:sz w:val="20"/>
        </w:rPr>
        <w:t xml:space="preserve">information </w:t>
      </w:r>
      <w:r>
        <w:rPr>
          <w:color w:val="231F20"/>
          <w:sz w:val="20"/>
        </w:rPr>
        <w:t xml:space="preserve">in a variety of languages. But aside </w:t>
      </w:r>
      <w:r>
        <w:rPr>
          <w:color w:val="231F20"/>
          <w:spacing w:val="-3"/>
          <w:sz w:val="20"/>
        </w:rPr>
        <w:t xml:space="preserve">from </w:t>
      </w:r>
      <w:r>
        <w:rPr>
          <w:color w:val="231F20"/>
          <w:sz w:val="20"/>
        </w:rPr>
        <w:t>the eSafety Commissioner’s</w:t>
      </w:r>
      <w:r>
        <w:rPr>
          <w:color w:val="231F20"/>
          <w:spacing w:val="-10"/>
          <w:sz w:val="20"/>
        </w:rPr>
        <w:t xml:space="preserve"> </w:t>
      </w:r>
      <w:r>
        <w:rPr>
          <w:color w:val="231F20"/>
          <w:spacing w:val="-3"/>
          <w:sz w:val="20"/>
        </w:rPr>
        <w:t>website,</w:t>
      </w:r>
      <w:r>
        <w:rPr>
          <w:color w:val="231F20"/>
          <w:spacing w:val="-10"/>
          <w:sz w:val="20"/>
        </w:rPr>
        <w:t xml:space="preserve"> </w:t>
      </w:r>
      <w:r>
        <w:rPr>
          <w:color w:val="231F20"/>
          <w:sz w:val="20"/>
        </w:rPr>
        <w:t>they</w:t>
      </w:r>
      <w:r>
        <w:rPr>
          <w:color w:val="231F20"/>
          <w:spacing w:val="-9"/>
          <w:sz w:val="20"/>
        </w:rPr>
        <w:t xml:space="preserve"> </w:t>
      </w:r>
      <w:r>
        <w:rPr>
          <w:color w:val="231F20"/>
          <w:sz w:val="20"/>
        </w:rPr>
        <w:t>do</w:t>
      </w:r>
      <w:r>
        <w:rPr>
          <w:color w:val="231F20"/>
          <w:spacing w:val="-10"/>
          <w:sz w:val="20"/>
        </w:rPr>
        <w:t xml:space="preserve"> </w:t>
      </w:r>
      <w:r>
        <w:rPr>
          <w:color w:val="231F20"/>
          <w:sz w:val="20"/>
        </w:rPr>
        <w:t>not</w:t>
      </w:r>
      <w:r>
        <w:rPr>
          <w:color w:val="231F20"/>
          <w:spacing w:val="-10"/>
          <w:sz w:val="20"/>
        </w:rPr>
        <w:t xml:space="preserve"> </w:t>
      </w:r>
      <w:r>
        <w:rPr>
          <w:color w:val="231F20"/>
          <w:sz w:val="20"/>
        </w:rPr>
        <w:t>address</w:t>
      </w:r>
      <w:r>
        <w:rPr>
          <w:color w:val="231F20"/>
          <w:spacing w:val="-9"/>
          <w:sz w:val="20"/>
        </w:rPr>
        <w:t xml:space="preserve"> </w:t>
      </w:r>
      <w:r>
        <w:rPr>
          <w:color w:val="231F20"/>
          <w:sz w:val="20"/>
        </w:rPr>
        <w:t>the</w:t>
      </w:r>
      <w:r>
        <w:rPr>
          <w:color w:val="231F20"/>
          <w:spacing w:val="-10"/>
          <w:sz w:val="20"/>
        </w:rPr>
        <w:t xml:space="preserve"> </w:t>
      </w:r>
      <w:r>
        <w:rPr>
          <w:color w:val="231F20"/>
          <w:sz w:val="20"/>
        </w:rPr>
        <w:t>needs</w:t>
      </w:r>
      <w:r>
        <w:rPr>
          <w:color w:val="231F20"/>
          <w:spacing w:val="-10"/>
          <w:sz w:val="20"/>
        </w:rPr>
        <w:t xml:space="preserve"> </w:t>
      </w:r>
      <w:r>
        <w:rPr>
          <w:color w:val="231F20"/>
          <w:sz w:val="20"/>
        </w:rPr>
        <w:t>of</w:t>
      </w:r>
      <w:r>
        <w:rPr>
          <w:color w:val="231F20"/>
          <w:spacing w:val="-10"/>
          <w:sz w:val="20"/>
        </w:rPr>
        <w:t xml:space="preserve"> </w:t>
      </w:r>
      <w:r>
        <w:rPr>
          <w:color w:val="231F20"/>
          <w:sz w:val="20"/>
        </w:rPr>
        <w:t>people</w:t>
      </w:r>
      <w:r>
        <w:rPr>
          <w:color w:val="231F20"/>
          <w:spacing w:val="-10"/>
          <w:sz w:val="20"/>
        </w:rPr>
        <w:t xml:space="preserve"> </w:t>
      </w:r>
      <w:r>
        <w:rPr>
          <w:color w:val="231F20"/>
          <w:sz w:val="20"/>
        </w:rPr>
        <w:t>who</w:t>
      </w:r>
      <w:r>
        <w:rPr>
          <w:color w:val="231F20"/>
          <w:spacing w:val="-10"/>
          <w:sz w:val="20"/>
        </w:rPr>
        <w:t xml:space="preserve"> </w:t>
      </w:r>
      <w:r>
        <w:rPr>
          <w:color w:val="231F20"/>
          <w:sz w:val="20"/>
        </w:rPr>
        <w:t>face</w:t>
      </w:r>
      <w:r>
        <w:rPr>
          <w:color w:val="231F20"/>
          <w:spacing w:val="-9"/>
          <w:sz w:val="20"/>
        </w:rPr>
        <w:t xml:space="preserve"> </w:t>
      </w:r>
      <w:r>
        <w:rPr>
          <w:color w:val="231F20"/>
          <w:sz w:val="20"/>
        </w:rPr>
        <w:t xml:space="preserve">additional barriers to justice. </w:t>
      </w:r>
      <w:r>
        <w:rPr>
          <w:color w:val="231F20"/>
          <w:spacing w:val="-3"/>
          <w:sz w:val="20"/>
        </w:rPr>
        <w:t xml:space="preserve">For example, </w:t>
      </w:r>
      <w:r>
        <w:rPr>
          <w:color w:val="231F20"/>
          <w:sz w:val="20"/>
        </w:rPr>
        <w:t xml:space="preserve">they do not </w:t>
      </w:r>
      <w:r>
        <w:rPr>
          <w:color w:val="231F20"/>
          <w:spacing w:val="-3"/>
          <w:sz w:val="20"/>
        </w:rPr>
        <w:t xml:space="preserve">provide </w:t>
      </w:r>
      <w:r>
        <w:rPr>
          <w:color w:val="231F20"/>
          <w:sz w:val="20"/>
        </w:rPr>
        <w:t>links to Aboriginal service providers.</w:t>
      </w:r>
    </w:p>
    <w:p w14:paraId="0138D4B5" w14:textId="77777777" w:rsidR="00894070" w:rsidRDefault="00894070">
      <w:pPr>
        <w:pStyle w:val="BodyText"/>
        <w:rPr>
          <w:sz w:val="22"/>
        </w:rPr>
      </w:pPr>
    </w:p>
    <w:p w14:paraId="7C44C611" w14:textId="77777777" w:rsidR="00894070" w:rsidRDefault="009B7AFD">
      <w:pPr>
        <w:pStyle w:val="Heading7"/>
        <w:spacing w:line="184" w:lineRule="auto"/>
        <w:ind w:right="1459"/>
      </w:pPr>
      <w:r>
        <w:rPr>
          <w:color w:val="EA5B50"/>
        </w:rPr>
        <w:t>There should be a commitment to public education about stalking</w:t>
      </w:r>
    </w:p>
    <w:p w14:paraId="756F81B8" w14:textId="77777777" w:rsidR="00894070" w:rsidRDefault="009B7AFD">
      <w:pPr>
        <w:pStyle w:val="ListParagraph"/>
        <w:numPr>
          <w:ilvl w:val="1"/>
          <w:numId w:val="177"/>
        </w:numPr>
        <w:tabs>
          <w:tab w:val="left" w:pos="1801"/>
          <w:tab w:val="left" w:pos="1802"/>
        </w:tabs>
        <w:spacing w:before="162" w:line="206" w:lineRule="auto"/>
        <w:ind w:right="1277"/>
        <w:rPr>
          <w:sz w:val="20"/>
        </w:rPr>
      </w:pPr>
      <w:r>
        <w:rPr>
          <w:color w:val="231F20"/>
          <w:sz w:val="20"/>
        </w:rPr>
        <w:t>The</w:t>
      </w:r>
      <w:r>
        <w:rPr>
          <w:color w:val="231F20"/>
          <w:spacing w:val="-11"/>
          <w:sz w:val="20"/>
        </w:rPr>
        <w:t xml:space="preserve"> </w:t>
      </w:r>
      <w:r>
        <w:rPr>
          <w:color w:val="231F20"/>
          <w:sz w:val="20"/>
        </w:rPr>
        <w:t>Victorian</w:t>
      </w:r>
      <w:r>
        <w:rPr>
          <w:color w:val="231F20"/>
          <w:spacing w:val="-11"/>
          <w:sz w:val="20"/>
        </w:rPr>
        <w:t xml:space="preserve"> </w:t>
      </w:r>
      <w:r>
        <w:rPr>
          <w:color w:val="231F20"/>
          <w:spacing w:val="-3"/>
          <w:sz w:val="20"/>
        </w:rPr>
        <w:t>Government</w:t>
      </w:r>
      <w:r>
        <w:rPr>
          <w:color w:val="231F20"/>
          <w:spacing w:val="-11"/>
          <w:sz w:val="20"/>
        </w:rPr>
        <w:t xml:space="preserve"> </w:t>
      </w:r>
      <w:r>
        <w:rPr>
          <w:color w:val="231F20"/>
          <w:sz w:val="20"/>
        </w:rPr>
        <w:t>should</w:t>
      </w:r>
      <w:r>
        <w:rPr>
          <w:color w:val="231F20"/>
          <w:spacing w:val="-11"/>
          <w:sz w:val="20"/>
        </w:rPr>
        <w:t xml:space="preserve"> </w:t>
      </w:r>
      <w:r>
        <w:rPr>
          <w:color w:val="231F20"/>
          <w:sz w:val="20"/>
        </w:rPr>
        <w:t>fund</w:t>
      </w:r>
      <w:r>
        <w:rPr>
          <w:color w:val="231F20"/>
          <w:spacing w:val="-11"/>
          <w:sz w:val="20"/>
        </w:rPr>
        <w:t xml:space="preserve"> </w:t>
      </w:r>
      <w:r>
        <w:rPr>
          <w:color w:val="231F20"/>
          <w:sz w:val="20"/>
        </w:rPr>
        <w:t>public</w:t>
      </w:r>
      <w:r>
        <w:rPr>
          <w:color w:val="231F20"/>
          <w:spacing w:val="-10"/>
          <w:sz w:val="20"/>
        </w:rPr>
        <w:t xml:space="preserve"> </w:t>
      </w:r>
      <w:r>
        <w:rPr>
          <w:color w:val="231F20"/>
          <w:sz w:val="20"/>
        </w:rPr>
        <w:t>education</w:t>
      </w:r>
      <w:r>
        <w:rPr>
          <w:color w:val="231F20"/>
          <w:spacing w:val="-11"/>
          <w:sz w:val="20"/>
        </w:rPr>
        <w:t xml:space="preserve"> </w:t>
      </w:r>
      <w:r>
        <w:rPr>
          <w:color w:val="231F20"/>
          <w:sz w:val="20"/>
        </w:rPr>
        <w:t>to</w:t>
      </w:r>
      <w:r>
        <w:rPr>
          <w:color w:val="231F20"/>
          <w:spacing w:val="-11"/>
          <w:sz w:val="20"/>
        </w:rPr>
        <w:t xml:space="preserve"> </w:t>
      </w:r>
      <w:r>
        <w:rPr>
          <w:color w:val="231F20"/>
          <w:sz w:val="20"/>
        </w:rPr>
        <w:t>strengthen</w:t>
      </w:r>
      <w:r>
        <w:rPr>
          <w:color w:val="231F20"/>
          <w:spacing w:val="-11"/>
          <w:sz w:val="20"/>
        </w:rPr>
        <w:t xml:space="preserve"> </w:t>
      </w:r>
      <w:r>
        <w:rPr>
          <w:color w:val="231F20"/>
          <w:sz w:val="20"/>
        </w:rPr>
        <w:t>the</w:t>
      </w:r>
      <w:r>
        <w:rPr>
          <w:color w:val="231F20"/>
          <w:spacing w:val="-11"/>
          <w:sz w:val="20"/>
        </w:rPr>
        <w:t xml:space="preserve"> </w:t>
      </w:r>
      <w:r>
        <w:rPr>
          <w:color w:val="231F20"/>
          <w:sz w:val="20"/>
        </w:rPr>
        <w:t>community response to stalking, challenge mistaken beliefs about it, and help meet the justice needs of people experiencing</w:t>
      </w:r>
      <w:r>
        <w:rPr>
          <w:color w:val="231F20"/>
          <w:spacing w:val="-18"/>
          <w:sz w:val="20"/>
        </w:rPr>
        <w:t xml:space="preserve"> </w:t>
      </w:r>
      <w:r>
        <w:rPr>
          <w:color w:val="231F20"/>
          <w:sz w:val="20"/>
        </w:rPr>
        <w:t>stalking.</w:t>
      </w:r>
    </w:p>
    <w:p w14:paraId="51D06BD9" w14:textId="77777777" w:rsidR="00894070" w:rsidRDefault="009B7AFD">
      <w:pPr>
        <w:pStyle w:val="ListParagraph"/>
        <w:numPr>
          <w:ilvl w:val="1"/>
          <w:numId w:val="177"/>
        </w:numPr>
        <w:tabs>
          <w:tab w:val="left" w:pos="1801"/>
          <w:tab w:val="left" w:pos="1802"/>
        </w:tabs>
        <w:spacing w:before="91" w:line="259" w:lineRule="exact"/>
        <w:rPr>
          <w:sz w:val="20"/>
        </w:rPr>
      </w:pPr>
      <w:r>
        <w:rPr>
          <w:color w:val="231F20"/>
          <w:sz w:val="20"/>
        </w:rPr>
        <w:t>Public</w:t>
      </w:r>
      <w:r>
        <w:rPr>
          <w:color w:val="231F20"/>
          <w:spacing w:val="-7"/>
          <w:sz w:val="20"/>
        </w:rPr>
        <w:t xml:space="preserve"> </w:t>
      </w:r>
      <w:r>
        <w:rPr>
          <w:color w:val="231F20"/>
          <w:sz w:val="20"/>
        </w:rPr>
        <w:t>education</w:t>
      </w:r>
      <w:r>
        <w:rPr>
          <w:color w:val="231F20"/>
          <w:spacing w:val="-6"/>
          <w:sz w:val="20"/>
        </w:rPr>
        <w:t xml:space="preserve"> </w:t>
      </w:r>
      <w:r>
        <w:rPr>
          <w:color w:val="231F20"/>
          <w:sz w:val="20"/>
        </w:rPr>
        <w:t>should</w:t>
      </w:r>
      <w:r>
        <w:rPr>
          <w:color w:val="231F20"/>
          <w:spacing w:val="-6"/>
          <w:sz w:val="20"/>
        </w:rPr>
        <w:t xml:space="preserve"> </w:t>
      </w:r>
      <w:r>
        <w:rPr>
          <w:color w:val="231F20"/>
          <w:sz w:val="20"/>
        </w:rPr>
        <w:t>highlight</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information</w:t>
      </w:r>
      <w:r>
        <w:rPr>
          <w:color w:val="231F20"/>
          <w:spacing w:val="-6"/>
          <w:sz w:val="20"/>
        </w:rPr>
        <w:t xml:space="preserve"> </w:t>
      </w:r>
      <w:r>
        <w:rPr>
          <w:color w:val="231F20"/>
          <w:sz w:val="20"/>
        </w:rPr>
        <w:t>that</w:t>
      </w:r>
      <w:r>
        <w:rPr>
          <w:color w:val="231F20"/>
          <w:spacing w:val="-7"/>
          <w:sz w:val="20"/>
        </w:rPr>
        <w:t xml:space="preserve"> </w:t>
      </w:r>
      <w:r>
        <w:rPr>
          <w:color w:val="231F20"/>
          <w:sz w:val="20"/>
        </w:rPr>
        <w:t>is</w:t>
      </w:r>
      <w:r>
        <w:rPr>
          <w:color w:val="231F20"/>
          <w:spacing w:val="-6"/>
          <w:sz w:val="20"/>
        </w:rPr>
        <w:t xml:space="preserve"> </w:t>
      </w:r>
      <w:r>
        <w:rPr>
          <w:color w:val="231F20"/>
          <w:sz w:val="20"/>
        </w:rPr>
        <w:t>already</w:t>
      </w:r>
      <w:r>
        <w:rPr>
          <w:color w:val="231F20"/>
          <w:spacing w:val="-6"/>
          <w:sz w:val="20"/>
        </w:rPr>
        <w:t xml:space="preserve"> </w:t>
      </w:r>
      <w:r>
        <w:rPr>
          <w:color w:val="231F20"/>
          <w:sz w:val="20"/>
        </w:rPr>
        <w:t>available</w:t>
      </w:r>
      <w:r>
        <w:rPr>
          <w:color w:val="231F20"/>
          <w:spacing w:val="-6"/>
          <w:sz w:val="20"/>
        </w:rPr>
        <w:t xml:space="preserve"> </w:t>
      </w:r>
      <w:r>
        <w:rPr>
          <w:color w:val="231F20"/>
          <w:sz w:val="20"/>
        </w:rPr>
        <w:t>and</w:t>
      </w:r>
      <w:r>
        <w:rPr>
          <w:color w:val="231F20"/>
          <w:spacing w:val="-6"/>
          <w:sz w:val="20"/>
        </w:rPr>
        <w:t xml:space="preserve"> </w:t>
      </w:r>
      <w:r>
        <w:rPr>
          <w:color w:val="231F20"/>
          <w:sz w:val="20"/>
        </w:rPr>
        <w:t>fill</w:t>
      </w:r>
      <w:r>
        <w:rPr>
          <w:color w:val="231F20"/>
          <w:spacing w:val="-6"/>
          <w:sz w:val="20"/>
        </w:rPr>
        <w:t xml:space="preserve"> </w:t>
      </w:r>
      <w:r>
        <w:rPr>
          <w:color w:val="231F20"/>
          <w:sz w:val="20"/>
        </w:rPr>
        <w:t>the</w:t>
      </w:r>
    </w:p>
    <w:p w14:paraId="43C65559" w14:textId="77777777" w:rsidR="00894070" w:rsidRDefault="009B7AFD">
      <w:pPr>
        <w:pStyle w:val="BodyText"/>
        <w:spacing w:line="259" w:lineRule="exact"/>
        <w:ind w:left="1801"/>
      </w:pPr>
      <w:r>
        <w:rPr>
          <w:color w:val="231F20"/>
        </w:rPr>
        <w:t>gaps.</w:t>
      </w:r>
    </w:p>
    <w:p w14:paraId="2AC5184A" w14:textId="77777777" w:rsidR="00894070" w:rsidRDefault="009B7AFD">
      <w:pPr>
        <w:pStyle w:val="ListParagraph"/>
        <w:numPr>
          <w:ilvl w:val="1"/>
          <w:numId w:val="177"/>
        </w:numPr>
        <w:tabs>
          <w:tab w:val="left" w:pos="1801"/>
          <w:tab w:val="left" w:pos="1802"/>
        </w:tabs>
        <w:spacing w:before="115" w:line="206" w:lineRule="auto"/>
        <w:ind w:right="1185"/>
        <w:rPr>
          <w:sz w:val="11"/>
        </w:rPr>
      </w:pP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feedback</w:t>
      </w:r>
      <w:r>
        <w:rPr>
          <w:color w:val="231F20"/>
          <w:spacing w:val="-8"/>
          <w:sz w:val="20"/>
        </w:rPr>
        <w:t xml:space="preserve"> </w:t>
      </w:r>
      <w:r>
        <w:rPr>
          <w:color w:val="231F20"/>
          <w:spacing w:val="-3"/>
          <w:sz w:val="20"/>
        </w:rPr>
        <w:t>we</w:t>
      </w:r>
      <w:r>
        <w:rPr>
          <w:color w:val="231F20"/>
          <w:spacing w:val="-9"/>
          <w:sz w:val="20"/>
        </w:rPr>
        <w:t xml:space="preserve"> </w:t>
      </w:r>
      <w:r>
        <w:rPr>
          <w:color w:val="231F20"/>
          <w:spacing w:val="-3"/>
          <w:sz w:val="20"/>
        </w:rPr>
        <w:t>received,</w:t>
      </w:r>
      <w:r>
        <w:rPr>
          <w:color w:val="231F20"/>
          <w:spacing w:val="-8"/>
          <w:sz w:val="20"/>
        </w:rPr>
        <w:t xml:space="preserve"> </w:t>
      </w:r>
      <w:r>
        <w:rPr>
          <w:color w:val="231F20"/>
          <w:sz w:val="20"/>
        </w:rPr>
        <w:t>many</w:t>
      </w:r>
      <w:r>
        <w:rPr>
          <w:color w:val="231F20"/>
          <w:spacing w:val="-9"/>
          <w:sz w:val="20"/>
        </w:rPr>
        <w:t xml:space="preserve"> </w:t>
      </w:r>
      <w:r>
        <w:rPr>
          <w:color w:val="231F20"/>
          <w:sz w:val="20"/>
        </w:rPr>
        <w:t>people</w:t>
      </w:r>
      <w:r>
        <w:rPr>
          <w:color w:val="231F20"/>
          <w:spacing w:val="-9"/>
          <w:sz w:val="20"/>
        </w:rPr>
        <w:t xml:space="preserve"> </w:t>
      </w:r>
      <w:r>
        <w:rPr>
          <w:color w:val="231F20"/>
          <w:sz w:val="20"/>
        </w:rPr>
        <w:t>emphasised</w:t>
      </w:r>
      <w:r>
        <w:rPr>
          <w:color w:val="231F20"/>
          <w:spacing w:val="-8"/>
          <w:sz w:val="20"/>
        </w:rPr>
        <w:t xml:space="preserve"> </w:t>
      </w:r>
      <w:r>
        <w:rPr>
          <w:color w:val="231F20"/>
          <w:sz w:val="20"/>
        </w:rPr>
        <w:t>the</w:t>
      </w:r>
      <w:r>
        <w:rPr>
          <w:color w:val="231F20"/>
          <w:spacing w:val="-9"/>
          <w:sz w:val="20"/>
        </w:rPr>
        <w:t xml:space="preserve"> </w:t>
      </w:r>
      <w:r>
        <w:rPr>
          <w:color w:val="231F20"/>
          <w:sz w:val="20"/>
        </w:rPr>
        <w:t>need</w:t>
      </w:r>
      <w:r>
        <w:rPr>
          <w:color w:val="231F20"/>
          <w:spacing w:val="-8"/>
          <w:sz w:val="20"/>
        </w:rPr>
        <w:t xml:space="preserve"> </w:t>
      </w:r>
      <w:r>
        <w:rPr>
          <w:color w:val="231F20"/>
          <w:spacing w:val="-3"/>
          <w:sz w:val="20"/>
        </w:rPr>
        <w:t>for</w:t>
      </w:r>
      <w:r>
        <w:rPr>
          <w:color w:val="231F20"/>
          <w:spacing w:val="-9"/>
          <w:sz w:val="20"/>
        </w:rPr>
        <w:t xml:space="preserve"> </w:t>
      </w:r>
      <w:r>
        <w:rPr>
          <w:color w:val="231F20"/>
          <w:sz w:val="20"/>
        </w:rPr>
        <w:t>education:</w:t>
      </w:r>
      <w:r>
        <w:rPr>
          <w:color w:val="231F20"/>
          <w:spacing w:val="-8"/>
          <w:sz w:val="20"/>
        </w:rPr>
        <w:t xml:space="preserve"> </w:t>
      </w:r>
      <w:r>
        <w:rPr>
          <w:color w:val="231F20"/>
          <w:sz w:val="20"/>
        </w:rPr>
        <w:t>people who had experienced stalking,</w:t>
      </w:r>
      <w:r>
        <w:rPr>
          <w:color w:val="231F20"/>
          <w:position w:val="7"/>
          <w:sz w:val="11"/>
        </w:rPr>
        <w:t xml:space="preserve">40 </w:t>
      </w:r>
      <w:r>
        <w:rPr>
          <w:color w:val="231F20"/>
          <w:sz w:val="20"/>
        </w:rPr>
        <w:t>other members of the public,</w:t>
      </w:r>
      <w:r>
        <w:rPr>
          <w:color w:val="231F20"/>
          <w:position w:val="7"/>
          <w:sz w:val="11"/>
        </w:rPr>
        <w:t xml:space="preserve">41 </w:t>
      </w:r>
      <w:r>
        <w:rPr>
          <w:color w:val="231F20"/>
          <w:sz w:val="20"/>
        </w:rPr>
        <w:t>advocacy and peak bodies,</w:t>
      </w:r>
      <w:r>
        <w:rPr>
          <w:color w:val="231F20"/>
          <w:position w:val="7"/>
          <w:sz w:val="11"/>
        </w:rPr>
        <w:t xml:space="preserve">42 </w:t>
      </w:r>
      <w:r>
        <w:rPr>
          <w:color w:val="231F20"/>
          <w:sz w:val="20"/>
        </w:rPr>
        <w:t>lawyers and others working in criminal justice,</w:t>
      </w:r>
      <w:proofErr w:type="gramStart"/>
      <w:r>
        <w:rPr>
          <w:color w:val="231F20"/>
          <w:position w:val="7"/>
          <w:sz w:val="11"/>
        </w:rPr>
        <w:t>43</w:t>
      </w:r>
      <w:proofErr w:type="gramEnd"/>
      <w:r>
        <w:rPr>
          <w:color w:val="231F20"/>
          <w:position w:val="7"/>
          <w:sz w:val="11"/>
        </w:rPr>
        <w:t xml:space="preserve"> </w:t>
      </w:r>
      <w:r>
        <w:rPr>
          <w:color w:val="231F20"/>
          <w:sz w:val="20"/>
        </w:rPr>
        <w:t>and researchers.</w:t>
      </w:r>
      <w:r>
        <w:rPr>
          <w:color w:val="231F20"/>
          <w:position w:val="7"/>
          <w:sz w:val="11"/>
        </w:rPr>
        <w:t>44</w:t>
      </w:r>
    </w:p>
    <w:p w14:paraId="6641AA5E" w14:textId="77777777" w:rsidR="00894070" w:rsidRDefault="009B7AFD">
      <w:pPr>
        <w:pStyle w:val="ListParagraph"/>
        <w:numPr>
          <w:ilvl w:val="1"/>
          <w:numId w:val="177"/>
        </w:numPr>
        <w:tabs>
          <w:tab w:val="left" w:pos="1801"/>
          <w:tab w:val="left" w:pos="1802"/>
        </w:tabs>
        <w:spacing w:before="124" w:line="206" w:lineRule="auto"/>
        <w:ind w:right="1358"/>
        <w:rPr>
          <w:sz w:val="11"/>
        </w:rPr>
      </w:pPr>
      <w:r>
        <w:rPr>
          <w:color w:val="231F20"/>
          <w:sz w:val="20"/>
        </w:rPr>
        <w:t xml:space="preserve">As </w:t>
      </w:r>
      <w:r>
        <w:rPr>
          <w:color w:val="231F20"/>
          <w:spacing w:val="-3"/>
          <w:sz w:val="20"/>
        </w:rPr>
        <w:t xml:space="preserve">we </w:t>
      </w:r>
      <w:r>
        <w:rPr>
          <w:color w:val="231F20"/>
          <w:sz w:val="20"/>
        </w:rPr>
        <w:t xml:space="preserve">discussed in </w:t>
      </w:r>
      <w:r>
        <w:rPr>
          <w:color w:val="231F20"/>
          <w:spacing w:val="-3"/>
          <w:sz w:val="20"/>
        </w:rPr>
        <w:t xml:space="preserve">Chapter </w:t>
      </w:r>
      <w:r>
        <w:rPr>
          <w:color w:val="231F20"/>
          <w:sz w:val="20"/>
        </w:rPr>
        <w:t>2, most people who experience stalking do not report it. But</w:t>
      </w:r>
      <w:r>
        <w:rPr>
          <w:color w:val="231F20"/>
          <w:spacing w:val="-9"/>
          <w:sz w:val="20"/>
        </w:rPr>
        <w:t xml:space="preserve"> </w:t>
      </w:r>
      <w:r>
        <w:rPr>
          <w:color w:val="231F20"/>
          <w:sz w:val="20"/>
        </w:rPr>
        <w:t>people</w:t>
      </w:r>
      <w:r>
        <w:rPr>
          <w:color w:val="231F20"/>
          <w:spacing w:val="-8"/>
          <w:sz w:val="20"/>
        </w:rPr>
        <w:t xml:space="preserve"> </w:t>
      </w:r>
      <w:r>
        <w:rPr>
          <w:color w:val="231F20"/>
          <w:sz w:val="20"/>
        </w:rPr>
        <w:t>who</w:t>
      </w:r>
      <w:r>
        <w:rPr>
          <w:color w:val="231F20"/>
          <w:spacing w:val="-9"/>
          <w:sz w:val="20"/>
        </w:rPr>
        <w:t xml:space="preserve"> </w:t>
      </w:r>
      <w:r>
        <w:rPr>
          <w:color w:val="231F20"/>
          <w:sz w:val="20"/>
        </w:rPr>
        <w:t>identify</w:t>
      </w:r>
      <w:r>
        <w:rPr>
          <w:color w:val="231F20"/>
          <w:spacing w:val="-8"/>
          <w:sz w:val="20"/>
        </w:rPr>
        <w:t xml:space="preserve"> </w:t>
      </w:r>
      <w:r>
        <w:rPr>
          <w:color w:val="231F20"/>
          <w:sz w:val="20"/>
        </w:rPr>
        <w:t>behaviours</w:t>
      </w:r>
      <w:r>
        <w:rPr>
          <w:color w:val="231F20"/>
          <w:spacing w:val="-9"/>
          <w:sz w:val="20"/>
        </w:rPr>
        <w:t xml:space="preserve"> </w:t>
      </w:r>
      <w:r>
        <w:rPr>
          <w:color w:val="231F20"/>
          <w:sz w:val="20"/>
        </w:rPr>
        <w:t>as</w:t>
      </w:r>
      <w:r>
        <w:rPr>
          <w:color w:val="231F20"/>
          <w:spacing w:val="-8"/>
          <w:sz w:val="20"/>
        </w:rPr>
        <w:t xml:space="preserve"> </w:t>
      </w:r>
      <w:r>
        <w:rPr>
          <w:color w:val="231F20"/>
          <w:sz w:val="20"/>
        </w:rPr>
        <w:t>stalking</w:t>
      </w:r>
      <w:r>
        <w:rPr>
          <w:color w:val="231F20"/>
          <w:spacing w:val="-9"/>
          <w:sz w:val="20"/>
        </w:rPr>
        <w:t xml:space="preserve"> </w:t>
      </w:r>
      <w:r>
        <w:rPr>
          <w:color w:val="231F20"/>
          <w:spacing w:val="-3"/>
          <w:sz w:val="20"/>
        </w:rPr>
        <w:t>are</w:t>
      </w:r>
      <w:r>
        <w:rPr>
          <w:color w:val="231F20"/>
          <w:spacing w:val="-8"/>
          <w:sz w:val="20"/>
        </w:rPr>
        <w:t xml:space="preserve"> </w:t>
      </w:r>
      <w:r>
        <w:rPr>
          <w:color w:val="231F20"/>
          <w:sz w:val="20"/>
        </w:rPr>
        <w:t>more</w:t>
      </w:r>
      <w:r>
        <w:rPr>
          <w:color w:val="231F20"/>
          <w:spacing w:val="-9"/>
          <w:sz w:val="20"/>
        </w:rPr>
        <w:t xml:space="preserve"> </w:t>
      </w:r>
      <w:r>
        <w:rPr>
          <w:color w:val="231F20"/>
          <w:spacing w:val="-3"/>
          <w:sz w:val="20"/>
        </w:rPr>
        <w:t>likely</w:t>
      </w:r>
      <w:r>
        <w:rPr>
          <w:color w:val="231F20"/>
          <w:spacing w:val="-8"/>
          <w:sz w:val="20"/>
        </w:rPr>
        <w:t xml:space="preserve"> </w:t>
      </w:r>
      <w:r>
        <w:rPr>
          <w:color w:val="231F20"/>
          <w:sz w:val="20"/>
        </w:rPr>
        <w:t>to</w:t>
      </w:r>
      <w:r>
        <w:rPr>
          <w:color w:val="231F20"/>
          <w:spacing w:val="-9"/>
          <w:sz w:val="20"/>
        </w:rPr>
        <w:t xml:space="preserve"> </w:t>
      </w:r>
      <w:r>
        <w:rPr>
          <w:color w:val="231F20"/>
          <w:sz w:val="20"/>
        </w:rPr>
        <w:t>seek</w:t>
      </w:r>
      <w:r>
        <w:rPr>
          <w:color w:val="231F20"/>
          <w:spacing w:val="-8"/>
          <w:sz w:val="20"/>
        </w:rPr>
        <w:t xml:space="preserve"> </w:t>
      </w:r>
      <w:r>
        <w:rPr>
          <w:color w:val="231F20"/>
          <w:sz w:val="20"/>
        </w:rPr>
        <w:t>support</w:t>
      </w:r>
      <w:r>
        <w:rPr>
          <w:color w:val="231F20"/>
          <w:spacing w:val="-9"/>
          <w:sz w:val="20"/>
        </w:rPr>
        <w:t xml:space="preserve"> </w:t>
      </w:r>
      <w:r>
        <w:rPr>
          <w:color w:val="231F20"/>
          <w:sz w:val="20"/>
        </w:rPr>
        <w:t>and</w:t>
      </w:r>
      <w:r>
        <w:rPr>
          <w:color w:val="231F20"/>
          <w:spacing w:val="-8"/>
          <w:sz w:val="20"/>
        </w:rPr>
        <w:t xml:space="preserve"> </w:t>
      </w:r>
      <w:r>
        <w:rPr>
          <w:color w:val="231F20"/>
          <w:sz w:val="20"/>
        </w:rPr>
        <w:t>to report</w:t>
      </w:r>
      <w:r>
        <w:rPr>
          <w:color w:val="231F20"/>
          <w:spacing w:val="-6"/>
          <w:sz w:val="20"/>
        </w:rPr>
        <w:t xml:space="preserve"> </w:t>
      </w:r>
      <w:r>
        <w:rPr>
          <w:color w:val="231F20"/>
          <w:sz w:val="20"/>
        </w:rPr>
        <w:t>it</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6"/>
          <w:sz w:val="20"/>
        </w:rPr>
        <w:t xml:space="preserve"> </w:t>
      </w:r>
      <w:r>
        <w:rPr>
          <w:color w:val="231F20"/>
          <w:sz w:val="20"/>
        </w:rPr>
        <w:t>police</w:t>
      </w:r>
      <w:r>
        <w:rPr>
          <w:color w:val="231F20"/>
          <w:spacing w:val="-5"/>
          <w:sz w:val="20"/>
        </w:rPr>
        <w:t xml:space="preserve"> </w:t>
      </w:r>
      <w:r>
        <w:rPr>
          <w:color w:val="231F20"/>
          <w:sz w:val="20"/>
        </w:rPr>
        <w:t>than</w:t>
      </w:r>
      <w:r>
        <w:rPr>
          <w:color w:val="231F20"/>
          <w:spacing w:val="-5"/>
          <w:sz w:val="20"/>
        </w:rPr>
        <w:t xml:space="preserve"> </w:t>
      </w:r>
      <w:r>
        <w:rPr>
          <w:color w:val="231F20"/>
          <w:sz w:val="20"/>
        </w:rPr>
        <w:t>those</w:t>
      </w:r>
      <w:r>
        <w:rPr>
          <w:color w:val="231F20"/>
          <w:spacing w:val="-6"/>
          <w:sz w:val="20"/>
        </w:rPr>
        <w:t xml:space="preserve"> </w:t>
      </w:r>
      <w:r>
        <w:rPr>
          <w:color w:val="231F20"/>
          <w:sz w:val="20"/>
        </w:rPr>
        <w:t>who</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unclear</w:t>
      </w:r>
      <w:r>
        <w:rPr>
          <w:color w:val="231F20"/>
          <w:spacing w:val="-6"/>
          <w:sz w:val="20"/>
        </w:rPr>
        <w:t xml:space="preserve"> </w:t>
      </w:r>
      <w:r>
        <w:rPr>
          <w:color w:val="231F20"/>
          <w:sz w:val="20"/>
        </w:rPr>
        <w:t>about</w:t>
      </w:r>
      <w:r>
        <w:rPr>
          <w:color w:val="231F20"/>
          <w:spacing w:val="-5"/>
          <w:sz w:val="20"/>
        </w:rPr>
        <w:t xml:space="preserve"> </w:t>
      </w:r>
      <w:r>
        <w:rPr>
          <w:color w:val="231F20"/>
          <w:sz w:val="20"/>
        </w:rPr>
        <w:t>what</w:t>
      </w:r>
      <w:r>
        <w:rPr>
          <w:color w:val="231F20"/>
          <w:spacing w:val="-5"/>
          <w:sz w:val="20"/>
        </w:rPr>
        <w:t xml:space="preserve"> </w:t>
      </w:r>
      <w:r>
        <w:rPr>
          <w:color w:val="231F20"/>
          <w:sz w:val="20"/>
        </w:rPr>
        <w:t>is</w:t>
      </w:r>
      <w:r>
        <w:rPr>
          <w:color w:val="231F20"/>
          <w:spacing w:val="-6"/>
          <w:sz w:val="20"/>
        </w:rPr>
        <w:t xml:space="preserve"> </w:t>
      </w:r>
      <w:r>
        <w:rPr>
          <w:color w:val="231F20"/>
          <w:sz w:val="20"/>
        </w:rPr>
        <w:t>going</w:t>
      </w:r>
      <w:r>
        <w:rPr>
          <w:color w:val="231F20"/>
          <w:spacing w:val="-5"/>
          <w:sz w:val="20"/>
        </w:rPr>
        <w:t xml:space="preserve"> </w:t>
      </w:r>
      <w:r>
        <w:rPr>
          <w:color w:val="231F20"/>
          <w:sz w:val="20"/>
        </w:rPr>
        <w:t>on.</w:t>
      </w:r>
      <w:r>
        <w:rPr>
          <w:color w:val="231F20"/>
          <w:position w:val="7"/>
          <w:sz w:val="11"/>
        </w:rPr>
        <w:t>45</w:t>
      </w:r>
    </w:p>
    <w:p w14:paraId="0031D00A" w14:textId="77777777" w:rsidR="00894070" w:rsidRDefault="009B7AFD">
      <w:pPr>
        <w:pStyle w:val="ListParagraph"/>
        <w:numPr>
          <w:ilvl w:val="1"/>
          <w:numId w:val="177"/>
        </w:numPr>
        <w:tabs>
          <w:tab w:val="left" w:pos="1801"/>
          <w:tab w:val="left" w:pos="1802"/>
        </w:tabs>
        <w:spacing w:before="91" w:line="259" w:lineRule="exact"/>
        <w:rPr>
          <w:sz w:val="20"/>
        </w:rPr>
      </w:pPr>
      <w:r>
        <w:rPr>
          <w:color w:val="231F20"/>
          <w:sz w:val="20"/>
        </w:rPr>
        <w:t>People</w:t>
      </w:r>
      <w:r>
        <w:rPr>
          <w:color w:val="231F20"/>
          <w:spacing w:val="-6"/>
          <w:sz w:val="20"/>
        </w:rPr>
        <w:t xml:space="preserve"> </w:t>
      </w:r>
      <w:r>
        <w:rPr>
          <w:color w:val="231F20"/>
          <w:sz w:val="20"/>
        </w:rPr>
        <w:t>who</w:t>
      </w:r>
      <w:r>
        <w:rPr>
          <w:color w:val="231F20"/>
          <w:spacing w:val="-6"/>
          <w:sz w:val="20"/>
        </w:rPr>
        <w:t xml:space="preserve"> </w:t>
      </w:r>
      <w:r>
        <w:rPr>
          <w:color w:val="231F20"/>
          <w:spacing w:val="-3"/>
          <w:sz w:val="20"/>
        </w:rPr>
        <w:t>receive</w:t>
      </w:r>
      <w:r>
        <w:rPr>
          <w:color w:val="231F20"/>
          <w:spacing w:val="-6"/>
          <w:sz w:val="20"/>
        </w:rPr>
        <w:t xml:space="preserve"> </w:t>
      </w:r>
      <w:r>
        <w:rPr>
          <w:color w:val="231F20"/>
          <w:sz w:val="20"/>
        </w:rPr>
        <w:t>a</w:t>
      </w:r>
      <w:r>
        <w:rPr>
          <w:color w:val="231F20"/>
          <w:spacing w:val="-6"/>
          <w:sz w:val="20"/>
        </w:rPr>
        <w:t xml:space="preserve"> </w:t>
      </w:r>
      <w:r>
        <w:rPr>
          <w:color w:val="231F20"/>
          <w:sz w:val="20"/>
        </w:rPr>
        <w:t>supportive</w:t>
      </w:r>
      <w:r>
        <w:rPr>
          <w:color w:val="231F20"/>
          <w:spacing w:val="-5"/>
          <w:sz w:val="20"/>
        </w:rPr>
        <w:t xml:space="preserve"> </w:t>
      </w:r>
      <w:r>
        <w:rPr>
          <w:color w:val="231F20"/>
          <w:sz w:val="20"/>
        </w:rPr>
        <w:t>response</w:t>
      </w:r>
      <w:r>
        <w:rPr>
          <w:color w:val="231F20"/>
          <w:spacing w:val="-6"/>
          <w:sz w:val="20"/>
        </w:rPr>
        <w:t xml:space="preserve"> </w:t>
      </w:r>
      <w:r>
        <w:rPr>
          <w:color w:val="231F20"/>
          <w:sz w:val="20"/>
        </w:rPr>
        <w:t>when</w:t>
      </w:r>
      <w:r>
        <w:rPr>
          <w:color w:val="231F20"/>
          <w:spacing w:val="-6"/>
          <w:sz w:val="20"/>
        </w:rPr>
        <w:t xml:space="preserve"> </w:t>
      </w:r>
      <w:r>
        <w:rPr>
          <w:color w:val="231F20"/>
          <w:sz w:val="20"/>
        </w:rPr>
        <w:t>they</w:t>
      </w:r>
      <w:r>
        <w:rPr>
          <w:color w:val="231F20"/>
          <w:spacing w:val="-6"/>
          <w:sz w:val="20"/>
        </w:rPr>
        <w:t xml:space="preserve"> </w:t>
      </w:r>
      <w:r>
        <w:rPr>
          <w:color w:val="231F20"/>
          <w:sz w:val="20"/>
        </w:rPr>
        <w:t>first</w:t>
      </w:r>
      <w:r>
        <w:rPr>
          <w:color w:val="231F20"/>
          <w:spacing w:val="-5"/>
          <w:sz w:val="20"/>
        </w:rPr>
        <w:t xml:space="preserve"> </w:t>
      </w:r>
      <w:r>
        <w:rPr>
          <w:color w:val="231F20"/>
          <w:sz w:val="20"/>
        </w:rPr>
        <w:t>disclose</w:t>
      </w:r>
      <w:r>
        <w:rPr>
          <w:color w:val="231F20"/>
          <w:spacing w:val="-6"/>
          <w:sz w:val="20"/>
        </w:rPr>
        <w:t xml:space="preserve"> </w:t>
      </w:r>
      <w:r>
        <w:rPr>
          <w:color w:val="231F20"/>
          <w:sz w:val="20"/>
        </w:rPr>
        <w:t>stalking</w:t>
      </w:r>
      <w:r>
        <w:rPr>
          <w:color w:val="231F20"/>
          <w:spacing w:val="-6"/>
          <w:sz w:val="20"/>
        </w:rPr>
        <w:t xml:space="preserve"> </w:t>
      </w:r>
      <w:r>
        <w:rPr>
          <w:color w:val="231F20"/>
          <w:spacing w:val="-3"/>
          <w:sz w:val="20"/>
        </w:rPr>
        <w:t>may</w:t>
      </w:r>
      <w:r>
        <w:rPr>
          <w:color w:val="231F20"/>
          <w:spacing w:val="-6"/>
          <w:sz w:val="20"/>
        </w:rPr>
        <w:t xml:space="preserve"> </w:t>
      </w:r>
      <w:r>
        <w:rPr>
          <w:color w:val="231F20"/>
          <w:sz w:val="20"/>
        </w:rPr>
        <w:t>also</w:t>
      </w:r>
    </w:p>
    <w:p w14:paraId="1206B4BA" w14:textId="77777777" w:rsidR="00894070" w:rsidRDefault="009B7AFD">
      <w:pPr>
        <w:pStyle w:val="BodyText"/>
        <w:spacing w:line="259" w:lineRule="exact"/>
        <w:ind w:left="1801"/>
        <w:rPr>
          <w:sz w:val="11"/>
        </w:rPr>
      </w:pPr>
      <w:r>
        <w:rPr>
          <w:color w:val="231F20"/>
        </w:rPr>
        <w:t>be more likely to recognise its seriousness and report it to police.</w:t>
      </w:r>
      <w:r>
        <w:rPr>
          <w:color w:val="231F20"/>
          <w:position w:val="7"/>
          <w:sz w:val="11"/>
        </w:rPr>
        <w:t>46</w:t>
      </w:r>
    </w:p>
    <w:p w14:paraId="264FF3AD" w14:textId="77777777" w:rsidR="00894070" w:rsidRDefault="009B7AFD">
      <w:pPr>
        <w:pStyle w:val="ListParagraph"/>
        <w:numPr>
          <w:ilvl w:val="1"/>
          <w:numId w:val="177"/>
        </w:numPr>
        <w:tabs>
          <w:tab w:val="left" w:pos="1801"/>
          <w:tab w:val="left" w:pos="1802"/>
        </w:tabs>
        <w:spacing w:before="115" w:line="206" w:lineRule="auto"/>
        <w:ind w:right="2010"/>
        <w:rPr>
          <w:sz w:val="20"/>
        </w:rPr>
      </w:pPr>
      <w:r>
        <w:rPr>
          <w:color w:val="231F20"/>
          <w:sz w:val="20"/>
        </w:rPr>
        <w:t>In</w:t>
      </w:r>
      <w:r>
        <w:rPr>
          <w:color w:val="231F20"/>
          <w:spacing w:val="-8"/>
          <w:sz w:val="20"/>
        </w:rPr>
        <w:t xml:space="preserve"> </w:t>
      </w:r>
      <w:r>
        <w:rPr>
          <w:color w:val="231F20"/>
          <w:spacing w:val="-3"/>
          <w:sz w:val="20"/>
        </w:rPr>
        <w:t>Chapter</w:t>
      </w:r>
      <w:r>
        <w:rPr>
          <w:color w:val="231F20"/>
          <w:spacing w:val="-8"/>
          <w:sz w:val="20"/>
        </w:rPr>
        <w:t xml:space="preserve"> </w:t>
      </w:r>
      <w:r>
        <w:rPr>
          <w:color w:val="231F20"/>
          <w:sz w:val="20"/>
        </w:rPr>
        <w:t>3</w:t>
      </w:r>
      <w:r>
        <w:rPr>
          <w:color w:val="231F20"/>
          <w:spacing w:val="-8"/>
          <w:sz w:val="20"/>
        </w:rPr>
        <w:t xml:space="preserve"> </w:t>
      </w:r>
      <w:r>
        <w:rPr>
          <w:color w:val="231F20"/>
          <w:spacing w:val="-3"/>
          <w:sz w:val="20"/>
        </w:rPr>
        <w:t>we</w:t>
      </w:r>
      <w:r>
        <w:rPr>
          <w:color w:val="231F20"/>
          <w:spacing w:val="-8"/>
          <w:sz w:val="20"/>
        </w:rPr>
        <w:t xml:space="preserve"> </w:t>
      </w:r>
      <w:r>
        <w:rPr>
          <w:color w:val="231F20"/>
          <w:sz w:val="20"/>
        </w:rPr>
        <w:t>discuss</w:t>
      </w:r>
      <w:r>
        <w:rPr>
          <w:color w:val="231F20"/>
          <w:spacing w:val="-8"/>
          <w:sz w:val="20"/>
        </w:rPr>
        <w:t xml:space="preserve"> </w:t>
      </w:r>
      <w:r>
        <w:rPr>
          <w:color w:val="231F20"/>
          <w:sz w:val="20"/>
        </w:rPr>
        <w:t>the</w:t>
      </w:r>
      <w:r>
        <w:rPr>
          <w:color w:val="231F20"/>
          <w:spacing w:val="-8"/>
          <w:sz w:val="20"/>
        </w:rPr>
        <w:t xml:space="preserve"> </w:t>
      </w:r>
      <w:r>
        <w:rPr>
          <w:color w:val="231F20"/>
          <w:sz w:val="20"/>
        </w:rPr>
        <w:t>need</w:t>
      </w:r>
      <w:r>
        <w:rPr>
          <w:color w:val="231F20"/>
          <w:spacing w:val="-7"/>
          <w:sz w:val="20"/>
        </w:rPr>
        <w:t xml:space="preserve"> </w:t>
      </w:r>
      <w:r>
        <w:rPr>
          <w:color w:val="231F20"/>
          <w:spacing w:val="-3"/>
          <w:sz w:val="20"/>
        </w:rPr>
        <w:t>for</w:t>
      </w:r>
      <w:r>
        <w:rPr>
          <w:color w:val="231F20"/>
          <w:spacing w:val="-8"/>
          <w:sz w:val="20"/>
        </w:rPr>
        <w:t xml:space="preserve"> </w:t>
      </w:r>
      <w:r>
        <w:rPr>
          <w:color w:val="231F20"/>
          <w:sz w:val="20"/>
        </w:rPr>
        <w:t>public</w:t>
      </w:r>
      <w:r>
        <w:rPr>
          <w:color w:val="231F20"/>
          <w:spacing w:val="-8"/>
          <w:sz w:val="20"/>
        </w:rPr>
        <w:t xml:space="preserve"> </w:t>
      </w:r>
      <w:r>
        <w:rPr>
          <w:color w:val="231F20"/>
          <w:sz w:val="20"/>
        </w:rPr>
        <w:t>education</w:t>
      </w:r>
      <w:r>
        <w:rPr>
          <w:color w:val="231F20"/>
          <w:spacing w:val="-8"/>
          <w:sz w:val="20"/>
        </w:rPr>
        <w:t xml:space="preserve"> </w:t>
      </w:r>
      <w:r>
        <w:rPr>
          <w:color w:val="231F20"/>
          <w:sz w:val="20"/>
        </w:rPr>
        <w:t>to</w:t>
      </w:r>
      <w:r>
        <w:rPr>
          <w:color w:val="231F20"/>
          <w:spacing w:val="-8"/>
          <w:sz w:val="20"/>
        </w:rPr>
        <w:t xml:space="preserve"> </w:t>
      </w:r>
      <w:r>
        <w:rPr>
          <w:color w:val="231F20"/>
          <w:sz w:val="20"/>
        </w:rPr>
        <w:t>include</w:t>
      </w:r>
      <w:r>
        <w:rPr>
          <w:color w:val="231F20"/>
          <w:spacing w:val="-8"/>
          <w:sz w:val="20"/>
        </w:rPr>
        <w:t xml:space="preserve"> </w:t>
      </w:r>
      <w:r>
        <w:rPr>
          <w:color w:val="231F20"/>
          <w:sz w:val="20"/>
        </w:rPr>
        <w:t>education</w:t>
      </w:r>
      <w:r>
        <w:rPr>
          <w:color w:val="231F20"/>
          <w:spacing w:val="-7"/>
          <w:sz w:val="20"/>
        </w:rPr>
        <w:t xml:space="preserve"> </w:t>
      </w:r>
      <w:r>
        <w:rPr>
          <w:color w:val="231F20"/>
          <w:sz w:val="20"/>
        </w:rPr>
        <w:t>on cyberstalking.</w:t>
      </w:r>
    </w:p>
    <w:p w14:paraId="64440D37" w14:textId="77777777" w:rsidR="00894070" w:rsidRDefault="00894070">
      <w:pPr>
        <w:pStyle w:val="BodyText"/>
        <w:spacing w:before="9"/>
        <w:rPr>
          <w:sz w:val="15"/>
        </w:rPr>
      </w:pPr>
    </w:p>
    <w:p w14:paraId="21BBF370" w14:textId="77777777" w:rsidR="00894070" w:rsidRDefault="009B7AFD">
      <w:pPr>
        <w:pStyle w:val="Heading8"/>
        <w:ind w:left="1007"/>
      </w:pPr>
      <w:r>
        <w:rPr>
          <w:color w:val="231F20"/>
        </w:rPr>
        <w:t>Education about stalking should be guided by the latest research</w:t>
      </w:r>
    </w:p>
    <w:p w14:paraId="4276DE36" w14:textId="77777777" w:rsidR="00894070" w:rsidRDefault="009B7AFD">
      <w:pPr>
        <w:pStyle w:val="ListParagraph"/>
        <w:numPr>
          <w:ilvl w:val="1"/>
          <w:numId w:val="177"/>
        </w:numPr>
        <w:tabs>
          <w:tab w:val="left" w:pos="1802"/>
        </w:tabs>
        <w:spacing w:before="127" w:line="206" w:lineRule="auto"/>
        <w:ind w:right="1421"/>
        <w:jc w:val="both"/>
        <w:rPr>
          <w:sz w:val="20"/>
        </w:rPr>
      </w:pPr>
      <w:r>
        <w:rPr>
          <w:color w:val="231F20"/>
          <w:sz w:val="20"/>
        </w:rPr>
        <w:t>As</w:t>
      </w:r>
      <w:r>
        <w:rPr>
          <w:color w:val="231F20"/>
          <w:spacing w:val="-7"/>
          <w:sz w:val="20"/>
        </w:rPr>
        <w:t xml:space="preserve"> </w:t>
      </w:r>
      <w:r>
        <w:rPr>
          <w:color w:val="231F20"/>
          <w:spacing w:val="-3"/>
          <w:sz w:val="20"/>
        </w:rPr>
        <w:t>we</w:t>
      </w:r>
      <w:r>
        <w:rPr>
          <w:color w:val="231F20"/>
          <w:spacing w:val="-7"/>
          <w:sz w:val="20"/>
        </w:rPr>
        <w:t xml:space="preserve"> </w:t>
      </w:r>
      <w:r>
        <w:rPr>
          <w:color w:val="231F20"/>
          <w:sz w:val="20"/>
        </w:rPr>
        <w:t>discussed</w:t>
      </w:r>
      <w:r>
        <w:rPr>
          <w:color w:val="231F20"/>
          <w:spacing w:val="-6"/>
          <w:sz w:val="20"/>
        </w:rPr>
        <w:t xml:space="preserve"> </w:t>
      </w:r>
      <w:r>
        <w:rPr>
          <w:color w:val="231F20"/>
          <w:sz w:val="20"/>
        </w:rPr>
        <w:t>in</w:t>
      </w:r>
      <w:r>
        <w:rPr>
          <w:color w:val="231F20"/>
          <w:spacing w:val="-7"/>
          <w:sz w:val="20"/>
        </w:rPr>
        <w:t xml:space="preserve"> </w:t>
      </w:r>
      <w:r>
        <w:rPr>
          <w:color w:val="231F20"/>
          <w:spacing w:val="-3"/>
          <w:sz w:val="20"/>
        </w:rPr>
        <w:t>Chapter</w:t>
      </w:r>
      <w:r>
        <w:rPr>
          <w:color w:val="231F20"/>
          <w:spacing w:val="-6"/>
          <w:sz w:val="20"/>
        </w:rPr>
        <w:t xml:space="preserve"> </w:t>
      </w:r>
      <w:r>
        <w:rPr>
          <w:color w:val="231F20"/>
          <w:sz w:val="20"/>
        </w:rPr>
        <w:t>2,</w:t>
      </w:r>
      <w:r>
        <w:rPr>
          <w:color w:val="231F20"/>
          <w:spacing w:val="-7"/>
          <w:sz w:val="20"/>
        </w:rPr>
        <w:t xml:space="preserve"> </w:t>
      </w:r>
      <w:r>
        <w:rPr>
          <w:color w:val="231F20"/>
          <w:sz w:val="20"/>
        </w:rPr>
        <w:t>the</w:t>
      </w:r>
      <w:r>
        <w:rPr>
          <w:color w:val="231F20"/>
          <w:spacing w:val="-6"/>
          <w:sz w:val="20"/>
        </w:rPr>
        <w:t xml:space="preserve"> </w:t>
      </w:r>
      <w:proofErr w:type="gramStart"/>
      <w:r>
        <w:rPr>
          <w:color w:val="231F20"/>
          <w:spacing w:val="-3"/>
          <w:sz w:val="20"/>
        </w:rPr>
        <w:t>research</w:t>
      </w:r>
      <w:proofErr w:type="gramEnd"/>
      <w:r>
        <w:rPr>
          <w:color w:val="231F20"/>
          <w:spacing w:val="-7"/>
          <w:sz w:val="20"/>
        </w:rPr>
        <w:t xml:space="preserve"> </w:t>
      </w:r>
      <w:r>
        <w:rPr>
          <w:color w:val="231F20"/>
          <w:sz w:val="20"/>
        </w:rPr>
        <w:t>and</w:t>
      </w:r>
      <w:r>
        <w:rPr>
          <w:color w:val="231F20"/>
          <w:spacing w:val="-6"/>
          <w:sz w:val="20"/>
        </w:rPr>
        <w:t xml:space="preserve"> </w:t>
      </w:r>
      <w:r>
        <w:rPr>
          <w:color w:val="231F20"/>
          <w:sz w:val="20"/>
        </w:rPr>
        <w:t>data</w:t>
      </w:r>
      <w:r>
        <w:rPr>
          <w:color w:val="231F20"/>
          <w:spacing w:val="-7"/>
          <w:sz w:val="20"/>
        </w:rPr>
        <w:t xml:space="preserve"> </w:t>
      </w:r>
      <w:r>
        <w:rPr>
          <w:color w:val="231F20"/>
          <w:spacing w:val="-3"/>
          <w:sz w:val="20"/>
        </w:rPr>
        <w:t>currently</w:t>
      </w:r>
      <w:r>
        <w:rPr>
          <w:color w:val="231F20"/>
          <w:spacing w:val="-6"/>
          <w:sz w:val="20"/>
        </w:rPr>
        <w:t xml:space="preserve"> </w:t>
      </w:r>
      <w:r>
        <w:rPr>
          <w:color w:val="231F20"/>
          <w:sz w:val="20"/>
        </w:rPr>
        <w:t>available</w:t>
      </w:r>
      <w:r>
        <w:rPr>
          <w:color w:val="231F20"/>
          <w:spacing w:val="-7"/>
          <w:sz w:val="20"/>
        </w:rPr>
        <w:t xml:space="preserve"> </w:t>
      </w:r>
      <w:r>
        <w:rPr>
          <w:color w:val="231F20"/>
          <w:sz w:val="20"/>
        </w:rPr>
        <w:t>on</w:t>
      </w:r>
      <w:r>
        <w:rPr>
          <w:color w:val="231F20"/>
          <w:spacing w:val="-6"/>
          <w:sz w:val="20"/>
        </w:rPr>
        <w:t xml:space="preserve"> </w:t>
      </w:r>
      <w:r>
        <w:rPr>
          <w:color w:val="231F20"/>
          <w:sz w:val="20"/>
        </w:rPr>
        <w:t>stalking</w:t>
      </w:r>
      <w:r>
        <w:rPr>
          <w:color w:val="231F20"/>
          <w:spacing w:val="-7"/>
          <w:sz w:val="20"/>
        </w:rPr>
        <w:t xml:space="preserve"> </w:t>
      </w:r>
      <w:r>
        <w:rPr>
          <w:color w:val="231F20"/>
          <w:sz w:val="20"/>
        </w:rPr>
        <w:t>is limited.</w:t>
      </w:r>
      <w:r>
        <w:rPr>
          <w:color w:val="231F20"/>
          <w:spacing w:val="-12"/>
          <w:sz w:val="20"/>
        </w:rPr>
        <w:t xml:space="preserve"> </w:t>
      </w:r>
      <w:r>
        <w:rPr>
          <w:color w:val="231F20"/>
          <w:sz w:val="20"/>
        </w:rPr>
        <w:t>Because</w:t>
      </w:r>
      <w:r>
        <w:rPr>
          <w:color w:val="231F20"/>
          <w:spacing w:val="-12"/>
          <w:sz w:val="20"/>
        </w:rPr>
        <w:t xml:space="preserve"> </w:t>
      </w:r>
      <w:r>
        <w:rPr>
          <w:color w:val="231F20"/>
          <w:sz w:val="20"/>
        </w:rPr>
        <w:t>our</w:t>
      </w:r>
      <w:r>
        <w:rPr>
          <w:color w:val="231F20"/>
          <w:spacing w:val="-11"/>
          <w:sz w:val="20"/>
        </w:rPr>
        <w:t xml:space="preserve"> </w:t>
      </w:r>
      <w:r>
        <w:rPr>
          <w:color w:val="231F20"/>
          <w:sz w:val="20"/>
        </w:rPr>
        <w:t>knowledge</w:t>
      </w:r>
      <w:r>
        <w:rPr>
          <w:color w:val="231F20"/>
          <w:spacing w:val="-12"/>
          <w:sz w:val="20"/>
        </w:rPr>
        <w:t xml:space="preserve"> </w:t>
      </w:r>
      <w:r>
        <w:rPr>
          <w:color w:val="231F20"/>
          <w:sz w:val="20"/>
        </w:rPr>
        <w:t>is</w:t>
      </w:r>
      <w:r>
        <w:rPr>
          <w:color w:val="231F20"/>
          <w:spacing w:val="-11"/>
          <w:sz w:val="20"/>
        </w:rPr>
        <w:t xml:space="preserve"> </w:t>
      </w:r>
      <w:r>
        <w:rPr>
          <w:color w:val="231F20"/>
          <w:sz w:val="20"/>
        </w:rPr>
        <w:t>limited</w:t>
      </w:r>
      <w:r>
        <w:rPr>
          <w:color w:val="231F20"/>
          <w:spacing w:val="-12"/>
          <w:sz w:val="20"/>
        </w:rPr>
        <w:t xml:space="preserve"> </w:t>
      </w:r>
      <w:r>
        <w:rPr>
          <w:color w:val="231F20"/>
          <w:sz w:val="20"/>
        </w:rPr>
        <w:t>it</w:t>
      </w:r>
      <w:r>
        <w:rPr>
          <w:color w:val="231F20"/>
          <w:spacing w:val="-11"/>
          <w:sz w:val="20"/>
        </w:rPr>
        <w:t xml:space="preserve"> </w:t>
      </w:r>
      <w:r>
        <w:rPr>
          <w:color w:val="231F20"/>
          <w:spacing w:val="-3"/>
          <w:sz w:val="20"/>
        </w:rPr>
        <w:t>may</w:t>
      </w:r>
      <w:r>
        <w:rPr>
          <w:color w:val="231F20"/>
          <w:spacing w:val="-12"/>
          <w:sz w:val="20"/>
        </w:rPr>
        <w:t xml:space="preserve"> </w:t>
      </w:r>
      <w:r>
        <w:rPr>
          <w:color w:val="231F20"/>
          <w:sz w:val="20"/>
        </w:rPr>
        <w:t>be</w:t>
      </w:r>
      <w:r>
        <w:rPr>
          <w:color w:val="231F20"/>
          <w:spacing w:val="-11"/>
          <w:sz w:val="20"/>
        </w:rPr>
        <w:t xml:space="preserve"> </w:t>
      </w:r>
      <w:r>
        <w:rPr>
          <w:color w:val="231F20"/>
          <w:sz w:val="20"/>
        </w:rPr>
        <w:t>difficult</w:t>
      </w:r>
      <w:r>
        <w:rPr>
          <w:color w:val="231F20"/>
          <w:spacing w:val="-12"/>
          <w:sz w:val="20"/>
        </w:rPr>
        <w:t xml:space="preserve"> </w:t>
      </w:r>
      <w:r>
        <w:rPr>
          <w:color w:val="231F20"/>
          <w:sz w:val="20"/>
        </w:rPr>
        <w:t>to</w:t>
      </w:r>
      <w:r>
        <w:rPr>
          <w:color w:val="231F20"/>
          <w:spacing w:val="-11"/>
          <w:sz w:val="20"/>
        </w:rPr>
        <w:t xml:space="preserve"> </w:t>
      </w:r>
      <w:r>
        <w:rPr>
          <w:color w:val="231F20"/>
          <w:spacing w:val="-3"/>
          <w:sz w:val="20"/>
        </w:rPr>
        <w:t>appropriately</w:t>
      </w:r>
      <w:r>
        <w:rPr>
          <w:color w:val="231F20"/>
          <w:spacing w:val="-12"/>
          <w:sz w:val="20"/>
        </w:rPr>
        <w:t xml:space="preserve"> </w:t>
      </w:r>
      <w:r>
        <w:rPr>
          <w:color w:val="231F20"/>
          <w:sz w:val="20"/>
        </w:rPr>
        <w:t>educate people about stalking or identify mistaken</w:t>
      </w:r>
      <w:r>
        <w:rPr>
          <w:color w:val="231F20"/>
          <w:spacing w:val="-28"/>
          <w:sz w:val="20"/>
        </w:rPr>
        <w:t xml:space="preserve"> </w:t>
      </w:r>
      <w:r>
        <w:rPr>
          <w:color w:val="231F20"/>
          <w:sz w:val="20"/>
        </w:rPr>
        <w:t>ideas.</w:t>
      </w:r>
    </w:p>
    <w:p w14:paraId="6537A53E" w14:textId="77777777" w:rsidR="00894070" w:rsidRDefault="009B7AFD">
      <w:pPr>
        <w:pStyle w:val="ListParagraph"/>
        <w:numPr>
          <w:ilvl w:val="1"/>
          <w:numId w:val="177"/>
        </w:numPr>
        <w:tabs>
          <w:tab w:val="left" w:pos="1801"/>
          <w:tab w:val="left" w:pos="1802"/>
        </w:tabs>
        <w:spacing w:before="124" w:line="206" w:lineRule="auto"/>
        <w:ind w:right="1627"/>
        <w:rPr>
          <w:sz w:val="20"/>
        </w:rPr>
      </w:pPr>
      <w:r>
        <w:rPr>
          <w:color w:val="231F20"/>
          <w:sz w:val="20"/>
        </w:rPr>
        <w:t>In</w:t>
      </w:r>
      <w:r>
        <w:rPr>
          <w:color w:val="231F20"/>
          <w:spacing w:val="-9"/>
          <w:sz w:val="20"/>
        </w:rPr>
        <w:t xml:space="preserve"> </w:t>
      </w:r>
      <w:r>
        <w:rPr>
          <w:color w:val="231F20"/>
          <w:spacing w:val="-3"/>
          <w:sz w:val="20"/>
        </w:rPr>
        <w:t>Chapter</w:t>
      </w:r>
      <w:r>
        <w:rPr>
          <w:color w:val="231F20"/>
          <w:spacing w:val="-9"/>
          <w:sz w:val="20"/>
        </w:rPr>
        <w:t xml:space="preserve"> </w:t>
      </w:r>
      <w:r>
        <w:rPr>
          <w:color w:val="231F20"/>
          <w:sz w:val="20"/>
        </w:rPr>
        <w:t>2</w:t>
      </w:r>
      <w:r>
        <w:rPr>
          <w:color w:val="231F20"/>
          <w:spacing w:val="-8"/>
          <w:sz w:val="20"/>
        </w:rPr>
        <w:t xml:space="preserve"> </w:t>
      </w:r>
      <w:r>
        <w:rPr>
          <w:color w:val="231F20"/>
          <w:spacing w:val="-3"/>
          <w:sz w:val="20"/>
        </w:rPr>
        <w:t>we</w:t>
      </w:r>
      <w:r>
        <w:rPr>
          <w:color w:val="231F20"/>
          <w:spacing w:val="-9"/>
          <w:sz w:val="20"/>
        </w:rPr>
        <w:t xml:space="preserve"> </w:t>
      </w:r>
      <w:r>
        <w:rPr>
          <w:color w:val="231F20"/>
          <w:sz w:val="20"/>
        </w:rPr>
        <w:t>made</w:t>
      </w:r>
      <w:r>
        <w:rPr>
          <w:color w:val="231F20"/>
          <w:spacing w:val="-9"/>
          <w:sz w:val="20"/>
        </w:rPr>
        <w:t xml:space="preserve"> </w:t>
      </w:r>
      <w:r>
        <w:rPr>
          <w:color w:val="231F20"/>
          <w:sz w:val="20"/>
        </w:rPr>
        <w:t>recommendations</w:t>
      </w:r>
      <w:r>
        <w:rPr>
          <w:color w:val="231F20"/>
          <w:spacing w:val="-8"/>
          <w:sz w:val="20"/>
        </w:rPr>
        <w:t xml:space="preserve"> </w:t>
      </w:r>
      <w:r>
        <w:rPr>
          <w:color w:val="231F20"/>
          <w:sz w:val="20"/>
        </w:rPr>
        <w:t>to</w:t>
      </w:r>
      <w:r>
        <w:rPr>
          <w:color w:val="231F20"/>
          <w:spacing w:val="-9"/>
          <w:sz w:val="20"/>
        </w:rPr>
        <w:t xml:space="preserve"> </w:t>
      </w:r>
      <w:r>
        <w:rPr>
          <w:color w:val="231F20"/>
          <w:sz w:val="20"/>
        </w:rPr>
        <w:t>strengthen</w:t>
      </w:r>
      <w:r>
        <w:rPr>
          <w:color w:val="231F20"/>
          <w:spacing w:val="-9"/>
          <w:sz w:val="20"/>
        </w:rPr>
        <w:t xml:space="preserve"> </w:t>
      </w:r>
      <w:r>
        <w:rPr>
          <w:color w:val="231F20"/>
          <w:sz w:val="20"/>
        </w:rPr>
        <w:t>stalking</w:t>
      </w:r>
      <w:r>
        <w:rPr>
          <w:color w:val="231F20"/>
          <w:spacing w:val="-8"/>
          <w:sz w:val="20"/>
        </w:rPr>
        <w:t xml:space="preserve"> </w:t>
      </w:r>
      <w:r>
        <w:rPr>
          <w:color w:val="231F20"/>
          <w:sz w:val="20"/>
        </w:rPr>
        <w:t>data</w:t>
      </w:r>
      <w:r>
        <w:rPr>
          <w:color w:val="231F20"/>
          <w:spacing w:val="-9"/>
          <w:sz w:val="20"/>
        </w:rPr>
        <w:t xml:space="preserve"> </w:t>
      </w:r>
      <w:r>
        <w:rPr>
          <w:color w:val="231F20"/>
          <w:sz w:val="20"/>
        </w:rPr>
        <w:t>and</w:t>
      </w:r>
      <w:r>
        <w:rPr>
          <w:color w:val="231F20"/>
          <w:spacing w:val="-9"/>
          <w:sz w:val="20"/>
        </w:rPr>
        <w:t xml:space="preserve"> </w:t>
      </w:r>
      <w:r>
        <w:rPr>
          <w:color w:val="231F20"/>
          <w:spacing w:val="-3"/>
          <w:sz w:val="20"/>
        </w:rPr>
        <w:t xml:space="preserve">research. </w:t>
      </w:r>
      <w:r>
        <w:rPr>
          <w:color w:val="231F20"/>
          <w:spacing w:val="-5"/>
          <w:sz w:val="20"/>
        </w:rPr>
        <w:t xml:space="preserve">However, </w:t>
      </w:r>
      <w:r>
        <w:rPr>
          <w:color w:val="231F20"/>
          <w:sz w:val="20"/>
        </w:rPr>
        <w:t xml:space="preserve">where the </w:t>
      </w:r>
      <w:r>
        <w:rPr>
          <w:color w:val="231F20"/>
          <w:spacing w:val="-3"/>
          <w:sz w:val="20"/>
        </w:rPr>
        <w:t xml:space="preserve">research </w:t>
      </w:r>
      <w:r>
        <w:rPr>
          <w:color w:val="231F20"/>
          <w:sz w:val="20"/>
        </w:rPr>
        <w:t xml:space="preserve">and data </w:t>
      </w:r>
      <w:r>
        <w:rPr>
          <w:color w:val="231F20"/>
          <w:spacing w:val="-3"/>
          <w:sz w:val="20"/>
        </w:rPr>
        <w:t xml:space="preserve">are inadequate, </w:t>
      </w:r>
      <w:r>
        <w:rPr>
          <w:color w:val="231F20"/>
          <w:sz w:val="20"/>
        </w:rPr>
        <w:t>this should be openly acknowledged.</w:t>
      </w:r>
    </w:p>
    <w:p w14:paraId="22CB1D62" w14:textId="77777777" w:rsidR="00894070" w:rsidRDefault="009B7AFD">
      <w:pPr>
        <w:pStyle w:val="ListParagraph"/>
        <w:numPr>
          <w:ilvl w:val="1"/>
          <w:numId w:val="177"/>
        </w:numPr>
        <w:tabs>
          <w:tab w:val="left" w:pos="1801"/>
          <w:tab w:val="left" w:pos="1802"/>
        </w:tabs>
        <w:spacing w:before="124" w:line="206" w:lineRule="auto"/>
        <w:ind w:right="1273"/>
        <w:rPr>
          <w:sz w:val="20"/>
        </w:rPr>
      </w:pPr>
      <w:r>
        <w:rPr>
          <w:color w:val="231F20"/>
          <w:sz w:val="20"/>
        </w:rPr>
        <w:t>Public</w:t>
      </w:r>
      <w:r>
        <w:rPr>
          <w:color w:val="231F20"/>
          <w:spacing w:val="-9"/>
          <w:sz w:val="20"/>
        </w:rPr>
        <w:t xml:space="preserve"> </w:t>
      </w:r>
      <w:r>
        <w:rPr>
          <w:color w:val="231F20"/>
          <w:sz w:val="20"/>
        </w:rPr>
        <w:t>education</w:t>
      </w:r>
      <w:r>
        <w:rPr>
          <w:color w:val="231F20"/>
          <w:spacing w:val="-9"/>
          <w:sz w:val="20"/>
        </w:rPr>
        <w:t xml:space="preserve"> </w:t>
      </w:r>
      <w:r>
        <w:rPr>
          <w:color w:val="231F20"/>
          <w:sz w:val="20"/>
        </w:rPr>
        <w:t>about</w:t>
      </w:r>
      <w:r>
        <w:rPr>
          <w:color w:val="231F20"/>
          <w:spacing w:val="-9"/>
          <w:sz w:val="20"/>
        </w:rPr>
        <w:t xml:space="preserve"> </w:t>
      </w:r>
      <w:r>
        <w:rPr>
          <w:color w:val="231F20"/>
          <w:sz w:val="20"/>
        </w:rPr>
        <w:t>stalking</w:t>
      </w:r>
      <w:r>
        <w:rPr>
          <w:color w:val="231F20"/>
          <w:spacing w:val="-9"/>
          <w:sz w:val="20"/>
        </w:rPr>
        <w:t xml:space="preserve"> </w:t>
      </w:r>
      <w:r>
        <w:rPr>
          <w:color w:val="231F20"/>
          <w:sz w:val="20"/>
        </w:rPr>
        <w:t>should</w:t>
      </w:r>
      <w:r>
        <w:rPr>
          <w:color w:val="231F20"/>
          <w:spacing w:val="-9"/>
          <w:sz w:val="20"/>
        </w:rPr>
        <w:t xml:space="preserve"> </w:t>
      </w:r>
      <w:r>
        <w:rPr>
          <w:color w:val="231F20"/>
          <w:sz w:val="20"/>
        </w:rPr>
        <w:t>be</w:t>
      </w:r>
      <w:r>
        <w:rPr>
          <w:color w:val="231F20"/>
          <w:spacing w:val="-8"/>
          <w:sz w:val="20"/>
        </w:rPr>
        <w:t xml:space="preserve"> </w:t>
      </w:r>
      <w:r>
        <w:rPr>
          <w:color w:val="231F20"/>
          <w:sz w:val="20"/>
        </w:rPr>
        <w:t>guided</w:t>
      </w:r>
      <w:r>
        <w:rPr>
          <w:color w:val="231F20"/>
          <w:spacing w:val="-9"/>
          <w:sz w:val="20"/>
        </w:rPr>
        <w:t xml:space="preserve"> </w:t>
      </w:r>
      <w:r>
        <w:rPr>
          <w:color w:val="231F20"/>
          <w:spacing w:val="-3"/>
          <w:sz w:val="20"/>
        </w:rPr>
        <w:t>by</w:t>
      </w:r>
      <w:r>
        <w:rPr>
          <w:color w:val="231F20"/>
          <w:spacing w:val="-9"/>
          <w:sz w:val="20"/>
        </w:rPr>
        <w:t xml:space="preserve"> </w:t>
      </w:r>
      <w:r>
        <w:rPr>
          <w:color w:val="231F20"/>
          <w:sz w:val="20"/>
        </w:rPr>
        <w:t>the</w:t>
      </w:r>
      <w:r>
        <w:rPr>
          <w:color w:val="231F20"/>
          <w:spacing w:val="-9"/>
          <w:sz w:val="20"/>
        </w:rPr>
        <w:t xml:space="preserve"> </w:t>
      </w:r>
      <w:r>
        <w:rPr>
          <w:color w:val="231F20"/>
          <w:sz w:val="20"/>
        </w:rPr>
        <w:t>latest</w:t>
      </w:r>
      <w:r>
        <w:rPr>
          <w:color w:val="231F20"/>
          <w:spacing w:val="-9"/>
          <w:sz w:val="20"/>
        </w:rPr>
        <w:t xml:space="preserve"> </w:t>
      </w:r>
      <w:r>
        <w:rPr>
          <w:color w:val="231F20"/>
          <w:spacing w:val="-3"/>
          <w:sz w:val="20"/>
        </w:rPr>
        <w:t>research</w:t>
      </w:r>
      <w:r>
        <w:rPr>
          <w:color w:val="231F20"/>
          <w:spacing w:val="-9"/>
          <w:sz w:val="20"/>
        </w:rPr>
        <w:t xml:space="preserve"> </w:t>
      </w:r>
      <w:r>
        <w:rPr>
          <w:color w:val="231F20"/>
          <w:sz w:val="20"/>
        </w:rPr>
        <w:t>and</w:t>
      </w:r>
      <w:r>
        <w:rPr>
          <w:color w:val="231F20"/>
          <w:spacing w:val="-8"/>
          <w:sz w:val="20"/>
        </w:rPr>
        <w:t xml:space="preserve"> </w:t>
      </w:r>
      <w:r>
        <w:rPr>
          <w:color w:val="231F20"/>
          <w:sz w:val="20"/>
        </w:rPr>
        <w:t>data,</w:t>
      </w:r>
      <w:r>
        <w:rPr>
          <w:color w:val="231F20"/>
          <w:spacing w:val="-9"/>
          <w:sz w:val="20"/>
        </w:rPr>
        <w:t xml:space="preserve"> </w:t>
      </w:r>
      <w:r>
        <w:rPr>
          <w:color w:val="231F20"/>
          <w:sz w:val="20"/>
        </w:rPr>
        <w:t xml:space="preserve">and educational </w:t>
      </w:r>
      <w:r>
        <w:rPr>
          <w:color w:val="231F20"/>
          <w:spacing w:val="-3"/>
          <w:sz w:val="20"/>
        </w:rPr>
        <w:t xml:space="preserve">resources </w:t>
      </w:r>
      <w:r>
        <w:rPr>
          <w:color w:val="231F20"/>
          <w:sz w:val="20"/>
        </w:rPr>
        <w:t xml:space="preserve">should be </w:t>
      </w:r>
      <w:r>
        <w:rPr>
          <w:color w:val="231F20"/>
          <w:spacing w:val="-3"/>
          <w:sz w:val="20"/>
        </w:rPr>
        <w:t>continually</w:t>
      </w:r>
      <w:r>
        <w:rPr>
          <w:color w:val="231F20"/>
          <w:spacing w:val="-19"/>
          <w:sz w:val="20"/>
        </w:rPr>
        <w:t xml:space="preserve"> </w:t>
      </w:r>
      <w:r>
        <w:rPr>
          <w:color w:val="231F20"/>
          <w:sz w:val="20"/>
        </w:rPr>
        <w:t>updated.</w:t>
      </w:r>
    </w:p>
    <w:p w14:paraId="6532F49E" w14:textId="77777777" w:rsidR="00894070" w:rsidRDefault="00894070">
      <w:pPr>
        <w:pStyle w:val="BodyText"/>
      </w:pPr>
    </w:p>
    <w:p w14:paraId="6EDF3E31" w14:textId="77777777" w:rsidR="00894070" w:rsidRDefault="00894070">
      <w:pPr>
        <w:pStyle w:val="BodyText"/>
      </w:pPr>
    </w:p>
    <w:p w14:paraId="0561D41E" w14:textId="77777777" w:rsidR="00894070" w:rsidRDefault="00894070">
      <w:pPr>
        <w:pStyle w:val="BodyText"/>
      </w:pPr>
    </w:p>
    <w:p w14:paraId="15132F2F" w14:textId="77777777" w:rsidR="00894070" w:rsidRDefault="00894070">
      <w:pPr>
        <w:pStyle w:val="BodyText"/>
      </w:pPr>
    </w:p>
    <w:p w14:paraId="1C05DEF7" w14:textId="77777777" w:rsidR="00894070" w:rsidRDefault="00894070">
      <w:pPr>
        <w:pStyle w:val="BodyText"/>
      </w:pPr>
    </w:p>
    <w:p w14:paraId="284768BF" w14:textId="77777777" w:rsidR="00894070" w:rsidRDefault="00894070">
      <w:pPr>
        <w:pStyle w:val="BodyText"/>
      </w:pPr>
    </w:p>
    <w:p w14:paraId="568A3802" w14:textId="77777777" w:rsidR="00894070" w:rsidRDefault="009F6793">
      <w:pPr>
        <w:pStyle w:val="BodyText"/>
        <w:spacing w:before="8"/>
        <w:rPr>
          <w:sz w:val="26"/>
        </w:rPr>
      </w:pPr>
      <w:r>
        <w:pict w14:anchorId="2FB93A9C">
          <v:line id="_x0000_s1495" style="position:absolute;z-index:251539456;mso-wrap-distance-left:0;mso-wrap-distance-right:0;mso-position-horizontal-relative:page" from="79.35pt,20.95pt" to="515.9pt,20.95pt" strokecolor="#f8cabc" strokeweight="1pt">
            <w10:wrap type="topAndBottom" anchorx="page"/>
          </v:line>
        </w:pict>
      </w:r>
    </w:p>
    <w:p w14:paraId="0F938FA7" w14:textId="77777777" w:rsidR="00894070" w:rsidRDefault="009B7AFD">
      <w:pPr>
        <w:pStyle w:val="ListParagraph"/>
        <w:numPr>
          <w:ilvl w:val="0"/>
          <w:numId w:val="134"/>
        </w:numPr>
        <w:tabs>
          <w:tab w:val="left" w:pos="1801"/>
          <w:tab w:val="left" w:pos="1802"/>
        </w:tabs>
        <w:spacing w:before="107"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2AFAB4DD" w14:textId="77777777" w:rsidR="00894070" w:rsidRDefault="009B7AFD">
      <w:pPr>
        <w:pStyle w:val="ListParagraph"/>
        <w:numPr>
          <w:ilvl w:val="0"/>
          <w:numId w:val="134"/>
        </w:numPr>
        <w:tabs>
          <w:tab w:val="left" w:pos="1801"/>
          <w:tab w:val="left" w:pos="1802"/>
        </w:tabs>
        <w:spacing w:line="153" w:lineRule="exact"/>
        <w:rPr>
          <w:sz w:val="13"/>
        </w:rPr>
      </w:pPr>
      <w:r>
        <w:rPr>
          <w:color w:val="231F20"/>
          <w:sz w:val="13"/>
        </w:rPr>
        <w:t>Ibid.</w:t>
      </w:r>
    </w:p>
    <w:p w14:paraId="6EF948CA" w14:textId="77777777" w:rsidR="00894070" w:rsidRDefault="009B7AFD">
      <w:pPr>
        <w:pStyle w:val="ListParagraph"/>
        <w:numPr>
          <w:ilvl w:val="0"/>
          <w:numId w:val="134"/>
        </w:numPr>
        <w:tabs>
          <w:tab w:val="left" w:pos="1800"/>
          <w:tab w:val="left" w:pos="1802"/>
        </w:tabs>
        <w:spacing w:before="6" w:line="213" w:lineRule="auto"/>
        <w:ind w:right="1604"/>
        <w:rPr>
          <w:sz w:val="13"/>
        </w:rPr>
      </w:pPr>
      <w:r>
        <w:rPr>
          <w:color w:val="231F20"/>
          <w:sz w:val="13"/>
        </w:rPr>
        <w:t xml:space="preserve">See, eg, </w:t>
      </w:r>
      <w:r>
        <w:rPr>
          <w:color w:val="231F20"/>
          <w:spacing w:val="2"/>
          <w:sz w:val="13"/>
        </w:rPr>
        <w:t xml:space="preserve">Submissions </w:t>
      </w:r>
      <w:r>
        <w:rPr>
          <w:color w:val="231F20"/>
          <w:sz w:val="13"/>
        </w:rPr>
        <w:t xml:space="preserve">49 </w:t>
      </w:r>
      <w:r>
        <w:rPr>
          <w:color w:val="231F20"/>
          <w:spacing w:val="2"/>
          <w:sz w:val="13"/>
        </w:rPr>
        <w:t xml:space="preserve">(Victims </w:t>
      </w:r>
      <w:r>
        <w:rPr>
          <w:color w:val="231F20"/>
          <w:sz w:val="13"/>
        </w:rPr>
        <w:t xml:space="preserve">of Crime Commissioner), 93 (Royal Australian and New Zealand College of Psychiatrists); Consultations 4 (Sexual </w:t>
      </w:r>
      <w:r>
        <w:rPr>
          <w:color w:val="231F20"/>
          <w:spacing w:val="2"/>
          <w:sz w:val="13"/>
        </w:rPr>
        <w:t xml:space="preserve">Assault Services </w:t>
      </w:r>
      <w:r>
        <w:rPr>
          <w:color w:val="231F20"/>
          <w:sz w:val="13"/>
        </w:rPr>
        <w:t>Network), 27 (Kulturbrille).</w:t>
      </w:r>
    </w:p>
    <w:p w14:paraId="6C6A6AA9" w14:textId="77777777" w:rsidR="00894070" w:rsidRDefault="009B7AFD">
      <w:pPr>
        <w:pStyle w:val="ListParagraph"/>
        <w:numPr>
          <w:ilvl w:val="0"/>
          <w:numId w:val="134"/>
        </w:numPr>
        <w:tabs>
          <w:tab w:val="left" w:pos="1800"/>
          <w:tab w:val="left" w:pos="1802"/>
        </w:tabs>
        <w:spacing w:line="213" w:lineRule="auto"/>
        <w:ind w:right="1330"/>
        <w:rPr>
          <w:sz w:val="13"/>
        </w:rPr>
      </w:pPr>
      <w:r>
        <w:rPr>
          <w:color w:val="231F20"/>
          <w:sz w:val="13"/>
        </w:rPr>
        <w:t xml:space="preserve">See, eg, Consultations 13 (Victoria Legal Aid), 30 (Roundtable with multicultural and multifaith lawyers and legal stakeholders); </w:t>
      </w: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6"/>
          <w:sz w:val="13"/>
        </w:rPr>
        <w:t xml:space="preserve"> </w:t>
      </w:r>
      <w:r>
        <w:rPr>
          <w:color w:val="231F20"/>
          <w:sz w:val="13"/>
        </w:rPr>
        <w:t>Centres).</w:t>
      </w:r>
    </w:p>
    <w:p w14:paraId="498ACA35" w14:textId="77777777" w:rsidR="00894070" w:rsidRDefault="009B7AFD">
      <w:pPr>
        <w:pStyle w:val="ListParagraph"/>
        <w:numPr>
          <w:ilvl w:val="0"/>
          <w:numId w:val="134"/>
        </w:numPr>
        <w:tabs>
          <w:tab w:val="left" w:pos="1801"/>
          <w:tab w:val="left" w:pos="1802"/>
        </w:tabs>
        <w:spacing w:line="153" w:lineRule="exact"/>
        <w:rPr>
          <w:sz w:val="13"/>
        </w:rPr>
      </w:pPr>
      <w:r>
        <w:rPr>
          <w:color w:val="231F20"/>
          <w:spacing w:val="2"/>
          <w:sz w:val="13"/>
        </w:rPr>
        <w:t xml:space="preserve">Submissions </w:t>
      </w:r>
      <w:r>
        <w:rPr>
          <w:color w:val="231F20"/>
          <w:sz w:val="13"/>
        </w:rPr>
        <w:t>32 (Centre for Forensic Behavioural Science), 51 (Matthew</w:t>
      </w:r>
      <w:r>
        <w:rPr>
          <w:color w:val="231F20"/>
          <w:spacing w:val="2"/>
          <w:sz w:val="13"/>
        </w:rPr>
        <w:t xml:space="preserve"> </w:t>
      </w:r>
      <w:r>
        <w:rPr>
          <w:color w:val="231F20"/>
          <w:sz w:val="13"/>
        </w:rPr>
        <w:t>Raj).</w:t>
      </w:r>
    </w:p>
    <w:p w14:paraId="6C7C33FC" w14:textId="77777777" w:rsidR="00894070" w:rsidRDefault="009B7AFD">
      <w:pPr>
        <w:pStyle w:val="ListParagraph"/>
        <w:numPr>
          <w:ilvl w:val="0"/>
          <w:numId w:val="134"/>
        </w:numPr>
        <w:tabs>
          <w:tab w:val="left" w:pos="1801"/>
          <w:tab w:val="left" w:pos="1802"/>
        </w:tabs>
        <w:spacing w:before="6" w:line="213" w:lineRule="auto"/>
        <w:ind w:right="1253"/>
        <w:rPr>
          <w:sz w:val="13"/>
        </w:rPr>
      </w:pPr>
      <w:r>
        <w:rPr>
          <w:color w:val="231F20"/>
          <w:spacing w:val="2"/>
          <w:sz w:val="13"/>
        </w:rPr>
        <w:t xml:space="preserve">Submission </w:t>
      </w:r>
      <w:r>
        <w:rPr>
          <w:color w:val="231F20"/>
          <w:sz w:val="13"/>
        </w:rPr>
        <w:t xml:space="preserve">32 (Centre for Forensic Behavioural Science); Bradford W Reyns and Christine M Englebrecht, ‘Informal and Formal </w:t>
      </w:r>
      <w:r>
        <w:rPr>
          <w:color w:val="231F20"/>
          <w:spacing w:val="2"/>
          <w:sz w:val="13"/>
        </w:rPr>
        <w:t xml:space="preserve">Help-Seeking Decisions </w:t>
      </w:r>
      <w:r>
        <w:rPr>
          <w:color w:val="231F20"/>
          <w:sz w:val="13"/>
        </w:rPr>
        <w:t xml:space="preserve">of Stalking Victims in the United States’ (2014) 41(10) </w:t>
      </w:r>
      <w:r>
        <w:rPr>
          <w:i/>
          <w:color w:val="231F20"/>
          <w:sz w:val="13"/>
        </w:rPr>
        <w:t xml:space="preserve">Criminal Justice and Behavior </w:t>
      </w:r>
      <w:r>
        <w:rPr>
          <w:color w:val="231F20"/>
          <w:sz w:val="13"/>
        </w:rPr>
        <w:t xml:space="preserve">1178, 1182, 1189–1192; Bradford W Reyns and Christine M Englebrecht, ‘The Stalking Victim’s </w:t>
      </w:r>
      <w:r>
        <w:rPr>
          <w:color w:val="231F20"/>
          <w:spacing w:val="2"/>
          <w:sz w:val="13"/>
        </w:rPr>
        <w:t xml:space="preserve">Decision </w:t>
      </w:r>
      <w:r>
        <w:rPr>
          <w:color w:val="231F20"/>
          <w:sz w:val="13"/>
        </w:rPr>
        <w:t xml:space="preserve">to Contact the Police: A Test of Gottfredson and Gottfredson’s </w:t>
      </w:r>
      <w:r>
        <w:rPr>
          <w:color w:val="231F20"/>
          <w:spacing w:val="2"/>
          <w:sz w:val="13"/>
        </w:rPr>
        <w:t xml:space="preserve">Theory </w:t>
      </w:r>
      <w:r>
        <w:rPr>
          <w:color w:val="231F20"/>
          <w:sz w:val="13"/>
        </w:rPr>
        <w:t xml:space="preserve">of Criminal Justice </w:t>
      </w:r>
      <w:r>
        <w:rPr>
          <w:color w:val="231F20"/>
          <w:spacing w:val="2"/>
          <w:sz w:val="13"/>
        </w:rPr>
        <w:t xml:space="preserve">Decision </w:t>
      </w:r>
      <w:r>
        <w:rPr>
          <w:color w:val="231F20"/>
          <w:sz w:val="13"/>
        </w:rPr>
        <w:t xml:space="preserve">Making’ (2010) </w:t>
      </w:r>
      <w:r>
        <w:rPr>
          <w:color w:val="231F20"/>
          <w:spacing w:val="2"/>
          <w:sz w:val="13"/>
        </w:rPr>
        <w:t xml:space="preserve">38(5) </w:t>
      </w:r>
      <w:r>
        <w:rPr>
          <w:i/>
          <w:color w:val="231F20"/>
          <w:sz w:val="13"/>
        </w:rPr>
        <w:t xml:space="preserve">Journal of Criminal Justice </w:t>
      </w:r>
      <w:r>
        <w:rPr>
          <w:color w:val="231F20"/>
          <w:spacing w:val="2"/>
          <w:sz w:val="13"/>
        </w:rPr>
        <w:t xml:space="preserve">998, </w:t>
      </w:r>
      <w:r>
        <w:rPr>
          <w:color w:val="231F20"/>
          <w:spacing w:val="3"/>
          <w:sz w:val="13"/>
        </w:rPr>
        <w:t>999,</w:t>
      </w:r>
      <w:r>
        <w:rPr>
          <w:color w:val="231F20"/>
          <w:spacing w:val="30"/>
          <w:sz w:val="13"/>
        </w:rPr>
        <w:t xml:space="preserve"> </w:t>
      </w:r>
      <w:r>
        <w:rPr>
          <w:color w:val="231F20"/>
          <w:sz w:val="13"/>
        </w:rPr>
        <w:t>1003.</w:t>
      </w:r>
    </w:p>
    <w:p w14:paraId="73E3377D" w14:textId="77777777" w:rsidR="00894070" w:rsidRDefault="009B7AFD">
      <w:pPr>
        <w:pStyle w:val="ListParagraph"/>
        <w:numPr>
          <w:ilvl w:val="0"/>
          <w:numId w:val="134"/>
        </w:numPr>
        <w:tabs>
          <w:tab w:val="left" w:pos="1801"/>
          <w:tab w:val="left" w:pos="1802"/>
        </w:tabs>
        <w:spacing w:line="213" w:lineRule="auto"/>
        <w:ind w:right="1395"/>
        <w:rPr>
          <w:i/>
          <w:sz w:val="13"/>
        </w:rPr>
      </w:pPr>
      <w:r>
        <w:rPr>
          <w:color w:val="231F20"/>
          <w:sz w:val="13"/>
        </w:rPr>
        <w:t xml:space="preserve">We know this is the case in relation to sexual violence, however, Reyns and Englebrecht were unable to </w:t>
      </w:r>
      <w:r>
        <w:rPr>
          <w:color w:val="231F20"/>
          <w:spacing w:val="2"/>
          <w:sz w:val="13"/>
        </w:rPr>
        <w:t xml:space="preserve">establish </w:t>
      </w:r>
      <w:r>
        <w:rPr>
          <w:color w:val="231F20"/>
          <w:sz w:val="13"/>
        </w:rPr>
        <w:t xml:space="preserve">a causal      link between informal help seeking and </w:t>
      </w:r>
      <w:r>
        <w:rPr>
          <w:color w:val="231F20"/>
          <w:spacing w:val="2"/>
          <w:sz w:val="13"/>
        </w:rPr>
        <w:t xml:space="preserve">reporting </w:t>
      </w:r>
      <w:r>
        <w:rPr>
          <w:color w:val="231F20"/>
          <w:sz w:val="13"/>
        </w:rPr>
        <w:t xml:space="preserve">to </w:t>
      </w:r>
      <w:r>
        <w:rPr>
          <w:color w:val="231F20"/>
          <w:spacing w:val="2"/>
          <w:sz w:val="13"/>
        </w:rPr>
        <w:t xml:space="preserve">police </w:t>
      </w:r>
      <w:r>
        <w:rPr>
          <w:color w:val="231F20"/>
          <w:sz w:val="13"/>
        </w:rPr>
        <w:t xml:space="preserve">among people who </w:t>
      </w:r>
      <w:r>
        <w:rPr>
          <w:color w:val="231F20"/>
          <w:spacing w:val="2"/>
          <w:sz w:val="13"/>
        </w:rPr>
        <w:t xml:space="preserve">experienced stalking: </w:t>
      </w:r>
      <w:r>
        <w:rPr>
          <w:color w:val="231F20"/>
          <w:sz w:val="13"/>
        </w:rPr>
        <w:t xml:space="preserve">Bradford W Reyns and Christine M Englebrecht, ‘Informal and Formal </w:t>
      </w:r>
      <w:r>
        <w:rPr>
          <w:color w:val="231F20"/>
          <w:spacing w:val="2"/>
          <w:sz w:val="13"/>
        </w:rPr>
        <w:t xml:space="preserve">Help-Seeking Decisions </w:t>
      </w:r>
      <w:r>
        <w:rPr>
          <w:color w:val="231F20"/>
          <w:sz w:val="13"/>
        </w:rPr>
        <w:t xml:space="preserve">of Stalking Victims in the United States’ (2014) 41(10) </w:t>
      </w:r>
      <w:r>
        <w:rPr>
          <w:i/>
          <w:color w:val="231F20"/>
          <w:sz w:val="13"/>
        </w:rPr>
        <w:t>Criminal</w:t>
      </w:r>
      <w:r>
        <w:rPr>
          <w:i/>
          <w:color w:val="231F20"/>
          <w:spacing w:val="7"/>
          <w:sz w:val="13"/>
        </w:rPr>
        <w:t xml:space="preserve"> </w:t>
      </w:r>
      <w:r>
        <w:rPr>
          <w:i/>
          <w:color w:val="231F20"/>
          <w:sz w:val="13"/>
        </w:rPr>
        <w:t>Justice</w:t>
      </w:r>
      <w:r>
        <w:rPr>
          <w:i/>
          <w:color w:val="231F20"/>
          <w:spacing w:val="7"/>
          <w:sz w:val="13"/>
        </w:rPr>
        <w:t xml:space="preserve"> </w:t>
      </w:r>
      <w:r>
        <w:rPr>
          <w:i/>
          <w:color w:val="231F20"/>
          <w:sz w:val="13"/>
        </w:rPr>
        <w:t>and</w:t>
      </w:r>
      <w:r>
        <w:rPr>
          <w:i/>
          <w:color w:val="231F20"/>
          <w:spacing w:val="7"/>
          <w:sz w:val="13"/>
        </w:rPr>
        <w:t xml:space="preserve"> </w:t>
      </w:r>
      <w:r>
        <w:rPr>
          <w:i/>
          <w:color w:val="231F20"/>
          <w:sz w:val="13"/>
        </w:rPr>
        <w:t>Behavior</w:t>
      </w:r>
      <w:r>
        <w:rPr>
          <w:i/>
          <w:color w:val="231F20"/>
          <w:spacing w:val="7"/>
          <w:sz w:val="13"/>
        </w:rPr>
        <w:t xml:space="preserve"> </w:t>
      </w:r>
      <w:r>
        <w:rPr>
          <w:color w:val="231F20"/>
          <w:sz w:val="13"/>
        </w:rPr>
        <w:t>1178,</w:t>
      </w:r>
      <w:r>
        <w:rPr>
          <w:color w:val="231F20"/>
          <w:spacing w:val="8"/>
          <w:sz w:val="13"/>
        </w:rPr>
        <w:t xml:space="preserve"> </w:t>
      </w:r>
      <w:r>
        <w:rPr>
          <w:color w:val="231F20"/>
          <w:spacing w:val="2"/>
          <w:sz w:val="13"/>
        </w:rPr>
        <w:t>1190–1.</w:t>
      </w:r>
      <w:r>
        <w:rPr>
          <w:color w:val="231F20"/>
          <w:spacing w:val="7"/>
          <w:sz w:val="13"/>
        </w:rPr>
        <w:t xml:space="preserve"> </w:t>
      </w:r>
      <w:r>
        <w:rPr>
          <w:color w:val="231F20"/>
          <w:sz w:val="13"/>
        </w:rPr>
        <w:t>In</w:t>
      </w:r>
      <w:r>
        <w:rPr>
          <w:color w:val="231F20"/>
          <w:spacing w:val="8"/>
          <w:sz w:val="13"/>
        </w:rPr>
        <w:t xml:space="preserve"> </w:t>
      </w:r>
      <w:r>
        <w:rPr>
          <w:color w:val="231F20"/>
          <w:sz w:val="13"/>
        </w:rPr>
        <w:t>relation</w:t>
      </w:r>
      <w:r>
        <w:rPr>
          <w:color w:val="231F20"/>
          <w:spacing w:val="7"/>
          <w:sz w:val="13"/>
        </w:rPr>
        <w:t xml:space="preserve"> </w:t>
      </w:r>
      <w:r>
        <w:rPr>
          <w:color w:val="231F20"/>
          <w:sz w:val="13"/>
        </w:rPr>
        <w:t>to</w:t>
      </w:r>
      <w:r>
        <w:rPr>
          <w:color w:val="231F20"/>
          <w:spacing w:val="7"/>
          <w:sz w:val="13"/>
        </w:rPr>
        <w:t xml:space="preserve"> </w:t>
      </w:r>
      <w:r>
        <w:rPr>
          <w:color w:val="231F20"/>
          <w:sz w:val="13"/>
        </w:rPr>
        <w:t>sexual</w:t>
      </w:r>
      <w:r>
        <w:rPr>
          <w:color w:val="231F20"/>
          <w:spacing w:val="8"/>
          <w:sz w:val="13"/>
        </w:rPr>
        <w:t xml:space="preserve"> </w:t>
      </w:r>
      <w:r>
        <w:rPr>
          <w:color w:val="231F20"/>
          <w:sz w:val="13"/>
        </w:rPr>
        <w:t>violence:</w:t>
      </w:r>
      <w:r>
        <w:rPr>
          <w:color w:val="231F20"/>
          <w:spacing w:val="7"/>
          <w:sz w:val="13"/>
        </w:rPr>
        <w:t xml:space="preserve"> </w:t>
      </w:r>
      <w:r>
        <w:rPr>
          <w:color w:val="231F20"/>
          <w:sz w:val="13"/>
        </w:rPr>
        <w:t>see</w:t>
      </w:r>
      <w:r>
        <w:rPr>
          <w:color w:val="231F20"/>
          <w:spacing w:val="8"/>
          <w:sz w:val="13"/>
        </w:rPr>
        <w:t xml:space="preserve"> </w:t>
      </w:r>
      <w:r>
        <w:rPr>
          <w:color w:val="231F20"/>
          <w:sz w:val="13"/>
        </w:rPr>
        <w:t>Victorian</w:t>
      </w:r>
      <w:r>
        <w:rPr>
          <w:color w:val="231F20"/>
          <w:spacing w:val="7"/>
          <w:sz w:val="13"/>
        </w:rPr>
        <w:t xml:space="preserve"> </w:t>
      </w:r>
      <w:r>
        <w:rPr>
          <w:color w:val="231F20"/>
          <w:sz w:val="13"/>
        </w:rPr>
        <w:t>Law</w:t>
      </w:r>
      <w:r>
        <w:rPr>
          <w:color w:val="231F20"/>
          <w:spacing w:val="7"/>
          <w:sz w:val="13"/>
        </w:rPr>
        <w:t xml:space="preserve"> </w:t>
      </w:r>
      <w:r>
        <w:rPr>
          <w:color w:val="231F20"/>
          <w:sz w:val="13"/>
        </w:rPr>
        <w:t>Reform</w:t>
      </w:r>
      <w:r>
        <w:rPr>
          <w:color w:val="231F20"/>
          <w:spacing w:val="8"/>
          <w:sz w:val="13"/>
        </w:rPr>
        <w:t xml:space="preserve"> </w:t>
      </w:r>
      <w:r>
        <w:rPr>
          <w:color w:val="231F20"/>
          <w:spacing w:val="2"/>
          <w:sz w:val="13"/>
        </w:rPr>
        <w:t>Commission,</w:t>
      </w:r>
      <w:r>
        <w:rPr>
          <w:color w:val="231F20"/>
          <w:spacing w:val="7"/>
          <w:sz w:val="13"/>
        </w:rPr>
        <w:t xml:space="preserve"> </w:t>
      </w:r>
      <w:r>
        <w:rPr>
          <w:i/>
          <w:color w:val="231F20"/>
          <w:sz w:val="13"/>
        </w:rPr>
        <w:t>Improving</w:t>
      </w:r>
      <w:r>
        <w:rPr>
          <w:i/>
          <w:color w:val="231F20"/>
          <w:spacing w:val="7"/>
          <w:sz w:val="13"/>
        </w:rPr>
        <w:t xml:space="preserve"> </w:t>
      </w:r>
      <w:r>
        <w:rPr>
          <w:i/>
          <w:color w:val="231F20"/>
          <w:sz w:val="13"/>
        </w:rPr>
        <w:t>the</w:t>
      </w:r>
    </w:p>
    <w:p w14:paraId="6ED4BACE" w14:textId="77777777" w:rsidR="00894070" w:rsidRDefault="009F6793">
      <w:pPr>
        <w:spacing w:line="213" w:lineRule="auto"/>
        <w:ind w:left="1801" w:right="1273"/>
        <w:jc w:val="both"/>
        <w:rPr>
          <w:sz w:val="13"/>
        </w:rPr>
      </w:pPr>
      <w:r>
        <w:pict w14:anchorId="700A36B4">
          <v:shape id="_x0000_s1494" type="#_x0000_t202" style="position:absolute;left:0;text-align:left;margin-left:36pt;margin-top:11.4pt;width:14.6pt;height:14.1pt;z-index:251618304;mso-position-horizontal-relative:page" filled="f" stroked="f">
            <v:textbox inset="0,0,0,0">
              <w:txbxContent>
                <w:p w14:paraId="572EB36F" w14:textId="77777777" w:rsidR="00894070" w:rsidRDefault="009B7AFD">
                  <w:pPr>
                    <w:spacing w:line="282" w:lineRule="exact"/>
                    <w:rPr>
                      <w:b/>
                      <w:sz w:val="24"/>
                    </w:rPr>
                  </w:pPr>
                  <w:r>
                    <w:rPr>
                      <w:b/>
                      <w:color w:val="EA5B50"/>
                      <w:spacing w:val="-1"/>
                      <w:sz w:val="24"/>
                    </w:rPr>
                    <w:t>60</w:t>
                  </w:r>
                </w:p>
              </w:txbxContent>
            </v:textbox>
            <w10:wrap anchorx="page"/>
          </v:shape>
        </w:pict>
      </w:r>
      <w:r w:rsidR="009B7AFD">
        <w:rPr>
          <w:i/>
          <w:color w:val="231F20"/>
          <w:sz w:val="13"/>
        </w:rPr>
        <w:t xml:space="preserve">Justice System Response to Sexual Offences </w:t>
      </w:r>
      <w:r w:rsidR="009B7AFD">
        <w:rPr>
          <w:color w:val="231F20"/>
          <w:sz w:val="13"/>
        </w:rPr>
        <w:t xml:space="preserve">(Report No 42, September 2021) 37 [3.7]; Denise Lievore, </w:t>
      </w:r>
      <w:r w:rsidR="009B7AFD">
        <w:rPr>
          <w:i/>
          <w:color w:val="231F20"/>
          <w:sz w:val="13"/>
        </w:rPr>
        <w:t xml:space="preserve">No Longer Silent: A Study of Women’s Help-Seeking Decisions and Service Responses to Sexual Assault </w:t>
      </w:r>
      <w:r w:rsidR="009B7AFD">
        <w:rPr>
          <w:color w:val="231F20"/>
          <w:sz w:val="13"/>
        </w:rPr>
        <w:t>(Report, Australian Institute of Criminology (Cth), June 2005) v.</w:t>
      </w:r>
    </w:p>
    <w:p w14:paraId="720F6F89" w14:textId="77777777" w:rsidR="00894070" w:rsidRDefault="00894070">
      <w:pPr>
        <w:spacing w:line="213" w:lineRule="auto"/>
        <w:jc w:val="both"/>
        <w:rPr>
          <w:sz w:val="13"/>
        </w:rPr>
        <w:sectPr w:rsidR="00894070">
          <w:pgSz w:w="11910" w:h="16840"/>
          <w:pgMar w:top="860" w:right="420" w:bottom="280" w:left="580" w:header="567" w:footer="0" w:gutter="0"/>
          <w:cols w:space="720"/>
        </w:sectPr>
      </w:pPr>
    </w:p>
    <w:p w14:paraId="5536E0F7" w14:textId="77777777" w:rsidR="00894070" w:rsidRDefault="00894070">
      <w:pPr>
        <w:pStyle w:val="BodyText"/>
      </w:pPr>
    </w:p>
    <w:p w14:paraId="356149DC" w14:textId="77777777" w:rsidR="00894070" w:rsidRDefault="00894070">
      <w:pPr>
        <w:pStyle w:val="BodyText"/>
      </w:pPr>
    </w:p>
    <w:p w14:paraId="705B4680" w14:textId="77777777" w:rsidR="00894070" w:rsidRDefault="00894070">
      <w:pPr>
        <w:pStyle w:val="BodyText"/>
      </w:pPr>
    </w:p>
    <w:p w14:paraId="78AC8493" w14:textId="77777777" w:rsidR="00894070" w:rsidRDefault="00894070">
      <w:pPr>
        <w:pStyle w:val="BodyText"/>
        <w:spacing w:before="6"/>
        <w:rPr>
          <w:sz w:val="14"/>
        </w:rPr>
      </w:pPr>
    </w:p>
    <w:p w14:paraId="0D66E0C9" w14:textId="77777777" w:rsidR="00894070" w:rsidRDefault="009B7AFD">
      <w:pPr>
        <w:pStyle w:val="Heading8"/>
        <w:spacing w:before="49"/>
        <w:ind w:left="1007"/>
      </w:pPr>
      <w:bookmarkStart w:id="83" w:name="_bookmark43"/>
      <w:bookmarkEnd w:id="83"/>
      <w:r>
        <w:rPr>
          <w:color w:val="231F20"/>
        </w:rPr>
        <w:t>How should public education be delivered?</w:t>
      </w:r>
    </w:p>
    <w:p w14:paraId="3ECA295B" w14:textId="77777777" w:rsidR="00894070" w:rsidRDefault="009B7AFD">
      <w:pPr>
        <w:pStyle w:val="ListParagraph"/>
        <w:numPr>
          <w:ilvl w:val="1"/>
          <w:numId w:val="177"/>
        </w:numPr>
        <w:tabs>
          <w:tab w:val="left" w:pos="1801"/>
          <w:tab w:val="left" w:pos="1802"/>
        </w:tabs>
        <w:spacing w:before="95"/>
        <w:rPr>
          <w:sz w:val="20"/>
        </w:rPr>
      </w:pPr>
      <w:r>
        <w:rPr>
          <w:color w:val="231F20"/>
          <w:sz w:val="20"/>
        </w:rPr>
        <w:t xml:space="preserve">Suggestions </w:t>
      </w:r>
      <w:r>
        <w:rPr>
          <w:color w:val="231F20"/>
          <w:spacing w:val="-3"/>
          <w:sz w:val="20"/>
        </w:rPr>
        <w:t xml:space="preserve">we received </w:t>
      </w:r>
      <w:r>
        <w:rPr>
          <w:color w:val="231F20"/>
          <w:sz w:val="20"/>
        </w:rPr>
        <w:t xml:space="preserve">about </w:t>
      </w:r>
      <w:r>
        <w:rPr>
          <w:color w:val="231F20"/>
          <w:spacing w:val="-3"/>
          <w:sz w:val="20"/>
        </w:rPr>
        <w:t xml:space="preserve">how </w:t>
      </w:r>
      <w:r>
        <w:rPr>
          <w:color w:val="231F20"/>
          <w:sz w:val="20"/>
        </w:rPr>
        <w:t>to deliver public education</w:t>
      </w:r>
      <w:r>
        <w:rPr>
          <w:color w:val="231F20"/>
          <w:spacing w:val="-37"/>
          <w:sz w:val="20"/>
        </w:rPr>
        <w:t xml:space="preserve"> </w:t>
      </w:r>
      <w:r>
        <w:rPr>
          <w:color w:val="231F20"/>
          <w:sz w:val="20"/>
        </w:rPr>
        <w:t>included:</w:t>
      </w:r>
    </w:p>
    <w:p w14:paraId="6CA15395" w14:textId="77777777" w:rsidR="00894070" w:rsidRDefault="009B7AFD">
      <w:pPr>
        <w:pStyle w:val="ListParagraph"/>
        <w:numPr>
          <w:ilvl w:val="2"/>
          <w:numId w:val="177"/>
        </w:numPr>
        <w:tabs>
          <w:tab w:val="left" w:pos="2141"/>
          <w:tab w:val="left" w:pos="2142"/>
        </w:tabs>
        <w:spacing w:before="82"/>
        <w:ind w:hanging="340"/>
        <w:rPr>
          <w:sz w:val="11"/>
        </w:rPr>
      </w:pPr>
      <w:r>
        <w:rPr>
          <w:color w:val="231F20"/>
          <w:spacing w:val="-3"/>
          <w:sz w:val="20"/>
        </w:rPr>
        <w:t xml:space="preserve">providing </w:t>
      </w:r>
      <w:r>
        <w:rPr>
          <w:color w:val="231F20"/>
          <w:sz w:val="20"/>
        </w:rPr>
        <w:t xml:space="preserve">a central </w:t>
      </w:r>
      <w:r>
        <w:rPr>
          <w:color w:val="231F20"/>
          <w:spacing w:val="-3"/>
          <w:sz w:val="20"/>
        </w:rPr>
        <w:t xml:space="preserve">information </w:t>
      </w:r>
      <w:r>
        <w:rPr>
          <w:color w:val="231F20"/>
          <w:sz w:val="20"/>
        </w:rPr>
        <w:t xml:space="preserve">point </w:t>
      </w:r>
      <w:r>
        <w:rPr>
          <w:color w:val="231F20"/>
          <w:spacing w:val="-4"/>
          <w:sz w:val="20"/>
        </w:rPr>
        <w:t xml:space="preserve">(for </w:t>
      </w:r>
      <w:r>
        <w:rPr>
          <w:color w:val="231F20"/>
          <w:spacing w:val="-3"/>
          <w:sz w:val="20"/>
        </w:rPr>
        <w:t xml:space="preserve">example, </w:t>
      </w:r>
      <w:r>
        <w:rPr>
          <w:color w:val="231F20"/>
          <w:sz w:val="20"/>
        </w:rPr>
        <w:t>‘Stop Stalking’ in</w:t>
      </w:r>
      <w:r>
        <w:rPr>
          <w:color w:val="231F20"/>
          <w:spacing w:val="-29"/>
          <w:sz w:val="20"/>
        </w:rPr>
        <w:t xml:space="preserve"> </w:t>
      </w:r>
      <w:r>
        <w:rPr>
          <w:color w:val="231F20"/>
          <w:spacing w:val="-3"/>
          <w:sz w:val="20"/>
        </w:rPr>
        <w:t>Germany)</w:t>
      </w:r>
      <w:r>
        <w:rPr>
          <w:color w:val="231F20"/>
          <w:spacing w:val="-3"/>
          <w:position w:val="7"/>
          <w:sz w:val="11"/>
        </w:rPr>
        <w:t>47</w:t>
      </w:r>
    </w:p>
    <w:p w14:paraId="04107EEF" w14:textId="77777777" w:rsidR="00894070" w:rsidRDefault="009B7AFD">
      <w:pPr>
        <w:pStyle w:val="ListParagraph"/>
        <w:numPr>
          <w:ilvl w:val="2"/>
          <w:numId w:val="177"/>
        </w:numPr>
        <w:tabs>
          <w:tab w:val="left" w:pos="2141"/>
          <w:tab w:val="left" w:pos="2142"/>
        </w:tabs>
        <w:spacing w:before="80" w:line="206" w:lineRule="auto"/>
        <w:ind w:right="1395" w:hanging="340"/>
        <w:rPr>
          <w:sz w:val="11"/>
        </w:rPr>
      </w:pPr>
      <w:r>
        <w:rPr>
          <w:color w:val="231F20"/>
          <w:sz w:val="20"/>
        </w:rPr>
        <w:t xml:space="preserve">an </w:t>
      </w:r>
      <w:r>
        <w:rPr>
          <w:color w:val="231F20"/>
          <w:spacing w:val="-3"/>
          <w:sz w:val="20"/>
        </w:rPr>
        <w:t xml:space="preserve">information </w:t>
      </w:r>
      <w:r>
        <w:rPr>
          <w:color w:val="231F20"/>
          <w:sz w:val="20"/>
        </w:rPr>
        <w:t xml:space="preserve">campaign including annual </w:t>
      </w:r>
      <w:r>
        <w:rPr>
          <w:color w:val="231F20"/>
          <w:spacing w:val="-3"/>
          <w:sz w:val="20"/>
        </w:rPr>
        <w:t xml:space="preserve">events </w:t>
      </w:r>
      <w:r>
        <w:rPr>
          <w:color w:val="231F20"/>
          <w:spacing w:val="-4"/>
          <w:sz w:val="20"/>
        </w:rPr>
        <w:t xml:space="preserve">(for </w:t>
      </w:r>
      <w:r>
        <w:rPr>
          <w:color w:val="231F20"/>
          <w:spacing w:val="-3"/>
          <w:sz w:val="20"/>
        </w:rPr>
        <w:t xml:space="preserve">example, </w:t>
      </w:r>
      <w:r>
        <w:rPr>
          <w:color w:val="231F20"/>
          <w:sz w:val="20"/>
        </w:rPr>
        <w:t xml:space="preserve">a National Stalking </w:t>
      </w:r>
      <w:r>
        <w:rPr>
          <w:color w:val="231F20"/>
          <w:spacing w:val="-3"/>
          <w:sz w:val="20"/>
        </w:rPr>
        <w:t xml:space="preserve">Awareness </w:t>
      </w:r>
      <w:r>
        <w:rPr>
          <w:color w:val="231F20"/>
          <w:spacing w:val="-4"/>
          <w:sz w:val="20"/>
        </w:rPr>
        <w:t xml:space="preserve">Week </w:t>
      </w:r>
      <w:r>
        <w:rPr>
          <w:color w:val="231F20"/>
          <w:sz w:val="20"/>
        </w:rPr>
        <w:t>and the ‘FOUR’ campaign in the United Kingdom, which</w:t>
      </w:r>
      <w:r>
        <w:rPr>
          <w:color w:val="231F20"/>
          <w:spacing w:val="-8"/>
          <w:sz w:val="20"/>
        </w:rPr>
        <w:t xml:space="preserve"> </w:t>
      </w:r>
      <w:r>
        <w:rPr>
          <w:color w:val="231F20"/>
          <w:sz w:val="20"/>
        </w:rPr>
        <w:t>encourages</w:t>
      </w:r>
      <w:r>
        <w:rPr>
          <w:color w:val="231F20"/>
          <w:spacing w:val="-7"/>
          <w:sz w:val="20"/>
        </w:rPr>
        <w:t xml:space="preserve"> </w:t>
      </w:r>
      <w:r>
        <w:rPr>
          <w:color w:val="231F20"/>
          <w:sz w:val="20"/>
        </w:rPr>
        <w:t>people</w:t>
      </w:r>
      <w:r>
        <w:rPr>
          <w:color w:val="231F20"/>
          <w:spacing w:val="-7"/>
          <w:sz w:val="20"/>
        </w:rPr>
        <w:t xml:space="preserve"> </w:t>
      </w:r>
      <w:r>
        <w:rPr>
          <w:color w:val="231F20"/>
          <w:sz w:val="20"/>
        </w:rPr>
        <w:t>to</w:t>
      </w:r>
      <w:r>
        <w:rPr>
          <w:color w:val="231F20"/>
          <w:spacing w:val="-7"/>
          <w:sz w:val="20"/>
        </w:rPr>
        <w:t xml:space="preserve"> </w:t>
      </w:r>
      <w:r>
        <w:rPr>
          <w:color w:val="231F20"/>
          <w:sz w:val="20"/>
        </w:rPr>
        <w:t>identify</w:t>
      </w:r>
      <w:r>
        <w:rPr>
          <w:color w:val="231F20"/>
          <w:spacing w:val="-7"/>
          <w:sz w:val="20"/>
        </w:rPr>
        <w:t xml:space="preserve"> </w:t>
      </w:r>
      <w:r>
        <w:rPr>
          <w:color w:val="231F20"/>
          <w:sz w:val="20"/>
        </w:rPr>
        <w:t>stalking</w:t>
      </w:r>
      <w:r>
        <w:rPr>
          <w:color w:val="231F20"/>
          <w:spacing w:val="-8"/>
          <w:sz w:val="20"/>
        </w:rPr>
        <w:t xml:space="preserve"> </w:t>
      </w:r>
      <w:r>
        <w:rPr>
          <w:color w:val="231F20"/>
          <w:sz w:val="20"/>
        </w:rPr>
        <w:t>on</w:t>
      </w:r>
      <w:r>
        <w:rPr>
          <w:color w:val="231F20"/>
          <w:spacing w:val="-7"/>
          <w:sz w:val="20"/>
        </w:rPr>
        <w:t xml:space="preserve"> </w:t>
      </w:r>
      <w:r>
        <w:rPr>
          <w:color w:val="231F20"/>
          <w:sz w:val="20"/>
        </w:rPr>
        <w:t>the</w:t>
      </w:r>
      <w:r>
        <w:rPr>
          <w:color w:val="231F20"/>
          <w:spacing w:val="-7"/>
          <w:sz w:val="20"/>
        </w:rPr>
        <w:t xml:space="preserve"> </w:t>
      </w:r>
      <w:r>
        <w:rPr>
          <w:color w:val="231F20"/>
          <w:sz w:val="20"/>
        </w:rPr>
        <w:t>basis</w:t>
      </w:r>
      <w:r>
        <w:rPr>
          <w:color w:val="231F20"/>
          <w:spacing w:val="-7"/>
          <w:sz w:val="20"/>
        </w:rPr>
        <w:t xml:space="preserve"> </w:t>
      </w:r>
      <w:r>
        <w:rPr>
          <w:color w:val="231F20"/>
          <w:sz w:val="20"/>
        </w:rPr>
        <w:t>it</w:t>
      </w:r>
      <w:r>
        <w:rPr>
          <w:color w:val="231F20"/>
          <w:spacing w:val="-7"/>
          <w:sz w:val="20"/>
        </w:rPr>
        <w:t xml:space="preserve"> </w:t>
      </w:r>
      <w:r>
        <w:rPr>
          <w:color w:val="231F20"/>
          <w:sz w:val="20"/>
        </w:rPr>
        <w:t>is</w:t>
      </w:r>
      <w:r>
        <w:rPr>
          <w:color w:val="231F20"/>
          <w:spacing w:val="-7"/>
          <w:sz w:val="20"/>
        </w:rPr>
        <w:t xml:space="preserve"> </w:t>
      </w:r>
      <w:r>
        <w:rPr>
          <w:color w:val="231F20"/>
          <w:spacing w:val="-3"/>
          <w:sz w:val="20"/>
        </w:rPr>
        <w:t>Fixated,</w:t>
      </w:r>
      <w:r>
        <w:rPr>
          <w:color w:val="231F20"/>
          <w:spacing w:val="-8"/>
          <w:sz w:val="20"/>
        </w:rPr>
        <w:t xml:space="preserve"> </w:t>
      </w:r>
      <w:r>
        <w:rPr>
          <w:color w:val="231F20"/>
          <w:spacing w:val="-3"/>
          <w:sz w:val="20"/>
        </w:rPr>
        <w:t xml:space="preserve">Obsessive, Unwanted </w:t>
      </w:r>
      <w:r>
        <w:rPr>
          <w:color w:val="231F20"/>
          <w:sz w:val="20"/>
        </w:rPr>
        <w:t>and</w:t>
      </w:r>
      <w:r>
        <w:rPr>
          <w:color w:val="231F20"/>
          <w:spacing w:val="-6"/>
          <w:sz w:val="20"/>
        </w:rPr>
        <w:t xml:space="preserve"> </w:t>
      </w:r>
      <w:r>
        <w:rPr>
          <w:color w:val="231F20"/>
          <w:sz w:val="20"/>
        </w:rPr>
        <w:t>Repeated)</w:t>
      </w:r>
      <w:r>
        <w:rPr>
          <w:color w:val="231F20"/>
          <w:position w:val="7"/>
          <w:sz w:val="11"/>
        </w:rPr>
        <w:t>48</w:t>
      </w:r>
    </w:p>
    <w:p w14:paraId="07E2376C" w14:textId="77777777" w:rsidR="00894070" w:rsidRDefault="009B7AFD">
      <w:pPr>
        <w:pStyle w:val="ListParagraph"/>
        <w:numPr>
          <w:ilvl w:val="2"/>
          <w:numId w:val="177"/>
        </w:numPr>
        <w:tabs>
          <w:tab w:val="left" w:pos="2141"/>
          <w:tab w:val="left" w:pos="2142"/>
        </w:tabs>
        <w:spacing w:before="58"/>
        <w:ind w:hanging="340"/>
        <w:rPr>
          <w:sz w:val="11"/>
        </w:rPr>
      </w:pPr>
      <w:r>
        <w:rPr>
          <w:color w:val="231F20"/>
          <w:sz w:val="20"/>
        </w:rPr>
        <w:t>local community</w:t>
      </w:r>
      <w:r>
        <w:rPr>
          <w:color w:val="231F20"/>
          <w:spacing w:val="-9"/>
          <w:sz w:val="20"/>
        </w:rPr>
        <w:t xml:space="preserve"> </w:t>
      </w:r>
      <w:r>
        <w:rPr>
          <w:color w:val="231F20"/>
          <w:sz w:val="20"/>
        </w:rPr>
        <w:t>outreach</w:t>
      </w:r>
      <w:r>
        <w:rPr>
          <w:color w:val="231F20"/>
          <w:position w:val="7"/>
          <w:sz w:val="11"/>
        </w:rPr>
        <w:t>49</w:t>
      </w:r>
    </w:p>
    <w:p w14:paraId="0C74DE3D" w14:textId="77777777" w:rsidR="00894070" w:rsidRDefault="009B7AFD">
      <w:pPr>
        <w:pStyle w:val="ListParagraph"/>
        <w:numPr>
          <w:ilvl w:val="2"/>
          <w:numId w:val="177"/>
        </w:numPr>
        <w:tabs>
          <w:tab w:val="left" w:pos="2141"/>
          <w:tab w:val="left" w:pos="2142"/>
        </w:tabs>
        <w:spacing w:before="47"/>
        <w:ind w:hanging="340"/>
        <w:rPr>
          <w:sz w:val="11"/>
        </w:rPr>
      </w:pPr>
      <w:r>
        <w:rPr>
          <w:color w:val="231F20"/>
          <w:sz w:val="20"/>
        </w:rPr>
        <w:t>community legal</w:t>
      </w:r>
      <w:r>
        <w:rPr>
          <w:color w:val="231F20"/>
          <w:spacing w:val="-9"/>
          <w:sz w:val="20"/>
        </w:rPr>
        <w:t xml:space="preserve"> </w:t>
      </w:r>
      <w:r>
        <w:rPr>
          <w:color w:val="231F20"/>
          <w:sz w:val="20"/>
        </w:rPr>
        <w:t>education</w:t>
      </w:r>
      <w:r>
        <w:rPr>
          <w:color w:val="231F20"/>
          <w:position w:val="7"/>
          <w:sz w:val="11"/>
        </w:rPr>
        <w:t>50</w:t>
      </w:r>
    </w:p>
    <w:p w14:paraId="7A7E7FE1" w14:textId="77777777" w:rsidR="00894070" w:rsidRDefault="009B7AFD">
      <w:pPr>
        <w:pStyle w:val="ListParagraph"/>
        <w:numPr>
          <w:ilvl w:val="2"/>
          <w:numId w:val="177"/>
        </w:numPr>
        <w:tabs>
          <w:tab w:val="left" w:pos="2141"/>
          <w:tab w:val="left" w:pos="2142"/>
        </w:tabs>
        <w:spacing w:before="48"/>
        <w:ind w:hanging="340"/>
        <w:rPr>
          <w:sz w:val="11"/>
        </w:rPr>
      </w:pPr>
      <w:r>
        <w:rPr>
          <w:color w:val="231F20"/>
          <w:sz w:val="20"/>
        </w:rPr>
        <w:t xml:space="preserve">a stalking </w:t>
      </w:r>
      <w:r>
        <w:rPr>
          <w:color w:val="231F20"/>
          <w:spacing w:val="-3"/>
          <w:sz w:val="20"/>
        </w:rPr>
        <w:t>resource</w:t>
      </w:r>
      <w:r>
        <w:rPr>
          <w:color w:val="231F20"/>
          <w:spacing w:val="-13"/>
          <w:sz w:val="20"/>
        </w:rPr>
        <w:t xml:space="preserve"> </w:t>
      </w:r>
      <w:proofErr w:type="gramStart"/>
      <w:r>
        <w:rPr>
          <w:color w:val="231F20"/>
          <w:sz w:val="20"/>
        </w:rPr>
        <w:t>centre</w:t>
      </w:r>
      <w:proofErr w:type="gramEnd"/>
      <w:r>
        <w:rPr>
          <w:color w:val="231F20"/>
          <w:sz w:val="20"/>
        </w:rPr>
        <w:t>.</w:t>
      </w:r>
      <w:r>
        <w:rPr>
          <w:color w:val="231F20"/>
          <w:position w:val="7"/>
          <w:sz w:val="11"/>
        </w:rPr>
        <w:t>51</w:t>
      </w:r>
    </w:p>
    <w:p w14:paraId="61FCE401" w14:textId="77777777" w:rsidR="00894070" w:rsidRDefault="009B7AFD">
      <w:pPr>
        <w:pStyle w:val="ListParagraph"/>
        <w:numPr>
          <w:ilvl w:val="1"/>
          <w:numId w:val="177"/>
        </w:numPr>
        <w:tabs>
          <w:tab w:val="left" w:pos="1801"/>
          <w:tab w:val="left" w:pos="1802"/>
        </w:tabs>
        <w:spacing w:before="47"/>
        <w:rPr>
          <w:sz w:val="20"/>
        </w:rPr>
      </w:pPr>
      <w:r>
        <w:rPr>
          <w:color w:val="231F20"/>
          <w:sz w:val="20"/>
        </w:rPr>
        <w:t>In</w:t>
      </w:r>
      <w:r>
        <w:rPr>
          <w:color w:val="231F20"/>
          <w:spacing w:val="-5"/>
          <w:sz w:val="20"/>
        </w:rPr>
        <w:t xml:space="preserve"> </w:t>
      </w:r>
      <w:r>
        <w:rPr>
          <w:color w:val="231F20"/>
          <w:spacing w:val="-3"/>
          <w:sz w:val="20"/>
        </w:rPr>
        <w:t>Chapter</w:t>
      </w:r>
      <w:r>
        <w:rPr>
          <w:color w:val="231F20"/>
          <w:spacing w:val="-5"/>
          <w:sz w:val="20"/>
        </w:rPr>
        <w:t xml:space="preserve"> </w:t>
      </w:r>
      <w:r>
        <w:rPr>
          <w:color w:val="231F20"/>
          <w:sz w:val="20"/>
        </w:rPr>
        <w:t>3</w:t>
      </w:r>
      <w:r>
        <w:rPr>
          <w:color w:val="231F20"/>
          <w:spacing w:val="-4"/>
          <w:sz w:val="20"/>
        </w:rPr>
        <w:t xml:space="preserve"> </w:t>
      </w:r>
      <w:r>
        <w:rPr>
          <w:color w:val="231F20"/>
          <w:spacing w:val="-3"/>
          <w:sz w:val="20"/>
        </w:rPr>
        <w:t>we</w:t>
      </w:r>
      <w:r>
        <w:rPr>
          <w:color w:val="231F20"/>
          <w:spacing w:val="-5"/>
          <w:sz w:val="20"/>
        </w:rPr>
        <w:t xml:space="preserve"> </w:t>
      </w:r>
      <w:r>
        <w:rPr>
          <w:color w:val="231F20"/>
          <w:sz w:val="20"/>
        </w:rPr>
        <w:t>discuss</w:t>
      </w:r>
      <w:r>
        <w:rPr>
          <w:color w:val="231F20"/>
          <w:spacing w:val="-5"/>
          <w:sz w:val="20"/>
        </w:rPr>
        <w:t xml:space="preserve"> </w:t>
      </w:r>
      <w:r>
        <w:rPr>
          <w:color w:val="231F20"/>
          <w:spacing w:val="-3"/>
          <w:sz w:val="20"/>
        </w:rPr>
        <w:t>potential</w:t>
      </w:r>
      <w:r>
        <w:rPr>
          <w:color w:val="231F20"/>
          <w:spacing w:val="-4"/>
          <w:sz w:val="20"/>
        </w:rPr>
        <w:t xml:space="preserve"> </w:t>
      </w:r>
      <w:r>
        <w:rPr>
          <w:color w:val="231F20"/>
          <w:sz w:val="20"/>
        </w:rPr>
        <w:t>models</w:t>
      </w:r>
      <w:r>
        <w:rPr>
          <w:color w:val="231F20"/>
          <w:spacing w:val="-5"/>
          <w:sz w:val="20"/>
        </w:rPr>
        <w:t xml:space="preserve"> </w:t>
      </w:r>
      <w:r>
        <w:rPr>
          <w:color w:val="231F20"/>
          <w:sz w:val="20"/>
        </w:rPr>
        <w:t>of</w:t>
      </w:r>
      <w:r>
        <w:rPr>
          <w:color w:val="231F20"/>
          <w:spacing w:val="-4"/>
          <w:sz w:val="20"/>
        </w:rPr>
        <w:t xml:space="preserve"> </w:t>
      </w:r>
      <w:r>
        <w:rPr>
          <w:color w:val="231F20"/>
          <w:sz w:val="20"/>
        </w:rPr>
        <w:t>public</w:t>
      </w:r>
      <w:r>
        <w:rPr>
          <w:color w:val="231F20"/>
          <w:spacing w:val="-5"/>
          <w:sz w:val="20"/>
        </w:rPr>
        <w:t xml:space="preserve"> </w:t>
      </w:r>
      <w:r>
        <w:rPr>
          <w:color w:val="231F20"/>
          <w:sz w:val="20"/>
        </w:rPr>
        <w:t>education</w:t>
      </w:r>
      <w:r>
        <w:rPr>
          <w:color w:val="231F20"/>
          <w:spacing w:val="-5"/>
          <w:sz w:val="20"/>
        </w:rPr>
        <w:t xml:space="preserve"> </w:t>
      </w:r>
      <w:r>
        <w:rPr>
          <w:color w:val="231F20"/>
          <w:spacing w:val="-3"/>
          <w:sz w:val="20"/>
        </w:rPr>
        <w:t>for</w:t>
      </w:r>
      <w:r>
        <w:rPr>
          <w:color w:val="231F20"/>
          <w:spacing w:val="-4"/>
          <w:sz w:val="20"/>
        </w:rPr>
        <w:t xml:space="preserve"> </w:t>
      </w:r>
      <w:r>
        <w:rPr>
          <w:color w:val="231F20"/>
          <w:sz w:val="20"/>
        </w:rPr>
        <w:t>cyberstalking.</w:t>
      </w:r>
    </w:p>
    <w:p w14:paraId="3DC3F193" w14:textId="77777777" w:rsidR="00894070" w:rsidRDefault="009B7AFD">
      <w:pPr>
        <w:pStyle w:val="ListParagraph"/>
        <w:numPr>
          <w:ilvl w:val="1"/>
          <w:numId w:val="177"/>
        </w:numPr>
        <w:tabs>
          <w:tab w:val="left" w:pos="1801"/>
          <w:tab w:val="left" w:pos="1802"/>
        </w:tabs>
        <w:spacing w:before="115" w:line="206" w:lineRule="auto"/>
        <w:ind w:right="1514"/>
        <w:rPr>
          <w:sz w:val="20"/>
        </w:rPr>
      </w:pPr>
      <w:r>
        <w:rPr>
          <w:color w:val="231F20"/>
          <w:sz w:val="20"/>
        </w:rPr>
        <w:t xml:space="preserve">These </w:t>
      </w:r>
      <w:r>
        <w:rPr>
          <w:color w:val="231F20"/>
          <w:spacing w:val="-3"/>
          <w:sz w:val="20"/>
        </w:rPr>
        <w:t xml:space="preserve">are potential </w:t>
      </w:r>
      <w:r>
        <w:rPr>
          <w:color w:val="231F20"/>
          <w:sz w:val="20"/>
        </w:rPr>
        <w:t xml:space="preserve">models to </w:t>
      </w:r>
      <w:r>
        <w:rPr>
          <w:color w:val="231F20"/>
          <w:spacing w:val="-3"/>
          <w:sz w:val="20"/>
        </w:rPr>
        <w:t xml:space="preserve">explore for </w:t>
      </w:r>
      <w:r>
        <w:rPr>
          <w:color w:val="231F20"/>
          <w:sz w:val="20"/>
        </w:rPr>
        <w:t xml:space="preserve">educating the public about stalking. </w:t>
      </w:r>
      <w:r>
        <w:rPr>
          <w:color w:val="231F20"/>
          <w:spacing w:val="-6"/>
          <w:sz w:val="20"/>
        </w:rPr>
        <w:t xml:space="preserve">We </w:t>
      </w:r>
      <w:r>
        <w:rPr>
          <w:color w:val="231F20"/>
          <w:sz w:val="20"/>
        </w:rPr>
        <w:t>do</w:t>
      </w:r>
      <w:r>
        <w:rPr>
          <w:color w:val="231F20"/>
          <w:spacing w:val="-7"/>
          <w:sz w:val="20"/>
        </w:rPr>
        <w:t xml:space="preserve"> </w:t>
      </w:r>
      <w:r>
        <w:rPr>
          <w:color w:val="231F20"/>
          <w:sz w:val="20"/>
        </w:rPr>
        <w:t>not</w:t>
      </w:r>
      <w:r>
        <w:rPr>
          <w:color w:val="231F20"/>
          <w:spacing w:val="-7"/>
          <w:sz w:val="20"/>
        </w:rPr>
        <w:t xml:space="preserve"> </w:t>
      </w:r>
      <w:r>
        <w:rPr>
          <w:color w:val="231F20"/>
          <w:sz w:val="20"/>
        </w:rPr>
        <w:t>endorse</w:t>
      </w:r>
      <w:r>
        <w:rPr>
          <w:color w:val="231F20"/>
          <w:spacing w:val="-6"/>
          <w:sz w:val="20"/>
        </w:rPr>
        <w:t xml:space="preserve"> </w:t>
      </w:r>
      <w:r>
        <w:rPr>
          <w:color w:val="231F20"/>
          <w:sz w:val="20"/>
        </w:rPr>
        <w:t>a</w:t>
      </w:r>
      <w:r>
        <w:rPr>
          <w:color w:val="231F20"/>
          <w:spacing w:val="-7"/>
          <w:sz w:val="20"/>
        </w:rPr>
        <w:t xml:space="preserve"> </w:t>
      </w:r>
      <w:r>
        <w:rPr>
          <w:color w:val="231F20"/>
          <w:sz w:val="20"/>
        </w:rPr>
        <w:t>particular</w:t>
      </w:r>
      <w:r>
        <w:rPr>
          <w:color w:val="231F20"/>
          <w:spacing w:val="-7"/>
          <w:sz w:val="20"/>
        </w:rPr>
        <w:t xml:space="preserve"> </w:t>
      </w:r>
      <w:r>
        <w:rPr>
          <w:color w:val="231F20"/>
          <w:sz w:val="20"/>
        </w:rPr>
        <w:t>model</w:t>
      </w:r>
      <w:r>
        <w:rPr>
          <w:color w:val="231F20"/>
          <w:spacing w:val="-6"/>
          <w:sz w:val="20"/>
        </w:rPr>
        <w:t xml:space="preserve"> </w:t>
      </w:r>
      <w:r>
        <w:rPr>
          <w:color w:val="231F20"/>
          <w:spacing w:val="-3"/>
          <w:sz w:val="20"/>
        </w:rPr>
        <w:t>here.</w:t>
      </w:r>
      <w:r>
        <w:rPr>
          <w:color w:val="231F20"/>
          <w:spacing w:val="-7"/>
          <w:sz w:val="20"/>
        </w:rPr>
        <w:t xml:space="preserve"> </w:t>
      </w:r>
      <w:r>
        <w:rPr>
          <w:color w:val="231F20"/>
          <w:spacing w:val="-5"/>
          <w:sz w:val="20"/>
        </w:rPr>
        <w:t>However,</w:t>
      </w:r>
      <w:r>
        <w:rPr>
          <w:color w:val="231F20"/>
          <w:spacing w:val="-6"/>
          <w:sz w:val="20"/>
        </w:rPr>
        <w:t xml:space="preserve"> </w:t>
      </w:r>
      <w:r>
        <w:rPr>
          <w:color w:val="231F20"/>
          <w:sz w:val="20"/>
        </w:rPr>
        <w:t>in</w:t>
      </w:r>
      <w:r>
        <w:rPr>
          <w:color w:val="231F20"/>
          <w:spacing w:val="-7"/>
          <w:sz w:val="20"/>
        </w:rPr>
        <w:t xml:space="preserve"> </w:t>
      </w:r>
      <w:r>
        <w:rPr>
          <w:color w:val="231F20"/>
          <w:sz w:val="20"/>
        </w:rPr>
        <w:t>our</w:t>
      </w:r>
      <w:r>
        <w:rPr>
          <w:color w:val="231F20"/>
          <w:spacing w:val="-7"/>
          <w:sz w:val="20"/>
        </w:rPr>
        <w:t xml:space="preserve"> </w:t>
      </w:r>
      <w:r>
        <w:rPr>
          <w:color w:val="231F20"/>
          <w:sz w:val="20"/>
        </w:rPr>
        <w:t>report</w:t>
      </w:r>
      <w:r>
        <w:rPr>
          <w:color w:val="231F20"/>
          <w:spacing w:val="-6"/>
          <w:sz w:val="20"/>
        </w:rPr>
        <w:t xml:space="preserve"> </w:t>
      </w:r>
      <w:r>
        <w:rPr>
          <w:i/>
          <w:color w:val="231F20"/>
          <w:spacing w:val="-3"/>
          <w:sz w:val="20"/>
        </w:rPr>
        <w:t>Improving</w:t>
      </w:r>
      <w:r>
        <w:rPr>
          <w:i/>
          <w:color w:val="231F20"/>
          <w:spacing w:val="-7"/>
          <w:sz w:val="20"/>
        </w:rPr>
        <w:t xml:space="preserve"> </w:t>
      </w:r>
      <w:r>
        <w:rPr>
          <w:i/>
          <w:color w:val="231F20"/>
          <w:sz w:val="20"/>
        </w:rPr>
        <w:t>the</w:t>
      </w:r>
      <w:r>
        <w:rPr>
          <w:i/>
          <w:color w:val="231F20"/>
          <w:spacing w:val="-6"/>
          <w:sz w:val="20"/>
        </w:rPr>
        <w:t xml:space="preserve"> </w:t>
      </w:r>
      <w:r>
        <w:rPr>
          <w:i/>
          <w:color w:val="231F20"/>
          <w:sz w:val="20"/>
        </w:rPr>
        <w:t xml:space="preserve">Justice </w:t>
      </w:r>
      <w:r>
        <w:rPr>
          <w:i/>
          <w:color w:val="231F20"/>
          <w:spacing w:val="-3"/>
          <w:sz w:val="20"/>
        </w:rPr>
        <w:t>System</w:t>
      </w:r>
      <w:r>
        <w:rPr>
          <w:i/>
          <w:color w:val="231F20"/>
          <w:spacing w:val="-10"/>
          <w:sz w:val="20"/>
        </w:rPr>
        <w:t xml:space="preserve"> </w:t>
      </w:r>
      <w:r>
        <w:rPr>
          <w:i/>
          <w:color w:val="231F20"/>
          <w:sz w:val="20"/>
        </w:rPr>
        <w:t>Response</w:t>
      </w:r>
      <w:r>
        <w:rPr>
          <w:i/>
          <w:color w:val="231F20"/>
          <w:spacing w:val="-9"/>
          <w:sz w:val="20"/>
        </w:rPr>
        <w:t xml:space="preserve"> </w:t>
      </w:r>
      <w:r>
        <w:rPr>
          <w:i/>
          <w:color w:val="231F20"/>
          <w:spacing w:val="-3"/>
          <w:sz w:val="20"/>
        </w:rPr>
        <w:t>to</w:t>
      </w:r>
      <w:r>
        <w:rPr>
          <w:i/>
          <w:color w:val="231F20"/>
          <w:spacing w:val="-9"/>
          <w:sz w:val="20"/>
        </w:rPr>
        <w:t xml:space="preserve"> </w:t>
      </w:r>
      <w:r>
        <w:rPr>
          <w:i/>
          <w:color w:val="231F20"/>
          <w:sz w:val="20"/>
        </w:rPr>
        <w:t>Sexual</w:t>
      </w:r>
      <w:r>
        <w:rPr>
          <w:i/>
          <w:color w:val="231F20"/>
          <w:spacing w:val="-9"/>
          <w:sz w:val="20"/>
        </w:rPr>
        <w:t xml:space="preserve"> </w:t>
      </w:r>
      <w:r>
        <w:rPr>
          <w:i/>
          <w:color w:val="231F20"/>
          <w:sz w:val="20"/>
        </w:rPr>
        <w:t>Offences</w:t>
      </w:r>
      <w:r>
        <w:rPr>
          <w:i/>
          <w:color w:val="231F20"/>
          <w:spacing w:val="-8"/>
          <w:sz w:val="20"/>
        </w:rPr>
        <w:t xml:space="preserve"> </w:t>
      </w:r>
      <w:r>
        <w:rPr>
          <w:color w:val="231F20"/>
          <w:sz w:val="20"/>
        </w:rPr>
        <w:t>(2021)</w:t>
      </w:r>
      <w:r>
        <w:rPr>
          <w:color w:val="231F20"/>
          <w:spacing w:val="-9"/>
          <w:sz w:val="20"/>
        </w:rPr>
        <w:t xml:space="preserve"> </w:t>
      </w:r>
      <w:r>
        <w:rPr>
          <w:color w:val="231F20"/>
          <w:spacing w:val="-3"/>
          <w:sz w:val="20"/>
        </w:rPr>
        <w:t>we</w:t>
      </w:r>
      <w:r>
        <w:rPr>
          <w:color w:val="231F20"/>
          <w:spacing w:val="-9"/>
          <w:sz w:val="20"/>
        </w:rPr>
        <w:t xml:space="preserve"> </w:t>
      </w:r>
      <w:r>
        <w:rPr>
          <w:color w:val="231F20"/>
          <w:sz w:val="20"/>
        </w:rPr>
        <w:t>noted</w:t>
      </w:r>
      <w:r>
        <w:rPr>
          <w:color w:val="231F20"/>
          <w:spacing w:val="-10"/>
          <w:sz w:val="20"/>
        </w:rPr>
        <w:t xml:space="preserve"> </w:t>
      </w:r>
      <w:r>
        <w:rPr>
          <w:color w:val="231F20"/>
          <w:sz w:val="20"/>
        </w:rPr>
        <w:t>that</w:t>
      </w:r>
      <w:r>
        <w:rPr>
          <w:color w:val="231F20"/>
          <w:spacing w:val="-9"/>
          <w:sz w:val="20"/>
        </w:rPr>
        <w:t xml:space="preserve"> </w:t>
      </w:r>
      <w:r>
        <w:rPr>
          <w:color w:val="231F20"/>
          <w:sz w:val="20"/>
        </w:rPr>
        <w:t>successful</w:t>
      </w:r>
      <w:r>
        <w:rPr>
          <w:color w:val="231F20"/>
          <w:spacing w:val="-9"/>
          <w:sz w:val="20"/>
        </w:rPr>
        <w:t xml:space="preserve"> </w:t>
      </w:r>
      <w:r>
        <w:rPr>
          <w:color w:val="231F20"/>
          <w:sz w:val="20"/>
        </w:rPr>
        <w:t>community</w:t>
      </w:r>
    </w:p>
    <w:p w14:paraId="21176DDE" w14:textId="77777777" w:rsidR="00894070" w:rsidRDefault="009B7AFD">
      <w:pPr>
        <w:pStyle w:val="BodyText"/>
        <w:spacing w:line="230" w:lineRule="exact"/>
        <w:ind w:left="1801"/>
      </w:pPr>
      <w:r>
        <w:rPr>
          <w:color w:val="231F20"/>
        </w:rPr>
        <w:t>education needs an ongoing commitment and enough resources. As we stated in that</w:t>
      </w:r>
    </w:p>
    <w:p w14:paraId="1ADEB2D8" w14:textId="77777777" w:rsidR="00894070" w:rsidRDefault="009B7AFD">
      <w:pPr>
        <w:pStyle w:val="BodyText"/>
        <w:spacing w:line="259" w:lineRule="exact"/>
        <w:ind w:left="1801"/>
      </w:pPr>
      <w:r>
        <w:rPr>
          <w:color w:val="231F20"/>
        </w:rPr>
        <w:t>report, it is important that education strategies:</w:t>
      </w:r>
    </w:p>
    <w:p w14:paraId="6C7FD019"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 xml:space="preserve">use </w:t>
      </w:r>
      <w:r>
        <w:rPr>
          <w:color w:val="231F20"/>
          <w:spacing w:val="-3"/>
          <w:sz w:val="20"/>
        </w:rPr>
        <w:t xml:space="preserve">community-level </w:t>
      </w:r>
      <w:r>
        <w:rPr>
          <w:color w:val="231F20"/>
          <w:sz w:val="20"/>
        </w:rPr>
        <w:t xml:space="preserve">strategies as </w:t>
      </w:r>
      <w:r>
        <w:rPr>
          <w:color w:val="231F20"/>
          <w:spacing w:val="-3"/>
          <w:sz w:val="20"/>
        </w:rPr>
        <w:t xml:space="preserve">well </w:t>
      </w:r>
      <w:r>
        <w:rPr>
          <w:color w:val="231F20"/>
          <w:sz w:val="20"/>
        </w:rPr>
        <w:t>as mass</w:t>
      </w:r>
      <w:r>
        <w:rPr>
          <w:color w:val="231F20"/>
          <w:spacing w:val="-23"/>
          <w:sz w:val="20"/>
        </w:rPr>
        <w:t xml:space="preserve"> </w:t>
      </w:r>
      <w:r>
        <w:rPr>
          <w:color w:val="231F20"/>
          <w:sz w:val="20"/>
        </w:rPr>
        <w:t>media</w:t>
      </w:r>
    </w:p>
    <w:p w14:paraId="7E5F41CB"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 xml:space="preserve">tailor communications </w:t>
      </w:r>
      <w:r>
        <w:rPr>
          <w:color w:val="231F20"/>
          <w:spacing w:val="-3"/>
          <w:sz w:val="20"/>
        </w:rPr>
        <w:t xml:space="preserve">for </w:t>
      </w:r>
      <w:r>
        <w:rPr>
          <w:color w:val="231F20"/>
          <w:sz w:val="20"/>
        </w:rPr>
        <w:t>diverse</w:t>
      </w:r>
      <w:r>
        <w:rPr>
          <w:color w:val="231F20"/>
          <w:spacing w:val="-15"/>
          <w:sz w:val="20"/>
        </w:rPr>
        <w:t xml:space="preserve"> </w:t>
      </w:r>
      <w:r>
        <w:rPr>
          <w:color w:val="231F20"/>
          <w:sz w:val="20"/>
        </w:rPr>
        <w:t>audiences</w:t>
      </w:r>
    </w:p>
    <w:p w14:paraId="276C0C8C"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build</w:t>
      </w:r>
      <w:r>
        <w:rPr>
          <w:color w:val="231F20"/>
          <w:spacing w:val="-6"/>
          <w:sz w:val="20"/>
        </w:rPr>
        <w:t xml:space="preserve"> </w:t>
      </w:r>
      <w:r>
        <w:rPr>
          <w:color w:val="231F20"/>
          <w:sz w:val="20"/>
        </w:rPr>
        <w:t>on</w:t>
      </w:r>
      <w:r>
        <w:rPr>
          <w:color w:val="231F20"/>
          <w:spacing w:val="-5"/>
          <w:sz w:val="20"/>
        </w:rPr>
        <w:t xml:space="preserve"> </w:t>
      </w:r>
      <w:r>
        <w:rPr>
          <w:color w:val="231F20"/>
          <w:spacing w:val="-3"/>
          <w:sz w:val="20"/>
        </w:rPr>
        <w:t>positive</w:t>
      </w:r>
      <w:r>
        <w:rPr>
          <w:color w:val="231F20"/>
          <w:spacing w:val="-5"/>
          <w:sz w:val="20"/>
        </w:rPr>
        <w:t xml:space="preserve"> </w:t>
      </w:r>
      <w:r>
        <w:rPr>
          <w:color w:val="231F20"/>
          <w:sz w:val="20"/>
        </w:rPr>
        <w:t>behaviour</w:t>
      </w:r>
      <w:r>
        <w:rPr>
          <w:color w:val="231F20"/>
          <w:spacing w:val="-6"/>
          <w:sz w:val="20"/>
        </w:rPr>
        <w:t xml:space="preserve"> </w:t>
      </w:r>
      <w:r>
        <w:rPr>
          <w:color w:val="231F20"/>
          <w:sz w:val="20"/>
        </w:rPr>
        <w:t>rather</w:t>
      </w:r>
      <w:r>
        <w:rPr>
          <w:color w:val="231F20"/>
          <w:spacing w:val="-5"/>
          <w:sz w:val="20"/>
        </w:rPr>
        <w:t xml:space="preserve"> </w:t>
      </w:r>
      <w:r>
        <w:rPr>
          <w:color w:val="231F20"/>
          <w:sz w:val="20"/>
        </w:rPr>
        <w:t>than</w:t>
      </w:r>
      <w:r>
        <w:rPr>
          <w:color w:val="231F20"/>
          <w:spacing w:val="-5"/>
          <w:sz w:val="20"/>
        </w:rPr>
        <w:t xml:space="preserve"> </w:t>
      </w:r>
      <w:r>
        <w:rPr>
          <w:color w:val="231F20"/>
          <w:sz w:val="20"/>
        </w:rPr>
        <w:t>focusing</w:t>
      </w:r>
      <w:r>
        <w:rPr>
          <w:color w:val="231F20"/>
          <w:spacing w:val="-6"/>
          <w:sz w:val="20"/>
        </w:rPr>
        <w:t xml:space="preserve"> </w:t>
      </w:r>
      <w:r>
        <w:rPr>
          <w:color w:val="231F20"/>
          <w:spacing w:val="-3"/>
          <w:sz w:val="20"/>
        </w:rPr>
        <w:t>only</w:t>
      </w:r>
      <w:r>
        <w:rPr>
          <w:color w:val="231F20"/>
          <w:spacing w:val="-5"/>
          <w:sz w:val="20"/>
        </w:rPr>
        <w:t xml:space="preserve"> </w:t>
      </w:r>
      <w:r>
        <w:rPr>
          <w:color w:val="231F20"/>
          <w:sz w:val="20"/>
        </w:rPr>
        <w:t>on</w:t>
      </w:r>
      <w:r>
        <w:rPr>
          <w:color w:val="231F20"/>
          <w:spacing w:val="-5"/>
          <w:sz w:val="20"/>
        </w:rPr>
        <w:t xml:space="preserve"> </w:t>
      </w:r>
      <w:r>
        <w:rPr>
          <w:color w:val="231F20"/>
          <w:sz w:val="20"/>
        </w:rPr>
        <w:t>what</w:t>
      </w:r>
      <w:r>
        <w:rPr>
          <w:color w:val="231F20"/>
          <w:spacing w:val="-6"/>
          <w:sz w:val="20"/>
        </w:rPr>
        <w:t xml:space="preserve"> </w:t>
      </w:r>
      <w:r>
        <w:rPr>
          <w:color w:val="231F20"/>
          <w:sz w:val="20"/>
        </w:rPr>
        <w:t>is</w:t>
      </w:r>
      <w:r>
        <w:rPr>
          <w:color w:val="231F20"/>
          <w:spacing w:val="-5"/>
          <w:sz w:val="20"/>
        </w:rPr>
        <w:t xml:space="preserve"> </w:t>
      </w:r>
      <w:r>
        <w:rPr>
          <w:color w:val="231F20"/>
          <w:sz w:val="20"/>
        </w:rPr>
        <w:t>going</w:t>
      </w:r>
      <w:r>
        <w:rPr>
          <w:color w:val="231F20"/>
          <w:spacing w:val="-5"/>
          <w:sz w:val="20"/>
        </w:rPr>
        <w:t xml:space="preserve"> </w:t>
      </w:r>
      <w:r>
        <w:rPr>
          <w:color w:val="231F20"/>
          <w:sz w:val="20"/>
        </w:rPr>
        <w:t>wrong</w:t>
      </w:r>
    </w:p>
    <w:p w14:paraId="772A1DD0" w14:textId="77777777" w:rsidR="00894070" w:rsidRDefault="009B7AFD">
      <w:pPr>
        <w:pStyle w:val="ListParagraph"/>
        <w:numPr>
          <w:ilvl w:val="2"/>
          <w:numId w:val="177"/>
        </w:numPr>
        <w:tabs>
          <w:tab w:val="left" w:pos="2141"/>
          <w:tab w:val="left" w:pos="2142"/>
        </w:tabs>
        <w:spacing w:before="48"/>
        <w:ind w:hanging="340"/>
        <w:rPr>
          <w:sz w:val="11"/>
        </w:rPr>
      </w:pPr>
      <w:r>
        <w:rPr>
          <w:color w:val="231F20"/>
          <w:sz w:val="20"/>
        </w:rPr>
        <w:t>use peers and leaders to champion good</w:t>
      </w:r>
      <w:r>
        <w:rPr>
          <w:color w:val="231F20"/>
          <w:spacing w:val="-32"/>
          <w:sz w:val="20"/>
        </w:rPr>
        <w:t xml:space="preserve"> </w:t>
      </w:r>
      <w:r>
        <w:rPr>
          <w:color w:val="231F20"/>
          <w:sz w:val="20"/>
        </w:rPr>
        <w:t>behaviour.</w:t>
      </w:r>
      <w:r>
        <w:rPr>
          <w:color w:val="231F20"/>
          <w:position w:val="7"/>
          <w:sz w:val="11"/>
        </w:rPr>
        <w:t>52</w:t>
      </w:r>
    </w:p>
    <w:p w14:paraId="25C6B54B" w14:textId="77777777" w:rsidR="00894070" w:rsidRDefault="009B7AFD">
      <w:pPr>
        <w:pStyle w:val="Heading8"/>
        <w:spacing w:before="174"/>
        <w:ind w:left="1007"/>
      </w:pPr>
      <w:r>
        <w:rPr>
          <w:color w:val="231F20"/>
        </w:rPr>
        <w:t>What groups and settings should be a focus?</w:t>
      </w:r>
    </w:p>
    <w:p w14:paraId="5325B41E" w14:textId="77777777" w:rsidR="00894070" w:rsidRDefault="009B7AFD">
      <w:pPr>
        <w:pStyle w:val="Heading9"/>
        <w:spacing w:before="132"/>
        <w:rPr>
          <w:b/>
        </w:rPr>
      </w:pPr>
      <w:r>
        <w:rPr>
          <w:b/>
          <w:color w:val="231F20"/>
        </w:rPr>
        <w:t>Families and friends</w:t>
      </w:r>
    </w:p>
    <w:p w14:paraId="687BD3BD" w14:textId="77777777" w:rsidR="00894070" w:rsidRDefault="009B7AFD">
      <w:pPr>
        <w:pStyle w:val="ListParagraph"/>
        <w:numPr>
          <w:ilvl w:val="1"/>
          <w:numId w:val="177"/>
        </w:numPr>
        <w:tabs>
          <w:tab w:val="left" w:pos="1801"/>
          <w:tab w:val="left" w:pos="1802"/>
        </w:tabs>
        <w:spacing w:before="132" w:line="206" w:lineRule="auto"/>
        <w:ind w:right="1307"/>
        <w:rPr>
          <w:sz w:val="20"/>
        </w:rPr>
      </w:pPr>
      <w:r>
        <w:rPr>
          <w:color w:val="231F20"/>
          <w:sz w:val="20"/>
        </w:rPr>
        <w:t xml:space="preserve">Research indicates that people who experience stalking </w:t>
      </w:r>
      <w:r>
        <w:rPr>
          <w:color w:val="231F20"/>
          <w:spacing w:val="-3"/>
          <w:sz w:val="20"/>
        </w:rPr>
        <w:t xml:space="preserve">are </w:t>
      </w:r>
      <w:r>
        <w:rPr>
          <w:color w:val="231F20"/>
          <w:sz w:val="20"/>
        </w:rPr>
        <w:t xml:space="preserve">more </w:t>
      </w:r>
      <w:r>
        <w:rPr>
          <w:color w:val="231F20"/>
          <w:spacing w:val="-3"/>
          <w:sz w:val="20"/>
        </w:rPr>
        <w:t xml:space="preserve">likely </w:t>
      </w:r>
      <w:r>
        <w:rPr>
          <w:color w:val="231F20"/>
          <w:sz w:val="20"/>
        </w:rPr>
        <w:t xml:space="preserve">to seek help </w:t>
      </w:r>
      <w:r>
        <w:rPr>
          <w:color w:val="231F20"/>
          <w:spacing w:val="-3"/>
          <w:sz w:val="20"/>
        </w:rPr>
        <w:t>from</w:t>
      </w:r>
      <w:r>
        <w:rPr>
          <w:color w:val="231F20"/>
          <w:spacing w:val="-8"/>
          <w:sz w:val="20"/>
        </w:rPr>
        <w:t xml:space="preserve"> </w:t>
      </w:r>
      <w:r>
        <w:rPr>
          <w:color w:val="231F20"/>
          <w:sz w:val="20"/>
        </w:rPr>
        <w:t>friends</w:t>
      </w:r>
      <w:r>
        <w:rPr>
          <w:color w:val="231F20"/>
          <w:spacing w:val="-7"/>
          <w:sz w:val="20"/>
        </w:rPr>
        <w:t xml:space="preserve"> </w:t>
      </w:r>
      <w:r>
        <w:rPr>
          <w:color w:val="231F20"/>
          <w:sz w:val="20"/>
        </w:rPr>
        <w:t>or</w:t>
      </w:r>
      <w:r>
        <w:rPr>
          <w:color w:val="231F20"/>
          <w:spacing w:val="-8"/>
          <w:sz w:val="20"/>
        </w:rPr>
        <w:t xml:space="preserve"> </w:t>
      </w:r>
      <w:r>
        <w:rPr>
          <w:color w:val="231F20"/>
          <w:spacing w:val="-3"/>
          <w:sz w:val="20"/>
        </w:rPr>
        <w:t>family</w:t>
      </w:r>
      <w:r>
        <w:rPr>
          <w:color w:val="231F20"/>
          <w:spacing w:val="-7"/>
          <w:sz w:val="20"/>
        </w:rPr>
        <w:t xml:space="preserve"> </w:t>
      </w:r>
      <w:r>
        <w:rPr>
          <w:color w:val="231F20"/>
          <w:sz w:val="20"/>
        </w:rPr>
        <w:t>than</w:t>
      </w:r>
      <w:r>
        <w:rPr>
          <w:color w:val="231F20"/>
          <w:spacing w:val="-7"/>
          <w:sz w:val="20"/>
        </w:rPr>
        <w:t xml:space="preserve"> </w:t>
      </w:r>
      <w:r>
        <w:rPr>
          <w:color w:val="231F20"/>
          <w:sz w:val="20"/>
        </w:rPr>
        <w:t>report</w:t>
      </w:r>
      <w:r>
        <w:rPr>
          <w:color w:val="231F20"/>
          <w:spacing w:val="-8"/>
          <w:sz w:val="20"/>
        </w:rPr>
        <w:t xml:space="preserve"> </w:t>
      </w:r>
      <w:r>
        <w:rPr>
          <w:color w:val="231F20"/>
          <w:sz w:val="20"/>
        </w:rPr>
        <w:t>the</w:t>
      </w:r>
      <w:r>
        <w:rPr>
          <w:color w:val="231F20"/>
          <w:spacing w:val="-7"/>
          <w:sz w:val="20"/>
        </w:rPr>
        <w:t xml:space="preserve"> </w:t>
      </w:r>
      <w:r>
        <w:rPr>
          <w:color w:val="231F20"/>
          <w:spacing w:val="-2"/>
          <w:sz w:val="20"/>
        </w:rPr>
        <w:t>matter</w:t>
      </w:r>
      <w:r>
        <w:rPr>
          <w:color w:val="231F20"/>
          <w:spacing w:val="-7"/>
          <w:sz w:val="20"/>
        </w:rPr>
        <w:t xml:space="preserve"> </w:t>
      </w:r>
      <w:r>
        <w:rPr>
          <w:color w:val="231F20"/>
          <w:sz w:val="20"/>
        </w:rPr>
        <w:t>to</w:t>
      </w:r>
      <w:r>
        <w:rPr>
          <w:color w:val="231F20"/>
          <w:spacing w:val="-8"/>
          <w:sz w:val="20"/>
        </w:rPr>
        <w:t xml:space="preserve"> </w:t>
      </w:r>
      <w:r>
        <w:rPr>
          <w:color w:val="231F20"/>
          <w:sz w:val="20"/>
        </w:rPr>
        <w:t>police.</w:t>
      </w:r>
      <w:r>
        <w:rPr>
          <w:color w:val="231F20"/>
          <w:position w:val="7"/>
          <w:sz w:val="11"/>
        </w:rPr>
        <w:t>53</w:t>
      </w:r>
      <w:r>
        <w:rPr>
          <w:color w:val="231F20"/>
          <w:spacing w:val="17"/>
          <w:position w:val="7"/>
          <w:sz w:val="11"/>
        </w:rPr>
        <w:t xml:space="preserve"> </w:t>
      </w:r>
      <w:r>
        <w:rPr>
          <w:color w:val="231F20"/>
          <w:sz w:val="20"/>
        </w:rPr>
        <w:t>This</w:t>
      </w:r>
      <w:r>
        <w:rPr>
          <w:color w:val="231F20"/>
          <w:spacing w:val="-7"/>
          <w:sz w:val="20"/>
        </w:rPr>
        <w:t xml:space="preserve"> </w:t>
      </w:r>
      <w:r>
        <w:rPr>
          <w:color w:val="231F20"/>
          <w:sz w:val="20"/>
        </w:rPr>
        <w:t>finding</w:t>
      </w:r>
      <w:r>
        <w:rPr>
          <w:color w:val="231F20"/>
          <w:spacing w:val="-8"/>
          <w:sz w:val="20"/>
        </w:rPr>
        <w:t xml:space="preserve"> </w:t>
      </w:r>
      <w:r>
        <w:rPr>
          <w:color w:val="231F20"/>
          <w:sz w:val="20"/>
        </w:rPr>
        <w:t>was</w:t>
      </w:r>
      <w:r>
        <w:rPr>
          <w:color w:val="231F20"/>
          <w:spacing w:val="-7"/>
          <w:sz w:val="20"/>
        </w:rPr>
        <w:t xml:space="preserve"> </w:t>
      </w:r>
      <w:r>
        <w:rPr>
          <w:color w:val="231F20"/>
          <w:sz w:val="20"/>
        </w:rPr>
        <w:t>supported</w:t>
      </w:r>
      <w:r>
        <w:rPr>
          <w:color w:val="231F20"/>
          <w:spacing w:val="-7"/>
          <w:sz w:val="20"/>
        </w:rPr>
        <w:t xml:space="preserve"> </w:t>
      </w:r>
      <w:r>
        <w:rPr>
          <w:color w:val="231F20"/>
          <w:spacing w:val="-3"/>
          <w:sz w:val="20"/>
        </w:rPr>
        <w:t xml:space="preserve">by </w:t>
      </w:r>
      <w:r>
        <w:rPr>
          <w:color w:val="231F20"/>
          <w:sz w:val="20"/>
        </w:rPr>
        <w:t>the Sexual Assault Services Network and</w:t>
      </w:r>
      <w:r>
        <w:rPr>
          <w:color w:val="231F20"/>
          <w:spacing w:val="-28"/>
          <w:sz w:val="20"/>
        </w:rPr>
        <w:t xml:space="preserve"> </w:t>
      </w:r>
      <w:r>
        <w:rPr>
          <w:color w:val="231F20"/>
          <w:sz w:val="20"/>
        </w:rPr>
        <w:t>others:</w:t>
      </w:r>
    </w:p>
    <w:p w14:paraId="7176E8A0" w14:textId="77777777" w:rsidR="00894070" w:rsidRDefault="009B7AFD">
      <w:pPr>
        <w:spacing w:before="121" w:line="208" w:lineRule="auto"/>
        <w:ind w:left="2254" w:right="1219"/>
        <w:rPr>
          <w:sz w:val="11"/>
        </w:rPr>
      </w:pPr>
      <w:r>
        <w:rPr>
          <w:color w:val="231F20"/>
          <w:sz w:val="19"/>
        </w:rPr>
        <w:t>Victim survivors are most likely to tell friends and family first—trusted people. They may tell work colleagues if the behaviour is occurring in that environment.</w:t>
      </w:r>
      <w:r>
        <w:rPr>
          <w:color w:val="231F20"/>
          <w:position w:val="6"/>
          <w:sz w:val="11"/>
        </w:rPr>
        <w:t>54</w:t>
      </w:r>
    </w:p>
    <w:p w14:paraId="79C742B3" w14:textId="77777777" w:rsidR="00894070" w:rsidRDefault="00894070">
      <w:pPr>
        <w:pStyle w:val="BodyText"/>
      </w:pPr>
    </w:p>
    <w:p w14:paraId="6C56C18A" w14:textId="77777777" w:rsidR="00894070" w:rsidRDefault="00894070">
      <w:pPr>
        <w:pStyle w:val="BodyText"/>
      </w:pPr>
    </w:p>
    <w:p w14:paraId="574BB65B" w14:textId="77777777" w:rsidR="00894070" w:rsidRDefault="00894070">
      <w:pPr>
        <w:pStyle w:val="BodyText"/>
      </w:pPr>
    </w:p>
    <w:p w14:paraId="0E9F9834" w14:textId="77777777" w:rsidR="00894070" w:rsidRDefault="009F6793">
      <w:pPr>
        <w:pStyle w:val="BodyText"/>
        <w:spacing w:before="7"/>
        <w:rPr>
          <w:sz w:val="18"/>
        </w:rPr>
      </w:pPr>
      <w:r>
        <w:pict w14:anchorId="52E194E5">
          <v:line id="_x0000_s1493" style="position:absolute;z-index:251540480;mso-wrap-distance-left:0;mso-wrap-distance-right:0;mso-position-horizontal-relative:page" from="79.35pt,15.35pt" to="515.9pt,15.35pt" strokecolor="#f8cabc" strokeweight="1pt">
            <w10:wrap type="topAndBottom" anchorx="page"/>
          </v:line>
        </w:pict>
      </w:r>
    </w:p>
    <w:p w14:paraId="1B9EBFE3" w14:textId="77777777" w:rsidR="00894070" w:rsidRDefault="009B7AFD">
      <w:pPr>
        <w:pStyle w:val="ListParagraph"/>
        <w:numPr>
          <w:ilvl w:val="0"/>
          <w:numId w:val="134"/>
        </w:numPr>
        <w:tabs>
          <w:tab w:val="left" w:pos="1801"/>
          <w:tab w:val="left" w:pos="1802"/>
        </w:tabs>
        <w:spacing w:before="107" w:line="213" w:lineRule="auto"/>
        <w:ind w:right="1165"/>
        <w:rPr>
          <w:sz w:val="13"/>
        </w:rPr>
      </w:pPr>
      <w:r>
        <w:rPr>
          <w:color w:val="231F20"/>
          <w:spacing w:val="2"/>
          <w:sz w:val="13"/>
        </w:rPr>
        <w:t xml:space="preserve">Submission </w:t>
      </w:r>
      <w:r>
        <w:rPr>
          <w:color w:val="231F20"/>
          <w:sz w:val="13"/>
        </w:rPr>
        <w:t xml:space="preserve">100 (Forensicare). See </w:t>
      </w:r>
      <w:r>
        <w:rPr>
          <w:color w:val="231F20"/>
          <w:spacing w:val="2"/>
          <w:sz w:val="13"/>
        </w:rPr>
        <w:t xml:space="preserve">also ‘Mission </w:t>
      </w:r>
      <w:r>
        <w:rPr>
          <w:color w:val="231F20"/>
          <w:sz w:val="13"/>
        </w:rPr>
        <w:t xml:space="preserve">Statement’, </w:t>
      </w:r>
      <w:r>
        <w:rPr>
          <w:i/>
          <w:color w:val="231F20"/>
          <w:sz w:val="13"/>
        </w:rPr>
        <w:t xml:space="preserve">STOP—STALKING </w:t>
      </w:r>
      <w:r>
        <w:rPr>
          <w:color w:val="231F20"/>
          <w:sz w:val="13"/>
        </w:rPr>
        <w:t>(Web Pag</w:t>
      </w:r>
      <w:hyperlink r:id="rId125">
        <w:r>
          <w:rPr>
            <w:color w:val="231F20"/>
            <w:sz w:val="13"/>
          </w:rPr>
          <w:t>e) &lt;https://www.stop-stalking-berlin.</w:t>
        </w:r>
      </w:hyperlink>
      <w:hyperlink r:id="rId126">
        <w:r>
          <w:rPr>
            <w:color w:val="231F20"/>
            <w:sz w:val="13"/>
          </w:rPr>
          <w:t xml:space="preserve"> de/en/general-information-2/mission-statement-2/</w:t>
        </w:r>
      </w:hyperlink>
      <w:r>
        <w:rPr>
          <w:color w:val="231F20"/>
          <w:sz w:val="13"/>
        </w:rPr>
        <w:t xml:space="preserve">&gt;. Forensicare suggested this should be </w:t>
      </w:r>
      <w:r>
        <w:rPr>
          <w:color w:val="231F20"/>
          <w:spacing w:val="2"/>
          <w:sz w:val="13"/>
        </w:rPr>
        <w:t xml:space="preserve">part </w:t>
      </w:r>
      <w:r>
        <w:rPr>
          <w:color w:val="231F20"/>
          <w:sz w:val="13"/>
        </w:rPr>
        <w:t xml:space="preserve">of a broader </w:t>
      </w:r>
      <w:r>
        <w:rPr>
          <w:color w:val="231F20"/>
          <w:spacing w:val="2"/>
          <w:sz w:val="13"/>
        </w:rPr>
        <w:t xml:space="preserve">service </w:t>
      </w:r>
      <w:r>
        <w:rPr>
          <w:color w:val="231F20"/>
          <w:sz w:val="13"/>
        </w:rPr>
        <w:t xml:space="preserve">providing victim advocacy and </w:t>
      </w:r>
      <w:r>
        <w:rPr>
          <w:color w:val="231F20"/>
          <w:spacing w:val="2"/>
          <w:sz w:val="13"/>
        </w:rPr>
        <w:t xml:space="preserve">support, </w:t>
      </w:r>
      <w:r>
        <w:rPr>
          <w:color w:val="231F20"/>
          <w:sz w:val="13"/>
        </w:rPr>
        <w:t xml:space="preserve">and organisational training programs on recognising and responding to </w:t>
      </w:r>
      <w:r>
        <w:rPr>
          <w:color w:val="231F20"/>
          <w:spacing w:val="2"/>
          <w:sz w:val="13"/>
        </w:rPr>
        <w:t xml:space="preserve">stalking. </w:t>
      </w:r>
      <w:r>
        <w:rPr>
          <w:color w:val="231F20"/>
          <w:sz w:val="13"/>
        </w:rPr>
        <w:t xml:space="preserve">We discuss victim </w:t>
      </w:r>
      <w:r>
        <w:rPr>
          <w:color w:val="231F20"/>
          <w:spacing w:val="2"/>
          <w:sz w:val="13"/>
        </w:rPr>
        <w:t xml:space="preserve">support </w:t>
      </w:r>
      <w:r>
        <w:rPr>
          <w:color w:val="231F20"/>
          <w:sz w:val="13"/>
        </w:rPr>
        <w:t>in Chapter</w:t>
      </w:r>
      <w:r>
        <w:rPr>
          <w:color w:val="231F20"/>
          <w:spacing w:val="-2"/>
          <w:sz w:val="13"/>
        </w:rPr>
        <w:t xml:space="preserve"> </w:t>
      </w:r>
      <w:r>
        <w:rPr>
          <w:color w:val="231F20"/>
          <w:spacing w:val="3"/>
          <w:sz w:val="13"/>
        </w:rPr>
        <w:t>5.</w:t>
      </w:r>
    </w:p>
    <w:p w14:paraId="34341566" w14:textId="77777777" w:rsidR="00894070" w:rsidRDefault="009B7AFD">
      <w:pPr>
        <w:pStyle w:val="ListParagraph"/>
        <w:numPr>
          <w:ilvl w:val="0"/>
          <w:numId w:val="134"/>
        </w:numPr>
        <w:tabs>
          <w:tab w:val="left" w:pos="1801"/>
          <w:tab w:val="left" w:pos="1802"/>
        </w:tabs>
        <w:spacing w:line="213" w:lineRule="auto"/>
        <w:ind w:right="1404"/>
        <w:rPr>
          <w:sz w:val="13"/>
        </w:rPr>
      </w:pPr>
      <w:r>
        <w:rPr>
          <w:color w:val="231F20"/>
          <w:spacing w:val="2"/>
          <w:sz w:val="13"/>
        </w:rPr>
        <w:t xml:space="preserve">Submissions </w:t>
      </w:r>
      <w:r>
        <w:rPr>
          <w:color w:val="231F20"/>
          <w:sz w:val="13"/>
        </w:rPr>
        <w:t xml:space="preserve">32 (Centre for Forensic Behavioural Science), 100 (Forensicare). See </w:t>
      </w:r>
      <w:r>
        <w:rPr>
          <w:color w:val="231F20"/>
          <w:spacing w:val="2"/>
          <w:sz w:val="13"/>
        </w:rPr>
        <w:t xml:space="preserve">also </w:t>
      </w:r>
      <w:r>
        <w:rPr>
          <w:color w:val="231F20"/>
          <w:sz w:val="13"/>
        </w:rPr>
        <w:t xml:space="preserve">‘Lincolnshire Stalking Campaign’, </w:t>
      </w:r>
      <w:r>
        <w:rPr>
          <w:i/>
          <w:color w:val="231F20"/>
          <w:sz w:val="13"/>
        </w:rPr>
        <w:t xml:space="preserve">Crime Stoppers (UK) </w:t>
      </w:r>
      <w:r>
        <w:rPr>
          <w:color w:val="231F20"/>
          <w:sz w:val="13"/>
        </w:rPr>
        <w:t>(Web Pag</w:t>
      </w:r>
      <w:hyperlink r:id="rId127">
        <w:r>
          <w:rPr>
            <w:color w:val="231F20"/>
            <w:sz w:val="13"/>
          </w:rPr>
          <w:t>e)</w:t>
        </w:r>
        <w:r>
          <w:rPr>
            <w:color w:val="231F20"/>
            <w:spacing w:val="26"/>
            <w:sz w:val="13"/>
          </w:rPr>
          <w:t xml:space="preserve"> </w:t>
        </w:r>
        <w:r>
          <w:rPr>
            <w:color w:val="231F20"/>
            <w:sz w:val="13"/>
          </w:rPr>
          <w:t>&lt;https://crimestoppers-uk.org/campaigns-media/campaigns/lincolnshire-stalking-campaign</w:t>
        </w:r>
      </w:hyperlink>
      <w:r>
        <w:rPr>
          <w:color w:val="231F20"/>
          <w:sz w:val="13"/>
        </w:rPr>
        <w:t>&gt;.</w:t>
      </w:r>
    </w:p>
    <w:p w14:paraId="4D25AACB" w14:textId="77777777" w:rsidR="00894070" w:rsidRDefault="009B7AFD">
      <w:pPr>
        <w:pStyle w:val="ListParagraph"/>
        <w:numPr>
          <w:ilvl w:val="0"/>
          <w:numId w:val="134"/>
        </w:numPr>
        <w:tabs>
          <w:tab w:val="left" w:pos="1800"/>
          <w:tab w:val="left" w:pos="1802"/>
        </w:tabs>
        <w:spacing w:line="213" w:lineRule="auto"/>
        <w:ind w:right="1501"/>
        <w:rPr>
          <w:sz w:val="13"/>
        </w:rPr>
      </w:pPr>
      <w:r>
        <w:rPr>
          <w:color w:val="231F20"/>
          <w:sz w:val="13"/>
        </w:rPr>
        <w:t xml:space="preserve">Consultation 31 (Roundtable with multicultural and multifaith community organisations); Letter from Centre for Multicultural Youth to Victorian Law Reform </w:t>
      </w:r>
      <w:r>
        <w:rPr>
          <w:color w:val="231F20"/>
          <w:spacing w:val="2"/>
          <w:sz w:val="13"/>
        </w:rPr>
        <w:t xml:space="preserve">Commission, </w:t>
      </w:r>
      <w:r>
        <w:rPr>
          <w:color w:val="231F20"/>
          <w:sz w:val="13"/>
        </w:rPr>
        <w:t>25 November</w:t>
      </w:r>
      <w:r>
        <w:rPr>
          <w:color w:val="231F20"/>
          <w:spacing w:val="1"/>
          <w:sz w:val="13"/>
        </w:rPr>
        <w:t xml:space="preserve"> </w:t>
      </w:r>
      <w:r>
        <w:rPr>
          <w:color w:val="231F20"/>
          <w:sz w:val="13"/>
        </w:rPr>
        <w:t>2021.</w:t>
      </w:r>
    </w:p>
    <w:p w14:paraId="39160530" w14:textId="77777777" w:rsidR="00894070" w:rsidRDefault="009B7AFD">
      <w:pPr>
        <w:pStyle w:val="ListParagraph"/>
        <w:numPr>
          <w:ilvl w:val="0"/>
          <w:numId w:val="134"/>
        </w:numPr>
        <w:tabs>
          <w:tab w:val="left" w:pos="1801"/>
          <w:tab w:val="left" w:pos="1802"/>
        </w:tabs>
        <w:spacing w:line="213" w:lineRule="auto"/>
        <w:ind w:right="1206"/>
        <w:rPr>
          <w:sz w:val="13"/>
        </w:rPr>
      </w:pPr>
      <w:r>
        <w:rPr>
          <w:color w:val="231F20"/>
          <w:sz w:val="13"/>
        </w:rPr>
        <w:t xml:space="preserve">The Victorian Aboriginal Legal </w:t>
      </w:r>
      <w:r>
        <w:rPr>
          <w:color w:val="231F20"/>
          <w:spacing w:val="2"/>
          <w:sz w:val="13"/>
        </w:rPr>
        <w:t xml:space="preserve">Service </w:t>
      </w:r>
      <w:r>
        <w:rPr>
          <w:color w:val="231F20"/>
          <w:sz w:val="13"/>
        </w:rPr>
        <w:t xml:space="preserve">told us that ‘Community Legal Education is … critical to break down barriers and empower communities. Lack of knowledge about rights, the legal system and access to legal </w:t>
      </w:r>
      <w:r>
        <w:rPr>
          <w:color w:val="231F20"/>
          <w:spacing w:val="2"/>
          <w:sz w:val="13"/>
        </w:rPr>
        <w:t xml:space="preserve">assistance </w:t>
      </w:r>
      <w:r>
        <w:rPr>
          <w:color w:val="231F20"/>
          <w:sz w:val="13"/>
        </w:rPr>
        <w:t xml:space="preserve">may be one other reason for an individual not to approach </w:t>
      </w:r>
      <w:r>
        <w:rPr>
          <w:color w:val="231F20"/>
          <w:spacing w:val="2"/>
          <w:sz w:val="13"/>
        </w:rPr>
        <w:t xml:space="preserve">police </w:t>
      </w:r>
      <w:r>
        <w:rPr>
          <w:color w:val="231F20"/>
          <w:sz w:val="13"/>
        </w:rPr>
        <w:t>or pursue an issue’: Consultation 10 (Victorian Aboriginal Legal</w:t>
      </w:r>
      <w:r>
        <w:rPr>
          <w:color w:val="231F20"/>
          <w:spacing w:val="31"/>
          <w:sz w:val="13"/>
        </w:rPr>
        <w:t xml:space="preserve"> </w:t>
      </w:r>
      <w:r>
        <w:rPr>
          <w:color w:val="231F20"/>
          <w:sz w:val="13"/>
        </w:rPr>
        <w:t>Service).</w:t>
      </w:r>
    </w:p>
    <w:p w14:paraId="1CD1DB4E" w14:textId="77777777" w:rsidR="00894070" w:rsidRDefault="009B7AFD">
      <w:pPr>
        <w:pStyle w:val="ListParagraph"/>
        <w:numPr>
          <w:ilvl w:val="0"/>
          <w:numId w:val="134"/>
        </w:numPr>
        <w:tabs>
          <w:tab w:val="left" w:pos="1801"/>
          <w:tab w:val="left" w:pos="1802"/>
        </w:tabs>
        <w:spacing w:line="213" w:lineRule="auto"/>
        <w:ind w:right="1191"/>
        <w:rPr>
          <w:sz w:val="13"/>
        </w:rPr>
      </w:pPr>
      <w:r>
        <w:rPr>
          <w:color w:val="231F20"/>
          <w:spacing w:val="2"/>
          <w:sz w:val="13"/>
        </w:rPr>
        <w:t xml:space="preserve">Submission </w:t>
      </w:r>
      <w:r>
        <w:rPr>
          <w:color w:val="231F20"/>
          <w:sz w:val="13"/>
        </w:rPr>
        <w:t xml:space="preserve">32 (Centre for Forensic Behavioural Science). The submission stated that this should be </w:t>
      </w:r>
      <w:r>
        <w:rPr>
          <w:color w:val="231F20"/>
          <w:spacing w:val="2"/>
          <w:sz w:val="13"/>
        </w:rPr>
        <w:t xml:space="preserve">supported </w:t>
      </w:r>
      <w:r>
        <w:rPr>
          <w:color w:val="231F20"/>
          <w:spacing w:val="-3"/>
          <w:sz w:val="13"/>
        </w:rPr>
        <w:t xml:space="preserve">by, </w:t>
      </w:r>
      <w:r>
        <w:rPr>
          <w:color w:val="231F20"/>
          <w:sz w:val="13"/>
        </w:rPr>
        <w:t xml:space="preserve">or co-located with, advocacy and </w:t>
      </w:r>
      <w:r>
        <w:rPr>
          <w:color w:val="231F20"/>
          <w:spacing w:val="2"/>
          <w:sz w:val="13"/>
        </w:rPr>
        <w:t xml:space="preserve">support services </w:t>
      </w:r>
      <w:r>
        <w:rPr>
          <w:color w:val="231F20"/>
          <w:sz w:val="13"/>
        </w:rPr>
        <w:t xml:space="preserve">for victims of </w:t>
      </w:r>
      <w:r>
        <w:rPr>
          <w:color w:val="231F20"/>
          <w:spacing w:val="2"/>
          <w:sz w:val="13"/>
        </w:rPr>
        <w:t xml:space="preserve">stalking </w:t>
      </w:r>
      <w:r>
        <w:rPr>
          <w:color w:val="231F20"/>
          <w:sz w:val="13"/>
        </w:rPr>
        <w:t xml:space="preserve">(see our discussion of victim advocates in Chapter 5). It </w:t>
      </w:r>
      <w:r>
        <w:rPr>
          <w:color w:val="231F20"/>
          <w:spacing w:val="2"/>
          <w:sz w:val="13"/>
        </w:rPr>
        <w:t xml:space="preserve">also </w:t>
      </w:r>
      <w:r>
        <w:rPr>
          <w:color w:val="231F20"/>
          <w:sz w:val="13"/>
        </w:rPr>
        <w:t xml:space="preserve">said the research centre should </w:t>
      </w:r>
      <w:r>
        <w:rPr>
          <w:color w:val="231F20"/>
          <w:spacing w:val="2"/>
          <w:sz w:val="13"/>
        </w:rPr>
        <w:t xml:space="preserve">partner </w:t>
      </w:r>
      <w:r>
        <w:rPr>
          <w:color w:val="231F20"/>
          <w:sz w:val="13"/>
        </w:rPr>
        <w:t xml:space="preserve">with university groups ‘who can collaborate on research and </w:t>
      </w:r>
      <w:r>
        <w:rPr>
          <w:color w:val="231F20"/>
          <w:spacing w:val="2"/>
          <w:sz w:val="13"/>
        </w:rPr>
        <w:t xml:space="preserve">service </w:t>
      </w:r>
      <w:r>
        <w:rPr>
          <w:color w:val="231F20"/>
          <w:sz w:val="13"/>
        </w:rPr>
        <w:t xml:space="preserve">evaluation’. The Victims of Crime </w:t>
      </w:r>
      <w:r>
        <w:rPr>
          <w:color w:val="231F20"/>
          <w:spacing w:val="2"/>
          <w:sz w:val="13"/>
        </w:rPr>
        <w:t xml:space="preserve">Commissioner </w:t>
      </w:r>
      <w:r>
        <w:rPr>
          <w:color w:val="231F20"/>
          <w:sz w:val="13"/>
        </w:rPr>
        <w:t xml:space="preserve">called for a Centre for Excellence in responses to </w:t>
      </w:r>
      <w:r>
        <w:rPr>
          <w:color w:val="231F20"/>
          <w:spacing w:val="2"/>
          <w:sz w:val="13"/>
        </w:rPr>
        <w:t xml:space="preserve">stalking, </w:t>
      </w:r>
      <w:r>
        <w:rPr>
          <w:color w:val="231F20"/>
          <w:sz w:val="13"/>
        </w:rPr>
        <w:t xml:space="preserve">which could focus on research and evaluation: </w:t>
      </w: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 xml:space="preserve">of Crime Commissioner). In response to their finding that </w:t>
      </w:r>
      <w:r>
        <w:rPr>
          <w:color w:val="231F20"/>
          <w:spacing w:val="2"/>
          <w:sz w:val="13"/>
        </w:rPr>
        <w:t xml:space="preserve">public </w:t>
      </w:r>
      <w:r>
        <w:rPr>
          <w:color w:val="231F20"/>
          <w:sz w:val="13"/>
        </w:rPr>
        <w:t xml:space="preserve">familiarity with </w:t>
      </w:r>
      <w:r>
        <w:rPr>
          <w:color w:val="231F20"/>
          <w:spacing w:val="2"/>
          <w:sz w:val="13"/>
        </w:rPr>
        <w:t xml:space="preserve">stalking </w:t>
      </w:r>
      <w:r>
        <w:rPr>
          <w:color w:val="231F20"/>
          <w:sz w:val="13"/>
        </w:rPr>
        <w:t>legislation is very low</w:t>
      </w:r>
      <w:r>
        <w:rPr>
          <w:color w:val="231F20"/>
          <w:spacing w:val="5"/>
          <w:sz w:val="13"/>
        </w:rPr>
        <w:t xml:space="preserve"> </w:t>
      </w:r>
      <w:r>
        <w:rPr>
          <w:color w:val="231F20"/>
          <w:sz w:val="13"/>
        </w:rPr>
        <w:t>in</w:t>
      </w:r>
      <w:r>
        <w:rPr>
          <w:color w:val="231F20"/>
          <w:spacing w:val="5"/>
          <w:sz w:val="13"/>
        </w:rPr>
        <w:t xml:space="preserve"> </w:t>
      </w:r>
      <w:r>
        <w:rPr>
          <w:color w:val="231F20"/>
          <w:sz w:val="13"/>
        </w:rPr>
        <w:t>Victoria,</w:t>
      </w:r>
      <w:r>
        <w:rPr>
          <w:color w:val="231F20"/>
          <w:spacing w:val="5"/>
          <w:sz w:val="13"/>
        </w:rPr>
        <w:t xml:space="preserve"> </w:t>
      </w:r>
      <w:r>
        <w:rPr>
          <w:color w:val="231F20"/>
          <w:sz w:val="13"/>
        </w:rPr>
        <w:t>Scott</w:t>
      </w:r>
      <w:r>
        <w:rPr>
          <w:color w:val="231F20"/>
          <w:spacing w:val="6"/>
          <w:sz w:val="13"/>
        </w:rPr>
        <w:t xml:space="preserve"> </w:t>
      </w:r>
      <w:r>
        <w:rPr>
          <w:color w:val="231F20"/>
          <w:sz w:val="13"/>
        </w:rPr>
        <w:t>et</w:t>
      </w:r>
      <w:r>
        <w:rPr>
          <w:color w:val="231F20"/>
          <w:spacing w:val="5"/>
          <w:sz w:val="13"/>
        </w:rPr>
        <w:t xml:space="preserve"> </w:t>
      </w:r>
      <w:r>
        <w:rPr>
          <w:color w:val="231F20"/>
          <w:sz w:val="13"/>
        </w:rPr>
        <w:t>al</w:t>
      </w:r>
      <w:r>
        <w:rPr>
          <w:color w:val="231F20"/>
          <w:spacing w:val="5"/>
          <w:sz w:val="13"/>
        </w:rPr>
        <w:t xml:space="preserve"> </w:t>
      </w:r>
      <w:r>
        <w:rPr>
          <w:color w:val="231F20"/>
          <w:sz w:val="13"/>
        </w:rPr>
        <w:t>suggest</w:t>
      </w:r>
      <w:r>
        <w:rPr>
          <w:color w:val="231F20"/>
          <w:spacing w:val="6"/>
          <w:sz w:val="13"/>
        </w:rPr>
        <w:t xml:space="preserve"> </w:t>
      </w:r>
      <w:r>
        <w:rPr>
          <w:color w:val="231F20"/>
          <w:sz w:val="13"/>
        </w:rPr>
        <w:t>media</w:t>
      </w:r>
      <w:r>
        <w:rPr>
          <w:color w:val="231F20"/>
          <w:spacing w:val="5"/>
          <w:sz w:val="13"/>
        </w:rPr>
        <w:t xml:space="preserve"> </w:t>
      </w:r>
      <w:r>
        <w:rPr>
          <w:color w:val="231F20"/>
          <w:sz w:val="13"/>
        </w:rPr>
        <w:t>coverage</w:t>
      </w:r>
      <w:r>
        <w:rPr>
          <w:color w:val="231F20"/>
          <w:spacing w:val="5"/>
          <w:sz w:val="13"/>
        </w:rPr>
        <w:t xml:space="preserve"> </w:t>
      </w:r>
      <w:r>
        <w:rPr>
          <w:color w:val="231F20"/>
          <w:sz w:val="13"/>
        </w:rPr>
        <w:t>should</w:t>
      </w:r>
      <w:r>
        <w:rPr>
          <w:color w:val="231F20"/>
          <w:spacing w:val="6"/>
          <w:sz w:val="13"/>
        </w:rPr>
        <w:t xml:space="preserve"> </w:t>
      </w:r>
      <w:r>
        <w:rPr>
          <w:color w:val="231F20"/>
          <w:sz w:val="13"/>
        </w:rPr>
        <w:t>play</w:t>
      </w:r>
      <w:r>
        <w:rPr>
          <w:color w:val="231F20"/>
          <w:spacing w:val="5"/>
          <w:sz w:val="13"/>
        </w:rPr>
        <w:t xml:space="preserve"> </w:t>
      </w:r>
      <w:r>
        <w:rPr>
          <w:color w:val="231F20"/>
          <w:sz w:val="13"/>
        </w:rPr>
        <w:t>an</w:t>
      </w:r>
      <w:r>
        <w:rPr>
          <w:color w:val="231F20"/>
          <w:spacing w:val="5"/>
          <w:sz w:val="13"/>
        </w:rPr>
        <w:t xml:space="preserve"> </w:t>
      </w:r>
      <w:r>
        <w:rPr>
          <w:color w:val="231F20"/>
          <w:spacing w:val="2"/>
          <w:sz w:val="13"/>
        </w:rPr>
        <w:t>important</w:t>
      </w:r>
      <w:r>
        <w:rPr>
          <w:color w:val="231F20"/>
          <w:spacing w:val="6"/>
          <w:sz w:val="13"/>
        </w:rPr>
        <w:t xml:space="preserve"> </w:t>
      </w:r>
      <w:r>
        <w:rPr>
          <w:color w:val="231F20"/>
          <w:sz w:val="13"/>
        </w:rPr>
        <w:t>role</w:t>
      </w:r>
      <w:r>
        <w:rPr>
          <w:color w:val="231F20"/>
          <w:spacing w:val="5"/>
          <w:sz w:val="13"/>
        </w:rPr>
        <w:t xml:space="preserve"> </w:t>
      </w:r>
      <w:r>
        <w:rPr>
          <w:color w:val="231F20"/>
          <w:sz w:val="13"/>
        </w:rPr>
        <w:t>and</w:t>
      </w:r>
      <w:r>
        <w:rPr>
          <w:color w:val="231F20"/>
          <w:spacing w:val="5"/>
          <w:sz w:val="13"/>
        </w:rPr>
        <w:t xml:space="preserve"> </w:t>
      </w:r>
      <w:r>
        <w:rPr>
          <w:color w:val="231F20"/>
          <w:sz w:val="13"/>
        </w:rPr>
        <w:t>‘provide</w:t>
      </w:r>
      <w:r>
        <w:rPr>
          <w:color w:val="231F20"/>
          <w:spacing w:val="6"/>
          <w:sz w:val="13"/>
        </w:rPr>
        <w:t xml:space="preserve"> </w:t>
      </w:r>
      <w:r>
        <w:rPr>
          <w:color w:val="231F20"/>
          <w:sz w:val="13"/>
        </w:rPr>
        <w:t>education</w:t>
      </w:r>
      <w:r>
        <w:rPr>
          <w:color w:val="231F20"/>
          <w:spacing w:val="5"/>
          <w:sz w:val="13"/>
        </w:rPr>
        <w:t xml:space="preserve"> </w:t>
      </w:r>
      <w:r>
        <w:rPr>
          <w:color w:val="231F20"/>
          <w:sz w:val="13"/>
        </w:rPr>
        <w:t>regarding</w:t>
      </w:r>
      <w:r>
        <w:rPr>
          <w:color w:val="231F20"/>
          <w:spacing w:val="5"/>
          <w:sz w:val="13"/>
        </w:rPr>
        <w:t xml:space="preserve"> </w:t>
      </w:r>
      <w:r>
        <w:rPr>
          <w:color w:val="231F20"/>
          <w:sz w:val="13"/>
        </w:rPr>
        <w:t>the</w:t>
      </w:r>
      <w:r>
        <w:rPr>
          <w:color w:val="231F20"/>
          <w:spacing w:val="5"/>
          <w:sz w:val="13"/>
        </w:rPr>
        <w:t xml:space="preserve"> </w:t>
      </w:r>
      <w:r>
        <w:rPr>
          <w:color w:val="231F20"/>
          <w:sz w:val="13"/>
        </w:rPr>
        <w:t>reality</w:t>
      </w:r>
    </w:p>
    <w:p w14:paraId="39D70326" w14:textId="77777777" w:rsidR="00894070" w:rsidRDefault="009B7AFD">
      <w:pPr>
        <w:spacing w:line="213" w:lineRule="auto"/>
        <w:ind w:left="1801" w:right="1459"/>
        <w:rPr>
          <w:sz w:val="13"/>
        </w:rPr>
      </w:pPr>
      <w:r>
        <w:rPr>
          <w:color w:val="231F20"/>
          <w:sz w:val="13"/>
        </w:rPr>
        <w:t xml:space="preserve">of </w:t>
      </w:r>
      <w:r>
        <w:rPr>
          <w:color w:val="231F20"/>
          <w:spacing w:val="2"/>
          <w:sz w:val="13"/>
        </w:rPr>
        <w:t xml:space="preserve">stalking </w:t>
      </w:r>
      <w:r>
        <w:rPr>
          <w:color w:val="231F20"/>
          <w:sz w:val="13"/>
        </w:rPr>
        <w:t xml:space="preserve">in order to increase the </w:t>
      </w:r>
      <w:r>
        <w:rPr>
          <w:color w:val="231F20"/>
          <w:spacing w:val="2"/>
          <w:sz w:val="13"/>
        </w:rPr>
        <w:t xml:space="preserve">likelihood </w:t>
      </w:r>
      <w:r>
        <w:rPr>
          <w:color w:val="231F20"/>
          <w:sz w:val="13"/>
        </w:rPr>
        <w:t xml:space="preserve">of victims, as well as their family and </w:t>
      </w:r>
      <w:r>
        <w:rPr>
          <w:color w:val="231F20"/>
          <w:spacing w:val="2"/>
          <w:sz w:val="13"/>
        </w:rPr>
        <w:t xml:space="preserve">friends, identifying </w:t>
      </w:r>
      <w:r>
        <w:rPr>
          <w:color w:val="231F20"/>
          <w:sz w:val="13"/>
        </w:rPr>
        <w:t xml:space="preserve">experiences as </w:t>
      </w:r>
      <w:r>
        <w:rPr>
          <w:color w:val="231F20"/>
          <w:spacing w:val="2"/>
          <w:sz w:val="13"/>
        </w:rPr>
        <w:t>stalking</w:t>
      </w:r>
      <w:r>
        <w:rPr>
          <w:color w:val="231F20"/>
          <w:spacing w:val="37"/>
          <w:sz w:val="13"/>
        </w:rPr>
        <w:t xml:space="preserve"> </w:t>
      </w:r>
      <w:r>
        <w:rPr>
          <w:color w:val="231F20"/>
          <w:sz w:val="13"/>
        </w:rPr>
        <w:t xml:space="preserve">and </w:t>
      </w:r>
      <w:r>
        <w:rPr>
          <w:color w:val="231F20"/>
          <w:spacing w:val="2"/>
          <w:sz w:val="13"/>
        </w:rPr>
        <w:t xml:space="preserve">reporting </w:t>
      </w:r>
      <w:r>
        <w:rPr>
          <w:color w:val="231F20"/>
          <w:sz w:val="13"/>
        </w:rPr>
        <w:t xml:space="preserve">them to the </w:t>
      </w:r>
      <w:r>
        <w:rPr>
          <w:color w:val="231F20"/>
          <w:spacing w:val="2"/>
          <w:sz w:val="13"/>
        </w:rPr>
        <w:t xml:space="preserve">police </w:t>
      </w:r>
      <w:r>
        <w:rPr>
          <w:color w:val="231F20"/>
          <w:sz w:val="13"/>
        </w:rPr>
        <w:t xml:space="preserve">where appropriate’: Adrian J Scott et </w:t>
      </w:r>
      <w:r>
        <w:rPr>
          <w:color w:val="231F20"/>
          <w:spacing w:val="2"/>
          <w:sz w:val="13"/>
        </w:rPr>
        <w:t xml:space="preserve">al, ‘Public </w:t>
      </w:r>
      <w:r>
        <w:rPr>
          <w:color w:val="231F20"/>
          <w:sz w:val="13"/>
        </w:rPr>
        <w:t xml:space="preserve">Familiarity and </w:t>
      </w:r>
      <w:r>
        <w:rPr>
          <w:color w:val="231F20"/>
          <w:spacing w:val="2"/>
          <w:sz w:val="13"/>
        </w:rPr>
        <w:t xml:space="preserve">Understanding </w:t>
      </w:r>
      <w:r>
        <w:rPr>
          <w:color w:val="231F20"/>
          <w:sz w:val="13"/>
        </w:rPr>
        <w:t xml:space="preserve">of Stalking/ </w:t>
      </w:r>
      <w:r>
        <w:rPr>
          <w:color w:val="231F20"/>
          <w:spacing w:val="2"/>
          <w:sz w:val="13"/>
        </w:rPr>
        <w:t xml:space="preserve">Harassment </w:t>
      </w:r>
      <w:r>
        <w:rPr>
          <w:color w:val="231F20"/>
          <w:sz w:val="13"/>
        </w:rPr>
        <w:t xml:space="preserve">Legislation in Australia, the United Kingdom, and the United States’ in Heng Choon (Oliver)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An International Perspective </w:t>
      </w:r>
      <w:r>
        <w:rPr>
          <w:color w:val="231F20"/>
          <w:sz w:val="13"/>
        </w:rPr>
        <w:t>(John Wiley and Sons, 2020) 137,</w:t>
      </w:r>
      <w:r>
        <w:rPr>
          <w:color w:val="231F20"/>
          <w:spacing w:val="-1"/>
          <w:sz w:val="13"/>
        </w:rPr>
        <w:t xml:space="preserve"> </w:t>
      </w:r>
      <w:r>
        <w:rPr>
          <w:color w:val="231F20"/>
          <w:spacing w:val="3"/>
          <w:sz w:val="13"/>
        </w:rPr>
        <w:t>154.</w:t>
      </w:r>
    </w:p>
    <w:p w14:paraId="08A08B0C" w14:textId="77777777" w:rsidR="00894070" w:rsidRDefault="009B7AFD">
      <w:pPr>
        <w:pStyle w:val="ListParagraph"/>
        <w:numPr>
          <w:ilvl w:val="0"/>
          <w:numId w:val="134"/>
        </w:numPr>
        <w:tabs>
          <w:tab w:val="left" w:pos="1801"/>
          <w:tab w:val="left" w:pos="1802"/>
        </w:tabs>
        <w:spacing w:line="213" w:lineRule="auto"/>
        <w:ind w:right="1421"/>
        <w:rPr>
          <w:sz w:val="13"/>
        </w:rPr>
      </w:pPr>
      <w:r>
        <w:rPr>
          <w:color w:val="231F20"/>
          <w:sz w:val="13"/>
        </w:rPr>
        <w:t xml:space="preserve">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 xml:space="preserve">No 42, September 2021) 39–40 [3.18]. See also, </w:t>
      </w:r>
      <w:r>
        <w:rPr>
          <w:color w:val="231F20"/>
          <w:spacing w:val="2"/>
          <w:sz w:val="13"/>
        </w:rPr>
        <w:t xml:space="preserve">Pamela </w:t>
      </w:r>
      <w:r>
        <w:rPr>
          <w:color w:val="231F20"/>
          <w:sz w:val="13"/>
        </w:rPr>
        <w:t xml:space="preserve">Cox J et </w:t>
      </w:r>
      <w:r>
        <w:rPr>
          <w:color w:val="231F20"/>
          <w:spacing w:val="2"/>
          <w:sz w:val="13"/>
        </w:rPr>
        <w:t xml:space="preserve">al, </w:t>
      </w:r>
      <w:r>
        <w:rPr>
          <w:color w:val="231F20"/>
          <w:sz w:val="13"/>
        </w:rPr>
        <w:t xml:space="preserve">‘The Rape Prevention and Education (RPE) </w:t>
      </w:r>
      <w:r>
        <w:rPr>
          <w:color w:val="231F20"/>
          <w:spacing w:val="2"/>
          <w:sz w:val="13"/>
        </w:rPr>
        <w:t xml:space="preserve">Theory </w:t>
      </w:r>
      <w:r>
        <w:rPr>
          <w:color w:val="231F20"/>
          <w:sz w:val="13"/>
        </w:rPr>
        <w:t xml:space="preserve">Model of Community Change: </w:t>
      </w:r>
      <w:r>
        <w:rPr>
          <w:color w:val="231F20"/>
          <w:spacing w:val="2"/>
          <w:sz w:val="13"/>
        </w:rPr>
        <w:t xml:space="preserve">Connecting </w:t>
      </w:r>
      <w:r>
        <w:rPr>
          <w:color w:val="231F20"/>
          <w:sz w:val="13"/>
        </w:rPr>
        <w:t xml:space="preserve">Individual and Social Change’ (2010) 13 </w:t>
      </w:r>
      <w:r>
        <w:rPr>
          <w:i/>
          <w:color w:val="231F20"/>
          <w:sz w:val="13"/>
        </w:rPr>
        <w:t xml:space="preserve">Journal of Family Social Work </w:t>
      </w:r>
      <w:r>
        <w:rPr>
          <w:color w:val="231F20"/>
          <w:sz w:val="13"/>
        </w:rPr>
        <w:t xml:space="preserve">297; </w:t>
      </w:r>
      <w:r>
        <w:rPr>
          <w:color w:val="231F20"/>
          <w:spacing w:val="2"/>
          <w:sz w:val="13"/>
        </w:rPr>
        <w:t xml:space="preserve">Maury </w:t>
      </w:r>
      <w:r>
        <w:rPr>
          <w:color w:val="231F20"/>
          <w:sz w:val="13"/>
        </w:rPr>
        <w:t xml:space="preserve">Nation et </w:t>
      </w:r>
      <w:r>
        <w:rPr>
          <w:color w:val="231F20"/>
          <w:spacing w:val="2"/>
          <w:sz w:val="13"/>
        </w:rPr>
        <w:t xml:space="preserve">al, ‘What </w:t>
      </w:r>
      <w:r>
        <w:rPr>
          <w:color w:val="231F20"/>
          <w:sz w:val="13"/>
        </w:rPr>
        <w:t xml:space="preserve">Works in Prevention: Principles of Effective Prevention Programs’ (2003) 58(6/7) </w:t>
      </w:r>
      <w:r>
        <w:rPr>
          <w:i/>
          <w:color w:val="231F20"/>
          <w:sz w:val="13"/>
        </w:rPr>
        <w:t>American Psychologist</w:t>
      </w:r>
      <w:r>
        <w:rPr>
          <w:i/>
          <w:color w:val="231F20"/>
          <w:spacing w:val="16"/>
          <w:sz w:val="13"/>
        </w:rPr>
        <w:t xml:space="preserve"> </w:t>
      </w:r>
      <w:r>
        <w:rPr>
          <w:color w:val="231F20"/>
          <w:spacing w:val="2"/>
          <w:sz w:val="13"/>
        </w:rPr>
        <w:t>449.</w:t>
      </w:r>
    </w:p>
    <w:p w14:paraId="1202EE5B" w14:textId="77777777" w:rsidR="00894070" w:rsidRDefault="009F6793">
      <w:pPr>
        <w:pStyle w:val="ListParagraph"/>
        <w:numPr>
          <w:ilvl w:val="0"/>
          <w:numId w:val="134"/>
        </w:numPr>
        <w:tabs>
          <w:tab w:val="left" w:pos="1800"/>
          <w:tab w:val="left" w:pos="1802"/>
        </w:tabs>
        <w:spacing w:line="213" w:lineRule="auto"/>
        <w:ind w:right="1316"/>
        <w:rPr>
          <w:sz w:val="13"/>
        </w:rPr>
      </w:pPr>
      <w:r>
        <w:pict w14:anchorId="3319F89F">
          <v:shape id="_x0000_s1492" type="#_x0000_t202" style="position:absolute;left:0;text-align:left;margin-left:549.05pt;margin-top:11.4pt;width:13.15pt;height:14.1pt;z-index:251619328;mso-position-horizontal-relative:page" filled="f" stroked="f">
            <v:textbox inset="0,0,0,0">
              <w:txbxContent>
                <w:p w14:paraId="4F05BF4F" w14:textId="77777777" w:rsidR="00894070" w:rsidRDefault="009B7AFD">
                  <w:pPr>
                    <w:spacing w:line="282" w:lineRule="exact"/>
                    <w:rPr>
                      <w:b/>
                      <w:sz w:val="24"/>
                    </w:rPr>
                  </w:pPr>
                  <w:r>
                    <w:rPr>
                      <w:b/>
                      <w:color w:val="EA5B50"/>
                      <w:spacing w:val="-1"/>
                      <w:sz w:val="24"/>
                    </w:rPr>
                    <w:t>61</w:t>
                  </w:r>
                </w:p>
              </w:txbxContent>
            </v:textbox>
            <w10:wrap anchorx="page"/>
          </v:shape>
        </w:pict>
      </w:r>
      <w:r w:rsidR="009B7AFD">
        <w:rPr>
          <w:color w:val="231F20"/>
          <w:sz w:val="13"/>
        </w:rPr>
        <w:t xml:space="preserve">Bradford W Reyns and Christine M Englebrecht, ‘Informal and Formal </w:t>
      </w:r>
      <w:r w:rsidR="009B7AFD">
        <w:rPr>
          <w:color w:val="231F20"/>
          <w:spacing w:val="2"/>
          <w:sz w:val="13"/>
        </w:rPr>
        <w:t xml:space="preserve">Help-Seeking Decisions </w:t>
      </w:r>
      <w:r w:rsidR="009B7AFD">
        <w:rPr>
          <w:color w:val="231F20"/>
          <w:sz w:val="13"/>
        </w:rPr>
        <w:t xml:space="preserve">of Stalking Victims in the United States’ (2014) 41(10) </w:t>
      </w:r>
      <w:r w:rsidR="009B7AFD">
        <w:rPr>
          <w:i/>
          <w:color w:val="231F20"/>
          <w:sz w:val="13"/>
        </w:rPr>
        <w:t xml:space="preserve">Criminal Justice and Behavior </w:t>
      </w:r>
      <w:r w:rsidR="009B7AFD">
        <w:rPr>
          <w:color w:val="231F20"/>
          <w:sz w:val="13"/>
        </w:rPr>
        <w:t>1178, 1179,</w:t>
      </w:r>
      <w:r w:rsidR="009B7AFD">
        <w:rPr>
          <w:color w:val="231F20"/>
          <w:spacing w:val="2"/>
          <w:sz w:val="13"/>
        </w:rPr>
        <w:t xml:space="preserve"> </w:t>
      </w:r>
      <w:r w:rsidR="009B7AFD">
        <w:rPr>
          <w:color w:val="231F20"/>
          <w:sz w:val="13"/>
        </w:rPr>
        <w:t>1182.</w:t>
      </w:r>
    </w:p>
    <w:p w14:paraId="157EC5DE" w14:textId="77777777" w:rsidR="00894070" w:rsidRDefault="009B7AFD">
      <w:pPr>
        <w:pStyle w:val="ListParagraph"/>
        <w:numPr>
          <w:ilvl w:val="0"/>
          <w:numId w:val="134"/>
        </w:numPr>
        <w:tabs>
          <w:tab w:val="left" w:pos="1801"/>
          <w:tab w:val="left" w:pos="1802"/>
        </w:tabs>
        <w:spacing w:line="163" w:lineRule="exact"/>
        <w:rPr>
          <w:sz w:val="13"/>
        </w:rPr>
      </w:pPr>
      <w:r>
        <w:rPr>
          <w:color w:val="231F20"/>
          <w:sz w:val="13"/>
        </w:rPr>
        <w:t xml:space="preserve">Consultation 4 (Sexual </w:t>
      </w:r>
      <w:r>
        <w:rPr>
          <w:color w:val="231F20"/>
          <w:spacing w:val="2"/>
          <w:sz w:val="13"/>
        </w:rPr>
        <w:t xml:space="preserve">Assault Services </w:t>
      </w:r>
      <w:r>
        <w:rPr>
          <w:color w:val="231F20"/>
          <w:sz w:val="13"/>
        </w:rPr>
        <w:t xml:space="preserve">Network). See </w:t>
      </w:r>
      <w:r>
        <w:rPr>
          <w:color w:val="231F20"/>
          <w:spacing w:val="2"/>
          <w:sz w:val="13"/>
        </w:rPr>
        <w:t xml:space="preserve">also Submission </w:t>
      </w:r>
      <w:r>
        <w:rPr>
          <w:color w:val="231F20"/>
          <w:sz w:val="13"/>
        </w:rPr>
        <w:t>100</w:t>
      </w:r>
      <w:r>
        <w:rPr>
          <w:color w:val="231F20"/>
          <w:spacing w:val="-2"/>
          <w:sz w:val="13"/>
        </w:rPr>
        <w:t xml:space="preserve"> </w:t>
      </w:r>
      <w:r>
        <w:rPr>
          <w:color w:val="231F20"/>
          <w:sz w:val="13"/>
        </w:rPr>
        <w:t>(Forensicare).</w:t>
      </w:r>
    </w:p>
    <w:p w14:paraId="3B79A0F4" w14:textId="77777777" w:rsidR="00894070" w:rsidRDefault="00894070">
      <w:pPr>
        <w:spacing w:line="163" w:lineRule="exact"/>
        <w:rPr>
          <w:sz w:val="13"/>
        </w:rPr>
        <w:sectPr w:rsidR="00894070">
          <w:pgSz w:w="11910" w:h="16840"/>
          <w:pgMar w:top="840" w:right="420" w:bottom="280" w:left="580" w:header="0" w:footer="0" w:gutter="0"/>
          <w:cols w:space="720"/>
        </w:sectPr>
      </w:pPr>
    </w:p>
    <w:p w14:paraId="4420792C" w14:textId="77777777" w:rsidR="00894070" w:rsidRDefault="00894070">
      <w:pPr>
        <w:pStyle w:val="BodyText"/>
      </w:pPr>
    </w:p>
    <w:p w14:paraId="2CD5603B" w14:textId="77777777" w:rsidR="00894070" w:rsidRDefault="00894070">
      <w:pPr>
        <w:pStyle w:val="BodyText"/>
      </w:pPr>
    </w:p>
    <w:p w14:paraId="10D989B5" w14:textId="77777777" w:rsidR="00894070" w:rsidRDefault="00894070">
      <w:pPr>
        <w:pStyle w:val="BodyText"/>
      </w:pPr>
    </w:p>
    <w:p w14:paraId="0484A92B" w14:textId="77777777" w:rsidR="00894070" w:rsidRDefault="00894070">
      <w:pPr>
        <w:pStyle w:val="BodyText"/>
        <w:spacing w:before="11"/>
        <w:rPr>
          <w:sz w:val="18"/>
        </w:rPr>
      </w:pPr>
    </w:p>
    <w:p w14:paraId="705A83E0" w14:textId="77777777" w:rsidR="00894070" w:rsidRDefault="009B7AFD">
      <w:pPr>
        <w:pStyle w:val="ListParagraph"/>
        <w:numPr>
          <w:ilvl w:val="1"/>
          <w:numId w:val="177"/>
        </w:numPr>
        <w:tabs>
          <w:tab w:val="left" w:pos="1801"/>
          <w:tab w:val="left" w:pos="1802"/>
        </w:tabs>
        <w:spacing w:line="206" w:lineRule="auto"/>
        <w:ind w:right="1453"/>
        <w:rPr>
          <w:sz w:val="20"/>
        </w:rPr>
      </w:pPr>
      <w:r>
        <w:rPr>
          <w:color w:val="231F20"/>
          <w:sz w:val="20"/>
        </w:rPr>
        <w:t>Many</w:t>
      </w:r>
      <w:r>
        <w:rPr>
          <w:color w:val="231F20"/>
          <w:spacing w:val="-10"/>
          <w:sz w:val="20"/>
        </w:rPr>
        <w:t xml:space="preserve"> </w:t>
      </w:r>
      <w:r>
        <w:rPr>
          <w:color w:val="231F20"/>
          <w:sz w:val="20"/>
        </w:rPr>
        <w:t>people</w:t>
      </w:r>
      <w:r>
        <w:rPr>
          <w:color w:val="231F20"/>
          <w:spacing w:val="-10"/>
          <w:sz w:val="20"/>
        </w:rPr>
        <w:t xml:space="preserve"> </w:t>
      </w:r>
      <w:r>
        <w:rPr>
          <w:color w:val="231F20"/>
          <w:sz w:val="20"/>
        </w:rPr>
        <w:t>who</w:t>
      </w:r>
      <w:r>
        <w:rPr>
          <w:color w:val="231F20"/>
          <w:spacing w:val="-9"/>
          <w:sz w:val="20"/>
        </w:rPr>
        <w:t xml:space="preserve"> </w:t>
      </w:r>
      <w:r>
        <w:rPr>
          <w:color w:val="231F20"/>
          <w:sz w:val="20"/>
        </w:rPr>
        <w:t>had</w:t>
      </w:r>
      <w:r>
        <w:rPr>
          <w:color w:val="231F20"/>
          <w:spacing w:val="-10"/>
          <w:sz w:val="20"/>
        </w:rPr>
        <w:t xml:space="preserve"> </w:t>
      </w:r>
      <w:r>
        <w:rPr>
          <w:color w:val="231F20"/>
          <w:sz w:val="20"/>
        </w:rPr>
        <w:t>experienced</w:t>
      </w:r>
      <w:r>
        <w:rPr>
          <w:color w:val="231F20"/>
          <w:spacing w:val="-9"/>
          <w:sz w:val="20"/>
        </w:rPr>
        <w:t xml:space="preserve"> </w:t>
      </w:r>
      <w:r>
        <w:rPr>
          <w:color w:val="231F20"/>
          <w:sz w:val="20"/>
        </w:rPr>
        <w:t>stalking</w:t>
      </w:r>
      <w:r>
        <w:rPr>
          <w:color w:val="231F20"/>
          <w:spacing w:val="-10"/>
          <w:sz w:val="20"/>
        </w:rPr>
        <w:t xml:space="preserve"> </w:t>
      </w:r>
      <w:r>
        <w:rPr>
          <w:color w:val="231F20"/>
          <w:spacing w:val="-3"/>
          <w:sz w:val="20"/>
        </w:rPr>
        <w:t>told</w:t>
      </w:r>
      <w:r>
        <w:rPr>
          <w:color w:val="231F20"/>
          <w:spacing w:val="-10"/>
          <w:sz w:val="20"/>
        </w:rPr>
        <w:t xml:space="preserve"> </w:t>
      </w:r>
      <w:r>
        <w:rPr>
          <w:color w:val="231F20"/>
          <w:sz w:val="20"/>
        </w:rPr>
        <w:t>us</w:t>
      </w:r>
      <w:r>
        <w:rPr>
          <w:color w:val="231F20"/>
          <w:spacing w:val="-9"/>
          <w:sz w:val="20"/>
        </w:rPr>
        <w:t xml:space="preserve"> </w:t>
      </w:r>
      <w:r>
        <w:rPr>
          <w:color w:val="231F20"/>
          <w:sz w:val="20"/>
        </w:rPr>
        <w:t>that</w:t>
      </w:r>
      <w:r>
        <w:rPr>
          <w:color w:val="231F20"/>
          <w:spacing w:val="-10"/>
          <w:sz w:val="20"/>
        </w:rPr>
        <w:t xml:space="preserve"> </w:t>
      </w:r>
      <w:r>
        <w:rPr>
          <w:color w:val="231F20"/>
          <w:sz w:val="20"/>
        </w:rPr>
        <w:t>they</w:t>
      </w:r>
      <w:r>
        <w:rPr>
          <w:color w:val="231F20"/>
          <w:spacing w:val="-9"/>
          <w:sz w:val="20"/>
        </w:rPr>
        <w:t xml:space="preserve"> </w:t>
      </w:r>
      <w:r>
        <w:rPr>
          <w:color w:val="231F20"/>
          <w:sz w:val="20"/>
        </w:rPr>
        <w:t>chose</w:t>
      </w:r>
      <w:r>
        <w:rPr>
          <w:color w:val="231F20"/>
          <w:spacing w:val="-10"/>
          <w:sz w:val="20"/>
        </w:rPr>
        <w:t xml:space="preserve"> </w:t>
      </w:r>
      <w:r>
        <w:rPr>
          <w:color w:val="231F20"/>
          <w:sz w:val="20"/>
        </w:rPr>
        <w:t>to</w:t>
      </w:r>
      <w:r>
        <w:rPr>
          <w:color w:val="231F20"/>
          <w:spacing w:val="-10"/>
          <w:sz w:val="20"/>
        </w:rPr>
        <w:t xml:space="preserve"> </w:t>
      </w:r>
      <w:r>
        <w:rPr>
          <w:color w:val="231F20"/>
          <w:sz w:val="20"/>
        </w:rPr>
        <w:t>tell</w:t>
      </w:r>
      <w:r>
        <w:rPr>
          <w:color w:val="231F20"/>
          <w:spacing w:val="-9"/>
          <w:sz w:val="20"/>
        </w:rPr>
        <w:t xml:space="preserve"> </w:t>
      </w:r>
      <w:r>
        <w:rPr>
          <w:color w:val="231F20"/>
          <w:sz w:val="20"/>
        </w:rPr>
        <w:t>a</w:t>
      </w:r>
      <w:r>
        <w:rPr>
          <w:color w:val="231F20"/>
          <w:spacing w:val="-10"/>
          <w:sz w:val="20"/>
        </w:rPr>
        <w:t xml:space="preserve"> </w:t>
      </w:r>
      <w:r>
        <w:rPr>
          <w:color w:val="231F20"/>
          <w:sz w:val="20"/>
        </w:rPr>
        <w:t>friend</w:t>
      </w:r>
      <w:r>
        <w:rPr>
          <w:color w:val="231F20"/>
          <w:spacing w:val="-9"/>
          <w:sz w:val="20"/>
        </w:rPr>
        <w:t xml:space="preserve"> </w:t>
      </w:r>
      <w:r>
        <w:rPr>
          <w:color w:val="231F20"/>
          <w:sz w:val="20"/>
        </w:rPr>
        <w:t xml:space="preserve">or </w:t>
      </w:r>
      <w:r>
        <w:rPr>
          <w:color w:val="231F20"/>
          <w:spacing w:val="-3"/>
          <w:sz w:val="20"/>
        </w:rPr>
        <w:t xml:space="preserve">family </w:t>
      </w:r>
      <w:r>
        <w:rPr>
          <w:color w:val="231F20"/>
          <w:sz w:val="20"/>
        </w:rPr>
        <w:t xml:space="preserve">member </w:t>
      </w:r>
      <w:r>
        <w:rPr>
          <w:color w:val="231F20"/>
          <w:spacing w:val="-3"/>
          <w:sz w:val="20"/>
        </w:rPr>
        <w:t xml:space="preserve">before </w:t>
      </w:r>
      <w:r>
        <w:rPr>
          <w:color w:val="231F20"/>
          <w:sz w:val="20"/>
        </w:rPr>
        <w:t xml:space="preserve">approaching </w:t>
      </w:r>
      <w:r>
        <w:rPr>
          <w:color w:val="231F20"/>
          <w:spacing w:val="-3"/>
          <w:sz w:val="20"/>
        </w:rPr>
        <w:t xml:space="preserve">anyone </w:t>
      </w:r>
      <w:r>
        <w:rPr>
          <w:color w:val="231F20"/>
          <w:sz w:val="20"/>
        </w:rPr>
        <w:t xml:space="preserve">else </w:t>
      </w:r>
      <w:r>
        <w:rPr>
          <w:color w:val="231F20"/>
          <w:spacing w:val="-3"/>
          <w:sz w:val="20"/>
        </w:rPr>
        <w:t xml:space="preserve">for </w:t>
      </w:r>
      <w:r>
        <w:rPr>
          <w:color w:val="231F20"/>
          <w:sz w:val="20"/>
        </w:rPr>
        <w:t>help.</w:t>
      </w:r>
      <w:r>
        <w:rPr>
          <w:color w:val="231F20"/>
          <w:position w:val="7"/>
          <w:sz w:val="11"/>
        </w:rPr>
        <w:t xml:space="preserve">55 </w:t>
      </w:r>
      <w:r>
        <w:rPr>
          <w:color w:val="231F20"/>
          <w:sz w:val="20"/>
        </w:rPr>
        <w:t xml:space="preserve">While most friends and </w:t>
      </w:r>
      <w:r>
        <w:rPr>
          <w:color w:val="231F20"/>
          <w:spacing w:val="-3"/>
          <w:sz w:val="20"/>
        </w:rPr>
        <w:t>family</w:t>
      </w:r>
      <w:r>
        <w:rPr>
          <w:color w:val="231F20"/>
          <w:spacing w:val="-6"/>
          <w:sz w:val="20"/>
        </w:rPr>
        <w:t xml:space="preserve"> </w:t>
      </w:r>
      <w:r>
        <w:rPr>
          <w:color w:val="231F20"/>
          <w:sz w:val="20"/>
        </w:rPr>
        <w:t>responded</w:t>
      </w:r>
      <w:r>
        <w:rPr>
          <w:color w:val="231F20"/>
          <w:spacing w:val="-6"/>
          <w:sz w:val="20"/>
        </w:rPr>
        <w:t xml:space="preserve"> </w:t>
      </w:r>
      <w:r>
        <w:rPr>
          <w:color w:val="231F20"/>
          <w:spacing w:val="-4"/>
          <w:sz w:val="20"/>
        </w:rPr>
        <w:t>positively,</w:t>
      </w:r>
      <w:r>
        <w:rPr>
          <w:color w:val="231F20"/>
          <w:spacing w:val="-6"/>
          <w:sz w:val="20"/>
        </w:rPr>
        <w:t xml:space="preserve"> </w:t>
      </w:r>
      <w:r>
        <w:rPr>
          <w:color w:val="231F20"/>
          <w:sz w:val="20"/>
        </w:rPr>
        <w:t>there</w:t>
      </w:r>
      <w:r>
        <w:rPr>
          <w:color w:val="231F20"/>
          <w:spacing w:val="-6"/>
          <w:sz w:val="20"/>
        </w:rPr>
        <w:t xml:space="preserve"> </w:t>
      </w:r>
      <w:r>
        <w:rPr>
          <w:color w:val="231F20"/>
          <w:spacing w:val="-4"/>
          <w:sz w:val="20"/>
        </w:rPr>
        <w:t>were</w:t>
      </w:r>
      <w:r>
        <w:rPr>
          <w:color w:val="231F20"/>
          <w:spacing w:val="-6"/>
          <w:sz w:val="20"/>
        </w:rPr>
        <w:t xml:space="preserve"> </w:t>
      </w:r>
      <w:r>
        <w:rPr>
          <w:color w:val="231F20"/>
          <w:sz w:val="20"/>
        </w:rPr>
        <w:t>also</w:t>
      </w:r>
      <w:r>
        <w:rPr>
          <w:color w:val="231F20"/>
          <w:spacing w:val="-5"/>
          <w:sz w:val="20"/>
        </w:rPr>
        <w:t xml:space="preserve"> </w:t>
      </w:r>
      <w:r>
        <w:rPr>
          <w:color w:val="231F20"/>
          <w:spacing w:val="-3"/>
          <w:sz w:val="20"/>
        </w:rPr>
        <w:t>negative</w:t>
      </w:r>
      <w:r>
        <w:rPr>
          <w:color w:val="231F20"/>
          <w:spacing w:val="-6"/>
          <w:sz w:val="20"/>
        </w:rPr>
        <w:t xml:space="preserve"> </w:t>
      </w:r>
      <w:r>
        <w:rPr>
          <w:color w:val="231F20"/>
          <w:sz w:val="20"/>
        </w:rPr>
        <w:t>responses.</w:t>
      </w:r>
      <w:r>
        <w:rPr>
          <w:color w:val="231F20"/>
          <w:spacing w:val="-6"/>
          <w:sz w:val="20"/>
        </w:rPr>
        <w:t xml:space="preserve"> </w:t>
      </w:r>
      <w:r>
        <w:rPr>
          <w:color w:val="231F20"/>
          <w:sz w:val="20"/>
        </w:rPr>
        <w:t>One</w:t>
      </w:r>
      <w:r>
        <w:rPr>
          <w:color w:val="231F20"/>
          <w:spacing w:val="-6"/>
          <w:sz w:val="20"/>
        </w:rPr>
        <w:t xml:space="preserve"> </w:t>
      </w:r>
      <w:r>
        <w:rPr>
          <w:color w:val="231F20"/>
          <w:sz w:val="20"/>
        </w:rPr>
        <w:t>person</w:t>
      </w:r>
      <w:r>
        <w:rPr>
          <w:color w:val="231F20"/>
          <w:spacing w:val="-6"/>
          <w:sz w:val="20"/>
        </w:rPr>
        <w:t xml:space="preserve"> </w:t>
      </w:r>
      <w:r>
        <w:rPr>
          <w:color w:val="231F20"/>
          <w:spacing w:val="-3"/>
          <w:sz w:val="20"/>
        </w:rPr>
        <w:t>told</w:t>
      </w:r>
      <w:r>
        <w:rPr>
          <w:color w:val="231F20"/>
          <w:spacing w:val="-6"/>
          <w:sz w:val="20"/>
        </w:rPr>
        <w:t xml:space="preserve"> </w:t>
      </w:r>
      <w:r>
        <w:rPr>
          <w:color w:val="231F20"/>
          <w:sz w:val="20"/>
        </w:rPr>
        <w:t>us about</w:t>
      </w:r>
      <w:r>
        <w:rPr>
          <w:color w:val="231F20"/>
          <w:spacing w:val="-6"/>
          <w:sz w:val="20"/>
        </w:rPr>
        <w:t xml:space="preserve"> </w:t>
      </w:r>
      <w:r>
        <w:rPr>
          <w:color w:val="231F20"/>
          <w:sz w:val="20"/>
        </w:rPr>
        <w:t>her</w:t>
      </w:r>
      <w:r>
        <w:rPr>
          <w:color w:val="231F20"/>
          <w:spacing w:val="-6"/>
          <w:sz w:val="20"/>
        </w:rPr>
        <w:t xml:space="preserve"> </w:t>
      </w:r>
      <w:r>
        <w:rPr>
          <w:color w:val="231F20"/>
          <w:sz w:val="20"/>
        </w:rPr>
        <w:t>experience</w:t>
      </w:r>
      <w:r>
        <w:rPr>
          <w:color w:val="231F20"/>
          <w:spacing w:val="-5"/>
          <w:sz w:val="20"/>
        </w:rPr>
        <w:t xml:space="preserve"> </w:t>
      </w:r>
      <w:r>
        <w:rPr>
          <w:color w:val="231F20"/>
          <w:sz w:val="20"/>
        </w:rPr>
        <w:t>disclosing</w:t>
      </w:r>
      <w:r>
        <w:rPr>
          <w:color w:val="231F20"/>
          <w:spacing w:val="-6"/>
          <w:sz w:val="20"/>
        </w:rPr>
        <w:t xml:space="preserve"> </w:t>
      </w:r>
      <w:r>
        <w:rPr>
          <w:color w:val="231F20"/>
          <w:sz w:val="20"/>
        </w:rPr>
        <w:t>her</w:t>
      </w:r>
      <w:r>
        <w:rPr>
          <w:color w:val="231F20"/>
          <w:spacing w:val="-5"/>
          <w:sz w:val="20"/>
        </w:rPr>
        <w:t xml:space="preserve"> </w:t>
      </w:r>
      <w:r>
        <w:rPr>
          <w:color w:val="231F20"/>
          <w:sz w:val="20"/>
        </w:rPr>
        <w:t>experience</w:t>
      </w:r>
      <w:r>
        <w:rPr>
          <w:color w:val="231F20"/>
          <w:spacing w:val="-6"/>
          <w:sz w:val="20"/>
        </w:rPr>
        <w:t xml:space="preserve"> </w:t>
      </w:r>
      <w:r>
        <w:rPr>
          <w:color w:val="231F20"/>
          <w:sz w:val="20"/>
        </w:rPr>
        <w:t>to</w:t>
      </w:r>
      <w:r>
        <w:rPr>
          <w:color w:val="231F20"/>
          <w:spacing w:val="-5"/>
          <w:sz w:val="20"/>
        </w:rPr>
        <w:t xml:space="preserve"> </w:t>
      </w:r>
      <w:r>
        <w:rPr>
          <w:color w:val="231F20"/>
          <w:sz w:val="20"/>
        </w:rPr>
        <w:t>her</w:t>
      </w:r>
      <w:r>
        <w:rPr>
          <w:color w:val="231F20"/>
          <w:spacing w:val="-6"/>
          <w:sz w:val="20"/>
        </w:rPr>
        <w:t xml:space="preserve"> </w:t>
      </w:r>
      <w:r>
        <w:rPr>
          <w:color w:val="231F20"/>
          <w:sz w:val="20"/>
        </w:rPr>
        <w:t>parents:</w:t>
      </w:r>
    </w:p>
    <w:p w14:paraId="5B821D7D" w14:textId="77777777" w:rsidR="00894070" w:rsidRDefault="009F6793">
      <w:pPr>
        <w:pStyle w:val="BodyText"/>
        <w:spacing w:before="9"/>
        <w:rPr>
          <w:sz w:val="23"/>
        </w:rPr>
      </w:pPr>
      <w:r>
        <w:pict w14:anchorId="0663C707">
          <v:shape id="_x0000_s1491" type="#_x0000_t202" style="position:absolute;margin-left:119.3pt;margin-top:18.65pt;width:396.35pt;height:80.1pt;z-index:251543552;mso-wrap-distance-left:0;mso-wrap-distance-right:0;mso-position-horizontal-relative:page" fillcolor="#fee7de" strokecolor="#ea5b50" strokeweight=".5pt">
            <v:textbox inset="0,0,0,0">
              <w:txbxContent>
                <w:p w14:paraId="6A490993" w14:textId="77777777" w:rsidR="00894070" w:rsidRDefault="00894070">
                  <w:pPr>
                    <w:pStyle w:val="BodyText"/>
                    <w:spacing w:before="3"/>
                    <w:rPr>
                      <w:sz w:val="15"/>
                    </w:rPr>
                  </w:pPr>
                </w:p>
                <w:p w14:paraId="0F014185" w14:textId="77777777" w:rsidR="00894070" w:rsidRDefault="009B7AFD">
                  <w:pPr>
                    <w:pStyle w:val="BodyText"/>
                    <w:spacing w:line="206" w:lineRule="auto"/>
                    <w:ind w:left="221" w:right="280"/>
                    <w:rPr>
                      <w:sz w:val="11"/>
                    </w:rPr>
                  </w:pPr>
                  <w:r>
                    <w:rPr>
                      <w:color w:val="231F20"/>
                    </w:rPr>
                    <w:t>It was like I wasn’t believed, like my word wasn’t enough. I started to try to prove to my parents that it was happening, but they said I should stop stirring the pot. Like I was an attention seeker. It made me feel they were taking their side over mine because they knew this person and he couldn’t possibly be doing the things I’ve said.</w:t>
                  </w:r>
                  <w:r>
                    <w:rPr>
                      <w:color w:val="231F20"/>
                      <w:position w:val="7"/>
                      <w:sz w:val="11"/>
                    </w:rPr>
                    <w:t>56</w:t>
                  </w:r>
                </w:p>
              </w:txbxContent>
            </v:textbox>
            <w10:wrap type="topAndBottom" anchorx="page"/>
          </v:shape>
        </w:pict>
      </w:r>
    </w:p>
    <w:p w14:paraId="29B21AA8" w14:textId="77777777" w:rsidR="00894070" w:rsidRDefault="00894070">
      <w:pPr>
        <w:pStyle w:val="BodyText"/>
        <w:spacing w:before="6"/>
        <w:rPr>
          <w:sz w:val="19"/>
        </w:rPr>
      </w:pPr>
    </w:p>
    <w:p w14:paraId="30B55521" w14:textId="77777777" w:rsidR="00894070" w:rsidRDefault="009B7AFD">
      <w:pPr>
        <w:pStyle w:val="ListParagraph"/>
        <w:numPr>
          <w:ilvl w:val="1"/>
          <w:numId w:val="177"/>
        </w:numPr>
        <w:tabs>
          <w:tab w:val="left" w:pos="1801"/>
          <w:tab w:val="left" w:pos="1802"/>
        </w:tabs>
        <w:spacing w:before="57"/>
        <w:rPr>
          <w:sz w:val="20"/>
        </w:rPr>
      </w:pPr>
      <w:r>
        <w:rPr>
          <w:color w:val="231F20"/>
          <w:spacing w:val="-3"/>
          <w:sz w:val="20"/>
        </w:rPr>
        <w:t xml:space="preserve">Advocacy </w:t>
      </w:r>
      <w:r>
        <w:rPr>
          <w:color w:val="231F20"/>
          <w:sz w:val="20"/>
        </w:rPr>
        <w:t xml:space="preserve">and peak groups </w:t>
      </w:r>
      <w:r>
        <w:rPr>
          <w:color w:val="231F20"/>
          <w:spacing w:val="-3"/>
          <w:sz w:val="20"/>
        </w:rPr>
        <w:t xml:space="preserve">for </w:t>
      </w:r>
      <w:r>
        <w:rPr>
          <w:color w:val="231F20"/>
          <w:sz w:val="20"/>
        </w:rPr>
        <w:t>young people</w:t>
      </w:r>
      <w:r>
        <w:rPr>
          <w:color w:val="231F20"/>
          <w:spacing w:val="-25"/>
          <w:sz w:val="20"/>
        </w:rPr>
        <w:t xml:space="preserve"> </w:t>
      </w:r>
      <w:r>
        <w:rPr>
          <w:color w:val="231F20"/>
          <w:sz w:val="20"/>
        </w:rPr>
        <w:t>said:</w:t>
      </w:r>
    </w:p>
    <w:p w14:paraId="378FB25F" w14:textId="77777777" w:rsidR="00894070" w:rsidRDefault="009B7AFD">
      <w:pPr>
        <w:spacing w:before="112" w:line="208" w:lineRule="auto"/>
        <w:ind w:left="2254" w:right="1297"/>
        <w:jc w:val="both"/>
        <w:rPr>
          <w:sz w:val="11"/>
        </w:rPr>
      </w:pPr>
      <w:r>
        <w:rPr>
          <w:color w:val="231F20"/>
          <w:sz w:val="19"/>
        </w:rPr>
        <w:t>[an]</w:t>
      </w:r>
      <w:r>
        <w:rPr>
          <w:color w:val="231F20"/>
          <w:spacing w:val="-5"/>
          <w:sz w:val="19"/>
        </w:rPr>
        <w:t xml:space="preserve"> </w:t>
      </w:r>
      <w:r>
        <w:rPr>
          <w:color w:val="231F20"/>
          <w:sz w:val="19"/>
        </w:rPr>
        <w:t>underlying</w:t>
      </w:r>
      <w:r>
        <w:rPr>
          <w:color w:val="231F20"/>
          <w:spacing w:val="-4"/>
          <w:sz w:val="19"/>
        </w:rPr>
        <w:t xml:space="preserve"> </w:t>
      </w:r>
      <w:r>
        <w:rPr>
          <w:color w:val="231F20"/>
          <w:sz w:val="19"/>
        </w:rPr>
        <w:t>theme</w:t>
      </w:r>
      <w:r>
        <w:rPr>
          <w:color w:val="231F20"/>
          <w:spacing w:val="-4"/>
          <w:sz w:val="19"/>
        </w:rPr>
        <w:t xml:space="preserve"> </w:t>
      </w:r>
      <w:r>
        <w:rPr>
          <w:color w:val="231F20"/>
          <w:sz w:val="19"/>
        </w:rPr>
        <w:t>for</w:t>
      </w:r>
      <w:r>
        <w:rPr>
          <w:color w:val="231F20"/>
          <w:spacing w:val="-5"/>
          <w:sz w:val="19"/>
        </w:rPr>
        <w:t xml:space="preserve"> </w:t>
      </w:r>
      <w:r>
        <w:rPr>
          <w:color w:val="231F20"/>
          <w:sz w:val="19"/>
        </w:rPr>
        <w:t>young</w:t>
      </w:r>
      <w:r>
        <w:rPr>
          <w:color w:val="231F20"/>
          <w:spacing w:val="-4"/>
          <w:sz w:val="19"/>
        </w:rPr>
        <w:t xml:space="preserve"> </w:t>
      </w:r>
      <w:r>
        <w:rPr>
          <w:color w:val="231F20"/>
          <w:sz w:val="19"/>
        </w:rPr>
        <w:t>people</w:t>
      </w:r>
      <w:r>
        <w:rPr>
          <w:color w:val="231F20"/>
          <w:spacing w:val="-4"/>
          <w:sz w:val="19"/>
        </w:rPr>
        <w:t xml:space="preserve"> </w:t>
      </w:r>
      <w:r>
        <w:rPr>
          <w:color w:val="231F20"/>
          <w:sz w:val="19"/>
        </w:rPr>
        <w:t>experiencing</w:t>
      </w:r>
      <w:r>
        <w:rPr>
          <w:color w:val="231F20"/>
          <w:spacing w:val="-4"/>
          <w:sz w:val="19"/>
        </w:rPr>
        <w:t xml:space="preserve"> </w:t>
      </w:r>
      <w:r>
        <w:rPr>
          <w:color w:val="231F20"/>
          <w:sz w:val="19"/>
        </w:rPr>
        <w:t>stalking,</w:t>
      </w:r>
      <w:r>
        <w:rPr>
          <w:color w:val="231F20"/>
          <w:spacing w:val="-5"/>
          <w:sz w:val="19"/>
        </w:rPr>
        <w:t xml:space="preserve"> </w:t>
      </w:r>
      <w:r>
        <w:rPr>
          <w:color w:val="231F20"/>
          <w:sz w:val="19"/>
        </w:rPr>
        <w:t>particularly</w:t>
      </w:r>
      <w:r>
        <w:rPr>
          <w:color w:val="231F20"/>
          <w:spacing w:val="-4"/>
          <w:sz w:val="19"/>
        </w:rPr>
        <w:t xml:space="preserve"> </w:t>
      </w:r>
      <w:r>
        <w:rPr>
          <w:color w:val="231F20"/>
          <w:sz w:val="19"/>
        </w:rPr>
        <w:t>when</w:t>
      </w:r>
      <w:r>
        <w:rPr>
          <w:color w:val="231F20"/>
          <w:spacing w:val="-4"/>
          <w:sz w:val="19"/>
        </w:rPr>
        <w:t xml:space="preserve"> </w:t>
      </w:r>
      <w:r>
        <w:rPr>
          <w:color w:val="231F20"/>
          <w:sz w:val="19"/>
        </w:rPr>
        <w:t>it</w:t>
      </w:r>
      <w:r>
        <w:rPr>
          <w:color w:val="231F20"/>
          <w:spacing w:val="-5"/>
          <w:sz w:val="19"/>
        </w:rPr>
        <w:t xml:space="preserve"> </w:t>
      </w:r>
      <w:r>
        <w:rPr>
          <w:color w:val="231F20"/>
          <w:sz w:val="19"/>
        </w:rPr>
        <w:t>is online, is that some families struggle to understand what is going on and undermine what is really happening and the implications of</w:t>
      </w:r>
      <w:r>
        <w:rPr>
          <w:color w:val="231F20"/>
          <w:spacing w:val="-17"/>
          <w:sz w:val="19"/>
        </w:rPr>
        <w:t xml:space="preserve"> </w:t>
      </w:r>
      <w:r>
        <w:rPr>
          <w:color w:val="231F20"/>
          <w:sz w:val="19"/>
        </w:rPr>
        <w:t>it.</w:t>
      </w:r>
      <w:r>
        <w:rPr>
          <w:color w:val="231F20"/>
          <w:position w:val="6"/>
          <w:sz w:val="11"/>
        </w:rPr>
        <w:t>57</w:t>
      </w:r>
    </w:p>
    <w:p w14:paraId="1EBAC91F" w14:textId="77777777" w:rsidR="00894070" w:rsidRDefault="009B7AFD">
      <w:pPr>
        <w:pStyle w:val="ListParagraph"/>
        <w:numPr>
          <w:ilvl w:val="1"/>
          <w:numId w:val="177"/>
        </w:numPr>
        <w:tabs>
          <w:tab w:val="left" w:pos="1801"/>
          <w:tab w:val="left" w:pos="1802"/>
        </w:tabs>
        <w:spacing w:before="124" w:line="206" w:lineRule="auto"/>
        <w:ind w:right="1662"/>
        <w:rPr>
          <w:sz w:val="20"/>
        </w:rPr>
      </w:pPr>
      <w:r>
        <w:rPr>
          <w:color w:val="231F20"/>
          <w:sz w:val="20"/>
        </w:rPr>
        <w:t xml:space="preserve">It is important that friends and </w:t>
      </w:r>
      <w:r>
        <w:rPr>
          <w:color w:val="231F20"/>
          <w:spacing w:val="-3"/>
          <w:sz w:val="20"/>
        </w:rPr>
        <w:t xml:space="preserve">family </w:t>
      </w:r>
      <w:r>
        <w:rPr>
          <w:color w:val="231F20"/>
          <w:sz w:val="20"/>
        </w:rPr>
        <w:t xml:space="preserve">members </w:t>
      </w:r>
      <w:r>
        <w:rPr>
          <w:color w:val="231F20"/>
          <w:spacing w:val="-3"/>
          <w:sz w:val="20"/>
        </w:rPr>
        <w:t xml:space="preserve">know how </w:t>
      </w:r>
      <w:r>
        <w:rPr>
          <w:color w:val="231F20"/>
          <w:sz w:val="20"/>
        </w:rPr>
        <w:t>to identify stalking and where</w:t>
      </w:r>
      <w:r>
        <w:rPr>
          <w:color w:val="231F20"/>
          <w:spacing w:val="-9"/>
          <w:sz w:val="20"/>
        </w:rPr>
        <w:t xml:space="preserve"> </w:t>
      </w:r>
      <w:r>
        <w:rPr>
          <w:color w:val="231F20"/>
          <w:sz w:val="20"/>
        </w:rPr>
        <w:t>people</w:t>
      </w:r>
      <w:r>
        <w:rPr>
          <w:color w:val="231F20"/>
          <w:spacing w:val="-9"/>
          <w:sz w:val="20"/>
        </w:rPr>
        <w:t xml:space="preserve"> </w:t>
      </w:r>
      <w:r>
        <w:rPr>
          <w:color w:val="231F20"/>
          <w:sz w:val="20"/>
        </w:rPr>
        <w:t>can</w:t>
      </w:r>
      <w:r>
        <w:rPr>
          <w:color w:val="231F20"/>
          <w:spacing w:val="-9"/>
          <w:sz w:val="20"/>
        </w:rPr>
        <w:t xml:space="preserve"> </w:t>
      </w:r>
      <w:r>
        <w:rPr>
          <w:color w:val="231F20"/>
          <w:sz w:val="20"/>
        </w:rPr>
        <w:t>get</w:t>
      </w:r>
      <w:r>
        <w:rPr>
          <w:color w:val="231F20"/>
          <w:spacing w:val="-9"/>
          <w:sz w:val="20"/>
        </w:rPr>
        <w:t xml:space="preserve"> </w:t>
      </w:r>
      <w:r>
        <w:rPr>
          <w:color w:val="231F20"/>
          <w:sz w:val="20"/>
        </w:rPr>
        <w:t>help,</w:t>
      </w:r>
      <w:r>
        <w:rPr>
          <w:color w:val="231F20"/>
          <w:spacing w:val="-9"/>
          <w:sz w:val="20"/>
        </w:rPr>
        <w:t xml:space="preserve"> </w:t>
      </w:r>
      <w:r>
        <w:rPr>
          <w:color w:val="231F20"/>
          <w:sz w:val="20"/>
        </w:rPr>
        <w:t>and</w:t>
      </w:r>
      <w:r>
        <w:rPr>
          <w:color w:val="231F20"/>
          <w:spacing w:val="-9"/>
          <w:sz w:val="20"/>
        </w:rPr>
        <w:t xml:space="preserve"> </w:t>
      </w:r>
      <w:r>
        <w:rPr>
          <w:color w:val="231F20"/>
          <w:sz w:val="20"/>
        </w:rPr>
        <w:t>that</w:t>
      </w:r>
      <w:r>
        <w:rPr>
          <w:color w:val="231F20"/>
          <w:spacing w:val="-9"/>
          <w:sz w:val="20"/>
        </w:rPr>
        <w:t xml:space="preserve"> </w:t>
      </w:r>
      <w:r>
        <w:rPr>
          <w:color w:val="231F20"/>
          <w:sz w:val="20"/>
        </w:rPr>
        <w:t>publicly</w:t>
      </w:r>
      <w:r>
        <w:rPr>
          <w:color w:val="231F20"/>
          <w:spacing w:val="-9"/>
          <w:sz w:val="20"/>
        </w:rPr>
        <w:t xml:space="preserve"> </w:t>
      </w:r>
      <w:r>
        <w:rPr>
          <w:color w:val="231F20"/>
          <w:sz w:val="20"/>
        </w:rPr>
        <w:t>available</w:t>
      </w:r>
      <w:r>
        <w:rPr>
          <w:color w:val="231F20"/>
          <w:spacing w:val="-8"/>
          <w:sz w:val="20"/>
        </w:rPr>
        <w:t xml:space="preserve"> </w:t>
      </w:r>
      <w:r>
        <w:rPr>
          <w:color w:val="231F20"/>
          <w:spacing w:val="-3"/>
          <w:sz w:val="20"/>
        </w:rPr>
        <w:t>information</w:t>
      </w:r>
      <w:r>
        <w:rPr>
          <w:color w:val="231F20"/>
          <w:spacing w:val="-9"/>
          <w:sz w:val="20"/>
        </w:rPr>
        <w:t xml:space="preserve"> </w:t>
      </w:r>
      <w:r>
        <w:rPr>
          <w:color w:val="231F20"/>
          <w:sz w:val="20"/>
        </w:rPr>
        <w:t>is</w:t>
      </w:r>
      <w:r>
        <w:rPr>
          <w:color w:val="231F20"/>
          <w:spacing w:val="-9"/>
          <w:sz w:val="20"/>
        </w:rPr>
        <w:t xml:space="preserve"> </w:t>
      </w:r>
      <w:r>
        <w:rPr>
          <w:color w:val="231F20"/>
          <w:spacing w:val="-3"/>
          <w:sz w:val="20"/>
        </w:rPr>
        <w:t>accurate</w:t>
      </w:r>
      <w:r>
        <w:rPr>
          <w:color w:val="231F20"/>
          <w:spacing w:val="-9"/>
          <w:sz w:val="20"/>
        </w:rPr>
        <w:t xml:space="preserve"> </w:t>
      </w:r>
      <w:r>
        <w:rPr>
          <w:color w:val="231F20"/>
          <w:sz w:val="20"/>
        </w:rPr>
        <w:t xml:space="preserve">and </w:t>
      </w:r>
      <w:r>
        <w:rPr>
          <w:color w:val="231F20"/>
          <w:spacing w:val="-3"/>
          <w:sz w:val="20"/>
        </w:rPr>
        <w:t>comprehensive.</w:t>
      </w:r>
    </w:p>
    <w:p w14:paraId="7EC25F3C" w14:textId="77777777" w:rsidR="00894070" w:rsidRDefault="009B7AFD">
      <w:pPr>
        <w:pStyle w:val="ListParagraph"/>
        <w:numPr>
          <w:ilvl w:val="1"/>
          <w:numId w:val="177"/>
        </w:numPr>
        <w:tabs>
          <w:tab w:val="left" w:pos="1801"/>
          <w:tab w:val="left" w:pos="1802"/>
        </w:tabs>
        <w:spacing w:before="124" w:line="206" w:lineRule="auto"/>
        <w:ind w:right="1212"/>
        <w:rPr>
          <w:sz w:val="11"/>
        </w:rPr>
      </w:pPr>
      <w:r>
        <w:rPr>
          <w:color w:val="231F20"/>
          <w:sz w:val="20"/>
        </w:rPr>
        <w:t xml:space="preserve">If friends and </w:t>
      </w:r>
      <w:r>
        <w:rPr>
          <w:color w:val="231F20"/>
          <w:spacing w:val="-3"/>
          <w:sz w:val="20"/>
        </w:rPr>
        <w:t xml:space="preserve">family </w:t>
      </w:r>
      <w:r>
        <w:rPr>
          <w:color w:val="231F20"/>
          <w:sz w:val="20"/>
        </w:rPr>
        <w:t xml:space="preserve">members do not respond </w:t>
      </w:r>
      <w:r>
        <w:rPr>
          <w:color w:val="231F20"/>
          <w:spacing w:val="-3"/>
          <w:sz w:val="20"/>
        </w:rPr>
        <w:t xml:space="preserve">positively </w:t>
      </w:r>
      <w:r>
        <w:rPr>
          <w:color w:val="231F20"/>
          <w:sz w:val="20"/>
        </w:rPr>
        <w:t xml:space="preserve">or </w:t>
      </w:r>
      <w:r>
        <w:rPr>
          <w:color w:val="231F20"/>
          <w:spacing w:val="-3"/>
          <w:sz w:val="20"/>
        </w:rPr>
        <w:t xml:space="preserve">know how </w:t>
      </w:r>
      <w:r>
        <w:rPr>
          <w:color w:val="231F20"/>
          <w:sz w:val="20"/>
        </w:rPr>
        <w:t xml:space="preserve">to help </w:t>
      </w:r>
      <w:r>
        <w:rPr>
          <w:color w:val="231F20"/>
          <w:spacing w:val="-3"/>
          <w:sz w:val="20"/>
        </w:rPr>
        <w:t xml:space="preserve">children </w:t>
      </w:r>
      <w:r>
        <w:rPr>
          <w:color w:val="231F20"/>
          <w:sz w:val="20"/>
        </w:rPr>
        <w:t>or</w:t>
      </w:r>
      <w:r>
        <w:rPr>
          <w:color w:val="231F20"/>
          <w:spacing w:val="-11"/>
          <w:sz w:val="20"/>
        </w:rPr>
        <w:t xml:space="preserve"> </w:t>
      </w:r>
      <w:r>
        <w:rPr>
          <w:color w:val="231F20"/>
          <w:sz w:val="20"/>
        </w:rPr>
        <w:t>young</w:t>
      </w:r>
      <w:r>
        <w:rPr>
          <w:color w:val="231F20"/>
          <w:spacing w:val="-10"/>
          <w:sz w:val="20"/>
        </w:rPr>
        <w:t xml:space="preserve"> </w:t>
      </w:r>
      <w:r>
        <w:rPr>
          <w:color w:val="231F20"/>
          <w:sz w:val="20"/>
        </w:rPr>
        <w:t>people</w:t>
      </w:r>
      <w:r>
        <w:rPr>
          <w:color w:val="231F20"/>
          <w:spacing w:val="-10"/>
          <w:sz w:val="20"/>
        </w:rPr>
        <w:t xml:space="preserve"> </w:t>
      </w:r>
      <w:r>
        <w:rPr>
          <w:color w:val="231F20"/>
          <w:sz w:val="20"/>
        </w:rPr>
        <w:t>who</w:t>
      </w:r>
      <w:r>
        <w:rPr>
          <w:color w:val="231F20"/>
          <w:spacing w:val="-10"/>
          <w:sz w:val="20"/>
        </w:rPr>
        <w:t xml:space="preserve"> </w:t>
      </w:r>
      <w:r>
        <w:rPr>
          <w:color w:val="231F20"/>
          <w:sz w:val="20"/>
        </w:rPr>
        <w:t>report</w:t>
      </w:r>
      <w:r>
        <w:rPr>
          <w:color w:val="231F20"/>
          <w:spacing w:val="-10"/>
          <w:sz w:val="20"/>
        </w:rPr>
        <w:t xml:space="preserve"> </w:t>
      </w:r>
      <w:r>
        <w:rPr>
          <w:color w:val="231F20"/>
          <w:sz w:val="20"/>
        </w:rPr>
        <w:t>stalking,</w:t>
      </w:r>
      <w:r>
        <w:rPr>
          <w:color w:val="231F20"/>
          <w:spacing w:val="-10"/>
          <w:sz w:val="20"/>
        </w:rPr>
        <w:t xml:space="preserve"> </w:t>
      </w:r>
      <w:r>
        <w:rPr>
          <w:color w:val="231F20"/>
          <w:sz w:val="20"/>
        </w:rPr>
        <w:t>this</w:t>
      </w:r>
      <w:r>
        <w:rPr>
          <w:color w:val="231F20"/>
          <w:spacing w:val="-10"/>
          <w:sz w:val="20"/>
        </w:rPr>
        <w:t xml:space="preserve"> </w:t>
      </w:r>
      <w:r>
        <w:rPr>
          <w:color w:val="231F20"/>
          <w:sz w:val="20"/>
        </w:rPr>
        <w:t>can</w:t>
      </w:r>
      <w:r>
        <w:rPr>
          <w:color w:val="231F20"/>
          <w:spacing w:val="-10"/>
          <w:sz w:val="20"/>
        </w:rPr>
        <w:t xml:space="preserve"> </w:t>
      </w:r>
      <w:r>
        <w:rPr>
          <w:color w:val="231F20"/>
          <w:sz w:val="20"/>
        </w:rPr>
        <w:t>place</w:t>
      </w:r>
      <w:r>
        <w:rPr>
          <w:color w:val="231F20"/>
          <w:spacing w:val="-10"/>
          <w:sz w:val="20"/>
        </w:rPr>
        <w:t xml:space="preserve"> </w:t>
      </w:r>
      <w:r>
        <w:rPr>
          <w:color w:val="231F20"/>
          <w:sz w:val="20"/>
        </w:rPr>
        <w:t>too</w:t>
      </w:r>
      <w:r>
        <w:rPr>
          <w:color w:val="231F20"/>
          <w:spacing w:val="-10"/>
          <w:sz w:val="20"/>
        </w:rPr>
        <w:t xml:space="preserve"> </w:t>
      </w:r>
      <w:r>
        <w:rPr>
          <w:color w:val="231F20"/>
          <w:sz w:val="20"/>
        </w:rPr>
        <w:t>much</w:t>
      </w:r>
      <w:r>
        <w:rPr>
          <w:color w:val="231F20"/>
          <w:spacing w:val="-10"/>
          <w:sz w:val="20"/>
        </w:rPr>
        <w:t xml:space="preserve"> </w:t>
      </w:r>
      <w:r>
        <w:rPr>
          <w:color w:val="231F20"/>
          <w:sz w:val="20"/>
        </w:rPr>
        <w:t>reliance</w:t>
      </w:r>
      <w:r>
        <w:rPr>
          <w:color w:val="231F20"/>
          <w:spacing w:val="-10"/>
          <w:sz w:val="20"/>
        </w:rPr>
        <w:t xml:space="preserve"> </w:t>
      </w:r>
      <w:r>
        <w:rPr>
          <w:color w:val="231F20"/>
          <w:sz w:val="20"/>
        </w:rPr>
        <w:t>on</w:t>
      </w:r>
      <w:r>
        <w:rPr>
          <w:color w:val="231F20"/>
          <w:spacing w:val="-10"/>
          <w:sz w:val="20"/>
        </w:rPr>
        <w:t xml:space="preserve"> </w:t>
      </w:r>
      <w:r>
        <w:rPr>
          <w:color w:val="231F20"/>
          <w:sz w:val="20"/>
        </w:rPr>
        <w:t>teachers</w:t>
      </w:r>
      <w:r>
        <w:rPr>
          <w:color w:val="231F20"/>
          <w:spacing w:val="-10"/>
          <w:sz w:val="20"/>
        </w:rPr>
        <w:t xml:space="preserve"> </w:t>
      </w:r>
      <w:r>
        <w:rPr>
          <w:color w:val="231F20"/>
          <w:sz w:val="20"/>
        </w:rPr>
        <w:t>and schools.</w:t>
      </w:r>
      <w:r>
        <w:rPr>
          <w:color w:val="231F20"/>
          <w:position w:val="7"/>
          <w:sz w:val="11"/>
        </w:rPr>
        <w:t xml:space="preserve">58 </w:t>
      </w:r>
      <w:r>
        <w:rPr>
          <w:color w:val="231F20"/>
          <w:spacing w:val="-2"/>
          <w:sz w:val="20"/>
        </w:rPr>
        <w:t xml:space="preserve">Everybody </w:t>
      </w:r>
      <w:r>
        <w:rPr>
          <w:color w:val="231F20"/>
          <w:sz w:val="20"/>
        </w:rPr>
        <w:t xml:space="preserve">in the community should </w:t>
      </w:r>
      <w:r>
        <w:rPr>
          <w:color w:val="231F20"/>
          <w:spacing w:val="-3"/>
          <w:sz w:val="20"/>
        </w:rPr>
        <w:t xml:space="preserve">know </w:t>
      </w:r>
      <w:r>
        <w:rPr>
          <w:color w:val="231F20"/>
          <w:sz w:val="20"/>
        </w:rPr>
        <w:t xml:space="preserve">what stalking </w:t>
      </w:r>
      <w:r>
        <w:rPr>
          <w:color w:val="231F20"/>
          <w:spacing w:val="-4"/>
          <w:sz w:val="20"/>
        </w:rPr>
        <w:t xml:space="preserve">involves </w:t>
      </w:r>
      <w:r>
        <w:rPr>
          <w:color w:val="231F20"/>
          <w:sz w:val="20"/>
        </w:rPr>
        <w:t>and where someone</w:t>
      </w:r>
      <w:r>
        <w:rPr>
          <w:color w:val="231F20"/>
          <w:spacing w:val="-6"/>
          <w:sz w:val="20"/>
        </w:rPr>
        <w:t xml:space="preserve"> </w:t>
      </w:r>
      <w:r>
        <w:rPr>
          <w:color w:val="231F20"/>
          <w:sz w:val="20"/>
        </w:rPr>
        <w:t>who</w:t>
      </w:r>
      <w:r>
        <w:rPr>
          <w:color w:val="231F20"/>
          <w:spacing w:val="-6"/>
          <w:sz w:val="20"/>
        </w:rPr>
        <w:t xml:space="preserve"> </w:t>
      </w:r>
      <w:r>
        <w:rPr>
          <w:color w:val="231F20"/>
          <w:sz w:val="20"/>
        </w:rPr>
        <w:t>is</w:t>
      </w:r>
      <w:r>
        <w:rPr>
          <w:color w:val="231F20"/>
          <w:spacing w:val="-6"/>
          <w:sz w:val="20"/>
        </w:rPr>
        <w:t xml:space="preserve"> </w:t>
      </w:r>
      <w:r>
        <w:rPr>
          <w:color w:val="231F20"/>
          <w:sz w:val="20"/>
        </w:rPr>
        <w:t>being</w:t>
      </w:r>
      <w:r>
        <w:rPr>
          <w:color w:val="231F20"/>
          <w:spacing w:val="-6"/>
          <w:sz w:val="20"/>
        </w:rPr>
        <w:t xml:space="preserve"> </w:t>
      </w:r>
      <w:r>
        <w:rPr>
          <w:color w:val="231F20"/>
          <w:sz w:val="20"/>
        </w:rPr>
        <w:t>stalked</w:t>
      </w:r>
      <w:r>
        <w:rPr>
          <w:color w:val="231F20"/>
          <w:spacing w:val="-6"/>
          <w:sz w:val="20"/>
        </w:rPr>
        <w:t xml:space="preserve"> </w:t>
      </w:r>
      <w:r>
        <w:rPr>
          <w:color w:val="231F20"/>
          <w:sz w:val="20"/>
        </w:rPr>
        <w:t>can</w:t>
      </w:r>
      <w:r>
        <w:rPr>
          <w:color w:val="231F20"/>
          <w:spacing w:val="-6"/>
          <w:sz w:val="20"/>
        </w:rPr>
        <w:t xml:space="preserve"> </w:t>
      </w:r>
      <w:r>
        <w:rPr>
          <w:color w:val="231F20"/>
          <w:sz w:val="20"/>
        </w:rPr>
        <w:t>go</w:t>
      </w:r>
      <w:r>
        <w:rPr>
          <w:color w:val="231F20"/>
          <w:spacing w:val="-5"/>
          <w:sz w:val="20"/>
        </w:rPr>
        <w:t xml:space="preserve"> </w:t>
      </w:r>
      <w:r>
        <w:rPr>
          <w:color w:val="231F20"/>
          <w:sz w:val="20"/>
        </w:rPr>
        <w:t>to</w:t>
      </w:r>
      <w:r>
        <w:rPr>
          <w:color w:val="231F20"/>
          <w:spacing w:val="-6"/>
          <w:sz w:val="20"/>
        </w:rPr>
        <w:t xml:space="preserve"> </w:t>
      </w:r>
      <w:r>
        <w:rPr>
          <w:color w:val="231F20"/>
          <w:sz w:val="20"/>
        </w:rPr>
        <w:t>get</w:t>
      </w:r>
      <w:r>
        <w:rPr>
          <w:color w:val="231F20"/>
          <w:spacing w:val="-6"/>
          <w:sz w:val="20"/>
        </w:rPr>
        <w:t xml:space="preserve"> </w:t>
      </w:r>
      <w:r>
        <w:rPr>
          <w:color w:val="231F20"/>
          <w:sz w:val="20"/>
        </w:rPr>
        <w:t>legal</w:t>
      </w:r>
      <w:r>
        <w:rPr>
          <w:color w:val="231F20"/>
          <w:spacing w:val="-6"/>
          <w:sz w:val="20"/>
        </w:rPr>
        <w:t xml:space="preserve"> </w:t>
      </w:r>
      <w:r>
        <w:rPr>
          <w:color w:val="231F20"/>
          <w:sz w:val="20"/>
        </w:rPr>
        <w:t>and</w:t>
      </w:r>
      <w:r>
        <w:rPr>
          <w:color w:val="231F20"/>
          <w:spacing w:val="-6"/>
          <w:sz w:val="20"/>
        </w:rPr>
        <w:t xml:space="preserve"> </w:t>
      </w:r>
      <w:r>
        <w:rPr>
          <w:color w:val="231F20"/>
          <w:sz w:val="20"/>
        </w:rPr>
        <w:t>other</w:t>
      </w:r>
      <w:r>
        <w:rPr>
          <w:color w:val="231F20"/>
          <w:spacing w:val="-6"/>
          <w:sz w:val="20"/>
        </w:rPr>
        <w:t xml:space="preserve"> </w:t>
      </w:r>
      <w:r>
        <w:rPr>
          <w:color w:val="231F20"/>
          <w:sz w:val="20"/>
        </w:rPr>
        <w:t>forms</w:t>
      </w:r>
      <w:r>
        <w:rPr>
          <w:color w:val="231F20"/>
          <w:spacing w:val="-5"/>
          <w:sz w:val="20"/>
        </w:rPr>
        <w:t xml:space="preserve"> </w:t>
      </w:r>
      <w:r>
        <w:rPr>
          <w:color w:val="231F20"/>
          <w:sz w:val="20"/>
        </w:rPr>
        <w:t>of</w:t>
      </w:r>
      <w:r>
        <w:rPr>
          <w:color w:val="231F20"/>
          <w:spacing w:val="-6"/>
          <w:sz w:val="20"/>
        </w:rPr>
        <w:t xml:space="preserve"> </w:t>
      </w:r>
      <w:r>
        <w:rPr>
          <w:color w:val="231F20"/>
          <w:sz w:val="20"/>
        </w:rPr>
        <w:t>support.</w:t>
      </w:r>
      <w:r>
        <w:rPr>
          <w:color w:val="231F20"/>
          <w:position w:val="7"/>
          <w:sz w:val="11"/>
        </w:rPr>
        <w:t>59</w:t>
      </w:r>
    </w:p>
    <w:p w14:paraId="01CC6AC0" w14:textId="77777777" w:rsidR="00894070" w:rsidRDefault="009B7AFD">
      <w:pPr>
        <w:pStyle w:val="Heading9"/>
        <w:spacing w:before="130"/>
        <w:rPr>
          <w:b/>
        </w:rPr>
      </w:pPr>
      <w:r>
        <w:rPr>
          <w:b/>
          <w:color w:val="231F20"/>
        </w:rPr>
        <w:t>Schools and higher education</w:t>
      </w:r>
    </w:p>
    <w:p w14:paraId="1A27F53C" w14:textId="77777777" w:rsidR="00894070" w:rsidRDefault="009B7AFD">
      <w:pPr>
        <w:pStyle w:val="ListParagraph"/>
        <w:numPr>
          <w:ilvl w:val="1"/>
          <w:numId w:val="177"/>
        </w:numPr>
        <w:tabs>
          <w:tab w:val="left" w:pos="1801"/>
          <w:tab w:val="left" w:pos="1802"/>
        </w:tabs>
        <w:spacing w:before="132" w:line="206" w:lineRule="auto"/>
        <w:ind w:right="1266"/>
        <w:rPr>
          <w:sz w:val="11"/>
        </w:rPr>
      </w:pPr>
      <w:r>
        <w:rPr>
          <w:color w:val="231F20"/>
          <w:sz w:val="20"/>
        </w:rPr>
        <w:t xml:space="preserve">Schools and universities </w:t>
      </w:r>
      <w:r>
        <w:rPr>
          <w:color w:val="231F20"/>
          <w:spacing w:val="-3"/>
          <w:sz w:val="20"/>
        </w:rPr>
        <w:t xml:space="preserve">are </w:t>
      </w:r>
      <w:r>
        <w:rPr>
          <w:color w:val="231F20"/>
          <w:sz w:val="20"/>
        </w:rPr>
        <w:t xml:space="preserve">important settings </w:t>
      </w:r>
      <w:r>
        <w:rPr>
          <w:color w:val="231F20"/>
          <w:spacing w:val="-3"/>
          <w:sz w:val="20"/>
        </w:rPr>
        <w:t xml:space="preserve">for </w:t>
      </w:r>
      <w:r>
        <w:rPr>
          <w:color w:val="231F20"/>
          <w:sz w:val="20"/>
        </w:rPr>
        <w:t>education about stalking because of</w:t>
      </w:r>
      <w:r>
        <w:rPr>
          <w:color w:val="231F20"/>
          <w:spacing w:val="-8"/>
          <w:sz w:val="20"/>
        </w:rPr>
        <w:t xml:space="preserve"> </w:t>
      </w:r>
      <w:r>
        <w:rPr>
          <w:color w:val="231F20"/>
          <w:spacing w:val="-3"/>
          <w:sz w:val="20"/>
        </w:rPr>
        <w:t>how</w:t>
      </w:r>
      <w:r>
        <w:rPr>
          <w:color w:val="231F20"/>
          <w:spacing w:val="-8"/>
          <w:sz w:val="20"/>
        </w:rPr>
        <w:t xml:space="preserve"> </w:t>
      </w:r>
      <w:r>
        <w:rPr>
          <w:color w:val="231F20"/>
          <w:sz w:val="20"/>
        </w:rPr>
        <w:t>common</w:t>
      </w:r>
      <w:r>
        <w:rPr>
          <w:color w:val="231F20"/>
          <w:spacing w:val="-8"/>
          <w:sz w:val="20"/>
        </w:rPr>
        <w:t xml:space="preserve"> </w:t>
      </w:r>
      <w:r>
        <w:rPr>
          <w:color w:val="231F20"/>
          <w:sz w:val="20"/>
        </w:rPr>
        <w:t>it</w:t>
      </w:r>
      <w:r>
        <w:rPr>
          <w:color w:val="231F20"/>
          <w:spacing w:val="-8"/>
          <w:sz w:val="20"/>
        </w:rPr>
        <w:t xml:space="preserve"> </w:t>
      </w:r>
      <w:r>
        <w:rPr>
          <w:color w:val="231F20"/>
          <w:sz w:val="20"/>
        </w:rPr>
        <w:t>is</w:t>
      </w:r>
      <w:r>
        <w:rPr>
          <w:color w:val="231F20"/>
          <w:spacing w:val="-7"/>
          <w:sz w:val="20"/>
        </w:rPr>
        <w:t xml:space="preserve"> </w:t>
      </w:r>
      <w:r>
        <w:rPr>
          <w:color w:val="231F20"/>
          <w:sz w:val="20"/>
        </w:rPr>
        <w:t>among</w:t>
      </w:r>
      <w:r>
        <w:rPr>
          <w:color w:val="231F20"/>
          <w:spacing w:val="-8"/>
          <w:sz w:val="20"/>
        </w:rPr>
        <w:t xml:space="preserve"> </w:t>
      </w:r>
      <w:r>
        <w:rPr>
          <w:color w:val="231F20"/>
          <w:sz w:val="20"/>
        </w:rPr>
        <w:t>young</w:t>
      </w:r>
      <w:r>
        <w:rPr>
          <w:color w:val="231F20"/>
          <w:spacing w:val="-8"/>
          <w:sz w:val="20"/>
        </w:rPr>
        <w:t xml:space="preserve"> </w:t>
      </w:r>
      <w:r>
        <w:rPr>
          <w:color w:val="231F20"/>
          <w:sz w:val="20"/>
        </w:rPr>
        <w:t>people</w:t>
      </w:r>
      <w:r>
        <w:rPr>
          <w:color w:val="231F20"/>
          <w:spacing w:val="-8"/>
          <w:sz w:val="20"/>
        </w:rPr>
        <w:t xml:space="preserve"> </w:t>
      </w:r>
      <w:r>
        <w:rPr>
          <w:color w:val="231F20"/>
          <w:sz w:val="20"/>
        </w:rPr>
        <w:t>(see</w:t>
      </w:r>
      <w:r>
        <w:rPr>
          <w:color w:val="231F20"/>
          <w:spacing w:val="-7"/>
          <w:sz w:val="20"/>
        </w:rPr>
        <w:t xml:space="preserve"> </w:t>
      </w:r>
      <w:r>
        <w:rPr>
          <w:color w:val="231F20"/>
          <w:spacing w:val="-3"/>
          <w:sz w:val="20"/>
        </w:rPr>
        <w:t>Chapter</w:t>
      </w:r>
      <w:r>
        <w:rPr>
          <w:color w:val="231F20"/>
          <w:spacing w:val="-8"/>
          <w:sz w:val="20"/>
        </w:rPr>
        <w:t xml:space="preserve"> </w:t>
      </w:r>
      <w:r>
        <w:rPr>
          <w:color w:val="231F20"/>
          <w:sz w:val="20"/>
        </w:rPr>
        <w:t>2)</w:t>
      </w:r>
      <w:r>
        <w:rPr>
          <w:color w:val="231F20"/>
          <w:spacing w:val="-8"/>
          <w:sz w:val="20"/>
        </w:rPr>
        <w:t xml:space="preserve"> </w:t>
      </w:r>
      <w:r>
        <w:rPr>
          <w:color w:val="231F20"/>
          <w:sz w:val="20"/>
        </w:rPr>
        <w:t>and</w:t>
      </w:r>
      <w:r>
        <w:rPr>
          <w:color w:val="231F20"/>
          <w:spacing w:val="-8"/>
          <w:sz w:val="20"/>
        </w:rPr>
        <w:t xml:space="preserve"> </w:t>
      </w:r>
      <w:r>
        <w:rPr>
          <w:color w:val="231F20"/>
          <w:sz w:val="20"/>
        </w:rPr>
        <w:t>its</w:t>
      </w:r>
      <w:r>
        <w:rPr>
          <w:color w:val="231F20"/>
          <w:spacing w:val="-7"/>
          <w:sz w:val="20"/>
        </w:rPr>
        <w:t xml:space="preserve"> </w:t>
      </w:r>
      <w:r>
        <w:rPr>
          <w:color w:val="231F20"/>
          <w:sz w:val="20"/>
        </w:rPr>
        <w:t>effects</w:t>
      </w:r>
      <w:r>
        <w:rPr>
          <w:color w:val="231F20"/>
          <w:spacing w:val="-8"/>
          <w:sz w:val="20"/>
        </w:rPr>
        <w:t xml:space="preserve"> </w:t>
      </w:r>
      <w:r>
        <w:rPr>
          <w:color w:val="231F20"/>
          <w:sz w:val="20"/>
        </w:rPr>
        <w:t>on</w:t>
      </w:r>
      <w:r>
        <w:rPr>
          <w:color w:val="231F20"/>
          <w:spacing w:val="-8"/>
          <w:sz w:val="20"/>
        </w:rPr>
        <w:t xml:space="preserve"> </w:t>
      </w:r>
      <w:r>
        <w:rPr>
          <w:color w:val="231F20"/>
          <w:sz w:val="20"/>
        </w:rPr>
        <w:t>them.</w:t>
      </w:r>
      <w:r>
        <w:rPr>
          <w:color w:val="231F20"/>
          <w:spacing w:val="-8"/>
          <w:sz w:val="20"/>
        </w:rPr>
        <w:t xml:space="preserve"> </w:t>
      </w:r>
      <w:r>
        <w:rPr>
          <w:color w:val="231F20"/>
          <w:sz w:val="20"/>
        </w:rPr>
        <w:t xml:space="preserve">The Sexual Assault Services Network </w:t>
      </w:r>
      <w:r>
        <w:rPr>
          <w:color w:val="231F20"/>
          <w:spacing w:val="-3"/>
          <w:sz w:val="20"/>
        </w:rPr>
        <w:t xml:space="preserve">told </w:t>
      </w:r>
      <w:r>
        <w:rPr>
          <w:color w:val="231F20"/>
          <w:sz w:val="20"/>
        </w:rPr>
        <w:t xml:space="preserve">us that ‘The pursuit mentality begins in primary school (“girls </w:t>
      </w:r>
      <w:r>
        <w:rPr>
          <w:color w:val="231F20"/>
          <w:spacing w:val="-3"/>
          <w:sz w:val="20"/>
        </w:rPr>
        <w:t xml:space="preserve">like </w:t>
      </w:r>
      <w:r>
        <w:rPr>
          <w:color w:val="231F20"/>
          <w:sz w:val="20"/>
        </w:rPr>
        <w:t xml:space="preserve">the chase”) and this is where </w:t>
      </w:r>
      <w:r>
        <w:rPr>
          <w:color w:val="231F20"/>
          <w:spacing w:val="-2"/>
          <w:sz w:val="20"/>
        </w:rPr>
        <w:t xml:space="preserve">interventions </w:t>
      </w:r>
      <w:r>
        <w:rPr>
          <w:color w:val="231F20"/>
          <w:sz w:val="20"/>
        </w:rPr>
        <w:t>need to begin.’</w:t>
      </w:r>
      <w:r>
        <w:rPr>
          <w:color w:val="231F20"/>
          <w:position w:val="7"/>
          <w:sz w:val="11"/>
        </w:rPr>
        <w:t xml:space="preserve">60 </w:t>
      </w:r>
      <w:r>
        <w:rPr>
          <w:color w:val="231F20"/>
          <w:sz w:val="20"/>
        </w:rPr>
        <w:t xml:space="preserve">The Alannah and Madeline Foundation emphasised the </w:t>
      </w:r>
      <w:r>
        <w:rPr>
          <w:color w:val="231F20"/>
          <w:spacing w:val="-3"/>
          <w:sz w:val="20"/>
        </w:rPr>
        <w:t xml:space="preserve">negative </w:t>
      </w:r>
      <w:r>
        <w:rPr>
          <w:color w:val="231F20"/>
          <w:sz w:val="20"/>
        </w:rPr>
        <w:t xml:space="preserve">effects on </w:t>
      </w:r>
      <w:r>
        <w:rPr>
          <w:color w:val="231F20"/>
          <w:spacing w:val="-3"/>
          <w:sz w:val="20"/>
        </w:rPr>
        <w:t xml:space="preserve">children </w:t>
      </w:r>
      <w:r>
        <w:rPr>
          <w:color w:val="231F20"/>
          <w:sz w:val="20"/>
        </w:rPr>
        <w:t xml:space="preserve">and teens including reduced </w:t>
      </w:r>
      <w:r>
        <w:rPr>
          <w:color w:val="231F20"/>
          <w:spacing w:val="-3"/>
          <w:sz w:val="20"/>
        </w:rPr>
        <w:t xml:space="preserve">‘physical </w:t>
      </w:r>
      <w:r>
        <w:rPr>
          <w:color w:val="231F20"/>
          <w:sz w:val="20"/>
        </w:rPr>
        <w:t xml:space="preserve">and mental health, school disengagement </w:t>
      </w:r>
      <w:r>
        <w:rPr>
          <w:color w:val="231F20"/>
          <w:spacing w:val="-5"/>
          <w:sz w:val="20"/>
        </w:rPr>
        <w:t xml:space="preserve">and/or </w:t>
      </w:r>
      <w:r>
        <w:rPr>
          <w:color w:val="231F20"/>
          <w:sz w:val="20"/>
        </w:rPr>
        <w:t>suicidal</w:t>
      </w:r>
      <w:r>
        <w:rPr>
          <w:color w:val="231F20"/>
          <w:spacing w:val="-4"/>
          <w:sz w:val="20"/>
        </w:rPr>
        <w:t xml:space="preserve"> </w:t>
      </w:r>
      <w:r>
        <w:rPr>
          <w:color w:val="231F20"/>
          <w:spacing w:val="-3"/>
          <w:sz w:val="20"/>
        </w:rPr>
        <w:t>ideation’.</w:t>
      </w:r>
      <w:r>
        <w:rPr>
          <w:color w:val="231F20"/>
          <w:spacing w:val="-3"/>
          <w:position w:val="7"/>
          <w:sz w:val="11"/>
        </w:rPr>
        <w:t>61</w:t>
      </w:r>
    </w:p>
    <w:p w14:paraId="09F7BC18" w14:textId="77777777" w:rsidR="00894070" w:rsidRDefault="009B7AFD">
      <w:pPr>
        <w:pStyle w:val="ListParagraph"/>
        <w:numPr>
          <w:ilvl w:val="1"/>
          <w:numId w:val="177"/>
        </w:numPr>
        <w:tabs>
          <w:tab w:val="left" w:pos="1801"/>
          <w:tab w:val="left" w:pos="1802"/>
        </w:tabs>
        <w:spacing w:before="96" w:line="259" w:lineRule="exact"/>
        <w:rPr>
          <w:sz w:val="20"/>
        </w:rPr>
      </w:pPr>
      <w:r>
        <w:rPr>
          <w:color w:val="231F20"/>
          <w:sz w:val="20"/>
        </w:rPr>
        <w:t>Some</w:t>
      </w:r>
      <w:r>
        <w:rPr>
          <w:color w:val="231F20"/>
          <w:spacing w:val="-6"/>
          <w:sz w:val="20"/>
        </w:rPr>
        <w:t xml:space="preserve"> </w:t>
      </w:r>
      <w:r>
        <w:rPr>
          <w:color w:val="231F20"/>
          <w:spacing w:val="-3"/>
          <w:sz w:val="20"/>
        </w:rPr>
        <w:t>children</w:t>
      </w:r>
      <w:r>
        <w:rPr>
          <w:color w:val="231F20"/>
          <w:spacing w:val="-6"/>
          <w:sz w:val="20"/>
        </w:rPr>
        <w:t xml:space="preserve"> </w:t>
      </w:r>
      <w:r>
        <w:rPr>
          <w:color w:val="231F20"/>
          <w:sz w:val="20"/>
        </w:rPr>
        <w:t>and</w:t>
      </w:r>
      <w:r>
        <w:rPr>
          <w:color w:val="231F20"/>
          <w:spacing w:val="-5"/>
          <w:sz w:val="20"/>
        </w:rPr>
        <w:t xml:space="preserve"> </w:t>
      </w:r>
      <w:r>
        <w:rPr>
          <w:color w:val="231F20"/>
          <w:sz w:val="20"/>
        </w:rPr>
        <w:t>young</w:t>
      </w:r>
      <w:r>
        <w:rPr>
          <w:color w:val="231F20"/>
          <w:spacing w:val="-6"/>
          <w:sz w:val="20"/>
        </w:rPr>
        <w:t xml:space="preserve"> </w:t>
      </w:r>
      <w:r>
        <w:rPr>
          <w:color w:val="231F20"/>
          <w:sz w:val="20"/>
        </w:rPr>
        <w:t>people</w:t>
      </w:r>
      <w:r>
        <w:rPr>
          <w:color w:val="231F20"/>
          <w:spacing w:val="-6"/>
          <w:sz w:val="20"/>
        </w:rPr>
        <w:t xml:space="preserve"> </w:t>
      </w:r>
      <w:r>
        <w:rPr>
          <w:color w:val="231F20"/>
          <w:spacing w:val="-3"/>
          <w:sz w:val="20"/>
        </w:rPr>
        <w:t>may</w:t>
      </w:r>
      <w:r>
        <w:rPr>
          <w:color w:val="231F20"/>
          <w:spacing w:val="-5"/>
          <w:sz w:val="20"/>
        </w:rPr>
        <w:t xml:space="preserve"> </w:t>
      </w:r>
      <w:r>
        <w:rPr>
          <w:color w:val="231F20"/>
          <w:sz w:val="20"/>
        </w:rPr>
        <w:t>feel</w:t>
      </w:r>
      <w:r>
        <w:rPr>
          <w:color w:val="231F20"/>
          <w:spacing w:val="-6"/>
          <w:sz w:val="20"/>
        </w:rPr>
        <w:t xml:space="preserve"> </w:t>
      </w:r>
      <w:r>
        <w:rPr>
          <w:color w:val="231F20"/>
          <w:sz w:val="20"/>
        </w:rPr>
        <w:t>more</w:t>
      </w:r>
      <w:r>
        <w:rPr>
          <w:color w:val="231F20"/>
          <w:spacing w:val="-5"/>
          <w:sz w:val="20"/>
        </w:rPr>
        <w:t xml:space="preserve"> </w:t>
      </w:r>
      <w:r>
        <w:rPr>
          <w:color w:val="231F20"/>
          <w:sz w:val="20"/>
        </w:rPr>
        <w:t>comfortable</w:t>
      </w:r>
      <w:r>
        <w:rPr>
          <w:color w:val="231F20"/>
          <w:spacing w:val="-6"/>
          <w:sz w:val="20"/>
        </w:rPr>
        <w:t xml:space="preserve"> </w:t>
      </w:r>
      <w:r>
        <w:rPr>
          <w:color w:val="231F20"/>
          <w:sz w:val="20"/>
        </w:rPr>
        <w:t>disclosing</w:t>
      </w:r>
      <w:r>
        <w:rPr>
          <w:color w:val="231F20"/>
          <w:spacing w:val="-6"/>
          <w:sz w:val="20"/>
        </w:rPr>
        <w:t xml:space="preserve"> </w:t>
      </w:r>
      <w:r>
        <w:rPr>
          <w:color w:val="231F20"/>
          <w:sz w:val="20"/>
        </w:rPr>
        <w:t>to</w:t>
      </w:r>
      <w:r>
        <w:rPr>
          <w:color w:val="231F20"/>
          <w:spacing w:val="-5"/>
          <w:sz w:val="20"/>
        </w:rPr>
        <w:t xml:space="preserve"> </w:t>
      </w:r>
      <w:r>
        <w:rPr>
          <w:color w:val="231F20"/>
          <w:sz w:val="20"/>
        </w:rPr>
        <w:t>a</w:t>
      </w:r>
      <w:r>
        <w:rPr>
          <w:color w:val="231F20"/>
          <w:spacing w:val="-6"/>
          <w:sz w:val="20"/>
        </w:rPr>
        <w:t xml:space="preserve"> </w:t>
      </w:r>
      <w:r>
        <w:rPr>
          <w:color w:val="231F20"/>
          <w:sz w:val="20"/>
        </w:rPr>
        <w:t>trusted</w:t>
      </w:r>
    </w:p>
    <w:p w14:paraId="7FF79F29" w14:textId="77777777" w:rsidR="00894070" w:rsidRDefault="009B7AFD">
      <w:pPr>
        <w:pStyle w:val="BodyText"/>
        <w:spacing w:line="259" w:lineRule="exact"/>
        <w:ind w:left="1801"/>
        <w:rPr>
          <w:sz w:val="11"/>
        </w:rPr>
      </w:pPr>
      <w:r>
        <w:rPr>
          <w:color w:val="231F20"/>
        </w:rPr>
        <w:t>adult in schools and universities than elsewhere.</w:t>
      </w:r>
      <w:r>
        <w:rPr>
          <w:color w:val="231F20"/>
          <w:position w:val="7"/>
          <w:sz w:val="11"/>
        </w:rPr>
        <w:t>62</w:t>
      </w:r>
    </w:p>
    <w:p w14:paraId="59A1DBCF" w14:textId="77777777" w:rsidR="00894070" w:rsidRDefault="009B7AFD">
      <w:pPr>
        <w:pStyle w:val="ListParagraph"/>
        <w:numPr>
          <w:ilvl w:val="1"/>
          <w:numId w:val="177"/>
        </w:numPr>
        <w:tabs>
          <w:tab w:val="left" w:pos="1801"/>
          <w:tab w:val="left" w:pos="1802"/>
        </w:tabs>
        <w:spacing w:before="115" w:line="206" w:lineRule="auto"/>
        <w:ind w:right="1602"/>
        <w:rPr>
          <w:sz w:val="11"/>
        </w:rPr>
      </w:pPr>
      <w:r>
        <w:rPr>
          <w:color w:val="231F20"/>
          <w:spacing w:val="-6"/>
          <w:sz w:val="20"/>
        </w:rPr>
        <w:t>We</w:t>
      </w:r>
      <w:r>
        <w:rPr>
          <w:color w:val="231F20"/>
          <w:spacing w:val="-10"/>
          <w:sz w:val="20"/>
        </w:rPr>
        <w:t xml:space="preserve"> </w:t>
      </w:r>
      <w:r>
        <w:rPr>
          <w:color w:val="231F20"/>
          <w:spacing w:val="-4"/>
          <w:sz w:val="20"/>
        </w:rPr>
        <w:t>were</w:t>
      </w:r>
      <w:r>
        <w:rPr>
          <w:color w:val="231F20"/>
          <w:spacing w:val="-9"/>
          <w:sz w:val="20"/>
        </w:rPr>
        <w:t xml:space="preserve"> </w:t>
      </w:r>
      <w:r>
        <w:rPr>
          <w:color w:val="231F20"/>
          <w:spacing w:val="-3"/>
          <w:sz w:val="20"/>
        </w:rPr>
        <w:t>told</w:t>
      </w:r>
      <w:r>
        <w:rPr>
          <w:color w:val="231F20"/>
          <w:spacing w:val="-9"/>
          <w:sz w:val="20"/>
        </w:rPr>
        <w:t xml:space="preserve"> </w:t>
      </w:r>
      <w:r>
        <w:rPr>
          <w:color w:val="231F20"/>
          <w:sz w:val="20"/>
        </w:rPr>
        <w:t>that</w:t>
      </w:r>
      <w:r>
        <w:rPr>
          <w:color w:val="231F20"/>
          <w:spacing w:val="-9"/>
          <w:sz w:val="20"/>
        </w:rPr>
        <w:t xml:space="preserve"> </w:t>
      </w:r>
      <w:r>
        <w:rPr>
          <w:color w:val="231F20"/>
          <w:sz w:val="20"/>
        </w:rPr>
        <w:t>there</w:t>
      </w:r>
      <w:r>
        <w:rPr>
          <w:color w:val="231F20"/>
          <w:spacing w:val="-9"/>
          <w:sz w:val="20"/>
        </w:rPr>
        <w:t xml:space="preserve"> </w:t>
      </w:r>
      <w:r>
        <w:rPr>
          <w:color w:val="231F20"/>
          <w:spacing w:val="-3"/>
          <w:sz w:val="20"/>
        </w:rPr>
        <w:t>are</w:t>
      </w:r>
      <w:r>
        <w:rPr>
          <w:color w:val="231F20"/>
          <w:spacing w:val="-9"/>
          <w:sz w:val="20"/>
        </w:rPr>
        <w:t xml:space="preserve"> </w:t>
      </w:r>
      <w:r>
        <w:rPr>
          <w:color w:val="231F20"/>
          <w:sz w:val="20"/>
        </w:rPr>
        <w:t>no</w:t>
      </w:r>
      <w:r>
        <w:rPr>
          <w:color w:val="231F20"/>
          <w:spacing w:val="-9"/>
          <w:sz w:val="20"/>
        </w:rPr>
        <w:t xml:space="preserve"> </w:t>
      </w:r>
      <w:r>
        <w:rPr>
          <w:color w:val="231F20"/>
          <w:sz w:val="20"/>
        </w:rPr>
        <w:t>stalking-specific</w:t>
      </w:r>
      <w:r>
        <w:rPr>
          <w:color w:val="231F20"/>
          <w:spacing w:val="-9"/>
          <w:sz w:val="20"/>
        </w:rPr>
        <w:t xml:space="preserve"> </w:t>
      </w:r>
      <w:r>
        <w:rPr>
          <w:color w:val="231F20"/>
          <w:sz w:val="20"/>
        </w:rPr>
        <w:t>teaching</w:t>
      </w:r>
      <w:r>
        <w:rPr>
          <w:color w:val="231F20"/>
          <w:spacing w:val="-9"/>
          <w:sz w:val="20"/>
        </w:rPr>
        <w:t xml:space="preserve"> </w:t>
      </w:r>
      <w:r>
        <w:rPr>
          <w:color w:val="231F20"/>
          <w:spacing w:val="-3"/>
          <w:sz w:val="20"/>
        </w:rPr>
        <w:t>resources</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 xml:space="preserve">Victorian public education curriculum, although teachers </w:t>
      </w:r>
      <w:r>
        <w:rPr>
          <w:color w:val="231F20"/>
          <w:spacing w:val="-3"/>
          <w:sz w:val="20"/>
        </w:rPr>
        <w:t xml:space="preserve">may </w:t>
      </w:r>
      <w:r>
        <w:rPr>
          <w:color w:val="231F20"/>
          <w:spacing w:val="-4"/>
          <w:sz w:val="20"/>
        </w:rPr>
        <w:t xml:space="preserve">cover </w:t>
      </w:r>
      <w:r>
        <w:rPr>
          <w:color w:val="231F20"/>
          <w:sz w:val="20"/>
        </w:rPr>
        <w:t>stalking as part of respectful relationships</w:t>
      </w:r>
      <w:r>
        <w:rPr>
          <w:color w:val="231F20"/>
          <w:spacing w:val="-10"/>
          <w:sz w:val="20"/>
        </w:rPr>
        <w:t xml:space="preserve"> </w:t>
      </w:r>
      <w:r>
        <w:rPr>
          <w:color w:val="231F20"/>
          <w:sz w:val="20"/>
        </w:rPr>
        <w:t>education.</w:t>
      </w:r>
      <w:r>
        <w:rPr>
          <w:color w:val="231F20"/>
          <w:position w:val="7"/>
          <w:sz w:val="11"/>
        </w:rPr>
        <w:t>63</w:t>
      </w:r>
    </w:p>
    <w:p w14:paraId="317A6E0A" w14:textId="77777777" w:rsidR="00894070" w:rsidRDefault="009B7AFD">
      <w:pPr>
        <w:pStyle w:val="ListParagraph"/>
        <w:numPr>
          <w:ilvl w:val="1"/>
          <w:numId w:val="177"/>
        </w:numPr>
        <w:tabs>
          <w:tab w:val="left" w:pos="1801"/>
          <w:tab w:val="left" w:pos="1802"/>
        </w:tabs>
        <w:spacing w:before="91"/>
        <w:rPr>
          <w:sz w:val="20"/>
        </w:rPr>
      </w:pPr>
      <w:r>
        <w:rPr>
          <w:color w:val="231F20"/>
          <w:sz w:val="20"/>
        </w:rPr>
        <w:t>The</w:t>
      </w:r>
      <w:r>
        <w:rPr>
          <w:color w:val="231F20"/>
          <w:spacing w:val="-5"/>
          <w:sz w:val="20"/>
        </w:rPr>
        <w:t xml:space="preserve"> </w:t>
      </w:r>
      <w:r>
        <w:rPr>
          <w:color w:val="231F20"/>
          <w:sz w:val="20"/>
        </w:rPr>
        <w:t>Alannah</w:t>
      </w:r>
      <w:r>
        <w:rPr>
          <w:color w:val="231F20"/>
          <w:spacing w:val="-5"/>
          <w:sz w:val="20"/>
        </w:rPr>
        <w:t xml:space="preserve"> </w:t>
      </w:r>
      <w:r>
        <w:rPr>
          <w:color w:val="231F20"/>
          <w:sz w:val="20"/>
        </w:rPr>
        <w:t>and</w:t>
      </w:r>
      <w:r>
        <w:rPr>
          <w:color w:val="231F20"/>
          <w:spacing w:val="-5"/>
          <w:sz w:val="20"/>
        </w:rPr>
        <w:t xml:space="preserve"> </w:t>
      </w:r>
      <w:r>
        <w:rPr>
          <w:color w:val="231F20"/>
          <w:sz w:val="20"/>
        </w:rPr>
        <w:t>Madeline</w:t>
      </w:r>
      <w:r>
        <w:rPr>
          <w:color w:val="231F20"/>
          <w:spacing w:val="-5"/>
          <w:sz w:val="20"/>
        </w:rPr>
        <w:t xml:space="preserve"> </w:t>
      </w:r>
      <w:r>
        <w:rPr>
          <w:color w:val="231F20"/>
          <w:sz w:val="20"/>
        </w:rPr>
        <w:t>Foundation</w:t>
      </w:r>
      <w:r>
        <w:rPr>
          <w:color w:val="231F20"/>
          <w:spacing w:val="-4"/>
          <w:sz w:val="20"/>
        </w:rPr>
        <w:t xml:space="preserve"> </w:t>
      </w:r>
      <w:r>
        <w:rPr>
          <w:color w:val="231F20"/>
          <w:sz w:val="20"/>
        </w:rPr>
        <w:t>stressed</w:t>
      </w:r>
      <w:r>
        <w:rPr>
          <w:color w:val="231F20"/>
          <w:spacing w:val="-5"/>
          <w:sz w:val="20"/>
        </w:rPr>
        <w:t xml:space="preserve"> </w:t>
      </w:r>
      <w:r>
        <w:rPr>
          <w:color w:val="231F20"/>
          <w:sz w:val="20"/>
        </w:rPr>
        <w:t>the</w:t>
      </w:r>
      <w:r>
        <w:rPr>
          <w:color w:val="231F20"/>
          <w:spacing w:val="-5"/>
          <w:sz w:val="20"/>
        </w:rPr>
        <w:t xml:space="preserve"> </w:t>
      </w:r>
      <w:r>
        <w:rPr>
          <w:color w:val="231F20"/>
          <w:sz w:val="20"/>
        </w:rPr>
        <w:t>need</w:t>
      </w:r>
      <w:r>
        <w:rPr>
          <w:color w:val="231F20"/>
          <w:spacing w:val="-5"/>
          <w:sz w:val="20"/>
        </w:rPr>
        <w:t xml:space="preserve"> </w:t>
      </w:r>
      <w:r>
        <w:rPr>
          <w:color w:val="231F20"/>
          <w:sz w:val="20"/>
        </w:rPr>
        <w:t>for:</w:t>
      </w:r>
    </w:p>
    <w:p w14:paraId="40DC474E" w14:textId="77777777" w:rsidR="00894070" w:rsidRDefault="009B7AFD">
      <w:pPr>
        <w:spacing w:before="113" w:line="208" w:lineRule="auto"/>
        <w:ind w:left="2254" w:right="1219"/>
        <w:rPr>
          <w:sz w:val="11"/>
        </w:rPr>
      </w:pPr>
      <w:r>
        <w:rPr>
          <w:color w:val="231F20"/>
          <w:sz w:val="19"/>
        </w:rPr>
        <w:t>comprehensive, evidence-based, well evaluated education for children and teens about respectful relationships (including online) and digital intelligence.</w:t>
      </w:r>
      <w:r>
        <w:rPr>
          <w:color w:val="231F20"/>
          <w:position w:val="6"/>
          <w:sz w:val="11"/>
        </w:rPr>
        <w:t>64</w:t>
      </w:r>
    </w:p>
    <w:p w14:paraId="5DA854B9" w14:textId="77777777" w:rsidR="00894070" w:rsidRDefault="00894070">
      <w:pPr>
        <w:pStyle w:val="BodyText"/>
      </w:pPr>
    </w:p>
    <w:p w14:paraId="1DC731CC" w14:textId="77777777" w:rsidR="00894070" w:rsidRDefault="00894070">
      <w:pPr>
        <w:pStyle w:val="BodyText"/>
      </w:pPr>
    </w:p>
    <w:p w14:paraId="7DCE2ADC" w14:textId="77777777" w:rsidR="00894070" w:rsidRDefault="00894070">
      <w:pPr>
        <w:pStyle w:val="BodyText"/>
      </w:pPr>
    </w:p>
    <w:p w14:paraId="694F2C43" w14:textId="77777777" w:rsidR="00894070" w:rsidRDefault="009F6793">
      <w:pPr>
        <w:pStyle w:val="BodyText"/>
        <w:spacing w:before="13"/>
        <w:rPr>
          <w:sz w:val="21"/>
        </w:rPr>
      </w:pPr>
      <w:r>
        <w:pict w14:anchorId="3CD71429">
          <v:line id="_x0000_s1490" style="position:absolute;z-index:251544576;mso-wrap-distance-left:0;mso-wrap-distance-right:0;mso-position-horizontal-relative:page" from="79.35pt,17.7pt" to="515.9pt,17.7pt" strokecolor="#f8cabc" strokeweight="1pt">
            <w10:wrap type="topAndBottom" anchorx="page"/>
          </v:line>
        </w:pict>
      </w:r>
    </w:p>
    <w:p w14:paraId="1D61E760" w14:textId="77777777" w:rsidR="00894070" w:rsidRDefault="009B7AFD">
      <w:pPr>
        <w:pStyle w:val="ListParagraph"/>
        <w:numPr>
          <w:ilvl w:val="0"/>
          <w:numId w:val="134"/>
        </w:numPr>
        <w:tabs>
          <w:tab w:val="left" w:pos="1801"/>
          <w:tab w:val="left" w:pos="1802"/>
        </w:tabs>
        <w:spacing w:before="107"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4FF609F8" w14:textId="77777777" w:rsidR="00894070" w:rsidRDefault="009B7AFD">
      <w:pPr>
        <w:pStyle w:val="ListParagraph"/>
        <w:numPr>
          <w:ilvl w:val="0"/>
          <w:numId w:val="134"/>
        </w:numPr>
        <w:tabs>
          <w:tab w:val="left" w:pos="1801"/>
          <w:tab w:val="left" w:pos="1802"/>
        </w:tabs>
        <w:spacing w:line="153" w:lineRule="exact"/>
        <w:rPr>
          <w:sz w:val="13"/>
        </w:rPr>
      </w:pPr>
      <w:r>
        <w:rPr>
          <w:color w:val="231F20"/>
          <w:sz w:val="13"/>
        </w:rPr>
        <w:t>Ibid.</w:t>
      </w:r>
    </w:p>
    <w:p w14:paraId="2CE93C7F" w14:textId="77777777" w:rsidR="00894070" w:rsidRDefault="009B7AFD">
      <w:pPr>
        <w:pStyle w:val="ListParagraph"/>
        <w:numPr>
          <w:ilvl w:val="0"/>
          <w:numId w:val="134"/>
        </w:numPr>
        <w:tabs>
          <w:tab w:val="left" w:pos="1800"/>
          <w:tab w:val="left" w:pos="1802"/>
        </w:tabs>
        <w:spacing w:line="160" w:lineRule="exact"/>
        <w:rPr>
          <w:sz w:val="13"/>
        </w:rPr>
      </w:pPr>
      <w:r>
        <w:rPr>
          <w:color w:val="231F20"/>
          <w:sz w:val="13"/>
        </w:rPr>
        <w:t xml:space="preserve">Consultation 17 (Small group meeting on </w:t>
      </w:r>
      <w:r>
        <w:rPr>
          <w:color w:val="231F20"/>
          <w:spacing w:val="2"/>
          <w:sz w:val="13"/>
        </w:rPr>
        <w:t xml:space="preserve">stalking </w:t>
      </w:r>
      <w:r>
        <w:rPr>
          <w:color w:val="231F20"/>
          <w:sz w:val="13"/>
        </w:rPr>
        <w:t>and young</w:t>
      </w:r>
      <w:r>
        <w:rPr>
          <w:color w:val="231F20"/>
          <w:spacing w:val="2"/>
          <w:sz w:val="13"/>
        </w:rPr>
        <w:t xml:space="preserve"> </w:t>
      </w:r>
      <w:r>
        <w:rPr>
          <w:color w:val="231F20"/>
          <w:sz w:val="13"/>
        </w:rPr>
        <w:t>people).</w:t>
      </w:r>
    </w:p>
    <w:p w14:paraId="0AC29FF8" w14:textId="77777777" w:rsidR="00894070" w:rsidRDefault="009B7AFD">
      <w:pPr>
        <w:pStyle w:val="ListParagraph"/>
        <w:numPr>
          <w:ilvl w:val="0"/>
          <w:numId w:val="134"/>
        </w:numPr>
        <w:tabs>
          <w:tab w:val="left" w:pos="1800"/>
          <w:tab w:val="left" w:pos="1802"/>
        </w:tabs>
        <w:spacing w:line="160" w:lineRule="exact"/>
        <w:rPr>
          <w:sz w:val="13"/>
        </w:rPr>
      </w:pPr>
      <w:r>
        <w:rPr>
          <w:color w:val="231F20"/>
          <w:sz w:val="13"/>
        </w:rPr>
        <w:t>Ibid.</w:t>
      </w:r>
    </w:p>
    <w:p w14:paraId="677F99AD" w14:textId="77777777" w:rsidR="00894070" w:rsidRDefault="009B7AFD">
      <w:pPr>
        <w:pStyle w:val="ListParagraph"/>
        <w:numPr>
          <w:ilvl w:val="0"/>
          <w:numId w:val="134"/>
        </w:numPr>
        <w:tabs>
          <w:tab w:val="left" w:pos="1800"/>
          <w:tab w:val="left" w:pos="1802"/>
        </w:tabs>
        <w:spacing w:line="160" w:lineRule="exact"/>
        <w:rPr>
          <w:sz w:val="13"/>
        </w:rPr>
      </w:pPr>
      <w:r>
        <w:rPr>
          <w:color w:val="231F20"/>
          <w:sz w:val="13"/>
        </w:rPr>
        <w:t>Ibid.</w:t>
      </w:r>
    </w:p>
    <w:p w14:paraId="25375E9C" w14:textId="77777777" w:rsidR="00894070" w:rsidRDefault="009B7AFD">
      <w:pPr>
        <w:pStyle w:val="ListParagraph"/>
        <w:numPr>
          <w:ilvl w:val="0"/>
          <w:numId w:val="134"/>
        </w:numPr>
        <w:tabs>
          <w:tab w:val="left" w:pos="1801"/>
          <w:tab w:val="left" w:pos="1802"/>
        </w:tabs>
        <w:spacing w:line="160" w:lineRule="exact"/>
        <w:rPr>
          <w:sz w:val="13"/>
        </w:rPr>
      </w:pPr>
      <w:r>
        <w:rPr>
          <w:color w:val="231F20"/>
          <w:sz w:val="13"/>
        </w:rPr>
        <w:t xml:space="preserve">Consultation 4 (Sexual </w:t>
      </w:r>
      <w:r>
        <w:rPr>
          <w:color w:val="231F20"/>
          <w:spacing w:val="2"/>
          <w:sz w:val="13"/>
        </w:rPr>
        <w:t>Assault Services</w:t>
      </w:r>
      <w:r>
        <w:rPr>
          <w:color w:val="231F20"/>
          <w:spacing w:val="-1"/>
          <w:sz w:val="13"/>
        </w:rPr>
        <w:t xml:space="preserve"> </w:t>
      </w:r>
      <w:r>
        <w:rPr>
          <w:color w:val="231F20"/>
          <w:sz w:val="13"/>
        </w:rPr>
        <w:t>Network).</w:t>
      </w:r>
    </w:p>
    <w:p w14:paraId="58355B91" w14:textId="77777777" w:rsidR="00894070" w:rsidRDefault="009B7AFD">
      <w:pPr>
        <w:pStyle w:val="ListParagraph"/>
        <w:numPr>
          <w:ilvl w:val="0"/>
          <w:numId w:val="134"/>
        </w:numPr>
        <w:tabs>
          <w:tab w:val="left" w:pos="1801"/>
          <w:tab w:val="left" w:pos="1802"/>
        </w:tabs>
        <w:spacing w:line="160" w:lineRule="exact"/>
        <w:rPr>
          <w:sz w:val="13"/>
        </w:rPr>
      </w:pPr>
      <w:r>
        <w:rPr>
          <w:color w:val="231F20"/>
          <w:spacing w:val="2"/>
          <w:sz w:val="13"/>
        </w:rPr>
        <w:t xml:space="preserve">Submission </w:t>
      </w:r>
      <w:r>
        <w:rPr>
          <w:color w:val="231F20"/>
          <w:sz w:val="13"/>
        </w:rPr>
        <w:t xml:space="preserve">104 </w:t>
      </w:r>
      <w:r>
        <w:rPr>
          <w:color w:val="231F20"/>
          <w:spacing w:val="2"/>
          <w:sz w:val="13"/>
        </w:rPr>
        <w:t xml:space="preserve">(Alannah </w:t>
      </w:r>
      <w:r>
        <w:rPr>
          <w:color w:val="231F20"/>
          <w:sz w:val="13"/>
        </w:rPr>
        <w:t>and Madeline</w:t>
      </w:r>
      <w:r>
        <w:rPr>
          <w:color w:val="231F20"/>
          <w:spacing w:val="-4"/>
          <w:sz w:val="13"/>
        </w:rPr>
        <w:t xml:space="preserve"> </w:t>
      </w:r>
      <w:r>
        <w:rPr>
          <w:color w:val="231F20"/>
          <w:sz w:val="13"/>
        </w:rPr>
        <w:t>Foundation).</w:t>
      </w:r>
    </w:p>
    <w:p w14:paraId="12069BCD" w14:textId="77777777" w:rsidR="00894070" w:rsidRDefault="009B7AFD">
      <w:pPr>
        <w:pStyle w:val="ListParagraph"/>
        <w:numPr>
          <w:ilvl w:val="0"/>
          <w:numId w:val="134"/>
        </w:numPr>
        <w:tabs>
          <w:tab w:val="left" w:pos="1800"/>
          <w:tab w:val="left" w:pos="1802"/>
        </w:tabs>
        <w:spacing w:before="6" w:line="213" w:lineRule="auto"/>
        <w:ind w:right="1350"/>
        <w:rPr>
          <w:sz w:val="13"/>
        </w:rPr>
      </w:pPr>
      <w:r>
        <w:rPr>
          <w:color w:val="231F20"/>
          <w:sz w:val="13"/>
        </w:rPr>
        <w:t xml:space="preserve">For example, the Harmful Sexual Behaviours Network told us that children often </w:t>
      </w:r>
      <w:r>
        <w:rPr>
          <w:color w:val="231F20"/>
          <w:spacing w:val="2"/>
          <w:sz w:val="13"/>
        </w:rPr>
        <w:t xml:space="preserve">report stalking </w:t>
      </w:r>
      <w:r>
        <w:rPr>
          <w:color w:val="231F20"/>
          <w:sz w:val="13"/>
        </w:rPr>
        <w:t>behaviour to a welfare coordinator or school counsellor with whom they have a good relationship, ‘before reaching out to the parents’: Consultation 5 (Harmful Sexual Behaviours Network).</w:t>
      </w:r>
    </w:p>
    <w:p w14:paraId="2293BDF3" w14:textId="77777777" w:rsidR="00894070" w:rsidRDefault="009F6793">
      <w:pPr>
        <w:pStyle w:val="ListParagraph"/>
        <w:numPr>
          <w:ilvl w:val="0"/>
          <w:numId w:val="134"/>
        </w:numPr>
        <w:tabs>
          <w:tab w:val="left" w:pos="1801"/>
          <w:tab w:val="left" w:pos="1802"/>
        </w:tabs>
        <w:spacing w:line="152" w:lineRule="exact"/>
        <w:rPr>
          <w:sz w:val="13"/>
        </w:rPr>
      </w:pPr>
      <w:r>
        <w:pict w14:anchorId="222D40B6">
          <v:shape id="_x0000_s1489" type="#_x0000_t202" style="position:absolute;left:0;text-align:left;margin-left:36pt;margin-top:3.3pt;width:13.75pt;height:14.1pt;z-index:251623424;mso-position-horizontal-relative:page" filled="f" stroked="f">
            <v:textbox inset="0,0,0,0">
              <w:txbxContent>
                <w:p w14:paraId="0157E9C2" w14:textId="77777777" w:rsidR="00894070" w:rsidRDefault="009B7AFD">
                  <w:pPr>
                    <w:spacing w:line="282" w:lineRule="exact"/>
                    <w:rPr>
                      <w:b/>
                      <w:sz w:val="24"/>
                    </w:rPr>
                  </w:pPr>
                  <w:r>
                    <w:rPr>
                      <w:b/>
                      <w:color w:val="EA5B50"/>
                      <w:spacing w:val="-4"/>
                      <w:sz w:val="24"/>
                    </w:rPr>
                    <w:t>62</w:t>
                  </w:r>
                </w:p>
              </w:txbxContent>
            </v:textbox>
            <w10:wrap anchorx="page"/>
          </v:shape>
        </w:pict>
      </w:r>
      <w:r w:rsidR="009B7AFD">
        <w:rPr>
          <w:color w:val="231F20"/>
          <w:sz w:val="13"/>
        </w:rPr>
        <w:t xml:space="preserve">Email from Associate Professor </w:t>
      </w:r>
      <w:r w:rsidR="009B7AFD">
        <w:rPr>
          <w:color w:val="231F20"/>
          <w:spacing w:val="2"/>
          <w:sz w:val="13"/>
        </w:rPr>
        <w:t xml:space="preserve">Debbie </w:t>
      </w:r>
      <w:r w:rsidR="009B7AFD">
        <w:rPr>
          <w:color w:val="231F20"/>
          <w:sz w:val="13"/>
        </w:rPr>
        <w:t xml:space="preserve">Ollis to Victorian Law Reform </w:t>
      </w:r>
      <w:r w:rsidR="009B7AFD">
        <w:rPr>
          <w:color w:val="231F20"/>
          <w:spacing w:val="2"/>
          <w:sz w:val="13"/>
        </w:rPr>
        <w:t xml:space="preserve">Commission, </w:t>
      </w:r>
      <w:r w:rsidR="009B7AFD">
        <w:rPr>
          <w:color w:val="231F20"/>
          <w:sz w:val="13"/>
        </w:rPr>
        <w:t>5 April</w:t>
      </w:r>
      <w:r w:rsidR="009B7AFD">
        <w:rPr>
          <w:color w:val="231F20"/>
          <w:spacing w:val="6"/>
          <w:sz w:val="13"/>
        </w:rPr>
        <w:t xml:space="preserve"> </w:t>
      </w:r>
      <w:r w:rsidR="009B7AFD">
        <w:rPr>
          <w:color w:val="231F20"/>
          <w:sz w:val="13"/>
        </w:rPr>
        <w:t>2022.</w:t>
      </w:r>
    </w:p>
    <w:p w14:paraId="18EAC8C7" w14:textId="77777777" w:rsidR="00894070" w:rsidRDefault="009B7AFD">
      <w:pPr>
        <w:pStyle w:val="ListParagraph"/>
        <w:numPr>
          <w:ilvl w:val="0"/>
          <w:numId w:val="134"/>
        </w:numPr>
        <w:tabs>
          <w:tab w:val="left" w:pos="1801"/>
          <w:tab w:val="left" w:pos="1802"/>
        </w:tabs>
        <w:spacing w:line="170" w:lineRule="exact"/>
        <w:rPr>
          <w:sz w:val="13"/>
        </w:rPr>
      </w:pPr>
      <w:r>
        <w:rPr>
          <w:color w:val="231F20"/>
          <w:spacing w:val="2"/>
          <w:sz w:val="13"/>
        </w:rPr>
        <w:t xml:space="preserve">Submission </w:t>
      </w:r>
      <w:r>
        <w:rPr>
          <w:color w:val="231F20"/>
          <w:sz w:val="13"/>
        </w:rPr>
        <w:t xml:space="preserve">104 </w:t>
      </w:r>
      <w:r>
        <w:rPr>
          <w:color w:val="231F20"/>
          <w:spacing w:val="2"/>
          <w:sz w:val="13"/>
        </w:rPr>
        <w:t xml:space="preserve">(Alannah </w:t>
      </w:r>
      <w:r>
        <w:rPr>
          <w:color w:val="231F20"/>
          <w:sz w:val="13"/>
        </w:rPr>
        <w:t>and Madeline</w:t>
      </w:r>
      <w:r>
        <w:rPr>
          <w:color w:val="231F20"/>
          <w:spacing w:val="-4"/>
          <w:sz w:val="13"/>
        </w:rPr>
        <w:t xml:space="preserve"> </w:t>
      </w:r>
      <w:r>
        <w:rPr>
          <w:color w:val="231F20"/>
          <w:sz w:val="13"/>
        </w:rPr>
        <w:t>Foundation).</w:t>
      </w:r>
    </w:p>
    <w:p w14:paraId="0225484C" w14:textId="77777777" w:rsidR="00894070" w:rsidRDefault="00894070">
      <w:pPr>
        <w:spacing w:line="170" w:lineRule="exact"/>
        <w:rPr>
          <w:sz w:val="13"/>
        </w:rPr>
        <w:sectPr w:rsidR="00894070">
          <w:pgSz w:w="11910" w:h="16840"/>
          <w:pgMar w:top="860" w:right="420" w:bottom="280" w:left="580" w:header="567" w:footer="0" w:gutter="0"/>
          <w:cols w:space="720"/>
        </w:sectPr>
      </w:pPr>
    </w:p>
    <w:p w14:paraId="6B534274" w14:textId="77777777" w:rsidR="00894070" w:rsidRDefault="00894070">
      <w:pPr>
        <w:pStyle w:val="BodyText"/>
      </w:pPr>
    </w:p>
    <w:p w14:paraId="74295AD8" w14:textId="77777777" w:rsidR="00894070" w:rsidRDefault="00894070">
      <w:pPr>
        <w:pStyle w:val="BodyText"/>
      </w:pPr>
    </w:p>
    <w:p w14:paraId="718F073A" w14:textId="77777777" w:rsidR="00894070" w:rsidRDefault="00894070">
      <w:pPr>
        <w:pStyle w:val="BodyText"/>
      </w:pPr>
    </w:p>
    <w:p w14:paraId="17153887" w14:textId="77777777" w:rsidR="00894070" w:rsidRDefault="00894070">
      <w:pPr>
        <w:pStyle w:val="BodyText"/>
        <w:spacing w:before="6"/>
        <w:rPr>
          <w:sz w:val="14"/>
        </w:rPr>
      </w:pPr>
    </w:p>
    <w:p w14:paraId="242661A5" w14:textId="77777777" w:rsidR="00894070" w:rsidRDefault="009B7AFD">
      <w:pPr>
        <w:pStyle w:val="ListParagraph"/>
        <w:numPr>
          <w:ilvl w:val="1"/>
          <w:numId w:val="177"/>
        </w:numPr>
        <w:tabs>
          <w:tab w:val="left" w:pos="1801"/>
          <w:tab w:val="left" w:pos="1802"/>
        </w:tabs>
        <w:spacing w:before="58" w:line="259" w:lineRule="exact"/>
        <w:rPr>
          <w:sz w:val="20"/>
        </w:rPr>
      </w:pPr>
      <w:r>
        <w:rPr>
          <w:color w:val="231F20"/>
          <w:spacing w:val="-3"/>
          <w:sz w:val="20"/>
        </w:rPr>
        <w:t>Advocacy</w:t>
      </w:r>
      <w:r>
        <w:rPr>
          <w:color w:val="231F20"/>
          <w:spacing w:val="-5"/>
          <w:sz w:val="20"/>
        </w:rPr>
        <w:t xml:space="preserve"> </w:t>
      </w:r>
      <w:r>
        <w:rPr>
          <w:color w:val="231F20"/>
          <w:sz w:val="20"/>
        </w:rPr>
        <w:t>and</w:t>
      </w:r>
      <w:r>
        <w:rPr>
          <w:color w:val="231F20"/>
          <w:spacing w:val="-5"/>
          <w:sz w:val="20"/>
        </w:rPr>
        <w:t xml:space="preserve"> </w:t>
      </w:r>
      <w:r>
        <w:rPr>
          <w:color w:val="231F20"/>
          <w:sz w:val="20"/>
        </w:rPr>
        <w:t>peak</w:t>
      </w:r>
      <w:r>
        <w:rPr>
          <w:color w:val="231F20"/>
          <w:spacing w:val="-4"/>
          <w:sz w:val="20"/>
        </w:rPr>
        <w:t xml:space="preserve"> </w:t>
      </w:r>
      <w:r>
        <w:rPr>
          <w:color w:val="231F20"/>
          <w:sz w:val="20"/>
        </w:rPr>
        <w:t>bodies</w:t>
      </w:r>
      <w:r>
        <w:rPr>
          <w:color w:val="231F20"/>
          <w:spacing w:val="-5"/>
          <w:sz w:val="20"/>
        </w:rPr>
        <w:t xml:space="preserve"> </w:t>
      </w:r>
      <w:r>
        <w:rPr>
          <w:color w:val="231F20"/>
          <w:spacing w:val="-3"/>
          <w:sz w:val="20"/>
        </w:rPr>
        <w:t>representing</w:t>
      </w:r>
      <w:r>
        <w:rPr>
          <w:color w:val="231F20"/>
          <w:spacing w:val="-5"/>
          <w:sz w:val="20"/>
        </w:rPr>
        <w:t xml:space="preserve"> </w:t>
      </w:r>
      <w:r>
        <w:rPr>
          <w:color w:val="231F20"/>
          <w:sz w:val="20"/>
        </w:rPr>
        <w:t>young</w:t>
      </w:r>
      <w:r>
        <w:rPr>
          <w:color w:val="231F20"/>
          <w:spacing w:val="-4"/>
          <w:sz w:val="20"/>
        </w:rPr>
        <w:t xml:space="preserve"> </w:t>
      </w:r>
      <w:r>
        <w:rPr>
          <w:color w:val="231F20"/>
          <w:sz w:val="20"/>
        </w:rPr>
        <w:t>people</w:t>
      </w:r>
      <w:r>
        <w:rPr>
          <w:color w:val="231F20"/>
          <w:spacing w:val="-5"/>
          <w:sz w:val="20"/>
        </w:rPr>
        <w:t xml:space="preserve"> </w:t>
      </w:r>
      <w:r>
        <w:rPr>
          <w:color w:val="231F20"/>
          <w:sz w:val="20"/>
        </w:rPr>
        <w:t>said</w:t>
      </w:r>
      <w:r>
        <w:rPr>
          <w:color w:val="231F20"/>
          <w:spacing w:val="-4"/>
          <w:sz w:val="20"/>
        </w:rPr>
        <w:t xml:space="preserve"> </w:t>
      </w:r>
      <w:r>
        <w:rPr>
          <w:color w:val="231F20"/>
          <w:sz w:val="20"/>
        </w:rPr>
        <w:t>young</w:t>
      </w:r>
      <w:r>
        <w:rPr>
          <w:color w:val="231F20"/>
          <w:spacing w:val="-5"/>
          <w:sz w:val="20"/>
        </w:rPr>
        <w:t xml:space="preserve"> </w:t>
      </w:r>
      <w:r>
        <w:rPr>
          <w:color w:val="231F20"/>
          <w:sz w:val="20"/>
        </w:rPr>
        <w:t>people</w:t>
      </w:r>
      <w:r>
        <w:rPr>
          <w:color w:val="231F20"/>
          <w:spacing w:val="-5"/>
          <w:sz w:val="20"/>
        </w:rPr>
        <w:t xml:space="preserve"> </w:t>
      </w:r>
      <w:r>
        <w:rPr>
          <w:color w:val="231F20"/>
          <w:sz w:val="20"/>
        </w:rPr>
        <w:t>need</w:t>
      </w:r>
    </w:p>
    <w:p w14:paraId="6F7CBF2B" w14:textId="77777777" w:rsidR="00894070" w:rsidRDefault="009B7AFD">
      <w:pPr>
        <w:pStyle w:val="BodyText"/>
        <w:spacing w:line="259" w:lineRule="exact"/>
        <w:ind w:left="1801"/>
        <w:rPr>
          <w:sz w:val="11"/>
        </w:rPr>
      </w:pPr>
      <w:r>
        <w:rPr>
          <w:color w:val="231F20"/>
        </w:rPr>
        <w:t>tailored education about stalking.</w:t>
      </w:r>
      <w:r>
        <w:rPr>
          <w:color w:val="231F20"/>
          <w:position w:val="7"/>
          <w:sz w:val="11"/>
        </w:rPr>
        <w:t>65</w:t>
      </w:r>
    </w:p>
    <w:p w14:paraId="1FBED8B9" w14:textId="77777777" w:rsidR="00894070" w:rsidRDefault="009B7AFD">
      <w:pPr>
        <w:pStyle w:val="ListParagraph"/>
        <w:numPr>
          <w:ilvl w:val="1"/>
          <w:numId w:val="177"/>
        </w:numPr>
        <w:tabs>
          <w:tab w:val="left" w:pos="1801"/>
          <w:tab w:val="left" w:pos="1802"/>
        </w:tabs>
        <w:spacing w:before="114" w:line="206" w:lineRule="auto"/>
        <w:ind w:right="1247"/>
        <w:rPr>
          <w:sz w:val="20"/>
        </w:rPr>
      </w:pPr>
      <w:r>
        <w:rPr>
          <w:color w:val="231F20"/>
          <w:sz w:val="20"/>
        </w:rPr>
        <w:t xml:space="preserve">The Office of the eSafety Commissioner has </w:t>
      </w:r>
      <w:r>
        <w:rPr>
          <w:color w:val="231F20"/>
          <w:spacing w:val="-3"/>
          <w:sz w:val="20"/>
        </w:rPr>
        <w:t xml:space="preserve">developed </w:t>
      </w:r>
      <w:r>
        <w:rPr>
          <w:color w:val="231F20"/>
          <w:sz w:val="20"/>
        </w:rPr>
        <w:t xml:space="preserve">cyberbullying </w:t>
      </w:r>
      <w:r>
        <w:rPr>
          <w:color w:val="231F20"/>
          <w:spacing w:val="-3"/>
          <w:sz w:val="20"/>
        </w:rPr>
        <w:t xml:space="preserve">resources </w:t>
      </w:r>
      <w:r>
        <w:rPr>
          <w:color w:val="231F20"/>
          <w:sz w:val="20"/>
        </w:rPr>
        <w:t>that address</w:t>
      </w:r>
      <w:r>
        <w:rPr>
          <w:color w:val="231F20"/>
          <w:spacing w:val="-12"/>
          <w:sz w:val="20"/>
        </w:rPr>
        <w:t xml:space="preserve"> </w:t>
      </w:r>
      <w:r>
        <w:rPr>
          <w:color w:val="231F20"/>
          <w:sz w:val="20"/>
        </w:rPr>
        <w:t>the</w:t>
      </w:r>
      <w:r>
        <w:rPr>
          <w:color w:val="231F20"/>
          <w:spacing w:val="-11"/>
          <w:sz w:val="20"/>
        </w:rPr>
        <w:t xml:space="preserve"> </w:t>
      </w:r>
      <w:r>
        <w:rPr>
          <w:color w:val="231F20"/>
          <w:sz w:val="20"/>
        </w:rPr>
        <w:t>needs</w:t>
      </w:r>
      <w:r>
        <w:rPr>
          <w:color w:val="231F20"/>
          <w:spacing w:val="-12"/>
          <w:sz w:val="20"/>
        </w:rPr>
        <w:t xml:space="preserve"> </w:t>
      </w:r>
      <w:r>
        <w:rPr>
          <w:color w:val="231F20"/>
          <w:sz w:val="20"/>
        </w:rPr>
        <w:t>of</w:t>
      </w:r>
      <w:r>
        <w:rPr>
          <w:color w:val="231F20"/>
          <w:spacing w:val="-11"/>
          <w:sz w:val="20"/>
        </w:rPr>
        <w:t xml:space="preserve"> </w:t>
      </w:r>
      <w:r>
        <w:rPr>
          <w:color w:val="231F20"/>
          <w:sz w:val="20"/>
        </w:rPr>
        <w:t>young</w:t>
      </w:r>
      <w:r>
        <w:rPr>
          <w:color w:val="231F20"/>
          <w:spacing w:val="-11"/>
          <w:sz w:val="20"/>
        </w:rPr>
        <w:t xml:space="preserve"> </w:t>
      </w:r>
      <w:r>
        <w:rPr>
          <w:color w:val="231F20"/>
          <w:sz w:val="20"/>
        </w:rPr>
        <w:t>people</w:t>
      </w:r>
      <w:r>
        <w:rPr>
          <w:color w:val="231F20"/>
          <w:spacing w:val="-12"/>
          <w:sz w:val="20"/>
        </w:rPr>
        <w:t xml:space="preserve"> </w:t>
      </w:r>
      <w:r>
        <w:rPr>
          <w:color w:val="231F20"/>
          <w:sz w:val="20"/>
        </w:rPr>
        <w:t>using</w:t>
      </w:r>
      <w:r>
        <w:rPr>
          <w:color w:val="231F20"/>
          <w:spacing w:val="-11"/>
          <w:sz w:val="20"/>
        </w:rPr>
        <w:t xml:space="preserve"> </w:t>
      </w:r>
      <w:r>
        <w:rPr>
          <w:color w:val="231F20"/>
          <w:spacing w:val="-3"/>
          <w:sz w:val="20"/>
        </w:rPr>
        <w:t>relevant</w:t>
      </w:r>
      <w:r>
        <w:rPr>
          <w:color w:val="231F20"/>
          <w:spacing w:val="-11"/>
          <w:sz w:val="20"/>
        </w:rPr>
        <w:t xml:space="preserve"> </w:t>
      </w:r>
      <w:r>
        <w:rPr>
          <w:color w:val="231F20"/>
          <w:sz w:val="20"/>
        </w:rPr>
        <w:t>and</w:t>
      </w:r>
      <w:r>
        <w:rPr>
          <w:color w:val="231F20"/>
          <w:spacing w:val="-12"/>
          <w:sz w:val="20"/>
        </w:rPr>
        <w:t xml:space="preserve"> </w:t>
      </w:r>
      <w:r>
        <w:rPr>
          <w:color w:val="231F20"/>
          <w:sz w:val="20"/>
        </w:rPr>
        <w:t>age-appropriate</w:t>
      </w:r>
      <w:r>
        <w:rPr>
          <w:color w:val="231F20"/>
          <w:spacing w:val="-11"/>
          <w:sz w:val="20"/>
        </w:rPr>
        <w:t xml:space="preserve"> </w:t>
      </w:r>
      <w:r>
        <w:rPr>
          <w:color w:val="231F20"/>
          <w:sz w:val="20"/>
        </w:rPr>
        <w:t>scenarios</w:t>
      </w:r>
      <w:r>
        <w:rPr>
          <w:color w:val="231F20"/>
          <w:spacing w:val="-11"/>
          <w:sz w:val="20"/>
        </w:rPr>
        <w:t xml:space="preserve"> </w:t>
      </w:r>
      <w:r>
        <w:rPr>
          <w:color w:val="231F20"/>
          <w:sz w:val="20"/>
        </w:rPr>
        <w:t xml:space="preserve">(see </w:t>
      </w:r>
      <w:r>
        <w:rPr>
          <w:color w:val="231F20"/>
          <w:spacing w:val="-4"/>
          <w:sz w:val="20"/>
        </w:rPr>
        <w:t>box).</w:t>
      </w:r>
    </w:p>
    <w:p w14:paraId="778CEDAC" w14:textId="77777777" w:rsidR="00894070" w:rsidRDefault="009F6793">
      <w:pPr>
        <w:pStyle w:val="BodyText"/>
        <w:spacing w:before="8"/>
        <w:rPr>
          <w:sz w:val="23"/>
        </w:rPr>
      </w:pPr>
      <w:r>
        <w:pict w14:anchorId="3D185B76">
          <v:shape id="_x0000_s1488" type="#_x0000_t202" style="position:absolute;margin-left:119.3pt;margin-top:18.55pt;width:396.35pt;height:116.1pt;z-index:251546624;mso-wrap-distance-left:0;mso-wrap-distance-right:0;mso-position-horizontal-relative:page" fillcolor="#fee7de" strokecolor="#ea5b50" strokeweight=".5pt">
            <v:textbox inset="0,0,0,0">
              <w:txbxContent>
                <w:p w14:paraId="7A19B3A1" w14:textId="77777777" w:rsidR="00894070" w:rsidRDefault="009B7AFD">
                  <w:pPr>
                    <w:spacing w:before="179"/>
                    <w:ind w:left="221"/>
                    <w:rPr>
                      <w:b/>
                      <w:sz w:val="20"/>
                    </w:rPr>
                  </w:pPr>
                  <w:r>
                    <w:rPr>
                      <w:b/>
                      <w:color w:val="231F20"/>
                      <w:sz w:val="20"/>
                    </w:rPr>
                    <w:t>The eSafety Commissioner’s ‘YeS Project’</w:t>
                  </w:r>
                </w:p>
                <w:p w14:paraId="470D11D9" w14:textId="77777777" w:rsidR="00894070" w:rsidRDefault="009B7AFD">
                  <w:pPr>
                    <w:pStyle w:val="BodyText"/>
                    <w:spacing w:before="114" w:line="206" w:lineRule="auto"/>
                    <w:ind w:left="221" w:right="382"/>
                  </w:pPr>
                  <w:r>
                    <w:rPr>
                      <w:color w:val="231F20"/>
                    </w:rPr>
                    <w:t>This resource provides students with a scenario involving a 15-year-old girl and her 18-year-old former partner who is messaging her constantly, even though she has asked him to stop.</w:t>
                  </w:r>
                </w:p>
                <w:p w14:paraId="5B7298B5" w14:textId="77777777" w:rsidR="00894070" w:rsidRDefault="009B7AFD">
                  <w:pPr>
                    <w:pStyle w:val="BodyText"/>
                    <w:spacing w:before="124" w:line="206" w:lineRule="auto"/>
                    <w:ind w:left="221" w:right="379"/>
                    <w:rPr>
                      <w:sz w:val="11"/>
                    </w:rPr>
                  </w:pPr>
                  <w:r>
                    <w:rPr>
                      <w:color w:val="231F20"/>
                    </w:rPr>
                    <w:t>It explains that this may be stalking and illegal. Students are encouraged to get help if they encounter a similar situation and are given a list of resources and supports.</w:t>
                  </w:r>
                  <w:r>
                    <w:rPr>
                      <w:color w:val="231F20"/>
                      <w:position w:val="7"/>
                      <w:sz w:val="11"/>
                    </w:rPr>
                    <w:t>66</w:t>
                  </w:r>
                </w:p>
              </w:txbxContent>
            </v:textbox>
            <w10:wrap type="topAndBottom" anchorx="page"/>
          </v:shape>
        </w:pict>
      </w:r>
    </w:p>
    <w:p w14:paraId="7486CFB9" w14:textId="77777777" w:rsidR="00894070" w:rsidRDefault="00894070">
      <w:pPr>
        <w:pStyle w:val="BodyText"/>
        <w:spacing w:before="6"/>
        <w:rPr>
          <w:sz w:val="19"/>
        </w:rPr>
      </w:pPr>
    </w:p>
    <w:p w14:paraId="72DBF04E" w14:textId="77777777" w:rsidR="00894070" w:rsidRDefault="009B7AFD">
      <w:pPr>
        <w:pStyle w:val="ListParagraph"/>
        <w:numPr>
          <w:ilvl w:val="1"/>
          <w:numId w:val="177"/>
        </w:numPr>
        <w:tabs>
          <w:tab w:val="left" w:pos="1801"/>
          <w:tab w:val="left" w:pos="1802"/>
        </w:tabs>
        <w:spacing w:before="89" w:line="206" w:lineRule="auto"/>
        <w:ind w:right="1184"/>
        <w:rPr>
          <w:sz w:val="20"/>
        </w:rPr>
      </w:pPr>
      <w:r>
        <w:rPr>
          <w:color w:val="231F20"/>
          <w:sz w:val="20"/>
        </w:rPr>
        <w:t>School</w:t>
      </w:r>
      <w:r>
        <w:rPr>
          <w:color w:val="231F20"/>
          <w:spacing w:val="-10"/>
          <w:sz w:val="20"/>
        </w:rPr>
        <w:t xml:space="preserve"> </w:t>
      </w:r>
      <w:r>
        <w:rPr>
          <w:color w:val="231F20"/>
          <w:sz w:val="20"/>
        </w:rPr>
        <w:t>programs</w:t>
      </w:r>
      <w:r>
        <w:rPr>
          <w:color w:val="231F20"/>
          <w:spacing w:val="-9"/>
          <w:sz w:val="20"/>
        </w:rPr>
        <w:t xml:space="preserve"> </w:t>
      </w:r>
      <w:r>
        <w:rPr>
          <w:color w:val="231F20"/>
          <w:sz w:val="20"/>
        </w:rPr>
        <w:t>and</w:t>
      </w:r>
      <w:r>
        <w:rPr>
          <w:color w:val="231F20"/>
          <w:spacing w:val="-10"/>
          <w:sz w:val="20"/>
        </w:rPr>
        <w:t xml:space="preserve"> </w:t>
      </w:r>
      <w:r>
        <w:rPr>
          <w:color w:val="231F20"/>
          <w:sz w:val="20"/>
        </w:rPr>
        <w:t>educational</w:t>
      </w:r>
      <w:r>
        <w:rPr>
          <w:color w:val="231F20"/>
          <w:spacing w:val="-9"/>
          <w:sz w:val="20"/>
        </w:rPr>
        <w:t xml:space="preserve"> </w:t>
      </w:r>
      <w:r>
        <w:rPr>
          <w:color w:val="231F20"/>
          <w:spacing w:val="-3"/>
          <w:sz w:val="20"/>
        </w:rPr>
        <w:t>resources</w:t>
      </w:r>
      <w:r>
        <w:rPr>
          <w:color w:val="231F20"/>
          <w:spacing w:val="-10"/>
          <w:sz w:val="20"/>
        </w:rPr>
        <w:t xml:space="preserve"> </w:t>
      </w:r>
      <w:r>
        <w:rPr>
          <w:color w:val="231F20"/>
          <w:sz w:val="20"/>
        </w:rPr>
        <w:t>should</w:t>
      </w:r>
      <w:r>
        <w:rPr>
          <w:color w:val="231F20"/>
          <w:spacing w:val="-9"/>
          <w:sz w:val="20"/>
        </w:rPr>
        <w:t xml:space="preserve"> </w:t>
      </w:r>
      <w:r>
        <w:rPr>
          <w:color w:val="231F20"/>
          <w:sz w:val="20"/>
        </w:rPr>
        <w:t>be</w:t>
      </w:r>
      <w:r>
        <w:rPr>
          <w:color w:val="231F20"/>
          <w:spacing w:val="-10"/>
          <w:sz w:val="20"/>
        </w:rPr>
        <w:t xml:space="preserve"> </w:t>
      </w:r>
      <w:r>
        <w:rPr>
          <w:color w:val="231F20"/>
          <w:spacing w:val="-3"/>
          <w:sz w:val="20"/>
        </w:rPr>
        <w:t>developed</w:t>
      </w:r>
      <w:r>
        <w:rPr>
          <w:color w:val="231F20"/>
          <w:spacing w:val="-9"/>
          <w:sz w:val="20"/>
        </w:rPr>
        <w:t xml:space="preserve"> </w:t>
      </w:r>
      <w:r>
        <w:rPr>
          <w:color w:val="231F20"/>
          <w:sz w:val="20"/>
        </w:rPr>
        <w:t>in</w:t>
      </w:r>
      <w:r>
        <w:rPr>
          <w:color w:val="231F20"/>
          <w:spacing w:val="-10"/>
          <w:sz w:val="20"/>
        </w:rPr>
        <w:t xml:space="preserve"> </w:t>
      </w:r>
      <w:r>
        <w:rPr>
          <w:color w:val="231F20"/>
          <w:sz w:val="20"/>
        </w:rPr>
        <w:t>collaboration</w:t>
      </w:r>
      <w:r>
        <w:rPr>
          <w:color w:val="231F20"/>
          <w:spacing w:val="-9"/>
          <w:sz w:val="20"/>
        </w:rPr>
        <w:t xml:space="preserve"> </w:t>
      </w:r>
      <w:r>
        <w:rPr>
          <w:color w:val="231F20"/>
          <w:sz w:val="20"/>
        </w:rPr>
        <w:t>with young</w:t>
      </w:r>
      <w:r>
        <w:rPr>
          <w:color w:val="231F20"/>
          <w:spacing w:val="-5"/>
          <w:sz w:val="20"/>
        </w:rPr>
        <w:t xml:space="preserve"> </w:t>
      </w:r>
      <w:r>
        <w:rPr>
          <w:color w:val="231F20"/>
          <w:sz w:val="20"/>
        </w:rPr>
        <w:t>people:</w:t>
      </w:r>
    </w:p>
    <w:p w14:paraId="7A9EC32A" w14:textId="77777777" w:rsidR="00894070" w:rsidRDefault="009B7AFD">
      <w:pPr>
        <w:spacing w:before="121" w:line="208" w:lineRule="auto"/>
        <w:ind w:left="2254" w:right="1259"/>
        <w:rPr>
          <w:sz w:val="11"/>
        </w:rPr>
      </w:pPr>
      <w:r>
        <w:rPr>
          <w:color w:val="231F20"/>
          <w:sz w:val="19"/>
        </w:rPr>
        <w:t>Young people want to be involved and they want to hear presentations from people about their experiences, rather than receiving a Powerpoint presentation about the law.</w:t>
      </w:r>
      <w:r>
        <w:rPr>
          <w:color w:val="231F20"/>
          <w:position w:val="6"/>
          <w:sz w:val="11"/>
        </w:rPr>
        <w:t>67</w:t>
      </w:r>
    </w:p>
    <w:p w14:paraId="37B21293" w14:textId="77777777" w:rsidR="00894070" w:rsidRDefault="009B7AFD">
      <w:pPr>
        <w:pStyle w:val="ListParagraph"/>
        <w:numPr>
          <w:ilvl w:val="1"/>
          <w:numId w:val="177"/>
        </w:numPr>
        <w:tabs>
          <w:tab w:val="left" w:pos="1801"/>
          <w:tab w:val="left" w:pos="1802"/>
        </w:tabs>
        <w:spacing w:before="123" w:line="206" w:lineRule="auto"/>
        <w:ind w:right="1593"/>
        <w:rPr>
          <w:sz w:val="11"/>
        </w:rPr>
      </w:pPr>
      <w:r>
        <w:rPr>
          <w:color w:val="231F20"/>
          <w:spacing w:val="-3"/>
          <w:sz w:val="20"/>
        </w:rPr>
        <w:t xml:space="preserve">Several </w:t>
      </w:r>
      <w:r>
        <w:rPr>
          <w:color w:val="231F20"/>
          <w:sz w:val="20"/>
        </w:rPr>
        <w:t xml:space="preserve">people suggested that </w:t>
      </w:r>
      <w:r>
        <w:rPr>
          <w:color w:val="231F20"/>
          <w:spacing w:val="-3"/>
          <w:sz w:val="20"/>
        </w:rPr>
        <w:t xml:space="preserve">information </w:t>
      </w:r>
      <w:r>
        <w:rPr>
          <w:color w:val="231F20"/>
          <w:sz w:val="20"/>
        </w:rPr>
        <w:t xml:space="preserve">on stalking </w:t>
      </w:r>
      <w:r>
        <w:rPr>
          <w:color w:val="231F20"/>
          <w:spacing w:val="-3"/>
          <w:sz w:val="20"/>
        </w:rPr>
        <w:t xml:space="preserve">for children </w:t>
      </w:r>
      <w:r>
        <w:rPr>
          <w:color w:val="231F20"/>
          <w:sz w:val="20"/>
        </w:rPr>
        <w:t xml:space="preserve">and young people could be </w:t>
      </w:r>
      <w:r>
        <w:rPr>
          <w:color w:val="231F20"/>
          <w:spacing w:val="-3"/>
          <w:sz w:val="20"/>
        </w:rPr>
        <w:t xml:space="preserve">introduced into </w:t>
      </w:r>
      <w:r>
        <w:rPr>
          <w:color w:val="231F20"/>
          <w:sz w:val="20"/>
        </w:rPr>
        <w:t xml:space="preserve">the respectful </w:t>
      </w:r>
      <w:proofErr w:type="gramStart"/>
      <w:r>
        <w:rPr>
          <w:color w:val="231F20"/>
          <w:sz w:val="20"/>
        </w:rPr>
        <w:t>relationships</w:t>
      </w:r>
      <w:proofErr w:type="gramEnd"/>
      <w:r>
        <w:rPr>
          <w:color w:val="231F20"/>
          <w:sz w:val="20"/>
        </w:rPr>
        <w:t xml:space="preserve"> curriculum.</w:t>
      </w:r>
      <w:r>
        <w:rPr>
          <w:color w:val="231F20"/>
          <w:position w:val="7"/>
          <w:sz w:val="11"/>
        </w:rPr>
        <w:t xml:space="preserve">68 </w:t>
      </w:r>
      <w:r>
        <w:rPr>
          <w:color w:val="231F20"/>
          <w:sz w:val="20"/>
        </w:rPr>
        <w:t xml:space="preserve">In our sexual offences report </w:t>
      </w:r>
      <w:r>
        <w:rPr>
          <w:color w:val="231F20"/>
          <w:spacing w:val="-3"/>
          <w:sz w:val="20"/>
        </w:rPr>
        <w:t xml:space="preserve">we </w:t>
      </w:r>
      <w:r>
        <w:rPr>
          <w:color w:val="231F20"/>
          <w:sz w:val="20"/>
        </w:rPr>
        <w:t xml:space="preserve">recommended that the </w:t>
      </w:r>
      <w:r>
        <w:rPr>
          <w:color w:val="231F20"/>
          <w:spacing w:val="-3"/>
          <w:sz w:val="20"/>
        </w:rPr>
        <w:t xml:space="preserve">government </w:t>
      </w:r>
      <w:r>
        <w:rPr>
          <w:color w:val="231F20"/>
          <w:spacing w:val="-4"/>
          <w:sz w:val="20"/>
        </w:rPr>
        <w:t xml:space="preserve">review </w:t>
      </w:r>
      <w:r>
        <w:rPr>
          <w:color w:val="231F20"/>
          <w:sz w:val="20"/>
        </w:rPr>
        <w:t xml:space="preserve">the </w:t>
      </w:r>
      <w:r>
        <w:rPr>
          <w:color w:val="231F20"/>
          <w:spacing w:val="-3"/>
          <w:sz w:val="20"/>
        </w:rPr>
        <w:t xml:space="preserve">content </w:t>
      </w:r>
      <w:r>
        <w:rPr>
          <w:color w:val="231F20"/>
          <w:sz w:val="20"/>
        </w:rPr>
        <w:t>and</w:t>
      </w:r>
      <w:r>
        <w:rPr>
          <w:color w:val="231F20"/>
          <w:spacing w:val="-13"/>
          <w:sz w:val="20"/>
        </w:rPr>
        <w:t xml:space="preserve"> </w:t>
      </w:r>
      <w:r>
        <w:rPr>
          <w:color w:val="231F20"/>
          <w:sz w:val="20"/>
        </w:rPr>
        <w:t>implementation</w:t>
      </w:r>
      <w:r>
        <w:rPr>
          <w:color w:val="231F20"/>
          <w:spacing w:val="-13"/>
          <w:sz w:val="20"/>
        </w:rPr>
        <w:t xml:space="preserve"> </w:t>
      </w:r>
      <w:r>
        <w:rPr>
          <w:color w:val="231F20"/>
          <w:sz w:val="20"/>
        </w:rPr>
        <w:t>of</w:t>
      </w:r>
      <w:r>
        <w:rPr>
          <w:color w:val="231F20"/>
          <w:spacing w:val="-13"/>
          <w:sz w:val="20"/>
        </w:rPr>
        <w:t xml:space="preserve"> </w:t>
      </w:r>
      <w:r>
        <w:rPr>
          <w:color w:val="231F20"/>
          <w:spacing w:val="-3"/>
          <w:sz w:val="20"/>
        </w:rPr>
        <w:t>Victoria’s</w:t>
      </w:r>
      <w:r>
        <w:rPr>
          <w:color w:val="231F20"/>
          <w:spacing w:val="-13"/>
          <w:sz w:val="20"/>
        </w:rPr>
        <w:t xml:space="preserve"> </w:t>
      </w:r>
      <w:r>
        <w:rPr>
          <w:color w:val="231F20"/>
          <w:sz w:val="20"/>
        </w:rPr>
        <w:t>respectful</w:t>
      </w:r>
      <w:r>
        <w:rPr>
          <w:color w:val="231F20"/>
          <w:spacing w:val="-12"/>
          <w:sz w:val="20"/>
        </w:rPr>
        <w:t xml:space="preserve"> </w:t>
      </w:r>
      <w:r>
        <w:rPr>
          <w:color w:val="231F20"/>
          <w:sz w:val="20"/>
        </w:rPr>
        <w:t>relationships</w:t>
      </w:r>
      <w:r>
        <w:rPr>
          <w:color w:val="231F20"/>
          <w:spacing w:val="-13"/>
          <w:sz w:val="20"/>
        </w:rPr>
        <w:t xml:space="preserve"> </w:t>
      </w:r>
      <w:r>
        <w:rPr>
          <w:color w:val="231F20"/>
          <w:sz w:val="20"/>
        </w:rPr>
        <w:t>and</w:t>
      </w:r>
      <w:r>
        <w:rPr>
          <w:color w:val="231F20"/>
          <w:spacing w:val="-13"/>
          <w:sz w:val="20"/>
        </w:rPr>
        <w:t xml:space="preserve"> </w:t>
      </w:r>
      <w:r>
        <w:rPr>
          <w:color w:val="231F20"/>
          <w:sz w:val="20"/>
        </w:rPr>
        <w:t>sexuality</w:t>
      </w:r>
      <w:r>
        <w:rPr>
          <w:color w:val="231F20"/>
          <w:spacing w:val="-13"/>
          <w:sz w:val="20"/>
        </w:rPr>
        <w:t xml:space="preserve"> </w:t>
      </w:r>
      <w:r>
        <w:rPr>
          <w:color w:val="231F20"/>
          <w:sz w:val="20"/>
        </w:rPr>
        <w:t>education.</w:t>
      </w:r>
      <w:r>
        <w:rPr>
          <w:color w:val="231F20"/>
          <w:position w:val="7"/>
          <w:sz w:val="11"/>
        </w:rPr>
        <w:t>69</w:t>
      </w:r>
    </w:p>
    <w:p w14:paraId="457F7608" w14:textId="77777777" w:rsidR="00894070" w:rsidRDefault="009B7AFD">
      <w:pPr>
        <w:pStyle w:val="BodyText"/>
        <w:spacing w:before="6" w:line="206" w:lineRule="auto"/>
        <w:ind w:left="1801" w:right="1082"/>
        <w:rPr>
          <w:sz w:val="11"/>
        </w:rPr>
      </w:pPr>
      <w:r>
        <w:rPr>
          <w:color w:val="231F20"/>
        </w:rPr>
        <w:t xml:space="preserve">Considering the need </w:t>
      </w:r>
      <w:r>
        <w:rPr>
          <w:color w:val="231F20"/>
          <w:spacing w:val="-3"/>
        </w:rPr>
        <w:t xml:space="preserve">for </w:t>
      </w:r>
      <w:r>
        <w:rPr>
          <w:color w:val="231F20"/>
        </w:rPr>
        <w:t xml:space="preserve">teaching </w:t>
      </w:r>
      <w:r>
        <w:rPr>
          <w:color w:val="231F20"/>
          <w:spacing w:val="-3"/>
        </w:rPr>
        <w:t xml:space="preserve">resources </w:t>
      </w:r>
      <w:r>
        <w:rPr>
          <w:color w:val="231F20"/>
        </w:rPr>
        <w:t xml:space="preserve">about stalking could be part of this </w:t>
      </w:r>
      <w:r>
        <w:rPr>
          <w:color w:val="231F20"/>
          <w:spacing w:val="-4"/>
        </w:rPr>
        <w:t xml:space="preserve">review </w:t>
      </w:r>
      <w:r>
        <w:rPr>
          <w:color w:val="231F20"/>
        </w:rPr>
        <w:t xml:space="preserve">process. Stalking education could also be included in programs </w:t>
      </w:r>
      <w:r>
        <w:rPr>
          <w:color w:val="231F20"/>
          <w:spacing w:val="-3"/>
        </w:rPr>
        <w:t xml:space="preserve">introduced </w:t>
      </w:r>
      <w:r>
        <w:rPr>
          <w:color w:val="231F20"/>
        </w:rPr>
        <w:t xml:space="preserve">in response to the </w:t>
      </w:r>
      <w:r>
        <w:rPr>
          <w:color w:val="231F20"/>
          <w:spacing w:val="-3"/>
        </w:rPr>
        <w:t xml:space="preserve">Royal </w:t>
      </w:r>
      <w:r>
        <w:rPr>
          <w:color w:val="231F20"/>
        </w:rPr>
        <w:t xml:space="preserve">Commission </w:t>
      </w:r>
      <w:r>
        <w:rPr>
          <w:color w:val="231F20"/>
          <w:spacing w:val="-3"/>
        </w:rPr>
        <w:t xml:space="preserve">into Victoria’s </w:t>
      </w:r>
      <w:r>
        <w:rPr>
          <w:color w:val="231F20"/>
        </w:rPr>
        <w:t xml:space="preserve">Mental Health </w:t>
      </w:r>
      <w:r>
        <w:rPr>
          <w:color w:val="231F20"/>
          <w:spacing w:val="-3"/>
        </w:rPr>
        <w:t xml:space="preserve">System. </w:t>
      </w:r>
      <w:r>
        <w:rPr>
          <w:color w:val="231F20"/>
        </w:rPr>
        <w:t xml:space="preserve">The </w:t>
      </w:r>
      <w:r>
        <w:rPr>
          <w:color w:val="231F20"/>
          <w:spacing w:val="-3"/>
        </w:rPr>
        <w:t xml:space="preserve">Royal </w:t>
      </w:r>
      <w:r>
        <w:rPr>
          <w:color w:val="231F20"/>
        </w:rPr>
        <w:t xml:space="preserve">Commission recommended that the </w:t>
      </w:r>
      <w:r>
        <w:rPr>
          <w:color w:val="231F20"/>
          <w:spacing w:val="-3"/>
        </w:rPr>
        <w:t xml:space="preserve">government </w:t>
      </w:r>
      <w:r>
        <w:rPr>
          <w:color w:val="231F20"/>
        </w:rPr>
        <w:t xml:space="preserve">fund anti-stigma and anti-bullying programs to help schools support </w:t>
      </w:r>
      <w:r>
        <w:rPr>
          <w:color w:val="231F20"/>
          <w:spacing w:val="-3"/>
        </w:rPr>
        <w:t xml:space="preserve">students’ </w:t>
      </w:r>
      <w:r>
        <w:rPr>
          <w:color w:val="231F20"/>
        </w:rPr>
        <w:t xml:space="preserve">mental health and </w:t>
      </w:r>
      <w:r>
        <w:rPr>
          <w:color w:val="231F20"/>
          <w:spacing w:val="-3"/>
        </w:rPr>
        <w:t>wellbeing.</w:t>
      </w:r>
      <w:r>
        <w:rPr>
          <w:color w:val="231F20"/>
          <w:spacing w:val="-3"/>
          <w:position w:val="7"/>
          <w:sz w:val="11"/>
        </w:rPr>
        <w:t>70</w:t>
      </w:r>
    </w:p>
    <w:p w14:paraId="45DFE893" w14:textId="77777777" w:rsidR="00894070" w:rsidRDefault="009B7AFD">
      <w:pPr>
        <w:pStyle w:val="ListParagraph"/>
        <w:numPr>
          <w:ilvl w:val="1"/>
          <w:numId w:val="177"/>
        </w:numPr>
        <w:tabs>
          <w:tab w:val="left" w:pos="1801"/>
          <w:tab w:val="left" w:pos="1802"/>
        </w:tabs>
        <w:spacing w:before="126" w:line="206" w:lineRule="auto"/>
        <w:ind w:right="1360"/>
        <w:rPr>
          <w:sz w:val="20"/>
        </w:rPr>
      </w:pPr>
      <w:r>
        <w:rPr>
          <w:color w:val="231F20"/>
          <w:sz w:val="20"/>
        </w:rPr>
        <w:t xml:space="preserve">It is important that schools </w:t>
      </w:r>
      <w:r>
        <w:rPr>
          <w:color w:val="231F20"/>
          <w:spacing w:val="-3"/>
          <w:sz w:val="20"/>
        </w:rPr>
        <w:t xml:space="preserve">know </w:t>
      </w:r>
      <w:r>
        <w:rPr>
          <w:color w:val="231F20"/>
          <w:sz w:val="20"/>
        </w:rPr>
        <w:t>what to do if they identify stalking or a student discloses</w:t>
      </w:r>
      <w:r>
        <w:rPr>
          <w:color w:val="231F20"/>
          <w:spacing w:val="-11"/>
          <w:sz w:val="20"/>
        </w:rPr>
        <w:t xml:space="preserve"> </w:t>
      </w:r>
      <w:r>
        <w:rPr>
          <w:color w:val="231F20"/>
          <w:sz w:val="20"/>
        </w:rPr>
        <w:t>stalking</w:t>
      </w:r>
      <w:r>
        <w:rPr>
          <w:color w:val="231F20"/>
          <w:spacing w:val="-10"/>
          <w:sz w:val="20"/>
        </w:rPr>
        <w:t xml:space="preserve"> </w:t>
      </w:r>
      <w:r>
        <w:rPr>
          <w:color w:val="231F20"/>
          <w:sz w:val="20"/>
        </w:rPr>
        <w:t>at</w:t>
      </w:r>
      <w:r>
        <w:rPr>
          <w:color w:val="231F20"/>
          <w:spacing w:val="-10"/>
          <w:sz w:val="20"/>
        </w:rPr>
        <w:t xml:space="preserve"> </w:t>
      </w:r>
      <w:r>
        <w:rPr>
          <w:color w:val="231F20"/>
          <w:sz w:val="20"/>
        </w:rPr>
        <w:t>school.</w:t>
      </w:r>
      <w:r>
        <w:rPr>
          <w:color w:val="231F20"/>
          <w:spacing w:val="-10"/>
          <w:sz w:val="20"/>
        </w:rPr>
        <w:t xml:space="preserve"> </w:t>
      </w:r>
      <w:r>
        <w:rPr>
          <w:color w:val="231F20"/>
          <w:spacing w:val="-6"/>
          <w:sz w:val="20"/>
        </w:rPr>
        <w:t>We</w:t>
      </w:r>
      <w:r>
        <w:rPr>
          <w:color w:val="231F20"/>
          <w:spacing w:val="-10"/>
          <w:sz w:val="20"/>
        </w:rPr>
        <w:t xml:space="preserve"> </w:t>
      </w:r>
      <w:r>
        <w:rPr>
          <w:color w:val="231F20"/>
          <w:sz w:val="20"/>
        </w:rPr>
        <w:t>heard</w:t>
      </w:r>
      <w:r>
        <w:rPr>
          <w:color w:val="231F20"/>
          <w:spacing w:val="-10"/>
          <w:sz w:val="20"/>
        </w:rPr>
        <w:t xml:space="preserve"> </w:t>
      </w:r>
      <w:r>
        <w:rPr>
          <w:color w:val="231F20"/>
          <w:sz w:val="20"/>
        </w:rPr>
        <w:t>about</w:t>
      </w:r>
      <w:r>
        <w:rPr>
          <w:color w:val="231F20"/>
          <w:spacing w:val="-10"/>
          <w:sz w:val="20"/>
        </w:rPr>
        <w:t xml:space="preserve"> </w:t>
      </w:r>
      <w:r>
        <w:rPr>
          <w:color w:val="231F20"/>
          <w:sz w:val="20"/>
        </w:rPr>
        <w:t>schools</w:t>
      </w:r>
      <w:r>
        <w:rPr>
          <w:color w:val="231F20"/>
          <w:spacing w:val="-10"/>
          <w:sz w:val="20"/>
        </w:rPr>
        <w:t xml:space="preserve"> </w:t>
      </w:r>
      <w:r>
        <w:rPr>
          <w:color w:val="231F20"/>
          <w:sz w:val="20"/>
        </w:rPr>
        <w:t>not</w:t>
      </w:r>
      <w:r>
        <w:rPr>
          <w:color w:val="231F20"/>
          <w:spacing w:val="-10"/>
          <w:sz w:val="20"/>
        </w:rPr>
        <w:t xml:space="preserve"> </w:t>
      </w:r>
      <w:r>
        <w:rPr>
          <w:color w:val="231F20"/>
          <w:sz w:val="20"/>
        </w:rPr>
        <w:t>doing</w:t>
      </w:r>
      <w:r>
        <w:rPr>
          <w:color w:val="231F20"/>
          <w:spacing w:val="-10"/>
          <w:sz w:val="20"/>
        </w:rPr>
        <w:t xml:space="preserve"> </w:t>
      </w:r>
      <w:r>
        <w:rPr>
          <w:color w:val="231F20"/>
          <w:sz w:val="20"/>
        </w:rPr>
        <w:t>enough</w:t>
      </w:r>
      <w:r>
        <w:rPr>
          <w:color w:val="231F20"/>
          <w:spacing w:val="-10"/>
          <w:sz w:val="20"/>
        </w:rPr>
        <w:t xml:space="preserve"> </w:t>
      </w:r>
      <w:r>
        <w:rPr>
          <w:color w:val="231F20"/>
          <w:sz w:val="20"/>
        </w:rPr>
        <w:t>to</w:t>
      </w:r>
      <w:r>
        <w:rPr>
          <w:color w:val="231F20"/>
          <w:spacing w:val="-10"/>
          <w:sz w:val="20"/>
        </w:rPr>
        <w:t xml:space="preserve"> </w:t>
      </w:r>
      <w:r>
        <w:rPr>
          <w:color w:val="231F20"/>
          <w:sz w:val="20"/>
        </w:rPr>
        <w:t>respond</w:t>
      </w:r>
      <w:r>
        <w:rPr>
          <w:color w:val="231F20"/>
          <w:spacing w:val="-10"/>
          <w:sz w:val="20"/>
        </w:rPr>
        <w:t xml:space="preserve"> </w:t>
      </w:r>
      <w:r>
        <w:rPr>
          <w:color w:val="231F20"/>
          <w:sz w:val="20"/>
        </w:rPr>
        <w:t xml:space="preserve">to stalking. One young person </w:t>
      </w:r>
      <w:r>
        <w:rPr>
          <w:color w:val="231F20"/>
          <w:spacing w:val="-3"/>
          <w:sz w:val="20"/>
        </w:rPr>
        <w:t>told</w:t>
      </w:r>
      <w:r>
        <w:rPr>
          <w:color w:val="231F20"/>
          <w:spacing w:val="-22"/>
          <w:sz w:val="20"/>
        </w:rPr>
        <w:t xml:space="preserve"> </w:t>
      </w:r>
      <w:r>
        <w:rPr>
          <w:color w:val="231F20"/>
          <w:sz w:val="20"/>
        </w:rPr>
        <w:t>us:</w:t>
      </w:r>
    </w:p>
    <w:p w14:paraId="39EA16CF" w14:textId="77777777" w:rsidR="00894070" w:rsidRDefault="009F6793">
      <w:pPr>
        <w:pStyle w:val="BodyText"/>
        <w:spacing w:before="7"/>
        <w:rPr>
          <w:sz w:val="23"/>
        </w:rPr>
      </w:pPr>
      <w:r>
        <w:pict w14:anchorId="6A79936F">
          <v:shape id="_x0000_s1487" type="#_x0000_t202" style="position:absolute;margin-left:119.3pt;margin-top:18.55pt;width:396.35pt;height:56.1pt;z-index:251548672;mso-wrap-distance-left:0;mso-wrap-distance-right:0;mso-position-horizontal-relative:page" fillcolor="#fee7de" strokecolor="#ea5b50" strokeweight=".5pt">
            <v:textbox inset="0,0,0,0">
              <w:txbxContent>
                <w:p w14:paraId="39122BE6" w14:textId="77777777" w:rsidR="00894070" w:rsidRDefault="00894070">
                  <w:pPr>
                    <w:pStyle w:val="BodyText"/>
                    <w:spacing w:before="3"/>
                    <w:rPr>
                      <w:sz w:val="15"/>
                    </w:rPr>
                  </w:pPr>
                </w:p>
                <w:p w14:paraId="092AD93F" w14:textId="77777777" w:rsidR="00894070" w:rsidRDefault="009B7AFD">
                  <w:pPr>
                    <w:pStyle w:val="BodyText"/>
                    <w:spacing w:line="206" w:lineRule="auto"/>
                    <w:ind w:left="221" w:right="345"/>
                    <w:rPr>
                      <w:sz w:val="11"/>
                    </w:rPr>
                  </w:pPr>
                  <w:r>
                    <w:rPr>
                      <w:color w:val="231F20"/>
                    </w:rPr>
                    <w:t>There was support within the school but the help they could give was minimal and it didn’t do much. I took a long time to get any help and even then the most they did was separate us during classes.</w:t>
                  </w:r>
                  <w:r>
                    <w:rPr>
                      <w:color w:val="231F20"/>
                      <w:position w:val="7"/>
                      <w:sz w:val="11"/>
                    </w:rPr>
                    <w:t>71</w:t>
                  </w:r>
                </w:p>
              </w:txbxContent>
            </v:textbox>
            <w10:wrap type="topAndBottom" anchorx="page"/>
          </v:shape>
        </w:pict>
      </w:r>
    </w:p>
    <w:p w14:paraId="6479E102" w14:textId="77777777" w:rsidR="00894070" w:rsidRDefault="00894070">
      <w:pPr>
        <w:pStyle w:val="BodyText"/>
      </w:pPr>
    </w:p>
    <w:p w14:paraId="32B9F374" w14:textId="77777777" w:rsidR="00894070" w:rsidRDefault="00894070">
      <w:pPr>
        <w:pStyle w:val="BodyText"/>
      </w:pPr>
    </w:p>
    <w:p w14:paraId="22BD67EF" w14:textId="77777777" w:rsidR="00894070" w:rsidRDefault="00894070">
      <w:pPr>
        <w:pStyle w:val="BodyText"/>
      </w:pPr>
    </w:p>
    <w:p w14:paraId="5748F78A" w14:textId="77777777" w:rsidR="00894070" w:rsidRDefault="00894070">
      <w:pPr>
        <w:pStyle w:val="BodyText"/>
      </w:pPr>
    </w:p>
    <w:p w14:paraId="254D606C" w14:textId="77777777" w:rsidR="00894070" w:rsidRDefault="00894070">
      <w:pPr>
        <w:pStyle w:val="BodyText"/>
      </w:pPr>
    </w:p>
    <w:p w14:paraId="2478C94E" w14:textId="77777777" w:rsidR="00894070" w:rsidRDefault="00894070">
      <w:pPr>
        <w:pStyle w:val="BodyText"/>
      </w:pPr>
    </w:p>
    <w:p w14:paraId="48CF8668" w14:textId="77777777" w:rsidR="00894070" w:rsidRDefault="009F6793">
      <w:pPr>
        <w:pStyle w:val="BodyText"/>
        <w:rPr>
          <w:sz w:val="15"/>
        </w:rPr>
      </w:pPr>
      <w:r>
        <w:pict w14:anchorId="5519F3CC">
          <v:line id="_x0000_s1486" style="position:absolute;z-index:251549696;mso-wrap-distance-left:0;mso-wrap-distance-right:0;mso-position-horizontal-relative:page" from="79.35pt,12.85pt" to="515.9pt,12.85pt" strokecolor="#f8cabc" strokeweight="1pt">
            <w10:wrap type="topAndBottom" anchorx="page"/>
          </v:line>
        </w:pict>
      </w:r>
    </w:p>
    <w:p w14:paraId="5C643226" w14:textId="77777777" w:rsidR="00894070" w:rsidRDefault="009B7AFD">
      <w:pPr>
        <w:pStyle w:val="ListParagraph"/>
        <w:numPr>
          <w:ilvl w:val="0"/>
          <w:numId w:val="134"/>
        </w:numPr>
        <w:tabs>
          <w:tab w:val="left" w:pos="1800"/>
          <w:tab w:val="left" w:pos="1802"/>
        </w:tabs>
        <w:spacing w:before="91" w:line="170" w:lineRule="exact"/>
        <w:rPr>
          <w:sz w:val="13"/>
        </w:rPr>
      </w:pPr>
      <w:r>
        <w:rPr>
          <w:color w:val="231F20"/>
          <w:sz w:val="13"/>
        </w:rPr>
        <w:t xml:space="preserve">Consultation 17 (Small group meeting on </w:t>
      </w:r>
      <w:r>
        <w:rPr>
          <w:color w:val="231F20"/>
          <w:spacing w:val="2"/>
          <w:sz w:val="13"/>
        </w:rPr>
        <w:t xml:space="preserve">stalking </w:t>
      </w:r>
      <w:r>
        <w:rPr>
          <w:color w:val="231F20"/>
          <w:sz w:val="13"/>
        </w:rPr>
        <w:t>and young</w:t>
      </w:r>
      <w:r>
        <w:rPr>
          <w:color w:val="231F20"/>
          <w:spacing w:val="2"/>
          <w:sz w:val="13"/>
        </w:rPr>
        <w:t xml:space="preserve"> </w:t>
      </w:r>
      <w:r>
        <w:rPr>
          <w:color w:val="231F20"/>
          <w:sz w:val="13"/>
        </w:rPr>
        <w:t>people).</w:t>
      </w:r>
    </w:p>
    <w:p w14:paraId="0AE4CB00" w14:textId="77777777" w:rsidR="00894070" w:rsidRDefault="009B7AFD">
      <w:pPr>
        <w:pStyle w:val="ListParagraph"/>
        <w:numPr>
          <w:ilvl w:val="0"/>
          <w:numId w:val="134"/>
        </w:numPr>
        <w:tabs>
          <w:tab w:val="left" w:pos="1801"/>
          <w:tab w:val="left" w:pos="1802"/>
        </w:tabs>
        <w:spacing w:line="160" w:lineRule="exact"/>
        <w:rPr>
          <w:sz w:val="13"/>
        </w:rPr>
      </w:pPr>
      <w:r>
        <w:rPr>
          <w:color w:val="231F20"/>
          <w:sz w:val="13"/>
        </w:rPr>
        <w:t xml:space="preserve">Office of the eSafety </w:t>
      </w:r>
      <w:r>
        <w:rPr>
          <w:color w:val="231F20"/>
          <w:spacing w:val="2"/>
          <w:sz w:val="13"/>
        </w:rPr>
        <w:t xml:space="preserve">Commissioner </w:t>
      </w:r>
      <w:r>
        <w:rPr>
          <w:color w:val="231F20"/>
          <w:sz w:val="13"/>
        </w:rPr>
        <w:t xml:space="preserve">(Cth) et </w:t>
      </w:r>
      <w:r>
        <w:rPr>
          <w:color w:val="231F20"/>
          <w:spacing w:val="2"/>
          <w:sz w:val="13"/>
        </w:rPr>
        <w:t xml:space="preserve">al, </w:t>
      </w:r>
      <w:r>
        <w:rPr>
          <w:i/>
          <w:color w:val="231F20"/>
          <w:sz w:val="13"/>
        </w:rPr>
        <w:t xml:space="preserve">The YeS Project: Workshop Handbook </w:t>
      </w:r>
      <w:r>
        <w:rPr>
          <w:color w:val="231F20"/>
          <w:spacing w:val="2"/>
          <w:sz w:val="13"/>
        </w:rPr>
        <w:t xml:space="preserve">(Report, </w:t>
      </w:r>
      <w:r>
        <w:rPr>
          <w:color w:val="231F20"/>
          <w:sz w:val="13"/>
        </w:rPr>
        <w:t>2018) 46.</w:t>
      </w:r>
    </w:p>
    <w:p w14:paraId="064C87C2" w14:textId="77777777" w:rsidR="00894070" w:rsidRDefault="009B7AFD">
      <w:pPr>
        <w:pStyle w:val="ListParagraph"/>
        <w:numPr>
          <w:ilvl w:val="0"/>
          <w:numId w:val="134"/>
        </w:numPr>
        <w:tabs>
          <w:tab w:val="left" w:pos="1801"/>
          <w:tab w:val="left" w:pos="1802"/>
        </w:tabs>
        <w:spacing w:line="160" w:lineRule="exact"/>
        <w:rPr>
          <w:sz w:val="13"/>
        </w:rPr>
      </w:pPr>
      <w:r>
        <w:rPr>
          <w:color w:val="231F20"/>
          <w:sz w:val="13"/>
        </w:rPr>
        <w:t xml:space="preserve">Consultation 17 (Small group meeting on </w:t>
      </w:r>
      <w:r>
        <w:rPr>
          <w:color w:val="231F20"/>
          <w:spacing w:val="2"/>
          <w:sz w:val="13"/>
        </w:rPr>
        <w:t xml:space="preserve">stalking </w:t>
      </w:r>
      <w:r>
        <w:rPr>
          <w:color w:val="231F20"/>
          <w:sz w:val="13"/>
        </w:rPr>
        <w:t>and young</w:t>
      </w:r>
      <w:r>
        <w:rPr>
          <w:color w:val="231F20"/>
          <w:spacing w:val="2"/>
          <w:sz w:val="13"/>
        </w:rPr>
        <w:t xml:space="preserve"> </w:t>
      </w:r>
      <w:r>
        <w:rPr>
          <w:color w:val="231F20"/>
          <w:sz w:val="13"/>
        </w:rPr>
        <w:t>people).</w:t>
      </w:r>
    </w:p>
    <w:p w14:paraId="4100DF44" w14:textId="77777777" w:rsidR="00894070" w:rsidRDefault="009B7AFD">
      <w:pPr>
        <w:pStyle w:val="ListParagraph"/>
        <w:numPr>
          <w:ilvl w:val="0"/>
          <w:numId w:val="134"/>
        </w:numPr>
        <w:tabs>
          <w:tab w:val="left" w:pos="1800"/>
          <w:tab w:val="left" w:pos="1802"/>
        </w:tabs>
        <w:spacing w:line="160" w:lineRule="exact"/>
        <w:rPr>
          <w:sz w:val="13"/>
        </w:rPr>
      </w:pPr>
      <w:r>
        <w:rPr>
          <w:color w:val="231F20"/>
          <w:sz w:val="13"/>
        </w:rPr>
        <w:t>See, eg, ibid; Consultations 3 (Victoria Police (No 1)), 5 (Harmful Sexual Behaviours</w:t>
      </w:r>
      <w:r>
        <w:rPr>
          <w:color w:val="231F20"/>
          <w:spacing w:val="14"/>
          <w:sz w:val="13"/>
        </w:rPr>
        <w:t xml:space="preserve"> </w:t>
      </w:r>
      <w:r>
        <w:rPr>
          <w:color w:val="231F20"/>
          <w:sz w:val="13"/>
        </w:rPr>
        <w:t>Network).</w:t>
      </w:r>
    </w:p>
    <w:p w14:paraId="5981F99C" w14:textId="77777777" w:rsidR="00894070" w:rsidRDefault="009B7AFD">
      <w:pPr>
        <w:pStyle w:val="ListParagraph"/>
        <w:numPr>
          <w:ilvl w:val="0"/>
          <w:numId w:val="134"/>
        </w:numPr>
        <w:tabs>
          <w:tab w:val="left" w:pos="1800"/>
          <w:tab w:val="left" w:pos="1802"/>
        </w:tabs>
        <w:spacing w:line="160"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No 42, September</w:t>
      </w:r>
      <w:r>
        <w:rPr>
          <w:color w:val="231F20"/>
          <w:spacing w:val="26"/>
          <w:sz w:val="13"/>
        </w:rPr>
        <w:t xml:space="preserve"> </w:t>
      </w:r>
      <w:r>
        <w:rPr>
          <w:color w:val="231F20"/>
          <w:sz w:val="13"/>
        </w:rPr>
        <w:t>2021)</w:t>
      </w:r>
    </w:p>
    <w:p w14:paraId="6A51C191" w14:textId="77777777" w:rsidR="00894070" w:rsidRDefault="009B7AFD">
      <w:pPr>
        <w:spacing w:line="160" w:lineRule="exact"/>
        <w:ind w:left="1801"/>
        <w:rPr>
          <w:sz w:val="13"/>
        </w:rPr>
      </w:pPr>
      <w:r>
        <w:rPr>
          <w:color w:val="231F20"/>
          <w:sz w:val="13"/>
        </w:rPr>
        <w:t>Recommendation 2.</w:t>
      </w:r>
    </w:p>
    <w:p w14:paraId="5D7BC718" w14:textId="77777777" w:rsidR="00894070" w:rsidRDefault="009B7AFD">
      <w:pPr>
        <w:pStyle w:val="ListParagraph"/>
        <w:numPr>
          <w:ilvl w:val="0"/>
          <w:numId w:val="134"/>
        </w:numPr>
        <w:tabs>
          <w:tab w:val="left" w:pos="1801"/>
          <w:tab w:val="left" w:pos="1802"/>
        </w:tabs>
        <w:spacing w:before="6" w:line="213" w:lineRule="auto"/>
        <w:ind w:right="1187"/>
        <w:rPr>
          <w:sz w:val="13"/>
        </w:rPr>
      </w:pPr>
      <w:r>
        <w:rPr>
          <w:i/>
          <w:color w:val="231F20"/>
          <w:sz w:val="13"/>
        </w:rPr>
        <w:t xml:space="preserve">Royal Commission into Victoria’s Mental Health System </w:t>
      </w:r>
      <w:r>
        <w:rPr>
          <w:color w:val="231F20"/>
          <w:sz w:val="13"/>
        </w:rPr>
        <w:t xml:space="preserve">(Final </w:t>
      </w:r>
      <w:r>
        <w:rPr>
          <w:color w:val="231F20"/>
          <w:spacing w:val="2"/>
          <w:sz w:val="13"/>
        </w:rPr>
        <w:t xml:space="preserve">Report, </w:t>
      </w:r>
      <w:r>
        <w:rPr>
          <w:color w:val="231F20"/>
          <w:sz w:val="13"/>
        </w:rPr>
        <w:t xml:space="preserve">February 2021) Recommendation 17(1). Information about the Victorian Government’s implementation of recommendation 17 is available on the </w:t>
      </w:r>
      <w:r>
        <w:rPr>
          <w:color w:val="231F20"/>
          <w:spacing w:val="2"/>
          <w:sz w:val="13"/>
        </w:rPr>
        <w:t xml:space="preserve">Department </w:t>
      </w:r>
      <w:r>
        <w:rPr>
          <w:color w:val="231F20"/>
          <w:sz w:val="13"/>
        </w:rPr>
        <w:t xml:space="preserve">of Health’s website: </w:t>
      </w:r>
      <w:r>
        <w:rPr>
          <w:color w:val="231F20"/>
          <w:spacing w:val="2"/>
          <w:sz w:val="13"/>
        </w:rPr>
        <w:t xml:space="preserve">Department     </w:t>
      </w:r>
      <w:r>
        <w:rPr>
          <w:color w:val="231F20"/>
          <w:sz w:val="13"/>
        </w:rPr>
        <w:t xml:space="preserve">of Health (Vic), </w:t>
      </w:r>
      <w:r>
        <w:rPr>
          <w:color w:val="231F20"/>
          <w:spacing w:val="2"/>
          <w:sz w:val="13"/>
        </w:rPr>
        <w:t xml:space="preserve">‘Good </w:t>
      </w:r>
      <w:r>
        <w:rPr>
          <w:color w:val="231F20"/>
          <w:sz w:val="13"/>
        </w:rPr>
        <w:t>Mental Health Where People Live, Work, and Learn</w:t>
      </w:r>
      <w:r>
        <w:rPr>
          <w:i/>
          <w:color w:val="231F20"/>
          <w:sz w:val="13"/>
        </w:rPr>
        <w:t xml:space="preserve">— </w:t>
      </w:r>
      <w:r>
        <w:rPr>
          <w:color w:val="231F20"/>
          <w:sz w:val="13"/>
        </w:rPr>
        <w:t xml:space="preserve">Recommendation 17’, </w:t>
      </w:r>
      <w:r>
        <w:rPr>
          <w:i/>
          <w:color w:val="231F20"/>
          <w:sz w:val="13"/>
        </w:rPr>
        <w:t xml:space="preserve">Health.vic </w:t>
      </w:r>
      <w:r>
        <w:rPr>
          <w:color w:val="231F20"/>
          <w:sz w:val="13"/>
        </w:rPr>
        <w:t>(Web Page, 17 March 2022</w:t>
      </w:r>
      <w:hyperlink r:id="rId128">
        <w:r>
          <w:rPr>
            <w:color w:val="231F20"/>
            <w:sz w:val="13"/>
          </w:rPr>
          <w:t>) &lt;http://www.health.vic.gov.au/mental-health-reform/recommendation-17</w:t>
        </w:r>
      </w:hyperlink>
      <w:r>
        <w:rPr>
          <w:color w:val="231F20"/>
          <w:sz w:val="13"/>
        </w:rPr>
        <w:t>&gt;.</w:t>
      </w:r>
    </w:p>
    <w:p w14:paraId="7091C160" w14:textId="77777777" w:rsidR="00894070" w:rsidRDefault="009F6793">
      <w:pPr>
        <w:pStyle w:val="ListParagraph"/>
        <w:numPr>
          <w:ilvl w:val="0"/>
          <w:numId w:val="134"/>
        </w:numPr>
        <w:tabs>
          <w:tab w:val="left" w:pos="1801"/>
          <w:tab w:val="left" w:pos="1802"/>
        </w:tabs>
        <w:spacing w:line="213" w:lineRule="auto"/>
        <w:ind w:right="1521"/>
        <w:rPr>
          <w:sz w:val="13"/>
        </w:rPr>
      </w:pPr>
      <w:r>
        <w:pict w14:anchorId="5FAAB738">
          <v:shape id="_x0000_s1485" type="#_x0000_t202" style="position:absolute;left:0;text-align:left;margin-left:548.85pt;margin-top:3.4pt;width:13pt;height:14.1pt;z-index:251625472;mso-position-horizontal-relative:page" filled="f" stroked="f">
            <v:textbox inset="0,0,0,0">
              <w:txbxContent>
                <w:p w14:paraId="75630CF5" w14:textId="77777777" w:rsidR="00894070" w:rsidRDefault="009B7AFD">
                  <w:pPr>
                    <w:spacing w:line="282" w:lineRule="exact"/>
                    <w:rPr>
                      <w:b/>
                      <w:sz w:val="24"/>
                    </w:rPr>
                  </w:pPr>
                  <w:r>
                    <w:rPr>
                      <w:b/>
                      <w:color w:val="EA5B50"/>
                      <w:spacing w:val="-11"/>
                      <w:sz w:val="24"/>
                    </w:rPr>
                    <w:t>63</w:t>
                  </w:r>
                </w:p>
              </w:txbxContent>
            </v:textbox>
            <w10:wrap anchorx="page"/>
          </v:shape>
        </w:pict>
      </w:r>
      <w:r w:rsidR="009B7AFD">
        <w:rPr>
          <w:color w:val="231F20"/>
          <w:sz w:val="13"/>
        </w:rPr>
        <w:t xml:space="preserve">Victorian Law Reform </w:t>
      </w:r>
      <w:r w:rsidR="009B7AFD">
        <w:rPr>
          <w:color w:val="231F20"/>
          <w:spacing w:val="2"/>
          <w:sz w:val="13"/>
        </w:rPr>
        <w:t xml:space="preserve">Commission, </w:t>
      </w:r>
      <w:r w:rsidR="009B7AFD">
        <w:rPr>
          <w:i/>
          <w:color w:val="231F20"/>
          <w:sz w:val="13"/>
        </w:rPr>
        <w:t xml:space="preserve">Stalking: </w:t>
      </w:r>
      <w:r w:rsidR="009B7AFD">
        <w:rPr>
          <w:i/>
          <w:color w:val="231F20"/>
          <w:spacing w:val="2"/>
          <w:sz w:val="13"/>
        </w:rPr>
        <w:t xml:space="preserve">Summary </w:t>
      </w:r>
      <w:r w:rsidR="009B7AFD">
        <w:rPr>
          <w:i/>
          <w:color w:val="231F20"/>
          <w:sz w:val="13"/>
        </w:rPr>
        <w:t xml:space="preserve">of Responses to Online Feedback Form from People with </w:t>
      </w:r>
      <w:r w:rsidR="009B7AFD">
        <w:rPr>
          <w:i/>
          <w:color w:val="231F20"/>
          <w:spacing w:val="2"/>
          <w:sz w:val="13"/>
        </w:rPr>
        <w:t xml:space="preserve">Experience </w:t>
      </w:r>
      <w:r w:rsidR="009B7AFD">
        <w:rPr>
          <w:i/>
          <w:color w:val="231F20"/>
          <w:sz w:val="13"/>
        </w:rPr>
        <w:t xml:space="preserve">of Stalking </w:t>
      </w:r>
      <w:r w:rsidR="009B7AFD">
        <w:rPr>
          <w:color w:val="231F20"/>
          <w:spacing w:val="2"/>
          <w:sz w:val="13"/>
        </w:rPr>
        <w:t xml:space="preserve">(Report, </w:t>
      </w:r>
      <w:r w:rsidR="009B7AFD">
        <w:rPr>
          <w:color w:val="231F20"/>
          <w:sz w:val="13"/>
        </w:rPr>
        <w:t>August</w:t>
      </w:r>
      <w:r w:rsidR="009B7AFD">
        <w:rPr>
          <w:color w:val="231F20"/>
          <w:spacing w:val="-2"/>
          <w:sz w:val="13"/>
        </w:rPr>
        <w:t xml:space="preserve"> </w:t>
      </w:r>
      <w:r w:rsidR="009B7AFD">
        <w:rPr>
          <w:color w:val="231F20"/>
          <w:sz w:val="13"/>
        </w:rPr>
        <w:t>2021).</w:t>
      </w:r>
    </w:p>
    <w:p w14:paraId="22B48207" w14:textId="77777777" w:rsidR="00894070" w:rsidRDefault="00894070">
      <w:pPr>
        <w:spacing w:line="213" w:lineRule="auto"/>
        <w:rPr>
          <w:sz w:val="13"/>
        </w:rPr>
        <w:sectPr w:rsidR="00894070">
          <w:pgSz w:w="11910" w:h="16840"/>
          <w:pgMar w:top="840" w:right="420" w:bottom="280" w:left="580" w:header="0" w:footer="0" w:gutter="0"/>
          <w:cols w:space="720"/>
        </w:sectPr>
      </w:pPr>
    </w:p>
    <w:p w14:paraId="01ED0DA7" w14:textId="77777777" w:rsidR="00894070" w:rsidRDefault="00894070">
      <w:pPr>
        <w:pStyle w:val="BodyText"/>
      </w:pPr>
    </w:p>
    <w:p w14:paraId="7E31819A" w14:textId="77777777" w:rsidR="00894070" w:rsidRDefault="00894070">
      <w:pPr>
        <w:pStyle w:val="BodyText"/>
      </w:pPr>
    </w:p>
    <w:p w14:paraId="4C45EB28" w14:textId="77777777" w:rsidR="00894070" w:rsidRDefault="00894070">
      <w:pPr>
        <w:pStyle w:val="BodyText"/>
      </w:pPr>
    </w:p>
    <w:p w14:paraId="315B31D4" w14:textId="77777777" w:rsidR="00894070" w:rsidRDefault="00894070">
      <w:pPr>
        <w:pStyle w:val="BodyText"/>
        <w:spacing w:before="7"/>
        <w:rPr>
          <w:sz w:val="16"/>
        </w:rPr>
      </w:pPr>
    </w:p>
    <w:p w14:paraId="129352C2" w14:textId="77777777" w:rsidR="00894070" w:rsidRDefault="009B7AFD">
      <w:pPr>
        <w:pStyle w:val="ListParagraph"/>
        <w:numPr>
          <w:ilvl w:val="1"/>
          <w:numId w:val="177"/>
        </w:numPr>
        <w:tabs>
          <w:tab w:val="left" w:pos="1801"/>
          <w:tab w:val="left" w:pos="1802"/>
        </w:tabs>
        <w:rPr>
          <w:sz w:val="20"/>
        </w:rPr>
      </w:pPr>
      <w:r>
        <w:rPr>
          <w:color w:val="231F20"/>
          <w:sz w:val="20"/>
        </w:rPr>
        <w:t>A</w:t>
      </w:r>
      <w:r>
        <w:rPr>
          <w:color w:val="231F20"/>
          <w:spacing w:val="-5"/>
          <w:sz w:val="20"/>
        </w:rPr>
        <w:t xml:space="preserve"> </w:t>
      </w:r>
      <w:r>
        <w:rPr>
          <w:color w:val="231F20"/>
          <w:sz w:val="20"/>
        </w:rPr>
        <w:t>person</w:t>
      </w:r>
      <w:r>
        <w:rPr>
          <w:color w:val="231F20"/>
          <w:spacing w:val="-5"/>
          <w:sz w:val="20"/>
        </w:rPr>
        <w:t xml:space="preserve"> </w:t>
      </w:r>
      <w:r>
        <w:rPr>
          <w:color w:val="231F20"/>
          <w:sz w:val="20"/>
        </w:rPr>
        <w:t>describing</w:t>
      </w:r>
      <w:r>
        <w:rPr>
          <w:color w:val="231F20"/>
          <w:spacing w:val="-5"/>
          <w:sz w:val="20"/>
        </w:rPr>
        <w:t xml:space="preserve"> </w:t>
      </w:r>
      <w:r>
        <w:rPr>
          <w:color w:val="231F20"/>
          <w:sz w:val="20"/>
        </w:rPr>
        <w:t>the</w:t>
      </w:r>
      <w:r>
        <w:rPr>
          <w:color w:val="231F20"/>
          <w:spacing w:val="-5"/>
          <w:sz w:val="20"/>
        </w:rPr>
        <w:t xml:space="preserve"> </w:t>
      </w:r>
      <w:r>
        <w:rPr>
          <w:color w:val="231F20"/>
          <w:sz w:val="20"/>
        </w:rPr>
        <w:t>experience</w:t>
      </w:r>
      <w:r>
        <w:rPr>
          <w:color w:val="231F20"/>
          <w:spacing w:val="-5"/>
          <w:sz w:val="20"/>
        </w:rPr>
        <w:t xml:space="preserve"> </w:t>
      </w:r>
      <w:r>
        <w:rPr>
          <w:color w:val="231F20"/>
          <w:sz w:val="20"/>
        </w:rPr>
        <w:t>of</w:t>
      </w:r>
      <w:r>
        <w:rPr>
          <w:color w:val="231F20"/>
          <w:spacing w:val="-4"/>
          <w:sz w:val="20"/>
        </w:rPr>
        <w:t xml:space="preserve"> </w:t>
      </w:r>
      <w:r>
        <w:rPr>
          <w:color w:val="231F20"/>
          <w:sz w:val="20"/>
        </w:rPr>
        <w:t>their</w:t>
      </w:r>
      <w:r>
        <w:rPr>
          <w:color w:val="231F20"/>
          <w:spacing w:val="-5"/>
          <w:sz w:val="20"/>
        </w:rPr>
        <w:t xml:space="preserve"> </w:t>
      </w:r>
      <w:r>
        <w:rPr>
          <w:color w:val="231F20"/>
          <w:sz w:val="20"/>
        </w:rPr>
        <w:t>school</w:t>
      </w:r>
      <w:r>
        <w:rPr>
          <w:color w:val="231F20"/>
          <w:spacing w:val="-5"/>
          <w:sz w:val="20"/>
        </w:rPr>
        <w:t xml:space="preserve"> </w:t>
      </w:r>
      <w:r>
        <w:rPr>
          <w:color w:val="231F20"/>
          <w:sz w:val="20"/>
        </w:rPr>
        <w:t>friend</w:t>
      </w:r>
      <w:r>
        <w:rPr>
          <w:color w:val="231F20"/>
          <w:spacing w:val="-5"/>
          <w:sz w:val="20"/>
        </w:rPr>
        <w:t xml:space="preserve"> </w:t>
      </w:r>
      <w:r>
        <w:rPr>
          <w:color w:val="231F20"/>
          <w:sz w:val="20"/>
        </w:rPr>
        <w:t>said:</w:t>
      </w:r>
    </w:p>
    <w:p w14:paraId="38DA8D8E" w14:textId="77777777" w:rsidR="00894070" w:rsidRDefault="009F6793">
      <w:pPr>
        <w:pStyle w:val="BodyText"/>
        <w:spacing w:before="12"/>
        <w:rPr>
          <w:sz w:val="22"/>
        </w:rPr>
      </w:pPr>
      <w:r>
        <w:pict w14:anchorId="3343BE94">
          <v:shape id="_x0000_s1484" type="#_x0000_t202" style="position:absolute;margin-left:119.3pt;margin-top:18.1pt;width:396.35pt;height:80.1pt;z-index:251551744;mso-wrap-distance-left:0;mso-wrap-distance-right:0;mso-position-horizontal-relative:page" fillcolor="#fee7de" strokecolor="#ea5b50" strokeweight=".5pt">
            <v:textbox inset="0,0,0,0">
              <w:txbxContent>
                <w:p w14:paraId="1A173F36" w14:textId="77777777" w:rsidR="00894070" w:rsidRDefault="00894070">
                  <w:pPr>
                    <w:pStyle w:val="BodyText"/>
                    <w:spacing w:before="3"/>
                    <w:rPr>
                      <w:sz w:val="15"/>
                    </w:rPr>
                  </w:pPr>
                </w:p>
                <w:p w14:paraId="08E0CC5E" w14:textId="77777777" w:rsidR="00894070" w:rsidRDefault="009B7AFD">
                  <w:pPr>
                    <w:pStyle w:val="BodyText"/>
                    <w:spacing w:line="206" w:lineRule="auto"/>
                    <w:ind w:left="221" w:right="312"/>
                    <w:rPr>
                      <w:sz w:val="11"/>
                    </w:rPr>
                  </w:pPr>
                  <w:r>
                    <w:rPr>
                      <w:color w:val="231F20"/>
                    </w:rPr>
                    <w:t>When she told the Vice Principal, he obviously didn’t take the situation seriously as the stalker was only given a mild slap on the wrist and they were not allowed to sit with one another in class. This was never followed up by the Vice Principal and the friend being stalked felt like her voice wasn’t being heard by someone who was meant to protect her and her fellow students.</w:t>
                  </w:r>
                  <w:r>
                    <w:rPr>
                      <w:color w:val="231F20"/>
                      <w:position w:val="7"/>
                      <w:sz w:val="11"/>
                    </w:rPr>
                    <w:t>72</w:t>
                  </w:r>
                </w:p>
              </w:txbxContent>
            </v:textbox>
            <w10:wrap type="topAndBottom" anchorx="page"/>
          </v:shape>
        </w:pict>
      </w:r>
    </w:p>
    <w:p w14:paraId="33755974" w14:textId="77777777" w:rsidR="00894070" w:rsidRDefault="00894070">
      <w:pPr>
        <w:pStyle w:val="BodyText"/>
        <w:spacing w:before="6"/>
        <w:rPr>
          <w:sz w:val="19"/>
        </w:rPr>
      </w:pPr>
    </w:p>
    <w:p w14:paraId="37F57AF4" w14:textId="77777777" w:rsidR="00894070" w:rsidRDefault="009B7AFD">
      <w:pPr>
        <w:pStyle w:val="ListParagraph"/>
        <w:numPr>
          <w:ilvl w:val="1"/>
          <w:numId w:val="177"/>
        </w:numPr>
        <w:tabs>
          <w:tab w:val="left" w:pos="1801"/>
          <w:tab w:val="left" w:pos="1802"/>
        </w:tabs>
        <w:spacing w:before="57" w:line="259" w:lineRule="exact"/>
        <w:rPr>
          <w:sz w:val="20"/>
        </w:rPr>
      </w:pPr>
      <w:r>
        <w:rPr>
          <w:color w:val="231F20"/>
          <w:sz w:val="20"/>
        </w:rPr>
        <w:t xml:space="preserve">In </w:t>
      </w:r>
      <w:r>
        <w:rPr>
          <w:color w:val="231F20"/>
          <w:spacing w:val="-3"/>
          <w:sz w:val="20"/>
        </w:rPr>
        <w:t xml:space="preserve">Chapter </w:t>
      </w:r>
      <w:r>
        <w:rPr>
          <w:color w:val="231F20"/>
          <w:sz w:val="20"/>
        </w:rPr>
        <w:t xml:space="preserve">6 </w:t>
      </w:r>
      <w:r>
        <w:rPr>
          <w:color w:val="231F20"/>
          <w:spacing w:val="-3"/>
          <w:sz w:val="20"/>
        </w:rPr>
        <w:t xml:space="preserve">we </w:t>
      </w:r>
      <w:r>
        <w:rPr>
          <w:color w:val="231F20"/>
          <w:sz w:val="20"/>
        </w:rPr>
        <w:t xml:space="preserve">discuss </w:t>
      </w:r>
      <w:r>
        <w:rPr>
          <w:color w:val="231F20"/>
          <w:spacing w:val="-3"/>
          <w:sz w:val="20"/>
        </w:rPr>
        <w:t xml:space="preserve">alternative </w:t>
      </w:r>
      <w:r>
        <w:rPr>
          <w:color w:val="231F20"/>
          <w:spacing w:val="-4"/>
          <w:sz w:val="20"/>
        </w:rPr>
        <w:t xml:space="preserve">pathways </w:t>
      </w:r>
      <w:r>
        <w:rPr>
          <w:color w:val="231F20"/>
          <w:sz w:val="20"/>
        </w:rPr>
        <w:t xml:space="preserve">to the justice </w:t>
      </w:r>
      <w:r>
        <w:rPr>
          <w:color w:val="231F20"/>
          <w:spacing w:val="-2"/>
          <w:sz w:val="20"/>
        </w:rPr>
        <w:t xml:space="preserve">system </w:t>
      </w:r>
      <w:r>
        <w:rPr>
          <w:color w:val="231F20"/>
          <w:spacing w:val="-3"/>
          <w:sz w:val="20"/>
        </w:rPr>
        <w:t>for children</w:t>
      </w:r>
      <w:r>
        <w:rPr>
          <w:color w:val="231F20"/>
          <w:spacing w:val="-35"/>
          <w:sz w:val="20"/>
        </w:rPr>
        <w:t xml:space="preserve"> </w:t>
      </w:r>
      <w:r>
        <w:rPr>
          <w:color w:val="231F20"/>
          <w:sz w:val="20"/>
        </w:rPr>
        <w:t>and</w:t>
      </w:r>
    </w:p>
    <w:p w14:paraId="5F7AA4E0" w14:textId="77777777" w:rsidR="00894070" w:rsidRDefault="009B7AFD">
      <w:pPr>
        <w:pStyle w:val="BodyText"/>
        <w:spacing w:line="259" w:lineRule="exact"/>
        <w:ind w:left="1801"/>
      </w:pPr>
      <w:r>
        <w:rPr>
          <w:color w:val="231F20"/>
        </w:rPr>
        <w:t>young people.</w:t>
      </w:r>
    </w:p>
    <w:p w14:paraId="7F141517" w14:textId="77777777" w:rsidR="00894070" w:rsidRDefault="009B7AFD">
      <w:pPr>
        <w:pStyle w:val="ListParagraph"/>
        <w:numPr>
          <w:ilvl w:val="1"/>
          <w:numId w:val="177"/>
        </w:numPr>
        <w:tabs>
          <w:tab w:val="left" w:pos="1801"/>
          <w:tab w:val="left" w:pos="1802"/>
        </w:tabs>
        <w:spacing w:before="115" w:line="206" w:lineRule="auto"/>
        <w:ind w:right="1270"/>
        <w:rPr>
          <w:sz w:val="11"/>
        </w:rPr>
      </w:pPr>
      <w:r>
        <w:rPr>
          <w:color w:val="231F20"/>
          <w:sz w:val="20"/>
        </w:rPr>
        <w:t>Universities</w:t>
      </w:r>
      <w:r>
        <w:rPr>
          <w:color w:val="231F20"/>
          <w:spacing w:val="-8"/>
          <w:sz w:val="20"/>
        </w:rPr>
        <w:t xml:space="preserve"> </w:t>
      </w:r>
      <w:r>
        <w:rPr>
          <w:color w:val="231F20"/>
          <w:sz w:val="20"/>
        </w:rPr>
        <w:t>play</w:t>
      </w:r>
      <w:r>
        <w:rPr>
          <w:color w:val="231F20"/>
          <w:spacing w:val="-7"/>
          <w:sz w:val="20"/>
        </w:rPr>
        <w:t xml:space="preserve"> </w:t>
      </w:r>
      <w:r>
        <w:rPr>
          <w:color w:val="231F20"/>
          <w:sz w:val="20"/>
        </w:rPr>
        <w:t>an</w:t>
      </w:r>
      <w:r>
        <w:rPr>
          <w:color w:val="231F20"/>
          <w:spacing w:val="-8"/>
          <w:sz w:val="20"/>
        </w:rPr>
        <w:t xml:space="preserve"> </w:t>
      </w:r>
      <w:r>
        <w:rPr>
          <w:color w:val="231F20"/>
          <w:sz w:val="20"/>
        </w:rPr>
        <w:t>important</w:t>
      </w:r>
      <w:r>
        <w:rPr>
          <w:color w:val="231F20"/>
          <w:spacing w:val="-7"/>
          <w:sz w:val="20"/>
        </w:rPr>
        <w:t xml:space="preserve"> </w:t>
      </w:r>
      <w:r>
        <w:rPr>
          <w:color w:val="231F20"/>
          <w:spacing w:val="-4"/>
          <w:sz w:val="20"/>
        </w:rPr>
        <w:t>role.</w:t>
      </w:r>
      <w:r>
        <w:rPr>
          <w:color w:val="231F20"/>
          <w:spacing w:val="-4"/>
          <w:position w:val="7"/>
          <w:sz w:val="11"/>
        </w:rPr>
        <w:t>73</w:t>
      </w:r>
      <w:r>
        <w:rPr>
          <w:color w:val="231F20"/>
          <w:spacing w:val="16"/>
          <w:position w:val="7"/>
          <w:sz w:val="11"/>
        </w:rPr>
        <w:t xml:space="preserve"> </w:t>
      </w:r>
      <w:r>
        <w:rPr>
          <w:color w:val="231F20"/>
          <w:sz w:val="20"/>
        </w:rPr>
        <w:t>As</w:t>
      </w:r>
      <w:r>
        <w:rPr>
          <w:color w:val="231F20"/>
          <w:spacing w:val="-7"/>
          <w:sz w:val="20"/>
        </w:rPr>
        <w:t xml:space="preserve"> </w:t>
      </w:r>
      <w:r>
        <w:rPr>
          <w:color w:val="231F20"/>
          <w:sz w:val="20"/>
        </w:rPr>
        <w:t>noted</w:t>
      </w:r>
      <w:r>
        <w:rPr>
          <w:color w:val="231F20"/>
          <w:spacing w:val="-8"/>
          <w:sz w:val="20"/>
        </w:rPr>
        <w:t xml:space="preserve"> </w:t>
      </w:r>
      <w:r>
        <w:rPr>
          <w:color w:val="231F20"/>
          <w:sz w:val="20"/>
        </w:rPr>
        <w:t>in</w:t>
      </w:r>
      <w:r>
        <w:rPr>
          <w:color w:val="231F20"/>
          <w:spacing w:val="-7"/>
          <w:sz w:val="20"/>
        </w:rPr>
        <w:t xml:space="preserve"> </w:t>
      </w:r>
      <w:r>
        <w:rPr>
          <w:color w:val="231F20"/>
          <w:spacing w:val="-3"/>
          <w:sz w:val="20"/>
        </w:rPr>
        <w:t>Chapter</w:t>
      </w:r>
      <w:r>
        <w:rPr>
          <w:color w:val="231F20"/>
          <w:spacing w:val="-7"/>
          <w:sz w:val="20"/>
        </w:rPr>
        <w:t xml:space="preserve"> </w:t>
      </w:r>
      <w:r>
        <w:rPr>
          <w:color w:val="231F20"/>
          <w:sz w:val="20"/>
        </w:rPr>
        <w:t>2,</w:t>
      </w:r>
      <w:r>
        <w:rPr>
          <w:color w:val="231F20"/>
          <w:spacing w:val="-8"/>
          <w:sz w:val="20"/>
        </w:rPr>
        <w:t xml:space="preserve"> </w:t>
      </w:r>
      <w:r>
        <w:rPr>
          <w:color w:val="231F20"/>
          <w:sz w:val="20"/>
        </w:rPr>
        <w:t>studies</w:t>
      </w:r>
      <w:r>
        <w:rPr>
          <w:color w:val="231F20"/>
          <w:spacing w:val="-7"/>
          <w:sz w:val="20"/>
        </w:rPr>
        <w:t xml:space="preserve"> </w:t>
      </w:r>
      <w:r>
        <w:rPr>
          <w:color w:val="231F20"/>
          <w:sz w:val="20"/>
        </w:rPr>
        <w:t>in</w:t>
      </w:r>
      <w:r>
        <w:rPr>
          <w:color w:val="231F20"/>
          <w:spacing w:val="-8"/>
          <w:sz w:val="20"/>
        </w:rPr>
        <w:t xml:space="preserve"> </w:t>
      </w:r>
      <w:r>
        <w:rPr>
          <w:color w:val="231F20"/>
          <w:sz w:val="20"/>
        </w:rPr>
        <w:t>the</w:t>
      </w:r>
      <w:r>
        <w:rPr>
          <w:color w:val="231F20"/>
          <w:spacing w:val="-7"/>
          <w:sz w:val="20"/>
        </w:rPr>
        <w:t xml:space="preserve"> </w:t>
      </w:r>
      <w:r>
        <w:rPr>
          <w:color w:val="231F20"/>
          <w:sz w:val="20"/>
        </w:rPr>
        <w:t>United</w:t>
      </w:r>
      <w:r>
        <w:rPr>
          <w:color w:val="231F20"/>
          <w:spacing w:val="-8"/>
          <w:sz w:val="20"/>
        </w:rPr>
        <w:t xml:space="preserve"> </w:t>
      </w:r>
      <w:r>
        <w:rPr>
          <w:color w:val="231F20"/>
          <w:spacing w:val="-3"/>
          <w:sz w:val="20"/>
        </w:rPr>
        <w:t xml:space="preserve">States </w:t>
      </w:r>
      <w:r>
        <w:rPr>
          <w:color w:val="231F20"/>
          <w:sz w:val="20"/>
        </w:rPr>
        <w:t xml:space="preserve">indicate higher </w:t>
      </w:r>
      <w:r>
        <w:rPr>
          <w:color w:val="231F20"/>
          <w:spacing w:val="-3"/>
          <w:sz w:val="20"/>
        </w:rPr>
        <w:t xml:space="preserve">rates </w:t>
      </w:r>
      <w:r>
        <w:rPr>
          <w:color w:val="231F20"/>
          <w:sz w:val="20"/>
        </w:rPr>
        <w:t xml:space="preserve">of stalking among </w:t>
      </w:r>
      <w:r>
        <w:rPr>
          <w:color w:val="231F20"/>
          <w:spacing w:val="-3"/>
          <w:sz w:val="20"/>
        </w:rPr>
        <w:t xml:space="preserve">enrolled </w:t>
      </w:r>
      <w:r>
        <w:rPr>
          <w:color w:val="231F20"/>
          <w:sz w:val="20"/>
        </w:rPr>
        <w:t>college students compared to the general</w:t>
      </w:r>
      <w:r>
        <w:rPr>
          <w:color w:val="231F20"/>
          <w:spacing w:val="-4"/>
          <w:sz w:val="20"/>
        </w:rPr>
        <w:t xml:space="preserve"> </w:t>
      </w:r>
      <w:r>
        <w:rPr>
          <w:color w:val="231F20"/>
          <w:spacing w:val="-3"/>
          <w:sz w:val="20"/>
        </w:rPr>
        <w:t>population.</w:t>
      </w:r>
      <w:r>
        <w:rPr>
          <w:color w:val="231F20"/>
          <w:spacing w:val="-3"/>
          <w:position w:val="7"/>
          <w:sz w:val="11"/>
        </w:rPr>
        <w:t>74</w:t>
      </w:r>
    </w:p>
    <w:p w14:paraId="407A0CE4" w14:textId="77777777" w:rsidR="00894070" w:rsidRDefault="009B7AFD">
      <w:pPr>
        <w:pStyle w:val="ListParagraph"/>
        <w:numPr>
          <w:ilvl w:val="1"/>
          <w:numId w:val="177"/>
        </w:numPr>
        <w:tabs>
          <w:tab w:val="left" w:pos="1801"/>
          <w:tab w:val="left" w:pos="1802"/>
        </w:tabs>
        <w:spacing w:before="91"/>
        <w:rPr>
          <w:sz w:val="20"/>
        </w:rPr>
      </w:pPr>
      <w:r>
        <w:rPr>
          <w:color w:val="231F20"/>
          <w:sz w:val="20"/>
        </w:rPr>
        <w:t xml:space="preserve">One </w:t>
      </w:r>
      <w:r>
        <w:rPr>
          <w:color w:val="231F20"/>
          <w:spacing w:val="-4"/>
          <w:sz w:val="20"/>
        </w:rPr>
        <w:t xml:space="preserve">LGBTIQA+ </w:t>
      </w:r>
      <w:r>
        <w:rPr>
          <w:color w:val="231F20"/>
          <w:sz w:val="20"/>
        </w:rPr>
        <w:t xml:space="preserve">young person with a disability </w:t>
      </w:r>
      <w:r>
        <w:rPr>
          <w:color w:val="231F20"/>
          <w:spacing w:val="-3"/>
          <w:sz w:val="20"/>
        </w:rPr>
        <w:t>told</w:t>
      </w:r>
      <w:r>
        <w:rPr>
          <w:color w:val="231F20"/>
          <w:spacing w:val="-31"/>
          <w:sz w:val="20"/>
        </w:rPr>
        <w:t xml:space="preserve"> </w:t>
      </w:r>
      <w:r>
        <w:rPr>
          <w:color w:val="231F20"/>
          <w:sz w:val="20"/>
        </w:rPr>
        <w:t>us:</w:t>
      </w:r>
    </w:p>
    <w:p w14:paraId="254D5248" w14:textId="77777777" w:rsidR="00894070" w:rsidRDefault="009F6793">
      <w:pPr>
        <w:pStyle w:val="BodyText"/>
        <w:spacing w:before="12"/>
        <w:rPr>
          <w:sz w:val="22"/>
        </w:rPr>
      </w:pPr>
      <w:r>
        <w:pict w14:anchorId="48F3086F">
          <v:shape id="_x0000_s1483" type="#_x0000_t202" style="position:absolute;margin-left:119.3pt;margin-top:18.1pt;width:396.35pt;height:80.1pt;z-index:251553792;mso-wrap-distance-left:0;mso-wrap-distance-right:0;mso-position-horizontal-relative:page" fillcolor="#fee7de" strokecolor="#ea5b50" strokeweight=".5pt">
            <v:textbox inset="0,0,0,0">
              <w:txbxContent>
                <w:p w14:paraId="11CC118C" w14:textId="77777777" w:rsidR="00894070" w:rsidRDefault="00894070">
                  <w:pPr>
                    <w:pStyle w:val="BodyText"/>
                    <w:spacing w:before="3"/>
                    <w:rPr>
                      <w:sz w:val="15"/>
                    </w:rPr>
                  </w:pPr>
                </w:p>
                <w:p w14:paraId="5CC9F3FC" w14:textId="77777777" w:rsidR="00894070" w:rsidRDefault="009B7AFD">
                  <w:pPr>
                    <w:pStyle w:val="BodyText"/>
                    <w:spacing w:line="206" w:lineRule="auto"/>
                    <w:ind w:left="221" w:right="244"/>
                    <w:rPr>
                      <w:sz w:val="11"/>
                    </w:rPr>
                  </w:pPr>
                  <w:r>
                    <w:rPr>
                      <w:color w:val="231F20"/>
                    </w:rPr>
                    <w:t>I first spoke to a woman in my uni course after I started to feel uncomfortable about a fellow student. I asked her if what he was doing was something worth speaking to a lecturer about and she said it absolutely was, and was horrified that I didn’t realise how serious it already was. She told me I should tell a lecturer immediately, and said she was more than happy to be there with me.</w:t>
                  </w:r>
                  <w:r>
                    <w:rPr>
                      <w:color w:val="231F20"/>
                      <w:position w:val="7"/>
                      <w:sz w:val="11"/>
                    </w:rPr>
                    <w:t>75</w:t>
                  </w:r>
                </w:p>
              </w:txbxContent>
            </v:textbox>
            <w10:wrap type="topAndBottom" anchorx="page"/>
          </v:shape>
        </w:pict>
      </w:r>
    </w:p>
    <w:p w14:paraId="225A6AA0" w14:textId="77777777" w:rsidR="00894070" w:rsidRDefault="00894070">
      <w:pPr>
        <w:pStyle w:val="BodyText"/>
        <w:spacing w:before="6"/>
        <w:rPr>
          <w:sz w:val="19"/>
        </w:rPr>
      </w:pPr>
    </w:p>
    <w:p w14:paraId="01B94722" w14:textId="77777777" w:rsidR="00894070" w:rsidRDefault="009B7AFD">
      <w:pPr>
        <w:pStyle w:val="ListParagraph"/>
        <w:numPr>
          <w:ilvl w:val="1"/>
          <w:numId w:val="177"/>
        </w:numPr>
        <w:tabs>
          <w:tab w:val="left" w:pos="1801"/>
          <w:tab w:val="left" w:pos="1802"/>
        </w:tabs>
        <w:spacing w:before="89" w:line="206" w:lineRule="auto"/>
        <w:ind w:right="1633"/>
        <w:rPr>
          <w:sz w:val="20"/>
        </w:rPr>
      </w:pPr>
      <w:r>
        <w:rPr>
          <w:color w:val="231F20"/>
          <w:spacing w:val="-3"/>
          <w:sz w:val="20"/>
        </w:rPr>
        <w:t>For</w:t>
      </w:r>
      <w:r>
        <w:rPr>
          <w:color w:val="231F20"/>
          <w:spacing w:val="-9"/>
          <w:sz w:val="20"/>
        </w:rPr>
        <w:t xml:space="preserve"> </w:t>
      </w:r>
      <w:r>
        <w:rPr>
          <w:color w:val="231F20"/>
          <w:sz w:val="20"/>
        </w:rPr>
        <w:t>one</w:t>
      </w:r>
      <w:r>
        <w:rPr>
          <w:color w:val="231F20"/>
          <w:spacing w:val="-9"/>
          <w:sz w:val="20"/>
        </w:rPr>
        <w:t xml:space="preserve"> </w:t>
      </w:r>
      <w:r>
        <w:rPr>
          <w:color w:val="231F20"/>
          <w:spacing w:val="-3"/>
          <w:sz w:val="20"/>
        </w:rPr>
        <w:t>international</w:t>
      </w:r>
      <w:r>
        <w:rPr>
          <w:color w:val="231F20"/>
          <w:spacing w:val="-9"/>
          <w:sz w:val="20"/>
        </w:rPr>
        <w:t xml:space="preserve"> </w:t>
      </w:r>
      <w:r>
        <w:rPr>
          <w:color w:val="231F20"/>
          <w:sz w:val="20"/>
        </w:rPr>
        <w:t>student,</w:t>
      </w:r>
      <w:r>
        <w:rPr>
          <w:color w:val="231F20"/>
          <w:spacing w:val="-8"/>
          <w:sz w:val="20"/>
        </w:rPr>
        <w:t xml:space="preserve"> </w:t>
      </w:r>
      <w:r>
        <w:rPr>
          <w:color w:val="231F20"/>
          <w:sz w:val="20"/>
        </w:rPr>
        <w:t>the</w:t>
      </w:r>
      <w:r>
        <w:rPr>
          <w:color w:val="231F20"/>
          <w:spacing w:val="-9"/>
          <w:sz w:val="20"/>
        </w:rPr>
        <w:t xml:space="preserve"> </w:t>
      </w:r>
      <w:r>
        <w:rPr>
          <w:color w:val="231F20"/>
          <w:sz w:val="20"/>
        </w:rPr>
        <w:t>university</w:t>
      </w:r>
      <w:r>
        <w:rPr>
          <w:color w:val="231F20"/>
          <w:spacing w:val="-9"/>
          <w:sz w:val="20"/>
        </w:rPr>
        <w:t xml:space="preserve"> </w:t>
      </w:r>
      <w:r>
        <w:rPr>
          <w:color w:val="231F20"/>
          <w:sz w:val="20"/>
        </w:rPr>
        <w:t>was</w:t>
      </w:r>
      <w:r>
        <w:rPr>
          <w:color w:val="231F20"/>
          <w:spacing w:val="-8"/>
          <w:sz w:val="20"/>
        </w:rPr>
        <w:t xml:space="preserve"> </w:t>
      </w:r>
      <w:r>
        <w:rPr>
          <w:color w:val="231F20"/>
          <w:sz w:val="20"/>
        </w:rPr>
        <w:t>able</w:t>
      </w:r>
      <w:r>
        <w:rPr>
          <w:color w:val="231F20"/>
          <w:spacing w:val="-9"/>
          <w:sz w:val="20"/>
        </w:rPr>
        <w:t xml:space="preserve"> </w:t>
      </w:r>
      <w:r>
        <w:rPr>
          <w:color w:val="231F20"/>
          <w:sz w:val="20"/>
        </w:rPr>
        <w:t>to</w:t>
      </w:r>
      <w:r>
        <w:rPr>
          <w:color w:val="231F20"/>
          <w:spacing w:val="-9"/>
          <w:sz w:val="20"/>
        </w:rPr>
        <w:t xml:space="preserve"> </w:t>
      </w:r>
      <w:r>
        <w:rPr>
          <w:color w:val="231F20"/>
          <w:sz w:val="20"/>
        </w:rPr>
        <w:t>stop</w:t>
      </w:r>
      <w:r>
        <w:rPr>
          <w:color w:val="231F20"/>
          <w:spacing w:val="-9"/>
          <w:sz w:val="20"/>
        </w:rPr>
        <w:t xml:space="preserve"> </w:t>
      </w:r>
      <w:r>
        <w:rPr>
          <w:color w:val="231F20"/>
          <w:sz w:val="20"/>
        </w:rPr>
        <w:t>the</w:t>
      </w:r>
      <w:r>
        <w:rPr>
          <w:color w:val="231F20"/>
          <w:spacing w:val="-8"/>
          <w:sz w:val="20"/>
        </w:rPr>
        <w:t xml:space="preserve"> </w:t>
      </w:r>
      <w:r>
        <w:rPr>
          <w:color w:val="231F20"/>
          <w:sz w:val="20"/>
        </w:rPr>
        <w:t>stalking</w:t>
      </w:r>
      <w:r>
        <w:rPr>
          <w:color w:val="231F20"/>
          <w:spacing w:val="-9"/>
          <w:sz w:val="20"/>
        </w:rPr>
        <w:t xml:space="preserve"> </w:t>
      </w:r>
      <w:r>
        <w:rPr>
          <w:color w:val="231F20"/>
          <w:sz w:val="20"/>
        </w:rPr>
        <w:t>without</w:t>
      </w:r>
      <w:r>
        <w:rPr>
          <w:color w:val="231F20"/>
          <w:spacing w:val="-9"/>
          <w:sz w:val="20"/>
        </w:rPr>
        <w:t xml:space="preserve"> </w:t>
      </w:r>
      <w:r>
        <w:rPr>
          <w:color w:val="231F20"/>
          <w:sz w:val="20"/>
        </w:rPr>
        <w:t xml:space="preserve">it needing to </w:t>
      </w:r>
      <w:r>
        <w:rPr>
          <w:color w:val="231F20"/>
          <w:spacing w:val="-3"/>
          <w:sz w:val="20"/>
        </w:rPr>
        <w:t xml:space="preserve">reach </w:t>
      </w:r>
      <w:r>
        <w:rPr>
          <w:color w:val="231F20"/>
          <w:sz w:val="20"/>
        </w:rPr>
        <w:t>the justice</w:t>
      </w:r>
      <w:r>
        <w:rPr>
          <w:color w:val="231F20"/>
          <w:spacing w:val="-18"/>
          <w:sz w:val="20"/>
        </w:rPr>
        <w:t xml:space="preserve"> </w:t>
      </w:r>
      <w:r>
        <w:rPr>
          <w:color w:val="231F20"/>
          <w:spacing w:val="-3"/>
          <w:sz w:val="20"/>
        </w:rPr>
        <w:t>system:</w:t>
      </w:r>
    </w:p>
    <w:p w14:paraId="3BEA9002" w14:textId="77777777" w:rsidR="00894070" w:rsidRDefault="009F6793">
      <w:pPr>
        <w:pStyle w:val="BodyText"/>
        <w:spacing w:before="6"/>
        <w:rPr>
          <w:sz w:val="23"/>
        </w:rPr>
      </w:pPr>
      <w:r>
        <w:pict w14:anchorId="2E976DE8">
          <v:shape id="_x0000_s1482" type="#_x0000_t202" style="position:absolute;margin-left:119.3pt;margin-top:18.5pt;width:396.35pt;height:104.1pt;z-index:251554816;mso-wrap-distance-left:0;mso-wrap-distance-right:0;mso-position-horizontal-relative:page" fillcolor="#fee7de" strokecolor="#ea5b50" strokeweight=".5pt">
            <v:textbox inset="0,0,0,0">
              <w:txbxContent>
                <w:p w14:paraId="42E8576D" w14:textId="77777777" w:rsidR="00894070" w:rsidRDefault="00894070">
                  <w:pPr>
                    <w:pStyle w:val="BodyText"/>
                    <w:spacing w:before="3"/>
                    <w:rPr>
                      <w:sz w:val="15"/>
                    </w:rPr>
                  </w:pPr>
                </w:p>
                <w:p w14:paraId="666EC6FD" w14:textId="77777777" w:rsidR="00894070" w:rsidRDefault="009B7AFD">
                  <w:pPr>
                    <w:pStyle w:val="BodyText"/>
                    <w:spacing w:line="206" w:lineRule="auto"/>
                    <w:ind w:left="221" w:right="217"/>
                    <w:rPr>
                      <w:sz w:val="11"/>
                    </w:rPr>
                  </w:pPr>
                  <w:r>
                    <w:rPr>
                      <w:color w:val="231F20"/>
                    </w:rPr>
                    <w:t xml:space="preserve">… </w:t>
                  </w:r>
                  <w:r>
                    <w:rPr>
                      <w:color w:val="231F20"/>
                      <w:spacing w:val="-3"/>
                    </w:rPr>
                    <w:t xml:space="preserve">my </w:t>
                  </w:r>
                  <w:r>
                    <w:rPr>
                      <w:color w:val="231F20"/>
                    </w:rPr>
                    <w:t xml:space="preserve">criminal law lecturer … directed me to the University Support services and also </w:t>
                  </w:r>
                  <w:r>
                    <w:rPr>
                      <w:color w:val="231F20"/>
                      <w:spacing w:val="-3"/>
                    </w:rPr>
                    <w:t xml:space="preserve">gave </w:t>
                  </w:r>
                  <w:r>
                    <w:rPr>
                      <w:color w:val="231F20"/>
                    </w:rPr>
                    <w:t xml:space="preserve">me details on how to apply for a Personal Safety Intervention </w:t>
                  </w:r>
                  <w:r>
                    <w:rPr>
                      <w:color w:val="231F20"/>
                      <w:spacing w:val="-3"/>
                    </w:rPr>
                    <w:t xml:space="preserve">Order. </w:t>
                  </w:r>
                  <w:r>
                    <w:rPr>
                      <w:color w:val="231F20"/>
                    </w:rPr>
                    <w:t>The University Support services asked me to block his contact details and advise them</w:t>
                  </w:r>
                  <w:r>
                    <w:rPr>
                      <w:color w:val="231F20"/>
                      <w:spacing w:val="-5"/>
                    </w:rPr>
                    <w:t xml:space="preserve"> </w:t>
                  </w:r>
                  <w:r>
                    <w:rPr>
                      <w:color w:val="231F20"/>
                    </w:rPr>
                    <w:t>if</w:t>
                  </w:r>
                  <w:r>
                    <w:rPr>
                      <w:color w:val="231F20"/>
                      <w:spacing w:val="-4"/>
                    </w:rPr>
                    <w:t xml:space="preserve"> </w:t>
                  </w:r>
                  <w:r>
                    <w:rPr>
                      <w:color w:val="231F20"/>
                    </w:rPr>
                    <w:t>he</w:t>
                  </w:r>
                  <w:r>
                    <w:rPr>
                      <w:color w:val="231F20"/>
                      <w:spacing w:val="-4"/>
                    </w:rPr>
                    <w:t xml:space="preserve"> </w:t>
                  </w:r>
                  <w:r>
                    <w:rPr>
                      <w:color w:val="231F20"/>
                    </w:rPr>
                    <w:t>tried</w:t>
                  </w:r>
                  <w:r>
                    <w:rPr>
                      <w:color w:val="231F20"/>
                      <w:spacing w:val="-4"/>
                    </w:rPr>
                    <w:t xml:space="preserve"> </w:t>
                  </w:r>
                  <w:r>
                    <w:rPr>
                      <w:color w:val="231F20"/>
                    </w:rPr>
                    <w:t>to</w:t>
                  </w:r>
                  <w:r>
                    <w:rPr>
                      <w:color w:val="231F20"/>
                      <w:spacing w:val="-5"/>
                    </w:rPr>
                    <w:t xml:space="preserve"> </w:t>
                  </w:r>
                  <w:r>
                    <w:rPr>
                      <w:color w:val="231F20"/>
                    </w:rPr>
                    <w:t>contact</w:t>
                  </w:r>
                  <w:r>
                    <w:rPr>
                      <w:color w:val="231F20"/>
                      <w:spacing w:val="-4"/>
                    </w:rPr>
                    <w:t xml:space="preserve"> </w:t>
                  </w:r>
                  <w:r>
                    <w:rPr>
                      <w:color w:val="231F20"/>
                    </w:rPr>
                    <w:t>me</w:t>
                  </w:r>
                  <w:r>
                    <w:rPr>
                      <w:color w:val="231F20"/>
                      <w:spacing w:val="-4"/>
                    </w:rPr>
                    <w:t xml:space="preserve"> </w:t>
                  </w:r>
                  <w:r>
                    <w:rPr>
                      <w:color w:val="231F20"/>
                    </w:rPr>
                    <w:t>in</w:t>
                  </w:r>
                  <w:r>
                    <w:rPr>
                      <w:color w:val="231F20"/>
                      <w:spacing w:val="-4"/>
                    </w:rPr>
                    <w:t xml:space="preserve"> </w:t>
                  </w:r>
                  <w:r>
                    <w:rPr>
                      <w:color w:val="231F20"/>
                    </w:rPr>
                    <w:t>another</w:t>
                  </w:r>
                  <w:r>
                    <w:rPr>
                      <w:color w:val="231F20"/>
                      <w:spacing w:val="-4"/>
                    </w:rPr>
                    <w:t xml:space="preserve"> </w:t>
                  </w:r>
                  <w:r>
                    <w:rPr>
                      <w:color w:val="231F20"/>
                    </w:rPr>
                    <w:t>manner.</w:t>
                  </w:r>
                  <w:r>
                    <w:rPr>
                      <w:color w:val="231F20"/>
                      <w:spacing w:val="-5"/>
                    </w:rPr>
                    <w:t xml:space="preserve"> </w:t>
                  </w:r>
                  <w:r>
                    <w:rPr>
                      <w:color w:val="231F20"/>
                    </w:rPr>
                    <w:t>When</w:t>
                  </w:r>
                  <w:r>
                    <w:rPr>
                      <w:color w:val="231F20"/>
                      <w:spacing w:val="-4"/>
                    </w:rPr>
                    <w:t xml:space="preserve"> </w:t>
                  </w:r>
                  <w:r>
                    <w:rPr>
                      <w:color w:val="231F20"/>
                    </w:rPr>
                    <w:t>he</w:t>
                  </w:r>
                  <w:r>
                    <w:rPr>
                      <w:color w:val="231F20"/>
                      <w:spacing w:val="-4"/>
                    </w:rPr>
                    <w:t xml:space="preserve"> </w:t>
                  </w:r>
                  <w:r>
                    <w:rPr>
                      <w:color w:val="231F20"/>
                    </w:rPr>
                    <w:t>did,</w:t>
                  </w:r>
                  <w:r>
                    <w:rPr>
                      <w:color w:val="231F20"/>
                      <w:spacing w:val="-4"/>
                    </w:rPr>
                    <w:t xml:space="preserve"> </w:t>
                  </w:r>
                  <w:r>
                    <w:rPr>
                      <w:color w:val="231F20"/>
                    </w:rPr>
                    <w:t>I</w:t>
                  </w:r>
                  <w:r>
                    <w:rPr>
                      <w:color w:val="231F20"/>
                      <w:spacing w:val="-5"/>
                    </w:rPr>
                    <w:t xml:space="preserve"> </w:t>
                  </w:r>
                  <w:r>
                    <w:rPr>
                      <w:color w:val="231F20"/>
                    </w:rPr>
                    <w:t>reported</w:t>
                  </w:r>
                  <w:r>
                    <w:rPr>
                      <w:color w:val="231F20"/>
                      <w:spacing w:val="-4"/>
                    </w:rPr>
                    <w:t xml:space="preserve"> </w:t>
                  </w:r>
                  <w:r>
                    <w:rPr>
                      <w:color w:val="231F20"/>
                    </w:rPr>
                    <w:t>it</w:t>
                  </w:r>
                  <w:r>
                    <w:rPr>
                      <w:color w:val="231F20"/>
                      <w:spacing w:val="-4"/>
                    </w:rPr>
                    <w:t xml:space="preserve"> </w:t>
                  </w:r>
                  <w:r>
                    <w:rPr>
                      <w:color w:val="231F20"/>
                    </w:rPr>
                    <w:t>to</w:t>
                  </w:r>
                  <w:r>
                    <w:rPr>
                      <w:color w:val="231F20"/>
                      <w:spacing w:val="-4"/>
                    </w:rPr>
                    <w:t xml:space="preserve"> </w:t>
                  </w:r>
                  <w:r>
                    <w:rPr>
                      <w:color w:val="231F20"/>
                    </w:rPr>
                    <w:t>the University Support service who then sent the perpetrator a warning letter to ban him</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university</w:t>
                  </w:r>
                  <w:r>
                    <w:rPr>
                      <w:color w:val="231F20"/>
                      <w:spacing w:val="-5"/>
                    </w:rPr>
                    <w:t xml:space="preserve"> </w:t>
                  </w:r>
                  <w:r>
                    <w:rPr>
                      <w:color w:val="231F20"/>
                    </w:rPr>
                    <w:t>campus</w:t>
                  </w:r>
                  <w:r>
                    <w:rPr>
                      <w:color w:val="231F20"/>
                      <w:spacing w:val="-5"/>
                    </w:rPr>
                    <w:t xml:space="preserve"> </w:t>
                  </w:r>
                  <w:r>
                    <w:rPr>
                      <w:color w:val="231F20"/>
                    </w:rPr>
                    <w:t>if</w:t>
                  </w:r>
                  <w:r>
                    <w:rPr>
                      <w:color w:val="231F20"/>
                      <w:spacing w:val="-5"/>
                    </w:rPr>
                    <w:t xml:space="preserve"> </w:t>
                  </w:r>
                  <w:r>
                    <w:rPr>
                      <w:color w:val="231F20"/>
                    </w:rPr>
                    <w:t>he</w:t>
                  </w:r>
                  <w:r>
                    <w:rPr>
                      <w:color w:val="231F20"/>
                      <w:spacing w:val="-5"/>
                    </w:rPr>
                    <w:t xml:space="preserve"> </w:t>
                  </w:r>
                  <w:r>
                    <w:rPr>
                      <w:color w:val="231F20"/>
                    </w:rPr>
                    <w:t>tried</w:t>
                  </w:r>
                  <w:r>
                    <w:rPr>
                      <w:color w:val="231F20"/>
                      <w:spacing w:val="-5"/>
                    </w:rPr>
                    <w:t xml:space="preserve"> </w:t>
                  </w:r>
                  <w:r>
                    <w:rPr>
                      <w:color w:val="231F20"/>
                    </w:rPr>
                    <w:t>to</w:t>
                  </w:r>
                  <w:r>
                    <w:rPr>
                      <w:color w:val="231F20"/>
                      <w:spacing w:val="-5"/>
                    </w:rPr>
                    <w:t xml:space="preserve"> </w:t>
                  </w:r>
                  <w:r>
                    <w:rPr>
                      <w:color w:val="231F20"/>
                    </w:rPr>
                    <w:t>contact</w:t>
                  </w:r>
                  <w:r>
                    <w:rPr>
                      <w:color w:val="231F20"/>
                      <w:spacing w:val="-5"/>
                    </w:rPr>
                    <w:t xml:space="preserve"> </w:t>
                  </w:r>
                  <w:r>
                    <w:rPr>
                      <w:color w:val="231F20"/>
                    </w:rPr>
                    <w:t>me</w:t>
                  </w:r>
                  <w:r>
                    <w:rPr>
                      <w:color w:val="231F20"/>
                      <w:spacing w:val="-5"/>
                    </w:rPr>
                    <w:t xml:space="preserve"> </w:t>
                  </w:r>
                  <w:r>
                    <w:rPr>
                      <w:color w:val="231F20"/>
                    </w:rPr>
                    <w:t>again.</w:t>
                  </w:r>
                  <w:r>
                    <w:rPr>
                      <w:color w:val="231F20"/>
                      <w:spacing w:val="-5"/>
                    </w:rPr>
                    <w:t xml:space="preserve"> </w:t>
                  </w:r>
                  <w:r>
                    <w:rPr>
                      <w:color w:val="231F20"/>
                    </w:rPr>
                    <w:t>I</w:t>
                  </w:r>
                  <w:r>
                    <w:rPr>
                      <w:color w:val="231F20"/>
                      <w:spacing w:val="-5"/>
                    </w:rPr>
                    <w:t xml:space="preserve"> </w:t>
                  </w:r>
                  <w:r>
                    <w:rPr>
                      <w:color w:val="231F20"/>
                    </w:rPr>
                    <w:t>never</w:t>
                  </w:r>
                  <w:r>
                    <w:rPr>
                      <w:color w:val="231F20"/>
                      <w:spacing w:val="-4"/>
                    </w:rPr>
                    <w:t xml:space="preserve"> </w:t>
                  </w:r>
                  <w:r>
                    <w:rPr>
                      <w:color w:val="231F20"/>
                    </w:rPr>
                    <w:t>heard</w:t>
                  </w:r>
                  <w:r>
                    <w:rPr>
                      <w:color w:val="231F20"/>
                      <w:spacing w:val="-5"/>
                    </w:rPr>
                    <w:t xml:space="preserve"> </w:t>
                  </w:r>
                  <w:r>
                    <w:rPr>
                      <w:color w:val="231F20"/>
                    </w:rPr>
                    <w:t>from him after that and I didn’t need to report it to the</w:t>
                  </w:r>
                  <w:r>
                    <w:rPr>
                      <w:color w:val="231F20"/>
                      <w:spacing w:val="-29"/>
                    </w:rPr>
                    <w:t xml:space="preserve"> </w:t>
                  </w:r>
                  <w:r>
                    <w:rPr>
                      <w:color w:val="231F20"/>
                    </w:rPr>
                    <w:t>police.</w:t>
                  </w:r>
                  <w:r>
                    <w:rPr>
                      <w:color w:val="231F20"/>
                      <w:position w:val="7"/>
                      <w:sz w:val="11"/>
                    </w:rPr>
                    <w:t>76</w:t>
                  </w:r>
                </w:p>
              </w:txbxContent>
            </v:textbox>
            <w10:wrap type="topAndBottom" anchorx="page"/>
          </v:shape>
        </w:pict>
      </w:r>
    </w:p>
    <w:p w14:paraId="30A38076" w14:textId="77777777" w:rsidR="00894070" w:rsidRDefault="00894070">
      <w:pPr>
        <w:pStyle w:val="BodyText"/>
        <w:spacing w:before="6"/>
        <w:rPr>
          <w:sz w:val="19"/>
        </w:rPr>
      </w:pPr>
    </w:p>
    <w:p w14:paraId="0B83F048" w14:textId="77777777" w:rsidR="00894070" w:rsidRDefault="009B7AFD">
      <w:pPr>
        <w:pStyle w:val="ListParagraph"/>
        <w:numPr>
          <w:ilvl w:val="1"/>
          <w:numId w:val="177"/>
        </w:numPr>
        <w:tabs>
          <w:tab w:val="left" w:pos="1801"/>
          <w:tab w:val="left" w:pos="1802"/>
        </w:tabs>
        <w:spacing w:before="89" w:line="206" w:lineRule="auto"/>
        <w:ind w:right="1501"/>
        <w:rPr>
          <w:sz w:val="11"/>
        </w:rPr>
      </w:pPr>
      <w:r>
        <w:rPr>
          <w:color w:val="231F20"/>
          <w:sz w:val="20"/>
        </w:rPr>
        <w:t>On</w:t>
      </w:r>
      <w:r>
        <w:rPr>
          <w:color w:val="231F20"/>
          <w:spacing w:val="-8"/>
          <w:sz w:val="20"/>
        </w:rPr>
        <w:t xml:space="preserve"> </w:t>
      </w:r>
      <w:r>
        <w:rPr>
          <w:color w:val="231F20"/>
          <w:sz w:val="20"/>
        </w:rPr>
        <w:t>the</w:t>
      </w:r>
      <w:r>
        <w:rPr>
          <w:color w:val="231F20"/>
          <w:spacing w:val="-8"/>
          <w:sz w:val="20"/>
        </w:rPr>
        <w:t xml:space="preserve"> </w:t>
      </w:r>
      <w:r>
        <w:rPr>
          <w:color w:val="231F20"/>
          <w:sz w:val="20"/>
        </w:rPr>
        <w:t>other</w:t>
      </w:r>
      <w:r>
        <w:rPr>
          <w:color w:val="231F20"/>
          <w:spacing w:val="-8"/>
          <w:sz w:val="20"/>
        </w:rPr>
        <w:t xml:space="preserve"> </w:t>
      </w:r>
      <w:r>
        <w:rPr>
          <w:color w:val="231F20"/>
          <w:sz w:val="20"/>
        </w:rPr>
        <w:t>hand,</w:t>
      </w:r>
      <w:r>
        <w:rPr>
          <w:color w:val="231F20"/>
          <w:spacing w:val="-8"/>
          <w:sz w:val="20"/>
        </w:rPr>
        <w:t xml:space="preserve"> </w:t>
      </w:r>
      <w:r>
        <w:rPr>
          <w:color w:val="231F20"/>
          <w:spacing w:val="-3"/>
          <w:sz w:val="20"/>
        </w:rPr>
        <w:t>we</w:t>
      </w:r>
      <w:r>
        <w:rPr>
          <w:color w:val="231F20"/>
          <w:spacing w:val="-7"/>
          <w:sz w:val="20"/>
        </w:rPr>
        <w:t xml:space="preserve"> </w:t>
      </w:r>
      <w:r>
        <w:rPr>
          <w:color w:val="231F20"/>
          <w:sz w:val="20"/>
        </w:rPr>
        <w:t>also</w:t>
      </w:r>
      <w:r>
        <w:rPr>
          <w:color w:val="231F20"/>
          <w:spacing w:val="-8"/>
          <w:sz w:val="20"/>
        </w:rPr>
        <w:t xml:space="preserve"> </w:t>
      </w:r>
      <w:r>
        <w:rPr>
          <w:color w:val="231F20"/>
          <w:sz w:val="20"/>
        </w:rPr>
        <w:t>heard</w:t>
      </w:r>
      <w:r>
        <w:rPr>
          <w:color w:val="231F20"/>
          <w:spacing w:val="-8"/>
          <w:sz w:val="20"/>
        </w:rPr>
        <w:t xml:space="preserve"> </w:t>
      </w:r>
      <w:r>
        <w:rPr>
          <w:color w:val="231F20"/>
          <w:sz w:val="20"/>
        </w:rPr>
        <w:t>about</w:t>
      </w:r>
      <w:r>
        <w:rPr>
          <w:color w:val="231F20"/>
          <w:spacing w:val="-8"/>
          <w:sz w:val="20"/>
        </w:rPr>
        <w:t xml:space="preserve"> </w:t>
      </w:r>
      <w:r>
        <w:rPr>
          <w:color w:val="231F20"/>
          <w:sz w:val="20"/>
        </w:rPr>
        <w:t>the</w:t>
      </w:r>
      <w:r>
        <w:rPr>
          <w:color w:val="231F20"/>
          <w:spacing w:val="-8"/>
          <w:sz w:val="20"/>
        </w:rPr>
        <w:t xml:space="preserve"> </w:t>
      </w:r>
      <w:r>
        <w:rPr>
          <w:color w:val="231F20"/>
          <w:sz w:val="20"/>
        </w:rPr>
        <w:t>need</w:t>
      </w:r>
      <w:r>
        <w:rPr>
          <w:color w:val="231F20"/>
          <w:spacing w:val="-7"/>
          <w:sz w:val="20"/>
        </w:rPr>
        <w:t xml:space="preserve"> </w:t>
      </w:r>
      <w:r>
        <w:rPr>
          <w:color w:val="231F20"/>
          <w:spacing w:val="-3"/>
          <w:sz w:val="20"/>
        </w:rPr>
        <w:t>for</w:t>
      </w:r>
      <w:r>
        <w:rPr>
          <w:color w:val="231F20"/>
          <w:spacing w:val="-8"/>
          <w:sz w:val="20"/>
        </w:rPr>
        <w:t xml:space="preserve"> </w:t>
      </w:r>
      <w:r>
        <w:rPr>
          <w:color w:val="231F20"/>
          <w:spacing w:val="-3"/>
          <w:sz w:val="20"/>
        </w:rPr>
        <w:t>improved</w:t>
      </w:r>
      <w:r>
        <w:rPr>
          <w:color w:val="231F20"/>
          <w:spacing w:val="-8"/>
          <w:sz w:val="20"/>
        </w:rPr>
        <w:t xml:space="preserve"> </w:t>
      </w:r>
      <w:r>
        <w:rPr>
          <w:color w:val="231F20"/>
          <w:sz w:val="20"/>
        </w:rPr>
        <w:t>and</w:t>
      </w:r>
      <w:r>
        <w:rPr>
          <w:color w:val="231F20"/>
          <w:spacing w:val="-8"/>
          <w:sz w:val="20"/>
        </w:rPr>
        <w:t xml:space="preserve"> </w:t>
      </w:r>
      <w:r>
        <w:rPr>
          <w:color w:val="231F20"/>
          <w:sz w:val="20"/>
        </w:rPr>
        <w:t>more</w:t>
      </w:r>
      <w:r>
        <w:rPr>
          <w:color w:val="231F20"/>
          <w:spacing w:val="-8"/>
          <w:sz w:val="20"/>
        </w:rPr>
        <w:t xml:space="preserve"> </w:t>
      </w:r>
      <w:r>
        <w:rPr>
          <w:color w:val="231F20"/>
          <w:sz w:val="20"/>
        </w:rPr>
        <w:t xml:space="preserve">consistent responses to stalking </w:t>
      </w:r>
      <w:r>
        <w:rPr>
          <w:color w:val="231F20"/>
          <w:spacing w:val="-3"/>
          <w:sz w:val="20"/>
        </w:rPr>
        <w:t>by</w:t>
      </w:r>
      <w:r>
        <w:rPr>
          <w:color w:val="231F20"/>
          <w:spacing w:val="-18"/>
          <w:sz w:val="20"/>
        </w:rPr>
        <w:t xml:space="preserve"> </w:t>
      </w:r>
      <w:r>
        <w:rPr>
          <w:color w:val="231F20"/>
          <w:sz w:val="20"/>
        </w:rPr>
        <w:t>universities.</w:t>
      </w:r>
      <w:r>
        <w:rPr>
          <w:color w:val="231F20"/>
          <w:position w:val="7"/>
          <w:sz w:val="11"/>
        </w:rPr>
        <w:t>77</w:t>
      </w:r>
    </w:p>
    <w:p w14:paraId="5FA5C396" w14:textId="77777777" w:rsidR="00894070" w:rsidRDefault="009B7AFD">
      <w:pPr>
        <w:pStyle w:val="Heading9"/>
        <w:spacing w:before="127"/>
        <w:rPr>
          <w:b/>
        </w:rPr>
      </w:pPr>
      <w:r>
        <w:rPr>
          <w:b/>
          <w:color w:val="231F20"/>
        </w:rPr>
        <w:t>Health providers</w:t>
      </w:r>
    </w:p>
    <w:p w14:paraId="754D2BA1" w14:textId="77777777" w:rsidR="00894070" w:rsidRDefault="009B7AFD">
      <w:pPr>
        <w:pStyle w:val="ListParagraph"/>
        <w:numPr>
          <w:ilvl w:val="1"/>
          <w:numId w:val="177"/>
        </w:numPr>
        <w:tabs>
          <w:tab w:val="left" w:pos="1801"/>
          <w:tab w:val="left" w:pos="1802"/>
        </w:tabs>
        <w:spacing w:before="132" w:line="206" w:lineRule="auto"/>
        <w:ind w:right="1353"/>
        <w:rPr>
          <w:sz w:val="11"/>
        </w:rPr>
      </w:pPr>
      <w:r>
        <w:rPr>
          <w:color w:val="231F20"/>
          <w:sz w:val="20"/>
        </w:rPr>
        <w:t>Health</w:t>
      </w:r>
      <w:r>
        <w:rPr>
          <w:color w:val="231F20"/>
          <w:spacing w:val="-9"/>
          <w:sz w:val="20"/>
        </w:rPr>
        <w:t xml:space="preserve"> </w:t>
      </w:r>
      <w:r>
        <w:rPr>
          <w:color w:val="231F20"/>
          <w:spacing w:val="-3"/>
          <w:sz w:val="20"/>
        </w:rPr>
        <w:t>providers</w:t>
      </w:r>
      <w:r>
        <w:rPr>
          <w:color w:val="231F20"/>
          <w:spacing w:val="-9"/>
          <w:sz w:val="20"/>
        </w:rPr>
        <w:t xml:space="preserve"> </w:t>
      </w:r>
      <w:r>
        <w:rPr>
          <w:color w:val="231F20"/>
          <w:sz w:val="20"/>
        </w:rPr>
        <w:t>such</w:t>
      </w:r>
      <w:r>
        <w:rPr>
          <w:color w:val="231F20"/>
          <w:spacing w:val="-8"/>
          <w:sz w:val="20"/>
        </w:rPr>
        <w:t xml:space="preserve"> </w:t>
      </w:r>
      <w:r>
        <w:rPr>
          <w:color w:val="231F20"/>
          <w:sz w:val="20"/>
        </w:rPr>
        <w:t>as</w:t>
      </w:r>
      <w:r>
        <w:rPr>
          <w:color w:val="231F20"/>
          <w:spacing w:val="-9"/>
          <w:sz w:val="20"/>
        </w:rPr>
        <w:t xml:space="preserve"> </w:t>
      </w:r>
      <w:r>
        <w:rPr>
          <w:color w:val="231F20"/>
          <w:spacing w:val="-3"/>
          <w:sz w:val="20"/>
        </w:rPr>
        <w:t>maternal</w:t>
      </w:r>
      <w:r>
        <w:rPr>
          <w:color w:val="231F20"/>
          <w:spacing w:val="-9"/>
          <w:sz w:val="20"/>
        </w:rPr>
        <w:t xml:space="preserve"> </w:t>
      </w:r>
      <w:r>
        <w:rPr>
          <w:color w:val="231F20"/>
          <w:sz w:val="20"/>
        </w:rPr>
        <w:t>and</w:t>
      </w:r>
      <w:r>
        <w:rPr>
          <w:color w:val="231F20"/>
          <w:spacing w:val="-8"/>
          <w:sz w:val="20"/>
        </w:rPr>
        <w:t xml:space="preserve"> </w:t>
      </w:r>
      <w:r>
        <w:rPr>
          <w:color w:val="231F20"/>
          <w:sz w:val="20"/>
        </w:rPr>
        <w:t>child</w:t>
      </w:r>
      <w:r>
        <w:rPr>
          <w:color w:val="231F20"/>
          <w:spacing w:val="-9"/>
          <w:sz w:val="20"/>
        </w:rPr>
        <w:t xml:space="preserve"> </w:t>
      </w:r>
      <w:r>
        <w:rPr>
          <w:color w:val="231F20"/>
          <w:sz w:val="20"/>
        </w:rPr>
        <w:t>health</w:t>
      </w:r>
      <w:r>
        <w:rPr>
          <w:color w:val="231F20"/>
          <w:spacing w:val="-8"/>
          <w:sz w:val="20"/>
        </w:rPr>
        <w:t xml:space="preserve"> </w:t>
      </w:r>
      <w:r>
        <w:rPr>
          <w:color w:val="231F20"/>
          <w:sz w:val="20"/>
        </w:rPr>
        <w:t>services</w:t>
      </w:r>
      <w:r>
        <w:rPr>
          <w:color w:val="231F20"/>
          <w:spacing w:val="-9"/>
          <w:sz w:val="20"/>
        </w:rPr>
        <w:t xml:space="preserve"> </w:t>
      </w:r>
      <w:r>
        <w:rPr>
          <w:color w:val="231F20"/>
          <w:sz w:val="20"/>
        </w:rPr>
        <w:t>and</w:t>
      </w:r>
      <w:r>
        <w:rPr>
          <w:color w:val="231F20"/>
          <w:spacing w:val="-9"/>
          <w:sz w:val="20"/>
        </w:rPr>
        <w:t xml:space="preserve"> </w:t>
      </w:r>
      <w:r>
        <w:rPr>
          <w:color w:val="231F20"/>
          <w:sz w:val="20"/>
        </w:rPr>
        <w:t>general</w:t>
      </w:r>
      <w:r>
        <w:rPr>
          <w:color w:val="231F20"/>
          <w:spacing w:val="-8"/>
          <w:sz w:val="20"/>
        </w:rPr>
        <w:t xml:space="preserve"> </w:t>
      </w:r>
      <w:r>
        <w:rPr>
          <w:color w:val="231F20"/>
          <w:sz w:val="20"/>
        </w:rPr>
        <w:t xml:space="preserve">practitioners </w:t>
      </w:r>
      <w:r>
        <w:rPr>
          <w:color w:val="231F20"/>
          <w:spacing w:val="-3"/>
          <w:sz w:val="20"/>
        </w:rPr>
        <w:t xml:space="preserve">are widely </w:t>
      </w:r>
      <w:r>
        <w:rPr>
          <w:color w:val="231F20"/>
          <w:sz w:val="20"/>
        </w:rPr>
        <w:t xml:space="preserve">accessible. Submissions </w:t>
      </w:r>
      <w:r>
        <w:rPr>
          <w:color w:val="231F20"/>
          <w:spacing w:val="-3"/>
          <w:sz w:val="20"/>
        </w:rPr>
        <w:t xml:space="preserve">from Forensicare </w:t>
      </w:r>
      <w:r>
        <w:rPr>
          <w:color w:val="231F20"/>
          <w:sz w:val="20"/>
        </w:rPr>
        <w:t xml:space="preserve">and the </w:t>
      </w:r>
      <w:r>
        <w:rPr>
          <w:color w:val="231F20"/>
          <w:spacing w:val="-3"/>
          <w:sz w:val="20"/>
        </w:rPr>
        <w:t xml:space="preserve">Centre for Forensic </w:t>
      </w:r>
      <w:r>
        <w:rPr>
          <w:color w:val="231F20"/>
          <w:sz w:val="20"/>
        </w:rPr>
        <w:t>Behavioural</w:t>
      </w:r>
      <w:r>
        <w:rPr>
          <w:color w:val="231F20"/>
          <w:spacing w:val="-11"/>
          <w:sz w:val="20"/>
        </w:rPr>
        <w:t xml:space="preserve"> </w:t>
      </w:r>
      <w:r>
        <w:rPr>
          <w:color w:val="231F20"/>
          <w:sz w:val="20"/>
        </w:rPr>
        <w:t>Science</w:t>
      </w:r>
      <w:r>
        <w:rPr>
          <w:color w:val="231F20"/>
          <w:spacing w:val="-11"/>
          <w:sz w:val="20"/>
        </w:rPr>
        <w:t xml:space="preserve"> </w:t>
      </w:r>
      <w:r>
        <w:rPr>
          <w:color w:val="231F20"/>
          <w:sz w:val="20"/>
        </w:rPr>
        <w:t>emphasised</w:t>
      </w:r>
      <w:r>
        <w:rPr>
          <w:color w:val="231F20"/>
          <w:spacing w:val="-10"/>
          <w:sz w:val="20"/>
        </w:rPr>
        <w:t xml:space="preserve"> </w:t>
      </w:r>
      <w:r>
        <w:rPr>
          <w:color w:val="231F20"/>
          <w:sz w:val="20"/>
        </w:rPr>
        <w:t>that</w:t>
      </w:r>
      <w:r>
        <w:rPr>
          <w:color w:val="231F20"/>
          <w:spacing w:val="-11"/>
          <w:sz w:val="20"/>
        </w:rPr>
        <w:t xml:space="preserve"> </w:t>
      </w:r>
      <w:r>
        <w:rPr>
          <w:color w:val="231F20"/>
          <w:sz w:val="20"/>
        </w:rPr>
        <w:t>if</w:t>
      </w:r>
      <w:r>
        <w:rPr>
          <w:color w:val="231F20"/>
          <w:spacing w:val="-11"/>
          <w:sz w:val="20"/>
        </w:rPr>
        <w:t xml:space="preserve"> </w:t>
      </w:r>
      <w:r>
        <w:rPr>
          <w:color w:val="231F20"/>
          <w:sz w:val="20"/>
        </w:rPr>
        <w:t>people</w:t>
      </w:r>
      <w:r>
        <w:rPr>
          <w:color w:val="231F20"/>
          <w:spacing w:val="-10"/>
          <w:sz w:val="20"/>
        </w:rPr>
        <w:t xml:space="preserve"> </w:t>
      </w:r>
      <w:r>
        <w:rPr>
          <w:color w:val="231F20"/>
          <w:sz w:val="20"/>
        </w:rPr>
        <w:t>working</w:t>
      </w:r>
      <w:r>
        <w:rPr>
          <w:color w:val="231F20"/>
          <w:spacing w:val="-11"/>
          <w:sz w:val="20"/>
        </w:rPr>
        <w:t xml:space="preserve"> </w:t>
      </w:r>
      <w:r>
        <w:rPr>
          <w:color w:val="231F20"/>
          <w:sz w:val="20"/>
        </w:rPr>
        <w:t>in</w:t>
      </w:r>
      <w:r>
        <w:rPr>
          <w:color w:val="231F20"/>
          <w:spacing w:val="-11"/>
          <w:sz w:val="20"/>
        </w:rPr>
        <w:t xml:space="preserve"> </w:t>
      </w:r>
      <w:r>
        <w:rPr>
          <w:color w:val="231F20"/>
          <w:sz w:val="20"/>
        </w:rPr>
        <w:t>these</w:t>
      </w:r>
      <w:r>
        <w:rPr>
          <w:color w:val="231F20"/>
          <w:spacing w:val="-10"/>
          <w:sz w:val="20"/>
        </w:rPr>
        <w:t xml:space="preserve"> </w:t>
      </w:r>
      <w:r>
        <w:rPr>
          <w:color w:val="231F20"/>
          <w:sz w:val="20"/>
        </w:rPr>
        <w:t>sectors</w:t>
      </w:r>
      <w:r>
        <w:rPr>
          <w:color w:val="231F20"/>
          <w:spacing w:val="-11"/>
          <w:sz w:val="20"/>
        </w:rPr>
        <w:t xml:space="preserve"> </w:t>
      </w:r>
      <w:r>
        <w:rPr>
          <w:color w:val="231F20"/>
          <w:sz w:val="20"/>
        </w:rPr>
        <w:t>can</w:t>
      </w:r>
      <w:r>
        <w:rPr>
          <w:color w:val="231F20"/>
          <w:spacing w:val="-10"/>
          <w:sz w:val="20"/>
        </w:rPr>
        <w:t xml:space="preserve"> </w:t>
      </w:r>
      <w:r>
        <w:rPr>
          <w:color w:val="231F20"/>
          <w:sz w:val="20"/>
        </w:rPr>
        <w:t xml:space="preserve">identify </w:t>
      </w:r>
      <w:proofErr w:type="gramStart"/>
      <w:r>
        <w:rPr>
          <w:color w:val="231F20"/>
          <w:sz w:val="20"/>
        </w:rPr>
        <w:t>stalking</w:t>
      </w:r>
      <w:proofErr w:type="gramEnd"/>
      <w:r>
        <w:rPr>
          <w:color w:val="231F20"/>
          <w:spacing w:val="-6"/>
          <w:sz w:val="20"/>
        </w:rPr>
        <w:t xml:space="preserve"> </w:t>
      </w:r>
      <w:r>
        <w:rPr>
          <w:color w:val="231F20"/>
          <w:sz w:val="20"/>
        </w:rPr>
        <w:t>they</w:t>
      </w:r>
      <w:r>
        <w:rPr>
          <w:color w:val="231F20"/>
          <w:spacing w:val="-6"/>
          <w:sz w:val="20"/>
        </w:rPr>
        <w:t xml:space="preserve"> </w:t>
      </w:r>
      <w:r>
        <w:rPr>
          <w:color w:val="231F20"/>
          <w:sz w:val="20"/>
        </w:rPr>
        <w:t>will</w:t>
      </w:r>
      <w:r>
        <w:rPr>
          <w:color w:val="231F20"/>
          <w:spacing w:val="-6"/>
          <w:sz w:val="20"/>
        </w:rPr>
        <w:t xml:space="preserve"> </w:t>
      </w:r>
      <w:r>
        <w:rPr>
          <w:color w:val="231F20"/>
          <w:sz w:val="20"/>
        </w:rPr>
        <w:t>be</w:t>
      </w:r>
      <w:r>
        <w:rPr>
          <w:color w:val="231F20"/>
          <w:spacing w:val="-5"/>
          <w:sz w:val="20"/>
        </w:rPr>
        <w:t xml:space="preserve"> </w:t>
      </w:r>
      <w:r>
        <w:rPr>
          <w:color w:val="231F20"/>
          <w:sz w:val="20"/>
        </w:rPr>
        <w:t>able</w:t>
      </w:r>
      <w:r>
        <w:rPr>
          <w:color w:val="231F20"/>
          <w:spacing w:val="-6"/>
          <w:sz w:val="20"/>
        </w:rPr>
        <w:t xml:space="preserve"> </w:t>
      </w:r>
      <w:r>
        <w:rPr>
          <w:color w:val="231F20"/>
          <w:sz w:val="20"/>
        </w:rPr>
        <w:t>to</w:t>
      </w:r>
      <w:r>
        <w:rPr>
          <w:color w:val="231F20"/>
          <w:spacing w:val="-6"/>
          <w:sz w:val="20"/>
        </w:rPr>
        <w:t xml:space="preserve"> </w:t>
      </w:r>
      <w:r>
        <w:rPr>
          <w:color w:val="231F20"/>
          <w:sz w:val="20"/>
        </w:rPr>
        <w:t>help</w:t>
      </w:r>
      <w:r>
        <w:rPr>
          <w:color w:val="231F20"/>
          <w:spacing w:val="-5"/>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6"/>
          <w:sz w:val="20"/>
        </w:rPr>
        <w:t xml:space="preserve"> </w:t>
      </w:r>
      <w:r>
        <w:rPr>
          <w:color w:val="231F20"/>
          <w:sz w:val="20"/>
        </w:rPr>
        <w:t>who</w:t>
      </w:r>
      <w:r>
        <w:rPr>
          <w:color w:val="231F20"/>
          <w:spacing w:val="-5"/>
          <w:sz w:val="20"/>
        </w:rPr>
        <w:t xml:space="preserve"> </w:t>
      </w:r>
      <w:r>
        <w:rPr>
          <w:color w:val="231F20"/>
          <w:spacing w:val="-3"/>
          <w:sz w:val="20"/>
        </w:rPr>
        <w:t>interact</w:t>
      </w:r>
      <w:r>
        <w:rPr>
          <w:color w:val="231F20"/>
          <w:spacing w:val="-6"/>
          <w:sz w:val="20"/>
        </w:rPr>
        <w:t xml:space="preserve"> </w:t>
      </w:r>
      <w:r>
        <w:rPr>
          <w:color w:val="231F20"/>
          <w:sz w:val="20"/>
        </w:rPr>
        <w:t>with</w:t>
      </w:r>
      <w:r>
        <w:rPr>
          <w:color w:val="231F20"/>
          <w:spacing w:val="-6"/>
          <w:sz w:val="20"/>
        </w:rPr>
        <w:t xml:space="preserve"> </w:t>
      </w:r>
      <w:r>
        <w:rPr>
          <w:color w:val="231F20"/>
          <w:sz w:val="20"/>
        </w:rPr>
        <w:t>them.</w:t>
      </w:r>
      <w:r>
        <w:rPr>
          <w:color w:val="231F20"/>
          <w:position w:val="7"/>
          <w:sz w:val="11"/>
        </w:rPr>
        <w:t>78</w:t>
      </w:r>
    </w:p>
    <w:p w14:paraId="2C8FAD09" w14:textId="77777777" w:rsidR="00894070" w:rsidRDefault="009F6793">
      <w:pPr>
        <w:pStyle w:val="BodyText"/>
        <w:spacing w:before="10"/>
        <w:rPr>
          <w:sz w:val="17"/>
        </w:rPr>
      </w:pPr>
      <w:r>
        <w:pict w14:anchorId="0260201F">
          <v:line id="_x0000_s1481" style="position:absolute;z-index:251556864;mso-wrap-distance-left:0;mso-wrap-distance-right:0;mso-position-horizontal-relative:page" from="79.35pt,14.8pt" to="515.9pt,14.8pt" strokecolor="#f8cabc" strokeweight="1pt">
            <w10:wrap type="topAndBottom" anchorx="page"/>
          </v:line>
        </w:pict>
      </w:r>
    </w:p>
    <w:p w14:paraId="1EEDFB54" w14:textId="77777777" w:rsidR="00894070" w:rsidRDefault="009B7AFD">
      <w:pPr>
        <w:pStyle w:val="ListParagraph"/>
        <w:numPr>
          <w:ilvl w:val="0"/>
          <w:numId w:val="134"/>
        </w:numPr>
        <w:tabs>
          <w:tab w:val="left" w:pos="1801"/>
          <w:tab w:val="left" w:pos="1802"/>
        </w:tabs>
        <w:spacing w:before="91" w:line="170" w:lineRule="exact"/>
        <w:rPr>
          <w:sz w:val="13"/>
        </w:rPr>
      </w:pPr>
      <w:r>
        <w:rPr>
          <w:color w:val="231F20"/>
          <w:sz w:val="13"/>
        </w:rPr>
        <w:t>Ibid.</w:t>
      </w:r>
    </w:p>
    <w:p w14:paraId="2ACF7CD0" w14:textId="77777777" w:rsidR="00894070" w:rsidRDefault="009B7AFD">
      <w:pPr>
        <w:pStyle w:val="ListParagraph"/>
        <w:numPr>
          <w:ilvl w:val="0"/>
          <w:numId w:val="134"/>
        </w:numPr>
        <w:tabs>
          <w:tab w:val="left" w:pos="1801"/>
          <w:tab w:val="left" w:pos="1802"/>
        </w:tabs>
        <w:spacing w:before="6" w:line="213" w:lineRule="auto"/>
        <w:ind w:right="1218"/>
        <w:rPr>
          <w:sz w:val="13"/>
        </w:rPr>
      </w:pPr>
      <w:r>
        <w:rPr>
          <w:color w:val="231F20"/>
          <w:sz w:val="13"/>
        </w:rPr>
        <w:t xml:space="preserve">A </w:t>
      </w:r>
      <w:r>
        <w:rPr>
          <w:color w:val="231F20"/>
          <w:spacing w:val="2"/>
          <w:sz w:val="13"/>
        </w:rPr>
        <w:t xml:space="preserve">participant </w:t>
      </w:r>
      <w:r>
        <w:rPr>
          <w:color w:val="231F20"/>
          <w:sz w:val="13"/>
        </w:rPr>
        <w:t xml:space="preserve">in a roundtable with multicultural and multifaith lawyers and legal </w:t>
      </w:r>
      <w:r>
        <w:rPr>
          <w:color w:val="231F20"/>
          <w:spacing w:val="2"/>
          <w:sz w:val="13"/>
        </w:rPr>
        <w:t xml:space="preserve">stakeholders </w:t>
      </w:r>
      <w:r>
        <w:rPr>
          <w:color w:val="231F20"/>
          <w:sz w:val="13"/>
        </w:rPr>
        <w:t>suggested that ‘universities are in      a good position to work with local communities’: Consultation 30 (Roundtable with multicultural and multifaith lawyers and legal stakeholders).</w:t>
      </w:r>
    </w:p>
    <w:p w14:paraId="74F41359" w14:textId="77777777" w:rsidR="00894070" w:rsidRDefault="009B7AFD">
      <w:pPr>
        <w:pStyle w:val="ListParagraph"/>
        <w:numPr>
          <w:ilvl w:val="0"/>
          <w:numId w:val="134"/>
        </w:numPr>
        <w:tabs>
          <w:tab w:val="left" w:pos="1801"/>
          <w:tab w:val="left" w:pos="1802"/>
        </w:tabs>
        <w:spacing w:line="213" w:lineRule="auto"/>
        <w:ind w:right="1334"/>
        <w:rPr>
          <w:sz w:val="13"/>
        </w:rPr>
      </w:pPr>
      <w:r>
        <w:rPr>
          <w:color w:val="231F20"/>
          <w:sz w:val="13"/>
        </w:rPr>
        <w:t xml:space="preserve">Erica R Fissel, Bradford W Reyns and Bonnie S Fisher, </w:t>
      </w:r>
      <w:r>
        <w:rPr>
          <w:color w:val="231F20"/>
          <w:spacing w:val="2"/>
          <w:sz w:val="13"/>
        </w:rPr>
        <w:t xml:space="preserve">‘Stalking </w:t>
      </w:r>
      <w:r>
        <w:rPr>
          <w:color w:val="231F20"/>
          <w:sz w:val="13"/>
        </w:rPr>
        <w:t xml:space="preserve">and </w:t>
      </w:r>
      <w:r>
        <w:rPr>
          <w:color w:val="231F20"/>
          <w:spacing w:val="2"/>
          <w:sz w:val="13"/>
        </w:rPr>
        <w:t xml:space="preserve">Cyberstalking </w:t>
      </w:r>
      <w:r>
        <w:rPr>
          <w:color w:val="231F20"/>
          <w:sz w:val="13"/>
        </w:rPr>
        <w:t xml:space="preserve">Victimization Research: Taking Stock of Key Conceptual, Definitional, Prevalence, and Theoretical Issues’ in Heng Choon (Oliver) Chan and Lorraine </w:t>
      </w:r>
      <w:r>
        <w:rPr>
          <w:color w:val="231F20"/>
          <w:spacing w:val="2"/>
          <w:sz w:val="13"/>
        </w:rPr>
        <w:t xml:space="preserve">Sheridan </w:t>
      </w:r>
      <w:r>
        <w:rPr>
          <w:color w:val="231F20"/>
          <w:sz w:val="13"/>
        </w:rPr>
        <w:t xml:space="preserve">(eds), </w:t>
      </w:r>
      <w:r>
        <w:rPr>
          <w:i/>
          <w:color w:val="231F20"/>
          <w:sz w:val="13"/>
        </w:rPr>
        <w:t xml:space="preserve">Psycho- Criminological Approaches to Stalking Behavior: An International Perspective </w:t>
      </w:r>
      <w:r>
        <w:rPr>
          <w:color w:val="231F20"/>
          <w:sz w:val="13"/>
        </w:rPr>
        <w:t>(John Wiley and Sons, 2020)</w:t>
      </w:r>
      <w:r>
        <w:rPr>
          <w:color w:val="231F20"/>
          <w:spacing w:val="4"/>
          <w:sz w:val="13"/>
        </w:rPr>
        <w:t xml:space="preserve"> </w:t>
      </w:r>
      <w:r>
        <w:rPr>
          <w:color w:val="231F20"/>
          <w:spacing w:val="2"/>
          <w:sz w:val="13"/>
        </w:rPr>
        <w:t>11, 21.</w:t>
      </w:r>
    </w:p>
    <w:p w14:paraId="52972ABA" w14:textId="77777777" w:rsidR="00894070" w:rsidRDefault="009B7AFD">
      <w:pPr>
        <w:pStyle w:val="ListParagraph"/>
        <w:numPr>
          <w:ilvl w:val="0"/>
          <w:numId w:val="134"/>
        </w:numPr>
        <w:tabs>
          <w:tab w:val="left" w:pos="1800"/>
          <w:tab w:val="left" w:pos="1802"/>
        </w:tabs>
        <w:spacing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0C4F02E8" w14:textId="77777777" w:rsidR="00894070" w:rsidRDefault="009B7AFD">
      <w:pPr>
        <w:pStyle w:val="ListParagraph"/>
        <w:numPr>
          <w:ilvl w:val="0"/>
          <w:numId w:val="134"/>
        </w:numPr>
        <w:tabs>
          <w:tab w:val="left" w:pos="1801"/>
          <w:tab w:val="left" w:pos="1802"/>
        </w:tabs>
        <w:spacing w:line="153" w:lineRule="exact"/>
        <w:rPr>
          <w:sz w:val="13"/>
        </w:rPr>
      </w:pPr>
      <w:r>
        <w:rPr>
          <w:color w:val="231F20"/>
          <w:sz w:val="13"/>
        </w:rPr>
        <w:t>Ibid.</w:t>
      </w:r>
    </w:p>
    <w:p w14:paraId="4E2F2FE2" w14:textId="77777777" w:rsidR="00894070" w:rsidRDefault="009F6793">
      <w:pPr>
        <w:pStyle w:val="ListParagraph"/>
        <w:numPr>
          <w:ilvl w:val="0"/>
          <w:numId w:val="134"/>
        </w:numPr>
        <w:tabs>
          <w:tab w:val="left" w:pos="1801"/>
          <w:tab w:val="left" w:pos="1802"/>
        </w:tabs>
        <w:spacing w:line="160" w:lineRule="exact"/>
        <w:rPr>
          <w:sz w:val="13"/>
        </w:rPr>
      </w:pPr>
      <w:r>
        <w:pict w14:anchorId="3CBCF9A3">
          <v:shape id="_x0000_s1480" type="#_x0000_t202" style="position:absolute;left:0;text-align:left;margin-left:36pt;margin-top:3.7pt;width:14.05pt;height:14.1pt;z-index:251628544;mso-position-horizontal-relative:page" filled="f" stroked="f">
            <v:textbox inset="0,0,0,0">
              <w:txbxContent>
                <w:p w14:paraId="772F27D6" w14:textId="77777777" w:rsidR="00894070" w:rsidRDefault="009B7AFD">
                  <w:pPr>
                    <w:spacing w:line="282" w:lineRule="exact"/>
                    <w:rPr>
                      <w:b/>
                      <w:sz w:val="24"/>
                    </w:rPr>
                  </w:pPr>
                  <w:r>
                    <w:rPr>
                      <w:b/>
                      <w:color w:val="EA5B50"/>
                      <w:spacing w:val="-2"/>
                      <w:sz w:val="24"/>
                    </w:rPr>
                    <w:t>64</w:t>
                  </w:r>
                </w:p>
              </w:txbxContent>
            </v:textbox>
            <w10:wrap anchorx="page"/>
          </v:shape>
        </w:pict>
      </w:r>
      <w:r w:rsidR="009B7AFD">
        <w:rPr>
          <w:color w:val="231F20"/>
          <w:sz w:val="13"/>
        </w:rPr>
        <w:t xml:space="preserve">Consultation 17 (Small group meeting on </w:t>
      </w:r>
      <w:r w:rsidR="009B7AFD">
        <w:rPr>
          <w:color w:val="231F20"/>
          <w:spacing w:val="2"/>
          <w:sz w:val="13"/>
        </w:rPr>
        <w:t xml:space="preserve">stalking </w:t>
      </w:r>
      <w:r w:rsidR="009B7AFD">
        <w:rPr>
          <w:color w:val="231F20"/>
          <w:sz w:val="13"/>
        </w:rPr>
        <w:t>and young</w:t>
      </w:r>
      <w:r w:rsidR="009B7AFD">
        <w:rPr>
          <w:color w:val="231F20"/>
          <w:spacing w:val="2"/>
          <w:sz w:val="13"/>
        </w:rPr>
        <w:t xml:space="preserve"> </w:t>
      </w:r>
      <w:r w:rsidR="009B7AFD">
        <w:rPr>
          <w:color w:val="231F20"/>
          <w:sz w:val="13"/>
        </w:rPr>
        <w:t>people).</w:t>
      </w:r>
    </w:p>
    <w:p w14:paraId="034CD463" w14:textId="77777777" w:rsidR="00894070" w:rsidRDefault="009B7AFD">
      <w:pPr>
        <w:pStyle w:val="ListParagraph"/>
        <w:numPr>
          <w:ilvl w:val="0"/>
          <w:numId w:val="134"/>
        </w:numPr>
        <w:tabs>
          <w:tab w:val="left" w:pos="1800"/>
          <w:tab w:val="left" w:pos="1802"/>
        </w:tabs>
        <w:spacing w:line="170" w:lineRule="exact"/>
        <w:rPr>
          <w:sz w:val="13"/>
        </w:rPr>
      </w:pPr>
      <w:r>
        <w:rPr>
          <w:color w:val="231F20"/>
          <w:spacing w:val="2"/>
          <w:sz w:val="13"/>
        </w:rPr>
        <w:t xml:space="preserve">Submissions </w:t>
      </w:r>
      <w:r>
        <w:rPr>
          <w:color w:val="231F20"/>
          <w:sz w:val="13"/>
        </w:rPr>
        <w:t>32 (Centre for Forensic Behavioural Science), 100</w:t>
      </w:r>
      <w:r>
        <w:rPr>
          <w:color w:val="231F20"/>
          <w:spacing w:val="2"/>
          <w:sz w:val="13"/>
        </w:rPr>
        <w:t xml:space="preserve"> </w:t>
      </w:r>
      <w:r>
        <w:rPr>
          <w:color w:val="231F20"/>
          <w:sz w:val="13"/>
        </w:rPr>
        <w:t>(Forensicare).</w:t>
      </w:r>
    </w:p>
    <w:p w14:paraId="357C80EE" w14:textId="77777777" w:rsidR="00894070" w:rsidRDefault="00894070">
      <w:pPr>
        <w:spacing w:line="170" w:lineRule="exact"/>
        <w:rPr>
          <w:sz w:val="13"/>
        </w:rPr>
        <w:sectPr w:rsidR="00894070">
          <w:pgSz w:w="11910" w:h="16840"/>
          <w:pgMar w:top="860" w:right="420" w:bottom="280" w:left="580" w:header="567" w:footer="0" w:gutter="0"/>
          <w:cols w:space="720"/>
        </w:sectPr>
      </w:pPr>
    </w:p>
    <w:p w14:paraId="046AEF54" w14:textId="77777777" w:rsidR="00894070" w:rsidRDefault="00894070">
      <w:pPr>
        <w:pStyle w:val="BodyText"/>
      </w:pPr>
    </w:p>
    <w:p w14:paraId="156C0ADD" w14:textId="77777777" w:rsidR="00894070" w:rsidRDefault="00894070">
      <w:pPr>
        <w:pStyle w:val="BodyText"/>
      </w:pPr>
    </w:p>
    <w:p w14:paraId="6CE96D3D" w14:textId="77777777" w:rsidR="00894070" w:rsidRDefault="00894070">
      <w:pPr>
        <w:pStyle w:val="BodyText"/>
      </w:pPr>
    </w:p>
    <w:p w14:paraId="5210BCC3" w14:textId="77777777" w:rsidR="00894070" w:rsidRDefault="00894070">
      <w:pPr>
        <w:pStyle w:val="BodyText"/>
        <w:spacing w:before="6"/>
        <w:rPr>
          <w:sz w:val="14"/>
        </w:rPr>
      </w:pPr>
    </w:p>
    <w:p w14:paraId="67266B91" w14:textId="77777777" w:rsidR="00894070" w:rsidRDefault="009B7AFD">
      <w:pPr>
        <w:pStyle w:val="ListParagraph"/>
        <w:numPr>
          <w:ilvl w:val="1"/>
          <w:numId w:val="177"/>
        </w:numPr>
        <w:tabs>
          <w:tab w:val="left" w:pos="1802"/>
        </w:tabs>
        <w:spacing w:before="90" w:line="206" w:lineRule="auto"/>
        <w:ind w:right="1322"/>
        <w:jc w:val="both"/>
        <w:rPr>
          <w:sz w:val="11"/>
        </w:rPr>
      </w:pPr>
      <w:r>
        <w:rPr>
          <w:color w:val="231F20"/>
          <w:sz w:val="20"/>
        </w:rPr>
        <w:t xml:space="preserve">The </w:t>
      </w:r>
      <w:r>
        <w:rPr>
          <w:color w:val="231F20"/>
          <w:spacing w:val="-3"/>
          <w:sz w:val="20"/>
        </w:rPr>
        <w:t xml:space="preserve">attitudes </w:t>
      </w:r>
      <w:r>
        <w:rPr>
          <w:color w:val="231F20"/>
          <w:sz w:val="20"/>
        </w:rPr>
        <w:t xml:space="preserve">held </w:t>
      </w:r>
      <w:r>
        <w:rPr>
          <w:color w:val="231F20"/>
          <w:spacing w:val="-3"/>
          <w:sz w:val="20"/>
        </w:rPr>
        <w:t xml:space="preserve">by </w:t>
      </w:r>
      <w:r>
        <w:rPr>
          <w:color w:val="231F20"/>
          <w:sz w:val="20"/>
        </w:rPr>
        <w:t xml:space="preserve">health </w:t>
      </w:r>
      <w:r>
        <w:rPr>
          <w:color w:val="231F20"/>
          <w:spacing w:val="-3"/>
          <w:sz w:val="20"/>
        </w:rPr>
        <w:t xml:space="preserve">providers </w:t>
      </w:r>
      <w:r>
        <w:rPr>
          <w:color w:val="231F20"/>
          <w:sz w:val="20"/>
        </w:rPr>
        <w:t xml:space="preserve">influence their </w:t>
      </w:r>
      <w:r>
        <w:rPr>
          <w:color w:val="231F20"/>
          <w:spacing w:val="-4"/>
          <w:sz w:val="20"/>
        </w:rPr>
        <w:t>behaviour.</w:t>
      </w:r>
      <w:r>
        <w:rPr>
          <w:color w:val="231F20"/>
          <w:spacing w:val="-4"/>
          <w:position w:val="7"/>
          <w:sz w:val="11"/>
        </w:rPr>
        <w:t xml:space="preserve">79 </w:t>
      </w:r>
      <w:r>
        <w:rPr>
          <w:color w:val="231F20"/>
          <w:sz w:val="20"/>
        </w:rPr>
        <w:t xml:space="preserve">If they </w:t>
      </w:r>
      <w:r>
        <w:rPr>
          <w:color w:val="231F20"/>
          <w:spacing w:val="-3"/>
          <w:sz w:val="20"/>
        </w:rPr>
        <w:t xml:space="preserve">are </w:t>
      </w:r>
      <w:r>
        <w:rPr>
          <w:color w:val="231F20"/>
          <w:sz w:val="20"/>
        </w:rPr>
        <w:t>informed about</w:t>
      </w:r>
      <w:r>
        <w:rPr>
          <w:color w:val="231F20"/>
          <w:spacing w:val="-9"/>
          <w:sz w:val="20"/>
        </w:rPr>
        <w:t xml:space="preserve"> </w:t>
      </w:r>
      <w:r>
        <w:rPr>
          <w:color w:val="231F20"/>
          <w:sz w:val="20"/>
        </w:rPr>
        <w:t>stalking</w:t>
      </w:r>
      <w:r>
        <w:rPr>
          <w:color w:val="231F20"/>
          <w:spacing w:val="-9"/>
          <w:sz w:val="20"/>
        </w:rPr>
        <w:t xml:space="preserve"> </w:t>
      </w:r>
      <w:r>
        <w:rPr>
          <w:color w:val="231F20"/>
          <w:sz w:val="20"/>
        </w:rPr>
        <w:t>and</w:t>
      </w:r>
      <w:r>
        <w:rPr>
          <w:color w:val="231F20"/>
          <w:spacing w:val="-9"/>
          <w:sz w:val="20"/>
        </w:rPr>
        <w:t xml:space="preserve"> </w:t>
      </w:r>
      <w:r>
        <w:rPr>
          <w:color w:val="231F20"/>
          <w:sz w:val="20"/>
        </w:rPr>
        <w:t>recognise</w:t>
      </w:r>
      <w:r>
        <w:rPr>
          <w:color w:val="231F20"/>
          <w:spacing w:val="-8"/>
          <w:sz w:val="20"/>
        </w:rPr>
        <w:t xml:space="preserve"> </w:t>
      </w:r>
      <w:r>
        <w:rPr>
          <w:color w:val="231F20"/>
          <w:sz w:val="20"/>
        </w:rPr>
        <w:t>the</w:t>
      </w:r>
      <w:r>
        <w:rPr>
          <w:color w:val="231F20"/>
          <w:spacing w:val="-9"/>
          <w:sz w:val="20"/>
        </w:rPr>
        <w:t xml:space="preserve"> </w:t>
      </w:r>
      <w:proofErr w:type="gramStart"/>
      <w:r>
        <w:rPr>
          <w:color w:val="231F20"/>
          <w:sz w:val="20"/>
        </w:rPr>
        <w:t>dangers</w:t>
      </w:r>
      <w:proofErr w:type="gramEnd"/>
      <w:r>
        <w:rPr>
          <w:color w:val="231F20"/>
          <w:spacing w:val="-9"/>
          <w:sz w:val="20"/>
        </w:rPr>
        <w:t xml:space="preserve"> </w:t>
      </w:r>
      <w:r>
        <w:rPr>
          <w:color w:val="231F20"/>
          <w:sz w:val="20"/>
        </w:rPr>
        <w:t>they</w:t>
      </w:r>
      <w:r>
        <w:rPr>
          <w:color w:val="231F20"/>
          <w:spacing w:val="-9"/>
          <w:sz w:val="20"/>
        </w:rPr>
        <w:t xml:space="preserve"> </w:t>
      </w:r>
      <w:r>
        <w:rPr>
          <w:color w:val="231F20"/>
          <w:sz w:val="20"/>
        </w:rPr>
        <w:t>will</w:t>
      </w:r>
      <w:r>
        <w:rPr>
          <w:color w:val="231F20"/>
          <w:spacing w:val="-8"/>
          <w:sz w:val="20"/>
        </w:rPr>
        <w:t xml:space="preserve"> </w:t>
      </w:r>
      <w:r>
        <w:rPr>
          <w:color w:val="231F20"/>
          <w:sz w:val="20"/>
        </w:rPr>
        <w:t>be</w:t>
      </w:r>
      <w:r>
        <w:rPr>
          <w:color w:val="231F20"/>
          <w:spacing w:val="-9"/>
          <w:sz w:val="20"/>
        </w:rPr>
        <w:t xml:space="preserve"> </w:t>
      </w:r>
      <w:r>
        <w:rPr>
          <w:color w:val="231F20"/>
          <w:sz w:val="20"/>
        </w:rPr>
        <w:t>more</w:t>
      </w:r>
      <w:r>
        <w:rPr>
          <w:color w:val="231F20"/>
          <w:spacing w:val="-9"/>
          <w:sz w:val="20"/>
        </w:rPr>
        <w:t xml:space="preserve"> </w:t>
      </w:r>
      <w:r>
        <w:rPr>
          <w:color w:val="231F20"/>
          <w:spacing w:val="-3"/>
          <w:sz w:val="20"/>
        </w:rPr>
        <w:t>likely</w:t>
      </w:r>
      <w:r>
        <w:rPr>
          <w:color w:val="231F20"/>
          <w:spacing w:val="-8"/>
          <w:sz w:val="20"/>
        </w:rPr>
        <w:t xml:space="preserve"> </w:t>
      </w:r>
      <w:r>
        <w:rPr>
          <w:color w:val="231F20"/>
          <w:sz w:val="20"/>
        </w:rPr>
        <w:t>to</w:t>
      </w:r>
      <w:r>
        <w:rPr>
          <w:color w:val="231F20"/>
          <w:spacing w:val="-9"/>
          <w:sz w:val="20"/>
        </w:rPr>
        <w:t xml:space="preserve"> </w:t>
      </w:r>
      <w:r>
        <w:rPr>
          <w:color w:val="231F20"/>
          <w:sz w:val="20"/>
        </w:rPr>
        <w:t>help</w:t>
      </w:r>
      <w:r>
        <w:rPr>
          <w:color w:val="231F20"/>
          <w:spacing w:val="-9"/>
          <w:sz w:val="20"/>
        </w:rPr>
        <w:t xml:space="preserve"> </w:t>
      </w:r>
      <w:r>
        <w:rPr>
          <w:color w:val="231F20"/>
          <w:spacing w:val="-3"/>
          <w:sz w:val="20"/>
        </w:rPr>
        <w:t>anyone</w:t>
      </w:r>
      <w:r>
        <w:rPr>
          <w:color w:val="231F20"/>
          <w:spacing w:val="-9"/>
          <w:sz w:val="20"/>
        </w:rPr>
        <w:t xml:space="preserve"> </w:t>
      </w:r>
      <w:r>
        <w:rPr>
          <w:color w:val="231F20"/>
          <w:sz w:val="20"/>
        </w:rPr>
        <w:t>who discloses</w:t>
      </w:r>
      <w:r>
        <w:rPr>
          <w:color w:val="231F20"/>
          <w:spacing w:val="-8"/>
          <w:sz w:val="20"/>
        </w:rPr>
        <w:t xml:space="preserve"> </w:t>
      </w:r>
      <w:r>
        <w:rPr>
          <w:color w:val="231F20"/>
          <w:sz w:val="20"/>
        </w:rPr>
        <w:t>it.</w:t>
      </w:r>
      <w:r>
        <w:rPr>
          <w:color w:val="231F20"/>
          <w:spacing w:val="-8"/>
          <w:sz w:val="20"/>
        </w:rPr>
        <w:t xml:space="preserve"> </w:t>
      </w:r>
      <w:r>
        <w:rPr>
          <w:color w:val="231F20"/>
          <w:sz w:val="20"/>
        </w:rPr>
        <w:t>It</w:t>
      </w:r>
      <w:r>
        <w:rPr>
          <w:color w:val="231F20"/>
          <w:spacing w:val="-8"/>
          <w:sz w:val="20"/>
        </w:rPr>
        <w:t xml:space="preserve"> </w:t>
      </w:r>
      <w:r>
        <w:rPr>
          <w:color w:val="231F20"/>
          <w:sz w:val="20"/>
        </w:rPr>
        <w:t>also</w:t>
      </w:r>
      <w:r>
        <w:rPr>
          <w:color w:val="231F20"/>
          <w:spacing w:val="-7"/>
          <w:sz w:val="20"/>
        </w:rPr>
        <w:t xml:space="preserve"> </w:t>
      </w:r>
      <w:r>
        <w:rPr>
          <w:color w:val="231F20"/>
          <w:sz w:val="20"/>
        </w:rPr>
        <w:t>makes</w:t>
      </w:r>
      <w:r>
        <w:rPr>
          <w:color w:val="231F20"/>
          <w:spacing w:val="-8"/>
          <w:sz w:val="20"/>
        </w:rPr>
        <w:t xml:space="preserve"> </w:t>
      </w:r>
      <w:r>
        <w:rPr>
          <w:color w:val="231F20"/>
          <w:sz w:val="20"/>
        </w:rPr>
        <w:t>a</w:t>
      </w:r>
      <w:r>
        <w:rPr>
          <w:color w:val="231F20"/>
          <w:spacing w:val="-8"/>
          <w:sz w:val="20"/>
        </w:rPr>
        <w:t xml:space="preserve"> </w:t>
      </w:r>
      <w:r>
        <w:rPr>
          <w:color w:val="231F20"/>
          <w:spacing w:val="-3"/>
          <w:sz w:val="20"/>
        </w:rPr>
        <w:t>difference</w:t>
      </w:r>
      <w:r>
        <w:rPr>
          <w:color w:val="231F20"/>
          <w:spacing w:val="-7"/>
          <w:sz w:val="20"/>
        </w:rPr>
        <w:t xml:space="preserve"> </w:t>
      </w:r>
      <w:r>
        <w:rPr>
          <w:color w:val="231F20"/>
          <w:sz w:val="20"/>
        </w:rPr>
        <w:t>if</w:t>
      </w:r>
      <w:r>
        <w:rPr>
          <w:color w:val="231F20"/>
          <w:spacing w:val="-8"/>
          <w:sz w:val="20"/>
        </w:rPr>
        <w:t xml:space="preserve"> </w:t>
      </w:r>
      <w:r>
        <w:rPr>
          <w:color w:val="231F20"/>
          <w:sz w:val="20"/>
        </w:rPr>
        <w:t>they</w:t>
      </w:r>
      <w:r>
        <w:rPr>
          <w:color w:val="231F20"/>
          <w:spacing w:val="-8"/>
          <w:sz w:val="20"/>
        </w:rPr>
        <w:t xml:space="preserve"> </w:t>
      </w:r>
      <w:r>
        <w:rPr>
          <w:color w:val="231F20"/>
          <w:sz w:val="20"/>
        </w:rPr>
        <w:t>consider</w:t>
      </w:r>
      <w:r>
        <w:rPr>
          <w:color w:val="231F20"/>
          <w:spacing w:val="-7"/>
          <w:sz w:val="20"/>
        </w:rPr>
        <w:t xml:space="preserve"> </w:t>
      </w:r>
      <w:r>
        <w:rPr>
          <w:color w:val="231F20"/>
          <w:sz w:val="20"/>
        </w:rPr>
        <w:t>stalking</w:t>
      </w:r>
      <w:r>
        <w:rPr>
          <w:color w:val="231F20"/>
          <w:spacing w:val="-8"/>
          <w:sz w:val="20"/>
        </w:rPr>
        <w:t xml:space="preserve"> </w:t>
      </w:r>
      <w:r>
        <w:rPr>
          <w:color w:val="231F20"/>
          <w:spacing w:val="-3"/>
          <w:sz w:val="20"/>
        </w:rPr>
        <w:t>‘an</w:t>
      </w:r>
      <w:r>
        <w:rPr>
          <w:color w:val="231F20"/>
          <w:spacing w:val="-8"/>
          <w:sz w:val="20"/>
        </w:rPr>
        <w:t xml:space="preserve"> </w:t>
      </w:r>
      <w:r>
        <w:rPr>
          <w:color w:val="231F20"/>
          <w:spacing w:val="-3"/>
          <w:sz w:val="20"/>
        </w:rPr>
        <w:t>appropriate</w:t>
      </w:r>
      <w:r>
        <w:rPr>
          <w:color w:val="231F20"/>
          <w:spacing w:val="-7"/>
          <w:sz w:val="20"/>
        </w:rPr>
        <w:t xml:space="preserve"> </w:t>
      </w:r>
      <w:r>
        <w:rPr>
          <w:color w:val="231F20"/>
          <w:sz w:val="20"/>
        </w:rPr>
        <w:t>area</w:t>
      </w:r>
      <w:r>
        <w:rPr>
          <w:color w:val="231F20"/>
          <w:spacing w:val="-8"/>
          <w:sz w:val="20"/>
        </w:rPr>
        <w:t xml:space="preserve"> </w:t>
      </w:r>
      <w:r>
        <w:rPr>
          <w:color w:val="231F20"/>
          <w:spacing w:val="-3"/>
          <w:sz w:val="20"/>
        </w:rPr>
        <w:t xml:space="preserve">for </w:t>
      </w:r>
      <w:r>
        <w:rPr>
          <w:color w:val="231F20"/>
          <w:spacing w:val="-2"/>
          <w:sz w:val="20"/>
        </w:rPr>
        <w:t xml:space="preserve">intervention </w:t>
      </w:r>
      <w:r>
        <w:rPr>
          <w:color w:val="231F20"/>
          <w:sz w:val="20"/>
        </w:rPr>
        <w:t>on their</w:t>
      </w:r>
      <w:r>
        <w:rPr>
          <w:color w:val="231F20"/>
          <w:spacing w:val="-11"/>
          <w:sz w:val="20"/>
        </w:rPr>
        <w:t xml:space="preserve"> </w:t>
      </w:r>
      <w:r>
        <w:rPr>
          <w:color w:val="231F20"/>
          <w:sz w:val="20"/>
        </w:rPr>
        <w:t>part’.</w:t>
      </w:r>
      <w:r>
        <w:rPr>
          <w:color w:val="231F20"/>
          <w:position w:val="7"/>
          <w:sz w:val="11"/>
        </w:rPr>
        <w:t>80</w:t>
      </w:r>
    </w:p>
    <w:p w14:paraId="47F974A3" w14:textId="77777777" w:rsidR="00894070" w:rsidRDefault="009B7AFD">
      <w:pPr>
        <w:pStyle w:val="ListParagraph"/>
        <w:numPr>
          <w:ilvl w:val="1"/>
          <w:numId w:val="177"/>
        </w:numPr>
        <w:tabs>
          <w:tab w:val="left" w:pos="1801"/>
          <w:tab w:val="left" w:pos="1802"/>
        </w:tabs>
        <w:spacing w:before="125" w:line="206" w:lineRule="auto"/>
        <w:ind w:right="1170"/>
        <w:rPr>
          <w:sz w:val="11"/>
        </w:rPr>
      </w:pPr>
      <w:r>
        <w:rPr>
          <w:color w:val="231F20"/>
          <w:sz w:val="20"/>
        </w:rPr>
        <w:t>Service</w:t>
      </w:r>
      <w:r>
        <w:rPr>
          <w:color w:val="231F20"/>
          <w:spacing w:val="-9"/>
          <w:sz w:val="20"/>
        </w:rPr>
        <w:t xml:space="preserve"> </w:t>
      </w:r>
      <w:r>
        <w:rPr>
          <w:color w:val="231F20"/>
          <w:spacing w:val="-3"/>
          <w:sz w:val="20"/>
        </w:rPr>
        <w:t>providers</w:t>
      </w:r>
      <w:r>
        <w:rPr>
          <w:color w:val="231F20"/>
          <w:spacing w:val="-9"/>
          <w:sz w:val="20"/>
        </w:rPr>
        <w:t xml:space="preserve"> </w:t>
      </w:r>
      <w:r>
        <w:rPr>
          <w:color w:val="231F20"/>
          <w:sz w:val="20"/>
        </w:rPr>
        <w:t>need</w:t>
      </w:r>
      <w:r>
        <w:rPr>
          <w:color w:val="231F20"/>
          <w:spacing w:val="-9"/>
          <w:sz w:val="20"/>
        </w:rPr>
        <w:t xml:space="preserve"> </w:t>
      </w:r>
      <w:r>
        <w:rPr>
          <w:color w:val="231F20"/>
          <w:sz w:val="20"/>
        </w:rPr>
        <w:t>to</w:t>
      </w:r>
      <w:r>
        <w:rPr>
          <w:color w:val="231F20"/>
          <w:spacing w:val="-8"/>
          <w:sz w:val="20"/>
        </w:rPr>
        <w:t xml:space="preserve"> </w:t>
      </w:r>
      <w:r>
        <w:rPr>
          <w:color w:val="231F20"/>
          <w:sz w:val="20"/>
        </w:rPr>
        <w:t>respond</w:t>
      </w:r>
      <w:r>
        <w:rPr>
          <w:color w:val="231F20"/>
          <w:spacing w:val="-9"/>
          <w:sz w:val="20"/>
        </w:rPr>
        <w:t xml:space="preserve"> </w:t>
      </w:r>
      <w:r>
        <w:rPr>
          <w:color w:val="231F20"/>
          <w:sz w:val="20"/>
        </w:rPr>
        <w:t>to</w:t>
      </w:r>
      <w:r>
        <w:rPr>
          <w:color w:val="231F20"/>
          <w:spacing w:val="-9"/>
          <w:sz w:val="20"/>
        </w:rPr>
        <w:t xml:space="preserve"> </w:t>
      </w:r>
      <w:r>
        <w:rPr>
          <w:color w:val="231F20"/>
          <w:sz w:val="20"/>
        </w:rPr>
        <w:t>the</w:t>
      </w:r>
      <w:r>
        <w:rPr>
          <w:color w:val="231F20"/>
          <w:spacing w:val="-9"/>
          <w:sz w:val="20"/>
        </w:rPr>
        <w:t xml:space="preserve"> </w:t>
      </w:r>
      <w:r>
        <w:rPr>
          <w:color w:val="231F20"/>
          <w:sz w:val="20"/>
        </w:rPr>
        <w:t>needs</w:t>
      </w:r>
      <w:r>
        <w:rPr>
          <w:color w:val="231F20"/>
          <w:spacing w:val="-8"/>
          <w:sz w:val="20"/>
        </w:rPr>
        <w:t xml:space="preserve"> </w:t>
      </w:r>
      <w:r>
        <w:rPr>
          <w:color w:val="231F20"/>
          <w:sz w:val="20"/>
        </w:rPr>
        <w:t>of</w:t>
      </w:r>
      <w:r>
        <w:rPr>
          <w:color w:val="231F20"/>
          <w:spacing w:val="-9"/>
          <w:sz w:val="20"/>
        </w:rPr>
        <w:t xml:space="preserve"> </w:t>
      </w:r>
      <w:r>
        <w:rPr>
          <w:color w:val="231F20"/>
          <w:sz w:val="20"/>
        </w:rPr>
        <w:t>diverse</w:t>
      </w:r>
      <w:r>
        <w:rPr>
          <w:color w:val="231F20"/>
          <w:spacing w:val="-9"/>
          <w:sz w:val="20"/>
        </w:rPr>
        <w:t xml:space="preserve"> </w:t>
      </w:r>
      <w:r>
        <w:rPr>
          <w:color w:val="231F20"/>
          <w:sz w:val="20"/>
        </w:rPr>
        <w:t>communities.</w:t>
      </w:r>
      <w:r>
        <w:rPr>
          <w:color w:val="231F20"/>
          <w:position w:val="7"/>
          <w:sz w:val="11"/>
        </w:rPr>
        <w:t>81</w:t>
      </w:r>
      <w:r>
        <w:rPr>
          <w:color w:val="231F20"/>
          <w:spacing w:val="15"/>
          <w:position w:val="7"/>
          <w:sz w:val="11"/>
        </w:rPr>
        <w:t xml:space="preserve"> </w:t>
      </w:r>
      <w:r>
        <w:rPr>
          <w:color w:val="231F20"/>
          <w:sz w:val="20"/>
        </w:rPr>
        <w:t>The</w:t>
      </w:r>
      <w:r>
        <w:rPr>
          <w:color w:val="231F20"/>
          <w:spacing w:val="-9"/>
          <w:sz w:val="20"/>
        </w:rPr>
        <w:t xml:space="preserve"> </w:t>
      </w:r>
      <w:r>
        <w:rPr>
          <w:color w:val="231F20"/>
          <w:sz w:val="20"/>
        </w:rPr>
        <w:t xml:space="preserve">Victorian Pride </w:t>
      </w:r>
      <w:r>
        <w:rPr>
          <w:color w:val="231F20"/>
          <w:spacing w:val="-3"/>
          <w:sz w:val="20"/>
        </w:rPr>
        <w:t xml:space="preserve">Lobby </w:t>
      </w:r>
      <w:r>
        <w:rPr>
          <w:color w:val="231F20"/>
          <w:sz w:val="20"/>
        </w:rPr>
        <w:t xml:space="preserve">said staff should be informed and </w:t>
      </w:r>
      <w:r>
        <w:rPr>
          <w:color w:val="231F20"/>
          <w:spacing w:val="-4"/>
          <w:sz w:val="20"/>
        </w:rPr>
        <w:t xml:space="preserve">aware </w:t>
      </w:r>
      <w:r>
        <w:rPr>
          <w:color w:val="231F20"/>
          <w:sz w:val="20"/>
        </w:rPr>
        <w:t xml:space="preserve">about </w:t>
      </w:r>
      <w:r>
        <w:rPr>
          <w:color w:val="231F20"/>
          <w:spacing w:val="-4"/>
          <w:sz w:val="20"/>
        </w:rPr>
        <w:t xml:space="preserve">LGBTIQA+ </w:t>
      </w:r>
      <w:r>
        <w:rPr>
          <w:color w:val="231F20"/>
          <w:sz w:val="20"/>
        </w:rPr>
        <w:t xml:space="preserve">issues and should include people </w:t>
      </w:r>
      <w:r>
        <w:rPr>
          <w:color w:val="231F20"/>
          <w:spacing w:val="-3"/>
          <w:sz w:val="20"/>
        </w:rPr>
        <w:t xml:space="preserve">from </w:t>
      </w:r>
      <w:r>
        <w:rPr>
          <w:color w:val="231F20"/>
          <w:sz w:val="20"/>
        </w:rPr>
        <w:t>diverse</w:t>
      </w:r>
      <w:r>
        <w:rPr>
          <w:color w:val="231F20"/>
          <w:spacing w:val="-21"/>
          <w:sz w:val="20"/>
        </w:rPr>
        <w:t xml:space="preserve"> </w:t>
      </w:r>
      <w:r>
        <w:rPr>
          <w:color w:val="231F20"/>
          <w:sz w:val="20"/>
        </w:rPr>
        <w:t>backgrounds.</w:t>
      </w:r>
      <w:r>
        <w:rPr>
          <w:color w:val="231F20"/>
          <w:position w:val="7"/>
          <w:sz w:val="11"/>
        </w:rPr>
        <w:t>82</w:t>
      </w:r>
    </w:p>
    <w:p w14:paraId="47FC7EAF" w14:textId="77777777" w:rsidR="00894070" w:rsidRDefault="00894070">
      <w:pPr>
        <w:pStyle w:val="BodyText"/>
      </w:pPr>
    </w:p>
    <w:p w14:paraId="3C94E7E0" w14:textId="77777777" w:rsidR="00894070" w:rsidRDefault="009F6793">
      <w:pPr>
        <w:spacing w:before="190"/>
        <w:ind w:left="1234"/>
        <w:rPr>
          <w:rFonts w:ascii="Raleway ExtraBold"/>
          <w:b/>
          <w:sz w:val="32"/>
        </w:rPr>
      </w:pPr>
      <w:r>
        <w:pict w14:anchorId="38C1BAC8">
          <v:group id="_x0000_s1477" style="position:absolute;left:0;text-align:left;margin-left:62.35pt;margin-top:1.6pt;width:479.1pt;height:404.45pt;z-index:-251503616;mso-position-horizontal-relative:page" coordorigin="1247,32" coordsize="9582,8089">
            <v:rect id="_x0000_s1479" style="position:absolute;left:1587;top:31;width:8731;height:8089" fillcolor="#fee7de" stroked="f"/>
            <v:line id="_x0000_s1478" style="position:absolute" from="1247,839" to="10828,839" strokecolor="white" strokeweight="2.5pt"/>
            <w10:wrap anchorx="page"/>
          </v:group>
        </w:pict>
      </w:r>
      <w:r w:rsidR="009B7AFD">
        <w:rPr>
          <w:rFonts w:ascii="Raleway ExtraBold"/>
          <w:b/>
          <w:color w:val="EA5B50"/>
          <w:sz w:val="32"/>
        </w:rPr>
        <w:t>Recommendation</w:t>
      </w:r>
    </w:p>
    <w:p w14:paraId="37905038" w14:textId="77777777" w:rsidR="00894070" w:rsidRDefault="00894070">
      <w:pPr>
        <w:pStyle w:val="BodyText"/>
        <w:rPr>
          <w:rFonts w:ascii="Raleway ExtraBold"/>
          <w:b/>
          <w:sz w:val="31"/>
        </w:rPr>
      </w:pPr>
    </w:p>
    <w:p w14:paraId="36625800" w14:textId="77777777" w:rsidR="00894070" w:rsidRDefault="009B7AFD">
      <w:pPr>
        <w:pStyle w:val="ListParagraph"/>
        <w:numPr>
          <w:ilvl w:val="0"/>
          <w:numId w:val="133"/>
        </w:numPr>
        <w:tabs>
          <w:tab w:val="left" w:pos="1801"/>
          <w:tab w:val="left" w:pos="1802"/>
          <w:tab w:val="left" w:pos="2368"/>
        </w:tabs>
        <w:spacing w:line="247" w:lineRule="auto"/>
        <w:ind w:right="1513" w:hanging="1134"/>
        <w:rPr>
          <w:rFonts w:ascii="Trebuchet MS"/>
          <w:sz w:val="20"/>
        </w:rPr>
      </w:pPr>
      <w:r>
        <w:rPr>
          <w:rFonts w:ascii="Trebuchet MS"/>
          <w:color w:val="231F20"/>
          <w:sz w:val="20"/>
        </w:rPr>
        <w:t>a.</w:t>
      </w:r>
      <w:r>
        <w:rPr>
          <w:rFonts w:ascii="Trebuchet MS"/>
          <w:color w:val="231F20"/>
          <w:sz w:val="20"/>
        </w:rPr>
        <w:tab/>
        <w:t xml:space="preserve">The Victorian </w:t>
      </w:r>
      <w:r>
        <w:rPr>
          <w:rFonts w:ascii="Trebuchet MS"/>
          <w:color w:val="231F20"/>
          <w:spacing w:val="-3"/>
          <w:sz w:val="20"/>
        </w:rPr>
        <w:t xml:space="preserve">Government </w:t>
      </w:r>
      <w:r>
        <w:rPr>
          <w:rFonts w:ascii="Trebuchet MS"/>
          <w:color w:val="231F20"/>
          <w:sz w:val="20"/>
        </w:rPr>
        <w:t xml:space="preserve">should </w:t>
      </w:r>
      <w:r>
        <w:rPr>
          <w:rFonts w:ascii="Trebuchet MS"/>
          <w:color w:val="231F20"/>
          <w:spacing w:val="-2"/>
          <w:sz w:val="20"/>
        </w:rPr>
        <w:t xml:space="preserve">resource </w:t>
      </w:r>
      <w:r>
        <w:rPr>
          <w:rFonts w:ascii="Trebuchet MS"/>
          <w:color w:val="231F20"/>
          <w:sz w:val="20"/>
        </w:rPr>
        <w:t xml:space="preserve">and support public education </w:t>
      </w:r>
      <w:r>
        <w:rPr>
          <w:rFonts w:ascii="Trebuchet MS"/>
          <w:color w:val="231F20"/>
          <w:spacing w:val="-2"/>
          <w:w w:val="105"/>
          <w:sz w:val="20"/>
        </w:rPr>
        <w:t>a</w:t>
      </w:r>
      <w:r>
        <w:rPr>
          <w:rFonts w:ascii="Trebuchet MS"/>
          <w:color w:val="231F20"/>
          <w:spacing w:val="-1"/>
          <w:w w:val="111"/>
          <w:sz w:val="20"/>
        </w:rPr>
        <w:t>bo</w:t>
      </w:r>
      <w:r>
        <w:rPr>
          <w:rFonts w:ascii="Trebuchet MS"/>
          <w:color w:val="231F20"/>
          <w:spacing w:val="-3"/>
          <w:w w:val="109"/>
          <w:sz w:val="20"/>
        </w:rPr>
        <w:t>u</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11"/>
          <w:sz w:val="20"/>
        </w:rPr>
        <w:t>cy</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r>
        <w:rPr>
          <w:rFonts w:ascii="Trebuchet MS"/>
          <w:color w:val="231F20"/>
          <w:spacing w:val="-14"/>
          <w:sz w:val="20"/>
        </w:rPr>
        <w:t xml:space="preserve"> </w:t>
      </w:r>
      <w:r>
        <w:rPr>
          <w:rFonts w:ascii="Trebuchet MS"/>
          <w:color w:val="231F20"/>
          <w:spacing w:val="-2"/>
          <w:w w:val="105"/>
          <w:sz w:val="20"/>
        </w:rPr>
        <w:t>T</w:t>
      </w:r>
      <w:r>
        <w:rPr>
          <w:rFonts w:ascii="Trebuchet MS"/>
          <w:color w:val="231F20"/>
          <w:spacing w:val="-2"/>
          <w:w w:val="107"/>
          <w:sz w:val="20"/>
        </w:rPr>
        <w:t>h</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w w:val="108"/>
          <w:sz w:val="20"/>
        </w:rPr>
        <w:t>e</w:t>
      </w:r>
      <w:r>
        <w:rPr>
          <w:rFonts w:ascii="Trebuchet MS"/>
          <w:color w:val="231F20"/>
          <w:spacing w:val="-2"/>
          <w:w w:val="112"/>
          <w:sz w:val="20"/>
        </w:rPr>
        <w:t>d</w:t>
      </w:r>
      <w:r>
        <w:rPr>
          <w:rFonts w:ascii="Trebuchet MS"/>
          <w:color w:val="231F20"/>
          <w:spacing w:val="-2"/>
          <w:w w:val="109"/>
          <w:sz w:val="20"/>
        </w:rPr>
        <w:t>u</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 xml:space="preserve">d </w:t>
      </w:r>
      <w:r>
        <w:rPr>
          <w:rFonts w:ascii="Trebuchet MS"/>
          <w:color w:val="231F20"/>
          <w:spacing w:val="-1"/>
          <w:w w:val="111"/>
          <w:sz w:val="20"/>
        </w:rPr>
        <w:t>b</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5"/>
          <w:sz w:val="20"/>
        </w:rPr>
        <w:t>a</w:t>
      </w:r>
      <w:r>
        <w:rPr>
          <w:rFonts w:ascii="Trebuchet MS"/>
          <w:color w:val="231F20"/>
          <w:spacing w:val="-1"/>
          <w:w w:val="122"/>
          <w:sz w:val="20"/>
        </w:rPr>
        <w:t>s</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1"/>
          <w:w w:val="108"/>
          <w:sz w:val="20"/>
        </w:rPr>
        <w:t>e</w:t>
      </w:r>
      <w:r>
        <w:rPr>
          <w:rFonts w:ascii="Trebuchet MS"/>
          <w:color w:val="231F20"/>
          <w:spacing w:val="-3"/>
          <w:w w:val="96"/>
          <w:sz w:val="20"/>
        </w:rPr>
        <w:t>l</w:t>
      </w:r>
      <w:r>
        <w:rPr>
          <w:rFonts w:ascii="Trebuchet MS"/>
          <w:color w:val="231F20"/>
          <w:spacing w:val="-5"/>
          <w:w w:val="108"/>
          <w:sz w:val="20"/>
        </w:rPr>
        <w:t>e</w:t>
      </w:r>
      <w:r>
        <w:rPr>
          <w:rFonts w:ascii="Trebuchet MS"/>
          <w:color w:val="231F20"/>
          <w:spacing w:val="-3"/>
          <w:w w:val="109"/>
          <w:sz w:val="20"/>
        </w:rPr>
        <w:t>v</w:t>
      </w:r>
      <w:r>
        <w:rPr>
          <w:rFonts w:ascii="Trebuchet MS"/>
          <w:color w:val="231F20"/>
          <w:spacing w:val="-2"/>
          <w:w w:val="105"/>
          <w:sz w:val="20"/>
        </w:rPr>
        <w:t>a</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1"/>
          <w:w w:val="108"/>
          <w:sz w:val="20"/>
        </w:rPr>
        <w:t>e</w:t>
      </w:r>
      <w:r>
        <w:rPr>
          <w:rFonts w:ascii="Trebuchet MS"/>
          <w:color w:val="231F20"/>
          <w:spacing w:val="-2"/>
          <w:w w:val="105"/>
          <w:sz w:val="20"/>
        </w:rPr>
        <w:t>a</w:t>
      </w:r>
      <w:r>
        <w:rPr>
          <w:rFonts w:ascii="Trebuchet MS"/>
          <w:color w:val="231F20"/>
          <w:spacing w:val="-4"/>
          <w:w w:val="93"/>
          <w:sz w:val="20"/>
        </w:rPr>
        <w:t>r</w:t>
      </w:r>
      <w:r>
        <w:rPr>
          <w:rFonts w:ascii="Trebuchet MS"/>
          <w:color w:val="231F20"/>
          <w:spacing w:val="-2"/>
          <w:w w:val="111"/>
          <w:sz w:val="20"/>
        </w:rPr>
        <w:t>c</w:t>
      </w:r>
      <w:r>
        <w:rPr>
          <w:rFonts w:ascii="Trebuchet MS"/>
          <w:color w:val="231F20"/>
          <w:spacing w:val="-1"/>
          <w:w w:val="107"/>
          <w:sz w:val="20"/>
        </w:rPr>
        <w:t>h</w:t>
      </w:r>
      <w:r>
        <w:rPr>
          <w:rFonts w:ascii="Trebuchet MS"/>
          <w:color w:val="231F20"/>
          <w:w w:val="55"/>
          <w:sz w:val="20"/>
        </w:rPr>
        <w:t>.</w:t>
      </w:r>
      <w:r>
        <w:rPr>
          <w:rFonts w:ascii="Trebuchet MS"/>
          <w:color w:val="231F20"/>
          <w:spacing w:val="-14"/>
          <w:sz w:val="20"/>
        </w:rPr>
        <w:t xml:space="preserve"> </w:t>
      </w:r>
      <w:r>
        <w:rPr>
          <w:rFonts w:ascii="Trebuchet MS"/>
          <w:color w:val="231F20"/>
          <w:spacing w:val="-2"/>
          <w:w w:val="90"/>
          <w:sz w:val="20"/>
        </w:rPr>
        <w:t>I</w:t>
      </w:r>
      <w:r>
        <w:rPr>
          <w:rFonts w:ascii="Trebuchet MS"/>
          <w:color w:val="231F20"/>
          <w:w w:val="90"/>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1"/>
          <w:w w:val="107"/>
          <w:sz w:val="20"/>
        </w:rPr>
        <w:t>n</w:t>
      </w:r>
      <w:r>
        <w:rPr>
          <w:rFonts w:ascii="Trebuchet MS"/>
          <w:color w:val="231F20"/>
          <w:spacing w:val="-3"/>
          <w:w w:val="111"/>
          <w:sz w:val="20"/>
        </w:rPr>
        <w:t>c</w:t>
      </w:r>
      <w:r>
        <w:rPr>
          <w:rFonts w:ascii="Trebuchet MS"/>
          <w:color w:val="231F20"/>
          <w:spacing w:val="-3"/>
          <w:w w:val="96"/>
          <w:sz w:val="20"/>
        </w:rPr>
        <w:t>l</w:t>
      </w:r>
      <w:r>
        <w:rPr>
          <w:rFonts w:ascii="Trebuchet MS"/>
          <w:color w:val="231F20"/>
          <w:spacing w:val="-2"/>
          <w:w w:val="109"/>
          <w:sz w:val="20"/>
        </w:rPr>
        <w:t>u</w:t>
      </w:r>
      <w:r>
        <w:rPr>
          <w:rFonts w:ascii="Trebuchet MS"/>
          <w:color w:val="231F20"/>
          <w:spacing w:val="-2"/>
          <w:w w:val="112"/>
          <w:sz w:val="20"/>
        </w:rPr>
        <w:t>d</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4"/>
          <w:w w:val="88"/>
          <w:sz w:val="20"/>
        </w:rPr>
        <w:t>t</w:t>
      </w:r>
      <w:r>
        <w:rPr>
          <w:rFonts w:ascii="Trebuchet MS"/>
          <w:color w:val="231F20"/>
          <w:spacing w:val="-1"/>
          <w:w w:val="108"/>
          <w:sz w:val="20"/>
        </w:rPr>
        <w:t>e</w:t>
      </w:r>
      <w:r>
        <w:rPr>
          <w:rFonts w:ascii="Trebuchet MS"/>
          <w:color w:val="231F20"/>
          <w:spacing w:val="-2"/>
          <w:w w:val="93"/>
          <w:sz w:val="20"/>
        </w:rPr>
        <w:t>r</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3"/>
          <w:w w:val="107"/>
          <w:sz w:val="20"/>
        </w:rPr>
        <w:t>n</w:t>
      </w:r>
      <w:r>
        <w:rPr>
          <w:rFonts w:ascii="Trebuchet MS"/>
          <w:color w:val="231F20"/>
          <w:w w:val="54"/>
          <w:sz w:val="20"/>
        </w:rPr>
        <w:t>:</w:t>
      </w:r>
    </w:p>
    <w:p w14:paraId="75D6C1CD" w14:textId="77777777" w:rsidR="00894070" w:rsidRDefault="009B7AFD">
      <w:pPr>
        <w:pStyle w:val="ListParagraph"/>
        <w:numPr>
          <w:ilvl w:val="1"/>
          <w:numId w:val="133"/>
        </w:numPr>
        <w:tabs>
          <w:tab w:val="left" w:pos="2934"/>
          <w:tab w:val="left" w:pos="2935"/>
        </w:tabs>
        <w:spacing w:before="88"/>
        <w:ind w:hanging="566"/>
        <w:rPr>
          <w:rFonts w:ascii="Trebuchet MS" w:hAnsi="Trebuchet MS"/>
          <w:sz w:val="20"/>
        </w:rPr>
      </w:pPr>
      <w:r>
        <w:rPr>
          <w:rFonts w:ascii="Trebuchet MS" w:hAnsi="Trebuchet MS"/>
          <w:color w:val="231F20"/>
          <w:sz w:val="20"/>
        </w:rPr>
        <w:t>identifying</w:t>
      </w:r>
      <w:r>
        <w:rPr>
          <w:rFonts w:ascii="Trebuchet MS" w:hAnsi="Trebuchet MS"/>
          <w:color w:val="231F20"/>
          <w:spacing w:val="-13"/>
          <w:sz w:val="20"/>
        </w:rPr>
        <w:t xml:space="preserve"> </w:t>
      </w:r>
      <w:r>
        <w:rPr>
          <w:rFonts w:ascii="Trebuchet MS" w:hAnsi="Trebuchet MS"/>
          <w:color w:val="231F20"/>
          <w:sz w:val="20"/>
        </w:rPr>
        <w:t>stalking</w:t>
      </w:r>
      <w:r>
        <w:rPr>
          <w:rFonts w:ascii="Trebuchet MS" w:hAnsi="Trebuchet MS"/>
          <w:color w:val="231F20"/>
          <w:spacing w:val="-13"/>
          <w:sz w:val="20"/>
        </w:rPr>
        <w:t xml:space="preserve"> </w:t>
      </w:r>
      <w:r>
        <w:rPr>
          <w:rFonts w:ascii="Trebuchet MS" w:hAnsi="Trebuchet MS"/>
          <w:color w:val="231F20"/>
          <w:sz w:val="20"/>
        </w:rPr>
        <w:t>and</w:t>
      </w:r>
      <w:r>
        <w:rPr>
          <w:rFonts w:ascii="Trebuchet MS" w:hAnsi="Trebuchet MS"/>
          <w:color w:val="231F20"/>
          <w:spacing w:val="-13"/>
          <w:sz w:val="20"/>
        </w:rPr>
        <w:t xml:space="preserve"> </w:t>
      </w:r>
      <w:r>
        <w:rPr>
          <w:rFonts w:ascii="Trebuchet MS" w:hAnsi="Trebuchet MS"/>
          <w:color w:val="231F20"/>
          <w:spacing w:val="-3"/>
          <w:sz w:val="20"/>
        </w:rPr>
        <w:t>how</w:t>
      </w:r>
      <w:r>
        <w:rPr>
          <w:rFonts w:ascii="Trebuchet MS" w:hAnsi="Trebuchet MS"/>
          <w:color w:val="231F20"/>
          <w:spacing w:val="-13"/>
          <w:sz w:val="20"/>
        </w:rPr>
        <w:t xml:space="preserve"> </w:t>
      </w:r>
      <w:r>
        <w:rPr>
          <w:rFonts w:ascii="Trebuchet MS" w:hAnsi="Trebuchet MS"/>
          <w:color w:val="231F20"/>
          <w:sz w:val="20"/>
        </w:rPr>
        <w:t>it</w:t>
      </w:r>
      <w:r>
        <w:rPr>
          <w:rFonts w:ascii="Trebuchet MS" w:hAnsi="Trebuchet MS"/>
          <w:color w:val="231F20"/>
          <w:spacing w:val="-13"/>
          <w:sz w:val="20"/>
        </w:rPr>
        <w:t xml:space="preserve"> </w:t>
      </w:r>
      <w:r>
        <w:rPr>
          <w:rFonts w:ascii="Trebuchet MS" w:hAnsi="Trebuchet MS"/>
          <w:color w:val="231F20"/>
          <w:sz w:val="20"/>
        </w:rPr>
        <w:t>is</w:t>
      </w:r>
      <w:r>
        <w:rPr>
          <w:rFonts w:ascii="Trebuchet MS" w:hAnsi="Trebuchet MS"/>
          <w:color w:val="231F20"/>
          <w:spacing w:val="-12"/>
          <w:sz w:val="20"/>
        </w:rPr>
        <w:t xml:space="preserve"> </w:t>
      </w:r>
      <w:r>
        <w:rPr>
          <w:rFonts w:ascii="Trebuchet MS" w:hAnsi="Trebuchet MS"/>
          <w:color w:val="231F20"/>
          <w:sz w:val="20"/>
        </w:rPr>
        <w:t>a</w:t>
      </w:r>
      <w:r>
        <w:rPr>
          <w:rFonts w:ascii="Trebuchet MS" w:hAnsi="Trebuchet MS"/>
          <w:color w:val="231F20"/>
          <w:spacing w:val="-13"/>
          <w:sz w:val="20"/>
        </w:rPr>
        <w:t xml:space="preserve"> </w:t>
      </w:r>
      <w:r>
        <w:rPr>
          <w:rFonts w:ascii="Trebuchet MS" w:hAnsi="Trebuchet MS"/>
          <w:color w:val="231F20"/>
          <w:sz w:val="20"/>
        </w:rPr>
        <w:t>crime</w:t>
      </w:r>
    </w:p>
    <w:p w14:paraId="4AD5D274" w14:textId="77777777" w:rsidR="00894070" w:rsidRDefault="009B7AFD">
      <w:pPr>
        <w:pStyle w:val="ListParagraph"/>
        <w:numPr>
          <w:ilvl w:val="1"/>
          <w:numId w:val="133"/>
        </w:numPr>
        <w:tabs>
          <w:tab w:val="left" w:pos="2934"/>
          <w:tab w:val="left" w:pos="2935"/>
        </w:tabs>
        <w:spacing w:before="93"/>
        <w:ind w:hanging="566"/>
        <w:rPr>
          <w:rFonts w:ascii="Trebuchet MS" w:hAnsi="Trebuchet MS"/>
          <w:sz w:val="20"/>
        </w:rPr>
      </w:pP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w w:val="105"/>
          <w:sz w:val="20"/>
        </w:rPr>
        <w:t>harms</w:t>
      </w:r>
      <w:r>
        <w:rPr>
          <w:rFonts w:ascii="Trebuchet MS" w:hAnsi="Trebuchet MS"/>
          <w:color w:val="231F20"/>
          <w:spacing w:val="-17"/>
          <w:w w:val="105"/>
          <w:sz w:val="20"/>
        </w:rPr>
        <w:t xml:space="preserve"> </w:t>
      </w:r>
      <w:r>
        <w:rPr>
          <w:rFonts w:ascii="Trebuchet MS" w:hAnsi="Trebuchet MS"/>
          <w:color w:val="231F20"/>
          <w:w w:val="105"/>
          <w:sz w:val="20"/>
        </w:rPr>
        <w:t>caused</w:t>
      </w:r>
      <w:r>
        <w:rPr>
          <w:rFonts w:ascii="Trebuchet MS" w:hAnsi="Trebuchet MS"/>
          <w:color w:val="231F20"/>
          <w:spacing w:val="-16"/>
          <w:w w:val="105"/>
          <w:sz w:val="20"/>
        </w:rPr>
        <w:t xml:space="preserve"> </w:t>
      </w:r>
      <w:r>
        <w:rPr>
          <w:rFonts w:ascii="Trebuchet MS" w:hAnsi="Trebuchet MS"/>
          <w:color w:val="231F20"/>
          <w:spacing w:val="-3"/>
          <w:w w:val="105"/>
          <w:sz w:val="20"/>
        </w:rPr>
        <w:t>by</w:t>
      </w:r>
      <w:r>
        <w:rPr>
          <w:rFonts w:ascii="Trebuchet MS" w:hAnsi="Trebuchet MS"/>
          <w:color w:val="231F20"/>
          <w:spacing w:val="-17"/>
          <w:w w:val="105"/>
          <w:sz w:val="20"/>
        </w:rPr>
        <w:t xml:space="preserve"> </w:t>
      </w:r>
      <w:r>
        <w:rPr>
          <w:rFonts w:ascii="Trebuchet MS" w:hAnsi="Trebuchet MS"/>
          <w:color w:val="231F20"/>
          <w:w w:val="105"/>
          <w:sz w:val="20"/>
        </w:rPr>
        <w:t>stalking</w:t>
      </w:r>
    </w:p>
    <w:p w14:paraId="07F78516" w14:textId="77777777" w:rsidR="00894070" w:rsidRDefault="009B7AFD">
      <w:pPr>
        <w:pStyle w:val="ListParagraph"/>
        <w:numPr>
          <w:ilvl w:val="1"/>
          <w:numId w:val="133"/>
        </w:numPr>
        <w:tabs>
          <w:tab w:val="left" w:pos="2934"/>
          <w:tab w:val="left" w:pos="2935"/>
        </w:tabs>
        <w:spacing w:before="92"/>
        <w:ind w:hanging="566"/>
        <w:rPr>
          <w:rFonts w:ascii="Trebuchet MS" w:hAnsi="Trebuchet MS"/>
          <w:sz w:val="20"/>
        </w:rPr>
      </w:pPr>
      <w:r>
        <w:rPr>
          <w:rFonts w:ascii="Trebuchet MS" w:hAnsi="Trebuchet MS"/>
          <w:color w:val="231F20"/>
          <w:w w:val="105"/>
          <w:sz w:val="20"/>
        </w:rPr>
        <w:t>the</w:t>
      </w:r>
      <w:r>
        <w:rPr>
          <w:rFonts w:ascii="Trebuchet MS" w:hAnsi="Trebuchet MS"/>
          <w:color w:val="231F20"/>
          <w:spacing w:val="-18"/>
          <w:w w:val="105"/>
          <w:sz w:val="20"/>
        </w:rPr>
        <w:t xml:space="preserve"> </w:t>
      </w:r>
      <w:r>
        <w:rPr>
          <w:rFonts w:ascii="Trebuchet MS" w:hAnsi="Trebuchet MS"/>
          <w:color w:val="231F20"/>
          <w:spacing w:val="-2"/>
          <w:w w:val="105"/>
          <w:sz w:val="20"/>
        </w:rPr>
        <w:t>different</w:t>
      </w:r>
      <w:r>
        <w:rPr>
          <w:rFonts w:ascii="Trebuchet MS" w:hAnsi="Trebuchet MS"/>
          <w:color w:val="231F20"/>
          <w:spacing w:val="-18"/>
          <w:w w:val="105"/>
          <w:sz w:val="20"/>
        </w:rPr>
        <w:t xml:space="preserve"> </w:t>
      </w:r>
      <w:r>
        <w:rPr>
          <w:rFonts w:ascii="Trebuchet MS" w:hAnsi="Trebuchet MS"/>
          <w:color w:val="231F20"/>
          <w:w w:val="105"/>
          <w:sz w:val="20"/>
        </w:rPr>
        <w:t>forms</w:t>
      </w:r>
      <w:r>
        <w:rPr>
          <w:rFonts w:ascii="Trebuchet MS" w:hAnsi="Trebuchet MS"/>
          <w:color w:val="231F20"/>
          <w:spacing w:val="-17"/>
          <w:w w:val="105"/>
          <w:sz w:val="20"/>
        </w:rPr>
        <w:t xml:space="preserve"> </w:t>
      </w:r>
      <w:r>
        <w:rPr>
          <w:rFonts w:ascii="Trebuchet MS" w:hAnsi="Trebuchet MS"/>
          <w:color w:val="231F20"/>
          <w:w w:val="105"/>
          <w:sz w:val="20"/>
        </w:rPr>
        <w:t>stalking</w:t>
      </w:r>
      <w:r>
        <w:rPr>
          <w:rFonts w:ascii="Trebuchet MS" w:hAnsi="Trebuchet MS"/>
          <w:color w:val="231F20"/>
          <w:spacing w:val="-18"/>
          <w:w w:val="105"/>
          <w:sz w:val="20"/>
        </w:rPr>
        <w:t xml:space="preserve"> </w:t>
      </w:r>
      <w:r>
        <w:rPr>
          <w:rFonts w:ascii="Trebuchet MS" w:hAnsi="Trebuchet MS"/>
          <w:color w:val="231F20"/>
          <w:w w:val="105"/>
          <w:sz w:val="20"/>
        </w:rPr>
        <w:t>can</w:t>
      </w:r>
      <w:r>
        <w:rPr>
          <w:rFonts w:ascii="Trebuchet MS" w:hAnsi="Trebuchet MS"/>
          <w:color w:val="231F20"/>
          <w:spacing w:val="-18"/>
          <w:w w:val="105"/>
          <w:sz w:val="20"/>
        </w:rPr>
        <w:t xml:space="preserve"> </w:t>
      </w:r>
      <w:r>
        <w:rPr>
          <w:rFonts w:ascii="Trebuchet MS" w:hAnsi="Trebuchet MS"/>
          <w:color w:val="231F20"/>
          <w:w w:val="105"/>
          <w:sz w:val="20"/>
        </w:rPr>
        <w:t>take</w:t>
      </w:r>
    </w:p>
    <w:p w14:paraId="3DB94168" w14:textId="77777777" w:rsidR="00894070" w:rsidRDefault="009B7AFD">
      <w:pPr>
        <w:pStyle w:val="ListParagraph"/>
        <w:numPr>
          <w:ilvl w:val="1"/>
          <w:numId w:val="133"/>
        </w:numPr>
        <w:tabs>
          <w:tab w:val="left" w:pos="2934"/>
          <w:tab w:val="left" w:pos="2935"/>
        </w:tabs>
        <w:spacing w:before="93"/>
        <w:ind w:hanging="566"/>
        <w:rPr>
          <w:rFonts w:ascii="Trebuchet MS" w:hAnsi="Trebuchet MS"/>
          <w:sz w:val="20"/>
        </w:rPr>
      </w:pPr>
      <w:r>
        <w:rPr>
          <w:rFonts w:ascii="Trebuchet MS" w:hAnsi="Trebuchet MS"/>
          <w:color w:val="231F20"/>
          <w:spacing w:val="-3"/>
          <w:w w:val="105"/>
          <w:sz w:val="20"/>
        </w:rPr>
        <w:t>how</w:t>
      </w:r>
      <w:r>
        <w:rPr>
          <w:rFonts w:ascii="Trebuchet MS" w:hAnsi="Trebuchet MS"/>
          <w:color w:val="231F20"/>
          <w:spacing w:val="-18"/>
          <w:w w:val="105"/>
          <w:sz w:val="20"/>
        </w:rPr>
        <w:t xml:space="preserve"> </w:t>
      </w:r>
      <w:r>
        <w:rPr>
          <w:rFonts w:ascii="Trebuchet MS" w:hAnsi="Trebuchet MS"/>
          <w:color w:val="231F20"/>
          <w:w w:val="105"/>
          <w:sz w:val="20"/>
        </w:rPr>
        <w:t>stalking</w:t>
      </w:r>
      <w:r>
        <w:rPr>
          <w:rFonts w:ascii="Trebuchet MS" w:hAnsi="Trebuchet MS"/>
          <w:color w:val="231F20"/>
          <w:spacing w:val="-18"/>
          <w:w w:val="105"/>
          <w:sz w:val="20"/>
        </w:rPr>
        <w:t xml:space="preserve"> </w:t>
      </w:r>
      <w:r>
        <w:rPr>
          <w:rFonts w:ascii="Trebuchet MS" w:hAnsi="Trebuchet MS"/>
          <w:color w:val="231F20"/>
          <w:w w:val="105"/>
          <w:sz w:val="20"/>
        </w:rPr>
        <w:t>is</w:t>
      </w:r>
      <w:r>
        <w:rPr>
          <w:rFonts w:ascii="Trebuchet MS" w:hAnsi="Trebuchet MS"/>
          <w:color w:val="231F20"/>
          <w:spacing w:val="-17"/>
          <w:w w:val="105"/>
          <w:sz w:val="20"/>
        </w:rPr>
        <w:t xml:space="preserve"> </w:t>
      </w:r>
      <w:r>
        <w:rPr>
          <w:rFonts w:ascii="Trebuchet MS" w:hAnsi="Trebuchet MS"/>
          <w:color w:val="231F20"/>
          <w:spacing w:val="-2"/>
          <w:w w:val="105"/>
          <w:sz w:val="20"/>
        </w:rPr>
        <w:t>different</w:t>
      </w:r>
      <w:r>
        <w:rPr>
          <w:rFonts w:ascii="Trebuchet MS" w:hAnsi="Trebuchet MS"/>
          <w:color w:val="231F20"/>
          <w:spacing w:val="-18"/>
          <w:w w:val="105"/>
          <w:sz w:val="20"/>
        </w:rPr>
        <w:t xml:space="preserve"> </w:t>
      </w:r>
      <w:r>
        <w:rPr>
          <w:rFonts w:ascii="Trebuchet MS" w:hAnsi="Trebuchet MS"/>
          <w:color w:val="231F20"/>
          <w:w w:val="105"/>
          <w:sz w:val="20"/>
        </w:rPr>
        <w:t>from</w:t>
      </w:r>
      <w:r>
        <w:rPr>
          <w:rFonts w:ascii="Trebuchet MS" w:hAnsi="Trebuchet MS"/>
          <w:color w:val="231F20"/>
          <w:spacing w:val="-17"/>
          <w:w w:val="105"/>
          <w:sz w:val="20"/>
        </w:rPr>
        <w:t xml:space="preserve"> </w:t>
      </w:r>
      <w:r>
        <w:rPr>
          <w:rFonts w:ascii="Trebuchet MS" w:hAnsi="Trebuchet MS"/>
          <w:color w:val="231F20"/>
          <w:w w:val="105"/>
          <w:sz w:val="20"/>
        </w:rPr>
        <w:t>harassment</w:t>
      </w:r>
      <w:r>
        <w:rPr>
          <w:rFonts w:ascii="Trebuchet MS" w:hAnsi="Trebuchet MS"/>
          <w:color w:val="231F20"/>
          <w:spacing w:val="-18"/>
          <w:w w:val="105"/>
          <w:sz w:val="20"/>
        </w:rPr>
        <w:t xml:space="preserve"> </w:t>
      </w:r>
      <w:r>
        <w:rPr>
          <w:rFonts w:ascii="Trebuchet MS" w:hAnsi="Trebuchet MS"/>
          <w:color w:val="231F20"/>
          <w:w w:val="105"/>
          <w:sz w:val="20"/>
        </w:rPr>
        <w:t>and</w:t>
      </w:r>
      <w:r>
        <w:rPr>
          <w:rFonts w:ascii="Trebuchet MS" w:hAnsi="Trebuchet MS"/>
          <w:color w:val="231F20"/>
          <w:spacing w:val="-17"/>
          <w:w w:val="105"/>
          <w:sz w:val="20"/>
        </w:rPr>
        <w:t xml:space="preserve"> </w:t>
      </w:r>
      <w:r>
        <w:rPr>
          <w:rFonts w:ascii="Trebuchet MS" w:hAnsi="Trebuchet MS"/>
          <w:color w:val="231F20"/>
          <w:w w:val="105"/>
          <w:sz w:val="20"/>
        </w:rPr>
        <w:t>similar</w:t>
      </w:r>
      <w:r>
        <w:rPr>
          <w:rFonts w:ascii="Trebuchet MS" w:hAnsi="Trebuchet MS"/>
          <w:color w:val="231F20"/>
          <w:spacing w:val="-18"/>
          <w:w w:val="105"/>
          <w:sz w:val="20"/>
        </w:rPr>
        <w:t xml:space="preserve"> </w:t>
      </w:r>
      <w:r>
        <w:rPr>
          <w:rFonts w:ascii="Trebuchet MS" w:hAnsi="Trebuchet MS"/>
          <w:color w:val="231F20"/>
          <w:w w:val="105"/>
          <w:sz w:val="20"/>
        </w:rPr>
        <w:t>conduct</w:t>
      </w:r>
    </w:p>
    <w:p w14:paraId="070F1744" w14:textId="77777777" w:rsidR="00894070" w:rsidRDefault="009B7AFD">
      <w:pPr>
        <w:pStyle w:val="ListParagraph"/>
        <w:numPr>
          <w:ilvl w:val="1"/>
          <w:numId w:val="133"/>
        </w:numPr>
        <w:tabs>
          <w:tab w:val="left" w:pos="2934"/>
          <w:tab w:val="left" w:pos="2935"/>
        </w:tabs>
        <w:spacing w:before="93"/>
        <w:ind w:hanging="566"/>
        <w:rPr>
          <w:rFonts w:ascii="Trebuchet MS" w:hAnsi="Trebuchet MS"/>
          <w:sz w:val="20"/>
        </w:rPr>
      </w:pPr>
      <w:r>
        <w:rPr>
          <w:rFonts w:ascii="Trebuchet MS" w:hAnsi="Trebuchet MS"/>
          <w:color w:val="231F20"/>
          <w:w w:val="110"/>
          <w:sz w:val="20"/>
        </w:rPr>
        <w:t>common stalking</w:t>
      </w:r>
      <w:r>
        <w:rPr>
          <w:rFonts w:ascii="Trebuchet MS" w:hAnsi="Trebuchet MS"/>
          <w:color w:val="231F20"/>
          <w:spacing w:val="-41"/>
          <w:w w:val="110"/>
          <w:sz w:val="20"/>
        </w:rPr>
        <w:t xml:space="preserve"> </w:t>
      </w:r>
      <w:r>
        <w:rPr>
          <w:rFonts w:ascii="Trebuchet MS" w:hAnsi="Trebuchet MS"/>
          <w:color w:val="231F20"/>
          <w:w w:val="110"/>
          <w:sz w:val="20"/>
        </w:rPr>
        <w:t>myths</w:t>
      </w:r>
    </w:p>
    <w:p w14:paraId="68FC2F11" w14:textId="77777777" w:rsidR="00894070" w:rsidRDefault="009B7AFD">
      <w:pPr>
        <w:pStyle w:val="ListParagraph"/>
        <w:numPr>
          <w:ilvl w:val="1"/>
          <w:numId w:val="133"/>
        </w:numPr>
        <w:tabs>
          <w:tab w:val="left" w:pos="2934"/>
          <w:tab w:val="left" w:pos="2935"/>
        </w:tabs>
        <w:spacing w:before="93" w:line="247" w:lineRule="auto"/>
        <w:ind w:right="1764" w:hanging="566"/>
        <w:rPr>
          <w:rFonts w:ascii="Trebuchet MS" w:hAnsi="Trebuchet MS"/>
          <w:sz w:val="20"/>
        </w:rPr>
      </w:pPr>
      <w:r>
        <w:rPr>
          <w:rFonts w:ascii="Trebuchet MS" w:hAnsi="Trebuchet MS"/>
          <w:color w:val="231F20"/>
          <w:spacing w:val="-3"/>
          <w:w w:val="105"/>
          <w:sz w:val="20"/>
        </w:rPr>
        <w:t>how</w:t>
      </w:r>
      <w:r>
        <w:rPr>
          <w:rFonts w:ascii="Trebuchet MS" w:hAnsi="Trebuchet MS"/>
          <w:color w:val="231F20"/>
          <w:spacing w:val="-12"/>
          <w:w w:val="105"/>
          <w:sz w:val="20"/>
        </w:rPr>
        <w:t xml:space="preserve"> </w:t>
      </w:r>
      <w:r>
        <w:rPr>
          <w:rFonts w:ascii="Trebuchet MS" w:hAnsi="Trebuchet MS"/>
          <w:color w:val="231F20"/>
          <w:w w:val="105"/>
          <w:sz w:val="20"/>
        </w:rPr>
        <w:t>people</w:t>
      </w:r>
      <w:r>
        <w:rPr>
          <w:rFonts w:ascii="Trebuchet MS" w:hAnsi="Trebuchet MS"/>
          <w:color w:val="231F20"/>
          <w:spacing w:val="-11"/>
          <w:w w:val="105"/>
          <w:sz w:val="20"/>
        </w:rPr>
        <w:t xml:space="preserve"> </w:t>
      </w:r>
      <w:r>
        <w:rPr>
          <w:rFonts w:ascii="Trebuchet MS" w:hAnsi="Trebuchet MS"/>
          <w:color w:val="231F20"/>
          <w:w w:val="105"/>
          <w:sz w:val="20"/>
        </w:rPr>
        <w:t>engaging</w:t>
      </w:r>
      <w:r>
        <w:rPr>
          <w:rFonts w:ascii="Trebuchet MS" w:hAnsi="Trebuchet MS"/>
          <w:color w:val="231F20"/>
          <w:spacing w:val="-12"/>
          <w:w w:val="105"/>
          <w:sz w:val="20"/>
        </w:rPr>
        <w:t xml:space="preserve"> </w:t>
      </w:r>
      <w:r>
        <w:rPr>
          <w:rFonts w:ascii="Trebuchet MS" w:hAnsi="Trebuchet MS"/>
          <w:color w:val="231F20"/>
          <w:w w:val="105"/>
          <w:sz w:val="20"/>
        </w:rPr>
        <w:t>in</w:t>
      </w:r>
      <w:r>
        <w:rPr>
          <w:rFonts w:ascii="Trebuchet MS" w:hAnsi="Trebuchet MS"/>
          <w:color w:val="231F20"/>
          <w:spacing w:val="-11"/>
          <w:w w:val="105"/>
          <w:sz w:val="20"/>
        </w:rPr>
        <w:t xml:space="preserve"> </w:t>
      </w:r>
      <w:r>
        <w:rPr>
          <w:rFonts w:ascii="Trebuchet MS" w:hAnsi="Trebuchet MS"/>
          <w:color w:val="231F20"/>
          <w:w w:val="105"/>
          <w:sz w:val="20"/>
        </w:rPr>
        <w:t>stalking</w:t>
      </w:r>
      <w:r>
        <w:rPr>
          <w:rFonts w:ascii="Trebuchet MS" w:hAnsi="Trebuchet MS"/>
          <w:color w:val="231F20"/>
          <w:spacing w:val="-11"/>
          <w:w w:val="105"/>
          <w:sz w:val="20"/>
        </w:rPr>
        <w:t xml:space="preserve"> </w:t>
      </w:r>
      <w:r>
        <w:rPr>
          <w:rFonts w:ascii="Trebuchet MS" w:hAnsi="Trebuchet MS"/>
          <w:color w:val="231F20"/>
          <w:w w:val="105"/>
          <w:sz w:val="20"/>
        </w:rPr>
        <w:t>can</w:t>
      </w:r>
      <w:r>
        <w:rPr>
          <w:rFonts w:ascii="Trebuchet MS" w:hAnsi="Trebuchet MS"/>
          <w:color w:val="231F20"/>
          <w:spacing w:val="-12"/>
          <w:w w:val="105"/>
          <w:sz w:val="20"/>
        </w:rPr>
        <w:t xml:space="preserve"> </w:t>
      </w:r>
      <w:r>
        <w:rPr>
          <w:rFonts w:ascii="Trebuchet MS" w:hAnsi="Trebuchet MS"/>
          <w:color w:val="231F20"/>
          <w:w w:val="105"/>
          <w:sz w:val="20"/>
        </w:rPr>
        <w:t>get</w:t>
      </w:r>
      <w:r>
        <w:rPr>
          <w:rFonts w:ascii="Trebuchet MS" w:hAnsi="Trebuchet MS"/>
          <w:color w:val="231F20"/>
          <w:spacing w:val="-11"/>
          <w:w w:val="105"/>
          <w:sz w:val="20"/>
        </w:rPr>
        <w:t xml:space="preserve"> </w:t>
      </w:r>
      <w:r>
        <w:rPr>
          <w:rFonts w:ascii="Trebuchet MS" w:hAnsi="Trebuchet MS"/>
          <w:color w:val="231F20"/>
          <w:w w:val="105"/>
          <w:sz w:val="20"/>
        </w:rPr>
        <w:t>help</w:t>
      </w:r>
      <w:r>
        <w:rPr>
          <w:rFonts w:ascii="Trebuchet MS" w:hAnsi="Trebuchet MS"/>
          <w:color w:val="231F20"/>
          <w:spacing w:val="-12"/>
          <w:w w:val="105"/>
          <w:sz w:val="20"/>
        </w:rPr>
        <w:t xml:space="preserve"> </w:t>
      </w:r>
      <w:r>
        <w:rPr>
          <w:rFonts w:ascii="Trebuchet MS" w:hAnsi="Trebuchet MS"/>
          <w:color w:val="231F20"/>
          <w:w w:val="105"/>
          <w:sz w:val="20"/>
        </w:rPr>
        <w:t>to</w:t>
      </w:r>
      <w:r>
        <w:rPr>
          <w:rFonts w:ascii="Trebuchet MS" w:hAnsi="Trebuchet MS"/>
          <w:color w:val="231F20"/>
          <w:spacing w:val="-11"/>
          <w:w w:val="105"/>
          <w:sz w:val="20"/>
        </w:rPr>
        <w:t xml:space="preserve"> </w:t>
      </w:r>
      <w:r>
        <w:rPr>
          <w:rFonts w:ascii="Trebuchet MS" w:hAnsi="Trebuchet MS"/>
          <w:color w:val="231F20"/>
          <w:w w:val="105"/>
          <w:sz w:val="20"/>
        </w:rPr>
        <w:t>stop</w:t>
      </w:r>
      <w:r>
        <w:rPr>
          <w:rFonts w:ascii="Trebuchet MS" w:hAnsi="Trebuchet MS"/>
          <w:color w:val="231F20"/>
          <w:spacing w:val="-11"/>
          <w:w w:val="105"/>
          <w:sz w:val="20"/>
        </w:rPr>
        <w:t xml:space="preserve"> </w:t>
      </w:r>
      <w:r>
        <w:rPr>
          <w:rFonts w:ascii="Trebuchet MS" w:hAnsi="Trebuchet MS"/>
          <w:color w:val="231F20"/>
          <w:w w:val="105"/>
          <w:sz w:val="20"/>
        </w:rPr>
        <w:t>what</w:t>
      </w:r>
      <w:r>
        <w:rPr>
          <w:rFonts w:ascii="Trebuchet MS" w:hAnsi="Trebuchet MS"/>
          <w:color w:val="231F20"/>
          <w:spacing w:val="-12"/>
          <w:w w:val="105"/>
          <w:sz w:val="20"/>
        </w:rPr>
        <w:t xml:space="preserve"> </w:t>
      </w:r>
      <w:r>
        <w:rPr>
          <w:rFonts w:ascii="Trebuchet MS" w:hAnsi="Trebuchet MS"/>
          <w:color w:val="231F20"/>
          <w:w w:val="105"/>
          <w:sz w:val="20"/>
        </w:rPr>
        <w:t>they</w:t>
      </w:r>
      <w:r>
        <w:rPr>
          <w:rFonts w:ascii="Trebuchet MS" w:hAnsi="Trebuchet MS"/>
          <w:color w:val="231F20"/>
          <w:spacing w:val="-11"/>
          <w:w w:val="105"/>
          <w:sz w:val="20"/>
        </w:rPr>
        <w:t xml:space="preserve"> </w:t>
      </w:r>
      <w:r>
        <w:rPr>
          <w:rFonts w:ascii="Trebuchet MS" w:hAnsi="Trebuchet MS"/>
          <w:color w:val="231F20"/>
          <w:spacing w:val="-2"/>
          <w:w w:val="105"/>
          <w:sz w:val="20"/>
        </w:rPr>
        <w:t xml:space="preserve">are </w:t>
      </w:r>
      <w:r>
        <w:rPr>
          <w:rFonts w:ascii="Trebuchet MS" w:hAnsi="Trebuchet MS"/>
          <w:color w:val="231F20"/>
          <w:w w:val="105"/>
          <w:sz w:val="20"/>
        </w:rPr>
        <w:t>doing</w:t>
      </w:r>
    </w:p>
    <w:p w14:paraId="2DA69530" w14:textId="77777777" w:rsidR="00894070" w:rsidRDefault="009B7AFD">
      <w:pPr>
        <w:pStyle w:val="ListParagraph"/>
        <w:numPr>
          <w:ilvl w:val="1"/>
          <w:numId w:val="133"/>
        </w:numPr>
        <w:tabs>
          <w:tab w:val="left" w:pos="2934"/>
          <w:tab w:val="left" w:pos="2935"/>
        </w:tabs>
        <w:spacing w:before="87" w:line="247" w:lineRule="auto"/>
        <w:ind w:right="1683" w:hanging="566"/>
        <w:rPr>
          <w:rFonts w:ascii="Trebuchet MS" w:hAnsi="Trebuchet MS"/>
          <w:sz w:val="20"/>
        </w:rPr>
      </w:pPr>
      <w:r>
        <w:rPr>
          <w:rFonts w:ascii="Trebuchet MS" w:hAnsi="Trebuchet MS"/>
          <w:color w:val="231F20"/>
          <w:spacing w:val="-1"/>
          <w:w w:val="107"/>
          <w:sz w:val="20"/>
        </w:rPr>
        <w:t>h</w:t>
      </w:r>
      <w:r>
        <w:rPr>
          <w:rFonts w:ascii="Trebuchet MS" w:hAnsi="Trebuchet MS"/>
          <w:color w:val="231F20"/>
          <w:spacing w:val="-6"/>
          <w:w w:val="111"/>
          <w:sz w:val="20"/>
        </w:rPr>
        <w:t>o</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1"/>
          <w:w w:val="111"/>
          <w:sz w:val="20"/>
        </w:rPr>
        <w:t>o</w:t>
      </w:r>
      <w:r>
        <w:rPr>
          <w:rFonts w:ascii="Trebuchet MS" w:hAnsi="Trebuchet MS"/>
          <w:color w:val="231F20"/>
          <w:spacing w:val="-2"/>
          <w:w w:val="111"/>
          <w:sz w:val="20"/>
        </w:rPr>
        <w:t>p</w:t>
      </w:r>
      <w:r>
        <w:rPr>
          <w:rFonts w:ascii="Trebuchet MS" w:hAnsi="Trebuchet MS"/>
          <w:color w:val="231F20"/>
          <w:spacing w:val="-3"/>
          <w:w w:val="9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5"/>
          <w:w w:val="108"/>
          <w:sz w:val="20"/>
        </w:rPr>
        <w:t>e</w:t>
      </w:r>
      <w:r>
        <w:rPr>
          <w:rFonts w:ascii="Trebuchet MS" w:hAnsi="Trebuchet MS"/>
          <w:color w:val="231F20"/>
          <w:spacing w:val="-2"/>
          <w:w w:val="102"/>
          <w:sz w:val="20"/>
        </w:rPr>
        <w:t>x</w:t>
      </w:r>
      <w:r>
        <w:rPr>
          <w:rFonts w:ascii="Trebuchet MS" w:hAnsi="Trebuchet MS"/>
          <w:color w:val="231F20"/>
          <w:spacing w:val="-1"/>
          <w:w w:val="111"/>
          <w:sz w:val="20"/>
        </w:rPr>
        <w:t>p</w:t>
      </w:r>
      <w:r>
        <w:rPr>
          <w:rFonts w:ascii="Trebuchet MS" w:hAnsi="Trebuchet MS"/>
          <w:color w:val="231F20"/>
          <w:spacing w:val="-1"/>
          <w:w w:val="108"/>
          <w:sz w:val="20"/>
        </w:rPr>
        <w:t>e</w:t>
      </w:r>
      <w:r>
        <w:rPr>
          <w:rFonts w:ascii="Trebuchet MS" w:hAnsi="Trebuchet MS"/>
          <w:color w:val="231F20"/>
          <w:spacing w:val="-2"/>
          <w:w w:val="93"/>
          <w:sz w:val="20"/>
        </w:rPr>
        <w:t>r</w:t>
      </w:r>
      <w:r>
        <w:rPr>
          <w:rFonts w:ascii="Trebuchet MS" w:hAnsi="Trebuchet MS"/>
          <w:color w:val="231F20"/>
          <w:spacing w:val="-1"/>
          <w:w w:val="80"/>
          <w:sz w:val="20"/>
        </w:rPr>
        <w:t>i</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w w:val="111"/>
          <w:sz w:val="20"/>
        </w:rPr>
        <w:t>c</w:t>
      </w:r>
      <w:r>
        <w:rPr>
          <w:rFonts w:ascii="Trebuchet MS" w:hAnsi="Trebuchet MS"/>
          <w:color w:val="231F20"/>
          <w:spacing w:val="-2"/>
          <w:w w:val="105"/>
          <w:sz w:val="20"/>
        </w:rPr>
        <w:t>a</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po</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3"/>
          <w:w w:val="111"/>
          <w:sz w:val="20"/>
        </w:rPr>
        <w:t>c</w:t>
      </w:r>
      <w:r>
        <w:rPr>
          <w:rFonts w:ascii="Trebuchet MS" w:hAnsi="Trebuchet MS"/>
          <w:color w:val="231F20"/>
          <w:spacing w:val="-3"/>
          <w:w w:val="96"/>
          <w:sz w:val="20"/>
        </w:rPr>
        <w:t>l</w:t>
      </w:r>
      <w:r>
        <w:rPr>
          <w:rFonts w:ascii="Trebuchet MS" w:hAnsi="Trebuchet MS"/>
          <w:color w:val="231F20"/>
          <w:spacing w:val="-2"/>
          <w:w w:val="109"/>
          <w:sz w:val="20"/>
        </w:rPr>
        <w:t>u</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111"/>
          <w:sz w:val="20"/>
        </w:rPr>
        <w:t>p</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w w:val="122"/>
          <w:sz w:val="20"/>
        </w:rPr>
        <w:t xml:space="preserve">s </w:t>
      </w:r>
      <w:r>
        <w:rPr>
          <w:rFonts w:ascii="Trebuchet MS" w:hAnsi="Trebuchet MS"/>
          <w:color w:val="231F20"/>
          <w:spacing w:val="-3"/>
          <w:w w:val="105"/>
          <w:sz w:val="20"/>
        </w:rPr>
        <w:t>available</w:t>
      </w:r>
      <w:r>
        <w:rPr>
          <w:rFonts w:ascii="Trebuchet MS" w:hAnsi="Trebuchet MS"/>
          <w:color w:val="231F20"/>
          <w:spacing w:val="-17"/>
          <w:w w:val="105"/>
          <w:sz w:val="20"/>
        </w:rPr>
        <w:t xml:space="preserve"> </w:t>
      </w:r>
      <w:r>
        <w:rPr>
          <w:rFonts w:ascii="Trebuchet MS" w:hAnsi="Trebuchet MS"/>
          <w:color w:val="231F20"/>
          <w:w w:val="105"/>
          <w:sz w:val="20"/>
        </w:rPr>
        <w:t>through</w:t>
      </w:r>
      <w:r>
        <w:rPr>
          <w:rFonts w:ascii="Trebuchet MS" w:hAnsi="Trebuchet MS"/>
          <w:color w:val="231F20"/>
          <w:spacing w:val="-17"/>
          <w:w w:val="105"/>
          <w:sz w:val="20"/>
        </w:rPr>
        <w:t xml:space="preserve"> </w:t>
      </w:r>
      <w:r>
        <w:rPr>
          <w:rFonts w:ascii="Trebuchet MS" w:hAnsi="Trebuchet MS"/>
          <w:color w:val="231F20"/>
          <w:w w:val="105"/>
          <w:sz w:val="20"/>
        </w:rPr>
        <w:t>the</w:t>
      </w:r>
      <w:r>
        <w:rPr>
          <w:rFonts w:ascii="Trebuchet MS" w:hAnsi="Trebuchet MS"/>
          <w:color w:val="231F20"/>
          <w:spacing w:val="-16"/>
          <w:w w:val="105"/>
          <w:sz w:val="20"/>
        </w:rPr>
        <w:t xml:space="preserve"> </w:t>
      </w:r>
      <w:r>
        <w:rPr>
          <w:rFonts w:ascii="Trebuchet MS" w:hAnsi="Trebuchet MS"/>
          <w:color w:val="231F20"/>
          <w:w w:val="105"/>
          <w:sz w:val="20"/>
        </w:rPr>
        <w:t>eSafety</w:t>
      </w:r>
      <w:r>
        <w:rPr>
          <w:rFonts w:ascii="Trebuchet MS" w:hAnsi="Trebuchet MS"/>
          <w:color w:val="231F20"/>
          <w:spacing w:val="-17"/>
          <w:w w:val="105"/>
          <w:sz w:val="20"/>
        </w:rPr>
        <w:t xml:space="preserve"> </w:t>
      </w:r>
      <w:r>
        <w:rPr>
          <w:rFonts w:ascii="Trebuchet MS" w:hAnsi="Trebuchet MS"/>
          <w:color w:val="231F20"/>
          <w:w w:val="105"/>
          <w:sz w:val="20"/>
        </w:rPr>
        <w:t>Commissioner</w:t>
      </w:r>
    </w:p>
    <w:p w14:paraId="6AB62F7F" w14:textId="77777777" w:rsidR="00894070" w:rsidRDefault="009B7AFD">
      <w:pPr>
        <w:pStyle w:val="ListParagraph"/>
        <w:numPr>
          <w:ilvl w:val="1"/>
          <w:numId w:val="133"/>
        </w:numPr>
        <w:tabs>
          <w:tab w:val="left" w:pos="2934"/>
          <w:tab w:val="left" w:pos="2935"/>
        </w:tabs>
        <w:spacing w:before="86"/>
        <w:ind w:hanging="566"/>
        <w:rPr>
          <w:rFonts w:ascii="Trebuchet MS" w:hAnsi="Trebuchet MS"/>
          <w:sz w:val="20"/>
        </w:rPr>
      </w:pPr>
      <w:r>
        <w:rPr>
          <w:rFonts w:ascii="Trebuchet MS" w:hAnsi="Trebuchet MS"/>
          <w:color w:val="231F20"/>
          <w:w w:val="105"/>
          <w:sz w:val="20"/>
        </w:rPr>
        <w:t>the</w:t>
      </w:r>
      <w:r>
        <w:rPr>
          <w:rFonts w:ascii="Trebuchet MS" w:hAnsi="Trebuchet MS"/>
          <w:color w:val="231F20"/>
          <w:spacing w:val="-18"/>
          <w:w w:val="105"/>
          <w:sz w:val="20"/>
        </w:rPr>
        <w:t xml:space="preserve"> </w:t>
      </w:r>
      <w:r>
        <w:rPr>
          <w:rFonts w:ascii="Trebuchet MS" w:hAnsi="Trebuchet MS"/>
          <w:color w:val="231F20"/>
          <w:spacing w:val="-3"/>
          <w:w w:val="105"/>
          <w:sz w:val="20"/>
        </w:rPr>
        <w:t>available</w:t>
      </w:r>
      <w:r>
        <w:rPr>
          <w:rFonts w:ascii="Trebuchet MS" w:hAnsi="Trebuchet MS"/>
          <w:color w:val="231F20"/>
          <w:spacing w:val="-17"/>
          <w:w w:val="105"/>
          <w:sz w:val="20"/>
        </w:rPr>
        <w:t xml:space="preserve"> </w:t>
      </w:r>
      <w:r>
        <w:rPr>
          <w:rFonts w:ascii="Trebuchet MS" w:hAnsi="Trebuchet MS"/>
          <w:color w:val="231F20"/>
          <w:w w:val="105"/>
          <w:sz w:val="20"/>
        </w:rPr>
        <w:t>support</w:t>
      </w:r>
      <w:r>
        <w:rPr>
          <w:rFonts w:ascii="Trebuchet MS" w:hAnsi="Trebuchet MS"/>
          <w:color w:val="231F20"/>
          <w:spacing w:val="-18"/>
          <w:w w:val="105"/>
          <w:sz w:val="20"/>
        </w:rPr>
        <w:t xml:space="preserve"> </w:t>
      </w:r>
      <w:r>
        <w:rPr>
          <w:rFonts w:ascii="Trebuchet MS" w:hAnsi="Trebuchet MS"/>
          <w:color w:val="231F20"/>
          <w:w w:val="105"/>
          <w:sz w:val="20"/>
        </w:rPr>
        <w:t>options</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8"/>
          <w:w w:val="105"/>
          <w:sz w:val="20"/>
        </w:rPr>
        <w:t xml:space="preserve"> </w:t>
      </w:r>
      <w:r>
        <w:rPr>
          <w:rFonts w:ascii="Trebuchet MS" w:hAnsi="Trebuchet MS"/>
          <w:color w:val="231F20"/>
          <w:w w:val="105"/>
          <w:sz w:val="20"/>
        </w:rPr>
        <w:t>what</w:t>
      </w:r>
      <w:r>
        <w:rPr>
          <w:rFonts w:ascii="Trebuchet MS" w:hAnsi="Trebuchet MS"/>
          <w:color w:val="231F20"/>
          <w:spacing w:val="-17"/>
          <w:w w:val="105"/>
          <w:sz w:val="20"/>
        </w:rPr>
        <w:t xml:space="preserve"> </w:t>
      </w:r>
      <w:r>
        <w:rPr>
          <w:rFonts w:ascii="Trebuchet MS" w:hAnsi="Trebuchet MS"/>
          <w:color w:val="231F20"/>
          <w:w w:val="105"/>
          <w:sz w:val="20"/>
        </w:rPr>
        <w:t>to</w:t>
      </w:r>
      <w:r>
        <w:rPr>
          <w:rFonts w:ascii="Trebuchet MS" w:hAnsi="Trebuchet MS"/>
          <w:color w:val="231F20"/>
          <w:spacing w:val="-18"/>
          <w:w w:val="105"/>
          <w:sz w:val="20"/>
        </w:rPr>
        <w:t xml:space="preserve"> </w:t>
      </w:r>
      <w:r>
        <w:rPr>
          <w:rFonts w:ascii="Trebuchet MS" w:hAnsi="Trebuchet MS"/>
          <w:color w:val="231F20"/>
          <w:w w:val="105"/>
          <w:sz w:val="20"/>
        </w:rPr>
        <w:t>expect</w:t>
      </w:r>
      <w:r>
        <w:rPr>
          <w:rFonts w:ascii="Trebuchet MS" w:hAnsi="Trebuchet MS"/>
          <w:color w:val="231F20"/>
          <w:spacing w:val="-17"/>
          <w:w w:val="105"/>
          <w:sz w:val="20"/>
        </w:rPr>
        <w:t xml:space="preserve"> </w:t>
      </w:r>
      <w:r>
        <w:rPr>
          <w:rFonts w:ascii="Trebuchet MS" w:hAnsi="Trebuchet MS"/>
          <w:color w:val="231F20"/>
          <w:w w:val="105"/>
          <w:sz w:val="20"/>
        </w:rPr>
        <w:t>from</w:t>
      </w:r>
      <w:r>
        <w:rPr>
          <w:rFonts w:ascii="Trebuchet MS" w:hAnsi="Trebuchet MS"/>
          <w:color w:val="231F20"/>
          <w:spacing w:val="-18"/>
          <w:w w:val="105"/>
          <w:sz w:val="20"/>
        </w:rPr>
        <w:t xml:space="preserve"> </w:t>
      </w:r>
      <w:r>
        <w:rPr>
          <w:rFonts w:ascii="Trebuchet MS" w:hAnsi="Trebuchet MS"/>
          <w:color w:val="231F20"/>
          <w:w w:val="105"/>
          <w:sz w:val="20"/>
        </w:rPr>
        <w:t>these</w:t>
      </w:r>
    </w:p>
    <w:p w14:paraId="6A490BE7" w14:textId="77777777" w:rsidR="00894070" w:rsidRDefault="009B7AFD">
      <w:pPr>
        <w:pStyle w:val="ListParagraph"/>
        <w:numPr>
          <w:ilvl w:val="1"/>
          <w:numId w:val="133"/>
        </w:numPr>
        <w:tabs>
          <w:tab w:val="left" w:pos="2934"/>
          <w:tab w:val="left" w:pos="2935"/>
        </w:tabs>
        <w:spacing w:before="93"/>
        <w:ind w:hanging="566"/>
        <w:rPr>
          <w:rFonts w:ascii="Trebuchet MS" w:hAnsi="Trebuchet MS"/>
          <w:sz w:val="20"/>
        </w:rPr>
      </w:pPr>
      <w:r>
        <w:rPr>
          <w:rFonts w:ascii="Trebuchet MS" w:hAnsi="Trebuchet MS"/>
          <w:color w:val="231F20"/>
          <w:spacing w:val="-2"/>
          <w:w w:val="99"/>
          <w:sz w:val="20"/>
        </w:rPr>
        <w:t>t</w:t>
      </w:r>
      <w:r>
        <w:rPr>
          <w:rFonts w:ascii="Trebuchet MS" w:hAnsi="Trebuchet MS"/>
          <w:color w:val="231F20"/>
          <w:spacing w:val="-1"/>
          <w:w w:val="99"/>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6"/>
          <w:w w:val="105"/>
          <w:sz w:val="20"/>
        </w:rPr>
        <w:t>a</w:t>
      </w:r>
      <w:r>
        <w:rPr>
          <w:rFonts w:ascii="Trebuchet MS" w:hAnsi="Trebuchet MS"/>
          <w:color w:val="231F20"/>
          <w:spacing w:val="-3"/>
          <w:w w:val="109"/>
          <w:sz w:val="20"/>
        </w:rPr>
        <w:t>v</w:t>
      </w:r>
      <w:r>
        <w:rPr>
          <w:rFonts w:ascii="Trebuchet MS" w:hAnsi="Trebuchet MS"/>
          <w:color w:val="231F20"/>
          <w:spacing w:val="-2"/>
          <w:w w:val="105"/>
          <w:sz w:val="20"/>
        </w:rPr>
        <w:t>a</w:t>
      </w:r>
      <w:r>
        <w:rPr>
          <w:rFonts w:ascii="Trebuchet MS" w:hAnsi="Trebuchet MS"/>
          <w:color w:val="231F20"/>
          <w:spacing w:val="-2"/>
          <w:w w:val="80"/>
          <w:sz w:val="20"/>
        </w:rPr>
        <w:t>i</w:t>
      </w:r>
      <w:r>
        <w:rPr>
          <w:rFonts w:ascii="Trebuchet MS" w:hAnsi="Trebuchet MS"/>
          <w:color w:val="231F20"/>
          <w:spacing w:val="1"/>
          <w:w w:val="96"/>
          <w:sz w:val="20"/>
        </w:rPr>
        <w:t>l</w:t>
      </w:r>
      <w:r>
        <w:rPr>
          <w:rFonts w:ascii="Trebuchet MS" w:hAnsi="Trebuchet MS"/>
          <w:color w:val="231F20"/>
          <w:spacing w:val="-2"/>
          <w:w w:val="106"/>
          <w:sz w:val="20"/>
        </w:rPr>
        <w:t>ab</w:t>
      </w:r>
      <w:r>
        <w:rPr>
          <w:rFonts w:ascii="Trebuchet MS" w:hAnsi="Trebuchet MS"/>
          <w:color w:val="231F20"/>
          <w:spacing w:val="-3"/>
          <w:w w:val="10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91"/>
          <w:sz w:val="20"/>
        </w:rPr>
        <w:t>j</w:t>
      </w:r>
      <w:r>
        <w:rPr>
          <w:rFonts w:ascii="Trebuchet MS" w:hAnsi="Trebuchet MS"/>
          <w:color w:val="231F20"/>
          <w:spacing w:val="-1"/>
          <w:w w:val="91"/>
          <w:sz w:val="20"/>
        </w:rPr>
        <w:t>u</w:t>
      </w:r>
      <w:r>
        <w:rPr>
          <w:rFonts w:ascii="Trebuchet MS" w:hAnsi="Trebuchet MS"/>
          <w:color w:val="231F20"/>
          <w:spacing w:val="-1"/>
          <w:w w:val="122"/>
          <w:sz w:val="20"/>
        </w:rPr>
        <w:t>s</w:t>
      </w:r>
      <w:r>
        <w:rPr>
          <w:rFonts w:ascii="Trebuchet MS" w:hAnsi="Trebuchet MS"/>
          <w:color w:val="231F20"/>
          <w:spacing w:val="-2"/>
          <w:w w:val="85"/>
          <w:sz w:val="20"/>
        </w:rPr>
        <w:t>t</w:t>
      </w:r>
      <w:r>
        <w:rPr>
          <w:rFonts w:ascii="Trebuchet MS" w:hAnsi="Trebuchet MS"/>
          <w:color w:val="231F20"/>
          <w:spacing w:val="-1"/>
          <w:w w:val="85"/>
          <w:sz w:val="20"/>
        </w:rPr>
        <w:t>i</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111"/>
          <w:sz w:val="20"/>
        </w:rPr>
        <w:t>p</w:t>
      </w:r>
      <w:r>
        <w:rPr>
          <w:rFonts w:ascii="Trebuchet MS" w:hAnsi="Trebuchet MS"/>
          <w:color w:val="231F20"/>
          <w:spacing w:val="-2"/>
          <w:w w:val="85"/>
          <w:sz w:val="20"/>
        </w:rPr>
        <w:t>t</w:t>
      </w:r>
      <w:r>
        <w:rPr>
          <w:rFonts w:ascii="Trebuchet MS" w:hAnsi="Trebuchet MS"/>
          <w:color w:val="231F20"/>
          <w:spacing w:val="-1"/>
          <w:w w:val="85"/>
          <w:sz w:val="20"/>
        </w:rPr>
        <w:t>i</w:t>
      </w:r>
      <w:r>
        <w:rPr>
          <w:rFonts w:ascii="Trebuchet MS" w:hAnsi="Trebuchet MS"/>
          <w:color w:val="231F20"/>
          <w:spacing w:val="-1"/>
          <w:w w:val="111"/>
          <w:sz w:val="20"/>
        </w:rPr>
        <w:t>o</w:t>
      </w:r>
      <w:r>
        <w:rPr>
          <w:rFonts w:ascii="Trebuchet MS" w:hAnsi="Trebuchet MS"/>
          <w:color w:val="231F20"/>
          <w:spacing w:val="-2"/>
          <w:w w:val="113"/>
          <w:sz w:val="20"/>
        </w:rPr>
        <w:t>n</w:t>
      </w:r>
      <w:r>
        <w:rPr>
          <w:rFonts w:ascii="Trebuchet MS" w:hAnsi="Trebuchet MS"/>
          <w:color w:val="231F20"/>
          <w:w w:val="113"/>
          <w:sz w:val="20"/>
        </w:rPr>
        <w:t>s</w:t>
      </w:r>
      <w:r>
        <w:rPr>
          <w:rFonts w:ascii="Trebuchet MS" w:hAnsi="Trebuchet MS"/>
          <w:color w:val="231F20"/>
          <w:spacing w:val="-14"/>
          <w:sz w:val="20"/>
        </w:rPr>
        <w:t xml:space="preserve"> </w:t>
      </w:r>
      <w:r>
        <w:rPr>
          <w:rFonts w:ascii="Trebuchet MS" w:hAnsi="Trebuchet MS"/>
          <w:color w:val="231F20"/>
          <w:spacing w:val="-2"/>
          <w:w w:val="106"/>
          <w:sz w:val="20"/>
        </w:rPr>
        <w:t>a</w:t>
      </w:r>
      <w:r>
        <w:rPr>
          <w:rFonts w:ascii="Trebuchet MS" w:hAnsi="Trebuchet MS"/>
          <w:color w:val="231F20"/>
          <w:spacing w:val="-1"/>
          <w:w w:val="106"/>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09"/>
          <w:sz w:val="20"/>
        </w:rPr>
        <w:t>w</w:t>
      </w:r>
      <w:r>
        <w:rPr>
          <w:rFonts w:ascii="Trebuchet MS" w:hAnsi="Trebuchet MS"/>
          <w:color w:val="231F20"/>
          <w:spacing w:val="-1"/>
          <w:w w:val="109"/>
          <w:sz w:val="20"/>
        </w:rPr>
        <w:t>h</w:t>
      </w:r>
      <w:r>
        <w:rPr>
          <w:rFonts w:ascii="Trebuchet MS" w:hAnsi="Trebuchet MS"/>
          <w:color w:val="231F20"/>
          <w:spacing w:val="-4"/>
          <w:w w:val="105"/>
          <w:sz w:val="20"/>
        </w:rPr>
        <w:t>a</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5"/>
          <w:w w:val="108"/>
          <w:sz w:val="20"/>
        </w:rPr>
        <w:t>e</w:t>
      </w:r>
      <w:r>
        <w:rPr>
          <w:rFonts w:ascii="Trebuchet MS" w:hAnsi="Trebuchet MS"/>
          <w:color w:val="231F20"/>
          <w:spacing w:val="-2"/>
          <w:w w:val="102"/>
          <w:sz w:val="20"/>
        </w:rPr>
        <w:t>x</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01"/>
          <w:sz w:val="20"/>
        </w:rPr>
        <w:t>c</w:t>
      </w:r>
      <w:r>
        <w:rPr>
          <w:rFonts w:ascii="Trebuchet MS" w:hAnsi="Trebuchet MS"/>
          <w:color w:val="231F20"/>
          <w:w w:val="101"/>
          <w:sz w:val="20"/>
        </w:rPr>
        <w:t>t</w:t>
      </w:r>
      <w:r>
        <w:rPr>
          <w:rFonts w:ascii="Trebuchet MS" w:hAnsi="Trebuchet MS"/>
          <w:color w:val="231F20"/>
          <w:spacing w:val="-14"/>
          <w:sz w:val="20"/>
        </w:rPr>
        <w:t xml:space="preserve"> </w:t>
      </w:r>
      <w:r>
        <w:rPr>
          <w:rFonts w:ascii="Trebuchet MS" w:hAnsi="Trebuchet MS"/>
          <w:color w:val="231F20"/>
          <w:spacing w:val="-2"/>
          <w:w w:val="92"/>
          <w:sz w:val="20"/>
        </w:rPr>
        <w:t>f</w:t>
      </w:r>
      <w:r>
        <w:rPr>
          <w:rFonts w:ascii="Trebuchet MS" w:hAnsi="Trebuchet MS"/>
          <w:color w:val="231F20"/>
          <w:spacing w:val="-4"/>
          <w:w w:val="93"/>
          <w:sz w:val="20"/>
        </w:rPr>
        <w:t>r</w:t>
      </w:r>
      <w:r>
        <w:rPr>
          <w:rFonts w:ascii="Trebuchet MS" w:hAnsi="Trebuchet MS"/>
          <w:color w:val="231F20"/>
          <w:spacing w:val="-1"/>
          <w:w w:val="111"/>
          <w:sz w:val="20"/>
        </w:rPr>
        <w:t>o</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2"/>
          <w:w w:val="99"/>
          <w:sz w:val="20"/>
        </w:rPr>
        <w:t>t</w:t>
      </w:r>
      <w:r>
        <w:rPr>
          <w:rFonts w:ascii="Trebuchet MS" w:hAnsi="Trebuchet MS"/>
          <w:color w:val="231F20"/>
          <w:spacing w:val="-1"/>
          <w:w w:val="99"/>
          <w:sz w:val="20"/>
        </w:rPr>
        <w:t>h</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spacing w:val="-3"/>
          <w:w w:val="108"/>
          <w:sz w:val="20"/>
        </w:rPr>
        <w:t>e</w:t>
      </w:r>
      <w:r>
        <w:rPr>
          <w:rFonts w:ascii="Trebuchet MS" w:hAnsi="Trebuchet MS"/>
          <w:color w:val="231F20"/>
          <w:w w:val="55"/>
          <w:sz w:val="20"/>
        </w:rPr>
        <w:t>.</w:t>
      </w:r>
    </w:p>
    <w:p w14:paraId="0F5A84EC" w14:textId="77777777" w:rsidR="00894070" w:rsidRDefault="009B7AFD">
      <w:pPr>
        <w:pStyle w:val="ListParagraph"/>
        <w:numPr>
          <w:ilvl w:val="0"/>
          <w:numId w:val="132"/>
        </w:numPr>
        <w:tabs>
          <w:tab w:val="left" w:pos="2367"/>
          <w:tab w:val="left" w:pos="2368"/>
        </w:tabs>
        <w:spacing w:before="93"/>
        <w:ind w:hanging="553"/>
        <w:rPr>
          <w:rFonts w:ascii="Trebuchet MS"/>
          <w:sz w:val="20"/>
        </w:rPr>
      </w:pPr>
      <w:r>
        <w:rPr>
          <w:rFonts w:ascii="Trebuchet MS"/>
          <w:color w:val="231F20"/>
          <w:spacing w:val="-2"/>
          <w:w w:val="110"/>
          <w:sz w:val="20"/>
        </w:rPr>
        <w:t>P</w:t>
      </w:r>
      <w:r>
        <w:rPr>
          <w:rFonts w:ascii="Trebuchet MS"/>
          <w:color w:val="231F20"/>
          <w:spacing w:val="-1"/>
          <w:w w:val="110"/>
          <w:sz w:val="20"/>
        </w:rPr>
        <w:t>u</w:t>
      </w:r>
      <w:r>
        <w:rPr>
          <w:rFonts w:ascii="Trebuchet MS"/>
          <w:color w:val="231F20"/>
          <w:spacing w:val="-2"/>
          <w:w w:val="111"/>
          <w:sz w:val="20"/>
        </w:rPr>
        <w:t>b</w:t>
      </w:r>
      <w:r>
        <w:rPr>
          <w:rFonts w:ascii="Trebuchet MS"/>
          <w:color w:val="231F20"/>
          <w:w w:val="96"/>
          <w:sz w:val="20"/>
        </w:rPr>
        <w:t>l</w:t>
      </w:r>
      <w:r>
        <w:rPr>
          <w:rFonts w:ascii="Trebuchet MS"/>
          <w:color w:val="231F20"/>
          <w:spacing w:val="-1"/>
          <w:w w:val="80"/>
          <w:sz w:val="20"/>
        </w:rPr>
        <w:t>i</w:t>
      </w:r>
      <w:r>
        <w:rPr>
          <w:rFonts w:ascii="Trebuchet MS"/>
          <w:color w:val="231F20"/>
          <w:w w:val="111"/>
          <w:sz w:val="20"/>
        </w:rPr>
        <w:t>c</w:t>
      </w:r>
      <w:r>
        <w:rPr>
          <w:rFonts w:ascii="Trebuchet MS"/>
          <w:color w:val="231F20"/>
          <w:spacing w:val="-14"/>
          <w:sz w:val="20"/>
        </w:rPr>
        <w:t xml:space="preserve"> </w:t>
      </w:r>
      <w:r>
        <w:rPr>
          <w:rFonts w:ascii="Trebuchet MS"/>
          <w:color w:val="231F20"/>
          <w:w w:val="108"/>
          <w:sz w:val="20"/>
        </w:rPr>
        <w:t>e</w:t>
      </w:r>
      <w:r>
        <w:rPr>
          <w:rFonts w:ascii="Trebuchet MS"/>
          <w:color w:val="231F20"/>
          <w:spacing w:val="-2"/>
          <w:w w:val="112"/>
          <w:sz w:val="20"/>
        </w:rPr>
        <w:t>d</w:t>
      </w:r>
      <w:r>
        <w:rPr>
          <w:rFonts w:ascii="Trebuchet MS"/>
          <w:color w:val="231F20"/>
          <w:spacing w:val="-2"/>
          <w:w w:val="109"/>
          <w:sz w:val="20"/>
        </w:rPr>
        <w:t>u</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spacing w:val="-3"/>
          <w:w w:val="112"/>
          <w:sz w:val="20"/>
        </w:rPr>
        <w:t>d</w:t>
      </w:r>
      <w:r>
        <w:rPr>
          <w:rFonts w:ascii="Trebuchet MS"/>
          <w:color w:val="231F20"/>
          <w:w w:val="54"/>
          <w:sz w:val="20"/>
        </w:rPr>
        <w:t>:</w:t>
      </w:r>
    </w:p>
    <w:p w14:paraId="1EAA09B5" w14:textId="77777777" w:rsidR="00894070" w:rsidRDefault="009B7AFD">
      <w:pPr>
        <w:pStyle w:val="ListParagraph"/>
        <w:numPr>
          <w:ilvl w:val="1"/>
          <w:numId w:val="132"/>
        </w:numPr>
        <w:tabs>
          <w:tab w:val="left" w:pos="2934"/>
          <w:tab w:val="left" w:pos="2935"/>
        </w:tabs>
        <w:spacing w:before="93"/>
        <w:ind w:hanging="566"/>
        <w:rPr>
          <w:rFonts w:ascii="Trebuchet MS" w:hAnsi="Trebuchet MS"/>
          <w:sz w:val="20"/>
        </w:rPr>
      </w:pPr>
      <w:r>
        <w:rPr>
          <w:rFonts w:ascii="Trebuchet MS" w:hAnsi="Trebuchet MS"/>
          <w:color w:val="231F20"/>
          <w:w w:val="110"/>
          <w:sz w:val="20"/>
        </w:rPr>
        <w:t>be</w:t>
      </w:r>
      <w:r>
        <w:rPr>
          <w:rFonts w:ascii="Trebuchet MS" w:hAnsi="Trebuchet MS"/>
          <w:color w:val="231F20"/>
          <w:spacing w:val="-21"/>
          <w:w w:val="110"/>
          <w:sz w:val="20"/>
        </w:rPr>
        <w:t xml:space="preserve"> </w:t>
      </w:r>
      <w:r>
        <w:rPr>
          <w:rFonts w:ascii="Trebuchet MS" w:hAnsi="Trebuchet MS"/>
          <w:color w:val="231F20"/>
          <w:w w:val="110"/>
          <w:sz w:val="20"/>
        </w:rPr>
        <w:t>ongoing</w:t>
      </w:r>
      <w:r>
        <w:rPr>
          <w:rFonts w:ascii="Trebuchet MS" w:hAnsi="Trebuchet MS"/>
          <w:color w:val="231F20"/>
          <w:spacing w:val="-21"/>
          <w:w w:val="110"/>
          <w:sz w:val="20"/>
        </w:rPr>
        <w:t xml:space="preserve"> </w:t>
      </w:r>
      <w:r>
        <w:rPr>
          <w:rFonts w:ascii="Trebuchet MS" w:hAnsi="Trebuchet MS"/>
          <w:color w:val="231F20"/>
          <w:w w:val="110"/>
          <w:sz w:val="20"/>
        </w:rPr>
        <w:t>and</w:t>
      </w:r>
      <w:r>
        <w:rPr>
          <w:rFonts w:ascii="Trebuchet MS" w:hAnsi="Trebuchet MS"/>
          <w:color w:val="231F20"/>
          <w:spacing w:val="-20"/>
          <w:w w:val="110"/>
          <w:sz w:val="20"/>
        </w:rPr>
        <w:t xml:space="preserve"> </w:t>
      </w:r>
      <w:r>
        <w:rPr>
          <w:rFonts w:ascii="Trebuchet MS" w:hAnsi="Trebuchet MS"/>
          <w:color w:val="231F20"/>
          <w:spacing w:val="-3"/>
          <w:w w:val="110"/>
          <w:sz w:val="20"/>
        </w:rPr>
        <w:t>adequately</w:t>
      </w:r>
      <w:r>
        <w:rPr>
          <w:rFonts w:ascii="Trebuchet MS" w:hAnsi="Trebuchet MS"/>
          <w:color w:val="231F20"/>
          <w:spacing w:val="-21"/>
          <w:w w:val="110"/>
          <w:sz w:val="20"/>
        </w:rPr>
        <w:t xml:space="preserve"> </w:t>
      </w:r>
      <w:r>
        <w:rPr>
          <w:rFonts w:ascii="Trebuchet MS" w:hAnsi="Trebuchet MS"/>
          <w:color w:val="231F20"/>
          <w:w w:val="110"/>
          <w:sz w:val="20"/>
        </w:rPr>
        <w:t>resourced</w:t>
      </w:r>
    </w:p>
    <w:p w14:paraId="7C433287" w14:textId="77777777" w:rsidR="00894070" w:rsidRDefault="009B7AFD">
      <w:pPr>
        <w:pStyle w:val="ListParagraph"/>
        <w:numPr>
          <w:ilvl w:val="1"/>
          <w:numId w:val="132"/>
        </w:numPr>
        <w:tabs>
          <w:tab w:val="left" w:pos="2934"/>
          <w:tab w:val="left" w:pos="2935"/>
        </w:tabs>
        <w:spacing w:before="92"/>
        <w:ind w:hanging="566"/>
        <w:rPr>
          <w:rFonts w:ascii="Trebuchet MS" w:hAnsi="Trebuchet MS"/>
          <w:sz w:val="20"/>
        </w:rPr>
      </w:pPr>
      <w:r>
        <w:rPr>
          <w:rFonts w:ascii="Trebuchet MS" w:hAnsi="Trebuchet MS"/>
          <w:color w:val="231F20"/>
          <w:w w:val="110"/>
          <w:sz w:val="20"/>
        </w:rPr>
        <w:t>be</w:t>
      </w:r>
      <w:r>
        <w:rPr>
          <w:rFonts w:ascii="Trebuchet MS" w:hAnsi="Trebuchet MS"/>
          <w:color w:val="231F20"/>
          <w:spacing w:val="-21"/>
          <w:w w:val="110"/>
          <w:sz w:val="20"/>
        </w:rPr>
        <w:t xml:space="preserve"> </w:t>
      </w:r>
      <w:r>
        <w:rPr>
          <w:rFonts w:ascii="Trebuchet MS" w:hAnsi="Trebuchet MS"/>
          <w:color w:val="231F20"/>
          <w:w w:val="110"/>
          <w:sz w:val="20"/>
        </w:rPr>
        <w:t>accessible</w:t>
      </w:r>
    </w:p>
    <w:p w14:paraId="38F653B6" w14:textId="77777777" w:rsidR="00894070" w:rsidRDefault="009B7AFD">
      <w:pPr>
        <w:pStyle w:val="ListParagraph"/>
        <w:numPr>
          <w:ilvl w:val="1"/>
          <w:numId w:val="132"/>
        </w:numPr>
        <w:tabs>
          <w:tab w:val="left" w:pos="2934"/>
          <w:tab w:val="left" w:pos="2935"/>
        </w:tabs>
        <w:spacing w:before="93"/>
        <w:ind w:hanging="566"/>
        <w:rPr>
          <w:rFonts w:ascii="Trebuchet MS" w:hAnsi="Trebuchet MS"/>
          <w:sz w:val="20"/>
        </w:rPr>
      </w:pPr>
      <w:r>
        <w:rPr>
          <w:rFonts w:ascii="Trebuchet MS" w:hAnsi="Trebuchet MS"/>
          <w:color w:val="231F20"/>
          <w:w w:val="105"/>
          <w:sz w:val="20"/>
        </w:rPr>
        <w:t>include</w:t>
      </w:r>
      <w:r>
        <w:rPr>
          <w:rFonts w:ascii="Trebuchet MS" w:hAnsi="Trebuchet MS"/>
          <w:color w:val="231F20"/>
          <w:spacing w:val="-20"/>
          <w:w w:val="105"/>
          <w:sz w:val="20"/>
        </w:rPr>
        <w:t xml:space="preserve"> </w:t>
      </w:r>
      <w:r>
        <w:rPr>
          <w:rFonts w:ascii="Trebuchet MS" w:hAnsi="Trebuchet MS"/>
          <w:color w:val="231F20"/>
          <w:w w:val="105"/>
          <w:sz w:val="20"/>
        </w:rPr>
        <w:t>strategies</w:t>
      </w:r>
      <w:r>
        <w:rPr>
          <w:rFonts w:ascii="Trebuchet MS" w:hAnsi="Trebuchet MS"/>
          <w:color w:val="231F20"/>
          <w:spacing w:val="-19"/>
          <w:w w:val="105"/>
          <w:sz w:val="20"/>
        </w:rPr>
        <w:t xml:space="preserve"> </w:t>
      </w:r>
      <w:r>
        <w:rPr>
          <w:rFonts w:ascii="Trebuchet MS" w:hAnsi="Trebuchet MS"/>
          <w:color w:val="231F20"/>
          <w:w w:val="105"/>
          <w:sz w:val="20"/>
        </w:rPr>
        <w:t>and</w:t>
      </w:r>
      <w:r>
        <w:rPr>
          <w:rFonts w:ascii="Trebuchet MS" w:hAnsi="Trebuchet MS"/>
          <w:color w:val="231F20"/>
          <w:spacing w:val="-19"/>
          <w:w w:val="105"/>
          <w:sz w:val="20"/>
        </w:rPr>
        <w:t xml:space="preserve"> </w:t>
      </w:r>
      <w:r>
        <w:rPr>
          <w:rFonts w:ascii="Trebuchet MS" w:hAnsi="Trebuchet MS"/>
          <w:color w:val="231F20"/>
          <w:w w:val="105"/>
          <w:sz w:val="20"/>
        </w:rPr>
        <w:t>material</w:t>
      </w:r>
      <w:r>
        <w:rPr>
          <w:rFonts w:ascii="Trebuchet MS" w:hAnsi="Trebuchet MS"/>
          <w:color w:val="231F20"/>
          <w:spacing w:val="-19"/>
          <w:w w:val="105"/>
          <w:sz w:val="20"/>
        </w:rPr>
        <w:t xml:space="preserve"> </w:t>
      </w:r>
      <w:r>
        <w:rPr>
          <w:rFonts w:ascii="Trebuchet MS" w:hAnsi="Trebuchet MS"/>
          <w:color w:val="231F20"/>
          <w:w w:val="105"/>
          <w:sz w:val="20"/>
        </w:rPr>
        <w:t>tailored</w:t>
      </w:r>
      <w:r>
        <w:rPr>
          <w:rFonts w:ascii="Trebuchet MS" w:hAnsi="Trebuchet MS"/>
          <w:color w:val="231F20"/>
          <w:spacing w:val="-19"/>
          <w:w w:val="105"/>
          <w:sz w:val="20"/>
        </w:rPr>
        <w:t xml:space="preserve"> </w:t>
      </w:r>
      <w:r>
        <w:rPr>
          <w:rFonts w:ascii="Trebuchet MS" w:hAnsi="Trebuchet MS"/>
          <w:color w:val="231F20"/>
          <w:w w:val="105"/>
          <w:sz w:val="20"/>
        </w:rPr>
        <w:t>to</w:t>
      </w:r>
      <w:r>
        <w:rPr>
          <w:rFonts w:ascii="Trebuchet MS" w:hAnsi="Trebuchet MS"/>
          <w:color w:val="231F20"/>
          <w:spacing w:val="-19"/>
          <w:w w:val="105"/>
          <w:sz w:val="20"/>
        </w:rPr>
        <w:t xml:space="preserve"> </w:t>
      </w:r>
      <w:r>
        <w:rPr>
          <w:rFonts w:ascii="Trebuchet MS" w:hAnsi="Trebuchet MS"/>
          <w:color w:val="231F20"/>
          <w:w w:val="105"/>
          <w:sz w:val="20"/>
        </w:rPr>
        <w:t>reach</w:t>
      </w:r>
      <w:r>
        <w:rPr>
          <w:rFonts w:ascii="Trebuchet MS" w:hAnsi="Trebuchet MS"/>
          <w:color w:val="231F20"/>
          <w:spacing w:val="-20"/>
          <w:w w:val="105"/>
          <w:sz w:val="20"/>
        </w:rPr>
        <w:t xml:space="preserve"> </w:t>
      </w:r>
      <w:r>
        <w:rPr>
          <w:rFonts w:ascii="Trebuchet MS" w:hAnsi="Trebuchet MS"/>
          <w:color w:val="231F20"/>
          <w:w w:val="105"/>
          <w:sz w:val="20"/>
        </w:rPr>
        <w:t>diverse</w:t>
      </w:r>
      <w:r>
        <w:rPr>
          <w:rFonts w:ascii="Trebuchet MS" w:hAnsi="Trebuchet MS"/>
          <w:color w:val="231F20"/>
          <w:spacing w:val="-19"/>
          <w:w w:val="105"/>
          <w:sz w:val="20"/>
        </w:rPr>
        <w:t xml:space="preserve"> </w:t>
      </w:r>
      <w:r>
        <w:rPr>
          <w:rFonts w:ascii="Trebuchet MS" w:hAnsi="Trebuchet MS"/>
          <w:color w:val="231F20"/>
          <w:w w:val="105"/>
          <w:sz w:val="20"/>
        </w:rPr>
        <w:t>communities</w:t>
      </w:r>
    </w:p>
    <w:p w14:paraId="5CF651E5" w14:textId="77777777" w:rsidR="00894070" w:rsidRDefault="009B7AFD">
      <w:pPr>
        <w:pStyle w:val="ListParagraph"/>
        <w:numPr>
          <w:ilvl w:val="1"/>
          <w:numId w:val="132"/>
        </w:numPr>
        <w:tabs>
          <w:tab w:val="left" w:pos="2934"/>
          <w:tab w:val="left" w:pos="2935"/>
        </w:tabs>
        <w:spacing w:before="93"/>
        <w:ind w:hanging="566"/>
        <w:rPr>
          <w:rFonts w:ascii="Trebuchet MS" w:hAnsi="Trebuchet MS"/>
          <w:sz w:val="20"/>
        </w:rPr>
      </w:pPr>
      <w:r>
        <w:rPr>
          <w:rFonts w:ascii="Trebuchet MS" w:hAnsi="Trebuchet MS"/>
          <w:color w:val="231F20"/>
          <w:w w:val="105"/>
          <w:sz w:val="20"/>
        </w:rPr>
        <w:t>equip</w:t>
      </w:r>
      <w:r>
        <w:rPr>
          <w:rFonts w:ascii="Trebuchet MS" w:hAnsi="Trebuchet MS"/>
          <w:color w:val="231F20"/>
          <w:spacing w:val="-17"/>
          <w:w w:val="105"/>
          <w:sz w:val="20"/>
        </w:rPr>
        <w:t xml:space="preserve"> </w:t>
      </w:r>
      <w:r>
        <w:rPr>
          <w:rFonts w:ascii="Trebuchet MS" w:hAnsi="Trebuchet MS"/>
          <w:color w:val="231F20"/>
          <w:spacing w:val="-3"/>
          <w:w w:val="105"/>
          <w:sz w:val="20"/>
        </w:rPr>
        <w:t>family</w:t>
      </w:r>
      <w:r>
        <w:rPr>
          <w:rFonts w:ascii="Trebuchet MS" w:hAnsi="Trebuchet MS"/>
          <w:color w:val="231F20"/>
          <w:spacing w:val="-16"/>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friends</w:t>
      </w:r>
      <w:r>
        <w:rPr>
          <w:rFonts w:ascii="Trebuchet MS" w:hAnsi="Trebuchet MS"/>
          <w:color w:val="231F20"/>
          <w:spacing w:val="-17"/>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w w:val="105"/>
          <w:sz w:val="20"/>
        </w:rPr>
        <w:t>respond</w:t>
      </w:r>
      <w:r>
        <w:rPr>
          <w:rFonts w:ascii="Trebuchet MS" w:hAnsi="Trebuchet MS"/>
          <w:color w:val="231F20"/>
          <w:spacing w:val="-16"/>
          <w:w w:val="105"/>
          <w:sz w:val="20"/>
        </w:rPr>
        <w:t xml:space="preserve"> </w:t>
      </w:r>
      <w:r>
        <w:rPr>
          <w:rFonts w:ascii="Trebuchet MS" w:hAnsi="Trebuchet MS"/>
          <w:color w:val="231F20"/>
          <w:spacing w:val="-3"/>
          <w:w w:val="105"/>
          <w:sz w:val="20"/>
        </w:rPr>
        <w:t>constructively</w:t>
      </w:r>
      <w:r>
        <w:rPr>
          <w:rFonts w:ascii="Trebuchet MS" w:hAnsi="Trebuchet MS"/>
          <w:color w:val="231F20"/>
          <w:spacing w:val="-16"/>
          <w:w w:val="105"/>
          <w:sz w:val="20"/>
        </w:rPr>
        <w:t xml:space="preserve"> </w:t>
      </w:r>
      <w:r>
        <w:rPr>
          <w:rFonts w:ascii="Trebuchet MS" w:hAnsi="Trebuchet MS"/>
          <w:color w:val="231F20"/>
          <w:w w:val="105"/>
          <w:sz w:val="20"/>
        </w:rPr>
        <w:t>to</w:t>
      </w:r>
      <w:r>
        <w:rPr>
          <w:rFonts w:ascii="Trebuchet MS" w:hAnsi="Trebuchet MS"/>
          <w:color w:val="231F20"/>
          <w:spacing w:val="-17"/>
          <w:w w:val="105"/>
          <w:sz w:val="20"/>
        </w:rPr>
        <w:t xml:space="preserve"> </w:t>
      </w:r>
      <w:r>
        <w:rPr>
          <w:rFonts w:ascii="Trebuchet MS" w:hAnsi="Trebuchet MS"/>
          <w:color w:val="231F20"/>
          <w:w w:val="105"/>
          <w:sz w:val="20"/>
        </w:rPr>
        <w:t>disclosures</w:t>
      </w:r>
    </w:p>
    <w:p w14:paraId="70B0A3CB" w14:textId="77777777" w:rsidR="00894070" w:rsidRDefault="009B7AFD">
      <w:pPr>
        <w:pStyle w:val="ListParagraph"/>
        <w:numPr>
          <w:ilvl w:val="1"/>
          <w:numId w:val="132"/>
        </w:numPr>
        <w:tabs>
          <w:tab w:val="left" w:pos="2934"/>
          <w:tab w:val="left" w:pos="2935"/>
        </w:tabs>
        <w:spacing w:before="93" w:line="247" w:lineRule="auto"/>
        <w:ind w:right="1930" w:hanging="566"/>
        <w:rPr>
          <w:rFonts w:ascii="Trebuchet MS" w:hAnsi="Trebuchet MS"/>
          <w:sz w:val="20"/>
        </w:rPr>
      </w:pPr>
      <w:r>
        <w:rPr>
          <w:rFonts w:ascii="Trebuchet MS" w:hAnsi="Trebuchet MS"/>
          <w:color w:val="231F20"/>
          <w:w w:val="105"/>
          <w:sz w:val="20"/>
        </w:rPr>
        <w:t>include</w:t>
      </w:r>
      <w:r>
        <w:rPr>
          <w:rFonts w:ascii="Trebuchet MS" w:hAnsi="Trebuchet MS"/>
          <w:color w:val="231F20"/>
          <w:spacing w:val="-12"/>
          <w:w w:val="105"/>
          <w:sz w:val="20"/>
        </w:rPr>
        <w:t xml:space="preserve"> </w:t>
      </w:r>
      <w:r>
        <w:rPr>
          <w:rFonts w:ascii="Trebuchet MS" w:hAnsi="Trebuchet MS"/>
          <w:color w:val="231F20"/>
          <w:w w:val="105"/>
          <w:sz w:val="20"/>
        </w:rPr>
        <w:t>a</w:t>
      </w:r>
      <w:r>
        <w:rPr>
          <w:rFonts w:ascii="Trebuchet MS" w:hAnsi="Trebuchet MS"/>
          <w:color w:val="231F20"/>
          <w:spacing w:val="-12"/>
          <w:w w:val="105"/>
          <w:sz w:val="20"/>
        </w:rPr>
        <w:t xml:space="preserve"> </w:t>
      </w:r>
      <w:r>
        <w:rPr>
          <w:rFonts w:ascii="Trebuchet MS" w:hAnsi="Trebuchet MS"/>
          <w:color w:val="231F20"/>
          <w:w w:val="105"/>
          <w:sz w:val="20"/>
        </w:rPr>
        <w:t>focus</w:t>
      </w:r>
      <w:r>
        <w:rPr>
          <w:rFonts w:ascii="Trebuchet MS" w:hAnsi="Trebuchet MS"/>
          <w:color w:val="231F20"/>
          <w:spacing w:val="-12"/>
          <w:w w:val="105"/>
          <w:sz w:val="20"/>
        </w:rPr>
        <w:t xml:space="preserve"> </w:t>
      </w:r>
      <w:r>
        <w:rPr>
          <w:rFonts w:ascii="Trebuchet MS" w:hAnsi="Trebuchet MS"/>
          <w:color w:val="231F20"/>
          <w:w w:val="105"/>
          <w:sz w:val="20"/>
        </w:rPr>
        <w:t>on</w:t>
      </w:r>
      <w:r>
        <w:rPr>
          <w:rFonts w:ascii="Trebuchet MS" w:hAnsi="Trebuchet MS"/>
          <w:color w:val="231F20"/>
          <w:spacing w:val="-12"/>
          <w:w w:val="105"/>
          <w:sz w:val="20"/>
        </w:rPr>
        <w:t xml:space="preserve"> </w:t>
      </w:r>
      <w:r>
        <w:rPr>
          <w:rFonts w:ascii="Trebuchet MS" w:hAnsi="Trebuchet MS"/>
          <w:color w:val="231F20"/>
          <w:w w:val="105"/>
          <w:sz w:val="20"/>
        </w:rPr>
        <w:t>children</w:t>
      </w:r>
      <w:r>
        <w:rPr>
          <w:rFonts w:ascii="Trebuchet MS" w:hAnsi="Trebuchet MS"/>
          <w:color w:val="231F20"/>
          <w:spacing w:val="-11"/>
          <w:w w:val="105"/>
          <w:sz w:val="20"/>
        </w:rPr>
        <w:t xml:space="preserve"> </w:t>
      </w:r>
      <w:r>
        <w:rPr>
          <w:rFonts w:ascii="Trebuchet MS" w:hAnsi="Trebuchet MS"/>
          <w:color w:val="231F20"/>
          <w:w w:val="105"/>
          <w:sz w:val="20"/>
        </w:rPr>
        <w:t>and</w:t>
      </w:r>
      <w:r>
        <w:rPr>
          <w:rFonts w:ascii="Trebuchet MS" w:hAnsi="Trebuchet MS"/>
          <w:color w:val="231F20"/>
          <w:spacing w:val="-12"/>
          <w:w w:val="105"/>
          <w:sz w:val="20"/>
        </w:rPr>
        <w:t xml:space="preserve"> </w:t>
      </w:r>
      <w:r>
        <w:rPr>
          <w:rFonts w:ascii="Trebuchet MS" w:hAnsi="Trebuchet MS"/>
          <w:color w:val="231F20"/>
          <w:w w:val="105"/>
          <w:sz w:val="20"/>
        </w:rPr>
        <w:t>young</w:t>
      </w:r>
      <w:r>
        <w:rPr>
          <w:rFonts w:ascii="Trebuchet MS" w:hAnsi="Trebuchet MS"/>
          <w:color w:val="231F20"/>
          <w:spacing w:val="-12"/>
          <w:w w:val="105"/>
          <w:sz w:val="20"/>
        </w:rPr>
        <w:t xml:space="preserve"> </w:t>
      </w:r>
      <w:r>
        <w:rPr>
          <w:rFonts w:ascii="Trebuchet MS" w:hAnsi="Trebuchet MS"/>
          <w:color w:val="231F20"/>
          <w:w w:val="105"/>
          <w:sz w:val="20"/>
        </w:rPr>
        <w:t>people</w:t>
      </w:r>
      <w:r>
        <w:rPr>
          <w:rFonts w:ascii="Trebuchet MS" w:hAnsi="Trebuchet MS"/>
          <w:color w:val="231F20"/>
          <w:spacing w:val="-12"/>
          <w:w w:val="105"/>
          <w:sz w:val="20"/>
        </w:rPr>
        <w:t xml:space="preserve"> </w:t>
      </w:r>
      <w:r>
        <w:rPr>
          <w:rFonts w:ascii="Trebuchet MS" w:hAnsi="Trebuchet MS"/>
          <w:color w:val="231F20"/>
          <w:w w:val="105"/>
          <w:sz w:val="20"/>
        </w:rPr>
        <w:t>and</w:t>
      </w:r>
      <w:r>
        <w:rPr>
          <w:rFonts w:ascii="Trebuchet MS" w:hAnsi="Trebuchet MS"/>
          <w:color w:val="231F20"/>
          <w:spacing w:val="-12"/>
          <w:w w:val="105"/>
          <w:sz w:val="20"/>
        </w:rPr>
        <w:t xml:space="preserve"> </w:t>
      </w:r>
      <w:r>
        <w:rPr>
          <w:rFonts w:ascii="Trebuchet MS" w:hAnsi="Trebuchet MS"/>
          <w:color w:val="231F20"/>
          <w:w w:val="105"/>
          <w:sz w:val="20"/>
        </w:rPr>
        <w:t>be</w:t>
      </w:r>
      <w:r>
        <w:rPr>
          <w:rFonts w:ascii="Trebuchet MS" w:hAnsi="Trebuchet MS"/>
          <w:color w:val="231F20"/>
          <w:spacing w:val="-11"/>
          <w:w w:val="105"/>
          <w:sz w:val="20"/>
        </w:rPr>
        <w:t xml:space="preserve"> </w:t>
      </w:r>
      <w:r>
        <w:rPr>
          <w:rFonts w:ascii="Trebuchet MS" w:hAnsi="Trebuchet MS"/>
          <w:color w:val="231F20"/>
          <w:w w:val="105"/>
          <w:sz w:val="20"/>
        </w:rPr>
        <w:t>delivered</w:t>
      </w:r>
      <w:r>
        <w:rPr>
          <w:rFonts w:ascii="Trebuchet MS" w:hAnsi="Trebuchet MS"/>
          <w:color w:val="231F20"/>
          <w:spacing w:val="-12"/>
          <w:w w:val="105"/>
          <w:sz w:val="20"/>
        </w:rPr>
        <w:t xml:space="preserve"> </w:t>
      </w:r>
      <w:r>
        <w:rPr>
          <w:rFonts w:ascii="Trebuchet MS" w:hAnsi="Trebuchet MS"/>
          <w:color w:val="231F20"/>
          <w:w w:val="105"/>
          <w:sz w:val="20"/>
        </w:rPr>
        <w:t xml:space="preserve">in </w:t>
      </w:r>
      <w:r>
        <w:rPr>
          <w:rFonts w:ascii="Trebuchet MS" w:hAnsi="Trebuchet MS"/>
          <w:color w:val="231F20"/>
          <w:spacing w:val="-1"/>
          <w:w w:val="122"/>
          <w:sz w:val="20"/>
        </w:rPr>
        <w:t>s</w:t>
      </w:r>
      <w:r>
        <w:rPr>
          <w:rFonts w:ascii="Trebuchet MS" w:hAnsi="Trebuchet MS"/>
          <w:color w:val="231F20"/>
          <w:spacing w:val="-2"/>
          <w:w w:val="111"/>
          <w:sz w:val="20"/>
        </w:rPr>
        <w:t>c</w:t>
      </w:r>
      <w:r>
        <w:rPr>
          <w:rFonts w:ascii="Trebuchet MS" w:hAnsi="Trebuchet MS"/>
          <w:color w:val="231F20"/>
          <w:spacing w:val="-1"/>
          <w:w w:val="107"/>
          <w:sz w:val="20"/>
        </w:rPr>
        <w:t>h</w:t>
      </w:r>
      <w:r>
        <w:rPr>
          <w:rFonts w:ascii="Trebuchet MS" w:hAnsi="Trebuchet MS"/>
          <w:color w:val="231F20"/>
          <w:spacing w:val="-1"/>
          <w:w w:val="111"/>
          <w:sz w:val="20"/>
        </w:rPr>
        <w:t>o</w:t>
      </w:r>
      <w:r>
        <w:rPr>
          <w:rFonts w:ascii="Trebuchet MS" w:hAnsi="Trebuchet MS"/>
          <w:color w:val="231F20"/>
          <w:spacing w:val="-2"/>
          <w:w w:val="111"/>
          <w:sz w:val="20"/>
        </w:rPr>
        <w:t>o</w:t>
      </w:r>
      <w:r>
        <w:rPr>
          <w:rFonts w:ascii="Trebuchet MS" w:hAnsi="Trebuchet MS"/>
          <w:color w:val="231F20"/>
          <w:spacing w:val="3"/>
          <w:w w:val="96"/>
          <w:sz w:val="20"/>
        </w:rPr>
        <w:t>l</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07"/>
          <w:sz w:val="20"/>
        </w:rPr>
        <w:t>h</w:t>
      </w:r>
      <w:r>
        <w:rPr>
          <w:rFonts w:ascii="Trebuchet MS" w:hAnsi="Trebuchet MS"/>
          <w:color w:val="231F20"/>
          <w:spacing w:val="-1"/>
          <w:w w:val="80"/>
          <w:sz w:val="20"/>
        </w:rPr>
        <w:t>i</w:t>
      </w:r>
      <w:r>
        <w:rPr>
          <w:rFonts w:ascii="Trebuchet MS" w:hAnsi="Trebuchet MS"/>
          <w:color w:val="231F20"/>
          <w:spacing w:val="-2"/>
          <w:w w:val="124"/>
          <w:sz w:val="20"/>
        </w:rPr>
        <w:t>g</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w w:val="108"/>
          <w:sz w:val="20"/>
        </w:rPr>
        <w:t>e</w:t>
      </w:r>
      <w:r>
        <w:rPr>
          <w:rFonts w:ascii="Trebuchet MS" w:hAnsi="Trebuchet MS"/>
          <w:color w:val="231F20"/>
          <w:spacing w:val="-2"/>
          <w:w w:val="112"/>
          <w:sz w:val="20"/>
        </w:rPr>
        <w:t>d</w:t>
      </w:r>
      <w:r>
        <w:rPr>
          <w:rFonts w:ascii="Trebuchet MS" w:hAnsi="Trebuchet MS"/>
          <w:color w:val="231F20"/>
          <w:spacing w:val="-2"/>
          <w:w w:val="109"/>
          <w:sz w:val="20"/>
        </w:rPr>
        <w:t>u</w:t>
      </w:r>
      <w:r>
        <w:rPr>
          <w:rFonts w:ascii="Trebuchet MS" w:hAnsi="Trebuchet MS"/>
          <w:color w:val="231F20"/>
          <w:w w:val="111"/>
          <w:sz w:val="20"/>
        </w:rPr>
        <w:t>c</w:t>
      </w:r>
      <w:r>
        <w:rPr>
          <w:rFonts w:ascii="Trebuchet MS" w:hAnsi="Trebuchet MS"/>
          <w:color w:val="231F20"/>
          <w:spacing w:val="-4"/>
          <w:w w:val="105"/>
          <w:sz w:val="20"/>
        </w:rPr>
        <w:t>a</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3"/>
          <w:w w:val="108"/>
          <w:sz w:val="20"/>
        </w:rPr>
        <w:t>e</w:t>
      </w:r>
      <w:r>
        <w:rPr>
          <w:rFonts w:ascii="Trebuchet MS" w:hAnsi="Trebuchet MS"/>
          <w:color w:val="231F20"/>
          <w:spacing w:val="-1"/>
          <w:w w:val="88"/>
          <w:sz w:val="20"/>
        </w:rPr>
        <w:t>t</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1"/>
          <w:w w:val="124"/>
          <w:sz w:val="20"/>
        </w:rPr>
        <w:t>g</w:t>
      </w:r>
      <w:r>
        <w:rPr>
          <w:rFonts w:ascii="Trebuchet MS" w:hAnsi="Trebuchet MS"/>
          <w:color w:val="231F20"/>
          <w:spacing w:val="1"/>
          <w:w w:val="122"/>
          <w:sz w:val="20"/>
        </w:rPr>
        <w:t>s</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6"/>
          <w:w w:val="110"/>
          <w:sz w:val="20"/>
        </w:rPr>
        <w:t>w</w:t>
      </w:r>
      <w:r>
        <w:rPr>
          <w:rFonts w:ascii="Trebuchet MS" w:hAnsi="Trebuchet MS"/>
          <w:color w:val="231F20"/>
          <w:spacing w:val="-1"/>
          <w:w w:val="108"/>
          <w:sz w:val="20"/>
        </w:rPr>
        <w:t>e</w:t>
      </w:r>
      <w:r>
        <w:rPr>
          <w:rFonts w:ascii="Trebuchet MS" w:hAnsi="Trebuchet MS"/>
          <w:color w:val="231F20"/>
          <w:spacing w:val="-2"/>
          <w:w w:val="96"/>
          <w:sz w:val="20"/>
        </w:rPr>
        <w:t>l</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b</w:t>
      </w:r>
      <w:r>
        <w:rPr>
          <w:rFonts w:ascii="Trebuchet MS" w:hAnsi="Trebuchet MS"/>
          <w:color w:val="231F20"/>
          <w:spacing w:val="-4"/>
          <w:w w:val="93"/>
          <w:sz w:val="20"/>
        </w:rPr>
        <w:t>r</w:t>
      </w:r>
      <w:r>
        <w:rPr>
          <w:rFonts w:ascii="Trebuchet MS" w:hAnsi="Trebuchet MS"/>
          <w:color w:val="231F20"/>
          <w:spacing w:val="-1"/>
          <w:w w:val="111"/>
          <w:sz w:val="20"/>
        </w:rPr>
        <w:t>o</w:t>
      </w:r>
      <w:r>
        <w:rPr>
          <w:rFonts w:ascii="Trebuchet MS" w:hAnsi="Trebuchet MS"/>
          <w:color w:val="231F20"/>
          <w:spacing w:val="-2"/>
          <w:w w:val="105"/>
          <w:sz w:val="20"/>
        </w:rPr>
        <w:t>a</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3"/>
          <w:sz w:val="20"/>
        </w:rPr>
        <w:t xml:space="preserve">r </w:t>
      </w:r>
      <w:r>
        <w:rPr>
          <w:rFonts w:ascii="Trebuchet MS" w:hAnsi="Trebuchet MS"/>
          <w:color w:val="231F20"/>
          <w:w w:val="105"/>
          <w:sz w:val="20"/>
        </w:rPr>
        <w:t>community</w:t>
      </w:r>
    </w:p>
    <w:p w14:paraId="43888846" w14:textId="77777777" w:rsidR="00894070" w:rsidRDefault="009B7AFD">
      <w:pPr>
        <w:pStyle w:val="ListParagraph"/>
        <w:numPr>
          <w:ilvl w:val="1"/>
          <w:numId w:val="132"/>
        </w:numPr>
        <w:tabs>
          <w:tab w:val="left" w:pos="2934"/>
          <w:tab w:val="left" w:pos="2935"/>
        </w:tabs>
        <w:spacing w:before="87"/>
        <w:ind w:hanging="566"/>
        <w:rPr>
          <w:rFonts w:ascii="Trebuchet MS" w:hAnsi="Trebuchet MS"/>
          <w:sz w:val="20"/>
        </w:rPr>
      </w:pPr>
      <w:r>
        <w:rPr>
          <w:rFonts w:ascii="Trebuchet MS" w:hAnsi="Trebuchet MS"/>
          <w:color w:val="231F20"/>
          <w:w w:val="108"/>
          <w:sz w:val="20"/>
        </w:rPr>
        <w:t>e</w:t>
      </w:r>
      <w:r>
        <w:rPr>
          <w:rFonts w:ascii="Trebuchet MS" w:hAnsi="Trebuchet MS"/>
          <w:color w:val="231F20"/>
          <w:spacing w:val="-2"/>
          <w:w w:val="111"/>
          <w:sz w:val="20"/>
        </w:rPr>
        <w:t>q</w:t>
      </w:r>
      <w:r>
        <w:rPr>
          <w:rFonts w:ascii="Trebuchet MS" w:hAnsi="Trebuchet MS"/>
          <w:color w:val="231F20"/>
          <w:spacing w:val="-1"/>
          <w:w w:val="109"/>
          <w:sz w:val="20"/>
        </w:rPr>
        <w:t>u</w:t>
      </w:r>
      <w:r>
        <w:rPr>
          <w:rFonts w:ascii="Trebuchet MS" w:hAnsi="Trebuchet MS"/>
          <w:color w:val="231F20"/>
          <w:spacing w:val="-2"/>
          <w:w w:val="80"/>
          <w:sz w:val="20"/>
        </w:rPr>
        <w:t>i</w:t>
      </w:r>
      <w:r>
        <w:rPr>
          <w:rFonts w:ascii="Trebuchet MS" w:hAnsi="Trebuchet MS"/>
          <w:color w:val="231F20"/>
          <w:w w:val="111"/>
          <w:sz w:val="20"/>
        </w:rPr>
        <w:t>p</w:t>
      </w:r>
      <w:r>
        <w:rPr>
          <w:rFonts w:ascii="Trebuchet MS" w:hAnsi="Trebuchet MS"/>
          <w:color w:val="231F20"/>
          <w:spacing w:val="-14"/>
          <w:sz w:val="20"/>
        </w:rPr>
        <w:t xml:space="preserve"> </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spacing w:val="-3"/>
          <w:w w:val="105"/>
          <w:sz w:val="20"/>
        </w:rPr>
        <w:t>a</w:t>
      </w:r>
      <w:r>
        <w:rPr>
          <w:rFonts w:ascii="Trebuchet MS" w:hAnsi="Trebuchet MS"/>
          <w:color w:val="231F20"/>
          <w:spacing w:val="-4"/>
          <w:w w:val="96"/>
          <w:sz w:val="20"/>
        </w:rPr>
        <w:t>l</w:t>
      </w:r>
      <w:r>
        <w:rPr>
          <w:rFonts w:ascii="Trebuchet MS" w:hAnsi="Trebuchet MS"/>
          <w:color w:val="231F20"/>
          <w:spacing w:val="-2"/>
          <w:w w:val="88"/>
          <w:sz w:val="20"/>
        </w:rPr>
        <w:t>t</w:t>
      </w:r>
      <w:r>
        <w:rPr>
          <w:rFonts w:ascii="Trebuchet MS" w:hAnsi="Trebuchet MS"/>
          <w:color w:val="231F20"/>
          <w:w w:val="107"/>
          <w:sz w:val="20"/>
        </w:rPr>
        <w:t>h</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6"/>
          <w:w w:val="111"/>
          <w:sz w:val="20"/>
        </w:rPr>
        <w:t>o</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po</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2"/>
          <w:w w:val="109"/>
          <w:sz w:val="20"/>
        </w:rPr>
        <w:t>u</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7"/>
          <w:w w:val="96"/>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2"/>
          <w:sz w:val="20"/>
        </w:rPr>
        <w:t>d</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3"/>
          <w:w w:val="111"/>
          <w:sz w:val="20"/>
        </w:rPr>
        <w:t>c</w:t>
      </w:r>
      <w:r>
        <w:rPr>
          <w:rFonts w:ascii="Trebuchet MS" w:hAnsi="Trebuchet MS"/>
          <w:color w:val="231F20"/>
          <w:spacing w:val="-3"/>
          <w:w w:val="96"/>
          <w:sz w:val="20"/>
        </w:rPr>
        <w:t>l</w:t>
      </w:r>
      <w:r>
        <w:rPr>
          <w:rFonts w:ascii="Trebuchet MS" w:hAnsi="Trebuchet MS"/>
          <w:color w:val="231F20"/>
          <w:spacing w:val="-2"/>
          <w:w w:val="116"/>
          <w:sz w:val="20"/>
        </w:rPr>
        <w:t>os</w:t>
      </w:r>
      <w:r>
        <w:rPr>
          <w:rFonts w:ascii="Trebuchet MS" w:hAnsi="Trebuchet MS"/>
          <w:color w:val="231F20"/>
          <w:spacing w:val="-1"/>
          <w:w w:val="109"/>
          <w:sz w:val="20"/>
        </w:rPr>
        <w:t>u</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w w:val="55"/>
          <w:sz w:val="20"/>
        </w:rPr>
        <w:t>.</w:t>
      </w:r>
    </w:p>
    <w:p w14:paraId="67E0C410" w14:textId="77777777" w:rsidR="00894070" w:rsidRDefault="00894070">
      <w:pPr>
        <w:pStyle w:val="BodyText"/>
        <w:rPr>
          <w:rFonts w:ascii="Trebuchet MS"/>
        </w:rPr>
      </w:pPr>
    </w:p>
    <w:p w14:paraId="34CE8376" w14:textId="77777777" w:rsidR="00894070" w:rsidRDefault="00894070">
      <w:pPr>
        <w:pStyle w:val="BodyText"/>
        <w:rPr>
          <w:rFonts w:ascii="Trebuchet MS"/>
        </w:rPr>
      </w:pPr>
    </w:p>
    <w:p w14:paraId="7196240D" w14:textId="77777777" w:rsidR="00894070" w:rsidRDefault="00894070">
      <w:pPr>
        <w:pStyle w:val="BodyText"/>
        <w:rPr>
          <w:rFonts w:ascii="Trebuchet MS"/>
        </w:rPr>
      </w:pPr>
    </w:p>
    <w:p w14:paraId="27F1ECED" w14:textId="77777777" w:rsidR="00894070" w:rsidRDefault="00894070">
      <w:pPr>
        <w:pStyle w:val="BodyText"/>
        <w:rPr>
          <w:rFonts w:ascii="Trebuchet MS"/>
        </w:rPr>
      </w:pPr>
    </w:p>
    <w:p w14:paraId="071B10A6" w14:textId="77777777" w:rsidR="00894070" w:rsidRDefault="00894070">
      <w:pPr>
        <w:pStyle w:val="BodyText"/>
        <w:rPr>
          <w:rFonts w:ascii="Trebuchet MS"/>
        </w:rPr>
      </w:pPr>
    </w:p>
    <w:p w14:paraId="345A6DE6" w14:textId="77777777" w:rsidR="00894070" w:rsidRDefault="00894070">
      <w:pPr>
        <w:pStyle w:val="BodyText"/>
        <w:rPr>
          <w:rFonts w:ascii="Trebuchet MS"/>
        </w:rPr>
      </w:pPr>
    </w:p>
    <w:p w14:paraId="0C36CFDF" w14:textId="77777777" w:rsidR="00894070" w:rsidRDefault="00894070">
      <w:pPr>
        <w:pStyle w:val="BodyText"/>
        <w:rPr>
          <w:rFonts w:ascii="Trebuchet MS"/>
        </w:rPr>
      </w:pPr>
    </w:p>
    <w:p w14:paraId="2DD16425" w14:textId="77777777" w:rsidR="00894070" w:rsidRDefault="00894070">
      <w:pPr>
        <w:pStyle w:val="BodyText"/>
        <w:rPr>
          <w:rFonts w:ascii="Trebuchet MS"/>
        </w:rPr>
      </w:pPr>
    </w:p>
    <w:p w14:paraId="54FBB9E1" w14:textId="77777777" w:rsidR="00894070" w:rsidRDefault="00894070">
      <w:pPr>
        <w:pStyle w:val="BodyText"/>
        <w:rPr>
          <w:rFonts w:ascii="Trebuchet MS"/>
        </w:rPr>
      </w:pPr>
    </w:p>
    <w:p w14:paraId="5816CFCB" w14:textId="77777777" w:rsidR="00894070" w:rsidRDefault="00894070">
      <w:pPr>
        <w:pStyle w:val="BodyText"/>
        <w:rPr>
          <w:rFonts w:ascii="Trebuchet MS"/>
        </w:rPr>
      </w:pPr>
    </w:p>
    <w:p w14:paraId="7E2E7D87" w14:textId="77777777" w:rsidR="00894070" w:rsidRDefault="00894070">
      <w:pPr>
        <w:pStyle w:val="BodyText"/>
        <w:rPr>
          <w:rFonts w:ascii="Trebuchet MS"/>
        </w:rPr>
      </w:pPr>
    </w:p>
    <w:p w14:paraId="58929BA1" w14:textId="77777777" w:rsidR="00894070" w:rsidRDefault="00894070">
      <w:pPr>
        <w:pStyle w:val="BodyText"/>
        <w:rPr>
          <w:rFonts w:ascii="Trebuchet MS"/>
        </w:rPr>
      </w:pPr>
    </w:p>
    <w:p w14:paraId="0B69456F" w14:textId="77777777" w:rsidR="00894070" w:rsidRDefault="00894070">
      <w:pPr>
        <w:pStyle w:val="BodyText"/>
        <w:rPr>
          <w:rFonts w:ascii="Trebuchet MS"/>
        </w:rPr>
      </w:pPr>
    </w:p>
    <w:p w14:paraId="609973E9" w14:textId="77777777" w:rsidR="00894070" w:rsidRDefault="009F6793">
      <w:pPr>
        <w:pStyle w:val="BodyText"/>
        <w:spacing w:before="8"/>
        <w:rPr>
          <w:rFonts w:ascii="Trebuchet MS"/>
          <w:sz w:val="25"/>
        </w:rPr>
      </w:pPr>
      <w:r>
        <w:pict w14:anchorId="7B276FF5">
          <v:line id="_x0000_s1476" style="position:absolute;z-index:251558912;mso-wrap-distance-left:0;mso-wrap-distance-right:0;mso-position-horizontal-relative:page" from="79.35pt,17.35pt" to="515.9pt,17.35pt" strokecolor="#f8cabc" strokeweight="1pt">
            <w10:wrap type="topAndBottom" anchorx="page"/>
          </v:line>
        </w:pict>
      </w:r>
    </w:p>
    <w:p w14:paraId="7A00A182" w14:textId="77777777" w:rsidR="00894070" w:rsidRDefault="009B7AFD">
      <w:pPr>
        <w:pStyle w:val="ListParagraph"/>
        <w:numPr>
          <w:ilvl w:val="0"/>
          <w:numId w:val="134"/>
        </w:numPr>
        <w:tabs>
          <w:tab w:val="left" w:pos="1800"/>
          <w:tab w:val="left" w:pos="1802"/>
        </w:tabs>
        <w:spacing w:before="107" w:line="213" w:lineRule="auto"/>
        <w:ind w:right="1427"/>
        <w:rPr>
          <w:sz w:val="13"/>
        </w:rPr>
      </w:pPr>
      <w:r>
        <w:rPr>
          <w:color w:val="231F20"/>
          <w:sz w:val="13"/>
        </w:rPr>
        <w:t xml:space="preserve">Jan H Kamphuis et </w:t>
      </w:r>
      <w:r>
        <w:rPr>
          <w:color w:val="231F20"/>
          <w:spacing w:val="2"/>
          <w:sz w:val="13"/>
        </w:rPr>
        <w:t xml:space="preserve">al, </w:t>
      </w:r>
      <w:r>
        <w:rPr>
          <w:color w:val="231F20"/>
          <w:sz w:val="13"/>
        </w:rPr>
        <w:t xml:space="preserve">‘Stalking—Perceptions and Attitudes amongst Helping Professions. An EU Cross-National Comparison’ (2005) </w:t>
      </w:r>
      <w:r>
        <w:rPr>
          <w:color w:val="231F20"/>
          <w:spacing w:val="2"/>
          <w:sz w:val="13"/>
        </w:rPr>
        <w:t xml:space="preserve">12(3) </w:t>
      </w:r>
      <w:r>
        <w:rPr>
          <w:i/>
          <w:color w:val="231F20"/>
          <w:sz w:val="13"/>
        </w:rPr>
        <w:t xml:space="preserve">Clinical Psychology and Psychotherapy </w:t>
      </w:r>
      <w:r>
        <w:rPr>
          <w:color w:val="231F20"/>
          <w:spacing w:val="3"/>
          <w:sz w:val="13"/>
        </w:rPr>
        <w:t>215,</w:t>
      </w:r>
      <w:r>
        <w:rPr>
          <w:color w:val="231F20"/>
          <w:sz w:val="13"/>
        </w:rPr>
        <w:t xml:space="preserve"> 216.</w:t>
      </w:r>
    </w:p>
    <w:p w14:paraId="0540FFB3" w14:textId="77777777" w:rsidR="00894070" w:rsidRDefault="009B7AFD">
      <w:pPr>
        <w:pStyle w:val="ListParagraph"/>
        <w:numPr>
          <w:ilvl w:val="0"/>
          <w:numId w:val="134"/>
        </w:numPr>
        <w:tabs>
          <w:tab w:val="left" w:pos="1801"/>
          <w:tab w:val="left" w:pos="1802"/>
        </w:tabs>
        <w:spacing w:line="153" w:lineRule="exact"/>
        <w:rPr>
          <w:sz w:val="13"/>
        </w:rPr>
      </w:pPr>
      <w:r>
        <w:rPr>
          <w:color w:val="231F20"/>
          <w:sz w:val="13"/>
        </w:rPr>
        <w:t>Ibid.</w:t>
      </w:r>
    </w:p>
    <w:p w14:paraId="299E3917" w14:textId="77777777" w:rsidR="00894070" w:rsidRDefault="009F6793">
      <w:pPr>
        <w:pStyle w:val="ListParagraph"/>
        <w:numPr>
          <w:ilvl w:val="0"/>
          <w:numId w:val="134"/>
        </w:numPr>
        <w:tabs>
          <w:tab w:val="left" w:pos="1800"/>
          <w:tab w:val="left" w:pos="1802"/>
        </w:tabs>
        <w:spacing w:line="160" w:lineRule="exact"/>
        <w:rPr>
          <w:sz w:val="13"/>
        </w:rPr>
      </w:pPr>
      <w:r>
        <w:pict w14:anchorId="32FEFA06">
          <v:shape id="_x0000_s1475" type="#_x0000_t202" style="position:absolute;left:0;text-align:left;margin-left:548.65pt;margin-top:3.7pt;width:13.8pt;height:14.1pt;z-index:251631616;mso-position-horizontal-relative:page" filled="f" stroked="f">
            <v:textbox inset="0,0,0,0">
              <w:txbxContent>
                <w:p w14:paraId="2953F150" w14:textId="77777777" w:rsidR="00894070" w:rsidRDefault="009B7AFD">
                  <w:pPr>
                    <w:spacing w:line="282" w:lineRule="exact"/>
                    <w:rPr>
                      <w:b/>
                      <w:sz w:val="24"/>
                    </w:rPr>
                  </w:pPr>
                  <w:r>
                    <w:rPr>
                      <w:b/>
                      <w:color w:val="EA5B50"/>
                      <w:spacing w:val="-2"/>
                      <w:sz w:val="24"/>
                    </w:rPr>
                    <w:t>65</w:t>
                  </w:r>
                </w:p>
              </w:txbxContent>
            </v:textbox>
            <w10:wrap anchorx="page"/>
          </v:shape>
        </w:pict>
      </w:r>
      <w:r w:rsidR="009B7AFD">
        <w:rPr>
          <w:color w:val="231F20"/>
          <w:sz w:val="13"/>
        </w:rPr>
        <w:t>Consultation 30 (Roundtable with multicultural and multifaith lawyers and legal</w:t>
      </w:r>
      <w:r w:rsidR="009B7AFD">
        <w:rPr>
          <w:color w:val="231F20"/>
          <w:spacing w:val="12"/>
          <w:sz w:val="13"/>
        </w:rPr>
        <w:t xml:space="preserve"> </w:t>
      </w:r>
      <w:r w:rsidR="009B7AFD">
        <w:rPr>
          <w:color w:val="231F20"/>
          <w:sz w:val="13"/>
        </w:rPr>
        <w:t>stakeholders).</w:t>
      </w:r>
    </w:p>
    <w:p w14:paraId="3600F0A3" w14:textId="77777777" w:rsidR="00894070" w:rsidRDefault="009B7AFD">
      <w:pPr>
        <w:pStyle w:val="ListParagraph"/>
        <w:numPr>
          <w:ilvl w:val="0"/>
          <w:numId w:val="134"/>
        </w:numPr>
        <w:tabs>
          <w:tab w:val="left" w:pos="1801"/>
          <w:tab w:val="left" w:pos="1802"/>
        </w:tabs>
        <w:spacing w:line="170" w:lineRule="exact"/>
        <w:rPr>
          <w:sz w:val="13"/>
        </w:rPr>
      </w:pPr>
      <w:r>
        <w:rPr>
          <w:color w:val="231F20"/>
          <w:spacing w:val="2"/>
          <w:sz w:val="13"/>
        </w:rPr>
        <w:t xml:space="preserve">Submission </w:t>
      </w:r>
      <w:r>
        <w:rPr>
          <w:color w:val="231F20"/>
          <w:sz w:val="13"/>
        </w:rPr>
        <w:t>39 (Victorian Pride</w:t>
      </w:r>
      <w:r>
        <w:rPr>
          <w:color w:val="231F20"/>
          <w:spacing w:val="-4"/>
          <w:sz w:val="13"/>
        </w:rPr>
        <w:t xml:space="preserve"> </w:t>
      </w:r>
      <w:r>
        <w:rPr>
          <w:color w:val="231F20"/>
          <w:sz w:val="13"/>
        </w:rPr>
        <w:t>Lobby).</w:t>
      </w:r>
    </w:p>
    <w:p w14:paraId="5D1C696A" w14:textId="77777777" w:rsidR="00894070" w:rsidRDefault="00894070">
      <w:pPr>
        <w:spacing w:line="170" w:lineRule="exact"/>
        <w:rPr>
          <w:sz w:val="13"/>
        </w:rPr>
        <w:sectPr w:rsidR="00894070">
          <w:pgSz w:w="11910" w:h="16840"/>
          <w:pgMar w:top="840" w:right="420" w:bottom="280" w:left="580" w:header="0" w:footer="0" w:gutter="0"/>
          <w:cols w:space="720"/>
        </w:sectPr>
      </w:pPr>
    </w:p>
    <w:p w14:paraId="2604FD4C" w14:textId="77777777" w:rsidR="00894070" w:rsidRDefault="00894070">
      <w:pPr>
        <w:pStyle w:val="BodyText"/>
      </w:pPr>
    </w:p>
    <w:p w14:paraId="287614C4" w14:textId="77777777" w:rsidR="00894070" w:rsidRDefault="00894070">
      <w:pPr>
        <w:pStyle w:val="BodyText"/>
      </w:pPr>
    </w:p>
    <w:p w14:paraId="550779F8" w14:textId="77777777" w:rsidR="00894070" w:rsidRDefault="00894070">
      <w:pPr>
        <w:pStyle w:val="BodyText"/>
      </w:pPr>
    </w:p>
    <w:p w14:paraId="1ADF05F9" w14:textId="77777777" w:rsidR="00894070" w:rsidRDefault="009B7AFD">
      <w:pPr>
        <w:pStyle w:val="Heading7"/>
        <w:spacing w:before="286" w:line="184" w:lineRule="auto"/>
        <w:ind w:right="1459"/>
      </w:pPr>
      <w:bookmarkStart w:id="84" w:name="Education_about_stalking_for_people_work"/>
      <w:bookmarkStart w:id="85" w:name="_bookmark44"/>
      <w:bookmarkEnd w:id="84"/>
      <w:bookmarkEnd w:id="85"/>
      <w:r>
        <w:rPr>
          <w:color w:val="EA5B50"/>
        </w:rPr>
        <w:t>Education about stalking for people working in the justice system</w:t>
      </w:r>
    </w:p>
    <w:p w14:paraId="78F4E3FD" w14:textId="77777777" w:rsidR="00894070" w:rsidRDefault="009B7AFD">
      <w:pPr>
        <w:pStyle w:val="ListParagraph"/>
        <w:numPr>
          <w:ilvl w:val="1"/>
          <w:numId w:val="177"/>
        </w:numPr>
        <w:tabs>
          <w:tab w:val="left" w:pos="1801"/>
          <w:tab w:val="left" w:pos="1802"/>
        </w:tabs>
        <w:spacing w:before="162" w:line="206" w:lineRule="auto"/>
        <w:ind w:right="1759"/>
        <w:rPr>
          <w:sz w:val="20"/>
        </w:rPr>
      </w:pPr>
      <w:r>
        <w:rPr>
          <w:color w:val="231F20"/>
          <w:spacing w:val="-6"/>
          <w:sz w:val="20"/>
        </w:rPr>
        <w:t>We</w:t>
      </w:r>
      <w:r>
        <w:rPr>
          <w:color w:val="231F20"/>
          <w:spacing w:val="-11"/>
          <w:sz w:val="20"/>
        </w:rPr>
        <w:t xml:space="preserve"> </w:t>
      </w:r>
      <w:r>
        <w:rPr>
          <w:color w:val="231F20"/>
          <w:sz w:val="20"/>
        </w:rPr>
        <w:t>heard</w:t>
      </w:r>
      <w:r>
        <w:rPr>
          <w:color w:val="231F20"/>
          <w:spacing w:val="-11"/>
          <w:sz w:val="20"/>
        </w:rPr>
        <w:t xml:space="preserve"> </w:t>
      </w:r>
      <w:r>
        <w:rPr>
          <w:color w:val="231F20"/>
          <w:sz w:val="20"/>
        </w:rPr>
        <w:t>about</w:t>
      </w:r>
      <w:r>
        <w:rPr>
          <w:color w:val="231F20"/>
          <w:spacing w:val="-10"/>
          <w:sz w:val="20"/>
        </w:rPr>
        <w:t xml:space="preserve"> </w:t>
      </w:r>
      <w:r>
        <w:rPr>
          <w:color w:val="231F20"/>
          <w:sz w:val="20"/>
        </w:rPr>
        <w:t>gaps</w:t>
      </w:r>
      <w:r>
        <w:rPr>
          <w:color w:val="231F20"/>
          <w:spacing w:val="-11"/>
          <w:sz w:val="20"/>
        </w:rPr>
        <w:t xml:space="preserve"> </w:t>
      </w:r>
      <w:r>
        <w:rPr>
          <w:color w:val="231F20"/>
          <w:sz w:val="20"/>
        </w:rPr>
        <w:t>in</w:t>
      </w:r>
      <w:r>
        <w:rPr>
          <w:color w:val="231F20"/>
          <w:spacing w:val="-10"/>
          <w:sz w:val="20"/>
        </w:rPr>
        <w:t xml:space="preserve"> </w:t>
      </w:r>
      <w:r>
        <w:rPr>
          <w:color w:val="231F20"/>
          <w:sz w:val="20"/>
        </w:rPr>
        <w:t>knowledge</w:t>
      </w:r>
      <w:r>
        <w:rPr>
          <w:color w:val="231F20"/>
          <w:spacing w:val="-11"/>
          <w:sz w:val="20"/>
        </w:rPr>
        <w:t xml:space="preserve"> </w:t>
      </w:r>
      <w:r>
        <w:rPr>
          <w:color w:val="231F20"/>
          <w:sz w:val="20"/>
        </w:rPr>
        <w:t>about</w:t>
      </w:r>
      <w:r>
        <w:rPr>
          <w:color w:val="231F20"/>
          <w:spacing w:val="-10"/>
          <w:sz w:val="20"/>
        </w:rPr>
        <w:t xml:space="preserve"> </w:t>
      </w:r>
      <w:r>
        <w:rPr>
          <w:color w:val="231F20"/>
          <w:sz w:val="20"/>
        </w:rPr>
        <w:t>stalking</w:t>
      </w:r>
      <w:r>
        <w:rPr>
          <w:color w:val="231F20"/>
          <w:spacing w:val="-11"/>
          <w:sz w:val="20"/>
        </w:rPr>
        <w:t xml:space="preserve"> </w:t>
      </w:r>
      <w:r>
        <w:rPr>
          <w:color w:val="231F20"/>
          <w:sz w:val="20"/>
        </w:rPr>
        <w:t>in</w:t>
      </w:r>
      <w:r>
        <w:rPr>
          <w:color w:val="231F20"/>
          <w:spacing w:val="-10"/>
          <w:sz w:val="20"/>
        </w:rPr>
        <w:t xml:space="preserve"> </w:t>
      </w:r>
      <w:r>
        <w:rPr>
          <w:color w:val="231F20"/>
          <w:sz w:val="20"/>
        </w:rPr>
        <w:t>the</w:t>
      </w:r>
      <w:r>
        <w:rPr>
          <w:color w:val="231F20"/>
          <w:spacing w:val="-11"/>
          <w:sz w:val="20"/>
        </w:rPr>
        <w:t xml:space="preserve"> </w:t>
      </w:r>
      <w:r>
        <w:rPr>
          <w:color w:val="231F20"/>
          <w:sz w:val="20"/>
        </w:rPr>
        <w:t>criminal</w:t>
      </w:r>
      <w:r>
        <w:rPr>
          <w:color w:val="231F20"/>
          <w:spacing w:val="-10"/>
          <w:sz w:val="20"/>
        </w:rPr>
        <w:t xml:space="preserve"> </w:t>
      </w:r>
      <w:r>
        <w:rPr>
          <w:color w:val="231F20"/>
          <w:sz w:val="20"/>
        </w:rPr>
        <w:t>and</w:t>
      </w:r>
      <w:r>
        <w:rPr>
          <w:color w:val="231F20"/>
          <w:spacing w:val="-11"/>
          <w:sz w:val="20"/>
        </w:rPr>
        <w:t xml:space="preserve"> </w:t>
      </w:r>
      <w:r>
        <w:rPr>
          <w:color w:val="231F20"/>
          <w:sz w:val="20"/>
        </w:rPr>
        <w:t>civil</w:t>
      </w:r>
      <w:r>
        <w:rPr>
          <w:color w:val="231F20"/>
          <w:spacing w:val="-11"/>
          <w:sz w:val="20"/>
        </w:rPr>
        <w:t xml:space="preserve"> </w:t>
      </w:r>
      <w:r>
        <w:rPr>
          <w:color w:val="231F20"/>
          <w:sz w:val="20"/>
        </w:rPr>
        <w:t>justice systems, including</w:t>
      </w:r>
      <w:r>
        <w:rPr>
          <w:color w:val="231F20"/>
          <w:spacing w:val="-9"/>
          <w:sz w:val="20"/>
        </w:rPr>
        <w:t xml:space="preserve"> </w:t>
      </w:r>
      <w:r>
        <w:rPr>
          <w:color w:val="231F20"/>
          <w:sz w:val="20"/>
        </w:rPr>
        <w:t>amongst:</w:t>
      </w:r>
    </w:p>
    <w:p w14:paraId="65DB6C80" w14:textId="77777777" w:rsidR="00894070" w:rsidRDefault="009B7AFD">
      <w:pPr>
        <w:pStyle w:val="ListParagraph"/>
        <w:numPr>
          <w:ilvl w:val="2"/>
          <w:numId w:val="177"/>
        </w:numPr>
        <w:tabs>
          <w:tab w:val="left" w:pos="2141"/>
          <w:tab w:val="left" w:pos="2142"/>
        </w:tabs>
        <w:spacing w:before="90"/>
        <w:ind w:hanging="340"/>
        <w:rPr>
          <w:sz w:val="20"/>
        </w:rPr>
      </w:pPr>
      <w:r>
        <w:rPr>
          <w:color w:val="231F20"/>
          <w:sz w:val="20"/>
        </w:rPr>
        <w:t>police</w:t>
      </w:r>
    </w:p>
    <w:p w14:paraId="2DDE53A0"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prosecuting lawyers in criminal</w:t>
      </w:r>
      <w:r>
        <w:rPr>
          <w:color w:val="231F20"/>
          <w:spacing w:val="-18"/>
          <w:sz w:val="20"/>
        </w:rPr>
        <w:t xml:space="preserve"> </w:t>
      </w:r>
      <w:r>
        <w:rPr>
          <w:color w:val="231F20"/>
          <w:sz w:val="20"/>
        </w:rPr>
        <w:t>cases</w:t>
      </w:r>
    </w:p>
    <w:p w14:paraId="453AF4E5" w14:textId="77777777" w:rsidR="00894070" w:rsidRDefault="009B7AFD">
      <w:pPr>
        <w:pStyle w:val="ListParagraph"/>
        <w:numPr>
          <w:ilvl w:val="2"/>
          <w:numId w:val="177"/>
        </w:numPr>
        <w:tabs>
          <w:tab w:val="left" w:pos="2141"/>
          <w:tab w:val="left" w:pos="2142"/>
        </w:tabs>
        <w:spacing w:before="47"/>
        <w:ind w:hanging="340"/>
        <w:rPr>
          <w:sz w:val="11"/>
        </w:rPr>
      </w:pPr>
      <w:r>
        <w:rPr>
          <w:color w:val="231F20"/>
          <w:sz w:val="20"/>
        </w:rPr>
        <w:t>judicial</w:t>
      </w:r>
      <w:r>
        <w:rPr>
          <w:color w:val="231F20"/>
          <w:spacing w:val="-5"/>
          <w:sz w:val="20"/>
        </w:rPr>
        <w:t xml:space="preserve"> </w:t>
      </w:r>
      <w:r>
        <w:rPr>
          <w:color w:val="231F20"/>
          <w:sz w:val="20"/>
        </w:rPr>
        <w:t>registrars</w:t>
      </w:r>
      <w:r>
        <w:rPr>
          <w:color w:val="231F20"/>
          <w:position w:val="7"/>
          <w:sz w:val="11"/>
        </w:rPr>
        <w:t>83</w:t>
      </w:r>
    </w:p>
    <w:p w14:paraId="01D1D1E2"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court staff such as</w:t>
      </w:r>
      <w:r>
        <w:rPr>
          <w:color w:val="231F20"/>
          <w:spacing w:val="-18"/>
          <w:sz w:val="20"/>
        </w:rPr>
        <w:t xml:space="preserve"> </w:t>
      </w:r>
      <w:r>
        <w:rPr>
          <w:color w:val="231F20"/>
          <w:sz w:val="20"/>
        </w:rPr>
        <w:t>registrars</w:t>
      </w:r>
    </w:p>
    <w:p w14:paraId="696D72A9"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judicial officers such as magistrates or</w:t>
      </w:r>
      <w:r>
        <w:rPr>
          <w:color w:val="231F20"/>
          <w:spacing w:val="-29"/>
          <w:sz w:val="20"/>
        </w:rPr>
        <w:t xml:space="preserve"> </w:t>
      </w:r>
      <w:r>
        <w:rPr>
          <w:color w:val="231F20"/>
          <w:sz w:val="20"/>
        </w:rPr>
        <w:t>judges.</w:t>
      </w:r>
    </w:p>
    <w:p w14:paraId="26D4BA01" w14:textId="77777777" w:rsidR="00894070" w:rsidRDefault="009B7AFD">
      <w:pPr>
        <w:pStyle w:val="ListParagraph"/>
        <w:numPr>
          <w:ilvl w:val="1"/>
          <w:numId w:val="177"/>
        </w:numPr>
        <w:tabs>
          <w:tab w:val="left" w:pos="1801"/>
          <w:tab w:val="left" w:pos="1802"/>
        </w:tabs>
        <w:spacing w:before="80" w:line="206" w:lineRule="auto"/>
        <w:ind w:right="1352"/>
        <w:rPr>
          <w:sz w:val="20"/>
        </w:rPr>
      </w:pPr>
      <w:r>
        <w:rPr>
          <w:color w:val="231F20"/>
          <w:sz w:val="20"/>
        </w:rPr>
        <w:t xml:space="preserve">This is not surprising </w:t>
      </w:r>
      <w:r>
        <w:rPr>
          <w:color w:val="231F20"/>
          <w:spacing w:val="-3"/>
          <w:sz w:val="20"/>
        </w:rPr>
        <w:t xml:space="preserve">given </w:t>
      </w:r>
      <w:r>
        <w:rPr>
          <w:color w:val="231F20"/>
          <w:sz w:val="20"/>
        </w:rPr>
        <w:t xml:space="preserve">the limited data and </w:t>
      </w:r>
      <w:r>
        <w:rPr>
          <w:color w:val="231F20"/>
          <w:spacing w:val="-3"/>
          <w:sz w:val="20"/>
        </w:rPr>
        <w:t xml:space="preserve">research </w:t>
      </w:r>
      <w:r>
        <w:rPr>
          <w:color w:val="231F20"/>
          <w:sz w:val="20"/>
        </w:rPr>
        <w:t xml:space="preserve">on stalking (see </w:t>
      </w:r>
      <w:r>
        <w:rPr>
          <w:color w:val="231F20"/>
          <w:spacing w:val="-3"/>
          <w:sz w:val="20"/>
        </w:rPr>
        <w:t xml:space="preserve">Chapter </w:t>
      </w:r>
      <w:r>
        <w:rPr>
          <w:color w:val="231F20"/>
          <w:sz w:val="20"/>
        </w:rPr>
        <w:t>2) and</w:t>
      </w:r>
      <w:r>
        <w:rPr>
          <w:color w:val="231F20"/>
          <w:spacing w:val="-10"/>
          <w:sz w:val="20"/>
        </w:rPr>
        <w:t xml:space="preserve"> </w:t>
      </w:r>
      <w:r>
        <w:rPr>
          <w:color w:val="231F20"/>
          <w:sz w:val="20"/>
        </w:rPr>
        <w:t>the</w:t>
      </w:r>
      <w:r>
        <w:rPr>
          <w:color w:val="231F20"/>
          <w:spacing w:val="-9"/>
          <w:sz w:val="20"/>
        </w:rPr>
        <w:t xml:space="preserve"> </w:t>
      </w:r>
      <w:r>
        <w:rPr>
          <w:color w:val="231F20"/>
          <w:sz w:val="20"/>
        </w:rPr>
        <w:t>general</w:t>
      </w:r>
      <w:r>
        <w:rPr>
          <w:color w:val="231F20"/>
          <w:spacing w:val="-9"/>
          <w:sz w:val="20"/>
        </w:rPr>
        <w:t xml:space="preserve"> </w:t>
      </w:r>
      <w:r>
        <w:rPr>
          <w:color w:val="231F20"/>
          <w:sz w:val="20"/>
        </w:rPr>
        <w:t>community’s</w:t>
      </w:r>
      <w:r>
        <w:rPr>
          <w:color w:val="231F20"/>
          <w:spacing w:val="-10"/>
          <w:sz w:val="20"/>
        </w:rPr>
        <w:t xml:space="preserve"> </w:t>
      </w:r>
      <w:r>
        <w:rPr>
          <w:color w:val="231F20"/>
          <w:sz w:val="20"/>
        </w:rPr>
        <w:t>lack</w:t>
      </w:r>
      <w:r>
        <w:rPr>
          <w:color w:val="231F20"/>
          <w:spacing w:val="-9"/>
          <w:sz w:val="20"/>
        </w:rPr>
        <w:t xml:space="preserve"> </w:t>
      </w:r>
      <w:r>
        <w:rPr>
          <w:color w:val="231F20"/>
          <w:sz w:val="20"/>
        </w:rPr>
        <w:t>of</w:t>
      </w:r>
      <w:r>
        <w:rPr>
          <w:color w:val="231F20"/>
          <w:spacing w:val="-9"/>
          <w:sz w:val="20"/>
        </w:rPr>
        <w:t xml:space="preserve"> </w:t>
      </w:r>
      <w:r>
        <w:rPr>
          <w:color w:val="231F20"/>
          <w:sz w:val="20"/>
        </w:rPr>
        <w:t>knowledge</w:t>
      </w:r>
      <w:r>
        <w:rPr>
          <w:color w:val="231F20"/>
          <w:spacing w:val="-10"/>
          <w:sz w:val="20"/>
        </w:rPr>
        <w:t xml:space="preserve"> </w:t>
      </w:r>
      <w:r>
        <w:rPr>
          <w:color w:val="231F20"/>
          <w:sz w:val="20"/>
        </w:rPr>
        <w:t>about</w:t>
      </w:r>
      <w:r>
        <w:rPr>
          <w:color w:val="231F20"/>
          <w:spacing w:val="-9"/>
          <w:sz w:val="20"/>
        </w:rPr>
        <w:t xml:space="preserve"> </w:t>
      </w:r>
      <w:r>
        <w:rPr>
          <w:color w:val="231F20"/>
          <w:sz w:val="20"/>
        </w:rPr>
        <w:t>it.</w:t>
      </w:r>
      <w:r>
        <w:rPr>
          <w:color w:val="231F20"/>
          <w:spacing w:val="-9"/>
          <w:sz w:val="20"/>
        </w:rPr>
        <w:t xml:space="preserve"> </w:t>
      </w:r>
      <w:r>
        <w:rPr>
          <w:color w:val="231F20"/>
          <w:sz w:val="20"/>
        </w:rPr>
        <w:t>Also,</w:t>
      </w:r>
      <w:r>
        <w:rPr>
          <w:color w:val="231F20"/>
          <w:spacing w:val="-10"/>
          <w:sz w:val="20"/>
        </w:rPr>
        <w:t xml:space="preserve"> </w:t>
      </w:r>
      <w:r>
        <w:rPr>
          <w:color w:val="231F20"/>
          <w:sz w:val="20"/>
        </w:rPr>
        <w:t>because</w:t>
      </w:r>
      <w:r>
        <w:rPr>
          <w:color w:val="231F20"/>
          <w:spacing w:val="-9"/>
          <w:sz w:val="20"/>
        </w:rPr>
        <w:t xml:space="preserve"> </w:t>
      </w:r>
      <w:r>
        <w:rPr>
          <w:color w:val="231F20"/>
          <w:sz w:val="20"/>
        </w:rPr>
        <w:t>stalking</w:t>
      </w:r>
      <w:r>
        <w:rPr>
          <w:color w:val="231F20"/>
          <w:spacing w:val="-9"/>
          <w:sz w:val="20"/>
        </w:rPr>
        <w:t xml:space="preserve"> </w:t>
      </w:r>
      <w:r>
        <w:rPr>
          <w:color w:val="231F20"/>
          <w:spacing w:val="-3"/>
          <w:sz w:val="20"/>
        </w:rPr>
        <w:t xml:space="preserve">may </w:t>
      </w:r>
      <w:r>
        <w:rPr>
          <w:color w:val="231F20"/>
          <w:spacing w:val="-5"/>
          <w:sz w:val="20"/>
        </w:rPr>
        <w:t>involve</w:t>
      </w:r>
      <w:r>
        <w:rPr>
          <w:color w:val="231F20"/>
          <w:spacing w:val="-8"/>
          <w:sz w:val="20"/>
        </w:rPr>
        <w:t xml:space="preserve"> </w:t>
      </w:r>
      <w:r>
        <w:rPr>
          <w:color w:val="231F20"/>
          <w:sz w:val="20"/>
        </w:rPr>
        <w:t>acts</w:t>
      </w:r>
      <w:r>
        <w:rPr>
          <w:color w:val="231F20"/>
          <w:spacing w:val="-8"/>
          <w:sz w:val="20"/>
        </w:rPr>
        <w:t xml:space="preserve"> </w:t>
      </w:r>
      <w:r>
        <w:rPr>
          <w:color w:val="231F20"/>
          <w:sz w:val="20"/>
        </w:rPr>
        <w:t>that</w:t>
      </w:r>
      <w:r>
        <w:rPr>
          <w:color w:val="231F20"/>
          <w:spacing w:val="-8"/>
          <w:sz w:val="20"/>
        </w:rPr>
        <w:t xml:space="preserve"> </w:t>
      </w:r>
      <w:r>
        <w:rPr>
          <w:color w:val="231F20"/>
          <w:spacing w:val="-3"/>
          <w:sz w:val="20"/>
        </w:rPr>
        <w:t>would</w:t>
      </w:r>
      <w:r>
        <w:rPr>
          <w:color w:val="231F20"/>
          <w:spacing w:val="-8"/>
          <w:sz w:val="20"/>
        </w:rPr>
        <w:t xml:space="preserve"> </w:t>
      </w:r>
      <w:r>
        <w:rPr>
          <w:color w:val="231F20"/>
          <w:sz w:val="20"/>
        </w:rPr>
        <w:t>be</w:t>
      </w:r>
      <w:r>
        <w:rPr>
          <w:color w:val="231F20"/>
          <w:spacing w:val="-8"/>
          <w:sz w:val="20"/>
        </w:rPr>
        <w:t xml:space="preserve"> </w:t>
      </w:r>
      <w:r>
        <w:rPr>
          <w:color w:val="231F20"/>
          <w:sz w:val="20"/>
        </w:rPr>
        <w:t>legal</w:t>
      </w:r>
      <w:r>
        <w:rPr>
          <w:color w:val="231F20"/>
          <w:spacing w:val="-8"/>
          <w:sz w:val="20"/>
        </w:rPr>
        <w:t xml:space="preserve"> </w:t>
      </w:r>
      <w:r>
        <w:rPr>
          <w:color w:val="231F20"/>
          <w:sz w:val="20"/>
        </w:rPr>
        <w:t>in</w:t>
      </w:r>
      <w:r>
        <w:rPr>
          <w:color w:val="231F20"/>
          <w:spacing w:val="-8"/>
          <w:sz w:val="20"/>
        </w:rPr>
        <w:t xml:space="preserve"> </w:t>
      </w:r>
      <w:r>
        <w:rPr>
          <w:color w:val="231F20"/>
          <w:sz w:val="20"/>
        </w:rPr>
        <w:t>other</w:t>
      </w:r>
      <w:r>
        <w:rPr>
          <w:color w:val="231F20"/>
          <w:spacing w:val="-8"/>
          <w:sz w:val="20"/>
        </w:rPr>
        <w:t xml:space="preserve"> </w:t>
      </w:r>
      <w:r>
        <w:rPr>
          <w:color w:val="231F20"/>
          <w:sz w:val="20"/>
        </w:rPr>
        <w:t>contexts,</w:t>
      </w:r>
      <w:r>
        <w:rPr>
          <w:color w:val="231F20"/>
          <w:spacing w:val="-8"/>
          <w:sz w:val="20"/>
        </w:rPr>
        <w:t xml:space="preserve"> </w:t>
      </w:r>
      <w:r>
        <w:rPr>
          <w:color w:val="231F20"/>
          <w:sz w:val="20"/>
        </w:rPr>
        <w:t>it</w:t>
      </w:r>
      <w:r>
        <w:rPr>
          <w:color w:val="231F20"/>
          <w:spacing w:val="-8"/>
          <w:sz w:val="20"/>
        </w:rPr>
        <w:t xml:space="preserve"> </w:t>
      </w:r>
      <w:r>
        <w:rPr>
          <w:color w:val="231F20"/>
          <w:sz w:val="20"/>
        </w:rPr>
        <w:t>can</w:t>
      </w:r>
      <w:r>
        <w:rPr>
          <w:color w:val="231F20"/>
          <w:spacing w:val="-7"/>
          <w:sz w:val="20"/>
        </w:rPr>
        <w:t xml:space="preserve"> </w:t>
      </w:r>
      <w:r>
        <w:rPr>
          <w:color w:val="231F20"/>
          <w:sz w:val="20"/>
        </w:rPr>
        <w:t>be</w:t>
      </w:r>
      <w:r>
        <w:rPr>
          <w:color w:val="231F20"/>
          <w:spacing w:val="-8"/>
          <w:sz w:val="20"/>
        </w:rPr>
        <w:t xml:space="preserve"> </w:t>
      </w:r>
      <w:r>
        <w:rPr>
          <w:color w:val="231F20"/>
          <w:sz w:val="20"/>
        </w:rPr>
        <w:t>hard</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people</w:t>
      </w:r>
      <w:r>
        <w:rPr>
          <w:color w:val="231F20"/>
          <w:spacing w:val="-8"/>
          <w:sz w:val="20"/>
        </w:rPr>
        <w:t xml:space="preserve"> </w:t>
      </w:r>
      <w:r>
        <w:rPr>
          <w:color w:val="231F20"/>
          <w:sz w:val="20"/>
        </w:rPr>
        <w:t>working</w:t>
      </w:r>
      <w:r>
        <w:rPr>
          <w:color w:val="231F20"/>
          <w:spacing w:val="-8"/>
          <w:sz w:val="20"/>
        </w:rPr>
        <w:t xml:space="preserve"> </w:t>
      </w:r>
      <w:r>
        <w:rPr>
          <w:color w:val="231F20"/>
          <w:sz w:val="20"/>
        </w:rPr>
        <w:t>in the</w:t>
      </w:r>
      <w:r>
        <w:rPr>
          <w:color w:val="231F20"/>
          <w:spacing w:val="-6"/>
          <w:sz w:val="20"/>
        </w:rPr>
        <w:t xml:space="preserve"> </w:t>
      </w:r>
      <w:r>
        <w:rPr>
          <w:color w:val="231F20"/>
          <w:sz w:val="20"/>
        </w:rPr>
        <w:t>justice</w:t>
      </w:r>
      <w:r>
        <w:rPr>
          <w:color w:val="231F20"/>
          <w:spacing w:val="-5"/>
          <w:sz w:val="20"/>
        </w:rPr>
        <w:t xml:space="preserve"> </w:t>
      </w:r>
      <w:r>
        <w:rPr>
          <w:color w:val="231F20"/>
          <w:spacing w:val="-2"/>
          <w:sz w:val="20"/>
        </w:rPr>
        <w:t>system</w:t>
      </w:r>
      <w:r>
        <w:rPr>
          <w:color w:val="231F20"/>
          <w:spacing w:val="-5"/>
          <w:sz w:val="20"/>
        </w:rPr>
        <w:t xml:space="preserve"> </w:t>
      </w:r>
      <w:r>
        <w:rPr>
          <w:color w:val="231F20"/>
          <w:sz w:val="20"/>
        </w:rPr>
        <w:t>to</w:t>
      </w:r>
      <w:r>
        <w:rPr>
          <w:color w:val="231F20"/>
          <w:spacing w:val="-6"/>
          <w:sz w:val="20"/>
        </w:rPr>
        <w:t xml:space="preserve"> </w:t>
      </w:r>
      <w:r>
        <w:rPr>
          <w:color w:val="231F20"/>
          <w:sz w:val="20"/>
        </w:rPr>
        <w:t>identify</w:t>
      </w:r>
      <w:r>
        <w:rPr>
          <w:color w:val="231F20"/>
          <w:spacing w:val="-5"/>
          <w:sz w:val="20"/>
        </w:rPr>
        <w:t xml:space="preserve"> </w:t>
      </w:r>
      <w:r>
        <w:rPr>
          <w:color w:val="231F20"/>
          <w:sz w:val="20"/>
        </w:rPr>
        <w:t>it</w:t>
      </w:r>
      <w:r>
        <w:rPr>
          <w:color w:val="231F20"/>
          <w:spacing w:val="-5"/>
          <w:sz w:val="20"/>
        </w:rPr>
        <w:t xml:space="preserve"> </w:t>
      </w:r>
      <w:r>
        <w:rPr>
          <w:color w:val="231F20"/>
          <w:sz w:val="20"/>
        </w:rPr>
        <w:t>and</w:t>
      </w:r>
      <w:r>
        <w:rPr>
          <w:color w:val="231F20"/>
          <w:spacing w:val="-6"/>
          <w:sz w:val="20"/>
        </w:rPr>
        <w:t xml:space="preserve"> </w:t>
      </w:r>
      <w:r>
        <w:rPr>
          <w:color w:val="231F20"/>
          <w:spacing w:val="-3"/>
          <w:sz w:val="20"/>
        </w:rPr>
        <w:t>know</w:t>
      </w:r>
      <w:r>
        <w:rPr>
          <w:color w:val="231F20"/>
          <w:spacing w:val="-5"/>
          <w:sz w:val="20"/>
        </w:rPr>
        <w:t xml:space="preserve"> </w:t>
      </w:r>
      <w:r>
        <w:rPr>
          <w:color w:val="231F20"/>
          <w:spacing w:val="-3"/>
          <w:sz w:val="20"/>
        </w:rPr>
        <w:t>how</w:t>
      </w:r>
      <w:r>
        <w:rPr>
          <w:color w:val="231F20"/>
          <w:spacing w:val="-5"/>
          <w:sz w:val="20"/>
        </w:rPr>
        <w:t xml:space="preserve"> </w:t>
      </w:r>
      <w:r>
        <w:rPr>
          <w:color w:val="231F20"/>
          <w:sz w:val="20"/>
        </w:rPr>
        <w:t>to</w:t>
      </w:r>
      <w:r>
        <w:rPr>
          <w:color w:val="231F20"/>
          <w:spacing w:val="-6"/>
          <w:sz w:val="20"/>
        </w:rPr>
        <w:t xml:space="preserve"> </w:t>
      </w:r>
      <w:r>
        <w:rPr>
          <w:color w:val="231F20"/>
          <w:sz w:val="20"/>
        </w:rPr>
        <w:t>respond</w:t>
      </w:r>
      <w:r>
        <w:rPr>
          <w:color w:val="231F20"/>
          <w:spacing w:val="-5"/>
          <w:sz w:val="20"/>
        </w:rPr>
        <w:t xml:space="preserve"> </w:t>
      </w:r>
      <w:r>
        <w:rPr>
          <w:color w:val="231F20"/>
          <w:sz w:val="20"/>
        </w:rPr>
        <w:t>(see</w:t>
      </w:r>
      <w:r>
        <w:rPr>
          <w:color w:val="231F20"/>
          <w:spacing w:val="-5"/>
          <w:sz w:val="20"/>
        </w:rPr>
        <w:t xml:space="preserve"> </w:t>
      </w:r>
      <w:r>
        <w:rPr>
          <w:color w:val="231F20"/>
          <w:spacing w:val="-3"/>
          <w:sz w:val="20"/>
        </w:rPr>
        <w:t>Chapters</w:t>
      </w:r>
      <w:r>
        <w:rPr>
          <w:color w:val="231F20"/>
          <w:spacing w:val="-6"/>
          <w:sz w:val="20"/>
        </w:rPr>
        <w:t xml:space="preserve"> </w:t>
      </w:r>
      <w:r>
        <w:rPr>
          <w:color w:val="231F20"/>
          <w:sz w:val="20"/>
        </w:rPr>
        <w:t>1</w:t>
      </w:r>
      <w:r>
        <w:rPr>
          <w:color w:val="231F20"/>
          <w:spacing w:val="-5"/>
          <w:sz w:val="20"/>
        </w:rPr>
        <w:t xml:space="preserve"> </w:t>
      </w:r>
      <w:r>
        <w:rPr>
          <w:color w:val="231F20"/>
          <w:sz w:val="20"/>
        </w:rPr>
        <w:t>and</w:t>
      </w:r>
      <w:r>
        <w:rPr>
          <w:color w:val="231F20"/>
          <w:spacing w:val="-5"/>
          <w:sz w:val="20"/>
        </w:rPr>
        <w:t xml:space="preserve"> </w:t>
      </w:r>
      <w:r>
        <w:rPr>
          <w:color w:val="231F20"/>
          <w:spacing w:val="-3"/>
          <w:sz w:val="20"/>
        </w:rPr>
        <w:t>2).</w:t>
      </w:r>
    </w:p>
    <w:p w14:paraId="49F08577" w14:textId="77777777" w:rsidR="00894070" w:rsidRDefault="009B7AFD">
      <w:pPr>
        <w:pStyle w:val="ListParagraph"/>
        <w:numPr>
          <w:ilvl w:val="1"/>
          <w:numId w:val="177"/>
        </w:numPr>
        <w:tabs>
          <w:tab w:val="left" w:pos="1801"/>
          <w:tab w:val="left" w:pos="1802"/>
        </w:tabs>
        <w:spacing w:before="125" w:line="206" w:lineRule="auto"/>
        <w:ind w:right="1278"/>
        <w:rPr>
          <w:sz w:val="20"/>
        </w:rPr>
      </w:pPr>
      <w:r>
        <w:rPr>
          <w:color w:val="231F20"/>
          <w:sz w:val="20"/>
        </w:rPr>
        <w:t xml:space="preserve">People who </w:t>
      </w:r>
      <w:r>
        <w:rPr>
          <w:color w:val="231F20"/>
          <w:spacing w:val="-4"/>
          <w:sz w:val="20"/>
        </w:rPr>
        <w:t xml:space="preserve">have </w:t>
      </w:r>
      <w:r>
        <w:rPr>
          <w:color w:val="231F20"/>
          <w:sz w:val="20"/>
        </w:rPr>
        <w:t xml:space="preserve">experienced stalking </w:t>
      </w:r>
      <w:r>
        <w:rPr>
          <w:color w:val="231F20"/>
          <w:spacing w:val="-4"/>
          <w:sz w:val="20"/>
        </w:rPr>
        <w:t xml:space="preserve">have </w:t>
      </w:r>
      <w:r>
        <w:rPr>
          <w:color w:val="231F20"/>
          <w:sz w:val="20"/>
        </w:rPr>
        <w:t xml:space="preserve">diverse needs. They </w:t>
      </w:r>
      <w:r>
        <w:rPr>
          <w:color w:val="231F20"/>
          <w:spacing w:val="-3"/>
          <w:sz w:val="20"/>
        </w:rPr>
        <w:t xml:space="preserve">may </w:t>
      </w:r>
      <w:r>
        <w:rPr>
          <w:color w:val="231F20"/>
          <w:spacing w:val="-4"/>
          <w:sz w:val="20"/>
        </w:rPr>
        <w:t xml:space="preserve">have </w:t>
      </w:r>
      <w:r>
        <w:rPr>
          <w:color w:val="231F20"/>
          <w:sz w:val="20"/>
        </w:rPr>
        <w:t>experienced</w:t>
      </w:r>
      <w:r>
        <w:rPr>
          <w:color w:val="231F20"/>
          <w:spacing w:val="-10"/>
          <w:sz w:val="20"/>
        </w:rPr>
        <w:t xml:space="preserve"> </w:t>
      </w:r>
      <w:r>
        <w:rPr>
          <w:color w:val="231F20"/>
          <w:sz w:val="20"/>
        </w:rPr>
        <w:t>significant</w:t>
      </w:r>
      <w:r>
        <w:rPr>
          <w:color w:val="231F20"/>
          <w:spacing w:val="-9"/>
          <w:sz w:val="20"/>
        </w:rPr>
        <w:t xml:space="preserve"> </w:t>
      </w:r>
      <w:r>
        <w:rPr>
          <w:color w:val="231F20"/>
          <w:sz w:val="20"/>
        </w:rPr>
        <w:t>trauma</w:t>
      </w:r>
      <w:r>
        <w:rPr>
          <w:color w:val="231F20"/>
          <w:spacing w:val="-9"/>
          <w:sz w:val="20"/>
        </w:rPr>
        <w:t xml:space="preserve"> </w:t>
      </w:r>
      <w:r>
        <w:rPr>
          <w:color w:val="231F20"/>
          <w:spacing w:val="-3"/>
          <w:sz w:val="20"/>
        </w:rPr>
        <w:t>from</w:t>
      </w:r>
      <w:r>
        <w:rPr>
          <w:color w:val="231F20"/>
          <w:spacing w:val="-10"/>
          <w:sz w:val="20"/>
        </w:rPr>
        <w:t xml:space="preserve"> </w:t>
      </w:r>
      <w:r>
        <w:rPr>
          <w:color w:val="231F20"/>
          <w:sz w:val="20"/>
        </w:rPr>
        <w:t>the</w:t>
      </w:r>
      <w:r>
        <w:rPr>
          <w:color w:val="231F20"/>
          <w:spacing w:val="-9"/>
          <w:sz w:val="20"/>
        </w:rPr>
        <w:t xml:space="preserve"> </w:t>
      </w:r>
      <w:r>
        <w:rPr>
          <w:color w:val="231F20"/>
          <w:sz w:val="20"/>
        </w:rPr>
        <w:t>stalking</w:t>
      </w:r>
      <w:r>
        <w:rPr>
          <w:color w:val="231F20"/>
          <w:spacing w:val="-9"/>
          <w:sz w:val="20"/>
        </w:rPr>
        <w:t xml:space="preserve"> </w:t>
      </w:r>
      <w:r>
        <w:rPr>
          <w:color w:val="231F20"/>
          <w:sz w:val="20"/>
        </w:rPr>
        <w:t>behaviour</w:t>
      </w:r>
      <w:r>
        <w:rPr>
          <w:color w:val="231F20"/>
          <w:spacing w:val="-10"/>
          <w:sz w:val="20"/>
        </w:rPr>
        <w:t xml:space="preserve"> </w:t>
      </w:r>
      <w:r>
        <w:rPr>
          <w:color w:val="231F20"/>
          <w:sz w:val="20"/>
        </w:rPr>
        <w:t>(see</w:t>
      </w:r>
      <w:r>
        <w:rPr>
          <w:color w:val="231F20"/>
          <w:spacing w:val="-9"/>
          <w:sz w:val="20"/>
        </w:rPr>
        <w:t xml:space="preserve"> </w:t>
      </w:r>
      <w:r>
        <w:rPr>
          <w:color w:val="231F20"/>
          <w:spacing w:val="-3"/>
          <w:sz w:val="20"/>
        </w:rPr>
        <w:t>Chapters</w:t>
      </w:r>
      <w:r>
        <w:rPr>
          <w:color w:val="231F20"/>
          <w:spacing w:val="-9"/>
          <w:sz w:val="20"/>
        </w:rPr>
        <w:t xml:space="preserve"> </w:t>
      </w:r>
      <w:r>
        <w:rPr>
          <w:color w:val="231F20"/>
          <w:sz w:val="20"/>
        </w:rPr>
        <w:t>1</w:t>
      </w:r>
      <w:r>
        <w:rPr>
          <w:color w:val="231F20"/>
          <w:spacing w:val="-9"/>
          <w:sz w:val="20"/>
        </w:rPr>
        <w:t xml:space="preserve"> </w:t>
      </w:r>
      <w:r>
        <w:rPr>
          <w:color w:val="231F20"/>
          <w:sz w:val="20"/>
        </w:rPr>
        <w:t>and</w:t>
      </w:r>
      <w:r>
        <w:rPr>
          <w:color w:val="231F20"/>
          <w:spacing w:val="-10"/>
          <w:sz w:val="20"/>
        </w:rPr>
        <w:t xml:space="preserve"> </w:t>
      </w:r>
      <w:r>
        <w:rPr>
          <w:color w:val="231F20"/>
          <w:spacing w:val="-3"/>
          <w:sz w:val="20"/>
        </w:rPr>
        <w:t>2).</w:t>
      </w:r>
      <w:r>
        <w:rPr>
          <w:color w:val="231F20"/>
          <w:spacing w:val="-9"/>
          <w:sz w:val="20"/>
        </w:rPr>
        <w:t xml:space="preserve"> </w:t>
      </w:r>
      <w:r>
        <w:rPr>
          <w:color w:val="231F20"/>
          <w:sz w:val="20"/>
        </w:rPr>
        <w:t>The response</w:t>
      </w:r>
      <w:r>
        <w:rPr>
          <w:color w:val="231F20"/>
          <w:spacing w:val="-8"/>
          <w:sz w:val="20"/>
        </w:rPr>
        <w:t xml:space="preserve"> </w:t>
      </w:r>
      <w:r>
        <w:rPr>
          <w:color w:val="231F20"/>
          <w:sz w:val="20"/>
        </w:rPr>
        <w:t>of</w:t>
      </w:r>
      <w:r>
        <w:rPr>
          <w:color w:val="231F20"/>
          <w:spacing w:val="-8"/>
          <w:sz w:val="20"/>
        </w:rPr>
        <w:t xml:space="preserve"> </w:t>
      </w:r>
      <w:r>
        <w:rPr>
          <w:color w:val="231F20"/>
          <w:sz w:val="20"/>
        </w:rPr>
        <w:t>people</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justice</w:t>
      </w:r>
      <w:r>
        <w:rPr>
          <w:color w:val="231F20"/>
          <w:spacing w:val="-8"/>
          <w:sz w:val="20"/>
        </w:rPr>
        <w:t xml:space="preserve"> </w:t>
      </w:r>
      <w:r>
        <w:rPr>
          <w:color w:val="231F20"/>
          <w:spacing w:val="-2"/>
          <w:sz w:val="20"/>
        </w:rPr>
        <w:t>system</w:t>
      </w:r>
      <w:r>
        <w:rPr>
          <w:color w:val="231F20"/>
          <w:spacing w:val="-7"/>
          <w:sz w:val="20"/>
        </w:rPr>
        <w:t xml:space="preserve"> </w:t>
      </w:r>
      <w:r>
        <w:rPr>
          <w:color w:val="231F20"/>
          <w:sz w:val="20"/>
        </w:rPr>
        <w:t>can</w:t>
      </w:r>
      <w:r>
        <w:rPr>
          <w:color w:val="231F20"/>
          <w:spacing w:val="-8"/>
          <w:sz w:val="20"/>
        </w:rPr>
        <w:t xml:space="preserve"> </w:t>
      </w:r>
      <w:r>
        <w:rPr>
          <w:color w:val="231F20"/>
          <w:sz w:val="20"/>
        </w:rPr>
        <w:t>sometimes</w:t>
      </w:r>
      <w:r>
        <w:rPr>
          <w:color w:val="231F20"/>
          <w:spacing w:val="-8"/>
          <w:sz w:val="20"/>
        </w:rPr>
        <w:t xml:space="preserve"> </w:t>
      </w:r>
      <w:r>
        <w:rPr>
          <w:color w:val="231F20"/>
          <w:sz w:val="20"/>
        </w:rPr>
        <w:t>ignore</w:t>
      </w:r>
      <w:r>
        <w:rPr>
          <w:color w:val="231F20"/>
          <w:spacing w:val="-8"/>
          <w:sz w:val="20"/>
        </w:rPr>
        <w:t xml:space="preserve"> </w:t>
      </w:r>
      <w:r>
        <w:rPr>
          <w:color w:val="231F20"/>
          <w:sz w:val="20"/>
        </w:rPr>
        <w:t>their</w:t>
      </w:r>
      <w:r>
        <w:rPr>
          <w:color w:val="231F20"/>
          <w:spacing w:val="-8"/>
          <w:sz w:val="20"/>
        </w:rPr>
        <w:t xml:space="preserve"> </w:t>
      </w:r>
      <w:r>
        <w:rPr>
          <w:color w:val="231F20"/>
          <w:sz w:val="20"/>
        </w:rPr>
        <w:t>experience.</w:t>
      </w:r>
    </w:p>
    <w:p w14:paraId="2B3CFC8D" w14:textId="77777777" w:rsidR="00894070" w:rsidRDefault="009B7AFD">
      <w:pPr>
        <w:pStyle w:val="ListParagraph"/>
        <w:numPr>
          <w:ilvl w:val="1"/>
          <w:numId w:val="177"/>
        </w:numPr>
        <w:tabs>
          <w:tab w:val="left" w:pos="1801"/>
          <w:tab w:val="left" w:pos="1802"/>
        </w:tabs>
        <w:spacing w:before="123" w:line="206" w:lineRule="auto"/>
        <w:ind w:right="1301"/>
        <w:rPr>
          <w:sz w:val="11"/>
        </w:rPr>
      </w:pPr>
      <w:r>
        <w:rPr>
          <w:color w:val="231F20"/>
          <w:spacing w:val="-6"/>
          <w:sz w:val="20"/>
        </w:rPr>
        <w:t>We</w:t>
      </w:r>
      <w:r>
        <w:rPr>
          <w:color w:val="231F20"/>
          <w:spacing w:val="-10"/>
          <w:sz w:val="20"/>
        </w:rPr>
        <w:t xml:space="preserve"> </w:t>
      </w:r>
      <w:r>
        <w:rPr>
          <w:color w:val="231F20"/>
          <w:sz w:val="20"/>
        </w:rPr>
        <w:t>recommend</w:t>
      </w:r>
      <w:r>
        <w:rPr>
          <w:color w:val="231F20"/>
          <w:spacing w:val="-10"/>
          <w:sz w:val="20"/>
        </w:rPr>
        <w:t xml:space="preserve"> </w:t>
      </w:r>
      <w:r>
        <w:rPr>
          <w:color w:val="231F20"/>
          <w:spacing w:val="-3"/>
          <w:sz w:val="20"/>
        </w:rPr>
        <w:t>providing</w:t>
      </w:r>
      <w:r>
        <w:rPr>
          <w:color w:val="231F20"/>
          <w:spacing w:val="-10"/>
          <w:sz w:val="20"/>
        </w:rPr>
        <w:t xml:space="preserve"> </w:t>
      </w:r>
      <w:r>
        <w:rPr>
          <w:color w:val="231F20"/>
          <w:sz w:val="20"/>
        </w:rPr>
        <w:t>education</w:t>
      </w:r>
      <w:r>
        <w:rPr>
          <w:color w:val="231F20"/>
          <w:spacing w:val="-9"/>
          <w:sz w:val="20"/>
        </w:rPr>
        <w:t xml:space="preserve"> </w:t>
      </w:r>
      <w:r>
        <w:rPr>
          <w:color w:val="231F20"/>
          <w:sz w:val="20"/>
        </w:rPr>
        <w:t>and</w:t>
      </w:r>
      <w:r>
        <w:rPr>
          <w:color w:val="231F20"/>
          <w:spacing w:val="-10"/>
          <w:sz w:val="20"/>
        </w:rPr>
        <w:t xml:space="preserve"> </w:t>
      </w:r>
      <w:r>
        <w:rPr>
          <w:color w:val="231F20"/>
          <w:sz w:val="20"/>
        </w:rPr>
        <w:t>training</w:t>
      </w:r>
      <w:r>
        <w:rPr>
          <w:color w:val="231F20"/>
          <w:spacing w:val="-10"/>
          <w:sz w:val="20"/>
        </w:rPr>
        <w:t xml:space="preserve"> </w:t>
      </w:r>
      <w:r>
        <w:rPr>
          <w:color w:val="231F20"/>
          <w:sz w:val="20"/>
        </w:rPr>
        <w:t>about</w:t>
      </w:r>
      <w:r>
        <w:rPr>
          <w:color w:val="231F20"/>
          <w:spacing w:val="-10"/>
          <w:sz w:val="20"/>
        </w:rPr>
        <w:t xml:space="preserve"> </w:t>
      </w:r>
      <w:r>
        <w:rPr>
          <w:color w:val="231F20"/>
          <w:sz w:val="20"/>
        </w:rPr>
        <w:t>stalking</w:t>
      </w:r>
      <w:r>
        <w:rPr>
          <w:color w:val="231F20"/>
          <w:spacing w:val="-9"/>
          <w:sz w:val="20"/>
        </w:rPr>
        <w:t xml:space="preserve"> </w:t>
      </w:r>
      <w:r>
        <w:rPr>
          <w:color w:val="231F20"/>
          <w:spacing w:val="-3"/>
          <w:sz w:val="20"/>
        </w:rPr>
        <w:t>for</w:t>
      </w:r>
      <w:r>
        <w:rPr>
          <w:color w:val="231F20"/>
          <w:spacing w:val="-10"/>
          <w:sz w:val="20"/>
        </w:rPr>
        <w:t xml:space="preserve"> </w:t>
      </w:r>
      <w:r>
        <w:rPr>
          <w:color w:val="231F20"/>
          <w:sz w:val="20"/>
        </w:rPr>
        <w:t>people</w:t>
      </w:r>
      <w:r>
        <w:rPr>
          <w:color w:val="231F20"/>
          <w:spacing w:val="-10"/>
          <w:sz w:val="20"/>
        </w:rPr>
        <w:t xml:space="preserve"> </w:t>
      </w:r>
      <w:r>
        <w:rPr>
          <w:color w:val="231F20"/>
          <w:sz w:val="20"/>
        </w:rPr>
        <w:t>working</w:t>
      </w:r>
      <w:r>
        <w:rPr>
          <w:color w:val="231F20"/>
          <w:spacing w:val="-9"/>
          <w:sz w:val="20"/>
        </w:rPr>
        <w:t xml:space="preserve"> </w:t>
      </w:r>
      <w:r>
        <w:rPr>
          <w:color w:val="231F20"/>
          <w:sz w:val="20"/>
        </w:rPr>
        <w:t>in the</w:t>
      </w:r>
      <w:r>
        <w:rPr>
          <w:color w:val="231F20"/>
          <w:spacing w:val="-10"/>
          <w:sz w:val="20"/>
        </w:rPr>
        <w:t xml:space="preserve"> </w:t>
      </w:r>
      <w:r>
        <w:rPr>
          <w:color w:val="231F20"/>
          <w:sz w:val="20"/>
        </w:rPr>
        <w:t>justice</w:t>
      </w:r>
      <w:r>
        <w:rPr>
          <w:color w:val="231F20"/>
          <w:spacing w:val="-10"/>
          <w:sz w:val="20"/>
        </w:rPr>
        <w:t xml:space="preserve"> </w:t>
      </w:r>
      <w:r>
        <w:rPr>
          <w:color w:val="231F20"/>
          <w:sz w:val="20"/>
        </w:rPr>
        <w:t>system.</w:t>
      </w:r>
      <w:r>
        <w:rPr>
          <w:color w:val="231F20"/>
          <w:spacing w:val="-10"/>
          <w:sz w:val="20"/>
        </w:rPr>
        <w:t xml:space="preserve"> </w:t>
      </w:r>
      <w:r>
        <w:rPr>
          <w:color w:val="231F20"/>
          <w:sz w:val="20"/>
        </w:rPr>
        <w:t>This</w:t>
      </w:r>
      <w:r>
        <w:rPr>
          <w:color w:val="231F20"/>
          <w:spacing w:val="-9"/>
          <w:sz w:val="20"/>
        </w:rPr>
        <w:t xml:space="preserve"> </w:t>
      </w:r>
      <w:r>
        <w:rPr>
          <w:color w:val="231F20"/>
          <w:sz w:val="20"/>
        </w:rPr>
        <w:t>is</w:t>
      </w:r>
      <w:r>
        <w:rPr>
          <w:color w:val="231F20"/>
          <w:spacing w:val="-10"/>
          <w:sz w:val="20"/>
        </w:rPr>
        <w:t xml:space="preserve"> </w:t>
      </w:r>
      <w:r>
        <w:rPr>
          <w:color w:val="231F20"/>
          <w:sz w:val="20"/>
        </w:rPr>
        <w:t>critical</w:t>
      </w:r>
      <w:r>
        <w:rPr>
          <w:color w:val="231F20"/>
          <w:spacing w:val="-10"/>
          <w:sz w:val="20"/>
        </w:rPr>
        <w:t xml:space="preserve"> </w:t>
      </w:r>
      <w:r>
        <w:rPr>
          <w:color w:val="231F20"/>
          <w:sz w:val="20"/>
        </w:rPr>
        <w:t>to</w:t>
      </w:r>
      <w:r>
        <w:rPr>
          <w:color w:val="231F20"/>
          <w:spacing w:val="-9"/>
          <w:sz w:val="20"/>
        </w:rPr>
        <w:t xml:space="preserve"> </w:t>
      </w:r>
      <w:r>
        <w:rPr>
          <w:color w:val="231F20"/>
          <w:sz w:val="20"/>
        </w:rPr>
        <w:t>ensuring</w:t>
      </w:r>
      <w:r>
        <w:rPr>
          <w:color w:val="231F20"/>
          <w:spacing w:val="-10"/>
          <w:sz w:val="20"/>
        </w:rPr>
        <w:t xml:space="preserve"> </w:t>
      </w:r>
      <w:r>
        <w:rPr>
          <w:color w:val="231F20"/>
          <w:sz w:val="20"/>
        </w:rPr>
        <w:t>their</w:t>
      </w:r>
      <w:r>
        <w:rPr>
          <w:color w:val="231F20"/>
          <w:spacing w:val="-10"/>
          <w:sz w:val="20"/>
        </w:rPr>
        <w:t xml:space="preserve"> </w:t>
      </w:r>
      <w:r>
        <w:rPr>
          <w:color w:val="231F20"/>
          <w:sz w:val="20"/>
        </w:rPr>
        <w:t>response</w:t>
      </w:r>
      <w:r>
        <w:rPr>
          <w:color w:val="231F20"/>
          <w:spacing w:val="-10"/>
          <w:sz w:val="20"/>
        </w:rPr>
        <w:t xml:space="preserve"> </w:t>
      </w:r>
      <w:r>
        <w:rPr>
          <w:color w:val="231F20"/>
          <w:sz w:val="20"/>
        </w:rPr>
        <w:t>to</w:t>
      </w:r>
      <w:r>
        <w:rPr>
          <w:color w:val="231F20"/>
          <w:spacing w:val="-9"/>
          <w:sz w:val="20"/>
        </w:rPr>
        <w:t xml:space="preserve"> </w:t>
      </w:r>
      <w:r>
        <w:rPr>
          <w:color w:val="231F20"/>
          <w:sz w:val="20"/>
        </w:rPr>
        <w:t>stalking</w:t>
      </w:r>
      <w:r>
        <w:rPr>
          <w:color w:val="231F20"/>
          <w:spacing w:val="-10"/>
          <w:sz w:val="20"/>
        </w:rPr>
        <w:t xml:space="preserve"> </w:t>
      </w:r>
      <w:r>
        <w:rPr>
          <w:color w:val="231F20"/>
          <w:sz w:val="20"/>
        </w:rPr>
        <w:t>is</w:t>
      </w:r>
      <w:r>
        <w:rPr>
          <w:color w:val="231F20"/>
          <w:spacing w:val="-10"/>
          <w:sz w:val="20"/>
        </w:rPr>
        <w:t xml:space="preserve"> </w:t>
      </w:r>
      <w:r>
        <w:rPr>
          <w:color w:val="231F20"/>
          <w:sz w:val="20"/>
        </w:rPr>
        <w:t>effective.</w:t>
      </w:r>
      <w:r>
        <w:rPr>
          <w:color w:val="231F20"/>
          <w:position w:val="7"/>
          <w:sz w:val="11"/>
        </w:rPr>
        <w:t>84</w:t>
      </w:r>
    </w:p>
    <w:p w14:paraId="5DB16A4A" w14:textId="77777777" w:rsidR="00894070" w:rsidRDefault="009B7AFD">
      <w:pPr>
        <w:pStyle w:val="ListParagraph"/>
        <w:numPr>
          <w:ilvl w:val="1"/>
          <w:numId w:val="177"/>
        </w:numPr>
        <w:tabs>
          <w:tab w:val="left" w:pos="1801"/>
          <w:tab w:val="left" w:pos="1802"/>
        </w:tabs>
        <w:spacing w:before="91"/>
        <w:rPr>
          <w:sz w:val="20"/>
        </w:rPr>
      </w:pPr>
      <w:r>
        <w:rPr>
          <w:color w:val="231F20"/>
          <w:sz w:val="20"/>
        </w:rPr>
        <w:t>Research</w:t>
      </w:r>
      <w:r>
        <w:rPr>
          <w:color w:val="231F20"/>
          <w:spacing w:val="-6"/>
          <w:sz w:val="20"/>
        </w:rPr>
        <w:t xml:space="preserve"> </w:t>
      </w:r>
      <w:r>
        <w:rPr>
          <w:color w:val="231F20"/>
          <w:sz w:val="20"/>
        </w:rPr>
        <w:t>suggests</w:t>
      </w:r>
      <w:r>
        <w:rPr>
          <w:color w:val="231F20"/>
          <w:spacing w:val="-5"/>
          <w:sz w:val="20"/>
        </w:rPr>
        <w:t xml:space="preserve"> </w:t>
      </w:r>
      <w:r>
        <w:rPr>
          <w:color w:val="231F20"/>
          <w:sz w:val="20"/>
        </w:rPr>
        <w:t>that</w:t>
      </w:r>
      <w:r>
        <w:rPr>
          <w:color w:val="231F20"/>
          <w:spacing w:val="-6"/>
          <w:sz w:val="20"/>
        </w:rPr>
        <w:t xml:space="preserve"> </w:t>
      </w:r>
      <w:r>
        <w:rPr>
          <w:color w:val="231F20"/>
          <w:sz w:val="20"/>
        </w:rPr>
        <w:t>education</w:t>
      </w:r>
      <w:r>
        <w:rPr>
          <w:color w:val="231F20"/>
          <w:spacing w:val="-5"/>
          <w:sz w:val="20"/>
        </w:rPr>
        <w:t xml:space="preserve"> </w:t>
      </w:r>
      <w:r>
        <w:rPr>
          <w:color w:val="231F20"/>
          <w:sz w:val="20"/>
        </w:rPr>
        <w:t>helps</w:t>
      </w:r>
      <w:r>
        <w:rPr>
          <w:color w:val="231F20"/>
          <w:spacing w:val="-5"/>
          <w:sz w:val="20"/>
        </w:rPr>
        <w:t xml:space="preserve"> </w:t>
      </w:r>
      <w:r>
        <w:rPr>
          <w:color w:val="231F20"/>
          <w:sz w:val="20"/>
        </w:rPr>
        <w:t>people</w:t>
      </w:r>
      <w:r>
        <w:rPr>
          <w:color w:val="231F20"/>
          <w:spacing w:val="-6"/>
          <w:sz w:val="20"/>
        </w:rPr>
        <w:t xml:space="preserve"> </w:t>
      </w:r>
      <w:r>
        <w:rPr>
          <w:color w:val="231F20"/>
          <w:sz w:val="20"/>
        </w:rPr>
        <w:t>working</w:t>
      </w:r>
      <w:r>
        <w:rPr>
          <w:color w:val="231F20"/>
          <w:spacing w:val="-5"/>
          <w:sz w:val="20"/>
        </w:rPr>
        <w:t xml:space="preserve"> </w:t>
      </w:r>
      <w:r>
        <w:rPr>
          <w:color w:val="231F20"/>
          <w:sz w:val="20"/>
        </w:rPr>
        <w:t>in</w:t>
      </w:r>
      <w:r>
        <w:rPr>
          <w:color w:val="231F20"/>
          <w:spacing w:val="-5"/>
          <w:sz w:val="20"/>
        </w:rPr>
        <w:t xml:space="preserve"> </w:t>
      </w:r>
      <w:r>
        <w:rPr>
          <w:color w:val="231F20"/>
          <w:sz w:val="20"/>
        </w:rPr>
        <w:t>the</w:t>
      </w:r>
      <w:r>
        <w:rPr>
          <w:color w:val="231F20"/>
          <w:spacing w:val="-6"/>
          <w:sz w:val="20"/>
        </w:rPr>
        <w:t xml:space="preserve"> </w:t>
      </w:r>
      <w:r>
        <w:rPr>
          <w:color w:val="231F20"/>
          <w:sz w:val="20"/>
        </w:rPr>
        <w:t>justice</w:t>
      </w:r>
      <w:r>
        <w:rPr>
          <w:color w:val="231F20"/>
          <w:spacing w:val="-5"/>
          <w:sz w:val="20"/>
        </w:rPr>
        <w:t xml:space="preserve"> </w:t>
      </w:r>
      <w:r>
        <w:rPr>
          <w:color w:val="231F20"/>
          <w:spacing w:val="-3"/>
          <w:sz w:val="20"/>
        </w:rPr>
        <w:t>system:</w:t>
      </w:r>
    </w:p>
    <w:p w14:paraId="7A477424"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understand</w:t>
      </w:r>
      <w:r>
        <w:rPr>
          <w:color w:val="231F20"/>
          <w:spacing w:val="-5"/>
          <w:sz w:val="20"/>
        </w:rPr>
        <w:t xml:space="preserve"> </w:t>
      </w:r>
      <w:r>
        <w:rPr>
          <w:color w:val="231F20"/>
          <w:sz w:val="20"/>
        </w:rPr>
        <w:t>stalking</w:t>
      </w:r>
    </w:p>
    <w:p w14:paraId="223F926D"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identify</w:t>
      </w:r>
      <w:r>
        <w:rPr>
          <w:color w:val="231F20"/>
          <w:spacing w:val="-5"/>
          <w:sz w:val="20"/>
        </w:rPr>
        <w:t xml:space="preserve"> </w:t>
      </w:r>
      <w:r>
        <w:rPr>
          <w:color w:val="231F20"/>
          <w:sz w:val="20"/>
        </w:rPr>
        <w:t>it</w:t>
      </w:r>
    </w:p>
    <w:p w14:paraId="7BE1111F" w14:textId="77777777" w:rsidR="00894070" w:rsidRDefault="009B7AFD">
      <w:pPr>
        <w:pStyle w:val="ListParagraph"/>
        <w:numPr>
          <w:ilvl w:val="2"/>
          <w:numId w:val="177"/>
        </w:numPr>
        <w:tabs>
          <w:tab w:val="left" w:pos="2141"/>
          <w:tab w:val="left" w:pos="2142"/>
        </w:tabs>
        <w:spacing w:before="48"/>
        <w:ind w:hanging="340"/>
        <w:rPr>
          <w:sz w:val="11"/>
        </w:rPr>
      </w:pPr>
      <w:r>
        <w:rPr>
          <w:color w:val="231F20"/>
          <w:spacing w:val="-3"/>
          <w:sz w:val="20"/>
        </w:rPr>
        <w:t xml:space="preserve">know </w:t>
      </w:r>
      <w:r>
        <w:rPr>
          <w:color w:val="231F20"/>
          <w:sz w:val="20"/>
        </w:rPr>
        <w:t xml:space="preserve">what legal options </w:t>
      </w:r>
      <w:r>
        <w:rPr>
          <w:color w:val="231F20"/>
          <w:spacing w:val="-3"/>
          <w:sz w:val="20"/>
        </w:rPr>
        <w:t xml:space="preserve">are </w:t>
      </w:r>
      <w:r>
        <w:rPr>
          <w:color w:val="231F20"/>
          <w:sz w:val="20"/>
        </w:rPr>
        <w:t xml:space="preserve">available </w:t>
      </w:r>
      <w:r>
        <w:rPr>
          <w:color w:val="231F20"/>
          <w:spacing w:val="-3"/>
          <w:sz w:val="20"/>
        </w:rPr>
        <w:t xml:space="preserve">for </w:t>
      </w:r>
      <w:r>
        <w:rPr>
          <w:color w:val="231F20"/>
          <w:sz w:val="20"/>
        </w:rPr>
        <w:t>victim</w:t>
      </w:r>
      <w:r>
        <w:rPr>
          <w:color w:val="231F20"/>
          <w:spacing w:val="-28"/>
          <w:sz w:val="20"/>
        </w:rPr>
        <w:t xml:space="preserve"> </w:t>
      </w:r>
      <w:r>
        <w:rPr>
          <w:color w:val="231F20"/>
          <w:sz w:val="20"/>
        </w:rPr>
        <w:t>survivors.</w:t>
      </w:r>
      <w:r>
        <w:rPr>
          <w:color w:val="231F20"/>
          <w:position w:val="7"/>
          <w:sz w:val="11"/>
        </w:rPr>
        <w:t>85</w:t>
      </w:r>
    </w:p>
    <w:p w14:paraId="045AD4F1" w14:textId="77777777" w:rsidR="00894070" w:rsidRDefault="009B7AFD">
      <w:pPr>
        <w:pStyle w:val="ListParagraph"/>
        <w:numPr>
          <w:ilvl w:val="1"/>
          <w:numId w:val="177"/>
        </w:numPr>
        <w:tabs>
          <w:tab w:val="left" w:pos="1801"/>
          <w:tab w:val="left" w:pos="1802"/>
        </w:tabs>
        <w:spacing w:before="47"/>
        <w:rPr>
          <w:sz w:val="20"/>
        </w:rPr>
      </w:pPr>
      <w:r>
        <w:rPr>
          <w:color w:val="231F20"/>
          <w:spacing w:val="-3"/>
          <w:sz w:val="20"/>
        </w:rPr>
        <w:t xml:space="preserve">Education may </w:t>
      </w:r>
      <w:r>
        <w:rPr>
          <w:color w:val="231F20"/>
          <w:spacing w:val="-4"/>
          <w:sz w:val="20"/>
        </w:rPr>
        <w:t xml:space="preserve">have </w:t>
      </w:r>
      <w:r>
        <w:rPr>
          <w:color w:val="231F20"/>
          <w:sz w:val="20"/>
        </w:rPr>
        <w:t>other benefits, such</w:t>
      </w:r>
      <w:r>
        <w:rPr>
          <w:color w:val="231F20"/>
          <w:spacing w:val="-15"/>
          <w:sz w:val="20"/>
        </w:rPr>
        <w:t xml:space="preserve"> </w:t>
      </w:r>
      <w:r>
        <w:rPr>
          <w:color w:val="231F20"/>
          <w:sz w:val="20"/>
        </w:rPr>
        <w:t>as:</w:t>
      </w:r>
    </w:p>
    <w:p w14:paraId="2BA7CCA3" w14:textId="77777777" w:rsidR="00894070" w:rsidRDefault="009B7AFD">
      <w:pPr>
        <w:pStyle w:val="ListParagraph"/>
        <w:numPr>
          <w:ilvl w:val="2"/>
          <w:numId w:val="177"/>
        </w:numPr>
        <w:tabs>
          <w:tab w:val="left" w:pos="2141"/>
          <w:tab w:val="left" w:pos="2142"/>
        </w:tabs>
        <w:spacing w:before="83"/>
        <w:ind w:hanging="340"/>
        <w:rPr>
          <w:sz w:val="20"/>
        </w:rPr>
      </w:pPr>
      <w:r>
        <w:rPr>
          <w:color w:val="231F20"/>
          <w:sz w:val="20"/>
        </w:rPr>
        <w:t>correcting myths about</w:t>
      </w:r>
      <w:r>
        <w:rPr>
          <w:color w:val="231F20"/>
          <w:spacing w:val="-13"/>
          <w:sz w:val="20"/>
        </w:rPr>
        <w:t xml:space="preserve"> </w:t>
      </w:r>
      <w:r>
        <w:rPr>
          <w:color w:val="231F20"/>
          <w:sz w:val="20"/>
        </w:rPr>
        <w:t>stalking</w:t>
      </w:r>
    </w:p>
    <w:p w14:paraId="5F624DB3"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 xml:space="preserve">ensuring the law is </w:t>
      </w:r>
      <w:r>
        <w:rPr>
          <w:color w:val="231F20"/>
          <w:spacing w:val="-3"/>
          <w:sz w:val="20"/>
        </w:rPr>
        <w:t xml:space="preserve">interpreted </w:t>
      </w:r>
      <w:r>
        <w:rPr>
          <w:color w:val="231F20"/>
          <w:sz w:val="20"/>
        </w:rPr>
        <w:t>and applied</w:t>
      </w:r>
      <w:r>
        <w:rPr>
          <w:color w:val="231F20"/>
          <w:spacing w:val="-27"/>
          <w:sz w:val="20"/>
        </w:rPr>
        <w:t xml:space="preserve"> </w:t>
      </w:r>
      <w:r>
        <w:rPr>
          <w:color w:val="231F20"/>
          <w:spacing w:val="-3"/>
          <w:sz w:val="20"/>
        </w:rPr>
        <w:t>well</w:t>
      </w:r>
    </w:p>
    <w:p w14:paraId="594BA69D"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meeting</w:t>
      </w:r>
      <w:r>
        <w:rPr>
          <w:color w:val="231F20"/>
          <w:spacing w:val="-5"/>
          <w:sz w:val="20"/>
        </w:rPr>
        <w:t xml:space="preserve"> </w:t>
      </w:r>
      <w:r>
        <w:rPr>
          <w:color w:val="231F20"/>
          <w:sz w:val="20"/>
        </w:rPr>
        <w:t>the</w:t>
      </w:r>
      <w:r>
        <w:rPr>
          <w:color w:val="231F20"/>
          <w:spacing w:val="-5"/>
          <w:sz w:val="20"/>
        </w:rPr>
        <w:t xml:space="preserve"> </w:t>
      </w:r>
      <w:r>
        <w:rPr>
          <w:color w:val="231F20"/>
          <w:sz w:val="20"/>
        </w:rPr>
        <w:t>justice</w:t>
      </w:r>
      <w:r>
        <w:rPr>
          <w:color w:val="231F20"/>
          <w:spacing w:val="-4"/>
          <w:sz w:val="20"/>
        </w:rPr>
        <w:t xml:space="preserve"> </w:t>
      </w:r>
      <w:r>
        <w:rPr>
          <w:color w:val="231F20"/>
          <w:sz w:val="20"/>
        </w:rPr>
        <w:t>needs</w:t>
      </w:r>
      <w:r>
        <w:rPr>
          <w:color w:val="231F20"/>
          <w:spacing w:val="-5"/>
          <w:sz w:val="20"/>
        </w:rPr>
        <w:t xml:space="preserve"> </w:t>
      </w:r>
      <w:r>
        <w:rPr>
          <w:color w:val="231F20"/>
          <w:sz w:val="20"/>
        </w:rPr>
        <w:t>of</w:t>
      </w:r>
      <w:r>
        <w:rPr>
          <w:color w:val="231F20"/>
          <w:spacing w:val="-4"/>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4"/>
          <w:sz w:val="20"/>
        </w:rPr>
        <w:t xml:space="preserve"> </w:t>
      </w:r>
      <w:r>
        <w:rPr>
          <w:color w:val="231F20"/>
          <w:sz w:val="20"/>
        </w:rPr>
        <w:t>(see</w:t>
      </w:r>
      <w:r>
        <w:rPr>
          <w:color w:val="231F20"/>
          <w:spacing w:val="-5"/>
          <w:sz w:val="20"/>
        </w:rPr>
        <w:t xml:space="preserve"> </w:t>
      </w:r>
      <w:r>
        <w:rPr>
          <w:color w:val="231F20"/>
          <w:spacing w:val="-3"/>
          <w:sz w:val="20"/>
        </w:rPr>
        <w:t>Chapter</w:t>
      </w:r>
      <w:r>
        <w:rPr>
          <w:color w:val="231F20"/>
          <w:spacing w:val="-4"/>
          <w:sz w:val="20"/>
        </w:rPr>
        <w:t xml:space="preserve"> </w:t>
      </w:r>
      <w:r>
        <w:rPr>
          <w:color w:val="231F20"/>
          <w:sz w:val="20"/>
        </w:rPr>
        <w:t>1)</w:t>
      </w:r>
    </w:p>
    <w:p w14:paraId="4643C607"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reducing</w:t>
      </w:r>
      <w:r>
        <w:rPr>
          <w:color w:val="231F20"/>
          <w:spacing w:val="-6"/>
          <w:sz w:val="20"/>
        </w:rPr>
        <w:t xml:space="preserve"> </w:t>
      </w:r>
      <w:r>
        <w:rPr>
          <w:color w:val="231F20"/>
          <w:sz w:val="20"/>
        </w:rPr>
        <w:t>the</w:t>
      </w:r>
      <w:r>
        <w:rPr>
          <w:color w:val="231F20"/>
          <w:spacing w:val="-5"/>
          <w:sz w:val="20"/>
        </w:rPr>
        <w:t xml:space="preserve"> </w:t>
      </w:r>
      <w:r>
        <w:rPr>
          <w:color w:val="231F20"/>
          <w:sz w:val="20"/>
        </w:rPr>
        <w:t>likelihood</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justice</w:t>
      </w:r>
      <w:r>
        <w:rPr>
          <w:color w:val="231F20"/>
          <w:spacing w:val="-5"/>
          <w:sz w:val="20"/>
        </w:rPr>
        <w:t xml:space="preserve"> </w:t>
      </w:r>
      <w:r>
        <w:rPr>
          <w:color w:val="231F20"/>
          <w:sz w:val="20"/>
        </w:rPr>
        <w:t>process</w:t>
      </w:r>
      <w:r>
        <w:rPr>
          <w:color w:val="231F20"/>
          <w:spacing w:val="-5"/>
          <w:sz w:val="20"/>
        </w:rPr>
        <w:t xml:space="preserve"> </w:t>
      </w:r>
      <w:r>
        <w:rPr>
          <w:color w:val="231F20"/>
          <w:sz w:val="20"/>
        </w:rPr>
        <w:t>being</w:t>
      </w:r>
      <w:r>
        <w:rPr>
          <w:color w:val="231F20"/>
          <w:spacing w:val="-5"/>
          <w:sz w:val="20"/>
        </w:rPr>
        <w:t xml:space="preserve"> </w:t>
      </w:r>
      <w:r>
        <w:rPr>
          <w:color w:val="231F20"/>
          <w:sz w:val="20"/>
        </w:rPr>
        <w:t>traumatic</w:t>
      </w:r>
    </w:p>
    <w:p w14:paraId="3110D116" w14:textId="77777777" w:rsidR="00894070" w:rsidRDefault="009B7AFD">
      <w:pPr>
        <w:pStyle w:val="ListParagraph"/>
        <w:numPr>
          <w:ilvl w:val="2"/>
          <w:numId w:val="177"/>
        </w:numPr>
        <w:tabs>
          <w:tab w:val="left" w:pos="2141"/>
          <w:tab w:val="left" w:pos="2142"/>
        </w:tabs>
        <w:spacing w:before="80" w:line="206" w:lineRule="auto"/>
        <w:ind w:right="1283" w:hanging="340"/>
        <w:rPr>
          <w:sz w:val="20"/>
        </w:rPr>
      </w:pPr>
      <w:r>
        <w:rPr>
          <w:color w:val="231F20"/>
          <w:sz w:val="20"/>
        </w:rPr>
        <w:t>making</w:t>
      </w:r>
      <w:r>
        <w:rPr>
          <w:color w:val="231F20"/>
          <w:spacing w:val="-10"/>
          <w:sz w:val="20"/>
        </w:rPr>
        <w:t xml:space="preserve"> </w:t>
      </w:r>
      <w:r>
        <w:rPr>
          <w:color w:val="231F20"/>
          <w:spacing w:val="-3"/>
          <w:sz w:val="20"/>
        </w:rPr>
        <w:t>sure</w:t>
      </w:r>
      <w:r>
        <w:rPr>
          <w:color w:val="231F20"/>
          <w:spacing w:val="-10"/>
          <w:sz w:val="20"/>
        </w:rPr>
        <w:t xml:space="preserve"> </w:t>
      </w:r>
      <w:r>
        <w:rPr>
          <w:color w:val="231F20"/>
          <w:sz w:val="20"/>
        </w:rPr>
        <w:t>the</w:t>
      </w:r>
      <w:r>
        <w:rPr>
          <w:color w:val="231F20"/>
          <w:spacing w:val="-10"/>
          <w:sz w:val="20"/>
        </w:rPr>
        <w:t xml:space="preserve"> </w:t>
      </w:r>
      <w:r>
        <w:rPr>
          <w:color w:val="231F20"/>
          <w:sz w:val="20"/>
        </w:rPr>
        <w:t>response</w:t>
      </w:r>
      <w:r>
        <w:rPr>
          <w:color w:val="231F20"/>
          <w:spacing w:val="-10"/>
          <w:sz w:val="20"/>
        </w:rPr>
        <w:t xml:space="preserve"> </w:t>
      </w:r>
      <w:r>
        <w:rPr>
          <w:color w:val="231F20"/>
          <w:sz w:val="20"/>
        </w:rPr>
        <w:t>to</w:t>
      </w:r>
      <w:r>
        <w:rPr>
          <w:color w:val="231F20"/>
          <w:spacing w:val="-10"/>
          <w:sz w:val="20"/>
        </w:rPr>
        <w:t xml:space="preserve"> </w:t>
      </w:r>
      <w:r>
        <w:rPr>
          <w:color w:val="231F20"/>
          <w:sz w:val="20"/>
        </w:rPr>
        <w:t>stalking</w:t>
      </w:r>
      <w:r>
        <w:rPr>
          <w:color w:val="231F20"/>
          <w:spacing w:val="-10"/>
          <w:sz w:val="20"/>
        </w:rPr>
        <w:t xml:space="preserve"> </w:t>
      </w:r>
      <w:r>
        <w:rPr>
          <w:color w:val="231F20"/>
          <w:sz w:val="20"/>
        </w:rPr>
        <w:t>keeps</w:t>
      </w:r>
      <w:r>
        <w:rPr>
          <w:color w:val="231F20"/>
          <w:spacing w:val="-10"/>
          <w:sz w:val="20"/>
        </w:rPr>
        <w:t xml:space="preserve"> </w:t>
      </w:r>
      <w:r>
        <w:rPr>
          <w:color w:val="231F20"/>
          <w:sz w:val="20"/>
        </w:rPr>
        <w:t>the</w:t>
      </w:r>
      <w:r>
        <w:rPr>
          <w:color w:val="231F20"/>
          <w:spacing w:val="-10"/>
          <w:sz w:val="20"/>
        </w:rPr>
        <w:t xml:space="preserve"> </w:t>
      </w:r>
      <w:r>
        <w:rPr>
          <w:color w:val="231F20"/>
          <w:sz w:val="20"/>
        </w:rPr>
        <w:t>victim</w:t>
      </w:r>
      <w:r>
        <w:rPr>
          <w:color w:val="231F20"/>
          <w:spacing w:val="-9"/>
          <w:sz w:val="20"/>
        </w:rPr>
        <w:t xml:space="preserve"> </w:t>
      </w:r>
      <w:r>
        <w:rPr>
          <w:color w:val="231F20"/>
          <w:sz w:val="20"/>
        </w:rPr>
        <w:t>survivor</w:t>
      </w:r>
      <w:r>
        <w:rPr>
          <w:color w:val="231F20"/>
          <w:spacing w:val="-10"/>
          <w:sz w:val="20"/>
        </w:rPr>
        <w:t xml:space="preserve"> </w:t>
      </w:r>
      <w:r>
        <w:rPr>
          <w:color w:val="231F20"/>
          <w:spacing w:val="-3"/>
          <w:sz w:val="20"/>
        </w:rPr>
        <w:t>safe</w:t>
      </w:r>
      <w:r>
        <w:rPr>
          <w:color w:val="231F20"/>
          <w:spacing w:val="-10"/>
          <w:sz w:val="20"/>
        </w:rPr>
        <w:t xml:space="preserve"> </w:t>
      </w:r>
      <w:r>
        <w:rPr>
          <w:color w:val="231F20"/>
          <w:sz w:val="20"/>
        </w:rPr>
        <w:t>and</w:t>
      </w:r>
      <w:r>
        <w:rPr>
          <w:color w:val="231F20"/>
          <w:spacing w:val="-10"/>
          <w:sz w:val="20"/>
        </w:rPr>
        <w:t xml:space="preserve"> </w:t>
      </w:r>
      <w:r>
        <w:rPr>
          <w:color w:val="231F20"/>
          <w:sz w:val="20"/>
        </w:rPr>
        <w:t>addresses the stalking</w:t>
      </w:r>
      <w:r>
        <w:rPr>
          <w:color w:val="231F20"/>
          <w:spacing w:val="-9"/>
          <w:sz w:val="20"/>
        </w:rPr>
        <w:t xml:space="preserve"> </w:t>
      </w:r>
      <w:r>
        <w:rPr>
          <w:color w:val="231F20"/>
          <w:spacing w:val="-3"/>
          <w:sz w:val="20"/>
        </w:rPr>
        <w:t>behaviour.</w:t>
      </w:r>
    </w:p>
    <w:p w14:paraId="6D320AF6" w14:textId="77777777" w:rsidR="00894070" w:rsidRDefault="009B7AFD">
      <w:pPr>
        <w:pStyle w:val="ListParagraph"/>
        <w:numPr>
          <w:ilvl w:val="1"/>
          <w:numId w:val="177"/>
        </w:numPr>
        <w:tabs>
          <w:tab w:val="left" w:pos="1801"/>
          <w:tab w:val="left" w:pos="1802"/>
        </w:tabs>
        <w:spacing w:before="87" w:line="206" w:lineRule="auto"/>
        <w:ind w:right="1234"/>
        <w:rPr>
          <w:sz w:val="11"/>
        </w:rPr>
      </w:pPr>
      <w:r>
        <w:rPr>
          <w:color w:val="231F20"/>
          <w:sz w:val="20"/>
        </w:rPr>
        <w:t>Clarifying</w:t>
      </w:r>
      <w:r>
        <w:rPr>
          <w:color w:val="231F20"/>
          <w:spacing w:val="-7"/>
          <w:sz w:val="20"/>
        </w:rPr>
        <w:t xml:space="preserve"> </w:t>
      </w:r>
      <w:r>
        <w:rPr>
          <w:color w:val="231F20"/>
          <w:sz w:val="20"/>
        </w:rPr>
        <w:t>the</w:t>
      </w:r>
      <w:r>
        <w:rPr>
          <w:color w:val="231F20"/>
          <w:spacing w:val="-7"/>
          <w:sz w:val="20"/>
        </w:rPr>
        <w:t xml:space="preserve"> </w:t>
      </w:r>
      <w:r>
        <w:rPr>
          <w:color w:val="231F20"/>
          <w:sz w:val="20"/>
        </w:rPr>
        <w:t>law</w:t>
      </w:r>
      <w:r>
        <w:rPr>
          <w:color w:val="231F20"/>
          <w:spacing w:val="-7"/>
          <w:sz w:val="20"/>
        </w:rPr>
        <w:t xml:space="preserve"> </w:t>
      </w:r>
      <w:r>
        <w:rPr>
          <w:color w:val="231F20"/>
          <w:sz w:val="20"/>
        </w:rPr>
        <w:t>relating</w:t>
      </w:r>
      <w:r>
        <w:rPr>
          <w:color w:val="231F20"/>
          <w:spacing w:val="-7"/>
          <w:sz w:val="20"/>
        </w:rPr>
        <w:t xml:space="preserve"> </w:t>
      </w:r>
      <w:r>
        <w:rPr>
          <w:color w:val="231F20"/>
          <w:sz w:val="20"/>
        </w:rPr>
        <w:t>to</w:t>
      </w:r>
      <w:r>
        <w:rPr>
          <w:color w:val="231F20"/>
          <w:spacing w:val="-7"/>
          <w:sz w:val="20"/>
        </w:rPr>
        <w:t xml:space="preserve"> </w:t>
      </w:r>
      <w:r>
        <w:rPr>
          <w:color w:val="231F20"/>
          <w:sz w:val="20"/>
        </w:rPr>
        <w:t>stalking</w:t>
      </w:r>
      <w:r>
        <w:rPr>
          <w:color w:val="231F20"/>
          <w:spacing w:val="-7"/>
          <w:sz w:val="20"/>
        </w:rPr>
        <w:t xml:space="preserve"> </w:t>
      </w:r>
      <w:r>
        <w:rPr>
          <w:color w:val="231F20"/>
          <w:sz w:val="20"/>
        </w:rPr>
        <w:t>(see</w:t>
      </w:r>
      <w:r>
        <w:rPr>
          <w:color w:val="231F20"/>
          <w:spacing w:val="-7"/>
          <w:sz w:val="20"/>
        </w:rPr>
        <w:t xml:space="preserve"> </w:t>
      </w:r>
      <w:r>
        <w:rPr>
          <w:color w:val="231F20"/>
          <w:spacing w:val="-3"/>
          <w:sz w:val="20"/>
        </w:rPr>
        <w:t>Chapter</w:t>
      </w:r>
      <w:r>
        <w:rPr>
          <w:color w:val="231F20"/>
          <w:spacing w:val="-7"/>
          <w:sz w:val="20"/>
        </w:rPr>
        <w:t xml:space="preserve"> </w:t>
      </w:r>
      <w:r>
        <w:rPr>
          <w:color w:val="231F20"/>
          <w:spacing w:val="-4"/>
          <w:sz w:val="20"/>
        </w:rPr>
        <w:t>7</w:t>
      </w:r>
      <w:proofErr w:type="gramStart"/>
      <w:r>
        <w:rPr>
          <w:color w:val="231F20"/>
          <w:spacing w:val="-4"/>
          <w:sz w:val="20"/>
        </w:rPr>
        <w:t>),</w:t>
      </w:r>
      <w:r>
        <w:rPr>
          <w:color w:val="231F20"/>
          <w:spacing w:val="-7"/>
          <w:sz w:val="20"/>
        </w:rPr>
        <w:t xml:space="preserve"> </w:t>
      </w:r>
      <w:r>
        <w:rPr>
          <w:color w:val="231F20"/>
          <w:sz w:val="20"/>
        </w:rPr>
        <w:t>and</w:t>
      </w:r>
      <w:proofErr w:type="gramEnd"/>
      <w:r>
        <w:rPr>
          <w:color w:val="231F20"/>
          <w:spacing w:val="-7"/>
          <w:sz w:val="20"/>
        </w:rPr>
        <w:t xml:space="preserve"> </w:t>
      </w:r>
      <w:r>
        <w:rPr>
          <w:color w:val="231F20"/>
          <w:spacing w:val="-3"/>
          <w:sz w:val="20"/>
        </w:rPr>
        <w:t>introducing</w:t>
      </w:r>
      <w:r>
        <w:rPr>
          <w:color w:val="231F20"/>
          <w:spacing w:val="-7"/>
          <w:sz w:val="20"/>
        </w:rPr>
        <w:t xml:space="preserve"> </w:t>
      </w:r>
      <w:r>
        <w:rPr>
          <w:color w:val="231F20"/>
          <w:sz w:val="20"/>
        </w:rPr>
        <w:t>the</w:t>
      </w:r>
      <w:r>
        <w:rPr>
          <w:color w:val="231F20"/>
          <w:spacing w:val="-7"/>
          <w:sz w:val="20"/>
        </w:rPr>
        <w:t xml:space="preserve"> </w:t>
      </w:r>
      <w:r>
        <w:rPr>
          <w:color w:val="231F20"/>
          <w:sz w:val="20"/>
        </w:rPr>
        <w:t>other</w:t>
      </w:r>
      <w:r>
        <w:rPr>
          <w:color w:val="231F20"/>
          <w:spacing w:val="-7"/>
          <w:sz w:val="20"/>
        </w:rPr>
        <w:t xml:space="preserve"> </w:t>
      </w:r>
      <w:r>
        <w:rPr>
          <w:color w:val="231F20"/>
          <w:spacing w:val="-3"/>
          <w:sz w:val="20"/>
        </w:rPr>
        <w:t xml:space="preserve">reforms we </w:t>
      </w:r>
      <w:r>
        <w:rPr>
          <w:color w:val="231F20"/>
          <w:sz w:val="20"/>
        </w:rPr>
        <w:t xml:space="preserve">recommend in this report and in our </w:t>
      </w:r>
      <w:r>
        <w:rPr>
          <w:color w:val="231F20"/>
          <w:spacing w:val="-3"/>
          <w:sz w:val="20"/>
        </w:rPr>
        <w:t xml:space="preserve">interim </w:t>
      </w:r>
      <w:r>
        <w:rPr>
          <w:color w:val="231F20"/>
          <w:sz w:val="20"/>
        </w:rPr>
        <w:t>report,</w:t>
      </w:r>
      <w:r>
        <w:rPr>
          <w:color w:val="231F20"/>
          <w:position w:val="7"/>
          <w:sz w:val="11"/>
        </w:rPr>
        <w:t xml:space="preserve">86 </w:t>
      </w:r>
      <w:r>
        <w:rPr>
          <w:color w:val="231F20"/>
          <w:sz w:val="20"/>
        </w:rPr>
        <w:t xml:space="preserve">will not </w:t>
      </w:r>
      <w:r>
        <w:rPr>
          <w:color w:val="231F20"/>
          <w:spacing w:val="-3"/>
          <w:sz w:val="20"/>
        </w:rPr>
        <w:t xml:space="preserve">achieve </w:t>
      </w:r>
      <w:r>
        <w:rPr>
          <w:color w:val="231F20"/>
          <w:sz w:val="20"/>
        </w:rPr>
        <w:t xml:space="preserve">meaningful change unless the people who </w:t>
      </w:r>
      <w:r>
        <w:rPr>
          <w:color w:val="231F20"/>
          <w:spacing w:val="-3"/>
          <w:sz w:val="20"/>
        </w:rPr>
        <w:t xml:space="preserve">apply </w:t>
      </w:r>
      <w:r>
        <w:rPr>
          <w:color w:val="231F20"/>
          <w:sz w:val="20"/>
        </w:rPr>
        <w:t xml:space="preserve">the law also change their </w:t>
      </w:r>
      <w:r>
        <w:rPr>
          <w:color w:val="231F20"/>
          <w:spacing w:val="-3"/>
          <w:sz w:val="20"/>
        </w:rPr>
        <w:t xml:space="preserve">attitudes </w:t>
      </w:r>
      <w:r>
        <w:rPr>
          <w:color w:val="231F20"/>
          <w:sz w:val="20"/>
        </w:rPr>
        <w:t xml:space="preserve">and understanding. Education is needed to support </w:t>
      </w:r>
      <w:r>
        <w:rPr>
          <w:color w:val="231F20"/>
          <w:spacing w:val="-3"/>
          <w:sz w:val="20"/>
        </w:rPr>
        <w:t>cultural</w:t>
      </w:r>
      <w:r>
        <w:rPr>
          <w:color w:val="231F20"/>
          <w:spacing w:val="-33"/>
          <w:sz w:val="20"/>
        </w:rPr>
        <w:t xml:space="preserve"> </w:t>
      </w:r>
      <w:r>
        <w:rPr>
          <w:color w:val="231F20"/>
          <w:sz w:val="20"/>
        </w:rPr>
        <w:t>change.</w:t>
      </w:r>
      <w:r>
        <w:rPr>
          <w:color w:val="231F20"/>
          <w:position w:val="7"/>
          <w:sz w:val="11"/>
        </w:rPr>
        <w:t>87</w:t>
      </w:r>
    </w:p>
    <w:p w14:paraId="33DB74A2" w14:textId="77777777" w:rsidR="00894070" w:rsidRDefault="009B7AFD">
      <w:pPr>
        <w:pStyle w:val="ListParagraph"/>
        <w:numPr>
          <w:ilvl w:val="1"/>
          <w:numId w:val="177"/>
        </w:numPr>
        <w:tabs>
          <w:tab w:val="left" w:pos="1801"/>
          <w:tab w:val="left" w:pos="1802"/>
        </w:tabs>
        <w:spacing w:before="125" w:line="206" w:lineRule="auto"/>
        <w:ind w:right="1593"/>
        <w:rPr>
          <w:sz w:val="20"/>
        </w:rPr>
      </w:pPr>
      <w:r>
        <w:rPr>
          <w:color w:val="231F20"/>
          <w:spacing w:val="-6"/>
          <w:sz w:val="20"/>
        </w:rPr>
        <w:t xml:space="preserve">We </w:t>
      </w:r>
      <w:r>
        <w:rPr>
          <w:color w:val="231F20"/>
          <w:sz w:val="20"/>
        </w:rPr>
        <w:t xml:space="preserve">identify </w:t>
      </w:r>
      <w:r>
        <w:rPr>
          <w:color w:val="231F20"/>
          <w:spacing w:val="-3"/>
          <w:sz w:val="20"/>
        </w:rPr>
        <w:t xml:space="preserve">how </w:t>
      </w:r>
      <w:r>
        <w:rPr>
          <w:color w:val="231F20"/>
          <w:sz w:val="20"/>
        </w:rPr>
        <w:t xml:space="preserve">best to </w:t>
      </w:r>
      <w:r>
        <w:rPr>
          <w:color w:val="231F20"/>
          <w:spacing w:val="-3"/>
          <w:sz w:val="20"/>
        </w:rPr>
        <w:t xml:space="preserve">provide </w:t>
      </w:r>
      <w:r>
        <w:rPr>
          <w:color w:val="231F20"/>
          <w:sz w:val="20"/>
        </w:rPr>
        <w:t xml:space="preserve">education and specific areas to </w:t>
      </w:r>
      <w:r>
        <w:rPr>
          <w:color w:val="231F20"/>
          <w:spacing w:val="-3"/>
          <w:sz w:val="20"/>
        </w:rPr>
        <w:t xml:space="preserve">focus </w:t>
      </w:r>
      <w:r>
        <w:rPr>
          <w:color w:val="231F20"/>
          <w:sz w:val="20"/>
        </w:rPr>
        <w:t>on in the next</w:t>
      </w:r>
      <w:r>
        <w:rPr>
          <w:color w:val="231F20"/>
          <w:spacing w:val="-8"/>
          <w:sz w:val="20"/>
        </w:rPr>
        <w:t xml:space="preserve"> </w:t>
      </w:r>
      <w:r>
        <w:rPr>
          <w:color w:val="231F20"/>
          <w:sz w:val="20"/>
        </w:rPr>
        <w:t>section.</w:t>
      </w:r>
      <w:r>
        <w:rPr>
          <w:color w:val="231F20"/>
          <w:spacing w:val="-8"/>
          <w:sz w:val="20"/>
        </w:rPr>
        <w:t xml:space="preserve"> </w:t>
      </w:r>
      <w:r>
        <w:rPr>
          <w:color w:val="231F20"/>
          <w:sz w:val="20"/>
        </w:rPr>
        <w:t>As</w:t>
      </w:r>
      <w:r>
        <w:rPr>
          <w:color w:val="231F20"/>
          <w:spacing w:val="-8"/>
          <w:sz w:val="20"/>
        </w:rPr>
        <w:t xml:space="preserve"> </w:t>
      </w:r>
      <w:r>
        <w:rPr>
          <w:color w:val="231F20"/>
          <w:spacing w:val="-3"/>
          <w:sz w:val="20"/>
        </w:rPr>
        <w:t>we</w:t>
      </w:r>
      <w:r>
        <w:rPr>
          <w:color w:val="231F20"/>
          <w:spacing w:val="-7"/>
          <w:sz w:val="20"/>
        </w:rPr>
        <w:t xml:space="preserve"> </w:t>
      </w:r>
      <w:r>
        <w:rPr>
          <w:color w:val="231F20"/>
          <w:sz w:val="20"/>
        </w:rPr>
        <w:t>discuss</w:t>
      </w:r>
      <w:r>
        <w:rPr>
          <w:color w:val="231F20"/>
          <w:spacing w:val="-8"/>
          <w:sz w:val="20"/>
        </w:rPr>
        <w:t xml:space="preserve"> </w:t>
      </w:r>
      <w:r>
        <w:rPr>
          <w:color w:val="231F20"/>
          <w:sz w:val="20"/>
        </w:rPr>
        <w:t>in</w:t>
      </w:r>
      <w:r>
        <w:rPr>
          <w:color w:val="231F20"/>
          <w:spacing w:val="-8"/>
          <w:sz w:val="20"/>
        </w:rPr>
        <w:t xml:space="preserve"> </w:t>
      </w:r>
      <w:r>
        <w:rPr>
          <w:color w:val="231F20"/>
          <w:spacing w:val="-3"/>
          <w:sz w:val="20"/>
        </w:rPr>
        <w:t>Chapter</w:t>
      </w:r>
      <w:r>
        <w:rPr>
          <w:color w:val="231F20"/>
          <w:spacing w:val="-7"/>
          <w:sz w:val="20"/>
        </w:rPr>
        <w:t xml:space="preserve"> </w:t>
      </w:r>
      <w:r>
        <w:rPr>
          <w:color w:val="231F20"/>
          <w:sz w:val="20"/>
        </w:rPr>
        <w:t>3,</w:t>
      </w:r>
      <w:r>
        <w:rPr>
          <w:color w:val="231F20"/>
          <w:spacing w:val="-8"/>
          <w:sz w:val="20"/>
        </w:rPr>
        <w:t xml:space="preserve"> </w:t>
      </w:r>
      <w:r>
        <w:rPr>
          <w:color w:val="231F20"/>
          <w:sz w:val="20"/>
        </w:rPr>
        <w:t>it</w:t>
      </w:r>
      <w:r>
        <w:rPr>
          <w:color w:val="231F20"/>
          <w:spacing w:val="-8"/>
          <w:sz w:val="20"/>
        </w:rPr>
        <w:t xml:space="preserve"> </w:t>
      </w:r>
      <w:r>
        <w:rPr>
          <w:color w:val="231F20"/>
          <w:sz w:val="20"/>
        </w:rPr>
        <w:t>is</w:t>
      </w:r>
      <w:r>
        <w:rPr>
          <w:color w:val="231F20"/>
          <w:spacing w:val="-7"/>
          <w:sz w:val="20"/>
        </w:rPr>
        <w:t xml:space="preserve"> </w:t>
      </w:r>
      <w:r>
        <w:rPr>
          <w:color w:val="231F20"/>
          <w:sz w:val="20"/>
        </w:rPr>
        <w:t>important</w:t>
      </w:r>
      <w:r>
        <w:rPr>
          <w:color w:val="231F20"/>
          <w:spacing w:val="-8"/>
          <w:sz w:val="20"/>
        </w:rPr>
        <w:t xml:space="preserve"> </w:t>
      </w:r>
      <w:r>
        <w:rPr>
          <w:color w:val="231F20"/>
          <w:sz w:val="20"/>
        </w:rPr>
        <w:t>that</w:t>
      </w:r>
      <w:r>
        <w:rPr>
          <w:color w:val="231F20"/>
          <w:spacing w:val="-8"/>
          <w:sz w:val="20"/>
        </w:rPr>
        <w:t xml:space="preserve"> </w:t>
      </w:r>
      <w:r>
        <w:rPr>
          <w:color w:val="231F20"/>
          <w:sz w:val="20"/>
        </w:rPr>
        <w:t>this</w:t>
      </w:r>
      <w:r>
        <w:rPr>
          <w:color w:val="231F20"/>
          <w:spacing w:val="-7"/>
          <w:sz w:val="20"/>
        </w:rPr>
        <w:t xml:space="preserve"> </w:t>
      </w:r>
      <w:r>
        <w:rPr>
          <w:color w:val="231F20"/>
          <w:sz w:val="20"/>
        </w:rPr>
        <w:t>education</w:t>
      </w:r>
      <w:r>
        <w:rPr>
          <w:color w:val="231F20"/>
          <w:spacing w:val="-8"/>
          <w:sz w:val="20"/>
        </w:rPr>
        <w:t xml:space="preserve"> </w:t>
      </w:r>
      <w:r>
        <w:rPr>
          <w:color w:val="231F20"/>
          <w:sz w:val="20"/>
        </w:rPr>
        <w:t>includes cyberstalking.</w:t>
      </w:r>
    </w:p>
    <w:p w14:paraId="051628AC" w14:textId="77777777" w:rsidR="00894070" w:rsidRDefault="00894070">
      <w:pPr>
        <w:pStyle w:val="BodyText"/>
      </w:pPr>
    </w:p>
    <w:p w14:paraId="3E22FC57" w14:textId="77777777" w:rsidR="00894070" w:rsidRDefault="00894070">
      <w:pPr>
        <w:pStyle w:val="BodyText"/>
      </w:pPr>
    </w:p>
    <w:p w14:paraId="5F3775BD" w14:textId="77777777" w:rsidR="00894070" w:rsidRDefault="00894070">
      <w:pPr>
        <w:pStyle w:val="BodyText"/>
      </w:pPr>
    </w:p>
    <w:p w14:paraId="6DACAF38" w14:textId="77777777" w:rsidR="00894070" w:rsidRDefault="00894070">
      <w:pPr>
        <w:pStyle w:val="BodyText"/>
      </w:pPr>
    </w:p>
    <w:p w14:paraId="14CAF633" w14:textId="77777777" w:rsidR="00894070" w:rsidRDefault="009F6793">
      <w:pPr>
        <w:pStyle w:val="BodyText"/>
        <w:spacing w:before="3"/>
        <w:rPr>
          <w:sz w:val="15"/>
        </w:rPr>
      </w:pPr>
      <w:r>
        <w:pict w14:anchorId="7ACA80EF">
          <v:line id="_x0000_s1474" style="position:absolute;z-index:251560960;mso-wrap-distance-left:0;mso-wrap-distance-right:0;mso-position-horizontal-relative:page" from="79.35pt,13pt" to="515.9pt,13pt" strokecolor="#f8cabc" strokeweight="1pt">
            <w10:wrap type="topAndBottom" anchorx="page"/>
          </v:line>
        </w:pict>
      </w:r>
    </w:p>
    <w:p w14:paraId="4953C9EF" w14:textId="77777777" w:rsidR="00894070" w:rsidRDefault="009B7AFD">
      <w:pPr>
        <w:pStyle w:val="ListParagraph"/>
        <w:numPr>
          <w:ilvl w:val="0"/>
          <w:numId w:val="134"/>
        </w:numPr>
        <w:tabs>
          <w:tab w:val="left" w:pos="1801"/>
          <w:tab w:val="left" w:pos="1802"/>
        </w:tabs>
        <w:spacing w:before="107" w:line="213" w:lineRule="auto"/>
        <w:ind w:right="1205"/>
        <w:rPr>
          <w:sz w:val="13"/>
        </w:rPr>
      </w:pPr>
      <w:r>
        <w:rPr>
          <w:color w:val="231F20"/>
          <w:sz w:val="13"/>
        </w:rPr>
        <w:t xml:space="preserve">Judicial registrars help manage the court’s workload by hearing matters prescribed by the </w:t>
      </w:r>
      <w:r>
        <w:rPr>
          <w:i/>
          <w:color w:val="231F20"/>
          <w:sz w:val="13"/>
        </w:rPr>
        <w:t xml:space="preserve">Magistrates’ Court (Judicial Registrars) Rules 2015 </w:t>
      </w:r>
      <w:r>
        <w:rPr>
          <w:color w:val="231F20"/>
          <w:sz w:val="13"/>
        </w:rPr>
        <w:t xml:space="preserve">(Vic) including matters under the </w:t>
      </w:r>
      <w:r>
        <w:rPr>
          <w:i/>
          <w:color w:val="231F20"/>
          <w:sz w:val="13"/>
        </w:rPr>
        <w:t>Personal Safety Intervention Orders Act 2010</w:t>
      </w:r>
      <w:r>
        <w:rPr>
          <w:i/>
          <w:color w:val="231F20"/>
          <w:spacing w:val="20"/>
          <w:sz w:val="13"/>
        </w:rPr>
        <w:t xml:space="preserve"> </w:t>
      </w:r>
      <w:r>
        <w:rPr>
          <w:color w:val="231F20"/>
          <w:sz w:val="13"/>
        </w:rPr>
        <w:t>(Vic).</w:t>
      </w:r>
    </w:p>
    <w:p w14:paraId="2E76B3A3" w14:textId="77777777" w:rsidR="00894070" w:rsidRDefault="009B7AFD">
      <w:pPr>
        <w:pStyle w:val="ListParagraph"/>
        <w:numPr>
          <w:ilvl w:val="0"/>
          <w:numId w:val="134"/>
        </w:numPr>
        <w:tabs>
          <w:tab w:val="left" w:pos="1800"/>
          <w:tab w:val="left" w:pos="1802"/>
        </w:tabs>
        <w:spacing w:line="213" w:lineRule="auto"/>
        <w:ind w:right="1246"/>
        <w:rPr>
          <w:sz w:val="13"/>
        </w:rPr>
      </w:pPr>
      <w:r>
        <w:rPr>
          <w:color w:val="231F20"/>
          <w:sz w:val="13"/>
        </w:rPr>
        <w:t xml:space="preserve">Her Majesty’s Inspectorate of </w:t>
      </w:r>
      <w:r>
        <w:rPr>
          <w:color w:val="231F20"/>
          <w:spacing w:val="2"/>
          <w:sz w:val="13"/>
        </w:rPr>
        <w:t xml:space="preserve">Constabulary </w:t>
      </w:r>
      <w:r>
        <w:rPr>
          <w:color w:val="231F20"/>
          <w:sz w:val="13"/>
        </w:rPr>
        <w:t xml:space="preserve">and Her Majesty’s Crown Prosecution </w:t>
      </w:r>
      <w:r>
        <w:rPr>
          <w:color w:val="231F20"/>
          <w:spacing w:val="2"/>
          <w:sz w:val="13"/>
        </w:rPr>
        <w:t xml:space="preserve">Service </w:t>
      </w:r>
      <w:r>
        <w:rPr>
          <w:color w:val="231F20"/>
          <w:sz w:val="13"/>
        </w:rPr>
        <w:t xml:space="preserve">Inspectorate, </w:t>
      </w:r>
      <w:r>
        <w:rPr>
          <w:i/>
          <w:color w:val="231F20"/>
          <w:sz w:val="13"/>
        </w:rPr>
        <w:t xml:space="preserve">Living in Fear: The Police and CPS Response to Harassment and Stalking </w:t>
      </w:r>
      <w:r>
        <w:rPr>
          <w:color w:val="231F20"/>
          <w:spacing w:val="2"/>
          <w:sz w:val="13"/>
        </w:rPr>
        <w:t xml:space="preserve">(Report, </w:t>
      </w:r>
      <w:r>
        <w:rPr>
          <w:color w:val="231F20"/>
          <w:sz w:val="13"/>
        </w:rPr>
        <w:t>July 2017)</w:t>
      </w:r>
      <w:r>
        <w:rPr>
          <w:color w:val="231F20"/>
          <w:spacing w:val="2"/>
          <w:sz w:val="13"/>
        </w:rPr>
        <w:t xml:space="preserve"> </w:t>
      </w:r>
      <w:r>
        <w:rPr>
          <w:color w:val="231F20"/>
          <w:sz w:val="13"/>
        </w:rPr>
        <w:t>82–4.</w:t>
      </w:r>
    </w:p>
    <w:p w14:paraId="1AD63794" w14:textId="77777777" w:rsidR="00894070" w:rsidRDefault="009B7AFD">
      <w:pPr>
        <w:pStyle w:val="ListParagraph"/>
        <w:numPr>
          <w:ilvl w:val="0"/>
          <w:numId w:val="134"/>
        </w:numPr>
        <w:tabs>
          <w:tab w:val="left" w:pos="1801"/>
          <w:tab w:val="left" w:pos="1802"/>
        </w:tabs>
        <w:spacing w:line="213" w:lineRule="auto"/>
        <w:ind w:right="1177"/>
        <w:rPr>
          <w:sz w:val="13"/>
        </w:rPr>
      </w:pPr>
      <w:r>
        <w:rPr>
          <w:color w:val="231F20"/>
          <w:sz w:val="13"/>
        </w:rPr>
        <w:t xml:space="preserve">With reference to family violence </w:t>
      </w:r>
      <w:r>
        <w:rPr>
          <w:color w:val="231F20"/>
          <w:spacing w:val="2"/>
          <w:sz w:val="13"/>
        </w:rPr>
        <w:t xml:space="preserve">stalking: </w:t>
      </w:r>
      <w:r>
        <w:rPr>
          <w:color w:val="231F20"/>
          <w:sz w:val="13"/>
        </w:rPr>
        <w:t xml:space="preserve">see Bethany L Backes, Lisa Fedina and Jennifer Lynne </w:t>
      </w:r>
      <w:r>
        <w:rPr>
          <w:color w:val="231F20"/>
          <w:spacing w:val="2"/>
          <w:sz w:val="13"/>
        </w:rPr>
        <w:t xml:space="preserve">Holmes, </w:t>
      </w:r>
      <w:r>
        <w:rPr>
          <w:color w:val="231F20"/>
          <w:sz w:val="13"/>
        </w:rPr>
        <w:t xml:space="preserve">‘The Criminal Justice System Response to Intimate </w:t>
      </w:r>
      <w:r>
        <w:rPr>
          <w:color w:val="231F20"/>
          <w:spacing w:val="2"/>
          <w:sz w:val="13"/>
        </w:rPr>
        <w:t xml:space="preserve">Partner </w:t>
      </w:r>
      <w:r>
        <w:rPr>
          <w:color w:val="231F20"/>
          <w:sz w:val="13"/>
        </w:rPr>
        <w:t xml:space="preserve">Stalking: A Systematic Review of Quantitative and Qualitative Research’ (2020) 35(7) </w:t>
      </w:r>
      <w:r>
        <w:rPr>
          <w:i/>
          <w:color w:val="231F20"/>
          <w:sz w:val="13"/>
        </w:rPr>
        <w:t xml:space="preserve">Journal   of Family Violence </w:t>
      </w:r>
      <w:r>
        <w:rPr>
          <w:color w:val="231F20"/>
          <w:spacing w:val="2"/>
          <w:sz w:val="13"/>
        </w:rPr>
        <w:t xml:space="preserve">665, </w:t>
      </w:r>
      <w:r>
        <w:rPr>
          <w:color w:val="231F20"/>
          <w:sz w:val="13"/>
        </w:rPr>
        <w:t xml:space="preserve">668–71, 674, 676. See generally Ronnie B Harmon et </w:t>
      </w:r>
      <w:r>
        <w:rPr>
          <w:color w:val="231F20"/>
          <w:spacing w:val="2"/>
          <w:sz w:val="13"/>
        </w:rPr>
        <w:t xml:space="preserve">al, </w:t>
      </w:r>
      <w:r>
        <w:rPr>
          <w:color w:val="231F20"/>
          <w:sz w:val="13"/>
        </w:rPr>
        <w:t xml:space="preserve">‘The Impact of Anti-Stalking Training on Front       Line </w:t>
      </w:r>
      <w:r>
        <w:rPr>
          <w:color w:val="231F20"/>
          <w:spacing w:val="2"/>
          <w:sz w:val="13"/>
        </w:rPr>
        <w:t xml:space="preserve">Service </w:t>
      </w:r>
      <w:r>
        <w:rPr>
          <w:color w:val="231F20"/>
          <w:sz w:val="13"/>
        </w:rPr>
        <w:t xml:space="preserve">Providers: Using the Anti-Stalking Training Evaluation Protocol (ASTEP)’ (2004) </w:t>
      </w:r>
      <w:r>
        <w:rPr>
          <w:color w:val="231F20"/>
          <w:spacing w:val="2"/>
          <w:sz w:val="13"/>
        </w:rPr>
        <w:t xml:space="preserve">49(5) </w:t>
      </w:r>
      <w:r>
        <w:rPr>
          <w:i/>
          <w:color w:val="231F20"/>
          <w:sz w:val="13"/>
        </w:rPr>
        <w:t xml:space="preserve">Journal of Forensic </w:t>
      </w:r>
      <w:r>
        <w:rPr>
          <w:i/>
          <w:color w:val="231F20"/>
          <w:spacing w:val="2"/>
          <w:sz w:val="13"/>
        </w:rPr>
        <w:t>Sciences</w:t>
      </w:r>
      <w:r>
        <w:rPr>
          <w:i/>
          <w:color w:val="231F20"/>
          <w:spacing w:val="36"/>
          <w:sz w:val="13"/>
        </w:rPr>
        <w:t xml:space="preserve"> </w:t>
      </w:r>
      <w:r>
        <w:rPr>
          <w:color w:val="231F20"/>
          <w:sz w:val="13"/>
        </w:rPr>
        <w:t xml:space="preserve">JFS2003354:1-7; </w:t>
      </w:r>
      <w:r>
        <w:rPr>
          <w:color w:val="231F20"/>
          <w:spacing w:val="2"/>
          <w:sz w:val="13"/>
        </w:rPr>
        <w:t xml:space="preserve">Suzy </w:t>
      </w:r>
      <w:r>
        <w:rPr>
          <w:color w:val="231F20"/>
          <w:sz w:val="13"/>
        </w:rPr>
        <w:t xml:space="preserve">Lamplugh Trust, </w:t>
      </w:r>
      <w:r>
        <w:rPr>
          <w:i/>
          <w:color w:val="231F20"/>
          <w:sz w:val="13"/>
        </w:rPr>
        <w:t xml:space="preserve">Unmasking Stalking: A Changing Landscape </w:t>
      </w:r>
      <w:r>
        <w:rPr>
          <w:color w:val="231F20"/>
          <w:spacing w:val="2"/>
          <w:sz w:val="13"/>
        </w:rPr>
        <w:t xml:space="preserve">(Report, </w:t>
      </w:r>
      <w:r>
        <w:rPr>
          <w:color w:val="231F20"/>
          <w:sz w:val="13"/>
        </w:rPr>
        <w:t>April 2021)</w:t>
      </w:r>
      <w:r>
        <w:rPr>
          <w:color w:val="231F20"/>
          <w:spacing w:val="21"/>
          <w:sz w:val="13"/>
        </w:rPr>
        <w:t xml:space="preserve"> </w:t>
      </w:r>
      <w:r>
        <w:rPr>
          <w:color w:val="231F20"/>
          <w:sz w:val="13"/>
        </w:rPr>
        <w:t>10–1.</w:t>
      </w:r>
    </w:p>
    <w:p w14:paraId="271EE78F" w14:textId="77777777" w:rsidR="00894070" w:rsidRDefault="009B7AFD">
      <w:pPr>
        <w:pStyle w:val="ListParagraph"/>
        <w:numPr>
          <w:ilvl w:val="0"/>
          <w:numId w:val="134"/>
        </w:numPr>
        <w:tabs>
          <w:tab w:val="left" w:pos="1801"/>
          <w:tab w:val="left" w:pos="1802"/>
        </w:tabs>
        <w:spacing w:line="151"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December</w:t>
      </w:r>
      <w:r>
        <w:rPr>
          <w:color w:val="231F20"/>
          <w:spacing w:val="-3"/>
          <w:sz w:val="13"/>
        </w:rPr>
        <w:t xml:space="preserve"> </w:t>
      </w:r>
      <w:r>
        <w:rPr>
          <w:color w:val="231F20"/>
          <w:sz w:val="13"/>
        </w:rPr>
        <w:t>2021).</w:t>
      </w:r>
    </w:p>
    <w:p w14:paraId="67A614AA" w14:textId="77777777" w:rsidR="00894070" w:rsidRDefault="009F6793">
      <w:pPr>
        <w:pStyle w:val="ListParagraph"/>
        <w:numPr>
          <w:ilvl w:val="0"/>
          <w:numId w:val="134"/>
        </w:numPr>
        <w:tabs>
          <w:tab w:val="left" w:pos="1801"/>
          <w:tab w:val="left" w:pos="1802"/>
        </w:tabs>
        <w:spacing w:line="160" w:lineRule="exact"/>
        <w:rPr>
          <w:i/>
          <w:sz w:val="13"/>
        </w:rPr>
      </w:pPr>
      <w:r>
        <w:pict w14:anchorId="45C138F9">
          <v:shape id="_x0000_s1473" type="#_x0000_t202" style="position:absolute;left:0;text-align:left;margin-left:36pt;margin-top:3.7pt;width:14.5pt;height:14.1pt;z-index:251633664;mso-position-horizontal-relative:page" filled="f" stroked="f">
            <v:textbox inset="0,0,0,0">
              <w:txbxContent>
                <w:p w14:paraId="5C2219DC" w14:textId="77777777" w:rsidR="00894070" w:rsidRDefault="009B7AFD">
                  <w:pPr>
                    <w:spacing w:line="282" w:lineRule="exact"/>
                    <w:rPr>
                      <w:b/>
                      <w:sz w:val="24"/>
                    </w:rPr>
                  </w:pPr>
                  <w:r>
                    <w:rPr>
                      <w:b/>
                      <w:color w:val="EA5B50"/>
                      <w:spacing w:val="-1"/>
                      <w:sz w:val="24"/>
                    </w:rPr>
                    <w:t>66</w:t>
                  </w:r>
                </w:p>
              </w:txbxContent>
            </v:textbox>
            <w10:wrap anchorx="page"/>
          </v:shape>
        </w:pict>
      </w:r>
      <w:r w:rsidR="009B7AFD">
        <w:rPr>
          <w:color w:val="231F20"/>
          <w:sz w:val="13"/>
        </w:rPr>
        <w:t xml:space="preserve">Nicole Bluett-Boyd and </w:t>
      </w:r>
      <w:r w:rsidR="009B7AFD">
        <w:rPr>
          <w:color w:val="231F20"/>
          <w:spacing w:val="2"/>
          <w:sz w:val="13"/>
        </w:rPr>
        <w:t xml:space="preserve">Bianca </w:t>
      </w:r>
      <w:r w:rsidR="009B7AFD">
        <w:rPr>
          <w:color w:val="231F20"/>
          <w:sz w:val="13"/>
        </w:rPr>
        <w:t xml:space="preserve">Fileborn, </w:t>
      </w:r>
      <w:r w:rsidR="009B7AFD">
        <w:rPr>
          <w:i/>
          <w:color w:val="231F20"/>
          <w:sz w:val="13"/>
        </w:rPr>
        <w:t>Victim/Survivor-Focused Justice Responses and Reforms to Criminal Court</w:t>
      </w:r>
      <w:r w:rsidR="009B7AFD">
        <w:rPr>
          <w:i/>
          <w:color w:val="231F20"/>
          <w:spacing w:val="23"/>
          <w:sz w:val="13"/>
        </w:rPr>
        <w:t xml:space="preserve"> </w:t>
      </w:r>
      <w:r w:rsidR="009B7AFD">
        <w:rPr>
          <w:i/>
          <w:color w:val="231F20"/>
          <w:sz w:val="13"/>
        </w:rPr>
        <w:t>Practice</w:t>
      </w:r>
    </w:p>
    <w:p w14:paraId="6973B50B" w14:textId="77777777" w:rsidR="00894070" w:rsidRDefault="009B7AFD">
      <w:pPr>
        <w:spacing w:line="170" w:lineRule="exact"/>
        <w:ind w:left="1801"/>
        <w:rPr>
          <w:sz w:val="13"/>
        </w:rPr>
      </w:pPr>
      <w:r>
        <w:rPr>
          <w:color w:val="231F20"/>
          <w:sz w:val="13"/>
        </w:rPr>
        <w:t>(Research Report No 27, Australian Institute of Family Studies (Cth), April 2014) 50–1.</w:t>
      </w:r>
    </w:p>
    <w:p w14:paraId="16F5476E" w14:textId="77777777" w:rsidR="00894070" w:rsidRDefault="00894070">
      <w:pPr>
        <w:spacing w:line="170" w:lineRule="exact"/>
        <w:rPr>
          <w:sz w:val="13"/>
        </w:rPr>
        <w:sectPr w:rsidR="00894070">
          <w:pgSz w:w="11910" w:h="16840"/>
          <w:pgMar w:top="860" w:right="420" w:bottom="280" w:left="580" w:header="567" w:footer="0" w:gutter="0"/>
          <w:cols w:space="720"/>
        </w:sectPr>
      </w:pPr>
    </w:p>
    <w:p w14:paraId="5AC21808" w14:textId="77777777" w:rsidR="00894070" w:rsidRDefault="00894070">
      <w:pPr>
        <w:pStyle w:val="BodyText"/>
      </w:pPr>
    </w:p>
    <w:p w14:paraId="6320D946" w14:textId="77777777" w:rsidR="00894070" w:rsidRDefault="00894070">
      <w:pPr>
        <w:pStyle w:val="BodyText"/>
      </w:pPr>
    </w:p>
    <w:p w14:paraId="7E3C419F" w14:textId="77777777" w:rsidR="00894070" w:rsidRDefault="00894070">
      <w:pPr>
        <w:pStyle w:val="BodyText"/>
      </w:pPr>
    </w:p>
    <w:p w14:paraId="68AE5FE1" w14:textId="77777777" w:rsidR="00894070" w:rsidRDefault="00894070">
      <w:pPr>
        <w:pStyle w:val="BodyText"/>
        <w:spacing w:before="6"/>
        <w:rPr>
          <w:sz w:val="14"/>
        </w:rPr>
      </w:pPr>
    </w:p>
    <w:p w14:paraId="04A122F8" w14:textId="77777777" w:rsidR="00894070" w:rsidRDefault="009B7AFD">
      <w:pPr>
        <w:pStyle w:val="Heading8"/>
        <w:spacing w:before="49"/>
        <w:ind w:left="1007"/>
      </w:pPr>
      <w:bookmarkStart w:id="86" w:name="_bookmark45"/>
      <w:bookmarkEnd w:id="86"/>
      <w:r>
        <w:rPr>
          <w:color w:val="231F20"/>
        </w:rPr>
        <w:t>Education for police</w:t>
      </w:r>
    </w:p>
    <w:p w14:paraId="34C72A9C" w14:textId="77777777" w:rsidR="00894070" w:rsidRDefault="009B7AFD">
      <w:pPr>
        <w:pStyle w:val="ListParagraph"/>
        <w:numPr>
          <w:ilvl w:val="1"/>
          <w:numId w:val="177"/>
        </w:numPr>
        <w:tabs>
          <w:tab w:val="left" w:pos="1801"/>
          <w:tab w:val="left" w:pos="1802"/>
        </w:tabs>
        <w:spacing w:before="127" w:line="206" w:lineRule="auto"/>
        <w:ind w:right="1175"/>
        <w:rPr>
          <w:sz w:val="20"/>
        </w:rPr>
      </w:pPr>
      <w:r>
        <w:rPr>
          <w:color w:val="231F20"/>
          <w:sz w:val="20"/>
        </w:rPr>
        <w:t xml:space="preserve">Police </w:t>
      </w:r>
      <w:r>
        <w:rPr>
          <w:color w:val="231F20"/>
          <w:spacing w:val="-3"/>
          <w:sz w:val="20"/>
        </w:rPr>
        <w:t xml:space="preserve">are </w:t>
      </w:r>
      <w:r>
        <w:rPr>
          <w:color w:val="231F20"/>
          <w:sz w:val="20"/>
        </w:rPr>
        <w:t xml:space="preserve">a critical part of the response to stalking. As </w:t>
      </w:r>
      <w:r>
        <w:rPr>
          <w:color w:val="231F20"/>
          <w:spacing w:val="-3"/>
          <w:sz w:val="20"/>
        </w:rPr>
        <w:t xml:space="preserve">well </w:t>
      </w:r>
      <w:r>
        <w:rPr>
          <w:color w:val="231F20"/>
          <w:sz w:val="20"/>
        </w:rPr>
        <w:t xml:space="preserve">as </w:t>
      </w:r>
      <w:r>
        <w:rPr>
          <w:color w:val="231F20"/>
          <w:spacing w:val="-3"/>
          <w:sz w:val="20"/>
        </w:rPr>
        <w:t xml:space="preserve">providing </w:t>
      </w:r>
      <w:r>
        <w:rPr>
          <w:color w:val="231F20"/>
          <w:sz w:val="20"/>
        </w:rPr>
        <w:t>emergency responses</w:t>
      </w:r>
      <w:r>
        <w:rPr>
          <w:color w:val="231F20"/>
          <w:spacing w:val="-10"/>
          <w:sz w:val="20"/>
        </w:rPr>
        <w:t xml:space="preserve"> </w:t>
      </w:r>
      <w:r>
        <w:rPr>
          <w:color w:val="231F20"/>
          <w:sz w:val="20"/>
        </w:rPr>
        <w:t>they</w:t>
      </w:r>
      <w:r>
        <w:rPr>
          <w:color w:val="231F20"/>
          <w:spacing w:val="-10"/>
          <w:sz w:val="20"/>
        </w:rPr>
        <w:t xml:space="preserve"> </w:t>
      </w:r>
      <w:r>
        <w:rPr>
          <w:color w:val="231F20"/>
          <w:sz w:val="20"/>
        </w:rPr>
        <w:t>act</w:t>
      </w:r>
      <w:r>
        <w:rPr>
          <w:color w:val="231F20"/>
          <w:spacing w:val="-10"/>
          <w:sz w:val="20"/>
        </w:rPr>
        <w:t xml:space="preserve"> </w:t>
      </w:r>
      <w:r>
        <w:rPr>
          <w:color w:val="231F20"/>
          <w:sz w:val="20"/>
        </w:rPr>
        <w:t>as</w:t>
      </w:r>
      <w:r>
        <w:rPr>
          <w:color w:val="231F20"/>
          <w:spacing w:val="-9"/>
          <w:sz w:val="20"/>
        </w:rPr>
        <w:t xml:space="preserve"> </w:t>
      </w:r>
      <w:r>
        <w:rPr>
          <w:color w:val="231F20"/>
          <w:sz w:val="20"/>
        </w:rPr>
        <w:t>a</w:t>
      </w:r>
      <w:r>
        <w:rPr>
          <w:color w:val="231F20"/>
          <w:spacing w:val="-10"/>
          <w:sz w:val="20"/>
        </w:rPr>
        <w:t xml:space="preserve"> </w:t>
      </w:r>
      <w:r>
        <w:rPr>
          <w:color w:val="231F20"/>
          <w:spacing w:val="-4"/>
          <w:sz w:val="20"/>
        </w:rPr>
        <w:t>gateway</w:t>
      </w:r>
      <w:r>
        <w:rPr>
          <w:color w:val="231F20"/>
          <w:spacing w:val="-10"/>
          <w:sz w:val="20"/>
        </w:rPr>
        <w:t xml:space="preserve"> </w:t>
      </w:r>
      <w:r>
        <w:rPr>
          <w:color w:val="231F20"/>
          <w:sz w:val="20"/>
        </w:rPr>
        <w:t>to</w:t>
      </w:r>
      <w:r>
        <w:rPr>
          <w:color w:val="231F20"/>
          <w:spacing w:val="-9"/>
          <w:sz w:val="20"/>
        </w:rPr>
        <w:t xml:space="preserve"> </w:t>
      </w:r>
      <w:r>
        <w:rPr>
          <w:color w:val="231F20"/>
          <w:sz w:val="20"/>
        </w:rPr>
        <w:t>the</w:t>
      </w:r>
      <w:r>
        <w:rPr>
          <w:color w:val="231F20"/>
          <w:spacing w:val="-10"/>
          <w:sz w:val="20"/>
        </w:rPr>
        <w:t xml:space="preserve"> </w:t>
      </w:r>
      <w:r>
        <w:rPr>
          <w:color w:val="231F20"/>
          <w:sz w:val="20"/>
        </w:rPr>
        <w:t>criminal</w:t>
      </w:r>
      <w:r>
        <w:rPr>
          <w:color w:val="231F20"/>
          <w:spacing w:val="-10"/>
          <w:sz w:val="20"/>
        </w:rPr>
        <w:t xml:space="preserve"> </w:t>
      </w:r>
      <w:r>
        <w:rPr>
          <w:color w:val="231F20"/>
          <w:sz w:val="20"/>
        </w:rPr>
        <w:t>justice</w:t>
      </w:r>
      <w:r>
        <w:rPr>
          <w:color w:val="231F20"/>
          <w:spacing w:val="-9"/>
          <w:sz w:val="20"/>
        </w:rPr>
        <w:t xml:space="preserve"> </w:t>
      </w:r>
      <w:r>
        <w:rPr>
          <w:color w:val="231F20"/>
          <w:spacing w:val="-2"/>
          <w:sz w:val="20"/>
        </w:rPr>
        <w:t>system</w:t>
      </w:r>
      <w:r>
        <w:rPr>
          <w:color w:val="231F20"/>
          <w:spacing w:val="-10"/>
          <w:sz w:val="20"/>
        </w:rPr>
        <w:t xml:space="preserve"> </w:t>
      </w:r>
      <w:r>
        <w:rPr>
          <w:color w:val="231F20"/>
          <w:sz w:val="20"/>
        </w:rPr>
        <w:t>and</w:t>
      </w:r>
      <w:r>
        <w:rPr>
          <w:color w:val="231F20"/>
          <w:spacing w:val="-10"/>
          <w:sz w:val="20"/>
        </w:rPr>
        <w:t xml:space="preserve"> </w:t>
      </w:r>
      <w:r>
        <w:rPr>
          <w:color w:val="231F20"/>
          <w:sz w:val="20"/>
        </w:rPr>
        <w:t>can</w:t>
      </w:r>
      <w:r>
        <w:rPr>
          <w:color w:val="231F20"/>
          <w:spacing w:val="-9"/>
          <w:sz w:val="20"/>
        </w:rPr>
        <w:t xml:space="preserve"> </w:t>
      </w:r>
      <w:r>
        <w:rPr>
          <w:color w:val="231F20"/>
          <w:sz w:val="20"/>
        </w:rPr>
        <w:t>facilitate</w:t>
      </w:r>
      <w:r>
        <w:rPr>
          <w:color w:val="231F20"/>
          <w:spacing w:val="-10"/>
          <w:sz w:val="20"/>
        </w:rPr>
        <w:t xml:space="preserve"> </w:t>
      </w:r>
      <w:r>
        <w:rPr>
          <w:color w:val="231F20"/>
          <w:sz w:val="20"/>
        </w:rPr>
        <w:t xml:space="preserve">access to the civil justice </w:t>
      </w:r>
      <w:r>
        <w:rPr>
          <w:color w:val="231F20"/>
          <w:spacing w:val="-2"/>
          <w:sz w:val="20"/>
        </w:rPr>
        <w:t xml:space="preserve">system </w:t>
      </w:r>
      <w:r>
        <w:rPr>
          <w:color w:val="231F20"/>
          <w:sz w:val="20"/>
        </w:rPr>
        <w:t xml:space="preserve">(see </w:t>
      </w:r>
      <w:r>
        <w:rPr>
          <w:color w:val="231F20"/>
          <w:spacing w:val="-3"/>
          <w:sz w:val="20"/>
        </w:rPr>
        <w:t xml:space="preserve">Chapters </w:t>
      </w:r>
      <w:r>
        <w:rPr>
          <w:color w:val="231F20"/>
          <w:sz w:val="20"/>
        </w:rPr>
        <w:t xml:space="preserve">6 and </w:t>
      </w:r>
      <w:r>
        <w:rPr>
          <w:color w:val="231F20"/>
          <w:spacing w:val="-4"/>
          <w:sz w:val="20"/>
        </w:rPr>
        <w:t xml:space="preserve">7). </w:t>
      </w:r>
      <w:r>
        <w:rPr>
          <w:color w:val="231F20"/>
          <w:sz w:val="20"/>
        </w:rPr>
        <w:t xml:space="preserve">If they do not identify and </w:t>
      </w:r>
      <w:r>
        <w:rPr>
          <w:color w:val="231F20"/>
          <w:spacing w:val="-3"/>
          <w:sz w:val="20"/>
        </w:rPr>
        <w:t xml:space="preserve">record </w:t>
      </w:r>
      <w:r>
        <w:rPr>
          <w:color w:val="231F20"/>
          <w:sz w:val="20"/>
        </w:rPr>
        <w:t xml:space="preserve">stalking, </w:t>
      </w:r>
      <w:r>
        <w:rPr>
          <w:color w:val="231F20"/>
          <w:spacing w:val="-3"/>
          <w:sz w:val="20"/>
        </w:rPr>
        <w:t xml:space="preserve">investigate </w:t>
      </w:r>
      <w:r>
        <w:rPr>
          <w:color w:val="231F20"/>
          <w:sz w:val="20"/>
        </w:rPr>
        <w:t xml:space="preserve">it and file charges, or </w:t>
      </w:r>
      <w:r>
        <w:rPr>
          <w:color w:val="231F20"/>
          <w:spacing w:val="-3"/>
          <w:sz w:val="20"/>
        </w:rPr>
        <w:t xml:space="preserve">prosecute </w:t>
      </w:r>
      <w:r>
        <w:rPr>
          <w:color w:val="231F20"/>
          <w:sz w:val="20"/>
        </w:rPr>
        <w:t xml:space="preserve">personal safety </w:t>
      </w:r>
      <w:r>
        <w:rPr>
          <w:color w:val="231F20"/>
          <w:spacing w:val="-2"/>
          <w:sz w:val="20"/>
        </w:rPr>
        <w:t xml:space="preserve">intervention </w:t>
      </w:r>
      <w:r>
        <w:rPr>
          <w:color w:val="231F20"/>
          <w:sz w:val="20"/>
        </w:rPr>
        <w:t>order (PSIO)</w:t>
      </w:r>
      <w:r>
        <w:rPr>
          <w:color w:val="231F20"/>
          <w:spacing w:val="-7"/>
          <w:sz w:val="20"/>
        </w:rPr>
        <w:t xml:space="preserve"> </w:t>
      </w:r>
      <w:r>
        <w:rPr>
          <w:color w:val="231F20"/>
          <w:sz w:val="20"/>
        </w:rPr>
        <w:t>breach</w:t>
      </w:r>
      <w:r>
        <w:rPr>
          <w:color w:val="231F20"/>
          <w:spacing w:val="-6"/>
          <w:sz w:val="20"/>
        </w:rPr>
        <w:t xml:space="preserve"> </w:t>
      </w:r>
      <w:r>
        <w:rPr>
          <w:color w:val="231F20"/>
          <w:sz w:val="20"/>
        </w:rPr>
        <w:t>offences,</w:t>
      </w:r>
      <w:r>
        <w:rPr>
          <w:color w:val="231F20"/>
          <w:spacing w:val="-6"/>
          <w:sz w:val="20"/>
        </w:rPr>
        <w:t xml:space="preserve"> </w:t>
      </w:r>
      <w:r>
        <w:rPr>
          <w:color w:val="231F20"/>
          <w:sz w:val="20"/>
        </w:rPr>
        <w:t>stalking</w:t>
      </w:r>
      <w:r>
        <w:rPr>
          <w:color w:val="231F20"/>
          <w:spacing w:val="-6"/>
          <w:sz w:val="20"/>
        </w:rPr>
        <w:t xml:space="preserve"> </w:t>
      </w:r>
      <w:r>
        <w:rPr>
          <w:color w:val="231F20"/>
          <w:sz w:val="20"/>
        </w:rPr>
        <w:t>will</w:t>
      </w:r>
      <w:r>
        <w:rPr>
          <w:color w:val="231F20"/>
          <w:spacing w:val="-7"/>
          <w:sz w:val="20"/>
        </w:rPr>
        <w:t xml:space="preserve"> </w:t>
      </w:r>
      <w:r>
        <w:rPr>
          <w:color w:val="231F20"/>
          <w:sz w:val="20"/>
        </w:rPr>
        <w:t>be</w:t>
      </w:r>
      <w:r>
        <w:rPr>
          <w:color w:val="231F20"/>
          <w:spacing w:val="-6"/>
          <w:sz w:val="20"/>
        </w:rPr>
        <w:t xml:space="preserve"> </w:t>
      </w:r>
      <w:r>
        <w:rPr>
          <w:color w:val="231F20"/>
          <w:sz w:val="20"/>
        </w:rPr>
        <w:t>ignored</w:t>
      </w:r>
      <w:r>
        <w:rPr>
          <w:color w:val="231F20"/>
          <w:spacing w:val="-6"/>
          <w:sz w:val="20"/>
        </w:rPr>
        <w:t xml:space="preserve"> </w:t>
      </w:r>
      <w:r>
        <w:rPr>
          <w:color w:val="231F20"/>
          <w:spacing w:val="-3"/>
          <w:sz w:val="20"/>
        </w:rPr>
        <w:t>by</w:t>
      </w:r>
      <w:r>
        <w:rPr>
          <w:color w:val="231F20"/>
          <w:spacing w:val="-6"/>
          <w:sz w:val="20"/>
        </w:rPr>
        <w:t xml:space="preserve"> </w:t>
      </w:r>
      <w:r>
        <w:rPr>
          <w:color w:val="231F20"/>
          <w:sz w:val="20"/>
        </w:rPr>
        <w:t>the</w:t>
      </w:r>
      <w:r>
        <w:rPr>
          <w:color w:val="231F20"/>
          <w:spacing w:val="-7"/>
          <w:sz w:val="20"/>
        </w:rPr>
        <w:t xml:space="preserve"> </w:t>
      </w:r>
      <w:r>
        <w:rPr>
          <w:color w:val="231F20"/>
          <w:sz w:val="20"/>
        </w:rPr>
        <w:t>justice</w:t>
      </w:r>
      <w:r>
        <w:rPr>
          <w:color w:val="231F20"/>
          <w:spacing w:val="-6"/>
          <w:sz w:val="20"/>
        </w:rPr>
        <w:t xml:space="preserve"> </w:t>
      </w:r>
      <w:r>
        <w:rPr>
          <w:color w:val="231F20"/>
          <w:sz w:val="20"/>
        </w:rPr>
        <w:t>system.</w:t>
      </w:r>
    </w:p>
    <w:p w14:paraId="57BA6415" w14:textId="77777777" w:rsidR="00894070" w:rsidRDefault="009B7AFD">
      <w:pPr>
        <w:pStyle w:val="ListParagraph"/>
        <w:numPr>
          <w:ilvl w:val="1"/>
          <w:numId w:val="177"/>
        </w:numPr>
        <w:tabs>
          <w:tab w:val="left" w:pos="1802"/>
        </w:tabs>
        <w:spacing w:before="126" w:line="206" w:lineRule="auto"/>
        <w:ind w:right="1597"/>
        <w:jc w:val="both"/>
        <w:rPr>
          <w:sz w:val="20"/>
        </w:rPr>
      </w:pPr>
      <w:r>
        <w:rPr>
          <w:color w:val="231F20"/>
          <w:sz w:val="20"/>
        </w:rPr>
        <w:t xml:space="preserve">In our </w:t>
      </w:r>
      <w:r>
        <w:rPr>
          <w:color w:val="231F20"/>
          <w:spacing w:val="-3"/>
          <w:sz w:val="20"/>
        </w:rPr>
        <w:t xml:space="preserve">interim </w:t>
      </w:r>
      <w:r>
        <w:rPr>
          <w:color w:val="231F20"/>
          <w:sz w:val="20"/>
        </w:rPr>
        <w:t xml:space="preserve">report </w:t>
      </w:r>
      <w:r>
        <w:rPr>
          <w:color w:val="231F20"/>
          <w:spacing w:val="-3"/>
          <w:sz w:val="20"/>
        </w:rPr>
        <w:t xml:space="preserve">we </w:t>
      </w:r>
      <w:r>
        <w:rPr>
          <w:color w:val="231F20"/>
          <w:sz w:val="20"/>
        </w:rPr>
        <w:t xml:space="preserve">made recommendations to </w:t>
      </w:r>
      <w:r>
        <w:rPr>
          <w:color w:val="231F20"/>
          <w:spacing w:val="-4"/>
          <w:sz w:val="20"/>
        </w:rPr>
        <w:t xml:space="preserve">improve </w:t>
      </w:r>
      <w:r>
        <w:rPr>
          <w:color w:val="231F20"/>
          <w:sz w:val="20"/>
        </w:rPr>
        <w:t xml:space="preserve">the </w:t>
      </w:r>
      <w:r>
        <w:rPr>
          <w:color w:val="231F20"/>
          <w:spacing w:val="-4"/>
          <w:sz w:val="20"/>
        </w:rPr>
        <w:t xml:space="preserve">ways </w:t>
      </w:r>
      <w:r>
        <w:rPr>
          <w:color w:val="231F20"/>
          <w:sz w:val="20"/>
        </w:rPr>
        <w:t>that Victoria Police</w:t>
      </w:r>
      <w:r>
        <w:rPr>
          <w:color w:val="231F20"/>
          <w:spacing w:val="-13"/>
          <w:sz w:val="20"/>
        </w:rPr>
        <w:t xml:space="preserve"> </w:t>
      </w:r>
      <w:r>
        <w:rPr>
          <w:color w:val="231F20"/>
          <w:sz w:val="20"/>
        </w:rPr>
        <w:t>identifies</w:t>
      </w:r>
      <w:r>
        <w:rPr>
          <w:color w:val="231F20"/>
          <w:spacing w:val="-13"/>
          <w:sz w:val="20"/>
        </w:rPr>
        <w:t xml:space="preserve"> </w:t>
      </w:r>
      <w:r>
        <w:rPr>
          <w:color w:val="231F20"/>
          <w:sz w:val="20"/>
        </w:rPr>
        <w:t>and</w:t>
      </w:r>
      <w:r>
        <w:rPr>
          <w:color w:val="231F20"/>
          <w:spacing w:val="-13"/>
          <w:sz w:val="20"/>
        </w:rPr>
        <w:t xml:space="preserve"> </w:t>
      </w:r>
      <w:r>
        <w:rPr>
          <w:color w:val="231F20"/>
          <w:sz w:val="20"/>
        </w:rPr>
        <w:t>responds</w:t>
      </w:r>
      <w:r>
        <w:rPr>
          <w:color w:val="231F20"/>
          <w:spacing w:val="-13"/>
          <w:sz w:val="20"/>
        </w:rPr>
        <w:t xml:space="preserve"> </w:t>
      </w:r>
      <w:r>
        <w:rPr>
          <w:color w:val="231F20"/>
          <w:sz w:val="20"/>
        </w:rPr>
        <w:t>to</w:t>
      </w:r>
      <w:r>
        <w:rPr>
          <w:color w:val="231F20"/>
          <w:spacing w:val="-12"/>
          <w:sz w:val="20"/>
        </w:rPr>
        <w:t xml:space="preserve"> </w:t>
      </w:r>
      <w:r>
        <w:rPr>
          <w:color w:val="231F20"/>
          <w:sz w:val="20"/>
        </w:rPr>
        <w:t>stalking,</w:t>
      </w:r>
      <w:r>
        <w:rPr>
          <w:color w:val="231F20"/>
          <w:spacing w:val="-13"/>
          <w:sz w:val="20"/>
        </w:rPr>
        <w:t xml:space="preserve"> </w:t>
      </w:r>
      <w:r>
        <w:rPr>
          <w:color w:val="231F20"/>
          <w:sz w:val="20"/>
        </w:rPr>
        <w:t>including</w:t>
      </w:r>
      <w:r>
        <w:rPr>
          <w:color w:val="231F20"/>
          <w:spacing w:val="-13"/>
          <w:sz w:val="20"/>
        </w:rPr>
        <w:t xml:space="preserve"> </w:t>
      </w:r>
      <w:r>
        <w:rPr>
          <w:color w:val="231F20"/>
          <w:spacing w:val="-3"/>
          <w:sz w:val="20"/>
        </w:rPr>
        <w:t>through</w:t>
      </w:r>
      <w:r>
        <w:rPr>
          <w:color w:val="231F20"/>
          <w:spacing w:val="-13"/>
          <w:sz w:val="20"/>
        </w:rPr>
        <w:t xml:space="preserve"> </w:t>
      </w:r>
      <w:r>
        <w:rPr>
          <w:color w:val="231F20"/>
          <w:sz w:val="20"/>
        </w:rPr>
        <w:t>education</w:t>
      </w:r>
      <w:r>
        <w:rPr>
          <w:color w:val="231F20"/>
          <w:spacing w:val="-12"/>
          <w:sz w:val="20"/>
        </w:rPr>
        <w:t xml:space="preserve"> </w:t>
      </w:r>
      <w:r>
        <w:rPr>
          <w:color w:val="231F20"/>
          <w:sz w:val="20"/>
        </w:rPr>
        <w:t>and</w:t>
      </w:r>
      <w:r>
        <w:rPr>
          <w:color w:val="231F20"/>
          <w:spacing w:val="-13"/>
          <w:sz w:val="20"/>
        </w:rPr>
        <w:t xml:space="preserve"> </w:t>
      </w:r>
      <w:r>
        <w:rPr>
          <w:color w:val="231F20"/>
          <w:sz w:val="20"/>
        </w:rPr>
        <w:t>training (see</w:t>
      </w:r>
      <w:r>
        <w:rPr>
          <w:color w:val="231F20"/>
          <w:spacing w:val="-4"/>
          <w:sz w:val="20"/>
        </w:rPr>
        <w:t xml:space="preserve"> </w:t>
      </w:r>
      <w:r>
        <w:rPr>
          <w:color w:val="231F20"/>
          <w:spacing w:val="-3"/>
          <w:sz w:val="20"/>
        </w:rPr>
        <w:t>box).</w:t>
      </w:r>
    </w:p>
    <w:p w14:paraId="249E696D" w14:textId="77777777" w:rsidR="00894070" w:rsidRDefault="009F6793">
      <w:pPr>
        <w:pStyle w:val="BodyText"/>
        <w:spacing w:before="8"/>
        <w:rPr>
          <w:sz w:val="23"/>
        </w:rPr>
      </w:pPr>
      <w:r>
        <w:pict w14:anchorId="20B394E1">
          <v:shape id="_x0000_s1472" type="#_x0000_t202" style="position:absolute;margin-left:79.6pt;margin-top:18.6pt;width:436.05pt;height:200.1pt;z-index:251563008;mso-wrap-distance-left:0;mso-wrap-distance-right:0;mso-position-horizontal-relative:page" fillcolor="#fee7de" strokecolor="#ea5b50" strokeweight=".5pt">
            <v:textbox inset="0,0,0,0">
              <w:txbxContent>
                <w:p w14:paraId="7206F8E6" w14:textId="77777777" w:rsidR="00894070" w:rsidRDefault="00894070">
                  <w:pPr>
                    <w:pStyle w:val="BodyText"/>
                    <w:spacing w:before="3"/>
                    <w:rPr>
                      <w:sz w:val="15"/>
                    </w:rPr>
                  </w:pPr>
                </w:p>
                <w:p w14:paraId="1087754F" w14:textId="77777777" w:rsidR="00894070" w:rsidRDefault="009B7AFD">
                  <w:pPr>
                    <w:spacing w:line="206" w:lineRule="auto"/>
                    <w:ind w:left="221" w:right="429"/>
                    <w:rPr>
                      <w:sz w:val="11"/>
                    </w:rPr>
                  </w:pPr>
                  <w:r>
                    <w:rPr>
                      <w:b/>
                      <w:color w:val="231F20"/>
                      <w:sz w:val="20"/>
                    </w:rPr>
                    <w:t>Recommendations on police education and training from our interim report on stalking</w:t>
                  </w:r>
                  <w:r>
                    <w:rPr>
                      <w:color w:val="231F20"/>
                      <w:position w:val="7"/>
                      <w:sz w:val="11"/>
                    </w:rPr>
                    <w:t>88</w:t>
                  </w:r>
                </w:p>
                <w:p w14:paraId="37AC24F3" w14:textId="77777777" w:rsidR="00894070" w:rsidRDefault="009B7AFD">
                  <w:pPr>
                    <w:pStyle w:val="BodyText"/>
                    <w:spacing w:before="122" w:line="206" w:lineRule="auto"/>
                    <w:ind w:left="221"/>
                  </w:pPr>
                  <w:r>
                    <w:rPr>
                      <w:b/>
                      <w:color w:val="231F20"/>
                    </w:rPr>
                    <w:t xml:space="preserve">Recommendation 1: </w:t>
                  </w:r>
                  <w:r>
                    <w:rPr>
                      <w:color w:val="231F20"/>
                    </w:rPr>
                    <w:t>Victoria Police should engage with appropriate experts to provide training to enhance the understanding of frontline police to identify stalking behaviours as set out in the Act.</w:t>
                  </w:r>
                </w:p>
                <w:p w14:paraId="62126288" w14:textId="77777777" w:rsidR="00894070" w:rsidRDefault="009B7AFD">
                  <w:pPr>
                    <w:pStyle w:val="BodyText"/>
                    <w:spacing w:before="124" w:line="206" w:lineRule="auto"/>
                    <w:ind w:left="221" w:right="820"/>
                  </w:pPr>
                  <w:r>
                    <w:rPr>
                      <w:b/>
                      <w:color w:val="231F20"/>
                    </w:rPr>
                    <w:t xml:space="preserve">Recommendation 2: </w:t>
                  </w:r>
                  <w:r>
                    <w:rPr>
                      <w:color w:val="231F20"/>
                    </w:rPr>
                    <w:t>Victoria Police should develop guidance for frontline police on</w:t>
                  </w:r>
                  <w:r>
                    <w:rPr>
                      <w:color w:val="231F20"/>
                      <w:spacing w:val="-6"/>
                    </w:rPr>
                    <w:t xml:space="preserve"> </w:t>
                  </w:r>
                  <w:r>
                    <w:rPr>
                      <w:color w:val="231F20"/>
                    </w:rPr>
                    <w:t>interviewing</w:t>
                  </w:r>
                  <w:r>
                    <w:rPr>
                      <w:color w:val="231F20"/>
                      <w:spacing w:val="-5"/>
                    </w:rPr>
                    <w:t xml:space="preserve"> </w:t>
                  </w:r>
                  <w:r>
                    <w:rPr>
                      <w:color w:val="231F20"/>
                    </w:rPr>
                    <w:t>and</w:t>
                  </w:r>
                  <w:r>
                    <w:rPr>
                      <w:color w:val="231F20"/>
                      <w:spacing w:val="-5"/>
                    </w:rPr>
                    <w:t xml:space="preserve"> </w:t>
                  </w:r>
                  <w:r>
                    <w:rPr>
                      <w:color w:val="231F20"/>
                    </w:rPr>
                    <w:t>communicating</w:t>
                  </w:r>
                  <w:r>
                    <w:rPr>
                      <w:color w:val="231F20"/>
                      <w:spacing w:val="-6"/>
                    </w:rPr>
                    <w:t xml:space="preserve"> </w:t>
                  </w:r>
                  <w:r>
                    <w:rPr>
                      <w:color w:val="231F20"/>
                    </w:rPr>
                    <w:t>with</w:t>
                  </w:r>
                  <w:r>
                    <w:rPr>
                      <w:color w:val="231F20"/>
                      <w:spacing w:val="-5"/>
                    </w:rPr>
                    <w:t xml:space="preserve"> </w:t>
                  </w:r>
                  <w:r>
                    <w:rPr>
                      <w:color w:val="231F20"/>
                    </w:rPr>
                    <w:t>victim</w:t>
                  </w:r>
                  <w:r>
                    <w:rPr>
                      <w:color w:val="231F20"/>
                      <w:spacing w:val="-5"/>
                    </w:rPr>
                    <w:t xml:space="preserve"> </w:t>
                  </w:r>
                  <w:r>
                    <w:rPr>
                      <w:color w:val="231F20"/>
                    </w:rPr>
                    <w:t>survivors</w:t>
                  </w:r>
                  <w:r>
                    <w:rPr>
                      <w:color w:val="231F20"/>
                      <w:spacing w:val="-5"/>
                    </w:rPr>
                    <w:t xml:space="preserve"> </w:t>
                  </w:r>
                  <w:r>
                    <w:rPr>
                      <w:color w:val="231F20"/>
                    </w:rPr>
                    <w:t>of</w:t>
                  </w:r>
                  <w:r>
                    <w:rPr>
                      <w:color w:val="231F20"/>
                      <w:spacing w:val="-6"/>
                    </w:rPr>
                    <w:t xml:space="preserve"> </w:t>
                  </w:r>
                  <w:r>
                    <w:rPr>
                      <w:color w:val="231F20"/>
                    </w:rPr>
                    <w:t>stalking,</w:t>
                  </w:r>
                  <w:r>
                    <w:rPr>
                      <w:color w:val="231F20"/>
                      <w:spacing w:val="-5"/>
                    </w:rPr>
                    <w:t xml:space="preserve"> </w:t>
                  </w:r>
                  <w:r>
                    <w:rPr>
                      <w:color w:val="231F20"/>
                    </w:rPr>
                    <w:t>with</w:t>
                  </w:r>
                  <w:r>
                    <w:rPr>
                      <w:color w:val="231F20"/>
                      <w:spacing w:val="-5"/>
                    </w:rPr>
                    <w:t xml:space="preserve"> </w:t>
                  </w:r>
                  <w:r>
                    <w:rPr>
                      <w:color w:val="231F20"/>
                    </w:rPr>
                    <w:t>the</w:t>
                  </w:r>
                  <w:r>
                    <w:rPr>
                      <w:color w:val="231F20"/>
                      <w:spacing w:val="-6"/>
                    </w:rPr>
                    <w:t xml:space="preserve"> </w:t>
                  </w:r>
                  <w:r>
                    <w:rPr>
                      <w:color w:val="231F20"/>
                    </w:rPr>
                    <w:t>aim</w:t>
                  </w:r>
                  <w:r>
                    <w:rPr>
                      <w:color w:val="231F20"/>
                      <w:spacing w:val="-5"/>
                    </w:rPr>
                    <w:t xml:space="preserve"> </w:t>
                  </w:r>
                  <w:r>
                    <w:rPr>
                      <w:color w:val="231F20"/>
                    </w:rPr>
                    <w:t>of</w:t>
                  </w:r>
                </w:p>
                <w:p w14:paraId="765AD697" w14:textId="77777777" w:rsidR="00894070" w:rsidRDefault="009B7AFD">
                  <w:pPr>
                    <w:pStyle w:val="BodyText"/>
                    <w:spacing w:line="229" w:lineRule="exact"/>
                    <w:ind w:left="221"/>
                  </w:pPr>
                  <w:r>
                    <w:rPr>
                      <w:color w:val="231F20"/>
                    </w:rPr>
                    <w:t>improving the gathering, recording, and management of evidence and the investigation of</w:t>
                  </w:r>
                </w:p>
                <w:p w14:paraId="15E7613C" w14:textId="77777777" w:rsidR="00894070" w:rsidRDefault="009B7AFD">
                  <w:pPr>
                    <w:pStyle w:val="BodyText"/>
                    <w:spacing w:line="259" w:lineRule="exact"/>
                    <w:ind w:left="221"/>
                  </w:pPr>
                  <w:r>
                    <w:rPr>
                      <w:color w:val="231F20"/>
                    </w:rPr>
                    <w:t>cases.</w:t>
                  </w:r>
                </w:p>
                <w:p w14:paraId="6889F05E" w14:textId="77777777" w:rsidR="00894070" w:rsidRDefault="009B7AFD">
                  <w:pPr>
                    <w:spacing w:before="83" w:line="259" w:lineRule="exact"/>
                    <w:ind w:left="221"/>
                    <w:rPr>
                      <w:sz w:val="20"/>
                    </w:rPr>
                  </w:pPr>
                  <w:r>
                    <w:rPr>
                      <w:b/>
                      <w:color w:val="231F20"/>
                      <w:sz w:val="20"/>
                    </w:rPr>
                    <w:t xml:space="preserve">Recommendation 3: </w:t>
                  </w:r>
                  <w:r>
                    <w:rPr>
                      <w:color w:val="231F20"/>
                      <w:sz w:val="20"/>
                    </w:rPr>
                    <w:t>Victoria Police should develop guidance for identifying and</w:t>
                  </w:r>
                </w:p>
                <w:p w14:paraId="0ED7417C" w14:textId="77777777" w:rsidR="00894070" w:rsidRDefault="009B7AFD">
                  <w:pPr>
                    <w:pStyle w:val="BodyText"/>
                    <w:spacing w:line="259" w:lineRule="exact"/>
                    <w:ind w:left="221"/>
                  </w:pPr>
                  <w:r>
                    <w:rPr>
                      <w:color w:val="231F20"/>
                    </w:rPr>
                    <w:t>gathering information about stalking for frontline police.</w:t>
                  </w:r>
                </w:p>
                <w:p w14:paraId="72F7E4C5" w14:textId="77777777" w:rsidR="00894070" w:rsidRDefault="009B7AFD">
                  <w:pPr>
                    <w:spacing w:before="82" w:line="259" w:lineRule="exact"/>
                    <w:ind w:left="221"/>
                    <w:rPr>
                      <w:sz w:val="20"/>
                    </w:rPr>
                  </w:pPr>
                  <w:r>
                    <w:rPr>
                      <w:b/>
                      <w:color w:val="231F20"/>
                      <w:sz w:val="20"/>
                    </w:rPr>
                    <w:t xml:space="preserve">Recommendation 9: </w:t>
                  </w:r>
                  <w:r>
                    <w:rPr>
                      <w:color w:val="231F20"/>
                      <w:sz w:val="20"/>
                    </w:rPr>
                    <w:t>The Whole Story investigation framework should be used by</w:t>
                  </w:r>
                </w:p>
                <w:p w14:paraId="2B1058A5" w14:textId="77777777" w:rsidR="00894070" w:rsidRDefault="009B7AFD">
                  <w:pPr>
                    <w:pStyle w:val="BodyText"/>
                    <w:spacing w:line="259" w:lineRule="exact"/>
                    <w:ind w:left="221"/>
                    <w:rPr>
                      <w:sz w:val="11"/>
                    </w:rPr>
                  </w:pPr>
                  <w:r>
                    <w:rPr>
                      <w:color w:val="231F20"/>
                    </w:rPr>
                    <w:t>Victoria Police for reports of stalking.</w:t>
                  </w:r>
                  <w:r>
                    <w:rPr>
                      <w:color w:val="231F20"/>
                      <w:position w:val="7"/>
                      <w:sz w:val="11"/>
                    </w:rPr>
                    <w:t>89</w:t>
                  </w:r>
                </w:p>
              </w:txbxContent>
            </v:textbox>
            <w10:wrap type="topAndBottom" anchorx="page"/>
          </v:shape>
        </w:pict>
      </w:r>
    </w:p>
    <w:p w14:paraId="6C3F2E5F" w14:textId="77777777" w:rsidR="00894070" w:rsidRDefault="00894070">
      <w:pPr>
        <w:pStyle w:val="BodyText"/>
        <w:spacing w:before="3"/>
        <w:rPr>
          <w:sz w:val="29"/>
        </w:rPr>
      </w:pPr>
    </w:p>
    <w:p w14:paraId="4EE2E00E" w14:textId="77777777" w:rsidR="00894070" w:rsidRDefault="009B7AFD">
      <w:pPr>
        <w:pStyle w:val="Heading8"/>
        <w:spacing w:before="48"/>
        <w:ind w:left="1007"/>
      </w:pPr>
      <w:r>
        <w:rPr>
          <w:color w:val="231F20"/>
        </w:rPr>
        <w:t>Education for other people working in the justice system</w:t>
      </w:r>
    </w:p>
    <w:p w14:paraId="70BA6880" w14:textId="77777777" w:rsidR="00894070" w:rsidRDefault="009B7AFD">
      <w:pPr>
        <w:pStyle w:val="ListParagraph"/>
        <w:numPr>
          <w:ilvl w:val="1"/>
          <w:numId w:val="177"/>
        </w:numPr>
        <w:tabs>
          <w:tab w:val="left" w:pos="1801"/>
          <w:tab w:val="left" w:pos="1802"/>
        </w:tabs>
        <w:spacing w:before="127" w:line="206" w:lineRule="auto"/>
        <w:ind w:right="1263"/>
        <w:rPr>
          <w:sz w:val="20"/>
        </w:rPr>
      </w:pPr>
      <w:r>
        <w:rPr>
          <w:color w:val="231F20"/>
          <w:spacing w:val="-3"/>
          <w:sz w:val="20"/>
        </w:rPr>
        <w:t>Everyone</w:t>
      </w:r>
      <w:r>
        <w:rPr>
          <w:color w:val="231F20"/>
          <w:spacing w:val="-8"/>
          <w:sz w:val="20"/>
        </w:rPr>
        <w:t xml:space="preserve"> </w:t>
      </w:r>
      <w:r>
        <w:rPr>
          <w:color w:val="231F20"/>
          <w:sz w:val="20"/>
        </w:rPr>
        <w:t>who</w:t>
      </w:r>
      <w:r>
        <w:rPr>
          <w:color w:val="231F20"/>
          <w:spacing w:val="-8"/>
          <w:sz w:val="20"/>
        </w:rPr>
        <w:t xml:space="preserve"> </w:t>
      </w:r>
      <w:r>
        <w:rPr>
          <w:color w:val="231F20"/>
          <w:sz w:val="20"/>
        </w:rPr>
        <w:t>works</w:t>
      </w:r>
      <w:r>
        <w:rPr>
          <w:color w:val="231F20"/>
          <w:spacing w:val="-7"/>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justice</w:t>
      </w:r>
      <w:r>
        <w:rPr>
          <w:color w:val="231F20"/>
          <w:spacing w:val="-7"/>
          <w:sz w:val="20"/>
        </w:rPr>
        <w:t xml:space="preserve"> </w:t>
      </w:r>
      <w:r>
        <w:rPr>
          <w:color w:val="231F20"/>
          <w:spacing w:val="-2"/>
          <w:sz w:val="20"/>
        </w:rPr>
        <w:t>system</w:t>
      </w:r>
      <w:r>
        <w:rPr>
          <w:color w:val="231F20"/>
          <w:spacing w:val="-8"/>
          <w:sz w:val="20"/>
        </w:rPr>
        <w:t xml:space="preserve"> </w:t>
      </w:r>
      <w:r>
        <w:rPr>
          <w:color w:val="231F20"/>
          <w:sz w:val="20"/>
        </w:rPr>
        <w:t>should</w:t>
      </w:r>
      <w:r>
        <w:rPr>
          <w:color w:val="231F20"/>
          <w:spacing w:val="-7"/>
          <w:sz w:val="20"/>
        </w:rPr>
        <w:t xml:space="preserve"> </w:t>
      </w:r>
      <w:r>
        <w:rPr>
          <w:color w:val="231F20"/>
          <w:spacing w:val="-3"/>
          <w:sz w:val="20"/>
        </w:rPr>
        <w:t>receive</w:t>
      </w:r>
      <w:r>
        <w:rPr>
          <w:color w:val="231F20"/>
          <w:spacing w:val="-8"/>
          <w:sz w:val="20"/>
        </w:rPr>
        <w:t xml:space="preserve"> </w:t>
      </w:r>
      <w:r>
        <w:rPr>
          <w:color w:val="231F20"/>
          <w:sz w:val="20"/>
        </w:rPr>
        <w:t>some</w:t>
      </w:r>
      <w:r>
        <w:rPr>
          <w:color w:val="231F20"/>
          <w:spacing w:val="-8"/>
          <w:sz w:val="20"/>
        </w:rPr>
        <w:t xml:space="preserve"> </w:t>
      </w:r>
      <w:r>
        <w:rPr>
          <w:color w:val="231F20"/>
          <w:sz w:val="20"/>
        </w:rPr>
        <w:t>education.</w:t>
      </w:r>
      <w:r>
        <w:rPr>
          <w:color w:val="231F20"/>
          <w:spacing w:val="-7"/>
          <w:sz w:val="20"/>
        </w:rPr>
        <w:t xml:space="preserve"> </w:t>
      </w:r>
      <w:r>
        <w:rPr>
          <w:color w:val="231F20"/>
          <w:spacing w:val="-6"/>
          <w:sz w:val="20"/>
        </w:rPr>
        <w:t>We</w:t>
      </w:r>
      <w:r>
        <w:rPr>
          <w:color w:val="231F20"/>
          <w:spacing w:val="-8"/>
          <w:sz w:val="20"/>
        </w:rPr>
        <w:t xml:space="preserve"> </w:t>
      </w:r>
      <w:r>
        <w:rPr>
          <w:color w:val="231F20"/>
          <w:sz w:val="20"/>
        </w:rPr>
        <w:t xml:space="preserve">discuss these general areas next. Later in the </w:t>
      </w:r>
      <w:r>
        <w:rPr>
          <w:color w:val="231F20"/>
          <w:spacing w:val="-3"/>
          <w:sz w:val="20"/>
        </w:rPr>
        <w:t xml:space="preserve">chapter we </w:t>
      </w:r>
      <w:r>
        <w:rPr>
          <w:color w:val="231F20"/>
          <w:sz w:val="20"/>
        </w:rPr>
        <w:t xml:space="preserve">identify specific areas of </w:t>
      </w:r>
      <w:r>
        <w:rPr>
          <w:color w:val="231F20"/>
          <w:spacing w:val="-3"/>
          <w:sz w:val="20"/>
        </w:rPr>
        <w:t>focus for prosecutors</w:t>
      </w:r>
      <w:r>
        <w:rPr>
          <w:color w:val="231F20"/>
          <w:spacing w:val="-6"/>
          <w:sz w:val="20"/>
        </w:rPr>
        <w:t xml:space="preserve"> </w:t>
      </w:r>
      <w:r>
        <w:rPr>
          <w:color w:val="231F20"/>
          <w:sz w:val="20"/>
        </w:rPr>
        <w:t>and</w:t>
      </w:r>
      <w:r>
        <w:rPr>
          <w:color w:val="231F20"/>
          <w:spacing w:val="-6"/>
          <w:sz w:val="20"/>
        </w:rPr>
        <w:t xml:space="preserve"> </w:t>
      </w:r>
      <w:r>
        <w:rPr>
          <w:color w:val="231F20"/>
          <w:sz w:val="20"/>
        </w:rPr>
        <w:t>judicial</w:t>
      </w:r>
      <w:r>
        <w:rPr>
          <w:color w:val="231F20"/>
          <w:spacing w:val="-5"/>
          <w:sz w:val="20"/>
        </w:rPr>
        <w:t xml:space="preserve"> </w:t>
      </w:r>
      <w:r>
        <w:rPr>
          <w:color w:val="231F20"/>
          <w:sz w:val="20"/>
        </w:rPr>
        <w:t>officers,</w:t>
      </w:r>
      <w:r>
        <w:rPr>
          <w:color w:val="231F20"/>
          <w:spacing w:val="-6"/>
          <w:sz w:val="20"/>
        </w:rPr>
        <w:t xml:space="preserve"> </w:t>
      </w:r>
      <w:r>
        <w:rPr>
          <w:color w:val="231F20"/>
          <w:sz w:val="20"/>
        </w:rPr>
        <w:t>judicial</w:t>
      </w:r>
      <w:r>
        <w:rPr>
          <w:color w:val="231F20"/>
          <w:spacing w:val="-5"/>
          <w:sz w:val="20"/>
        </w:rPr>
        <w:t xml:space="preserve"> </w:t>
      </w:r>
      <w:proofErr w:type="gramStart"/>
      <w:r>
        <w:rPr>
          <w:color w:val="231F20"/>
          <w:sz w:val="20"/>
        </w:rPr>
        <w:t>registrars</w:t>
      </w:r>
      <w:proofErr w:type="gramEnd"/>
      <w:r>
        <w:rPr>
          <w:color w:val="231F20"/>
          <w:spacing w:val="-6"/>
          <w:sz w:val="20"/>
        </w:rPr>
        <w:t xml:space="preserve"> </w:t>
      </w:r>
      <w:r>
        <w:rPr>
          <w:color w:val="231F20"/>
          <w:sz w:val="20"/>
        </w:rPr>
        <w:t>and</w:t>
      </w:r>
      <w:r>
        <w:rPr>
          <w:color w:val="231F20"/>
          <w:spacing w:val="-6"/>
          <w:sz w:val="20"/>
        </w:rPr>
        <w:t xml:space="preserve"> </w:t>
      </w:r>
      <w:r>
        <w:rPr>
          <w:color w:val="231F20"/>
          <w:sz w:val="20"/>
        </w:rPr>
        <w:t>court</w:t>
      </w:r>
      <w:r>
        <w:rPr>
          <w:color w:val="231F20"/>
          <w:spacing w:val="-5"/>
          <w:sz w:val="20"/>
        </w:rPr>
        <w:t xml:space="preserve"> </w:t>
      </w:r>
      <w:r>
        <w:rPr>
          <w:color w:val="231F20"/>
          <w:spacing w:val="-4"/>
          <w:sz w:val="20"/>
        </w:rPr>
        <w:t>staff.</w:t>
      </w:r>
    </w:p>
    <w:p w14:paraId="3A47FA86" w14:textId="77777777" w:rsidR="00894070" w:rsidRDefault="009B7AFD">
      <w:pPr>
        <w:pStyle w:val="Heading9"/>
        <w:spacing w:before="129"/>
        <w:rPr>
          <w:b/>
        </w:rPr>
      </w:pPr>
      <w:r>
        <w:rPr>
          <w:b/>
          <w:color w:val="231F20"/>
        </w:rPr>
        <w:t>Awareness of barriers to justice and victim survivor needs</w:t>
      </w:r>
    </w:p>
    <w:p w14:paraId="7662C29D" w14:textId="77777777" w:rsidR="00894070" w:rsidRDefault="009B7AFD">
      <w:pPr>
        <w:pStyle w:val="ListParagraph"/>
        <w:numPr>
          <w:ilvl w:val="1"/>
          <w:numId w:val="177"/>
        </w:numPr>
        <w:tabs>
          <w:tab w:val="left" w:pos="1801"/>
          <w:tab w:val="left" w:pos="1802"/>
        </w:tabs>
        <w:spacing w:before="132" w:line="206" w:lineRule="auto"/>
        <w:ind w:right="1171"/>
        <w:rPr>
          <w:sz w:val="20"/>
        </w:rPr>
      </w:pPr>
      <w:r>
        <w:rPr>
          <w:color w:val="231F20"/>
          <w:sz w:val="20"/>
        </w:rPr>
        <w:t xml:space="preserve">Most people face barriers to reporting and disclosing stalking (see </w:t>
      </w:r>
      <w:r>
        <w:rPr>
          <w:color w:val="231F20"/>
          <w:spacing w:val="-3"/>
          <w:sz w:val="20"/>
        </w:rPr>
        <w:t xml:space="preserve">Chapter </w:t>
      </w:r>
      <w:r>
        <w:rPr>
          <w:color w:val="231F20"/>
          <w:sz w:val="20"/>
        </w:rPr>
        <w:t>2) and cyberstalking</w:t>
      </w:r>
      <w:r>
        <w:rPr>
          <w:color w:val="231F20"/>
          <w:spacing w:val="-9"/>
          <w:sz w:val="20"/>
        </w:rPr>
        <w:t xml:space="preserve"> </w:t>
      </w:r>
      <w:r>
        <w:rPr>
          <w:color w:val="231F20"/>
          <w:sz w:val="20"/>
        </w:rPr>
        <w:t>(see</w:t>
      </w:r>
      <w:r>
        <w:rPr>
          <w:color w:val="231F20"/>
          <w:spacing w:val="-9"/>
          <w:sz w:val="20"/>
        </w:rPr>
        <w:t xml:space="preserve"> </w:t>
      </w:r>
      <w:r>
        <w:rPr>
          <w:color w:val="231F20"/>
          <w:spacing w:val="-3"/>
          <w:sz w:val="20"/>
        </w:rPr>
        <w:t>Chapter</w:t>
      </w:r>
      <w:r>
        <w:rPr>
          <w:color w:val="231F20"/>
          <w:spacing w:val="-9"/>
          <w:sz w:val="20"/>
        </w:rPr>
        <w:t xml:space="preserve"> </w:t>
      </w:r>
      <w:r>
        <w:rPr>
          <w:color w:val="231F20"/>
          <w:spacing w:val="-3"/>
          <w:sz w:val="20"/>
        </w:rPr>
        <w:t>3).</w:t>
      </w:r>
      <w:r>
        <w:rPr>
          <w:color w:val="231F20"/>
          <w:spacing w:val="-8"/>
          <w:sz w:val="20"/>
        </w:rPr>
        <w:t xml:space="preserve"> </w:t>
      </w:r>
      <w:r>
        <w:rPr>
          <w:color w:val="231F20"/>
          <w:spacing w:val="-5"/>
          <w:sz w:val="20"/>
        </w:rPr>
        <w:t>However,</w:t>
      </w:r>
      <w:r>
        <w:rPr>
          <w:color w:val="231F20"/>
          <w:spacing w:val="-9"/>
          <w:sz w:val="20"/>
        </w:rPr>
        <w:t xml:space="preserve"> </w:t>
      </w:r>
      <w:r>
        <w:rPr>
          <w:color w:val="231F20"/>
          <w:sz w:val="20"/>
        </w:rPr>
        <w:t>it</w:t>
      </w:r>
      <w:r>
        <w:rPr>
          <w:color w:val="231F20"/>
          <w:spacing w:val="-9"/>
          <w:sz w:val="20"/>
        </w:rPr>
        <w:t xml:space="preserve"> </w:t>
      </w:r>
      <w:r>
        <w:rPr>
          <w:color w:val="231F20"/>
          <w:sz w:val="20"/>
        </w:rPr>
        <w:t>is</w:t>
      </w:r>
      <w:r>
        <w:rPr>
          <w:color w:val="231F20"/>
          <w:spacing w:val="-9"/>
          <w:sz w:val="20"/>
        </w:rPr>
        <w:t xml:space="preserve"> </w:t>
      </w:r>
      <w:r>
        <w:rPr>
          <w:color w:val="231F20"/>
          <w:sz w:val="20"/>
        </w:rPr>
        <w:t>important</w:t>
      </w:r>
      <w:r>
        <w:rPr>
          <w:color w:val="231F20"/>
          <w:spacing w:val="-8"/>
          <w:sz w:val="20"/>
        </w:rPr>
        <w:t xml:space="preserve"> </w:t>
      </w:r>
      <w:r>
        <w:rPr>
          <w:color w:val="231F20"/>
          <w:sz w:val="20"/>
        </w:rPr>
        <w:t>that</w:t>
      </w:r>
      <w:r>
        <w:rPr>
          <w:color w:val="231F20"/>
          <w:spacing w:val="-9"/>
          <w:sz w:val="20"/>
        </w:rPr>
        <w:t xml:space="preserve"> </w:t>
      </w:r>
      <w:r>
        <w:rPr>
          <w:color w:val="231F20"/>
          <w:sz w:val="20"/>
        </w:rPr>
        <w:t>people</w:t>
      </w:r>
      <w:r>
        <w:rPr>
          <w:color w:val="231F20"/>
          <w:spacing w:val="-9"/>
          <w:sz w:val="20"/>
        </w:rPr>
        <w:t xml:space="preserve"> </w:t>
      </w:r>
      <w:r>
        <w:rPr>
          <w:color w:val="231F20"/>
          <w:sz w:val="20"/>
        </w:rPr>
        <w:t>working</w:t>
      </w:r>
      <w:r>
        <w:rPr>
          <w:color w:val="231F20"/>
          <w:spacing w:val="-9"/>
          <w:sz w:val="20"/>
        </w:rPr>
        <w:t xml:space="preserve"> </w:t>
      </w:r>
      <w:r>
        <w:rPr>
          <w:color w:val="231F20"/>
          <w:sz w:val="20"/>
        </w:rPr>
        <w:t>in</w:t>
      </w:r>
      <w:r>
        <w:rPr>
          <w:color w:val="231F20"/>
          <w:spacing w:val="-8"/>
          <w:sz w:val="20"/>
        </w:rPr>
        <w:t xml:space="preserve"> </w:t>
      </w:r>
      <w:r>
        <w:rPr>
          <w:color w:val="231F20"/>
          <w:sz w:val="20"/>
        </w:rPr>
        <w:t>the</w:t>
      </w:r>
      <w:r>
        <w:rPr>
          <w:color w:val="231F20"/>
          <w:spacing w:val="-9"/>
          <w:sz w:val="20"/>
        </w:rPr>
        <w:t xml:space="preserve"> </w:t>
      </w:r>
      <w:r>
        <w:rPr>
          <w:color w:val="231F20"/>
          <w:sz w:val="20"/>
        </w:rPr>
        <w:t xml:space="preserve">justice </w:t>
      </w:r>
      <w:r>
        <w:rPr>
          <w:color w:val="231F20"/>
          <w:spacing w:val="-2"/>
          <w:sz w:val="20"/>
        </w:rPr>
        <w:t>system</w:t>
      </w:r>
      <w:r>
        <w:rPr>
          <w:color w:val="231F20"/>
          <w:spacing w:val="-12"/>
          <w:sz w:val="20"/>
        </w:rPr>
        <w:t xml:space="preserve"> </w:t>
      </w:r>
      <w:r>
        <w:rPr>
          <w:color w:val="231F20"/>
          <w:sz w:val="20"/>
        </w:rPr>
        <w:t>understand</w:t>
      </w:r>
      <w:r>
        <w:rPr>
          <w:color w:val="231F20"/>
          <w:spacing w:val="-12"/>
          <w:sz w:val="20"/>
        </w:rPr>
        <w:t xml:space="preserve"> </w:t>
      </w:r>
      <w:r>
        <w:rPr>
          <w:color w:val="231F20"/>
          <w:sz w:val="20"/>
        </w:rPr>
        <w:t>that</w:t>
      </w:r>
      <w:r>
        <w:rPr>
          <w:color w:val="231F20"/>
          <w:spacing w:val="-12"/>
          <w:sz w:val="20"/>
        </w:rPr>
        <w:t xml:space="preserve"> </w:t>
      </w:r>
      <w:r>
        <w:rPr>
          <w:color w:val="231F20"/>
          <w:sz w:val="20"/>
        </w:rPr>
        <w:t>some</w:t>
      </w:r>
      <w:r>
        <w:rPr>
          <w:color w:val="231F20"/>
          <w:spacing w:val="-12"/>
          <w:sz w:val="20"/>
        </w:rPr>
        <w:t xml:space="preserve"> </w:t>
      </w:r>
      <w:r>
        <w:rPr>
          <w:color w:val="231F20"/>
          <w:sz w:val="20"/>
        </w:rPr>
        <w:t>groups</w:t>
      </w:r>
      <w:r>
        <w:rPr>
          <w:color w:val="231F20"/>
          <w:spacing w:val="-11"/>
          <w:sz w:val="20"/>
        </w:rPr>
        <w:t xml:space="preserve"> </w:t>
      </w:r>
      <w:r>
        <w:rPr>
          <w:color w:val="231F20"/>
          <w:sz w:val="20"/>
        </w:rPr>
        <w:t>or</w:t>
      </w:r>
      <w:r>
        <w:rPr>
          <w:color w:val="231F20"/>
          <w:spacing w:val="-12"/>
          <w:sz w:val="20"/>
        </w:rPr>
        <w:t xml:space="preserve"> </w:t>
      </w:r>
      <w:r>
        <w:rPr>
          <w:color w:val="231F20"/>
          <w:sz w:val="20"/>
        </w:rPr>
        <w:t>communities</w:t>
      </w:r>
      <w:r>
        <w:rPr>
          <w:color w:val="231F20"/>
          <w:spacing w:val="-12"/>
          <w:sz w:val="20"/>
        </w:rPr>
        <w:t xml:space="preserve"> </w:t>
      </w:r>
      <w:r>
        <w:rPr>
          <w:color w:val="231F20"/>
          <w:sz w:val="20"/>
        </w:rPr>
        <w:t>face</w:t>
      </w:r>
      <w:r>
        <w:rPr>
          <w:color w:val="231F20"/>
          <w:spacing w:val="-12"/>
          <w:sz w:val="20"/>
        </w:rPr>
        <w:t xml:space="preserve"> </w:t>
      </w:r>
      <w:r>
        <w:rPr>
          <w:color w:val="231F20"/>
          <w:sz w:val="20"/>
        </w:rPr>
        <w:t>additional</w:t>
      </w:r>
      <w:r>
        <w:rPr>
          <w:color w:val="231F20"/>
          <w:spacing w:val="-12"/>
          <w:sz w:val="20"/>
        </w:rPr>
        <w:t xml:space="preserve"> </w:t>
      </w:r>
      <w:r>
        <w:rPr>
          <w:color w:val="231F20"/>
          <w:sz w:val="20"/>
        </w:rPr>
        <w:t>barriers</w:t>
      </w:r>
      <w:r>
        <w:rPr>
          <w:color w:val="231F20"/>
          <w:spacing w:val="-11"/>
          <w:sz w:val="20"/>
        </w:rPr>
        <w:t xml:space="preserve"> </w:t>
      </w:r>
      <w:r>
        <w:rPr>
          <w:color w:val="231F20"/>
          <w:sz w:val="20"/>
        </w:rPr>
        <w:t>to</w:t>
      </w:r>
      <w:r>
        <w:rPr>
          <w:color w:val="231F20"/>
          <w:spacing w:val="-12"/>
          <w:sz w:val="20"/>
        </w:rPr>
        <w:t xml:space="preserve"> </w:t>
      </w:r>
      <w:r>
        <w:rPr>
          <w:color w:val="231F20"/>
          <w:sz w:val="20"/>
        </w:rPr>
        <w:t>justice.</w:t>
      </w:r>
    </w:p>
    <w:p w14:paraId="45D0FC5E" w14:textId="77777777" w:rsidR="00894070" w:rsidRDefault="009B7AFD">
      <w:pPr>
        <w:pStyle w:val="ListParagraph"/>
        <w:numPr>
          <w:ilvl w:val="1"/>
          <w:numId w:val="177"/>
        </w:numPr>
        <w:tabs>
          <w:tab w:val="left" w:pos="1801"/>
          <w:tab w:val="left" w:pos="1802"/>
        </w:tabs>
        <w:spacing w:before="123" w:line="206" w:lineRule="auto"/>
        <w:ind w:right="1257"/>
        <w:rPr>
          <w:sz w:val="11"/>
        </w:rPr>
      </w:pPr>
      <w:r>
        <w:rPr>
          <w:color w:val="231F20"/>
          <w:spacing w:val="-6"/>
          <w:sz w:val="20"/>
        </w:rPr>
        <w:t xml:space="preserve">We </w:t>
      </w:r>
      <w:r>
        <w:rPr>
          <w:color w:val="231F20"/>
          <w:spacing w:val="-4"/>
          <w:sz w:val="20"/>
        </w:rPr>
        <w:t xml:space="preserve">were </w:t>
      </w:r>
      <w:r>
        <w:rPr>
          <w:color w:val="231F20"/>
          <w:spacing w:val="-3"/>
          <w:sz w:val="20"/>
        </w:rPr>
        <w:t xml:space="preserve">told </w:t>
      </w:r>
      <w:r>
        <w:rPr>
          <w:color w:val="231F20"/>
          <w:sz w:val="20"/>
        </w:rPr>
        <w:t xml:space="preserve">that ‘the whole court </w:t>
      </w:r>
      <w:r>
        <w:rPr>
          <w:color w:val="231F20"/>
          <w:spacing w:val="-3"/>
          <w:sz w:val="20"/>
        </w:rPr>
        <w:t xml:space="preserve">system’ </w:t>
      </w:r>
      <w:r>
        <w:rPr>
          <w:color w:val="231F20"/>
          <w:sz w:val="20"/>
        </w:rPr>
        <w:t xml:space="preserve">could benefit </w:t>
      </w:r>
      <w:r>
        <w:rPr>
          <w:color w:val="231F20"/>
          <w:spacing w:val="-3"/>
          <w:sz w:val="20"/>
        </w:rPr>
        <w:t xml:space="preserve">from </w:t>
      </w:r>
      <w:r>
        <w:rPr>
          <w:color w:val="231F20"/>
          <w:sz w:val="20"/>
        </w:rPr>
        <w:t xml:space="preserve">an </w:t>
      </w:r>
      <w:r>
        <w:rPr>
          <w:color w:val="231F20"/>
          <w:spacing w:val="-3"/>
          <w:sz w:val="20"/>
        </w:rPr>
        <w:t xml:space="preserve">improved </w:t>
      </w:r>
      <w:r>
        <w:rPr>
          <w:color w:val="231F20"/>
          <w:sz w:val="20"/>
        </w:rPr>
        <w:t>understanding</w:t>
      </w:r>
      <w:r>
        <w:rPr>
          <w:color w:val="231F20"/>
          <w:spacing w:val="-11"/>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barriers</w:t>
      </w:r>
      <w:r>
        <w:rPr>
          <w:color w:val="231F20"/>
          <w:spacing w:val="-10"/>
          <w:sz w:val="20"/>
        </w:rPr>
        <w:t xml:space="preserve"> </w:t>
      </w:r>
      <w:r>
        <w:rPr>
          <w:color w:val="231F20"/>
          <w:sz w:val="20"/>
        </w:rPr>
        <w:t>faced</w:t>
      </w:r>
      <w:r>
        <w:rPr>
          <w:color w:val="231F20"/>
          <w:spacing w:val="-11"/>
          <w:sz w:val="20"/>
        </w:rPr>
        <w:t xml:space="preserve"> </w:t>
      </w:r>
      <w:r>
        <w:rPr>
          <w:color w:val="231F20"/>
          <w:spacing w:val="-3"/>
          <w:sz w:val="20"/>
        </w:rPr>
        <w:t>by</w:t>
      </w:r>
      <w:r>
        <w:rPr>
          <w:color w:val="231F20"/>
          <w:spacing w:val="-10"/>
          <w:sz w:val="20"/>
        </w:rPr>
        <w:t xml:space="preserve"> </w:t>
      </w:r>
      <w:r>
        <w:rPr>
          <w:color w:val="231F20"/>
          <w:sz w:val="20"/>
        </w:rPr>
        <w:t>people</w:t>
      </w:r>
      <w:r>
        <w:rPr>
          <w:color w:val="231F20"/>
          <w:spacing w:val="-10"/>
          <w:sz w:val="20"/>
        </w:rPr>
        <w:t xml:space="preserve"> </w:t>
      </w:r>
      <w:r>
        <w:rPr>
          <w:color w:val="231F20"/>
          <w:spacing w:val="-3"/>
          <w:sz w:val="20"/>
        </w:rPr>
        <w:t>from</w:t>
      </w:r>
      <w:r>
        <w:rPr>
          <w:color w:val="231F20"/>
          <w:spacing w:val="-11"/>
          <w:sz w:val="20"/>
        </w:rPr>
        <w:t xml:space="preserve"> </w:t>
      </w:r>
      <w:r>
        <w:rPr>
          <w:color w:val="231F20"/>
          <w:spacing w:val="-3"/>
          <w:sz w:val="20"/>
        </w:rPr>
        <w:t>culturally</w:t>
      </w:r>
      <w:r>
        <w:rPr>
          <w:color w:val="231F20"/>
          <w:spacing w:val="-10"/>
          <w:sz w:val="20"/>
        </w:rPr>
        <w:t xml:space="preserve"> </w:t>
      </w:r>
      <w:r>
        <w:rPr>
          <w:color w:val="231F20"/>
          <w:sz w:val="20"/>
        </w:rPr>
        <w:t>and</w:t>
      </w:r>
      <w:r>
        <w:rPr>
          <w:color w:val="231F20"/>
          <w:spacing w:val="-10"/>
          <w:sz w:val="20"/>
        </w:rPr>
        <w:t xml:space="preserve"> </w:t>
      </w:r>
      <w:r>
        <w:rPr>
          <w:color w:val="231F20"/>
          <w:sz w:val="20"/>
        </w:rPr>
        <w:t>linguistically</w:t>
      </w:r>
      <w:r>
        <w:rPr>
          <w:color w:val="231F20"/>
          <w:spacing w:val="-10"/>
          <w:sz w:val="20"/>
        </w:rPr>
        <w:t xml:space="preserve"> </w:t>
      </w:r>
      <w:r>
        <w:rPr>
          <w:color w:val="231F20"/>
          <w:sz w:val="20"/>
        </w:rPr>
        <w:t>diverse backgrounds.</w:t>
      </w:r>
      <w:r>
        <w:rPr>
          <w:color w:val="231F20"/>
          <w:position w:val="7"/>
          <w:sz w:val="11"/>
        </w:rPr>
        <w:t xml:space="preserve">90 </w:t>
      </w:r>
      <w:r>
        <w:rPr>
          <w:color w:val="231F20"/>
          <w:sz w:val="20"/>
        </w:rPr>
        <w:t xml:space="preserve">Concerns included a lack of </w:t>
      </w:r>
      <w:r>
        <w:rPr>
          <w:color w:val="231F20"/>
          <w:spacing w:val="-3"/>
          <w:sz w:val="20"/>
        </w:rPr>
        <w:t xml:space="preserve">empathy for </w:t>
      </w:r>
      <w:r>
        <w:rPr>
          <w:color w:val="231F20"/>
          <w:sz w:val="20"/>
        </w:rPr>
        <w:t xml:space="preserve">victim survivors and </w:t>
      </w:r>
      <w:r>
        <w:rPr>
          <w:color w:val="231F20"/>
          <w:spacing w:val="-4"/>
          <w:sz w:val="20"/>
        </w:rPr>
        <w:t xml:space="preserve">‘a </w:t>
      </w:r>
      <w:r>
        <w:rPr>
          <w:color w:val="231F20"/>
          <w:spacing w:val="-3"/>
          <w:sz w:val="20"/>
        </w:rPr>
        <w:t xml:space="preserve">failure </w:t>
      </w:r>
      <w:r>
        <w:rPr>
          <w:color w:val="231F20"/>
          <w:sz w:val="20"/>
        </w:rPr>
        <w:t xml:space="preserve">to understand … </w:t>
      </w:r>
      <w:r>
        <w:rPr>
          <w:color w:val="231F20"/>
          <w:spacing w:val="-3"/>
          <w:sz w:val="20"/>
        </w:rPr>
        <w:t xml:space="preserve">cultural </w:t>
      </w:r>
      <w:r>
        <w:rPr>
          <w:color w:val="231F20"/>
          <w:sz w:val="20"/>
        </w:rPr>
        <w:t>mannerisms’ on the part of people working in the justice system.</w:t>
      </w:r>
      <w:r>
        <w:rPr>
          <w:color w:val="231F20"/>
          <w:position w:val="7"/>
          <w:sz w:val="11"/>
        </w:rPr>
        <w:t>91</w:t>
      </w:r>
    </w:p>
    <w:p w14:paraId="7D6E7B62" w14:textId="77777777" w:rsidR="00894070" w:rsidRDefault="009B7AFD">
      <w:pPr>
        <w:pStyle w:val="ListParagraph"/>
        <w:numPr>
          <w:ilvl w:val="1"/>
          <w:numId w:val="177"/>
        </w:numPr>
        <w:tabs>
          <w:tab w:val="left" w:pos="1801"/>
          <w:tab w:val="left" w:pos="1802"/>
        </w:tabs>
        <w:spacing w:before="127" w:line="206" w:lineRule="auto"/>
        <w:ind w:right="1364"/>
        <w:rPr>
          <w:sz w:val="20"/>
        </w:rPr>
      </w:pPr>
      <w:r>
        <w:rPr>
          <w:color w:val="231F20"/>
          <w:sz w:val="20"/>
        </w:rPr>
        <w:t xml:space="preserve">People who </w:t>
      </w:r>
      <w:r>
        <w:rPr>
          <w:color w:val="231F20"/>
          <w:spacing w:val="-4"/>
          <w:sz w:val="20"/>
        </w:rPr>
        <w:t xml:space="preserve">have </w:t>
      </w:r>
      <w:r>
        <w:rPr>
          <w:color w:val="231F20"/>
          <w:sz w:val="20"/>
        </w:rPr>
        <w:t xml:space="preserve">experienced stalking </w:t>
      </w:r>
      <w:r>
        <w:rPr>
          <w:color w:val="231F20"/>
          <w:spacing w:val="-3"/>
          <w:sz w:val="20"/>
        </w:rPr>
        <w:t xml:space="preserve">may </w:t>
      </w:r>
      <w:r>
        <w:rPr>
          <w:color w:val="231F20"/>
          <w:spacing w:val="-4"/>
          <w:sz w:val="20"/>
        </w:rPr>
        <w:t xml:space="preserve">have </w:t>
      </w:r>
      <w:r>
        <w:rPr>
          <w:color w:val="231F20"/>
          <w:sz w:val="20"/>
        </w:rPr>
        <w:t xml:space="preserve">also </w:t>
      </w:r>
      <w:r>
        <w:rPr>
          <w:color w:val="231F20"/>
          <w:spacing w:val="-3"/>
          <w:sz w:val="20"/>
        </w:rPr>
        <w:t xml:space="preserve">suffered </w:t>
      </w:r>
      <w:r>
        <w:rPr>
          <w:color w:val="231F20"/>
          <w:sz w:val="20"/>
        </w:rPr>
        <w:t xml:space="preserve">serious trauma (see </w:t>
      </w:r>
      <w:r>
        <w:rPr>
          <w:color w:val="231F20"/>
          <w:spacing w:val="-3"/>
          <w:sz w:val="20"/>
        </w:rPr>
        <w:t>Chapter</w:t>
      </w:r>
      <w:r>
        <w:rPr>
          <w:color w:val="231F20"/>
          <w:spacing w:val="-8"/>
          <w:sz w:val="20"/>
        </w:rPr>
        <w:t xml:space="preserve"> </w:t>
      </w:r>
      <w:r>
        <w:rPr>
          <w:color w:val="231F20"/>
          <w:spacing w:val="-3"/>
          <w:sz w:val="20"/>
        </w:rPr>
        <w:t>2).</w:t>
      </w:r>
      <w:r>
        <w:rPr>
          <w:color w:val="231F20"/>
          <w:spacing w:val="-8"/>
          <w:sz w:val="20"/>
        </w:rPr>
        <w:t xml:space="preserve"> </w:t>
      </w:r>
      <w:r>
        <w:rPr>
          <w:color w:val="231F20"/>
          <w:spacing w:val="-7"/>
          <w:sz w:val="20"/>
        </w:rPr>
        <w:t xml:space="preserve">Yet </w:t>
      </w:r>
      <w:r>
        <w:rPr>
          <w:color w:val="231F20"/>
          <w:spacing w:val="-3"/>
          <w:sz w:val="20"/>
        </w:rPr>
        <w:t>we</w:t>
      </w:r>
      <w:r>
        <w:rPr>
          <w:color w:val="231F20"/>
          <w:spacing w:val="-8"/>
          <w:sz w:val="20"/>
        </w:rPr>
        <w:t xml:space="preserve"> </w:t>
      </w:r>
      <w:r>
        <w:rPr>
          <w:color w:val="231F20"/>
          <w:sz w:val="20"/>
        </w:rPr>
        <w:t>heard</w:t>
      </w:r>
      <w:r>
        <w:rPr>
          <w:color w:val="231F20"/>
          <w:spacing w:val="-7"/>
          <w:sz w:val="20"/>
        </w:rPr>
        <w:t xml:space="preserve"> </w:t>
      </w:r>
      <w:r>
        <w:rPr>
          <w:color w:val="231F20"/>
          <w:sz w:val="20"/>
        </w:rPr>
        <w:t>that</w:t>
      </w:r>
      <w:r>
        <w:rPr>
          <w:color w:val="231F20"/>
          <w:spacing w:val="-8"/>
          <w:sz w:val="20"/>
        </w:rPr>
        <w:t xml:space="preserve"> </w:t>
      </w:r>
      <w:r>
        <w:rPr>
          <w:color w:val="231F20"/>
          <w:sz w:val="20"/>
        </w:rPr>
        <w:t>the</w:t>
      </w:r>
      <w:r>
        <w:rPr>
          <w:color w:val="231F20"/>
          <w:spacing w:val="-7"/>
          <w:sz w:val="20"/>
        </w:rPr>
        <w:t xml:space="preserve"> </w:t>
      </w:r>
      <w:r>
        <w:rPr>
          <w:color w:val="231F20"/>
          <w:sz w:val="20"/>
        </w:rPr>
        <w:t>responses</w:t>
      </w:r>
      <w:r>
        <w:rPr>
          <w:color w:val="231F20"/>
          <w:spacing w:val="-8"/>
          <w:sz w:val="20"/>
        </w:rPr>
        <w:t xml:space="preserve"> </w:t>
      </w:r>
      <w:r>
        <w:rPr>
          <w:color w:val="231F20"/>
          <w:sz w:val="20"/>
        </w:rPr>
        <w:t>they</w:t>
      </w:r>
      <w:r>
        <w:rPr>
          <w:color w:val="231F20"/>
          <w:spacing w:val="-8"/>
          <w:sz w:val="20"/>
        </w:rPr>
        <w:t xml:space="preserve"> </w:t>
      </w:r>
      <w:r>
        <w:rPr>
          <w:color w:val="231F20"/>
          <w:spacing w:val="-3"/>
          <w:sz w:val="20"/>
        </w:rPr>
        <w:t>received</w:t>
      </w:r>
      <w:r>
        <w:rPr>
          <w:color w:val="231F20"/>
          <w:spacing w:val="-7"/>
          <w:sz w:val="20"/>
        </w:rPr>
        <w:t xml:space="preserve"> </w:t>
      </w:r>
      <w:r>
        <w:rPr>
          <w:color w:val="231F20"/>
          <w:spacing w:val="-3"/>
          <w:sz w:val="20"/>
        </w:rPr>
        <w:t>from</w:t>
      </w:r>
      <w:r>
        <w:rPr>
          <w:color w:val="231F20"/>
          <w:spacing w:val="-8"/>
          <w:sz w:val="20"/>
        </w:rPr>
        <w:t xml:space="preserve"> </w:t>
      </w:r>
      <w:r>
        <w:rPr>
          <w:color w:val="231F20"/>
          <w:sz w:val="20"/>
        </w:rPr>
        <w:t>people</w:t>
      </w:r>
      <w:r>
        <w:rPr>
          <w:color w:val="231F20"/>
          <w:spacing w:val="-7"/>
          <w:sz w:val="20"/>
        </w:rPr>
        <w:t xml:space="preserve"> </w:t>
      </w:r>
      <w:r>
        <w:rPr>
          <w:color w:val="231F20"/>
          <w:sz w:val="20"/>
        </w:rPr>
        <w:t>working</w:t>
      </w:r>
      <w:r>
        <w:rPr>
          <w:color w:val="231F20"/>
          <w:spacing w:val="-8"/>
          <w:sz w:val="20"/>
        </w:rPr>
        <w:t xml:space="preserve"> </w:t>
      </w:r>
      <w:r>
        <w:rPr>
          <w:color w:val="231F20"/>
          <w:sz w:val="20"/>
        </w:rPr>
        <w:t>in</w:t>
      </w:r>
      <w:r>
        <w:rPr>
          <w:color w:val="231F20"/>
          <w:spacing w:val="-7"/>
          <w:sz w:val="20"/>
        </w:rPr>
        <w:t xml:space="preserve"> </w:t>
      </w:r>
      <w:r>
        <w:rPr>
          <w:color w:val="231F20"/>
          <w:sz w:val="20"/>
        </w:rPr>
        <w:t xml:space="preserve">the justice </w:t>
      </w:r>
      <w:r>
        <w:rPr>
          <w:color w:val="231F20"/>
          <w:spacing w:val="-2"/>
          <w:sz w:val="20"/>
        </w:rPr>
        <w:t xml:space="preserve">system </w:t>
      </w:r>
      <w:r>
        <w:rPr>
          <w:color w:val="231F20"/>
          <w:spacing w:val="-4"/>
          <w:sz w:val="20"/>
        </w:rPr>
        <w:t xml:space="preserve">were </w:t>
      </w:r>
      <w:r>
        <w:rPr>
          <w:color w:val="231F20"/>
          <w:sz w:val="20"/>
        </w:rPr>
        <w:t xml:space="preserve">not </w:t>
      </w:r>
      <w:r>
        <w:rPr>
          <w:color w:val="231F20"/>
          <w:spacing w:val="-2"/>
          <w:sz w:val="20"/>
        </w:rPr>
        <w:t xml:space="preserve">sensitive </w:t>
      </w:r>
      <w:r>
        <w:rPr>
          <w:color w:val="231F20"/>
          <w:sz w:val="20"/>
        </w:rPr>
        <w:t>to their</w:t>
      </w:r>
      <w:r>
        <w:rPr>
          <w:color w:val="231F20"/>
          <w:spacing w:val="-24"/>
          <w:sz w:val="20"/>
        </w:rPr>
        <w:t xml:space="preserve"> </w:t>
      </w:r>
      <w:r>
        <w:rPr>
          <w:color w:val="231F20"/>
          <w:sz w:val="20"/>
        </w:rPr>
        <w:t>experience.</w:t>
      </w:r>
    </w:p>
    <w:p w14:paraId="12806B9F" w14:textId="77777777" w:rsidR="00894070" w:rsidRDefault="00894070">
      <w:pPr>
        <w:pStyle w:val="BodyText"/>
      </w:pPr>
    </w:p>
    <w:p w14:paraId="63AD608B" w14:textId="77777777" w:rsidR="00894070" w:rsidRDefault="00894070">
      <w:pPr>
        <w:pStyle w:val="BodyText"/>
      </w:pPr>
    </w:p>
    <w:p w14:paraId="0D5D8DAA" w14:textId="77777777" w:rsidR="00894070" w:rsidRDefault="00894070">
      <w:pPr>
        <w:pStyle w:val="BodyText"/>
      </w:pPr>
    </w:p>
    <w:p w14:paraId="59106C14" w14:textId="77777777" w:rsidR="00894070" w:rsidRDefault="009F6793">
      <w:pPr>
        <w:pStyle w:val="BodyText"/>
        <w:spacing w:before="12"/>
        <w:rPr>
          <w:sz w:val="28"/>
        </w:rPr>
      </w:pPr>
      <w:r>
        <w:pict w14:anchorId="24634F36">
          <v:line id="_x0000_s1471" style="position:absolute;z-index:251565056;mso-wrap-distance-left:0;mso-wrap-distance-right:0;mso-position-horizontal-relative:page" from="79.35pt,22.5pt" to="515.9pt,22.5pt" strokecolor="#f8cabc" strokeweight="1pt">
            <w10:wrap type="topAndBottom" anchorx="page"/>
          </v:line>
        </w:pict>
      </w:r>
    </w:p>
    <w:p w14:paraId="660F1361" w14:textId="77777777" w:rsidR="00894070" w:rsidRDefault="009B7AFD">
      <w:pPr>
        <w:pStyle w:val="ListParagraph"/>
        <w:numPr>
          <w:ilvl w:val="0"/>
          <w:numId w:val="134"/>
        </w:numPr>
        <w:tabs>
          <w:tab w:val="left" w:pos="1801"/>
          <w:tab w:val="left" w:pos="1802"/>
        </w:tabs>
        <w:spacing w:before="91" w:line="170"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December</w:t>
      </w:r>
      <w:r>
        <w:rPr>
          <w:color w:val="231F20"/>
          <w:spacing w:val="-3"/>
          <w:sz w:val="13"/>
        </w:rPr>
        <w:t xml:space="preserve"> </w:t>
      </w:r>
      <w:r>
        <w:rPr>
          <w:color w:val="231F20"/>
          <w:sz w:val="13"/>
        </w:rPr>
        <w:t>2021).</w:t>
      </w:r>
    </w:p>
    <w:p w14:paraId="6B676174" w14:textId="77777777" w:rsidR="00894070" w:rsidRDefault="009B7AFD">
      <w:pPr>
        <w:pStyle w:val="ListParagraph"/>
        <w:numPr>
          <w:ilvl w:val="0"/>
          <w:numId w:val="134"/>
        </w:numPr>
        <w:tabs>
          <w:tab w:val="left" w:pos="1801"/>
          <w:tab w:val="left" w:pos="1802"/>
        </w:tabs>
        <w:spacing w:before="6" w:line="213" w:lineRule="auto"/>
        <w:ind w:right="1225"/>
        <w:rPr>
          <w:sz w:val="13"/>
        </w:rPr>
      </w:pPr>
      <w:r>
        <w:rPr>
          <w:color w:val="231F20"/>
          <w:sz w:val="13"/>
        </w:rPr>
        <w:t xml:space="preserve">The Whole Story approach is a valuable way to improve the identification of </w:t>
      </w:r>
      <w:r>
        <w:rPr>
          <w:color w:val="231F20"/>
          <w:spacing w:val="2"/>
          <w:sz w:val="13"/>
        </w:rPr>
        <w:t xml:space="preserve">stalking </w:t>
      </w:r>
      <w:r>
        <w:rPr>
          <w:color w:val="231F20"/>
          <w:sz w:val="13"/>
        </w:rPr>
        <w:t xml:space="preserve">behaviour and enhance the ability of </w:t>
      </w:r>
      <w:r>
        <w:rPr>
          <w:color w:val="231F20"/>
          <w:spacing w:val="2"/>
          <w:sz w:val="13"/>
        </w:rPr>
        <w:t>police</w:t>
      </w:r>
      <w:r>
        <w:rPr>
          <w:color w:val="231F20"/>
          <w:spacing w:val="37"/>
          <w:sz w:val="13"/>
        </w:rPr>
        <w:t xml:space="preserve"> </w:t>
      </w:r>
      <w:r>
        <w:rPr>
          <w:color w:val="231F20"/>
          <w:sz w:val="13"/>
        </w:rPr>
        <w:t>to respond appropriately. It provides a more complete picture of any identifiable course of conduct. At this point an informed decision can be made about interventions: ibid ch</w:t>
      </w:r>
      <w:r>
        <w:rPr>
          <w:color w:val="231F20"/>
          <w:spacing w:val="3"/>
          <w:sz w:val="13"/>
        </w:rPr>
        <w:t xml:space="preserve"> 5.</w:t>
      </w:r>
    </w:p>
    <w:p w14:paraId="78128A96" w14:textId="77777777" w:rsidR="00894070" w:rsidRDefault="009F6793">
      <w:pPr>
        <w:pStyle w:val="ListParagraph"/>
        <w:numPr>
          <w:ilvl w:val="0"/>
          <w:numId w:val="134"/>
        </w:numPr>
        <w:tabs>
          <w:tab w:val="left" w:pos="1801"/>
          <w:tab w:val="left" w:pos="1802"/>
        </w:tabs>
        <w:spacing w:line="152" w:lineRule="exact"/>
        <w:rPr>
          <w:sz w:val="13"/>
        </w:rPr>
      </w:pPr>
      <w:r>
        <w:pict w14:anchorId="10E28B6F">
          <v:shape id="_x0000_s1470" type="#_x0000_t202" style="position:absolute;left:0;text-align:left;margin-left:548.7pt;margin-top:3.3pt;width:13.5pt;height:14.1pt;z-index:251635712;mso-position-horizontal-relative:page" filled="f" stroked="f">
            <v:textbox inset="0,0,0,0">
              <w:txbxContent>
                <w:p w14:paraId="14CC4531" w14:textId="77777777" w:rsidR="00894070" w:rsidRDefault="009B7AFD">
                  <w:pPr>
                    <w:spacing w:line="282" w:lineRule="exact"/>
                    <w:rPr>
                      <w:b/>
                      <w:sz w:val="24"/>
                    </w:rPr>
                  </w:pPr>
                  <w:r>
                    <w:rPr>
                      <w:b/>
                      <w:color w:val="EA5B50"/>
                      <w:spacing w:val="-6"/>
                      <w:sz w:val="24"/>
                    </w:rPr>
                    <w:t>67</w:t>
                  </w:r>
                </w:p>
              </w:txbxContent>
            </v:textbox>
            <w10:wrap anchorx="page"/>
          </v:shape>
        </w:pict>
      </w:r>
      <w:r w:rsidR="009B7AFD">
        <w:rPr>
          <w:color w:val="231F20"/>
          <w:sz w:val="13"/>
        </w:rPr>
        <w:t>Consultation 30 (Roundtable with multicultural and multifaith lawyers and legal</w:t>
      </w:r>
      <w:r w:rsidR="009B7AFD">
        <w:rPr>
          <w:color w:val="231F20"/>
          <w:spacing w:val="12"/>
          <w:sz w:val="13"/>
        </w:rPr>
        <w:t xml:space="preserve"> </w:t>
      </w:r>
      <w:r w:rsidR="009B7AFD">
        <w:rPr>
          <w:color w:val="231F20"/>
          <w:sz w:val="13"/>
        </w:rPr>
        <w:t>stakeholders).</w:t>
      </w:r>
    </w:p>
    <w:p w14:paraId="7A5B889C" w14:textId="77777777" w:rsidR="00894070" w:rsidRDefault="009B7AFD">
      <w:pPr>
        <w:pStyle w:val="ListParagraph"/>
        <w:numPr>
          <w:ilvl w:val="0"/>
          <w:numId w:val="134"/>
        </w:numPr>
        <w:tabs>
          <w:tab w:val="left" w:pos="1800"/>
          <w:tab w:val="left" w:pos="1802"/>
        </w:tabs>
        <w:spacing w:line="170" w:lineRule="exact"/>
        <w:rPr>
          <w:sz w:val="13"/>
        </w:rPr>
      </w:pPr>
      <w:r>
        <w:rPr>
          <w:color w:val="231F20"/>
          <w:sz w:val="13"/>
        </w:rPr>
        <w:t>Ibid.</w:t>
      </w:r>
    </w:p>
    <w:p w14:paraId="2494CD12" w14:textId="77777777" w:rsidR="00894070" w:rsidRDefault="00894070">
      <w:pPr>
        <w:spacing w:line="170" w:lineRule="exact"/>
        <w:rPr>
          <w:sz w:val="13"/>
        </w:rPr>
        <w:sectPr w:rsidR="00894070">
          <w:pgSz w:w="11910" w:h="16840"/>
          <w:pgMar w:top="840" w:right="420" w:bottom="280" w:left="580" w:header="0" w:footer="0" w:gutter="0"/>
          <w:cols w:space="720"/>
        </w:sectPr>
      </w:pPr>
    </w:p>
    <w:p w14:paraId="7B8C03E0" w14:textId="77777777" w:rsidR="00894070" w:rsidRDefault="00894070">
      <w:pPr>
        <w:pStyle w:val="BodyText"/>
      </w:pPr>
    </w:p>
    <w:p w14:paraId="457DAE7F" w14:textId="77777777" w:rsidR="00894070" w:rsidRDefault="00894070">
      <w:pPr>
        <w:pStyle w:val="BodyText"/>
      </w:pPr>
    </w:p>
    <w:p w14:paraId="019C1D60" w14:textId="77777777" w:rsidR="00894070" w:rsidRDefault="00894070">
      <w:pPr>
        <w:pStyle w:val="BodyText"/>
      </w:pPr>
    </w:p>
    <w:p w14:paraId="5D1F9A2E" w14:textId="77777777" w:rsidR="00894070" w:rsidRDefault="00894070">
      <w:pPr>
        <w:pStyle w:val="BodyText"/>
        <w:spacing w:before="7"/>
        <w:rPr>
          <w:sz w:val="16"/>
        </w:rPr>
      </w:pPr>
    </w:p>
    <w:p w14:paraId="206ABA4B" w14:textId="77777777" w:rsidR="00894070" w:rsidRDefault="009B7AFD">
      <w:pPr>
        <w:pStyle w:val="ListParagraph"/>
        <w:numPr>
          <w:ilvl w:val="1"/>
          <w:numId w:val="177"/>
        </w:numPr>
        <w:tabs>
          <w:tab w:val="left" w:pos="1801"/>
          <w:tab w:val="left" w:pos="1802"/>
        </w:tabs>
        <w:rPr>
          <w:sz w:val="20"/>
        </w:rPr>
      </w:pPr>
      <w:r>
        <w:rPr>
          <w:color w:val="231F20"/>
          <w:sz w:val="20"/>
        </w:rPr>
        <w:t>One</w:t>
      </w:r>
      <w:r>
        <w:rPr>
          <w:color w:val="231F20"/>
          <w:spacing w:val="-5"/>
          <w:sz w:val="20"/>
        </w:rPr>
        <w:t xml:space="preserve"> </w:t>
      </w:r>
      <w:r>
        <w:rPr>
          <w:color w:val="231F20"/>
          <w:sz w:val="20"/>
        </w:rPr>
        <w:t>young</w:t>
      </w:r>
      <w:r>
        <w:rPr>
          <w:color w:val="231F20"/>
          <w:spacing w:val="-4"/>
          <w:sz w:val="20"/>
        </w:rPr>
        <w:t xml:space="preserve"> </w:t>
      </w:r>
      <w:r>
        <w:rPr>
          <w:color w:val="231F20"/>
          <w:sz w:val="20"/>
        </w:rPr>
        <w:t>person</w:t>
      </w:r>
      <w:r>
        <w:rPr>
          <w:color w:val="231F20"/>
          <w:spacing w:val="-5"/>
          <w:sz w:val="20"/>
        </w:rPr>
        <w:t xml:space="preserve"> </w:t>
      </w:r>
      <w:r>
        <w:rPr>
          <w:color w:val="231F20"/>
          <w:spacing w:val="-3"/>
          <w:sz w:val="20"/>
        </w:rPr>
        <w:t>told</w:t>
      </w:r>
      <w:r>
        <w:rPr>
          <w:color w:val="231F20"/>
          <w:spacing w:val="-4"/>
          <w:sz w:val="20"/>
        </w:rPr>
        <w:t xml:space="preserve"> </w:t>
      </w:r>
      <w:r>
        <w:rPr>
          <w:color w:val="231F20"/>
          <w:sz w:val="20"/>
        </w:rPr>
        <w:t>us</w:t>
      </w:r>
      <w:r>
        <w:rPr>
          <w:color w:val="231F20"/>
          <w:spacing w:val="-5"/>
          <w:sz w:val="20"/>
        </w:rPr>
        <w:t xml:space="preserve"> </w:t>
      </w:r>
      <w:r>
        <w:rPr>
          <w:color w:val="231F20"/>
          <w:sz w:val="20"/>
        </w:rPr>
        <w:t>about</w:t>
      </w:r>
      <w:r>
        <w:rPr>
          <w:color w:val="231F20"/>
          <w:spacing w:val="-4"/>
          <w:sz w:val="20"/>
        </w:rPr>
        <w:t xml:space="preserve"> </w:t>
      </w:r>
      <w:r>
        <w:rPr>
          <w:color w:val="231F20"/>
          <w:sz w:val="20"/>
        </w:rPr>
        <w:t>her</w:t>
      </w:r>
      <w:r>
        <w:rPr>
          <w:color w:val="231F20"/>
          <w:spacing w:val="-5"/>
          <w:sz w:val="20"/>
        </w:rPr>
        <w:t xml:space="preserve"> </w:t>
      </w:r>
      <w:r>
        <w:rPr>
          <w:color w:val="231F20"/>
          <w:sz w:val="20"/>
        </w:rPr>
        <w:t>experience</w:t>
      </w:r>
      <w:r>
        <w:rPr>
          <w:color w:val="231F20"/>
          <w:spacing w:val="-4"/>
          <w:sz w:val="20"/>
        </w:rPr>
        <w:t xml:space="preserve"> </w:t>
      </w:r>
      <w:r>
        <w:rPr>
          <w:color w:val="231F20"/>
          <w:sz w:val="20"/>
        </w:rPr>
        <w:t>in</w:t>
      </w:r>
      <w:r>
        <w:rPr>
          <w:color w:val="231F20"/>
          <w:spacing w:val="-5"/>
          <w:sz w:val="20"/>
        </w:rPr>
        <w:t xml:space="preserve"> </w:t>
      </w:r>
      <w:r>
        <w:rPr>
          <w:color w:val="231F20"/>
          <w:sz w:val="20"/>
        </w:rPr>
        <w:t>court:</w:t>
      </w:r>
    </w:p>
    <w:p w14:paraId="39799D8C" w14:textId="77777777" w:rsidR="00894070" w:rsidRDefault="009F6793">
      <w:pPr>
        <w:pStyle w:val="BodyText"/>
        <w:spacing w:before="12"/>
        <w:rPr>
          <w:sz w:val="22"/>
        </w:rPr>
      </w:pPr>
      <w:r>
        <w:pict w14:anchorId="5E0BD95E">
          <v:shape id="_x0000_s1469" type="#_x0000_t202" style="position:absolute;margin-left:119.3pt;margin-top:18.1pt;width:396.35pt;height:80.1pt;z-index:251566080;mso-wrap-distance-left:0;mso-wrap-distance-right:0;mso-position-horizontal-relative:page" fillcolor="#fee7de" strokecolor="#ea5b50" strokeweight=".5pt">
            <v:textbox inset="0,0,0,0">
              <w:txbxContent>
                <w:p w14:paraId="0C7F3D00" w14:textId="77777777" w:rsidR="00894070" w:rsidRDefault="00894070">
                  <w:pPr>
                    <w:pStyle w:val="BodyText"/>
                    <w:spacing w:before="3"/>
                    <w:rPr>
                      <w:sz w:val="15"/>
                    </w:rPr>
                  </w:pPr>
                </w:p>
                <w:p w14:paraId="0853D0CA" w14:textId="77777777" w:rsidR="00894070" w:rsidRDefault="009B7AFD">
                  <w:pPr>
                    <w:pStyle w:val="BodyText"/>
                    <w:spacing w:line="206" w:lineRule="auto"/>
                    <w:ind w:left="221" w:right="349"/>
                    <w:rPr>
                      <w:sz w:val="11"/>
                    </w:rPr>
                  </w:pPr>
                  <w:r>
                    <w:rPr>
                      <w:color w:val="231F20"/>
                    </w:rPr>
                    <w:t xml:space="preserve">During our hearing it was very clear that I did not know </w:t>
                  </w:r>
                  <w:r>
                    <w:rPr>
                      <w:color w:val="231F20"/>
                      <w:spacing w:val="-3"/>
                    </w:rPr>
                    <w:t xml:space="preserve">my </w:t>
                  </w:r>
                  <w:r>
                    <w:rPr>
                      <w:color w:val="231F20"/>
                    </w:rPr>
                    <w:t xml:space="preserve">stalker and although I had voiced this and all </w:t>
                  </w:r>
                  <w:r>
                    <w:rPr>
                      <w:color w:val="231F20"/>
                      <w:spacing w:val="-3"/>
                    </w:rPr>
                    <w:t xml:space="preserve">my </w:t>
                  </w:r>
                  <w:r>
                    <w:rPr>
                      <w:color w:val="231F20"/>
                    </w:rPr>
                    <w:t xml:space="preserve">evidence stated this, the judge still asked me in front of a full courtroom if I had </w:t>
                  </w:r>
                  <w:r>
                    <w:rPr>
                      <w:color w:val="231F20"/>
                      <w:spacing w:val="-3"/>
                    </w:rPr>
                    <w:t xml:space="preserve">ever </w:t>
                  </w:r>
                  <w:r>
                    <w:rPr>
                      <w:color w:val="231F20"/>
                    </w:rPr>
                    <w:t xml:space="preserve">had sex with </w:t>
                  </w:r>
                  <w:r>
                    <w:rPr>
                      <w:color w:val="231F20"/>
                      <w:spacing w:val="-3"/>
                    </w:rPr>
                    <w:t xml:space="preserve">my stalker. </w:t>
                  </w:r>
                  <w:r>
                    <w:rPr>
                      <w:color w:val="231F20"/>
                    </w:rPr>
                    <w:t>I felt extremely disrespected</w:t>
                  </w:r>
                  <w:r>
                    <w:rPr>
                      <w:color w:val="231F20"/>
                      <w:spacing w:val="-5"/>
                    </w:rPr>
                    <w:t xml:space="preserve"> </w:t>
                  </w:r>
                  <w:r>
                    <w:rPr>
                      <w:color w:val="231F20"/>
                    </w:rPr>
                    <w:t>because</w:t>
                  </w:r>
                  <w:r>
                    <w:rPr>
                      <w:color w:val="231F20"/>
                      <w:spacing w:val="-4"/>
                    </w:rPr>
                    <w:t xml:space="preserve"> </w:t>
                  </w:r>
                  <w:r>
                    <w:rPr>
                      <w:color w:val="231F20"/>
                    </w:rPr>
                    <w:t>whether</w:t>
                  </w:r>
                  <w:r>
                    <w:rPr>
                      <w:color w:val="231F20"/>
                      <w:spacing w:val="-4"/>
                    </w:rPr>
                    <w:t xml:space="preserve"> </w:t>
                  </w:r>
                  <w:r>
                    <w:rPr>
                      <w:color w:val="231F20"/>
                    </w:rPr>
                    <w:t>a</w:t>
                  </w:r>
                  <w:r>
                    <w:rPr>
                      <w:color w:val="231F20"/>
                      <w:spacing w:val="-5"/>
                    </w:rPr>
                    <w:t xml:space="preserve"> </w:t>
                  </w:r>
                  <w:r>
                    <w:rPr>
                      <w:color w:val="231F20"/>
                    </w:rPr>
                    <w:t>person</w:t>
                  </w:r>
                  <w:r>
                    <w:rPr>
                      <w:color w:val="231F20"/>
                      <w:spacing w:val="-5"/>
                    </w:rPr>
                    <w:t xml:space="preserve"> </w:t>
                  </w:r>
                  <w:r>
                    <w:rPr>
                      <w:color w:val="231F20"/>
                    </w:rPr>
                    <w:t>has</w:t>
                  </w:r>
                  <w:r>
                    <w:rPr>
                      <w:color w:val="231F20"/>
                      <w:spacing w:val="-4"/>
                    </w:rPr>
                    <w:t xml:space="preserve"> </w:t>
                  </w:r>
                  <w:r>
                    <w:rPr>
                      <w:color w:val="231F20"/>
                    </w:rPr>
                    <w:t>had</w:t>
                  </w:r>
                  <w:r>
                    <w:rPr>
                      <w:color w:val="231F20"/>
                      <w:spacing w:val="-4"/>
                    </w:rPr>
                    <w:t xml:space="preserve"> </w:t>
                  </w:r>
                  <w:r>
                    <w:rPr>
                      <w:color w:val="231F20"/>
                    </w:rPr>
                    <w:t>a</w:t>
                  </w:r>
                  <w:r>
                    <w:rPr>
                      <w:color w:val="231F20"/>
                      <w:spacing w:val="-5"/>
                    </w:rPr>
                    <w:t xml:space="preserve"> </w:t>
                  </w:r>
                  <w:r>
                    <w:rPr>
                      <w:color w:val="231F20"/>
                    </w:rPr>
                    <w:t>relationship</w:t>
                  </w:r>
                  <w:r>
                    <w:rPr>
                      <w:color w:val="231F20"/>
                      <w:spacing w:val="-4"/>
                    </w:rPr>
                    <w:t xml:space="preserve"> </w:t>
                  </w:r>
                  <w:r>
                    <w:rPr>
                      <w:color w:val="231F20"/>
                    </w:rPr>
                    <w:t>with</w:t>
                  </w:r>
                  <w:r>
                    <w:rPr>
                      <w:color w:val="231F20"/>
                      <w:spacing w:val="-5"/>
                    </w:rPr>
                    <w:t xml:space="preserve"> </w:t>
                  </w:r>
                  <w:r>
                    <w:rPr>
                      <w:color w:val="231F20"/>
                    </w:rPr>
                    <w:t>their</w:t>
                  </w:r>
                  <w:r>
                    <w:rPr>
                      <w:color w:val="231F20"/>
                      <w:spacing w:val="-4"/>
                    </w:rPr>
                    <w:t xml:space="preserve"> </w:t>
                  </w:r>
                  <w:r>
                    <w:rPr>
                      <w:color w:val="231F20"/>
                    </w:rPr>
                    <w:t xml:space="preserve">stalker or not this SHOULD </w:t>
                  </w:r>
                  <w:r>
                    <w:rPr>
                      <w:color w:val="231F20"/>
                      <w:spacing w:val="-3"/>
                    </w:rPr>
                    <w:t xml:space="preserve">NOT </w:t>
                  </w:r>
                  <w:r>
                    <w:rPr>
                      <w:color w:val="231F20"/>
                    </w:rPr>
                    <w:t>dilute the severity of the</w:t>
                  </w:r>
                  <w:r>
                    <w:rPr>
                      <w:color w:val="231F20"/>
                      <w:spacing w:val="-21"/>
                    </w:rPr>
                    <w:t xml:space="preserve"> </w:t>
                  </w:r>
                  <w:r>
                    <w:rPr>
                      <w:color w:val="231F20"/>
                    </w:rPr>
                    <w:t>stalking!</w:t>
                  </w:r>
                  <w:r>
                    <w:rPr>
                      <w:color w:val="231F20"/>
                      <w:position w:val="7"/>
                      <w:sz w:val="11"/>
                    </w:rPr>
                    <w:t>92</w:t>
                  </w:r>
                </w:p>
              </w:txbxContent>
            </v:textbox>
            <w10:wrap type="topAndBottom" anchorx="page"/>
          </v:shape>
        </w:pict>
      </w:r>
    </w:p>
    <w:p w14:paraId="099DD695" w14:textId="77777777" w:rsidR="00894070" w:rsidRDefault="00894070">
      <w:pPr>
        <w:pStyle w:val="BodyText"/>
        <w:spacing w:before="6"/>
        <w:rPr>
          <w:sz w:val="19"/>
        </w:rPr>
      </w:pPr>
    </w:p>
    <w:p w14:paraId="073DD9FD" w14:textId="77777777" w:rsidR="00894070" w:rsidRDefault="009B7AFD">
      <w:pPr>
        <w:pStyle w:val="ListParagraph"/>
        <w:numPr>
          <w:ilvl w:val="1"/>
          <w:numId w:val="177"/>
        </w:numPr>
        <w:tabs>
          <w:tab w:val="left" w:pos="1801"/>
          <w:tab w:val="left" w:pos="1802"/>
        </w:tabs>
        <w:spacing w:before="89" w:line="206" w:lineRule="auto"/>
        <w:ind w:right="1278"/>
        <w:rPr>
          <w:sz w:val="20"/>
        </w:rPr>
      </w:pPr>
      <w:r>
        <w:rPr>
          <w:color w:val="231F20"/>
          <w:spacing w:val="-3"/>
          <w:sz w:val="20"/>
        </w:rPr>
        <w:t>Another,</w:t>
      </w:r>
      <w:r>
        <w:rPr>
          <w:color w:val="231F20"/>
          <w:spacing w:val="-8"/>
          <w:sz w:val="20"/>
        </w:rPr>
        <w:t xml:space="preserve"> </w:t>
      </w:r>
      <w:r>
        <w:rPr>
          <w:color w:val="231F20"/>
          <w:sz w:val="20"/>
        </w:rPr>
        <w:t>who</w:t>
      </w:r>
      <w:r>
        <w:rPr>
          <w:color w:val="231F20"/>
          <w:spacing w:val="-8"/>
          <w:sz w:val="20"/>
        </w:rPr>
        <w:t xml:space="preserve"> </w:t>
      </w:r>
      <w:r>
        <w:rPr>
          <w:color w:val="231F20"/>
          <w:sz w:val="20"/>
        </w:rPr>
        <w:t>had</w:t>
      </w:r>
      <w:r>
        <w:rPr>
          <w:color w:val="231F20"/>
          <w:spacing w:val="-8"/>
          <w:sz w:val="20"/>
        </w:rPr>
        <w:t xml:space="preserve"> </w:t>
      </w:r>
      <w:r>
        <w:rPr>
          <w:color w:val="231F20"/>
          <w:sz w:val="20"/>
        </w:rPr>
        <w:t>engaged</w:t>
      </w:r>
      <w:r>
        <w:rPr>
          <w:color w:val="231F20"/>
          <w:spacing w:val="-8"/>
          <w:sz w:val="20"/>
        </w:rPr>
        <w:t xml:space="preserve"> </w:t>
      </w:r>
      <w:r>
        <w:rPr>
          <w:color w:val="231F20"/>
          <w:sz w:val="20"/>
        </w:rPr>
        <w:t>with</w:t>
      </w:r>
      <w:r>
        <w:rPr>
          <w:color w:val="231F20"/>
          <w:spacing w:val="-8"/>
          <w:sz w:val="20"/>
        </w:rPr>
        <w:t xml:space="preserve"> </w:t>
      </w:r>
      <w:r>
        <w:rPr>
          <w:color w:val="231F20"/>
          <w:sz w:val="20"/>
        </w:rPr>
        <w:t>the</w:t>
      </w:r>
      <w:r>
        <w:rPr>
          <w:color w:val="231F20"/>
          <w:spacing w:val="-8"/>
          <w:sz w:val="20"/>
        </w:rPr>
        <w:t xml:space="preserve"> </w:t>
      </w:r>
      <w:r>
        <w:rPr>
          <w:color w:val="231F20"/>
          <w:sz w:val="20"/>
        </w:rPr>
        <w:t>courts</w:t>
      </w:r>
      <w:r>
        <w:rPr>
          <w:color w:val="231F20"/>
          <w:spacing w:val="-8"/>
          <w:sz w:val="20"/>
        </w:rPr>
        <w:t xml:space="preserve"> </w:t>
      </w:r>
      <w:r>
        <w:rPr>
          <w:color w:val="231F20"/>
          <w:sz w:val="20"/>
        </w:rPr>
        <w:t>to</w:t>
      </w:r>
      <w:r>
        <w:rPr>
          <w:color w:val="231F20"/>
          <w:spacing w:val="-8"/>
          <w:sz w:val="20"/>
        </w:rPr>
        <w:t xml:space="preserve"> </w:t>
      </w:r>
      <w:r>
        <w:rPr>
          <w:color w:val="231F20"/>
          <w:sz w:val="20"/>
        </w:rPr>
        <w:t>get</w:t>
      </w:r>
      <w:r>
        <w:rPr>
          <w:color w:val="231F20"/>
          <w:spacing w:val="-7"/>
          <w:sz w:val="20"/>
        </w:rPr>
        <w:t xml:space="preserve"> </w:t>
      </w:r>
      <w:r>
        <w:rPr>
          <w:color w:val="231F20"/>
          <w:sz w:val="20"/>
        </w:rPr>
        <w:t>a</w:t>
      </w:r>
      <w:r>
        <w:rPr>
          <w:color w:val="231F20"/>
          <w:spacing w:val="-8"/>
          <w:sz w:val="20"/>
        </w:rPr>
        <w:t xml:space="preserve"> </w:t>
      </w:r>
      <w:r>
        <w:rPr>
          <w:color w:val="231F20"/>
          <w:sz w:val="20"/>
        </w:rPr>
        <w:t>civil</w:t>
      </w:r>
      <w:r>
        <w:rPr>
          <w:color w:val="231F20"/>
          <w:spacing w:val="-8"/>
          <w:sz w:val="20"/>
        </w:rPr>
        <w:t xml:space="preserve"> </w:t>
      </w:r>
      <w:r>
        <w:rPr>
          <w:color w:val="231F20"/>
          <w:sz w:val="20"/>
        </w:rPr>
        <w:t>justice</w:t>
      </w:r>
      <w:r>
        <w:rPr>
          <w:color w:val="231F20"/>
          <w:spacing w:val="-8"/>
          <w:sz w:val="20"/>
        </w:rPr>
        <w:t xml:space="preserve"> </w:t>
      </w:r>
      <w:r>
        <w:rPr>
          <w:color w:val="231F20"/>
          <w:sz w:val="20"/>
        </w:rPr>
        <w:t>response</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last</w:t>
      </w:r>
      <w:r>
        <w:rPr>
          <w:color w:val="231F20"/>
          <w:spacing w:val="-8"/>
          <w:sz w:val="20"/>
        </w:rPr>
        <w:t xml:space="preserve"> </w:t>
      </w:r>
      <w:r>
        <w:rPr>
          <w:color w:val="231F20"/>
          <w:spacing w:val="-5"/>
          <w:sz w:val="20"/>
        </w:rPr>
        <w:t xml:space="preserve">1–2 </w:t>
      </w:r>
      <w:r>
        <w:rPr>
          <w:color w:val="231F20"/>
          <w:sz w:val="20"/>
        </w:rPr>
        <w:t>years,</w:t>
      </w:r>
      <w:r>
        <w:rPr>
          <w:color w:val="231F20"/>
          <w:spacing w:val="-6"/>
          <w:sz w:val="20"/>
        </w:rPr>
        <w:t xml:space="preserve"> </w:t>
      </w:r>
      <w:r>
        <w:rPr>
          <w:color w:val="231F20"/>
          <w:sz w:val="20"/>
        </w:rPr>
        <w:t>said:</w:t>
      </w:r>
    </w:p>
    <w:p w14:paraId="6AE079CD" w14:textId="77777777" w:rsidR="00894070" w:rsidRDefault="009F6793">
      <w:pPr>
        <w:pStyle w:val="BodyText"/>
        <w:spacing w:before="6"/>
        <w:rPr>
          <w:sz w:val="23"/>
        </w:rPr>
      </w:pPr>
      <w:r>
        <w:pict w14:anchorId="079EE642">
          <v:shape id="_x0000_s1468" type="#_x0000_t202" style="position:absolute;margin-left:119.3pt;margin-top:18.5pt;width:396.35pt;height:44.1pt;z-index:251568128;mso-wrap-distance-left:0;mso-wrap-distance-right:0;mso-position-horizontal-relative:page" fillcolor="#fee7de" strokecolor="#ea5b50" strokeweight=".5pt">
            <v:textbox inset="0,0,0,0">
              <w:txbxContent>
                <w:p w14:paraId="779033B7" w14:textId="77777777" w:rsidR="00894070" w:rsidRDefault="00894070">
                  <w:pPr>
                    <w:pStyle w:val="BodyText"/>
                    <w:spacing w:before="3"/>
                    <w:rPr>
                      <w:sz w:val="15"/>
                    </w:rPr>
                  </w:pPr>
                </w:p>
                <w:p w14:paraId="721CFA59" w14:textId="77777777" w:rsidR="00894070" w:rsidRDefault="009B7AFD">
                  <w:pPr>
                    <w:pStyle w:val="BodyText"/>
                    <w:spacing w:line="206" w:lineRule="auto"/>
                    <w:ind w:left="221"/>
                    <w:rPr>
                      <w:sz w:val="11"/>
                    </w:rPr>
                  </w:pPr>
                  <w:r>
                    <w:rPr>
                      <w:color w:val="231F20"/>
                    </w:rPr>
                    <w:t>The magistrate who issued the order in perpetuity stated in court that the stalker and I should ‘grow up’.</w:t>
                  </w:r>
                  <w:r>
                    <w:rPr>
                      <w:color w:val="231F20"/>
                      <w:position w:val="7"/>
                      <w:sz w:val="11"/>
                    </w:rPr>
                    <w:t>93</w:t>
                  </w:r>
                </w:p>
              </w:txbxContent>
            </v:textbox>
            <w10:wrap type="topAndBottom" anchorx="page"/>
          </v:shape>
        </w:pict>
      </w:r>
    </w:p>
    <w:p w14:paraId="40ADA4D5" w14:textId="77777777" w:rsidR="00894070" w:rsidRDefault="00894070">
      <w:pPr>
        <w:pStyle w:val="BodyText"/>
        <w:spacing w:before="6"/>
        <w:rPr>
          <w:sz w:val="19"/>
        </w:rPr>
      </w:pPr>
    </w:p>
    <w:p w14:paraId="609966DA" w14:textId="77777777" w:rsidR="00894070" w:rsidRDefault="009B7AFD">
      <w:pPr>
        <w:pStyle w:val="ListParagraph"/>
        <w:numPr>
          <w:ilvl w:val="1"/>
          <w:numId w:val="177"/>
        </w:numPr>
        <w:tabs>
          <w:tab w:val="left" w:pos="1801"/>
          <w:tab w:val="left" w:pos="1802"/>
        </w:tabs>
        <w:spacing w:before="89" w:line="206" w:lineRule="auto"/>
        <w:ind w:right="1299"/>
        <w:rPr>
          <w:sz w:val="11"/>
        </w:rPr>
      </w:pPr>
      <w:r>
        <w:rPr>
          <w:color w:val="231F20"/>
          <w:spacing w:val="-6"/>
          <w:sz w:val="20"/>
        </w:rPr>
        <w:t xml:space="preserve">We </w:t>
      </w:r>
      <w:r>
        <w:rPr>
          <w:color w:val="231F20"/>
          <w:sz w:val="20"/>
        </w:rPr>
        <w:t xml:space="preserve">heard similar complaints about prosecuting lawyers. Derryn </w:t>
      </w:r>
      <w:r>
        <w:rPr>
          <w:color w:val="231F20"/>
          <w:spacing w:val="-4"/>
          <w:sz w:val="20"/>
        </w:rPr>
        <w:t xml:space="preserve">Hinch’s </w:t>
      </w:r>
      <w:r>
        <w:rPr>
          <w:color w:val="231F20"/>
          <w:sz w:val="20"/>
        </w:rPr>
        <w:t>Justice Party reported</w:t>
      </w:r>
      <w:r>
        <w:rPr>
          <w:color w:val="231F20"/>
          <w:spacing w:val="-15"/>
          <w:sz w:val="20"/>
        </w:rPr>
        <w:t xml:space="preserve"> </w:t>
      </w:r>
      <w:r>
        <w:rPr>
          <w:color w:val="231F20"/>
          <w:sz w:val="20"/>
        </w:rPr>
        <w:t>hearing</w:t>
      </w:r>
      <w:r>
        <w:rPr>
          <w:color w:val="231F20"/>
          <w:spacing w:val="-15"/>
          <w:sz w:val="20"/>
        </w:rPr>
        <w:t xml:space="preserve"> </w:t>
      </w:r>
      <w:r>
        <w:rPr>
          <w:color w:val="231F20"/>
          <w:spacing w:val="-3"/>
          <w:sz w:val="20"/>
        </w:rPr>
        <w:t>‘repeatedly</w:t>
      </w:r>
      <w:r>
        <w:rPr>
          <w:color w:val="231F20"/>
          <w:spacing w:val="-14"/>
          <w:sz w:val="20"/>
        </w:rPr>
        <w:t xml:space="preserve"> </w:t>
      </w:r>
      <w:r>
        <w:rPr>
          <w:color w:val="231F20"/>
          <w:spacing w:val="-3"/>
          <w:sz w:val="20"/>
        </w:rPr>
        <w:t>from</w:t>
      </w:r>
      <w:r>
        <w:rPr>
          <w:color w:val="231F20"/>
          <w:spacing w:val="-15"/>
          <w:sz w:val="20"/>
        </w:rPr>
        <w:t xml:space="preserve"> </w:t>
      </w:r>
      <w:r>
        <w:rPr>
          <w:color w:val="231F20"/>
          <w:sz w:val="20"/>
        </w:rPr>
        <w:t>victim-survivors</w:t>
      </w:r>
      <w:r>
        <w:rPr>
          <w:color w:val="231F20"/>
          <w:spacing w:val="-14"/>
          <w:sz w:val="20"/>
        </w:rPr>
        <w:t xml:space="preserve"> </w:t>
      </w:r>
      <w:r>
        <w:rPr>
          <w:color w:val="231F20"/>
          <w:sz w:val="20"/>
        </w:rPr>
        <w:t>that</w:t>
      </w:r>
      <w:r>
        <w:rPr>
          <w:color w:val="231F20"/>
          <w:spacing w:val="-15"/>
          <w:sz w:val="20"/>
        </w:rPr>
        <w:t xml:space="preserve"> </w:t>
      </w:r>
      <w:r>
        <w:rPr>
          <w:color w:val="231F20"/>
          <w:sz w:val="20"/>
        </w:rPr>
        <w:t>their</w:t>
      </w:r>
      <w:r>
        <w:rPr>
          <w:color w:val="231F20"/>
          <w:spacing w:val="-15"/>
          <w:sz w:val="20"/>
        </w:rPr>
        <w:t xml:space="preserve"> </w:t>
      </w:r>
      <w:r>
        <w:rPr>
          <w:color w:val="231F20"/>
          <w:sz w:val="20"/>
        </w:rPr>
        <w:t>interaction</w:t>
      </w:r>
      <w:r>
        <w:rPr>
          <w:color w:val="231F20"/>
          <w:spacing w:val="-14"/>
          <w:sz w:val="20"/>
        </w:rPr>
        <w:t xml:space="preserve"> </w:t>
      </w:r>
      <w:r>
        <w:rPr>
          <w:color w:val="231F20"/>
          <w:sz w:val="20"/>
        </w:rPr>
        <w:t>with</w:t>
      </w:r>
      <w:r>
        <w:rPr>
          <w:color w:val="231F20"/>
          <w:spacing w:val="-15"/>
          <w:sz w:val="20"/>
        </w:rPr>
        <w:t xml:space="preserve"> </w:t>
      </w:r>
      <w:r>
        <w:rPr>
          <w:color w:val="231F20"/>
          <w:sz w:val="20"/>
        </w:rPr>
        <w:t>the</w:t>
      </w:r>
      <w:r>
        <w:rPr>
          <w:color w:val="231F20"/>
          <w:spacing w:val="-14"/>
          <w:sz w:val="20"/>
        </w:rPr>
        <w:t xml:space="preserve"> </w:t>
      </w:r>
      <w:r>
        <w:rPr>
          <w:color w:val="231F20"/>
          <w:sz w:val="20"/>
        </w:rPr>
        <w:t xml:space="preserve">Office of Public </w:t>
      </w:r>
      <w:r>
        <w:rPr>
          <w:color w:val="231F20"/>
          <w:spacing w:val="-2"/>
          <w:sz w:val="20"/>
        </w:rPr>
        <w:t xml:space="preserve">Prosecutions </w:t>
      </w:r>
      <w:r>
        <w:rPr>
          <w:color w:val="231F20"/>
          <w:spacing w:val="-3"/>
          <w:sz w:val="20"/>
        </w:rPr>
        <w:t xml:space="preserve">(OPP) </w:t>
      </w:r>
      <w:r>
        <w:rPr>
          <w:color w:val="231F20"/>
          <w:sz w:val="20"/>
        </w:rPr>
        <w:t xml:space="preserve">has been deeply unsatisfying, </w:t>
      </w:r>
      <w:proofErr w:type="gramStart"/>
      <w:r>
        <w:rPr>
          <w:color w:val="231F20"/>
          <w:spacing w:val="-3"/>
          <w:sz w:val="20"/>
        </w:rPr>
        <w:t>unrewarding</w:t>
      </w:r>
      <w:proofErr w:type="gramEnd"/>
      <w:r>
        <w:rPr>
          <w:color w:val="231F20"/>
          <w:spacing w:val="-3"/>
          <w:sz w:val="20"/>
        </w:rPr>
        <w:t xml:space="preserve"> </w:t>
      </w:r>
      <w:r>
        <w:rPr>
          <w:color w:val="231F20"/>
          <w:sz w:val="20"/>
        </w:rPr>
        <w:t xml:space="preserve">and </w:t>
      </w:r>
      <w:r>
        <w:rPr>
          <w:color w:val="231F20"/>
          <w:spacing w:val="-3"/>
          <w:sz w:val="20"/>
        </w:rPr>
        <w:t>even retraumatising’.</w:t>
      </w:r>
      <w:r>
        <w:rPr>
          <w:color w:val="231F20"/>
          <w:spacing w:val="-3"/>
          <w:position w:val="7"/>
          <w:sz w:val="11"/>
        </w:rPr>
        <w:t>94</w:t>
      </w:r>
    </w:p>
    <w:p w14:paraId="780BB37A" w14:textId="77777777" w:rsidR="00894070" w:rsidRDefault="009B7AFD">
      <w:pPr>
        <w:pStyle w:val="ListParagraph"/>
        <w:numPr>
          <w:ilvl w:val="1"/>
          <w:numId w:val="177"/>
        </w:numPr>
        <w:tabs>
          <w:tab w:val="left" w:pos="1801"/>
          <w:tab w:val="left" w:pos="1802"/>
        </w:tabs>
        <w:spacing w:before="93"/>
        <w:rPr>
          <w:sz w:val="20"/>
        </w:rPr>
      </w:pPr>
      <w:r>
        <w:rPr>
          <w:color w:val="231F20"/>
          <w:sz w:val="20"/>
        </w:rPr>
        <w:t>It</w:t>
      </w:r>
      <w:r>
        <w:rPr>
          <w:color w:val="231F20"/>
          <w:spacing w:val="-5"/>
          <w:sz w:val="20"/>
        </w:rPr>
        <w:t xml:space="preserve"> </w:t>
      </w:r>
      <w:r>
        <w:rPr>
          <w:color w:val="231F20"/>
          <w:sz w:val="20"/>
        </w:rPr>
        <w:t>is</w:t>
      </w:r>
      <w:r>
        <w:rPr>
          <w:color w:val="231F20"/>
          <w:spacing w:val="-5"/>
          <w:sz w:val="20"/>
        </w:rPr>
        <w:t xml:space="preserve"> </w:t>
      </w:r>
      <w:r>
        <w:rPr>
          <w:color w:val="231F20"/>
          <w:sz w:val="20"/>
        </w:rPr>
        <w:t>important</w:t>
      </w:r>
      <w:r>
        <w:rPr>
          <w:color w:val="231F20"/>
          <w:spacing w:val="-5"/>
          <w:sz w:val="20"/>
        </w:rPr>
        <w:t xml:space="preserve"> </w:t>
      </w:r>
      <w:r>
        <w:rPr>
          <w:color w:val="231F20"/>
          <w:sz w:val="20"/>
        </w:rPr>
        <w:t>that</w:t>
      </w:r>
      <w:r>
        <w:rPr>
          <w:color w:val="231F20"/>
          <w:spacing w:val="-4"/>
          <w:sz w:val="20"/>
        </w:rPr>
        <w:t xml:space="preserve"> </w:t>
      </w:r>
      <w:r>
        <w:rPr>
          <w:color w:val="231F20"/>
          <w:sz w:val="20"/>
        </w:rPr>
        <w:t>people</w:t>
      </w:r>
      <w:r>
        <w:rPr>
          <w:color w:val="231F20"/>
          <w:spacing w:val="-5"/>
          <w:sz w:val="20"/>
        </w:rPr>
        <w:t xml:space="preserve"> </w:t>
      </w:r>
      <w:r>
        <w:rPr>
          <w:color w:val="231F20"/>
          <w:sz w:val="20"/>
        </w:rPr>
        <w:t>who</w:t>
      </w:r>
      <w:r>
        <w:rPr>
          <w:color w:val="231F20"/>
          <w:spacing w:val="-5"/>
          <w:sz w:val="20"/>
        </w:rPr>
        <w:t xml:space="preserve"> </w:t>
      </w:r>
      <w:r>
        <w:rPr>
          <w:color w:val="231F20"/>
          <w:spacing w:val="-3"/>
          <w:sz w:val="20"/>
        </w:rPr>
        <w:t>work</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5"/>
          <w:sz w:val="20"/>
        </w:rPr>
        <w:t xml:space="preserve"> </w:t>
      </w:r>
      <w:r>
        <w:rPr>
          <w:color w:val="231F20"/>
          <w:sz w:val="20"/>
        </w:rPr>
        <w:t>justice</w:t>
      </w:r>
      <w:r>
        <w:rPr>
          <w:color w:val="231F20"/>
          <w:spacing w:val="-5"/>
          <w:sz w:val="20"/>
        </w:rPr>
        <w:t xml:space="preserve"> </w:t>
      </w:r>
      <w:r>
        <w:rPr>
          <w:color w:val="231F20"/>
          <w:spacing w:val="-2"/>
          <w:sz w:val="20"/>
        </w:rPr>
        <w:t>system</w:t>
      </w:r>
      <w:r>
        <w:rPr>
          <w:color w:val="231F20"/>
          <w:spacing w:val="-4"/>
          <w:sz w:val="20"/>
        </w:rPr>
        <w:t xml:space="preserve"> </w:t>
      </w:r>
      <w:r>
        <w:rPr>
          <w:color w:val="231F20"/>
          <w:sz w:val="20"/>
        </w:rPr>
        <w:t>understand:</w:t>
      </w:r>
    </w:p>
    <w:p w14:paraId="73F139F1"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the impact of trauma on victim</w:t>
      </w:r>
      <w:r>
        <w:rPr>
          <w:color w:val="231F20"/>
          <w:spacing w:val="-27"/>
          <w:sz w:val="20"/>
        </w:rPr>
        <w:t xml:space="preserve"> </w:t>
      </w:r>
      <w:r>
        <w:rPr>
          <w:color w:val="231F20"/>
          <w:sz w:val="20"/>
        </w:rPr>
        <w:t>survivors</w:t>
      </w:r>
    </w:p>
    <w:p w14:paraId="0848BEAD" w14:textId="77777777" w:rsidR="00894070" w:rsidRDefault="009B7AFD">
      <w:pPr>
        <w:pStyle w:val="ListParagraph"/>
        <w:numPr>
          <w:ilvl w:val="2"/>
          <w:numId w:val="177"/>
        </w:numPr>
        <w:tabs>
          <w:tab w:val="left" w:pos="2141"/>
          <w:tab w:val="left" w:pos="2142"/>
        </w:tabs>
        <w:spacing w:before="48"/>
        <w:ind w:hanging="340"/>
        <w:rPr>
          <w:sz w:val="20"/>
        </w:rPr>
      </w:pPr>
      <w:r>
        <w:rPr>
          <w:color w:val="231F20"/>
          <w:spacing w:val="-3"/>
          <w:sz w:val="20"/>
        </w:rPr>
        <w:t xml:space="preserve">how </w:t>
      </w:r>
      <w:r>
        <w:rPr>
          <w:color w:val="231F20"/>
          <w:sz w:val="20"/>
        </w:rPr>
        <w:t xml:space="preserve">victim survivors might </w:t>
      </w:r>
      <w:r>
        <w:rPr>
          <w:color w:val="231F20"/>
          <w:spacing w:val="-3"/>
          <w:sz w:val="20"/>
        </w:rPr>
        <w:t xml:space="preserve">present </w:t>
      </w:r>
      <w:proofErr w:type="gramStart"/>
      <w:r>
        <w:rPr>
          <w:color w:val="231F20"/>
          <w:sz w:val="20"/>
        </w:rPr>
        <w:t xml:space="preserve">as a </w:t>
      </w:r>
      <w:r>
        <w:rPr>
          <w:color w:val="231F20"/>
          <w:spacing w:val="-3"/>
          <w:sz w:val="20"/>
        </w:rPr>
        <w:t xml:space="preserve">result </w:t>
      </w:r>
      <w:r>
        <w:rPr>
          <w:color w:val="231F20"/>
          <w:sz w:val="20"/>
        </w:rPr>
        <w:t>of</w:t>
      </w:r>
      <w:proofErr w:type="gramEnd"/>
      <w:r>
        <w:rPr>
          <w:color w:val="231F20"/>
          <w:sz w:val="20"/>
        </w:rPr>
        <w:t xml:space="preserve"> the</w:t>
      </w:r>
      <w:r>
        <w:rPr>
          <w:color w:val="231F20"/>
          <w:spacing w:val="-35"/>
          <w:sz w:val="20"/>
        </w:rPr>
        <w:t xml:space="preserve"> </w:t>
      </w:r>
      <w:r>
        <w:rPr>
          <w:color w:val="231F20"/>
          <w:sz w:val="20"/>
        </w:rPr>
        <w:t>trauma</w:t>
      </w:r>
    </w:p>
    <w:p w14:paraId="69C7AA84" w14:textId="77777777" w:rsidR="00894070" w:rsidRDefault="009B7AFD">
      <w:pPr>
        <w:pStyle w:val="ListParagraph"/>
        <w:numPr>
          <w:ilvl w:val="2"/>
          <w:numId w:val="177"/>
        </w:numPr>
        <w:tabs>
          <w:tab w:val="left" w:pos="2141"/>
          <w:tab w:val="left" w:pos="2142"/>
        </w:tabs>
        <w:spacing w:before="47"/>
        <w:ind w:hanging="340"/>
        <w:rPr>
          <w:sz w:val="11"/>
        </w:rPr>
      </w:pPr>
      <w:r>
        <w:rPr>
          <w:color w:val="231F20"/>
          <w:spacing w:val="-3"/>
          <w:sz w:val="20"/>
        </w:rPr>
        <w:t xml:space="preserve">how </w:t>
      </w:r>
      <w:r>
        <w:rPr>
          <w:color w:val="231F20"/>
          <w:sz w:val="20"/>
        </w:rPr>
        <w:t>best to respond to the</w:t>
      </w:r>
      <w:r>
        <w:rPr>
          <w:color w:val="231F20"/>
          <w:spacing w:val="-23"/>
          <w:sz w:val="20"/>
        </w:rPr>
        <w:t xml:space="preserve"> </w:t>
      </w:r>
      <w:r>
        <w:rPr>
          <w:color w:val="231F20"/>
          <w:sz w:val="20"/>
        </w:rPr>
        <w:t>trauma.</w:t>
      </w:r>
      <w:proofErr w:type="gramStart"/>
      <w:r>
        <w:rPr>
          <w:color w:val="231F20"/>
          <w:position w:val="7"/>
          <w:sz w:val="11"/>
        </w:rPr>
        <w:t>95</w:t>
      </w:r>
      <w:proofErr w:type="gramEnd"/>
    </w:p>
    <w:p w14:paraId="2BE58895" w14:textId="77777777" w:rsidR="00894070" w:rsidRDefault="009B7AFD">
      <w:pPr>
        <w:pStyle w:val="ListParagraph"/>
        <w:numPr>
          <w:ilvl w:val="1"/>
          <w:numId w:val="177"/>
        </w:numPr>
        <w:tabs>
          <w:tab w:val="left" w:pos="1801"/>
          <w:tab w:val="left" w:pos="1802"/>
        </w:tabs>
        <w:spacing w:before="80" w:line="206" w:lineRule="auto"/>
        <w:ind w:right="2232"/>
        <w:rPr>
          <w:sz w:val="20"/>
        </w:rPr>
      </w:pPr>
      <w:r>
        <w:rPr>
          <w:color w:val="231F20"/>
          <w:sz w:val="20"/>
        </w:rPr>
        <w:t>The</w:t>
      </w:r>
      <w:r>
        <w:rPr>
          <w:color w:val="231F20"/>
          <w:spacing w:val="-13"/>
          <w:sz w:val="20"/>
        </w:rPr>
        <w:t xml:space="preserve"> </w:t>
      </w:r>
      <w:r>
        <w:rPr>
          <w:color w:val="231F20"/>
          <w:sz w:val="20"/>
        </w:rPr>
        <w:t>Office</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2"/>
          <w:sz w:val="20"/>
        </w:rPr>
        <w:t xml:space="preserve"> </w:t>
      </w:r>
      <w:r>
        <w:rPr>
          <w:color w:val="231F20"/>
          <w:sz w:val="20"/>
        </w:rPr>
        <w:t>eSafety</w:t>
      </w:r>
      <w:r>
        <w:rPr>
          <w:color w:val="231F20"/>
          <w:spacing w:val="-12"/>
          <w:sz w:val="20"/>
        </w:rPr>
        <w:t xml:space="preserve"> </w:t>
      </w:r>
      <w:r>
        <w:rPr>
          <w:color w:val="231F20"/>
          <w:sz w:val="20"/>
        </w:rPr>
        <w:t>Commissioner</w:t>
      </w:r>
      <w:r>
        <w:rPr>
          <w:color w:val="231F20"/>
          <w:spacing w:val="-12"/>
          <w:sz w:val="20"/>
        </w:rPr>
        <w:t xml:space="preserve"> </w:t>
      </w:r>
      <w:r>
        <w:rPr>
          <w:color w:val="231F20"/>
          <w:sz w:val="20"/>
        </w:rPr>
        <w:t>explained</w:t>
      </w:r>
      <w:r>
        <w:rPr>
          <w:color w:val="231F20"/>
          <w:spacing w:val="-13"/>
          <w:sz w:val="20"/>
        </w:rPr>
        <w:t xml:space="preserve"> </w:t>
      </w:r>
      <w:r>
        <w:rPr>
          <w:color w:val="231F20"/>
          <w:sz w:val="20"/>
        </w:rPr>
        <w:t>the</w:t>
      </w:r>
      <w:r>
        <w:rPr>
          <w:color w:val="231F20"/>
          <w:spacing w:val="-12"/>
          <w:sz w:val="20"/>
        </w:rPr>
        <w:t xml:space="preserve"> </w:t>
      </w:r>
      <w:r>
        <w:rPr>
          <w:color w:val="231F20"/>
          <w:sz w:val="20"/>
        </w:rPr>
        <w:t>impact</w:t>
      </w:r>
      <w:r>
        <w:rPr>
          <w:color w:val="231F20"/>
          <w:spacing w:val="-12"/>
          <w:sz w:val="20"/>
        </w:rPr>
        <w:t xml:space="preserve"> </w:t>
      </w:r>
      <w:r>
        <w:rPr>
          <w:color w:val="231F20"/>
          <w:sz w:val="20"/>
        </w:rPr>
        <w:t>of</w:t>
      </w:r>
      <w:r>
        <w:rPr>
          <w:color w:val="231F20"/>
          <w:spacing w:val="-12"/>
          <w:sz w:val="20"/>
        </w:rPr>
        <w:t xml:space="preserve"> </w:t>
      </w:r>
      <w:r>
        <w:rPr>
          <w:color w:val="231F20"/>
          <w:sz w:val="20"/>
        </w:rPr>
        <w:t>trauma</w:t>
      </w:r>
      <w:r>
        <w:rPr>
          <w:color w:val="231F20"/>
          <w:spacing w:val="-12"/>
          <w:sz w:val="20"/>
        </w:rPr>
        <w:t xml:space="preserve"> </w:t>
      </w:r>
      <w:r>
        <w:rPr>
          <w:color w:val="231F20"/>
          <w:sz w:val="20"/>
        </w:rPr>
        <w:t>in</w:t>
      </w:r>
      <w:r>
        <w:rPr>
          <w:color w:val="231F20"/>
          <w:spacing w:val="-12"/>
          <w:sz w:val="20"/>
        </w:rPr>
        <w:t xml:space="preserve"> </w:t>
      </w:r>
      <w:r>
        <w:rPr>
          <w:color w:val="231F20"/>
          <w:sz w:val="20"/>
        </w:rPr>
        <w:t>a cyberstalking</w:t>
      </w:r>
      <w:r>
        <w:rPr>
          <w:color w:val="231F20"/>
          <w:spacing w:val="-5"/>
          <w:sz w:val="20"/>
        </w:rPr>
        <w:t xml:space="preserve"> </w:t>
      </w:r>
      <w:r>
        <w:rPr>
          <w:color w:val="231F20"/>
          <w:sz w:val="20"/>
        </w:rPr>
        <w:t>context:</w:t>
      </w:r>
    </w:p>
    <w:p w14:paraId="1FB594EC" w14:textId="77777777" w:rsidR="00894070" w:rsidRDefault="009B7AFD">
      <w:pPr>
        <w:spacing w:before="120" w:line="208" w:lineRule="auto"/>
        <w:ind w:left="2254" w:right="1121"/>
        <w:rPr>
          <w:sz w:val="11"/>
        </w:rPr>
      </w:pPr>
      <w:r>
        <w:rPr>
          <w:color w:val="231F20"/>
          <w:sz w:val="19"/>
        </w:rPr>
        <w:t xml:space="preserve">Victim survivors are in a state of high stress, so it is important to be able to recognise trauma, when people are coming to you to report, and to </w:t>
      </w:r>
      <w:proofErr w:type="gramStart"/>
      <w:r>
        <w:rPr>
          <w:color w:val="231F20"/>
          <w:sz w:val="19"/>
        </w:rPr>
        <w:t>actually sit</w:t>
      </w:r>
      <w:proofErr w:type="gramEnd"/>
      <w:r>
        <w:rPr>
          <w:color w:val="231F20"/>
          <w:sz w:val="19"/>
        </w:rPr>
        <w:t xml:space="preserve"> and listen and believe them by default—because they often can’t string together an actual story, but they don’t necessarily recognise everything that’s happening either. They just know that someone is following them and knows something about them...</w:t>
      </w:r>
      <w:r>
        <w:rPr>
          <w:color w:val="231F20"/>
          <w:position w:val="6"/>
          <w:sz w:val="11"/>
        </w:rPr>
        <w:t>96</w:t>
      </w:r>
    </w:p>
    <w:p w14:paraId="141EDE94" w14:textId="77777777" w:rsidR="00894070" w:rsidRDefault="009B7AFD">
      <w:pPr>
        <w:pStyle w:val="ListParagraph"/>
        <w:numPr>
          <w:ilvl w:val="1"/>
          <w:numId w:val="177"/>
        </w:numPr>
        <w:tabs>
          <w:tab w:val="left" w:pos="1801"/>
          <w:tab w:val="left" w:pos="1802"/>
        </w:tabs>
        <w:spacing w:before="93" w:line="259" w:lineRule="exact"/>
        <w:rPr>
          <w:sz w:val="20"/>
        </w:rPr>
      </w:pPr>
      <w:r>
        <w:rPr>
          <w:color w:val="231F20"/>
          <w:sz w:val="20"/>
        </w:rPr>
        <w:t>The</w:t>
      </w:r>
      <w:r>
        <w:rPr>
          <w:color w:val="231F20"/>
          <w:spacing w:val="-6"/>
          <w:sz w:val="20"/>
        </w:rPr>
        <w:t xml:space="preserve"> </w:t>
      </w:r>
      <w:r>
        <w:rPr>
          <w:color w:val="231F20"/>
          <w:sz w:val="20"/>
        </w:rPr>
        <w:t>Victims</w:t>
      </w:r>
      <w:r>
        <w:rPr>
          <w:color w:val="231F20"/>
          <w:spacing w:val="-6"/>
          <w:sz w:val="20"/>
        </w:rPr>
        <w:t xml:space="preserve"> </w:t>
      </w:r>
      <w:r>
        <w:rPr>
          <w:color w:val="231F20"/>
          <w:sz w:val="20"/>
        </w:rPr>
        <w:t>of</w:t>
      </w:r>
      <w:r>
        <w:rPr>
          <w:color w:val="231F20"/>
          <w:spacing w:val="-6"/>
          <w:sz w:val="20"/>
        </w:rPr>
        <w:t xml:space="preserve"> </w:t>
      </w:r>
      <w:r>
        <w:rPr>
          <w:color w:val="231F20"/>
          <w:sz w:val="20"/>
        </w:rPr>
        <w:t>Crime</w:t>
      </w:r>
      <w:r>
        <w:rPr>
          <w:color w:val="231F20"/>
          <w:spacing w:val="-5"/>
          <w:sz w:val="20"/>
        </w:rPr>
        <w:t xml:space="preserve"> </w:t>
      </w:r>
      <w:r>
        <w:rPr>
          <w:color w:val="231F20"/>
          <w:sz w:val="20"/>
        </w:rPr>
        <w:t>Commissioner</w:t>
      </w:r>
      <w:r>
        <w:rPr>
          <w:color w:val="231F20"/>
          <w:spacing w:val="-6"/>
          <w:sz w:val="20"/>
        </w:rPr>
        <w:t xml:space="preserve"> </w:t>
      </w:r>
      <w:r>
        <w:rPr>
          <w:color w:val="231F20"/>
          <w:sz w:val="20"/>
        </w:rPr>
        <w:t>stated</w:t>
      </w:r>
      <w:r>
        <w:rPr>
          <w:color w:val="231F20"/>
          <w:spacing w:val="-6"/>
          <w:sz w:val="20"/>
        </w:rPr>
        <w:t xml:space="preserve"> </w:t>
      </w:r>
      <w:r>
        <w:rPr>
          <w:color w:val="231F20"/>
          <w:sz w:val="20"/>
        </w:rPr>
        <w:t>that</w:t>
      </w:r>
      <w:r>
        <w:rPr>
          <w:color w:val="231F20"/>
          <w:spacing w:val="-6"/>
          <w:sz w:val="20"/>
        </w:rPr>
        <w:t xml:space="preserve"> </w:t>
      </w:r>
      <w:r>
        <w:rPr>
          <w:color w:val="231F20"/>
          <w:sz w:val="20"/>
        </w:rPr>
        <w:t>the</w:t>
      </w:r>
      <w:r>
        <w:rPr>
          <w:color w:val="231F20"/>
          <w:spacing w:val="-5"/>
          <w:sz w:val="20"/>
        </w:rPr>
        <w:t xml:space="preserve"> </w:t>
      </w:r>
      <w:r>
        <w:rPr>
          <w:color w:val="231F20"/>
          <w:sz w:val="20"/>
        </w:rPr>
        <w:t>justice</w:t>
      </w:r>
      <w:r>
        <w:rPr>
          <w:color w:val="231F20"/>
          <w:spacing w:val="-6"/>
          <w:sz w:val="20"/>
        </w:rPr>
        <w:t xml:space="preserve"> </w:t>
      </w:r>
      <w:r>
        <w:rPr>
          <w:color w:val="231F20"/>
          <w:spacing w:val="-2"/>
          <w:sz w:val="20"/>
        </w:rPr>
        <w:t>system</w:t>
      </w:r>
      <w:r>
        <w:rPr>
          <w:color w:val="231F20"/>
          <w:spacing w:val="-6"/>
          <w:sz w:val="20"/>
        </w:rPr>
        <w:t xml:space="preserve"> </w:t>
      </w:r>
      <w:r>
        <w:rPr>
          <w:color w:val="231F20"/>
          <w:sz w:val="20"/>
        </w:rPr>
        <w:t>‘should</w:t>
      </w:r>
      <w:r>
        <w:rPr>
          <w:color w:val="231F20"/>
          <w:spacing w:val="-6"/>
          <w:sz w:val="20"/>
        </w:rPr>
        <w:t xml:space="preserve"> </w:t>
      </w:r>
      <w:r>
        <w:rPr>
          <w:color w:val="231F20"/>
          <w:sz w:val="20"/>
        </w:rPr>
        <w:t>adopt</w:t>
      </w:r>
      <w:r>
        <w:rPr>
          <w:color w:val="231F20"/>
          <w:spacing w:val="-5"/>
          <w:sz w:val="20"/>
        </w:rPr>
        <w:t xml:space="preserve"> </w:t>
      </w:r>
      <w:r>
        <w:rPr>
          <w:color w:val="231F20"/>
          <w:sz w:val="20"/>
        </w:rPr>
        <w:t>a</w:t>
      </w:r>
    </w:p>
    <w:p w14:paraId="7F4D9A1F" w14:textId="77777777" w:rsidR="00894070" w:rsidRDefault="009B7AFD">
      <w:pPr>
        <w:pStyle w:val="BodyText"/>
        <w:spacing w:line="259" w:lineRule="exact"/>
        <w:ind w:left="1801"/>
        <w:rPr>
          <w:sz w:val="11"/>
        </w:rPr>
      </w:pPr>
      <w:r>
        <w:rPr>
          <w:color w:val="231F20"/>
        </w:rPr>
        <w:t>trauma-informed approach’.</w:t>
      </w:r>
      <w:r>
        <w:rPr>
          <w:color w:val="231F20"/>
          <w:position w:val="7"/>
          <w:sz w:val="11"/>
        </w:rPr>
        <w:t>97</w:t>
      </w:r>
    </w:p>
    <w:p w14:paraId="5F1E869B" w14:textId="77777777" w:rsidR="00894070" w:rsidRDefault="009B7AFD">
      <w:pPr>
        <w:pStyle w:val="ListParagraph"/>
        <w:numPr>
          <w:ilvl w:val="1"/>
          <w:numId w:val="177"/>
        </w:numPr>
        <w:tabs>
          <w:tab w:val="left" w:pos="1801"/>
          <w:tab w:val="left" w:pos="1802"/>
        </w:tabs>
        <w:spacing w:before="82"/>
        <w:rPr>
          <w:sz w:val="20"/>
        </w:rPr>
      </w:pPr>
      <w:r>
        <w:rPr>
          <w:color w:val="231F20"/>
          <w:sz w:val="20"/>
        </w:rPr>
        <w:t xml:space="preserve">In our </w:t>
      </w:r>
      <w:r>
        <w:rPr>
          <w:i/>
          <w:color w:val="231F20"/>
          <w:sz w:val="20"/>
        </w:rPr>
        <w:t xml:space="preserve">Committals </w:t>
      </w:r>
      <w:r>
        <w:rPr>
          <w:color w:val="231F20"/>
          <w:sz w:val="20"/>
        </w:rPr>
        <w:t xml:space="preserve">report </w:t>
      </w:r>
      <w:r>
        <w:rPr>
          <w:color w:val="231F20"/>
          <w:spacing w:val="-3"/>
          <w:sz w:val="20"/>
        </w:rPr>
        <w:t>we</w:t>
      </w:r>
      <w:r>
        <w:rPr>
          <w:color w:val="231F20"/>
          <w:spacing w:val="-21"/>
          <w:sz w:val="20"/>
        </w:rPr>
        <w:t xml:space="preserve"> </w:t>
      </w:r>
      <w:r>
        <w:rPr>
          <w:color w:val="231F20"/>
          <w:sz w:val="20"/>
        </w:rPr>
        <w:t>said:</w:t>
      </w:r>
    </w:p>
    <w:p w14:paraId="311EBF27" w14:textId="77777777" w:rsidR="00894070" w:rsidRDefault="009B7AFD">
      <w:pPr>
        <w:spacing w:before="113" w:line="208" w:lineRule="auto"/>
        <w:ind w:left="2254" w:right="1291"/>
        <w:rPr>
          <w:sz w:val="11"/>
        </w:rPr>
      </w:pPr>
      <w:r>
        <w:rPr>
          <w:color w:val="231F20"/>
          <w:sz w:val="19"/>
        </w:rPr>
        <w:t>A trauma-informed approach recognises the barriers that [victim survivors] who have been through traumatic events may confront during their participation in criminal proceedings, such as difficulties discussing the traumatic events, impaired recollection, fear of being blamed or not believed, and distrust of authority figures.</w:t>
      </w:r>
      <w:r>
        <w:rPr>
          <w:color w:val="231F20"/>
          <w:position w:val="6"/>
          <w:sz w:val="11"/>
        </w:rPr>
        <w:t>98</w:t>
      </w:r>
    </w:p>
    <w:p w14:paraId="039802A7" w14:textId="77777777" w:rsidR="00894070" w:rsidRDefault="00894070">
      <w:pPr>
        <w:pStyle w:val="BodyText"/>
      </w:pPr>
    </w:p>
    <w:p w14:paraId="79AA7F14" w14:textId="77777777" w:rsidR="00894070" w:rsidRDefault="00894070">
      <w:pPr>
        <w:pStyle w:val="BodyText"/>
      </w:pPr>
    </w:p>
    <w:p w14:paraId="1CDA2E3C" w14:textId="77777777" w:rsidR="00894070" w:rsidRDefault="00894070">
      <w:pPr>
        <w:pStyle w:val="BodyText"/>
      </w:pPr>
    </w:p>
    <w:p w14:paraId="792C72F5" w14:textId="77777777" w:rsidR="00894070" w:rsidRDefault="00894070">
      <w:pPr>
        <w:pStyle w:val="BodyText"/>
      </w:pPr>
    </w:p>
    <w:p w14:paraId="394325ED" w14:textId="77777777" w:rsidR="00894070" w:rsidRDefault="00894070">
      <w:pPr>
        <w:pStyle w:val="BodyText"/>
      </w:pPr>
    </w:p>
    <w:p w14:paraId="6012D7ED" w14:textId="77777777" w:rsidR="00894070" w:rsidRDefault="009F6793">
      <w:pPr>
        <w:pStyle w:val="BodyText"/>
        <w:spacing w:before="13"/>
        <w:rPr>
          <w:sz w:val="29"/>
        </w:rPr>
      </w:pPr>
      <w:r>
        <w:pict w14:anchorId="75F43629">
          <v:line id="_x0000_s1467" style="position:absolute;z-index:251569152;mso-wrap-distance-left:0;mso-wrap-distance-right:0;mso-position-horizontal-relative:page" from="79.35pt,23.25pt" to="515.9pt,23.25pt" strokecolor="#f8cabc" strokeweight="1pt">
            <w10:wrap type="topAndBottom" anchorx="page"/>
          </v:line>
        </w:pict>
      </w:r>
    </w:p>
    <w:p w14:paraId="4DF28F57" w14:textId="77777777" w:rsidR="00894070" w:rsidRDefault="009B7AFD">
      <w:pPr>
        <w:pStyle w:val="ListParagraph"/>
        <w:numPr>
          <w:ilvl w:val="0"/>
          <w:numId w:val="134"/>
        </w:numPr>
        <w:tabs>
          <w:tab w:val="left" w:pos="1801"/>
          <w:tab w:val="left" w:pos="1802"/>
        </w:tabs>
        <w:spacing w:before="107"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6D71DA30" w14:textId="77777777" w:rsidR="00894070" w:rsidRDefault="009B7AFD">
      <w:pPr>
        <w:pStyle w:val="ListParagraph"/>
        <w:numPr>
          <w:ilvl w:val="0"/>
          <w:numId w:val="134"/>
        </w:numPr>
        <w:tabs>
          <w:tab w:val="left" w:pos="1800"/>
          <w:tab w:val="left" w:pos="1802"/>
        </w:tabs>
        <w:spacing w:line="153" w:lineRule="exact"/>
        <w:rPr>
          <w:sz w:val="13"/>
        </w:rPr>
      </w:pPr>
      <w:r>
        <w:rPr>
          <w:color w:val="231F20"/>
          <w:sz w:val="13"/>
        </w:rPr>
        <w:t>Ibid.</w:t>
      </w:r>
    </w:p>
    <w:p w14:paraId="43CC5E9F" w14:textId="77777777" w:rsidR="00894070" w:rsidRDefault="009B7AFD">
      <w:pPr>
        <w:pStyle w:val="ListParagraph"/>
        <w:numPr>
          <w:ilvl w:val="0"/>
          <w:numId w:val="134"/>
        </w:numPr>
        <w:tabs>
          <w:tab w:val="left" w:pos="1801"/>
          <w:tab w:val="left" w:pos="1802"/>
        </w:tabs>
        <w:spacing w:line="160" w:lineRule="exac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4"/>
          <w:sz w:val="13"/>
        </w:rPr>
        <w:t xml:space="preserve"> </w:t>
      </w:r>
      <w:r>
        <w:rPr>
          <w:color w:val="231F20"/>
          <w:sz w:val="13"/>
        </w:rPr>
        <w:t>Party).</w:t>
      </w:r>
    </w:p>
    <w:p w14:paraId="1256C4EB" w14:textId="77777777" w:rsidR="00894070" w:rsidRDefault="009B7AFD">
      <w:pPr>
        <w:pStyle w:val="ListParagraph"/>
        <w:numPr>
          <w:ilvl w:val="0"/>
          <w:numId w:val="134"/>
        </w:numPr>
        <w:tabs>
          <w:tab w:val="left" w:pos="1800"/>
          <w:tab w:val="left" w:pos="1802"/>
        </w:tabs>
        <w:spacing w:line="160" w:lineRule="exact"/>
        <w:rPr>
          <w:sz w:val="13"/>
        </w:rPr>
      </w:pPr>
      <w:r>
        <w:rPr>
          <w:color w:val="231F20"/>
          <w:spacing w:val="2"/>
          <w:sz w:val="13"/>
        </w:rPr>
        <w:t xml:space="preserve">Submissions </w:t>
      </w:r>
      <w:r>
        <w:rPr>
          <w:color w:val="231F20"/>
          <w:sz w:val="13"/>
        </w:rPr>
        <w:t xml:space="preserve">49 </w:t>
      </w:r>
      <w:r>
        <w:rPr>
          <w:color w:val="231F20"/>
          <w:spacing w:val="2"/>
          <w:sz w:val="13"/>
        </w:rPr>
        <w:t xml:space="preserve">(Victims </w:t>
      </w:r>
      <w:r>
        <w:rPr>
          <w:color w:val="231F20"/>
          <w:sz w:val="13"/>
        </w:rPr>
        <w:t xml:space="preserve">of Crime Commissioner), 56 </w:t>
      </w:r>
      <w:r>
        <w:rPr>
          <w:color w:val="231F20"/>
          <w:spacing w:val="2"/>
          <w:sz w:val="13"/>
        </w:rPr>
        <w:t xml:space="preserve">(Derryn </w:t>
      </w:r>
      <w:r>
        <w:rPr>
          <w:color w:val="231F20"/>
          <w:sz w:val="13"/>
        </w:rPr>
        <w:t>Hinch’s Justice Party); Consultation 8 (eSafety</w:t>
      </w:r>
      <w:r>
        <w:rPr>
          <w:color w:val="231F20"/>
          <w:spacing w:val="24"/>
          <w:sz w:val="13"/>
        </w:rPr>
        <w:t xml:space="preserve"> </w:t>
      </w:r>
      <w:r>
        <w:rPr>
          <w:color w:val="231F20"/>
          <w:sz w:val="13"/>
        </w:rPr>
        <w:t>Commissioner).</w:t>
      </w:r>
    </w:p>
    <w:p w14:paraId="25CD25F8" w14:textId="77777777" w:rsidR="00894070" w:rsidRDefault="009B7AFD">
      <w:pPr>
        <w:pStyle w:val="ListParagraph"/>
        <w:numPr>
          <w:ilvl w:val="0"/>
          <w:numId w:val="134"/>
        </w:numPr>
        <w:tabs>
          <w:tab w:val="left" w:pos="1801"/>
          <w:tab w:val="left" w:pos="1802"/>
        </w:tabs>
        <w:spacing w:line="160" w:lineRule="exact"/>
        <w:rPr>
          <w:sz w:val="13"/>
        </w:rPr>
      </w:pPr>
      <w:r>
        <w:rPr>
          <w:color w:val="231F20"/>
          <w:sz w:val="13"/>
        </w:rPr>
        <w:t>Consultation 8 (eSafety Commissioner).</w:t>
      </w:r>
    </w:p>
    <w:p w14:paraId="4A365038" w14:textId="77777777" w:rsidR="00894070" w:rsidRDefault="009B7AFD">
      <w:pPr>
        <w:pStyle w:val="ListParagraph"/>
        <w:numPr>
          <w:ilvl w:val="0"/>
          <w:numId w:val="134"/>
        </w:numPr>
        <w:tabs>
          <w:tab w:val="left" w:pos="1801"/>
          <w:tab w:val="left" w:pos="1802"/>
        </w:tabs>
        <w:spacing w:line="16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20B045DE" w14:textId="77777777" w:rsidR="00894070" w:rsidRDefault="009F6793">
      <w:pPr>
        <w:pStyle w:val="ListParagraph"/>
        <w:numPr>
          <w:ilvl w:val="0"/>
          <w:numId w:val="134"/>
        </w:numPr>
        <w:tabs>
          <w:tab w:val="left" w:pos="1801"/>
          <w:tab w:val="left" w:pos="1802"/>
        </w:tabs>
        <w:spacing w:before="6" w:line="213" w:lineRule="auto"/>
        <w:ind w:right="1445"/>
        <w:rPr>
          <w:sz w:val="13"/>
        </w:rPr>
      </w:pPr>
      <w:r>
        <w:pict w14:anchorId="34CEA7F9">
          <v:shape id="_x0000_s1466" type="#_x0000_t202" style="position:absolute;left:0;text-align:left;margin-left:36pt;margin-top:3.7pt;width:14.45pt;height:14.1pt;z-index:251637760;mso-position-horizontal-relative:page" filled="f" stroked="f">
            <v:textbox inset="0,0,0,0">
              <w:txbxContent>
                <w:p w14:paraId="5F83E49E" w14:textId="77777777" w:rsidR="00894070" w:rsidRDefault="009B7AFD">
                  <w:pPr>
                    <w:spacing w:line="282" w:lineRule="exact"/>
                    <w:rPr>
                      <w:b/>
                      <w:sz w:val="24"/>
                    </w:rPr>
                  </w:pPr>
                  <w:r>
                    <w:rPr>
                      <w:b/>
                      <w:color w:val="EA5B50"/>
                      <w:spacing w:val="-2"/>
                      <w:sz w:val="24"/>
                    </w:rPr>
                    <w:t>68</w:t>
                  </w:r>
                </w:p>
              </w:txbxContent>
            </v:textbox>
            <w10:wrap anchorx="page"/>
          </v:shape>
        </w:pict>
      </w:r>
      <w:r w:rsidR="009B7AFD">
        <w:rPr>
          <w:color w:val="231F20"/>
          <w:sz w:val="13"/>
        </w:rPr>
        <w:t xml:space="preserve">Victorian Law Reform </w:t>
      </w:r>
      <w:r w:rsidR="009B7AFD">
        <w:rPr>
          <w:color w:val="231F20"/>
          <w:spacing w:val="2"/>
          <w:sz w:val="13"/>
        </w:rPr>
        <w:t xml:space="preserve">Commission, </w:t>
      </w:r>
      <w:r w:rsidR="009B7AFD">
        <w:rPr>
          <w:i/>
          <w:color w:val="231F20"/>
          <w:sz w:val="13"/>
        </w:rPr>
        <w:t xml:space="preserve">Committals </w:t>
      </w:r>
      <w:r w:rsidR="009B7AFD">
        <w:rPr>
          <w:color w:val="231F20"/>
          <w:spacing w:val="2"/>
          <w:sz w:val="13"/>
        </w:rPr>
        <w:t xml:space="preserve">(Report </w:t>
      </w:r>
      <w:r w:rsidR="009B7AFD">
        <w:rPr>
          <w:color w:val="231F20"/>
          <w:sz w:val="13"/>
        </w:rPr>
        <w:t xml:space="preserve">No </w:t>
      </w:r>
      <w:r w:rsidR="009B7AFD">
        <w:rPr>
          <w:color w:val="231F20"/>
          <w:spacing w:val="2"/>
          <w:sz w:val="13"/>
        </w:rPr>
        <w:t xml:space="preserve">41, </w:t>
      </w:r>
      <w:r w:rsidR="009B7AFD">
        <w:rPr>
          <w:color w:val="231F20"/>
          <w:sz w:val="13"/>
        </w:rPr>
        <w:t xml:space="preserve">March 2020) [1.53], citing Judicial College of Victoria, </w:t>
      </w:r>
      <w:r w:rsidR="009B7AFD">
        <w:rPr>
          <w:i/>
          <w:color w:val="231F20"/>
          <w:sz w:val="13"/>
        </w:rPr>
        <w:t xml:space="preserve">Victims of Crime in the Courtroom: A Guide for Judicial Officers </w:t>
      </w:r>
      <w:r w:rsidR="009B7AFD">
        <w:rPr>
          <w:color w:val="231F20"/>
          <w:sz w:val="13"/>
        </w:rPr>
        <w:t>(Online Guide, 2019)</w:t>
      </w:r>
      <w:r w:rsidR="009B7AFD">
        <w:rPr>
          <w:color w:val="231F20"/>
          <w:spacing w:val="7"/>
          <w:sz w:val="13"/>
        </w:rPr>
        <w:t xml:space="preserve"> </w:t>
      </w:r>
      <w:r w:rsidR="009B7AFD">
        <w:rPr>
          <w:color w:val="231F20"/>
          <w:spacing w:val="3"/>
          <w:sz w:val="13"/>
        </w:rPr>
        <w:t>4.</w:t>
      </w:r>
    </w:p>
    <w:p w14:paraId="2575211A" w14:textId="77777777" w:rsidR="00894070" w:rsidRDefault="00894070">
      <w:pPr>
        <w:spacing w:line="213" w:lineRule="auto"/>
        <w:rPr>
          <w:sz w:val="13"/>
        </w:rPr>
        <w:sectPr w:rsidR="00894070">
          <w:pgSz w:w="11910" w:h="16840"/>
          <w:pgMar w:top="860" w:right="420" w:bottom="280" w:left="580" w:header="567" w:footer="0" w:gutter="0"/>
          <w:cols w:space="720"/>
        </w:sectPr>
      </w:pPr>
    </w:p>
    <w:p w14:paraId="1983B8EA" w14:textId="77777777" w:rsidR="00894070" w:rsidRDefault="00894070">
      <w:pPr>
        <w:pStyle w:val="BodyText"/>
      </w:pPr>
    </w:p>
    <w:p w14:paraId="6D59B402" w14:textId="77777777" w:rsidR="00894070" w:rsidRDefault="00894070">
      <w:pPr>
        <w:pStyle w:val="BodyText"/>
      </w:pPr>
    </w:p>
    <w:p w14:paraId="255BAA1D" w14:textId="77777777" w:rsidR="00894070" w:rsidRDefault="00894070">
      <w:pPr>
        <w:pStyle w:val="BodyText"/>
      </w:pPr>
    </w:p>
    <w:p w14:paraId="4899D7E7" w14:textId="77777777" w:rsidR="00894070" w:rsidRDefault="00894070">
      <w:pPr>
        <w:pStyle w:val="BodyText"/>
        <w:spacing w:before="6"/>
        <w:rPr>
          <w:sz w:val="14"/>
        </w:rPr>
      </w:pPr>
    </w:p>
    <w:p w14:paraId="50FC89B1" w14:textId="77777777" w:rsidR="00894070" w:rsidRDefault="009B7AFD">
      <w:pPr>
        <w:pStyle w:val="ListParagraph"/>
        <w:numPr>
          <w:ilvl w:val="1"/>
          <w:numId w:val="177"/>
        </w:numPr>
        <w:tabs>
          <w:tab w:val="left" w:pos="1801"/>
          <w:tab w:val="left" w:pos="1802"/>
        </w:tabs>
        <w:spacing w:before="58"/>
        <w:rPr>
          <w:sz w:val="20"/>
        </w:rPr>
      </w:pPr>
      <w:r>
        <w:rPr>
          <w:color w:val="231F20"/>
          <w:spacing w:val="-6"/>
          <w:sz w:val="20"/>
        </w:rPr>
        <w:t xml:space="preserve">We </w:t>
      </w:r>
      <w:r>
        <w:rPr>
          <w:color w:val="231F20"/>
          <w:sz w:val="20"/>
        </w:rPr>
        <w:t>continue</w:t>
      </w:r>
      <w:r>
        <w:rPr>
          <w:color w:val="231F20"/>
          <w:spacing w:val="-6"/>
          <w:sz w:val="20"/>
        </w:rPr>
        <w:t xml:space="preserve"> </w:t>
      </w:r>
      <w:r>
        <w:rPr>
          <w:color w:val="231F20"/>
          <w:sz w:val="20"/>
        </w:rPr>
        <w:t>to</w:t>
      </w:r>
      <w:r>
        <w:rPr>
          <w:color w:val="231F20"/>
          <w:spacing w:val="-6"/>
          <w:sz w:val="20"/>
        </w:rPr>
        <w:t xml:space="preserve"> </w:t>
      </w:r>
      <w:r>
        <w:rPr>
          <w:color w:val="231F20"/>
          <w:sz w:val="20"/>
        </w:rPr>
        <w:t>think</w:t>
      </w:r>
      <w:r>
        <w:rPr>
          <w:color w:val="231F20"/>
          <w:spacing w:val="-6"/>
          <w:sz w:val="20"/>
        </w:rPr>
        <w:t xml:space="preserve"> </w:t>
      </w:r>
      <w:r>
        <w:rPr>
          <w:color w:val="231F20"/>
          <w:sz w:val="20"/>
        </w:rPr>
        <w:t>that</w:t>
      </w:r>
      <w:r>
        <w:rPr>
          <w:color w:val="231F20"/>
          <w:spacing w:val="-6"/>
          <w:sz w:val="20"/>
        </w:rPr>
        <w:t xml:space="preserve"> </w:t>
      </w:r>
      <w:r>
        <w:rPr>
          <w:color w:val="231F20"/>
          <w:sz w:val="20"/>
        </w:rPr>
        <w:t>a</w:t>
      </w:r>
      <w:r>
        <w:rPr>
          <w:color w:val="231F20"/>
          <w:spacing w:val="-5"/>
          <w:sz w:val="20"/>
        </w:rPr>
        <w:t xml:space="preserve"> </w:t>
      </w:r>
      <w:r>
        <w:rPr>
          <w:color w:val="231F20"/>
          <w:sz w:val="20"/>
        </w:rPr>
        <w:t>‘trauma-informed’</w:t>
      </w:r>
      <w:r>
        <w:rPr>
          <w:color w:val="231F20"/>
          <w:spacing w:val="-6"/>
          <w:sz w:val="20"/>
        </w:rPr>
        <w:t xml:space="preserve"> </w:t>
      </w:r>
      <w:r>
        <w:rPr>
          <w:color w:val="231F20"/>
          <w:sz w:val="20"/>
        </w:rPr>
        <w:t>approach</w:t>
      </w:r>
      <w:r>
        <w:rPr>
          <w:color w:val="231F20"/>
          <w:spacing w:val="-6"/>
          <w:sz w:val="20"/>
        </w:rPr>
        <w:t xml:space="preserve"> </w:t>
      </w:r>
      <w:r>
        <w:rPr>
          <w:color w:val="231F20"/>
          <w:sz w:val="20"/>
        </w:rPr>
        <w:t>in</w:t>
      </w:r>
      <w:r>
        <w:rPr>
          <w:color w:val="231F20"/>
          <w:spacing w:val="-6"/>
          <w:sz w:val="20"/>
        </w:rPr>
        <w:t xml:space="preserve"> </w:t>
      </w:r>
      <w:r>
        <w:rPr>
          <w:color w:val="231F20"/>
          <w:sz w:val="20"/>
        </w:rPr>
        <w:t>the</w:t>
      </w:r>
      <w:r>
        <w:rPr>
          <w:color w:val="231F20"/>
          <w:spacing w:val="-6"/>
          <w:sz w:val="20"/>
        </w:rPr>
        <w:t xml:space="preserve"> </w:t>
      </w:r>
      <w:r>
        <w:rPr>
          <w:color w:val="231F20"/>
          <w:sz w:val="20"/>
        </w:rPr>
        <w:t>justice</w:t>
      </w:r>
      <w:r>
        <w:rPr>
          <w:color w:val="231F20"/>
          <w:spacing w:val="-5"/>
          <w:sz w:val="20"/>
        </w:rPr>
        <w:t xml:space="preserve"> </w:t>
      </w:r>
      <w:r>
        <w:rPr>
          <w:color w:val="231F20"/>
          <w:spacing w:val="-2"/>
          <w:sz w:val="20"/>
        </w:rPr>
        <w:t>system</w:t>
      </w:r>
      <w:r>
        <w:rPr>
          <w:color w:val="231F20"/>
          <w:spacing w:val="-6"/>
          <w:sz w:val="20"/>
        </w:rPr>
        <w:t xml:space="preserve"> </w:t>
      </w:r>
      <w:r>
        <w:rPr>
          <w:color w:val="231F20"/>
          <w:spacing w:val="-3"/>
          <w:sz w:val="20"/>
        </w:rPr>
        <w:t>could:</w:t>
      </w:r>
    </w:p>
    <w:p w14:paraId="033B1DCD" w14:textId="77777777" w:rsidR="00894070" w:rsidRDefault="009B7AFD">
      <w:pPr>
        <w:pStyle w:val="ListParagraph"/>
        <w:numPr>
          <w:ilvl w:val="2"/>
          <w:numId w:val="177"/>
        </w:numPr>
        <w:tabs>
          <w:tab w:val="left" w:pos="2141"/>
          <w:tab w:val="left" w:pos="2142"/>
        </w:tabs>
        <w:spacing w:before="82"/>
        <w:ind w:hanging="340"/>
        <w:rPr>
          <w:sz w:val="20"/>
        </w:rPr>
      </w:pPr>
      <w:r>
        <w:rPr>
          <w:color w:val="231F20"/>
          <w:spacing w:val="-3"/>
          <w:sz w:val="20"/>
        </w:rPr>
        <w:t xml:space="preserve">reduce </w:t>
      </w:r>
      <w:r>
        <w:rPr>
          <w:color w:val="231F20"/>
          <w:sz w:val="20"/>
        </w:rPr>
        <w:t xml:space="preserve">further trauma </w:t>
      </w:r>
      <w:r>
        <w:rPr>
          <w:color w:val="231F20"/>
          <w:spacing w:val="-3"/>
          <w:sz w:val="20"/>
        </w:rPr>
        <w:t xml:space="preserve">for </w:t>
      </w:r>
      <w:r>
        <w:rPr>
          <w:color w:val="231F20"/>
          <w:sz w:val="20"/>
        </w:rPr>
        <w:t>victim</w:t>
      </w:r>
      <w:r>
        <w:rPr>
          <w:color w:val="231F20"/>
          <w:spacing w:val="-16"/>
          <w:sz w:val="20"/>
        </w:rPr>
        <w:t xml:space="preserve"> </w:t>
      </w:r>
      <w:r>
        <w:rPr>
          <w:color w:val="231F20"/>
          <w:sz w:val="20"/>
        </w:rPr>
        <w:t>survivors</w:t>
      </w:r>
    </w:p>
    <w:p w14:paraId="0DF2F46D" w14:textId="77777777" w:rsidR="00894070" w:rsidRDefault="009B7AFD">
      <w:pPr>
        <w:pStyle w:val="ListParagraph"/>
        <w:numPr>
          <w:ilvl w:val="2"/>
          <w:numId w:val="177"/>
        </w:numPr>
        <w:tabs>
          <w:tab w:val="left" w:pos="2141"/>
          <w:tab w:val="left" w:pos="2142"/>
        </w:tabs>
        <w:spacing w:before="47"/>
        <w:ind w:hanging="340"/>
        <w:rPr>
          <w:sz w:val="20"/>
        </w:rPr>
      </w:pPr>
      <w:r>
        <w:rPr>
          <w:color w:val="231F20"/>
          <w:sz w:val="20"/>
        </w:rPr>
        <w:t>build victim survivors’ trust in the justice</w:t>
      </w:r>
      <w:r>
        <w:rPr>
          <w:color w:val="231F20"/>
          <w:spacing w:val="-32"/>
          <w:sz w:val="20"/>
        </w:rPr>
        <w:t xml:space="preserve"> </w:t>
      </w:r>
      <w:r>
        <w:rPr>
          <w:color w:val="231F20"/>
          <w:spacing w:val="-2"/>
          <w:sz w:val="20"/>
        </w:rPr>
        <w:t>system</w:t>
      </w:r>
    </w:p>
    <w:p w14:paraId="3C97C0DB" w14:textId="77777777" w:rsidR="00894070" w:rsidRDefault="009B7AFD">
      <w:pPr>
        <w:pStyle w:val="ListParagraph"/>
        <w:numPr>
          <w:ilvl w:val="2"/>
          <w:numId w:val="177"/>
        </w:numPr>
        <w:tabs>
          <w:tab w:val="left" w:pos="2141"/>
          <w:tab w:val="left" w:pos="2142"/>
        </w:tabs>
        <w:spacing w:before="48"/>
        <w:ind w:hanging="340"/>
        <w:rPr>
          <w:sz w:val="11"/>
        </w:rPr>
      </w:pPr>
      <w:r>
        <w:rPr>
          <w:color w:val="231F20"/>
          <w:spacing w:val="-3"/>
          <w:sz w:val="20"/>
        </w:rPr>
        <w:t xml:space="preserve">empower </w:t>
      </w:r>
      <w:r>
        <w:rPr>
          <w:color w:val="231F20"/>
          <w:sz w:val="20"/>
        </w:rPr>
        <w:t>victim survivors to participate in the</w:t>
      </w:r>
      <w:r>
        <w:rPr>
          <w:color w:val="231F20"/>
          <w:spacing w:val="-29"/>
          <w:sz w:val="20"/>
        </w:rPr>
        <w:t xml:space="preserve"> </w:t>
      </w:r>
      <w:r>
        <w:rPr>
          <w:color w:val="231F20"/>
          <w:sz w:val="20"/>
        </w:rPr>
        <w:t>system.</w:t>
      </w:r>
      <w:r>
        <w:rPr>
          <w:color w:val="231F20"/>
          <w:position w:val="7"/>
          <w:sz w:val="11"/>
        </w:rPr>
        <w:t>99</w:t>
      </w:r>
    </w:p>
    <w:p w14:paraId="24CE7870" w14:textId="77777777" w:rsidR="00894070" w:rsidRDefault="009B7AFD">
      <w:pPr>
        <w:pStyle w:val="ListParagraph"/>
        <w:numPr>
          <w:ilvl w:val="1"/>
          <w:numId w:val="177"/>
        </w:numPr>
        <w:tabs>
          <w:tab w:val="left" w:pos="1801"/>
          <w:tab w:val="left" w:pos="1802"/>
        </w:tabs>
        <w:spacing w:before="80" w:line="206" w:lineRule="auto"/>
        <w:ind w:right="1463"/>
        <w:rPr>
          <w:sz w:val="11"/>
        </w:rPr>
      </w:pPr>
      <w:r>
        <w:rPr>
          <w:color w:val="231F20"/>
          <w:sz w:val="20"/>
        </w:rPr>
        <w:t xml:space="preserve">While </w:t>
      </w:r>
      <w:r>
        <w:rPr>
          <w:color w:val="231F20"/>
          <w:spacing w:val="-3"/>
          <w:sz w:val="20"/>
        </w:rPr>
        <w:t xml:space="preserve">we </w:t>
      </w:r>
      <w:r>
        <w:rPr>
          <w:color w:val="231F20"/>
          <w:sz w:val="20"/>
        </w:rPr>
        <w:t xml:space="preserve">make this recommendation in relation to stalking, </w:t>
      </w:r>
      <w:r>
        <w:rPr>
          <w:color w:val="231F20"/>
          <w:spacing w:val="-3"/>
          <w:sz w:val="20"/>
        </w:rPr>
        <w:t xml:space="preserve">we note </w:t>
      </w:r>
      <w:r>
        <w:rPr>
          <w:color w:val="231F20"/>
          <w:sz w:val="20"/>
        </w:rPr>
        <w:t>that education about</w:t>
      </w:r>
      <w:r>
        <w:rPr>
          <w:color w:val="231F20"/>
          <w:spacing w:val="-10"/>
          <w:sz w:val="20"/>
        </w:rPr>
        <w:t xml:space="preserve"> </w:t>
      </w:r>
      <w:r>
        <w:rPr>
          <w:color w:val="231F20"/>
          <w:sz w:val="20"/>
        </w:rPr>
        <w:t>barriers</w:t>
      </w:r>
      <w:r>
        <w:rPr>
          <w:color w:val="231F20"/>
          <w:spacing w:val="-10"/>
          <w:sz w:val="20"/>
        </w:rPr>
        <w:t xml:space="preserve"> </w:t>
      </w:r>
      <w:r>
        <w:rPr>
          <w:color w:val="231F20"/>
          <w:sz w:val="20"/>
        </w:rPr>
        <w:t>to</w:t>
      </w:r>
      <w:r>
        <w:rPr>
          <w:color w:val="231F20"/>
          <w:spacing w:val="-10"/>
          <w:sz w:val="20"/>
        </w:rPr>
        <w:t xml:space="preserve"> </w:t>
      </w:r>
      <w:r>
        <w:rPr>
          <w:color w:val="231F20"/>
          <w:sz w:val="20"/>
        </w:rPr>
        <w:t>accessing</w:t>
      </w:r>
      <w:r>
        <w:rPr>
          <w:color w:val="231F20"/>
          <w:spacing w:val="-10"/>
          <w:sz w:val="20"/>
        </w:rPr>
        <w:t xml:space="preserve"> </w:t>
      </w:r>
      <w:r>
        <w:rPr>
          <w:color w:val="231F20"/>
          <w:sz w:val="20"/>
        </w:rPr>
        <w:t>justice</w:t>
      </w:r>
      <w:r>
        <w:rPr>
          <w:color w:val="231F20"/>
          <w:spacing w:val="-9"/>
          <w:sz w:val="20"/>
        </w:rPr>
        <w:t xml:space="preserve"> </w:t>
      </w:r>
      <w:r>
        <w:rPr>
          <w:color w:val="231F20"/>
          <w:sz w:val="20"/>
        </w:rPr>
        <w:t>and</w:t>
      </w:r>
      <w:r>
        <w:rPr>
          <w:color w:val="231F20"/>
          <w:spacing w:val="-10"/>
          <w:sz w:val="20"/>
        </w:rPr>
        <w:t xml:space="preserve"> </w:t>
      </w:r>
      <w:r>
        <w:rPr>
          <w:color w:val="231F20"/>
          <w:sz w:val="20"/>
        </w:rPr>
        <w:t>responding</w:t>
      </w:r>
      <w:r>
        <w:rPr>
          <w:color w:val="231F20"/>
          <w:spacing w:val="-10"/>
          <w:sz w:val="20"/>
        </w:rPr>
        <w:t xml:space="preserve"> </w:t>
      </w:r>
      <w:r>
        <w:rPr>
          <w:color w:val="231F20"/>
          <w:sz w:val="20"/>
        </w:rPr>
        <w:t>to</w:t>
      </w:r>
      <w:r>
        <w:rPr>
          <w:color w:val="231F20"/>
          <w:spacing w:val="-10"/>
          <w:sz w:val="20"/>
        </w:rPr>
        <w:t xml:space="preserve"> </w:t>
      </w:r>
      <w:r>
        <w:rPr>
          <w:color w:val="231F20"/>
          <w:sz w:val="20"/>
        </w:rPr>
        <w:t>trauma</w:t>
      </w:r>
      <w:r>
        <w:rPr>
          <w:color w:val="231F20"/>
          <w:spacing w:val="-10"/>
          <w:sz w:val="20"/>
        </w:rPr>
        <w:t xml:space="preserve"> </w:t>
      </w:r>
      <w:r>
        <w:rPr>
          <w:color w:val="231F20"/>
          <w:sz w:val="20"/>
        </w:rPr>
        <w:t>will</w:t>
      </w:r>
      <w:r>
        <w:rPr>
          <w:color w:val="231F20"/>
          <w:spacing w:val="-9"/>
          <w:sz w:val="20"/>
        </w:rPr>
        <w:t xml:space="preserve"> </w:t>
      </w:r>
      <w:r>
        <w:rPr>
          <w:color w:val="231F20"/>
          <w:spacing w:val="-3"/>
          <w:sz w:val="20"/>
        </w:rPr>
        <w:t>likely</w:t>
      </w:r>
      <w:r>
        <w:rPr>
          <w:color w:val="231F20"/>
          <w:spacing w:val="-10"/>
          <w:sz w:val="20"/>
        </w:rPr>
        <w:t xml:space="preserve"> </w:t>
      </w:r>
      <w:r>
        <w:rPr>
          <w:color w:val="231F20"/>
          <w:sz w:val="20"/>
        </w:rPr>
        <w:t>help</w:t>
      </w:r>
      <w:r>
        <w:rPr>
          <w:color w:val="231F20"/>
          <w:spacing w:val="-10"/>
          <w:sz w:val="20"/>
        </w:rPr>
        <w:t xml:space="preserve"> </w:t>
      </w:r>
      <w:r>
        <w:rPr>
          <w:color w:val="231F20"/>
          <w:spacing w:val="-4"/>
          <w:sz w:val="20"/>
        </w:rPr>
        <w:t xml:space="preserve">improve </w:t>
      </w:r>
      <w:r>
        <w:rPr>
          <w:color w:val="231F20"/>
          <w:sz w:val="20"/>
        </w:rPr>
        <w:t>the</w:t>
      </w:r>
      <w:r>
        <w:rPr>
          <w:color w:val="231F20"/>
          <w:spacing w:val="-6"/>
          <w:sz w:val="20"/>
        </w:rPr>
        <w:t xml:space="preserve"> </w:t>
      </w:r>
      <w:r>
        <w:rPr>
          <w:color w:val="231F20"/>
          <w:sz w:val="20"/>
        </w:rPr>
        <w:t>justice</w:t>
      </w:r>
      <w:r>
        <w:rPr>
          <w:color w:val="231F20"/>
          <w:spacing w:val="-5"/>
          <w:sz w:val="20"/>
        </w:rPr>
        <w:t xml:space="preserve"> </w:t>
      </w:r>
      <w:r>
        <w:rPr>
          <w:color w:val="231F20"/>
          <w:spacing w:val="-2"/>
          <w:sz w:val="20"/>
        </w:rPr>
        <w:t>system</w:t>
      </w:r>
      <w:r>
        <w:rPr>
          <w:color w:val="231F20"/>
          <w:spacing w:val="-5"/>
          <w:sz w:val="20"/>
        </w:rPr>
        <w:t xml:space="preserve"> </w:t>
      </w:r>
      <w:r>
        <w:rPr>
          <w:color w:val="231F20"/>
          <w:sz w:val="20"/>
        </w:rPr>
        <w:t>response</w:t>
      </w:r>
      <w:r>
        <w:rPr>
          <w:color w:val="231F20"/>
          <w:spacing w:val="-5"/>
          <w:sz w:val="20"/>
        </w:rPr>
        <w:t xml:space="preserve"> </w:t>
      </w:r>
      <w:r>
        <w:rPr>
          <w:color w:val="231F20"/>
          <w:sz w:val="20"/>
        </w:rPr>
        <w:t>to</w:t>
      </w:r>
      <w:r>
        <w:rPr>
          <w:color w:val="231F20"/>
          <w:spacing w:val="-5"/>
          <w:sz w:val="20"/>
        </w:rPr>
        <w:t xml:space="preserve"> </w:t>
      </w:r>
      <w:r>
        <w:rPr>
          <w:color w:val="231F20"/>
          <w:sz w:val="20"/>
        </w:rPr>
        <w:t>all</w:t>
      </w:r>
      <w:r>
        <w:rPr>
          <w:color w:val="231F20"/>
          <w:spacing w:val="-5"/>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5"/>
          <w:sz w:val="20"/>
        </w:rPr>
        <w:t xml:space="preserve"> </w:t>
      </w:r>
      <w:r>
        <w:rPr>
          <w:color w:val="231F20"/>
          <w:sz w:val="20"/>
        </w:rPr>
        <w:t>of</w:t>
      </w:r>
      <w:r>
        <w:rPr>
          <w:color w:val="231F20"/>
          <w:spacing w:val="-5"/>
          <w:sz w:val="20"/>
        </w:rPr>
        <w:t xml:space="preserve"> </w:t>
      </w:r>
      <w:r>
        <w:rPr>
          <w:color w:val="231F20"/>
          <w:sz w:val="20"/>
        </w:rPr>
        <w:t>crime.</w:t>
      </w:r>
      <w:r>
        <w:rPr>
          <w:color w:val="231F20"/>
          <w:position w:val="7"/>
          <w:sz w:val="11"/>
        </w:rPr>
        <w:t>100</w:t>
      </w:r>
    </w:p>
    <w:p w14:paraId="1FEF233A" w14:textId="77777777" w:rsidR="00894070" w:rsidRDefault="009B7AFD">
      <w:pPr>
        <w:pStyle w:val="Heading9"/>
        <w:spacing w:before="128"/>
        <w:rPr>
          <w:b/>
        </w:rPr>
      </w:pPr>
      <w:r>
        <w:rPr>
          <w:b/>
          <w:color w:val="231F20"/>
        </w:rPr>
        <w:t>The nature of stalking</w:t>
      </w:r>
    </w:p>
    <w:p w14:paraId="342726F0" w14:textId="77777777" w:rsidR="00894070" w:rsidRDefault="009B7AFD">
      <w:pPr>
        <w:pStyle w:val="ListParagraph"/>
        <w:numPr>
          <w:ilvl w:val="1"/>
          <w:numId w:val="177"/>
        </w:numPr>
        <w:tabs>
          <w:tab w:val="left" w:pos="1801"/>
          <w:tab w:val="left" w:pos="1802"/>
        </w:tabs>
        <w:spacing w:before="100" w:line="259" w:lineRule="exact"/>
        <w:rPr>
          <w:sz w:val="20"/>
        </w:rPr>
      </w:pPr>
      <w:r>
        <w:rPr>
          <w:color w:val="231F20"/>
          <w:sz w:val="20"/>
        </w:rPr>
        <w:t>People</w:t>
      </w:r>
      <w:r>
        <w:rPr>
          <w:color w:val="231F20"/>
          <w:spacing w:val="-6"/>
          <w:sz w:val="20"/>
        </w:rPr>
        <w:t xml:space="preserve"> </w:t>
      </w:r>
      <w:r>
        <w:rPr>
          <w:color w:val="231F20"/>
          <w:sz w:val="20"/>
        </w:rPr>
        <w:t>who</w:t>
      </w:r>
      <w:r>
        <w:rPr>
          <w:color w:val="231F20"/>
          <w:spacing w:val="-5"/>
          <w:sz w:val="20"/>
        </w:rPr>
        <w:t xml:space="preserve"> </w:t>
      </w:r>
      <w:r>
        <w:rPr>
          <w:color w:val="231F20"/>
          <w:sz w:val="20"/>
        </w:rPr>
        <w:t>respond</w:t>
      </w:r>
      <w:r>
        <w:rPr>
          <w:color w:val="231F20"/>
          <w:spacing w:val="-5"/>
          <w:sz w:val="20"/>
        </w:rPr>
        <w:t xml:space="preserve"> </w:t>
      </w:r>
      <w:r>
        <w:rPr>
          <w:color w:val="231F20"/>
          <w:sz w:val="20"/>
        </w:rPr>
        <w:t>to</w:t>
      </w:r>
      <w:r>
        <w:rPr>
          <w:color w:val="231F20"/>
          <w:spacing w:val="-5"/>
          <w:sz w:val="20"/>
        </w:rPr>
        <w:t xml:space="preserve"> </w:t>
      </w:r>
      <w:r>
        <w:rPr>
          <w:color w:val="231F20"/>
          <w:sz w:val="20"/>
        </w:rPr>
        <w:t>stalking</w:t>
      </w:r>
      <w:r>
        <w:rPr>
          <w:color w:val="231F20"/>
          <w:spacing w:val="-6"/>
          <w:sz w:val="20"/>
        </w:rPr>
        <w:t xml:space="preserve"> </w:t>
      </w:r>
      <w:r>
        <w:rPr>
          <w:color w:val="231F20"/>
          <w:sz w:val="20"/>
        </w:rPr>
        <w:t>need</w:t>
      </w:r>
      <w:r>
        <w:rPr>
          <w:color w:val="231F20"/>
          <w:spacing w:val="-5"/>
          <w:sz w:val="20"/>
        </w:rPr>
        <w:t xml:space="preserve"> </w:t>
      </w:r>
      <w:r>
        <w:rPr>
          <w:color w:val="231F20"/>
          <w:sz w:val="20"/>
        </w:rPr>
        <w:t>to</w:t>
      </w:r>
      <w:r>
        <w:rPr>
          <w:color w:val="231F20"/>
          <w:spacing w:val="-5"/>
          <w:sz w:val="20"/>
        </w:rPr>
        <w:t xml:space="preserve"> </w:t>
      </w:r>
      <w:r>
        <w:rPr>
          <w:color w:val="231F20"/>
          <w:sz w:val="20"/>
        </w:rPr>
        <w:t>understand</w:t>
      </w:r>
      <w:r>
        <w:rPr>
          <w:color w:val="231F20"/>
          <w:spacing w:val="-5"/>
          <w:sz w:val="20"/>
        </w:rPr>
        <w:t xml:space="preserve"> </w:t>
      </w:r>
      <w:r>
        <w:rPr>
          <w:color w:val="231F20"/>
          <w:sz w:val="20"/>
        </w:rPr>
        <w:t>its</w:t>
      </w:r>
      <w:r>
        <w:rPr>
          <w:color w:val="231F20"/>
          <w:spacing w:val="-5"/>
          <w:sz w:val="20"/>
        </w:rPr>
        <w:t xml:space="preserve"> </w:t>
      </w:r>
      <w:r>
        <w:rPr>
          <w:color w:val="231F20"/>
          <w:spacing w:val="-3"/>
          <w:sz w:val="20"/>
        </w:rPr>
        <w:t>nature</w:t>
      </w:r>
      <w:r>
        <w:rPr>
          <w:color w:val="231F20"/>
          <w:spacing w:val="-6"/>
          <w:sz w:val="20"/>
        </w:rPr>
        <w:t xml:space="preserve"> </w:t>
      </w:r>
      <w:r>
        <w:rPr>
          <w:color w:val="231F20"/>
          <w:sz w:val="20"/>
        </w:rPr>
        <w:t>and</w:t>
      </w:r>
      <w:r>
        <w:rPr>
          <w:color w:val="231F20"/>
          <w:spacing w:val="-5"/>
          <w:sz w:val="20"/>
        </w:rPr>
        <w:t xml:space="preserve"> </w:t>
      </w:r>
      <w:r>
        <w:rPr>
          <w:color w:val="231F20"/>
          <w:sz w:val="20"/>
        </w:rPr>
        <w:t>dynamics</w:t>
      </w:r>
      <w:r>
        <w:rPr>
          <w:color w:val="231F20"/>
          <w:spacing w:val="-5"/>
          <w:sz w:val="20"/>
        </w:rPr>
        <w:t xml:space="preserve"> </w:t>
      </w:r>
      <w:r>
        <w:rPr>
          <w:color w:val="231F20"/>
          <w:sz w:val="20"/>
        </w:rPr>
        <w:t>to</w:t>
      </w:r>
    </w:p>
    <w:p w14:paraId="5D0D87DF" w14:textId="77777777" w:rsidR="00894070" w:rsidRDefault="009B7AFD">
      <w:pPr>
        <w:pStyle w:val="BodyText"/>
        <w:spacing w:line="259" w:lineRule="exact"/>
        <w:ind w:left="1801"/>
      </w:pPr>
      <w:r>
        <w:rPr>
          <w:color w:val="231F20"/>
        </w:rPr>
        <w:t>respond in an effective and supportive way.</w:t>
      </w:r>
    </w:p>
    <w:p w14:paraId="6B22692D" w14:textId="77777777" w:rsidR="00894070" w:rsidRDefault="009B7AFD">
      <w:pPr>
        <w:pStyle w:val="ListParagraph"/>
        <w:numPr>
          <w:ilvl w:val="1"/>
          <w:numId w:val="177"/>
        </w:numPr>
        <w:tabs>
          <w:tab w:val="left" w:pos="1801"/>
          <w:tab w:val="left" w:pos="1802"/>
        </w:tabs>
        <w:spacing w:before="114" w:line="206" w:lineRule="auto"/>
        <w:ind w:right="1374"/>
        <w:rPr>
          <w:sz w:val="11"/>
        </w:rPr>
      </w:pPr>
      <w:r>
        <w:rPr>
          <w:color w:val="231F20"/>
          <w:sz w:val="20"/>
        </w:rPr>
        <w:t>A</w:t>
      </w:r>
      <w:r>
        <w:rPr>
          <w:color w:val="231F20"/>
          <w:spacing w:val="-9"/>
          <w:sz w:val="20"/>
        </w:rPr>
        <w:t xml:space="preserve"> </w:t>
      </w:r>
      <w:r>
        <w:rPr>
          <w:color w:val="231F20"/>
          <w:sz w:val="20"/>
        </w:rPr>
        <w:t>small</w:t>
      </w:r>
      <w:r>
        <w:rPr>
          <w:color w:val="231F20"/>
          <w:spacing w:val="-9"/>
          <w:sz w:val="20"/>
        </w:rPr>
        <w:t xml:space="preserve"> </w:t>
      </w:r>
      <w:r>
        <w:rPr>
          <w:color w:val="231F20"/>
          <w:sz w:val="20"/>
        </w:rPr>
        <w:t>study</w:t>
      </w:r>
      <w:r>
        <w:rPr>
          <w:color w:val="231F20"/>
          <w:spacing w:val="-8"/>
          <w:sz w:val="20"/>
        </w:rPr>
        <w:t xml:space="preserve"> </w:t>
      </w:r>
      <w:r>
        <w:rPr>
          <w:color w:val="231F20"/>
          <w:sz w:val="20"/>
        </w:rPr>
        <w:t>in</w:t>
      </w:r>
      <w:r>
        <w:rPr>
          <w:color w:val="231F20"/>
          <w:spacing w:val="-9"/>
          <w:sz w:val="20"/>
        </w:rPr>
        <w:t xml:space="preserve"> </w:t>
      </w:r>
      <w:r>
        <w:rPr>
          <w:color w:val="231F20"/>
          <w:sz w:val="20"/>
        </w:rPr>
        <w:t>the</w:t>
      </w:r>
      <w:r>
        <w:rPr>
          <w:color w:val="231F20"/>
          <w:spacing w:val="-8"/>
          <w:sz w:val="20"/>
        </w:rPr>
        <w:t xml:space="preserve"> </w:t>
      </w:r>
      <w:r>
        <w:rPr>
          <w:color w:val="231F20"/>
          <w:sz w:val="20"/>
        </w:rPr>
        <w:t>United</w:t>
      </w:r>
      <w:r>
        <w:rPr>
          <w:color w:val="231F20"/>
          <w:spacing w:val="-9"/>
          <w:sz w:val="20"/>
        </w:rPr>
        <w:t xml:space="preserve"> </w:t>
      </w:r>
      <w:r>
        <w:rPr>
          <w:color w:val="231F20"/>
          <w:spacing w:val="-3"/>
          <w:sz w:val="20"/>
        </w:rPr>
        <w:t>States</w:t>
      </w:r>
      <w:r>
        <w:rPr>
          <w:color w:val="231F20"/>
          <w:spacing w:val="-8"/>
          <w:sz w:val="20"/>
        </w:rPr>
        <w:t xml:space="preserve"> </w:t>
      </w:r>
      <w:r>
        <w:rPr>
          <w:color w:val="231F20"/>
          <w:sz w:val="20"/>
        </w:rPr>
        <w:t>found</w:t>
      </w:r>
      <w:r>
        <w:rPr>
          <w:color w:val="231F20"/>
          <w:spacing w:val="-9"/>
          <w:sz w:val="20"/>
        </w:rPr>
        <w:t xml:space="preserve"> </w:t>
      </w:r>
      <w:r>
        <w:rPr>
          <w:color w:val="231F20"/>
          <w:sz w:val="20"/>
        </w:rPr>
        <w:t>that</w:t>
      </w:r>
      <w:r>
        <w:rPr>
          <w:color w:val="231F20"/>
          <w:spacing w:val="-8"/>
          <w:sz w:val="20"/>
        </w:rPr>
        <w:t xml:space="preserve"> </w:t>
      </w:r>
      <w:r>
        <w:rPr>
          <w:color w:val="231F20"/>
          <w:sz w:val="20"/>
        </w:rPr>
        <w:t>people</w:t>
      </w:r>
      <w:r>
        <w:rPr>
          <w:color w:val="231F20"/>
          <w:spacing w:val="-9"/>
          <w:sz w:val="20"/>
        </w:rPr>
        <w:t xml:space="preserve"> </w:t>
      </w:r>
      <w:r>
        <w:rPr>
          <w:color w:val="231F20"/>
          <w:sz w:val="20"/>
        </w:rPr>
        <w:t>who</w:t>
      </w:r>
      <w:r>
        <w:rPr>
          <w:color w:val="231F20"/>
          <w:spacing w:val="-8"/>
          <w:sz w:val="20"/>
        </w:rPr>
        <w:t xml:space="preserve"> </w:t>
      </w:r>
      <w:r>
        <w:rPr>
          <w:color w:val="231F20"/>
          <w:sz w:val="20"/>
        </w:rPr>
        <w:t>had</w:t>
      </w:r>
      <w:r>
        <w:rPr>
          <w:color w:val="231F20"/>
          <w:spacing w:val="-9"/>
          <w:sz w:val="20"/>
        </w:rPr>
        <w:t xml:space="preserve"> </w:t>
      </w:r>
      <w:r>
        <w:rPr>
          <w:color w:val="231F20"/>
          <w:spacing w:val="-3"/>
          <w:sz w:val="20"/>
        </w:rPr>
        <w:t>received</w:t>
      </w:r>
      <w:r>
        <w:rPr>
          <w:color w:val="231F20"/>
          <w:spacing w:val="-8"/>
          <w:sz w:val="20"/>
        </w:rPr>
        <w:t xml:space="preserve"> </w:t>
      </w:r>
      <w:r>
        <w:rPr>
          <w:color w:val="231F20"/>
          <w:sz w:val="20"/>
        </w:rPr>
        <w:t>training</w:t>
      </w:r>
      <w:r>
        <w:rPr>
          <w:color w:val="231F20"/>
          <w:spacing w:val="-9"/>
          <w:sz w:val="20"/>
        </w:rPr>
        <w:t xml:space="preserve"> </w:t>
      </w:r>
      <w:r>
        <w:rPr>
          <w:color w:val="231F20"/>
          <w:sz w:val="20"/>
        </w:rPr>
        <w:t xml:space="preserve">about stalking </w:t>
      </w:r>
      <w:r>
        <w:rPr>
          <w:color w:val="231F20"/>
          <w:spacing w:val="-4"/>
          <w:sz w:val="20"/>
        </w:rPr>
        <w:t xml:space="preserve">were </w:t>
      </w:r>
      <w:r>
        <w:rPr>
          <w:color w:val="231F20"/>
          <w:sz w:val="20"/>
        </w:rPr>
        <w:t xml:space="preserve">less </w:t>
      </w:r>
      <w:r>
        <w:rPr>
          <w:color w:val="231F20"/>
          <w:spacing w:val="-3"/>
          <w:sz w:val="20"/>
        </w:rPr>
        <w:t xml:space="preserve">likely </w:t>
      </w:r>
      <w:r>
        <w:rPr>
          <w:color w:val="231F20"/>
          <w:sz w:val="20"/>
        </w:rPr>
        <w:t xml:space="preserve">to </w:t>
      </w:r>
      <w:r>
        <w:rPr>
          <w:color w:val="231F20"/>
          <w:spacing w:val="-3"/>
          <w:sz w:val="20"/>
        </w:rPr>
        <w:t xml:space="preserve">believe </w:t>
      </w:r>
      <w:r>
        <w:rPr>
          <w:color w:val="231F20"/>
          <w:sz w:val="20"/>
        </w:rPr>
        <w:t xml:space="preserve">myths about it than </w:t>
      </w:r>
      <w:r>
        <w:rPr>
          <w:color w:val="231F20"/>
          <w:spacing w:val="-3"/>
          <w:sz w:val="20"/>
        </w:rPr>
        <w:t xml:space="preserve">before </w:t>
      </w:r>
      <w:r>
        <w:rPr>
          <w:color w:val="231F20"/>
          <w:sz w:val="20"/>
        </w:rPr>
        <w:t xml:space="preserve">they </w:t>
      </w:r>
      <w:r>
        <w:rPr>
          <w:color w:val="231F20"/>
          <w:spacing w:val="-3"/>
          <w:sz w:val="20"/>
        </w:rPr>
        <w:t xml:space="preserve">received </w:t>
      </w:r>
      <w:r>
        <w:rPr>
          <w:color w:val="231F20"/>
          <w:sz w:val="20"/>
        </w:rPr>
        <w:t>the training.</w:t>
      </w:r>
      <w:r>
        <w:rPr>
          <w:color w:val="231F20"/>
          <w:position w:val="7"/>
          <w:sz w:val="11"/>
        </w:rPr>
        <w:t>101</w:t>
      </w:r>
    </w:p>
    <w:p w14:paraId="2229C428" w14:textId="77777777" w:rsidR="00894070" w:rsidRDefault="009B7AFD">
      <w:pPr>
        <w:pStyle w:val="ListParagraph"/>
        <w:numPr>
          <w:ilvl w:val="1"/>
          <w:numId w:val="177"/>
        </w:numPr>
        <w:tabs>
          <w:tab w:val="left" w:pos="1801"/>
          <w:tab w:val="left" w:pos="1802"/>
        </w:tabs>
        <w:spacing w:before="124" w:line="206" w:lineRule="auto"/>
        <w:ind w:right="1187"/>
        <w:rPr>
          <w:sz w:val="11"/>
        </w:rPr>
      </w:pPr>
      <w:r>
        <w:rPr>
          <w:color w:val="231F20"/>
          <w:sz w:val="20"/>
        </w:rPr>
        <w:t xml:space="preserve">In </w:t>
      </w:r>
      <w:r>
        <w:rPr>
          <w:color w:val="231F20"/>
          <w:spacing w:val="-3"/>
          <w:sz w:val="20"/>
        </w:rPr>
        <w:t xml:space="preserve">Chapter </w:t>
      </w:r>
      <w:r>
        <w:rPr>
          <w:color w:val="231F20"/>
          <w:sz w:val="20"/>
        </w:rPr>
        <w:t xml:space="preserve">6 </w:t>
      </w:r>
      <w:r>
        <w:rPr>
          <w:color w:val="231F20"/>
          <w:spacing w:val="-3"/>
          <w:sz w:val="20"/>
        </w:rPr>
        <w:t xml:space="preserve">we </w:t>
      </w:r>
      <w:r>
        <w:rPr>
          <w:color w:val="231F20"/>
          <w:sz w:val="20"/>
        </w:rPr>
        <w:t xml:space="preserve">recommend that guidance should be </w:t>
      </w:r>
      <w:r>
        <w:rPr>
          <w:color w:val="231F20"/>
          <w:spacing w:val="-3"/>
          <w:sz w:val="20"/>
        </w:rPr>
        <w:t xml:space="preserve">developed </w:t>
      </w:r>
      <w:r>
        <w:rPr>
          <w:color w:val="231F20"/>
          <w:sz w:val="20"/>
        </w:rPr>
        <w:t>to support courts to identify</w:t>
      </w:r>
      <w:r>
        <w:rPr>
          <w:color w:val="231F20"/>
          <w:spacing w:val="-10"/>
          <w:sz w:val="20"/>
        </w:rPr>
        <w:t xml:space="preserve"> </w:t>
      </w:r>
      <w:r>
        <w:rPr>
          <w:color w:val="231F20"/>
          <w:sz w:val="20"/>
        </w:rPr>
        <w:t>stalking.</w:t>
      </w:r>
      <w:r>
        <w:rPr>
          <w:color w:val="231F20"/>
          <w:spacing w:val="-10"/>
          <w:sz w:val="20"/>
        </w:rPr>
        <w:t xml:space="preserve"> </w:t>
      </w:r>
      <w:r>
        <w:rPr>
          <w:color w:val="231F20"/>
          <w:sz w:val="20"/>
        </w:rPr>
        <w:t>This</w:t>
      </w:r>
      <w:r>
        <w:rPr>
          <w:color w:val="231F20"/>
          <w:spacing w:val="-10"/>
          <w:sz w:val="20"/>
        </w:rPr>
        <w:t xml:space="preserve"> </w:t>
      </w:r>
      <w:r>
        <w:rPr>
          <w:color w:val="231F20"/>
          <w:sz w:val="20"/>
        </w:rPr>
        <w:t>should</w:t>
      </w:r>
      <w:r>
        <w:rPr>
          <w:color w:val="231F20"/>
          <w:spacing w:val="-10"/>
          <w:sz w:val="20"/>
        </w:rPr>
        <w:t xml:space="preserve"> </w:t>
      </w:r>
      <w:r>
        <w:rPr>
          <w:color w:val="231F20"/>
          <w:sz w:val="20"/>
        </w:rPr>
        <w:t>be</w:t>
      </w:r>
      <w:r>
        <w:rPr>
          <w:color w:val="231F20"/>
          <w:spacing w:val="-9"/>
          <w:sz w:val="20"/>
        </w:rPr>
        <w:t xml:space="preserve"> </w:t>
      </w:r>
      <w:r>
        <w:rPr>
          <w:color w:val="231F20"/>
          <w:sz w:val="20"/>
        </w:rPr>
        <w:t>the</w:t>
      </w:r>
      <w:r>
        <w:rPr>
          <w:color w:val="231F20"/>
          <w:spacing w:val="-10"/>
          <w:sz w:val="20"/>
        </w:rPr>
        <w:t xml:space="preserve"> </w:t>
      </w:r>
      <w:r>
        <w:rPr>
          <w:color w:val="231F20"/>
          <w:sz w:val="20"/>
        </w:rPr>
        <w:t>subject</w:t>
      </w:r>
      <w:r>
        <w:rPr>
          <w:color w:val="231F20"/>
          <w:spacing w:val="-10"/>
          <w:sz w:val="20"/>
        </w:rPr>
        <w:t xml:space="preserve"> </w:t>
      </w:r>
      <w:r>
        <w:rPr>
          <w:color w:val="231F20"/>
          <w:sz w:val="20"/>
        </w:rPr>
        <w:t>of</w:t>
      </w:r>
      <w:r>
        <w:rPr>
          <w:color w:val="231F20"/>
          <w:spacing w:val="-10"/>
          <w:sz w:val="20"/>
        </w:rPr>
        <w:t xml:space="preserve"> </w:t>
      </w:r>
      <w:r>
        <w:rPr>
          <w:color w:val="231F20"/>
          <w:sz w:val="20"/>
        </w:rPr>
        <w:t>education</w:t>
      </w:r>
      <w:r>
        <w:rPr>
          <w:color w:val="231F20"/>
          <w:spacing w:val="-10"/>
          <w:sz w:val="20"/>
        </w:rPr>
        <w:t xml:space="preserve"> </w:t>
      </w:r>
      <w:r>
        <w:rPr>
          <w:color w:val="231F20"/>
          <w:sz w:val="20"/>
        </w:rPr>
        <w:t>when</w:t>
      </w:r>
      <w:r>
        <w:rPr>
          <w:color w:val="231F20"/>
          <w:spacing w:val="-9"/>
          <w:sz w:val="20"/>
        </w:rPr>
        <w:t xml:space="preserve"> </w:t>
      </w:r>
      <w:r>
        <w:rPr>
          <w:color w:val="231F20"/>
          <w:sz w:val="20"/>
        </w:rPr>
        <w:t>the</w:t>
      </w:r>
      <w:r>
        <w:rPr>
          <w:color w:val="231F20"/>
          <w:spacing w:val="-10"/>
          <w:sz w:val="20"/>
        </w:rPr>
        <w:t xml:space="preserve"> </w:t>
      </w:r>
      <w:r>
        <w:rPr>
          <w:color w:val="231F20"/>
          <w:sz w:val="20"/>
        </w:rPr>
        <w:t>guidance</w:t>
      </w:r>
      <w:r>
        <w:rPr>
          <w:color w:val="231F20"/>
          <w:spacing w:val="-10"/>
          <w:sz w:val="20"/>
        </w:rPr>
        <w:t xml:space="preserve"> </w:t>
      </w:r>
      <w:r>
        <w:rPr>
          <w:color w:val="231F20"/>
          <w:sz w:val="20"/>
        </w:rPr>
        <w:t>is</w:t>
      </w:r>
      <w:r>
        <w:rPr>
          <w:color w:val="231F20"/>
          <w:spacing w:val="-10"/>
          <w:sz w:val="20"/>
        </w:rPr>
        <w:t xml:space="preserve"> </w:t>
      </w:r>
      <w:r>
        <w:rPr>
          <w:color w:val="231F20"/>
          <w:sz w:val="20"/>
        </w:rPr>
        <w:t>in</w:t>
      </w:r>
      <w:r>
        <w:rPr>
          <w:color w:val="231F20"/>
          <w:spacing w:val="-10"/>
          <w:sz w:val="20"/>
        </w:rPr>
        <w:t xml:space="preserve"> </w:t>
      </w:r>
      <w:r>
        <w:rPr>
          <w:color w:val="231F20"/>
          <w:sz w:val="20"/>
        </w:rPr>
        <w:t>place. Being</w:t>
      </w:r>
      <w:r>
        <w:rPr>
          <w:color w:val="231F20"/>
          <w:spacing w:val="-9"/>
          <w:sz w:val="20"/>
        </w:rPr>
        <w:t xml:space="preserve"> </w:t>
      </w:r>
      <w:r>
        <w:rPr>
          <w:color w:val="231F20"/>
          <w:sz w:val="20"/>
        </w:rPr>
        <w:t>able</w:t>
      </w:r>
      <w:r>
        <w:rPr>
          <w:color w:val="231F20"/>
          <w:spacing w:val="-8"/>
          <w:sz w:val="20"/>
        </w:rPr>
        <w:t xml:space="preserve"> </w:t>
      </w:r>
      <w:r>
        <w:rPr>
          <w:color w:val="231F20"/>
          <w:sz w:val="20"/>
        </w:rPr>
        <w:t>to</w:t>
      </w:r>
      <w:r>
        <w:rPr>
          <w:color w:val="231F20"/>
          <w:spacing w:val="-8"/>
          <w:sz w:val="20"/>
        </w:rPr>
        <w:t xml:space="preserve"> </w:t>
      </w:r>
      <w:r>
        <w:rPr>
          <w:color w:val="231F20"/>
          <w:sz w:val="20"/>
        </w:rPr>
        <w:t>recognise</w:t>
      </w:r>
      <w:r>
        <w:rPr>
          <w:color w:val="231F20"/>
          <w:spacing w:val="-8"/>
          <w:sz w:val="20"/>
        </w:rPr>
        <w:t xml:space="preserve"> </w:t>
      </w:r>
      <w:r>
        <w:rPr>
          <w:color w:val="231F20"/>
          <w:sz w:val="20"/>
        </w:rPr>
        <w:t>stalking</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help</w:t>
      </w:r>
      <w:r>
        <w:rPr>
          <w:color w:val="231F20"/>
          <w:spacing w:val="-8"/>
          <w:sz w:val="20"/>
        </w:rPr>
        <w:t xml:space="preserve"> </w:t>
      </w:r>
      <w:r>
        <w:rPr>
          <w:color w:val="231F20"/>
          <w:sz w:val="20"/>
        </w:rPr>
        <w:t>people</w:t>
      </w:r>
      <w:r>
        <w:rPr>
          <w:color w:val="231F20"/>
          <w:spacing w:val="-8"/>
          <w:sz w:val="20"/>
        </w:rPr>
        <w:t xml:space="preserve"> </w:t>
      </w:r>
      <w:r>
        <w:rPr>
          <w:color w:val="231F20"/>
          <w:sz w:val="20"/>
        </w:rPr>
        <w:t>in</w:t>
      </w:r>
      <w:r>
        <w:rPr>
          <w:color w:val="231F20"/>
          <w:spacing w:val="-9"/>
          <w:sz w:val="20"/>
        </w:rPr>
        <w:t xml:space="preserve"> </w:t>
      </w:r>
      <w:r>
        <w:rPr>
          <w:color w:val="231F20"/>
          <w:sz w:val="20"/>
        </w:rPr>
        <w:t>the</w:t>
      </w:r>
      <w:r>
        <w:rPr>
          <w:color w:val="231F20"/>
          <w:spacing w:val="-8"/>
          <w:sz w:val="20"/>
        </w:rPr>
        <w:t xml:space="preserve"> </w:t>
      </w:r>
      <w:r>
        <w:rPr>
          <w:color w:val="231F20"/>
          <w:sz w:val="20"/>
        </w:rPr>
        <w:t>justice</w:t>
      </w:r>
      <w:r>
        <w:rPr>
          <w:color w:val="231F20"/>
          <w:spacing w:val="-8"/>
          <w:sz w:val="20"/>
        </w:rPr>
        <w:t xml:space="preserve"> </w:t>
      </w:r>
      <w:r>
        <w:rPr>
          <w:color w:val="231F20"/>
          <w:spacing w:val="-2"/>
          <w:sz w:val="20"/>
        </w:rPr>
        <w:t>system</w:t>
      </w:r>
      <w:r>
        <w:rPr>
          <w:color w:val="231F20"/>
          <w:spacing w:val="-8"/>
          <w:sz w:val="20"/>
        </w:rPr>
        <w:t xml:space="preserve"> </w:t>
      </w:r>
      <w:r>
        <w:rPr>
          <w:color w:val="231F20"/>
          <w:sz w:val="20"/>
        </w:rPr>
        <w:t>respond</w:t>
      </w:r>
      <w:r>
        <w:rPr>
          <w:color w:val="231F20"/>
          <w:spacing w:val="-8"/>
          <w:sz w:val="20"/>
        </w:rPr>
        <w:t xml:space="preserve"> </w:t>
      </w:r>
      <w:r>
        <w:rPr>
          <w:color w:val="231F20"/>
          <w:sz w:val="20"/>
        </w:rPr>
        <w:t>to</w:t>
      </w:r>
      <w:r>
        <w:rPr>
          <w:color w:val="231F20"/>
          <w:spacing w:val="-8"/>
          <w:sz w:val="20"/>
        </w:rPr>
        <w:t xml:space="preserve"> </w:t>
      </w:r>
      <w:r>
        <w:rPr>
          <w:color w:val="231F20"/>
          <w:sz w:val="20"/>
        </w:rPr>
        <w:t>it.</w:t>
      </w:r>
      <w:r>
        <w:rPr>
          <w:color w:val="231F20"/>
          <w:position w:val="7"/>
          <w:sz w:val="11"/>
        </w:rPr>
        <w:t>102</w:t>
      </w:r>
    </w:p>
    <w:p w14:paraId="37570015" w14:textId="77777777" w:rsidR="00894070" w:rsidRDefault="009B7AFD">
      <w:pPr>
        <w:pStyle w:val="ListParagraph"/>
        <w:numPr>
          <w:ilvl w:val="1"/>
          <w:numId w:val="177"/>
        </w:numPr>
        <w:tabs>
          <w:tab w:val="left" w:pos="1801"/>
          <w:tab w:val="left" w:pos="1802"/>
        </w:tabs>
        <w:spacing w:before="91"/>
        <w:rPr>
          <w:sz w:val="20"/>
        </w:rPr>
      </w:pPr>
      <w:r>
        <w:rPr>
          <w:color w:val="231F20"/>
          <w:spacing w:val="-3"/>
          <w:sz w:val="20"/>
        </w:rPr>
        <w:t xml:space="preserve">Education </w:t>
      </w:r>
      <w:r>
        <w:rPr>
          <w:color w:val="231F20"/>
          <w:sz w:val="20"/>
        </w:rPr>
        <w:t xml:space="preserve">on the </w:t>
      </w:r>
      <w:r>
        <w:rPr>
          <w:color w:val="231F20"/>
          <w:spacing w:val="-3"/>
          <w:sz w:val="20"/>
        </w:rPr>
        <w:t xml:space="preserve">nature </w:t>
      </w:r>
      <w:r>
        <w:rPr>
          <w:color w:val="231F20"/>
          <w:sz w:val="20"/>
        </w:rPr>
        <w:t xml:space="preserve">of stalking should include </w:t>
      </w:r>
      <w:r>
        <w:rPr>
          <w:color w:val="231F20"/>
          <w:spacing w:val="-3"/>
          <w:sz w:val="20"/>
        </w:rPr>
        <w:t>information</w:t>
      </w:r>
      <w:r>
        <w:rPr>
          <w:color w:val="231F20"/>
          <w:spacing w:val="-34"/>
          <w:sz w:val="20"/>
        </w:rPr>
        <w:t xml:space="preserve"> </w:t>
      </w:r>
      <w:r>
        <w:rPr>
          <w:color w:val="231F20"/>
          <w:sz w:val="20"/>
        </w:rPr>
        <w:t>about:</w:t>
      </w:r>
    </w:p>
    <w:p w14:paraId="1FAAFF65" w14:textId="77777777" w:rsidR="00894070" w:rsidRDefault="009B7AFD">
      <w:pPr>
        <w:pStyle w:val="ListParagraph"/>
        <w:numPr>
          <w:ilvl w:val="2"/>
          <w:numId w:val="177"/>
        </w:numPr>
        <w:tabs>
          <w:tab w:val="left" w:pos="2141"/>
          <w:tab w:val="left" w:pos="2142"/>
        </w:tabs>
        <w:spacing w:before="115" w:line="206" w:lineRule="auto"/>
        <w:ind w:right="1711" w:hanging="340"/>
        <w:rPr>
          <w:sz w:val="11"/>
        </w:rPr>
      </w:pPr>
      <w:r>
        <w:rPr>
          <w:color w:val="231F20"/>
          <w:spacing w:val="-3"/>
          <w:sz w:val="20"/>
        </w:rPr>
        <w:t xml:space="preserve">technology-facilitated </w:t>
      </w:r>
      <w:r>
        <w:rPr>
          <w:color w:val="231F20"/>
          <w:sz w:val="20"/>
        </w:rPr>
        <w:t xml:space="preserve">abuse </w:t>
      </w:r>
      <w:r>
        <w:rPr>
          <w:color w:val="231F20"/>
          <w:spacing w:val="-3"/>
          <w:sz w:val="20"/>
        </w:rPr>
        <w:t xml:space="preserve">related </w:t>
      </w:r>
      <w:r>
        <w:rPr>
          <w:color w:val="231F20"/>
          <w:sz w:val="20"/>
        </w:rPr>
        <w:t xml:space="preserve">to stalking </w:t>
      </w:r>
      <w:r>
        <w:rPr>
          <w:color w:val="231F20"/>
          <w:spacing w:val="-3"/>
          <w:sz w:val="20"/>
        </w:rPr>
        <w:t>(cyberstalking),</w:t>
      </w:r>
      <w:r>
        <w:rPr>
          <w:color w:val="231F20"/>
          <w:spacing w:val="-3"/>
          <w:position w:val="7"/>
          <w:sz w:val="11"/>
        </w:rPr>
        <w:t xml:space="preserve">103 </w:t>
      </w:r>
      <w:r>
        <w:rPr>
          <w:color w:val="231F20"/>
          <w:sz w:val="20"/>
        </w:rPr>
        <w:t xml:space="preserve">including its </w:t>
      </w:r>
      <w:r>
        <w:rPr>
          <w:color w:val="231F20"/>
          <w:spacing w:val="-3"/>
          <w:sz w:val="20"/>
        </w:rPr>
        <w:t xml:space="preserve">nature </w:t>
      </w:r>
      <w:r>
        <w:rPr>
          <w:color w:val="231F20"/>
          <w:sz w:val="20"/>
        </w:rPr>
        <w:t>and</w:t>
      </w:r>
      <w:r>
        <w:rPr>
          <w:color w:val="231F20"/>
          <w:spacing w:val="-5"/>
          <w:sz w:val="20"/>
        </w:rPr>
        <w:t xml:space="preserve"> </w:t>
      </w:r>
      <w:r>
        <w:rPr>
          <w:color w:val="231F20"/>
          <w:sz w:val="20"/>
        </w:rPr>
        <w:t>impacts.</w:t>
      </w:r>
      <w:r>
        <w:rPr>
          <w:color w:val="231F20"/>
          <w:position w:val="7"/>
          <w:sz w:val="11"/>
        </w:rPr>
        <w:t>104</w:t>
      </w:r>
    </w:p>
    <w:p w14:paraId="7E149064" w14:textId="77777777" w:rsidR="00894070" w:rsidRDefault="009B7AFD">
      <w:pPr>
        <w:pStyle w:val="ListParagraph"/>
        <w:numPr>
          <w:ilvl w:val="2"/>
          <w:numId w:val="177"/>
        </w:numPr>
        <w:tabs>
          <w:tab w:val="left" w:pos="2141"/>
          <w:tab w:val="left" w:pos="2142"/>
        </w:tabs>
        <w:spacing w:before="55" w:line="259" w:lineRule="exact"/>
        <w:ind w:hanging="340"/>
        <w:rPr>
          <w:sz w:val="20"/>
        </w:rPr>
      </w:pPr>
      <w:r>
        <w:rPr>
          <w:color w:val="231F20"/>
          <w:sz w:val="20"/>
        </w:rPr>
        <w:t>other</w:t>
      </w:r>
      <w:r>
        <w:rPr>
          <w:color w:val="231F20"/>
          <w:spacing w:val="-6"/>
          <w:sz w:val="20"/>
        </w:rPr>
        <w:t xml:space="preserve"> </w:t>
      </w:r>
      <w:r>
        <w:rPr>
          <w:color w:val="231F20"/>
          <w:sz w:val="20"/>
        </w:rPr>
        <w:t>behaviours</w:t>
      </w:r>
      <w:r>
        <w:rPr>
          <w:color w:val="231F20"/>
          <w:spacing w:val="-6"/>
          <w:sz w:val="20"/>
        </w:rPr>
        <w:t xml:space="preserve"> </w:t>
      </w:r>
      <w:r>
        <w:rPr>
          <w:color w:val="231F20"/>
          <w:sz w:val="20"/>
        </w:rPr>
        <w:t>connected</w:t>
      </w:r>
      <w:r>
        <w:rPr>
          <w:color w:val="231F20"/>
          <w:spacing w:val="-5"/>
          <w:sz w:val="20"/>
        </w:rPr>
        <w:t xml:space="preserve"> </w:t>
      </w:r>
      <w:r>
        <w:rPr>
          <w:color w:val="231F20"/>
          <w:sz w:val="20"/>
        </w:rPr>
        <w:t>to</w:t>
      </w:r>
      <w:r>
        <w:rPr>
          <w:color w:val="231F20"/>
          <w:spacing w:val="-6"/>
          <w:sz w:val="20"/>
        </w:rPr>
        <w:t xml:space="preserve"> </w:t>
      </w:r>
      <w:r>
        <w:rPr>
          <w:color w:val="231F20"/>
          <w:sz w:val="20"/>
        </w:rPr>
        <w:t>stalking</w:t>
      </w:r>
      <w:r>
        <w:rPr>
          <w:color w:val="231F20"/>
          <w:spacing w:val="-5"/>
          <w:sz w:val="20"/>
        </w:rPr>
        <w:t xml:space="preserve"> </w:t>
      </w:r>
      <w:r>
        <w:rPr>
          <w:color w:val="231F20"/>
          <w:sz w:val="20"/>
        </w:rPr>
        <w:t>such</w:t>
      </w:r>
      <w:r>
        <w:rPr>
          <w:color w:val="231F20"/>
          <w:spacing w:val="-6"/>
          <w:sz w:val="20"/>
        </w:rPr>
        <w:t xml:space="preserve"> </w:t>
      </w:r>
      <w:r>
        <w:rPr>
          <w:color w:val="231F20"/>
          <w:sz w:val="20"/>
        </w:rPr>
        <w:t>as</w:t>
      </w:r>
      <w:r>
        <w:rPr>
          <w:color w:val="231F20"/>
          <w:spacing w:val="-6"/>
          <w:sz w:val="20"/>
        </w:rPr>
        <w:t xml:space="preserve"> </w:t>
      </w:r>
      <w:r>
        <w:rPr>
          <w:color w:val="231F20"/>
          <w:spacing w:val="-3"/>
          <w:sz w:val="20"/>
        </w:rPr>
        <w:t>intimate</w:t>
      </w:r>
      <w:r>
        <w:rPr>
          <w:color w:val="231F20"/>
          <w:spacing w:val="-5"/>
          <w:sz w:val="20"/>
        </w:rPr>
        <w:t xml:space="preserve"> </w:t>
      </w:r>
      <w:r>
        <w:rPr>
          <w:color w:val="231F20"/>
          <w:sz w:val="20"/>
        </w:rPr>
        <w:t>image-based</w:t>
      </w:r>
      <w:r>
        <w:rPr>
          <w:color w:val="231F20"/>
          <w:spacing w:val="-6"/>
          <w:sz w:val="20"/>
        </w:rPr>
        <w:t xml:space="preserve"> </w:t>
      </w:r>
      <w:r>
        <w:rPr>
          <w:color w:val="231F20"/>
          <w:sz w:val="20"/>
        </w:rPr>
        <w:t>abuse</w:t>
      </w:r>
      <w:r>
        <w:rPr>
          <w:color w:val="231F20"/>
          <w:spacing w:val="-5"/>
          <w:sz w:val="20"/>
        </w:rPr>
        <w:t xml:space="preserve"> </w:t>
      </w:r>
      <w:r>
        <w:rPr>
          <w:color w:val="231F20"/>
          <w:sz w:val="20"/>
        </w:rPr>
        <w:t>and</w:t>
      </w:r>
    </w:p>
    <w:p w14:paraId="75F45033" w14:textId="77777777" w:rsidR="00894070" w:rsidRDefault="009B7AFD">
      <w:pPr>
        <w:pStyle w:val="BodyText"/>
        <w:spacing w:line="259" w:lineRule="exact"/>
        <w:ind w:left="2141"/>
        <w:rPr>
          <w:sz w:val="11"/>
        </w:rPr>
      </w:pPr>
      <w:r>
        <w:rPr>
          <w:color w:val="231F20"/>
        </w:rPr>
        <w:t>cyberbullying.</w:t>
      </w:r>
      <w:r>
        <w:rPr>
          <w:color w:val="231F20"/>
          <w:position w:val="7"/>
          <w:sz w:val="11"/>
        </w:rPr>
        <w:t>105</w:t>
      </w:r>
    </w:p>
    <w:p w14:paraId="38B5A8BE" w14:textId="77777777" w:rsidR="00894070" w:rsidRDefault="009B7AFD">
      <w:pPr>
        <w:pStyle w:val="ListParagraph"/>
        <w:numPr>
          <w:ilvl w:val="1"/>
          <w:numId w:val="177"/>
        </w:numPr>
        <w:tabs>
          <w:tab w:val="left" w:pos="1801"/>
          <w:tab w:val="left" w:pos="1802"/>
        </w:tabs>
        <w:spacing w:before="48"/>
        <w:rPr>
          <w:sz w:val="20"/>
        </w:rPr>
      </w:pPr>
      <w:r>
        <w:rPr>
          <w:color w:val="231F20"/>
          <w:spacing w:val="-3"/>
          <w:sz w:val="20"/>
        </w:rPr>
        <w:t xml:space="preserve">Education </w:t>
      </w:r>
      <w:r>
        <w:rPr>
          <w:color w:val="231F20"/>
          <w:sz w:val="20"/>
        </w:rPr>
        <w:t>on these topics could</w:t>
      </w:r>
      <w:r>
        <w:rPr>
          <w:color w:val="231F20"/>
          <w:spacing w:val="-18"/>
          <w:sz w:val="20"/>
        </w:rPr>
        <w:t xml:space="preserve"> </w:t>
      </w:r>
      <w:r>
        <w:rPr>
          <w:color w:val="231F20"/>
          <w:spacing w:val="-4"/>
          <w:sz w:val="20"/>
        </w:rPr>
        <w:t>improve:</w:t>
      </w:r>
    </w:p>
    <w:p w14:paraId="2C175060" w14:textId="77777777" w:rsidR="00894070" w:rsidRDefault="009B7AFD">
      <w:pPr>
        <w:pStyle w:val="ListParagraph"/>
        <w:numPr>
          <w:ilvl w:val="2"/>
          <w:numId w:val="177"/>
        </w:numPr>
        <w:tabs>
          <w:tab w:val="left" w:pos="2141"/>
          <w:tab w:val="left" w:pos="2142"/>
        </w:tabs>
        <w:spacing w:before="115" w:line="206" w:lineRule="auto"/>
        <w:ind w:right="1842" w:hanging="340"/>
        <w:rPr>
          <w:sz w:val="11"/>
        </w:rPr>
      </w:pPr>
      <w:r>
        <w:rPr>
          <w:color w:val="231F20"/>
          <w:spacing w:val="-3"/>
          <w:sz w:val="20"/>
        </w:rPr>
        <w:t>how</w:t>
      </w:r>
      <w:r>
        <w:rPr>
          <w:color w:val="231F20"/>
          <w:spacing w:val="-9"/>
          <w:sz w:val="20"/>
        </w:rPr>
        <w:t xml:space="preserve"> </w:t>
      </w:r>
      <w:r>
        <w:rPr>
          <w:color w:val="231F20"/>
          <w:sz w:val="20"/>
        </w:rPr>
        <w:t>people</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9"/>
          <w:sz w:val="20"/>
        </w:rPr>
        <w:t xml:space="preserve"> </w:t>
      </w:r>
      <w:r>
        <w:rPr>
          <w:color w:val="231F20"/>
          <w:sz w:val="20"/>
        </w:rPr>
        <w:t>criminal</w:t>
      </w:r>
      <w:r>
        <w:rPr>
          <w:color w:val="231F20"/>
          <w:spacing w:val="-8"/>
          <w:sz w:val="20"/>
        </w:rPr>
        <w:t xml:space="preserve"> </w:t>
      </w:r>
      <w:r>
        <w:rPr>
          <w:color w:val="231F20"/>
          <w:sz w:val="20"/>
        </w:rPr>
        <w:t>justice</w:t>
      </w:r>
      <w:r>
        <w:rPr>
          <w:color w:val="231F20"/>
          <w:spacing w:val="-8"/>
          <w:sz w:val="20"/>
        </w:rPr>
        <w:t xml:space="preserve"> </w:t>
      </w:r>
      <w:r>
        <w:rPr>
          <w:color w:val="231F20"/>
          <w:spacing w:val="-2"/>
          <w:sz w:val="20"/>
        </w:rPr>
        <w:t>system</w:t>
      </w:r>
      <w:r>
        <w:rPr>
          <w:color w:val="231F20"/>
          <w:spacing w:val="-8"/>
          <w:sz w:val="20"/>
        </w:rPr>
        <w:t xml:space="preserve"> </w:t>
      </w:r>
      <w:r>
        <w:rPr>
          <w:color w:val="231F20"/>
          <w:spacing w:val="-3"/>
          <w:sz w:val="20"/>
        </w:rPr>
        <w:t>apply</w:t>
      </w:r>
      <w:r>
        <w:rPr>
          <w:color w:val="231F20"/>
          <w:spacing w:val="-9"/>
          <w:sz w:val="20"/>
        </w:rPr>
        <w:t xml:space="preserve"> </w:t>
      </w:r>
      <w:r>
        <w:rPr>
          <w:color w:val="231F20"/>
          <w:sz w:val="20"/>
        </w:rPr>
        <w:t>and</w:t>
      </w:r>
      <w:r>
        <w:rPr>
          <w:color w:val="231F20"/>
          <w:spacing w:val="-8"/>
          <w:sz w:val="20"/>
        </w:rPr>
        <w:t xml:space="preserve"> </w:t>
      </w:r>
      <w:r>
        <w:rPr>
          <w:color w:val="231F20"/>
          <w:sz w:val="20"/>
        </w:rPr>
        <w:t>understand</w:t>
      </w:r>
      <w:r>
        <w:rPr>
          <w:color w:val="231F20"/>
          <w:spacing w:val="-8"/>
          <w:sz w:val="20"/>
        </w:rPr>
        <w:t xml:space="preserve"> </w:t>
      </w:r>
      <w:r>
        <w:rPr>
          <w:color w:val="231F20"/>
          <w:sz w:val="20"/>
        </w:rPr>
        <w:t>the</w:t>
      </w:r>
      <w:r>
        <w:rPr>
          <w:color w:val="231F20"/>
          <w:spacing w:val="-8"/>
          <w:sz w:val="20"/>
        </w:rPr>
        <w:t xml:space="preserve"> </w:t>
      </w:r>
      <w:r>
        <w:rPr>
          <w:color w:val="231F20"/>
          <w:sz w:val="20"/>
        </w:rPr>
        <w:t xml:space="preserve">stalking offence (see </w:t>
      </w:r>
      <w:r>
        <w:rPr>
          <w:color w:val="231F20"/>
          <w:spacing w:val="-3"/>
          <w:sz w:val="20"/>
        </w:rPr>
        <w:t>Chapter</w:t>
      </w:r>
      <w:r>
        <w:rPr>
          <w:color w:val="231F20"/>
          <w:spacing w:val="-13"/>
          <w:sz w:val="20"/>
        </w:rPr>
        <w:t xml:space="preserve"> </w:t>
      </w:r>
      <w:r>
        <w:rPr>
          <w:color w:val="231F20"/>
          <w:sz w:val="20"/>
        </w:rPr>
        <w:t>7).</w:t>
      </w:r>
      <w:r>
        <w:rPr>
          <w:color w:val="231F20"/>
          <w:position w:val="7"/>
          <w:sz w:val="11"/>
        </w:rPr>
        <w:t>106</w:t>
      </w:r>
    </w:p>
    <w:p w14:paraId="15733411" w14:textId="77777777" w:rsidR="00894070" w:rsidRDefault="009B7AFD">
      <w:pPr>
        <w:pStyle w:val="ListParagraph"/>
        <w:numPr>
          <w:ilvl w:val="2"/>
          <w:numId w:val="177"/>
        </w:numPr>
        <w:tabs>
          <w:tab w:val="left" w:pos="2141"/>
          <w:tab w:val="left" w:pos="2142"/>
        </w:tabs>
        <w:spacing w:before="55" w:line="259" w:lineRule="exact"/>
        <w:ind w:hanging="340"/>
        <w:rPr>
          <w:sz w:val="20"/>
        </w:rPr>
      </w:pPr>
      <w:r>
        <w:rPr>
          <w:color w:val="231F20"/>
          <w:spacing w:val="-3"/>
          <w:sz w:val="20"/>
        </w:rPr>
        <w:t>how</w:t>
      </w:r>
      <w:r>
        <w:rPr>
          <w:color w:val="231F20"/>
          <w:spacing w:val="-6"/>
          <w:sz w:val="20"/>
        </w:rPr>
        <w:t xml:space="preserve"> </w:t>
      </w:r>
      <w:r>
        <w:rPr>
          <w:color w:val="231F20"/>
          <w:sz w:val="20"/>
        </w:rPr>
        <w:t>protection</w:t>
      </w:r>
      <w:r>
        <w:rPr>
          <w:color w:val="231F20"/>
          <w:spacing w:val="-6"/>
          <w:sz w:val="20"/>
        </w:rPr>
        <w:t xml:space="preserve"> </w:t>
      </w:r>
      <w:r>
        <w:rPr>
          <w:color w:val="231F20"/>
          <w:sz w:val="20"/>
        </w:rPr>
        <w:t>order</w:t>
      </w:r>
      <w:r>
        <w:rPr>
          <w:color w:val="231F20"/>
          <w:spacing w:val="-6"/>
          <w:sz w:val="20"/>
        </w:rPr>
        <w:t xml:space="preserve"> </w:t>
      </w:r>
      <w:r>
        <w:rPr>
          <w:color w:val="231F20"/>
          <w:sz w:val="20"/>
        </w:rPr>
        <w:t>conditions</w:t>
      </w:r>
      <w:r>
        <w:rPr>
          <w:color w:val="231F20"/>
          <w:spacing w:val="-5"/>
          <w:sz w:val="20"/>
        </w:rPr>
        <w:t xml:space="preserve"> </w:t>
      </w:r>
      <w:r>
        <w:rPr>
          <w:color w:val="231F20"/>
          <w:spacing w:val="-3"/>
          <w:sz w:val="20"/>
        </w:rPr>
        <w:t>are</w:t>
      </w:r>
      <w:r>
        <w:rPr>
          <w:color w:val="231F20"/>
          <w:spacing w:val="-6"/>
          <w:sz w:val="20"/>
        </w:rPr>
        <w:t xml:space="preserve"> </w:t>
      </w:r>
      <w:r>
        <w:rPr>
          <w:color w:val="231F20"/>
          <w:sz w:val="20"/>
        </w:rPr>
        <w:t>crafted,</w:t>
      </w:r>
      <w:r>
        <w:rPr>
          <w:color w:val="231F20"/>
          <w:spacing w:val="-6"/>
          <w:sz w:val="20"/>
        </w:rPr>
        <w:t xml:space="preserve"> </w:t>
      </w:r>
      <w:r>
        <w:rPr>
          <w:color w:val="231F20"/>
          <w:sz w:val="20"/>
        </w:rPr>
        <w:t>including</w:t>
      </w:r>
      <w:r>
        <w:rPr>
          <w:color w:val="231F20"/>
          <w:spacing w:val="-6"/>
          <w:sz w:val="20"/>
        </w:rPr>
        <w:t xml:space="preserve"> </w:t>
      </w:r>
      <w:r>
        <w:rPr>
          <w:color w:val="231F20"/>
          <w:sz w:val="20"/>
        </w:rPr>
        <w:t>conditions</w:t>
      </w:r>
      <w:r>
        <w:rPr>
          <w:color w:val="231F20"/>
          <w:spacing w:val="-5"/>
          <w:sz w:val="20"/>
        </w:rPr>
        <w:t xml:space="preserve"> </w:t>
      </w:r>
      <w:r>
        <w:rPr>
          <w:color w:val="231F20"/>
          <w:sz w:val="20"/>
        </w:rPr>
        <w:t>on</w:t>
      </w:r>
      <w:r>
        <w:rPr>
          <w:color w:val="231F20"/>
          <w:spacing w:val="-6"/>
          <w:sz w:val="20"/>
        </w:rPr>
        <w:t xml:space="preserve"> </w:t>
      </w:r>
      <w:r>
        <w:rPr>
          <w:color w:val="231F20"/>
          <w:sz w:val="20"/>
        </w:rPr>
        <w:t>the</w:t>
      </w:r>
      <w:r>
        <w:rPr>
          <w:color w:val="231F20"/>
          <w:spacing w:val="-6"/>
          <w:sz w:val="20"/>
        </w:rPr>
        <w:t xml:space="preserve"> </w:t>
      </w:r>
      <w:r>
        <w:rPr>
          <w:color w:val="231F20"/>
          <w:sz w:val="20"/>
        </w:rPr>
        <w:t>use</w:t>
      </w:r>
      <w:r>
        <w:rPr>
          <w:color w:val="231F20"/>
          <w:spacing w:val="-6"/>
          <w:sz w:val="20"/>
        </w:rPr>
        <w:t xml:space="preserve"> </w:t>
      </w:r>
      <w:r>
        <w:rPr>
          <w:color w:val="231F20"/>
          <w:sz w:val="20"/>
        </w:rPr>
        <w:t>of</w:t>
      </w:r>
    </w:p>
    <w:p w14:paraId="7FA124B2" w14:textId="77777777" w:rsidR="00894070" w:rsidRDefault="009B7AFD">
      <w:pPr>
        <w:pStyle w:val="BodyText"/>
        <w:spacing w:line="259" w:lineRule="exact"/>
        <w:ind w:left="2141"/>
        <w:rPr>
          <w:sz w:val="11"/>
        </w:rPr>
      </w:pPr>
      <w:r>
        <w:rPr>
          <w:color w:val="231F20"/>
        </w:rPr>
        <w:t>technology (see below).</w:t>
      </w:r>
      <w:r>
        <w:rPr>
          <w:color w:val="231F20"/>
          <w:position w:val="7"/>
          <w:sz w:val="11"/>
        </w:rPr>
        <w:t>107</w:t>
      </w:r>
    </w:p>
    <w:p w14:paraId="6409CD87" w14:textId="77777777" w:rsidR="00894070" w:rsidRDefault="009B7AFD">
      <w:pPr>
        <w:pStyle w:val="Heading9"/>
        <w:spacing w:before="84"/>
        <w:rPr>
          <w:b/>
        </w:rPr>
      </w:pPr>
      <w:r>
        <w:rPr>
          <w:b/>
          <w:color w:val="231F20"/>
        </w:rPr>
        <w:t>Options and pathways in the justice system</w:t>
      </w:r>
    </w:p>
    <w:p w14:paraId="671EA076" w14:textId="77777777" w:rsidR="00894070" w:rsidRDefault="009B7AFD">
      <w:pPr>
        <w:pStyle w:val="ListParagraph"/>
        <w:numPr>
          <w:ilvl w:val="1"/>
          <w:numId w:val="177"/>
        </w:numPr>
        <w:tabs>
          <w:tab w:val="left" w:pos="1802"/>
        </w:tabs>
        <w:spacing w:before="132" w:line="206" w:lineRule="auto"/>
        <w:ind w:right="1628"/>
        <w:jc w:val="both"/>
        <w:rPr>
          <w:sz w:val="20"/>
        </w:rPr>
      </w:pPr>
      <w:r>
        <w:rPr>
          <w:color w:val="231F20"/>
          <w:sz w:val="20"/>
        </w:rPr>
        <w:t>As</w:t>
      </w:r>
      <w:r>
        <w:rPr>
          <w:color w:val="231F20"/>
          <w:spacing w:val="-12"/>
          <w:sz w:val="20"/>
        </w:rPr>
        <w:t xml:space="preserve"> </w:t>
      </w:r>
      <w:r>
        <w:rPr>
          <w:color w:val="231F20"/>
          <w:sz w:val="20"/>
        </w:rPr>
        <w:t>there</w:t>
      </w:r>
      <w:r>
        <w:rPr>
          <w:color w:val="231F20"/>
          <w:spacing w:val="-11"/>
          <w:sz w:val="20"/>
        </w:rPr>
        <w:t xml:space="preserve"> </w:t>
      </w:r>
      <w:r>
        <w:rPr>
          <w:color w:val="231F20"/>
          <w:spacing w:val="-3"/>
          <w:sz w:val="20"/>
        </w:rPr>
        <w:t>are</w:t>
      </w:r>
      <w:r>
        <w:rPr>
          <w:color w:val="231F20"/>
          <w:spacing w:val="-12"/>
          <w:sz w:val="20"/>
        </w:rPr>
        <w:t xml:space="preserve"> </w:t>
      </w:r>
      <w:r>
        <w:rPr>
          <w:color w:val="231F20"/>
          <w:sz w:val="20"/>
        </w:rPr>
        <w:t>both</w:t>
      </w:r>
      <w:r>
        <w:rPr>
          <w:color w:val="231F20"/>
          <w:spacing w:val="-11"/>
          <w:sz w:val="20"/>
        </w:rPr>
        <w:t xml:space="preserve"> </w:t>
      </w:r>
      <w:r>
        <w:rPr>
          <w:color w:val="231F20"/>
          <w:sz w:val="20"/>
        </w:rPr>
        <w:t>civil</w:t>
      </w:r>
      <w:r>
        <w:rPr>
          <w:color w:val="231F20"/>
          <w:spacing w:val="-11"/>
          <w:sz w:val="20"/>
        </w:rPr>
        <w:t xml:space="preserve"> </w:t>
      </w:r>
      <w:r>
        <w:rPr>
          <w:color w:val="231F20"/>
          <w:sz w:val="20"/>
        </w:rPr>
        <w:t>and</w:t>
      </w:r>
      <w:r>
        <w:rPr>
          <w:color w:val="231F20"/>
          <w:spacing w:val="-12"/>
          <w:sz w:val="20"/>
        </w:rPr>
        <w:t xml:space="preserve"> </w:t>
      </w:r>
      <w:r>
        <w:rPr>
          <w:color w:val="231F20"/>
          <w:sz w:val="20"/>
        </w:rPr>
        <w:t>criminal</w:t>
      </w:r>
      <w:r>
        <w:rPr>
          <w:color w:val="231F20"/>
          <w:spacing w:val="-11"/>
          <w:sz w:val="20"/>
        </w:rPr>
        <w:t xml:space="preserve"> </w:t>
      </w:r>
      <w:r>
        <w:rPr>
          <w:color w:val="231F20"/>
          <w:sz w:val="20"/>
        </w:rPr>
        <w:t>legal</w:t>
      </w:r>
      <w:r>
        <w:rPr>
          <w:color w:val="231F20"/>
          <w:spacing w:val="-12"/>
          <w:sz w:val="20"/>
        </w:rPr>
        <w:t xml:space="preserve"> </w:t>
      </w:r>
      <w:r>
        <w:rPr>
          <w:color w:val="231F20"/>
          <w:sz w:val="20"/>
        </w:rPr>
        <w:t>responses</w:t>
      </w:r>
      <w:r>
        <w:rPr>
          <w:color w:val="231F20"/>
          <w:spacing w:val="-11"/>
          <w:sz w:val="20"/>
        </w:rPr>
        <w:t xml:space="preserve"> </w:t>
      </w:r>
      <w:r>
        <w:rPr>
          <w:color w:val="231F20"/>
          <w:sz w:val="20"/>
        </w:rPr>
        <w:t>to</w:t>
      </w:r>
      <w:r>
        <w:rPr>
          <w:color w:val="231F20"/>
          <w:spacing w:val="-11"/>
          <w:sz w:val="20"/>
        </w:rPr>
        <w:t xml:space="preserve"> </w:t>
      </w:r>
      <w:r>
        <w:rPr>
          <w:color w:val="231F20"/>
          <w:sz w:val="20"/>
        </w:rPr>
        <w:t>stalking,</w:t>
      </w:r>
      <w:r>
        <w:rPr>
          <w:color w:val="231F20"/>
          <w:spacing w:val="-12"/>
          <w:sz w:val="20"/>
        </w:rPr>
        <w:t xml:space="preserve"> </w:t>
      </w:r>
      <w:r>
        <w:rPr>
          <w:color w:val="231F20"/>
          <w:sz w:val="20"/>
        </w:rPr>
        <w:t>it</w:t>
      </w:r>
      <w:r>
        <w:rPr>
          <w:color w:val="231F20"/>
          <w:spacing w:val="-11"/>
          <w:sz w:val="20"/>
        </w:rPr>
        <w:t xml:space="preserve"> </w:t>
      </w:r>
      <w:r>
        <w:rPr>
          <w:color w:val="231F20"/>
          <w:sz w:val="20"/>
        </w:rPr>
        <w:t>might</w:t>
      </w:r>
      <w:r>
        <w:rPr>
          <w:color w:val="231F20"/>
          <w:spacing w:val="-12"/>
          <w:sz w:val="20"/>
        </w:rPr>
        <w:t xml:space="preserve"> </w:t>
      </w:r>
      <w:r>
        <w:rPr>
          <w:color w:val="231F20"/>
          <w:sz w:val="20"/>
        </w:rPr>
        <w:t>be</w:t>
      </w:r>
      <w:r>
        <w:rPr>
          <w:color w:val="231F20"/>
          <w:spacing w:val="-11"/>
          <w:sz w:val="20"/>
        </w:rPr>
        <w:t xml:space="preserve"> </w:t>
      </w:r>
      <w:r>
        <w:rPr>
          <w:color w:val="231F20"/>
          <w:sz w:val="20"/>
        </w:rPr>
        <w:t xml:space="preserve">difficult </w:t>
      </w:r>
      <w:r>
        <w:rPr>
          <w:color w:val="231F20"/>
          <w:spacing w:val="-3"/>
          <w:sz w:val="20"/>
        </w:rPr>
        <w:t>for</w:t>
      </w:r>
      <w:r>
        <w:rPr>
          <w:color w:val="231F20"/>
          <w:spacing w:val="-9"/>
          <w:sz w:val="20"/>
        </w:rPr>
        <w:t xml:space="preserve"> </w:t>
      </w:r>
      <w:r>
        <w:rPr>
          <w:color w:val="231F20"/>
          <w:sz w:val="20"/>
        </w:rPr>
        <w:t>people</w:t>
      </w:r>
      <w:r>
        <w:rPr>
          <w:color w:val="231F20"/>
          <w:spacing w:val="-9"/>
          <w:sz w:val="20"/>
        </w:rPr>
        <w:t xml:space="preserve"> </w:t>
      </w:r>
      <w:r>
        <w:rPr>
          <w:color w:val="231F20"/>
          <w:sz w:val="20"/>
        </w:rPr>
        <w:t>working</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8"/>
          <w:sz w:val="20"/>
        </w:rPr>
        <w:t xml:space="preserve"> </w:t>
      </w:r>
      <w:r>
        <w:rPr>
          <w:color w:val="231F20"/>
          <w:sz w:val="20"/>
        </w:rPr>
        <w:t>justice</w:t>
      </w:r>
      <w:r>
        <w:rPr>
          <w:color w:val="231F20"/>
          <w:spacing w:val="-9"/>
          <w:sz w:val="20"/>
        </w:rPr>
        <w:t xml:space="preserve"> </w:t>
      </w:r>
      <w:r>
        <w:rPr>
          <w:color w:val="231F20"/>
          <w:spacing w:val="-2"/>
          <w:sz w:val="20"/>
        </w:rPr>
        <w:t>system</w:t>
      </w:r>
      <w:r>
        <w:rPr>
          <w:color w:val="231F20"/>
          <w:spacing w:val="-9"/>
          <w:sz w:val="20"/>
        </w:rPr>
        <w:t xml:space="preserve"> </w:t>
      </w:r>
      <w:r>
        <w:rPr>
          <w:color w:val="231F20"/>
          <w:sz w:val="20"/>
        </w:rPr>
        <w:t>to</w:t>
      </w:r>
      <w:r>
        <w:rPr>
          <w:color w:val="231F20"/>
          <w:spacing w:val="-9"/>
          <w:sz w:val="20"/>
        </w:rPr>
        <w:t xml:space="preserve"> </w:t>
      </w:r>
      <w:r>
        <w:rPr>
          <w:color w:val="231F20"/>
          <w:sz w:val="20"/>
        </w:rPr>
        <w:t>decide</w:t>
      </w:r>
      <w:r>
        <w:rPr>
          <w:color w:val="231F20"/>
          <w:spacing w:val="-9"/>
          <w:sz w:val="20"/>
        </w:rPr>
        <w:t xml:space="preserve"> </w:t>
      </w:r>
      <w:r>
        <w:rPr>
          <w:color w:val="231F20"/>
          <w:sz w:val="20"/>
        </w:rPr>
        <w:t>which</w:t>
      </w:r>
      <w:r>
        <w:rPr>
          <w:color w:val="231F20"/>
          <w:spacing w:val="-8"/>
          <w:sz w:val="20"/>
        </w:rPr>
        <w:t xml:space="preserve"> </w:t>
      </w:r>
      <w:r>
        <w:rPr>
          <w:color w:val="231F20"/>
          <w:sz w:val="20"/>
        </w:rPr>
        <w:t>option</w:t>
      </w:r>
      <w:r>
        <w:rPr>
          <w:color w:val="231F20"/>
          <w:spacing w:val="-9"/>
          <w:sz w:val="20"/>
        </w:rPr>
        <w:t xml:space="preserve"> </w:t>
      </w:r>
      <w:r>
        <w:rPr>
          <w:color w:val="231F20"/>
          <w:sz w:val="20"/>
        </w:rPr>
        <w:t>is</w:t>
      </w:r>
      <w:r>
        <w:rPr>
          <w:color w:val="231F20"/>
          <w:spacing w:val="-9"/>
          <w:sz w:val="20"/>
        </w:rPr>
        <w:t xml:space="preserve"> </w:t>
      </w:r>
      <w:r>
        <w:rPr>
          <w:color w:val="231F20"/>
          <w:sz w:val="20"/>
        </w:rPr>
        <w:t>most</w:t>
      </w:r>
      <w:r>
        <w:rPr>
          <w:color w:val="231F20"/>
          <w:spacing w:val="-9"/>
          <w:sz w:val="20"/>
        </w:rPr>
        <w:t xml:space="preserve"> </w:t>
      </w:r>
      <w:r>
        <w:rPr>
          <w:color w:val="231F20"/>
          <w:sz w:val="20"/>
        </w:rPr>
        <w:t>suitable</w:t>
      </w:r>
      <w:r>
        <w:rPr>
          <w:color w:val="231F20"/>
          <w:spacing w:val="-9"/>
          <w:sz w:val="20"/>
        </w:rPr>
        <w:t xml:space="preserve"> </w:t>
      </w:r>
      <w:r>
        <w:rPr>
          <w:color w:val="231F20"/>
          <w:sz w:val="20"/>
        </w:rPr>
        <w:t>in a</w:t>
      </w:r>
      <w:r>
        <w:rPr>
          <w:color w:val="231F20"/>
          <w:spacing w:val="-7"/>
          <w:sz w:val="20"/>
        </w:rPr>
        <w:t xml:space="preserve"> </w:t>
      </w:r>
      <w:r>
        <w:rPr>
          <w:color w:val="231F20"/>
          <w:sz w:val="20"/>
        </w:rPr>
        <w:t>particular</w:t>
      </w:r>
      <w:r>
        <w:rPr>
          <w:color w:val="231F20"/>
          <w:spacing w:val="-6"/>
          <w:sz w:val="20"/>
        </w:rPr>
        <w:t xml:space="preserve"> </w:t>
      </w:r>
      <w:r>
        <w:rPr>
          <w:color w:val="231F20"/>
          <w:sz w:val="20"/>
        </w:rPr>
        <w:t>case.</w:t>
      </w:r>
      <w:r>
        <w:rPr>
          <w:color w:val="231F20"/>
          <w:spacing w:val="-7"/>
          <w:sz w:val="20"/>
        </w:rPr>
        <w:t xml:space="preserve"> </w:t>
      </w:r>
      <w:r>
        <w:rPr>
          <w:color w:val="231F20"/>
          <w:spacing w:val="-3"/>
          <w:sz w:val="20"/>
        </w:rPr>
        <w:t>Education</w:t>
      </w:r>
      <w:r>
        <w:rPr>
          <w:color w:val="231F20"/>
          <w:spacing w:val="-6"/>
          <w:sz w:val="20"/>
        </w:rPr>
        <w:t xml:space="preserve"> </w:t>
      </w:r>
      <w:r>
        <w:rPr>
          <w:color w:val="231F20"/>
          <w:sz w:val="20"/>
        </w:rPr>
        <w:t>should</w:t>
      </w:r>
      <w:r>
        <w:rPr>
          <w:color w:val="231F20"/>
          <w:spacing w:val="-7"/>
          <w:sz w:val="20"/>
        </w:rPr>
        <w:t xml:space="preserve"> </w:t>
      </w:r>
      <w:r>
        <w:rPr>
          <w:color w:val="231F20"/>
          <w:spacing w:val="-4"/>
          <w:sz w:val="20"/>
        </w:rPr>
        <w:t>cover</w:t>
      </w:r>
      <w:r>
        <w:rPr>
          <w:color w:val="231F20"/>
          <w:spacing w:val="-6"/>
          <w:sz w:val="20"/>
        </w:rPr>
        <w:t xml:space="preserve"> </w:t>
      </w:r>
      <w:r>
        <w:rPr>
          <w:color w:val="231F20"/>
          <w:sz w:val="20"/>
        </w:rPr>
        <w:t>the</w:t>
      </w:r>
      <w:r>
        <w:rPr>
          <w:color w:val="231F20"/>
          <w:spacing w:val="-7"/>
          <w:sz w:val="20"/>
        </w:rPr>
        <w:t xml:space="preserve"> </w:t>
      </w:r>
      <w:r>
        <w:rPr>
          <w:color w:val="231F20"/>
          <w:spacing w:val="-3"/>
          <w:sz w:val="20"/>
        </w:rPr>
        <w:t>different</w:t>
      </w:r>
      <w:r>
        <w:rPr>
          <w:color w:val="231F20"/>
          <w:spacing w:val="-6"/>
          <w:sz w:val="20"/>
        </w:rPr>
        <w:t xml:space="preserve"> </w:t>
      </w:r>
      <w:r>
        <w:rPr>
          <w:color w:val="231F20"/>
          <w:sz w:val="20"/>
        </w:rPr>
        <w:t>options</w:t>
      </w:r>
      <w:r>
        <w:rPr>
          <w:color w:val="231F20"/>
          <w:spacing w:val="-7"/>
          <w:sz w:val="20"/>
        </w:rPr>
        <w:t xml:space="preserve"> </w:t>
      </w:r>
      <w:r>
        <w:rPr>
          <w:color w:val="231F20"/>
          <w:sz w:val="20"/>
        </w:rPr>
        <w:t>and</w:t>
      </w:r>
      <w:r>
        <w:rPr>
          <w:color w:val="231F20"/>
          <w:spacing w:val="-6"/>
          <w:sz w:val="20"/>
        </w:rPr>
        <w:t xml:space="preserve"> </w:t>
      </w:r>
      <w:r>
        <w:rPr>
          <w:color w:val="231F20"/>
          <w:spacing w:val="-4"/>
          <w:sz w:val="20"/>
        </w:rPr>
        <w:t>pathways</w:t>
      </w:r>
      <w:r>
        <w:rPr>
          <w:color w:val="231F20"/>
          <w:spacing w:val="-6"/>
          <w:sz w:val="20"/>
        </w:rPr>
        <w:t xml:space="preserve"> </w:t>
      </w:r>
      <w:r>
        <w:rPr>
          <w:color w:val="231F20"/>
          <w:sz w:val="20"/>
        </w:rPr>
        <w:t>in</w:t>
      </w:r>
      <w:r>
        <w:rPr>
          <w:color w:val="231F20"/>
          <w:spacing w:val="-7"/>
          <w:sz w:val="20"/>
        </w:rPr>
        <w:t xml:space="preserve"> </w:t>
      </w:r>
      <w:r>
        <w:rPr>
          <w:color w:val="231F20"/>
          <w:sz w:val="20"/>
        </w:rPr>
        <w:t>the justice</w:t>
      </w:r>
      <w:r>
        <w:rPr>
          <w:color w:val="231F20"/>
          <w:spacing w:val="-6"/>
          <w:sz w:val="20"/>
        </w:rPr>
        <w:t xml:space="preserve"> </w:t>
      </w:r>
      <w:r>
        <w:rPr>
          <w:color w:val="231F20"/>
          <w:spacing w:val="-2"/>
          <w:sz w:val="20"/>
        </w:rPr>
        <w:t>system</w:t>
      </w:r>
      <w:r>
        <w:rPr>
          <w:color w:val="231F20"/>
          <w:spacing w:val="-5"/>
          <w:sz w:val="20"/>
        </w:rPr>
        <w:t xml:space="preserve"> </w:t>
      </w:r>
      <w:r>
        <w:rPr>
          <w:color w:val="231F20"/>
          <w:sz w:val="20"/>
        </w:rPr>
        <w:t>and</w:t>
      </w:r>
      <w:r>
        <w:rPr>
          <w:color w:val="231F20"/>
          <w:spacing w:val="-5"/>
          <w:sz w:val="20"/>
        </w:rPr>
        <w:t xml:space="preserve"> </w:t>
      </w:r>
      <w:r>
        <w:rPr>
          <w:color w:val="231F20"/>
          <w:spacing w:val="-3"/>
          <w:sz w:val="20"/>
        </w:rPr>
        <w:t>give</w:t>
      </w:r>
      <w:r>
        <w:rPr>
          <w:color w:val="231F20"/>
          <w:spacing w:val="-5"/>
          <w:sz w:val="20"/>
        </w:rPr>
        <w:t xml:space="preserve"> </w:t>
      </w:r>
      <w:r>
        <w:rPr>
          <w:color w:val="231F20"/>
          <w:sz w:val="20"/>
        </w:rPr>
        <w:t>people</w:t>
      </w:r>
      <w:r>
        <w:rPr>
          <w:color w:val="231F20"/>
          <w:spacing w:val="-5"/>
          <w:sz w:val="20"/>
        </w:rPr>
        <w:t xml:space="preserve"> </w:t>
      </w:r>
      <w:r>
        <w:rPr>
          <w:color w:val="231F20"/>
          <w:sz w:val="20"/>
        </w:rPr>
        <w:t>enough</w:t>
      </w:r>
      <w:r>
        <w:rPr>
          <w:color w:val="231F20"/>
          <w:spacing w:val="-5"/>
          <w:sz w:val="20"/>
        </w:rPr>
        <w:t xml:space="preserve"> </w:t>
      </w:r>
      <w:r>
        <w:rPr>
          <w:color w:val="231F20"/>
          <w:spacing w:val="-3"/>
          <w:sz w:val="20"/>
        </w:rPr>
        <w:t>information</w:t>
      </w:r>
      <w:r>
        <w:rPr>
          <w:color w:val="231F20"/>
          <w:spacing w:val="-5"/>
          <w:sz w:val="20"/>
        </w:rPr>
        <w:t xml:space="preserve"> </w:t>
      </w:r>
      <w:r>
        <w:rPr>
          <w:color w:val="231F20"/>
          <w:sz w:val="20"/>
        </w:rPr>
        <w:t>to</w:t>
      </w:r>
      <w:r>
        <w:rPr>
          <w:color w:val="231F20"/>
          <w:spacing w:val="-5"/>
          <w:sz w:val="20"/>
        </w:rPr>
        <w:t xml:space="preserve"> </w:t>
      </w:r>
      <w:proofErr w:type="gramStart"/>
      <w:r>
        <w:rPr>
          <w:color w:val="231F20"/>
          <w:sz w:val="20"/>
        </w:rPr>
        <w:t>make</w:t>
      </w:r>
      <w:r>
        <w:rPr>
          <w:color w:val="231F20"/>
          <w:spacing w:val="-5"/>
          <w:sz w:val="20"/>
        </w:rPr>
        <w:t xml:space="preserve"> </w:t>
      </w:r>
      <w:r>
        <w:rPr>
          <w:color w:val="231F20"/>
          <w:sz w:val="20"/>
        </w:rPr>
        <w:t>a</w:t>
      </w:r>
      <w:r>
        <w:rPr>
          <w:color w:val="231F20"/>
          <w:spacing w:val="-5"/>
          <w:sz w:val="20"/>
        </w:rPr>
        <w:t xml:space="preserve"> </w:t>
      </w:r>
      <w:r>
        <w:rPr>
          <w:color w:val="231F20"/>
          <w:sz w:val="20"/>
        </w:rPr>
        <w:t>decision</w:t>
      </w:r>
      <w:proofErr w:type="gramEnd"/>
      <w:r>
        <w:rPr>
          <w:color w:val="231F20"/>
          <w:sz w:val="20"/>
        </w:rPr>
        <w:t>.</w:t>
      </w:r>
    </w:p>
    <w:p w14:paraId="1CFEC8B4" w14:textId="77777777" w:rsidR="00894070" w:rsidRDefault="009B7AFD">
      <w:pPr>
        <w:pStyle w:val="ListParagraph"/>
        <w:numPr>
          <w:ilvl w:val="1"/>
          <w:numId w:val="177"/>
        </w:numPr>
        <w:tabs>
          <w:tab w:val="left" w:pos="1801"/>
          <w:tab w:val="left" w:pos="1802"/>
        </w:tabs>
        <w:spacing w:before="93"/>
        <w:rPr>
          <w:sz w:val="20"/>
        </w:rPr>
      </w:pPr>
      <w:r>
        <w:rPr>
          <w:color w:val="231F20"/>
          <w:sz w:val="20"/>
        </w:rPr>
        <w:t>This should</w:t>
      </w:r>
      <w:r>
        <w:rPr>
          <w:color w:val="231F20"/>
          <w:spacing w:val="-9"/>
          <w:sz w:val="20"/>
        </w:rPr>
        <w:t xml:space="preserve"> </w:t>
      </w:r>
      <w:r>
        <w:rPr>
          <w:color w:val="231F20"/>
          <w:spacing w:val="-3"/>
          <w:sz w:val="20"/>
        </w:rPr>
        <w:t>include:</w:t>
      </w:r>
    </w:p>
    <w:p w14:paraId="75666233" w14:textId="77777777" w:rsidR="00894070" w:rsidRDefault="009B7AFD">
      <w:pPr>
        <w:pStyle w:val="ListParagraph"/>
        <w:numPr>
          <w:ilvl w:val="2"/>
          <w:numId w:val="177"/>
        </w:numPr>
        <w:tabs>
          <w:tab w:val="left" w:pos="2141"/>
          <w:tab w:val="left" w:pos="2142"/>
        </w:tabs>
        <w:spacing w:before="114" w:line="206" w:lineRule="auto"/>
        <w:ind w:right="1254" w:hanging="340"/>
        <w:rPr>
          <w:sz w:val="20"/>
        </w:rPr>
      </w:pPr>
      <w:r>
        <w:rPr>
          <w:color w:val="231F20"/>
          <w:sz w:val="20"/>
        </w:rPr>
        <w:t>support</w:t>
      </w:r>
      <w:r>
        <w:rPr>
          <w:color w:val="231F20"/>
          <w:spacing w:val="-12"/>
          <w:sz w:val="20"/>
        </w:rPr>
        <w:t xml:space="preserve"> </w:t>
      </w:r>
      <w:r>
        <w:rPr>
          <w:color w:val="231F20"/>
          <w:sz w:val="20"/>
        </w:rPr>
        <w:t>and</w:t>
      </w:r>
      <w:r>
        <w:rPr>
          <w:color w:val="231F20"/>
          <w:spacing w:val="-11"/>
          <w:sz w:val="20"/>
        </w:rPr>
        <w:t xml:space="preserve"> </w:t>
      </w:r>
      <w:r>
        <w:rPr>
          <w:color w:val="231F20"/>
          <w:sz w:val="20"/>
        </w:rPr>
        <w:t>justice</w:t>
      </w:r>
      <w:r>
        <w:rPr>
          <w:color w:val="231F20"/>
          <w:spacing w:val="-12"/>
          <w:sz w:val="20"/>
        </w:rPr>
        <w:t xml:space="preserve"> </w:t>
      </w:r>
      <w:r>
        <w:rPr>
          <w:color w:val="231F20"/>
          <w:sz w:val="20"/>
        </w:rPr>
        <w:t>options</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stalking</w:t>
      </w:r>
      <w:r>
        <w:rPr>
          <w:color w:val="231F20"/>
          <w:spacing w:val="-12"/>
          <w:sz w:val="20"/>
        </w:rPr>
        <w:t xml:space="preserve"> </w:t>
      </w:r>
      <w:r>
        <w:rPr>
          <w:color w:val="231F20"/>
          <w:sz w:val="20"/>
        </w:rPr>
        <w:t>victim</w:t>
      </w:r>
      <w:r>
        <w:rPr>
          <w:color w:val="231F20"/>
          <w:spacing w:val="-11"/>
          <w:sz w:val="20"/>
        </w:rPr>
        <w:t xml:space="preserve"> </w:t>
      </w:r>
      <w:r>
        <w:rPr>
          <w:color w:val="231F20"/>
          <w:sz w:val="20"/>
        </w:rPr>
        <w:t>survivors,</w:t>
      </w:r>
      <w:r>
        <w:rPr>
          <w:color w:val="231F20"/>
          <w:spacing w:val="-11"/>
          <w:sz w:val="20"/>
        </w:rPr>
        <w:t xml:space="preserve"> </w:t>
      </w:r>
      <w:r>
        <w:rPr>
          <w:color w:val="231F20"/>
          <w:sz w:val="20"/>
        </w:rPr>
        <w:t>including</w:t>
      </w:r>
      <w:r>
        <w:rPr>
          <w:color w:val="231F20"/>
          <w:spacing w:val="-12"/>
          <w:sz w:val="20"/>
        </w:rPr>
        <w:t xml:space="preserve"> </w:t>
      </w:r>
      <w:r>
        <w:rPr>
          <w:color w:val="231F20"/>
          <w:spacing w:val="-3"/>
          <w:sz w:val="20"/>
        </w:rPr>
        <w:t>for</w:t>
      </w:r>
      <w:r>
        <w:rPr>
          <w:color w:val="231F20"/>
          <w:spacing w:val="-11"/>
          <w:sz w:val="20"/>
        </w:rPr>
        <w:t xml:space="preserve"> </w:t>
      </w:r>
      <w:r>
        <w:rPr>
          <w:color w:val="231F20"/>
          <w:sz w:val="20"/>
        </w:rPr>
        <w:t xml:space="preserve">cyberstalking (see </w:t>
      </w:r>
      <w:r>
        <w:rPr>
          <w:color w:val="231F20"/>
          <w:spacing w:val="-3"/>
          <w:sz w:val="20"/>
        </w:rPr>
        <w:t>Chapter</w:t>
      </w:r>
      <w:r>
        <w:rPr>
          <w:color w:val="231F20"/>
          <w:spacing w:val="-8"/>
          <w:sz w:val="20"/>
        </w:rPr>
        <w:t xml:space="preserve"> </w:t>
      </w:r>
      <w:r>
        <w:rPr>
          <w:color w:val="231F20"/>
          <w:sz w:val="20"/>
        </w:rPr>
        <w:t>3)</w:t>
      </w:r>
    </w:p>
    <w:p w14:paraId="73D2434C" w14:textId="77777777" w:rsidR="00894070" w:rsidRDefault="009F6793">
      <w:pPr>
        <w:pStyle w:val="BodyText"/>
        <w:spacing w:before="4"/>
        <w:rPr>
          <w:sz w:val="15"/>
        </w:rPr>
      </w:pPr>
      <w:r>
        <w:pict w14:anchorId="770ED6A4">
          <v:line id="_x0000_s1465" style="position:absolute;z-index:251570176;mso-wrap-distance-left:0;mso-wrap-distance-right:0;mso-position-horizontal-relative:page" from="79.35pt,13.1pt" to="515.9pt,13.1pt" strokecolor="#f8cabc" strokeweight="1pt">
            <w10:wrap type="topAndBottom" anchorx="page"/>
          </v:line>
        </w:pict>
      </w:r>
    </w:p>
    <w:p w14:paraId="646CB5B7" w14:textId="77777777" w:rsidR="00894070" w:rsidRDefault="009B7AFD">
      <w:pPr>
        <w:pStyle w:val="ListParagraph"/>
        <w:numPr>
          <w:ilvl w:val="0"/>
          <w:numId w:val="134"/>
        </w:numPr>
        <w:tabs>
          <w:tab w:val="left" w:pos="1801"/>
          <w:tab w:val="left" w:pos="1802"/>
        </w:tabs>
        <w:spacing w:before="107" w:line="213" w:lineRule="auto"/>
        <w:ind w:right="1281"/>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 xml:space="preserve">of Crime Commissioner); Judicial College of Victoria, </w:t>
      </w:r>
      <w:r>
        <w:rPr>
          <w:i/>
          <w:color w:val="231F20"/>
          <w:sz w:val="13"/>
        </w:rPr>
        <w:t xml:space="preserve">Victims of Crime in the Courtroom: A Guide for    Judicial Officers </w:t>
      </w:r>
      <w:r>
        <w:rPr>
          <w:color w:val="231F20"/>
          <w:sz w:val="13"/>
        </w:rPr>
        <w:t xml:space="preserve">(Online Guide, 2019) </w:t>
      </w:r>
      <w:r>
        <w:rPr>
          <w:color w:val="231F20"/>
          <w:spacing w:val="3"/>
          <w:sz w:val="13"/>
        </w:rPr>
        <w:t xml:space="preserve">3–5, </w:t>
      </w:r>
      <w:r>
        <w:rPr>
          <w:color w:val="231F20"/>
          <w:sz w:val="13"/>
        </w:rPr>
        <w:t>no</w:t>
      </w:r>
      <w:hyperlink r:id="rId129">
        <w:r>
          <w:rPr>
            <w:color w:val="231F20"/>
            <w:sz w:val="13"/>
          </w:rPr>
          <w:t>te 2 &lt;https://www.judicialcollege.vic.edu.au/resources/victims-crime-courtroom</w:t>
        </w:r>
      </w:hyperlink>
      <w:r>
        <w:rPr>
          <w:color w:val="231F20"/>
          <w:sz w:val="13"/>
        </w:rPr>
        <w:t xml:space="preserve">&gt;. See generally Cathy Kezelman and Pam Stavropoulos, </w:t>
      </w:r>
      <w:proofErr w:type="gramStart"/>
      <w:r>
        <w:rPr>
          <w:i/>
          <w:color w:val="231F20"/>
          <w:sz w:val="13"/>
        </w:rPr>
        <w:t>Trauma</w:t>
      </w:r>
      <w:proofErr w:type="gramEnd"/>
      <w:r>
        <w:rPr>
          <w:i/>
          <w:color w:val="231F20"/>
          <w:sz w:val="13"/>
        </w:rPr>
        <w:t xml:space="preserve"> and the Law: Applying Trauma-Informed Practice to Legal and Judicial Contexts </w:t>
      </w:r>
      <w:r>
        <w:rPr>
          <w:color w:val="231F20"/>
          <w:sz w:val="13"/>
        </w:rPr>
        <w:t xml:space="preserve">(Background Paper, Blue Knot Foundation, 2016); Nicole C McKenna and </w:t>
      </w:r>
      <w:r>
        <w:rPr>
          <w:color w:val="231F20"/>
          <w:spacing w:val="2"/>
          <w:sz w:val="13"/>
        </w:rPr>
        <w:t xml:space="preserve">Kristy </w:t>
      </w:r>
      <w:r>
        <w:rPr>
          <w:color w:val="231F20"/>
          <w:sz w:val="13"/>
        </w:rPr>
        <w:t xml:space="preserve">Holtfreter, ‘Trauma-Informed </w:t>
      </w:r>
      <w:r>
        <w:rPr>
          <w:color w:val="231F20"/>
          <w:spacing w:val="2"/>
          <w:sz w:val="13"/>
        </w:rPr>
        <w:t xml:space="preserve">Courts: </w:t>
      </w:r>
      <w:r>
        <w:rPr>
          <w:color w:val="231F20"/>
          <w:sz w:val="13"/>
        </w:rPr>
        <w:t xml:space="preserve">A Review and Integration of Justice Perspectives and </w:t>
      </w:r>
      <w:r>
        <w:rPr>
          <w:color w:val="231F20"/>
          <w:spacing w:val="2"/>
          <w:sz w:val="13"/>
        </w:rPr>
        <w:t xml:space="preserve">Gender </w:t>
      </w:r>
      <w:r>
        <w:rPr>
          <w:color w:val="231F20"/>
          <w:sz w:val="13"/>
        </w:rPr>
        <w:t xml:space="preserve">Responsiveness’ (2021) </w:t>
      </w:r>
      <w:r>
        <w:rPr>
          <w:color w:val="231F20"/>
          <w:spacing w:val="2"/>
          <w:sz w:val="13"/>
        </w:rPr>
        <w:t xml:space="preserve">30(4) </w:t>
      </w:r>
      <w:r>
        <w:rPr>
          <w:i/>
          <w:color w:val="231F20"/>
          <w:sz w:val="13"/>
        </w:rPr>
        <w:t>Journal of Aggression, Maltreatment and Trauma</w:t>
      </w:r>
      <w:r>
        <w:rPr>
          <w:i/>
          <w:color w:val="231F20"/>
          <w:spacing w:val="-1"/>
          <w:sz w:val="13"/>
        </w:rPr>
        <w:t xml:space="preserve"> </w:t>
      </w:r>
      <w:r>
        <w:rPr>
          <w:color w:val="231F20"/>
          <w:sz w:val="13"/>
        </w:rPr>
        <w:t>450.</w:t>
      </w:r>
    </w:p>
    <w:p w14:paraId="3984181B" w14:textId="77777777" w:rsidR="00894070" w:rsidRDefault="009B7AFD">
      <w:pPr>
        <w:pStyle w:val="ListParagraph"/>
        <w:numPr>
          <w:ilvl w:val="0"/>
          <w:numId w:val="134"/>
        </w:numPr>
        <w:tabs>
          <w:tab w:val="left" w:pos="1800"/>
          <w:tab w:val="left" w:pos="1802"/>
        </w:tabs>
        <w:spacing w:line="213" w:lineRule="auto"/>
        <w:ind w:right="1340"/>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 xml:space="preserve">Hinch’s Justice Party). See </w:t>
      </w:r>
      <w:r>
        <w:rPr>
          <w:color w:val="231F20"/>
          <w:spacing w:val="2"/>
          <w:sz w:val="13"/>
        </w:rPr>
        <w:t xml:space="preserve">also </w:t>
      </w:r>
      <w:r>
        <w:rPr>
          <w:color w:val="231F20"/>
          <w:sz w:val="13"/>
        </w:rPr>
        <w:t xml:space="preserve">Victorian Law Reform </w:t>
      </w:r>
      <w:r>
        <w:rPr>
          <w:color w:val="231F20"/>
          <w:spacing w:val="2"/>
          <w:sz w:val="13"/>
        </w:rPr>
        <w:t xml:space="preserve">Commission, </w:t>
      </w:r>
      <w:r>
        <w:rPr>
          <w:i/>
          <w:color w:val="231F20"/>
          <w:sz w:val="13"/>
        </w:rPr>
        <w:t xml:space="preserve">The Role of Victims of Crime in the Criminal Trial Process </w:t>
      </w:r>
      <w:r>
        <w:rPr>
          <w:color w:val="231F20"/>
          <w:spacing w:val="2"/>
          <w:sz w:val="13"/>
        </w:rPr>
        <w:t xml:space="preserve">(Report </w:t>
      </w:r>
      <w:r>
        <w:rPr>
          <w:color w:val="231F20"/>
          <w:sz w:val="13"/>
        </w:rPr>
        <w:t xml:space="preserve">No </w:t>
      </w:r>
      <w:r>
        <w:rPr>
          <w:color w:val="231F20"/>
          <w:spacing w:val="3"/>
          <w:sz w:val="13"/>
        </w:rPr>
        <w:t xml:space="preserve">34, </w:t>
      </w:r>
      <w:r>
        <w:rPr>
          <w:color w:val="231F20"/>
          <w:sz w:val="13"/>
        </w:rPr>
        <w:t xml:space="preserve">August 2016) </w:t>
      </w:r>
      <w:r>
        <w:rPr>
          <w:color w:val="231F20"/>
          <w:spacing w:val="2"/>
          <w:sz w:val="13"/>
        </w:rPr>
        <w:t xml:space="preserve">196–291. </w:t>
      </w:r>
      <w:r>
        <w:rPr>
          <w:color w:val="231F20"/>
          <w:sz w:val="13"/>
        </w:rPr>
        <w:t xml:space="preserve">The Royal </w:t>
      </w:r>
      <w:r>
        <w:rPr>
          <w:color w:val="231F20"/>
          <w:spacing w:val="2"/>
          <w:sz w:val="13"/>
        </w:rPr>
        <w:t xml:space="preserve">Commission </w:t>
      </w:r>
      <w:r>
        <w:rPr>
          <w:color w:val="231F20"/>
          <w:sz w:val="13"/>
        </w:rPr>
        <w:t xml:space="preserve">into Victoria’s Mental Health System </w:t>
      </w:r>
      <w:r>
        <w:rPr>
          <w:color w:val="231F20"/>
          <w:spacing w:val="2"/>
          <w:sz w:val="13"/>
        </w:rPr>
        <w:t xml:space="preserve">also </w:t>
      </w:r>
      <w:r>
        <w:rPr>
          <w:color w:val="231F20"/>
          <w:sz w:val="13"/>
        </w:rPr>
        <w:t xml:space="preserve">recommended education and training to </w:t>
      </w:r>
      <w:r>
        <w:rPr>
          <w:color w:val="231F20"/>
          <w:spacing w:val="2"/>
          <w:sz w:val="13"/>
        </w:rPr>
        <w:t xml:space="preserve">support </w:t>
      </w:r>
      <w:r>
        <w:rPr>
          <w:color w:val="231F20"/>
          <w:sz w:val="13"/>
        </w:rPr>
        <w:t xml:space="preserve">the mental health and wellbeing workforce to deliver trauma-informed care: </w:t>
      </w:r>
      <w:r>
        <w:rPr>
          <w:i/>
          <w:color w:val="231F20"/>
          <w:sz w:val="13"/>
        </w:rPr>
        <w:t xml:space="preserve">Royal Commission into Victoria’s Mental Health System </w:t>
      </w:r>
      <w:r>
        <w:rPr>
          <w:color w:val="231F20"/>
          <w:sz w:val="13"/>
        </w:rPr>
        <w:t xml:space="preserve">(Final </w:t>
      </w:r>
      <w:r>
        <w:rPr>
          <w:color w:val="231F20"/>
          <w:spacing w:val="2"/>
          <w:sz w:val="13"/>
        </w:rPr>
        <w:t xml:space="preserve">Report, </w:t>
      </w:r>
      <w:r>
        <w:rPr>
          <w:color w:val="231F20"/>
          <w:sz w:val="13"/>
        </w:rPr>
        <w:t>February 2021) Recommendation</w:t>
      </w:r>
      <w:r>
        <w:rPr>
          <w:color w:val="231F20"/>
          <w:spacing w:val="25"/>
          <w:sz w:val="13"/>
        </w:rPr>
        <w:t xml:space="preserve"> </w:t>
      </w:r>
      <w:r>
        <w:rPr>
          <w:color w:val="231F20"/>
          <w:sz w:val="13"/>
        </w:rPr>
        <w:t>2(b).</w:t>
      </w:r>
    </w:p>
    <w:p w14:paraId="1B9D897F" w14:textId="77777777" w:rsidR="00894070" w:rsidRDefault="009B7AFD">
      <w:pPr>
        <w:pStyle w:val="ListParagraph"/>
        <w:numPr>
          <w:ilvl w:val="0"/>
          <w:numId w:val="134"/>
        </w:numPr>
        <w:tabs>
          <w:tab w:val="left" w:pos="1801"/>
          <w:tab w:val="left" w:pos="1802"/>
        </w:tabs>
        <w:spacing w:line="213" w:lineRule="auto"/>
        <w:ind w:right="1314"/>
        <w:rPr>
          <w:sz w:val="13"/>
        </w:rPr>
      </w:pPr>
      <w:r>
        <w:rPr>
          <w:color w:val="231F20"/>
          <w:sz w:val="13"/>
        </w:rPr>
        <w:t xml:space="preserve">The study identified a range of pre-training beliefs held by some </w:t>
      </w:r>
      <w:r>
        <w:rPr>
          <w:color w:val="231F20"/>
          <w:spacing w:val="2"/>
          <w:sz w:val="13"/>
        </w:rPr>
        <w:t xml:space="preserve">participants </w:t>
      </w:r>
      <w:r>
        <w:rPr>
          <w:color w:val="231F20"/>
          <w:sz w:val="13"/>
        </w:rPr>
        <w:t xml:space="preserve">that were at odds with </w:t>
      </w:r>
      <w:r>
        <w:rPr>
          <w:color w:val="231F20"/>
          <w:spacing w:val="2"/>
          <w:sz w:val="13"/>
        </w:rPr>
        <w:t xml:space="preserve">‘the </w:t>
      </w:r>
      <w:r>
        <w:rPr>
          <w:color w:val="231F20"/>
          <w:sz w:val="13"/>
        </w:rPr>
        <w:t>prevailing research literature’, such as ‘Stalkers who are strangers to their targets are more dangerous than known stalkers.’ We have referred to these beliefs as ‘</w:t>
      </w:r>
      <w:proofErr w:type="gramStart"/>
      <w:r>
        <w:rPr>
          <w:color w:val="231F20"/>
          <w:sz w:val="13"/>
        </w:rPr>
        <w:t>myths’</w:t>
      </w:r>
      <w:proofErr w:type="gramEnd"/>
      <w:r>
        <w:rPr>
          <w:color w:val="231F20"/>
          <w:sz w:val="13"/>
        </w:rPr>
        <w:t xml:space="preserve">. The study found </w:t>
      </w:r>
      <w:r>
        <w:rPr>
          <w:color w:val="231F20"/>
          <w:spacing w:val="2"/>
          <w:sz w:val="13"/>
        </w:rPr>
        <w:t xml:space="preserve">participants </w:t>
      </w:r>
      <w:r>
        <w:rPr>
          <w:color w:val="231F20"/>
          <w:sz w:val="13"/>
        </w:rPr>
        <w:t xml:space="preserve">were less likely to hold these beliefs following training: Ronnie B Harmon   et </w:t>
      </w:r>
      <w:r>
        <w:rPr>
          <w:color w:val="231F20"/>
          <w:spacing w:val="2"/>
          <w:sz w:val="13"/>
        </w:rPr>
        <w:t xml:space="preserve">al, </w:t>
      </w:r>
      <w:r>
        <w:rPr>
          <w:color w:val="231F20"/>
          <w:sz w:val="13"/>
        </w:rPr>
        <w:t xml:space="preserve">‘The Impact of Anti-Stalking Training on Front Line </w:t>
      </w:r>
      <w:r>
        <w:rPr>
          <w:color w:val="231F20"/>
          <w:spacing w:val="2"/>
          <w:sz w:val="13"/>
        </w:rPr>
        <w:t xml:space="preserve">Service </w:t>
      </w:r>
      <w:r>
        <w:rPr>
          <w:color w:val="231F20"/>
          <w:sz w:val="13"/>
        </w:rPr>
        <w:t xml:space="preserve">Providers: Using the Anti-Stalking Training Evaluation Protocol (ASTEP)’ (2004) </w:t>
      </w:r>
      <w:r>
        <w:rPr>
          <w:color w:val="231F20"/>
          <w:spacing w:val="2"/>
          <w:sz w:val="13"/>
        </w:rPr>
        <w:t xml:space="preserve">49(5) </w:t>
      </w:r>
      <w:r>
        <w:rPr>
          <w:i/>
          <w:color w:val="231F20"/>
          <w:sz w:val="13"/>
        </w:rPr>
        <w:t xml:space="preserve">Journal of Forensic </w:t>
      </w:r>
      <w:r>
        <w:rPr>
          <w:i/>
          <w:color w:val="231F20"/>
          <w:spacing w:val="2"/>
          <w:sz w:val="13"/>
        </w:rPr>
        <w:t xml:space="preserve">Sciences </w:t>
      </w:r>
      <w:r>
        <w:rPr>
          <w:color w:val="231F20"/>
          <w:sz w:val="13"/>
        </w:rPr>
        <w:t xml:space="preserve">JFS2003354:1–7, 3: see </w:t>
      </w:r>
      <w:r>
        <w:rPr>
          <w:color w:val="231F20"/>
          <w:spacing w:val="2"/>
          <w:sz w:val="13"/>
        </w:rPr>
        <w:t>also</w:t>
      </w:r>
      <w:r>
        <w:rPr>
          <w:color w:val="231F20"/>
          <w:spacing w:val="3"/>
          <w:sz w:val="13"/>
        </w:rPr>
        <w:t xml:space="preserve"> </w:t>
      </w:r>
      <w:r>
        <w:rPr>
          <w:color w:val="231F20"/>
          <w:spacing w:val="2"/>
          <w:sz w:val="13"/>
        </w:rPr>
        <w:t>3–6.</w:t>
      </w:r>
    </w:p>
    <w:p w14:paraId="05B07DC5" w14:textId="77777777" w:rsidR="00894070" w:rsidRDefault="009B7AFD">
      <w:pPr>
        <w:pStyle w:val="ListParagraph"/>
        <w:numPr>
          <w:ilvl w:val="0"/>
          <w:numId w:val="134"/>
        </w:numPr>
        <w:tabs>
          <w:tab w:val="left" w:pos="1801"/>
          <w:tab w:val="left" w:pos="1802"/>
        </w:tabs>
        <w:spacing w:line="213" w:lineRule="auto"/>
        <w:ind w:right="1510"/>
        <w:rPr>
          <w:sz w:val="13"/>
        </w:rPr>
      </w:pPr>
      <w:r>
        <w:rPr>
          <w:color w:val="231F20"/>
          <w:spacing w:val="2"/>
          <w:sz w:val="13"/>
        </w:rPr>
        <w:t xml:space="preserve">Submissions </w:t>
      </w:r>
      <w:r>
        <w:rPr>
          <w:color w:val="231F20"/>
          <w:sz w:val="13"/>
        </w:rPr>
        <w:t xml:space="preserve">76 </w:t>
      </w:r>
      <w:r>
        <w:rPr>
          <w:color w:val="231F20"/>
          <w:spacing w:val="2"/>
          <w:sz w:val="13"/>
        </w:rPr>
        <w:t xml:space="preserve">(Australian Association </w:t>
      </w:r>
      <w:r>
        <w:rPr>
          <w:color w:val="231F20"/>
          <w:sz w:val="13"/>
        </w:rPr>
        <w:t>of Social Workers), 97 (Federation of Community Legal Centres), 98 (Law Institute of Victoria).</w:t>
      </w:r>
    </w:p>
    <w:p w14:paraId="5ED59D9F" w14:textId="77777777" w:rsidR="00894070" w:rsidRDefault="009B7AFD">
      <w:pPr>
        <w:pStyle w:val="ListParagraph"/>
        <w:numPr>
          <w:ilvl w:val="0"/>
          <w:numId w:val="134"/>
        </w:numPr>
        <w:tabs>
          <w:tab w:val="left" w:pos="1801"/>
          <w:tab w:val="left" w:pos="1802"/>
        </w:tabs>
        <w:spacing w:line="152" w:lineRule="exact"/>
        <w:rPr>
          <w:sz w:val="13"/>
        </w:rPr>
      </w:pPr>
      <w:r>
        <w:rPr>
          <w:color w:val="231F20"/>
          <w:spacing w:val="2"/>
          <w:sz w:val="13"/>
        </w:rPr>
        <w:t xml:space="preserve">Submission </w:t>
      </w:r>
      <w:r>
        <w:rPr>
          <w:color w:val="231F20"/>
          <w:sz w:val="13"/>
        </w:rPr>
        <w:t xml:space="preserve">76 </w:t>
      </w:r>
      <w:r>
        <w:rPr>
          <w:color w:val="231F20"/>
          <w:spacing w:val="2"/>
          <w:sz w:val="13"/>
        </w:rPr>
        <w:t xml:space="preserve">(Australian Association </w:t>
      </w:r>
      <w:r>
        <w:rPr>
          <w:color w:val="231F20"/>
          <w:sz w:val="13"/>
        </w:rPr>
        <w:t xml:space="preserve">of Social Workers); Consultations 8 (eSafety Commissioner), 23 </w:t>
      </w:r>
      <w:r>
        <w:rPr>
          <w:color w:val="231F20"/>
          <w:spacing w:val="2"/>
          <w:sz w:val="13"/>
        </w:rPr>
        <w:t>(Cyberstalking</w:t>
      </w:r>
      <w:r>
        <w:rPr>
          <w:color w:val="231F20"/>
          <w:spacing w:val="20"/>
          <w:sz w:val="13"/>
        </w:rPr>
        <w:t xml:space="preserve"> </w:t>
      </w:r>
      <w:r>
        <w:rPr>
          <w:color w:val="231F20"/>
          <w:sz w:val="13"/>
        </w:rPr>
        <w:t>roundtable).</w:t>
      </w:r>
    </w:p>
    <w:p w14:paraId="440CB94C" w14:textId="77777777" w:rsidR="00894070" w:rsidRDefault="009B7AFD">
      <w:pPr>
        <w:pStyle w:val="ListParagraph"/>
        <w:numPr>
          <w:ilvl w:val="0"/>
          <w:numId w:val="134"/>
        </w:numPr>
        <w:tabs>
          <w:tab w:val="left" w:pos="1801"/>
          <w:tab w:val="left" w:pos="1802"/>
        </w:tabs>
        <w:spacing w:line="160" w:lineRule="exact"/>
        <w:rPr>
          <w:sz w:val="13"/>
        </w:rPr>
      </w:pPr>
      <w:r>
        <w:rPr>
          <w:color w:val="231F20"/>
          <w:sz w:val="13"/>
        </w:rPr>
        <w:t>Consultation 8 (eSafety Commissioner).</w:t>
      </w:r>
    </w:p>
    <w:p w14:paraId="372D7EF6" w14:textId="77777777" w:rsidR="00894070" w:rsidRDefault="009B7AFD">
      <w:pPr>
        <w:pStyle w:val="ListParagraph"/>
        <w:numPr>
          <w:ilvl w:val="0"/>
          <w:numId w:val="134"/>
        </w:numPr>
        <w:tabs>
          <w:tab w:val="left" w:pos="1801"/>
          <w:tab w:val="left" w:pos="1802"/>
        </w:tabs>
        <w:spacing w:line="213" w:lineRule="auto"/>
        <w:ind w:right="1412"/>
        <w:rPr>
          <w:sz w:val="13"/>
        </w:rPr>
      </w:pP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Anti-Stalking Legislation in Victoria, Australia’ (PhD Thesis, Monash University, 2018) 201.</w:t>
      </w:r>
    </w:p>
    <w:p w14:paraId="676C81DA" w14:textId="77777777" w:rsidR="00894070" w:rsidRDefault="009F6793">
      <w:pPr>
        <w:pStyle w:val="ListParagraph"/>
        <w:numPr>
          <w:ilvl w:val="0"/>
          <w:numId w:val="134"/>
        </w:numPr>
        <w:tabs>
          <w:tab w:val="left" w:pos="1801"/>
          <w:tab w:val="left" w:pos="1802"/>
        </w:tabs>
        <w:spacing w:line="153" w:lineRule="exact"/>
        <w:rPr>
          <w:sz w:val="13"/>
        </w:rPr>
      </w:pPr>
      <w:r>
        <w:pict w14:anchorId="0F4D53F5">
          <v:shape id="_x0000_s1464" type="#_x0000_t202" style="position:absolute;left:0;text-align:left;margin-left:548.4pt;margin-top:3.35pt;width:14.35pt;height:14.1pt;z-index:251639808;mso-position-horizontal-relative:page" filled="f" stroked="f">
            <v:textbox inset="0,0,0,0">
              <w:txbxContent>
                <w:p w14:paraId="6193F34C" w14:textId="77777777" w:rsidR="00894070" w:rsidRDefault="009B7AFD">
                  <w:pPr>
                    <w:spacing w:line="282" w:lineRule="exact"/>
                    <w:rPr>
                      <w:b/>
                      <w:sz w:val="24"/>
                    </w:rPr>
                  </w:pPr>
                  <w:r>
                    <w:rPr>
                      <w:b/>
                      <w:color w:val="EA5B50"/>
                      <w:spacing w:val="-1"/>
                      <w:sz w:val="24"/>
                    </w:rPr>
                    <w:t>69</w:t>
                  </w:r>
                </w:p>
              </w:txbxContent>
            </v:textbox>
            <w10:wrap anchorx="page"/>
          </v:shape>
        </w:pict>
      </w:r>
      <w:r w:rsidR="009B7AFD">
        <w:rPr>
          <w:color w:val="231F20"/>
          <w:spacing w:val="2"/>
          <w:sz w:val="13"/>
        </w:rPr>
        <w:t xml:space="preserve">Submission </w:t>
      </w:r>
      <w:r w:rsidR="009B7AFD">
        <w:rPr>
          <w:color w:val="231F20"/>
          <w:sz w:val="13"/>
        </w:rPr>
        <w:t>98 (Law Institute of</w:t>
      </w:r>
      <w:r w:rsidR="009B7AFD">
        <w:rPr>
          <w:color w:val="231F20"/>
          <w:spacing w:val="-2"/>
          <w:sz w:val="13"/>
        </w:rPr>
        <w:t xml:space="preserve"> </w:t>
      </w:r>
      <w:r w:rsidR="009B7AFD">
        <w:rPr>
          <w:color w:val="231F20"/>
          <w:sz w:val="13"/>
        </w:rPr>
        <w:t>Victoria).</w:t>
      </w:r>
    </w:p>
    <w:p w14:paraId="48BE63E8" w14:textId="77777777" w:rsidR="00894070" w:rsidRDefault="009B7AFD">
      <w:pPr>
        <w:pStyle w:val="ListParagraph"/>
        <w:numPr>
          <w:ilvl w:val="0"/>
          <w:numId w:val="134"/>
        </w:numPr>
        <w:tabs>
          <w:tab w:val="left" w:pos="1800"/>
          <w:tab w:val="left" w:pos="1802"/>
        </w:tabs>
        <w:spacing w:line="170" w:lineRule="exact"/>
        <w:rPr>
          <w:sz w:val="13"/>
        </w:rPr>
      </w:pPr>
      <w:r>
        <w:rPr>
          <w:color w:val="231F20"/>
          <w:sz w:val="13"/>
        </w:rPr>
        <w:t>Consultation 8 (eSafety Commissioner).</w:t>
      </w:r>
    </w:p>
    <w:p w14:paraId="4B0BA1B5" w14:textId="77777777" w:rsidR="00894070" w:rsidRDefault="00894070">
      <w:pPr>
        <w:spacing w:line="170" w:lineRule="exact"/>
        <w:rPr>
          <w:sz w:val="13"/>
        </w:rPr>
        <w:sectPr w:rsidR="00894070">
          <w:pgSz w:w="11910" w:h="16840"/>
          <w:pgMar w:top="840" w:right="420" w:bottom="280" w:left="580" w:header="0" w:footer="0" w:gutter="0"/>
          <w:cols w:space="720"/>
        </w:sectPr>
      </w:pPr>
    </w:p>
    <w:p w14:paraId="18478236" w14:textId="77777777" w:rsidR="00894070" w:rsidRDefault="00894070">
      <w:pPr>
        <w:pStyle w:val="BodyText"/>
      </w:pPr>
    </w:p>
    <w:p w14:paraId="0A5B02D9" w14:textId="77777777" w:rsidR="00894070" w:rsidRDefault="00894070">
      <w:pPr>
        <w:pStyle w:val="BodyText"/>
      </w:pPr>
    </w:p>
    <w:p w14:paraId="6088FF45" w14:textId="77777777" w:rsidR="00894070" w:rsidRDefault="00894070">
      <w:pPr>
        <w:pStyle w:val="BodyText"/>
      </w:pPr>
    </w:p>
    <w:p w14:paraId="02B5DC00" w14:textId="77777777" w:rsidR="00894070" w:rsidRDefault="00894070">
      <w:pPr>
        <w:pStyle w:val="BodyText"/>
        <w:spacing w:before="11"/>
        <w:rPr>
          <w:sz w:val="18"/>
        </w:rPr>
      </w:pPr>
    </w:p>
    <w:p w14:paraId="15C5AEFD" w14:textId="77777777" w:rsidR="00894070" w:rsidRDefault="009B7AFD">
      <w:pPr>
        <w:pStyle w:val="ListParagraph"/>
        <w:numPr>
          <w:ilvl w:val="1"/>
          <w:numId w:val="134"/>
        </w:numPr>
        <w:tabs>
          <w:tab w:val="left" w:pos="2141"/>
          <w:tab w:val="left" w:pos="2142"/>
        </w:tabs>
        <w:spacing w:line="206" w:lineRule="auto"/>
        <w:ind w:right="1250" w:hanging="340"/>
        <w:rPr>
          <w:sz w:val="20"/>
        </w:rPr>
      </w:pPr>
      <w:r>
        <w:rPr>
          <w:color w:val="231F20"/>
          <w:sz w:val="20"/>
        </w:rPr>
        <w:t>when</w:t>
      </w:r>
      <w:r>
        <w:rPr>
          <w:color w:val="231F20"/>
          <w:spacing w:val="-11"/>
          <w:sz w:val="20"/>
        </w:rPr>
        <w:t xml:space="preserve"> </w:t>
      </w:r>
      <w:r>
        <w:rPr>
          <w:color w:val="231F20"/>
          <w:sz w:val="20"/>
        </w:rPr>
        <w:t>mediation</w:t>
      </w:r>
      <w:r>
        <w:rPr>
          <w:color w:val="231F20"/>
          <w:spacing w:val="-10"/>
          <w:sz w:val="20"/>
        </w:rPr>
        <w:t xml:space="preserve"> </w:t>
      </w:r>
      <w:r>
        <w:rPr>
          <w:color w:val="231F20"/>
          <w:sz w:val="20"/>
        </w:rPr>
        <w:t>should</w:t>
      </w:r>
      <w:r>
        <w:rPr>
          <w:color w:val="231F20"/>
          <w:spacing w:val="-11"/>
          <w:sz w:val="20"/>
        </w:rPr>
        <w:t xml:space="preserve"> </w:t>
      </w:r>
      <w:r>
        <w:rPr>
          <w:color w:val="231F20"/>
          <w:sz w:val="20"/>
        </w:rPr>
        <w:t>be</w:t>
      </w:r>
      <w:r>
        <w:rPr>
          <w:color w:val="231F20"/>
          <w:spacing w:val="-10"/>
          <w:sz w:val="20"/>
        </w:rPr>
        <w:t xml:space="preserve"> </w:t>
      </w:r>
      <w:r>
        <w:rPr>
          <w:color w:val="231F20"/>
          <w:sz w:val="20"/>
        </w:rPr>
        <w:t>used</w:t>
      </w:r>
      <w:r>
        <w:rPr>
          <w:color w:val="231F20"/>
          <w:spacing w:val="-11"/>
          <w:sz w:val="20"/>
        </w:rPr>
        <w:t xml:space="preserve"> </w:t>
      </w:r>
      <w:r>
        <w:rPr>
          <w:color w:val="231F20"/>
          <w:sz w:val="20"/>
        </w:rPr>
        <w:t>in</w:t>
      </w:r>
      <w:r>
        <w:rPr>
          <w:color w:val="231F20"/>
          <w:spacing w:val="-10"/>
          <w:sz w:val="20"/>
        </w:rPr>
        <w:t xml:space="preserve"> </w:t>
      </w:r>
      <w:r>
        <w:rPr>
          <w:color w:val="231F20"/>
          <w:sz w:val="20"/>
        </w:rPr>
        <w:t>cases</w:t>
      </w:r>
      <w:r>
        <w:rPr>
          <w:color w:val="231F20"/>
          <w:spacing w:val="-11"/>
          <w:sz w:val="20"/>
        </w:rPr>
        <w:t xml:space="preserve"> </w:t>
      </w:r>
      <w:r>
        <w:rPr>
          <w:color w:val="231F20"/>
          <w:sz w:val="20"/>
        </w:rPr>
        <w:t>of</w:t>
      </w:r>
      <w:r>
        <w:rPr>
          <w:color w:val="231F20"/>
          <w:spacing w:val="-10"/>
          <w:sz w:val="20"/>
        </w:rPr>
        <w:t xml:space="preserve"> </w:t>
      </w:r>
      <w:r>
        <w:rPr>
          <w:color w:val="231F20"/>
          <w:sz w:val="20"/>
        </w:rPr>
        <w:t>harassment</w:t>
      </w:r>
      <w:r>
        <w:rPr>
          <w:color w:val="231F20"/>
          <w:spacing w:val="-11"/>
          <w:sz w:val="20"/>
        </w:rPr>
        <w:t xml:space="preserve"> </w:t>
      </w:r>
      <w:r>
        <w:rPr>
          <w:color w:val="231F20"/>
          <w:sz w:val="20"/>
        </w:rPr>
        <w:t>or</w:t>
      </w:r>
      <w:r>
        <w:rPr>
          <w:color w:val="231F20"/>
          <w:spacing w:val="-10"/>
          <w:sz w:val="20"/>
        </w:rPr>
        <w:t xml:space="preserve"> </w:t>
      </w:r>
      <w:r>
        <w:rPr>
          <w:color w:val="231F20"/>
          <w:sz w:val="20"/>
        </w:rPr>
        <w:t>other</w:t>
      </w:r>
      <w:r>
        <w:rPr>
          <w:color w:val="231F20"/>
          <w:spacing w:val="-10"/>
          <w:sz w:val="20"/>
        </w:rPr>
        <w:t xml:space="preserve"> </w:t>
      </w:r>
      <w:r>
        <w:rPr>
          <w:color w:val="231F20"/>
          <w:sz w:val="20"/>
        </w:rPr>
        <w:t>behaviour</w:t>
      </w:r>
      <w:r>
        <w:rPr>
          <w:color w:val="231F20"/>
          <w:spacing w:val="-11"/>
          <w:sz w:val="20"/>
        </w:rPr>
        <w:t xml:space="preserve"> </w:t>
      </w:r>
      <w:r>
        <w:rPr>
          <w:color w:val="231F20"/>
          <w:sz w:val="20"/>
        </w:rPr>
        <w:t xml:space="preserve">instead of applying </w:t>
      </w:r>
      <w:r>
        <w:rPr>
          <w:color w:val="231F20"/>
          <w:spacing w:val="-3"/>
          <w:sz w:val="20"/>
        </w:rPr>
        <w:t xml:space="preserve">for </w:t>
      </w:r>
      <w:r>
        <w:rPr>
          <w:color w:val="231F20"/>
          <w:sz w:val="20"/>
        </w:rPr>
        <w:t xml:space="preserve">an </w:t>
      </w:r>
      <w:r>
        <w:rPr>
          <w:color w:val="231F20"/>
          <w:spacing w:val="-2"/>
          <w:sz w:val="20"/>
        </w:rPr>
        <w:t xml:space="preserve">intervention </w:t>
      </w:r>
      <w:r>
        <w:rPr>
          <w:color w:val="231F20"/>
          <w:sz w:val="20"/>
        </w:rPr>
        <w:t xml:space="preserve">order (see </w:t>
      </w:r>
      <w:r>
        <w:rPr>
          <w:color w:val="231F20"/>
          <w:spacing w:val="-3"/>
          <w:sz w:val="20"/>
        </w:rPr>
        <w:t>Chapter</w:t>
      </w:r>
      <w:r>
        <w:rPr>
          <w:color w:val="231F20"/>
          <w:spacing w:val="-31"/>
          <w:sz w:val="20"/>
        </w:rPr>
        <w:t xml:space="preserve"> </w:t>
      </w:r>
      <w:r>
        <w:rPr>
          <w:color w:val="231F20"/>
          <w:sz w:val="20"/>
        </w:rPr>
        <w:t>6)</w:t>
      </w:r>
    </w:p>
    <w:p w14:paraId="5BD6E239" w14:textId="77777777" w:rsidR="00894070" w:rsidRDefault="009B7AFD">
      <w:pPr>
        <w:pStyle w:val="ListParagraph"/>
        <w:numPr>
          <w:ilvl w:val="1"/>
          <w:numId w:val="134"/>
        </w:numPr>
        <w:tabs>
          <w:tab w:val="left" w:pos="2141"/>
          <w:tab w:val="left" w:pos="2142"/>
        </w:tabs>
        <w:spacing w:before="88" w:line="206" w:lineRule="auto"/>
        <w:ind w:right="1169" w:hanging="340"/>
        <w:rPr>
          <w:sz w:val="11"/>
        </w:rPr>
      </w:pPr>
      <w:r>
        <w:rPr>
          <w:color w:val="231F20"/>
          <w:sz w:val="20"/>
        </w:rPr>
        <w:t>what</w:t>
      </w:r>
      <w:r>
        <w:rPr>
          <w:color w:val="231F20"/>
          <w:spacing w:val="-7"/>
          <w:sz w:val="20"/>
        </w:rPr>
        <w:t xml:space="preserve"> </w:t>
      </w:r>
      <w:r>
        <w:rPr>
          <w:color w:val="231F20"/>
          <w:spacing w:val="-3"/>
          <w:sz w:val="20"/>
        </w:rPr>
        <w:t>treatment</w:t>
      </w:r>
      <w:r>
        <w:rPr>
          <w:color w:val="231F20"/>
          <w:spacing w:val="-7"/>
          <w:sz w:val="20"/>
        </w:rPr>
        <w:t xml:space="preserve"> </w:t>
      </w:r>
      <w:r>
        <w:rPr>
          <w:color w:val="231F20"/>
          <w:sz w:val="20"/>
        </w:rPr>
        <w:t>or</w:t>
      </w:r>
      <w:r>
        <w:rPr>
          <w:color w:val="231F20"/>
          <w:spacing w:val="-7"/>
          <w:sz w:val="20"/>
        </w:rPr>
        <w:t xml:space="preserve"> </w:t>
      </w:r>
      <w:r>
        <w:rPr>
          <w:color w:val="231F20"/>
          <w:sz w:val="20"/>
        </w:rPr>
        <w:t>support</w:t>
      </w:r>
      <w:r>
        <w:rPr>
          <w:color w:val="231F20"/>
          <w:spacing w:val="-7"/>
          <w:sz w:val="20"/>
        </w:rPr>
        <w:t xml:space="preserve"> </w:t>
      </w:r>
      <w:r>
        <w:rPr>
          <w:color w:val="231F20"/>
          <w:sz w:val="20"/>
        </w:rPr>
        <w:t>is</w:t>
      </w:r>
      <w:r>
        <w:rPr>
          <w:color w:val="231F20"/>
          <w:spacing w:val="-7"/>
          <w:sz w:val="20"/>
        </w:rPr>
        <w:t xml:space="preserve"> </w:t>
      </w:r>
      <w:r>
        <w:rPr>
          <w:color w:val="231F20"/>
          <w:sz w:val="20"/>
        </w:rPr>
        <w:t>available</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people</w:t>
      </w:r>
      <w:r>
        <w:rPr>
          <w:color w:val="231F20"/>
          <w:spacing w:val="-7"/>
          <w:sz w:val="20"/>
        </w:rPr>
        <w:t xml:space="preserve"> </w:t>
      </w:r>
      <w:r>
        <w:rPr>
          <w:color w:val="231F20"/>
          <w:sz w:val="20"/>
        </w:rPr>
        <w:t>who</w:t>
      </w:r>
      <w:r>
        <w:rPr>
          <w:color w:val="231F20"/>
          <w:spacing w:val="-7"/>
          <w:sz w:val="20"/>
        </w:rPr>
        <w:t xml:space="preserve"> </w:t>
      </w:r>
      <w:r>
        <w:rPr>
          <w:color w:val="231F20"/>
          <w:sz w:val="20"/>
        </w:rPr>
        <w:t>stalk</w:t>
      </w:r>
      <w:r>
        <w:rPr>
          <w:color w:val="231F20"/>
          <w:spacing w:val="-7"/>
          <w:sz w:val="20"/>
        </w:rPr>
        <w:t xml:space="preserve"> </w:t>
      </w:r>
      <w:r>
        <w:rPr>
          <w:color w:val="231F20"/>
          <w:sz w:val="20"/>
        </w:rPr>
        <w:t>and</w:t>
      </w:r>
      <w:r>
        <w:rPr>
          <w:color w:val="231F20"/>
          <w:spacing w:val="-7"/>
          <w:sz w:val="20"/>
        </w:rPr>
        <w:t xml:space="preserve"> </w:t>
      </w:r>
      <w:r>
        <w:rPr>
          <w:color w:val="231F20"/>
          <w:spacing w:val="-3"/>
          <w:sz w:val="20"/>
        </w:rPr>
        <w:t>how</w:t>
      </w:r>
      <w:r>
        <w:rPr>
          <w:color w:val="231F20"/>
          <w:spacing w:val="-7"/>
          <w:sz w:val="20"/>
        </w:rPr>
        <w:t xml:space="preserve"> </w:t>
      </w:r>
      <w:r>
        <w:rPr>
          <w:color w:val="231F20"/>
          <w:sz w:val="20"/>
        </w:rPr>
        <w:t>to</w:t>
      </w:r>
      <w:r>
        <w:rPr>
          <w:color w:val="231F20"/>
          <w:spacing w:val="-7"/>
          <w:sz w:val="20"/>
        </w:rPr>
        <w:t xml:space="preserve"> </w:t>
      </w:r>
      <w:r>
        <w:rPr>
          <w:color w:val="231F20"/>
          <w:spacing w:val="-4"/>
          <w:sz w:val="20"/>
        </w:rPr>
        <w:t>refer</w:t>
      </w:r>
      <w:r>
        <w:rPr>
          <w:color w:val="231F20"/>
          <w:spacing w:val="-7"/>
          <w:sz w:val="20"/>
        </w:rPr>
        <w:t xml:space="preserve"> </w:t>
      </w:r>
      <w:r>
        <w:rPr>
          <w:color w:val="231F20"/>
          <w:sz w:val="20"/>
        </w:rPr>
        <w:t xml:space="preserve">people to these services (see </w:t>
      </w:r>
      <w:r>
        <w:rPr>
          <w:color w:val="231F20"/>
          <w:spacing w:val="-3"/>
          <w:sz w:val="20"/>
        </w:rPr>
        <w:t>Chapter</w:t>
      </w:r>
      <w:r>
        <w:rPr>
          <w:color w:val="231F20"/>
          <w:spacing w:val="-21"/>
          <w:sz w:val="20"/>
        </w:rPr>
        <w:t xml:space="preserve"> </w:t>
      </w:r>
      <w:r>
        <w:rPr>
          <w:color w:val="231F20"/>
          <w:sz w:val="20"/>
        </w:rPr>
        <w:t>8)</w:t>
      </w:r>
      <w:r>
        <w:rPr>
          <w:color w:val="231F20"/>
          <w:position w:val="7"/>
          <w:sz w:val="11"/>
        </w:rPr>
        <w:t>108</w:t>
      </w:r>
    </w:p>
    <w:p w14:paraId="5DB18C08" w14:textId="77777777" w:rsidR="00894070" w:rsidRDefault="009B7AFD">
      <w:pPr>
        <w:pStyle w:val="ListParagraph"/>
        <w:numPr>
          <w:ilvl w:val="1"/>
          <w:numId w:val="134"/>
        </w:numPr>
        <w:tabs>
          <w:tab w:val="left" w:pos="2141"/>
          <w:tab w:val="left" w:pos="2142"/>
        </w:tabs>
        <w:spacing w:before="55"/>
        <w:ind w:hanging="340"/>
        <w:rPr>
          <w:sz w:val="20"/>
        </w:rPr>
      </w:pPr>
      <w:r>
        <w:rPr>
          <w:color w:val="231F20"/>
          <w:sz w:val="20"/>
        </w:rPr>
        <w:t xml:space="preserve">when an assessment </w:t>
      </w:r>
      <w:r>
        <w:rPr>
          <w:color w:val="231F20"/>
          <w:spacing w:val="-3"/>
          <w:sz w:val="20"/>
        </w:rPr>
        <w:t xml:space="preserve">for </w:t>
      </w:r>
      <w:r>
        <w:rPr>
          <w:color w:val="231F20"/>
          <w:sz w:val="20"/>
        </w:rPr>
        <w:t>people who stalk might be appropriate</w:t>
      </w:r>
      <w:r>
        <w:rPr>
          <w:color w:val="231F20"/>
          <w:position w:val="7"/>
          <w:sz w:val="11"/>
        </w:rPr>
        <w:t xml:space="preserve">109 </w:t>
      </w:r>
      <w:r>
        <w:rPr>
          <w:color w:val="231F20"/>
          <w:sz w:val="20"/>
        </w:rPr>
        <w:t xml:space="preserve">(see </w:t>
      </w:r>
      <w:r>
        <w:rPr>
          <w:color w:val="231F20"/>
          <w:spacing w:val="-3"/>
          <w:sz w:val="20"/>
        </w:rPr>
        <w:t>Chapter</w:t>
      </w:r>
      <w:r>
        <w:rPr>
          <w:color w:val="231F20"/>
          <w:spacing w:val="-35"/>
          <w:sz w:val="20"/>
        </w:rPr>
        <w:t xml:space="preserve"> </w:t>
      </w:r>
      <w:r>
        <w:rPr>
          <w:color w:val="231F20"/>
          <w:spacing w:val="-4"/>
          <w:sz w:val="20"/>
        </w:rPr>
        <w:t>8).</w:t>
      </w:r>
    </w:p>
    <w:p w14:paraId="7F55FB40" w14:textId="77777777" w:rsidR="00894070" w:rsidRDefault="009B7AFD">
      <w:pPr>
        <w:pStyle w:val="Heading9"/>
        <w:spacing w:before="84"/>
        <w:rPr>
          <w:b/>
        </w:rPr>
      </w:pPr>
      <w:r>
        <w:rPr>
          <w:b/>
          <w:color w:val="231F20"/>
        </w:rPr>
        <w:t>Education about dropping stalking charges</w:t>
      </w:r>
    </w:p>
    <w:p w14:paraId="2094B91E" w14:textId="77777777" w:rsidR="00894070" w:rsidRDefault="009B7AFD">
      <w:pPr>
        <w:pStyle w:val="ListParagraph"/>
        <w:numPr>
          <w:ilvl w:val="1"/>
          <w:numId w:val="177"/>
        </w:numPr>
        <w:tabs>
          <w:tab w:val="left" w:pos="1801"/>
          <w:tab w:val="left" w:pos="1802"/>
        </w:tabs>
        <w:spacing w:before="132" w:line="206" w:lineRule="auto"/>
        <w:ind w:right="1578"/>
        <w:rPr>
          <w:sz w:val="20"/>
        </w:rPr>
      </w:pPr>
      <w:r>
        <w:rPr>
          <w:color w:val="231F20"/>
          <w:sz w:val="20"/>
        </w:rPr>
        <w:t>The</w:t>
      </w:r>
      <w:r>
        <w:rPr>
          <w:color w:val="231F20"/>
          <w:spacing w:val="-13"/>
          <w:sz w:val="20"/>
        </w:rPr>
        <w:t xml:space="preserve"> </w:t>
      </w:r>
      <w:r>
        <w:rPr>
          <w:color w:val="231F20"/>
          <w:sz w:val="20"/>
        </w:rPr>
        <w:t>stalking</w:t>
      </w:r>
      <w:r>
        <w:rPr>
          <w:color w:val="231F20"/>
          <w:spacing w:val="-13"/>
          <w:sz w:val="20"/>
        </w:rPr>
        <w:t xml:space="preserve"> </w:t>
      </w:r>
      <w:r>
        <w:rPr>
          <w:color w:val="231F20"/>
          <w:sz w:val="20"/>
        </w:rPr>
        <w:t>offence</w:t>
      </w:r>
      <w:r>
        <w:rPr>
          <w:color w:val="231F20"/>
          <w:spacing w:val="-13"/>
          <w:sz w:val="20"/>
        </w:rPr>
        <w:t xml:space="preserve"> </w:t>
      </w:r>
      <w:r>
        <w:rPr>
          <w:color w:val="231F20"/>
          <w:sz w:val="20"/>
        </w:rPr>
        <w:t>and</w:t>
      </w:r>
      <w:r>
        <w:rPr>
          <w:color w:val="231F20"/>
          <w:spacing w:val="-12"/>
          <w:sz w:val="20"/>
        </w:rPr>
        <w:t xml:space="preserve"> </w:t>
      </w:r>
      <w:r>
        <w:rPr>
          <w:color w:val="231F20"/>
          <w:sz w:val="20"/>
        </w:rPr>
        <w:t>its</w:t>
      </w:r>
      <w:r>
        <w:rPr>
          <w:color w:val="231F20"/>
          <w:spacing w:val="-13"/>
          <w:sz w:val="20"/>
        </w:rPr>
        <w:t xml:space="preserve"> </w:t>
      </w:r>
      <w:r>
        <w:rPr>
          <w:color w:val="231F20"/>
          <w:sz w:val="20"/>
        </w:rPr>
        <w:t>‘course</w:t>
      </w:r>
      <w:r>
        <w:rPr>
          <w:color w:val="231F20"/>
          <w:spacing w:val="-13"/>
          <w:sz w:val="20"/>
        </w:rPr>
        <w:t xml:space="preserve"> </w:t>
      </w:r>
      <w:r>
        <w:rPr>
          <w:color w:val="231F20"/>
          <w:sz w:val="20"/>
        </w:rPr>
        <w:t>of</w:t>
      </w:r>
      <w:r>
        <w:rPr>
          <w:color w:val="231F20"/>
          <w:spacing w:val="-12"/>
          <w:sz w:val="20"/>
        </w:rPr>
        <w:t xml:space="preserve"> </w:t>
      </w:r>
      <w:r>
        <w:rPr>
          <w:color w:val="231F20"/>
          <w:sz w:val="20"/>
        </w:rPr>
        <w:t>conduct’</w:t>
      </w:r>
      <w:r>
        <w:rPr>
          <w:color w:val="231F20"/>
          <w:spacing w:val="-13"/>
          <w:sz w:val="20"/>
        </w:rPr>
        <w:t xml:space="preserve"> </w:t>
      </w:r>
      <w:r>
        <w:rPr>
          <w:color w:val="231F20"/>
          <w:sz w:val="20"/>
        </w:rPr>
        <w:t>element</w:t>
      </w:r>
      <w:r>
        <w:rPr>
          <w:color w:val="231F20"/>
          <w:spacing w:val="-13"/>
          <w:sz w:val="20"/>
        </w:rPr>
        <w:t xml:space="preserve"> </w:t>
      </w:r>
      <w:r>
        <w:rPr>
          <w:color w:val="231F20"/>
          <w:sz w:val="20"/>
        </w:rPr>
        <w:t>is</w:t>
      </w:r>
      <w:r>
        <w:rPr>
          <w:color w:val="231F20"/>
          <w:spacing w:val="-13"/>
          <w:sz w:val="20"/>
        </w:rPr>
        <w:t xml:space="preserve"> </w:t>
      </w:r>
      <w:r>
        <w:rPr>
          <w:color w:val="231F20"/>
          <w:sz w:val="20"/>
        </w:rPr>
        <w:t>commonly</w:t>
      </w:r>
      <w:r>
        <w:rPr>
          <w:color w:val="231F20"/>
          <w:spacing w:val="-12"/>
          <w:sz w:val="20"/>
        </w:rPr>
        <w:t xml:space="preserve"> </w:t>
      </w:r>
      <w:r>
        <w:rPr>
          <w:color w:val="231F20"/>
          <w:sz w:val="20"/>
        </w:rPr>
        <w:t>described</w:t>
      </w:r>
      <w:r>
        <w:rPr>
          <w:color w:val="231F20"/>
          <w:spacing w:val="-13"/>
          <w:sz w:val="20"/>
        </w:rPr>
        <w:t xml:space="preserve"> </w:t>
      </w:r>
      <w:r>
        <w:rPr>
          <w:color w:val="231F20"/>
          <w:sz w:val="20"/>
        </w:rPr>
        <w:t xml:space="preserve">as </w:t>
      </w:r>
      <w:r>
        <w:rPr>
          <w:color w:val="231F20"/>
          <w:spacing w:val="-3"/>
          <w:sz w:val="20"/>
        </w:rPr>
        <w:t xml:space="preserve">complex </w:t>
      </w:r>
      <w:r>
        <w:rPr>
          <w:color w:val="231F20"/>
          <w:sz w:val="20"/>
        </w:rPr>
        <w:t xml:space="preserve">and difficult to </w:t>
      </w:r>
      <w:r>
        <w:rPr>
          <w:color w:val="231F20"/>
          <w:spacing w:val="-3"/>
          <w:sz w:val="20"/>
        </w:rPr>
        <w:t xml:space="preserve">apply </w:t>
      </w:r>
      <w:r>
        <w:rPr>
          <w:color w:val="231F20"/>
          <w:sz w:val="20"/>
        </w:rPr>
        <w:t xml:space="preserve">in practice (see </w:t>
      </w:r>
      <w:r>
        <w:rPr>
          <w:color w:val="231F20"/>
          <w:spacing w:val="-3"/>
          <w:sz w:val="20"/>
        </w:rPr>
        <w:t>Chapter</w:t>
      </w:r>
      <w:r>
        <w:rPr>
          <w:color w:val="231F20"/>
          <w:spacing w:val="-38"/>
          <w:sz w:val="20"/>
        </w:rPr>
        <w:t xml:space="preserve"> </w:t>
      </w:r>
      <w:r>
        <w:rPr>
          <w:color w:val="231F20"/>
          <w:spacing w:val="-4"/>
          <w:sz w:val="20"/>
        </w:rPr>
        <w:t>7).</w:t>
      </w:r>
    </w:p>
    <w:p w14:paraId="048E78E9" w14:textId="77777777" w:rsidR="00894070" w:rsidRDefault="009B7AFD">
      <w:pPr>
        <w:pStyle w:val="ListParagraph"/>
        <w:numPr>
          <w:ilvl w:val="1"/>
          <w:numId w:val="177"/>
        </w:numPr>
        <w:tabs>
          <w:tab w:val="left" w:pos="1801"/>
          <w:tab w:val="left" w:pos="1802"/>
        </w:tabs>
        <w:spacing w:before="123" w:line="206" w:lineRule="auto"/>
        <w:ind w:right="1189"/>
        <w:rPr>
          <w:sz w:val="11"/>
        </w:rPr>
      </w:pPr>
      <w:r>
        <w:rPr>
          <w:color w:val="231F20"/>
          <w:spacing w:val="-6"/>
          <w:sz w:val="20"/>
        </w:rPr>
        <w:t xml:space="preserve">We </w:t>
      </w:r>
      <w:r>
        <w:rPr>
          <w:color w:val="231F20"/>
          <w:sz w:val="20"/>
        </w:rPr>
        <w:t xml:space="preserve">heard that charges </w:t>
      </w:r>
      <w:r>
        <w:rPr>
          <w:color w:val="231F20"/>
          <w:spacing w:val="-3"/>
          <w:sz w:val="20"/>
        </w:rPr>
        <w:t xml:space="preserve">for </w:t>
      </w:r>
      <w:r>
        <w:rPr>
          <w:color w:val="231F20"/>
          <w:sz w:val="20"/>
        </w:rPr>
        <w:t xml:space="preserve">stalking </w:t>
      </w:r>
      <w:r>
        <w:rPr>
          <w:color w:val="231F20"/>
          <w:spacing w:val="-3"/>
          <w:sz w:val="20"/>
        </w:rPr>
        <w:t xml:space="preserve">may </w:t>
      </w:r>
      <w:r>
        <w:rPr>
          <w:color w:val="231F20"/>
          <w:sz w:val="20"/>
        </w:rPr>
        <w:t>be discontinued because of plea-bargaining and</w:t>
      </w:r>
      <w:r>
        <w:rPr>
          <w:color w:val="231F20"/>
          <w:spacing w:val="-9"/>
          <w:sz w:val="20"/>
        </w:rPr>
        <w:t xml:space="preserve"> </w:t>
      </w:r>
      <w:r>
        <w:rPr>
          <w:color w:val="231F20"/>
          <w:sz w:val="20"/>
        </w:rPr>
        <w:t>negotiation.</w:t>
      </w:r>
      <w:r>
        <w:rPr>
          <w:color w:val="231F20"/>
          <w:spacing w:val="-9"/>
          <w:sz w:val="20"/>
        </w:rPr>
        <w:t xml:space="preserve"> </w:t>
      </w:r>
      <w:r>
        <w:rPr>
          <w:color w:val="231F20"/>
          <w:sz w:val="20"/>
        </w:rPr>
        <w:t>Victoria</w:t>
      </w:r>
      <w:r>
        <w:rPr>
          <w:color w:val="231F20"/>
          <w:spacing w:val="-8"/>
          <w:sz w:val="20"/>
        </w:rPr>
        <w:t xml:space="preserve"> </w:t>
      </w:r>
      <w:r>
        <w:rPr>
          <w:color w:val="231F20"/>
          <w:sz w:val="20"/>
        </w:rPr>
        <w:t>Police</w:t>
      </w:r>
      <w:r>
        <w:rPr>
          <w:color w:val="231F20"/>
          <w:spacing w:val="-9"/>
          <w:sz w:val="20"/>
        </w:rPr>
        <w:t xml:space="preserve"> </w:t>
      </w:r>
      <w:r>
        <w:rPr>
          <w:color w:val="231F20"/>
          <w:spacing w:val="-3"/>
          <w:sz w:val="20"/>
        </w:rPr>
        <w:t>prosecutors</w:t>
      </w:r>
      <w:r>
        <w:rPr>
          <w:color w:val="231F20"/>
          <w:spacing w:val="-9"/>
          <w:sz w:val="20"/>
        </w:rPr>
        <w:t xml:space="preserve"> </w:t>
      </w:r>
      <w:r>
        <w:rPr>
          <w:color w:val="231F20"/>
          <w:sz w:val="20"/>
        </w:rPr>
        <w:t>or</w:t>
      </w:r>
      <w:r>
        <w:rPr>
          <w:color w:val="231F20"/>
          <w:spacing w:val="-8"/>
          <w:sz w:val="20"/>
        </w:rPr>
        <w:t xml:space="preserve"> </w:t>
      </w:r>
      <w:r>
        <w:rPr>
          <w:color w:val="231F20"/>
          <w:sz w:val="20"/>
        </w:rPr>
        <w:t>the</w:t>
      </w:r>
      <w:r>
        <w:rPr>
          <w:color w:val="231F20"/>
          <w:spacing w:val="-9"/>
          <w:sz w:val="20"/>
        </w:rPr>
        <w:t xml:space="preserve"> </w:t>
      </w:r>
      <w:r>
        <w:rPr>
          <w:color w:val="231F20"/>
          <w:sz w:val="20"/>
        </w:rPr>
        <w:t>Director</w:t>
      </w:r>
      <w:r>
        <w:rPr>
          <w:color w:val="231F20"/>
          <w:spacing w:val="-9"/>
          <w:sz w:val="20"/>
        </w:rPr>
        <w:t xml:space="preserve"> </w:t>
      </w:r>
      <w:r>
        <w:rPr>
          <w:color w:val="231F20"/>
          <w:sz w:val="20"/>
        </w:rPr>
        <w:t>of</w:t>
      </w:r>
      <w:r>
        <w:rPr>
          <w:color w:val="231F20"/>
          <w:spacing w:val="-8"/>
          <w:sz w:val="20"/>
        </w:rPr>
        <w:t xml:space="preserve"> </w:t>
      </w:r>
      <w:r>
        <w:rPr>
          <w:color w:val="231F20"/>
          <w:sz w:val="20"/>
        </w:rPr>
        <w:t>Public</w:t>
      </w:r>
      <w:r>
        <w:rPr>
          <w:color w:val="231F20"/>
          <w:spacing w:val="-9"/>
          <w:sz w:val="20"/>
        </w:rPr>
        <w:t xml:space="preserve"> </w:t>
      </w:r>
      <w:r>
        <w:rPr>
          <w:color w:val="231F20"/>
          <w:spacing w:val="-2"/>
          <w:sz w:val="20"/>
        </w:rPr>
        <w:t>Prosecutions</w:t>
      </w:r>
      <w:r>
        <w:rPr>
          <w:color w:val="231F20"/>
          <w:spacing w:val="-9"/>
          <w:sz w:val="20"/>
        </w:rPr>
        <w:t xml:space="preserve"> </w:t>
      </w:r>
      <w:r>
        <w:rPr>
          <w:color w:val="231F20"/>
          <w:spacing w:val="-3"/>
          <w:sz w:val="20"/>
        </w:rPr>
        <w:t xml:space="preserve">(DPP) may </w:t>
      </w:r>
      <w:r>
        <w:rPr>
          <w:color w:val="231F20"/>
          <w:sz w:val="20"/>
        </w:rPr>
        <w:t xml:space="preserve">withdraw or downgrade charges during negotiations with the </w:t>
      </w:r>
      <w:r>
        <w:rPr>
          <w:color w:val="231F20"/>
          <w:spacing w:val="-3"/>
          <w:sz w:val="20"/>
        </w:rPr>
        <w:t xml:space="preserve">defence </w:t>
      </w:r>
      <w:r>
        <w:rPr>
          <w:color w:val="231F20"/>
          <w:sz w:val="20"/>
        </w:rPr>
        <w:t xml:space="preserve">or </w:t>
      </w:r>
      <w:proofErr w:type="gramStart"/>
      <w:r>
        <w:rPr>
          <w:color w:val="231F20"/>
          <w:sz w:val="20"/>
        </w:rPr>
        <w:t xml:space="preserve">as a </w:t>
      </w:r>
      <w:r>
        <w:rPr>
          <w:color w:val="231F20"/>
          <w:spacing w:val="-3"/>
          <w:sz w:val="20"/>
        </w:rPr>
        <w:t xml:space="preserve">result </w:t>
      </w:r>
      <w:r>
        <w:rPr>
          <w:color w:val="231F20"/>
          <w:sz w:val="20"/>
        </w:rPr>
        <w:t>of</w:t>
      </w:r>
      <w:proofErr w:type="gramEnd"/>
      <w:r>
        <w:rPr>
          <w:color w:val="231F20"/>
          <w:sz w:val="20"/>
        </w:rPr>
        <w:t xml:space="preserve"> their </w:t>
      </w:r>
      <w:r>
        <w:rPr>
          <w:color w:val="231F20"/>
          <w:spacing w:val="-3"/>
          <w:sz w:val="20"/>
        </w:rPr>
        <w:t xml:space="preserve">own </w:t>
      </w:r>
      <w:r>
        <w:rPr>
          <w:color w:val="231F20"/>
          <w:sz w:val="20"/>
        </w:rPr>
        <w:t>case</w:t>
      </w:r>
      <w:r>
        <w:rPr>
          <w:color w:val="231F20"/>
          <w:spacing w:val="-14"/>
          <w:sz w:val="20"/>
        </w:rPr>
        <w:t xml:space="preserve"> </w:t>
      </w:r>
      <w:r>
        <w:rPr>
          <w:color w:val="231F20"/>
          <w:spacing w:val="-4"/>
          <w:sz w:val="20"/>
        </w:rPr>
        <w:t>review.</w:t>
      </w:r>
      <w:r>
        <w:rPr>
          <w:color w:val="231F20"/>
          <w:spacing w:val="-4"/>
          <w:position w:val="7"/>
          <w:sz w:val="11"/>
        </w:rPr>
        <w:t>110</w:t>
      </w:r>
    </w:p>
    <w:p w14:paraId="68C14148" w14:textId="77777777" w:rsidR="00894070" w:rsidRDefault="009B7AFD">
      <w:pPr>
        <w:pStyle w:val="ListParagraph"/>
        <w:numPr>
          <w:ilvl w:val="1"/>
          <w:numId w:val="177"/>
        </w:numPr>
        <w:tabs>
          <w:tab w:val="left" w:pos="1801"/>
          <w:tab w:val="left" w:pos="1802"/>
        </w:tabs>
        <w:spacing w:before="125" w:line="206" w:lineRule="auto"/>
        <w:ind w:right="1671"/>
        <w:rPr>
          <w:sz w:val="20"/>
        </w:rPr>
      </w:pPr>
      <w:r>
        <w:rPr>
          <w:color w:val="231F20"/>
          <w:sz w:val="20"/>
        </w:rPr>
        <w:t>The</w:t>
      </w:r>
      <w:r>
        <w:rPr>
          <w:color w:val="231F20"/>
          <w:spacing w:val="-11"/>
          <w:sz w:val="20"/>
        </w:rPr>
        <w:t xml:space="preserve"> </w:t>
      </w:r>
      <w:r>
        <w:rPr>
          <w:color w:val="231F20"/>
          <w:sz w:val="20"/>
        </w:rPr>
        <w:t>Sentencing</w:t>
      </w:r>
      <w:r>
        <w:rPr>
          <w:color w:val="231F20"/>
          <w:spacing w:val="-11"/>
          <w:sz w:val="20"/>
        </w:rPr>
        <w:t xml:space="preserve"> </w:t>
      </w:r>
      <w:r>
        <w:rPr>
          <w:color w:val="231F20"/>
          <w:sz w:val="20"/>
        </w:rPr>
        <w:t>Advisory</w:t>
      </w:r>
      <w:r>
        <w:rPr>
          <w:color w:val="231F20"/>
          <w:spacing w:val="-11"/>
          <w:sz w:val="20"/>
        </w:rPr>
        <w:t xml:space="preserve"> </w:t>
      </w:r>
      <w:r>
        <w:rPr>
          <w:color w:val="231F20"/>
          <w:sz w:val="20"/>
        </w:rPr>
        <w:t>Council</w:t>
      </w:r>
      <w:r>
        <w:rPr>
          <w:color w:val="231F20"/>
          <w:spacing w:val="-10"/>
          <w:sz w:val="20"/>
        </w:rPr>
        <w:t xml:space="preserve"> </w:t>
      </w:r>
      <w:r>
        <w:rPr>
          <w:color w:val="231F20"/>
          <w:sz w:val="20"/>
        </w:rPr>
        <w:t>explains</w:t>
      </w:r>
      <w:r>
        <w:rPr>
          <w:color w:val="231F20"/>
          <w:spacing w:val="-11"/>
          <w:sz w:val="20"/>
        </w:rPr>
        <w:t xml:space="preserve"> </w:t>
      </w:r>
      <w:r>
        <w:rPr>
          <w:color w:val="231F20"/>
          <w:spacing w:val="-3"/>
          <w:sz w:val="20"/>
        </w:rPr>
        <w:t>how</w:t>
      </w:r>
      <w:r>
        <w:rPr>
          <w:color w:val="231F20"/>
          <w:spacing w:val="-11"/>
          <w:sz w:val="20"/>
        </w:rPr>
        <w:t xml:space="preserve"> </w:t>
      </w:r>
      <w:r>
        <w:rPr>
          <w:color w:val="231F20"/>
          <w:sz w:val="20"/>
        </w:rPr>
        <w:t>these</w:t>
      </w:r>
      <w:r>
        <w:rPr>
          <w:color w:val="231F20"/>
          <w:spacing w:val="-11"/>
          <w:sz w:val="20"/>
        </w:rPr>
        <w:t xml:space="preserve"> </w:t>
      </w:r>
      <w:r>
        <w:rPr>
          <w:color w:val="231F20"/>
          <w:sz w:val="20"/>
        </w:rPr>
        <w:t>negotiations</w:t>
      </w:r>
      <w:r>
        <w:rPr>
          <w:color w:val="231F20"/>
          <w:spacing w:val="-10"/>
          <w:sz w:val="20"/>
        </w:rPr>
        <w:t xml:space="preserve"> </w:t>
      </w:r>
      <w:r>
        <w:rPr>
          <w:color w:val="231F20"/>
          <w:spacing w:val="-3"/>
          <w:sz w:val="20"/>
        </w:rPr>
        <w:t>may</w:t>
      </w:r>
      <w:r>
        <w:rPr>
          <w:color w:val="231F20"/>
          <w:spacing w:val="-11"/>
          <w:sz w:val="20"/>
        </w:rPr>
        <w:t xml:space="preserve"> </w:t>
      </w:r>
      <w:r>
        <w:rPr>
          <w:color w:val="231F20"/>
          <w:sz w:val="20"/>
        </w:rPr>
        <w:t>play</w:t>
      </w:r>
      <w:r>
        <w:rPr>
          <w:color w:val="231F20"/>
          <w:spacing w:val="-11"/>
          <w:sz w:val="20"/>
        </w:rPr>
        <w:t xml:space="preserve"> </w:t>
      </w:r>
      <w:r>
        <w:rPr>
          <w:color w:val="231F20"/>
          <w:sz w:val="20"/>
        </w:rPr>
        <w:t>out</w:t>
      </w:r>
      <w:r>
        <w:rPr>
          <w:color w:val="231F20"/>
          <w:spacing w:val="-11"/>
          <w:sz w:val="20"/>
        </w:rPr>
        <w:t xml:space="preserve"> </w:t>
      </w:r>
      <w:r>
        <w:rPr>
          <w:color w:val="231F20"/>
          <w:sz w:val="20"/>
        </w:rPr>
        <w:t>in practice and</w:t>
      </w:r>
      <w:r>
        <w:rPr>
          <w:color w:val="231F20"/>
          <w:spacing w:val="-9"/>
          <w:sz w:val="20"/>
        </w:rPr>
        <w:t xml:space="preserve"> </w:t>
      </w:r>
      <w:r>
        <w:rPr>
          <w:color w:val="231F20"/>
          <w:spacing w:val="-3"/>
          <w:sz w:val="20"/>
        </w:rPr>
        <w:t>why:</w:t>
      </w:r>
    </w:p>
    <w:p w14:paraId="58F261AA" w14:textId="77777777" w:rsidR="00894070" w:rsidRDefault="009B7AFD">
      <w:pPr>
        <w:spacing w:before="120" w:line="208" w:lineRule="auto"/>
        <w:ind w:left="2254" w:right="1459"/>
        <w:rPr>
          <w:sz w:val="11"/>
        </w:rPr>
      </w:pPr>
      <w:r>
        <w:rPr>
          <w:color w:val="231F20"/>
          <w:sz w:val="19"/>
        </w:rPr>
        <w:t>The decision of which charges to apply to stalking-like behaviour turns on a combination of prosecutorial discretion and plea negotiations … even if stalking charges are laid by police and prosecutors, those charges are often the focus for defence lawyers in plea negotiations, given the high maximum penalty for the stalking offence (10 years’ imprisonment), and often are dropped by prosecutors, given the comparative ease of proving incident-based offences or breaches of intervention orders.</w:t>
      </w:r>
      <w:r>
        <w:rPr>
          <w:color w:val="231F20"/>
          <w:position w:val="6"/>
          <w:sz w:val="11"/>
        </w:rPr>
        <w:t>111</w:t>
      </w:r>
    </w:p>
    <w:p w14:paraId="65998FEC" w14:textId="77777777" w:rsidR="00894070" w:rsidRDefault="009B7AFD">
      <w:pPr>
        <w:pStyle w:val="ListParagraph"/>
        <w:numPr>
          <w:ilvl w:val="1"/>
          <w:numId w:val="177"/>
        </w:numPr>
        <w:tabs>
          <w:tab w:val="left" w:pos="1801"/>
          <w:tab w:val="left" w:pos="1802"/>
        </w:tabs>
        <w:spacing w:before="94"/>
        <w:rPr>
          <w:sz w:val="20"/>
        </w:rPr>
      </w:pPr>
      <w:r>
        <w:rPr>
          <w:color w:val="231F20"/>
          <w:sz w:val="20"/>
        </w:rPr>
        <w:t xml:space="preserve">Derryn </w:t>
      </w:r>
      <w:r>
        <w:rPr>
          <w:color w:val="231F20"/>
          <w:spacing w:val="-4"/>
          <w:sz w:val="20"/>
        </w:rPr>
        <w:t xml:space="preserve">Hinch’s </w:t>
      </w:r>
      <w:r>
        <w:rPr>
          <w:color w:val="231F20"/>
          <w:sz w:val="20"/>
        </w:rPr>
        <w:t xml:space="preserve">Justice Party </w:t>
      </w:r>
      <w:r>
        <w:rPr>
          <w:color w:val="231F20"/>
          <w:spacing w:val="-3"/>
          <w:sz w:val="20"/>
        </w:rPr>
        <w:t xml:space="preserve">told </w:t>
      </w:r>
      <w:r>
        <w:rPr>
          <w:color w:val="231F20"/>
          <w:sz w:val="20"/>
        </w:rPr>
        <w:t>us that there</w:t>
      </w:r>
      <w:r>
        <w:rPr>
          <w:color w:val="231F20"/>
          <w:spacing w:val="-27"/>
          <w:sz w:val="20"/>
        </w:rPr>
        <w:t xml:space="preserve"> </w:t>
      </w:r>
      <w:r>
        <w:rPr>
          <w:color w:val="231F20"/>
          <w:sz w:val="20"/>
        </w:rPr>
        <w:t>is:</w:t>
      </w:r>
    </w:p>
    <w:p w14:paraId="4F33306B" w14:textId="77777777" w:rsidR="00894070" w:rsidRDefault="009B7AFD">
      <w:pPr>
        <w:spacing w:before="112" w:line="208" w:lineRule="auto"/>
        <w:ind w:left="2254" w:right="1219"/>
        <w:rPr>
          <w:sz w:val="11"/>
        </w:rPr>
      </w:pPr>
      <w:r>
        <w:rPr>
          <w:color w:val="231F20"/>
          <w:sz w:val="19"/>
        </w:rPr>
        <w:t>at least a basic obligation for the OPP to actively prosecute offenders to the full extent of the law—and we are frustrated by the regular downgrading of charges and early settlements of cases in Victoria.</w:t>
      </w:r>
      <w:r>
        <w:rPr>
          <w:color w:val="231F20"/>
          <w:position w:val="6"/>
          <w:sz w:val="11"/>
        </w:rPr>
        <w:t>112</w:t>
      </w:r>
    </w:p>
    <w:p w14:paraId="79D550FC" w14:textId="77777777" w:rsidR="00894070" w:rsidRDefault="009B7AFD">
      <w:pPr>
        <w:pStyle w:val="ListParagraph"/>
        <w:numPr>
          <w:ilvl w:val="1"/>
          <w:numId w:val="177"/>
        </w:numPr>
        <w:tabs>
          <w:tab w:val="left" w:pos="1801"/>
          <w:tab w:val="left" w:pos="1802"/>
        </w:tabs>
        <w:spacing w:before="124" w:line="206" w:lineRule="auto"/>
        <w:ind w:right="1200"/>
        <w:rPr>
          <w:sz w:val="20"/>
        </w:rPr>
      </w:pPr>
      <w:r>
        <w:rPr>
          <w:color w:val="231F20"/>
          <w:sz w:val="20"/>
        </w:rPr>
        <w:t>There</w:t>
      </w:r>
      <w:r>
        <w:rPr>
          <w:color w:val="231F20"/>
          <w:spacing w:val="-10"/>
          <w:sz w:val="20"/>
        </w:rPr>
        <w:t xml:space="preserve"> </w:t>
      </w:r>
      <w:r>
        <w:rPr>
          <w:color w:val="231F20"/>
          <w:sz w:val="20"/>
        </w:rPr>
        <w:t>can</w:t>
      </w:r>
      <w:r>
        <w:rPr>
          <w:color w:val="231F20"/>
          <w:spacing w:val="-9"/>
          <w:sz w:val="20"/>
        </w:rPr>
        <w:t xml:space="preserve"> </w:t>
      </w:r>
      <w:r>
        <w:rPr>
          <w:color w:val="231F20"/>
          <w:sz w:val="20"/>
        </w:rPr>
        <w:t>be</w:t>
      </w:r>
      <w:r>
        <w:rPr>
          <w:color w:val="231F20"/>
          <w:spacing w:val="-9"/>
          <w:sz w:val="20"/>
        </w:rPr>
        <w:t xml:space="preserve"> </w:t>
      </w:r>
      <w:r>
        <w:rPr>
          <w:color w:val="231F20"/>
          <w:sz w:val="20"/>
        </w:rPr>
        <w:t>valid</w:t>
      </w:r>
      <w:r>
        <w:rPr>
          <w:color w:val="231F20"/>
          <w:spacing w:val="-10"/>
          <w:sz w:val="20"/>
        </w:rPr>
        <w:t xml:space="preserve"> </w:t>
      </w:r>
      <w:r>
        <w:rPr>
          <w:color w:val="231F20"/>
          <w:sz w:val="20"/>
        </w:rPr>
        <w:t>reasons</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dropping</w:t>
      </w:r>
      <w:r>
        <w:rPr>
          <w:color w:val="231F20"/>
          <w:spacing w:val="-9"/>
          <w:sz w:val="20"/>
        </w:rPr>
        <w:t xml:space="preserve"> </w:t>
      </w:r>
      <w:r>
        <w:rPr>
          <w:color w:val="231F20"/>
          <w:sz w:val="20"/>
        </w:rPr>
        <w:t>stalking</w:t>
      </w:r>
      <w:r>
        <w:rPr>
          <w:color w:val="231F20"/>
          <w:spacing w:val="-10"/>
          <w:sz w:val="20"/>
        </w:rPr>
        <w:t xml:space="preserve"> </w:t>
      </w:r>
      <w:r>
        <w:rPr>
          <w:color w:val="231F20"/>
          <w:sz w:val="20"/>
        </w:rPr>
        <w:t>charges,</w:t>
      </w:r>
      <w:r>
        <w:rPr>
          <w:color w:val="231F20"/>
          <w:spacing w:val="-9"/>
          <w:sz w:val="20"/>
        </w:rPr>
        <w:t xml:space="preserve"> </w:t>
      </w:r>
      <w:r>
        <w:rPr>
          <w:color w:val="231F20"/>
          <w:sz w:val="20"/>
        </w:rPr>
        <w:t>such</w:t>
      </w:r>
      <w:r>
        <w:rPr>
          <w:color w:val="231F20"/>
          <w:spacing w:val="-9"/>
          <w:sz w:val="20"/>
        </w:rPr>
        <w:t xml:space="preserve"> </w:t>
      </w:r>
      <w:r>
        <w:rPr>
          <w:color w:val="231F20"/>
          <w:sz w:val="20"/>
        </w:rPr>
        <w:t>as</w:t>
      </w:r>
      <w:r>
        <w:rPr>
          <w:color w:val="231F20"/>
          <w:spacing w:val="-9"/>
          <w:sz w:val="20"/>
        </w:rPr>
        <w:t xml:space="preserve"> </w:t>
      </w:r>
      <w:r>
        <w:rPr>
          <w:color w:val="231F20"/>
          <w:spacing w:val="-3"/>
          <w:sz w:val="20"/>
        </w:rPr>
        <w:t>revised</w:t>
      </w:r>
      <w:r>
        <w:rPr>
          <w:color w:val="231F20"/>
          <w:spacing w:val="-10"/>
          <w:sz w:val="20"/>
        </w:rPr>
        <w:t xml:space="preserve"> </w:t>
      </w:r>
      <w:r>
        <w:rPr>
          <w:color w:val="231F20"/>
          <w:sz w:val="20"/>
        </w:rPr>
        <w:t xml:space="preserve">assessments of the evidence or new evidence coming to light. </w:t>
      </w:r>
      <w:r>
        <w:rPr>
          <w:color w:val="231F20"/>
          <w:spacing w:val="-3"/>
          <w:sz w:val="20"/>
        </w:rPr>
        <w:t xml:space="preserve">Early resolution </w:t>
      </w:r>
      <w:r>
        <w:rPr>
          <w:color w:val="231F20"/>
          <w:sz w:val="20"/>
        </w:rPr>
        <w:t xml:space="preserve">of cases </w:t>
      </w:r>
      <w:r>
        <w:rPr>
          <w:color w:val="231F20"/>
          <w:spacing w:val="-3"/>
          <w:sz w:val="20"/>
        </w:rPr>
        <w:t xml:space="preserve">may </w:t>
      </w:r>
      <w:r>
        <w:rPr>
          <w:color w:val="231F20"/>
          <w:sz w:val="20"/>
        </w:rPr>
        <w:t xml:space="preserve">be </w:t>
      </w:r>
      <w:r>
        <w:rPr>
          <w:color w:val="231F20"/>
          <w:spacing w:val="-2"/>
          <w:sz w:val="20"/>
        </w:rPr>
        <w:t xml:space="preserve">welcomed </w:t>
      </w:r>
      <w:r>
        <w:rPr>
          <w:color w:val="231F20"/>
          <w:spacing w:val="-3"/>
          <w:sz w:val="20"/>
        </w:rPr>
        <w:t xml:space="preserve">by </w:t>
      </w:r>
      <w:r>
        <w:rPr>
          <w:color w:val="231F20"/>
          <w:sz w:val="20"/>
        </w:rPr>
        <w:t xml:space="preserve">some victim survivors. But the practice of discontinuing or withdrawing stalking charges in plea negotiations </w:t>
      </w:r>
      <w:r>
        <w:rPr>
          <w:color w:val="231F20"/>
          <w:spacing w:val="-3"/>
          <w:sz w:val="20"/>
        </w:rPr>
        <w:t xml:space="preserve">may </w:t>
      </w:r>
      <w:r>
        <w:rPr>
          <w:color w:val="231F20"/>
          <w:sz w:val="20"/>
        </w:rPr>
        <w:t xml:space="preserve">also </w:t>
      </w:r>
      <w:r>
        <w:rPr>
          <w:color w:val="231F20"/>
          <w:spacing w:val="-4"/>
          <w:sz w:val="20"/>
        </w:rPr>
        <w:t xml:space="preserve">have </w:t>
      </w:r>
      <w:r>
        <w:rPr>
          <w:color w:val="231F20"/>
          <w:spacing w:val="-3"/>
          <w:sz w:val="20"/>
        </w:rPr>
        <w:t>negative</w:t>
      </w:r>
      <w:r>
        <w:rPr>
          <w:color w:val="231F20"/>
          <w:spacing w:val="-35"/>
          <w:sz w:val="20"/>
        </w:rPr>
        <w:t xml:space="preserve"> </w:t>
      </w:r>
      <w:r>
        <w:rPr>
          <w:color w:val="231F20"/>
          <w:spacing w:val="-3"/>
          <w:sz w:val="20"/>
        </w:rPr>
        <w:t>outcomes:</w:t>
      </w:r>
    </w:p>
    <w:p w14:paraId="0790C4C4" w14:textId="77777777" w:rsidR="00894070" w:rsidRDefault="009B7AFD">
      <w:pPr>
        <w:pStyle w:val="ListParagraph"/>
        <w:numPr>
          <w:ilvl w:val="2"/>
          <w:numId w:val="177"/>
        </w:numPr>
        <w:tabs>
          <w:tab w:val="left" w:pos="2141"/>
          <w:tab w:val="left" w:pos="2142"/>
        </w:tabs>
        <w:spacing w:before="93" w:line="259" w:lineRule="exact"/>
        <w:ind w:hanging="340"/>
        <w:rPr>
          <w:sz w:val="20"/>
        </w:rPr>
      </w:pPr>
      <w:r>
        <w:rPr>
          <w:color w:val="231F20"/>
          <w:sz w:val="20"/>
        </w:rPr>
        <w:t>It</w:t>
      </w:r>
      <w:r>
        <w:rPr>
          <w:color w:val="231F20"/>
          <w:spacing w:val="-6"/>
          <w:sz w:val="20"/>
        </w:rPr>
        <w:t xml:space="preserve"> </w:t>
      </w:r>
      <w:r>
        <w:rPr>
          <w:color w:val="231F20"/>
          <w:spacing w:val="-3"/>
          <w:sz w:val="20"/>
        </w:rPr>
        <w:t>may</w:t>
      </w:r>
      <w:r>
        <w:rPr>
          <w:color w:val="231F20"/>
          <w:spacing w:val="-5"/>
          <w:sz w:val="20"/>
        </w:rPr>
        <w:t xml:space="preserve"> </w:t>
      </w:r>
      <w:r>
        <w:rPr>
          <w:color w:val="231F20"/>
          <w:sz w:val="20"/>
        </w:rPr>
        <w:t>be</w:t>
      </w:r>
      <w:r>
        <w:rPr>
          <w:color w:val="231F20"/>
          <w:spacing w:val="-5"/>
          <w:sz w:val="20"/>
        </w:rPr>
        <w:t xml:space="preserve"> </w:t>
      </w:r>
      <w:r>
        <w:rPr>
          <w:color w:val="231F20"/>
          <w:sz w:val="20"/>
        </w:rPr>
        <w:t>traumatic</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5"/>
          <w:sz w:val="20"/>
        </w:rPr>
        <w:t xml:space="preserve"> </w:t>
      </w:r>
      <w:r>
        <w:rPr>
          <w:color w:val="231F20"/>
          <w:sz w:val="20"/>
        </w:rPr>
        <w:t>who</w:t>
      </w:r>
      <w:r>
        <w:rPr>
          <w:color w:val="231F20"/>
          <w:spacing w:val="-6"/>
          <w:sz w:val="20"/>
        </w:rPr>
        <w:t xml:space="preserve"> </w:t>
      </w:r>
      <w:r>
        <w:rPr>
          <w:color w:val="231F20"/>
          <w:sz w:val="20"/>
        </w:rPr>
        <w:t>feel</w:t>
      </w:r>
      <w:r>
        <w:rPr>
          <w:color w:val="231F20"/>
          <w:spacing w:val="-5"/>
          <w:sz w:val="20"/>
        </w:rPr>
        <w:t xml:space="preserve"> </w:t>
      </w:r>
      <w:r>
        <w:rPr>
          <w:color w:val="231F20"/>
          <w:sz w:val="20"/>
        </w:rPr>
        <w:t>the</w:t>
      </w:r>
      <w:r>
        <w:rPr>
          <w:color w:val="231F20"/>
          <w:spacing w:val="-5"/>
          <w:sz w:val="20"/>
        </w:rPr>
        <w:t xml:space="preserve"> </w:t>
      </w:r>
      <w:r>
        <w:rPr>
          <w:color w:val="231F20"/>
          <w:sz w:val="20"/>
        </w:rPr>
        <w:t>harm</w:t>
      </w:r>
      <w:r>
        <w:rPr>
          <w:color w:val="231F20"/>
          <w:spacing w:val="-5"/>
          <w:sz w:val="20"/>
        </w:rPr>
        <w:t xml:space="preserve"> </w:t>
      </w:r>
      <w:r>
        <w:rPr>
          <w:color w:val="231F20"/>
          <w:sz w:val="20"/>
        </w:rPr>
        <w:t>is</w:t>
      </w:r>
      <w:r>
        <w:rPr>
          <w:color w:val="231F20"/>
          <w:spacing w:val="-6"/>
          <w:sz w:val="20"/>
        </w:rPr>
        <w:t xml:space="preserve"> </w:t>
      </w:r>
      <w:r>
        <w:rPr>
          <w:color w:val="231F20"/>
          <w:sz w:val="20"/>
        </w:rPr>
        <w:t>not</w:t>
      </w:r>
      <w:r>
        <w:rPr>
          <w:color w:val="231F20"/>
          <w:spacing w:val="-5"/>
          <w:sz w:val="20"/>
        </w:rPr>
        <w:t xml:space="preserve"> </w:t>
      </w:r>
      <w:r>
        <w:rPr>
          <w:color w:val="231F20"/>
          <w:sz w:val="20"/>
        </w:rPr>
        <w:t>being</w:t>
      </w:r>
      <w:r>
        <w:rPr>
          <w:color w:val="231F20"/>
          <w:spacing w:val="-5"/>
          <w:sz w:val="20"/>
        </w:rPr>
        <w:t xml:space="preserve"> </w:t>
      </w:r>
      <w:r>
        <w:rPr>
          <w:color w:val="231F20"/>
          <w:sz w:val="20"/>
        </w:rPr>
        <w:t>taken</w:t>
      </w:r>
    </w:p>
    <w:p w14:paraId="57D9585C" w14:textId="77777777" w:rsidR="00894070" w:rsidRDefault="009B7AFD">
      <w:pPr>
        <w:pStyle w:val="BodyText"/>
        <w:spacing w:line="259" w:lineRule="exact"/>
        <w:ind w:left="2141"/>
        <w:rPr>
          <w:sz w:val="11"/>
        </w:rPr>
      </w:pPr>
      <w:r>
        <w:rPr>
          <w:color w:val="231F20"/>
        </w:rPr>
        <w:t>seriously or is being dismissed.</w:t>
      </w:r>
      <w:r>
        <w:rPr>
          <w:color w:val="231F20"/>
          <w:position w:val="7"/>
          <w:sz w:val="11"/>
        </w:rPr>
        <w:t>113</w:t>
      </w:r>
    </w:p>
    <w:p w14:paraId="481FB45D" w14:textId="77777777" w:rsidR="00894070" w:rsidRDefault="009B7AFD">
      <w:pPr>
        <w:pStyle w:val="ListParagraph"/>
        <w:numPr>
          <w:ilvl w:val="2"/>
          <w:numId w:val="177"/>
        </w:numPr>
        <w:tabs>
          <w:tab w:val="left" w:pos="2141"/>
          <w:tab w:val="left" w:pos="2142"/>
        </w:tabs>
        <w:spacing w:before="48"/>
        <w:ind w:hanging="340"/>
        <w:rPr>
          <w:sz w:val="11"/>
        </w:rPr>
      </w:pPr>
      <w:r>
        <w:rPr>
          <w:color w:val="231F20"/>
          <w:sz w:val="20"/>
        </w:rPr>
        <w:t>It</w:t>
      </w:r>
      <w:r>
        <w:rPr>
          <w:color w:val="231F20"/>
          <w:spacing w:val="-6"/>
          <w:sz w:val="20"/>
        </w:rPr>
        <w:t xml:space="preserve"> </w:t>
      </w:r>
      <w:r>
        <w:rPr>
          <w:color w:val="231F20"/>
          <w:spacing w:val="-3"/>
          <w:sz w:val="20"/>
        </w:rPr>
        <w:t>may</w:t>
      </w:r>
      <w:r>
        <w:rPr>
          <w:color w:val="231F20"/>
          <w:spacing w:val="-5"/>
          <w:sz w:val="20"/>
        </w:rPr>
        <w:t xml:space="preserve"> </w:t>
      </w:r>
      <w:r>
        <w:rPr>
          <w:color w:val="231F20"/>
          <w:sz w:val="20"/>
        </w:rPr>
        <w:t>limit</w:t>
      </w:r>
      <w:r>
        <w:rPr>
          <w:color w:val="231F20"/>
          <w:spacing w:val="-6"/>
          <w:sz w:val="20"/>
        </w:rPr>
        <w:t xml:space="preserve"> </w:t>
      </w:r>
      <w:r>
        <w:rPr>
          <w:color w:val="231F20"/>
          <w:sz w:val="20"/>
        </w:rPr>
        <w:t>the</w:t>
      </w:r>
      <w:r>
        <w:rPr>
          <w:color w:val="231F20"/>
          <w:spacing w:val="-5"/>
          <w:sz w:val="20"/>
        </w:rPr>
        <w:t xml:space="preserve"> </w:t>
      </w:r>
      <w:r>
        <w:rPr>
          <w:color w:val="231F20"/>
          <w:sz w:val="20"/>
        </w:rPr>
        <w:t>availability</w:t>
      </w:r>
      <w:r>
        <w:rPr>
          <w:color w:val="231F20"/>
          <w:spacing w:val="-6"/>
          <w:sz w:val="20"/>
        </w:rPr>
        <w:t xml:space="preserve"> </w:t>
      </w:r>
      <w:r>
        <w:rPr>
          <w:color w:val="231F20"/>
          <w:sz w:val="20"/>
        </w:rPr>
        <w:t>of</w:t>
      </w:r>
      <w:r>
        <w:rPr>
          <w:color w:val="231F20"/>
          <w:spacing w:val="-5"/>
          <w:sz w:val="20"/>
        </w:rPr>
        <w:t xml:space="preserve"> </w:t>
      </w:r>
      <w:r>
        <w:rPr>
          <w:color w:val="231F20"/>
          <w:spacing w:val="-3"/>
          <w:sz w:val="20"/>
        </w:rPr>
        <w:t>treatment</w:t>
      </w:r>
      <w:r>
        <w:rPr>
          <w:color w:val="231F20"/>
          <w:spacing w:val="-6"/>
          <w:sz w:val="20"/>
        </w:rPr>
        <w:t xml:space="preserve"> </w:t>
      </w:r>
      <w:r>
        <w:rPr>
          <w:color w:val="231F20"/>
          <w:sz w:val="20"/>
        </w:rPr>
        <w:t>or</w:t>
      </w:r>
      <w:r>
        <w:rPr>
          <w:color w:val="231F20"/>
          <w:spacing w:val="-5"/>
          <w:sz w:val="20"/>
        </w:rPr>
        <w:t xml:space="preserve"> </w:t>
      </w:r>
      <w:r>
        <w:rPr>
          <w:color w:val="231F20"/>
          <w:sz w:val="20"/>
        </w:rPr>
        <w:t>rehabilitation</w:t>
      </w:r>
      <w:r>
        <w:rPr>
          <w:color w:val="231F20"/>
          <w:spacing w:val="-6"/>
          <w:sz w:val="20"/>
        </w:rPr>
        <w:t xml:space="preserve"> </w:t>
      </w:r>
      <w:r>
        <w:rPr>
          <w:color w:val="231F20"/>
          <w:sz w:val="20"/>
        </w:rPr>
        <w:t>programs</w:t>
      </w:r>
      <w:r>
        <w:rPr>
          <w:color w:val="231F20"/>
          <w:spacing w:val="-5"/>
          <w:sz w:val="20"/>
        </w:rPr>
        <w:t xml:space="preserve"> </w:t>
      </w:r>
      <w:r>
        <w:rPr>
          <w:color w:val="231F20"/>
          <w:sz w:val="20"/>
        </w:rPr>
        <w:t>(see</w:t>
      </w:r>
      <w:r>
        <w:rPr>
          <w:color w:val="231F20"/>
          <w:spacing w:val="-5"/>
          <w:sz w:val="20"/>
        </w:rPr>
        <w:t xml:space="preserve"> </w:t>
      </w:r>
      <w:r>
        <w:rPr>
          <w:color w:val="231F20"/>
          <w:spacing w:val="-3"/>
          <w:sz w:val="20"/>
        </w:rPr>
        <w:t>Chapter</w:t>
      </w:r>
      <w:r>
        <w:rPr>
          <w:color w:val="231F20"/>
          <w:spacing w:val="-6"/>
          <w:sz w:val="20"/>
        </w:rPr>
        <w:t xml:space="preserve"> </w:t>
      </w:r>
      <w:r>
        <w:rPr>
          <w:color w:val="231F20"/>
          <w:sz w:val="20"/>
        </w:rPr>
        <w:t>8).</w:t>
      </w:r>
      <w:r>
        <w:rPr>
          <w:color w:val="231F20"/>
          <w:position w:val="7"/>
          <w:sz w:val="11"/>
        </w:rPr>
        <w:t>114</w:t>
      </w:r>
    </w:p>
    <w:p w14:paraId="03571FB1" w14:textId="77777777" w:rsidR="00894070" w:rsidRDefault="009B7AFD">
      <w:pPr>
        <w:pStyle w:val="ListParagraph"/>
        <w:numPr>
          <w:ilvl w:val="1"/>
          <w:numId w:val="177"/>
        </w:numPr>
        <w:tabs>
          <w:tab w:val="left" w:pos="1801"/>
          <w:tab w:val="left" w:pos="1802"/>
        </w:tabs>
        <w:spacing w:before="47" w:line="259" w:lineRule="exact"/>
        <w:rPr>
          <w:sz w:val="20"/>
        </w:rPr>
      </w:pPr>
      <w:r>
        <w:rPr>
          <w:color w:val="231F20"/>
          <w:sz w:val="20"/>
        </w:rPr>
        <w:t>The</w:t>
      </w:r>
      <w:r>
        <w:rPr>
          <w:color w:val="231F20"/>
          <w:spacing w:val="-5"/>
          <w:sz w:val="20"/>
        </w:rPr>
        <w:t xml:space="preserve"> </w:t>
      </w:r>
      <w:r>
        <w:rPr>
          <w:color w:val="231F20"/>
          <w:sz w:val="20"/>
        </w:rPr>
        <w:t>Sentencing</w:t>
      </w:r>
      <w:r>
        <w:rPr>
          <w:color w:val="231F20"/>
          <w:spacing w:val="-5"/>
          <w:sz w:val="20"/>
        </w:rPr>
        <w:t xml:space="preserve"> </w:t>
      </w:r>
      <w:r>
        <w:rPr>
          <w:color w:val="231F20"/>
          <w:sz w:val="20"/>
        </w:rPr>
        <w:t>Advisory</w:t>
      </w:r>
      <w:r>
        <w:rPr>
          <w:color w:val="231F20"/>
          <w:spacing w:val="-6"/>
          <w:sz w:val="20"/>
        </w:rPr>
        <w:t xml:space="preserve"> </w:t>
      </w:r>
      <w:r>
        <w:rPr>
          <w:color w:val="231F20"/>
          <w:sz w:val="20"/>
        </w:rPr>
        <w:t>Council</w:t>
      </w:r>
      <w:r>
        <w:rPr>
          <w:color w:val="231F20"/>
          <w:spacing w:val="-5"/>
          <w:sz w:val="20"/>
        </w:rPr>
        <w:t xml:space="preserve"> </w:t>
      </w:r>
      <w:r>
        <w:rPr>
          <w:color w:val="231F20"/>
          <w:sz w:val="20"/>
        </w:rPr>
        <w:t>noted</w:t>
      </w:r>
      <w:r>
        <w:rPr>
          <w:color w:val="231F20"/>
          <w:spacing w:val="-5"/>
          <w:sz w:val="20"/>
        </w:rPr>
        <w:t xml:space="preserve"> </w:t>
      </w:r>
      <w:r>
        <w:rPr>
          <w:color w:val="231F20"/>
          <w:sz w:val="20"/>
        </w:rPr>
        <w:t>the</w:t>
      </w:r>
      <w:r>
        <w:rPr>
          <w:color w:val="231F20"/>
          <w:spacing w:val="-5"/>
          <w:sz w:val="20"/>
        </w:rPr>
        <w:t xml:space="preserve"> </w:t>
      </w:r>
      <w:r>
        <w:rPr>
          <w:color w:val="231F20"/>
          <w:sz w:val="20"/>
        </w:rPr>
        <w:t>need</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‘improv[e]</w:t>
      </w:r>
      <w:r>
        <w:rPr>
          <w:color w:val="231F20"/>
          <w:spacing w:val="-5"/>
          <w:sz w:val="20"/>
        </w:rPr>
        <w:t xml:space="preserve"> </w:t>
      </w:r>
      <w:r>
        <w:rPr>
          <w:color w:val="231F20"/>
          <w:spacing w:val="-3"/>
          <w:sz w:val="20"/>
        </w:rPr>
        <w:t>awareness</w:t>
      </w:r>
      <w:r>
        <w:rPr>
          <w:color w:val="231F20"/>
          <w:spacing w:val="-5"/>
          <w:sz w:val="20"/>
        </w:rPr>
        <w:t xml:space="preserve"> </w:t>
      </w:r>
      <w:r>
        <w:rPr>
          <w:color w:val="231F20"/>
          <w:sz w:val="20"/>
        </w:rPr>
        <w:t>of</w:t>
      </w:r>
      <w:r>
        <w:rPr>
          <w:color w:val="231F20"/>
          <w:spacing w:val="-5"/>
          <w:sz w:val="20"/>
        </w:rPr>
        <w:t xml:space="preserve"> </w:t>
      </w:r>
      <w:r>
        <w:rPr>
          <w:color w:val="231F20"/>
          <w:sz w:val="20"/>
        </w:rPr>
        <w:t>the</w:t>
      </w:r>
    </w:p>
    <w:p w14:paraId="40677CDA" w14:textId="77777777" w:rsidR="00894070" w:rsidRDefault="009B7AFD">
      <w:pPr>
        <w:pStyle w:val="BodyText"/>
        <w:spacing w:line="259" w:lineRule="exact"/>
        <w:ind w:left="1801"/>
        <w:rPr>
          <w:sz w:val="11"/>
        </w:rPr>
      </w:pPr>
      <w:r>
        <w:rPr>
          <w:color w:val="231F20"/>
        </w:rPr>
        <w:t>consequences of negotiating away stalking charges’.</w:t>
      </w:r>
      <w:r>
        <w:rPr>
          <w:color w:val="231F20"/>
          <w:position w:val="7"/>
          <w:sz w:val="11"/>
        </w:rPr>
        <w:t>115</w:t>
      </w:r>
    </w:p>
    <w:p w14:paraId="5D2D8FD6" w14:textId="77777777" w:rsidR="00894070" w:rsidRDefault="009B7AFD">
      <w:pPr>
        <w:pStyle w:val="ListParagraph"/>
        <w:numPr>
          <w:ilvl w:val="1"/>
          <w:numId w:val="177"/>
        </w:numPr>
        <w:tabs>
          <w:tab w:val="left" w:pos="1801"/>
          <w:tab w:val="left" w:pos="1802"/>
        </w:tabs>
        <w:spacing w:before="82" w:line="259" w:lineRule="exact"/>
        <w:rPr>
          <w:sz w:val="20"/>
        </w:rPr>
      </w:pPr>
      <w:r>
        <w:rPr>
          <w:color w:val="231F20"/>
          <w:sz w:val="20"/>
        </w:rPr>
        <w:t>Given</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potential</w:t>
      </w:r>
      <w:r>
        <w:rPr>
          <w:color w:val="231F20"/>
          <w:spacing w:val="-5"/>
          <w:sz w:val="20"/>
        </w:rPr>
        <w:t xml:space="preserve"> </w:t>
      </w:r>
      <w:r>
        <w:rPr>
          <w:color w:val="231F20"/>
          <w:spacing w:val="-3"/>
          <w:sz w:val="20"/>
        </w:rPr>
        <w:t>negative</w:t>
      </w:r>
      <w:r>
        <w:rPr>
          <w:color w:val="231F20"/>
          <w:spacing w:val="-5"/>
          <w:sz w:val="20"/>
        </w:rPr>
        <w:t xml:space="preserve"> </w:t>
      </w:r>
      <w:r>
        <w:rPr>
          <w:color w:val="231F20"/>
          <w:sz w:val="20"/>
        </w:rPr>
        <w:t>outcome</w:t>
      </w:r>
      <w:r>
        <w:rPr>
          <w:color w:val="231F20"/>
          <w:spacing w:val="-4"/>
          <w:sz w:val="20"/>
        </w:rPr>
        <w:t xml:space="preserve"> </w:t>
      </w:r>
      <w:r>
        <w:rPr>
          <w:color w:val="231F20"/>
          <w:sz w:val="20"/>
        </w:rPr>
        <w:t>of</w:t>
      </w:r>
      <w:r>
        <w:rPr>
          <w:color w:val="231F20"/>
          <w:spacing w:val="-5"/>
          <w:sz w:val="20"/>
        </w:rPr>
        <w:t xml:space="preserve"> </w:t>
      </w:r>
      <w:r>
        <w:rPr>
          <w:color w:val="231F20"/>
          <w:sz w:val="20"/>
        </w:rPr>
        <w:t>negotiations,</w:t>
      </w:r>
      <w:r>
        <w:rPr>
          <w:color w:val="231F20"/>
          <w:spacing w:val="-5"/>
          <w:sz w:val="20"/>
        </w:rPr>
        <w:t xml:space="preserve"> </w:t>
      </w:r>
      <w:r>
        <w:rPr>
          <w:color w:val="231F20"/>
          <w:sz w:val="20"/>
        </w:rPr>
        <w:t>this</w:t>
      </w:r>
      <w:r>
        <w:rPr>
          <w:color w:val="231F20"/>
          <w:spacing w:val="-5"/>
          <w:sz w:val="20"/>
        </w:rPr>
        <w:t xml:space="preserve"> </w:t>
      </w:r>
      <w:r>
        <w:rPr>
          <w:color w:val="231F20"/>
          <w:sz w:val="20"/>
        </w:rPr>
        <w:t>should</w:t>
      </w:r>
      <w:r>
        <w:rPr>
          <w:color w:val="231F20"/>
          <w:spacing w:val="-5"/>
          <w:sz w:val="20"/>
        </w:rPr>
        <w:t xml:space="preserve"> </w:t>
      </w:r>
      <w:r>
        <w:rPr>
          <w:color w:val="231F20"/>
          <w:sz w:val="20"/>
        </w:rPr>
        <w:t>be</w:t>
      </w:r>
      <w:r>
        <w:rPr>
          <w:color w:val="231F20"/>
          <w:spacing w:val="-5"/>
          <w:sz w:val="20"/>
        </w:rPr>
        <w:t xml:space="preserve"> </w:t>
      </w:r>
      <w:r>
        <w:rPr>
          <w:color w:val="231F20"/>
          <w:sz w:val="20"/>
        </w:rPr>
        <w:t>a</w:t>
      </w:r>
      <w:r>
        <w:rPr>
          <w:color w:val="231F20"/>
          <w:spacing w:val="-4"/>
          <w:sz w:val="20"/>
        </w:rPr>
        <w:t xml:space="preserve"> </w:t>
      </w:r>
      <w:r>
        <w:rPr>
          <w:color w:val="231F20"/>
          <w:spacing w:val="-3"/>
          <w:sz w:val="20"/>
        </w:rPr>
        <w:t>focus</w:t>
      </w:r>
      <w:r>
        <w:rPr>
          <w:color w:val="231F20"/>
          <w:spacing w:val="-5"/>
          <w:sz w:val="20"/>
        </w:rPr>
        <w:t xml:space="preserve"> </w:t>
      </w:r>
      <w:r>
        <w:rPr>
          <w:color w:val="231F20"/>
          <w:sz w:val="20"/>
        </w:rPr>
        <w:t>of</w:t>
      </w:r>
    </w:p>
    <w:p w14:paraId="37F3DA03" w14:textId="77777777" w:rsidR="00894070" w:rsidRDefault="009B7AFD">
      <w:pPr>
        <w:pStyle w:val="BodyText"/>
        <w:spacing w:line="259" w:lineRule="exact"/>
        <w:ind w:left="1801"/>
      </w:pPr>
      <w:r>
        <w:rPr>
          <w:color w:val="231F20"/>
        </w:rPr>
        <w:t>education for prosecutors.</w:t>
      </w:r>
    </w:p>
    <w:p w14:paraId="20FF73B1" w14:textId="77777777" w:rsidR="00894070" w:rsidRDefault="009B7AFD">
      <w:pPr>
        <w:pStyle w:val="ListParagraph"/>
        <w:numPr>
          <w:ilvl w:val="1"/>
          <w:numId w:val="177"/>
        </w:numPr>
        <w:tabs>
          <w:tab w:val="left" w:pos="1801"/>
          <w:tab w:val="left" w:pos="1802"/>
        </w:tabs>
        <w:spacing w:before="115" w:line="206" w:lineRule="auto"/>
        <w:ind w:right="1286"/>
        <w:rPr>
          <w:sz w:val="11"/>
        </w:rPr>
      </w:pPr>
      <w:r>
        <w:rPr>
          <w:color w:val="231F20"/>
          <w:sz w:val="20"/>
        </w:rPr>
        <w:t>In</w:t>
      </w:r>
      <w:r>
        <w:rPr>
          <w:color w:val="231F20"/>
          <w:spacing w:val="-11"/>
          <w:sz w:val="20"/>
        </w:rPr>
        <w:t xml:space="preserve"> </w:t>
      </w:r>
      <w:r>
        <w:rPr>
          <w:color w:val="231F20"/>
          <w:spacing w:val="-3"/>
          <w:sz w:val="20"/>
        </w:rPr>
        <w:t>previous</w:t>
      </w:r>
      <w:r>
        <w:rPr>
          <w:color w:val="231F20"/>
          <w:spacing w:val="-10"/>
          <w:sz w:val="20"/>
        </w:rPr>
        <w:t xml:space="preserve"> </w:t>
      </w:r>
      <w:r>
        <w:rPr>
          <w:color w:val="231F20"/>
          <w:sz w:val="20"/>
        </w:rPr>
        <w:t>reports</w:t>
      </w:r>
      <w:r>
        <w:rPr>
          <w:color w:val="231F20"/>
          <w:spacing w:val="-11"/>
          <w:sz w:val="20"/>
        </w:rPr>
        <w:t xml:space="preserve"> </w:t>
      </w:r>
      <w:r>
        <w:rPr>
          <w:color w:val="231F20"/>
          <w:spacing w:val="-3"/>
          <w:sz w:val="20"/>
        </w:rPr>
        <w:t>we</w:t>
      </w:r>
      <w:r>
        <w:rPr>
          <w:color w:val="231F20"/>
          <w:spacing w:val="-10"/>
          <w:sz w:val="20"/>
        </w:rPr>
        <w:t xml:space="preserve"> </w:t>
      </w:r>
      <w:r>
        <w:rPr>
          <w:color w:val="231F20"/>
          <w:spacing w:val="-4"/>
          <w:sz w:val="20"/>
        </w:rPr>
        <w:t>have</w:t>
      </w:r>
      <w:r>
        <w:rPr>
          <w:color w:val="231F20"/>
          <w:spacing w:val="-10"/>
          <w:sz w:val="20"/>
        </w:rPr>
        <w:t xml:space="preserve"> </w:t>
      </w:r>
      <w:r>
        <w:rPr>
          <w:color w:val="231F20"/>
          <w:sz w:val="20"/>
        </w:rPr>
        <w:t>discussed</w:t>
      </w:r>
      <w:r>
        <w:rPr>
          <w:color w:val="231F20"/>
          <w:spacing w:val="-11"/>
          <w:sz w:val="20"/>
        </w:rPr>
        <w:t xml:space="preserve"> </w:t>
      </w:r>
      <w:r>
        <w:rPr>
          <w:color w:val="231F20"/>
          <w:sz w:val="20"/>
        </w:rPr>
        <w:t>charging</w:t>
      </w:r>
      <w:r>
        <w:rPr>
          <w:color w:val="231F20"/>
          <w:spacing w:val="-10"/>
          <w:sz w:val="20"/>
        </w:rPr>
        <w:t xml:space="preserve"> </w:t>
      </w:r>
      <w:r>
        <w:rPr>
          <w:color w:val="231F20"/>
          <w:sz w:val="20"/>
        </w:rPr>
        <w:t>practices,</w:t>
      </w:r>
      <w:r>
        <w:rPr>
          <w:color w:val="231F20"/>
          <w:spacing w:val="-11"/>
          <w:sz w:val="20"/>
        </w:rPr>
        <w:t xml:space="preserve"> </w:t>
      </w:r>
      <w:r>
        <w:rPr>
          <w:color w:val="231F20"/>
          <w:sz w:val="20"/>
        </w:rPr>
        <w:t>plea</w:t>
      </w:r>
      <w:r>
        <w:rPr>
          <w:color w:val="231F20"/>
          <w:spacing w:val="-10"/>
          <w:sz w:val="20"/>
        </w:rPr>
        <w:t xml:space="preserve"> </w:t>
      </w:r>
      <w:r>
        <w:rPr>
          <w:color w:val="231F20"/>
          <w:sz w:val="20"/>
        </w:rPr>
        <w:t>negotiating</w:t>
      </w:r>
      <w:r>
        <w:rPr>
          <w:color w:val="231F20"/>
          <w:spacing w:val="-10"/>
          <w:sz w:val="20"/>
        </w:rPr>
        <w:t xml:space="preserve"> </w:t>
      </w:r>
      <w:r>
        <w:rPr>
          <w:color w:val="231F20"/>
          <w:sz w:val="20"/>
        </w:rPr>
        <w:t>processes, and the benefits of consulting with victim survivors about decisions to withdraw or discontinue charges.</w:t>
      </w:r>
      <w:r>
        <w:rPr>
          <w:color w:val="231F20"/>
          <w:position w:val="7"/>
          <w:sz w:val="11"/>
        </w:rPr>
        <w:t xml:space="preserve">116 </w:t>
      </w:r>
      <w:r>
        <w:rPr>
          <w:color w:val="231F20"/>
          <w:sz w:val="20"/>
        </w:rPr>
        <w:t xml:space="preserve">In our Committals report </w:t>
      </w:r>
      <w:r>
        <w:rPr>
          <w:color w:val="231F20"/>
          <w:spacing w:val="-3"/>
          <w:sz w:val="20"/>
        </w:rPr>
        <w:t xml:space="preserve">we </w:t>
      </w:r>
      <w:r>
        <w:rPr>
          <w:color w:val="231F20"/>
          <w:sz w:val="20"/>
        </w:rPr>
        <w:t xml:space="preserve">recommended charging training </w:t>
      </w:r>
      <w:r>
        <w:rPr>
          <w:color w:val="231F20"/>
          <w:spacing w:val="-3"/>
          <w:sz w:val="20"/>
        </w:rPr>
        <w:t>for</w:t>
      </w:r>
      <w:r>
        <w:rPr>
          <w:color w:val="231F20"/>
          <w:spacing w:val="-7"/>
          <w:sz w:val="20"/>
        </w:rPr>
        <w:t xml:space="preserve"> </w:t>
      </w:r>
      <w:r>
        <w:rPr>
          <w:color w:val="231F20"/>
          <w:sz w:val="20"/>
        </w:rPr>
        <w:t>police</w:t>
      </w:r>
      <w:r>
        <w:rPr>
          <w:color w:val="231F20"/>
          <w:spacing w:val="-6"/>
          <w:sz w:val="20"/>
        </w:rPr>
        <w:t xml:space="preserve"> </w:t>
      </w:r>
      <w:r>
        <w:rPr>
          <w:color w:val="231F20"/>
          <w:sz w:val="20"/>
        </w:rPr>
        <w:t>officers</w:t>
      </w:r>
      <w:r>
        <w:rPr>
          <w:color w:val="231F20"/>
          <w:spacing w:val="-7"/>
          <w:sz w:val="20"/>
        </w:rPr>
        <w:t xml:space="preserve"> </w:t>
      </w:r>
      <w:r>
        <w:rPr>
          <w:color w:val="231F20"/>
          <w:sz w:val="20"/>
        </w:rPr>
        <w:t>and</w:t>
      </w:r>
      <w:r>
        <w:rPr>
          <w:color w:val="231F20"/>
          <w:spacing w:val="-6"/>
          <w:sz w:val="20"/>
        </w:rPr>
        <w:t xml:space="preserve"> </w:t>
      </w:r>
      <w:r>
        <w:rPr>
          <w:color w:val="231F20"/>
          <w:sz w:val="20"/>
        </w:rPr>
        <w:t>earlier</w:t>
      </w:r>
      <w:r>
        <w:rPr>
          <w:color w:val="231F20"/>
          <w:spacing w:val="-7"/>
          <w:sz w:val="20"/>
        </w:rPr>
        <w:t xml:space="preserve"> </w:t>
      </w:r>
      <w:r>
        <w:rPr>
          <w:color w:val="231F20"/>
          <w:spacing w:val="-4"/>
          <w:sz w:val="20"/>
        </w:rPr>
        <w:t>involvement</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DPP</w:t>
      </w:r>
      <w:r>
        <w:rPr>
          <w:color w:val="231F20"/>
          <w:spacing w:val="-7"/>
          <w:sz w:val="20"/>
        </w:rPr>
        <w:t xml:space="preserve"> </w:t>
      </w:r>
      <w:r>
        <w:rPr>
          <w:color w:val="231F20"/>
          <w:sz w:val="20"/>
        </w:rPr>
        <w:t>in</w:t>
      </w:r>
      <w:r>
        <w:rPr>
          <w:color w:val="231F20"/>
          <w:spacing w:val="-6"/>
          <w:sz w:val="20"/>
        </w:rPr>
        <w:t xml:space="preserve"> </w:t>
      </w:r>
      <w:r>
        <w:rPr>
          <w:color w:val="231F20"/>
          <w:sz w:val="20"/>
        </w:rPr>
        <w:t>charging</w:t>
      </w:r>
      <w:r>
        <w:rPr>
          <w:color w:val="231F20"/>
          <w:spacing w:val="-7"/>
          <w:sz w:val="20"/>
        </w:rPr>
        <w:t xml:space="preserve"> </w:t>
      </w:r>
      <w:r>
        <w:rPr>
          <w:color w:val="231F20"/>
          <w:sz w:val="20"/>
        </w:rPr>
        <w:t>decisions.</w:t>
      </w:r>
      <w:r>
        <w:rPr>
          <w:color w:val="231F20"/>
          <w:position w:val="7"/>
          <w:sz w:val="11"/>
        </w:rPr>
        <w:t>117</w:t>
      </w:r>
    </w:p>
    <w:p w14:paraId="03061589" w14:textId="77777777" w:rsidR="00894070" w:rsidRDefault="00894070">
      <w:pPr>
        <w:pStyle w:val="BodyText"/>
      </w:pPr>
    </w:p>
    <w:p w14:paraId="1B74E025" w14:textId="77777777" w:rsidR="00894070" w:rsidRDefault="00894070">
      <w:pPr>
        <w:pStyle w:val="BodyText"/>
      </w:pPr>
    </w:p>
    <w:p w14:paraId="6DC7A7D5" w14:textId="77777777" w:rsidR="00894070" w:rsidRDefault="00894070">
      <w:pPr>
        <w:pStyle w:val="BodyText"/>
      </w:pPr>
    </w:p>
    <w:p w14:paraId="1F7E96A9" w14:textId="77777777" w:rsidR="00894070" w:rsidRDefault="009F6793">
      <w:pPr>
        <w:pStyle w:val="BodyText"/>
        <w:spacing w:before="7"/>
        <w:rPr>
          <w:sz w:val="12"/>
        </w:rPr>
      </w:pPr>
      <w:r>
        <w:pict w14:anchorId="249A9394">
          <v:line id="_x0000_s1463" style="position:absolute;z-index:251571200;mso-wrap-distance-left:0;mso-wrap-distance-right:0;mso-position-horizontal-relative:page" from="79.35pt,11.15pt" to="515.9pt,11.15pt" strokecolor="#f8cabc" strokeweight="1pt">
            <w10:wrap type="topAndBottom" anchorx="page"/>
          </v:line>
        </w:pict>
      </w:r>
    </w:p>
    <w:p w14:paraId="566683AC" w14:textId="77777777" w:rsidR="00894070" w:rsidRDefault="009B7AFD">
      <w:pPr>
        <w:spacing w:before="91" w:line="170" w:lineRule="exact"/>
        <w:ind w:left="1801"/>
        <w:rPr>
          <w:sz w:val="13"/>
        </w:rPr>
      </w:pPr>
      <w:r>
        <w:rPr>
          <w:color w:val="231F20"/>
          <w:sz w:val="13"/>
        </w:rPr>
        <w:t xml:space="preserve">Sentencing Advisory Council (Vic), </w:t>
      </w:r>
      <w:r>
        <w:rPr>
          <w:i/>
          <w:color w:val="231F20"/>
          <w:sz w:val="13"/>
        </w:rPr>
        <w:t xml:space="preserve">Sentencing Stalking in Victoria </w:t>
      </w:r>
      <w:r>
        <w:rPr>
          <w:color w:val="231F20"/>
          <w:sz w:val="13"/>
        </w:rPr>
        <w:t>(Report, March 2022) [8.6].</w:t>
      </w:r>
    </w:p>
    <w:p w14:paraId="35D632C1" w14:textId="77777777" w:rsidR="00894070" w:rsidRDefault="009F6793">
      <w:pPr>
        <w:spacing w:line="160" w:lineRule="exact"/>
        <w:ind w:left="1801"/>
        <w:rPr>
          <w:sz w:val="13"/>
        </w:rPr>
      </w:pPr>
      <w:r>
        <w:pict w14:anchorId="591C69BC">
          <v:shape id="_x0000_s1462" type="#_x0000_t202" style="position:absolute;left:0;text-align:left;margin-left:34.3pt;margin-top:-7.1pt;width:57.55pt;height:96.95pt;z-index:2516428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1"/>
                    <w:gridCol w:w="550"/>
                  </w:tblGrid>
                  <w:tr w:rsidR="00894070" w14:paraId="7C1351A4" w14:textId="77777777">
                    <w:trPr>
                      <w:trHeight w:val="156"/>
                    </w:trPr>
                    <w:tc>
                      <w:tcPr>
                        <w:tcW w:w="601" w:type="dxa"/>
                        <w:vMerge w:val="restart"/>
                      </w:tcPr>
                      <w:p w14:paraId="3567A974" w14:textId="77777777" w:rsidR="00894070" w:rsidRDefault="00894070">
                        <w:pPr>
                          <w:pStyle w:val="TableParagraph"/>
                          <w:ind w:left="0"/>
                          <w:rPr>
                            <w:rFonts w:ascii="Times New Roman"/>
                            <w:sz w:val="18"/>
                          </w:rPr>
                        </w:pPr>
                      </w:p>
                    </w:tc>
                    <w:tc>
                      <w:tcPr>
                        <w:tcW w:w="550" w:type="dxa"/>
                      </w:tcPr>
                      <w:p w14:paraId="64DC8CD2" w14:textId="77777777" w:rsidR="00894070" w:rsidRDefault="009B7AFD">
                        <w:pPr>
                          <w:pStyle w:val="TableParagraph"/>
                          <w:spacing w:line="136" w:lineRule="exact"/>
                          <w:ind w:left="0" w:right="32"/>
                          <w:jc w:val="right"/>
                          <w:rPr>
                            <w:sz w:val="13"/>
                          </w:rPr>
                        </w:pPr>
                        <w:r>
                          <w:rPr>
                            <w:color w:val="231F20"/>
                            <w:sz w:val="13"/>
                          </w:rPr>
                          <w:t>108</w:t>
                        </w:r>
                      </w:p>
                    </w:tc>
                  </w:tr>
                  <w:tr w:rsidR="00894070" w14:paraId="6B166A5B" w14:textId="77777777">
                    <w:trPr>
                      <w:trHeight w:val="160"/>
                    </w:trPr>
                    <w:tc>
                      <w:tcPr>
                        <w:tcW w:w="601" w:type="dxa"/>
                        <w:vMerge/>
                        <w:tcBorders>
                          <w:top w:val="nil"/>
                        </w:tcBorders>
                      </w:tcPr>
                      <w:p w14:paraId="0C2FFC5D" w14:textId="77777777" w:rsidR="00894070" w:rsidRDefault="00894070">
                        <w:pPr>
                          <w:rPr>
                            <w:sz w:val="2"/>
                            <w:szCs w:val="2"/>
                          </w:rPr>
                        </w:pPr>
                      </w:p>
                    </w:tc>
                    <w:tc>
                      <w:tcPr>
                        <w:tcW w:w="550" w:type="dxa"/>
                      </w:tcPr>
                      <w:p w14:paraId="27F131F6" w14:textId="77777777" w:rsidR="00894070" w:rsidRDefault="009B7AFD">
                        <w:pPr>
                          <w:pStyle w:val="TableParagraph"/>
                          <w:spacing w:line="140" w:lineRule="exact"/>
                          <w:ind w:left="0" w:right="34"/>
                          <w:jc w:val="right"/>
                          <w:rPr>
                            <w:sz w:val="13"/>
                          </w:rPr>
                        </w:pPr>
                        <w:r>
                          <w:rPr>
                            <w:color w:val="231F20"/>
                            <w:sz w:val="13"/>
                          </w:rPr>
                          <w:t>109</w:t>
                        </w:r>
                      </w:p>
                    </w:tc>
                  </w:tr>
                  <w:tr w:rsidR="00894070" w14:paraId="06C1028E" w14:textId="77777777">
                    <w:trPr>
                      <w:trHeight w:val="160"/>
                    </w:trPr>
                    <w:tc>
                      <w:tcPr>
                        <w:tcW w:w="601" w:type="dxa"/>
                        <w:vMerge/>
                        <w:tcBorders>
                          <w:top w:val="nil"/>
                        </w:tcBorders>
                      </w:tcPr>
                      <w:p w14:paraId="55FB038B" w14:textId="77777777" w:rsidR="00894070" w:rsidRDefault="00894070">
                        <w:pPr>
                          <w:rPr>
                            <w:sz w:val="2"/>
                            <w:szCs w:val="2"/>
                          </w:rPr>
                        </w:pPr>
                      </w:p>
                    </w:tc>
                    <w:tc>
                      <w:tcPr>
                        <w:tcW w:w="550" w:type="dxa"/>
                      </w:tcPr>
                      <w:p w14:paraId="19C3C749" w14:textId="77777777" w:rsidR="00894070" w:rsidRDefault="009B7AFD">
                        <w:pPr>
                          <w:pStyle w:val="TableParagraph"/>
                          <w:spacing w:line="140" w:lineRule="exact"/>
                          <w:ind w:left="0" w:right="53"/>
                          <w:jc w:val="right"/>
                          <w:rPr>
                            <w:sz w:val="13"/>
                          </w:rPr>
                        </w:pPr>
                        <w:r>
                          <w:rPr>
                            <w:color w:val="231F20"/>
                            <w:sz w:val="13"/>
                          </w:rPr>
                          <w:t>110</w:t>
                        </w:r>
                      </w:p>
                    </w:tc>
                  </w:tr>
                  <w:tr w:rsidR="00894070" w14:paraId="7FA3E380" w14:textId="77777777">
                    <w:trPr>
                      <w:trHeight w:val="160"/>
                    </w:trPr>
                    <w:tc>
                      <w:tcPr>
                        <w:tcW w:w="601" w:type="dxa"/>
                        <w:vMerge/>
                        <w:tcBorders>
                          <w:top w:val="nil"/>
                        </w:tcBorders>
                      </w:tcPr>
                      <w:p w14:paraId="358BBC8E" w14:textId="77777777" w:rsidR="00894070" w:rsidRDefault="00894070">
                        <w:pPr>
                          <w:rPr>
                            <w:sz w:val="2"/>
                            <w:szCs w:val="2"/>
                          </w:rPr>
                        </w:pPr>
                      </w:p>
                    </w:tc>
                    <w:tc>
                      <w:tcPr>
                        <w:tcW w:w="550" w:type="dxa"/>
                      </w:tcPr>
                      <w:p w14:paraId="4CCD6B8D" w14:textId="77777777" w:rsidR="00894070" w:rsidRDefault="009B7AFD">
                        <w:pPr>
                          <w:pStyle w:val="TableParagraph"/>
                          <w:spacing w:line="140" w:lineRule="exact"/>
                          <w:ind w:left="0" w:right="72"/>
                          <w:jc w:val="right"/>
                          <w:rPr>
                            <w:sz w:val="13"/>
                          </w:rPr>
                        </w:pPr>
                        <w:r>
                          <w:rPr>
                            <w:color w:val="231F20"/>
                            <w:sz w:val="13"/>
                          </w:rPr>
                          <w:t>111</w:t>
                        </w:r>
                      </w:p>
                    </w:tc>
                  </w:tr>
                  <w:tr w:rsidR="00894070" w14:paraId="717C7775" w14:textId="77777777">
                    <w:trPr>
                      <w:trHeight w:val="159"/>
                    </w:trPr>
                    <w:tc>
                      <w:tcPr>
                        <w:tcW w:w="601" w:type="dxa"/>
                        <w:vMerge/>
                        <w:tcBorders>
                          <w:top w:val="nil"/>
                        </w:tcBorders>
                      </w:tcPr>
                      <w:p w14:paraId="4D5B9930" w14:textId="77777777" w:rsidR="00894070" w:rsidRDefault="00894070">
                        <w:pPr>
                          <w:rPr>
                            <w:sz w:val="2"/>
                            <w:szCs w:val="2"/>
                          </w:rPr>
                        </w:pPr>
                      </w:p>
                    </w:tc>
                    <w:tc>
                      <w:tcPr>
                        <w:tcW w:w="550" w:type="dxa"/>
                      </w:tcPr>
                      <w:p w14:paraId="4E10B1A9" w14:textId="77777777" w:rsidR="00894070" w:rsidRDefault="009B7AFD">
                        <w:pPr>
                          <w:pStyle w:val="TableParagraph"/>
                          <w:spacing w:line="140" w:lineRule="exact"/>
                          <w:ind w:left="0" w:right="61"/>
                          <w:jc w:val="right"/>
                          <w:rPr>
                            <w:sz w:val="13"/>
                          </w:rPr>
                        </w:pPr>
                        <w:r>
                          <w:rPr>
                            <w:color w:val="231F20"/>
                            <w:sz w:val="13"/>
                          </w:rPr>
                          <w:t>112</w:t>
                        </w:r>
                      </w:p>
                    </w:tc>
                  </w:tr>
                  <w:tr w:rsidR="00894070" w14:paraId="6289C723" w14:textId="77777777">
                    <w:trPr>
                      <w:trHeight w:val="160"/>
                    </w:trPr>
                    <w:tc>
                      <w:tcPr>
                        <w:tcW w:w="601" w:type="dxa"/>
                        <w:vMerge/>
                        <w:tcBorders>
                          <w:top w:val="nil"/>
                        </w:tcBorders>
                      </w:tcPr>
                      <w:p w14:paraId="4EFFC641" w14:textId="77777777" w:rsidR="00894070" w:rsidRDefault="00894070">
                        <w:pPr>
                          <w:rPr>
                            <w:sz w:val="2"/>
                            <w:szCs w:val="2"/>
                          </w:rPr>
                        </w:pPr>
                      </w:p>
                    </w:tc>
                    <w:tc>
                      <w:tcPr>
                        <w:tcW w:w="550" w:type="dxa"/>
                      </w:tcPr>
                      <w:p w14:paraId="4565841B" w14:textId="77777777" w:rsidR="00894070" w:rsidRDefault="009B7AFD">
                        <w:pPr>
                          <w:pStyle w:val="TableParagraph"/>
                          <w:spacing w:line="140" w:lineRule="exact"/>
                          <w:ind w:left="0" w:right="61"/>
                          <w:jc w:val="right"/>
                          <w:rPr>
                            <w:sz w:val="13"/>
                          </w:rPr>
                        </w:pPr>
                        <w:r>
                          <w:rPr>
                            <w:color w:val="231F20"/>
                            <w:sz w:val="13"/>
                          </w:rPr>
                          <w:t>113</w:t>
                        </w:r>
                      </w:p>
                    </w:tc>
                  </w:tr>
                  <w:tr w:rsidR="00894070" w14:paraId="7218C9C2" w14:textId="77777777">
                    <w:trPr>
                      <w:trHeight w:val="160"/>
                    </w:trPr>
                    <w:tc>
                      <w:tcPr>
                        <w:tcW w:w="601" w:type="dxa"/>
                        <w:vMerge/>
                        <w:tcBorders>
                          <w:top w:val="nil"/>
                        </w:tcBorders>
                      </w:tcPr>
                      <w:p w14:paraId="5AA986EB" w14:textId="77777777" w:rsidR="00894070" w:rsidRDefault="00894070">
                        <w:pPr>
                          <w:rPr>
                            <w:sz w:val="2"/>
                            <w:szCs w:val="2"/>
                          </w:rPr>
                        </w:pPr>
                      </w:p>
                    </w:tc>
                    <w:tc>
                      <w:tcPr>
                        <w:tcW w:w="550" w:type="dxa"/>
                      </w:tcPr>
                      <w:p w14:paraId="34A9D338" w14:textId="77777777" w:rsidR="00894070" w:rsidRDefault="009B7AFD">
                        <w:pPr>
                          <w:pStyle w:val="TableParagraph"/>
                          <w:spacing w:line="140" w:lineRule="exact"/>
                          <w:ind w:left="0" w:right="57"/>
                          <w:jc w:val="right"/>
                          <w:rPr>
                            <w:sz w:val="13"/>
                          </w:rPr>
                        </w:pPr>
                        <w:r>
                          <w:rPr>
                            <w:color w:val="231F20"/>
                            <w:sz w:val="13"/>
                          </w:rPr>
                          <w:t>114</w:t>
                        </w:r>
                      </w:p>
                    </w:tc>
                  </w:tr>
                  <w:tr w:rsidR="00894070" w14:paraId="6658C34E" w14:textId="77777777">
                    <w:trPr>
                      <w:trHeight w:val="159"/>
                    </w:trPr>
                    <w:tc>
                      <w:tcPr>
                        <w:tcW w:w="601" w:type="dxa"/>
                        <w:vMerge/>
                        <w:tcBorders>
                          <w:top w:val="nil"/>
                        </w:tcBorders>
                      </w:tcPr>
                      <w:p w14:paraId="3C00FD14" w14:textId="77777777" w:rsidR="00894070" w:rsidRDefault="00894070">
                        <w:pPr>
                          <w:rPr>
                            <w:sz w:val="2"/>
                            <w:szCs w:val="2"/>
                          </w:rPr>
                        </w:pPr>
                      </w:p>
                    </w:tc>
                    <w:tc>
                      <w:tcPr>
                        <w:tcW w:w="550" w:type="dxa"/>
                      </w:tcPr>
                      <w:p w14:paraId="0CF9CDCC" w14:textId="77777777" w:rsidR="00894070" w:rsidRDefault="009B7AFD">
                        <w:pPr>
                          <w:pStyle w:val="TableParagraph"/>
                          <w:spacing w:line="140" w:lineRule="exact"/>
                          <w:ind w:left="0" w:right="58"/>
                          <w:jc w:val="right"/>
                          <w:rPr>
                            <w:sz w:val="13"/>
                          </w:rPr>
                        </w:pPr>
                        <w:r>
                          <w:rPr>
                            <w:color w:val="231F20"/>
                            <w:sz w:val="13"/>
                          </w:rPr>
                          <w:t>115</w:t>
                        </w:r>
                      </w:p>
                    </w:tc>
                  </w:tr>
                  <w:tr w:rsidR="00894070" w14:paraId="1837E14F" w14:textId="77777777">
                    <w:trPr>
                      <w:trHeight w:val="268"/>
                    </w:trPr>
                    <w:tc>
                      <w:tcPr>
                        <w:tcW w:w="601" w:type="dxa"/>
                        <w:vMerge/>
                        <w:tcBorders>
                          <w:top w:val="nil"/>
                        </w:tcBorders>
                      </w:tcPr>
                      <w:p w14:paraId="76496A03" w14:textId="77777777" w:rsidR="00894070" w:rsidRDefault="00894070">
                        <w:pPr>
                          <w:rPr>
                            <w:sz w:val="2"/>
                            <w:szCs w:val="2"/>
                          </w:rPr>
                        </w:pPr>
                      </w:p>
                    </w:tc>
                    <w:tc>
                      <w:tcPr>
                        <w:tcW w:w="550" w:type="dxa"/>
                      </w:tcPr>
                      <w:p w14:paraId="7974FDC2" w14:textId="77777777" w:rsidR="00894070" w:rsidRDefault="009B7AFD">
                        <w:pPr>
                          <w:pStyle w:val="TableParagraph"/>
                          <w:spacing w:line="156" w:lineRule="exact"/>
                          <w:ind w:left="0" w:right="52"/>
                          <w:jc w:val="right"/>
                          <w:rPr>
                            <w:sz w:val="13"/>
                          </w:rPr>
                        </w:pPr>
                        <w:r>
                          <w:rPr>
                            <w:color w:val="231F20"/>
                            <w:sz w:val="13"/>
                          </w:rPr>
                          <w:t>116</w:t>
                        </w:r>
                      </w:p>
                    </w:tc>
                  </w:tr>
                  <w:tr w:rsidR="00894070" w14:paraId="6F2FF811" w14:textId="77777777">
                    <w:trPr>
                      <w:trHeight w:val="393"/>
                    </w:trPr>
                    <w:tc>
                      <w:tcPr>
                        <w:tcW w:w="601" w:type="dxa"/>
                      </w:tcPr>
                      <w:p w14:paraId="32CB417B" w14:textId="77777777" w:rsidR="00894070" w:rsidRDefault="009B7AFD">
                        <w:pPr>
                          <w:pStyle w:val="TableParagraph"/>
                          <w:spacing w:before="60" w:line="313" w:lineRule="exact"/>
                          <w:ind w:left="33"/>
                          <w:rPr>
                            <w:b/>
                            <w:sz w:val="24"/>
                          </w:rPr>
                        </w:pPr>
                        <w:r>
                          <w:rPr>
                            <w:b/>
                            <w:color w:val="EA5B50"/>
                            <w:sz w:val="24"/>
                          </w:rPr>
                          <w:t>70</w:t>
                        </w:r>
                      </w:p>
                    </w:tc>
                    <w:tc>
                      <w:tcPr>
                        <w:tcW w:w="550" w:type="dxa"/>
                      </w:tcPr>
                      <w:p w14:paraId="3A9BE4D9" w14:textId="77777777" w:rsidR="00894070" w:rsidRDefault="00894070">
                        <w:pPr>
                          <w:pStyle w:val="TableParagraph"/>
                          <w:spacing w:before="7"/>
                          <w:ind w:left="0"/>
                          <w:rPr>
                            <w:sz w:val="13"/>
                          </w:rPr>
                        </w:pPr>
                      </w:p>
                      <w:p w14:paraId="09A73885" w14:textId="77777777" w:rsidR="00894070" w:rsidRDefault="009B7AFD">
                        <w:pPr>
                          <w:pStyle w:val="TableParagraph"/>
                          <w:ind w:left="0" w:right="67"/>
                          <w:jc w:val="right"/>
                          <w:rPr>
                            <w:sz w:val="13"/>
                          </w:rPr>
                        </w:pPr>
                        <w:r>
                          <w:rPr>
                            <w:color w:val="231F20"/>
                            <w:sz w:val="13"/>
                          </w:rPr>
                          <w:t>117</w:t>
                        </w:r>
                      </w:p>
                    </w:tc>
                  </w:tr>
                </w:tbl>
                <w:p w14:paraId="1E4C9565" w14:textId="77777777" w:rsidR="00894070" w:rsidRDefault="00894070">
                  <w:pPr>
                    <w:pStyle w:val="BodyText"/>
                  </w:pPr>
                </w:p>
              </w:txbxContent>
            </v:textbox>
            <w10:wrap anchorx="page"/>
          </v:shape>
        </w:pict>
      </w:r>
      <w:r w:rsidR="009B7AFD">
        <w:rPr>
          <w:color w:val="231F20"/>
          <w:sz w:val="13"/>
        </w:rPr>
        <w:t>Ibid.</w:t>
      </w:r>
    </w:p>
    <w:p w14:paraId="7565E4B6" w14:textId="77777777" w:rsidR="00894070" w:rsidRDefault="009B7AFD">
      <w:pPr>
        <w:spacing w:before="6" w:line="213" w:lineRule="auto"/>
        <w:ind w:left="1801" w:right="3630"/>
        <w:rPr>
          <w:sz w:val="13"/>
        </w:rPr>
      </w:pPr>
      <w:r>
        <w:rPr>
          <w:color w:val="231F20"/>
          <w:sz w:val="13"/>
        </w:rPr>
        <w:t xml:space="preserve">Victorian Law Reform </w:t>
      </w:r>
      <w:r>
        <w:rPr>
          <w:color w:val="231F20"/>
          <w:spacing w:val="2"/>
          <w:sz w:val="13"/>
        </w:rPr>
        <w:t xml:space="preserve">Commission, </w:t>
      </w:r>
      <w:r>
        <w:rPr>
          <w:i/>
          <w:color w:val="231F20"/>
          <w:sz w:val="13"/>
        </w:rPr>
        <w:t xml:space="preserve">Committals </w:t>
      </w:r>
      <w:r>
        <w:rPr>
          <w:color w:val="231F20"/>
          <w:spacing w:val="2"/>
          <w:sz w:val="13"/>
        </w:rPr>
        <w:t xml:space="preserve">(Report </w:t>
      </w:r>
      <w:r>
        <w:rPr>
          <w:color w:val="231F20"/>
          <w:sz w:val="13"/>
        </w:rPr>
        <w:t xml:space="preserve">No </w:t>
      </w:r>
      <w:r>
        <w:rPr>
          <w:color w:val="231F20"/>
          <w:spacing w:val="2"/>
          <w:sz w:val="13"/>
        </w:rPr>
        <w:t xml:space="preserve">41, </w:t>
      </w:r>
      <w:r>
        <w:rPr>
          <w:color w:val="231F20"/>
          <w:sz w:val="13"/>
        </w:rPr>
        <w:t xml:space="preserve">March 2020) [8.3]. Sentencing Advisory Council (Vic), </w:t>
      </w:r>
      <w:r>
        <w:rPr>
          <w:i/>
          <w:color w:val="231F20"/>
          <w:sz w:val="13"/>
        </w:rPr>
        <w:t xml:space="preserve">Sentencing Stalking in Victoria </w:t>
      </w:r>
      <w:r>
        <w:rPr>
          <w:color w:val="231F20"/>
          <w:spacing w:val="2"/>
          <w:sz w:val="13"/>
        </w:rPr>
        <w:t xml:space="preserve">(Report, </w:t>
      </w:r>
      <w:r>
        <w:rPr>
          <w:color w:val="231F20"/>
          <w:sz w:val="13"/>
        </w:rPr>
        <w:t xml:space="preserve">March 2022) xiii. </w:t>
      </w: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2"/>
          <w:sz w:val="13"/>
        </w:rPr>
        <w:t xml:space="preserve"> </w:t>
      </w:r>
      <w:r>
        <w:rPr>
          <w:color w:val="231F20"/>
          <w:sz w:val="13"/>
        </w:rPr>
        <w:t>Party).</w:t>
      </w:r>
    </w:p>
    <w:p w14:paraId="610408B6" w14:textId="77777777" w:rsidR="00894070" w:rsidRDefault="009B7AFD">
      <w:pPr>
        <w:spacing w:line="213" w:lineRule="auto"/>
        <w:ind w:left="1801" w:right="3429"/>
        <w:rPr>
          <w:sz w:val="13"/>
        </w:rPr>
      </w:pPr>
      <w:r>
        <w:rPr>
          <w:color w:val="231F20"/>
          <w:sz w:val="13"/>
        </w:rPr>
        <w:t xml:space="preserve">Victorian Law Reform Commission, </w:t>
      </w:r>
      <w:r>
        <w:rPr>
          <w:i/>
          <w:color w:val="231F20"/>
          <w:sz w:val="13"/>
        </w:rPr>
        <w:t xml:space="preserve">Committals </w:t>
      </w:r>
      <w:r>
        <w:rPr>
          <w:color w:val="231F20"/>
          <w:sz w:val="13"/>
        </w:rPr>
        <w:t>(Report No 41, March 2020) [8.35]</w:t>
      </w:r>
      <w:proofErr w:type="gramStart"/>
      <w:r>
        <w:rPr>
          <w:color w:val="231F20"/>
          <w:sz w:val="13"/>
        </w:rPr>
        <w:t>–[</w:t>
      </w:r>
      <w:proofErr w:type="gramEnd"/>
      <w:r>
        <w:rPr>
          <w:color w:val="231F20"/>
          <w:sz w:val="13"/>
        </w:rPr>
        <w:t xml:space="preserve">8.39]. Sentencing Advisory Council (Vic), </w:t>
      </w:r>
      <w:r>
        <w:rPr>
          <w:i/>
          <w:color w:val="231F20"/>
          <w:sz w:val="13"/>
        </w:rPr>
        <w:t xml:space="preserve">Sentencing Stalking in Victoria </w:t>
      </w:r>
      <w:r>
        <w:rPr>
          <w:color w:val="231F20"/>
          <w:sz w:val="13"/>
        </w:rPr>
        <w:t>(Report, March 2022) [2.26]. Ibid [8.6].</w:t>
      </w:r>
    </w:p>
    <w:p w14:paraId="72CF0BDA" w14:textId="77777777" w:rsidR="00894070" w:rsidRDefault="009B7AFD">
      <w:pPr>
        <w:spacing w:line="213" w:lineRule="auto"/>
        <w:ind w:left="1801" w:right="1219"/>
        <w:rPr>
          <w:sz w:val="13"/>
        </w:rPr>
      </w:pPr>
      <w:r>
        <w:rPr>
          <w:color w:val="231F20"/>
          <w:sz w:val="13"/>
        </w:rPr>
        <w:t xml:space="preserve">Victorian Law Reform Commission, </w:t>
      </w:r>
      <w:r>
        <w:rPr>
          <w:i/>
          <w:color w:val="231F20"/>
          <w:sz w:val="13"/>
        </w:rPr>
        <w:t xml:space="preserve">Improving the Justice System Response to Sexual Offences </w:t>
      </w:r>
      <w:r>
        <w:rPr>
          <w:color w:val="231F20"/>
          <w:sz w:val="13"/>
        </w:rPr>
        <w:t>(Report No 42, September 2021) [17.130]</w:t>
      </w:r>
      <w:proofErr w:type="gramStart"/>
      <w:r>
        <w:rPr>
          <w:color w:val="231F20"/>
          <w:sz w:val="13"/>
        </w:rPr>
        <w:t>–[</w:t>
      </w:r>
      <w:proofErr w:type="gramEnd"/>
      <w:r>
        <w:rPr>
          <w:color w:val="231F20"/>
          <w:sz w:val="13"/>
        </w:rPr>
        <w:t xml:space="preserve">17.177]; Victorian Law Reform Commission, </w:t>
      </w:r>
      <w:r>
        <w:rPr>
          <w:i/>
          <w:color w:val="231F20"/>
          <w:sz w:val="13"/>
        </w:rPr>
        <w:t xml:space="preserve">The Role of Victims of Crime in the Criminal Trial Process </w:t>
      </w:r>
      <w:r>
        <w:rPr>
          <w:color w:val="231F20"/>
          <w:sz w:val="13"/>
        </w:rPr>
        <w:t>(Report No 34, August 2016) [4.148]–[4.207], [7.10]–[7.60].</w:t>
      </w:r>
    </w:p>
    <w:p w14:paraId="0C068CF4" w14:textId="77777777" w:rsidR="00894070" w:rsidRDefault="009B7AFD">
      <w:pPr>
        <w:spacing w:line="162" w:lineRule="exact"/>
        <w:ind w:left="1801"/>
        <w:rPr>
          <w:sz w:val="13"/>
        </w:rPr>
      </w:pPr>
      <w:r>
        <w:rPr>
          <w:color w:val="231F20"/>
          <w:sz w:val="13"/>
        </w:rPr>
        <w:t xml:space="preserve">Victorian Law Reform Commission, </w:t>
      </w:r>
      <w:r>
        <w:rPr>
          <w:i/>
          <w:color w:val="231F20"/>
          <w:sz w:val="13"/>
        </w:rPr>
        <w:t xml:space="preserve">Committals </w:t>
      </w:r>
      <w:r>
        <w:rPr>
          <w:color w:val="231F20"/>
          <w:sz w:val="13"/>
        </w:rPr>
        <w:t>(Report No 41, March 2020) Recommendations 19–22.</w:t>
      </w:r>
    </w:p>
    <w:p w14:paraId="725A2FB3" w14:textId="77777777" w:rsidR="00894070" w:rsidRDefault="00894070">
      <w:pPr>
        <w:spacing w:line="162" w:lineRule="exact"/>
        <w:rPr>
          <w:sz w:val="13"/>
        </w:rPr>
        <w:sectPr w:rsidR="00894070">
          <w:pgSz w:w="11910" w:h="16840"/>
          <w:pgMar w:top="860" w:right="420" w:bottom="280" w:left="580" w:header="567" w:footer="0" w:gutter="0"/>
          <w:cols w:space="720"/>
        </w:sectPr>
      </w:pPr>
    </w:p>
    <w:p w14:paraId="08E4D5AD" w14:textId="77777777" w:rsidR="00894070" w:rsidRDefault="00894070">
      <w:pPr>
        <w:pStyle w:val="BodyText"/>
      </w:pPr>
    </w:p>
    <w:p w14:paraId="4DE5F3D6" w14:textId="77777777" w:rsidR="00894070" w:rsidRDefault="00894070">
      <w:pPr>
        <w:pStyle w:val="BodyText"/>
      </w:pPr>
    </w:p>
    <w:p w14:paraId="09C8361B" w14:textId="77777777" w:rsidR="00894070" w:rsidRDefault="00894070">
      <w:pPr>
        <w:pStyle w:val="BodyText"/>
      </w:pPr>
    </w:p>
    <w:p w14:paraId="60D069B9" w14:textId="77777777" w:rsidR="00894070" w:rsidRDefault="00894070">
      <w:pPr>
        <w:pStyle w:val="BodyText"/>
        <w:spacing w:before="6"/>
        <w:rPr>
          <w:sz w:val="14"/>
        </w:rPr>
      </w:pPr>
    </w:p>
    <w:p w14:paraId="3674B5B9" w14:textId="77777777" w:rsidR="00894070" w:rsidRDefault="009B7AFD">
      <w:pPr>
        <w:pStyle w:val="ListParagraph"/>
        <w:numPr>
          <w:ilvl w:val="1"/>
          <w:numId w:val="177"/>
        </w:numPr>
        <w:tabs>
          <w:tab w:val="left" w:pos="1801"/>
          <w:tab w:val="left" w:pos="1802"/>
        </w:tabs>
        <w:spacing w:before="90" w:line="206" w:lineRule="auto"/>
        <w:ind w:right="1348"/>
        <w:rPr>
          <w:sz w:val="11"/>
        </w:rPr>
      </w:pPr>
      <w:r>
        <w:rPr>
          <w:color w:val="231F20"/>
          <w:spacing w:val="-3"/>
          <w:sz w:val="20"/>
        </w:rPr>
        <w:t xml:space="preserve">Education for prosecutors </w:t>
      </w:r>
      <w:r>
        <w:rPr>
          <w:color w:val="231F20"/>
          <w:sz w:val="20"/>
        </w:rPr>
        <w:t xml:space="preserve">should include the DPP’s obligations under the </w:t>
      </w:r>
      <w:r>
        <w:rPr>
          <w:i/>
          <w:color w:val="231F20"/>
          <w:spacing w:val="-3"/>
          <w:sz w:val="20"/>
        </w:rPr>
        <w:t xml:space="preserve">Victims’ </w:t>
      </w:r>
      <w:r>
        <w:rPr>
          <w:i/>
          <w:color w:val="231F20"/>
          <w:sz w:val="20"/>
        </w:rPr>
        <w:t xml:space="preserve">Charter Act 2006 </w:t>
      </w:r>
      <w:r>
        <w:rPr>
          <w:color w:val="231F20"/>
          <w:sz w:val="20"/>
        </w:rPr>
        <w:t xml:space="preserve">(Vic) to seek the </w:t>
      </w:r>
      <w:r>
        <w:rPr>
          <w:color w:val="231F20"/>
          <w:spacing w:val="-3"/>
          <w:sz w:val="20"/>
        </w:rPr>
        <w:t xml:space="preserve">views </w:t>
      </w:r>
      <w:r>
        <w:rPr>
          <w:color w:val="231F20"/>
          <w:spacing w:val="-5"/>
          <w:sz w:val="20"/>
        </w:rPr>
        <w:t xml:space="preserve">of, </w:t>
      </w:r>
      <w:r>
        <w:rPr>
          <w:color w:val="231F20"/>
          <w:sz w:val="20"/>
        </w:rPr>
        <w:t xml:space="preserve">and </w:t>
      </w:r>
      <w:r>
        <w:rPr>
          <w:color w:val="231F20"/>
          <w:spacing w:val="-3"/>
          <w:sz w:val="20"/>
        </w:rPr>
        <w:t xml:space="preserve">provide </w:t>
      </w:r>
      <w:r>
        <w:rPr>
          <w:color w:val="231F20"/>
          <w:sz w:val="20"/>
        </w:rPr>
        <w:t xml:space="preserve">reasons </w:t>
      </w:r>
      <w:r>
        <w:rPr>
          <w:color w:val="231F20"/>
          <w:spacing w:val="-3"/>
          <w:sz w:val="20"/>
        </w:rPr>
        <w:t xml:space="preserve">to, </w:t>
      </w:r>
      <w:r>
        <w:rPr>
          <w:color w:val="231F20"/>
          <w:sz w:val="20"/>
        </w:rPr>
        <w:t>victim survivors about</w:t>
      </w:r>
      <w:r>
        <w:rPr>
          <w:color w:val="231F20"/>
          <w:spacing w:val="-15"/>
          <w:sz w:val="20"/>
        </w:rPr>
        <w:t xml:space="preserve"> </w:t>
      </w:r>
      <w:r>
        <w:rPr>
          <w:color w:val="231F20"/>
          <w:spacing w:val="-3"/>
          <w:sz w:val="20"/>
        </w:rPr>
        <w:t>any</w:t>
      </w:r>
      <w:r>
        <w:rPr>
          <w:color w:val="231F20"/>
          <w:spacing w:val="-15"/>
          <w:sz w:val="20"/>
        </w:rPr>
        <w:t xml:space="preserve"> </w:t>
      </w:r>
      <w:r>
        <w:rPr>
          <w:color w:val="231F20"/>
          <w:sz w:val="20"/>
        </w:rPr>
        <w:t>decision</w:t>
      </w:r>
      <w:r>
        <w:rPr>
          <w:color w:val="231F20"/>
          <w:spacing w:val="-15"/>
          <w:sz w:val="20"/>
        </w:rPr>
        <w:t xml:space="preserve"> </w:t>
      </w:r>
      <w:r>
        <w:rPr>
          <w:color w:val="231F20"/>
          <w:sz w:val="20"/>
        </w:rPr>
        <w:t>to</w:t>
      </w:r>
      <w:r>
        <w:rPr>
          <w:color w:val="231F20"/>
          <w:spacing w:val="-15"/>
          <w:sz w:val="20"/>
        </w:rPr>
        <w:t xml:space="preserve"> </w:t>
      </w:r>
      <w:r>
        <w:rPr>
          <w:color w:val="231F20"/>
          <w:sz w:val="20"/>
        </w:rPr>
        <w:t>substantially</w:t>
      </w:r>
      <w:r>
        <w:rPr>
          <w:color w:val="231F20"/>
          <w:spacing w:val="-15"/>
          <w:sz w:val="20"/>
        </w:rPr>
        <w:t xml:space="preserve"> </w:t>
      </w:r>
      <w:r>
        <w:rPr>
          <w:color w:val="231F20"/>
          <w:sz w:val="20"/>
        </w:rPr>
        <w:t>modify</w:t>
      </w:r>
      <w:r>
        <w:rPr>
          <w:color w:val="231F20"/>
          <w:spacing w:val="-15"/>
          <w:sz w:val="20"/>
        </w:rPr>
        <w:t xml:space="preserve"> </w:t>
      </w:r>
      <w:r>
        <w:rPr>
          <w:color w:val="231F20"/>
          <w:sz w:val="20"/>
        </w:rPr>
        <w:t>the</w:t>
      </w:r>
      <w:r>
        <w:rPr>
          <w:color w:val="231F20"/>
          <w:spacing w:val="-15"/>
          <w:sz w:val="20"/>
        </w:rPr>
        <w:t xml:space="preserve"> </w:t>
      </w:r>
      <w:r>
        <w:rPr>
          <w:color w:val="231F20"/>
          <w:sz w:val="20"/>
        </w:rPr>
        <w:t>offences</w:t>
      </w:r>
      <w:r>
        <w:rPr>
          <w:color w:val="231F20"/>
          <w:spacing w:val="-15"/>
          <w:sz w:val="20"/>
        </w:rPr>
        <w:t xml:space="preserve"> </w:t>
      </w:r>
      <w:r>
        <w:rPr>
          <w:color w:val="231F20"/>
          <w:sz w:val="20"/>
        </w:rPr>
        <w:t>charged,</w:t>
      </w:r>
      <w:r>
        <w:rPr>
          <w:color w:val="231F20"/>
          <w:spacing w:val="-15"/>
          <w:sz w:val="20"/>
        </w:rPr>
        <w:t xml:space="preserve"> </w:t>
      </w:r>
      <w:r>
        <w:rPr>
          <w:color w:val="231F20"/>
          <w:sz w:val="20"/>
        </w:rPr>
        <w:t>discontinue</w:t>
      </w:r>
      <w:r>
        <w:rPr>
          <w:color w:val="231F20"/>
          <w:spacing w:val="-15"/>
          <w:sz w:val="20"/>
        </w:rPr>
        <w:t xml:space="preserve"> </w:t>
      </w:r>
      <w:proofErr w:type="gramStart"/>
      <w:r>
        <w:rPr>
          <w:color w:val="231F20"/>
          <w:sz w:val="20"/>
        </w:rPr>
        <w:t>charges</w:t>
      </w:r>
      <w:proofErr w:type="gramEnd"/>
      <w:r>
        <w:rPr>
          <w:color w:val="231F20"/>
          <w:sz w:val="20"/>
        </w:rPr>
        <w:t xml:space="preserve"> or </w:t>
      </w:r>
      <w:r>
        <w:rPr>
          <w:color w:val="231F20"/>
          <w:spacing w:val="-3"/>
          <w:sz w:val="20"/>
        </w:rPr>
        <w:t xml:space="preserve">accept </w:t>
      </w:r>
      <w:r>
        <w:rPr>
          <w:color w:val="231F20"/>
          <w:sz w:val="20"/>
        </w:rPr>
        <w:t>a plea of guilty to a lesser</w:t>
      </w:r>
      <w:r>
        <w:rPr>
          <w:color w:val="231F20"/>
          <w:spacing w:val="-37"/>
          <w:sz w:val="20"/>
        </w:rPr>
        <w:t xml:space="preserve"> </w:t>
      </w:r>
      <w:r>
        <w:rPr>
          <w:color w:val="231F20"/>
          <w:sz w:val="20"/>
        </w:rPr>
        <w:t>charge.</w:t>
      </w:r>
      <w:r>
        <w:rPr>
          <w:color w:val="231F20"/>
          <w:position w:val="7"/>
          <w:sz w:val="11"/>
        </w:rPr>
        <w:t>118</w:t>
      </w:r>
    </w:p>
    <w:p w14:paraId="366C5A0B" w14:textId="77777777" w:rsidR="00894070" w:rsidRDefault="009B7AFD">
      <w:pPr>
        <w:pStyle w:val="ListParagraph"/>
        <w:numPr>
          <w:ilvl w:val="1"/>
          <w:numId w:val="177"/>
        </w:numPr>
        <w:tabs>
          <w:tab w:val="left" w:pos="1801"/>
          <w:tab w:val="left" w:pos="1802"/>
        </w:tabs>
        <w:spacing w:before="125" w:line="206" w:lineRule="auto"/>
        <w:ind w:right="1185"/>
        <w:rPr>
          <w:sz w:val="20"/>
        </w:rPr>
      </w:pPr>
      <w:r>
        <w:rPr>
          <w:color w:val="231F20"/>
          <w:sz w:val="20"/>
        </w:rPr>
        <w:t>These</w:t>
      </w:r>
      <w:r>
        <w:rPr>
          <w:color w:val="231F20"/>
          <w:spacing w:val="-12"/>
          <w:sz w:val="20"/>
        </w:rPr>
        <w:t xml:space="preserve"> </w:t>
      </w:r>
      <w:r>
        <w:rPr>
          <w:color w:val="231F20"/>
          <w:sz w:val="20"/>
        </w:rPr>
        <w:t>obligations</w:t>
      </w:r>
      <w:r>
        <w:rPr>
          <w:color w:val="231F20"/>
          <w:spacing w:val="-11"/>
          <w:sz w:val="20"/>
        </w:rPr>
        <w:t xml:space="preserve"> </w:t>
      </w:r>
      <w:r>
        <w:rPr>
          <w:color w:val="231F20"/>
          <w:sz w:val="20"/>
        </w:rPr>
        <w:t>do</w:t>
      </w:r>
      <w:r>
        <w:rPr>
          <w:color w:val="231F20"/>
          <w:spacing w:val="-11"/>
          <w:sz w:val="20"/>
        </w:rPr>
        <w:t xml:space="preserve"> </w:t>
      </w:r>
      <w:r>
        <w:rPr>
          <w:color w:val="231F20"/>
          <w:sz w:val="20"/>
        </w:rPr>
        <w:t>not</w:t>
      </w:r>
      <w:r>
        <w:rPr>
          <w:color w:val="231F20"/>
          <w:spacing w:val="-11"/>
          <w:sz w:val="20"/>
        </w:rPr>
        <w:t xml:space="preserve"> </w:t>
      </w:r>
      <w:r>
        <w:rPr>
          <w:color w:val="231F20"/>
          <w:spacing w:val="-3"/>
          <w:sz w:val="20"/>
        </w:rPr>
        <w:t>currently</w:t>
      </w:r>
      <w:r>
        <w:rPr>
          <w:color w:val="231F20"/>
          <w:spacing w:val="-11"/>
          <w:sz w:val="20"/>
        </w:rPr>
        <w:t xml:space="preserve"> </w:t>
      </w:r>
      <w:r>
        <w:rPr>
          <w:color w:val="231F20"/>
          <w:sz w:val="20"/>
        </w:rPr>
        <w:t>apply</w:t>
      </w:r>
      <w:r>
        <w:rPr>
          <w:color w:val="231F20"/>
          <w:spacing w:val="-11"/>
          <w:sz w:val="20"/>
        </w:rPr>
        <w:t xml:space="preserve"> </w:t>
      </w:r>
      <w:r>
        <w:rPr>
          <w:color w:val="231F20"/>
          <w:sz w:val="20"/>
        </w:rPr>
        <w:t>to</w:t>
      </w:r>
      <w:r>
        <w:rPr>
          <w:color w:val="231F20"/>
          <w:spacing w:val="-11"/>
          <w:sz w:val="20"/>
        </w:rPr>
        <w:t xml:space="preserve"> </w:t>
      </w:r>
      <w:r>
        <w:rPr>
          <w:color w:val="231F20"/>
          <w:sz w:val="20"/>
        </w:rPr>
        <w:t>other</w:t>
      </w:r>
      <w:r>
        <w:rPr>
          <w:color w:val="231F20"/>
          <w:spacing w:val="-11"/>
          <w:sz w:val="20"/>
        </w:rPr>
        <w:t xml:space="preserve"> </w:t>
      </w:r>
      <w:r>
        <w:rPr>
          <w:color w:val="231F20"/>
          <w:sz w:val="20"/>
        </w:rPr>
        <w:t>prosecuting</w:t>
      </w:r>
      <w:r>
        <w:rPr>
          <w:color w:val="231F20"/>
          <w:spacing w:val="-11"/>
          <w:sz w:val="20"/>
        </w:rPr>
        <w:t xml:space="preserve"> </w:t>
      </w:r>
      <w:r>
        <w:rPr>
          <w:color w:val="231F20"/>
          <w:sz w:val="20"/>
        </w:rPr>
        <w:t>agencies</w:t>
      </w:r>
      <w:r>
        <w:rPr>
          <w:color w:val="231F20"/>
          <w:spacing w:val="-12"/>
          <w:sz w:val="20"/>
        </w:rPr>
        <w:t xml:space="preserve"> </w:t>
      </w:r>
      <w:r>
        <w:rPr>
          <w:color w:val="231F20"/>
          <w:sz w:val="20"/>
        </w:rPr>
        <w:t>such</w:t>
      </w:r>
      <w:r>
        <w:rPr>
          <w:color w:val="231F20"/>
          <w:spacing w:val="-11"/>
          <w:sz w:val="20"/>
        </w:rPr>
        <w:t xml:space="preserve"> </w:t>
      </w:r>
      <w:r>
        <w:rPr>
          <w:color w:val="231F20"/>
          <w:sz w:val="20"/>
        </w:rPr>
        <w:t>as</w:t>
      </w:r>
      <w:r>
        <w:rPr>
          <w:color w:val="231F20"/>
          <w:spacing w:val="-11"/>
          <w:sz w:val="20"/>
        </w:rPr>
        <w:t xml:space="preserve"> </w:t>
      </w:r>
      <w:r>
        <w:rPr>
          <w:color w:val="231F20"/>
          <w:sz w:val="20"/>
        </w:rPr>
        <w:t xml:space="preserve">Victoria Police. </w:t>
      </w:r>
      <w:r>
        <w:rPr>
          <w:color w:val="231F20"/>
          <w:spacing w:val="-6"/>
          <w:sz w:val="20"/>
        </w:rPr>
        <w:t xml:space="preserve">We </w:t>
      </w:r>
      <w:r>
        <w:rPr>
          <w:color w:val="231F20"/>
          <w:spacing w:val="-4"/>
          <w:sz w:val="20"/>
        </w:rPr>
        <w:t xml:space="preserve">have </w:t>
      </w:r>
      <w:r>
        <w:rPr>
          <w:color w:val="231F20"/>
          <w:spacing w:val="-3"/>
          <w:sz w:val="20"/>
        </w:rPr>
        <w:t xml:space="preserve">previously </w:t>
      </w:r>
      <w:r>
        <w:rPr>
          <w:color w:val="231F20"/>
          <w:sz w:val="20"/>
        </w:rPr>
        <w:t xml:space="preserve">recommended that they should </w:t>
      </w:r>
      <w:r>
        <w:rPr>
          <w:color w:val="231F20"/>
          <w:spacing w:val="-3"/>
          <w:sz w:val="20"/>
        </w:rPr>
        <w:t xml:space="preserve">apply </w:t>
      </w:r>
      <w:r>
        <w:rPr>
          <w:color w:val="231F20"/>
          <w:sz w:val="20"/>
        </w:rPr>
        <w:t>to all prosecuting agencies.</w:t>
      </w:r>
      <w:r>
        <w:rPr>
          <w:color w:val="231F20"/>
          <w:position w:val="7"/>
          <w:sz w:val="11"/>
        </w:rPr>
        <w:t xml:space="preserve">119 </w:t>
      </w:r>
      <w:r>
        <w:rPr>
          <w:color w:val="231F20"/>
          <w:sz w:val="20"/>
        </w:rPr>
        <w:t xml:space="preserve">Regardless of their legal obligation to consult with victim survivors, </w:t>
      </w:r>
      <w:r>
        <w:rPr>
          <w:color w:val="231F20"/>
          <w:spacing w:val="-3"/>
          <w:sz w:val="20"/>
        </w:rPr>
        <w:t>prosecutors</w:t>
      </w:r>
      <w:r>
        <w:rPr>
          <w:color w:val="231F20"/>
          <w:spacing w:val="-8"/>
          <w:sz w:val="20"/>
        </w:rPr>
        <w:t xml:space="preserve"> </w:t>
      </w:r>
      <w:r>
        <w:rPr>
          <w:color w:val="231F20"/>
          <w:sz w:val="20"/>
        </w:rPr>
        <w:t>should</w:t>
      </w:r>
      <w:r>
        <w:rPr>
          <w:color w:val="231F20"/>
          <w:spacing w:val="-7"/>
          <w:sz w:val="20"/>
        </w:rPr>
        <w:t xml:space="preserve"> </w:t>
      </w:r>
      <w:r>
        <w:rPr>
          <w:color w:val="231F20"/>
          <w:sz w:val="20"/>
        </w:rPr>
        <w:t>be</w:t>
      </w:r>
      <w:r>
        <w:rPr>
          <w:color w:val="231F20"/>
          <w:spacing w:val="-7"/>
          <w:sz w:val="20"/>
        </w:rPr>
        <w:t xml:space="preserve"> </w:t>
      </w:r>
      <w:r>
        <w:rPr>
          <w:color w:val="231F20"/>
          <w:sz w:val="20"/>
        </w:rPr>
        <w:t>educated</w:t>
      </w:r>
      <w:r>
        <w:rPr>
          <w:color w:val="231F20"/>
          <w:spacing w:val="-8"/>
          <w:sz w:val="20"/>
        </w:rPr>
        <w:t xml:space="preserve"> </w:t>
      </w:r>
      <w:r>
        <w:rPr>
          <w:color w:val="231F20"/>
          <w:sz w:val="20"/>
        </w:rPr>
        <w:t>about</w:t>
      </w:r>
      <w:r>
        <w:rPr>
          <w:color w:val="231F20"/>
          <w:spacing w:val="-7"/>
          <w:sz w:val="20"/>
        </w:rPr>
        <w:t xml:space="preserve"> </w:t>
      </w:r>
      <w:r>
        <w:rPr>
          <w:color w:val="231F20"/>
          <w:sz w:val="20"/>
        </w:rPr>
        <w:t>the</w:t>
      </w:r>
      <w:r>
        <w:rPr>
          <w:color w:val="231F20"/>
          <w:spacing w:val="-7"/>
          <w:sz w:val="20"/>
        </w:rPr>
        <w:t xml:space="preserve"> </w:t>
      </w:r>
      <w:r>
        <w:rPr>
          <w:color w:val="231F20"/>
          <w:sz w:val="20"/>
        </w:rPr>
        <w:t>benefits</w:t>
      </w:r>
      <w:r>
        <w:rPr>
          <w:color w:val="231F20"/>
          <w:spacing w:val="-7"/>
          <w:sz w:val="20"/>
        </w:rPr>
        <w:t xml:space="preserve"> </w:t>
      </w:r>
      <w:r>
        <w:rPr>
          <w:color w:val="231F20"/>
          <w:spacing w:val="-3"/>
          <w:sz w:val="20"/>
        </w:rPr>
        <w:t>for</w:t>
      </w:r>
      <w:r>
        <w:rPr>
          <w:color w:val="231F20"/>
          <w:spacing w:val="-8"/>
          <w:sz w:val="20"/>
        </w:rPr>
        <w:t xml:space="preserve"> </w:t>
      </w:r>
      <w:r>
        <w:rPr>
          <w:color w:val="231F20"/>
          <w:sz w:val="20"/>
        </w:rPr>
        <w:t>victim</w:t>
      </w:r>
      <w:r>
        <w:rPr>
          <w:color w:val="231F20"/>
          <w:spacing w:val="-7"/>
          <w:sz w:val="20"/>
        </w:rPr>
        <w:t xml:space="preserve"> </w:t>
      </w:r>
      <w:r>
        <w:rPr>
          <w:color w:val="231F20"/>
          <w:sz w:val="20"/>
        </w:rPr>
        <w:t>survivors</w:t>
      </w:r>
      <w:r>
        <w:rPr>
          <w:color w:val="231F20"/>
          <w:spacing w:val="-7"/>
          <w:sz w:val="20"/>
        </w:rPr>
        <w:t xml:space="preserve"> </w:t>
      </w:r>
      <w:r>
        <w:rPr>
          <w:color w:val="231F20"/>
          <w:sz w:val="20"/>
        </w:rPr>
        <w:t>of</w:t>
      </w:r>
      <w:r>
        <w:rPr>
          <w:color w:val="231F20"/>
          <w:spacing w:val="-8"/>
          <w:sz w:val="20"/>
        </w:rPr>
        <w:t xml:space="preserve"> </w:t>
      </w:r>
      <w:r>
        <w:rPr>
          <w:color w:val="231F20"/>
          <w:sz w:val="20"/>
        </w:rPr>
        <w:t>doing</w:t>
      </w:r>
      <w:r>
        <w:rPr>
          <w:color w:val="231F20"/>
          <w:spacing w:val="-7"/>
          <w:sz w:val="20"/>
        </w:rPr>
        <w:t xml:space="preserve"> </w:t>
      </w:r>
      <w:r>
        <w:rPr>
          <w:color w:val="231F20"/>
          <w:sz w:val="20"/>
        </w:rPr>
        <w:t>so.</w:t>
      </w:r>
    </w:p>
    <w:p w14:paraId="75C717AF" w14:textId="77777777" w:rsidR="00894070" w:rsidRDefault="009B7AFD">
      <w:pPr>
        <w:pStyle w:val="ListParagraph"/>
        <w:numPr>
          <w:ilvl w:val="1"/>
          <w:numId w:val="177"/>
        </w:numPr>
        <w:tabs>
          <w:tab w:val="left" w:pos="1801"/>
          <w:tab w:val="left" w:pos="1802"/>
        </w:tabs>
        <w:spacing w:before="93" w:line="259" w:lineRule="exact"/>
        <w:rPr>
          <w:sz w:val="20"/>
        </w:rPr>
      </w:pPr>
      <w:r>
        <w:rPr>
          <w:color w:val="231F20"/>
          <w:sz w:val="20"/>
        </w:rPr>
        <w:t>In</w:t>
      </w:r>
      <w:r>
        <w:rPr>
          <w:color w:val="231F20"/>
          <w:spacing w:val="-5"/>
          <w:sz w:val="20"/>
        </w:rPr>
        <w:t xml:space="preserve"> </w:t>
      </w:r>
      <w:r>
        <w:rPr>
          <w:color w:val="231F20"/>
          <w:spacing w:val="-3"/>
          <w:sz w:val="20"/>
        </w:rPr>
        <w:t>Chapter</w:t>
      </w:r>
      <w:r>
        <w:rPr>
          <w:color w:val="231F20"/>
          <w:spacing w:val="-4"/>
          <w:sz w:val="20"/>
        </w:rPr>
        <w:t xml:space="preserve"> </w:t>
      </w:r>
      <w:r>
        <w:rPr>
          <w:color w:val="231F20"/>
          <w:sz w:val="20"/>
        </w:rPr>
        <w:t>7</w:t>
      </w:r>
      <w:r>
        <w:rPr>
          <w:color w:val="231F20"/>
          <w:spacing w:val="-5"/>
          <w:sz w:val="20"/>
        </w:rPr>
        <w:t xml:space="preserve"> </w:t>
      </w:r>
      <w:r>
        <w:rPr>
          <w:color w:val="231F20"/>
          <w:spacing w:val="-3"/>
          <w:sz w:val="20"/>
        </w:rPr>
        <w:t>we</w:t>
      </w:r>
      <w:r>
        <w:rPr>
          <w:color w:val="231F20"/>
          <w:spacing w:val="-4"/>
          <w:sz w:val="20"/>
        </w:rPr>
        <w:t xml:space="preserve"> </w:t>
      </w:r>
      <w:r>
        <w:rPr>
          <w:color w:val="231F20"/>
          <w:sz w:val="20"/>
        </w:rPr>
        <w:t>discuss</w:t>
      </w:r>
      <w:r>
        <w:rPr>
          <w:color w:val="231F20"/>
          <w:spacing w:val="-4"/>
          <w:sz w:val="20"/>
        </w:rPr>
        <w:t xml:space="preserve"> </w:t>
      </w:r>
      <w:r>
        <w:rPr>
          <w:color w:val="231F20"/>
          <w:sz w:val="20"/>
        </w:rPr>
        <w:t>the</w:t>
      </w:r>
      <w:r>
        <w:rPr>
          <w:color w:val="231F20"/>
          <w:spacing w:val="-5"/>
          <w:sz w:val="20"/>
        </w:rPr>
        <w:t xml:space="preserve"> </w:t>
      </w:r>
      <w:r>
        <w:rPr>
          <w:color w:val="231F20"/>
          <w:sz w:val="20"/>
        </w:rPr>
        <w:t>need</w:t>
      </w:r>
      <w:r>
        <w:rPr>
          <w:color w:val="231F20"/>
          <w:spacing w:val="-4"/>
          <w:sz w:val="20"/>
        </w:rPr>
        <w:t xml:space="preserve"> </w:t>
      </w:r>
      <w:r>
        <w:rPr>
          <w:color w:val="231F20"/>
          <w:spacing w:val="-3"/>
          <w:sz w:val="20"/>
        </w:rPr>
        <w:t>for</w:t>
      </w:r>
      <w:r>
        <w:rPr>
          <w:color w:val="231F20"/>
          <w:spacing w:val="-5"/>
          <w:sz w:val="20"/>
        </w:rPr>
        <w:t xml:space="preserve"> </w:t>
      </w:r>
      <w:r>
        <w:rPr>
          <w:color w:val="231F20"/>
          <w:spacing w:val="-3"/>
          <w:sz w:val="20"/>
        </w:rPr>
        <w:t>research</w:t>
      </w:r>
      <w:r>
        <w:rPr>
          <w:color w:val="231F20"/>
          <w:spacing w:val="-4"/>
          <w:sz w:val="20"/>
        </w:rPr>
        <w:t xml:space="preserve"> </w:t>
      </w:r>
      <w:r>
        <w:rPr>
          <w:color w:val="231F20"/>
          <w:sz w:val="20"/>
        </w:rPr>
        <w:t>on</w:t>
      </w:r>
      <w:r>
        <w:rPr>
          <w:color w:val="231F20"/>
          <w:spacing w:val="-4"/>
          <w:sz w:val="20"/>
        </w:rPr>
        <w:t xml:space="preserve"> </w:t>
      </w:r>
      <w:r>
        <w:rPr>
          <w:color w:val="231F20"/>
          <w:spacing w:val="-3"/>
          <w:sz w:val="20"/>
        </w:rPr>
        <w:t>why</w:t>
      </w:r>
      <w:r>
        <w:rPr>
          <w:color w:val="231F20"/>
          <w:spacing w:val="-5"/>
          <w:sz w:val="20"/>
        </w:rPr>
        <w:t xml:space="preserve"> </w:t>
      </w:r>
      <w:r>
        <w:rPr>
          <w:color w:val="231F20"/>
          <w:sz w:val="20"/>
        </w:rPr>
        <w:t>stalking</w:t>
      </w:r>
      <w:r>
        <w:rPr>
          <w:color w:val="231F20"/>
          <w:spacing w:val="-4"/>
          <w:sz w:val="20"/>
        </w:rPr>
        <w:t xml:space="preserve"> </w:t>
      </w:r>
      <w:r>
        <w:rPr>
          <w:color w:val="231F20"/>
          <w:sz w:val="20"/>
        </w:rPr>
        <w:t>charges</w:t>
      </w:r>
      <w:r>
        <w:rPr>
          <w:color w:val="231F20"/>
          <w:spacing w:val="-4"/>
          <w:sz w:val="20"/>
        </w:rPr>
        <w:t xml:space="preserve"> </w:t>
      </w:r>
      <w:r>
        <w:rPr>
          <w:color w:val="231F20"/>
          <w:spacing w:val="-3"/>
          <w:sz w:val="20"/>
        </w:rPr>
        <w:t>may</w:t>
      </w:r>
      <w:r>
        <w:rPr>
          <w:color w:val="231F20"/>
          <w:spacing w:val="-5"/>
          <w:sz w:val="20"/>
        </w:rPr>
        <w:t xml:space="preserve"> </w:t>
      </w:r>
      <w:r>
        <w:rPr>
          <w:color w:val="231F20"/>
          <w:sz w:val="20"/>
        </w:rPr>
        <w:t>not</w:t>
      </w:r>
    </w:p>
    <w:p w14:paraId="71E47D8C" w14:textId="77777777" w:rsidR="00894070" w:rsidRDefault="009B7AFD">
      <w:pPr>
        <w:pStyle w:val="BodyText"/>
        <w:spacing w:line="259" w:lineRule="exact"/>
        <w:ind w:left="1801"/>
      </w:pPr>
      <w:r>
        <w:rPr>
          <w:color w:val="231F20"/>
        </w:rPr>
        <w:t>proceed through the justice system.</w:t>
      </w:r>
    </w:p>
    <w:p w14:paraId="65B15021" w14:textId="77777777" w:rsidR="00894070" w:rsidRDefault="009B7AFD">
      <w:pPr>
        <w:pStyle w:val="Heading9"/>
        <w:rPr>
          <w:b/>
        </w:rPr>
      </w:pPr>
      <w:r>
        <w:rPr>
          <w:b/>
          <w:color w:val="231F20"/>
        </w:rPr>
        <w:t xml:space="preserve">Specific education for judicial officers, </w:t>
      </w:r>
      <w:proofErr w:type="gramStart"/>
      <w:r>
        <w:rPr>
          <w:b/>
          <w:color w:val="231F20"/>
        </w:rPr>
        <w:t>registrars</w:t>
      </w:r>
      <w:proofErr w:type="gramEnd"/>
      <w:r>
        <w:rPr>
          <w:b/>
          <w:color w:val="231F20"/>
        </w:rPr>
        <w:t xml:space="preserve"> and court staff</w:t>
      </w:r>
    </w:p>
    <w:p w14:paraId="5E5BEDF5" w14:textId="77777777" w:rsidR="00894070" w:rsidRDefault="009B7AFD">
      <w:pPr>
        <w:pStyle w:val="ListParagraph"/>
        <w:numPr>
          <w:ilvl w:val="1"/>
          <w:numId w:val="177"/>
        </w:numPr>
        <w:tabs>
          <w:tab w:val="left" w:pos="1801"/>
          <w:tab w:val="left" w:pos="1802"/>
        </w:tabs>
        <w:spacing w:before="132" w:line="206" w:lineRule="auto"/>
        <w:ind w:right="1749"/>
        <w:rPr>
          <w:sz w:val="20"/>
        </w:rPr>
      </w:pPr>
      <w:r>
        <w:rPr>
          <w:color w:val="231F20"/>
          <w:sz w:val="20"/>
        </w:rPr>
        <w:t>Judicial</w:t>
      </w:r>
      <w:r>
        <w:rPr>
          <w:color w:val="231F20"/>
          <w:spacing w:val="-14"/>
          <w:sz w:val="20"/>
        </w:rPr>
        <w:t xml:space="preserve"> </w:t>
      </w:r>
      <w:r>
        <w:rPr>
          <w:color w:val="231F20"/>
          <w:sz w:val="20"/>
        </w:rPr>
        <w:t>officers</w:t>
      </w:r>
      <w:r>
        <w:rPr>
          <w:color w:val="231F20"/>
          <w:spacing w:val="-14"/>
          <w:sz w:val="20"/>
        </w:rPr>
        <w:t xml:space="preserve"> </w:t>
      </w:r>
      <w:r>
        <w:rPr>
          <w:color w:val="231F20"/>
          <w:spacing w:val="-4"/>
          <w:sz w:val="20"/>
        </w:rPr>
        <w:t>involved</w:t>
      </w:r>
      <w:r>
        <w:rPr>
          <w:color w:val="231F20"/>
          <w:spacing w:val="-14"/>
          <w:sz w:val="20"/>
        </w:rPr>
        <w:t xml:space="preserve"> </w:t>
      </w:r>
      <w:r>
        <w:rPr>
          <w:color w:val="231F20"/>
          <w:sz w:val="20"/>
        </w:rPr>
        <w:t>in</w:t>
      </w:r>
      <w:r>
        <w:rPr>
          <w:color w:val="231F20"/>
          <w:spacing w:val="-13"/>
          <w:sz w:val="20"/>
        </w:rPr>
        <w:t xml:space="preserve"> </w:t>
      </w:r>
      <w:r>
        <w:rPr>
          <w:color w:val="231F20"/>
          <w:sz w:val="20"/>
        </w:rPr>
        <w:t>stalking</w:t>
      </w:r>
      <w:r>
        <w:rPr>
          <w:color w:val="231F20"/>
          <w:spacing w:val="-14"/>
          <w:sz w:val="20"/>
        </w:rPr>
        <w:t xml:space="preserve"> </w:t>
      </w:r>
      <w:r>
        <w:rPr>
          <w:color w:val="231F20"/>
          <w:sz w:val="20"/>
        </w:rPr>
        <w:t>cases</w:t>
      </w:r>
      <w:r>
        <w:rPr>
          <w:color w:val="231F20"/>
          <w:spacing w:val="-14"/>
          <w:sz w:val="20"/>
        </w:rPr>
        <w:t xml:space="preserve"> </w:t>
      </w:r>
      <w:r>
        <w:rPr>
          <w:color w:val="231F20"/>
          <w:sz w:val="20"/>
        </w:rPr>
        <w:t>include</w:t>
      </w:r>
      <w:r>
        <w:rPr>
          <w:color w:val="231F20"/>
          <w:spacing w:val="-14"/>
          <w:sz w:val="20"/>
        </w:rPr>
        <w:t xml:space="preserve"> </w:t>
      </w:r>
      <w:r>
        <w:rPr>
          <w:color w:val="231F20"/>
          <w:sz w:val="20"/>
        </w:rPr>
        <w:t>magistrates</w:t>
      </w:r>
      <w:r>
        <w:rPr>
          <w:color w:val="231F20"/>
          <w:spacing w:val="-13"/>
          <w:sz w:val="20"/>
        </w:rPr>
        <w:t xml:space="preserve"> </w:t>
      </w:r>
      <w:r>
        <w:rPr>
          <w:color w:val="231F20"/>
          <w:sz w:val="20"/>
        </w:rPr>
        <w:t>in</w:t>
      </w:r>
      <w:r>
        <w:rPr>
          <w:color w:val="231F20"/>
          <w:spacing w:val="-14"/>
          <w:sz w:val="20"/>
        </w:rPr>
        <w:t xml:space="preserve"> </w:t>
      </w:r>
      <w:r>
        <w:rPr>
          <w:color w:val="231F20"/>
          <w:sz w:val="20"/>
        </w:rPr>
        <w:t>civil</w:t>
      </w:r>
      <w:r>
        <w:rPr>
          <w:color w:val="231F20"/>
          <w:spacing w:val="-14"/>
          <w:sz w:val="20"/>
        </w:rPr>
        <w:t xml:space="preserve"> </w:t>
      </w:r>
      <w:r>
        <w:rPr>
          <w:color w:val="231F20"/>
          <w:sz w:val="20"/>
        </w:rPr>
        <w:t>and</w:t>
      </w:r>
      <w:r>
        <w:rPr>
          <w:color w:val="231F20"/>
          <w:spacing w:val="-14"/>
          <w:sz w:val="20"/>
        </w:rPr>
        <w:t xml:space="preserve"> </w:t>
      </w:r>
      <w:r>
        <w:rPr>
          <w:color w:val="231F20"/>
          <w:sz w:val="20"/>
        </w:rPr>
        <w:t xml:space="preserve">criminal jurisdictions of the </w:t>
      </w:r>
      <w:r>
        <w:rPr>
          <w:color w:val="231F20"/>
          <w:spacing w:val="-3"/>
          <w:sz w:val="20"/>
        </w:rPr>
        <w:t xml:space="preserve">Magistrates’ </w:t>
      </w:r>
      <w:r>
        <w:rPr>
          <w:color w:val="231F20"/>
          <w:sz w:val="20"/>
        </w:rPr>
        <w:t xml:space="preserve">Court and </w:t>
      </w:r>
      <w:r>
        <w:rPr>
          <w:color w:val="231F20"/>
          <w:spacing w:val="-3"/>
          <w:sz w:val="20"/>
        </w:rPr>
        <w:t>Children’s</w:t>
      </w:r>
      <w:r>
        <w:rPr>
          <w:color w:val="231F20"/>
          <w:spacing w:val="-27"/>
          <w:sz w:val="20"/>
        </w:rPr>
        <w:t xml:space="preserve"> </w:t>
      </w:r>
      <w:r>
        <w:rPr>
          <w:color w:val="231F20"/>
          <w:sz w:val="20"/>
        </w:rPr>
        <w:t>Court.</w:t>
      </w:r>
    </w:p>
    <w:p w14:paraId="07C4C665" w14:textId="77777777" w:rsidR="00894070" w:rsidRDefault="009B7AFD">
      <w:pPr>
        <w:pStyle w:val="ListParagraph"/>
        <w:numPr>
          <w:ilvl w:val="1"/>
          <w:numId w:val="177"/>
        </w:numPr>
        <w:tabs>
          <w:tab w:val="left" w:pos="1801"/>
          <w:tab w:val="left" w:pos="1802"/>
        </w:tabs>
        <w:spacing w:before="90" w:line="259" w:lineRule="exact"/>
        <w:rPr>
          <w:sz w:val="20"/>
        </w:rPr>
      </w:pPr>
      <w:r>
        <w:rPr>
          <w:color w:val="231F20"/>
          <w:sz w:val="20"/>
        </w:rPr>
        <w:t>Judges</w:t>
      </w:r>
      <w:r>
        <w:rPr>
          <w:color w:val="231F20"/>
          <w:spacing w:val="-6"/>
          <w:sz w:val="20"/>
        </w:rPr>
        <w:t xml:space="preserve"> </w:t>
      </w:r>
      <w:r>
        <w:rPr>
          <w:color w:val="231F20"/>
          <w:sz w:val="20"/>
        </w:rPr>
        <w:t>of</w:t>
      </w:r>
      <w:r>
        <w:rPr>
          <w:color w:val="231F20"/>
          <w:spacing w:val="-5"/>
          <w:sz w:val="20"/>
        </w:rPr>
        <w:t xml:space="preserve"> </w:t>
      </w:r>
      <w:r>
        <w:rPr>
          <w:color w:val="231F20"/>
          <w:sz w:val="20"/>
        </w:rPr>
        <w:t>the</w:t>
      </w:r>
      <w:r>
        <w:rPr>
          <w:color w:val="231F20"/>
          <w:spacing w:val="-6"/>
          <w:sz w:val="20"/>
        </w:rPr>
        <w:t xml:space="preserve"> </w:t>
      </w:r>
      <w:r>
        <w:rPr>
          <w:color w:val="231F20"/>
          <w:sz w:val="20"/>
        </w:rPr>
        <w:t>County</w:t>
      </w:r>
      <w:r>
        <w:rPr>
          <w:color w:val="231F20"/>
          <w:spacing w:val="-5"/>
          <w:sz w:val="20"/>
        </w:rPr>
        <w:t xml:space="preserve"> </w:t>
      </w:r>
      <w:r>
        <w:rPr>
          <w:color w:val="231F20"/>
          <w:sz w:val="20"/>
        </w:rPr>
        <w:t>Court</w:t>
      </w:r>
      <w:r>
        <w:rPr>
          <w:color w:val="231F20"/>
          <w:spacing w:val="-5"/>
          <w:sz w:val="20"/>
        </w:rPr>
        <w:t xml:space="preserve"> </w:t>
      </w:r>
      <w:r>
        <w:rPr>
          <w:color w:val="231F20"/>
          <w:sz w:val="20"/>
        </w:rPr>
        <w:t>also</w:t>
      </w:r>
      <w:r>
        <w:rPr>
          <w:color w:val="231F20"/>
          <w:spacing w:val="-6"/>
          <w:sz w:val="20"/>
        </w:rPr>
        <w:t xml:space="preserve"> </w:t>
      </w:r>
      <w:r>
        <w:rPr>
          <w:color w:val="231F20"/>
          <w:sz w:val="20"/>
        </w:rPr>
        <w:t>deal</w:t>
      </w:r>
      <w:r>
        <w:rPr>
          <w:color w:val="231F20"/>
          <w:spacing w:val="-5"/>
          <w:sz w:val="20"/>
        </w:rPr>
        <w:t xml:space="preserve"> </w:t>
      </w:r>
      <w:r>
        <w:rPr>
          <w:color w:val="231F20"/>
          <w:sz w:val="20"/>
        </w:rPr>
        <w:t>with</w:t>
      </w:r>
      <w:r>
        <w:rPr>
          <w:color w:val="231F20"/>
          <w:spacing w:val="-6"/>
          <w:sz w:val="20"/>
        </w:rPr>
        <w:t xml:space="preserve"> </w:t>
      </w:r>
      <w:r>
        <w:rPr>
          <w:color w:val="231F20"/>
          <w:sz w:val="20"/>
        </w:rPr>
        <w:t>stalking</w:t>
      </w:r>
      <w:r>
        <w:rPr>
          <w:color w:val="231F20"/>
          <w:spacing w:val="-5"/>
          <w:sz w:val="20"/>
        </w:rPr>
        <w:t xml:space="preserve"> </w:t>
      </w:r>
      <w:r>
        <w:rPr>
          <w:color w:val="231F20"/>
          <w:sz w:val="20"/>
        </w:rPr>
        <w:t>in</w:t>
      </w:r>
      <w:r>
        <w:rPr>
          <w:color w:val="231F20"/>
          <w:spacing w:val="-5"/>
          <w:sz w:val="20"/>
        </w:rPr>
        <w:t xml:space="preserve"> </w:t>
      </w:r>
      <w:r>
        <w:rPr>
          <w:color w:val="231F20"/>
          <w:sz w:val="20"/>
        </w:rPr>
        <w:t>criminal</w:t>
      </w:r>
      <w:r>
        <w:rPr>
          <w:color w:val="231F20"/>
          <w:spacing w:val="-6"/>
          <w:sz w:val="20"/>
        </w:rPr>
        <w:t xml:space="preserve"> </w:t>
      </w:r>
      <w:r>
        <w:rPr>
          <w:color w:val="231F20"/>
          <w:sz w:val="20"/>
        </w:rPr>
        <w:t>cases,</w:t>
      </w:r>
      <w:r>
        <w:rPr>
          <w:color w:val="231F20"/>
          <w:spacing w:val="-5"/>
          <w:sz w:val="20"/>
        </w:rPr>
        <w:t xml:space="preserve"> </w:t>
      </w:r>
      <w:r>
        <w:rPr>
          <w:color w:val="231F20"/>
          <w:sz w:val="20"/>
        </w:rPr>
        <w:t>but</w:t>
      </w:r>
      <w:r>
        <w:rPr>
          <w:color w:val="231F20"/>
          <w:spacing w:val="-6"/>
          <w:sz w:val="20"/>
        </w:rPr>
        <w:t xml:space="preserve"> </w:t>
      </w:r>
      <w:r>
        <w:rPr>
          <w:color w:val="231F20"/>
          <w:sz w:val="20"/>
        </w:rPr>
        <w:t>this</w:t>
      </w:r>
      <w:r>
        <w:rPr>
          <w:color w:val="231F20"/>
          <w:spacing w:val="-5"/>
          <w:sz w:val="20"/>
        </w:rPr>
        <w:t xml:space="preserve"> </w:t>
      </w:r>
      <w:r>
        <w:rPr>
          <w:color w:val="231F20"/>
          <w:sz w:val="20"/>
        </w:rPr>
        <w:t>is</w:t>
      </w:r>
      <w:r>
        <w:rPr>
          <w:color w:val="231F20"/>
          <w:spacing w:val="-6"/>
          <w:sz w:val="20"/>
        </w:rPr>
        <w:t xml:space="preserve"> </w:t>
      </w:r>
      <w:r>
        <w:rPr>
          <w:color w:val="231F20"/>
          <w:sz w:val="20"/>
        </w:rPr>
        <w:t>less</w:t>
      </w:r>
    </w:p>
    <w:p w14:paraId="22FBC3DF" w14:textId="77777777" w:rsidR="00894070" w:rsidRDefault="009B7AFD">
      <w:pPr>
        <w:pStyle w:val="BodyText"/>
        <w:spacing w:line="259" w:lineRule="exact"/>
        <w:ind w:left="1801"/>
      </w:pPr>
      <w:r>
        <w:rPr>
          <w:color w:val="231F20"/>
        </w:rPr>
        <w:t>common due to:</w:t>
      </w:r>
    </w:p>
    <w:p w14:paraId="2F95F7D0" w14:textId="77777777" w:rsidR="00894070" w:rsidRDefault="009B7AFD">
      <w:pPr>
        <w:pStyle w:val="ListParagraph"/>
        <w:numPr>
          <w:ilvl w:val="2"/>
          <w:numId w:val="177"/>
        </w:numPr>
        <w:tabs>
          <w:tab w:val="left" w:pos="2141"/>
          <w:tab w:val="left" w:pos="2142"/>
        </w:tabs>
        <w:spacing w:before="82"/>
        <w:ind w:hanging="340"/>
        <w:rPr>
          <w:sz w:val="20"/>
        </w:rPr>
      </w:pPr>
      <w:r>
        <w:rPr>
          <w:color w:val="231F20"/>
          <w:sz w:val="20"/>
        </w:rPr>
        <w:t xml:space="preserve">barriers to reporting (see </w:t>
      </w:r>
      <w:r>
        <w:rPr>
          <w:color w:val="231F20"/>
          <w:spacing w:val="-3"/>
          <w:sz w:val="20"/>
        </w:rPr>
        <w:t>Chapter</w:t>
      </w:r>
      <w:r>
        <w:rPr>
          <w:color w:val="231F20"/>
          <w:spacing w:val="-21"/>
          <w:sz w:val="20"/>
        </w:rPr>
        <w:t xml:space="preserve"> </w:t>
      </w:r>
      <w:r>
        <w:rPr>
          <w:color w:val="231F20"/>
          <w:sz w:val="20"/>
        </w:rPr>
        <w:t>2)</w:t>
      </w:r>
    </w:p>
    <w:p w14:paraId="2750AA13" w14:textId="77777777" w:rsidR="00894070" w:rsidRDefault="009B7AFD">
      <w:pPr>
        <w:pStyle w:val="ListParagraph"/>
        <w:numPr>
          <w:ilvl w:val="2"/>
          <w:numId w:val="177"/>
        </w:numPr>
        <w:tabs>
          <w:tab w:val="left" w:pos="2141"/>
          <w:tab w:val="left" w:pos="2142"/>
        </w:tabs>
        <w:spacing w:before="48"/>
        <w:ind w:hanging="340"/>
        <w:rPr>
          <w:sz w:val="20"/>
        </w:rPr>
      </w:pPr>
      <w:r>
        <w:rPr>
          <w:color w:val="231F20"/>
          <w:sz w:val="20"/>
        </w:rPr>
        <w:t>a</w:t>
      </w:r>
      <w:r>
        <w:rPr>
          <w:color w:val="231F20"/>
          <w:spacing w:val="-5"/>
          <w:sz w:val="20"/>
        </w:rPr>
        <w:t xml:space="preserve"> </w:t>
      </w:r>
      <w:r>
        <w:rPr>
          <w:color w:val="231F20"/>
          <w:sz w:val="20"/>
        </w:rPr>
        <w:t>drop-off</w:t>
      </w:r>
      <w:r>
        <w:rPr>
          <w:color w:val="231F20"/>
          <w:spacing w:val="-4"/>
          <w:sz w:val="20"/>
        </w:rPr>
        <w:t xml:space="preserve"> </w:t>
      </w:r>
      <w:r>
        <w:rPr>
          <w:color w:val="231F20"/>
          <w:sz w:val="20"/>
        </w:rPr>
        <w:t>in</w:t>
      </w:r>
      <w:r>
        <w:rPr>
          <w:color w:val="231F20"/>
          <w:spacing w:val="-5"/>
          <w:sz w:val="20"/>
        </w:rPr>
        <w:t xml:space="preserve"> </w:t>
      </w:r>
      <w:r>
        <w:rPr>
          <w:color w:val="231F20"/>
          <w:sz w:val="20"/>
        </w:rPr>
        <w:t>cases</w:t>
      </w:r>
      <w:r>
        <w:rPr>
          <w:color w:val="231F20"/>
          <w:spacing w:val="-4"/>
          <w:sz w:val="20"/>
        </w:rPr>
        <w:t xml:space="preserve"> </w:t>
      </w:r>
      <w:r>
        <w:rPr>
          <w:color w:val="231F20"/>
          <w:sz w:val="20"/>
        </w:rPr>
        <w:t>in</w:t>
      </w:r>
      <w:r>
        <w:rPr>
          <w:color w:val="231F20"/>
          <w:spacing w:val="-5"/>
          <w:sz w:val="20"/>
        </w:rPr>
        <w:t xml:space="preserve"> </w:t>
      </w:r>
      <w:r>
        <w:rPr>
          <w:color w:val="231F20"/>
          <w:sz w:val="20"/>
        </w:rPr>
        <w:t>the</w:t>
      </w:r>
      <w:r>
        <w:rPr>
          <w:color w:val="231F20"/>
          <w:spacing w:val="-4"/>
          <w:sz w:val="20"/>
        </w:rPr>
        <w:t xml:space="preserve"> </w:t>
      </w:r>
      <w:r>
        <w:rPr>
          <w:color w:val="231F20"/>
          <w:sz w:val="20"/>
        </w:rPr>
        <w:t>justice</w:t>
      </w:r>
      <w:r>
        <w:rPr>
          <w:color w:val="231F20"/>
          <w:spacing w:val="-5"/>
          <w:sz w:val="20"/>
        </w:rPr>
        <w:t xml:space="preserve"> </w:t>
      </w:r>
      <w:r>
        <w:rPr>
          <w:color w:val="231F20"/>
          <w:spacing w:val="-2"/>
          <w:sz w:val="20"/>
        </w:rPr>
        <w:t>system</w:t>
      </w:r>
      <w:r>
        <w:rPr>
          <w:color w:val="231F20"/>
          <w:spacing w:val="-4"/>
          <w:sz w:val="20"/>
        </w:rPr>
        <w:t xml:space="preserve"> </w:t>
      </w:r>
      <w:r>
        <w:rPr>
          <w:color w:val="231F20"/>
          <w:sz w:val="20"/>
        </w:rPr>
        <w:t>(see</w:t>
      </w:r>
      <w:r>
        <w:rPr>
          <w:color w:val="231F20"/>
          <w:spacing w:val="-5"/>
          <w:sz w:val="20"/>
        </w:rPr>
        <w:t xml:space="preserve"> </w:t>
      </w:r>
      <w:r>
        <w:rPr>
          <w:color w:val="231F20"/>
          <w:spacing w:val="-3"/>
          <w:sz w:val="20"/>
        </w:rPr>
        <w:t>Chapter</w:t>
      </w:r>
      <w:r>
        <w:rPr>
          <w:color w:val="231F20"/>
          <w:spacing w:val="-4"/>
          <w:sz w:val="20"/>
        </w:rPr>
        <w:t xml:space="preserve"> </w:t>
      </w:r>
      <w:r>
        <w:rPr>
          <w:color w:val="231F20"/>
          <w:sz w:val="20"/>
        </w:rPr>
        <w:t>2)</w:t>
      </w:r>
    </w:p>
    <w:p w14:paraId="5C9967A1" w14:textId="77777777" w:rsidR="00894070" w:rsidRDefault="009B7AFD">
      <w:pPr>
        <w:pStyle w:val="ListParagraph"/>
        <w:numPr>
          <w:ilvl w:val="2"/>
          <w:numId w:val="177"/>
        </w:numPr>
        <w:tabs>
          <w:tab w:val="left" w:pos="2141"/>
          <w:tab w:val="left" w:pos="2142"/>
        </w:tabs>
        <w:spacing w:before="47"/>
        <w:ind w:hanging="340"/>
        <w:rPr>
          <w:sz w:val="11"/>
        </w:rPr>
      </w:pPr>
      <w:r>
        <w:rPr>
          <w:color w:val="231F20"/>
          <w:sz w:val="20"/>
        </w:rPr>
        <w:t>most</w:t>
      </w:r>
      <w:r>
        <w:rPr>
          <w:color w:val="231F20"/>
          <w:spacing w:val="-5"/>
          <w:sz w:val="20"/>
        </w:rPr>
        <w:t xml:space="preserve"> </w:t>
      </w:r>
      <w:r>
        <w:rPr>
          <w:color w:val="231F20"/>
          <w:sz w:val="20"/>
        </w:rPr>
        <w:t>stalking</w:t>
      </w:r>
      <w:r>
        <w:rPr>
          <w:color w:val="231F20"/>
          <w:spacing w:val="-5"/>
          <w:sz w:val="20"/>
        </w:rPr>
        <w:t xml:space="preserve"> </w:t>
      </w:r>
      <w:r>
        <w:rPr>
          <w:color w:val="231F20"/>
          <w:sz w:val="20"/>
        </w:rPr>
        <w:t>charges</w:t>
      </w:r>
      <w:r>
        <w:rPr>
          <w:color w:val="231F20"/>
          <w:spacing w:val="-4"/>
          <w:sz w:val="20"/>
        </w:rPr>
        <w:t xml:space="preserve"> </w:t>
      </w:r>
      <w:r>
        <w:rPr>
          <w:color w:val="231F20"/>
          <w:sz w:val="20"/>
        </w:rPr>
        <w:t>being</w:t>
      </w:r>
      <w:r>
        <w:rPr>
          <w:color w:val="231F20"/>
          <w:spacing w:val="-5"/>
          <w:sz w:val="20"/>
        </w:rPr>
        <w:t xml:space="preserve"> </w:t>
      </w:r>
      <w:r>
        <w:rPr>
          <w:color w:val="231F20"/>
          <w:spacing w:val="-3"/>
          <w:sz w:val="20"/>
        </w:rPr>
        <w:t>prosecuted</w:t>
      </w:r>
      <w:r>
        <w:rPr>
          <w:color w:val="231F20"/>
          <w:spacing w:val="-5"/>
          <w:sz w:val="20"/>
        </w:rPr>
        <w:t xml:space="preserve"> </w:t>
      </w:r>
      <w:r>
        <w:rPr>
          <w:color w:val="231F20"/>
          <w:sz w:val="20"/>
        </w:rPr>
        <w:t>as</w:t>
      </w:r>
      <w:r>
        <w:rPr>
          <w:color w:val="231F20"/>
          <w:spacing w:val="-4"/>
          <w:sz w:val="20"/>
        </w:rPr>
        <w:t xml:space="preserve"> </w:t>
      </w:r>
      <w:r>
        <w:rPr>
          <w:color w:val="231F20"/>
          <w:sz w:val="20"/>
        </w:rPr>
        <w:t>summary</w:t>
      </w:r>
      <w:r>
        <w:rPr>
          <w:color w:val="231F20"/>
          <w:spacing w:val="-5"/>
          <w:sz w:val="20"/>
        </w:rPr>
        <w:t xml:space="preserve"> </w:t>
      </w:r>
      <w:r>
        <w:rPr>
          <w:color w:val="231F20"/>
          <w:sz w:val="20"/>
        </w:rPr>
        <w:t>charges</w:t>
      </w:r>
      <w:r>
        <w:rPr>
          <w:color w:val="231F20"/>
          <w:spacing w:val="-4"/>
          <w:sz w:val="20"/>
        </w:rPr>
        <w:t xml:space="preserve"> </w:t>
      </w:r>
      <w:r>
        <w:rPr>
          <w:color w:val="231F20"/>
          <w:sz w:val="20"/>
        </w:rPr>
        <w:t>(see</w:t>
      </w:r>
      <w:r>
        <w:rPr>
          <w:color w:val="231F20"/>
          <w:spacing w:val="-5"/>
          <w:sz w:val="20"/>
        </w:rPr>
        <w:t xml:space="preserve"> </w:t>
      </w:r>
      <w:r>
        <w:rPr>
          <w:color w:val="231F20"/>
          <w:spacing w:val="-3"/>
          <w:sz w:val="20"/>
        </w:rPr>
        <w:t>Chapter</w:t>
      </w:r>
      <w:r>
        <w:rPr>
          <w:color w:val="231F20"/>
          <w:spacing w:val="-5"/>
          <w:sz w:val="20"/>
        </w:rPr>
        <w:t xml:space="preserve"> </w:t>
      </w:r>
      <w:r>
        <w:rPr>
          <w:color w:val="231F20"/>
          <w:sz w:val="20"/>
        </w:rPr>
        <w:t>7).</w:t>
      </w:r>
      <w:r>
        <w:rPr>
          <w:color w:val="231F20"/>
          <w:position w:val="7"/>
          <w:sz w:val="11"/>
        </w:rPr>
        <w:t>120</w:t>
      </w:r>
    </w:p>
    <w:p w14:paraId="04296555" w14:textId="77777777" w:rsidR="00894070" w:rsidRDefault="009B7AFD">
      <w:pPr>
        <w:pStyle w:val="ListParagraph"/>
        <w:numPr>
          <w:ilvl w:val="1"/>
          <w:numId w:val="177"/>
        </w:numPr>
        <w:tabs>
          <w:tab w:val="left" w:pos="1801"/>
          <w:tab w:val="left" w:pos="1802"/>
        </w:tabs>
        <w:spacing w:before="80" w:line="206" w:lineRule="auto"/>
        <w:ind w:right="1551"/>
        <w:rPr>
          <w:sz w:val="20"/>
        </w:rPr>
      </w:pPr>
      <w:r>
        <w:rPr>
          <w:color w:val="231F20"/>
          <w:sz w:val="20"/>
        </w:rPr>
        <w:t>In</w:t>
      </w:r>
      <w:r>
        <w:rPr>
          <w:color w:val="231F20"/>
          <w:spacing w:val="-15"/>
          <w:sz w:val="20"/>
        </w:rPr>
        <w:t xml:space="preserve"> </w:t>
      </w:r>
      <w:r>
        <w:rPr>
          <w:color w:val="231F20"/>
          <w:sz w:val="20"/>
        </w:rPr>
        <w:t>addition</w:t>
      </w:r>
      <w:r>
        <w:rPr>
          <w:color w:val="231F20"/>
          <w:spacing w:val="-14"/>
          <w:sz w:val="20"/>
        </w:rPr>
        <w:t xml:space="preserve"> </w:t>
      </w:r>
      <w:r>
        <w:rPr>
          <w:color w:val="231F20"/>
          <w:sz w:val="20"/>
        </w:rPr>
        <w:t>to</w:t>
      </w:r>
      <w:r>
        <w:rPr>
          <w:color w:val="231F20"/>
          <w:spacing w:val="-14"/>
          <w:sz w:val="20"/>
        </w:rPr>
        <w:t xml:space="preserve"> </w:t>
      </w:r>
      <w:r>
        <w:rPr>
          <w:color w:val="231F20"/>
          <w:sz w:val="20"/>
        </w:rPr>
        <w:t>the</w:t>
      </w:r>
      <w:r>
        <w:rPr>
          <w:color w:val="231F20"/>
          <w:spacing w:val="-14"/>
          <w:sz w:val="20"/>
        </w:rPr>
        <w:t xml:space="preserve"> </w:t>
      </w:r>
      <w:r>
        <w:rPr>
          <w:color w:val="231F20"/>
          <w:sz w:val="20"/>
        </w:rPr>
        <w:t>areas</w:t>
      </w:r>
      <w:r>
        <w:rPr>
          <w:color w:val="231F20"/>
          <w:spacing w:val="-14"/>
          <w:sz w:val="20"/>
        </w:rPr>
        <w:t xml:space="preserve"> </w:t>
      </w:r>
      <w:r>
        <w:rPr>
          <w:color w:val="231F20"/>
          <w:sz w:val="20"/>
        </w:rPr>
        <w:t>described</w:t>
      </w:r>
      <w:r>
        <w:rPr>
          <w:color w:val="231F20"/>
          <w:spacing w:val="-14"/>
          <w:sz w:val="20"/>
        </w:rPr>
        <w:t xml:space="preserve"> </w:t>
      </w:r>
      <w:r>
        <w:rPr>
          <w:color w:val="231F20"/>
          <w:spacing w:val="-3"/>
          <w:sz w:val="20"/>
        </w:rPr>
        <w:t>above,</w:t>
      </w:r>
      <w:r>
        <w:rPr>
          <w:color w:val="231F20"/>
          <w:spacing w:val="-14"/>
          <w:sz w:val="20"/>
        </w:rPr>
        <w:t xml:space="preserve"> </w:t>
      </w:r>
      <w:r>
        <w:rPr>
          <w:color w:val="231F20"/>
          <w:sz w:val="20"/>
        </w:rPr>
        <w:t>judicial</w:t>
      </w:r>
      <w:r>
        <w:rPr>
          <w:color w:val="231F20"/>
          <w:spacing w:val="-14"/>
          <w:sz w:val="20"/>
        </w:rPr>
        <w:t xml:space="preserve"> </w:t>
      </w:r>
      <w:r>
        <w:rPr>
          <w:color w:val="231F20"/>
          <w:sz w:val="20"/>
        </w:rPr>
        <w:t>officers</w:t>
      </w:r>
      <w:r>
        <w:rPr>
          <w:color w:val="231F20"/>
          <w:spacing w:val="-14"/>
          <w:sz w:val="20"/>
        </w:rPr>
        <w:t xml:space="preserve"> </w:t>
      </w:r>
      <w:r>
        <w:rPr>
          <w:color w:val="231F20"/>
          <w:sz w:val="20"/>
        </w:rPr>
        <w:t>could</w:t>
      </w:r>
      <w:r>
        <w:rPr>
          <w:color w:val="231F20"/>
          <w:spacing w:val="-14"/>
          <w:sz w:val="20"/>
        </w:rPr>
        <w:t xml:space="preserve"> </w:t>
      </w:r>
      <w:r>
        <w:rPr>
          <w:color w:val="231F20"/>
          <w:sz w:val="20"/>
        </w:rPr>
        <w:t>benefit</w:t>
      </w:r>
      <w:r>
        <w:rPr>
          <w:color w:val="231F20"/>
          <w:spacing w:val="-14"/>
          <w:sz w:val="20"/>
        </w:rPr>
        <w:t xml:space="preserve"> </w:t>
      </w:r>
      <w:r>
        <w:rPr>
          <w:color w:val="231F20"/>
          <w:spacing w:val="-3"/>
          <w:sz w:val="20"/>
        </w:rPr>
        <w:t>from</w:t>
      </w:r>
      <w:r>
        <w:rPr>
          <w:color w:val="231F20"/>
          <w:spacing w:val="-14"/>
          <w:sz w:val="20"/>
        </w:rPr>
        <w:t xml:space="preserve"> </w:t>
      </w:r>
      <w:r>
        <w:rPr>
          <w:color w:val="231F20"/>
          <w:sz w:val="20"/>
        </w:rPr>
        <w:t>specific education and training</w:t>
      </w:r>
      <w:r>
        <w:rPr>
          <w:color w:val="231F20"/>
          <w:spacing w:val="-13"/>
          <w:sz w:val="20"/>
        </w:rPr>
        <w:t xml:space="preserve"> </w:t>
      </w:r>
      <w:r>
        <w:rPr>
          <w:color w:val="231F20"/>
          <w:sz w:val="20"/>
        </w:rPr>
        <w:t>about:</w:t>
      </w:r>
    </w:p>
    <w:p w14:paraId="43211930" w14:textId="77777777" w:rsidR="00894070" w:rsidRDefault="009B7AFD">
      <w:pPr>
        <w:pStyle w:val="ListParagraph"/>
        <w:numPr>
          <w:ilvl w:val="2"/>
          <w:numId w:val="177"/>
        </w:numPr>
        <w:tabs>
          <w:tab w:val="left" w:pos="2141"/>
          <w:tab w:val="left" w:pos="2142"/>
        </w:tabs>
        <w:spacing w:before="127" w:line="201" w:lineRule="auto"/>
        <w:ind w:right="1507" w:hanging="340"/>
        <w:rPr>
          <w:sz w:val="11"/>
        </w:rPr>
      </w:pPr>
      <w:r>
        <w:rPr>
          <w:color w:val="231F20"/>
          <w:sz w:val="20"/>
        </w:rPr>
        <w:t>the</w:t>
      </w:r>
      <w:r>
        <w:rPr>
          <w:color w:val="231F20"/>
          <w:spacing w:val="-5"/>
          <w:sz w:val="20"/>
        </w:rPr>
        <w:t xml:space="preserve"> </w:t>
      </w:r>
      <w:r>
        <w:rPr>
          <w:color w:val="231F20"/>
          <w:sz w:val="20"/>
        </w:rPr>
        <w:t>impact</w:t>
      </w:r>
      <w:r>
        <w:rPr>
          <w:color w:val="231F20"/>
          <w:spacing w:val="-4"/>
          <w:sz w:val="20"/>
        </w:rPr>
        <w:t xml:space="preserve"> </w:t>
      </w:r>
      <w:r>
        <w:rPr>
          <w:color w:val="231F20"/>
          <w:sz w:val="20"/>
        </w:rPr>
        <w:t>of</w:t>
      </w:r>
      <w:r>
        <w:rPr>
          <w:color w:val="231F20"/>
          <w:spacing w:val="-5"/>
          <w:sz w:val="20"/>
        </w:rPr>
        <w:t xml:space="preserve"> </w:t>
      </w:r>
      <w:r>
        <w:rPr>
          <w:color w:val="231F20"/>
          <w:sz w:val="20"/>
        </w:rPr>
        <w:t>PSIOs</w:t>
      </w:r>
      <w:r>
        <w:rPr>
          <w:color w:val="231F20"/>
          <w:spacing w:val="-4"/>
          <w:sz w:val="20"/>
        </w:rPr>
        <w:t xml:space="preserve"> </w:t>
      </w:r>
      <w:r>
        <w:rPr>
          <w:color w:val="231F20"/>
          <w:sz w:val="20"/>
        </w:rPr>
        <w:t>on</w:t>
      </w:r>
      <w:r>
        <w:rPr>
          <w:color w:val="231F20"/>
          <w:spacing w:val="-5"/>
          <w:sz w:val="20"/>
        </w:rPr>
        <w:t xml:space="preserve"> </w:t>
      </w:r>
      <w:r>
        <w:rPr>
          <w:color w:val="231F20"/>
          <w:spacing w:val="-3"/>
          <w:sz w:val="20"/>
        </w:rPr>
        <w:t>children,</w:t>
      </w:r>
      <w:r>
        <w:rPr>
          <w:color w:val="231F20"/>
          <w:spacing w:val="-4"/>
          <w:sz w:val="20"/>
        </w:rPr>
        <w:t xml:space="preserve"> </w:t>
      </w:r>
      <w:r>
        <w:rPr>
          <w:color w:val="231F20"/>
          <w:spacing w:val="-3"/>
          <w:sz w:val="20"/>
        </w:rPr>
        <w:t>given</w:t>
      </w:r>
      <w:r>
        <w:rPr>
          <w:color w:val="231F20"/>
          <w:spacing w:val="-5"/>
          <w:sz w:val="20"/>
        </w:rPr>
        <w:t xml:space="preserve"> </w:t>
      </w:r>
      <w:r>
        <w:rPr>
          <w:color w:val="231F20"/>
          <w:sz w:val="20"/>
        </w:rPr>
        <w:t>their</w:t>
      </w:r>
      <w:r>
        <w:rPr>
          <w:color w:val="231F20"/>
          <w:spacing w:val="-4"/>
          <w:sz w:val="20"/>
        </w:rPr>
        <w:t xml:space="preserve"> </w:t>
      </w:r>
      <w:r>
        <w:rPr>
          <w:color w:val="231F20"/>
          <w:spacing w:val="-3"/>
          <w:sz w:val="20"/>
        </w:rPr>
        <w:t>developmental</w:t>
      </w:r>
      <w:r>
        <w:rPr>
          <w:color w:val="231F20"/>
          <w:spacing w:val="-5"/>
          <w:sz w:val="20"/>
        </w:rPr>
        <w:t xml:space="preserve"> </w:t>
      </w:r>
      <w:r>
        <w:rPr>
          <w:color w:val="231F20"/>
          <w:sz w:val="20"/>
        </w:rPr>
        <w:t>phases</w:t>
      </w:r>
      <w:r>
        <w:rPr>
          <w:color w:val="231F20"/>
          <w:spacing w:val="-4"/>
          <w:sz w:val="20"/>
        </w:rPr>
        <w:t xml:space="preserve"> </w:t>
      </w:r>
      <w:r>
        <w:rPr>
          <w:color w:val="231F20"/>
          <w:sz w:val="20"/>
        </w:rPr>
        <w:t>(see</w:t>
      </w:r>
      <w:r>
        <w:rPr>
          <w:color w:val="231F20"/>
          <w:spacing w:val="-5"/>
          <w:sz w:val="20"/>
        </w:rPr>
        <w:t xml:space="preserve"> </w:t>
      </w:r>
      <w:r>
        <w:rPr>
          <w:color w:val="231F20"/>
          <w:spacing w:val="-3"/>
          <w:sz w:val="20"/>
        </w:rPr>
        <w:t>Chapter</w:t>
      </w:r>
      <w:r>
        <w:rPr>
          <w:color w:val="231F20"/>
          <w:spacing w:val="-3"/>
          <w:position w:val="-6"/>
          <w:sz w:val="20"/>
        </w:rPr>
        <w:t xml:space="preserve"> </w:t>
      </w:r>
      <w:r>
        <w:rPr>
          <w:color w:val="231F20"/>
          <w:position w:val="-6"/>
          <w:sz w:val="20"/>
        </w:rPr>
        <w:t>6)</w:t>
      </w:r>
      <w:r>
        <w:rPr>
          <w:color w:val="231F20"/>
          <w:sz w:val="11"/>
        </w:rPr>
        <w:t>121</w:t>
      </w:r>
    </w:p>
    <w:p w14:paraId="67D01FD3" w14:textId="77777777" w:rsidR="00894070" w:rsidRDefault="009B7AFD">
      <w:pPr>
        <w:pStyle w:val="ListParagraph"/>
        <w:numPr>
          <w:ilvl w:val="2"/>
          <w:numId w:val="177"/>
        </w:numPr>
        <w:tabs>
          <w:tab w:val="left" w:pos="2141"/>
          <w:tab w:val="left" w:pos="2142"/>
        </w:tabs>
        <w:spacing w:before="94" w:line="206" w:lineRule="auto"/>
        <w:ind w:right="1236" w:hanging="340"/>
        <w:rPr>
          <w:sz w:val="11"/>
        </w:rPr>
      </w:pPr>
      <w:r>
        <w:rPr>
          <w:color w:val="231F20"/>
          <w:spacing w:val="-3"/>
          <w:sz w:val="20"/>
        </w:rPr>
        <w:t>how</w:t>
      </w:r>
      <w:r>
        <w:rPr>
          <w:color w:val="231F20"/>
          <w:spacing w:val="-10"/>
          <w:sz w:val="20"/>
        </w:rPr>
        <w:t xml:space="preserve"> </w:t>
      </w:r>
      <w:r>
        <w:rPr>
          <w:color w:val="231F20"/>
          <w:sz w:val="20"/>
        </w:rPr>
        <w:t>to</w:t>
      </w:r>
      <w:r>
        <w:rPr>
          <w:color w:val="231F20"/>
          <w:spacing w:val="-10"/>
          <w:sz w:val="20"/>
        </w:rPr>
        <w:t xml:space="preserve"> </w:t>
      </w:r>
      <w:r>
        <w:rPr>
          <w:color w:val="231F20"/>
          <w:sz w:val="20"/>
        </w:rPr>
        <w:t>frame</w:t>
      </w:r>
      <w:r>
        <w:rPr>
          <w:color w:val="231F20"/>
          <w:spacing w:val="-10"/>
          <w:sz w:val="20"/>
        </w:rPr>
        <w:t xml:space="preserve"> </w:t>
      </w:r>
      <w:r>
        <w:rPr>
          <w:color w:val="231F20"/>
          <w:sz w:val="20"/>
        </w:rPr>
        <w:t>the</w:t>
      </w:r>
      <w:r>
        <w:rPr>
          <w:color w:val="231F20"/>
          <w:spacing w:val="-10"/>
          <w:sz w:val="20"/>
        </w:rPr>
        <w:t xml:space="preserve"> </w:t>
      </w:r>
      <w:r>
        <w:rPr>
          <w:color w:val="231F20"/>
          <w:sz w:val="20"/>
        </w:rPr>
        <w:t>conditions</w:t>
      </w:r>
      <w:r>
        <w:rPr>
          <w:color w:val="231F20"/>
          <w:spacing w:val="-10"/>
          <w:sz w:val="20"/>
        </w:rPr>
        <w:t xml:space="preserve"> </w:t>
      </w:r>
      <w:r>
        <w:rPr>
          <w:color w:val="231F20"/>
          <w:sz w:val="20"/>
        </w:rPr>
        <w:t>of</w:t>
      </w:r>
      <w:r>
        <w:rPr>
          <w:color w:val="231F20"/>
          <w:spacing w:val="-10"/>
          <w:sz w:val="20"/>
        </w:rPr>
        <w:t xml:space="preserve"> </w:t>
      </w:r>
      <w:r>
        <w:rPr>
          <w:color w:val="231F20"/>
          <w:spacing w:val="-2"/>
          <w:sz w:val="20"/>
        </w:rPr>
        <w:t>intervention</w:t>
      </w:r>
      <w:r>
        <w:rPr>
          <w:color w:val="231F20"/>
          <w:spacing w:val="-10"/>
          <w:sz w:val="20"/>
        </w:rPr>
        <w:t xml:space="preserve"> </w:t>
      </w:r>
      <w:r>
        <w:rPr>
          <w:color w:val="231F20"/>
          <w:sz w:val="20"/>
        </w:rPr>
        <w:t>orders</w:t>
      </w:r>
      <w:r>
        <w:rPr>
          <w:color w:val="231F20"/>
          <w:spacing w:val="-10"/>
          <w:sz w:val="20"/>
        </w:rPr>
        <w:t xml:space="preserve"> </w:t>
      </w:r>
      <w:r>
        <w:rPr>
          <w:color w:val="231F20"/>
          <w:sz w:val="20"/>
        </w:rPr>
        <w:t>to</w:t>
      </w:r>
      <w:r>
        <w:rPr>
          <w:color w:val="231F20"/>
          <w:spacing w:val="-10"/>
          <w:sz w:val="20"/>
        </w:rPr>
        <w:t xml:space="preserve"> </w:t>
      </w:r>
      <w:r>
        <w:rPr>
          <w:color w:val="231F20"/>
          <w:sz w:val="20"/>
        </w:rPr>
        <w:t>respond</w:t>
      </w:r>
      <w:r>
        <w:rPr>
          <w:color w:val="231F20"/>
          <w:spacing w:val="-10"/>
          <w:sz w:val="20"/>
        </w:rPr>
        <w:t xml:space="preserve"> </w:t>
      </w:r>
      <w:r>
        <w:rPr>
          <w:color w:val="231F20"/>
          <w:sz w:val="20"/>
        </w:rPr>
        <w:t>to</w:t>
      </w:r>
      <w:r>
        <w:rPr>
          <w:color w:val="231F20"/>
          <w:spacing w:val="-10"/>
          <w:sz w:val="20"/>
        </w:rPr>
        <w:t xml:space="preserve"> </w:t>
      </w:r>
      <w:r>
        <w:rPr>
          <w:color w:val="231F20"/>
          <w:sz w:val="20"/>
        </w:rPr>
        <w:t>cyberstalking</w:t>
      </w:r>
      <w:r>
        <w:rPr>
          <w:color w:val="231F20"/>
          <w:spacing w:val="-10"/>
          <w:sz w:val="20"/>
        </w:rPr>
        <w:t xml:space="preserve"> </w:t>
      </w:r>
      <w:r>
        <w:rPr>
          <w:color w:val="231F20"/>
          <w:sz w:val="20"/>
        </w:rPr>
        <w:t xml:space="preserve">(see </w:t>
      </w:r>
      <w:r>
        <w:rPr>
          <w:color w:val="231F20"/>
          <w:spacing w:val="-3"/>
          <w:sz w:val="20"/>
        </w:rPr>
        <w:t>Chapter</w:t>
      </w:r>
      <w:r>
        <w:rPr>
          <w:color w:val="231F20"/>
          <w:spacing w:val="-4"/>
          <w:sz w:val="20"/>
        </w:rPr>
        <w:t xml:space="preserve"> </w:t>
      </w:r>
      <w:r>
        <w:rPr>
          <w:color w:val="231F20"/>
          <w:sz w:val="20"/>
        </w:rPr>
        <w:t>3).</w:t>
      </w:r>
      <w:r>
        <w:rPr>
          <w:color w:val="231F20"/>
          <w:position w:val="7"/>
          <w:sz w:val="11"/>
        </w:rPr>
        <w:t>122</w:t>
      </w:r>
    </w:p>
    <w:p w14:paraId="3661D63E" w14:textId="77777777" w:rsidR="00894070" w:rsidRDefault="009B7AFD">
      <w:pPr>
        <w:pStyle w:val="ListParagraph"/>
        <w:numPr>
          <w:ilvl w:val="1"/>
          <w:numId w:val="177"/>
        </w:numPr>
        <w:tabs>
          <w:tab w:val="left" w:pos="1801"/>
          <w:tab w:val="left" w:pos="1802"/>
        </w:tabs>
        <w:spacing w:before="88" w:line="206" w:lineRule="auto"/>
        <w:ind w:right="1356"/>
        <w:rPr>
          <w:sz w:val="11"/>
        </w:rPr>
      </w:pPr>
      <w:r>
        <w:rPr>
          <w:color w:val="231F20"/>
          <w:sz w:val="20"/>
        </w:rPr>
        <w:t xml:space="preserve">The Judicial College of Victoria </w:t>
      </w:r>
      <w:r>
        <w:rPr>
          <w:color w:val="231F20"/>
          <w:spacing w:val="-3"/>
          <w:sz w:val="20"/>
        </w:rPr>
        <w:t xml:space="preserve">told </w:t>
      </w:r>
      <w:r>
        <w:rPr>
          <w:color w:val="231F20"/>
          <w:sz w:val="20"/>
        </w:rPr>
        <w:t xml:space="preserve">us that judicial registrars </w:t>
      </w:r>
      <w:r>
        <w:rPr>
          <w:color w:val="231F20"/>
          <w:spacing w:val="-3"/>
          <w:sz w:val="20"/>
        </w:rPr>
        <w:t xml:space="preserve">may </w:t>
      </w:r>
      <w:r>
        <w:rPr>
          <w:color w:val="231F20"/>
          <w:sz w:val="20"/>
        </w:rPr>
        <w:t>manage PSIO matters,</w:t>
      </w:r>
      <w:r>
        <w:rPr>
          <w:color w:val="231F20"/>
          <w:spacing w:val="-12"/>
          <w:sz w:val="20"/>
        </w:rPr>
        <w:t xml:space="preserve"> </w:t>
      </w:r>
      <w:r>
        <w:rPr>
          <w:color w:val="231F20"/>
          <w:sz w:val="20"/>
        </w:rPr>
        <w:t>but</w:t>
      </w:r>
      <w:r>
        <w:rPr>
          <w:color w:val="231F20"/>
          <w:spacing w:val="-11"/>
          <w:sz w:val="20"/>
        </w:rPr>
        <w:t xml:space="preserve"> </w:t>
      </w:r>
      <w:r>
        <w:rPr>
          <w:color w:val="231F20"/>
          <w:sz w:val="20"/>
        </w:rPr>
        <w:t>they</w:t>
      </w:r>
      <w:r>
        <w:rPr>
          <w:color w:val="231F20"/>
          <w:spacing w:val="-11"/>
          <w:sz w:val="20"/>
        </w:rPr>
        <w:t xml:space="preserve"> </w:t>
      </w:r>
      <w:r>
        <w:rPr>
          <w:color w:val="231F20"/>
          <w:sz w:val="20"/>
        </w:rPr>
        <w:t>cannot</w:t>
      </w:r>
      <w:r>
        <w:rPr>
          <w:color w:val="231F20"/>
          <w:spacing w:val="-12"/>
          <w:sz w:val="20"/>
        </w:rPr>
        <w:t xml:space="preserve"> </w:t>
      </w:r>
      <w:r>
        <w:rPr>
          <w:color w:val="231F20"/>
          <w:sz w:val="20"/>
        </w:rPr>
        <w:t>access</w:t>
      </w:r>
      <w:r>
        <w:rPr>
          <w:color w:val="231F20"/>
          <w:spacing w:val="-11"/>
          <w:sz w:val="20"/>
        </w:rPr>
        <w:t xml:space="preserve"> </w:t>
      </w:r>
      <w:r>
        <w:rPr>
          <w:color w:val="231F20"/>
          <w:sz w:val="20"/>
        </w:rPr>
        <w:t>the</w:t>
      </w:r>
      <w:r>
        <w:rPr>
          <w:color w:val="231F20"/>
          <w:spacing w:val="-11"/>
          <w:sz w:val="20"/>
        </w:rPr>
        <w:t xml:space="preserve"> </w:t>
      </w:r>
      <w:r>
        <w:rPr>
          <w:color w:val="231F20"/>
          <w:sz w:val="20"/>
        </w:rPr>
        <w:t>Judicial</w:t>
      </w:r>
      <w:r>
        <w:rPr>
          <w:color w:val="231F20"/>
          <w:spacing w:val="-12"/>
          <w:sz w:val="20"/>
        </w:rPr>
        <w:t xml:space="preserve"> </w:t>
      </w:r>
      <w:r>
        <w:rPr>
          <w:color w:val="231F20"/>
          <w:sz w:val="20"/>
        </w:rPr>
        <w:t>College</w:t>
      </w:r>
      <w:r>
        <w:rPr>
          <w:color w:val="231F20"/>
          <w:spacing w:val="-11"/>
          <w:sz w:val="20"/>
        </w:rPr>
        <w:t xml:space="preserve"> </w:t>
      </w:r>
      <w:r>
        <w:rPr>
          <w:color w:val="231F20"/>
          <w:sz w:val="20"/>
        </w:rPr>
        <w:t>of</w:t>
      </w:r>
      <w:r>
        <w:rPr>
          <w:color w:val="231F20"/>
          <w:spacing w:val="-11"/>
          <w:sz w:val="20"/>
        </w:rPr>
        <w:t xml:space="preserve"> </w:t>
      </w:r>
      <w:r>
        <w:rPr>
          <w:color w:val="231F20"/>
          <w:spacing w:val="-3"/>
          <w:sz w:val="20"/>
        </w:rPr>
        <w:t>Victoria’s</w:t>
      </w:r>
      <w:r>
        <w:rPr>
          <w:color w:val="231F20"/>
          <w:spacing w:val="-11"/>
          <w:sz w:val="20"/>
        </w:rPr>
        <w:t xml:space="preserve"> </w:t>
      </w:r>
      <w:r>
        <w:rPr>
          <w:color w:val="231F20"/>
          <w:sz w:val="20"/>
        </w:rPr>
        <w:t>education</w:t>
      </w:r>
      <w:r>
        <w:rPr>
          <w:color w:val="231F20"/>
          <w:spacing w:val="-12"/>
          <w:sz w:val="20"/>
        </w:rPr>
        <w:t xml:space="preserve"> </w:t>
      </w:r>
      <w:r>
        <w:rPr>
          <w:color w:val="231F20"/>
          <w:sz w:val="20"/>
        </w:rPr>
        <w:t xml:space="preserve">programs </w:t>
      </w:r>
      <w:r>
        <w:rPr>
          <w:color w:val="231F20"/>
          <w:spacing w:val="-3"/>
          <w:sz w:val="20"/>
        </w:rPr>
        <w:t xml:space="preserve">related </w:t>
      </w:r>
      <w:r>
        <w:rPr>
          <w:color w:val="231F20"/>
          <w:sz w:val="20"/>
        </w:rPr>
        <w:t>to</w:t>
      </w:r>
      <w:r>
        <w:rPr>
          <w:color w:val="231F20"/>
          <w:spacing w:val="-5"/>
          <w:sz w:val="20"/>
        </w:rPr>
        <w:t xml:space="preserve"> </w:t>
      </w:r>
      <w:r>
        <w:rPr>
          <w:color w:val="231F20"/>
          <w:sz w:val="20"/>
        </w:rPr>
        <w:t>stalking.</w:t>
      </w:r>
      <w:r>
        <w:rPr>
          <w:color w:val="231F20"/>
          <w:position w:val="7"/>
          <w:sz w:val="11"/>
        </w:rPr>
        <w:t>123</w:t>
      </w:r>
    </w:p>
    <w:p w14:paraId="6264D446" w14:textId="77777777" w:rsidR="00894070" w:rsidRDefault="009B7AFD">
      <w:pPr>
        <w:pStyle w:val="ListParagraph"/>
        <w:numPr>
          <w:ilvl w:val="1"/>
          <w:numId w:val="177"/>
        </w:numPr>
        <w:tabs>
          <w:tab w:val="left" w:pos="1801"/>
          <w:tab w:val="left" w:pos="1802"/>
        </w:tabs>
        <w:spacing w:before="124" w:line="206" w:lineRule="auto"/>
        <w:ind w:right="1315"/>
        <w:rPr>
          <w:sz w:val="20"/>
        </w:rPr>
      </w:pPr>
      <w:r>
        <w:rPr>
          <w:color w:val="231F20"/>
          <w:sz w:val="20"/>
        </w:rPr>
        <w:t>Court</w:t>
      </w:r>
      <w:r>
        <w:rPr>
          <w:color w:val="231F20"/>
          <w:spacing w:val="-11"/>
          <w:sz w:val="20"/>
        </w:rPr>
        <w:t xml:space="preserve"> </w:t>
      </w:r>
      <w:r>
        <w:rPr>
          <w:color w:val="231F20"/>
          <w:spacing w:val="-3"/>
          <w:sz w:val="20"/>
        </w:rPr>
        <w:t>staff,</w:t>
      </w:r>
      <w:r>
        <w:rPr>
          <w:color w:val="231F20"/>
          <w:spacing w:val="-10"/>
          <w:sz w:val="20"/>
        </w:rPr>
        <w:t xml:space="preserve"> </w:t>
      </w:r>
      <w:r>
        <w:rPr>
          <w:color w:val="231F20"/>
          <w:sz w:val="20"/>
        </w:rPr>
        <w:t>especially</w:t>
      </w:r>
      <w:r>
        <w:rPr>
          <w:color w:val="231F20"/>
          <w:spacing w:val="-11"/>
          <w:sz w:val="20"/>
        </w:rPr>
        <w:t xml:space="preserve"> </w:t>
      </w:r>
      <w:r>
        <w:rPr>
          <w:color w:val="231F20"/>
          <w:sz w:val="20"/>
        </w:rPr>
        <w:t>registrars,</w:t>
      </w:r>
      <w:r>
        <w:rPr>
          <w:color w:val="231F20"/>
          <w:spacing w:val="-10"/>
          <w:sz w:val="20"/>
        </w:rPr>
        <w:t xml:space="preserve"> </w:t>
      </w:r>
      <w:r>
        <w:rPr>
          <w:color w:val="231F20"/>
          <w:sz w:val="20"/>
        </w:rPr>
        <w:t>do</w:t>
      </w:r>
      <w:r>
        <w:rPr>
          <w:color w:val="231F20"/>
          <w:spacing w:val="-11"/>
          <w:sz w:val="20"/>
        </w:rPr>
        <w:t xml:space="preserve"> </w:t>
      </w:r>
      <w:r>
        <w:rPr>
          <w:color w:val="231F20"/>
          <w:sz w:val="20"/>
        </w:rPr>
        <w:t>not</w:t>
      </w:r>
      <w:r>
        <w:rPr>
          <w:color w:val="231F20"/>
          <w:spacing w:val="-10"/>
          <w:sz w:val="20"/>
        </w:rPr>
        <w:t xml:space="preserve"> </w:t>
      </w:r>
      <w:r>
        <w:rPr>
          <w:color w:val="231F20"/>
          <w:spacing w:val="-3"/>
          <w:sz w:val="20"/>
        </w:rPr>
        <w:t>receive</w:t>
      </w:r>
      <w:r>
        <w:rPr>
          <w:color w:val="231F20"/>
          <w:spacing w:val="-11"/>
          <w:sz w:val="20"/>
        </w:rPr>
        <w:t xml:space="preserve"> </w:t>
      </w:r>
      <w:r>
        <w:rPr>
          <w:color w:val="231F20"/>
          <w:sz w:val="20"/>
        </w:rPr>
        <w:t>much</w:t>
      </w:r>
      <w:r>
        <w:rPr>
          <w:color w:val="231F20"/>
          <w:spacing w:val="-10"/>
          <w:sz w:val="20"/>
        </w:rPr>
        <w:t xml:space="preserve"> </w:t>
      </w:r>
      <w:r>
        <w:rPr>
          <w:color w:val="231F20"/>
          <w:sz w:val="20"/>
        </w:rPr>
        <w:t>training</w:t>
      </w:r>
      <w:r>
        <w:rPr>
          <w:color w:val="231F20"/>
          <w:spacing w:val="-10"/>
          <w:sz w:val="20"/>
        </w:rPr>
        <w:t xml:space="preserve"> </w:t>
      </w:r>
      <w:r>
        <w:rPr>
          <w:color w:val="231F20"/>
          <w:sz w:val="20"/>
        </w:rPr>
        <w:t>on</w:t>
      </w:r>
      <w:r>
        <w:rPr>
          <w:color w:val="231F20"/>
          <w:spacing w:val="-11"/>
          <w:sz w:val="20"/>
        </w:rPr>
        <w:t xml:space="preserve"> </w:t>
      </w:r>
      <w:r>
        <w:rPr>
          <w:color w:val="231F20"/>
          <w:sz w:val="20"/>
        </w:rPr>
        <w:t>stalking</w:t>
      </w:r>
      <w:r>
        <w:rPr>
          <w:color w:val="231F20"/>
          <w:spacing w:val="-10"/>
          <w:sz w:val="20"/>
        </w:rPr>
        <w:t xml:space="preserve"> </w:t>
      </w:r>
      <w:r>
        <w:rPr>
          <w:color w:val="231F20"/>
          <w:spacing w:val="-3"/>
          <w:sz w:val="20"/>
        </w:rPr>
        <w:t>even</w:t>
      </w:r>
      <w:r>
        <w:rPr>
          <w:color w:val="231F20"/>
          <w:spacing w:val="-11"/>
          <w:sz w:val="20"/>
        </w:rPr>
        <w:t xml:space="preserve"> </w:t>
      </w:r>
      <w:r>
        <w:rPr>
          <w:color w:val="231F20"/>
          <w:sz w:val="20"/>
        </w:rPr>
        <w:t xml:space="preserve">though they </w:t>
      </w:r>
      <w:r>
        <w:rPr>
          <w:color w:val="231F20"/>
          <w:spacing w:val="-3"/>
          <w:sz w:val="20"/>
        </w:rPr>
        <w:t xml:space="preserve">are </w:t>
      </w:r>
      <w:r>
        <w:rPr>
          <w:color w:val="231F20"/>
          <w:sz w:val="20"/>
        </w:rPr>
        <w:t>a critical part of responding to</w:t>
      </w:r>
      <w:r>
        <w:rPr>
          <w:color w:val="231F20"/>
          <w:spacing w:val="-33"/>
          <w:sz w:val="20"/>
        </w:rPr>
        <w:t xml:space="preserve"> </w:t>
      </w:r>
      <w:r>
        <w:rPr>
          <w:color w:val="231F20"/>
          <w:sz w:val="20"/>
        </w:rPr>
        <w:t>it:</w:t>
      </w:r>
    </w:p>
    <w:p w14:paraId="513073C5" w14:textId="77777777" w:rsidR="00894070" w:rsidRDefault="009B7AFD">
      <w:pPr>
        <w:spacing w:before="120" w:line="208" w:lineRule="auto"/>
        <w:ind w:left="2254" w:right="1302"/>
        <w:rPr>
          <w:sz w:val="11"/>
        </w:rPr>
      </w:pPr>
      <w:r>
        <w:rPr>
          <w:color w:val="231F20"/>
          <w:sz w:val="19"/>
        </w:rPr>
        <w:t>Registrars play an important role in triaging the court list and identifying appropriate services for referral so they need to be supported to identify stalking and levels of risk within the multitude of matters that come before them.</w:t>
      </w:r>
      <w:r>
        <w:rPr>
          <w:color w:val="231F20"/>
          <w:position w:val="6"/>
          <w:sz w:val="11"/>
        </w:rPr>
        <w:t>124</w:t>
      </w:r>
    </w:p>
    <w:p w14:paraId="4AD62D73" w14:textId="77777777" w:rsidR="00894070" w:rsidRDefault="009B7AFD">
      <w:pPr>
        <w:pStyle w:val="ListParagraph"/>
        <w:numPr>
          <w:ilvl w:val="1"/>
          <w:numId w:val="177"/>
        </w:numPr>
        <w:tabs>
          <w:tab w:val="left" w:pos="1801"/>
          <w:tab w:val="left" w:pos="1802"/>
        </w:tabs>
        <w:spacing w:before="92" w:line="259" w:lineRule="exact"/>
        <w:rPr>
          <w:sz w:val="20"/>
        </w:rPr>
      </w:pPr>
      <w:r>
        <w:rPr>
          <w:color w:val="231F20"/>
          <w:sz w:val="20"/>
        </w:rPr>
        <w:t>The</w:t>
      </w:r>
      <w:r>
        <w:rPr>
          <w:color w:val="231F20"/>
          <w:spacing w:val="-6"/>
          <w:sz w:val="20"/>
        </w:rPr>
        <w:t xml:space="preserve"> </w:t>
      </w:r>
      <w:r>
        <w:rPr>
          <w:color w:val="231F20"/>
          <w:spacing w:val="-3"/>
          <w:sz w:val="20"/>
        </w:rPr>
        <w:t>Magistrates’</w:t>
      </w:r>
      <w:r>
        <w:rPr>
          <w:color w:val="231F20"/>
          <w:spacing w:val="-5"/>
          <w:sz w:val="20"/>
        </w:rPr>
        <w:t xml:space="preserve"> </w:t>
      </w:r>
      <w:r>
        <w:rPr>
          <w:color w:val="231F20"/>
          <w:sz w:val="20"/>
        </w:rPr>
        <w:t>Court</w:t>
      </w:r>
      <w:r>
        <w:rPr>
          <w:color w:val="231F20"/>
          <w:spacing w:val="-5"/>
          <w:sz w:val="20"/>
        </w:rPr>
        <w:t xml:space="preserve"> </w:t>
      </w:r>
      <w:r>
        <w:rPr>
          <w:color w:val="231F20"/>
          <w:sz w:val="20"/>
        </w:rPr>
        <w:t>noted</w:t>
      </w:r>
      <w:r>
        <w:rPr>
          <w:color w:val="231F20"/>
          <w:spacing w:val="-5"/>
          <w:sz w:val="20"/>
        </w:rPr>
        <w:t xml:space="preserve"> </w:t>
      </w:r>
      <w:r>
        <w:rPr>
          <w:color w:val="231F20"/>
          <w:sz w:val="20"/>
        </w:rPr>
        <w:t>the</w:t>
      </w:r>
      <w:r>
        <w:rPr>
          <w:color w:val="231F20"/>
          <w:spacing w:val="-5"/>
          <w:sz w:val="20"/>
        </w:rPr>
        <w:t xml:space="preserve"> </w:t>
      </w:r>
      <w:r>
        <w:rPr>
          <w:color w:val="231F20"/>
          <w:sz w:val="20"/>
        </w:rPr>
        <w:t>importance</w:t>
      </w:r>
      <w:r>
        <w:rPr>
          <w:color w:val="231F20"/>
          <w:spacing w:val="-5"/>
          <w:sz w:val="20"/>
        </w:rPr>
        <w:t xml:space="preserve"> </w:t>
      </w:r>
      <w:r>
        <w:rPr>
          <w:color w:val="231F20"/>
          <w:sz w:val="20"/>
        </w:rPr>
        <w:t>of</w:t>
      </w:r>
      <w:r>
        <w:rPr>
          <w:color w:val="231F20"/>
          <w:spacing w:val="-5"/>
          <w:sz w:val="20"/>
        </w:rPr>
        <w:t xml:space="preserve"> </w:t>
      </w:r>
      <w:r>
        <w:rPr>
          <w:color w:val="231F20"/>
          <w:sz w:val="20"/>
        </w:rPr>
        <w:t>training</w:t>
      </w:r>
      <w:r>
        <w:rPr>
          <w:color w:val="231F20"/>
          <w:spacing w:val="-6"/>
          <w:sz w:val="20"/>
        </w:rPr>
        <w:t xml:space="preserve"> </w:t>
      </w:r>
      <w:r>
        <w:rPr>
          <w:color w:val="231F20"/>
          <w:sz w:val="20"/>
        </w:rPr>
        <w:t>on</w:t>
      </w:r>
      <w:r>
        <w:rPr>
          <w:color w:val="231F20"/>
          <w:spacing w:val="-6"/>
          <w:sz w:val="20"/>
        </w:rPr>
        <w:t xml:space="preserve"> </w:t>
      </w:r>
      <w:r>
        <w:rPr>
          <w:color w:val="231F20"/>
          <w:sz w:val="20"/>
        </w:rPr>
        <w:t>stalking</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magistrates,</w:t>
      </w:r>
    </w:p>
    <w:p w14:paraId="159A694D" w14:textId="77777777" w:rsidR="00894070" w:rsidRDefault="009B7AFD">
      <w:pPr>
        <w:pStyle w:val="BodyText"/>
        <w:spacing w:line="259" w:lineRule="exact"/>
        <w:ind w:left="1801"/>
        <w:rPr>
          <w:sz w:val="11"/>
        </w:rPr>
      </w:pPr>
      <w:r>
        <w:rPr>
          <w:color w:val="231F20"/>
        </w:rPr>
        <w:t xml:space="preserve">judicial registrars, </w:t>
      </w:r>
      <w:proofErr w:type="gramStart"/>
      <w:r>
        <w:rPr>
          <w:color w:val="231F20"/>
        </w:rPr>
        <w:t>registrars</w:t>
      </w:r>
      <w:proofErr w:type="gramEnd"/>
      <w:r>
        <w:rPr>
          <w:color w:val="231F20"/>
        </w:rPr>
        <w:t xml:space="preserve"> and court staff.</w:t>
      </w:r>
      <w:r>
        <w:rPr>
          <w:color w:val="231F20"/>
          <w:position w:val="7"/>
          <w:sz w:val="11"/>
        </w:rPr>
        <w:t>125</w:t>
      </w:r>
    </w:p>
    <w:p w14:paraId="5FC65E40" w14:textId="77777777" w:rsidR="00894070" w:rsidRDefault="009B7AFD">
      <w:pPr>
        <w:pStyle w:val="ListParagraph"/>
        <w:numPr>
          <w:ilvl w:val="1"/>
          <w:numId w:val="177"/>
        </w:numPr>
        <w:tabs>
          <w:tab w:val="left" w:pos="1801"/>
          <w:tab w:val="left" w:pos="1802"/>
        </w:tabs>
        <w:spacing w:before="114" w:line="206" w:lineRule="auto"/>
        <w:ind w:right="1504"/>
        <w:rPr>
          <w:sz w:val="20"/>
        </w:rPr>
      </w:pPr>
      <w:r>
        <w:rPr>
          <w:color w:val="231F20"/>
          <w:spacing w:val="-6"/>
          <w:sz w:val="20"/>
        </w:rPr>
        <w:t>We</w:t>
      </w:r>
      <w:r>
        <w:rPr>
          <w:color w:val="231F20"/>
          <w:spacing w:val="-12"/>
          <w:sz w:val="20"/>
        </w:rPr>
        <w:t xml:space="preserve"> </w:t>
      </w:r>
      <w:r>
        <w:rPr>
          <w:color w:val="231F20"/>
          <w:sz w:val="20"/>
        </w:rPr>
        <w:t>recommend</w:t>
      </w:r>
      <w:r>
        <w:rPr>
          <w:color w:val="231F20"/>
          <w:spacing w:val="-12"/>
          <w:sz w:val="20"/>
        </w:rPr>
        <w:t xml:space="preserve"> </w:t>
      </w:r>
      <w:r>
        <w:rPr>
          <w:color w:val="231F20"/>
          <w:sz w:val="20"/>
        </w:rPr>
        <w:t>that</w:t>
      </w:r>
      <w:r>
        <w:rPr>
          <w:color w:val="231F20"/>
          <w:spacing w:val="-11"/>
          <w:sz w:val="20"/>
        </w:rPr>
        <w:t xml:space="preserve"> </w:t>
      </w:r>
      <w:r>
        <w:rPr>
          <w:color w:val="231F20"/>
          <w:sz w:val="20"/>
        </w:rPr>
        <w:t>judicial</w:t>
      </w:r>
      <w:r>
        <w:rPr>
          <w:color w:val="231F20"/>
          <w:spacing w:val="-12"/>
          <w:sz w:val="20"/>
        </w:rPr>
        <w:t xml:space="preserve"> </w:t>
      </w:r>
      <w:r>
        <w:rPr>
          <w:color w:val="231F20"/>
          <w:sz w:val="20"/>
        </w:rPr>
        <w:t>registrars</w:t>
      </w:r>
      <w:r>
        <w:rPr>
          <w:color w:val="231F20"/>
          <w:spacing w:val="-12"/>
          <w:sz w:val="20"/>
        </w:rPr>
        <w:t xml:space="preserve"> </w:t>
      </w:r>
      <w:r>
        <w:rPr>
          <w:color w:val="231F20"/>
          <w:sz w:val="20"/>
        </w:rPr>
        <w:t>and</w:t>
      </w:r>
      <w:r>
        <w:rPr>
          <w:color w:val="231F20"/>
          <w:spacing w:val="-11"/>
          <w:sz w:val="20"/>
        </w:rPr>
        <w:t xml:space="preserve"> </w:t>
      </w:r>
      <w:r>
        <w:rPr>
          <w:color w:val="231F20"/>
          <w:sz w:val="20"/>
        </w:rPr>
        <w:t>court</w:t>
      </w:r>
      <w:r>
        <w:rPr>
          <w:color w:val="231F20"/>
          <w:spacing w:val="-12"/>
          <w:sz w:val="20"/>
        </w:rPr>
        <w:t xml:space="preserve"> </w:t>
      </w:r>
      <w:r>
        <w:rPr>
          <w:color w:val="231F20"/>
          <w:sz w:val="20"/>
        </w:rPr>
        <w:t>staff</w:t>
      </w:r>
      <w:r>
        <w:rPr>
          <w:color w:val="231F20"/>
          <w:spacing w:val="-11"/>
          <w:sz w:val="20"/>
        </w:rPr>
        <w:t xml:space="preserve"> </w:t>
      </w:r>
      <w:r>
        <w:rPr>
          <w:color w:val="231F20"/>
          <w:spacing w:val="-3"/>
          <w:sz w:val="20"/>
        </w:rPr>
        <w:t>are</w:t>
      </w:r>
      <w:r>
        <w:rPr>
          <w:color w:val="231F20"/>
          <w:spacing w:val="-12"/>
          <w:sz w:val="20"/>
        </w:rPr>
        <w:t xml:space="preserve"> </w:t>
      </w:r>
      <w:r>
        <w:rPr>
          <w:color w:val="231F20"/>
          <w:sz w:val="20"/>
        </w:rPr>
        <w:t>included</w:t>
      </w:r>
      <w:r>
        <w:rPr>
          <w:color w:val="231F20"/>
          <w:spacing w:val="-12"/>
          <w:sz w:val="20"/>
        </w:rPr>
        <w:t xml:space="preserve"> </w:t>
      </w:r>
      <w:r>
        <w:rPr>
          <w:color w:val="231F20"/>
          <w:sz w:val="20"/>
        </w:rPr>
        <w:t>in</w:t>
      </w:r>
      <w:r>
        <w:rPr>
          <w:color w:val="231F20"/>
          <w:spacing w:val="-11"/>
          <w:sz w:val="20"/>
        </w:rPr>
        <w:t xml:space="preserve"> </w:t>
      </w:r>
      <w:r>
        <w:rPr>
          <w:color w:val="231F20"/>
          <w:sz w:val="20"/>
        </w:rPr>
        <w:t>education</w:t>
      </w:r>
      <w:r>
        <w:rPr>
          <w:color w:val="231F20"/>
          <w:spacing w:val="-12"/>
          <w:sz w:val="20"/>
        </w:rPr>
        <w:t xml:space="preserve"> </w:t>
      </w:r>
      <w:r>
        <w:rPr>
          <w:color w:val="231F20"/>
          <w:sz w:val="20"/>
        </w:rPr>
        <w:t>and training</w:t>
      </w:r>
      <w:r>
        <w:rPr>
          <w:color w:val="231F20"/>
          <w:spacing w:val="-5"/>
          <w:sz w:val="20"/>
        </w:rPr>
        <w:t xml:space="preserve"> </w:t>
      </w:r>
      <w:r>
        <w:rPr>
          <w:color w:val="231F20"/>
          <w:sz w:val="20"/>
        </w:rPr>
        <w:t>efforts.</w:t>
      </w:r>
    </w:p>
    <w:p w14:paraId="581AAEB1" w14:textId="77777777" w:rsidR="00894070" w:rsidRDefault="009B7AFD">
      <w:pPr>
        <w:pStyle w:val="ListParagraph"/>
        <w:numPr>
          <w:ilvl w:val="1"/>
          <w:numId w:val="177"/>
        </w:numPr>
        <w:tabs>
          <w:tab w:val="left" w:pos="1801"/>
          <w:tab w:val="left" w:pos="1802"/>
        </w:tabs>
        <w:spacing w:before="123" w:line="206" w:lineRule="auto"/>
        <w:ind w:right="1222"/>
        <w:rPr>
          <w:sz w:val="20"/>
        </w:rPr>
      </w:pPr>
      <w:r>
        <w:rPr>
          <w:color w:val="231F20"/>
          <w:spacing w:val="-3"/>
          <w:sz w:val="20"/>
        </w:rPr>
        <w:t xml:space="preserve">Education for </w:t>
      </w:r>
      <w:r>
        <w:rPr>
          <w:color w:val="231F20"/>
          <w:sz w:val="20"/>
        </w:rPr>
        <w:t xml:space="preserve">judicial officers on when to order a pre-sentence assessment report could be </w:t>
      </w:r>
      <w:r>
        <w:rPr>
          <w:color w:val="231F20"/>
          <w:spacing w:val="-3"/>
          <w:sz w:val="20"/>
        </w:rPr>
        <w:t xml:space="preserve">valuable. </w:t>
      </w:r>
      <w:r>
        <w:rPr>
          <w:color w:val="231F20"/>
          <w:sz w:val="20"/>
        </w:rPr>
        <w:t xml:space="preserve">Making courts </w:t>
      </w:r>
      <w:r>
        <w:rPr>
          <w:color w:val="231F20"/>
          <w:spacing w:val="-4"/>
          <w:sz w:val="20"/>
        </w:rPr>
        <w:t xml:space="preserve">aware </w:t>
      </w:r>
      <w:r>
        <w:rPr>
          <w:color w:val="231F20"/>
          <w:sz w:val="20"/>
        </w:rPr>
        <w:t xml:space="preserve">of the need </w:t>
      </w:r>
      <w:r>
        <w:rPr>
          <w:color w:val="231F20"/>
          <w:spacing w:val="-3"/>
          <w:sz w:val="20"/>
        </w:rPr>
        <w:t xml:space="preserve">for </w:t>
      </w:r>
      <w:r>
        <w:rPr>
          <w:color w:val="231F20"/>
          <w:sz w:val="20"/>
        </w:rPr>
        <w:t xml:space="preserve">assessments </w:t>
      </w:r>
      <w:r>
        <w:rPr>
          <w:color w:val="231F20"/>
          <w:spacing w:val="-3"/>
          <w:sz w:val="20"/>
        </w:rPr>
        <w:t xml:space="preserve">would </w:t>
      </w:r>
      <w:r>
        <w:rPr>
          <w:color w:val="231F20"/>
          <w:sz w:val="20"/>
        </w:rPr>
        <w:t xml:space="preserve">help people who stalk get </w:t>
      </w:r>
      <w:r>
        <w:rPr>
          <w:color w:val="231F20"/>
          <w:spacing w:val="-3"/>
          <w:sz w:val="20"/>
        </w:rPr>
        <w:t xml:space="preserve">treatment </w:t>
      </w:r>
      <w:r>
        <w:rPr>
          <w:color w:val="231F20"/>
          <w:sz w:val="20"/>
        </w:rPr>
        <w:t xml:space="preserve">and support to address their </w:t>
      </w:r>
      <w:r>
        <w:rPr>
          <w:color w:val="231F20"/>
          <w:spacing w:val="-3"/>
          <w:sz w:val="20"/>
        </w:rPr>
        <w:t xml:space="preserve">behaviour. </w:t>
      </w:r>
      <w:r>
        <w:rPr>
          <w:color w:val="231F20"/>
          <w:spacing w:val="-6"/>
          <w:sz w:val="20"/>
        </w:rPr>
        <w:t xml:space="preserve">We </w:t>
      </w:r>
      <w:r>
        <w:rPr>
          <w:color w:val="231F20"/>
          <w:sz w:val="20"/>
        </w:rPr>
        <w:t>also recommend</w:t>
      </w:r>
      <w:r>
        <w:rPr>
          <w:color w:val="231F20"/>
          <w:spacing w:val="-9"/>
          <w:sz w:val="20"/>
        </w:rPr>
        <w:t xml:space="preserve"> </w:t>
      </w:r>
      <w:r>
        <w:rPr>
          <w:color w:val="231F20"/>
          <w:sz w:val="20"/>
        </w:rPr>
        <w:t>guidance</w:t>
      </w:r>
      <w:r>
        <w:rPr>
          <w:color w:val="231F20"/>
          <w:spacing w:val="-8"/>
          <w:sz w:val="20"/>
        </w:rPr>
        <w:t xml:space="preserve"> </w:t>
      </w:r>
      <w:r>
        <w:rPr>
          <w:color w:val="231F20"/>
          <w:sz w:val="20"/>
        </w:rPr>
        <w:t>be</w:t>
      </w:r>
      <w:r>
        <w:rPr>
          <w:color w:val="231F20"/>
          <w:spacing w:val="-9"/>
          <w:sz w:val="20"/>
        </w:rPr>
        <w:t xml:space="preserve"> </w:t>
      </w:r>
      <w:r>
        <w:rPr>
          <w:color w:val="231F20"/>
          <w:spacing w:val="-3"/>
          <w:sz w:val="20"/>
        </w:rPr>
        <w:t>developed</w:t>
      </w:r>
      <w:r>
        <w:rPr>
          <w:color w:val="231F20"/>
          <w:spacing w:val="-8"/>
          <w:sz w:val="20"/>
        </w:rPr>
        <w:t xml:space="preserve"> </w:t>
      </w:r>
      <w:r>
        <w:rPr>
          <w:color w:val="231F20"/>
          <w:spacing w:val="-3"/>
          <w:sz w:val="20"/>
        </w:rPr>
        <w:t>for</w:t>
      </w:r>
      <w:r>
        <w:rPr>
          <w:color w:val="231F20"/>
          <w:spacing w:val="-9"/>
          <w:sz w:val="20"/>
        </w:rPr>
        <w:t xml:space="preserve"> </w:t>
      </w:r>
      <w:r>
        <w:rPr>
          <w:color w:val="231F20"/>
          <w:sz w:val="20"/>
        </w:rPr>
        <w:t>sentencing</w:t>
      </w:r>
      <w:r>
        <w:rPr>
          <w:color w:val="231F20"/>
          <w:spacing w:val="-8"/>
          <w:sz w:val="20"/>
        </w:rPr>
        <w:t xml:space="preserve"> </w:t>
      </w:r>
      <w:r>
        <w:rPr>
          <w:color w:val="231F20"/>
          <w:sz w:val="20"/>
        </w:rPr>
        <w:t>breaches</w:t>
      </w:r>
      <w:r>
        <w:rPr>
          <w:color w:val="231F20"/>
          <w:spacing w:val="-8"/>
          <w:sz w:val="20"/>
        </w:rPr>
        <w:t xml:space="preserve"> </w:t>
      </w:r>
      <w:r>
        <w:rPr>
          <w:color w:val="231F20"/>
          <w:sz w:val="20"/>
        </w:rPr>
        <w:t>of</w:t>
      </w:r>
      <w:r>
        <w:rPr>
          <w:color w:val="231F20"/>
          <w:spacing w:val="-9"/>
          <w:sz w:val="20"/>
        </w:rPr>
        <w:t xml:space="preserve"> </w:t>
      </w:r>
      <w:r>
        <w:rPr>
          <w:color w:val="231F20"/>
          <w:sz w:val="20"/>
        </w:rPr>
        <w:t>PSIOs</w:t>
      </w:r>
      <w:r>
        <w:rPr>
          <w:color w:val="231F20"/>
          <w:spacing w:val="-8"/>
          <w:sz w:val="20"/>
        </w:rPr>
        <w:t xml:space="preserve"> </w:t>
      </w:r>
      <w:r>
        <w:rPr>
          <w:color w:val="231F20"/>
          <w:sz w:val="20"/>
        </w:rPr>
        <w:t>(see</w:t>
      </w:r>
      <w:r>
        <w:rPr>
          <w:color w:val="231F20"/>
          <w:spacing w:val="-9"/>
          <w:sz w:val="20"/>
        </w:rPr>
        <w:t xml:space="preserve"> </w:t>
      </w:r>
      <w:r>
        <w:rPr>
          <w:color w:val="231F20"/>
          <w:spacing w:val="-3"/>
          <w:sz w:val="20"/>
        </w:rPr>
        <w:t>Chapter</w:t>
      </w:r>
      <w:r>
        <w:rPr>
          <w:color w:val="231F20"/>
          <w:spacing w:val="-8"/>
          <w:sz w:val="20"/>
        </w:rPr>
        <w:t xml:space="preserve"> </w:t>
      </w:r>
      <w:r>
        <w:rPr>
          <w:color w:val="231F20"/>
          <w:spacing w:val="-4"/>
          <w:sz w:val="20"/>
        </w:rPr>
        <w:t>8).</w:t>
      </w:r>
    </w:p>
    <w:p w14:paraId="12AC964B" w14:textId="77777777" w:rsidR="00894070" w:rsidRDefault="00894070">
      <w:pPr>
        <w:pStyle w:val="BodyText"/>
      </w:pPr>
    </w:p>
    <w:p w14:paraId="020E747F" w14:textId="77777777" w:rsidR="00894070" w:rsidRDefault="00894070">
      <w:pPr>
        <w:pStyle w:val="BodyText"/>
      </w:pPr>
    </w:p>
    <w:p w14:paraId="7F97D6EB" w14:textId="77777777" w:rsidR="00894070" w:rsidRDefault="009F6793">
      <w:pPr>
        <w:pStyle w:val="BodyText"/>
        <w:spacing w:before="2"/>
        <w:rPr>
          <w:sz w:val="10"/>
        </w:rPr>
      </w:pPr>
      <w:r>
        <w:pict w14:anchorId="32112A63">
          <v:line id="_x0000_s1461" style="position:absolute;z-index:251573248;mso-wrap-distance-left:0;mso-wrap-distance-right:0;mso-position-horizontal-relative:page" from="79.35pt,9.5pt" to="515.9pt,9.5pt" strokecolor="#f8cabc" strokeweight="1pt">
            <w10:wrap type="topAndBottom" anchorx="page"/>
          </v:line>
        </w:pict>
      </w:r>
    </w:p>
    <w:p w14:paraId="7F1CEAB5" w14:textId="77777777" w:rsidR="00894070" w:rsidRDefault="009B7AFD">
      <w:pPr>
        <w:pStyle w:val="ListParagraph"/>
        <w:numPr>
          <w:ilvl w:val="0"/>
          <w:numId w:val="131"/>
        </w:numPr>
        <w:tabs>
          <w:tab w:val="left" w:pos="1801"/>
          <w:tab w:val="left" w:pos="1802"/>
        </w:tabs>
        <w:spacing w:before="91" w:line="170" w:lineRule="exact"/>
        <w:rPr>
          <w:sz w:val="13"/>
        </w:rPr>
      </w:pPr>
      <w:r>
        <w:rPr>
          <w:i/>
          <w:color w:val="231F20"/>
          <w:sz w:val="13"/>
        </w:rPr>
        <w:t xml:space="preserve">Victims’ Charter Act 2006 </w:t>
      </w:r>
      <w:r>
        <w:rPr>
          <w:color w:val="231F20"/>
          <w:sz w:val="13"/>
        </w:rPr>
        <w:t>(Vic) s</w:t>
      </w:r>
      <w:r>
        <w:rPr>
          <w:color w:val="231F20"/>
          <w:spacing w:val="1"/>
          <w:sz w:val="13"/>
        </w:rPr>
        <w:t xml:space="preserve"> </w:t>
      </w:r>
      <w:r>
        <w:rPr>
          <w:color w:val="231F20"/>
          <w:spacing w:val="2"/>
          <w:sz w:val="13"/>
        </w:rPr>
        <w:t>9B.</w:t>
      </w:r>
    </w:p>
    <w:p w14:paraId="136523E8" w14:textId="77777777" w:rsidR="00894070" w:rsidRDefault="009B7AFD">
      <w:pPr>
        <w:pStyle w:val="ListParagraph"/>
        <w:numPr>
          <w:ilvl w:val="0"/>
          <w:numId w:val="131"/>
        </w:numPr>
        <w:tabs>
          <w:tab w:val="left" w:pos="1801"/>
          <w:tab w:val="left" w:pos="1802"/>
        </w:tabs>
        <w:spacing w:line="160"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The Role of Victims of Crime in the Criminal Trial Process </w:t>
      </w:r>
      <w:r>
        <w:rPr>
          <w:color w:val="231F20"/>
          <w:spacing w:val="2"/>
          <w:sz w:val="13"/>
        </w:rPr>
        <w:t xml:space="preserve">(Report </w:t>
      </w:r>
      <w:r>
        <w:rPr>
          <w:color w:val="231F20"/>
          <w:sz w:val="13"/>
        </w:rPr>
        <w:t xml:space="preserve">No </w:t>
      </w:r>
      <w:r>
        <w:rPr>
          <w:color w:val="231F20"/>
          <w:spacing w:val="3"/>
          <w:sz w:val="13"/>
        </w:rPr>
        <w:t xml:space="preserve">34, </w:t>
      </w:r>
      <w:r>
        <w:rPr>
          <w:color w:val="231F20"/>
          <w:sz w:val="13"/>
        </w:rPr>
        <w:t>August</w:t>
      </w:r>
      <w:r>
        <w:rPr>
          <w:color w:val="231F20"/>
          <w:spacing w:val="17"/>
          <w:sz w:val="13"/>
        </w:rPr>
        <w:t xml:space="preserve"> </w:t>
      </w:r>
      <w:r>
        <w:rPr>
          <w:color w:val="231F20"/>
          <w:sz w:val="13"/>
        </w:rPr>
        <w:t>2016)</w:t>
      </w:r>
    </w:p>
    <w:p w14:paraId="2A1F4264" w14:textId="77777777" w:rsidR="00894070" w:rsidRDefault="009B7AFD">
      <w:pPr>
        <w:spacing w:line="160" w:lineRule="exact"/>
        <w:ind w:left="1801"/>
        <w:rPr>
          <w:sz w:val="13"/>
        </w:rPr>
      </w:pPr>
      <w:r>
        <w:rPr>
          <w:color w:val="231F20"/>
          <w:sz w:val="13"/>
        </w:rPr>
        <w:t>Recommendation 24.</w:t>
      </w:r>
    </w:p>
    <w:p w14:paraId="0C42B845" w14:textId="77777777" w:rsidR="00894070" w:rsidRDefault="009B7AFD">
      <w:pPr>
        <w:pStyle w:val="ListParagraph"/>
        <w:numPr>
          <w:ilvl w:val="0"/>
          <w:numId w:val="131"/>
        </w:numPr>
        <w:tabs>
          <w:tab w:val="left" w:pos="1801"/>
          <w:tab w:val="left" w:pos="1802"/>
        </w:tabs>
        <w:spacing w:before="6" w:line="213" w:lineRule="auto"/>
        <w:ind w:right="1282"/>
        <w:rPr>
          <w:sz w:val="13"/>
        </w:rPr>
      </w:pPr>
      <w:r>
        <w:rPr>
          <w:color w:val="231F20"/>
          <w:sz w:val="13"/>
        </w:rPr>
        <w:t xml:space="preserve">The Sentencing Advisory Council found that between 2011 and 2020, </w:t>
      </w:r>
      <w:r>
        <w:rPr>
          <w:color w:val="231F20"/>
          <w:spacing w:val="2"/>
          <w:sz w:val="13"/>
        </w:rPr>
        <w:t xml:space="preserve">95% </w:t>
      </w:r>
      <w:r>
        <w:rPr>
          <w:color w:val="231F20"/>
          <w:sz w:val="13"/>
        </w:rPr>
        <w:t xml:space="preserve">of </w:t>
      </w:r>
      <w:r>
        <w:rPr>
          <w:color w:val="231F20"/>
          <w:spacing w:val="2"/>
          <w:sz w:val="13"/>
        </w:rPr>
        <w:t xml:space="preserve">stalking </w:t>
      </w:r>
      <w:r>
        <w:rPr>
          <w:color w:val="231F20"/>
          <w:sz w:val="13"/>
        </w:rPr>
        <w:t xml:space="preserve">cases were sentenced in the Magistrates’ </w:t>
      </w:r>
      <w:r>
        <w:rPr>
          <w:color w:val="231F20"/>
          <w:spacing w:val="2"/>
          <w:sz w:val="13"/>
        </w:rPr>
        <w:t xml:space="preserve">Court, </w:t>
      </w:r>
      <w:r>
        <w:rPr>
          <w:color w:val="231F20"/>
          <w:sz w:val="13"/>
        </w:rPr>
        <w:t xml:space="preserve">with close to 3% each sentenced in the Children’s </w:t>
      </w:r>
      <w:r>
        <w:rPr>
          <w:color w:val="231F20"/>
          <w:spacing w:val="2"/>
          <w:sz w:val="13"/>
        </w:rPr>
        <w:t xml:space="preserve">Court </w:t>
      </w:r>
      <w:r>
        <w:rPr>
          <w:color w:val="231F20"/>
          <w:sz w:val="13"/>
        </w:rPr>
        <w:t xml:space="preserve">and higher </w:t>
      </w:r>
      <w:r>
        <w:rPr>
          <w:color w:val="231F20"/>
          <w:spacing w:val="2"/>
          <w:sz w:val="13"/>
        </w:rPr>
        <w:t xml:space="preserve">courts: </w:t>
      </w: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 xml:space="preserve">March 2022) x. See </w:t>
      </w:r>
      <w:r>
        <w:rPr>
          <w:color w:val="231F20"/>
          <w:spacing w:val="2"/>
          <w:sz w:val="13"/>
        </w:rPr>
        <w:t xml:space="preserve">also </w:t>
      </w: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Anti-Stalking Legislation in Victoria, Australia’ (PhD Thesis, Monash University, 2018)</w:t>
      </w:r>
      <w:r>
        <w:rPr>
          <w:color w:val="231F20"/>
          <w:spacing w:val="8"/>
          <w:sz w:val="13"/>
        </w:rPr>
        <w:t xml:space="preserve"> </w:t>
      </w:r>
      <w:r>
        <w:rPr>
          <w:color w:val="231F20"/>
          <w:spacing w:val="3"/>
          <w:sz w:val="13"/>
        </w:rPr>
        <w:t>94.</w:t>
      </w:r>
    </w:p>
    <w:p w14:paraId="76A3DC8B" w14:textId="77777777" w:rsidR="00894070" w:rsidRDefault="009B7AFD">
      <w:pPr>
        <w:pStyle w:val="ListParagraph"/>
        <w:numPr>
          <w:ilvl w:val="0"/>
          <w:numId w:val="131"/>
        </w:numPr>
        <w:tabs>
          <w:tab w:val="left" w:pos="1801"/>
          <w:tab w:val="left" w:pos="1802"/>
        </w:tabs>
        <w:spacing w:line="151" w:lineRule="exact"/>
        <w:rPr>
          <w:sz w:val="13"/>
        </w:rPr>
      </w:pPr>
      <w:r>
        <w:rPr>
          <w:color w:val="231F20"/>
          <w:sz w:val="13"/>
        </w:rPr>
        <w:t xml:space="preserve">See, eg, </w:t>
      </w:r>
      <w:r>
        <w:rPr>
          <w:color w:val="231F20"/>
          <w:spacing w:val="2"/>
          <w:sz w:val="13"/>
        </w:rPr>
        <w:t xml:space="preserve">Submission </w:t>
      </w:r>
      <w:r>
        <w:rPr>
          <w:color w:val="231F20"/>
          <w:sz w:val="13"/>
        </w:rPr>
        <w:t>98 (Law Institute of Victoria); Consultation 13 (Victoria Legal</w:t>
      </w:r>
      <w:r>
        <w:rPr>
          <w:color w:val="231F20"/>
          <w:spacing w:val="8"/>
          <w:sz w:val="13"/>
        </w:rPr>
        <w:t xml:space="preserve"> </w:t>
      </w:r>
      <w:r>
        <w:rPr>
          <w:color w:val="231F20"/>
          <w:sz w:val="13"/>
        </w:rPr>
        <w:t>Aid).</w:t>
      </w:r>
    </w:p>
    <w:p w14:paraId="0750CA85" w14:textId="77777777" w:rsidR="00894070" w:rsidRDefault="009B7AFD">
      <w:pPr>
        <w:pStyle w:val="ListParagraph"/>
        <w:numPr>
          <w:ilvl w:val="0"/>
          <w:numId w:val="131"/>
        </w:numPr>
        <w:tabs>
          <w:tab w:val="left" w:pos="1801"/>
          <w:tab w:val="left" w:pos="1802"/>
        </w:tabs>
        <w:spacing w:line="160" w:lineRule="exact"/>
        <w:rPr>
          <w:sz w:val="13"/>
        </w:rPr>
      </w:pPr>
      <w:r>
        <w:rPr>
          <w:color w:val="231F20"/>
          <w:sz w:val="13"/>
        </w:rPr>
        <w:t>Consultation 8 (eSafety Commissioner).</w:t>
      </w:r>
    </w:p>
    <w:p w14:paraId="4175F3E8" w14:textId="77777777" w:rsidR="00894070" w:rsidRDefault="009B7AFD">
      <w:pPr>
        <w:pStyle w:val="ListParagraph"/>
        <w:numPr>
          <w:ilvl w:val="0"/>
          <w:numId w:val="131"/>
        </w:numPr>
        <w:tabs>
          <w:tab w:val="left" w:pos="1800"/>
          <w:tab w:val="left" w:pos="1802"/>
        </w:tabs>
        <w:spacing w:line="160" w:lineRule="exact"/>
        <w:rPr>
          <w:sz w:val="13"/>
        </w:rPr>
      </w:pPr>
      <w:r>
        <w:rPr>
          <w:color w:val="231F20"/>
          <w:sz w:val="13"/>
        </w:rPr>
        <w:t xml:space="preserve">Consultation 9 </w:t>
      </w:r>
      <w:r>
        <w:rPr>
          <w:color w:val="231F20"/>
          <w:spacing w:val="2"/>
          <w:sz w:val="13"/>
        </w:rPr>
        <w:t xml:space="preserve">(Judicial </w:t>
      </w:r>
      <w:r>
        <w:rPr>
          <w:color w:val="231F20"/>
          <w:sz w:val="13"/>
        </w:rPr>
        <w:t>College of</w:t>
      </w:r>
      <w:r>
        <w:rPr>
          <w:color w:val="231F20"/>
          <w:spacing w:val="-1"/>
          <w:sz w:val="13"/>
        </w:rPr>
        <w:t xml:space="preserve"> </w:t>
      </w:r>
      <w:r>
        <w:rPr>
          <w:color w:val="231F20"/>
          <w:sz w:val="13"/>
        </w:rPr>
        <w:t>Victoria).</w:t>
      </w:r>
    </w:p>
    <w:p w14:paraId="651AEFD5" w14:textId="77777777" w:rsidR="00894070" w:rsidRDefault="009F6793">
      <w:pPr>
        <w:pStyle w:val="ListParagraph"/>
        <w:numPr>
          <w:ilvl w:val="0"/>
          <w:numId w:val="131"/>
        </w:numPr>
        <w:tabs>
          <w:tab w:val="left" w:pos="1800"/>
          <w:tab w:val="left" w:pos="1802"/>
        </w:tabs>
        <w:spacing w:line="160" w:lineRule="exact"/>
        <w:rPr>
          <w:sz w:val="13"/>
        </w:rPr>
      </w:pPr>
      <w:r>
        <w:pict w14:anchorId="5793F0AE">
          <v:shape id="_x0000_s1460" type="#_x0000_t202" style="position:absolute;left:0;text-align:left;margin-left:549.35pt;margin-top:3.7pt;width:12.5pt;height:14.1pt;z-index:251644928;mso-position-horizontal-relative:page" filled="f" stroked="f">
            <v:textbox inset="0,0,0,0">
              <w:txbxContent>
                <w:p w14:paraId="17BC5FC6" w14:textId="77777777" w:rsidR="00894070" w:rsidRDefault="009B7AFD">
                  <w:pPr>
                    <w:spacing w:line="282" w:lineRule="exact"/>
                    <w:rPr>
                      <w:b/>
                      <w:sz w:val="24"/>
                    </w:rPr>
                  </w:pPr>
                  <w:r>
                    <w:rPr>
                      <w:b/>
                      <w:color w:val="EA5B50"/>
                      <w:spacing w:val="-2"/>
                      <w:sz w:val="24"/>
                    </w:rPr>
                    <w:t>71</w:t>
                  </w:r>
                </w:p>
              </w:txbxContent>
            </v:textbox>
            <w10:wrap anchorx="page"/>
          </v:shape>
        </w:pict>
      </w:r>
      <w:r w:rsidR="009B7AFD">
        <w:rPr>
          <w:color w:val="231F20"/>
          <w:sz w:val="13"/>
        </w:rPr>
        <w:t xml:space="preserve">Consultation 12 </w:t>
      </w:r>
      <w:r w:rsidR="009B7AFD">
        <w:rPr>
          <w:color w:val="231F20"/>
          <w:spacing w:val="2"/>
          <w:sz w:val="13"/>
        </w:rPr>
        <w:t xml:space="preserve">(Domestic </w:t>
      </w:r>
      <w:r w:rsidR="009B7AFD">
        <w:rPr>
          <w:color w:val="231F20"/>
          <w:sz w:val="13"/>
        </w:rPr>
        <w:t xml:space="preserve">Violence Victoria and </w:t>
      </w:r>
      <w:r w:rsidR="009B7AFD">
        <w:rPr>
          <w:color w:val="231F20"/>
          <w:spacing w:val="2"/>
          <w:sz w:val="13"/>
        </w:rPr>
        <w:t xml:space="preserve">Domestic </w:t>
      </w:r>
      <w:r w:rsidR="009B7AFD">
        <w:rPr>
          <w:color w:val="231F20"/>
          <w:sz w:val="13"/>
        </w:rPr>
        <w:t>Violence Resource Centre</w:t>
      </w:r>
      <w:r w:rsidR="009B7AFD">
        <w:rPr>
          <w:color w:val="231F20"/>
          <w:spacing w:val="6"/>
          <w:sz w:val="13"/>
        </w:rPr>
        <w:t xml:space="preserve"> </w:t>
      </w:r>
      <w:r w:rsidR="009B7AFD">
        <w:rPr>
          <w:color w:val="231F20"/>
          <w:sz w:val="13"/>
        </w:rPr>
        <w:t>Victoria).</w:t>
      </w:r>
    </w:p>
    <w:p w14:paraId="556FB570" w14:textId="77777777" w:rsidR="00894070" w:rsidRDefault="009B7AFD">
      <w:pPr>
        <w:pStyle w:val="ListParagraph"/>
        <w:numPr>
          <w:ilvl w:val="0"/>
          <w:numId w:val="131"/>
        </w:numPr>
        <w:tabs>
          <w:tab w:val="left" w:pos="1801"/>
          <w:tab w:val="left" w:pos="1802"/>
        </w:tabs>
        <w:spacing w:line="170" w:lineRule="exact"/>
        <w:rPr>
          <w:sz w:val="13"/>
        </w:rPr>
      </w:pPr>
      <w:r>
        <w:rPr>
          <w:color w:val="231F20"/>
          <w:sz w:val="13"/>
        </w:rPr>
        <w:t xml:space="preserve">Consultation 34 (Magistrates’ </w:t>
      </w:r>
      <w:r>
        <w:rPr>
          <w:color w:val="231F20"/>
          <w:spacing w:val="2"/>
          <w:sz w:val="13"/>
        </w:rPr>
        <w:t xml:space="preserve">Court </w:t>
      </w:r>
      <w:r>
        <w:rPr>
          <w:color w:val="231F20"/>
          <w:sz w:val="13"/>
        </w:rPr>
        <w:t>of Victoria (No 2)).</w:t>
      </w:r>
    </w:p>
    <w:p w14:paraId="39907B94" w14:textId="77777777" w:rsidR="00894070" w:rsidRDefault="00894070">
      <w:pPr>
        <w:spacing w:line="170" w:lineRule="exact"/>
        <w:rPr>
          <w:sz w:val="13"/>
        </w:rPr>
        <w:sectPr w:rsidR="00894070">
          <w:pgSz w:w="11910" w:h="16840"/>
          <w:pgMar w:top="840" w:right="420" w:bottom="280" w:left="580" w:header="0" w:footer="0" w:gutter="0"/>
          <w:cols w:space="720"/>
        </w:sectPr>
      </w:pPr>
    </w:p>
    <w:p w14:paraId="76E1BA33" w14:textId="77777777" w:rsidR="00894070" w:rsidRDefault="00894070">
      <w:pPr>
        <w:pStyle w:val="BodyText"/>
      </w:pPr>
    </w:p>
    <w:p w14:paraId="4CB123C6" w14:textId="77777777" w:rsidR="00894070" w:rsidRDefault="00894070">
      <w:pPr>
        <w:pStyle w:val="BodyText"/>
      </w:pPr>
    </w:p>
    <w:p w14:paraId="42B6367A" w14:textId="77777777" w:rsidR="00894070" w:rsidRDefault="00894070">
      <w:pPr>
        <w:pStyle w:val="BodyText"/>
      </w:pPr>
    </w:p>
    <w:p w14:paraId="6354AE1A" w14:textId="77777777" w:rsidR="00894070" w:rsidRDefault="009B7AFD">
      <w:pPr>
        <w:pStyle w:val="Heading8"/>
        <w:spacing w:before="220"/>
        <w:ind w:left="1007"/>
      </w:pPr>
      <w:bookmarkStart w:id="87" w:name="_bookmark46"/>
      <w:bookmarkEnd w:id="87"/>
      <w:r>
        <w:rPr>
          <w:color w:val="231F20"/>
        </w:rPr>
        <w:t>What education is available now?</w:t>
      </w:r>
    </w:p>
    <w:p w14:paraId="42A7F5BC" w14:textId="77777777" w:rsidR="00894070" w:rsidRDefault="009B7AFD">
      <w:pPr>
        <w:pStyle w:val="ListParagraph"/>
        <w:numPr>
          <w:ilvl w:val="1"/>
          <w:numId w:val="177"/>
        </w:numPr>
        <w:tabs>
          <w:tab w:val="left" w:pos="1801"/>
          <w:tab w:val="left" w:pos="1802"/>
        </w:tabs>
        <w:spacing w:before="127" w:line="206" w:lineRule="auto"/>
        <w:ind w:right="1295"/>
        <w:rPr>
          <w:sz w:val="20"/>
        </w:rPr>
      </w:pPr>
      <w:r>
        <w:rPr>
          <w:color w:val="231F20"/>
          <w:spacing w:val="-3"/>
          <w:sz w:val="20"/>
        </w:rPr>
        <w:t>For</w:t>
      </w:r>
      <w:r>
        <w:rPr>
          <w:color w:val="231F20"/>
          <w:spacing w:val="-12"/>
          <w:sz w:val="20"/>
        </w:rPr>
        <w:t xml:space="preserve"> </w:t>
      </w:r>
      <w:r>
        <w:rPr>
          <w:color w:val="231F20"/>
          <w:sz w:val="20"/>
        </w:rPr>
        <w:t>judicial</w:t>
      </w:r>
      <w:r>
        <w:rPr>
          <w:color w:val="231F20"/>
          <w:spacing w:val="-12"/>
          <w:sz w:val="20"/>
        </w:rPr>
        <w:t xml:space="preserve"> </w:t>
      </w:r>
      <w:r>
        <w:rPr>
          <w:color w:val="231F20"/>
          <w:sz w:val="20"/>
        </w:rPr>
        <w:t>officers,</w:t>
      </w:r>
      <w:r>
        <w:rPr>
          <w:color w:val="231F20"/>
          <w:spacing w:val="-12"/>
          <w:sz w:val="20"/>
        </w:rPr>
        <w:t xml:space="preserve"> </w:t>
      </w:r>
      <w:r>
        <w:rPr>
          <w:color w:val="231F20"/>
          <w:sz w:val="20"/>
        </w:rPr>
        <w:t>the</w:t>
      </w:r>
      <w:r>
        <w:rPr>
          <w:color w:val="231F20"/>
          <w:spacing w:val="-11"/>
          <w:sz w:val="20"/>
        </w:rPr>
        <w:t xml:space="preserve"> </w:t>
      </w:r>
      <w:r>
        <w:rPr>
          <w:color w:val="231F20"/>
          <w:sz w:val="20"/>
        </w:rPr>
        <w:t>Judicial</w:t>
      </w:r>
      <w:r>
        <w:rPr>
          <w:color w:val="231F20"/>
          <w:spacing w:val="-12"/>
          <w:sz w:val="20"/>
        </w:rPr>
        <w:t xml:space="preserve"> </w:t>
      </w:r>
      <w:r>
        <w:rPr>
          <w:color w:val="231F20"/>
          <w:sz w:val="20"/>
        </w:rPr>
        <w:t>College</w:t>
      </w:r>
      <w:r>
        <w:rPr>
          <w:color w:val="231F20"/>
          <w:spacing w:val="-12"/>
          <w:sz w:val="20"/>
        </w:rPr>
        <w:t xml:space="preserve"> </w:t>
      </w:r>
      <w:r>
        <w:rPr>
          <w:color w:val="231F20"/>
          <w:sz w:val="20"/>
        </w:rPr>
        <w:t>of</w:t>
      </w:r>
      <w:r>
        <w:rPr>
          <w:color w:val="231F20"/>
          <w:spacing w:val="-12"/>
          <w:sz w:val="20"/>
        </w:rPr>
        <w:t xml:space="preserve"> </w:t>
      </w:r>
      <w:r>
        <w:rPr>
          <w:color w:val="231F20"/>
          <w:sz w:val="20"/>
        </w:rPr>
        <w:t>Victoria</w:t>
      </w:r>
      <w:r>
        <w:rPr>
          <w:color w:val="231F20"/>
          <w:spacing w:val="-11"/>
          <w:sz w:val="20"/>
        </w:rPr>
        <w:t xml:space="preserve"> </w:t>
      </w:r>
      <w:r>
        <w:rPr>
          <w:color w:val="231F20"/>
          <w:sz w:val="20"/>
        </w:rPr>
        <w:t>has</w:t>
      </w:r>
      <w:r>
        <w:rPr>
          <w:color w:val="231F20"/>
          <w:spacing w:val="-12"/>
          <w:sz w:val="20"/>
        </w:rPr>
        <w:t xml:space="preserve"> </w:t>
      </w:r>
      <w:r>
        <w:rPr>
          <w:color w:val="231F20"/>
          <w:sz w:val="20"/>
        </w:rPr>
        <w:t>education</w:t>
      </w:r>
      <w:r>
        <w:rPr>
          <w:color w:val="231F20"/>
          <w:spacing w:val="-12"/>
          <w:sz w:val="20"/>
        </w:rPr>
        <w:t xml:space="preserve"> </w:t>
      </w:r>
      <w:r>
        <w:rPr>
          <w:color w:val="231F20"/>
          <w:spacing w:val="-3"/>
          <w:sz w:val="20"/>
        </w:rPr>
        <w:t>initiatives</w:t>
      </w:r>
      <w:r>
        <w:rPr>
          <w:color w:val="231F20"/>
          <w:spacing w:val="-12"/>
          <w:sz w:val="20"/>
        </w:rPr>
        <w:t xml:space="preserve"> </w:t>
      </w:r>
      <w:r>
        <w:rPr>
          <w:color w:val="231F20"/>
          <w:sz w:val="20"/>
        </w:rPr>
        <w:t>on</w:t>
      </w:r>
      <w:r>
        <w:rPr>
          <w:color w:val="231F20"/>
          <w:spacing w:val="-11"/>
          <w:sz w:val="20"/>
        </w:rPr>
        <w:t xml:space="preserve"> </w:t>
      </w:r>
      <w:r>
        <w:rPr>
          <w:color w:val="231F20"/>
          <w:sz w:val="20"/>
        </w:rPr>
        <w:t>stalking and responding to victims of crime (see</w:t>
      </w:r>
      <w:r>
        <w:rPr>
          <w:color w:val="231F20"/>
          <w:spacing w:val="-32"/>
          <w:sz w:val="20"/>
        </w:rPr>
        <w:t xml:space="preserve"> </w:t>
      </w:r>
      <w:r>
        <w:rPr>
          <w:color w:val="231F20"/>
          <w:spacing w:val="-3"/>
          <w:sz w:val="20"/>
        </w:rPr>
        <w:t>box).</w:t>
      </w:r>
    </w:p>
    <w:p w14:paraId="408B026A" w14:textId="77777777" w:rsidR="00894070" w:rsidRDefault="00894070">
      <w:pPr>
        <w:pStyle w:val="BodyText"/>
      </w:pPr>
    </w:p>
    <w:p w14:paraId="2FE88389" w14:textId="77777777" w:rsidR="00894070" w:rsidRDefault="00894070">
      <w:pPr>
        <w:pStyle w:val="BodyText"/>
        <w:spacing w:before="11"/>
        <w:rPr>
          <w:sz w:val="15"/>
        </w:rPr>
      </w:pPr>
    </w:p>
    <w:p w14:paraId="060AEF3F" w14:textId="77777777" w:rsidR="00894070" w:rsidRDefault="009F6793">
      <w:pPr>
        <w:spacing w:before="57" w:line="259" w:lineRule="exact"/>
        <w:ind w:left="1239"/>
        <w:rPr>
          <w:b/>
          <w:sz w:val="20"/>
        </w:rPr>
      </w:pPr>
      <w:r>
        <w:pict w14:anchorId="61851F72">
          <v:group id="_x0000_s1454" style="position:absolute;left:0;text-align:left;margin-left:79.35pt;margin-top:-6.6pt;width:435.9pt;height:364.1pt;z-index:-251502592;mso-position-horizontal-relative:page" coordorigin="1587,-132" coordsize="8718,7282">
            <v:rect id="_x0000_s1459" style="position:absolute;left:1592;top:-127;width:8708;height:7272" fillcolor="#fee7de" stroked="f"/>
            <v:line id="_x0000_s1458" style="position:absolute" from="1587,-127" to="10305,-127" strokecolor="#ea5b50" strokeweight=".5pt"/>
            <v:line id="_x0000_s1457" style="position:absolute" from="1592,7140" to="1592,-122" strokecolor="#ea5b50" strokeweight=".5pt"/>
            <v:line id="_x0000_s1456" style="position:absolute" from="10300,7140" to="10300,-122" strokecolor="#ea5b50" strokeweight=".5pt"/>
            <v:line id="_x0000_s1455" style="position:absolute" from="1587,7145" to="10305,7145" strokecolor="#ea5b50" strokeweight=".5pt"/>
            <w10:wrap anchorx="page"/>
          </v:group>
        </w:pict>
      </w:r>
      <w:r w:rsidR="009B7AFD">
        <w:rPr>
          <w:b/>
          <w:color w:val="231F20"/>
          <w:sz w:val="20"/>
        </w:rPr>
        <w:t>Current training and education for judicial officers through the Judicial College of</w:t>
      </w:r>
    </w:p>
    <w:p w14:paraId="6C88FA82" w14:textId="77777777" w:rsidR="00894070" w:rsidRDefault="009B7AFD">
      <w:pPr>
        <w:spacing w:line="259" w:lineRule="exact"/>
        <w:ind w:left="1239"/>
        <w:rPr>
          <w:b/>
          <w:sz w:val="20"/>
        </w:rPr>
      </w:pPr>
      <w:r>
        <w:rPr>
          <w:b/>
          <w:color w:val="231F20"/>
          <w:sz w:val="20"/>
        </w:rPr>
        <w:t>Victoria</w:t>
      </w:r>
    </w:p>
    <w:p w14:paraId="5DFF3706" w14:textId="77777777" w:rsidR="00894070" w:rsidRDefault="009B7AFD">
      <w:pPr>
        <w:pStyle w:val="BodyText"/>
        <w:spacing w:before="115" w:line="206" w:lineRule="auto"/>
        <w:ind w:left="1239" w:right="1408"/>
      </w:pPr>
      <w:r>
        <w:rPr>
          <w:color w:val="231F20"/>
        </w:rPr>
        <w:t>The Judicial College of Victoria (JCV) provides resources and training to judicial officers in Victoria. There are two key resources on stalking:</w:t>
      </w:r>
    </w:p>
    <w:p w14:paraId="22EECD4E" w14:textId="77777777" w:rsidR="00894070" w:rsidRDefault="009B7AFD">
      <w:pPr>
        <w:pStyle w:val="ListParagraph"/>
        <w:numPr>
          <w:ilvl w:val="2"/>
          <w:numId w:val="177"/>
        </w:numPr>
        <w:tabs>
          <w:tab w:val="left" w:pos="1579"/>
          <w:tab w:val="left" w:pos="1580"/>
        </w:tabs>
        <w:spacing w:before="90" w:line="259" w:lineRule="exact"/>
        <w:ind w:left="1579" w:hanging="340"/>
        <w:rPr>
          <w:sz w:val="20"/>
        </w:rPr>
      </w:pPr>
      <w:r>
        <w:rPr>
          <w:color w:val="231F20"/>
          <w:sz w:val="20"/>
        </w:rPr>
        <w:t>the</w:t>
      </w:r>
      <w:r>
        <w:rPr>
          <w:color w:val="231F20"/>
          <w:spacing w:val="-7"/>
          <w:sz w:val="20"/>
        </w:rPr>
        <w:t xml:space="preserve"> </w:t>
      </w:r>
      <w:r>
        <w:rPr>
          <w:i/>
          <w:color w:val="231F20"/>
          <w:sz w:val="20"/>
        </w:rPr>
        <w:t>Criminal</w:t>
      </w:r>
      <w:r>
        <w:rPr>
          <w:i/>
          <w:color w:val="231F20"/>
          <w:spacing w:val="-6"/>
          <w:sz w:val="20"/>
        </w:rPr>
        <w:t xml:space="preserve"> </w:t>
      </w:r>
      <w:r>
        <w:rPr>
          <w:i/>
          <w:color w:val="231F20"/>
          <w:sz w:val="20"/>
        </w:rPr>
        <w:t>Charge</w:t>
      </w:r>
      <w:r>
        <w:rPr>
          <w:i/>
          <w:color w:val="231F20"/>
          <w:spacing w:val="-5"/>
          <w:sz w:val="20"/>
        </w:rPr>
        <w:t xml:space="preserve"> </w:t>
      </w:r>
      <w:r>
        <w:rPr>
          <w:i/>
          <w:color w:val="231F20"/>
          <w:sz w:val="20"/>
        </w:rPr>
        <w:t>Book</w:t>
      </w:r>
      <w:r>
        <w:rPr>
          <w:i/>
          <w:color w:val="231F20"/>
          <w:spacing w:val="-5"/>
          <w:sz w:val="20"/>
        </w:rPr>
        <w:t xml:space="preserve"> </w:t>
      </w:r>
      <w:r>
        <w:rPr>
          <w:color w:val="231F20"/>
          <w:sz w:val="20"/>
        </w:rPr>
        <w:t>includes</w:t>
      </w:r>
      <w:r>
        <w:rPr>
          <w:color w:val="231F20"/>
          <w:spacing w:val="-5"/>
          <w:sz w:val="20"/>
        </w:rPr>
        <w:t xml:space="preserve"> </w:t>
      </w:r>
      <w:r>
        <w:rPr>
          <w:color w:val="231F20"/>
          <w:spacing w:val="-3"/>
          <w:sz w:val="20"/>
        </w:rPr>
        <w:t>information</w:t>
      </w:r>
      <w:r>
        <w:rPr>
          <w:color w:val="231F20"/>
          <w:spacing w:val="-6"/>
          <w:sz w:val="20"/>
        </w:rPr>
        <w:t xml:space="preserve"> </w:t>
      </w:r>
      <w:r>
        <w:rPr>
          <w:color w:val="231F20"/>
          <w:sz w:val="20"/>
        </w:rPr>
        <w:t>that</w:t>
      </w:r>
      <w:r>
        <w:rPr>
          <w:color w:val="231F20"/>
          <w:spacing w:val="-5"/>
          <w:sz w:val="20"/>
        </w:rPr>
        <w:t xml:space="preserve"> </w:t>
      </w:r>
      <w:r>
        <w:rPr>
          <w:color w:val="231F20"/>
          <w:sz w:val="20"/>
        </w:rPr>
        <w:t>judges</w:t>
      </w:r>
      <w:r>
        <w:rPr>
          <w:color w:val="231F20"/>
          <w:spacing w:val="-6"/>
          <w:sz w:val="20"/>
        </w:rPr>
        <w:t xml:space="preserve"> </w:t>
      </w:r>
      <w:r>
        <w:rPr>
          <w:color w:val="231F20"/>
          <w:sz w:val="20"/>
        </w:rPr>
        <w:t>must</w:t>
      </w:r>
      <w:r>
        <w:rPr>
          <w:color w:val="231F20"/>
          <w:spacing w:val="-6"/>
          <w:sz w:val="20"/>
        </w:rPr>
        <w:t xml:space="preserve"> </w:t>
      </w:r>
      <w:r>
        <w:rPr>
          <w:color w:val="231F20"/>
          <w:spacing w:val="-3"/>
          <w:sz w:val="20"/>
        </w:rPr>
        <w:t>give</w:t>
      </w:r>
      <w:r>
        <w:rPr>
          <w:color w:val="231F20"/>
          <w:spacing w:val="-5"/>
          <w:sz w:val="20"/>
        </w:rPr>
        <w:t xml:space="preserve"> </w:t>
      </w:r>
      <w:r>
        <w:rPr>
          <w:color w:val="231F20"/>
          <w:sz w:val="20"/>
        </w:rPr>
        <w:t>to</w:t>
      </w:r>
      <w:r>
        <w:rPr>
          <w:color w:val="231F20"/>
          <w:spacing w:val="-6"/>
          <w:sz w:val="20"/>
        </w:rPr>
        <w:t xml:space="preserve"> </w:t>
      </w:r>
      <w:r>
        <w:rPr>
          <w:color w:val="231F20"/>
          <w:sz w:val="20"/>
        </w:rPr>
        <w:t>juries</w:t>
      </w:r>
      <w:r>
        <w:rPr>
          <w:color w:val="231F20"/>
          <w:spacing w:val="-5"/>
          <w:sz w:val="20"/>
        </w:rPr>
        <w:t xml:space="preserve"> </w:t>
      </w:r>
      <w:r>
        <w:rPr>
          <w:color w:val="231F20"/>
          <w:sz w:val="20"/>
        </w:rPr>
        <w:t>and</w:t>
      </w:r>
      <w:r>
        <w:rPr>
          <w:color w:val="231F20"/>
          <w:spacing w:val="-6"/>
          <w:sz w:val="20"/>
        </w:rPr>
        <w:t xml:space="preserve"> </w:t>
      </w:r>
      <w:r>
        <w:rPr>
          <w:color w:val="231F20"/>
          <w:sz w:val="20"/>
        </w:rPr>
        <w:t>other</w:t>
      </w:r>
    </w:p>
    <w:p w14:paraId="3E46E0EF" w14:textId="77777777" w:rsidR="00894070" w:rsidRDefault="009B7AFD">
      <w:pPr>
        <w:spacing w:line="259" w:lineRule="exact"/>
        <w:ind w:left="1579"/>
        <w:rPr>
          <w:sz w:val="11"/>
        </w:rPr>
      </w:pPr>
      <w:r>
        <w:rPr>
          <w:color w:val="231F20"/>
          <w:sz w:val="20"/>
        </w:rPr>
        <w:t>material</w:t>
      </w:r>
      <w:r>
        <w:rPr>
          <w:color w:val="231F20"/>
          <w:position w:val="7"/>
          <w:sz w:val="11"/>
        </w:rPr>
        <w:t>126</w:t>
      </w:r>
    </w:p>
    <w:p w14:paraId="4030021F" w14:textId="77777777" w:rsidR="00894070" w:rsidRDefault="009B7AFD">
      <w:pPr>
        <w:pStyle w:val="ListParagraph"/>
        <w:numPr>
          <w:ilvl w:val="2"/>
          <w:numId w:val="177"/>
        </w:numPr>
        <w:tabs>
          <w:tab w:val="left" w:pos="1579"/>
          <w:tab w:val="left" w:pos="1580"/>
        </w:tabs>
        <w:spacing w:before="80" w:line="206" w:lineRule="auto"/>
        <w:ind w:left="1579" w:right="1738" w:hanging="340"/>
        <w:rPr>
          <w:sz w:val="11"/>
        </w:rPr>
      </w:pPr>
      <w:r>
        <w:rPr>
          <w:color w:val="231F20"/>
          <w:sz w:val="20"/>
        </w:rPr>
        <w:t>the</w:t>
      </w:r>
      <w:r>
        <w:rPr>
          <w:color w:val="231F20"/>
          <w:spacing w:val="-13"/>
          <w:sz w:val="20"/>
        </w:rPr>
        <w:t xml:space="preserve"> </w:t>
      </w:r>
      <w:r>
        <w:rPr>
          <w:i/>
          <w:color w:val="231F20"/>
          <w:sz w:val="20"/>
        </w:rPr>
        <w:t>Personal</w:t>
      </w:r>
      <w:r>
        <w:rPr>
          <w:i/>
          <w:color w:val="231F20"/>
          <w:spacing w:val="-12"/>
          <w:sz w:val="20"/>
        </w:rPr>
        <w:t xml:space="preserve"> </w:t>
      </w:r>
      <w:r>
        <w:rPr>
          <w:i/>
          <w:color w:val="231F20"/>
          <w:sz w:val="20"/>
        </w:rPr>
        <w:t>Safety</w:t>
      </w:r>
      <w:r>
        <w:rPr>
          <w:i/>
          <w:color w:val="231F20"/>
          <w:spacing w:val="-12"/>
          <w:sz w:val="20"/>
        </w:rPr>
        <w:t xml:space="preserve"> </w:t>
      </w:r>
      <w:r>
        <w:rPr>
          <w:i/>
          <w:color w:val="231F20"/>
          <w:sz w:val="20"/>
        </w:rPr>
        <w:t>Intervention</w:t>
      </w:r>
      <w:r>
        <w:rPr>
          <w:i/>
          <w:color w:val="231F20"/>
          <w:spacing w:val="-12"/>
          <w:sz w:val="20"/>
        </w:rPr>
        <w:t xml:space="preserve"> </w:t>
      </w:r>
      <w:r>
        <w:rPr>
          <w:i/>
          <w:color w:val="231F20"/>
          <w:sz w:val="20"/>
        </w:rPr>
        <w:t>Orders</w:t>
      </w:r>
      <w:r>
        <w:rPr>
          <w:i/>
          <w:color w:val="231F20"/>
          <w:spacing w:val="-12"/>
          <w:sz w:val="20"/>
        </w:rPr>
        <w:t xml:space="preserve"> </w:t>
      </w:r>
      <w:r>
        <w:rPr>
          <w:i/>
          <w:color w:val="231F20"/>
          <w:sz w:val="20"/>
        </w:rPr>
        <w:t>Bench</w:t>
      </w:r>
      <w:r>
        <w:rPr>
          <w:i/>
          <w:color w:val="231F20"/>
          <w:spacing w:val="-12"/>
          <w:sz w:val="20"/>
        </w:rPr>
        <w:t xml:space="preserve"> </w:t>
      </w:r>
      <w:r>
        <w:rPr>
          <w:i/>
          <w:color w:val="231F20"/>
          <w:sz w:val="20"/>
        </w:rPr>
        <w:t>Book</w:t>
      </w:r>
      <w:r>
        <w:rPr>
          <w:i/>
          <w:color w:val="231F20"/>
          <w:spacing w:val="-11"/>
          <w:sz w:val="20"/>
        </w:rPr>
        <w:t xml:space="preserve"> </w:t>
      </w:r>
      <w:r>
        <w:rPr>
          <w:color w:val="231F20"/>
          <w:sz w:val="20"/>
        </w:rPr>
        <w:t>describes</w:t>
      </w:r>
      <w:r>
        <w:rPr>
          <w:color w:val="231F20"/>
          <w:spacing w:val="-12"/>
          <w:sz w:val="20"/>
        </w:rPr>
        <w:t xml:space="preserve"> </w:t>
      </w:r>
      <w:r>
        <w:rPr>
          <w:color w:val="231F20"/>
          <w:sz w:val="20"/>
        </w:rPr>
        <w:t>processes</w:t>
      </w:r>
      <w:r>
        <w:rPr>
          <w:color w:val="231F20"/>
          <w:spacing w:val="-12"/>
          <w:sz w:val="20"/>
        </w:rPr>
        <w:t xml:space="preserve"> </w:t>
      </w:r>
      <w:r>
        <w:rPr>
          <w:color w:val="231F20"/>
          <w:sz w:val="20"/>
        </w:rPr>
        <w:t>and</w:t>
      </w:r>
      <w:r>
        <w:rPr>
          <w:color w:val="231F20"/>
          <w:spacing w:val="-13"/>
          <w:sz w:val="20"/>
        </w:rPr>
        <w:t xml:space="preserve"> </w:t>
      </w:r>
      <w:r>
        <w:rPr>
          <w:color w:val="231F20"/>
          <w:sz w:val="20"/>
        </w:rPr>
        <w:t>tests</w:t>
      </w:r>
      <w:r>
        <w:rPr>
          <w:color w:val="231F20"/>
          <w:spacing w:val="-12"/>
          <w:sz w:val="20"/>
        </w:rPr>
        <w:t xml:space="preserve"> </w:t>
      </w:r>
      <w:r>
        <w:rPr>
          <w:color w:val="231F20"/>
          <w:sz w:val="20"/>
        </w:rPr>
        <w:t>in the PSIO</w:t>
      </w:r>
      <w:r>
        <w:rPr>
          <w:color w:val="231F20"/>
          <w:spacing w:val="-9"/>
          <w:sz w:val="20"/>
        </w:rPr>
        <w:t xml:space="preserve"> </w:t>
      </w:r>
      <w:r>
        <w:rPr>
          <w:color w:val="231F20"/>
          <w:sz w:val="20"/>
        </w:rPr>
        <w:t>System.</w:t>
      </w:r>
      <w:r>
        <w:rPr>
          <w:color w:val="231F20"/>
          <w:position w:val="7"/>
          <w:sz w:val="11"/>
        </w:rPr>
        <w:t>127</w:t>
      </w:r>
    </w:p>
    <w:p w14:paraId="0CCE3C2D" w14:textId="77777777" w:rsidR="00894070" w:rsidRDefault="009B7AFD">
      <w:pPr>
        <w:pStyle w:val="BodyText"/>
        <w:spacing w:before="87" w:line="206" w:lineRule="auto"/>
        <w:ind w:left="1239" w:right="2136"/>
        <w:jc w:val="both"/>
      </w:pPr>
      <w:r>
        <w:rPr>
          <w:color w:val="231F20"/>
        </w:rPr>
        <w:t>The JCV has arranged education programs focussed on stalking. For example, an education</w:t>
      </w:r>
      <w:r>
        <w:rPr>
          <w:color w:val="231F20"/>
          <w:spacing w:val="-6"/>
        </w:rPr>
        <w:t xml:space="preserve"> </w:t>
      </w:r>
      <w:r>
        <w:rPr>
          <w:color w:val="231F20"/>
        </w:rPr>
        <w:t>program</w:t>
      </w:r>
      <w:r>
        <w:rPr>
          <w:color w:val="231F20"/>
          <w:spacing w:val="-6"/>
        </w:rPr>
        <w:t xml:space="preserve"> </w:t>
      </w:r>
      <w:r>
        <w:rPr>
          <w:color w:val="231F20"/>
        </w:rPr>
        <w:t>on</w:t>
      </w:r>
      <w:r>
        <w:rPr>
          <w:color w:val="231F20"/>
          <w:spacing w:val="-6"/>
        </w:rPr>
        <w:t xml:space="preserve"> </w:t>
      </w:r>
      <w:r>
        <w:rPr>
          <w:color w:val="231F20"/>
        </w:rPr>
        <w:t>stalking</w:t>
      </w:r>
      <w:r>
        <w:rPr>
          <w:color w:val="231F20"/>
          <w:spacing w:val="-7"/>
        </w:rPr>
        <w:t xml:space="preserve"> </w:t>
      </w:r>
      <w:r>
        <w:rPr>
          <w:color w:val="231F20"/>
        </w:rPr>
        <w:t>for</w:t>
      </w:r>
      <w:r>
        <w:rPr>
          <w:color w:val="231F20"/>
          <w:spacing w:val="-6"/>
        </w:rPr>
        <w:t xml:space="preserve"> </w:t>
      </w:r>
      <w:r>
        <w:rPr>
          <w:color w:val="231F20"/>
        </w:rPr>
        <w:t>lead</w:t>
      </w:r>
      <w:r>
        <w:rPr>
          <w:color w:val="231F20"/>
          <w:spacing w:val="-6"/>
        </w:rPr>
        <w:t xml:space="preserve"> </w:t>
      </w:r>
      <w:r>
        <w:rPr>
          <w:color w:val="231F20"/>
        </w:rPr>
        <w:t>specialist</w:t>
      </w:r>
      <w:r>
        <w:rPr>
          <w:color w:val="231F20"/>
          <w:spacing w:val="-6"/>
        </w:rPr>
        <w:t xml:space="preserve"> </w:t>
      </w:r>
      <w:r>
        <w:rPr>
          <w:color w:val="231F20"/>
        </w:rPr>
        <w:t>family</w:t>
      </w:r>
      <w:r>
        <w:rPr>
          <w:color w:val="231F20"/>
          <w:spacing w:val="-6"/>
        </w:rPr>
        <w:t xml:space="preserve"> </w:t>
      </w:r>
      <w:r>
        <w:rPr>
          <w:color w:val="231F20"/>
        </w:rPr>
        <w:t>violence</w:t>
      </w:r>
      <w:r>
        <w:rPr>
          <w:color w:val="231F20"/>
          <w:spacing w:val="-6"/>
        </w:rPr>
        <w:t xml:space="preserve"> </w:t>
      </w:r>
      <w:r>
        <w:rPr>
          <w:color w:val="231F20"/>
        </w:rPr>
        <w:t>magistrates.</w:t>
      </w:r>
      <w:r>
        <w:rPr>
          <w:color w:val="231F20"/>
          <w:spacing w:val="-6"/>
        </w:rPr>
        <w:t xml:space="preserve"> </w:t>
      </w:r>
      <w:r>
        <w:rPr>
          <w:color w:val="231F20"/>
        </w:rPr>
        <w:t xml:space="preserve">This </w:t>
      </w:r>
      <w:r>
        <w:rPr>
          <w:color w:val="231F20"/>
          <w:spacing w:val="-3"/>
        </w:rPr>
        <w:t>covered:</w:t>
      </w:r>
    </w:p>
    <w:p w14:paraId="5EE746D0" w14:textId="77777777" w:rsidR="00894070" w:rsidRDefault="009B7AFD">
      <w:pPr>
        <w:pStyle w:val="ListParagraph"/>
        <w:numPr>
          <w:ilvl w:val="2"/>
          <w:numId w:val="177"/>
        </w:numPr>
        <w:tabs>
          <w:tab w:val="left" w:pos="1579"/>
          <w:tab w:val="left" w:pos="1580"/>
        </w:tabs>
        <w:spacing w:before="92"/>
        <w:ind w:left="1579" w:hanging="340"/>
        <w:rPr>
          <w:sz w:val="20"/>
        </w:rPr>
      </w:pPr>
      <w:r>
        <w:rPr>
          <w:color w:val="231F20"/>
          <w:sz w:val="20"/>
        </w:rPr>
        <w:t>definitions</w:t>
      </w:r>
    </w:p>
    <w:p w14:paraId="699489CE" w14:textId="77777777" w:rsidR="00894070" w:rsidRDefault="009B7AFD">
      <w:pPr>
        <w:pStyle w:val="ListParagraph"/>
        <w:numPr>
          <w:ilvl w:val="2"/>
          <w:numId w:val="177"/>
        </w:numPr>
        <w:tabs>
          <w:tab w:val="left" w:pos="1579"/>
          <w:tab w:val="left" w:pos="1580"/>
        </w:tabs>
        <w:spacing w:before="47"/>
        <w:ind w:left="1579" w:hanging="340"/>
        <w:rPr>
          <w:sz w:val="20"/>
        </w:rPr>
      </w:pPr>
      <w:r>
        <w:rPr>
          <w:color w:val="231F20"/>
          <w:sz w:val="20"/>
        </w:rPr>
        <w:t>impacts on victim</w:t>
      </w:r>
      <w:r>
        <w:rPr>
          <w:color w:val="231F20"/>
          <w:spacing w:val="-13"/>
          <w:sz w:val="20"/>
        </w:rPr>
        <w:t xml:space="preserve"> </w:t>
      </w:r>
      <w:r>
        <w:rPr>
          <w:color w:val="231F20"/>
          <w:sz w:val="20"/>
        </w:rPr>
        <w:t>survivors</w:t>
      </w:r>
    </w:p>
    <w:p w14:paraId="0277816D" w14:textId="77777777" w:rsidR="00894070" w:rsidRDefault="009B7AFD">
      <w:pPr>
        <w:pStyle w:val="ListParagraph"/>
        <w:numPr>
          <w:ilvl w:val="2"/>
          <w:numId w:val="177"/>
        </w:numPr>
        <w:tabs>
          <w:tab w:val="left" w:pos="1579"/>
          <w:tab w:val="left" w:pos="1580"/>
        </w:tabs>
        <w:spacing w:before="48"/>
        <w:ind w:left="1579" w:hanging="340"/>
        <w:rPr>
          <w:sz w:val="20"/>
        </w:rPr>
      </w:pPr>
      <w:r>
        <w:rPr>
          <w:color w:val="231F20"/>
          <w:sz w:val="20"/>
        </w:rPr>
        <w:t>legislation and challenges in the judicial</w:t>
      </w:r>
      <w:r>
        <w:rPr>
          <w:color w:val="231F20"/>
          <w:spacing w:val="-27"/>
          <w:sz w:val="20"/>
        </w:rPr>
        <w:t xml:space="preserve"> </w:t>
      </w:r>
      <w:r>
        <w:rPr>
          <w:color w:val="231F20"/>
          <w:spacing w:val="-2"/>
          <w:sz w:val="20"/>
        </w:rPr>
        <w:t>system</w:t>
      </w:r>
    </w:p>
    <w:p w14:paraId="3DACE10E" w14:textId="77777777" w:rsidR="00894070" w:rsidRDefault="009B7AFD">
      <w:pPr>
        <w:pStyle w:val="ListParagraph"/>
        <w:numPr>
          <w:ilvl w:val="2"/>
          <w:numId w:val="177"/>
        </w:numPr>
        <w:tabs>
          <w:tab w:val="left" w:pos="1579"/>
          <w:tab w:val="left" w:pos="1580"/>
        </w:tabs>
        <w:spacing w:before="47"/>
        <w:ind w:left="1579" w:hanging="340"/>
        <w:rPr>
          <w:sz w:val="20"/>
        </w:rPr>
      </w:pPr>
      <w:r>
        <w:rPr>
          <w:color w:val="231F20"/>
          <w:sz w:val="20"/>
        </w:rPr>
        <w:t>the use of court processes to perpetrate</w:t>
      </w:r>
      <w:r>
        <w:rPr>
          <w:color w:val="231F20"/>
          <w:spacing w:val="-32"/>
          <w:sz w:val="20"/>
        </w:rPr>
        <w:t xml:space="preserve"> </w:t>
      </w:r>
      <w:r>
        <w:rPr>
          <w:color w:val="231F20"/>
          <w:sz w:val="20"/>
        </w:rPr>
        <w:t>stalking.</w:t>
      </w:r>
    </w:p>
    <w:p w14:paraId="2C42A13E" w14:textId="77777777" w:rsidR="00894070" w:rsidRDefault="009B7AFD">
      <w:pPr>
        <w:pStyle w:val="BodyText"/>
        <w:spacing w:before="80" w:line="206" w:lineRule="auto"/>
        <w:ind w:left="1239" w:right="1459"/>
        <w:rPr>
          <w:sz w:val="11"/>
        </w:rPr>
      </w:pPr>
      <w:r>
        <w:rPr>
          <w:color w:val="231F20"/>
        </w:rPr>
        <w:t>This program is being modified for a wider audience and will be made available online across jurisdictions.</w:t>
      </w:r>
      <w:r>
        <w:rPr>
          <w:color w:val="231F20"/>
          <w:position w:val="7"/>
          <w:sz w:val="11"/>
        </w:rPr>
        <w:t>128</w:t>
      </w:r>
    </w:p>
    <w:p w14:paraId="13309920" w14:textId="77777777" w:rsidR="00894070" w:rsidRDefault="009B7AFD">
      <w:pPr>
        <w:pStyle w:val="BodyText"/>
        <w:spacing w:before="122" w:line="206" w:lineRule="auto"/>
        <w:ind w:left="1239" w:right="2097"/>
        <w:rPr>
          <w:sz w:val="11"/>
        </w:rPr>
      </w:pPr>
      <w:r>
        <w:rPr>
          <w:color w:val="231F20"/>
        </w:rPr>
        <w:t>Another example is the JCV’s ‘twilight program’ on technology-facilitated abuse, conducted with the Office of the eSafety Commissioner. This included developing understanding of the impact of technology-facilitated abuse and practical tips for identifying and responding to the abuse.</w:t>
      </w:r>
      <w:r>
        <w:rPr>
          <w:color w:val="231F20"/>
          <w:position w:val="7"/>
          <w:sz w:val="11"/>
        </w:rPr>
        <w:t>129</w:t>
      </w:r>
    </w:p>
    <w:p w14:paraId="4A6F0CAF" w14:textId="77777777" w:rsidR="00894070" w:rsidRDefault="009B7AFD">
      <w:pPr>
        <w:pStyle w:val="BodyText"/>
        <w:spacing w:before="125" w:line="206" w:lineRule="auto"/>
        <w:ind w:left="1239" w:right="1219"/>
        <w:rPr>
          <w:sz w:val="11"/>
        </w:rPr>
      </w:pPr>
      <w:r>
        <w:rPr>
          <w:color w:val="231F20"/>
        </w:rPr>
        <w:t xml:space="preserve">JCV has developed materials related to the broader treatment of victims of crime. For </w:t>
      </w:r>
      <w:proofErr w:type="gramStart"/>
      <w:r>
        <w:rPr>
          <w:color w:val="231F20"/>
        </w:rPr>
        <w:t>example</w:t>
      </w:r>
      <w:proofErr w:type="gramEnd"/>
      <w:r>
        <w:rPr>
          <w:color w:val="231F20"/>
        </w:rPr>
        <w:t xml:space="preserve"> the ‘Victims of Crime in the Courtroom’ guide and specific programs on trauma- informed practice.</w:t>
      </w:r>
      <w:r>
        <w:rPr>
          <w:color w:val="231F20"/>
          <w:position w:val="7"/>
          <w:sz w:val="11"/>
        </w:rPr>
        <w:t>130</w:t>
      </w:r>
    </w:p>
    <w:p w14:paraId="214667EC" w14:textId="77777777" w:rsidR="00894070" w:rsidRDefault="00894070">
      <w:pPr>
        <w:pStyle w:val="BodyText"/>
        <w:rPr>
          <w:sz w:val="22"/>
        </w:rPr>
      </w:pPr>
    </w:p>
    <w:p w14:paraId="250D941D" w14:textId="77777777" w:rsidR="00894070" w:rsidRDefault="00894070">
      <w:pPr>
        <w:pStyle w:val="BodyText"/>
        <w:spacing w:before="13"/>
        <w:rPr>
          <w:sz w:val="19"/>
        </w:rPr>
      </w:pPr>
    </w:p>
    <w:p w14:paraId="14F7EC09" w14:textId="77777777" w:rsidR="00894070" w:rsidRDefault="009B7AFD">
      <w:pPr>
        <w:pStyle w:val="ListParagraph"/>
        <w:numPr>
          <w:ilvl w:val="1"/>
          <w:numId w:val="177"/>
        </w:numPr>
        <w:tabs>
          <w:tab w:val="left" w:pos="1801"/>
          <w:tab w:val="left" w:pos="1802"/>
        </w:tabs>
        <w:spacing w:before="1" w:line="206" w:lineRule="auto"/>
        <w:ind w:right="1500"/>
        <w:rPr>
          <w:sz w:val="11"/>
        </w:rPr>
      </w:pPr>
      <w:r>
        <w:rPr>
          <w:color w:val="231F20"/>
          <w:sz w:val="20"/>
        </w:rPr>
        <w:t xml:space="preserve">There </w:t>
      </w:r>
      <w:r>
        <w:rPr>
          <w:color w:val="231F20"/>
          <w:spacing w:val="-3"/>
          <w:sz w:val="20"/>
        </w:rPr>
        <w:t xml:space="preserve">are several Magistrates’ </w:t>
      </w:r>
      <w:r>
        <w:rPr>
          <w:color w:val="231F20"/>
          <w:sz w:val="20"/>
        </w:rPr>
        <w:t xml:space="preserve">Court </w:t>
      </w:r>
      <w:r>
        <w:rPr>
          <w:color w:val="231F20"/>
          <w:spacing w:val="-3"/>
          <w:sz w:val="20"/>
        </w:rPr>
        <w:t xml:space="preserve">professional development </w:t>
      </w:r>
      <w:r>
        <w:rPr>
          <w:color w:val="231F20"/>
          <w:spacing w:val="-4"/>
          <w:sz w:val="20"/>
        </w:rPr>
        <w:t xml:space="preserve">days </w:t>
      </w:r>
      <w:r>
        <w:rPr>
          <w:color w:val="231F20"/>
          <w:sz w:val="20"/>
        </w:rPr>
        <w:t xml:space="preserve">throughout the </w:t>
      </w:r>
      <w:r>
        <w:rPr>
          <w:color w:val="231F20"/>
          <w:spacing w:val="-5"/>
          <w:sz w:val="20"/>
        </w:rPr>
        <w:t xml:space="preserve">year, </w:t>
      </w:r>
      <w:r>
        <w:rPr>
          <w:color w:val="231F20"/>
          <w:sz w:val="20"/>
        </w:rPr>
        <w:t xml:space="preserve">including on </w:t>
      </w:r>
      <w:r>
        <w:rPr>
          <w:color w:val="231F20"/>
          <w:spacing w:val="-3"/>
          <w:sz w:val="20"/>
        </w:rPr>
        <w:t xml:space="preserve">family </w:t>
      </w:r>
      <w:r>
        <w:rPr>
          <w:color w:val="231F20"/>
          <w:sz w:val="20"/>
        </w:rPr>
        <w:t xml:space="preserve">violence stalking. A </w:t>
      </w:r>
      <w:r>
        <w:rPr>
          <w:color w:val="231F20"/>
          <w:spacing w:val="-3"/>
          <w:sz w:val="20"/>
        </w:rPr>
        <w:t xml:space="preserve">recent </w:t>
      </w:r>
      <w:r>
        <w:rPr>
          <w:color w:val="231F20"/>
          <w:sz w:val="20"/>
        </w:rPr>
        <w:t xml:space="preserve">session </w:t>
      </w:r>
      <w:r>
        <w:rPr>
          <w:color w:val="231F20"/>
          <w:spacing w:val="-4"/>
          <w:sz w:val="20"/>
        </w:rPr>
        <w:t>covered</w:t>
      </w:r>
      <w:r>
        <w:rPr>
          <w:color w:val="231F20"/>
          <w:spacing w:val="-36"/>
          <w:sz w:val="20"/>
        </w:rPr>
        <w:t xml:space="preserve"> </w:t>
      </w:r>
      <w:r>
        <w:rPr>
          <w:color w:val="231F20"/>
          <w:sz w:val="20"/>
        </w:rPr>
        <w:t>PSIOs.</w:t>
      </w:r>
      <w:r>
        <w:rPr>
          <w:color w:val="231F20"/>
          <w:position w:val="7"/>
          <w:sz w:val="11"/>
        </w:rPr>
        <w:t>131</w:t>
      </w:r>
    </w:p>
    <w:p w14:paraId="0626E466" w14:textId="77777777" w:rsidR="00894070" w:rsidRDefault="00894070">
      <w:pPr>
        <w:pStyle w:val="BodyText"/>
        <w:spacing w:before="9"/>
        <w:rPr>
          <w:sz w:val="15"/>
        </w:rPr>
      </w:pPr>
    </w:p>
    <w:p w14:paraId="1D14C957" w14:textId="77777777" w:rsidR="00894070" w:rsidRDefault="009B7AFD">
      <w:pPr>
        <w:pStyle w:val="Heading8"/>
        <w:ind w:left="1007"/>
      </w:pPr>
      <w:r>
        <w:rPr>
          <w:color w:val="231F20"/>
        </w:rPr>
        <w:t>How should education be delivered?</w:t>
      </w:r>
    </w:p>
    <w:p w14:paraId="417CCF7E" w14:textId="77777777" w:rsidR="00894070" w:rsidRDefault="009B7AFD">
      <w:pPr>
        <w:pStyle w:val="ListParagraph"/>
        <w:numPr>
          <w:ilvl w:val="1"/>
          <w:numId w:val="177"/>
        </w:numPr>
        <w:tabs>
          <w:tab w:val="left" w:pos="1801"/>
          <w:tab w:val="left" w:pos="1802"/>
        </w:tabs>
        <w:spacing w:before="127" w:line="206" w:lineRule="auto"/>
        <w:ind w:right="1307"/>
        <w:rPr>
          <w:sz w:val="11"/>
        </w:rPr>
      </w:pPr>
      <w:r>
        <w:rPr>
          <w:color w:val="231F20"/>
          <w:spacing w:val="-3"/>
          <w:sz w:val="20"/>
        </w:rPr>
        <w:t xml:space="preserve">Education </w:t>
      </w:r>
      <w:r>
        <w:rPr>
          <w:color w:val="231F20"/>
          <w:sz w:val="20"/>
        </w:rPr>
        <w:t xml:space="preserve">and training on stalking could build on the education </w:t>
      </w:r>
      <w:r>
        <w:rPr>
          <w:color w:val="231F20"/>
          <w:spacing w:val="-3"/>
          <w:sz w:val="20"/>
        </w:rPr>
        <w:t xml:space="preserve">initiatives </w:t>
      </w:r>
      <w:r>
        <w:rPr>
          <w:color w:val="231F20"/>
          <w:sz w:val="20"/>
        </w:rPr>
        <w:t xml:space="preserve">that </w:t>
      </w:r>
      <w:r>
        <w:rPr>
          <w:color w:val="231F20"/>
          <w:spacing w:val="-3"/>
          <w:sz w:val="20"/>
        </w:rPr>
        <w:t xml:space="preserve">are </w:t>
      </w:r>
      <w:r>
        <w:rPr>
          <w:color w:val="231F20"/>
          <w:sz w:val="20"/>
        </w:rPr>
        <w:t xml:space="preserve">already in place. The </w:t>
      </w:r>
      <w:r>
        <w:rPr>
          <w:color w:val="231F20"/>
          <w:spacing w:val="-3"/>
          <w:sz w:val="20"/>
        </w:rPr>
        <w:t xml:space="preserve">Magistrates’ </w:t>
      </w:r>
      <w:r>
        <w:rPr>
          <w:color w:val="231F20"/>
          <w:sz w:val="20"/>
        </w:rPr>
        <w:t xml:space="preserve">Court suggested that training could be </w:t>
      </w:r>
      <w:r>
        <w:rPr>
          <w:color w:val="231F20"/>
          <w:spacing w:val="-3"/>
          <w:sz w:val="20"/>
        </w:rPr>
        <w:t xml:space="preserve">delivered </w:t>
      </w:r>
      <w:r>
        <w:rPr>
          <w:color w:val="231F20"/>
          <w:sz w:val="20"/>
        </w:rPr>
        <w:t>online</w:t>
      </w:r>
      <w:r>
        <w:rPr>
          <w:color w:val="231F20"/>
          <w:spacing w:val="-9"/>
          <w:sz w:val="20"/>
        </w:rPr>
        <w:t xml:space="preserve"> </w:t>
      </w:r>
      <w:r>
        <w:rPr>
          <w:color w:val="231F20"/>
          <w:sz w:val="20"/>
        </w:rPr>
        <w:t>and</w:t>
      </w:r>
      <w:r>
        <w:rPr>
          <w:color w:val="231F20"/>
          <w:spacing w:val="-9"/>
          <w:sz w:val="20"/>
        </w:rPr>
        <w:t xml:space="preserve"> </w:t>
      </w:r>
      <w:r>
        <w:rPr>
          <w:color w:val="231F20"/>
          <w:sz w:val="20"/>
        </w:rPr>
        <w:t>recorded,</w:t>
      </w:r>
      <w:r>
        <w:rPr>
          <w:color w:val="231F20"/>
          <w:spacing w:val="-9"/>
          <w:sz w:val="20"/>
        </w:rPr>
        <w:t xml:space="preserve"> </w:t>
      </w:r>
      <w:r>
        <w:rPr>
          <w:color w:val="231F20"/>
          <w:sz w:val="20"/>
        </w:rPr>
        <w:t>which</w:t>
      </w:r>
      <w:r>
        <w:rPr>
          <w:color w:val="231F20"/>
          <w:spacing w:val="-8"/>
          <w:sz w:val="20"/>
        </w:rPr>
        <w:t xml:space="preserve"> </w:t>
      </w:r>
      <w:r>
        <w:rPr>
          <w:color w:val="231F20"/>
          <w:spacing w:val="-3"/>
          <w:sz w:val="20"/>
        </w:rPr>
        <w:t>would</w:t>
      </w:r>
      <w:r>
        <w:rPr>
          <w:color w:val="231F20"/>
          <w:spacing w:val="-9"/>
          <w:sz w:val="20"/>
        </w:rPr>
        <w:t xml:space="preserve"> </w:t>
      </w:r>
      <w:r>
        <w:rPr>
          <w:color w:val="231F20"/>
          <w:spacing w:val="-3"/>
          <w:sz w:val="20"/>
        </w:rPr>
        <w:t>allow</w:t>
      </w:r>
      <w:r>
        <w:rPr>
          <w:color w:val="231F20"/>
          <w:spacing w:val="-9"/>
          <w:sz w:val="20"/>
        </w:rPr>
        <w:t xml:space="preserve"> </w:t>
      </w:r>
      <w:r>
        <w:rPr>
          <w:color w:val="231F20"/>
          <w:spacing w:val="-3"/>
          <w:sz w:val="20"/>
        </w:rPr>
        <w:t>for</w:t>
      </w:r>
      <w:r>
        <w:rPr>
          <w:color w:val="231F20"/>
          <w:spacing w:val="-8"/>
          <w:sz w:val="20"/>
        </w:rPr>
        <w:t xml:space="preserve"> </w:t>
      </w:r>
      <w:r>
        <w:rPr>
          <w:color w:val="231F20"/>
          <w:spacing w:val="-3"/>
          <w:sz w:val="20"/>
        </w:rPr>
        <w:t>greater</w:t>
      </w:r>
      <w:r>
        <w:rPr>
          <w:color w:val="231F20"/>
          <w:spacing w:val="-9"/>
          <w:sz w:val="20"/>
        </w:rPr>
        <w:t xml:space="preserve"> </w:t>
      </w:r>
      <w:r>
        <w:rPr>
          <w:color w:val="231F20"/>
          <w:sz w:val="20"/>
        </w:rPr>
        <w:t>participation</w:t>
      </w:r>
      <w:r>
        <w:rPr>
          <w:color w:val="231F20"/>
          <w:spacing w:val="-9"/>
          <w:sz w:val="20"/>
        </w:rPr>
        <w:t xml:space="preserve"> </w:t>
      </w:r>
      <w:r>
        <w:rPr>
          <w:color w:val="231F20"/>
          <w:sz w:val="20"/>
        </w:rPr>
        <w:t>than</w:t>
      </w:r>
      <w:r>
        <w:rPr>
          <w:color w:val="231F20"/>
          <w:spacing w:val="-8"/>
          <w:sz w:val="20"/>
        </w:rPr>
        <w:t xml:space="preserve"> </w:t>
      </w:r>
      <w:r>
        <w:rPr>
          <w:color w:val="231F20"/>
          <w:sz w:val="20"/>
        </w:rPr>
        <w:t>if</w:t>
      </w:r>
      <w:r>
        <w:rPr>
          <w:color w:val="231F20"/>
          <w:spacing w:val="-9"/>
          <w:sz w:val="20"/>
        </w:rPr>
        <w:t xml:space="preserve"> </w:t>
      </w:r>
      <w:r>
        <w:rPr>
          <w:color w:val="231F20"/>
          <w:sz w:val="20"/>
        </w:rPr>
        <w:t>training</w:t>
      </w:r>
      <w:r>
        <w:rPr>
          <w:color w:val="231F20"/>
          <w:spacing w:val="-9"/>
          <w:sz w:val="20"/>
        </w:rPr>
        <w:t xml:space="preserve"> </w:t>
      </w:r>
      <w:r>
        <w:rPr>
          <w:color w:val="231F20"/>
          <w:sz w:val="20"/>
        </w:rPr>
        <w:t>is</w:t>
      </w:r>
      <w:r>
        <w:rPr>
          <w:color w:val="231F20"/>
          <w:spacing w:val="-8"/>
          <w:sz w:val="20"/>
        </w:rPr>
        <w:t xml:space="preserve"> </w:t>
      </w:r>
      <w:r>
        <w:rPr>
          <w:color w:val="231F20"/>
          <w:sz w:val="20"/>
        </w:rPr>
        <w:t xml:space="preserve">held </w:t>
      </w:r>
      <w:r>
        <w:rPr>
          <w:color w:val="231F20"/>
          <w:spacing w:val="-3"/>
          <w:sz w:val="20"/>
        </w:rPr>
        <w:t>solely</w:t>
      </w:r>
      <w:r>
        <w:rPr>
          <w:color w:val="231F20"/>
          <w:spacing w:val="-4"/>
          <w:sz w:val="20"/>
        </w:rPr>
        <w:t xml:space="preserve"> </w:t>
      </w:r>
      <w:r>
        <w:rPr>
          <w:color w:val="231F20"/>
          <w:sz w:val="20"/>
        </w:rPr>
        <w:t>in-person.</w:t>
      </w:r>
      <w:r>
        <w:rPr>
          <w:color w:val="231F20"/>
          <w:position w:val="7"/>
          <w:sz w:val="11"/>
        </w:rPr>
        <w:t>132</w:t>
      </w:r>
    </w:p>
    <w:p w14:paraId="6C30FA26" w14:textId="77777777" w:rsidR="00894070" w:rsidRDefault="00894070">
      <w:pPr>
        <w:pStyle w:val="BodyText"/>
      </w:pPr>
    </w:p>
    <w:p w14:paraId="2DF97ACB" w14:textId="77777777" w:rsidR="00894070" w:rsidRDefault="00894070">
      <w:pPr>
        <w:pStyle w:val="BodyText"/>
      </w:pPr>
    </w:p>
    <w:p w14:paraId="56E8824E" w14:textId="77777777" w:rsidR="00894070" w:rsidRDefault="00894070">
      <w:pPr>
        <w:pStyle w:val="BodyText"/>
      </w:pPr>
    </w:p>
    <w:p w14:paraId="30DBCBE5" w14:textId="77777777" w:rsidR="00894070" w:rsidRDefault="00894070">
      <w:pPr>
        <w:pStyle w:val="BodyText"/>
      </w:pPr>
    </w:p>
    <w:p w14:paraId="7B29D6B2" w14:textId="77777777" w:rsidR="00894070" w:rsidRDefault="009F6793">
      <w:pPr>
        <w:pStyle w:val="BodyText"/>
        <w:spacing w:before="1"/>
        <w:rPr>
          <w:sz w:val="27"/>
        </w:rPr>
      </w:pPr>
      <w:r>
        <w:pict w14:anchorId="4B144941">
          <v:line id="_x0000_s1453" style="position:absolute;z-index:251575296;mso-wrap-distance-left:0;mso-wrap-distance-right:0;mso-position-horizontal-relative:page" from="79.35pt,21.25pt" to="515.9pt,21.25pt" strokecolor="#f8cabc" strokeweight="1pt">
            <w10:wrap type="topAndBottom" anchorx="page"/>
          </v:line>
        </w:pict>
      </w:r>
    </w:p>
    <w:p w14:paraId="0F1E67F3" w14:textId="77777777" w:rsidR="00894070" w:rsidRDefault="009B7AFD">
      <w:pPr>
        <w:pStyle w:val="ListParagraph"/>
        <w:numPr>
          <w:ilvl w:val="0"/>
          <w:numId w:val="131"/>
        </w:numPr>
        <w:tabs>
          <w:tab w:val="left" w:pos="1801"/>
          <w:tab w:val="left" w:pos="1802"/>
        </w:tabs>
        <w:spacing w:before="91" w:line="170" w:lineRule="exact"/>
        <w:rPr>
          <w:sz w:val="13"/>
        </w:rPr>
      </w:pPr>
      <w:r>
        <w:rPr>
          <w:color w:val="231F20"/>
          <w:sz w:val="13"/>
        </w:rPr>
        <w:t xml:space="preserve">Judicial College of Victoria, </w:t>
      </w:r>
      <w:r>
        <w:rPr>
          <w:i/>
          <w:color w:val="231F20"/>
          <w:sz w:val="13"/>
        </w:rPr>
        <w:t xml:space="preserve">Criminal Charge Book </w:t>
      </w:r>
      <w:r>
        <w:rPr>
          <w:color w:val="231F20"/>
          <w:sz w:val="13"/>
        </w:rPr>
        <w:t>(Online Manual, 2017</w:t>
      </w:r>
      <w:hyperlink r:id="rId130">
        <w:r>
          <w:rPr>
            <w:color w:val="231F20"/>
            <w:sz w:val="13"/>
          </w:rPr>
          <w:t>)</w:t>
        </w:r>
        <w:r>
          <w:rPr>
            <w:color w:val="231F20"/>
            <w:spacing w:val="27"/>
            <w:sz w:val="13"/>
          </w:rPr>
          <w:t xml:space="preserve"> </w:t>
        </w:r>
        <w:r>
          <w:rPr>
            <w:color w:val="231F20"/>
            <w:sz w:val="13"/>
          </w:rPr>
          <w:t>&lt;https://www.judicialcollege.vic.edu.au/eManuals/</w:t>
        </w:r>
      </w:hyperlink>
    </w:p>
    <w:p w14:paraId="1C867D5E" w14:textId="77777777" w:rsidR="00894070" w:rsidRDefault="009F6793">
      <w:pPr>
        <w:spacing w:line="160" w:lineRule="exact"/>
        <w:ind w:left="1801"/>
        <w:rPr>
          <w:sz w:val="13"/>
        </w:rPr>
      </w:pPr>
      <w:hyperlink r:id="rId131">
        <w:r w:rsidR="009B7AFD">
          <w:rPr>
            <w:color w:val="231F20"/>
            <w:sz w:val="13"/>
          </w:rPr>
          <w:t>CCB</w:t>
        </w:r>
      </w:hyperlink>
      <w:r w:rsidR="009B7AFD">
        <w:rPr>
          <w:color w:val="231F20"/>
          <w:sz w:val="13"/>
        </w:rPr>
        <w:t>&gt;.</w:t>
      </w:r>
    </w:p>
    <w:p w14:paraId="6E843971" w14:textId="77777777" w:rsidR="00894070" w:rsidRDefault="009B7AFD">
      <w:pPr>
        <w:pStyle w:val="ListParagraph"/>
        <w:numPr>
          <w:ilvl w:val="0"/>
          <w:numId w:val="131"/>
        </w:numPr>
        <w:tabs>
          <w:tab w:val="left" w:pos="1800"/>
          <w:tab w:val="left" w:pos="1802"/>
        </w:tabs>
        <w:spacing w:before="6" w:line="213" w:lineRule="auto"/>
        <w:ind w:right="1425"/>
        <w:rPr>
          <w:sz w:val="13"/>
        </w:rPr>
      </w:pPr>
      <w:r>
        <w:rPr>
          <w:color w:val="231F20"/>
          <w:sz w:val="13"/>
        </w:rPr>
        <w:t xml:space="preserve">Judicial College of Victoria, </w:t>
      </w:r>
      <w:r>
        <w:rPr>
          <w:i/>
          <w:color w:val="231F20"/>
          <w:sz w:val="13"/>
        </w:rPr>
        <w:t xml:space="preserve">Personal Safety Intervention Orders Bench Book </w:t>
      </w:r>
      <w:r>
        <w:rPr>
          <w:color w:val="231F20"/>
          <w:sz w:val="13"/>
        </w:rPr>
        <w:t>(Online Manual, 1 September 2011</w:t>
      </w:r>
      <w:hyperlink r:id="rId132">
        <w:r>
          <w:rPr>
            <w:color w:val="231F20"/>
            <w:sz w:val="13"/>
          </w:rPr>
          <w:t>) &lt;https://www.</w:t>
        </w:r>
      </w:hyperlink>
      <w:hyperlink r:id="rId133">
        <w:r>
          <w:rPr>
            <w:color w:val="231F20"/>
            <w:sz w:val="13"/>
          </w:rPr>
          <w:t xml:space="preserve"> judicialcollege.vic.edu.au/eManuals/PSIO</w:t>
        </w:r>
      </w:hyperlink>
      <w:r>
        <w:rPr>
          <w:color w:val="231F20"/>
          <w:sz w:val="13"/>
        </w:rPr>
        <w:t>&gt;.</w:t>
      </w:r>
    </w:p>
    <w:p w14:paraId="619C8A07" w14:textId="77777777" w:rsidR="00894070" w:rsidRDefault="009B7AFD">
      <w:pPr>
        <w:pStyle w:val="ListParagraph"/>
        <w:numPr>
          <w:ilvl w:val="0"/>
          <w:numId w:val="131"/>
        </w:numPr>
        <w:tabs>
          <w:tab w:val="left" w:pos="1801"/>
          <w:tab w:val="left" w:pos="1802"/>
        </w:tabs>
        <w:spacing w:line="153" w:lineRule="exact"/>
        <w:rPr>
          <w:sz w:val="13"/>
        </w:rPr>
      </w:pPr>
      <w:r>
        <w:rPr>
          <w:color w:val="231F20"/>
          <w:sz w:val="13"/>
        </w:rPr>
        <w:t xml:space="preserve">Consultation 9 </w:t>
      </w:r>
      <w:r>
        <w:rPr>
          <w:color w:val="231F20"/>
          <w:spacing w:val="2"/>
          <w:sz w:val="13"/>
        </w:rPr>
        <w:t xml:space="preserve">(Judicial </w:t>
      </w:r>
      <w:r>
        <w:rPr>
          <w:color w:val="231F20"/>
          <w:sz w:val="13"/>
        </w:rPr>
        <w:t>College of</w:t>
      </w:r>
      <w:r>
        <w:rPr>
          <w:color w:val="231F20"/>
          <w:spacing w:val="-1"/>
          <w:sz w:val="13"/>
        </w:rPr>
        <w:t xml:space="preserve"> </w:t>
      </w:r>
      <w:r>
        <w:rPr>
          <w:color w:val="231F20"/>
          <w:sz w:val="13"/>
        </w:rPr>
        <w:t>Victoria).</w:t>
      </w:r>
    </w:p>
    <w:p w14:paraId="4D6810A0" w14:textId="77777777" w:rsidR="00894070" w:rsidRDefault="009B7AFD">
      <w:pPr>
        <w:pStyle w:val="ListParagraph"/>
        <w:numPr>
          <w:ilvl w:val="0"/>
          <w:numId w:val="131"/>
        </w:numPr>
        <w:tabs>
          <w:tab w:val="left" w:pos="1800"/>
          <w:tab w:val="left" w:pos="1802"/>
        </w:tabs>
        <w:spacing w:line="160" w:lineRule="exact"/>
        <w:rPr>
          <w:sz w:val="13"/>
        </w:rPr>
      </w:pPr>
      <w:r>
        <w:rPr>
          <w:color w:val="231F20"/>
          <w:sz w:val="13"/>
        </w:rPr>
        <w:t>Ibid.</w:t>
      </w:r>
    </w:p>
    <w:p w14:paraId="2C529B0D" w14:textId="77777777" w:rsidR="00894070" w:rsidRDefault="009B7AFD">
      <w:pPr>
        <w:pStyle w:val="ListParagraph"/>
        <w:numPr>
          <w:ilvl w:val="0"/>
          <w:numId w:val="131"/>
        </w:numPr>
        <w:tabs>
          <w:tab w:val="left" w:pos="1800"/>
          <w:tab w:val="left" w:pos="1802"/>
        </w:tabs>
        <w:spacing w:before="6" w:line="213" w:lineRule="auto"/>
        <w:ind w:right="1200"/>
        <w:rPr>
          <w:sz w:val="13"/>
        </w:rPr>
      </w:pPr>
      <w:r>
        <w:rPr>
          <w:color w:val="231F20"/>
          <w:sz w:val="13"/>
        </w:rPr>
        <w:t xml:space="preserve">Ibid; Judicial College of Victoria, </w:t>
      </w:r>
      <w:r>
        <w:rPr>
          <w:i/>
          <w:color w:val="231F20"/>
          <w:sz w:val="13"/>
        </w:rPr>
        <w:t xml:space="preserve">Victims of Crime in the Courtroom: A Guide for Judicial Officers </w:t>
      </w:r>
      <w:r>
        <w:rPr>
          <w:color w:val="231F20"/>
          <w:sz w:val="13"/>
        </w:rPr>
        <w:t>(Online Guide, 2019</w:t>
      </w:r>
      <w:hyperlink r:id="rId134">
        <w:r>
          <w:rPr>
            <w:color w:val="231F20"/>
            <w:sz w:val="13"/>
          </w:rPr>
          <w:t>) &lt;https://www.</w:t>
        </w:r>
      </w:hyperlink>
      <w:hyperlink r:id="rId135">
        <w:r>
          <w:rPr>
            <w:color w:val="231F20"/>
            <w:sz w:val="13"/>
          </w:rPr>
          <w:t xml:space="preserve"> judicialcollege.vic.edu.au/resources/victims-crime-courtroom</w:t>
        </w:r>
      </w:hyperlink>
      <w:r>
        <w:rPr>
          <w:color w:val="231F20"/>
          <w:sz w:val="13"/>
        </w:rPr>
        <w:t>&gt;.</w:t>
      </w:r>
    </w:p>
    <w:p w14:paraId="7812FBCA" w14:textId="77777777" w:rsidR="00894070" w:rsidRDefault="009F6793">
      <w:pPr>
        <w:pStyle w:val="ListParagraph"/>
        <w:numPr>
          <w:ilvl w:val="0"/>
          <w:numId w:val="131"/>
        </w:numPr>
        <w:tabs>
          <w:tab w:val="left" w:pos="1800"/>
          <w:tab w:val="left" w:pos="1802"/>
        </w:tabs>
        <w:spacing w:line="153" w:lineRule="exact"/>
        <w:rPr>
          <w:sz w:val="13"/>
        </w:rPr>
      </w:pPr>
      <w:r>
        <w:pict w14:anchorId="644B3195">
          <v:shape id="_x0000_s1452" type="#_x0000_t202" style="position:absolute;left:0;text-align:left;margin-left:36pt;margin-top:3.35pt;width:13.3pt;height:14.1pt;z-index:251648000;mso-position-horizontal-relative:page" filled="f" stroked="f">
            <v:textbox inset="0,0,0,0">
              <w:txbxContent>
                <w:p w14:paraId="5D535708" w14:textId="77777777" w:rsidR="00894070" w:rsidRDefault="009B7AFD">
                  <w:pPr>
                    <w:spacing w:line="282" w:lineRule="exact"/>
                    <w:rPr>
                      <w:b/>
                      <w:sz w:val="24"/>
                    </w:rPr>
                  </w:pPr>
                  <w:r>
                    <w:rPr>
                      <w:b/>
                      <w:color w:val="EA5B50"/>
                      <w:spacing w:val="-3"/>
                      <w:sz w:val="24"/>
                    </w:rPr>
                    <w:t>72</w:t>
                  </w:r>
                </w:p>
              </w:txbxContent>
            </v:textbox>
            <w10:wrap anchorx="page"/>
          </v:shape>
        </w:pict>
      </w:r>
      <w:r w:rsidR="009B7AFD">
        <w:rPr>
          <w:color w:val="231F20"/>
          <w:sz w:val="13"/>
        </w:rPr>
        <w:t xml:space="preserve">Consultation 34 (Magistrates’ </w:t>
      </w:r>
      <w:r w:rsidR="009B7AFD">
        <w:rPr>
          <w:color w:val="231F20"/>
          <w:spacing w:val="2"/>
          <w:sz w:val="13"/>
        </w:rPr>
        <w:t xml:space="preserve">Court </w:t>
      </w:r>
      <w:r w:rsidR="009B7AFD">
        <w:rPr>
          <w:color w:val="231F20"/>
          <w:sz w:val="13"/>
        </w:rPr>
        <w:t>of Victoria (No 2)).</w:t>
      </w:r>
    </w:p>
    <w:p w14:paraId="0B526BD2" w14:textId="77777777" w:rsidR="00894070" w:rsidRDefault="009B7AFD">
      <w:pPr>
        <w:pStyle w:val="ListParagraph"/>
        <w:numPr>
          <w:ilvl w:val="0"/>
          <w:numId w:val="131"/>
        </w:numPr>
        <w:tabs>
          <w:tab w:val="left" w:pos="1801"/>
          <w:tab w:val="left" w:pos="1802"/>
        </w:tabs>
        <w:spacing w:line="170" w:lineRule="exact"/>
        <w:rPr>
          <w:sz w:val="13"/>
        </w:rPr>
      </w:pPr>
      <w:r>
        <w:rPr>
          <w:color w:val="231F20"/>
          <w:sz w:val="13"/>
        </w:rPr>
        <w:t>Ibid.</w:t>
      </w:r>
    </w:p>
    <w:p w14:paraId="73FF1F71" w14:textId="77777777" w:rsidR="00894070" w:rsidRDefault="00894070">
      <w:pPr>
        <w:spacing w:line="170" w:lineRule="exact"/>
        <w:rPr>
          <w:sz w:val="13"/>
        </w:rPr>
        <w:sectPr w:rsidR="00894070">
          <w:pgSz w:w="11910" w:h="16840"/>
          <w:pgMar w:top="860" w:right="420" w:bottom="280" w:left="580" w:header="567" w:footer="0" w:gutter="0"/>
          <w:cols w:space="720"/>
        </w:sectPr>
      </w:pPr>
    </w:p>
    <w:p w14:paraId="1D662F2F" w14:textId="77777777" w:rsidR="00894070" w:rsidRDefault="00894070">
      <w:pPr>
        <w:pStyle w:val="BodyText"/>
      </w:pPr>
    </w:p>
    <w:p w14:paraId="742CDEBC" w14:textId="77777777" w:rsidR="00894070" w:rsidRDefault="00894070">
      <w:pPr>
        <w:pStyle w:val="BodyText"/>
      </w:pPr>
    </w:p>
    <w:p w14:paraId="7869C921" w14:textId="77777777" w:rsidR="00894070" w:rsidRDefault="00894070">
      <w:pPr>
        <w:pStyle w:val="BodyText"/>
      </w:pPr>
    </w:p>
    <w:p w14:paraId="0D55FA7E" w14:textId="77777777" w:rsidR="00894070" w:rsidRDefault="00894070">
      <w:pPr>
        <w:pStyle w:val="BodyText"/>
        <w:spacing w:before="6"/>
        <w:rPr>
          <w:sz w:val="14"/>
        </w:rPr>
      </w:pPr>
    </w:p>
    <w:p w14:paraId="36775EDC" w14:textId="77777777" w:rsidR="00894070" w:rsidRDefault="009B7AFD">
      <w:pPr>
        <w:pStyle w:val="ListParagraph"/>
        <w:numPr>
          <w:ilvl w:val="1"/>
          <w:numId w:val="177"/>
        </w:numPr>
        <w:tabs>
          <w:tab w:val="left" w:pos="1801"/>
          <w:tab w:val="left" w:pos="1802"/>
        </w:tabs>
        <w:spacing w:before="90" w:line="206" w:lineRule="auto"/>
        <w:ind w:right="1195"/>
        <w:rPr>
          <w:sz w:val="11"/>
        </w:rPr>
      </w:pPr>
      <w:r>
        <w:rPr>
          <w:color w:val="231F20"/>
          <w:spacing w:val="-6"/>
          <w:sz w:val="20"/>
        </w:rPr>
        <w:t xml:space="preserve">We </w:t>
      </w:r>
      <w:r>
        <w:rPr>
          <w:color w:val="231F20"/>
          <w:sz w:val="20"/>
        </w:rPr>
        <w:t xml:space="preserve">heard, </w:t>
      </w:r>
      <w:r>
        <w:rPr>
          <w:color w:val="231F20"/>
          <w:spacing w:val="-5"/>
          <w:sz w:val="20"/>
        </w:rPr>
        <w:t xml:space="preserve">however, </w:t>
      </w:r>
      <w:r>
        <w:rPr>
          <w:color w:val="231F20"/>
          <w:sz w:val="20"/>
        </w:rPr>
        <w:t xml:space="preserve">that the non-specialist approach </w:t>
      </w:r>
      <w:r>
        <w:rPr>
          <w:color w:val="231F20"/>
          <w:spacing w:val="-3"/>
          <w:sz w:val="20"/>
        </w:rPr>
        <w:t xml:space="preserve">for </w:t>
      </w:r>
      <w:r>
        <w:rPr>
          <w:color w:val="231F20"/>
          <w:sz w:val="20"/>
        </w:rPr>
        <w:t>non-family violence stalking makes</w:t>
      </w:r>
      <w:r>
        <w:rPr>
          <w:color w:val="231F20"/>
          <w:spacing w:val="-14"/>
          <w:sz w:val="20"/>
        </w:rPr>
        <w:t xml:space="preserve"> </w:t>
      </w:r>
      <w:r>
        <w:rPr>
          <w:color w:val="231F20"/>
          <w:sz w:val="20"/>
        </w:rPr>
        <w:t>it</w:t>
      </w:r>
      <w:r>
        <w:rPr>
          <w:color w:val="231F20"/>
          <w:spacing w:val="-13"/>
          <w:sz w:val="20"/>
        </w:rPr>
        <w:t xml:space="preserve"> </w:t>
      </w:r>
      <w:r>
        <w:rPr>
          <w:color w:val="231F20"/>
          <w:sz w:val="20"/>
        </w:rPr>
        <w:t>difficult</w:t>
      </w:r>
      <w:r>
        <w:rPr>
          <w:color w:val="231F20"/>
          <w:spacing w:val="-13"/>
          <w:sz w:val="20"/>
        </w:rPr>
        <w:t xml:space="preserve"> </w:t>
      </w:r>
      <w:r>
        <w:rPr>
          <w:color w:val="231F20"/>
          <w:sz w:val="20"/>
        </w:rPr>
        <w:t>to</w:t>
      </w:r>
      <w:r>
        <w:rPr>
          <w:color w:val="231F20"/>
          <w:spacing w:val="-14"/>
          <w:sz w:val="20"/>
        </w:rPr>
        <w:t xml:space="preserve"> </w:t>
      </w:r>
      <w:r>
        <w:rPr>
          <w:color w:val="231F20"/>
          <w:sz w:val="20"/>
        </w:rPr>
        <w:t>identify</w:t>
      </w:r>
      <w:r>
        <w:rPr>
          <w:color w:val="231F20"/>
          <w:spacing w:val="-13"/>
          <w:sz w:val="20"/>
        </w:rPr>
        <w:t xml:space="preserve"> </w:t>
      </w:r>
      <w:r>
        <w:rPr>
          <w:color w:val="231F20"/>
          <w:sz w:val="20"/>
        </w:rPr>
        <w:t>judicial</w:t>
      </w:r>
      <w:r>
        <w:rPr>
          <w:color w:val="231F20"/>
          <w:spacing w:val="-13"/>
          <w:sz w:val="20"/>
        </w:rPr>
        <w:t xml:space="preserve"> </w:t>
      </w:r>
      <w:r>
        <w:rPr>
          <w:color w:val="231F20"/>
          <w:sz w:val="20"/>
        </w:rPr>
        <w:t>officers</w:t>
      </w:r>
      <w:r>
        <w:rPr>
          <w:color w:val="231F20"/>
          <w:spacing w:val="-13"/>
          <w:sz w:val="20"/>
        </w:rPr>
        <w:t xml:space="preserve"> </w:t>
      </w:r>
      <w:r>
        <w:rPr>
          <w:color w:val="231F20"/>
          <w:sz w:val="20"/>
        </w:rPr>
        <w:t>who</w:t>
      </w:r>
      <w:r>
        <w:rPr>
          <w:color w:val="231F20"/>
          <w:spacing w:val="-14"/>
          <w:sz w:val="20"/>
        </w:rPr>
        <w:t xml:space="preserve"> </w:t>
      </w:r>
      <w:r>
        <w:rPr>
          <w:color w:val="231F20"/>
          <w:sz w:val="20"/>
        </w:rPr>
        <w:t>come</w:t>
      </w:r>
      <w:r>
        <w:rPr>
          <w:color w:val="231F20"/>
          <w:spacing w:val="-13"/>
          <w:sz w:val="20"/>
        </w:rPr>
        <w:t xml:space="preserve"> </w:t>
      </w:r>
      <w:r>
        <w:rPr>
          <w:color w:val="231F20"/>
          <w:spacing w:val="-3"/>
          <w:sz w:val="20"/>
        </w:rPr>
        <w:t>across</w:t>
      </w:r>
      <w:r>
        <w:rPr>
          <w:color w:val="231F20"/>
          <w:spacing w:val="-13"/>
          <w:sz w:val="20"/>
        </w:rPr>
        <w:t xml:space="preserve"> </w:t>
      </w:r>
      <w:r>
        <w:rPr>
          <w:color w:val="231F20"/>
          <w:sz w:val="20"/>
        </w:rPr>
        <w:t>stalking</w:t>
      </w:r>
      <w:r>
        <w:rPr>
          <w:color w:val="231F20"/>
          <w:spacing w:val="-14"/>
          <w:sz w:val="20"/>
        </w:rPr>
        <w:t xml:space="preserve"> </w:t>
      </w:r>
      <w:r>
        <w:rPr>
          <w:color w:val="231F20"/>
          <w:sz w:val="20"/>
        </w:rPr>
        <w:t>matters.</w:t>
      </w:r>
      <w:r>
        <w:rPr>
          <w:color w:val="231F20"/>
          <w:spacing w:val="-13"/>
          <w:sz w:val="20"/>
        </w:rPr>
        <w:t xml:space="preserve"> </w:t>
      </w:r>
      <w:r>
        <w:rPr>
          <w:color w:val="231F20"/>
          <w:sz w:val="20"/>
        </w:rPr>
        <w:t>It</w:t>
      </w:r>
      <w:r>
        <w:rPr>
          <w:color w:val="231F20"/>
          <w:spacing w:val="-13"/>
          <w:sz w:val="20"/>
        </w:rPr>
        <w:t xml:space="preserve"> </w:t>
      </w:r>
      <w:r>
        <w:rPr>
          <w:color w:val="231F20"/>
          <w:spacing w:val="-3"/>
          <w:sz w:val="20"/>
        </w:rPr>
        <w:t>may</w:t>
      </w:r>
      <w:r>
        <w:rPr>
          <w:color w:val="231F20"/>
          <w:spacing w:val="-13"/>
          <w:sz w:val="20"/>
        </w:rPr>
        <w:t xml:space="preserve"> </w:t>
      </w:r>
      <w:r>
        <w:rPr>
          <w:color w:val="231F20"/>
          <w:sz w:val="20"/>
        </w:rPr>
        <w:t xml:space="preserve">be difficult to encourage judicial officers who need more targeted education and training to participate. </w:t>
      </w:r>
      <w:proofErr w:type="gramStart"/>
      <w:r>
        <w:rPr>
          <w:color w:val="231F20"/>
          <w:sz w:val="20"/>
        </w:rPr>
        <w:t xml:space="preserve">In </w:t>
      </w:r>
      <w:r>
        <w:rPr>
          <w:color w:val="231F20"/>
          <w:spacing w:val="-4"/>
          <w:sz w:val="20"/>
        </w:rPr>
        <w:t xml:space="preserve">reality, </w:t>
      </w:r>
      <w:r>
        <w:rPr>
          <w:color w:val="231F20"/>
          <w:sz w:val="20"/>
        </w:rPr>
        <w:t>it</w:t>
      </w:r>
      <w:proofErr w:type="gramEnd"/>
      <w:r>
        <w:rPr>
          <w:color w:val="231F20"/>
          <w:sz w:val="20"/>
        </w:rPr>
        <w:t xml:space="preserve"> might be </w:t>
      </w:r>
      <w:r>
        <w:rPr>
          <w:color w:val="231F20"/>
          <w:spacing w:val="-3"/>
          <w:sz w:val="20"/>
        </w:rPr>
        <w:t xml:space="preserve">several </w:t>
      </w:r>
      <w:r>
        <w:rPr>
          <w:color w:val="231F20"/>
          <w:sz w:val="20"/>
        </w:rPr>
        <w:t xml:space="preserve">years </w:t>
      </w:r>
      <w:r>
        <w:rPr>
          <w:color w:val="231F20"/>
          <w:spacing w:val="-3"/>
          <w:sz w:val="20"/>
        </w:rPr>
        <w:t xml:space="preserve">before </w:t>
      </w:r>
      <w:r>
        <w:rPr>
          <w:color w:val="231F20"/>
          <w:sz w:val="20"/>
        </w:rPr>
        <w:t xml:space="preserve">they come </w:t>
      </w:r>
      <w:r>
        <w:rPr>
          <w:color w:val="231F20"/>
          <w:spacing w:val="-3"/>
          <w:sz w:val="20"/>
        </w:rPr>
        <w:t xml:space="preserve">across </w:t>
      </w:r>
      <w:r>
        <w:rPr>
          <w:color w:val="231F20"/>
          <w:sz w:val="20"/>
        </w:rPr>
        <w:t>a stalking offence.</w:t>
      </w:r>
      <w:r>
        <w:rPr>
          <w:color w:val="231F20"/>
          <w:position w:val="7"/>
          <w:sz w:val="11"/>
        </w:rPr>
        <w:t>133</w:t>
      </w:r>
    </w:p>
    <w:p w14:paraId="1C7EE269" w14:textId="77777777" w:rsidR="00894070" w:rsidRDefault="009B7AFD">
      <w:pPr>
        <w:pStyle w:val="ListParagraph"/>
        <w:numPr>
          <w:ilvl w:val="1"/>
          <w:numId w:val="177"/>
        </w:numPr>
        <w:tabs>
          <w:tab w:val="left" w:pos="1801"/>
          <w:tab w:val="left" w:pos="1802"/>
        </w:tabs>
        <w:spacing w:before="126" w:line="206" w:lineRule="auto"/>
        <w:ind w:right="1403"/>
        <w:rPr>
          <w:sz w:val="11"/>
        </w:rPr>
      </w:pPr>
      <w:r>
        <w:rPr>
          <w:color w:val="231F20"/>
          <w:sz w:val="20"/>
        </w:rPr>
        <w:t>Our</w:t>
      </w:r>
      <w:r>
        <w:rPr>
          <w:color w:val="231F20"/>
          <w:spacing w:val="-10"/>
          <w:sz w:val="20"/>
        </w:rPr>
        <w:t xml:space="preserve"> </w:t>
      </w:r>
      <w:r>
        <w:rPr>
          <w:color w:val="231F20"/>
          <w:sz w:val="20"/>
        </w:rPr>
        <w:t>recommendations</w:t>
      </w:r>
      <w:r>
        <w:rPr>
          <w:color w:val="231F20"/>
          <w:spacing w:val="-10"/>
          <w:sz w:val="20"/>
        </w:rPr>
        <w:t xml:space="preserve"> </w:t>
      </w:r>
      <w:r>
        <w:rPr>
          <w:color w:val="231F20"/>
          <w:sz w:val="20"/>
        </w:rPr>
        <w:t>in</w:t>
      </w:r>
      <w:r>
        <w:rPr>
          <w:color w:val="231F20"/>
          <w:spacing w:val="-9"/>
          <w:sz w:val="20"/>
        </w:rPr>
        <w:t xml:space="preserve"> </w:t>
      </w:r>
      <w:r>
        <w:rPr>
          <w:color w:val="231F20"/>
          <w:spacing w:val="-3"/>
          <w:sz w:val="20"/>
        </w:rPr>
        <w:t>Chapter</w:t>
      </w:r>
      <w:r>
        <w:rPr>
          <w:color w:val="231F20"/>
          <w:spacing w:val="-10"/>
          <w:sz w:val="20"/>
        </w:rPr>
        <w:t xml:space="preserve"> </w:t>
      </w:r>
      <w:r>
        <w:rPr>
          <w:color w:val="231F20"/>
          <w:sz w:val="20"/>
        </w:rPr>
        <w:t>6,</w:t>
      </w:r>
      <w:r>
        <w:rPr>
          <w:color w:val="231F20"/>
          <w:spacing w:val="-9"/>
          <w:sz w:val="20"/>
        </w:rPr>
        <w:t xml:space="preserve"> </w:t>
      </w:r>
      <w:r>
        <w:rPr>
          <w:color w:val="231F20"/>
          <w:sz w:val="20"/>
        </w:rPr>
        <w:t>which</w:t>
      </w:r>
      <w:r>
        <w:rPr>
          <w:color w:val="231F20"/>
          <w:spacing w:val="-10"/>
          <w:sz w:val="20"/>
        </w:rPr>
        <w:t xml:space="preserve"> </w:t>
      </w:r>
      <w:r>
        <w:rPr>
          <w:color w:val="231F20"/>
          <w:sz w:val="20"/>
        </w:rPr>
        <w:t>call</w:t>
      </w:r>
      <w:r>
        <w:rPr>
          <w:color w:val="231F20"/>
          <w:spacing w:val="-9"/>
          <w:sz w:val="20"/>
        </w:rPr>
        <w:t xml:space="preserve"> </w:t>
      </w:r>
      <w:r>
        <w:rPr>
          <w:color w:val="231F20"/>
          <w:spacing w:val="-3"/>
          <w:sz w:val="20"/>
        </w:rPr>
        <w:t>for</w:t>
      </w:r>
      <w:r>
        <w:rPr>
          <w:color w:val="231F20"/>
          <w:spacing w:val="-10"/>
          <w:sz w:val="20"/>
        </w:rPr>
        <w:t xml:space="preserve"> </w:t>
      </w:r>
      <w:r>
        <w:rPr>
          <w:color w:val="231F20"/>
          <w:sz w:val="20"/>
        </w:rPr>
        <w:t>a</w:t>
      </w:r>
      <w:r>
        <w:rPr>
          <w:color w:val="231F20"/>
          <w:spacing w:val="-9"/>
          <w:sz w:val="20"/>
        </w:rPr>
        <w:t xml:space="preserve"> </w:t>
      </w:r>
      <w:r>
        <w:rPr>
          <w:color w:val="231F20"/>
          <w:sz w:val="20"/>
        </w:rPr>
        <w:t>specialised</w:t>
      </w:r>
      <w:r>
        <w:rPr>
          <w:color w:val="231F20"/>
          <w:spacing w:val="-10"/>
          <w:sz w:val="20"/>
        </w:rPr>
        <w:t xml:space="preserve"> </w:t>
      </w:r>
      <w:r>
        <w:rPr>
          <w:color w:val="231F20"/>
          <w:sz w:val="20"/>
        </w:rPr>
        <w:t>approach</w:t>
      </w:r>
      <w:r>
        <w:rPr>
          <w:color w:val="231F20"/>
          <w:spacing w:val="-9"/>
          <w:sz w:val="20"/>
        </w:rPr>
        <w:t xml:space="preserve"> </w:t>
      </w:r>
      <w:r>
        <w:rPr>
          <w:color w:val="231F20"/>
          <w:sz w:val="20"/>
        </w:rPr>
        <w:t>to</w:t>
      </w:r>
      <w:r>
        <w:rPr>
          <w:color w:val="231F20"/>
          <w:spacing w:val="-10"/>
          <w:sz w:val="20"/>
        </w:rPr>
        <w:t xml:space="preserve"> </w:t>
      </w:r>
      <w:r>
        <w:rPr>
          <w:color w:val="231F20"/>
          <w:sz w:val="20"/>
        </w:rPr>
        <w:t xml:space="preserve">stalking, could help address this issue, at least in relation to the PSIO system. The Judicial College of Victoria suggested that a target group </w:t>
      </w:r>
      <w:r>
        <w:rPr>
          <w:color w:val="231F20"/>
          <w:spacing w:val="-3"/>
          <w:sz w:val="20"/>
        </w:rPr>
        <w:t xml:space="preserve">for </w:t>
      </w:r>
      <w:r>
        <w:rPr>
          <w:color w:val="231F20"/>
          <w:sz w:val="20"/>
        </w:rPr>
        <w:t>stalking training could be identified</w:t>
      </w:r>
      <w:r>
        <w:rPr>
          <w:color w:val="231F20"/>
          <w:spacing w:val="-11"/>
          <w:sz w:val="20"/>
        </w:rPr>
        <w:t xml:space="preserve"> </w:t>
      </w:r>
      <w:r>
        <w:rPr>
          <w:color w:val="231F20"/>
          <w:sz w:val="20"/>
        </w:rPr>
        <w:t>based</w:t>
      </w:r>
      <w:r>
        <w:rPr>
          <w:color w:val="231F20"/>
          <w:spacing w:val="-10"/>
          <w:sz w:val="20"/>
        </w:rPr>
        <w:t xml:space="preserve"> </w:t>
      </w:r>
      <w:r>
        <w:rPr>
          <w:color w:val="231F20"/>
          <w:sz w:val="20"/>
        </w:rPr>
        <w:t>on</w:t>
      </w:r>
      <w:r>
        <w:rPr>
          <w:color w:val="231F20"/>
          <w:spacing w:val="-11"/>
          <w:sz w:val="20"/>
        </w:rPr>
        <w:t xml:space="preserve"> </w:t>
      </w:r>
      <w:r>
        <w:rPr>
          <w:color w:val="231F20"/>
          <w:sz w:val="20"/>
        </w:rPr>
        <w:t>judicial</w:t>
      </w:r>
      <w:r>
        <w:rPr>
          <w:color w:val="231F20"/>
          <w:spacing w:val="-10"/>
          <w:sz w:val="20"/>
        </w:rPr>
        <w:t xml:space="preserve"> </w:t>
      </w:r>
      <w:r>
        <w:rPr>
          <w:color w:val="231F20"/>
          <w:sz w:val="20"/>
        </w:rPr>
        <w:t>officers</w:t>
      </w:r>
      <w:r>
        <w:rPr>
          <w:color w:val="231F20"/>
          <w:spacing w:val="-10"/>
          <w:sz w:val="20"/>
        </w:rPr>
        <w:t xml:space="preserve"> </w:t>
      </w:r>
      <w:r>
        <w:rPr>
          <w:color w:val="231F20"/>
          <w:sz w:val="20"/>
        </w:rPr>
        <w:t>who</w:t>
      </w:r>
      <w:r>
        <w:rPr>
          <w:color w:val="231F20"/>
          <w:spacing w:val="-11"/>
          <w:sz w:val="20"/>
        </w:rPr>
        <w:t xml:space="preserve"> </w:t>
      </w:r>
      <w:r>
        <w:rPr>
          <w:color w:val="231F20"/>
          <w:spacing w:val="-4"/>
          <w:sz w:val="20"/>
        </w:rPr>
        <w:t>have</w:t>
      </w:r>
      <w:r>
        <w:rPr>
          <w:color w:val="231F20"/>
          <w:spacing w:val="-10"/>
          <w:sz w:val="20"/>
        </w:rPr>
        <w:t xml:space="preserve"> </w:t>
      </w:r>
      <w:r>
        <w:rPr>
          <w:color w:val="231F20"/>
          <w:sz w:val="20"/>
        </w:rPr>
        <w:t>the</w:t>
      </w:r>
      <w:r>
        <w:rPr>
          <w:color w:val="231F20"/>
          <w:spacing w:val="-10"/>
          <w:sz w:val="20"/>
        </w:rPr>
        <w:t xml:space="preserve"> </w:t>
      </w:r>
      <w:r>
        <w:rPr>
          <w:color w:val="231F20"/>
          <w:sz w:val="20"/>
        </w:rPr>
        <w:t>most</w:t>
      </w:r>
      <w:r>
        <w:rPr>
          <w:color w:val="231F20"/>
          <w:spacing w:val="-11"/>
          <w:sz w:val="20"/>
        </w:rPr>
        <w:t xml:space="preserve"> </w:t>
      </w:r>
      <w:r>
        <w:rPr>
          <w:color w:val="231F20"/>
          <w:sz w:val="20"/>
        </w:rPr>
        <w:t>contact</w:t>
      </w:r>
      <w:r>
        <w:rPr>
          <w:color w:val="231F20"/>
          <w:spacing w:val="-10"/>
          <w:sz w:val="20"/>
        </w:rPr>
        <w:t xml:space="preserve"> </w:t>
      </w:r>
      <w:r>
        <w:rPr>
          <w:color w:val="231F20"/>
          <w:sz w:val="20"/>
        </w:rPr>
        <w:t>with</w:t>
      </w:r>
      <w:r>
        <w:rPr>
          <w:color w:val="231F20"/>
          <w:spacing w:val="-10"/>
          <w:sz w:val="20"/>
        </w:rPr>
        <w:t xml:space="preserve"> </w:t>
      </w:r>
      <w:r>
        <w:rPr>
          <w:color w:val="231F20"/>
          <w:sz w:val="20"/>
        </w:rPr>
        <w:t>PSIO</w:t>
      </w:r>
      <w:r>
        <w:rPr>
          <w:color w:val="231F20"/>
          <w:spacing w:val="-11"/>
          <w:sz w:val="20"/>
        </w:rPr>
        <w:t xml:space="preserve"> </w:t>
      </w:r>
      <w:r>
        <w:rPr>
          <w:color w:val="231F20"/>
          <w:sz w:val="20"/>
        </w:rPr>
        <w:t>matters.</w:t>
      </w:r>
      <w:r>
        <w:rPr>
          <w:color w:val="231F20"/>
          <w:position w:val="7"/>
          <w:sz w:val="11"/>
        </w:rPr>
        <w:t>134</w:t>
      </w:r>
    </w:p>
    <w:p w14:paraId="4AC08A5F" w14:textId="77777777" w:rsidR="00894070" w:rsidRDefault="009B7AFD">
      <w:pPr>
        <w:pStyle w:val="ListParagraph"/>
        <w:numPr>
          <w:ilvl w:val="1"/>
          <w:numId w:val="177"/>
        </w:numPr>
        <w:tabs>
          <w:tab w:val="left" w:pos="1801"/>
          <w:tab w:val="left" w:pos="1802"/>
        </w:tabs>
        <w:spacing w:before="125" w:line="206" w:lineRule="auto"/>
        <w:ind w:right="1618"/>
        <w:rPr>
          <w:sz w:val="20"/>
        </w:rPr>
      </w:pPr>
      <w:r>
        <w:rPr>
          <w:color w:val="231F20"/>
          <w:sz w:val="20"/>
        </w:rPr>
        <w:t>As</w:t>
      </w:r>
      <w:r>
        <w:rPr>
          <w:color w:val="231F20"/>
          <w:spacing w:val="-11"/>
          <w:sz w:val="20"/>
        </w:rPr>
        <w:t xml:space="preserve"> </w:t>
      </w:r>
      <w:r>
        <w:rPr>
          <w:color w:val="231F20"/>
          <w:sz w:val="20"/>
        </w:rPr>
        <w:t>a</w:t>
      </w:r>
      <w:r>
        <w:rPr>
          <w:color w:val="231F20"/>
          <w:spacing w:val="-11"/>
          <w:sz w:val="20"/>
        </w:rPr>
        <w:t xml:space="preserve"> </w:t>
      </w:r>
      <w:r>
        <w:rPr>
          <w:color w:val="231F20"/>
          <w:sz w:val="20"/>
        </w:rPr>
        <w:t>general</w:t>
      </w:r>
      <w:r>
        <w:rPr>
          <w:color w:val="231F20"/>
          <w:spacing w:val="-11"/>
          <w:sz w:val="20"/>
        </w:rPr>
        <w:t xml:space="preserve"> </w:t>
      </w:r>
      <w:r>
        <w:rPr>
          <w:color w:val="231F20"/>
          <w:sz w:val="20"/>
        </w:rPr>
        <w:t>principle,</w:t>
      </w:r>
      <w:r>
        <w:rPr>
          <w:color w:val="231F20"/>
          <w:spacing w:val="-11"/>
          <w:sz w:val="20"/>
        </w:rPr>
        <w:t xml:space="preserve"> </w:t>
      </w:r>
      <w:r>
        <w:rPr>
          <w:color w:val="231F20"/>
          <w:sz w:val="20"/>
        </w:rPr>
        <w:t>education</w:t>
      </w:r>
      <w:r>
        <w:rPr>
          <w:color w:val="231F20"/>
          <w:spacing w:val="-11"/>
          <w:sz w:val="20"/>
        </w:rPr>
        <w:t xml:space="preserve"> </w:t>
      </w:r>
      <w:r>
        <w:rPr>
          <w:color w:val="231F20"/>
          <w:sz w:val="20"/>
        </w:rPr>
        <w:t>on</w:t>
      </w:r>
      <w:r>
        <w:rPr>
          <w:color w:val="231F20"/>
          <w:spacing w:val="-11"/>
          <w:sz w:val="20"/>
        </w:rPr>
        <w:t xml:space="preserve"> </w:t>
      </w:r>
      <w:r>
        <w:rPr>
          <w:color w:val="231F20"/>
          <w:sz w:val="20"/>
        </w:rPr>
        <w:t>stalking</w:t>
      </w:r>
      <w:r>
        <w:rPr>
          <w:color w:val="231F20"/>
          <w:spacing w:val="-11"/>
          <w:sz w:val="20"/>
        </w:rPr>
        <w:t xml:space="preserve"> </w:t>
      </w:r>
      <w:r>
        <w:rPr>
          <w:color w:val="231F20"/>
          <w:sz w:val="20"/>
        </w:rPr>
        <w:t>could</w:t>
      </w:r>
      <w:r>
        <w:rPr>
          <w:color w:val="231F20"/>
          <w:spacing w:val="-10"/>
          <w:sz w:val="20"/>
        </w:rPr>
        <w:t xml:space="preserve"> </w:t>
      </w:r>
      <w:r>
        <w:rPr>
          <w:color w:val="231F20"/>
          <w:sz w:val="20"/>
        </w:rPr>
        <w:t>be</w:t>
      </w:r>
      <w:r>
        <w:rPr>
          <w:color w:val="231F20"/>
          <w:spacing w:val="-11"/>
          <w:sz w:val="20"/>
        </w:rPr>
        <w:t xml:space="preserve"> </w:t>
      </w:r>
      <w:r>
        <w:rPr>
          <w:color w:val="231F20"/>
          <w:sz w:val="20"/>
        </w:rPr>
        <w:t>included</w:t>
      </w:r>
      <w:r>
        <w:rPr>
          <w:color w:val="231F20"/>
          <w:spacing w:val="-11"/>
          <w:sz w:val="20"/>
        </w:rPr>
        <w:t xml:space="preserve"> </w:t>
      </w:r>
      <w:r>
        <w:rPr>
          <w:color w:val="231F20"/>
          <w:sz w:val="20"/>
        </w:rPr>
        <w:t>in</w:t>
      </w:r>
      <w:r>
        <w:rPr>
          <w:color w:val="231F20"/>
          <w:spacing w:val="-11"/>
          <w:sz w:val="20"/>
        </w:rPr>
        <w:t xml:space="preserve"> </w:t>
      </w:r>
      <w:r>
        <w:rPr>
          <w:color w:val="231F20"/>
          <w:sz w:val="20"/>
        </w:rPr>
        <w:t>non-specialised programs</w:t>
      </w:r>
      <w:r>
        <w:rPr>
          <w:color w:val="231F20"/>
          <w:spacing w:val="-12"/>
          <w:sz w:val="20"/>
        </w:rPr>
        <w:t xml:space="preserve"> </w:t>
      </w:r>
      <w:r>
        <w:rPr>
          <w:color w:val="231F20"/>
          <w:sz w:val="20"/>
        </w:rPr>
        <w:t>and</w:t>
      </w:r>
      <w:r>
        <w:rPr>
          <w:color w:val="231F20"/>
          <w:spacing w:val="-11"/>
          <w:sz w:val="20"/>
        </w:rPr>
        <w:t xml:space="preserve"> </w:t>
      </w:r>
      <w:r>
        <w:rPr>
          <w:color w:val="231F20"/>
          <w:sz w:val="20"/>
        </w:rPr>
        <w:t>educational</w:t>
      </w:r>
      <w:r>
        <w:rPr>
          <w:color w:val="231F20"/>
          <w:spacing w:val="-11"/>
          <w:sz w:val="20"/>
        </w:rPr>
        <w:t xml:space="preserve"> </w:t>
      </w:r>
      <w:r>
        <w:rPr>
          <w:color w:val="231F20"/>
          <w:sz w:val="20"/>
        </w:rPr>
        <w:t>efforts.</w:t>
      </w:r>
      <w:r>
        <w:rPr>
          <w:color w:val="231F20"/>
          <w:spacing w:val="-11"/>
          <w:sz w:val="20"/>
        </w:rPr>
        <w:t xml:space="preserve"> </w:t>
      </w:r>
      <w:r>
        <w:rPr>
          <w:color w:val="231F20"/>
          <w:sz w:val="20"/>
        </w:rPr>
        <w:t>This</w:t>
      </w:r>
      <w:r>
        <w:rPr>
          <w:color w:val="231F20"/>
          <w:spacing w:val="-11"/>
          <w:sz w:val="20"/>
        </w:rPr>
        <w:t xml:space="preserve"> </w:t>
      </w:r>
      <w:r>
        <w:rPr>
          <w:color w:val="231F20"/>
          <w:spacing w:val="-3"/>
          <w:sz w:val="20"/>
        </w:rPr>
        <w:t>would</w:t>
      </w:r>
      <w:r>
        <w:rPr>
          <w:color w:val="231F20"/>
          <w:spacing w:val="-11"/>
          <w:sz w:val="20"/>
        </w:rPr>
        <w:t xml:space="preserve"> </w:t>
      </w:r>
      <w:r>
        <w:rPr>
          <w:color w:val="231F20"/>
          <w:sz w:val="20"/>
        </w:rPr>
        <w:t>bring</w:t>
      </w:r>
      <w:r>
        <w:rPr>
          <w:color w:val="231F20"/>
          <w:spacing w:val="-11"/>
          <w:sz w:val="20"/>
        </w:rPr>
        <w:t xml:space="preserve"> </w:t>
      </w:r>
      <w:r>
        <w:rPr>
          <w:color w:val="231F20"/>
          <w:sz w:val="20"/>
        </w:rPr>
        <w:t>knowledge</w:t>
      </w:r>
      <w:r>
        <w:rPr>
          <w:color w:val="231F20"/>
          <w:spacing w:val="-11"/>
          <w:sz w:val="20"/>
        </w:rPr>
        <w:t xml:space="preserve"> </w:t>
      </w:r>
      <w:r>
        <w:rPr>
          <w:color w:val="231F20"/>
          <w:sz w:val="20"/>
        </w:rPr>
        <w:t>on</w:t>
      </w:r>
      <w:r>
        <w:rPr>
          <w:color w:val="231F20"/>
          <w:spacing w:val="-12"/>
          <w:sz w:val="20"/>
        </w:rPr>
        <w:t xml:space="preserve"> </w:t>
      </w:r>
      <w:r>
        <w:rPr>
          <w:color w:val="231F20"/>
          <w:sz w:val="20"/>
        </w:rPr>
        <w:t>stalking</w:t>
      </w:r>
      <w:r>
        <w:rPr>
          <w:color w:val="231F20"/>
          <w:spacing w:val="-11"/>
          <w:sz w:val="20"/>
        </w:rPr>
        <w:t xml:space="preserve"> </w:t>
      </w:r>
      <w:r>
        <w:rPr>
          <w:color w:val="231F20"/>
          <w:spacing w:val="-3"/>
          <w:sz w:val="20"/>
        </w:rPr>
        <w:t>into</w:t>
      </w:r>
      <w:r>
        <w:rPr>
          <w:color w:val="231F20"/>
          <w:spacing w:val="-11"/>
          <w:sz w:val="20"/>
        </w:rPr>
        <w:t xml:space="preserve"> </w:t>
      </w:r>
      <w:r>
        <w:rPr>
          <w:color w:val="231F20"/>
          <w:sz w:val="20"/>
        </w:rPr>
        <w:t>the mainstream</w:t>
      </w:r>
      <w:r>
        <w:rPr>
          <w:color w:val="231F20"/>
          <w:spacing w:val="-10"/>
          <w:sz w:val="20"/>
        </w:rPr>
        <w:t xml:space="preserve"> </w:t>
      </w:r>
      <w:r>
        <w:rPr>
          <w:color w:val="231F20"/>
          <w:sz w:val="20"/>
        </w:rPr>
        <w:t>and</w:t>
      </w:r>
      <w:r>
        <w:rPr>
          <w:color w:val="231F20"/>
          <w:spacing w:val="-9"/>
          <w:sz w:val="20"/>
        </w:rPr>
        <w:t xml:space="preserve"> </w:t>
      </w:r>
      <w:r>
        <w:rPr>
          <w:color w:val="231F20"/>
          <w:spacing w:val="-3"/>
          <w:sz w:val="20"/>
        </w:rPr>
        <w:t>would</w:t>
      </w:r>
      <w:r>
        <w:rPr>
          <w:color w:val="231F20"/>
          <w:spacing w:val="-9"/>
          <w:sz w:val="20"/>
        </w:rPr>
        <w:t xml:space="preserve"> </w:t>
      </w:r>
      <w:r>
        <w:rPr>
          <w:color w:val="231F20"/>
          <w:sz w:val="20"/>
        </w:rPr>
        <w:t>be</w:t>
      </w:r>
      <w:r>
        <w:rPr>
          <w:color w:val="231F20"/>
          <w:spacing w:val="-9"/>
          <w:sz w:val="20"/>
        </w:rPr>
        <w:t xml:space="preserve"> </w:t>
      </w:r>
      <w:r>
        <w:rPr>
          <w:color w:val="231F20"/>
          <w:sz w:val="20"/>
        </w:rPr>
        <w:t>more</w:t>
      </w:r>
      <w:r>
        <w:rPr>
          <w:color w:val="231F20"/>
          <w:spacing w:val="-9"/>
          <w:sz w:val="20"/>
        </w:rPr>
        <w:t xml:space="preserve"> </w:t>
      </w:r>
      <w:r>
        <w:rPr>
          <w:color w:val="231F20"/>
          <w:spacing w:val="-3"/>
          <w:sz w:val="20"/>
        </w:rPr>
        <w:t>resource</w:t>
      </w:r>
      <w:r>
        <w:rPr>
          <w:color w:val="231F20"/>
          <w:spacing w:val="-9"/>
          <w:sz w:val="20"/>
        </w:rPr>
        <w:t xml:space="preserve"> </w:t>
      </w:r>
      <w:r>
        <w:rPr>
          <w:color w:val="231F20"/>
          <w:sz w:val="20"/>
        </w:rPr>
        <w:t>efficient,</w:t>
      </w:r>
      <w:r>
        <w:rPr>
          <w:color w:val="231F20"/>
          <w:spacing w:val="-9"/>
          <w:sz w:val="20"/>
        </w:rPr>
        <w:t xml:space="preserve"> </w:t>
      </w:r>
      <w:r>
        <w:rPr>
          <w:color w:val="231F20"/>
          <w:spacing w:val="-3"/>
          <w:sz w:val="20"/>
        </w:rPr>
        <w:t>given</w:t>
      </w:r>
      <w:r>
        <w:rPr>
          <w:color w:val="231F20"/>
          <w:spacing w:val="-9"/>
          <w:sz w:val="20"/>
        </w:rPr>
        <w:t xml:space="preserve"> </w:t>
      </w:r>
      <w:r>
        <w:rPr>
          <w:color w:val="231F20"/>
          <w:sz w:val="20"/>
        </w:rPr>
        <w:t>the</w:t>
      </w:r>
      <w:r>
        <w:rPr>
          <w:color w:val="231F20"/>
          <w:spacing w:val="-9"/>
          <w:sz w:val="20"/>
        </w:rPr>
        <w:t xml:space="preserve"> </w:t>
      </w:r>
      <w:r>
        <w:rPr>
          <w:color w:val="231F20"/>
          <w:spacing w:val="-4"/>
          <w:sz w:val="20"/>
        </w:rPr>
        <w:t>low</w:t>
      </w:r>
      <w:r>
        <w:rPr>
          <w:color w:val="231F20"/>
          <w:spacing w:val="-9"/>
          <w:sz w:val="20"/>
        </w:rPr>
        <w:t xml:space="preserve"> </w:t>
      </w:r>
      <w:r>
        <w:rPr>
          <w:color w:val="231F20"/>
          <w:sz w:val="20"/>
        </w:rPr>
        <w:t>numbers</w:t>
      </w:r>
      <w:r>
        <w:rPr>
          <w:color w:val="231F20"/>
          <w:spacing w:val="-9"/>
          <w:sz w:val="20"/>
        </w:rPr>
        <w:t xml:space="preserve"> </w:t>
      </w:r>
      <w:r>
        <w:rPr>
          <w:color w:val="231F20"/>
          <w:sz w:val="20"/>
        </w:rPr>
        <w:t>of</w:t>
      </w:r>
      <w:r>
        <w:rPr>
          <w:color w:val="231F20"/>
          <w:spacing w:val="-9"/>
          <w:sz w:val="20"/>
        </w:rPr>
        <w:t xml:space="preserve"> </w:t>
      </w:r>
      <w:r>
        <w:rPr>
          <w:color w:val="231F20"/>
          <w:sz w:val="20"/>
        </w:rPr>
        <w:t xml:space="preserve">non- </w:t>
      </w:r>
      <w:r>
        <w:rPr>
          <w:color w:val="231F20"/>
          <w:spacing w:val="-3"/>
          <w:sz w:val="20"/>
        </w:rPr>
        <w:t>family</w:t>
      </w:r>
      <w:r>
        <w:rPr>
          <w:color w:val="231F20"/>
          <w:spacing w:val="-7"/>
          <w:sz w:val="20"/>
        </w:rPr>
        <w:t xml:space="preserve"> </w:t>
      </w:r>
      <w:r>
        <w:rPr>
          <w:color w:val="231F20"/>
          <w:sz w:val="20"/>
        </w:rPr>
        <w:t>violence</w:t>
      </w:r>
      <w:r>
        <w:rPr>
          <w:color w:val="231F20"/>
          <w:spacing w:val="-6"/>
          <w:sz w:val="20"/>
        </w:rPr>
        <w:t xml:space="preserve"> </w:t>
      </w:r>
      <w:r>
        <w:rPr>
          <w:color w:val="231F20"/>
          <w:sz w:val="20"/>
        </w:rPr>
        <w:t>stalking</w:t>
      </w:r>
      <w:r>
        <w:rPr>
          <w:color w:val="231F20"/>
          <w:spacing w:val="-7"/>
          <w:sz w:val="20"/>
        </w:rPr>
        <w:t xml:space="preserve"> </w:t>
      </w:r>
      <w:r>
        <w:rPr>
          <w:color w:val="231F20"/>
          <w:sz w:val="20"/>
        </w:rPr>
        <w:t>cases,</w:t>
      </w:r>
      <w:r>
        <w:rPr>
          <w:color w:val="231F20"/>
          <w:spacing w:val="-6"/>
          <w:sz w:val="20"/>
        </w:rPr>
        <w:t xml:space="preserve"> </w:t>
      </w:r>
      <w:r>
        <w:rPr>
          <w:color w:val="231F20"/>
          <w:sz w:val="20"/>
        </w:rPr>
        <w:t>especially</w:t>
      </w:r>
      <w:r>
        <w:rPr>
          <w:color w:val="231F20"/>
          <w:spacing w:val="-6"/>
          <w:sz w:val="20"/>
        </w:rPr>
        <w:t xml:space="preserve"> </w:t>
      </w:r>
      <w:r>
        <w:rPr>
          <w:color w:val="231F20"/>
          <w:sz w:val="20"/>
        </w:rPr>
        <w:t>in</w:t>
      </w:r>
      <w:r>
        <w:rPr>
          <w:color w:val="231F20"/>
          <w:spacing w:val="-7"/>
          <w:sz w:val="20"/>
        </w:rPr>
        <w:t xml:space="preserve"> </w:t>
      </w:r>
      <w:r>
        <w:rPr>
          <w:color w:val="231F20"/>
          <w:sz w:val="20"/>
        </w:rPr>
        <w:t>the</w:t>
      </w:r>
      <w:r>
        <w:rPr>
          <w:color w:val="231F20"/>
          <w:spacing w:val="-6"/>
          <w:sz w:val="20"/>
        </w:rPr>
        <w:t xml:space="preserve"> </w:t>
      </w:r>
      <w:r>
        <w:rPr>
          <w:color w:val="231F20"/>
          <w:sz w:val="20"/>
        </w:rPr>
        <w:t>criminal</w:t>
      </w:r>
      <w:r>
        <w:rPr>
          <w:color w:val="231F20"/>
          <w:spacing w:val="-6"/>
          <w:sz w:val="20"/>
        </w:rPr>
        <w:t xml:space="preserve"> </w:t>
      </w:r>
      <w:r>
        <w:rPr>
          <w:color w:val="231F20"/>
          <w:sz w:val="20"/>
        </w:rPr>
        <w:t>justice</w:t>
      </w:r>
      <w:r>
        <w:rPr>
          <w:color w:val="231F20"/>
          <w:spacing w:val="-7"/>
          <w:sz w:val="20"/>
        </w:rPr>
        <w:t xml:space="preserve"> </w:t>
      </w:r>
      <w:r>
        <w:rPr>
          <w:color w:val="231F20"/>
          <w:sz w:val="20"/>
        </w:rPr>
        <w:t>system.</w:t>
      </w:r>
    </w:p>
    <w:p w14:paraId="57892924" w14:textId="77777777" w:rsidR="00894070" w:rsidRDefault="009B7AFD">
      <w:pPr>
        <w:pStyle w:val="ListParagraph"/>
        <w:numPr>
          <w:ilvl w:val="1"/>
          <w:numId w:val="177"/>
        </w:numPr>
        <w:tabs>
          <w:tab w:val="left" w:pos="1801"/>
          <w:tab w:val="left" w:pos="1802"/>
        </w:tabs>
        <w:spacing w:before="125" w:line="206" w:lineRule="auto"/>
        <w:ind w:right="1194"/>
        <w:rPr>
          <w:sz w:val="20"/>
        </w:rPr>
      </w:pPr>
      <w:r>
        <w:rPr>
          <w:color w:val="231F20"/>
          <w:sz w:val="20"/>
        </w:rPr>
        <w:t xml:space="preserve">As most stalking matters </w:t>
      </w:r>
      <w:r>
        <w:rPr>
          <w:color w:val="231F20"/>
          <w:spacing w:val="-3"/>
          <w:sz w:val="20"/>
        </w:rPr>
        <w:t xml:space="preserve">are </w:t>
      </w:r>
      <w:r>
        <w:rPr>
          <w:color w:val="231F20"/>
          <w:sz w:val="20"/>
        </w:rPr>
        <w:t xml:space="preserve">in the PSIO </w:t>
      </w:r>
      <w:r>
        <w:rPr>
          <w:color w:val="231F20"/>
          <w:spacing w:val="-2"/>
          <w:sz w:val="20"/>
        </w:rPr>
        <w:t xml:space="preserve">system </w:t>
      </w:r>
      <w:r>
        <w:rPr>
          <w:color w:val="231F20"/>
          <w:sz w:val="20"/>
        </w:rPr>
        <w:t xml:space="preserve">and </w:t>
      </w:r>
      <w:r>
        <w:rPr>
          <w:color w:val="231F20"/>
          <w:spacing w:val="-3"/>
          <w:sz w:val="20"/>
        </w:rPr>
        <w:t xml:space="preserve">Magistrates’ </w:t>
      </w:r>
      <w:r>
        <w:rPr>
          <w:color w:val="231F20"/>
          <w:sz w:val="20"/>
        </w:rPr>
        <w:t xml:space="preserve">Court, </w:t>
      </w:r>
      <w:r>
        <w:rPr>
          <w:color w:val="231F20"/>
          <w:spacing w:val="-3"/>
          <w:sz w:val="20"/>
        </w:rPr>
        <w:t xml:space="preserve">we </w:t>
      </w:r>
      <w:r>
        <w:rPr>
          <w:color w:val="231F20"/>
          <w:sz w:val="20"/>
        </w:rPr>
        <w:t>suggest that</w:t>
      </w:r>
      <w:r>
        <w:rPr>
          <w:color w:val="231F20"/>
          <w:spacing w:val="-6"/>
          <w:sz w:val="20"/>
        </w:rPr>
        <w:t xml:space="preserve"> </w:t>
      </w:r>
      <w:r>
        <w:rPr>
          <w:color w:val="231F20"/>
          <w:spacing w:val="-3"/>
          <w:sz w:val="20"/>
        </w:rPr>
        <w:t>any</w:t>
      </w:r>
      <w:r>
        <w:rPr>
          <w:color w:val="231F20"/>
          <w:spacing w:val="-5"/>
          <w:sz w:val="20"/>
        </w:rPr>
        <w:t xml:space="preserve"> </w:t>
      </w:r>
      <w:r>
        <w:rPr>
          <w:color w:val="231F20"/>
          <w:sz w:val="20"/>
        </w:rPr>
        <w:t>education</w:t>
      </w:r>
      <w:r>
        <w:rPr>
          <w:color w:val="231F20"/>
          <w:spacing w:val="-5"/>
          <w:sz w:val="20"/>
        </w:rPr>
        <w:t xml:space="preserve"> </w:t>
      </w:r>
      <w:r>
        <w:rPr>
          <w:color w:val="231F20"/>
          <w:spacing w:val="-3"/>
          <w:sz w:val="20"/>
        </w:rPr>
        <w:t>initiatives</w:t>
      </w:r>
      <w:r>
        <w:rPr>
          <w:color w:val="231F20"/>
          <w:spacing w:val="-5"/>
          <w:sz w:val="20"/>
        </w:rPr>
        <w:t xml:space="preserve"> </w:t>
      </w:r>
      <w:r>
        <w:rPr>
          <w:color w:val="231F20"/>
          <w:spacing w:val="-3"/>
          <w:sz w:val="20"/>
        </w:rPr>
        <w:t>focus</w:t>
      </w:r>
      <w:r>
        <w:rPr>
          <w:color w:val="231F20"/>
          <w:spacing w:val="-6"/>
          <w:sz w:val="20"/>
        </w:rPr>
        <w:t xml:space="preserve"> </w:t>
      </w:r>
      <w:r>
        <w:rPr>
          <w:color w:val="231F20"/>
          <w:sz w:val="20"/>
        </w:rPr>
        <w:t>on</w:t>
      </w:r>
      <w:r>
        <w:rPr>
          <w:color w:val="231F20"/>
          <w:spacing w:val="-5"/>
          <w:sz w:val="20"/>
        </w:rPr>
        <w:t xml:space="preserve"> </w:t>
      </w:r>
      <w:r>
        <w:rPr>
          <w:color w:val="231F20"/>
          <w:sz w:val="20"/>
        </w:rPr>
        <w:t>these</w:t>
      </w:r>
      <w:r>
        <w:rPr>
          <w:color w:val="231F20"/>
          <w:spacing w:val="-5"/>
          <w:sz w:val="20"/>
        </w:rPr>
        <w:t xml:space="preserve"> </w:t>
      </w:r>
      <w:r>
        <w:rPr>
          <w:color w:val="231F20"/>
          <w:spacing w:val="-3"/>
          <w:sz w:val="20"/>
        </w:rPr>
        <w:t>avenues</w:t>
      </w:r>
      <w:r>
        <w:rPr>
          <w:color w:val="231F20"/>
          <w:spacing w:val="-5"/>
          <w:sz w:val="20"/>
        </w:rPr>
        <w:t xml:space="preserve"> </w:t>
      </w:r>
      <w:r>
        <w:rPr>
          <w:color w:val="231F20"/>
          <w:sz w:val="20"/>
        </w:rPr>
        <w:t>first,</w:t>
      </w:r>
      <w:r>
        <w:rPr>
          <w:color w:val="231F20"/>
          <w:spacing w:val="-6"/>
          <w:sz w:val="20"/>
        </w:rPr>
        <w:t xml:space="preserve"> </w:t>
      </w:r>
      <w:r>
        <w:rPr>
          <w:color w:val="231F20"/>
          <w:sz w:val="20"/>
        </w:rPr>
        <w:t>and</w:t>
      </w:r>
      <w:r>
        <w:rPr>
          <w:color w:val="231F20"/>
          <w:spacing w:val="-5"/>
          <w:sz w:val="20"/>
        </w:rPr>
        <w:t xml:space="preserve"> </w:t>
      </w:r>
      <w:r>
        <w:rPr>
          <w:color w:val="231F20"/>
          <w:sz w:val="20"/>
        </w:rPr>
        <w:t>on</w:t>
      </w:r>
      <w:r>
        <w:rPr>
          <w:color w:val="231F20"/>
          <w:spacing w:val="-5"/>
          <w:sz w:val="20"/>
        </w:rPr>
        <w:t xml:space="preserve"> </w:t>
      </w:r>
      <w:r>
        <w:rPr>
          <w:color w:val="231F20"/>
          <w:sz w:val="20"/>
        </w:rPr>
        <w:t>OPP</w:t>
      </w:r>
      <w:r>
        <w:rPr>
          <w:color w:val="231F20"/>
          <w:spacing w:val="-5"/>
          <w:sz w:val="20"/>
        </w:rPr>
        <w:t xml:space="preserve"> </w:t>
      </w:r>
      <w:r>
        <w:rPr>
          <w:color w:val="231F20"/>
          <w:spacing w:val="-3"/>
          <w:sz w:val="20"/>
        </w:rPr>
        <w:t>prosecutors</w:t>
      </w:r>
      <w:r>
        <w:rPr>
          <w:color w:val="231F20"/>
          <w:spacing w:val="-6"/>
          <w:sz w:val="20"/>
        </w:rPr>
        <w:t xml:space="preserve"> </w:t>
      </w:r>
      <w:r>
        <w:rPr>
          <w:color w:val="231F20"/>
          <w:sz w:val="20"/>
        </w:rPr>
        <w:t xml:space="preserve">who </w:t>
      </w:r>
      <w:r>
        <w:rPr>
          <w:color w:val="231F20"/>
          <w:spacing w:val="-3"/>
          <w:sz w:val="20"/>
        </w:rPr>
        <w:t xml:space="preserve">are </w:t>
      </w:r>
      <w:r>
        <w:rPr>
          <w:color w:val="231F20"/>
          <w:sz w:val="20"/>
        </w:rPr>
        <w:t xml:space="preserve">the </w:t>
      </w:r>
      <w:r>
        <w:rPr>
          <w:color w:val="231F20"/>
          <w:spacing w:val="-3"/>
          <w:sz w:val="20"/>
        </w:rPr>
        <w:t xml:space="preserve">gatekeepers for </w:t>
      </w:r>
      <w:r>
        <w:rPr>
          <w:color w:val="231F20"/>
          <w:sz w:val="20"/>
        </w:rPr>
        <w:t xml:space="preserve">stalking cases heard in the County Court. If prosecutions </w:t>
      </w:r>
      <w:r>
        <w:rPr>
          <w:color w:val="231F20"/>
          <w:spacing w:val="-3"/>
          <w:sz w:val="20"/>
        </w:rPr>
        <w:t xml:space="preserve">for </w:t>
      </w:r>
      <w:r>
        <w:rPr>
          <w:color w:val="231F20"/>
          <w:sz w:val="20"/>
        </w:rPr>
        <w:t xml:space="preserve">stalking offences </w:t>
      </w:r>
      <w:r>
        <w:rPr>
          <w:color w:val="231F20"/>
          <w:spacing w:val="-2"/>
          <w:sz w:val="20"/>
        </w:rPr>
        <w:t xml:space="preserve">increase, </w:t>
      </w:r>
      <w:r>
        <w:rPr>
          <w:color w:val="231F20"/>
          <w:sz w:val="20"/>
        </w:rPr>
        <w:t xml:space="preserve">it </w:t>
      </w:r>
      <w:r>
        <w:rPr>
          <w:color w:val="231F20"/>
          <w:spacing w:val="-3"/>
          <w:sz w:val="20"/>
        </w:rPr>
        <w:t xml:space="preserve">would </w:t>
      </w:r>
      <w:r>
        <w:rPr>
          <w:color w:val="231F20"/>
          <w:sz w:val="20"/>
        </w:rPr>
        <w:t>be sensible to expand this education to judges in the County</w:t>
      </w:r>
      <w:r>
        <w:rPr>
          <w:color w:val="231F20"/>
          <w:spacing w:val="-9"/>
          <w:sz w:val="20"/>
        </w:rPr>
        <w:t xml:space="preserve"> </w:t>
      </w:r>
      <w:r>
        <w:rPr>
          <w:color w:val="231F20"/>
          <w:sz w:val="20"/>
        </w:rPr>
        <w:t>Court.</w:t>
      </w:r>
    </w:p>
    <w:p w14:paraId="43FC209F" w14:textId="77777777" w:rsidR="00894070" w:rsidRDefault="009B7AFD">
      <w:pPr>
        <w:pStyle w:val="ListParagraph"/>
        <w:numPr>
          <w:ilvl w:val="1"/>
          <w:numId w:val="177"/>
        </w:numPr>
        <w:tabs>
          <w:tab w:val="left" w:pos="1801"/>
          <w:tab w:val="left" w:pos="1802"/>
        </w:tabs>
        <w:spacing w:before="94" w:line="259" w:lineRule="exact"/>
        <w:rPr>
          <w:sz w:val="20"/>
        </w:rPr>
      </w:pPr>
      <w:r>
        <w:rPr>
          <w:color w:val="231F20"/>
          <w:spacing w:val="-3"/>
          <w:sz w:val="20"/>
        </w:rPr>
        <w:t xml:space="preserve">Education </w:t>
      </w:r>
      <w:r>
        <w:rPr>
          <w:color w:val="231F20"/>
          <w:sz w:val="20"/>
        </w:rPr>
        <w:t xml:space="preserve">and training should also </w:t>
      </w:r>
      <w:r>
        <w:rPr>
          <w:color w:val="231F20"/>
          <w:spacing w:val="-4"/>
          <w:sz w:val="20"/>
        </w:rPr>
        <w:t xml:space="preserve">cover </w:t>
      </w:r>
      <w:r>
        <w:rPr>
          <w:color w:val="231F20"/>
          <w:spacing w:val="-3"/>
          <w:sz w:val="20"/>
        </w:rPr>
        <w:t xml:space="preserve">any </w:t>
      </w:r>
      <w:r>
        <w:rPr>
          <w:color w:val="231F20"/>
          <w:sz w:val="20"/>
        </w:rPr>
        <w:t xml:space="preserve">other </w:t>
      </w:r>
      <w:r>
        <w:rPr>
          <w:color w:val="231F20"/>
          <w:spacing w:val="-3"/>
          <w:sz w:val="20"/>
        </w:rPr>
        <w:t xml:space="preserve">reforms </w:t>
      </w:r>
      <w:r>
        <w:rPr>
          <w:color w:val="231F20"/>
          <w:sz w:val="20"/>
        </w:rPr>
        <w:t>implemented</w:t>
      </w:r>
      <w:r>
        <w:rPr>
          <w:color w:val="231F20"/>
          <w:spacing w:val="-36"/>
          <w:sz w:val="20"/>
        </w:rPr>
        <w:t xml:space="preserve"> </w:t>
      </w:r>
      <w:r>
        <w:rPr>
          <w:color w:val="231F20"/>
          <w:spacing w:val="-3"/>
          <w:sz w:val="20"/>
        </w:rPr>
        <w:t xml:space="preserve">from </w:t>
      </w:r>
      <w:r>
        <w:rPr>
          <w:color w:val="231F20"/>
          <w:sz w:val="20"/>
        </w:rPr>
        <w:t>the</w:t>
      </w:r>
    </w:p>
    <w:p w14:paraId="3A7C45BC" w14:textId="77777777" w:rsidR="00894070" w:rsidRDefault="009B7AFD">
      <w:pPr>
        <w:pStyle w:val="BodyText"/>
        <w:spacing w:line="259" w:lineRule="exact"/>
        <w:ind w:left="1801"/>
      </w:pPr>
      <w:r>
        <w:rPr>
          <w:color w:val="231F20"/>
        </w:rPr>
        <w:t>interim report and this report.</w:t>
      </w:r>
    </w:p>
    <w:p w14:paraId="4C8C0C32" w14:textId="77777777" w:rsidR="00894070" w:rsidRDefault="00894070">
      <w:pPr>
        <w:pStyle w:val="BodyText"/>
      </w:pPr>
    </w:p>
    <w:p w14:paraId="33BCBE45" w14:textId="77777777" w:rsidR="00894070" w:rsidRDefault="009F6793">
      <w:pPr>
        <w:pStyle w:val="Heading5"/>
        <w:spacing w:before="181"/>
      </w:pPr>
      <w:r>
        <w:pict w14:anchorId="33B9FB58">
          <v:group id="_x0000_s1449" style="position:absolute;left:0;text-align:left;margin-left:62.35pt;margin-top:1.15pt;width:479.1pt;height:359.2pt;z-index:-251501568;mso-position-horizontal-relative:page" coordorigin="1247,23" coordsize="9582,7184">
            <v:rect id="_x0000_s1451" style="position:absolute;left:1587;top:22;width:8731;height:7184" fillcolor="#fee7de" stroked="f"/>
            <v:line id="_x0000_s1450" style="position:absolute" from="1247,830" to="10828,830" strokecolor="white" strokeweight="2.5pt"/>
            <w10:wrap anchorx="page"/>
          </v:group>
        </w:pict>
      </w:r>
      <w:r w:rsidR="009B7AFD">
        <w:rPr>
          <w:color w:val="EA5B50"/>
        </w:rPr>
        <w:t>Recommendation</w:t>
      </w:r>
    </w:p>
    <w:p w14:paraId="6ADC2A51" w14:textId="77777777" w:rsidR="00894070" w:rsidRDefault="00894070">
      <w:pPr>
        <w:pStyle w:val="BodyText"/>
        <w:rPr>
          <w:rFonts w:ascii="Raleway ExtraBold"/>
          <w:b/>
          <w:sz w:val="31"/>
        </w:rPr>
      </w:pPr>
    </w:p>
    <w:p w14:paraId="1B5049AF" w14:textId="77777777" w:rsidR="00894070" w:rsidRDefault="009B7AFD">
      <w:pPr>
        <w:pStyle w:val="ListParagraph"/>
        <w:numPr>
          <w:ilvl w:val="0"/>
          <w:numId w:val="177"/>
        </w:numPr>
        <w:tabs>
          <w:tab w:val="left" w:pos="1801"/>
          <w:tab w:val="left" w:pos="1802"/>
          <w:tab w:val="left" w:pos="2368"/>
        </w:tabs>
        <w:spacing w:before="1" w:line="247" w:lineRule="auto"/>
        <w:ind w:left="2368" w:right="1394" w:hanging="1134"/>
        <w:jc w:val="left"/>
        <w:rPr>
          <w:rFonts w:ascii="Trebuchet MS"/>
          <w:color w:val="231F20"/>
          <w:sz w:val="20"/>
        </w:rPr>
      </w:pPr>
      <w:r>
        <w:rPr>
          <w:rFonts w:ascii="Trebuchet MS"/>
          <w:color w:val="231F20"/>
          <w:sz w:val="20"/>
        </w:rPr>
        <w:t>a.</w:t>
      </w:r>
      <w:r>
        <w:rPr>
          <w:rFonts w:ascii="Trebuchet MS"/>
          <w:color w:val="231F20"/>
          <w:sz w:val="20"/>
        </w:rPr>
        <w:tab/>
        <w:t xml:space="preserve">The Victorian </w:t>
      </w:r>
      <w:r>
        <w:rPr>
          <w:rFonts w:ascii="Trebuchet MS"/>
          <w:color w:val="231F20"/>
          <w:spacing w:val="-3"/>
          <w:sz w:val="20"/>
        </w:rPr>
        <w:t xml:space="preserve">Government </w:t>
      </w:r>
      <w:r>
        <w:rPr>
          <w:rFonts w:ascii="Trebuchet MS"/>
          <w:color w:val="231F20"/>
          <w:sz w:val="20"/>
        </w:rPr>
        <w:t xml:space="preserve">should </w:t>
      </w:r>
      <w:r>
        <w:rPr>
          <w:rFonts w:ascii="Trebuchet MS"/>
          <w:color w:val="231F20"/>
          <w:spacing w:val="-3"/>
          <w:sz w:val="20"/>
        </w:rPr>
        <w:t xml:space="preserve">provide </w:t>
      </w:r>
      <w:r>
        <w:rPr>
          <w:rFonts w:ascii="Trebuchet MS"/>
          <w:color w:val="231F20"/>
          <w:sz w:val="20"/>
        </w:rPr>
        <w:t xml:space="preserve">funding and support to the Judicial </w:t>
      </w:r>
      <w:r>
        <w:rPr>
          <w:rFonts w:ascii="Trebuchet MS"/>
          <w:color w:val="231F20"/>
          <w:spacing w:val="-1"/>
          <w:w w:val="114"/>
          <w:sz w:val="20"/>
        </w:rPr>
        <w:t>C</w:t>
      </w:r>
      <w:r>
        <w:rPr>
          <w:rFonts w:ascii="Trebuchet MS"/>
          <w:color w:val="231F20"/>
          <w:spacing w:val="-2"/>
          <w:w w:val="111"/>
          <w:sz w:val="20"/>
        </w:rPr>
        <w:t>o</w:t>
      </w:r>
      <w:r>
        <w:rPr>
          <w:rFonts w:ascii="Trebuchet MS"/>
          <w:color w:val="231F20"/>
          <w:spacing w:val="-2"/>
          <w:w w:val="96"/>
          <w:sz w:val="20"/>
        </w:rPr>
        <w:t>l</w:t>
      </w:r>
      <w:r>
        <w:rPr>
          <w:rFonts w:ascii="Trebuchet MS"/>
          <w:color w:val="231F20"/>
          <w:spacing w:val="-3"/>
          <w:w w:val="96"/>
          <w:sz w:val="20"/>
        </w:rPr>
        <w:t>l</w:t>
      </w:r>
      <w:r>
        <w:rPr>
          <w:rFonts w:ascii="Trebuchet MS"/>
          <w:color w:val="231F20"/>
          <w:w w:val="108"/>
          <w:sz w:val="20"/>
        </w:rPr>
        <w:t>e</w:t>
      </w:r>
      <w:r>
        <w:rPr>
          <w:rFonts w:ascii="Trebuchet MS"/>
          <w:color w:val="231F20"/>
          <w:spacing w:val="-1"/>
          <w:w w:val="124"/>
          <w:sz w:val="20"/>
        </w:rPr>
        <w:t>g</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spacing w:val="1"/>
          <w:w w:val="105"/>
          <w:sz w:val="20"/>
        </w:rPr>
        <w:t>a</w:t>
      </w:r>
      <w:r>
        <w:rPr>
          <w:rFonts w:ascii="Trebuchet MS"/>
          <w:color w:val="231F20"/>
          <w:w w:val="57"/>
          <w:sz w:val="20"/>
        </w:rPr>
        <w:t>,</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111"/>
          <w:sz w:val="20"/>
        </w:rPr>
        <w:t>o</w:t>
      </w:r>
      <w:r>
        <w:rPr>
          <w:rFonts w:ascii="Trebuchet MS"/>
          <w:color w:val="231F20"/>
          <w:spacing w:val="-2"/>
          <w:w w:val="88"/>
          <w:sz w:val="20"/>
        </w:rPr>
        <w:t>t</w:t>
      </w:r>
      <w:r>
        <w:rPr>
          <w:rFonts w:ascii="Trebuchet MS"/>
          <w:color w:val="231F20"/>
          <w:spacing w:val="-1"/>
          <w:w w:val="107"/>
          <w:sz w:val="20"/>
        </w:rPr>
        <w:t>h</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24"/>
          <w:sz w:val="20"/>
        </w:rPr>
        <w:t>g</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2"/>
          <w:w w:val="111"/>
          <w:sz w:val="20"/>
        </w:rPr>
        <w:t>c</w:t>
      </w:r>
      <w:r>
        <w:rPr>
          <w:rFonts w:ascii="Trebuchet MS"/>
          <w:color w:val="231F20"/>
          <w:spacing w:val="-1"/>
          <w:w w:val="80"/>
          <w:sz w:val="20"/>
        </w:rPr>
        <w:t>i</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3"/>
          <w:w w:val="80"/>
          <w:sz w:val="20"/>
        </w:rPr>
        <w:t>i</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05"/>
          <w:sz w:val="20"/>
        </w:rPr>
        <w:t>a</w:t>
      </w:r>
      <w:r>
        <w:rPr>
          <w:rFonts w:ascii="Trebuchet MS"/>
          <w:color w:val="231F20"/>
          <w:spacing w:val="-1"/>
          <w:w w:val="111"/>
          <w:sz w:val="20"/>
        </w:rPr>
        <w:t>pp</w:t>
      </w:r>
      <w:r>
        <w:rPr>
          <w:rFonts w:ascii="Trebuchet MS"/>
          <w:color w:val="231F20"/>
          <w:spacing w:val="-4"/>
          <w:w w:val="93"/>
          <w:sz w:val="20"/>
        </w:rPr>
        <w:t>r</w:t>
      </w:r>
      <w:r>
        <w:rPr>
          <w:rFonts w:ascii="Trebuchet MS"/>
          <w:color w:val="231F20"/>
          <w:spacing w:val="-1"/>
          <w:w w:val="111"/>
          <w:sz w:val="20"/>
        </w:rPr>
        <w:t>op</w:t>
      </w:r>
      <w:r>
        <w:rPr>
          <w:rFonts w:ascii="Trebuchet MS"/>
          <w:color w:val="231F20"/>
          <w:spacing w:val="-2"/>
          <w:w w:val="93"/>
          <w:sz w:val="20"/>
        </w:rPr>
        <w:t>r</w:t>
      </w:r>
      <w:r>
        <w:rPr>
          <w:rFonts w:ascii="Trebuchet MS"/>
          <w:color w:val="231F20"/>
          <w:spacing w:val="-1"/>
          <w:w w:val="80"/>
          <w:sz w:val="20"/>
        </w:rPr>
        <w:t>i</w:t>
      </w:r>
      <w:r>
        <w:rPr>
          <w:rFonts w:ascii="Trebuchet MS"/>
          <w:color w:val="231F20"/>
          <w:spacing w:val="-4"/>
          <w:w w:val="105"/>
          <w:sz w:val="20"/>
        </w:rPr>
        <w:t>a</w:t>
      </w:r>
      <w:r>
        <w:rPr>
          <w:rFonts w:ascii="Trebuchet MS"/>
          <w:color w:val="231F20"/>
          <w:spacing w:val="-4"/>
          <w:w w:val="88"/>
          <w:sz w:val="20"/>
        </w:rPr>
        <w:t>t</w:t>
      </w:r>
      <w:r>
        <w:rPr>
          <w:rFonts w:ascii="Trebuchet MS"/>
          <w:color w:val="231F20"/>
          <w:spacing w:val="-3"/>
          <w:w w:val="108"/>
          <w:sz w:val="20"/>
        </w:rPr>
        <w:t>e</w:t>
      </w:r>
      <w:r>
        <w:rPr>
          <w:rFonts w:ascii="Trebuchet MS"/>
          <w:color w:val="231F20"/>
          <w:w w:val="57"/>
          <w:sz w:val="20"/>
        </w:rPr>
        <w:t>,</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2"/>
          <w:w w:val="112"/>
          <w:sz w:val="20"/>
        </w:rPr>
        <w:t>d</w:t>
      </w:r>
      <w:r>
        <w:rPr>
          <w:rFonts w:ascii="Trebuchet MS"/>
          <w:color w:val="231F20"/>
          <w:spacing w:val="-5"/>
          <w:w w:val="108"/>
          <w:sz w:val="20"/>
        </w:rPr>
        <w:t>e</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3"/>
          <w:w w:val="96"/>
          <w:sz w:val="20"/>
        </w:rPr>
        <w:t>l</w:t>
      </w:r>
      <w:r>
        <w:rPr>
          <w:rFonts w:ascii="Trebuchet MS"/>
          <w:color w:val="231F20"/>
          <w:spacing w:val="-1"/>
          <w:w w:val="111"/>
          <w:sz w:val="20"/>
        </w:rPr>
        <w:t>o</w:t>
      </w:r>
      <w:r>
        <w:rPr>
          <w:rFonts w:ascii="Trebuchet MS"/>
          <w:color w:val="231F20"/>
          <w:w w:val="111"/>
          <w:sz w:val="20"/>
        </w:rPr>
        <w:t>p</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12"/>
          <w:sz w:val="20"/>
        </w:rPr>
        <w:t>d</w:t>
      </w:r>
      <w:r>
        <w:rPr>
          <w:rFonts w:ascii="Trebuchet MS"/>
          <w:color w:val="231F20"/>
          <w:spacing w:val="-1"/>
          <w:w w:val="108"/>
          <w:sz w:val="20"/>
        </w:rPr>
        <w:t>e</w:t>
      </w:r>
      <w:r>
        <w:rPr>
          <w:rFonts w:ascii="Trebuchet MS"/>
          <w:color w:val="231F20"/>
          <w:w w:val="96"/>
          <w:sz w:val="20"/>
        </w:rPr>
        <w:t>l</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08"/>
          <w:sz w:val="20"/>
        </w:rPr>
        <w:t>e</w:t>
      </w:r>
      <w:r>
        <w:rPr>
          <w:rFonts w:ascii="Trebuchet MS"/>
          <w:color w:val="231F20"/>
          <w:w w:val="93"/>
          <w:sz w:val="20"/>
        </w:rPr>
        <w:t xml:space="preserve">r </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1"/>
          <w:w w:val="124"/>
          <w:sz w:val="20"/>
        </w:rPr>
        <w:t>g</w:t>
      </w:r>
      <w:r>
        <w:rPr>
          <w:rFonts w:ascii="Trebuchet MS"/>
          <w:color w:val="231F20"/>
          <w:spacing w:val="-1"/>
          <w:w w:val="111"/>
          <w:sz w:val="20"/>
        </w:rPr>
        <w:t>o</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2"/>
          <w:w w:val="93"/>
          <w:sz w:val="20"/>
        </w:rPr>
        <w:t>r</w:t>
      </w:r>
      <w:r>
        <w:rPr>
          <w:rFonts w:ascii="Trebuchet MS"/>
          <w:color w:val="231F20"/>
          <w:spacing w:val="-2"/>
          <w:w w:val="105"/>
          <w:sz w:val="20"/>
        </w:rPr>
        <w:t>a</w:t>
      </w:r>
      <w:r>
        <w:rPr>
          <w:rFonts w:ascii="Trebuchet MS"/>
          <w:color w:val="231F20"/>
          <w:spacing w:val="-2"/>
          <w:w w:val="80"/>
          <w:sz w:val="20"/>
        </w:rPr>
        <w:t>i</w:t>
      </w:r>
      <w:r>
        <w:rPr>
          <w:rFonts w:ascii="Trebuchet MS"/>
          <w:color w:val="231F20"/>
          <w:spacing w:val="-2"/>
          <w:w w:val="107"/>
          <w:sz w:val="20"/>
        </w:rPr>
        <w:t>n</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5"/>
          <w:sz w:val="20"/>
        </w:rPr>
        <w:t>a</w:t>
      </w:r>
      <w:r>
        <w:rPr>
          <w:rFonts w:ascii="Trebuchet MS"/>
          <w:color w:val="231F20"/>
          <w:spacing w:val="-1"/>
          <w:w w:val="122"/>
          <w:sz w:val="20"/>
        </w:rPr>
        <w:t>s</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3"/>
          <w:w w:val="96"/>
          <w:sz w:val="20"/>
        </w:rPr>
        <w:t>l</w:t>
      </w:r>
      <w:r>
        <w:rPr>
          <w:rFonts w:ascii="Trebuchet MS"/>
          <w:color w:val="231F20"/>
          <w:spacing w:val="-5"/>
          <w:w w:val="108"/>
          <w:sz w:val="20"/>
        </w:rPr>
        <w:t>e</w:t>
      </w:r>
      <w:r>
        <w:rPr>
          <w:rFonts w:ascii="Trebuchet MS"/>
          <w:color w:val="231F20"/>
          <w:spacing w:val="-3"/>
          <w:w w:val="109"/>
          <w:sz w:val="20"/>
        </w:rPr>
        <w:t>v</w:t>
      </w:r>
      <w:r>
        <w:rPr>
          <w:rFonts w:ascii="Trebuchet MS"/>
          <w:color w:val="231F20"/>
          <w:spacing w:val="-2"/>
          <w:w w:val="105"/>
          <w:sz w:val="20"/>
        </w:rPr>
        <w:t>a</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1"/>
          <w:w w:val="108"/>
          <w:sz w:val="20"/>
        </w:rPr>
        <w:t>e</w:t>
      </w:r>
      <w:r>
        <w:rPr>
          <w:rFonts w:ascii="Trebuchet MS"/>
          <w:color w:val="231F20"/>
          <w:spacing w:val="-2"/>
          <w:w w:val="105"/>
          <w:sz w:val="20"/>
        </w:rPr>
        <w:t>a</w:t>
      </w:r>
      <w:r>
        <w:rPr>
          <w:rFonts w:ascii="Trebuchet MS"/>
          <w:color w:val="231F20"/>
          <w:spacing w:val="-4"/>
          <w:w w:val="93"/>
          <w:sz w:val="20"/>
        </w:rPr>
        <w:t>r</w:t>
      </w:r>
      <w:r>
        <w:rPr>
          <w:rFonts w:ascii="Trebuchet MS"/>
          <w:color w:val="231F20"/>
          <w:spacing w:val="-2"/>
          <w:w w:val="111"/>
          <w:sz w:val="20"/>
        </w:rPr>
        <w:t>c</w:t>
      </w:r>
      <w:r>
        <w:rPr>
          <w:rFonts w:ascii="Trebuchet MS"/>
          <w:color w:val="231F20"/>
          <w:spacing w:val="-1"/>
          <w:w w:val="107"/>
          <w:sz w:val="20"/>
        </w:rPr>
        <w:t>h</w:t>
      </w:r>
      <w:r>
        <w:rPr>
          <w:rFonts w:ascii="Trebuchet MS"/>
          <w:color w:val="231F20"/>
          <w:w w:val="57"/>
          <w:sz w:val="20"/>
        </w:rPr>
        <w:t>,</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3"/>
          <w:w w:val="111"/>
          <w:sz w:val="20"/>
        </w:rPr>
        <w:t>o</w:t>
      </w:r>
      <w:r>
        <w:rPr>
          <w:rFonts w:ascii="Trebuchet MS"/>
          <w:color w:val="231F20"/>
          <w:w w:val="74"/>
          <w:sz w:val="20"/>
        </w:rPr>
        <w:t>ff</w:t>
      </w:r>
      <w:r>
        <w:rPr>
          <w:rFonts w:ascii="Trebuchet MS"/>
          <w:color w:val="231F20"/>
          <w:spacing w:val="-1"/>
          <w:w w:val="74"/>
          <w:sz w:val="20"/>
        </w:rPr>
        <w:t>i</w:t>
      </w:r>
      <w:r>
        <w:rPr>
          <w:rFonts w:ascii="Trebuchet MS"/>
          <w:color w:val="231F20"/>
          <w:spacing w:val="-3"/>
          <w:w w:val="111"/>
          <w:sz w:val="20"/>
        </w:rPr>
        <w:t>c</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 xml:space="preserve">l </w:t>
      </w:r>
      <w:r>
        <w:rPr>
          <w:rFonts w:ascii="Trebuchet MS"/>
          <w:color w:val="231F20"/>
          <w:spacing w:val="-4"/>
          <w:w w:val="93"/>
          <w:sz w:val="20"/>
        </w:rPr>
        <w:t>r</w:t>
      </w:r>
      <w:r>
        <w:rPr>
          <w:rFonts w:ascii="Trebuchet MS"/>
          <w:color w:val="231F20"/>
          <w:w w:val="108"/>
          <w:sz w:val="20"/>
        </w:rPr>
        <w:t>e</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22"/>
          <w:sz w:val="20"/>
        </w:rPr>
        <w:t>s</w:t>
      </w:r>
      <w:r>
        <w:rPr>
          <w:rFonts w:ascii="Trebuchet MS"/>
          <w:color w:val="231F20"/>
          <w:spacing w:val="-2"/>
          <w:w w:val="88"/>
          <w:sz w:val="20"/>
        </w:rPr>
        <w:t>t</w:t>
      </w:r>
      <w:r>
        <w:rPr>
          <w:rFonts w:ascii="Trebuchet MS"/>
          <w:color w:val="231F20"/>
          <w:spacing w:val="-2"/>
          <w:w w:val="93"/>
          <w:sz w:val="20"/>
        </w:rPr>
        <w:t>r</w:t>
      </w:r>
      <w:r>
        <w:rPr>
          <w:rFonts w:ascii="Trebuchet MS"/>
          <w:color w:val="231F20"/>
          <w:spacing w:val="-2"/>
          <w:w w:val="105"/>
          <w:sz w:val="20"/>
        </w:rPr>
        <w:t>a</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2"/>
          <w:w w:val="93"/>
          <w:sz w:val="20"/>
        </w:rPr>
        <w:t>r</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81"/>
          <w:sz w:val="20"/>
        </w:rPr>
        <w:t>ff</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2"/>
          <w:w w:val="116"/>
          <w:sz w:val="20"/>
        </w:rPr>
        <w:t>o</w:t>
      </w:r>
      <w:r>
        <w:rPr>
          <w:rFonts w:ascii="Trebuchet MS"/>
          <w:color w:val="231F20"/>
          <w:spacing w:val="-1"/>
          <w:w w:val="116"/>
          <w:sz w:val="20"/>
        </w:rPr>
        <w:t>s</w:t>
      </w:r>
      <w:r>
        <w:rPr>
          <w:rFonts w:ascii="Trebuchet MS"/>
          <w:color w:val="231F20"/>
          <w:w w:val="108"/>
          <w:sz w:val="20"/>
        </w:rPr>
        <w:t>e</w:t>
      </w:r>
      <w:r>
        <w:rPr>
          <w:rFonts w:ascii="Trebuchet MS"/>
          <w:color w:val="231F20"/>
          <w:spacing w:val="-2"/>
          <w:w w:val="110"/>
          <w:sz w:val="20"/>
        </w:rPr>
        <w:t>c</w:t>
      </w:r>
      <w:r>
        <w:rPr>
          <w:rFonts w:ascii="Trebuchet MS"/>
          <w:color w:val="231F20"/>
          <w:spacing w:val="-3"/>
          <w:w w:val="110"/>
          <w:sz w:val="20"/>
        </w:rPr>
        <w:t>u</w:t>
      </w:r>
      <w:r>
        <w:rPr>
          <w:rFonts w:ascii="Trebuchet MS"/>
          <w:color w:val="231F20"/>
          <w:spacing w:val="-4"/>
          <w:w w:val="88"/>
          <w:sz w:val="20"/>
        </w:rPr>
        <w:t>t</w:t>
      </w:r>
      <w:r>
        <w:rPr>
          <w:rFonts w:ascii="Trebuchet MS"/>
          <w:color w:val="231F20"/>
          <w:spacing w:val="-1"/>
          <w:w w:val="111"/>
          <w:sz w:val="20"/>
        </w:rPr>
        <w:t>o</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2"/>
          <w:w w:val="111"/>
          <w:sz w:val="20"/>
        </w:rPr>
        <w:t>m</w:t>
      </w:r>
      <w:r>
        <w:rPr>
          <w:rFonts w:ascii="Trebuchet MS"/>
          <w:color w:val="231F20"/>
          <w:spacing w:val="-1"/>
          <w:w w:val="111"/>
          <w:sz w:val="20"/>
        </w:rPr>
        <w:t>p</w:t>
      </w:r>
      <w:r>
        <w:rPr>
          <w:rFonts w:ascii="Trebuchet MS"/>
          <w:color w:val="231F20"/>
          <w:spacing w:val="-4"/>
          <w:w w:val="93"/>
          <w:sz w:val="20"/>
        </w:rPr>
        <w:t>r</w:t>
      </w:r>
      <w:r>
        <w:rPr>
          <w:rFonts w:ascii="Trebuchet MS"/>
          <w:color w:val="231F20"/>
          <w:spacing w:val="-6"/>
          <w:w w:val="111"/>
          <w:sz w:val="20"/>
        </w:rPr>
        <w:t>o</w:t>
      </w:r>
      <w:r>
        <w:rPr>
          <w:rFonts w:ascii="Trebuchet MS"/>
          <w:color w:val="231F20"/>
          <w:spacing w:val="-6"/>
          <w:w w:val="109"/>
          <w:sz w:val="20"/>
        </w:rPr>
        <w:t>v</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1"/>
          <w:w w:val="108"/>
          <w:sz w:val="20"/>
        </w:rPr>
        <w:t>e</w:t>
      </w:r>
      <w:r>
        <w:rPr>
          <w:rFonts w:ascii="Trebuchet MS"/>
          <w:color w:val="231F20"/>
          <w:spacing w:val="-2"/>
          <w:w w:val="80"/>
          <w:sz w:val="20"/>
        </w:rPr>
        <w:t>i</w:t>
      </w:r>
      <w:r>
        <w:rPr>
          <w:rFonts w:ascii="Trebuchet MS"/>
          <w:color w:val="231F20"/>
          <w:w w:val="93"/>
          <w:sz w:val="20"/>
        </w:rPr>
        <w:t>r</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2"/>
          <w:w w:val="107"/>
          <w:sz w:val="20"/>
        </w:rPr>
        <w:t>n</w:t>
      </w:r>
      <w:r>
        <w:rPr>
          <w:rFonts w:ascii="Trebuchet MS"/>
          <w:color w:val="231F20"/>
          <w:spacing w:val="-1"/>
          <w:w w:val="122"/>
          <w:sz w:val="20"/>
        </w:rPr>
        <w:t>s</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 xml:space="preserve">y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11"/>
          <w:sz w:val="20"/>
        </w:rPr>
        <w:t>cy</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r>
        <w:rPr>
          <w:rFonts w:ascii="Trebuchet MS"/>
          <w:color w:val="231F20"/>
          <w:spacing w:val="-14"/>
          <w:sz w:val="20"/>
        </w:rPr>
        <w:t xml:space="preserve"> </w:t>
      </w:r>
      <w:r>
        <w:rPr>
          <w:rFonts w:ascii="Trebuchet MS"/>
          <w:color w:val="231F20"/>
          <w:spacing w:val="-5"/>
          <w:w w:val="112"/>
          <w:sz w:val="20"/>
        </w:rPr>
        <w:t>E</w:t>
      </w:r>
      <w:r>
        <w:rPr>
          <w:rFonts w:ascii="Trebuchet MS"/>
          <w:color w:val="231F20"/>
          <w:spacing w:val="-2"/>
          <w:w w:val="112"/>
          <w:sz w:val="20"/>
        </w:rPr>
        <w:t>d</w:t>
      </w:r>
      <w:r>
        <w:rPr>
          <w:rFonts w:ascii="Trebuchet MS"/>
          <w:color w:val="231F20"/>
          <w:spacing w:val="-2"/>
          <w:w w:val="109"/>
          <w:sz w:val="20"/>
        </w:rPr>
        <w:t>u</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2"/>
          <w:w w:val="112"/>
          <w:sz w:val="20"/>
        </w:rPr>
        <w:t>d</w:t>
      </w:r>
      <w:r>
        <w:rPr>
          <w:rFonts w:ascii="Trebuchet MS"/>
          <w:color w:val="231F20"/>
          <w:spacing w:val="-1"/>
          <w:w w:val="112"/>
          <w:sz w:val="20"/>
        </w:rPr>
        <w:t>d</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3"/>
          <w:w w:val="122"/>
          <w:sz w:val="20"/>
        </w:rPr>
        <w:t>s</w:t>
      </w:r>
      <w:r>
        <w:rPr>
          <w:rFonts w:ascii="Trebuchet MS"/>
          <w:color w:val="231F20"/>
          <w:w w:val="54"/>
          <w:sz w:val="20"/>
        </w:rPr>
        <w:t>:</w:t>
      </w:r>
    </w:p>
    <w:p w14:paraId="7227738C" w14:textId="77777777" w:rsidR="00894070" w:rsidRDefault="009B7AFD">
      <w:pPr>
        <w:pStyle w:val="ListParagraph"/>
        <w:numPr>
          <w:ilvl w:val="0"/>
          <w:numId w:val="130"/>
        </w:numPr>
        <w:tabs>
          <w:tab w:val="left" w:pos="2934"/>
          <w:tab w:val="left" w:pos="2935"/>
        </w:tabs>
        <w:spacing w:before="89" w:line="247" w:lineRule="auto"/>
        <w:ind w:right="1877" w:hanging="566"/>
        <w:rPr>
          <w:rFonts w:ascii="Trebuchet MS" w:hAnsi="Trebuchet MS"/>
          <w:sz w:val="20"/>
        </w:rPr>
      </w:pPr>
      <w:r>
        <w:rPr>
          <w:rFonts w:ascii="Trebuchet MS" w:hAnsi="Trebuchet MS"/>
          <w:color w:val="231F20"/>
          <w:w w:val="105"/>
          <w:sz w:val="20"/>
        </w:rPr>
        <w:t>barriers</w:t>
      </w:r>
      <w:r>
        <w:rPr>
          <w:rFonts w:ascii="Trebuchet MS" w:hAnsi="Trebuchet MS"/>
          <w:color w:val="231F20"/>
          <w:spacing w:val="-17"/>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w w:val="105"/>
          <w:sz w:val="20"/>
        </w:rPr>
        <w:t>accessing</w:t>
      </w:r>
      <w:r>
        <w:rPr>
          <w:rFonts w:ascii="Trebuchet MS" w:hAnsi="Trebuchet MS"/>
          <w:color w:val="231F20"/>
          <w:spacing w:val="-16"/>
          <w:w w:val="105"/>
          <w:sz w:val="20"/>
        </w:rPr>
        <w:t xml:space="preserve"> </w:t>
      </w:r>
      <w:r>
        <w:rPr>
          <w:rFonts w:ascii="Trebuchet MS" w:hAnsi="Trebuchet MS"/>
          <w:color w:val="231F20"/>
          <w:w w:val="105"/>
          <w:sz w:val="20"/>
        </w:rPr>
        <w:t>the</w:t>
      </w:r>
      <w:r>
        <w:rPr>
          <w:rFonts w:ascii="Trebuchet MS" w:hAnsi="Trebuchet MS"/>
          <w:color w:val="231F20"/>
          <w:spacing w:val="-16"/>
          <w:w w:val="105"/>
          <w:sz w:val="20"/>
        </w:rPr>
        <w:t xml:space="preserve"> </w:t>
      </w:r>
      <w:r>
        <w:rPr>
          <w:rFonts w:ascii="Trebuchet MS" w:hAnsi="Trebuchet MS"/>
          <w:color w:val="231F20"/>
          <w:w w:val="105"/>
          <w:sz w:val="20"/>
        </w:rPr>
        <w:t>justice</w:t>
      </w:r>
      <w:r>
        <w:rPr>
          <w:rFonts w:ascii="Trebuchet MS" w:hAnsi="Trebuchet MS"/>
          <w:color w:val="231F20"/>
          <w:spacing w:val="-16"/>
          <w:w w:val="105"/>
          <w:sz w:val="20"/>
        </w:rPr>
        <w:t xml:space="preserve"> </w:t>
      </w:r>
      <w:r>
        <w:rPr>
          <w:rFonts w:ascii="Trebuchet MS" w:hAnsi="Trebuchet MS"/>
          <w:color w:val="231F20"/>
          <w:w w:val="105"/>
          <w:sz w:val="20"/>
        </w:rPr>
        <w:t>system</w:t>
      </w:r>
      <w:r>
        <w:rPr>
          <w:rFonts w:ascii="Trebuchet MS" w:hAnsi="Trebuchet MS"/>
          <w:color w:val="231F20"/>
          <w:spacing w:val="-16"/>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responding</w:t>
      </w:r>
      <w:r>
        <w:rPr>
          <w:rFonts w:ascii="Trebuchet MS" w:hAnsi="Trebuchet MS"/>
          <w:color w:val="231F20"/>
          <w:spacing w:val="-16"/>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w w:val="105"/>
          <w:sz w:val="20"/>
        </w:rPr>
        <w:t>diverse experiences of</w:t>
      </w:r>
      <w:r>
        <w:rPr>
          <w:rFonts w:ascii="Trebuchet MS" w:hAnsi="Trebuchet MS"/>
          <w:color w:val="231F20"/>
          <w:spacing w:val="-35"/>
          <w:w w:val="105"/>
          <w:sz w:val="20"/>
        </w:rPr>
        <w:t xml:space="preserve"> </w:t>
      </w:r>
      <w:r>
        <w:rPr>
          <w:rFonts w:ascii="Trebuchet MS" w:hAnsi="Trebuchet MS"/>
          <w:color w:val="231F20"/>
          <w:w w:val="105"/>
          <w:sz w:val="20"/>
        </w:rPr>
        <w:t>stalking</w:t>
      </w:r>
    </w:p>
    <w:p w14:paraId="6E88ABCE" w14:textId="77777777" w:rsidR="00894070" w:rsidRDefault="009B7AFD">
      <w:pPr>
        <w:pStyle w:val="ListParagraph"/>
        <w:numPr>
          <w:ilvl w:val="0"/>
          <w:numId w:val="130"/>
        </w:numPr>
        <w:tabs>
          <w:tab w:val="left" w:pos="2934"/>
          <w:tab w:val="left" w:pos="2935"/>
        </w:tabs>
        <w:spacing w:before="86"/>
        <w:ind w:hanging="566"/>
        <w:rPr>
          <w:rFonts w:ascii="Trebuchet MS" w:hAnsi="Trebuchet MS"/>
          <w:sz w:val="20"/>
        </w:rPr>
      </w:pP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spacing w:val="-3"/>
          <w:w w:val="105"/>
          <w:sz w:val="20"/>
        </w:rPr>
        <w:t>nature</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7"/>
          <w:w w:val="105"/>
          <w:sz w:val="20"/>
        </w:rPr>
        <w:t xml:space="preserve"> </w:t>
      </w:r>
      <w:r>
        <w:rPr>
          <w:rFonts w:ascii="Trebuchet MS" w:hAnsi="Trebuchet MS"/>
          <w:color w:val="231F20"/>
          <w:w w:val="105"/>
          <w:sz w:val="20"/>
        </w:rPr>
        <w:t>dynamics</w:t>
      </w:r>
      <w:r>
        <w:rPr>
          <w:rFonts w:ascii="Trebuchet MS" w:hAnsi="Trebuchet MS"/>
          <w:color w:val="231F20"/>
          <w:spacing w:val="-17"/>
          <w:w w:val="105"/>
          <w:sz w:val="20"/>
        </w:rPr>
        <w:t xml:space="preserve"> </w:t>
      </w:r>
      <w:r>
        <w:rPr>
          <w:rFonts w:ascii="Trebuchet MS" w:hAnsi="Trebuchet MS"/>
          <w:color w:val="231F20"/>
          <w:w w:val="105"/>
          <w:sz w:val="20"/>
        </w:rPr>
        <w:t>of</w:t>
      </w:r>
      <w:r>
        <w:rPr>
          <w:rFonts w:ascii="Trebuchet MS" w:hAnsi="Trebuchet MS"/>
          <w:color w:val="231F20"/>
          <w:spacing w:val="-17"/>
          <w:w w:val="105"/>
          <w:sz w:val="20"/>
        </w:rPr>
        <w:t xml:space="preserve"> </w:t>
      </w:r>
      <w:r>
        <w:rPr>
          <w:rFonts w:ascii="Trebuchet MS" w:hAnsi="Trebuchet MS"/>
          <w:color w:val="231F20"/>
          <w:w w:val="105"/>
          <w:sz w:val="20"/>
        </w:rPr>
        <w:t>stalking</w:t>
      </w:r>
    </w:p>
    <w:p w14:paraId="0C33F80C" w14:textId="77777777" w:rsidR="00894070" w:rsidRDefault="009B7AFD">
      <w:pPr>
        <w:pStyle w:val="ListParagraph"/>
        <w:numPr>
          <w:ilvl w:val="0"/>
          <w:numId w:val="130"/>
        </w:numPr>
        <w:tabs>
          <w:tab w:val="left" w:pos="2934"/>
          <w:tab w:val="left" w:pos="2935"/>
        </w:tabs>
        <w:spacing w:before="93" w:line="247" w:lineRule="auto"/>
        <w:ind w:right="1998" w:hanging="566"/>
        <w:rPr>
          <w:rFonts w:ascii="Trebuchet MS" w:hAnsi="Trebuchet MS"/>
          <w:sz w:val="20"/>
        </w:rPr>
      </w:pPr>
      <w:r>
        <w:rPr>
          <w:rFonts w:ascii="Trebuchet MS" w:hAnsi="Trebuchet MS"/>
          <w:color w:val="231F20"/>
          <w:w w:val="105"/>
          <w:sz w:val="20"/>
        </w:rPr>
        <w:t>the</w:t>
      </w:r>
      <w:r>
        <w:rPr>
          <w:rFonts w:ascii="Trebuchet MS" w:hAnsi="Trebuchet MS"/>
          <w:color w:val="231F20"/>
          <w:spacing w:val="-19"/>
          <w:w w:val="105"/>
          <w:sz w:val="20"/>
        </w:rPr>
        <w:t xml:space="preserve"> </w:t>
      </w:r>
      <w:r>
        <w:rPr>
          <w:rFonts w:ascii="Trebuchet MS" w:hAnsi="Trebuchet MS"/>
          <w:color w:val="231F20"/>
          <w:w w:val="105"/>
          <w:sz w:val="20"/>
        </w:rPr>
        <w:t>effects</w:t>
      </w:r>
      <w:r>
        <w:rPr>
          <w:rFonts w:ascii="Trebuchet MS" w:hAnsi="Trebuchet MS"/>
          <w:color w:val="231F20"/>
          <w:spacing w:val="-18"/>
          <w:w w:val="105"/>
          <w:sz w:val="20"/>
        </w:rPr>
        <w:t xml:space="preserve"> </w:t>
      </w:r>
      <w:r>
        <w:rPr>
          <w:rFonts w:ascii="Trebuchet MS" w:hAnsi="Trebuchet MS"/>
          <w:color w:val="231F20"/>
          <w:w w:val="105"/>
          <w:sz w:val="20"/>
        </w:rPr>
        <w:t>of</w:t>
      </w:r>
      <w:r>
        <w:rPr>
          <w:rFonts w:ascii="Trebuchet MS" w:hAnsi="Trebuchet MS"/>
          <w:color w:val="231F20"/>
          <w:spacing w:val="-18"/>
          <w:w w:val="105"/>
          <w:sz w:val="20"/>
        </w:rPr>
        <w:t xml:space="preserve"> </w:t>
      </w:r>
      <w:r>
        <w:rPr>
          <w:rFonts w:ascii="Trebuchet MS" w:hAnsi="Trebuchet MS"/>
          <w:color w:val="231F20"/>
          <w:w w:val="105"/>
          <w:sz w:val="20"/>
        </w:rPr>
        <w:t>trauma</w:t>
      </w:r>
      <w:r>
        <w:rPr>
          <w:rFonts w:ascii="Trebuchet MS" w:hAnsi="Trebuchet MS"/>
          <w:color w:val="231F20"/>
          <w:spacing w:val="-18"/>
          <w:w w:val="105"/>
          <w:sz w:val="20"/>
        </w:rPr>
        <w:t xml:space="preserve"> </w:t>
      </w:r>
      <w:r>
        <w:rPr>
          <w:rFonts w:ascii="Trebuchet MS" w:hAnsi="Trebuchet MS"/>
          <w:color w:val="231F20"/>
          <w:w w:val="105"/>
          <w:sz w:val="20"/>
        </w:rPr>
        <w:t>from</w:t>
      </w:r>
      <w:r>
        <w:rPr>
          <w:rFonts w:ascii="Trebuchet MS" w:hAnsi="Trebuchet MS"/>
          <w:color w:val="231F20"/>
          <w:spacing w:val="-19"/>
          <w:w w:val="105"/>
          <w:sz w:val="20"/>
        </w:rPr>
        <w:t xml:space="preserve"> </w:t>
      </w:r>
      <w:r>
        <w:rPr>
          <w:rFonts w:ascii="Trebuchet MS" w:hAnsi="Trebuchet MS"/>
          <w:color w:val="231F20"/>
          <w:w w:val="105"/>
          <w:sz w:val="20"/>
        </w:rPr>
        <w:t>being</w:t>
      </w:r>
      <w:r>
        <w:rPr>
          <w:rFonts w:ascii="Trebuchet MS" w:hAnsi="Trebuchet MS"/>
          <w:color w:val="231F20"/>
          <w:spacing w:val="-18"/>
          <w:w w:val="105"/>
          <w:sz w:val="20"/>
        </w:rPr>
        <w:t xml:space="preserve"> </w:t>
      </w:r>
      <w:r>
        <w:rPr>
          <w:rFonts w:ascii="Trebuchet MS" w:hAnsi="Trebuchet MS"/>
          <w:color w:val="231F20"/>
          <w:w w:val="105"/>
          <w:sz w:val="20"/>
        </w:rPr>
        <w:t>stalked</w:t>
      </w:r>
      <w:r>
        <w:rPr>
          <w:rFonts w:ascii="Trebuchet MS" w:hAnsi="Trebuchet MS"/>
          <w:color w:val="231F20"/>
          <w:spacing w:val="-18"/>
          <w:w w:val="105"/>
          <w:sz w:val="20"/>
        </w:rPr>
        <w:t xml:space="preserve"> </w:t>
      </w:r>
      <w:r>
        <w:rPr>
          <w:rFonts w:ascii="Trebuchet MS" w:hAnsi="Trebuchet MS"/>
          <w:color w:val="231F20"/>
          <w:w w:val="105"/>
          <w:sz w:val="20"/>
        </w:rPr>
        <w:t>and</w:t>
      </w:r>
      <w:r>
        <w:rPr>
          <w:rFonts w:ascii="Trebuchet MS" w:hAnsi="Trebuchet MS"/>
          <w:color w:val="231F20"/>
          <w:spacing w:val="-18"/>
          <w:w w:val="105"/>
          <w:sz w:val="20"/>
        </w:rPr>
        <w:t xml:space="preserve"> </w:t>
      </w:r>
      <w:r>
        <w:rPr>
          <w:rFonts w:ascii="Trebuchet MS" w:hAnsi="Trebuchet MS"/>
          <w:color w:val="231F20"/>
          <w:spacing w:val="-3"/>
          <w:w w:val="105"/>
          <w:sz w:val="20"/>
        </w:rPr>
        <w:t>how</w:t>
      </w:r>
      <w:r>
        <w:rPr>
          <w:rFonts w:ascii="Trebuchet MS" w:hAnsi="Trebuchet MS"/>
          <w:color w:val="231F20"/>
          <w:spacing w:val="-18"/>
          <w:w w:val="105"/>
          <w:sz w:val="20"/>
        </w:rPr>
        <w:t xml:space="preserve"> </w:t>
      </w:r>
      <w:r>
        <w:rPr>
          <w:rFonts w:ascii="Trebuchet MS" w:hAnsi="Trebuchet MS"/>
          <w:color w:val="231F20"/>
          <w:w w:val="105"/>
          <w:sz w:val="20"/>
        </w:rPr>
        <w:t>to</w:t>
      </w:r>
      <w:r>
        <w:rPr>
          <w:rFonts w:ascii="Trebuchet MS" w:hAnsi="Trebuchet MS"/>
          <w:color w:val="231F20"/>
          <w:spacing w:val="-19"/>
          <w:w w:val="105"/>
          <w:sz w:val="20"/>
        </w:rPr>
        <w:t xml:space="preserve"> </w:t>
      </w:r>
      <w:r>
        <w:rPr>
          <w:rFonts w:ascii="Trebuchet MS" w:hAnsi="Trebuchet MS"/>
          <w:color w:val="231F20"/>
          <w:w w:val="105"/>
          <w:sz w:val="20"/>
        </w:rPr>
        <w:t>respond</w:t>
      </w:r>
      <w:r>
        <w:rPr>
          <w:rFonts w:ascii="Trebuchet MS" w:hAnsi="Trebuchet MS"/>
          <w:color w:val="231F20"/>
          <w:spacing w:val="-18"/>
          <w:w w:val="105"/>
          <w:sz w:val="20"/>
        </w:rPr>
        <w:t xml:space="preserve"> </w:t>
      </w:r>
      <w:r>
        <w:rPr>
          <w:rFonts w:ascii="Trebuchet MS" w:hAnsi="Trebuchet MS"/>
          <w:color w:val="231F20"/>
          <w:w w:val="105"/>
          <w:sz w:val="20"/>
        </w:rPr>
        <w:t>in</w:t>
      </w:r>
      <w:r>
        <w:rPr>
          <w:rFonts w:ascii="Trebuchet MS" w:hAnsi="Trebuchet MS"/>
          <w:color w:val="231F20"/>
          <w:spacing w:val="-18"/>
          <w:w w:val="105"/>
          <w:sz w:val="20"/>
        </w:rPr>
        <w:t xml:space="preserve"> </w:t>
      </w:r>
      <w:r>
        <w:rPr>
          <w:rFonts w:ascii="Trebuchet MS" w:hAnsi="Trebuchet MS"/>
          <w:color w:val="231F20"/>
          <w:w w:val="105"/>
          <w:sz w:val="20"/>
        </w:rPr>
        <w:t>a trauma-informed</w:t>
      </w:r>
      <w:r>
        <w:rPr>
          <w:rFonts w:ascii="Trebuchet MS" w:hAnsi="Trebuchet MS"/>
          <w:color w:val="231F20"/>
          <w:spacing w:val="-18"/>
          <w:w w:val="105"/>
          <w:sz w:val="20"/>
        </w:rPr>
        <w:t xml:space="preserve"> </w:t>
      </w:r>
      <w:r>
        <w:rPr>
          <w:rFonts w:ascii="Trebuchet MS" w:hAnsi="Trebuchet MS"/>
          <w:color w:val="231F20"/>
          <w:spacing w:val="-4"/>
          <w:w w:val="105"/>
          <w:sz w:val="20"/>
        </w:rPr>
        <w:t>way</w:t>
      </w:r>
    </w:p>
    <w:p w14:paraId="40BFA1BA" w14:textId="77777777" w:rsidR="00894070" w:rsidRDefault="009B7AFD">
      <w:pPr>
        <w:pStyle w:val="ListParagraph"/>
        <w:numPr>
          <w:ilvl w:val="0"/>
          <w:numId w:val="130"/>
        </w:numPr>
        <w:tabs>
          <w:tab w:val="left" w:pos="2934"/>
          <w:tab w:val="left" w:pos="2935"/>
        </w:tabs>
        <w:spacing w:before="87"/>
        <w:ind w:hanging="566"/>
        <w:rPr>
          <w:rFonts w:ascii="Trebuchet MS" w:hAnsi="Trebuchet MS"/>
          <w:sz w:val="20"/>
        </w:rPr>
      </w:pPr>
      <w:r>
        <w:rPr>
          <w:rFonts w:ascii="Trebuchet MS" w:hAnsi="Trebuchet MS"/>
          <w:color w:val="231F20"/>
          <w:w w:val="105"/>
          <w:sz w:val="20"/>
        </w:rPr>
        <w:t>support</w:t>
      </w:r>
      <w:r>
        <w:rPr>
          <w:rFonts w:ascii="Trebuchet MS" w:hAnsi="Trebuchet MS"/>
          <w:color w:val="231F20"/>
          <w:spacing w:val="-18"/>
          <w:w w:val="105"/>
          <w:sz w:val="20"/>
        </w:rPr>
        <w:t xml:space="preserve"> </w:t>
      </w:r>
      <w:r>
        <w:rPr>
          <w:rFonts w:ascii="Trebuchet MS" w:hAnsi="Trebuchet MS"/>
          <w:color w:val="231F20"/>
          <w:w w:val="105"/>
          <w:sz w:val="20"/>
        </w:rPr>
        <w:t>and</w:t>
      </w:r>
      <w:r>
        <w:rPr>
          <w:rFonts w:ascii="Trebuchet MS" w:hAnsi="Trebuchet MS"/>
          <w:color w:val="231F20"/>
          <w:spacing w:val="-18"/>
          <w:w w:val="105"/>
          <w:sz w:val="20"/>
        </w:rPr>
        <w:t xml:space="preserve"> </w:t>
      </w:r>
      <w:r>
        <w:rPr>
          <w:rFonts w:ascii="Trebuchet MS" w:hAnsi="Trebuchet MS"/>
          <w:color w:val="231F20"/>
          <w:w w:val="105"/>
          <w:sz w:val="20"/>
        </w:rPr>
        <w:t>justice</w:t>
      </w:r>
      <w:r>
        <w:rPr>
          <w:rFonts w:ascii="Trebuchet MS" w:hAnsi="Trebuchet MS"/>
          <w:color w:val="231F20"/>
          <w:spacing w:val="-18"/>
          <w:w w:val="105"/>
          <w:sz w:val="20"/>
        </w:rPr>
        <w:t xml:space="preserve"> </w:t>
      </w:r>
      <w:r>
        <w:rPr>
          <w:rFonts w:ascii="Trebuchet MS" w:hAnsi="Trebuchet MS"/>
          <w:color w:val="231F20"/>
          <w:w w:val="105"/>
          <w:sz w:val="20"/>
        </w:rPr>
        <w:t>options</w:t>
      </w:r>
      <w:r>
        <w:rPr>
          <w:rFonts w:ascii="Trebuchet MS" w:hAnsi="Trebuchet MS"/>
          <w:color w:val="231F20"/>
          <w:spacing w:val="-17"/>
          <w:w w:val="105"/>
          <w:sz w:val="20"/>
        </w:rPr>
        <w:t xml:space="preserve"> </w:t>
      </w:r>
      <w:r>
        <w:rPr>
          <w:rFonts w:ascii="Trebuchet MS" w:hAnsi="Trebuchet MS"/>
          <w:color w:val="231F20"/>
          <w:w w:val="105"/>
          <w:sz w:val="20"/>
        </w:rPr>
        <w:t>for</w:t>
      </w:r>
      <w:r>
        <w:rPr>
          <w:rFonts w:ascii="Trebuchet MS" w:hAnsi="Trebuchet MS"/>
          <w:color w:val="231F20"/>
          <w:spacing w:val="-18"/>
          <w:w w:val="105"/>
          <w:sz w:val="20"/>
        </w:rPr>
        <w:t xml:space="preserve"> </w:t>
      </w:r>
      <w:r>
        <w:rPr>
          <w:rFonts w:ascii="Trebuchet MS" w:hAnsi="Trebuchet MS"/>
          <w:color w:val="231F20"/>
          <w:w w:val="105"/>
          <w:sz w:val="20"/>
        </w:rPr>
        <w:t>stalking</w:t>
      </w:r>
      <w:r>
        <w:rPr>
          <w:rFonts w:ascii="Trebuchet MS" w:hAnsi="Trebuchet MS"/>
          <w:color w:val="231F20"/>
          <w:spacing w:val="-18"/>
          <w:w w:val="105"/>
          <w:sz w:val="20"/>
        </w:rPr>
        <w:t xml:space="preserve"> </w:t>
      </w:r>
      <w:r>
        <w:rPr>
          <w:rFonts w:ascii="Trebuchet MS" w:hAnsi="Trebuchet MS"/>
          <w:color w:val="231F20"/>
          <w:w w:val="105"/>
          <w:sz w:val="20"/>
        </w:rPr>
        <w:t>victim</w:t>
      </w:r>
      <w:r>
        <w:rPr>
          <w:rFonts w:ascii="Trebuchet MS" w:hAnsi="Trebuchet MS"/>
          <w:color w:val="231F20"/>
          <w:spacing w:val="-18"/>
          <w:w w:val="105"/>
          <w:sz w:val="20"/>
        </w:rPr>
        <w:t xml:space="preserve"> </w:t>
      </w:r>
      <w:r>
        <w:rPr>
          <w:rFonts w:ascii="Trebuchet MS" w:hAnsi="Trebuchet MS"/>
          <w:color w:val="231F20"/>
          <w:w w:val="105"/>
          <w:sz w:val="20"/>
        </w:rPr>
        <w:t>survivors</w:t>
      </w:r>
    </w:p>
    <w:p w14:paraId="12AC2D59" w14:textId="77777777" w:rsidR="00894070" w:rsidRDefault="009B7AFD">
      <w:pPr>
        <w:pStyle w:val="ListParagraph"/>
        <w:numPr>
          <w:ilvl w:val="0"/>
          <w:numId w:val="130"/>
        </w:numPr>
        <w:tabs>
          <w:tab w:val="left" w:pos="2934"/>
          <w:tab w:val="left" w:pos="2935"/>
        </w:tabs>
        <w:spacing w:before="93"/>
        <w:ind w:hanging="566"/>
        <w:rPr>
          <w:rFonts w:ascii="Trebuchet MS" w:hAnsi="Trebuchet MS"/>
          <w:sz w:val="20"/>
        </w:rPr>
      </w:pPr>
      <w:r>
        <w:rPr>
          <w:rFonts w:ascii="Trebuchet MS" w:hAnsi="Trebuchet MS"/>
          <w:color w:val="231F20"/>
          <w:w w:val="105"/>
          <w:sz w:val="20"/>
        </w:rPr>
        <w:t>a</w:t>
      </w:r>
      <w:r>
        <w:rPr>
          <w:rFonts w:ascii="Trebuchet MS" w:hAnsi="Trebuchet MS"/>
          <w:color w:val="231F20"/>
          <w:spacing w:val="-1"/>
          <w:w w:val="122"/>
          <w:sz w:val="20"/>
        </w:rPr>
        <w:t>ss</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spacing w:val="-2"/>
          <w:w w:val="122"/>
          <w:sz w:val="20"/>
        </w:rPr>
        <w:t>s</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4"/>
          <w:w w:val="108"/>
          <w:sz w:val="20"/>
        </w:rPr>
        <w:t>e</w:t>
      </w:r>
      <w:r>
        <w:rPr>
          <w:rFonts w:ascii="Trebuchet MS" w:hAnsi="Trebuchet MS"/>
          <w:color w:val="231F20"/>
          <w:spacing w:val="-5"/>
          <w:w w:val="92"/>
          <w:sz w:val="20"/>
        </w:rPr>
        <w:t>f</w:t>
      </w:r>
      <w:r>
        <w:rPr>
          <w:rFonts w:ascii="Trebuchet MS" w:hAnsi="Trebuchet MS"/>
          <w:color w:val="231F20"/>
          <w:spacing w:val="-1"/>
          <w:w w:val="108"/>
          <w:sz w:val="20"/>
        </w:rPr>
        <w:t>e</w:t>
      </w:r>
      <w:r>
        <w:rPr>
          <w:rFonts w:ascii="Trebuchet MS" w:hAnsi="Trebuchet MS"/>
          <w:color w:val="231F20"/>
          <w:spacing w:val="-2"/>
          <w:w w:val="93"/>
          <w:sz w:val="20"/>
        </w:rPr>
        <w:t>rr</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105"/>
          <w:sz w:val="20"/>
        </w:rPr>
        <w:t>a</w:t>
      </w:r>
      <w:r>
        <w:rPr>
          <w:rFonts w:ascii="Trebuchet MS" w:hAnsi="Trebuchet MS"/>
          <w:color w:val="231F20"/>
          <w:spacing w:val="-2"/>
          <w:w w:val="88"/>
          <w:sz w:val="20"/>
        </w:rPr>
        <w:t>t</w:t>
      </w:r>
      <w:r>
        <w:rPr>
          <w:rFonts w:ascii="Trebuchet MS" w:hAnsi="Trebuchet MS"/>
          <w:color w:val="231F20"/>
          <w:spacing w:val="-6"/>
          <w:w w:val="107"/>
          <w:sz w:val="20"/>
        </w:rPr>
        <w:t>h</w:t>
      </w:r>
      <w:r>
        <w:rPr>
          <w:rFonts w:ascii="Trebuchet MS" w:hAnsi="Trebuchet MS"/>
          <w:color w:val="231F20"/>
          <w:spacing w:val="-3"/>
          <w:w w:val="110"/>
          <w:sz w:val="20"/>
        </w:rPr>
        <w:t>w</w:t>
      </w:r>
      <w:r>
        <w:rPr>
          <w:rFonts w:ascii="Trebuchet MS" w:hAnsi="Trebuchet MS"/>
          <w:color w:val="231F20"/>
          <w:spacing w:val="-7"/>
          <w:w w:val="105"/>
          <w:sz w:val="20"/>
        </w:rPr>
        <w:t>a</w:t>
      </w:r>
      <w:r>
        <w:rPr>
          <w:rFonts w:ascii="Trebuchet MS" w:hAnsi="Trebuchet MS"/>
          <w:color w:val="231F20"/>
          <w:spacing w:val="-4"/>
          <w:w w:val="110"/>
          <w:sz w:val="20"/>
        </w:rPr>
        <w:t>y</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1"/>
          <w:w w:val="111"/>
          <w:sz w:val="20"/>
        </w:rPr>
        <w:t>o</w:t>
      </w:r>
      <w:r>
        <w:rPr>
          <w:rFonts w:ascii="Trebuchet MS" w:hAnsi="Trebuchet MS"/>
          <w:color w:val="231F20"/>
          <w:spacing w:val="-2"/>
          <w:w w:val="111"/>
          <w:sz w:val="20"/>
        </w:rPr>
        <w:t>p</w:t>
      </w:r>
      <w:r>
        <w:rPr>
          <w:rFonts w:ascii="Trebuchet MS" w:hAnsi="Trebuchet MS"/>
          <w:color w:val="231F20"/>
          <w:spacing w:val="-3"/>
          <w:w w:val="9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w w:val="55"/>
          <w:sz w:val="20"/>
        </w:rPr>
        <w:t>.</w:t>
      </w:r>
    </w:p>
    <w:p w14:paraId="72545B76" w14:textId="77777777" w:rsidR="00894070" w:rsidRDefault="009B7AFD">
      <w:pPr>
        <w:pStyle w:val="ListParagraph"/>
        <w:numPr>
          <w:ilvl w:val="0"/>
          <w:numId w:val="129"/>
        </w:numPr>
        <w:tabs>
          <w:tab w:val="left" w:pos="2367"/>
          <w:tab w:val="left" w:pos="2368"/>
        </w:tabs>
        <w:spacing w:before="92" w:line="247" w:lineRule="auto"/>
        <w:ind w:right="1428"/>
        <w:rPr>
          <w:rFonts w:ascii="Trebuchet MS"/>
          <w:sz w:val="20"/>
        </w:rPr>
      </w:pPr>
      <w:r>
        <w:rPr>
          <w:rFonts w:ascii="Trebuchet MS"/>
          <w:color w:val="231F20"/>
          <w:w w:val="105"/>
          <w:sz w:val="20"/>
        </w:rPr>
        <w:t>Education</w:t>
      </w:r>
      <w:r>
        <w:rPr>
          <w:rFonts w:ascii="Trebuchet MS"/>
          <w:color w:val="231F20"/>
          <w:spacing w:val="-14"/>
          <w:w w:val="105"/>
          <w:sz w:val="20"/>
        </w:rPr>
        <w:t xml:space="preserve"> </w:t>
      </w:r>
      <w:r>
        <w:rPr>
          <w:rFonts w:ascii="Trebuchet MS"/>
          <w:color w:val="231F20"/>
          <w:w w:val="105"/>
          <w:sz w:val="20"/>
        </w:rPr>
        <w:t>for</w:t>
      </w:r>
      <w:r>
        <w:rPr>
          <w:rFonts w:ascii="Trebuchet MS"/>
          <w:color w:val="231F20"/>
          <w:spacing w:val="-14"/>
          <w:w w:val="105"/>
          <w:sz w:val="20"/>
        </w:rPr>
        <w:t xml:space="preserve"> </w:t>
      </w:r>
      <w:r>
        <w:rPr>
          <w:rFonts w:ascii="Trebuchet MS"/>
          <w:color w:val="231F20"/>
          <w:w w:val="105"/>
          <w:sz w:val="20"/>
        </w:rPr>
        <w:t>prosecutors</w:t>
      </w:r>
      <w:r>
        <w:rPr>
          <w:rFonts w:ascii="Trebuchet MS"/>
          <w:color w:val="231F20"/>
          <w:spacing w:val="-13"/>
          <w:w w:val="105"/>
          <w:sz w:val="20"/>
        </w:rPr>
        <w:t xml:space="preserve"> </w:t>
      </w:r>
      <w:r>
        <w:rPr>
          <w:rFonts w:ascii="Trebuchet MS"/>
          <w:color w:val="231F20"/>
          <w:w w:val="105"/>
          <w:sz w:val="20"/>
        </w:rPr>
        <w:t>should</w:t>
      </w:r>
      <w:r>
        <w:rPr>
          <w:rFonts w:ascii="Trebuchet MS"/>
          <w:color w:val="231F20"/>
          <w:spacing w:val="-14"/>
          <w:w w:val="105"/>
          <w:sz w:val="20"/>
        </w:rPr>
        <w:t xml:space="preserve"> </w:t>
      </w:r>
      <w:r>
        <w:rPr>
          <w:rFonts w:ascii="Trebuchet MS"/>
          <w:color w:val="231F20"/>
          <w:w w:val="105"/>
          <w:sz w:val="20"/>
        </w:rPr>
        <w:t>also</w:t>
      </w:r>
      <w:r>
        <w:rPr>
          <w:rFonts w:ascii="Trebuchet MS"/>
          <w:color w:val="231F20"/>
          <w:spacing w:val="-13"/>
          <w:w w:val="105"/>
          <w:sz w:val="20"/>
        </w:rPr>
        <w:t xml:space="preserve"> </w:t>
      </w:r>
      <w:r>
        <w:rPr>
          <w:rFonts w:ascii="Trebuchet MS"/>
          <w:color w:val="231F20"/>
          <w:w w:val="105"/>
          <w:sz w:val="20"/>
        </w:rPr>
        <w:t>include</w:t>
      </w:r>
      <w:r>
        <w:rPr>
          <w:rFonts w:ascii="Trebuchet MS"/>
          <w:color w:val="231F20"/>
          <w:spacing w:val="-14"/>
          <w:w w:val="105"/>
          <w:sz w:val="20"/>
        </w:rPr>
        <w:t xml:space="preserve"> </w:t>
      </w:r>
      <w:r>
        <w:rPr>
          <w:rFonts w:ascii="Trebuchet MS"/>
          <w:color w:val="231F20"/>
          <w:w w:val="105"/>
          <w:sz w:val="20"/>
        </w:rPr>
        <w:t>the</w:t>
      </w:r>
      <w:r>
        <w:rPr>
          <w:rFonts w:ascii="Trebuchet MS"/>
          <w:color w:val="231F20"/>
          <w:spacing w:val="-13"/>
          <w:w w:val="105"/>
          <w:sz w:val="20"/>
        </w:rPr>
        <w:t xml:space="preserve"> </w:t>
      </w:r>
      <w:r>
        <w:rPr>
          <w:rFonts w:ascii="Trebuchet MS"/>
          <w:color w:val="231F20"/>
          <w:w w:val="105"/>
          <w:sz w:val="20"/>
        </w:rPr>
        <w:t>possible</w:t>
      </w:r>
      <w:r>
        <w:rPr>
          <w:rFonts w:ascii="Trebuchet MS"/>
          <w:color w:val="231F20"/>
          <w:spacing w:val="-14"/>
          <w:w w:val="105"/>
          <w:sz w:val="20"/>
        </w:rPr>
        <w:t xml:space="preserve"> </w:t>
      </w:r>
      <w:r>
        <w:rPr>
          <w:rFonts w:ascii="Trebuchet MS"/>
          <w:color w:val="231F20"/>
          <w:spacing w:val="-2"/>
          <w:w w:val="105"/>
          <w:sz w:val="20"/>
        </w:rPr>
        <w:t>adverse</w:t>
      </w:r>
      <w:r>
        <w:rPr>
          <w:rFonts w:ascii="Trebuchet MS"/>
          <w:color w:val="231F20"/>
          <w:spacing w:val="-13"/>
          <w:w w:val="105"/>
          <w:sz w:val="20"/>
        </w:rPr>
        <w:t xml:space="preserve"> </w:t>
      </w:r>
      <w:r>
        <w:rPr>
          <w:rFonts w:ascii="Trebuchet MS"/>
          <w:color w:val="231F20"/>
          <w:w w:val="105"/>
          <w:sz w:val="20"/>
        </w:rPr>
        <w:t>effects</w:t>
      </w:r>
      <w:r>
        <w:rPr>
          <w:rFonts w:ascii="Trebuchet MS"/>
          <w:color w:val="231F20"/>
          <w:spacing w:val="-14"/>
          <w:w w:val="105"/>
          <w:sz w:val="20"/>
        </w:rPr>
        <w:t xml:space="preserve"> </w:t>
      </w:r>
      <w:r>
        <w:rPr>
          <w:rFonts w:ascii="Trebuchet MS"/>
          <w:color w:val="231F20"/>
          <w:w w:val="105"/>
          <w:sz w:val="20"/>
        </w:rPr>
        <w:t xml:space="preserve">of </w:t>
      </w:r>
      <w:r>
        <w:rPr>
          <w:rFonts w:ascii="Trebuchet MS"/>
          <w:color w:val="231F20"/>
          <w:spacing w:val="-1"/>
          <w:w w:val="108"/>
          <w:sz w:val="20"/>
        </w:rPr>
        <w:t>n</w:t>
      </w:r>
      <w:r>
        <w:rPr>
          <w:rFonts w:ascii="Trebuchet MS"/>
          <w:color w:val="231F20"/>
          <w:w w:val="108"/>
          <w:sz w:val="20"/>
        </w:rPr>
        <w:t>e</w:t>
      </w:r>
      <w:r>
        <w:rPr>
          <w:rFonts w:ascii="Trebuchet MS"/>
          <w:color w:val="231F20"/>
          <w:spacing w:val="-1"/>
          <w:w w:val="117"/>
          <w:sz w:val="20"/>
        </w:rPr>
        <w:t>g</w:t>
      </w:r>
      <w:r>
        <w:rPr>
          <w:rFonts w:ascii="Trebuchet MS"/>
          <w:color w:val="231F20"/>
          <w:spacing w:val="-4"/>
          <w:w w:val="117"/>
          <w:sz w:val="20"/>
        </w:rPr>
        <w:t>o</w:t>
      </w:r>
      <w:r>
        <w:rPr>
          <w:rFonts w:ascii="Trebuchet MS"/>
          <w:color w:val="231F20"/>
          <w:spacing w:val="-2"/>
          <w:w w:val="88"/>
          <w:sz w:val="20"/>
        </w:rPr>
        <w:t>t</w:t>
      </w:r>
      <w:r>
        <w:rPr>
          <w:rFonts w:ascii="Trebuchet MS"/>
          <w:color w:val="231F20"/>
          <w:spacing w:val="-1"/>
          <w:w w:val="96"/>
          <w:sz w:val="20"/>
        </w:rPr>
        <w:t>i</w:t>
      </w:r>
      <w:r>
        <w:rPr>
          <w:rFonts w:ascii="Trebuchet MS"/>
          <w:color w:val="231F20"/>
          <w:spacing w:val="-4"/>
          <w:w w:val="96"/>
          <w:sz w:val="20"/>
        </w:rPr>
        <w:t>a</w:t>
      </w:r>
      <w:r>
        <w:rPr>
          <w:rFonts w:ascii="Trebuchet MS"/>
          <w:color w:val="231F20"/>
          <w:spacing w:val="-2"/>
          <w:w w:val="88"/>
          <w:sz w:val="20"/>
        </w:rPr>
        <w:t>t</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7"/>
          <w:w w:val="105"/>
          <w:sz w:val="20"/>
        </w:rPr>
        <w:t>a</w:t>
      </w:r>
      <w:r>
        <w:rPr>
          <w:rFonts w:ascii="Trebuchet MS"/>
          <w:color w:val="231F20"/>
          <w:spacing w:val="-3"/>
          <w:w w:val="110"/>
          <w:sz w:val="20"/>
        </w:rPr>
        <w:t>w</w:t>
      </w:r>
      <w:r>
        <w:rPr>
          <w:rFonts w:ascii="Trebuchet MS"/>
          <w:color w:val="231F20"/>
          <w:spacing w:val="-7"/>
          <w:w w:val="105"/>
          <w:sz w:val="20"/>
        </w:rPr>
        <w:t>a</w:t>
      </w:r>
      <w:r>
        <w:rPr>
          <w:rFonts w:ascii="Trebuchet MS"/>
          <w:color w:val="231F20"/>
          <w:w w:val="110"/>
          <w:sz w:val="20"/>
        </w:rPr>
        <w:t>y</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1"/>
          <w:w w:val="107"/>
          <w:sz w:val="20"/>
        </w:rPr>
        <w:t>h</w:t>
      </w:r>
      <w:r>
        <w:rPr>
          <w:rFonts w:ascii="Trebuchet MS"/>
          <w:color w:val="231F20"/>
          <w:spacing w:val="-2"/>
          <w:w w:val="105"/>
          <w:sz w:val="20"/>
        </w:rPr>
        <w:t>a</w:t>
      </w:r>
      <w:r>
        <w:rPr>
          <w:rFonts w:ascii="Trebuchet MS"/>
          <w:color w:val="231F20"/>
          <w:spacing w:val="-4"/>
          <w:w w:val="93"/>
          <w:sz w:val="20"/>
        </w:rPr>
        <w:t>r</w:t>
      </w:r>
      <w:r>
        <w:rPr>
          <w:rFonts w:ascii="Trebuchet MS"/>
          <w:color w:val="231F20"/>
          <w:spacing w:val="-1"/>
          <w:w w:val="116"/>
          <w:sz w:val="20"/>
        </w:rPr>
        <w:t>g</w:t>
      </w:r>
      <w:r>
        <w:rPr>
          <w:rFonts w:ascii="Trebuchet MS"/>
          <w:color w:val="231F20"/>
          <w:spacing w:val="-2"/>
          <w:w w:val="116"/>
          <w:sz w:val="20"/>
        </w:rPr>
        <w:t>e</w:t>
      </w:r>
      <w:r>
        <w:rPr>
          <w:rFonts w:ascii="Trebuchet MS"/>
          <w:color w:val="231F20"/>
          <w:spacing w:val="1"/>
          <w:w w:val="122"/>
          <w:sz w:val="20"/>
        </w:rPr>
        <w:t>s</w:t>
      </w:r>
      <w:r>
        <w:rPr>
          <w:rFonts w:ascii="Trebuchet MS"/>
          <w:color w:val="231F20"/>
          <w:w w:val="55"/>
          <w:sz w:val="20"/>
        </w:rPr>
        <w:t>.</w:t>
      </w:r>
    </w:p>
    <w:p w14:paraId="2945BD8C" w14:textId="77777777" w:rsidR="00894070" w:rsidRDefault="009B7AFD">
      <w:pPr>
        <w:pStyle w:val="ListParagraph"/>
        <w:numPr>
          <w:ilvl w:val="0"/>
          <w:numId w:val="129"/>
        </w:numPr>
        <w:tabs>
          <w:tab w:val="left" w:pos="2367"/>
          <w:tab w:val="left" w:pos="2368"/>
        </w:tabs>
        <w:spacing w:before="87" w:line="247" w:lineRule="auto"/>
        <w:ind w:right="1727"/>
        <w:rPr>
          <w:rFonts w:ascii="Trebuchet MS"/>
          <w:sz w:val="20"/>
        </w:rPr>
      </w:pPr>
      <w:r>
        <w:rPr>
          <w:rFonts w:ascii="Trebuchet MS"/>
          <w:color w:val="231F20"/>
          <w:spacing w:val="-5"/>
          <w:w w:val="112"/>
          <w:sz w:val="20"/>
        </w:rPr>
        <w:t>E</w:t>
      </w:r>
      <w:r>
        <w:rPr>
          <w:rFonts w:ascii="Trebuchet MS"/>
          <w:color w:val="231F20"/>
          <w:spacing w:val="-2"/>
          <w:w w:val="112"/>
          <w:sz w:val="20"/>
        </w:rPr>
        <w:t>d</w:t>
      </w:r>
      <w:r>
        <w:rPr>
          <w:rFonts w:ascii="Trebuchet MS"/>
          <w:color w:val="231F20"/>
          <w:spacing w:val="-2"/>
          <w:w w:val="109"/>
          <w:sz w:val="20"/>
        </w:rPr>
        <w:t>u</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3"/>
          <w:w w:val="111"/>
          <w:sz w:val="20"/>
        </w:rPr>
        <w:t>o</w:t>
      </w:r>
      <w:r>
        <w:rPr>
          <w:rFonts w:ascii="Trebuchet MS"/>
          <w:color w:val="231F20"/>
          <w:w w:val="74"/>
          <w:sz w:val="20"/>
        </w:rPr>
        <w:t>ff</w:t>
      </w:r>
      <w:r>
        <w:rPr>
          <w:rFonts w:ascii="Trebuchet MS"/>
          <w:color w:val="231F20"/>
          <w:spacing w:val="-1"/>
          <w:w w:val="74"/>
          <w:sz w:val="20"/>
        </w:rPr>
        <w:t>i</w:t>
      </w:r>
      <w:r>
        <w:rPr>
          <w:rFonts w:ascii="Trebuchet MS"/>
          <w:color w:val="231F20"/>
          <w:spacing w:val="-3"/>
          <w:w w:val="111"/>
          <w:sz w:val="20"/>
        </w:rPr>
        <w:t>c</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22"/>
          <w:sz w:val="20"/>
        </w:rPr>
        <w:t>s</w:t>
      </w:r>
      <w:r>
        <w:rPr>
          <w:rFonts w:ascii="Trebuchet MS"/>
          <w:color w:val="231F20"/>
          <w:spacing w:val="-2"/>
          <w:w w:val="88"/>
          <w:sz w:val="20"/>
        </w:rPr>
        <w:t>t</w:t>
      </w:r>
      <w:r>
        <w:rPr>
          <w:rFonts w:ascii="Trebuchet MS"/>
          <w:color w:val="231F20"/>
          <w:spacing w:val="-2"/>
          <w:w w:val="93"/>
          <w:sz w:val="20"/>
        </w:rPr>
        <w:t>r</w:t>
      </w:r>
      <w:r>
        <w:rPr>
          <w:rFonts w:ascii="Trebuchet MS"/>
          <w:color w:val="231F20"/>
          <w:spacing w:val="-2"/>
          <w:w w:val="105"/>
          <w:sz w:val="20"/>
        </w:rPr>
        <w:t>a</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2"/>
          <w:w w:val="93"/>
          <w:sz w:val="20"/>
        </w:rPr>
        <w:t>r</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81"/>
          <w:sz w:val="20"/>
        </w:rPr>
        <w:t>ff</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3"/>
          <w:w w:val="105"/>
          <w:sz w:val="20"/>
        </w:rPr>
        <w:t>a</w:t>
      </w:r>
      <w:r>
        <w:rPr>
          <w:rFonts w:ascii="Trebuchet MS"/>
          <w:color w:val="231F20"/>
          <w:spacing w:val="3"/>
          <w:w w:val="96"/>
          <w:sz w:val="20"/>
        </w:rPr>
        <w:t>l</w:t>
      </w:r>
      <w:r>
        <w:rPr>
          <w:rFonts w:ascii="Trebuchet MS"/>
          <w:color w:val="231F20"/>
          <w:spacing w:val="-1"/>
          <w:w w:val="122"/>
          <w:sz w:val="20"/>
        </w:rPr>
        <w:t>s</w:t>
      </w:r>
      <w:r>
        <w:rPr>
          <w:rFonts w:ascii="Trebuchet MS"/>
          <w:color w:val="231F20"/>
          <w:w w:val="111"/>
          <w:sz w:val="20"/>
        </w:rPr>
        <w:t xml:space="preserve">o </w:t>
      </w:r>
      <w:r>
        <w:rPr>
          <w:rFonts w:ascii="Trebuchet MS"/>
          <w:color w:val="231F20"/>
          <w:spacing w:val="-2"/>
          <w:w w:val="98"/>
          <w:sz w:val="20"/>
        </w:rPr>
        <w:t>i</w:t>
      </w:r>
      <w:r>
        <w:rPr>
          <w:rFonts w:ascii="Trebuchet MS"/>
          <w:color w:val="231F20"/>
          <w:spacing w:val="-1"/>
          <w:w w:val="98"/>
          <w:sz w:val="20"/>
        </w:rPr>
        <w:t>n</w:t>
      </w:r>
      <w:r>
        <w:rPr>
          <w:rFonts w:ascii="Trebuchet MS"/>
          <w:color w:val="231F20"/>
          <w:spacing w:val="-3"/>
          <w:w w:val="111"/>
          <w:sz w:val="20"/>
        </w:rPr>
        <w:t>c</w:t>
      </w:r>
      <w:r>
        <w:rPr>
          <w:rFonts w:ascii="Trebuchet MS"/>
          <w:color w:val="231F20"/>
          <w:spacing w:val="-3"/>
          <w:w w:val="96"/>
          <w:sz w:val="20"/>
        </w:rPr>
        <w:t>l</w:t>
      </w:r>
      <w:r>
        <w:rPr>
          <w:rFonts w:ascii="Trebuchet MS"/>
          <w:color w:val="231F20"/>
          <w:spacing w:val="-2"/>
          <w:w w:val="110"/>
          <w:sz w:val="20"/>
        </w:rPr>
        <w:t>ud</w:t>
      </w:r>
      <w:r>
        <w:rPr>
          <w:rFonts w:ascii="Trebuchet MS"/>
          <w:color w:val="231F20"/>
          <w:spacing w:val="-4"/>
          <w:w w:val="110"/>
          <w:sz w:val="20"/>
        </w:rPr>
        <w:t>e</w:t>
      </w:r>
      <w:r>
        <w:rPr>
          <w:rFonts w:ascii="Trebuchet MS"/>
          <w:color w:val="231F20"/>
          <w:w w:val="54"/>
          <w:sz w:val="20"/>
        </w:rPr>
        <w:t>:</w:t>
      </w:r>
    </w:p>
    <w:p w14:paraId="73856B1D" w14:textId="77777777" w:rsidR="00894070" w:rsidRDefault="009B7AFD">
      <w:pPr>
        <w:pStyle w:val="ListParagraph"/>
        <w:numPr>
          <w:ilvl w:val="1"/>
          <w:numId w:val="129"/>
        </w:numPr>
        <w:tabs>
          <w:tab w:val="left" w:pos="2934"/>
          <w:tab w:val="left" w:pos="2935"/>
        </w:tabs>
        <w:spacing w:before="87"/>
        <w:ind w:hanging="566"/>
        <w:rPr>
          <w:rFonts w:ascii="Trebuchet MS" w:hAnsi="Trebuchet MS"/>
          <w:sz w:val="20"/>
        </w:rPr>
      </w:pPr>
      <w:r>
        <w:rPr>
          <w:rFonts w:ascii="Trebuchet MS" w:hAnsi="Trebuchet MS"/>
          <w:color w:val="231F20"/>
          <w:w w:val="105"/>
          <w:sz w:val="20"/>
        </w:rPr>
        <w:t>identifying stalking</w:t>
      </w:r>
      <w:r>
        <w:rPr>
          <w:rFonts w:ascii="Trebuchet MS" w:hAnsi="Trebuchet MS"/>
          <w:color w:val="231F20"/>
          <w:spacing w:val="-35"/>
          <w:w w:val="105"/>
          <w:sz w:val="20"/>
        </w:rPr>
        <w:t xml:space="preserve"> </w:t>
      </w:r>
      <w:r>
        <w:rPr>
          <w:rFonts w:ascii="Trebuchet MS" w:hAnsi="Trebuchet MS"/>
          <w:color w:val="231F20"/>
          <w:w w:val="105"/>
          <w:sz w:val="20"/>
        </w:rPr>
        <w:t>behaviour</w:t>
      </w:r>
    </w:p>
    <w:p w14:paraId="606B2DC5" w14:textId="77777777" w:rsidR="00894070" w:rsidRDefault="009B7AFD">
      <w:pPr>
        <w:pStyle w:val="ListParagraph"/>
        <w:numPr>
          <w:ilvl w:val="1"/>
          <w:numId w:val="129"/>
        </w:numPr>
        <w:tabs>
          <w:tab w:val="left" w:pos="2934"/>
          <w:tab w:val="left" w:pos="2935"/>
        </w:tabs>
        <w:spacing w:before="93"/>
        <w:ind w:hanging="566"/>
        <w:rPr>
          <w:rFonts w:ascii="Trebuchet MS" w:hAnsi="Trebuchet MS"/>
          <w:sz w:val="20"/>
        </w:rPr>
      </w:pPr>
      <w:r>
        <w:rPr>
          <w:rFonts w:ascii="Trebuchet MS" w:hAnsi="Trebuchet MS"/>
          <w:color w:val="231F20"/>
          <w:sz w:val="20"/>
        </w:rPr>
        <w:t>the</w:t>
      </w:r>
      <w:r>
        <w:rPr>
          <w:rFonts w:ascii="Trebuchet MS" w:hAnsi="Trebuchet MS"/>
          <w:color w:val="231F20"/>
          <w:spacing w:val="-12"/>
          <w:sz w:val="20"/>
        </w:rPr>
        <w:t xml:space="preserve"> </w:t>
      </w:r>
      <w:r>
        <w:rPr>
          <w:rFonts w:ascii="Trebuchet MS" w:hAnsi="Trebuchet MS"/>
          <w:color w:val="231F20"/>
          <w:sz w:val="20"/>
        </w:rPr>
        <w:t>impact</w:t>
      </w:r>
      <w:r>
        <w:rPr>
          <w:rFonts w:ascii="Trebuchet MS" w:hAnsi="Trebuchet MS"/>
          <w:color w:val="231F20"/>
          <w:spacing w:val="-11"/>
          <w:sz w:val="20"/>
        </w:rPr>
        <w:t xml:space="preserve"> </w:t>
      </w:r>
      <w:r>
        <w:rPr>
          <w:rFonts w:ascii="Trebuchet MS" w:hAnsi="Trebuchet MS"/>
          <w:color w:val="231F20"/>
          <w:sz w:val="20"/>
        </w:rPr>
        <w:t>of</w:t>
      </w:r>
      <w:r>
        <w:rPr>
          <w:rFonts w:ascii="Trebuchet MS" w:hAnsi="Trebuchet MS"/>
          <w:color w:val="231F20"/>
          <w:spacing w:val="-11"/>
          <w:sz w:val="20"/>
        </w:rPr>
        <w:t xml:space="preserve"> </w:t>
      </w:r>
      <w:r>
        <w:rPr>
          <w:rFonts w:ascii="Trebuchet MS" w:hAnsi="Trebuchet MS"/>
          <w:color w:val="231F20"/>
          <w:sz w:val="20"/>
        </w:rPr>
        <w:t>personal</w:t>
      </w:r>
      <w:r>
        <w:rPr>
          <w:rFonts w:ascii="Trebuchet MS" w:hAnsi="Trebuchet MS"/>
          <w:color w:val="231F20"/>
          <w:spacing w:val="-11"/>
          <w:sz w:val="20"/>
        </w:rPr>
        <w:t xml:space="preserve"> </w:t>
      </w:r>
      <w:r>
        <w:rPr>
          <w:rFonts w:ascii="Trebuchet MS" w:hAnsi="Trebuchet MS"/>
          <w:color w:val="231F20"/>
          <w:sz w:val="20"/>
        </w:rPr>
        <w:t>safety</w:t>
      </w:r>
      <w:r>
        <w:rPr>
          <w:rFonts w:ascii="Trebuchet MS" w:hAnsi="Trebuchet MS"/>
          <w:color w:val="231F20"/>
          <w:spacing w:val="-11"/>
          <w:sz w:val="20"/>
        </w:rPr>
        <w:t xml:space="preserve"> </w:t>
      </w:r>
      <w:r>
        <w:rPr>
          <w:rFonts w:ascii="Trebuchet MS" w:hAnsi="Trebuchet MS"/>
          <w:color w:val="231F20"/>
          <w:sz w:val="20"/>
        </w:rPr>
        <w:t>intervention</w:t>
      </w:r>
      <w:r>
        <w:rPr>
          <w:rFonts w:ascii="Trebuchet MS" w:hAnsi="Trebuchet MS"/>
          <w:color w:val="231F20"/>
          <w:spacing w:val="-12"/>
          <w:sz w:val="20"/>
        </w:rPr>
        <w:t xml:space="preserve"> </w:t>
      </w:r>
      <w:r>
        <w:rPr>
          <w:rFonts w:ascii="Trebuchet MS" w:hAnsi="Trebuchet MS"/>
          <w:color w:val="231F20"/>
          <w:sz w:val="20"/>
        </w:rPr>
        <w:t>orders</w:t>
      </w:r>
      <w:r>
        <w:rPr>
          <w:rFonts w:ascii="Trebuchet MS" w:hAnsi="Trebuchet MS"/>
          <w:color w:val="231F20"/>
          <w:spacing w:val="-11"/>
          <w:sz w:val="20"/>
        </w:rPr>
        <w:t xml:space="preserve"> </w:t>
      </w:r>
      <w:r>
        <w:rPr>
          <w:rFonts w:ascii="Trebuchet MS" w:hAnsi="Trebuchet MS"/>
          <w:color w:val="231F20"/>
          <w:sz w:val="20"/>
        </w:rPr>
        <w:t>on</w:t>
      </w:r>
      <w:r>
        <w:rPr>
          <w:rFonts w:ascii="Trebuchet MS" w:hAnsi="Trebuchet MS"/>
          <w:color w:val="231F20"/>
          <w:spacing w:val="-11"/>
          <w:sz w:val="20"/>
        </w:rPr>
        <w:t xml:space="preserve"> </w:t>
      </w:r>
      <w:r>
        <w:rPr>
          <w:rFonts w:ascii="Trebuchet MS" w:hAnsi="Trebuchet MS"/>
          <w:color w:val="231F20"/>
          <w:sz w:val="20"/>
        </w:rPr>
        <w:t>children</w:t>
      </w:r>
    </w:p>
    <w:p w14:paraId="0AC7D0B0" w14:textId="77777777" w:rsidR="00894070" w:rsidRDefault="009B7AFD">
      <w:pPr>
        <w:pStyle w:val="ListParagraph"/>
        <w:numPr>
          <w:ilvl w:val="1"/>
          <w:numId w:val="129"/>
        </w:numPr>
        <w:tabs>
          <w:tab w:val="left" w:pos="2934"/>
          <w:tab w:val="left" w:pos="2935"/>
        </w:tabs>
        <w:spacing w:before="92" w:line="247" w:lineRule="auto"/>
        <w:ind w:right="1928" w:hanging="566"/>
        <w:rPr>
          <w:rFonts w:ascii="Trebuchet MS" w:hAnsi="Trebuchet MS"/>
          <w:sz w:val="20"/>
        </w:rPr>
      </w:pPr>
      <w:r>
        <w:rPr>
          <w:rFonts w:ascii="Trebuchet MS" w:hAnsi="Trebuchet MS"/>
          <w:color w:val="231F20"/>
          <w:spacing w:val="-3"/>
          <w:w w:val="105"/>
          <w:sz w:val="20"/>
        </w:rPr>
        <w:t>how</w:t>
      </w:r>
      <w:r>
        <w:rPr>
          <w:rFonts w:ascii="Trebuchet MS" w:hAnsi="Trebuchet MS"/>
          <w:color w:val="231F20"/>
          <w:spacing w:val="-25"/>
          <w:w w:val="105"/>
          <w:sz w:val="20"/>
        </w:rPr>
        <w:t xml:space="preserve"> </w:t>
      </w:r>
      <w:r>
        <w:rPr>
          <w:rFonts w:ascii="Trebuchet MS" w:hAnsi="Trebuchet MS"/>
          <w:color w:val="231F20"/>
          <w:w w:val="105"/>
          <w:sz w:val="20"/>
        </w:rPr>
        <w:t>to</w:t>
      </w:r>
      <w:r>
        <w:rPr>
          <w:rFonts w:ascii="Trebuchet MS" w:hAnsi="Trebuchet MS"/>
          <w:color w:val="231F20"/>
          <w:spacing w:val="-25"/>
          <w:w w:val="105"/>
          <w:sz w:val="20"/>
        </w:rPr>
        <w:t xml:space="preserve"> </w:t>
      </w:r>
      <w:r>
        <w:rPr>
          <w:rFonts w:ascii="Trebuchet MS" w:hAnsi="Trebuchet MS"/>
          <w:color w:val="231F20"/>
          <w:w w:val="105"/>
          <w:sz w:val="20"/>
        </w:rPr>
        <w:t>frame</w:t>
      </w:r>
      <w:r>
        <w:rPr>
          <w:rFonts w:ascii="Trebuchet MS" w:hAnsi="Trebuchet MS"/>
          <w:color w:val="231F20"/>
          <w:spacing w:val="-25"/>
          <w:w w:val="105"/>
          <w:sz w:val="20"/>
        </w:rPr>
        <w:t xml:space="preserve"> </w:t>
      </w:r>
      <w:r>
        <w:rPr>
          <w:rFonts w:ascii="Trebuchet MS" w:hAnsi="Trebuchet MS"/>
          <w:color w:val="231F20"/>
          <w:w w:val="105"/>
          <w:sz w:val="20"/>
        </w:rPr>
        <w:t>conditions</w:t>
      </w:r>
      <w:r>
        <w:rPr>
          <w:rFonts w:ascii="Trebuchet MS" w:hAnsi="Trebuchet MS"/>
          <w:color w:val="231F20"/>
          <w:spacing w:val="-25"/>
          <w:w w:val="105"/>
          <w:sz w:val="20"/>
        </w:rPr>
        <w:t xml:space="preserve"> </w:t>
      </w:r>
      <w:r>
        <w:rPr>
          <w:rFonts w:ascii="Trebuchet MS" w:hAnsi="Trebuchet MS"/>
          <w:color w:val="231F20"/>
          <w:w w:val="105"/>
          <w:sz w:val="20"/>
        </w:rPr>
        <w:t>of</w:t>
      </w:r>
      <w:r>
        <w:rPr>
          <w:rFonts w:ascii="Trebuchet MS" w:hAnsi="Trebuchet MS"/>
          <w:color w:val="231F20"/>
          <w:spacing w:val="-25"/>
          <w:w w:val="105"/>
          <w:sz w:val="20"/>
        </w:rPr>
        <w:t xml:space="preserve"> </w:t>
      </w:r>
      <w:r>
        <w:rPr>
          <w:rFonts w:ascii="Trebuchet MS" w:hAnsi="Trebuchet MS"/>
          <w:color w:val="231F20"/>
          <w:w w:val="105"/>
          <w:sz w:val="20"/>
        </w:rPr>
        <w:t>personal</w:t>
      </w:r>
      <w:r>
        <w:rPr>
          <w:rFonts w:ascii="Trebuchet MS" w:hAnsi="Trebuchet MS"/>
          <w:color w:val="231F20"/>
          <w:spacing w:val="-25"/>
          <w:w w:val="105"/>
          <w:sz w:val="20"/>
        </w:rPr>
        <w:t xml:space="preserve"> </w:t>
      </w:r>
      <w:r>
        <w:rPr>
          <w:rFonts w:ascii="Trebuchet MS" w:hAnsi="Trebuchet MS"/>
          <w:color w:val="231F20"/>
          <w:w w:val="105"/>
          <w:sz w:val="20"/>
        </w:rPr>
        <w:t>safety</w:t>
      </w:r>
      <w:r>
        <w:rPr>
          <w:rFonts w:ascii="Trebuchet MS" w:hAnsi="Trebuchet MS"/>
          <w:color w:val="231F20"/>
          <w:spacing w:val="-24"/>
          <w:w w:val="105"/>
          <w:sz w:val="20"/>
        </w:rPr>
        <w:t xml:space="preserve"> </w:t>
      </w:r>
      <w:r>
        <w:rPr>
          <w:rFonts w:ascii="Trebuchet MS" w:hAnsi="Trebuchet MS"/>
          <w:color w:val="231F20"/>
          <w:w w:val="105"/>
          <w:sz w:val="20"/>
        </w:rPr>
        <w:t>intervention</w:t>
      </w:r>
      <w:r>
        <w:rPr>
          <w:rFonts w:ascii="Trebuchet MS" w:hAnsi="Trebuchet MS"/>
          <w:color w:val="231F20"/>
          <w:spacing w:val="-25"/>
          <w:w w:val="105"/>
          <w:sz w:val="20"/>
        </w:rPr>
        <w:t xml:space="preserve"> </w:t>
      </w:r>
      <w:r>
        <w:rPr>
          <w:rFonts w:ascii="Trebuchet MS" w:hAnsi="Trebuchet MS"/>
          <w:color w:val="231F20"/>
          <w:w w:val="105"/>
          <w:sz w:val="20"/>
        </w:rPr>
        <w:t>orders</w:t>
      </w:r>
      <w:r>
        <w:rPr>
          <w:rFonts w:ascii="Trebuchet MS" w:hAnsi="Trebuchet MS"/>
          <w:color w:val="231F20"/>
          <w:spacing w:val="-25"/>
          <w:w w:val="105"/>
          <w:sz w:val="20"/>
        </w:rPr>
        <w:t xml:space="preserve"> </w:t>
      </w:r>
      <w:r>
        <w:rPr>
          <w:rFonts w:ascii="Trebuchet MS" w:hAnsi="Trebuchet MS"/>
          <w:color w:val="231F20"/>
          <w:w w:val="105"/>
          <w:sz w:val="20"/>
        </w:rPr>
        <w:t>for cyberstalking</w:t>
      </w:r>
    </w:p>
    <w:p w14:paraId="2E9D958E" w14:textId="77777777" w:rsidR="00894070" w:rsidRDefault="009B7AFD">
      <w:pPr>
        <w:pStyle w:val="ListParagraph"/>
        <w:numPr>
          <w:ilvl w:val="1"/>
          <w:numId w:val="129"/>
        </w:numPr>
        <w:tabs>
          <w:tab w:val="left" w:pos="2934"/>
          <w:tab w:val="left" w:pos="2935"/>
        </w:tabs>
        <w:spacing w:before="87"/>
        <w:ind w:hanging="566"/>
        <w:rPr>
          <w:rFonts w:ascii="Trebuchet MS" w:hAnsi="Trebuchet MS"/>
          <w:sz w:val="20"/>
        </w:rPr>
      </w:pP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w w:val="108"/>
          <w:sz w:val="20"/>
        </w:rPr>
        <w:t>n</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spacing w:val="-2"/>
          <w:w w:val="112"/>
          <w:sz w:val="20"/>
        </w:rPr>
        <w:t>d</w:t>
      </w:r>
      <w:r>
        <w:rPr>
          <w:rFonts w:ascii="Trebuchet MS" w:hAnsi="Trebuchet MS"/>
          <w:color w:val="231F20"/>
          <w:spacing w:val="-1"/>
          <w:w w:val="102"/>
          <w:sz w:val="20"/>
        </w:rPr>
        <w:t>e</w:t>
      </w:r>
      <w:r>
        <w:rPr>
          <w:rFonts w:ascii="Trebuchet MS" w:hAnsi="Trebuchet MS"/>
          <w:color w:val="231F20"/>
          <w:w w:val="102"/>
          <w:sz w:val="20"/>
        </w:rPr>
        <w:t>r</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3"/>
          <w:w w:val="115"/>
          <w:sz w:val="20"/>
        </w:rPr>
        <w:t>-</w:t>
      </w:r>
      <w:r>
        <w:rPr>
          <w:rFonts w:ascii="Trebuchet MS" w:hAnsi="Trebuchet MS"/>
          <w:color w:val="231F20"/>
          <w:spacing w:val="-1"/>
          <w:w w:val="122"/>
          <w:sz w:val="20"/>
        </w:rPr>
        <w:t>s</w:t>
      </w:r>
      <w:r>
        <w:rPr>
          <w:rFonts w:ascii="Trebuchet MS" w:hAnsi="Trebuchet MS"/>
          <w:color w:val="231F20"/>
          <w:spacing w:val="-1"/>
          <w:w w:val="108"/>
          <w:sz w:val="20"/>
        </w:rPr>
        <w:t>e</w:t>
      </w:r>
      <w:r>
        <w:rPr>
          <w:rFonts w:ascii="Trebuchet MS" w:hAnsi="Trebuchet MS"/>
          <w:color w:val="231F20"/>
          <w:spacing w:val="-4"/>
          <w:w w:val="108"/>
          <w:sz w:val="20"/>
        </w:rPr>
        <w:t>n</w:t>
      </w:r>
      <w:r>
        <w:rPr>
          <w:rFonts w:ascii="Trebuchet MS" w:hAnsi="Trebuchet MS"/>
          <w:color w:val="231F20"/>
          <w:spacing w:val="-4"/>
          <w:w w:val="88"/>
          <w:sz w:val="20"/>
        </w:rPr>
        <w:t>t</w:t>
      </w:r>
      <w:r>
        <w:rPr>
          <w:rFonts w:ascii="Trebuchet MS" w:hAnsi="Trebuchet MS"/>
          <w:color w:val="231F20"/>
          <w:spacing w:val="-1"/>
          <w:w w:val="108"/>
          <w:sz w:val="20"/>
        </w:rPr>
        <w:t>en</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
          <w:w w:val="122"/>
          <w:sz w:val="20"/>
        </w:rPr>
        <w:t>ss</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spacing w:val="-2"/>
          <w:w w:val="122"/>
          <w:sz w:val="20"/>
        </w:rPr>
        <w:t>s</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8"/>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1"/>
          <w:w w:val="110"/>
          <w:sz w:val="20"/>
        </w:rPr>
        <w:t>epo</w:t>
      </w:r>
      <w:r>
        <w:rPr>
          <w:rFonts w:ascii="Trebuchet MS" w:hAnsi="Trebuchet MS"/>
          <w:color w:val="231F20"/>
          <w:spacing w:val="2"/>
          <w:w w:val="93"/>
          <w:sz w:val="20"/>
        </w:rPr>
        <w:t>r</w:t>
      </w:r>
      <w:r>
        <w:rPr>
          <w:rFonts w:ascii="Trebuchet MS" w:hAnsi="Trebuchet MS"/>
          <w:color w:val="231F20"/>
          <w:spacing w:val="1"/>
          <w:w w:val="88"/>
          <w:sz w:val="20"/>
        </w:rPr>
        <w:t>t</w:t>
      </w:r>
      <w:r>
        <w:rPr>
          <w:rFonts w:ascii="Trebuchet MS" w:hAnsi="Trebuchet MS"/>
          <w:color w:val="231F20"/>
          <w:w w:val="55"/>
          <w:sz w:val="20"/>
        </w:rPr>
        <w:t>.</w:t>
      </w:r>
    </w:p>
    <w:p w14:paraId="6E7F231A" w14:textId="77777777" w:rsidR="00894070" w:rsidRDefault="00894070">
      <w:pPr>
        <w:pStyle w:val="BodyText"/>
        <w:rPr>
          <w:rFonts w:ascii="Trebuchet MS"/>
        </w:rPr>
      </w:pPr>
    </w:p>
    <w:p w14:paraId="1E729755" w14:textId="77777777" w:rsidR="00894070" w:rsidRDefault="00894070">
      <w:pPr>
        <w:pStyle w:val="BodyText"/>
        <w:rPr>
          <w:rFonts w:ascii="Trebuchet MS"/>
        </w:rPr>
      </w:pPr>
    </w:p>
    <w:p w14:paraId="2D244729" w14:textId="77777777" w:rsidR="00894070" w:rsidRDefault="00894070">
      <w:pPr>
        <w:pStyle w:val="BodyText"/>
        <w:rPr>
          <w:rFonts w:ascii="Trebuchet MS"/>
        </w:rPr>
      </w:pPr>
    </w:p>
    <w:p w14:paraId="63CABAF9" w14:textId="77777777" w:rsidR="00894070" w:rsidRDefault="00894070">
      <w:pPr>
        <w:pStyle w:val="BodyText"/>
        <w:rPr>
          <w:rFonts w:ascii="Trebuchet MS"/>
        </w:rPr>
      </w:pPr>
    </w:p>
    <w:p w14:paraId="7373BC71" w14:textId="77777777" w:rsidR="00894070" w:rsidRDefault="009F6793">
      <w:pPr>
        <w:pStyle w:val="BodyText"/>
        <w:spacing w:before="3"/>
        <w:rPr>
          <w:rFonts w:ascii="Trebuchet MS"/>
          <w:sz w:val="25"/>
        </w:rPr>
      </w:pPr>
      <w:r>
        <w:pict w14:anchorId="00EC2D20">
          <v:line id="_x0000_s1448" style="position:absolute;z-index:251577344;mso-wrap-distance-left:0;mso-wrap-distance-right:0;mso-position-horizontal-relative:page" from="79.35pt,17.1pt" to="515.9pt,17.1pt" strokecolor="#f8cabc" strokeweight="1pt">
            <w10:wrap type="topAndBottom" anchorx="page"/>
          </v:line>
        </w:pict>
      </w:r>
    </w:p>
    <w:p w14:paraId="3A114106" w14:textId="77777777" w:rsidR="00894070" w:rsidRDefault="009B7AFD">
      <w:pPr>
        <w:pStyle w:val="ListParagraph"/>
        <w:numPr>
          <w:ilvl w:val="0"/>
          <w:numId w:val="131"/>
        </w:numPr>
        <w:tabs>
          <w:tab w:val="left" w:pos="1801"/>
          <w:tab w:val="left" w:pos="1802"/>
        </w:tabs>
        <w:spacing w:before="91" w:line="170" w:lineRule="exact"/>
        <w:rPr>
          <w:sz w:val="13"/>
        </w:rPr>
      </w:pPr>
      <w:r>
        <w:rPr>
          <w:color w:val="231F20"/>
          <w:sz w:val="13"/>
        </w:rPr>
        <w:t xml:space="preserve">Consultation 9 </w:t>
      </w:r>
      <w:r>
        <w:rPr>
          <w:color w:val="231F20"/>
          <w:spacing w:val="2"/>
          <w:sz w:val="13"/>
        </w:rPr>
        <w:t xml:space="preserve">(Judicial </w:t>
      </w:r>
      <w:r>
        <w:rPr>
          <w:color w:val="231F20"/>
          <w:sz w:val="13"/>
        </w:rPr>
        <w:t>College of</w:t>
      </w:r>
      <w:r>
        <w:rPr>
          <w:color w:val="231F20"/>
          <w:spacing w:val="-1"/>
          <w:sz w:val="13"/>
        </w:rPr>
        <w:t xml:space="preserve"> </w:t>
      </w:r>
      <w:r>
        <w:rPr>
          <w:color w:val="231F20"/>
          <w:sz w:val="13"/>
        </w:rPr>
        <w:t>Victoria).</w:t>
      </w:r>
    </w:p>
    <w:p w14:paraId="42F85454" w14:textId="77777777" w:rsidR="00894070" w:rsidRDefault="009F6793">
      <w:pPr>
        <w:pStyle w:val="ListParagraph"/>
        <w:numPr>
          <w:ilvl w:val="0"/>
          <w:numId w:val="131"/>
        </w:numPr>
        <w:tabs>
          <w:tab w:val="left" w:pos="1801"/>
          <w:tab w:val="left" w:pos="1802"/>
        </w:tabs>
        <w:spacing w:line="170" w:lineRule="exact"/>
        <w:rPr>
          <w:sz w:val="13"/>
        </w:rPr>
      </w:pPr>
      <w:r>
        <w:pict w14:anchorId="7F8BC30B">
          <v:shape id="_x0000_s1447" type="#_x0000_t202" style="position:absolute;left:0;text-align:left;margin-left:548.95pt;margin-top:-4.3pt;width:13.2pt;height:14.1pt;z-index:251650048;mso-position-horizontal-relative:page" filled="f" stroked="f">
            <v:textbox inset="0,0,0,0">
              <w:txbxContent>
                <w:p w14:paraId="400BAA24" w14:textId="77777777" w:rsidR="00894070" w:rsidRDefault="009B7AFD">
                  <w:pPr>
                    <w:spacing w:line="282" w:lineRule="exact"/>
                    <w:rPr>
                      <w:b/>
                      <w:sz w:val="24"/>
                    </w:rPr>
                  </w:pPr>
                  <w:r>
                    <w:rPr>
                      <w:b/>
                      <w:color w:val="EA5B50"/>
                      <w:spacing w:val="-3"/>
                      <w:sz w:val="24"/>
                    </w:rPr>
                    <w:t>73</w:t>
                  </w:r>
                </w:p>
              </w:txbxContent>
            </v:textbox>
            <w10:wrap anchorx="page"/>
          </v:shape>
        </w:pict>
      </w:r>
      <w:r w:rsidR="009B7AFD">
        <w:rPr>
          <w:color w:val="231F20"/>
          <w:sz w:val="13"/>
        </w:rPr>
        <w:t>Ibid.</w:t>
      </w:r>
    </w:p>
    <w:p w14:paraId="4BC7E97D" w14:textId="77777777" w:rsidR="00894070" w:rsidRDefault="00894070">
      <w:pPr>
        <w:spacing w:line="170" w:lineRule="exact"/>
        <w:rPr>
          <w:sz w:val="13"/>
        </w:rPr>
        <w:sectPr w:rsidR="00894070">
          <w:pgSz w:w="11910" w:h="16840"/>
          <w:pgMar w:top="840" w:right="420" w:bottom="280" w:left="580" w:header="0" w:footer="0" w:gutter="0"/>
          <w:cols w:space="720"/>
        </w:sectPr>
      </w:pPr>
    </w:p>
    <w:p w14:paraId="4F554B7B" w14:textId="77777777" w:rsidR="00894070" w:rsidRDefault="009F6793">
      <w:pPr>
        <w:pStyle w:val="BodyText"/>
      </w:pPr>
      <w:r>
        <w:lastRenderedPageBreak/>
        <w:pict w14:anchorId="2FC67376">
          <v:rect id="_x0000_s1446" style="position:absolute;margin-left:79.35pt;margin-top:0;width:515.9pt;height:841.9pt;z-index:251651072;mso-position-horizontal-relative:page;mso-position-vertical-relative:page" fillcolor="#ea5b50" stroked="f">
            <w10:wrap anchorx="page" anchory="page"/>
          </v:rect>
        </w:pict>
      </w:r>
    </w:p>
    <w:p w14:paraId="163D9D2E" w14:textId="77777777" w:rsidR="00894070" w:rsidRDefault="00894070">
      <w:pPr>
        <w:pStyle w:val="BodyText"/>
      </w:pPr>
    </w:p>
    <w:p w14:paraId="54C3ABFA" w14:textId="77777777" w:rsidR="00894070" w:rsidRDefault="00894070">
      <w:pPr>
        <w:pStyle w:val="BodyText"/>
      </w:pPr>
    </w:p>
    <w:p w14:paraId="71A96D7C" w14:textId="77777777" w:rsidR="00894070" w:rsidRDefault="00894070">
      <w:pPr>
        <w:pStyle w:val="BodyText"/>
      </w:pPr>
    </w:p>
    <w:p w14:paraId="0BDA1BD2" w14:textId="77777777" w:rsidR="00894070" w:rsidRDefault="00894070">
      <w:pPr>
        <w:pStyle w:val="BodyText"/>
      </w:pPr>
    </w:p>
    <w:p w14:paraId="4969FED0" w14:textId="77777777" w:rsidR="00894070" w:rsidRDefault="00894070">
      <w:pPr>
        <w:pStyle w:val="BodyText"/>
      </w:pPr>
    </w:p>
    <w:p w14:paraId="02613BE5" w14:textId="77777777" w:rsidR="00894070" w:rsidRDefault="00894070">
      <w:pPr>
        <w:pStyle w:val="BodyText"/>
      </w:pPr>
    </w:p>
    <w:p w14:paraId="67437ADC" w14:textId="77777777" w:rsidR="00894070" w:rsidRDefault="00894070">
      <w:pPr>
        <w:pStyle w:val="BodyText"/>
      </w:pPr>
    </w:p>
    <w:p w14:paraId="22CD2C62" w14:textId="77777777" w:rsidR="00894070" w:rsidRDefault="00894070">
      <w:pPr>
        <w:pStyle w:val="BodyText"/>
      </w:pPr>
    </w:p>
    <w:p w14:paraId="342C69A5" w14:textId="77777777" w:rsidR="00894070" w:rsidRDefault="00894070">
      <w:pPr>
        <w:pStyle w:val="BodyText"/>
      </w:pPr>
    </w:p>
    <w:p w14:paraId="26DDA1B4" w14:textId="77777777" w:rsidR="00894070" w:rsidRDefault="00894070">
      <w:pPr>
        <w:pStyle w:val="BodyText"/>
      </w:pPr>
    </w:p>
    <w:p w14:paraId="1F914A2A" w14:textId="77777777" w:rsidR="00894070" w:rsidRDefault="00894070">
      <w:pPr>
        <w:pStyle w:val="BodyText"/>
      </w:pPr>
    </w:p>
    <w:p w14:paraId="23D6E395" w14:textId="77777777" w:rsidR="00894070" w:rsidRDefault="00894070">
      <w:pPr>
        <w:pStyle w:val="BodyText"/>
      </w:pPr>
    </w:p>
    <w:p w14:paraId="05E5990F" w14:textId="77777777" w:rsidR="00894070" w:rsidRDefault="00894070">
      <w:pPr>
        <w:pStyle w:val="BodyText"/>
      </w:pPr>
    </w:p>
    <w:p w14:paraId="542D8454" w14:textId="77777777" w:rsidR="00894070" w:rsidRDefault="00894070">
      <w:pPr>
        <w:pStyle w:val="BodyText"/>
      </w:pPr>
    </w:p>
    <w:p w14:paraId="713A66F9" w14:textId="77777777" w:rsidR="00894070" w:rsidRDefault="00894070">
      <w:pPr>
        <w:pStyle w:val="BodyText"/>
      </w:pPr>
    </w:p>
    <w:p w14:paraId="688D6434" w14:textId="77777777" w:rsidR="00894070" w:rsidRDefault="00894070">
      <w:pPr>
        <w:pStyle w:val="BodyText"/>
      </w:pPr>
    </w:p>
    <w:p w14:paraId="134A0193" w14:textId="77777777" w:rsidR="00894070" w:rsidRDefault="00894070">
      <w:pPr>
        <w:pStyle w:val="BodyText"/>
      </w:pPr>
    </w:p>
    <w:p w14:paraId="192B2059" w14:textId="77777777" w:rsidR="00894070" w:rsidRDefault="00894070">
      <w:pPr>
        <w:pStyle w:val="BodyText"/>
      </w:pPr>
    </w:p>
    <w:p w14:paraId="2684B5CC" w14:textId="77777777" w:rsidR="00894070" w:rsidRDefault="00894070">
      <w:pPr>
        <w:pStyle w:val="BodyText"/>
      </w:pPr>
    </w:p>
    <w:p w14:paraId="4C3F272E" w14:textId="77777777" w:rsidR="00894070" w:rsidRDefault="00894070">
      <w:pPr>
        <w:pStyle w:val="BodyText"/>
      </w:pPr>
    </w:p>
    <w:p w14:paraId="2DCEE1E9" w14:textId="77777777" w:rsidR="00894070" w:rsidRDefault="00894070">
      <w:pPr>
        <w:pStyle w:val="BodyText"/>
      </w:pPr>
    </w:p>
    <w:p w14:paraId="74BD6515" w14:textId="77777777" w:rsidR="00894070" w:rsidRDefault="00894070">
      <w:pPr>
        <w:pStyle w:val="BodyText"/>
      </w:pPr>
    </w:p>
    <w:p w14:paraId="20DBD4BC" w14:textId="77777777" w:rsidR="00894070" w:rsidRDefault="00894070">
      <w:pPr>
        <w:pStyle w:val="BodyText"/>
      </w:pPr>
    </w:p>
    <w:p w14:paraId="2C7CFEC0" w14:textId="77777777" w:rsidR="00894070" w:rsidRDefault="00894070">
      <w:pPr>
        <w:pStyle w:val="BodyText"/>
      </w:pPr>
    </w:p>
    <w:p w14:paraId="5245C60B" w14:textId="77777777" w:rsidR="00894070" w:rsidRDefault="00894070">
      <w:pPr>
        <w:pStyle w:val="BodyText"/>
      </w:pPr>
    </w:p>
    <w:p w14:paraId="59CB79F9" w14:textId="77777777" w:rsidR="00894070" w:rsidRDefault="00894070">
      <w:pPr>
        <w:pStyle w:val="BodyText"/>
      </w:pPr>
    </w:p>
    <w:p w14:paraId="6E132776" w14:textId="77777777" w:rsidR="00894070" w:rsidRDefault="00894070">
      <w:pPr>
        <w:pStyle w:val="BodyText"/>
      </w:pPr>
    </w:p>
    <w:p w14:paraId="6FDDCA2F" w14:textId="77777777" w:rsidR="00894070" w:rsidRDefault="00894070">
      <w:pPr>
        <w:pStyle w:val="BodyText"/>
      </w:pPr>
    </w:p>
    <w:p w14:paraId="2AA251B4" w14:textId="77777777" w:rsidR="00894070" w:rsidRDefault="00894070">
      <w:pPr>
        <w:pStyle w:val="BodyText"/>
      </w:pPr>
    </w:p>
    <w:p w14:paraId="30253E22" w14:textId="77777777" w:rsidR="00894070" w:rsidRDefault="00894070">
      <w:pPr>
        <w:pStyle w:val="BodyText"/>
      </w:pPr>
    </w:p>
    <w:p w14:paraId="1FCD6CBB" w14:textId="77777777" w:rsidR="00894070" w:rsidRDefault="00894070">
      <w:pPr>
        <w:pStyle w:val="BodyText"/>
      </w:pPr>
    </w:p>
    <w:p w14:paraId="26D0F543" w14:textId="77777777" w:rsidR="00894070" w:rsidRDefault="00894070">
      <w:pPr>
        <w:pStyle w:val="BodyText"/>
      </w:pPr>
    </w:p>
    <w:p w14:paraId="395DCF13" w14:textId="77777777" w:rsidR="00894070" w:rsidRDefault="00894070">
      <w:pPr>
        <w:pStyle w:val="BodyText"/>
      </w:pPr>
    </w:p>
    <w:p w14:paraId="5EDDED88" w14:textId="77777777" w:rsidR="00894070" w:rsidRDefault="00894070">
      <w:pPr>
        <w:pStyle w:val="BodyText"/>
      </w:pPr>
    </w:p>
    <w:p w14:paraId="02EE6E40" w14:textId="77777777" w:rsidR="00894070" w:rsidRDefault="00894070">
      <w:pPr>
        <w:pStyle w:val="BodyText"/>
      </w:pPr>
    </w:p>
    <w:p w14:paraId="100839B0" w14:textId="77777777" w:rsidR="00894070" w:rsidRDefault="00894070">
      <w:pPr>
        <w:pStyle w:val="BodyText"/>
      </w:pPr>
    </w:p>
    <w:p w14:paraId="2699BD67" w14:textId="77777777" w:rsidR="00894070" w:rsidRDefault="00894070">
      <w:pPr>
        <w:pStyle w:val="BodyText"/>
      </w:pPr>
    </w:p>
    <w:p w14:paraId="7303E631" w14:textId="77777777" w:rsidR="00894070" w:rsidRDefault="00894070">
      <w:pPr>
        <w:pStyle w:val="BodyText"/>
      </w:pPr>
    </w:p>
    <w:p w14:paraId="77A2D478" w14:textId="77777777" w:rsidR="00894070" w:rsidRDefault="00894070">
      <w:pPr>
        <w:pStyle w:val="BodyText"/>
      </w:pPr>
    </w:p>
    <w:p w14:paraId="3CBDE45F" w14:textId="77777777" w:rsidR="00894070" w:rsidRDefault="00894070">
      <w:pPr>
        <w:pStyle w:val="BodyText"/>
      </w:pPr>
    </w:p>
    <w:p w14:paraId="5BEEF630" w14:textId="77777777" w:rsidR="00894070" w:rsidRDefault="00894070">
      <w:pPr>
        <w:pStyle w:val="BodyText"/>
      </w:pPr>
    </w:p>
    <w:p w14:paraId="79677BEE" w14:textId="77777777" w:rsidR="00894070" w:rsidRDefault="00894070">
      <w:pPr>
        <w:pStyle w:val="BodyText"/>
      </w:pPr>
    </w:p>
    <w:p w14:paraId="120A5A44" w14:textId="77777777" w:rsidR="00894070" w:rsidRDefault="00894070">
      <w:pPr>
        <w:pStyle w:val="BodyText"/>
      </w:pPr>
    </w:p>
    <w:p w14:paraId="32359F79" w14:textId="77777777" w:rsidR="00894070" w:rsidRDefault="00894070">
      <w:pPr>
        <w:pStyle w:val="BodyText"/>
      </w:pPr>
    </w:p>
    <w:p w14:paraId="4E33A459" w14:textId="77777777" w:rsidR="00894070" w:rsidRDefault="00894070">
      <w:pPr>
        <w:pStyle w:val="BodyText"/>
      </w:pPr>
    </w:p>
    <w:p w14:paraId="2E34B76F" w14:textId="77777777" w:rsidR="00894070" w:rsidRDefault="00894070">
      <w:pPr>
        <w:pStyle w:val="BodyText"/>
      </w:pPr>
    </w:p>
    <w:p w14:paraId="376DF3A4" w14:textId="77777777" w:rsidR="00894070" w:rsidRDefault="00894070">
      <w:pPr>
        <w:pStyle w:val="BodyText"/>
      </w:pPr>
    </w:p>
    <w:p w14:paraId="1028BE03" w14:textId="77777777" w:rsidR="00894070" w:rsidRDefault="00894070">
      <w:pPr>
        <w:pStyle w:val="BodyText"/>
      </w:pPr>
    </w:p>
    <w:p w14:paraId="060E2DFE" w14:textId="77777777" w:rsidR="00894070" w:rsidRDefault="00894070">
      <w:pPr>
        <w:pStyle w:val="BodyText"/>
      </w:pPr>
    </w:p>
    <w:p w14:paraId="690725E3" w14:textId="77777777" w:rsidR="00894070" w:rsidRDefault="00894070">
      <w:pPr>
        <w:pStyle w:val="BodyText"/>
      </w:pPr>
    </w:p>
    <w:p w14:paraId="524573A5" w14:textId="77777777" w:rsidR="00894070" w:rsidRDefault="00894070">
      <w:pPr>
        <w:pStyle w:val="BodyText"/>
        <w:spacing w:before="10"/>
        <w:rPr>
          <w:sz w:val="14"/>
        </w:rPr>
      </w:pPr>
    </w:p>
    <w:p w14:paraId="4D725649" w14:textId="77777777" w:rsidR="00894070" w:rsidRDefault="009B7AFD">
      <w:pPr>
        <w:pStyle w:val="Heading8"/>
        <w:spacing w:before="49"/>
        <w:ind w:left="140"/>
      </w:pPr>
      <w:r>
        <w:rPr>
          <w:color w:val="EA5B50"/>
        </w:rPr>
        <w:t>74</w:t>
      </w:r>
    </w:p>
    <w:p w14:paraId="36650417" w14:textId="77777777" w:rsidR="00894070" w:rsidRDefault="00894070">
      <w:pPr>
        <w:sectPr w:rsidR="00894070">
          <w:headerReference w:type="even" r:id="rId136"/>
          <w:pgSz w:w="11910" w:h="16840"/>
          <w:pgMar w:top="1580" w:right="420" w:bottom="280" w:left="580" w:header="0" w:footer="0" w:gutter="0"/>
          <w:cols w:space="720"/>
        </w:sectPr>
      </w:pPr>
    </w:p>
    <w:p w14:paraId="5C5AAA77" w14:textId="77777777" w:rsidR="00894070" w:rsidRDefault="009F6793">
      <w:pPr>
        <w:pStyle w:val="BodyText"/>
        <w:rPr>
          <w:b/>
          <w:sz w:val="11"/>
        </w:rPr>
      </w:pPr>
      <w:r>
        <w:lastRenderedPageBreak/>
        <w:pict w14:anchorId="6B483BA0">
          <v:rect id="_x0000_s1445" style="position:absolute;margin-left:0;margin-top:0;width:595.3pt;height:841.9pt;z-index:-251500544;mso-position-horizontal-relative:page;mso-position-vertical-relative:page" fillcolor="#ea5b50" stroked="f">
            <w10:wrap anchorx="page" anchory="page"/>
          </v:rect>
        </w:pict>
      </w:r>
    </w:p>
    <w:p w14:paraId="1D4A7558" w14:textId="77777777" w:rsidR="00894070" w:rsidRDefault="009F6793">
      <w:pPr>
        <w:spacing w:line="688" w:lineRule="exact"/>
        <w:ind w:right="705"/>
        <w:jc w:val="right"/>
        <w:rPr>
          <w:rFonts w:ascii="Raleway SemiBold"/>
          <w:b/>
          <w:sz w:val="50"/>
        </w:rPr>
      </w:pPr>
      <w:r>
        <w:pict w14:anchorId="4D244716">
          <v:shape id="_x0000_s1444" type="#_x0000_t202" style="position:absolute;left:0;text-align:left;margin-left:410.8pt;margin-top:-3.3pt;width:136.25pt;height:152.65pt;z-index:-251499520;mso-position-horizontal-relative:page" filled="f" stroked="f">
            <v:textbox inset="0,0,0,0">
              <w:txbxContent>
                <w:p w14:paraId="5EF1A899" w14:textId="77777777" w:rsidR="00894070" w:rsidRDefault="009B7AFD">
                  <w:pPr>
                    <w:spacing w:line="3052" w:lineRule="exact"/>
                    <w:rPr>
                      <w:b/>
                      <w:sz w:val="260"/>
                    </w:rPr>
                  </w:pPr>
                  <w:r>
                    <w:rPr>
                      <w:b/>
                      <w:color w:val="FFFFFF"/>
                      <w:spacing w:val="-156"/>
                      <w:sz w:val="260"/>
                    </w:rPr>
                    <w:t>05</w:t>
                  </w:r>
                </w:p>
              </w:txbxContent>
            </v:textbox>
            <w10:wrap anchorx="page"/>
          </v:shape>
        </w:pict>
      </w:r>
      <w:r w:rsidR="009B7AFD">
        <w:rPr>
          <w:rFonts w:ascii="Raleway SemiBold"/>
          <w:b/>
          <w:color w:val="FFFFFF"/>
          <w:sz w:val="50"/>
        </w:rPr>
        <w:t>CHAPTER</w:t>
      </w:r>
    </w:p>
    <w:p w14:paraId="4C8469D7" w14:textId="77777777" w:rsidR="00894070" w:rsidRDefault="00894070">
      <w:pPr>
        <w:pStyle w:val="BodyText"/>
        <w:rPr>
          <w:rFonts w:ascii="Raleway SemiBold"/>
          <w:b/>
        </w:rPr>
      </w:pPr>
    </w:p>
    <w:p w14:paraId="0EDD31C7" w14:textId="77777777" w:rsidR="00894070" w:rsidRDefault="00894070">
      <w:pPr>
        <w:pStyle w:val="BodyText"/>
        <w:rPr>
          <w:rFonts w:ascii="Raleway SemiBold"/>
          <w:b/>
        </w:rPr>
      </w:pPr>
    </w:p>
    <w:p w14:paraId="56CB5C82" w14:textId="77777777" w:rsidR="00894070" w:rsidRDefault="00894070">
      <w:pPr>
        <w:pStyle w:val="BodyText"/>
        <w:rPr>
          <w:rFonts w:ascii="Raleway SemiBold"/>
          <w:b/>
        </w:rPr>
      </w:pPr>
    </w:p>
    <w:p w14:paraId="52A8D06D" w14:textId="77777777" w:rsidR="00894070" w:rsidRDefault="00894070">
      <w:pPr>
        <w:pStyle w:val="BodyText"/>
        <w:rPr>
          <w:rFonts w:ascii="Raleway SemiBold"/>
          <w:b/>
        </w:rPr>
      </w:pPr>
    </w:p>
    <w:p w14:paraId="3150C056" w14:textId="77777777" w:rsidR="00894070" w:rsidRDefault="00894070">
      <w:pPr>
        <w:pStyle w:val="BodyText"/>
        <w:rPr>
          <w:rFonts w:ascii="Raleway SemiBold"/>
          <w:b/>
        </w:rPr>
      </w:pPr>
    </w:p>
    <w:p w14:paraId="01EF7BD0" w14:textId="77777777" w:rsidR="00894070" w:rsidRDefault="00894070">
      <w:pPr>
        <w:pStyle w:val="BodyText"/>
        <w:rPr>
          <w:rFonts w:ascii="Raleway SemiBold"/>
          <w:b/>
        </w:rPr>
      </w:pPr>
    </w:p>
    <w:p w14:paraId="5B6D827F" w14:textId="77777777" w:rsidR="00894070" w:rsidRDefault="00894070">
      <w:pPr>
        <w:pStyle w:val="BodyText"/>
        <w:rPr>
          <w:rFonts w:ascii="Raleway SemiBold"/>
          <w:b/>
        </w:rPr>
      </w:pPr>
    </w:p>
    <w:p w14:paraId="13343B3A" w14:textId="77777777" w:rsidR="00894070" w:rsidRDefault="00894070">
      <w:pPr>
        <w:pStyle w:val="BodyText"/>
        <w:rPr>
          <w:rFonts w:ascii="Raleway SemiBold"/>
          <w:b/>
        </w:rPr>
      </w:pPr>
    </w:p>
    <w:p w14:paraId="55D0D891" w14:textId="77777777" w:rsidR="00894070" w:rsidRDefault="00894070">
      <w:pPr>
        <w:pStyle w:val="BodyText"/>
        <w:rPr>
          <w:rFonts w:ascii="Raleway SemiBold"/>
          <w:b/>
        </w:rPr>
      </w:pPr>
    </w:p>
    <w:p w14:paraId="48110ADE" w14:textId="77777777" w:rsidR="00894070" w:rsidRDefault="00894070">
      <w:pPr>
        <w:pStyle w:val="BodyText"/>
        <w:rPr>
          <w:rFonts w:ascii="Raleway SemiBold"/>
          <w:b/>
        </w:rPr>
      </w:pPr>
    </w:p>
    <w:p w14:paraId="50DAB878" w14:textId="77777777" w:rsidR="00894070" w:rsidRDefault="009B7AFD">
      <w:pPr>
        <w:spacing w:before="320" w:line="180" w:lineRule="auto"/>
        <w:ind w:left="1007" w:right="2172"/>
        <w:rPr>
          <w:rFonts w:ascii="Raleway ExtraBold"/>
          <w:b/>
          <w:sz w:val="88"/>
        </w:rPr>
      </w:pPr>
      <w:r>
        <w:rPr>
          <w:rFonts w:ascii="Raleway ExtraBold"/>
          <w:b/>
          <w:color w:val="FFFFFF"/>
          <w:spacing w:val="-19"/>
          <w:sz w:val="88"/>
        </w:rPr>
        <w:t xml:space="preserve">Supporting </w:t>
      </w:r>
      <w:r>
        <w:rPr>
          <w:rFonts w:ascii="Raleway ExtraBold"/>
          <w:b/>
          <w:color w:val="FFFFFF"/>
          <w:spacing w:val="-18"/>
          <w:sz w:val="88"/>
        </w:rPr>
        <w:t xml:space="preserve">people </w:t>
      </w:r>
      <w:r>
        <w:rPr>
          <w:rFonts w:ascii="Raleway ExtraBold"/>
          <w:b/>
          <w:color w:val="FFFFFF"/>
          <w:spacing w:val="-15"/>
          <w:sz w:val="88"/>
        </w:rPr>
        <w:t xml:space="preserve">who </w:t>
      </w:r>
      <w:r>
        <w:rPr>
          <w:rFonts w:ascii="Raleway ExtraBold"/>
          <w:b/>
          <w:color w:val="FFFFFF"/>
          <w:spacing w:val="-23"/>
          <w:sz w:val="88"/>
        </w:rPr>
        <w:t xml:space="preserve">experience </w:t>
      </w:r>
      <w:r>
        <w:rPr>
          <w:rFonts w:ascii="Raleway ExtraBold"/>
          <w:b/>
          <w:color w:val="FFFFFF"/>
          <w:spacing w:val="-21"/>
          <w:sz w:val="88"/>
        </w:rPr>
        <w:t>stalking</w:t>
      </w:r>
    </w:p>
    <w:p w14:paraId="71E3BAEB" w14:textId="77777777" w:rsidR="00894070" w:rsidRDefault="00894070">
      <w:pPr>
        <w:pStyle w:val="BodyText"/>
        <w:rPr>
          <w:rFonts w:ascii="Raleway ExtraBold"/>
          <w:b/>
        </w:rPr>
      </w:pPr>
    </w:p>
    <w:p w14:paraId="4886B5B8" w14:textId="77777777" w:rsidR="00894070" w:rsidRDefault="00894070">
      <w:pPr>
        <w:pStyle w:val="BodyText"/>
        <w:rPr>
          <w:rFonts w:ascii="Raleway ExtraBold"/>
          <w:b/>
        </w:rPr>
      </w:pPr>
    </w:p>
    <w:p w14:paraId="72F6207E" w14:textId="77777777" w:rsidR="00894070" w:rsidRDefault="00894070">
      <w:pPr>
        <w:pStyle w:val="BodyText"/>
        <w:spacing w:before="8"/>
        <w:rPr>
          <w:rFonts w:ascii="Raleway ExtraBold"/>
          <w:b/>
          <w:sz w:val="27"/>
        </w:rPr>
      </w:pPr>
    </w:p>
    <w:p w14:paraId="67497B01" w14:textId="77777777" w:rsidR="00894070" w:rsidRDefault="009F6793">
      <w:pPr>
        <w:tabs>
          <w:tab w:val="left" w:pos="1588"/>
        </w:tabs>
        <w:spacing w:before="48"/>
        <w:ind w:left="1021"/>
        <w:rPr>
          <w:b/>
          <w:sz w:val="24"/>
        </w:rPr>
      </w:pPr>
      <w:r>
        <w:pict w14:anchorId="03C7E871">
          <v:line id="_x0000_s1443" style="position:absolute;left:0;text-align:left;z-index:251580416;mso-wrap-distance-left:0;mso-wrap-distance-right:0;mso-position-horizontal-relative:page" from="80.1pt,22.9pt" to="105.6pt,22.9pt" strokecolor="#f4a997" strokeweight="2pt">
            <w10:wrap type="topAndBottom" anchorx="page"/>
          </v:line>
        </w:pict>
      </w:r>
      <w:hyperlink w:anchor="_bookmark47" w:history="1">
        <w:r w:rsidR="009B7AFD">
          <w:rPr>
            <w:b/>
            <w:color w:val="FFFFFF"/>
            <w:sz w:val="24"/>
          </w:rPr>
          <w:t>76</w:t>
        </w:r>
        <w:r w:rsidR="009B7AFD">
          <w:rPr>
            <w:b/>
            <w:color w:val="FFFFFF"/>
            <w:sz w:val="24"/>
          </w:rPr>
          <w:tab/>
          <w:t>Overview</w:t>
        </w:r>
      </w:hyperlink>
    </w:p>
    <w:p w14:paraId="0900D1AC" w14:textId="77777777" w:rsidR="00894070" w:rsidRDefault="009F6793">
      <w:pPr>
        <w:pStyle w:val="ListParagraph"/>
        <w:numPr>
          <w:ilvl w:val="0"/>
          <w:numId w:val="128"/>
        </w:numPr>
        <w:tabs>
          <w:tab w:val="left" w:pos="1588"/>
          <w:tab w:val="left" w:pos="1589"/>
        </w:tabs>
        <w:spacing w:before="14" w:after="57"/>
        <w:rPr>
          <w:b/>
          <w:sz w:val="24"/>
        </w:rPr>
      </w:pPr>
      <w:hyperlink w:anchor="_bookmark47" w:history="1">
        <w:r w:rsidR="009B7AFD">
          <w:rPr>
            <w:b/>
            <w:color w:val="FFFFFF"/>
            <w:sz w:val="24"/>
          </w:rPr>
          <w:t>Victim survivors of stalking need more</w:t>
        </w:r>
        <w:r w:rsidR="009B7AFD">
          <w:rPr>
            <w:b/>
            <w:color w:val="FFFFFF"/>
            <w:spacing w:val="-2"/>
            <w:sz w:val="24"/>
          </w:rPr>
          <w:t xml:space="preserve"> </w:t>
        </w:r>
        <w:r w:rsidR="009B7AFD">
          <w:rPr>
            <w:b/>
            <w:color w:val="FFFFFF"/>
            <w:sz w:val="24"/>
          </w:rPr>
          <w:t>support</w:t>
        </w:r>
      </w:hyperlink>
    </w:p>
    <w:p w14:paraId="7F787412" w14:textId="77777777" w:rsidR="00894070" w:rsidRDefault="009F6793">
      <w:pPr>
        <w:pStyle w:val="BodyText"/>
        <w:spacing w:line="40" w:lineRule="exact"/>
        <w:ind w:left="1001"/>
        <w:rPr>
          <w:sz w:val="4"/>
        </w:rPr>
      </w:pPr>
      <w:r>
        <w:rPr>
          <w:sz w:val="4"/>
        </w:rPr>
      </w:r>
      <w:r>
        <w:rPr>
          <w:sz w:val="4"/>
        </w:rPr>
        <w:pict w14:anchorId="03BA915D">
          <v:group id="_x0000_s1441" style="width:25.55pt;height:2pt;mso-position-horizontal-relative:char;mso-position-vertical-relative:line" coordsize="511,40">
            <v:line id="_x0000_s1442" style="position:absolute" from="0,20" to="510,20" strokecolor="#f4a997" strokeweight="2pt"/>
            <w10:anchorlock/>
          </v:group>
        </w:pict>
      </w:r>
    </w:p>
    <w:p w14:paraId="4B09C668" w14:textId="77777777" w:rsidR="00894070" w:rsidRDefault="009F6793">
      <w:pPr>
        <w:pStyle w:val="ListParagraph"/>
        <w:numPr>
          <w:ilvl w:val="0"/>
          <w:numId w:val="128"/>
        </w:numPr>
        <w:tabs>
          <w:tab w:val="left" w:pos="1588"/>
          <w:tab w:val="left" w:pos="1589"/>
        </w:tabs>
        <w:spacing w:before="43"/>
        <w:rPr>
          <w:b/>
          <w:sz w:val="24"/>
        </w:rPr>
      </w:pPr>
      <w:r>
        <w:pict w14:anchorId="2767410D">
          <v:line id="_x0000_s1440" style="position:absolute;left:0;text-align:left;z-index:251581440;mso-wrap-distance-left:0;mso-wrap-distance-right:0;mso-position-horizontal-relative:page" from="80.1pt,22.65pt" to="105.6pt,22.65pt" strokecolor="#f4a997" strokeweight="2pt">
            <w10:wrap type="topAndBottom" anchorx="page"/>
          </v:line>
        </w:pict>
      </w:r>
      <w:hyperlink w:anchor="_bookmark48" w:history="1">
        <w:r w:rsidR="009B7AFD">
          <w:rPr>
            <w:b/>
            <w:color w:val="FFFFFF"/>
            <w:sz w:val="24"/>
          </w:rPr>
          <w:t>Where can people get support for</w:t>
        </w:r>
        <w:r w:rsidR="009B7AFD">
          <w:rPr>
            <w:b/>
            <w:color w:val="FFFFFF"/>
            <w:spacing w:val="-2"/>
            <w:sz w:val="24"/>
          </w:rPr>
          <w:t xml:space="preserve"> </w:t>
        </w:r>
        <w:r w:rsidR="009B7AFD">
          <w:rPr>
            <w:b/>
            <w:color w:val="FFFFFF"/>
            <w:sz w:val="24"/>
          </w:rPr>
          <w:t>stalking?</w:t>
        </w:r>
      </w:hyperlink>
    </w:p>
    <w:p w14:paraId="510D64F6" w14:textId="77777777" w:rsidR="00894070" w:rsidRDefault="009F6793">
      <w:pPr>
        <w:pStyle w:val="ListParagraph"/>
        <w:numPr>
          <w:ilvl w:val="0"/>
          <w:numId w:val="128"/>
        </w:numPr>
        <w:tabs>
          <w:tab w:val="left" w:pos="1588"/>
          <w:tab w:val="left" w:pos="1589"/>
        </w:tabs>
        <w:spacing w:before="14" w:after="57"/>
        <w:rPr>
          <w:b/>
          <w:sz w:val="24"/>
        </w:rPr>
      </w:pPr>
      <w:hyperlink w:anchor="_bookmark49" w:history="1">
        <w:r w:rsidR="009B7AFD">
          <w:rPr>
            <w:b/>
            <w:color w:val="FFFFFF"/>
            <w:sz w:val="24"/>
          </w:rPr>
          <w:t>People who experience stalking need specific kinds of</w:t>
        </w:r>
        <w:r w:rsidR="009B7AFD">
          <w:rPr>
            <w:b/>
            <w:color w:val="FFFFFF"/>
            <w:spacing w:val="-9"/>
            <w:sz w:val="24"/>
          </w:rPr>
          <w:t xml:space="preserve"> </w:t>
        </w:r>
        <w:r w:rsidR="009B7AFD">
          <w:rPr>
            <w:b/>
            <w:color w:val="FFFFFF"/>
            <w:sz w:val="24"/>
          </w:rPr>
          <w:t>support</w:t>
        </w:r>
      </w:hyperlink>
    </w:p>
    <w:p w14:paraId="09E721C3" w14:textId="77777777" w:rsidR="00894070" w:rsidRDefault="009F6793">
      <w:pPr>
        <w:pStyle w:val="BodyText"/>
        <w:spacing w:line="40" w:lineRule="exact"/>
        <w:ind w:left="1001"/>
        <w:rPr>
          <w:sz w:val="4"/>
        </w:rPr>
      </w:pPr>
      <w:r>
        <w:rPr>
          <w:sz w:val="4"/>
        </w:rPr>
      </w:r>
      <w:r>
        <w:rPr>
          <w:sz w:val="4"/>
        </w:rPr>
        <w:pict w14:anchorId="4B5B10AD">
          <v:group id="_x0000_s1438" style="width:25.55pt;height:2pt;mso-position-horizontal-relative:char;mso-position-vertical-relative:line" coordsize="511,40">
            <v:line id="_x0000_s1439" style="position:absolute" from="0,20" to="510,20" strokecolor="#f4a997" strokeweight="2pt"/>
            <w10:anchorlock/>
          </v:group>
        </w:pict>
      </w:r>
    </w:p>
    <w:p w14:paraId="0306FB01" w14:textId="77777777" w:rsidR="00894070" w:rsidRDefault="009F6793">
      <w:pPr>
        <w:tabs>
          <w:tab w:val="left" w:pos="1588"/>
        </w:tabs>
        <w:spacing w:before="43"/>
        <w:ind w:left="1021"/>
        <w:rPr>
          <w:b/>
          <w:sz w:val="24"/>
        </w:rPr>
      </w:pPr>
      <w:r>
        <w:pict w14:anchorId="7F9B8BBE">
          <v:line id="_x0000_s1437" style="position:absolute;left:0;text-align:left;z-index:251583488;mso-wrap-distance-left:0;mso-wrap-distance-right:0;mso-position-horizontal-relative:page" from="80.1pt,22.65pt" to="105.6pt,22.65pt" strokecolor="#f4a997" strokeweight="2pt">
            <w10:wrap type="topAndBottom" anchorx="page"/>
          </v:line>
        </w:pict>
      </w:r>
      <w:hyperlink w:anchor="_bookmark52" w:history="1">
        <w:r w:rsidR="009B7AFD">
          <w:rPr>
            <w:b/>
            <w:color w:val="FFFFFF"/>
            <w:sz w:val="24"/>
          </w:rPr>
          <w:t>81</w:t>
        </w:r>
        <w:r w:rsidR="009B7AFD">
          <w:rPr>
            <w:b/>
            <w:color w:val="FFFFFF"/>
            <w:sz w:val="24"/>
          </w:rPr>
          <w:tab/>
          <w:t>Reforms of victim services are under</w:t>
        </w:r>
        <w:r w:rsidR="009B7AFD">
          <w:rPr>
            <w:b/>
            <w:color w:val="FFFFFF"/>
            <w:spacing w:val="-2"/>
            <w:sz w:val="24"/>
          </w:rPr>
          <w:t xml:space="preserve"> </w:t>
        </w:r>
        <w:r w:rsidR="009B7AFD">
          <w:rPr>
            <w:b/>
            <w:color w:val="FFFFFF"/>
            <w:spacing w:val="-3"/>
            <w:sz w:val="24"/>
          </w:rPr>
          <w:t>way</w:t>
        </w:r>
      </w:hyperlink>
    </w:p>
    <w:p w14:paraId="3DD7FB94" w14:textId="77777777" w:rsidR="00894070" w:rsidRDefault="009F6793">
      <w:pPr>
        <w:tabs>
          <w:tab w:val="left" w:pos="1588"/>
        </w:tabs>
        <w:spacing w:before="14" w:after="57"/>
        <w:ind w:left="1021"/>
        <w:rPr>
          <w:b/>
          <w:sz w:val="24"/>
        </w:rPr>
      </w:pPr>
      <w:hyperlink w:anchor="_bookmark54" w:history="1">
        <w:r w:rsidR="009B7AFD">
          <w:rPr>
            <w:b/>
            <w:color w:val="FFFFFF"/>
            <w:spacing w:val="-3"/>
            <w:sz w:val="24"/>
          </w:rPr>
          <w:t>83</w:t>
        </w:r>
        <w:r w:rsidR="009B7AFD">
          <w:rPr>
            <w:b/>
            <w:color w:val="FFFFFF"/>
            <w:spacing w:val="-3"/>
            <w:sz w:val="24"/>
          </w:rPr>
          <w:tab/>
        </w:r>
        <w:r w:rsidR="009B7AFD">
          <w:rPr>
            <w:b/>
            <w:color w:val="FFFFFF"/>
            <w:spacing w:val="-7"/>
            <w:sz w:val="24"/>
          </w:rPr>
          <w:t xml:space="preserve">We </w:t>
        </w:r>
        <w:r w:rsidR="009B7AFD">
          <w:rPr>
            <w:b/>
            <w:color w:val="FFFFFF"/>
            <w:sz w:val="24"/>
          </w:rPr>
          <w:t>recommend enhanced support for victim survivors of</w:t>
        </w:r>
        <w:r w:rsidR="009B7AFD">
          <w:rPr>
            <w:b/>
            <w:color w:val="FFFFFF"/>
            <w:spacing w:val="-1"/>
            <w:sz w:val="24"/>
          </w:rPr>
          <w:t xml:space="preserve"> </w:t>
        </w:r>
        <w:r w:rsidR="009B7AFD">
          <w:rPr>
            <w:b/>
            <w:color w:val="FFFFFF"/>
            <w:sz w:val="24"/>
          </w:rPr>
          <w:t>stalking</w:t>
        </w:r>
      </w:hyperlink>
    </w:p>
    <w:p w14:paraId="21DB28AC" w14:textId="77777777" w:rsidR="00894070" w:rsidRDefault="009F6793">
      <w:pPr>
        <w:pStyle w:val="BodyText"/>
        <w:spacing w:line="40" w:lineRule="exact"/>
        <w:ind w:left="1001"/>
        <w:rPr>
          <w:sz w:val="4"/>
        </w:rPr>
      </w:pPr>
      <w:r>
        <w:rPr>
          <w:sz w:val="4"/>
        </w:rPr>
      </w:r>
      <w:r>
        <w:rPr>
          <w:sz w:val="4"/>
        </w:rPr>
        <w:pict w14:anchorId="5E656906">
          <v:group id="_x0000_s1435" style="width:25.55pt;height:2pt;mso-position-horizontal-relative:char;mso-position-vertical-relative:line" coordsize="511,40">
            <v:line id="_x0000_s1436" style="position:absolute" from="0,20" to="510,20" strokecolor="#f4a997" strokeweight="2pt"/>
            <w10:anchorlock/>
          </v:group>
        </w:pict>
      </w:r>
    </w:p>
    <w:p w14:paraId="6FB41909" w14:textId="77777777" w:rsidR="00894070" w:rsidRDefault="009F6793">
      <w:pPr>
        <w:tabs>
          <w:tab w:val="left" w:pos="1588"/>
        </w:tabs>
        <w:spacing w:before="43"/>
        <w:ind w:left="1021"/>
        <w:rPr>
          <w:b/>
          <w:sz w:val="24"/>
        </w:rPr>
      </w:pPr>
      <w:r>
        <w:pict w14:anchorId="737AEF6E">
          <v:line id="_x0000_s1434" style="position:absolute;left:0;text-align:left;z-index:251585536;mso-wrap-distance-left:0;mso-wrap-distance-right:0;mso-position-horizontal-relative:page" from="80.1pt,22.65pt" to="105.6pt,22.65pt" strokecolor="#f4a997" strokeweight="2pt">
            <w10:wrap type="topAndBottom" anchorx="page"/>
          </v:line>
        </w:pict>
      </w:r>
      <w:hyperlink w:anchor="_bookmark59" w:history="1">
        <w:r w:rsidR="009B7AFD">
          <w:rPr>
            <w:b/>
            <w:color w:val="FFFFFF"/>
            <w:sz w:val="24"/>
          </w:rPr>
          <w:t>88</w:t>
        </w:r>
        <w:r w:rsidR="009B7AFD">
          <w:rPr>
            <w:b/>
            <w:color w:val="FFFFFF"/>
            <w:sz w:val="24"/>
          </w:rPr>
          <w:tab/>
          <w:t xml:space="preserve">A new model of victim </w:t>
        </w:r>
        <w:r w:rsidR="009B7AFD">
          <w:rPr>
            <w:b/>
            <w:color w:val="FFFFFF"/>
            <w:spacing w:val="-2"/>
            <w:sz w:val="24"/>
          </w:rPr>
          <w:t xml:space="preserve">advocates </w:t>
        </w:r>
        <w:r w:rsidR="009B7AFD">
          <w:rPr>
            <w:b/>
            <w:color w:val="FFFFFF"/>
            <w:sz w:val="24"/>
          </w:rPr>
          <w:t>could provide ongoing</w:t>
        </w:r>
        <w:r w:rsidR="009B7AFD">
          <w:rPr>
            <w:b/>
            <w:color w:val="FFFFFF"/>
            <w:spacing w:val="-7"/>
            <w:sz w:val="24"/>
          </w:rPr>
          <w:t xml:space="preserve"> </w:t>
        </w:r>
        <w:r w:rsidR="009B7AFD">
          <w:rPr>
            <w:b/>
            <w:color w:val="FFFFFF"/>
            <w:sz w:val="24"/>
          </w:rPr>
          <w:t>support</w:t>
        </w:r>
      </w:hyperlink>
    </w:p>
    <w:p w14:paraId="6B316434" w14:textId="77777777" w:rsidR="00894070" w:rsidRDefault="00894070">
      <w:pPr>
        <w:rPr>
          <w:sz w:val="24"/>
        </w:rPr>
        <w:sectPr w:rsidR="00894070">
          <w:headerReference w:type="even" r:id="rId137"/>
          <w:headerReference w:type="default" r:id="rId138"/>
          <w:pgSz w:w="11910" w:h="16840"/>
          <w:pgMar w:top="480" w:right="420" w:bottom="280" w:left="580" w:header="0" w:footer="0" w:gutter="0"/>
          <w:cols w:space="720"/>
        </w:sectPr>
      </w:pPr>
    </w:p>
    <w:p w14:paraId="60DE1B7F" w14:textId="77777777" w:rsidR="00894070" w:rsidRDefault="009F6793">
      <w:pPr>
        <w:pStyle w:val="BodyText"/>
        <w:rPr>
          <w:b/>
        </w:rPr>
      </w:pPr>
      <w:r>
        <w:lastRenderedPageBreak/>
        <w:pict w14:anchorId="4E405083">
          <v:rect id="_x0000_s1433" style="position:absolute;margin-left:0;margin-top:99.2pt;width:14.15pt;height:85.75pt;z-index:251661312;mso-position-horizontal-relative:page;mso-position-vertical-relative:page" fillcolor="#ea5b50" stroked="f">
            <w10:wrap anchorx="page" anchory="page"/>
          </v:rect>
        </w:pict>
      </w:r>
    </w:p>
    <w:p w14:paraId="43D1B3AC" w14:textId="77777777" w:rsidR="00894070" w:rsidRDefault="00894070">
      <w:pPr>
        <w:pStyle w:val="BodyText"/>
        <w:rPr>
          <w:b/>
        </w:rPr>
      </w:pPr>
    </w:p>
    <w:p w14:paraId="5EE6B3D6" w14:textId="77777777" w:rsidR="00894070" w:rsidRDefault="00894070">
      <w:pPr>
        <w:pStyle w:val="BodyText"/>
        <w:spacing w:before="2"/>
        <w:rPr>
          <w:b/>
          <w:sz w:val="25"/>
        </w:rPr>
      </w:pPr>
    </w:p>
    <w:p w14:paraId="538DF73A" w14:textId="77777777" w:rsidR="00894070" w:rsidRDefault="009B7AFD">
      <w:pPr>
        <w:pStyle w:val="Heading3"/>
        <w:numPr>
          <w:ilvl w:val="0"/>
          <w:numId w:val="127"/>
        </w:numPr>
        <w:tabs>
          <w:tab w:val="left" w:pos="890"/>
        </w:tabs>
        <w:spacing w:before="129" w:line="184" w:lineRule="auto"/>
        <w:ind w:right="3654" w:firstLine="0"/>
        <w:jc w:val="left"/>
        <w:rPr>
          <w:color w:val="EA5B50"/>
        </w:rPr>
      </w:pPr>
      <w:bookmarkStart w:id="88" w:name="5._Supporting_people_who_experience_stal"/>
      <w:bookmarkStart w:id="89" w:name="Victim_survivors_of_stalking_need_more_s"/>
      <w:bookmarkStart w:id="90" w:name="_bookmark47"/>
      <w:bookmarkEnd w:id="88"/>
      <w:bookmarkEnd w:id="89"/>
      <w:bookmarkEnd w:id="90"/>
      <w:r>
        <w:rPr>
          <w:color w:val="EA5B50"/>
          <w:spacing w:val="-3"/>
        </w:rPr>
        <w:t xml:space="preserve">Supporting people who </w:t>
      </w:r>
      <w:r>
        <w:rPr>
          <w:color w:val="EA5B50"/>
          <w:spacing w:val="-5"/>
        </w:rPr>
        <w:t>experience</w:t>
      </w:r>
      <w:r>
        <w:rPr>
          <w:color w:val="EA5B50"/>
        </w:rPr>
        <w:t xml:space="preserve"> </w:t>
      </w:r>
      <w:r>
        <w:rPr>
          <w:color w:val="EA5B50"/>
          <w:spacing w:val="-4"/>
        </w:rPr>
        <w:t>stalking</w:t>
      </w:r>
    </w:p>
    <w:p w14:paraId="085247C9" w14:textId="77777777" w:rsidR="00894070" w:rsidRDefault="00894070">
      <w:pPr>
        <w:pStyle w:val="BodyText"/>
        <w:rPr>
          <w:rFonts w:ascii="Raleway ExtraBold"/>
          <w:b/>
          <w:sz w:val="66"/>
        </w:rPr>
      </w:pPr>
    </w:p>
    <w:p w14:paraId="5798AA15" w14:textId="77777777" w:rsidR="00894070" w:rsidRDefault="00894070">
      <w:pPr>
        <w:pStyle w:val="BodyText"/>
        <w:rPr>
          <w:rFonts w:ascii="Raleway ExtraBold"/>
          <w:b/>
          <w:sz w:val="66"/>
        </w:rPr>
      </w:pPr>
    </w:p>
    <w:p w14:paraId="16C1CD16" w14:textId="77777777" w:rsidR="00894070" w:rsidRDefault="00894070">
      <w:pPr>
        <w:pStyle w:val="BodyText"/>
        <w:rPr>
          <w:rFonts w:ascii="Raleway ExtraBold"/>
          <w:b/>
          <w:sz w:val="44"/>
        </w:rPr>
      </w:pPr>
    </w:p>
    <w:p w14:paraId="23E57639" w14:textId="77777777" w:rsidR="00894070" w:rsidRDefault="009B7AFD">
      <w:pPr>
        <w:pStyle w:val="Heading7"/>
      </w:pPr>
      <w:r>
        <w:rPr>
          <w:color w:val="EA5B50"/>
        </w:rPr>
        <w:t>Overview</w:t>
      </w:r>
    </w:p>
    <w:p w14:paraId="34F52925" w14:textId="77777777" w:rsidR="00894070" w:rsidRDefault="009B7AFD">
      <w:pPr>
        <w:pStyle w:val="ListParagraph"/>
        <w:numPr>
          <w:ilvl w:val="1"/>
          <w:numId w:val="127"/>
        </w:numPr>
        <w:tabs>
          <w:tab w:val="left" w:pos="2141"/>
          <w:tab w:val="left" w:pos="2142"/>
        </w:tabs>
        <w:spacing w:before="146" w:line="206" w:lineRule="auto"/>
        <w:ind w:right="1505" w:hanging="340"/>
        <w:rPr>
          <w:sz w:val="20"/>
        </w:rPr>
      </w:pPr>
      <w:r>
        <w:rPr>
          <w:color w:val="231F20"/>
          <w:sz w:val="20"/>
        </w:rPr>
        <w:t>People</w:t>
      </w:r>
      <w:r>
        <w:rPr>
          <w:color w:val="231F20"/>
          <w:spacing w:val="-11"/>
          <w:sz w:val="20"/>
        </w:rPr>
        <w:t xml:space="preserve"> </w:t>
      </w:r>
      <w:r>
        <w:rPr>
          <w:color w:val="231F20"/>
          <w:sz w:val="20"/>
        </w:rPr>
        <w:t>who</w:t>
      </w:r>
      <w:r>
        <w:rPr>
          <w:color w:val="231F20"/>
          <w:spacing w:val="-10"/>
          <w:sz w:val="20"/>
        </w:rPr>
        <w:t xml:space="preserve"> </w:t>
      </w:r>
      <w:r>
        <w:rPr>
          <w:color w:val="231F20"/>
          <w:sz w:val="20"/>
        </w:rPr>
        <w:t>experience</w:t>
      </w:r>
      <w:r>
        <w:rPr>
          <w:color w:val="231F20"/>
          <w:spacing w:val="-11"/>
          <w:sz w:val="20"/>
        </w:rPr>
        <w:t xml:space="preserve"> </w:t>
      </w:r>
      <w:r>
        <w:rPr>
          <w:color w:val="231F20"/>
          <w:sz w:val="20"/>
        </w:rPr>
        <w:t>stalking</w:t>
      </w:r>
      <w:r>
        <w:rPr>
          <w:color w:val="231F20"/>
          <w:spacing w:val="-10"/>
          <w:sz w:val="20"/>
        </w:rPr>
        <w:t xml:space="preserve"> </w:t>
      </w:r>
      <w:r>
        <w:rPr>
          <w:color w:val="231F20"/>
          <w:spacing w:val="-3"/>
          <w:sz w:val="20"/>
        </w:rPr>
        <w:t>may</w:t>
      </w:r>
      <w:r>
        <w:rPr>
          <w:color w:val="231F20"/>
          <w:spacing w:val="-10"/>
          <w:sz w:val="20"/>
        </w:rPr>
        <w:t xml:space="preserve"> </w:t>
      </w:r>
      <w:r>
        <w:rPr>
          <w:color w:val="231F20"/>
          <w:sz w:val="20"/>
        </w:rPr>
        <w:t>be</w:t>
      </w:r>
      <w:r>
        <w:rPr>
          <w:color w:val="231F20"/>
          <w:spacing w:val="-11"/>
          <w:sz w:val="20"/>
        </w:rPr>
        <w:t xml:space="preserve"> </w:t>
      </w:r>
      <w:r>
        <w:rPr>
          <w:color w:val="231F20"/>
          <w:sz w:val="20"/>
        </w:rPr>
        <w:t>subject</w:t>
      </w:r>
      <w:r>
        <w:rPr>
          <w:color w:val="231F20"/>
          <w:spacing w:val="-10"/>
          <w:sz w:val="20"/>
        </w:rPr>
        <w:t xml:space="preserve"> </w:t>
      </w:r>
      <w:r>
        <w:rPr>
          <w:color w:val="231F20"/>
          <w:sz w:val="20"/>
        </w:rPr>
        <w:t>to</w:t>
      </w:r>
      <w:r>
        <w:rPr>
          <w:color w:val="231F20"/>
          <w:spacing w:val="-11"/>
          <w:sz w:val="20"/>
        </w:rPr>
        <w:t xml:space="preserve"> </w:t>
      </w:r>
      <w:r>
        <w:rPr>
          <w:color w:val="231F20"/>
          <w:sz w:val="20"/>
        </w:rPr>
        <w:t>constant,</w:t>
      </w:r>
      <w:r>
        <w:rPr>
          <w:color w:val="231F20"/>
          <w:spacing w:val="-10"/>
          <w:sz w:val="20"/>
        </w:rPr>
        <w:t xml:space="preserve"> </w:t>
      </w:r>
      <w:r>
        <w:rPr>
          <w:color w:val="231F20"/>
          <w:spacing w:val="-3"/>
          <w:sz w:val="20"/>
        </w:rPr>
        <w:t>intrusive</w:t>
      </w:r>
      <w:r>
        <w:rPr>
          <w:color w:val="231F20"/>
          <w:spacing w:val="-10"/>
          <w:sz w:val="20"/>
        </w:rPr>
        <w:t xml:space="preserve"> </w:t>
      </w:r>
      <w:r>
        <w:rPr>
          <w:color w:val="231F20"/>
          <w:sz w:val="20"/>
        </w:rPr>
        <w:t xml:space="preserve">behaviour that </w:t>
      </w:r>
      <w:r>
        <w:rPr>
          <w:color w:val="231F20"/>
          <w:spacing w:val="-4"/>
          <w:sz w:val="20"/>
        </w:rPr>
        <w:t xml:space="preserve">leaves </w:t>
      </w:r>
      <w:r>
        <w:rPr>
          <w:color w:val="231F20"/>
          <w:sz w:val="20"/>
        </w:rPr>
        <w:t>them feeling trapped and</w:t>
      </w:r>
      <w:r>
        <w:rPr>
          <w:color w:val="231F20"/>
          <w:spacing w:val="-24"/>
          <w:sz w:val="20"/>
        </w:rPr>
        <w:t xml:space="preserve"> </w:t>
      </w:r>
      <w:r>
        <w:rPr>
          <w:color w:val="231F20"/>
          <w:sz w:val="20"/>
        </w:rPr>
        <w:t>terrified.</w:t>
      </w:r>
    </w:p>
    <w:p w14:paraId="3C385260" w14:textId="77777777" w:rsidR="00894070" w:rsidRDefault="009B7AFD">
      <w:pPr>
        <w:pStyle w:val="ListParagraph"/>
        <w:numPr>
          <w:ilvl w:val="1"/>
          <w:numId w:val="127"/>
        </w:numPr>
        <w:tabs>
          <w:tab w:val="left" w:pos="2141"/>
          <w:tab w:val="left" w:pos="2142"/>
        </w:tabs>
        <w:spacing w:before="87" w:line="206" w:lineRule="auto"/>
        <w:ind w:right="1934" w:hanging="340"/>
        <w:rPr>
          <w:sz w:val="20"/>
        </w:rPr>
      </w:pPr>
      <w:r>
        <w:rPr>
          <w:color w:val="231F20"/>
          <w:spacing w:val="-7"/>
          <w:sz w:val="20"/>
        </w:rPr>
        <w:t>Yet</w:t>
      </w:r>
      <w:r>
        <w:rPr>
          <w:color w:val="231F20"/>
          <w:spacing w:val="-10"/>
          <w:sz w:val="20"/>
        </w:rPr>
        <w:t xml:space="preserve"> </w:t>
      </w:r>
      <w:r>
        <w:rPr>
          <w:color w:val="231F20"/>
          <w:sz w:val="20"/>
        </w:rPr>
        <w:t>victim</w:t>
      </w:r>
      <w:r>
        <w:rPr>
          <w:color w:val="231F20"/>
          <w:spacing w:val="-10"/>
          <w:sz w:val="20"/>
        </w:rPr>
        <w:t xml:space="preserve"> </w:t>
      </w:r>
      <w:r>
        <w:rPr>
          <w:color w:val="231F20"/>
          <w:sz w:val="20"/>
        </w:rPr>
        <w:t>survivors</w:t>
      </w:r>
      <w:r>
        <w:rPr>
          <w:color w:val="231F20"/>
          <w:spacing w:val="-10"/>
          <w:sz w:val="20"/>
        </w:rPr>
        <w:t xml:space="preserve"> </w:t>
      </w:r>
      <w:r>
        <w:rPr>
          <w:color w:val="231F20"/>
          <w:sz w:val="20"/>
        </w:rPr>
        <w:t>of</w:t>
      </w:r>
      <w:r>
        <w:rPr>
          <w:color w:val="231F20"/>
          <w:spacing w:val="-10"/>
          <w:sz w:val="20"/>
        </w:rPr>
        <w:t xml:space="preserve"> </w:t>
      </w:r>
      <w:r>
        <w:rPr>
          <w:color w:val="231F20"/>
          <w:sz w:val="20"/>
        </w:rPr>
        <w:t>stalking</w:t>
      </w:r>
      <w:r>
        <w:rPr>
          <w:color w:val="231F20"/>
          <w:spacing w:val="-9"/>
          <w:sz w:val="20"/>
        </w:rPr>
        <w:t xml:space="preserve"> </w:t>
      </w:r>
      <w:r>
        <w:rPr>
          <w:color w:val="231F20"/>
          <w:sz w:val="20"/>
        </w:rPr>
        <w:t>do</w:t>
      </w:r>
      <w:r>
        <w:rPr>
          <w:color w:val="231F20"/>
          <w:spacing w:val="-10"/>
          <w:sz w:val="20"/>
        </w:rPr>
        <w:t xml:space="preserve"> </w:t>
      </w:r>
      <w:r>
        <w:rPr>
          <w:color w:val="231F20"/>
          <w:sz w:val="20"/>
        </w:rPr>
        <w:t>not</w:t>
      </w:r>
      <w:r>
        <w:rPr>
          <w:color w:val="231F20"/>
          <w:spacing w:val="-10"/>
          <w:sz w:val="20"/>
        </w:rPr>
        <w:t xml:space="preserve"> </w:t>
      </w:r>
      <w:r>
        <w:rPr>
          <w:color w:val="231F20"/>
          <w:spacing w:val="-4"/>
          <w:sz w:val="20"/>
        </w:rPr>
        <w:t>have</w:t>
      </w:r>
      <w:r>
        <w:rPr>
          <w:color w:val="231F20"/>
          <w:spacing w:val="-10"/>
          <w:sz w:val="20"/>
        </w:rPr>
        <w:t xml:space="preserve"> </w:t>
      </w:r>
      <w:r>
        <w:rPr>
          <w:color w:val="231F20"/>
          <w:sz w:val="20"/>
        </w:rPr>
        <w:t>access</w:t>
      </w:r>
      <w:r>
        <w:rPr>
          <w:color w:val="231F20"/>
          <w:spacing w:val="-10"/>
          <w:sz w:val="20"/>
        </w:rPr>
        <w:t xml:space="preserve"> </w:t>
      </w:r>
      <w:r>
        <w:rPr>
          <w:color w:val="231F20"/>
          <w:sz w:val="20"/>
        </w:rPr>
        <w:t>to</w:t>
      </w:r>
      <w:r>
        <w:rPr>
          <w:color w:val="231F20"/>
          <w:spacing w:val="-9"/>
          <w:sz w:val="20"/>
        </w:rPr>
        <w:t xml:space="preserve"> </w:t>
      </w:r>
      <w:r>
        <w:rPr>
          <w:color w:val="231F20"/>
          <w:sz w:val="20"/>
        </w:rPr>
        <w:t>specialised</w:t>
      </w:r>
      <w:r>
        <w:rPr>
          <w:color w:val="231F20"/>
          <w:spacing w:val="-10"/>
          <w:sz w:val="20"/>
        </w:rPr>
        <w:t xml:space="preserve"> </w:t>
      </w:r>
      <w:r>
        <w:rPr>
          <w:color w:val="231F20"/>
          <w:sz w:val="20"/>
        </w:rPr>
        <w:t>or</w:t>
      </w:r>
      <w:r>
        <w:rPr>
          <w:color w:val="231F20"/>
          <w:spacing w:val="-10"/>
          <w:sz w:val="20"/>
        </w:rPr>
        <w:t xml:space="preserve"> </w:t>
      </w:r>
      <w:r>
        <w:rPr>
          <w:color w:val="231F20"/>
          <w:sz w:val="20"/>
        </w:rPr>
        <w:t xml:space="preserve">tailored support, </w:t>
      </w:r>
      <w:r>
        <w:rPr>
          <w:color w:val="231F20"/>
          <w:spacing w:val="-2"/>
          <w:sz w:val="20"/>
        </w:rPr>
        <w:t xml:space="preserve">unlike </w:t>
      </w:r>
      <w:r>
        <w:rPr>
          <w:color w:val="231F20"/>
          <w:sz w:val="20"/>
        </w:rPr>
        <w:t>victims of other types of</w:t>
      </w:r>
      <w:r>
        <w:rPr>
          <w:color w:val="231F20"/>
          <w:spacing w:val="-31"/>
          <w:sz w:val="20"/>
        </w:rPr>
        <w:t xml:space="preserve"> </w:t>
      </w:r>
      <w:r>
        <w:rPr>
          <w:color w:val="231F20"/>
          <w:sz w:val="20"/>
        </w:rPr>
        <w:t>crime.</w:t>
      </w:r>
    </w:p>
    <w:p w14:paraId="57BCEFDC" w14:textId="77777777" w:rsidR="00894070" w:rsidRDefault="009B7AFD">
      <w:pPr>
        <w:pStyle w:val="ListParagraph"/>
        <w:numPr>
          <w:ilvl w:val="1"/>
          <w:numId w:val="127"/>
        </w:numPr>
        <w:tabs>
          <w:tab w:val="left" w:pos="2141"/>
          <w:tab w:val="left" w:pos="2142"/>
        </w:tabs>
        <w:spacing w:before="56"/>
        <w:ind w:hanging="340"/>
        <w:rPr>
          <w:sz w:val="20"/>
        </w:rPr>
      </w:pPr>
      <w:r>
        <w:rPr>
          <w:color w:val="231F20"/>
          <w:sz w:val="20"/>
        </w:rPr>
        <w:t xml:space="preserve">They need support that is practical, </w:t>
      </w:r>
      <w:r>
        <w:rPr>
          <w:color w:val="231F20"/>
          <w:spacing w:val="-3"/>
          <w:sz w:val="20"/>
        </w:rPr>
        <w:t xml:space="preserve">timely </w:t>
      </w:r>
      <w:r>
        <w:rPr>
          <w:color w:val="231F20"/>
          <w:sz w:val="20"/>
        </w:rPr>
        <w:t>and</w:t>
      </w:r>
      <w:r>
        <w:rPr>
          <w:color w:val="231F20"/>
          <w:spacing w:val="-33"/>
          <w:sz w:val="20"/>
        </w:rPr>
        <w:t xml:space="preserve"> </w:t>
      </w:r>
      <w:r>
        <w:rPr>
          <w:color w:val="231F20"/>
          <w:sz w:val="20"/>
        </w:rPr>
        <w:t>ongoing.</w:t>
      </w:r>
    </w:p>
    <w:p w14:paraId="064AB39A" w14:textId="77777777" w:rsidR="00894070" w:rsidRDefault="009B7AFD">
      <w:pPr>
        <w:pStyle w:val="ListParagraph"/>
        <w:numPr>
          <w:ilvl w:val="1"/>
          <w:numId w:val="127"/>
        </w:numPr>
        <w:tabs>
          <w:tab w:val="left" w:pos="2141"/>
          <w:tab w:val="left" w:pos="2142"/>
        </w:tabs>
        <w:spacing w:before="79" w:line="206" w:lineRule="auto"/>
        <w:ind w:right="1702" w:hanging="340"/>
        <w:rPr>
          <w:sz w:val="20"/>
        </w:rPr>
      </w:pPr>
      <w:r>
        <w:rPr>
          <w:color w:val="231F20"/>
          <w:sz w:val="20"/>
        </w:rPr>
        <w:t>They</w:t>
      </w:r>
      <w:r>
        <w:rPr>
          <w:color w:val="231F20"/>
          <w:spacing w:val="-11"/>
          <w:sz w:val="20"/>
        </w:rPr>
        <w:t xml:space="preserve"> </w:t>
      </w:r>
      <w:r>
        <w:rPr>
          <w:color w:val="231F20"/>
          <w:sz w:val="20"/>
        </w:rPr>
        <w:t>need</w:t>
      </w:r>
      <w:r>
        <w:rPr>
          <w:color w:val="231F20"/>
          <w:spacing w:val="-10"/>
          <w:sz w:val="20"/>
        </w:rPr>
        <w:t xml:space="preserve"> </w:t>
      </w:r>
      <w:r>
        <w:rPr>
          <w:color w:val="231F20"/>
          <w:sz w:val="20"/>
        </w:rPr>
        <w:t>specific</w:t>
      </w:r>
      <w:r>
        <w:rPr>
          <w:color w:val="231F20"/>
          <w:spacing w:val="-10"/>
          <w:sz w:val="20"/>
        </w:rPr>
        <w:t xml:space="preserve"> </w:t>
      </w:r>
      <w:r>
        <w:rPr>
          <w:color w:val="231F20"/>
          <w:sz w:val="20"/>
        </w:rPr>
        <w:t>types</w:t>
      </w:r>
      <w:r>
        <w:rPr>
          <w:color w:val="231F20"/>
          <w:spacing w:val="-10"/>
          <w:sz w:val="20"/>
        </w:rPr>
        <w:t xml:space="preserve"> </w:t>
      </w:r>
      <w:r>
        <w:rPr>
          <w:color w:val="231F20"/>
          <w:sz w:val="20"/>
        </w:rPr>
        <w:t>of</w:t>
      </w:r>
      <w:r>
        <w:rPr>
          <w:color w:val="231F20"/>
          <w:spacing w:val="-10"/>
          <w:sz w:val="20"/>
        </w:rPr>
        <w:t xml:space="preserve"> </w:t>
      </w:r>
      <w:r>
        <w:rPr>
          <w:color w:val="231F20"/>
          <w:sz w:val="20"/>
        </w:rPr>
        <w:t>support</w:t>
      </w:r>
      <w:r>
        <w:rPr>
          <w:color w:val="231F20"/>
          <w:spacing w:val="-10"/>
          <w:sz w:val="20"/>
        </w:rPr>
        <w:t xml:space="preserve"> </w:t>
      </w:r>
      <w:r>
        <w:rPr>
          <w:color w:val="231F20"/>
          <w:sz w:val="20"/>
        </w:rPr>
        <w:t>that</w:t>
      </w:r>
      <w:r>
        <w:rPr>
          <w:color w:val="231F20"/>
          <w:spacing w:val="-10"/>
          <w:sz w:val="20"/>
        </w:rPr>
        <w:t xml:space="preserve"> </w:t>
      </w:r>
      <w:r>
        <w:rPr>
          <w:color w:val="231F20"/>
          <w:spacing w:val="-3"/>
          <w:sz w:val="20"/>
        </w:rPr>
        <w:t>are</w:t>
      </w:r>
      <w:r>
        <w:rPr>
          <w:color w:val="231F20"/>
          <w:spacing w:val="-10"/>
          <w:sz w:val="20"/>
        </w:rPr>
        <w:t xml:space="preserve"> </w:t>
      </w:r>
      <w:r>
        <w:rPr>
          <w:color w:val="231F20"/>
          <w:spacing w:val="-3"/>
          <w:sz w:val="20"/>
        </w:rPr>
        <w:t>different</w:t>
      </w:r>
      <w:r>
        <w:rPr>
          <w:color w:val="231F20"/>
          <w:spacing w:val="-10"/>
          <w:sz w:val="20"/>
        </w:rPr>
        <w:t xml:space="preserve"> </w:t>
      </w:r>
      <w:r>
        <w:rPr>
          <w:color w:val="231F20"/>
          <w:sz w:val="20"/>
        </w:rPr>
        <w:t>to</w:t>
      </w:r>
      <w:r>
        <w:rPr>
          <w:color w:val="231F20"/>
          <w:spacing w:val="-10"/>
          <w:sz w:val="20"/>
        </w:rPr>
        <w:t xml:space="preserve"> </w:t>
      </w:r>
      <w:r>
        <w:rPr>
          <w:color w:val="231F20"/>
          <w:sz w:val="20"/>
        </w:rPr>
        <w:t>many</w:t>
      </w:r>
      <w:r>
        <w:rPr>
          <w:color w:val="231F20"/>
          <w:spacing w:val="-10"/>
          <w:sz w:val="20"/>
        </w:rPr>
        <w:t xml:space="preserve"> </w:t>
      </w:r>
      <w:r>
        <w:rPr>
          <w:color w:val="231F20"/>
          <w:sz w:val="20"/>
        </w:rPr>
        <w:t>other</w:t>
      </w:r>
      <w:r>
        <w:rPr>
          <w:color w:val="231F20"/>
          <w:spacing w:val="-10"/>
          <w:sz w:val="20"/>
        </w:rPr>
        <w:t xml:space="preserve"> </w:t>
      </w:r>
      <w:r>
        <w:rPr>
          <w:color w:val="231F20"/>
          <w:sz w:val="20"/>
        </w:rPr>
        <w:t>victims</w:t>
      </w:r>
      <w:r>
        <w:rPr>
          <w:color w:val="231F20"/>
          <w:spacing w:val="-10"/>
          <w:sz w:val="20"/>
        </w:rPr>
        <w:t xml:space="preserve"> </w:t>
      </w:r>
      <w:r>
        <w:rPr>
          <w:color w:val="231F20"/>
          <w:sz w:val="20"/>
        </w:rPr>
        <w:t>of crime—for</w:t>
      </w:r>
      <w:r>
        <w:rPr>
          <w:color w:val="231F20"/>
          <w:spacing w:val="-9"/>
          <w:sz w:val="20"/>
        </w:rPr>
        <w:t xml:space="preserve"> </w:t>
      </w:r>
      <w:r>
        <w:rPr>
          <w:color w:val="231F20"/>
          <w:spacing w:val="-3"/>
          <w:sz w:val="20"/>
        </w:rPr>
        <w:t>example,</w:t>
      </w:r>
      <w:r>
        <w:rPr>
          <w:color w:val="231F20"/>
          <w:spacing w:val="-8"/>
          <w:sz w:val="20"/>
        </w:rPr>
        <w:t xml:space="preserve"> </w:t>
      </w:r>
      <w:r>
        <w:rPr>
          <w:color w:val="231F20"/>
          <w:sz w:val="20"/>
        </w:rPr>
        <w:t>with</w:t>
      </w:r>
      <w:r>
        <w:rPr>
          <w:color w:val="231F20"/>
          <w:spacing w:val="-8"/>
          <w:sz w:val="20"/>
        </w:rPr>
        <w:t xml:space="preserve"> </w:t>
      </w:r>
      <w:r>
        <w:rPr>
          <w:color w:val="231F20"/>
          <w:sz w:val="20"/>
        </w:rPr>
        <w:t>safety</w:t>
      </w:r>
      <w:r>
        <w:rPr>
          <w:color w:val="231F20"/>
          <w:spacing w:val="-8"/>
          <w:sz w:val="20"/>
        </w:rPr>
        <w:t xml:space="preserve"> </w:t>
      </w:r>
      <w:r>
        <w:rPr>
          <w:color w:val="231F20"/>
          <w:sz w:val="20"/>
        </w:rPr>
        <w:t>planning,</w:t>
      </w:r>
      <w:r>
        <w:rPr>
          <w:color w:val="231F20"/>
          <w:spacing w:val="-8"/>
          <w:sz w:val="20"/>
        </w:rPr>
        <w:t xml:space="preserve"> </w:t>
      </w:r>
      <w:r>
        <w:rPr>
          <w:color w:val="231F20"/>
          <w:sz w:val="20"/>
        </w:rPr>
        <w:t>security</w:t>
      </w:r>
      <w:r>
        <w:rPr>
          <w:color w:val="231F20"/>
          <w:spacing w:val="-8"/>
          <w:sz w:val="20"/>
        </w:rPr>
        <w:t xml:space="preserve"> </w:t>
      </w:r>
      <w:r>
        <w:rPr>
          <w:color w:val="231F20"/>
          <w:spacing w:val="-3"/>
          <w:sz w:val="20"/>
        </w:rPr>
        <w:t>devices</w:t>
      </w:r>
      <w:r>
        <w:rPr>
          <w:color w:val="231F20"/>
          <w:spacing w:val="-8"/>
          <w:sz w:val="20"/>
        </w:rPr>
        <w:t xml:space="preserve"> </w:t>
      </w:r>
      <w:r>
        <w:rPr>
          <w:color w:val="231F20"/>
          <w:sz w:val="20"/>
        </w:rPr>
        <w:t>and</w:t>
      </w:r>
      <w:r>
        <w:rPr>
          <w:color w:val="231F20"/>
          <w:spacing w:val="-8"/>
          <w:sz w:val="20"/>
        </w:rPr>
        <w:t xml:space="preserve"> </w:t>
      </w:r>
      <w:r>
        <w:rPr>
          <w:color w:val="231F20"/>
          <w:sz w:val="20"/>
        </w:rPr>
        <w:t>new</w:t>
      </w:r>
      <w:r>
        <w:rPr>
          <w:color w:val="231F20"/>
          <w:spacing w:val="-8"/>
          <w:sz w:val="20"/>
        </w:rPr>
        <w:t xml:space="preserve"> </w:t>
      </w:r>
      <w:r>
        <w:rPr>
          <w:color w:val="231F20"/>
          <w:sz w:val="20"/>
        </w:rPr>
        <w:t>phones.</w:t>
      </w:r>
    </w:p>
    <w:p w14:paraId="7AD8C4E7" w14:textId="77777777" w:rsidR="00894070" w:rsidRDefault="009B7AFD">
      <w:pPr>
        <w:pStyle w:val="ListParagraph"/>
        <w:numPr>
          <w:ilvl w:val="1"/>
          <w:numId w:val="127"/>
        </w:numPr>
        <w:tabs>
          <w:tab w:val="left" w:pos="2141"/>
          <w:tab w:val="left" w:pos="2142"/>
        </w:tabs>
        <w:spacing w:before="56" w:line="259" w:lineRule="exact"/>
        <w:ind w:hanging="340"/>
        <w:rPr>
          <w:sz w:val="20"/>
        </w:rPr>
      </w:pPr>
      <w:r>
        <w:rPr>
          <w:color w:val="231F20"/>
          <w:sz w:val="20"/>
        </w:rPr>
        <w:t>Victoria</w:t>
      </w:r>
      <w:r>
        <w:rPr>
          <w:color w:val="231F20"/>
          <w:spacing w:val="-6"/>
          <w:sz w:val="20"/>
        </w:rPr>
        <w:t xml:space="preserve"> </w:t>
      </w:r>
      <w:r>
        <w:rPr>
          <w:color w:val="231F20"/>
          <w:sz w:val="20"/>
        </w:rPr>
        <w:t>has</w:t>
      </w:r>
      <w:r>
        <w:rPr>
          <w:color w:val="231F20"/>
          <w:spacing w:val="-6"/>
          <w:sz w:val="20"/>
        </w:rPr>
        <w:t xml:space="preserve"> </w:t>
      </w:r>
      <w:r>
        <w:rPr>
          <w:color w:val="231F20"/>
          <w:sz w:val="20"/>
        </w:rPr>
        <w:t>the</w:t>
      </w:r>
      <w:r>
        <w:rPr>
          <w:color w:val="231F20"/>
          <w:spacing w:val="-6"/>
          <w:sz w:val="20"/>
        </w:rPr>
        <w:t xml:space="preserve"> </w:t>
      </w:r>
      <w:r>
        <w:rPr>
          <w:color w:val="231F20"/>
          <w:sz w:val="20"/>
        </w:rPr>
        <w:t>foundation</w:t>
      </w:r>
      <w:r>
        <w:rPr>
          <w:color w:val="231F20"/>
          <w:spacing w:val="-6"/>
          <w:sz w:val="20"/>
        </w:rPr>
        <w:t xml:space="preserve"> </w:t>
      </w:r>
      <w:r>
        <w:rPr>
          <w:color w:val="231F20"/>
          <w:sz w:val="20"/>
        </w:rPr>
        <w:t>of</w:t>
      </w:r>
      <w:r>
        <w:rPr>
          <w:color w:val="231F20"/>
          <w:spacing w:val="-6"/>
          <w:sz w:val="20"/>
        </w:rPr>
        <w:t xml:space="preserve"> </w:t>
      </w:r>
      <w:r>
        <w:rPr>
          <w:color w:val="231F20"/>
          <w:sz w:val="20"/>
        </w:rPr>
        <w:t>a</w:t>
      </w:r>
      <w:r>
        <w:rPr>
          <w:color w:val="231F20"/>
          <w:spacing w:val="-6"/>
          <w:sz w:val="20"/>
        </w:rPr>
        <w:t xml:space="preserve"> </w:t>
      </w:r>
      <w:r>
        <w:rPr>
          <w:color w:val="231F20"/>
          <w:sz w:val="20"/>
        </w:rPr>
        <w:t>strong</w:t>
      </w:r>
      <w:r>
        <w:rPr>
          <w:color w:val="231F20"/>
          <w:spacing w:val="-6"/>
          <w:sz w:val="20"/>
        </w:rPr>
        <w:t xml:space="preserve"> </w:t>
      </w:r>
      <w:r>
        <w:rPr>
          <w:color w:val="231F20"/>
          <w:sz w:val="20"/>
        </w:rPr>
        <w:t>support</w:t>
      </w:r>
      <w:r>
        <w:rPr>
          <w:color w:val="231F20"/>
          <w:spacing w:val="-6"/>
          <w:sz w:val="20"/>
        </w:rPr>
        <w:t xml:space="preserve"> </w:t>
      </w:r>
      <w:r>
        <w:rPr>
          <w:color w:val="231F20"/>
          <w:sz w:val="20"/>
        </w:rPr>
        <w:t>system.</w:t>
      </w:r>
      <w:r>
        <w:rPr>
          <w:color w:val="231F20"/>
          <w:spacing w:val="-6"/>
          <w:sz w:val="20"/>
        </w:rPr>
        <w:t xml:space="preserve"> </w:t>
      </w:r>
      <w:r>
        <w:rPr>
          <w:color w:val="231F20"/>
          <w:sz w:val="20"/>
        </w:rPr>
        <w:t>But</w:t>
      </w:r>
      <w:r>
        <w:rPr>
          <w:color w:val="231F20"/>
          <w:spacing w:val="-7"/>
          <w:sz w:val="20"/>
        </w:rPr>
        <w:t xml:space="preserve"> </w:t>
      </w:r>
      <w:r>
        <w:rPr>
          <w:color w:val="231F20"/>
          <w:sz w:val="20"/>
        </w:rPr>
        <w:t>it</w:t>
      </w:r>
      <w:r>
        <w:rPr>
          <w:color w:val="231F20"/>
          <w:spacing w:val="-6"/>
          <w:sz w:val="20"/>
        </w:rPr>
        <w:t xml:space="preserve"> </w:t>
      </w:r>
      <w:r>
        <w:rPr>
          <w:color w:val="231F20"/>
          <w:sz w:val="20"/>
        </w:rPr>
        <w:t>needs</w:t>
      </w:r>
      <w:r>
        <w:rPr>
          <w:color w:val="231F20"/>
          <w:spacing w:val="-6"/>
          <w:sz w:val="20"/>
        </w:rPr>
        <w:t xml:space="preserve"> </w:t>
      </w:r>
      <w:r>
        <w:rPr>
          <w:color w:val="231F20"/>
          <w:sz w:val="20"/>
        </w:rPr>
        <w:t>to</w:t>
      </w:r>
      <w:r>
        <w:rPr>
          <w:color w:val="231F20"/>
          <w:spacing w:val="-6"/>
          <w:sz w:val="20"/>
        </w:rPr>
        <w:t xml:space="preserve"> </w:t>
      </w:r>
      <w:r>
        <w:rPr>
          <w:color w:val="231F20"/>
          <w:sz w:val="20"/>
        </w:rPr>
        <w:t>be</w:t>
      </w:r>
      <w:r>
        <w:rPr>
          <w:color w:val="231F20"/>
          <w:spacing w:val="-6"/>
          <w:sz w:val="20"/>
        </w:rPr>
        <w:t xml:space="preserve"> </w:t>
      </w:r>
      <w:r>
        <w:rPr>
          <w:color w:val="231F20"/>
          <w:sz w:val="20"/>
        </w:rPr>
        <w:t>enhanced</w:t>
      </w:r>
    </w:p>
    <w:p w14:paraId="6906C754" w14:textId="77777777" w:rsidR="00894070" w:rsidRDefault="009B7AFD">
      <w:pPr>
        <w:pStyle w:val="BodyText"/>
        <w:spacing w:line="259" w:lineRule="exact"/>
        <w:ind w:left="2141"/>
      </w:pPr>
      <w:r>
        <w:rPr>
          <w:color w:val="231F20"/>
        </w:rPr>
        <w:t>for victim survivors of non-family violence stalking.</w:t>
      </w:r>
    </w:p>
    <w:p w14:paraId="4419D3A2" w14:textId="77777777" w:rsidR="00894070" w:rsidRDefault="009B7AFD">
      <w:pPr>
        <w:pStyle w:val="ListParagraph"/>
        <w:numPr>
          <w:ilvl w:val="1"/>
          <w:numId w:val="127"/>
        </w:numPr>
        <w:tabs>
          <w:tab w:val="left" w:pos="2141"/>
          <w:tab w:val="left" w:pos="2142"/>
        </w:tabs>
        <w:spacing w:before="79" w:line="206" w:lineRule="auto"/>
        <w:ind w:right="1175" w:hanging="340"/>
        <w:rPr>
          <w:sz w:val="20"/>
        </w:rPr>
      </w:pPr>
      <w:r>
        <w:rPr>
          <w:color w:val="231F20"/>
          <w:spacing w:val="-6"/>
          <w:sz w:val="20"/>
        </w:rPr>
        <w:t>We</w:t>
      </w:r>
      <w:r>
        <w:rPr>
          <w:color w:val="231F20"/>
          <w:spacing w:val="-10"/>
          <w:sz w:val="20"/>
        </w:rPr>
        <w:t xml:space="preserve"> </w:t>
      </w:r>
      <w:r>
        <w:rPr>
          <w:color w:val="231F20"/>
          <w:sz w:val="20"/>
        </w:rPr>
        <w:t>recommend</w:t>
      </w:r>
      <w:r>
        <w:rPr>
          <w:color w:val="231F20"/>
          <w:spacing w:val="-9"/>
          <w:sz w:val="20"/>
        </w:rPr>
        <w:t xml:space="preserve"> </w:t>
      </w:r>
      <w:r>
        <w:rPr>
          <w:color w:val="231F20"/>
          <w:sz w:val="20"/>
        </w:rPr>
        <w:t>expanding</w:t>
      </w:r>
      <w:r>
        <w:rPr>
          <w:color w:val="231F20"/>
          <w:spacing w:val="-10"/>
          <w:sz w:val="20"/>
        </w:rPr>
        <w:t xml:space="preserve"> </w:t>
      </w:r>
      <w:r>
        <w:rPr>
          <w:color w:val="231F20"/>
          <w:sz w:val="20"/>
        </w:rPr>
        <w:t>support</w:t>
      </w:r>
      <w:r>
        <w:rPr>
          <w:color w:val="231F20"/>
          <w:spacing w:val="-9"/>
          <w:sz w:val="20"/>
        </w:rPr>
        <w:t xml:space="preserve"> </w:t>
      </w:r>
      <w:r>
        <w:rPr>
          <w:color w:val="231F20"/>
          <w:sz w:val="20"/>
        </w:rPr>
        <w:t>and</w:t>
      </w:r>
      <w:r>
        <w:rPr>
          <w:color w:val="231F20"/>
          <w:spacing w:val="-10"/>
          <w:sz w:val="20"/>
        </w:rPr>
        <w:t xml:space="preserve"> </w:t>
      </w:r>
      <w:r>
        <w:rPr>
          <w:color w:val="231F20"/>
          <w:sz w:val="20"/>
        </w:rPr>
        <w:t>an</w:t>
      </w:r>
      <w:r>
        <w:rPr>
          <w:color w:val="231F20"/>
          <w:spacing w:val="-9"/>
          <w:sz w:val="20"/>
        </w:rPr>
        <w:t xml:space="preserve"> </w:t>
      </w:r>
      <w:r>
        <w:rPr>
          <w:color w:val="231F20"/>
          <w:sz w:val="20"/>
        </w:rPr>
        <w:t>independent</w:t>
      </w:r>
      <w:r>
        <w:rPr>
          <w:color w:val="231F20"/>
          <w:spacing w:val="-10"/>
          <w:sz w:val="20"/>
        </w:rPr>
        <w:t xml:space="preserve"> </w:t>
      </w:r>
      <w:r>
        <w:rPr>
          <w:color w:val="231F20"/>
          <w:spacing w:val="-3"/>
          <w:sz w:val="20"/>
        </w:rPr>
        <w:t>advocate</w:t>
      </w:r>
      <w:r>
        <w:rPr>
          <w:color w:val="231F20"/>
          <w:spacing w:val="-9"/>
          <w:sz w:val="20"/>
        </w:rPr>
        <w:t xml:space="preserve"> </w:t>
      </w:r>
      <w:r>
        <w:rPr>
          <w:color w:val="231F20"/>
          <w:sz w:val="20"/>
        </w:rPr>
        <w:t>model</w:t>
      </w:r>
      <w:r>
        <w:rPr>
          <w:color w:val="231F20"/>
          <w:spacing w:val="-9"/>
          <w:sz w:val="20"/>
        </w:rPr>
        <w:t xml:space="preserve"> </w:t>
      </w:r>
      <w:r>
        <w:rPr>
          <w:color w:val="231F20"/>
          <w:spacing w:val="-3"/>
          <w:sz w:val="20"/>
        </w:rPr>
        <w:t>for</w:t>
      </w:r>
      <w:r>
        <w:rPr>
          <w:color w:val="231F20"/>
          <w:spacing w:val="-10"/>
          <w:sz w:val="20"/>
        </w:rPr>
        <w:t xml:space="preserve"> </w:t>
      </w:r>
      <w:r>
        <w:rPr>
          <w:color w:val="231F20"/>
          <w:sz w:val="20"/>
        </w:rPr>
        <w:t>victim survivors of non-family violence</w:t>
      </w:r>
      <w:r>
        <w:rPr>
          <w:color w:val="231F20"/>
          <w:spacing w:val="-19"/>
          <w:sz w:val="20"/>
        </w:rPr>
        <w:t xml:space="preserve"> </w:t>
      </w:r>
      <w:r>
        <w:rPr>
          <w:color w:val="231F20"/>
          <w:sz w:val="20"/>
        </w:rPr>
        <w:t>stalking.</w:t>
      </w:r>
    </w:p>
    <w:p w14:paraId="2DD8B9D5" w14:textId="77777777" w:rsidR="00894070" w:rsidRDefault="009B7AFD">
      <w:pPr>
        <w:pStyle w:val="Heading7"/>
        <w:spacing w:before="193"/>
      </w:pPr>
      <w:r>
        <w:rPr>
          <w:color w:val="EA5B50"/>
        </w:rPr>
        <w:t>Victim survivors of stalking need more support</w:t>
      </w:r>
    </w:p>
    <w:p w14:paraId="6E5DDAE5" w14:textId="77777777" w:rsidR="00894070" w:rsidRDefault="009F6793">
      <w:pPr>
        <w:pStyle w:val="BodyText"/>
        <w:spacing w:before="2"/>
        <w:rPr>
          <w:rFonts w:ascii="Raleway ExtraBold"/>
          <w:b/>
          <w:sz w:val="25"/>
        </w:rPr>
      </w:pPr>
      <w:r>
        <w:pict w14:anchorId="145D8DAE">
          <v:shape id="_x0000_s1432" type="#_x0000_t202" style="position:absolute;margin-left:79.6pt;margin-top:19.7pt;width:436.05pt;height:44.1pt;z-index:251587584;mso-wrap-distance-left:0;mso-wrap-distance-right:0;mso-position-horizontal-relative:page" fillcolor="#fee7de" strokecolor="#ea5b50" strokeweight=".5pt">
            <v:textbox inset="0,0,0,0">
              <w:txbxContent>
                <w:p w14:paraId="149066B8" w14:textId="77777777" w:rsidR="00894070" w:rsidRDefault="009B7AFD">
                  <w:pPr>
                    <w:pStyle w:val="BodyText"/>
                    <w:spacing w:before="179" w:line="259" w:lineRule="exact"/>
                    <w:ind w:left="221"/>
                  </w:pPr>
                  <w:r>
                    <w:rPr>
                      <w:color w:val="231F20"/>
                    </w:rPr>
                    <w:t>Having a support base is integral and there wasn’t one. So, knowing there’s people who</w:t>
                  </w:r>
                </w:p>
                <w:p w14:paraId="02C15586" w14:textId="77777777" w:rsidR="00894070" w:rsidRDefault="009B7AFD">
                  <w:pPr>
                    <w:pStyle w:val="BodyText"/>
                    <w:spacing w:line="259" w:lineRule="exact"/>
                    <w:ind w:left="221"/>
                    <w:rPr>
                      <w:sz w:val="11"/>
                    </w:rPr>
                  </w:pPr>
                  <w:r>
                    <w:rPr>
                      <w:color w:val="231F20"/>
                    </w:rPr>
                    <w:t>care … it’s such a big thing; at least now I see that there are people who care.</w:t>
                  </w:r>
                  <w:r>
                    <w:rPr>
                      <w:color w:val="231F20"/>
                      <w:position w:val="7"/>
                      <w:sz w:val="11"/>
                    </w:rPr>
                    <w:t>1</w:t>
                  </w:r>
                </w:p>
              </w:txbxContent>
            </v:textbox>
            <w10:wrap type="topAndBottom" anchorx="page"/>
          </v:shape>
        </w:pict>
      </w:r>
    </w:p>
    <w:p w14:paraId="21A37E13" w14:textId="77777777" w:rsidR="00894070" w:rsidRDefault="00894070">
      <w:pPr>
        <w:pStyle w:val="BodyText"/>
        <w:spacing w:before="6"/>
        <w:rPr>
          <w:rFonts w:ascii="Raleway ExtraBold"/>
          <w:b/>
          <w:sz w:val="19"/>
        </w:rPr>
      </w:pPr>
    </w:p>
    <w:p w14:paraId="1828748C" w14:textId="77777777" w:rsidR="00894070" w:rsidRDefault="009B7AFD">
      <w:pPr>
        <w:pStyle w:val="ListParagraph"/>
        <w:numPr>
          <w:ilvl w:val="1"/>
          <w:numId w:val="126"/>
        </w:numPr>
        <w:tabs>
          <w:tab w:val="left" w:pos="1801"/>
          <w:tab w:val="left" w:pos="1802"/>
        </w:tabs>
        <w:spacing w:before="89" w:line="206" w:lineRule="auto"/>
        <w:ind w:right="1274"/>
        <w:rPr>
          <w:sz w:val="20"/>
        </w:rPr>
      </w:pPr>
      <w:r>
        <w:rPr>
          <w:color w:val="231F20"/>
          <w:sz w:val="20"/>
        </w:rPr>
        <w:t>People</w:t>
      </w:r>
      <w:r>
        <w:rPr>
          <w:color w:val="231F20"/>
          <w:spacing w:val="-12"/>
          <w:sz w:val="20"/>
        </w:rPr>
        <w:t xml:space="preserve"> </w:t>
      </w:r>
      <w:r>
        <w:rPr>
          <w:color w:val="231F20"/>
          <w:sz w:val="20"/>
        </w:rPr>
        <w:t>who</w:t>
      </w:r>
      <w:r>
        <w:rPr>
          <w:color w:val="231F20"/>
          <w:spacing w:val="-12"/>
          <w:sz w:val="20"/>
        </w:rPr>
        <w:t xml:space="preserve"> </w:t>
      </w:r>
      <w:r>
        <w:rPr>
          <w:color w:val="231F20"/>
          <w:sz w:val="20"/>
        </w:rPr>
        <w:t>experience</w:t>
      </w:r>
      <w:r>
        <w:rPr>
          <w:color w:val="231F20"/>
          <w:spacing w:val="-11"/>
          <w:sz w:val="20"/>
        </w:rPr>
        <w:t xml:space="preserve"> </w:t>
      </w:r>
      <w:r>
        <w:rPr>
          <w:color w:val="231F20"/>
          <w:sz w:val="20"/>
        </w:rPr>
        <w:t>non-family</w:t>
      </w:r>
      <w:r>
        <w:rPr>
          <w:color w:val="231F20"/>
          <w:spacing w:val="-12"/>
          <w:sz w:val="20"/>
        </w:rPr>
        <w:t xml:space="preserve"> </w:t>
      </w:r>
      <w:r>
        <w:rPr>
          <w:color w:val="231F20"/>
          <w:sz w:val="20"/>
        </w:rPr>
        <w:t>violence</w:t>
      </w:r>
      <w:r>
        <w:rPr>
          <w:color w:val="231F20"/>
          <w:spacing w:val="-11"/>
          <w:sz w:val="20"/>
        </w:rPr>
        <w:t xml:space="preserve"> </w:t>
      </w:r>
      <w:r>
        <w:rPr>
          <w:color w:val="231F20"/>
          <w:sz w:val="20"/>
        </w:rPr>
        <w:t>stalking</w:t>
      </w:r>
      <w:r>
        <w:rPr>
          <w:color w:val="231F20"/>
          <w:spacing w:val="-12"/>
          <w:sz w:val="20"/>
        </w:rPr>
        <w:t xml:space="preserve"> </w:t>
      </w:r>
      <w:r>
        <w:rPr>
          <w:color w:val="231F20"/>
          <w:spacing w:val="-4"/>
          <w:sz w:val="20"/>
        </w:rPr>
        <w:t>have</w:t>
      </w:r>
      <w:r>
        <w:rPr>
          <w:color w:val="231F20"/>
          <w:spacing w:val="-11"/>
          <w:sz w:val="20"/>
        </w:rPr>
        <w:t xml:space="preserve"> </w:t>
      </w:r>
      <w:r>
        <w:rPr>
          <w:color w:val="231F20"/>
          <w:sz w:val="20"/>
        </w:rPr>
        <w:t>diverse</w:t>
      </w:r>
      <w:r>
        <w:rPr>
          <w:color w:val="231F20"/>
          <w:spacing w:val="-12"/>
          <w:sz w:val="20"/>
        </w:rPr>
        <w:t xml:space="preserve"> </w:t>
      </w:r>
      <w:r>
        <w:rPr>
          <w:color w:val="231F20"/>
          <w:sz w:val="20"/>
        </w:rPr>
        <w:t>and</w:t>
      </w:r>
      <w:r>
        <w:rPr>
          <w:color w:val="231F20"/>
          <w:spacing w:val="-11"/>
          <w:sz w:val="20"/>
        </w:rPr>
        <w:t xml:space="preserve"> </w:t>
      </w:r>
      <w:r>
        <w:rPr>
          <w:color w:val="231F20"/>
          <w:spacing w:val="-3"/>
          <w:sz w:val="20"/>
        </w:rPr>
        <w:t>complex</w:t>
      </w:r>
      <w:r>
        <w:rPr>
          <w:color w:val="231F20"/>
          <w:spacing w:val="-12"/>
          <w:sz w:val="20"/>
        </w:rPr>
        <w:t xml:space="preserve"> </w:t>
      </w:r>
      <w:r>
        <w:rPr>
          <w:color w:val="231F20"/>
          <w:sz w:val="20"/>
        </w:rPr>
        <w:t xml:space="preserve">needs </w:t>
      </w:r>
      <w:r>
        <w:rPr>
          <w:color w:val="231F20"/>
          <w:spacing w:val="-3"/>
          <w:sz w:val="20"/>
        </w:rPr>
        <w:t>for</w:t>
      </w:r>
      <w:r>
        <w:rPr>
          <w:color w:val="231F20"/>
          <w:spacing w:val="-6"/>
          <w:sz w:val="20"/>
        </w:rPr>
        <w:t xml:space="preserve"> </w:t>
      </w:r>
      <w:r>
        <w:rPr>
          <w:color w:val="231F20"/>
          <w:sz w:val="20"/>
        </w:rPr>
        <w:t>support.</w:t>
      </w:r>
      <w:r>
        <w:rPr>
          <w:color w:val="231F20"/>
          <w:spacing w:val="-6"/>
          <w:sz w:val="20"/>
        </w:rPr>
        <w:t xml:space="preserve"> </w:t>
      </w:r>
      <w:r>
        <w:rPr>
          <w:color w:val="231F20"/>
          <w:sz w:val="20"/>
        </w:rPr>
        <w:t>But</w:t>
      </w:r>
      <w:r>
        <w:rPr>
          <w:color w:val="231F20"/>
          <w:spacing w:val="-6"/>
          <w:sz w:val="20"/>
        </w:rPr>
        <w:t xml:space="preserve"> </w:t>
      </w:r>
      <w:r>
        <w:rPr>
          <w:color w:val="231F20"/>
          <w:sz w:val="20"/>
        </w:rPr>
        <w:t>the</w:t>
      </w:r>
      <w:r>
        <w:rPr>
          <w:color w:val="231F20"/>
          <w:spacing w:val="-5"/>
          <w:sz w:val="20"/>
        </w:rPr>
        <w:t xml:space="preserve"> </w:t>
      </w:r>
      <w:r>
        <w:rPr>
          <w:color w:val="231F20"/>
          <w:sz w:val="20"/>
        </w:rPr>
        <w:t>victim</w:t>
      </w:r>
      <w:r>
        <w:rPr>
          <w:color w:val="231F20"/>
          <w:spacing w:val="-6"/>
          <w:sz w:val="20"/>
        </w:rPr>
        <w:t xml:space="preserve"> </w:t>
      </w:r>
      <w:r>
        <w:rPr>
          <w:color w:val="231F20"/>
          <w:sz w:val="20"/>
        </w:rPr>
        <w:t>support</w:t>
      </w:r>
      <w:r>
        <w:rPr>
          <w:color w:val="231F20"/>
          <w:spacing w:val="-6"/>
          <w:sz w:val="20"/>
        </w:rPr>
        <w:t xml:space="preserve"> </w:t>
      </w:r>
      <w:r>
        <w:rPr>
          <w:color w:val="231F20"/>
          <w:spacing w:val="-2"/>
          <w:sz w:val="20"/>
        </w:rPr>
        <w:t>system</w:t>
      </w:r>
      <w:r>
        <w:rPr>
          <w:color w:val="231F20"/>
          <w:spacing w:val="-6"/>
          <w:sz w:val="20"/>
        </w:rPr>
        <w:t xml:space="preserve"> </w:t>
      </w:r>
      <w:r>
        <w:rPr>
          <w:color w:val="231F20"/>
          <w:sz w:val="20"/>
        </w:rPr>
        <w:t>was</w:t>
      </w:r>
      <w:r>
        <w:rPr>
          <w:color w:val="231F20"/>
          <w:spacing w:val="-5"/>
          <w:sz w:val="20"/>
        </w:rPr>
        <w:t xml:space="preserve"> </w:t>
      </w:r>
      <w:r>
        <w:rPr>
          <w:color w:val="231F20"/>
          <w:sz w:val="20"/>
        </w:rPr>
        <w:t>not</w:t>
      </w:r>
      <w:r>
        <w:rPr>
          <w:color w:val="231F20"/>
          <w:spacing w:val="-6"/>
          <w:sz w:val="20"/>
        </w:rPr>
        <w:t xml:space="preserve"> </w:t>
      </w:r>
      <w:r>
        <w:rPr>
          <w:color w:val="231F20"/>
          <w:sz w:val="20"/>
        </w:rPr>
        <w:t>designed</w:t>
      </w:r>
      <w:r>
        <w:rPr>
          <w:color w:val="231F20"/>
          <w:spacing w:val="-6"/>
          <w:sz w:val="20"/>
        </w:rPr>
        <w:t xml:space="preserve"> </w:t>
      </w:r>
      <w:r>
        <w:rPr>
          <w:color w:val="231F20"/>
          <w:sz w:val="20"/>
        </w:rPr>
        <w:t>with</w:t>
      </w:r>
      <w:r>
        <w:rPr>
          <w:color w:val="231F20"/>
          <w:spacing w:val="-6"/>
          <w:sz w:val="20"/>
        </w:rPr>
        <w:t xml:space="preserve"> </w:t>
      </w:r>
      <w:r>
        <w:rPr>
          <w:color w:val="231F20"/>
          <w:sz w:val="20"/>
        </w:rPr>
        <w:t>them</w:t>
      </w:r>
      <w:r>
        <w:rPr>
          <w:color w:val="231F20"/>
          <w:spacing w:val="-5"/>
          <w:sz w:val="20"/>
        </w:rPr>
        <w:t xml:space="preserve"> </w:t>
      </w:r>
      <w:r>
        <w:rPr>
          <w:color w:val="231F20"/>
          <w:sz w:val="20"/>
        </w:rPr>
        <w:t>in</w:t>
      </w:r>
      <w:r>
        <w:rPr>
          <w:color w:val="231F20"/>
          <w:spacing w:val="-6"/>
          <w:sz w:val="20"/>
        </w:rPr>
        <w:t xml:space="preserve"> </w:t>
      </w:r>
      <w:r>
        <w:rPr>
          <w:color w:val="231F20"/>
          <w:sz w:val="20"/>
        </w:rPr>
        <w:t>mind.</w:t>
      </w:r>
    </w:p>
    <w:p w14:paraId="630BE9F0" w14:textId="77777777" w:rsidR="00894070" w:rsidRDefault="009B7AFD">
      <w:pPr>
        <w:pStyle w:val="ListParagraph"/>
        <w:numPr>
          <w:ilvl w:val="1"/>
          <w:numId w:val="126"/>
        </w:numPr>
        <w:tabs>
          <w:tab w:val="left" w:pos="1801"/>
          <w:tab w:val="left" w:pos="1802"/>
        </w:tabs>
        <w:spacing w:before="123" w:line="206" w:lineRule="auto"/>
        <w:ind w:right="1365"/>
        <w:rPr>
          <w:sz w:val="20"/>
        </w:rPr>
      </w:pPr>
      <w:r>
        <w:rPr>
          <w:color w:val="231F20"/>
          <w:sz w:val="20"/>
        </w:rPr>
        <w:t>They</w:t>
      </w:r>
      <w:r>
        <w:rPr>
          <w:color w:val="231F20"/>
          <w:spacing w:val="-8"/>
          <w:sz w:val="20"/>
        </w:rPr>
        <w:t xml:space="preserve"> </w:t>
      </w:r>
      <w:r>
        <w:rPr>
          <w:color w:val="231F20"/>
          <w:spacing w:val="-3"/>
          <w:sz w:val="20"/>
        </w:rPr>
        <w:t>are</w:t>
      </w:r>
      <w:r>
        <w:rPr>
          <w:color w:val="231F20"/>
          <w:spacing w:val="-7"/>
          <w:sz w:val="20"/>
        </w:rPr>
        <w:t xml:space="preserve"> </w:t>
      </w:r>
      <w:r>
        <w:rPr>
          <w:color w:val="231F20"/>
          <w:sz w:val="20"/>
        </w:rPr>
        <w:t>expected</w:t>
      </w:r>
      <w:r>
        <w:rPr>
          <w:color w:val="231F20"/>
          <w:spacing w:val="-8"/>
          <w:sz w:val="20"/>
        </w:rPr>
        <w:t xml:space="preserve"> </w:t>
      </w:r>
      <w:r>
        <w:rPr>
          <w:color w:val="231F20"/>
          <w:sz w:val="20"/>
        </w:rPr>
        <w:t>to</w:t>
      </w:r>
      <w:r>
        <w:rPr>
          <w:color w:val="231F20"/>
          <w:spacing w:val="-7"/>
          <w:sz w:val="20"/>
        </w:rPr>
        <w:t xml:space="preserve"> </w:t>
      </w:r>
      <w:r>
        <w:rPr>
          <w:color w:val="231F20"/>
          <w:spacing w:val="-3"/>
          <w:sz w:val="20"/>
        </w:rPr>
        <w:t>identify,</w:t>
      </w:r>
      <w:r>
        <w:rPr>
          <w:color w:val="231F20"/>
          <w:spacing w:val="-8"/>
          <w:sz w:val="20"/>
        </w:rPr>
        <w:t xml:space="preserve"> </w:t>
      </w:r>
      <w:proofErr w:type="gramStart"/>
      <w:r>
        <w:rPr>
          <w:color w:val="231F20"/>
          <w:sz w:val="20"/>
        </w:rPr>
        <w:t>manage</w:t>
      </w:r>
      <w:proofErr w:type="gramEnd"/>
      <w:r>
        <w:rPr>
          <w:color w:val="231F20"/>
          <w:spacing w:val="-7"/>
          <w:sz w:val="20"/>
        </w:rPr>
        <w:t xml:space="preserve"> </w:t>
      </w:r>
      <w:r>
        <w:rPr>
          <w:color w:val="231F20"/>
          <w:sz w:val="20"/>
        </w:rPr>
        <w:t>and</w:t>
      </w:r>
      <w:r>
        <w:rPr>
          <w:color w:val="231F20"/>
          <w:spacing w:val="-8"/>
          <w:sz w:val="20"/>
        </w:rPr>
        <w:t xml:space="preserve"> </w:t>
      </w:r>
      <w:r>
        <w:rPr>
          <w:color w:val="231F20"/>
          <w:sz w:val="20"/>
        </w:rPr>
        <w:t>meet</w:t>
      </w:r>
      <w:r>
        <w:rPr>
          <w:color w:val="231F20"/>
          <w:spacing w:val="-7"/>
          <w:sz w:val="20"/>
        </w:rPr>
        <w:t xml:space="preserve"> </w:t>
      </w:r>
      <w:r>
        <w:rPr>
          <w:color w:val="231F20"/>
          <w:sz w:val="20"/>
        </w:rPr>
        <w:t>their</w:t>
      </w:r>
      <w:r>
        <w:rPr>
          <w:color w:val="231F20"/>
          <w:spacing w:val="-8"/>
          <w:sz w:val="20"/>
        </w:rPr>
        <w:t xml:space="preserve"> </w:t>
      </w:r>
      <w:r>
        <w:rPr>
          <w:color w:val="231F20"/>
          <w:spacing w:val="-3"/>
          <w:sz w:val="20"/>
        </w:rPr>
        <w:t>own</w:t>
      </w:r>
      <w:r>
        <w:rPr>
          <w:color w:val="231F20"/>
          <w:spacing w:val="-7"/>
          <w:sz w:val="20"/>
        </w:rPr>
        <w:t xml:space="preserve"> </w:t>
      </w:r>
      <w:r>
        <w:rPr>
          <w:color w:val="231F20"/>
          <w:sz w:val="20"/>
        </w:rPr>
        <w:t>support</w:t>
      </w:r>
      <w:r>
        <w:rPr>
          <w:color w:val="231F20"/>
          <w:spacing w:val="-7"/>
          <w:sz w:val="20"/>
        </w:rPr>
        <w:t xml:space="preserve"> </w:t>
      </w:r>
      <w:r>
        <w:rPr>
          <w:color w:val="231F20"/>
          <w:sz w:val="20"/>
        </w:rPr>
        <w:t>needs.</w:t>
      </w:r>
      <w:r>
        <w:rPr>
          <w:color w:val="231F20"/>
          <w:spacing w:val="-8"/>
          <w:sz w:val="20"/>
        </w:rPr>
        <w:t xml:space="preserve"> </w:t>
      </w:r>
      <w:r>
        <w:rPr>
          <w:color w:val="231F20"/>
          <w:sz w:val="20"/>
        </w:rPr>
        <w:t>They</w:t>
      </w:r>
      <w:r>
        <w:rPr>
          <w:color w:val="231F20"/>
          <w:spacing w:val="-7"/>
          <w:sz w:val="20"/>
        </w:rPr>
        <w:t xml:space="preserve"> </w:t>
      </w:r>
      <w:proofErr w:type="gramStart"/>
      <w:r>
        <w:rPr>
          <w:color w:val="231F20"/>
          <w:spacing w:val="-4"/>
          <w:sz w:val="20"/>
        </w:rPr>
        <w:t xml:space="preserve">have </w:t>
      </w:r>
      <w:r>
        <w:rPr>
          <w:color w:val="231F20"/>
          <w:sz w:val="20"/>
        </w:rPr>
        <w:t>to</w:t>
      </w:r>
      <w:proofErr w:type="gramEnd"/>
      <w:r>
        <w:rPr>
          <w:color w:val="231F20"/>
          <w:sz w:val="20"/>
        </w:rPr>
        <w:t xml:space="preserve"> find and </w:t>
      </w:r>
      <w:r>
        <w:rPr>
          <w:color w:val="231F20"/>
          <w:spacing w:val="-3"/>
          <w:sz w:val="20"/>
        </w:rPr>
        <w:t xml:space="preserve">navigate </w:t>
      </w:r>
      <w:r>
        <w:rPr>
          <w:color w:val="231F20"/>
          <w:sz w:val="20"/>
        </w:rPr>
        <w:t xml:space="preserve">services on their own. They collect their </w:t>
      </w:r>
      <w:r>
        <w:rPr>
          <w:color w:val="231F20"/>
          <w:spacing w:val="-3"/>
          <w:sz w:val="20"/>
        </w:rPr>
        <w:t xml:space="preserve">own </w:t>
      </w:r>
      <w:r>
        <w:rPr>
          <w:color w:val="231F20"/>
          <w:spacing w:val="-2"/>
          <w:sz w:val="20"/>
        </w:rPr>
        <w:t xml:space="preserve">evidence. </w:t>
      </w:r>
      <w:r>
        <w:rPr>
          <w:color w:val="231F20"/>
          <w:sz w:val="20"/>
        </w:rPr>
        <w:t xml:space="preserve">They manage their </w:t>
      </w:r>
      <w:r>
        <w:rPr>
          <w:color w:val="231F20"/>
          <w:spacing w:val="-4"/>
          <w:sz w:val="20"/>
        </w:rPr>
        <w:t xml:space="preserve">safety, </w:t>
      </w:r>
      <w:r>
        <w:rPr>
          <w:color w:val="231F20"/>
          <w:sz w:val="20"/>
        </w:rPr>
        <w:t xml:space="preserve">often installing security measures at their </w:t>
      </w:r>
      <w:r>
        <w:rPr>
          <w:color w:val="231F20"/>
          <w:spacing w:val="-3"/>
          <w:sz w:val="20"/>
        </w:rPr>
        <w:t xml:space="preserve">own </w:t>
      </w:r>
      <w:r>
        <w:rPr>
          <w:color w:val="231F20"/>
          <w:sz w:val="20"/>
        </w:rPr>
        <w:t>expense.</w:t>
      </w:r>
      <w:r>
        <w:rPr>
          <w:color w:val="231F20"/>
          <w:position w:val="7"/>
          <w:sz w:val="11"/>
        </w:rPr>
        <w:t xml:space="preserve">2 </w:t>
      </w:r>
      <w:r>
        <w:rPr>
          <w:color w:val="231F20"/>
          <w:sz w:val="20"/>
        </w:rPr>
        <w:t xml:space="preserve">If </w:t>
      </w:r>
      <w:r>
        <w:rPr>
          <w:color w:val="231F20"/>
          <w:spacing w:val="-4"/>
          <w:sz w:val="20"/>
        </w:rPr>
        <w:t xml:space="preserve">they </w:t>
      </w:r>
      <w:r>
        <w:rPr>
          <w:color w:val="231F20"/>
          <w:sz w:val="20"/>
        </w:rPr>
        <w:t xml:space="preserve">get a personal safety </w:t>
      </w:r>
      <w:r>
        <w:rPr>
          <w:color w:val="231F20"/>
          <w:spacing w:val="-2"/>
          <w:sz w:val="20"/>
        </w:rPr>
        <w:t xml:space="preserve">intervention </w:t>
      </w:r>
      <w:r>
        <w:rPr>
          <w:color w:val="231F20"/>
          <w:sz w:val="20"/>
        </w:rPr>
        <w:t xml:space="preserve">order </w:t>
      </w:r>
      <w:r>
        <w:rPr>
          <w:color w:val="231F20"/>
          <w:spacing w:val="-3"/>
          <w:sz w:val="20"/>
        </w:rPr>
        <w:t xml:space="preserve">(PSIO), </w:t>
      </w:r>
      <w:r>
        <w:rPr>
          <w:color w:val="231F20"/>
          <w:sz w:val="20"/>
        </w:rPr>
        <w:t xml:space="preserve">it is they who alert the police if it is breached (see </w:t>
      </w:r>
      <w:r>
        <w:rPr>
          <w:color w:val="231F20"/>
          <w:spacing w:val="-3"/>
          <w:sz w:val="20"/>
        </w:rPr>
        <w:t>Chapter</w:t>
      </w:r>
      <w:r>
        <w:rPr>
          <w:color w:val="231F20"/>
          <w:spacing w:val="-13"/>
          <w:sz w:val="20"/>
        </w:rPr>
        <w:t xml:space="preserve"> </w:t>
      </w:r>
      <w:r>
        <w:rPr>
          <w:color w:val="231F20"/>
          <w:spacing w:val="-4"/>
          <w:sz w:val="20"/>
        </w:rPr>
        <w:t>7).</w:t>
      </w:r>
    </w:p>
    <w:p w14:paraId="5B1A762D" w14:textId="77777777" w:rsidR="00894070" w:rsidRDefault="009B7AFD">
      <w:pPr>
        <w:pStyle w:val="ListParagraph"/>
        <w:numPr>
          <w:ilvl w:val="1"/>
          <w:numId w:val="126"/>
        </w:numPr>
        <w:tabs>
          <w:tab w:val="left" w:pos="1801"/>
          <w:tab w:val="left" w:pos="1802"/>
        </w:tabs>
        <w:spacing w:before="126" w:line="206" w:lineRule="auto"/>
        <w:ind w:right="1433"/>
        <w:rPr>
          <w:sz w:val="20"/>
        </w:rPr>
      </w:pPr>
      <w:r>
        <w:rPr>
          <w:color w:val="231F20"/>
          <w:sz w:val="20"/>
        </w:rPr>
        <w:t>The</w:t>
      </w:r>
      <w:r>
        <w:rPr>
          <w:color w:val="231F20"/>
          <w:spacing w:val="-10"/>
          <w:sz w:val="20"/>
        </w:rPr>
        <w:t xml:space="preserve"> </w:t>
      </w:r>
      <w:r>
        <w:rPr>
          <w:color w:val="231F20"/>
          <w:spacing w:val="-3"/>
          <w:sz w:val="20"/>
        </w:rPr>
        <w:t>repetitive</w:t>
      </w:r>
      <w:r>
        <w:rPr>
          <w:color w:val="231F20"/>
          <w:spacing w:val="-9"/>
          <w:sz w:val="20"/>
        </w:rPr>
        <w:t xml:space="preserve"> </w:t>
      </w:r>
      <w:r>
        <w:rPr>
          <w:color w:val="231F20"/>
          <w:sz w:val="20"/>
        </w:rPr>
        <w:t>and</w:t>
      </w:r>
      <w:r>
        <w:rPr>
          <w:color w:val="231F20"/>
          <w:spacing w:val="-9"/>
          <w:sz w:val="20"/>
        </w:rPr>
        <w:t xml:space="preserve"> </w:t>
      </w:r>
      <w:r>
        <w:rPr>
          <w:color w:val="231F20"/>
          <w:sz w:val="20"/>
        </w:rPr>
        <w:t>constant</w:t>
      </w:r>
      <w:r>
        <w:rPr>
          <w:color w:val="231F20"/>
          <w:spacing w:val="-9"/>
          <w:sz w:val="20"/>
        </w:rPr>
        <w:t xml:space="preserve"> </w:t>
      </w:r>
      <w:r>
        <w:rPr>
          <w:color w:val="231F20"/>
          <w:spacing w:val="-3"/>
          <w:sz w:val="20"/>
        </w:rPr>
        <w:t>nature</w:t>
      </w:r>
      <w:r>
        <w:rPr>
          <w:color w:val="231F20"/>
          <w:spacing w:val="-9"/>
          <w:sz w:val="20"/>
        </w:rPr>
        <w:t xml:space="preserve"> </w:t>
      </w:r>
      <w:r>
        <w:rPr>
          <w:color w:val="231F20"/>
          <w:sz w:val="20"/>
        </w:rPr>
        <w:t>of</w:t>
      </w:r>
      <w:r>
        <w:rPr>
          <w:color w:val="231F20"/>
          <w:spacing w:val="-9"/>
          <w:sz w:val="20"/>
        </w:rPr>
        <w:t xml:space="preserve"> </w:t>
      </w:r>
      <w:r>
        <w:rPr>
          <w:color w:val="231F20"/>
          <w:sz w:val="20"/>
        </w:rPr>
        <w:t>stalking</w:t>
      </w:r>
      <w:r>
        <w:rPr>
          <w:color w:val="231F20"/>
          <w:spacing w:val="-9"/>
          <w:sz w:val="20"/>
        </w:rPr>
        <w:t xml:space="preserve"> </w:t>
      </w:r>
      <w:r>
        <w:rPr>
          <w:color w:val="231F20"/>
          <w:spacing w:val="-3"/>
          <w:sz w:val="20"/>
        </w:rPr>
        <w:t>may</w:t>
      </w:r>
      <w:r>
        <w:rPr>
          <w:color w:val="231F20"/>
          <w:spacing w:val="-9"/>
          <w:sz w:val="20"/>
        </w:rPr>
        <w:t xml:space="preserve"> </w:t>
      </w:r>
      <w:r>
        <w:rPr>
          <w:color w:val="231F20"/>
          <w:sz w:val="20"/>
        </w:rPr>
        <w:t>make</w:t>
      </w:r>
      <w:r>
        <w:rPr>
          <w:color w:val="231F20"/>
          <w:spacing w:val="-9"/>
          <w:sz w:val="20"/>
        </w:rPr>
        <w:t xml:space="preserve"> </w:t>
      </w:r>
      <w:r>
        <w:rPr>
          <w:color w:val="231F20"/>
          <w:sz w:val="20"/>
        </w:rPr>
        <w:t>all</w:t>
      </w:r>
      <w:r>
        <w:rPr>
          <w:color w:val="231F20"/>
          <w:spacing w:val="-9"/>
          <w:sz w:val="20"/>
        </w:rPr>
        <w:t xml:space="preserve"> </w:t>
      </w:r>
      <w:r>
        <w:rPr>
          <w:color w:val="231F20"/>
          <w:sz w:val="20"/>
        </w:rPr>
        <w:t>this</w:t>
      </w:r>
      <w:r>
        <w:rPr>
          <w:color w:val="231F20"/>
          <w:spacing w:val="-9"/>
          <w:sz w:val="20"/>
        </w:rPr>
        <w:t xml:space="preserve"> </w:t>
      </w:r>
      <w:r>
        <w:rPr>
          <w:color w:val="231F20"/>
          <w:sz w:val="20"/>
        </w:rPr>
        <w:t>a</w:t>
      </w:r>
      <w:r>
        <w:rPr>
          <w:color w:val="231F20"/>
          <w:spacing w:val="-9"/>
          <w:sz w:val="20"/>
        </w:rPr>
        <w:t xml:space="preserve"> </w:t>
      </w:r>
      <w:r>
        <w:rPr>
          <w:color w:val="231F20"/>
          <w:sz w:val="20"/>
        </w:rPr>
        <w:t>significant</w:t>
      </w:r>
      <w:r>
        <w:rPr>
          <w:color w:val="231F20"/>
          <w:spacing w:val="-9"/>
          <w:sz w:val="20"/>
        </w:rPr>
        <w:t xml:space="preserve"> </w:t>
      </w:r>
      <w:r>
        <w:rPr>
          <w:color w:val="231F20"/>
          <w:sz w:val="20"/>
        </w:rPr>
        <w:t>burden.</w:t>
      </w:r>
      <w:r>
        <w:rPr>
          <w:color w:val="231F20"/>
          <w:position w:val="7"/>
          <w:sz w:val="11"/>
        </w:rPr>
        <w:t>3</w:t>
      </w:r>
      <w:r>
        <w:rPr>
          <w:color w:val="231F20"/>
          <w:sz w:val="11"/>
        </w:rPr>
        <w:t xml:space="preserve"> </w:t>
      </w:r>
      <w:r>
        <w:rPr>
          <w:color w:val="231F20"/>
          <w:sz w:val="20"/>
        </w:rPr>
        <w:t>Victim</w:t>
      </w:r>
      <w:r>
        <w:rPr>
          <w:color w:val="231F20"/>
          <w:spacing w:val="-5"/>
          <w:sz w:val="20"/>
        </w:rPr>
        <w:t xml:space="preserve"> </w:t>
      </w:r>
      <w:r>
        <w:rPr>
          <w:color w:val="231F20"/>
          <w:sz w:val="20"/>
        </w:rPr>
        <w:t>survivors</w:t>
      </w:r>
      <w:r>
        <w:rPr>
          <w:color w:val="231F20"/>
          <w:spacing w:val="-5"/>
          <w:sz w:val="20"/>
        </w:rPr>
        <w:t xml:space="preserve"> </w:t>
      </w:r>
      <w:r>
        <w:rPr>
          <w:color w:val="231F20"/>
          <w:sz w:val="20"/>
        </w:rPr>
        <w:t>should</w:t>
      </w:r>
      <w:r>
        <w:rPr>
          <w:color w:val="231F20"/>
          <w:spacing w:val="-5"/>
          <w:sz w:val="20"/>
        </w:rPr>
        <w:t xml:space="preserve"> </w:t>
      </w:r>
      <w:r>
        <w:rPr>
          <w:color w:val="231F20"/>
          <w:sz w:val="20"/>
        </w:rPr>
        <w:t>not</w:t>
      </w:r>
      <w:r>
        <w:rPr>
          <w:color w:val="231F20"/>
          <w:spacing w:val="-5"/>
          <w:sz w:val="20"/>
        </w:rPr>
        <w:t xml:space="preserve"> </w:t>
      </w:r>
      <w:r>
        <w:rPr>
          <w:color w:val="231F20"/>
          <w:spacing w:val="-4"/>
          <w:sz w:val="20"/>
        </w:rPr>
        <w:t>have</w:t>
      </w:r>
      <w:r>
        <w:rPr>
          <w:color w:val="231F20"/>
          <w:spacing w:val="-5"/>
          <w:sz w:val="20"/>
        </w:rPr>
        <w:t xml:space="preserve"> </w:t>
      </w:r>
      <w:r>
        <w:rPr>
          <w:color w:val="231F20"/>
          <w:sz w:val="20"/>
        </w:rPr>
        <w:t>to</w:t>
      </w:r>
      <w:r>
        <w:rPr>
          <w:color w:val="231F20"/>
          <w:spacing w:val="-5"/>
          <w:sz w:val="20"/>
        </w:rPr>
        <w:t xml:space="preserve"> </w:t>
      </w:r>
      <w:r>
        <w:rPr>
          <w:color w:val="231F20"/>
          <w:sz w:val="20"/>
        </w:rPr>
        <w:t>carry</w:t>
      </w:r>
      <w:r>
        <w:rPr>
          <w:color w:val="231F20"/>
          <w:spacing w:val="-5"/>
          <w:sz w:val="20"/>
        </w:rPr>
        <w:t xml:space="preserve"> </w:t>
      </w:r>
      <w:r>
        <w:rPr>
          <w:color w:val="231F20"/>
          <w:sz w:val="20"/>
        </w:rPr>
        <w:t>the</w:t>
      </w:r>
      <w:r>
        <w:rPr>
          <w:color w:val="231F20"/>
          <w:spacing w:val="-5"/>
          <w:sz w:val="20"/>
        </w:rPr>
        <w:t xml:space="preserve"> </w:t>
      </w:r>
      <w:r>
        <w:rPr>
          <w:color w:val="231F20"/>
          <w:sz w:val="20"/>
        </w:rPr>
        <w:t>burden</w:t>
      </w:r>
      <w:r>
        <w:rPr>
          <w:color w:val="231F20"/>
          <w:spacing w:val="-5"/>
          <w:sz w:val="20"/>
        </w:rPr>
        <w:t xml:space="preserve"> </w:t>
      </w:r>
      <w:r>
        <w:rPr>
          <w:color w:val="231F20"/>
          <w:sz w:val="20"/>
        </w:rPr>
        <w:t>alone.</w:t>
      </w:r>
    </w:p>
    <w:p w14:paraId="21347BF5" w14:textId="77777777" w:rsidR="00894070" w:rsidRDefault="009B7AFD">
      <w:pPr>
        <w:pStyle w:val="ListParagraph"/>
        <w:numPr>
          <w:ilvl w:val="1"/>
          <w:numId w:val="126"/>
        </w:numPr>
        <w:tabs>
          <w:tab w:val="left" w:pos="1801"/>
          <w:tab w:val="left" w:pos="1802"/>
        </w:tabs>
        <w:spacing w:before="123" w:line="206" w:lineRule="auto"/>
        <w:ind w:right="1204"/>
        <w:rPr>
          <w:sz w:val="20"/>
        </w:rPr>
      </w:pPr>
      <w:r>
        <w:rPr>
          <w:color w:val="231F20"/>
          <w:sz w:val="20"/>
        </w:rPr>
        <w:t xml:space="preserve">One of the most important things that needs to change is </w:t>
      </w:r>
      <w:r>
        <w:rPr>
          <w:color w:val="231F20"/>
          <w:spacing w:val="-3"/>
          <w:sz w:val="20"/>
        </w:rPr>
        <w:t xml:space="preserve">for </w:t>
      </w:r>
      <w:r>
        <w:rPr>
          <w:color w:val="231F20"/>
          <w:sz w:val="20"/>
        </w:rPr>
        <w:t xml:space="preserve">victim survivors of non- </w:t>
      </w:r>
      <w:r>
        <w:rPr>
          <w:color w:val="231F20"/>
          <w:spacing w:val="-3"/>
          <w:sz w:val="20"/>
        </w:rPr>
        <w:t xml:space="preserve">family </w:t>
      </w:r>
      <w:r>
        <w:rPr>
          <w:color w:val="231F20"/>
          <w:sz w:val="20"/>
        </w:rPr>
        <w:t xml:space="preserve">violence stalking to </w:t>
      </w:r>
      <w:r>
        <w:rPr>
          <w:color w:val="231F20"/>
          <w:spacing w:val="-3"/>
          <w:sz w:val="20"/>
        </w:rPr>
        <w:t xml:space="preserve">receive </w:t>
      </w:r>
      <w:r>
        <w:rPr>
          <w:color w:val="231F20"/>
          <w:sz w:val="20"/>
        </w:rPr>
        <w:t xml:space="preserve">more support. </w:t>
      </w:r>
      <w:r>
        <w:rPr>
          <w:color w:val="231F20"/>
          <w:spacing w:val="-3"/>
          <w:sz w:val="20"/>
        </w:rPr>
        <w:t xml:space="preserve">For </w:t>
      </w:r>
      <w:r>
        <w:rPr>
          <w:color w:val="231F20"/>
          <w:sz w:val="20"/>
        </w:rPr>
        <w:t xml:space="preserve">many people </w:t>
      </w:r>
      <w:r>
        <w:rPr>
          <w:color w:val="231F20"/>
          <w:spacing w:val="-3"/>
          <w:sz w:val="20"/>
        </w:rPr>
        <w:t xml:space="preserve">‘justice’ </w:t>
      </w:r>
      <w:r>
        <w:rPr>
          <w:color w:val="231F20"/>
          <w:sz w:val="20"/>
        </w:rPr>
        <w:t>is not about what</w:t>
      </w:r>
      <w:r>
        <w:rPr>
          <w:color w:val="231F20"/>
          <w:spacing w:val="-9"/>
          <w:sz w:val="20"/>
        </w:rPr>
        <w:t xml:space="preserve"> </w:t>
      </w:r>
      <w:r>
        <w:rPr>
          <w:color w:val="231F20"/>
          <w:sz w:val="20"/>
        </w:rPr>
        <w:t>happens</w:t>
      </w:r>
      <w:r>
        <w:rPr>
          <w:color w:val="231F20"/>
          <w:spacing w:val="-9"/>
          <w:sz w:val="20"/>
        </w:rPr>
        <w:t xml:space="preserve"> </w:t>
      </w:r>
      <w:r>
        <w:rPr>
          <w:color w:val="231F20"/>
          <w:sz w:val="20"/>
        </w:rPr>
        <w:t>at</w:t>
      </w:r>
      <w:r>
        <w:rPr>
          <w:color w:val="231F20"/>
          <w:spacing w:val="-9"/>
          <w:sz w:val="20"/>
        </w:rPr>
        <w:t xml:space="preserve"> </w:t>
      </w:r>
      <w:r>
        <w:rPr>
          <w:color w:val="231F20"/>
          <w:sz w:val="20"/>
        </w:rPr>
        <w:t>the</w:t>
      </w:r>
      <w:r>
        <w:rPr>
          <w:color w:val="231F20"/>
          <w:spacing w:val="-9"/>
          <w:sz w:val="20"/>
        </w:rPr>
        <w:t xml:space="preserve"> </w:t>
      </w:r>
      <w:r>
        <w:rPr>
          <w:color w:val="231F20"/>
          <w:sz w:val="20"/>
        </w:rPr>
        <w:t>end,</w:t>
      </w:r>
      <w:r>
        <w:rPr>
          <w:color w:val="231F20"/>
          <w:spacing w:val="-9"/>
          <w:sz w:val="20"/>
        </w:rPr>
        <w:t xml:space="preserve"> </w:t>
      </w:r>
      <w:r>
        <w:rPr>
          <w:color w:val="231F20"/>
          <w:sz w:val="20"/>
        </w:rPr>
        <w:t>but</w:t>
      </w:r>
      <w:r>
        <w:rPr>
          <w:color w:val="231F20"/>
          <w:spacing w:val="-9"/>
          <w:sz w:val="20"/>
        </w:rPr>
        <w:t xml:space="preserve"> </w:t>
      </w:r>
      <w:r>
        <w:rPr>
          <w:color w:val="231F20"/>
          <w:sz w:val="20"/>
        </w:rPr>
        <w:t>about</w:t>
      </w:r>
      <w:r>
        <w:rPr>
          <w:color w:val="231F20"/>
          <w:spacing w:val="-9"/>
          <w:sz w:val="20"/>
        </w:rPr>
        <w:t xml:space="preserve"> </w:t>
      </w:r>
      <w:r>
        <w:rPr>
          <w:color w:val="231F20"/>
          <w:spacing w:val="-3"/>
          <w:sz w:val="20"/>
        </w:rPr>
        <w:t>how</w:t>
      </w:r>
      <w:r>
        <w:rPr>
          <w:color w:val="231F20"/>
          <w:spacing w:val="-9"/>
          <w:sz w:val="20"/>
        </w:rPr>
        <w:t xml:space="preserve"> </w:t>
      </w:r>
      <w:r>
        <w:rPr>
          <w:color w:val="231F20"/>
          <w:sz w:val="20"/>
        </w:rPr>
        <w:t>they</w:t>
      </w:r>
      <w:r>
        <w:rPr>
          <w:color w:val="231F20"/>
          <w:spacing w:val="-9"/>
          <w:sz w:val="20"/>
        </w:rPr>
        <w:t xml:space="preserve"> </w:t>
      </w:r>
      <w:r>
        <w:rPr>
          <w:color w:val="231F20"/>
          <w:sz w:val="20"/>
        </w:rPr>
        <w:t>experience</w:t>
      </w:r>
      <w:r>
        <w:rPr>
          <w:color w:val="231F20"/>
          <w:spacing w:val="-9"/>
          <w:sz w:val="20"/>
        </w:rPr>
        <w:t xml:space="preserve"> </w:t>
      </w:r>
      <w:r>
        <w:rPr>
          <w:color w:val="231F20"/>
          <w:sz w:val="20"/>
        </w:rPr>
        <w:t>the</w:t>
      </w:r>
      <w:r>
        <w:rPr>
          <w:color w:val="231F20"/>
          <w:spacing w:val="-9"/>
          <w:sz w:val="20"/>
        </w:rPr>
        <w:t xml:space="preserve"> </w:t>
      </w:r>
      <w:r>
        <w:rPr>
          <w:color w:val="231F20"/>
          <w:sz w:val="20"/>
        </w:rPr>
        <w:t>process.</w:t>
      </w:r>
      <w:r>
        <w:rPr>
          <w:color w:val="231F20"/>
          <w:spacing w:val="-9"/>
          <w:sz w:val="20"/>
        </w:rPr>
        <w:t xml:space="preserve"> </w:t>
      </w:r>
      <w:r>
        <w:rPr>
          <w:color w:val="231F20"/>
          <w:sz w:val="20"/>
        </w:rPr>
        <w:t>As</w:t>
      </w:r>
      <w:r>
        <w:rPr>
          <w:color w:val="231F20"/>
          <w:spacing w:val="-9"/>
          <w:sz w:val="20"/>
        </w:rPr>
        <w:t xml:space="preserve"> </w:t>
      </w:r>
      <w:r>
        <w:rPr>
          <w:color w:val="231F20"/>
          <w:spacing w:val="-3"/>
          <w:sz w:val="20"/>
        </w:rPr>
        <w:t>we</w:t>
      </w:r>
      <w:r>
        <w:rPr>
          <w:color w:val="231F20"/>
          <w:spacing w:val="-9"/>
          <w:sz w:val="20"/>
        </w:rPr>
        <w:t xml:space="preserve"> </w:t>
      </w:r>
      <w:r>
        <w:rPr>
          <w:color w:val="231F20"/>
          <w:sz w:val="20"/>
        </w:rPr>
        <w:t>discuss</w:t>
      </w:r>
      <w:r>
        <w:rPr>
          <w:color w:val="231F20"/>
          <w:spacing w:val="-9"/>
          <w:sz w:val="20"/>
        </w:rPr>
        <w:t xml:space="preserve"> </w:t>
      </w:r>
      <w:r>
        <w:rPr>
          <w:color w:val="231F20"/>
          <w:sz w:val="20"/>
        </w:rPr>
        <w:t xml:space="preserve">in </w:t>
      </w:r>
      <w:r>
        <w:rPr>
          <w:color w:val="231F20"/>
          <w:spacing w:val="-3"/>
          <w:sz w:val="20"/>
        </w:rPr>
        <w:t>Chapter</w:t>
      </w:r>
      <w:r>
        <w:rPr>
          <w:color w:val="231F20"/>
          <w:spacing w:val="-5"/>
          <w:sz w:val="20"/>
        </w:rPr>
        <w:t xml:space="preserve"> </w:t>
      </w:r>
      <w:r>
        <w:rPr>
          <w:color w:val="231F20"/>
          <w:sz w:val="20"/>
        </w:rPr>
        <w:t>1,</w:t>
      </w:r>
      <w:r>
        <w:rPr>
          <w:color w:val="231F20"/>
          <w:spacing w:val="-4"/>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4"/>
          <w:sz w:val="20"/>
        </w:rPr>
        <w:t xml:space="preserve"> </w:t>
      </w:r>
      <w:r>
        <w:rPr>
          <w:color w:val="231F20"/>
          <w:spacing w:val="-3"/>
          <w:sz w:val="20"/>
        </w:rPr>
        <w:t>may</w:t>
      </w:r>
      <w:r>
        <w:rPr>
          <w:color w:val="231F20"/>
          <w:spacing w:val="-5"/>
          <w:sz w:val="20"/>
        </w:rPr>
        <w:t xml:space="preserve"> </w:t>
      </w:r>
      <w:r>
        <w:rPr>
          <w:color w:val="231F20"/>
          <w:sz w:val="20"/>
        </w:rPr>
        <w:t>see</w:t>
      </w:r>
      <w:r>
        <w:rPr>
          <w:color w:val="231F20"/>
          <w:spacing w:val="-4"/>
          <w:sz w:val="20"/>
        </w:rPr>
        <w:t xml:space="preserve"> </w:t>
      </w:r>
      <w:r>
        <w:rPr>
          <w:color w:val="231F20"/>
          <w:sz w:val="20"/>
        </w:rPr>
        <w:t>support</w:t>
      </w:r>
      <w:r>
        <w:rPr>
          <w:color w:val="231F20"/>
          <w:spacing w:val="-5"/>
          <w:sz w:val="20"/>
        </w:rPr>
        <w:t xml:space="preserve"> </w:t>
      </w:r>
      <w:r>
        <w:rPr>
          <w:color w:val="231F20"/>
          <w:sz w:val="20"/>
        </w:rPr>
        <w:t>as</w:t>
      </w:r>
      <w:r>
        <w:rPr>
          <w:color w:val="231F20"/>
          <w:spacing w:val="-4"/>
          <w:sz w:val="20"/>
        </w:rPr>
        <w:t xml:space="preserve"> </w:t>
      </w:r>
      <w:r>
        <w:rPr>
          <w:color w:val="231F20"/>
          <w:sz w:val="20"/>
        </w:rPr>
        <w:t>a</w:t>
      </w:r>
      <w:r>
        <w:rPr>
          <w:color w:val="231F20"/>
          <w:spacing w:val="-5"/>
          <w:sz w:val="20"/>
        </w:rPr>
        <w:t xml:space="preserve"> </w:t>
      </w:r>
      <w:r>
        <w:rPr>
          <w:color w:val="231F20"/>
          <w:spacing w:val="-3"/>
          <w:sz w:val="20"/>
        </w:rPr>
        <w:t>form</w:t>
      </w:r>
      <w:r>
        <w:rPr>
          <w:color w:val="231F20"/>
          <w:spacing w:val="-4"/>
          <w:sz w:val="20"/>
        </w:rPr>
        <w:t xml:space="preserve"> </w:t>
      </w:r>
      <w:r>
        <w:rPr>
          <w:color w:val="231F20"/>
          <w:sz w:val="20"/>
        </w:rPr>
        <w:t>of</w:t>
      </w:r>
      <w:r>
        <w:rPr>
          <w:color w:val="231F20"/>
          <w:spacing w:val="-5"/>
          <w:sz w:val="20"/>
        </w:rPr>
        <w:t xml:space="preserve"> </w:t>
      </w:r>
      <w:r>
        <w:rPr>
          <w:color w:val="231F20"/>
          <w:sz w:val="20"/>
        </w:rPr>
        <w:t>justice.</w:t>
      </w:r>
    </w:p>
    <w:p w14:paraId="75843726" w14:textId="77777777" w:rsidR="00894070" w:rsidRDefault="00894070">
      <w:pPr>
        <w:pStyle w:val="BodyText"/>
      </w:pPr>
    </w:p>
    <w:p w14:paraId="6C44A224" w14:textId="77777777" w:rsidR="00894070" w:rsidRDefault="009F6793">
      <w:pPr>
        <w:pStyle w:val="BodyText"/>
        <w:spacing w:before="4"/>
        <w:rPr>
          <w:sz w:val="22"/>
        </w:rPr>
      </w:pPr>
      <w:r>
        <w:pict w14:anchorId="641108C0">
          <v:line id="_x0000_s1431" style="position:absolute;z-index:251588608;mso-wrap-distance-left:0;mso-wrap-distance-right:0;mso-position-horizontal-relative:page" from="79.35pt,17.95pt" to="515.9pt,17.95pt" strokecolor="#f8cabc" strokeweight="1pt">
            <w10:wrap type="topAndBottom" anchorx="page"/>
          </v:line>
        </w:pict>
      </w:r>
    </w:p>
    <w:p w14:paraId="200D2A4E" w14:textId="77777777" w:rsidR="00894070" w:rsidRDefault="009B7AFD">
      <w:pPr>
        <w:pStyle w:val="ListParagraph"/>
        <w:numPr>
          <w:ilvl w:val="0"/>
          <w:numId w:val="125"/>
        </w:numPr>
        <w:tabs>
          <w:tab w:val="left" w:pos="1800"/>
          <w:tab w:val="left" w:pos="1802"/>
        </w:tabs>
        <w:spacing w:before="91" w:line="170" w:lineRule="exact"/>
        <w:rPr>
          <w:sz w:val="13"/>
        </w:rPr>
      </w:pPr>
      <w:r>
        <w:rPr>
          <w:color w:val="231F20"/>
          <w:sz w:val="13"/>
        </w:rPr>
        <w:t xml:space="preserve">Consultation 11 </w:t>
      </w:r>
      <w:r>
        <w:rPr>
          <w:color w:val="231F20"/>
          <w:spacing w:val="2"/>
          <w:sz w:val="13"/>
        </w:rPr>
        <w:t xml:space="preserve">(Members </w:t>
      </w:r>
      <w:r>
        <w:rPr>
          <w:color w:val="231F20"/>
          <w:sz w:val="13"/>
        </w:rPr>
        <w:t>of the Victims of Crime Consultative</w:t>
      </w:r>
      <w:r>
        <w:rPr>
          <w:color w:val="231F20"/>
          <w:spacing w:val="3"/>
          <w:sz w:val="13"/>
        </w:rPr>
        <w:t xml:space="preserve"> </w:t>
      </w:r>
      <w:r>
        <w:rPr>
          <w:color w:val="231F20"/>
          <w:sz w:val="13"/>
        </w:rPr>
        <w:t>Committee).</w:t>
      </w:r>
    </w:p>
    <w:p w14:paraId="341CA31E" w14:textId="77777777" w:rsidR="00894070" w:rsidRDefault="009B7AFD">
      <w:pPr>
        <w:pStyle w:val="ListParagraph"/>
        <w:numPr>
          <w:ilvl w:val="0"/>
          <w:numId w:val="125"/>
        </w:numPr>
        <w:tabs>
          <w:tab w:val="left" w:pos="1800"/>
          <w:tab w:val="left" w:pos="1802"/>
        </w:tabs>
        <w:spacing w:line="160" w:lineRule="exact"/>
        <w:rPr>
          <w:sz w:val="13"/>
        </w:rPr>
      </w:pPr>
      <w:r>
        <w:rPr>
          <w:color w:val="231F20"/>
          <w:spacing w:val="2"/>
          <w:sz w:val="13"/>
        </w:rPr>
        <w:t xml:space="preserve">Submission </w:t>
      </w:r>
      <w:r>
        <w:rPr>
          <w:color w:val="231F20"/>
          <w:sz w:val="13"/>
        </w:rPr>
        <w:t>70 (Di</w:t>
      </w:r>
      <w:r>
        <w:rPr>
          <w:color w:val="231F20"/>
          <w:spacing w:val="-3"/>
          <w:sz w:val="13"/>
        </w:rPr>
        <w:t xml:space="preserve"> </w:t>
      </w:r>
      <w:r>
        <w:rPr>
          <w:color w:val="231F20"/>
          <w:sz w:val="13"/>
        </w:rPr>
        <w:t>McDonald).</w:t>
      </w:r>
    </w:p>
    <w:p w14:paraId="49AA72E4" w14:textId="77777777" w:rsidR="00894070" w:rsidRDefault="009F6793">
      <w:pPr>
        <w:pStyle w:val="ListParagraph"/>
        <w:numPr>
          <w:ilvl w:val="0"/>
          <w:numId w:val="125"/>
        </w:numPr>
        <w:tabs>
          <w:tab w:val="left" w:pos="1800"/>
          <w:tab w:val="left" w:pos="1802"/>
        </w:tabs>
        <w:spacing w:line="160" w:lineRule="exact"/>
        <w:rPr>
          <w:sz w:val="13"/>
        </w:rPr>
      </w:pPr>
      <w:r>
        <w:pict w14:anchorId="7C89A4F5">
          <v:shape id="_x0000_s1430" type="#_x0000_t202" style="position:absolute;left:0;text-align:left;margin-left:36pt;margin-top:3.7pt;width:13.9pt;height:14.1pt;z-index:251663360;mso-position-horizontal-relative:page" filled="f" stroked="f">
            <v:textbox inset="0,0,0,0">
              <w:txbxContent>
                <w:p w14:paraId="2274E983" w14:textId="77777777" w:rsidR="00894070" w:rsidRDefault="009B7AFD">
                  <w:pPr>
                    <w:spacing w:line="282" w:lineRule="exact"/>
                    <w:rPr>
                      <w:b/>
                      <w:sz w:val="24"/>
                    </w:rPr>
                  </w:pPr>
                  <w:r>
                    <w:rPr>
                      <w:b/>
                      <w:color w:val="EA5B50"/>
                      <w:spacing w:val="-2"/>
                      <w:sz w:val="24"/>
                    </w:rPr>
                    <w:t>76</w:t>
                  </w:r>
                </w:p>
              </w:txbxContent>
            </v:textbox>
            <w10:wrap anchorx="page"/>
          </v:shape>
        </w:pict>
      </w:r>
      <w:r w:rsidR="009B7AFD">
        <w:rPr>
          <w:color w:val="231F20"/>
          <w:sz w:val="13"/>
        </w:rPr>
        <w:t xml:space="preserve">Tim Boehnlein et </w:t>
      </w:r>
      <w:r w:rsidR="009B7AFD">
        <w:rPr>
          <w:color w:val="231F20"/>
          <w:spacing w:val="2"/>
          <w:sz w:val="13"/>
        </w:rPr>
        <w:t xml:space="preserve">al, </w:t>
      </w:r>
      <w:r w:rsidR="009B7AFD">
        <w:rPr>
          <w:color w:val="231F20"/>
          <w:sz w:val="13"/>
        </w:rPr>
        <w:t xml:space="preserve">‘Responding to Stalking Victims: Perceptions, </w:t>
      </w:r>
      <w:r w:rsidR="009B7AFD">
        <w:rPr>
          <w:color w:val="231F20"/>
          <w:spacing w:val="2"/>
          <w:sz w:val="13"/>
        </w:rPr>
        <w:t xml:space="preserve">Barriers, </w:t>
      </w:r>
      <w:r w:rsidR="009B7AFD">
        <w:rPr>
          <w:color w:val="231F20"/>
          <w:sz w:val="13"/>
        </w:rPr>
        <w:t>and Directions for Future Research’ (2020)</w:t>
      </w:r>
      <w:r w:rsidR="009B7AFD">
        <w:rPr>
          <w:color w:val="231F20"/>
          <w:spacing w:val="31"/>
          <w:sz w:val="13"/>
        </w:rPr>
        <w:t xml:space="preserve"> </w:t>
      </w:r>
      <w:r w:rsidR="009B7AFD">
        <w:rPr>
          <w:color w:val="231F20"/>
          <w:sz w:val="13"/>
        </w:rPr>
        <w:t>35(7)</w:t>
      </w:r>
    </w:p>
    <w:p w14:paraId="2B066920" w14:textId="77777777" w:rsidR="00894070" w:rsidRDefault="009B7AFD">
      <w:pPr>
        <w:spacing w:line="170" w:lineRule="exact"/>
        <w:ind w:left="1801"/>
        <w:rPr>
          <w:sz w:val="13"/>
        </w:rPr>
      </w:pPr>
      <w:r>
        <w:rPr>
          <w:i/>
          <w:color w:val="231F20"/>
          <w:sz w:val="13"/>
        </w:rPr>
        <w:t xml:space="preserve">Journal of Family Violence </w:t>
      </w:r>
      <w:r>
        <w:rPr>
          <w:color w:val="231F20"/>
          <w:sz w:val="13"/>
        </w:rPr>
        <w:t>755, 762.</w:t>
      </w:r>
    </w:p>
    <w:p w14:paraId="2FFBB15D" w14:textId="77777777" w:rsidR="00894070" w:rsidRDefault="00894070">
      <w:pPr>
        <w:spacing w:line="170" w:lineRule="exact"/>
        <w:rPr>
          <w:sz w:val="13"/>
        </w:rPr>
        <w:sectPr w:rsidR="00894070">
          <w:pgSz w:w="11910" w:h="16840"/>
          <w:pgMar w:top="860" w:right="420" w:bottom="280" w:left="580" w:header="567" w:footer="0" w:gutter="0"/>
          <w:cols w:space="720"/>
        </w:sectPr>
      </w:pPr>
    </w:p>
    <w:p w14:paraId="65D01439" w14:textId="77777777" w:rsidR="00894070" w:rsidRDefault="00894070">
      <w:pPr>
        <w:pStyle w:val="BodyText"/>
      </w:pPr>
    </w:p>
    <w:p w14:paraId="7AA4CDEF" w14:textId="77777777" w:rsidR="00894070" w:rsidRDefault="00894070">
      <w:pPr>
        <w:pStyle w:val="BodyText"/>
      </w:pPr>
    </w:p>
    <w:p w14:paraId="1F7D3400" w14:textId="77777777" w:rsidR="00894070" w:rsidRDefault="00894070">
      <w:pPr>
        <w:pStyle w:val="BodyText"/>
      </w:pPr>
    </w:p>
    <w:p w14:paraId="2140A650" w14:textId="77777777" w:rsidR="00894070" w:rsidRDefault="00894070">
      <w:pPr>
        <w:pStyle w:val="BodyText"/>
        <w:spacing w:before="6"/>
        <w:rPr>
          <w:sz w:val="14"/>
        </w:rPr>
      </w:pPr>
    </w:p>
    <w:p w14:paraId="48391B63" w14:textId="77777777" w:rsidR="00894070" w:rsidRDefault="009B7AFD">
      <w:pPr>
        <w:pStyle w:val="ListParagraph"/>
        <w:numPr>
          <w:ilvl w:val="1"/>
          <w:numId w:val="126"/>
        </w:numPr>
        <w:tabs>
          <w:tab w:val="left" w:pos="1801"/>
          <w:tab w:val="left" w:pos="1802"/>
        </w:tabs>
        <w:spacing w:before="90" w:line="206" w:lineRule="auto"/>
        <w:ind w:right="1464"/>
        <w:rPr>
          <w:sz w:val="20"/>
        </w:rPr>
      </w:pPr>
      <w:bookmarkStart w:id="91" w:name="Where_can_people_get_support_for_stalkin"/>
      <w:bookmarkStart w:id="92" w:name="_bookmark48"/>
      <w:bookmarkEnd w:id="91"/>
      <w:bookmarkEnd w:id="92"/>
      <w:r>
        <w:rPr>
          <w:color w:val="231F20"/>
          <w:sz w:val="20"/>
        </w:rPr>
        <w:t>It</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be</w:t>
      </w:r>
      <w:r>
        <w:rPr>
          <w:color w:val="231F20"/>
          <w:spacing w:val="-7"/>
          <w:sz w:val="20"/>
        </w:rPr>
        <w:t xml:space="preserve"> </w:t>
      </w:r>
      <w:r>
        <w:rPr>
          <w:color w:val="231F20"/>
          <w:sz w:val="20"/>
        </w:rPr>
        <w:t>less</w:t>
      </w:r>
      <w:r>
        <w:rPr>
          <w:color w:val="231F20"/>
          <w:spacing w:val="-8"/>
          <w:sz w:val="20"/>
        </w:rPr>
        <w:t xml:space="preserve"> </w:t>
      </w:r>
      <w:r>
        <w:rPr>
          <w:color w:val="231F20"/>
          <w:sz w:val="20"/>
        </w:rPr>
        <w:t>traumatic</w:t>
      </w:r>
      <w:r>
        <w:rPr>
          <w:color w:val="231F20"/>
          <w:spacing w:val="-8"/>
          <w:sz w:val="20"/>
        </w:rPr>
        <w:t xml:space="preserve"> </w:t>
      </w:r>
      <w:r>
        <w:rPr>
          <w:color w:val="231F20"/>
          <w:spacing w:val="-3"/>
          <w:sz w:val="20"/>
        </w:rPr>
        <w:t>for</w:t>
      </w:r>
      <w:r>
        <w:rPr>
          <w:color w:val="231F20"/>
          <w:spacing w:val="-7"/>
          <w:sz w:val="20"/>
        </w:rPr>
        <w:t xml:space="preserve"> </w:t>
      </w:r>
      <w:r>
        <w:rPr>
          <w:color w:val="231F20"/>
          <w:sz w:val="20"/>
        </w:rPr>
        <w:t>people</w:t>
      </w:r>
      <w:r>
        <w:rPr>
          <w:color w:val="231F20"/>
          <w:spacing w:val="-8"/>
          <w:sz w:val="20"/>
        </w:rPr>
        <w:t xml:space="preserve"> </w:t>
      </w:r>
      <w:r>
        <w:rPr>
          <w:color w:val="231F20"/>
          <w:sz w:val="20"/>
        </w:rPr>
        <w:t>to</w:t>
      </w:r>
      <w:r>
        <w:rPr>
          <w:color w:val="231F20"/>
          <w:spacing w:val="-7"/>
          <w:sz w:val="20"/>
        </w:rPr>
        <w:t xml:space="preserve"> </w:t>
      </w:r>
      <w:r>
        <w:rPr>
          <w:color w:val="231F20"/>
          <w:spacing w:val="-3"/>
          <w:sz w:val="20"/>
        </w:rPr>
        <w:t>navigate</w:t>
      </w:r>
      <w:r>
        <w:rPr>
          <w:color w:val="231F20"/>
          <w:spacing w:val="-8"/>
          <w:sz w:val="20"/>
        </w:rPr>
        <w:t xml:space="preserve"> </w:t>
      </w:r>
      <w:r>
        <w:rPr>
          <w:color w:val="231F20"/>
          <w:sz w:val="20"/>
        </w:rPr>
        <w:t>and</w:t>
      </w:r>
      <w:r>
        <w:rPr>
          <w:color w:val="231F20"/>
          <w:spacing w:val="-8"/>
          <w:sz w:val="20"/>
        </w:rPr>
        <w:t xml:space="preserve"> </w:t>
      </w:r>
      <w:r>
        <w:rPr>
          <w:color w:val="231F20"/>
          <w:sz w:val="20"/>
        </w:rPr>
        <w:t>engage</w:t>
      </w:r>
      <w:r>
        <w:rPr>
          <w:color w:val="231F20"/>
          <w:spacing w:val="-7"/>
          <w:sz w:val="20"/>
        </w:rPr>
        <w:t xml:space="preserve"> </w:t>
      </w:r>
      <w:r>
        <w:rPr>
          <w:color w:val="231F20"/>
          <w:sz w:val="20"/>
        </w:rPr>
        <w:t>with</w:t>
      </w:r>
      <w:r>
        <w:rPr>
          <w:color w:val="231F20"/>
          <w:spacing w:val="-8"/>
          <w:sz w:val="20"/>
        </w:rPr>
        <w:t xml:space="preserve"> </w:t>
      </w:r>
      <w:r>
        <w:rPr>
          <w:color w:val="231F20"/>
          <w:sz w:val="20"/>
        </w:rPr>
        <w:t>the</w:t>
      </w:r>
      <w:r>
        <w:rPr>
          <w:color w:val="231F20"/>
          <w:spacing w:val="-8"/>
          <w:sz w:val="20"/>
        </w:rPr>
        <w:t xml:space="preserve"> </w:t>
      </w:r>
      <w:r>
        <w:rPr>
          <w:color w:val="231F20"/>
          <w:sz w:val="20"/>
        </w:rPr>
        <w:t>justice</w:t>
      </w:r>
      <w:r>
        <w:rPr>
          <w:color w:val="231F20"/>
          <w:spacing w:val="-7"/>
          <w:sz w:val="20"/>
        </w:rPr>
        <w:t xml:space="preserve"> </w:t>
      </w:r>
      <w:r>
        <w:rPr>
          <w:color w:val="231F20"/>
          <w:spacing w:val="-2"/>
          <w:sz w:val="20"/>
        </w:rPr>
        <w:t>system</w:t>
      </w:r>
      <w:r>
        <w:rPr>
          <w:color w:val="231F20"/>
          <w:spacing w:val="-8"/>
          <w:sz w:val="20"/>
        </w:rPr>
        <w:t xml:space="preserve"> </w:t>
      </w:r>
      <w:r>
        <w:rPr>
          <w:color w:val="231F20"/>
          <w:sz w:val="20"/>
        </w:rPr>
        <w:t xml:space="preserve">if they </w:t>
      </w:r>
      <w:r>
        <w:rPr>
          <w:color w:val="231F20"/>
          <w:spacing w:val="-4"/>
          <w:sz w:val="20"/>
        </w:rPr>
        <w:t xml:space="preserve">have </w:t>
      </w:r>
      <w:r>
        <w:rPr>
          <w:color w:val="231F20"/>
          <w:sz w:val="20"/>
        </w:rPr>
        <w:t>more</w:t>
      </w:r>
      <w:r>
        <w:rPr>
          <w:color w:val="231F20"/>
          <w:spacing w:val="-9"/>
          <w:sz w:val="20"/>
        </w:rPr>
        <w:t xml:space="preserve"> </w:t>
      </w:r>
      <w:r>
        <w:rPr>
          <w:color w:val="231F20"/>
          <w:sz w:val="20"/>
        </w:rPr>
        <w:t>support.</w:t>
      </w:r>
    </w:p>
    <w:p w14:paraId="51DC7403" w14:textId="77777777" w:rsidR="00894070" w:rsidRDefault="009B7AFD">
      <w:pPr>
        <w:pStyle w:val="ListParagraph"/>
        <w:numPr>
          <w:ilvl w:val="1"/>
          <w:numId w:val="126"/>
        </w:numPr>
        <w:tabs>
          <w:tab w:val="left" w:pos="1802"/>
        </w:tabs>
        <w:spacing w:before="122" w:line="206" w:lineRule="auto"/>
        <w:ind w:right="1593"/>
        <w:jc w:val="both"/>
        <w:rPr>
          <w:sz w:val="20"/>
        </w:rPr>
      </w:pPr>
      <w:r>
        <w:rPr>
          <w:color w:val="231F20"/>
          <w:spacing w:val="-3"/>
          <w:sz w:val="20"/>
        </w:rPr>
        <w:t xml:space="preserve">Over </w:t>
      </w:r>
      <w:r>
        <w:rPr>
          <w:color w:val="231F20"/>
          <w:sz w:val="20"/>
        </w:rPr>
        <w:t xml:space="preserve">time, victim support systems </w:t>
      </w:r>
      <w:r>
        <w:rPr>
          <w:color w:val="231F20"/>
          <w:spacing w:val="-4"/>
          <w:sz w:val="20"/>
        </w:rPr>
        <w:t xml:space="preserve">have </w:t>
      </w:r>
      <w:r>
        <w:rPr>
          <w:color w:val="231F20"/>
          <w:sz w:val="20"/>
        </w:rPr>
        <w:t xml:space="preserve">been adapted and </w:t>
      </w:r>
      <w:r>
        <w:rPr>
          <w:color w:val="231F20"/>
          <w:spacing w:val="-3"/>
          <w:sz w:val="20"/>
        </w:rPr>
        <w:t xml:space="preserve">improved for </w:t>
      </w:r>
      <w:r>
        <w:rPr>
          <w:color w:val="231F20"/>
          <w:sz w:val="20"/>
        </w:rPr>
        <w:t xml:space="preserve">victims of </w:t>
      </w:r>
      <w:r>
        <w:rPr>
          <w:color w:val="231F20"/>
          <w:spacing w:val="-3"/>
          <w:sz w:val="20"/>
        </w:rPr>
        <w:t>different</w:t>
      </w:r>
      <w:r>
        <w:rPr>
          <w:color w:val="231F20"/>
          <w:spacing w:val="-9"/>
          <w:sz w:val="20"/>
        </w:rPr>
        <w:t xml:space="preserve"> </w:t>
      </w:r>
      <w:r>
        <w:rPr>
          <w:color w:val="231F20"/>
          <w:sz w:val="20"/>
        </w:rPr>
        <w:t>types</w:t>
      </w:r>
      <w:r>
        <w:rPr>
          <w:color w:val="231F20"/>
          <w:spacing w:val="-8"/>
          <w:sz w:val="20"/>
        </w:rPr>
        <w:t xml:space="preserve"> </w:t>
      </w:r>
      <w:r>
        <w:rPr>
          <w:color w:val="231F20"/>
          <w:sz w:val="20"/>
        </w:rPr>
        <w:t>of</w:t>
      </w:r>
      <w:r>
        <w:rPr>
          <w:color w:val="231F20"/>
          <w:spacing w:val="-8"/>
          <w:sz w:val="20"/>
        </w:rPr>
        <w:t xml:space="preserve"> </w:t>
      </w:r>
      <w:r>
        <w:rPr>
          <w:color w:val="231F20"/>
          <w:sz w:val="20"/>
        </w:rPr>
        <w:t>offending.</w:t>
      </w:r>
      <w:r>
        <w:rPr>
          <w:color w:val="231F20"/>
          <w:spacing w:val="-9"/>
          <w:sz w:val="20"/>
        </w:rPr>
        <w:t xml:space="preserve"> </w:t>
      </w:r>
      <w:r>
        <w:rPr>
          <w:color w:val="231F20"/>
          <w:spacing w:val="-3"/>
          <w:sz w:val="20"/>
        </w:rPr>
        <w:t>For</w:t>
      </w:r>
      <w:r>
        <w:rPr>
          <w:color w:val="231F20"/>
          <w:spacing w:val="-8"/>
          <w:sz w:val="20"/>
        </w:rPr>
        <w:t xml:space="preserve"> </w:t>
      </w:r>
      <w:r>
        <w:rPr>
          <w:color w:val="231F20"/>
          <w:spacing w:val="-3"/>
          <w:sz w:val="20"/>
        </w:rPr>
        <w:t>example,</w:t>
      </w:r>
      <w:r>
        <w:rPr>
          <w:color w:val="231F20"/>
          <w:spacing w:val="-8"/>
          <w:sz w:val="20"/>
        </w:rPr>
        <w:t xml:space="preserve"> </w:t>
      </w:r>
      <w:r>
        <w:rPr>
          <w:color w:val="231F20"/>
          <w:sz w:val="20"/>
        </w:rPr>
        <w:t>in</w:t>
      </w:r>
      <w:r>
        <w:rPr>
          <w:color w:val="231F20"/>
          <w:spacing w:val="-9"/>
          <w:sz w:val="20"/>
        </w:rPr>
        <w:t xml:space="preserve"> </w:t>
      </w:r>
      <w:r>
        <w:rPr>
          <w:color w:val="231F20"/>
          <w:spacing w:val="-3"/>
          <w:sz w:val="20"/>
        </w:rPr>
        <w:t>2016</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Royal</w:t>
      </w:r>
      <w:r>
        <w:rPr>
          <w:color w:val="231F20"/>
          <w:spacing w:val="-8"/>
          <w:sz w:val="20"/>
        </w:rPr>
        <w:t xml:space="preserve"> </w:t>
      </w:r>
      <w:r>
        <w:rPr>
          <w:color w:val="231F20"/>
          <w:sz w:val="20"/>
        </w:rPr>
        <w:t>Commission</w:t>
      </w:r>
      <w:r>
        <w:rPr>
          <w:color w:val="231F20"/>
          <w:spacing w:val="-9"/>
          <w:sz w:val="20"/>
        </w:rPr>
        <w:t xml:space="preserve"> </w:t>
      </w:r>
      <w:r>
        <w:rPr>
          <w:color w:val="231F20"/>
          <w:spacing w:val="-3"/>
          <w:sz w:val="20"/>
        </w:rPr>
        <w:t>into</w:t>
      </w:r>
      <w:r>
        <w:rPr>
          <w:color w:val="231F20"/>
          <w:spacing w:val="-8"/>
          <w:sz w:val="20"/>
        </w:rPr>
        <w:t xml:space="preserve"> </w:t>
      </w:r>
      <w:r>
        <w:rPr>
          <w:color w:val="231F20"/>
          <w:spacing w:val="-4"/>
          <w:sz w:val="20"/>
        </w:rPr>
        <w:t xml:space="preserve">Family </w:t>
      </w:r>
      <w:r>
        <w:rPr>
          <w:color w:val="231F20"/>
          <w:sz w:val="20"/>
        </w:rPr>
        <w:t>Violence</w:t>
      </w:r>
      <w:r>
        <w:rPr>
          <w:color w:val="231F20"/>
          <w:spacing w:val="-14"/>
          <w:sz w:val="20"/>
        </w:rPr>
        <w:t xml:space="preserve"> </w:t>
      </w:r>
      <w:r>
        <w:rPr>
          <w:color w:val="231F20"/>
          <w:sz w:val="20"/>
        </w:rPr>
        <w:t>identified</w:t>
      </w:r>
      <w:r>
        <w:rPr>
          <w:color w:val="231F20"/>
          <w:spacing w:val="-13"/>
          <w:sz w:val="20"/>
        </w:rPr>
        <w:t xml:space="preserve"> </w:t>
      </w:r>
      <w:r>
        <w:rPr>
          <w:color w:val="231F20"/>
          <w:sz w:val="20"/>
        </w:rPr>
        <w:t>challenges</w:t>
      </w:r>
      <w:r>
        <w:rPr>
          <w:color w:val="231F20"/>
          <w:spacing w:val="-13"/>
          <w:sz w:val="20"/>
        </w:rPr>
        <w:t xml:space="preserve"> </w:t>
      </w:r>
      <w:r>
        <w:rPr>
          <w:color w:val="231F20"/>
          <w:sz w:val="20"/>
        </w:rPr>
        <w:t>that</w:t>
      </w:r>
      <w:r>
        <w:rPr>
          <w:color w:val="231F20"/>
          <w:spacing w:val="-13"/>
          <w:sz w:val="20"/>
        </w:rPr>
        <w:t xml:space="preserve"> </w:t>
      </w:r>
      <w:r>
        <w:rPr>
          <w:color w:val="231F20"/>
          <w:sz w:val="20"/>
        </w:rPr>
        <w:t>victim</w:t>
      </w:r>
      <w:r>
        <w:rPr>
          <w:color w:val="231F20"/>
          <w:spacing w:val="-13"/>
          <w:sz w:val="20"/>
        </w:rPr>
        <w:t xml:space="preserve"> </w:t>
      </w:r>
      <w:r>
        <w:rPr>
          <w:color w:val="231F20"/>
          <w:sz w:val="20"/>
        </w:rPr>
        <w:t>survivors</w:t>
      </w:r>
      <w:r>
        <w:rPr>
          <w:color w:val="231F20"/>
          <w:spacing w:val="-13"/>
          <w:sz w:val="20"/>
        </w:rPr>
        <w:t xml:space="preserve"> </w:t>
      </w:r>
      <w:r>
        <w:rPr>
          <w:color w:val="231F20"/>
          <w:sz w:val="20"/>
        </w:rPr>
        <w:t>of</w:t>
      </w:r>
      <w:r>
        <w:rPr>
          <w:color w:val="231F20"/>
          <w:spacing w:val="-14"/>
          <w:sz w:val="20"/>
        </w:rPr>
        <w:t xml:space="preserve"> </w:t>
      </w:r>
      <w:r>
        <w:rPr>
          <w:color w:val="231F20"/>
          <w:spacing w:val="-3"/>
          <w:sz w:val="20"/>
        </w:rPr>
        <w:t>family</w:t>
      </w:r>
      <w:r>
        <w:rPr>
          <w:color w:val="231F20"/>
          <w:spacing w:val="-13"/>
          <w:sz w:val="20"/>
        </w:rPr>
        <w:t xml:space="preserve"> </w:t>
      </w:r>
      <w:r>
        <w:rPr>
          <w:color w:val="231F20"/>
          <w:sz w:val="20"/>
        </w:rPr>
        <w:t>violence</w:t>
      </w:r>
      <w:r>
        <w:rPr>
          <w:color w:val="231F20"/>
          <w:spacing w:val="-13"/>
          <w:sz w:val="20"/>
        </w:rPr>
        <w:t xml:space="preserve"> </w:t>
      </w:r>
      <w:r>
        <w:rPr>
          <w:color w:val="231F20"/>
          <w:sz w:val="20"/>
        </w:rPr>
        <w:t>stalking</w:t>
      </w:r>
      <w:r>
        <w:rPr>
          <w:color w:val="231F20"/>
          <w:spacing w:val="-13"/>
          <w:sz w:val="20"/>
        </w:rPr>
        <w:t xml:space="preserve"> </w:t>
      </w:r>
      <w:r>
        <w:rPr>
          <w:color w:val="231F20"/>
          <w:sz w:val="20"/>
        </w:rPr>
        <w:t>face when</w:t>
      </w:r>
      <w:r>
        <w:rPr>
          <w:color w:val="231F20"/>
          <w:spacing w:val="-9"/>
          <w:sz w:val="20"/>
        </w:rPr>
        <w:t xml:space="preserve"> </w:t>
      </w:r>
      <w:r>
        <w:rPr>
          <w:color w:val="231F20"/>
          <w:sz w:val="20"/>
        </w:rPr>
        <w:t>they</w:t>
      </w:r>
      <w:r>
        <w:rPr>
          <w:color w:val="231F20"/>
          <w:spacing w:val="-9"/>
          <w:sz w:val="20"/>
        </w:rPr>
        <w:t xml:space="preserve"> </w:t>
      </w:r>
      <w:r>
        <w:rPr>
          <w:color w:val="231F20"/>
          <w:sz w:val="20"/>
        </w:rPr>
        <w:t>try</w:t>
      </w:r>
      <w:r>
        <w:rPr>
          <w:color w:val="231F20"/>
          <w:spacing w:val="-8"/>
          <w:sz w:val="20"/>
        </w:rPr>
        <w:t xml:space="preserve"> </w:t>
      </w:r>
      <w:r>
        <w:rPr>
          <w:color w:val="231F20"/>
          <w:sz w:val="20"/>
        </w:rPr>
        <w:t>to</w:t>
      </w:r>
      <w:r>
        <w:rPr>
          <w:color w:val="231F20"/>
          <w:spacing w:val="-9"/>
          <w:sz w:val="20"/>
        </w:rPr>
        <w:t xml:space="preserve"> </w:t>
      </w:r>
      <w:r>
        <w:rPr>
          <w:color w:val="231F20"/>
          <w:sz w:val="20"/>
        </w:rPr>
        <w:t>access</w:t>
      </w:r>
      <w:r>
        <w:rPr>
          <w:color w:val="231F20"/>
          <w:spacing w:val="-8"/>
          <w:sz w:val="20"/>
        </w:rPr>
        <w:t xml:space="preserve"> </w:t>
      </w:r>
      <w:r>
        <w:rPr>
          <w:color w:val="231F20"/>
          <w:sz w:val="20"/>
        </w:rPr>
        <w:t>support</w:t>
      </w:r>
      <w:r>
        <w:rPr>
          <w:color w:val="231F20"/>
          <w:spacing w:val="-9"/>
          <w:sz w:val="20"/>
        </w:rPr>
        <w:t xml:space="preserve"> </w:t>
      </w:r>
      <w:r>
        <w:rPr>
          <w:color w:val="231F20"/>
          <w:sz w:val="20"/>
        </w:rPr>
        <w:t>and</w:t>
      </w:r>
      <w:r>
        <w:rPr>
          <w:color w:val="231F20"/>
          <w:spacing w:val="-8"/>
          <w:sz w:val="20"/>
        </w:rPr>
        <w:t xml:space="preserve"> </w:t>
      </w:r>
      <w:r>
        <w:rPr>
          <w:color w:val="231F20"/>
          <w:sz w:val="20"/>
        </w:rPr>
        <w:t>the</w:t>
      </w:r>
      <w:r>
        <w:rPr>
          <w:color w:val="231F20"/>
          <w:spacing w:val="-9"/>
          <w:sz w:val="20"/>
        </w:rPr>
        <w:t xml:space="preserve"> </w:t>
      </w:r>
      <w:r>
        <w:rPr>
          <w:color w:val="231F20"/>
          <w:sz w:val="20"/>
        </w:rPr>
        <w:t>justice</w:t>
      </w:r>
      <w:r>
        <w:rPr>
          <w:color w:val="231F20"/>
          <w:spacing w:val="-8"/>
          <w:sz w:val="20"/>
        </w:rPr>
        <w:t xml:space="preserve"> </w:t>
      </w:r>
      <w:r>
        <w:rPr>
          <w:color w:val="231F20"/>
          <w:sz w:val="20"/>
        </w:rPr>
        <w:t>system.</w:t>
      </w:r>
      <w:r>
        <w:rPr>
          <w:color w:val="231F20"/>
          <w:spacing w:val="-9"/>
          <w:sz w:val="20"/>
        </w:rPr>
        <w:t xml:space="preserve"> </w:t>
      </w:r>
      <w:r>
        <w:rPr>
          <w:color w:val="231F20"/>
          <w:sz w:val="20"/>
        </w:rPr>
        <w:t>A</w:t>
      </w:r>
      <w:r>
        <w:rPr>
          <w:color w:val="231F20"/>
          <w:spacing w:val="-8"/>
          <w:sz w:val="20"/>
        </w:rPr>
        <w:t xml:space="preserve"> </w:t>
      </w:r>
      <w:r>
        <w:rPr>
          <w:color w:val="231F20"/>
          <w:sz w:val="20"/>
        </w:rPr>
        <w:t>range</w:t>
      </w:r>
      <w:r>
        <w:rPr>
          <w:color w:val="231F20"/>
          <w:spacing w:val="-9"/>
          <w:sz w:val="20"/>
        </w:rPr>
        <w:t xml:space="preserve"> </w:t>
      </w:r>
      <w:r>
        <w:rPr>
          <w:color w:val="231F20"/>
          <w:sz w:val="20"/>
        </w:rPr>
        <w:t>of</w:t>
      </w:r>
      <w:r>
        <w:rPr>
          <w:color w:val="231F20"/>
          <w:spacing w:val="-8"/>
          <w:sz w:val="20"/>
        </w:rPr>
        <w:t xml:space="preserve"> </w:t>
      </w:r>
      <w:r>
        <w:rPr>
          <w:color w:val="231F20"/>
          <w:sz w:val="20"/>
        </w:rPr>
        <w:t>measures</w:t>
      </w:r>
      <w:r>
        <w:rPr>
          <w:color w:val="231F20"/>
          <w:spacing w:val="-9"/>
          <w:sz w:val="20"/>
        </w:rPr>
        <w:t xml:space="preserve"> </w:t>
      </w:r>
      <w:r>
        <w:rPr>
          <w:color w:val="231F20"/>
          <w:spacing w:val="-4"/>
          <w:sz w:val="20"/>
        </w:rPr>
        <w:t xml:space="preserve">have </w:t>
      </w:r>
      <w:r>
        <w:rPr>
          <w:color w:val="231F20"/>
          <w:sz w:val="20"/>
        </w:rPr>
        <w:t>been implemented since then to address these</w:t>
      </w:r>
      <w:r>
        <w:rPr>
          <w:color w:val="231F20"/>
          <w:spacing w:val="-35"/>
          <w:sz w:val="20"/>
        </w:rPr>
        <w:t xml:space="preserve"> </w:t>
      </w:r>
      <w:r>
        <w:rPr>
          <w:color w:val="231F20"/>
          <w:sz w:val="20"/>
        </w:rPr>
        <w:t>issues.</w:t>
      </w:r>
    </w:p>
    <w:p w14:paraId="115B8922" w14:textId="77777777" w:rsidR="00894070" w:rsidRDefault="009B7AFD">
      <w:pPr>
        <w:pStyle w:val="ListParagraph"/>
        <w:numPr>
          <w:ilvl w:val="1"/>
          <w:numId w:val="126"/>
        </w:numPr>
        <w:tabs>
          <w:tab w:val="left" w:pos="1801"/>
          <w:tab w:val="left" w:pos="1802"/>
        </w:tabs>
        <w:spacing w:before="127" w:line="206" w:lineRule="auto"/>
        <w:ind w:right="1221"/>
        <w:rPr>
          <w:sz w:val="20"/>
        </w:rPr>
      </w:pPr>
      <w:r>
        <w:rPr>
          <w:color w:val="231F20"/>
          <w:spacing w:val="-6"/>
          <w:sz w:val="20"/>
        </w:rPr>
        <w:t xml:space="preserve">We </w:t>
      </w:r>
      <w:r>
        <w:rPr>
          <w:color w:val="231F20"/>
          <w:spacing w:val="-3"/>
          <w:sz w:val="20"/>
        </w:rPr>
        <w:t xml:space="preserve">are </w:t>
      </w:r>
      <w:r>
        <w:rPr>
          <w:color w:val="231F20"/>
          <w:sz w:val="20"/>
        </w:rPr>
        <w:t xml:space="preserve">recommending that these adaptations and </w:t>
      </w:r>
      <w:r>
        <w:rPr>
          <w:color w:val="231F20"/>
          <w:spacing w:val="-3"/>
          <w:sz w:val="20"/>
        </w:rPr>
        <w:t xml:space="preserve">improvements </w:t>
      </w:r>
      <w:r>
        <w:rPr>
          <w:color w:val="231F20"/>
          <w:sz w:val="20"/>
        </w:rPr>
        <w:t xml:space="preserve">should also be implemented </w:t>
      </w:r>
      <w:r>
        <w:rPr>
          <w:color w:val="231F20"/>
          <w:spacing w:val="-3"/>
          <w:sz w:val="20"/>
        </w:rPr>
        <w:t xml:space="preserve">for </w:t>
      </w:r>
      <w:r>
        <w:rPr>
          <w:color w:val="231F20"/>
          <w:sz w:val="20"/>
        </w:rPr>
        <w:t xml:space="preserve">victim survivors of non-family violence stalking. </w:t>
      </w:r>
      <w:r>
        <w:rPr>
          <w:color w:val="231F20"/>
          <w:spacing w:val="-3"/>
          <w:sz w:val="20"/>
        </w:rPr>
        <w:t xml:space="preserve">For example, </w:t>
      </w:r>
      <w:r>
        <w:rPr>
          <w:color w:val="231F20"/>
          <w:sz w:val="20"/>
        </w:rPr>
        <w:t xml:space="preserve">victim survivors of </w:t>
      </w:r>
      <w:r>
        <w:rPr>
          <w:color w:val="231F20"/>
          <w:spacing w:val="-3"/>
          <w:sz w:val="20"/>
        </w:rPr>
        <w:t xml:space="preserve">family </w:t>
      </w:r>
      <w:r>
        <w:rPr>
          <w:color w:val="231F20"/>
          <w:sz w:val="20"/>
        </w:rPr>
        <w:t xml:space="preserve">violence stalking </w:t>
      </w:r>
      <w:r>
        <w:rPr>
          <w:color w:val="231F20"/>
          <w:spacing w:val="-4"/>
          <w:sz w:val="20"/>
        </w:rPr>
        <w:t xml:space="preserve">have </w:t>
      </w:r>
      <w:r>
        <w:rPr>
          <w:color w:val="231F20"/>
          <w:sz w:val="20"/>
        </w:rPr>
        <w:t>access to support that includes safety planning</w:t>
      </w:r>
      <w:r>
        <w:rPr>
          <w:color w:val="231F20"/>
          <w:spacing w:val="-13"/>
          <w:sz w:val="20"/>
        </w:rPr>
        <w:t xml:space="preserve"> </w:t>
      </w:r>
      <w:r>
        <w:rPr>
          <w:color w:val="231F20"/>
          <w:sz w:val="20"/>
        </w:rPr>
        <w:t>and</w:t>
      </w:r>
      <w:r>
        <w:rPr>
          <w:color w:val="231F20"/>
          <w:spacing w:val="-12"/>
          <w:sz w:val="20"/>
        </w:rPr>
        <w:t xml:space="preserve"> </w:t>
      </w:r>
      <w:r>
        <w:rPr>
          <w:color w:val="231F20"/>
          <w:spacing w:val="-3"/>
          <w:sz w:val="20"/>
        </w:rPr>
        <w:t>flexible</w:t>
      </w:r>
      <w:r>
        <w:rPr>
          <w:color w:val="231F20"/>
          <w:spacing w:val="-12"/>
          <w:sz w:val="20"/>
        </w:rPr>
        <w:t xml:space="preserve"> </w:t>
      </w:r>
      <w:r>
        <w:rPr>
          <w:color w:val="231F20"/>
          <w:sz w:val="20"/>
        </w:rPr>
        <w:t>support</w:t>
      </w:r>
      <w:r>
        <w:rPr>
          <w:color w:val="231F20"/>
          <w:spacing w:val="-13"/>
          <w:sz w:val="20"/>
        </w:rPr>
        <w:t xml:space="preserve"> </w:t>
      </w:r>
      <w:r>
        <w:rPr>
          <w:color w:val="231F20"/>
          <w:sz w:val="20"/>
        </w:rPr>
        <w:t>packages.</w:t>
      </w:r>
      <w:r>
        <w:rPr>
          <w:color w:val="231F20"/>
          <w:spacing w:val="-12"/>
          <w:sz w:val="20"/>
        </w:rPr>
        <w:t xml:space="preserve"> </w:t>
      </w:r>
      <w:r>
        <w:rPr>
          <w:color w:val="231F20"/>
          <w:sz w:val="20"/>
        </w:rPr>
        <w:t>Victim</w:t>
      </w:r>
      <w:r>
        <w:rPr>
          <w:color w:val="231F20"/>
          <w:spacing w:val="-12"/>
          <w:sz w:val="20"/>
        </w:rPr>
        <w:t xml:space="preserve"> </w:t>
      </w:r>
      <w:r>
        <w:rPr>
          <w:color w:val="231F20"/>
          <w:sz w:val="20"/>
        </w:rPr>
        <w:t>survivors</w:t>
      </w:r>
      <w:r>
        <w:rPr>
          <w:color w:val="231F20"/>
          <w:spacing w:val="-13"/>
          <w:sz w:val="20"/>
        </w:rPr>
        <w:t xml:space="preserve"> </w:t>
      </w:r>
      <w:r>
        <w:rPr>
          <w:color w:val="231F20"/>
          <w:sz w:val="20"/>
        </w:rPr>
        <w:t>of</w:t>
      </w:r>
      <w:r>
        <w:rPr>
          <w:color w:val="231F20"/>
          <w:spacing w:val="-12"/>
          <w:sz w:val="20"/>
        </w:rPr>
        <w:t xml:space="preserve"> </w:t>
      </w:r>
      <w:r>
        <w:rPr>
          <w:color w:val="231F20"/>
          <w:sz w:val="20"/>
        </w:rPr>
        <w:t>non-family</w:t>
      </w:r>
      <w:r>
        <w:rPr>
          <w:color w:val="231F20"/>
          <w:spacing w:val="-13"/>
          <w:sz w:val="20"/>
        </w:rPr>
        <w:t xml:space="preserve"> </w:t>
      </w:r>
      <w:r>
        <w:rPr>
          <w:color w:val="231F20"/>
          <w:sz w:val="20"/>
        </w:rPr>
        <w:t>violence</w:t>
      </w:r>
      <w:r>
        <w:rPr>
          <w:color w:val="231F20"/>
          <w:spacing w:val="-12"/>
          <w:sz w:val="20"/>
        </w:rPr>
        <w:t xml:space="preserve"> </w:t>
      </w:r>
      <w:r>
        <w:rPr>
          <w:color w:val="231F20"/>
          <w:sz w:val="20"/>
        </w:rPr>
        <w:t xml:space="preserve">should also </w:t>
      </w:r>
      <w:r>
        <w:rPr>
          <w:color w:val="231F20"/>
          <w:spacing w:val="-3"/>
          <w:sz w:val="20"/>
        </w:rPr>
        <w:t xml:space="preserve">receive </w:t>
      </w:r>
      <w:r>
        <w:rPr>
          <w:color w:val="231F20"/>
          <w:sz w:val="20"/>
        </w:rPr>
        <w:t>this</w:t>
      </w:r>
      <w:r>
        <w:rPr>
          <w:color w:val="231F20"/>
          <w:spacing w:val="-10"/>
          <w:sz w:val="20"/>
        </w:rPr>
        <w:t xml:space="preserve"> </w:t>
      </w:r>
      <w:r>
        <w:rPr>
          <w:color w:val="231F20"/>
          <w:sz w:val="20"/>
        </w:rPr>
        <w:t>support.</w:t>
      </w:r>
    </w:p>
    <w:p w14:paraId="7FA8A25B" w14:textId="77777777" w:rsidR="00894070" w:rsidRDefault="009B7AFD">
      <w:pPr>
        <w:pStyle w:val="ListParagraph"/>
        <w:numPr>
          <w:ilvl w:val="1"/>
          <w:numId w:val="126"/>
        </w:numPr>
        <w:tabs>
          <w:tab w:val="left" w:pos="1801"/>
          <w:tab w:val="left" w:pos="1802"/>
        </w:tabs>
        <w:spacing w:before="126" w:line="206" w:lineRule="auto"/>
        <w:ind w:right="1295"/>
        <w:rPr>
          <w:sz w:val="20"/>
        </w:rPr>
      </w:pPr>
      <w:r>
        <w:rPr>
          <w:color w:val="231F20"/>
          <w:sz w:val="20"/>
        </w:rPr>
        <w:t xml:space="preserve">In </w:t>
      </w:r>
      <w:r>
        <w:rPr>
          <w:color w:val="231F20"/>
          <w:spacing w:val="-3"/>
          <w:sz w:val="20"/>
        </w:rPr>
        <w:t xml:space="preserve">Chapter </w:t>
      </w:r>
      <w:r>
        <w:rPr>
          <w:color w:val="231F20"/>
          <w:sz w:val="20"/>
        </w:rPr>
        <w:t xml:space="preserve">4 </w:t>
      </w:r>
      <w:r>
        <w:rPr>
          <w:color w:val="231F20"/>
          <w:spacing w:val="-3"/>
          <w:sz w:val="20"/>
        </w:rPr>
        <w:t xml:space="preserve">we </w:t>
      </w:r>
      <w:r>
        <w:rPr>
          <w:color w:val="231F20"/>
          <w:sz w:val="20"/>
        </w:rPr>
        <w:t xml:space="preserve">address their need </w:t>
      </w:r>
      <w:r>
        <w:rPr>
          <w:color w:val="231F20"/>
          <w:spacing w:val="-3"/>
          <w:sz w:val="20"/>
        </w:rPr>
        <w:t xml:space="preserve">for </w:t>
      </w:r>
      <w:r>
        <w:rPr>
          <w:color w:val="231F20"/>
          <w:sz w:val="20"/>
        </w:rPr>
        <w:t xml:space="preserve">information. In </w:t>
      </w:r>
      <w:r>
        <w:rPr>
          <w:color w:val="231F20"/>
          <w:spacing w:val="-3"/>
          <w:sz w:val="20"/>
        </w:rPr>
        <w:t xml:space="preserve">Chapter </w:t>
      </w:r>
      <w:r>
        <w:rPr>
          <w:color w:val="231F20"/>
          <w:sz w:val="20"/>
        </w:rPr>
        <w:t xml:space="preserve">6, </w:t>
      </w:r>
      <w:r>
        <w:rPr>
          <w:color w:val="231F20"/>
          <w:spacing w:val="-3"/>
          <w:sz w:val="20"/>
        </w:rPr>
        <w:t xml:space="preserve">we </w:t>
      </w:r>
      <w:r>
        <w:rPr>
          <w:color w:val="231F20"/>
          <w:sz w:val="20"/>
        </w:rPr>
        <w:t>discuss legal support.</w:t>
      </w:r>
      <w:r>
        <w:rPr>
          <w:color w:val="231F20"/>
          <w:spacing w:val="-11"/>
          <w:sz w:val="20"/>
        </w:rPr>
        <w:t xml:space="preserve"> </w:t>
      </w:r>
      <w:r>
        <w:rPr>
          <w:color w:val="231F20"/>
          <w:sz w:val="20"/>
        </w:rPr>
        <w:t>In</w:t>
      </w:r>
      <w:r>
        <w:rPr>
          <w:color w:val="231F20"/>
          <w:spacing w:val="-10"/>
          <w:sz w:val="20"/>
        </w:rPr>
        <w:t xml:space="preserve"> </w:t>
      </w:r>
      <w:r>
        <w:rPr>
          <w:color w:val="231F20"/>
          <w:sz w:val="20"/>
        </w:rPr>
        <w:t>this</w:t>
      </w:r>
      <w:r>
        <w:rPr>
          <w:color w:val="231F20"/>
          <w:spacing w:val="-10"/>
          <w:sz w:val="20"/>
        </w:rPr>
        <w:t xml:space="preserve"> </w:t>
      </w:r>
      <w:r>
        <w:rPr>
          <w:color w:val="231F20"/>
          <w:spacing w:val="-4"/>
          <w:sz w:val="20"/>
        </w:rPr>
        <w:t>chapter,</w:t>
      </w:r>
      <w:r>
        <w:rPr>
          <w:color w:val="231F20"/>
          <w:spacing w:val="-10"/>
          <w:sz w:val="20"/>
        </w:rPr>
        <w:t xml:space="preserve"> </w:t>
      </w:r>
      <w:r>
        <w:rPr>
          <w:color w:val="231F20"/>
          <w:spacing w:val="-3"/>
          <w:sz w:val="20"/>
        </w:rPr>
        <w:t>we</w:t>
      </w:r>
      <w:r>
        <w:rPr>
          <w:color w:val="231F20"/>
          <w:spacing w:val="-10"/>
          <w:sz w:val="20"/>
        </w:rPr>
        <w:t xml:space="preserve"> </w:t>
      </w:r>
      <w:r>
        <w:rPr>
          <w:color w:val="231F20"/>
          <w:sz w:val="20"/>
        </w:rPr>
        <w:t>make</w:t>
      </w:r>
      <w:r>
        <w:rPr>
          <w:color w:val="231F20"/>
          <w:spacing w:val="-10"/>
          <w:sz w:val="20"/>
        </w:rPr>
        <w:t xml:space="preserve"> </w:t>
      </w:r>
      <w:r>
        <w:rPr>
          <w:color w:val="231F20"/>
          <w:sz w:val="20"/>
        </w:rPr>
        <w:t>recommendations</w:t>
      </w:r>
      <w:r>
        <w:rPr>
          <w:color w:val="231F20"/>
          <w:spacing w:val="-10"/>
          <w:sz w:val="20"/>
        </w:rPr>
        <w:t xml:space="preserve"> </w:t>
      </w:r>
      <w:r>
        <w:rPr>
          <w:color w:val="231F20"/>
          <w:sz w:val="20"/>
        </w:rPr>
        <w:t>intended</w:t>
      </w:r>
      <w:r>
        <w:rPr>
          <w:color w:val="231F20"/>
          <w:spacing w:val="-10"/>
          <w:sz w:val="20"/>
        </w:rPr>
        <w:t xml:space="preserve"> </w:t>
      </w:r>
      <w:r>
        <w:rPr>
          <w:color w:val="231F20"/>
          <w:sz w:val="20"/>
        </w:rPr>
        <w:t>to</w:t>
      </w:r>
      <w:r>
        <w:rPr>
          <w:color w:val="231F20"/>
          <w:spacing w:val="-10"/>
          <w:sz w:val="20"/>
        </w:rPr>
        <w:t xml:space="preserve"> </w:t>
      </w:r>
      <w:r>
        <w:rPr>
          <w:color w:val="231F20"/>
          <w:sz w:val="20"/>
        </w:rPr>
        <w:t>make</w:t>
      </w:r>
      <w:r>
        <w:rPr>
          <w:color w:val="231F20"/>
          <w:spacing w:val="-10"/>
          <w:sz w:val="20"/>
        </w:rPr>
        <w:t xml:space="preserve"> </w:t>
      </w:r>
      <w:r>
        <w:rPr>
          <w:color w:val="231F20"/>
          <w:spacing w:val="-3"/>
          <w:sz w:val="20"/>
        </w:rPr>
        <w:t>sure</w:t>
      </w:r>
      <w:r>
        <w:rPr>
          <w:color w:val="231F20"/>
          <w:spacing w:val="-11"/>
          <w:sz w:val="20"/>
        </w:rPr>
        <w:t xml:space="preserve"> </w:t>
      </w:r>
      <w:r>
        <w:rPr>
          <w:color w:val="231F20"/>
          <w:sz w:val="20"/>
        </w:rPr>
        <w:t>that</w:t>
      </w:r>
      <w:r>
        <w:rPr>
          <w:color w:val="231F20"/>
          <w:spacing w:val="-10"/>
          <w:sz w:val="20"/>
        </w:rPr>
        <w:t xml:space="preserve"> </w:t>
      </w:r>
      <w:r>
        <w:rPr>
          <w:color w:val="231F20"/>
          <w:sz w:val="20"/>
        </w:rPr>
        <w:t xml:space="preserve">victim survivors will no longer </w:t>
      </w:r>
      <w:r>
        <w:rPr>
          <w:color w:val="231F20"/>
          <w:spacing w:val="-4"/>
          <w:sz w:val="20"/>
        </w:rPr>
        <w:t xml:space="preserve">have </w:t>
      </w:r>
      <w:r>
        <w:rPr>
          <w:color w:val="231F20"/>
          <w:sz w:val="20"/>
        </w:rPr>
        <w:t>to meet their therapeutic, financial, and other practical needs</w:t>
      </w:r>
      <w:r>
        <w:rPr>
          <w:color w:val="231F20"/>
          <w:spacing w:val="-5"/>
          <w:sz w:val="20"/>
        </w:rPr>
        <w:t xml:space="preserve"> </w:t>
      </w:r>
      <w:r>
        <w:rPr>
          <w:color w:val="231F20"/>
          <w:sz w:val="20"/>
        </w:rPr>
        <w:t>alone.</w:t>
      </w:r>
    </w:p>
    <w:p w14:paraId="0369886E" w14:textId="77777777" w:rsidR="00894070" w:rsidRDefault="00894070">
      <w:pPr>
        <w:pStyle w:val="BodyText"/>
        <w:spacing w:before="8"/>
        <w:rPr>
          <w:sz w:val="16"/>
        </w:rPr>
      </w:pPr>
    </w:p>
    <w:p w14:paraId="02A391BF" w14:textId="77777777" w:rsidR="00894070" w:rsidRDefault="009B7AFD">
      <w:pPr>
        <w:pStyle w:val="Heading7"/>
        <w:spacing w:before="1"/>
      </w:pPr>
      <w:r>
        <w:rPr>
          <w:color w:val="EA5B50"/>
        </w:rPr>
        <w:t>Where can people get support for stalking?</w:t>
      </w:r>
    </w:p>
    <w:p w14:paraId="581AFF30" w14:textId="77777777" w:rsidR="00894070" w:rsidRDefault="009B7AFD">
      <w:pPr>
        <w:pStyle w:val="ListParagraph"/>
        <w:numPr>
          <w:ilvl w:val="1"/>
          <w:numId w:val="126"/>
        </w:numPr>
        <w:tabs>
          <w:tab w:val="left" w:pos="1801"/>
          <w:tab w:val="left" w:pos="1802"/>
        </w:tabs>
        <w:spacing w:before="146" w:line="206" w:lineRule="auto"/>
        <w:ind w:right="1179"/>
        <w:rPr>
          <w:sz w:val="11"/>
        </w:rPr>
      </w:pPr>
      <w:r>
        <w:rPr>
          <w:color w:val="231F20"/>
          <w:sz w:val="20"/>
        </w:rPr>
        <w:t>Victim</w:t>
      </w:r>
      <w:r>
        <w:rPr>
          <w:color w:val="231F20"/>
          <w:spacing w:val="-11"/>
          <w:sz w:val="20"/>
        </w:rPr>
        <w:t xml:space="preserve"> </w:t>
      </w:r>
      <w:r>
        <w:rPr>
          <w:color w:val="231F20"/>
          <w:sz w:val="20"/>
        </w:rPr>
        <w:t>survivors</w:t>
      </w:r>
      <w:r>
        <w:rPr>
          <w:color w:val="231F20"/>
          <w:spacing w:val="-10"/>
          <w:sz w:val="20"/>
        </w:rPr>
        <w:t xml:space="preserve"> </w:t>
      </w:r>
      <w:r>
        <w:rPr>
          <w:color w:val="231F20"/>
          <w:sz w:val="20"/>
        </w:rPr>
        <w:t>of</w:t>
      </w:r>
      <w:r>
        <w:rPr>
          <w:color w:val="231F20"/>
          <w:spacing w:val="-10"/>
          <w:sz w:val="20"/>
        </w:rPr>
        <w:t xml:space="preserve"> </w:t>
      </w:r>
      <w:r>
        <w:rPr>
          <w:color w:val="231F20"/>
          <w:sz w:val="20"/>
        </w:rPr>
        <w:t>stalking</w:t>
      </w:r>
      <w:r>
        <w:rPr>
          <w:color w:val="231F20"/>
          <w:spacing w:val="-10"/>
          <w:sz w:val="20"/>
        </w:rPr>
        <w:t xml:space="preserve"> </w:t>
      </w:r>
      <w:r>
        <w:rPr>
          <w:color w:val="231F20"/>
          <w:sz w:val="20"/>
        </w:rPr>
        <w:t>can</w:t>
      </w:r>
      <w:r>
        <w:rPr>
          <w:color w:val="231F20"/>
          <w:spacing w:val="-10"/>
          <w:sz w:val="20"/>
        </w:rPr>
        <w:t xml:space="preserve"> </w:t>
      </w:r>
      <w:r>
        <w:rPr>
          <w:color w:val="231F20"/>
          <w:sz w:val="20"/>
        </w:rPr>
        <w:t>access</w:t>
      </w:r>
      <w:r>
        <w:rPr>
          <w:color w:val="231F20"/>
          <w:spacing w:val="-10"/>
          <w:sz w:val="20"/>
        </w:rPr>
        <w:t xml:space="preserve"> </w:t>
      </w:r>
      <w:r>
        <w:rPr>
          <w:color w:val="231F20"/>
          <w:sz w:val="20"/>
        </w:rPr>
        <w:t>some</w:t>
      </w:r>
      <w:r>
        <w:rPr>
          <w:color w:val="231F20"/>
          <w:spacing w:val="-10"/>
          <w:sz w:val="20"/>
        </w:rPr>
        <w:t xml:space="preserve"> </w:t>
      </w:r>
      <w:r>
        <w:rPr>
          <w:color w:val="231F20"/>
          <w:sz w:val="20"/>
        </w:rPr>
        <w:t>services</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support,</w:t>
      </w:r>
      <w:r>
        <w:rPr>
          <w:color w:val="231F20"/>
          <w:spacing w:val="-10"/>
          <w:sz w:val="20"/>
        </w:rPr>
        <w:t xml:space="preserve"> </w:t>
      </w:r>
      <w:r>
        <w:rPr>
          <w:color w:val="231F20"/>
          <w:sz w:val="20"/>
        </w:rPr>
        <w:t>including</w:t>
      </w:r>
      <w:r>
        <w:rPr>
          <w:color w:val="231F20"/>
          <w:spacing w:val="-10"/>
          <w:sz w:val="20"/>
        </w:rPr>
        <w:t xml:space="preserve"> </w:t>
      </w:r>
      <w:r>
        <w:rPr>
          <w:color w:val="231F20"/>
          <w:sz w:val="20"/>
        </w:rPr>
        <w:t>the</w:t>
      </w:r>
      <w:r>
        <w:rPr>
          <w:color w:val="231F20"/>
          <w:spacing w:val="-10"/>
          <w:sz w:val="20"/>
        </w:rPr>
        <w:t xml:space="preserve"> </w:t>
      </w:r>
      <w:r>
        <w:rPr>
          <w:color w:val="231F20"/>
          <w:sz w:val="20"/>
        </w:rPr>
        <w:t xml:space="preserve">Victims of Crime helpline and the Victims Assistance Program </w:t>
      </w:r>
      <w:r>
        <w:rPr>
          <w:color w:val="231F20"/>
          <w:spacing w:val="-5"/>
          <w:sz w:val="20"/>
        </w:rPr>
        <w:t xml:space="preserve">(VAP). </w:t>
      </w:r>
      <w:r>
        <w:rPr>
          <w:color w:val="231F20"/>
          <w:sz w:val="20"/>
        </w:rPr>
        <w:t xml:space="preserve">These </w:t>
      </w:r>
      <w:r>
        <w:rPr>
          <w:color w:val="231F20"/>
          <w:spacing w:val="-3"/>
          <w:sz w:val="20"/>
        </w:rPr>
        <w:t xml:space="preserve">are </w:t>
      </w:r>
      <w:r>
        <w:rPr>
          <w:color w:val="231F20"/>
          <w:sz w:val="20"/>
        </w:rPr>
        <w:t>available to all victims of violent crime.</w:t>
      </w:r>
      <w:r>
        <w:rPr>
          <w:color w:val="231F20"/>
          <w:position w:val="7"/>
          <w:sz w:val="11"/>
        </w:rPr>
        <w:t xml:space="preserve">4 </w:t>
      </w:r>
      <w:r>
        <w:rPr>
          <w:color w:val="231F20"/>
          <w:sz w:val="20"/>
        </w:rPr>
        <w:t xml:space="preserve">A victim does not need to </w:t>
      </w:r>
      <w:r>
        <w:rPr>
          <w:color w:val="231F20"/>
          <w:spacing w:val="-4"/>
          <w:sz w:val="20"/>
        </w:rPr>
        <w:t xml:space="preserve">have </w:t>
      </w:r>
      <w:r>
        <w:rPr>
          <w:color w:val="231F20"/>
          <w:sz w:val="20"/>
        </w:rPr>
        <w:t xml:space="preserve">reported a crime to access </w:t>
      </w:r>
      <w:r>
        <w:rPr>
          <w:color w:val="231F20"/>
          <w:spacing w:val="-6"/>
          <w:sz w:val="20"/>
        </w:rPr>
        <w:t>VAP</w:t>
      </w:r>
      <w:r>
        <w:rPr>
          <w:color w:val="231F20"/>
          <w:spacing w:val="-4"/>
          <w:sz w:val="20"/>
        </w:rPr>
        <w:t xml:space="preserve"> </w:t>
      </w:r>
      <w:r>
        <w:rPr>
          <w:color w:val="231F20"/>
          <w:sz w:val="20"/>
        </w:rPr>
        <w:t>services.</w:t>
      </w:r>
      <w:r>
        <w:rPr>
          <w:color w:val="231F20"/>
          <w:position w:val="7"/>
          <w:sz w:val="11"/>
        </w:rPr>
        <w:t>5</w:t>
      </w:r>
    </w:p>
    <w:p w14:paraId="1EBCB420" w14:textId="77777777" w:rsidR="00894070" w:rsidRDefault="009B7AFD">
      <w:pPr>
        <w:pStyle w:val="ListParagraph"/>
        <w:numPr>
          <w:ilvl w:val="1"/>
          <w:numId w:val="126"/>
        </w:numPr>
        <w:tabs>
          <w:tab w:val="left" w:pos="1801"/>
          <w:tab w:val="left" w:pos="1802"/>
        </w:tabs>
        <w:spacing w:before="125" w:line="206" w:lineRule="auto"/>
        <w:ind w:right="1432"/>
        <w:rPr>
          <w:sz w:val="11"/>
        </w:rPr>
      </w:pPr>
      <w:r>
        <w:rPr>
          <w:color w:val="231F20"/>
          <w:sz w:val="20"/>
        </w:rPr>
        <w:t xml:space="preserve">Most people access the </w:t>
      </w:r>
      <w:r>
        <w:rPr>
          <w:color w:val="231F20"/>
          <w:spacing w:val="-6"/>
          <w:sz w:val="20"/>
        </w:rPr>
        <w:t xml:space="preserve">VAP </w:t>
      </w:r>
      <w:r>
        <w:rPr>
          <w:color w:val="231F20"/>
          <w:spacing w:val="-3"/>
          <w:sz w:val="20"/>
        </w:rPr>
        <w:t xml:space="preserve">through </w:t>
      </w:r>
      <w:r>
        <w:rPr>
          <w:color w:val="231F20"/>
          <w:sz w:val="20"/>
        </w:rPr>
        <w:t xml:space="preserve">the Victims of Crime Helpline which is the </w:t>
      </w:r>
      <w:r>
        <w:rPr>
          <w:color w:val="231F20"/>
          <w:spacing w:val="-4"/>
          <w:sz w:val="20"/>
        </w:rPr>
        <w:t xml:space="preserve">‘gateway </w:t>
      </w:r>
      <w:r>
        <w:rPr>
          <w:color w:val="231F20"/>
          <w:sz w:val="20"/>
        </w:rPr>
        <w:t xml:space="preserve">to the victim support </w:t>
      </w:r>
      <w:r>
        <w:rPr>
          <w:color w:val="231F20"/>
          <w:spacing w:val="-4"/>
          <w:sz w:val="20"/>
        </w:rPr>
        <w:t xml:space="preserve">system’. </w:t>
      </w:r>
      <w:r>
        <w:rPr>
          <w:color w:val="231F20"/>
          <w:sz w:val="20"/>
        </w:rPr>
        <w:t xml:space="preserve">Victims of crime </w:t>
      </w:r>
      <w:r>
        <w:rPr>
          <w:color w:val="231F20"/>
          <w:spacing w:val="-3"/>
          <w:sz w:val="20"/>
        </w:rPr>
        <w:t xml:space="preserve">are </w:t>
      </w:r>
      <w:r>
        <w:rPr>
          <w:color w:val="231F20"/>
          <w:sz w:val="20"/>
        </w:rPr>
        <w:t xml:space="preserve">commonly </w:t>
      </w:r>
      <w:r>
        <w:rPr>
          <w:color w:val="231F20"/>
          <w:spacing w:val="-3"/>
          <w:sz w:val="20"/>
        </w:rPr>
        <w:t xml:space="preserve">referred </w:t>
      </w:r>
      <w:r>
        <w:rPr>
          <w:color w:val="231F20"/>
          <w:sz w:val="20"/>
        </w:rPr>
        <w:t>to the</w:t>
      </w:r>
      <w:r>
        <w:rPr>
          <w:color w:val="231F20"/>
          <w:spacing w:val="-11"/>
          <w:sz w:val="20"/>
        </w:rPr>
        <w:t xml:space="preserve"> </w:t>
      </w:r>
      <w:r>
        <w:rPr>
          <w:color w:val="231F20"/>
          <w:sz w:val="20"/>
        </w:rPr>
        <w:t>helpline</w:t>
      </w:r>
      <w:r>
        <w:rPr>
          <w:color w:val="231F20"/>
          <w:spacing w:val="-11"/>
          <w:sz w:val="20"/>
        </w:rPr>
        <w:t xml:space="preserve"> </w:t>
      </w:r>
      <w:r>
        <w:rPr>
          <w:color w:val="231F20"/>
          <w:spacing w:val="-3"/>
          <w:sz w:val="20"/>
        </w:rPr>
        <w:t>by</w:t>
      </w:r>
      <w:r>
        <w:rPr>
          <w:color w:val="231F20"/>
          <w:spacing w:val="-11"/>
          <w:sz w:val="20"/>
        </w:rPr>
        <w:t xml:space="preserve"> </w:t>
      </w:r>
      <w:r>
        <w:rPr>
          <w:color w:val="231F20"/>
          <w:sz w:val="20"/>
        </w:rPr>
        <w:t>Victoria</w:t>
      </w:r>
      <w:r>
        <w:rPr>
          <w:color w:val="231F20"/>
          <w:spacing w:val="-10"/>
          <w:sz w:val="20"/>
        </w:rPr>
        <w:t xml:space="preserve"> </w:t>
      </w:r>
      <w:r>
        <w:rPr>
          <w:color w:val="231F20"/>
          <w:sz w:val="20"/>
        </w:rPr>
        <w:t>Police,</w:t>
      </w:r>
      <w:r>
        <w:rPr>
          <w:color w:val="231F20"/>
          <w:spacing w:val="-11"/>
          <w:sz w:val="20"/>
        </w:rPr>
        <w:t xml:space="preserve"> </w:t>
      </w:r>
      <w:r>
        <w:rPr>
          <w:color w:val="231F20"/>
          <w:sz w:val="20"/>
        </w:rPr>
        <w:t>and</w:t>
      </w:r>
      <w:r>
        <w:rPr>
          <w:color w:val="231F20"/>
          <w:spacing w:val="-11"/>
          <w:sz w:val="20"/>
        </w:rPr>
        <w:t xml:space="preserve"> </w:t>
      </w:r>
      <w:r>
        <w:rPr>
          <w:color w:val="231F20"/>
          <w:sz w:val="20"/>
        </w:rPr>
        <w:t>sometimes</w:t>
      </w:r>
      <w:r>
        <w:rPr>
          <w:color w:val="231F20"/>
          <w:spacing w:val="-11"/>
          <w:sz w:val="20"/>
        </w:rPr>
        <w:t xml:space="preserve"> </w:t>
      </w:r>
      <w:r>
        <w:rPr>
          <w:color w:val="231F20"/>
          <w:spacing w:val="-3"/>
          <w:sz w:val="20"/>
        </w:rPr>
        <w:t>by</w:t>
      </w:r>
      <w:r>
        <w:rPr>
          <w:color w:val="231F20"/>
          <w:spacing w:val="-10"/>
          <w:sz w:val="20"/>
        </w:rPr>
        <w:t xml:space="preserve"> </w:t>
      </w:r>
      <w:r>
        <w:rPr>
          <w:color w:val="231F20"/>
          <w:sz w:val="20"/>
        </w:rPr>
        <w:t>specialist</w:t>
      </w:r>
      <w:r>
        <w:rPr>
          <w:color w:val="231F20"/>
          <w:spacing w:val="-11"/>
          <w:sz w:val="20"/>
        </w:rPr>
        <w:t xml:space="preserve"> </w:t>
      </w:r>
      <w:r>
        <w:rPr>
          <w:color w:val="231F20"/>
          <w:sz w:val="20"/>
        </w:rPr>
        <w:t>services</w:t>
      </w:r>
      <w:r>
        <w:rPr>
          <w:color w:val="231F20"/>
          <w:spacing w:val="-11"/>
          <w:sz w:val="20"/>
        </w:rPr>
        <w:t xml:space="preserve"> </w:t>
      </w:r>
      <w:r>
        <w:rPr>
          <w:color w:val="231F20"/>
          <w:sz w:val="20"/>
        </w:rPr>
        <w:t>and</w:t>
      </w:r>
      <w:r>
        <w:rPr>
          <w:color w:val="231F20"/>
          <w:spacing w:val="-11"/>
          <w:sz w:val="20"/>
        </w:rPr>
        <w:t xml:space="preserve"> </w:t>
      </w:r>
      <w:r>
        <w:rPr>
          <w:color w:val="231F20"/>
          <w:sz w:val="20"/>
        </w:rPr>
        <w:t>community agencies.</w:t>
      </w:r>
      <w:r>
        <w:rPr>
          <w:color w:val="231F20"/>
          <w:position w:val="7"/>
          <w:sz w:val="11"/>
        </w:rPr>
        <w:t>6</w:t>
      </w:r>
    </w:p>
    <w:p w14:paraId="4856F861" w14:textId="77777777" w:rsidR="00894070" w:rsidRDefault="009B7AFD">
      <w:pPr>
        <w:pStyle w:val="ListParagraph"/>
        <w:numPr>
          <w:ilvl w:val="1"/>
          <w:numId w:val="126"/>
        </w:numPr>
        <w:tabs>
          <w:tab w:val="left" w:pos="1801"/>
          <w:tab w:val="left" w:pos="1802"/>
        </w:tabs>
        <w:spacing w:before="125" w:line="206" w:lineRule="auto"/>
        <w:ind w:right="1235"/>
        <w:rPr>
          <w:sz w:val="20"/>
        </w:rPr>
      </w:pPr>
      <w:r>
        <w:rPr>
          <w:color w:val="231F20"/>
          <w:spacing w:val="-6"/>
          <w:sz w:val="20"/>
        </w:rPr>
        <w:t>VAP</w:t>
      </w:r>
      <w:r>
        <w:rPr>
          <w:color w:val="231F20"/>
          <w:spacing w:val="-13"/>
          <w:sz w:val="20"/>
        </w:rPr>
        <w:t xml:space="preserve"> </w:t>
      </w:r>
      <w:r>
        <w:rPr>
          <w:color w:val="231F20"/>
          <w:sz w:val="20"/>
        </w:rPr>
        <w:t>comprises</w:t>
      </w:r>
      <w:r>
        <w:rPr>
          <w:color w:val="231F20"/>
          <w:spacing w:val="-14"/>
          <w:sz w:val="20"/>
        </w:rPr>
        <w:t xml:space="preserve"> </w:t>
      </w:r>
      <w:r>
        <w:rPr>
          <w:color w:val="231F20"/>
          <w:sz w:val="20"/>
        </w:rPr>
        <w:t>a</w:t>
      </w:r>
      <w:r>
        <w:rPr>
          <w:color w:val="231F20"/>
          <w:spacing w:val="-13"/>
          <w:sz w:val="20"/>
        </w:rPr>
        <w:t xml:space="preserve"> </w:t>
      </w:r>
      <w:r>
        <w:rPr>
          <w:color w:val="231F20"/>
          <w:sz w:val="20"/>
        </w:rPr>
        <w:t>network</w:t>
      </w:r>
      <w:r>
        <w:rPr>
          <w:color w:val="231F20"/>
          <w:spacing w:val="-13"/>
          <w:sz w:val="20"/>
        </w:rPr>
        <w:t xml:space="preserve"> </w:t>
      </w:r>
      <w:r>
        <w:rPr>
          <w:color w:val="231F20"/>
          <w:sz w:val="20"/>
        </w:rPr>
        <w:t>of</w:t>
      </w:r>
      <w:r>
        <w:rPr>
          <w:color w:val="231F20"/>
          <w:spacing w:val="-13"/>
          <w:sz w:val="20"/>
        </w:rPr>
        <w:t xml:space="preserve"> </w:t>
      </w:r>
      <w:r>
        <w:rPr>
          <w:color w:val="231F20"/>
          <w:sz w:val="20"/>
        </w:rPr>
        <w:t>community-based</w:t>
      </w:r>
      <w:r>
        <w:rPr>
          <w:color w:val="231F20"/>
          <w:spacing w:val="-13"/>
          <w:sz w:val="20"/>
        </w:rPr>
        <w:t xml:space="preserve"> </w:t>
      </w:r>
      <w:r>
        <w:rPr>
          <w:color w:val="231F20"/>
          <w:sz w:val="20"/>
        </w:rPr>
        <w:t>agencies</w:t>
      </w:r>
      <w:r>
        <w:rPr>
          <w:color w:val="231F20"/>
          <w:spacing w:val="-13"/>
          <w:sz w:val="20"/>
        </w:rPr>
        <w:t xml:space="preserve"> </w:t>
      </w:r>
      <w:r>
        <w:rPr>
          <w:color w:val="231F20"/>
          <w:sz w:val="20"/>
        </w:rPr>
        <w:t>around</w:t>
      </w:r>
      <w:r>
        <w:rPr>
          <w:color w:val="231F20"/>
          <w:spacing w:val="-13"/>
          <w:sz w:val="20"/>
        </w:rPr>
        <w:t xml:space="preserve"> </w:t>
      </w:r>
      <w:r>
        <w:rPr>
          <w:color w:val="231F20"/>
          <w:sz w:val="20"/>
        </w:rPr>
        <w:t>Victoria</w:t>
      </w:r>
      <w:r>
        <w:rPr>
          <w:color w:val="231F20"/>
          <w:spacing w:val="-13"/>
          <w:sz w:val="20"/>
        </w:rPr>
        <w:t xml:space="preserve"> </w:t>
      </w:r>
      <w:r>
        <w:rPr>
          <w:color w:val="231F20"/>
          <w:sz w:val="20"/>
        </w:rPr>
        <w:t>which</w:t>
      </w:r>
      <w:r>
        <w:rPr>
          <w:color w:val="231F20"/>
          <w:spacing w:val="-13"/>
          <w:sz w:val="20"/>
        </w:rPr>
        <w:t xml:space="preserve"> </w:t>
      </w:r>
      <w:r>
        <w:rPr>
          <w:color w:val="231F20"/>
          <w:sz w:val="20"/>
        </w:rPr>
        <w:t xml:space="preserve">deliver support services to victims of crime. It is funded </w:t>
      </w:r>
      <w:r>
        <w:rPr>
          <w:color w:val="231F20"/>
          <w:spacing w:val="-3"/>
          <w:sz w:val="20"/>
        </w:rPr>
        <w:t xml:space="preserve">by </w:t>
      </w:r>
      <w:r>
        <w:rPr>
          <w:color w:val="231F20"/>
          <w:sz w:val="20"/>
        </w:rPr>
        <w:t xml:space="preserve">the Department of Justice and Community </w:t>
      </w:r>
      <w:r>
        <w:rPr>
          <w:color w:val="231F20"/>
          <w:spacing w:val="-4"/>
          <w:sz w:val="20"/>
        </w:rPr>
        <w:t xml:space="preserve">Safety. </w:t>
      </w:r>
      <w:r>
        <w:rPr>
          <w:color w:val="231F20"/>
          <w:spacing w:val="-3"/>
          <w:sz w:val="20"/>
        </w:rPr>
        <w:t xml:space="preserve">Through </w:t>
      </w:r>
      <w:r>
        <w:rPr>
          <w:color w:val="231F20"/>
          <w:sz w:val="20"/>
        </w:rPr>
        <w:t xml:space="preserve">program agencies, it </w:t>
      </w:r>
      <w:r>
        <w:rPr>
          <w:color w:val="231F20"/>
          <w:spacing w:val="-3"/>
          <w:sz w:val="20"/>
        </w:rPr>
        <w:t xml:space="preserve">provides flexible </w:t>
      </w:r>
      <w:r>
        <w:rPr>
          <w:color w:val="231F20"/>
          <w:sz w:val="20"/>
        </w:rPr>
        <w:t>and tailored case management services that aim</w:t>
      </w:r>
      <w:r>
        <w:rPr>
          <w:color w:val="231F20"/>
          <w:spacing w:val="-18"/>
          <w:sz w:val="20"/>
        </w:rPr>
        <w:t xml:space="preserve"> </w:t>
      </w:r>
      <w:r>
        <w:rPr>
          <w:color w:val="231F20"/>
          <w:spacing w:val="-3"/>
          <w:sz w:val="20"/>
        </w:rPr>
        <w:t>to:</w:t>
      </w:r>
    </w:p>
    <w:p w14:paraId="4B838963" w14:textId="77777777" w:rsidR="00894070" w:rsidRDefault="009B7AFD">
      <w:pPr>
        <w:pStyle w:val="ListParagraph"/>
        <w:numPr>
          <w:ilvl w:val="2"/>
          <w:numId w:val="126"/>
        </w:numPr>
        <w:tabs>
          <w:tab w:val="left" w:pos="2141"/>
          <w:tab w:val="left" w:pos="2142"/>
        </w:tabs>
        <w:spacing w:before="92" w:line="259" w:lineRule="exact"/>
        <w:ind w:hanging="340"/>
        <w:rPr>
          <w:sz w:val="20"/>
        </w:rPr>
      </w:pPr>
      <w:r>
        <w:rPr>
          <w:color w:val="231F20"/>
          <w:sz w:val="20"/>
        </w:rPr>
        <w:t>address</w:t>
      </w:r>
      <w:r>
        <w:rPr>
          <w:color w:val="231F20"/>
          <w:spacing w:val="-7"/>
          <w:sz w:val="20"/>
        </w:rPr>
        <w:t xml:space="preserve"> </w:t>
      </w:r>
      <w:r>
        <w:rPr>
          <w:color w:val="231F20"/>
          <w:sz w:val="20"/>
        </w:rPr>
        <w:t>the</w:t>
      </w:r>
      <w:r>
        <w:rPr>
          <w:color w:val="231F20"/>
          <w:spacing w:val="-6"/>
          <w:sz w:val="20"/>
        </w:rPr>
        <w:t xml:space="preserve"> </w:t>
      </w:r>
      <w:r>
        <w:rPr>
          <w:color w:val="231F20"/>
          <w:sz w:val="20"/>
        </w:rPr>
        <w:t>needs</w:t>
      </w:r>
      <w:r>
        <w:rPr>
          <w:color w:val="231F20"/>
          <w:spacing w:val="-6"/>
          <w:sz w:val="20"/>
        </w:rPr>
        <w:t xml:space="preserve"> </w:t>
      </w:r>
      <w:r>
        <w:rPr>
          <w:color w:val="231F20"/>
          <w:sz w:val="20"/>
        </w:rPr>
        <w:t>of</w:t>
      </w:r>
      <w:r>
        <w:rPr>
          <w:color w:val="231F20"/>
          <w:spacing w:val="-6"/>
          <w:sz w:val="20"/>
        </w:rPr>
        <w:t xml:space="preserve"> </w:t>
      </w:r>
      <w:r>
        <w:rPr>
          <w:color w:val="231F20"/>
          <w:sz w:val="20"/>
        </w:rPr>
        <w:t>victims</w:t>
      </w:r>
      <w:r>
        <w:rPr>
          <w:color w:val="231F20"/>
          <w:spacing w:val="-6"/>
          <w:sz w:val="20"/>
        </w:rPr>
        <w:t xml:space="preserve"> </w:t>
      </w:r>
      <w:r>
        <w:rPr>
          <w:color w:val="231F20"/>
          <w:sz w:val="20"/>
        </w:rPr>
        <w:t>of</w:t>
      </w:r>
      <w:r>
        <w:rPr>
          <w:color w:val="231F20"/>
          <w:spacing w:val="-6"/>
          <w:sz w:val="20"/>
        </w:rPr>
        <w:t xml:space="preserve"> </w:t>
      </w:r>
      <w:r>
        <w:rPr>
          <w:color w:val="231F20"/>
          <w:sz w:val="20"/>
        </w:rPr>
        <w:t>crime,</w:t>
      </w:r>
      <w:r>
        <w:rPr>
          <w:color w:val="231F20"/>
          <w:spacing w:val="-6"/>
          <w:sz w:val="20"/>
        </w:rPr>
        <w:t xml:space="preserve"> </w:t>
      </w:r>
      <w:r>
        <w:rPr>
          <w:color w:val="231F20"/>
          <w:sz w:val="20"/>
        </w:rPr>
        <w:t>including</w:t>
      </w:r>
      <w:r>
        <w:rPr>
          <w:color w:val="231F20"/>
          <w:spacing w:val="-6"/>
          <w:sz w:val="20"/>
        </w:rPr>
        <w:t xml:space="preserve"> </w:t>
      </w:r>
      <w:r>
        <w:rPr>
          <w:color w:val="231F20"/>
          <w:sz w:val="20"/>
        </w:rPr>
        <w:t>emotional</w:t>
      </w:r>
      <w:r>
        <w:rPr>
          <w:color w:val="231F20"/>
          <w:spacing w:val="-6"/>
          <w:sz w:val="20"/>
        </w:rPr>
        <w:t xml:space="preserve"> </w:t>
      </w:r>
      <w:r>
        <w:rPr>
          <w:color w:val="231F20"/>
          <w:sz w:val="20"/>
        </w:rPr>
        <w:t>and</w:t>
      </w:r>
      <w:r>
        <w:rPr>
          <w:color w:val="231F20"/>
          <w:spacing w:val="-6"/>
          <w:sz w:val="20"/>
        </w:rPr>
        <w:t xml:space="preserve"> </w:t>
      </w:r>
      <w:r>
        <w:rPr>
          <w:color w:val="231F20"/>
          <w:sz w:val="20"/>
        </w:rPr>
        <w:t>psychological</w:t>
      </w:r>
    </w:p>
    <w:p w14:paraId="103A873D" w14:textId="77777777" w:rsidR="00894070" w:rsidRDefault="009B7AFD">
      <w:pPr>
        <w:pStyle w:val="BodyText"/>
        <w:spacing w:line="259" w:lineRule="exact"/>
        <w:ind w:left="2141"/>
      </w:pPr>
      <w:r>
        <w:rPr>
          <w:color w:val="231F20"/>
        </w:rPr>
        <w:t>needs</w:t>
      </w:r>
    </w:p>
    <w:p w14:paraId="3062F4B2" w14:textId="77777777" w:rsidR="00894070" w:rsidRDefault="009B7AFD">
      <w:pPr>
        <w:pStyle w:val="ListParagraph"/>
        <w:numPr>
          <w:ilvl w:val="2"/>
          <w:numId w:val="126"/>
        </w:numPr>
        <w:tabs>
          <w:tab w:val="left" w:pos="2141"/>
          <w:tab w:val="left" w:pos="2142"/>
        </w:tabs>
        <w:spacing w:before="48"/>
        <w:ind w:hanging="340"/>
        <w:rPr>
          <w:sz w:val="20"/>
        </w:rPr>
      </w:pPr>
      <w:r>
        <w:rPr>
          <w:color w:val="231F20"/>
          <w:sz w:val="20"/>
        </w:rPr>
        <w:t>help</w:t>
      </w:r>
      <w:r>
        <w:rPr>
          <w:color w:val="231F20"/>
          <w:spacing w:val="-5"/>
          <w:sz w:val="20"/>
        </w:rPr>
        <w:t xml:space="preserve"> </w:t>
      </w:r>
      <w:r>
        <w:rPr>
          <w:color w:val="231F20"/>
          <w:sz w:val="20"/>
        </w:rPr>
        <w:t>manage</w:t>
      </w:r>
      <w:r>
        <w:rPr>
          <w:color w:val="231F20"/>
          <w:spacing w:val="-5"/>
          <w:sz w:val="20"/>
        </w:rPr>
        <w:t xml:space="preserve"> </w:t>
      </w:r>
      <w:r>
        <w:rPr>
          <w:color w:val="231F20"/>
          <w:sz w:val="20"/>
        </w:rPr>
        <w:t>the</w:t>
      </w:r>
      <w:r>
        <w:rPr>
          <w:color w:val="231F20"/>
          <w:spacing w:val="-5"/>
          <w:sz w:val="20"/>
        </w:rPr>
        <w:t xml:space="preserve"> </w:t>
      </w:r>
      <w:r>
        <w:rPr>
          <w:color w:val="231F20"/>
          <w:sz w:val="20"/>
        </w:rPr>
        <w:t>impacts</w:t>
      </w:r>
      <w:r>
        <w:rPr>
          <w:color w:val="231F20"/>
          <w:spacing w:val="-4"/>
          <w:sz w:val="20"/>
        </w:rPr>
        <w:t xml:space="preserve"> </w:t>
      </w:r>
      <w:r>
        <w:rPr>
          <w:color w:val="231F20"/>
          <w:sz w:val="20"/>
        </w:rPr>
        <w:t>of</w:t>
      </w:r>
      <w:r>
        <w:rPr>
          <w:color w:val="231F20"/>
          <w:spacing w:val="-5"/>
          <w:sz w:val="20"/>
        </w:rPr>
        <w:t xml:space="preserve"> </w:t>
      </w:r>
      <w:r>
        <w:rPr>
          <w:color w:val="231F20"/>
          <w:sz w:val="20"/>
        </w:rPr>
        <w:t>experiencing</w:t>
      </w:r>
      <w:r>
        <w:rPr>
          <w:color w:val="231F20"/>
          <w:spacing w:val="-5"/>
          <w:sz w:val="20"/>
        </w:rPr>
        <w:t xml:space="preserve"> </w:t>
      </w:r>
      <w:r>
        <w:rPr>
          <w:color w:val="231F20"/>
          <w:sz w:val="20"/>
        </w:rPr>
        <w:t>a</w:t>
      </w:r>
      <w:r>
        <w:rPr>
          <w:color w:val="231F20"/>
          <w:spacing w:val="-5"/>
          <w:sz w:val="20"/>
        </w:rPr>
        <w:t xml:space="preserve"> </w:t>
      </w:r>
      <w:r>
        <w:rPr>
          <w:color w:val="231F20"/>
          <w:sz w:val="20"/>
        </w:rPr>
        <w:t>violent</w:t>
      </w:r>
      <w:r>
        <w:rPr>
          <w:color w:val="231F20"/>
          <w:spacing w:val="-4"/>
          <w:sz w:val="20"/>
        </w:rPr>
        <w:t xml:space="preserve"> </w:t>
      </w:r>
      <w:r>
        <w:rPr>
          <w:color w:val="231F20"/>
          <w:sz w:val="20"/>
        </w:rPr>
        <w:t>crime</w:t>
      </w:r>
    </w:p>
    <w:p w14:paraId="5F5219B8" w14:textId="77777777" w:rsidR="00894070" w:rsidRDefault="009B7AFD">
      <w:pPr>
        <w:pStyle w:val="ListParagraph"/>
        <w:numPr>
          <w:ilvl w:val="2"/>
          <w:numId w:val="126"/>
        </w:numPr>
        <w:tabs>
          <w:tab w:val="left" w:pos="2141"/>
          <w:tab w:val="left" w:pos="2142"/>
        </w:tabs>
        <w:spacing w:before="47"/>
        <w:ind w:hanging="340"/>
        <w:rPr>
          <w:sz w:val="11"/>
        </w:rPr>
      </w:pPr>
      <w:r>
        <w:rPr>
          <w:color w:val="231F20"/>
          <w:spacing w:val="-3"/>
          <w:sz w:val="20"/>
        </w:rPr>
        <w:t xml:space="preserve">promote </w:t>
      </w:r>
      <w:r>
        <w:rPr>
          <w:color w:val="231F20"/>
          <w:sz w:val="20"/>
        </w:rPr>
        <w:t xml:space="preserve">the </w:t>
      </w:r>
      <w:r>
        <w:rPr>
          <w:color w:val="231F20"/>
          <w:spacing w:val="-3"/>
          <w:sz w:val="20"/>
        </w:rPr>
        <w:t>recovery</w:t>
      </w:r>
      <w:r>
        <w:rPr>
          <w:color w:val="231F20"/>
          <w:spacing w:val="-9"/>
          <w:sz w:val="20"/>
        </w:rPr>
        <w:t xml:space="preserve"> </w:t>
      </w:r>
      <w:r>
        <w:rPr>
          <w:color w:val="231F20"/>
          <w:spacing w:val="-3"/>
          <w:sz w:val="20"/>
        </w:rPr>
        <w:t>process.</w:t>
      </w:r>
      <w:r>
        <w:rPr>
          <w:color w:val="231F20"/>
          <w:spacing w:val="-3"/>
          <w:position w:val="7"/>
          <w:sz w:val="11"/>
        </w:rPr>
        <w:t>7</w:t>
      </w:r>
    </w:p>
    <w:p w14:paraId="6BB18580" w14:textId="77777777" w:rsidR="00894070" w:rsidRDefault="009B7AFD">
      <w:pPr>
        <w:pStyle w:val="ListParagraph"/>
        <w:numPr>
          <w:ilvl w:val="1"/>
          <w:numId w:val="126"/>
        </w:numPr>
        <w:tabs>
          <w:tab w:val="left" w:pos="1801"/>
          <w:tab w:val="left" w:pos="1802"/>
        </w:tabs>
        <w:spacing w:before="48"/>
        <w:rPr>
          <w:sz w:val="20"/>
        </w:rPr>
      </w:pPr>
      <w:r>
        <w:rPr>
          <w:color w:val="231F20"/>
          <w:sz w:val="20"/>
        </w:rPr>
        <w:t>Services</w:t>
      </w:r>
      <w:r>
        <w:rPr>
          <w:color w:val="231F20"/>
          <w:spacing w:val="-5"/>
          <w:sz w:val="20"/>
        </w:rPr>
        <w:t xml:space="preserve"> </w:t>
      </w:r>
      <w:r>
        <w:rPr>
          <w:color w:val="231F20"/>
          <w:spacing w:val="-3"/>
          <w:sz w:val="20"/>
        </w:rPr>
        <w:t>are</w:t>
      </w:r>
      <w:r>
        <w:rPr>
          <w:color w:val="231F20"/>
          <w:spacing w:val="-4"/>
          <w:sz w:val="20"/>
        </w:rPr>
        <w:t xml:space="preserve"> </w:t>
      </w:r>
      <w:r>
        <w:rPr>
          <w:color w:val="231F20"/>
          <w:sz w:val="20"/>
        </w:rPr>
        <w:t>based</w:t>
      </w:r>
      <w:r>
        <w:rPr>
          <w:color w:val="231F20"/>
          <w:spacing w:val="-4"/>
          <w:sz w:val="20"/>
        </w:rPr>
        <w:t xml:space="preserve"> </w:t>
      </w:r>
      <w:r>
        <w:rPr>
          <w:color w:val="231F20"/>
          <w:sz w:val="20"/>
        </w:rPr>
        <w:t>on</w:t>
      </w:r>
      <w:r>
        <w:rPr>
          <w:color w:val="231F20"/>
          <w:spacing w:val="-5"/>
          <w:sz w:val="20"/>
        </w:rPr>
        <w:t xml:space="preserve"> </w:t>
      </w:r>
      <w:r>
        <w:rPr>
          <w:color w:val="231F20"/>
          <w:sz w:val="20"/>
        </w:rPr>
        <w:t>the</w:t>
      </w:r>
      <w:r>
        <w:rPr>
          <w:color w:val="231F20"/>
          <w:spacing w:val="-4"/>
          <w:sz w:val="20"/>
        </w:rPr>
        <w:t xml:space="preserve"> </w:t>
      </w:r>
      <w:r>
        <w:rPr>
          <w:color w:val="231F20"/>
          <w:sz w:val="20"/>
        </w:rPr>
        <w:t>needs</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victim,</w:t>
      </w:r>
      <w:r>
        <w:rPr>
          <w:color w:val="231F20"/>
          <w:spacing w:val="-4"/>
          <w:sz w:val="20"/>
        </w:rPr>
        <w:t xml:space="preserve"> </w:t>
      </w:r>
      <w:r>
        <w:rPr>
          <w:color w:val="231F20"/>
          <w:sz w:val="20"/>
        </w:rPr>
        <w:t>but</w:t>
      </w:r>
      <w:r>
        <w:rPr>
          <w:color w:val="231F20"/>
          <w:spacing w:val="-5"/>
          <w:sz w:val="20"/>
        </w:rPr>
        <w:t xml:space="preserve"> </w:t>
      </w:r>
      <w:r>
        <w:rPr>
          <w:color w:val="231F20"/>
          <w:sz w:val="20"/>
        </w:rPr>
        <w:t>can</w:t>
      </w:r>
      <w:r>
        <w:rPr>
          <w:color w:val="231F20"/>
          <w:spacing w:val="-4"/>
          <w:sz w:val="20"/>
        </w:rPr>
        <w:t xml:space="preserve"> </w:t>
      </w:r>
      <w:r>
        <w:rPr>
          <w:color w:val="231F20"/>
          <w:spacing w:val="-3"/>
          <w:sz w:val="20"/>
        </w:rPr>
        <w:t>include:</w:t>
      </w:r>
    </w:p>
    <w:p w14:paraId="145B81A7" w14:textId="77777777" w:rsidR="00894070" w:rsidRDefault="009B7AFD">
      <w:pPr>
        <w:pStyle w:val="ListParagraph"/>
        <w:numPr>
          <w:ilvl w:val="2"/>
          <w:numId w:val="126"/>
        </w:numPr>
        <w:tabs>
          <w:tab w:val="left" w:pos="2141"/>
          <w:tab w:val="left" w:pos="2142"/>
        </w:tabs>
        <w:spacing w:before="82"/>
        <w:ind w:hanging="340"/>
        <w:rPr>
          <w:sz w:val="20"/>
        </w:rPr>
      </w:pPr>
      <w:r>
        <w:rPr>
          <w:color w:val="231F20"/>
          <w:sz w:val="20"/>
        </w:rPr>
        <w:t>assistance</w:t>
      </w:r>
      <w:r>
        <w:rPr>
          <w:color w:val="231F20"/>
          <w:spacing w:val="-6"/>
          <w:sz w:val="20"/>
        </w:rPr>
        <w:t xml:space="preserve"> </w:t>
      </w:r>
      <w:r>
        <w:rPr>
          <w:color w:val="231F20"/>
          <w:sz w:val="20"/>
        </w:rPr>
        <w:t>with</w:t>
      </w:r>
      <w:r>
        <w:rPr>
          <w:color w:val="231F20"/>
          <w:spacing w:val="-5"/>
          <w:sz w:val="20"/>
        </w:rPr>
        <w:t xml:space="preserve"> </w:t>
      </w:r>
      <w:r>
        <w:rPr>
          <w:color w:val="231F20"/>
          <w:sz w:val="20"/>
        </w:rPr>
        <w:t>communicating</w:t>
      </w:r>
      <w:r>
        <w:rPr>
          <w:color w:val="231F20"/>
          <w:spacing w:val="-5"/>
          <w:sz w:val="20"/>
        </w:rPr>
        <w:t xml:space="preserve"> </w:t>
      </w:r>
      <w:r>
        <w:rPr>
          <w:color w:val="231F20"/>
          <w:sz w:val="20"/>
        </w:rPr>
        <w:t>with</w:t>
      </w:r>
      <w:r>
        <w:rPr>
          <w:color w:val="231F20"/>
          <w:spacing w:val="-5"/>
          <w:sz w:val="20"/>
        </w:rPr>
        <w:t xml:space="preserve"> </w:t>
      </w:r>
      <w:r>
        <w:rPr>
          <w:color w:val="231F20"/>
          <w:sz w:val="20"/>
        </w:rPr>
        <w:t>Victoria</w:t>
      </w:r>
      <w:r>
        <w:rPr>
          <w:color w:val="231F20"/>
          <w:spacing w:val="-6"/>
          <w:sz w:val="20"/>
        </w:rPr>
        <w:t xml:space="preserve"> </w:t>
      </w:r>
      <w:r>
        <w:rPr>
          <w:color w:val="231F20"/>
          <w:sz w:val="20"/>
        </w:rPr>
        <w:t>Police</w:t>
      </w:r>
      <w:r>
        <w:rPr>
          <w:color w:val="231F20"/>
          <w:spacing w:val="-5"/>
          <w:sz w:val="20"/>
        </w:rPr>
        <w:t xml:space="preserve"> </w:t>
      </w:r>
      <w:r>
        <w:rPr>
          <w:color w:val="231F20"/>
          <w:sz w:val="20"/>
        </w:rPr>
        <w:t>and</w:t>
      </w:r>
      <w:r>
        <w:rPr>
          <w:color w:val="231F20"/>
          <w:spacing w:val="-6"/>
          <w:sz w:val="20"/>
        </w:rPr>
        <w:t xml:space="preserve"> </w:t>
      </w:r>
      <w:r>
        <w:rPr>
          <w:color w:val="231F20"/>
          <w:sz w:val="20"/>
        </w:rPr>
        <w:t>making</w:t>
      </w:r>
      <w:r>
        <w:rPr>
          <w:color w:val="231F20"/>
          <w:spacing w:val="-6"/>
          <w:sz w:val="20"/>
        </w:rPr>
        <w:t xml:space="preserve"> </w:t>
      </w:r>
      <w:r>
        <w:rPr>
          <w:color w:val="231F20"/>
          <w:sz w:val="20"/>
        </w:rPr>
        <w:t>a</w:t>
      </w:r>
      <w:r>
        <w:rPr>
          <w:color w:val="231F20"/>
          <w:spacing w:val="-6"/>
          <w:sz w:val="20"/>
        </w:rPr>
        <w:t xml:space="preserve"> </w:t>
      </w:r>
      <w:r>
        <w:rPr>
          <w:color w:val="231F20"/>
          <w:sz w:val="20"/>
        </w:rPr>
        <w:t>report</w:t>
      </w:r>
    </w:p>
    <w:p w14:paraId="1589AAC7" w14:textId="77777777" w:rsidR="00894070" w:rsidRDefault="009B7AFD">
      <w:pPr>
        <w:pStyle w:val="ListParagraph"/>
        <w:numPr>
          <w:ilvl w:val="2"/>
          <w:numId w:val="126"/>
        </w:numPr>
        <w:tabs>
          <w:tab w:val="left" w:pos="2141"/>
          <w:tab w:val="left" w:pos="2142"/>
        </w:tabs>
        <w:spacing w:before="48"/>
        <w:ind w:hanging="340"/>
        <w:rPr>
          <w:sz w:val="20"/>
        </w:rPr>
      </w:pPr>
      <w:r>
        <w:rPr>
          <w:color w:val="231F20"/>
          <w:sz w:val="20"/>
        </w:rPr>
        <w:t>risk assessment and safety</w:t>
      </w:r>
      <w:r>
        <w:rPr>
          <w:color w:val="231F20"/>
          <w:spacing w:val="-18"/>
          <w:sz w:val="20"/>
        </w:rPr>
        <w:t xml:space="preserve"> </w:t>
      </w:r>
      <w:r>
        <w:rPr>
          <w:color w:val="231F20"/>
          <w:sz w:val="20"/>
        </w:rPr>
        <w:t>planning</w:t>
      </w:r>
    </w:p>
    <w:p w14:paraId="5D69563A" w14:textId="77777777" w:rsidR="00894070" w:rsidRDefault="009B7AFD">
      <w:pPr>
        <w:pStyle w:val="ListParagraph"/>
        <w:numPr>
          <w:ilvl w:val="2"/>
          <w:numId w:val="126"/>
        </w:numPr>
        <w:tabs>
          <w:tab w:val="left" w:pos="2141"/>
          <w:tab w:val="left" w:pos="2142"/>
        </w:tabs>
        <w:spacing w:before="47"/>
        <w:ind w:hanging="340"/>
        <w:rPr>
          <w:sz w:val="20"/>
        </w:rPr>
      </w:pPr>
      <w:r>
        <w:rPr>
          <w:color w:val="231F20"/>
          <w:sz w:val="20"/>
        </w:rPr>
        <w:t xml:space="preserve">organising counselling, </w:t>
      </w:r>
      <w:proofErr w:type="gramStart"/>
      <w:r>
        <w:rPr>
          <w:color w:val="231F20"/>
          <w:sz w:val="20"/>
        </w:rPr>
        <w:t>transport</w:t>
      </w:r>
      <w:proofErr w:type="gramEnd"/>
      <w:r>
        <w:rPr>
          <w:color w:val="231F20"/>
          <w:sz w:val="20"/>
        </w:rPr>
        <w:t xml:space="preserve"> or medical</w:t>
      </w:r>
      <w:r>
        <w:rPr>
          <w:color w:val="231F20"/>
          <w:spacing w:val="-23"/>
          <w:sz w:val="20"/>
        </w:rPr>
        <w:t xml:space="preserve"> </w:t>
      </w:r>
      <w:r>
        <w:rPr>
          <w:color w:val="231F20"/>
          <w:sz w:val="20"/>
        </w:rPr>
        <w:t>services</w:t>
      </w:r>
    </w:p>
    <w:p w14:paraId="2D1DE948" w14:textId="77777777" w:rsidR="00894070" w:rsidRDefault="009B7AFD">
      <w:pPr>
        <w:pStyle w:val="ListParagraph"/>
        <w:numPr>
          <w:ilvl w:val="2"/>
          <w:numId w:val="126"/>
        </w:numPr>
        <w:tabs>
          <w:tab w:val="left" w:pos="2141"/>
          <w:tab w:val="left" w:pos="2142"/>
        </w:tabs>
        <w:spacing w:before="48"/>
        <w:ind w:hanging="340"/>
        <w:rPr>
          <w:sz w:val="20"/>
        </w:rPr>
      </w:pPr>
      <w:r>
        <w:rPr>
          <w:color w:val="231F20"/>
          <w:sz w:val="20"/>
        </w:rPr>
        <w:t xml:space="preserve">support to help a victim of crime </w:t>
      </w:r>
      <w:r>
        <w:rPr>
          <w:color w:val="231F20"/>
          <w:spacing w:val="-3"/>
          <w:sz w:val="20"/>
        </w:rPr>
        <w:t>prepare for</w:t>
      </w:r>
      <w:r>
        <w:rPr>
          <w:color w:val="231F20"/>
          <w:spacing w:val="-36"/>
          <w:sz w:val="20"/>
        </w:rPr>
        <w:t xml:space="preserve"> </w:t>
      </w:r>
      <w:r>
        <w:rPr>
          <w:color w:val="231F20"/>
          <w:sz w:val="20"/>
        </w:rPr>
        <w:t>court</w:t>
      </w:r>
    </w:p>
    <w:p w14:paraId="6F8B2C72" w14:textId="77777777" w:rsidR="00894070" w:rsidRDefault="009B7AFD">
      <w:pPr>
        <w:pStyle w:val="ListParagraph"/>
        <w:numPr>
          <w:ilvl w:val="2"/>
          <w:numId w:val="126"/>
        </w:numPr>
        <w:tabs>
          <w:tab w:val="left" w:pos="2141"/>
          <w:tab w:val="left" w:pos="2142"/>
        </w:tabs>
        <w:spacing w:before="47"/>
        <w:ind w:hanging="340"/>
        <w:rPr>
          <w:sz w:val="20"/>
        </w:rPr>
      </w:pPr>
      <w:r>
        <w:rPr>
          <w:color w:val="231F20"/>
          <w:sz w:val="20"/>
        </w:rPr>
        <w:t xml:space="preserve">helping to </w:t>
      </w:r>
      <w:r>
        <w:rPr>
          <w:color w:val="231F20"/>
          <w:spacing w:val="-3"/>
          <w:sz w:val="20"/>
        </w:rPr>
        <w:t xml:space="preserve">prepare </w:t>
      </w:r>
      <w:r>
        <w:rPr>
          <w:color w:val="231F20"/>
          <w:sz w:val="20"/>
        </w:rPr>
        <w:t>a victim impact</w:t>
      </w:r>
      <w:r>
        <w:rPr>
          <w:color w:val="231F20"/>
          <w:spacing w:val="-24"/>
          <w:sz w:val="20"/>
        </w:rPr>
        <w:t xml:space="preserve"> </w:t>
      </w:r>
      <w:r>
        <w:rPr>
          <w:color w:val="231F20"/>
          <w:sz w:val="20"/>
        </w:rPr>
        <w:t>statement</w:t>
      </w:r>
    </w:p>
    <w:p w14:paraId="49350195" w14:textId="77777777" w:rsidR="00894070" w:rsidRDefault="009B7AFD">
      <w:pPr>
        <w:pStyle w:val="ListParagraph"/>
        <w:numPr>
          <w:ilvl w:val="2"/>
          <w:numId w:val="126"/>
        </w:numPr>
        <w:tabs>
          <w:tab w:val="left" w:pos="2141"/>
          <w:tab w:val="left" w:pos="2142"/>
        </w:tabs>
        <w:spacing w:before="47"/>
        <w:ind w:hanging="340"/>
        <w:rPr>
          <w:sz w:val="11"/>
        </w:rPr>
      </w:pPr>
      <w:r>
        <w:rPr>
          <w:color w:val="231F20"/>
          <w:sz w:val="20"/>
        </w:rPr>
        <w:t>assisting</w:t>
      </w:r>
      <w:r>
        <w:rPr>
          <w:color w:val="231F20"/>
          <w:spacing w:val="-6"/>
          <w:sz w:val="20"/>
        </w:rPr>
        <w:t xml:space="preserve"> </w:t>
      </w:r>
      <w:r>
        <w:rPr>
          <w:color w:val="231F20"/>
          <w:sz w:val="20"/>
        </w:rPr>
        <w:t>with</w:t>
      </w:r>
      <w:r>
        <w:rPr>
          <w:color w:val="231F20"/>
          <w:spacing w:val="-6"/>
          <w:sz w:val="20"/>
        </w:rPr>
        <w:t xml:space="preserve"> </w:t>
      </w:r>
      <w:r>
        <w:rPr>
          <w:color w:val="231F20"/>
          <w:sz w:val="20"/>
        </w:rPr>
        <w:t>finding</w:t>
      </w:r>
      <w:r>
        <w:rPr>
          <w:color w:val="231F20"/>
          <w:spacing w:val="-6"/>
          <w:sz w:val="20"/>
        </w:rPr>
        <w:t xml:space="preserve"> </w:t>
      </w:r>
      <w:r>
        <w:rPr>
          <w:color w:val="231F20"/>
          <w:spacing w:val="-3"/>
          <w:sz w:val="20"/>
        </w:rPr>
        <w:t>information</w:t>
      </w:r>
      <w:r>
        <w:rPr>
          <w:color w:val="231F20"/>
          <w:spacing w:val="-6"/>
          <w:sz w:val="20"/>
        </w:rPr>
        <w:t xml:space="preserve"> </w:t>
      </w:r>
      <w:r>
        <w:rPr>
          <w:color w:val="231F20"/>
          <w:sz w:val="20"/>
        </w:rPr>
        <w:t>about</w:t>
      </w:r>
      <w:r>
        <w:rPr>
          <w:color w:val="231F20"/>
          <w:spacing w:val="-6"/>
          <w:sz w:val="20"/>
        </w:rPr>
        <w:t xml:space="preserve"> </w:t>
      </w:r>
      <w:r>
        <w:rPr>
          <w:color w:val="231F20"/>
          <w:sz w:val="20"/>
        </w:rPr>
        <w:t>the</w:t>
      </w:r>
      <w:r>
        <w:rPr>
          <w:color w:val="231F20"/>
          <w:spacing w:val="-6"/>
          <w:sz w:val="20"/>
        </w:rPr>
        <w:t xml:space="preserve"> </w:t>
      </w:r>
      <w:r>
        <w:rPr>
          <w:color w:val="231F20"/>
          <w:sz w:val="20"/>
        </w:rPr>
        <w:t>person</w:t>
      </w:r>
      <w:r>
        <w:rPr>
          <w:color w:val="231F20"/>
          <w:spacing w:val="-6"/>
          <w:sz w:val="20"/>
        </w:rPr>
        <w:t xml:space="preserve"> </w:t>
      </w:r>
      <w:r>
        <w:rPr>
          <w:color w:val="231F20"/>
          <w:sz w:val="20"/>
        </w:rPr>
        <w:t>who</w:t>
      </w:r>
      <w:r>
        <w:rPr>
          <w:color w:val="231F20"/>
          <w:spacing w:val="-6"/>
          <w:sz w:val="20"/>
        </w:rPr>
        <w:t xml:space="preserve"> </w:t>
      </w:r>
      <w:r>
        <w:rPr>
          <w:color w:val="231F20"/>
          <w:sz w:val="20"/>
        </w:rPr>
        <w:t>committed</w:t>
      </w:r>
      <w:r>
        <w:rPr>
          <w:color w:val="231F20"/>
          <w:spacing w:val="-5"/>
          <w:sz w:val="20"/>
        </w:rPr>
        <w:t xml:space="preserve"> </w:t>
      </w:r>
      <w:r>
        <w:rPr>
          <w:color w:val="231F20"/>
          <w:sz w:val="20"/>
        </w:rPr>
        <w:t>the</w:t>
      </w:r>
      <w:r>
        <w:rPr>
          <w:color w:val="231F20"/>
          <w:spacing w:val="-6"/>
          <w:sz w:val="20"/>
        </w:rPr>
        <w:t xml:space="preserve"> </w:t>
      </w:r>
      <w:r>
        <w:rPr>
          <w:color w:val="231F20"/>
          <w:sz w:val="20"/>
        </w:rPr>
        <w:t>offence.</w:t>
      </w:r>
      <w:r>
        <w:rPr>
          <w:color w:val="231F20"/>
          <w:position w:val="7"/>
          <w:sz w:val="11"/>
        </w:rPr>
        <w:t>8</w:t>
      </w:r>
    </w:p>
    <w:p w14:paraId="118A87D3" w14:textId="77777777" w:rsidR="00894070" w:rsidRDefault="009B7AFD">
      <w:pPr>
        <w:pStyle w:val="ListParagraph"/>
        <w:numPr>
          <w:ilvl w:val="1"/>
          <w:numId w:val="126"/>
        </w:numPr>
        <w:tabs>
          <w:tab w:val="left" w:pos="1801"/>
          <w:tab w:val="left" w:pos="1802"/>
        </w:tabs>
        <w:spacing w:before="48"/>
        <w:rPr>
          <w:sz w:val="20"/>
        </w:rPr>
      </w:pPr>
      <w:r>
        <w:rPr>
          <w:color w:val="231F20"/>
          <w:spacing w:val="-6"/>
          <w:sz w:val="20"/>
        </w:rPr>
        <w:t xml:space="preserve">We </w:t>
      </w:r>
      <w:r>
        <w:rPr>
          <w:color w:val="231F20"/>
          <w:sz w:val="20"/>
        </w:rPr>
        <w:t xml:space="preserve">discuss the new financial assistance scheme </w:t>
      </w:r>
      <w:r>
        <w:rPr>
          <w:color w:val="231F20"/>
          <w:spacing w:val="-3"/>
          <w:sz w:val="20"/>
        </w:rPr>
        <w:t xml:space="preserve">for </w:t>
      </w:r>
      <w:r>
        <w:rPr>
          <w:color w:val="231F20"/>
          <w:sz w:val="20"/>
        </w:rPr>
        <w:t>victims</w:t>
      </w:r>
      <w:r>
        <w:rPr>
          <w:color w:val="231F20"/>
          <w:spacing w:val="-34"/>
          <w:sz w:val="20"/>
        </w:rPr>
        <w:t xml:space="preserve"> </w:t>
      </w:r>
      <w:r>
        <w:rPr>
          <w:color w:val="231F20"/>
          <w:spacing w:val="-4"/>
          <w:sz w:val="20"/>
        </w:rPr>
        <w:t>later.</w:t>
      </w:r>
    </w:p>
    <w:p w14:paraId="0A896333" w14:textId="77777777" w:rsidR="00894070" w:rsidRDefault="00894070">
      <w:pPr>
        <w:pStyle w:val="BodyText"/>
      </w:pPr>
    </w:p>
    <w:p w14:paraId="53AF622F" w14:textId="77777777" w:rsidR="00894070" w:rsidRDefault="009F6793">
      <w:pPr>
        <w:pStyle w:val="BodyText"/>
        <w:spacing w:before="2"/>
      </w:pPr>
      <w:r>
        <w:pict w14:anchorId="478A4AD5">
          <v:line id="_x0000_s1429" style="position:absolute;z-index:251590656;mso-wrap-distance-left:0;mso-wrap-distance-right:0;mso-position-horizontal-relative:page" from="79.35pt,16.45pt" to="515.9pt,16.45pt" strokecolor="#f8cabc" strokeweight="1pt">
            <w10:wrap type="topAndBottom" anchorx="page"/>
          </v:line>
        </w:pict>
      </w:r>
    </w:p>
    <w:p w14:paraId="0A5689EE" w14:textId="77777777" w:rsidR="00894070" w:rsidRDefault="009B7AFD">
      <w:pPr>
        <w:pStyle w:val="ListParagraph"/>
        <w:numPr>
          <w:ilvl w:val="0"/>
          <w:numId w:val="124"/>
        </w:numPr>
        <w:tabs>
          <w:tab w:val="left" w:pos="1800"/>
          <w:tab w:val="left" w:pos="1802"/>
        </w:tabs>
        <w:spacing w:before="107" w:line="213" w:lineRule="auto"/>
        <w:ind w:right="1197"/>
        <w:rPr>
          <w:sz w:val="13"/>
        </w:rPr>
      </w:pPr>
      <w:r>
        <w:rPr>
          <w:color w:val="231F20"/>
          <w:sz w:val="13"/>
        </w:rPr>
        <w:t xml:space="preserve">Email from Victim </w:t>
      </w:r>
      <w:r>
        <w:rPr>
          <w:color w:val="231F20"/>
          <w:spacing w:val="2"/>
          <w:sz w:val="13"/>
        </w:rPr>
        <w:t xml:space="preserve">Services, Support </w:t>
      </w:r>
      <w:r>
        <w:rPr>
          <w:color w:val="231F20"/>
          <w:sz w:val="13"/>
        </w:rPr>
        <w:t xml:space="preserve">and Reform, </w:t>
      </w:r>
      <w:r>
        <w:rPr>
          <w:color w:val="231F20"/>
          <w:spacing w:val="2"/>
          <w:sz w:val="13"/>
        </w:rPr>
        <w:t xml:space="preserve">Department </w:t>
      </w:r>
      <w:r>
        <w:rPr>
          <w:color w:val="231F20"/>
          <w:sz w:val="13"/>
        </w:rPr>
        <w:t xml:space="preserve">of </w:t>
      </w:r>
      <w:proofErr w:type="gramStart"/>
      <w:r>
        <w:rPr>
          <w:color w:val="231F20"/>
          <w:sz w:val="13"/>
        </w:rPr>
        <w:t>Justice</w:t>
      </w:r>
      <w:proofErr w:type="gramEnd"/>
      <w:r>
        <w:rPr>
          <w:color w:val="231F20"/>
          <w:sz w:val="13"/>
        </w:rPr>
        <w:t xml:space="preserve"> and Community Safety (Vic) to Victorian Law Reform </w:t>
      </w:r>
      <w:r>
        <w:rPr>
          <w:color w:val="231F20"/>
          <w:spacing w:val="2"/>
          <w:sz w:val="13"/>
        </w:rPr>
        <w:t xml:space="preserve">Commission, </w:t>
      </w:r>
      <w:r>
        <w:rPr>
          <w:color w:val="231F20"/>
          <w:sz w:val="13"/>
        </w:rPr>
        <w:t xml:space="preserve">6 May 2022; </w:t>
      </w:r>
      <w:r>
        <w:rPr>
          <w:i/>
          <w:color w:val="231F20"/>
          <w:sz w:val="13"/>
        </w:rPr>
        <w:t xml:space="preserve">Victims of Crime Assistance Act </w:t>
      </w:r>
      <w:r>
        <w:rPr>
          <w:i/>
          <w:color w:val="231F20"/>
          <w:spacing w:val="2"/>
          <w:sz w:val="13"/>
        </w:rPr>
        <w:t xml:space="preserve">1996 </w:t>
      </w:r>
      <w:r>
        <w:rPr>
          <w:color w:val="231F20"/>
          <w:sz w:val="13"/>
        </w:rPr>
        <w:t xml:space="preserve">(Vic) s 3 (‘relevant offence’ which includes stalking). Under the legislation implementing a new financial </w:t>
      </w:r>
      <w:r>
        <w:rPr>
          <w:color w:val="231F20"/>
          <w:spacing w:val="2"/>
          <w:sz w:val="13"/>
        </w:rPr>
        <w:t xml:space="preserve">assistance scheme </w:t>
      </w:r>
      <w:r>
        <w:rPr>
          <w:color w:val="231F20"/>
          <w:sz w:val="13"/>
        </w:rPr>
        <w:t xml:space="preserve">to replace </w:t>
      </w:r>
      <w:r>
        <w:rPr>
          <w:color w:val="231F20"/>
          <w:spacing w:val="-3"/>
          <w:sz w:val="13"/>
        </w:rPr>
        <w:t xml:space="preserve">VOCAT, </w:t>
      </w:r>
      <w:r>
        <w:rPr>
          <w:color w:val="231F20"/>
          <w:spacing w:val="2"/>
          <w:sz w:val="13"/>
        </w:rPr>
        <w:t xml:space="preserve">stalking </w:t>
      </w:r>
      <w:r>
        <w:rPr>
          <w:color w:val="231F20"/>
          <w:sz w:val="13"/>
        </w:rPr>
        <w:t xml:space="preserve">is </w:t>
      </w:r>
      <w:r>
        <w:rPr>
          <w:color w:val="231F20"/>
          <w:spacing w:val="2"/>
          <w:sz w:val="13"/>
        </w:rPr>
        <w:t xml:space="preserve">also </w:t>
      </w:r>
      <w:r>
        <w:rPr>
          <w:color w:val="231F20"/>
          <w:sz w:val="13"/>
        </w:rPr>
        <w:t xml:space="preserve">recognised as a ‘relevant offence’: Victims of Crime (Financial </w:t>
      </w:r>
      <w:r>
        <w:rPr>
          <w:color w:val="231F20"/>
          <w:spacing w:val="2"/>
          <w:sz w:val="13"/>
        </w:rPr>
        <w:t xml:space="preserve">Assistance </w:t>
      </w:r>
      <w:r>
        <w:rPr>
          <w:color w:val="231F20"/>
          <w:sz w:val="13"/>
        </w:rPr>
        <w:t>Scheme) Bill 2022 (Vic) cl</w:t>
      </w:r>
      <w:r>
        <w:rPr>
          <w:color w:val="231F20"/>
          <w:spacing w:val="4"/>
          <w:sz w:val="13"/>
        </w:rPr>
        <w:t xml:space="preserve"> </w:t>
      </w:r>
      <w:r>
        <w:rPr>
          <w:color w:val="231F20"/>
          <w:spacing w:val="3"/>
          <w:sz w:val="13"/>
        </w:rPr>
        <w:t>3.</w:t>
      </w:r>
    </w:p>
    <w:p w14:paraId="34F635AB" w14:textId="77777777" w:rsidR="00894070" w:rsidRDefault="009B7AFD">
      <w:pPr>
        <w:pStyle w:val="ListParagraph"/>
        <w:numPr>
          <w:ilvl w:val="0"/>
          <w:numId w:val="124"/>
        </w:numPr>
        <w:tabs>
          <w:tab w:val="left" w:pos="1800"/>
          <w:tab w:val="left" w:pos="1802"/>
        </w:tabs>
        <w:spacing w:line="213" w:lineRule="auto"/>
        <w:ind w:right="1165"/>
        <w:rPr>
          <w:sz w:val="13"/>
        </w:rPr>
      </w:pPr>
      <w:r>
        <w:rPr>
          <w:color w:val="231F20"/>
          <w:sz w:val="13"/>
        </w:rPr>
        <w:t xml:space="preserve">Centre for Innovative Justice, RMIT University, </w:t>
      </w:r>
      <w:r>
        <w:rPr>
          <w:i/>
          <w:color w:val="231F20"/>
          <w:sz w:val="13"/>
        </w:rPr>
        <w:t xml:space="preserve">Strengthening Victoria’s Victim </w:t>
      </w:r>
      <w:r>
        <w:rPr>
          <w:i/>
          <w:color w:val="231F20"/>
          <w:spacing w:val="2"/>
          <w:sz w:val="13"/>
        </w:rPr>
        <w:t xml:space="preserve">Support </w:t>
      </w:r>
      <w:r>
        <w:rPr>
          <w:i/>
          <w:color w:val="231F20"/>
          <w:sz w:val="13"/>
        </w:rPr>
        <w:t xml:space="preserve">System: Victim </w:t>
      </w:r>
      <w:r>
        <w:rPr>
          <w:i/>
          <w:color w:val="231F20"/>
          <w:spacing w:val="2"/>
          <w:sz w:val="13"/>
        </w:rPr>
        <w:t xml:space="preserve">Services </w:t>
      </w:r>
      <w:r>
        <w:rPr>
          <w:i/>
          <w:color w:val="231F20"/>
          <w:sz w:val="13"/>
        </w:rPr>
        <w:t xml:space="preserve">Review </w:t>
      </w:r>
      <w:r>
        <w:rPr>
          <w:color w:val="231F20"/>
          <w:sz w:val="13"/>
        </w:rPr>
        <w:t xml:space="preserve">(Final </w:t>
      </w:r>
      <w:r>
        <w:rPr>
          <w:color w:val="231F20"/>
          <w:spacing w:val="2"/>
          <w:sz w:val="13"/>
        </w:rPr>
        <w:t xml:space="preserve">Report, </w:t>
      </w:r>
      <w:r>
        <w:rPr>
          <w:color w:val="231F20"/>
          <w:sz w:val="13"/>
        </w:rPr>
        <w:t>November 2020) 110.</w:t>
      </w:r>
    </w:p>
    <w:p w14:paraId="6475C287" w14:textId="77777777" w:rsidR="00894070" w:rsidRDefault="009B7AFD">
      <w:pPr>
        <w:pStyle w:val="ListParagraph"/>
        <w:numPr>
          <w:ilvl w:val="0"/>
          <w:numId w:val="124"/>
        </w:numPr>
        <w:tabs>
          <w:tab w:val="left" w:pos="1800"/>
          <w:tab w:val="left" w:pos="1802"/>
        </w:tabs>
        <w:spacing w:line="153" w:lineRule="exact"/>
        <w:rPr>
          <w:sz w:val="13"/>
        </w:rPr>
      </w:pPr>
      <w:r>
        <w:rPr>
          <w:color w:val="231F20"/>
          <w:sz w:val="13"/>
        </w:rPr>
        <w:t xml:space="preserve">Email from Victim </w:t>
      </w:r>
      <w:r>
        <w:rPr>
          <w:color w:val="231F20"/>
          <w:spacing w:val="2"/>
          <w:sz w:val="13"/>
        </w:rPr>
        <w:t xml:space="preserve">Services, Support </w:t>
      </w:r>
      <w:r>
        <w:rPr>
          <w:color w:val="231F20"/>
          <w:sz w:val="13"/>
        </w:rPr>
        <w:t xml:space="preserve">and Reform, </w:t>
      </w:r>
      <w:r>
        <w:rPr>
          <w:color w:val="231F20"/>
          <w:spacing w:val="2"/>
          <w:sz w:val="13"/>
        </w:rPr>
        <w:t xml:space="preserve">Department </w:t>
      </w:r>
      <w:r>
        <w:rPr>
          <w:color w:val="231F20"/>
          <w:sz w:val="13"/>
        </w:rPr>
        <w:t xml:space="preserve">of </w:t>
      </w:r>
      <w:proofErr w:type="gramStart"/>
      <w:r>
        <w:rPr>
          <w:color w:val="231F20"/>
          <w:sz w:val="13"/>
        </w:rPr>
        <w:t>Justice</w:t>
      </w:r>
      <w:proofErr w:type="gramEnd"/>
      <w:r>
        <w:rPr>
          <w:color w:val="231F20"/>
          <w:sz w:val="13"/>
        </w:rPr>
        <w:t xml:space="preserve"> and Community Safety (Vic) to Victorian Law</w:t>
      </w:r>
      <w:r>
        <w:rPr>
          <w:color w:val="231F20"/>
          <w:spacing w:val="28"/>
          <w:sz w:val="13"/>
        </w:rPr>
        <w:t xml:space="preserve"> </w:t>
      </w:r>
      <w:r>
        <w:rPr>
          <w:color w:val="231F20"/>
          <w:sz w:val="13"/>
        </w:rPr>
        <w:t>Reform</w:t>
      </w:r>
    </w:p>
    <w:p w14:paraId="14B493FB" w14:textId="77777777" w:rsidR="00894070" w:rsidRDefault="009B7AFD">
      <w:pPr>
        <w:spacing w:line="160" w:lineRule="exact"/>
        <w:ind w:left="1801"/>
        <w:rPr>
          <w:sz w:val="13"/>
        </w:rPr>
      </w:pPr>
      <w:r>
        <w:rPr>
          <w:color w:val="231F20"/>
          <w:sz w:val="13"/>
        </w:rPr>
        <w:t>Commission, 6 May 2022.</w:t>
      </w:r>
    </w:p>
    <w:p w14:paraId="6E9DBCFA" w14:textId="77777777" w:rsidR="00894070" w:rsidRDefault="009F6793">
      <w:pPr>
        <w:pStyle w:val="ListParagraph"/>
        <w:numPr>
          <w:ilvl w:val="0"/>
          <w:numId w:val="124"/>
        </w:numPr>
        <w:tabs>
          <w:tab w:val="left" w:pos="1800"/>
          <w:tab w:val="left" w:pos="1802"/>
        </w:tabs>
        <w:spacing w:line="160" w:lineRule="exact"/>
        <w:rPr>
          <w:sz w:val="13"/>
        </w:rPr>
      </w:pPr>
      <w:r>
        <w:pict w14:anchorId="1F65A2B9">
          <v:shape id="_x0000_s1428" type="#_x0000_t202" style="position:absolute;left:0;text-align:left;margin-left:548.75pt;margin-top:3.7pt;width:13.9pt;height:14.1pt;z-index:251665408;mso-position-horizontal-relative:page" filled="f" stroked="f">
            <v:textbox inset="0,0,0,0">
              <w:txbxContent>
                <w:p w14:paraId="79D711D7" w14:textId="77777777" w:rsidR="00894070" w:rsidRDefault="009B7AFD">
                  <w:pPr>
                    <w:spacing w:line="282" w:lineRule="exact"/>
                    <w:rPr>
                      <w:b/>
                      <w:sz w:val="24"/>
                    </w:rPr>
                  </w:pPr>
                  <w:r>
                    <w:rPr>
                      <w:b/>
                      <w:color w:val="EA5B50"/>
                      <w:sz w:val="24"/>
                    </w:rPr>
                    <w:t>77</w:t>
                  </w:r>
                </w:p>
              </w:txbxContent>
            </v:textbox>
            <w10:wrap anchorx="page"/>
          </v:shape>
        </w:pict>
      </w:r>
      <w:r w:rsidR="009B7AFD">
        <w:rPr>
          <w:color w:val="231F20"/>
          <w:sz w:val="13"/>
        </w:rPr>
        <w:t>Ibid.</w:t>
      </w:r>
    </w:p>
    <w:p w14:paraId="3467B6E3" w14:textId="77777777" w:rsidR="00894070" w:rsidRDefault="009B7AFD">
      <w:pPr>
        <w:pStyle w:val="ListParagraph"/>
        <w:numPr>
          <w:ilvl w:val="0"/>
          <w:numId w:val="124"/>
        </w:numPr>
        <w:tabs>
          <w:tab w:val="left" w:pos="1800"/>
          <w:tab w:val="left" w:pos="1802"/>
        </w:tabs>
        <w:spacing w:line="170" w:lineRule="exact"/>
        <w:rPr>
          <w:sz w:val="13"/>
        </w:rPr>
      </w:pPr>
      <w:r>
        <w:rPr>
          <w:color w:val="231F20"/>
          <w:sz w:val="13"/>
        </w:rPr>
        <w:t>Ibid.</w:t>
      </w:r>
    </w:p>
    <w:p w14:paraId="09DFE3E2" w14:textId="77777777" w:rsidR="00894070" w:rsidRDefault="00894070">
      <w:pPr>
        <w:spacing w:line="170" w:lineRule="exact"/>
        <w:rPr>
          <w:sz w:val="13"/>
        </w:rPr>
        <w:sectPr w:rsidR="00894070">
          <w:headerReference w:type="even" r:id="rId139"/>
          <w:headerReference w:type="default" r:id="rId140"/>
          <w:pgSz w:w="11910" w:h="16840"/>
          <w:pgMar w:top="840" w:right="420" w:bottom="280" w:left="580" w:header="0" w:footer="0" w:gutter="0"/>
          <w:cols w:space="720"/>
        </w:sectPr>
      </w:pPr>
    </w:p>
    <w:p w14:paraId="6D35F82A" w14:textId="77777777" w:rsidR="00894070" w:rsidRDefault="00894070">
      <w:pPr>
        <w:pStyle w:val="BodyText"/>
      </w:pPr>
    </w:p>
    <w:p w14:paraId="4A7E63C2" w14:textId="77777777" w:rsidR="00894070" w:rsidRDefault="00894070">
      <w:pPr>
        <w:pStyle w:val="BodyText"/>
      </w:pPr>
    </w:p>
    <w:p w14:paraId="6DC5F718" w14:textId="77777777" w:rsidR="00894070" w:rsidRDefault="00894070">
      <w:pPr>
        <w:pStyle w:val="BodyText"/>
      </w:pPr>
    </w:p>
    <w:p w14:paraId="5EA549F4" w14:textId="77777777" w:rsidR="00894070" w:rsidRDefault="00894070">
      <w:pPr>
        <w:pStyle w:val="BodyText"/>
        <w:spacing w:before="11"/>
        <w:rPr>
          <w:sz w:val="18"/>
        </w:rPr>
      </w:pPr>
    </w:p>
    <w:p w14:paraId="061307C3" w14:textId="77777777" w:rsidR="00894070" w:rsidRDefault="009B7AFD">
      <w:pPr>
        <w:pStyle w:val="ListParagraph"/>
        <w:numPr>
          <w:ilvl w:val="1"/>
          <w:numId w:val="126"/>
        </w:numPr>
        <w:tabs>
          <w:tab w:val="left" w:pos="1801"/>
          <w:tab w:val="left" w:pos="1802"/>
        </w:tabs>
        <w:spacing w:line="206" w:lineRule="auto"/>
        <w:ind w:right="1386"/>
        <w:rPr>
          <w:sz w:val="11"/>
        </w:rPr>
      </w:pPr>
      <w:bookmarkStart w:id="93" w:name="People_who_experience_stalking_need_spec"/>
      <w:bookmarkStart w:id="94" w:name="_bookmark49"/>
      <w:bookmarkEnd w:id="93"/>
      <w:bookmarkEnd w:id="94"/>
      <w:r>
        <w:rPr>
          <w:color w:val="231F20"/>
          <w:sz w:val="20"/>
        </w:rPr>
        <w:t xml:space="preserve">The length of the service </w:t>
      </w:r>
      <w:r>
        <w:rPr>
          <w:color w:val="231F20"/>
          <w:spacing w:val="-3"/>
          <w:sz w:val="20"/>
        </w:rPr>
        <w:t xml:space="preserve">provided by </w:t>
      </w:r>
      <w:r>
        <w:rPr>
          <w:color w:val="231F20"/>
          <w:spacing w:val="-6"/>
          <w:sz w:val="20"/>
        </w:rPr>
        <w:t xml:space="preserve">VAP </w:t>
      </w:r>
      <w:r>
        <w:rPr>
          <w:color w:val="231F20"/>
          <w:sz w:val="20"/>
        </w:rPr>
        <w:t xml:space="preserve">is </w:t>
      </w:r>
      <w:r>
        <w:rPr>
          <w:color w:val="231F20"/>
          <w:spacing w:val="-3"/>
          <w:sz w:val="20"/>
        </w:rPr>
        <w:t xml:space="preserve">flexible </w:t>
      </w:r>
      <w:r>
        <w:rPr>
          <w:color w:val="231F20"/>
          <w:sz w:val="20"/>
        </w:rPr>
        <w:t xml:space="preserve">and based on the individual support needs of the victim. </w:t>
      </w:r>
      <w:r>
        <w:rPr>
          <w:color w:val="231F20"/>
          <w:spacing w:val="-6"/>
          <w:sz w:val="20"/>
        </w:rPr>
        <w:t xml:space="preserve">VAP </w:t>
      </w:r>
      <w:r>
        <w:rPr>
          <w:color w:val="231F20"/>
          <w:sz w:val="20"/>
        </w:rPr>
        <w:t>also facilitates referrals to other specialist support services</w:t>
      </w:r>
      <w:r>
        <w:rPr>
          <w:color w:val="231F20"/>
          <w:spacing w:val="-8"/>
          <w:sz w:val="20"/>
        </w:rPr>
        <w:t xml:space="preserve"> </w:t>
      </w:r>
      <w:r>
        <w:rPr>
          <w:color w:val="231F20"/>
          <w:sz w:val="20"/>
        </w:rPr>
        <w:t>when</w:t>
      </w:r>
      <w:r>
        <w:rPr>
          <w:color w:val="231F20"/>
          <w:spacing w:val="-7"/>
          <w:sz w:val="20"/>
        </w:rPr>
        <w:t xml:space="preserve"> </w:t>
      </w:r>
      <w:r>
        <w:rPr>
          <w:color w:val="231F20"/>
          <w:sz w:val="20"/>
        </w:rPr>
        <w:t>clients</w:t>
      </w:r>
      <w:r>
        <w:rPr>
          <w:color w:val="231F20"/>
          <w:spacing w:val="-7"/>
          <w:sz w:val="20"/>
        </w:rPr>
        <w:t xml:space="preserve"> </w:t>
      </w:r>
      <w:r>
        <w:rPr>
          <w:color w:val="231F20"/>
          <w:spacing w:val="-3"/>
          <w:sz w:val="20"/>
        </w:rPr>
        <w:t>exit</w:t>
      </w:r>
      <w:r>
        <w:rPr>
          <w:color w:val="231F20"/>
          <w:spacing w:val="-8"/>
          <w:sz w:val="20"/>
        </w:rPr>
        <w:t xml:space="preserve"> </w:t>
      </w:r>
      <w:r>
        <w:rPr>
          <w:color w:val="231F20"/>
          <w:sz w:val="20"/>
        </w:rPr>
        <w:t>a</w:t>
      </w:r>
      <w:r>
        <w:rPr>
          <w:color w:val="231F20"/>
          <w:spacing w:val="-7"/>
          <w:sz w:val="20"/>
        </w:rPr>
        <w:t xml:space="preserve"> </w:t>
      </w:r>
      <w:r>
        <w:rPr>
          <w:color w:val="231F20"/>
          <w:spacing w:val="-6"/>
          <w:sz w:val="20"/>
        </w:rPr>
        <w:t>VAP</w:t>
      </w:r>
      <w:r>
        <w:rPr>
          <w:color w:val="231F20"/>
          <w:spacing w:val="-7"/>
          <w:sz w:val="20"/>
        </w:rPr>
        <w:t xml:space="preserve"> </w:t>
      </w:r>
      <w:r>
        <w:rPr>
          <w:color w:val="231F20"/>
          <w:sz w:val="20"/>
        </w:rPr>
        <w:t>service</w:t>
      </w:r>
      <w:r>
        <w:rPr>
          <w:color w:val="231F20"/>
          <w:spacing w:val="-8"/>
          <w:sz w:val="20"/>
        </w:rPr>
        <w:t xml:space="preserve"> </w:t>
      </w:r>
      <w:r>
        <w:rPr>
          <w:color w:val="231F20"/>
          <w:sz w:val="20"/>
        </w:rPr>
        <w:t>to</w:t>
      </w:r>
      <w:r>
        <w:rPr>
          <w:color w:val="231F20"/>
          <w:spacing w:val="-7"/>
          <w:sz w:val="20"/>
        </w:rPr>
        <w:t xml:space="preserve"> </w:t>
      </w:r>
      <w:r>
        <w:rPr>
          <w:color w:val="231F20"/>
          <w:sz w:val="20"/>
        </w:rPr>
        <w:t>ensure</w:t>
      </w:r>
      <w:r>
        <w:rPr>
          <w:color w:val="231F20"/>
          <w:spacing w:val="-7"/>
          <w:sz w:val="20"/>
        </w:rPr>
        <w:t xml:space="preserve"> </w:t>
      </w:r>
      <w:r>
        <w:rPr>
          <w:color w:val="231F20"/>
          <w:sz w:val="20"/>
        </w:rPr>
        <w:t>their</w:t>
      </w:r>
      <w:r>
        <w:rPr>
          <w:color w:val="231F20"/>
          <w:spacing w:val="-7"/>
          <w:sz w:val="20"/>
        </w:rPr>
        <w:t xml:space="preserve"> </w:t>
      </w:r>
      <w:r>
        <w:rPr>
          <w:color w:val="231F20"/>
          <w:spacing w:val="-3"/>
          <w:sz w:val="20"/>
        </w:rPr>
        <w:t>long-term</w:t>
      </w:r>
      <w:r>
        <w:rPr>
          <w:color w:val="231F20"/>
          <w:spacing w:val="-8"/>
          <w:sz w:val="20"/>
        </w:rPr>
        <w:t xml:space="preserve"> </w:t>
      </w:r>
      <w:r>
        <w:rPr>
          <w:color w:val="231F20"/>
          <w:sz w:val="20"/>
        </w:rPr>
        <w:t>support</w:t>
      </w:r>
      <w:r>
        <w:rPr>
          <w:color w:val="231F20"/>
          <w:spacing w:val="-7"/>
          <w:sz w:val="20"/>
        </w:rPr>
        <w:t xml:space="preserve"> </w:t>
      </w:r>
      <w:r>
        <w:rPr>
          <w:color w:val="231F20"/>
          <w:sz w:val="20"/>
        </w:rPr>
        <w:t>and</w:t>
      </w:r>
      <w:r>
        <w:rPr>
          <w:color w:val="231F20"/>
          <w:spacing w:val="-7"/>
          <w:sz w:val="20"/>
        </w:rPr>
        <w:t xml:space="preserve"> </w:t>
      </w:r>
      <w:r>
        <w:rPr>
          <w:color w:val="231F20"/>
          <w:sz w:val="20"/>
        </w:rPr>
        <w:t xml:space="preserve">safety needs </w:t>
      </w:r>
      <w:r>
        <w:rPr>
          <w:color w:val="231F20"/>
          <w:spacing w:val="-3"/>
          <w:sz w:val="20"/>
        </w:rPr>
        <w:t xml:space="preserve">are </w:t>
      </w:r>
      <w:r>
        <w:rPr>
          <w:color w:val="231F20"/>
          <w:sz w:val="20"/>
        </w:rPr>
        <w:t>being</w:t>
      </w:r>
      <w:r>
        <w:rPr>
          <w:color w:val="231F20"/>
          <w:spacing w:val="-10"/>
          <w:sz w:val="20"/>
        </w:rPr>
        <w:t xml:space="preserve"> </w:t>
      </w:r>
      <w:r>
        <w:rPr>
          <w:color w:val="231F20"/>
          <w:sz w:val="20"/>
        </w:rPr>
        <w:t>met.</w:t>
      </w:r>
      <w:r>
        <w:rPr>
          <w:color w:val="231F20"/>
          <w:position w:val="7"/>
          <w:sz w:val="11"/>
        </w:rPr>
        <w:t>9</w:t>
      </w:r>
    </w:p>
    <w:p w14:paraId="231D6975" w14:textId="77777777" w:rsidR="00894070" w:rsidRDefault="009B7AFD">
      <w:pPr>
        <w:pStyle w:val="ListParagraph"/>
        <w:numPr>
          <w:ilvl w:val="1"/>
          <w:numId w:val="126"/>
        </w:numPr>
        <w:tabs>
          <w:tab w:val="left" w:pos="1801"/>
          <w:tab w:val="left" w:pos="1802"/>
        </w:tabs>
        <w:spacing w:before="125" w:line="206" w:lineRule="auto"/>
        <w:ind w:right="1304"/>
        <w:rPr>
          <w:sz w:val="20"/>
        </w:rPr>
      </w:pPr>
      <w:r>
        <w:rPr>
          <w:color w:val="231F20"/>
          <w:spacing w:val="-6"/>
          <w:sz w:val="20"/>
        </w:rPr>
        <w:t>We</w:t>
      </w:r>
      <w:r>
        <w:rPr>
          <w:color w:val="231F20"/>
          <w:spacing w:val="-10"/>
          <w:sz w:val="20"/>
        </w:rPr>
        <w:t xml:space="preserve"> </w:t>
      </w:r>
      <w:r>
        <w:rPr>
          <w:color w:val="231F20"/>
          <w:spacing w:val="-3"/>
          <w:sz w:val="20"/>
        </w:rPr>
        <w:t>received</w:t>
      </w:r>
      <w:r>
        <w:rPr>
          <w:color w:val="231F20"/>
          <w:spacing w:val="-9"/>
          <w:sz w:val="20"/>
        </w:rPr>
        <w:t xml:space="preserve"> </w:t>
      </w:r>
      <w:r>
        <w:rPr>
          <w:color w:val="231F20"/>
          <w:sz w:val="20"/>
        </w:rPr>
        <w:t>mixed</w:t>
      </w:r>
      <w:r>
        <w:rPr>
          <w:color w:val="231F20"/>
          <w:spacing w:val="-10"/>
          <w:sz w:val="20"/>
        </w:rPr>
        <w:t xml:space="preserve"> </w:t>
      </w:r>
      <w:r>
        <w:rPr>
          <w:color w:val="231F20"/>
          <w:sz w:val="20"/>
        </w:rPr>
        <w:t>feedback</w:t>
      </w:r>
      <w:r>
        <w:rPr>
          <w:color w:val="231F20"/>
          <w:spacing w:val="-9"/>
          <w:sz w:val="20"/>
        </w:rPr>
        <w:t xml:space="preserve"> </w:t>
      </w:r>
      <w:r>
        <w:rPr>
          <w:color w:val="231F20"/>
          <w:sz w:val="20"/>
        </w:rPr>
        <w:t>about</w:t>
      </w:r>
      <w:r>
        <w:rPr>
          <w:color w:val="231F20"/>
          <w:spacing w:val="-10"/>
          <w:sz w:val="20"/>
        </w:rPr>
        <w:t xml:space="preserve"> </w:t>
      </w:r>
      <w:r>
        <w:rPr>
          <w:color w:val="231F20"/>
          <w:sz w:val="20"/>
        </w:rPr>
        <w:t>the</w:t>
      </w:r>
      <w:r>
        <w:rPr>
          <w:color w:val="231F20"/>
          <w:spacing w:val="-9"/>
          <w:sz w:val="20"/>
        </w:rPr>
        <w:t xml:space="preserve"> </w:t>
      </w:r>
      <w:r>
        <w:rPr>
          <w:color w:val="231F20"/>
          <w:sz w:val="20"/>
        </w:rPr>
        <w:t>response</w:t>
      </w:r>
      <w:r>
        <w:rPr>
          <w:color w:val="231F20"/>
          <w:spacing w:val="-10"/>
          <w:sz w:val="20"/>
        </w:rPr>
        <w:t xml:space="preserve"> </w:t>
      </w:r>
      <w:r>
        <w:rPr>
          <w:color w:val="231F20"/>
          <w:sz w:val="20"/>
        </w:rPr>
        <w:t>of</w:t>
      </w:r>
      <w:r>
        <w:rPr>
          <w:color w:val="231F20"/>
          <w:spacing w:val="-9"/>
          <w:sz w:val="20"/>
        </w:rPr>
        <w:t xml:space="preserve"> </w:t>
      </w:r>
      <w:r>
        <w:rPr>
          <w:color w:val="231F20"/>
          <w:sz w:val="20"/>
        </w:rPr>
        <w:t>the</w:t>
      </w:r>
      <w:r>
        <w:rPr>
          <w:color w:val="231F20"/>
          <w:spacing w:val="-10"/>
          <w:sz w:val="20"/>
        </w:rPr>
        <w:t xml:space="preserve"> </w:t>
      </w:r>
      <w:r>
        <w:rPr>
          <w:color w:val="231F20"/>
          <w:sz w:val="20"/>
        </w:rPr>
        <w:t>Victims</w:t>
      </w:r>
      <w:r>
        <w:rPr>
          <w:color w:val="231F20"/>
          <w:spacing w:val="-9"/>
          <w:sz w:val="20"/>
        </w:rPr>
        <w:t xml:space="preserve"> </w:t>
      </w:r>
      <w:r>
        <w:rPr>
          <w:color w:val="231F20"/>
          <w:sz w:val="20"/>
        </w:rPr>
        <w:t>of</w:t>
      </w:r>
      <w:r>
        <w:rPr>
          <w:color w:val="231F20"/>
          <w:spacing w:val="-10"/>
          <w:sz w:val="20"/>
        </w:rPr>
        <w:t xml:space="preserve"> </w:t>
      </w:r>
      <w:r>
        <w:rPr>
          <w:color w:val="231F20"/>
          <w:sz w:val="20"/>
        </w:rPr>
        <w:t>Crime</w:t>
      </w:r>
      <w:r>
        <w:rPr>
          <w:color w:val="231F20"/>
          <w:spacing w:val="-9"/>
          <w:sz w:val="20"/>
        </w:rPr>
        <w:t xml:space="preserve"> </w:t>
      </w:r>
      <w:r>
        <w:rPr>
          <w:color w:val="231F20"/>
          <w:sz w:val="20"/>
        </w:rPr>
        <w:t>helpline</w:t>
      </w:r>
      <w:r>
        <w:rPr>
          <w:color w:val="231F20"/>
          <w:spacing w:val="-10"/>
          <w:sz w:val="20"/>
        </w:rPr>
        <w:t xml:space="preserve"> </w:t>
      </w:r>
      <w:r>
        <w:rPr>
          <w:color w:val="231F20"/>
          <w:sz w:val="20"/>
        </w:rPr>
        <w:t xml:space="preserve">and </w:t>
      </w:r>
      <w:r>
        <w:rPr>
          <w:color w:val="231F20"/>
          <w:spacing w:val="-9"/>
          <w:sz w:val="20"/>
        </w:rPr>
        <w:t xml:space="preserve">VAP. </w:t>
      </w:r>
      <w:r>
        <w:rPr>
          <w:color w:val="231F20"/>
          <w:spacing w:val="-3"/>
          <w:sz w:val="20"/>
        </w:rPr>
        <w:t xml:space="preserve">For example, </w:t>
      </w:r>
      <w:r>
        <w:rPr>
          <w:color w:val="231F20"/>
          <w:sz w:val="20"/>
        </w:rPr>
        <w:t xml:space="preserve">one victim survivor reported a </w:t>
      </w:r>
      <w:r>
        <w:rPr>
          <w:color w:val="231F20"/>
          <w:spacing w:val="-3"/>
          <w:sz w:val="20"/>
        </w:rPr>
        <w:t>positive</w:t>
      </w:r>
      <w:r>
        <w:rPr>
          <w:color w:val="231F20"/>
          <w:spacing w:val="-30"/>
          <w:sz w:val="20"/>
        </w:rPr>
        <w:t xml:space="preserve"> </w:t>
      </w:r>
      <w:r>
        <w:rPr>
          <w:color w:val="231F20"/>
          <w:sz w:val="20"/>
        </w:rPr>
        <w:t>experience:</w:t>
      </w:r>
    </w:p>
    <w:p w14:paraId="3A636806" w14:textId="77777777" w:rsidR="00894070" w:rsidRDefault="009F6793">
      <w:pPr>
        <w:pStyle w:val="BodyText"/>
        <w:spacing w:before="6"/>
        <w:rPr>
          <w:sz w:val="23"/>
        </w:rPr>
      </w:pPr>
      <w:r>
        <w:pict w14:anchorId="192068C7">
          <v:shape id="_x0000_s1427" type="#_x0000_t202" style="position:absolute;margin-left:119.3pt;margin-top:18.5pt;width:396.35pt;height:68.1pt;z-index:251592704;mso-wrap-distance-left:0;mso-wrap-distance-right:0;mso-position-horizontal-relative:page" fillcolor="#fee7de" strokecolor="#ea5b50" strokeweight=".5pt">
            <v:textbox inset="0,0,0,0">
              <w:txbxContent>
                <w:p w14:paraId="51A6D4CA" w14:textId="77777777" w:rsidR="00894070" w:rsidRDefault="00894070">
                  <w:pPr>
                    <w:pStyle w:val="BodyText"/>
                    <w:spacing w:before="3"/>
                    <w:rPr>
                      <w:sz w:val="15"/>
                    </w:rPr>
                  </w:pPr>
                </w:p>
                <w:p w14:paraId="083E2ED7" w14:textId="77777777" w:rsidR="00894070" w:rsidRDefault="009B7AFD">
                  <w:pPr>
                    <w:pStyle w:val="BodyText"/>
                    <w:spacing w:line="206" w:lineRule="auto"/>
                    <w:ind w:left="221" w:right="446"/>
                    <w:rPr>
                      <w:sz w:val="11"/>
                    </w:rPr>
                  </w:pPr>
                  <w:r>
                    <w:rPr>
                      <w:color w:val="231F20"/>
                    </w:rPr>
                    <w:t>Do ring Victims of Crime. This was the only organisation I found did something practical and who really knew what stalking is about. They arranged a psychologist for me for the trauma and a real lawyer to review my case … They were supportive and practical.</w:t>
                  </w:r>
                  <w:r>
                    <w:rPr>
                      <w:color w:val="231F20"/>
                      <w:position w:val="7"/>
                      <w:sz w:val="11"/>
                    </w:rPr>
                    <w:t>10</w:t>
                  </w:r>
                </w:p>
              </w:txbxContent>
            </v:textbox>
            <w10:wrap type="topAndBottom" anchorx="page"/>
          </v:shape>
        </w:pict>
      </w:r>
    </w:p>
    <w:p w14:paraId="129A82B4" w14:textId="77777777" w:rsidR="00894070" w:rsidRDefault="00894070">
      <w:pPr>
        <w:pStyle w:val="BodyText"/>
        <w:spacing w:before="6"/>
        <w:rPr>
          <w:sz w:val="19"/>
        </w:rPr>
      </w:pPr>
    </w:p>
    <w:p w14:paraId="4C94E2AC" w14:textId="77777777" w:rsidR="00894070" w:rsidRDefault="009B7AFD">
      <w:pPr>
        <w:pStyle w:val="ListParagraph"/>
        <w:numPr>
          <w:ilvl w:val="1"/>
          <w:numId w:val="126"/>
        </w:numPr>
        <w:tabs>
          <w:tab w:val="left" w:pos="1801"/>
          <w:tab w:val="left" w:pos="1802"/>
        </w:tabs>
        <w:spacing w:before="89" w:line="206" w:lineRule="auto"/>
        <w:ind w:right="1211"/>
        <w:rPr>
          <w:sz w:val="20"/>
        </w:rPr>
      </w:pPr>
      <w:r>
        <w:rPr>
          <w:color w:val="231F20"/>
          <w:spacing w:val="-5"/>
          <w:sz w:val="20"/>
        </w:rPr>
        <w:t>However,</w:t>
      </w:r>
      <w:r>
        <w:rPr>
          <w:color w:val="231F20"/>
          <w:spacing w:val="-8"/>
          <w:sz w:val="20"/>
        </w:rPr>
        <w:t xml:space="preserve"> </w:t>
      </w:r>
      <w:r>
        <w:rPr>
          <w:color w:val="231F20"/>
          <w:sz w:val="20"/>
        </w:rPr>
        <w:t>a</w:t>
      </w:r>
      <w:r>
        <w:rPr>
          <w:color w:val="231F20"/>
          <w:spacing w:val="-8"/>
          <w:sz w:val="20"/>
        </w:rPr>
        <w:t xml:space="preserve"> </w:t>
      </w:r>
      <w:r>
        <w:rPr>
          <w:color w:val="231F20"/>
          <w:sz w:val="20"/>
        </w:rPr>
        <w:t>person</w:t>
      </w:r>
      <w:r>
        <w:rPr>
          <w:color w:val="231F20"/>
          <w:spacing w:val="-8"/>
          <w:sz w:val="20"/>
        </w:rPr>
        <w:t xml:space="preserve"> </w:t>
      </w:r>
      <w:r>
        <w:rPr>
          <w:color w:val="231F20"/>
          <w:sz w:val="20"/>
        </w:rPr>
        <w:t>with</w:t>
      </w:r>
      <w:r>
        <w:rPr>
          <w:color w:val="231F20"/>
          <w:spacing w:val="-8"/>
          <w:sz w:val="20"/>
        </w:rPr>
        <w:t xml:space="preserve"> </w:t>
      </w:r>
      <w:r>
        <w:rPr>
          <w:color w:val="231F20"/>
          <w:sz w:val="20"/>
        </w:rPr>
        <w:t>a</w:t>
      </w:r>
      <w:r>
        <w:rPr>
          <w:color w:val="231F20"/>
          <w:spacing w:val="-7"/>
          <w:sz w:val="20"/>
        </w:rPr>
        <w:t xml:space="preserve"> </w:t>
      </w:r>
      <w:r>
        <w:rPr>
          <w:color w:val="231F20"/>
          <w:spacing w:val="-3"/>
          <w:sz w:val="20"/>
        </w:rPr>
        <w:t>disability,</w:t>
      </w:r>
      <w:r>
        <w:rPr>
          <w:color w:val="231F20"/>
          <w:spacing w:val="-8"/>
          <w:sz w:val="20"/>
        </w:rPr>
        <w:t xml:space="preserve"> </w:t>
      </w:r>
      <w:r>
        <w:rPr>
          <w:color w:val="231F20"/>
          <w:sz w:val="20"/>
        </w:rPr>
        <w:t>reflecting</w:t>
      </w:r>
      <w:r>
        <w:rPr>
          <w:color w:val="231F20"/>
          <w:spacing w:val="-8"/>
          <w:sz w:val="20"/>
        </w:rPr>
        <w:t xml:space="preserve"> </w:t>
      </w:r>
      <w:r>
        <w:rPr>
          <w:color w:val="231F20"/>
          <w:sz w:val="20"/>
        </w:rPr>
        <w:t>on</w:t>
      </w:r>
      <w:r>
        <w:rPr>
          <w:color w:val="231F20"/>
          <w:spacing w:val="-8"/>
          <w:sz w:val="20"/>
        </w:rPr>
        <w:t xml:space="preserve"> </w:t>
      </w:r>
      <w:r>
        <w:rPr>
          <w:color w:val="231F20"/>
          <w:sz w:val="20"/>
        </w:rPr>
        <w:t>her</w:t>
      </w:r>
      <w:r>
        <w:rPr>
          <w:color w:val="231F20"/>
          <w:spacing w:val="-7"/>
          <w:sz w:val="20"/>
        </w:rPr>
        <w:t xml:space="preserve"> </w:t>
      </w:r>
      <w:r>
        <w:rPr>
          <w:color w:val="231F20"/>
          <w:sz w:val="20"/>
        </w:rPr>
        <w:t>experience</w:t>
      </w:r>
      <w:r>
        <w:rPr>
          <w:color w:val="231F20"/>
          <w:spacing w:val="-8"/>
          <w:sz w:val="20"/>
        </w:rPr>
        <w:t xml:space="preserve"> </w:t>
      </w:r>
      <w:r>
        <w:rPr>
          <w:color w:val="231F20"/>
          <w:sz w:val="20"/>
        </w:rPr>
        <w:t>in</w:t>
      </w:r>
      <w:r>
        <w:rPr>
          <w:color w:val="231F20"/>
          <w:spacing w:val="-8"/>
          <w:sz w:val="20"/>
        </w:rPr>
        <w:t xml:space="preserve"> </w:t>
      </w:r>
      <w:r>
        <w:rPr>
          <w:color w:val="231F20"/>
          <w:sz w:val="20"/>
        </w:rPr>
        <w:t>2021,</w:t>
      </w:r>
      <w:r>
        <w:rPr>
          <w:color w:val="231F20"/>
          <w:spacing w:val="-8"/>
          <w:sz w:val="20"/>
        </w:rPr>
        <w:t xml:space="preserve"> </w:t>
      </w:r>
      <w:r>
        <w:rPr>
          <w:color w:val="231F20"/>
          <w:spacing w:val="-3"/>
          <w:sz w:val="20"/>
        </w:rPr>
        <w:t>told</w:t>
      </w:r>
      <w:r>
        <w:rPr>
          <w:color w:val="231F20"/>
          <w:spacing w:val="-8"/>
          <w:sz w:val="20"/>
        </w:rPr>
        <w:t xml:space="preserve"> </w:t>
      </w:r>
      <w:r>
        <w:rPr>
          <w:color w:val="231F20"/>
          <w:sz w:val="20"/>
        </w:rPr>
        <w:t>us</w:t>
      </w:r>
      <w:r>
        <w:rPr>
          <w:color w:val="231F20"/>
          <w:spacing w:val="-7"/>
          <w:sz w:val="20"/>
        </w:rPr>
        <w:t xml:space="preserve"> </w:t>
      </w:r>
      <w:r>
        <w:rPr>
          <w:color w:val="231F20"/>
          <w:sz w:val="20"/>
        </w:rPr>
        <w:t>about</w:t>
      </w:r>
      <w:r>
        <w:rPr>
          <w:color w:val="231F20"/>
          <w:spacing w:val="-8"/>
          <w:sz w:val="20"/>
        </w:rPr>
        <w:t xml:space="preserve"> </w:t>
      </w:r>
      <w:r>
        <w:rPr>
          <w:color w:val="231F20"/>
          <w:sz w:val="20"/>
        </w:rPr>
        <w:t>a poor</w:t>
      </w:r>
      <w:r>
        <w:rPr>
          <w:color w:val="231F20"/>
          <w:spacing w:val="-6"/>
          <w:sz w:val="20"/>
        </w:rPr>
        <w:t xml:space="preserve"> </w:t>
      </w:r>
      <w:r>
        <w:rPr>
          <w:color w:val="231F20"/>
          <w:sz w:val="20"/>
        </w:rPr>
        <w:t>experience:</w:t>
      </w:r>
    </w:p>
    <w:p w14:paraId="06C8AB91" w14:textId="77777777" w:rsidR="00894070" w:rsidRDefault="009F6793">
      <w:pPr>
        <w:pStyle w:val="BodyText"/>
        <w:spacing w:before="6"/>
        <w:rPr>
          <w:sz w:val="23"/>
        </w:rPr>
      </w:pPr>
      <w:r>
        <w:pict w14:anchorId="0B605E68">
          <v:shape id="_x0000_s1426" type="#_x0000_t202" style="position:absolute;margin-left:119.3pt;margin-top:18.5pt;width:396.35pt;height:68.1pt;z-index:251593728;mso-wrap-distance-left:0;mso-wrap-distance-right:0;mso-position-horizontal-relative:page" fillcolor="#fee7de" strokecolor="#ea5b50" strokeweight=".5pt">
            <v:textbox inset="0,0,0,0">
              <w:txbxContent>
                <w:p w14:paraId="57C866AE" w14:textId="77777777" w:rsidR="00894070" w:rsidRDefault="00894070">
                  <w:pPr>
                    <w:pStyle w:val="BodyText"/>
                    <w:spacing w:before="3"/>
                    <w:rPr>
                      <w:sz w:val="15"/>
                    </w:rPr>
                  </w:pPr>
                </w:p>
                <w:p w14:paraId="3E180325" w14:textId="77777777" w:rsidR="00894070" w:rsidRDefault="009B7AFD">
                  <w:pPr>
                    <w:pStyle w:val="BodyText"/>
                    <w:spacing w:line="206" w:lineRule="auto"/>
                    <w:ind w:left="221"/>
                    <w:rPr>
                      <w:sz w:val="11"/>
                    </w:rPr>
                  </w:pPr>
                  <w:r>
                    <w:rPr>
                      <w:color w:val="231F20"/>
                    </w:rPr>
                    <w:t>VAP [the Victims Assistance Program] made a phone consultation with a support worker . She also emailed the 2 police officers, but no reply was received. She contacted DHHS in May 2021 and received no reply and my case file has been closed this week.</w:t>
                  </w:r>
                  <w:r>
                    <w:rPr>
                      <w:color w:val="231F20"/>
                      <w:position w:val="7"/>
                      <w:sz w:val="11"/>
                    </w:rPr>
                    <w:t>11</w:t>
                  </w:r>
                </w:p>
              </w:txbxContent>
            </v:textbox>
            <w10:wrap type="topAndBottom" anchorx="page"/>
          </v:shape>
        </w:pict>
      </w:r>
    </w:p>
    <w:p w14:paraId="5B6A8D4D" w14:textId="77777777" w:rsidR="00894070" w:rsidRDefault="00894070">
      <w:pPr>
        <w:pStyle w:val="BodyText"/>
        <w:spacing w:before="6"/>
        <w:rPr>
          <w:sz w:val="19"/>
        </w:rPr>
      </w:pPr>
    </w:p>
    <w:p w14:paraId="21BBA295" w14:textId="77777777" w:rsidR="00894070" w:rsidRDefault="009B7AFD">
      <w:pPr>
        <w:pStyle w:val="ListParagraph"/>
        <w:numPr>
          <w:ilvl w:val="1"/>
          <w:numId w:val="126"/>
        </w:numPr>
        <w:tabs>
          <w:tab w:val="left" w:pos="1801"/>
          <w:tab w:val="left" w:pos="1802"/>
        </w:tabs>
        <w:spacing w:before="89" w:line="206" w:lineRule="auto"/>
        <w:ind w:right="1178"/>
        <w:rPr>
          <w:sz w:val="20"/>
        </w:rPr>
      </w:pPr>
      <w:r>
        <w:rPr>
          <w:color w:val="231F20"/>
          <w:sz w:val="20"/>
        </w:rPr>
        <w:t xml:space="preserve">There is some specific support to engage with the justice system, </w:t>
      </w:r>
      <w:r>
        <w:rPr>
          <w:color w:val="231F20"/>
          <w:spacing w:val="-3"/>
          <w:sz w:val="20"/>
        </w:rPr>
        <w:t xml:space="preserve">for example </w:t>
      </w:r>
      <w:r>
        <w:rPr>
          <w:color w:val="231F20"/>
          <w:sz w:val="20"/>
        </w:rPr>
        <w:t>Court Network,</w:t>
      </w:r>
      <w:r>
        <w:rPr>
          <w:color w:val="231F20"/>
          <w:spacing w:val="-11"/>
          <w:sz w:val="20"/>
        </w:rPr>
        <w:t xml:space="preserve"> </w:t>
      </w:r>
      <w:r>
        <w:rPr>
          <w:color w:val="231F20"/>
          <w:sz w:val="20"/>
        </w:rPr>
        <w:t>the</w:t>
      </w:r>
      <w:r>
        <w:rPr>
          <w:color w:val="231F20"/>
          <w:spacing w:val="-11"/>
          <w:sz w:val="20"/>
        </w:rPr>
        <w:t xml:space="preserve"> </w:t>
      </w:r>
      <w:r>
        <w:rPr>
          <w:color w:val="231F20"/>
          <w:sz w:val="20"/>
        </w:rPr>
        <w:t>Child</w:t>
      </w:r>
      <w:r>
        <w:rPr>
          <w:color w:val="231F20"/>
          <w:spacing w:val="-10"/>
          <w:sz w:val="20"/>
        </w:rPr>
        <w:t xml:space="preserve"> </w:t>
      </w:r>
      <w:r>
        <w:rPr>
          <w:color w:val="231F20"/>
          <w:sz w:val="20"/>
        </w:rPr>
        <w:t>Witness</w:t>
      </w:r>
      <w:r>
        <w:rPr>
          <w:color w:val="231F20"/>
          <w:spacing w:val="-11"/>
          <w:sz w:val="20"/>
        </w:rPr>
        <w:t xml:space="preserve"> </w:t>
      </w:r>
      <w:r>
        <w:rPr>
          <w:color w:val="231F20"/>
          <w:sz w:val="20"/>
        </w:rPr>
        <w:t>Program,</w:t>
      </w:r>
      <w:r>
        <w:rPr>
          <w:color w:val="231F20"/>
          <w:spacing w:val="-10"/>
          <w:sz w:val="20"/>
        </w:rPr>
        <w:t xml:space="preserve"> </w:t>
      </w:r>
      <w:r>
        <w:rPr>
          <w:color w:val="231F20"/>
          <w:sz w:val="20"/>
        </w:rPr>
        <w:t>and</w:t>
      </w:r>
      <w:r>
        <w:rPr>
          <w:color w:val="231F20"/>
          <w:spacing w:val="-11"/>
          <w:sz w:val="20"/>
        </w:rPr>
        <w:t xml:space="preserve"> </w:t>
      </w:r>
      <w:r>
        <w:rPr>
          <w:color w:val="231F20"/>
          <w:sz w:val="20"/>
        </w:rPr>
        <w:t>(in</w:t>
      </w:r>
      <w:r>
        <w:rPr>
          <w:color w:val="231F20"/>
          <w:spacing w:val="-11"/>
          <w:sz w:val="20"/>
        </w:rPr>
        <w:t xml:space="preserve"> </w:t>
      </w:r>
      <w:r>
        <w:rPr>
          <w:color w:val="231F20"/>
          <w:sz w:val="20"/>
        </w:rPr>
        <w:t>the</w:t>
      </w:r>
      <w:r>
        <w:rPr>
          <w:color w:val="231F20"/>
          <w:spacing w:val="-10"/>
          <w:sz w:val="20"/>
        </w:rPr>
        <w:t xml:space="preserve"> </w:t>
      </w:r>
      <w:r>
        <w:rPr>
          <w:color w:val="231F20"/>
          <w:sz w:val="20"/>
        </w:rPr>
        <w:t>higher</w:t>
      </w:r>
      <w:r>
        <w:rPr>
          <w:color w:val="231F20"/>
          <w:spacing w:val="-11"/>
          <w:sz w:val="20"/>
        </w:rPr>
        <w:t xml:space="preserve"> </w:t>
      </w:r>
      <w:r>
        <w:rPr>
          <w:color w:val="231F20"/>
          <w:sz w:val="20"/>
        </w:rPr>
        <w:t>courts)</w:t>
      </w:r>
      <w:r>
        <w:rPr>
          <w:color w:val="231F20"/>
          <w:spacing w:val="-10"/>
          <w:sz w:val="20"/>
        </w:rPr>
        <w:t xml:space="preserve"> </w:t>
      </w:r>
      <w:r>
        <w:rPr>
          <w:color w:val="231F20"/>
          <w:sz w:val="20"/>
        </w:rPr>
        <w:t>the</w:t>
      </w:r>
      <w:r>
        <w:rPr>
          <w:color w:val="231F20"/>
          <w:spacing w:val="-11"/>
          <w:sz w:val="20"/>
        </w:rPr>
        <w:t xml:space="preserve"> </w:t>
      </w:r>
      <w:r>
        <w:rPr>
          <w:color w:val="231F20"/>
          <w:sz w:val="20"/>
        </w:rPr>
        <w:t>Victims</w:t>
      </w:r>
      <w:r>
        <w:rPr>
          <w:color w:val="231F20"/>
          <w:spacing w:val="-10"/>
          <w:sz w:val="20"/>
        </w:rPr>
        <w:t xml:space="preserve"> </w:t>
      </w:r>
      <w:r>
        <w:rPr>
          <w:color w:val="231F20"/>
          <w:sz w:val="20"/>
        </w:rPr>
        <w:t>and</w:t>
      </w:r>
      <w:r>
        <w:rPr>
          <w:color w:val="231F20"/>
          <w:spacing w:val="-11"/>
          <w:sz w:val="20"/>
        </w:rPr>
        <w:t xml:space="preserve"> </w:t>
      </w:r>
      <w:r>
        <w:rPr>
          <w:color w:val="231F20"/>
          <w:sz w:val="20"/>
        </w:rPr>
        <w:t>Witness Assistance Service (VWAS).</w:t>
      </w:r>
      <w:r>
        <w:rPr>
          <w:color w:val="231F20"/>
          <w:position w:val="7"/>
          <w:sz w:val="11"/>
        </w:rPr>
        <w:t xml:space="preserve">12 </w:t>
      </w:r>
      <w:r>
        <w:rPr>
          <w:color w:val="231F20"/>
          <w:sz w:val="20"/>
        </w:rPr>
        <w:t xml:space="preserve">Given 95 per cent of stalking charges </w:t>
      </w:r>
      <w:r>
        <w:rPr>
          <w:color w:val="231F20"/>
          <w:spacing w:val="-3"/>
          <w:sz w:val="20"/>
        </w:rPr>
        <w:t xml:space="preserve">are </w:t>
      </w:r>
      <w:r>
        <w:rPr>
          <w:color w:val="231F20"/>
          <w:sz w:val="20"/>
        </w:rPr>
        <w:t xml:space="preserve">sentenced in the </w:t>
      </w:r>
      <w:r>
        <w:rPr>
          <w:color w:val="231F20"/>
          <w:spacing w:val="-3"/>
          <w:sz w:val="20"/>
        </w:rPr>
        <w:t xml:space="preserve">Magistrates’ </w:t>
      </w:r>
      <w:r>
        <w:rPr>
          <w:color w:val="231F20"/>
          <w:sz w:val="20"/>
        </w:rPr>
        <w:t>Court,</w:t>
      </w:r>
      <w:r>
        <w:rPr>
          <w:color w:val="231F20"/>
          <w:position w:val="7"/>
          <w:sz w:val="11"/>
        </w:rPr>
        <w:t xml:space="preserve">13 </w:t>
      </w:r>
      <w:r>
        <w:rPr>
          <w:color w:val="231F20"/>
          <w:sz w:val="20"/>
        </w:rPr>
        <w:t xml:space="preserve">the </w:t>
      </w:r>
      <w:r>
        <w:rPr>
          <w:color w:val="231F20"/>
          <w:spacing w:val="-3"/>
          <w:sz w:val="20"/>
        </w:rPr>
        <w:t xml:space="preserve">VWAS </w:t>
      </w:r>
      <w:r>
        <w:rPr>
          <w:color w:val="231F20"/>
          <w:sz w:val="20"/>
        </w:rPr>
        <w:t xml:space="preserve">will not be available </w:t>
      </w:r>
      <w:r>
        <w:rPr>
          <w:color w:val="231F20"/>
          <w:spacing w:val="-3"/>
          <w:sz w:val="20"/>
        </w:rPr>
        <w:t xml:space="preserve">for </w:t>
      </w:r>
      <w:r>
        <w:rPr>
          <w:color w:val="231F20"/>
          <w:sz w:val="20"/>
        </w:rPr>
        <w:t>most victim survivors of stalking.</w:t>
      </w:r>
    </w:p>
    <w:p w14:paraId="3658FF47" w14:textId="77777777" w:rsidR="00894070" w:rsidRDefault="009B7AFD">
      <w:pPr>
        <w:pStyle w:val="ListParagraph"/>
        <w:numPr>
          <w:ilvl w:val="1"/>
          <w:numId w:val="126"/>
        </w:numPr>
        <w:tabs>
          <w:tab w:val="left" w:pos="1801"/>
          <w:tab w:val="left" w:pos="1802"/>
        </w:tabs>
        <w:spacing w:before="127" w:line="206" w:lineRule="auto"/>
        <w:ind w:right="1166"/>
        <w:rPr>
          <w:sz w:val="20"/>
        </w:rPr>
      </w:pPr>
      <w:r>
        <w:rPr>
          <w:color w:val="231F20"/>
          <w:sz w:val="20"/>
        </w:rPr>
        <w:t xml:space="preserve">Some organisations </w:t>
      </w:r>
      <w:r>
        <w:rPr>
          <w:color w:val="231F20"/>
          <w:spacing w:val="-3"/>
          <w:sz w:val="20"/>
        </w:rPr>
        <w:t xml:space="preserve">provide </w:t>
      </w:r>
      <w:r>
        <w:rPr>
          <w:color w:val="231F20"/>
          <w:sz w:val="20"/>
        </w:rPr>
        <w:t xml:space="preserve">services </w:t>
      </w:r>
      <w:r>
        <w:rPr>
          <w:color w:val="231F20"/>
          <w:spacing w:val="-3"/>
          <w:sz w:val="20"/>
        </w:rPr>
        <w:t xml:space="preserve">for </w:t>
      </w:r>
      <w:r>
        <w:rPr>
          <w:color w:val="231F20"/>
          <w:sz w:val="20"/>
        </w:rPr>
        <w:t xml:space="preserve">people who </w:t>
      </w:r>
      <w:r>
        <w:rPr>
          <w:color w:val="231F20"/>
          <w:spacing w:val="-4"/>
          <w:sz w:val="20"/>
        </w:rPr>
        <w:t xml:space="preserve">have </w:t>
      </w:r>
      <w:r>
        <w:rPr>
          <w:color w:val="231F20"/>
          <w:sz w:val="20"/>
        </w:rPr>
        <w:t>experienced cyberstalking. But</w:t>
      </w:r>
      <w:r>
        <w:rPr>
          <w:color w:val="231F20"/>
          <w:spacing w:val="-10"/>
          <w:sz w:val="20"/>
        </w:rPr>
        <w:t xml:space="preserve"> </w:t>
      </w:r>
      <w:r>
        <w:rPr>
          <w:color w:val="231F20"/>
          <w:sz w:val="20"/>
        </w:rPr>
        <w:t>these</w:t>
      </w:r>
      <w:r>
        <w:rPr>
          <w:color w:val="231F20"/>
          <w:spacing w:val="-10"/>
          <w:sz w:val="20"/>
        </w:rPr>
        <w:t xml:space="preserve"> </w:t>
      </w:r>
      <w:r>
        <w:rPr>
          <w:color w:val="231F20"/>
          <w:spacing w:val="-3"/>
          <w:sz w:val="20"/>
        </w:rPr>
        <w:t>are</w:t>
      </w:r>
      <w:r>
        <w:rPr>
          <w:color w:val="231F20"/>
          <w:spacing w:val="-10"/>
          <w:sz w:val="20"/>
        </w:rPr>
        <w:t xml:space="preserve"> </w:t>
      </w:r>
      <w:r>
        <w:rPr>
          <w:color w:val="231F20"/>
          <w:sz w:val="20"/>
        </w:rPr>
        <w:t>often</w:t>
      </w:r>
      <w:r>
        <w:rPr>
          <w:color w:val="231F20"/>
          <w:spacing w:val="-10"/>
          <w:sz w:val="20"/>
        </w:rPr>
        <w:t xml:space="preserve"> </w:t>
      </w:r>
      <w:r>
        <w:rPr>
          <w:color w:val="231F20"/>
          <w:spacing w:val="-3"/>
          <w:sz w:val="20"/>
        </w:rPr>
        <w:t>only</w:t>
      </w:r>
      <w:r>
        <w:rPr>
          <w:color w:val="231F20"/>
          <w:spacing w:val="-10"/>
          <w:sz w:val="20"/>
        </w:rPr>
        <w:t xml:space="preserve"> </w:t>
      </w:r>
      <w:r>
        <w:rPr>
          <w:color w:val="231F20"/>
          <w:sz w:val="20"/>
        </w:rPr>
        <w:t>available</w:t>
      </w:r>
      <w:r>
        <w:rPr>
          <w:color w:val="231F20"/>
          <w:spacing w:val="-10"/>
          <w:sz w:val="20"/>
        </w:rPr>
        <w:t xml:space="preserve"> </w:t>
      </w:r>
      <w:r>
        <w:rPr>
          <w:color w:val="231F20"/>
          <w:sz w:val="20"/>
        </w:rPr>
        <w:t>to</w:t>
      </w:r>
      <w:r>
        <w:rPr>
          <w:color w:val="231F20"/>
          <w:spacing w:val="-10"/>
          <w:sz w:val="20"/>
        </w:rPr>
        <w:t xml:space="preserve"> </w:t>
      </w:r>
      <w:r>
        <w:rPr>
          <w:color w:val="231F20"/>
          <w:sz w:val="20"/>
        </w:rPr>
        <w:t>people</w:t>
      </w:r>
      <w:r>
        <w:rPr>
          <w:color w:val="231F20"/>
          <w:spacing w:val="-10"/>
          <w:sz w:val="20"/>
        </w:rPr>
        <w:t xml:space="preserve"> </w:t>
      </w:r>
      <w:r>
        <w:rPr>
          <w:color w:val="231F20"/>
          <w:sz w:val="20"/>
        </w:rPr>
        <w:t>who</w:t>
      </w:r>
      <w:r>
        <w:rPr>
          <w:color w:val="231F20"/>
          <w:spacing w:val="-10"/>
          <w:sz w:val="20"/>
        </w:rPr>
        <w:t xml:space="preserve"> </w:t>
      </w:r>
      <w:r>
        <w:rPr>
          <w:color w:val="231F20"/>
          <w:sz w:val="20"/>
        </w:rPr>
        <w:t>experience</w:t>
      </w:r>
      <w:r>
        <w:rPr>
          <w:color w:val="231F20"/>
          <w:spacing w:val="-10"/>
          <w:sz w:val="20"/>
        </w:rPr>
        <w:t xml:space="preserve"> </w:t>
      </w:r>
      <w:r>
        <w:rPr>
          <w:color w:val="231F20"/>
          <w:spacing w:val="-3"/>
          <w:sz w:val="20"/>
        </w:rPr>
        <w:t>family</w:t>
      </w:r>
      <w:r>
        <w:rPr>
          <w:color w:val="231F20"/>
          <w:spacing w:val="-10"/>
          <w:sz w:val="20"/>
        </w:rPr>
        <w:t xml:space="preserve"> </w:t>
      </w:r>
      <w:r>
        <w:rPr>
          <w:color w:val="231F20"/>
          <w:sz w:val="20"/>
        </w:rPr>
        <w:t>violence</w:t>
      </w:r>
      <w:r>
        <w:rPr>
          <w:color w:val="231F20"/>
          <w:spacing w:val="-10"/>
          <w:sz w:val="20"/>
        </w:rPr>
        <w:t xml:space="preserve"> </w:t>
      </w:r>
      <w:r>
        <w:rPr>
          <w:color w:val="231F20"/>
          <w:sz w:val="20"/>
        </w:rPr>
        <w:t>stalking,</w:t>
      </w:r>
      <w:r>
        <w:rPr>
          <w:color w:val="231F20"/>
          <w:spacing w:val="-10"/>
          <w:sz w:val="20"/>
        </w:rPr>
        <w:t xml:space="preserve"> </w:t>
      </w:r>
      <w:r>
        <w:rPr>
          <w:color w:val="231F20"/>
          <w:sz w:val="20"/>
        </w:rPr>
        <w:t>or they</w:t>
      </w:r>
      <w:r>
        <w:rPr>
          <w:color w:val="231F20"/>
          <w:spacing w:val="-5"/>
          <w:sz w:val="20"/>
        </w:rPr>
        <w:t xml:space="preserve"> </w:t>
      </w:r>
      <w:r>
        <w:rPr>
          <w:color w:val="231F20"/>
          <w:sz w:val="20"/>
        </w:rPr>
        <w:t>need</w:t>
      </w:r>
      <w:r>
        <w:rPr>
          <w:color w:val="231F20"/>
          <w:spacing w:val="-4"/>
          <w:sz w:val="20"/>
        </w:rPr>
        <w:t xml:space="preserve"> </w:t>
      </w:r>
      <w:r>
        <w:rPr>
          <w:color w:val="231F20"/>
          <w:sz w:val="20"/>
        </w:rPr>
        <w:t>to</w:t>
      </w:r>
      <w:r>
        <w:rPr>
          <w:color w:val="231F20"/>
          <w:spacing w:val="-4"/>
          <w:sz w:val="20"/>
        </w:rPr>
        <w:t xml:space="preserve"> </w:t>
      </w:r>
      <w:r>
        <w:rPr>
          <w:color w:val="231F20"/>
          <w:sz w:val="20"/>
        </w:rPr>
        <w:t>be</w:t>
      </w:r>
      <w:r>
        <w:rPr>
          <w:color w:val="231F20"/>
          <w:spacing w:val="-4"/>
          <w:sz w:val="20"/>
        </w:rPr>
        <w:t xml:space="preserve"> </w:t>
      </w:r>
      <w:r>
        <w:rPr>
          <w:color w:val="231F20"/>
          <w:sz w:val="20"/>
        </w:rPr>
        <w:t>paid</w:t>
      </w:r>
      <w:r>
        <w:rPr>
          <w:color w:val="231F20"/>
          <w:spacing w:val="-5"/>
          <w:sz w:val="20"/>
        </w:rPr>
        <w:t xml:space="preserve"> </w:t>
      </w:r>
      <w:r>
        <w:rPr>
          <w:color w:val="231F20"/>
          <w:spacing w:val="-3"/>
          <w:sz w:val="20"/>
        </w:rPr>
        <w:t>for</w:t>
      </w:r>
      <w:r>
        <w:rPr>
          <w:color w:val="231F20"/>
          <w:spacing w:val="-4"/>
          <w:sz w:val="20"/>
        </w:rPr>
        <w:t xml:space="preserve"> </w:t>
      </w:r>
      <w:r>
        <w:rPr>
          <w:color w:val="231F20"/>
          <w:spacing w:val="-3"/>
          <w:sz w:val="20"/>
        </w:rPr>
        <w:t>by</w:t>
      </w:r>
      <w:r>
        <w:rPr>
          <w:color w:val="231F20"/>
          <w:spacing w:val="-4"/>
          <w:sz w:val="20"/>
        </w:rPr>
        <w:t xml:space="preserve"> </w:t>
      </w:r>
      <w:r>
        <w:rPr>
          <w:color w:val="231F20"/>
          <w:sz w:val="20"/>
        </w:rPr>
        <w:t>the</w:t>
      </w:r>
      <w:r>
        <w:rPr>
          <w:color w:val="231F20"/>
          <w:spacing w:val="-4"/>
          <w:sz w:val="20"/>
        </w:rPr>
        <w:t xml:space="preserve"> </w:t>
      </w:r>
      <w:r>
        <w:rPr>
          <w:color w:val="231F20"/>
          <w:sz w:val="20"/>
        </w:rPr>
        <w:t>user</w:t>
      </w:r>
      <w:r>
        <w:rPr>
          <w:color w:val="231F20"/>
          <w:spacing w:val="-4"/>
          <w:sz w:val="20"/>
        </w:rPr>
        <w:t xml:space="preserve"> </w:t>
      </w:r>
      <w:r>
        <w:rPr>
          <w:color w:val="231F20"/>
          <w:sz w:val="20"/>
        </w:rPr>
        <w:t>(see</w:t>
      </w:r>
      <w:r>
        <w:rPr>
          <w:color w:val="231F20"/>
          <w:spacing w:val="-5"/>
          <w:sz w:val="20"/>
        </w:rPr>
        <w:t xml:space="preserve"> </w:t>
      </w:r>
      <w:r>
        <w:rPr>
          <w:color w:val="231F20"/>
          <w:spacing w:val="-3"/>
          <w:sz w:val="20"/>
        </w:rPr>
        <w:t>Chapter</w:t>
      </w:r>
      <w:r>
        <w:rPr>
          <w:color w:val="231F20"/>
          <w:spacing w:val="-4"/>
          <w:sz w:val="20"/>
        </w:rPr>
        <w:t xml:space="preserve"> </w:t>
      </w:r>
      <w:r>
        <w:rPr>
          <w:color w:val="231F20"/>
          <w:spacing w:val="-3"/>
          <w:sz w:val="20"/>
        </w:rPr>
        <w:t>3).</w:t>
      </w:r>
    </w:p>
    <w:p w14:paraId="0F4615C5" w14:textId="77777777" w:rsidR="00894070" w:rsidRDefault="009B7AFD">
      <w:pPr>
        <w:pStyle w:val="ListParagraph"/>
        <w:numPr>
          <w:ilvl w:val="1"/>
          <w:numId w:val="126"/>
        </w:numPr>
        <w:tabs>
          <w:tab w:val="left" w:pos="1801"/>
          <w:tab w:val="left" w:pos="1802"/>
        </w:tabs>
        <w:spacing w:before="91" w:line="259" w:lineRule="exact"/>
        <w:rPr>
          <w:sz w:val="20"/>
        </w:rPr>
      </w:pPr>
      <w:r>
        <w:rPr>
          <w:color w:val="231F20"/>
          <w:sz w:val="20"/>
        </w:rPr>
        <w:t>Aside</w:t>
      </w:r>
      <w:r>
        <w:rPr>
          <w:color w:val="231F20"/>
          <w:spacing w:val="-6"/>
          <w:sz w:val="20"/>
        </w:rPr>
        <w:t xml:space="preserve"> </w:t>
      </w:r>
      <w:r>
        <w:rPr>
          <w:color w:val="231F20"/>
          <w:spacing w:val="-3"/>
          <w:sz w:val="20"/>
        </w:rPr>
        <w:t>from</w:t>
      </w:r>
      <w:r>
        <w:rPr>
          <w:color w:val="231F20"/>
          <w:spacing w:val="-6"/>
          <w:sz w:val="20"/>
        </w:rPr>
        <w:t xml:space="preserve"> </w:t>
      </w:r>
      <w:r>
        <w:rPr>
          <w:color w:val="231F20"/>
          <w:sz w:val="20"/>
        </w:rPr>
        <w:t>the</w:t>
      </w:r>
      <w:r>
        <w:rPr>
          <w:color w:val="231F20"/>
          <w:spacing w:val="-6"/>
          <w:sz w:val="20"/>
        </w:rPr>
        <w:t xml:space="preserve"> </w:t>
      </w:r>
      <w:r>
        <w:rPr>
          <w:color w:val="231F20"/>
          <w:sz w:val="20"/>
        </w:rPr>
        <w:t>Victims</w:t>
      </w:r>
      <w:r>
        <w:rPr>
          <w:color w:val="231F20"/>
          <w:spacing w:val="-5"/>
          <w:sz w:val="20"/>
        </w:rPr>
        <w:t xml:space="preserve"> </w:t>
      </w:r>
      <w:r>
        <w:rPr>
          <w:color w:val="231F20"/>
          <w:sz w:val="20"/>
        </w:rPr>
        <w:t>of</w:t>
      </w:r>
      <w:r>
        <w:rPr>
          <w:color w:val="231F20"/>
          <w:spacing w:val="-6"/>
          <w:sz w:val="20"/>
        </w:rPr>
        <w:t xml:space="preserve"> </w:t>
      </w:r>
      <w:r>
        <w:rPr>
          <w:color w:val="231F20"/>
          <w:sz w:val="20"/>
        </w:rPr>
        <w:t>Crime</w:t>
      </w:r>
      <w:r>
        <w:rPr>
          <w:color w:val="231F20"/>
          <w:spacing w:val="-6"/>
          <w:sz w:val="20"/>
        </w:rPr>
        <w:t xml:space="preserve"> </w:t>
      </w:r>
      <w:r>
        <w:rPr>
          <w:color w:val="231F20"/>
          <w:sz w:val="20"/>
        </w:rPr>
        <w:t>Helpline</w:t>
      </w:r>
      <w:r>
        <w:rPr>
          <w:color w:val="231F20"/>
          <w:spacing w:val="-6"/>
          <w:sz w:val="20"/>
        </w:rPr>
        <w:t xml:space="preserve"> </w:t>
      </w:r>
      <w:r>
        <w:rPr>
          <w:color w:val="231F20"/>
          <w:sz w:val="20"/>
        </w:rPr>
        <w:t>and</w:t>
      </w:r>
      <w:r>
        <w:rPr>
          <w:color w:val="231F20"/>
          <w:spacing w:val="-5"/>
          <w:sz w:val="20"/>
        </w:rPr>
        <w:t xml:space="preserve"> </w:t>
      </w:r>
      <w:r>
        <w:rPr>
          <w:color w:val="231F20"/>
          <w:spacing w:val="-10"/>
          <w:sz w:val="20"/>
        </w:rPr>
        <w:t>VAP,</w:t>
      </w:r>
      <w:r>
        <w:rPr>
          <w:color w:val="231F20"/>
          <w:spacing w:val="-6"/>
          <w:sz w:val="20"/>
        </w:rPr>
        <w:t xml:space="preserve"> </w:t>
      </w:r>
      <w:r>
        <w:rPr>
          <w:color w:val="231F20"/>
          <w:sz w:val="20"/>
        </w:rPr>
        <w:t>there</w:t>
      </w:r>
      <w:r>
        <w:rPr>
          <w:color w:val="231F20"/>
          <w:spacing w:val="-6"/>
          <w:sz w:val="20"/>
        </w:rPr>
        <w:t xml:space="preserve"> </w:t>
      </w:r>
      <w:r>
        <w:rPr>
          <w:color w:val="231F20"/>
          <w:spacing w:val="-3"/>
          <w:sz w:val="20"/>
        </w:rPr>
        <w:t>are</w:t>
      </w:r>
      <w:r>
        <w:rPr>
          <w:color w:val="231F20"/>
          <w:spacing w:val="-6"/>
          <w:sz w:val="20"/>
        </w:rPr>
        <w:t xml:space="preserve"> </w:t>
      </w:r>
      <w:r>
        <w:rPr>
          <w:color w:val="231F20"/>
          <w:sz w:val="20"/>
        </w:rPr>
        <w:t>no</w:t>
      </w:r>
      <w:r>
        <w:rPr>
          <w:color w:val="231F20"/>
          <w:spacing w:val="-5"/>
          <w:sz w:val="20"/>
        </w:rPr>
        <w:t xml:space="preserve"> </w:t>
      </w:r>
      <w:r>
        <w:rPr>
          <w:color w:val="231F20"/>
          <w:sz w:val="20"/>
        </w:rPr>
        <w:t>agencies</w:t>
      </w:r>
      <w:r>
        <w:rPr>
          <w:color w:val="231F20"/>
          <w:spacing w:val="-6"/>
          <w:sz w:val="20"/>
        </w:rPr>
        <w:t xml:space="preserve"> </w:t>
      </w:r>
      <w:r>
        <w:rPr>
          <w:color w:val="231F20"/>
          <w:sz w:val="20"/>
        </w:rPr>
        <w:t>in</w:t>
      </w:r>
      <w:r>
        <w:rPr>
          <w:color w:val="231F20"/>
          <w:spacing w:val="-6"/>
          <w:sz w:val="20"/>
        </w:rPr>
        <w:t xml:space="preserve"> </w:t>
      </w:r>
      <w:r>
        <w:rPr>
          <w:color w:val="231F20"/>
          <w:sz w:val="20"/>
        </w:rPr>
        <w:t>Victoria</w:t>
      </w:r>
      <w:r>
        <w:rPr>
          <w:color w:val="231F20"/>
          <w:spacing w:val="-6"/>
          <w:sz w:val="20"/>
        </w:rPr>
        <w:t xml:space="preserve"> </w:t>
      </w:r>
      <w:r>
        <w:rPr>
          <w:color w:val="231F20"/>
          <w:sz w:val="20"/>
        </w:rPr>
        <w:t>that</w:t>
      </w:r>
    </w:p>
    <w:p w14:paraId="0EBDEB47" w14:textId="77777777" w:rsidR="00894070" w:rsidRDefault="009B7AFD">
      <w:pPr>
        <w:pStyle w:val="BodyText"/>
        <w:spacing w:line="259" w:lineRule="exact"/>
        <w:ind w:left="1801"/>
      </w:pPr>
      <w:r>
        <w:rPr>
          <w:color w:val="231F20"/>
        </w:rPr>
        <w:t>address the broad needs of people who experience non-family violence stalking.</w:t>
      </w:r>
    </w:p>
    <w:p w14:paraId="26F7CBED" w14:textId="77777777" w:rsidR="00894070" w:rsidRDefault="00894070">
      <w:pPr>
        <w:pStyle w:val="BodyText"/>
        <w:spacing w:before="12"/>
        <w:rPr>
          <w:sz w:val="15"/>
        </w:rPr>
      </w:pPr>
    </w:p>
    <w:p w14:paraId="0B57015E" w14:textId="77777777" w:rsidR="00894070" w:rsidRDefault="009B7AFD">
      <w:pPr>
        <w:pStyle w:val="Heading7"/>
      </w:pPr>
      <w:r>
        <w:rPr>
          <w:color w:val="EA5B50"/>
        </w:rPr>
        <w:t>People who experience stalking need specific kinds of support</w:t>
      </w:r>
    </w:p>
    <w:p w14:paraId="23DC2474" w14:textId="77777777" w:rsidR="00894070" w:rsidRDefault="009B7AFD">
      <w:pPr>
        <w:pStyle w:val="ListParagraph"/>
        <w:numPr>
          <w:ilvl w:val="1"/>
          <w:numId w:val="126"/>
        </w:numPr>
        <w:tabs>
          <w:tab w:val="left" w:pos="1801"/>
          <w:tab w:val="left" w:pos="1802"/>
        </w:tabs>
        <w:spacing w:before="146" w:line="206" w:lineRule="auto"/>
        <w:ind w:right="1500"/>
        <w:rPr>
          <w:sz w:val="20"/>
        </w:rPr>
      </w:pPr>
      <w:r>
        <w:rPr>
          <w:color w:val="231F20"/>
          <w:sz w:val="20"/>
        </w:rPr>
        <w:t>People</w:t>
      </w:r>
      <w:r>
        <w:rPr>
          <w:color w:val="231F20"/>
          <w:spacing w:val="-11"/>
          <w:sz w:val="20"/>
        </w:rPr>
        <w:t xml:space="preserve"> </w:t>
      </w:r>
      <w:r>
        <w:rPr>
          <w:color w:val="231F20"/>
          <w:sz w:val="20"/>
        </w:rPr>
        <w:t>who</w:t>
      </w:r>
      <w:r>
        <w:rPr>
          <w:color w:val="231F20"/>
          <w:spacing w:val="-10"/>
          <w:sz w:val="20"/>
        </w:rPr>
        <w:t xml:space="preserve"> </w:t>
      </w:r>
      <w:r>
        <w:rPr>
          <w:color w:val="231F20"/>
          <w:sz w:val="20"/>
        </w:rPr>
        <w:t>experience</w:t>
      </w:r>
      <w:r>
        <w:rPr>
          <w:color w:val="231F20"/>
          <w:spacing w:val="-10"/>
          <w:sz w:val="20"/>
        </w:rPr>
        <w:t xml:space="preserve"> </w:t>
      </w:r>
      <w:r>
        <w:rPr>
          <w:color w:val="231F20"/>
          <w:sz w:val="20"/>
        </w:rPr>
        <w:t>stalking</w:t>
      </w:r>
      <w:r>
        <w:rPr>
          <w:color w:val="231F20"/>
          <w:spacing w:val="-10"/>
          <w:sz w:val="20"/>
        </w:rPr>
        <w:t xml:space="preserve"> </w:t>
      </w:r>
      <w:r>
        <w:rPr>
          <w:color w:val="231F20"/>
          <w:spacing w:val="-3"/>
          <w:sz w:val="20"/>
        </w:rPr>
        <w:t>may</w:t>
      </w:r>
      <w:r>
        <w:rPr>
          <w:color w:val="231F20"/>
          <w:spacing w:val="-10"/>
          <w:sz w:val="20"/>
        </w:rPr>
        <w:t xml:space="preserve"> </w:t>
      </w:r>
      <w:r>
        <w:rPr>
          <w:color w:val="231F20"/>
          <w:spacing w:val="-4"/>
          <w:sz w:val="20"/>
        </w:rPr>
        <w:t>have</w:t>
      </w:r>
      <w:r>
        <w:rPr>
          <w:color w:val="231F20"/>
          <w:spacing w:val="-11"/>
          <w:sz w:val="20"/>
        </w:rPr>
        <w:t xml:space="preserve"> </w:t>
      </w:r>
      <w:r>
        <w:rPr>
          <w:color w:val="231F20"/>
          <w:sz w:val="20"/>
        </w:rPr>
        <w:t>additional</w:t>
      </w:r>
      <w:r>
        <w:rPr>
          <w:color w:val="231F20"/>
          <w:spacing w:val="-10"/>
          <w:sz w:val="20"/>
        </w:rPr>
        <w:t xml:space="preserve"> </w:t>
      </w:r>
      <w:r>
        <w:rPr>
          <w:color w:val="231F20"/>
          <w:sz w:val="20"/>
        </w:rPr>
        <w:t>or</w:t>
      </w:r>
      <w:r>
        <w:rPr>
          <w:color w:val="231F20"/>
          <w:spacing w:val="-10"/>
          <w:sz w:val="20"/>
        </w:rPr>
        <w:t xml:space="preserve"> </w:t>
      </w:r>
      <w:r>
        <w:rPr>
          <w:color w:val="231F20"/>
          <w:spacing w:val="-3"/>
          <w:sz w:val="20"/>
        </w:rPr>
        <w:t>different</w:t>
      </w:r>
      <w:r>
        <w:rPr>
          <w:color w:val="231F20"/>
          <w:spacing w:val="-10"/>
          <w:sz w:val="20"/>
        </w:rPr>
        <w:t xml:space="preserve"> </w:t>
      </w:r>
      <w:r>
        <w:rPr>
          <w:color w:val="231F20"/>
          <w:sz w:val="20"/>
        </w:rPr>
        <w:t>needs</w:t>
      </w:r>
      <w:r>
        <w:rPr>
          <w:color w:val="231F20"/>
          <w:spacing w:val="-10"/>
          <w:sz w:val="20"/>
        </w:rPr>
        <w:t xml:space="preserve"> </w:t>
      </w:r>
      <w:r>
        <w:rPr>
          <w:color w:val="231F20"/>
          <w:sz w:val="20"/>
        </w:rPr>
        <w:t>to</w:t>
      </w:r>
      <w:r>
        <w:rPr>
          <w:color w:val="231F20"/>
          <w:spacing w:val="-11"/>
          <w:sz w:val="20"/>
        </w:rPr>
        <w:t xml:space="preserve"> </w:t>
      </w:r>
      <w:r>
        <w:rPr>
          <w:color w:val="231F20"/>
          <w:sz w:val="20"/>
        </w:rPr>
        <w:t>victims</w:t>
      </w:r>
      <w:r>
        <w:rPr>
          <w:color w:val="231F20"/>
          <w:spacing w:val="-10"/>
          <w:sz w:val="20"/>
        </w:rPr>
        <w:t xml:space="preserve"> </w:t>
      </w:r>
      <w:r>
        <w:rPr>
          <w:color w:val="231F20"/>
          <w:sz w:val="20"/>
        </w:rPr>
        <w:t xml:space="preserve">of other crimes. This </w:t>
      </w:r>
      <w:r>
        <w:rPr>
          <w:color w:val="231F20"/>
          <w:spacing w:val="-3"/>
          <w:sz w:val="20"/>
        </w:rPr>
        <w:t xml:space="preserve">may </w:t>
      </w:r>
      <w:r>
        <w:rPr>
          <w:color w:val="231F20"/>
          <w:sz w:val="20"/>
        </w:rPr>
        <w:t>be because</w:t>
      </w:r>
      <w:r>
        <w:rPr>
          <w:color w:val="231F20"/>
          <w:spacing w:val="-23"/>
          <w:sz w:val="20"/>
        </w:rPr>
        <w:t xml:space="preserve"> </w:t>
      </w:r>
      <w:r>
        <w:rPr>
          <w:color w:val="231F20"/>
          <w:sz w:val="20"/>
        </w:rPr>
        <w:t>of:</w:t>
      </w:r>
    </w:p>
    <w:p w14:paraId="4F6F3D8C" w14:textId="77777777" w:rsidR="00894070" w:rsidRDefault="009B7AFD">
      <w:pPr>
        <w:pStyle w:val="ListParagraph"/>
        <w:numPr>
          <w:ilvl w:val="2"/>
          <w:numId w:val="126"/>
        </w:numPr>
        <w:tabs>
          <w:tab w:val="left" w:pos="2141"/>
          <w:tab w:val="left" w:pos="2142"/>
        </w:tabs>
        <w:spacing w:before="123" w:line="206" w:lineRule="auto"/>
        <w:ind w:right="1552" w:hanging="340"/>
        <w:rPr>
          <w:sz w:val="11"/>
        </w:rPr>
      </w:pPr>
      <w:r>
        <w:rPr>
          <w:color w:val="231F20"/>
          <w:sz w:val="20"/>
        </w:rPr>
        <w:t>the</w:t>
      </w:r>
      <w:r>
        <w:rPr>
          <w:color w:val="231F20"/>
          <w:spacing w:val="-8"/>
          <w:sz w:val="20"/>
        </w:rPr>
        <w:t xml:space="preserve"> </w:t>
      </w:r>
      <w:r>
        <w:rPr>
          <w:color w:val="231F20"/>
          <w:spacing w:val="-3"/>
          <w:sz w:val="20"/>
        </w:rPr>
        <w:t>nature</w:t>
      </w:r>
      <w:r>
        <w:rPr>
          <w:color w:val="231F20"/>
          <w:spacing w:val="-8"/>
          <w:sz w:val="20"/>
        </w:rPr>
        <w:t xml:space="preserve"> </w:t>
      </w:r>
      <w:r>
        <w:rPr>
          <w:color w:val="231F20"/>
          <w:sz w:val="20"/>
        </w:rPr>
        <w:t>of</w:t>
      </w:r>
      <w:r>
        <w:rPr>
          <w:color w:val="231F20"/>
          <w:spacing w:val="-8"/>
          <w:sz w:val="20"/>
        </w:rPr>
        <w:t xml:space="preserve"> </w:t>
      </w:r>
      <w:r>
        <w:rPr>
          <w:color w:val="231F20"/>
          <w:sz w:val="20"/>
        </w:rPr>
        <w:t>stalking—for</w:t>
      </w:r>
      <w:r>
        <w:rPr>
          <w:color w:val="231F20"/>
          <w:spacing w:val="-8"/>
          <w:sz w:val="20"/>
        </w:rPr>
        <w:t xml:space="preserve"> </w:t>
      </w:r>
      <w:r>
        <w:rPr>
          <w:color w:val="231F20"/>
          <w:spacing w:val="-3"/>
          <w:sz w:val="20"/>
        </w:rPr>
        <w:t>example,</w:t>
      </w:r>
      <w:r>
        <w:rPr>
          <w:color w:val="231F20"/>
          <w:spacing w:val="-8"/>
          <w:sz w:val="20"/>
        </w:rPr>
        <w:t xml:space="preserve"> </w:t>
      </w:r>
      <w:r>
        <w:rPr>
          <w:color w:val="231F20"/>
          <w:sz w:val="20"/>
        </w:rPr>
        <w:t>they</w:t>
      </w:r>
      <w:r>
        <w:rPr>
          <w:color w:val="231F20"/>
          <w:spacing w:val="-8"/>
          <w:sz w:val="20"/>
        </w:rPr>
        <w:t xml:space="preserve"> </w:t>
      </w:r>
      <w:r>
        <w:rPr>
          <w:color w:val="231F20"/>
          <w:spacing w:val="-3"/>
          <w:sz w:val="20"/>
        </w:rPr>
        <w:t>may</w:t>
      </w:r>
      <w:r>
        <w:rPr>
          <w:color w:val="231F20"/>
          <w:spacing w:val="-8"/>
          <w:sz w:val="20"/>
        </w:rPr>
        <w:t xml:space="preserve"> </w:t>
      </w:r>
      <w:r>
        <w:rPr>
          <w:color w:val="231F20"/>
          <w:spacing w:val="-3"/>
          <w:sz w:val="20"/>
        </w:rPr>
        <w:t>interact</w:t>
      </w:r>
      <w:r>
        <w:rPr>
          <w:color w:val="231F20"/>
          <w:spacing w:val="-8"/>
          <w:sz w:val="20"/>
        </w:rPr>
        <w:t xml:space="preserve"> </w:t>
      </w:r>
      <w:r>
        <w:rPr>
          <w:color w:val="231F20"/>
          <w:sz w:val="20"/>
        </w:rPr>
        <w:t>with</w:t>
      </w:r>
      <w:r>
        <w:rPr>
          <w:color w:val="231F20"/>
          <w:spacing w:val="-8"/>
          <w:sz w:val="20"/>
        </w:rPr>
        <w:t xml:space="preserve"> </w:t>
      </w:r>
      <w:r>
        <w:rPr>
          <w:color w:val="231F20"/>
          <w:sz w:val="20"/>
        </w:rPr>
        <w:t>the</w:t>
      </w:r>
      <w:r>
        <w:rPr>
          <w:color w:val="231F20"/>
          <w:spacing w:val="-8"/>
          <w:sz w:val="20"/>
        </w:rPr>
        <w:t xml:space="preserve"> </w:t>
      </w:r>
      <w:r>
        <w:rPr>
          <w:color w:val="231F20"/>
          <w:sz w:val="20"/>
        </w:rPr>
        <w:t>police</w:t>
      </w:r>
      <w:r>
        <w:rPr>
          <w:color w:val="231F20"/>
          <w:spacing w:val="-8"/>
          <w:sz w:val="20"/>
        </w:rPr>
        <w:t xml:space="preserve"> </w:t>
      </w:r>
      <w:r>
        <w:rPr>
          <w:color w:val="231F20"/>
          <w:sz w:val="20"/>
        </w:rPr>
        <w:t>after</w:t>
      </w:r>
      <w:r>
        <w:rPr>
          <w:color w:val="231F20"/>
          <w:spacing w:val="-8"/>
          <w:sz w:val="20"/>
        </w:rPr>
        <w:t xml:space="preserve"> </w:t>
      </w:r>
      <w:r>
        <w:rPr>
          <w:color w:val="231F20"/>
          <w:sz w:val="20"/>
        </w:rPr>
        <w:t xml:space="preserve">each stalking incident and </w:t>
      </w:r>
      <w:r>
        <w:rPr>
          <w:color w:val="231F20"/>
          <w:spacing w:val="-4"/>
          <w:sz w:val="20"/>
        </w:rPr>
        <w:t xml:space="preserve">over </w:t>
      </w:r>
      <w:r>
        <w:rPr>
          <w:color w:val="231F20"/>
          <w:sz w:val="20"/>
        </w:rPr>
        <w:t>a longer period of</w:t>
      </w:r>
      <w:r>
        <w:rPr>
          <w:color w:val="231F20"/>
          <w:spacing w:val="-33"/>
          <w:sz w:val="20"/>
        </w:rPr>
        <w:t xml:space="preserve"> </w:t>
      </w:r>
      <w:r>
        <w:rPr>
          <w:color w:val="231F20"/>
          <w:sz w:val="20"/>
        </w:rPr>
        <w:t>time</w:t>
      </w:r>
      <w:r>
        <w:rPr>
          <w:color w:val="231F20"/>
          <w:position w:val="7"/>
          <w:sz w:val="11"/>
        </w:rPr>
        <w:t>14</w:t>
      </w:r>
    </w:p>
    <w:p w14:paraId="799901AB" w14:textId="77777777" w:rsidR="00894070" w:rsidRDefault="009B7AFD">
      <w:pPr>
        <w:pStyle w:val="ListParagraph"/>
        <w:numPr>
          <w:ilvl w:val="2"/>
          <w:numId w:val="126"/>
        </w:numPr>
        <w:tabs>
          <w:tab w:val="left" w:pos="2141"/>
          <w:tab w:val="left" w:pos="2142"/>
        </w:tabs>
        <w:spacing w:before="87" w:line="206" w:lineRule="auto"/>
        <w:ind w:right="1323" w:hanging="340"/>
        <w:rPr>
          <w:sz w:val="20"/>
        </w:rPr>
      </w:pPr>
      <w:r>
        <w:rPr>
          <w:color w:val="231F20"/>
          <w:sz w:val="20"/>
        </w:rPr>
        <w:t>the</w:t>
      </w:r>
      <w:r>
        <w:rPr>
          <w:color w:val="231F20"/>
          <w:spacing w:val="-9"/>
          <w:sz w:val="20"/>
        </w:rPr>
        <w:t xml:space="preserve"> </w:t>
      </w:r>
      <w:r>
        <w:rPr>
          <w:color w:val="231F20"/>
          <w:sz w:val="20"/>
        </w:rPr>
        <w:t>lack</w:t>
      </w:r>
      <w:r>
        <w:rPr>
          <w:color w:val="231F20"/>
          <w:spacing w:val="-8"/>
          <w:sz w:val="20"/>
        </w:rPr>
        <w:t xml:space="preserve"> </w:t>
      </w:r>
      <w:r>
        <w:rPr>
          <w:color w:val="231F20"/>
          <w:sz w:val="20"/>
        </w:rPr>
        <w:t>of</w:t>
      </w:r>
      <w:r>
        <w:rPr>
          <w:color w:val="231F20"/>
          <w:spacing w:val="-8"/>
          <w:sz w:val="20"/>
        </w:rPr>
        <w:t xml:space="preserve"> </w:t>
      </w:r>
      <w:r>
        <w:rPr>
          <w:color w:val="231F20"/>
          <w:spacing w:val="-3"/>
          <w:sz w:val="20"/>
        </w:rPr>
        <w:t>awareness</w:t>
      </w:r>
      <w:r>
        <w:rPr>
          <w:color w:val="231F20"/>
          <w:spacing w:val="-9"/>
          <w:sz w:val="20"/>
        </w:rPr>
        <w:t xml:space="preserve"> </w:t>
      </w:r>
      <w:r>
        <w:rPr>
          <w:color w:val="231F20"/>
          <w:sz w:val="20"/>
        </w:rPr>
        <w:t>about</w:t>
      </w:r>
      <w:r>
        <w:rPr>
          <w:color w:val="231F20"/>
          <w:spacing w:val="-8"/>
          <w:sz w:val="20"/>
        </w:rPr>
        <w:t xml:space="preserve"> </w:t>
      </w:r>
      <w:r>
        <w:rPr>
          <w:color w:val="231F20"/>
          <w:sz w:val="20"/>
        </w:rPr>
        <w:t>stalking—it</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be</w:t>
      </w:r>
      <w:r>
        <w:rPr>
          <w:color w:val="231F20"/>
          <w:spacing w:val="-9"/>
          <w:sz w:val="20"/>
        </w:rPr>
        <w:t xml:space="preserve"> </w:t>
      </w:r>
      <w:r>
        <w:rPr>
          <w:color w:val="231F20"/>
          <w:sz w:val="20"/>
        </w:rPr>
        <w:t>harder</w:t>
      </w:r>
      <w:r>
        <w:rPr>
          <w:color w:val="231F20"/>
          <w:spacing w:val="-8"/>
          <w:sz w:val="20"/>
        </w:rPr>
        <w:t xml:space="preserve"> </w:t>
      </w:r>
      <w:r>
        <w:rPr>
          <w:color w:val="231F20"/>
          <w:sz w:val="20"/>
        </w:rPr>
        <w:t>to</w:t>
      </w:r>
      <w:r>
        <w:rPr>
          <w:color w:val="231F20"/>
          <w:spacing w:val="-8"/>
          <w:sz w:val="20"/>
        </w:rPr>
        <w:t xml:space="preserve"> </w:t>
      </w:r>
      <w:r>
        <w:rPr>
          <w:color w:val="231F20"/>
          <w:sz w:val="20"/>
        </w:rPr>
        <w:t>understand</w:t>
      </w:r>
      <w:r>
        <w:rPr>
          <w:color w:val="231F20"/>
          <w:spacing w:val="-9"/>
          <w:sz w:val="20"/>
        </w:rPr>
        <w:t xml:space="preserve"> </w:t>
      </w:r>
      <w:r>
        <w:rPr>
          <w:color w:val="231F20"/>
          <w:sz w:val="20"/>
        </w:rPr>
        <w:t>that</w:t>
      </w:r>
      <w:r>
        <w:rPr>
          <w:color w:val="231F20"/>
          <w:spacing w:val="-8"/>
          <w:sz w:val="20"/>
        </w:rPr>
        <w:t xml:space="preserve"> </w:t>
      </w:r>
      <w:r>
        <w:rPr>
          <w:color w:val="231F20"/>
          <w:sz w:val="20"/>
        </w:rPr>
        <w:t>a</w:t>
      </w:r>
      <w:r>
        <w:rPr>
          <w:color w:val="231F20"/>
          <w:spacing w:val="-8"/>
          <w:sz w:val="20"/>
        </w:rPr>
        <w:t xml:space="preserve"> </w:t>
      </w:r>
      <w:r>
        <w:rPr>
          <w:color w:val="231F20"/>
          <w:sz w:val="20"/>
        </w:rPr>
        <w:t>crime has</w:t>
      </w:r>
      <w:r>
        <w:rPr>
          <w:color w:val="231F20"/>
          <w:spacing w:val="-5"/>
          <w:sz w:val="20"/>
        </w:rPr>
        <w:t xml:space="preserve"> </w:t>
      </w:r>
      <w:r>
        <w:rPr>
          <w:color w:val="231F20"/>
          <w:sz w:val="20"/>
        </w:rPr>
        <w:t>happened</w:t>
      </w:r>
      <w:r>
        <w:rPr>
          <w:color w:val="231F20"/>
          <w:spacing w:val="-4"/>
          <w:sz w:val="20"/>
        </w:rPr>
        <w:t xml:space="preserve"> </w:t>
      </w:r>
      <w:r>
        <w:rPr>
          <w:color w:val="231F20"/>
          <w:sz w:val="20"/>
        </w:rPr>
        <w:t>or</w:t>
      </w:r>
      <w:r>
        <w:rPr>
          <w:color w:val="231F20"/>
          <w:spacing w:val="-5"/>
          <w:sz w:val="20"/>
        </w:rPr>
        <w:t xml:space="preserve"> </w:t>
      </w:r>
      <w:r>
        <w:rPr>
          <w:color w:val="231F20"/>
          <w:sz w:val="20"/>
        </w:rPr>
        <w:t>to</w:t>
      </w:r>
      <w:r>
        <w:rPr>
          <w:color w:val="231F20"/>
          <w:spacing w:val="-4"/>
          <w:sz w:val="20"/>
        </w:rPr>
        <w:t xml:space="preserve"> </w:t>
      </w:r>
      <w:r>
        <w:rPr>
          <w:color w:val="231F20"/>
          <w:spacing w:val="-3"/>
          <w:sz w:val="20"/>
        </w:rPr>
        <w:t>know</w:t>
      </w:r>
      <w:r>
        <w:rPr>
          <w:color w:val="231F20"/>
          <w:spacing w:val="-4"/>
          <w:sz w:val="20"/>
        </w:rPr>
        <w:t xml:space="preserve"> </w:t>
      </w:r>
      <w:r>
        <w:rPr>
          <w:color w:val="231F20"/>
          <w:sz w:val="20"/>
        </w:rPr>
        <w:t>what</w:t>
      </w:r>
      <w:r>
        <w:rPr>
          <w:color w:val="231F20"/>
          <w:spacing w:val="-5"/>
          <w:sz w:val="20"/>
        </w:rPr>
        <w:t xml:space="preserve"> </w:t>
      </w:r>
      <w:r>
        <w:rPr>
          <w:color w:val="231F20"/>
          <w:sz w:val="20"/>
        </w:rPr>
        <w:t>to</w:t>
      </w:r>
      <w:r>
        <w:rPr>
          <w:color w:val="231F20"/>
          <w:spacing w:val="-4"/>
          <w:sz w:val="20"/>
        </w:rPr>
        <w:t xml:space="preserve"> </w:t>
      </w:r>
      <w:r>
        <w:rPr>
          <w:color w:val="231F20"/>
          <w:sz w:val="20"/>
        </w:rPr>
        <w:t>do</w:t>
      </w:r>
      <w:r>
        <w:rPr>
          <w:color w:val="231F20"/>
          <w:spacing w:val="-4"/>
          <w:sz w:val="20"/>
        </w:rPr>
        <w:t xml:space="preserve"> </w:t>
      </w:r>
      <w:r>
        <w:rPr>
          <w:color w:val="231F20"/>
          <w:sz w:val="20"/>
        </w:rPr>
        <w:t>(see</w:t>
      </w:r>
      <w:r>
        <w:rPr>
          <w:color w:val="231F20"/>
          <w:spacing w:val="-5"/>
          <w:sz w:val="20"/>
        </w:rPr>
        <w:t xml:space="preserve"> </w:t>
      </w:r>
      <w:r>
        <w:rPr>
          <w:color w:val="231F20"/>
          <w:spacing w:val="-3"/>
          <w:sz w:val="20"/>
        </w:rPr>
        <w:t>Chapter</w:t>
      </w:r>
      <w:r>
        <w:rPr>
          <w:color w:val="231F20"/>
          <w:spacing w:val="-4"/>
          <w:sz w:val="20"/>
        </w:rPr>
        <w:t xml:space="preserve"> </w:t>
      </w:r>
      <w:r>
        <w:rPr>
          <w:color w:val="231F20"/>
          <w:sz w:val="20"/>
        </w:rPr>
        <w:t>4)</w:t>
      </w:r>
    </w:p>
    <w:p w14:paraId="7DE1E6D7" w14:textId="77777777" w:rsidR="00894070" w:rsidRDefault="009F6793">
      <w:pPr>
        <w:pStyle w:val="BodyText"/>
        <w:spacing w:before="6"/>
        <w:rPr>
          <w:sz w:val="17"/>
        </w:rPr>
      </w:pPr>
      <w:r>
        <w:pict w14:anchorId="0B127388">
          <v:line id="_x0000_s1425" style="position:absolute;z-index:251594752;mso-wrap-distance-left:0;mso-wrap-distance-right:0;mso-position-horizontal-relative:page" from="79.35pt,14.55pt" to="515.9pt,14.55pt" strokecolor="#f8cabc" strokeweight="1pt">
            <w10:wrap type="topAndBottom" anchorx="page"/>
          </v:line>
        </w:pict>
      </w:r>
    </w:p>
    <w:p w14:paraId="5E61D1B2" w14:textId="77777777" w:rsidR="00894070" w:rsidRDefault="009B7AFD">
      <w:pPr>
        <w:pStyle w:val="ListParagraph"/>
        <w:numPr>
          <w:ilvl w:val="0"/>
          <w:numId w:val="123"/>
        </w:numPr>
        <w:tabs>
          <w:tab w:val="left" w:pos="1800"/>
          <w:tab w:val="left" w:pos="1802"/>
        </w:tabs>
        <w:spacing w:before="91" w:line="170" w:lineRule="exact"/>
        <w:rPr>
          <w:sz w:val="13"/>
        </w:rPr>
      </w:pPr>
      <w:r>
        <w:rPr>
          <w:color w:val="231F20"/>
          <w:sz w:val="13"/>
        </w:rPr>
        <w:t>Ibid.</w:t>
      </w:r>
    </w:p>
    <w:p w14:paraId="69B682C9" w14:textId="77777777" w:rsidR="00894070" w:rsidRDefault="009B7AFD">
      <w:pPr>
        <w:pStyle w:val="ListParagraph"/>
        <w:numPr>
          <w:ilvl w:val="0"/>
          <w:numId w:val="123"/>
        </w:numPr>
        <w:tabs>
          <w:tab w:val="left" w:pos="1801"/>
          <w:tab w:val="left" w:pos="1802"/>
        </w:tabs>
        <w:spacing w:before="6"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19C45328" w14:textId="77777777" w:rsidR="00894070" w:rsidRDefault="009B7AFD">
      <w:pPr>
        <w:pStyle w:val="ListParagraph"/>
        <w:numPr>
          <w:ilvl w:val="0"/>
          <w:numId w:val="123"/>
        </w:numPr>
        <w:tabs>
          <w:tab w:val="left" w:pos="1801"/>
          <w:tab w:val="left" w:pos="1802"/>
        </w:tabs>
        <w:spacing w:line="153" w:lineRule="exact"/>
        <w:rPr>
          <w:sz w:val="13"/>
        </w:rPr>
      </w:pPr>
      <w:r>
        <w:rPr>
          <w:color w:val="231F20"/>
          <w:sz w:val="13"/>
        </w:rPr>
        <w:t>Ibid.</w:t>
      </w:r>
    </w:p>
    <w:p w14:paraId="1BB6DBDB" w14:textId="77777777" w:rsidR="00894070" w:rsidRDefault="009B7AFD">
      <w:pPr>
        <w:pStyle w:val="ListParagraph"/>
        <w:numPr>
          <w:ilvl w:val="0"/>
          <w:numId w:val="123"/>
        </w:numPr>
        <w:tabs>
          <w:tab w:val="left" w:pos="1801"/>
          <w:tab w:val="left" w:pos="1802"/>
        </w:tabs>
        <w:spacing w:before="6" w:line="213" w:lineRule="auto"/>
        <w:ind w:right="1264"/>
        <w:rPr>
          <w:sz w:val="13"/>
        </w:rPr>
      </w:pPr>
      <w:r>
        <w:rPr>
          <w:color w:val="231F20"/>
          <w:spacing w:val="2"/>
          <w:sz w:val="13"/>
        </w:rPr>
        <w:t xml:space="preserve">Court </w:t>
      </w:r>
      <w:r>
        <w:rPr>
          <w:color w:val="231F20"/>
          <w:sz w:val="13"/>
        </w:rPr>
        <w:t xml:space="preserve">Network is a </w:t>
      </w:r>
      <w:r>
        <w:rPr>
          <w:color w:val="231F20"/>
          <w:spacing w:val="2"/>
          <w:sz w:val="13"/>
        </w:rPr>
        <w:t xml:space="preserve">service </w:t>
      </w:r>
      <w:r>
        <w:rPr>
          <w:color w:val="231F20"/>
          <w:sz w:val="13"/>
        </w:rPr>
        <w:t xml:space="preserve">provided by volunteers that helps court users, including victims, in the lower </w:t>
      </w:r>
      <w:r>
        <w:rPr>
          <w:color w:val="231F20"/>
          <w:spacing w:val="2"/>
          <w:sz w:val="13"/>
        </w:rPr>
        <w:t xml:space="preserve">courts. Court </w:t>
      </w:r>
      <w:r>
        <w:rPr>
          <w:color w:val="231F20"/>
          <w:sz w:val="13"/>
        </w:rPr>
        <w:t xml:space="preserve">Network volunteers can explain how the </w:t>
      </w:r>
      <w:r>
        <w:rPr>
          <w:color w:val="231F20"/>
          <w:spacing w:val="2"/>
          <w:sz w:val="13"/>
        </w:rPr>
        <w:t xml:space="preserve">courts </w:t>
      </w:r>
      <w:r>
        <w:rPr>
          <w:color w:val="231F20"/>
          <w:sz w:val="13"/>
        </w:rPr>
        <w:t xml:space="preserve">operate, accompany victims in the courtroom, and explain decisions that affect them.      The Child Witness </w:t>
      </w:r>
      <w:r>
        <w:rPr>
          <w:color w:val="231F20"/>
          <w:spacing w:val="2"/>
          <w:sz w:val="13"/>
        </w:rPr>
        <w:t xml:space="preserve">Service </w:t>
      </w:r>
      <w:r>
        <w:rPr>
          <w:color w:val="231F20"/>
          <w:sz w:val="13"/>
        </w:rPr>
        <w:t xml:space="preserve">provides </w:t>
      </w:r>
      <w:r>
        <w:rPr>
          <w:color w:val="231F20"/>
          <w:spacing w:val="2"/>
          <w:sz w:val="13"/>
        </w:rPr>
        <w:t xml:space="preserve">support </w:t>
      </w:r>
      <w:r>
        <w:rPr>
          <w:color w:val="231F20"/>
          <w:sz w:val="13"/>
        </w:rPr>
        <w:t xml:space="preserve">and preparation for children and young people, including victims, who may be required to give evidence at court in cases that involve a violent crime: </w:t>
      </w:r>
      <w:r>
        <w:rPr>
          <w:color w:val="231F20"/>
          <w:spacing w:val="2"/>
          <w:sz w:val="13"/>
        </w:rPr>
        <w:t xml:space="preserve">Department </w:t>
      </w:r>
      <w:r>
        <w:rPr>
          <w:color w:val="231F20"/>
          <w:sz w:val="13"/>
        </w:rPr>
        <w:t xml:space="preserve">of Justice and Community Safety (Vic), </w:t>
      </w:r>
      <w:r>
        <w:rPr>
          <w:i/>
          <w:color w:val="231F20"/>
          <w:sz w:val="13"/>
        </w:rPr>
        <w:t xml:space="preserve">Improving Victims’ </w:t>
      </w:r>
      <w:r>
        <w:rPr>
          <w:i/>
          <w:color w:val="231F20"/>
          <w:spacing w:val="2"/>
          <w:sz w:val="13"/>
        </w:rPr>
        <w:t xml:space="preserve">Experience </w:t>
      </w:r>
      <w:r>
        <w:rPr>
          <w:i/>
          <w:color w:val="231F20"/>
          <w:sz w:val="13"/>
        </w:rPr>
        <w:t xml:space="preserve">of </w:t>
      </w:r>
      <w:r>
        <w:rPr>
          <w:i/>
          <w:color w:val="231F20"/>
          <w:spacing w:val="2"/>
          <w:sz w:val="13"/>
        </w:rPr>
        <w:t xml:space="preserve">Summary </w:t>
      </w:r>
      <w:r>
        <w:rPr>
          <w:i/>
          <w:color w:val="231F20"/>
          <w:sz w:val="13"/>
        </w:rPr>
        <w:t xml:space="preserve">Proceedings </w:t>
      </w:r>
      <w:r>
        <w:rPr>
          <w:color w:val="231F20"/>
          <w:sz w:val="13"/>
        </w:rPr>
        <w:t xml:space="preserve">(Final </w:t>
      </w:r>
      <w:r>
        <w:rPr>
          <w:color w:val="231F20"/>
          <w:spacing w:val="2"/>
          <w:sz w:val="13"/>
        </w:rPr>
        <w:t xml:space="preserve">Report, </w:t>
      </w:r>
      <w:r>
        <w:rPr>
          <w:color w:val="231F20"/>
          <w:sz w:val="13"/>
        </w:rPr>
        <w:t>2021) 40–</w:t>
      </w:r>
      <w:proofErr w:type="gramStart"/>
      <w:r>
        <w:rPr>
          <w:color w:val="231F20"/>
          <w:sz w:val="13"/>
        </w:rPr>
        <w:t>41.The</w:t>
      </w:r>
      <w:proofErr w:type="gramEnd"/>
      <w:r>
        <w:rPr>
          <w:color w:val="231F20"/>
          <w:sz w:val="13"/>
        </w:rPr>
        <w:t xml:space="preserve"> Witness </w:t>
      </w:r>
      <w:r>
        <w:rPr>
          <w:color w:val="231F20"/>
          <w:spacing w:val="2"/>
          <w:sz w:val="13"/>
        </w:rPr>
        <w:t xml:space="preserve">Assistance Service </w:t>
      </w:r>
      <w:r>
        <w:rPr>
          <w:color w:val="231F20"/>
          <w:sz w:val="13"/>
        </w:rPr>
        <w:t xml:space="preserve">is run by the Office of </w:t>
      </w:r>
      <w:r>
        <w:rPr>
          <w:color w:val="231F20"/>
          <w:spacing w:val="2"/>
          <w:sz w:val="13"/>
        </w:rPr>
        <w:t xml:space="preserve">Public </w:t>
      </w:r>
      <w:r>
        <w:rPr>
          <w:color w:val="231F20"/>
          <w:sz w:val="13"/>
        </w:rPr>
        <w:t xml:space="preserve">Prosecutions. It </w:t>
      </w:r>
      <w:r>
        <w:rPr>
          <w:color w:val="231F20"/>
          <w:spacing w:val="2"/>
          <w:sz w:val="13"/>
        </w:rPr>
        <w:t xml:space="preserve">supports </w:t>
      </w:r>
      <w:r>
        <w:rPr>
          <w:color w:val="231F20"/>
          <w:sz w:val="13"/>
        </w:rPr>
        <w:t xml:space="preserve">adult victims and witnesses of serious crime through the court process, including by giving them information about how </w:t>
      </w:r>
      <w:r>
        <w:rPr>
          <w:color w:val="231F20"/>
          <w:spacing w:val="2"/>
          <w:sz w:val="13"/>
        </w:rPr>
        <w:t xml:space="preserve">courts </w:t>
      </w:r>
      <w:r>
        <w:rPr>
          <w:color w:val="231F20"/>
          <w:sz w:val="13"/>
        </w:rPr>
        <w:t xml:space="preserve">work and providing practical </w:t>
      </w:r>
      <w:r>
        <w:rPr>
          <w:color w:val="231F20"/>
          <w:spacing w:val="2"/>
          <w:sz w:val="13"/>
        </w:rPr>
        <w:t xml:space="preserve">support. </w:t>
      </w:r>
      <w:r>
        <w:rPr>
          <w:color w:val="231F20"/>
          <w:sz w:val="13"/>
        </w:rPr>
        <w:t xml:space="preserve">The </w:t>
      </w:r>
      <w:r>
        <w:rPr>
          <w:color w:val="231F20"/>
          <w:spacing w:val="2"/>
          <w:sz w:val="13"/>
        </w:rPr>
        <w:t xml:space="preserve">service </w:t>
      </w:r>
      <w:r>
        <w:rPr>
          <w:color w:val="231F20"/>
          <w:sz w:val="13"/>
        </w:rPr>
        <w:t xml:space="preserve">gives priority ‘to families who have lost loved ones; victims and witnesses in sexual assault and family violence matters; and vulnerable victims’: Office of </w:t>
      </w:r>
      <w:r>
        <w:rPr>
          <w:color w:val="231F20"/>
          <w:spacing w:val="2"/>
          <w:sz w:val="13"/>
        </w:rPr>
        <w:t xml:space="preserve">Public </w:t>
      </w:r>
      <w:r>
        <w:rPr>
          <w:color w:val="231F20"/>
          <w:sz w:val="13"/>
        </w:rPr>
        <w:t xml:space="preserve">Prosecutions (Vic), </w:t>
      </w:r>
      <w:r>
        <w:rPr>
          <w:i/>
          <w:color w:val="231F20"/>
          <w:sz w:val="13"/>
        </w:rPr>
        <w:t xml:space="preserve">Witness Assistance Service: We Can Help You </w:t>
      </w:r>
      <w:r>
        <w:rPr>
          <w:color w:val="231F20"/>
          <w:sz w:val="13"/>
        </w:rPr>
        <w:t>(Brochure,</w:t>
      </w:r>
      <w:r>
        <w:rPr>
          <w:color w:val="231F20"/>
          <w:spacing w:val="9"/>
          <w:sz w:val="13"/>
        </w:rPr>
        <w:t xml:space="preserve"> </w:t>
      </w:r>
      <w:r>
        <w:rPr>
          <w:color w:val="231F20"/>
          <w:sz w:val="13"/>
        </w:rPr>
        <w:t>2014).</w:t>
      </w:r>
    </w:p>
    <w:p w14:paraId="511D2E7C" w14:textId="77777777" w:rsidR="00894070" w:rsidRDefault="009B7AFD">
      <w:pPr>
        <w:pStyle w:val="ListParagraph"/>
        <w:numPr>
          <w:ilvl w:val="0"/>
          <w:numId w:val="123"/>
        </w:numPr>
        <w:tabs>
          <w:tab w:val="left" w:pos="1801"/>
          <w:tab w:val="left" w:pos="1802"/>
        </w:tabs>
        <w:spacing w:line="149" w:lineRule="exac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 2022)</w:t>
      </w:r>
      <w:r>
        <w:rPr>
          <w:color w:val="231F20"/>
          <w:spacing w:val="6"/>
          <w:sz w:val="13"/>
        </w:rPr>
        <w:t xml:space="preserve"> </w:t>
      </w:r>
      <w:r>
        <w:rPr>
          <w:color w:val="231F20"/>
          <w:sz w:val="13"/>
        </w:rPr>
        <w:t>x.</w:t>
      </w:r>
    </w:p>
    <w:p w14:paraId="678D214A" w14:textId="77777777" w:rsidR="00894070" w:rsidRDefault="009F6793">
      <w:pPr>
        <w:pStyle w:val="ListParagraph"/>
        <w:numPr>
          <w:ilvl w:val="0"/>
          <w:numId w:val="123"/>
        </w:numPr>
        <w:tabs>
          <w:tab w:val="left" w:pos="1800"/>
          <w:tab w:val="left" w:pos="1802"/>
        </w:tabs>
        <w:spacing w:before="6" w:line="213" w:lineRule="auto"/>
        <w:ind w:right="1281"/>
        <w:rPr>
          <w:sz w:val="13"/>
        </w:rPr>
      </w:pPr>
      <w:r>
        <w:pict w14:anchorId="5DE6E146">
          <v:shape id="_x0000_s1424" type="#_x0000_t202" style="position:absolute;left:0;text-align:left;margin-left:36pt;margin-top:3.7pt;width:13.95pt;height:14.1pt;z-index:251667456;mso-position-horizontal-relative:page" filled="f" stroked="f">
            <v:textbox inset="0,0,0,0">
              <w:txbxContent>
                <w:p w14:paraId="6068EF45" w14:textId="77777777" w:rsidR="00894070" w:rsidRDefault="009B7AFD">
                  <w:pPr>
                    <w:spacing w:line="282" w:lineRule="exact"/>
                    <w:rPr>
                      <w:b/>
                      <w:sz w:val="24"/>
                    </w:rPr>
                  </w:pPr>
                  <w:r>
                    <w:rPr>
                      <w:b/>
                      <w:color w:val="EA5B50"/>
                      <w:spacing w:val="-1"/>
                      <w:sz w:val="24"/>
                    </w:rPr>
                    <w:t>78</w:t>
                  </w:r>
                </w:p>
              </w:txbxContent>
            </v:textbox>
            <w10:wrap anchorx="page"/>
          </v:shape>
        </w:pict>
      </w:r>
      <w:r w:rsidR="009B7AFD">
        <w:rPr>
          <w:color w:val="231F20"/>
          <w:sz w:val="13"/>
        </w:rPr>
        <w:t xml:space="preserve">Suzan </w:t>
      </w:r>
      <w:proofErr w:type="gramStart"/>
      <w:r w:rsidR="009B7AFD">
        <w:rPr>
          <w:color w:val="231F20"/>
          <w:sz w:val="13"/>
        </w:rPr>
        <w:t>van</w:t>
      </w:r>
      <w:proofErr w:type="gramEnd"/>
      <w:r w:rsidR="009B7AFD">
        <w:rPr>
          <w:color w:val="231F20"/>
          <w:sz w:val="13"/>
        </w:rPr>
        <w:t xml:space="preserve"> der Aa and Anne </w:t>
      </w:r>
      <w:r w:rsidR="009B7AFD">
        <w:rPr>
          <w:color w:val="231F20"/>
          <w:spacing w:val="2"/>
          <w:sz w:val="13"/>
        </w:rPr>
        <w:t xml:space="preserve">Groenen, ‘Identifying </w:t>
      </w:r>
      <w:r w:rsidR="009B7AFD">
        <w:rPr>
          <w:color w:val="231F20"/>
          <w:sz w:val="13"/>
        </w:rPr>
        <w:t xml:space="preserve">the </w:t>
      </w:r>
      <w:r w:rsidR="009B7AFD">
        <w:rPr>
          <w:color w:val="231F20"/>
          <w:spacing w:val="2"/>
          <w:sz w:val="13"/>
        </w:rPr>
        <w:t xml:space="preserve">Needs </w:t>
      </w:r>
      <w:r w:rsidR="009B7AFD">
        <w:rPr>
          <w:color w:val="231F20"/>
          <w:sz w:val="13"/>
        </w:rPr>
        <w:t xml:space="preserve">of Stalking Victims and the Responsiveness of the Criminal Justice System: A Qualitative Study in Belgium and the Netherlands’ (2010) </w:t>
      </w:r>
      <w:r w:rsidR="009B7AFD">
        <w:rPr>
          <w:color w:val="231F20"/>
          <w:spacing w:val="2"/>
          <w:sz w:val="13"/>
        </w:rPr>
        <w:t xml:space="preserve">6(1) </w:t>
      </w:r>
      <w:r w:rsidR="009B7AFD">
        <w:rPr>
          <w:i/>
          <w:color w:val="231F20"/>
          <w:sz w:val="13"/>
        </w:rPr>
        <w:t xml:space="preserve">Victims &amp; Offenders </w:t>
      </w:r>
      <w:r w:rsidR="009B7AFD">
        <w:rPr>
          <w:color w:val="231F20"/>
          <w:sz w:val="13"/>
        </w:rPr>
        <w:t>19,</w:t>
      </w:r>
      <w:r w:rsidR="009B7AFD">
        <w:rPr>
          <w:color w:val="231F20"/>
          <w:spacing w:val="20"/>
          <w:sz w:val="13"/>
        </w:rPr>
        <w:t xml:space="preserve"> </w:t>
      </w:r>
      <w:r w:rsidR="009B7AFD">
        <w:rPr>
          <w:color w:val="231F20"/>
          <w:sz w:val="13"/>
        </w:rPr>
        <w:t>20.</w:t>
      </w:r>
    </w:p>
    <w:p w14:paraId="2C42F059" w14:textId="77777777" w:rsidR="00894070" w:rsidRDefault="00894070">
      <w:pPr>
        <w:spacing w:line="213" w:lineRule="auto"/>
        <w:rPr>
          <w:sz w:val="13"/>
        </w:rPr>
        <w:sectPr w:rsidR="00894070">
          <w:pgSz w:w="11910" w:h="16840"/>
          <w:pgMar w:top="860" w:right="420" w:bottom="280" w:left="580" w:header="567" w:footer="0" w:gutter="0"/>
          <w:cols w:space="720"/>
        </w:sectPr>
      </w:pPr>
    </w:p>
    <w:p w14:paraId="1F0B3F5B" w14:textId="77777777" w:rsidR="00894070" w:rsidRDefault="00894070">
      <w:pPr>
        <w:pStyle w:val="BodyText"/>
      </w:pPr>
    </w:p>
    <w:p w14:paraId="0D8A424E" w14:textId="77777777" w:rsidR="00894070" w:rsidRDefault="00894070">
      <w:pPr>
        <w:pStyle w:val="BodyText"/>
      </w:pPr>
    </w:p>
    <w:p w14:paraId="0C1E5F50" w14:textId="77777777" w:rsidR="00894070" w:rsidRDefault="00894070">
      <w:pPr>
        <w:pStyle w:val="BodyText"/>
      </w:pPr>
    </w:p>
    <w:p w14:paraId="043B43A7" w14:textId="77777777" w:rsidR="00894070" w:rsidRDefault="00894070">
      <w:pPr>
        <w:pStyle w:val="BodyText"/>
        <w:spacing w:before="6"/>
        <w:rPr>
          <w:sz w:val="14"/>
        </w:rPr>
      </w:pPr>
    </w:p>
    <w:p w14:paraId="709F0AFF" w14:textId="77777777" w:rsidR="00894070" w:rsidRDefault="009B7AFD">
      <w:pPr>
        <w:pStyle w:val="ListParagraph"/>
        <w:numPr>
          <w:ilvl w:val="1"/>
          <w:numId w:val="123"/>
        </w:numPr>
        <w:tabs>
          <w:tab w:val="left" w:pos="2141"/>
          <w:tab w:val="left" w:pos="2142"/>
        </w:tabs>
        <w:spacing w:before="90" w:line="206" w:lineRule="auto"/>
        <w:ind w:right="1485" w:hanging="340"/>
        <w:rPr>
          <w:sz w:val="20"/>
        </w:rPr>
      </w:pPr>
      <w:bookmarkStart w:id="95" w:name="_bookmark50"/>
      <w:bookmarkEnd w:id="95"/>
      <w:r>
        <w:rPr>
          <w:color w:val="231F20"/>
          <w:sz w:val="20"/>
        </w:rPr>
        <w:t>the</w:t>
      </w:r>
      <w:r>
        <w:rPr>
          <w:color w:val="231F20"/>
          <w:spacing w:val="-7"/>
          <w:sz w:val="20"/>
        </w:rPr>
        <w:t xml:space="preserve"> </w:t>
      </w:r>
      <w:r>
        <w:rPr>
          <w:color w:val="231F20"/>
          <w:sz w:val="20"/>
        </w:rPr>
        <w:t>support</w:t>
      </w:r>
      <w:r>
        <w:rPr>
          <w:color w:val="231F20"/>
          <w:spacing w:val="-7"/>
          <w:sz w:val="20"/>
        </w:rPr>
        <w:t xml:space="preserve"> </w:t>
      </w:r>
      <w:r>
        <w:rPr>
          <w:color w:val="231F20"/>
          <w:sz w:val="20"/>
        </w:rPr>
        <w:t>they</w:t>
      </w:r>
      <w:r>
        <w:rPr>
          <w:color w:val="231F20"/>
          <w:spacing w:val="-6"/>
          <w:sz w:val="20"/>
        </w:rPr>
        <w:t xml:space="preserve"> </w:t>
      </w:r>
      <w:r>
        <w:rPr>
          <w:color w:val="231F20"/>
          <w:spacing w:val="-4"/>
          <w:sz w:val="20"/>
        </w:rPr>
        <w:t>have</w:t>
      </w:r>
      <w:r>
        <w:rPr>
          <w:color w:val="231F20"/>
          <w:spacing w:val="-7"/>
          <w:sz w:val="20"/>
        </w:rPr>
        <w:t xml:space="preserve"> </w:t>
      </w:r>
      <w:r>
        <w:rPr>
          <w:color w:val="231F20"/>
          <w:spacing w:val="-3"/>
          <w:sz w:val="20"/>
        </w:rPr>
        <w:t>available—they</w:t>
      </w:r>
      <w:r>
        <w:rPr>
          <w:color w:val="231F20"/>
          <w:spacing w:val="-6"/>
          <w:sz w:val="20"/>
        </w:rPr>
        <w:t xml:space="preserve"> </w:t>
      </w:r>
      <w:r>
        <w:rPr>
          <w:color w:val="231F20"/>
          <w:spacing w:val="-3"/>
          <w:sz w:val="20"/>
        </w:rPr>
        <w:t>may</w:t>
      </w:r>
      <w:r>
        <w:rPr>
          <w:color w:val="231F20"/>
          <w:spacing w:val="-7"/>
          <w:sz w:val="20"/>
        </w:rPr>
        <w:t xml:space="preserve"> </w:t>
      </w:r>
      <w:r>
        <w:rPr>
          <w:color w:val="231F20"/>
          <w:sz w:val="20"/>
        </w:rPr>
        <w:t>not</w:t>
      </w:r>
      <w:r>
        <w:rPr>
          <w:color w:val="231F20"/>
          <w:spacing w:val="-7"/>
          <w:sz w:val="20"/>
        </w:rPr>
        <w:t xml:space="preserve"> </w:t>
      </w:r>
      <w:r>
        <w:rPr>
          <w:color w:val="231F20"/>
          <w:sz w:val="20"/>
        </w:rPr>
        <w:t>be</w:t>
      </w:r>
      <w:r>
        <w:rPr>
          <w:color w:val="231F20"/>
          <w:spacing w:val="-6"/>
          <w:sz w:val="20"/>
        </w:rPr>
        <w:t xml:space="preserve"> </w:t>
      </w:r>
      <w:r>
        <w:rPr>
          <w:color w:val="231F20"/>
          <w:sz w:val="20"/>
        </w:rPr>
        <w:t>taken</w:t>
      </w:r>
      <w:r>
        <w:rPr>
          <w:color w:val="231F20"/>
          <w:spacing w:val="-7"/>
          <w:sz w:val="20"/>
        </w:rPr>
        <w:t xml:space="preserve"> </w:t>
      </w:r>
      <w:r>
        <w:rPr>
          <w:color w:val="231F20"/>
          <w:sz w:val="20"/>
        </w:rPr>
        <w:t>seriously</w:t>
      </w:r>
      <w:r>
        <w:rPr>
          <w:color w:val="231F20"/>
          <w:spacing w:val="-6"/>
          <w:sz w:val="20"/>
        </w:rPr>
        <w:t xml:space="preserve"> </w:t>
      </w:r>
      <w:r>
        <w:rPr>
          <w:color w:val="231F20"/>
          <w:spacing w:val="-3"/>
          <w:sz w:val="20"/>
        </w:rPr>
        <w:t>by</w:t>
      </w:r>
      <w:r>
        <w:rPr>
          <w:color w:val="231F20"/>
          <w:spacing w:val="-7"/>
          <w:sz w:val="20"/>
        </w:rPr>
        <w:t xml:space="preserve"> </w:t>
      </w:r>
      <w:r>
        <w:rPr>
          <w:color w:val="231F20"/>
          <w:sz w:val="20"/>
        </w:rPr>
        <w:t>friends</w:t>
      </w:r>
      <w:r>
        <w:rPr>
          <w:color w:val="231F20"/>
          <w:spacing w:val="-7"/>
          <w:sz w:val="20"/>
        </w:rPr>
        <w:t xml:space="preserve"> </w:t>
      </w:r>
      <w:r>
        <w:rPr>
          <w:color w:val="231F20"/>
          <w:sz w:val="20"/>
        </w:rPr>
        <w:t xml:space="preserve">and </w:t>
      </w:r>
      <w:r>
        <w:rPr>
          <w:color w:val="231F20"/>
          <w:spacing w:val="-3"/>
          <w:sz w:val="20"/>
        </w:rPr>
        <w:t xml:space="preserve">family </w:t>
      </w:r>
      <w:r>
        <w:rPr>
          <w:color w:val="231F20"/>
          <w:sz w:val="20"/>
        </w:rPr>
        <w:t xml:space="preserve">(see </w:t>
      </w:r>
      <w:r>
        <w:rPr>
          <w:color w:val="231F20"/>
          <w:spacing w:val="-3"/>
          <w:sz w:val="20"/>
        </w:rPr>
        <w:t>Chapter</w:t>
      </w:r>
      <w:r>
        <w:rPr>
          <w:color w:val="231F20"/>
          <w:spacing w:val="-9"/>
          <w:sz w:val="20"/>
        </w:rPr>
        <w:t xml:space="preserve"> </w:t>
      </w:r>
      <w:r>
        <w:rPr>
          <w:color w:val="231F20"/>
          <w:sz w:val="20"/>
        </w:rPr>
        <w:t>4)</w:t>
      </w:r>
    </w:p>
    <w:p w14:paraId="2075D4B8" w14:textId="77777777" w:rsidR="00894070" w:rsidRDefault="009B7AFD">
      <w:pPr>
        <w:pStyle w:val="ListParagraph"/>
        <w:numPr>
          <w:ilvl w:val="1"/>
          <w:numId w:val="123"/>
        </w:numPr>
        <w:tabs>
          <w:tab w:val="left" w:pos="2141"/>
          <w:tab w:val="left" w:pos="2142"/>
        </w:tabs>
        <w:spacing w:before="55" w:line="259" w:lineRule="exact"/>
        <w:ind w:hanging="340"/>
        <w:rPr>
          <w:sz w:val="20"/>
        </w:rPr>
      </w:pPr>
      <w:r>
        <w:rPr>
          <w:color w:val="231F20"/>
          <w:sz w:val="20"/>
        </w:rPr>
        <w:t>the</w:t>
      </w:r>
      <w:r>
        <w:rPr>
          <w:color w:val="231F20"/>
          <w:spacing w:val="-6"/>
          <w:sz w:val="20"/>
        </w:rPr>
        <w:t xml:space="preserve"> </w:t>
      </w:r>
      <w:r>
        <w:rPr>
          <w:color w:val="231F20"/>
          <w:sz w:val="20"/>
        </w:rPr>
        <w:t>impacts</w:t>
      </w:r>
      <w:r>
        <w:rPr>
          <w:color w:val="231F20"/>
          <w:spacing w:val="-5"/>
          <w:sz w:val="20"/>
        </w:rPr>
        <w:t xml:space="preserve"> </w:t>
      </w:r>
      <w:r>
        <w:rPr>
          <w:color w:val="231F20"/>
          <w:sz w:val="20"/>
        </w:rPr>
        <w:t>of</w:t>
      </w:r>
      <w:r>
        <w:rPr>
          <w:color w:val="231F20"/>
          <w:spacing w:val="-5"/>
          <w:sz w:val="20"/>
        </w:rPr>
        <w:t xml:space="preserve"> </w:t>
      </w:r>
      <w:r>
        <w:rPr>
          <w:color w:val="231F20"/>
          <w:sz w:val="20"/>
        </w:rPr>
        <w:t>stalking—stalking</w:t>
      </w:r>
      <w:r>
        <w:rPr>
          <w:color w:val="231F20"/>
          <w:spacing w:val="-5"/>
          <w:sz w:val="20"/>
        </w:rPr>
        <w:t xml:space="preserve"> </w:t>
      </w:r>
      <w:r>
        <w:rPr>
          <w:color w:val="231F20"/>
          <w:spacing w:val="-3"/>
          <w:sz w:val="20"/>
        </w:rPr>
        <w:t>may</w:t>
      </w:r>
      <w:r>
        <w:rPr>
          <w:color w:val="231F20"/>
          <w:spacing w:val="-6"/>
          <w:sz w:val="20"/>
        </w:rPr>
        <w:t xml:space="preserve"> </w:t>
      </w:r>
      <w:r>
        <w:rPr>
          <w:color w:val="231F20"/>
          <w:spacing w:val="-4"/>
          <w:sz w:val="20"/>
        </w:rPr>
        <w:t>have</w:t>
      </w:r>
      <w:r>
        <w:rPr>
          <w:color w:val="231F20"/>
          <w:spacing w:val="-5"/>
          <w:sz w:val="20"/>
        </w:rPr>
        <w:t xml:space="preserve"> </w:t>
      </w:r>
      <w:r>
        <w:rPr>
          <w:color w:val="231F20"/>
          <w:sz w:val="20"/>
        </w:rPr>
        <w:t>a</w:t>
      </w:r>
      <w:r>
        <w:rPr>
          <w:color w:val="231F20"/>
          <w:spacing w:val="-5"/>
          <w:sz w:val="20"/>
        </w:rPr>
        <w:t xml:space="preserve"> </w:t>
      </w:r>
      <w:r>
        <w:rPr>
          <w:color w:val="231F20"/>
          <w:sz w:val="20"/>
        </w:rPr>
        <w:t>range</w:t>
      </w:r>
      <w:r>
        <w:rPr>
          <w:color w:val="231F20"/>
          <w:spacing w:val="-5"/>
          <w:sz w:val="20"/>
        </w:rPr>
        <w:t xml:space="preserve"> </w:t>
      </w:r>
      <w:r>
        <w:rPr>
          <w:color w:val="231F20"/>
          <w:sz w:val="20"/>
        </w:rPr>
        <w:t>of</w:t>
      </w:r>
      <w:r>
        <w:rPr>
          <w:color w:val="231F20"/>
          <w:spacing w:val="-5"/>
          <w:sz w:val="20"/>
        </w:rPr>
        <w:t xml:space="preserve"> </w:t>
      </w:r>
      <w:r>
        <w:rPr>
          <w:color w:val="231F20"/>
          <w:spacing w:val="-3"/>
          <w:sz w:val="20"/>
        </w:rPr>
        <w:t>negative</w:t>
      </w:r>
      <w:r>
        <w:rPr>
          <w:color w:val="231F20"/>
          <w:spacing w:val="-6"/>
          <w:sz w:val="20"/>
        </w:rPr>
        <w:t xml:space="preserve"> </w:t>
      </w:r>
      <w:r>
        <w:rPr>
          <w:color w:val="231F20"/>
          <w:sz w:val="20"/>
        </w:rPr>
        <w:t>impacts</w:t>
      </w:r>
      <w:r>
        <w:rPr>
          <w:color w:val="231F20"/>
          <w:spacing w:val="-5"/>
          <w:sz w:val="20"/>
        </w:rPr>
        <w:t xml:space="preserve"> </w:t>
      </w:r>
      <w:r>
        <w:rPr>
          <w:color w:val="231F20"/>
          <w:sz w:val="20"/>
        </w:rPr>
        <w:t>including</w:t>
      </w:r>
    </w:p>
    <w:p w14:paraId="636E68E3" w14:textId="77777777" w:rsidR="00894070" w:rsidRDefault="009B7AFD">
      <w:pPr>
        <w:pStyle w:val="BodyText"/>
        <w:spacing w:line="259" w:lineRule="exact"/>
        <w:ind w:left="2141"/>
      </w:pPr>
      <w:r>
        <w:rPr>
          <w:color w:val="231F20"/>
        </w:rPr>
        <w:t xml:space="preserve">economic, social, </w:t>
      </w:r>
      <w:proofErr w:type="gramStart"/>
      <w:r>
        <w:rPr>
          <w:color w:val="231F20"/>
        </w:rPr>
        <w:t>physical</w:t>
      </w:r>
      <w:proofErr w:type="gramEnd"/>
      <w:r>
        <w:rPr>
          <w:color w:val="231F20"/>
        </w:rPr>
        <w:t xml:space="preserve"> and psychological impacts</w:t>
      </w:r>
      <w:r>
        <w:rPr>
          <w:color w:val="231F20"/>
          <w:position w:val="7"/>
          <w:sz w:val="11"/>
        </w:rPr>
        <w:t xml:space="preserve">15 </w:t>
      </w:r>
      <w:r>
        <w:rPr>
          <w:color w:val="231F20"/>
        </w:rPr>
        <w:t>(see Chapter 2).</w:t>
      </w:r>
    </w:p>
    <w:p w14:paraId="1DBAC8B3" w14:textId="77777777" w:rsidR="00894070" w:rsidRDefault="009B7AFD">
      <w:pPr>
        <w:pStyle w:val="ListParagraph"/>
        <w:numPr>
          <w:ilvl w:val="1"/>
          <w:numId w:val="126"/>
        </w:numPr>
        <w:tabs>
          <w:tab w:val="left" w:pos="1801"/>
          <w:tab w:val="left" w:pos="1802"/>
        </w:tabs>
        <w:spacing w:before="80" w:line="206" w:lineRule="auto"/>
        <w:ind w:right="1557"/>
        <w:rPr>
          <w:sz w:val="20"/>
        </w:rPr>
      </w:pPr>
      <w:r>
        <w:rPr>
          <w:color w:val="231F20"/>
          <w:sz w:val="20"/>
        </w:rPr>
        <w:t>These</w:t>
      </w:r>
      <w:r>
        <w:rPr>
          <w:color w:val="231F20"/>
          <w:spacing w:val="-6"/>
          <w:sz w:val="20"/>
        </w:rPr>
        <w:t xml:space="preserve"> </w:t>
      </w:r>
      <w:r>
        <w:rPr>
          <w:color w:val="231F20"/>
          <w:sz w:val="20"/>
        </w:rPr>
        <w:t>needs</w:t>
      </w:r>
      <w:r>
        <w:rPr>
          <w:color w:val="231F20"/>
          <w:spacing w:val="-6"/>
          <w:sz w:val="20"/>
        </w:rPr>
        <w:t xml:space="preserve"> </w:t>
      </w:r>
      <w:r>
        <w:rPr>
          <w:color w:val="231F20"/>
          <w:sz w:val="20"/>
        </w:rPr>
        <w:t>call</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practical,</w:t>
      </w:r>
      <w:r>
        <w:rPr>
          <w:color w:val="231F20"/>
          <w:spacing w:val="-6"/>
          <w:sz w:val="20"/>
        </w:rPr>
        <w:t xml:space="preserve"> </w:t>
      </w:r>
      <w:r>
        <w:rPr>
          <w:color w:val="231F20"/>
          <w:spacing w:val="-3"/>
          <w:sz w:val="20"/>
        </w:rPr>
        <w:t>timely</w:t>
      </w:r>
      <w:r>
        <w:rPr>
          <w:color w:val="231F20"/>
          <w:spacing w:val="-6"/>
          <w:sz w:val="20"/>
        </w:rPr>
        <w:t xml:space="preserve"> </w:t>
      </w:r>
      <w:r>
        <w:rPr>
          <w:color w:val="231F20"/>
          <w:sz w:val="20"/>
        </w:rPr>
        <w:t>and</w:t>
      </w:r>
      <w:r>
        <w:rPr>
          <w:color w:val="231F20"/>
          <w:spacing w:val="-6"/>
          <w:sz w:val="20"/>
        </w:rPr>
        <w:t xml:space="preserve"> </w:t>
      </w:r>
      <w:r>
        <w:rPr>
          <w:color w:val="231F20"/>
          <w:sz w:val="20"/>
        </w:rPr>
        <w:t>ongoing</w:t>
      </w:r>
      <w:r>
        <w:rPr>
          <w:color w:val="231F20"/>
          <w:spacing w:val="-6"/>
          <w:sz w:val="20"/>
        </w:rPr>
        <w:t xml:space="preserve"> </w:t>
      </w:r>
      <w:r>
        <w:rPr>
          <w:color w:val="231F20"/>
          <w:sz w:val="20"/>
        </w:rPr>
        <w:t>support.</w:t>
      </w:r>
      <w:r>
        <w:rPr>
          <w:color w:val="231F20"/>
          <w:spacing w:val="-6"/>
          <w:sz w:val="20"/>
        </w:rPr>
        <w:t xml:space="preserve"> </w:t>
      </w:r>
      <w:r>
        <w:rPr>
          <w:color w:val="231F20"/>
          <w:sz w:val="20"/>
        </w:rPr>
        <w:t>In</w:t>
      </w:r>
      <w:r>
        <w:rPr>
          <w:color w:val="231F20"/>
          <w:spacing w:val="-6"/>
          <w:sz w:val="20"/>
        </w:rPr>
        <w:t xml:space="preserve"> </w:t>
      </w:r>
      <w:r>
        <w:rPr>
          <w:color w:val="231F20"/>
          <w:spacing w:val="-3"/>
          <w:sz w:val="20"/>
        </w:rPr>
        <w:t>Chapter</w:t>
      </w:r>
      <w:r>
        <w:rPr>
          <w:color w:val="231F20"/>
          <w:spacing w:val="-6"/>
          <w:sz w:val="20"/>
        </w:rPr>
        <w:t xml:space="preserve"> </w:t>
      </w:r>
      <w:r>
        <w:rPr>
          <w:color w:val="231F20"/>
          <w:sz w:val="20"/>
        </w:rPr>
        <w:t>3</w:t>
      </w:r>
      <w:r>
        <w:rPr>
          <w:color w:val="231F20"/>
          <w:spacing w:val="-5"/>
          <w:sz w:val="20"/>
        </w:rPr>
        <w:t xml:space="preserve"> </w:t>
      </w:r>
      <w:r>
        <w:rPr>
          <w:color w:val="231F20"/>
          <w:spacing w:val="-3"/>
          <w:sz w:val="20"/>
        </w:rPr>
        <w:t>we</w:t>
      </w:r>
      <w:r>
        <w:rPr>
          <w:color w:val="231F20"/>
          <w:spacing w:val="-6"/>
          <w:sz w:val="20"/>
        </w:rPr>
        <w:t xml:space="preserve"> </w:t>
      </w:r>
      <w:r>
        <w:rPr>
          <w:color w:val="231F20"/>
          <w:sz w:val="20"/>
        </w:rPr>
        <w:t xml:space="preserve">discuss </w:t>
      </w:r>
      <w:r>
        <w:rPr>
          <w:color w:val="231F20"/>
          <w:spacing w:val="-3"/>
          <w:sz w:val="20"/>
        </w:rPr>
        <w:t xml:space="preserve">why </w:t>
      </w:r>
      <w:r>
        <w:rPr>
          <w:color w:val="231F20"/>
          <w:sz w:val="20"/>
        </w:rPr>
        <w:t xml:space="preserve">support </w:t>
      </w:r>
      <w:r>
        <w:rPr>
          <w:color w:val="231F20"/>
          <w:spacing w:val="-3"/>
          <w:sz w:val="20"/>
        </w:rPr>
        <w:t xml:space="preserve">for </w:t>
      </w:r>
      <w:r>
        <w:rPr>
          <w:color w:val="231F20"/>
          <w:sz w:val="20"/>
        </w:rPr>
        <w:t>cyberstalking must also be regulated and</w:t>
      </w:r>
      <w:r>
        <w:rPr>
          <w:color w:val="231F20"/>
          <w:spacing w:val="-37"/>
          <w:sz w:val="20"/>
        </w:rPr>
        <w:t xml:space="preserve"> </w:t>
      </w:r>
      <w:r>
        <w:rPr>
          <w:color w:val="231F20"/>
          <w:spacing w:val="-3"/>
          <w:sz w:val="20"/>
        </w:rPr>
        <w:t>safe.</w:t>
      </w:r>
    </w:p>
    <w:p w14:paraId="21B234A6" w14:textId="77777777" w:rsidR="00894070" w:rsidRDefault="00894070">
      <w:pPr>
        <w:pStyle w:val="BodyText"/>
        <w:spacing w:before="9"/>
        <w:rPr>
          <w:sz w:val="15"/>
        </w:rPr>
      </w:pPr>
    </w:p>
    <w:p w14:paraId="4C9A91EE" w14:textId="77777777" w:rsidR="00894070" w:rsidRDefault="009B7AFD">
      <w:pPr>
        <w:pStyle w:val="Heading8"/>
        <w:ind w:left="1007"/>
      </w:pPr>
      <w:r>
        <w:rPr>
          <w:color w:val="231F20"/>
        </w:rPr>
        <w:t>Support needs to be practical</w:t>
      </w:r>
    </w:p>
    <w:p w14:paraId="60DD3831" w14:textId="77777777" w:rsidR="00894070" w:rsidRDefault="009B7AFD">
      <w:pPr>
        <w:pStyle w:val="ListParagraph"/>
        <w:numPr>
          <w:ilvl w:val="1"/>
          <w:numId w:val="126"/>
        </w:numPr>
        <w:tabs>
          <w:tab w:val="left" w:pos="1801"/>
          <w:tab w:val="left" w:pos="1802"/>
        </w:tabs>
        <w:spacing w:before="127" w:line="206" w:lineRule="auto"/>
        <w:ind w:right="1243"/>
        <w:rPr>
          <w:sz w:val="20"/>
        </w:rPr>
      </w:pPr>
      <w:r>
        <w:rPr>
          <w:color w:val="231F20"/>
          <w:sz w:val="20"/>
        </w:rPr>
        <w:t>People who experience stalking need support that is tailored to their specific needs (see</w:t>
      </w:r>
      <w:r>
        <w:rPr>
          <w:color w:val="231F20"/>
          <w:spacing w:val="-11"/>
          <w:sz w:val="20"/>
        </w:rPr>
        <w:t xml:space="preserve"> </w:t>
      </w:r>
      <w:r>
        <w:rPr>
          <w:color w:val="231F20"/>
          <w:spacing w:val="-6"/>
          <w:sz w:val="20"/>
        </w:rPr>
        <w:t>Table</w:t>
      </w:r>
      <w:r>
        <w:rPr>
          <w:color w:val="231F20"/>
          <w:spacing w:val="-10"/>
          <w:sz w:val="20"/>
        </w:rPr>
        <w:t xml:space="preserve"> </w:t>
      </w:r>
      <w:r>
        <w:rPr>
          <w:color w:val="231F20"/>
          <w:spacing w:val="-5"/>
          <w:sz w:val="20"/>
        </w:rPr>
        <w:t>10).</w:t>
      </w:r>
      <w:r>
        <w:rPr>
          <w:color w:val="231F20"/>
          <w:spacing w:val="-10"/>
          <w:sz w:val="20"/>
        </w:rPr>
        <w:t xml:space="preserve"> </w:t>
      </w:r>
      <w:r>
        <w:rPr>
          <w:color w:val="231F20"/>
          <w:sz w:val="20"/>
        </w:rPr>
        <w:t>This</w:t>
      </w:r>
      <w:r>
        <w:rPr>
          <w:color w:val="231F20"/>
          <w:spacing w:val="-11"/>
          <w:sz w:val="20"/>
        </w:rPr>
        <w:t xml:space="preserve"> </w:t>
      </w:r>
      <w:r>
        <w:rPr>
          <w:color w:val="231F20"/>
          <w:sz w:val="20"/>
        </w:rPr>
        <w:t>should</w:t>
      </w:r>
      <w:r>
        <w:rPr>
          <w:color w:val="231F20"/>
          <w:spacing w:val="-10"/>
          <w:sz w:val="20"/>
        </w:rPr>
        <w:t xml:space="preserve"> </w:t>
      </w:r>
      <w:r>
        <w:rPr>
          <w:color w:val="231F20"/>
          <w:sz w:val="20"/>
        </w:rPr>
        <w:t>include</w:t>
      </w:r>
      <w:r>
        <w:rPr>
          <w:color w:val="231F20"/>
          <w:spacing w:val="-10"/>
          <w:sz w:val="20"/>
        </w:rPr>
        <w:t xml:space="preserve"> </w:t>
      </w:r>
      <w:r>
        <w:rPr>
          <w:color w:val="231F20"/>
          <w:sz w:val="20"/>
        </w:rPr>
        <w:t>support</w:t>
      </w:r>
      <w:r>
        <w:rPr>
          <w:color w:val="231F20"/>
          <w:spacing w:val="-10"/>
          <w:sz w:val="20"/>
        </w:rPr>
        <w:t xml:space="preserve"> </w:t>
      </w:r>
      <w:r>
        <w:rPr>
          <w:color w:val="231F20"/>
          <w:spacing w:val="-3"/>
          <w:sz w:val="20"/>
        </w:rPr>
        <w:t>for</w:t>
      </w:r>
      <w:r>
        <w:rPr>
          <w:color w:val="231F20"/>
          <w:spacing w:val="-11"/>
          <w:sz w:val="20"/>
        </w:rPr>
        <w:t xml:space="preserve"> </w:t>
      </w:r>
      <w:r>
        <w:rPr>
          <w:color w:val="231F20"/>
          <w:sz w:val="20"/>
        </w:rPr>
        <w:t>safety</w:t>
      </w:r>
      <w:r>
        <w:rPr>
          <w:color w:val="231F20"/>
          <w:spacing w:val="-10"/>
          <w:sz w:val="20"/>
        </w:rPr>
        <w:t xml:space="preserve"> </w:t>
      </w:r>
      <w:r>
        <w:rPr>
          <w:color w:val="231F20"/>
          <w:sz w:val="20"/>
        </w:rPr>
        <w:t>planning</w:t>
      </w:r>
      <w:r>
        <w:rPr>
          <w:color w:val="231F20"/>
          <w:spacing w:val="-10"/>
          <w:sz w:val="20"/>
        </w:rPr>
        <w:t xml:space="preserve"> </w:t>
      </w:r>
      <w:r>
        <w:rPr>
          <w:color w:val="231F20"/>
          <w:sz w:val="20"/>
        </w:rPr>
        <w:t>and</w:t>
      </w:r>
      <w:r>
        <w:rPr>
          <w:color w:val="231F20"/>
          <w:spacing w:val="-11"/>
          <w:sz w:val="20"/>
        </w:rPr>
        <w:t xml:space="preserve"> </w:t>
      </w:r>
      <w:r>
        <w:rPr>
          <w:color w:val="231F20"/>
          <w:sz w:val="20"/>
        </w:rPr>
        <w:t>safety</w:t>
      </w:r>
      <w:r>
        <w:rPr>
          <w:color w:val="231F20"/>
          <w:spacing w:val="-10"/>
          <w:sz w:val="20"/>
        </w:rPr>
        <w:t xml:space="preserve"> </w:t>
      </w:r>
      <w:r>
        <w:rPr>
          <w:color w:val="231F20"/>
          <w:sz w:val="20"/>
        </w:rPr>
        <w:t xml:space="preserve">interventions, financial </w:t>
      </w:r>
      <w:proofErr w:type="gramStart"/>
      <w:r>
        <w:rPr>
          <w:color w:val="231F20"/>
          <w:sz w:val="20"/>
        </w:rPr>
        <w:t>assistance</w:t>
      </w:r>
      <w:proofErr w:type="gramEnd"/>
      <w:r>
        <w:rPr>
          <w:color w:val="231F20"/>
          <w:sz w:val="20"/>
        </w:rPr>
        <w:t xml:space="preserve"> and therapeutic</w:t>
      </w:r>
      <w:r>
        <w:rPr>
          <w:color w:val="231F20"/>
          <w:spacing w:val="-19"/>
          <w:sz w:val="20"/>
        </w:rPr>
        <w:t xml:space="preserve"> </w:t>
      </w:r>
      <w:r>
        <w:rPr>
          <w:color w:val="231F20"/>
          <w:sz w:val="20"/>
        </w:rPr>
        <w:t>support.</w:t>
      </w:r>
    </w:p>
    <w:p w14:paraId="21C19CC0" w14:textId="77777777" w:rsidR="00894070" w:rsidRDefault="009B7AFD">
      <w:pPr>
        <w:spacing w:before="103"/>
        <w:ind w:left="1801"/>
        <w:rPr>
          <w:b/>
          <w:sz w:val="19"/>
        </w:rPr>
      </w:pPr>
      <w:r>
        <w:rPr>
          <w:b/>
          <w:color w:val="231F20"/>
          <w:sz w:val="19"/>
        </w:rPr>
        <w:t>Table 10: Practical support for stalking</w:t>
      </w:r>
    </w:p>
    <w:p w14:paraId="1BA72946" w14:textId="77777777" w:rsidR="00894070" w:rsidRDefault="00894070">
      <w:pPr>
        <w:pStyle w:val="BodyText"/>
        <w:spacing w:before="9"/>
        <w:rPr>
          <w:b/>
          <w:sz w:val="13"/>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436"/>
        <w:gridCol w:w="5491"/>
      </w:tblGrid>
      <w:tr w:rsidR="00894070" w14:paraId="0E6D30C3" w14:textId="77777777">
        <w:trPr>
          <w:trHeight w:val="518"/>
        </w:trPr>
        <w:tc>
          <w:tcPr>
            <w:tcW w:w="2436" w:type="dxa"/>
            <w:shd w:val="clear" w:color="auto" w:fill="F4BCAE"/>
          </w:tcPr>
          <w:p w14:paraId="76E72CC1" w14:textId="77777777" w:rsidR="00894070" w:rsidRDefault="009B7AFD">
            <w:pPr>
              <w:pStyle w:val="TableParagraph"/>
              <w:spacing w:before="122"/>
              <w:rPr>
                <w:b/>
                <w:sz w:val="20"/>
              </w:rPr>
            </w:pPr>
            <w:r>
              <w:rPr>
                <w:b/>
                <w:color w:val="231F20"/>
                <w:sz w:val="20"/>
              </w:rPr>
              <w:t>Type of support</w:t>
            </w:r>
          </w:p>
        </w:tc>
        <w:tc>
          <w:tcPr>
            <w:tcW w:w="5491" w:type="dxa"/>
            <w:shd w:val="clear" w:color="auto" w:fill="F4BCAE"/>
          </w:tcPr>
          <w:p w14:paraId="1DACEF83" w14:textId="77777777" w:rsidR="00894070" w:rsidRDefault="009B7AFD">
            <w:pPr>
              <w:pStyle w:val="TableParagraph"/>
              <w:spacing w:before="122"/>
              <w:rPr>
                <w:b/>
                <w:sz w:val="20"/>
              </w:rPr>
            </w:pPr>
            <w:r>
              <w:rPr>
                <w:b/>
                <w:color w:val="231F20"/>
                <w:sz w:val="20"/>
              </w:rPr>
              <w:t>Description</w:t>
            </w:r>
          </w:p>
        </w:tc>
      </w:tr>
      <w:tr w:rsidR="00894070" w14:paraId="7E0D4371" w14:textId="77777777">
        <w:trPr>
          <w:trHeight w:val="4004"/>
        </w:trPr>
        <w:tc>
          <w:tcPr>
            <w:tcW w:w="2436" w:type="dxa"/>
          </w:tcPr>
          <w:p w14:paraId="0DF456D9" w14:textId="77777777" w:rsidR="00894070" w:rsidRDefault="009B7AFD">
            <w:pPr>
              <w:pStyle w:val="TableParagraph"/>
              <w:spacing w:before="65"/>
              <w:rPr>
                <w:sz w:val="20"/>
              </w:rPr>
            </w:pPr>
            <w:r>
              <w:rPr>
                <w:color w:val="231F20"/>
                <w:sz w:val="20"/>
              </w:rPr>
              <w:t>Safety planning</w:t>
            </w:r>
          </w:p>
        </w:tc>
        <w:tc>
          <w:tcPr>
            <w:tcW w:w="5491" w:type="dxa"/>
          </w:tcPr>
          <w:p w14:paraId="71B48A89" w14:textId="77777777" w:rsidR="00894070" w:rsidRDefault="009B7AFD">
            <w:pPr>
              <w:pStyle w:val="TableParagraph"/>
              <w:spacing w:before="65" w:line="259" w:lineRule="exact"/>
              <w:rPr>
                <w:sz w:val="20"/>
              </w:rPr>
            </w:pPr>
            <w:r>
              <w:rPr>
                <w:color w:val="231F20"/>
                <w:sz w:val="20"/>
              </w:rPr>
              <w:t>Victim survivors may be mainly concerned with being</w:t>
            </w:r>
          </w:p>
          <w:p w14:paraId="3633A374" w14:textId="77777777" w:rsidR="00894070" w:rsidRDefault="009B7AFD">
            <w:pPr>
              <w:pStyle w:val="TableParagraph"/>
              <w:spacing w:line="259" w:lineRule="exact"/>
              <w:rPr>
                <w:sz w:val="11"/>
              </w:rPr>
            </w:pPr>
            <w:r>
              <w:rPr>
                <w:color w:val="231F20"/>
                <w:sz w:val="20"/>
              </w:rPr>
              <w:t>protected from the person stalking them.</w:t>
            </w:r>
            <w:r>
              <w:rPr>
                <w:color w:val="231F20"/>
                <w:position w:val="7"/>
                <w:sz w:val="11"/>
              </w:rPr>
              <w:t>16</w:t>
            </w:r>
          </w:p>
          <w:p w14:paraId="76127261" w14:textId="77777777" w:rsidR="00894070" w:rsidRDefault="009B7AFD">
            <w:pPr>
              <w:pStyle w:val="TableParagraph"/>
              <w:spacing w:before="115" w:line="206" w:lineRule="auto"/>
              <w:ind w:right="130"/>
              <w:jc w:val="both"/>
              <w:rPr>
                <w:sz w:val="20"/>
              </w:rPr>
            </w:pPr>
            <w:r>
              <w:rPr>
                <w:color w:val="231F20"/>
                <w:sz w:val="20"/>
              </w:rPr>
              <w:t>‘Safety planning’ needs to be part of the support given</w:t>
            </w:r>
            <w:r>
              <w:rPr>
                <w:color w:val="231F20"/>
                <w:spacing w:val="-35"/>
                <w:sz w:val="20"/>
              </w:rPr>
              <w:t xml:space="preserve"> </w:t>
            </w:r>
            <w:r>
              <w:rPr>
                <w:color w:val="231F20"/>
                <w:sz w:val="20"/>
              </w:rPr>
              <w:t>to victim</w:t>
            </w:r>
            <w:r>
              <w:rPr>
                <w:color w:val="231F20"/>
                <w:spacing w:val="-6"/>
                <w:sz w:val="20"/>
              </w:rPr>
              <w:t xml:space="preserve"> </w:t>
            </w:r>
            <w:r>
              <w:rPr>
                <w:color w:val="231F20"/>
                <w:sz w:val="20"/>
              </w:rPr>
              <w:t>survivors.</w:t>
            </w:r>
            <w:r>
              <w:rPr>
                <w:color w:val="231F20"/>
                <w:spacing w:val="-6"/>
                <w:sz w:val="20"/>
              </w:rPr>
              <w:t xml:space="preserve"> </w:t>
            </w:r>
            <w:r>
              <w:rPr>
                <w:color w:val="231F20"/>
                <w:sz w:val="20"/>
              </w:rPr>
              <w:t>As</w:t>
            </w:r>
            <w:r>
              <w:rPr>
                <w:color w:val="231F20"/>
                <w:spacing w:val="-6"/>
                <w:sz w:val="20"/>
              </w:rPr>
              <w:t xml:space="preserve"> </w:t>
            </w:r>
            <w:r>
              <w:rPr>
                <w:color w:val="231F20"/>
                <w:sz w:val="20"/>
              </w:rPr>
              <w:t>Forensicare</w:t>
            </w:r>
            <w:r>
              <w:rPr>
                <w:color w:val="231F20"/>
                <w:spacing w:val="-5"/>
                <w:sz w:val="20"/>
              </w:rPr>
              <w:t xml:space="preserve"> </w:t>
            </w:r>
            <w:r>
              <w:rPr>
                <w:color w:val="231F20"/>
                <w:sz w:val="20"/>
              </w:rPr>
              <w:t>told</w:t>
            </w:r>
            <w:r>
              <w:rPr>
                <w:color w:val="231F20"/>
                <w:spacing w:val="-6"/>
                <w:sz w:val="20"/>
              </w:rPr>
              <w:t xml:space="preserve"> </w:t>
            </w:r>
            <w:r>
              <w:rPr>
                <w:color w:val="231F20"/>
                <w:sz w:val="20"/>
              </w:rPr>
              <w:t>us,</w:t>
            </w:r>
            <w:r>
              <w:rPr>
                <w:color w:val="231F20"/>
                <w:spacing w:val="-6"/>
                <w:sz w:val="20"/>
              </w:rPr>
              <w:t xml:space="preserve"> </w:t>
            </w:r>
            <w:r>
              <w:rPr>
                <w:color w:val="231F20"/>
                <w:sz w:val="20"/>
              </w:rPr>
              <w:t>if</w:t>
            </w:r>
            <w:r>
              <w:rPr>
                <w:color w:val="231F20"/>
                <w:spacing w:val="-6"/>
                <w:sz w:val="20"/>
              </w:rPr>
              <w:t xml:space="preserve"> </w:t>
            </w:r>
            <w:r>
              <w:rPr>
                <w:color w:val="231F20"/>
                <w:sz w:val="20"/>
              </w:rPr>
              <w:t>victim</w:t>
            </w:r>
            <w:r>
              <w:rPr>
                <w:color w:val="231F20"/>
                <w:spacing w:val="-5"/>
                <w:sz w:val="20"/>
              </w:rPr>
              <w:t xml:space="preserve"> </w:t>
            </w:r>
            <w:r>
              <w:rPr>
                <w:color w:val="231F20"/>
                <w:sz w:val="20"/>
              </w:rPr>
              <w:t>survivors can</w:t>
            </w:r>
            <w:r>
              <w:rPr>
                <w:color w:val="231F20"/>
                <w:spacing w:val="-4"/>
                <w:sz w:val="20"/>
              </w:rPr>
              <w:t xml:space="preserve"> </w:t>
            </w:r>
            <w:r>
              <w:rPr>
                <w:color w:val="231F20"/>
                <w:sz w:val="20"/>
              </w:rPr>
              <w:t>get</w:t>
            </w:r>
            <w:r>
              <w:rPr>
                <w:color w:val="231F20"/>
                <w:spacing w:val="-4"/>
                <w:sz w:val="20"/>
              </w:rPr>
              <w:t xml:space="preserve"> </w:t>
            </w:r>
            <w:r>
              <w:rPr>
                <w:color w:val="231F20"/>
                <w:sz w:val="20"/>
              </w:rPr>
              <w:t>advice</w:t>
            </w:r>
            <w:r>
              <w:rPr>
                <w:color w:val="231F20"/>
                <w:spacing w:val="-4"/>
                <w:sz w:val="20"/>
              </w:rPr>
              <w:t xml:space="preserve"> </w:t>
            </w:r>
            <w:r>
              <w:rPr>
                <w:color w:val="231F20"/>
                <w:sz w:val="20"/>
              </w:rPr>
              <w:t>and</w:t>
            </w:r>
            <w:r>
              <w:rPr>
                <w:color w:val="231F20"/>
                <w:spacing w:val="-3"/>
                <w:sz w:val="20"/>
              </w:rPr>
              <w:t xml:space="preserve"> </w:t>
            </w:r>
            <w:r>
              <w:rPr>
                <w:color w:val="231F20"/>
                <w:sz w:val="20"/>
              </w:rPr>
              <w:t>help,</w:t>
            </w:r>
            <w:r>
              <w:rPr>
                <w:color w:val="231F20"/>
                <w:spacing w:val="-4"/>
                <w:sz w:val="20"/>
              </w:rPr>
              <w:t xml:space="preserve"> </w:t>
            </w:r>
            <w:r>
              <w:rPr>
                <w:color w:val="231F20"/>
                <w:sz w:val="20"/>
              </w:rPr>
              <w:t>there</w:t>
            </w:r>
            <w:r>
              <w:rPr>
                <w:color w:val="231F20"/>
                <w:spacing w:val="-4"/>
                <w:sz w:val="20"/>
              </w:rPr>
              <w:t xml:space="preserve"> </w:t>
            </w:r>
            <w:r>
              <w:rPr>
                <w:color w:val="231F20"/>
                <w:sz w:val="20"/>
              </w:rPr>
              <w:t>are</w:t>
            </w:r>
            <w:r>
              <w:rPr>
                <w:color w:val="231F20"/>
                <w:spacing w:val="-3"/>
                <w:sz w:val="20"/>
              </w:rPr>
              <w:t xml:space="preserve"> </w:t>
            </w:r>
            <w:r>
              <w:rPr>
                <w:color w:val="231F20"/>
                <w:sz w:val="20"/>
              </w:rPr>
              <w:t>things</w:t>
            </w:r>
            <w:r>
              <w:rPr>
                <w:color w:val="231F20"/>
                <w:spacing w:val="-4"/>
                <w:sz w:val="20"/>
              </w:rPr>
              <w:t xml:space="preserve"> </w:t>
            </w:r>
            <w:r>
              <w:rPr>
                <w:color w:val="231F20"/>
                <w:sz w:val="20"/>
              </w:rPr>
              <w:t>they</w:t>
            </w:r>
            <w:r>
              <w:rPr>
                <w:color w:val="231F20"/>
                <w:spacing w:val="-4"/>
                <w:sz w:val="20"/>
              </w:rPr>
              <w:t xml:space="preserve"> </w:t>
            </w:r>
            <w:r>
              <w:rPr>
                <w:color w:val="231F20"/>
                <w:sz w:val="20"/>
              </w:rPr>
              <w:t>can</w:t>
            </w:r>
            <w:r>
              <w:rPr>
                <w:color w:val="231F20"/>
                <w:spacing w:val="-4"/>
                <w:sz w:val="20"/>
              </w:rPr>
              <w:t xml:space="preserve"> </w:t>
            </w:r>
            <w:r>
              <w:rPr>
                <w:color w:val="231F20"/>
                <w:sz w:val="20"/>
              </w:rPr>
              <w:t>do</w:t>
            </w:r>
          </w:p>
          <w:p w14:paraId="3CBAD9E4" w14:textId="77777777" w:rsidR="00894070" w:rsidRDefault="009B7AFD">
            <w:pPr>
              <w:pStyle w:val="TableParagraph"/>
              <w:spacing w:before="4" w:line="206" w:lineRule="auto"/>
              <w:rPr>
                <w:sz w:val="11"/>
              </w:rPr>
            </w:pPr>
            <w:r>
              <w:rPr>
                <w:color w:val="231F20"/>
                <w:sz w:val="20"/>
              </w:rPr>
              <w:t>to reduce the harm from stalking.</w:t>
            </w:r>
            <w:r>
              <w:rPr>
                <w:color w:val="231F20"/>
                <w:position w:val="7"/>
                <w:sz w:val="11"/>
              </w:rPr>
              <w:t xml:space="preserve">17 </w:t>
            </w:r>
            <w:r>
              <w:rPr>
                <w:color w:val="231F20"/>
                <w:sz w:val="20"/>
              </w:rPr>
              <w:t>But as the Victims of Crime Commissioner pointed out, this should not result in victim blaming or putting the burden back on the victim survivor to change their behaviour.</w:t>
            </w:r>
            <w:r>
              <w:rPr>
                <w:color w:val="231F20"/>
                <w:position w:val="7"/>
                <w:sz w:val="11"/>
              </w:rPr>
              <w:t>18</w:t>
            </w:r>
          </w:p>
          <w:p w14:paraId="6745D3F8" w14:textId="77777777" w:rsidR="00894070" w:rsidRDefault="009B7AFD">
            <w:pPr>
              <w:pStyle w:val="TableParagraph"/>
              <w:spacing w:before="93" w:line="259" w:lineRule="exact"/>
              <w:rPr>
                <w:sz w:val="20"/>
              </w:rPr>
            </w:pPr>
            <w:r>
              <w:rPr>
                <w:color w:val="231F20"/>
                <w:sz w:val="20"/>
              </w:rPr>
              <w:t>For safety planning and service provision to work,</w:t>
            </w:r>
          </w:p>
          <w:p w14:paraId="7CE1D09E" w14:textId="77777777" w:rsidR="00894070" w:rsidRDefault="009B7AFD">
            <w:pPr>
              <w:pStyle w:val="TableParagraph"/>
              <w:spacing w:before="13" w:line="206" w:lineRule="auto"/>
              <w:ind w:right="171"/>
              <w:rPr>
                <w:sz w:val="11"/>
              </w:rPr>
            </w:pPr>
            <w:r>
              <w:rPr>
                <w:color w:val="231F20"/>
                <w:sz w:val="20"/>
              </w:rPr>
              <w:t>it needs to be tailored to the unique needs of the individual.</w:t>
            </w:r>
            <w:r>
              <w:rPr>
                <w:color w:val="231F20"/>
                <w:position w:val="7"/>
                <w:sz w:val="11"/>
              </w:rPr>
              <w:t xml:space="preserve">19 </w:t>
            </w:r>
            <w:r>
              <w:rPr>
                <w:color w:val="231F20"/>
                <w:sz w:val="20"/>
              </w:rPr>
              <w:t>This includes recognising that what helps can ‘change over time’.</w:t>
            </w:r>
            <w:r>
              <w:rPr>
                <w:color w:val="231F20"/>
                <w:position w:val="7"/>
                <w:sz w:val="11"/>
              </w:rPr>
              <w:t xml:space="preserve">20 </w:t>
            </w:r>
            <w:r>
              <w:rPr>
                <w:color w:val="231F20"/>
                <w:sz w:val="20"/>
              </w:rPr>
              <w:t xml:space="preserve">Safety planning should be practical and might include interventions across police, </w:t>
            </w:r>
            <w:proofErr w:type="gramStart"/>
            <w:r>
              <w:rPr>
                <w:color w:val="231F20"/>
                <w:sz w:val="20"/>
              </w:rPr>
              <w:t>courts</w:t>
            </w:r>
            <w:proofErr w:type="gramEnd"/>
            <w:r>
              <w:rPr>
                <w:color w:val="231F20"/>
                <w:sz w:val="20"/>
              </w:rPr>
              <w:t xml:space="preserve"> and victim support.</w:t>
            </w:r>
            <w:r>
              <w:rPr>
                <w:color w:val="231F20"/>
                <w:position w:val="7"/>
                <w:sz w:val="11"/>
              </w:rPr>
              <w:t>21</w:t>
            </w:r>
          </w:p>
        </w:tc>
      </w:tr>
      <w:tr w:rsidR="00894070" w14:paraId="5A9C9ED9" w14:textId="77777777">
        <w:trPr>
          <w:trHeight w:val="2684"/>
        </w:trPr>
        <w:tc>
          <w:tcPr>
            <w:tcW w:w="2436" w:type="dxa"/>
          </w:tcPr>
          <w:p w14:paraId="5DE1449A" w14:textId="77777777" w:rsidR="00894070" w:rsidRDefault="009B7AFD">
            <w:pPr>
              <w:pStyle w:val="TableParagraph"/>
              <w:spacing w:before="65"/>
              <w:rPr>
                <w:sz w:val="20"/>
              </w:rPr>
            </w:pPr>
            <w:r>
              <w:rPr>
                <w:color w:val="231F20"/>
                <w:sz w:val="20"/>
              </w:rPr>
              <w:t>Safety interventions</w:t>
            </w:r>
          </w:p>
        </w:tc>
        <w:tc>
          <w:tcPr>
            <w:tcW w:w="5491" w:type="dxa"/>
          </w:tcPr>
          <w:p w14:paraId="2611C035" w14:textId="77777777" w:rsidR="00894070" w:rsidRDefault="009B7AFD">
            <w:pPr>
              <w:pStyle w:val="TableParagraph"/>
              <w:spacing w:before="98" w:line="206" w:lineRule="auto"/>
              <w:ind w:right="345"/>
              <w:rPr>
                <w:sz w:val="20"/>
              </w:rPr>
            </w:pPr>
            <w:r>
              <w:rPr>
                <w:color w:val="231F20"/>
                <w:spacing w:val="-6"/>
                <w:sz w:val="20"/>
              </w:rPr>
              <w:t xml:space="preserve">We </w:t>
            </w:r>
            <w:r>
              <w:rPr>
                <w:color w:val="231F20"/>
                <w:sz w:val="20"/>
              </w:rPr>
              <w:t>heard from victim survivors who had changed their phone numbers or moved house to escape</w:t>
            </w:r>
            <w:r>
              <w:rPr>
                <w:color w:val="231F20"/>
                <w:spacing w:val="-30"/>
                <w:sz w:val="20"/>
              </w:rPr>
              <w:t xml:space="preserve"> </w:t>
            </w:r>
            <w:r>
              <w:rPr>
                <w:color w:val="231F20"/>
                <w:sz w:val="20"/>
              </w:rPr>
              <w:t>being</w:t>
            </w:r>
          </w:p>
          <w:p w14:paraId="12077930" w14:textId="77777777" w:rsidR="00894070" w:rsidRDefault="009B7AFD">
            <w:pPr>
              <w:pStyle w:val="TableParagraph"/>
              <w:spacing w:before="2" w:line="206" w:lineRule="auto"/>
              <w:rPr>
                <w:sz w:val="11"/>
              </w:rPr>
            </w:pPr>
            <w:r>
              <w:rPr>
                <w:color w:val="231F20"/>
                <w:sz w:val="20"/>
              </w:rPr>
              <w:t>stalked.</w:t>
            </w:r>
            <w:r>
              <w:rPr>
                <w:color w:val="231F20"/>
                <w:position w:val="7"/>
                <w:sz w:val="11"/>
              </w:rPr>
              <w:t xml:space="preserve">22 </w:t>
            </w:r>
            <w:r>
              <w:rPr>
                <w:color w:val="231F20"/>
                <w:sz w:val="20"/>
              </w:rPr>
              <w:t>Victim survivors of family violence stalking can access support to change their locks, get a new phone or install security devices.</w:t>
            </w:r>
            <w:r>
              <w:rPr>
                <w:color w:val="231F20"/>
                <w:position w:val="7"/>
                <w:sz w:val="11"/>
              </w:rPr>
              <w:t xml:space="preserve">23 </w:t>
            </w:r>
            <w:r>
              <w:rPr>
                <w:color w:val="231F20"/>
                <w:sz w:val="20"/>
              </w:rPr>
              <w:t>Victim survivors of non-family violence should also be able to access these services more easily and have help re-locating or with housing if needed.</w:t>
            </w:r>
            <w:r>
              <w:rPr>
                <w:color w:val="231F20"/>
                <w:position w:val="7"/>
                <w:sz w:val="11"/>
              </w:rPr>
              <w:t>24</w:t>
            </w:r>
          </w:p>
          <w:p w14:paraId="43C0E84D" w14:textId="77777777" w:rsidR="00894070" w:rsidRDefault="009B7AFD">
            <w:pPr>
              <w:pStyle w:val="TableParagraph"/>
              <w:spacing w:before="128" w:line="206" w:lineRule="auto"/>
              <w:rPr>
                <w:sz w:val="20"/>
              </w:rPr>
            </w:pPr>
            <w:r>
              <w:rPr>
                <w:color w:val="231F20"/>
                <w:sz w:val="20"/>
              </w:rPr>
              <w:t>In Chapter 3, we discuss the safety interventions victim survivors need for cyberstalking.</w:t>
            </w:r>
          </w:p>
        </w:tc>
      </w:tr>
    </w:tbl>
    <w:p w14:paraId="4586D29C" w14:textId="77777777" w:rsidR="00894070" w:rsidRDefault="00894070">
      <w:pPr>
        <w:pStyle w:val="BodyText"/>
        <w:rPr>
          <w:b/>
        </w:rPr>
      </w:pPr>
    </w:p>
    <w:p w14:paraId="604A741A" w14:textId="77777777" w:rsidR="00894070" w:rsidRDefault="009F6793">
      <w:pPr>
        <w:pStyle w:val="BodyText"/>
        <w:spacing w:before="13"/>
        <w:rPr>
          <w:b/>
          <w:sz w:val="11"/>
        </w:rPr>
      </w:pPr>
      <w:r>
        <w:pict w14:anchorId="7D5D3575">
          <v:line id="_x0000_s1423" style="position:absolute;z-index:251595776;mso-wrap-distance-left:0;mso-wrap-distance-right:0;mso-position-horizontal-relative:page" from="79.35pt,10.75pt" to="515.9pt,10.75pt" strokecolor="#f8cabc" strokeweight="1pt">
            <w10:wrap type="topAndBottom" anchorx="page"/>
          </v:line>
        </w:pict>
      </w:r>
    </w:p>
    <w:p w14:paraId="2354E396" w14:textId="77777777" w:rsidR="00894070" w:rsidRDefault="009B7AFD">
      <w:pPr>
        <w:pStyle w:val="ListParagraph"/>
        <w:numPr>
          <w:ilvl w:val="0"/>
          <w:numId w:val="122"/>
        </w:numPr>
        <w:tabs>
          <w:tab w:val="left" w:pos="1801"/>
          <w:tab w:val="left" w:pos="1802"/>
        </w:tabs>
        <w:spacing w:before="107" w:line="213" w:lineRule="auto"/>
        <w:ind w:right="1283"/>
        <w:rPr>
          <w:sz w:val="13"/>
        </w:rPr>
      </w:pPr>
      <w:r>
        <w:rPr>
          <w:color w:val="231F20"/>
          <w:sz w:val="13"/>
        </w:rPr>
        <w:t xml:space="preserve">Kritika Jerath, Lisa Tompson and Jyoti Belur, ‘Risk Management in Stalking Victims: A Multi-Agency Approach to Victim    Advocacy’ [2020] </w:t>
      </w:r>
      <w:r>
        <w:rPr>
          <w:i/>
          <w:color w:val="231F20"/>
          <w:sz w:val="13"/>
        </w:rPr>
        <w:t xml:space="preserve">Journal of Interpersonal Violence </w:t>
      </w:r>
      <w:r>
        <w:rPr>
          <w:color w:val="231F20"/>
          <w:sz w:val="13"/>
        </w:rPr>
        <w:t xml:space="preserve">10.1177/0886260520980402:1–27, 12; Emily </w:t>
      </w:r>
      <w:r>
        <w:rPr>
          <w:color w:val="231F20"/>
          <w:spacing w:val="2"/>
          <w:sz w:val="13"/>
        </w:rPr>
        <w:t xml:space="preserve">Spence-Diehl, </w:t>
      </w:r>
      <w:r>
        <w:rPr>
          <w:color w:val="231F20"/>
          <w:sz w:val="13"/>
        </w:rPr>
        <w:t xml:space="preserve">‘Intensive </w:t>
      </w:r>
      <w:r>
        <w:rPr>
          <w:color w:val="231F20"/>
          <w:spacing w:val="2"/>
          <w:sz w:val="13"/>
        </w:rPr>
        <w:t xml:space="preserve">Case </w:t>
      </w:r>
      <w:r>
        <w:rPr>
          <w:color w:val="231F20"/>
          <w:sz w:val="13"/>
        </w:rPr>
        <w:t xml:space="preserve">Management for Victims of Stalking: A Pilot Test Evaluation’ (2004) 4(4) </w:t>
      </w:r>
      <w:r>
        <w:rPr>
          <w:i/>
          <w:color w:val="231F20"/>
          <w:sz w:val="13"/>
        </w:rPr>
        <w:t xml:space="preserve">Brief Treatment and Crisis Intervention </w:t>
      </w:r>
      <w:r>
        <w:rPr>
          <w:color w:val="231F20"/>
          <w:sz w:val="13"/>
        </w:rPr>
        <w:t xml:space="preserve">323, 327; Lisa Tompson, Jyoti Belur and Kritika Jerath, </w:t>
      </w:r>
      <w:r>
        <w:rPr>
          <w:i/>
          <w:color w:val="231F20"/>
          <w:sz w:val="13"/>
        </w:rPr>
        <w:t xml:space="preserve">MASIP Evaluation </w:t>
      </w:r>
      <w:r>
        <w:rPr>
          <w:color w:val="231F20"/>
          <w:sz w:val="13"/>
        </w:rPr>
        <w:t xml:space="preserve">(Final </w:t>
      </w:r>
      <w:r>
        <w:rPr>
          <w:color w:val="231F20"/>
          <w:spacing w:val="2"/>
          <w:sz w:val="13"/>
        </w:rPr>
        <w:t xml:space="preserve">Report, </w:t>
      </w:r>
      <w:r>
        <w:rPr>
          <w:color w:val="231F20"/>
          <w:sz w:val="13"/>
        </w:rPr>
        <w:t>Multi-Agency Stalking Intervention Program, University College London, 2020) 8.</w:t>
      </w:r>
    </w:p>
    <w:p w14:paraId="0AABB8AD" w14:textId="77777777" w:rsidR="00894070" w:rsidRDefault="009B7AFD">
      <w:pPr>
        <w:pStyle w:val="ListParagraph"/>
        <w:numPr>
          <w:ilvl w:val="0"/>
          <w:numId w:val="122"/>
        </w:numPr>
        <w:tabs>
          <w:tab w:val="left" w:pos="1801"/>
          <w:tab w:val="left" w:pos="1802"/>
        </w:tabs>
        <w:spacing w:line="213" w:lineRule="auto"/>
        <w:ind w:right="1813"/>
        <w:rPr>
          <w:sz w:val="13"/>
        </w:rPr>
      </w:pPr>
      <w:r>
        <w:rPr>
          <w:color w:val="231F20"/>
          <w:sz w:val="13"/>
        </w:rPr>
        <w:t xml:space="preserve">Kritika Jerath, Lisa Tompson and Jyoti Belur, ‘Risk Management in Stalking Victims: A Multi-Agency Approach to Victim Advocacy’ [2020] </w:t>
      </w:r>
      <w:r>
        <w:rPr>
          <w:i/>
          <w:color w:val="231F20"/>
          <w:sz w:val="13"/>
        </w:rPr>
        <w:t>Journal of Interpersonal Violence</w:t>
      </w:r>
      <w:r>
        <w:rPr>
          <w:i/>
          <w:color w:val="231F20"/>
          <w:spacing w:val="6"/>
          <w:sz w:val="13"/>
        </w:rPr>
        <w:t xml:space="preserve"> </w:t>
      </w:r>
      <w:r>
        <w:rPr>
          <w:color w:val="231F20"/>
          <w:sz w:val="13"/>
        </w:rPr>
        <w:t>10.1177/0886260520980402:1–27.</w:t>
      </w:r>
    </w:p>
    <w:p w14:paraId="78D88DC0" w14:textId="77777777" w:rsidR="00894070" w:rsidRDefault="009B7AFD">
      <w:pPr>
        <w:pStyle w:val="ListParagraph"/>
        <w:numPr>
          <w:ilvl w:val="0"/>
          <w:numId w:val="122"/>
        </w:numPr>
        <w:tabs>
          <w:tab w:val="left" w:pos="1801"/>
          <w:tab w:val="left" w:pos="1802"/>
        </w:tabs>
        <w:spacing w:line="152" w:lineRule="exact"/>
        <w:rPr>
          <w:sz w:val="13"/>
        </w:rPr>
      </w:pPr>
      <w:r>
        <w:rPr>
          <w:color w:val="231F20"/>
          <w:sz w:val="13"/>
        </w:rPr>
        <w:t>Consultation 15 (Forensicare (No 1)).</w:t>
      </w:r>
    </w:p>
    <w:p w14:paraId="26C2F4D7" w14:textId="77777777" w:rsidR="00894070" w:rsidRDefault="009B7AFD">
      <w:pPr>
        <w:pStyle w:val="ListParagraph"/>
        <w:numPr>
          <w:ilvl w:val="0"/>
          <w:numId w:val="122"/>
        </w:numPr>
        <w:tabs>
          <w:tab w:val="left" w:pos="1801"/>
          <w:tab w:val="left" w:pos="1802"/>
        </w:tabs>
        <w:spacing w:line="16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203799C6" w14:textId="77777777" w:rsidR="00894070" w:rsidRDefault="009B7AFD">
      <w:pPr>
        <w:pStyle w:val="ListParagraph"/>
        <w:numPr>
          <w:ilvl w:val="0"/>
          <w:numId w:val="122"/>
        </w:numPr>
        <w:tabs>
          <w:tab w:val="left" w:pos="1801"/>
          <w:tab w:val="left" w:pos="1802"/>
        </w:tabs>
        <w:spacing w:before="4" w:line="213" w:lineRule="auto"/>
        <w:ind w:right="1348"/>
        <w:rPr>
          <w:sz w:val="13"/>
        </w:rPr>
      </w:pPr>
      <w:r>
        <w:rPr>
          <w:color w:val="231F20"/>
          <w:sz w:val="13"/>
        </w:rPr>
        <w:t xml:space="preserve">See generally Kritika Jerath, Lisa Tompson and Jyoti Belur, ‘Risk Management in Stalking Victims: A Multi-Agency Approach to Victim Advocacy’ [2020] </w:t>
      </w:r>
      <w:r>
        <w:rPr>
          <w:i/>
          <w:color w:val="231F20"/>
          <w:sz w:val="13"/>
        </w:rPr>
        <w:t xml:space="preserve">Journal of Interpersonal Violence </w:t>
      </w:r>
      <w:r>
        <w:rPr>
          <w:color w:val="231F20"/>
          <w:sz w:val="13"/>
        </w:rPr>
        <w:t>10.1177/0886260520980402:1–27, 1–2,</w:t>
      </w:r>
      <w:r>
        <w:rPr>
          <w:color w:val="231F20"/>
          <w:spacing w:val="15"/>
          <w:sz w:val="13"/>
        </w:rPr>
        <w:t xml:space="preserve"> </w:t>
      </w:r>
      <w:r>
        <w:rPr>
          <w:color w:val="231F20"/>
          <w:sz w:val="13"/>
        </w:rPr>
        <w:t>16–22.</w:t>
      </w:r>
    </w:p>
    <w:p w14:paraId="10130737" w14:textId="77777777" w:rsidR="00894070" w:rsidRDefault="009B7AFD">
      <w:pPr>
        <w:pStyle w:val="ListParagraph"/>
        <w:numPr>
          <w:ilvl w:val="0"/>
          <w:numId w:val="122"/>
        </w:numPr>
        <w:tabs>
          <w:tab w:val="left" w:pos="1801"/>
          <w:tab w:val="left" w:pos="1802"/>
        </w:tabs>
        <w:spacing w:line="213" w:lineRule="auto"/>
        <w:ind w:right="1402"/>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 xml:space="preserve">of Crime Commissioner); Centre for Innovative Justice, RMIT University, </w:t>
      </w:r>
      <w:r>
        <w:rPr>
          <w:i/>
          <w:color w:val="231F20"/>
          <w:sz w:val="13"/>
        </w:rPr>
        <w:t xml:space="preserve">Strengthening Victoria’s Victim </w:t>
      </w:r>
      <w:r>
        <w:rPr>
          <w:i/>
          <w:color w:val="231F20"/>
          <w:spacing w:val="2"/>
          <w:sz w:val="13"/>
        </w:rPr>
        <w:t xml:space="preserve">Support </w:t>
      </w:r>
      <w:r>
        <w:rPr>
          <w:i/>
          <w:color w:val="231F20"/>
          <w:sz w:val="13"/>
        </w:rPr>
        <w:t xml:space="preserve">System: Victim </w:t>
      </w:r>
      <w:r>
        <w:rPr>
          <w:i/>
          <w:color w:val="231F20"/>
          <w:spacing w:val="2"/>
          <w:sz w:val="13"/>
        </w:rPr>
        <w:t xml:space="preserve">Services </w:t>
      </w:r>
      <w:r>
        <w:rPr>
          <w:i/>
          <w:color w:val="231F20"/>
          <w:sz w:val="13"/>
        </w:rPr>
        <w:t xml:space="preserve">Review </w:t>
      </w:r>
      <w:r>
        <w:rPr>
          <w:color w:val="231F20"/>
          <w:sz w:val="13"/>
        </w:rPr>
        <w:t xml:space="preserve">(Final </w:t>
      </w:r>
      <w:r>
        <w:rPr>
          <w:color w:val="231F20"/>
          <w:spacing w:val="2"/>
          <w:sz w:val="13"/>
        </w:rPr>
        <w:t xml:space="preserve">Report, </w:t>
      </w:r>
      <w:r>
        <w:rPr>
          <w:color w:val="231F20"/>
          <w:sz w:val="13"/>
        </w:rPr>
        <w:t>November 2020)</w:t>
      </w:r>
      <w:r>
        <w:rPr>
          <w:color w:val="231F20"/>
          <w:spacing w:val="-3"/>
          <w:sz w:val="13"/>
        </w:rPr>
        <w:t xml:space="preserve"> </w:t>
      </w:r>
      <w:r>
        <w:rPr>
          <w:color w:val="231F20"/>
          <w:sz w:val="13"/>
        </w:rPr>
        <w:t>222.</w:t>
      </w:r>
    </w:p>
    <w:p w14:paraId="45088AFE" w14:textId="77777777" w:rsidR="00894070" w:rsidRDefault="009B7AFD">
      <w:pPr>
        <w:pStyle w:val="ListParagraph"/>
        <w:numPr>
          <w:ilvl w:val="0"/>
          <w:numId w:val="122"/>
        </w:numPr>
        <w:tabs>
          <w:tab w:val="left" w:pos="1801"/>
          <w:tab w:val="left" w:pos="1802"/>
        </w:tabs>
        <w:spacing w:line="153"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6"/>
          <w:sz w:val="13"/>
        </w:rPr>
        <w:t xml:space="preserve"> </w:t>
      </w:r>
      <w:r>
        <w:rPr>
          <w:color w:val="231F20"/>
          <w:sz w:val="13"/>
        </w:rPr>
        <w:t>Commissioner).</w:t>
      </w:r>
    </w:p>
    <w:p w14:paraId="73C90D15" w14:textId="77777777" w:rsidR="00894070" w:rsidRDefault="009B7AFD">
      <w:pPr>
        <w:pStyle w:val="ListParagraph"/>
        <w:numPr>
          <w:ilvl w:val="0"/>
          <w:numId w:val="122"/>
        </w:numPr>
        <w:tabs>
          <w:tab w:val="left" w:pos="1800"/>
          <w:tab w:val="left" w:pos="1802"/>
        </w:tabs>
        <w:spacing w:before="5" w:line="213" w:lineRule="auto"/>
        <w:ind w:right="1445"/>
        <w:rPr>
          <w:sz w:val="13"/>
        </w:rPr>
      </w:pPr>
      <w:r>
        <w:rPr>
          <w:color w:val="231F20"/>
          <w:spacing w:val="2"/>
          <w:sz w:val="13"/>
        </w:rPr>
        <w:t xml:space="preserve">Submission </w:t>
      </w:r>
      <w:r>
        <w:rPr>
          <w:color w:val="231F20"/>
          <w:sz w:val="13"/>
        </w:rPr>
        <w:t xml:space="preserve">21 (Antoinette Lim); 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0307E488" w14:textId="77777777" w:rsidR="00894070" w:rsidRDefault="009F6793">
      <w:pPr>
        <w:pStyle w:val="ListParagraph"/>
        <w:numPr>
          <w:ilvl w:val="0"/>
          <w:numId w:val="122"/>
        </w:numPr>
        <w:tabs>
          <w:tab w:val="left" w:pos="1801"/>
          <w:tab w:val="left" w:pos="1802"/>
        </w:tabs>
        <w:spacing w:line="153" w:lineRule="exact"/>
        <w:rPr>
          <w:sz w:val="13"/>
        </w:rPr>
      </w:pPr>
      <w:r>
        <w:pict w14:anchorId="7BD8D372">
          <v:shape id="_x0000_s1422" type="#_x0000_t202" style="position:absolute;left:0;text-align:left;margin-left:548.85pt;margin-top:3.35pt;width:13.15pt;height:14.1pt;z-index:251670528;mso-position-horizontal-relative:page" filled="f" stroked="f">
            <v:textbox inset="0,0,0,0">
              <w:txbxContent>
                <w:p w14:paraId="63E55B29" w14:textId="77777777" w:rsidR="00894070" w:rsidRDefault="009B7AFD">
                  <w:pPr>
                    <w:spacing w:line="282" w:lineRule="exact"/>
                    <w:rPr>
                      <w:b/>
                      <w:sz w:val="24"/>
                    </w:rPr>
                  </w:pPr>
                  <w:r>
                    <w:rPr>
                      <w:b/>
                      <w:color w:val="EA5B50"/>
                      <w:spacing w:val="-7"/>
                      <w:sz w:val="24"/>
                    </w:rPr>
                    <w:t>79</w:t>
                  </w:r>
                </w:p>
              </w:txbxContent>
            </v:textbox>
            <w10:wrap anchorx="page"/>
          </v:shape>
        </w:pict>
      </w:r>
      <w:r w:rsidR="009B7AFD">
        <w:rPr>
          <w:color w:val="231F20"/>
          <w:spacing w:val="2"/>
          <w:sz w:val="13"/>
        </w:rPr>
        <w:t xml:space="preserve">Submission </w:t>
      </w:r>
      <w:r w:rsidR="009B7AFD">
        <w:rPr>
          <w:color w:val="231F20"/>
          <w:sz w:val="13"/>
        </w:rPr>
        <w:t>98 (Law Institute of</w:t>
      </w:r>
      <w:r w:rsidR="009B7AFD">
        <w:rPr>
          <w:color w:val="231F20"/>
          <w:spacing w:val="-2"/>
          <w:sz w:val="13"/>
        </w:rPr>
        <w:t xml:space="preserve"> </w:t>
      </w:r>
      <w:r w:rsidR="009B7AFD">
        <w:rPr>
          <w:color w:val="231F20"/>
          <w:sz w:val="13"/>
        </w:rPr>
        <w:t>Victoria).</w:t>
      </w:r>
    </w:p>
    <w:p w14:paraId="60D6D94C" w14:textId="77777777" w:rsidR="00894070" w:rsidRDefault="009B7AFD">
      <w:pPr>
        <w:pStyle w:val="ListParagraph"/>
        <w:numPr>
          <w:ilvl w:val="0"/>
          <w:numId w:val="122"/>
        </w:numPr>
        <w:tabs>
          <w:tab w:val="left" w:pos="1801"/>
          <w:tab w:val="left" w:pos="1802"/>
        </w:tabs>
        <w:spacing w:line="17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4"/>
          <w:sz w:val="13"/>
        </w:rPr>
        <w:t xml:space="preserve"> </w:t>
      </w:r>
      <w:r>
        <w:rPr>
          <w:color w:val="231F20"/>
          <w:sz w:val="13"/>
        </w:rPr>
        <w:t>Commissioner).</w:t>
      </w:r>
    </w:p>
    <w:p w14:paraId="2D5B12AD" w14:textId="77777777" w:rsidR="00894070" w:rsidRDefault="00894070">
      <w:pPr>
        <w:spacing w:line="170" w:lineRule="exact"/>
        <w:rPr>
          <w:sz w:val="13"/>
        </w:rPr>
        <w:sectPr w:rsidR="00894070">
          <w:pgSz w:w="11910" w:h="16840"/>
          <w:pgMar w:top="840" w:right="420" w:bottom="280" w:left="580" w:header="0" w:footer="0" w:gutter="0"/>
          <w:cols w:space="720"/>
        </w:sectPr>
      </w:pPr>
    </w:p>
    <w:p w14:paraId="19E84E11" w14:textId="77777777" w:rsidR="00894070" w:rsidRDefault="00894070">
      <w:pPr>
        <w:pStyle w:val="BodyText"/>
      </w:pPr>
    </w:p>
    <w:p w14:paraId="0007A624" w14:textId="77777777" w:rsidR="00894070" w:rsidRDefault="00894070">
      <w:pPr>
        <w:pStyle w:val="BodyText"/>
      </w:pPr>
    </w:p>
    <w:p w14:paraId="407D5CE3" w14:textId="77777777" w:rsidR="00894070" w:rsidRDefault="00894070">
      <w:pPr>
        <w:pStyle w:val="BodyText"/>
      </w:pPr>
    </w:p>
    <w:p w14:paraId="246157F2" w14:textId="77777777" w:rsidR="00894070" w:rsidRDefault="00894070">
      <w:pPr>
        <w:pStyle w:val="BodyText"/>
        <w:spacing w:before="8"/>
        <w:rPr>
          <w:sz w:val="19"/>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436"/>
        <w:gridCol w:w="5491"/>
      </w:tblGrid>
      <w:tr w:rsidR="00894070" w14:paraId="32BAEC21" w14:textId="77777777">
        <w:trPr>
          <w:trHeight w:val="518"/>
        </w:trPr>
        <w:tc>
          <w:tcPr>
            <w:tcW w:w="2436" w:type="dxa"/>
            <w:shd w:val="clear" w:color="auto" w:fill="F4BCAE"/>
          </w:tcPr>
          <w:p w14:paraId="45779A1B" w14:textId="77777777" w:rsidR="00894070" w:rsidRDefault="009B7AFD">
            <w:pPr>
              <w:pStyle w:val="TableParagraph"/>
              <w:spacing w:before="122"/>
              <w:rPr>
                <w:b/>
                <w:sz w:val="20"/>
              </w:rPr>
            </w:pPr>
            <w:bookmarkStart w:id="96" w:name="_bookmark51"/>
            <w:bookmarkEnd w:id="96"/>
            <w:r>
              <w:rPr>
                <w:b/>
                <w:color w:val="231F20"/>
                <w:sz w:val="20"/>
              </w:rPr>
              <w:t>Type of support</w:t>
            </w:r>
          </w:p>
        </w:tc>
        <w:tc>
          <w:tcPr>
            <w:tcW w:w="5491" w:type="dxa"/>
            <w:shd w:val="clear" w:color="auto" w:fill="F4BCAE"/>
          </w:tcPr>
          <w:p w14:paraId="185FEAAF" w14:textId="77777777" w:rsidR="00894070" w:rsidRDefault="009B7AFD">
            <w:pPr>
              <w:pStyle w:val="TableParagraph"/>
              <w:spacing w:before="122"/>
              <w:rPr>
                <w:b/>
                <w:sz w:val="20"/>
              </w:rPr>
            </w:pPr>
            <w:r>
              <w:rPr>
                <w:b/>
                <w:color w:val="231F20"/>
                <w:sz w:val="20"/>
              </w:rPr>
              <w:t>Description</w:t>
            </w:r>
          </w:p>
        </w:tc>
      </w:tr>
      <w:tr w:rsidR="00894070" w14:paraId="65E63CF8" w14:textId="77777777">
        <w:trPr>
          <w:trHeight w:val="3764"/>
        </w:trPr>
        <w:tc>
          <w:tcPr>
            <w:tcW w:w="2436" w:type="dxa"/>
          </w:tcPr>
          <w:p w14:paraId="48017C70" w14:textId="77777777" w:rsidR="00894070" w:rsidRDefault="009B7AFD">
            <w:pPr>
              <w:pStyle w:val="TableParagraph"/>
              <w:spacing w:before="65"/>
              <w:rPr>
                <w:sz w:val="20"/>
              </w:rPr>
            </w:pPr>
            <w:r>
              <w:rPr>
                <w:color w:val="231F20"/>
                <w:sz w:val="20"/>
              </w:rPr>
              <w:t>Financial assistance</w:t>
            </w:r>
          </w:p>
        </w:tc>
        <w:tc>
          <w:tcPr>
            <w:tcW w:w="5491" w:type="dxa"/>
          </w:tcPr>
          <w:p w14:paraId="7C0FB557" w14:textId="77777777" w:rsidR="00894070" w:rsidRDefault="009B7AFD">
            <w:pPr>
              <w:pStyle w:val="TableParagraph"/>
              <w:spacing w:before="98" w:line="206" w:lineRule="auto"/>
              <w:ind w:right="291"/>
              <w:rPr>
                <w:sz w:val="20"/>
              </w:rPr>
            </w:pPr>
            <w:r>
              <w:rPr>
                <w:color w:val="231F20"/>
                <w:sz w:val="20"/>
              </w:rPr>
              <w:t xml:space="preserve">Support should include financial assistance. </w:t>
            </w:r>
            <w:r>
              <w:rPr>
                <w:color w:val="231F20"/>
                <w:spacing w:val="-6"/>
                <w:sz w:val="20"/>
              </w:rPr>
              <w:t xml:space="preserve">We </w:t>
            </w:r>
            <w:r>
              <w:rPr>
                <w:color w:val="231F20"/>
                <w:spacing w:val="-3"/>
                <w:sz w:val="20"/>
              </w:rPr>
              <w:t xml:space="preserve">were </w:t>
            </w:r>
            <w:r>
              <w:rPr>
                <w:color w:val="231F20"/>
                <w:sz w:val="20"/>
              </w:rPr>
              <w:t>told that people who experience stalking often face economic and social losses because of safety</w:t>
            </w:r>
            <w:r>
              <w:rPr>
                <w:color w:val="231F20"/>
                <w:spacing w:val="-25"/>
                <w:sz w:val="20"/>
              </w:rPr>
              <w:t xml:space="preserve"> </w:t>
            </w:r>
            <w:r>
              <w:rPr>
                <w:color w:val="231F20"/>
                <w:sz w:val="20"/>
              </w:rPr>
              <w:t>planning and forced lifestyle changes.</w:t>
            </w:r>
            <w:proofErr w:type="gramStart"/>
            <w:r>
              <w:rPr>
                <w:color w:val="231F20"/>
                <w:position w:val="7"/>
                <w:sz w:val="11"/>
              </w:rPr>
              <w:t xml:space="preserve">25  </w:t>
            </w:r>
            <w:r>
              <w:rPr>
                <w:color w:val="231F20"/>
                <w:sz w:val="20"/>
              </w:rPr>
              <w:t>They</w:t>
            </w:r>
            <w:proofErr w:type="gramEnd"/>
            <w:r>
              <w:rPr>
                <w:color w:val="231F20"/>
                <w:sz w:val="20"/>
              </w:rPr>
              <w:t xml:space="preserve"> may </w:t>
            </w:r>
            <w:r>
              <w:rPr>
                <w:color w:val="231F20"/>
                <w:spacing w:val="-3"/>
                <w:sz w:val="20"/>
              </w:rPr>
              <w:t xml:space="preserve">have </w:t>
            </w:r>
            <w:r>
              <w:rPr>
                <w:color w:val="231F20"/>
                <w:sz w:val="20"/>
              </w:rPr>
              <w:t>to pay to install safety measures, or they may lose income because the stalking causes them to miss work</w:t>
            </w:r>
            <w:r>
              <w:rPr>
                <w:color w:val="231F20"/>
                <w:spacing w:val="-20"/>
                <w:sz w:val="20"/>
              </w:rPr>
              <w:t xml:space="preserve"> </w:t>
            </w:r>
            <w:r>
              <w:rPr>
                <w:color w:val="231F20"/>
                <w:sz w:val="20"/>
              </w:rPr>
              <w:t>or</w:t>
            </w:r>
          </w:p>
          <w:p w14:paraId="01ACD6F3" w14:textId="77777777" w:rsidR="00894070" w:rsidRDefault="009B7AFD">
            <w:pPr>
              <w:pStyle w:val="TableParagraph"/>
              <w:spacing w:line="234" w:lineRule="exact"/>
              <w:rPr>
                <w:sz w:val="20"/>
              </w:rPr>
            </w:pPr>
            <w:r>
              <w:rPr>
                <w:color w:val="231F20"/>
                <w:sz w:val="20"/>
              </w:rPr>
              <w:t>impacts their productivity. They may have to pay for legal</w:t>
            </w:r>
          </w:p>
          <w:p w14:paraId="5EBEE3FE" w14:textId="77777777" w:rsidR="00894070" w:rsidRDefault="009B7AFD">
            <w:pPr>
              <w:pStyle w:val="TableParagraph"/>
              <w:spacing w:line="259" w:lineRule="exact"/>
              <w:rPr>
                <w:sz w:val="11"/>
              </w:rPr>
            </w:pPr>
            <w:r>
              <w:rPr>
                <w:color w:val="231F20"/>
                <w:sz w:val="20"/>
              </w:rPr>
              <w:t>fees, mental health treatment</w:t>
            </w:r>
            <w:r>
              <w:rPr>
                <w:color w:val="231F20"/>
                <w:position w:val="7"/>
                <w:sz w:val="11"/>
              </w:rPr>
              <w:t xml:space="preserve">26 </w:t>
            </w:r>
            <w:r>
              <w:rPr>
                <w:color w:val="231F20"/>
                <w:sz w:val="20"/>
              </w:rPr>
              <w:t>and safe housing.</w:t>
            </w:r>
            <w:r>
              <w:rPr>
                <w:color w:val="231F20"/>
                <w:position w:val="7"/>
                <w:sz w:val="11"/>
              </w:rPr>
              <w:t>27</w:t>
            </w:r>
          </w:p>
          <w:p w14:paraId="5C3D7E8F" w14:textId="77777777" w:rsidR="00894070" w:rsidRDefault="009B7AFD">
            <w:pPr>
              <w:pStyle w:val="TableParagraph"/>
              <w:spacing w:before="114" w:line="206" w:lineRule="auto"/>
              <w:rPr>
                <w:sz w:val="11"/>
              </w:rPr>
            </w:pPr>
            <w:r>
              <w:rPr>
                <w:color w:val="231F20"/>
                <w:sz w:val="20"/>
              </w:rPr>
              <w:t>Di McDonald, a victim survivor of stalking, told us about having to pay for damage to her property by the person who stalked her.</w:t>
            </w:r>
            <w:r>
              <w:rPr>
                <w:color w:val="231F20"/>
                <w:position w:val="7"/>
                <w:sz w:val="11"/>
              </w:rPr>
              <w:t xml:space="preserve">28 </w:t>
            </w:r>
            <w:r>
              <w:rPr>
                <w:color w:val="231F20"/>
                <w:sz w:val="20"/>
              </w:rPr>
              <w:t>Interference with property has been acknowledged in stalking research.</w:t>
            </w:r>
            <w:r>
              <w:rPr>
                <w:color w:val="231F20"/>
                <w:position w:val="7"/>
                <w:sz w:val="11"/>
              </w:rPr>
              <w:t>29</w:t>
            </w:r>
          </w:p>
          <w:p w14:paraId="3E2D2B63" w14:textId="77777777" w:rsidR="00894070" w:rsidRDefault="009B7AFD">
            <w:pPr>
              <w:pStyle w:val="TableParagraph"/>
              <w:spacing w:before="125" w:line="206" w:lineRule="auto"/>
              <w:rPr>
                <w:sz w:val="20"/>
              </w:rPr>
            </w:pPr>
            <w:r>
              <w:rPr>
                <w:color w:val="231F20"/>
                <w:sz w:val="20"/>
              </w:rPr>
              <w:t>In Chapter 3, we discuss the financial assistance victim survivors of cyberstalking need.</w:t>
            </w:r>
          </w:p>
        </w:tc>
      </w:tr>
      <w:tr w:rsidR="00894070" w14:paraId="4C15255D" w14:textId="77777777">
        <w:trPr>
          <w:trHeight w:val="1604"/>
        </w:trPr>
        <w:tc>
          <w:tcPr>
            <w:tcW w:w="2436" w:type="dxa"/>
          </w:tcPr>
          <w:p w14:paraId="4CBDE549" w14:textId="77777777" w:rsidR="00894070" w:rsidRDefault="009B7AFD">
            <w:pPr>
              <w:pStyle w:val="TableParagraph"/>
              <w:spacing w:before="65"/>
              <w:rPr>
                <w:sz w:val="20"/>
              </w:rPr>
            </w:pPr>
            <w:r>
              <w:rPr>
                <w:color w:val="231F20"/>
                <w:sz w:val="20"/>
              </w:rPr>
              <w:t>Therapeutic support</w:t>
            </w:r>
          </w:p>
        </w:tc>
        <w:tc>
          <w:tcPr>
            <w:tcW w:w="5491" w:type="dxa"/>
          </w:tcPr>
          <w:p w14:paraId="2C1210A4" w14:textId="77777777" w:rsidR="00894070" w:rsidRDefault="009B7AFD">
            <w:pPr>
              <w:pStyle w:val="TableParagraph"/>
              <w:spacing w:before="98" w:line="206" w:lineRule="auto"/>
              <w:ind w:right="416"/>
              <w:rPr>
                <w:sz w:val="11"/>
              </w:rPr>
            </w:pPr>
            <w:r>
              <w:rPr>
                <w:color w:val="231F20"/>
                <w:sz w:val="20"/>
              </w:rPr>
              <w:t xml:space="preserve">Support should be therapeutic. </w:t>
            </w:r>
            <w:proofErr w:type="gramStart"/>
            <w:r>
              <w:rPr>
                <w:color w:val="231F20"/>
                <w:sz w:val="20"/>
              </w:rPr>
              <w:t>A number of</w:t>
            </w:r>
            <w:proofErr w:type="gramEnd"/>
            <w:r>
              <w:rPr>
                <w:color w:val="231F20"/>
                <w:sz w:val="20"/>
              </w:rPr>
              <w:t xml:space="preserve"> victim survivors called for improved access to counselling or psychological support.</w:t>
            </w:r>
            <w:r>
              <w:rPr>
                <w:color w:val="231F20"/>
                <w:position w:val="7"/>
                <w:sz w:val="11"/>
              </w:rPr>
              <w:t xml:space="preserve">30 </w:t>
            </w:r>
            <w:r>
              <w:rPr>
                <w:color w:val="231F20"/>
                <w:sz w:val="20"/>
              </w:rPr>
              <w:t xml:space="preserve">As Code Black Threat Management told us, victim survivors should </w:t>
            </w:r>
            <w:r>
              <w:rPr>
                <w:color w:val="231F20"/>
                <w:spacing w:val="-3"/>
                <w:sz w:val="20"/>
              </w:rPr>
              <w:t>have</w:t>
            </w:r>
            <w:r>
              <w:rPr>
                <w:color w:val="231F20"/>
                <w:spacing w:val="-35"/>
                <w:sz w:val="20"/>
              </w:rPr>
              <w:t xml:space="preserve"> </w:t>
            </w:r>
            <w:r>
              <w:rPr>
                <w:color w:val="231F20"/>
                <w:sz w:val="20"/>
              </w:rPr>
              <w:t>the opportunity to ‘psychologically rehabilitate’ to ‘pre- stalking’ levels of</w:t>
            </w:r>
            <w:r>
              <w:rPr>
                <w:color w:val="231F20"/>
                <w:spacing w:val="-7"/>
                <w:sz w:val="20"/>
              </w:rPr>
              <w:t xml:space="preserve"> </w:t>
            </w:r>
            <w:r>
              <w:rPr>
                <w:color w:val="231F20"/>
                <w:sz w:val="20"/>
              </w:rPr>
              <w:t>functioning.</w:t>
            </w:r>
            <w:r>
              <w:rPr>
                <w:color w:val="231F20"/>
                <w:position w:val="7"/>
                <w:sz w:val="11"/>
              </w:rPr>
              <w:t>31</w:t>
            </w:r>
          </w:p>
        </w:tc>
      </w:tr>
    </w:tbl>
    <w:p w14:paraId="62474D0E" w14:textId="77777777" w:rsidR="00894070" w:rsidRDefault="00894070">
      <w:pPr>
        <w:pStyle w:val="BodyText"/>
      </w:pPr>
    </w:p>
    <w:p w14:paraId="6463FDFB" w14:textId="77777777" w:rsidR="00894070" w:rsidRDefault="009B7AFD">
      <w:pPr>
        <w:pStyle w:val="Heading8"/>
        <w:spacing w:before="205"/>
        <w:ind w:left="1007"/>
      </w:pPr>
      <w:r>
        <w:rPr>
          <w:color w:val="231F20"/>
        </w:rPr>
        <w:t>Support needs to be timely</w:t>
      </w:r>
    </w:p>
    <w:p w14:paraId="6B13759A" w14:textId="77777777" w:rsidR="00894070" w:rsidRDefault="009B7AFD">
      <w:pPr>
        <w:pStyle w:val="ListParagraph"/>
        <w:numPr>
          <w:ilvl w:val="1"/>
          <w:numId w:val="126"/>
        </w:numPr>
        <w:tabs>
          <w:tab w:val="left" w:pos="1801"/>
          <w:tab w:val="left" w:pos="1802"/>
        </w:tabs>
        <w:spacing w:before="127" w:line="206" w:lineRule="auto"/>
        <w:ind w:right="1254"/>
        <w:rPr>
          <w:sz w:val="11"/>
        </w:rPr>
      </w:pPr>
      <w:r>
        <w:rPr>
          <w:color w:val="231F20"/>
          <w:sz w:val="20"/>
        </w:rPr>
        <w:t>Victim</w:t>
      </w:r>
      <w:r>
        <w:rPr>
          <w:color w:val="231F20"/>
          <w:spacing w:val="-10"/>
          <w:sz w:val="20"/>
        </w:rPr>
        <w:t xml:space="preserve"> </w:t>
      </w:r>
      <w:r>
        <w:rPr>
          <w:color w:val="231F20"/>
          <w:sz w:val="20"/>
        </w:rPr>
        <w:t>survivors</w:t>
      </w:r>
      <w:r>
        <w:rPr>
          <w:color w:val="231F20"/>
          <w:spacing w:val="-9"/>
          <w:sz w:val="20"/>
        </w:rPr>
        <w:t xml:space="preserve"> </w:t>
      </w:r>
      <w:r>
        <w:rPr>
          <w:color w:val="231F20"/>
          <w:sz w:val="20"/>
        </w:rPr>
        <w:t>of</w:t>
      </w:r>
      <w:r>
        <w:rPr>
          <w:color w:val="231F20"/>
          <w:spacing w:val="-9"/>
          <w:sz w:val="20"/>
        </w:rPr>
        <w:t xml:space="preserve"> </w:t>
      </w:r>
      <w:r>
        <w:rPr>
          <w:color w:val="231F20"/>
          <w:sz w:val="20"/>
        </w:rPr>
        <w:t>stalking</w:t>
      </w:r>
      <w:r>
        <w:rPr>
          <w:color w:val="231F20"/>
          <w:spacing w:val="-10"/>
          <w:sz w:val="20"/>
        </w:rPr>
        <w:t xml:space="preserve"> </w:t>
      </w:r>
      <w:r>
        <w:rPr>
          <w:color w:val="231F20"/>
          <w:sz w:val="20"/>
        </w:rPr>
        <w:t>should</w:t>
      </w:r>
      <w:r>
        <w:rPr>
          <w:color w:val="231F20"/>
          <w:spacing w:val="-9"/>
          <w:sz w:val="20"/>
        </w:rPr>
        <w:t xml:space="preserve"> </w:t>
      </w:r>
      <w:r>
        <w:rPr>
          <w:color w:val="231F20"/>
          <w:sz w:val="20"/>
        </w:rPr>
        <w:t>get</w:t>
      </w:r>
      <w:r>
        <w:rPr>
          <w:color w:val="231F20"/>
          <w:spacing w:val="-9"/>
          <w:sz w:val="20"/>
        </w:rPr>
        <w:t xml:space="preserve"> </w:t>
      </w:r>
      <w:r>
        <w:rPr>
          <w:color w:val="231F20"/>
          <w:sz w:val="20"/>
        </w:rPr>
        <w:t>the</w:t>
      </w:r>
      <w:r>
        <w:rPr>
          <w:color w:val="231F20"/>
          <w:spacing w:val="-10"/>
          <w:sz w:val="20"/>
        </w:rPr>
        <w:t xml:space="preserve"> </w:t>
      </w:r>
      <w:r>
        <w:rPr>
          <w:color w:val="231F20"/>
          <w:sz w:val="20"/>
        </w:rPr>
        <w:t>support</w:t>
      </w:r>
      <w:r>
        <w:rPr>
          <w:color w:val="231F20"/>
          <w:spacing w:val="-9"/>
          <w:sz w:val="20"/>
        </w:rPr>
        <w:t xml:space="preserve"> </w:t>
      </w:r>
      <w:r>
        <w:rPr>
          <w:color w:val="231F20"/>
          <w:sz w:val="20"/>
        </w:rPr>
        <w:t>they</w:t>
      </w:r>
      <w:r>
        <w:rPr>
          <w:color w:val="231F20"/>
          <w:spacing w:val="-9"/>
          <w:sz w:val="20"/>
        </w:rPr>
        <w:t xml:space="preserve"> </w:t>
      </w:r>
      <w:r>
        <w:rPr>
          <w:color w:val="231F20"/>
          <w:sz w:val="20"/>
        </w:rPr>
        <w:t>need</w:t>
      </w:r>
      <w:r>
        <w:rPr>
          <w:color w:val="231F20"/>
          <w:spacing w:val="-10"/>
          <w:sz w:val="20"/>
        </w:rPr>
        <w:t xml:space="preserve"> </w:t>
      </w:r>
      <w:r>
        <w:rPr>
          <w:color w:val="231F20"/>
          <w:sz w:val="20"/>
        </w:rPr>
        <w:t>as</w:t>
      </w:r>
      <w:r>
        <w:rPr>
          <w:color w:val="231F20"/>
          <w:spacing w:val="-9"/>
          <w:sz w:val="20"/>
        </w:rPr>
        <w:t xml:space="preserve"> </w:t>
      </w:r>
      <w:r>
        <w:rPr>
          <w:color w:val="231F20"/>
          <w:spacing w:val="-3"/>
          <w:sz w:val="20"/>
        </w:rPr>
        <w:t>early</w:t>
      </w:r>
      <w:r>
        <w:rPr>
          <w:color w:val="231F20"/>
          <w:spacing w:val="-9"/>
          <w:sz w:val="20"/>
        </w:rPr>
        <w:t xml:space="preserve"> </w:t>
      </w:r>
      <w:r>
        <w:rPr>
          <w:color w:val="231F20"/>
          <w:sz w:val="20"/>
        </w:rPr>
        <w:t>as</w:t>
      </w:r>
      <w:r>
        <w:rPr>
          <w:color w:val="231F20"/>
          <w:spacing w:val="-10"/>
          <w:sz w:val="20"/>
        </w:rPr>
        <w:t xml:space="preserve"> </w:t>
      </w:r>
      <w:r>
        <w:rPr>
          <w:color w:val="231F20"/>
          <w:sz w:val="20"/>
        </w:rPr>
        <w:t>possible.</w:t>
      </w:r>
      <w:r>
        <w:rPr>
          <w:color w:val="231F20"/>
          <w:spacing w:val="-9"/>
          <w:sz w:val="20"/>
        </w:rPr>
        <w:t xml:space="preserve"> </w:t>
      </w:r>
      <w:r>
        <w:rPr>
          <w:color w:val="231F20"/>
          <w:sz w:val="20"/>
        </w:rPr>
        <w:t xml:space="preserve">That was a strong theme in this </w:t>
      </w:r>
      <w:proofErr w:type="gramStart"/>
      <w:r>
        <w:rPr>
          <w:color w:val="231F20"/>
          <w:spacing w:val="-3"/>
          <w:sz w:val="20"/>
        </w:rPr>
        <w:t xml:space="preserve">inquiry, </w:t>
      </w:r>
      <w:r>
        <w:rPr>
          <w:color w:val="231F20"/>
          <w:sz w:val="20"/>
        </w:rPr>
        <w:t>and</w:t>
      </w:r>
      <w:proofErr w:type="gramEnd"/>
      <w:r>
        <w:rPr>
          <w:color w:val="231F20"/>
          <w:sz w:val="20"/>
        </w:rPr>
        <w:t xml:space="preserve"> is supported </w:t>
      </w:r>
      <w:r>
        <w:rPr>
          <w:color w:val="231F20"/>
          <w:spacing w:val="-3"/>
          <w:sz w:val="20"/>
        </w:rPr>
        <w:t xml:space="preserve">by </w:t>
      </w:r>
      <w:r>
        <w:rPr>
          <w:color w:val="231F20"/>
          <w:sz w:val="20"/>
        </w:rPr>
        <w:t>research.</w:t>
      </w:r>
      <w:r>
        <w:rPr>
          <w:color w:val="231F20"/>
          <w:position w:val="7"/>
          <w:sz w:val="11"/>
        </w:rPr>
        <w:t xml:space="preserve">32 </w:t>
      </w:r>
      <w:r>
        <w:rPr>
          <w:color w:val="231F20"/>
          <w:sz w:val="20"/>
        </w:rPr>
        <w:t xml:space="preserve">In our </w:t>
      </w:r>
      <w:r>
        <w:rPr>
          <w:color w:val="231F20"/>
          <w:spacing w:val="-3"/>
          <w:sz w:val="20"/>
        </w:rPr>
        <w:t xml:space="preserve">interim </w:t>
      </w:r>
      <w:r>
        <w:rPr>
          <w:color w:val="231F20"/>
          <w:sz w:val="20"/>
        </w:rPr>
        <w:t xml:space="preserve">report </w:t>
      </w:r>
      <w:r>
        <w:rPr>
          <w:color w:val="231F20"/>
          <w:spacing w:val="-3"/>
          <w:sz w:val="20"/>
        </w:rPr>
        <w:t xml:space="preserve">we </w:t>
      </w:r>
      <w:r>
        <w:rPr>
          <w:color w:val="231F20"/>
          <w:sz w:val="20"/>
        </w:rPr>
        <w:t xml:space="preserve">recommended that police </w:t>
      </w:r>
      <w:r>
        <w:rPr>
          <w:color w:val="231F20"/>
          <w:spacing w:val="-4"/>
          <w:sz w:val="20"/>
        </w:rPr>
        <w:t xml:space="preserve">refer </w:t>
      </w:r>
      <w:r>
        <w:rPr>
          <w:color w:val="231F20"/>
          <w:sz w:val="20"/>
        </w:rPr>
        <w:t xml:space="preserve">victim survivors to services so that they </w:t>
      </w:r>
      <w:r>
        <w:rPr>
          <w:color w:val="231F20"/>
          <w:spacing w:val="-3"/>
          <w:sz w:val="20"/>
        </w:rPr>
        <w:t xml:space="preserve">receive </w:t>
      </w:r>
      <w:r>
        <w:rPr>
          <w:color w:val="231F20"/>
          <w:sz w:val="20"/>
        </w:rPr>
        <w:t>support</w:t>
      </w:r>
      <w:r>
        <w:rPr>
          <w:color w:val="231F20"/>
          <w:spacing w:val="-4"/>
          <w:sz w:val="20"/>
        </w:rPr>
        <w:t xml:space="preserve"> early.</w:t>
      </w:r>
      <w:r>
        <w:rPr>
          <w:color w:val="231F20"/>
          <w:spacing w:val="-4"/>
          <w:position w:val="7"/>
          <w:sz w:val="11"/>
        </w:rPr>
        <w:t>33</w:t>
      </w:r>
    </w:p>
    <w:p w14:paraId="6493729B" w14:textId="77777777" w:rsidR="00894070" w:rsidRDefault="009B7AFD">
      <w:pPr>
        <w:pStyle w:val="ListParagraph"/>
        <w:numPr>
          <w:ilvl w:val="1"/>
          <w:numId w:val="126"/>
        </w:numPr>
        <w:tabs>
          <w:tab w:val="left" w:pos="1801"/>
          <w:tab w:val="left" w:pos="1802"/>
        </w:tabs>
        <w:spacing w:before="125" w:line="206" w:lineRule="auto"/>
        <w:ind w:right="1396"/>
        <w:rPr>
          <w:sz w:val="20"/>
        </w:rPr>
      </w:pPr>
      <w:r>
        <w:rPr>
          <w:color w:val="231F20"/>
          <w:sz w:val="20"/>
        </w:rPr>
        <w:t xml:space="preserve">An aim of victim support should be to </w:t>
      </w:r>
      <w:r>
        <w:rPr>
          <w:color w:val="231F20"/>
          <w:spacing w:val="-3"/>
          <w:sz w:val="20"/>
        </w:rPr>
        <w:t xml:space="preserve">‘reduce </w:t>
      </w:r>
      <w:r>
        <w:rPr>
          <w:color w:val="231F20"/>
          <w:sz w:val="20"/>
        </w:rPr>
        <w:t>the probability of issue escalation’.</w:t>
      </w:r>
      <w:r>
        <w:rPr>
          <w:color w:val="231F20"/>
          <w:position w:val="7"/>
          <w:sz w:val="11"/>
        </w:rPr>
        <w:t>34</w:t>
      </w:r>
      <w:r>
        <w:rPr>
          <w:color w:val="231F20"/>
          <w:sz w:val="11"/>
        </w:rPr>
        <w:t xml:space="preserve"> </w:t>
      </w:r>
      <w:r>
        <w:rPr>
          <w:color w:val="231F20"/>
          <w:sz w:val="20"/>
        </w:rPr>
        <w:t>Without</w:t>
      </w:r>
      <w:r>
        <w:rPr>
          <w:color w:val="231F20"/>
          <w:spacing w:val="-7"/>
          <w:sz w:val="20"/>
        </w:rPr>
        <w:t xml:space="preserve"> </w:t>
      </w:r>
      <w:r>
        <w:rPr>
          <w:color w:val="231F20"/>
          <w:spacing w:val="-3"/>
          <w:sz w:val="20"/>
        </w:rPr>
        <w:t>timely</w:t>
      </w:r>
      <w:r>
        <w:rPr>
          <w:color w:val="231F20"/>
          <w:spacing w:val="-7"/>
          <w:sz w:val="20"/>
        </w:rPr>
        <w:t xml:space="preserve"> </w:t>
      </w:r>
      <w:r>
        <w:rPr>
          <w:color w:val="231F20"/>
          <w:sz w:val="20"/>
        </w:rPr>
        <w:t>support,</w:t>
      </w:r>
      <w:r>
        <w:rPr>
          <w:color w:val="231F20"/>
          <w:spacing w:val="-7"/>
          <w:sz w:val="20"/>
        </w:rPr>
        <w:t xml:space="preserve"> </w:t>
      </w:r>
      <w:r>
        <w:rPr>
          <w:color w:val="231F20"/>
          <w:sz w:val="20"/>
        </w:rPr>
        <w:t>the</w:t>
      </w:r>
      <w:r>
        <w:rPr>
          <w:color w:val="231F20"/>
          <w:spacing w:val="-6"/>
          <w:sz w:val="20"/>
        </w:rPr>
        <w:t xml:space="preserve"> </w:t>
      </w:r>
      <w:r>
        <w:rPr>
          <w:color w:val="231F20"/>
          <w:spacing w:val="-3"/>
          <w:sz w:val="20"/>
        </w:rPr>
        <w:t>negative</w:t>
      </w:r>
      <w:r>
        <w:rPr>
          <w:color w:val="231F20"/>
          <w:spacing w:val="-7"/>
          <w:sz w:val="20"/>
        </w:rPr>
        <w:t xml:space="preserve"> </w:t>
      </w:r>
      <w:r>
        <w:rPr>
          <w:color w:val="231F20"/>
          <w:sz w:val="20"/>
        </w:rPr>
        <w:t>impacts</w:t>
      </w:r>
      <w:r>
        <w:rPr>
          <w:color w:val="231F20"/>
          <w:spacing w:val="-7"/>
          <w:sz w:val="20"/>
        </w:rPr>
        <w:t xml:space="preserve"> </w:t>
      </w:r>
      <w:r>
        <w:rPr>
          <w:color w:val="231F20"/>
          <w:sz w:val="20"/>
        </w:rPr>
        <w:t>of</w:t>
      </w:r>
      <w:r>
        <w:rPr>
          <w:color w:val="231F20"/>
          <w:spacing w:val="-6"/>
          <w:sz w:val="20"/>
        </w:rPr>
        <w:t xml:space="preserve"> </w:t>
      </w:r>
      <w:r>
        <w:rPr>
          <w:color w:val="231F20"/>
          <w:sz w:val="20"/>
        </w:rPr>
        <w:t>stalking</w:t>
      </w:r>
      <w:r>
        <w:rPr>
          <w:color w:val="231F20"/>
          <w:spacing w:val="-7"/>
          <w:sz w:val="20"/>
        </w:rPr>
        <w:t xml:space="preserve"> </w:t>
      </w:r>
      <w:r>
        <w:rPr>
          <w:color w:val="231F20"/>
          <w:sz w:val="20"/>
        </w:rPr>
        <w:t>can</w:t>
      </w:r>
      <w:r>
        <w:rPr>
          <w:color w:val="231F20"/>
          <w:spacing w:val="-7"/>
          <w:sz w:val="20"/>
        </w:rPr>
        <w:t xml:space="preserve"> </w:t>
      </w:r>
      <w:r>
        <w:rPr>
          <w:color w:val="231F20"/>
          <w:sz w:val="20"/>
        </w:rPr>
        <w:t>become</w:t>
      </w:r>
      <w:r>
        <w:rPr>
          <w:color w:val="231F20"/>
          <w:spacing w:val="-6"/>
          <w:sz w:val="20"/>
        </w:rPr>
        <w:t xml:space="preserve"> </w:t>
      </w:r>
      <w:r>
        <w:rPr>
          <w:color w:val="231F20"/>
          <w:sz w:val="20"/>
        </w:rPr>
        <w:t>more</w:t>
      </w:r>
      <w:r>
        <w:rPr>
          <w:color w:val="231F20"/>
          <w:spacing w:val="-7"/>
          <w:sz w:val="20"/>
        </w:rPr>
        <w:t xml:space="preserve"> </w:t>
      </w:r>
      <w:r>
        <w:rPr>
          <w:color w:val="231F20"/>
          <w:sz w:val="20"/>
        </w:rPr>
        <w:t>serious.</w:t>
      </w:r>
      <w:r>
        <w:rPr>
          <w:color w:val="231F20"/>
          <w:position w:val="7"/>
          <w:sz w:val="11"/>
        </w:rPr>
        <w:t>35</w:t>
      </w:r>
      <w:r>
        <w:rPr>
          <w:color w:val="231F20"/>
          <w:sz w:val="11"/>
        </w:rPr>
        <w:t xml:space="preserve"> </w:t>
      </w:r>
      <w:r>
        <w:rPr>
          <w:color w:val="231F20"/>
          <w:sz w:val="20"/>
        </w:rPr>
        <w:t xml:space="preserve">As the Federation of Community Legal </w:t>
      </w:r>
      <w:r>
        <w:rPr>
          <w:color w:val="231F20"/>
          <w:spacing w:val="-3"/>
          <w:sz w:val="20"/>
        </w:rPr>
        <w:t>Centres told</w:t>
      </w:r>
      <w:r>
        <w:rPr>
          <w:color w:val="231F20"/>
          <w:spacing w:val="-34"/>
          <w:sz w:val="20"/>
        </w:rPr>
        <w:t xml:space="preserve"> </w:t>
      </w:r>
      <w:r>
        <w:rPr>
          <w:color w:val="231F20"/>
          <w:sz w:val="20"/>
        </w:rPr>
        <w:t>us:</w:t>
      </w:r>
    </w:p>
    <w:p w14:paraId="07A08040" w14:textId="77777777" w:rsidR="00894070" w:rsidRDefault="009B7AFD">
      <w:pPr>
        <w:spacing w:before="122" w:line="208" w:lineRule="auto"/>
        <w:ind w:left="2254" w:right="1289"/>
        <w:rPr>
          <w:sz w:val="11"/>
        </w:rPr>
      </w:pPr>
      <w:r>
        <w:rPr>
          <w:color w:val="231F20"/>
          <w:sz w:val="19"/>
        </w:rPr>
        <w:t>Without access to legal assistance and other supports at an early stage, victim survivors of stalking can be left to manage the stalking alone, which can place them at heightened risk and increased distress levels.</w:t>
      </w:r>
      <w:r>
        <w:rPr>
          <w:color w:val="231F20"/>
          <w:position w:val="6"/>
          <w:sz w:val="11"/>
        </w:rPr>
        <w:t>36</w:t>
      </w:r>
    </w:p>
    <w:p w14:paraId="3364C5DB" w14:textId="77777777" w:rsidR="00894070" w:rsidRDefault="009B7AFD">
      <w:pPr>
        <w:pStyle w:val="ListParagraph"/>
        <w:numPr>
          <w:ilvl w:val="1"/>
          <w:numId w:val="126"/>
        </w:numPr>
        <w:tabs>
          <w:tab w:val="left" w:pos="1801"/>
          <w:tab w:val="left" w:pos="1802"/>
        </w:tabs>
        <w:spacing w:before="92"/>
        <w:rPr>
          <w:sz w:val="20"/>
        </w:rPr>
      </w:pPr>
      <w:r>
        <w:rPr>
          <w:color w:val="231F20"/>
          <w:spacing w:val="-3"/>
          <w:sz w:val="20"/>
        </w:rPr>
        <w:t>Timely</w:t>
      </w:r>
      <w:r>
        <w:rPr>
          <w:color w:val="231F20"/>
          <w:spacing w:val="-5"/>
          <w:sz w:val="20"/>
        </w:rPr>
        <w:t xml:space="preserve"> </w:t>
      </w:r>
      <w:r>
        <w:rPr>
          <w:color w:val="231F20"/>
          <w:sz w:val="20"/>
        </w:rPr>
        <w:t>support</w:t>
      </w:r>
      <w:r>
        <w:rPr>
          <w:color w:val="231F20"/>
          <w:spacing w:val="-5"/>
          <w:sz w:val="20"/>
        </w:rPr>
        <w:t xml:space="preserve"> </w:t>
      </w:r>
      <w:r>
        <w:rPr>
          <w:color w:val="231F20"/>
          <w:sz w:val="20"/>
        </w:rPr>
        <w:t>also</w:t>
      </w:r>
      <w:r>
        <w:rPr>
          <w:color w:val="231F20"/>
          <w:spacing w:val="-4"/>
          <w:sz w:val="20"/>
        </w:rPr>
        <w:t xml:space="preserve"> </w:t>
      </w:r>
      <w:r>
        <w:rPr>
          <w:color w:val="231F20"/>
          <w:sz w:val="20"/>
        </w:rPr>
        <w:t>means</w:t>
      </w:r>
      <w:r>
        <w:rPr>
          <w:color w:val="231F20"/>
          <w:spacing w:val="-5"/>
          <w:sz w:val="20"/>
        </w:rPr>
        <w:t xml:space="preserve"> </w:t>
      </w:r>
      <w:r>
        <w:rPr>
          <w:color w:val="231F20"/>
          <w:sz w:val="20"/>
        </w:rPr>
        <w:t>the</w:t>
      </w:r>
      <w:r>
        <w:rPr>
          <w:color w:val="231F20"/>
          <w:spacing w:val="-5"/>
          <w:sz w:val="20"/>
        </w:rPr>
        <w:t xml:space="preserve"> </w:t>
      </w:r>
      <w:r>
        <w:rPr>
          <w:color w:val="231F20"/>
          <w:sz w:val="20"/>
        </w:rPr>
        <w:t>stalking</w:t>
      </w:r>
      <w:r>
        <w:rPr>
          <w:color w:val="231F20"/>
          <w:spacing w:val="-4"/>
          <w:sz w:val="20"/>
        </w:rPr>
        <w:t xml:space="preserve"> </w:t>
      </w:r>
      <w:r>
        <w:rPr>
          <w:color w:val="231F20"/>
          <w:spacing w:val="-3"/>
          <w:sz w:val="20"/>
        </w:rPr>
        <w:t>may</w:t>
      </w:r>
      <w:r>
        <w:rPr>
          <w:color w:val="231F20"/>
          <w:spacing w:val="-5"/>
          <w:sz w:val="20"/>
        </w:rPr>
        <w:t xml:space="preserve"> </w:t>
      </w:r>
      <w:r>
        <w:rPr>
          <w:color w:val="231F20"/>
          <w:sz w:val="20"/>
        </w:rPr>
        <w:t>be</w:t>
      </w:r>
      <w:r>
        <w:rPr>
          <w:color w:val="231F20"/>
          <w:spacing w:val="-5"/>
          <w:sz w:val="20"/>
        </w:rPr>
        <w:t xml:space="preserve"> </w:t>
      </w:r>
      <w:r>
        <w:rPr>
          <w:color w:val="231F20"/>
          <w:sz w:val="20"/>
        </w:rPr>
        <w:t>stopped</w:t>
      </w:r>
      <w:r>
        <w:rPr>
          <w:color w:val="231F20"/>
          <w:spacing w:val="-4"/>
          <w:sz w:val="20"/>
        </w:rPr>
        <w:t xml:space="preserve"> </w:t>
      </w:r>
      <w:r>
        <w:rPr>
          <w:color w:val="231F20"/>
          <w:sz w:val="20"/>
        </w:rPr>
        <w:t>as</w:t>
      </w:r>
      <w:r>
        <w:rPr>
          <w:color w:val="231F20"/>
          <w:spacing w:val="-5"/>
          <w:sz w:val="20"/>
        </w:rPr>
        <w:t xml:space="preserve"> </w:t>
      </w:r>
      <w:r>
        <w:rPr>
          <w:color w:val="231F20"/>
          <w:sz w:val="20"/>
        </w:rPr>
        <w:t>soon</w:t>
      </w:r>
      <w:r>
        <w:rPr>
          <w:color w:val="231F20"/>
          <w:spacing w:val="-5"/>
          <w:sz w:val="20"/>
        </w:rPr>
        <w:t xml:space="preserve"> </w:t>
      </w:r>
      <w:r>
        <w:rPr>
          <w:color w:val="231F20"/>
          <w:sz w:val="20"/>
        </w:rPr>
        <w:t>as</w:t>
      </w:r>
      <w:r>
        <w:rPr>
          <w:color w:val="231F20"/>
          <w:spacing w:val="-4"/>
          <w:sz w:val="20"/>
        </w:rPr>
        <w:t xml:space="preserve"> </w:t>
      </w:r>
      <w:r>
        <w:rPr>
          <w:color w:val="231F20"/>
          <w:sz w:val="20"/>
        </w:rPr>
        <w:t>possible.</w:t>
      </w:r>
    </w:p>
    <w:p w14:paraId="3C073BA6" w14:textId="77777777" w:rsidR="00894070" w:rsidRDefault="00894070">
      <w:pPr>
        <w:pStyle w:val="BodyText"/>
      </w:pPr>
    </w:p>
    <w:p w14:paraId="7C882804" w14:textId="77777777" w:rsidR="00894070" w:rsidRDefault="00894070">
      <w:pPr>
        <w:pStyle w:val="BodyText"/>
      </w:pPr>
    </w:p>
    <w:p w14:paraId="0E74240E" w14:textId="77777777" w:rsidR="00894070" w:rsidRDefault="00894070">
      <w:pPr>
        <w:pStyle w:val="BodyText"/>
      </w:pPr>
    </w:p>
    <w:p w14:paraId="1897F7A4" w14:textId="77777777" w:rsidR="00894070" w:rsidRDefault="009F6793">
      <w:pPr>
        <w:pStyle w:val="BodyText"/>
        <w:spacing w:before="2"/>
        <w:rPr>
          <w:sz w:val="17"/>
        </w:rPr>
      </w:pPr>
      <w:r>
        <w:pict w14:anchorId="4834A5B0">
          <v:line id="_x0000_s1421" style="position:absolute;z-index:251596800;mso-wrap-distance-left:0;mso-wrap-distance-right:0;mso-position-horizontal-relative:page" from="79.35pt,14.35pt" to="515.9pt,14.35pt" strokecolor="#f8cabc" strokeweight="1pt">
            <w10:wrap type="topAndBottom" anchorx="page"/>
          </v:line>
        </w:pict>
      </w:r>
    </w:p>
    <w:p w14:paraId="19041E28" w14:textId="77777777" w:rsidR="00894070" w:rsidRDefault="009B7AFD">
      <w:pPr>
        <w:pStyle w:val="ListParagraph"/>
        <w:numPr>
          <w:ilvl w:val="0"/>
          <w:numId w:val="121"/>
        </w:numPr>
        <w:tabs>
          <w:tab w:val="left" w:pos="1801"/>
          <w:tab w:val="left" w:pos="1802"/>
        </w:tabs>
        <w:spacing w:before="91" w:line="170" w:lineRule="exact"/>
        <w:rPr>
          <w:sz w:val="13"/>
        </w:rPr>
      </w:pPr>
      <w:r>
        <w:rPr>
          <w:color w:val="231F20"/>
          <w:sz w:val="13"/>
        </w:rPr>
        <w:t>Ibid.</w:t>
      </w:r>
    </w:p>
    <w:p w14:paraId="4E059443" w14:textId="77777777" w:rsidR="00894070" w:rsidRDefault="009B7AFD">
      <w:pPr>
        <w:pStyle w:val="ListParagraph"/>
        <w:numPr>
          <w:ilvl w:val="0"/>
          <w:numId w:val="121"/>
        </w:numPr>
        <w:tabs>
          <w:tab w:val="left" w:pos="1801"/>
          <w:tab w:val="left" w:pos="1802"/>
        </w:tabs>
        <w:spacing w:before="6" w:line="213" w:lineRule="auto"/>
        <w:ind w:right="1813"/>
        <w:rPr>
          <w:sz w:val="13"/>
        </w:rPr>
      </w:pPr>
      <w:r>
        <w:rPr>
          <w:color w:val="231F20"/>
          <w:sz w:val="13"/>
        </w:rPr>
        <w:t xml:space="preserve">Kritika Jerath, Lisa Tompson and Jyoti Belur, ‘Risk Management in Stalking Victims: A Multi-Agency Approach to Victim Advocacy’ [2020] </w:t>
      </w:r>
      <w:r>
        <w:rPr>
          <w:i/>
          <w:color w:val="231F20"/>
          <w:sz w:val="13"/>
        </w:rPr>
        <w:t xml:space="preserve">Journal of Interpersonal Violence </w:t>
      </w:r>
      <w:r>
        <w:rPr>
          <w:color w:val="231F20"/>
          <w:sz w:val="13"/>
        </w:rPr>
        <w:t>10.1177/0886260520980402:1–27,</w:t>
      </w:r>
      <w:r>
        <w:rPr>
          <w:color w:val="231F20"/>
          <w:spacing w:val="8"/>
          <w:sz w:val="13"/>
        </w:rPr>
        <w:t xml:space="preserve"> </w:t>
      </w:r>
      <w:r>
        <w:rPr>
          <w:color w:val="231F20"/>
          <w:spacing w:val="3"/>
          <w:sz w:val="13"/>
        </w:rPr>
        <w:t>14.</w:t>
      </w:r>
    </w:p>
    <w:p w14:paraId="47159CDD" w14:textId="77777777" w:rsidR="00894070" w:rsidRDefault="009B7AFD">
      <w:pPr>
        <w:pStyle w:val="ListParagraph"/>
        <w:numPr>
          <w:ilvl w:val="0"/>
          <w:numId w:val="121"/>
        </w:numPr>
        <w:tabs>
          <w:tab w:val="left" w:pos="1800"/>
          <w:tab w:val="left" w:pos="1802"/>
        </w:tabs>
        <w:spacing w:line="153"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4"/>
          <w:sz w:val="13"/>
        </w:rPr>
        <w:t xml:space="preserve"> </w:t>
      </w:r>
      <w:r>
        <w:rPr>
          <w:color w:val="231F20"/>
          <w:sz w:val="13"/>
        </w:rPr>
        <w:t>Commissioner).</w:t>
      </w:r>
    </w:p>
    <w:p w14:paraId="232FB1EA" w14:textId="77777777" w:rsidR="00894070" w:rsidRDefault="009B7AFD">
      <w:pPr>
        <w:pStyle w:val="ListParagraph"/>
        <w:numPr>
          <w:ilvl w:val="0"/>
          <w:numId w:val="121"/>
        </w:numPr>
        <w:tabs>
          <w:tab w:val="left" w:pos="1801"/>
          <w:tab w:val="left" w:pos="1802"/>
        </w:tabs>
        <w:spacing w:line="160" w:lineRule="exact"/>
        <w:rPr>
          <w:sz w:val="13"/>
        </w:rPr>
      </w:pPr>
      <w:r>
        <w:rPr>
          <w:color w:val="231F20"/>
          <w:spacing w:val="2"/>
          <w:sz w:val="13"/>
        </w:rPr>
        <w:t xml:space="preserve">Submission </w:t>
      </w:r>
      <w:r>
        <w:rPr>
          <w:color w:val="231F20"/>
          <w:sz w:val="13"/>
        </w:rPr>
        <w:t>70 (Di</w:t>
      </w:r>
      <w:r>
        <w:rPr>
          <w:color w:val="231F20"/>
          <w:spacing w:val="-3"/>
          <w:sz w:val="13"/>
        </w:rPr>
        <w:t xml:space="preserve"> </w:t>
      </w:r>
      <w:r>
        <w:rPr>
          <w:color w:val="231F20"/>
          <w:sz w:val="13"/>
        </w:rPr>
        <w:t>McDonald).</w:t>
      </w:r>
    </w:p>
    <w:p w14:paraId="77C9197F" w14:textId="77777777" w:rsidR="00894070" w:rsidRDefault="009B7AFD">
      <w:pPr>
        <w:pStyle w:val="ListParagraph"/>
        <w:numPr>
          <w:ilvl w:val="0"/>
          <w:numId w:val="121"/>
        </w:numPr>
        <w:tabs>
          <w:tab w:val="left" w:pos="1801"/>
          <w:tab w:val="left" w:pos="1802"/>
        </w:tabs>
        <w:spacing w:line="160" w:lineRule="exact"/>
        <w:rPr>
          <w:sz w:val="13"/>
        </w:rPr>
      </w:pPr>
      <w:r>
        <w:rPr>
          <w:color w:val="231F20"/>
          <w:sz w:val="13"/>
        </w:rPr>
        <w:t>Michele</w:t>
      </w:r>
      <w:r>
        <w:rPr>
          <w:color w:val="231F20"/>
          <w:spacing w:val="2"/>
          <w:sz w:val="13"/>
        </w:rPr>
        <w:t xml:space="preserve"> </w:t>
      </w:r>
      <w:r>
        <w:rPr>
          <w:color w:val="231F20"/>
          <w:sz w:val="13"/>
        </w:rPr>
        <w:t>Pathé</w:t>
      </w:r>
      <w:r>
        <w:rPr>
          <w:color w:val="231F20"/>
          <w:spacing w:val="2"/>
          <w:sz w:val="13"/>
        </w:rPr>
        <w:t xml:space="preserve"> </w:t>
      </w:r>
      <w:r>
        <w:rPr>
          <w:color w:val="231F20"/>
          <w:sz w:val="13"/>
        </w:rPr>
        <w:t>and</w:t>
      </w:r>
      <w:r>
        <w:rPr>
          <w:color w:val="231F20"/>
          <w:spacing w:val="2"/>
          <w:sz w:val="13"/>
        </w:rPr>
        <w:t xml:space="preserve"> </w:t>
      </w:r>
      <w:r>
        <w:rPr>
          <w:color w:val="231F20"/>
          <w:sz w:val="13"/>
        </w:rPr>
        <w:t>Paul</w:t>
      </w:r>
      <w:r>
        <w:rPr>
          <w:color w:val="231F20"/>
          <w:spacing w:val="3"/>
          <w:sz w:val="13"/>
        </w:rPr>
        <w:t xml:space="preserve"> </w:t>
      </w:r>
      <w:r>
        <w:rPr>
          <w:color w:val="231F20"/>
          <w:sz w:val="13"/>
        </w:rPr>
        <w:t>E</w:t>
      </w:r>
      <w:r>
        <w:rPr>
          <w:color w:val="231F20"/>
          <w:spacing w:val="2"/>
          <w:sz w:val="13"/>
        </w:rPr>
        <w:t xml:space="preserve"> </w:t>
      </w:r>
      <w:r>
        <w:rPr>
          <w:color w:val="231F20"/>
          <w:sz w:val="13"/>
        </w:rPr>
        <w:t>Mullen,</w:t>
      </w:r>
      <w:r>
        <w:rPr>
          <w:color w:val="231F20"/>
          <w:spacing w:val="2"/>
          <w:sz w:val="13"/>
        </w:rPr>
        <w:t xml:space="preserve"> </w:t>
      </w:r>
      <w:r>
        <w:rPr>
          <w:color w:val="231F20"/>
          <w:sz w:val="13"/>
        </w:rPr>
        <w:t>‘The</w:t>
      </w:r>
      <w:r>
        <w:rPr>
          <w:color w:val="231F20"/>
          <w:spacing w:val="3"/>
          <w:sz w:val="13"/>
        </w:rPr>
        <w:t xml:space="preserve"> </w:t>
      </w:r>
      <w:r>
        <w:rPr>
          <w:color w:val="231F20"/>
          <w:sz w:val="13"/>
        </w:rPr>
        <w:t>Impact</w:t>
      </w:r>
      <w:r>
        <w:rPr>
          <w:color w:val="231F20"/>
          <w:spacing w:val="2"/>
          <w:sz w:val="13"/>
        </w:rPr>
        <w:t xml:space="preserve"> </w:t>
      </w:r>
      <w:r>
        <w:rPr>
          <w:color w:val="231F20"/>
          <w:sz w:val="13"/>
        </w:rPr>
        <w:t>of</w:t>
      </w:r>
      <w:r>
        <w:rPr>
          <w:color w:val="231F20"/>
          <w:spacing w:val="2"/>
          <w:sz w:val="13"/>
        </w:rPr>
        <w:t xml:space="preserve"> </w:t>
      </w:r>
      <w:r>
        <w:rPr>
          <w:color w:val="231F20"/>
          <w:sz w:val="13"/>
        </w:rPr>
        <w:t>Stalkers</w:t>
      </w:r>
      <w:r>
        <w:rPr>
          <w:color w:val="231F20"/>
          <w:spacing w:val="2"/>
          <w:sz w:val="13"/>
        </w:rPr>
        <w:t xml:space="preserve"> </w:t>
      </w:r>
      <w:r>
        <w:rPr>
          <w:color w:val="231F20"/>
          <w:sz w:val="13"/>
        </w:rPr>
        <w:t>on</w:t>
      </w:r>
      <w:r>
        <w:rPr>
          <w:color w:val="231F20"/>
          <w:spacing w:val="3"/>
          <w:sz w:val="13"/>
        </w:rPr>
        <w:t xml:space="preserve"> </w:t>
      </w:r>
      <w:r>
        <w:rPr>
          <w:color w:val="231F20"/>
          <w:sz w:val="13"/>
        </w:rPr>
        <w:t>Their</w:t>
      </w:r>
      <w:r>
        <w:rPr>
          <w:color w:val="231F20"/>
          <w:spacing w:val="2"/>
          <w:sz w:val="13"/>
        </w:rPr>
        <w:t xml:space="preserve"> </w:t>
      </w:r>
      <w:r>
        <w:rPr>
          <w:color w:val="231F20"/>
          <w:sz w:val="13"/>
        </w:rPr>
        <w:t>Victims’</w:t>
      </w:r>
      <w:r>
        <w:rPr>
          <w:color w:val="231F20"/>
          <w:spacing w:val="2"/>
          <w:sz w:val="13"/>
        </w:rPr>
        <w:t xml:space="preserve"> </w:t>
      </w:r>
      <w:r>
        <w:rPr>
          <w:color w:val="231F20"/>
          <w:sz w:val="13"/>
        </w:rPr>
        <w:t>(1997)</w:t>
      </w:r>
      <w:r>
        <w:rPr>
          <w:color w:val="231F20"/>
          <w:spacing w:val="3"/>
          <w:sz w:val="13"/>
        </w:rPr>
        <w:t xml:space="preserve"> </w:t>
      </w:r>
      <w:r>
        <w:rPr>
          <w:color w:val="231F20"/>
          <w:sz w:val="13"/>
        </w:rPr>
        <w:t>170(1)</w:t>
      </w:r>
      <w:r>
        <w:rPr>
          <w:color w:val="231F20"/>
          <w:spacing w:val="1"/>
          <w:sz w:val="13"/>
        </w:rPr>
        <w:t xml:space="preserve"> </w:t>
      </w:r>
      <w:r>
        <w:rPr>
          <w:i/>
          <w:color w:val="231F20"/>
          <w:sz w:val="13"/>
        </w:rPr>
        <w:t>The</w:t>
      </w:r>
      <w:r>
        <w:rPr>
          <w:i/>
          <w:color w:val="231F20"/>
          <w:spacing w:val="2"/>
          <w:sz w:val="13"/>
        </w:rPr>
        <w:t xml:space="preserve"> </w:t>
      </w:r>
      <w:r>
        <w:rPr>
          <w:i/>
          <w:color w:val="231F20"/>
          <w:sz w:val="13"/>
        </w:rPr>
        <w:t>British</w:t>
      </w:r>
      <w:r>
        <w:rPr>
          <w:i/>
          <w:color w:val="231F20"/>
          <w:spacing w:val="2"/>
          <w:sz w:val="13"/>
        </w:rPr>
        <w:t xml:space="preserve"> </w:t>
      </w:r>
      <w:r>
        <w:rPr>
          <w:color w:val="231F20"/>
          <w:sz w:val="13"/>
        </w:rPr>
        <w:t>Journ</w:t>
      </w:r>
      <w:r>
        <w:rPr>
          <w:i/>
          <w:color w:val="231F20"/>
          <w:sz w:val="13"/>
        </w:rPr>
        <w:t>al</w:t>
      </w:r>
      <w:r>
        <w:rPr>
          <w:i/>
          <w:color w:val="231F20"/>
          <w:spacing w:val="2"/>
          <w:sz w:val="13"/>
        </w:rPr>
        <w:t xml:space="preserve"> </w:t>
      </w:r>
      <w:r>
        <w:rPr>
          <w:i/>
          <w:color w:val="231F20"/>
          <w:sz w:val="13"/>
        </w:rPr>
        <w:t>of</w:t>
      </w:r>
      <w:r>
        <w:rPr>
          <w:i/>
          <w:color w:val="231F20"/>
          <w:spacing w:val="2"/>
          <w:sz w:val="13"/>
        </w:rPr>
        <w:t xml:space="preserve"> </w:t>
      </w:r>
      <w:r>
        <w:rPr>
          <w:i/>
          <w:color w:val="231F20"/>
          <w:sz w:val="13"/>
        </w:rPr>
        <w:t>Psychiatry</w:t>
      </w:r>
      <w:r>
        <w:rPr>
          <w:i/>
          <w:color w:val="231F20"/>
          <w:spacing w:val="2"/>
          <w:sz w:val="13"/>
        </w:rPr>
        <w:t xml:space="preserve"> </w:t>
      </w:r>
      <w:r>
        <w:rPr>
          <w:color w:val="231F20"/>
          <w:spacing w:val="3"/>
          <w:sz w:val="13"/>
        </w:rPr>
        <w:t>12.</w:t>
      </w:r>
    </w:p>
    <w:p w14:paraId="78E425E1" w14:textId="77777777" w:rsidR="00894070" w:rsidRDefault="009B7AFD">
      <w:pPr>
        <w:pStyle w:val="ListParagraph"/>
        <w:numPr>
          <w:ilvl w:val="0"/>
          <w:numId w:val="121"/>
        </w:numPr>
        <w:tabs>
          <w:tab w:val="left" w:pos="1801"/>
          <w:tab w:val="left" w:pos="1802"/>
        </w:tabs>
        <w:spacing w:line="160" w:lineRule="exact"/>
        <w:rPr>
          <w:sz w:val="13"/>
        </w:rPr>
      </w:pPr>
      <w:r>
        <w:rPr>
          <w:color w:val="231F20"/>
          <w:spacing w:val="2"/>
          <w:sz w:val="13"/>
        </w:rPr>
        <w:t xml:space="preserve">Submissions </w:t>
      </w:r>
      <w:r>
        <w:rPr>
          <w:color w:val="231F20"/>
          <w:sz w:val="13"/>
        </w:rPr>
        <w:t>26 (KB), 31 (Name withheld), 59 (Name withheld), 70 (Di</w:t>
      </w:r>
      <w:r>
        <w:rPr>
          <w:color w:val="231F20"/>
          <w:spacing w:val="3"/>
          <w:sz w:val="13"/>
        </w:rPr>
        <w:t xml:space="preserve"> </w:t>
      </w:r>
      <w:r>
        <w:rPr>
          <w:color w:val="231F20"/>
          <w:sz w:val="13"/>
        </w:rPr>
        <w:t>McDonald).</w:t>
      </w:r>
    </w:p>
    <w:p w14:paraId="638E159B" w14:textId="77777777" w:rsidR="00894070" w:rsidRDefault="009B7AFD">
      <w:pPr>
        <w:pStyle w:val="ListParagraph"/>
        <w:numPr>
          <w:ilvl w:val="0"/>
          <w:numId w:val="121"/>
        </w:numPr>
        <w:tabs>
          <w:tab w:val="left" w:pos="1801"/>
          <w:tab w:val="left" w:pos="1802"/>
        </w:tabs>
        <w:spacing w:line="160" w:lineRule="exact"/>
        <w:rPr>
          <w:sz w:val="13"/>
        </w:rPr>
      </w:pPr>
      <w:r>
        <w:rPr>
          <w:color w:val="231F20"/>
          <w:spacing w:val="2"/>
          <w:sz w:val="13"/>
        </w:rPr>
        <w:t xml:space="preserve">Submission </w:t>
      </w:r>
      <w:r>
        <w:rPr>
          <w:color w:val="231F20"/>
          <w:sz w:val="13"/>
        </w:rPr>
        <w:t xml:space="preserve">65 (Code </w:t>
      </w:r>
      <w:r>
        <w:rPr>
          <w:color w:val="231F20"/>
          <w:spacing w:val="2"/>
          <w:sz w:val="13"/>
        </w:rPr>
        <w:t xml:space="preserve">Black </w:t>
      </w:r>
      <w:r>
        <w:rPr>
          <w:color w:val="231F20"/>
          <w:sz w:val="13"/>
        </w:rPr>
        <w:t>Threat</w:t>
      </w:r>
      <w:r>
        <w:rPr>
          <w:color w:val="231F20"/>
          <w:spacing w:val="-3"/>
          <w:sz w:val="13"/>
        </w:rPr>
        <w:t xml:space="preserve"> </w:t>
      </w:r>
      <w:r>
        <w:rPr>
          <w:color w:val="231F20"/>
          <w:sz w:val="13"/>
        </w:rPr>
        <w:t>Management).</w:t>
      </w:r>
    </w:p>
    <w:p w14:paraId="5CDFD8AA" w14:textId="77777777" w:rsidR="00894070" w:rsidRDefault="009B7AFD">
      <w:pPr>
        <w:pStyle w:val="ListParagraph"/>
        <w:numPr>
          <w:ilvl w:val="0"/>
          <w:numId w:val="121"/>
        </w:numPr>
        <w:tabs>
          <w:tab w:val="left" w:pos="1801"/>
          <w:tab w:val="left" w:pos="1802"/>
        </w:tabs>
        <w:spacing w:before="6" w:line="213" w:lineRule="auto"/>
        <w:ind w:right="1500"/>
        <w:rPr>
          <w:sz w:val="13"/>
        </w:rPr>
      </w:pPr>
      <w:r>
        <w:rPr>
          <w:color w:val="231F20"/>
          <w:sz w:val="13"/>
        </w:rPr>
        <w:t xml:space="preserve">Centre for Innovative Justice, </w:t>
      </w:r>
      <w:r>
        <w:rPr>
          <w:i/>
          <w:color w:val="231F20"/>
          <w:sz w:val="13"/>
        </w:rPr>
        <w:t xml:space="preserve">Strengthening Victoria’s Victim </w:t>
      </w:r>
      <w:r>
        <w:rPr>
          <w:i/>
          <w:color w:val="231F20"/>
          <w:spacing w:val="2"/>
          <w:sz w:val="13"/>
        </w:rPr>
        <w:t xml:space="preserve">Support </w:t>
      </w:r>
      <w:r>
        <w:rPr>
          <w:i/>
          <w:color w:val="231F20"/>
          <w:sz w:val="13"/>
        </w:rPr>
        <w:t xml:space="preserve">System: Victim </w:t>
      </w:r>
      <w:r>
        <w:rPr>
          <w:i/>
          <w:color w:val="231F20"/>
          <w:spacing w:val="2"/>
          <w:sz w:val="13"/>
        </w:rPr>
        <w:t xml:space="preserve">Services </w:t>
      </w:r>
      <w:r>
        <w:rPr>
          <w:i/>
          <w:color w:val="231F20"/>
          <w:sz w:val="13"/>
        </w:rPr>
        <w:t xml:space="preserve">Review </w:t>
      </w:r>
      <w:r>
        <w:rPr>
          <w:color w:val="231F20"/>
          <w:sz w:val="13"/>
        </w:rPr>
        <w:t xml:space="preserve">(Final </w:t>
      </w:r>
      <w:r>
        <w:rPr>
          <w:color w:val="231F20"/>
          <w:spacing w:val="2"/>
          <w:sz w:val="13"/>
        </w:rPr>
        <w:t xml:space="preserve">Report, </w:t>
      </w:r>
      <w:r>
        <w:rPr>
          <w:color w:val="231F20"/>
          <w:sz w:val="13"/>
        </w:rPr>
        <w:t xml:space="preserve">November 2020) </w:t>
      </w:r>
      <w:r>
        <w:rPr>
          <w:color w:val="231F20"/>
          <w:spacing w:val="2"/>
          <w:sz w:val="13"/>
        </w:rPr>
        <w:t>60–61.</w:t>
      </w:r>
    </w:p>
    <w:p w14:paraId="1287C72E" w14:textId="77777777" w:rsidR="00894070" w:rsidRDefault="009B7AFD">
      <w:pPr>
        <w:pStyle w:val="ListParagraph"/>
        <w:numPr>
          <w:ilvl w:val="0"/>
          <w:numId w:val="121"/>
        </w:numPr>
        <w:tabs>
          <w:tab w:val="left" w:pos="1800"/>
          <w:tab w:val="left" w:pos="1802"/>
        </w:tabs>
        <w:spacing w:line="153"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2021) [3.37] Recommendation</w:t>
      </w:r>
      <w:r>
        <w:rPr>
          <w:color w:val="231F20"/>
          <w:spacing w:val="6"/>
          <w:sz w:val="13"/>
        </w:rPr>
        <w:t xml:space="preserve"> </w:t>
      </w:r>
      <w:r>
        <w:rPr>
          <w:color w:val="231F20"/>
          <w:sz w:val="13"/>
        </w:rPr>
        <w:t>8.</w:t>
      </w:r>
    </w:p>
    <w:p w14:paraId="7DF0E5E1" w14:textId="77777777" w:rsidR="00894070" w:rsidRDefault="009B7AFD">
      <w:pPr>
        <w:pStyle w:val="ListParagraph"/>
        <w:numPr>
          <w:ilvl w:val="0"/>
          <w:numId w:val="121"/>
        </w:numPr>
        <w:tabs>
          <w:tab w:val="left" w:pos="1801"/>
          <w:tab w:val="left" w:pos="1802"/>
        </w:tabs>
        <w:spacing w:before="7" w:line="213" w:lineRule="auto"/>
        <w:ind w:right="1500"/>
        <w:rPr>
          <w:sz w:val="13"/>
        </w:rPr>
      </w:pPr>
      <w:r>
        <w:rPr>
          <w:color w:val="231F20"/>
          <w:sz w:val="13"/>
        </w:rPr>
        <w:t xml:space="preserve">Centre for Innovative Justice, </w:t>
      </w:r>
      <w:r>
        <w:rPr>
          <w:i/>
          <w:color w:val="231F20"/>
          <w:sz w:val="13"/>
        </w:rPr>
        <w:t xml:space="preserve">Strengthening Victoria’s Victim </w:t>
      </w:r>
      <w:r>
        <w:rPr>
          <w:i/>
          <w:color w:val="231F20"/>
          <w:spacing w:val="2"/>
          <w:sz w:val="13"/>
        </w:rPr>
        <w:t xml:space="preserve">Support </w:t>
      </w:r>
      <w:r>
        <w:rPr>
          <w:i/>
          <w:color w:val="231F20"/>
          <w:sz w:val="13"/>
        </w:rPr>
        <w:t xml:space="preserve">System: Victim </w:t>
      </w:r>
      <w:r>
        <w:rPr>
          <w:i/>
          <w:color w:val="231F20"/>
          <w:spacing w:val="2"/>
          <w:sz w:val="13"/>
        </w:rPr>
        <w:t xml:space="preserve">Services </w:t>
      </w:r>
      <w:r>
        <w:rPr>
          <w:i/>
          <w:color w:val="231F20"/>
          <w:sz w:val="13"/>
        </w:rPr>
        <w:t xml:space="preserve">Review </w:t>
      </w:r>
      <w:r>
        <w:rPr>
          <w:color w:val="231F20"/>
          <w:sz w:val="13"/>
        </w:rPr>
        <w:t xml:space="preserve">(Final </w:t>
      </w:r>
      <w:r>
        <w:rPr>
          <w:color w:val="231F20"/>
          <w:spacing w:val="2"/>
          <w:sz w:val="13"/>
        </w:rPr>
        <w:t xml:space="preserve">Report, </w:t>
      </w:r>
      <w:r>
        <w:rPr>
          <w:color w:val="231F20"/>
          <w:sz w:val="13"/>
        </w:rPr>
        <w:t xml:space="preserve">November 2020) </w:t>
      </w:r>
      <w:r>
        <w:rPr>
          <w:color w:val="231F20"/>
          <w:spacing w:val="2"/>
          <w:sz w:val="13"/>
        </w:rPr>
        <w:t>98.</w:t>
      </w:r>
    </w:p>
    <w:p w14:paraId="1DAFF575" w14:textId="77777777" w:rsidR="00894070" w:rsidRDefault="009B7AFD">
      <w:pPr>
        <w:pStyle w:val="ListParagraph"/>
        <w:numPr>
          <w:ilvl w:val="0"/>
          <w:numId w:val="121"/>
        </w:numPr>
        <w:tabs>
          <w:tab w:val="left" w:pos="1800"/>
          <w:tab w:val="left" w:pos="1802"/>
        </w:tabs>
        <w:spacing w:line="213" w:lineRule="auto"/>
        <w:ind w:right="1773"/>
        <w:jc w:val="both"/>
        <w:rPr>
          <w:sz w:val="13"/>
        </w:rPr>
      </w:pPr>
      <w:r>
        <w:rPr>
          <w:color w:val="231F20"/>
          <w:spacing w:val="2"/>
          <w:sz w:val="13"/>
        </w:rPr>
        <w:t xml:space="preserve">Submission </w:t>
      </w:r>
      <w:r>
        <w:rPr>
          <w:color w:val="231F20"/>
          <w:sz w:val="13"/>
        </w:rPr>
        <w:t xml:space="preserve">70 (Di McDonald); Consultation </w:t>
      </w:r>
      <w:r>
        <w:rPr>
          <w:color w:val="231F20"/>
          <w:spacing w:val="2"/>
          <w:sz w:val="13"/>
        </w:rPr>
        <w:t xml:space="preserve">14 </w:t>
      </w:r>
      <w:r>
        <w:rPr>
          <w:color w:val="231F20"/>
          <w:sz w:val="13"/>
        </w:rPr>
        <w:t xml:space="preserve">(Confidential). See </w:t>
      </w:r>
      <w:r>
        <w:rPr>
          <w:color w:val="231F20"/>
          <w:spacing w:val="2"/>
          <w:sz w:val="13"/>
        </w:rPr>
        <w:t xml:space="preserve">also </w:t>
      </w:r>
      <w:r>
        <w:rPr>
          <w:color w:val="231F20"/>
          <w:sz w:val="13"/>
        </w:rPr>
        <w:t xml:space="preserve">Kritika Jerath, Lisa Tompson and Jyoti Belur, ‘Risk Management in Stalking Victims: A Multi-Agency Approach to Victim Advocacy’ [2020] </w:t>
      </w:r>
      <w:r>
        <w:rPr>
          <w:i/>
          <w:color w:val="231F20"/>
          <w:sz w:val="13"/>
        </w:rPr>
        <w:t xml:space="preserve">Journal of Interpersonal Violence </w:t>
      </w:r>
      <w:r>
        <w:rPr>
          <w:color w:val="231F20"/>
          <w:sz w:val="13"/>
        </w:rPr>
        <w:t>10.1177/0886260520980402:1–27.</w:t>
      </w:r>
    </w:p>
    <w:p w14:paraId="026841C7" w14:textId="77777777" w:rsidR="00894070" w:rsidRDefault="009F6793">
      <w:pPr>
        <w:pStyle w:val="ListParagraph"/>
        <w:numPr>
          <w:ilvl w:val="0"/>
          <w:numId w:val="121"/>
        </w:numPr>
        <w:tabs>
          <w:tab w:val="left" w:pos="1801"/>
          <w:tab w:val="left" w:pos="1802"/>
        </w:tabs>
        <w:spacing w:line="213" w:lineRule="auto"/>
        <w:ind w:right="1208"/>
        <w:rPr>
          <w:sz w:val="13"/>
        </w:rPr>
      </w:pPr>
      <w:r>
        <w:pict w14:anchorId="26C532B9">
          <v:shape id="_x0000_s1420" type="#_x0000_t202" style="position:absolute;left:0;text-align:left;margin-left:36pt;margin-top:19.4pt;width:14.6pt;height:14.1pt;z-index:251673600;mso-position-horizontal-relative:page" filled="f" stroked="f">
            <v:textbox inset="0,0,0,0">
              <w:txbxContent>
                <w:p w14:paraId="6EA72D32" w14:textId="77777777" w:rsidR="00894070" w:rsidRDefault="009B7AFD">
                  <w:pPr>
                    <w:spacing w:line="282" w:lineRule="exact"/>
                    <w:rPr>
                      <w:b/>
                      <w:sz w:val="24"/>
                    </w:rPr>
                  </w:pPr>
                  <w:r>
                    <w:rPr>
                      <w:b/>
                      <w:color w:val="EA5B50"/>
                      <w:spacing w:val="-1"/>
                      <w:sz w:val="24"/>
                    </w:rPr>
                    <w:t>80</w:t>
                  </w:r>
                </w:p>
              </w:txbxContent>
            </v:textbox>
            <w10:wrap anchorx="page"/>
          </v:shape>
        </w:pict>
      </w:r>
      <w:r w:rsidR="009B7AFD">
        <w:rPr>
          <w:color w:val="231F20"/>
          <w:spacing w:val="2"/>
          <w:sz w:val="13"/>
        </w:rPr>
        <w:t xml:space="preserve">Submission </w:t>
      </w:r>
      <w:r w:rsidR="009B7AFD">
        <w:rPr>
          <w:color w:val="231F20"/>
          <w:sz w:val="13"/>
        </w:rPr>
        <w:t xml:space="preserve">97 (Federation of Community Legal Centres). The Australian </w:t>
      </w:r>
      <w:r w:rsidR="009B7AFD">
        <w:rPr>
          <w:color w:val="231F20"/>
          <w:spacing w:val="2"/>
          <w:sz w:val="13"/>
        </w:rPr>
        <w:t xml:space="preserve">Association </w:t>
      </w:r>
      <w:r w:rsidR="009B7AFD">
        <w:rPr>
          <w:color w:val="231F20"/>
          <w:sz w:val="13"/>
        </w:rPr>
        <w:t xml:space="preserve">of Social Workers </w:t>
      </w:r>
      <w:r w:rsidR="009B7AFD">
        <w:rPr>
          <w:color w:val="231F20"/>
          <w:spacing w:val="2"/>
          <w:sz w:val="13"/>
        </w:rPr>
        <w:t xml:space="preserve">also </w:t>
      </w:r>
      <w:r w:rsidR="009B7AFD">
        <w:rPr>
          <w:color w:val="231F20"/>
          <w:sz w:val="13"/>
        </w:rPr>
        <w:t xml:space="preserve">submitted that the Victorian Government recognise the </w:t>
      </w:r>
      <w:r w:rsidR="009B7AFD">
        <w:rPr>
          <w:color w:val="231F20"/>
          <w:spacing w:val="2"/>
          <w:sz w:val="13"/>
        </w:rPr>
        <w:t xml:space="preserve">importance </w:t>
      </w:r>
      <w:r w:rsidR="009B7AFD">
        <w:rPr>
          <w:color w:val="231F20"/>
          <w:sz w:val="13"/>
        </w:rPr>
        <w:t xml:space="preserve">of early </w:t>
      </w:r>
      <w:r w:rsidR="009B7AFD">
        <w:rPr>
          <w:color w:val="231F20"/>
          <w:spacing w:val="2"/>
          <w:sz w:val="13"/>
        </w:rPr>
        <w:t xml:space="preserve">support </w:t>
      </w:r>
      <w:r w:rsidR="009B7AFD">
        <w:rPr>
          <w:color w:val="231F20"/>
          <w:sz w:val="13"/>
        </w:rPr>
        <w:t xml:space="preserve">and provide victim survivors with </w:t>
      </w:r>
      <w:r w:rsidR="009B7AFD">
        <w:rPr>
          <w:color w:val="231F20"/>
          <w:spacing w:val="2"/>
          <w:sz w:val="13"/>
        </w:rPr>
        <w:t xml:space="preserve">support </w:t>
      </w:r>
      <w:r w:rsidR="009B7AFD">
        <w:rPr>
          <w:color w:val="231F20"/>
          <w:sz w:val="13"/>
        </w:rPr>
        <w:t xml:space="preserve">before their situation escalates: </w:t>
      </w:r>
      <w:r w:rsidR="009B7AFD">
        <w:rPr>
          <w:color w:val="231F20"/>
          <w:spacing w:val="2"/>
          <w:sz w:val="13"/>
        </w:rPr>
        <w:t xml:space="preserve">Submission </w:t>
      </w:r>
      <w:r w:rsidR="009B7AFD">
        <w:rPr>
          <w:color w:val="231F20"/>
          <w:sz w:val="13"/>
        </w:rPr>
        <w:t xml:space="preserve">76 </w:t>
      </w:r>
      <w:r w:rsidR="009B7AFD">
        <w:rPr>
          <w:color w:val="231F20"/>
          <w:spacing w:val="2"/>
          <w:sz w:val="13"/>
        </w:rPr>
        <w:t xml:space="preserve">(Australian Association </w:t>
      </w:r>
      <w:r w:rsidR="009B7AFD">
        <w:rPr>
          <w:color w:val="231F20"/>
          <w:sz w:val="13"/>
        </w:rPr>
        <w:t xml:space="preserve">of Social Workers). This submission primarily addresses the issue of family violence </w:t>
      </w:r>
      <w:r w:rsidR="009B7AFD">
        <w:rPr>
          <w:color w:val="231F20"/>
          <w:spacing w:val="2"/>
          <w:sz w:val="13"/>
        </w:rPr>
        <w:t xml:space="preserve">stalking, </w:t>
      </w:r>
      <w:r w:rsidR="009B7AFD">
        <w:rPr>
          <w:color w:val="231F20"/>
          <w:sz w:val="13"/>
        </w:rPr>
        <w:t xml:space="preserve">although it </w:t>
      </w:r>
      <w:r w:rsidR="009B7AFD">
        <w:rPr>
          <w:color w:val="231F20"/>
          <w:spacing w:val="2"/>
          <w:sz w:val="13"/>
        </w:rPr>
        <w:t xml:space="preserve">also </w:t>
      </w:r>
      <w:r w:rsidR="009B7AFD">
        <w:rPr>
          <w:color w:val="231F20"/>
          <w:sz w:val="13"/>
        </w:rPr>
        <w:t>discusses the problem of social workers being stalked by</w:t>
      </w:r>
      <w:r w:rsidR="009B7AFD">
        <w:rPr>
          <w:color w:val="231F20"/>
          <w:spacing w:val="18"/>
          <w:sz w:val="13"/>
        </w:rPr>
        <w:t xml:space="preserve"> </w:t>
      </w:r>
      <w:r w:rsidR="009B7AFD">
        <w:rPr>
          <w:color w:val="231F20"/>
          <w:spacing w:val="2"/>
          <w:sz w:val="13"/>
        </w:rPr>
        <w:t>clients.</w:t>
      </w:r>
    </w:p>
    <w:p w14:paraId="74B03293" w14:textId="77777777" w:rsidR="00894070" w:rsidRDefault="00894070">
      <w:pPr>
        <w:spacing w:line="213" w:lineRule="auto"/>
        <w:rPr>
          <w:sz w:val="13"/>
        </w:rPr>
        <w:sectPr w:rsidR="00894070">
          <w:pgSz w:w="11910" w:h="16840"/>
          <w:pgMar w:top="860" w:right="420" w:bottom="280" w:left="580" w:header="567" w:footer="0" w:gutter="0"/>
          <w:cols w:space="720"/>
        </w:sectPr>
      </w:pPr>
    </w:p>
    <w:p w14:paraId="269135F4" w14:textId="77777777" w:rsidR="00894070" w:rsidRDefault="00894070">
      <w:pPr>
        <w:pStyle w:val="BodyText"/>
      </w:pPr>
    </w:p>
    <w:p w14:paraId="2BCFA87C" w14:textId="77777777" w:rsidR="00894070" w:rsidRDefault="00894070">
      <w:pPr>
        <w:pStyle w:val="BodyText"/>
      </w:pPr>
    </w:p>
    <w:p w14:paraId="587F6487" w14:textId="77777777" w:rsidR="00894070" w:rsidRDefault="00894070">
      <w:pPr>
        <w:pStyle w:val="BodyText"/>
      </w:pPr>
    </w:p>
    <w:p w14:paraId="2A4073D3" w14:textId="77777777" w:rsidR="00894070" w:rsidRDefault="00894070">
      <w:pPr>
        <w:pStyle w:val="BodyText"/>
        <w:spacing w:before="6"/>
        <w:rPr>
          <w:sz w:val="14"/>
        </w:rPr>
      </w:pPr>
    </w:p>
    <w:p w14:paraId="05A824E5" w14:textId="77777777" w:rsidR="00894070" w:rsidRDefault="009B7AFD">
      <w:pPr>
        <w:pStyle w:val="ListParagraph"/>
        <w:numPr>
          <w:ilvl w:val="1"/>
          <w:numId w:val="126"/>
        </w:numPr>
        <w:tabs>
          <w:tab w:val="left" w:pos="1801"/>
          <w:tab w:val="left" w:pos="1802"/>
        </w:tabs>
        <w:spacing w:before="58"/>
        <w:rPr>
          <w:sz w:val="20"/>
        </w:rPr>
      </w:pPr>
      <w:bookmarkStart w:id="97" w:name="Reforms_of_victim_services_are_under_way"/>
      <w:bookmarkStart w:id="98" w:name="_bookmark52"/>
      <w:bookmarkEnd w:id="97"/>
      <w:bookmarkEnd w:id="98"/>
      <w:r>
        <w:rPr>
          <w:color w:val="231F20"/>
          <w:sz w:val="20"/>
        </w:rPr>
        <w:t>Emerging</w:t>
      </w:r>
      <w:r>
        <w:rPr>
          <w:color w:val="231F20"/>
          <w:spacing w:val="-6"/>
          <w:sz w:val="20"/>
        </w:rPr>
        <w:t xml:space="preserve"> </w:t>
      </w:r>
      <w:r>
        <w:rPr>
          <w:color w:val="231F20"/>
          <w:spacing w:val="-3"/>
          <w:sz w:val="20"/>
        </w:rPr>
        <w:t>research</w:t>
      </w:r>
      <w:r>
        <w:rPr>
          <w:color w:val="231F20"/>
          <w:spacing w:val="-6"/>
          <w:sz w:val="20"/>
        </w:rPr>
        <w:t xml:space="preserve"> </w:t>
      </w:r>
      <w:r>
        <w:rPr>
          <w:color w:val="231F20"/>
          <w:sz w:val="20"/>
        </w:rPr>
        <w:t>suggests</w:t>
      </w:r>
      <w:r>
        <w:rPr>
          <w:color w:val="231F20"/>
          <w:spacing w:val="-6"/>
          <w:sz w:val="20"/>
        </w:rPr>
        <w:t xml:space="preserve"> </w:t>
      </w:r>
      <w:r>
        <w:rPr>
          <w:color w:val="231F20"/>
          <w:sz w:val="20"/>
        </w:rPr>
        <w:t>other</w:t>
      </w:r>
      <w:r>
        <w:rPr>
          <w:color w:val="231F20"/>
          <w:spacing w:val="-6"/>
          <w:sz w:val="20"/>
        </w:rPr>
        <w:t xml:space="preserve"> </w:t>
      </w:r>
      <w:r>
        <w:rPr>
          <w:color w:val="231F20"/>
          <w:sz w:val="20"/>
        </w:rPr>
        <w:t>benefits</w:t>
      </w:r>
      <w:r>
        <w:rPr>
          <w:color w:val="231F20"/>
          <w:spacing w:val="-6"/>
          <w:sz w:val="20"/>
        </w:rPr>
        <w:t xml:space="preserve"> </w:t>
      </w:r>
      <w:r>
        <w:rPr>
          <w:color w:val="231F20"/>
          <w:sz w:val="20"/>
        </w:rPr>
        <w:t>of</w:t>
      </w:r>
      <w:r>
        <w:rPr>
          <w:color w:val="231F20"/>
          <w:spacing w:val="-5"/>
          <w:sz w:val="20"/>
        </w:rPr>
        <w:t xml:space="preserve"> </w:t>
      </w:r>
      <w:r>
        <w:rPr>
          <w:color w:val="231F20"/>
          <w:spacing w:val="-3"/>
          <w:sz w:val="20"/>
        </w:rPr>
        <w:t>early</w:t>
      </w:r>
      <w:r>
        <w:rPr>
          <w:color w:val="231F20"/>
          <w:spacing w:val="-6"/>
          <w:sz w:val="20"/>
        </w:rPr>
        <w:t xml:space="preserve"> </w:t>
      </w:r>
      <w:r>
        <w:rPr>
          <w:color w:val="231F20"/>
          <w:sz w:val="20"/>
        </w:rPr>
        <w:t>support,</w:t>
      </w:r>
      <w:r>
        <w:rPr>
          <w:color w:val="231F20"/>
          <w:spacing w:val="-6"/>
          <w:sz w:val="20"/>
        </w:rPr>
        <w:t xml:space="preserve"> </w:t>
      </w:r>
      <w:r>
        <w:rPr>
          <w:color w:val="231F20"/>
          <w:sz w:val="20"/>
        </w:rPr>
        <w:t>which</w:t>
      </w:r>
      <w:r>
        <w:rPr>
          <w:color w:val="231F20"/>
          <w:spacing w:val="-6"/>
          <w:sz w:val="20"/>
        </w:rPr>
        <w:t xml:space="preserve"> </w:t>
      </w:r>
      <w:r>
        <w:rPr>
          <w:color w:val="231F20"/>
          <w:sz w:val="20"/>
        </w:rPr>
        <w:t>include</w:t>
      </w:r>
      <w:r>
        <w:rPr>
          <w:color w:val="231F20"/>
          <w:spacing w:val="-6"/>
          <w:sz w:val="20"/>
        </w:rPr>
        <w:t xml:space="preserve"> </w:t>
      </w:r>
      <w:r>
        <w:rPr>
          <w:color w:val="231F20"/>
          <w:sz w:val="20"/>
        </w:rPr>
        <w:t>reducing:</w:t>
      </w:r>
    </w:p>
    <w:p w14:paraId="1E9C245C" w14:textId="77777777" w:rsidR="00894070" w:rsidRDefault="009B7AFD">
      <w:pPr>
        <w:pStyle w:val="ListParagraph"/>
        <w:numPr>
          <w:ilvl w:val="2"/>
          <w:numId w:val="126"/>
        </w:numPr>
        <w:tabs>
          <w:tab w:val="left" w:pos="2141"/>
          <w:tab w:val="left" w:pos="2142"/>
        </w:tabs>
        <w:spacing w:before="82"/>
        <w:ind w:hanging="340"/>
        <w:rPr>
          <w:sz w:val="11"/>
        </w:rPr>
      </w:pPr>
      <w:r>
        <w:rPr>
          <w:color w:val="231F20"/>
          <w:sz w:val="20"/>
        </w:rPr>
        <w:t xml:space="preserve">the </w:t>
      </w:r>
      <w:r>
        <w:rPr>
          <w:color w:val="231F20"/>
          <w:spacing w:val="-3"/>
          <w:sz w:val="20"/>
        </w:rPr>
        <w:t xml:space="preserve">long-term </w:t>
      </w:r>
      <w:r>
        <w:rPr>
          <w:color w:val="231F20"/>
          <w:sz w:val="20"/>
        </w:rPr>
        <w:t>effects of</w:t>
      </w:r>
      <w:r>
        <w:rPr>
          <w:color w:val="231F20"/>
          <w:spacing w:val="-15"/>
          <w:sz w:val="20"/>
        </w:rPr>
        <w:t xml:space="preserve"> </w:t>
      </w:r>
      <w:r>
        <w:rPr>
          <w:color w:val="231F20"/>
          <w:sz w:val="20"/>
        </w:rPr>
        <w:t>victimisation</w:t>
      </w:r>
      <w:r>
        <w:rPr>
          <w:color w:val="231F20"/>
          <w:position w:val="7"/>
          <w:sz w:val="11"/>
        </w:rPr>
        <w:t>37</w:t>
      </w:r>
    </w:p>
    <w:p w14:paraId="672B959E" w14:textId="77777777" w:rsidR="00894070" w:rsidRDefault="009B7AFD">
      <w:pPr>
        <w:pStyle w:val="ListParagraph"/>
        <w:numPr>
          <w:ilvl w:val="2"/>
          <w:numId w:val="126"/>
        </w:numPr>
        <w:tabs>
          <w:tab w:val="left" w:pos="2141"/>
          <w:tab w:val="left" w:pos="2142"/>
        </w:tabs>
        <w:spacing w:before="47"/>
        <w:ind w:hanging="340"/>
        <w:rPr>
          <w:sz w:val="11"/>
        </w:rPr>
      </w:pPr>
      <w:r>
        <w:rPr>
          <w:color w:val="231F20"/>
          <w:spacing w:val="-3"/>
          <w:sz w:val="20"/>
        </w:rPr>
        <w:t xml:space="preserve">pressure </w:t>
      </w:r>
      <w:r>
        <w:rPr>
          <w:color w:val="231F20"/>
          <w:sz w:val="20"/>
        </w:rPr>
        <w:t>on other parts of the service</w:t>
      </w:r>
      <w:r>
        <w:rPr>
          <w:color w:val="231F20"/>
          <w:spacing w:val="-26"/>
          <w:sz w:val="20"/>
        </w:rPr>
        <w:t xml:space="preserve"> </w:t>
      </w:r>
      <w:r>
        <w:rPr>
          <w:color w:val="231F20"/>
          <w:sz w:val="20"/>
        </w:rPr>
        <w:t>system</w:t>
      </w:r>
      <w:r>
        <w:rPr>
          <w:color w:val="231F20"/>
          <w:position w:val="7"/>
          <w:sz w:val="11"/>
        </w:rPr>
        <w:t>38</w:t>
      </w:r>
    </w:p>
    <w:p w14:paraId="0E17B115" w14:textId="77777777" w:rsidR="00894070" w:rsidRDefault="009B7AFD">
      <w:pPr>
        <w:pStyle w:val="ListParagraph"/>
        <w:numPr>
          <w:ilvl w:val="2"/>
          <w:numId w:val="126"/>
        </w:numPr>
        <w:tabs>
          <w:tab w:val="left" w:pos="2141"/>
          <w:tab w:val="left" w:pos="2142"/>
        </w:tabs>
        <w:spacing w:before="48"/>
        <w:ind w:hanging="340"/>
        <w:rPr>
          <w:sz w:val="11"/>
        </w:rPr>
      </w:pPr>
      <w:r>
        <w:rPr>
          <w:color w:val="231F20"/>
          <w:sz w:val="20"/>
        </w:rPr>
        <w:t xml:space="preserve">costs to </w:t>
      </w:r>
      <w:r>
        <w:rPr>
          <w:color w:val="231F20"/>
          <w:spacing w:val="-3"/>
          <w:sz w:val="20"/>
        </w:rPr>
        <w:t xml:space="preserve">government </w:t>
      </w:r>
      <w:r>
        <w:rPr>
          <w:color w:val="231F20"/>
          <w:sz w:val="20"/>
        </w:rPr>
        <w:t>and victim</w:t>
      </w:r>
      <w:r>
        <w:rPr>
          <w:color w:val="231F20"/>
          <w:spacing w:val="-18"/>
          <w:sz w:val="20"/>
        </w:rPr>
        <w:t xml:space="preserve"> </w:t>
      </w:r>
      <w:r>
        <w:rPr>
          <w:color w:val="231F20"/>
          <w:sz w:val="20"/>
        </w:rPr>
        <w:t>survivors.</w:t>
      </w:r>
      <w:r>
        <w:rPr>
          <w:color w:val="231F20"/>
          <w:position w:val="7"/>
          <w:sz w:val="11"/>
        </w:rPr>
        <w:t>39</w:t>
      </w:r>
    </w:p>
    <w:p w14:paraId="3DF12E92" w14:textId="77777777" w:rsidR="00894070" w:rsidRDefault="009B7AFD">
      <w:pPr>
        <w:pStyle w:val="ListParagraph"/>
        <w:numPr>
          <w:ilvl w:val="1"/>
          <w:numId w:val="126"/>
        </w:numPr>
        <w:tabs>
          <w:tab w:val="left" w:pos="1801"/>
          <w:tab w:val="left" w:pos="1802"/>
        </w:tabs>
        <w:spacing w:before="47" w:line="259" w:lineRule="exact"/>
        <w:rPr>
          <w:sz w:val="20"/>
        </w:rPr>
      </w:pPr>
      <w:r>
        <w:rPr>
          <w:color w:val="231F20"/>
          <w:spacing w:val="-5"/>
          <w:sz w:val="20"/>
        </w:rPr>
        <w:t>However,</w:t>
      </w:r>
      <w:r>
        <w:rPr>
          <w:color w:val="231F20"/>
          <w:spacing w:val="-6"/>
          <w:sz w:val="20"/>
        </w:rPr>
        <w:t xml:space="preserve"> </w:t>
      </w:r>
      <w:r>
        <w:rPr>
          <w:color w:val="231F20"/>
          <w:spacing w:val="-3"/>
          <w:sz w:val="20"/>
        </w:rPr>
        <w:t>we</w:t>
      </w:r>
      <w:r>
        <w:rPr>
          <w:color w:val="231F20"/>
          <w:spacing w:val="-5"/>
          <w:sz w:val="20"/>
        </w:rPr>
        <w:t xml:space="preserve"> </w:t>
      </w:r>
      <w:r>
        <w:rPr>
          <w:color w:val="231F20"/>
          <w:sz w:val="20"/>
        </w:rPr>
        <w:t>heard</w:t>
      </w:r>
      <w:r>
        <w:rPr>
          <w:color w:val="231F20"/>
          <w:spacing w:val="-5"/>
          <w:sz w:val="20"/>
        </w:rPr>
        <w:t xml:space="preserve"> </w:t>
      </w:r>
      <w:r>
        <w:rPr>
          <w:color w:val="231F20"/>
          <w:sz w:val="20"/>
        </w:rPr>
        <w:t>that</w:t>
      </w:r>
      <w:r>
        <w:rPr>
          <w:color w:val="231F20"/>
          <w:spacing w:val="-6"/>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5"/>
          <w:sz w:val="20"/>
        </w:rPr>
        <w:t xml:space="preserve"> </w:t>
      </w:r>
      <w:r>
        <w:rPr>
          <w:color w:val="231F20"/>
          <w:sz w:val="20"/>
        </w:rPr>
        <w:t>of</w:t>
      </w:r>
      <w:r>
        <w:rPr>
          <w:color w:val="231F20"/>
          <w:spacing w:val="-6"/>
          <w:sz w:val="20"/>
        </w:rPr>
        <w:t xml:space="preserve"> </w:t>
      </w:r>
      <w:r>
        <w:rPr>
          <w:color w:val="231F20"/>
          <w:sz w:val="20"/>
        </w:rPr>
        <w:t>stalking</w:t>
      </w:r>
      <w:r>
        <w:rPr>
          <w:color w:val="231F20"/>
          <w:spacing w:val="-5"/>
          <w:sz w:val="20"/>
        </w:rPr>
        <w:t xml:space="preserve"> </w:t>
      </w:r>
      <w:r>
        <w:rPr>
          <w:color w:val="231F20"/>
          <w:spacing w:val="-3"/>
          <w:sz w:val="20"/>
        </w:rPr>
        <w:t>rarely</w:t>
      </w:r>
      <w:r>
        <w:rPr>
          <w:color w:val="231F20"/>
          <w:spacing w:val="-5"/>
          <w:sz w:val="20"/>
        </w:rPr>
        <w:t xml:space="preserve"> </w:t>
      </w:r>
      <w:r>
        <w:rPr>
          <w:color w:val="231F20"/>
          <w:sz w:val="20"/>
        </w:rPr>
        <w:t>get</w:t>
      </w:r>
      <w:r>
        <w:rPr>
          <w:color w:val="231F20"/>
          <w:spacing w:val="-5"/>
          <w:sz w:val="20"/>
        </w:rPr>
        <w:t xml:space="preserve"> </w:t>
      </w:r>
      <w:r>
        <w:rPr>
          <w:color w:val="231F20"/>
          <w:sz w:val="20"/>
        </w:rPr>
        <w:t>the</w:t>
      </w:r>
      <w:r>
        <w:rPr>
          <w:color w:val="231F20"/>
          <w:spacing w:val="-6"/>
          <w:sz w:val="20"/>
        </w:rPr>
        <w:t xml:space="preserve"> </w:t>
      </w:r>
      <w:r>
        <w:rPr>
          <w:color w:val="231F20"/>
          <w:spacing w:val="-3"/>
          <w:sz w:val="20"/>
        </w:rPr>
        <w:t>early</w:t>
      </w:r>
      <w:r>
        <w:rPr>
          <w:color w:val="231F20"/>
          <w:spacing w:val="-5"/>
          <w:sz w:val="20"/>
        </w:rPr>
        <w:t xml:space="preserve"> </w:t>
      </w:r>
      <w:r>
        <w:rPr>
          <w:color w:val="231F20"/>
          <w:sz w:val="20"/>
        </w:rPr>
        <w:t>support</w:t>
      </w:r>
      <w:r>
        <w:rPr>
          <w:color w:val="231F20"/>
          <w:spacing w:val="-5"/>
          <w:sz w:val="20"/>
        </w:rPr>
        <w:t xml:space="preserve"> </w:t>
      </w:r>
      <w:r>
        <w:rPr>
          <w:color w:val="231F20"/>
          <w:sz w:val="20"/>
        </w:rPr>
        <w:t>they</w:t>
      </w:r>
    </w:p>
    <w:p w14:paraId="68947CDD" w14:textId="77777777" w:rsidR="00894070" w:rsidRDefault="009B7AFD">
      <w:pPr>
        <w:spacing w:line="259" w:lineRule="exact"/>
        <w:ind w:left="1801"/>
        <w:rPr>
          <w:sz w:val="11"/>
        </w:rPr>
      </w:pPr>
      <w:r>
        <w:rPr>
          <w:color w:val="231F20"/>
          <w:sz w:val="20"/>
        </w:rPr>
        <w:t>need.</w:t>
      </w:r>
      <w:r>
        <w:rPr>
          <w:color w:val="231F20"/>
          <w:position w:val="7"/>
          <w:sz w:val="11"/>
        </w:rPr>
        <w:t>40</w:t>
      </w:r>
    </w:p>
    <w:p w14:paraId="238724B8" w14:textId="77777777" w:rsidR="00894070" w:rsidRDefault="009B7AFD">
      <w:pPr>
        <w:pStyle w:val="ListParagraph"/>
        <w:numPr>
          <w:ilvl w:val="1"/>
          <w:numId w:val="126"/>
        </w:numPr>
        <w:tabs>
          <w:tab w:val="left" w:pos="1801"/>
          <w:tab w:val="left" w:pos="1802"/>
        </w:tabs>
        <w:spacing w:before="83" w:line="259" w:lineRule="exact"/>
        <w:rPr>
          <w:sz w:val="20"/>
        </w:rPr>
      </w:pPr>
      <w:r>
        <w:rPr>
          <w:color w:val="231F20"/>
          <w:sz w:val="20"/>
        </w:rPr>
        <w:t>In</w:t>
      </w:r>
      <w:r>
        <w:rPr>
          <w:color w:val="231F20"/>
          <w:spacing w:val="-5"/>
          <w:sz w:val="20"/>
        </w:rPr>
        <w:t xml:space="preserve"> </w:t>
      </w:r>
      <w:r>
        <w:rPr>
          <w:color w:val="231F20"/>
          <w:spacing w:val="-3"/>
          <w:sz w:val="20"/>
        </w:rPr>
        <w:t>Chapter</w:t>
      </w:r>
      <w:r>
        <w:rPr>
          <w:color w:val="231F20"/>
          <w:spacing w:val="-5"/>
          <w:sz w:val="20"/>
        </w:rPr>
        <w:t xml:space="preserve"> </w:t>
      </w:r>
      <w:r>
        <w:rPr>
          <w:color w:val="231F20"/>
          <w:sz w:val="20"/>
        </w:rPr>
        <w:t>3</w:t>
      </w:r>
      <w:r>
        <w:rPr>
          <w:color w:val="231F20"/>
          <w:spacing w:val="-4"/>
          <w:sz w:val="20"/>
        </w:rPr>
        <w:t xml:space="preserve"> </w:t>
      </w:r>
      <w:r>
        <w:rPr>
          <w:color w:val="231F20"/>
          <w:spacing w:val="-3"/>
          <w:sz w:val="20"/>
        </w:rPr>
        <w:t>we</w:t>
      </w:r>
      <w:r>
        <w:rPr>
          <w:color w:val="231F20"/>
          <w:spacing w:val="-5"/>
          <w:sz w:val="20"/>
        </w:rPr>
        <w:t xml:space="preserve"> </w:t>
      </w:r>
      <w:r>
        <w:rPr>
          <w:color w:val="231F20"/>
          <w:sz w:val="20"/>
        </w:rPr>
        <w:t>discuss</w:t>
      </w:r>
      <w:r>
        <w:rPr>
          <w:color w:val="231F20"/>
          <w:spacing w:val="-4"/>
          <w:sz w:val="20"/>
        </w:rPr>
        <w:t xml:space="preserve"> </w:t>
      </w:r>
      <w:r>
        <w:rPr>
          <w:color w:val="231F20"/>
          <w:spacing w:val="-3"/>
          <w:sz w:val="20"/>
        </w:rPr>
        <w:t>why</w:t>
      </w:r>
      <w:r>
        <w:rPr>
          <w:color w:val="231F20"/>
          <w:spacing w:val="-5"/>
          <w:sz w:val="20"/>
        </w:rPr>
        <w:t xml:space="preserve"> </w:t>
      </w:r>
      <w:r>
        <w:rPr>
          <w:color w:val="231F20"/>
          <w:sz w:val="20"/>
        </w:rPr>
        <w:t>support</w:t>
      </w:r>
      <w:r>
        <w:rPr>
          <w:color w:val="231F20"/>
          <w:spacing w:val="-4"/>
          <w:sz w:val="20"/>
        </w:rPr>
        <w:t xml:space="preserve"> </w:t>
      </w:r>
      <w:r>
        <w:rPr>
          <w:color w:val="231F20"/>
          <w:sz w:val="20"/>
        </w:rPr>
        <w:t>must</w:t>
      </w:r>
      <w:r>
        <w:rPr>
          <w:color w:val="231F20"/>
          <w:spacing w:val="-5"/>
          <w:sz w:val="20"/>
        </w:rPr>
        <w:t xml:space="preserve"> </w:t>
      </w:r>
      <w:r>
        <w:rPr>
          <w:color w:val="231F20"/>
          <w:sz w:val="20"/>
        </w:rPr>
        <w:t>be</w:t>
      </w:r>
      <w:r>
        <w:rPr>
          <w:color w:val="231F20"/>
          <w:spacing w:val="-4"/>
          <w:sz w:val="20"/>
        </w:rPr>
        <w:t xml:space="preserve"> </w:t>
      </w:r>
      <w:r>
        <w:rPr>
          <w:color w:val="231F20"/>
          <w:spacing w:val="-3"/>
          <w:sz w:val="20"/>
        </w:rPr>
        <w:t>timely</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people</w:t>
      </w:r>
      <w:r>
        <w:rPr>
          <w:color w:val="231F20"/>
          <w:spacing w:val="-4"/>
          <w:sz w:val="20"/>
        </w:rPr>
        <w:t xml:space="preserve"> </w:t>
      </w:r>
      <w:r>
        <w:rPr>
          <w:color w:val="231F20"/>
          <w:sz w:val="20"/>
        </w:rPr>
        <w:t>who</w:t>
      </w:r>
      <w:r>
        <w:rPr>
          <w:color w:val="231F20"/>
          <w:spacing w:val="-5"/>
          <w:sz w:val="20"/>
        </w:rPr>
        <w:t xml:space="preserve"> </w:t>
      </w:r>
      <w:r>
        <w:rPr>
          <w:color w:val="231F20"/>
          <w:sz w:val="20"/>
        </w:rPr>
        <w:t>experience</w:t>
      </w:r>
    </w:p>
    <w:p w14:paraId="1298790B" w14:textId="77777777" w:rsidR="00894070" w:rsidRDefault="009B7AFD">
      <w:pPr>
        <w:pStyle w:val="BodyText"/>
        <w:spacing w:line="259" w:lineRule="exact"/>
        <w:ind w:left="1801"/>
      </w:pPr>
      <w:r>
        <w:rPr>
          <w:color w:val="231F20"/>
        </w:rPr>
        <w:t>cyberstalking.</w:t>
      </w:r>
    </w:p>
    <w:p w14:paraId="7E68586F" w14:textId="77777777" w:rsidR="00894070" w:rsidRDefault="00894070">
      <w:pPr>
        <w:pStyle w:val="BodyText"/>
        <w:spacing w:before="1"/>
        <w:rPr>
          <w:sz w:val="15"/>
        </w:rPr>
      </w:pPr>
    </w:p>
    <w:p w14:paraId="0415986F" w14:textId="77777777" w:rsidR="00894070" w:rsidRDefault="009B7AFD">
      <w:pPr>
        <w:pStyle w:val="Heading8"/>
        <w:ind w:left="1007"/>
      </w:pPr>
      <w:r>
        <w:rPr>
          <w:color w:val="231F20"/>
        </w:rPr>
        <w:t>Support needs to be ongoing</w:t>
      </w:r>
    </w:p>
    <w:p w14:paraId="4B858269" w14:textId="77777777" w:rsidR="00894070" w:rsidRDefault="009B7AFD">
      <w:pPr>
        <w:pStyle w:val="ListParagraph"/>
        <w:numPr>
          <w:ilvl w:val="1"/>
          <w:numId w:val="126"/>
        </w:numPr>
        <w:tabs>
          <w:tab w:val="left" w:pos="1802"/>
        </w:tabs>
        <w:spacing w:before="127" w:line="206" w:lineRule="auto"/>
        <w:ind w:right="1391"/>
        <w:jc w:val="both"/>
        <w:rPr>
          <w:sz w:val="11"/>
        </w:rPr>
      </w:pPr>
      <w:r>
        <w:rPr>
          <w:color w:val="231F20"/>
          <w:sz w:val="20"/>
        </w:rPr>
        <w:t xml:space="preserve">The impacts of stalking </w:t>
      </w:r>
      <w:r>
        <w:rPr>
          <w:color w:val="231F20"/>
          <w:spacing w:val="-3"/>
          <w:sz w:val="20"/>
        </w:rPr>
        <w:t xml:space="preserve">are </w:t>
      </w:r>
      <w:r>
        <w:rPr>
          <w:color w:val="231F20"/>
          <w:sz w:val="20"/>
        </w:rPr>
        <w:t xml:space="preserve">serious (see </w:t>
      </w:r>
      <w:r>
        <w:rPr>
          <w:color w:val="231F20"/>
          <w:spacing w:val="-3"/>
          <w:sz w:val="20"/>
        </w:rPr>
        <w:t xml:space="preserve">Chapter 2). </w:t>
      </w:r>
      <w:r>
        <w:rPr>
          <w:color w:val="231F20"/>
          <w:sz w:val="20"/>
        </w:rPr>
        <w:t xml:space="preserve">There </w:t>
      </w:r>
      <w:r>
        <w:rPr>
          <w:color w:val="231F20"/>
          <w:spacing w:val="-3"/>
          <w:sz w:val="20"/>
        </w:rPr>
        <w:t xml:space="preserve">may </w:t>
      </w:r>
      <w:r>
        <w:rPr>
          <w:color w:val="231F20"/>
          <w:sz w:val="20"/>
        </w:rPr>
        <w:t xml:space="preserve">be a need </w:t>
      </w:r>
      <w:r>
        <w:rPr>
          <w:color w:val="231F20"/>
          <w:spacing w:val="-3"/>
          <w:sz w:val="20"/>
        </w:rPr>
        <w:t xml:space="preserve">for </w:t>
      </w:r>
      <w:r>
        <w:rPr>
          <w:color w:val="231F20"/>
          <w:sz w:val="20"/>
        </w:rPr>
        <w:t>support long after the stalking has stopped.</w:t>
      </w:r>
      <w:r>
        <w:rPr>
          <w:color w:val="231F20"/>
          <w:position w:val="7"/>
          <w:sz w:val="11"/>
        </w:rPr>
        <w:t xml:space="preserve">41 </w:t>
      </w:r>
      <w:r>
        <w:rPr>
          <w:color w:val="231F20"/>
          <w:spacing w:val="-6"/>
          <w:sz w:val="20"/>
        </w:rPr>
        <w:t xml:space="preserve">We </w:t>
      </w:r>
      <w:r>
        <w:rPr>
          <w:color w:val="231F20"/>
          <w:sz w:val="20"/>
        </w:rPr>
        <w:t xml:space="preserve">heard </w:t>
      </w:r>
      <w:r>
        <w:rPr>
          <w:color w:val="231F20"/>
          <w:spacing w:val="-3"/>
          <w:sz w:val="20"/>
        </w:rPr>
        <w:t xml:space="preserve">from </w:t>
      </w:r>
      <w:r>
        <w:rPr>
          <w:color w:val="231F20"/>
          <w:sz w:val="20"/>
        </w:rPr>
        <w:t>friends of Celeste Manno about her</w:t>
      </w:r>
      <w:r>
        <w:rPr>
          <w:color w:val="231F20"/>
          <w:spacing w:val="-8"/>
          <w:sz w:val="20"/>
        </w:rPr>
        <w:t xml:space="preserve"> </w:t>
      </w:r>
      <w:r>
        <w:rPr>
          <w:color w:val="231F20"/>
          <w:spacing w:val="-3"/>
          <w:sz w:val="20"/>
        </w:rPr>
        <w:t>‘harrowing</w:t>
      </w:r>
      <w:r>
        <w:rPr>
          <w:color w:val="231F20"/>
          <w:spacing w:val="-7"/>
          <w:sz w:val="20"/>
        </w:rPr>
        <w:t xml:space="preserve"> </w:t>
      </w:r>
      <w:r>
        <w:rPr>
          <w:color w:val="231F20"/>
          <w:spacing w:val="-4"/>
          <w:sz w:val="20"/>
        </w:rPr>
        <w:t>ordeal’,</w:t>
      </w:r>
      <w:r>
        <w:rPr>
          <w:color w:val="231F20"/>
          <w:spacing w:val="-7"/>
          <w:sz w:val="20"/>
        </w:rPr>
        <w:t xml:space="preserve"> </w:t>
      </w:r>
      <w:r>
        <w:rPr>
          <w:color w:val="231F20"/>
          <w:sz w:val="20"/>
        </w:rPr>
        <w:t>their</w:t>
      </w:r>
      <w:r>
        <w:rPr>
          <w:color w:val="231F20"/>
          <w:spacing w:val="-8"/>
          <w:sz w:val="20"/>
        </w:rPr>
        <w:t xml:space="preserve"> </w:t>
      </w:r>
      <w:r>
        <w:rPr>
          <w:color w:val="231F20"/>
          <w:sz w:val="20"/>
        </w:rPr>
        <w:t>continuing</w:t>
      </w:r>
      <w:r>
        <w:rPr>
          <w:color w:val="231F20"/>
          <w:spacing w:val="-7"/>
          <w:sz w:val="20"/>
        </w:rPr>
        <w:t xml:space="preserve"> </w:t>
      </w:r>
      <w:r>
        <w:rPr>
          <w:color w:val="231F20"/>
          <w:sz w:val="20"/>
        </w:rPr>
        <w:t>grief</w:t>
      </w:r>
      <w:r>
        <w:rPr>
          <w:color w:val="231F20"/>
          <w:spacing w:val="-7"/>
          <w:sz w:val="20"/>
        </w:rPr>
        <w:t xml:space="preserve"> </w:t>
      </w:r>
      <w:r>
        <w:rPr>
          <w:color w:val="231F20"/>
          <w:sz w:val="20"/>
        </w:rPr>
        <w:t>and</w:t>
      </w:r>
      <w:r>
        <w:rPr>
          <w:color w:val="231F20"/>
          <w:spacing w:val="-8"/>
          <w:sz w:val="20"/>
        </w:rPr>
        <w:t xml:space="preserve"> </w:t>
      </w:r>
      <w:r>
        <w:rPr>
          <w:color w:val="231F20"/>
          <w:sz w:val="20"/>
        </w:rPr>
        <w:t>sadness</w:t>
      </w:r>
      <w:r>
        <w:rPr>
          <w:color w:val="231F20"/>
          <w:spacing w:val="-7"/>
          <w:sz w:val="20"/>
        </w:rPr>
        <w:t xml:space="preserve"> </w:t>
      </w:r>
      <w:r>
        <w:rPr>
          <w:color w:val="231F20"/>
          <w:sz w:val="20"/>
        </w:rPr>
        <w:t>at</w:t>
      </w:r>
      <w:r>
        <w:rPr>
          <w:color w:val="231F20"/>
          <w:spacing w:val="-7"/>
          <w:sz w:val="20"/>
        </w:rPr>
        <w:t xml:space="preserve"> </w:t>
      </w:r>
      <w:r>
        <w:rPr>
          <w:color w:val="231F20"/>
          <w:sz w:val="20"/>
        </w:rPr>
        <w:t>her</w:t>
      </w:r>
      <w:r>
        <w:rPr>
          <w:color w:val="231F20"/>
          <w:spacing w:val="-8"/>
          <w:sz w:val="20"/>
        </w:rPr>
        <w:t xml:space="preserve"> </w:t>
      </w:r>
      <w:r>
        <w:rPr>
          <w:color w:val="231F20"/>
          <w:sz w:val="20"/>
        </w:rPr>
        <w:t>loss,</w:t>
      </w:r>
      <w:r>
        <w:rPr>
          <w:color w:val="231F20"/>
          <w:spacing w:val="-7"/>
          <w:sz w:val="20"/>
        </w:rPr>
        <w:t xml:space="preserve"> </w:t>
      </w:r>
      <w:r>
        <w:rPr>
          <w:color w:val="231F20"/>
          <w:sz w:val="20"/>
        </w:rPr>
        <w:t>and</w:t>
      </w:r>
      <w:r>
        <w:rPr>
          <w:color w:val="231F20"/>
          <w:spacing w:val="-7"/>
          <w:sz w:val="20"/>
        </w:rPr>
        <w:t xml:space="preserve"> </w:t>
      </w:r>
      <w:r>
        <w:rPr>
          <w:color w:val="231F20"/>
          <w:sz w:val="20"/>
        </w:rPr>
        <w:t>the</w:t>
      </w:r>
      <w:r>
        <w:rPr>
          <w:color w:val="231F20"/>
          <w:spacing w:val="-8"/>
          <w:sz w:val="20"/>
        </w:rPr>
        <w:t xml:space="preserve"> </w:t>
      </w:r>
      <w:r>
        <w:rPr>
          <w:color w:val="231F20"/>
          <w:sz w:val="20"/>
        </w:rPr>
        <w:t>need</w:t>
      </w:r>
      <w:r>
        <w:rPr>
          <w:color w:val="231F20"/>
          <w:spacing w:val="-7"/>
          <w:sz w:val="20"/>
        </w:rPr>
        <w:t xml:space="preserve"> </w:t>
      </w:r>
      <w:r>
        <w:rPr>
          <w:color w:val="231F20"/>
          <w:spacing w:val="-3"/>
          <w:sz w:val="20"/>
        </w:rPr>
        <w:t xml:space="preserve">for </w:t>
      </w:r>
      <w:r>
        <w:rPr>
          <w:color w:val="231F20"/>
          <w:sz w:val="20"/>
        </w:rPr>
        <w:t>stalking</w:t>
      </w:r>
      <w:r>
        <w:rPr>
          <w:color w:val="231F20"/>
          <w:spacing w:val="-6"/>
          <w:sz w:val="20"/>
        </w:rPr>
        <w:t xml:space="preserve"> </w:t>
      </w:r>
      <w:r>
        <w:rPr>
          <w:color w:val="231F20"/>
          <w:sz w:val="20"/>
        </w:rPr>
        <w:t>‘to</w:t>
      </w:r>
      <w:r>
        <w:rPr>
          <w:color w:val="231F20"/>
          <w:spacing w:val="-6"/>
          <w:sz w:val="20"/>
        </w:rPr>
        <w:t xml:space="preserve"> </w:t>
      </w:r>
      <w:r>
        <w:rPr>
          <w:color w:val="231F20"/>
          <w:sz w:val="20"/>
        </w:rPr>
        <w:t>be</w:t>
      </w:r>
      <w:r>
        <w:rPr>
          <w:color w:val="231F20"/>
          <w:spacing w:val="-5"/>
          <w:sz w:val="20"/>
        </w:rPr>
        <w:t xml:space="preserve"> </w:t>
      </w:r>
      <w:r>
        <w:rPr>
          <w:color w:val="231F20"/>
          <w:spacing w:val="-3"/>
          <w:sz w:val="20"/>
        </w:rPr>
        <w:t>viewed</w:t>
      </w:r>
      <w:r>
        <w:rPr>
          <w:color w:val="231F20"/>
          <w:spacing w:val="-6"/>
          <w:sz w:val="20"/>
        </w:rPr>
        <w:t xml:space="preserve"> </w:t>
      </w:r>
      <w:r>
        <w:rPr>
          <w:color w:val="231F20"/>
          <w:sz w:val="20"/>
        </w:rPr>
        <w:t>as</w:t>
      </w:r>
      <w:r>
        <w:rPr>
          <w:color w:val="231F20"/>
          <w:spacing w:val="-5"/>
          <w:sz w:val="20"/>
        </w:rPr>
        <w:t xml:space="preserve"> </w:t>
      </w:r>
      <w:r>
        <w:rPr>
          <w:color w:val="231F20"/>
          <w:sz w:val="20"/>
        </w:rPr>
        <w:t>a</w:t>
      </w:r>
      <w:r>
        <w:rPr>
          <w:color w:val="231F20"/>
          <w:spacing w:val="-6"/>
          <w:sz w:val="20"/>
        </w:rPr>
        <w:t xml:space="preserve"> </w:t>
      </w:r>
      <w:r>
        <w:rPr>
          <w:color w:val="231F20"/>
          <w:sz w:val="20"/>
        </w:rPr>
        <w:t>serious</w:t>
      </w:r>
      <w:r>
        <w:rPr>
          <w:color w:val="231F20"/>
          <w:spacing w:val="-6"/>
          <w:sz w:val="20"/>
        </w:rPr>
        <w:t xml:space="preserve"> </w:t>
      </w:r>
      <w:r>
        <w:rPr>
          <w:color w:val="231F20"/>
          <w:sz w:val="20"/>
        </w:rPr>
        <w:t>crime</w:t>
      </w:r>
      <w:r>
        <w:rPr>
          <w:color w:val="231F20"/>
          <w:spacing w:val="-5"/>
          <w:sz w:val="20"/>
        </w:rPr>
        <w:t xml:space="preserve"> </w:t>
      </w:r>
      <w:r>
        <w:rPr>
          <w:color w:val="231F20"/>
          <w:sz w:val="20"/>
        </w:rPr>
        <w:t>that</w:t>
      </w:r>
      <w:r>
        <w:rPr>
          <w:color w:val="231F20"/>
          <w:spacing w:val="-6"/>
          <w:sz w:val="20"/>
        </w:rPr>
        <w:t xml:space="preserve"> </w:t>
      </w:r>
      <w:r>
        <w:rPr>
          <w:color w:val="231F20"/>
          <w:sz w:val="20"/>
        </w:rPr>
        <w:t>has</w:t>
      </w:r>
      <w:r>
        <w:rPr>
          <w:color w:val="231F20"/>
          <w:spacing w:val="-5"/>
          <w:sz w:val="20"/>
        </w:rPr>
        <w:t xml:space="preserve"> </w:t>
      </w:r>
      <w:r>
        <w:rPr>
          <w:color w:val="231F20"/>
          <w:sz w:val="20"/>
        </w:rPr>
        <w:t>serious</w:t>
      </w:r>
      <w:r>
        <w:rPr>
          <w:color w:val="231F20"/>
          <w:spacing w:val="-6"/>
          <w:sz w:val="20"/>
        </w:rPr>
        <w:t xml:space="preserve"> </w:t>
      </w:r>
      <w:r>
        <w:rPr>
          <w:color w:val="231F20"/>
          <w:sz w:val="20"/>
        </w:rPr>
        <w:t>consequences’.</w:t>
      </w:r>
      <w:r>
        <w:rPr>
          <w:color w:val="231F20"/>
          <w:position w:val="7"/>
          <w:sz w:val="11"/>
        </w:rPr>
        <w:t>42</w:t>
      </w:r>
    </w:p>
    <w:p w14:paraId="5BE8D6CD" w14:textId="77777777" w:rsidR="00894070" w:rsidRDefault="009B7AFD">
      <w:pPr>
        <w:pStyle w:val="ListParagraph"/>
        <w:numPr>
          <w:ilvl w:val="1"/>
          <w:numId w:val="126"/>
        </w:numPr>
        <w:tabs>
          <w:tab w:val="left" w:pos="1801"/>
          <w:tab w:val="left" w:pos="1802"/>
        </w:tabs>
        <w:spacing w:before="93"/>
        <w:rPr>
          <w:sz w:val="20"/>
        </w:rPr>
      </w:pPr>
      <w:r>
        <w:rPr>
          <w:color w:val="231F20"/>
          <w:sz w:val="20"/>
        </w:rPr>
        <w:t>Di</w:t>
      </w:r>
      <w:r>
        <w:rPr>
          <w:color w:val="231F20"/>
          <w:spacing w:val="-5"/>
          <w:sz w:val="20"/>
        </w:rPr>
        <w:t xml:space="preserve"> </w:t>
      </w:r>
      <w:r>
        <w:rPr>
          <w:color w:val="231F20"/>
          <w:sz w:val="20"/>
        </w:rPr>
        <w:t>McDonald,</w:t>
      </w:r>
      <w:r>
        <w:rPr>
          <w:color w:val="231F20"/>
          <w:spacing w:val="-4"/>
          <w:sz w:val="20"/>
        </w:rPr>
        <w:t xml:space="preserve"> </w:t>
      </w:r>
      <w:r>
        <w:rPr>
          <w:color w:val="231F20"/>
          <w:sz w:val="20"/>
        </w:rPr>
        <w:t>a</w:t>
      </w:r>
      <w:r>
        <w:rPr>
          <w:color w:val="231F20"/>
          <w:spacing w:val="-5"/>
          <w:sz w:val="20"/>
        </w:rPr>
        <w:t xml:space="preserve"> </w:t>
      </w:r>
      <w:r>
        <w:rPr>
          <w:color w:val="231F20"/>
          <w:sz w:val="20"/>
        </w:rPr>
        <w:t>victim</w:t>
      </w:r>
      <w:r>
        <w:rPr>
          <w:color w:val="231F20"/>
          <w:spacing w:val="-4"/>
          <w:sz w:val="20"/>
        </w:rPr>
        <w:t xml:space="preserve"> </w:t>
      </w:r>
      <w:r>
        <w:rPr>
          <w:color w:val="231F20"/>
          <w:spacing w:val="-3"/>
          <w:sz w:val="20"/>
        </w:rPr>
        <w:t>survivor,</w:t>
      </w:r>
      <w:r>
        <w:rPr>
          <w:color w:val="231F20"/>
          <w:spacing w:val="-5"/>
          <w:sz w:val="20"/>
        </w:rPr>
        <w:t xml:space="preserve"> </w:t>
      </w:r>
      <w:r>
        <w:rPr>
          <w:color w:val="231F20"/>
          <w:spacing w:val="-3"/>
          <w:sz w:val="20"/>
        </w:rPr>
        <w:t>told</w:t>
      </w:r>
      <w:r>
        <w:rPr>
          <w:color w:val="231F20"/>
          <w:spacing w:val="-4"/>
          <w:sz w:val="20"/>
        </w:rPr>
        <w:t xml:space="preserve"> </w:t>
      </w:r>
      <w:r>
        <w:rPr>
          <w:color w:val="231F20"/>
          <w:sz w:val="20"/>
        </w:rPr>
        <w:t>us</w:t>
      </w:r>
      <w:r>
        <w:rPr>
          <w:color w:val="231F20"/>
          <w:spacing w:val="-5"/>
          <w:sz w:val="20"/>
        </w:rPr>
        <w:t xml:space="preserve"> </w:t>
      </w:r>
      <w:r>
        <w:rPr>
          <w:color w:val="231F20"/>
          <w:sz w:val="20"/>
        </w:rPr>
        <w:t>about</w:t>
      </w:r>
      <w:r>
        <w:rPr>
          <w:color w:val="231F20"/>
          <w:spacing w:val="-4"/>
          <w:sz w:val="20"/>
        </w:rPr>
        <w:t xml:space="preserve"> </w:t>
      </w:r>
      <w:r>
        <w:rPr>
          <w:color w:val="231F20"/>
          <w:sz w:val="20"/>
        </w:rPr>
        <w:t>the</w:t>
      </w:r>
      <w:r>
        <w:rPr>
          <w:color w:val="231F20"/>
          <w:spacing w:val="-5"/>
          <w:sz w:val="20"/>
        </w:rPr>
        <w:t xml:space="preserve"> </w:t>
      </w:r>
      <w:r>
        <w:rPr>
          <w:color w:val="231F20"/>
          <w:spacing w:val="-3"/>
          <w:sz w:val="20"/>
        </w:rPr>
        <w:t>patchy</w:t>
      </w:r>
      <w:r>
        <w:rPr>
          <w:color w:val="231F20"/>
          <w:spacing w:val="-4"/>
          <w:sz w:val="20"/>
        </w:rPr>
        <w:t xml:space="preserve"> </w:t>
      </w:r>
      <w:r>
        <w:rPr>
          <w:color w:val="231F20"/>
          <w:sz w:val="20"/>
        </w:rPr>
        <w:t>support</w:t>
      </w:r>
      <w:r>
        <w:rPr>
          <w:color w:val="231F20"/>
          <w:spacing w:val="-5"/>
          <w:sz w:val="20"/>
        </w:rPr>
        <w:t xml:space="preserve"> </w:t>
      </w:r>
      <w:r>
        <w:rPr>
          <w:color w:val="231F20"/>
          <w:sz w:val="20"/>
        </w:rPr>
        <w:t>she</w:t>
      </w:r>
      <w:r>
        <w:rPr>
          <w:color w:val="231F20"/>
          <w:spacing w:val="-4"/>
          <w:sz w:val="20"/>
        </w:rPr>
        <w:t xml:space="preserve"> </w:t>
      </w:r>
      <w:r>
        <w:rPr>
          <w:color w:val="231F20"/>
          <w:spacing w:val="-3"/>
          <w:sz w:val="20"/>
        </w:rPr>
        <w:t>received:</w:t>
      </w:r>
    </w:p>
    <w:p w14:paraId="0E855C74" w14:textId="77777777" w:rsidR="00894070" w:rsidRDefault="009F6793">
      <w:pPr>
        <w:pStyle w:val="BodyText"/>
        <w:spacing w:before="12"/>
        <w:rPr>
          <w:sz w:val="22"/>
        </w:rPr>
      </w:pPr>
      <w:r>
        <w:pict w14:anchorId="76379841">
          <v:shape id="_x0000_s1419" type="#_x0000_t202" style="position:absolute;margin-left:119.3pt;margin-top:18.1pt;width:396.35pt;height:80.1pt;z-index:251597824;mso-wrap-distance-left:0;mso-wrap-distance-right:0;mso-position-horizontal-relative:page" fillcolor="#fee7de" strokecolor="#ea5b50" strokeweight=".5pt">
            <v:textbox inset="0,0,0,0">
              <w:txbxContent>
                <w:p w14:paraId="58AB71B6" w14:textId="77777777" w:rsidR="00894070" w:rsidRDefault="00894070">
                  <w:pPr>
                    <w:pStyle w:val="BodyText"/>
                    <w:spacing w:before="3"/>
                    <w:rPr>
                      <w:sz w:val="15"/>
                    </w:rPr>
                  </w:pPr>
                </w:p>
                <w:p w14:paraId="44362F21" w14:textId="77777777" w:rsidR="00894070" w:rsidRDefault="009B7AFD">
                  <w:pPr>
                    <w:pStyle w:val="BodyText"/>
                    <w:spacing w:line="206" w:lineRule="auto"/>
                    <w:ind w:left="221" w:right="354"/>
                    <w:rPr>
                      <w:sz w:val="11"/>
                    </w:rPr>
                  </w:pPr>
                  <w:r>
                    <w:rPr>
                      <w:color w:val="231F20"/>
                    </w:rPr>
                    <w:t>I was referred to Merri Health. I had only one meeting at Sunbury Police Station. Sadly, any further advice ceased. Years later Berry Street helped me financially and replaced my cameras when the original ones stopped recording … So, services need to be more consistent, victims need to know they are supported and not on their own.</w:t>
                  </w:r>
                  <w:r>
                    <w:rPr>
                      <w:color w:val="231F20"/>
                      <w:position w:val="7"/>
                      <w:sz w:val="11"/>
                    </w:rPr>
                    <w:t>43</w:t>
                  </w:r>
                </w:p>
              </w:txbxContent>
            </v:textbox>
            <w10:wrap type="topAndBottom" anchorx="page"/>
          </v:shape>
        </w:pict>
      </w:r>
    </w:p>
    <w:p w14:paraId="2D3889C9" w14:textId="77777777" w:rsidR="00894070" w:rsidRDefault="00894070">
      <w:pPr>
        <w:pStyle w:val="BodyText"/>
        <w:spacing w:before="6"/>
        <w:rPr>
          <w:sz w:val="19"/>
        </w:rPr>
      </w:pPr>
    </w:p>
    <w:p w14:paraId="6D0AADF9" w14:textId="77777777" w:rsidR="00894070" w:rsidRDefault="009B7AFD">
      <w:pPr>
        <w:pStyle w:val="ListParagraph"/>
        <w:numPr>
          <w:ilvl w:val="1"/>
          <w:numId w:val="126"/>
        </w:numPr>
        <w:tabs>
          <w:tab w:val="left" w:pos="1801"/>
          <w:tab w:val="left" w:pos="1802"/>
        </w:tabs>
        <w:spacing w:before="89" w:line="206" w:lineRule="auto"/>
        <w:ind w:right="1204"/>
        <w:rPr>
          <w:sz w:val="20"/>
        </w:rPr>
      </w:pPr>
      <w:r>
        <w:rPr>
          <w:color w:val="231F20"/>
          <w:sz w:val="20"/>
        </w:rPr>
        <w:t xml:space="preserve">It can take a long time to get an outcome in the justice system. The need </w:t>
      </w:r>
      <w:r>
        <w:rPr>
          <w:color w:val="231F20"/>
          <w:spacing w:val="-3"/>
          <w:sz w:val="20"/>
        </w:rPr>
        <w:t xml:space="preserve">for </w:t>
      </w:r>
      <w:r>
        <w:rPr>
          <w:color w:val="231F20"/>
          <w:sz w:val="20"/>
        </w:rPr>
        <w:t>support does</w:t>
      </w:r>
      <w:r>
        <w:rPr>
          <w:color w:val="231F20"/>
          <w:spacing w:val="-8"/>
          <w:sz w:val="20"/>
        </w:rPr>
        <w:t xml:space="preserve"> </w:t>
      </w:r>
      <w:r>
        <w:rPr>
          <w:color w:val="231F20"/>
          <w:sz w:val="20"/>
        </w:rPr>
        <w:t>not</w:t>
      </w:r>
      <w:r>
        <w:rPr>
          <w:color w:val="231F20"/>
          <w:spacing w:val="-7"/>
          <w:sz w:val="20"/>
        </w:rPr>
        <w:t xml:space="preserve"> </w:t>
      </w:r>
      <w:r>
        <w:rPr>
          <w:color w:val="231F20"/>
          <w:sz w:val="20"/>
        </w:rPr>
        <w:t>start</w:t>
      </w:r>
      <w:r>
        <w:rPr>
          <w:color w:val="231F20"/>
          <w:spacing w:val="-7"/>
          <w:sz w:val="20"/>
        </w:rPr>
        <w:t xml:space="preserve"> </w:t>
      </w:r>
      <w:r>
        <w:rPr>
          <w:color w:val="231F20"/>
          <w:sz w:val="20"/>
        </w:rPr>
        <w:t>or</w:t>
      </w:r>
      <w:r>
        <w:rPr>
          <w:color w:val="231F20"/>
          <w:spacing w:val="-8"/>
          <w:sz w:val="20"/>
        </w:rPr>
        <w:t xml:space="preserve"> </w:t>
      </w:r>
      <w:r>
        <w:rPr>
          <w:color w:val="231F20"/>
          <w:sz w:val="20"/>
        </w:rPr>
        <w:t>end</w:t>
      </w:r>
      <w:r>
        <w:rPr>
          <w:color w:val="231F20"/>
          <w:spacing w:val="-7"/>
          <w:sz w:val="20"/>
        </w:rPr>
        <w:t xml:space="preserve"> </w:t>
      </w:r>
      <w:r>
        <w:rPr>
          <w:color w:val="231F20"/>
          <w:sz w:val="20"/>
        </w:rPr>
        <w:t>with</w:t>
      </w:r>
      <w:r>
        <w:rPr>
          <w:color w:val="231F20"/>
          <w:spacing w:val="-7"/>
          <w:sz w:val="20"/>
        </w:rPr>
        <w:t xml:space="preserve"> </w:t>
      </w:r>
      <w:r>
        <w:rPr>
          <w:color w:val="231F20"/>
          <w:sz w:val="20"/>
        </w:rPr>
        <w:t>the</w:t>
      </w:r>
      <w:r>
        <w:rPr>
          <w:color w:val="231F20"/>
          <w:spacing w:val="-8"/>
          <w:sz w:val="20"/>
        </w:rPr>
        <w:t xml:space="preserve"> </w:t>
      </w:r>
      <w:r>
        <w:rPr>
          <w:color w:val="231F20"/>
          <w:sz w:val="20"/>
        </w:rPr>
        <w:t>formal</w:t>
      </w:r>
      <w:r>
        <w:rPr>
          <w:color w:val="231F20"/>
          <w:spacing w:val="-7"/>
          <w:sz w:val="20"/>
        </w:rPr>
        <w:t xml:space="preserve"> </w:t>
      </w:r>
      <w:r>
        <w:rPr>
          <w:color w:val="231F20"/>
          <w:sz w:val="20"/>
        </w:rPr>
        <w:t>criminal</w:t>
      </w:r>
      <w:r>
        <w:rPr>
          <w:color w:val="231F20"/>
          <w:spacing w:val="-7"/>
          <w:sz w:val="20"/>
        </w:rPr>
        <w:t xml:space="preserve"> </w:t>
      </w:r>
      <w:r>
        <w:rPr>
          <w:color w:val="231F20"/>
          <w:sz w:val="20"/>
        </w:rPr>
        <w:t>justice</w:t>
      </w:r>
      <w:r>
        <w:rPr>
          <w:color w:val="231F20"/>
          <w:spacing w:val="-7"/>
          <w:sz w:val="20"/>
        </w:rPr>
        <w:t xml:space="preserve"> </w:t>
      </w:r>
      <w:r>
        <w:rPr>
          <w:color w:val="231F20"/>
          <w:spacing w:val="-3"/>
          <w:sz w:val="20"/>
        </w:rPr>
        <w:t>process;</w:t>
      </w:r>
      <w:r>
        <w:rPr>
          <w:color w:val="231F20"/>
          <w:spacing w:val="-8"/>
          <w:sz w:val="20"/>
        </w:rPr>
        <w:t xml:space="preserve"> </w:t>
      </w:r>
      <w:r>
        <w:rPr>
          <w:color w:val="231F20"/>
          <w:sz w:val="20"/>
        </w:rPr>
        <w:t>support</w:t>
      </w:r>
      <w:r>
        <w:rPr>
          <w:color w:val="231F20"/>
          <w:spacing w:val="-7"/>
          <w:sz w:val="20"/>
        </w:rPr>
        <w:t xml:space="preserve"> </w:t>
      </w:r>
      <w:r>
        <w:rPr>
          <w:color w:val="231F20"/>
          <w:sz w:val="20"/>
        </w:rPr>
        <w:t>is</w:t>
      </w:r>
      <w:r>
        <w:rPr>
          <w:color w:val="231F20"/>
          <w:spacing w:val="-7"/>
          <w:sz w:val="20"/>
        </w:rPr>
        <w:t xml:space="preserve"> </w:t>
      </w:r>
      <w:r>
        <w:rPr>
          <w:color w:val="231F20"/>
          <w:sz w:val="20"/>
        </w:rPr>
        <w:t>needed</w:t>
      </w:r>
      <w:r>
        <w:rPr>
          <w:color w:val="231F20"/>
          <w:spacing w:val="-8"/>
          <w:sz w:val="20"/>
        </w:rPr>
        <w:t xml:space="preserve"> </w:t>
      </w:r>
      <w:r>
        <w:rPr>
          <w:color w:val="231F20"/>
          <w:spacing w:val="-3"/>
          <w:sz w:val="20"/>
        </w:rPr>
        <w:t xml:space="preserve">before </w:t>
      </w:r>
      <w:r>
        <w:rPr>
          <w:color w:val="231F20"/>
          <w:sz w:val="20"/>
        </w:rPr>
        <w:t xml:space="preserve">and after (and at times without) a criminal justice </w:t>
      </w:r>
      <w:r>
        <w:rPr>
          <w:color w:val="231F20"/>
          <w:spacing w:val="-3"/>
          <w:sz w:val="20"/>
        </w:rPr>
        <w:t xml:space="preserve">outcome. </w:t>
      </w:r>
      <w:r>
        <w:rPr>
          <w:color w:val="231F20"/>
          <w:spacing w:val="-6"/>
          <w:sz w:val="20"/>
        </w:rPr>
        <w:t xml:space="preserve">We </w:t>
      </w:r>
      <w:r>
        <w:rPr>
          <w:color w:val="231F20"/>
          <w:sz w:val="20"/>
        </w:rPr>
        <w:t>agree that people who experience stalking need ongoing</w:t>
      </w:r>
      <w:r>
        <w:rPr>
          <w:color w:val="231F20"/>
          <w:spacing w:val="-18"/>
          <w:sz w:val="20"/>
        </w:rPr>
        <w:t xml:space="preserve"> </w:t>
      </w:r>
      <w:r>
        <w:rPr>
          <w:color w:val="231F20"/>
          <w:sz w:val="20"/>
        </w:rPr>
        <w:t>support.</w:t>
      </w:r>
    </w:p>
    <w:p w14:paraId="4DC10E03" w14:textId="77777777" w:rsidR="00894070" w:rsidRDefault="00894070">
      <w:pPr>
        <w:pStyle w:val="BodyText"/>
        <w:spacing w:before="8"/>
        <w:rPr>
          <w:sz w:val="16"/>
        </w:rPr>
      </w:pPr>
    </w:p>
    <w:p w14:paraId="024359F1" w14:textId="77777777" w:rsidR="00894070" w:rsidRDefault="009B7AFD">
      <w:pPr>
        <w:pStyle w:val="Heading7"/>
        <w:spacing w:before="1"/>
      </w:pPr>
      <w:r>
        <w:rPr>
          <w:color w:val="EA5B50"/>
        </w:rPr>
        <w:t>Reforms of victim services are under way</w:t>
      </w:r>
    </w:p>
    <w:p w14:paraId="6CDE25A6" w14:textId="77777777" w:rsidR="00894070" w:rsidRDefault="009B7AFD">
      <w:pPr>
        <w:pStyle w:val="ListParagraph"/>
        <w:numPr>
          <w:ilvl w:val="1"/>
          <w:numId w:val="126"/>
        </w:numPr>
        <w:tabs>
          <w:tab w:val="left" w:pos="1801"/>
          <w:tab w:val="left" w:pos="1802"/>
        </w:tabs>
        <w:spacing w:before="146" w:line="206" w:lineRule="auto"/>
        <w:ind w:right="1280"/>
        <w:rPr>
          <w:sz w:val="11"/>
        </w:rPr>
      </w:pPr>
      <w:r>
        <w:rPr>
          <w:color w:val="231F20"/>
          <w:sz w:val="20"/>
        </w:rPr>
        <w:t>In</w:t>
      </w:r>
      <w:r>
        <w:rPr>
          <w:color w:val="231F20"/>
          <w:spacing w:val="-5"/>
          <w:sz w:val="20"/>
        </w:rPr>
        <w:t xml:space="preserve"> </w:t>
      </w:r>
      <w:r>
        <w:rPr>
          <w:color w:val="231F20"/>
          <w:spacing w:val="-3"/>
          <w:sz w:val="20"/>
        </w:rPr>
        <w:t>November</w:t>
      </w:r>
      <w:r>
        <w:rPr>
          <w:color w:val="231F20"/>
          <w:spacing w:val="-5"/>
          <w:sz w:val="20"/>
        </w:rPr>
        <w:t xml:space="preserve"> </w:t>
      </w:r>
      <w:r>
        <w:rPr>
          <w:color w:val="231F20"/>
          <w:spacing w:val="-4"/>
          <w:sz w:val="20"/>
        </w:rPr>
        <w:t>2020,</w:t>
      </w:r>
      <w:r>
        <w:rPr>
          <w:color w:val="231F20"/>
          <w:spacing w:val="-5"/>
          <w:sz w:val="20"/>
        </w:rPr>
        <w:t xml:space="preserve"> </w:t>
      </w:r>
      <w:r>
        <w:rPr>
          <w:color w:val="231F20"/>
          <w:sz w:val="20"/>
        </w:rPr>
        <w:t>a</w:t>
      </w:r>
      <w:r>
        <w:rPr>
          <w:color w:val="231F20"/>
          <w:spacing w:val="-5"/>
          <w:sz w:val="20"/>
        </w:rPr>
        <w:t xml:space="preserve"> </w:t>
      </w:r>
      <w:r>
        <w:rPr>
          <w:color w:val="231F20"/>
          <w:sz w:val="20"/>
        </w:rPr>
        <w:t>major</w:t>
      </w:r>
      <w:r>
        <w:rPr>
          <w:color w:val="231F20"/>
          <w:spacing w:val="-5"/>
          <w:sz w:val="20"/>
        </w:rPr>
        <w:t xml:space="preserve"> </w:t>
      </w:r>
      <w:r>
        <w:rPr>
          <w:color w:val="231F20"/>
          <w:spacing w:val="-4"/>
          <w:sz w:val="20"/>
        </w:rPr>
        <w:t>review</w:t>
      </w:r>
      <w:r>
        <w:rPr>
          <w:color w:val="231F20"/>
          <w:spacing w:val="-5"/>
          <w:sz w:val="20"/>
        </w:rPr>
        <w:t xml:space="preserve"> </w:t>
      </w:r>
      <w:r>
        <w:rPr>
          <w:color w:val="231F20"/>
          <w:sz w:val="20"/>
        </w:rPr>
        <w:t>of</w:t>
      </w:r>
      <w:r>
        <w:rPr>
          <w:color w:val="231F20"/>
          <w:spacing w:val="-5"/>
          <w:sz w:val="20"/>
        </w:rPr>
        <w:t xml:space="preserve"> </w:t>
      </w:r>
      <w:r>
        <w:rPr>
          <w:color w:val="231F20"/>
          <w:spacing w:val="-3"/>
          <w:sz w:val="20"/>
        </w:rPr>
        <w:t>Victoria’s</w:t>
      </w:r>
      <w:r>
        <w:rPr>
          <w:color w:val="231F20"/>
          <w:spacing w:val="-4"/>
          <w:sz w:val="20"/>
        </w:rPr>
        <w:t xml:space="preserve"> </w:t>
      </w:r>
      <w:r>
        <w:rPr>
          <w:color w:val="231F20"/>
          <w:sz w:val="20"/>
        </w:rPr>
        <w:t>victim</w:t>
      </w:r>
      <w:r>
        <w:rPr>
          <w:color w:val="231F20"/>
          <w:spacing w:val="-5"/>
          <w:sz w:val="20"/>
        </w:rPr>
        <w:t xml:space="preserve"> </w:t>
      </w:r>
      <w:r>
        <w:rPr>
          <w:color w:val="231F20"/>
          <w:sz w:val="20"/>
        </w:rPr>
        <w:t>services</w:t>
      </w:r>
      <w:r>
        <w:rPr>
          <w:color w:val="231F20"/>
          <w:spacing w:val="-5"/>
          <w:sz w:val="20"/>
        </w:rPr>
        <w:t xml:space="preserve"> </w:t>
      </w:r>
      <w:r>
        <w:rPr>
          <w:color w:val="231F20"/>
          <w:sz w:val="20"/>
        </w:rPr>
        <w:t>published</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 xml:space="preserve">Centre for Innovative </w:t>
      </w:r>
      <w:r>
        <w:rPr>
          <w:color w:val="231F20"/>
          <w:sz w:val="20"/>
        </w:rPr>
        <w:t xml:space="preserve">Justice </w:t>
      </w:r>
      <w:r>
        <w:rPr>
          <w:color w:val="231F20"/>
          <w:spacing w:val="-4"/>
          <w:sz w:val="20"/>
        </w:rPr>
        <w:t xml:space="preserve">(CIJ), </w:t>
      </w:r>
      <w:r>
        <w:rPr>
          <w:i/>
          <w:color w:val="231F20"/>
          <w:sz w:val="20"/>
        </w:rPr>
        <w:t xml:space="preserve">Strengthening </w:t>
      </w:r>
      <w:r>
        <w:rPr>
          <w:i/>
          <w:color w:val="231F20"/>
          <w:spacing w:val="-3"/>
          <w:sz w:val="20"/>
        </w:rPr>
        <w:t xml:space="preserve">Victoria’s </w:t>
      </w:r>
      <w:r>
        <w:rPr>
          <w:i/>
          <w:color w:val="231F20"/>
          <w:sz w:val="20"/>
        </w:rPr>
        <w:t xml:space="preserve">Victim Support </w:t>
      </w:r>
      <w:r>
        <w:rPr>
          <w:i/>
          <w:color w:val="231F20"/>
          <w:spacing w:val="-3"/>
          <w:sz w:val="20"/>
        </w:rPr>
        <w:t xml:space="preserve">System: </w:t>
      </w:r>
      <w:r>
        <w:rPr>
          <w:i/>
          <w:color w:val="231F20"/>
          <w:sz w:val="20"/>
        </w:rPr>
        <w:t xml:space="preserve">Victim Services </w:t>
      </w:r>
      <w:r>
        <w:rPr>
          <w:i/>
          <w:color w:val="231F20"/>
          <w:spacing w:val="-3"/>
          <w:sz w:val="20"/>
        </w:rPr>
        <w:t xml:space="preserve">Review </w:t>
      </w:r>
      <w:r>
        <w:rPr>
          <w:color w:val="231F20"/>
          <w:spacing w:val="-3"/>
          <w:sz w:val="20"/>
        </w:rPr>
        <w:t xml:space="preserve">(the </w:t>
      </w:r>
      <w:r>
        <w:rPr>
          <w:color w:val="231F20"/>
          <w:sz w:val="20"/>
        </w:rPr>
        <w:t xml:space="preserve">CIJ </w:t>
      </w:r>
      <w:r>
        <w:rPr>
          <w:color w:val="231F20"/>
          <w:spacing w:val="-5"/>
          <w:sz w:val="20"/>
        </w:rPr>
        <w:t xml:space="preserve">review), </w:t>
      </w:r>
      <w:r>
        <w:rPr>
          <w:color w:val="231F20"/>
          <w:sz w:val="20"/>
        </w:rPr>
        <w:t xml:space="preserve">recommended doubling the Victorian </w:t>
      </w:r>
      <w:r>
        <w:rPr>
          <w:color w:val="231F20"/>
          <w:spacing w:val="-3"/>
          <w:sz w:val="20"/>
        </w:rPr>
        <w:t xml:space="preserve">Government’s investment </w:t>
      </w:r>
      <w:r>
        <w:rPr>
          <w:color w:val="231F20"/>
          <w:sz w:val="20"/>
        </w:rPr>
        <w:t>in victim support</w:t>
      </w:r>
      <w:r>
        <w:rPr>
          <w:color w:val="231F20"/>
          <w:spacing w:val="-13"/>
          <w:sz w:val="20"/>
        </w:rPr>
        <w:t xml:space="preserve"> </w:t>
      </w:r>
      <w:r>
        <w:rPr>
          <w:color w:val="231F20"/>
          <w:sz w:val="20"/>
        </w:rPr>
        <w:t>services.</w:t>
      </w:r>
      <w:r>
        <w:rPr>
          <w:color w:val="231F20"/>
          <w:position w:val="7"/>
          <w:sz w:val="11"/>
        </w:rPr>
        <w:t>44</w:t>
      </w:r>
    </w:p>
    <w:p w14:paraId="21574CDE" w14:textId="77777777" w:rsidR="00894070" w:rsidRDefault="009B7AFD">
      <w:pPr>
        <w:pStyle w:val="ListParagraph"/>
        <w:numPr>
          <w:ilvl w:val="1"/>
          <w:numId w:val="126"/>
        </w:numPr>
        <w:tabs>
          <w:tab w:val="left" w:pos="1801"/>
          <w:tab w:val="left" w:pos="1802"/>
        </w:tabs>
        <w:spacing w:before="125" w:line="206" w:lineRule="auto"/>
        <w:ind w:right="1227"/>
        <w:rPr>
          <w:sz w:val="11"/>
        </w:rPr>
      </w:pPr>
      <w:r>
        <w:rPr>
          <w:color w:val="231F20"/>
          <w:sz w:val="20"/>
        </w:rPr>
        <w:t xml:space="preserve">The Victorian </w:t>
      </w:r>
      <w:r>
        <w:rPr>
          <w:color w:val="231F20"/>
          <w:spacing w:val="-3"/>
          <w:sz w:val="20"/>
        </w:rPr>
        <w:t xml:space="preserve">Government </w:t>
      </w:r>
      <w:r>
        <w:rPr>
          <w:color w:val="231F20"/>
          <w:sz w:val="20"/>
        </w:rPr>
        <w:t xml:space="preserve">has acknowledged that the CIJ </w:t>
      </w:r>
      <w:r>
        <w:rPr>
          <w:color w:val="231F20"/>
          <w:spacing w:val="-4"/>
          <w:sz w:val="20"/>
        </w:rPr>
        <w:t xml:space="preserve">review </w:t>
      </w:r>
      <w:r>
        <w:rPr>
          <w:color w:val="231F20"/>
          <w:sz w:val="20"/>
        </w:rPr>
        <w:t>‘suggests an ambitious</w:t>
      </w:r>
      <w:r>
        <w:rPr>
          <w:color w:val="231F20"/>
          <w:spacing w:val="-10"/>
          <w:sz w:val="20"/>
        </w:rPr>
        <w:t xml:space="preserve"> </w:t>
      </w:r>
      <w:r>
        <w:rPr>
          <w:color w:val="231F20"/>
          <w:spacing w:val="-3"/>
          <w:sz w:val="20"/>
        </w:rPr>
        <w:t>“once</w:t>
      </w:r>
      <w:r>
        <w:rPr>
          <w:color w:val="231F20"/>
          <w:spacing w:val="-9"/>
          <w:sz w:val="20"/>
        </w:rPr>
        <w:t xml:space="preserve"> </w:t>
      </w:r>
      <w:r>
        <w:rPr>
          <w:color w:val="231F20"/>
          <w:sz w:val="20"/>
        </w:rPr>
        <w:t>in</w:t>
      </w:r>
      <w:r>
        <w:rPr>
          <w:color w:val="231F20"/>
          <w:spacing w:val="-9"/>
          <w:sz w:val="20"/>
        </w:rPr>
        <w:t xml:space="preserve"> </w:t>
      </w:r>
      <w:r>
        <w:rPr>
          <w:color w:val="231F20"/>
          <w:sz w:val="20"/>
        </w:rPr>
        <w:t>a</w:t>
      </w:r>
      <w:r>
        <w:rPr>
          <w:color w:val="231F20"/>
          <w:spacing w:val="-9"/>
          <w:sz w:val="20"/>
        </w:rPr>
        <w:t xml:space="preserve"> </w:t>
      </w:r>
      <w:r>
        <w:rPr>
          <w:color w:val="231F20"/>
          <w:sz w:val="20"/>
        </w:rPr>
        <w:t>generation”</w:t>
      </w:r>
      <w:r>
        <w:rPr>
          <w:color w:val="231F20"/>
          <w:spacing w:val="-9"/>
          <w:sz w:val="20"/>
        </w:rPr>
        <w:t xml:space="preserve"> </w:t>
      </w:r>
      <w:r>
        <w:rPr>
          <w:color w:val="231F20"/>
          <w:spacing w:val="-3"/>
          <w:sz w:val="20"/>
        </w:rPr>
        <w:t>reform</w:t>
      </w:r>
      <w:r>
        <w:rPr>
          <w:color w:val="231F20"/>
          <w:spacing w:val="-9"/>
          <w:sz w:val="20"/>
        </w:rPr>
        <w:t xml:space="preserve"> </w:t>
      </w:r>
      <w:r>
        <w:rPr>
          <w:color w:val="231F20"/>
          <w:sz w:val="20"/>
        </w:rPr>
        <w:t>agenda</w:t>
      </w:r>
      <w:r>
        <w:rPr>
          <w:color w:val="231F20"/>
          <w:spacing w:val="-9"/>
          <w:sz w:val="20"/>
        </w:rPr>
        <w:t xml:space="preserve"> </w:t>
      </w:r>
      <w:r>
        <w:rPr>
          <w:color w:val="231F20"/>
          <w:sz w:val="20"/>
        </w:rPr>
        <w:t>that</w:t>
      </w:r>
      <w:r>
        <w:rPr>
          <w:color w:val="231F20"/>
          <w:spacing w:val="-9"/>
          <w:sz w:val="20"/>
        </w:rPr>
        <w:t xml:space="preserve"> </w:t>
      </w:r>
      <w:r>
        <w:rPr>
          <w:color w:val="231F20"/>
          <w:sz w:val="20"/>
        </w:rPr>
        <w:t>will</w:t>
      </w:r>
      <w:r>
        <w:rPr>
          <w:color w:val="231F20"/>
          <w:spacing w:val="-9"/>
          <w:sz w:val="20"/>
        </w:rPr>
        <w:t xml:space="preserve"> </w:t>
      </w:r>
      <w:r>
        <w:rPr>
          <w:color w:val="231F20"/>
          <w:sz w:val="20"/>
        </w:rPr>
        <w:t>take</w:t>
      </w:r>
      <w:r>
        <w:rPr>
          <w:color w:val="231F20"/>
          <w:spacing w:val="-9"/>
          <w:sz w:val="20"/>
        </w:rPr>
        <w:t xml:space="preserve"> </w:t>
      </w:r>
      <w:r>
        <w:rPr>
          <w:color w:val="231F20"/>
          <w:sz w:val="20"/>
        </w:rPr>
        <w:t>time</w:t>
      </w:r>
      <w:r>
        <w:rPr>
          <w:color w:val="231F20"/>
          <w:spacing w:val="-9"/>
          <w:sz w:val="20"/>
        </w:rPr>
        <w:t xml:space="preserve"> </w:t>
      </w:r>
      <w:r>
        <w:rPr>
          <w:color w:val="231F20"/>
          <w:sz w:val="20"/>
        </w:rPr>
        <w:t>to</w:t>
      </w:r>
      <w:r>
        <w:rPr>
          <w:color w:val="231F20"/>
          <w:spacing w:val="-9"/>
          <w:sz w:val="20"/>
        </w:rPr>
        <w:t xml:space="preserve"> </w:t>
      </w:r>
      <w:r>
        <w:rPr>
          <w:color w:val="231F20"/>
          <w:spacing w:val="-3"/>
          <w:sz w:val="20"/>
        </w:rPr>
        <w:t>fully</w:t>
      </w:r>
      <w:r>
        <w:rPr>
          <w:color w:val="231F20"/>
          <w:spacing w:val="-9"/>
          <w:sz w:val="20"/>
        </w:rPr>
        <w:t xml:space="preserve"> </w:t>
      </w:r>
      <w:r>
        <w:rPr>
          <w:color w:val="231F20"/>
          <w:sz w:val="20"/>
        </w:rPr>
        <w:t>consider</w:t>
      </w:r>
      <w:r>
        <w:rPr>
          <w:color w:val="231F20"/>
          <w:spacing w:val="-9"/>
          <w:sz w:val="20"/>
        </w:rPr>
        <w:t xml:space="preserve"> </w:t>
      </w:r>
      <w:r>
        <w:rPr>
          <w:color w:val="231F20"/>
          <w:sz w:val="20"/>
        </w:rPr>
        <w:t>and implement’.</w:t>
      </w:r>
      <w:r>
        <w:rPr>
          <w:color w:val="231F20"/>
          <w:position w:val="7"/>
          <w:sz w:val="11"/>
        </w:rPr>
        <w:t xml:space="preserve">45 </w:t>
      </w:r>
      <w:r>
        <w:rPr>
          <w:color w:val="231F20"/>
          <w:sz w:val="20"/>
        </w:rPr>
        <w:t xml:space="preserve">It has taken ‘the first critical steps </w:t>
      </w:r>
      <w:r>
        <w:rPr>
          <w:color w:val="231F20"/>
          <w:spacing w:val="-3"/>
          <w:sz w:val="20"/>
        </w:rPr>
        <w:t xml:space="preserve">for progressing </w:t>
      </w:r>
      <w:r>
        <w:rPr>
          <w:color w:val="231F20"/>
          <w:sz w:val="20"/>
        </w:rPr>
        <w:t>these</w:t>
      </w:r>
      <w:r>
        <w:rPr>
          <w:color w:val="231F20"/>
          <w:spacing w:val="-30"/>
          <w:sz w:val="20"/>
        </w:rPr>
        <w:t xml:space="preserve"> </w:t>
      </w:r>
      <w:r>
        <w:rPr>
          <w:color w:val="231F20"/>
          <w:spacing w:val="-3"/>
          <w:sz w:val="20"/>
        </w:rPr>
        <w:t>reforms’.</w:t>
      </w:r>
      <w:r>
        <w:rPr>
          <w:color w:val="231F20"/>
          <w:spacing w:val="-3"/>
          <w:position w:val="7"/>
          <w:sz w:val="11"/>
        </w:rPr>
        <w:t>46</w:t>
      </w:r>
    </w:p>
    <w:p w14:paraId="2D2C98EC" w14:textId="77777777" w:rsidR="00894070" w:rsidRDefault="009B7AFD">
      <w:pPr>
        <w:pStyle w:val="ListParagraph"/>
        <w:numPr>
          <w:ilvl w:val="1"/>
          <w:numId w:val="126"/>
        </w:numPr>
        <w:tabs>
          <w:tab w:val="left" w:pos="1801"/>
          <w:tab w:val="left" w:pos="1802"/>
        </w:tabs>
        <w:spacing w:before="91"/>
        <w:rPr>
          <w:sz w:val="20"/>
        </w:rPr>
      </w:pPr>
      <w:r>
        <w:rPr>
          <w:color w:val="231F20"/>
          <w:sz w:val="20"/>
        </w:rPr>
        <w:t>The</w:t>
      </w:r>
      <w:r>
        <w:rPr>
          <w:color w:val="231F20"/>
          <w:spacing w:val="-5"/>
          <w:sz w:val="20"/>
        </w:rPr>
        <w:t xml:space="preserve"> </w:t>
      </w:r>
      <w:r>
        <w:rPr>
          <w:color w:val="231F20"/>
          <w:sz w:val="20"/>
        </w:rPr>
        <w:t>CIJ</w:t>
      </w:r>
      <w:r>
        <w:rPr>
          <w:color w:val="231F20"/>
          <w:spacing w:val="-5"/>
          <w:sz w:val="20"/>
        </w:rPr>
        <w:t xml:space="preserve"> </w:t>
      </w:r>
      <w:r>
        <w:rPr>
          <w:color w:val="231F20"/>
          <w:spacing w:val="-4"/>
          <w:sz w:val="20"/>
        </w:rPr>
        <w:t>review</w:t>
      </w:r>
      <w:r>
        <w:rPr>
          <w:color w:val="231F20"/>
          <w:spacing w:val="-5"/>
          <w:sz w:val="20"/>
        </w:rPr>
        <w:t xml:space="preserve"> </w:t>
      </w:r>
      <w:r>
        <w:rPr>
          <w:color w:val="231F20"/>
          <w:sz w:val="20"/>
        </w:rPr>
        <w:t>proposed</w:t>
      </w:r>
      <w:r>
        <w:rPr>
          <w:color w:val="231F20"/>
          <w:spacing w:val="-4"/>
          <w:sz w:val="20"/>
        </w:rPr>
        <w:t xml:space="preserve"> </w:t>
      </w:r>
      <w:r>
        <w:rPr>
          <w:color w:val="231F20"/>
          <w:sz w:val="20"/>
        </w:rPr>
        <w:t>a</w:t>
      </w:r>
      <w:r>
        <w:rPr>
          <w:color w:val="231F20"/>
          <w:spacing w:val="-5"/>
          <w:sz w:val="20"/>
        </w:rPr>
        <w:t xml:space="preserve"> </w:t>
      </w:r>
      <w:r>
        <w:rPr>
          <w:color w:val="231F20"/>
          <w:sz w:val="20"/>
        </w:rPr>
        <w:t>new</w:t>
      </w:r>
      <w:r>
        <w:rPr>
          <w:color w:val="231F20"/>
          <w:spacing w:val="-5"/>
          <w:sz w:val="20"/>
        </w:rPr>
        <w:t xml:space="preserve"> </w:t>
      </w:r>
      <w:r>
        <w:rPr>
          <w:color w:val="231F20"/>
          <w:sz w:val="20"/>
        </w:rPr>
        <w:t>model</w:t>
      </w:r>
      <w:r>
        <w:rPr>
          <w:color w:val="231F20"/>
          <w:spacing w:val="-4"/>
          <w:sz w:val="20"/>
        </w:rPr>
        <w:t xml:space="preserve"> </w:t>
      </w:r>
      <w:r>
        <w:rPr>
          <w:color w:val="231F20"/>
          <w:sz w:val="20"/>
        </w:rPr>
        <w:t>based</w:t>
      </w:r>
      <w:r>
        <w:rPr>
          <w:color w:val="231F20"/>
          <w:spacing w:val="-5"/>
          <w:sz w:val="20"/>
        </w:rPr>
        <w:t xml:space="preserve"> </w:t>
      </w:r>
      <w:r>
        <w:rPr>
          <w:color w:val="231F20"/>
          <w:sz w:val="20"/>
        </w:rPr>
        <w:t>on</w:t>
      </w:r>
      <w:r>
        <w:rPr>
          <w:color w:val="231F20"/>
          <w:spacing w:val="-5"/>
          <w:sz w:val="20"/>
        </w:rPr>
        <w:t xml:space="preserve"> </w:t>
      </w:r>
      <w:r>
        <w:rPr>
          <w:color w:val="231F20"/>
          <w:sz w:val="20"/>
        </w:rPr>
        <w:t>three</w:t>
      </w:r>
      <w:r>
        <w:rPr>
          <w:color w:val="231F20"/>
          <w:spacing w:val="-4"/>
          <w:sz w:val="20"/>
        </w:rPr>
        <w:t xml:space="preserve"> </w:t>
      </w:r>
      <w:r>
        <w:rPr>
          <w:color w:val="231F20"/>
          <w:sz w:val="20"/>
        </w:rPr>
        <w:t>tiers</w:t>
      </w:r>
      <w:r>
        <w:rPr>
          <w:color w:val="231F20"/>
          <w:spacing w:val="-5"/>
          <w:sz w:val="20"/>
        </w:rPr>
        <w:t xml:space="preserve"> </w:t>
      </w:r>
      <w:r>
        <w:rPr>
          <w:color w:val="231F20"/>
          <w:sz w:val="20"/>
        </w:rPr>
        <w:t>of</w:t>
      </w:r>
      <w:r>
        <w:rPr>
          <w:color w:val="231F20"/>
          <w:spacing w:val="-5"/>
          <w:sz w:val="20"/>
        </w:rPr>
        <w:t xml:space="preserve"> </w:t>
      </w:r>
      <w:r>
        <w:rPr>
          <w:color w:val="231F20"/>
          <w:sz w:val="20"/>
        </w:rPr>
        <w:t>support:</w:t>
      </w:r>
    </w:p>
    <w:p w14:paraId="22F35906" w14:textId="77777777" w:rsidR="00894070" w:rsidRDefault="009B7AFD">
      <w:pPr>
        <w:pStyle w:val="ListParagraph"/>
        <w:numPr>
          <w:ilvl w:val="2"/>
          <w:numId w:val="126"/>
        </w:numPr>
        <w:tabs>
          <w:tab w:val="left" w:pos="2141"/>
          <w:tab w:val="left" w:pos="2142"/>
        </w:tabs>
        <w:spacing w:before="115" w:line="206" w:lineRule="auto"/>
        <w:ind w:right="1402" w:hanging="340"/>
        <w:rPr>
          <w:sz w:val="11"/>
        </w:rPr>
      </w:pPr>
      <w:r>
        <w:rPr>
          <w:color w:val="231F20"/>
          <w:sz w:val="20"/>
        </w:rPr>
        <w:t xml:space="preserve">A Victims Support </w:t>
      </w:r>
      <w:r>
        <w:rPr>
          <w:color w:val="231F20"/>
          <w:spacing w:val="-3"/>
          <w:sz w:val="20"/>
        </w:rPr>
        <w:t xml:space="preserve">Centre </w:t>
      </w:r>
      <w:r>
        <w:rPr>
          <w:color w:val="231F20"/>
          <w:sz w:val="20"/>
        </w:rPr>
        <w:t xml:space="preserve">to replace the </w:t>
      </w:r>
      <w:r>
        <w:rPr>
          <w:color w:val="231F20"/>
          <w:spacing w:val="-3"/>
          <w:sz w:val="20"/>
        </w:rPr>
        <w:t xml:space="preserve">current </w:t>
      </w:r>
      <w:r>
        <w:rPr>
          <w:color w:val="231F20"/>
          <w:sz w:val="20"/>
        </w:rPr>
        <w:t xml:space="preserve">Victims of Crime Helpline. The service </w:t>
      </w:r>
      <w:r>
        <w:rPr>
          <w:color w:val="231F20"/>
          <w:spacing w:val="-3"/>
          <w:sz w:val="20"/>
        </w:rPr>
        <w:t xml:space="preserve">would </w:t>
      </w:r>
      <w:r>
        <w:rPr>
          <w:color w:val="231F20"/>
          <w:sz w:val="20"/>
        </w:rPr>
        <w:t xml:space="preserve">go </w:t>
      </w:r>
      <w:r>
        <w:rPr>
          <w:color w:val="231F20"/>
          <w:spacing w:val="-3"/>
          <w:sz w:val="20"/>
        </w:rPr>
        <w:t xml:space="preserve">beyond </w:t>
      </w:r>
      <w:r>
        <w:rPr>
          <w:color w:val="231F20"/>
          <w:sz w:val="20"/>
        </w:rPr>
        <w:t xml:space="preserve">its </w:t>
      </w:r>
      <w:r>
        <w:rPr>
          <w:color w:val="231F20"/>
          <w:spacing w:val="-3"/>
          <w:sz w:val="20"/>
        </w:rPr>
        <w:t xml:space="preserve">current focus </w:t>
      </w:r>
      <w:r>
        <w:rPr>
          <w:color w:val="231F20"/>
          <w:sz w:val="20"/>
        </w:rPr>
        <w:t xml:space="preserve">on referrals </w:t>
      </w:r>
      <w:r>
        <w:rPr>
          <w:color w:val="231F20"/>
          <w:spacing w:val="-3"/>
          <w:sz w:val="20"/>
        </w:rPr>
        <w:t xml:space="preserve">by providing </w:t>
      </w:r>
      <w:r>
        <w:rPr>
          <w:color w:val="231F20"/>
          <w:sz w:val="20"/>
        </w:rPr>
        <w:t>a risk and needs</w:t>
      </w:r>
      <w:r>
        <w:rPr>
          <w:color w:val="231F20"/>
          <w:spacing w:val="-11"/>
          <w:sz w:val="20"/>
        </w:rPr>
        <w:t xml:space="preserve"> </w:t>
      </w:r>
      <w:r>
        <w:rPr>
          <w:color w:val="231F20"/>
          <w:sz w:val="20"/>
        </w:rPr>
        <w:t>assessment,</w:t>
      </w:r>
      <w:r>
        <w:rPr>
          <w:color w:val="231F20"/>
          <w:spacing w:val="-10"/>
          <w:sz w:val="20"/>
        </w:rPr>
        <w:t xml:space="preserve"> </w:t>
      </w:r>
      <w:r>
        <w:rPr>
          <w:color w:val="231F20"/>
          <w:sz w:val="20"/>
        </w:rPr>
        <w:t>psychological</w:t>
      </w:r>
      <w:r>
        <w:rPr>
          <w:color w:val="231F20"/>
          <w:spacing w:val="-11"/>
          <w:sz w:val="20"/>
        </w:rPr>
        <w:t xml:space="preserve"> </w:t>
      </w:r>
      <w:r>
        <w:rPr>
          <w:color w:val="231F20"/>
          <w:sz w:val="20"/>
        </w:rPr>
        <w:t>first</w:t>
      </w:r>
      <w:r>
        <w:rPr>
          <w:color w:val="231F20"/>
          <w:spacing w:val="-10"/>
          <w:sz w:val="20"/>
        </w:rPr>
        <w:t xml:space="preserve"> </w:t>
      </w:r>
      <w:r>
        <w:rPr>
          <w:color w:val="231F20"/>
          <w:sz w:val="20"/>
        </w:rPr>
        <w:t>aid,</w:t>
      </w:r>
      <w:r>
        <w:rPr>
          <w:color w:val="231F20"/>
          <w:spacing w:val="-10"/>
          <w:sz w:val="20"/>
        </w:rPr>
        <w:t xml:space="preserve"> </w:t>
      </w:r>
      <w:r>
        <w:rPr>
          <w:color w:val="231F20"/>
          <w:sz w:val="20"/>
        </w:rPr>
        <w:t>and</w:t>
      </w:r>
      <w:r>
        <w:rPr>
          <w:color w:val="231F20"/>
          <w:spacing w:val="-11"/>
          <w:sz w:val="20"/>
        </w:rPr>
        <w:t xml:space="preserve"> </w:t>
      </w:r>
      <w:r>
        <w:rPr>
          <w:color w:val="231F20"/>
          <w:sz w:val="20"/>
        </w:rPr>
        <w:t>funds</w:t>
      </w:r>
      <w:r>
        <w:rPr>
          <w:color w:val="231F20"/>
          <w:spacing w:val="-10"/>
          <w:sz w:val="20"/>
        </w:rPr>
        <w:t xml:space="preserve"> </w:t>
      </w:r>
      <w:r>
        <w:rPr>
          <w:color w:val="231F20"/>
          <w:sz w:val="20"/>
        </w:rPr>
        <w:t>to</w:t>
      </w:r>
      <w:r>
        <w:rPr>
          <w:color w:val="231F20"/>
          <w:spacing w:val="-11"/>
          <w:sz w:val="20"/>
        </w:rPr>
        <w:t xml:space="preserve"> </w:t>
      </w:r>
      <w:r>
        <w:rPr>
          <w:color w:val="231F20"/>
          <w:sz w:val="20"/>
        </w:rPr>
        <w:t>meet</w:t>
      </w:r>
      <w:r>
        <w:rPr>
          <w:color w:val="231F20"/>
          <w:spacing w:val="-10"/>
          <w:sz w:val="20"/>
        </w:rPr>
        <w:t xml:space="preserve"> </w:t>
      </w:r>
      <w:r>
        <w:rPr>
          <w:color w:val="231F20"/>
          <w:sz w:val="20"/>
        </w:rPr>
        <w:t>immediate</w:t>
      </w:r>
      <w:r>
        <w:rPr>
          <w:color w:val="231F20"/>
          <w:spacing w:val="-10"/>
          <w:sz w:val="20"/>
        </w:rPr>
        <w:t xml:space="preserve"> </w:t>
      </w:r>
      <w:r>
        <w:rPr>
          <w:color w:val="231F20"/>
          <w:sz w:val="20"/>
        </w:rPr>
        <w:t>needs.</w:t>
      </w:r>
      <w:r>
        <w:rPr>
          <w:color w:val="231F20"/>
          <w:position w:val="7"/>
          <w:sz w:val="11"/>
        </w:rPr>
        <w:t>47</w:t>
      </w:r>
    </w:p>
    <w:p w14:paraId="6CAAF300" w14:textId="77777777" w:rsidR="00894070" w:rsidRDefault="009F6793">
      <w:pPr>
        <w:pStyle w:val="BodyText"/>
        <w:spacing w:before="4"/>
        <w:rPr>
          <w:sz w:val="17"/>
        </w:rPr>
      </w:pPr>
      <w:r>
        <w:pict w14:anchorId="4DD8E688">
          <v:line id="_x0000_s1418" style="position:absolute;z-index:251598848;mso-wrap-distance-left:0;mso-wrap-distance-right:0;mso-position-horizontal-relative:page" from="79.35pt,14.45pt" to="515.9pt,14.45pt" strokecolor="#f8cabc" strokeweight="1pt">
            <w10:wrap type="topAndBottom" anchorx="page"/>
          </v:line>
        </w:pict>
      </w:r>
    </w:p>
    <w:p w14:paraId="75392D33" w14:textId="77777777" w:rsidR="00894070" w:rsidRDefault="009B7AFD">
      <w:pPr>
        <w:pStyle w:val="ListParagraph"/>
        <w:numPr>
          <w:ilvl w:val="0"/>
          <w:numId w:val="120"/>
        </w:numPr>
        <w:tabs>
          <w:tab w:val="left" w:pos="1801"/>
          <w:tab w:val="left" w:pos="1802"/>
        </w:tabs>
        <w:spacing w:before="107" w:line="213" w:lineRule="auto"/>
        <w:ind w:right="1500"/>
        <w:rPr>
          <w:sz w:val="13"/>
        </w:rPr>
      </w:pPr>
      <w:r>
        <w:rPr>
          <w:color w:val="231F20"/>
          <w:sz w:val="13"/>
        </w:rPr>
        <w:t xml:space="preserve">Centre for Innovative Justice, </w:t>
      </w:r>
      <w:r>
        <w:rPr>
          <w:i/>
          <w:color w:val="231F20"/>
          <w:sz w:val="13"/>
        </w:rPr>
        <w:t xml:space="preserve">Strengthening Victoria’s Victim </w:t>
      </w:r>
      <w:r>
        <w:rPr>
          <w:i/>
          <w:color w:val="231F20"/>
          <w:spacing w:val="2"/>
          <w:sz w:val="13"/>
        </w:rPr>
        <w:t xml:space="preserve">Support </w:t>
      </w:r>
      <w:r>
        <w:rPr>
          <w:i/>
          <w:color w:val="231F20"/>
          <w:sz w:val="13"/>
        </w:rPr>
        <w:t xml:space="preserve">System: Victim </w:t>
      </w:r>
      <w:r>
        <w:rPr>
          <w:i/>
          <w:color w:val="231F20"/>
          <w:spacing w:val="2"/>
          <w:sz w:val="13"/>
        </w:rPr>
        <w:t xml:space="preserve">Services </w:t>
      </w:r>
      <w:r>
        <w:rPr>
          <w:i/>
          <w:color w:val="231F20"/>
          <w:sz w:val="13"/>
        </w:rPr>
        <w:t xml:space="preserve">Review </w:t>
      </w:r>
      <w:r>
        <w:rPr>
          <w:color w:val="231F20"/>
          <w:sz w:val="13"/>
        </w:rPr>
        <w:t xml:space="preserve">(Final </w:t>
      </w:r>
      <w:r>
        <w:rPr>
          <w:color w:val="231F20"/>
          <w:spacing w:val="2"/>
          <w:sz w:val="13"/>
        </w:rPr>
        <w:t xml:space="preserve">Report, </w:t>
      </w:r>
      <w:r>
        <w:rPr>
          <w:color w:val="231F20"/>
          <w:sz w:val="13"/>
        </w:rPr>
        <w:t>November 2020) 60,</w:t>
      </w:r>
      <w:r>
        <w:rPr>
          <w:color w:val="231F20"/>
          <w:spacing w:val="-1"/>
          <w:sz w:val="13"/>
        </w:rPr>
        <w:t xml:space="preserve"> </w:t>
      </w:r>
      <w:r>
        <w:rPr>
          <w:color w:val="231F20"/>
          <w:sz w:val="13"/>
        </w:rPr>
        <w:t>76–7.</w:t>
      </w:r>
    </w:p>
    <w:p w14:paraId="2D87F471" w14:textId="77777777" w:rsidR="00894070" w:rsidRDefault="009B7AFD">
      <w:pPr>
        <w:pStyle w:val="ListParagraph"/>
        <w:numPr>
          <w:ilvl w:val="0"/>
          <w:numId w:val="120"/>
        </w:numPr>
        <w:tabs>
          <w:tab w:val="left" w:pos="1801"/>
          <w:tab w:val="left" w:pos="1802"/>
        </w:tabs>
        <w:spacing w:line="153" w:lineRule="exact"/>
        <w:rPr>
          <w:sz w:val="13"/>
        </w:rPr>
      </w:pPr>
      <w:r>
        <w:rPr>
          <w:color w:val="231F20"/>
          <w:sz w:val="13"/>
        </w:rPr>
        <w:t>Ibid 77.</w:t>
      </w:r>
    </w:p>
    <w:p w14:paraId="53B950B7" w14:textId="77777777" w:rsidR="00894070" w:rsidRDefault="009B7AFD">
      <w:pPr>
        <w:pStyle w:val="ListParagraph"/>
        <w:numPr>
          <w:ilvl w:val="0"/>
          <w:numId w:val="120"/>
        </w:numPr>
        <w:tabs>
          <w:tab w:val="left" w:pos="1800"/>
          <w:tab w:val="left" w:pos="1802"/>
        </w:tabs>
        <w:spacing w:line="160" w:lineRule="exact"/>
        <w:rPr>
          <w:sz w:val="13"/>
        </w:rPr>
      </w:pPr>
      <w:r>
        <w:rPr>
          <w:color w:val="231F20"/>
          <w:sz w:val="13"/>
        </w:rPr>
        <w:t xml:space="preserve">See </w:t>
      </w: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3"/>
          <w:sz w:val="13"/>
        </w:rPr>
        <w:t xml:space="preserve"> </w:t>
      </w:r>
      <w:r>
        <w:rPr>
          <w:color w:val="231F20"/>
          <w:sz w:val="13"/>
        </w:rPr>
        <w:t>Centres).</w:t>
      </w:r>
    </w:p>
    <w:p w14:paraId="075A6921" w14:textId="77777777" w:rsidR="00894070" w:rsidRDefault="009B7AFD">
      <w:pPr>
        <w:pStyle w:val="ListParagraph"/>
        <w:numPr>
          <w:ilvl w:val="0"/>
          <w:numId w:val="120"/>
        </w:numPr>
        <w:tabs>
          <w:tab w:val="left" w:pos="1801"/>
          <w:tab w:val="left" w:pos="1802"/>
        </w:tabs>
        <w:spacing w:line="160" w:lineRule="exact"/>
        <w:rPr>
          <w:sz w:val="13"/>
        </w:rPr>
      </w:pPr>
      <w:r>
        <w:rPr>
          <w:color w:val="231F20"/>
          <w:spacing w:val="2"/>
          <w:sz w:val="13"/>
        </w:rPr>
        <w:t>Submission</w:t>
      </w:r>
      <w:r>
        <w:rPr>
          <w:color w:val="231F20"/>
          <w:spacing w:val="10"/>
          <w:sz w:val="13"/>
        </w:rPr>
        <w:t xml:space="preserve"> </w:t>
      </w:r>
      <w:r>
        <w:rPr>
          <w:color w:val="231F20"/>
          <w:sz w:val="13"/>
        </w:rPr>
        <w:t>70</w:t>
      </w:r>
      <w:r>
        <w:rPr>
          <w:color w:val="231F20"/>
          <w:spacing w:val="11"/>
          <w:sz w:val="13"/>
        </w:rPr>
        <w:t xml:space="preserve"> </w:t>
      </w:r>
      <w:r>
        <w:rPr>
          <w:color w:val="231F20"/>
          <w:sz w:val="13"/>
        </w:rPr>
        <w:t>(Di</w:t>
      </w:r>
      <w:r>
        <w:rPr>
          <w:color w:val="231F20"/>
          <w:spacing w:val="11"/>
          <w:sz w:val="13"/>
        </w:rPr>
        <w:t xml:space="preserve"> </w:t>
      </w:r>
      <w:r>
        <w:rPr>
          <w:color w:val="231F20"/>
          <w:sz w:val="13"/>
        </w:rPr>
        <w:t>McDonald);</w:t>
      </w:r>
      <w:r>
        <w:rPr>
          <w:color w:val="231F20"/>
          <w:spacing w:val="12"/>
          <w:sz w:val="13"/>
        </w:rPr>
        <w:t xml:space="preserve"> </w:t>
      </w:r>
      <w:r>
        <w:rPr>
          <w:color w:val="231F20"/>
          <w:sz w:val="13"/>
        </w:rPr>
        <w:t>Consultation</w:t>
      </w:r>
      <w:r>
        <w:rPr>
          <w:color w:val="231F20"/>
          <w:spacing w:val="11"/>
          <w:sz w:val="13"/>
        </w:rPr>
        <w:t xml:space="preserve"> </w:t>
      </w:r>
      <w:r>
        <w:rPr>
          <w:color w:val="231F20"/>
          <w:spacing w:val="2"/>
          <w:sz w:val="13"/>
        </w:rPr>
        <w:t>14</w:t>
      </w:r>
      <w:r>
        <w:rPr>
          <w:color w:val="231F20"/>
          <w:spacing w:val="11"/>
          <w:sz w:val="13"/>
        </w:rPr>
        <w:t xml:space="preserve"> </w:t>
      </w:r>
      <w:r>
        <w:rPr>
          <w:color w:val="231F20"/>
          <w:sz w:val="13"/>
        </w:rPr>
        <w:t>(Confidential).</w:t>
      </w:r>
    </w:p>
    <w:p w14:paraId="327FD900" w14:textId="77777777" w:rsidR="00894070" w:rsidRDefault="009B7AFD">
      <w:pPr>
        <w:pStyle w:val="ListParagraph"/>
        <w:numPr>
          <w:ilvl w:val="0"/>
          <w:numId w:val="120"/>
        </w:numPr>
        <w:tabs>
          <w:tab w:val="left" w:pos="1801"/>
          <w:tab w:val="left" w:pos="1802"/>
        </w:tabs>
        <w:spacing w:line="160" w:lineRule="exact"/>
        <w:rPr>
          <w:sz w:val="13"/>
        </w:rPr>
      </w:pPr>
      <w:r>
        <w:rPr>
          <w:color w:val="231F20"/>
          <w:spacing w:val="2"/>
          <w:sz w:val="13"/>
        </w:rPr>
        <w:t>Submission</w:t>
      </w:r>
      <w:r>
        <w:rPr>
          <w:color w:val="231F20"/>
          <w:spacing w:val="10"/>
          <w:sz w:val="13"/>
        </w:rPr>
        <w:t xml:space="preserve"> </w:t>
      </w:r>
      <w:r>
        <w:rPr>
          <w:color w:val="231F20"/>
          <w:sz w:val="13"/>
        </w:rPr>
        <w:t>70</w:t>
      </w:r>
      <w:r>
        <w:rPr>
          <w:color w:val="231F20"/>
          <w:spacing w:val="11"/>
          <w:sz w:val="13"/>
        </w:rPr>
        <w:t xml:space="preserve"> </w:t>
      </w:r>
      <w:r>
        <w:rPr>
          <w:color w:val="231F20"/>
          <w:sz w:val="13"/>
        </w:rPr>
        <w:t>(Di</w:t>
      </w:r>
      <w:r>
        <w:rPr>
          <w:color w:val="231F20"/>
          <w:spacing w:val="11"/>
          <w:sz w:val="13"/>
        </w:rPr>
        <w:t xml:space="preserve"> </w:t>
      </w:r>
      <w:r>
        <w:rPr>
          <w:color w:val="231F20"/>
          <w:sz w:val="13"/>
        </w:rPr>
        <w:t>McDonald);</w:t>
      </w:r>
      <w:r>
        <w:rPr>
          <w:color w:val="231F20"/>
          <w:spacing w:val="12"/>
          <w:sz w:val="13"/>
        </w:rPr>
        <w:t xml:space="preserve"> </w:t>
      </w:r>
      <w:r>
        <w:rPr>
          <w:color w:val="231F20"/>
          <w:sz w:val="13"/>
        </w:rPr>
        <w:t>Consultation</w:t>
      </w:r>
      <w:r>
        <w:rPr>
          <w:color w:val="231F20"/>
          <w:spacing w:val="11"/>
          <w:sz w:val="13"/>
        </w:rPr>
        <w:t xml:space="preserve"> </w:t>
      </w:r>
      <w:r>
        <w:rPr>
          <w:color w:val="231F20"/>
          <w:spacing w:val="2"/>
          <w:sz w:val="13"/>
        </w:rPr>
        <w:t>14</w:t>
      </w:r>
      <w:r>
        <w:rPr>
          <w:color w:val="231F20"/>
          <w:spacing w:val="11"/>
          <w:sz w:val="13"/>
        </w:rPr>
        <w:t xml:space="preserve"> </w:t>
      </w:r>
      <w:r>
        <w:rPr>
          <w:color w:val="231F20"/>
          <w:sz w:val="13"/>
        </w:rPr>
        <w:t>(Confidential).</w:t>
      </w:r>
    </w:p>
    <w:p w14:paraId="6DB4AFD0" w14:textId="77777777" w:rsidR="00894070" w:rsidRDefault="009B7AFD">
      <w:pPr>
        <w:pStyle w:val="ListParagraph"/>
        <w:numPr>
          <w:ilvl w:val="0"/>
          <w:numId w:val="120"/>
        </w:numPr>
        <w:tabs>
          <w:tab w:val="left" w:pos="1800"/>
          <w:tab w:val="left" w:pos="1802"/>
        </w:tabs>
        <w:spacing w:line="160" w:lineRule="exact"/>
        <w:rPr>
          <w:sz w:val="13"/>
        </w:rPr>
      </w:pPr>
      <w:r>
        <w:rPr>
          <w:color w:val="231F20"/>
          <w:spacing w:val="2"/>
          <w:sz w:val="13"/>
        </w:rPr>
        <w:t xml:space="preserve">Submission </w:t>
      </w:r>
      <w:r>
        <w:rPr>
          <w:color w:val="231F20"/>
          <w:sz w:val="13"/>
        </w:rPr>
        <w:t>61 (Naciyelara</w:t>
      </w:r>
      <w:r>
        <w:rPr>
          <w:color w:val="231F20"/>
          <w:spacing w:val="-4"/>
          <w:sz w:val="13"/>
        </w:rPr>
        <w:t xml:space="preserve"> </w:t>
      </w:r>
      <w:r>
        <w:rPr>
          <w:color w:val="231F20"/>
          <w:sz w:val="13"/>
        </w:rPr>
        <w:t>Erel).</w:t>
      </w:r>
    </w:p>
    <w:p w14:paraId="47C99E19" w14:textId="77777777" w:rsidR="00894070" w:rsidRDefault="009B7AFD">
      <w:pPr>
        <w:pStyle w:val="ListParagraph"/>
        <w:numPr>
          <w:ilvl w:val="0"/>
          <w:numId w:val="120"/>
        </w:numPr>
        <w:tabs>
          <w:tab w:val="left" w:pos="1800"/>
          <w:tab w:val="left" w:pos="1802"/>
        </w:tabs>
        <w:spacing w:line="160" w:lineRule="exact"/>
        <w:rPr>
          <w:sz w:val="13"/>
        </w:rPr>
      </w:pPr>
      <w:r>
        <w:rPr>
          <w:color w:val="231F20"/>
          <w:spacing w:val="2"/>
          <w:sz w:val="13"/>
        </w:rPr>
        <w:t xml:space="preserve">Submission </w:t>
      </w:r>
      <w:r>
        <w:rPr>
          <w:color w:val="231F20"/>
          <w:sz w:val="13"/>
        </w:rPr>
        <w:t>70 (Di</w:t>
      </w:r>
      <w:r>
        <w:rPr>
          <w:color w:val="231F20"/>
          <w:spacing w:val="-2"/>
          <w:sz w:val="13"/>
        </w:rPr>
        <w:t xml:space="preserve"> </w:t>
      </w:r>
      <w:r>
        <w:rPr>
          <w:color w:val="231F20"/>
          <w:sz w:val="13"/>
        </w:rPr>
        <w:t>McDonald).</w:t>
      </w:r>
    </w:p>
    <w:p w14:paraId="1CC2EF57" w14:textId="77777777" w:rsidR="00894070" w:rsidRDefault="009B7AFD">
      <w:pPr>
        <w:pStyle w:val="ListParagraph"/>
        <w:numPr>
          <w:ilvl w:val="0"/>
          <w:numId w:val="120"/>
        </w:numPr>
        <w:tabs>
          <w:tab w:val="left" w:pos="1801"/>
          <w:tab w:val="left" w:pos="1802"/>
        </w:tabs>
        <w:spacing w:before="6" w:line="213" w:lineRule="auto"/>
        <w:ind w:right="1500"/>
        <w:rPr>
          <w:sz w:val="13"/>
        </w:rPr>
      </w:pPr>
      <w:r>
        <w:rPr>
          <w:color w:val="231F20"/>
          <w:sz w:val="13"/>
        </w:rPr>
        <w:t xml:space="preserve">Centre for Innovative Justice, </w:t>
      </w:r>
      <w:r>
        <w:rPr>
          <w:i/>
          <w:color w:val="231F20"/>
          <w:sz w:val="13"/>
        </w:rPr>
        <w:t xml:space="preserve">Strengthening Victoria’s Victim </w:t>
      </w:r>
      <w:r>
        <w:rPr>
          <w:i/>
          <w:color w:val="231F20"/>
          <w:spacing w:val="2"/>
          <w:sz w:val="13"/>
        </w:rPr>
        <w:t xml:space="preserve">Support </w:t>
      </w:r>
      <w:r>
        <w:rPr>
          <w:i/>
          <w:color w:val="231F20"/>
          <w:sz w:val="13"/>
        </w:rPr>
        <w:t xml:space="preserve">System: Victim </w:t>
      </w:r>
      <w:r>
        <w:rPr>
          <w:i/>
          <w:color w:val="231F20"/>
          <w:spacing w:val="2"/>
          <w:sz w:val="13"/>
        </w:rPr>
        <w:t xml:space="preserve">Services </w:t>
      </w:r>
      <w:r>
        <w:rPr>
          <w:i/>
          <w:color w:val="231F20"/>
          <w:sz w:val="13"/>
        </w:rPr>
        <w:t xml:space="preserve">Review </w:t>
      </w:r>
      <w:r>
        <w:rPr>
          <w:color w:val="231F20"/>
          <w:sz w:val="13"/>
        </w:rPr>
        <w:t xml:space="preserve">(Final </w:t>
      </w:r>
      <w:r>
        <w:rPr>
          <w:color w:val="231F20"/>
          <w:spacing w:val="2"/>
          <w:sz w:val="13"/>
        </w:rPr>
        <w:t xml:space="preserve">Report, </w:t>
      </w:r>
      <w:r>
        <w:rPr>
          <w:color w:val="231F20"/>
          <w:sz w:val="13"/>
        </w:rPr>
        <w:t>November 2020) 18–19.</w:t>
      </w:r>
    </w:p>
    <w:p w14:paraId="7D64904D" w14:textId="77777777" w:rsidR="00894070" w:rsidRDefault="009B7AFD">
      <w:pPr>
        <w:pStyle w:val="ListParagraph"/>
        <w:numPr>
          <w:ilvl w:val="0"/>
          <w:numId w:val="120"/>
        </w:numPr>
        <w:tabs>
          <w:tab w:val="left" w:pos="1801"/>
          <w:tab w:val="left" w:pos="1802"/>
        </w:tabs>
        <w:spacing w:line="153" w:lineRule="exact"/>
        <w:rPr>
          <w:sz w:val="13"/>
        </w:rPr>
      </w:pPr>
      <w:r>
        <w:rPr>
          <w:color w:val="231F20"/>
          <w:spacing w:val="2"/>
          <w:sz w:val="13"/>
        </w:rPr>
        <w:t xml:space="preserve">Department </w:t>
      </w:r>
      <w:r>
        <w:rPr>
          <w:color w:val="231F20"/>
          <w:sz w:val="13"/>
        </w:rPr>
        <w:t xml:space="preserve">of Justice and Community Safety (Vic), </w:t>
      </w:r>
      <w:r>
        <w:rPr>
          <w:i/>
          <w:color w:val="231F20"/>
          <w:sz w:val="13"/>
        </w:rPr>
        <w:t xml:space="preserve">Victim </w:t>
      </w:r>
      <w:r>
        <w:rPr>
          <w:i/>
          <w:color w:val="231F20"/>
          <w:spacing w:val="2"/>
          <w:sz w:val="13"/>
        </w:rPr>
        <w:t xml:space="preserve">Support </w:t>
      </w:r>
      <w:r>
        <w:rPr>
          <w:i/>
          <w:color w:val="231F20"/>
          <w:sz w:val="13"/>
        </w:rPr>
        <w:t xml:space="preserve">Update </w:t>
      </w:r>
      <w:r>
        <w:rPr>
          <w:color w:val="231F20"/>
          <w:spacing w:val="2"/>
          <w:sz w:val="13"/>
        </w:rPr>
        <w:t xml:space="preserve">(Report, December </w:t>
      </w:r>
      <w:r>
        <w:rPr>
          <w:color w:val="231F20"/>
          <w:sz w:val="13"/>
        </w:rPr>
        <w:t>2021)</w:t>
      </w:r>
      <w:r>
        <w:rPr>
          <w:color w:val="231F20"/>
          <w:spacing w:val="2"/>
          <w:sz w:val="13"/>
        </w:rPr>
        <w:t xml:space="preserve"> 41.</w:t>
      </w:r>
    </w:p>
    <w:p w14:paraId="1600E6EA" w14:textId="77777777" w:rsidR="00894070" w:rsidRDefault="009B7AFD">
      <w:pPr>
        <w:pStyle w:val="ListParagraph"/>
        <w:numPr>
          <w:ilvl w:val="0"/>
          <w:numId w:val="120"/>
        </w:numPr>
        <w:tabs>
          <w:tab w:val="left" w:pos="1801"/>
          <w:tab w:val="left" w:pos="1802"/>
        </w:tabs>
        <w:spacing w:before="7" w:line="213" w:lineRule="auto"/>
        <w:ind w:right="1407"/>
        <w:rPr>
          <w:sz w:val="13"/>
        </w:rPr>
      </w:pPr>
      <w:r>
        <w:rPr>
          <w:color w:val="231F20"/>
          <w:spacing w:val="2"/>
          <w:sz w:val="13"/>
        </w:rPr>
        <w:t xml:space="preserve">Ibid. </w:t>
      </w:r>
      <w:r>
        <w:rPr>
          <w:color w:val="231F20"/>
          <w:sz w:val="13"/>
        </w:rPr>
        <w:t xml:space="preserve">For example, it has committed funds for the </w:t>
      </w:r>
      <w:r>
        <w:rPr>
          <w:color w:val="231F20"/>
          <w:spacing w:val="2"/>
          <w:sz w:val="13"/>
        </w:rPr>
        <w:t xml:space="preserve">establishment </w:t>
      </w:r>
      <w:r>
        <w:rPr>
          <w:color w:val="231F20"/>
          <w:sz w:val="13"/>
        </w:rPr>
        <w:t xml:space="preserve">of a new Victims Legal </w:t>
      </w:r>
      <w:r>
        <w:rPr>
          <w:color w:val="231F20"/>
          <w:spacing w:val="2"/>
          <w:sz w:val="13"/>
        </w:rPr>
        <w:t xml:space="preserve">Service, </w:t>
      </w:r>
      <w:r>
        <w:rPr>
          <w:color w:val="231F20"/>
          <w:sz w:val="13"/>
        </w:rPr>
        <w:t xml:space="preserve">as we discuss below, and has developed a </w:t>
      </w:r>
      <w:r>
        <w:rPr>
          <w:color w:val="231F20"/>
          <w:spacing w:val="2"/>
          <w:sz w:val="13"/>
        </w:rPr>
        <w:t xml:space="preserve">‘Victim Support </w:t>
      </w:r>
      <w:r>
        <w:rPr>
          <w:color w:val="231F20"/>
          <w:sz w:val="13"/>
        </w:rPr>
        <w:t xml:space="preserve">Workforce </w:t>
      </w:r>
      <w:r>
        <w:rPr>
          <w:color w:val="231F20"/>
          <w:spacing w:val="2"/>
          <w:sz w:val="13"/>
        </w:rPr>
        <w:t xml:space="preserve">Capability </w:t>
      </w:r>
      <w:r>
        <w:rPr>
          <w:color w:val="231F20"/>
          <w:sz w:val="13"/>
        </w:rPr>
        <w:t xml:space="preserve">Framework’: at </w:t>
      </w:r>
      <w:r>
        <w:rPr>
          <w:color w:val="231F20"/>
          <w:spacing w:val="2"/>
          <w:sz w:val="13"/>
        </w:rPr>
        <w:t>13,</w:t>
      </w:r>
      <w:r>
        <w:rPr>
          <w:color w:val="231F20"/>
          <w:spacing w:val="-3"/>
          <w:sz w:val="13"/>
        </w:rPr>
        <w:t xml:space="preserve"> 17.</w:t>
      </w:r>
    </w:p>
    <w:p w14:paraId="3BA76C1C" w14:textId="77777777" w:rsidR="00894070" w:rsidRDefault="009F6793">
      <w:pPr>
        <w:pStyle w:val="ListParagraph"/>
        <w:numPr>
          <w:ilvl w:val="0"/>
          <w:numId w:val="120"/>
        </w:numPr>
        <w:tabs>
          <w:tab w:val="left" w:pos="1801"/>
          <w:tab w:val="left" w:pos="1802"/>
        </w:tabs>
        <w:spacing w:line="213" w:lineRule="auto"/>
        <w:ind w:right="1500"/>
        <w:rPr>
          <w:sz w:val="13"/>
        </w:rPr>
      </w:pPr>
      <w:r>
        <w:pict w14:anchorId="1510BF0F">
          <v:shape id="_x0000_s1417" type="#_x0000_t202" style="position:absolute;left:0;text-align:left;margin-left:549pt;margin-top:3.4pt;width:13.15pt;height:14.1pt;z-index:251675648;mso-position-horizontal-relative:page" filled="f" stroked="f">
            <v:textbox inset="0,0,0,0">
              <w:txbxContent>
                <w:p w14:paraId="3553B911" w14:textId="77777777" w:rsidR="00894070" w:rsidRDefault="009B7AFD">
                  <w:pPr>
                    <w:spacing w:line="282" w:lineRule="exact"/>
                    <w:rPr>
                      <w:b/>
                      <w:sz w:val="24"/>
                    </w:rPr>
                  </w:pPr>
                  <w:r>
                    <w:rPr>
                      <w:b/>
                      <w:color w:val="EA5B50"/>
                      <w:spacing w:val="-1"/>
                      <w:sz w:val="24"/>
                    </w:rPr>
                    <w:t>81</w:t>
                  </w:r>
                </w:p>
              </w:txbxContent>
            </v:textbox>
            <w10:wrap anchorx="page"/>
          </v:shape>
        </w:pict>
      </w:r>
      <w:r w:rsidR="009B7AFD">
        <w:rPr>
          <w:color w:val="231F20"/>
          <w:sz w:val="13"/>
        </w:rPr>
        <w:t xml:space="preserve">Centre for Innovative Justice, </w:t>
      </w:r>
      <w:r w:rsidR="009B7AFD">
        <w:rPr>
          <w:i/>
          <w:color w:val="231F20"/>
          <w:sz w:val="13"/>
        </w:rPr>
        <w:t xml:space="preserve">Strengthening Victoria’s Victim </w:t>
      </w:r>
      <w:r w:rsidR="009B7AFD">
        <w:rPr>
          <w:i/>
          <w:color w:val="231F20"/>
          <w:spacing w:val="2"/>
          <w:sz w:val="13"/>
        </w:rPr>
        <w:t xml:space="preserve">Support </w:t>
      </w:r>
      <w:r w:rsidR="009B7AFD">
        <w:rPr>
          <w:i/>
          <w:color w:val="231F20"/>
          <w:sz w:val="13"/>
        </w:rPr>
        <w:t xml:space="preserve">System: Victim </w:t>
      </w:r>
      <w:r w:rsidR="009B7AFD">
        <w:rPr>
          <w:i/>
          <w:color w:val="231F20"/>
          <w:spacing w:val="2"/>
          <w:sz w:val="13"/>
        </w:rPr>
        <w:t xml:space="preserve">Services </w:t>
      </w:r>
      <w:r w:rsidR="009B7AFD">
        <w:rPr>
          <w:i/>
          <w:color w:val="231F20"/>
          <w:sz w:val="13"/>
        </w:rPr>
        <w:t xml:space="preserve">Review </w:t>
      </w:r>
      <w:r w:rsidR="009B7AFD">
        <w:rPr>
          <w:color w:val="231F20"/>
          <w:sz w:val="13"/>
        </w:rPr>
        <w:t xml:space="preserve">(Final </w:t>
      </w:r>
      <w:r w:rsidR="009B7AFD">
        <w:rPr>
          <w:color w:val="231F20"/>
          <w:spacing w:val="2"/>
          <w:sz w:val="13"/>
        </w:rPr>
        <w:t xml:space="preserve">Report, </w:t>
      </w:r>
      <w:r w:rsidR="009B7AFD">
        <w:rPr>
          <w:color w:val="231F20"/>
          <w:sz w:val="13"/>
        </w:rPr>
        <w:t>November 2020) 16, 82–8.</w:t>
      </w:r>
    </w:p>
    <w:p w14:paraId="20EB447E" w14:textId="77777777" w:rsidR="00894070" w:rsidRDefault="00894070">
      <w:pPr>
        <w:spacing w:line="213" w:lineRule="auto"/>
        <w:rPr>
          <w:sz w:val="13"/>
        </w:rPr>
        <w:sectPr w:rsidR="00894070">
          <w:pgSz w:w="11910" w:h="16840"/>
          <w:pgMar w:top="840" w:right="420" w:bottom="280" w:left="580" w:header="0" w:footer="0" w:gutter="0"/>
          <w:cols w:space="720"/>
        </w:sectPr>
      </w:pPr>
    </w:p>
    <w:p w14:paraId="7CAF52D6" w14:textId="77777777" w:rsidR="00894070" w:rsidRDefault="00894070">
      <w:pPr>
        <w:pStyle w:val="BodyText"/>
      </w:pPr>
    </w:p>
    <w:p w14:paraId="6D09DD5E" w14:textId="77777777" w:rsidR="00894070" w:rsidRDefault="00894070">
      <w:pPr>
        <w:pStyle w:val="BodyText"/>
      </w:pPr>
    </w:p>
    <w:p w14:paraId="2E7E4248" w14:textId="77777777" w:rsidR="00894070" w:rsidRDefault="00894070">
      <w:pPr>
        <w:pStyle w:val="BodyText"/>
      </w:pPr>
    </w:p>
    <w:p w14:paraId="3CC1839F" w14:textId="77777777" w:rsidR="00894070" w:rsidRDefault="00894070">
      <w:pPr>
        <w:pStyle w:val="BodyText"/>
        <w:spacing w:before="11"/>
        <w:rPr>
          <w:sz w:val="18"/>
        </w:rPr>
      </w:pPr>
    </w:p>
    <w:p w14:paraId="66E33ED4" w14:textId="77777777" w:rsidR="00894070" w:rsidRDefault="009B7AFD">
      <w:pPr>
        <w:pStyle w:val="BodyText"/>
        <w:spacing w:line="206" w:lineRule="auto"/>
        <w:ind w:left="2141" w:right="1533"/>
        <w:rPr>
          <w:sz w:val="11"/>
        </w:rPr>
      </w:pPr>
      <w:bookmarkStart w:id="99" w:name="_bookmark53"/>
      <w:bookmarkEnd w:id="99"/>
      <w:r>
        <w:rPr>
          <w:color w:val="231F20"/>
        </w:rPr>
        <w:t xml:space="preserve">The service has the capacity to </w:t>
      </w:r>
      <w:r>
        <w:rPr>
          <w:color w:val="231F20"/>
          <w:spacing w:val="-3"/>
        </w:rPr>
        <w:t xml:space="preserve">provide </w:t>
      </w:r>
      <w:r>
        <w:rPr>
          <w:color w:val="231F20"/>
        </w:rPr>
        <w:t xml:space="preserve">‘light </w:t>
      </w:r>
      <w:r>
        <w:rPr>
          <w:color w:val="231F20"/>
          <w:spacing w:val="-4"/>
        </w:rPr>
        <w:t xml:space="preserve">touch’ </w:t>
      </w:r>
      <w:r>
        <w:rPr>
          <w:color w:val="231F20"/>
        </w:rPr>
        <w:t xml:space="preserve">case coordination to victim survivors who </w:t>
      </w:r>
      <w:r>
        <w:rPr>
          <w:color w:val="231F20"/>
          <w:spacing w:val="-5"/>
        </w:rPr>
        <w:t xml:space="preserve">‘do </w:t>
      </w:r>
      <w:r>
        <w:rPr>
          <w:color w:val="231F20"/>
        </w:rPr>
        <w:t xml:space="preserve">not </w:t>
      </w:r>
      <w:r>
        <w:rPr>
          <w:color w:val="231F20"/>
          <w:spacing w:val="-3"/>
        </w:rPr>
        <w:t xml:space="preserve">require referral into </w:t>
      </w:r>
      <w:r>
        <w:rPr>
          <w:color w:val="231F20"/>
        </w:rPr>
        <w:t xml:space="preserve">more </w:t>
      </w:r>
      <w:r>
        <w:rPr>
          <w:color w:val="231F20"/>
          <w:spacing w:val="-3"/>
        </w:rPr>
        <w:t xml:space="preserve">intensive </w:t>
      </w:r>
      <w:r>
        <w:rPr>
          <w:color w:val="231F20"/>
        </w:rPr>
        <w:t>case coordination’.</w:t>
      </w:r>
      <w:r>
        <w:rPr>
          <w:color w:val="231F20"/>
          <w:position w:val="7"/>
          <w:sz w:val="11"/>
        </w:rPr>
        <w:t>48</w:t>
      </w:r>
    </w:p>
    <w:p w14:paraId="36EE4393" w14:textId="77777777" w:rsidR="00894070" w:rsidRDefault="009B7AFD">
      <w:pPr>
        <w:pStyle w:val="ListParagraph"/>
        <w:numPr>
          <w:ilvl w:val="1"/>
          <w:numId w:val="120"/>
        </w:numPr>
        <w:tabs>
          <w:tab w:val="left" w:pos="2142"/>
        </w:tabs>
        <w:spacing w:before="88" w:line="206" w:lineRule="auto"/>
        <w:ind w:right="1164" w:hanging="340"/>
        <w:jc w:val="both"/>
        <w:rPr>
          <w:sz w:val="11"/>
        </w:rPr>
      </w:pPr>
      <w:r>
        <w:rPr>
          <w:color w:val="231F20"/>
          <w:sz w:val="20"/>
        </w:rPr>
        <w:t>Clients</w:t>
      </w:r>
      <w:r>
        <w:rPr>
          <w:color w:val="231F20"/>
          <w:spacing w:val="-8"/>
          <w:sz w:val="20"/>
        </w:rPr>
        <w:t xml:space="preserve"> </w:t>
      </w:r>
      <w:r>
        <w:rPr>
          <w:color w:val="231F20"/>
          <w:sz w:val="20"/>
        </w:rPr>
        <w:t>with</w:t>
      </w:r>
      <w:r>
        <w:rPr>
          <w:color w:val="231F20"/>
          <w:spacing w:val="-8"/>
          <w:sz w:val="20"/>
        </w:rPr>
        <w:t xml:space="preserve"> </w:t>
      </w:r>
      <w:r>
        <w:rPr>
          <w:color w:val="231F20"/>
          <w:sz w:val="20"/>
        </w:rPr>
        <w:t>ongoing</w:t>
      </w:r>
      <w:r>
        <w:rPr>
          <w:color w:val="231F20"/>
          <w:spacing w:val="-8"/>
          <w:sz w:val="20"/>
        </w:rPr>
        <w:t xml:space="preserve"> </w:t>
      </w:r>
      <w:r>
        <w:rPr>
          <w:color w:val="231F20"/>
          <w:sz w:val="20"/>
        </w:rPr>
        <w:t>or</w:t>
      </w:r>
      <w:r>
        <w:rPr>
          <w:color w:val="231F20"/>
          <w:spacing w:val="-7"/>
          <w:sz w:val="20"/>
        </w:rPr>
        <w:t xml:space="preserve"> </w:t>
      </w:r>
      <w:r>
        <w:rPr>
          <w:color w:val="231F20"/>
          <w:spacing w:val="-3"/>
          <w:sz w:val="20"/>
        </w:rPr>
        <w:t>complex</w:t>
      </w:r>
      <w:r>
        <w:rPr>
          <w:color w:val="231F20"/>
          <w:spacing w:val="-8"/>
          <w:sz w:val="20"/>
        </w:rPr>
        <w:t xml:space="preserve"> </w:t>
      </w:r>
      <w:r>
        <w:rPr>
          <w:color w:val="231F20"/>
          <w:sz w:val="20"/>
        </w:rPr>
        <w:t>needs</w:t>
      </w:r>
      <w:r>
        <w:rPr>
          <w:color w:val="231F20"/>
          <w:spacing w:val="-8"/>
          <w:sz w:val="20"/>
        </w:rPr>
        <w:t xml:space="preserve"> </w:t>
      </w:r>
      <w:r>
        <w:rPr>
          <w:color w:val="231F20"/>
          <w:spacing w:val="-3"/>
          <w:sz w:val="20"/>
        </w:rPr>
        <w:t>would</w:t>
      </w:r>
      <w:r>
        <w:rPr>
          <w:color w:val="231F20"/>
          <w:spacing w:val="-7"/>
          <w:sz w:val="20"/>
        </w:rPr>
        <w:t xml:space="preserve"> </w:t>
      </w:r>
      <w:r>
        <w:rPr>
          <w:color w:val="231F20"/>
          <w:sz w:val="20"/>
        </w:rPr>
        <w:t>be</w:t>
      </w:r>
      <w:r>
        <w:rPr>
          <w:color w:val="231F20"/>
          <w:spacing w:val="-8"/>
          <w:sz w:val="20"/>
        </w:rPr>
        <w:t xml:space="preserve"> </w:t>
      </w:r>
      <w:r>
        <w:rPr>
          <w:color w:val="231F20"/>
          <w:sz w:val="20"/>
        </w:rPr>
        <w:t>connected</w:t>
      </w:r>
      <w:r>
        <w:rPr>
          <w:color w:val="231F20"/>
          <w:spacing w:val="-8"/>
          <w:sz w:val="20"/>
        </w:rPr>
        <w:t xml:space="preserve"> </w:t>
      </w:r>
      <w:r>
        <w:rPr>
          <w:color w:val="231F20"/>
          <w:sz w:val="20"/>
        </w:rPr>
        <w:t>to</w:t>
      </w:r>
      <w:r>
        <w:rPr>
          <w:color w:val="231F20"/>
          <w:spacing w:val="-7"/>
          <w:sz w:val="20"/>
        </w:rPr>
        <w:t xml:space="preserve"> </w:t>
      </w:r>
      <w:r>
        <w:rPr>
          <w:color w:val="231F20"/>
          <w:sz w:val="20"/>
        </w:rPr>
        <w:t>the</w:t>
      </w:r>
      <w:r>
        <w:rPr>
          <w:color w:val="231F20"/>
          <w:spacing w:val="-8"/>
          <w:sz w:val="20"/>
        </w:rPr>
        <w:t xml:space="preserve"> </w:t>
      </w:r>
      <w:r>
        <w:rPr>
          <w:color w:val="231F20"/>
          <w:sz w:val="20"/>
        </w:rPr>
        <w:t>Victims</w:t>
      </w:r>
      <w:r>
        <w:rPr>
          <w:color w:val="231F20"/>
          <w:spacing w:val="-8"/>
          <w:sz w:val="20"/>
        </w:rPr>
        <w:t xml:space="preserve"> </w:t>
      </w:r>
      <w:r>
        <w:rPr>
          <w:color w:val="231F20"/>
          <w:sz w:val="20"/>
        </w:rPr>
        <w:t>Support and</w:t>
      </w:r>
      <w:r>
        <w:rPr>
          <w:color w:val="231F20"/>
          <w:spacing w:val="-14"/>
          <w:sz w:val="20"/>
        </w:rPr>
        <w:t xml:space="preserve"> </w:t>
      </w:r>
      <w:r>
        <w:rPr>
          <w:color w:val="231F20"/>
          <w:sz w:val="20"/>
        </w:rPr>
        <w:t>Recovery</w:t>
      </w:r>
      <w:r>
        <w:rPr>
          <w:color w:val="231F20"/>
          <w:spacing w:val="-13"/>
          <w:sz w:val="20"/>
        </w:rPr>
        <w:t xml:space="preserve"> </w:t>
      </w:r>
      <w:r>
        <w:rPr>
          <w:color w:val="231F20"/>
          <w:sz w:val="20"/>
        </w:rPr>
        <w:t>Program.</w:t>
      </w:r>
      <w:r>
        <w:rPr>
          <w:color w:val="231F20"/>
          <w:spacing w:val="-13"/>
          <w:sz w:val="20"/>
        </w:rPr>
        <w:t xml:space="preserve"> </w:t>
      </w:r>
      <w:r>
        <w:rPr>
          <w:color w:val="231F20"/>
          <w:sz w:val="20"/>
        </w:rPr>
        <w:t>This</w:t>
      </w:r>
      <w:r>
        <w:rPr>
          <w:color w:val="231F20"/>
          <w:spacing w:val="-13"/>
          <w:sz w:val="20"/>
        </w:rPr>
        <w:t xml:space="preserve"> </w:t>
      </w:r>
      <w:r>
        <w:rPr>
          <w:color w:val="231F20"/>
          <w:spacing w:val="-3"/>
          <w:sz w:val="20"/>
        </w:rPr>
        <w:t>would</w:t>
      </w:r>
      <w:r>
        <w:rPr>
          <w:color w:val="231F20"/>
          <w:spacing w:val="-14"/>
          <w:sz w:val="20"/>
        </w:rPr>
        <w:t xml:space="preserve"> </w:t>
      </w:r>
      <w:r>
        <w:rPr>
          <w:color w:val="231F20"/>
          <w:sz w:val="20"/>
        </w:rPr>
        <w:t>replace</w:t>
      </w:r>
      <w:r>
        <w:rPr>
          <w:color w:val="231F20"/>
          <w:spacing w:val="-13"/>
          <w:sz w:val="20"/>
        </w:rPr>
        <w:t xml:space="preserve"> </w:t>
      </w:r>
      <w:r>
        <w:rPr>
          <w:color w:val="231F20"/>
          <w:sz w:val="20"/>
        </w:rPr>
        <w:t>the</w:t>
      </w:r>
      <w:r>
        <w:rPr>
          <w:color w:val="231F20"/>
          <w:spacing w:val="-13"/>
          <w:sz w:val="20"/>
        </w:rPr>
        <w:t xml:space="preserve"> </w:t>
      </w:r>
      <w:r>
        <w:rPr>
          <w:color w:val="231F20"/>
          <w:sz w:val="20"/>
        </w:rPr>
        <w:t>existing</w:t>
      </w:r>
      <w:r>
        <w:rPr>
          <w:color w:val="231F20"/>
          <w:spacing w:val="-13"/>
          <w:sz w:val="20"/>
        </w:rPr>
        <w:t xml:space="preserve"> </w:t>
      </w:r>
      <w:r>
        <w:rPr>
          <w:color w:val="231F20"/>
          <w:sz w:val="20"/>
        </w:rPr>
        <w:t>Victims</w:t>
      </w:r>
      <w:r>
        <w:rPr>
          <w:color w:val="231F20"/>
          <w:spacing w:val="-14"/>
          <w:sz w:val="20"/>
        </w:rPr>
        <w:t xml:space="preserve"> </w:t>
      </w:r>
      <w:r>
        <w:rPr>
          <w:color w:val="231F20"/>
          <w:sz w:val="20"/>
        </w:rPr>
        <w:t>Assistance</w:t>
      </w:r>
      <w:r>
        <w:rPr>
          <w:color w:val="231F20"/>
          <w:spacing w:val="-13"/>
          <w:sz w:val="20"/>
        </w:rPr>
        <w:t xml:space="preserve"> </w:t>
      </w:r>
      <w:r>
        <w:rPr>
          <w:color w:val="231F20"/>
          <w:sz w:val="20"/>
        </w:rPr>
        <w:t xml:space="preserve">Program and </w:t>
      </w:r>
      <w:r>
        <w:rPr>
          <w:color w:val="231F20"/>
          <w:spacing w:val="-3"/>
          <w:sz w:val="20"/>
        </w:rPr>
        <w:t xml:space="preserve">would provide </w:t>
      </w:r>
      <w:r>
        <w:rPr>
          <w:color w:val="231F20"/>
          <w:sz w:val="20"/>
        </w:rPr>
        <w:t xml:space="preserve">more </w:t>
      </w:r>
      <w:r>
        <w:rPr>
          <w:color w:val="231F20"/>
          <w:spacing w:val="-3"/>
          <w:sz w:val="20"/>
        </w:rPr>
        <w:t xml:space="preserve">active </w:t>
      </w:r>
      <w:r>
        <w:rPr>
          <w:color w:val="231F20"/>
          <w:sz w:val="20"/>
        </w:rPr>
        <w:t>case</w:t>
      </w:r>
      <w:r>
        <w:rPr>
          <w:color w:val="231F20"/>
          <w:spacing w:val="-15"/>
          <w:sz w:val="20"/>
        </w:rPr>
        <w:t xml:space="preserve"> </w:t>
      </w:r>
      <w:r>
        <w:rPr>
          <w:color w:val="231F20"/>
          <w:sz w:val="20"/>
        </w:rPr>
        <w:t>management.</w:t>
      </w:r>
      <w:r>
        <w:rPr>
          <w:color w:val="231F20"/>
          <w:position w:val="7"/>
          <w:sz w:val="11"/>
        </w:rPr>
        <w:t>49</w:t>
      </w:r>
    </w:p>
    <w:p w14:paraId="6DA34234" w14:textId="77777777" w:rsidR="00894070" w:rsidRDefault="009B7AFD">
      <w:pPr>
        <w:pStyle w:val="ListParagraph"/>
        <w:numPr>
          <w:ilvl w:val="1"/>
          <w:numId w:val="120"/>
        </w:numPr>
        <w:tabs>
          <w:tab w:val="left" w:pos="2141"/>
          <w:tab w:val="left" w:pos="2142"/>
        </w:tabs>
        <w:spacing w:before="56"/>
        <w:ind w:hanging="340"/>
        <w:rPr>
          <w:sz w:val="11"/>
        </w:rPr>
      </w:pPr>
      <w:r>
        <w:rPr>
          <w:color w:val="231F20"/>
          <w:sz w:val="20"/>
        </w:rPr>
        <w:t xml:space="preserve">A specialised service </w:t>
      </w:r>
      <w:r>
        <w:rPr>
          <w:color w:val="231F20"/>
          <w:spacing w:val="-3"/>
          <w:sz w:val="20"/>
        </w:rPr>
        <w:t>for bereaved family</w:t>
      </w:r>
      <w:r>
        <w:rPr>
          <w:color w:val="231F20"/>
          <w:spacing w:val="-18"/>
          <w:sz w:val="20"/>
        </w:rPr>
        <w:t xml:space="preserve"> </w:t>
      </w:r>
      <w:r>
        <w:rPr>
          <w:color w:val="231F20"/>
          <w:sz w:val="20"/>
        </w:rPr>
        <w:t>members.</w:t>
      </w:r>
      <w:r>
        <w:rPr>
          <w:color w:val="231F20"/>
          <w:position w:val="7"/>
          <w:sz w:val="11"/>
        </w:rPr>
        <w:t>50</w:t>
      </w:r>
    </w:p>
    <w:p w14:paraId="2B2FC2FF" w14:textId="77777777" w:rsidR="00894070" w:rsidRDefault="009B7AFD">
      <w:pPr>
        <w:pStyle w:val="ListParagraph"/>
        <w:numPr>
          <w:ilvl w:val="1"/>
          <w:numId w:val="126"/>
        </w:numPr>
        <w:tabs>
          <w:tab w:val="left" w:pos="1801"/>
          <w:tab w:val="left" w:pos="1802"/>
        </w:tabs>
        <w:spacing w:before="80" w:line="206" w:lineRule="auto"/>
        <w:ind w:right="1166"/>
        <w:rPr>
          <w:sz w:val="20"/>
        </w:rPr>
      </w:pPr>
      <w:r>
        <w:rPr>
          <w:color w:val="231F20"/>
          <w:sz w:val="20"/>
        </w:rPr>
        <w:t xml:space="preserve">The model </w:t>
      </w:r>
      <w:r>
        <w:rPr>
          <w:color w:val="231F20"/>
          <w:spacing w:val="-3"/>
          <w:sz w:val="20"/>
        </w:rPr>
        <w:t xml:space="preserve">would </w:t>
      </w:r>
      <w:r>
        <w:rPr>
          <w:color w:val="231F20"/>
          <w:sz w:val="20"/>
        </w:rPr>
        <w:t xml:space="preserve">include a Victims Legal </w:t>
      </w:r>
      <w:r>
        <w:rPr>
          <w:color w:val="231F20"/>
          <w:spacing w:val="-3"/>
          <w:sz w:val="20"/>
        </w:rPr>
        <w:t xml:space="preserve">Advice </w:t>
      </w:r>
      <w:r>
        <w:rPr>
          <w:color w:val="231F20"/>
          <w:sz w:val="20"/>
        </w:rPr>
        <w:t>Service consisting of a network of funded</w:t>
      </w:r>
      <w:r>
        <w:rPr>
          <w:color w:val="231F20"/>
          <w:spacing w:val="-9"/>
          <w:sz w:val="20"/>
        </w:rPr>
        <w:t xml:space="preserve"> </w:t>
      </w:r>
      <w:r>
        <w:rPr>
          <w:color w:val="231F20"/>
          <w:sz w:val="20"/>
        </w:rPr>
        <w:t>legal</w:t>
      </w:r>
      <w:r>
        <w:rPr>
          <w:color w:val="231F20"/>
          <w:spacing w:val="-9"/>
          <w:sz w:val="20"/>
        </w:rPr>
        <w:t xml:space="preserve"> </w:t>
      </w:r>
      <w:r>
        <w:rPr>
          <w:color w:val="231F20"/>
          <w:sz w:val="20"/>
        </w:rPr>
        <w:t>services</w:t>
      </w:r>
      <w:r>
        <w:rPr>
          <w:color w:val="231F20"/>
          <w:spacing w:val="-9"/>
          <w:sz w:val="20"/>
        </w:rPr>
        <w:t xml:space="preserve"> </w:t>
      </w:r>
      <w:r>
        <w:rPr>
          <w:color w:val="231F20"/>
          <w:sz w:val="20"/>
        </w:rPr>
        <w:t>co-located</w:t>
      </w:r>
      <w:r>
        <w:rPr>
          <w:color w:val="231F20"/>
          <w:spacing w:val="-9"/>
          <w:sz w:val="20"/>
        </w:rPr>
        <w:t xml:space="preserve"> </w:t>
      </w:r>
      <w:r>
        <w:rPr>
          <w:color w:val="231F20"/>
          <w:sz w:val="20"/>
        </w:rPr>
        <w:t>with</w:t>
      </w:r>
      <w:r>
        <w:rPr>
          <w:color w:val="231F20"/>
          <w:spacing w:val="-9"/>
          <w:sz w:val="20"/>
        </w:rPr>
        <w:t xml:space="preserve"> </w:t>
      </w:r>
      <w:r>
        <w:rPr>
          <w:color w:val="231F20"/>
          <w:sz w:val="20"/>
        </w:rPr>
        <w:t>the</w:t>
      </w:r>
      <w:r>
        <w:rPr>
          <w:color w:val="231F20"/>
          <w:spacing w:val="-9"/>
          <w:sz w:val="20"/>
        </w:rPr>
        <w:t xml:space="preserve"> </w:t>
      </w:r>
      <w:r>
        <w:rPr>
          <w:color w:val="231F20"/>
          <w:sz w:val="20"/>
        </w:rPr>
        <w:t>Victims</w:t>
      </w:r>
      <w:r>
        <w:rPr>
          <w:color w:val="231F20"/>
          <w:spacing w:val="-9"/>
          <w:sz w:val="20"/>
        </w:rPr>
        <w:t xml:space="preserve"> </w:t>
      </w:r>
      <w:r>
        <w:rPr>
          <w:color w:val="231F20"/>
          <w:sz w:val="20"/>
        </w:rPr>
        <w:t>Support</w:t>
      </w:r>
      <w:r>
        <w:rPr>
          <w:color w:val="231F20"/>
          <w:spacing w:val="-9"/>
          <w:sz w:val="20"/>
        </w:rPr>
        <w:t xml:space="preserve"> </w:t>
      </w:r>
      <w:r>
        <w:rPr>
          <w:color w:val="231F20"/>
          <w:spacing w:val="-3"/>
          <w:sz w:val="20"/>
        </w:rPr>
        <w:t>Centre</w:t>
      </w:r>
      <w:r>
        <w:rPr>
          <w:color w:val="231F20"/>
          <w:spacing w:val="-9"/>
          <w:sz w:val="20"/>
        </w:rPr>
        <w:t xml:space="preserve"> </w:t>
      </w:r>
      <w:r>
        <w:rPr>
          <w:color w:val="231F20"/>
          <w:sz w:val="20"/>
        </w:rPr>
        <w:t>and</w:t>
      </w:r>
      <w:r>
        <w:rPr>
          <w:color w:val="231F20"/>
          <w:spacing w:val="-9"/>
          <w:sz w:val="20"/>
        </w:rPr>
        <w:t xml:space="preserve"> </w:t>
      </w:r>
      <w:r>
        <w:rPr>
          <w:color w:val="231F20"/>
          <w:sz w:val="20"/>
        </w:rPr>
        <w:t>Victims</w:t>
      </w:r>
      <w:r>
        <w:rPr>
          <w:color w:val="231F20"/>
          <w:spacing w:val="-9"/>
          <w:sz w:val="20"/>
        </w:rPr>
        <w:t xml:space="preserve"> </w:t>
      </w:r>
      <w:r>
        <w:rPr>
          <w:color w:val="231F20"/>
          <w:sz w:val="20"/>
        </w:rPr>
        <w:t>Support and Recovery program providers.</w:t>
      </w:r>
      <w:r>
        <w:rPr>
          <w:color w:val="231F20"/>
          <w:position w:val="7"/>
          <w:sz w:val="11"/>
        </w:rPr>
        <w:t xml:space="preserve">51 </w:t>
      </w:r>
      <w:r>
        <w:rPr>
          <w:color w:val="231F20"/>
          <w:sz w:val="20"/>
        </w:rPr>
        <w:t xml:space="preserve">In </w:t>
      </w:r>
      <w:r>
        <w:rPr>
          <w:color w:val="231F20"/>
          <w:spacing w:val="-3"/>
          <w:sz w:val="20"/>
        </w:rPr>
        <w:t xml:space="preserve">May </w:t>
      </w:r>
      <w:r>
        <w:rPr>
          <w:color w:val="231F20"/>
          <w:sz w:val="20"/>
        </w:rPr>
        <w:t xml:space="preserve">2021, the Victorian </w:t>
      </w:r>
      <w:r>
        <w:rPr>
          <w:color w:val="231F20"/>
          <w:spacing w:val="-3"/>
          <w:sz w:val="20"/>
        </w:rPr>
        <w:t xml:space="preserve">Government </w:t>
      </w:r>
      <w:r>
        <w:rPr>
          <w:color w:val="231F20"/>
          <w:sz w:val="20"/>
        </w:rPr>
        <w:t>announced funding</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a</w:t>
      </w:r>
      <w:r>
        <w:rPr>
          <w:color w:val="231F20"/>
          <w:spacing w:val="-7"/>
          <w:sz w:val="20"/>
        </w:rPr>
        <w:t xml:space="preserve"> </w:t>
      </w:r>
      <w:r>
        <w:rPr>
          <w:color w:val="231F20"/>
          <w:sz w:val="20"/>
        </w:rPr>
        <w:t>Victims</w:t>
      </w:r>
      <w:r>
        <w:rPr>
          <w:color w:val="231F20"/>
          <w:spacing w:val="-8"/>
          <w:sz w:val="20"/>
        </w:rPr>
        <w:t xml:space="preserve"> </w:t>
      </w:r>
      <w:r>
        <w:rPr>
          <w:color w:val="231F20"/>
          <w:sz w:val="20"/>
        </w:rPr>
        <w:t>Legal</w:t>
      </w:r>
      <w:r>
        <w:rPr>
          <w:color w:val="231F20"/>
          <w:spacing w:val="-7"/>
          <w:sz w:val="20"/>
        </w:rPr>
        <w:t xml:space="preserve"> </w:t>
      </w:r>
      <w:r>
        <w:rPr>
          <w:color w:val="231F20"/>
          <w:sz w:val="20"/>
        </w:rPr>
        <w:t>Service.</w:t>
      </w:r>
      <w:r>
        <w:rPr>
          <w:color w:val="231F20"/>
          <w:position w:val="7"/>
          <w:sz w:val="11"/>
        </w:rPr>
        <w:t>52</w:t>
      </w:r>
      <w:r>
        <w:rPr>
          <w:color w:val="231F20"/>
          <w:spacing w:val="16"/>
          <w:position w:val="7"/>
          <w:sz w:val="11"/>
        </w:rPr>
        <w:t xml:space="preserve"> </w:t>
      </w:r>
      <w:r>
        <w:rPr>
          <w:color w:val="231F20"/>
          <w:spacing w:val="-5"/>
          <w:sz w:val="20"/>
        </w:rPr>
        <w:t>However,</w:t>
      </w:r>
      <w:r>
        <w:rPr>
          <w:color w:val="231F20"/>
          <w:spacing w:val="-7"/>
          <w:sz w:val="20"/>
        </w:rPr>
        <w:t xml:space="preserve"> </w:t>
      </w:r>
      <w:r>
        <w:rPr>
          <w:color w:val="231F20"/>
          <w:sz w:val="20"/>
        </w:rPr>
        <w:t>this</w:t>
      </w:r>
      <w:r>
        <w:rPr>
          <w:color w:val="231F20"/>
          <w:spacing w:val="-8"/>
          <w:sz w:val="20"/>
        </w:rPr>
        <w:t xml:space="preserve"> </w:t>
      </w:r>
      <w:r>
        <w:rPr>
          <w:color w:val="231F20"/>
          <w:sz w:val="20"/>
        </w:rPr>
        <w:t>is</w:t>
      </w:r>
      <w:r>
        <w:rPr>
          <w:color w:val="231F20"/>
          <w:spacing w:val="-8"/>
          <w:sz w:val="20"/>
        </w:rPr>
        <w:t xml:space="preserve"> </w:t>
      </w:r>
      <w:r>
        <w:rPr>
          <w:color w:val="231F20"/>
          <w:sz w:val="20"/>
        </w:rPr>
        <w:t>more</w:t>
      </w:r>
      <w:r>
        <w:rPr>
          <w:color w:val="231F20"/>
          <w:spacing w:val="-7"/>
          <w:sz w:val="20"/>
        </w:rPr>
        <w:t xml:space="preserve"> </w:t>
      </w:r>
      <w:r>
        <w:rPr>
          <w:color w:val="231F20"/>
          <w:sz w:val="20"/>
        </w:rPr>
        <w:t>limited</w:t>
      </w:r>
      <w:r>
        <w:rPr>
          <w:color w:val="231F20"/>
          <w:spacing w:val="-8"/>
          <w:sz w:val="20"/>
        </w:rPr>
        <w:t xml:space="preserve"> </w:t>
      </w:r>
      <w:r>
        <w:rPr>
          <w:color w:val="231F20"/>
          <w:sz w:val="20"/>
        </w:rPr>
        <w:t>than</w:t>
      </w:r>
      <w:r>
        <w:rPr>
          <w:color w:val="231F20"/>
          <w:spacing w:val="-7"/>
          <w:sz w:val="20"/>
        </w:rPr>
        <w:t xml:space="preserve"> </w:t>
      </w:r>
      <w:r>
        <w:rPr>
          <w:color w:val="231F20"/>
          <w:sz w:val="20"/>
        </w:rPr>
        <w:t>what</w:t>
      </w:r>
      <w:r>
        <w:rPr>
          <w:color w:val="231F20"/>
          <w:spacing w:val="-8"/>
          <w:sz w:val="20"/>
        </w:rPr>
        <w:t xml:space="preserve"> </w:t>
      </w:r>
      <w:r>
        <w:rPr>
          <w:color w:val="231F20"/>
          <w:sz w:val="20"/>
        </w:rPr>
        <w:t>the</w:t>
      </w:r>
      <w:r>
        <w:rPr>
          <w:color w:val="231F20"/>
          <w:spacing w:val="-7"/>
          <w:sz w:val="20"/>
        </w:rPr>
        <w:t xml:space="preserve"> </w:t>
      </w:r>
      <w:r>
        <w:rPr>
          <w:color w:val="231F20"/>
          <w:spacing w:val="-4"/>
          <w:sz w:val="20"/>
        </w:rPr>
        <w:t xml:space="preserve">review </w:t>
      </w:r>
      <w:r>
        <w:rPr>
          <w:color w:val="231F20"/>
          <w:sz w:val="20"/>
        </w:rPr>
        <w:t xml:space="preserve">called </w:t>
      </w:r>
      <w:r>
        <w:rPr>
          <w:color w:val="231F20"/>
          <w:spacing w:val="-6"/>
          <w:sz w:val="20"/>
        </w:rPr>
        <w:t xml:space="preserve">for. We </w:t>
      </w:r>
      <w:r>
        <w:rPr>
          <w:color w:val="231F20"/>
          <w:sz w:val="20"/>
        </w:rPr>
        <w:t xml:space="preserve">discuss legal support in </w:t>
      </w:r>
      <w:r>
        <w:rPr>
          <w:color w:val="231F20"/>
          <w:spacing w:val="-3"/>
          <w:sz w:val="20"/>
        </w:rPr>
        <w:t>Chapter</w:t>
      </w:r>
      <w:r>
        <w:rPr>
          <w:color w:val="231F20"/>
          <w:spacing w:val="-22"/>
          <w:sz w:val="20"/>
        </w:rPr>
        <w:t xml:space="preserve"> </w:t>
      </w:r>
      <w:r>
        <w:rPr>
          <w:color w:val="231F20"/>
          <w:sz w:val="20"/>
        </w:rPr>
        <w:t>6.</w:t>
      </w:r>
    </w:p>
    <w:p w14:paraId="62587F16" w14:textId="77777777" w:rsidR="00894070" w:rsidRDefault="009B7AFD">
      <w:pPr>
        <w:pStyle w:val="ListParagraph"/>
        <w:numPr>
          <w:ilvl w:val="1"/>
          <w:numId w:val="126"/>
        </w:numPr>
        <w:tabs>
          <w:tab w:val="left" w:pos="1801"/>
          <w:tab w:val="left" w:pos="1802"/>
        </w:tabs>
        <w:spacing w:before="126" w:line="206" w:lineRule="auto"/>
        <w:ind w:right="1919"/>
        <w:rPr>
          <w:sz w:val="20"/>
        </w:rPr>
      </w:pPr>
      <w:r>
        <w:rPr>
          <w:color w:val="231F20"/>
          <w:spacing w:val="-6"/>
          <w:sz w:val="20"/>
        </w:rPr>
        <w:t xml:space="preserve">We </w:t>
      </w:r>
      <w:r>
        <w:rPr>
          <w:color w:val="231F20"/>
          <w:spacing w:val="-3"/>
          <w:sz w:val="20"/>
        </w:rPr>
        <w:t xml:space="preserve">received </w:t>
      </w:r>
      <w:r>
        <w:rPr>
          <w:color w:val="231F20"/>
          <w:sz w:val="20"/>
        </w:rPr>
        <w:t xml:space="preserve">submissions urging the Victorian </w:t>
      </w:r>
      <w:r>
        <w:rPr>
          <w:color w:val="231F20"/>
          <w:spacing w:val="-3"/>
          <w:sz w:val="20"/>
        </w:rPr>
        <w:t xml:space="preserve">Government </w:t>
      </w:r>
      <w:r>
        <w:rPr>
          <w:color w:val="231F20"/>
          <w:sz w:val="20"/>
        </w:rPr>
        <w:t xml:space="preserve">to implement the recommendations of the </w:t>
      </w:r>
      <w:r>
        <w:rPr>
          <w:color w:val="231F20"/>
          <w:spacing w:val="-4"/>
          <w:sz w:val="20"/>
        </w:rPr>
        <w:t>review.</w:t>
      </w:r>
      <w:r>
        <w:rPr>
          <w:color w:val="231F20"/>
          <w:spacing w:val="-4"/>
          <w:position w:val="7"/>
          <w:sz w:val="11"/>
        </w:rPr>
        <w:t xml:space="preserve">53 </w:t>
      </w:r>
      <w:r>
        <w:rPr>
          <w:color w:val="231F20"/>
          <w:sz w:val="20"/>
        </w:rPr>
        <w:t xml:space="preserve">The Victims of Crime Commissioner </w:t>
      </w:r>
      <w:r>
        <w:rPr>
          <w:color w:val="231F20"/>
          <w:spacing w:val="-3"/>
          <w:sz w:val="20"/>
        </w:rPr>
        <w:t xml:space="preserve">told </w:t>
      </w:r>
      <w:r>
        <w:rPr>
          <w:color w:val="231F20"/>
          <w:sz w:val="20"/>
        </w:rPr>
        <w:t>us that</w:t>
      </w:r>
      <w:r>
        <w:rPr>
          <w:color w:val="231F20"/>
          <w:spacing w:val="-9"/>
          <w:sz w:val="20"/>
        </w:rPr>
        <w:t xml:space="preserve"> </w:t>
      </w:r>
      <w:r>
        <w:rPr>
          <w:color w:val="231F20"/>
          <w:sz w:val="20"/>
        </w:rPr>
        <w:t>if</w:t>
      </w:r>
      <w:r>
        <w:rPr>
          <w:color w:val="231F20"/>
          <w:spacing w:val="-9"/>
          <w:sz w:val="20"/>
        </w:rPr>
        <w:t xml:space="preserve"> </w:t>
      </w:r>
      <w:r>
        <w:rPr>
          <w:color w:val="231F20"/>
          <w:sz w:val="20"/>
        </w:rPr>
        <w:t>these</w:t>
      </w:r>
      <w:r>
        <w:rPr>
          <w:color w:val="231F20"/>
          <w:spacing w:val="-9"/>
          <w:sz w:val="20"/>
        </w:rPr>
        <w:t xml:space="preserve"> </w:t>
      </w:r>
      <w:r>
        <w:rPr>
          <w:color w:val="231F20"/>
          <w:sz w:val="20"/>
        </w:rPr>
        <w:t>and</w:t>
      </w:r>
      <w:r>
        <w:rPr>
          <w:color w:val="231F20"/>
          <w:spacing w:val="-9"/>
          <w:sz w:val="20"/>
        </w:rPr>
        <w:t xml:space="preserve"> </w:t>
      </w:r>
      <w:r>
        <w:rPr>
          <w:color w:val="231F20"/>
          <w:sz w:val="20"/>
        </w:rPr>
        <w:t>the</w:t>
      </w:r>
      <w:r>
        <w:rPr>
          <w:color w:val="231F20"/>
          <w:spacing w:val="-9"/>
          <w:sz w:val="20"/>
        </w:rPr>
        <w:t xml:space="preserve"> </w:t>
      </w:r>
      <w:r>
        <w:rPr>
          <w:color w:val="231F20"/>
          <w:sz w:val="20"/>
        </w:rPr>
        <w:t>financial</w:t>
      </w:r>
      <w:r>
        <w:rPr>
          <w:color w:val="231F20"/>
          <w:spacing w:val="-9"/>
          <w:sz w:val="20"/>
        </w:rPr>
        <w:t xml:space="preserve"> </w:t>
      </w:r>
      <w:r>
        <w:rPr>
          <w:color w:val="231F20"/>
          <w:sz w:val="20"/>
        </w:rPr>
        <w:t>assistance</w:t>
      </w:r>
      <w:r>
        <w:rPr>
          <w:color w:val="231F20"/>
          <w:spacing w:val="-8"/>
          <w:sz w:val="20"/>
        </w:rPr>
        <w:t xml:space="preserve"> </w:t>
      </w:r>
      <w:r>
        <w:rPr>
          <w:color w:val="231F20"/>
          <w:sz w:val="20"/>
        </w:rPr>
        <w:t>scheme</w:t>
      </w:r>
      <w:r>
        <w:rPr>
          <w:color w:val="231F20"/>
          <w:spacing w:val="-9"/>
          <w:sz w:val="20"/>
        </w:rPr>
        <w:t xml:space="preserve"> </w:t>
      </w:r>
      <w:r>
        <w:rPr>
          <w:color w:val="231F20"/>
          <w:spacing w:val="-3"/>
          <w:sz w:val="20"/>
        </w:rPr>
        <w:t>reforms</w:t>
      </w:r>
      <w:r>
        <w:rPr>
          <w:color w:val="231F20"/>
          <w:spacing w:val="-9"/>
          <w:sz w:val="20"/>
        </w:rPr>
        <w:t xml:space="preserve"> </w:t>
      </w:r>
      <w:r>
        <w:rPr>
          <w:color w:val="231F20"/>
          <w:sz w:val="20"/>
        </w:rPr>
        <w:t>(discussed</w:t>
      </w:r>
      <w:r>
        <w:rPr>
          <w:color w:val="231F20"/>
          <w:spacing w:val="-9"/>
          <w:sz w:val="20"/>
        </w:rPr>
        <w:t xml:space="preserve"> </w:t>
      </w:r>
      <w:r>
        <w:rPr>
          <w:color w:val="231F20"/>
          <w:spacing w:val="-3"/>
          <w:sz w:val="20"/>
        </w:rPr>
        <w:t>later)</w:t>
      </w:r>
      <w:r>
        <w:rPr>
          <w:color w:val="231F20"/>
          <w:spacing w:val="-9"/>
          <w:sz w:val="20"/>
        </w:rPr>
        <w:t xml:space="preserve"> </w:t>
      </w:r>
      <w:r>
        <w:rPr>
          <w:color w:val="231F20"/>
          <w:spacing w:val="-4"/>
          <w:sz w:val="20"/>
        </w:rPr>
        <w:t>were</w:t>
      </w:r>
    </w:p>
    <w:p w14:paraId="78104FA6" w14:textId="77777777" w:rsidR="00894070" w:rsidRDefault="009B7AFD">
      <w:pPr>
        <w:pStyle w:val="BodyText"/>
        <w:spacing w:before="4" w:line="206" w:lineRule="auto"/>
        <w:ind w:left="1801" w:right="1110"/>
        <w:rPr>
          <w:sz w:val="11"/>
        </w:rPr>
      </w:pPr>
      <w:r>
        <w:rPr>
          <w:color w:val="231F20"/>
        </w:rPr>
        <w:t xml:space="preserve">implemented, they </w:t>
      </w:r>
      <w:r>
        <w:rPr>
          <w:color w:val="231F20"/>
          <w:spacing w:val="-3"/>
        </w:rPr>
        <w:t xml:space="preserve">would ‘undoubtedly </w:t>
      </w:r>
      <w:r>
        <w:rPr>
          <w:color w:val="231F20"/>
          <w:spacing w:val="-4"/>
        </w:rPr>
        <w:t xml:space="preserve">improve </w:t>
      </w:r>
      <w:r>
        <w:rPr>
          <w:color w:val="231F20"/>
        </w:rPr>
        <w:t xml:space="preserve">access to more </w:t>
      </w:r>
      <w:r>
        <w:rPr>
          <w:color w:val="231F20"/>
          <w:spacing w:val="-3"/>
        </w:rPr>
        <w:t xml:space="preserve">timely </w:t>
      </w:r>
      <w:r>
        <w:rPr>
          <w:color w:val="231F20"/>
        </w:rPr>
        <w:t xml:space="preserve">and </w:t>
      </w:r>
      <w:r>
        <w:rPr>
          <w:color w:val="231F20"/>
          <w:spacing w:val="-3"/>
        </w:rPr>
        <w:t xml:space="preserve">appropriate </w:t>
      </w:r>
      <w:r>
        <w:rPr>
          <w:color w:val="231F20"/>
        </w:rPr>
        <w:t xml:space="preserve">support </w:t>
      </w:r>
      <w:r>
        <w:rPr>
          <w:color w:val="231F20"/>
          <w:spacing w:val="-3"/>
        </w:rPr>
        <w:t xml:space="preserve">for </w:t>
      </w:r>
      <w:r>
        <w:rPr>
          <w:color w:val="231F20"/>
        </w:rPr>
        <w:t xml:space="preserve">victims of stalking, helping them stay </w:t>
      </w:r>
      <w:r>
        <w:rPr>
          <w:color w:val="231F20"/>
          <w:spacing w:val="-3"/>
        </w:rPr>
        <w:t xml:space="preserve">safe </w:t>
      </w:r>
      <w:r>
        <w:rPr>
          <w:color w:val="231F20"/>
        </w:rPr>
        <w:t xml:space="preserve">and assisting them in their </w:t>
      </w:r>
      <w:r>
        <w:rPr>
          <w:color w:val="231F20"/>
          <w:spacing w:val="-3"/>
        </w:rPr>
        <w:t>recovery process’.</w:t>
      </w:r>
      <w:r>
        <w:rPr>
          <w:color w:val="231F20"/>
          <w:spacing w:val="-3"/>
          <w:position w:val="7"/>
          <w:sz w:val="11"/>
        </w:rPr>
        <w:t>54</w:t>
      </w:r>
    </w:p>
    <w:p w14:paraId="24CC7949" w14:textId="77777777" w:rsidR="00894070" w:rsidRDefault="009B7AFD">
      <w:pPr>
        <w:pStyle w:val="ListParagraph"/>
        <w:numPr>
          <w:ilvl w:val="1"/>
          <w:numId w:val="126"/>
        </w:numPr>
        <w:tabs>
          <w:tab w:val="left" w:pos="1801"/>
          <w:tab w:val="left" w:pos="1802"/>
        </w:tabs>
        <w:spacing w:before="124" w:line="206" w:lineRule="auto"/>
        <w:ind w:right="1166"/>
        <w:rPr>
          <w:sz w:val="20"/>
        </w:rPr>
      </w:pPr>
      <w:r>
        <w:rPr>
          <w:color w:val="231F20"/>
          <w:sz w:val="20"/>
        </w:rPr>
        <w:t xml:space="preserve">In March </w:t>
      </w:r>
      <w:r>
        <w:rPr>
          <w:color w:val="231F20"/>
          <w:spacing w:val="-3"/>
          <w:sz w:val="20"/>
        </w:rPr>
        <w:t xml:space="preserve">2022, </w:t>
      </w:r>
      <w:r>
        <w:rPr>
          <w:color w:val="231F20"/>
          <w:sz w:val="20"/>
        </w:rPr>
        <w:t xml:space="preserve">the Legal and Social Issues Committee of the Victorian Parliament published its report, </w:t>
      </w:r>
      <w:r>
        <w:rPr>
          <w:i/>
          <w:color w:val="231F20"/>
          <w:sz w:val="20"/>
        </w:rPr>
        <w:t xml:space="preserve">Inquiry </w:t>
      </w:r>
      <w:r>
        <w:rPr>
          <w:i/>
          <w:color w:val="231F20"/>
          <w:spacing w:val="-3"/>
          <w:sz w:val="20"/>
        </w:rPr>
        <w:t xml:space="preserve">into Victoria’s </w:t>
      </w:r>
      <w:r>
        <w:rPr>
          <w:i/>
          <w:color w:val="231F20"/>
          <w:sz w:val="20"/>
        </w:rPr>
        <w:t xml:space="preserve">Criminal Justice </w:t>
      </w:r>
      <w:r>
        <w:rPr>
          <w:i/>
          <w:color w:val="231F20"/>
          <w:spacing w:val="-3"/>
          <w:sz w:val="20"/>
        </w:rPr>
        <w:t xml:space="preserve">System </w:t>
      </w:r>
      <w:r>
        <w:rPr>
          <w:color w:val="231F20"/>
          <w:sz w:val="20"/>
        </w:rPr>
        <w:t>(Criminal Justice Inquiry).</w:t>
      </w:r>
      <w:r>
        <w:rPr>
          <w:color w:val="231F20"/>
          <w:spacing w:val="-10"/>
          <w:sz w:val="20"/>
        </w:rPr>
        <w:t xml:space="preserve"> </w:t>
      </w:r>
      <w:r>
        <w:rPr>
          <w:color w:val="231F20"/>
          <w:sz w:val="20"/>
        </w:rPr>
        <w:t>It</w:t>
      </w:r>
      <w:r>
        <w:rPr>
          <w:color w:val="231F20"/>
          <w:spacing w:val="-9"/>
          <w:sz w:val="20"/>
        </w:rPr>
        <w:t xml:space="preserve"> </w:t>
      </w:r>
      <w:r>
        <w:rPr>
          <w:color w:val="231F20"/>
          <w:sz w:val="20"/>
        </w:rPr>
        <w:t>endorsed</w:t>
      </w:r>
      <w:r>
        <w:rPr>
          <w:color w:val="231F20"/>
          <w:spacing w:val="-9"/>
          <w:sz w:val="20"/>
        </w:rPr>
        <w:t xml:space="preserve"> </w:t>
      </w:r>
      <w:r>
        <w:rPr>
          <w:color w:val="231F20"/>
          <w:sz w:val="20"/>
        </w:rPr>
        <w:t>the</w:t>
      </w:r>
      <w:r>
        <w:rPr>
          <w:color w:val="231F20"/>
          <w:spacing w:val="-10"/>
          <w:sz w:val="20"/>
        </w:rPr>
        <w:t xml:space="preserve"> </w:t>
      </w:r>
      <w:r>
        <w:rPr>
          <w:color w:val="231F20"/>
          <w:sz w:val="20"/>
        </w:rPr>
        <w:t>model</w:t>
      </w:r>
      <w:r>
        <w:rPr>
          <w:color w:val="231F20"/>
          <w:spacing w:val="-9"/>
          <w:sz w:val="20"/>
        </w:rPr>
        <w:t xml:space="preserve"> </w:t>
      </w:r>
      <w:r>
        <w:rPr>
          <w:color w:val="231F20"/>
          <w:sz w:val="20"/>
        </w:rPr>
        <w:t>proposed</w:t>
      </w:r>
      <w:r>
        <w:rPr>
          <w:color w:val="231F20"/>
          <w:spacing w:val="-9"/>
          <w:sz w:val="20"/>
        </w:rPr>
        <w:t xml:space="preserve"> </w:t>
      </w:r>
      <w:r>
        <w:rPr>
          <w:color w:val="231F20"/>
          <w:sz w:val="20"/>
        </w:rPr>
        <w:t>in</w:t>
      </w:r>
      <w:r>
        <w:rPr>
          <w:color w:val="231F20"/>
          <w:spacing w:val="-10"/>
          <w:sz w:val="20"/>
        </w:rPr>
        <w:t xml:space="preserve"> </w:t>
      </w:r>
      <w:r>
        <w:rPr>
          <w:color w:val="231F20"/>
          <w:sz w:val="20"/>
        </w:rPr>
        <w:t>the</w:t>
      </w:r>
      <w:r>
        <w:rPr>
          <w:color w:val="231F20"/>
          <w:spacing w:val="-9"/>
          <w:sz w:val="20"/>
        </w:rPr>
        <w:t xml:space="preserve"> </w:t>
      </w:r>
      <w:r>
        <w:rPr>
          <w:color w:val="231F20"/>
          <w:sz w:val="20"/>
        </w:rPr>
        <w:t>CIJ</w:t>
      </w:r>
      <w:r>
        <w:rPr>
          <w:color w:val="231F20"/>
          <w:spacing w:val="-9"/>
          <w:sz w:val="20"/>
        </w:rPr>
        <w:t xml:space="preserve"> </w:t>
      </w:r>
      <w:r>
        <w:rPr>
          <w:color w:val="231F20"/>
          <w:spacing w:val="-3"/>
          <w:sz w:val="20"/>
        </w:rPr>
        <w:t>review</w:t>
      </w:r>
      <w:r>
        <w:rPr>
          <w:color w:val="231F20"/>
          <w:spacing w:val="-3"/>
          <w:position w:val="7"/>
          <w:sz w:val="11"/>
        </w:rPr>
        <w:t>55</w:t>
      </w:r>
      <w:r>
        <w:rPr>
          <w:color w:val="231F20"/>
          <w:spacing w:val="14"/>
          <w:position w:val="7"/>
          <w:sz w:val="11"/>
        </w:rPr>
        <w:t xml:space="preserve"> </w:t>
      </w:r>
      <w:r>
        <w:rPr>
          <w:color w:val="231F20"/>
          <w:sz w:val="20"/>
        </w:rPr>
        <w:t>and</w:t>
      </w:r>
      <w:r>
        <w:rPr>
          <w:color w:val="231F20"/>
          <w:spacing w:val="-9"/>
          <w:sz w:val="20"/>
        </w:rPr>
        <w:t xml:space="preserve"> </w:t>
      </w:r>
      <w:r>
        <w:rPr>
          <w:color w:val="231F20"/>
          <w:sz w:val="20"/>
        </w:rPr>
        <w:t>recommended</w:t>
      </w:r>
      <w:r>
        <w:rPr>
          <w:color w:val="231F20"/>
          <w:spacing w:val="-10"/>
          <w:sz w:val="20"/>
        </w:rPr>
        <w:t xml:space="preserve"> </w:t>
      </w:r>
      <w:r>
        <w:rPr>
          <w:color w:val="231F20"/>
          <w:sz w:val="20"/>
        </w:rPr>
        <w:t>that</w:t>
      </w:r>
      <w:r>
        <w:rPr>
          <w:color w:val="231F20"/>
          <w:spacing w:val="-9"/>
          <w:sz w:val="20"/>
        </w:rPr>
        <w:t xml:space="preserve"> </w:t>
      </w:r>
      <w:r>
        <w:rPr>
          <w:color w:val="231F20"/>
          <w:sz w:val="20"/>
        </w:rPr>
        <w:t>the Victorian</w:t>
      </w:r>
      <w:r>
        <w:rPr>
          <w:color w:val="231F20"/>
          <w:spacing w:val="-5"/>
          <w:sz w:val="20"/>
        </w:rPr>
        <w:t xml:space="preserve"> </w:t>
      </w:r>
      <w:r>
        <w:rPr>
          <w:color w:val="231F20"/>
          <w:sz w:val="20"/>
        </w:rPr>
        <w:t>Government:</w:t>
      </w:r>
    </w:p>
    <w:p w14:paraId="5355A13D" w14:textId="77777777" w:rsidR="00894070" w:rsidRDefault="009B7AFD">
      <w:pPr>
        <w:pStyle w:val="ListParagraph"/>
        <w:numPr>
          <w:ilvl w:val="2"/>
          <w:numId w:val="126"/>
        </w:numPr>
        <w:tabs>
          <w:tab w:val="left" w:pos="2141"/>
          <w:tab w:val="left" w:pos="2142"/>
        </w:tabs>
        <w:spacing w:before="93"/>
        <w:ind w:hanging="340"/>
        <w:rPr>
          <w:sz w:val="20"/>
        </w:rPr>
      </w:pPr>
      <w:r>
        <w:rPr>
          <w:color w:val="231F20"/>
          <w:sz w:val="20"/>
        </w:rPr>
        <w:t xml:space="preserve">fund </w:t>
      </w:r>
      <w:r>
        <w:rPr>
          <w:color w:val="231F20"/>
          <w:spacing w:val="-6"/>
          <w:sz w:val="20"/>
        </w:rPr>
        <w:t xml:space="preserve">VAP </w:t>
      </w:r>
      <w:r>
        <w:rPr>
          <w:color w:val="231F20"/>
          <w:sz w:val="20"/>
        </w:rPr>
        <w:t>to meet</w:t>
      </w:r>
      <w:r>
        <w:rPr>
          <w:color w:val="231F20"/>
          <w:spacing w:val="-11"/>
          <w:sz w:val="20"/>
        </w:rPr>
        <w:t xml:space="preserve"> </w:t>
      </w:r>
      <w:r>
        <w:rPr>
          <w:color w:val="231F20"/>
          <w:sz w:val="20"/>
        </w:rPr>
        <w:t>demand</w:t>
      </w:r>
    </w:p>
    <w:p w14:paraId="17177216" w14:textId="77777777" w:rsidR="00894070" w:rsidRDefault="009B7AFD">
      <w:pPr>
        <w:pStyle w:val="ListParagraph"/>
        <w:numPr>
          <w:ilvl w:val="2"/>
          <w:numId w:val="126"/>
        </w:numPr>
        <w:tabs>
          <w:tab w:val="left" w:pos="2141"/>
          <w:tab w:val="left" w:pos="2142"/>
        </w:tabs>
        <w:spacing w:before="47"/>
        <w:ind w:hanging="340"/>
        <w:rPr>
          <w:sz w:val="20"/>
        </w:rPr>
      </w:pPr>
      <w:r>
        <w:rPr>
          <w:color w:val="231F20"/>
          <w:sz w:val="20"/>
        </w:rPr>
        <w:t xml:space="preserve">expand service </w:t>
      </w:r>
      <w:r>
        <w:rPr>
          <w:color w:val="231F20"/>
          <w:spacing w:val="-3"/>
          <w:sz w:val="20"/>
        </w:rPr>
        <w:t xml:space="preserve">availability, </w:t>
      </w:r>
      <w:r>
        <w:rPr>
          <w:color w:val="231F20"/>
          <w:sz w:val="20"/>
        </w:rPr>
        <w:t>especially in regional and rural</w:t>
      </w:r>
      <w:r>
        <w:rPr>
          <w:color w:val="231F20"/>
          <w:spacing w:val="-37"/>
          <w:sz w:val="20"/>
        </w:rPr>
        <w:t xml:space="preserve"> </w:t>
      </w:r>
      <w:r>
        <w:rPr>
          <w:color w:val="231F20"/>
          <w:sz w:val="20"/>
        </w:rPr>
        <w:t>Victoria</w:t>
      </w:r>
    </w:p>
    <w:p w14:paraId="7980700F" w14:textId="77777777" w:rsidR="00894070" w:rsidRDefault="009B7AFD">
      <w:pPr>
        <w:pStyle w:val="ListParagraph"/>
        <w:numPr>
          <w:ilvl w:val="2"/>
          <w:numId w:val="126"/>
        </w:numPr>
        <w:tabs>
          <w:tab w:val="left" w:pos="2141"/>
          <w:tab w:val="left" w:pos="2142"/>
        </w:tabs>
        <w:spacing w:before="48" w:line="259" w:lineRule="exact"/>
        <w:ind w:hanging="340"/>
        <w:rPr>
          <w:sz w:val="20"/>
        </w:rPr>
      </w:pPr>
      <w:r>
        <w:rPr>
          <w:color w:val="231F20"/>
          <w:spacing w:val="-4"/>
          <w:sz w:val="20"/>
        </w:rPr>
        <w:t xml:space="preserve">improve </w:t>
      </w:r>
      <w:r>
        <w:rPr>
          <w:color w:val="231F20"/>
          <w:spacing w:val="-3"/>
          <w:sz w:val="20"/>
        </w:rPr>
        <w:t xml:space="preserve">accessibility, </w:t>
      </w:r>
      <w:r>
        <w:rPr>
          <w:color w:val="231F20"/>
          <w:sz w:val="20"/>
        </w:rPr>
        <w:t xml:space="preserve">including </w:t>
      </w:r>
      <w:r>
        <w:rPr>
          <w:color w:val="231F20"/>
          <w:spacing w:val="-3"/>
          <w:sz w:val="20"/>
        </w:rPr>
        <w:t xml:space="preserve">by </w:t>
      </w:r>
      <w:r>
        <w:rPr>
          <w:color w:val="231F20"/>
          <w:sz w:val="20"/>
        </w:rPr>
        <w:t xml:space="preserve">increasing </w:t>
      </w:r>
      <w:r>
        <w:rPr>
          <w:color w:val="231F20"/>
          <w:spacing w:val="-3"/>
          <w:sz w:val="20"/>
        </w:rPr>
        <w:t xml:space="preserve">culturally safe </w:t>
      </w:r>
      <w:r>
        <w:rPr>
          <w:color w:val="231F20"/>
          <w:sz w:val="20"/>
        </w:rPr>
        <w:t>services and</w:t>
      </w:r>
      <w:r>
        <w:rPr>
          <w:color w:val="231F20"/>
          <w:spacing w:val="-26"/>
          <w:sz w:val="20"/>
        </w:rPr>
        <w:t xml:space="preserve"> </w:t>
      </w:r>
      <w:r>
        <w:rPr>
          <w:color w:val="231F20"/>
          <w:sz w:val="20"/>
        </w:rPr>
        <w:t>more</w:t>
      </w:r>
    </w:p>
    <w:p w14:paraId="4F57E6E2" w14:textId="77777777" w:rsidR="00894070" w:rsidRDefault="009B7AFD">
      <w:pPr>
        <w:pStyle w:val="BodyText"/>
        <w:spacing w:line="259" w:lineRule="exact"/>
        <w:ind w:left="2141"/>
      </w:pPr>
      <w:r>
        <w:rPr>
          <w:color w:val="231F20"/>
        </w:rPr>
        <w:t>Koori Engagement Workers to support Aboriginal Victorians</w:t>
      </w:r>
    </w:p>
    <w:p w14:paraId="7A415A9E" w14:textId="77777777" w:rsidR="00894070" w:rsidRDefault="009B7AFD">
      <w:pPr>
        <w:pStyle w:val="ListParagraph"/>
        <w:numPr>
          <w:ilvl w:val="2"/>
          <w:numId w:val="126"/>
        </w:numPr>
        <w:tabs>
          <w:tab w:val="left" w:pos="2141"/>
          <w:tab w:val="left" w:pos="2142"/>
        </w:tabs>
        <w:spacing w:before="47"/>
        <w:ind w:hanging="340"/>
        <w:rPr>
          <w:sz w:val="20"/>
        </w:rPr>
      </w:pPr>
      <w:r>
        <w:rPr>
          <w:color w:val="231F20"/>
          <w:spacing w:val="-4"/>
          <w:sz w:val="20"/>
        </w:rPr>
        <w:t xml:space="preserve">improve </w:t>
      </w:r>
      <w:r>
        <w:rPr>
          <w:color w:val="231F20"/>
          <w:spacing w:val="-3"/>
          <w:sz w:val="20"/>
        </w:rPr>
        <w:t>referral</w:t>
      </w:r>
      <w:r>
        <w:rPr>
          <w:color w:val="231F20"/>
          <w:spacing w:val="-4"/>
          <w:sz w:val="20"/>
        </w:rPr>
        <w:t xml:space="preserve"> pathways</w:t>
      </w:r>
    </w:p>
    <w:p w14:paraId="383E5C88" w14:textId="77777777" w:rsidR="00894070" w:rsidRDefault="009B7AFD">
      <w:pPr>
        <w:pStyle w:val="ListParagraph"/>
        <w:numPr>
          <w:ilvl w:val="2"/>
          <w:numId w:val="126"/>
        </w:numPr>
        <w:tabs>
          <w:tab w:val="left" w:pos="2141"/>
          <w:tab w:val="left" w:pos="2142"/>
        </w:tabs>
        <w:spacing w:before="47" w:line="259" w:lineRule="exact"/>
        <w:ind w:hanging="340"/>
        <w:rPr>
          <w:sz w:val="20"/>
        </w:rPr>
      </w:pPr>
      <w:r>
        <w:rPr>
          <w:color w:val="231F20"/>
          <w:spacing w:val="-3"/>
          <w:sz w:val="20"/>
        </w:rPr>
        <w:t>give</w:t>
      </w:r>
      <w:r>
        <w:rPr>
          <w:color w:val="231F20"/>
          <w:spacing w:val="-6"/>
          <w:sz w:val="20"/>
        </w:rPr>
        <w:t xml:space="preserve"> </w:t>
      </w:r>
      <w:r>
        <w:rPr>
          <w:color w:val="231F20"/>
          <w:sz w:val="20"/>
        </w:rPr>
        <w:t>training</w:t>
      </w:r>
      <w:r>
        <w:rPr>
          <w:color w:val="231F20"/>
          <w:spacing w:val="-5"/>
          <w:sz w:val="20"/>
        </w:rPr>
        <w:t xml:space="preserve"> </w:t>
      </w:r>
      <w:r>
        <w:rPr>
          <w:color w:val="231F20"/>
          <w:sz w:val="20"/>
        </w:rPr>
        <w:t>and</w:t>
      </w:r>
      <w:r>
        <w:rPr>
          <w:color w:val="231F20"/>
          <w:spacing w:val="-5"/>
          <w:sz w:val="20"/>
        </w:rPr>
        <w:t xml:space="preserve"> </w:t>
      </w:r>
      <w:r>
        <w:rPr>
          <w:color w:val="231F20"/>
          <w:sz w:val="20"/>
        </w:rPr>
        <w:t>guidance</w:t>
      </w:r>
      <w:r>
        <w:rPr>
          <w:color w:val="231F20"/>
          <w:spacing w:val="-5"/>
          <w:sz w:val="20"/>
        </w:rPr>
        <w:t xml:space="preserve"> </w:t>
      </w:r>
      <w:r>
        <w:rPr>
          <w:color w:val="231F20"/>
          <w:sz w:val="20"/>
        </w:rPr>
        <w:t>to</w:t>
      </w:r>
      <w:r>
        <w:rPr>
          <w:color w:val="231F20"/>
          <w:spacing w:val="-5"/>
          <w:sz w:val="20"/>
        </w:rPr>
        <w:t xml:space="preserve"> </w:t>
      </w:r>
      <w:r>
        <w:rPr>
          <w:color w:val="231F20"/>
          <w:spacing w:val="-4"/>
          <w:sz w:val="20"/>
        </w:rPr>
        <w:t>key</w:t>
      </w:r>
      <w:r>
        <w:rPr>
          <w:color w:val="231F20"/>
          <w:spacing w:val="-5"/>
          <w:sz w:val="20"/>
        </w:rPr>
        <w:t xml:space="preserve"> </w:t>
      </w:r>
      <w:r>
        <w:rPr>
          <w:color w:val="231F20"/>
          <w:sz w:val="20"/>
        </w:rPr>
        <w:t>agencies</w:t>
      </w:r>
      <w:r>
        <w:rPr>
          <w:color w:val="231F20"/>
          <w:spacing w:val="-5"/>
          <w:sz w:val="20"/>
        </w:rPr>
        <w:t xml:space="preserve"> </w:t>
      </w:r>
      <w:r>
        <w:rPr>
          <w:color w:val="231F20"/>
          <w:sz w:val="20"/>
        </w:rPr>
        <w:t>on</w:t>
      </w:r>
      <w:r>
        <w:rPr>
          <w:color w:val="231F20"/>
          <w:spacing w:val="-5"/>
          <w:sz w:val="20"/>
        </w:rPr>
        <w:t xml:space="preserve"> </w:t>
      </w:r>
      <w:r>
        <w:rPr>
          <w:color w:val="231F20"/>
          <w:spacing w:val="-3"/>
          <w:sz w:val="20"/>
        </w:rPr>
        <w:t>referring</w:t>
      </w:r>
      <w:r>
        <w:rPr>
          <w:color w:val="231F20"/>
          <w:spacing w:val="-5"/>
          <w:sz w:val="20"/>
        </w:rPr>
        <w:t xml:space="preserve"> </w:t>
      </w:r>
      <w:r>
        <w:rPr>
          <w:color w:val="231F20"/>
          <w:sz w:val="20"/>
        </w:rPr>
        <w:t>victims</w:t>
      </w:r>
      <w:r>
        <w:rPr>
          <w:color w:val="231F20"/>
          <w:spacing w:val="-5"/>
          <w:sz w:val="20"/>
        </w:rPr>
        <w:t xml:space="preserve"> </w:t>
      </w:r>
      <w:r>
        <w:rPr>
          <w:color w:val="231F20"/>
          <w:sz w:val="20"/>
        </w:rPr>
        <w:t>of</w:t>
      </w:r>
      <w:r>
        <w:rPr>
          <w:color w:val="231F20"/>
          <w:spacing w:val="-5"/>
          <w:sz w:val="20"/>
        </w:rPr>
        <w:t xml:space="preserve"> </w:t>
      </w:r>
      <w:r>
        <w:rPr>
          <w:color w:val="231F20"/>
          <w:sz w:val="20"/>
        </w:rPr>
        <w:t>crime</w:t>
      </w:r>
      <w:r>
        <w:rPr>
          <w:color w:val="231F20"/>
          <w:spacing w:val="-6"/>
          <w:sz w:val="20"/>
        </w:rPr>
        <w:t xml:space="preserve"> </w:t>
      </w:r>
      <w:r>
        <w:rPr>
          <w:color w:val="231F20"/>
          <w:sz w:val="20"/>
        </w:rPr>
        <w:t>to</w:t>
      </w:r>
      <w:r>
        <w:rPr>
          <w:color w:val="231F20"/>
          <w:spacing w:val="-5"/>
          <w:sz w:val="20"/>
        </w:rPr>
        <w:t xml:space="preserve"> </w:t>
      </w:r>
      <w:r>
        <w:rPr>
          <w:color w:val="231F20"/>
          <w:spacing w:val="-6"/>
          <w:sz w:val="20"/>
        </w:rPr>
        <w:t>VAP</w:t>
      </w:r>
    </w:p>
    <w:p w14:paraId="4B708E12" w14:textId="77777777" w:rsidR="00894070" w:rsidRDefault="009B7AFD">
      <w:pPr>
        <w:spacing w:line="259" w:lineRule="exact"/>
        <w:ind w:left="2141"/>
        <w:rPr>
          <w:sz w:val="11"/>
        </w:rPr>
      </w:pPr>
      <w:r>
        <w:rPr>
          <w:color w:val="231F20"/>
          <w:sz w:val="20"/>
        </w:rPr>
        <w:t>sooner.</w:t>
      </w:r>
      <w:r>
        <w:rPr>
          <w:color w:val="231F20"/>
          <w:position w:val="7"/>
          <w:sz w:val="11"/>
        </w:rPr>
        <w:t>56</w:t>
      </w:r>
    </w:p>
    <w:p w14:paraId="38071903" w14:textId="77777777" w:rsidR="00894070" w:rsidRDefault="009B7AFD">
      <w:pPr>
        <w:pStyle w:val="ListParagraph"/>
        <w:numPr>
          <w:ilvl w:val="1"/>
          <w:numId w:val="126"/>
        </w:numPr>
        <w:tabs>
          <w:tab w:val="left" w:pos="1801"/>
          <w:tab w:val="left" w:pos="1802"/>
        </w:tabs>
        <w:spacing w:before="80" w:line="206" w:lineRule="auto"/>
        <w:ind w:right="1527"/>
        <w:rPr>
          <w:sz w:val="11"/>
        </w:rPr>
      </w:pPr>
      <w:r>
        <w:rPr>
          <w:color w:val="231F20"/>
          <w:sz w:val="20"/>
        </w:rPr>
        <w:t xml:space="preserve">The Victorian </w:t>
      </w:r>
      <w:r>
        <w:rPr>
          <w:color w:val="231F20"/>
          <w:spacing w:val="-3"/>
          <w:sz w:val="20"/>
        </w:rPr>
        <w:t xml:space="preserve">Government </w:t>
      </w:r>
      <w:r>
        <w:rPr>
          <w:color w:val="231F20"/>
          <w:sz w:val="20"/>
        </w:rPr>
        <w:t xml:space="preserve">is </w:t>
      </w:r>
      <w:r>
        <w:rPr>
          <w:color w:val="231F20"/>
          <w:spacing w:val="-3"/>
          <w:sz w:val="20"/>
        </w:rPr>
        <w:t xml:space="preserve">developing </w:t>
      </w:r>
      <w:r>
        <w:rPr>
          <w:color w:val="231F20"/>
          <w:sz w:val="20"/>
        </w:rPr>
        <w:t>a dedicated Aboriginal victims of crime strategy</w:t>
      </w:r>
      <w:r>
        <w:rPr>
          <w:color w:val="231F20"/>
          <w:spacing w:val="-7"/>
          <w:sz w:val="20"/>
        </w:rPr>
        <w:t xml:space="preserve"> </w:t>
      </w:r>
      <w:r>
        <w:rPr>
          <w:color w:val="231F20"/>
          <w:sz w:val="20"/>
        </w:rPr>
        <w:t>and</w:t>
      </w:r>
      <w:r>
        <w:rPr>
          <w:color w:val="231F20"/>
          <w:spacing w:val="-7"/>
          <w:sz w:val="20"/>
        </w:rPr>
        <w:t xml:space="preserve"> </w:t>
      </w:r>
      <w:r>
        <w:rPr>
          <w:color w:val="231F20"/>
          <w:sz w:val="20"/>
        </w:rPr>
        <w:t>working</w:t>
      </w:r>
      <w:r>
        <w:rPr>
          <w:color w:val="231F20"/>
          <w:spacing w:val="-6"/>
          <w:sz w:val="20"/>
        </w:rPr>
        <w:t xml:space="preserve"> </w:t>
      </w:r>
      <w:r>
        <w:rPr>
          <w:color w:val="231F20"/>
          <w:sz w:val="20"/>
        </w:rPr>
        <w:t>on</w:t>
      </w:r>
      <w:r>
        <w:rPr>
          <w:color w:val="231F20"/>
          <w:spacing w:val="-7"/>
          <w:sz w:val="20"/>
        </w:rPr>
        <w:t xml:space="preserve"> </w:t>
      </w:r>
      <w:r>
        <w:rPr>
          <w:color w:val="231F20"/>
          <w:spacing w:val="-3"/>
          <w:sz w:val="20"/>
        </w:rPr>
        <w:t>safe</w:t>
      </w:r>
      <w:r>
        <w:rPr>
          <w:color w:val="231F20"/>
          <w:spacing w:val="-6"/>
          <w:sz w:val="20"/>
        </w:rPr>
        <w:t xml:space="preserve"> </w:t>
      </w:r>
      <w:r>
        <w:rPr>
          <w:color w:val="231F20"/>
          <w:sz w:val="20"/>
        </w:rPr>
        <w:t>and</w:t>
      </w:r>
      <w:r>
        <w:rPr>
          <w:color w:val="231F20"/>
          <w:spacing w:val="-7"/>
          <w:sz w:val="20"/>
        </w:rPr>
        <w:t xml:space="preserve"> </w:t>
      </w:r>
      <w:r>
        <w:rPr>
          <w:color w:val="231F20"/>
          <w:spacing w:val="-3"/>
          <w:sz w:val="20"/>
        </w:rPr>
        <w:t>inclusive</w:t>
      </w:r>
      <w:r>
        <w:rPr>
          <w:color w:val="231F20"/>
          <w:spacing w:val="-7"/>
          <w:sz w:val="20"/>
        </w:rPr>
        <w:t xml:space="preserve"> </w:t>
      </w:r>
      <w:r>
        <w:rPr>
          <w:color w:val="231F20"/>
          <w:sz w:val="20"/>
        </w:rPr>
        <w:t>services</w:t>
      </w:r>
      <w:r>
        <w:rPr>
          <w:color w:val="231F20"/>
          <w:spacing w:val="-6"/>
          <w:sz w:val="20"/>
        </w:rPr>
        <w:t xml:space="preserve"> </w:t>
      </w:r>
      <w:r>
        <w:rPr>
          <w:color w:val="231F20"/>
          <w:spacing w:val="-3"/>
          <w:sz w:val="20"/>
        </w:rPr>
        <w:t>for</w:t>
      </w:r>
      <w:r>
        <w:rPr>
          <w:color w:val="231F20"/>
          <w:spacing w:val="-7"/>
          <w:sz w:val="20"/>
        </w:rPr>
        <w:t xml:space="preserve"> </w:t>
      </w:r>
      <w:r>
        <w:rPr>
          <w:color w:val="231F20"/>
          <w:spacing w:val="-4"/>
          <w:sz w:val="20"/>
        </w:rPr>
        <w:t>LGBTIQA+</w:t>
      </w:r>
      <w:r>
        <w:rPr>
          <w:color w:val="231F20"/>
          <w:spacing w:val="-6"/>
          <w:sz w:val="20"/>
        </w:rPr>
        <w:t xml:space="preserve"> </w:t>
      </w:r>
      <w:r>
        <w:rPr>
          <w:color w:val="231F20"/>
          <w:sz w:val="20"/>
        </w:rPr>
        <w:t>victims</w:t>
      </w:r>
      <w:r>
        <w:rPr>
          <w:color w:val="231F20"/>
          <w:spacing w:val="-7"/>
          <w:sz w:val="20"/>
        </w:rPr>
        <w:t xml:space="preserve"> </w:t>
      </w:r>
      <w:r>
        <w:rPr>
          <w:color w:val="231F20"/>
          <w:sz w:val="20"/>
        </w:rPr>
        <w:t>of</w:t>
      </w:r>
      <w:r>
        <w:rPr>
          <w:color w:val="231F20"/>
          <w:spacing w:val="-7"/>
          <w:sz w:val="20"/>
        </w:rPr>
        <w:t xml:space="preserve"> </w:t>
      </w:r>
      <w:r>
        <w:rPr>
          <w:color w:val="231F20"/>
          <w:sz w:val="20"/>
        </w:rPr>
        <w:t>crime.</w:t>
      </w:r>
      <w:r>
        <w:rPr>
          <w:color w:val="231F20"/>
          <w:position w:val="7"/>
          <w:sz w:val="11"/>
        </w:rPr>
        <w:t>57</w:t>
      </w:r>
    </w:p>
    <w:p w14:paraId="03576514" w14:textId="77777777" w:rsidR="00894070" w:rsidRDefault="00894070">
      <w:pPr>
        <w:pStyle w:val="BodyText"/>
        <w:spacing w:before="9"/>
        <w:rPr>
          <w:sz w:val="15"/>
        </w:rPr>
      </w:pPr>
    </w:p>
    <w:p w14:paraId="4ACD73B3" w14:textId="77777777" w:rsidR="00894070" w:rsidRDefault="009B7AFD">
      <w:pPr>
        <w:pStyle w:val="Heading8"/>
        <w:spacing w:line="317" w:lineRule="exact"/>
        <w:ind w:left="1007"/>
      </w:pPr>
      <w:r>
        <w:rPr>
          <w:color w:val="231F20"/>
        </w:rPr>
        <w:t>The financial assistance scheme for victims of crime is the subject of</w:t>
      </w:r>
    </w:p>
    <w:p w14:paraId="46DC8626" w14:textId="77777777" w:rsidR="00894070" w:rsidRDefault="009B7AFD">
      <w:pPr>
        <w:pStyle w:val="Heading8"/>
        <w:spacing w:line="317" w:lineRule="exact"/>
        <w:ind w:left="1007"/>
      </w:pPr>
      <w:r>
        <w:rPr>
          <w:color w:val="231F20"/>
        </w:rPr>
        <w:t>current reforms</w:t>
      </w:r>
    </w:p>
    <w:p w14:paraId="15133DC5" w14:textId="77777777" w:rsidR="00894070" w:rsidRDefault="009B7AFD">
      <w:pPr>
        <w:pStyle w:val="ListParagraph"/>
        <w:numPr>
          <w:ilvl w:val="1"/>
          <w:numId w:val="126"/>
        </w:numPr>
        <w:tabs>
          <w:tab w:val="left" w:pos="1801"/>
          <w:tab w:val="left" w:pos="1802"/>
        </w:tabs>
        <w:spacing w:before="128" w:line="206" w:lineRule="auto"/>
        <w:ind w:right="1348"/>
        <w:rPr>
          <w:sz w:val="20"/>
        </w:rPr>
      </w:pPr>
      <w:r>
        <w:rPr>
          <w:color w:val="231F20"/>
          <w:sz w:val="20"/>
        </w:rPr>
        <w:t>On</w:t>
      </w:r>
      <w:r>
        <w:rPr>
          <w:color w:val="231F20"/>
          <w:spacing w:val="-6"/>
          <w:sz w:val="20"/>
        </w:rPr>
        <w:t xml:space="preserve"> </w:t>
      </w:r>
      <w:r>
        <w:rPr>
          <w:color w:val="231F20"/>
          <w:sz w:val="20"/>
        </w:rPr>
        <w:t>6</w:t>
      </w:r>
      <w:r>
        <w:rPr>
          <w:color w:val="231F20"/>
          <w:spacing w:val="-5"/>
          <w:sz w:val="20"/>
        </w:rPr>
        <w:t xml:space="preserve"> </w:t>
      </w:r>
      <w:r>
        <w:rPr>
          <w:color w:val="231F20"/>
          <w:sz w:val="20"/>
        </w:rPr>
        <w:t>April</w:t>
      </w:r>
      <w:r>
        <w:rPr>
          <w:color w:val="231F20"/>
          <w:spacing w:val="-5"/>
          <w:sz w:val="20"/>
        </w:rPr>
        <w:t xml:space="preserve"> </w:t>
      </w:r>
      <w:r>
        <w:rPr>
          <w:color w:val="231F20"/>
          <w:spacing w:val="-3"/>
          <w:sz w:val="20"/>
        </w:rPr>
        <w:t>2022,</w:t>
      </w:r>
      <w:r>
        <w:rPr>
          <w:color w:val="231F20"/>
          <w:spacing w:val="-6"/>
          <w:sz w:val="20"/>
        </w:rPr>
        <w:t xml:space="preserve"> </w:t>
      </w:r>
      <w:r>
        <w:rPr>
          <w:color w:val="231F20"/>
          <w:sz w:val="20"/>
        </w:rPr>
        <w:t>the</w:t>
      </w:r>
      <w:r>
        <w:rPr>
          <w:color w:val="231F20"/>
          <w:spacing w:val="-5"/>
          <w:sz w:val="20"/>
        </w:rPr>
        <w:t xml:space="preserve"> </w:t>
      </w:r>
      <w:r>
        <w:rPr>
          <w:color w:val="231F20"/>
          <w:sz w:val="20"/>
        </w:rPr>
        <w:t>Victorian</w:t>
      </w:r>
      <w:r>
        <w:rPr>
          <w:color w:val="231F20"/>
          <w:spacing w:val="-5"/>
          <w:sz w:val="20"/>
        </w:rPr>
        <w:t xml:space="preserve"> </w:t>
      </w:r>
      <w:r>
        <w:rPr>
          <w:color w:val="231F20"/>
          <w:spacing w:val="-3"/>
          <w:sz w:val="20"/>
        </w:rPr>
        <w:t>Government</w:t>
      </w:r>
      <w:r>
        <w:rPr>
          <w:color w:val="231F20"/>
          <w:spacing w:val="-6"/>
          <w:sz w:val="20"/>
        </w:rPr>
        <w:t xml:space="preserve"> </w:t>
      </w:r>
      <w:r>
        <w:rPr>
          <w:color w:val="231F20"/>
          <w:spacing w:val="-3"/>
          <w:sz w:val="20"/>
        </w:rPr>
        <w:t>introduced</w:t>
      </w:r>
      <w:r>
        <w:rPr>
          <w:color w:val="231F20"/>
          <w:spacing w:val="-5"/>
          <w:sz w:val="20"/>
        </w:rPr>
        <w:t xml:space="preserve"> </w:t>
      </w:r>
      <w:r>
        <w:rPr>
          <w:color w:val="231F20"/>
          <w:spacing w:val="-3"/>
          <w:sz w:val="20"/>
        </w:rPr>
        <w:t>laws</w:t>
      </w:r>
      <w:r>
        <w:rPr>
          <w:color w:val="231F20"/>
          <w:spacing w:val="-5"/>
          <w:sz w:val="20"/>
        </w:rPr>
        <w:t xml:space="preserve"> </w:t>
      </w:r>
      <w:r>
        <w:rPr>
          <w:color w:val="231F20"/>
          <w:spacing w:val="-3"/>
          <w:sz w:val="20"/>
        </w:rPr>
        <w:t>into</w:t>
      </w:r>
      <w:r>
        <w:rPr>
          <w:color w:val="231F20"/>
          <w:spacing w:val="-6"/>
          <w:sz w:val="20"/>
        </w:rPr>
        <w:t xml:space="preserve"> </w:t>
      </w:r>
      <w:r>
        <w:rPr>
          <w:color w:val="231F20"/>
          <w:sz w:val="20"/>
        </w:rPr>
        <w:t>Parliament</w:t>
      </w:r>
      <w:r>
        <w:rPr>
          <w:color w:val="231F20"/>
          <w:spacing w:val="-5"/>
          <w:sz w:val="20"/>
        </w:rPr>
        <w:t xml:space="preserve"> </w:t>
      </w:r>
      <w:r>
        <w:rPr>
          <w:color w:val="231F20"/>
          <w:sz w:val="20"/>
        </w:rPr>
        <w:t>to</w:t>
      </w:r>
      <w:r>
        <w:rPr>
          <w:color w:val="231F20"/>
          <w:spacing w:val="-5"/>
          <w:sz w:val="20"/>
        </w:rPr>
        <w:t xml:space="preserve"> </w:t>
      </w:r>
      <w:r>
        <w:rPr>
          <w:color w:val="231F20"/>
          <w:sz w:val="20"/>
        </w:rPr>
        <w:t>set</w:t>
      </w:r>
      <w:r>
        <w:rPr>
          <w:color w:val="231F20"/>
          <w:spacing w:val="-6"/>
          <w:sz w:val="20"/>
        </w:rPr>
        <w:t xml:space="preserve"> </w:t>
      </w:r>
      <w:r>
        <w:rPr>
          <w:color w:val="231F20"/>
          <w:sz w:val="20"/>
        </w:rPr>
        <w:t>up</w:t>
      </w:r>
      <w:r>
        <w:rPr>
          <w:color w:val="231F20"/>
          <w:spacing w:val="-5"/>
          <w:sz w:val="20"/>
        </w:rPr>
        <w:t xml:space="preserve"> </w:t>
      </w:r>
      <w:r>
        <w:rPr>
          <w:color w:val="231F20"/>
          <w:sz w:val="20"/>
        </w:rPr>
        <w:t>a new</w:t>
      </w:r>
      <w:r>
        <w:rPr>
          <w:color w:val="231F20"/>
          <w:spacing w:val="-11"/>
          <w:sz w:val="20"/>
        </w:rPr>
        <w:t xml:space="preserve"> </w:t>
      </w:r>
      <w:r>
        <w:rPr>
          <w:color w:val="231F20"/>
          <w:sz w:val="20"/>
        </w:rPr>
        <w:t>financial</w:t>
      </w:r>
      <w:r>
        <w:rPr>
          <w:color w:val="231F20"/>
          <w:spacing w:val="-11"/>
          <w:sz w:val="20"/>
        </w:rPr>
        <w:t xml:space="preserve"> </w:t>
      </w:r>
      <w:r>
        <w:rPr>
          <w:color w:val="231F20"/>
          <w:sz w:val="20"/>
        </w:rPr>
        <w:t>assistance</w:t>
      </w:r>
      <w:r>
        <w:rPr>
          <w:color w:val="231F20"/>
          <w:spacing w:val="-11"/>
          <w:sz w:val="20"/>
        </w:rPr>
        <w:t xml:space="preserve"> </w:t>
      </w:r>
      <w:r>
        <w:rPr>
          <w:color w:val="231F20"/>
          <w:sz w:val="20"/>
        </w:rPr>
        <w:t>scheme</w:t>
      </w:r>
      <w:r>
        <w:rPr>
          <w:color w:val="231F20"/>
          <w:spacing w:val="-11"/>
          <w:sz w:val="20"/>
        </w:rPr>
        <w:t xml:space="preserve"> </w:t>
      </w:r>
      <w:r>
        <w:rPr>
          <w:color w:val="231F20"/>
          <w:spacing w:val="-3"/>
          <w:sz w:val="20"/>
        </w:rPr>
        <w:t>for</w:t>
      </w:r>
      <w:r>
        <w:rPr>
          <w:color w:val="231F20"/>
          <w:spacing w:val="-10"/>
          <w:sz w:val="20"/>
        </w:rPr>
        <w:t xml:space="preserve"> </w:t>
      </w:r>
      <w:r>
        <w:rPr>
          <w:color w:val="231F20"/>
          <w:sz w:val="20"/>
        </w:rPr>
        <w:t>victims</w:t>
      </w:r>
      <w:r>
        <w:rPr>
          <w:color w:val="231F20"/>
          <w:spacing w:val="-11"/>
          <w:sz w:val="20"/>
        </w:rPr>
        <w:t xml:space="preserve"> </w:t>
      </w:r>
      <w:r>
        <w:rPr>
          <w:color w:val="231F20"/>
          <w:sz w:val="20"/>
        </w:rPr>
        <w:t>of</w:t>
      </w:r>
      <w:r>
        <w:rPr>
          <w:color w:val="231F20"/>
          <w:spacing w:val="-11"/>
          <w:sz w:val="20"/>
        </w:rPr>
        <w:t xml:space="preserve"> </w:t>
      </w:r>
      <w:r>
        <w:rPr>
          <w:color w:val="231F20"/>
          <w:sz w:val="20"/>
        </w:rPr>
        <w:t>crime.</w:t>
      </w:r>
      <w:r>
        <w:rPr>
          <w:color w:val="231F20"/>
          <w:spacing w:val="-11"/>
          <w:sz w:val="20"/>
        </w:rPr>
        <w:t xml:space="preserve"> </w:t>
      </w:r>
      <w:r>
        <w:rPr>
          <w:color w:val="231F20"/>
          <w:sz w:val="20"/>
        </w:rPr>
        <w:t>The</w:t>
      </w:r>
      <w:r>
        <w:rPr>
          <w:color w:val="231F20"/>
          <w:spacing w:val="-10"/>
          <w:sz w:val="20"/>
        </w:rPr>
        <w:t xml:space="preserve"> </w:t>
      </w:r>
      <w:r>
        <w:rPr>
          <w:color w:val="231F20"/>
          <w:sz w:val="20"/>
        </w:rPr>
        <w:t>Victims</w:t>
      </w:r>
      <w:r>
        <w:rPr>
          <w:color w:val="231F20"/>
          <w:spacing w:val="-11"/>
          <w:sz w:val="20"/>
        </w:rPr>
        <w:t xml:space="preserve"> </w:t>
      </w:r>
      <w:r>
        <w:rPr>
          <w:color w:val="231F20"/>
          <w:sz w:val="20"/>
        </w:rPr>
        <w:t>of</w:t>
      </w:r>
      <w:r>
        <w:rPr>
          <w:color w:val="231F20"/>
          <w:spacing w:val="-11"/>
          <w:sz w:val="20"/>
        </w:rPr>
        <w:t xml:space="preserve"> </w:t>
      </w:r>
      <w:r>
        <w:rPr>
          <w:color w:val="231F20"/>
          <w:sz w:val="20"/>
        </w:rPr>
        <w:t>Crime</w:t>
      </w:r>
      <w:r>
        <w:rPr>
          <w:color w:val="231F20"/>
          <w:spacing w:val="-11"/>
          <w:sz w:val="20"/>
        </w:rPr>
        <w:t xml:space="preserve"> </w:t>
      </w:r>
      <w:r>
        <w:rPr>
          <w:color w:val="231F20"/>
          <w:sz w:val="20"/>
        </w:rPr>
        <w:t>(Financial Assistance</w:t>
      </w:r>
      <w:r>
        <w:rPr>
          <w:color w:val="231F20"/>
          <w:spacing w:val="-10"/>
          <w:sz w:val="20"/>
        </w:rPr>
        <w:t xml:space="preserve"> </w:t>
      </w:r>
      <w:r>
        <w:rPr>
          <w:color w:val="231F20"/>
          <w:sz w:val="20"/>
        </w:rPr>
        <w:t>Scheme)</w:t>
      </w:r>
      <w:r>
        <w:rPr>
          <w:color w:val="231F20"/>
          <w:spacing w:val="-10"/>
          <w:sz w:val="20"/>
        </w:rPr>
        <w:t xml:space="preserve"> </w:t>
      </w:r>
      <w:r>
        <w:rPr>
          <w:color w:val="231F20"/>
          <w:sz w:val="20"/>
        </w:rPr>
        <w:t>Bill</w:t>
      </w:r>
      <w:r>
        <w:rPr>
          <w:color w:val="231F20"/>
          <w:spacing w:val="-10"/>
          <w:sz w:val="20"/>
        </w:rPr>
        <w:t xml:space="preserve"> </w:t>
      </w:r>
      <w:r>
        <w:rPr>
          <w:color w:val="231F20"/>
          <w:spacing w:val="-3"/>
          <w:sz w:val="20"/>
        </w:rPr>
        <w:t>2022,</w:t>
      </w:r>
      <w:r>
        <w:rPr>
          <w:color w:val="231F20"/>
          <w:spacing w:val="-9"/>
          <w:sz w:val="20"/>
        </w:rPr>
        <w:t xml:space="preserve"> </w:t>
      </w:r>
      <w:r>
        <w:rPr>
          <w:color w:val="231F20"/>
          <w:sz w:val="20"/>
        </w:rPr>
        <w:t>when</w:t>
      </w:r>
      <w:r>
        <w:rPr>
          <w:color w:val="231F20"/>
          <w:spacing w:val="-10"/>
          <w:sz w:val="20"/>
        </w:rPr>
        <w:t xml:space="preserve"> </w:t>
      </w:r>
      <w:r>
        <w:rPr>
          <w:color w:val="231F20"/>
          <w:sz w:val="20"/>
        </w:rPr>
        <w:t>enacted,</w:t>
      </w:r>
      <w:r>
        <w:rPr>
          <w:color w:val="231F20"/>
          <w:spacing w:val="-10"/>
          <w:sz w:val="20"/>
        </w:rPr>
        <w:t xml:space="preserve"> </w:t>
      </w:r>
      <w:r>
        <w:rPr>
          <w:color w:val="231F20"/>
          <w:sz w:val="20"/>
        </w:rPr>
        <w:t>will</w:t>
      </w:r>
      <w:r>
        <w:rPr>
          <w:color w:val="231F20"/>
          <w:spacing w:val="-9"/>
          <w:sz w:val="20"/>
        </w:rPr>
        <w:t xml:space="preserve"> </w:t>
      </w:r>
      <w:r>
        <w:rPr>
          <w:color w:val="231F20"/>
          <w:sz w:val="20"/>
        </w:rPr>
        <w:t>see</w:t>
      </w:r>
      <w:r>
        <w:rPr>
          <w:color w:val="231F20"/>
          <w:spacing w:val="-10"/>
          <w:sz w:val="20"/>
        </w:rPr>
        <w:t xml:space="preserve"> </w:t>
      </w:r>
      <w:r>
        <w:rPr>
          <w:color w:val="231F20"/>
          <w:sz w:val="20"/>
        </w:rPr>
        <w:t>the</w:t>
      </w:r>
      <w:r>
        <w:rPr>
          <w:color w:val="231F20"/>
          <w:spacing w:val="-10"/>
          <w:sz w:val="20"/>
        </w:rPr>
        <w:t xml:space="preserve"> </w:t>
      </w:r>
      <w:r>
        <w:rPr>
          <w:color w:val="231F20"/>
          <w:sz w:val="20"/>
        </w:rPr>
        <w:t>Victims</w:t>
      </w:r>
      <w:r>
        <w:rPr>
          <w:color w:val="231F20"/>
          <w:spacing w:val="-9"/>
          <w:sz w:val="20"/>
        </w:rPr>
        <w:t xml:space="preserve"> </w:t>
      </w:r>
      <w:r>
        <w:rPr>
          <w:color w:val="231F20"/>
          <w:sz w:val="20"/>
        </w:rPr>
        <w:t>of</w:t>
      </w:r>
      <w:r>
        <w:rPr>
          <w:color w:val="231F20"/>
          <w:spacing w:val="-10"/>
          <w:sz w:val="20"/>
        </w:rPr>
        <w:t xml:space="preserve"> </w:t>
      </w:r>
      <w:r>
        <w:rPr>
          <w:color w:val="231F20"/>
          <w:sz w:val="20"/>
        </w:rPr>
        <w:t>Crime</w:t>
      </w:r>
      <w:r>
        <w:rPr>
          <w:color w:val="231F20"/>
          <w:spacing w:val="-10"/>
          <w:sz w:val="20"/>
        </w:rPr>
        <w:t xml:space="preserve"> </w:t>
      </w:r>
      <w:r>
        <w:rPr>
          <w:color w:val="231F20"/>
          <w:sz w:val="20"/>
        </w:rPr>
        <w:t xml:space="preserve">Assistance </w:t>
      </w:r>
      <w:r>
        <w:rPr>
          <w:color w:val="231F20"/>
          <w:spacing w:val="-4"/>
          <w:sz w:val="20"/>
        </w:rPr>
        <w:t xml:space="preserve">Tribunal (VOCAT) </w:t>
      </w:r>
      <w:r>
        <w:rPr>
          <w:color w:val="231F20"/>
          <w:sz w:val="20"/>
        </w:rPr>
        <w:t>replaced with an administrative Financial Assistance Scheme built around the needs of</w:t>
      </w:r>
      <w:r>
        <w:rPr>
          <w:color w:val="231F20"/>
          <w:spacing w:val="-17"/>
          <w:sz w:val="20"/>
        </w:rPr>
        <w:t xml:space="preserve"> </w:t>
      </w:r>
      <w:r>
        <w:rPr>
          <w:color w:val="231F20"/>
          <w:sz w:val="20"/>
        </w:rPr>
        <w:t>victims.</w:t>
      </w:r>
    </w:p>
    <w:p w14:paraId="1E355981" w14:textId="77777777" w:rsidR="00894070" w:rsidRDefault="009B7AFD">
      <w:pPr>
        <w:pStyle w:val="ListParagraph"/>
        <w:numPr>
          <w:ilvl w:val="1"/>
          <w:numId w:val="126"/>
        </w:numPr>
        <w:tabs>
          <w:tab w:val="left" w:pos="1801"/>
          <w:tab w:val="left" w:pos="1802"/>
        </w:tabs>
        <w:spacing w:before="126" w:line="206" w:lineRule="auto"/>
        <w:ind w:right="1308"/>
        <w:rPr>
          <w:sz w:val="11"/>
        </w:rPr>
      </w:pPr>
      <w:r>
        <w:rPr>
          <w:color w:val="231F20"/>
          <w:sz w:val="20"/>
        </w:rPr>
        <w:t>The</w:t>
      </w:r>
      <w:r>
        <w:rPr>
          <w:color w:val="231F20"/>
          <w:spacing w:val="-9"/>
          <w:sz w:val="20"/>
        </w:rPr>
        <w:t xml:space="preserve"> </w:t>
      </w:r>
      <w:r>
        <w:rPr>
          <w:color w:val="231F20"/>
          <w:spacing w:val="-3"/>
          <w:sz w:val="20"/>
        </w:rPr>
        <w:t>reforms</w:t>
      </w:r>
      <w:r>
        <w:rPr>
          <w:color w:val="231F20"/>
          <w:spacing w:val="-8"/>
          <w:sz w:val="20"/>
        </w:rPr>
        <w:t xml:space="preserve"> </w:t>
      </w:r>
      <w:r>
        <w:rPr>
          <w:color w:val="231F20"/>
          <w:spacing w:val="-4"/>
          <w:sz w:val="20"/>
        </w:rPr>
        <w:t>were</w:t>
      </w:r>
      <w:r>
        <w:rPr>
          <w:color w:val="231F20"/>
          <w:spacing w:val="-9"/>
          <w:sz w:val="20"/>
        </w:rPr>
        <w:t xml:space="preserve"> </w:t>
      </w:r>
      <w:r>
        <w:rPr>
          <w:color w:val="231F20"/>
          <w:sz w:val="20"/>
        </w:rPr>
        <w:t>informed</w:t>
      </w:r>
      <w:r>
        <w:rPr>
          <w:color w:val="231F20"/>
          <w:spacing w:val="-8"/>
          <w:sz w:val="20"/>
        </w:rPr>
        <w:t xml:space="preserve"> </w:t>
      </w:r>
      <w:r>
        <w:rPr>
          <w:color w:val="231F20"/>
          <w:spacing w:val="-3"/>
          <w:sz w:val="20"/>
        </w:rPr>
        <w:t>by</w:t>
      </w:r>
      <w:r>
        <w:rPr>
          <w:color w:val="231F20"/>
          <w:spacing w:val="-8"/>
          <w:sz w:val="20"/>
        </w:rPr>
        <w:t xml:space="preserve"> </w:t>
      </w:r>
      <w:r>
        <w:rPr>
          <w:color w:val="231F20"/>
          <w:sz w:val="20"/>
        </w:rPr>
        <w:t>the</w:t>
      </w:r>
      <w:r>
        <w:rPr>
          <w:color w:val="231F20"/>
          <w:spacing w:val="-8"/>
          <w:sz w:val="20"/>
        </w:rPr>
        <w:t xml:space="preserve"> </w:t>
      </w:r>
      <w:r>
        <w:rPr>
          <w:color w:val="231F20"/>
          <w:sz w:val="20"/>
        </w:rPr>
        <w:t>recommendations</w:t>
      </w:r>
      <w:r>
        <w:rPr>
          <w:color w:val="231F20"/>
          <w:spacing w:val="-8"/>
          <w:sz w:val="20"/>
        </w:rPr>
        <w:t xml:space="preserve"> </w:t>
      </w:r>
      <w:r>
        <w:rPr>
          <w:color w:val="231F20"/>
          <w:sz w:val="20"/>
        </w:rPr>
        <w:t>made</w:t>
      </w:r>
      <w:r>
        <w:rPr>
          <w:color w:val="231F20"/>
          <w:spacing w:val="-8"/>
          <w:sz w:val="20"/>
        </w:rPr>
        <w:t xml:space="preserve"> </w:t>
      </w:r>
      <w:r>
        <w:rPr>
          <w:color w:val="231F20"/>
          <w:sz w:val="20"/>
        </w:rPr>
        <w:t>in</w:t>
      </w:r>
      <w:r>
        <w:rPr>
          <w:color w:val="231F20"/>
          <w:spacing w:val="-8"/>
          <w:sz w:val="20"/>
        </w:rPr>
        <w:t xml:space="preserve"> </w:t>
      </w:r>
      <w:r>
        <w:rPr>
          <w:color w:val="231F20"/>
          <w:sz w:val="20"/>
        </w:rPr>
        <w:t>our</w:t>
      </w:r>
      <w:r>
        <w:rPr>
          <w:color w:val="231F20"/>
          <w:spacing w:val="-8"/>
          <w:sz w:val="20"/>
        </w:rPr>
        <w:t xml:space="preserve"> </w:t>
      </w:r>
      <w:r>
        <w:rPr>
          <w:color w:val="231F20"/>
          <w:sz w:val="20"/>
        </w:rPr>
        <w:t>report</w:t>
      </w:r>
      <w:r>
        <w:rPr>
          <w:color w:val="231F20"/>
          <w:spacing w:val="-8"/>
          <w:sz w:val="20"/>
        </w:rPr>
        <w:t xml:space="preserve"> </w:t>
      </w:r>
      <w:r>
        <w:rPr>
          <w:i/>
          <w:color w:val="231F20"/>
          <w:spacing w:val="-3"/>
          <w:sz w:val="20"/>
        </w:rPr>
        <w:t>Review</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 xml:space="preserve">the Victims of Crime Assistance Act 1996 </w:t>
      </w:r>
      <w:r>
        <w:rPr>
          <w:color w:val="231F20"/>
          <w:spacing w:val="-3"/>
          <w:sz w:val="20"/>
        </w:rPr>
        <w:t>(2018),</w:t>
      </w:r>
      <w:r>
        <w:rPr>
          <w:color w:val="231F20"/>
          <w:spacing w:val="-3"/>
          <w:position w:val="7"/>
          <w:sz w:val="11"/>
        </w:rPr>
        <w:t xml:space="preserve">58 </w:t>
      </w:r>
      <w:r>
        <w:rPr>
          <w:color w:val="231F20"/>
          <w:sz w:val="20"/>
        </w:rPr>
        <w:t xml:space="preserve">which addressed a recommendation of the </w:t>
      </w:r>
      <w:r>
        <w:rPr>
          <w:color w:val="231F20"/>
          <w:spacing w:val="-3"/>
          <w:sz w:val="20"/>
        </w:rPr>
        <w:t xml:space="preserve">Royal </w:t>
      </w:r>
      <w:r>
        <w:rPr>
          <w:color w:val="231F20"/>
          <w:sz w:val="20"/>
        </w:rPr>
        <w:t xml:space="preserve">Commission </w:t>
      </w:r>
      <w:r>
        <w:rPr>
          <w:color w:val="231F20"/>
          <w:spacing w:val="-3"/>
          <w:sz w:val="20"/>
        </w:rPr>
        <w:t xml:space="preserve">into </w:t>
      </w:r>
      <w:r>
        <w:rPr>
          <w:color w:val="231F20"/>
          <w:spacing w:val="-4"/>
          <w:sz w:val="20"/>
        </w:rPr>
        <w:t>Family</w:t>
      </w:r>
      <w:r>
        <w:rPr>
          <w:color w:val="231F20"/>
          <w:spacing w:val="-15"/>
          <w:sz w:val="20"/>
        </w:rPr>
        <w:t xml:space="preserve"> </w:t>
      </w:r>
      <w:r>
        <w:rPr>
          <w:color w:val="231F20"/>
          <w:sz w:val="20"/>
        </w:rPr>
        <w:t>Violence.</w:t>
      </w:r>
      <w:r>
        <w:rPr>
          <w:color w:val="231F20"/>
          <w:position w:val="7"/>
          <w:sz w:val="11"/>
        </w:rPr>
        <w:t>59</w:t>
      </w:r>
    </w:p>
    <w:p w14:paraId="7FB76068" w14:textId="77777777" w:rsidR="00894070" w:rsidRDefault="009F6793">
      <w:pPr>
        <w:pStyle w:val="ListParagraph"/>
        <w:numPr>
          <w:ilvl w:val="1"/>
          <w:numId w:val="126"/>
        </w:numPr>
        <w:tabs>
          <w:tab w:val="left" w:pos="1801"/>
          <w:tab w:val="left" w:pos="1802"/>
        </w:tabs>
        <w:spacing w:before="124" w:line="206" w:lineRule="auto"/>
        <w:ind w:right="1410"/>
        <w:rPr>
          <w:sz w:val="20"/>
        </w:rPr>
      </w:pPr>
      <w:r>
        <w:pict w14:anchorId="3E7E5926">
          <v:line id="_x0000_s1416" style="position:absolute;left:0;text-align:left;z-index:251600896;mso-wrap-distance-left:0;mso-wrap-distance-right:0;mso-position-horizontal-relative:page" from="79.35pt,34.3pt" to="515.9pt,34.3pt" strokecolor="#f8cabc" strokeweight="1pt">
            <w10:wrap type="topAndBottom" anchorx="page"/>
          </v:line>
        </w:pict>
      </w:r>
      <w:r w:rsidR="009B7AFD">
        <w:rPr>
          <w:color w:val="231F20"/>
          <w:sz w:val="20"/>
        </w:rPr>
        <w:t>The</w:t>
      </w:r>
      <w:r w:rsidR="009B7AFD">
        <w:rPr>
          <w:color w:val="231F20"/>
          <w:spacing w:val="-12"/>
          <w:sz w:val="20"/>
        </w:rPr>
        <w:t xml:space="preserve"> </w:t>
      </w:r>
      <w:r w:rsidR="009B7AFD">
        <w:rPr>
          <w:color w:val="231F20"/>
          <w:sz w:val="20"/>
        </w:rPr>
        <w:t>proposed</w:t>
      </w:r>
      <w:r w:rsidR="009B7AFD">
        <w:rPr>
          <w:color w:val="231F20"/>
          <w:spacing w:val="-11"/>
          <w:sz w:val="20"/>
        </w:rPr>
        <w:t xml:space="preserve"> </w:t>
      </w:r>
      <w:r w:rsidR="009B7AFD">
        <w:rPr>
          <w:color w:val="231F20"/>
          <w:sz w:val="20"/>
        </w:rPr>
        <w:t>scheme</w:t>
      </w:r>
      <w:r w:rsidR="009B7AFD">
        <w:rPr>
          <w:color w:val="231F20"/>
          <w:spacing w:val="-12"/>
          <w:sz w:val="20"/>
        </w:rPr>
        <w:t xml:space="preserve"> </w:t>
      </w:r>
      <w:r w:rsidR="009B7AFD">
        <w:rPr>
          <w:color w:val="231F20"/>
          <w:spacing w:val="-3"/>
          <w:sz w:val="20"/>
        </w:rPr>
        <w:t>would</w:t>
      </w:r>
      <w:r w:rsidR="009B7AFD">
        <w:rPr>
          <w:color w:val="231F20"/>
          <w:spacing w:val="-11"/>
          <w:sz w:val="20"/>
        </w:rPr>
        <w:t xml:space="preserve"> </w:t>
      </w:r>
      <w:r w:rsidR="009B7AFD">
        <w:rPr>
          <w:color w:val="231F20"/>
          <w:sz w:val="20"/>
        </w:rPr>
        <w:t>make</w:t>
      </w:r>
      <w:r w:rsidR="009B7AFD">
        <w:rPr>
          <w:color w:val="231F20"/>
          <w:spacing w:val="-12"/>
          <w:sz w:val="20"/>
        </w:rPr>
        <w:t xml:space="preserve"> </w:t>
      </w:r>
      <w:r w:rsidR="009B7AFD">
        <w:rPr>
          <w:color w:val="231F20"/>
          <w:sz w:val="20"/>
        </w:rPr>
        <w:t>the</w:t>
      </w:r>
      <w:r w:rsidR="009B7AFD">
        <w:rPr>
          <w:color w:val="231F20"/>
          <w:spacing w:val="-11"/>
          <w:sz w:val="20"/>
        </w:rPr>
        <w:t xml:space="preserve"> </w:t>
      </w:r>
      <w:r w:rsidR="009B7AFD">
        <w:rPr>
          <w:color w:val="231F20"/>
          <w:sz w:val="20"/>
        </w:rPr>
        <w:t>process</w:t>
      </w:r>
      <w:r w:rsidR="009B7AFD">
        <w:rPr>
          <w:color w:val="231F20"/>
          <w:spacing w:val="-12"/>
          <w:sz w:val="20"/>
        </w:rPr>
        <w:t xml:space="preserve"> </w:t>
      </w:r>
      <w:r w:rsidR="009B7AFD">
        <w:rPr>
          <w:color w:val="231F20"/>
          <w:sz w:val="20"/>
        </w:rPr>
        <w:t>of</w:t>
      </w:r>
      <w:r w:rsidR="009B7AFD">
        <w:rPr>
          <w:color w:val="231F20"/>
          <w:spacing w:val="-11"/>
          <w:sz w:val="20"/>
        </w:rPr>
        <w:t xml:space="preserve"> </w:t>
      </w:r>
      <w:r w:rsidR="009B7AFD">
        <w:rPr>
          <w:color w:val="231F20"/>
          <w:sz w:val="20"/>
        </w:rPr>
        <w:t>getting</w:t>
      </w:r>
      <w:r w:rsidR="009B7AFD">
        <w:rPr>
          <w:color w:val="231F20"/>
          <w:spacing w:val="-11"/>
          <w:sz w:val="20"/>
        </w:rPr>
        <w:t xml:space="preserve"> </w:t>
      </w:r>
      <w:r w:rsidR="009B7AFD">
        <w:rPr>
          <w:color w:val="231F20"/>
          <w:sz w:val="20"/>
        </w:rPr>
        <w:t>financial</w:t>
      </w:r>
      <w:r w:rsidR="009B7AFD">
        <w:rPr>
          <w:color w:val="231F20"/>
          <w:spacing w:val="-12"/>
          <w:sz w:val="20"/>
        </w:rPr>
        <w:t xml:space="preserve"> </w:t>
      </w:r>
      <w:r w:rsidR="009B7AFD">
        <w:rPr>
          <w:color w:val="231F20"/>
          <w:sz w:val="20"/>
        </w:rPr>
        <w:t>assistance</w:t>
      </w:r>
      <w:r w:rsidR="009B7AFD">
        <w:rPr>
          <w:color w:val="231F20"/>
          <w:spacing w:val="-11"/>
          <w:sz w:val="20"/>
        </w:rPr>
        <w:t xml:space="preserve"> </w:t>
      </w:r>
      <w:r w:rsidR="009B7AFD">
        <w:rPr>
          <w:color w:val="231F20"/>
          <w:sz w:val="20"/>
        </w:rPr>
        <w:t xml:space="preserve">easier </w:t>
      </w:r>
      <w:r w:rsidR="009B7AFD">
        <w:rPr>
          <w:color w:val="231F20"/>
          <w:spacing w:val="-3"/>
          <w:sz w:val="20"/>
        </w:rPr>
        <w:t xml:space="preserve">for </w:t>
      </w:r>
      <w:r w:rsidR="009B7AFD">
        <w:rPr>
          <w:color w:val="231F20"/>
          <w:sz w:val="20"/>
        </w:rPr>
        <w:t>victims. The scheme</w:t>
      </w:r>
      <w:r w:rsidR="009B7AFD">
        <w:rPr>
          <w:color w:val="231F20"/>
          <w:spacing w:val="-15"/>
          <w:sz w:val="20"/>
        </w:rPr>
        <w:t xml:space="preserve"> </w:t>
      </w:r>
      <w:r w:rsidR="009B7AFD">
        <w:rPr>
          <w:color w:val="231F20"/>
          <w:sz w:val="20"/>
        </w:rPr>
        <w:t>includes:</w:t>
      </w:r>
    </w:p>
    <w:p w14:paraId="38FA7EFA" w14:textId="77777777" w:rsidR="00894070" w:rsidRDefault="009B7AFD">
      <w:pPr>
        <w:tabs>
          <w:tab w:val="left" w:pos="1801"/>
        </w:tabs>
        <w:spacing w:before="91" w:line="170" w:lineRule="exact"/>
        <w:ind w:left="1007"/>
        <w:rPr>
          <w:sz w:val="13"/>
        </w:rPr>
      </w:pPr>
      <w:r>
        <w:rPr>
          <w:color w:val="231F20"/>
          <w:sz w:val="13"/>
        </w:rPr>
        <w:t>48</w:t>
      </w:r>
      <w:r>
        <w:rPr>
          <w:color w:val="231F20"/>
          <w:sz w:val="13"/>
        </w:rPr>
        <w:tab/>
        <w:t>Ibid 82.</w:t>
      </w:r>
    </w:p>
    <w:p w14:paraId="7CE606C5" w14:textId="77777777" w:rsidR="00894070" w:rsidRDefault="009B7AFD">
      <w:pPr>
        <w:tabs>
          <w:tab w:val="left" w:pos="1800"/>
        </w:tabs>
        <w:spacing w:line="160" w:lineRule="exact"/>
        <w:ind w:left="1007"/>
        <w:rPr>
          <w:sz w:val="13"/>
        </w:rPr>
      </w:pPr>
      <w:r>
        <w:rPr>
          <w:color w:val="231F20"/>
          <w:sz w:val="13"/>
        </w:rPr>
        <w:t>49</w:t>
      </w:r>
      <w:r>
        <w:rPr>
          <w:color w:val="231F20"/>
          <w:sz w:val="13"/>
        </w:rPr>
        <w:tab/>
        <w:t xml:space="preserve">Ibid 16, </w:t>
      </w:r>
      <w:r>
        <w:rPr>
          <w:color w:val="231F20"/>
          <w:spacing w:val="2"/>
          <w:sz w:val="13"/>
        </w:rPr>
        <w:t>109–138.</w:t>
      </w:r>
    </w:p>
    <w:p w14:paraId="1F9EBE7C" w14:textId="77777777" w:rsidR="00894070" w:rsidRDefault="009B7AFD">
      <w:pPr>
        <w:tabs>
          <w:tab w:val="left" w:pos="1801"/>
        </w:tabs>
        <w:spacing w:line="160" w:lineRule="exact"/>
        <w:ind w:left="1007"/>
        <w:rPr>
          <w:sz w:val="13"/>
        </w:rPr>
      </w:pPr>
      <w:r>
        <w:rPr>
          <w:color w:val="231F20"/>
          <w:sz w:val="13"/>
        </w:rPr>
        <w:t>50</w:t>
      </w:r>
      <w:r>
        <w:rPr>
          <w:color w:val="231F20"/>
          <w:sz w:val="13"/>
        </w:rPr>
        <w:tab/>
      </w:r>
      <w:proofErr w:type="gramStart"/>
      <w:r>
        <w:rPr>
          <w:color w:val="231F20"/>
          <w:sz w:val="13"/>
        </w:rPr>
        <w:t xml:space="preserve">Ibid  </w:t>
      </w:r>
      <w:r>
        <w:rPr>
          <w:color w:val="231F20"/>
          <w:spacing w:val="-4"/>
          <w:sz w:val="13"/>
        </w:rPr>
        <w:t>17</w:t>
      </w:r>
      <w:proofErr w:type="gramEnd"/>
      <w:r>
        <w:rPr>
          <w:color w:val="231F20"/>
          <w:spacing w:val="-4"/>
          <w:sz w:val="13"/>
        </w:rPr>
        <w:t>,</w:t>
      </w:r>
      <w:r>
        <w:rPr>
          <w:color w:val="231F20"/>
          <w:spacing w:val="-13"/>
          <w:sz w:val="13"/>
        </w:rPr>
        <w:t xml:space="preserve"> </w:t>
      </w:r>
      <w:r>
        <w:rPr>
          <w:color w:val="231F20"/>
          <w:sz w:val="13"/>
        </w:rPr>
        <w:t>138–46.</w:t>
      </w:r>
    </w:p>
    <w:p w14:paraId="27FE6BE5" w14:textId="77777777" w:rsidR="00894070" w:rsidRDefault="009B7AFD">
      <w:pPr>
        <w:tabs>
          <w:tab w:val="left" w:pos="1801"/>
        </w:tabs>
        <w:spacing w:line="160" w:lineRule="exact"/>
        <w:ind w:left="1007"/>
        <w:rPr>
          <w:sz w:val="13"/>
        </w:rPr>
      </w:pPr>
      <w:r>
        <w:rPr>
          <w:color w:val="231F20"/>
          <w:sz w:val="13"/>
        </w:rPr>
        <w:t>51</w:t>
      </w:r>
      <w:r>
        <w:rPr>
          <w:color w:val="231F20"/>
          <w:sz w:val="13"/>
        </w:rPr>
        <w:tab/>
        <w:t xml:space="preserve">Ibid </w:t>
      </w:r>
      <w:r>
        <w:rPr>
          <w:color w:val="231F20"/>
          <w:spacing w:val="-4"/>
          <w:sz w:val="13"/>
        </w:rPr>
        <w:t>17,</w:t>
      </w:r>
      <w:r>
        <w:rPr>
          <w:color w:val="231F20"/>
          <w:spacing w:val="9"/>
          <w:sz w:val="13"/>
        </w:rPr>
        <w:t xml:space="preserve"> </w:t>
      </w:r>
      <w:r>
        <w:rPr>
          <w:color w:val="231F20"/>
          <w:spacing w:val="2"/>
          <w:sz w:val="13"/>
        </w:rPr>
        <w:t>147–55.</w:t>
      </w:r>
    </w:p>
    <w:p w14:paraId="667E09A7" w14:textId="77777777" w:rsidR="00894070" w:rsidRDefault="009B7AFD">
      <w:pPr>
        <w:pStyle w:val="ListParagraph"/>
        <w:numPr>
          <w:ilvl w:val="0"/>
          <w:numId w:val="119"/>
        </w:numPr>
        <w:tabs>
          <w:tab w:val="left" w:pos="1801"/>
          <w:tab w:val="left" w:pos="1802"/>
        </w:tabs>
        <w:spacing w:before="6" w:line="213" w:lineRule="auto"/>
        <w:ind w:right="1162"/>
        <w:rPr>
          <w:sz w:val="13"/>
        </w:rPr>
      </w:pPr>
      <w:r>
        <w:rPr>
          <w:color w:val="231F20"/>
          <w:sz w:val="13"/>
        </w:rPr>
        <w:t xml:space="preserve">Natalie Hutchins, Minister for Corrections, Crime Prevention, Victim </w:t>
      </w:r>
      <w:r>
        <w:rPr>
          <w:color w:val="231F20"/>
          <w:spacing w:val="2"/>
          <w:sz w:val="13"/>
        </w:rPr>
        <w:t xml:space="preserve">Support </w:t>
      </w:r>
      <w:r>
        <w:rPr>
          <w:color w:val="231F20"/>
          <w:sz w:val="13"/>
        </w:rPr>
        <w:t xml:space="preserve">and Youth Justice (Vic), ‘Better Outcomes for </w:t>
      </w:r>
      <w:r>
        <w:rPr>
          <w:color w:val="231F20"/>
          <w:spacing w:val="2"/>
          <w:sz w:val="13"/>
        </w:rPr>
        <w:t xml:space="preserve">Victims </w:t>
      </w:r>
      <w:r>
        <w:rPr>
          <w:color w:val="231F20"/>
          <w:sz w:val="13"/>
        </w:rPr>
        <w:t>and Young People’ (Media Release, 20 May</w:t>
      </w:r>
      <w:r>
        <w:rPr>
          <w:color w:val="231F20"/>
          <w:spacing w:val="1"/>
          <w:sz w:val="13"/>
        </w:rPr>
        <w:t xml:space="preserve"> </w:t>
      </w:r>
      <w:r>
        <w:rPr>
          <w:color w:val="231F20"/>
          <w:sz w:val="13"/>
        </w:rPr>
        <w:t>2021).</w:t>
      </w:r>
    </w:p>
    <w:p w14:paraId="0C45473A" w14:textId="77777777" w:rsidR="00894070" w:rsidRDefault="009B7AFD">
      <w:pPr>
        <w:pStyle w:val="ListParagraph"/>
        <w:numPr>
          <w:ilvl w:val="0"/>
          <w:numId w:val="119"/>
        </w:numPr>
        <w:tabs>
          <w:tab w:val="left" w:pos="1800"/>
          <w:tab w:val="left" w:pos="1802"/>
        </w:tabs>
        <w:spacing w:line="153" w:lineRule="exac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4"/>
          <w:sz w:val="13"/>
        </w:rPr>
        <w:t xml:space="preserve"> </w:t>
      </w:r>
      <w:r>
        <w:rPr>
          <w:color w:val="231F20"/>
          <w:sz w:val="13"/>
        </w:rPr>
        <w:t>Party).</w:t>
      </w:r>
    </w:p>
    <w:p w14:paraId="58CA43B3" w14:textId="77777777" w:rsidR="00894070" w:rsidRDefault="009B7AFD">
      <w:pPr>
        <w:pStyle w:val="ListParagraph"/>
        <w:numPr>
          <w:ilvl w:val="0"/>
          <w:numId w:val="119"/>
        </w:numPr>
        <w:tabs>
          <w:tab w:val="left" w:pos="1801"/>
          <w:tab w:val="left" w:pos="1802"/>
        </w:tabs>
        <w:spacing w:line="16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 xml:space="preserve">of </w:t>
      </w:r>
      <w:proofErr w:type="gramStart"/>
      <w:r>
        <w:rPr>
          <w:color w:val="231F20"/>
          <w:sz w:val="13"/>
        </w:rPr>
        <w:t xml:space="preserve">Crime </w:t>
      </w:r>
      <w:r>
        <w:rPr>
          <w:color w:val="231F20"/>
          <w:spacing w:val="2"/>
          <w:sz w:val="13"/>
        </w:rPr>
        <w:t xml:space="preserve"> </w:t>
      </w:r>
      <w:r>
        <w:rPr>
          <w:color w:val="231F20"/>
          <w:sz w:val="13"/>
        </w:rPr>
        <w:t>Commissioner</w:t>
      </w:r>
      <w:proofErr w:type="gramEnd"/>
      <w:r>
        <w:rPr>
          <w:color w:val="231F20"/>
          <w:sz w:val="13"/>
        </w:rPr>
        <w:t>).</w:t>
      </w:r>
    </w:p>
    <w:p w14:paraId="62941CBE" w14:textId="77777777" w:rsidR="00894070" w:rsidRDefault="009B7AFD">
      <w:pPr>
        <w:pStyle w:val="ListParagraph"/>
        <w:numPr>
          <w:ilvl w:val="0"/>
          <w:numId w:val="119"/>
        </w:numPr>
        <w:tabs>
          <w:tab w:val="left" w:pos="1801"/>
          <w:tab w:val="left" w:pos="1802"/>
        </w:tabs>
        <w:spacing w:before="6" w:line="213" w:lineRule="auto"/>
        <w:ind w:right="1266"/>
        <w:rPr>
          <w:sz w:val="13"/>
        </w:rPr>
      </w:pPr>
      <w:r>
        <w:rPr>
          <w:color w:val="231F20"/>
          <w:sz w:val="13"/>
        </w:rPr>
        <w:t xml:space="preserve">Legal and </w:t>
      </w:r>
      <w:r>
        <w:rPr>
          <w:color w:val="231F20"/>
          <w:spacing w:val="2"/>
          <w:sz w:val="13"/>
        </w:rPr>
        <w:t xml:space="preserve">Social </w:t>
      </w:r>
      <w:r>
        <w:rPr>
          <w:color w:val="231F20"/>
          <w:sz w:val="13"/>
        </w:rPr>
        <w:t xml:space="preserve">Issues Committee, </w:t>
      </w:r>
      <w:r>
        <w:rPr>
          <w:color w:val="231F20"/>
          <w:spacing w:val="2"/>
          <w:sz w:val="13"/>
        </w:rPr>
        <w:t xml:space="preserve">Parliament </w:t>
      </w:r>
      <w:r>
        <w:rPr>
          <w:color w:val="231F20"/>
          <w:sz w:val="13"/>
        </w:rPr>
        <w:t xml:space="preserve">of Victoria, </w:t>
      </w:r>
      <w:r>
        <w:rPr>
          <w:i/>
          <w:color w:val="231F20"/>
          <w:spacing w:val="2"/>
          <w:sz w:val="13"/>
        </w:rPr>
        <w:t xml:space="preserve">Inquiry </w:t>
      </w:r>
      <w:r>
        <w:rPr>
          <w:i/>
          <w:color w:val="231F20"/>
          <w:sz w:val="13"/>
        </w:rPr>
        <w:t xml:space="preserve">into Victoria’s Criminal Justice System </w:t>
      </w:r>
      <w:r>
        <w:rPr>
          <w:color w:val="231F20"/>
          <w:spacing w:val="2"/>
          <w:sz w:val="13"/>
        </w:rPr>
        <w:t xml:space="preserve">(Report </w:t>
      </w:r>
      <w:r>
        <w:rPr>
          <w:color w:val="231F20"/>
          <w:sz w:val="13"/>
        </w:rPr>
        <w:t xml:space="preserve">No 326, </w:t>
      </w:r>
      <w:r>
        <w:rPr>
          <w:color w:val="231F20"/>
          <w:spacing w:val="2"/>
          <w:sz w:val="13"/>
        </w:rPr>
        <w:t xml:space="preserve">Session </w:t>
      </w:r>
      <w:r>
        <w:rPr>
          <w:color w:val="231F20"/>
          <w:sz w:val="13"/>
        </w:rPr>
        <w:t>2018–2022, March 2022) Recommendation</w:t>
      </w:r>
      <w:r>
        <w:rPr>
          <w:color w:val="231F20"/>
          <w:spacing w:val="1"/>
          <w:sz w:val="13"/>
        </w:rPr>
        <w:t xml:space="preserve"> </w:t>
      </w:r>
      <w:r>
        <w:rPr>
          <w:color w:val="231F20"/>
          <w:spacing w:val="2"/>
          <w:sz w:val="13"/>
        </w:rPr>
        <w:t>48.</w:t>
      </w:r>
    </w:p>
    <w:p w14:paraId="671F8262" w14:textId="77777777" w:rsidR="00894070" w:rsidRDefault="009B7AFD">
      <w:pPr>
        <w:pStyle w:val="ListParagraph"/>
        <w:numPr>
          <w:ilvl w:val="0"/>
          <w:numId w:val="119"/>
        </w:numPr>
        <w:tabs>
          <w:tab w:val="left" w:pos="1801"/>
          <w:tab w:val="left" w:pos="1802"/>
        </w:tabs>
        <w:spacing w:line="153" w:lineRule="exact"/>
        <w:rPr>
          <w:sz w:val="13"/>
        </w:rPr>
      </w:pPr>
      <w:r>
        <w:rPr>
          <w:color w:val="231F20"/>
          <w:sz w:val="13"/>
        </w:rPr>
        <w:t xml:space="preserve">Ibid Recommendations </w:t>
      </w:r>
      <w:r>
        <w:rPr>
          <w:color w:val="231F20"/>
          <w:spacing w:val="2"/>
          <w:sz w:val="13"/>
        </w:rPr>
        <w:t xml:space="preserve">36, </w:t>
      </w:r>
      <w:r>
        <w:rPr>
          <w:color w:val="231F20"/>
          <w:sz w:val="13"/>
        </w:rPr>
        <w:t xml:space="preserve">37: see </w:t>
      </w:r>
      <w:r>
        <w:rPr>
          <w:color w:val="231F20"/>
          <w:spacing w:val="2"/>
          <w:sz w:val="13"/>
        </w:rPr>
        <w:t>also</w:t>
      </w:r>
      <w:r>
        <w:rPr>
          <w:color w:val="231F20"/>
          <w:spacing w:val="-1"/>
          <w:sz w:val="13"/>
        </w:rPr>
        <w:t xml:space="preserve"> </w:t>
      </w:r>
      <w:r>
        <w:rPr>
          <w:color w:val="231F20"/>
          <w:spacing w:val="2"/>
          <w:sz w:val="13"/>
        </w:rPr>
        <w:t>311.</w:t>
      </w:r>
    </w:p>
    <w:p w14:paraId="3ED9CFE1" w14:textId="77777777" w:rsidR="00894070" w:rsidRDefault="009B7AFD">
      <w:pPr>
        <w:pStyle w:val="ListParagraph"/>
        <w:numPr>
          <w:ilvl w:val="0"/>
          <w:numId w:val="119"/>
        </w:numPr>
        <w:tabs>
          <w:tab w:val="left" w:pos="1800"/>
          <w:tab w:val="left" w:pos="1802"/>
        </w:tabs>
        <w:spacing w:line="160" w:lineRule="exact"/>
        <w:rPr>
          <w:sz w:val="13"/>
        </w:rPr>
      </w:pPr>
      <w:r>
        <w:rPr>
          <w:color w:val="231F20"/>
          <w:spacing w:val="2"/>
          <w:sz w:val="13"/>
        </w:rPr>
        <w:t xml:space="preserve">Department </w:t>
      </w:r>
      <w:r>
        <w:rPr>
          <w:color w:val="231F20"/>
          <w:sz w:val="13"/>
        </w:rPr>
        <w:t xml:space="preserve">of Justice and Community Safety (Vic), </w:t>
      </w:r>
      <w:r>
        <w:rPr>
          <w:i/>
          <w:color w:val="231F20"/>
          <w:sz w:val="13"/>
        </w:rPr>
        <w:t xml:space="preserve">Victim </w:t>
      </w:r>
      <w:r>
        <w:rPr>
          <w:i/>
          <w:color w:val="231F20"/>
          <w:spacing w:val="2"/>
          <w:sz w:val="13"/>
        </w:rPr>
        <w:t xml:space="preserve">Support </w:t>
      </w:r>
      <w:r>
        <w:rPr>
          <w:i/>
          <w:color w:val="231F20"/>
          <w:sz w:val="13"/>
        </w:rPr>
        <w:t xml:space="preserve">Update </w:t>
      </w:r>
      <w:r>
        <w:rPr>
          <w:color w:val="231F20"/>
          <w:spacing w:val="2"/>
          <w:sz w:val="13"/>
        </w:rPr>
        <w:t xml:space="preserve">(Report, December </w:t>
      </w:r>
      <w:r>
        <w:rPr>
          <w:color w:val="231F20"/>
          <w:sz w:val="13"/>
        </w:rPr>
        <w:t xml:space="preserve">2021) </w:t>
      </w:r>
      <w:r>
        <w:rPr>
          <w:color w:val="231F20"/>
          <w:spacing w:val="2"/>
          <w:sz w:val="13"/>
        </w:rPr>
        <w:t xml:space="preserve">12, </w:t>
      </w:r>
      <w:r>
        <w:rPr>
          <w:color w:val="231F20"/>
          <w:spacing w:val="-4"/>
          <w:sz w:val="13"/>
        </w:rPr>
        <w:t>17,</w:t>
      </w:r>
      <w:r>
        <w:rPr>
          <w:color w:val="231F20"/>
          <w:spacing w:val="5"/>
          <w:sz w:val="13"/>
        </w:rPr>
        <w:t xml:space="preserve"> </w:t>
      </w:r>
      <w:r>
        <w:rPr>
          <w:color w:val="231F20"/>
          <w:spacing w:val="2"/>
          <w:sz w:val="13"/>
        </w:rPr>
        <w:t>28–9.</w:t>
      </w:r>
    </w:p>
    <w:p w14:paraId="4508C241" w14:textId="77777777" w:rsidR="00894070" w:rsidRDefault="009F6793">
      <w:pPr>
        <w:pStyle w:val="ListParagraph"/>
        <w:numPr>
          <w:ilvl w:val="0"/>
          <w:numId w:val="119"/>
        </w:numPr>
        <w:tabs>
          <w:tab w:val="left" w:pos="1800"/>
          <w:tab w:val="left" w:pos="1802"/>
        </w:tabs>
        <w:spacing w:line="160" w:lineRule="exact"/>
        <w:rPr>
          <w:sz w:val="13"/>
        </w:rPr>
      </w:pPr>
      <w:r>
        <w:pict w14:anchorId="102ED136">
          <v:shape id="_x0000_s1415" type="#_x0000_t202" style="position:absolute;left:0;text-align:left;margin-left:36pt;margin-top:3.7pt;width:13.85pt;height:14.1pt;z-index:251676672;mso-position-horizontal-relative:page" filled="f" stroked="f">
            <v:textbox inset="0,0,0,0">
              <w:txbxContent>
                <w:p w14:paraId="6E03BB28" w14:textId="77777777" w:rsidR="00894070" w:rsidRDefault="009B7AFD">
                  <w:pPr>
                    <w:spacing w:line="282" w:lineRule="exact"/>
                    <w:rPr>
                      <w:b/>
                      <w:sz w:val="24"/>
                    </w:rPr>
                  </w:pPr>
                  <w:r>
                    <w:rPr>
                      <w:b/>
                      <w:color w:val="EA5B50"/>
                      <w:spacing w:val="-2"/>
                      <w:sz w:val="24"/>
                    </w:rPr>
                    <w:t>82</w:t>
                  </w:r>
                </w:p>
              </w:txbxContent>
            </v:textbox>
            <w10:wrap anchorx="page"/>
          </v:shape>
        </w:pict>
      </w:r>
      <w:r w:rsidR="009B7AFD">
        <w:rPr>
          <w:color w:val="231F20"/>
          <w:sz w:val="13"/>
        </w:rPr>
        <w:t xml:space="preserve">Victorian Law Reform </w:t>
      </w:r>
      <w:r w:rsidR="009B7AFD">
        <w:rPr>
          <w:color w:val="231F20"/>
          <w:spacing w:val="2"/>
          <w:sz w:val="13"/>
        </w:rPr>
        <w:t xml:space="preserve">Commission, </w:t>
      </w:r>
      <w:r w:rsidR="009B7AFD">
        <w:rPr>
          <w:i/>
          <w:color w:val="231F20"/>
          <w:sz w:val="13"/>
        </w:rPr>
        <w:t xml:space="preserve">Review of the Victims of Crime Assistance Act </w:t>
      </w:r>
      <w:r w:rsidR="009B7AFD">
        <w:rPr>
          <w:i/>
          <w:color w:val="231F20"/>
          <w:spacing w:val="2"/>
          <w:sz w:val="13"/>
        </w:rPr>
        <w:t xml:space="preserve">1996 </w:t>
      </w:r>
      <w:r w:rsidR="009B7AFD">
        <w:rPr>
          <w:color w:val="231F20"/>
          <w:spacing w:val="2"/>
          <w:sz w:val="13"/>
        </w:rPr>
        <w:t xml:space="preserve">(Report </w:t>
      </w:r>
      <w:r w:rsidR="009B7AFD">
        <w:rPr>
          <w:color w:val="231F20"/>
          <w:sz w:val="13"/>
        </w:rPr>
        <w:t xml:space="preserve">No </w:t>
      </w:r>
      <w:r w:rsidR="009B7AFD">
        <w:rPr>
          <w:color w:val="231F20"/>
          <w:spacing w:val="2"/>
          <w:sz w:val="13"/>
        </w:rPr>
        <w:t xml:space="preserve">36, </w:t>
      </w:r>
      <w:r w:rsidR="009B7AFD">
        <w:rPr>
          <w:color w:val="231F20"/>
          <w:sz w:val="13"/>
        </w:rPr>
        <w:t>July</w:t>
      </w:r>
      <w:r w:rsidR="009B7AFD">
        <w:rPr>
          <w:color w:val="231F20"/>
          <w:spacing w:val="8"/>
          <w:sz w:val="13"/>
        </w:rPr>
        <w:t xml:space="preserve"> </w:t>
      </w:r>
      <w:r w:rsidR="009B7AFD">
        <w:rPr>
          <w:color w:val="231F20"/>
          <w:sz w:val="13"/>
        </w:rPr>
        <w:t>2018).</w:t>
      </w:r>
    </w:p>
    <w:p w14:paraId="7C111771" w14:textId="77777777" w:rsidR="00894070" w:rsidRDefault="009B7AFD">
      <w:pPr>
        <w:pStyle w:val="ListParagraph"/>
        <w:numPr>
          <w:ilvl w:val="0"/>
          <w:numId w:val="119"/>
        </w:numPr>
        <w:tabs>
          <w:tab w:val="left" w:pos="1801"/>
          <w:tab w:val="left" w:pos="1802"/>
        </w:tabs>
        <w:spacing w:line="170" w:lineRule="exact"/>
        <w:rPr>
          <w:sz w:val="13"/>
        </w:rPr>
      </w:pPr>
      <w:r>
        <w:rPr>
          <w:i/>
          <w:color w:val="231F20"/>
          <w:sz w:val="13"/>
        </w:rPr>
        <w:t xml:space="preserve">Royal Commission into Family Violence: </w:t>
      </w:r>
      <w:r>
        <w:rPr>
          <w:i/>
          <w:color w:val="231F20"/>
          <w:spacing w:val="2"/>
          <w:sz w:val="13"/>
        </w:rPr>
        <w:t xml:space="preserve">Summary </w:t>
      </w:r>
      <w:r>
        <w:rPr>
          <w:i/>
          <w:color w:val="231F20"/>
          <w:sz w:val="13"/>
        </w:rPr>
        <w:t xml:space="preserve">and Recommendations </w:t>
      </w:r>
      <w:r>
        <w:rPr>
          <w:color w:val="231F20"/>
          <w:spacing w:val="2"/>
          <w:sz w:val="13"/>
        </w:rPr>
        <w:t xml:space="preserve">(Report, </w:t>
      </w:r>
      <w:r>
        <w:rPr>
          <w:color w:val="231F20"/>
          <w:sz w:val="13"/>
        </w:rPr>
        <w:t>March 2016) Recommendation</w:t>
      </w:r>
      <w:r>
        <w:rPr>
          <w:color w:val="231F20"/>
          <w:spacing w:val="13"/>
          <w:sz w:val="13"/>
        </w:rPr>
        <w:t xml:space="preserve"> </w:t>
      </w:r>
      <w:r>
        <w:rPr>
          <w:color w:val="231F20"/>
          <w:sz w:val="13"/>
        </w:rPr>
        <w:t>106.</w:t>
      </w:r>
    </w:p>
    <w:p w14:paraId="36BD5678" w14:textId="77777777" w:rsidR="00894070" w:rsidRDefault="00894070">
      <w:pPr>
        <w:spacing w:line="170" w:lineRule="exact"/>
        <w:rPr>
          <w:sz w:val="13"/>
        </w:rPr>
        <w:sectPr w:rsidR="00894070">
          <w:pgSz w:w="11910" w:h="16840"/>
          <w:pgMar w:top="860" w:right="420" w:bottom="280" w:left="580" w:header="567" w:footer="0" w:gutter="0"/>
          <w:cols w:space="720"/>
        </w:sectPr>
      </w:pPr>
    </w:p>
    <w:p w14:paraId="18AAFC5C" w14:textId="77777777" w:rsidR="00894070" w:rsidRDefault="00894070">
      <w:pPr>
        <w:pStyle w:val="BodyText"/>
      </w:pPr>
    </w:p>
    <w:p w14:paraId="72A002D3" w14:textId="77777777" w:rsidR="00894070" w:rsidRDefault="00894070">
      <w:pPr>
        <w:pStyle w:val="BodyText"/>
      </w:pPr>
    </w:p>
    <w:p w14:paraId="7F995BB3" w14:textId="77777777" w:rsidR="00894070" w:rsidRDefault="00894070">
      <w:pPr>
        <w:pStyle w:val="BodyText"/>
      </w:pPr>
    </w:p>
    <w:p w14:paraId="395FD664" w14:textId="77777777" w:rsidR="00894070" w:rsidRDefault="00894070">
      <w:pPr>
        <w:pStyle w:val="BodyText"/>
        <w:spacing w:before="6"/>
        <w:rPr>
          <w:sz w:val="14"/>
        </w:rPr>
      </w:pPr>
    </w:p>
    <w:p w14:paraId="2CB0979E" w14:textId="77777777" w:rsidR="00894070" w:rsidRDefault="009B7AFD">
      <w:pPr>
        <w:pStyle w:val="ListParagraph"/>
        <w:numPr>
          <w:ilvl w:val="1"/>
          <w:numId w:val="119"/>
        </w:numPr>
        <w:tabs>
          <w:tab w:val="left" w:pos="2141"/>
          <w:tab w:val="left" w:pos="2142"/>
        </w:tabs>
        <w:spacing w:before="90" w:line="206" w:lineRule="auto"/>
        <w:ind w:right="1523" w:hanging="340"/>
        <w:rPr>
          <w:sz w:val="20"/>
        </w:rPr>
      </w:pPr>
      <w:bookmarkStart w:id="100" w:name="We_recommend_enhanced_support_for_victim"/>
      <w:bookmarkStart w:id="101" w:name="_bookmark54"/>
      <w:bookmarkEnd w:id="100"/>
      <w:bookmarkEnd w:id="101"/>
      <w:r>
        <w:rPr>
          <w:color w:val="231F20"/>
          <w:sz w:val="20"/>
        </w:rPr>
        <w:t>victim</w:t>
      </w:r>
      <w:r>
        <w:rPr>
          <w:color w:val="231F20"/>
          <w:spacing w:val="-14"/>
          <w:sz w:val="20"/>
        </w:rPr>
        <w:t xml:space="preserve"> </w:t>
      </w:r>
      <w:r>
        <w:rPr>
          <w:color w:val="231F20"/>
          <w:sz w:val="20"/>
        </w:rPr>
        <w:t>survivors</w:t>
      </w:r>
      <w:r>
        <w:rPr>
          <w:color w:val="231F20"/>
          <w:spacing w:val="-13"/>
          <w:sz w:val="20"/>
        </w:rPr>
        <w:t xml:space="preserve"> </w:t>
      </w:r>
      <w:r>
        <w:rPr>
          <w:color w:val="231F20"/>
          <w:sz w:val="20"/>
        </w:rPr>
        <w:t>receiving</w:t>
      </w:r>
      <w:r>
        <w:rPr>
          <w:color w:val="231F20"/>
          <w:spacing w:val="-14"/>
          <w:sz w:val="20"/>
        </w:rPr>
        <w:t xml:space="preserve"> </w:t>
      </w:r>
      <w:r>
        <w:rPr>
          <w:color w:val="231F20"/>
          <w:sz w:val="20"/>
        </w:rPr>
        <w:t>a</w:t>
      </w:r>
      <w:r>
        <w:rPr>
          <w:color w:val="231F20"/>
          <w:spacing w:val="-13"/>
          <w:sz w:val="20"/>
        </w:rPr>
        <w:t xml:space="preserve"> </w:t>
      </w:r>
      <w:r>
        <w:rPr>
          <w:color w:val="231F20"/>
          <w:sz w:val="20"/>
        </w:rPr>
        <w:t>victim</w:t>
      </w:r>
      <w:r>
        <w:rPr>
          <w:color w:val="231F20"/>
          <w:spacing w:val="-13"/>
          <w:sz w:val="20"/>
        </w:rPr>
        <w:t xml:space="preserve"> </w:t>
      </w:r>
      <w:r>
        <w:rPr>
          <w:color w:val="231F20"/>
          <w:sz w:val="20"/>
        </w:rPr>
        <w:t>recognition</w:t>
      </w:r>
      <w:r>
        <w:rPr>
          <w:color w:val="231F20"/>
          <w:spacing w:val="-14"/>
          <w:sz w:val="20"/>
        </w:rPr>
        <w:t xml:space="preserve"> </w:t>
      </w:r>
      <w:r>
        <w:rPr>
          <w:color w:val="231F20"/>
          <w:sz w:val="20"/>
        </w:rPr>
        <w:t>statement</w:t>
      </w:r>
      <w:r>
        <w:rPr>
          <w:color w:val="231F20"/>
          <w:spacing w:val="-13"/>
          <w:sz w:val="20"/>
        </w:rPr>
        <w:t xml:space="preserve"> </w:t>
      </w:r>
      <w:r>
        <w:rPr>
          <w:color w:val="231F20"/>
          <w:sz w:val="20"/>
        </w:rPr>
        <w:t>that</w:t>
      </w:r>
      <w:r>
        <w:rPr>
          <w:color w:val="231F20"/>
          <w:spacing w:val="-13"/>
          <w:sz w:val="20"/>
        </w:rPr>
        <w:t xml:space="preserve"> </w:t>
      </w:r>
      <w:r>
        <w:rPr>
          <w:color w:val="231F20"/>
          <w:spacing w:val="-2"/>
          <w:sz w:val="20"/>
        </w:rPr>
        <w:t>acknowledges</w:t>
      </w:r>
      <w:r>
        <w:rPr>
          <w:color w:val="231F20"/>
          <w:spacing w:val="-14"/>
          <w:sz w:val="20"/>
        </w:rPr>
        <w:t xml:space="preserve"> </w:t>
      </w:r>
      <w:r>
        <w:rPr>
          <w:color w:val="231F20"/>
          <w:sz w:val="20"/>
        </w:rPr>
        <w:t>the effects of the</w:t>
      </w:r>
      <w:r>
        <w:rPr>
          <w:color w:val="231F20"/>
          <w:spacing w:val="-13"/>
          <w:sz w:val="20"/>
        </w:rPr>
        <w:t xml:space="preserve"> </w:t>
      </w:r>
      <w:r>
        <w:rPr>
          <w:color w:val="231F20"/>
          <w:sz w:val="20"/>
        </w:rPr>
        <w:t>crime</w:t>
      </w:r>
    </w:p>
    <w:p w14:paraId="0DB54159" w14:textId="77777777" w:rsidR="00894070" w:rsidRDefault="009B7AFD">
      <w:pPr>
        <w:pStyle w:val="ListParagraph"/>
        <w:numPr>
          <w:ilvl w:val="1"/>
          <w:numId w:val="119"/>
        </w:numPr>
        <w:tabs>
          <w:tab w:val="left" w:pos="2141"/>
          <w:tab w:val="left" w:pos="2142"/>
        </w:tabs>
        <w:spacing w:before="88" w:line="206" w:lineRule="auto"/>
        <w:ind w:right="1258" w:hanging="340"/>
        <w:rPr>
          <w:sz w:val="20"/>
        </w:rPr>
      </w:pPr>
      <w:r>
        <w:rPr>
          <w:color w:val="231F20"/>
          <w:sz w:val="20"/>
        </w:rPr>
        <w:t>victim</w:t>
      </w:r>
      <w:r>
        <w:rPr>
          <w:color w:val="231F20"/>
          <w:spacing w:val="-13"/>
          <w:sz w:val="20"/>
        </w:rPr>
        <w:t xml:space="preserve"> </w:t>
      </w:r>
      <w:r>
        <w:rPr>
          <w:color w:val="231F20"/>
          <w:sz w:val="20"/>
        </w:rPr>
        <w:t>survivors</w:t>
      </w:r>
      <w:r>
        <w:rPr>
          <w:color w:val="231F20"/>
          <w:spacing w:val="-12"/>
          <w:sz w:val="20"/>
        </w:rPr>
        <w:t xml:space="preserve"> </w:t>
      </w:r>
      <w:r>
        <w:rPr>
          <w:color w:val="231F20"/>
          <w:sz w:val="20"/>
        </w:rPr>
        <w:t>being</w:t>
      </w:r>
      <w:r>
        <w:rPr>
          <w:color w:val="231F20"/>
          <w:spacing w:val="-12"/>
          <w:sz w:val="20"/>
        </w:rPr>
        <w:t xml:space="preserve"> </w:t>
      </w:r>
      <w:r>
        <w:rPr>
          <w:color w:val="231F20"/>
          <w:sz w:val="20"/>
        </w:rPr>
        <w:t>able</w:t>
      </w:r>
      <w:r>
        <w:rPr>
          <w:color w:val="231F20"/>
          <w:spacing w:val="-12"/>
          <w:sz w:val="20"/>
        </w:rPr>
        <w:t xml:space="preserve"> </w:t>
      </w:r>
      <w:r>
        <w:rPr>
          <w:color w:val="231F20"/>
          <w:sz w:val="20"/>
        </w:rPr>
        <w:t>to</w:t>
      </w:r>
      <w:r>
        <w:rPr>
          <w:color w:val="231F20"/>
          <w:spacing w:val="-13"/>
          <w:sz w:val="20"/>
        </w:rPr>
        <w:t xml:space="preserve"> </w:t>
      </w:r>
      <w:r>
        <w:rPr>
          <w:color w:val="231F20"/>
          <w:sz w:val="20"/>
        </w:rPr>
        <w:t>request</w:t>
      </w:r>
      <w:r>
        <w:rPr>
          <w:color w:val="231F20"/>
          <w:spacing w:val="-12"/>
          <w:sz w:val="20"/>
        </w:rPr>
        <w:t xml:space="preserve"> </w:t>
      </w:r>
      <w:r>
        <w:rPr>
          <w:color w:val="231F20"/>
          <w:sz w:val="20"/>
        </w:rPr>
        <w:t>a</w:t>
      </w:r>
      <w:r>
        <w:rPr>
          <w:color w:val="231F20"/>
          <w:spacing w:val="-12"/>
          <w:sz w:val="20"/>
        </w:rPr>
        <w:t xml:space="preserve"> </w:t>
      </w:r>
      <w:r>
        <w:rPr>
          <w:color w:val="231F20"/>
          <w:sz w:val="20"/>
        </w:rPr>
        <w:t>victim</w:t>
      </w:r>
      <w:r>
        <w:rPr>
          <w:color w:val="231F20"/>
          <w:spacing w:val="-12"/>
          <w:sz w:val="20"/>
        </w:rPr>
        <w:t xml:space="preserve"> </w:t>
      </w:r>
      <w:r>
        <w:rPr>
          <w:color w:val="231F20"/>
          <w:sz w:val="20"/>
        </w:rPr>
        <w:t>recognition</w:t>
      </w:r>
      <w:r>
        <w:rPr>
          <w:color w:val="231F20"/>
          <w:spacing w:val="-12"/>
          <w:sz w:val="20"/>
        </w:rPr>
        <w:t xml:space="preserve"> </w:t>
      </w:r>
      <w:r>
        <w:rPr>
          <w:color w:val="231F20"/>
          <w:sz w:val="20"/>
        </w:rPr>
        <w:t>meeting</w:t>
      </w:r>
      <w:r>
        <w:rPr>
          <w:color w:val="231F20"/>
          <w:spacing w:val="-13"/>
          <w:sz w:val="20"/>
        </w:rPr>
        <w:t xml:space="preserve"> </w:t>
      </w:r>
      <w:r>
        <w:rPr>
          <w:color w:val="231F20"/>
          <w:sz w:val="20"/>
        </w:rPr>
        <w:t>where</w:t>
      </w:r>
      <w:r>
        <w:rPr>
          <w:color w:val="231F20"/>
          <w:spacing w:val="-12"/>
          <w:sz w:val="20"/>
        </w:rPr>
        <w:t xml:space="preserve"> </w:t>
      </w:r>
      <w:r>
        <w:rPr>
          <w:color w:val="231F20"/>
          <w:sz w:val="20"/>
        </w:rPr>
        <w:t>they</w:t>
      </w:r>
      <w:r>
        <w:rPr>
          <w:color w:val="231F20"/>
          <w:spacing w:val="-12"/>
          <w:sz w:val="20"/>
        </w:rPr>
        <w:t xml:space="preserve"> </w:t>
      </w:r>
      <w:r>
        <w:rPr>
          <w:color w:val="231F20"/>
          <w:sz w:val="20"/>
        </w:rPr>
        <w:t xml:space="preserve">can talk about the harm caused to them and </w:t>
      </w:r>
      <w:r>
        <w:rPr>
          <w:color w:val="231F20"/>
          <w:spacing w:val="-4"/>
          <w:sz w:val="20"/>
        </w:rPr>
        <w:t xml:space="preserve">have </w:t>
      </w:r>
      <w:r>
        <w:rPr>
          <w:color w:val="231F20"/>
          <w:sz w:val="20"/>
        </w:rPr>
        <w:t>their experience acknowledged on behalf of the</w:t>
      </w:r>
      <w:r>
        <w:rPr>
          <w:color w:val="231F20"/>
          <w:spacing w:val="-13"/>
          <w:sz w:val="20"/>
        </w:rPr>
        <w:t xml:space="preserve"> </w:t>
      </w:r>
      <w:r>
        <w:rPr>
          <w:color w:val="231F20"/>
          <w:spacing w:val="-3"/>
          <w:sz w:val="20"/>
        </w:rPr>
        <w:t>government</w:t>
      </w:r>
    </w:p>
    <w:p w14:paraId="7D98A89A" w14:textId="77777777" w:rsidR="00894070" w:rsidRDefault="009B7AFD">
      <w:pPr>
        <w:pStyle w:val="ListParagraph"/>
        <w:numPr>
          <w:ilvl w:val="1"/>
          <w:numId w:val="119"/>
        </w:numPr>
        <w:tabs>
          <w:tab w:val="left" w:pos="2141"/>
          <w:tab w:val="left" w:pos="2142"/>
        </w:tabs>
        <w:spacing w:before="88" w:line="206" w:lineRule="auto"/>
        <w:ind w:right="1227" w:hanging="340"/>
        <w:rPr>
          <w:sz w:val="11"/>
        </w:rPr>
      </w:pPr>
      <w:r>
        <w:rPr>
          <w:color w:val="231F20"/>
          <w:sz w:val="20"/>
        </w:rPr>
        <w:t>financial</w:t>
      </w:r>
      <w:r>
        <w:rPr>
          <w:color w:val="231F20"/>
          <w:spacing w:val="-12"/>
          <w:sz w:val="20"/>
        </w:rPr>
        <w:t xml:space="preserve"> </w:t>
      </w:r>
      <w:r>
        <w:rPr>
          <w:color w:val="231F20"/>
          <w:sz w:val="20"/>
        </w:rPr>
        <w:t>assistance</w:t>
      </w:r>
      <w:r>
        <w:rPr>
          <w:color w:val="231F20"/>
          <w:spacing w:val="-12"/>
          <w:sz w:val="20"/>
        </w:rPr>
        <w:t xml:space="preserve"> </w:t>
      </w:r>
      <w:r>
        <w:rPr>
          <w:color w:val="231F20"/>
          <w:spacing w:val="-3"/>
          <w:sz w:val="20"/>
        </w:rPr>
        <w:t>for</w:t>
      </w:r>
      <w:r>
        <w:rPr>
          <w:color w:val="231F20"/>
          <w:spacing w:val="-11"/>
          <w:sz w:val="20"/>
        </w:rPr>
        <w:t xml:space="preserve"> </w:t>
      </w:r>
      <w:r>
        <w:rPr>
          <w:color w:val="231F20"/>
          <w:sz w:val="20"/>
        </w:rPr>
        <w:t>counselling</w:t>
      </w:r>
      <w:r>
        <w:rPr>
          <w:color w:val="231F20"/>
          <w:spacing w:val="-12"/>
          <w:sz w:val="20"/>
        </w:rPr>
        <w:t xml:space="preserve"> </w:t>
      </w:r>
      <w:r>
        <w:rPr>
          <w:color w:val="231F20"/>
          <w:sz w:val="20"/>
        </w:rPr>
        <w:t>services,</w:t>
      </w:r>
      <w:r>
        <w:rPr>
          <w:color w:val="231F20"/>
          <w:spacing w:val="-11"/>
          <w:sz w:val="20"/>
        </w:rPr>
        <w:t xml:space="preserve"> </w:t>
      </w:r>
      <w:r>
        <w:rPr>
          <w:color w:val="231F20"/>
          <w:sz w:val="20"/>
        </w:rPr>
        <w:t>medical</w:t>
      </w:r>
      <w:r>
        <w:rPr>
          <w:color w:val="231F20"/>
          <w:spacing w:val="-12"/>
          <w:sz w:val="20"/>
        </w:rPr>
        <w:t xml:space="preserve"> </w:t>
      </w:r>
      <w:r>
        <w:rPr>
          <w:color w:val="231F20"/>
          <w:sz w:val="20"/>
        </w:rPr>
        <w:t>expenses,</w:t>
      </w:r>
      <w:r>
        <w:rPr>
          <w:color w:val="231F20"/>
          <w:spacing w:val="-12"/>
          <w:sz w:val="20"/>
        </w:rPr>
        <w:t xml:space="preserve"> </w:t>
      </w:r>
      <w:r>
        <w:rPr>
          <w:color w:val="231F20"/>
          <w:sz w:val="20"/>
        </w:rPr>
        <w:t>loss</w:t>
      </w:r>
      <w:r>
        <w:rPr>
          <w:color w:val="231F20"/>
          <w:spacing w:val="-11"/>
          <w:sz w:val="20"/>
        </w:rPr>
        <w:t xml:space="preserve"> </w:t>
      </w:r>
      <w:r>
        <w:rPr>
          <w:color w:val="231F20"/>
          <w:sz w:val="20"/>
        </w:rPr>
        <w:t>of</w:t>
      </w:r>
      <w:r>
        <w:rPr>
          <w:color w:val="231F20"/>
          <w:spacing w:val="-12"/>
          <w:sz w:val="20"/>
        </w:rPr>
        <w:t xml:space="preserve"> </w:t>
      </w:r>
      <w:r>
        <w:rPr>
          <w:color w:val="231F20"/>
          <w:sz w:val="20"/>
        </w:rPr>
        <w:t>income</w:t>
      </w:r>
      <w:r>
        <w:rPr>
          <w:color w:val="231F20"/>
          <w:spacing w:val="-11"/>
          <w:sz w:val="20"/>
        </w:rPr>
        <w:t xml:space="preserve"> </w:t>
      </w:r>
      <w:r>
        <w:rPr>
          <w:color w:val="231F20"/>
          <w:sz w:val="20"/>
        </w:rPr>
        <w:t xml:space="preserve">and </w:t>
      </w:r>
      <w:r>
        <w:rPr>
          <w:color w:val="231F20"/>
          <w:spacing w:val="-3"/>
          <w:sz w:val="20"/>
        </w:rPr>
        <w:t>‘safety-related’</w:t>
      </w:r>
      <w:r>
        <w:rPr>
          <w:color w:val="231F20"/>
          <w:spacing w:val="-4"/>
          <w:sz w:val="20"/>
        </w:rPr>
        <w:t xml:space="preserve"> </w:t>
      </w:r>
      <w:r>
        <w:rPr>
          <w:color w:val="231F20"/>
          <w:sz w:val="20"/>
        </w:rPr>
        <w:t>expenses.</w:t>
      </w:r>
      <w:r>
        <w:rPr>
          <w:color w:val="231F20"/>
          <w:position w:val="7"/>
          <w:sz w:val="11"/>
        </w:rPr>
        <w:t>60</w:t>
      </w:r>
    </w:p>
    <w:p w14:paraId="648921C4" w14:textId="77777777" w:rsidR="00894070" w:rsidRDefault="009B7AFD">
      <w:pPr>
        <w:pStyle w:val="ListParagraph"/>
        <w:numPr>
          <w:ilvl w:val="1"/>
          <w:numId w:val="126"/>
        </w:numPr>
        <w:tabs>
          <w:tab w:val="left" w:pos="1801"/>
          <w:tab w:val="left" w:pos="1802"/>
        </w:tabs>
        <w:spacing w:before="56"/>
        <w:rPr>
          <w:sz w:val="11"/>
        </w:rPr>
      </w:pPr>
      <w:r>
        <w:rPr>
          <w:color w:val="231F20"/>
          <w:sz w:val="20"/>
        </w:rPr>
        <w:t>Under</w:t>
      </w:r>
      <w:r>
        <w:rPr>
          <w:color w:val="231F20"/>
          <w:spacing w:val="-6"/>
          <w:sz w:val="20"/>
        </w:rPr>
        <w:t xml:space="preserve"> </w:t>
      </w:r>
      <w:r>
        <w:rPr>
          <w:color w:val="231F20"/>
          <w:sz w:val="20"/>
        </w:rPr>
        <w:t>the</w:t>
      </w:r>
      <w:r>
        <w:rPr>
          <w:color w:val="231F20"/>
          <w:spacing w:val="-5"/>
          <w:sz w:val="20"/>
        </w:rPr>
        <w:t xml:space="preserve"> </w:t>
      </w:r>
      <w:r>
        <w:rPr>
          <w:color w:val="231F20"/>
          <w:sz w:val="20"/>
        </w:rPr>
        <w:t>Bill,</w:t>
      </w:r>
      <w:r>
        <w:rPr>
          <w:color w:val="231F20"/>
          <w:spacing w:val="-5"/>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5"/>
          <w:sz w:val="20"/>
        </w:rPr>
        <w:t xml:space="preserve"> </w:t>
      </w:r>
      <w:r>
        <w:rPr>
          <w:color w:val="231F20"/>
          <w:sz w:val="20"/>
        </w:rPr>
        <w:t>of</w:t>
      </w:r>
      <w:r>
        <w:rPr>
          <w:color w:val="231F20"/>
          <w:spacing w:val="-5"/>
          <w:sz w:val="20"/>
        </w:rPr>
        <w:t xml:space="preserve"> </w:t>
      </w:r>
      <w:r>
        <w:rPr>
          <w:color w:val="231F20"/>
          <w:sz w:val="20"/>
        </w:rPr>
        <w:t>stalking</w:t>
      </w:r>
      <w:r>
        <w:rPr>
          <w:color w:val="231F20"/>
          <w:spacing w:val="-5"/>
          <w:sz w:val="20"/>
        </w:rPr>
        <w:t xml:space="preserve"> </w:t>
      </w:r>
      <w:r>
        <w:rPr>
          <w:color w:val="231F20"/>
          <w:sz w:val="20"/>
        </w:rPr>
        <w:t>can</w:t>
      </w:r>
      <w:r>
        <w:rPr>
          <w:color w:val="231F20"/>
          <w:spacing w:val="-6"/>
          <w:sz w:val="20"/>
        </w:rPr>
        <w:t xml:space="preserve"> </w:t>
      </w:r>
      <w:r>
        <w:rPr>
          <w:color w:val="231F20"/>
          <w:spacing w:val="-3"/>
          <w:sz w:val="20"/>
        </w:rPr>
        <w:t>receive</w:t>
      </w:r>
      <w:r>
        <w:rPr>
          <w:color w:val="231F20"/>
          <w:spacing w:val="-5"/>
          <w:sz w:val="20"/>
        </w:rPr>
        <w:t xml:space="preserve"> </w:t>
      </w:r>
      <w:r>
        <w:rPr>
          <w:color w:val="231F20"/>
          <w:sz w:val="20"/>
        </w:rPr>
        <w:t>financial</w:t>
      </w:r>
      <w:r>
        <w:rPr>
          <w:color w:val="231F20"/>
          <w:spacing w:val="-5"/>
          <w:sz w:val="20"/>
        </w:rPr>
        <w:t xml:space="preserve"> </w:t>
      </w:r>
      <w:r>
        <w:rPr>
          <w:color w:val="231F20"/>
          <w:sz w:val="20"/>
        </w:rPr>
        <w:t>assistance.</w:t>
      </w:r>
      <w:r>
        <w:rPr>
          <w:color w:val="231F20"/>
          <w:position w:val="7"/>
          <w:sz w:val="11"/>
        </w:rPr>
        <w:t>61</w:t>
      </w:r>
    </w:p>
    <w:p w14:paraId="7BE145EC" w14:textId="77777777" w:rsidR="00894070" w:rsidRDefault="009B7AFD">
      <w:pPr>
        <w:pStyle w:val="ListParagraph"/>
        <w:numPr>
          <w:ilvl w:val="1"/>
          <w:numId w:val="126"/>
        </w:numPr>
        <w:tabs>
          <w:tab w:val="left" w:pos="1801"/>
          <w:tab w:val="left" w:pos="1802"/>
        </w:tabs>
        <w:spacing w:before="114" w:line="206" w:lineRule="auto"/>
        <w:ind w:right="1186"/>
        <w:rPr>
          <w:sz w:val="11"/>
        </w:rPr>
      </w:pPr>
      <w:r>
        <w:rPr>
          <w:color w:val="231F20"/>
          <w:sz w:val="20"/>
        </w:rPr>
        <w:t xml:space="preserve">The scheme </w:t>
      </w:r>
      <w:r>
        <w:rPr>
          <w:color w:val="231F20"/>
          <w:spacing w:val="-3"/>
          <w:sz w:val="20"/>
        </w:rPr>
        <w:t xml:space="preserve">would </w:t>
      </w:r>
      <w:r>
        <w:rPr>
          <w:color w:val="231F20"/>
          <w:sz w:val="20"/>
        </w:rPr>
        <w:t xml:space="preserve">sit within the Department of Justice and Community </w:t>
      </w:r>
      <w:r>
        <w:rPr>
          <w:color w:val="231F20"/>
          <w:spacing w:val="-4"/>
          <w:sz w:val="20"/>
        </w:rPr>
        <w:t xml:space="preserve">Safety. </w:t>
      </w:r>
      <w:r>
        <w:rPr>
          <w:color w:val="231F20"/>
          <w:sz w:val="20"/>
        </w:rPr>
        <w:t xml:space="preserve">This </w:t>
      </w:r>
      <w:r>
        <w:rPr>
          <w:color w:val="231F20"/>
          <w:spacing w:val="-3"/>
          <w:sz w:val="20"/>
        </w:rPr>
        <w:t>would</w:t>
      </w:r>
      <w:r>
        <w:rPr>
          <w:color w:val="231F20"/>
          <w:spacing w:val="-10"/>
          <w:sz w:val="20"/>
        </w:rPr>
        <w:t xml:space="preserve"> </w:t>
      </w:r>
      <w:r>
        <w:rPr>
          <w:color w:val="231F20"/>
          <w:sz w:val="20"/>
        </w:rPr>
        <w:t>help</w:t>
      </w:r>
      <w:r>
        <w:rPr>
          <w:color w:val="231F20"/>
          <w:spacing w:val="-9"/>
          <w:sz w:val="20"/>
        </w:rPr>
        <w:t xml:space="preserve"> </w:t>
      </w:r>
      <w:r>
        <w:rPr>
          <w:color w:val="231F20"/>
          <w:sz w:val="20"/>
        </w:rPr>
        <w:t>streamline</w:t>
      </w:r>
      <w:r>
        <w:rPr>
          <w:color w:val="231F20"/>
          <w:spacing w:val="-9"/>
          <w:sz w:val="20"/>
        </w:rPr>
        <w:t xml:space="preserve"> </w:t>
      </w:r>
      <w:r>
        <w:rPr>
          <w:color w:val="231F20"/>
          <w:sz w:val="20"/>
        </w:rPr>
        <w:t>and</w:t>
      </w:r>
      <w:r>
        <w:rPr>
          <w:color w:val="231F20"/>
          <w:spacing w:val="-9"/>
          <w:sz w:val="20"/>
        </w:rPr>
        <w:t xml:space="preserve"> </w:t>
      </w:r>
      <w:r>
        <w:rPr>
          <w:color w:val="231F20"/>
          <w:spacing w:val="-3"/>
          <w:sz w:val="20"/>
        </w:rPr>
        <w:t>coordinate</w:t>
      </w:r>
      <w:r>
        <w:rPr>
          <w:color w:val="231F20"/>
          <w:spacing w:val="-9"/>
          <w:sz w:val="20"/>
        </w:rPr>
        <w:t xml:space="preserve"> </w:t>
      </w:r>
      <w:r>
        <w:rPr>
          <w:color w:val="231F20"/>
          <w:sz w:val="20"/>
        </w:rPr>
        <w:t>financial</w:t>
      </w:r>
      <w:r>
        <w:rPr>
          <w:color w:val="231F20"/>
          <w:spacing w:val="-9"/>
          <w:sz w:val="20"/>
        </w:rPr>
        <w:t xml:space="preserve"> </w:t>
      </w:r>
      <w:r>
        <w:rPr>
          <w:color w:val="231F20"/>
          <w:sz w:val="20"/>
        </w:rPr>
        <w:t>assistance</w:t>
      </w:r>
      <w:r>
        <w:rPr>
          <w:color w:val="231F20"/>
          <w:spacing w:val="-9"/>
          <w:sz w:val="20"/>
        </w:rPr>
        <w:t xml:space="preserve"> </w:t>
      </w:r>
      <w:r>
        <w:rPr>
          <w:color w:val="231F20"/>
          <w:sz w:val="20"/>
        </w:rPr>
        <w:t>with</w:t>
      </w:r>
      <w:r>
        <w:rPr>
          <w:color w:val="231F20"/>
          <w:spacing w:val="-9"/>
          <w:sz w:val="20"/>
        </w:rPr>
        <w:t xml:space="preserve"> </w:t>
      </w:r>
      <w:r>
        <w:rPr>
          <w:color w:val="231F20"/>
          <w:sz w:val="20"/>
        </w:rPr>
        <w:t>other</w:t>
      </w:r>
      <w:r>
        <w:rPr>
          <w:color w:val="231F20"/>
          <w:spacing w:val="-10"/>
          <w:sz w:val="20"/>
        </w:rPr>
        <w:t xml:space="preserve"> </w:t>
      </w:r>
      <w:r>
        <w:rPr>
          <w:color w:val="231F20"/>
          <w:sz w:val="20"/>
        </w:rPr>
        <w:t>parts</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victim support</w:t>
      </w:r>
      <w:r>
        <w:rPr>
          <w:color w:val="231F20"/>
          <w:spacing w:val="-5"/>
          <w:sz w:val="20"/>
        </w:rPr>
        <w:t xml:space="preserve"> </w:t>
      </w:r>
      <w:r>
        <w:rPr>
          <w:color w:val="231F20"/>
          <w:sz w:val="20"/>
        </w:rPr>
        <w:t>system.</w:t>
      </w:r>
      <w:r>
        <w:rPr>
          <w:color w:val="231F20"/>
          <w:position w:val="7"/>
          <w:sz w:val="11"/>
        </w:rPr>
        <w:t>62</w:t>
      </w:r>
    </w:p>
    <w:p w14:paraId="0C447A41" w14:textId="77777777" w:rsidR="00894070" w:rsidRDefault="009B7AFD">
      <w:pPr>
        <w:pStyle w:val="ListParagraph"/>
        <w:numPr>
          <w:ilvl w:val="1"/>
          <w:numId w:val="126"/>
        </w:numPr>
        <w:tabs>
          <w:tab w:val="left" w:pos="1801"/>
          <w:tab w:val="left" w:pos="1802"/>
        </w:tabs>
        <w:spacing w:before="124" w:line="206" w:lineRule="auto"/>
        <w:ind w:right="1191"/>
        <w:rPr>
          <w:sz w:val="11"/>
        </w:rPr>
      </w:pPr>
      <w:r>
        <w:rPr>
          <w:color w:val="231F20"/>
          <w:sz w:val="20"/>
        </w:rPr>
        <w:t>If the Bill is passed, the scheme is expected to start operating in the second half of 2023.</w:t>
      </w:r>
      <w:r>
        <w:rPr>
          <w:color w:val="231F20"/>
          <w:position w:val="7"/>
          <w:sz w:val="11"/>
        </w:rPr>
        <w:t xml:space="preserve">63 </w:t>
      </w:r>
      <w:r>
        <w:rPr>
          <w:color w:val="231F20"/>
          <w:sz w:val="20"/>
        </w:rPr>
        <w:t xml:space="preserve">In the meantime, the </w:t>
      </w:r>
      <w:r>
        <w:rPr>
          <w:color w:val="231F20"/>
          <w:spacing w:val="-3"/>
          <w:sz w:val="20"/>
        </w:rPr>
        <w:t xml:space="preserve">government </w:t>
      </w:r>
      <w:r>
        <w:rPr>
          <w:color w:val="231F20"/>
          <w:sz w:val="20"/>
        </w:rPr>
        <w:t xml:space="preserve">has announced funding to clear the </w:t>
      </w:r>
      <w:r>
        <w:rPr>
          <w:color w:val="231F20"/>
          <w:spacing w:val="-7"/>
          <w:sz w:val="20"/>
        </w:rPr>
        <w:t xml:space="preserve">VOCAT </w:t>
      </w:r>
      <w:r>
        <w:rPr>
          <w:color w:val="231F20"/>
          <w:sz w:val="20"/>
        </w:rPr>
        <w:t>backlog.</w:t>
      </w:r>
      <w:r>
        <w:rPr>
          <w:color w:val="231F20"/>
          <w:position w:val="7"/>
          <w:sz w:val="11"/>
        </w:rPr>
        <w:t xml:space="preserve">64 </w:t>
      </w:r>
      <w:r>
        <w:rPr>
          <w:color w:val="231F20"/>
          <w:spacing w:val="-4"/>
          <w:sz w:val="20"/>
        </w:rPr>
        <w:t xml:space="preserve">Recently, </w:t>
      </w:r>
      <w:r>
        <w:rPr>
          <w:color w:val="231F20"/>
          <w:spacing w:val="-3"/>
          <w:sz w:val="20"/>
        </w:rPr>
        <w:t xml:space="preserve">protections for </w:t>
      </w:r>
      <w:r>
        <w:rPr>
          <w:color w:val="231F20"/>
          <w:sz w:val="20"/>
        </w:rPr>
        <w:t xml:space="preserve">victim survivors of stalking in the </w:t>
      </w:r>
      <w:r>
        <w:rPr>
          <w:color w:val="231F20"/>
          <w:spacing w:val="-7"/>
          <w:sz w:val="20"/>
        </w:rPr>
        <w:t xml:space="preserve">VOCAT </w:t>
      </w:r>
      <w:r>
        <w:rPr>
          <w:color w:val="231F20"/>
          <w:sz w:val="20"/>
        </w:rPr>
        <w:t xml:space="preserve">process </w:t>
      </w:r>
      <w:r>
        <w:rPr>
          <w:color w:val="231F20"/>
          <w:spacing w:val="-4"/>
          <w:sz w:val="20"/>
        </w:rPr>
        <w:t>were</w:t>
      </w:r>
      <w:r>
        <w:rPr>
          <w:color w:val="231F20"/>
          <w:spacing w:val="-8"/>
          <w:sz w:val="20"/>
        </w:rPr>
        <w:t xml:space="preserve"> </w:t>
      </w:r>
      <w:r>
        <w:rPr>
          <w:color w:val="231F20"/>
          <w:sz w:val="20"/>
        </w:rPr>
        <w:t>also</w:t>
      </w:r>
      <w:r>
        <w:rPr>
          <w:color w:val="231F20"/>
          <w:spacing w:val="-7"/>
          <w:sz w:val="20"/>
        </w:rPr>
        <w:t xml:space="preserve"> </w:t>
      </w:r>
      <w:r>
        <w:rPr>
          <w:color w:val="231F20"/>
          <w:spacing w:val="-3"/>
          <w:sz w:val="20"/>
        </w:rPr>
        <w:t>introduced,</w:t>
      </w:r>
      <w:r>
        <w:rPr>
          <w:color w:val="231F20"/>
          <w:spacing w:val="-7"/>
          <w:sz w:val="20"/>
        </w:rPr>
        <w:t xml:space="preserve"> </w:t>
      </w:r>
      <w:r>
        <w:rPr>
          <w:color w:val="231F20"/>
          <w:spacing w:val="-3"/>
          <w:sz w:val="20"/>
        </w:rPr>
        <w:t>preventing</w:t>
      </w:r>
      <w:r>
        <w:rPr>
          <w:color w:val="231F20"/>
          <w:spacing w:val="-8"/>
          <w:sz w:val="20"/>
        </w:rPr>
        <w:t xml:space="preserve"> </w:t>
      </w:r>
      <w:r>
        <w:rPr>
          <w:color w:val="231F20"/>
          <w:sz w:val="20"/>
        </w:rPr>
        <w:t>people</w:t>
      </w:r>
      <w:r>
        <w:rPr>
          <w:color w:val="231F20"/>
          <w:spacing w:val="-7"/>
          <w:sz w:val="20"/>
        </w:rPr>
        <w:t xml:space="preserve"> </w:t>
      </w:r>
      <w:r>
        <w:rPr>
          <w:color w:val="231F20"/>
          <w:sz w:val="20"/>
        </w:rPr>
        <w:t>accused</w:t>
      </w:r>
      <w:r>
        <w:rPr>
          <w:color w:val="231F20"/>
          <w:spacing w:val="-7"/>
          <w:sz w:val="20"/>
        </w:rPr>
        <w:t xml:space="preserve"> </w:t>
      </w:r>
      <w:r>
        <w:rPr>
          <w:color w:val="231F20"/>
          <w:sz w:val="20"/>
        </w:rPr>
        <w:t>of</w:t>
      </w:r>
      <w:r>
        <w:rPr>
          <w:color w:val="231F20"/>
          <w:spacing w:val="-8"/>
          <w:sz w:val="20"/>
        </w:rPr>
        <w:t xml:space="preserve"> </w:t>
      </w:r>
      <w:r>
        <w:rPr>
          <w:color w:val="231F20"/>
          <w:sz w:val="20"/>
        </w:rPr>
        <w:t>stalking</w:t>
      </w:r>
      <w:r>
        <w:rPr>
          <w:color w:val="231F20"/>
          <w:spacing w:val="-7"/>
          <w:sz w:val="20"/>
        </w:rPr>
        <w:t xml:space="preserve"> </w:t>
      </w:r>
      <w:r>
        <w:rPr>
          <w:color w:val="231F20"/>
          <w:spacing w:val="-3"/>
          <w:sz w:val="20"/>
        </w:rPr>
        <w:t>from</w:t>
      </w:r>
      <w:r>
        <w:rPr>
          <w:color w:val="231F20"/>
          <w:spacing w:val="-7"/>
          <w:sz w:val="20"/>
        </w:rPr>
        <w:t xml:space="preserve"> </w:t>
      </w:r>
      <w:r>
        <w:rPr>
          <w:color w:val="231F20"/>
          <w:sz w:val="20"/>
        </w:rPr>
        <w:t>being</w:t>
      </w:r>
      <w:r>
        <w:rPr>
          <w:color w:val="231F20"/>
          <w:spacing w:val="-8"/>
          <w:sz w:val="20"/>
        </w:rPr>
        <w:t xml:space="preserve"> </w:t>
      </w:r>
      <w:r>
        <w:rPr>
          <w:color w:val="231F20"/>
          <w:sz w:val="20"/>
        </w:rPr>
        <w:t>notified</w:t>
      </w:r>
      <w:r>
        <w:rPr>
          <w:color w:val="231F20"/>
          <w:spacing w:val="-7"/>
          <w:sz w:val="20"/>
        </w:rPr>
        <w:t xml:space="preserve"> </w:t>
      </w:r>
      <w:r>
        <w:rPr>
          <w:color w:val="231F20"/>
          <w:sz w:val="20"/>
        </w:rPr>
        <w:t xml:space="preserve">about, or appearing at </w:t>
      </w:r>
      <w:r>
        <w:rPr>
          <w:color w:val="231F20"/>
          <w:spacing w:val="-7"/>
          <w:sz w:val="20"/>
        </w:rPr>
        <w:t>VOCAT</w:t>
      </w:r>
      <w:r>
        <w:rPr>
          <w:color w:val="231F20"/>
          <w:spacing w:val="-18"/>
          <w:sz w:val="20"/>
        </w:rPr>
        <w:t xml:space="preserve"> </w:t>
      </w:r>
      <w:r>
        <w:rPr>
          <w:color w:val="231F20"/>
          <w:sz w:val="20"/>
        </w:rPr>
        <w:t>hearings.</w:t>
      </w:r>
      <w:r>
        <w:rPr>
          <w:color w:val="231F20"/>
          <w:position w:val="7"/>
          <w:sz w:val="11"/>
        </w:rPr>
        <w:t>65</w:t>
      </w:r>
    </w:p>
    <w:p w14:paraId="3A12CB7B" w14:textId="77777777" w:rsidR="00894070" w:rsidRDefault="009B7AFD">
      <w:pPr>
        <w:pStyle w:val="ListParagraph"/>
        <w:numPr>
          <w:ilvl w:val="1"/>
          <w:numId w:val="126"/>
        </w:numPr>
        <w:tabs>
          <w:tab w:val="left" w:pos="1801"/>
          <w:tab w:val="left" w:pos="1802"/>
        </w:tabs>
        <w:spacing w:before="126" w:line="206" w:lineRule="auto"/>
        <w:ind w:right="1324"/>
        <w:rPr>
          <w:sz w:val="20"/>
        </w:rPr>
      </w:pPr>
      <w:r>
        <w:rPr>
          <w:color w:val="231F20"/>
          <w:spacing w:val="-5"/>
          <w:sz w:val="20"/>
        </w:rPr>
        <w:t>Together,</w:t>
      </w:r>
      <w:r>
        <w:rPr>
          <w:color w:val="231F20"/>
          <w:spacing w:val="-9"/>
          <w:sz w:val="20"/>
        </w:rPr>
        <w:t xml:space="preserve"> </w:t>
      </w:r>
      <w:r>
        <w:rPr>
          <w:color w:val="231F20"/>
          <w:sz w:val="20"/>
        </w:rPr>
        <w:t>if</w:t>
      </w:r>
      <w:r>
        <w:rPr>
          <w:color w:val="231F20"/>
          <w:spacing w:val="-8"/>
          <w:sz w:val="20"/>
        </w:rPr>
        <w:t xml:space="preserve"> </w:t>
      </w:r>
      <w:r>
        <w:rPr>
          <w:color w:val="231F20"/>
          <w:sz w:val="20"/>
        </w:rPr>
        <w:t>implemented,</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reforms</w:t>
      </w:r>
      <w:r>
        <w:rPr>
          <w:color w:val="231F20"/>
          <w:spacing w:val="-8"/>
          <w:sz w:val="20"/>
        </w:rPr>
        <w:t xml:space="preserve"> </w:t>
      </w:r>
      <w:r>
        <w:rPr>
          <w:color w:val="231F20"/>
          <w:spacing w:val="-3"/>
          <w:sz w:val="20"/>
        </w:rPr>
        <w:t>from</w:t>
      </w:r>
      <w:r>
        <w:rPr>
          <w:color w:val="231F20"/>
          <w:spacing w:val="-9"/>
          <w:sz w:val="20"/>
        </w:rPr>
        <w:t xml:space="preserve"> </w:t>
      </w:r>
      <w:r>
        <w:rPr>
          <w:color w:val="231F20"/>
          <w:sz w:val="20"/>
        </w:rPr>
        <w:t>the</w:t>
      </w:r>
      <w:r>
        <w:rPr>
          <w:color w:val="231F20"/>
          <w:spacing w:val="-8"/>
          <w:sz w:val="20"/>
        </w:rPr>
        <w:t xml:space="preserve"> </w:t>
      </w:r>
      <w:r>
        <w:rPr>
          <w:color w:val="231F20"/>
          <w:sz w:val="20"/>
        </w:rPr>
        <w:t>CIJ</w:t>
      </w:r>
      <w:r>
        <w:rPr>
          <w:color w:val="231F20"/>
          <w:spacing w:val="-8"/>
          <w:sz w:val="20"/>
        </w:rPr>
        <w:t xml:space="preserve"> </w:t>
      </w:r>
      <w:r>
        <w:rPr>
          <w:color w:val="231F20"/>
          <w:spacing w:val="-5"/>
          <w:sz w:val="20"/>
        </w:rPr>
        <w:t>review,</w:t>
      </w:r>
      <w:r>
        <w:rPr>
          <w:color w:val="231F20"/>
          <w:spacing w:val="-8"/>
          <w:sz w:val="20"/>
        </w:rPr>
        <w:t xml:space="preserve"> </w:t>
      </w:r>
      <w:r>
        <w:rPr>
          <w:color w:val="231F20"/>
          <w:sz w:val="20"/>
        </w:rPr>
        <w:t>the</w:t>
      </w:r>
      <w:r>
        <w:rPr>
          <w:color w:val="231F20"/>
          <w:spacing w:val="-8"/>
          <w:sz w:val="20"/>
        </w:rPr>
        <w:t xml:space="preserve"> </w:t>
      </w:r>
      <w:r>
        <w:rPr>
          <w:color w:val="231F20"/>
          <w:sz w:val="20"/>
        </w:rPr>
        <w:t>Criminal</w:t>
      </w:r>
      <w:r>
        <w:rPr>
          <w:color w:val="231F20"/>
          <w:spacing w:val="-9"/>
          <w:sz w:val="20"/>
        </w:rPr>
        <w:t xml:space="preserve"> </w:t>
      </w:r>
      <w:r>
        <w:rPr>
          <w:color w:val="231F20"/>
          <w:sz w:val="20"/>
        </w:rPr>
        <w:t>Justice</w:t>
      </w:r>
      <w:r>
        <w:rPr>
          <w:color w:val="231F20"/>
          <w:spacing w:val="-8"/>
          <w:sz w:val="20"/>
        </w:rPr>
        <w:t xml:space="preserve"> </w:t>
      </w:r>
      <w:r>
        <w:rPr>
          <w:color w:val="231F20"/>
          <w:sz w:val="20"/>
        </w:rPr>
        <w:t xml:space="preserve">Inquiry and the new financial assistance scheme </w:t>
      </w:r>
      <w:r>
        <w:rPr>
          <w:color w:val="231F20"/>
          <w:spacing w:val="-3"/>
          <w:sz w:val="20"/>
        </w:rPr>
        <w:t xml:space="preserve">would </w:t>
      </w:r>
      <w:r>
        <w:rPr>
          <w:color w:val="231F20"/>
          <w:spacing w:val="-4"/>
          <w:sz w:val="20"/>
        </w:rPr>
        <w:t xml:space="preserve">greatly improve </w:t>
      </w:r>
      <w:r>
        <w:rPr>
          <w:color w:val="231F20"/>
          <w:sz w:val="20"/>
        </w:rPr>
        <w:t xml:space="preserve">support </w:t>
      </w:r>
      <w:r>
        <w:rPr>
          <w:color w:val="231F20"/>
          <w:spacing w:val="-3"/>
          <w:sz w:val="20"/>
        </w:rPr>
        <w:t xml:space="preserve">for </w:t>
      </w:r>
      <w:r>
        <w:rPr>
          <w:color w:val="231F20"/>
          <w:sz w:val="20"/>
        </w:rPr>
        <w:t xml:space="preserve">people who experience stalking. These </w:t>
      </w:r>
      <w:r>
        <w:rPr>
          <w:color w:val="231F20"/>
          <w:spacing w:val="-3"/>
          <w:sz w:val="20"/>
        </w:rPr>
        <w:t>reforms</w:t>
      </w:r>
      <w:r>
        <w:rPr>
          <w:color w:val="231F20"/>
          <w:spacing w:val="-22"/>
          <w:sz w:val="20"/>
        </w:rPr>
        <w:t xml:space="preserve"> </w:t>
      </w:r>
      <w:r>
        <w:rPr>
          <w:color w:val="231F20"/>
          <w:spacing w:val="-3"/>
          <w:sz w:val="20"/>
        </w:rPr>
        <w:t>would:</w:t>
      </w:r>
    </w:p>
    <w:p w14:paraId="7E150C8A" w14:textId="77777777" w:rsidR="00894070" w:rsidRDefault="009B7AFD">
      <w:pPr>
        <w:pStyle w:val="ListParagraph"/>
        <w:numPr>
          <w:ilvl w:val="2"/>
          <w:numId w:val="126"/>
        </w:numPr>
        <w:tabs>
          <w:tab w:val="left" w:pos="2141"/>
          <w:tab w:val="left" w:pos="2142"/>
        </w:tabs>
        <w:spacing w:before="92"/>
        <w:ind w:hanging="340"/>
        <w:rPr>
          <w:sz w:val="20"/>
        </w:rPr>
      </w:pPr>
      <w:r>
        <w:rPr>
          <w:color w:val="231F20"/>
          <w:sz w:val="20"/>
        </w:rPr>
        <w:t xml:space="preserve">help people to find and </w:t>
      </w:r>
      <w:r>
        <w:rPr>
          <w:color w:val="231F20"/>
          <w:spacing w:val="-3"/>
          <w:sz w:val="20"/>
        </w:rPr>
        <w:t>navigate</w:t>
      </w:r>
      <w:r>
        <w:rPr>
          <w:color w:val="231F20"/>
          <w:spacing w:val="-26"/>
          <w:sz w:val="20"/>
        </w:rPr>
        <w:t xml:space="preserve"> </w:t>
      </w:r>
      <w:r>
        <w:rPr>
          <w:color w:val="231F20"/>
          <w:sz w:val="20"/>
        </w:rPr>
        <w:t>services</w:t>
      </w:r>
    </w:p>
    <w:p w14:paraId="088F08B1" w14:textId="77777777" w:rsidR="00894070" w:rsidRDefault="009B7AFD">
      <w:pPr>
        <w:pStyle w:val="ListParagraph"/>
        <w:numPr>
          <w:ilvl w:val="2"/>
          <w:numId w:val="126"/>
        </w:numPr>
        <w:tabs>
          <w:tab w:val="left" w:pos="2141"/>
          <w:tab w:val="left" w:pos="2142"/>
        </w:tabs>
        <w:spacing w:before="47" w:line="259" w:lineRule="exact"/>
        <w:ind w:hanging="340"/>
        <w:rPr>
          <w:sz w:val="20"/>
        </w:rPr>
      </w:pPr>
      <w:r>
        <w:rPr>
          <w:color w:val="231F20"/>
          <w:spacing w:val="-4"/>
          <w:sz w:val="20"/>
        </w:rPr>
        <w:t>improve</w:t>
      </w:r>
      <w:r>
        <w:rPr>
          <w:color w:val="231F20"/>
          <w:spacing w:val="-6"/>
          <w:sz w:val="20"/>
        </w:rPr>
        <w:t xml:space="preserve"> </w:t>
      </w:r>
      <w:r>
        <w:rPr>
          <w:color w:val="231F20"/>
          <w:sz w:val="20"/>
        </w:rPr>
        <w:t>the</w:t>
      </w:r>
      <w:r>
        <w:rPr>
          <w:color w:val="231F20"/>
          <w:spacing w:val="-6"/>
          <w:sz w:val="20"/>
        </w:rPr>
        <w:t xml:space="preserve"> </w:t>
      </w:r>
      <w:r>
        <w:rPr>
          <w:color w:val="231F20"/>
          <w:sz w:val="20"/>
        </w:rPr>
        <w:t>quality</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responses,</w:t>
      </w:r>
      <w:r>
        <w:rPr>
          <w:color w:val="231F20"/>
          <w:spacing w:val="-6"/>
          <w:sz w:val="20"/>
        </w:rPr>
        <w:t xml:space="preserve"> </w:t>
      </w:r>
      <w:r>
        <w:rPr>
          <w:color w:val="231F20"/>
          <w:sz w:val="20"/>
        </w:rPr>
        <w:t>including</w:t>
      </w:r>
      <w:r>
        <w:rPr>
          <w:color w:val="231F20"/>
          <w:spacing w:val="-6"/>
          <w:sz w:val="20"/>
        </w:rPr>
        <w:t xml:space="preserve"> </w:t>
      </w:r>
      <w:r>
        <w:rPr>
          <w:color w:val="231F20"/>
          <w:sz w:val="20"/>
        </w:rPr>
        <w:t>therapeutic</w:t>
      </w:r>
      <w:r>
        <w:rPr>
          <w:color w:val="231F20"/>
          <w:spacing w:val="-6"/>
          <w:sz w:val="20"/>
        </w:rPr>
        <w:t xml:space="preserve"> </w:t>
      </w:r>
      <w:r>
        <w:rPr>
          <w:color w:val="231F20"/>
          <w:sz w:val="20"/>
        </w:rPr>
        <w:t>support</w:t>
      </w:r>
      <w:r>
        <w:rPr>
          <w:color w:val="231F20"/>
          <w:spacing w:val="-6"/>
          <w:sz w:val="20"/>
        </w:rPr>
        <w:t xml:space="preserve"> </w:t>
      </w:r>
      <w:r>
        <w:rPr>
          <w:color w:val="231F20"/>
          <w:sz w:val="20"/>
        </w:rPr>
        <w:t>and</w:t>
      </w:r>
      <w:r>
        <w:rPr>
          <w:color w:val="231F20"/>
          <w:spacing w:val="-6"/>
          <w:sz w:val="20"/>
        </w:rPr>
        <w:t xml:space="preserve"> </w:t>
      </w:r>
      <w:r>
        <w:rPr>
          <w:color w:val="231F20"/>
          <w:sz w:val="20"/>
        </w:rPr>
        <w:t>financial</w:t>
      </w:r>
    </w:p>
    <w:p w14:paraId="724D19D5" w14:textId="77777777" w:rsidR="00894070" w:rsidRDefault="009B7AFD">
      <w:pPr>
        <w:pStyle w:val="BodyText"/>
        <w:spacing w:line="259" w:lineRule="exact"/>
        <w:ind w:left="2141"/>
      </w:pPr>
      <w:r>
        <w:rPr>
          <w:color w:val="231F20"/>
        </w:rPr>
        <w:t>assistance</w:t>
      </w:r>
    </w:p>
    <w:p w14:paraId="12E4EEAD" w14:textId="77777777" w:rsidR="00894070" w:rsidRDefault="009B7AFD">
      <w:pPr>
        <w:pStyle w:val="ListParagraph"/>
        <w:numPr>
          <w:ilvl w:val="2"/>
          <w:numId w:val="126"/>
        </w:numPr>
        <w:tabs>
          <w:tab w:val="left" w:pos="2141"/>
          <w:tab w:val="left" w:pos="2142"/>
        </w:tabs>
        <w:spacing w:before="48"/>
        <w:ind w:hanging="340"/>
        <w:rPr>
          <w:sz w:val="20"/>
        </w:rPr>
      </w:pPr>
      <w:r>
        <w:rPr>
          <w:color w:val="231F20"/>
          <w:spacing w:val="-3"/>
          <w:sz w:val="20"/>
        </w:rPr>
        <w:t xml:space="preserve">result </w:t>
      </w:r>
      <w:r>
        <w:rPr>
          <w:color w:val="231F20"/>
          <w:sz w:val="20"/>
        </w:rPr>
        <w:t>in more recognition of the harm they</w:t>
      </w:r>
      <w:r>
        <w:rPr>
          <w:color w:val="231F20"/>
          <w:spacing w:val="-37"/>
          <w:sz w:val="20"/>
        </w:rPr>
        <w:t xml:space="preserve"> </w:t>
      </w:r>
      <w:r>
        <w:rPr>
          <w:color w:val="231F20"/>
          <w:spacing w:val="-4"/>
          <w:sz w:val="20"/>
        </w:rPr>
        <w:t xml:space="preserve">have </w:t>
      </w:r>
      <w:r>
        <w:rPr>
          <w:color w:val="231F20"/>
          <w:sz w:val="20"/>
        </w:rPr>
        <w:t>experienced.</w:t>
      </w:r>
    </w:p>
    <w:p w14:paraId="73A524B5" w14:textId="77777777" w:rsidR="00894070" w:rsidRDefault="009B7AFD">
      <w:pPr>
        <w:pStyle w:val="ListParagraph"/>
        <w:numPr>
          <w:ilvl w:val="1"/>
          <w:numId w:val="126"/>
        </w:numPr>
        <w:tabs>
          <w:tab w:val="left" w:pos="1801"/>
          <w:tab w:val="left" w:pos="1802"/>
        </w:tabs>
        <w:spacing w:before="80" w:line="206" w:lineRule="auto"/>
        <w:ind w:right="1544"/>
        <w:rPr>
          <w:sz w:val="20"/>
        </w:rPr>
      </w:pPr>
      <w:r>
        <w:rPr>
          <w:color w:val="231F20"/>
          <w:sz w:val="20"/>
        </w:rPr>
        <w:t>Some</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9"/>
          <w:sz w:val="20"/>
        </w:rPr>
        <w:t xml:space="preserve"> </w:t>
      </w:r>
      <w:r>
        <w:rPr>
          <w:color w:val="231F20"/>
          <w:sz w:val="20"/>
        </w:rPr>
        <w:t>need</w:t>
      </w:r>
      <w:r>
        <w:rPr>
          <w:color w:val="231F20"/>
          <w:spacing w:val="-9"/>
          <w:sz w:val="20"/>
        </w:rPr>
        <w:t xml:space="preserve"> </w:t>
      </w:r>
      <w:r>
        <w:rPr>
          <w:color w:val="231F20"/>
          <w:sz w:val="20"/>
        </w:rPr>
        <w:t>more</w:t>
      </w:r>
      <w:r>
        <w:rPr>
          <w:color w:val="231F20"/>
          <w:spacing w:val="-9"/>
          <w:sz w:val="20"/>
        </w:rPr>
        <w:t xml:space="preserve"> </w:t>
      </w:r>
      <w:r>
        <w:rPr>
          <w:color w:val="231F20"/>
          <w:spacing w:val="-3"/>
          <w:sz w:val="20"/>
        </w:rPr>
        <w:t>intensive</w:t>
      </w:r>
      <w:r>
        <w:rPr>
          <w:color w:val="231F20"/>
          <w:spacing w:val="-9"/>
          <w:sz w:val="20"/>
        </w:rPr>
        <w:t xml:space="preserve"> </w:t>
      </w:r>
      <w:r>
        <w:rPr>
          <w:color w:val="231F20"/>
          <w:sz w:val="20"/>
        </w:rPr>
        <w:t>support.</w:t>
      </w:r>
      <w:r>
        <w:rPr>
          <w:color w:val="231F20"/>
          <w:spacing w:val="-9"/>
          <w:sz w:val="20"/>
        </w:rPr>
        <w:t xml:space="preserve"> </w:t>
      </w:r>
      <w:r>
        <w:rPr>
          <w:color w:val="231F20"/>
          <w:sz w:val="20"/>
        </w:rPr>
        <w:t>The</w:t>
      </w:r>
      <w:r>
        <w:rPr>
          <w:color w:val="231F20"/>
          <w:spacing w:val="-9"/>
          <w:sz w:val="20"/>
        </w:rPr>
        <w:t xml:space="preserve"> </w:t>
      </w:r>
      <w:r>
        <w:rPr>
          <w:color w:val="231F20"/>
          <w:sz w:val="20"/>
        </w:rPr>
        <w:t>proposed</w:t>
      </w:r>
      <w:r>
        <w:rPr>
          <w:color w:val="231F20"/>
          <w:spacing w:val="-9"/>
          <w:sz w:val="20"/>
        </w:rPr>
        <w:t xml:space="preserve"> </w:t>
      </w:r>
      <w:r>
        <w:rPr>
          <w:color w:val="231F20"/>
          <w:sz w:val="20"/>
        </w:rPr>
        <w:t>Victims</w:t>
      </w:r>
      <w:r>
        <w:rPr>
          <w:color w:val="231F20"/>
          <w:spacing w:val="-9"/>
          <w:sz w:val="20"/>
        </w:rPr>
        <w:t xml:space="preserve"> </w:t>
      </w:r>
      <w:r>
        <w:rPr>
          <w:color w:val="231F20"/>
          <w:sz w:val="20"/>
        </w:rPr>
        <w:t>Support and</w:t>
      </w:r>
      <w:r>
        <w:rPr>
          <w:color w:val="231F20"/>
          <w:spacing w:val="-7"/>
          <w:sz w:val="20"/>
        </w:rPr>
        <w:t xml:space="preserve"> </w:t>
      </w:r>
      <w:r>
        <w:rPr>
          <w:color w:val="231F20"/>
          <w:sz w:val="20"/>
        </w:rPr>
        <w:t>Recovery</w:t>
      </w:r>
      <w:r>
        <w:rPr>
          <w:color w:val="231F20"/>
          <w:spacing w:val="-7"/>
          <w:sz w:val="20"/>
        </w:rPr>
        <w:t xml:space="preserve"> </w:t>
      </w:r>
      <w:r>
        <w:rPr>
          <w:color w:val="231F20"/>
          <w:sz w:val="20"/>
        </w:rPr>
        <w:t>Program</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CIJ</w:t>
      </w:r>
      <w:r>
        <w:rPr>
          <w:color w:val="231F20"/>
          <w:spacing w:val="-7"/>
          <w:sz w:val="20"/>
        </w:rPr>
        <w:t xml:space="preserve"> </w:t>
      </w:r>
      <w:r>
        <w:rPr>
          <w:color w:val="231F20"/>
          <w:spacing w:val="-4"/>
          <w:sz w:val="20"/>
        </w:rPr>
        <w:t>review</w:t>
      </w:r>
      <w:r>
        <w:rPr>
          <w:color w:val="231F20"/>
          <w:spacing w:val="-7"/>
          <w:sz w:val="20"/>
        </w:rPr>
        <w:t xml:space="preserve"> </w:t>
      </w:r>
      <w:r>
        <w:rPr>
          <w:color w:val="231F20"/>
          <w:sz w:val="20"/>
        </w:rPr>
        <w:t>could</w:t>
      </w:r>
      <w:r>
        <w:rPr>
          <w:color w:val="231F20"/>
          <w:spacing w:val="-7"/>
          <w:sz w:val="20"/>
        </w:rPr>
        <w:t xml:space="preserve"> </w:t>
      </w:r>
      <w:r>
        <w:rPr>
          <w:color w:val="231F20"/>
          <w:sz w:val="20"/>
        </w:rPr>
        <w:t>be</w:t>
      </w:r>
      <w:r>
        <w:rPr>
          <w:color w:val="231F20"/>
          <w:spacing w:val="-7"/>
          <w:sz w:val="20"/>
        </w:rPr>
        <w:t xml:space="preserve"> </w:t>
      </w:r>
      <w:r>
        <w:rPr>
          <w:color w:val="231F20"/>
          <w:sz w:val="20"/>
        </w:rPr>
        <w:t>a</w:t>
      </w:r>
      <w:r>
        <w:rPr>
          <w:color w:val="231F20"/>
          <w:spacing w:val="-7"/>
          <w:sz w:val="20"/>
        </w:rPr>
        <w:t xml:space="preserve"> </w:t>
      </w:r>
      <w:r>
        <w:rPr>
          <w:color w:val="231F20"/>
          <w:spacing w:val="-3"/>
          <w:sz w:val="20"/>
        </w:rPr>
        <w:t>way</w:t>
      </w:r>
      <w:r>
        <w:rPr>
          <w:color w:val="231F20"/>
          <w:spacing w:val="-7"/>
          <w:sz w:val="20"/>
        </w:rPr>
        <w:t xml:space="preserve"> </w:t>
      </w:r>
      <w:r>
        <w:rPr>
          <w:color w:val="231F20"/>
          <w:sz w:val="20"/>
        </w:rPr>
        <w:t>of</w:t>
      </w:r>
      <w:r>
        <w:rPr>
          <w:color w:val="231F20"/>
          <w:spacing w:val="-7"/>
          <w:sz w:val="20"/>
        </w:rPr>
        <w:t xml:space="preserve"> </w:t>
      </w:r>
      <w:r>
        <w:rPr>
          <w:color w:val="231F20"/>
          <w:sz w:val="20"/>
        </w:rPr>
        <w:t>meeting</w:t>
      </w:r>
      <w:r>
        <w:rPr>
          <w:color w:val="231F20"/>
          <w:spacing w:val="-7"/>
          <w:sz w:val="20"/>
        </w:rPr>
        <w:t xml:space="preserve"> </w:t>
      </w:r>
      <w:r>
        <w:rPr>
          <w:color w:val="231F20"/>
          <w:sz w:val="20"/>
        </w:rPr>
        <w:t>their</w:t>
      </w:r>
      <w:r>
        <w:rPr>
          <w:color w:val="231F20"/>
          <w:spacing w:val="-7"/>
          <w:sz w:val="20"/>
        </w:rPr>
        <w:t xml:space="preserve"> </w:t>
      </w:r>
      <w:r>
        <w:rPr>
          <w:color w:val="231F20"/>
          <w:sz w:val="20"/>
        </w:rPr>
        <w:t>needs.</w:t>
      </w:r>
    </w:p>
    <w:p w14:paraId="217E26FF" w14:textId="77777777" w:rsidR="00894070" w:rsidRDefault="009B7AFD">
      <w:pPr>
        <w:pStyle w:val="ListParagraph"/>
        <w:numPr>
          <w:ilvl w:val="1"/>
          <w:numId w:val="126"/>
        </w:numPr>
        <w:tabs>
          <w:tab w:val="left" w:pos="1801"/>
          <w:tab w:val="left" w:pos="1802"/>
        </w:tabs>
        <w:spacing w:before="122" w:line="206" w:lineRule="auto"/>
        <w:ind w:right="1531"/>
        <w:rPr>
          <w:sz w:val="20"/>
        </w:rPr>
      </w:pPr>
      <w:r>
        <w:rPr>
          <w:color w:val="231F20"/>
          <w:sz w:val="20"/>
        </w:rPr>
        <w:t>The</w:t>
      </w:r>
      <w:r>
        <w:rPr>
          <w:color w:val="231F20"/>
          <w:spacing w:val="-10"/>
          <w:sz w:val="20"/>
        </w:rPr>
        <w:t xml:space="preserve"> </w:t>
      </w:r>
      <w:r>
        <w:rPr>
          <w:color w:val="231F20"/>
          <w:sz w:val="20"/>
        </w:rPr>
        <w:t>Victorian</w:t>
      </w:r>
      <w:r>
        <w:rPr>
          <w:color w:val="231F20"/>
          <w:spacing w:val="-10"/>
          <w:sz w:val="20"/>
        </w:rPr>
        <w:t xml:space="preserve"> </w:t>
      </w:r>
      <w:r>
        <w:rPr>
          <w:color w:val="231F20"/>
          <w:spacing w:val="-3"/>
          <w:sz w:val="20"/>
        </w:rPr>
        <w:t>Government</w:t>
      </w:r>
      <w:r>
        <w:rPr>
          <w:color w:val="231F20"/>
          <w:spacing w:val="-9"/>
          <w:sz w:val="20"/>
        </w:rPr>
        <w:t xml:space="preserve"> </w:t>
      </w:r>
      <w:r>
        <w:rPr>
          <w:color w:val="231F20"/>
          <w:sz w:val="20"/>
        </w:rPr>
        <w:t>should</w:t>
      </w:r>
      <w:r>
        <w:rPr>
          <w:color w:val="231F20"/>
          <w:spacing w:val="-10"/>
          <w:sz w:val="20"/>
        </w:rPr>
        <w:t xml:space="preserve"> </w:t>
      </w:r>
      <w:r>
        <w:rPr>
          <w:color w:val="231F20"/>
          <w:sz w:val="20"/>
        </w:rPr>
        <w:t>implement</w:t>
      </w:r>
      <w:r>
        <w:rPr>
          <w:color w:val="231F20"/>
          <w:spacing w:val="-9"/>
          <w:sz w:val="20"/>
        </w:rPr>
        <w:t xml:space="preserve"> </w:t>
      </w:r>
      <w:r>
        <w:rPr>
          <w:color w:val="231F20"/>
          <w:sz w:val="20"/>
        </w:rPr>
        <w:t>these</w:t>
      </w:r>
      <w:r>
        <w:rPr>
          <w:color w:val="231F20"/>
          <w:spacing w:val="-10"/>
          <w:sz w:val="20"/>
        </w:rPr>
        <w:t xml:space="preserve"> </w:t>
      </w:r>
      <w:r>
        <w:rPr>
          <w:color w:val="231F20"/>
          <w:spacing w:val="-3"/>
          <w:sz w:val="20"/>
        </w:rPr>
        <w:t>reforms</w:t>
      </w:r>
      <w:r>
        <w:rPr>
          <w:color w:val="231F20"/>
          <w:spacing w:val="-9"/>
          <w:sz w:val="20"/>
        </w:rPr>
        <w:t xml:space="preserve"> </w:t>
      </w:r>
      <w:r>
        <w:rPr>
          <w:color w:val="231F20"/>
          <w:sz w:val="20"/>
        </w:rPr>
        <w:t>with</w:t>
      </w:r>
      <w:r>
        <w:rPr>
          <w:color w:val="231F20"/>
          <w:spacing w:val="-10"/>
          <w:sz w:val="20"/>
        </w:rPr>
        <w:t xml:space="preserve"> </w:t>
      </w:r>
      <w:r>
        <w:rPr>
          <w:color w:val="231F20"/>
          <w:sz w:val="20"/>
        </w:rPr>
        <w:t>enhancements</w:t>
      </w:r>
      <w:r>
        <w:rPr>
          <w:color w:val="231F20"/>
          <w:spacing w:val="-9"/>
          <w:sz w:val="20"/>
        </w:rPr>
        <w:t xml:space="preserve"> </w:t>
      </w:r>
      <w:r>
        <w:rPr>
          <w:color w:val="231F20"/>
          <w:spacing w:val="-3"/>
          <w:sz w:val="20"/>
        </w:rPr>
        <w:t xml:space="preserve">for </w:t>
      </w:r>
      <w:r>
        <w:rPr>
          <w:color w:val="231F20"/>
          <w:sz w:val="20"/>
        </w:rPr>
        <w:t xml:space="preserve">people who </w:t>
      </w:r>
      <w:r>
        <w:rPr>
          <w:color w:val="231F20"/>
          <w:spacing w:val="-4"/>
          <w:sz w:val="20"/>
        </w:rPr>
        <w:t xml:space="preserve">have </w:t>
      </w:r>
      <w:r>
        <w:rPr>
          <w:color w:val="231F20"/>
          <w:sz w:val="20"/>
        </w:rPr>
        <w:t>experienced stalking (discussed</w:t>
      </w:r>
      <w:r>
        <w:rPr>
          <w:color w:val="231F20"/>
          <w:spacing w:val="-26"/>
          <w:sz w:val="20"/>
        </w:rPr>
        <w:t xml:space="preserve"> </w:t>
      </w:r>
      <w:r>
        <w:rPr>
          <w:color w:val="231F20"/>
          <w:sz w:val="20"/>
        </w:rPr>
        <w:t>next).</w:t>
      </w:r>
    </w:p>
    <w:p w14:paraId="7FAAC632" w14:textId="77777777" w:rsidR="00894070" w:rsidRDefault="00894070">
      <w:pPr>
        <w:pStyle w:val="BodyText"/>
        <w:spacing w:before="11"/>
        <w:rPr>
          <w:sz w:val="21"/>
        </w:rPr>
      </w:pPr>
    </w:p>
    <w:p w14:paraId="558269E5" w14:textId="77777777" w:rsidR="00894070" w:rsidRDefault="009B7AFD">
      <w:pPr>
        <w:pStyle w:val="Heading7"/>
        <w:spacing w:line="184" w:lineRule="auto"/>
        <w:ind w:right="1459"/>
      </w:pPr>
      <w:r>
        <w:rPr>
          <w:color w:val="EA5B50"/>
        </w:rPr>
        <w:t>We recommend enhanced support for victim survivors of stalking</w:t>
      </w:r>
    </w:p>
    <w:p w14:paraId="0725483E" w14:textId="77777777" w:rsidR="00894070" w:rsidRDefault="009B7AFD">
      <w:pPr>
        <w:pStyle w:val="ListParagraph"/>
        <w:numPr>
          <w:ilvl w:val="1"/>
          <w:numId w:val="126"/>
        </w:numPr>
        <w:tabs>
          <w:tab w:val="left" w:pos="1801"/>
          <w:tab w:val="left" w:pos="1802"/>
        </w:tabs>
        <w:spacing w:before="162" w:line="206" w:lineRule="auto"/>
        <w:ind w:right="1530"/>
        <w:rPr>
          <w:sz w:val="20"/>
        </w:rPr>
      </w:pPr>
      <w:r>
        <w:rPr>
          <w:color w:val="231F20"/>
          <w:sz w:val="20"/>
        </w:rPr>
        <w:t>In</w:t>
      </w:r>
      <w:r>
        <w:rPr>
          <w:color w:val="231F20"/>
          <w:spacing w:val="-8"/>
          <w:sz w:val="20"/>
        </w:rPr>
        <w:t xml:space="preserve"> </w:t>
      </w:r>
      <w:r>
        <w:rPr>
          <w:color w:val="231F20"/>
          <w:sz w:val="20"/>
        </w:rPr>
        <w:t>our</w:t>
      </w:r>
      <w:r>
        <w:rPr>
          <w:color w:val="231F20"/>
          <w:spacing w:val="-8"/>
          <w:sz w:val="20"/>
        </w:rPr>
        <w:t xml:space="preserve"> </w:t>
      </w:r>
      <w:r>
        <w:rPr>
          <w:color w:val="231F20"/>
          <w:sz w:val="20"/>
        </w:rPr>
        <w:t>consultation</w:t>
      </w:r>
      <w:r>
        <w:rPr>
          <w:color w:val="231F20"/>
          <w:spacing w:val="-8"/>
          <w:sz w:val="20"/>
        </w:rPr>
        <w:t xml:space="preserve"> </w:t>
      </w:r>
      <w:r>
        <w:rPr>
          <w:color w:val="231F20"/>
          <w:spacing w:val="-4"/>
          <w:sz w:val="20"/>
        </w:rPr>
        <w:t>paper,</w:t>
      </w:r>
      <w:r>
        <w:rPr>
          <w:color w:val="231F20"/>
          <w:spacing w:val="-8"/>
          <w:sz w:val="20"/>
        </w:rPr>
        <w:t xml:space="preserve"> </w:t>
      </w:r>
      <w:r>
        <w:rPr>
          <w:color w:val="231F20"/>
          <w:spacing w:val="-3"/>
          <w:sz w:val="20"/>
        </w:rPr>
        <w:t>we</w:t>
      </w:r>
      <w:r>
        <w:rPr>
          <w:color w:val="231F20"/>
          <w:spacing w:val="-8"/>
          <w:sz w:val="20"/>
        </w:rPr>
        <w:t xml:space="preserve"> </w:t>
      </w:r>
      <w:r>
        <w:rPr>
          <w:color w:val="231F20"/>
          <w:sz w:val="20"/>
        </w:rPr>
        <w:t>asked</w:t>
      </w:r>
      <w:r>
        <w:rPr>
          <w:color w:val="231F20"/>
          <w:spacing w:val="-8"/>
          <w:sz w:val="20"/>
        </w:rPr>
        <w:t xml:space="preserve"> </w:t>
      </w:r>
      <w:r>
        <w:rPr>
          <w:color w:val="231F20"/>
          <w:sz w:val="20"/>
        </w:rPr>
        <w:t>about</w:t>
      </w:r>
      <w:r>
        <w:rPr>
          <w:color w:val="231F20"/>
          <w:spacing w:val="-8"/>
          <w:sz w:val="20"/>
        </w:rPr>
        <w:t xml:space="preserve"> </w:t>
      </w:r>
      <w:r>
        <w:rPr>
          <w:color w:val="231F20"/>
          <w:sz w:val="20"/>
        </w:rPr>
        <w:t>the</w:t>
      </w:r>
      <w:r>
        <w:rPr>
          <w:color w:val="231F20"/>
          <w:spacing w:val="-7"/>
          <w:sz w:val="20"/>
        </w:rPr>
        <w:t xml:space="preserve"> </w:t>
      </w:r>
      <w:r>
        <w:rPr>
          <w:color w:val="231F20"/>
          <w:sz w:val="20"/>
        </w:rPr>
        <w:t>best</w:t>
      </w:r>
      <w:r>
        <w:rPr>
          <w:color w:val="231F20"/>
          <w:spacing w:val="-8"/>
          <w:sz w:val="20"/>
        </w:rPr>
        <w:t xml:space="preserve"> </w:t>
      </w:r>
      <w:r>
        <w:rPr>
          <w:color w:val="231F20"/>
          <w:spacing w:val="-3"/>
          <w:sz w:val="20"/>
        </w:rPr>
        <w:t>way</w:t>
      </w:r>
      <w:r>
        <w:rPr>
          <w:color w:val="231F20"/>
          <w:spacing w:val="-8"/>
          <w:sz w:val="20"/>
        </w:rPr>
        <w:t xml:space="preserve"> </w:t>
      </w:r>
      <w:r>
        <w:rPr>
          <w:color w:val="231F20"/>
          <w:sz w:val="20"/>
        </w:rPr>
        <w:t>to</w:t>
      </w:r>
      <w:r>
        <w:rPr>
          <w:color w:val="231F20"/>
          <w:spacing w:val="-8"/>
          <w:sz w:val="20"/>
        </w:rPr>
        <w:t xml:space="preserve"> </w:t>
      </w:r>
      <w:r>
        <w:rPr>
          <w:color w:val="231F20"/>
          <w:spacing w:val="-3"/>
          <w:sz w:val="20"/>
        </w:rPr>
        <w:t>provide</w:t>
      </w:r>
      <w:r>
        <w:rPr>
          <w:color w:val="231F20"/>
          <w:spacing w:val="-8"/>
          <w:sz w:val="20"/>
        </w:rPr>
        <w:t xml:space="preserve"> </w:t>
      </w:r>
      <w:r>
        <w:rPr>
          <w:color w:val="231F20"/>
          <w:sz w:val="20"/>
        </w:rPr>
        <w:t>support</w:t>
      </w:r>
      <w:r>
        <w:rPr>
          <w:color w:val="231F20"/>
          <w:spacing w:val="-8"/>
          <w:sz w:val="20"/>
        </w:rPr>
        <w:t xml:space="preserve"> </w:t>
      </w:r>
      <w:r>
        <w:rPr>
          <w:color w:val="231F20"/>
          <w:sz w:val="20"/>
        </w:rPr>
        <w:t>to</w:t>
      </w:r>
      <w:r>
        <w:rPr>
          <w:color w:val="231F20"/>
          <w:spacing w:val="-8"/>
          <w:sz w:val="20"/>
        </w:rPr>
        <w:t xml:space="preserve"> </w:t>
      </w:r>
      <w:r>
        <w:rPr>
          <w:color w:val="231F20"/>
          <w:sz w:val="20"/>
        </w:rPr>
        <w:t>victim survivors of</w:t>
      </w:r>
      <w:r>
        <w:rPr>
          <w:color w:val="231F20"/>
          <w:spacing w:val="-9"/>
          <w:sz w:val="20"/>
        </w:rPr>
        <w:t xml:space="preserve"> </w:t>
      </w:r>
      <w:r>
        <w:rPr>
          <w:color w:val="231F20"/>
          <w:sz w:val="20"/>
        </w:rPr>
        <w:t>stalking.</w:t>
      </w:r>
    </w:p>
    <w:p w14:paraId="3C512207" w14:textId="77777777" w:rsidR="00894070" w:rsidRDefault="009B7AFD">
      <w:pPr>
        <w:pStyle w:val="ListParagraph"/>
        <w:numPr>
          <w:ilvl w:val="1"/>
          <w:numId w:val="126"/>
        </w:numPr>
        <w:tabs>
          <w:tab w:val="left" w:pos="1801"/>
          <w:tab w:val="left" w:pos="1802"/>
        </w:tabs>
        <w:spacing w:before="122" w:line="206" w:lineRule="auto"/>
        <w:ind w:right="1270"/>
        <w:rPr>
          <w:sz w:val="11"/>
        </w:rPr>
      </w:pPr>
      <w:r>
        <w:rPr>
          <w:color w:val="231F20"/>
          <w:spacing w:val="-6"/>
          <w:sz w:val="20"/>
        </w:rPr>
        <w:t>We</w:t>
      </w:r>
      <w:r>
        <w:rPr>
          <w:color w:val="231F20"/>
          <w:spacing w:val="-7"/>
          <w:sz w:val="20"/>
        </w:rPr>
        <w:t xml:space="preserve"> </w:t>
      </w:r>
      <w:r>
        <w:rPr>
          <w:color w:val="231F20"/>
          <w:spacing w:val="-3"/>
          <w:sz w:val="20"/>
        </w:rPr>
        <w:t>received</w:t>
      </w:r>
      <w:r>
        <w:rPr>
          <w:color w:val="231F20"/>
          <w:spacing w:val="-7"/>
          <w:sz w:val="20"/>
        </w:rPr>
        <w:t xml:space="preserve"> </w:t>
      </w:r>
      <w:r>
        <w:rPr>
          <w:color w:val="231F20"/>
          <w:sz w:val="20"/>
        </w:rPr>
        <w:t>suggestions</w:t>
      </w:r>
      <w:r>
        <w:rPr>
          <w:color w:val="231F20"/>
          <w:spacing w:val="-7"/>
          <w:sz w:val="20"/>
        </w:rPr>
        <w:t xml:space="preserve"> </w:t>
      </w:r>
      <w:r>
        <w:rPr>
          <w:color w:val="231F20"/>
          <w:sz w:val="20"/>
        </w:rPr>
        <w:t>on</w:t>
      </w:r>
      <w:r>
        <w:rPr>
          <w:color w:val="231F20"/>
          <w:spacing w:val="-7"/>
          <w:sz w:val="20"/>
        </w:rPr>
        <w:t xml:space="preserve"> </w:t>
      </w:r>
      <w:r>
        <w:rPr>
          <w:color w:val="231F20"/>
          <w:spacing w:val="-3"/>
          <w:sz w:val="20"/>
        </w:rPr>
        <w:t>potential</w:t>
      </w:r>
      <w:r>
        <w:rPr>
          <w:color w:val="231F20"/>
          <w:spacing w:val="-7"/>
          <w:sz w:val="20"/>
        </w:rPr>
        <w:t xml:space="preserve"> </w:t>
      </w:r>
      <w:r>
        <w:rPr>
          <w:color w:val="231F20"/>
          <w:sz w:val="20"/>
        </w:rPr>
        <w:t>models</w:t>
      </w:r>
      <w:r>
        <w:rPr>
          <w:color w:val="231F20"/>
          <w:spacing w:val="-6"/>
          <w:sz w:val="20"/>
        </w:rPr>
        <w:t xml:space="preserve"> </w:t>
      </w:r>
      <w:r>
        <w:rPr>
          <w:color w:val="231F20"/>
          <w:sz w:val="20"/>
        </w:rPr>
        <w:t>of</w:t>
      </w:r>
      <w:r>
        <w:rPr>
          <w:color w:val="231F20"/>
          <w:spacing w:val="-7"/>
          <w:sz w:val="20"/>
        </w:rPr>
        <w:t xml:space="preserve"> </w:t>
      </w:r>
      <w:r>
        <w:rPr>
          <w:color w:val="231F20"/>
          <w:sz w:val="20"/>
        </w:rPr>
        <w:t>victim</w:t>
      </w:r>
      <w:r>
        <w:rPr>
          <w:color w:val="231F20"/>
          <w:spacing w:val="-7"/>
          <w:sz w:val="20"/>
        </w:rPr>
        <w:t xml:space="preserve"> </w:t>
      </w:r>
      <w:r>
        <w:rPr>
          <w:color w:val="231F20"/>
          <w:sz w:val="20"/>
        </w:rPr>
        <w:t>support,</w:t>
      </w:r>
      <w:r>
        <w:rPr>
          <w:color w:val="231F20"/>
          <w:spacing w:val="-7"/>
          <w:sz w:val="20"/>
        </w:rPr>
        <w:t xml:space="preserve"> </w:t>
      </w:r>
      <w:r>
        <w:rPr>
          <w:color w:val="231F20"/>
          <w:sz w:val="20"/>
        </w:rPr>
        <w:t>ranging</w:t>
      </w:r>
      <w:r>
        <w:rPr>
          <w:color w:val="231F20"/>
          <w:spacing w:val="-7"/>
          <w:sz w:val="20"/>
        </w:rPr>
        <w:t xml:space="preserve"> </w:t>
      </w:r>
      <w:r>
        <w:rPr>
          <w:color w:val="231F20"/>
          <w:spacing w:val="-3"/>
          <w:sz w:val="20"/>
        </w:rPr>
        <w:t>from</w:t>
      </w:r>
      <w:r>
        <w:rPr>
          <w:color w:val="231F20"/>
          <w:spacing w:val="-6"/>
          <w:sz w:val="20"/>
        </w:rPr>
        <w:t xml:space="preserve"> </w:t>
      </w:r>
      <w:r>
        <w:rPr>
          <w:color w:val="231F20"/>
          <w:sz w:val="20"/>
        </w:rPr>
        <w:t>building a</w:t>
      </w:r>
      <w:r>
        <w:rPr>
          <w:color w:val="231F20"/>
          <w:spacing w:val="-7"/>
          <w:sz w:val="20"/>
        </w:rPr>
        <w:t xml:space="preserve"> </w:t>
      </w:r>
      <w:r>
        <w:rPr>
          <w:color w:val="231F20"/>
          <w:sz w:val="20"/>
        </w:rPr>
        <w:t>stalking-focused</w:t>
      </w:r>
      <w:r>
        <w:rPr>
          <w:color w:val="231F20"/>
          <w:spacing w:val="-6"/>
          <w:sz w:val="20"/>
        </w:rPr>
        <w:t xml:space="preserve"> </w:t>
      </w:r>
      <w:r>
        <w:rPr>
          <w:color w:val="231F20"/>
          <w:spacing w:val="-3"/>
          <w:sz w:val="20"/>
        </w:rPr>
        <w:t>victims’</w:t>
      </w:r>
      <w:r>
        <w:rPr>
          <w:color w:val="231F20"/>
          <w:spacing w:val="-6"/>
          <w:sz w:val="20"/>
        </w:rPr>
        <w:t xml:space="preserve"> </w:t>
      </w:r>
      <w:r>
        <w:rPr>
          <w:color w:val="231F20"/>
          <w:sz w:val="20"/>
        </w:rPr>
        <w:t>service</w:t>
      </w:r>
      <w:r>
        <w:rPr>
          <w:color w:val="231F20"/>
          <w:position w:val="7"/>
          <w:sz w:val="11"/>
        </w:rPr>
        <w:t>66</w:t>
      </w:r>
      <w:r>
        <w:rPr>
          <w:color w:val="231F20"/>
          <w:spacing w:val="18"/>
          <w:position w:val="7"/>
          <w:sz w:val="11"/>
        </w:rPr>
        <w:t xml:space="preserve"> </w:t>
      </w:r>
      <w:r>
        <w:rPr>
          <w:color w:val="231F20"/>
          <w:sz w:val="20"/>
        </w:rPr>
        <w:t>to</w:t>
      </w:r>
      <w:r>
        <w:rPr>
          <w:color w:val="231F20"/>
          <w:spacing w:val="-7"/>
          <w:sz w:val="20"/>
        </w:rPr>
        <w:t xml:space="preserve"> </w:t>
      </w:r>
      <w:r>
        <w:rPr>
          <w:color w:val="231F20"/>
          <w:sz w:val="20"/>
        </w:rPr>
        <w:t>building</w:t>
      </w:r>
      <w:r>
        <w:rPr>
          <w:color w:val="231F20"/>
          <w:spacing w:val="-6"/>
          <w:sz w:val="20"/>
        </w:rPr>
        <w:t xml:space="preserve"> </w:t>
      </w:r>
      <w:r>
        <w:rPr>
          <w:color w:val="231F20"/>
          <w:sz w:val="20"/>
        </w:rPr>
        <w:t>on</w:t>
      </w:r>
      <w:r>
        <w:rPr>
          <w:color w:val="231F20"/>
          <w:spacing w:val="-6"/>
          <w:sz w:val="20"/>
        </w:rPr>
        <w:t xml:space="preserve"> </w:t>
      </w:r>
      <w:r>
        <w:rPr>
          <w:color w:val="231F20"/>
          <w:spacing w:val="-3"/>
          <w:sz w:val="20"/>
        </w:rPr>
        <w:t>current</w:t>
      </w:r>
      <w:r>
        <w:rPr>
          <w:color w:val="231F20"/>
          <w:spacing w:val="-6"/>
          <w:sz w:val="20"/>
        </w:rPr>
        <w:t xml:space="preserve"> </w:t>
      </w:r>
      <w:r>
        <w:rPr>
          <w:color w:val="231F20"/>
          <w:sz w:val="20"/>
        </w:rPr>
        <w:t>models</w:t>
      </w:r>
      <w:r>
        <w:rPr>
          <w:color w:val="231F20"/>
          <w:spacing w:val="-6"/>
          <w:sz w:val="20"/>
        </w:rPr>
        <w:t xml:space="preserve"> </w:t>
      </w:r>
      <w:r>
        <w:rPr>
          <w:color w:val="231F20"/>
          <w:sz w:val="20"/>
        </w:rPr>
        <w:t>of</w:t>
      </w:r>
      <w:r>
        <w:rPr>
          <w:color w:val="231F20"/>
          <w:spacing w:val="-7"/>
          <w:sz w:val="20"/>
        </w:rPr>
        <w:t xml:space="preserve"> </w:t>
      </w:r>
      <w:r>
        <w:rPr>
          <w:color w:val="231F20"/>
          <w:sz w:val="20"/>
        </w:rPr>
        <w:t>victim</w:t>
      </w:r>
      <w:r>
        <w:rPr>
          <w:color w:val="231F20"/>
          <w:spacing w:val="-6"/>
          <w:sz w:val="20"/>
        </w:rPr>
        <w:t xml:space="preserve"> </w:t>
      </w:r>
      <w:r>
        <w:rPr>
          <w:color w:val="231F20"/>
          <w:sz w:val="20"/>
        </w:rPr>
        <w:t>support.</w:t>
      </w:r>
      <w:r>
        <w:rPr>
          <w:color w:val="231F20"/>
          <w:position w:val="7"/>
          <w:sz w:val="11"/>
        </w:rPr>
        <w:t>67</w:t>
      </w:r>
    </w:p>
    <w:p w14:paraId="0F934688" w14:textId="77777777" w:rsidR="00894070" w:rsidRDefault="009B7AFD">
      <w:pPr>
        <w:pStyle w:val="ListParagraph"/>
        <w:numPr>
          <w:ilvl w:val="1"/>
          <w:numId w:val="126"/>
        </w:numPr>
        <w:tabs>
          <w:tab w:val="left" w:pos="1801"/>
          <w:tab w:val="left" w:pos="1802"/>
        </w:tabs>
        <w:spacing w:before="123" w:line="206" w:lineRule="auto"/>
        <w:ind w:right="1165"/>
        <w:rPr>
          <w:sz w:val="20"/>
        </w:rPr>
      </w:pPr>
      <w:r>
        <w:rPr>
          <w:color w:val="231F20"/>
          <w:spacing w:val="-6"/>
          <w:sz w:val="20"/>
        </w:rPr>
        <w:t xml:space="preserve">We </w:t>
      </w:r>
      <w:r>
        <w:rPr>
          <w:color w:val="231F20"/>
          <w:sz w:val="20"/>
        </w:rPr>
        <w:t xml:space="preserve">decided against recommending a standalone, stalking-focused victim service. Stalking often occurs alongside other offences (see </w:t>
      </w:r>
      <w:r>
        <w:rPr>
          <w:color w:val="231F20"/>
          <w:spacing w:val="-3"/>
          <w:sz w:val="20"/>
        </w:rPr>
        <w:t xml:space="preserve">Chapter </w:t>
      </w:r>
      <w:r>
        <w:rPr>
          <w:color w:val="231F20"/>
          <w:sz w:val="20"/>
        </w:rPr>
        <w:t xml:space="preserve">7) so it </w:t>
      </w:r>
      <w:r>
        <w:rPr>
          <w:color w:val="231F20"/>
          <w:spacing w:val="-3"/>
          <w:sz w:val="20"/>
        </w:rPr>
        <w:t xml:space="preserve">would </w:t>
      </w:r>
      <w:r>
        <w:rPr>
          <w:color w:val="231F20"/>
          <w:sz w:val="20"/>
        </w:rPr>
        <w:t xml:space="preserve">make sense </w:t>
      </w:r>
      <w:r>
        <w:rPr>
          <w:color w:val="231F20"/>
          <w:spacing w:val="-3"/>
          <w:sz w:val="20"/>
        </w:rPr>
        <w:t>for</w:t>
      </w:r>
      <w:r>
        <w:rPr>
          <w:color w:val="231F20"/>
          <w:spacing w:val="-8"/>
          <w:sz w:val="20"/>
        </w:rPr>
        <w:t xml:space="preserve"> </w:t>
      </w:r>
      <w:r>
        <w:rPr>
          <w:color w:val="231F20"/>
          <w:spacing w:val="-3"/>
          <w:sz w:val="20"/>
        </w:rPr>
        <w:t>any</w:t>
      </w:r>
      <w:r>
        <w:rPr>
          <w:color w:val="231F20"/>
          <w:spacing w:val="-7"/>
          <w:sz w:val="20"/>
        </w:rPr>
        <w:t xml:space="preserve"> </w:t>
      </w:r>
      <w:r>
        <w:rPr>
          <w:color w:val="231F20"/>
          <w:sz w:val="20"/>
        </w:rPr>
        <w:t>victim</w:t>
      </w:r>
      <w:r>
        <w:rPr>
          <w:color w:val="231F20"/>
          <w:spacing w:val="-7"/>
          <w:sz w:val="20"/>
        </w:rPr>
        <w:t xml:space="preserve"> </w:t>
      </w:r>
      <w:r>
        <w:rPr>
          <w:color w:val="231F20"/>
          <w:sz w:val="20"/>
        </w:rPr>
        <w:t>support</w:t>
      </w:r>
      <w:r>
        <w:rPr>
          <w:color w:val="231F20"/>
          <w:spacing w:val="-7"/>
          <w:sz w:val="20"/>
        </w:rPr>
        <w:t xml:space="preserve"> </w:t>
      </w:r>
      <w:r>
        <w:rPr>
          <w:color w:val="231F20"/>
          <w:sz w:val="20"/>
        </w:rPr>
        <w:t>to</w:t>
      </w:r>
      <w:r>
        <w:rPr>
          <w:color w:val="231F20"/>
          <w:spacing w:val="-7"/>
          <w:sz w:val="20"/>
        </w:rPr>
        <w:t xml:space="preserve"> </w:t>
      </w:r>
      <w:r>
        <w:rPr>
          <w:color w:val="231F20"/>
          <w:sz w:val="20"/>
        </w:rPr>
        <w:t>also</w:t>
      </w:r>
      <w:r>
        <w:rPr>
          <w:color w:val="231F20"/>
          <w:spacing w:val="-7"/>
          <w:sz w:val="20"/>
        </w:rPr>
        <w:t xml:space="preserve"> </w:t>
      </w:r>
      <w:r>
        <w:rPr>
          <w:color w:val="231F20"/>
          <w:sz w:val="20"/>
        </w:rPr>
        <w:t>meet</w:t>
      </w:r>
      <w:r>
        <w:rPr>
          <w:color w:val="231F20"/>
          <w:spacing w:val="-7"/>
          <w:sz w:val="20"/>
        </w:rPr>
        <w:t xml:space="preserve"> </w:t>
      </w:r>
      <w:r>
        <w:rPr>
          <w:color w:val="231F20"/>
          <w:sz w:val="20"/>
        </w:rPr>
        <w:t>the</w:t>
      </w:r>
      <w:r>
        <w:rPr>
          <w:color w:val="231F20"/>
          <w:spacing w:val="-8"/>
          <w:sz w:val="20"/>
        </w:rPr>
        <w:t xml:space="preserve"> </w:t>
      </w:r>
      <w:r>
        <w:rPr>
          <w:color w:val="231F20"/>
          <w:sz w:val="20"/>
        </w:rPr>
        <w:t>support</w:t>
      </w:r>
      <w:r>
        <w:rPr>
          <w:color w:val="231F20"/>
          <w:spacing w:val="-7"/>
          <w:sz w:val="20"/>
        </w:rPr>
        <w:t xml:space="preserve"> </w:t>
      </w:r>
      <w:r>
        <w:rPr>
          <w:color w:val="231F20"/>
          <w:sz w:val="20"/>
        </w:rPr>
        <w:t>needs</w:t>
      </w:r>
      <w:r>
        <w:rPr>
          <w:color w:val="231F20"/>
          <w:spacing w:val="-7"/>
          <w:sz w:val="20"/>
        </w:rPr>
        <w:t xml:space="preserve"> </w:t>
      </w:r>
      <w:proofErr w:type="gramStart"/>
      <w:r>
        <w:rPr>
          <w:color w:val="231F20"/>
          <w:sz w:val="20"/>
        </w:rPr>
        <w:t>that</w:t>
      </w:r>
      <w:r>
        <w:rPr>
          <w:color w:val="231F20"/>
          <w:spacing w:val="-7"/>
          <w:sz w:val="20"/>
        </w:rPr>
        <w:t xml:space="preserve"> </w:t>
      </w:r>
      <w:r>
        <w:rPr>
          <w:color w:val="231F20"/>
          <w:sz w:val="20"/>
        </w:rPr>
        <w:t>other</w:t>
      </w:r>
      <w:r>
        <w:rPr>
          <w:color w:val="231F20"/>
          <w:spacing w:val="-7"/>
          <w:sz w:val="20"/>
        </w:rPr>
        <w:t xml:space="preserve"> </w:t>
      </w:r>
      <w:r>
        <w:rPr>
          <w:color w:val="231F20"/>
          <w:sz w:val="20"/>
        </w:rPr>
        <w:t>crimes</w:t>
      </w:r>
      <w:proofErr w:type="gramEnd"/>
      <w:r>
        <w:rPr>
          <w:color w:val="231F20"/>
          <w:spacing w:val="-7"/>
          <w:sz w:val="20"/>
        </w:rPr>
        <w:t xml:space="preserve"> </w:t>
      </w:r>
      <w:r>
        <w:rPr>
          <w:color w:val="231F20"/>
          <w:sz w:val="20"/>
        </w:rPr>
        <w:t>might</w:t>
      </w:r>
      <w:r>
        <w:rPr>
          <w:color w:val="231F20"/>
          <w:spacing w:val="-7"/>
          <w:sz w:val="20"/>
        </w:rPr>
        <w:t xml:space="preserve"> </w:t>
      </w:r>
      <w:r>
        <w:rPr>
          <w:color w:val="231F20"/>
          <w:spacing w:val="-3"/>
          <w:sz w:val="20"/>
        </w:rPr>
        <w:t>give</w:t>
      </w:r>
      <w:r>
        <w:rPr>
          <w:color w:val="231F20"/>
          <w:spacing w:val="-7"/>
          <w:sz w:val="20"/>
        </w:rPr>
        <w:t xml:space="preserve"> </w:t>
      </w:r>
      <w:r>
        <w:rPr>
          <w:color w:val="231F20"/>
          <w:sz w:val="20"/>
        </w:rPr>
        <w:t xml:space="preserve">rise </w:t>
      </w:r>
      <w:r>
        <w:rPr>
          <w:color w:val="231F20"/>
          <w:spacing w:val="-2"/>
          <w:sz w:val="20"/>
        </w:rPr>
        <w:t xml:space="preserve">to. </w:t>
      </w:r>
      <w:r>
        <w:rPr>
          <w:color w:val="231F20"/>
          <w:spacing w:val="-4"/>
          <w:sz w:val="20"/>
        </w:rPr>
        <w:t xml:space="preserve">Further, </w:t>
      </w:r>
      <w:r>
        <w:rPr>
          <w:color w:val="231F20"/>
          <w:sz w:val="20"/>
        </w:rPr>
        <w:t>while non-family violence stalking is a serious crime with serious impacts, it is</w:t>
      </w:r>
      <w:r>
        <w:rPr>
          <w:color w:val="231F20"/>
          <w:spacing w:val="-9"/>
          <w:sz w:val="20"/>
        </w:rPr>
        <w:t xml:space="preserve"> </w:t>
      </w:r>
      <w:r>
        <w:rPr>
          <w:color w:val="231F20"/>
          <w:sz w:val="20"/>
        </w:rPr>
        <w:t>less</w:t>
      </w:r>
      <w:r>
        <w:rPr>
          <w:color w:val="231F20"/>
          <w:spacing w:val="-9"/>
          <w:sz w:val="20"/>
        </w:rPr>
        <w:t xml:space="preserve"> </w:t>
      </w:r>
      <w:r>
        <w:rPr>
          <w:color w:val="231F20"/>
          <w:sz w:val="20"/>
        </w:rPr>
        <w:t>common</w:t>
      </w:r>
      <w:r>
        <w:rPr>
          <w:color w:val="231F20"/>
          <w:spacing w:val="-9"/>
          <w:sz w:val="20"/>
        </w:rPr>
        <w:t xml:space="preserve"> </w:t>
      </w:r>
      <w:r>
        <w:rPr>
          <w:color w:val="231F20"/>
          <w:sz w:val="20"/>
        </w:rPr>
        <w:t>than</w:t>
      </w:r>
      <w:r>
        <w:rPr>
          <w:color w:val="231F20"/>
          <w:spacing w:val="-8"/>
          <w:sz w:val="20"/>
        </w:rPr>
        <w:t xml:space="preserve"> </w:t>
      </w:r>
      <w:r>
        <w:rPr>
          <w:color w:val="231F20"/>
          <w:sz w:val="20"/>
        </w:rPr>
        <w:t>stalking</w:t>
      </w:r>
      <w:r>
        <w:rPr>
          <w:color w:val="231F20"/>
          <w:spacing w:val="-9"/>
          <w:sz w:val="20"/>
        </w:rPr>
        <w:t xml:space="preserve"> </w:t>
      </w:r>
      <w:r>
        <w:rPr>
          <w:color w:val="231F20"/>
          <w:sz w:val="20"/>
        </w:rPr>
        <w:t>that</w:t>
      </w:r>
      <w:r>
        <w:rPr>
          <w:color w:val="231F20"/>
          <w:spacing w:val="-9"/>
          <w:sz w:val="20"/>
        </w:rPr>
        <w:t xml:space="preserve"> </w:t>
      </w:r>
      <w:r>
        <w:rPr>
          <w:color w:val="231F20"/>
          <w:sz w:val="20"/>
        </w:rPr>
        <w:t>occurs</w:t>
      </w:r>
      <w:r>
        <w:rPr>
          <w:color w:val="231F20"/>
          <w:spacing w:val="-9"/>
          <w:sz w:val="20"/>
        </w:rPr>
        <w:t xml:space="preserve"> </w:t>
      </w:r>
      <w:r>
        <w:rPr>
          <w:color w:val="231F20"/>
          <w:sz w:val="20"/>
        </w:rPr>
        <w:t>as</w:t>
      </w:r>
      <w:r>
        <w:rPr>
          <w:color w:val="231F20"/>
          <w:spacing w:val="-8"/>
          <w:sz w:val="20"/>
        </w:rPr>
        <w:t xml:space="preserve"> </w:t>
      </w:r>
      <w:r>
        <w:rPr>
          <w:color w:val="231F20"/>
          <w:sz w:val="20"/>
        </w:rPr>
        <w:t>part</w:t>
      </w:r>
      <w:r>
        <w:rPr>
          <w:color w:val="231F20"/>
          <w:spacing w:val="-9"/>
          <w:sz w:val="20"/>
        </w:rPr>
        <w:t xml:space="preserve"> </w:t>
      </w:r>
      <w:r>
        <w:rPr>
          <w:color w:val="231F20"/>
          <w:sz w:val="20"/>
        </w:rPr>
        <w:t>of</w:t>
      </w:r>
      <w:r>
        <w:rPr>
          <w:color w:val="231F20"/>
          <w:spacing w:val="-9"/>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position w:val="7"/>
          <w:sz w:val="11"/>
        </w:rPr>
        <w:t>68</w:t>
      </w:r>
      <w:r>
        <w:rPr>
          <w:color w:val="231F20"/>
          <w:spacing w:val="16"/>
          <w:position w:val="7"/>
          <w:sz w:val="11"/>
        </w:rPr>
        <w:t xml:space="preserve"> </w:t>
      </w:r>
      <w:r>
        <w:rPr>
          <w:color w:val="231F20"/>
          <w:sz w:val="20"/>
        </w:rPr>
        <w:t>reducing</w:t>
      </w:r>
      <w:r>
        <w:rPr>
          <w:color w:val="231F20"/>
          <w:spacing w:val="-9"/>
          <w:sz w:val="20"/>
        </w:rPr>
        <w:t xml:space="preserve"> </w:t>
      </w:r>
      <w:r>
        <w:rPr>
          <w:color w:val="231F20"/>
          <w:sz w:val="20"/>
        </w:rPr>
        <w:t>the</w:t>
      </w:r>
      <w:r>
        <w:rPr>
          <w:color w:val="231F20"/>
          <w:spacing w:val="-9"/>
          <w:sz w:val="20"/>
        </w:rPr>
        <w:t xml:space="preserve"> </w:t>
      </w:r>
      <w:r>
        <w:rPr>
          <w:color w:val="231F20"/>
          <w:sz w:val="20"/>
        </w:rPr>
        <w:t xml:space="preserve">need </w:t>
      </w:r>
      <w:r>
        <w:rPr>
          <w:color w:val="231F20"/>
          <w:spacing w:val="-3"/>
          <w:sz w:val="20"/>
        </w:rPr>
        <w:t xml:space="preserve">for </w:t>
      </w:r>
      <w:r>
        <w:rPr>
          <w:color w:val="231F20"/>
          <w:sz w:val="20"/>
        </w:rPr>
        <w:t>a standalone</w:t>
      </w:r>
      <w:r>
        <w:rPr>
          <w:color w:val="231F20"/>
          <w:spacing w:val="-10"/>
          <w:sz w:val="20"/>
        </w:rPr>
        <w:t xml:space="preserve"> </w:t>
      </w:r>
      <w:r>
        <w:rPr>
          <w:color w:val="231F20"/>
          <w:sz w:val="20"/>
        </w:rPr>
        <w:t>service.</w:t>
      </w:r>
    </w:p>
    <w:p w14:paraId="200576AC" w14:textId="77777777" w:rsidR="00894070" w:rsidRDefault="00894070">
      <w:pPr>
        <w:pStyle w:val="BodyText"/>
      </w:pPr>
    </w:p>
    <w:p w14:paraId="0CA65EDB" w14:textId="77777777" w:rsidR="00894070" w:rsidRDefault="00894070">
      <w:pPr>
        <w:pStyle w:val="BodyText"/>
      </w:pPr>
    </w:p>
    <w:p w14:paraId="6591BE24" w14:textId="77777777" w:rsidR="00894070" w:rsidRDefault="00894070">
      <w:pPr>
        <w:pStyle w:val="BodyText"/>
      </w:pPr>
    </w:p>
    <w:p w14:paraId="233848F7" w14:textId="77777777" w:rsidR="00894070" w:rsidRDefault="009F6793">
      <w:pPr>
        <w:pStyle w:val="BodyText"/>
        <w:spacing w:before="2"/>
        <w:rPr>
          <w:sz w:val="18"/>
        </w:rPr>
      </w:pPr>
      <w:r>
        <w:pict w14:anchorId="6F1CC640">
          <v:line id="_x0000_s1414" style="position:absolute;z-index:251602944;mso-wrap-distance-left:0;mso-wrap-distance-right:0;mso-position-horizontal-relative:page" from="79.35pt,15.1pt" to="515.9pt,15.1pt" strokecolor="#f8cabc" strokeweight="1pt">
            <w10:wrap type="topAndBottom" anchorx="page"/>
          </v:line>
        </w:pict>
      </w:r>
    </w:p>
    <w:p w14:paraId="4153F60F" w14:textId="77777777" w:rsidR="00894070" w:rsidRDefault="009B7AFD">
      <w:pPr>
        <w:pStyle w:val="ListParagraph"/>
        <w:numPr>
          <w:ilvl w:val="0"/>
          <w:numId w:val="118"/>
        </w:numPr>
        <w:tabs>
          <w:tab w:val="left" w:pos="1801"/>
          <w:tab w:val="left" w:pos="1802"/>
        </w:tabs>
        <w:spacing w:before="91" w:line="170" w:lineRule="exact"/>
        <w:rPr>
          <w:sz w:val="13"/>
        </w:rPr>
      </w:pPr>
      <w:r>
        <w:rPr>
          <w:color w:val="231F20"/>
          <w:spacing w:val="2"/>
          <w:sz w:val="13"/>
        </w:rPr>
        <w:t xml:space="preserve">Explanatory Memorandum, </w:t>
      </w:r>
      <w:r>
        <w:rPr>
          <w:color w:val="231F20"/>
          <w:sz w:val="13"/>
        </w:rPr>
        <w:t xml:space="preserve">Victims of Crime (Financial </w:t>
      </w:r>
      <w:r>
        <w:rPr>
          <w:color w:val="231F20"/>
          <w:spacing w:val="2"/>
          <w:sz w:val="13"/>
        </w:rPr>
        <w:t xml:space="preserve">Assistance </w:t>
      </w:r>
      <w:r>
        <w:rPr>
          <w:color w:val="231F20"/>
          <w:sz w:val="13"/>
        </w:rPr>
        <w:t>Scheme) Bill 2022 s</w:t>
      </w:r>
      <w:r>
        <w:rPr>
          <w:color w:val="231F20"/>
          <w:spacing w:val="2"/>
          <w:sz w:val="13"/>
        </w:rPr>
        <w:t xml:space="preserve"> </w:t>
      </w:r>
      <w:r>
        <w:rPr>
          <w:color w:val="231F20"/>
          <w:sz w:val="13"/>
        </w:rPr>
        <w:t>10(2)(e).</w:t>
      </w:r>
    </w:p>
    <w:p w14:paraId="4D137E7B" w14:textId="77777777" w:rsidR="00894070" w:rsidRDefault="009B7AFD">
      <w:pPr>
        <w:pStyle w:val="ListParagraph"/>
        <w:numPr>
          <w:ilvl w:val="0"/>
          <w:numId w:val="118"/>
        </w:numPr>
        <w:tabs>
          <w:tab w:val="left" w:pos="1801"/>
          <w:tab w:val="left" w:pos="1802"/>
        </w:tabs>
        <w:spacing w:line="160" w:lineRule="exact"/>
        <w:rPr>
          <w:sz w:val="13"/>
        </w:rPr>
      </w:pPr>
      <w:r>
        <w:rPr>
          <w:color w:val="231F20"/>
          <w:sz w:val="13"/>
        </w:rPr>
        <w:t xml:space="preserve">Victims of Crime (Financial </w:t>
      </w:r>
      <w:r>
        <w:rPr>
          <w:color w:val="231F20"/>
          <w:spacing w:val="2"/>
          <w:sz w:val="13"/>
        </w:rPr>
        <w:t xml:space="preserve">Assistance </w:t>
      </w:r>
      <w:r>
        <w:rPr>
          <w:color w:val="231F20"/>
          <w:sz w:val="13"/>
        </w:rPr>
        <w:t xml:space="preserve">Scheme) Bill 2022 (Vic) cl </w:t>
      </w:r>
      <w:r>
        <w:rPr>
          <w:color w:val="231F20"/>
          <w:spacing w:val="2"/>
          <w:sz w:val="13"/>
        </w:rPr>
        <w:t xml:space="preserve">3(1) </w:t>
      </w:r>
      <w:r>
        <w:rPr>
          <w:color w:val="231F20"/>
          <w:sz w:val="13"/>
        </w:rPr>
        <w:t>‘relevant offence’</w:t>
      </w:r>
      <w:r>
        <w:rPr>
          <w:color w:val="231F20"/>
          <w:spacing w:val="4"/>
          <w:sz w:val="13"/>
        </w:rPr>
        <w:t xml:space="preserve"> </w:t>
      </w:r>
      <w:r>
        <w:rPr>
          <w:color w:val="231F20"/>
          <w:sz w:val="13"/>
        </w:rPr>
        <w:t>(e).</w:t>
      </w:r>
    </w:p>
    <w:p w14:paraId="7FE81723" w14:textId="77777777" w:rsidR="00894070" w:rsidRDefault="009B7AFD">
      <w:pPr>
        <w:pStyle w:val="ListParagraph"/>
        <w:numPr>
          <w:ilvl w:val="0"/>
          <w:numId w:val="118"/>
        </w:numPr>
        <w:tabs>
          <w:tab w:val="left" w:pos="1800"/>
          <w:tab w:val="left" w:pos="1802"/>
        </w:tabs>
        <w:spacing w:line="160" w:lineRule="exact"/>
        <w:rPr>
          <w:sz w:val="13"/>
        </w:rPr>
      </w:pPr>
      <w:r>
        <w:rPr>
          <w:color w:val="231F20"/>
          <w:sz w:val="13"/>
        </w:rPr>
        <w:t xml:space="preserve">Victoria, </w:t>
      </w:r>
      <w:r>
        <w:rPr>
          <w:i/>
          <w:color w:val="231F20"/>
          <w:sz w:val="13"/>
        </w:rPr>
        <w:t>Parliamentary Debates</w:t>
      </w:r>
      <w:r>
        <w:rPr>
          <w:color w:val="231F20"/>
          <w:sz w:val="13"/>
        </w:rPr>
        <w:t>, Legislative Assembly, 7 April 2022</w:t>
      </w:r>
      <w:proofErr w:type="gramStart"/>
      <w:r>
        <w:rPr>
          <w:color w:val="231F20"/>
          <w:sz w:val="13"/>
        </w:rPr>
        <w:t xml:space="preserve"> 1418</w:t>
      </w:r>
      <w:proofErr w:type="gramEnd"/>
      <w:r>
        <w:rPr>
          <w:color w:val="231F20"/>
          <w:sz w:val="13"/>
        </w:rPr>
        <w:t xml:space="preserve"> (Natalie Hutchins, Minister for Victim</w:t>
      </w:r>
      <w:r>
        <w:rPr>
          <w:color w:val="231F20"/>
          <w:spacing w:val="29"/>
          <w:sz w:val="13"/>
        </w:rPr>
        <w:t xml:space="preserve"> </w:t>
      </w:r>
      <w:r>
        <w:rPr>
          <w:color w:val="231F20"/>
          <w:spacing w:val="2"/>
          <w:sz w:val="13"/>
        </w:rPr>
        <w:t>Support).</w:t>
      </w:r>
    </w:p>
    <w:p w14:paraId="05CC8D7C" w14:textId="77777777" w:rsidR="00894070" w:rsidRDefault="009B7AFD">
      <w:pPr>
        <w:pStyle w:val="ListParagraph"/>
        <w:numPr>
          <w:ilvl w:val="0"/>
          <w:numId w:val="118"/>
        </w:numPr>
        <w:tabs>
          <w:tab w:val="left" w:pos="1800"/>
          <w:tab w:val="left" w:pos="1802"/>
        </w:tabs>
        <w:spacing w:line="160" w:lineRule="exact"/>
        <w:rPr>
          <w:sz w:val="13"/>
        </w:rPr>
      </w:pPr>
      <w:r>
        <w:rPr>
          <w:color w:val="231F20"/>
          <w:sz w:val="13"/>
        </w:rPr>
        <w:t xml:space="preserve">Natalie Hutchins, Minister for Victim </w:t>
      </w:r>
      <w:r>
        <w:rPr>
          <w:color w:val="231F20"/>
          <w:spacing w:val="2"/>
          <w:sz w:val="13"/>
        </w:rPr>
        <w:t xml:space="preserve">Support, ‘Landmark </w:t>
      </w:r>
      <w:r>
        <w:rPr>
          <w:color w:val="231F20"/>
          <w:sz w:val="13"/>
        </w:rPr>
        <w:t xml:space="preserve">Reforms </w:t>
      </w:r>
      <w:proofErr w:type="gramStart"/>
      <w:r>
        <w:rPr>
          <w:color w:val="231F20"/>
          <w:spacing w:val="-5"/>
          <w:sz w:val="13"/>
        </w:rPr>
        <w:t>To</w:t>
      </w:r>
      <w:proofErr w:type="gramEnd"/>
      <w:r>
        <w:rPr>
          <w:color w:val="231F20"/>
          <w:spacing w:val="-5"/>
          <w:sz w:val="13"/>
        </w:rPr>
        <w:t xml:space="preserve"> </w:t>
      </w:r>
      <w:r>
        <w:rPr>
          <w:color w:val="231F20"/>
          <w:spacing w:val="2"/>
          <w:sz w:val="13"/>
        </w:rPr>
        <w:t xml:space="preserve">Support </w:t>
      </w:r>
      <w:r>
        <w:rPr>
          <w:color w:val="231F20"/>
          <w:sz w:val="13"/>
        </w:rPr>
        <w:t>Victims Of Crime’ (Media Release, 6 April</w:t>
      </w:r>
      <w:r>
        <w:rPr>
          <w:color w:val="231F20"/>
          <w:spacing w:val="2"/>
          <w:sz w:val="13"/>
        </w:rPr>
        <w:t xml:space="preserve"> </w:t>
      </w:r>
      <w:r>
        <w:rPr>
          <w:color w:val="231F20"/>
          <w:sz w:val="13"/>
        </w:rPr>
        <w:t>2022).</w:t>
      </w:r>
    </w:p>
    <w:p w14:paraId="135C7397" w14:textId="77777777" w:rsidR="00894070" w:rsidRDefault="009B7AFD">
      <w:pPr>
        <w:pStyle w:val="ListParagraph"/>
        <w:numPr>
          <w:ilvl w:val="0"/>
          <w:numId w:val="118"/>
        </w:numPr>
        <w:tabs>
          <w:tab w:val="left" w:pos="1801"/>
          <w:tab w:val="left" w:pos="1802"/>
        </w:tabs>
        <w:spacing w:line="160" w:lineRule="exact"/>
        <w:rPr>
          <w:sz w:val="13"/>
        </w:rPr>
      </w:pPr>
      <w:r>
        <w:rPr>
          <w:color w:val="231F20"/>
          <w:spacing w:val="2"/>
          <w:sz w:val="13"/>
        </w:rPr>
        <w:t xml:space="preserve">Department </w:t>
      </w:r>
      <w:r>
        <w:rPr>
          <w:color w:val="231F20"/>
          <w:sz w:val="13"/>
        </w:rPr>
        <w:t xml:space="preserve">of Justice and Community Safety (Vic), </w:t>
      </w:r>
      <w:r>
        <w:rPr>
          <w:i/>
          <w:color w:val="231F20"/>
          <w:sz w:val="13"/>
        </w:rPr>
        <w:t xml:space="preserve">Victim </w:t>
      </w:r>
      <w:r>
        <w:rPr>
          <w:i/>
          <w:color w:val="231F20"/>
          <w:spacing w:val="2"/>
          <w:sz w:val="13"/>
        </w:rPr>
        <w:t xml:space="preserve">Support </w:t>
      </w:r>
      <w:r>
        <w:rPr>
          <w:i/>
          <w:color w:val="231F20"/>
          <w:sz w:val="13"/>
        </w:rPr>
        <w:t xml:space="preserve">Update </w:t>
      </w:r>
      <w:r>
        <w:rPr>
          <w:color w:val="231F20"/>
          <w:spacing w:val="2"/>
          <w:sz w:val="13"/>
        </w:rPr>
        <w:t xml:space="preserve">(Report, December </w:t>
      </w:r>
      <w:r>
        <w:rPr>
          <w:color w:val="231F20"/>
          <w:sz w:val="13"/>
        </w:rPr>
        <w:t xml:space="preserve">2021) </w:t>
      </w:r>
      <w:r>
        <w:rPr>
          <w:color w:val="231F20"/>
          <w:spacing w:val="-5"/>
          <w:sz w:val="13"/>
        </w:rPr>
        <w:t>7,</w:t>
      </w:r>
      <w:r>
        <w:rPr>
          <w:color w:val="231F20"/>
          <w:spacing w:val="4"/>
          <w:sz w:val="13"/>
        </w:rPr>
        <w:t xml:space="preserve"> </w:t>
      </w:r>
      <w:r>
        <w:rPr>
          <w:color w:val="231F20"/>
          <w:sz w:val="13"/>
        </w:rPr>
        <w:t>16.</w:t>
      </w:r>
    </w:p>
    <w:p w14:paraId="5CCB1B68" w14:textId="77777777" w:rsidR="00894070" w:rsidRDefault="009B7AFD">
      <w:pPr>
        <w:pStyle w:val="ListParagraph"/>
        <w:numPr>
          <w:ilvl w:val="0"/>
          <w:numId w:val="118"/>
        </w:numPr>
        <w:tabs>
          <w:tab w:val="left" w:pos="1801"/>
          <w:tab w:val="left" w:pos="1802"/>
        </w:tabs>
        <w:spacing w:line="160" w:lineRule="exact"/>
        <w:rPr>
          <w:sz w:val="13"/>
        </w:rPr>
      </w:pPr>
      <w:r>
        <w:rPr>
          <w:i/>
          <w:color w:val="231F20"/>
          <w:sz w:val="13"/>
        </w:rPr>
        <w:t xml:space="preserve">Victims of Crime Assistance Act </w:t>
      </w:r>
      <w:r>
        <w:rPr>
          <w:i/>
          <w:color w:val="231F20"/>
          <w:spacing w:val="2"/>
          <w:sz w:val="13"/>
        </w:rPr>
        <w:t xml:space="preserve">1996 </w:t>
      </w:r>
      <w:r>
        <w:rPr>
          <w:color w:val="231F20"/>
          <w:sz w:val="13"/>
        </w:rPr>
        <w:t>(Vic) ss 34(</w:t>
      </w:r>
      <w:proofErr w:type="gramStart"/>
      <w:r>
        <w:rPr>
          <w:color w:val="231F20"/>
          <w:sz w:val="13"/>
        </w:rPr>
        <w:t>4)(</w:t>
      </w:r>
      <w:proofErr w:type="gramEnd"/>
      <w:r>
        <w:rPr>
          <w:color w:val="231F20"/>
          <w:sz w:val="13"/>
        </w:rPr>
        <w:t>aa),</w:t>
      </w:r>
      <w:r>
        <w:rPr>
          <w:color w:val="231F20"/>
          <w:spacing w:val="1"/>
          <w:sz w:val="13"/>
        </w:rPr>
        <w:t xml:space="preserve"> </w:t>
      </w:r>
      <w:r>
        <w:rPr>
          <w:color w:val="231F20"/>
          <w:spacing w:val="2"/>
          <w:sz w:val="13"/>
        </w:rPr>
        <w:t>35(1A).</w:t>
      </w:r>
    </w:p>
    <w:p w14:paraId="76E73D6B" w14:textId="77777777" w:rsidR="00894070" w:rsidRDefault="009B7AFD">
      <w:pPr>
        <w:pStyle w:val="ListParagraph"/>
        <w:numPr>
          <w:ilvl w:val="0"/>
          <w:numId w:val="118"/>
        </w:numPr>
        <w:tabs>
          <w:tab w:val="left" w:pos="1801"/>
          <w:tab w:val="left" w:pos="1802"/>
        </w:tabs>
        <w:spacing w:line="160" w:lineRule="exact"/>
        <w:rPr>
          <w:sz w:val="13"/>
        </w:rPr>
      </w:pPr>
      <w:r>
        <w:rPr>
          <w:color w:val="231F20"/>
          <w:sz w:val="13"/>
        </w:rPr>
        <w:t>Consultation 15 (Forensicare (No 1)).</w:t>
      </w:r>
    </w:p>
    <w:p w14:paraId="202C2D81" w14:textId="77777777" w:rsidR="00894070" w:rsidRDefault="009B7AFD">
      <w:pPr>
        <w:pStyle w:val="ListParagraph"/>
        <w:numPr>
          <w:ilvl w:val="0"/>
          <w:numId w:val="118"/>
        </w:numPr>
        <w:tabs>
          <w:tab w:val="left" w:pos="1801"/>
          <w:tab w:val="left" w:pos="1802"/>
        </w:tabs>
        <w:spacing w:line="160" w:lineRule="exact"/>
        <w:rPr>
          <w:sz w:val="13"/>
        </w:rPr>
      </w:pPr>
      <w:r>
        <w:rPr>
          <w:color w:val="231F20"/>
          <w:sz w:val="13"/>
        </w:rPr>
        <w:t xml:space="preserve">See, eg, </w:t>
      </w: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2"/>
          <w:sz w:val="13"/>
        </w:rPr>
        <w:t xml:space="preserve"> </w:t>
      </w:r>
      <w:r>
        <w:rPr>
          <w:color w:val="231F20"/>
          <w:sz w:val="13"/>
        </w:rPr>
        <w:t>Commissioner).</w:t>
      </w:r>
    </w:p>
    <w:p w14:paraId="59DA7C9D" w14:textId="77777777" w:rsidR="00894070" w:rsidRDefault="009F6793">
      <w:pPr>
        <w:pStyle w:val="ListParagraph"/>
        <w:numPr>
          <w:ilvl w:val="0"/>
          <w:numId w:val="118"/>
        </w:numPr>
        <w:tabs>
          <w:tab w:val="left" w:pos="1800"/>
          <w:tab w:val="left" w:pos="1802"/>
        </w:tabs>
        <w:spacing w:before="6" w:line="213" w:lineRule="auto"/>
        <w:ind w:right="1178"/>
        <w:rPr>
          <w:sz w:val="13"/>
        </w:rPr>
      </w:pPr>
      <w:r>
        <w:pict w14:anchorId="3DEE89F3">
          <v:shape id="_x0000_s1413" type="#_x0000_t202" style="position:absolute;left:0;text-align:left;margin-left:548.75pt;margin-top:11.7pt;width:13.7pt;height:14.1pt;z-index:251677696;mso-position-horizontal-relative:page" filled="f" stroked="f">
            <v:textbox inset="0,0,0,0">
              <w:txbxContent>
                <w:p w14:paraId="68DFE121" w14:textId="77777777" w:rsidR="00894070" w:rsidRDefault="009B7AFD">
                  <w:pPr>
                    <w:spacing w:line="282" w:lineRule="exact"/>
                    <w:rPr>
                      <w:b/>
                      <w:sz w:val="24"/>
                    </w:rPr>
                  </w:pPr>
                  <w:r>
                    <w:rPr>
                      <w:b/>
                      <w:color w:val="EA5B50"/>
                      <w:spacing w:val="-3"/>
                      <w:sz w:val="24"/>
                    </w:rPr>
                    <w:t>83</w:t>
                  </w:r>
                </w:p>
              </w:txbxContent>
            </v:textbox>
            <w10:wrap anchorx="page"/>
          </v:shape>
        </w:pict>
      </w:r>
      <w:r w:rsidR="009B7AFD">
        <w:rPr>
          <w:color w:val="231F20"/>
          <w:sz w:val="13"/>
        </w:rPr>
        <w:t xml:space="preserve">As discussed in Chapter 2 of this </w:t>
      </w:r>
      <w:r w:rsidR="009B7AFD">
        <w:rPr>
          <w:color w:val="231F20"/>
          <w:spacing w:val="2"/>
          <w:sz w:val="13"/>
        </w:rPr>
        <w:t xml:space="preserve">report, </w:t>
      </w:r>
      <w:r w:rsidR="009B7AFD">
        <w:rPr>
          <w:color w:val="231F20"/>
          <w:sz w:val="13"/>
        </w:rPr>
        <w:t xml:space="preserve">most </w:t>
      </w:r>
      <w:r w:rsidR="009B7AFD">
        <w:rPr>
          <w:color w:val="231F20"/>
          <w:spacing w:val="2"/>
          <w:sz w:val="13"/>
        </w:rPr>
        <w:t xml:space="preserve">stalking </w:t>
      </w:r>
      <w:r w:rsidR="009B7AFD">
        <w:rPr>
          <w:color w:val="231F20"/>
          <w:sz w:val="13"/>
        </w:rPr>
        <w:t xml:space="preserve">recorded by </w:t>
      </w:r>
      <w:r w:rsidR="009B7AFD">
        <w:rPr>
          <w:color w:val="231F20"/>
          <w:spacing w:val="2"/>
          <w:sz w:val="13"/>
        </w:rPr>
        <w:t xml:space="preserve">police </w:t>
      </w:r>
      <w:r w:rsidR="009B7AFD">
        <w:rPr>
          <w:color w:val="231F20"/>
          <w:sz w:val="13"/>
        </w:rPr>
        <w:t xml:space="preserve">since 2011 </w:t>
      </w:r>
      <w:r w:rsidR="009B7AFD">
        <w:rPr>
          <w:color w:val="231F20"/>
          <w:spacing w:val="2"/>
          <w:sz w:val="13"/>
        </w:rPr>
        <w:t xml:space="preserve">(52 </w:t>
      </w:r>
      <w:r w:rsidR="009B7AFD">
        <w:rPr>
          <w:color w:val="231F20"/>
          <w:sz w:val="13"/>
        </w:rPr>
        <w:t xml:space="preserve">per cent) and sentenced in </w:t>
      </w:r>
      <w:proofErr w:type="gramStart"/>
      <w:r w:rsidR="009B7AFD">
        <w:rPr>
          <w:color w:val="231F20"/>
          <w:sz w:val="13"/>
        </w:rPr>
        <w:t xml:space="preserve">Victorian  </w:t>
      </w:r>
      <w:r w:rsidR="009B7AFD">
        <w:rPr>
          <w:color w:val="231F20"/>
          <w:spacing w:val="2"/>
          <w:sz w:val="13"/>
        </w:rPr>
        <w:t>courts</w:t>
      </w:r>
      <w:proofErr w:type="gramEnd"/>
      <w:r w:rsidR="009B7AFD">
        <w:rPr>
          <w:color w:val="231F20"/>
          <w:spacing w:val="2"/>
          <w:sz w:val="13"/>
        </w:rPr>
        <w:t xml:space="preserve"> </w:t>
      </w:r>
      <w:r w:rsidR="009B7AFD">
        <w:rPr>
          <w:color w:val="231F20"/>
          <w:sz w:val="13"/>
        </w:rPr>
        <w:t xml:space="preserve">since 2015 (68 per cent) has </w:t>
      </w:r>
      <w:r w:rsidR="009B7AFD">
        <w:rPr>
          <w:color w:val="231F20"/>
          <w:spacing w:val="2"/>
          <w:sz w:val="13"/>
        </w:rPr>
        <w:t xml:space="preserve">been part </w:t>
      </w:r>
      <w:r w:rsidR="009B7AFD">
        <w:rPr>
          <w:color w:val="231F20"/>
          <w:sz w:val="13"/>
        </w:rPr>
        <w:t xml:space="preserve">of family violence: Sentencing Advisory Council (Vic), </w:t>
      </w:r>
      <w:r w:rsidR="009B7AFD">
        <w:rPr>
          <w:i/>
          <w:color w:val="231F20"/>
          <w:sz w:val="13"/>
        </w:rPr>
        <w:t xml:space="preserve">Sentencing Stalking in Victoria </w:t>
      </w:r>
      <w:r w:rsidR="009B7AFD">
        <w:rPr>
          <w:color w:val="231F20"/>
          <w:spacing w:val="2"/>
          <w:sz w:val="13"/>
        </w:rPr>
        <w:t xml:space="preserve">(Report, </w:t>
      </w:r>
      <w:r w:rsidR="009B7AFD">
        <w:rPr>
          <w:color w:val="231F20"/>
          <w:sz w:val="13"/>
        </w:rPr>
        <w:t xml:space="preserve">March 2022) </w:t>
      </w:r>
      <w:r w:rsidR="009B7AFD">
        <w:rPr>
          <w:color w:val="231F20"/>
          <w:spacing w:val="2"/>
          <w:sz w:val="13"/>
        </w:rPr>
        <w:t xml:space="preserve">[3.11], </w:t>
      </w:r>
      <w:r w:rsidR="009B7AFD">
        <w:rPr>
          <w:color w:val="231F20"/>
          <w:spacing w:val="3"/>
          <w:sz w:val="13"/>
        </w:rPr>
        <w:t xml:space="preserve">[5.4] </w:t>
      </w:r>
      <w:r w:rsidR="009B7AFD">
        <w:rPr>
          <w:color w:val="231F20"/>
          <w:spacing w:val="2"/>
          <w:sz w:val="13"/>
        </w:rPr>
        <w:t xml:space="preserve">(stalking </w:t>
      </w:r>
      <w:r w:rsidR="009B7AFD">
        <w:rPr>
          <w:color w:val="231F20"/>
          <w:sz w:val="13"/>
        </w:rPr>
        <w:t xml:space="preserve">cases sentenced in the Magistrates’ </w:t>
      </w:r>
      <w:r w:rsidR="009B7AFD">
        <w:rPr>
          <w:color w:val="231F20"/>
          <w:spacing w:val="2"/>
          <w:sz w:val="13"/>
        </w:rPr>
        <w:t xml:space="preserve">Court). </w:t>
      </w:r>
      <w:r w:rsidR="009B7AFD">
        <w:rPr>
          <w:color w:val="231F20"/>
          <w:sz w:val="13"/>
        </w:rPr>
        <w:t xml:space="preserve">See </w:t>
      </w:r>
      <w:r w:rsidR="009B7AFD">
        <w:rPr>
          <w:color w:val="231F20"/>
          <w:spacing w:val="2"/>
          <w:sz w:val="13"/>
        </w:rPr>
        <w:t>also</w:t>
      </w:r>
      <w:r w:rsidR="009B7AFD">
        <w:rPr>
          <w:color w:val="231F20"/>
          <w:spacing w:val="4"/>
          <w:sz w:val="13"/>
        </w:rPr>
        <w:t xml:space="preserve"> </w:t>
      </w:r>
      <w:r w:rsidR="009B7AFD">
        <w:rPr>
          <w:color w:val="231F20"/>
          <w:sz w:val="13"/>
        </w:rPr>
        <w:t>xi.</w:t>
      </w:r>
    </w:p>
    <w:p w14:paraId="2DEB6934" w14:textId="77777777" w:rsidR="00894070" w:rsidRDefault="00894070">
      <w:pPr>
        <w:spacing w:line="213" w:lineRule="auto"/>
        <w:rPr>
          <w:sz w:val="13"/>
        </w:rPr>
        <w:sectPr w:rsidR="00894070">
          <w:pgSz w:w="11910" w:h="16840"/>
          <w:pgMar w:top="840" w:right="420" w:bottom="280" w:left="580" w:header="0" w:footer="0" w:gutter="0"/>
          <w:cols w:space="720"/>
        </w:sectPr>
      </w:pPr>
    </w:p>
    <w:p w14:paraId="3B2FC562" w14:textId="77777777" w:rsidR="00894070" w:rsidRDefault="00894070">
      <w:pPr>
        <w:pStyle w:val="BodyText"/>
      </w:pPr>
    </w:p>
    <w:p w14:paraId="32B4241C" w14:textId="77777777" w:rsidR="00894070" w:rsidRDefault="00894070">
      <w:pPr>
        <w:pStyle w:val="BodyText"/>
      </w:pPr>
    </w:p>
    <w:p w14:paraId="43DA020A" w14:textId="77777777" w:rsidR="00894070" w:rsidRDefault="00894070">
      <w:pPr>
        <w:pStyle w:val="BodyText"/>
      </w:pPr>
    </w:p>
    <w:p w14:paraId="1D8D187F" w14:textId="77777777" w:rsidR="00894070" w:rsidRDefault="00894070">
      <w:pPr>
        <w:pStyle w:val="BodyText"/>
        <w:spacing w:before="11"/>
        <w:rPr>
          <w:sz w:val="18"/>
        </w:rPr>
      </w:pPr>
    </w:p>
    <w:p w14:paraId="48F171F7" w14:textId="77777777" w:rsidR="00894070" w:rsidRDefault="009B7AFD">
      <w:pPr>
        <w:pStyle w:val="ListParagraph"/>
        <w:numPr>
          <w:ilvl w:val="1"/>
          <w:numId w:val="126"/>
        </w:numPr>
        <w:tabs>
          <w:tab w:val="left" w:pos="1801"/>
          <w:tab w:val="left" w:pos="1802"/>
        </w:tabs>
        <w:spacing w:line="206" w:lineRule="auto"/>
        <w:ind w:right="1292"/>
        <w:rPr>
          <w:sz w:val="11"/>
        </w:rPr>
      </w:pPr>
      <w:bookmarkStart w:id="102" w:name="_bookmark55"/>
      <w:bookmarkEnd w:id="102"/>
      <w:r>
        <w:rPr>
          <w:color w:val="231F20"/>
          <w:spacing w:val="-6"/>
          <w:sz w:val="20"/>
        </w:rPr>
        <w:t xml:space="preserve">We </w:t>
      </w:r>
      <w:r>
        <w:rPr>
          <w:color w:val="231F20"/>
          <w:spacing w:val="-4"/>
          <w:sz w:val="20"/>
        </w:rPr>
        <w:t xml:space="preserve">were </w:t>
      </w:r>
      <w:r>
        <w:rPr>
          <w:color w:val="231F20"/>
          <w:sz w:val="20"/>
        </w:rPr>
        <w:t xml:space="preserve">cautious about expecting a </w:t>
      </w:r>
      <w:r>
        <w:rPr>
          <w:color w:val="231F20"/>
          <w:spacing w:val="-3"/>
          <w:sz w:val="20"/>
        </w:rPr>
        <w:t xml:space="preserve">family </w:t>
      </w:r>
      <w:r>
        <w:rPr>
          <w:color w:val="231F20"/>
          <w:sz w:val="20"/>
        </w:rPr>
        <w:t xml:space="preserve">violence agency or the </w:t>
      </w:r>
      <w:r>
        <w:rPr>
          <w:color w:val="231F20"/>
          <w:spacing w:val="-3"/>
          <w:sz w:val="20"/>
        </w:rPr>
        <w:t xml:space="preserve">family </w:t>
      </w:r>
      <w:r>
        <w:rPr>
          <w:color w:val="231F20"/>
          <w:sz w:val="20"/>
        </w:rPr>
        <w:t xml:space="preserve">violence sector to </w:t>
      </w:r>
      <w:r>
        <w:rPr>
          <w:color w:val="231F20"/>
          <w:spacing w:val="-3"/>
          <w:sz w:val="20"/>
        </w:rPr>
        <w:t xml:space="preserve">provide </w:t>
      </w:r>
      <w:r>
        <w:rPr>
          <w:color w:val="231F20"/>
          <w:sz w:val="20"/>
        </w:rPr>
        <w:t xml:space="preserve">support to people who experience non-family violence stalking. This </w:t>
      </w:r>
      <w:r>
        <w:rPr>
          <w:color w:val="231F20"/>
          <w:spacing w:val="-3"/>
          <w:sz w:val="20"/>
        </w:rPr>
        <w:t xml:space="preserve">would </w:t>
      </w:r>
      <w:r>
        <w:rPr>
          <w:color w:val="231F20"/>
          <w:sz w:val="20"/>
        </w:rPr>
        <w:t xml:space="preserve">add </w:t>
      </w:r>
      <w:r>
        <w:rPr>
          <w:color w:val="231F20"/>
          <w:spacing w:val="-3"/>
          <w:sz w:val="20"/>
        </w:rPr>
        <w:t xml:space="preserve">pressure </w:t>
      </w:r>
      <w:r>
        <w:rPr>
          <w:color w:val="231F20"/>
          <w:sz w:val="20"/>
        </w:rPr>
        <w:t xml:space="preserve">to these services, which </w:t>
      </w:r>
      <w:r>
        <w:rPr>
          <w:color w:val="231F20"/>
          <w:spacing w:val="-3"/>
          <w:sz w:val="20"/>
        </w:rPr>
        <w:t xml:space="preserve">are </w:t>
      </w:r>
      <w:r>
        <w:rPr>
          <w:color w:val="231F20"/>
          <w:sz w:val="20"/>
        </w:rPr>
        <w:t>already under strain. It is also important</w:t>
      </w:r>
      <w:r>
        <w:rPr>
          <w:color w:val="231F20"/>
          <w:spacing w:val="-10"/>
          <w:sz w:val="20"/>
        </w:rPr>
        <w:t xml:space="preserve"> </w:t>
      </w:r>
      <w:r>
        <w:rPr>
          <w:color w:val="231F20"/>
          <w:sz w:val="20"/>
        </w:rPr>
        <w:t>that</w:t>
      </w:r>
      <w:r>
        <w:rPr>
          <w:color w:val="231F20"/>
          <w:spacing w:val="-10"/>
          <w:sz w:val="20"/>
        </w:rPr>
        <w:t xml:space="preserve"> </w:t>
      </w:r>
      <w:r>
        <w:rPr>
          <w:color w:val="231F20"/>
          <w:sz w:val="20"/>
        </w:rPr>
        <w:t>victim</w:t>
      </w:r>
      <w:r>
        <w:rPr>
          <w:color w:val="231F20"/>
          <w:spacing w:val="-10"/>
          <w:sz w:val="20"/>
        </w:rPr>
        <w:t xml:space="preserve"> </w:t>
      </w:r>
      <w:r>
        <w:rPr>
          <w:color w:val="231F20"/>
          <w:sz w:val="20"/>
        </w:rPr>
        <w:t>support</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non-family</w:t>
      </w:r>
      <w:r>
        <w:rPr>
          <w:color w:val="231F20"/>
          <w:spacing w:val="-10"/>
          <w:sz w:val="20"/>
        </w:rPr>
        <w:t xml:space="preserve"> </w:t>
      </w:r>
      <w:r>
        <w:rPr>
          <w:color w:val="231F20"/>
          <w:sz w:val="20"/>
        </w:rPr>
        <w:t>violence</w:t>
      </w:r>
      <w:r>
        <w:rPr>
          <w:color w:val="231F20"/>
          <w:spacing w:val="-10"/>
          <w:sz w:val="20"/>
        </w:rPr>
        <w:t xml:space="preserve"> </w:t>
      </w:r>
      <w:r>
        <w:rPr>
          <w:color w:val="231F20"/>
          <w:sz w:val="20"/>
        </w:rPr>
        <w:t>stalking</w:t>
      </w:r>
      <w:r>
        <w:rPr>
          <w:color w:val="231F20"/>
          <w:spacing w:val="-10"/>
          <w:sz w:val="20"/>
        </w:rPr>
        <w:t xml:space="preserve"> </w:t>
      </w:r>
      <w:r>
        <w:rPr>
          <w:color w:val="231F20"/>
          <w:sz w:val="20"/>
        </w:rPr>
        <w:t>feels</w:t>
      </w:r>
      <w:r>
        <w:rPr>
          <w:color w:val="231F20"/>
          <w:spacing w:val="-10"/>
          <w:sz w:val="20"/>
        </w:rPr>
        <w:t xml:space="preserve"> </w:t>
      </w:r>
      <w:r>
        <w:rPr>
          <w:color w:val="231F20"/>
          <w:spacing w:val="-3"/>
          <w:sz w:val="20"/>
        </w:rPr>
        <w:t>accessible</w:t>
      </w:r>
      <w:r>
        <w:rPr>
          <w:color w:val="231F20"/>
          <w:spacing w:val="-10"/>
          <w:sz w:val="20"/>
        </w:rPr>
        <w:t xml:space="preserve"> </w:t>
      </w:r>
      <w:r>
        <w:rPr>
          <w:color w:val="231F20"/>
          <w:sz w:val="20"/>
        </w:rPr>
        <w:t>to</w:t>
      </w:r>
      <w:r>
        <w:rPr>
          <w:color w:val="231F20"/>
          <w:spacing w:val="-10"/>
          <w:sz w:val="20"/>
        </w:rPr>
        <w:t xml:space="preserve"> </w:t>
      </w:r>
      <w:r>
        <w:rPr>
          <w:color w:val="231F20"/>
          <w:sz w:val="20"/>
        </w:rPr>
        <w:t>male victim</w:t>
      </w:r>
      <w:r>
        <w:rPr>
          <w:color w:val="231F20"/>
          <w:spacing w:val="-5"/>
          <w:sz w:val="20"/>
        </w:rPr>
        <w:t xml:space="preserve"> </w:t>
      </w:r>
      <w:r>
        <w:rPr>
          <w:color w:val="231F20"/>
          <w:sz w:val="20"/>
        </w:rPr>
        <w:t>survivors.</w:t>
      </w:r>
      <w:r>
        <w:rPr>
          <w:color w:val="231F20"/>
          <w:position w:val="7"/>
          <w:sz w:val="11"/>
        </w:rPr>
        <w:t>69</w:t>
      </w:r>
    </w:p>
    <w:p w14:paraId="71ADE28D" w14:textId="77777777" w:rsidR="00894070" w:rsidRDefault="009B7AFD">
      <w:pPr>
        <w:pStyle w:val="ListParagraph"/>
        <w:numPr>
          <w:ilvl w:val="1"/>
          <w:numId w:val="126"/>
        </w:numPr>
        <w:tabs>
          <w:tab w:val="left" w:pos="1801"/>
          <w:tab w:val="left" w:pos="1802"/>
        </w:tabs>
        <w:spacing w:before="127" w:line="206" w:lineRule="auto"/>
        <w:ind w:right="1310"/>
        <w:rPr>
          <w:sz w:val="11"/>
        </w:rPr>
      </w:pPr>
      <w:r>
        <w:rPr>
          <w:color w:val="231F20"/>
          <w:spacing w:val="-4"/>
          <w:sz w:val="20"/>
        </w:rPr>
        <w:t xml:space="preserve">Finally, </w:t>
      </w:r>
      <w:r>
        <w:rPr>
          <w:color w:val="231F20"/>
          <w:spacing w:val="-3"/>
          <w:sz w:val="20"/>
        </w:rPr>
        <w:t xml:space="preserve">we are </w:t>
      </w:r>
      <w:r>
        <w:rPr>
          <w:color w:val="231F20"/>
          <w:sz w:val="20"/>
        </w:rPr>
        <w:t xml:space="preserve">keen to make </w:t>
      </w:r>
      <w:r>
        <w:rPr>
          <w:color w:val="231F20"/>
          <w:spacing w:val="-3"/>
          <w:sz w:val="20"/>
        </w:rPr>
        <w:t xml:space="preserve">sure </w:t>
      </w:r>
      <w:r>
        <w:rPr>
          <w:color w:val="231F20"/>
          <w:sz w:val="20"/>
        </w:rPr>
        <w:t xml:space="preserve">the response is </w:t>
      </w:r>
      <w:r>
        <w:rPr>
          <w:color w:val="231F20"/>
          <w:spacing w:val="-3"/>
          <w:sz w:val="20"/>
        </w:rPr>
        <w:t xml:space="preserve">flexible. For example, </w:t>
      </w:r>
      <w:r>
        <w:rPr>
          <w:color w:val="231F20"/>
          <w:sz w:val="20"/>
        </w:rPr>
        <w:t xml:space="preserve">some people </w:t>
      </w:r>
      <w:r>
        <w:rPr>
          <w:color w:val="231F20"/>
          <w:spacing w:val="-3"/>
          <w:sz w:val="20"/>
        </w:rPr>
        <w:t xml:space="preserve">may </w:t>
      </w:r>
      <w:r>
        <w:rPr>
          <w:color w:val="231F20"/>
          <w:sz w:val="20"/>
        </w:rPr>
        <w:t xml:space="preserve">want to engage with a </w:t>
      </w:r>
      <w:r>
        <w:rPr>
          <w:color w:val="231F20"/>
          <w:spacing w:val="-3"/>
          <w:sz w:val="20"/>
        </w:rPr>
        <w:t xml:space="preserve">private </w:t>
      </w:r>
      <w:r>
        <w:rPr>
          <w:color w:val="231F20"/>
          <w:sz w:val="20"/>
        </w:rPr>
        <w:t xml:space="preserve">security firm </w:t>
      </w:r>
      <w:r>
        <w:rPr>
          <w:color w:val="231F20"/>
          <w:spacing w:val="-3"/>
          <w:sz w:val="20"/>
        </w:rPr>
        <w:t xml:space="preserve">for </w:t>
      </w:r>
      <w:r>
        <w:rPr>
          <w:color w:val="231F20"/>
          <w:sz w:val="20"/>
        </w:rPr>
        <w:t>safety interventions, rather than the</w:t>
      </w:r>
      <w:r>
        <w:rPr>
          <w:color w:val="231F20"/>
          <w:spacing w:val="-7"/>
          <w:sz w:val="20"/>
        </w:rPr>
        <w:t xml:space="preserve"> </w:t>
      </w:r>
      <w:r>
        <w:rPr>
          <w:color w:val="231F20"/>
          <w:spacing w:val="-3"/>
          <w:sz w:val="20"/>
        </w:rPr>
        <w:t>police.</w:t>
      </w:r>
      <w:r>
        <w:rPr>
          <w:color w:val="231F20"/>
          <w:spacing w:val="-3"/>
          <w:position w:val="7"/>
          <w:sz w:val="11"/>
        </w:rPr>
        <w:t>70</w:t>
      </w:r>
      <w:r>
        <w:rPr>
          <w:color w:val="231F20"/>
          <w:spacing w:val="18"/>
          <w:position w:val="7"/>
          <w:sz w:val="11"/>
        </w:rPr>
        <w:t xml:space="preserve"> </w:t>
      </w:r>
      <w:r>
        <w:rPr>
          <w:color w:val="231F20"/>
          <w:sz w:val="20"/>
        </w:rPr>
        <w:t>The</w:t>
      </w:r>
      <w:r>
        <w:rPr>
          <w:color w:val="231F20"/>
          <w:spacing w:val="-7"/>
          <w:sz w:val="20"/>
        </w:rPr>
        <w:t xml:space="preserve"> </w:t>
      </w:r>
      <w:r>
        <w:rPr>
          <w:color w:val="231F20"/>
          <w:sz w:val="20"/>
        </w:rPr>
        <w:t>police</w:t>
      </w:r>
      <w:r>
        <w:rPr>
          <w:color w:val="231F20"/>
          <w:spacing w:val="-6"/>
          <w:sz w:val="20"/>
        </w:rPr>
        <w:t xml:space="preserve"> </w:t>
      </w:r>
      <w:r>
        <w:rPr>
          <w:color w:val="231F20"/>
          <w:sz w:val="20"/>
        </w:rPr>
        <w:t>do</w:t>
      </w:r>
      <w:r>
        <w:rPr>
          <w:color w:val="231F20"/>
          <w:spacing w:val="-7"/>
          <w:sz w:val="20"/>
        </w:rPr>
        <w:t xml:space="preserve"> </w:t>
      </w:r>
      <w:r>
        <w:rPr>
          <w:color w:val="231F20"/>
          <w:sz w:val="20"/>
        </w:rPr>
        <w:t>not</w:t>
      </w:r>
      <w:r>
        <w:rPr>
          <w:color w:val="231F20"/>
          <w:spacing w:val="-6"/>
          <w:sz w:val="20"/>
        </w:rPr>
        <w:t xml:space="preserve"> </w:t>
      </w:r>
      <w:r>
        <w:rPr>
          <w:color w:val="231F20"/>
          <w:spacing w:val="-4"/>
          <w:sz w:val="20"/>
        </w:rPr>
        <w:t>have</w:t>
      </w:r>
      <w:r>
        <w:rPr>
          <w:color w:val="231F20"/>
          <w:spacing w:val="-7"/>
          <w:sz w:val="20"/>
        </w:rPr>
        <w:t xml:space="preserve"> </w:t>
      </w:r>
      <w:r>
        <w:rPr>
          <w:color w:val="231F20"/>
          <w:sz w:val="20"/>
        </w:rPr>
        <w:t>the</w:t>
      </w:r>
      <w:r>
        <w:rPr>
          <w:color w:val="231F20"/>
          <w:spacing w:val="-6"/>
          <w:sz w:val="20"/>
        </w:rPr>
        <w:t xml:space="preserve"> </w:t>
      </w:r>
      <w:r>
        <w:rPr>
          <w:color w:val="231F20"/>
          <w:sz w:val="20"/>
        </w:rPr>
        <w:t>capacity</w:t>
      </w:r>
      <w:r>
        <w:rPr>
          <w:color w:val="231F20"/>
          <w:spacing w:val="-6"/>
          <w:sz w:val="20"/>
        </w:rPr>
        <w:t xml:space="preserve"> </w:t>
      </w:r>
      <w:r>
        <w:rPr>
          <w:color w:val="231F20"/>
          <w:sz w:val="20"/>
        </w:rPr>
        <w:t>to</w:t>
      </w:r>
      <w:r>
        <w:rPr>
          <w:color w:val="231F20"/>
          <w:spacing w:val="-7"/>
          <w:sz w:val="20"/>
        </w:rPr>
        <w:t xml:space="preserve"> </w:t>
      </w:r>
      <w:r>
        <w:rPr>
          <w:color w:val="231F20"/>
          <w:sz w:val="20"/>
        </w:rPr>
        <w:t>do</w:t>
      </w:r>
      <w:r>
        <w:rPr>
          <w:color w:val="231F20"/>
          <w:spacing w:val="-6"/>
          <w:sz w:val="20"/>
        </w:rPr>
        <w:t xml:space="preserve"> </w:t>
      </w:r>
      <w:r>
        <w:rPr>
          <w:color w:val="231F20"/>
          <w:sz w:val="20"/>
        </w:rPr>
        <w:t>all</w:t>
      </w:r>
      <w:r>
        <w:rPr>
          <w:color w:val="231F20"/>
          <w:spacing w:val="-7"/>
          <w:sz w:val="20"/>
        </w:rPr>
        <w:t xml:space="preserve"> </w:t>
      </w:r>
      <w:r>
        <w:rPr>
          <w:color w:val="231F20"/>
          <w:sz w:val="20"/>
        </w:rPr>
        <w:t>the</w:t>
      </w:r>
      <w:r>
        <w:rPr>
          <w:color w:val="231F20"/>
          <w:spacing w:val="-6"/>
          <w:sz w:val="20"/>
        </w:rPr>
        <w:t xml:space="preserve"> </w:t>
      </w:r>
      <w:r>
        <w:rPr>
          <w:color w:val="231F20"/>
          <w:sz w:val="20"/>
        </w:rPr>
        <w:t>safety</w:t>
      </w:r>
      <w:r>
        <w:rPr>
          <w:color w:val="231F20"/>
          <w:spacing w:val="-7"/>
          <w:sz w:val="20"/>
        </w:rPr>
        <w:t xml:space="preserve"> </w:t>
      </w:r>
      <w:r>
        <w:rPr>
          <w:color w:val="231F20"/>
          <w:spacing w:val="-3"/>
          <w:sz w:val="20"/>
        </w:rPr>
        <w:t>work</w:t>
      </w:r>
      <w:r>
        <w:rPr>
          <w:color w:val="231F20"/>
          <w:spacing w:val="-6"/>
          <w:sz w:val="20"/>
        </w:rPr>
        <w:t xml:space="preserve"> </w:t>
      </w:r>
      <w:r>
        <w:rPr>
          <w:color w:val="231F20"/>
          <w:sz w:val="20"/>
        </w:rPr>
        <w:t>needed</w:t>
      </w:r>
      <w:r>
        <w:rPr>
          <w:color w:val="231F20"/>
          <w:spacing w:val="-6"/>
          <w:sz w:val="20"/>
        </w:rPr>
        <w:t xml:space="preserve"> </w:t>
      </w:r>
      <w:r>
        <w:rPr>
          <w:color w:val="231F20"/>
          <w:sz w:val="20"/>
        </w:rPr>
        <w:t xml:space="preserve">(see </w:t>
      </w:r>
      <w:r>
        <w:rPr>
          <w:color w:val="231F20"/>
          <w:spacing w:val="-3"/>
          <w:sz w:val="20"/>
        </w:rPr>
        <w:t>Chapter</w:t>
      </w:r>
      <w:r>
        <w:rPr>
          <w:color w:val="231F20"/>
          <w:spacing w:val="-4"/>
          <w:sz w:val="20"/>
        </w:rPr>
        <w:t xml:space="preserve"> </w:t>
      </w:r>
      <w:r>
        <w:rPr>
          <w:color w:val="231F20"/>
          <w:spacing w:val="-3"/>
          <w:sz w:val="20"/>
        </w:rPr>
        <w:t>3).</w:t>
      </w:r>
      <w:r>
        <w:rPr>
          <w:color w:val="231F20"/>
          <w:spacing w:val="-3"/>
          <w:position w:val="7"/>
          <w:sz w:val="11"/>
        </w:rPr>
        <w:t>71</w:t>
      </w:r>
    </w:p>
    <w:p w14:paraId="36D9228D" w14:textId="77777777" w:rsidR="00894070" w:rsidRDefault="009B7AFD">
      <w:pPr>
        <w:pStyle w:val="ListParagraph"/>
        <w:numPr>
          <w:ilvl w:val="1"/>
          <w:numId w:val="126"/>
        </w:numPr>
        <w:tabs>
          <w:tab w:val="left" w:pos="1801"/>
          <w:tab w:val="left" w:pos="1802"/>
        </w:tabs>
        <w:spacing w:before="125" w:line="206" w:lineRule="auto"/>
        <w:ind w:right="1618"/>
        <w:rPr>
          <w:sz w:val="20"/>
        </w:rPr>
      </w:pPr>
      <w:r>
        <w:rPr>
          <w:color w:val="231F20"/>
          <w:sz w:val="20"/>
        </w:rPr>
        <w:t>The</w:t>
      </w:r>
      <w:r>
        <w:rPr>
          <w:color w:val="231F20"/>
          <w:spacing w:val="-11"/>
          <w:sz w:val="20"/>
        </w:rPr>
        <w:t xml:space="preserve"> </w:t>
      </w:r>
      <w:r>
        <w:rPr>
          <w:color w:val="231F20"/>
          <w:sz w:val="20"/>
        </w:rPr>
        <w:t>best</w:t>
      </w:r>
      <w:r>
        <w:rPr>
          <w:color w:val="231F20"/>
          <w:spacing w:val="-10"/>
          <w:sz w:val="20"/>
        </w:rPr>
        <w:t xml:space="preserve"> </w:t>
      </w:r>
      <w:r>
        <w:rPr>
          <w:color w:val="231F20"/>
          <w:spacing w:val="-4"/>
          <w:sz w:val="20"/>
        </w:rPr>
        <w:t>way</w:t>
      </w:r>
      <w:r>
        <w:rPr>
          <w:color w:val="231F20"/>
          <w:spacing w:val="-10"/>
          <w:sz w:val="20"/>
        </w:rPr>
        <w:t xml:space="preserve"> </w:t>
      </w:r>
      <w:r>
        <w:rPr>
          <w:color w:val="231F20"/>
          <w:sz w:val="20"/>
        </w:rPr>
        <w:t>to</w:t>
      </w:r>
      <w:r>
        <w:rPr>
          <w:color w:val="231F20"/>
          <w:spacing w:val="-10"/>
          <w:sz w:val="20"/>
        </w:rPr>
        <w:t xml:space="preserve"> </w:t>
      </w:r>
      <w:r>
        <w:rPr>
          <w:color w:val="231F20"/>
          <w:spacing w:val="-3"/>
          <w:sz w:val="20"/>
        </w:rPr>
        <w:t>provide</w:t>
      </w:r>
      <w:r>
        <w:rPr>
          <w:color w:val="231F20"/>
          <w:spacing w:val="-10"/>
          <w:sz w:val="20"/>
        </w:rPr>
        <w:t xml:space="preserve"> </w:t>
      </w:r>
      <w:r>
        <w:rPr>
          <w:color w:val="231F20"/>
          <w:sz w:val="20"/>
        </w:rPr>
        <w:t>support</w:t>
      </w:r>
      <w:r>
        <w:rPr>
          <w:color w:val="231F20"/>
          <w:spacing w:val="-10"/>
          <w:sz w:val="20"/>
        </w:rPr>
        <w:t xml:space="preserve"> </w:t>
      </w:r>
      <w:r>
        <w:rPr>
          <w:color w:val="231F20"/>
          <w:sz w:val="20"/>
        </w:rPr>
        <w:t>to</w:t>
      </w:r>
      <w:r>
        <w:rPr>
          <w:color w:val="231F20"/>
          <w:spacing w:val="-11"/>
          <w:sz w:val="20"/>
        </w:rPr>
        <w:t xml:space="preserve"> </w:t>
      </w:r>
      <w:r>
        <w:rPr>
          <w:color w:val="231F20"/>
          <w:sz w:val="20"/>
        </w:rPr>
        <w:t>victim</w:t>
      </w:r>
      <w:r>
        <w:rPr>
          <w:color w:val="231F20"/>
          <w:spacing w:val="-10"/>
          <w:sz w:val="20"/>
        </w:rPr>
        <w:t xml:space="preserve"> </w:t>
      </w:r>
      <w:r>
        <w:rPr>
          <w:color w:val="231F20"/>
          <w:sz w:val="20"/>
        </w:rPr>
        <w:t>survivors</w:t>
      </w:r>
      <w:r>
        <w:rPr>
          <w:color w:val="231F20"/>
          <w:spacing w:val="-10"/>
          <w:sz w:val="20"/>
        </w:rPr>
        <w:t xml:space="preserve"> </w:t>
      </w:r>
      <w:r>
        <w:rPr>
          <w:color w:val="231F20"/>
          <w:sz w:val="20"/>
        </w:rPr>
        <w:t>of</w:t>
      </w:r>
      <w:r>
        <w:rPr>
          <w:color w:val="231F20"/>
          <w:spacing w:val="-10"/>
          <w:sz w:val="20"/>
        </w:rPr>
        <w:t xml:space="preserve"> </w:t>
      </w:r>
      <w:r>
        <w:rPr>
          <w:color w:val="231F20"/>
          <w:sz w:val="20"/>
        </w:rPr>
        <w:t>non-family</w:t>
      </w:r>
      <w:r>
        <w:rPr>
          <w:color w:val="231F20"/>
          <w:spacing w:val="-10"/>
          <w:sz w:val="20"/>
        </w:rPr>
        <w:t xml:space="preserve"> </w:t>
      </w:r>
      <w:r>
        <w:rPr>
          <w:color w:val="231F20"/>
          <w:sz w:val="20"/>
        </w:rPr>
        <w:t>violence</w:t>
      </w:r>
      <w:r>
        <w:rPr>
          <w:color w:val="231F20"/>
          <w:spacing w:val="-10"/>
          <w:sz w:val="20"/>
        </w:rPr>
        <w:t xml:space="preserve"> </w:t>
      </w:r>
      <w:r>
        <w:rPr>
          <w:color w:val="231F20"/>
          <w:sz w:val="20"/>
        </w:rPr>
        <w:t xml:space="preserve">stalking is </w:t>
      </w:r>
      <w:r>
        <w:rPr>
          <w:color w:val="231F20"/>
          <w:spacing w:val="-3"/>
          <w:sz w:val="20"/>
        </w:rPr>
        <w:t xml:space="preserve">through </w:t>
      </w:r>
      <w:r>
        <w:rPr>
          <w:color w:val="231F20"/>
          <w:sz w:val="20"/>
        </w:rPr>
        <w:t>an enhanced generalist model of victim support. This is a model based on</w:t>
      </w:r>
      <w:r>
        <w:rPr>
          <w:color w:val="231F20"/>
          <w:spacing w:val="-9"/>
          <w:sz w:val="20"/>
        </w:rPr>
        <w:t xml:space="preserve"> </w:t>
      </w:r>
      <w:r>
        <w:rPr>
          <w:color w:val="231F20"/>
          <w:sz w:val="20"/>
        </w:rPr>
        <w:t>the</w:t>
      </w:r>
      <w:r>
        <w:rPr>
          <w:color w:val="231F20"/>
          <w:spacing w:val="-9"/>
          <w:sz w:val="20"/>
        </w:rPr>
        <w:t xml:space="preserve"> </w:t>
      </w:r>
      <w:r>
        <w:rPr>
          <w:color w:val="231F20"/>
          <w:sz w:val="20"/>
        </w:rPr>
        <w:t>CIJ</w:t>
      </w:r>
      <w:r>
        <w:rPr>
          <w:color w:val="231F20"/>
          <w:spacing w:val="-8"/>
          <w:sz w:val="20"/>
        </w:rPr>
        <w:t xml:space="preserve"> </w:t>
      </w:r>
      <w:r>
        <w:rPr>
          <w:color w:val="231F20"/>
          <w:spacing w:val="-4"/>
          <w:sz w:val="20"/>
        </w:rPr>
        <w:t>review</w:t>
      </w:r>
      <w:r>
        <w:rPr>
          <w:color w:val="231F20"/>
          <w:spacing w:val="-9"/>
          <w:sz w:val="20"/>
        </w:rPr>
        <w:t xml:space="preserve"> </w:t>
      </w:r>
      <w:r>
        <w:rPr>
          <w:color w:val="231F20"/>
          <w:sz w:val="20"/>
        </w:rPr>
        <w:t>and</w:t>
      </w:r>
      <w:r>
        <w:rPr>
          <w:color w:val="231F20"/>
          <w:spacing w:val="-9"/>
          <w:sz w:val="20"/>
        </w:rPr>
        <w:t xml:space="preserve"> </w:t>
      </w:r>
      <w:r>
        <w:rPr>
          <w:color w:val="231F20"/>
          <w:sz w:val="20"/>
        </w:rPr>
        <w:t>the</w:t>
      </w:r>
      <w:r>
        <w:rPr>
          <w:color w:val="231F20"/>
          <w:spacing w:val="-8"/>
          <w:sz w:val="20"/>
        </w:rPr>
        <w:t xml:space="preserve"> </w:t>
      </w:r>
      <w:r>
        <w:rPr>
          <w:color w:val="231F20"/>
          <w:sz w:val="20"/>
        </w:rPr>
        <w:t>Victims</w:t>
      </w:r>
      <w:r>
        <w:rPr>
          <w:color w:val="231F20"/>
          <w:spacing w:val="-9"/>
          <w:sz w:val="20"/>
        </w:rPr>
        <w:t xml:space="preserve"> </w:t>
      </w:r>
      <w:r>
        <w:rPr>
          <w:color w:val="231F20"/>
          <w:sz w:val="20"/>
        </w:rPr>
        <w:t>of</w:t>
      </w:r>
      <w:r>
        <w:rPr>
          <w:color w:val="231F20"/>
          <w:spacing w:val="-8"/>
          <w:sz w:val="20"/>
        </w:rPr>
        <w:t xml:space="preserve"> </w:t>
      </w:r>
      <w:r>
        <w:rPr>
          <w:color w:val="231F20"/>
          <w:sz w:val="20"/>
        </w:rPr>
        <w:t>Crime</w:t>
      </w:r>
      <w:r>
        <w:rPr>
          <w:color w:val="231F20"/>
          <w:spacing w:val="-9"/>
          <w:sz w:val="20"/>
        </w:rPr>
        <w:t xml:space="preserve"> </w:t>
      </w:r>
      <w:r>
        <w:rPr>
          <w:color w:val="231F20"/>
          <w:sz w:val="20"/>
        </w:rPr>
        <w:t>Commissioner’s</w:t>
      </w:r>
      <w:r>
        <w:rPr>
          <w:color w:val="231F20"/>
          <w:spacing w:val="-9"/>
          <w:sz w:val="20"/>
        </w:rPr>
        <w:t xml:space="preserve"> </w:t>
      </w:r>
      <w:r>
        <w:rPr>
          <w:color w:val="231F20"/>
          <w:sz w:val="20"/>
        </w:rPr>
        <w:t>submission.</w:t>
      </w:r>
      <w:r>
        <w:rPr>
          <w:color w:val="231F20"/>
          <w:position w:val="7"/>
          <w:sz w:val="11"/>
        </w:rPr>
        <w:t>72</w:t>
      </w:r>
      <w:r>
        <w:rPr>
          <w:color w:val="231F20"/>
          <w:spacing w:val="16"/>
          <w:position w:val="7"/>
          <w:sz w:val="11"/>
        </w:rPr>
        <w:t xml:space="preserve"> </w:t>
      </w:r>
      <w:r>
        <w:rPr>
          <w:color w:val="231F20"/>
          <w:sz w:val="20"/>
        </w:rPr>
        <w:t>The</w:t>
      </w:r>
      <w:r>
        <w:rPr>
          <w:color w:val="231F20"/>
          <w:spacing w:val="-9"/>
          <w:sz w:val="20"/>
        </w:rPr>
        <w:t xml:space="preserve"> </w:t>
      </w:r>
      <w:r>
        <w:rPr>
          <w:color w:val="231F20"/>
          <w:sz w:val="20"/>
        </w:rPr>
        <w:t>main components</w:t>
      </w:r>
      <w:r>
        <w:rPr>
          <w:color w:val="231F20"/>
          <w:spacing w:val="-5"/>
          <w:sz w:val="20"/>
        </w:rPr>
        <w:t xml:space="preserve"> </w:t>
      </w:r>
      <w:r>
        <w:rPr>
          <w:color w:val="231F20"/>
          <w:spacing w:val="-3"/>
          <w:sz w:val="20"/>
        </w:rPr>
        <w:t>are:</w:t>
      </w:r>
    </w:p>
    <w:p w14:paraId="430F4148" w14:textId="77777777" w:rsidR="00894070" w:rsidRDefault="009B7AFD">
      <w:pPr>
        <w:pStyle w:val="ListParagraph"/>
        <w:numPr>
          <w:ilvl w:val="2"/>
          <w:numId w:val="126"/>
        </w:numPr>
        <w:tabs>
          <w:tab w:val="left" w:pos="2141"/>
          <w:tab w:val="left" w:pos="2142"/>
        </w:tabs>
        <w:spacing w:before="92"/>
        <w:ind w:hanging="340"/>
        <w:rPr>
          <w:sz w:val="20"/>
        </w:rPr>
      </w:pPr>
      <w:r>
        <w:rPr>
          <w:color w:val="231F20"/>
          <w:sz w:val="20"/>
        </w:rPr>
        <w:t>an</w:t>
      </w:r>
      <w:r>
        <w:rPr>
          <w:color w:val="231F20"/>
          <w:spacing w:val="-5"/>
          <w:sz w:val="20"/>
        </w:rPr>
        <w:t xml:space="preserve"> </w:t>
      </w:r>
      <w:r>
        <w:rPr>
          <w:color w:val="231F20"/>
          <w:spacing w:val="-3"/>
          <w:sz w:val="20"/>
        </w:rPr>
        <w:t>improved</w:t>
      </w:r>
      <w:r>
        <w:rPr>
          <w:color w:val="231F20"/>
          <w:spacing w:val="-5"/>
          <w:sz w:val="20"/>
        </w:rPr>
        <w:t xml:space="preserve"> </w:t>
      </w:r>
      <w:r>
        <w:rPr>
          <w:color w:val="231F20"/>
          <w:sz w:val="20"/>
        </w:rPr>
        <w:t>victim</w:t>
      </w:r>
      <w:r>
        <w:rPr>
          <w:color w:val="231F20"/>
          <w:spacing w:val="-4"/>
          <w:sz w:val="20"/>
        </w:rPr>
        <w:t xml:space="preserve"> </w:t>
      </w:r>
      <w:r>
        <w:rPr>
          <w:color w:val="231F20"/>
          <w:sz w:val="20"/>
        </w:rPr>
        <w:t>support</w:t>
      </w:r>
      <w:r>
        <w:rPr>
          <w:color w:val="231F20"/>
          <w:spacing w:val="-5"/>
          <w:sz w:val="20"/>
        </w:rPr>
        <w:t xml:space="preserve"> </w:t>
      </w:r>
      <w:r>
        <w:rPr>
          <w:color w:val="231F20"/>
          <w:sz w:val="20"/>
        </w:rPr>
        <w:t>service</w:t>
      </w:r>
      <w:r>
        <w:rPr>
          <w:color w:val="231F20"/>
          <w:spacing w:val="-4"/>
          <w:sz w:val="20"/>
        </w:rPr>
        <w:t xml:space="preserve"> </w:t>
      </w:r>
      <w:r>
        <w:rPr>
          <w:color w:val="231F20"/>
          <w:sz w:val="20"/>
        </w:rPr>
        <w:t>model,</w:t>
      </w:r>
      <w:r>
        <w:rPr>
          <w:color w:val="231F20"/>
          <w:spacing w:val="-5"/>
          <w:sz w:val="20"/>
        </w:rPr>
        <w:t xml:space="preserve"> </w:t>
      </w:r>
      <w:r>
        <w:rPr>
          <w:color w:val="231F20"/>
          <w:sz w:val="20"/>
        </w:rPr>
        <w:t>as</w:t>
      </w:r>
      <w:r>
        <w:rPr>
          <w:color w:val="231F20"/>
          <w:spacing w:val="-4"/>
          <w:sz w:val="20"/>
        </w:rPr>
        <w:t xml:space="preserve"> </w:t>
      </w:r>
      <w:r>
        <w:rPr>
          <w:color w:val="231F20"/>
          <w:sz w:val="20"/>
        </w:rPr>
        <w:t>outlined</w:t>
      </w:r>
      <w:r>
        <w:rPr>
          <w:color w:val="231F20"/>
          <w:spacing w:val="-5"/>
          <w:sz w:val="20"/>
        </w:rPr>
        <w:t xml:space="preserve"> </w:t>
      </w:r>
      <w:r>
        <w:rPr>
          <w:color w:val="231F20"/>
          <w:sz w:val="20"/>
        </w:rPr>
        <w:t>in</w:t>
      </w:r>
      <w:r>
        <w:rPr>
          <w:color w:val="231F20"/>
          <w:spacing w:val="-5"/>
          <w:sz w:val="20"/>
        </w:rPr>
        <w:t xml:space="preserve"> </w:t>
      </w:r>
      <w:r>
        <w:rPr>
          <w:color w:val="231F20"/>
          <w:sz w:val="20"/>
        </w:rPr>
        <w:t>the</w:t>
      </w:r>
      <w:r>
        <w:rPr>
          <w:color w:val="231F20"/>
          <w:spacing w:val="-4"/>
          <w:sz w:val="20"/>
        </w:rPr>
        <w:t xml:space="preserve"> </w:t>
      </w:r>
      <w:r>
        <w:rPr>
          <w:color w:val="231F20"/>
          <w:sz w:val="20"/>
        </w:rPr>
        <w:t>CIJ</w:t>
      </w:r>
      <w:r>
        <w:rPr>
          <w:color w:val="231F20"/>
          <w:spacing w:val="-5"/>
          <w:sz w:val="20"/>
        </w:rPr>
        <w:t xml:space="preserve"> </w:t>
      </w:r>
      <w:r>
        <w:rPr>
          <w:color w:val="231F20"/>
          <w:spacing w:val="-4"/>
          <w:sz w:val="20"/>
        </w:rPr>
        <w:t>review</w:t>
      </w:r>
    </w:p>
    <w:p w14:paraId="3B483AA1" w14:textId="77777777" w:rsidR="00894070" w:rsidRDefault="009B7AFD">
      <w:pPr>
        <w:pStyle w:val="ListParagraph"/>
        <w:numPr>
          <w:ilvl w:val="2"/>
          <w:numId w:val="126"/>
        </w:numPr>
        <w:tabs>
          <w:tab w:val="left" w:pos="2141"/>
          <w:tab w:val="left" w:pos="2142"/>
        </w:tabs>
        <w:spacing w:before="48" w:line="259" w:lineRule="exact"/>
        <w:ind w:hanging="340"/>
        <w:rPr>
          <w:sz w:val="20"/>
        </w:rPr>
      </w:pPr>
      <w:r>
        <w:rPr>
          <w:color w:val="231F20"/>
          <w:sz w:val="20"/>
        </w:rPr>
        <w:t>a</w:t>
      </w:r>
      <w:r>
        <w:rPr>
          <w:color w:val="231F20"/>
          <w:spacing w:val="-7"/>
          <w:sz w:val="20"/>
        </w:rPr>
        <w:t xml:space="preserve"> </w:t>
      </w:r>
      <w:r>
        <w:rPr>
          <w:color w:val="231F20"/>
          <w:sz w:val="20"/>
        </w:rPr>
        <w:t>new</w:t>
      </w:r>
      <w:r>
        <w:rPr>
          <w:color w:val="231F20"/>
          <w:spacing w:val="-6"/>
          <w:sz w:val="20"/>
        </w:rPr>
        <w:t xml:space="preserve"> </w:t>
      </w:r>
      <w:r>
        <w:rPr>
          <w:color w:val="231F20"/>
          <w:sz w:val="20"/>
        </w:rPr>
        <w:t>Financial</w:t>
      </w:r>
      <w:r>
        <w:rPr>
          <w:color w:val="231F20"/>
          <w:spacing w:val="-7"/>
          <w:sz w:val="20"/>
        </w:rPr>
        <w:t xml:space="preserve"> </w:t>
      </w:r>
      <w:r>
        <w:rPr>
          <w:color w:val="231F20"/>
          <w:sz w:val="20"/>
        </w:rPr>
        <w:t>Assistance</w:t>
      </w:r>
      <w:r>
        <w:rPr>
          <w:color w:val="231F20"/>
          <w:spacing w:val="-6"/>
          <w:sz w:val="20"/>
        </w:rPr>
        <w:t xml:space="preserve"> </w:t>
      </w:r>
      <w:r>
        <w:rPr>
          <w:color w:val="231F20"/>
          <w:sz w:val="20"/>
        </w:rPr>
        <w:t>Scheme,</w:t>
      </w:r>
      <w:r>
        <w:rPr>
          <w:color w:val="231F20"/>
          <w:spacing w:val="-6"/>
          <w:sz w:val="20"/>
        </w:rPr>
        <w:t xml:space="preserve"> </w:t>
      </w:r>
      <w:r>
        <w:rPr>
          <w:color w:val="231F20"/>
          <w:sz w:val="20"/>
        </w:rPr>
        <w:t>implementing</w:t>
      </w:r>
      <w:r>
        <w:rPr>
          <w:color w:val="231F20"/>
          <w:spacing w:val="-7"/>
          <w:sz w:val="20"/>
        </w:rPr>
        <w:t xml:space="preserve"> </w:t>
      </w:r>
      <w:r>
        <w:rPr>
          <w:color w:val="231F20"/>
          <w:sz w:val="20"/>
        </w:rPr>
        <w:t>recommendations</w:t>
      </w:r>
      <w:r>
        <w:rPr>
          <w:color w:val="231F20"/>
          <w:spacing w:val="-6"/>
          <w:sz w:val="20"/>
        </w:rPr>
        <w:t xml:space="preserve"> </w:t>
      </w:r>
      <w:r>
        <w:rPr>
          <w:color w:val="231F20"/>
          <w:sz w:val="20"/>
        </w:rPr>
        <w:t>in</w:t>
      </w:r>
      <w:r>
        <w:rPr>
          <w:color w:val="231F20"/>
          <w:spacing w:val="-6"/>
          <w:sz w:val="20"/>
        </w:rPr>
        <w:t xml:space="preserve"> </w:t>
      </w:r>
      <w:r>
        <w:rPr>
          <w:color w:val="231F20"/>
          <w:sz w:val="20"/>
        </w:rPr>
        <w:t>our</w:t>
      </w:r>
      <w:r>
        <w:rPr>
          <w:color w:val="231F20"/>
          <w:spacing w:val="-7"/>
          <w:sz w:val="20"/>
        </w:rPr>
        <w:t xml:space="preserve"> </w:t>
      </w:r>
      <w:r>
        <w:rPr>
          <w:color w:val="231F20"/>
          <w:sz w:val="20"/>
        </w:rPr>
        <w:t>report</w:t>
      </w:r>
    </w:p>
    <w:p w14:paraId="5CFDF34D" w14:textId="77777777" w:rsidR="00894070" w:rsidRDefault="009B7AFD">
      <w:pPr>
        <w:pStyle w:val="BodyText"/>
        <w:spacing w:line="259" w:lineRule="exact"/>
        <w:ind w:left="2141"/>
        <w:rPr>
          <w:sz w:val="11"/>
        </w:rPr>
      </w:pPr>
      <w:r>
        <w:rPr>
          <w:color w:val="231F20"/>
        </w:rPr>
        <w:t>on financial assistance</w:t>
      </w:r>
      <w:r>
        <w:rPr>
          <w:color w:val="231F20"/>
          <w:position w:val="7"/>
          <w:sz w:val="11"/>
        </w:rPr>
        <w:t>73</w:t>
      </w:r>
    </w:p>
    <w:p w14:paraId="156BAF63" w14:textId="77777777" w:rsidR="00894070" w:rsidRDefault="009B7AFD">
      <w:pPr>
        <w:pStyle w:val="ListParagraph"/>
        <w:numPr>
          <w:ilvl w:val="2"/>
          <w:numId w:val="126"/>
        </w:numPr>
        <w:tabs>
          <w:tab w:val="left" w:pos="2141"/>
          <w:tab w:val="left" w:pos="2142"/>
        </w:tabs>
        <w:spacing w:before="80" w:line="206" w:lineRule="auto"/>
        <w:ind w:right="1485" w:hanging="340"/>
        <w:rPr>
          <w:sz w:val="11"/>
        </w:rPr>
      </w:pPr>
      <w:r>
        <w:rPr>
          <w:color w:val="231F20"/>
          <w:sz w:val="20"/>
        </w:rPr>
        <w:t>support</w:t>
      </w:r>
      <w:r>
        <w:rPr>
          <w:color w:val="231F20"/>
          <w:spacing w:val="-10"/>
          <w:sz w:val="20"/>
        </w:rPr>
        <w:t xml:space="preserve"> </w:t>
      </w:r>
      <w:r>
        <w:rPr>
          <w:color w:val="231F20"/>
          <w:sz w:val="20"/>
        </w:rPr>
        <w:t>that</w:t>
      </w:r>
      <w:r>
        <w:rPr>
          <w:color w:val="231F20"/>
          <w:spacing w:val="-10"/>
          <w:sz w:val="20"/>
        </w:rPr>
        <w:t xml:space="preserve"> </w:t>
      </w:r>
      <w:r>
        <w:rPr>
          <w:color w:val="231F20"/>
          <w:sz w:val="20"/>
        </w:rPr>
        <w:t>is</w:t>
      </w:r>
      <w:r>
        <w:rPr>
          <w:color w:val="231F20"/>
          <w:spacing w:val="-10"/>
          <w:sz w:val="20"/>
        </w:rPr>
        <w:t xml:space="preserve"> </w:t>
      </w:r>
      <w:r>
        <w:rPr>
          <w:color w:val="231F20"/>
          <w:sz w:val="20"/>
        </w:rPr>
        <w:t>practical,</w:t>
      </w:r>
      <w:r>
        <w:rPr>
          <w:color w:val="231F20"/>
          <w:spacing w:val="-10"/>
          <w:sz w:val="20"/>
        </w:rPr>
        <w:t xml:space="preserve"> </w:t>
      </w:r>
      <w:r>
        <w:rPr>
          <w:color w:val="231F20"/>
          <w:spacing w:val="-4"/>
          <w:sz w:val="20"/>
        </w:rPr>
        <w:t>timely,</w:t>
      </w:r>
      <w:r>
        <w:rPr>
          <w:color w:val="231F20"/>
          <w:spacing w:val="-10"/>
          <w:sz w:val="20"/>
        </w:rPr>
        <w:t xml:space="preserve"> </w:t>
      </w:r>
      <w:proofErr w:type="gramStart"/>
      <w:r>
        <w:rPr>
          <w:color w:val="231F20"/>
          <w:sz w:val="20"/>
        </w:rPr>
        <w:t>tailored</w:t>
      </w:r>
      <w:proofErr w:type="gramEnd"/>
      <w:r>
        <w:rPr>
          <w:color w:val="231F20"/>
          <w:spacing w:val="-9"/>
          <w:sz w:val="20"/>
        </w:rPr>
        <w:t xml:space="preserve"> </w:t>
      </w:r>
      <w:r>
        <w:rPr>
          <w:color w:val="231F20"/>
          <w:sz w:val="20"/>
        </w:rPr>
        <w:t>and</w:t>
      </w:r>
      <w:r>
        <w:rPr>
          <w:color w:val="231F20"/>
          <w:spacing w:val="-10"/>
          <w:sz w:val="20"/>
        </w:rPr>
        <w:t xml:space="preserve"> </w:t>
      </w:r>
      <w:r>
        <w:rPr>
          <w:color w:val="231F20"/>
          <w:sz w:val="20"/>
        </w:rPr>
        <w:t>ongoing</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people</w:t>
      </w:r>
      <w:r>
        <w:rPr>
          <w:color w:val="231F20"/>
          <w:spacing w:val="-10"/>
          <w:sz w:val="20"/>
        </w:rPr>
        <w:t xml:space="preserve"> </w:t>
      </w:r>
      <w:r>
        <w:rPr>
          <w:color w:val="231F20"/>
          <w:sz w:val="20"/>
        </w:rPr>
        <w:t>who</w:t>
      </w:r>
      <w:r>
        <w:rPr>
          <w:color w:val="231F20"/>
          <w:spacing w:val="-10"/>
          <w:sz w:val="20"/>
        </w:rPr>
        <w:t xml:space="preserve"> </w:t>
      </w:r>
      <w:r>
        <w:rPr>
          <w:color w:val="231F20"/>
          <w:sz w:val="20"/>
        </w:rPr>
        <w:t>experience stalking (discussed</w:t>
      </w:r>
      <w:r>
        <w:rPr>
          <w:color w:val="231F20"/>
          <w:spacing w:val="-9"/>
          <w:sz w:val="20"/>
        </w:rPr>
        <w:t xml:space="preserve"> </w:t>
      </w:r>
      <w:r>
        <w:rPr>
          <w:color w:val="231F20"/>
          <w:spacing w:val="-3"/>
          <w:sz w:val="20"/>
        </w:rPr>
        <w:t>earlier)</w:t>
      </w:r>
      <w:r>
        <w:rPr>
          <w:color w:val="231F20"/>
          <w:spacing w:val="-3"/>
          <w:position w:val="7"/>
          <w:sz w:val="11"/>
        </w:rPr>
        <w:t>74</w:t>
      </w:r>
    </w:p>
    <w:p w14:paraId="5F341758" w14:textId="77777777" w:rsidR="00894070" w:rsidRDefault="009B7AFD">
      <w:pPr>
        <w:pStyle w:val="ListParagraph"/>
        <w:numPr>
          <w:ilvl w:val="2"/>
          <w:numId w:val="126"/>
        </w:numPr>
        <w:tabs>
          <w:tab w:val="left" w:pos="2141"/>
          <w:tab w:val="left" w:pos="2142"/>
        </w:tabs>
        <w:spacing w:before="55"/>
        <w:ind w:hanging="340"/>
        <w:rPr>
          <w:sz w:val="20"/>
        </w:rPr>
      </w:pPr>
      <w:r>
        <w:rPr>
          <w:color w:val="231F20"/>
          <w:sz w:val="20"/>
        </w:rPr>
        <w:t xml:space="preserve">specialist support </w:t>
      </w:r>
      <w:r>
        <w:rPr>
          <w:color w:val="231F20"/>
          <w:spacing w:val="-3"/>
          <w:sz w:val="20"/>
        </w:rPr>
        <w:t xml:space="preserve">through </w:t>
      </w:r>
      <w:r>
        <w:rPr>
          <w:color w:val="231F20"/>
          <w:sz w:val="20"/>
        </w:rPr>
        <w:t xml:space="preserve">victim </w:t>
      </w:r>
      <w:r>
        <w:rPr>
          <w:color w:val="231F20"/>
          <w:spacing w:val="-3"/>
          <w:sz w:val="20"/>
        </w:rPr>
        <w:t xml:space="preserve">advocates </w:t>
      </w:r>
      <w:r>
        <w:rPr>
          <w:color w:val="231F20"/>
          <w:sz w:val="20"/>
        </w:rPr>
        <w:t>(discussed</w:t>
      </w:r>
      <w:r>
        <w:rPr>
          <w:color w:val="231F20"/>
          <w:spacing w:val="-20"/>
          <w:sz w:val="20"/>
        </w:rPr>
        <w:t xml:space="preserve"> </w:t>
      </w:r>
      <w:r>
        <w:rPr>
          <w:color w:val="231F20"/>
          <w:spacing w:val="-4"/>
          <w:sz w:val="20"/>
        </w:rPr>
        <w:t>below).</w:t>
      </w:r>
    </w:p>
    <w:p w14:paraId="6C707584" w14:textId="77777777" w:rsidR="00894070" w:rsidRDefault="009B7AFD">
      <w:pPr>
        <w:pStyle w:val="ListParagraph"/>
        <w:numPr>
          <w:ilvl w:val="1"/>
          <w:numId w:val="126"/>
        </w:numPr>
        <w:tabs>
          <w:tab w:val="left" w:pos="1801"/>
          <w:tab w:val="left" w:pos="1802"/>
        </w:tabs>
        <w:spacing w:before="80" w:line="206" w:lineRule="auto"/>
        <w:ind w:right="1168"/>
        <w:rPr>
          <w:sz w:val="11"/>
        </w:rPr>
      </w:pPr>
      <w:r>
        <w:rPr>
          <w:color w:val="231F20"/>
          <w:sz w:val="20"/>
        </w:rPr>
        <w:t>These</w:t>
      </w:r>
      <w:r>
        <w:rPr>
          <w:color w:val="231F20"/>
          <w:spacing w:val="-11"/>
          <w:sz w:val="20"/>
        </w:rPr>
        <w:t xml:space="preserve"> </w:t>
      </w:r>
      <w:r>
        <w:rPr>
          <w:color w:val="231F20"/>
          <w:sz w:val="20"/>
        </w:rPr>
        <w:t>components</w:t>
      </w:r>
      <w:r>
        <w:rPr>
          <w:color w:val="231F20"/>
          <w:spacing w:val="-11"/>
          <w:sz w:val="20"/>
        </w:rPr>
        <w:t xml:space="preserve"> </w:t>
      </w:r>
      <w:r>
        <w:rPr>
          <w:color w:val="231F20"/>
          <w:spacing w:val="-3"/>
          <w:sz w:val="20"/>
        </w:rPr>
        <w:t>would</w:t>
      </w:r>
      <w:r>
        <w:rPr>
          <w:color w:val="231F20"/>
          <w:spacing w:val="-11"/>
          <w:sz w:val="20"/>
        </w:rPr>
        <w:t xml:space="preserve"> </w:t>
      </w:r>
      <w:r>
        <w:rPr>
          <w:color w:val="231F20"/>
          <w:sz w:val="20"/>
        </w:rPr>
        <w:t>address</w:t>
      </w:r>
      <w:r>
        <w:rPr>
          <w:color w:val="231F20"/>
          <w:spacing w:val="-11"/>
          <w:sz w:val="20"/>
        </w:rPr>
        <w:t xml:space="preserve"> </w:t>
      </w:r>
      <w:r>
        <w:rPr>
          <w:color w:val="231F20"/>
          <w:sz w:val="20"/>
        </w:rPr>
        <w:t>the</w:t>
      </w:r>
      <w:r>
        <w:rPr>
          <w:color w:val="231F20"/>
          <w:spacing w:val="-10"/>
          <w:sz w:val="20"/>
        </w:rPr>
        <w:t xml:space="preserve"> </w:t>
      </w:r>
      <w:r>
        <w:rPr>
          <w:color w:val="231F20"/>
          <w:sz w:val="20"/>
        </w:rPr>
        <w:t>support</w:t>
      </w:r>
      <w:r>
        <w:rPr>
          <w:color w:val="231F20"/>
          <w:spacing w:val="-11"/>
          <w:sz w:val="20"/>
        </w:rPr>
        <w:t xml:space="preserve"> </w:t>
      </w:r>
      <w:r>
        <w:rPr>
          <w:color w:val="231F20"/>
          <w:sz w:val="20"/>
        </w:rPr>
        <w:t>needs</w:t>
      </w:r>
      <w:r>
        <w:rPr>
          <w:color w:val="231F20"/>
          <w:spacing w:val="-11"/>
          <w:sz w:val="20"/>
        </w:rPr>
        <w:t xml:space="preserve"> </w:t>
      </w:r>
      <w:r>
        <w:rPr>
          <w:color w:val="231F20"/>
          <w:sz w:val="20"/>
        </w:rPr>
        <w:t>of</w:t>
      </w:r>
      <w:r>
        <w:rPr>
          <w:color w:val="231F20"/>
          <w:spacing w:val="-11"/>
          <w:sz w:val="20"/>
        </w:rPr>
        <w:t xml:space="preserve"> </w:t>
      </w:r>
      <w:r>
        <w:rPr>
          <w:color w:val="231F20"/>
          <w:sz w:val="20"/>
        </w:rPr>
        <w:t>victim</w:t>
      </w:r>
      <w:r>
        <w:rPr>
          <w:color w:val="231F20"/>
          <w:spacing w:val="-11"/>
          <w:sz w:val="20"/>
        </w:rPr>
        <w:t xml:space="preserve"> </w:t>
      </w:r>
      <w:r>
        <w:rPr>
          <w:color w:val="231F20"/>
          <w:sz w:val="20"/>
        </w:rPr>
        <w:t>survivors,</w:t>
      </w:r>
      <w:r>
        <w:rPr>
          <w:color w:val="231F20"/>
          <w:spacing w:val="-10"/>
          <w:sz w:val="20"/>
        </w:rPr>
        <w:t xml:space="preserve"> </w:t>
      </w:r>
      <w:r>
        <w:rPr>
          <w:color w:val="231F20"/>
          <w:sz w:val="20"/>
        </w:rPr>
        <w:t>while</w:t>
      </w:r>
      <w:r>
        <w:rPr>
          <w:color w:val="231F20"/>
          <w:spacing w:val="-11"/>
          <w:sz w:val="20"/>
        </w:rPr>
        <w:t xml:space="preserve"> </w:t>
      </w:r>
      <w:r>
        <w:rPr>
          <w:color w:val="231F20"/>
          <w:sz w:val="20"/>
        </w:rPr>
        <w:t>fitting</w:t>
      </w:r>
      <w:r>
        <w:rPr>
          <w:color w:val="231F20"/>
          <w:spacing w:val="-11"/>
          <w:sz w:val="20"/>
        </w:rPr>
        <w:t xml:space="preserve"> </w:t>
      </w:r>
      <w:r>
        <w:rPr>
          <w:color w:val="231F20"/>
          <w:sz w:val="20"/>
        </w:rPr>
        <w:t>in with</w:t>
      </w:r>
      <w:r>
        <w:rPr>
          <w:color w:val="231F20"/>
          <w:spacing w:val="-7"/>
          <w:sz w:val="20"/>
        </w:rPr>
        <w:t xml:space="preserve"> </w:t>
      </w:r>
      <w:r>
        <w:rPr>
          <w:color w:val="231F20"/>
          <w:spacing w:val="-3"/>
          <w:sz w:val="20"/>
        </w:rPr>
        <w:t>reforms</w:t>
      </w:r>
      <w:r>
        <w:rPr>
          <w:color w:val="231F20"/>
          <w:spacing w:val="-7"/>
          <w:sz w:val="20"/>
        </w:rPr>
        <w:t xml:space="preserve"> </w:t>
      </w:r>
      <w:r>
        <w:rPr>
          <w:color w:val="231F20"/>
          <w:sz w:val="20"/>
        </w:rPr>
        <w:t>under</w:t>
      </w:r>
      <w:r>
        <w:rPr>
          <w:color w:val="231F20"/>
          <w:spacing w:val="-7"/>
          <w:sz w:val="20"/>
        </w:rPr>
        <w:t xml:space="preserve"> </w:t>
      </w:r>
      <w:r>
        <w:rPr>
          <w:color w:val="231F20"/>
          <w:spacing w:val="-6"/>
          <w:sz w:val="20"/>
        </w:rPr>
        <w:t>way.</w:t>
      </w:r>
      <w:r>
        <w:rPr>
          <w:color w:val="231F20"/>
          <w:spacing w:val="-7"/>
          <w:sz w:val="20"/>
        </w:rPr>
        <w:t xml:space="preserve"> </w:t>
      </w:r>
      <w:r>
        <w:rPr>
          <w:color w:val="231F20"/>
          <w:sz w:val="20"/>
        </w:rPr>
        <w:t>The</w:t>
      </w:r>
      <w:r>
        <w:rPr>
          <w:color w:val="231F20"/>
          <w:spacing w:val="-7"/>
          <w:sz w:val="20"/>
        </w:rPr>
        <w:t xml:space="preserve"> </w:t>
      </w:r>
      <w:r>
        <w:rPr>
          <w:color w:val="231F20"/>
          <w:sz w:val="20"/>
        </w:rPr>
        <w:t>model</w:t>
      </w:r>
      <w:r>
        <w:rPr>
          <w:color w:val="231F20"/>
          <w:spacing w:val="-7"/>
          <w:sz w:val="20"/>
        </w:rPr>
        <w:t xml:space="preserve"> </w:t>
      </w:r>
      <w:r>
        <w:rPr>
          <w:color w:val="231F20"/>
          <w:spacing w:val="-3"/>
          <w:sz w:val="20"/>
        </w:rPr>
        <w:t>would</w:t>
      </w:r>
      <w:r>
        <w:rPr>
          <w:color w:val="231F20"/>
          <w:spacing w:val="-7"/>
          <w:sz w:val="20"/>
        </w:rPr>
        <w:t xml:space="preserve"> </w:t>
      </w:r>
      <w:r>
        <w:rPr>
          <w:color w:val="231F20"/>
          <w:sz w:val="20"/>
        </w:rPr>
        <w:t>be</w:t>
      </w:r>
      <w:r>
        <w:rPr>
          <w:color w:val="231F20"/>
          <w:spacing w:val="-7"/>
          <w:sz w:val="20"/>
        </w:rPr>
        <w:t xml:space="preserve"> </w:t>
      </w:r>
      <w:r>
        <w:rPr>
          <w:color w:val="231F20"/>
          <w:spacing w:val="-3"/>
          <w:sz w:val="20"/>
        </w:rPr>
        <w:t>flexible</w:t>
      </w:r>
      <w:r>
        <w:rPr>
          <w:color w:val="231F20"/>
          <w:spacing w:val="-6"/>
          <w:sz w:val="20"/>
        </w:rPr>
        <w:t xml:space="preserve"> </w:t>
      </w:r>
      <w:r>
        <w:rPr>
          <w:color w:val="231F20"/>
          <w:sz w:val="20"/>
        </w:rPr>
        <w:t>enough</w:t>
      </w:r>
      <w:r>
        <w:rPr>
          <w:color w:val="231F20"/>
          <w:spacing w:val="-7"/>
          <w:sz w:val="20"/>
        </w:rPr>
        <w:t xml:space="preserve"> </w:t>
      </w:r>
      <w:r>
        <w:rPr>
          <w:color w:val="231F20"/>
          <w:sz w:val="20"/>
        </w:rPr>
        <w:t>to</w:t>
      </w:r>
      <w:r>
        <w:rPr>
          <w:color w:val="231F20"/>
          <w:spacing w:val="-7"/>
          <w:sz w:val="20"/>
        </w:rPr>
        <w:t xml:space="preserve"> </w:t>
      </w:r>
      <w:r>
        <w:rPr>
          <w:color w:val="231F20"/>
          <w:sz w:val="20"/>
        </w:rPr>
        <w:t>bring</w:t>
      </w:r>
      <w:r>
        <w:rPr>
          <w:color w:val="231F20"/>
          <w:spacing w:val="-7"/>
          <w:sz w:val="20"/>
        </w:rPr>
        <w:t xml:space="preserve"> </w:t>
      </w:r>
      <w:r>
        <w:rPr>
          <w:color w:val="231F20"/>
          <w:sz w:val="20"/>
        </w:rPr>
        <w:t>in</w:t>
      </w:r>
      <w:r>
        <w:rPr>
          <w:color w:val="231F20"/>
          <w:spacing w:val="-7"/>
          <w:sz w:val="20"/>
        </w:rPr>
        <w:t xml:space="preserve"> </w:t>
      </w:r>
      <w:r>
        <w:rPr>
          <w:color w:val="231F20"/>
          <w:sz w:val="20"/>
        </w:rPr>
        <w:t>other</w:t>
      </w:r>
      <w:r>
        <w:rPr>
          <w:color w:val="231F20"/>
          <w:spacing w:val="-7"/>
          <w:sz w:val="20"/>
        </w:rPr>
        <w:t xml:space="preserve"> </w:t>
      </w:r>
      <w:r>
        <w:rPr>
          <w:color w:val="231F20"/>
          <w:sz w:val="20"/>
        </w:rPr>
        <w:t xml:space="preserve">services, such as </w:t>
      </w:r>
      <w:r>
        <w:rPr>
          <w:color w:val="231F20"/>
          <w:spacing w:val="-3"/>
          <w:sz w:val="20"/>
        </w:rPr>
        <w:t xml:space="preserve">private </w:t>
      </w:r>
      <w:r>
        <w:rPr>
          <w:color w:val="231F20"/>
          <w:sz w:val="20"/>
        </w:rPr>
        <w:t xml:space="preserve">security services, that could address stalking. It </w:t>
      </w:r>
      <w:r>
        <w:rPr>
          <w:color w:val="231F20"/>
          <w:spacing w:val="-3"/>
          <w:sz w:val="20"/>
        </w:rPr>
        <w:t xml:space="preserve">would </w:t>
      </w:r>
      <w:r>
        <w:rPr>
          <w:color w:val="231F20"/>
          <w:sz w:val="20"/>
        </w:rPr>
        <w:t xml:space="preserve">also </w:t>
      </w:r>
      <w:r>
        <w:rPr>
          <w:color w:val="231F20"/>
          <w:spacing w:val="-3"/>
          <w:sz w:val="20"/>
        </w:rPr>
        <w:t xml:space="preserve">allow for </w:t>
      </w:r>
      <w:r>
        <w:rPr>
          <w:color w:val="231F20"/>
          <w:sz w:val="20"/>
        </w:rPr>
        <w:t xml:space="preserve">an </w:t>
      </w:r>
      <w:r>
        <w:rPr>
          <w:color w:val="231F20"/>
          <w:spacing w:val="-3"/>
          <w:sz w:val="20"/>
        </w:rPr>
        <w:t xml:space="preserve">intensive </w:t>
      </w:r>
      <w:r>
        <w:rPr>
          <w:color w:val="231F20"/>
          <w:sz w:val="20"/>
        </w:rPr>
        <w:t>response in especially serious</w:t>
      </w:r>
      <w:r>
        <w:rPr>
          <w:color w:val="231F20"/>
          <w:spacing w:val="-20"/>
          <w:sz w:val="20"/>
        </w:rPr>
        <w:t xml:space="preserve"> </w:t>
      </w:r>
      <w:r>
        <w:rPr>
          <w:color w:val="231F20"/>
          <w:sz w:val="20"/>
        </w:rPr>
        <w:t>cases.</w:t>
      </w:r>
      <w:r>
        <w:rPr>
          <w:color w:val="231F20"/>
          <w:position w:val="7"/>
          <w:sz w:val="11"/>
        </w:rPr>
        <w:t>75</w:t>
      </w:r>
    </w:p>
    <w:p w14:paraId="31592E08" w14:textId="77777777" w:rsidR="00894070" w:rsidRDefault="009B7AFD">
      <w:pPr>
        <w:pStyle w:val="ListParagraph"/>
        <w:numPr>
          <w:ilvl w:val="1"/>
          <w:numId w:val="126"/>
        </w:numPr>
        <w:tabs>
          <w:tab w:val="left" w:pos="1801"/>
          <w:tab w:val="left" w:pos="1802"/>
        </w:tabs>
        <w:spacing w:before="125" w:line="206" w:lineRule="auto"/>
        <w:ind w:right="1699"/>
        <w:rPr>
          <w:sz w:val="11"/>
        </w:rPr>
      </w:pP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next</w:t>
      </w:r>
      <w:r>
        <w:rPr>
          <w:color w:val="231F20"/>
          <w:spacing w:val="-7"/>
          <w:sz w:val="20"/>
        </w:rPr>
        <w:t xml:space="preserve"> </w:t>
      </w:r>
      <w:r>
        <w:rPr>
          <w:color w:val="231F20"/>
          <w:sz w:val="20"/>
        </w:rPr>
        <w:t>section</w:t>
      </w:r>
      <w:r>
        <w:rPr>
          <w:color w:val="231F20"/>
          <w:spacing w:val="-8"/>
          <w:sz w:val="20"/>
        </w:rPr>
        <w:t xml:space="preserve"> </w:t>
      </w:r>
      <w:r>
        <w:rPr>
          <w:color w:val="231F20"/>
          <w:spacing w:val="-3"/>
          <w:sz w:val="20"/>
        </w:rPr>
        <w:t>we</w:t>
      </w:r>
      <w:r>
        <w:rPr>
          <w:color w:val="231F20"/>
          <w:spacing w:val="-8"/>
          <w:sz w:val="20"/>
        </w:rPr>
        <w:t xml:space="preserve"> </w:t>
      </w:r>
      <w:r>
        <w:rPr>
          <w:color w:val="231F20"/>
          <w:sz w:val="20"/>
        </w:rPr>
        <w:t>discuss</w:t>
      </w:r>
      <w:r>
        <w:rPr>
          <w:color w:val="231F20"/>
          <w:spacing w:val="-7"/>
          <w:sz w:val="20"/>
        </w:rPr>
        <w:t xml:space="preserve"> </w:t>
      </w:r>
      <w:r>
        <w:rPr>
          <w:color w:val="231F20"/>
          <w:sz w:val="20"/>
        </w:rPr>
        <w:t>design</w:t>
      </w:r>
      <w:r>
        <w:rPr>
          <w:color w:val="231F20"/>
          <w:spacing w:val="-8"/>
          <w:sz w:val="20"/>
        </w:rPr>
        <w:t xml:space="preserve"> </w:t>
      </w:r>
      <w:r>
        <w:rPr>
          <w:color w:val="231F20"/>
          <w:spacing w:val="-3"/>
          <w:sz w:val="20"/>
        </w:rPr>
        <w:t>features</w:t>
      </w:r>
      <w:r>
        <w:rPr>
          <w:color w:val="231F20"/>
          <w:spacing w:val="-8"/>
          <w:sz w:val="20"/>
        </w:rPr>
        <w:t xml:space="preserve"> </w:t>
      </w:r>
      <w:r>
        <w:rPr>
          <w:color w:val="231F20"/>
          <w:sz w:val="20"/>
        </w:rPr>
        <w:t>the</w:t>
      </w:r>
      <w:r>
        <w:rPr>
          <w:color w:val="231F20"/>
          <w:spacing w:val="-7"/>
          <w:sz w:val="20"/>
        </w:rPr>
        <w:t xml:space="preserve"> </w:t>
      </w:r>
      <w:r>
        <w:rPr>
          <w:color w:val="231F20"/>
          <w:spacing w:val="-3"/>
          <w:sz w:val="20"/>
        </w:rPr>
        <w:t>government</w:t>
      </w:r>
      <w:r>
        <w:rPr>
          <w:color w:val="231F20"/>
          <w:spacing w:val="-8"/>
          <w:sz w:val="20"/>
        </w:rPr>
        <w:t xml:space="preserve"> </w:t>
      </w:r>
      <w:r>
        <w:rPr>
          <w:color w:val="231F20"/>
          <w:sz w:val="20"/>
        </w:rPr>
        <w:t>should</w:t>
      </w:r>
      <w:r>
        <w:rPr>
          <w:color w:val="231F20"/>
          <w:spacing w:val="-8"/>
          <w:sz w:val="20"/>
        </w:rPr>
        <w:t xml:space="preserve"> </w:t>
      </w:r>
      <w:r>
        <w:rPr>
          <w:color w:val="231F20"/>
          <w:sz w:val="20"/>
        </w:rPr>
        <w:t>consider</w:t>
      </w:r>
      <w:r>
        <w:rPr>
          <w:color w:val="231F20"/>
          <w:spacing w:val="-7"/>
          <w:sz w:val="20"/>
        </w:rPr>
        <w:t xml:space="preserve"> </w:t>
      </w:r>
      <w:r>
        <w:rPr>
          <w:color w:val="231F20"/>
          <w:sz w:val="20"/>
        </w:rPr>
        <w:t xml:space="preserve">in implementing this model. They </w:t>
      </w:r>
      <w:r>
        <w:rPr>
          <w:color w:val="231F20"/>
          <w:spacing w:val="-3"/>
          <w:sz w:val="20"/>
        </w:rPr>
        <w:t xml:space="preserve">are </w:t>
      </w:r>
      <w:r>
        <w:rPr>
          <w:color w:val="231F20"/>
          <w:sz w:val="20"/>
        </w:rPr>
        <w:t xml:space="preserve">in line with the </w:t>
      </w:r>
      <w:r>
        <w:rPr>
          <w:color w:val="231F20"/>
          <w:spacing w:val="-3"/>
          <w:sz w:val="20"/>
        </w:rPr>
        <w:t xml:space="preserve">research </w:t>
      </w:r>
      <w:r>
        <w:rPr>
          <w:color w:val="231F20"/>
          <w:sz w:val="20"/>
        </w:rPr>
        <w:t xml:space="preserve">on what is important </w:t>
      </w:r>
      <w:r>
        <w:rPr>
          <w:color w:val="231F20"/>
          <w:spacing w:val="-3"/>
          <w:sz w:val="20"/>
        </w:rPr>
        <w:t>for</w:t>
      </w:r>
      <w:r>
        <w:rPr>
          <w:color w:val="231F20"/>
          <w:spacing w:val="-6"/>
          <w:sz w:val="20"/>
        </w:rPr>
        <w:t xml:space="preserve"> </w:t>
      </w:r>
      <w:r>
        <w:rPr>
          <w:color w:val="231F20"/>
          <w:sz w:val="20"/>
        </w:rPr>
        <w:t>victim</w:t>
      </w:r>
      <w:r>
        <w:rPr>
          <w:color w:val="231F20"/>
          <w:spacing w:val="-6"/>
          <w:sz w:val="20"/>
        </w:rPr>
        <w:t xml:space="preserve"> </w:t>
      </w:r>
      <w:r>
        <w:rPr>
          <w:color w:val="231F20"/>
          <w:sz w:val="20"/>
        </w:rPr>
        <w:t>support</w:t>
      </w:r>
      <w:r>
        <w:rPr>
          <w:color w:val="231F20"/>
          <w:spacing w:val="-6"/>
          <w:sz w:val="20"/>
        </w:rPr>
        <w:t xml:space="preserve"> </w:t>
      </w:r>
      <w:r>
        <w:rPr>
          <w:color w:val="231F20"/>
          <w:sz w:val="20"/>
        </w:rPr>
        <w:t>in</w:t>
      </w:r>
      <w:r>
        <w:rPr>
          <w:color w:val="231F20"/>
          <w:spacing w:val="-5"/>
          <w:sz w:val="20"/>
        </w:rPr>
        <w:t xml:space="preserve"> </w:t>
      </w:r>
      <w:r>
        <w:rPr>
          <w:color w:val="231F20"/>
          <w:sz w:val="20"/>
        </w:rPr>
        <w:t>stalking,</w:t>
      </w:r>
      <w:r>
        <w:rPr>
          <w:color w:val="231F20"/>
          <w:spacing w:val="-6"/>
          <w:sz w:val="20"/>
        </w:rPr>
        <w:t xml:space="preserve"> </w:t>
      </w:r>
      <w:r>
        <w:rPr>
          <w:color w:val="231F20"/>
          <w:sz w:val="20"/>
        </w:rPr>
        <w:t>and</w:t>
      </w:r>
      <w:r>
        <w:rPr>
          <w:color w:val="231F20"/>
          <w:spacing w:val="-6"/>
          <w:sz w:val="20"/>
        </w:rPr>
        <w:t xml:space="preserve"> </w:t>
      </w:r>
      <w:r>
        <w:rPr>
          <w:color w:val="231F20"/>
          <w:spacing w:val="-3"/>
          <w:sz w:val="20"/>
        </w:rPr>
        <w:t>focus</w:t>
      </w:r>
      <w:r>
        <w:rPr>
          <w:color w:val="231F20"/>
          <w:spacing w:val="-6"/>
          <w:sz w:val="20"/>
        </w:rPr>
        <w:t xml:space="preserve"> </w:t>
      </w:r>
      <w:r>
        <w:rPr>
          <w:color w:val="231F20"/>
          <w:sz w:val="20"/>
        </w:rPr>
        <w:t>on</w:t>
      </w:r>
      <w:r>
        <w:rPr>
          <w:color w:val="231F20"/>
          <w:spacing w:val="-5"/>
          <w:sz w:val="20"/>
        </w:rPr>
        <w:t xml:space="preserve"> </w:t>
      </w:r>
      <w:r>
        <w:rPr>
          <w:color w:val="231F20"/>
          <w:sz w:val="20"/>
        </w:rPr>
        <w:t>making</w:t>
      </w:r>
      <w:r>
        <w:rPr>
          <w:color w:val="231F20"/>
          <w:spacing w:val="-6"/>
          <w:sz w:val="20"/>
        </w:rPr>
        <w:t xml:space="preserve"> </w:t>
      </w:r>
      <w:r>
        <w:rPr>
          <w:color w:val="231F20"/>
          <w:spacing w:val="-3"/>
          <w:sz w:val="20"/>
        </w:rPr>
        <w:t>sure</w:t>
      </w:r>
      <w:r>
        <w:rPr>
          <w:color w:val="231F20"/>
          <w:spacing w:val="-6"/>
          <w:sz w:val="20"/>
        </w:rPr>
        <w:t xml:space="preserve"> </w:t>
      </w:r>
      <w:r>
        <w:rPr>
          <w:color w:val="231F20"/>
          <w:sz w:val="20"/>
        </w:rPr>
        <w:t>that</w:t>
      </w:r>
      <w:r>
        <w:rPr>
          <w:color w:val="231F20"/>
          <w:spacing w:val="-6"/>
          <w:sz w:val="20"/>
        </w:rPr>
        <w:t xml:space="preserve"> </w:t>
      </w:r>
      <w:r>
        <w:rPr>
          <w:color w:val="231F20"/>
          <w:sz w:val="20"/>
        </w:rPr>
        <w:t>support</w:t>
      </w:r>
      <w:r>
        <w:rPr>
          <w:color w:val="231F20"/>
          <w:spacing w:val="-5"/>
          <w:sz w:val="20"/>
        </w:rPr>
        <w:t xml:space="preserve"> </w:t>
      </w:r>
      <w:r>
        <w:rPr>
          <w:color w:val="231F20"/>
          <w:sz w:val="20"/>
        </w:rPr>
        <w:t>is</w:t>
      </w:r>
      <w:r>
        <w:rPr>
          <w:color w:val="231F20"/>
          <w:spacing w:val="-6"/>
          <w:sz w:val="20"/>
        </w:rPr>
        <w:t xml:space="preserve"> </w:t>
      </w:r>
      <w:r>
        <w:rPr>
          <w:color w:val="231F20"/>
          <w:spacing w:val="-3"/>
          <w:sz w:val="20"/>
        </w:rPr>
        <w:t xml:space="preserve">integrated, </w:t>
      </w:r>
      <w:r>
        <w:rPr>
          <w:color w:val="231F20"/>
          <w:sz w:val="20"/>
        </w:rPr>
        <w:t xml:space="preserve">immediate, </w:t>
      </w:r>
      <w:proofErr w:type="gramStart"/>
      <w:r>
        <w:rPr>
          <w:color w:val="231F20"/>
          <w:sz w:val="20"/>
        </w:rPr>
        <w:t>accessible</w:t>
      </w:r>
      <w:proofErr w:type="gramEnd"/>
      <w:r>
        <w:rPr>
          <w:color w:val="231F20"/>
          <w:sz w:val="20"/>
        </w:rPr>
        <w:t xml:space="preserve"> and</w:t>
      </w:r>
      <w:r>
        <w:rPr>
          <w:color w:val="231F20"/>
          <w:spacing w:val="-15"/>
          <w:sz w:val="20"/>
        </w:rPr>
        <w:t xml:space="preserve"> </w:t>
      </w:r>
      <w:r>
        <w:rPr>
          <w:color w:val="231F20"/>
          <w:sz w:val="20"/>
        </w:rPr>
        <w:t>informed.</w:t>
      </w:r>
      <w:r>
        <w:rPr>
          <w:color w:val="231F20"/>
          <w:position w:val="7"/>
          <w:sz w:val="11"/>
        </w:rPr>
        <w:t>76</w:t>
      </w:r>
    </w:p>
    <w:p w14:paraId="4547C418" w14:textId="77777777" w:rsidR="00894070" w:rsidRDefault="00894070">
      <w:pPr>
        <w:pStyle w:val="BodyText"/>
        <w:spacing w:before="11"/>
        <w:rPr>
          <w:sz w:val="15"/>
        </w:rPr>
      </w:pPr>
    </w:p>
    <w:p w14:paraId="6D3AA8BA" w14:textId="77777777" w:rsidR="00894070" w:rsidRDefault="009B7AFD">
      <w:pPr>
        <w:pStyle w:val="Heading8"/>
        <w:ind w:left="1007"/>
      </w:pPr>
      <w:r>
        <w:rPr>
          <w:color w:val="231F20"/>
        </w:rPr>
        <w:t>Support should be integrated</w:t>
      </w:r>
    </w:p>
    <w:p w14:paraId="7E67E9DE" w14:textId="77777777" w:rsidR="00894070" w:rsidRDefault="009B7AFD">
      <w:pPr>
        <w:pStyle w:val="ListParagraph"/>
        <w:numPr>
          <w:ilvl w:val="1"/>
          <w:numId w:val="126"/>
        </w:numPr>
        <w:tabs>
          <w:tab w:val="left" w:pos="1801"/>
          <w:tab w:val="left" w:pos="1802"/>
        </w:tabs>
        <w:spacing w:before="127" w:line="206" w:lineRule="auto"/>
        <w:ind w:right="1658"/>
        <w:rPr>
          <w:sz w:val="11"/>
        </w:rPr>
      </w:pPr>
      <w:r>
        <w:rPr>
          <w:color w:val="231F20"/>
          <w:sz w:val="20"/>
        </w:rPr>
        <w:t>The</w:t>
      </w:r>
      <w:r>
        <w:rPr>
          <w:color w:val="231F20"/>
          <w:spacing w:val="-10"/>
          <w:sz w:val="20"/>
        </w:rPr>
        <w:t xml:space="preserve"> </w:t>
      </w:r>
      <w:r>
        <w:rPr>
          <w:color w:val="231F20"/>
          <w:spacing w:val="-3"/>
          <w:sz w:val="20"/>
        </w:rPr>
        <w:t>current</w:t>
      </w:r>
      <w:r>
        <w:rPr>
          <w:color w:val="231F20"/>
          <w:spacing w:val="-9"/>
          <w:sz w:val="20"/>
        </w:rPr>
        <w:t xml:space="preserve"> </w:t>
      </w:r>
      <w:r>
        <w:rPr>
          <w:color w:val="231F20"/>
          <w:sz w:val="20"/>
        </w:rPr>
        <w:t>model</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supporting</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9"/>
          <w:sz w:val="20"/>
        </w:rPr>
        <w:t xml:space="preserve"> </w:t>
      </w:r>
      <w:r>
        <w:rPr>
          <w:color w:val="231F20"/>
          <w:sz w:val="20"/>
        </w:rPr>
        <w:t>of</w:t>
      </w:r>
      <w:r>
        <w:rPr>
          <w:color w:val="231F20"/>
          <w:spacing w:val="-10"/>
          <w:sz w:val="20"/>
        </w:rPr>
        <w:t xml:space="preserve"> </w:t>
      </w:r>
      <w:r>
        <w:rPr>
          <w:color w:val="231F20"/>
          <w:sz w:val="20"/>
        </w:rPr>
        <w:t>stalking</w:t>
      </w:r>
      <w:r>
        <w:rPr>
          <w:color w:val="231F20"/>
          <w:spacing w:val="-9"/>
          <w:sz w:val="20"/>
        </w:rPr>
        <w:t xml:space="preserve"> </w:t>
      </w:r>
      <w:r>
        <w:rPr>
          <w:color w:val="231F20"/>
          <w:sz w:val="20"/>
        </w:rPr>
        <w:t>has</w:t>
      </w:r>
      <w:r>
        <w:rPr>
          <w:color w:val="231F20"/>
          <w:spacing w:val="-9"/>
          <w:sz w:val="20"/>
        </w:rPr>
        <w:t xml:space="preserve"> </w:t>
      </w:r>
      <w:r>
        <w:rPr>
          <w:color w:val="231F20"/>
          <w:sz w:val="20"/>
        </w:rPr>
        <w:t>some</w:t>
      </w:r>
      <w:r>
        <w:rPr>
          <w:color w:val="231F20"/>
          <w:spacing w:val="-9"/>
          <w:sz w:val="20"/>
        </w:rPr>
        <w:t xml:space="preserve"> </w:t>
      </w:r>
      <w:r>
        <w:rPr>
          <w:color w:val="231F20"/>
          <w:sz w:val="20"/>
        </w:rPr>
        <w:t>limitations. Most</w:t>
      </w:r>
      <w:r>
        <w:rPr>
          <w:color w:val="231F20"/>
          <w:spacing w:val="-10"/>
          <w:sz w:val="20"/>
        </w:rPr>
        <w:t xml:space="preserve"> </w:t>
      </w:r>
      <w:r>
        <w:rPr>
          <w:color w:val="231F20"/>
          <w:sz w:val="20"/>
        </w:rPr>
        <w:t>referrals</w:t>
      </w:r>
      <w:r>
        <w:rPr>
          <w:color w:val="231F20"/>
          <w:spacing w:val="-9"/>
          <w:sz w:val="20"/>
        </w:rPr>
        <w:t xml:space="preserve"> </w:t>
      </w:r>
      <w:r>
        <w:rPr>
          <w:color w:val="231F20"/>
          <w:sz w:val="20"/>
        </w:rPr>
        <w:t>happen</w:t>
      </w:r>
      <w:r>
        <w:rPr>
          <w:color w:val="231F20"/>
          <w:spacing w:val="-9"/>
          <w:sz w:val="20"/>
        </w:rPr>
        <w:t xml:space="preserve"> </w:t>
      </w:r>
      <w:r>
        <w:rPr>
          <w:color w:val="231F20"/>
          <w:spacing w:val="-3"/>
          <w:sz w:val="20"/>
        </w:rPr>
        <w:t>through</w:t>
      </w:r>
      <w:r>
        <w:rPr>
          <w:color w:val="231F20"/>
          <w:spacing w:val="-10"/>
          <w:sz w:val="20"/>
        </w:rPr>
        <w:t xml:space="preserve"> </w:t>
      </w:r>
      <w:r>
        <w:rPr>
          <w:color w:val="231F20"/>
          <w:sz w:val="20"/>
        </w:rPr>
        <w:t>Victoria</w:t>
      </w:r>
      <w:r>
        <w:rPr>
          <w:color w:val="231F20"/>
          <w:spacing w:val="-9"/>
          <w:sz w:val="20"/>
        </w:rPr>
        <w:t xml:space="preserve"> </w:t>
      </w:r>
      <w:r>
        <w:rPr>
          <w:color w:val="231F20"/>
          <w:sz w:val="20"/>
        </w:rPr>
        <w:t>Police,</w:t>
      </w:r>
      <w:r>
        <w:rPr>
          <w:color w:val="231F20"/>
          <w:spacing w:val="-10"/>
          <w:sz w:val="20"/>
        </w:rPr>
        <w:t xml:space="preserve"> </w:t>
      </w:r>
      <w:r>
        <w:rPr>
          <w:color w:val="231F20"/>
          <w:sz w:val="20"/>
        </w:rPr>
        <w:t>so</w:t>
      </w:r>
      <w:r>
        <w:rPr>
          <w:color w:val="231F20"/>
          <w:spacing w:val="-9"/>
          <w:sz w:val="20"/>
        </w:rPr>
        <w:t xml:space="preserve"> </w:t>
      </w:r>
      <w:r>
        <w:rPr>
          <w:color w:val="231F20"/>
          <w:sz w:val="20"/>
        </w:rPr>
        <w:t>when</w:t>
      </w:r>
      <w:r>
        <w:rPr>
          <w:color w:val="231F20"/>
          <w:spacing w:val="-9"/>
          <w:sz w:val="20"/>
        </w:rPr>
        <w:t xml:space="preserve"> </w:t>
      </w:r>
      <w:r>
        <w:rPr>
          <w:color w:val="231F20"/>
          <w:sz w:val="20"/>
        </w:rPr>
        <w:t>a</w:t>
      </w:r>
      <w:r>
        <w:rPr>
          <w:color w:val="231F20"/>
          <w:spacing w:val="-10"/>
          <w:sz w:val="20"/>
        </w:rPr>
        <w:t xml:space="preserve"> </w:t>
      </w:r>
      <w:r>
        <w:rPr>
          <w:color w:val="231F20"/>
          <w:sz w:val="20"/>
        </w:rPr>
        <w:t>victim</w:t>
      </w:r>
      <w:r>
        <w:rPr>
          <w:color w:val="231F20"/>
          <w:spacing w:val="-9"/>
          <w:sz w:val="20"/>
        </w:rPr>
        <w:t xml:space="preserve"> </w:t>
      </w:r>
      <w:r>
        <w:rPr>
          <w:color w:val="231F20"/>
          <w:sz w:val="20"/>
        </w:rPr>
        <w:t>survivor</w:t>
      </w:r>
      <w:r>
        <w:rPr>
          <w:color w:val="231F20"/>
          <w:spacing w:val="-9"/>
          <w:sz w:val="20"/>
        </w:rPr>
        <w:t xml:space="preserve"> </w:t>
      </w:r>
      <w:r>
        <w:rPr>
          <w:color w:val="231F20"/>
          <w:sz w:val="20"/>
        </w:rPr>
        <w:t>does</w:t>
      </w:r>
      <w:r>
        <w:rPr>
          <w:color w:val="231F20"/>
          <w:spacing w:val="-10"/>
          <w:sz w:val="20"/>
        </w:rPr>
        <w:t xml:space="preserve"> </w:t>
      </w:r>
      <w:r>
        <w:rPr>
          <w:color w:val="231F20"/>
          <w:sz w:val="20"/>
        </w:rPr>
        <w:t>not contact</w:t>
      </w:r>
      <w:r>
        <w:rPr>
          <w:color w:val="231F20"/>
          <w:spacing w:val="-5"/>
          <w:sz w:val="20"/>
        </w:rPr>
        <w:t xml:space="preserve"> </w:t>
      </w:r>
      <w:proofErr w:type="gramStart"/>
      <w:r>
        <w:rPr>
          <w:color w:val="231F20"/>
          <w:sz w:val="20"/>
        </w:rPr>
        <w:t>police</w:t>
      </w:r>
      <w:proofErr w:type="gramEnd"/>
      <w:r>
        <w:rPr>
          <w:color w:val="231F20"/>
          <w:spacing w:val="-5"/>
          <w:sz w:val="20"/>
        </w:rPr>
        <w:t xml:space="preserve"> </w:t>
      </w:r>
      <w:r>
        <w:rPr>
          <w:color w:val="231F20"/>
          <w:sz w:val="20"/>
        </w:rPr>
        <w:t>they</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less</w:t>
      </w:r>
      <w:r>
        <w:rPr>
          <w:color w:val="231F20"/>
          <w:spacing w:val="-5"/>
          <w:sz w:val="20"/>
        </w:rPr>
        <w:t xml:space="preserve"> </w:t>
      </w:r>
      <w:r>
        <w:rPr>
          <w:color w:val="231F20"/>
          <w:spacing w:val="-3"/>
          <w:sz w:val="20"/>
        </w:rPr>
        <w:t>likely</w:t>
      </w:r>
      <w:r>
        <w:rPr>
          <w:color w:val="231F20"/>
          <w:spacing w:val="-5"/>
          <w:sz w:val="20"/>
        </w:rPr>
        <w:t xml:space="preserve"> </w:t>
      </w:r>
      <w:r>
        <w:rPr>
          <w:color w:val="231F20"/>
          <w:sz w:val="20"/>
        </w:rPr>
        <w:t>to</w:t>
      </w:r>
      <w:r>
        <w:rPr>
          <w:color w:val="231F20"/>
          <w:spacing w:val="-5"/>
          <w:sz w:val="20"/>
        </w:rPr>
        <w:t xml:space="preserve"> </w:t>
      </w:r>
      <w:r>
        <w:rPr>
          <w:color w:val="231F20"/>
          <w:sz w:val="20"/>
        </w:rPr>
        <w:t>get</w:t>
      </w:r>
      <w:r>
        <w:rPr>
          <w:color w:val="231F20"/>
          <w:spacing w:val="-5"/>
          <w:sz w:val="20"/>
        </w:rPr>
        <w:t xml:space="preserve"> </w:t>
      </w:r>
      <w:r>
        <w:rPr>
          <w:color w:val="231F20"/>
          <w:sz w:val="20"/>
        </w:rPr>
        <w:t>the</w:t>
      </w:r>
      <w:r>
        <w:rPr>
          <w:color w:val="231F20"/>
          <w:spacing w:val="-5"/>
          <w:sz w:val="20"/>
        </w:rPr>
        <w:t xml:space="preserve"> </w:t>
      </w:r>
      <w:r>
        <w:rPr>
          <w:color w:val="231F20"/>
          <w:sz w:val="20"/>
        </w:rPr>
        <w:t>support</w:t>
      </w:r>
      <w:r>
        <w:rPr>
          <w:color w:val="231F20"/>
          <w:spacing w:val="-5"/>
          <w:sz w:val="20"/>
        </w:rPr>
        <w:t xml:space="preserve"> </w:t>
      </w:r>
      <w:r>
        <w:rPr>
          <w:color w:val="231F20"/>
          <w:sz w:val="20"/>
        </w:rPr>
        <w:t>they</w:t>
      </w:r>
      <w:r>
        <w:rPr>
          <w:color w:val="231F20"/>
          <w:spacing w:val="-5"/>
          <w:sz w:val="20"/>
        </w:rPr>
        <w:t xml:space="preserve"> </w:t>
      </w:r>
      <w:r>
        <w:rPr>
          <w:color w:val="231F20"/>
          <w:sz w:val="20"/>
        </w:rPr>
        <w:t>need.</w:t>
      </w:r>
      <w:r>
        <w:rPr>
          <w:color w:val="231F20"/>
          <w:position w:val="7"/>
          <w:sz w:val="11"/>
        </w:rPr>
        <w:t>77</w:t>
      </w:r>
    </w:p>
    <w:p w14:paraId="7383E50D" w14:textId="77777777" w:rsidR="00894070" w:rsidRDefault="009B7AFD">
      <w:pPr>
        <w:pStyle w:val="ListParagraph"/>
        <w:numPr>
          <w:ilvl w:val="1"/>
          <w:numId w:val="126"/>
        </w:numPr>
        <w:tabs>
          <w:tab w:val="left" w:pos="1802"/>
        </w:tabs>
        <w:spacing w:before="124" w:line="206" w:lineRule="auto"/>
        <w:ind w:right="1254"/>
        <w:jc w:val="both"/>
        <w:rPr>
          <w:sz w:val="20"/>
        </w:rPr>
      </w:pPr>
      <w:r>
        <w:rPr>
          <w:color w:val="231F20"/>
          <w:sz w:val="20"/>
        </w:rPr>
        <w:t xml:space="preserve">In implementing </w:t>
      </w:r>
      <w:r>
        <w:rPr>
          <w:color w:val="231F20"/>
          <w:spacing w:val="-3"/>
          <w:sz w:val="20"/>
        </w:rPr>
        <w:t xml:space="preserve">reforms, </w:t>
      </w:r>
      <w:r>
        <w:rPr>
          <w:color w:val="231F20"/>
          <w:sz w:val="20"/>
        </w:rPr>
        <w:t xml:space="preserve">the </w:t>
      </w:r>
      <w:r>
        <w:rPr>
          <w:color w:val="231F20"/>
          <w:spacing w:val="-3"/>
          <w:sz w:val="20"/>
        </w:rPr>
        <w:t xml:space="preserve">government </w:t>
      </w:r>
      <w:r>
        <w:rPr>
          <w:color w:val="231F20"/>
          <w:sz w:val="20"/>
        </w:rPr>
        <w:t xml:space="preserve">should make </w:t>
      </w:r>
      <w:r>
        <w:rPr>
          <w:color w:val="231F20"/>
          <w:spacing w:val="-3"/>
          <w:sz w:val="20"/>
        </w:rPr>
        <w:t xml:space="preserve">sure </w:t>
      </w:r>
      <w:r>
        <w:rPr>
          <w:color w:val="231F20"/>
          <w:sz w:val="20"/>
        </w:rPr>
        <w:t xml:space="preserve">that </w:t>
      </w:r>
      <w:r>
        <w:rPr>
          <w:color w:val="231F20"/>
          <w:spacing w:val="-4"/>
          <w:sz w:val="20"/>
        </w:rPr>
        <w:t xml:space="preserve">pathways </w:t>
      </w:r>
      <w:r>
        <w:rPr>
          <w:color w:val="231F20"/>
          <w:sz w:val="20"/>
        </w:rPr>
        <w:t xml:space="preserve">to support </w:t>
      </w:r>
      <w:r>
        <w:rPr>
          <w:color w:val="231F20"/>
          <w:spacing w:val="-3"/>
          <w:sz w:val="20"/>
        </w:rPr>
        <w:t xml:space="preserve">are </w:t>
      </w:r>
      <w:r>
        <w:rPr>
          <w:color w:val="231F20"/>
          <w:sz w:val="20"/>
        </w:rPr>
        <w:t xml:space="preserve">available to people experiencing stalking, including cyberstalking, </w:t>
      </w:r>
      <w:proofErr w:type="gramStart"/>
      <w:r>
        <w:rPr>
          <w:color w:val="231F20"/>
          <w:sz w:val="20"/>
        </w:rPr>
        <w:t>whether or not</w:t>
      </w:r>
      <w:proofErr w:type="gramEnd"/>
      <w:r>
        <w:rPr>
          <w:color w:val="231F20"/>
          <w:sz w:val="20"/>
        </w:rPr>
        <w:t xml:space="preserve"> they</w:t>
      </w:r>
      <w:r>
        <w:rPr>
          <w:color w:val="231F20"/>
          <w:spacing w:val="-10"/>
          <w:sz w:val="20"/>
        </w:rPr>
        <w:t xml:space="preserve"> </w:t>
      </w:r>
      <w:r>
        <w:rPr>
          <w:color w:val="231F20"/>
          <w:sz w:val="20"/>
        </w:rPr>
        <w:t>report</w:t>
      </w:r>
      <w:r>
        <w:rPr>
          <w:color w:val="231F20"/>
          <w:spacing w:val="-9"/>
          <w:sz w:val="20"/>
        </w:rPr>
        <w:t xml:space="preserve"> </w:t>
      </w:r>
      <w:r>
        <w:rPr>
          <w:color w:val="231F20"/>
          <w:sz w:val="20"/>
        </w:rPr>
        <w:t>to</w:t>
      </w:r>
      <w:r>
        <w:rPr>
          <w:color w:val="231F20"/>
          <w:spacing w:val="-9"/>
          <w:sz w:val="20"/>
        </w:rPr>
        <w:t xml:space="preserve"> </w:t>
      </w:r>
      <w:r>
        <w:rPr>
          <w:color w:val="231F20"/>
          <w:sz w:val="20"/>
        </w:rPr>
        <w:t>police.</w:t>
      </w:r>
      <w:r>
        <w:rPr>
          <w:color w:val="231F20"/>
          <w:spacing w:val="-9"/>
          <w:sz w:val="20"/>
        </w:rPr>
        <w:t xml:space="preserve"> </w:t>
      </w:r>
      <w:r>
        <w:rPr>
          <w:color w:val="231F20"/>
          <w:sz w:val="20"/>
        </w:rPr>
        <w:t>The</w:t>
      </w:r>
      <w:r>
        <w:rPr>
          <w:color w:val="231F20"/>
          <w:spacing w:val="-10"/>
          <w:sz w:val="20"/>
        </w:rPr>
        <w:t xml:space="preserve"> </w:t>
      </w:r>
      <w:r>
        <w:rPr>
          <w:color w:val="231F20"/>
          <w:sz w:val="20"/>
        </w:rPr>
        <w:t>connection</w:t>
      </w:r>
      <w:r>
        <w:rPr>
          <w:color w:val="231F20"/>
          <w:spacing w:val="-9"/>
          <w:sz w:val="20"/>
        </w:rPr>
        <w:t xml:space="preserve"> </w:t>
      </w:r>
      <w:r>
        <w:rPr>
          <w:color w:val="231F20"/>
          <w:sz w:val="20"/>
        </w:rPr>
        <w:t>to</w:t>
      </w:r>
      <w:r>
        <w:rPr>
          <w:color w:val="231F20"/>
          <w:spacing w:val="-9"/>
          <w:sz w:val="20"/>
        </w:rPr>
        <w:t xml:space="preserve"> </w:t>
      </w:r>
      <w:r>
        <w:rPr>
          <w:color w:val="231F20"/>
          <w:sz w:val="20"/>
        </w:rPr>
        <w:t>services</w:t>
      </w:r>
      <w:r>
        <w:rPr>
          <w:color w:val="231F20"/>
          <w:spacing w:val="-9"/>
          <w:sz w:val="20"/>
        </w:rPr>
        <w:t xml:space="preserve"> </w:t>
      </w:r>
      <w:r>
        <w:rPr>
          <w:color w:val="231F20"/>
          <w:sz w:val="20"/>
        </w:rPr>
        <w:t>needs</w:t>
      </w:r>
      <w:r>
        <w:rPr>
          <w:color w:val="231F20"/>
          <w:spacing w:val="-10"/>
          <w:sz w:val="20"/>
        </w:rPr>
        <w:t xml:space="preserve"> </w:t>
      </w:r>
      <w:r>
        <w:rPr>
          <w:color w:val="231F20"/>
          <w:sz w:val="20"/>
        </w:rPr>
        <w:t>to</w:t>
      </w:r>
      <w:r>
        <w:rPr>
          <w:color w:val="231F20"/>
          <w:spacing w:val="-9"/>
          <w:sz w:val="20"/>
        </w:rPr>
        <w:t xml:space="preserve"> </w:t>
      </w:r>
      <w:r>
        <w:rPr>
          <w:color w:val="231F20"/>
          <w:sz w:val="20"/>
        </w:rPr>
        <w:t>happen</w:t>
      </w:r>
      <w:r>
        <w:rPr>
          <w:color w:val="231F20"/>
          <w:spacing w:val="-9"/>
          <w:sz w:val="20"/>
        </w:rPr>
        <w:t xml:space="preserve"> </w:t>
      </w:r>
      <w:r>
        <w:rPr>
          <w:color w:val="231F20"/>
          <w:sz w:val="20"/>
        </w:rPr>
        <w:t>as</w:t>
      </w:r>
      <w:r>
        <w:rPr>
          <w:color w:val="231F20"/>
          <w:spacing w:val="-9"/>
          <w:sz w:val="20"/>
        </w:rPr>
        <w:t xml:space="preserve"> </w:t>
      </w:r>
      <w:r>
        <w:rPr>
          <w:color w:val="231F20"/>
          <w:spacing w:val="-3"/>
          <w:sz w:val="20"/>
        </w:rPr>
        <w:t>early</w:t>
      </w:r>
      <w:r>
        <w:rPr>
          <w:color w:val="231F20"/>
          <w:spacing w:val="-9"/>
          <w:sz w:val="20"/>
        </w:rPr>
        <w:t xml:space="preserve"> </w:t>
      </w:r>
      <w:r>
        <w:rPr>
          <w:color w:val="231F20"/>
          <w:sz w:val="20"/>
        </w:rPr>
        <w:t>as</w:t>
      </w:r>
      <w:r>
        <w:rPr>
          <w:color w:val="231F20"/>
          <w:spacing w:val="-10"/>
          <w:sz w:val="20"/>
        </w:rPr>
        <w:t xml:space="preserve"> </w:t>
      </w:r>
      <w:r>
        <w:rPr>
          <w:color w:val="231F20"/>
          <w:sz w:val="20"/>
        </w:rPr>
        <w:t>possible.</w:t>
      </w:r>
    </w:p>
    <w:p w14:paraId="25F72A39" w14:textId="77777777" w:rsidR="00894070" w:rsidRDefault="009B7AFD">
      <w:pPr>
        <w:pStyle w:val="ListParagraph"/>
        <w:numPr>
          <w:ilvl w:val="1"/>
          <w:numId w:val="126"/>
        </w:numPr>
        <w:tabs>
          <w:tab w:val="left" w:pos="1801"/>
          <w:tab w:val="left" w:pos="1802"/>
        </w:tabs>
        <w:spacing w:before="124" w:line="206" w:lineRule="auto"/>
        <w:ind w:right="1293"/>
        <w:rPr>
          <w:sz w:val="11"/>
        </w:rPr>
      </w:pPr>
      <w:r>
        <w:rPr>
          <w:color w:val="231F20"/>
          <w:sz w:val="20"/>
        </w:rPr>
        <w:t xml:space="preserve">When victim survivors seek support, they should </w:t>
      </w:r>
      <w:r>
        <w:rPr>
          <w:color w:val="231F20"/>
          <w:spacing w:val="-3"/>
          <w:sz w:val="20"/>
        </w:rPr>
        <w:t xml:space="preserve">receive </w:t>
      </w:r>
      <w:r>
        <w:rPr>
          <w:color w:val="231F20"/>
          <w:sz w:val="20"/>
        </w:rPr>
        <w:t xml:space="preserve">a consistent and </w:t>
      </w:r>
      <w:r>
        <w:rPr>
          <w:color w:val="231F20"/>
          <w:spacing w:val="-3"/>
          <w:sz w:val="20"/>
        </w:rPr>
        <w:t xml:space="preserve">integrated </w:t>
      </w:r>
      <w:r>
        <w:rPr>
          <w:color w:val="231F20"/>
          <w:spacing w:val="-2"/>
          <w:sz w:val="20"/>
        </w:rPr>
        <w:t xml:space="preserve">response. </w:t>
      </w:r>
      <w:r>
        <w:rPr>
          <w:color w:val="231F20"/>
          <w:sz w:val="20"/>
        </w:rPr>
        <w:t xml:space="preserve">As supporters of Celeste Manno </w:t>
      </w:r>
      <w:r>
        <w:rPr>
          <w:color w:val="231F20"/>
          <w:spacing w:val="-3"/>
          <w:sz w:val="20"/>
        </w:rPr>
        <w:t xml:space="preserve">told </w:t>
      </w:r>
      <w:r>
        <w:rPr>
          <w:color w:val="231F20"/>
          <w:sz w:val="20"/>
        </w:rPr>
        <w:t xml:space="preserve">us, victim survivors ‘need to </w:t>
      </w:r>
      <w:r>
        <w:rPr>
          <w:color w:val="231F20"/>
          <w:spacing w:val="-3"/>
          <w:sz w:val="20"/>
        </w:rPr>
        <w:t xml:space="preserve">receive </w:t>
      </w:r>
      <w:r>
        <w:rPr>
          <w:color w:val="231F20"/>
          <w:sz w:val="20"/>
        </w:rPr>
        <w:t xml:space="preserve">useful advice that is best going to </w:t>
      </w:r>
      <w:r>
        <w:rPr>
          <w:color w:val="231F20"/>
          <w:spacing w:val="-3"/>
          <w:sz w:val="20"/>
        </w:rPr>
        <w:t xml:space="preserve">protect </w:t>
      </w:r>
      <w:r>
        <w:rPr>
          <w:color w:val="231F20"/>
          <w:spacing w:val="-4"/>
          <w:sz w:val="20"/>
        </w:rPr>
        <w:t>them’.</w:t>
      </w:r>
      <w:r>
        <w:rPr>
          <w:color w:val="231F20"/>
          <w:spacing w:val="-4"/>
          <w:position w:val="7"/>
          <w:sz w:val="11"/>
        </w:rPr>
        <w:t xml:space="preserve">78 </w:t>
      </w:r>
      <w:r>
        <w:rPr>
          <w:color w:val="231F20"/>
          <w:sz w:val="20"/>
        </w:rPr>
        <w:t>Research indicates that victim survivors</w:t>
      </w:r>
      <w:r>
        <w:rPr>
          <w:color w:val="231F20"/>
          <w:spacing w:val="-11"/>
          <w:sz w:val="20"/>
        </w:rPr>
        <w:t xml:space="preserve"> </w:t>
      </w:r>
      <w:r>
        <w:rPr>
          <w:color w:val="231F20"/>
          <w:sz w:val="20"/>
        </w:rPr>
        <w:t>of</w:t>
      </w:r>
      <w:r>
        <w:rPr>
          <w:color w:val="231F20"/>
          <w:spacing w:val="-11"/>
          <w:sz w:val="20"/>
        </w:rPr>
        <w:t xml:space="preserve"> </w:t>
      </w:r>
      <w:r>
        <w:rPr>
          <w:color w:val="231F20"/>
          <w:sz w:val="20"/>
        </w:rPr>
        <w:t>stalking</w:t>
      </w:r>
      <w:r>
        <w:rPr>
          <w:color w:val="231F20"/>
          <w:spacing w:val="-11"/>
          <w:sz w:val="20"/>
        </w:rPr>
        <w:t xml:space="preserve"> </w:t>
      </w:r>
      <w:r>
        <w:rPr>
          <w:color w:val="231F20"/>
          <w:sz w:val="20"/>
        </w:rPr>
        <w:t>often</w:t>
      </w:r>
      <w:r>
        <w:rPr>
          <w:color w:val="231F20"/>
          <w:spacing w:val="-11"/>
          <w:sz w:val="20"/>
        </w:rPr>
        <w:t xml:space="preserve"> </w:t>
      </w:r>
      <w:r>
        <w:rPr>
          <w:color w:val="231F20"/>
          <w:spacing w:val="-3"/>
          <w:sz w:val="20"/>
        </w:rPr>
        <w:t>‘receive</w:t>
      </w:r>
      <w:r>
        <w:rPr>
          <w:color w:val="231F20"/>
          <w:spacing w:val="-11"/>
          <w:sz w:val="20"/>
        </w:rPr>
        <w:t xml:space="preserve"> </w:t>
      </w:r>
      <w:r>
        <w:rPr>
          <w:color w:val="231F20"/>
          <w:sz w:val="20"/>
        </w:rPr>
        <w:t>conflicting</w:t>
      </w:r>
      <w:r>
        <w:rPr>
          <w:color w:val="231F20"/>
          <w:spacing w:val="-10"/>
          <w:sz w:val="20"/>
        </w:rPr>
        <w:t xml:space="preserve"> </w:t>
      </w:r>
      <w:r>
        <w:rPr>
          <w:color w:val="231F20"/>
          <w:sz w:val="20"/>
        </w:rPr>
        <w:t>advice</w:t>
      </w:r>
      <w:r>
        <w:rPr>
          <w:color w:val="231F20"/>
          <w:spacing w:val="-11"/>
          <w:sz w:val="20"/>
        </w:rPr>
        <w:t xml:space="preserve"> </w:t>
      </w:r>
      <w:r>
        <w:rPr>
          <w:color w:val="231F20"/>
          <w:spacing w:val="-3"/>
          <w:sz w:val="20"/>
        </w:rPr>
        <w:t>from</w:t>
      </w:r>
      <w:r>
        <w:rPr>
          <w:color w:val="231F20"/>
          <w:spacing w:val="-11"/>
          <w:sz w:val="20"/>
        </w:rPr>
        <w:t xml:space="preserve"> </w:t>
      </w:r>
      <w:r>
        <w:rPr>
          <w:color w:val="231F20"/>
          <w:sz w:val="20"/>
        </w:rPr>
        <w:t>traditional</w:t>
      </w:r>
      <w:r>
        <w:rPr>
          <w:color w:val="231F20"/>
          <w:spacing w:val="-11"/>
          <w:sz w:val="20"/>
        </w:rPr>
        <w:t xml:space="preserve"> </w:t>
      </w:r>
      <w:r>
        <w:rPr>
          <w:color w:val="231F20"/>
          <w:sz w:val="20"/>
        </w:rPr>
        <w:t>sources</w:t>
      </w:r>
      <w:r>
        <w:rPr>
          <w:color w:val="231F20"/>
          <w:spacing w:val="-11"/>
          <w:sz w:val="20"/>
        </w:rPr>
        <w:t xml:space="preserve"> </w:t>
      </w:r>
      <w:r>
        <w:rPr>
          <w:color w:val="231F20"/>
          <w:sz w:val="20"/>
        </w:rPr>
        <w:t>of</w:t>
      </w:r>
      <w:r>
        <w:rPr>
          <w:color w:val="231F20"/>
          <w:spacing w:val="-11"/>
          <w:sz w:val="20"/>
        </w:rPr>
        <w:t xml:space="preserve"> </w:t>
      </w:r>
      <w:r>
        <w:rPr>
          <w:color w:val="231F20"/>
          <w:spacing w:val="-4"/>
          <w:sz w:val="20"/>
        </w:rPr>
        <w:t>help’.</w:t>
      </w:r>
      <w:r>
        <w:rPr>
          <w:color w:val="231F20"/>
          <w:spacing w:val="-4"/>
          <w:position w:val="7"/>
          <w:sz w:val="11"/>
        </w:rPr>
        <w:t>79</w:t>
      </w:r>
    </w:p>
    <w:p w14:paraId="161B81FC" w14:textId="77777777" w:rsidR="00894070" w:rsidRDefault="00894070">
      <w:pPr>
        <w:pStyle w:val="BodyText"/>
      </w:pPr>
    </w:p>
    <w:p w14:paraId="385659A5" w14:textId="77777777" w:rsidR="00894070" w:rsidRDefault="00894070">
      <w:pPr>
        <w:pStyle w:val="BodyText"/>
      </w:pPr>
    </w:p>
    <w:p w14:paraId="63B9D226" w14:textId="77777777" w:rsidR="00894070" w:rsidRDefault="00894070">
      <w:pPr>
        <w:pStyle w:val="BodyText"/>
      </w:pPr>
    </w:p>
    <w:p w14:paraId="6ABFF962" w14:textId="77777777" w:rsidR="00894070" w:rsidRDefault="00894070">
      <w:pPr>
        <w:pStyle w:val="BodyText"/>
      </w:pPr>
    </w:p>
    <w:p w14:paraId="61CF0EEC" w14:textId="77777777" w:rsidR="00894070" w:rsidRDefault="009F6793">
      <w:pPr>
        <w:pStyle w:val="BodyText"/>
        <w:spacing w:before="1"/>
        <w:rPr>
          <w:sz w:val="12"/>
        </w:rPr>
      </w:pPr>
      <w:r>
        <w:pict w14:anchorId="032EFD22">
          <v:line id="_x0000_s1412" style="position:absolute;z-index:251604992;mso-wrap-distance-left:0;mso-wrap-distance-right:0;mso-position-horizontal-relative:page" from="79.35pt,10.85pt" to="515.9pt,10.85pt" strokecolor="#f8cabc" strokeweight="1pt">
            <w10:wrap type="topAndBottom" anchorx="page"/>
          </v:line>
        </w:pict>
      </w:r>
    </w:p>
    <w:p w14:paraId="5F7C6A45" w14:textId="77777777" w:rsidR="00894070" w:rsidRDefault="009B7AFD">
      <w:pPr>
        <w:pStyle w:val="ListParagraph"/>
        <w:numPr>
          <w:ilvl w:val="0"/>
          <w:numId w:val="117"/>
        </w:numPr>
        <w:tabs>
          <w:tab w:val="left" w:pos="1800"/>
          <w:tab w:val="left" w:pos="1802"/>
        </w:tabs>
        <w:spacing w:before="91" w:line="170" w:lineRule="exact"/>
        <w:rPr>
          <w:sz w:val="13"/>
        </w:rPr>
      </w:pPr>
      <w:r>
        <w:rPr>
          <w:color w:val="231F20"/>
          <w:spacing w:val="2"/>
          <w:sz w:val="13"/>
        </w:rPr>
        <w:t xml:space="preserve">Submission </w:t>
      </w:r>
      <w:r>
        <w:rPr>
          <w:color w:val="231F20"/>
          <w:sz w:val="13"/>
        </w:rPr>
        <w:t>100</w:t>
      </w:r>
      <w:r>
        <w:rPr>
          <w:color w:val="231F20"/>
          <w:spacing w:val="-3"/>
          <w:sz w:val="13"/>
        </w:rPr>
        <w:t xml:space="preserve"> </w:t>
      </w:r>
      <w:r>
        <w:rPr>
          <w:color w:val="231F20"/>
          <w:sz w:val="13"/>
        </w:rPr>
        <w:t>(Forensicare).</w:t>
      </w:r>
    </w:p>
    <w:p w14:paraId="4305C08B" w14:textId="77777777" w:rsidR="00894070" w:rsidRDefault="009B7AFD">
      <w:pPr>
        <w:pStyle w:val="ListParagraph"/>
        <w:numPr>
          <w:ilvl w:val="0"/>
          <w:numId w:val="117"/>
        </w:numPr>
        <w:tabs>
          <w:tab w:val="left" w:pos="1800"/>
          <w:tab w:val="left" w:pos="1802"/>
        </w:tabs>
        <w:spacing w:line="16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 Commissioner); Consultation 8 (eSafety Commissioner).</w:t>
      </w:r>
    </w:p>
    <w:p w14:paraId="4EB8686A" w14:textId="77777777" w:rsidR="00894070" w:rsidRDefault="009B7AFD">
      <w:pPr>
        <w:pStyle w:val="ListParagraph"/>
        <w:numPr>
          <w:ilvl w:val="0"/>
          <w:numId w:val="117"/>
        </w:numPr>
        <w:tabs>
          <w:tab w:val="left" w:pos="1801"/>
          <w:tab w:val="left" w:pos="1802"/>
        </w:tabs>
        <w:spacing w:line="16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4"/>
          <w:sz w:val="13"/>
        </w:rPr>
        <w:t xml:space="preserve"> </w:t>
      </w:r>
      <w:r>
        <w:rPr>
          <w:color w:val="231F20"/>
          <w:sz w:val="13"/>
        </w:rPr>
        <w:t>Commissioner).</w:t>
      </w:r>
    </w:p>
    <w:p w14:paraId="138A9522" w14:textId="77777777" w:rsidR="00894070" w:rsidRDefault="009B7AFD">
      <w:pPr>
        <w:pStyle w:val="ListParagraph"/>
        <w:numPr>
          <w:ilvl w:val="0"/>
          <w:numId w:val="117"/>
        </w:numPr>
        <w:tabs>
          <w:tab w:val="left" w:pos="1801"/>
          <w:tab w:val="left" w:pos="1802"/>
        </w:tabs>
        <w:spacing w:line="160" w:lineRule="exact"/>
        <w:rPr>
          <w:sz w:val="13"/>
        </w:rPr>
      </w:pPr>
      <w:r>
        <w:rPr>
          <w:color w:val="231F20"/>
          <w:sz w:val="13"/>
        </w:rPr>
        <w:t>Ibid.</w:t>
      </w:r>
    </w:p>
    <w:p w14:paraId="4687FF09" w14:textId="77777777" w:rsidR="00894070" w:rsidRDefault="009B7AFD">
      <w:pPr>
        <w:pStyle w:val="ListParagraph"/>
        <w:numPr>
          <w:ilvl w:val="0"/>
          <w:numId w:val="117"/>
        </w:numPr>
        <w:tabs>
          <w:tab w:val="left" w:pos="1801"/>
          <w:tab w:val="left" w:pos="1802"/>
        </w:tabs>
        <w:spacing w:line="160"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Review of the Victims of Crime Assistance Act </w:t>
      </w:r>
      <w:r>
        <w:rPr>
          <w:i/>
          <w:color w:val="231F20"/>
          <w:spacing w:val="2"/>
          <w:sz w:val="13"/>
        </w:rPr>
        <w:t xml:space="preserve">1996 </w:t>
      </w:r>
      <w:r>
        <w:rPr>
          <w:color w:val="231F20"/>
          <w:spacing w:val="2"/>
          <w:sz w:val="13"/>
        </w:rPr>
        <w:t xml:space="preserve">(Report </w:t>
      </w:r>
      <w:r>
        <w:rPr>
          <w:color w:val="231F20"/>
          <w:sz w:val="13"/>
        </w:rPr>
        <w:t xml:space="preserve">No </w:t>
      </w:r>
      <w:r>
        <w:rPr>
          <w:color w:val="231F20"/>
          <w:spacing w:val="2"/>
          <w:sz w:val="13"/>
        </w:rPr>
        <w:t xml:space="preserve">36, </w:t>
      </w:r>
      <w:r>
        <w:rPr>
          <w:color w:val="231F20"/>
          <w:sz w:val="13"/>
        </w:rPr>
        <w:t>July</w:t>
      </w:r>
      <w:r>
        <w:rPr>
          <w:color w:val="231F20"/>
          <w:spacing w:val="8"/>
          <w:sz w:val="13"/>
        </w:rPr>
        <w:t xml:space="preserve"> </w:t>
      </w:r>
      <w:r>
        <w:rPr>
          <w:color w:val="231F20"/>
          <w:sz w:val="13"/>
        </w:rPr>
        <w:t>2018).</w:t>
      </w:r>
    </w:p>
    <w:p w14:paraId="6A4FD342" w14:textId="77777777" w:rsidR="00894070" w:rsidRDefault="009B7AFD">
      <w:pPr>
        <w:pStyle w:val="ListParagraph"/>
        <w:numPr>
          <w:ilvl w:val="0"/>
          <w:numId w:val="117"/>
        </w:numPr>
        <w:tabs>
          <w:tab w:val="left" w:pos="1801"/>
          <w:tab w:val="left" w:pos="1802"/>
        </w:tabs>
        <w:spacing w:line="16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136886C3" w14:textId="77777777" w:rsidR="00894070" w:rsidRDefault="009B7AFD">
      <w:pPr>
        <w:pStyle w:val="ListParagraph"/>
        <w:numPr>
          <w:ilvl w:val="0"/>
          <w:numId w:val="117"/>
        </w:numPr>
        <w:tabs>
          <w:tab w:val="left" w:pos="1800"/>
          <w:tab w:val="left" w:pos="1802"/>
        </w:tabs>
        <w:spacing w:before="6" w:line="213" w:lineRule="auto"/>
        <w:ind w:right="1651"/>
        <w:rPr>
          <w:sz w:val="13"/>
        </w:rPr>
      </w:pPr>
      <w:r>
        <w:rPr>
          <w:color w:val="231F20"/>
          <w:sz w:val="13"/>
        </w:rPr>
        <w:t xml:space="preserve">The Victims of Crime </w:t>
      </w:r>
      <w:r>
        <w:rPr>
          <w:color w:val="231F20"/>
          <w:spacing w:val="2"/>
          <w:sz w:val="13"/>
        </w:rPr>
        <w:t xml:space="preserve">Commissioner </w:t>
      </w:r>
      <w:r>
        <w:rPr>
          <w:color w:val="231F20"/>
          <w:sz w:val="13"/>
        </w:rPr>
        <w:t xml:space="preserve">suggested that the Victorian Government should consider integrating within existing </w:t>
      </w:r>
      <w:r>
        <w:rPr>
          <w:color w:val="231F20"/>
          <w:spacing w:val="2"/>
          <w:sz w:val="13"/>
        </w:rPr>
        <w:t xml:space="preserve">services </w:t>
      </w:r>
      <w:r>
        <w:rPr>
          <w:color w:val="231F20"/>
          <w:sz w:val="13"/>
        </w:rPr>
        <w:t xml:space="preserve">a </w:t>
      </w:r>
      <w:r>
        <w:rPr>
          <w:color w:val="231F20"/>
          <w:spacing w:val="2"/>
          <w:sz w:val="13"/>
        </w:rPr>
        <w:t xml:space="preserve">specialised support service </w:t>
      </w:r>
      <w:r>
        <w:rPr>
          <w:color w:val="231F20"/>
          <w:sz w:val="13"/>
        </w:rPr>
        <w:t xml:space="preserve">for </w:t>
      </w:r>
      <w:proofErr w:type="gramStart"/>
      <w:r>
        <w:rPr>
          <w:color w:val="231F20"/>
          <w:sz w:val="13"/>
        </w:rPr>
        <w:t>high risk</w:t>
      </w:r>
      <w:proofErr w:type="gramEnd"/>
      <w:r>
        <w:rPr>
          <w:color w:val="231F20"/>
          <w:sz w:val="13"/>
        </w:rPr>
        <w:t xml:space="preserve"> victims of </w:t>
      </w:r>
      <w:r>
        <w:rPr>
          <w:color w:val="231F20"/>
          <w:spacing w:val="2"/>
          <w:sz w:val="13"/>
        </w:rPr>
        <w:t>stalking:</w:t>
      </w:r>
      <w:r>
        <w:rPr>
          <w:color w:val="231F20"/>
          <w:spacing w:val="-3"/>
          <w:sz w:val="13"/>
        </w:rPr>
        <w:t xml:space="preserve"> </w:t>
      </w:r>
      <w:r>
        <w:rPr>
          <w:color w:val="231F20"/>
          <w:sz w:val="13"/>
        </w:rPr>
        <w:t>Ibid.</w:t>
      </w:r>
    </w:p>
    <w:p w14:paraId="2C069D04" w14:textId="77777777" w:rsidR="00894070" w:rsidRDefault="009B7AFD">
      <w:pPr>
        <w:pStyle w:val="ListParagraph"/>
        <w:numPr>
          <w:ilvl w:val="0"/>
          <w:numId w:val="117"/>
        </w:numPr>
        <w:tabs>
          <w:tab w:val="left" w:pos="1801"/>
          <w:tab w:val="left" w:pos="1802"/>
        </w:tabs>
        <w:spacing w:line="153" w:lineRule="exact"/>
        <w:rPr>
          <w:i/>
          <w:sz w:val="13"/>
        </w:rPr>
      </w:pPr>
      <w:r>
        <w:rPr>
          <w:color w:val="231F20"/>
          <w:sz w:val="13"/>
        </w:rPr>
        <w:t>See,</w:t>
      </w:r>
      <w:r>
        <w:rPr>
          <w:color w:val="231F20"/>
          <w:spacing w:val="2"/>
          <w:sz w:val="13"/>
        </w:rPr>
        <w:t xml:space="preserve"> </w:t>
      </w:r>
      <w:r>
        <w:rPr>
          <w:color w:val="231F20"/>
          <w:sz w:val="13"/>
        </w:rPr>
        <w:t>eg,</w:t>
      </w:r>
      <w:r>
        <w:rPr>
          <w:color w:val="231F20"/>
          <w:spacing w:val="3"/>
          <w:sz w:val="13"/>
        </w:rPr>
        <w:t xml:space="preserve"> </w:t>
      </w:r>
      <w:r>
        <w:rPr>
          <w:color w:val="231F20"/>
          <w:sz w:val="13"/>
        </w:rPr>
        <w:t>Michele</w:t>
      </w:r>
      <w:r>
        <w:rPr>
          <w:color w:val="231F20"/>
          <w:spacing w:val="3"/>
          <w:sz w:val="13"/>
        </w:rPr>
        <w:t xml:space="preserve"> </w:t>
      </w:r>
      <w:r>
        <w:rPr>
          <w:color w:val="231F20"/>
          <w:sz w:val="13"/>
        </w:rPr>
        <w:t>Pathé</w:t>
      </w:r>
      <w:r>
        <w:rPr>
          <w:color w:val="231F20"/>
          <w:spacing w:val="2"/>
          <w:sz w:val="13"/>
        </w:rPr>
        <w:t xml:space="preserve"> </w:t>
      </w:r>
      <w:r>
        <w:rPr>
          <w:color w:val="231F20"/>
          <w:sz w:val="13"/>
        </w:rPr>
        <w:t>and</w:t>
      </w:r>
      <w:r>
        <w:rPr>
          <w:color w:val="231F20"/>
          <w:spacing w:val="3"/>
          <w:sz w:val="13"/>
        </w:rPr>
        <w:t xml:space="preserve"> </w:t>
      </w:r>
      <w:r>
        <w:rPr>
          <w:color w:val="231F20"/>
          <w:sz w:val="13"/>
        </w:rPr>
        <w:t>Paul</w:t>
      </w:r>
      <w:r>
        <w:rPr>
          <w:color w:val="231F20"/>
          <w:spacing w:val="3"/>
          <w:sz w:val="13"/>
        </w:rPr>
        <w:t xml:space="preserve"> </w:t>
      </w:r>
      <w:r>
        <w:rPr>
          <w:color w:val="231F20"/>
          <w:sz w:val="13"/>
        </w:rPr>
        <w:t>E</w:t>
      </w:r>
      <w:r>
        <w:rPr>
          <w:color w:val="231F20"/>
          <w:spacing w:val="3"/>
          <w:sz w:val="13"/>
        </w:rPr>
        <w:t xml:space="preserve"> </w:t>
      </w:r>
      <w:r>
        <w:rPr>
          <w:color w:val="231F20"/>
          <w:sz w:val="13"/>
        </w:rPr>
        <w:t>Mullen,</w:t>
      </w:r>
      <w:r>
        <w:rPr>
          <w:color w:val="231F20"/>
          <w:spacing w:val="2"/>
          <w:sz w:val="13"/>
        </w:rPr>
        <w:t xml:space="preserve"> </w:t>
      </w:r>
      <w:r>
        <w:rPr>
          <w:color w:val="231F20"/>
          <w:sz w:val="13"/>
        </w:rPr>
        <w:t>‘The</w:t>
      </w:r>
      <w:r>
        <w:rPr>
          <w:color w:val="231F20"/>
          <w:spacing w:val="3"/>
          <w:sz w:val="13"/>
        </w:rPr>
        <w:t xml:space="preserve"> </w:t>
      </w:r>
      <w:r>
        <w:rPr>
          <w:color w:val="231F20"/>
          <w:sz w:val="13"/>
        </w:rPr>
        <w:t>Impact</w:t>
      </w:r>
      <w:r>
        <w:rPr>
          <w:color w:val="231F20"/>
          <w:spacing w:val="3"/>
          <w:sz w:val="13"/>
        </w:rPr>
        <w:t xml:space="preserve"> </w:t>
      </w:r>
      <w:r>
        <w:rPr>
          <w:color w:val="231F20"/>
          <w:sz w:val="13"/>
        </w:rPr>
        <w:t>of</w:t>
      </w:r>
      <w:r>
        <w:rPr>
          <w:color w:val="231F20"/>
          <w:spacing w:val="3"/>
          <w:sz w:val="13"/>
        </w:rPr>
        <w:t xml:space="preserve"> </w:t>
      </w:r>
      <w:r>
        <w:rPr>
          <w:color w:val="231F20"/>
          <w:sz w:val="13"/>
        </w:rPr>
        <w:t>Stalkers</w:t>
      </w:r>
      <w:r>
        <w:rPr>
          <w:color w:val="231F20"/>
          <w:spacing w:val="2"/>
          <w:sz w:val="13"/>
        </w:rPr>
        <w:t xml:space="preserve"> </w:t>
      </w:r>
      <w:r>
        <w:rPr>
          <w:color w:val="231F20"/>
          <w:sz w:val="13"/>
        </w:rPr>
        <w:t>on</w:t>
      </w:r>
      <w:r>
        <w:rPr>
          <w:color w:val="231F20"/>
          <w:spacing w:val="3"/>
          <w:sz w:val="13"/>
        </w:rPr>
        <w:t xml:space="preserve"> </w:t>
      </w:r>
      <w:r>
        <w:rPr>
          <w:color w:val="231F20"/>
          <w:sz w:val="13"/>
        </w:rPr>
        <w:t>Their</w:t>
      </w:r>
      <w:r>
        <w:rPr>
          <w:color w:val="231F20"/>
          <w:spacing w:val="3"/>
          <w:sz w:val="13"/>
        </w:rPr>
        <w:t xml:space="preserve"> </w:t>
      </w:r>
      <w:r>
        <w:rPr>
          <w:color w:val="231F20"/>
          <w:sz w:val="13"/>
        </w:rPr>
        <w:t>Victims’</w:t>
      </w:r>
      <w:r>
        <w:rPr>
          <w:color w:val="231F20"/>
          <w:spacing w:val="3"/>
          <w:sz w:val="13"/>
        </w:rPr>
        <w:t xml:space="preserve"> </w:t>
      </w:r>
      <w:r>
        <w:rPr>
          <w:color w:val="231F20"/>
          <w:sz w:val="13"/>
        </w:rPr>
        <w:t>(1997)</w:t>
      </w:r>
      <w:r>
        <w:rPr>
          <w:color w:val="231F20"/>
          <w:spacing w:val="2"/>
          <w:sz w:val="13"/>
        </w:rPr>
        <w:t xml:space="preserve"> </w:t>
      </w:r>
      <w:r>
        <w:rPr>
          <w:color w:val="231F20"/>
          <w:sz w:val="13"/>
        </w:rPr>
        <w:t>170(1)</w:t>
      </w:r>
      <w:r>
        <w:rPr>
          <w:color w:val="231F20"/>
          <w:spacing w:val="2"/>
          <w:sz w:val="13"/>
        </w:rPr>
        <w:t xml:space="preserve"> </w:t>
      </w:r>
      <w:r>
        <w:rPr>
          <w:i/>
          <w:color w:val="231F20"/>
          <w:sz w:val="13"/>
        </w:rPr>
        <w:t>The</w:t>
      </w:r>
      <w:r>
        <w:rPr>
          <w:i/>
          <w:color w:val="231F20"/>
          <w:spacing w:val="3"/>
          <w:sz w:val="13"/>
        </w:rPr>
        <w:t xml:space="preserve"> </w:t>
      </w:r>
      <w:r>
        <w:rPr>
          <w:i/>
          <w:color w:val="231F20"/>
          <w:sz w:val="13"/>
        </w:rPr>
        <w:t>British</w:t>
      </w:r>
      <w:r>
        <w:rPr>
          <w:i/>
          <w:color w:val="231F20"/>
          <w:spacing w:val="2"/>
          <w:sz w:val="13"/>
        </w:rPr>
        <w:t xml:space="preserve"> </w:t>
      </w:r>
      <w:r>
        <w:rPr>
          <w:i/>
          <w:color w:val="231F20"/>
          <w:sz w:val="13"/>
        </w:rPr>
        <w:t>Journal</w:t>
      </w:r>
      <w:r>
        <w:rPr>
          <w:i/>
          <w:color w:val="231F20"/>
          <w:spacing w:val="3"/>
          <w:sz w:val="13"/>
        </w:rPr>
        <w:t xml:space="preserve"> </w:t>
      </w:r>
      <w:r>
        <w:rPr>
          <w:i/>
          <w:color w:val="231F20"/>
          <w:sz w:val="13"/>
        </w:rPr>
        <w:t>of</w:t>
      </w:r>
      <w:r>
        <w:rPr>
          <w:i/>
          <w:color w:val="231F20"/>
          <w:spacing w:val="3"/>
          <w:sz w:val="13"/>
        </w:rPr>
        <w:t xml:space="preserve"> </w:t>
      </w:r>
      <w:r>
        <w:rPr>
          <w:i/>
          <w:color w:val="231F20"/>
          <w:sz w:val="13"/>
        </w:rPr>
        <w:t>Psychiatry</w:t>
      </w:r>
    </w:p>
    <w:p w14:paraId="14C26272" w14:textId="77777777" w:rsidR="00894070" w:rsidRDefault="009B7AFD">
      <w:pPr>
        <w:spacing w:line="160" w:lineRule="exact"/>
        <w:ind w:left="1801"/>
        <w:rPr>
          <w:sz w:val="13"/>
        </w:rPr>
      </w:pPr>
      <w:r>
        <w:rPr>
          <w:color w:val="231F20"/>
          <w:sz w:val="13"/>
        </w:rPr>
        <w:t>12.</w:t>
      </w:r>
    </w:p>
    <w:p w14:paraId="0047678A" w14:textId="77777777" w:rsidR="00894070" w:rsidRDefault="009B7AFD">
      <w:pPr>
        <w:pStyle w:val="ListParagraph"/>
        <w:numPr>
          <w:ilvl w:val="0"/>
          <w:numId w:val="116"/>
        </w:numPr>
        <w:tabs>
          <w:tab w:val="left" w:pos="1801"/>
          <w:tab w:val="left" w:pos="1802"/>
        </w:tabs>
        <w:spacing w:before="6" w:line="213" w:lineRule="auto"/>
        <w:ind w:right="1500"/>
        <w:rPr>
          <w:sz w:val="13"/>
        </w:rPr>
      </w:pPr>
      <w:r>
        <w:rPr>
          <w:color w:val="231F20"/>
          <w:sz w:val="13"/>
        </w:rPr>
        <w:t xml:space="preserve">Centre for Innovative Justice, </w:t>
      </w:r>
      <w:r>
        <w:rPr>
          <w:i/>
          <w:color w:val="231F20"/>
          <w:sz w:val="13"/>
        </w:rPr>
        <w:t xml:space="preserve">Strengthening Victoria’s Victim </w:t>
      </w:r>
      <w:r>
        <w:rPr>
          <w:i/>
          <w:color w:val="231F20"/>
          <w:spacing w:val="2"/>
          <w:sz w:val="13"/>
        </w:rPr>
        <w:t xml:space="preserve">Support </w:t>
      </w:r>
      <w:r>
        <w:rPr>
          <w:i/>
          <w:color w:val="231F20"/>
          <w:sz w:val="13"/>
        </w:rPr>
        <w:t xml:space="preserve">System: Victim </w:t>
      </w:r>
      <w:r>
        <w:rPr>
          <w:i/>
          <w:color w:val="231F20"/>
          <w:spacing w:val="2"/>
          <w:sz w:val="13"/>
        </w:rPr>
        <w:t xml:space="preserve">Services </w:t>
      </w:r>
      <w:r>
        <w:rPr>
          <w:i/>
          <w:color w:val="231F20"/>
          <w:sz w:val="13"/>
        </w:rPr>
        <w:t xml:space="preserve">Review </w:t>
      </w:r>
      <w:r>
        <w:rPr>
          <w:color w:val="231F20"/>
          <w:sz w:val="13"/>
        </w:rPr>
        <w:t xml:space="preserve">(Final </w:t>
      </w:r>
      <w:r>
        <w:rPr>
          <w:color w:val="231F20"/>
          <w:spacing w:val="2"/>
          <w:sz w:val="13"/>
        </w:rPr>
        <w:t xml:space="preserve">Report, </w:t>
      </w:r>
      <w:r>
        <w:rPr>
          <w:color w:val="231F20"/>
          <w:sz w:val="13"/>
        </w:rPr>
        <w:t>November 2020) 70.</w:t>
      </w:r>
    </w:p>
    <w:p w14:paraId="4E5BCE7B" w14:textId="77777777" w:rsidR="00894070" w:rsidRDefault="009F6793">
      <w:pPr>
        <w:pStyle w:val="ListParagraph"/>
        <w:numPr>
          <w:ilvl w:val="0"/>
          <w:numId w:val="116"/>
        </w:numPr>
        <w:tabs>
          <w:tab w:val="left" w:pos="1800"/>
          <w:tab w:val="left" w:pos="1802"/>
        </w:tabs>
        <w:spacing w:line="153" w:lineRule="exact"/>
        <w:rPr>
          <w:sz w:val="13"/>
        </w:rPr>
      </w:pPr>
      <w:r>
        <w:pict w14:anchorId="3CB1AA43">
          <v:shape id="_x0000_s1411" type="#_x0000_t202" style="position:absolute;left:0;text-align:left;margin-left:36pt;margin-top:3.35pt;width:14.1pt;height:14.1pt;z-index:251680768;mso-position-horizontal-relative:page" filled="f" stroked="f">
            <v:textbox inset="0,0,0,0">
              <w:txbxContent>
                <w:p w14:paraId="17D1BA5A" w14:textId="77777777" w:rsidR="00894070" w:rsidRDefault="009B7AFD">
                  <w:pPr>
                    <w:spacing w:line="282" w:lineRule="exact"/>
                    <w:rPr>
                      <w:b/>
                      <w:sz w:val="24"/>
                    </w:rPr>
                  </w:pPr>
                  <w:r>
                    <w:rPr>
                      <w:b/>
                      <w:color w:val="EA5B50"/>
                      <w:sz w:val="24"/>
                    </w:rPr>
                    <w:t>84</w:t>
                  </w:r>
                </w:p>
              </w:txbxContent>
            </v:textbox>
            <w10:wrap anchorx="page"/>
          </v:shape>
        </w:pict>
      </w:r>
      <w:r w:rsidR="009B7AFD">
        <w:rPr>
          <w:color w:val="231F20"/>
          <w:spacing w:val="2"/>
          <w:sz w:val="13"/>
        </w:rPr>
        <w:t xml:space="preserve">Submission </w:t>
      </w:r>
      <w:r w:rsidR="009B7AFD">
        <w:rPr>
          <w:color w:val="231F20"/>
          <w:sz w:val="13"/>
        </w:rPr>
        <w:t xml:space="preserve">54 (Riana Leonardi, Hannah Smith, Dahlia </w:t>
      </w:r>
      <w:r w:rsidR="009B7AFD">
        <w:rPr>
          <w:color w:val="231F20"/>
          <w:spacing w:val="2"/>
          <w:sz w:val="13"/>
        </w:rPr>
        <w:t>Mahmoud, Melissa</w:t>
      </w:r>
      <w:r w:rsidR="009B7AFD">
        <w:rPr>
          <w:color w:val="231F20"/>
          <w:sz w:val="13"/>
        </w:rPr>
        <w:t xml:space="preserve"> Caligiore).</w:t>
      </w:r>
    </w:p>
    <w:p w14:paraId="330D2B1D" w14:textId="77777777" w:rsidR="00894070" w:rsidRDefault="009B7AFD">
      <w:pPr>
        <w:pStyle w:val="ListParagraph"/>
        <w:numPr>
          <w:ilvl w:val="0"/>
          <w:numId w:val="116"/>
        </w:numPr>
        <w:tabs>
          <w:tab w:val="left" w:pos="1800"/>
          <w:tab w:val="left" w:pos="1802"/>
        </w:tabs>
        <w:spacing w:line="170" w:lineRule="exact"/>
        <w:rPr>
          <w:sz w:val="13"/>
        </w:rPr>
      </w:pPr>
      <w:r>
        <w:rPr>
          <w:color w:val="231F20"/>
          <w:sz w:val="13"/>
        </w:rPr>
        <w:t>Michele</w:t>
      </w:r>
      <w:r>
        <w:rPr>
          <w:color w:val="231F20"/>
          <w:spacing w:val="2"/>
          <w:sz w:val="13"/>
        </w:rPr>
        <w:t xml:space="preserve"> </w:t>
      </w:r>
      <w:r>
        <w:rPr>
          <w:color w:val="231F20"/>
          <w:sz w:val="13"/>
        </w:rPr>
        <w:t>Pathé</w:t>
      </w:r>
      <w:r>
        <w:rPr>
          <w:color w:val="231F20"/>
          <w:spacing w:val="2"/>
          <w:sz w:val="13"/>
        </w:rPr>
        <w:t xml:space="preserve"> </w:t>
      </w:r>
      <w:r>
        <w:rPr>
          <w:color w:val="231F20"/>
          <w:sz w:val="13"/>
        </w:rPr>
        <w:t>and</w:t>
      </w:r>
      <w:r>
        <w:rPr>
          <w:color w:val="231F20"/>
          <w:spacing w:val="3"/>
          <w:sz w:val="13"/>
        </w:rPr>
        <w:t xml:space="preserve"> </w:t>
      </w:r>
      <w:r>
        <w:rPr>
          <w:color w:val="231F20"/>
          <w:sz w:val="13"/>
        </w:rPr>
        <w:t>Paul</w:t>
      </w:r>
      <w:r>
        <w:rPr>
          <w:color w:val="231F20"/>
          <w:spacing w:val="2"/>
          <w:sz w:val="13"/>
        </w:rPr>
        <w:t xml:space="preserve"> </w:t>
      </w:r>
      <w:r>
        <w:rPr>
          <w:color w:val="231F20"/>
          <w:sz w:val="13"/>
        </w:rPr>
        <w:t>E</w:t>
      </w:r>
      <w:r>
        <w:rPr>
          <w:color w:val="231F20"/>
          <w:spacing w:val="3"/>
          <w:sz w:val="13"/>
        </w:rPr>
        <w:t xml:space="preserve"> </w:t>
      </w:r>
      <w:r>
        <w:rPr>
          <w:color w:val="231F20"/>
          <w:sz w:val="13"/>
        </w:rPr>
        <w:t>Mullen,</w:t>
      </w:r>
      <w:r>
        <w:rPr>
          <w:color w:val="231F20"/>
          <w:spacing w:val="2"/>
          <w:sz w:val="13"/>
        </w:rPr>
        <w:t xml:space="preserve"> </w:t>
      </w:r>
      <w:r>
        <w:rPr>
          <w:color w:val="231F20"/>
          <w:sz w:val="13"/>
        </w:rPr>
        <w:t>‘The</w:t>
      </w:r>
      <w:r>
        <w:rPr>
          <w:color w:val="231F20"/>
          <w:spacing w:val="3"/>
          <w:sz w:val="13"/>
        </w:rPr>
        <w:t xml:space="preserve"> </w:t>
      </w:r>
      <w:r>
        <w:rPr>
          <w:color w:val="231F20"/>
          <w:sz w:val="13"/>
        </w:rPr>
        <w:t>Impact</w:t>
      </w:r>
      <w:r>
        <w:rPr>
          <w:color w:val="231F20"/>
          <w:spacing w:val="2"/>
          <w:sz w:val="13"/>
        </w:rPr>
        <w:t xml:space="preserve"> </w:t>
      </w:r>
      <w:r>
        <w:rPr>
          <w:color w:val="231F20"/>
          <w:sz w:val="13"/>
        </w:rPr>
        <w:t>of</w:t>
      </w:r>
      <w:r>
        <w:rPr>
          <w:color w:val="231F20"/>
          <w:spacing w:val="2"/>
          <w:sz w:val="13"/>
        </w:rPr>
        <w:t xml:space="preserve"> </w:t>
      </w:r>
      <w:r>
        <w:rPr>
          <w:color w:val="231F20"/>
          <w:sz w:val="13"/>
        </w:rPr>
        <w:t>Stalkers</w:t>
      </w:r>
      <w:r>
        <w:rPr>
          <w:color w:val="231F20"/>
          <w:spacing w:val="3"/>
          <w:sz w:val="13"/>
        </w:rPr>
        <w:t xml:space="preserve"> </w:t>
      </w:r>
      <w:r>
        <w:rPr>
          <w:color w:val="231F20"/>
          <w:sz w:val="13"/>
        </w:rPr>
        <w:t>on</w:t>
      </w:r>
      <w:r>
        <w:rPr>
          <w:color w:val="231F20"/>
          <w:spacing w:val="2"/>
          <w:sz w:val="13"/>
        </w:rPr>
        <w:t xml:space="preserve"> </w:t>
      </w:r>
      <w:r>
        <w:rPr>
          <w:color w:val="231F20"/>
          <w:sz w:val="13"/>
        </w:rPr>
        <w:t>Their</w:t>
      </w:r>
      <w:r>
        <w:rPr>
          <w:color w:val="231F20"/>
          <w:spacing w:val="3"/>
          <w:sz w:val="13"/>
        </w:rPr>
        <w:t xml:space="preserve"> </w:t>
      </w:r>
      <w:r>
        <w:rPr>
          <w:color w:val="231F20"/>
          <w:sz w:val="13"/>
        </w:rPr>
        <w:t>Victims’</w:t>
      </w:r>
      <w:r>
        <w:rPr>
          <w:color w:val="231F20"/>
          <w:spacing w:val="2"/>
          <w:sz w:val="13"/>
        </w:rPr>
        <w:t xml:space="preserve"> </w:t>
      </w:r>
      <w:r>
        <w:rPr>
          <w:color w:val="231F20"/>
          <w:sz w:val="13"/>
        </w:rPr>
        <w:t>(1997)</w:t>
      </w:r>
      <w:r>
        <w:rPr>
          <w:color w:val="231F20"/>
          <w:spacing w:val="3"/>
          <w:sz w:val="13"/>
        </w:rPr>
        <w:t xml:space="preserve"> </w:t>
      </w:r>
      <w:r>
        <w:rPr>
          <w:color w:val="231F20"/>
          <w:sz w:val="13"/>
        </w:rPr>
        <w:t>170(1)</w:t>
      </w:r>
      <w:r>
        <w:rPr>
          <w:color w:val="231F20"/>
          <w:spacing w:val="2"/>
          <w:sz w:val="13"/>
        </w:rPr>
        <w:t xml:space="preserve"> </w:t>
      </w:r>
      <w:r>
        <w:rPr>
          <w:i/>
          <w:color w:val="231F20"/>
          <w:sz w:val="13"/>
        </w:rPr>
        <w:t>The</w:t>
      </w:r>
      <w:r>
        <w:rPr>
          <w:i/>
          <w:color w:val="231F20"/>
          <w:spacing w:val="2"/>
          <w:sz w:val="13"/>
        </w:rPr>
        <w:t xml:space="preserve"> </w:t>
      </w:r>
      <w:r>
        <w:rPr>
          <w:i/>
          <w:color w:val="231F20"/>
          <w:sz w:val="13"/>
        </w:rPr>
        <w:t>British</w:t>
      </w:r>
      <w:r>
        <w:rPr>
          <w:i/>
          <w:color w:val="231F20"/>
          <w:spacing w:val="3"/>
          <w:sz w:val="13"/>
        </w:rPr>
        <w:t xml:space="preserve"> </w:t>
      </w:r>
      <w:r>
        <w:rPr>
          <w:i/>
          <w:color w:val="231F20"/>
          <w:sz w:val="13"/>
        </w:rPr>
        <w:t>Journal</w:t>
      </w:r>
      <w:r>
        <w:rPr>
          <w:i/>
          <w:color w:val="231F20"/>
          <w:spacing w:val="2"/>
          <w:sz w:val="13"/>
        </w:rPr>
        <w:t xml:space="preserve"> </w:t>
      </w:r>
      <w:r>
        <w:rPr>
          <w:i/>
          <w:color w:val="231F20"/>
          <w:sz w:val="13"/>
        </w:rPr>
        <w:t>of</w:t>
      </w:r>
      <w:r>
        <w:rPr>
          <w:i/>
          <w:color w:val="231F20"/>
          <w:spacing w:val="2"/>
          <w:sz w:val="13"/>
        </w:rPr>
        <w:t xml:space="preserve"> </w:t>
      </w:r>
      <w:r>
        <w:rPr>
          <w:i/>
          <w:color w:val="231F20"/>
          <w:sz w:val="13"/>
        </w:rPr>
        <w:t>Psychiatry</w:t>
      </w:r>
      <w:r>
        <w:rPr>
          <w:i/>
          <w:color w:val="231F20"/>
          <w:spacing w:val="3"/>
          <w:sz w:val="13"/>
        </w:rPr>
        <w:t xml:space="preserve"> </w:t>
      </w:r>
      <w:r>
        <w:rPr>
          <w:color w:val="231F20"/>
          <w:spacing w:val="2"/>
          <w:sz w:val="13"/>
        </w:rPr>
        <w:t xml:space="preserve">12, </w:t>
      </w:r>
      <w:r>
        <w:rPr>
          <w:color w:val="231F20"/>
          <w:sz w:val="13"/>
        </w:rPr>
        <w:t>16.</w:t>
      </w:r>
    </w:p>
    <w:p w14:paraId="1B3BC503" w14:textId="77777777" w:rsidR="00894070" w:rsidRDefault="00894070">
      <w:pPr>
        <w:spacing w:line="170" w:lineRule="exact"/>
        <w:rPr>
          <w:sz w:val="13"/>
        </w:rPr>
        <w:sectPr w:rsidR="00894070">
          <w:pgSz w:w="11910" w:h="16840"/>
          <w:pgMar w:top="860" w:right="420" w:bottom="280" w:left="580" w:header="567" w:footer="0" w:gutter="0"/>
          <w:cols w:space="720"/>
        </w:sectPr>
      </w:pPr>
    </w:p>
    <w:p w14:paraId="5F01D6E2" w14:textId="77777777" w:rsidR="00894070" w:rsidRDefault="00894070">
      <w:pPr>
        <w:pStyle w:val="BodyText"/>
      </w:pPr>
    </w:p>
    <w:p w14:paraId="649D914A" w14:textId="77777777" w:rsidR="00894070" w:rsidRDefault="00894070">
      <w:pPr>
        <w:pStyle w:val="BodyText"/>
      </w:pPr>
    </w:p>
    <w:p w14:paraId="0BDBA106" w14:textId="77777777" w:rsidR="00894070" w:rsidRDefault="00894070">
      <w:pPr>
        <w:pStyle w:val="BodyText"/>
      </w:pPr>
    </w:p>
    <w:p w14:paraId="03BD0E31" w14:textId="77777777" w:rsidR="00894070" w:rsidRDefault="00894070">
      <w:pPr>
        <w:pStyle w:val="BodyText"/>
        <w:spacing w:before="6"/>
        <w:rPr>
          <w:sz w:val="14"/>
        </w:rPr>
      </w:pPr>
    </w:p>
    <w:p w14:paraId="06D62B52" w14:textId="77777777" w:rsidR="00894070" w:rsidRDefault="009B7AFD">
      <w:pPr>
        <w:pStyle w:val="ListParagraph"/>
        <w:numPr>
          <w:ilvl w:val="1"/>
          <w:numId w:val="126"/>
        </w:numPr>
        <w:tabs>
          <w:tab w:val="left" w:pos="1801"/>
          <w:tab w:val="left" w:pos="1802"/>
        </w:tabs>
        <w:spacing w:before="90" w:line="206" w:lineRule="auto"/>
        <w:ind w:right="1293"/>
        <w:rPr>
          <w:sz w:val="11"/>
        </w:rPr>
      </w:pPr>
      <w:bookmarkStart w:id="103" w:name="_bookmark56"/>
      <w:bookmarkEnd w:id="103"/>
      <w:r>
        <w:rPr>
          <w:color w:val="231F20"/>
          <w:sz w:val="20"/>
        </w:rPr>
        <w:t>The</w:t>
      </w:r>
      <w:r>
        <w:rPr>
          <w:color w:val="231F20"/>
          <w:spacing w:val="-9"/>
          <w:sz w:val="20"/>
        </w:rPr>
        <w:t xml:space="preserve"> </w:t>
      </w:r>
      <w:r>
        <w:rPr>
          <w:color w:val="231F20"/>
          <w:sz w:val="20"/>
        </w:rPr>
        <w:t>lack</w:t>
      </w:r>
      <w:r>
        <w:rPr>
          <w:color w:val="231F20"/>
          <w:spacing w:val="-9"/>
          <w:sz w:val="20"/>
        </w:rPr>
        <w:t xml:space="preserve"> </w:t>
      </w:r>
      <w:r>
        <w:rPr>
          <w:color w:val="231F20"/>
          <w:sz w:val="20"/>
        </w:rPr>
        <w:t>of</w:t>
      </w:r>
      <w:r>
        <w:rPr>
          <w:color w:val="231F20"/>
          <w:spacing w:val="-9"/>
          <w:sz w:val="20"/>
        </w:rPr>
        <w:t xml:space="preserve"> </w:t>
      </w:r>
      <w:r>
        <w:rPr>
          <w:color w:val="231F20"/>
          <w:spacing w:val="-3"/>
          <w:sz w:val="20"/>
        </w:rPr>
        <w:t>integrated</w:t>
      </w:r>
      <w:r>
        <w:rPr>
          <w:color w:val="231F20"/>
          <w:spacing w:val="-9"/>
          <w:sz w:val="20"/>
        </w:rPr>
        <w:t xml:space="preserve"> </w:t>
      </w:r>
      <w:r>
        <w:rPr>
          <w:color w:val="231F20"/>
          <w:sz w:val="20"/>
        </w:rPr>
        <w:t>support</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victim</w:t>
      </w:r>
      <w:r>
        <w:rPr>
          <w:color w:val="231F20"/>
          <w:spacing w:val="-8"/>
          <w:sz w:val="20"/>
        </w:rPr>
        <w:t xml:space="preserve"> </w:t>
      </w:r>
      <w:r>
        <w:rPr>
          <w:color w:val="231F20"/>
          <w:sz w:val="20"/>
        </w:rPr>
        <w:t>survivors</w:t>
      </w:r>
      <w:r>
        <w:rPr>
          <w:color w:val="231F20"/>
          <w:spacing w:val="-9"/>
          <w:sz w:val="20"/>
        </w:rPr>
        <w:t xml:space="preserve"> </w:t>
      </w:r>
      <w:r>
        <w:rPr>
          <w:color w:val="231F20"/>
          <w:sz w:val="20"/>
        </w:rPr>
        <w:t>of</w:t>
      </w:r>
      <w:r>
        <w:rPr>
          <w:color w:val="231F20"/>
          <w:spacing w:val="-9"/>
          <w:sz w:val="20"/>
        </w:rPr>
        <w:t xml:space="preserve"> </w:t>
      </w:r>
      <w:r>
        <w:rPr>
          <w:color w:val="231F20"/>
          <w:sz w:val="20"/>
        </w:rPr>
        <w:t>stalking</w:t>
      </w:r>
      <w:r>
        <w:rPr>
          <w:color w:val="231F20"/>
          <w:spacing w:val="-9"/>
          <w:sz w:val="20"/>
        </w:rPr>
        <w:t xml:space="preserve"> </w:t>
      </w:r>
      <w:r>
        <w:rPr>
          <w:color w:val="231F20"/>
          <w:sz w:val="20"/>
        </w:rPr>
        <w:t>has</w:t>
      </w:r>
      <w:r>
        <w:rPr>
          <w:color w:val="231F20"/>
          <w:spacing w:val="-9"/>
          <w:sz w:val="20"/>
        </w:rPr>
        <w:t xml:space="preserve"> </w:t>
      </w:r>
      <w:r>
        <w:rPr>
          <w:color w:val="231F20"/>
          <w:sz w:val="20"/>
        </w:rPr>
        <w:t>been</w:t>
      </w:r>
      <w:r>
        <w:rPr>
          <w:color w:val="231F20"/>
          <w:spacing w:val="-9"/>
          <w:sz w:val="20"/>
        </w:rPr>
        <w:t xml:space="preserve"> </w:t>
      </w:r>
      <w:r>
        <w:rPr>
          <w:color w:val="231F20"/>
          <w:sz w:val="20"/>
        </w:rPr>
        <w:t xml:space="preserve">acknowledged </w:t>
      </w:r>
      <w:r>
        <w:rPr>
          <w:color w:val="231F20"/>
          <w:spacing w:val="-3"/>
          <w:sz w:val="20"/>
        </w:rPr>
        <w:t xml:space="preserve">for </w:t>
      </w:r>
      <w:r>
        <w:rPr>
          <w:color w:val="231F20"/>
          <w:sz w:val="20"/>
        </w:rPr>
        <w:t xml:space="preserve">decades </w:t>
      </w:r>
      <w:r>
        <w:rPr>
          <w:color w:val="231F20"/>
          <w:spacing w:val="-3"/>
          <w:sz w:val="20"/>
        </w:rPr>
        <w:t xml:space="preserve">by </w:t>
      </w:r>
      <w:r>
        <w:rPr>
          <w:color w:val="231F20"/>
          <w:sz w:val="20"/>
        </w:rPr>
        <w:t>researchers, practitioners and policymakers in the United Kingdom,</w:t>
      </w:r>
      <w:r>
        <w:rPr>
          <w:color w:val="231F20"/>
          <w:position w:val="7"/>
          <w:sz w:val="11"/>
        </w:rPr>
        <w:t>80</w:t>
      </w:r>
      <w:r>
        <w:rPr>
          <w:color w:val="231F20"/>
          <w:sz w:val="11"/>
        </w:rPr>
        <w:t xml:space="preserve"> </w:t>
      </w:r>
      <w:r>
        <w:rPr>
          <w:color w:val="231F20"/>
          <w:sz w:val="20"/>
        </w:rPr>
        <w:t>the United States</w:t>
      </w:r>
      <w:r>
        <w:rPr>
          <w:color w:val="231F20"/>
          <w:position w:val="7"/>
          <w:sz w:val="11"/>
        </w:rPr>
        <w:t xml:space="preserve">81 </w:t>
      </w:r>
      <w:r>
        <w:rPr>
          <w:color w:val="231F20"/>
          <w:sz w:val="20"/>
        </w:rPr>
        <w:t>and</w:t>
      </w:r>
      <w:r>
        <w:rPr>
          <w:color w:val="231F20"/>
          <w:spacing w:val="-21"/>
          <w:sz w:val="20"/>
        </w:rPr>
        <w:t xml:space="preserve"> </w:t>
      </w:r>
      <w:r>
        <w:rPr>
          <w:color w:val="231F20"/>
          <w:sz w:val="20"/>
        </w:rPr>
        <w:t>Australia.</w:t>
      </w:r>
      <w:r>
        <w:rPr>
          <w:color w:val="231F20"/>
          <w:position w:val="7"/>
          <w:sz w:val="11"/>
        </w:rPr>
        <w:t>82</w:t>
      </w:r>
    </w:p>
    <w:p w14:paraId="6148A122" w14:textId="77777777" w:rsidR="00894070" w:rsidRDefault="009B7AFD">
      <w:pPr>
        <w:pStyle w:val="ListParagraph"/>
        <w:numPr>
          <w:ilvl w:val="1"/>
          <w:numId w:val="126"/>
        </w:numPr>
        <w:tabs>
          <w:tab w:val="left" w:pos="1801"/>
          <w:tab w:val="left" w:pos="1802"/>
        </w:tabs>
        <w:spacing w:before="124" w:line="206" w:lineRule="auto"/>
        <w:ind w:right="1556"/>
        <w:rPr>
          <w:sz w:val="20"/>
        </w:rPr>
      </w:pPr>
      <w:r>
        <w:rPr>
          <w:color w:val="231F20"/>
          <w:sz w:val="20"/>
        </w:rPr>
        <w:t xml:space="preserve">An </w:t>
      </w:r>
      <w:r>
        <w:rPr>
          <w:color w:val="231F20"/>
          <w:spacing w:val="-3"/>
          <w:sz w:val="20"/>
        </w:rPr>
        <w:t xml:space="preserve">integrated </w:t>
      </w:r>
      <w:r>
        <w:rPr>
          <w:color w:val="231F20"/>
          <w:sz w:val="20"/>
        </w:rPr>
        <w:t xml:space="preserve">response to stalking </w:t>
      </w:r>
      <w:r>
        <w:rPr>
          <w:color w:val="231F20"/>
          <w:spacing w:val="-3"/>
          <w:sz w:val="20"/>
        </w:rPr>
        <w:t xml:space="preserve">provided by ‘professionals </w:t>
      </w:r>
      <w:r>
        <w:rPr>
          <w:color w:val="231F20"/>
          <w:sz w:val="20"/>
        </w:rPr>
        <w:t>with a range of skills and</w:t>
      </w:r>
      <w:r>
        <w:rPr>
          <w:color w:val="231F20"/>
          <w:spacing w:val="-11"/>
          <w:sz w:val="20"/>
        </w:rPr>
        <w:t xml:space="preserve"> </w:t>
      </w:r>
      <w:r>
        <w:rPr>
          <w:color w:val="231F20"/>
          <w:spacing w:val="-3"/>
          <w:sz w:val="20"/>
        </w:rPr>
        <w:t>expertise’,</w:t>
      </w:r>
      <w:r>
        <w:rPr>
          <w:color w:val="231F20"/>
          <w:spacing w:val="-11"/>
          <w:sz w:val="20"/>
        </w:rPr>
        <w:t xml:space="preserve"> </w:t>
      </w:r>
      <w:r>
        <w:rPr>
          <w:color w:val="231F20"/>
          <w:spacing w:val="-3"/>
          <w:sz w:val="20"/>
        </w:rPr>
        <w:t>may</w:t>
      </w:r>
      <w:r>
        <w:rPr>
          <w:color w:val="231F20"/>
          <w:spacing w:val="-10"/>
          <w:sz w:val="20"/>
        </w:rPr>
        <w:t xml:space="preserve"> </w:t>
      </w:r>
      <w:r>
        <w:rPr>
          <w:color w:val="231F20"/>
          <w:sz w:val="20"/>
        </w:rPr>
        <w:t>enable</w:t>
      </w:r>
      <w:r>
        <w:rPr>
          <w:color w:val="231F20"/>
          <w:spacing w:val="-11"/>
          <w:sz w:val="20"/>
        </w:rPr>
        <w:t xml:space="preserve"> </w:t>
      </w:r>
      <w:r>
        <w:rPr>
          <w:color w:val="231F20"/>
          <w:sz w:val="20"/>
        </w:rPr>
        <w:t>a</w:t>
      </w:r>
      <w:r>
        <w:rPr>
          <w:color w:val="231F20"/>
          <w:spacing w:val="-10"/>
          <w:sz w:val="20"/>
        </w:rPr>
        <w:t xml:space="preserve"> </w:t>
      </w:r>
      <w:r>
        <w:rPr>
          <w:color w:val="231F20"/>
          <w:sz w:val="20"/>
        </w:rPr>
        <w:t>‘holistic</w:t>
      </w:r>
      <w:r>
        <w:rPr>
          <w:color w:val="231F20"/>
          <w:spacing w:val="-11"/>
          <w:sz w:val="20"/>
        </w:rPr>
        <w:t xml:space="preserve"> </w:t>
      </w:r>
      <w:r>
        <w:rPr>
          <w:color w:val="231F20"/>
          <w:sz w:val="20"/>
        </w:rPr>
        <w:t>service</w:t>
      </w:r>
      <w:r>
        <w:rPr>
          <w:color w:val="231F20"/>
          <w:spacing w:val="-10"/>
          <w:sz w:val="20"/>
        </w:rPr>
        <w:t xml:space="preserve"> </w:t>
      </w:r>
      <w:r>
        <w:rPr>
          <w:color w:val="231F20"/>
          <w:sz w:val="20"/>
        </w:rPr>
        <w:t>response’</w:t>
      </w:r>
      <w:r>
        <w:rPr>
          <w:color w:val="231F20"/>
          <w:position w:val="7"/>
          <w:sz w:val="11"/>
        </w:rPr>
        <w:t>83</w:t>
      </w:r>
      <w:r>
        <w:rPr>
          <w:color w:val="231F20"/>
          <w:spacing w:val="13"/>
          <w:position w:val="7"/>
          <w:sz w:val="11"/>
        </w:rPr>
        <w:t xml:space="preserve"> </w:t>
      </w:r>
      <w:r>
        <w:rPr>
          <w:color w:val="231F20"/>
          <w:sz w:val="20"/>
        </w:rPr>
        <w:t>tailored</w:t>
      </w:r>
      <w:r>
        <w:rPr>
          <w:color w:val="231F20"/>
          <w:spacing w:val="-10"/>
          <w:sz w:val="20"/>
        </w:rPr>
        <w:t xml:space="preserve"> </w:t>
      </w:r>
      <w:r>
        <w:rPr>
          <w:color w:val="231F20"/>
          <w:sz w:val="20"/>
        </w:rPr>
        <w:t>to</w:t>
      </w:r>
      <w:r>
        <w:rPr>
          <w:color w:val="231F20"/>
          <w:spacing w:val="-11"/>
          <w:sz w:val="20"/>
        </w:rPr>
        <w:t xml:space="preserve"> </w:t>
      </w:r>
      <w:r>
        <w:rPr>
          <w:color w:val="231F20"/>
          <w:sz w:val="20"/>
        </w:rPr>
        <w:t>victim</w:t>
      </w:r>
      <w:r>
        <w:rPr>
          <w:color w:val="231F20"/>
          <w:spacing w:val="-10"/>
          <w:sz w:val="20"/>
        </w:rPr>
        <w:t xml:space="preserve"> </w:t>
      </w:r>
      <w:r>
        <w:rPr>
          <w:color w:val="231F20"/>
          <w:sz w:val="20"/>
        </w:rPr>
        <w:t>survivors’ individual support</w:t>
      </w:r>
      <w:r>
        <w:rPr>
          <w:color w:val="231F20"/>
          <w:spacing w:val="-9"/>
          <w:sz w:val="20"/>
        </w:rPr>
        <w:t xml:space="preserve"> </w:t>
      </w:r>
      <w:r>
        <w:rPr>
          <w:color w:val="231F20"/>
          <w:sz w:val="20"/>
        </w:rPr>
        <w:t>needs.</w:t>
      </w:r>
    </w:p>
    <w:p w14:paraId="3A5A85F8" w14:textId="77777777" w:rsidR="00894070" w:rsidRDefault="009B7AFD">
      <w:pPr>
        <w:pStyle w:val="ListParagraph"/>
        <w:numPr>
          <w:ilvl w:val="1"/>
          <w:numId w:val="126"/>
        </w:numPr>
        <w:tabs>
          <w:tab w:val="left" w:pos="1801"/>
          <w:tab w:val="left" w:pos="1802"/>
        </w:tabs>
        <w:spacing w:before="124" w:line="206" w:lineRule="auto"/>
        <w:ind w:right="1465"/>
        <w:rPr>
          <w:sz w:val="11"/>
        </w:rPr>
      </w:pPr>
      <w:r>
        <w:rPr>
          <w:color w:val="231F20"/>
          <w:spacing w:val="-3"/>
          <w:sz w:val="20"/>
        </w:rPr>
        <w:t xml:space="preserve">Integrated </w:t>
      </w:r>
      <w:r>
        <w:rPr>
          <w:color w:val="231F20"/>
          <w:sz w:val="20"/>
        </w:rPr>
        <w:t xml:space="preserve">support is especially important </w:t>
      </w:r>
      <w:r>
        <w:rPr>
          <w:color w:val="231F20"/>
          <w:spacing w:val="-3"/>
          <w:sz w:val="20"/>
        </w:rPr>
        <w:t xml:space="preserve">for </w:t>
      </w:r>
      <w:r>
        <w:rPr>
          <w:color w:val="231F20"/>
          <w:sz w:val="20"/>
        </w:rPr>
        <w:t>victim survivors of stalking because they</w:t>
      </w:r>
      <w:r>
        <w:rPr>
          <w:color w:val="231F20"/>
          <w:spacing w:val="-11"/>
          <w:sz w:val="20"/>
        </w:rPr>
        <w:t xml:space="preserve"> </w:t>
      </w:r>
      <w:r>
        <w:rPr>
          <w:color w:val="231F20"/>
          <w:spacing w:val="-3"/>
          <w:sz w:val="20"/>
        </w:rPr>
        <w:t>may</w:t>
      </w:r>
      <w:r>
        <w:rPr>
          <w:color w:val="231F20"/>
          <w:spacing w:val="-11"/>
          <w:sz w:val="20"/>
        </w:rPr>
        <w:t xml:space="preserve"> </w:t>
      </w:r>
      <w:r>
        <w:rPr>
          <w:color w:val="231F20"/>
          <w:spacing w:val="-4"/>
          <w:sz w:val="20"/>
        </w:rPr>
        <w:t>have</w:t>
      </w:r>
      <w:r>
        <w:rPr>
          <w:color w:val="231F20"/>
          <w:spacing w:val="-10"/>
          <w:sz w:val="20"/>
        </w:rPr>
        <w:t xml:space="preserve"> </w:t>
      </w:r>
      <w:r>
        <w:rPr>
          <w:color w:val="231F20"/>
          <w:sz w:val="20"/>
        </w:rPr>
        <w:t>to</w:t>
      </w:r>
      <w:r>
        <w:rPr>
          <w:color w:val="231F20"/>
          <w:spacing w:val="-11"/>
          <w:sz w:val="20"/>
        </w:rPr>
        <w:t xml:space="preserve"> </w:t>
      </w:r>
      <w:r>
        <w:rPr>
          <w:color w:val="231F20"/>
          <w:spacing w:val="-3"/>
          <w:sz w:val="20"/>
        </w:rPr>
        <w:t>frequently</w:t>
      </w:r>
      <w:r>
        <w:rPr>
          <w:color w:val="231F20"/>
          <w:spacing w:val="-10"/>
          <w:sz w:val="20"/>
        </w:rPr>
        <w:t xml:space="preserve"> </w:t>
      </w:r>
      <w:r>
        <w:rPr>
          <w:color w:val="231F20"/>
          <w:sz w:val="20"/>
        </w:rPr>
        <w:t>and</w:t>
      </w:r>
      <w:r>
        <w:rPr>
          <w:color w:val="231F20"/>
          <w:spacing w:val="-11"/>
          <w:sz w:val="20"/>
        </w:rPr>
        <w:t xml:space="preserve"> </w:t>
      </w:r>
      <w:r>
        <w:rPr>
          <w:color w:val="231F20"/>
          <w:sz w:val="20"/>
        </w:rPr>
        <w:t>simultaneously</w:t>
      </w:r>
      <w:r>
        <w:rPr>
          <w:color w:val="231F20"/>
          <w:spacing w:val="-11"/>
          <w:sz w:val="20"/>
        </w:rPr>
        <w:t xml:space="preserve"> </w:t>
      </w:r>
      <w:r>
        <w:rPr>
          <w:color w:val="231F20"/>
          <w:sz w:val="20"/>
        </w:rPr>
        <w:t>manage</w:t>
      </w:r>
      <w:r>
        <w:rPr>
          <w:color w:val="231F20"/>
          <w:spacing w:val="-10"/>
          <w:sz w:val="20"/>
        </w:rPr>
        <w:t xml:space="preserve"> </w:t>
      </w:r>
      <w:r>
        <w:rPr>
          <w:color w:val="231F20"/>
          <w:sz w:val="20"/>
        </w:rPr>
        <w:t>‘their</w:t>
      </w:r>
      <w:r>
        <w:rPr>
          <w:color w:val="231F20"/>
          <w:spacing w:val="-11"/>
          <w:sz w:val="20"/>
        </w:rPr>
        <w:t xml:space="preserve"> </w:t>
      </w:r>
      <w:r>
        <w:rPr>
          <w:color w:val="231F20"/>
          <w:sz w:val="20"/>
        </w:rPr>
        <w:t>emotional</w:t>
      </w:r>
      <w:r>
        <w:rPr>
          <w:color w:val="231F20"/>
          <w:spacing w:val="-10"/>
          <w:sz w:val="20"/>
        </w:rPr>
        <w:t xml:space="preserve"> </w:t>
      </w:r>
      <w:r>
        <w:rPr>
          <w:color w:val="231F20"/>
          <w:sz w:val="20"/>
        </w:rPr>
        <w:t>wellbeing, practicalities around legal decisions … and physical</w:t>
      </w:r>
      <w:r>
        <w:rPr>
          <w:color w:val="231F20"/>
          <w:spacing w:val="-35"/>
          <w:sz w:val="20"/>
        </w:rPr>
        <w:t xml:space="preserve"> </w:t>
      </w:r>
      <w:r>
        <w:rPr>
          <w:color w:val="231F20"/>
          <w:spacing w:val="-3"/>
          <w:sz w:val="20"/>
        </w:rPr>
        <w:t>safeguarding’.</w:t>
      </w:r>
      <w:r>
        <w:rPr>
          <w:color w:val="231F20"/>
          <w:spacing w:val="-3"/>
          <w:position w:val="7"/>
          <w:sz w:val="11"/>
        </w:rPr>
        <w:t>84</w:t>
      </w:r>
    </w:p>
    <w:p w14:paraId="3DD25528" w14:textId="77777777" w:rsidR="00894070" w:rsidRDefault="009B7AFD">
      <w:pPr>
        <w:pStyle w:val="ListParagraph"/>
        <w:numPr>
          <w:ilvl w:val="1"/>
          <w:numId w:val="126"/>
        </w:numPr>
        <w:tabs>
          <w:tab w:val="left" w:pos="1801"/>
          <w:tab w:val="left" w:pos="1802"/>
        </w:tabs>
        <w:spacing w:before="123" w:line="206" w:lineRule="auto"/>
        <w:ind w:right="1501"/>
        <w:rPr>
          <w:sz w:val="11"/>
        </w:rPr>
      </w:pPr>
      <w:r>
        <w:rPr>
          <w:color w:val="231F20"/>
          <w:spacing w:val="-6"/>
          <w:sz w:val="20"/>
        </w:rPr>
        <w:t xml:space="preserve">We </w:t>
      </w:r>
      <w:r>
        <w:rPr>
          <w:color w:val="231F20"/>
          <w:spacing w:val="-3"/>
          <w:sz w:val="20"/>
        </w:rPr>
        <w:t>note</w:t>
      </w:r>
      <w:r>
        <w:rPr>
          <w:color w:val="231F20"/>
          <w:spacing w:val="-6"/>
          <w:sz w:val="20"/>
        </w:rPr>
        <w:t xml:space="preserve"> </w:t>
      </w:r>
      <w:r>
        <w:rPr>
          <w:color w:val="231F20"/>
          <w:sz w:val="20"/>
        </w:rPr>
        <w:t>that</w:t>
      </w:r>
      <w:r>
        <w:rPr>
          <w:color w:val="231F20"/>
          <w:spacing w:val="-6"/>
          <w:sz w:val="20"/>
        </w:rPr>
        <w:t xml:space="preserve"> </w:t>
      </w:r>
      <w:r>
        <w:rPr>
          <w:color w:val="231F20"/>
          <w:sz w:val="20"/>
        </w:rPr>
        <w:t>the</w:t>
      </w:r>
      <w:r>
        <w:rPr>
          <w:color w:val="231F20"/>
          <w:spacing w:val="-5"/>
          <w:sz w:val="20"/>
        </w:rPr>
        <w:t xml:space="preserve"> </w:t>
      </w:r>
      <w:r>
        <w:rPr>
          <w:color w:val="231F20"/>
          <w:sz w:val="20"/>
        </w:rPr>
        <w:t>CIJ</w:t>
      </w:r>
      <w:r>
        <w:rPr>
          <w:color w:val="231F20"/>
          <w:spacing w:val="-6"/>
          <w:sz w:val="20"/>
        </w:rPr>
        <w:t xml:space="preserve"> </w:t>
      </w:r>
      <w:r>
        <w:rPr>
          <w:color w:val="231F20"/>
          <w:spacing w:val="-4"/>
          <w:sz w:val="20"/>
        </w:rPr>
        <w:t>review</w:t>
      </w:r>
      <w:r>
        <w:rPr>
          <w:color w:val="231F20"/>
          <w:spacing w:val="-6"/>
          <w:sz w:val="20"/>
        </w:rPr>
        <w:t xml:space="preserve"> </w:t>
      </w:r>
      <w:r>
        <w:rPr>
          <w:color w:val="231F20"/>
          <w:sz w:val="20"/>
        </w:rPr>
        <w:t>model</w:t>
      </w:r>
      <w:r>
        <w:rPr>
          <w:color w:val="231F20"/>
          <w:spacing w:val="-5"/>
          <w:sz w:val="20"/>
        </w:rPr>
        <w:t xml:space="preserve"> </w:t>
      </w:r>
      <w:r>
        <w:rPr>
          <w:color w:val="231F20"/>
          <w:sz w:val="20"/>
        </w:rPr>
        <w:t>is</w:t>
      </w:r>
      <w:r>
        <w:rPr>
          <w:color w:val="231F20"/>
          <w:spacing w:val="-6"/>
          <w:sz w:val="20"/>
        </w:rPr>
        <w:t xml:space="preserve"> </w:t>
      </w:r>
      <w:r>
        <w:rPr>
          <w:color w:val="231F20"/>
          <w:sz w:val="20"/>
        </w:rPr>
        <w:t>meant</w:t>
      </w:r>
      <w:r>
        <w:rPr>
          <w:color w:val="231F20"/>
          <w:spacing w:val="-6"/>
          <w:sz w:val="20"/>
        </w:rPr>
        <w:t xml:space="preserve"> </w:t>
      </w:r>
      <w:r>
        <w:rPr>
          <w:color w:val="231F20"/>
          <w:sz w:val="20"/>
        </w:rPr>
        <w:t>to</w:t>
      </w:r>
      <w:r>
        <w:rPr>
          <w:color w:val="231F20"/>
          <w:spacing w:val="-5"/>
          <w:sz w:val="20"/>
        </w:rPr>
        <w:t xml:space="preserve"> </w:t>
      </w:r>
      <w:r>
        <w:rPr>
          <w:color w:val="231F20"/>
          <w:sz w:val="20"/>
        </w:rPr>
        <w:t>be</w:t>
      </w:r>
      <w:r>
        <w:rPr>
          <w:color w:val="231F20"/>
          <w:spacing w:val="-6"/>
          <w:sz w:val="20"/>
        </w:rPr>
        <w:t xml:space="preserve"> </w:t>
      </w:r>
      <w:r>
        <w:rPr>
          <w:color w:val="231F20"/>
          <w:spacing w:val="-3"/>
          <w:sz w:val="20"/>
        </w:rPr>
        <w:t>integrated,</w:t>
      </w:r>
      <w:r>
        <w:rPr>
          <w:color w:val="231F20"/>
          <w:spacing w:val="-6"/>
          <w:sz w:val="20"/>
        </w:rPr>
        <w:t xml:space="preserve"> </w:t>
      </w:r>
      <w:r>
        <w:rPr>
          <w:color w:val="231F20"/>
          <w:sz w:val="20"/>
        </w:rPr>
        <w:t>so</w:t>
      </w:r>
      <w:r>
        <w:rPr>
          <w:color w:val="231F20"/>
          <w:spacing w:val="-5"/>
          <w:sz w:val="20"/>
        </w:rPr>
        <w:t xml:space="preserve"> </w:t>
      </w:r>
      <w:r>
        <w:rPr>
          <w:color w:val="231F20"/>
          <w:sz w:val="20"/>
        </w:rPr>
        <w:t>that</w:t>
      </w:r>
      <w:r>
        <w:rPr>
          <w:color w:val="231F20"/>
          <w:spacing w:val="-6"/>
          <w:sz w:val="20"/>
        </w:rPr>
        <w:t xml:space="preserve"> </w:t>
      </w:r>
      <w:r>
        <w:rPr>
          <w:color w:val="231F20"/>
          <w:sz w:val="20"/>
        </w:rPr>
        <w:t>as</w:t>
      </w:r>
      <w:r>
        <w:rPr>
          <w:color w:val="231F20"/>
          <w:spacing w:val="-6"/>
          <w:sz w:val="20"/>
        </w:rPr>
        <w:t xml:space="preserve"> </w:t>
      </w:r>
      <w:r>
        <w:rPr>
          <w:color w:val="231F20"/>
          <w:sz w:val="20"/>
        </w:rPr>
        <w:t>victims</w:t>
      </w:r>
      <w:r>
        <w:rPr>
          <w:color w:val="231F20"/>
          <w:spacing w:val="-5"/>
          <w:sz w:val="20"/>
        </w:rPr>
        <w:t xml:space="preserve"> </w:t>
      </w:r>
      <w:r>
        <w:rPr>
          <w:color w:val="231F20"/>
          <w:spacing w:val="-3"/>
          <w:sz w:val="20"/>
        </w:rPr>
        <w:t xml:space="preserve">‘step </w:t>
      </w:r>
      <w:r>
        <w:rPr>
          <w:color w:val="231F20"/>
          <w:spacing w:val="-4"/>
          <w:sz w:val="20"/>
        </w:rPr>
        <w:t>through’</w:t>
      </w:r>
      <w:r>
        <w:rPr>
          <w:color w:val="231F20"/>
          <w:spacing w:val="-6"/>
          <w:sz w:val="20"/>
        </w:rPr>
        <w:t xml:space="preserve"> </w:t>
      </w:r>
      <w:r>
        <w:rPr>
          <w:color w:val="231F20"/>
          <w:sz w:val="20"/>
        </w:rPr>
        <w:t>the</w:t>
      </w:r>
      <w:r>
        <w:rPr>
          <w:color w:val="231F20"/>
          <w:spacing w:val="-5"/>
          <w:sz w:val="20"/>
        </w:rPr>
        <w:t xml:space="preserve"> </w:t>
      </w:r>
      <w:r>
        <w:rPr>
          <w:color w:val="231F20"/>
          <w:sz w:val="20"/>
        </w:rPr>
        <w:t>model,</w:t>
      </w:r>
      <w:r>
        <w:rPr>
          <w:color w:val="231F20"/>
          <w:spacing w:val="-5"/>
          <w:sz w:val="20"/>
        </w:rPr>
        <w:t xml:space="preserve"> </w:t>
      </w:r>
      <w:r>
        <w:rPr>
          <w:color w:val="231F20"/>
          <w:sz w:val="20"/>
        </w:rPr>
        <w:t>‘they</w:t>
      </w:r>
      <w:r>
        <w:rPr>
          <w:color w:val="231F20"/>
          <w:spacing w:val="-5"/>
          <w:sz w:val="20"/>
        </w:rPr>
        <w:t xml:space="preserve"> </w:t>
      </w:r>
      <w:r>
        <w:rPr>
          <w:color w:val="231F20"/>
          <w:sz w:val="20"/>
        </w:rPr>
        <w:t>experience</w:t>
      </w:r>
      <w:r>
        <w:rPr>
          <w:color w:val="231F20"/>
          <w:spacing w:val="-5"/>
          <w:sz w:val="20"/>
        </w:rPr>
        <w:t xml:space="preserve"> </w:t>
      </w:r>
      <w:r>
        <w:rPr>
          <w:color w:val="231F20"/>
          <w:sz w:val="20"/>
        </w:rPr>
        <w:t>it</w:t>
      </w:r>
      <w:r>
        <w:rPr>
          <w:color w:val="231F20"/>
          <w:spacing w:val="-5"/>
          <w:sz w:val="20"/>
        </w:rPr>
        <w:t xml:space="preserve"> </w:t>
      </w:r>
      <w:r>
        <w:rPr>
          <w:color w:val="231F20"/>
          <w:sz w:val="20"/>
        </w:rPr>
        <w:t>as</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single,</w:t>
      </w:r>
      <w:r>
        <w:rPr>
          <w:color w:val="231F20"/>
          <w:spacing w:val="-5"/>
          <w:sz w:val="20"/>
        </w:rPr>
        <w:t xml:space="preserve"> </w:t>
      </w:r>
      <w:r>
        <w:rPr>
          <w:color w:val="231F20"/>
          <w:sz w:val="20"/>
        </w:rPr>
        <w:t>seamless</w:t>
      </w:r>
      <w:r>
        <w:rPr>
          <w:color w:val="231F20"/>
          <w:spacing w:val="-5"/>
          <w:sz w:val="20"/>
        </w:rPr>
        <w:t xml:space="preserve"> </w:t>
      </w:r>
      <w:r>
        <w:rPr>
          <w:color w:val="231F20"/>
          <w:sz w:val="20"/>
        </w:rPr>
        <w:t>service’.</w:t>
      </w:r>
      <w:r>
        <w:rPr>
          <w:color w:val="231F20"/>
          <w:position w:val="7"/>
          <w:sz w:val="11"/>
        </w:rPr>
        <w:t>85</w:t>
      </w:r>
    </w:p>
    <w:p w14:paraId="4919C61C" w14:textId="77777777" w:rsidR="00894070" w:rsidRDefault="00894070">
      <w:pPr>
        <w:pStyle w:val="BodyText"/>
        <w:spacing w:before="9"/>
        <w:rPr>
          <w:sz w:val="15"/>
        </w:rPr>
      </w:pPr>
    </w:p>
    <w:p w14:paraId="7CD1ED32" w14:textId="77777777" w:rsidR="00894070" w:rsidRDefault="009B7AFD">
      <w:pPr>
        <w:pStyle w:val="Heading8"/>
        <w:spacing w:before="1"/>
        <w:ind w:left="1007"/>
      </w:pPr>
      <w:r>
        <w:rPr>
          <w:color w:val="231F20"/>
        </w:rPr>
        <w:t>Financial assistance should be immediate</w:t>
      </w:r>
    </w:p>
    <w:p w14:paraId="1C858CE1" w14:textId="77777777" w:rsidR="00894070" w:rsidRDefault="009B7AFD">
      <w:pPr>
        <w:pStyle w:val="ListParagraph"/>
        <w:numPr>
          <w:ilvl w:val="1"/>
          <w:numId w:val="126"/>
        </w:numPr>
        <w:tabs>
          <w:tab w:val="left" w:pos="1801"/>
          <w:tab w:val="left" w:pos="1802"/>
        </w:tabs>
        <w:spacing w:before="127" w:line="206" w:lineRule="auto"/>
        <w:ind w:right="1406"/>
        <w:rPr>
          <w:sz w:val="11"/>
        </w:rPr>
      </w:pPr>
      <w:r>
        <w:rPr>
          <w:color w:val="231F20"/>
          <w:sz w:val="20"/>
        </w:rPr>
        <w:t>As</w:t>
      </w:r>
      <w:r>
        <w:rPr>
          <w:color w:val="231F20"/>
          <w:spacing w:val="-10"/>
          <w:sz w:val="20"/>
        </w:rPr>
        <w:t xml:space="preserve"> </w:t>
      </w:r>
      <w:r>
        <w:rPr>
          <w:color w:val="231F20"/>
          <w:sz w:val="20"/>
        </w:rPr>
        <w:t>the</w:t>
      </w:r>
      <w:r>
        <w:rPr>
          <w:color w:val="231F20"/>
          <w:spacing w:val="-9"/>
          <w:sz w:val="20"/>
        </w:rPr>
        <w:t xml:space="preserve"> </w:t>
      </w:r>
      <w:r>
        <w:rPr>
          <w:color w:val="231F20"/>
          <w:sz w:val="20"/>
        </w:rPr>
        <w:t>Victims</w:t>
      </w:r>
      <w:r>
        <w:rPr>
          <w:color w:val="231F20"/>
          <w:spacing w:val="-10"/>
          <w:sz w:val="20"/>
        </w:rPr>
        <w:t xml:space="preserve"> </w:t>
      </w:r>
      <w:r>
        <w:rPr>
          <w:color w:val="231F20"/>
          <w:sz w:val="20"/>
        </w:rPr>
        <w:t>of</w:t>
      </w:r>
      <w:r>
        <w:rPr>
          <w:color w:val="231F20"/>
          <w:spacing w:val="-9"/>
          <w:sz w:val="20"/>
        </w:rPr>
        <w:t xml:space="preserve"> </w:t>
      </w:r>
      <w:r>
        <w:rPr>
          <w:color w:val="231F20"/>
          <w:sz w:val="20"/>
        </w:rPr>
        <w:t>Crime</w:t>
      </w:r>
      <w:r>
        <w:rPr>
          <w:color w:val="231F20"/>
          <w:spacing w:val="-10"/>
          <w:sz w:val="20"/>
        </w:rPr>
        <w:t xml:space="preserve"> </w:t>
      </w:r>
      <w:r>
        <w:rPr>
          <w:color w:val="231F20"/>
          <w:sz w:val="20"/>
        </w:rPr>
        <w:t>Commissioner</w:t>
      </w:r>
      <w:r>
        <w:rPr>
          <w:color w:val="231F20"/>
          <w:spacing w:val="-9"/>
          <w:sz w:val="20"/>
        </w:rPr>
        <w:t xml:space="preserve"> </w:t>
      </w:r>
      <w:r>
        <w:rPr>
          <w:color w:val="231F20"/>
          <w:spacing w:val="-3"/>
          <w:sz w:val="20"/>
        </w:rPr>
        <w:t>told</w:t>
      </w:r>
      <w:r>
        <w:rPr>
          <w:color w:val="231F20"/>
          <w:spacing w:val="-9"/>
          <w:sz w:val="20"/>
        </w:rPr>
        <w:t xml:space="preserve"> </w:t>
      </w:r>
      <w:r>
        <w:rPr>
          <w:color w:val="231F20"/>
          <w:sz w:val="20"/>
        </w:rPr>
        <w:t>us,</w:t>
      </w:r>
      <w:r>
        <w:rPr>
          <w:color w:val="231F20"/>
          <w:spacing w:val="-10"/>
          <w:sz w:val="20"/>
        </w:rPr>
        <w:t xml:space="preserve"> </w:t>
      </w:r>
      <w:r>
        <w:rPr>
          <w:color w:val="231F20"/>
          <w:sz w:val="20"/>
        </w:rPr>
        <w:t>it</w:t>
      </w:r>
      <w:r>
        <w:rPr>
          <w:color w:val="231F20"/>
          <w:spacing w:val="-9"/>
          <w:sz w:val="20"/>
        </w:rPr>
        <w:t xml:space="preserve"> </w:t>
      </w:r>
      <w:r>
        <w:rPr>
          <w:color w:val="231F20"/>
          <w:sz w:val="20"/>
        </w:rPr>
        <w:t>is</w:t>
      </w:r>
      <w:r>
        <w:rPr>
          <w:color w:val="231F20"/>
          <w:spacing w:val="-10"/>
          <w:sz w:val="20"/>
        </w:rPr>
        <w:t xml:space="preserve"> </w:t>
      </w:r>
      <w:r>
        <w:rPr>
          <w:color w:val="231F20"/>
          <w:sz w:val="20"/>
        </w:rPr>
        <w:t>important</w:t>
      </w:r>
      <w:r>
        <w:rPr>
          <w:color w:val="231F20"/>
          <w:spacing w:val="-9"/>
          <w:sz w:val="20"/>
        </w:rPr>
        <w:t xml:space="preserve"> </w:t>
      </w:r>
      <w:r>
        <w:rPr>
          <w:color w:val="231F20"/>
          <w:sz w:val="20"/>
        </w:rPr>
        <w:t>that</w:t>
      </w:r>
      <w:r>
        <w:rPr>
          <w:color w:val="231F20"/>
          <w:spacing w:val="-10"/>
          <w:sz w:val="20"/>
        </w:rPr>
        <w:t xml:space="preserve"> </w:t>
      </w:r>
      <w:r>
        <w:rPr>
          <w:color w:val="231F20"/>
          <w:sz w:val="20"/>
        </w:rPr>
        <w:t>financial</w:t>
      </w:r>
      <w:r>
        <w:rPr>
          <w:color w:val="231F20"/>
          <w:spacing w:val="-9"/>
          <w:sz w:val="20"/>
        </w:rPr>
        <w:t xml:space="preserve"> </w:t>
      </w:r>
      <w:r>
        <w:rPr>
          <w:color w:val="231F20"/>
          <w:sz w:val="20"/>
        </w:rPr>
        <w:t xml:space="preserve">assistance happens fast, because safety planning is an urgent </w:t>
      </w:r>
      <w:r>
        <w:rPr>
          <w:color w:val="231F20"/>
          <w:spacing w:val="-3"/>
          <w:sz w:val="20"/>
        </w:rPr>
        <w:t>matter.</w:t>
      </w:r>
      <w:r>
        <w:rPr>
          <w:color w:val="231F20"/>
          <w:spacing w:val="-3"/>
          <w:position w:val="7"/>
          <w:sz w:val="11"/>
        </w:rPr>
        <w:t xml:space="preserve">86 </w:t>
      </w:r>
      <w:r>
        <w:rPr>
          <w:color w:val="231F20"/>
          <w:spacing w:val="-6"/>
          <w:sz w:val="20"/>
        </w:rPr>
        <w:t xml:space="preserve">We </w:t>
      </w:r>
      <w:r>
        <w:rPr>
          <w:color w:val="231F20"/>
          <w:sz w:val="20"/>
        </w:rPr>
        <w:t xml:space="preserve">agree that victim survivors of stalking should </w:t>
      </w:r>
      <w:r>
        <w:rPr>
          <w:color w:val="231F20"/>
          <w:spacing w:val="-4"/>
          <w:sz w:val="20"/>
        </w:rPr>
        <w:t xml:space="preserve">have </w:t>
      </w:r>
      <w:r>
        <w:rPr>
          <w:color w:val="231F20"/>
          <w:sz w:val="20"/>
        </w:rPr>
        <w:t>access to fast financial assistance while the new financial assistance scheme is being</w:t>
      </w:r>
      <w:r>
        <w:rPr>
          <w:color w:val="231F20"/>
          <w:spacing w:val="-24"/>
          <w:sz w:val="20"/>
        </w:rPr>
        <w:t xml:space="preserve"> </w:t>
      </w:r>
      <w:r>
        <w:rPr>
          <w:color w:val="231F20"/>
          <w:sz w:val="20"/>
        </w:rPr>
        <w:t>implemented.</w:t>
      </w:r>
      <w:r>
        <w:rPr>
          <w:color w:val="231F20"/>
          <w:position w:val="7"/>
          <w:sz w:val="11"/>
        </w:rPr>
        <w:t>87</w:t>
      </w:r>
    </w:p>
    <w:p w14:paraId="4A7A5500" w14:textId="77777777" w:rsidR="00894070" w:rsidRDefault="009B7AFD">
      <w:pPr>
        <w:pStyle w:val="ListParagraph"/>
        <w:numPr>
          <w:ilvl w:val="1"/>
          <w:numId w:val="126"/>
        </w:numPr>
        <w:tabs>
          <w:tab w:val="left" w:pos="1801"/>
          <w:tab w:val="left" w:pos="1802"/>
        </w:tabs>
        <w:spacing w:before="125" w:line="206" w:lineRule="auto"/>
        <w:ind w:right="1432"/>
        <w:rPr>
          <w:sz w:val="20"/>
        </w:rPr>
      </w:pPr>
      <w:r>
        <w:rPr>
          <w:color w:val="231F20"/>
          <w:sz w:val="20"/>
        </w:rPr>
        <w:t>In</w:t>
      </w:r>
      <w:r>
        <w:rPr>
          <w:color w:val="231F20"/>
          <w:spacing w:val="-12"/>
          <w:sz w:val="20"/>
        </w:rPr>
        <w:t xml:space="preserve"> </w:t>
      </w:r>
      <w:r>
        <w:rPr>
          <w:color w:val="231F20"/>
          <w:sz w:val="20"/>
        </w:rPr>
        <w:t>our</w:t>
      </w:r>
      <w:r>
        <w:rPr>
          <w:color w:val="231F20"/>
          <w:spacing w:val="-12"/>
          <w:sz w:val="20"/>
        </w:rPr>
        <w:t xml:space="preserve"> </w:t>
      </w:r>
      <w:r>
        <w:rPr>
          <w:i/>
          <w:color w:val="231F20"/>
          <w:sz w:val="20"/>
        </w:rPr>
        <w:t>Victims</w:t>
      </w:r>
      <w:r>
        <w:rPr>
          <w:i/>
          <w:color w:val="231F20"/>
          <w:spacing w:val="-12"/>
          <w:sz w:val="20"/>
        </w:rPr>
        <w:t xml:space="preserve"> </w:t>
      </w:r>
      <w:r>
        <w:rPr>
          <w:i/>
          <w:color w:val="231F20"/>
          <w:sz w:val="20"/>
        </w:rPr>
        <w:t>of</w:t>
      </w:r>
      <w:r>
        <w:rPr>
          <w:i/>
          <w:color w:val="231F20"/>
          <w:spacing w:val="-12"/>
          <w:sz w:val="20"/>
        </w:rPr>
        <w:t xml:space="preserve"> </w:t>
      </w:r>
      <w:r>
        <w:rPr>
          <w:i/>
          <w:color w:val="231F20"/>
          <w:sz w:val="20"/>
        </w:rPr>
        <w:t>Crime</w:t>
      </w:r>
      <w:r>
        <w:rPr>
          <w:i/>
          <w:color w:val="231F20"/>
          <w:spacing w:val="-11"/>
          <w:sz w:val="20"/>
        </w:rPr>
        <w:t xml:space="preserve"> </w:t>
      </w:r>
      <w:r>
        <w:rPr>
          <w:i/>
          <w:color w:val="231F20"/>
          <w:sz w:val="20"/>
        </w:rPr>
        <w:t>Assistance</w:t>
      </w:r>
      <w:r>
        <w:rPr>
          <w:i/>
          <w:color w:val="231F20"/>
          <w:spacing w:val="-11"/>
          <w:sz w:val="20"/>
        </w:rPr>
        <w:t xml:space="preserve"> </w:t>
      </w:r>
      <w:r>
        <w:rPr>
          <w:i/>
          <w:color w:val="231F20"/>
          <w:sz w:val="20"/>
        </w:rPr>
        <w:t>Act</w:t>
      </w:r>
      <w:r>
        <w:rPr>
          <w:i/>
          <w:color w:val="231F20"/>
          <w:spacing w:val="-11"/>
          <w:sz w:val="20"/>
        </w:rPr>
        <w:t xml:space="preserve"> </w:t>
      </w:r>
      <w:r>
        <w:rPr>
          <w:color w:val="231F20"/>
          <w:sz w:val="20"/>
        </w:rPr>
        <w:t>report</w:t>
      </w:r>
      <w:r>
        <w:rPr>
          <w:color w:val="231F20"/>
          <w:spacing w:val="-12"/>
          <w:sz w:val="20"/>
        </w:rPr>
        <w:t xml:space="preserve"> </w:t>
      </w:r>
      <w:r>
        <w:rPr>
          <w:color w:val="231F20"/>
          <w:spacing w:val="-3"/>
          <w:sz w:val="20"/>
        </w:rPr>
        <w:t>we</w:t>
      </w:r>
      <w:r>
        <w:rPr>
          <w:color w:val="231F20"/>
          <w:spacing w:val="-12"/>
          <w:sz w:val="20"/>
        </w:rPr>
        <w:t xml:space="preserve"> </w:t>
      </w:r>
      <w:r>
        <w:rPr>
          <w:color w:val="231F20"/>
          <w:sz w:val="20"/>
        </w:rPr>
        <w:t>recommended</w:t>
      </w:r>
      <w:r>
        <w:rPr>
          <w:color w:val="231F20"/>
          <w:spacing w:val="-11"/>
          <w:sz w:val="20"/>
        </w:rPr>
        <w:t xml:space="preserve"> </w:t>
      </w:r>
      <w:r>
        <w:rPr>
          <w:color w:val="231F20"/>
          <w:sz w:val="20"/>
        </w:rPr>
        <w:t>that</w:t>
      </w:r>
      <w:r>
        <w:rPr>
          <w:color w:val="231F20"/>
          <w:spacing w:val="-12"/>
          <w:sz w:val="20"/>
        </w:rPr>
        <w:t xml:space="preserve"> </w:t>
      </w:r>
      <w:r>
        <w:rPr>
          <w:color w:val="231F20"/>
          <w:sz w:val="20"/>
        </w:rPr>
        <w:t>the</w:t>
      </w:r>
      <w:r>
        <w:rPr>
          <w:color w:val="231F20"/>
          <w:spacing w:val="-12"/>
          <w:sz w:val="20"/>
        </w:rPr>
        <w:t xml:space="preserve"> </w:t>
      </w:r>
      <w:r>
        <w:rPr>
          <w:color w:val="231F20"/>
          <w:sz w:val="20"/>
        </w:rPr>
        <w:t>new</w:t>
      </w:r>
      <w:r>
        <w:rPr>
          <w:color w:val="231F20"/>
          <w:spacing w:val="-12"/>
          <w:sz w:val="20"/>
        </w:rPr>
        <w:t xml:space="preserve"> </w:t>
      </w:r>
      <w:r>
        <w:rPr>
          <w:color w:val="231F20"/>
          <w:sz w:val="20"/>
        </w:rPr>
        <w:t>financial assistance scheme include help with immediate needs.</w:t>
      </w:r>
      <w:r>
        <w:rPr>
          <w:color w:val="231F20"/>
          <w:position w:val="7"/>
          <w:sz w:val="11"/>
        </w:rPr>
        <w:t xml:space="preserve">88 </w:t>
      </w:r>
      <w:r>
        <w:rPr>
          <w:color w:val="231F20"/>
          <w:sz w:val="20"/>
        </w:rPr>
        <w:t xml:space="preserve">The Victims of Crime (Financial Assistance Scheme) Bill </w:t>
      </w:r>
      <w:r>
        <w:rPr>
          <w:color w:val="231F20"/>
          <w:spacing w:val="-3"/>
          <w:sz w:val="20"/>
        </w:rPr>
        <w:t xml:space="preserve">2022 provides for </w:t>
      </w:r>
      <w:r>
        <w:rPr>
          <w:color w:val="231F20"/>
          <w:sz w:val="20"/>
        </w:rPr>
        <w:t xml:space="preserve">a duty </w:t>
      </w:r>
      <w:r>
        <w:rPr>
          <w:color w:val="231F20"/>
          <w:spacing w:val="-3"/>
          <w:sz w:val="20"/>
        </w:rPr>
        <w:t xml:space="preserve">for </w:t>
      </w:r>
      <w:r>
        <w:rPr>
          <w:color w:val="231F20"/>
          <w:sz w:val="20"/>
        </w:rPr>
        <w:t xml:space="preserve">decision makers to </w:t>
      </w:r>
      <w:r>
        <w:rPr>
          <w:color w:val="231F20"/>
          <w:spacing w:val="-3"/>
          <w:sz w:val="20"/>
        </w:rPr>
        <w:t>‘act</w:t>
      </w:r>
      <w:r>
        <w:rPr>
          <w:color w:val="231F20"/>
          <w:spacing w:val="-8"/>
          <w:sz w:val="20"/>
        </w:rPr>
        <w:t xml:space="preserve"> </w:t>
      </w:r>
      <w:r>
        <w:rPr>
          <w:color w:val="231F20"/>
          <w:sz w:val="20"/>
        </w:rPr>
        <w:t>expeditiously’</w:t>
      </w:r>
      <w:r>
        <w:rPr>
          <w:color w:val="231F20"/>
          <w:spacing w:val="-7"/>
          <w:sz w:val="20"/>
        </w:rPr>
        <w:t xml:space="preserve"> </w:t>
      </w:r>
      <w:r>
        <w:rPr>
          <w:color w:val="231F20"/>
          <w:sz w:val="20"/>
        </w:rPr>
        <w:t>(</w:t>
      </w:r>
      <w:proofErr w:type="gramStart"/>
      <w:r>
        <w:rPr>
          <w:color w:val="231F20"/>
          <w:sz w:val="20"/>
        </w:rPr>
        <w:t>ie</w:t>
      </w:r>
      <w:proofErr w:type="gramEnd"/>
      <w:r>
        <w:rPr>
          <w:color w:val="231F20"/>
          <w:spacing w:val="-7"/>
          <w:sz w:val="20"/>
        </w:rPr>
        <w:t xml:space="preserve"> </w:t>
      </w:r>
      <w:r>
        <w:rPr>
          <w:color w:val="231F20"/>
          <w:spacing w:val="-3"/>
          <w:sz w:val="20"/>
        </w:rPr>
        <w:t>quickly)</w:t>
      </w:r>
      <w:r>
        <w:rPr>
          <w:color w:val="231F20"/>
          <w:spacing w:val="-7"/>
          <w:sz w:val="20"/>
        </w:rPr>
        <w:t xml:space="preserve"> </w:t>
      </w:r>
      <w:r>
        <w:rPr>
          <w:color w:val="231F20"/>
          <w:sz w:val="20"/>
        </w:rPr>
        <w:t>and</w:t>
      </w:r>
      <w:r>
        <w:rPr>
          <w:color w:val="231F20"/>
          <w:spacing w:val="-8"/>
          <w:sz w:val="20"/>
        </w:rPr>
        <w:t xml:space="preserve"> </w:t>
      </w:r>
      <w:r>
        <w:rPr>
          <w:color w:val="231F20"/>
          <w:spacing w:val="-3"/>
          <w:sz w:val="20"/>
        </w:rPr>
        <w:t>for</w:t>
      </w:r>
      <w:r>
        <w:rPr>
          <w:color w:val="231F20"/>
          <w:spacing w:val="-7"/>
          <w:sz w:val="20"/>
        </w:rPr>
        <w:t xml:space="preserve"> </w:t>
      </w:r>
      <w:r>
        <w:rPr>
          <w:color w:val="231F20"/>
          <w:spacing w:val="-3"/>
          <w:sz w:val="20"/>
        </w:rPr>
        <w:t>safety-related</w:t>
      </w:r>
      <w:r>
        <w:rPr>
          <w:color w:val="231F20"/>
          <w:spacing w:val="-7"/>
          <w:sz w:val="20"/>
        </w:rPr>
        <w:t xml:space="preserve"> </w:t>
      </w:r>
      <w:r>
        <w:rPr>
          <w:color w:val="231F20"/>
          <w:sz w:val="20"/>
        </w:rPr>
        <w:t>expenses</w:t>
      </w:r>
      <w:r>
        <w:rPr>
          <w:color w:val="231F20"/>
          <w:spacing w:val="-7"/>
          <w:sz w:val="20"/>
        </w:rPr>
        <w:t xml:space="preserve"> </w:t>
      </w:r>
      <w:r>
        <w:rPr>
          <w:color w:val="231F20"/>
          <w:sz w:val="20"/>
        </w:rPr>
        <w:t>that</w:t>
      </w:r>
      <w:r>
        <w:rPr>
          <w:color w:val="231F20"/>
          <w:spacing w:val="-8"/>
          <w:sz w:val="20"/>
        </w:rPr>
        <w:t xml:space="preserve"> </w:t>
      </w:r>
      <w:r>
        <w:rPr>
          <w:color w:val="231F20"/>
          <w:spacing w:val="-4"/>
          <w:sz w:val="20"/>
        </w:rPr>
        <w:t>have</w:t>
      </w:r>
      <w:r>
        <w:rPr>
          <w:color w:val="231F20"/>
          <w:spacing w:val="-7"/>
          <w:sz w:val="20"/>
        </w:rPr>
        <w:t xml:space="preserve"> </w:t>
      </w:r>
      <w:r>
        <w:rPr>
          <w:color w:val="231F20"/>
          <w:sz w:val="20"/>
        </w:rPr>
        <w:t>not</w:t>
      </w:r>
      <w:r>
        <w:rPr>
          <w:color w:val="231F20"/>
          <w:spacing w:val="-7"/>
          <w:sz w:val="20"/>
        </w:rPr>
        <w:t xml:space="preserve"> </w:t>
      </w:r>
      <w:r>
        <w:rPr>
          <w:color w:val="231F20"/>
          <w:spacing w:val="-3"/>
          <w:sz w:val="20"/>
        </w:rPr>
        <w:t>yet</w:t>
      </w:r>
      <w:r>
        <w:rPr>
          <w:color w:val="231F20"/>
          <w:spacing w:val="-7"/>
          <w:sz w:val="20"/>
        </w:rPr>
        <w:t xml:space="preserve"> </w:t>
      </w:r>
      <w:r>
        <w:rPr>
          <w:color w:val="231F20"/>
          <w:sz w:val="20"/>
        </w:rPr>
        <w:t>been incurred.</w:t>
      </w:r>
      <w:r>
        <w:rPr>
          <w:color w:val="231F20"/>
          <w:position w:val="7"/>
          <w:sz w:val="11"/>
        </w:rPr>
        <w:t xml:space="preserve">89 </w:t>
      </w:r>
      <w:r>
        <w:rPr>
          <w:color w:val="231F20"/>
          <w:sz w:val="20"/>
        </w:rPr>
        <w:t xml:space="preserve">But whether victim survivors will </w:t>
      </w:r>
      <w:r>
        <w:rPr>
          <w:color w:val="231F20"/>
          <w:spacing w:val="-3"/>
          <w:sz w:val="20"/>
        </w:rPr>
        <w:t xml:space="preserve">receive </w:t>
      </w:r>
      <w:r>
        <w:rPr>
          <w:color w:val="231F20"/>
          <w:sz w:val="20"/>
        </w:rPr>
        <w:t xml:space="preserve">financial assistance </w:t>
      </w:r>
      <w:r>
        <w:rPr>
          <w:color w:val="231F20"/>
          <w:spacing w:val="-3"/>
          <w:sz w:val="20"/>
        </w:rPr>
        <w:t xml:space="preserve">immediately </w:t>
      </w:r>
      <w:r>
        <w:rPr>
          <w:color w:val="231F20"/>
          <w:sz w:val="20"/>
        </w:rPr>
        <w:t>under the scheme is</w:t>
      </w:r>
      <w:r>
        <w:rPr>
          <w:color w:val="231F20"/>
          <w:spacing w:val="-17"/>
          <w:sz w:val="20"/>
        </w:rPr>
        <w:t xml:space="preserve"> </w:t>
      </w:r>
      <w:r>
        <w:rPr>
          <w:color w:val="231F20"/>
          <w:spacing w:val="-4"/>
          <w:sz w:val="20"/>
        </w:rPr>
        <w:t>unclear.</w:t>
      </w:r>
    </w:p>
    <w:p w14:paraId="521BC2DB" w14:textId="77777777" w:rsidR="00894070" w:rsidRDefault="009B7AFD">
      <w:pPr>
        <w:pStyle w:val="ListParagraph"/>
        <w:numPr>
          <w:ilvl w:val="1"/>
          <w:numId w:val="126"/>
        </w:numPr>
        <w:tabs>
          <w:tab w:val="left" w:pos="1801"/>
          <w:tab w:val="left" w:pos="1802"/>
        </w:tabs>
        <w:spacing w:before="127" w:line="206" w:lineRule="auto"/>
        <w:ind w:right="1343"/>
        <w:rPr>
          <w:sz w:val="11"/>
        </w:rPr>
      </w:pPr>
      <w:r>
        <w:rPr>
          <w:color w:val="231F20"/>
          <w:sz w:val="20"/>
        </w:rPr>
        <w:t>In</w:t>
      </w:r>
      <w:r>
        <w:rPr>
          <w:color w:val="231F20"/>
          <w:spacing w:val="-8"/>
          <w:sz w:val="20"/>
        </w:rPr>
        <w:t xml:space="preserve"> </w:t>
      </w:r>
      <w:r>
        <w:rPr>
          <w:color w:val="231F20"/>
          <w:sz w:val="20"/>
        </w:rPr>
        <w:t>its</w:t>
      </w:r>
      <w:r>
        <w:rPr>
          <w:color w:val="231F20"/>
          <w:spacing w:val="-7"/>
          <w:sz w:val="20"/>
        </w:rPr>
        <w:t xml:space="preserve"> </w:t>
      </w:r>
      <w:r>
        <w:rPr>
          <w:color w:val="231F20"/>
          <w:sz w:val="20"/>
        </w:rPr>
        <w:t>model,</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Centre</w:t>
      </w:r>
      <w:r>
        <w:rPr>
          <w:color w:val="231F20"/>
          <w:spacing w:val="-7"/>
          <w:sz w:val="20"/>
        </w:rPr>
        <w:t xml:space="preserve"> </w:t>
      </w:r>
      <w:r>
        <w:rPr>
          <w:color w:val="231F20"/>
          <w:spacing w:val="-3"/>
          <w:sz w:val="20"/>
        </w:rPr>
        <w:t>for</w:t>
      </w:r>
      <w:r>
        <w:rPr>
          <w:color w:val="231F20"/>
          <w:spacing w:val="-7"/>
          <w:sz w:val="20"/>
        </w:rPr>
        <w:t xml:space="preserve"> </w:t>
      </w:r>
      <w:r>
        <w:rPr>
          <w:color w:val="231F20"/>
          <w:spacing w:val="-3"/>
          <w:sz w:val="20"/>
        </w:rPr>
        <w:t>Innovative</w:t>
      </w:r>
      <w:r>
        <w:rPr>
          <w:color w:val="231F20"/>
          <w:spacing w:val="-8"/>
          <w:sz w:val="20"/>
        </w:rPr>
        <w:t xml:space="preserve"> </w:t>
      </w:r>
      <w:r>
        <w:rPr>
          <w:color w:val="231F20"/>
          <w:sz w:val="20"/>
        </w:rPr>
        <w:t>Justice</w:t>
      </w:r>
      <w:r>
        <w:rPr>
          <w:color w:val="231F20"/>
          <w:spacing w:val="-7"/>
          <w:sz w:val="20"/>
        </w:rPr>
        <w:t xml:space="preserve"> </w:t>
      </w:r>
      <w:r>
        <w:rPr>
          <w:color w:val="231F20"/>
          <w:sz w:val="20"/>
        </w:rPr>
        <w:t>also</w:t>
      </w:r>
      <w:r>
        <w:rPr>
          <w:color w:val="231F20"/>
          <w:spacing w:val="-7"/>
          <w:sz w:val="20"/>
        </w:rPr>
        <w:t xml:space="preserve"> </w:t>
      </w:r>
      <w:r>
        <w:rPr>
          <w:color w:val="231F20"/>
          <w:sz w:val="20"/>
        </w:rPr>
        <w:t>identified</w:t>
      </w:r>
      <w:r>
        <w:rPr>
          <w:color w:val="231F20"/>
          <w:spacing w:val="-8"/>
          <w:sz w:val="20"/>
        </w:rPr>
        <w:t xml:space="preserve"> </w:t>
      </w:r>
      <w:r>
        <w:rPr>
          <w:color w:val="231F20"/>
          <w:sz w:val="20"/>
        </w:rPr>
        <w:t>opportunities</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 xml:space="preserve">integrate </w:t>
      </w:r>
      <w:r>
        <w:rPr>
          <w:color w:val="231F20"/>
          <w:sz w:val="20"/>
        </w:rPr>
        <w:t>financial assistance and victim support</w:t>
      </w:r>
      <w:r>
        <w:rPr>
          <w:color w:val="231F20"/>
          <w:spacing w:val="-23"/>
          <w:sz w:val="20"/>
        </w:rPr>
        <w:t xml:space="preserve"> </w:t>
      </w:r>
      <w:r>
        <w:rPr>
          <w:color w:val="231F20"/>
          <w:sz w:val="20"/>
        </w:rPr>
        <w:t>services.</w:t>
      </w:r>
      <w:r>
        <w:rPr>
          <w:color w:val="231F20"/>
          <w:position w:val="7"/>
          <w:sz w:val="11"/>
        </w:rPr>
        <w:t>90</w:t>
      </w:r>
    </w:p>
    <w:p w14:paraId="0E0F2DF1" w14:textId="77777777" w:rsidR="00894070" w:rsidRDefault="009B7AFD">
      <w:pPr>
        <w:pStyle w:val="ListParagraph"/>
        <w:numPr>
          <w:ilvl w:val="1"/>
          <w:numId w:val="126"/>
        </w:numPr>
        <w:tabs>
          <w:tab w:val="left" w:pos="1801"/>
          <w:tab w:val="left" w:pos="1802"/>
        </w:tabs>
        <w:spacing w:before="123" w:line="206" w:lineRule="auto"/>
        <w:ind w:right="1464"/>
        <w:rPr>
          <w:sz w:val="20"/>
        </w:rPr>
      </w:pPr>
      <w:r>
        <w:rPr>
          <w:color w:val="231F20"/>
          <w:sz w:val="20"/>
        </w:rPr>
        <w:t xml:space="preserve">Victim survivors should </w:t>
      </w:r>
      <w:r>
        <w:rPr>
          <w:color w:val="231F20"/>
          <w:spacing w:val="-4"/>
          <w:sz w:val="20"/>
        </w:rPr>
        <w:t xml:space="preserve">have </w:t>
      </w:r>
      <w:r>
        <w:rPr>
          <w:color w:val="231F20"/>
          <w:sz w:val="20"/>
        </w:rPr>
        <w:t xml:space="preserve">access to a </w:t>
      </w:r>
      <w:r>
        <w:rPr>
          <w:color w:val="231F20"/>
          <w:spacing w:val="-3"/>
          <w:sz w:val="20"/>
        </w:rPr>
        <w:t xml:space="preserve">flexible </w:t>
      </w:r>
      <w:r>
        <w:rPr>
          <w:color w:val="231F20"/>
          <w:sz w:val="20"/>
        </w:rPr>
        <w:t>support package or a small grant of</w:t>
      </w:r>
      <w:r>
        <w:rPr>
          <w:color w:val="231F20"/>
          <w:spacing w:val="-8"/>
          <w:sz w:val="20"/>
        </w:rPr>
        <w:t xml:space="preserve"> </w:t>
      </w:r>
      <w:r>
        <w:rPr>
          <w:color w:val="231F20"/>
          <w:sz w:val="20"/>
        </w:rPr>
        <w:t>financial</w:t>
      </w:r>
      <w:r>
        <w:rPr>
          <w:color w:val="231F20"/>
          <w:spacing w:val="-8"/>
          <w:sz w:val="20"/>
        </w:rPr>
        <w:t xml:space="preserve"> </w:t>
      </w:r>
      <w:r>
        <w:rPr>
          <w:color w:val="231F20"/>
          <w:sz w:val="20"/>
        </w:rPr>
        <w:t>aid,</w:t>
      </w:r>
      <w:r>
        <w:rPr>
          <w:color w:val="231F20"/>
          <w:spacing w:val="-7"/>
          <w:sz w:val="20"/>
        </w:rPr>
        <w:t xml:space="preserve"> </w:t>
      </w:r>
      <w:r>
        <w:rPr>
          <w:color w:val="231F20"/>
          <w:spacing w:val="-3"/>
          <w:sz w:val="20"/>
        </w:rPr>
        <w:t>known</w:t>
      </w:r>
      <w:r>
        <w:rPr>
          <w:color w:val="231F20"/>
          <w:spacing w:val="-8"/>
          <w:sz w:val="20"/>
        </w:rPr>
        <w:t xml:space="preserve"> </w:t>
      </w:r>
      <w:r>
        <w:rPr>
          <w:color w:val="231F20"/>
          <w:sz w:val="20"/>
        </w:rPr>
        <w:t>as</w:t>
      </w:r>
      <w:r>
        <w:rPr>
          <w:color w:val="231F20"/>
          <w:spacing w:val="-8"/>
          <w:sz w:val="20"/>
        </w:rPr>
        <w:t xml:space="preserve"> </w:t>
      </w:r>
      <w:r>
        <w:rPr>
          <w:color w:val="231F20"/>
          <w:spacing w:val="-4"/>
          <w:sz w:val="20"/>
        </w:rPr>
        <w:t>‘brokerage’,</w:t>
      </w:r>
      <w:r>
        <w:rPr>
          <w:color w:val="231F20"/>
          <w:spacing w:val="-7"/>
          <w:sz w:val="20"/>
        </w:rPr>
        <w:t xml:space="preserve"> </w:t>
      </w:r>
      <w:r>
        <w:rPr>
          <w:color w:val="231F20"/>
          <w:sz w:val="20"/>
        </w:rPr>
        <w:t>to</w:t>
      </w:r>
      <w:r>
        <w:rPr>
          <w:color w:val="231F20"/>
          <w:spacing w:val="-8"/>
          <w:sz w:val="20"/>
        </w:rPr>
        <w:t xml:space="preserve"> </w:t>
      </w:r>
      <w:r>
        <w:rPr>
          <w:color w:val="231F20"/>
          <w:sz w:val="20"/>
        </w:rPr>
        <w:t>meet</w:t>
      </w:r>
      <w:r>
        <w:rPr>
          <w:color w:val="231F20"/>
          <w:spacing w:val="-8"/>
          <w:sz w:val="20"/>
        </w:rPr>
        <w:t xml:space="preserve"> </w:t>
      </w:r>
      <w:r>
        <w:rPr>
          <w:color w:val="231F20"/>
          <w:sz w:val="20"/>
        </w:rPr>
        <w:t>their</w:t>
      </w:r>
      <w:r>
        <w:rPr>
          <w:color w:val="231F20"/>
          <w:spacing w:val="-7"/>
          <w:sz w:val="20"/>
        </w:rPr>
        <w:t xml:space="preserve"> </w:t>
      </w:r>
      <w:r>
        <w:rPr>
          <w:color w:val="231F20"/>
          <w:sz w:val="20"/>
        </w:rPr>
        <w:t>practical</w:t>
      </w:r>
      <w:r>
        <w:rPr>
          <w:color w:val="231F20"/>
          <w:spacing w:val="-8"/>
          <w:sz w:val="20"/>
        </w:rPr>
        <w:t xml:space="preserve"> </w:t>
      </w:r>
      <w:r>
        <w:rPr>
          <w:color w:val="231F20"/>
          <w:sz w:val="20"/>
        </w:rPr>
        <w:t>needs,</w:t>
      </w:r>
      <w:r>
        <w:rPr>
          <w:color w:val="231F20"/>
          <w:spacing w:val="-8"/>
          <w:sz w:val="20"/>
        </w:rPr>
        <w:t xml:space="preserve"> </w:t>
      </w:r>
      <w:r>
        <w:rPr>
          <w:color w:val="231F20"/>
          <w:sz w:val="20"/>
        </w:rPr>
        <w:t>such</w:t>
      </w:r>
      <w:r>
        <w:rPr>
          <w:color w:val="231F20"/>
          <w:spacing w:val="-7"/>
          <w:sz w:val="20"/>
        </w:rPr>
        <w:t xml:space="preserve"> </w:t>
      </w:r>
      <w:r>
        <w:rPr>
          <w:color w:val="231F20"/>
          <w:sz w:val="20"/>
        </w:rPr>
        <w:t>as</w:t>
      </w:r>
      <w:r>
        <w:rPr>
          <w:color w:val="231F20"/>
          <w:spacing w:val="-8"/>
          <w:sz w:val="20"/>
        </w:rPr>
        <w:t xml:space="preserve"> </w:t>
      </w:r>
      <w:r>
        <w:rPr>
          <w:color w:val="231F20"/>
          <w:sz w:val="20"/>
        </w:rPr>
        <w:t>buying</w:t>
      </w:r>
      <w:r>
        <w:rPr>
          <w:color w:val="231F20"/>
          <w:spacing w:val="-8"/>
          <w:sz w:val="20"/>
        </w:rPr>
        <w:t xml:space="preserve"> </w:t>
      </w:r>
      <w:r>
        <w:rPr>
          <w:color w:val="231F20"/>
          <w:sz w:val="20"/>
        </w:rPr>
        <w:t>a</w:t>
      </w:r>
    </w:p>
    <w:p w14:paraId="77623CFB" w14:textId="77777777" w:rsidR="00894070" w:rsidRDefault="009B7AFD">
      <w:pPr>
        <w:pStyle w:val="BodyText"/>
        <w:spacing w:before="2" w:line="206" w:lineRule="auto"/>
        <w:ind w:left="1801" w:right="1319"/>
      </w:pPr>
      <w:r>
        <w:rPr>
          <w:color w:val="231F20"/>
        </w:rPr>
        <w:t xml:space="preserve">replacement phone (which they </w:t>
      </w:r>
      <w:r>
        <w:rPr>
          <w:color w:val="231F20"/>
          <w:spacing w:val="-3"/>
        </w:rPr>
        <w:t xml:space="preserve">may </w:t>
      </w:r>
      <w:r>
        <w:rPr>
          <w:color w:val="231F20"/>
        </w:rPr>
        <w:t xml:space="preserve">need if they </w:t>
      </w:r>
      <w:r>
        <w:rPr>
          <w:color w:val="231F20"/>
          <w:spacing w:val="-4"/>
        </w:rPr>
        <w:t xml:space="preserve">have </w:t>
      </w:r>
      <w:r>
        <w:rPr>
          <w:color w:val="231F20"/>
        </w:rPr>
        <w:t xml:space="preserve">been cyberstalked). </w:t>
      </w:r>
      <w:r>
        <w:rPr>
          <w:color w:val="231F20"/>
          <w:spacing w:val="-3"/>
        </w:rPr>
        <w:t xml:space="preserve">Currently </w:t>
      </w:r>
      <w:r>
        <w:rPr>
          <w:color w:val="231F20"/>
        </w:rPr>
        <w:t xml:space="preserve">the amount of </w:t>
      </w:r>
      <w:r>
        <w:rPr>
          <w:color w:val="231F20"/>
          <w:spacing w:val="-3"/>
        </w:rPr>
        <w:t xml:space="preserve">brokerage </w:t>
      </w:r>
      <w:r>
        <w:rPr>
          <w:color w:val="231F20"/>
        </w:rPr>
        <w:t>available seems to be quite limited.</w:t>
      </w:r>
    </w:p>
    <w:p w14:paraId="0ECA5F80" w14:textId="77777777" w:rsidR="00894070" w:rsidRDefault="00894070">
      <w:pPr>
        <w:pStyle w:val="BodyText"/>
        <w:spacing w:before="9"/>
        <w:rPr>
          <w:sz w:val="15"/>
        </w:rPr>
      </w:pPr>
    </w:p>
    <w:p w14:paraId="04BE5DC9" w14:textId="77777777" w:rsidR="00894070" w:rsidRDefault="009B7AFD">
      <w:pPr>
        <w:pStyle w:val="Heading8"/>
        <w:spacing w:before="1"/>
        <w:ind w:left="1007"/>
      </w:pPr>
      <w:r>
        <w:rPr>
          <w:color w:val="231F20"/>
        </w:rPr>
        <w:t>Any barriers to eligibility should be removed</w:t>
      </w:r>
    </w:p>
    <w:p w14:paraId="1620A8E9" w14:textId="77777777" w:rsidR="00894070" w:rsidRDefault="009B7AFD">
      <w:pPr>
        <w:pStyle w:val="ListParagraph"/>
        <w:numPr>
          <w:ilvl w:val="1"/>
          <w:numId w:val="126"/>
        </w:numPr>
        <w:tabs>
          <w:tab w:val="left" w:pos="1801"/>
          <w:tab w:val="left" w:pos="1802"/>
        </w:tabs>
        <w:spacing w:before="127" w:line="206" w:lineRule="auto"/>
        <w:ind w:right="1248"/>
        <w:rPr>
          <w:sz w:val="11"/>
        </w:rPr>
      </w:pPr>
      <w:r>
        <w:rPr>
          <w:color w:val="231F20"/>
          <w:sz w:val="20"/>
        </w:rPr>
        <w:t>The</w:t>
      </w:r>
      <w:r>
        <w:rPr>
          <w:color w:val="231F20"/>
          <w:spacing w:val="-8"/>
          <w:sz w:val="20"/>
        </w:rPr>
        <w:t xml:space="preserve"> </w:t>
      </w:r>
      <w:r>
        <w:rPr>
          <w:color w:val="231F20"/>
          <w:sz w:val="20"/>
        </w:rPr>
        <w:t>Department</w:t>
      </w:r>
      <w:r>
        <w:rPr>
          <w:color w:val="231F20"/>
          <w:spacing w:val="-8"/>
          <w:sz w:val="20"/>
        </w:rPr>
        <w:t xml:space="preserve"> </w:t>
      </w:r>
      <w:r>
        <w:rPr>
          <w:color w:val="231F20"/>
          <w:sz w:val="20"/>
        </w:rPr>
        <w:t>of</w:t>
      </w:r>
      <w:r>
        <w:rPr>
          <w:color w:val="231F20"/>
          <w:spacing w:val="-8"/>
          <w:sz w:val="20"/>
        </w:rPr>
        <w:t xml:space="preserve"> </w:t>
      </w:r>
      <w:r>
        <w:rPr>
          <w:color w:val="231F20"/>
          <w:sz w:val="20"/>
        </w:rPr>
        <w:t>Justice</w:t>
      </w:r>
      <w:r>
        <w:rPr>
          <w:color w:val="231F20"/>
          <w:spacing w:val="-8"/>
          <w:sz w:val="20"/>
        </w:rPr>
        <w:t xml:space="preserve"> </w:t>
      </w:r>
      <w:r>
        <w:rPr>
          <w:color w:val="231F20"/>
          <w:sz w:val="20"/>
        </w:rPr>
        <w:t>and</w:t>
      </w:r>
      <w:r>
        <w:rPr>
          <w:color w:val="231F20"/>
          <w:spacing w:val="-8"/>
          <w:sz w:val="20"/>
        </w:rPr>
        <w:t xml:space="preserve"> </w:t>
      </w:r>
      <w:r>
        <w:rPr>
          <w:color w:val="231F20"/>
          <w:sz w:val="20"/>
        </w:rPr>
        <w:t>Community</w:t>
      </w:r>
      <w:r>
        <w:rPr>
          <w:color w:val="231F20"/>
          <w:spacing w:val="-8"/>
          <w:sz w:val="20"/>
        </w:rPr>
        <w:t xml:space="preserve"> </w:t>
      </w:r>
      <w:r>
        <w:rPr>
          <w:color w:val="231F20"/>
          <w:spacing w:val="-4"/>
          <w:sz w:val="20"/>
        </w:rPr>
        <w:t>Safety,</w:t>
      </w:r>
      <w:r>
        <w:rPr>
          <w:color w:val="231F20"/>
          <w:spacing w:val="-8"/>
          <w:sz w:val="20"/>
        </w:rPr>
        <w:t xml:space="preserve"> </w:t>
      </w:r>
      <w:r>
        <w:rPr>
          <w:color w:val="231F20"/>
          <w:sz w:val="20"/>
        </w:rPr>
        <w:t>which</w:t>
      </w:r>
      <w:r>
        <w:rPr>
          <w:color w:val="231F20"/>
          <w:spacing w:val="-8"/>
          <w:sz w:val="20"/>
        </w:rPr>
        <w:t xml:space="preserve"> </w:t>
      </w:r>
      <w:r>
        <w:rPr>
          <w:color w:val="231F20"/>
          <w:sz w:val="20"/>
        </w:rPr>
        <w:t>runs</w:t>
      </w:r>
      <w:r>
        <w:rPr>
          <w:color w:val="231F20"/>
          <w:spacing w:val="-8"/>
          <w:sz w:val="20"/>
        </w:rPr>
        <w:t xml:space="preserve"> </w:t>
      </w:r>
      <w:r>
        <w:rPr>
          <w:color w:val="231F20"/>
          <w:spacing w:val="-10"/>
          <w:sz w:val="20"/>
        </w:rPr>
        <w:t>VAP,</w:t>
      </w:r>
      <w:r>
        <w:rPr>
          <w:color w:val="231F20"/>
          <w:spacing w:val="-8"/>
          <w:sz w:val="20"/>
        </w:rPr>
        <w:t xml:space="preserve"> </w:t>
      </w:r>
      <w:r>
        <w:rPr>
          <w:color w:val="231F20"/>
          <w:spacing w:val="-3"/>
          <w:sz w:val="20"/>
        </w:rPr>
        <w:t>told</w:t>
      </w:r>
      <w:r>
        <w:rPr>
          <w:color w:val="231F20"/>
          <w:spacing w:val="-8"/>
          <w:sz w:val="20"/>
        </w:rPr>
        <w:t xml:space="preserve"> </w:t>
      </w:r>
      <w:r>
        <w:rPr>
          <w:color w:val="231F20"/>
          <w:sz w:val="20"/>
        </w:rPr>
        <w:t>us</w:t>
      </w:r>
      <w:r>
        <w:rPr>
          <w:color w:val="231F20"/>
          <w:spacing w:val="-8"/>
          <w:sz w:val="20"/>
        </w:rPr>
        <w:t xml:space="preserve"> </w:t>
      </w:r>
      <w:r>
        <w:rPr>
          <w:color w:val="231F20"/>
          <w:sz w:val="20"/>
        </w:rPr>
        <w:t>that</w:t>
      </w:r>
      <w:r>
        <w:rPr>
          <w:color w:val="231F20"/>
          <w:spacing w:val="-8"/>
          <w:sz w:val="20"/>
        </w:rPr>
        <w:t xml:space="preserve"> </w:t>
      </w:r>
      <w:r>
        <w:rPr>
          <w:color w:val="231F20"/>
          <w:sz w:val="20"/>
        </w:rPr>
        <w:t xml:space="preserve">victims of violent crimes can access </w:t>
      </w:r>
      <w:r>
        <w:rPr>
          <w:color w:val="231F20"/>
          <w:spacing w:val="-6"/>
          <w:sz w:val="20"/>
        </w:rPr>
        <w:t xml:space="preserve">VAP </w:t>
      </w:r>
      <w:proofErr w:type="gramStart"/>
      <w:r>
        <w:rPr>
          <w:color w:val="231F20"/>
          <w:sz w:val="20"/>
        </w:rPr>
        <w:t>whether or not</w:t>
      </w:r>
      <w:proofErr w:type="gramEnd"/>
      <w:r>
        <w:rPr>
          <w:color w:val="231F20"/>
          <w:sz w:val="20"/>
        </w:rPr>
        <w:t xml:space="preserve"> they </w:t>
      </w:r>
      <w:r>
        <w:rPr>
          <w:color w:val="231F20"/>
          <w:spacing w:val="-4"/>
          <w:sz w:val="20"/>
        </w:rPr>
        <w:t xml:space="preserve">have </w:t>
      </w:r>
      <w:r>
        <w:rPr>
          <w:color w:val="231F20"/>
          <w:sz w:val="20"/>
        </w:rPr>
        <w:t xml:space="preserve">made a police report. </w:t>
      </w:r>
      <w:r>
        <w:rPr>
          <w:color w:val="231F20"/>
          <w:spacing w:val="-6"/>
          <w:sz w:val="20"/>
        </w:rPr>
        <w:t xml:space="preserve">VAP </w:t>
      </w:r>
      <w:r>
        <w:rPr>
          <w:color w:val="231F20"/>
          <w:sz w:val="20"/>
        </w:rPr>
        <w:t xml:space="preserve">can </w:t>
      </w:r>
      <w:r>
        <w:rPr>
          <w:color w:val="231F20"/>
          <w:spacing w:val="-3"/>
          <w:sz w:val="20"/>
        </w:rPr>
        <w:t xml:space="preserve">pay for </w:t>
      </w:r>
      <w:r>
        <w:rPr>
          <w:color w:val="231F20"/>
          <w:sz w:val="20"/>
        </w:rPr>
        <w:t xml:space="preserve">small expenses </w:t>
      </w:r>
      <w:r>
        <w:rPr>
          <w:color w:val="231F20"/>
          <w:spacing w:val="-3"/>
          <w:sz w:val="20"/>
        </w:rPr>
        <w:t xml:space="preserve">for </w:t>
      </w:r>
      <w:r>
        <w:rPr>
          <w:color w:val="231F20"/>
          <w:sz w:val="20"/>
        </w:rPr>
        <w:t xml:space="preserve">victims </w:t>
      </w:r>
      <w:r>
        <w:rPr>
          <w:color w:val="231F20"/>
          <w:spacing w:val="-3"/>
          <w:sz w:val="20"/>
        </w:rPr>
        <w:t xml:space="preserve">related </w:t>
      </w:r>
      <w:r>
        <w:rPr>
          <w:color w:val="231F20"/>
          <w:sz w:val="20"/>
        </w:rPr>
        <w:t xml:space="preserve">to the impact of crime, such as home </w:t>
      </w:r>
      <w:r>
        <w:rPr>
          <w:color w:val="231F20"/>
          <w:spacing w:val="-3"/>
          <w:sz w:val="20"/>
        </w:rPr>
        <w:t xml:space="preserve">security, </w:t>
      </w:r>
      <w:r>
        <w:rPr>
          <w:color w:val="231F20"/>
          <w:sz w:val="20"/>
        </w:rPr>
        <w:t xml:space="preserve">immediate </w:t>
      </w:r>
      <w:proofErr w:type="gramStart"/>
      <w:r>
        <w:rPr>
          <w:color w:val="231F20"/>
          <w:sz w:val="20"/>
        </w:rPr>
        <w:t>counselling</w:t>
      </w:r>
      <w:proofErr w:type="gramEnd"/>
      <w:r>
        <w:rPr>
          <w:color w:val="231F20"/>
          <w:sz w:val="20"/>
        </w:rPr>
        <w:t xml:space="preserve"> and </w:t>
      </w:r>
      <w:r>
        <w:rPr>
          <w:color w:val="231F20"/>
          <w:spacing w:val="-3"/>
          <w:sz w:val="20"/>
        </w:rPr>
        <w:t xml:space="preserve">travel </w:t>
      </w:r>
      <w:r>
        <w:rPr>
          <w:color w:val="231F20"/>
          <w:sz w:val="20"/>
        </w:rPr>
        <w:t xml:space="preserve">to and </w:t>
      </w:r>
      <w:r>
        <w:rPr>
          <w:color w:val="231F20"/>
          <w:spacing w:val="-3"/>
          <w:sz w:val="20"/>
        </w:rPr>
        <w:t xml:space="preserve">from </w:t>
      </w:r>
      <w:r>
        <w:rPr>
          <w:color w:val="231F20"/>
          <w:sz w:val="20"/>
        </w:rPr>
        <w:t>court</w:t>
      </w:r>
      <w:r>
        <w:rPr>
          <w:color w:val="231F20"/>
          <w:spacing w:val="-35"/>
          <w:sz w:val="20"/>
        </w:rPr>
        <w:t xml:space="preserve"> </w:t>
      </w:r>
      <w:r>
        <w:rPr>
          <w:color w:val="231F20"/>
          <w:sz w:val="20"/>
        </w:rPr>
        <w:t>hearings.</w:t>
      </w:r>
      <w:r>
        <w:rPr>
          <w:color w:val="231F20"/>
          <w:position w:val="7"/>
          <w:sz w:val="11"/>
        </w:rPr>
        <w:t>91</w:t>
      </w:r>
    </w:p>
    <w:p w14:paraId="7DFCB1A8" w14:textId="77777777" w:rsidR="00894070" w:rsidRDefault="009B7AFD">
      <w:pPr>
        <w:pStyle w:val="ListParagraph"/>
        <w:numPr>
          <w:ilvl w:val="1"/>
          <w:numId w:val="126"/>
        </w:numPr>
        <w:tabs>
          <w:tab w:val="left" w:pos="1801"/>
          <w:tab w:val="left" w:pos="1802"/>
        </w:tabs>
        <w:spacing w:before="125" w:line="206" w:lineRule="auto"/>
        <w:ind w:right="1179"/>
        <w:rPr>
          <w:sz w:val="20"/>
        </w:rPr>
      </w:pPr>
      <w:r>
        <w:rPr>
          <w:color w:val="231F20"/>
          <w:sz w:val="20"/>
        </w:rPr>
        <w:t xml:space="preserve">In this inquiry a </w:t>
      </w:r>
      <w:r>
        <w:rPr>
          <w:color w:val="231F20"/>
          <w:spacing w:val="-4"/>
          <w:sz w:val="20"/>
        </w:rPr>
        <w:t xml:space="preserve">few </w:t>
      </w:r>
      <w:r>
        <w:rPr>
          <w:color w:val="231F20"/>
          <w:sz w:val="20"/>
        </w:rPr>
        <w:t xml:space="preserve">victim survivors </w:t>
      </w:r>
      <w:r>
        <w:rPr>
          <w:color w:val="231F20"/>
          <w:spacing w:val="-3"/>
          <w:sz w:val="20"/>
        </w:rPr>
        <w:t xml:space="preserve">told </w:t>
      </w:r>
      <w:r>
        <w:rPr>
          <w:color w:val="231F20"/>
          <w:sz w:val="20"/>
        </w:rPr>
        <w:t>us they did not get the support they needed because</w:t>
      </w:r>
      <w:r>
        <w:rPr>
          <w:color w:val="231F20"/>
          <w:spacing w:val="-7"/>
          <w:sz w:val="20"/>
        </w:rPr>
        <w:t xml:space="preserve"> </w:t>
      </w:r>
      <w:r>
        <w:rPr>
          <w:color w:val="231F20"/>
          <w:sz w:val="20"/>
        </w:rPr>
        <w:t>they</w:t>
      </w:r>
      <w:r>
        <w:rPr>
          <w:color w:val="231F20"/>
          <w:spacing w:val="-7"/>
          <w:sz w:val="20"/>
        </w:rPr>
        <w:t xml:space="preserve"> </w:t>
      </w:r>
      <w:r>
        <w:rPr>
          <w:color w:val="231F20"/>
          <w:spacing w:val="-4"/>
          <w:sz w:val="20"/>
        </w:rPr>
        <w:t>were</w:t>
      </w:r>
      <w:r>
        <w:rPr>
          <w:color w:val="231F20"/>
          <w:spacing w:val="-6"/>
          <w:sz w:val="20"/>
        </w:rPr>
        <w:t xml:space="preserve"> </w:t>
      </w:r>
      <w:r>
        <w:rPr>
          <w:color w:val="231F20"/>
          <w:sz w:val="20"/>
        </w:rPr>
        <w:t>not</w:t>
      </w:r>
      <w:r>
        <w:rPr>
          <w:color w:val="231F20"/>
          <w:spacing w:val="-7"/>
          <w:sz w:val="20"/>
        </w:rPr>
        <w:t xml:space="preserve"> </w:t>
      </w:r>
      <w:r>
        <w:rPr>
          <w:color w:val="231F20"/>
          <w:sz w:val="20"/>
        </w:rPr>
        <w:t>eligible.</w:t>
      </w:r>
      <w:r>
        <w:rPr>
          <w:color w:val="231F20"/>
          <w:spacing w:val="-6"/>
          <w:sz w:val="20"/>
        </w:rPr>
        <w:t xml:space="preserve"> </w:t>
      </w:r>
      <w:r>
        <w:rPr>
          <w:color w:val="231F20"/>
          <w:spacing w:val="-3"/>
          <w:sz w:val="20"/>
        </w:rPr>
        <w:t>For</w:t>
      </w:r>
      <w:r>
        <w:rPr>
          <w:color w:val="231F20"/>
          <w:spacing w:val="-7"/>
          <w:sz w:val="20"/>
        </w:rPr>
        <w:t xml:space="preserve"> </w:t>
      </w:r>
      <w:r>
        <w:rPr>
          <w:color w:val="231F20"/>
          <w:spacing w:val="-3"/>
          <w:sz w:val="20"/>
        </w:rPr>
        <w:t>example,</w:t>
      </w:r>
      <w:r>
        <w:rPr>
          <w:color w:val="231F20"/>
          <w:spacing w:val="-7"/>
          <w:sz w:val="20"/>
        </w:rPr>
        <w:t xml:space="preserve"> </w:t>
      </w:r>
      <w:r>
        <w:rPr>
          <w:color w:val="231F20"/>
          <w:sz w:val="20"/>
        </w:rPr>
        <w:t>one</w:t>
      </w:r>
      <w:r>
        <w:rPr>
          <w:color w:val="231F20"/>
          <w:spacing w:val="-6"/>
          <w:sz w:val="20"/>
        </w:rPr>
        <w:t xml:space="preserve"> </w:t>
      </w:r>
      <w:r>
        <w:rPr>
          <w:color w:val="231F20"/>
          <w:sz w:val="20"/>
        </w:rPr>
        <w:t>person</w:t>
      </w:r>
      <w:r>
        <w:rPr>
          <w:color w:val="231F20"/>
          <w:spacing w:val="-7"/>
          <w:sz w:val="20"/>
        </w:rPr>
        <w:t xml:space="preserve"> </w:t>
      </w:r>
      <w:r>
        <w:rPr>
          <w:color w:val="231F20"/>
          <w:sz w:val="20"/>
        </w:rPr>
        <w:t>with</w:t>
      </w:r>
      <w:r>
        <w:rPr>
          <w:color w:val="231F20"/>
          <w:spacing w:val="-6"/>
          <w:sz w:val="20"/>
        </w:rPr>
        <w:t xml:space="preserve"> </w:t>
      </w:r>
      <w:r>
        <w:rPr>
          <w:color w:val="231F20"/>
          <w:sz w:val="20"/>
        </w:rPr>
        <w:t>a</w:t>
      </w:r>
      <w:r>
        <w:rPr>
          <w:color w:val="231F20"/>
          <w:spacing w:val="-7"/>
          <w:sz w:val="20"/>
        </w:rPr>
        <w:t xml:space="preserve"> </w:t>
      </w:r>
      <w:r>
        <w:rPr>
          <w:color w:val="231F20"/>
          <w:spacing w:val="-3"/>
          <w:sz w:val="20"/>
        </w:rPr>
        <w:t>disability,</w:t>
      </w:r>
      <w:r>
        <w:rPr>
          <w:color w:val="231F20"/>
          <w:spacing w:val="-6"/>
          <w:sz w:val="20"/>
        </w:rPr>
        <w:t xml:space="preserve"> </w:t>
      </w:r>
      <w:r>
        <w:rPr>
          <w:color w:val="231F20"/>
          <w:sz w:val="20"/>
        </w:rPr>
        <w:t>who</w:t>
      </w:r>
      <w:r>
        <w:rPr>
          <w:color w:val="231F20"/>
          <w:spacing w:val="-7"/>
          <w:sz w:val="20"/>
        </w:rPr>
        <w:t xml:space="preserve"> </w:t>
      </w:r>
      <w:r>
        <w:rPr>
          <w:color w:val="231F20"/>
          <w:sz w:val="20"/>
        </w:rPr>
        <w:t>lived</w:t>
      </w:r>
      <w:r>
        <w:rPr>
          <w:color w:val="231F20"/>
          <w:spacing w:val="-7"/>
          <w:sz w:val="20"/>
        </w:rPr>
        <w:t xml:space="preserve"> </w:t>
      </w:r>
      <w:r>
        <w:rPr>
          <w:color w:val="231F20"/>
          <w:sz w:val="20"/>
        </w:rPr>
        <w:t>in</w:t>
      </w:r>
      <w:r>
        <w:rPr>
          <w:color w:val="231F20"/>
          <w:spacing w:val="-6"/>
          <w:sz w:val="20"/>
        </w:rPr>
        <w:t xml:space="preserve"> </w:t>
      </w:r>
      <w:r>
        <w:rPr>
          <w:color w:val="231F20"/>
          <w:sz w:val="20"/>
        </w:rPr>
        <w:t>a rural</w:t>
      </w:r>
      <w:r>
        <w:rPr>
          <w:color w:val="231F20"/>
          <w:spacing w:val="-6"/>
          <w:sz w:val="20"/>
        </w:rPr>
        <w:t xml:space="preserve"> </w:t>
      </w:r>
      <w:r>
        <w:rPr>
          <w:color w:val="231F20"/>
          <w:sz w:val="20"/>
        </w:rPr>
        <w:t>or</w:t>
      </w:r>
      <w:r>
        <w:rPr>
          <w:color w:val="231F20"/>
          <w:spacing w:val="-5"/>
          <w:sz w:val="20"/>
        </w:rPr>
        <w:t xml:space="preserve"> </w:t>
      </w:r>
      <w:r>
        <w:rPr>
          <w:color w:val="231F20"/>
          <w:sz w:val="20"/>
        </w:rPr>
        <w:t>regional</w:t>
      </w:r>
      <w:r>
        <w:rPr>
          <w:color w:val="231F20"/>
          <w:spacing w:val="-6"/>
          <w:sz w:val="20"/>
        </w:rPr>
        <w:t xml:space="preserve"> </w:t>
      </w:r>
      <w:r>
        <w:rPr>
          <w:color w:val="231F20"/>
          <w:spacing w:val="-3"/>
          <w:sz w:val="20"/>
        </w:rPr>
        <w:t>community,</w:t>
      </w:r>
      <w:r>
        <w:rPr>
          <w:color w:val="231F20"/>
          <w:spacing w:val="-5"/>
          <w:sz w:val="20"/>
        </w:rPr>
        <w:t xml:space="preserve"> </w:t>
      </w:r>
      <w:r>
        <w:rPr>
          <w:color w:val="231F20"/>
          <w:sz w:val="20"/>
        </w:rPr>
        <w:t>reflecting</w:t>
      </w:r>
      <w:r>
        <w:rPr>
          <w:color w:val="231F20"/>
          <w:spacing w:val="-6"/>
          <w:sz w:val="20"/>
        </w:rPr>
        <w:t xml:space="preserve"> </w:t>
      </w:r>
      <w:r>
        <w:rPr>
          <w:color w:val="231F20"/>
          <w:sz w:val="20"/>
        </w:rPr>
        <w:t>on</w:t>
      </w:r>
      <w:r>
        <w:rPr>
          <w:color w:val="231F20"/>
          <w:spacing w:val="-5"/>
          <w:sz w:val="20"/>
        </w:rPr>
        <w:t xml:space="preserve"> </w:t>
      </w:r>
      <w:r>
        <w:rPr>
          <w:color w:val="231F20"/>
          <w:sz w:val="20"/>
        </w:rPr>
        <w:t>her</w:t>
      </w:r>
      <w:r>
        <w:rPr>
          <w:color w:val="231F20"/>
          <w:spacing w:val="-6"/>
          <w:sz w:val="20"/>
        </w:rPr>
        <w:t xml:space="preserve"> </w:t>
      </w:r>
      <w:r>
        <w:rPr>
          <w:color w:val="231F20"/>
          <w:sz w:val="20"/>
        </w:rPr>
        <w:t>experience</w:t>
      </w:r>
      <w:r>
        <w:rPr>
          <w:color w:val="231F20"/>
          <w:spacing w:val="-5"/>
          <w:sz w:val="20"/>
        </w:rPr>
        <w:t xml:space="preserve"> </w:t>
      </w:r>
      <w:r>
        <w:rPr>
          <w:color w:val="231F20"/>
          <w:sz w:val="20"/>
        </w:rPr>
        <w:t>in</w:t>
      </w:r>
      <w:r>
        <w:rPr>
          <w:color w:val="231F20"/>
          <w:spacing w:val="-5"/>
          <w:sz w:val="20"/>
        </w:rPr>
        <w:t xml:space="preserve"> </w:t>
      </w:r>
      <w:r>
        <w:rPr>
          <w:color w:val="231F20"/>
          <w:spacing w:val="-4"/>
          <w:sz w:val="20"/>
        </w:rPr>
        <w:t>2020,</w:t>
      </w:r>
      <w:r>
        <w:rPr>
          <w:color w:val="231F20"/>
          <w:spacing w:val="-6"/>
          <w:sz w:val="20"/>
        </w:rPr>
        <w:t xml:space="preserve"> </w:t>
      </w:r>
      <w:r>
        <w:rPr>
          <w:color w:val="231F20"/>
          <w:sz w:val="20"/>
        </w:rPr>
        <w:t>said:</w:t>
      </w:r>
    </w:p>
    <w:p w14:paraId="62387104" w14:textId="77777777" w:rsidR="00894070" w:rsidRDefault="00894070">
      <w:pPr>
        <w:pStyle w:val="BodyText"/>
      </w:pPr>
    </w:p>
    <w:p w14:paraId="2A549161" w14:textId="77777777" w:rsidR="00894070" w:rsidRDefault="00894070">
      <w:pPr>
        <w:pStyle w:val="BodyText"/>
      </w:pPr>
    </w:p>
    <w:p w14:paraId="0959F16F" w14:textId="77777777" w:rsidR="00894070" w:rsidRDefault="009F6793">
      <w:pPr>
        <w:pStyle w:val="BodyText"/>
        <w:spacing w:before="6"/>
        <w:rPr>
          <w:sz w:val="13"/>
        </w:rPr>
      </w:pPr>
      <w:r>
        <w:pict w14:anchorId="06DDACEE">
          <v:line id="_x0000_s1410" style="position:absolute;z-index:251606016;mso-wrap-distance-left:0;mso-wrap-distance-right:0;mso-position-horizontal-relative:page" from="79.35pt,11.75pt" to="515.9pt,11.75pt" strokecolor="#f8cabc" strokeweight="1pt">
            <w10:wrap type="topAndBottom" anchorx="page"/>
          </v:line>
        </w:pict>
      </w:r>
    </w:p>
    <w:p w14:paraId="5A8FF5D5" w14:textId="77777777" w:rsidR="00894070" w:rsidRDefault="009B7AFD">
      <w:pPr>
        <w:pStyle w:val="ListParagraph"/>
        <w:numPr>
          <w:ilvl w:val="0"/>
          <w:numId w:val="115"/>
        </w:numPr>
        <w:tabs>
          <w:tab w:val="left" w:pos="1801"/>
          <w:tab w:val="left" w:pos="1802"/>
        </w:tabs>
        <w:spacing w:before="107" w:line="213" w:lineRule="auto"/>
        <w:ind w:right="1813"/>
        <w:rPr>
          <w:sz w:val="13"/>
        </w:rPr>
      </w:pPr>
      <w:r>
        <w:rPr>
          <w:color w:val="231F20"/>
          <w:sz w:val="13"/>
        </w:rPr>
        <w:t xml:space="preserve">Kritika Jerath, Lisa Tompson and Jyoti Belur, ‘Risk Management in Stalking Victims: A Multi-Agency Approach to Victim Advocacy’ [2020] </w:t>
      </w:r>
      <w:r>
        <w:rPr>
          <w:i/>
          <w:color w:val="231F20"/>
          <w:sz w:val="13"/>
        </w:rPr>
        <w:t xml:space="preserve">Journal of Interpersonal Violence </w:t>
      </w:r>
      <w:r>
        <w:rPr>
          <w:color w:val="231F20"/>
          <w:sz w:val="13"/>
        </w:rPr>
        <w:t>10.1177/0886260520980402:1–27,</w:t>
      </w:r>
      <w:r>
        <w:rPr>
          <w:color w:val="231F20"/>
          <w:spacing w:val="8"/>
          <w:sz w:val="13"/>
        </w:rPr>
        <w:t xml:space="preserve"> </w:t>
      </w:r>
      <w:r>
        <w:rPr>
          <w:color w:val="231F20"/>
          <w:spacing w:val="3"/>
          <w:sz w:val="13"/>
        </w:rPr>
        <w:t>3.</w:t>
      </w:r>
    </w:p>
    <w:p w14:paraId="5FD6C34B" w14:textId="77777777" w:rsidR="00894070" w:rsidRDefault="009B7AFD">
      <w:pPr>
        <w:pStyle w:val="ListParagraph"/>
        <w:numPr>
          <w:ilvl w:val="0"/>
          <w:numId w:val="115"/>
        </w:numPr>
        <w:tabs>
          <w:tab w:val="left" w:pos="1800"/>
          <w:tab w:val="left" w:pos="1802"/>
        </w:tabs>
        <w:spacing w:line="213" w:lineRule="auto"/>
        <w:ind w:right="1293"/>
        <w:rPr>
          <w:sz w:val="13"/>
        </w:rPr>
      </w:pPr>
      <w:r>
        <w:rPr>
          <w:color w:val="231F20"/>
          <w:sz w:val="13"/>
        </w:rPr>
        <w:t xml:space="preserve">Emily </w:t>
      </w:r>
      <w:r>
        <w:rPr>
          <w:color w:val="231F20"/>
          <w:spacing w:val="2"/>
          <w:sz w:val="13"/>
        </w:rPr>
        <w:t xml:space="preserve">Spence-Diehl, </w:t>
      </w:r>
      <w:r>
        <w:rPr>
          <w:color w:val="231F20"/>
          <w:sz w:val="13"/>
        </w:rPr>
        <w:t xml:space="preserve">‘Intensive </w:t>
      </w:r>
      <w:r>
        <w:rPr>
          <w:color w:val="231F20"/>
          <w:spacing w:val="2"/>
          <w:sz w:val="13"/>
        </w:rPr>
        <w:t xml:space="preserve">Case </w:t>
      </w:r>
      <w:r>
        <w:rPr>
          <w:color w:val="231F20"/>
          <w:sz w:val="13"/>
        </w:rPr>
        <w:t xml:space="preserve">Management for Victims of Stalking: A Pilot Test Evaluation’ (2004) 4(4) </w:t>
      </w:r>
      <w:r>
        <w:rPr>
          <w:i/>
          <w:color w:val="231F20"/>
          <w:sz w:val="13"/>
        </w:rPr>
        <w:t xml:space="preserve">Brief Treatment </w:t>
      </w:r>
      <w:r>
        <w:rPr>
          <w:i/>
          <w:color w:val="231F20"/>
          <w:spacing w:val="2"/>
          <w:sz w:val="13"/>
        </w:rPr>
        <w:t xml:space="preserve">and </w:t>
      </w:r>
      <w:r>
        <w:rPr>
          <w:i/>
          <w:color w:val="231F20"/>
          <w:sz w:val="13"/>
        </w:rPr>
        <w:t xml:space="preserve">Crisis Intervention </w:t>
      </w:r>
      <w:r>
        <w:rPr>
          <w:color w:val="231F20"/>
          <w:sz w:val="13"/>
        </w:rPr>
        <w:t xml:space="preserve">323, </w:t>
      </w:r>
      <w:r>
        <w:rPr>
          <w:color w:val="231F20"/>
          <w:spacing w:val="3"/>
          <w:sz w:val="13"/>
        </w:rPr>
        <w:t>324.</w:t>
      </w:r>
    </w:p>
    <w:p w14:paraId="4D0F090F" w14:textId="77777777" w:rsidR="00894070" w:rsidRDefault="009B7AFD">
      <w:pPr>
        <w:pStyle w:val="ListParagraph"/>
        <w:numPr>
          <w:ilvl w:val="0"/>
          <w:numId w:val="115"/>
        </w:numPr>
        <w:tabs>
          <w:tab w:val="left" w:pos="1801"/>
          <w:tab w:val="left" w:pos="1802"/>
        </w:tabs>
        <w:spacing w:line="153" w:lineRule="exact"/>
        <w:rPr>
          <w:sz w:val="13"/>
        </w:rPr>
      </w:pPr>
      <w:r>
        <w:rPr>
          <w:color w:val="231F20"/>
          <w:sz w:val="13"/>
        </w:rPr>
        <w:t>Michele</w:t>
      </w:r>
      <w:r>
        <w:rPr>
          <w:color w:val="231F20"/>
          <w:spacing w:val="2"/>
          <w:sz w:val="13"/>
        </w:rPr>
        <w:t xml:space="preserve"> </w:t>
      </w:r>
      <w:r>
        <w:rPr>
          <w:color w:val="231F20"/>
          <w:sz w:val="13"/>
        </w:rPr>
        <w:t>Pathé</w:t>
      </w:r>
      <w:r>
        <w:rPr>
          <w:color w:val="231F20"/>
          <w:spacing w:val="3"/>
          <w:sz w:val="13"/>
        </w:rPr>
        <w:t xml:space="preserve"> </w:t>
      </w:r>
      <w:r>
        <w:rPr>
          <w:color w:val="231F20"/>
          <w:sz w:val="13"/>
        </w:rPr>
        <w:t>and</w:t>
      </w:r>
      <w:r>
        <w:rPr>
          <w:color w:val="231F20"/>
          <w:spacing w:val="3"/>
          <w:sz w:val="13"/>
        </w:rPr>
        <w:t xml:space="preserve"> </w:t>
      </w:r>
      <w:r>
        <w:rPr>
          <w:color w:val="231F20"/>
          <w:sz w:val="13"/>
        </w:rPr>
        <w:t>Paul</w:t>
      </w:r>
      <w:r>
        <w:rPr>
          <w:color w:val="231F20"/>
          <w:spacing w:val="3"/>
          <w:sz w:val="13"/>
        </w:rPr>
        <w:t xml:space="preserve"> </w:t>
      </w:r>
      <w:r>
        <w:rPr>
          <w:color w:val="231F20"/>
          <w:sz w:val="13"/>
        </w:rPr>
        <w:t>E</w:t>
      </w:r>
      <w:r>
        <w:rPr>
          <w:color w:val="231F20"/>
          <w:spacing w:val="2"/>
          <w:sz w:val="13"/>
        </w:rPr>
        <w:t xml:space="preserve"> </w:t>
      </w:r>
      <w:r>
        <w:rPr>
          <w:color w:val="231F20"/>
          <w:sz w:val="13"/>
        </w:rPr>
        <w:t>Mullen,</w:t>
      </w:r>
      <w:r>
        <w:rPr>
          <w:color w:val="231F20"/>
          <w:spacing w:val="3"/>
          <w:sz w:val="13"/>
        </w:rPr>
        <w:t xml:space="preserve"> </w:t>
      </w:r>
      <w:r>
        <w:rPr>
          <w:color w:val="231F20"/>
          <w:sz w:val="13"/>
        </w:rPr>
        <w:t>‘The</w:t>
      </w:r>
      <w:r>
        <w:rPr>
          <w:color w:val="231F20"/>
          <w:spacing w:val="3"/>
          <w:sz w:val="13"/>
        </w:rPr>
        <w:t xml:space="preserve"> </w:t>
      </w:r>
      <w:r>
        <w:rPr>
          <w:color w:val="231F20"/>
          <w:sz w:val="13"/>
        </w:rPr>
        <w:t>Impact</w:t>
      </w:r>
      <w:r>
        <w:rPr>
          <w:color w:val="231F20"/>
          <w:spacing w:val="3"/>
          <w:sz w:val="13"/>
        </w:rPr>
        <w:t xml:space="preserve"> </w:t>
      </w:r>
      <w:r>
        <w:rPr>
          <w:color w:val="231F20"/>
          <w:sz w:val="13"/>
        </w:rPr>
        <w:t>of</w:t>
      </w:r>
      <w:r>
        <w:rPr>
          <w:color w:val="231F20"/>
          <w:spacing w:val="3"/>
          <w:sz w:val="13"/>
        </w:rPr>
        <w:t xml:space="preserve"> </w:t>
      </w:r>
      <w:r>
        <w:rPr>
          <w:color w:val="231F20"/>
          <w:sz w:val="13"/>
        </w:rPr>
        <w:t>Stalkers</w:t>
      </w:r>
      <w:r>
        <w:rPr>
          <w:color w:val="231F20"/>
          <w:spacing w:val="2"/>
          <w:sz w:val="13"/>
        </w:rPr>
        <w:t xml:space="preserve"> </w:t>
      </w:r>
      <w:r>
        <w:rPr>
          <w:color w:val="231F20"/>
          <w:sz w:val="13"/>
        </w:rPr>
        <w:t>on</w:t>
      </w:r>
      <w:r>
        <w:rPr>
          <w:color w:val="231F20"/>
          <w:spacing w:val="3"/>
          <w:sz w:val="13"/>
        </w:rPr>
        <w:t xml:space="preserve"> </w:t>
      </w:r>
      <w:r>
        <w:rPr>
          <w:color w:val="231F20"/>
          <w:sz w:val="13"/>
        </w:rPr>
        <w:t>Their</w:t>
      </w:r>
      <w:r>
        <w:rPr>
          <w:color w:val="231F20"/>
          <w:spacing w:val="3"/>
          <w:sz w:val="13"/>
        </w:rPr>
        <w:t xml:space="preserve"> </w:t>
      </w:r>
      <w:r>
        <w:rPr>
          <w:color w:val="231F20"/>
          <w:sz w:val="13"/>
        </w:rPr>
        <w:t>Victims’</w:t>
      </w:r>
      <w:r>
        <w:rPr>
          <w:color w:val="231F20"/>
          <w:spacing w:val="3"/>
          <w:sz w:val="13"/>
        </w:rPr>
        <w:t xml:space="preserve"> </w:t>
      </w:r>
      <w:r>
        <w:rPr>
          <w:color w:val="231F20"/>
          <w:sz w:val="13"/>
        </w:rPr>
        <w:t>(1997)</w:t>
      </w:r>
      <w:r>
        <w:rPr>
          <w:color w:val="231F20"/>
          <w:spacing w:val="2"/>
          <w:sz w:val="13"/>
        </w:rPr>
        <w:t xml:space="preserve"> </w:t>
      </w:r>
      <w:r>
        <w:rPr>
          <w:color w:val="231F20"/>
          <w:sz w:val="13"/>
        </w:rPr>
        <w:t>170(1)</w:t>
      </w:r>
      <w:r>
        <w:rPr>
          <w:color w:val="231F20"/>
          <w:spacing w:val="2"/>
          <w:sz w:val="13"/>
        </w:rPr>
        <w:t xml:space="preserve"> </w:t>
      </w:r>
      <w:r>
        <w:rPr>
          <w:i/>
          <w:color w:val="231F20"/>
          <w:sz w:val="13"/>
        </w:rPr>
        <w:t>The</w:t>
      </w:r>
      <w:r>
        <w:rPr>
          <w:i/>
          <w:color w:val="231F20"/>
          <w:spacing w:val="3"/>
          <w:sz w:val="13"/>
        </w:rPr>
        <w:t xml:space="preserve"> </w:t>
      </w:r>
      <w:r>
        <w:rPr>
          <w:i/>
          <w:color w:val="231F20"/>
          <w:sz w:val="13"/>
        </w:rPr>
        <w:t>British</w:t>
      </w:r>
      <w:r>
        <w:rPr>
          <w:i/>
          <w:color w:val="231F20"/>
          <w:spacing w:val="3"/>
          <w:sz w:val="13"/>
        </w:rPr>
        <w:t xml:space="preserve"> </w:t>
      </w:r>
      <w:r>
        <w:rPr>
          <w:i/>
          <w:color w:val="231F20"/>
          <w:sz w:val="13"/>
        </w:rPr>
        <w:t>Journal</w:t>
      </w:r>
      <w:r>
        <w:rPr>
          <w:i/>
          <w:color w:val="231F20"/>
          <w:spacing w:val="2"/>
          <w:sz w:val="13"/>
        </w:rPr>
        <w:t xml:space="preserve"> </w:t>
      </w:r>
      <w:r>
        <w:rPr>
          <w:i/>
          <w:color w:val="231F20"/>
          <w:sz w:val="13"/>
        </w:rPr>
        <w:t>of</w:t>
      </w:r>
      <w:r>
        <w:rPr>
          <w:i/>
          <w:color w:val="231F20"/>
          <w:spacing w:val="3"/>
          <w:sz w:val="13"/>
        </w:rPr>
        <w:t xml:space="preserve"> </w:t>
      </w:r>
      <w:r>
        <w:rPr>
          <w:i/>
          <w:color w:val="231F20"/>
          <w:sz w:val="13"/>
        </w:rPr>
        <w:t>Psychiatry</w:t>
      </w:r>
      <w:r>
        <w:rPr>
          <w:i/>
          <w:color w:val="231F20"/>
          <w:spacing w:val="3"/>
          <w:sz w:val="13"/>
        </w:rPr>
        <w:t xml:space="preserve"> </w:t>
      </w:r>
      <w:r>
        <w:rPr>
          <w:color w:val="231F20"/>
          <w:spacing w:val="2"/>
          <w:sz w:val="13"/>
        </w:rPr>
        <w:t>12,</w:t>
      </w:r>
      <w:r>
        <w:rPr>
          <w:color w:val="231F20"/>
          <w:spacing w:val="3"/>
          <w:sz w:val="13"/>
        </w:rPr>
        <w:t xml:space="preserve"> </w:t>
      </w:r>
      <w:r>
        <w:rPr>
          <w:color w:val="231F20"/>
          <w:sz w:val="13"/>
        </w:rPr>
        <w:t>15–16.</w:t>
      </w:r>
    </w:p>
    <w:p w14:paraId="54DB651B" w14:textId="77777777" w:rsidR="00894070" w:rsidRDefault="009B7AFD">
      <w:pPr>
        <w:pStyle w:val="ListParagraph"/>
        <w:numPr>
          <w:ilvl w:val="0"/>
          <w:numId w:val="115"/>
        </w:numPr>
        <w:tabs>
          <w:tab w:val="left" w:pos="1801"/>
          <w:tab w:val="left" w:pos="1802"/>
        </w:tabs>
        <w:spacing w:line="160" w:lineRule="exac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7"/>
          <w:sz w:val="13"/>
        </w:rPr>
        <w:t xml:space="preserve"> </w:t>
      </w:r>
      <w:r>
        <w:rPr>
          <w:color w:val="231F20"/>
          <w:sz w:val="13"/>
        </w:rPr>
        <w:t>Centres).</w:t>
      </w:r>
    </w:p>
    <w:p w14:paraId="7FC2A2C8" w14:textId="77777777" w:rsidR="00894070" w:rsidRDefault="009B7AFD">
      <w:pPr>
        <w:pStyle w:val="ListParagraph"/>
        <w:numPr>
          <w:ilvl w:val="0"/>
          <w:numId w:val="115"/>
        </w:numPr>
        <w:tabs>
          <w:tab w:val="left" w:pos="1800"/>
          <w:tab w:val="left" w:pos="1802"/>
        </w:tabs>
        <w:spacing w:before="5" w:line="213" w:lineRule="auto"/>
        <w:ind w:right="1813"/>
        <w:rPr>
          <w:sz w:val="13"/>
        </w:rPr>
      </w:pPr>
      <w:r>
        <w:rPr>
          <w:color w:val="231F20"/>
          <w:sz w:val="13"/>
        </w:rPr>
        <w:t xml:space="preserve">Kritika Jerath, Lisa Tompson and Jyoti Belur, ‘Risk Management in Stalking Victims: A Multi-Agency Approach to Victim Advocacy’ [2020] </w:t>
      </w:r>
      <w:r>
        <w:rPr>
          <w:i/>
          <w:color w:val="231F20"/>
          <w:sz w:val="13"/>
        </w:rPr>
        <w:t xml:space="preserve">Journal of Interpersonal Violence </w:t>
      </w:r>
      <w:r>
        <w:rPr>
          <w:color w:val="231F20"/>
          <w:sz w:val="13"/>
        </w:rPr>
        <w:t>10.1177/0886260520980402:1–27,</w:t>
      </w:r>
      <w:r>
        <w:rPr>
          <w:color w:val="231F20"/>
          <w:spacing w:val="8"/>
          <w:sz w:val="13"/>
        </w:rPr>
        <w:t xml:space="preserve"> </w:t>
      </w:r>
      <w:r>
        <w:rPr>
          <w:color w:val="231F20"/>
          <w:spacing w:val="2"/>
          <w:sz w:val="13"/>
        </w:rPr>
        <w:t>23.</w:t>
      </w:r>
    </w:p>
    <w:p w14:paraId="68EBDB06" w14:textId="77777777" w:rsidR="00894070" w:rsidRDefault="009B7AFD">
      <w:pPr>
        <w:pStyle w:val="ListParagraph"/>
        <w:numPr>
          <w:ilvl w:val="0"/>
          <w:numId w:val="115"/>
        </w:numPr>
        <w:tabs>
          <w:tab w:val="left" w:pos="1801"/>
          <w:tab w:val="left" w:pos="1802"/>
        </w:tabs>
        <w:spacing w:line="213" w:lineRule="auto"/>
        <w:ind w:right="1165"/>
        <w:rPr>
          <w:sz w:val="13"/>
        </w:rPr>
      </w:pPr>
      <w:r>
        <w:rPr>
          <w:color w:val="231F20"/>
          <w:sz w:val="13"/>
        </w:rPr>
        <w:t xml:space="preserve">Centre for Innovative Justice, RMIT University, </w:t>
      </w:r>
      <w:r>
        <w:rPr>
          <w:i/>
          <w:color w:val="231F20"/>
          <w:sz w:val="13"/>
        </w:rPr>
        <w:t xml:space="preserve">Strengthening Victoria’s Victim </w:t>
      </w:r>
      <w:r>
        <w:rPr>
          <w:i/>
          <w:color w:val="231F20"/>
          <w:spacing w:val="2"/>
          <w:sz w:val="13"/>
        </w:rPr>
        <w:t xml:space="preserve">Support </w:t>
      </w:r>
      <w:r>
        <w:rPr>
          <w:i/>
          <w:color w:val="231F20"/>
          <w:sz w:val="13"/>
        </w:rPr>
        <w:t xml:space="preserve">System: Victim </w:t>
      </w:r>
      <w:r>
        <w:rPr>
          <w:i/>
          <w:color w:val="231F20"/>
          <w:spacing w:val="2"/>
          <w:sz w:val="13"/>
        </w:rPr>
        <w:t xml:space="preserve">Services </w:t>
      </w:r>
      <w:r>
        <w:rPr>
          <w:i/>
          <w:color w:val="231F20"/>
          <w:sz w:val="13"/>
        </w:rPr>
        <w:t xml:space="preserve">Review </w:t>
      </w:r>
      <w:r>
        <w:rPr>
          <w:color w:val="231F20"/>
          <w:sz w:val="13"/>
        </w:rPr>
        <w:t xml:space="preserve">(Final </w:t>
      </w:r>
      <w:r>
        <w:rPr>
          <w:color w:val="231F20"/>
          <w:spacing w:val="2"/>
          <w:sz w:val="13"/>
        </w:rPr>
        <w:t xml:space="preserve">Report, </w:t>
      </w:r>
      <w:r>
        <w:rPr>
          <w:color w:val="231F20"/>
          <w:sz w:val="13"/>
        </w:rPr>
        <w:t xml:space="preserve">November 2020) </w:t>
      </w:r>
      <w:r>
        <w:rPr>
          <w:color w:val="231F20"/>
          <w:spacing w:val="-3"/>
          <w:sz w:val="13"/>
        </w:rPr>
        <w:t>17.</w:t>
      </w:r>
    </w:p>
    <w:p w14:paraId="3B3E657F" w14:textId="77777777" w:rsidR="00894070" w:rsidRDefault="009B7AFD">
      <w:pPr>
        <w:pStyle w:val="ListParagraph"/>
        <w:numPr>
          <w:ilvl w:val="0"/>
          <w:numId w:val="115"/>
        </w:numPr>
        <w:tabs>
          <w:tab w:val="left" w:pos="1801"/>
          <w:tab w:val="left" w:pos="1802"/>
        </w:tabs>
        <w:spacing w:line="153"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4"/>
          <w:sz w:val="13"/>
        </w:rPr>
        <w:t xml:space="preserve"> </w:t>
      </w:r>
      <w:r>
        <w:rPr>
          <w:color w:val="231F20"/>
          <w:sz w:val="13"/>
        </w:rPr>
        <w:t>Commissioner).</w:t>
      </w:r>
    </w:p>
    <w:p w14:paraId="63C89DB0" w14:textId="77777777" w:rsidR="00894070" w:rsidRDefault="009B7AFD">
      <w:pPr>
        <w:pStyle w:val="ListParagraph"/>
        <w:numPr>
          <w:ilvl w:val="0"/>
          <w:numId w:val="115"/>
        </w:numPr>
        <w:tabs>
          <w:tab w:val="left" w:pos="1801"/>
          <w:tab w:val="left" w:pos="1802"/>
        </w:tabs>
        <w:spacing w:line="160" w:lineRule="exact"/>
        <w:rPr>
          <w:sz w:val="13"/>
        </w:rPr>
      </w:pPr>
      <w:r>
        <w:rPr>
          <w:color w:val="231F20"/>
          <w:sz w:val="13"/>
        </w:rPr>
        <w:t>Ibid.</w:t>
      </w:r>
    </w:p>
    <w:p w14:paraId="22566000" w14:textId="77777777" w:rsidR="00894070" w:rsidRDefault="009B7AFD">
      <w:pPr>
        <w:pStyle w:val="ListParagraph"/>
        <w:numPr>
          <w:ilvl w:val="0"/>
          <w:numId w:val="115"/>
        </w:numPr>
        <w:tabs>
          <w:tab w:val="left" w:pos="1801"/>
          <w:tab w:val="left" w:pos="1802"/>
        </w:tabs>
        <w:spacing w:line="160"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Review of the Victims of Crime Assistance Act </w:t>
      </w:r>
      <w:r>
        <w:rPr>
          <w:i/>
          <w:color w:val="231F20"/>
          <w:spacing w:val="2"/>
          <w:sz w:val="13"/>
        </w:rPr>
        <w:t xml:space="preserve">1996 </w:t>
      </w:r>
      <w:r>
        <w:rPr>
          <w:color w:val="231F20"/>
          <w:spacing w:val="2"/>
          <w:sz w:val="13"/>
        </w:rPr>
        <w:t xml:space="preserve">(Report </w:t>
      </w:r>
      <w:r>
        <w:rPr>
          <w:color w:val="231F20"/>
          <w:sz w:val="13"/>
        </w:rPr>
        <w:t xml:space="preserve">No </w:t>
      </w:r>
      <w:r>
        <w:rPr>
          <w:color w:val="231F20"/>
          <w:spacing w:val="2"/>
          <w:sz w:val="13"/>
        </w:rPr>
        <w:t xml:space="preserve">36, </w:t>
      </w:r>
      <w:r>
        <w:rPr>
          <w:color w:val="231F20"/>
          <w:sz w:val="13"/>
        </w:rPr>
        <w:t>July 2018)</w:t>
      </w:r>
      <w:r>
        <w:rPr>
          <w:color w:val="231F20"/>
          <w:spacing w:val="13"/>
          <w:sz w:val="13"/>
        </w:rPr>
        <w:t xml:space="preserve"> </w:t>
      </w:r>
      <w:r>
        <w:rPr>
          <w:color w:val="231F20"/>
          <w:sz w:val="13"/>
        </w:rPr>
        <w:t>xxxv,</w:t>
      </w:r>
    </w:p>
    <w:p w14:paraId="66ADAB87" w14:textId="77777777" w:rsidR="00894070" w:rsidRDefault="009B7AFD">
      <w:pPr>
        <w:spacing w:line="160" w:lineRule="exact"/>
        <w:ind w:left="1801"/>
        <w:rPr>
          <w:sz w:val="13"/>
        </w:rPr>
      </w:pPr>
      <w:r>
        <w:rPr>
          <w:color w:val="231F20"/>
          <w:sz w:val="13"/>
        </w:rPr>
        <w:t>Recommendation 34.</w:t>
      </w:r>
    </w:p>
    <w:p w14:paraId="2F9A377B" w14:textId="77777777" w:rsidR="00894070" w:rsidRDefault="009B7AFD">
      <w:pPr>
        <w:pStyle w:val="ListParagraph"/>
        <w:numPr>
          <w:ilvl w:val="0"/>
          <w:numId w:val="115"/>
        </w:numPr>
        <w:tabs>
          <w:tab w:val="left" w:pos="1801"/>
          <w:tab w:val="left" w:pos="1802"/>
        </w:tabs>
        <w:spacing w:line="160" w:lineRule="exact"/>
        <w:rPr>
          <w:sz w:val="13"/>
        </w:rPr>
      </w:pPr>
      <w:r>
        <w:rPr>
          <w:color w:val="231F20"/>
          <w:sz w:val="13"/>
        </w:rPr>
        <w:t xml:space="preserve">Victims of Crime (Financial </w:t>
      </w:r>
      <w:r>
        <w:rPr>
          <w:color w:val="231F20"/>
          <w:spacing w:val="2"/>
          <w:sz w:val="13"/>
        </w:rPr>
        <w:t xml:space="preserve">Assistance </w:t>
      </w:r>
      <w:r>
        <w:rPr>
          <w:color w:val="231F20"/>
          <w:sz w:val="13"/>
        </w:rPr>
        <w:t>Scheme) Bill 2022 (Vic) cls 10(2)(e),</w:t>
      </w:r>
      <w:r>
        <w:rPr>
          <w:color w:val="231F20"/>
          <w:spacing w:val="5"/>
          <w:sz w:val="13"/>
        </w:rPr>
        <w:t xml:space="preserve"> </w:t>
      </w:r>
      <w:r>
        <w:rPr>
          <w:color w:val="231F20"/>
          <w:spacing w:val="2"/>
          <w:sz w:val="13"/>
        </w:rPr>
        <w:t>29.</w:t>
      </w:r>
    </w:p>
    <w:p w14:paraId="4A4F3091" w14:textId="77777777" w:rsidR="00894070" w:rsidRDefault="009B7AFD">
      <w:pPr>
        <w:pStyle w:val="ListParagraph"/>
        <w:numPr>
          <w:ilvl w:val="0"/>
          <w:numId w:val="115"/>
        </w:numPr>
        <w:tabs>
          <w:tab w:val="left" w:pos="1801"/>
          <w:tab w:val="left" w:pos="1802"/>
        </w:tabs>
        <w:spacing w:before="5" w:line="213" w:lineRule="auto"/>
        <w:ind w:right="1165"/>
        <w:rPr>
          <w:sz w:val="13"/>
        </w:rPr>
      </w:pPr>
      <w:r>
        <w:rPr>
          <w:color w:val="231F20"/>
          <w:sz w:val="13"/>
        </w:rPr>
        <w:t xml:space="preserve">Centre for Innovative Justice, RMIT University, </w:t>
      </w:r>
      <w:r>
        <w:rPr>
          <w:i/>
          <w:color w:val="231F20"/>
          <w:sz w:val="13"/>
        </w:rPr>
        <w:t xml:space="preserve">Strengthening Victoria’s Victim </w:t>
      </w:r>
      <w:r>
        <w:rPr>
          <w:i/>
          <w:color w:val="231F20"/>
          <w:spacing w:val="2"/>
          <w:sz w:val="13"/>
        </w:rPr>
        <w:t xml:space="preserve">Support </w:t>
      </w:r>
      <w:r>
        <w:rPr>
          <w:i/>
          <w:color w:val="231F20"/>
          <w:sz w:val="13"/>
        </w:rPr>
        <w:t xml:space="preserve">System: Victim </w:t>
      </w:r>
      <w:r>
        <w:rPr>
          <w:i/>
          <w:color w:val="231F20"/>
          <w:spacing w:val="2"/>
          <w:sz w:val="13"/>
        </w:rPr>
        <w:t xml:space="preserve">Services </w:t>
      </w:r>
      <w:r>
        <w:rPr>
          <w:i/>
          <w:color w:val="231F20"/>
          <w:sz w:val="13"/>
        </w:rPr>
        <w:t xml:space="preserve">Review </w:t>
      </w:r>
      <w:r>
        <w:rPr>
          <w:color w:val="231F20"/>
          <w:sz w:val="13"/>
        </w:rPr>
        <w:t xml:space="preserve">(Final </w:t>
      </w:r>
      <w:r>
        <w:rPr>
          <w:color w:val="231F20"/>
          <w:spacing w:val="2"/>
          <w:sz w:val="13"/>
        </w:rPr>
        <w:t xml:space="preserve">Report, </w:t>
      </w:r>
      <w:r>
        <w:rPr>
          <w:color w:val="231F20"/>
          <w:sz w:val="13"/>
        </w:rPr>
        <w:t>November 2020) 18.</w:t>
      </w:r>
    </w:p>
    <w:p w14:paraId="5B06FE12" w14:textId="77777777" w:rsidR="00894070" w:rsidRDefault="009F6793">
      <w:pPr>
        <w:pStyle w:val="ListParagraph"/>
        <w:numPr>
          <w:ilvl w:val="0"/>
          <w:numId w:val="115"/>
        </w:numPr>
        <w:tabs>
          <w:tab w:val="left" w:pos="1800"/>
          <w:tab w:val="left" w:pos="1802"/>
        </w:tabs>
        <w:spacing w:line="153" w:lineRule="exact"/>
        <w:rPr>
          <w:sz w:val="13"/>
        </w:rPr>
      </w:pPr>
      <w:r>
        <w:pict w14:anchorId="013FCFC0">
          <v:shape id="_x0000_s1409" type="#_x0000_t202" style="position:absolute;left:0;text-align:left;margin-left:548.65pt;margin-top:3.35pt;width:13.9pt;height:14.1pt;z-index:251683840;mso-position-horizontal-relative:page" filled="f" stroked="f">
            <v:textbox inset="0,0,0,0">
              <w:txbxContent>
                <w:p w14:paraId="25947097" w14:textId="77777777" w:rsidR="00894070" w:rsidRDefault="009B7AFD">
                  <w:pPr>
                    <w:spacing w:line="282" w:lineRule="exact"/>
                    <w:rPr>
                      <w:b/>
                      <w:sz w:val="24"/>
                    </w:rPr>
                  </w:pPr>
                  <w:r>
                    <w:rPr>
                      <w:b/>
                      <w:color w:val="EA5B50"/>
                      <w:sz w:val="24"/>
                    </w:rPr>
                    <w:t>85</w:t>
                  </w:r>
                </w:p>
              </w:txbxContent>
            </v:textbox>
            <w10:wrap anchorx="page"/>
          </v:shape>
        </w:pict>
      </w:r>
      <w:r w:rsidR="009B7AFD">
        <w:rPr>
          <w:color w:val="231F20"/>
          <w:sz w:val="13"/>
        </w:rPr>
        <w:t xml:space="preserve">Email from Victim </w:t>
      </w:r>
      <w:r w:rsidR="009B7AFD">
        <w:rPr>
          <w:color w:val="231F20"/>
          <w:spacing w:val="2"/>
          <w:sz w:val="13"/>
        </w:rPr>
        <w:t xml:space="preserve">Services, Support </w:t>
      </w:r>
      <w:r w:rsidR="009B7AFD">
        <w:rPr>
          <w:color w:val="231F20"/>
          <w:sz w:val="13"/>
        </w:rPr>
        <w:t xml:space="preserve">and Reform, </w:t>
      </w:r>
      <w:r w:rsidR="009B7AFD">
        <w:rPr>
          <w:color w:val="231F20"/>
          <w:spacing w:val="2"/>
          <w:sz w:val="13"/>
        </w:rPr>
        <w:t xml:space="preserve">Department </w:t>
      </w:r>
      <w:r w:rsidR="009B7AFD">
        <w:rPr>
          <w:color w:val="231F20"/>
          <w:sz w:val="13"/>
        </w:rPr>
        <w:t xml:space="preserve">of </w:t>
      </w:r>
      <w:proofErr w:type="gramStart"/>
      <w:r w:rsidR="009B7AFD">
        <w:rPr>
          <w:color w:val="231F20"/>
          <w:sz w:val="13"/>
        </w:rPr>
        <w:t>Justice</w:t>
      </w:r>
      <w:proofErr w:type="gramEnd"/>
      <w:r w:rsidR="009B7AFD">
        <w:rPr>
          <w:color w:val="231F20"/>
          <w:sz w:val="13"/>
        </w:rPr>
        <w:t xml:space="preserve"> and Community Safety (Vic) to Victorian Law</w:t>
      </w:r>
      <w:r w:rsidR="009B7AFD">
        <w:rPr>
          <w:color w:val="231F20"/>
          <w:spacing w:val="28"/>
          <w:sz w:val="13"/>
        </w:rPr>
        <w:t xml:space="preserve"> </w:t>
      </w:r>
      <w:r w:rsidR="009B7AFD">
        <w:rPr>
          <w:color w:val="231F20"/>
          <w:sz w:val="13"/>
        </w:rPr>
        <w:t>Reform</w:t>
      </w:r>
    </w:p>
    <w:p w14:paraId="364DD8BF" w14:textId="77777777" w:rsidR="00894070" w:rsidRDefault="009B7AFD">
      <w:pPr>
        <w:spacing w:line="170" w:lineRule="exact"/>
        <w:ind w:left="1801"/>
        <w:rPr>
          <w:sz w:val="13"/>
        </w:rPr>
      </w:pPr>
      <w:r>
        <w:rPr>
          <w:color w:val="231F20"/>
          <w:sz w:val="13"/>
        </w:rPr>
        <w:t>Commission, 6 May 2022.</w:t>
      </w:r>
    </w:p>
    <w:p w14:paraId="6380F9EA" w14:textId="77777777" w:rsidR="00894070" w:rsidRDefault="00894070">
      <w:pPr>
        <w:spacing w:line="170" w:lineRule="exact"/>
        <w:rPr>
          <w:sz w:val="13"/>
        </w:rPr>
        <w:sectPr w:rsidR="00894070">
          <w:pgSz w:w="11910" w:h="16840"/>
          <w:pgMar w:top="840" w:right="420" w:bottom="280" w:left="580" w:header="0" w:footer="0" w:gutter="0"/>
          <w:cols w:space="720"/>
        </w:sectPr>
      </w:pPr>
    </w:p>
    <w:p w14:paraId="660080BD" w14:textId="77777777" w:rsidR="00894070" w:rsidRDefault="00894070">
      <w:pPr>
        <w:pStyle w:val="BodyText"/>
      </w:pPr>
    </w:p>
    <w:p w14:paraId="3C57C0BB" w14:textId="77777777" w:rsidR="00894070" w:rsidRDefault="00894070">
      <w:pPr>
        <w:pStyle w:val="BodyText"/>
      </w:pPr>
    </w:p>
    <w:p w14:paraId="0D899942" w14:textId="77777777" w:rsidR="00894070" w:rsidRDefault="00894070">
      <w:pPr>
        <w:pStyle w:val="BodyText"/>
      </w:pPr>
    </w:p>
    <w:p w14:paraId="72C92BDA" w14:textId="77777777" w:rsidR="00894070" w:rsidRDefault="00894070">
      <w:pPr>
        <w:pStyle w:val="BodyText"/>
        <w:spacing w:before="8"/>
        <w:rPr>
          <w:sz w:val="19"/>
        </w:rPr>
      </w:pPr>
    </w:p>
    <w:p w14:paraId="2AA430D9" w14:textId="77777777" w:rsidR="00894070" w:rsidRDefault="009F6793">
      <w:pPr>
        <w:pStyle w:val="BodyText"/>
        <w:ind w:left="1801"/>
      </w:pPr>
      <w:r>
        <w:pict w14:anchorId="2984992F">
          <v:shape id="_x0000_s1741" type="#_x0000_t202" style="width:396.35pt;height:80.1pt;mso-left-percent:-10001;mso-top-percent:-10001;mso-position-horizontal:absolute;mso-position-horizontal-relative:char;mso-position-vertical:absolute;mso-position-vertical-relative:line;mso-left-percent:-10001;mso-top-percent:-10001" fillcolor="#fee7de" strokecolor="#ea5b50" strokeweight=".5pt">
            <v:textbox inset="0,0,0,0">
              <w:txbxContent>
                <w:p w14:paraId="61D6122E" w14:textId="77777777" w:rsidR="00894070" w:rsidRDefault="00894070">
                  <w:pPr>
                    <w:pStyle w:val="BodyText"/>
                    <w:spacing w:before="3"/>
                    <w:rPr>
                      <w:sz w:val="15"/>
                    </w:rPr>
                  </w:pPr>
                </w:p>
                <w:p w14:paraId="6C8467B8" w14:textId="77777777" w:rsidR="00894070" w:rsidRDefault="009B7AFD">
                  <w:pPr>
                    <w:pStyle w:val="BodyText"/>
                    <w:spacing w:line="206" w:lineRule="auto"/>
                    <w:ind w:left="221" w:right="184"/>
                    <w:rPr>
                      <w:sz w:val="11"/>
                    </w:rPr>
                  </w:pPr>
                  <w:bookmarkStart w:id="104" w:name="_bookmark57"/>
                  <w:bookmarkEnd w:id="104"/>
                  <w:r>
                    <w:rPr>
                      <w:color w:val="231F20"/>
                    </w:rPr>
                    <w:t>Victims of Crime say that they can only give me further help if he’s been charged. So, he gets charged and is placed on bail conditions. I call Victims of Crime to tell them that he has, finally, been charged, and they tell me, ‘No we can only give you further help if he’s been charged with assault’. He was charged for breaching the [intervention order]. Victims of Crime needs better funding.</w:t>
                  </w:r>
                  <w:r>
                    <w:rPr>
                      <w:color w:val="231F20"/>
                      <w:position w:val="7"/>
                      <w:sz w:val="11"/>
                    </w:rPr>
                    <w:t>92</w:t>
                  </w:r>
                </w:p>
              </w:txbxContent>
            </v:textbox>
            <w10:anchorlock/>
          </v:shape>
        </w:pict>
      </w:r>
    </w:p>
    <w:p w14:paraId="77F2C8F9" w14:textId="77777777" w:rsidR="00894070" w:rsidRDefault="00894070">
      <w:pPr>
        <w:pStyle w:val="BodyText"/>
        <w:spacing w:before="1"/>
        <w:rPr>
          <w:sz w:val="19"/>
        </w:rPr>
      </w:pPr>
    </w:p>
    <w:p w14:paraId="3814F7FC" w14:textId="77777777" w:rsidR="00894070" w:rsidRDefault="009B7AFD">
      <w:pPr>
        <w:pStyle w:val="ListParagraph"/>
        <w:numPr>
          <w:ilvl w:val="1"/>
          <w:numId w:val="126"/>
        </w:numPr>
        <w:tabs>
          <w:tab w:val="left" w:pos="1801"/>
          <w:tab w:val="left" w:pos="1802"/>
        </w:tabs>
        <w:spacing w:before="90" w:line="206" w:lineRule="auto"/>
        <w:ind w:right="2186"/>
        <w:rPr>
          <w:sz w:val="20"/>
        </w:rPr>
      </w:pPr>
      <w:r>
        <w:rPr>
          <w:color w:val="231F20"/>
          <w:sz w:val="20"/>
        </w:rPr>
        <w:t>Another</w:t>
      </w:r>
      <w:r>
        <w:rPr>
          <w:color w:val="231F20"/>
          <w:spacing w:val="-10"/>
          <w:sz w:val="20"/>
        </w:rPr>
        <w:t xml:space="preserve"> </w:t>
      </w:r>
      <w:r>
        <w:rPr>
          <w:color w:val="231F20"/>
          <w:sz w:val="20"/>
        </w:rPr>
        <w:t>person,</w:t>
      </w:r>
      <w:r>
        <w:rPr>
          <w:color w:val="231F20"/>
          <w:spacing w:val="-10"/>
          <w:sz w:val="20"/>
        </w:rPr>
        <w:t xml:space="preserve"> </w:t>
      </w:r>
      <w:r>
        <w:rPr>
          <w:color w:val="231F20"/>
          <w:sz w:val="20"/>
        </w:rPr>
        <w:t>who</w:t>
      </w:r>
      <w:r>
        <w:rPr>
          <w:color w:val="231F20"/>
          <w:spacing w:val="-10"/>
          <w:sz w:val="20"/>
        </w:rPr>
        <w:t xml:space="preserve"> </w:t>
      </w:r>
      <w:r>
        <w:rPr>
          <w:color w:val="231F20"/>
          <w:sz w:val="20"/>
        </w:rPr>
        <w:t>lived</w:t>
      </w:r>
      <w:r>
        <w:rPr>
          <w:color w:val="231F20"/>
          <w:spacing w:val="-10"/>
          <w:sz w:val="20"/>
        </w:rPr>
        <w:t xml:space="preserve"> </w:t>
      </w:r>
      <w:r>
        <w:rPr>
          <w:color w:val="231F20"/>
          <w:sz w:val="20"/>
        </w:rPr>
        <w:t>in</w:t>
      </w:r>
      <w:r>
        <w:rPr>
          <w:color w:val="231F20"/>
          <w:spacing w:val="-9"/>
          <w:sz w:val="20"/>
        </w:rPr>
        <w:t xml:space="preserve"> </w:t>
      </w:r>
      <w:r>
        <w:rPr>
          <w:color w:val="231F20"/>
          <w:sz w:val="20"/>
        </w:rPr>
        <w:t>a</w:t>
      </w:r>
      <w:r>
        <w:rPr>
          <w:color w:val="231F20"/>
          <w:spacing w:val="-10"/>
          <w:sz w:val="20"/>
        </w:rPr>
        <w:t xml:space="preserve"> </w:t>
      </w:r>
      <w:r>
        <w:rPr>
          <w:color w:val="231F20"/>
          <w:sz w:val="20"/>
        </w:rPr>
        <w:t>rural</w:t>
      </w:r>
      <w:r>
        <w:rPr>
          <w:color w:val="231F20"/>
          <w:spacing w:val="-10"/>
          <w:sz w:val="20"/>
        </w:rPr>
        <w:t xml:space="preserve"> </w:t>
      </w:r>
      <w:r>
        <w:rPr>
          <w:color w:val="231F20"/>
          <w:sz w:val="20"/>
        </w:rPr>
        <w:t>or</w:t>
      </w:r>
      <w:r>
        <w:rPr>
          <w:color w:val="231F20"/>
          <w:spacing w:val="-10"/>
          <w:sz w:val="20"/>
        </w:rPr>
        <w:t xml:space="preserve"> </w:t>
      </w:r>
      <w:r>
        <w:rPr>
          <w:color w:val="231F20"/>
          <w:sz w:val="20"/>
        </w:rPr>
        <w:t>regional</w:t>
      </w:r>
      <w:r>
        <w:rPr>
          <w:color w:val="231F20"/>
          <w:spacing w:val="-9"/>
          <w:sz w:val="20"/>
        </w:rPr>
        <w:t xml:space="preserve"> </w:t>
      </w:r>
      <w:r>
        <w:rPr>
          <w:color w:val="231F20"/>
          <w:spacing w:val="-3"/>
          <w:sz w:val="20"/>
        </w:rPr>
        <w:t>community,</w:t>
      </w:r>
      <w:r>
        <w:rPr>
          <w:color w:val="231F20"/>
          <w:spacing w:val="-10"/>
          <w:sz w:val="20"/>
        </w:rPr>
        <w:t xml:space="preserve"> </w:t>
      </w:r>
      <w:r>
        <w:rPr>
          <w:color w:val="231F20"/>
          <w:sz w:val="20"/>
        </w:rPr>
        <w:t>reflecting</w:t>
      </w:r>
      <w:r>
        <w:rPr>
          <w:color w:val="231F20"/>
          <w:spacing w:val="-10"/>
          <w:sz w:val="20"/>
        </w:rPr>
        <w:t xml:space="preserve"> </w:t>
      </w:r>
      <w:r>
        <w:rPr>
          <w:color w:val="231F20"/>
          <w:sz w:val="20"/>
        </w:rPr>
        <w:t>on</w:t>
      </w:r>
      <w:r>
        <w:rPr>
          <w:color w:val="231F20"/>
          <w:spacing w:val="-10"/>
          <w:sz w:val="20"/>
        </w:rPr>
        <w:t xml:space="preserve"> </w:t>
      </w:r>
      <w:r>
        <w:rPr>
          <w:color w:val="231F20"/>
          <w:sz w:val="20"/>
        </w:rPr>
        <w:t>her experience with police in 2021,</w:t>
      </w:r>
      <w:r>
        <w:rPr>
          <w:color w:val="231F20"/>
          <w:spacing w:val="-23"/>
          <w:sz w:val="20"/>
        </w:rPr>
        <w:t xml:space="preserve"> </w:t>
      </w:r>
      <w:r>
        <w:rPr>
          <w:color w:val="231F20"/>
          <w:sz w:val="20"/>
        </w:rPr>
        <w:t>said:</w:t>
      </w:r>
    </w:p>
    <w:p w14:paraId="177A5E62" w14:textId="77777777" w:rsidR="00894070" w:rsidRDefault="009F6793">
      <w:pPr>
        <w:pStyle w:val="BodyText"/>
        <w:spacing w:before="6"/>
        <w:rPr>
          <w:sz w:val="23"/>
        </w:rPr>
      </w:pPr>
      <w:r>
        <w:pict w14:anchorId="5EF56D36">
          <v:shape id="_x0000_s1407" type="#_x0000_t202" style="position:absolute;margin-left:119.3pt;margin-top:18.5pt;width:396.35pt;height:44.1pt;z-index:251607040;mso-wrap-distance-left:0;mso-wrap-distance-right:0;mso-position-horizontal-relative:page" fillcolor="#fee7de" strokecolor="#ea5b50" strokeweight=".5pt">
            <v:textbox inset="0,0,0,0">
              <w:txbxContent>
                <w:p w14:paraId="47E0AF3F" w14:textId="77777777" w:rsidR="00894070" w:rsidRDefault="00894070">
                  <w:pPr>
                    <w:pStyle w:val="BodyText"/>
                    <w:spacing w:before="3"/>
                    <w:rPr>
                      <w:sz w:val="15"/>
                    </w:rPr>
                  </w:pPr>
                </w:p>
                <w:p w14:paraId="11AFE273" w14:textId="77777777" w:rsidR="00894070" w:rsidRDefault="009B7AFD">
                  <w:pPr>
                    <w:pStyle w:val="BodyText"/>
                    <w:spacing w:line="206" w:lineRule="auto"/>
                    <w:ind w:left="221" w:right="379"/>
                    <w:rPr>
                      <w:sz w:val="11"/>
                    </w:rPr>
                  </w:pPr>
                  <w:r>
                    <w:rPr>
                      <w:color w:val="231F20"/>
                    </w:rPr>
                    <w:t>[The police] then referred me to Victims of Crime and when meeting with them for support they advised stalking is only a minor crime …</w:t>
                  </w:r>
                  <w:r>
                    <w:rPr>
                      <w:color w:val="231F20"/>
                      <w:position w:val="7"/>
                      <w:sz w:val="11"/>
                    </w:rPr>
                    <w:t>93</w:t>
                  </w:r>
                </w:p>
              </w:txbxContent>
            </v:textbox>
            <w10:wrap type="topAndBottom" anchorx="page"/>
          </v:shape>
        </w:pict>
      </w:r>
    </w:p>
    <w:p w14:paraId="4C83954A" w14:textId="77777777" w:rsidR="00894070" w:rsidRDefault="00894070">
      <w:pPr>
        <w:pStyle w:val="BodyText"/>
        <w:spacing w:before="6"/>
        <w:rPr>
          <w:sz w:val="19"/>
        </w:rPr>
      </w:pPr>
    </w:p>
    <w:p w14:paraId="6F0320DB" w14:textId="77777777" w:rsidR="00894070" w:rsidRDefault="009B7AFD">
      <w:pPr>
        <w:pStyle w:val="ListParagraph"/>
        <w:numPr>
          <w:ilvl w:val="1"/>
          <w:numId w:val="126"/>
        </w:numPr>
        <w:tabs>
          <w:tab w:val="left" w:pos="1801"/>
          <w:tab w:val="left" w:pos="1802"/>
        </w:tabs>
        <w:spacing w:before="57" w:line="259" w:lineRule="exact"/>
        <w:rPr>
          <w:sz w:val="20"/>
        </w:rPr>
      </w:pPr>
      <w:r>
        <w:rPr>
          <w:color w:val="231F20"/>
          <w:sz w:val="20"/>
        </w:rPr>
        <w:t>As</w:t>
      </w:r>
      <w:r>
        <w:rPr>
          <w:color w:val="231F20"/>
          <w:spacing w:val="-6"/>
          <w:sz w:val="20"/>
        </w:rPr>
        <w:t xml:space="preserve"> </w:t>
      </w:r>
      <w:r>
        <w:rPr>
          <w:color w:val="231F20"/>
          <w:sz w:val="20"/>
        </w:rPr>
        <w:t>the</w:t>
      </w:r>
      <w:r>
        <w:rPr>
          <w:color w:val="231F20"/>
          <w:spacing w:val="-5"/>
          <w:sz w:val="20"/>
        </w:rPr>
        <w:t xml:space="preserve"> </w:t>
      </w:r>
      <w:r>
        <w:rPr>
          <w:color w:val="231F20"/>
          <w:sz w:val="20"/>
        </w:rPr>
        <w:t>Criminal</w:t>
      </w:r>
      <w:r>
        <w:rPr>
          <w:color w:val="231F20"/>
          <w:spacing w:val="-5"/>
          <w:sz w:val="20"/>
        </w:rPr>
        <w:t xml:space="preserve"> </w:t>
      </w:r>
      <w:r>
        <w:rPr>
          <w:color w:val="231F20"/>
          <w:sz w:val="20"/>
        </w:rPr>
        <w:t>Justice</w:t>
      </w:r>
      <w:r>
        <w:rPr>
          <w:color w:val="231F20"/>
          <w:spacing w:val="-6"/>
          <w:sz w:val="20"/>
        </w:rPr>
        <w:t xml:space="preserve"> </w:t>
      </w:r>
      <w:r>
        <w:rPr>
          <w:color w:val="231F20"/>
          <w:sz w:val="20"/>
        </w:rPr>
        <w:t>Inquiry</w:t>
      </w:r>
      <w:r>
        <w:rPr>
          <w:color w:val="231F20"/>
          <w:spacing w:val="-5"/>
          <w:sz w:val="20"/>
        </w:rPr>
        <w:t xml:space="preserve"> </w:t>
      </w:r>
      <w:r>
        <w:rPr>
          <w:color w:val="231F20"/>
          <w:sz w:val="20"/>
        </w:rPr>
        <w:t>noted,</w:t>
      </w:r>
      <w:r>
        <w:rPr>
          <w:color w:val="231F20"/>
          <w:spacing w:val="-5"/>
          <w:sz w:val="20"/>
        </w:rPr>
        <w:t xml:space="preserve"> </w:t>
      </w:r>
      <w:r>
        <w:rPr>
          <w:color w:val="231F20"/>
          <w:spacing w:val="-6"/>
          <w:sz w:val="20"/>
        </w:rPr>
        <w:t>VAP</w:t>
      </w:r>
      <w:r>
        <w:rPr>
          <w:color w:val="231F20"/>
          <w:spacing w:val="-5"/>
          <w:sz w:val="20"/>
        </w:rPr>
        <w:t xml:space="preserve"> </w:t>
      </w:r>
      <w:r>
        <w:rPr>
          <w:color w:val="231F20"/>
          <w:sz w:val="20"/>
        </w:rPr>
        <w:t>is</w:t>
      </w:r>
      <w:r>
        <w:rPr>
          <w:color w:val="231F20"/>
          <w:spacing w:val="-6"/>
          <w:sz w:val="20"/>
        </w:rPr>
        <w:t xml:space="preserve"> </w:t>
      </w:r>
      <w:r>
        <w:rPr>
          <w:color w:val="231F20"/>
          <w:spacing w:val="-3"/>
          <w:sz w:val="20"/>
        </w:rPr>
        <w:t>likely</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‘subject</w:t>
      </w:r>
      <w:r>
        <w:rPr>
          <w:color w:val="231F20"/>
          <w:spacing w:val="-6"/>
          <w:sz w:val="20"/>
        </w:rPr>
        <w:t xml:space="preserve"> </w:t>
      </w:r>
      <w:r>
        <w:rPr>
          <w:color w:val="231F20"/>
          <w:sz w:val="20"/>
        </w:rPr>
        <w:t>to</w:t>
      </w:r>
      <w:r>
        <w:rPr>
          <w:color w:val="231F20"/>
          <w:spacing w:val="-5"/>
          <w:sz w:val="20"/>
        </w:rPr>
        <w:t xml:space="preserve"> </w:t>
      </w:r>
      <w:r>
        <w:rPr>
          <w:color w:val="231F20"/>
          <w:spacing w:val="-3"/>
          <w:sz w:val="20"/>
        </w:rPr>
        <w:t>overall</w:t>
      </w:r>
      <w:r>
        <w:rPr>
          <w:color w:val="231F20"/>
          <w:spacing w:val="-5"/>
          <w:sz w:val="20"/>
        </w:rPr>
        <w:t xml:space="preserve"> </w:t>
      </w:r>
      <w:r>
        <w:rPr>
          <w:color w:val="231F20"/>
          <w:sz w:val="20"/>
        </w:rPr>
        <w:t>case</w:t>
      </w:r>
      <w:r>
        <w:rPr>
          <w:color w:val="231F20"/>
          <w:spacing w:val="-5"/>
          <w:sz w:val="20"/>
        </w:rPr>
        <w:t xml:space="preserve"> </w:t>
      </w:r>
      <w:r>
        <w:rPr>
          <w:color w:val="231F20"/>
          <w:sz w:val="20"/>
        </w:rPr>
        <w:t>load</w:t>
      </w:r>
    </w:p>
    <w:p w14:paraId="66105DC1" w14:textId="77777777" w:rsidR="00894070" w:rsidRDefault="009B7AFD">
      <w:pPr>
        <w:pStyle w:val="BodyText"/>
        <w:spacing w:line="259" w:lineRule="exact"/>
        <w:ind w:left="1801"/>
        <w:rPr>
          <w:sz w:val="11"/>
        </w:rPr>
      </w:pPr>
      <w:r>
        <w:rPr>
          <w:color w:val="231F20"/>
        </w:rPr>
        <w:t>and resources’.</w:t>
      </w:r>
      <w:r>
        <w:rPr>
          <w:color w:val="231F20"/>
          <w:position w:val="7"/>
          <w:sz w:val="11"/>
        </w:rPr>
        <w:t>94</w:t>
      </w:r>
    </w:p>
    <w:p w14:paraId="1CE99A0B" w14:textId="77777777" w:rsidR="00894070" w:rsidRDefault="009B7AFD">
      <w:pPr>
        <w:pStyle w:val="ListParagraph"/>
        <w:numPr>
          <w:ilvl w:val="1"/>
          <w:numId w:val="126"/>
        </w:numPr>
        <w:tabs>
          <w:tab w:val="left" w:pos="1801"/>
          <w:tab w:val="left" w:pos="1802"/>
        </w:tabs>
        <w:spacing w:before="115" w:line="206" w:lineRule="auto"/>
        <w:ind w:right="1363"/>
        <w:rPr>
          <w:sz w:val="11"/>
        </w:rPr>
      </w:pPr>
      <w:r>
        <w:rPr>
          <w:color w:val="231F20"/>
          <w:sz w:val="20"/>
        </w:rPr>
        <w:t xml:space="preserve">The Department of Justice and Community Safety noted that victims can access </w:t>
      </w:r>
      <w:r>
        <w:rPr>
          <w:color w:val="231F20"/>
          <w:spacing w:val="-6"/>
          <w:sz w:val="20"/>
        </w:rPr>
        <w:t>VAP</w:t>
      </w:r>
      <w:r>
        <w:rPr>
          <w:color w:val="231F20"/>
          <w:spacing w:val="-8"/>
          <w:sz w:val="20"/>
        </w:rPr>
        <w:t xml:space="preserve"> </w:t>
      </w:r>
      <w:r>
        <w:rPr>
          <w:color w:val="231F20"/>
          <w:sz w:val="20"/>
        </w:rPr>
        <w:t>support</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as</w:t>
      </w:r>
      <w:r>
        <w:rPr>
          <w:color w:val="231F20"/>
          <w:spacing w:val="-8"/>
          <w:sz w:val="20"/>
        </w:rPr>
        <w:t xml:space="preserve"> </w:t>
      </w:r>
      <w:r>
        <w:rPr>
          <w:color w:val="231F20"/>
          <w:sz w:val="20"/>
        </w:rPr>
        <w:t>long</w:t>
      </w:r>
      <w:r>
        <w:rPr>
          <w:color w:val="231F20"/>
          <w:spacing w:val="-8"/>
          <w:sz w:val="20"/>
        </w:rPr>
        <w:t xml:space="preserve"> </w:t>
      </w:r>
      <w:r>
        <w:rPr>
          <w:color w:val="231F20"/>
          <w:sz w:val="20"/>
        </w:rPr>
        <w:t>as</w:t>
      </w:r>
      <w:r>
        <w:rPr>
          <w:color w:val="231F20"/>
          <w:spacing w:val="-8"/>
          <w:sz w:val="20"/>
        </w:rPr>
        <w:t xml:space="preserve"> </w:t>
      </w:r>
      <w:r>
        <w:rPr>
          <w:color w:val="231F20"/>
          <w:sz w:val="20"/>
        </w:rPr>
        <w:t>required.</w:t>
      </w:r>
      <w:r>
        <w:rPr>
          <w:color w:val="231F20"/>
          <w:position w:val="7"/>
          <w:sz w:val="11"/>
        </w:rPr>
        <w:t>95</w:t>
      </w:r>
      <w:r>
        <w:rPr>
          <w:color w:val="231F20"/>
          <w:spacing w:val="16"/>
          <w:position w:val="7"/>
          <w:sz w:val="11"/>
        </w:rPr>
        <w:t xml:space="preserve"> </w:t>
      </w:r>
      <w:r>
        <w:rPr>
          <w:color w:val="231F20"/>
          <w:spacing w:val="-5"/>
          <w:sz w:val="20"/>
        </w:rPr>
        <w:t>However,</w:t>
      </w:r>
      <w:r>
        <w:rPr>
          <w:color w:val="231F20"/>
          <w:spacing w:val="-7"/>
          <w:sz w:val="20"/>
        </w:rPr>
        <w:t xml:space="preserve"> </w:t>
      </w:r>
      <w:r>
        <w:rPr>
          <w:color w:val="231F20"/>
          <w:sz w:val="20"/>
        </w:rPr>
        <w:t>one</w:t>
      </w:r>
      <w:r>
        <w:rPr>
          <w:color w:val="231F20"/>
          <w:spacing w:val="-8"/>
          <w:sz w:val="20"/>
        </w:rPr>
        <w:t xml:space="preserve"> </w:t>
      </w:r>
      <w:r>
        <w:rPr>
          <w:color w:val="231F20"/>
          <w:sz w:val="20"/>
        </w:rPr>
        <w:t>victim</w:t>
      </w:r>
      <w:r>
        <w:rPr>
          <w:color w:val="231F20"/>
          <w:spacing w:val="-8"/>
          <w:sz w:val="20"/>
        </w:rPr>
        <w:t xml:space="preserve"> </w:t>
      </w:r>
      <w:r>
        <w:rPr>
          <w:color w:val="231F20"/>
          <w:spacing w:val="-3"/>
          <w:sz w:val="20"/>
        </w:rPr>
        <w:t>survivor,</w:t>
      </w:r>
      <w:r>
        <w:rPr>
          <w:color w:val="231F20"/>
          <w:spacing w:val="-8"/>
          <w:sz w:val="20"/>
        </w:rPr>
        <w:t xml:space="preserve"> </w:t>
      </w:r>
      <w:r>
        <w:rPr>
          <w:color w:val="231F20"/>
          <w:sz w:val="20"/>
        </w:rPr>
        <w:t>reflecting</w:t>
      </w:r>
      <w:r>
        <w:rPr>
          <w:color w:val="231F20"/>
          <w:spacing w:val="-8"/>
          <w:sz w:val="20"/>
        </w:rPr>
        <w:t xml:space="preserve"> </w:t>
      </w:r>
      <w:r>
        <w:rPr>
          <w:color w:val="231F20"/>
          <w:sz w:val="20"/>
        </w:rPr>
        <w:t>on</w:t>
      </w:r>
      <w:r>
        <w:rPr>
          <w:color w:val="231F20"/>
          <w:spacing w:val="-8"/>
          <w:sz w:val="20"/>
        </w:rPr>
        <w:t xml:space="preserve"> </w:t>
      </w:r>
      <w:r>
        <w:rPr>
          <w:color w:val="231F20"/>
          <w:sz w:val="20"/>
        </w:rPr>
        <w:t xml:space="preserve">their experience, said that </w:t>
      </w:r>
      <w:r>
        <w:rPr>
          <w:color w:val="231F20"/>
          <w:spacing w:val="-6"/>
          <w:sz w:val="20"/>
        </w:rPr>
        <w:t xml:space="preserve">VAP </w:t>
      </w:r>
      <w:r>
        <w:rPr>
          <w:color w:val="231F20"/>
          <w:sz w:val="20"/>
        </w:rPr>
        <w:t xml:space="preserve">is </w:t>
      </w:r>
      <w:r>
        <w:rPr>
          <w:color w:val="231F20"/>
          <w:spacing w:val="-3"/>
          <w:sz w:val="20"/>
        </w:rPr>
        <w:t xml:space="preserve">‘restricted by </w:t>
      </w:r>
      <w:r>
        <w:rPr>
          <w:color w:val="231F20"/>
          <w:sz w:val="20"/>
        </w:rPr>
        <w:t xml:space="preserve">funding constraints (staff and case load) to assist in </w:t>
      </w:r>
      <w:r>
        <w:rPr>
          <w:color w:val="231F20"/>
          <w:spacing w:val="-3"/>
          <w:sz w:val="20"/>
        </w:rPr>
        <w:t>lengthy</w:t>
      </w:r>
      <w:r>
        <w:rPr>
          <w:color w:val="231F20"/>
          <w:spacing w:val="-12"/>
          <w:sz w:val="20"/>
        </w:rPr>
        <w:t xml:space="preserve"> </w:t>
      </w:r>
      <w:r>
        <w:rPr>
          <w:color w:val="231F20"/>
          <w:spacing w:val="-3"/>
          <w:sz w:val="20"/>
        </w:rPr>
        <w:t>matters’.</w:t>
      </w:r>
      <w:r>
        <w:rPr>
          <w:color w:val="231F20"/>
          <w:spacing w:val="-3"/>
          <w:position w:val="7"/>
          <w:sz w:val="11"/>
        </w:rPr>
        <w:t>96</w:t>
      </w:r>
    </w:p>
    <w:p w14:paraId="48C7652C" w14:textId="77777777" w:rsidR="00894070" w:rsidRDefault="009B7AFD">
      <w:pPr>
        <w:pStyle w:val="ListParagraph"/>
        <w:numPr>
          <w:ilvl w:val="1"/>
          <w:numId w:val="126"/>
        </w:numPr>
        <w:tabs>
          <w:tab w:val="left" w:pos="1801"/>
          <w:tab w:val="left" w:pos="1802"/>
        </w:tabs>
        <w:spacing w:before="125" w:line="206" w:lineRule="auto"/>
        <w:ind w:right="1165"/>
        <w:rPr>
          <w:sz w:val="11"/>
        </w:rPr>
      </w:pPr>
      <w:r>
        <w:rPr>
          <w:color w:val="231F20"/>
          <w:sz w:val="20"/>
        </w:rPr>
        <w:t>Victim</w:t>
      </w:r>
      <w:r>
        <w:rPr>
          <w:color w:val="231F20"/>
          <w:spacing w:val="-10"/>
          <w:sz w:val="20"/>
        </w:rPr>
        <w:t xml:space="preserve"> </w:t>
      </w:r>
      <w:r>
        <w:rPr>
          <w:color w:val="231F20"/>
          <w:sz w:val="20"/>
        </w:rPr>
        <w:t>survivors</w:t>
      </w:r>
      <w:r>
        <w:rPr>
          <w:color w:val="231F20"/>
          <w:spacing w:val="-9"/>
          <w:sz w:val="20"/>
        </w:rPr>
        <w:t xml:space="preserve"> </w:t>
      </w:r>
      <w:r>
        <w:rPr>
          <w:color w:val="231F20"/>
          <w:spacing w:val="-3"/>
          <w:sz w:val="20"/>
        </w:rPr>
        <w:t>are</w:t>
      </w:r>
      <w:r>
        <w:rPr>
          <w:color w:val="231F20"/>
          <w:spacing w:val="-10"/>
          <w:sz w:val="20"/>
        </w:rPr>
        <w:t xml:space="preserve"> </w:t>
      </w:r>
      <w:r>
        <w:rPr>
          <w:color w:val="231F20"/>
          <w:spacing w:val="-3"/>
          <w:sz w:val="20"/>
        </w:rPr>
        <w:t>required</w:t>
      </w:r>
      <w:r>
        <w:rPr>
          <w:color w:val="231F20"/>
          <w:spacing w:val="-9"/>
          <w:sz w:val="20"/>
        </w:rPr>
        <w:t xml:space="preserve"> </w:t>
      </w:r>
      <w:r>
        <w:rPr>
          <w:color w:val="231F20"/>
          <w:sz w:val="20"/>
        </w:rPr>
        <w:t>to</w:t>
      </w:r>
      <w:r>
        <w:rPr>
          <w:color w:val="231F20"/>
          <w:spacing w:val="-10"/>
          <w:sz w:val="20"/>
        </w:rPr>
        <w:t xml:space="preserve"> </w:t>
      </w:r>
      <w:r>
        <w:rPr>
          <w:color w:val="231F20"/>
          <w:spacing w:val="-4"/>
          <w:sz w:val="20"/>
        </w:rPr>
        <w:t>have</w:t>
      </w:r>
      <w:r>
        <w:rPr>
          <w:color w:val="231F20"/>
          <w:spacing w:val="-9"/>
          <w:sz w:val="20"/>
        </w:rPr>
        <w:t xml:space="preserve"> </w:t>
      </w:r>
      <w:r>
        <w:rPr>
          <w:color w:val="231F20"/>
          <w:sz w:val="20"/>
        </w:rPr>
        <w:t>reported</w:t>
      </w:r>
      <w:r>
        <w:rPr>
          <w:color w:val="231F20"/>
          <w:spacing w:val="-10"/>
          <w:sz w:val="20"/>
        </w:rPr>
        <w:t xml:space="preserve"> </w:t>
      </w:r>
      <w:r>
        <w:rPr>
          <w:color w:val="231F20"/>
          <w:sz w:val="20"/>
        </w:rPr>
        <w:t>to</w:t>
      </w:r>
      <w:r>
        <w:rPr>
          <w:color w:val="231F20"/>
          <w:spacing w:val="-9"/>
          <w:sz w:val="20"/>
        </w:rPr>
        <w:t xml:space="preserve"> </w:t>
      </w:r>
      <w:r>
        <w:rPr>
          <w:color w:val="231F20"/>
          <w:sz w:val="20"/>
        </w:rPr>
        <w:t>police</w:t>
      </w:r>
      <w:r>
        <w:rPr>
          <w:color w:val="231F20"/>
          <w:spacing w:val="-10"/>
          <w:sz w:val="20"/>
        </w:rPr>
        <w:t xml:space="preserve"> </w:t>
      </w:r>
      <w:r>
        <w:rPr>
          <w:color w:val="231F20"/>
          <w:sz w:val="20"/>
        </w:rPr>
        <w:t>within</w:t>
      </w:r>
      <w:r>
        <w:rPr>
          <w:color w:val="231F20"/>
          <w:spacing w:val="-9"/>
          <w:sz w:val="20"/>
        </w:rPr>
        <w:t xml:space="preserve"> </w:t>
      </w:r>
      <w:r>
        <w:rPr>
          <w:color w:val="231F20"/>
          <w:sz w:val="20"/>
        </w:rPr>
        <w:t>a</w:t>
      </w:r>
      <w:r>
        <w:rPr>
          <w:color w:val="231F20"/>
          <w:spacing w:val="-10"/>
          <w:sz w:val="20"/>
        </w:rPr>
        <w:t xml:space="preserve"> </w:t>
      </w:r>
      <w:r>
        <w:rPr>
          <w:color w:val="231F20"/>
          <w:sz w:val="20"/>
        </w:rPr>
        <w:t>reasonable</w:t>
      </w:r>
      <w:r>
        <w:rPr>
          <w:color w:val="231F20"/>
          <w:spacing w:val="-9"/>
          <w:sz w:val="20"/>
        </w:rPr>
        <w:t xml:space="preserve"> </w:t>
      </w:r>
      <w:r>
        <w:rPr>
          <w:color w:val="231F20"/>
          <w:sz w:val="20"/>
        </w:rPr>
        <w:t>time</w:t>
      </w:r>
      <w:r>
        <w:rPr>
          <w:color w:val="231F20"/>
          <w:spacing w:val="-9"/>
          <w:sz w:val="20"/>
        </w:rPr>
        <w:t xml:space="preserve"> </w:t>
      </w:r>
      <w:r>
        <w:rPr>
          <w:color w:val="231F20"/>
          <w:sz w:val="20"/>
        </w:rPr>
        <w:t>or</w:t>
      </w:r>
      <w:r>
        <w:rPr>
          <w:color w:val="231F20"/>
          <w:spacing w:val="-10"/>
          <w:sz w:val="20"/>
        </w:rPr>
        <w:t xml:space="preserve"> </w:t>
      </w:r>
      <w:r>
        <w:rPr>
          <w:color w:val="231F20"/>
          <w:sz w:val="20"/>
        </w:rPr>
        <w:t xml:space="preserve">else explain in a statutory declaration </w:t>
      </w:r>
      <w:r>
        <w:rPr>
          <w:color w:val="231F20"/>
          <w:spacing w:val="-3"/>
          <w:sz w:val="20"/>
        </w:rPr>
        <w:t xml:space="preserve">why </w:t>
      </w:r>
      <w:r>
        <w:rPr>
          <w:color w:val="231F20"/>
          <w:sz w:val="20"/>
        </w:rPr>
        <w:t>they did not.</w:t>
      </w:r>
      <w:r>
        <w:rPr>
          <w:color w:val="231F20"/>
          <w:position w:val="7"/>
          <w:sz w:val="11"/>
        </w:rPr>
        <w:t xml:space="preserve">97 </w:t>
      </w:r>
      <w:r>
        <w:rPr>
          <w:color w:val="231F20"/>
          <w:sz w:val="20"/>
        </w:rPr>
        <w:t xml:space="preserve">In our Victims of Crime Assistance </w:t>
      </w:r>
      <w:r>
        <w:rPr>
          <w:color w:val="231F20"/>
          <w:spacing w:val="-2"/>
          <w:sz w:val="20"/>
        </w:rPr>
        <w:t xml:space="preserve">Act </w:t>
      </w:r>
      <w:r>
        <w:rPr>
          <w:color w:val="231F20"/>
          <w:sz w:val="20"/>
        </w:rPr>
        <w:t xml:space="preserve">report </w:t>
      </w:r>
      <w:r>
        <w:rPr>
          <w:color w:val="231F20"/>
          <w:spacing w:val="-3"/>
          <w:sz w:val="20"/>
        </w:rPr>
        <w:t xml:space="preserve">we </w:t>
      </w:r>
      <w:r>
        <w:rPr>
          <w:color w:val="231F20"/>
          <w:sz w:val="20"/>
        </w:rPr>
        <w:t xml:space="preserve">recommended </w:t>
      </w:r>
      <w:r>
        <w:rPr>
          <w:color w:val="231F20"/>
          <w:spacing w:val="-3"/>
          <w:sz w:val="20"/>
        </w:rPr>
        <w:t xml:space="preserve">removing </w:t>
      </w:r>
      <w:r>
        <w:rPr>
          <w:color w:val="231F20"/>
          <w:sz w:val="20"/>
        </w:rPr>
        <w:t>the reporting requirement.</w:t>
      </w:r>
      <w:r>
        <w:rPr>
          <w:color w:val="231F20"/>
          <w:position w:val="7"/>
          <w:sz w:val="11"/>
        </w:rPr>
        <w:t xml:space="preserve">98 </w:t>
      </w:r>
      <w:r>
        <w:rPr>
          <w:color w:val="231F20"/>
          <w:sz w:val="20"/>
        </w:rPr>
        <w:t xml:space="preserve">While the new Bill retains the reporting </w:t>
      </w:r>
      <w:r>
        <w:rPr>
          <w:color w:val="231F20"/>
          <w:spacing w:val="-2"/>
          <w:sz w:val="20"/>
        </w:rPr>
        <w:t xml:space="preserve">requirement, </w:t>
      </w:r>
      <w:r>
        <w:rPr>
          <w:color w:val="231F20"/>
          <w:sz w:val="20"/>
        </w:rPr>
        <w:t xml:space="preserve">it </w:t>
      </w:r>
      <w:r>
        <w:rPr>
          <w:color w:val="231F20"/>
          <w:spacing w:val="-3"/>
          <w:sz w:val="20"/>
        </w:rPr>
        <w:t xml:space="preserve">says </w:t>
      </w:r>
      <w:r>
        <w:rPr>
          <w:color w:val="231F20"/>
          <w:sz w:val="20"/>
        </w:rPr>
        <w:t xml:space="preserve">a report is not necessary if there </w:t>
      </w:r>
      <w:r>
        <w:rPr>
          <w:color w:val="231F20"/>
          <w:spacing w:val="-4"/>
          <w:sz w:val="20"/>
        </w:rPr>
        <w:t xml:space="preserve">were </w:t>
      </w:r>
      <w:r>
        <w:rPr>
          <w:color w:val="231F20"/>
          <w:sz w:val="20"/>
        </w:rPr>
        <w:t>special circumstances</w:t>
      </w:r>
      <w:r>
        <w:rPr>
          <w:color w:val="231F20"/>
          <w:spacing w:val="-7"/>
          <w:sz w:val="20"/>
        </w:rPr>
        <w:t xml:space="preserve"> </w:t>
      </w:r>
      <w:r>
        <w:rPr>
          <w:color w:val="231F20"/>
          <w:spacing w:val="-3"/>
          <w:sz w:val="20"/>
        </w:rPr>
        <w:t>for</w:t>
      </w:r>
      <w:r>
        <w:rPr>
          <w:color w:val="231F20"/>
          <w:spacing w:val="-6"/>
          <w:sz w:val="20"/>
        </w:rPr>
        <w:t xml:space="preserve"> </w:t>
      </w:r>
      <w:r>
        <w:rPr>
          <w:color w:val="231F20"/>
          <w:sz w:val="20"/>
        </w:rPr>
        <w:t>not</w:t>
      </w:r>
      <w:r>
        <w:rPr>
          <w:color w:val="231F20"/>
          <w:spacing w:val="-6"/>
          <w:sz w:val="20"/>
        </w:rPr>
        <w:t xml:space="preserve"> </w:t>
      </w:r>
      <w:r>
        <w:rPr>
          <w:color w:val="231F20"/>
          <w:sz w:val="20"/>
        </w:rPr>
        <w:t>reporting,</w:t>
      </w:r>
      <w:r>
        <w:rPr>
          <w:color w:val="231F20"/>
          <w:spacing w:val="-6"/>
          <w:sz w:val="20"/>
        </w:rPr>
        <w:t xml:space="preserve"> </w:t>
      </w:r>
      <w:r>
        <w:rPr>
          <w:color w:val="231F20"/>
          <w:sz w:val="20"/>
        </w:rPr>
        <w:t>or</w:t>
      </w:r>
      <w:r>
        <w:rPr>
          <w:color w:val="231F20"/>
          <w:spacing w:val="-6"/>
          <w:sz w:val="20"/>
        </w:rPr>
        <w:t xml:space="preserve"> </w:t>
      </w:r>
      <w:r>
        <w:rPr>
          <w:color w:val="231F20"/>
          <w:sz w:val="20"/>
        </w:rPr>
        <w:t>if</w:t>
      </w:r>
      <w:r>
        <w:rPr>
          <w:color w:val="231F20"/>
          <w:spacing w:val="-6"/>
          <w:sz w:val="20"/>
        </w:rPr>
        <w:t xml:space="preserve"> </w:t>
      </w:r>
      <w:r>
        <w:rPr>
          <w:color w:val="231F20"/>
          <w:sz w:val="20"/>
        </w:rPr>
        <w:t>the</w:t>
      </w:r>
      <w:r>
        <w:rPr>
          <w:color w:val="231F20"/>
          <w:spacing w:val="-7"/>
          <w:sz w:val="20"/>
        </w:rPr>
        <w:t xml:space="preserve"> </w:t>
      </w:r>
      <w:r>
        <w:rPr>
          <w:color w:val="231F20"/>
          <w:sz w:val="20"/>
        </w:rPr>
        <w:t>victim</w:t>
      </w:r>
      <w:r>
        <w:rPr>
          <w:color w:val="231F20"/>
          <w:spacing w:val="-6"/>
          <w:sz w:val="20"/>
        </w:rPr>
        <w:t xml:space="preserve"> </w:t>
      </w:r>
      <w:r>
        <w:rPr>
          <w:color w:val="231F20"/>
          <w:sz w:val="20"/>
        </w:rPr>
        <w:t>is</w:t>
      </w:r>
      <w:r>
        <w:rPr>
          <w:color w:val="231F20"/>
          <w:spacing w:val="-6"/>
          <w:sz w:val="20"/>
        </w:rPr>
        <w:t xml:space="preserve"> </w:t>
      </w:r>
      <w:r>
        <w:rPr>
          <w:color w:val="231F20"/>
          <w:sz w:val="20"/>
        </w:rPr>
        <w:t>in</w:t>
      </w:r>
      <w:r>
        <w:rPr>
          <w:color w:val="231F20"/>
          <w:spacing w:val="-6"/>
          <w:sz w:val="20"/>
        </w:rPr>
        <w:t xml:space="preserve"> </w:t>
      </w:r>
      <w:r>
        <w:rPr>
          <w:color w:val="231F20"/>
          <w:sz w:val="20"/>
        </w:rPr>
        <w:t>a</w:t>
      </w:r>
      <w:r>
        <w:rPr>
          <w:color w:val="231F20"/>
          <w:spacing w:val="-6"/>
          <w:sz w:val="20"/>
        </w:rPr>
        <w:t xml:space="preserve"> </w:t>
      </w:r>
      <w:r>
        <w:rPr>
          <w:color w:val="231F20"/>
          <w:sz w:val="20"/>
        </w:rPr>
        <w:t>prescribed</w:t>
      </w:r>
      <w:r>
        <w:rPr>
          <w:color w:val="231F20"/>
          <w:spacing w:val="-6"/>
          <w:sz w:val="20"/>
        </w:rPr>
        <w:t xml:space="preserve"> </w:t>
      </w:r>
      <w:r>
        <w:rPr>
          <w:color w:val="231F20"/>
          <w:sz w:val="20"/>
        </w:rPr>
        <w:t>category.</w:t>
      </w:r>
      <w:r>
        <w:rPr>
          <w:color w:val="231F20"/>
          <w:position w:val="7"/>
          <w:sz w:val="11"/>
        </w:rPr>
        <w:t>99</w:t>
      </w:r>
    </w:p>
    <w:p w14:paraId="24812646" w14:textId="77777777" w:rsidR="00894070" w:rsidRDefault="009B7AFD">
      <w:pPr>
        <w:pStyle w:val="ListParagraph"/>
        <w:numPr>
          <w:ilvl w:val="1"/>
          <w:numId w:val="126"/>
        </w:numPr>
        <w:tabs>
          <w:tab w:val="left" w:pos="1801"/>
          <w:tab w:val="left" w:pos="1802"/>
        </w:tabs>
        <w:spacing w:before="126" w:line="206" w:lineRule="auto"/>
        <w:ind w:right="1288"/>
        <w:rPr>
          <w:sz w:val="20"/>
        </w:rPr>
      </w:pPr>
      <w:r>
        <w:rPr>
          <w:color w:val="231F20"/>
          <w:sz w:val="20"/>
        </w:rPr>
        <w:t>It</w:t>
      </w:r>
      <w:r>
        <w:rPr>
          <w:color w:val="231F20"/>
          <w:spacing w:val="-9"/>
          <w:sz w:val="20"/>
        </w:rPr>
        <w:t xml:space="preserve"> </w:t>
      </w:r>
      <w:r>
        <w:rPr>
          <w:color w:val="231F20"/>
          <w:sz w:val="20"/>
        </w:rPr>
        <w:t>is</w:t>
      </w:r>
      <w:r>
        <w:rPr>
          <w:color w:val="231F20"/>
          <w:spacing w:val="-9"/>
          <w:sz w:val="20"/>
        </w:rPr>
        <w:t xml:space="preserve"> </w:t>
      </w:r>
      <w:r>
        <w:rPr>
          <w:color w:val="231F20"/>
          <w:sz w:val="20"/>
        </w:rPr>
        <w:t>important</w:t>
      </w:r>
      <w:r>
        <w:rPr>
          <w:color w:val="231F20"/>
          <w:spacing w:val="-9"/>
          <w:sz w:val="20"/>
        </w:rPr>
        <w:t xml:space="preserve"> </w:t>
      </w:r>
      <w:r>
        <w:rPr>
          <w:color w:val="231F20"/>
          <w:sz w:val="20"/>
        </w:rPr>
        <w:t>to</w:t>
      </w:r>
      <w:r>
        <w:rPr>
          <w:color w:val="231F20"/>
          <w:spacing w:val="-9"/>
          <w:sz w:val="20"/>
        </w:rPr>
        <w:t xml:space="preserve"> </w:t>
      </w:r>
      <w:r>
        <w:rPr>
          <w:color w:val="231F20"/>
          <w:spacing w:val="-4"/>
          <w:sz w:val="20"/>
        </w:rPr>
        <w:t>remove</w:t>
      </w:r>
      <w:r>
        <w:rPr>
          <w:color w:val="231F20"/>
          <w:spacing w:val="-9"/>
          <w:sz w:val="20"/>
        </w:rPr>
        <w:t xml:space="preserve"> </w:t>
      </w:r>
      <w:r>
        <w:rPr>
          <w:color w:val="231F20"/>
          <w:sz w:val="20"/>
        </w:rPr>
        <w:t>the</w:t>
      </w:r>
      <w:r>
        <w:rPr>
          <w:color w:val="231F20"/>
          <w:spacing w:val="-8"/>
          <w:sz w:val="20"/>
        </w:rPr>
        <w:t xml:space="preserve"> </w:t>
      </w:r>
      <w:r>
        <w:rPr>
          <w:color w:val="231F20"/>
          <w:sz w:val="20"/>
        </w:rPr>
        <w:t>barriers</w:t>
      </w:r>
      <w:r>
        <w:rPr>
          <w:color w:val="231F20"/>
          <w:spacing w:val="-9"/>
          <w:sz w:val="20"/>
        </w:rPr>
        <w:t xml:space="preserve"> </w:t>
      </w:r>
      <w:r>
        <w:rPr>
          <w:color w:val="231F20"/>
          <w:sz w:val="20"/>
        </w:rPr>
        <w:t>that</w:t>
      </w:r>
      <w:r>
        <w:rPr>
          <w:color w:val="231F20"/>
          <w:spacing w:val="-9"/>
          <w:sz w:val="20"/>
        </w:rPr>
        <w:t xml:space="preserve"> </w:t>
      </w:r>
      <w:r>
        <w:rPr>
          <w:color w:val="231F20"/>
          <w:sz w:val="20"/>
        </w:rPr>
        <w:t>stop</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8"/>
          <w:sz w:val="20"/>
        </w:rPr>
        <w:t xml:space="preserve"> </w:t>
      </w:r>
      <w:r>
        <w:rPr>
          <w:color w:val="231F20"/>
          <w:sz w:val="20"/>
        </w:rPr>
        <w:t>of</w:t>
      </w:r>
      <w:r>
        <w:rPr>
          <w:color w:val="231F20"/>
          <w:spacing w:val="-9"/>
          <w:sz w:val="20"/>
        </w:rPr>
        <w:t xml:space="preserve"> </w:t>
      </w:r>
      <w:r>
        <w:rPr>
          <w:color w:val="231F20"/>
          <w:sz w:val="20"/>
        </w:rPr>
        <w:t>stalking</w:t>
      </w:r>
      <w:r>
        <w:rPr>
          <w:color w:val="231F20"/>
          <w:spacing w:val="-9"/>
          <w:sz w:val="20"/>
        </w:rPr>
        <w:t xml:space="preserve"> </w:t>
      </w:r>
      <w:r>
        <w:rPr>
          <w:color w:val="231F20"/>
          <w:spacing w:val="-3"/>
          <w:sz w:val="20"/>
        </w:rPr>
        <w:t>from</w:t>
      </w:r>
      <w:r>
        <w:rPr>
          <w:color w:val="231F20"/>
          <w:spacing w:val="-9"/>
          <w:sz w:val="20"/>
        </w:rPr>
        <w:t xml:space="preserve"> </w:t>
      </w:r>
      <w:r>
        <w:rPr>
          <w:color w:val="231F20"/>
          <w:sz w:val="20"/>
        </w:rPr>
        <w:t>getting support.</w:t>
      </w:r>
      <w:r>
        <w:rPr>
          <w:color w:val="231F20"/>
          <w:spacing w:val="-9"/>
          <w:sz w:val="20"/>
        </w:rPr>
        <w:t xml:space="preserve"> </w:t>
      </w:r>
      <w:r>
        <w:rPr>
          <w:color w:val="231F20"/>
          <w:spacing w:val="-3"/>
          <w:sz w:val="20"/>
        </w:rPr>
        <w:t>Anyone</w:t>
      </w:r>
      <w:r>
        <w:rPr>
          <w:color w:val="231F20"/>
          <w:spacing w:val="-9"/>
          <w:sz w:val="20"/>
        </w:rPr>
        <w:t xml:space="preserve"> </w:t>
      </w:r>
      <w:r>
        <w:rPr>
          <w:color w:val="231F20"/>
          <w:sz w:val="20"/>
        </w:rPr>
        <w:t>who</w:t>
      </w:r>
      <w:r>
        <w:rPr>
          <w:color w:val="231F20"/>
          <w:spacing w:val="-9"/>
          <w:sz w:val="20"/>
        </w:rPr>
        <w:t xml:space="preserve"> </w:t>
      </w:r>
      <w:r>
        <w:rPr>
          <w:color w:val="231F20"/>
          <w:sz w:val="20"/>
        </w:rPr>
        <w:t>has</w:t>
      </w:r>
      <w:r>
        <w:rPr>
          <w:color w:val="231F20"/>
          <w:spacing w:val="-9"/>
          <w:sz w:val="20"/>
        </w:rPr>
        <w:t xml:space="preserve"> </w:t>
      </w:r>
      <w:r>
        <w:rPr>
          <w:color w:val="231F20"/>
          <w:sz w:val="20"/>
        </w:rPr>
        <w:t>experienced</w:t>
      </w:r>
      <w:r>
        <w:rPr>
          <w:color w:val="231F20"/>
          <w:spacing w:val="-9"/>
          <w:sz w:val="20"/>
        </w:rPr>
        <w:t xml:space="preserve"> </w:t>
      </w:r>
      <w:r>
        <w:rPr>
          <w:color w:val="231F20"/>
          <w:sz w:val="20"/>
        </w:rPr>
        <w:t>stalking</w:t>
      </w:r>
      <w:r>
        <w:rPr>
          <w:color w:val="231F20"/>
          <w:spacing w:val="-8"/>
          <w:sz w:val="20"/>
        </w:rPr>
        <w:t xml:space="preserve"> </w:t>
      </w:r>
      <w:r>
        <w:rPr>
          <w:color w:val="231F20"/>
          <w:sz w:val="20"/>
        </w:rPr>
        <w:t>should</w:t>
      </w:r>
      <w:r>
        <w:rPr>
          <w:color w:val="231F20"/>
          <w:spacing w:val="-9"/>
          <w:sz w:val="20"/>
        </w:rPr>
        <w:t xml:space="preserve"> </w:t>
      </w:r>
      <w:r>
        <w:rPr>
          <w:color w:val="231F20"/>
          <w:sz w:val="20"/>
        </w:rPr>
        <w:t>be</w:t>
      </w:r>
      <w:r>
        <w:rPr>
          <w:color w:val="231F20"/>
          <w:spacing w:val="-9"/>
          <w:sz w:val="20"/>
        </w:rPr>
        <w:t xml:space="preserve"> </w:t>
      </w:r>
      <w:r>
        <w:rPr>
          <w:color w:val="231F20"/>
          <w:sz w:val="20"/>
        </w:rPr>
        <w:t>able</w:t>
      </w:r>
      <w:r>
        <w:rPr>
          <w:color w:val="231F20"/>
          <w:spacing w:val="-9"/>
          <w:sz w:val="20"/>
        </w:rPr>
        <w:t xml:space="preserve"> </w:t>
      </w:r>
      <w:r>
        <w:rPr>
          <w:color w:val="231F20"/>
          <w:sz w:val="20"/>
        </w:rPr>
        <w:t>to</w:t>
      </w:r>
      <w:r>
        <w:rPr>
          <w:color w:val="231F20"/>
          <w:spacing w:val="-9"/>
          <w:sz w:val="20"/>
        </w:rPr>
        <w:t xml:space="preserve"> </w:t>
      </w:r>
      <w:r>
        <w:rPr>
          <w:color w:val="231F20"/>
          <w:sz w:val="20"/>
        </w:rPr>
        <w:t>get</w:t>
      </w:r>
      <w:r>
        <w:rPr>
          <w:color w:val="231F20"/>
          <w:spacing w:val="-8"/>
          <w:sz w:val="20"/>
        </w:rPr>
        <w:t xml:space="preserve"> </w:t>
      </w:r>
      <w:r>
        <w:rPr>
          <w:color w:val="231F20"/>
          <w:sz w:val="20"/>
        </w:rPr>
        <w:t>victim</w:t>
      </w:r>
      <w:r>
        <w:rPr>
          <w:color w:val="231F20"/>
          <w:spacing w:val="-9"/>
          <w:sz w:val="20"/>
        </w:rPr>
        <w:t xml:space="preserve"> </w:t>
      </w:r>
      <w:r>
        <w:rPr>
          <w:color w:val="231F20"/>
          <w:sz w:val="20"/>
        </w:rPr>
        <w:t>support.</w:t>
      </w:r>
      <w:r>
        <w:rPr>
          <w:color w:val="231F20"/>
          <w:spacing w:val="-9"/>
          <w:sz w:val="20"/>
        </w:rPr>
        <w:t xml:space="preserve"> </w:t>
      </w:r>
      <w:r>
        <w:rPr>
          <w:color w:val="231F20"/>
          <w:sz w:val="20"/>
        </w:rPr>
        <w:t xml:space="preserve">It should be ongoing because, </w:t>
      </w:r>
      <w:r>
        <w:rPr>
          <w:color w:val="231F20"/>
          <w:spacing w:val="-2"/>
          <w:sz w:val="20"/>
        </w:rPr>
        <w:t xml:space="preserve">unlike </w:t>
      </w:r>
      <w:r>
        <w:rPr>
          <w:color w:val="231F20"/>
          <w:sz w:val="20"/>
        </w:rPr>
        <w:t xml:space="preserve">many other crimes, the risks to safety </w:t>
      </w:r>
      <w:r>
        <w:rPr>
          <w:color w:val="231F20"/>
          <w:spacing w:val="-3"/>
          <w:sz w:val="20"/>
        </w:rPr>
        <w:t xml:space="preserve">may </w:t>
      </w:r>
      <w:r>
        <w:rPr>
          <w:color w:val="231F20"/>
          <w:sz w:val="20"/>
        </w:rPr>
        <w:t>still be present.</w:t>
      </w:r>
    </w:p>
    <w:p w14:paraId="09A60461" w14:textId="77777777" w:rsidR="00894070" w:rsidRDefault="00894070">
      <w:pPr>
        <w:pStyle w:val="BodyText"/>
        <w:spacing w:before="12"/>
        <w:rPr>
          <w:sz w:val="15"/>
        </w:rPr>
      </w:pPr>
    </w:p>
    <w:p w14:paraId="4102B283" w14:textId="77777777" w:rsidR="00894070" w:rsidRDefault="009B7AFD">
      <w:pPr>
        <w:pStyle w:val="Heading8"/>
        <w:ind w:left="1007"/>
      </w:pPr>
      <w:r>
        <w:rPr>
          <w:color w:val="231F20"/>
        </w:rPr>
        <w:t>Some groups are under-served and need more support</w:t>
      </w:r>
    </w:p>
    <w:p w14:paraId="1F872B0D" w14:textId="77777777" w:rsidR="00894070" w:rsidRDefault="009B7AFD">
      <w:pPr>
        <w:pStyle w:val="ListParagraph"/>
        <w:numPr>
          <w:ilvl w:val="1"/>
          <w:numId w:val="126"/>
        </w:numPr>
        <w:tabs>
          <w:tab w:val="left" w:pos="1802"/>
        </w:tabs>
        <w:spacing w:before="127" w:line="206" w:lineRule="auto"/>
        <w:ind w:right="1192"/>
        <w:jc w:val="both"/>
        <w:rPr>
          <w:sz w:val="11"/>
        </w:rPr>
      </w:pPr>
      <w:r>
        <w:rPr>
          <w:color w:val="231F20"/>
          <w:sz w:val="20"/>
        </w:rPr>
        <w:t>Some</w:t>
      </w:r>
      <w:r>
        <w:rPr>
          <w:color w:val="231F20"/>
          <w:spacing w:val="-8"/>
          <w:sz w:val="20"/>
        </w:rPr>
        <w:t xml:space="preserve"> </w:t>
      </w:r>
      <w:r>
        <w:rPr>
          <w:color w:val="231F20"/>
          <w:sz w:val="20"/>
        </w:rPr>
        <w:t>victim</w:t>
      </w:r>
      <w:r>
        <w:rPr>
          <w:color w:val="231F20"/>
          <w:spacing w:val="-8"/>
          <w:sz w:val="20"/>
        </w:rPr>
        <w:t xml:space="preserve"> </w:t>
      </w:r>
      <w:r>
        <w:rPr>
          <w:color w:val="231F20"/>
          <w:sz w:val="20"/>
        </w:rPr>
        <w:t>survivors</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need</w:t>
      </w:r>
      <w:r>
        <w:rPr>
          <w:color w:val="231F20"/>
          <w:spacing w:val="-8"/>
          <w:sz w:val="20"/>
        </w:rPr>
        <w:t xml:space="preserve"> </w:t>
      </w:r>
      <w:r>
        <w:rPr>
          <w:color w:val="231F20"/>
          <w:sz w:val="20"/>
        </w:rPr>
        <w:t>more</w:t>
      </w:r>
      <w:r>
        <w:rPr>
          <w:color w:val="231F20"/>
          <w:spacing w:val="-8"/>
          <w:sz w:val="20"/>
        </w:rPr>
        <w:t xml:space="preserve"> </w:t>
      </w:r>
      <w:r>
        <w:rPr>
          <w:color w:val="231F20"/>
          <w:sz w:val="20"/>
        </w:rPr>
        <w:t>support</w:t>
      </w:r>
      <w:r>
        <w:rPr>
          <w:color w:val="231F20"/>
          <w:spacing w:val="-8"/>
          <w:sz w:val="20"/>
        </w:rPr>
        <w:t xml:space="preserve"> </w:t>
      </w:r>
      <w:r>
        <w:rPr>
          <w:color w:val="231F20"/>
          <w:sz w:val="20"/>
        </w:rPr>
        <w:t>than</w:t>
      </w:r>
      <w:r>
        <w:rPr>
          <w:color w:val="231F20"/>
          <w:spacing w:val="-8"/>
          <w:sz w:val="20"/>
        </w:rPr>
        <w:t xml:space="preserve"> </w:t>
      </w:r>
      <w:r>
        <w:rPr>
          <w:color w:val="231F20"/>
          <w:sz w:val="20"/>
        </w:rPr>
        <w:t>others.</w:t>
      </w:r>
      <w:r>
        <w:rPr>
          <w:color w:val="231F20"/>
          <w:spacing w:val="-8"/>
          <w:sz w:val="20"/>
        </w:rPr>
        <w:t xml:space="preserve"> </w:t>
      </w:r>
      <w:r>
        <w:rPr>
          <w:color w:val="231F20"/>
          <w:spacing w:val="-3"/>
          <w:sz w:val="20"/>
        </w:rPr>
        <w:t>For</w:t>
      </w:r>
      <w:r>
        <w:rPr>
          <w:color w:val="231F20"/>
          <w:spacing w:val="-8"/>
          <w:sz w:val="20"/>
        </w:rPr>
        <w:t xml:space="preserve"> </w:t>
      </w:r>
      <w:r>
        <w:rPr>
          <w:color w:val="231F20"/>
          <w:spacing w:val="-3"/>
          <w:sz w:val="20"/>
        </w:rPr>
        <w:t>example,</w:t>
      </w:r>
      <w:r>
        <w:rPr>
          <w:color w:val="231F20"/>
          <w:spacing w:val="-8"/>
          <w:sz w:val="20"/>
        </w:rPr>
        <w:t xml:space="preserve"> </w:t>
      </w:r>
      <w:r>
        <w:rPr>
          <w:color w:val="231F20"/>
          <w:sz w:val="20"/>
        </w:rPr>
        <w:t>those</w:t>
      </w:r>
      <w:r>
        <w:rPr>
          <w:color w:val="231F20"/>
          <w:spacing w:val="-8"/>
          <w:sz w:val="20"/>
        </w:rPr>
        <w:t xml:space="preserve"> </w:t>
      </w:r>
      <w:r>
        <w:rPr>
          <w:color w:val="231F20"/>
          <w:sz w:val="20"/>
        </w:rPr>
        <w:t>living</w:t>
      </w:r>
      <w:r>
        <w:rPr>
          <w:color w:val="231F20"/>
          <w:spacing w:val="-8"/>
          <w:sz w:val="20"/>
        </w:rPr>
        <w:t xml:space="preserve"> </w:t>
      </w:r>
      <w:r>
        <w:rPr>
          <w:color w:val="231F20"/>
          <w:sz w:val="20"/>
        </w:rPr>
        <w:t>in regional</w:t>
      </w:r>
      <w:r>
        <w:rPr>
          <w:color w:val="231F20"/>
          <w:spacing w:val="-11"/>
          <w:sz w:val="20"/>
        </w:rPr>
        <w:t xml:space="preserve"> </w:t>
      </w:r>
      <w:r>
        <w:rPr>
          <w:color w:val="231F20"/>
          <w:sz w:val="20"/>
        </w:rPr>
        <w:t>and</w:t>
      </w:r>
      <w:r>
        <w:rPr>
          <w:color w:val="231F20"/>
          <w:spacing w:val="-10"/>
          <w:sz w:val="20"/>
        </w:rPr>
        <w:t xml:space="preserve"> </w:t>
      </w:r>
      <w:r>
        <w:rPr>
          <w:color w:val="231F20"/>
          <w:sz w:val="20"/>
        </w:rPr>
        <w:t>rural</w:t>
      </w:r>
      <w:r>
        <w:rPr>
          <w:color w:val="231F20"/>
          <w:spacing w:val="-10"/>
          <w:sz w:val="20"/>
        </w:rPr>
        <w:t xml:space="preserve"> </w:t>
      </w:r>
      <w:r>
        <w:rPr>
          <w:color w:val="231F20"/>
          <w:sz w:val="20"/>
        </w:rPr>
        <w:t>Victoria</w:t>
      </w:r>
      <w:r>
        <w:rPr>
          <w:color w:val="231F20"/>
          <w:spacing w:val="-10"/>
          <w:sz w:val="20"/>
        </w:rPr>
        <w:t xml:space="preserve"> </w:t>
      </w:r>
      <w:r>
        <w:rPr>
          <w:color w:val="231F20"/>
          <w:spacing w:val="-3"/>
          <w:sz w:val="20"/>
        </w:rPr>
        <w:t>may</w:t>
      </w:r>
      <w:r>
        <w:rPr>
          <w:color w:val="231F20"/>
          <w:spacing w:val="-10"/>
          <w:sz w:val="20"/>
        </w:rPr>
        <w:t xml:space="preserve"> </w:t>
      </w:r>
      <w:r>
        <w:rPr>
          <w:color w:val="231F20"/>
          <w:sz w:val="20"/>
        </w:rPr>
        <w:t>be</w:t>
      </w:r>
      <w:r>
        <w:rPr>
          <w:color w:val="231F20"/>
          <w:spacing w:val="-10"/>
          <w:sz w:val="20"/>
        </w:rPr>
        <w:t xml:space="preserve"> </w:t>
      </w:r>
      <w:r>
        <w:rPr>
          <w:color w:val="231F20"/>
          <w:sz w:val="20"/>
        </w:rPr>
        <w:t>more</w:t>
      </w:r>
      <w:r>
        <w:rPr>
          <w:color w:val="231F20"/>
          <w:spacing w:val="-10"/>
          <w:sz w:val="20"/>
        </w:rPr>
        <w:t xml:space="preserve"> </w:t>
      </w:r>
      <w:r>
        <w:rPr>
          <w:color w:val="231F20"/>
          <w:sz w:val="20"/>
        </w:rPr>
        <w:t>isolated</w:t>
      </w:r>
      <w:r>
        <w:rPr>
          <w:color w:val="231F20"/>
          <w:spacing w:val="-10"/>
          <w:sz w:val="20"/>
        </w:rPr>
        <w:t xml:space="preserve"> </w:t>
      </w:r>
      <w:r>
        <w:rPr>
          <w:color w:val="231F20"/>
          <w:sz w:val="20"/>
        </w:rPr>
        <w:t>and</w:t>
      </w:r>
      <w:r>
        <w:rPr>
          <w:color w:val="231F20"/>
          <w:spacing w:val="-10"/>
          <w:sz w:val="20"/>
        </w:rPr>
        <w:t xml:space="preserve"> </w:t>
      </w:r>
      <w:r>
        <w:rPr>
          <w:color w:val="231F20"/>
          <w:sz w:val="20"/>
        </w:rPr>
        <w:t>need</w:t>
      </w:r>
      <w:r>
        <w:rPr>
          <w:color w:val="231F20"/>
          <w:spacing w:val="-10"/>
          <w:sz w:val="20"/>
        </w:rPr>
        <w:t xml:space="preserve"> </w:t>
      </w:r>
      <w:r>
        <w:rPr>
          <w:color w:val="231F20"/>
          <w:sz w:val="20"/>
        </w:rPr>
        <w:t>additional</w:t>
      </w:r>
      <w:r>
        <w:rPr>
          <w:color w:val="231F20"/>
          <w:spacing w:val="-10"/>
          <w:sz w:val="20"/>
        </w:rPr>
        <w:t xml:space="preserve"> </w:t>
      </w:r>
      <w:r>
        <w:rPr>
          <w:color w:val="231F20"/>
          <w:sz w:val="20"/>
        </w:rPr>
        <w:t>support</w:t>
      </w:r>
      <w:r>
        <w:rPr>
          <w:color w:val="231F20"/>
          <w:spacing w:val="-10"/>
          <w:sz w:val="20"/>
        </w:rPr>
        <w:t xml:space="preserve"> </w:t>
      </w:r>
      <w:r>
        <w:rPr>
          <w:color w:val="231F20"/>
          <w:sz w:val="20"/>
        </w:rPr>
        <w:t>to</w:t>
      </w:r>
      <w:r>
        <w:rPr>
          <w:color w:val="231F20"/>
          <w:spacing w:val="-10"/>
          <w:sz w:val="20"/>
        </w:rPr>
        <w:t xml:space="preserve"> </w:t>
      </w:r>
      <w:r>
        <w:rPr>
          <w:color w:val="231F20"/>
          <w:sz w:val="20"/>
        </w:rPr>
        <w:t>access services.</w:t>
      </w:r>
      <w:r>
        <w:rPr>
          <w:color w:val="231F20"/>
          <w:position w:val="7"/>
          <w:sz w:val="11"/>
        </w:rPr>
        <w:t>100</w:t>
      </w:r>
    </w:p>
    <w:p w14:paraId="1F8B54F0" w14:textId="77777777" w:rsidR="00894070" w:rsidRDefault="009B7AFD">
      <w:pPr>
        <w:pStyle w:val="ListParagraph"/>
        <w:numPr>
          <w:ilvl w:val="1"/>
          <w:numId w:val="126"/>
        </w:numPr>
        <w:tabs>
          <w:tab w:val="left" w:pos="1801"/>
          <w:tab w:val="left" w:pos="1802"/>
        </w:tabs>
        <w:spacing w:before="124" w:line="206" w:lineRule="auto"/>
        <w:ind w:right="1267"/>
        <w:rPr>
          <w:sz w:val="11"/>
        </w:rPr>
      </w:pPr>
      <w:r>
        <w:rPr>
          <w:color w:val="231F20"/>
          <w:sz w:val="20"/>
        </w:rPr>
        <w:t xml:space="preserve">Unmet demand </w:t>
      </w:r>
      <w:r>
        <w:rPr>
          <w:color w:val="231F20"/>
          <w:spacing w:val="-3"/>
          <w:sz w:val="20"/>
        </w:rPr>
        <w:t xml:space="preserve">for </w:t>
      </w:r>
      <w:r>
        <w:rPr>
          <w:color w:val="231F20"/>
          <w:sz w:val="20"/>
        </w:rPr>
        <w:t xml:space="preserve">support is especially serious </w:t>
      </w:r>
      <w:r>
        <w:rPr>
          <w:color w:val="231F20"/>
          <w:spacing w:val="-3"/>
          <w:sz w:val="20"/>
        </w:rPr>
        <w:t xml:space="preserve">for </w:t>
      </w:r>
      <w:r>
        <w:rPr>
          <w:color w:val="231F20"/>
          <w:sz w:val="20"/>
        </w:rPr>
        <w:t xml:space="preserve">victims of crime in regional and rural Victoria where often there </w:t>
      </w:r>
      <w:r>
        <w:rPr>
          <w:color w:val="231F20"/>
          <w:spacing w:val="-3"/>
          <w:sz w:val="20"/>
        </w:rPr>
        <w:t xml:space="preserve">are </w:t>
      </w:r>
      <w:r>
        <w:rPr>
          <w:color w:val="231F20"/>
          <w:sz w:val="20"/>
        </w:rPr>
        <w:t>limited services.</w:t>
      </w:r>
      <w:r>
        <w:rPr>
          <w:color w:val="231F20"/>
          <w:position w:val="7"/>
          <w:sz w:val="11"/>
        </w:rPr>
        <w:t xml:space="preserve">101 </w:t>
      </w:r>
      <w:r>
        <w:rPr>
          <w:color w:val="231F20"/>
          <w:sz w:val="20"/>
        </w:rPr>
        <w:t>The lack of victim support services</w:t>
      </w:r>
      <w:r>
        <w:rPr>
          <w:color w:val="231F20"/>
          <w:spacing w:val="-9"/>
          <w:sz w:val="20"/>
        </w:rPr>
        <w:t xml:space="preserve"> </w:t>
      </w:r>
      <w:r>
        <w:rPr>
          <w:color w:val="231F20"/>
          <w:sz w:val="20"/>
        </w:rPr>
        <w:t>is</w:t>
      </w:r>
      <w:r>
        <w:rPr>
          <w:color w:val="231F20"/>
          <w:spacing w:val="-9"/>
          <w:sz w:val="20"/>
        </w:rPr>
        <w:t xml:space="preserve"> </w:t>
      </w:r>
      <w:r>
        <w:rPr>
          <w:color w:val="231F20"/>
          <w:sz w:val="20"/>
        </w:rPr>
        <w:t>compounded</w:t>
      </w:r>
      <w:r>
        <w:rPr>
          <w:color w:val="231F20"/>
          <w:spacing w:val="-8"/>
          <w:sz w:val="20"/>
        </w:rPr>
        <w:t xml:space="preserve"> </w:t>
      </w:r>
      <w:r>
        <w:rPr>
          <w:color w:val="231F20"/>
          <w:spacing w:val="-3"/>
          <w:sz w:val="20"/>
        </w:rPr>
        <w:t>by</w:t>
      </w:r>
      <w:r>
        <w:rPr>
          <w:color w:val="231F20"/>
          <w:spacing w:val="-9"/>
          <w:sz w:val="20"/>
        </w:rPr>
        <w:t xml:space="preserve"> </w:t>
      </w:r>
      <w:r>
        <w:rPr>
          <w:color w:val="231F20"/>
          <w:sz w:val="20"/>
        </w:rPr>
        <w:t>gaps</w:t>
      </w:r>
      <w:r>
        <w:rPr>
          <w:color w:val="231F20"/>
          <w:spacing w:val="-9"/>
          <w:sz w:val="20"/>
        </w:rPr>
        <w:t xml:space="preserve"> </w:t>
      </w:r>
      <w:r>
        <w:rPr>
          <w:color w:val="231F20"/>
          <w:sz w:val="20"/>
        </w:rPr>
        <w:t>in</w:t>
      </w:r>
      <w:r>
        <w:rPr>
          <w:color w:val="231F20"/>
          <w:spacing w:val="-8"/>
          <w:sz w:val="20"/>
        </w:rPr>
        <w:t xml:space="preserve"> </w:t>
      </w:r>
      <w:r>
        <w:rPr>
          <w:color w:val="231F20"/>
          <w:sz w:val="20"/>
        </w:rPr>
        <w:t>other</w:t>
      </w:r>
      <w:r>
        <w:rPr>
          <w:color w:val="231F20"/>
          <w:spacing w:val="-9"/>
          <w:sz w:val="20"/>
        </w:rPr>
        <w:t xml:space="preserve"> </w:t>
      </w:r>
      <w:r>
        <w:rPr>
          <w:color w:val="231F20"/>
          <w:sz w:val="20"/>
        </w:rPr>
        <w:t>services</w:t>
      </w:r>
      <w:r>
        <w:rPr>
          <w:color w:val="231F20"/>
          <w:spacing w:val="-8"/>
          <w:sz w:val="20"/>
        </w:rPr>
        <w:t xml:space="preserve"> </w:t>
      </w:r>
      <w:r>
        <w:rPr>
          <w:color w:val="231F20"/>
          <w:sz w:val="20"/>
        </w:rPr>
        <w:t>such</w:t>
      </w:r>
      <w:r>
        <w:rPr>
          <w:color w:val="231F20"/>
          <w:spacing w:val="-9"/>
          <w:sz w:val="20"/>
        </w:rPr>
        <w:t xml:space="preserve"> </w:t>
      </w:r>
      <w:r>
        <w:rPr>
          <w:color w:val="231F20"/>
          <w:sz w:val="20"/>
        </w:rPr>
        <w:t>as</w:t>
      </w:r>
      <w:r>
        <w:rPr>
          <w:color w:val="231F20"/>
          <w:spacing w:val="-9"/>
          <w:sz w:val="20"/>
        </w:rPr>
        <w:t xml:space="preserve"> </w:t>
      </w:r>
      <w:r>
        <w:rPr>
          <w:color w:val="231F20"/>
          <w:sz w:val="20"/>
        </w:rPr>
        <w:t>health</w:t>
      </w:r>
      <w:r>
        <w:rPr>
          <w:color w:val="231F20"/>
          <w:spacing w:val="-8"/>
          <w:sz w:val="20"/>
        </w:rPr>
        <w:t xml:space="preserve"> </w:t>
      </w:r>
      <w:r>
        <w:rPr>
          <w:color w:val="231F20"/>
          <w:sz w:val="20"/>
        </w:rPr>
        <w:t>and</w:t>
      </w:r>
      <w:r>
        <w:rPr>
          <w:color w:val="231F20"/>
          <w:spacing w:val="-9"/>
          <w:sz w:val="20"/>
        </w:rPr>
        <w:t xml:space="preserve"> </w:t>
      </w:r>
      <w:r>
        <w:rPr>
          <w:color w:val="231F20"/>
          <w:sz w:val="20"/>
        </w:rPr>
        <w:t>mental</w:t>
      </w:r>
      <w:r>
        <w:rPr>
          <w:color w:val="231F20"/>
          <w:spacing w:val="-8"/>
          <w:sz w:val="20"/>
        </w:rPr>
        <w:t xml:space="preserve"> </w:t>
      </w:r>
      <w:r>
        <w:rPr>
          <w:color w:val="231F20"/>
          <w:sz w:val="20"/>
        </w:rPr>
        <w:t>health.</w:t>
      </w:r>
      <w:r>
        <w:rPr>
          <w:color w:val="231F20"/>
          <w:position w:val="7"/>
          <w:sz w:val="11"/>
        </w:rPr>
        <w:t>102</w:t>
      </w:r>
    </w:p>
    <w:p w14:paraId="3F462C0B" w14:textId="77777777" w:rsidR="00894070" w:rsidRDefault="00894070">
      <w:pPr>
        <w:pStyle w:val="BodyText"/>
      </w:pPr>
    </w:p>
    <w:p w14:paraId="021465F6" w14:textId="77777777" w:rsidR="00894070" w:rsidRDefault="009F6793">
      <w:pPr>
        <w:pStyle w:val="BodyText"/>
        <w:spacing w:before="7"/>
        <w:rPr>
          <w:sz w:val="23"/>
        </w:rPr>
      </w:pPr>
      <w:r>
        <w:pict w14:anchorId="086B9D9B">
          <v:line id="_x0000_s1406" style="position:absolute;z-index:251609088;mso-wrap-distance-left:0;mso-wrap-distance-right:0;mso-position-horizontal-relative:page" from="79.35pt,18.8pt" to="515.9pt,18.8pt" strokecolor="#f8cabc" strokeweight="1pt">
            <w10:wrap type="topAndBottom" anchorx="page"/>
          </v:line>
        </w:pict>
      </w:r>
    </w:p>
    <w:p w14:paraId="6398382D" w14:textId="77777777" w:rsidR="00894070" w:rsidRDefault="009B7AFD">
      <w:pPr>
        <w:pStyle w:val="ListParagraph"/>
        <w:numPr>
          <w:ilvl w:val="0"/>
          <w:numId w:val="114"/>
        </w:numPr>
        <w:tabs>
          <w:tab w:val="left" w:pos="1801"/>
          <w:tab w:val="left" w:pos="1802"/>
        </w:tabs>
        <w:spacing w:before="107"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61AFFDD3" w14:textId="77777777" w:rsidR="00894070" w:rsidRDefault="009B7AFD">
      <w:pPr>
        <w:pStyle w:val="ListParagraph"/>
        <w:numPr>
          <w:ilvl w:val="0"/>
          <w:numId w:val="114"/>
        </w:numPr>
        <w:tabs>
          <w:tab w:val="left" w:pos="1800"/>
          <w:tab w:val="left" w:pos="1802"/>
        </w:tabs>
        <w:spacing w:line="153" w:lineRule="exact"/>
        <w:rPr>
          <w:sz w:val="13"/>
        </w:rPr>
      </w:pPr>
      <w:r>
        <w:rPr>
          <w:color w:val="231F20"/>
          <w:sz w:val="13"/>
        </w:rPr>
        <w:t>Ibid.</w:t>
      </w:r>
    </w:p>
    <w:p w14:paraId="37A97293" w14:textId="77777777" w:rsidR="00894070" w:rsidRDefault="009B7AFD">
      <w:pPr>
        <w:pStyle w:val="ListParagraph"/>
        <w:numPr>
          <w:ilvl w:val="0"/>
          <w:numId w:val="114"/>
        </w:numPr>
        <w:tabs>
          <w:tab w:val="left" w:pos="1801"/>
          <w:tab w:val="left" w:pos="1802"/>
        </w:tabs>
        <w:spacing w:before="6" w:line="213" w:lineRule="auto"/>
        <w:ind w:right="1266"/>
        <w:rPr>
          <w:sz w:val="13"/>
        </w:rPr>
      </w:pPr>
      <w:r>
        <w:rPr>
          <w:color w:val="231F20"/>
          <w:sz w:val="13"/>
        </w:rPr>
        <w:t xml:space="preserve">Legal and </w:t>
      </w:r>
      <w:r>
        <w:rPr>
          <w:color w:val="231F20"/>
          <w:spacing w:val="2"/>
          <w:sz w:val="13"/>
        </w:rPr>
        <w:t xml:space="preserve">Social </w:t>
      </w:r>
      <w:r>
        <w:rPr>
          <w:color w:val="231F20"/>
          <w:sz w:val="13"/>
        </w:rPr>
        <w:t xml:space="preserve">Issues Committee, </w:t>
      </w:r>
      <w:r>
        <w:rPr>
          <w:color w:val="231F20"/>
          <w:spacing w:val="2"/>
          <w:sz w:val="13"/>
        </w:rPr>
        <w:t xml:space="preserve">Parliament </w:t>
      </w:r>
      <w:r>
        <w:rPr>
          <w:color w:val="231F20"/>
          <w:sz w:val="13"/>
        </w:rPr>
        <w:t xml:space="preserve">of Victoria, </w:t>
      </w:r>
      <w:r>
        <w:rPr>
          <w:i/>
          <w:color w:val="231F20"/>
          <w:spacing w:val="2"/>
          <w:sz w:val="13"/>
        </w:rPr>
        <w:t xml:space="preserve">Inquiry </w:t>
      </w:r>
      <w:r>
        <w:rPr>
          <w:i/>
          <w:color w:val="231F20"/>
          <w:sz w:val="13"/>
        </w:rPr>
        <w:t xml:space="preserve">into Victoria’s Criminal Justice System </w:t>
      </w:r>
      <w:r>
        <w:rPr>
          <w:color w:val="231F20"/>
          <w:spacing w:val="2"/>
          <w:sz w:val="13"/>
        </w:rPr>
        <w:t xml:space="preserve">(Report </w:t>
      </w:r>
      <w:r>
        <w:rPr>
          <w:color w:val="231F20"/>
          <w:sz w:val="13"/>
        </w:rPr>
        <w:t xml:space="preserve">No 326, </w:t>
      </w:r>
      <w:r>
        <w:rPr>
          <w:color w:val="231F20"/>
          <w:spacing w:val="2"/>
          <w:sz w:val="13"/>
        </w:rPr>
        <w:t xml:space="preserve">Session </w:t>
      </w:r>
      <w:r>
        <w:rPr>
          <w:color w:val="231F20"/>
          <w:sz w:val="13"/>
        </w:rPr>
        <w:t xml:space="preserve">2018–2022, March 2022) vol 1, </w:t>
      </w:r>
      <w:r>
        <w:rPr>
          <w:color w:val="231F20"/>
          <w:spacing w:val="2"/>
          <w:sz w:val="13"/>
        </w:rPr>
        <w:t>309.</w:t>
      </w:r>
    </w:p>
    <w:p w14:paraId="7A9D52F5" w14:textId="77777777" w:rsidR="00894070" w:rsidRDefault="009B7AFD">
      <w:pPr>
        <w:pStyle w:val="ListParagraph"/>
        <w:numPr>
          <w:ilvl w:val="0"/>
          <w:numId w:val="114"/>
        </w:numPr>
        <w:tabs>
          <w:tab w:val="left" w:pos="1800"/>
          <w:tab w:val="left" w:pos="1802"/>
        </w:tabs>
        <w:spacing w:line="153" w:lineRule="exact"/>
        <w:rPr>
          <w:sz w:val="13"/>
        </w:rPr>
      </w:pPr>
      <w:r>
        <w:rPr>
          <w:color w:val="231F20"/>
          <w:sz w:val="13"/>
        </w:rPr>
        <w:t xml:space="preserve">Email from Victim </w:t>
      </w:r>
      <w:r>
        <w:rPr>
          <w:color w:val="231F20"/>
          <w:spacing w:val="2"/>
          <w:sz w:val="13"/>
        </w:rPr>
        <w:t xml:space="preserve">Services, Support </w:t>
      </w:r>
      <w:r>
        <w:rPr>
          <w:color w:val="231F20"/>
          <w:sz w:val="13"/>
        </w:rPr>
        <w:t xml:space="preserve">and Reform, </w:t>
      </w:r>
      <w:r>
        <w:rPr>
          <w:color w:val="231F20"/>
          <w:spacing w:val="2"/>
          <w:sz w:val="13"/>
        </w:rPr>
        <w:t xml:space="preserve">Department </w:t>
      </w:r>
      <w:r>
        <w:rPr>
          <w:color w:val="231F20"/>
          <w:sz w:val="13"/>
        </w:rPr>
        <w:t xml:space="preserve">of </w:t>
      </w:r>
      <w:proofErr w:type="gramStart"/>
      <w:r>
        <w:rPr>
          <w:color w:val="231F20"/>
          <w:sz w:val="13"/>
        </w:rPr>
        <w:t>Justice</w:t>
      </w:r>
      <w:proofErr w:type="gramEnd"/>
      <w:r>
        <w:rPr>
          <w:color w:val="231F20"/>
          <w:sz w:val="13"/>
        </w:rPr>
        <w:t xml:space="preserve"> and Community Safety (Vic) to Victorian Law</w:t>
      </w:r>
      <w:r>
        <w:rPr>
          <w:color w:val="231F20"/>
          <w:spacing w:val="28"/>
          <w:sz w:val="13"/>
        </w:rPr>
        <w:t xml:space="preserve"> </w:t>
      </w:r>
      <w:r>
        <w:rPr>
          <w:color w:val="231F20"/>
          <w:sz w:val="13"/>
        </w:rPr>
        <w:t>Reform</w:t>
      </w:r>
    </w:p>
    <w:p w14:paraId="00846DE1" w14:textId="77777777" w:rsidR="00894070" w:rsidRDefault="009B7AFD">
      <w:pPr>
        <w:spacing w:line="160" w:lineRule="exact"/>
        <w:ind w:left="1801"/>
        <w:rPr>
          <w:sz w:val="13"/>
        </w:rPr>
      </w:pPr>
      <w:r>
        <w:rPr>
          <w:color w:val="231F20"/>
          <w:sz w:val="13"/>
        </w:rPr>
        <w:t>Commission, 6 May 2022.</w:t>
      </w:r>
    </w:p>
    <w:p w14:paraId="7378015D" w14:textId="77777777" w:rsidR="00894070" w:rsidRDefault="009B7AFD">
      <w:pPr>
        <w:pStyle w:val="ListParagraph"/>
        <w:numPr>
          <w:ilvl w:val="0"/>
          <w:numId w:val="114"/>
        </w:numPr>
        <w:tabs>
          <w:tab w:val="left" w:pos="1801"/>
          <w:tab w:val="left" w:pos="1802"/>
        </w:tabs>
        <w:spacing w:line="160" w:lineRule="exact"/>
        <w:rPr>
          <w:sz w:val="13"/>
        </w:rPr>
      </w:pPr>
      <w:r>
        <w:rPr>
          <w:color w:val="231F20"/>
          <w:spacing w:val="2"/>
          <w:sz w:val="13"/>
        </w:rPr>
        <w:t xml:space="preserve">Submission </w:t>
      </w:r>
      <w:r>
        <w:rPr>
          <w:color w:val="231F20"/>
          <w:sz w:val="13"/>
        </w:rPr>
        <w:t>6 (Name</w:t>
      </w:r>
      <w:r>
        <w:rPr>
          <w:color w:val="231F20"/>
          <w:spacing w:val="-3"/>
          <w:sz w:val="13"/>
        </w:rPr>
        <w:t xml:space="preserve"> </w:t>
      </w:r>
      <w:r>
        <w:rPr>
          <w:color w:val="231F20"/>
          <w:sz w:val="13"/>
        </w:rPr>
        <w:t>withheld).</w:t>
      </w:r>
    </w:p>
    <w:p w14:paraId="5DD94891" w14:textId="77777777" w:rsidR="00894070" w:rsidRDefault="009B7AFD">
      <w:pPr>
        <w:pStyle w:val="ListParagraph"/>
        <w:numPr>
          <w:ilvl w:val="0"/>
          <w:numId w:val="114"/>
        </w:numPr>
        <w:tabs>
          <w:tab w:val="left" w:pos="1801"/>
          <w:tab w:val="left" w:pos="1802"/>
        </w:tabs>
        <w:spacing w:before="7" w:line="213" w:lineRule="auto"/>
        <w:ind w:right="1179"/>
        <w:rPr>
          <w:sz w:val="13"/>
        </w:rPr>
      </w:pPr>
      <w:r>
        <w:rPr>
          <w:color w:val="231F20"/>
          <w:sz w:val="13"/>
        </w:rPr>
        <w:t xml:space="preserve">Victims of Crime, </w:t>
      </w:r>
      <w:r>
        <w:rPr>
          <w:color w:val="231F20"/>
          <w:spacing w:val="2"/>
          <w:sz w:val="13"/>
        </w:rPr>
        <w:t xml:space="preserve">Department </w:t>
      </w:r>
      <w:r>
        <w:rPr>
          <w:color w:val="231F20"/>
          <w:sz w:val="13"/>
        </w:rPr>
        <w:t xml:space="preserve">of Justice and Community Safety (Vic), </w:t>
      </w:r>
      <w:r>
        <w:rPr>
          <w:i/>
          <w:color w:val="231F20"/>
          <w:sz w:val="13"/>
        </w:rPr>
        <w:t xml:space="preserve">Applying for Financial Assistance from Victims of Crime Assistance Tribunal </w:t>
      </w:r>
      <w:r>
        <w:rPr>
          <w:color w:val="231F20"/>
          <w:sz w:val="13"/>
        </w:rPr>
        <w:t>(Web Page, 2022</w:t>
      </w:r>
      <w:hyperlink r:id="rId141">
        <w:r>
          <w:rPr>
            <w:color w:val="231F20"/>
            <w:sz w:val="13"/>
          </w:rPr>
          <w:t>) &lt;https://www.victimsofcrime.vic.gov.au/going-to-court/applying-for-financial-assistance-</w:t>
        </w:r>
      </w:hyperlink>
      <w:hyperlink r:id="rId142">
        <w:r>
          <w:rPr>
            <w:color w:val="231F20"/>
            <w:sz w:val="13"/>
          </w:rPr>
          <w:t xml:space="preserve"> from-victims-of-crime-assistance-tribunal</w:t>
        </w:r>
      </w:hyperlink>
      <w:r>
        <w:rPr>
          <w:color w:val="231F20"/>
          <w:sz w:val="13"/>
        </w:rPr>
        <w:t>&gt;. This is consistent with the requirements under the new</w:t>
      </w:r>
      <w:r>
        <w:rPr>
          <w:color w:val="231F20"/>
          <w:spacing w:val="28"/>
          <w:sz w:val="13"/>
        </w:rPr>
        <w:t xml:space="preserve"> </w:t>
      </w:r>
      <w:r>
        <w:rPr>
          <w:color w:val="231F20"/>
          <w:spacing w:val="2"/>
          <w:sz w:val="13"/>
        </w:rPr>
        <w:t>Bill.</w:t>
      </w:r>
    </w:p>
    <w:p w14:paraId="73C1CAC0" w14:textId="77777777" w:rsidR="00894070" w:rsidRDefault="009B7AFD">
      <w:pPr>
        <w:pStyle w:val="ListParagraph"/>
        <w:numPr>
          <w:ilvl w:val="0"/>
          <w:numId w:val="114"/>
        </w:numPr>
        <w:tabs>
          <w:tab w:val="left" w:pos="1801"/>
          <w:tab w:val="left" w:pos="1802"/>
        </w:tabs>
        <w:spacing w:line="213" w:lineRule="auto"/>
        <w:ind w:right="2322"/>
        <w:rPr>
          <w:sz w:val="13"/>
        </w:rPr>
      </w:pPr>
      <w:r>
        <w:rPr>
          <w:color w:val="231F20"/>
          <w:sz w:val="13"/>
        </w:rPr>
        <w:t xml:space="preserve">Victorian Law Reform </w:t>
      </w:r>
      <w:r>
        <w:rPr>
          <w:color w:val="231F20"/>
          <w:spacing w:val="2"/>
          <w:sz w:val="13"/>
        </w:rPr>
        <w:t xml:space="preserve">Commission, </w:t>
      </w:r>
      <w:r>
        <w:rPr>
          <w:i/>
          <w:color w:val="231F20"/>
          <w:sz w:val="13"/>
        </w:rPr>
        <w:t xml:space="preserve">Review of the Victims of Crime Assistance Act </w:t>
      </w:r>
      <w:r>
        <w:rPr>
          <w:i/>
          <w:color w:val="231F20"/>
          <w:spacing w:val="2"/>
          <w:sz w:val="13"/>
        </w:rPr>
        <w:t xml:space="preserve">1996 </w:t>
      </w:r>
      <w:r>
        <w:rPr>
          <w:color w:val="231F20"/>
          <w:spacing w:val="2"/>
          <w:sz w:val="13"/>
        </w:rPr>
        <w:t xml:space="preserve">(Report </w:t>
      </w:r>
      <w:r>
        <w:rPr>
          <w:color w:val="231F20"/>
          <w:sz w:val="13"/>
        </w:rPr>
        <w:t xml:space="preserve">No </w:t>
      </w:r>
      <w:r>
        <w:rPr>
          <w:color w:val="231F20"/>
          <w:spacing w:val="2"/>
          <w:sz w:val="13"/>
        </w:rPr>
        <w:t xml:space="preserve">36, </w:t>
      </w:r>
      <w:r>
        <w:rPr>
          <w:color w:val="231F20"/>
          <w:sz w:val="13"/>
        </w:rPr>
        <w:t>July 2018) Recommendations 59(b) and 60.</w:t>
      </w:r>
    </w:p>
    <w:p w14:paraId="6C8C0D0D" w14:textId="77777777" w:rsidR="00894070" w:rsidRDefault="009B7AFD">
      <w:pPr>
        <w:pStyle w:val="ListParagraph"/>
        <w:numPr>
          <w:ilvl w:val="0"/>
          <w:numId w:val="114"/>
        </w:numPr>
        <w:tabs>
          <w:tab w:val="left" w:pos="1801"/>
          <w:tab w:val="left" w:pos="1802"/>
        </w:tabs>
        <w:spacing w:line="152" w:lineRule="exact"/>
        <w:rPr>
          <w:sz w:val="13"/>
        </w:rPr>
      </w:pPr>
      <w:r>
        <w:rPr>
          <w:color w:val="231F20"/>
          <w:sz w:val="13"/>
        </w:rPr>
        <w:t xml:space="preserve">Victims of Crime (Financial </w:t>
      </w:r>
      <w:r>
        <w:rPr>
          <w:color w:val="231F20"/>
          <w:spacing w:val="2"/>
          <w:sz w:val="13"/>
        </w:rPr>
        <w:t xml:space="preserve">Assistance </w:t>
      </w:r>
      <w:r>
        <w:rPr>
          <w:color w:val="231F20"/>
          <w:sz w:val="13"/>
        </w:rPr>
        <w:t>Scheme) Bill 2022 (Vic) cls 22(2),</w:t>
      </w:r>
      <w:r>
        <w:rPr>
          <w:color w:val="231F20"/>
          <w:spacing w:val="5"/>
          <w:sz w:val="13"/>
        </w:rPr>
        <w:t xml:space="preserve"> </w:t>
      </w:r>
      <w:r>
        <w:rPr>
          <w:color w:val="231F20"/>
          <w:sz w:val="13"/>
        </w:rPr>
        <w:t>31(2).</w:t>
      </w:r>
    </w:p>
    <w:p w14:paraId="53DD9BBD" w14:textId="77777777" w:rsidR="00894070" w:rsidRDefault="009B7AFD">
      <w:pPr>
        <w:pStyle w:val="ListParagraph"/>
        <w:numPr>
          <w:ilvl w:val="0"/>
          <w:numId w:val="114"/>
        </w:numPr>
        <w:tabs>
          <w:tab w:val="left" w:pos="1800"/>
          <w:tab w:val="left" w:pos="1802"/>
        </w:tabs>
        <w:spacing w:before="4" w:line="213" w:lineRule="auto"/>
        <w:ind w:right="1414"/>
        <w:rPr>
          <w:sz w:val="13"/>
        </w:rPr>
      </w:pPr>
      <w:r>
        <w:rPr>
          <w:color w:val="231F20"/>
          <w:sz w:val="13"/>
        </w:rPr>
        <w:t xml:space="preserve">TK Logan et </w:t>
      </w:r>
      <w:r>
        <w:rPr>
          <w:color w:val="231F20"/>
          <w:spacing w:val="2"/>
          <w:sz w:val="13"/>
        </w:rPr>
        <w:t xml:space="preserve">al, ‘Victim Service </w:t>
      </w:r>
      <w:r>
        <w:rPr>
          <w:color w:val="231F20"/>
          <w:sz w:val="13"/>
        </w:rPr>
        <w:t xml:space="preserve">and Justice System Representative Responses About </w:t>
      </w:r>
      <w:r>
        <w:rPr>
          <w:color w:val="231F20"/>
          <w:spacing w:val="2"/>
          <w:sz w:val="13"/>
        </w:rPr>
        <w:t xml:space="preserve">Partner </w:t>
      </w:r>
      <w:r>
        <w:rPr>
          <w:color w:val="231F20"/>
          <w:sz w:val="13"/>
        </w:rPr>
        <w:t xml:space="preserve">Stalking: What Do Professionals </w:t>
      </w:r>
      <w:r>
        <w:rPr>
          <w:color w:val="231F20"/>
          <w:spacing w:val="2"/>
          <w:sz w:val="13"/>
        </w:rPr>
        <w:t xml:space="preserve">Recommend?’ (2006) </w:t>
      </w:r>
      <w:r>
        <w:rPr>
          <w:color w:val="231F20"/>
          <w:sz w:val="13"/>
        </w:rPr>
        <w:t xml:space="preserve">21(1) </w:t>
      </w:r>
      <w:r>
        <w:rPr>
          <w:i/>
          <w:color w:val="231F20"/>
          <w:sz w:val="13"/>
        </w:rPr>
        <w:t xml:space="preserve">Violence and Victims </w:t>
      </w:r>
      <w:r>
        <w:rPr>
          <w:color w:val="231F20"/>
          <w:spacing w:val="2"/>
          <w:sz w:val="13"/>
        </w:rPr>
        <w:t>49,</w:t>
      </w:r>
      <w:r>
        <w:rPr>
          <w:color w:val="231F20"/>
          <w:spacing w:val="-3"/>
          <w:sz w:val="13"/>
        </w:rPr>
        <w:t xml:space="preserve"> </w:t>
      </w:r>
      <w:r>
        <w:rPr>
          <w:color w:val="231F20"/>
          <w:spacing w:val="2"/>
          <w:sz w:val="13"/>
        </w:rPr>
        <w:t>50–1.</w:t>
      </w:r>
    </w:p>
    <w:p w14:paraId="77AC90C7" w14:textId="77777777" w:rsidR="00894070" w:rsidRDefault="009B7AFD">
      <w:pPr>
        <w:pStyle w:val="ListParagraph"/>
        <w:numPr>
          <w:ilvl w:val="0"/>
          <w:numId w:val="114"/>
        </w:numPr>
        <w:tabs>
          <w:tab w:val="left" w:pos="1801"/>
          <w:tab w:val="left" w:pos="1802"/>
        </w:tabs>
        <w:spacing w:line="213" w:lineRule="auto"/>
        <w:ind w:right="1500"/>
        <w:rPr>
          <w:sz w:val="13"/>
        </w:rPr>
      </w:pPr>
      <w:r>
        <w:rPr>
          <w:color w:val="231F20"/>
          <w:sz w:val="13"/>
        </w:rPr>
        <w:t xml:space="preserve">Centre for Innovative Justice, </w:t>
      </w:r>
      <w:r>
        <w:rPr>
          <w:i/>
          <w:color w:val="231F20"/>
          <w:sz w:val="13"/>
        </w:rPr>
        <w:t xml:space="preserve">Strengthening Victoria’s Victim </w:t>
      </w:r>
      <w:r>
        <w:rPr>
          <w:i/>
          <w:color w:val="231F20"/>
          <w:spacing w:val="2"/>
          <w:sz w:val="13"/>
        </w:rPr>
        <w:t xml:space="preserve">Support </w:t>
      </w:r>
      <w:r>
        <w:rPr>
          <w:i/>
          <w:color w:val="231F20"/>
          <w:sz w:val="13"/>
        </w:rPr>
        <w:t xml:space="preserve">System: Victim </w:t>
      </w:r>
      <w:r>
        <w:rPr>
          <w:i/>
          <w:color w:val="231F20"/>
          <w:spacing w:val="2"/>
          <w:sz w:val="13"/>
        </w:rPr>
        <w:t xml:space="preserve">Services </w:t>
      </w:r>
      <w:r>
        <w:rPr>
          <w:i/>
          <w:color w:val="231F20"/>
          <w:sz w:val="13"/>
        </w:rPr>
        <w:t xml:space="preserve">Review </w:t>
      </w:r>
      <w:r>
        <w:rPr>
          <w:color w:val="231F20"/>
          <w:sz w:val="13"/>
        </w:rPr>
        <w:t xml:space="preserve">(Final </w:t>
      </w:r>
      <w:r>
        <w:rPr>
          <w:color w:val="231F20"/>
          <w:spacing w:val="2"/>
          <w:sz w:val="13"/>
        </w:rPr>
        <w:t xml:space="preserve">Report, </w:t>
      </w:r>
      <w:r>
        <w:rPr>
          <w:color w:val="231F20"/>
          <w:sz w:val="13"/>
        </w:rPr>
        <w:t xml:space="preserve">November 2020) </w:t>
      </w:r>
      <w:r>
        <w:rPr>
          <w:color w:val="231F20"/>
          <w:spacing w:val="2"/>
          <w:sz w:val="13"/>
        </w:rPr>
        <w:t>113.</w:t>
      </w:r>
    </w:p>
    <w:p w14:paraId="323B0A72" w14:textId="77777777" w:rsidR="00894070" w:rsidRDefault="009F6793">
      <w:pPr>
        <w:pStyle w:val="ListParagraph"/>
        <w:numPr>
          <w:ilvl w:val="0"/>
          <w:numId w:val="114"/>
        </w:numPr>
        <w:tabs>
          <w:tab w:val="left" w:pos="1801"/>
          <w:tab w:val="left" w:pos="1802"/>
        </w:tabs>
        <w:spacing w:line="213" w:lineRule="auto"/>
        <w:ind w:right="1266"/>
        <w:rPr>
          <w:sz w:val="13"/>
        </w:rPr>
      </w:pPr>
      <w:r>
        <w:pict w14:anchorId="2389EB2C">
          <v:shape id="_x0000_s1405" type="#_x0000_t202" style="position:absolute;left:0;text-align:left;margin-left:36pt;margin-top:3.4pt;width:14.5pt;height:14.1pt;z-index:251687936;mso-position-horizontal-relative:page" filled="f" stroked="f">
            <v:textbox inset="0,0,0,0">
              <w:txbxContent>
                <w:p w14:paraId="42B60506" w14:textId="77777777" w:rsidR="00894070" w:rsidRDefault="009B7AFD">
                  <w:pPr>
                    <w:spacing w:line="282" w:lineRule="exact"/>
                    <w:rPr>
                      <w:b/>
                      <w:sz w:val="24"/>
                    </w:rPr>
                  </w:pPr>
                  <w:r>
                    <w:rPr>
                      <w:b/>
                      <w:color w:val="EA5B50"/>
                      <w:spacing w:val="-1"/>
                      <w:sz w:val="24"/>
                    </w:rPr>
                    <w:t>86</w:t>
                  </w:r>
                </w:p>
              </w:txbxContent>
            </v:textbox>
            <w10:wrap anchorx="page"/>
          </v:shape>
        </w:pict>
      </w:r>
      <w:r w:rsidR="009B7AFD">
        <w:rPr>
          <w:color w:val="231F20"/>
          <w:sz w:val="13"/>
        </w:rPr>
        <w:t xml:space="preserve">Legal and </w:t>
      </w:r>
      <w:r w:rsidR="009B7AFD">
        <w:rPr>
          <w:color w:val="231F20"/>
          <w:spacing w:val="2"/>
          <w:sz w:val="13"/>
        </w:rPr>
        <w:t xml:space="preserve">Social </w:t>
      </w:r>
      <w:r w:rsidR="009B7AFD">
        <w:rPr>
          <w:color w:val="231F20"/>
          <w:sz w:val="13"/>
        </w:rPr>
        <w:t xml:space="preserve">Issues Committee, </w:t>
      </w:r>
      <w:r w:rsidR="009B7AFD">
        <w:rPr>
          <w:color w:val="231F20"/>
          <w:spacing w:val="2"/>
          <w:sz w:val="13"/>
        </w:rPr>
        <w:t xml:space="preserve">Parliament </w:t>
      </w:r>
      <w:r w:rsidR="009B7AFD">
        <w:rPr>
          <w:color w:val="231F20"/>
          <w:sz w:val="13"/>
        </w:rPr>
        <w:t xml:space="preserve">of Victoria, </w:t>
      </w:r>
      <w:r w:rsidR="009B7AFD">
        <w:rPr>
          <w:i/>
          <w:color w:val="231F20"/>
          <w:spacing w:val="2"/>
          <w:sz w:val="13"/>
        </w:rPr>
        <w:t xml:space="preserve">Inquiry </w:t>
      </w:r>
      <w:r w:rsidR="009B7AFD">
        <w:rPr>
          <w:i/>
          <w:color w:val="231F20"/>
          <w:sz w:val="13"/>
        </w:rPr>
        <w:t xml:space="preserve">into Victoria’s Criminal Justice System </w:t>
      </w:r>
      <w:r w:rsidR="009B7AFD">
        <w:rPr>
          <w:color w:val="231F20"/>
          <w:spacing w:val="2"/>
          <w:sz w:val="13"/>
        </w:rPr>
        <w:t xml:space="preserve">(Report </w:t>
      </w:r>
      <w:r w:rsidR="009B7AFD">
        <w:rPr>
          <w:color w:val="231F20"/>
          <w:sz w:val="13"/>
        </w:rPr>
        <w:t xml:space="preserve">No 326, </w:t>
      </w:r>
      <w:r w:rsidR="009B7AFD">
        <w:rPr>
          <w:color w:val="231F20"/>
          <w:spacing w:val="2"/>
          <w:sz w:val="13"/>
        </w:rPr>
        <w:t xml:space="preserve">Session </w:t>
      </w:r>
      <w:r w:rsidR="009B7AFD">
        <w:rPr>
          <w:color w:val="231F20"/>
          <w:sz w:val="13"/>
        </w:rPr>
        <w:t xml:space="preserve">2018–2022, March 2022) vol 1, </w:t>
      </w:r>
      <w:r w:rsidR="009B7AFD">
        <w:rPr>
          <w:color w:val="231F20"/>
          <w:spacing w:val="2"/>
          <w:sz w:val="13"/>
        </w:rPr>
        <w:t>309.</w:t>
      </w:r>
    </w:p>
    <w:p w14:paraId="1E0C7D79" w14:textId="77777777" w:rsidR="00894070" w:rsidRDefault="00894070">
      <w:pPr>
        <w:spacing w:line="213" w:lineRule="auto"/>
        <w:rPr>
          <w:sz w:val="13"/>
        </w:rPr>
        <w:sectPr w:rsidR="00894070">
          <w:pgSz w:w="11910" w:h="16840"/>
          <w:pgMar w:top="860" w:right="420" w:bottom="280" w:left="580" w:header="567" w:footer="0" w:gutter="0"/>
          <w:cols w:space="720"/>
        </w:sectPr>
      </w:pPr>
    </w:p>
    <w:p w14:paraId="60365E6D" w14:textId="77777777" w:rsidR="00894070" w:rsidRDefault="00894070">
      <w:pPr>
        <w:pStyle w:val="BodyText"/>
      </w:pPr>
    </w:p>
    <w:p w14:paraId="20D162C7" w14:textId="77777777" w:rsidR="00894070" w:rsidRDefault="00894070">
      <w:pPr>
        <w:pStyle w:val="BodyText"/>
      </w:pPr>
    </w:p>
    <w:p w14:paraId="1BC72458" w14:textId="77777777" w:rsidR="00894070" w:rsidRDefault="00894070">
      <w:pPr>
        <w:pStyle w:val="BodyText"/>
      </w:pPr>
    </w:p>
    <w:p w14:paraId="41C9F259" w14:textId="77777777" w:rsidR="00894070" w:rsidRDefault="00894070">
      <w:pPr>
        <w:pStyle w:val="BodyText"/>
        <w:spacing w:before="6"/>
        <w:rPr>
          <w:sz w:val="14"/>
        </w:rPr>
      </w:pPr>
    </w:p>
    <w:p w14:paraId="7B632AE0" w14:textId="77777777" w:rsidR="00894070" w:rsidRDefault="009B7AFD">
      <w:pPr>
        <w:pStyle w:val="ListParagraph"/>
        <w:numPr>
          <w:ilvl w:val="1"/>
          <w:numId w:val="126"/>
        </w:numPr>
        <w:tabs>
          <w:tab w:val="left" w:pos="1801"/>
          <w:tab w:val="left" w:pos="1802"/>
        </w:tabs>
        <w:spacing w:before="90" w:line="206" w:lineRule="auto"/>
        <w:ind w:right="2087"/>
        <w:rPr>
          <w:sz w:val="11"/>
        </w:rPr>
      </w:pPr>
      <w:bookmarkStart w:id="105" w:name="_bookmark58"/>
      <w:bookmarkEnd w:id="105"/>
      <w:r>
        <w:rPr>
          <w:color w:val="231F20"/>
          <w:spacing w:val="-6"/>
          <w:sz w:val="20"/>
        </w:rPr>
        <w:t>We</w:t>
      </w:r>
      <w:r>
        <w:rPr>
          <w:color w:val="231F20"/>
          <w:spacing w:val="-12"/>
          <w:sz w:val="20"/>
        </w:rPr>
        <w:t xml:space="preserve"> </w:t>
      </w:r>
      <w:r>
        <w:rPr>
          <w:color w:val="231F20"/>
          <w:sz w:val="20"/>
        </w:rPr>
        <w:t>heard</w:t>
      </w:r>
      <w:r>
        <w:rPr>
          <w:color w:val="231F20"/>
          <w:spacing w:val="-11"/>
          <w:sz w:val="20"/>
        </w:rPr>
        <w:t xml:space="preserve"> </w:t>
      </w:r>
      <w:r>
        <w:rPr>
          <w:color w:val="231F20"/>
          <w:sz w:val="20"/>
        </w:rPr>
        <w:t>about</w:t>
      </w:r>
      <w:r>
        <w:rPr>
          <w:color w:val="231F20"/>
          <w:spacing w:val="-11"/>
          <w:sz w:val="20"/>
        </w:rPr>
        <w:t xml:space="preserve"> </w:t>
      </w:r>
      <w:r>
        <w:rPr>
          <w:color w:val="231F20"/>
          <w:sz w:val="20"/>
        </w:rPr>
        <w:t>gaps</w:t>
      </w:r>
      <w:r>
        <w:rPr>
          <w:color w:val="231F20"/>
          <w:spacing w:val="-11"/>
          <w:sz w:val="20"/>
        </w:rPr>
        <w:t xml:space="preserve"> </w:t>
      </w:r>
      <w:r>
        <w:rPr>
          <w:color w:val="231F20"/>
          <w:sz w:val="20"/>
        </w:rPr>
        <w:t>in</w:t>
      </w:r>
      <w:r>
        <w:rPr>
          <w:color w:val="231F20"/>
          <w:spacing w:val="-11"/>
          <w:sz w:val="20"/>
        </w:rPr>
        <w:t xml:space="preserve"> </w:t>
      </w:r>
      <w:r>
        <w:rPr>
          <w:color w:val="231F20"/>
          <w:sz w:val="20"/>
        </w:rPr>
        <w:t>therapeutic</w:t>
      </w:r>
      <w:r>
        <w:rPr>
          <w:color w:val="231F20"/>
          <w:spacing w:val="-11"/>
          <w:sz w:val="20"/>
        </w:rPr>
        <w:t xml:space="preserve"> </w:t>
      </w:r>
      <w:r>
        <w:rPr>
          <w:color w:val="231F20"/>
          <w:sz w:val="20"/>
        </w:rPr>
        <w:t>psychological</w:t>
      </w:r>
      <w:r>
        <w:rPr>
          <w:color w:val="231F20"/>
          <w:spacing w:val="-11"/>
          <w:sz w:val="20"/>
        </w:rPr>
        <w:t xml:space="preserve"> </w:t>
      </w:r>
      <w:r>
        <w:rPr>
          <w:color w:val="231F20"/>
          <w:sz w:val="20"/>
        </w:rPr>
        <w:t>support</w:t>
      </w:r>
      <w:r>
        <w:rPr>
          <w:color w:val="231F20"/>
          <w:spacing w:val="-11"/>
          <w:sz w:val="20"/>
        </w:rPr>
        <w:t xml:space="preserve"> </w:t>
      </w:r>
      <w:r>
        <w:rPr>
          <w:color w:val="231F20"/>
          <w:spacing w:val="-3"/>
          <w:sz w:val="20"/>
        </w:rPr>
        <w:t>for</w:t>
      </w:r>
      <w:r>
        <w:rPr>
          <w:color w:val="231F20"/>
          <w:spacing w:val="-12"/>
          <w:sz w:val="20"/>
        </w:rPr>
        <w:t xml:space="preserve"> </w:t>
      </w:r>
      <w:r>
        <w:rPr>
          <w:color w:val="231F20"/>
          <w:sz w:val="20"/>
        </w:rPr>
        <w:t>young</w:t>
      </w:r>
      <w:r>
        <w:rPr>
          <w:color w:val="231F20"/>
          <w:spacing w:val="-11"/>
          <w:sz w:val="20"/>
        </w:rPr>
        <w:t xml:space="preserve"> </w:t>
      </w:r>
      <w:r>
        <w:rPr>
          <w:color w:val="231F20"/>
          <w:sz w:val="20"/>
        </w:rPr>
        <w:t>people, particularly in regional</w:t>
      </w:r>
      <w:r>
        <w:rPr>
          <w:color w:val="231F20"/>
          <w:spacing w:val="-14"/>
          <w:sz w:val="20"/>
        </w:rPr>
        <w:t xml:space="preserve"> </w:t>
      </w:r>
      <w:r>
        <w:rPr>
          <w:color w:val="231F20"/>
          <w:sz w:val="20"/>
        </w:rPr>
        <w:t>Victoria.</w:t>
      </w:r>
      <w:r>
        <w:rPr>
          <w:color w:val="231F20"/>
          <w:position w:val="7"/>
          <w:sz w:val="11"/>
        </w:rPr>
        <w:t>103</w:t>
      </w:r>
    </w:p>
    <w:p w14:paraId="2670DED2" w14:textId="77777777" w:rsidR="00894070" w:rsidRDefault="009B7AFD">
      <w:pPr>
        <w:pStyle w:val="ListParagraph"/>
        <w:numPr>
          <w:ilvl w:val="1"/>
          <w:numId w:val="126"/>
        </w:numPr>
        <w:tabs>
          <w:tab w:val="left" w:pos="1801"/>
          <w:tab w:val="left" w:pos="1802"/>
        </w:tabs>
        <w:spacing w:before="122" w:line="206" w:lineRule="auto"/>
        <w:ind w:right="2011"/>
        <w:rPr>
          <w:sz w:val="20"/>
        </w:rPr>
      </w:pPr>
      <w:r>
        <w:rPr>
          <w:color w:val="231F20"/>
          <w:sz w:val="20"/>
        </w:rPr>
        <w:t>This</w:t>
      </w:r>
      <w:r>
        <w:rPr>
          <w:color w:val="231F20"/>
          <w:spacing w:val="-8"/>
          <w:sz w:val="20"/>
        </w:rPr>
        <w:t xml:space="preserve"> </w:t>
      </w:r>
      <w:r>
        <w:rPr>
          <w:color w:val="231F20"/>
          <w:sz w:val="20"/>
        </w:rPr>
        <w:t>gap</w:t>
      </w:r>
      <w:r>
        <w:rPr>
          <w:color w:val="231F20"/>
          <w:spacing w:val="-8"/>
          <w:sz w:val="20"/>
        </w:rPr>
        <w:t xml:space="preserve"> </w:t>
      </w:r>
      <w:r>
        <w:rPr>
          <w:color w:val="231F20"/>
          <w:sz w:val="20"/>
        </w:rPr>
        <w:t>is</w:t>
      </w:r>
      <w:r>
        <w:rPr>
          <w:color w:val="231F20"/>
          <w:spacing w:val="-8"/>
          <w:sz w:val="20"/>
        </w:rPr>
        <w:t xml:space="preserve"> </w:t>
      </w:r>
      <w:r>
        <w:rPr>
          <w:color w:val="231F20"/>
          <w:sz w:val="20"/>
        </w:rPr>
        <w:t>serious</w:t>
      </w:r>
      <w:r>
        <w:rPr>
          <w:color w:val="231F20"/>
          <w:spacing w:val="-7"/>
          <w:sz w:val="20"/>
        </w:rPr>
        <w:t xml:space="preserve"> </w:t>
      </w:r>
      <w:r>
        <w:rPr>
          <w:color w:val="231F20"/>
          <w:spacing w:val="-3"/>
          <w:sz w:val="20"/>
        </w:rPr>
        <w:t>given</w:t>
      </w:r>
      <w:r>
        <w:rPr>
          <w:color w:val="231F20"/>
          <w:spacing w:val="-8"/>
          <w:sz w:val="20"/>
        </w:rPr>
        <w:t xml:space="preserve"> </w:t>
      </w:r>
      <w:r>
        <w:rPr>
          <w:color w:val="231F20"/>
          <w:spacing w:val="-3"/>
          <w:sz w:val="20"/>
        </w:rPr>
        <w:t>how</w:t>
      </w:r>
      <w:r>
        <w:rPr>
          <w:color w:val="231F20"/>
          <w:spacing w:val="-8"/>
          <w:sz w:val="20"/>
        </w:rPr>
        <w:t xml:space="preserve"> </w:t>
      </w:r>
      <w:r>
        <w:rPr>
          <w:color w:val="231F20"/>
          <w:sz w:val="20"/>
        </w:rPr>
        <w:t>common</w:t>
      </w:r>
      <w:r>
        <w:rPr>
          <w:color w:val="231F20"/>
          <w:spacing w:val="-7"/>
          <w:sz w:val="20"/>
        </w:rPr>
        <w:t xml:space="preserve"> </w:t>
      </w:r>
      <w:r>
        <w:rPr>
          <w:color w:val="231F20"/>
          <w:sz w:val="20"/>
        </w:rPr>
        <w:t>PSIOs</w:t>
      </w:r>
      <w:r>
        <w:rPr>
          <w:color w:val="231F20"/>
          <w:spacing w:val="-8"/>
          <w:sz w:val="20"/>
        </w:rPr>
        <w:t xml:space="preserve"> </w:t>
      </w:r>
      <w:r>
        <w:rPr>
          <w:color w:val="231F20"/>
          <w:spacing w:val="-3"/>
          <w:sz w:val="20"/>
        </w:rPr>
        <w:t>are</w:t>
      </w:r>
      <w:r>
        <w:rPr>
          <w:color w:val="231F20"/>
          <w:spacing w:val="-8"/>
          <w:sz w:val="20"/>
        </w:rPr>
        <w:t xml:space="preserve"> </w:t>
      </w:r>
      <w:r>
        <w:rPr>
          <w:color w:val="231F20"/>
          <w:sz w:val="20"/>
        </w:rPr>
        <w:t>in</w:t>
      </w:r>
      <w:r>
        <w:rPr>
          <w:color w:val="231F20"/>
          <w:spacing w:val="-7"/>
          <w:sz w:val="20"/>
        </w:rPr>
        <w:t xml:space="preserve"> </w:t>
      </w:r>
      <w:r>
        <w:rPr>
          <w:color w:val="231F20"/>
          <w:sz w:val="20"/>
        </w:rPr>
        <w:t>regional</w:t>
      </w:r>
      <w:r>
        <w:rPr>
          <w:color w:val="231F20"/>
          <w:spacing w:val="-8"/>
          <w:sz w:val="20"/>
        </w:rPr>
        <w:t xml:space="preserve"> </w:t>
      </w:r>
      <w:r>
        <w:rPr>
          <w:color w:val="231F20"/>
          <w:sz w:val="20"/>
        </w:rPr>
        <w:t>and</w:t>
      </w:r>
      <w:r>
        <w:rPr>
          <w:color w:val="231F20"/>
          <w:spacing w:val="-8"/>
          <w:sz w:val="20"/>
        </w:rPr>
        <w:t xml:space="preserve"> </w:t>
      </w:r>
      <w:r>
        <w:rPr>
          <w:color w:val="231F20"/>
          <w:sz w:val="20"/>
        </w:rPr>
        <w:t>rural</w:t>
      </w:r>
      <w:r>
        <w:rPr>
          <w:color w:val="231F20"/>
          <w:spacing w:val="-7"/>
          <w:sz w:val="20"/>
        </w:rPr>
        <w:t xml:space="preserve"> </w:t>
      </w:r>
      <w:r>
        <w:rPr>
          <w:color w:val="231F20"/>
          <w:sz w:val="20"/>
        </w:rPr>
        <w:t xml:space="preserve">Victoria, especially </w:t>
      </w:r>
      <w:r>
        <w:rPr>
          <w:color w:val="231F20"/>
          <w:spacing w:val="-3"/>
          <w:sz w:val="20"/>
        </w:rPr>
        <w:t xml:space="preserve">for children </w:t>
      </w:r>
      <w:r>
        <w:rPr>
          <w:color w:val="231F20"/>
          <w:sz w:val="20"/>
        </w:rPr>
        <w:t xml:space="preserve">(see </w:t>
      </w:r>
      <w:r>
        <w:rPr>
          <w:color w:val="231F20"/>
          <w:spacing w:val="-3"/>
          <w:sz w:val="20"/>
        </w:rPr>
        <w:t>Chapter</w:t>
      </w:r>
      <w:r>
        <w:rPr>
          <w:color w:val="231F20"/>
          <w:spacing w:val="-15"/>
          <w:sz w:val="20"/>
        </w:rPr>
        <w:t xml:space="preserve"> </w:t>
      </w:r>
      <w:r>
        <w:rPr>
          <w:color w:val="231F20"/>
          <w:spacing w:val="-3"/>
          <w:sz w:val="20"/>
        </w:rPr>
        <w:t>2).</w:t>
      </w:r>
    </w:p>
    <w:p w14:paraId="5320D31D" w14:textId="77777777" w:rsidR="00894070" w:rsidRDefault="009B7AFD">
      <w:pPr>
        <w:pStyle w:val="ListParagraph"/>
        <w:numPr>
          <w:ilvl w:val="1"/>
          <w:numId w:val="126"/>
        </w:numPr>
        <w:tabs>
          <w:tab w:val="left" w:pos="1801"/>
          <w:tab w:val="left" w:pos="1802"/>
        </w:tabs>
        <w:spacing w:before="123" w:line="206" w:lineRule="auto"/>
        <w:ind w:right="2014"/>
        <w:rPr>
          <w:sz w:val="20"/>
        </w:rPr>
      </w:pPr>
      <w:r>
        <w:rPr>
          <w:color w:val="231F20"/>
          <w:sz w:val="20"/>
        </w:rPr>
        <w:t>A</w:t>
      </w:r>
      <w:r>
        <w:rPr>
          <w:color w:val="231F20"/>
          <w:spacing w:val="-8"/>
          <w:sz w:val="20"/>
        </w:rPr>
        <w:t xml:space="preserve"> </w:t>
      </w:r>
      <w:r>
        <w:rPr>
          <w:color w:val="231F20"/>
          <w:sz w:val="20"/>
        </w:rPr>
        <w:t>general</w:t>
      </w:r>
      <w:r>
        <w:rPr>
          <w:color w:val="231F20"/>
          <w:spacing w:val="-7"/>
          <w:sz w:val="20"/>
        </w:rPr>
        <w:t xml:space="preserve"> </w:t>
      </w:r>
      <w:r>
        <w:rPr>
          <w:color w:val="231F20"/>
          <w:sz w:val="20"/>
        </w:rPr>
        <w:t>gap</w:t>
      </w:r>
      <w:r>
        <w:rPr>
          <w:color w:val="231F20"/>
          <w:spacing w:val="-7"/>
          <w:sz w:val="20"/>
        </w:rPr>
        <w:t xml:space="preserve"> </w:t>
      </w:r>
      <w:r>
        <w:rPr>
          <w:color w:val="231F20"/>
          <w:sz w:val="20"/>
        </w:rPr>
        <w:t>in</w:t>
      </w:r>
      <w:r>
        <w:rPr>
          <w:color w:val="231F20"/>
          <w:spacing w:val="-8"/>
          <w:sz w:val="20"/>
        </w:rPr>
        <w:t xml:space="preserve"> </w:t>
      </w:r>
      <w:r>
        <w:rPr>
          <w:color w:val="231F20"/>
          <w:sz w:val="20"/>
        </w:rPr>
        <w:t>services</w:t>
      </w:r>
      <w:r>
        <w:rPr>
          <w:color w:val="231F20"/>
          <w:spacing w:val="-7"/>
          <w:sz w:val="20"/>
        </w:rPr>
        <w:t xml:space="preserve"> </w:t>
      </w:r>
      <w:r>
        <w:rPr>
          <w:color w:val="231F20"/>
          <w:spacing w:val="-3"/>
          <w:sz w:val="20"/>
        </w:rPr>
        <w:t>for</w:t>
      </w:r>
      <w:r>
        <w:rPr>
          <w:color w:val="231F20"/>
          <w:spacing w:val="-7"/>
          <w:sz w:val="20"/>
        </w:rPr>
        <w:t xml:space="preserve"> </w:t>
      </w:r>
      <w:r>
        <w:rPr>
          <w:color w:val="231F20"/>
          <w:spacing w:val="-3"/>
          <w:sz w:val="20"/>
        </w:rPr>
        <w:t>children</w:t>
      </w:r>
      <w:r>
        <w:rPr>
          <w:color w:val="231F20"/>
          <w:spacing w:val="-7"/>
          <w:sz w:val="20"/>
        </w:rPr>
        <w:t xml:space="preserve"> </w:t>
      </w:r>
      <w:r>
        <w:rPr>
          <w:color w:val="231F20"/>
          <w:sz w:val="20"/>
        </w:rPr>
        <w:t>was</w:t>
      </w:r>
      <w:r>
        <w:rPr>
          <w:color w:val="231F20"/>
          <w:spacing w:val="-8"/>
          <w:sz w:val="20"/>
        </w:rPr>
        <w:t xml:space="preserve"> </w:t>
      </w:r>
      <w:r>
        <w:rPr>
          <w:color w:val="231F20"/>
          <w:sz w:val="20"/>
        </w:rPr>
        <w:t>noted</w:t>
      </w:r>
      <w:r>
        <w:rPr>
          <w:color w:val="231F20"/>
          <w:spacing w:val="-7"/>
          <w:sz w:val="20"/>
        </w:rPr>
        <w:t xml:space="preserve"> </w:t>
      </w:r>
      <w:r>
        <w:rPr>
          <w:color w:val="231F20"/>
          <w:spacing w:val="-3"/>
          <w:sz w:val="20"/>
        </w:rPr>
        <w:t>by</w:t>
      </w:r>
      <w:r>
        <w:rPr>
          <w:color w:val="231F20"/>
          <w:spacing w:val="-7"/>
          <w:sz w:val="20"/>
        </w:rPr>
        <w:t xml:space="preserve"> </w:t>
      </w:r>
      <w:r>
        <w:rPr>
          <w:color w:val="231F20"/>
          <w:sz w:val="20"/>
        </w:rPr>
        <w:t>the</w:t>
      </w:r>
      <w:r>
        <w:rPr>
          <w:color w:val="231F20"/>
          <w:spacing w:val="-7"/>
          <w:sz w:val="20"/>
        </w:rPr>
        <w:t xml:space="preserve"> </w:t>
      </w:r>
      <w:r>
        <w:rPr>
          <w:color w:val="231F20"/>
          <w:sz w:val="20"/>
        </w:rPr>
        <w:t>Alannah</w:t>
      </w:r>
      <w:r>
        <w:rPr>
          <w:color w:val="231F20"/>
          <w:spacing w:val="-8"/>
          <w:sz w:val="20"/>
        </w:rPr>
        <w:t xml:space="preserve"> </w:t>
      </w:r>
      <w:r>
        <w:rPr>
          <w:color w:val="231F20"/>
          <w:sz w:val="20"/>
        </w:rPr>
        <w:t>and</w:t>
      </w:r>
      <w:r>
        <w:rPr>
          <w:color w:val="231F20"/>
          <w:spacing w:val="-7"/>
          <w:sz w:val="20"/>
        </w:rPr>
        <w:t xml:space="preserve"> </w:t>
      </w:r>
      <w:r>
        <w:rPr>
          <w:color w:val="231F20"/>
          <w:sz w:val="20"/>
        </w:rPr>
        <w:t>Madeline Foundation:</w:t>
      </w:r>
    </w:p>
    <w:p w14:paraId="2D4FDB8C" w14:textId="77777777" w:rsidR="00894070" w:rsidRDefault="009B7AFD">
      <w:pPr>
        <w:spacing w:before="120" w:line="208" w:lineRule="auto"/>
        <w:ind w:left="2254" w:right="1219"/>
        <w:rPr>
          <w:sz w:val="11"/>
        </w:rPr>
      </w:pPr>
      <w:r>
        <w:rPr>
          <w:color w:val="231F20"/>
          <w:sz w:val="19"/>
        </w:rPr>
        <w:t>The [VAP] does enable families to access good support services, but it is not specifically designed to work directly with children. For instance, the program does not include brokerage for counselling for children.</w:t>
      </w:r>
      <w:r>
        <w:rPr>
          <w:color w:val="231F20"/>
          <w:position w:val="6"/>
          <w:sz w:val="11"/>
        </w:rPr>
        <w:t>104</w:t>
      </w:r>
    </w:p>
    <w:p w14:paraId="6BA665CB" w14:textId="77777777" w:rsidR="00894070" w:rsidRDefault="009B7AFD">
      <w:pPr>
        <w:pStyle w:val="ListParagraph"/>
        <w:numPr>
          <w:ilvl w:val="1"/>
          <w:numId w:val="126"/>
        </w:numPr>
        <w:tabs>
          <w:tab w:val="left" w:pos="1801"/>
          <w:tab w:val="left" w:pos="1802"/>
        </w:tabs>
        <w:spacing w:before="124" w:line="206" w:lineRule="auto"/>
        <w:ind w:right="1287"/>
        <w:rPr>
          <w:sz w:val="20"/>
        </w:rPr>
      </w:pPr>
      <w:r>
        <w:rPr>
          <w:color w:val="231F20"/>
          <w:sz w:val="20"/>
        </w:rPr>
        <w:t>The</w:t>
      </w:r>
      <w:r>
        <w:rPr>
          <w:color w:val="231F20"/>
          <w:spacing w:val="-8"/>
          <w:sz w:val="20"/>
        </w:rPr>
        <w:t xml:space="preserve"> </w:t>
      </w:r>
      <w:r>
        <w:rPr>
          <w:color w:val="231F20"/>
          <w:spacing w:val="-3"/>
          <w:sz w:val="20"/>
        </w:rPr>
        <w:t>way</w:t>
      </w:r>
      <w:r>
        <w:rPr>
          <w:color w:val="231F20"/>
          <w:spacing w:val="-7"/>
          <w:sz w:val="20"/>
        </w:rPr>
        <w:t xml:space="preserve"> </w:t>
      </w:r>
      <w:r>
        <w:rPr>
          <w:color w:val="231F20"/>
          <w:sz w:val="20"/>
        </w:rPr>
        <w:t>people</w:t>
      </w:r>
      <w:r>
        <w:rPr>
          <w:color w:val="231F20"/>
          <w:spacing w:val="-7"/>
          <w:sz w:val="20"/>
        </w:rPr>
        <w:t xml:space="preserve"> </w:t>
      </w:r>
      <w:r>
        <w:rPr>
          <w:color w:val="231F20"/>
          <w:sz w:val="20"/>
        </w:rPr>
        <w:t>living</w:t>
      </w:r>
      <w:r>
        <w:rPr>
          <w:color w:val="231F20"/>
          <w:spacing w:val="-8"/>
          <w:sz w:val="20"/>
        </w:rPr>
        <w:t xml:space="preserve"> </w:t>
      </w:r>
      <w:r>
        <w:rPr>
          <w:color w:val="231F20"/>
          <w:sz w:val="20"/>
        </w:rPr>
        <w:t>with</w:t>
      </w:r>
      <w:r>
        <w:rPr>
          <w:color w:val="231F20"/>
          <w:spacing w:val="-7"/>
          <w:sz w:val="20"/>
        </w:rPr>
        <w:t xml:space="preserve"> </w:t>
      </w:r>
      <w:r>
        <w:rPr>
          <w:color w:val="231F20"/>
          <w:sz w:val="20"/>
        </w:rPr>
        <w:t>disability</w:t>
      </w:r>
      <w:r>
        <w:rPr>
          <w:color w:val="231F20"/>
          <w:spacing w:val="-7"/>
          <w:sz w:val="20"/>
        </w:rPr>
        <w:t xml:space="preserve"> </w:t>
      </w:r>
      <w:r>
        <w:rPr>
          <w:color w:val="231F20"/>
          <w:spacing w:val="-3"/>
          <w:sz w:val="20"/>
        </w:rPr>
        <w:t>are</w:t>
      </w:r>
      <w:r>
        <w:rPr>
          <w:color w:val="231F20"/>
          <w:spacing w:val="-8"/>
          <w:sz w:val="20"/>
        </w:rPr>
        <w:t xml:space="preserve"> </w:t>
      </w:r>
      <w:r>
        <w:rPr>
          <w:color w:val="231F20"/>
          <w:spacing w:val="-3"/>
          <w:sz w:val="20"/>
        </w:rPr>
        <w:t>treated</w:t>
      </w:r>
      <w:r>
        <w:rPr>
          <w:color w:val="231F20"/>
          <w:spacing w:val="-7"/>
          <w:sz w:val="20"/>
        </w:rPr>
        <w:t xml:space="preserve"> </w:t>
      </w:r>
      <w:r>
        <w:rPr>
          <w:color w:val="231F20"/>
          <w:spacing w:val="-3"/>
          <w:sz w:val="20"/>
        </w:rPr>
        <w:t>by</w:t>
      </w:r>
      <w:r>
        <w:rPr>
          <w:color w:val="231F20"/>
          <w:spacing w:val="-7"/>
          <w:sz w:val="20"/>
        </w:rPr>
        <w:t xml:space="preserve"> </w:t>
      </w:r>
      <w:r>
        <w:rPr>
          <w:color w:val="231F20"/>
          <w:sz w:val="20"/>
        </w:rPr>
        <w:t>victim</w:t>
      </w:r>
      <w:r>
        <w:rPr>
          <w:color w:val="231F20"/>
          <w:spacing w:val="-7"/>
          <w:sz w:val="20"/>
        </w:rPr>
        <w:t xml:space="preserve"> </w:t>
      </w:r>
      <w:r>
        <w:rPr>
          <w:color w:val="231F20"/>
          <w:sz w:val="20"/>
        </w:rPr>
        <w:t>support</w:t>
      </w:r>
      <w:r>
        <w:rPr>
          <w:color w:val="231F20"/>
          <w:spacing w:val="-8"/>
          <w:sz w:val="20"/>
        </w:rPr>
        <w:t xml:space="preserve"> </w:t>
      </w:r>
      <w:r>
        <w:rPr>
          <w:color w:val="231F20"/>
          <w:sz w:val="20"/>
        </w:rPr>
        <w:t>services</w:t>
      </w:r>
      <w:r>
        <w:rPr>
          <w:color w:val="231F20"/>
          <w:spacing w:val="-7"/>
          <w:sz w:val="20"/>
        </w:rPr>
        <w:t xml:space="preserve"> </w:t>
      </w:r>
      <w:r>
        <w:rPr>
          <w:color w:val="231F20"/>
          <w:sz w:val="20"/>
        </w:rPr>
        <w:t>also</w:t>
      </w:r>
      <w:r>
        <w:rPr>
          <w:color w:val="231F20"/>
          <w:spacing w:val="-7"/>
          <w:sz w:val="20"/>
        </w:rPr>
        <w:t xml:space="preserve"> </w:t>
      </w:r>
      <w:r>
        <w:rPr>
          <w:color w:val="231F20"/>
          <w:sz w:val="20"/>
        </w:rPr>
        <w:t xml:space="preserve">needs to </w:t>
      </w:r>
      <w:r>
        <w:rPr>
          <w:color w:val="231F20"/>
          <w:spacing w:val="-4"/>
          <w:sz w:val="20"/>
        </w:rPr>
        <w:t xml:space="preserve">improve. </w:t>
      </w:r>
      <w:r>
        <w:rPr>
          <w:color w:val="231F20"/>
          <w:spacing w:val="-6"/>
          <w:sz w:val="20"/>
        </w:rPr>
        <w:t xml:space="preserve">We </w:t>
      </w:r>
      <w:r>
        <w:rPr>
          <w:color w:val="231F20"/>
          <w:spacing w:val="-4"/>
          <w:sz w:val="20"/>
        </w:rPr>
        <w:t xml:space="preserve">were </w:t>
      </w:r>
      <w:r>
        <w:rPr>
          <w:color w:val="231F20"/>
          <w:spacing w:val="-3"/>
          <w:sz w:val="20"/>
        </w:rPr>
        <w:t xml:space="preserve">told </w:t>
      </w:r>
      <w:r>
        <w:rPr>
          <w:color w:val="231F20"/>
          <w:sz w:val="20"/>
        </w:rPr>
        <w:t>that people with disabilities (particularly those in psychiatric units) who report stalking</w:t>
      </w:r>
      <w:r>
        <w:rPr>
          <w:color w:val="231F20"/>
          <w:spacing w:val="-17"/>
          <w:sz w:val="20"/>
        </w:rPr>
        <w:t xml:space="preserve"> </w:t>
      </w:r>
      <w:r>
        <w:rPr>
          <w:color w:val="231F20"/>
          <w:spacing w:val="-3"/>
          <w:sz w:val="20"/>
        </w:rPr>
        <w:t>are:</w:t>
      </w:r>
    </w:p>
    <w:p w14:paraId="699C1813" w14:textId="77777777" w:rsidR="00894070" w:rsidRDefault="009B7AFD">
      <w:pPr>
        <w:pStyle w:val="ListParagraph"/>
        <w:numPr>
          <w:ilvl w:val="2"/>
          <w:numId w:val="126"/>
        </w:numPr>
        <w:tabs>
          <w:tab w:val="left" w:pos="2141"/>
          <w:tab w:val="left" w:pos="2142"/>
        </w:tabs>
        <w:spacing w:before="92"/>
        <w:ind w:hanging="340"/>
        <w:rPr>
          <w:sz w:val="11"/>
        </w:rPr>
      </w:pPr>
      <w:r>
        <w:rPr>
          <w:color w:val="231F20"/>
          <w:sz w:val="20"/>
        </w:rPr>
        <w:t>often</w:t>
      </w:r>
      <w:r>
        <w:rPr>
          <w:color w:val="231F20"/>
          <w:spacing w:val="-5"/>
          <w:sz w:val="20"/>
        </w:rPr>
        <w:t xml:space="preserve"> </w:t>
      </w:r>
      <w:r>
        <w:rPr>
          <w:color w:val="231F20"/>
          <w:sz w:val="20"/>
        </w:rPr>
        <w:t>not</w:t>
      </w:r>
      <w:r>
        <w:rPr>
          <w:color w:val="231F20"/>
          <w:spacing w:val="-5"/>
          <w:sz w:val="20"/>
        </w:rPr>
        <w:t xml:space="preserve"> </w:t>
      </w:r>
      <w:r>
        <w:rPr>
          <w:color w:val="231F20"/>
          <w:sz w:val="20"/>
        </w:rPr>
        <w:t>believed</w:t>
      </w:r>
      <w:r>
        <w:rPr>
          <w:color w:val="231F20"/>
          <w:spacing w:val="-4"/>
          <w:sz w:val="20"/>
        </w:rPr>
        <w:t xml:space="preserve"> </w:t>
      </w:r>
      <w:r>
        <w:rPr>
          <w:color w:val="231F20"/>
          <w:sz w:val="20"/>
        </w:rPr>
        <w:t>or</w:t>
      </w:r>
      <w:r>
        <w:rPr>
          <w:color w:val="231F20"/>
          <w:spacing w:val="-5"/>
          <w:sz w:val="20"/>
        </w:rPr>
        <w:t xml:space="preserve"> </w:t>
      </w:r>
      <w:r>
        <w:rPr>
          <w:color w:val="231F20"/>
          <w:spacing w:val="-3"/>
          <w:sz w:val="20"/>
        </w:rPr>
        <w:t>viewed</w:t>
      </w:r>
      <w:r>
        <w:rPr>
          <w:color w:val="231F20"/>
          <w:spacing w:val="-5"/>
          <w:sz w:val="20"/>
        </w:rPr>
        <w:t xml:space="preserve"> </w:t>
      </w:r>
      <w:r>
        <w:rPr>
          <w:color w:val="231F20"/>
          <w:sz w:val="20"/>
        </w:rPr>
        <w:t>as</w:t>
      </w:r>
      <w:r>
        <w:rPr>
          <w:color w:val="231F20"/>
          <w:spacing w:val="-4"/>
          <w:sz w:val="20"/>
        </w:rPr>
        <w:t xml:space="preserve"> </w:t>
      </w:r>
      <w:r>
        <w:rPr>
          <w:color w:val="231F20"/>
          <w:sz w:val="20"/>
        </w:rPr>
        <w:t>‘too</w:t>
      </w:r>
      <w:r>
        <w:rPr>
          <w:color w:val="231F20"/>
          <w:spacing w:val="-5"/>
          <w:sz w:val="20"/>
        </w:rPr>
        <w:t xml:space="preserve"> </w:t>
      </w:r>
      <w:r>
        <w:rPr>
          <w:color w:val="231F20"/>
          <w:spacing w:val="-3"/>
          <w:sz w:val="20"/>
        </w:rPr>
        <w:t>unwell</w:t>
      </w:r>
      <w:r>
        <w:rPr>
          <w:color w:val="231F20"/>
          <w:spacing w:val="-4"/>
          <w:sz w:val="20"/>
        </w:rPr>
        <w:t xml:space="preserve"> </w:t>
      </w:r>
      <w:r>
        <w:rPr>
          <w:color w:val="231F20"/>
          <w:sz w:val="20"/>
        </w:rPr>
        <w:t>to</w:t>
      </w:r>
      <w:r>
        <w:rPr>
          <w:color w:val="231F20"/>
          <w:spacing w:val="-5"/>
          <w:sz w:val="20"/>
        </w:rPr>
        <w:t xml:space="preserve"> </w:t>
      </w:r>
      <w:r>
        <w:rPr>
          <w:color w:val="231F20"/>
          <w:sz w:val="20"/>
        </w:rPr>
        <w:t>determine</w:t>
      </w:r>
      <w:r>
        <w:rPr>
          <w:color w:val="231F20"/>
          <w:spacing w:val="-5"/>
          <w:sz w:val="20"/>
        </w:rPr>
        <w:t xml:space="preserve"> </w:t>
      </w:r>
      <w:r>
        <w:rPr>
          <w:color w:val="231F20"/>
          <w:sz w:val="20"/>
        </w:rPr>
        <w:t>what</w:t>
      </w:r>
      <w:r>
        <w:rPr>
          <w:color w:val="231F20"/>
          <w:spacing w:val="-4"/>
          <w:sz w:val="20"/>
        </w:rPr>
        <w:t xml:space="preserve"> </w:t>
      </w:r>
      <w:r>
        <w:rPr>
          <w:color w:val="231F20"/>
          <w:sz w:val="20"/>
        </w:rPr>
        <w:t>is</w:t>
      </w:r>
      <w:r>
        <w:rPr>
          <w:color w:val="231F20"/>
          <w:spacing w:val="-5"/>
          <w:sz w:val="20"/>
        </w:rPr>
        <w:t xml:space="preserve"> </w:t>
      </w:r>
      <w:r>
        <w:rPr>
          <w:color w:val="231F20"/>
          <w:spacing w:val="-3"/>
          <w:sz w:val="20"/>
        </w:rPr>
        <w:t>real’</w:t>
      </w:r>
      <w:r>
        <w:rPr>
          <w:color w:val="231F20"/>
          <w:spacing w:val="-3"/>
          <w:position w:val="7"/>
          <w:sz w:val="11"/>
        </w:rPr>
        <w:t>105</w:t>
      </w:r>
    </w:p>
    <w:p w14:paraId="24549082" w14:textId="77777777" w:rsidR="00894070" w:rsidRDefault="009B7AFD">
      <w:pPr>
        <w:pStyle w:val="ListParagraph"/>
        <w:numPr>
          <w:ilvl w:val="2"/>
          <w:numId w:val="126"/>
        </w:numPr>
        <w:tabs>
          <w:tab w:val="left" w:pos="2141"/>
          <w:tab w:val="left" w:pos="2142"/>
        </w:tabs>
        <w:spacing w:before="47"/>
        <w:ind w:hanging="340"/>
        <w:rPr>
          <w:sz w:val="11"/>
        </w:rPr>
      </w:pPr>
      <w:r>
        <w:rPr>
          <w:color w:val="231F20"/>
          <w:sz w:val="20"/>
        </w:rPr>
        <w:t xml:space="preserve">often not listened </w:t>
      </w:r>
      <w:r>
        <w:rPr>
          <w:color w:val="231F20"/>
          <w:spacing w:val="-3"/>
          <w:sz w:val="20"/>
        </w:rPr>
        <w:t xml:space="preserve">to, given resources, </w:t>
      </w:r>
      <w:r>
        <w:rPr>
          <w:color w:val="231F20"/>
          <w:sz w:val="20"/>
        </w:rPr>
        <w:t>or</w:t>
      </w:r>
      <w:r>
        <w:rPr>
          <w:color w:val="231F20"/>
          <w:spacing w:val="-20"/>
          <w:sz w:val="20"/>
        </w:rPr>
        <w:t xml:space="preserve"> </w:t>
      </w:r>
      <w:r>
        <w:rPr>
          <w:color w:val="231F20"/>
          <w:sz w:val="20"/>
        </w:rPr>
        <w:t>supported</w:t>
      </w:r>
      <w:r>
        <w:rPr>
          <w:color w:val="231F20"/>
          <w:position w:val="7"/>
          <w:sz w:val="11"/>
        </w:rPr>
        <w:t>106</w:t>
      </w:r>
    </w:p>
    <w:p w14:paraId="5B388B84" w14:textId="77777777" w:rsidR="00894070" w:rsidRDefault="009B7AFD">
      <w:pPr>
        <w:pStyle w:val="ListParagraph"/>
        <w:numPr>
          <w:ilvl w:val="2"/>
          <w:numId w:val="126"/>
        </w:numPr>
        <w:tabs>
          <w:tab w:val="left" w:pos="2141"/>
          <w:tab w:val="left" w:pos="2142"/>
        </w:tabs>
        <w:spacing w:before="48"/>
        <w:ind w:hanging="340"/>
        <w:rPr>
          <w:sz w:val="11"/>
        </w:rPr>
      </w:pPr>
      <w:r>
        <w:rPr>
          <w:color w:val="231F20"/>
          <w:spacing w:val="-3"/>
          <w:sz w:val="20"/>
        </w:rPr>
        <w:t>told</w:t>
      </w:r>
      <w:r>
        <w:rPr>
          <w:color w:val="231F20"/>
          <w:spacing w:val="-6"/>
          <w:sz w:val="20"/>
        </w:rPr>
        <w:t xml:space="preserve"> </w:t>
      </w:r>
      <w:r>
        <w:rPr>
          <w:color w:val="231F20"/>
          <w:sz w:val="20"/>
        </w:rPr>
        <w:t>that</w:t>
      </w:r>
      <w:r>
        <w:rPr>
          <w:color w:val="231F20"/>
          <w:spacing w:val="-5"/>
          <w:sz w:val="20"/>
        </w:rPr>
        <w:t xml:space="preserve"> </w:t>
      </w:r>
      <w:r>
        <w:rPr>
          <w:color w:val="231F20"/>
          <w:sz w:val="20"/>
        </w:rPr>
        <w:t>reporting</w:t>
      </w:r>
      <w:r>
        <w:rPr>
          <w:color w:val="231F20"/>
          <w:spacing w:val="-5"/>
          <w:sz w:val="20"/>
        </w:rPr>
        <w:t xml:space="preserve"> </w:t>
      </w:r>
      <w:r>
        <w:rPr>
          <w:color w:val="231F20"/>
          <w:sz w:val="20"/>
        </w:rPr>
        <w:t>is</w:t>
      </w:r>
      <w:r>
        <w:rPr>
          <w:color w:val="231F20"/>
          <w:spacing w:val="-5"/>
          <w:sz w:val="20"/>
        </w:rPr>
        <w:t xml:space="preserve"> </w:t>
      </w:r>
      <w:r>
        <w:rPr>
          <w:color w:val="231F20"/>
          <w:sz w:val="20"/>
        </w:rPr>
        <w:t>a</w:t>
      </w:r>
      <w:r>
        <w:rPr>
          <w:color w:val="231F20"/>
          <w:spacing w:val="-5"/>
          <w:sz w:val="20"/>
        </w:rPr>
        <w:t xml:space="preserve"> </w:t>
      </w:r>
      <w:r>
        <w:rPr>
          <w:color w:val="231F20"/>
          <w:sz w:val="20"/>
        </w:rPr>
        <w:t>‘police</w:t>
      </w:r>
      <w:r>
        <w:rPr>
          <w:color w:val="231F20"/>
          <w:spacing w:val="-5"/>
          <w:sz w:val="20"/>
        </w:rPr>
        <w:t xml:space="preserve"> </w:t>
      </w:r>
      <w:r>
        <w:rPr>
          <w:color w:val="231F20"/>
          <w:spacing w:val="-3"/>
          <w:sz w:val="20"/>
        </w:rPr>
        <w:t>response’</w:t>
      </w:r>
      <w:r>
        <w:rPr>
          <w:color w:val="231F20"/>
          <w:spacing w:val="-5"/>
          <w:sz w:val="20"/>
        </w:rPr>
        <w:t xml:space="preserve"> </w:t>
      </w:r>
      <w:r>
        <w:rPr>
          <w:color w:val="231F20"/>
          <w:sz w:val="20"/>
        </w:rPr>
        <w:t>rather</w:t>
      </w:r>
      <w:r>
        <w:rPr>
          <w:color w:val="231F20"/>
          <w:spacing w:val="-5"/>
          <w:sz w:val="20"/>
        </w:rPr>
        <w:t xml:space="preserve"> </w:t>
      </w:r>
      <w:r>
        <w:rPr>
          <w:color w:val="231F20"/>
          <w:sz w:val="20"/>
        </w:rPr>
        <w:t>than</w:t>
      </w:r>
      <w:r>
        <w:rPr>
          <w:color w:val="231F20"/>
          <w:spacing w:val="-5"/>
          <w:sz w:val="20"/>
        </w:rPr>
        <w:t xml:space="preserve"> </w:t>
      </w:r>
      <w:r>
        <w:rPr>
          <w:color w:val="231F20"/>
          <w:sz w:val="20"/>
        </w:rPr>
        <w:t>a</w:t>
      </w:r>
      <w:r>
        <w:rPr>
          <w:color w:val="231F20"/>
          <w:spacing w:val="-5"/>
          <w:sz w:val="20"/>
        </w:rPr>
        <w:t xml:space="preserve"> </w:t>
      </w:r>
      <w:r>
        <w:rPr>
          <w:color w:val="231F20"/>
          <w:sz w:val="20"/>
        </w:rPr>
        <w:t>service</w:t>
      </w:r>
      <w:r>
        <w:rPr>
          <w:color w:val="231F20"/>
          <w:spacing w:val="-5"/>
          <w:sz w:val="20"/>
        </w:rPr>
        <w:t xml:space="preserve"> </w:t>
      </w:r>
      <w:r>
        <w:rPr>
          <w:color w:val="231F20"/>
          <w:spacing w:val="-3"/>
          <w:sz w:val="20"/>
        </w:rPr>
        <w:t>provider</w:t>
      </w:r>
      <w:r>
        <w:rPr>
          <w:color w:val="231F20"/>
          <w:spacing w:val="-6"/>
          <w:sz w:val="20"/>
        </w:rPr>
        <w:t xml:space="preserve"> </w:t>
      </w:r>
      <w:r>
        <w:rPr>
          <w:color w:val="231F20"/>
          <w:sz w:val="20"/>
        </w:rPr>
        <w:t>response.</w:t>
      </w:r>
      <w:r>
        <w:rPr>
          <w:color w:val="231F20"/>
          <w:position w:val="7"/>
          <w:sz w:val="11"/>
        </w:rPr>
        <w:t>107</w:t>
      </w:r>
    </w:p>
    <w:p w14:paraId="234D1AF3" w14:textId="77777777" w:rsidR="00894070" w:rsidRDefault="009B7AFD">
      <w:pPr>
        <w:pStyle w:val="ListParagraph"/>
        <w:numPr>
          <w:ilvl w:val="1"/>
          <w:numId w:val="126"/>
        </w:numPr>
        <w:tabs>
          <w:tab w:val="left" w:pos="1801"/>
          <w:tab w:val="left" w:pos="1802"/>
        </w:tabs>
        <w:spacing w:before="79" w:line="206" w:lineRule="auto"/>
        <w:ind w:right="1201"/>
        <w:rPr>
          <w:sz w:val="20"/>
        </w:rPr>
      </w:pPr>
      <w:r>
        <w:rPr>
          <w:color w:val="231F20"/>
          <w:sz w:val="20"/>
        </w:rPr>
        <w:t>When</w:t>
      </w:r>
      <w:r>
        <w:rPr>
          <w:color w:val="231F20"/>
          <w:spacing w:val="-8"/>
          <w:sz w:val="20"/>
        </w:rPr>
        <w:t xml:space="preserve"> </w:t>
      </w:r>
      <w:r>
        <w:rPr>
          <w:color w:val="231F20"/>
          <w:sz w:val="20"/>
        </w:rPr>
        <w:t>it</w:t>
      </w:r>
      <w:r>
        <w:rPr>
          <w:color w:val="231F20"/>
          <w:spacing w:val="-7"/>
          <w:sz w:val="20"/>
        </w:rPr>
        <w:t xml:space="preserve"> </w:t>
      </w:r>
      <w:r>
        <w:rPr>
          <w:color w:val="231F20"/>
          <w:sz w:val="20"/>
        </w:rPr>
        <w:t>implements</w:t>
      </w:r>
      <w:r>
        <w:rPr>
          <w:color w:val="231F20"/>
          <w:spacing w:val="-7"/>
          <w:sz w:val="20"/>
        </w:rPr>
        <w:t xml:space="preserve"> </w:t>
      </w:r>
      <w:r>
        <w:rPr>
          <w:color w:val="231F20"/>
          <w:sz w:val="20"/>
        </w:rPr>
        <w:t>victim</w:t>
      </w:r>
      <w:r>
        <w:rPr>
          <w:color w:val="231F20"/>
          <w:spacing w:val="-7"/>
          <w:sz w:val="20"/>
        </w:rPr>
        <w:t xml:space="preserve"> </w:t>
      </w:r>
      <w:r>
        <w:rPr>
          <w:color w:val="231F20"/>
          <w:sz w:val="20"/>
        </w:rPr>
        <w:t>support</w:t>
      </w:r>
      <w:r>
        <w:rPr>
          <w:color w:val="231F20"/>
          <w:spacing w:val="-7"/>
          <w:sz w:val="20"/>
        </w:rPr>
        <w:t xml:space="preserve"> </w:t>
      </w:r>
      <w:r>
        <w:rPr>
          <w:color w:val="231F20"/>
          <w:spacing w:val="-3"/>
          <w:sz w:val="20"/>
        </w:rPr>
        <w:t>reforms,</w:t>
      </w:r>
      <w:r>
        <w:rPr>
          <w:color w:val="231F20"/>
          <w:spacing w:val="-7"/>
          <w:sz w:val="20"/>
        </w:rPr>
        <w:t xml:space="preserve"> </w:t>
      </w:r>
      <w:r>
        <w:rPr>
          <w:color w:val="231F20"/>
          <w:sz w:val="20"/>
        </w:rPr>
        <w:t>the</w:t>
      </w:r>
      <w:r>
        <w:rPr>
          <w:color w:val="231F20"/>
          <w:spacing w:val="-8"/>
          <w:sz w:val="20"/>
        </w:rPr>
        <w:t xml:space="preserve"> </w:t>
      </w:r>
      <w:r>
        <w:rPr>
          <w:color w:val="231F20"/>
          <w:sz w:val="20"/>
        </w:rPr>
        <w:t>Victorian</w:t>
      </w:r>
      <w:r>
        <w:rPr>
          <w:color w:val="231F20"/>
          <w:spacing w:val="-7"/>
          <w:sz w:val="20"/>
        </w:rPr>
        <w:t xml:space="preserve"> </w:t>
      </w:r>
      <w:r>
        <w:rPr>
          <w:color w:val="231F20"/>
          <w:spacing w:val="-3"/>
          <w:sz w:val="20"/>
        </w:rPr>
        <w:t>Government</w:t>
      </w:r>
      <w:r>
        <w:rPr>
          <w:color w:val="231F20"/>
          <w:spacing w:val="-7"/>
          <w:sz w:val="20"/>
        </w:rPr>
        <w:t xml:space="preserve"> </w:t>
      </w:r>
      <w:r>
        <w:rPr>
          <w:color w:val="231F20"/>
          <w:sz w:val="20"/>
        </w:rPr>
        <w:t>should</w:t>
      </w:r>
      <w:r>
        <w:rPr>
          <w:color w:val="231F20"/>
          <w:spacing w:val="-7"/>
          <w:sz w:val="20"/>
        </w:rPr>
        <w:t xml:space="preserve"> </w:t>
      </w:r>
      <w:r>
        <w:rPr>
          <w:color w:val="231F20"/>
          <w:spacing w:val="-3"/>
          <w:sz w:val="20"/>
        </w:rPr>
        <w:t>focus</w:t>
      </w:r>
      <w:r>
        <w:rPr>
          <w:color w:val="231F20"/>
          <w:spacing w:val="-7"/>
          <w:sz w:val="20"/>
        </w:rPr>
        <w:t xml:space="preserve"> </w:t>
      </w:r>
      <w:r>
        <w:rPr>
          <w:color w:val="231F20"/>
          <w:sz w:val="20"/>
        </w:rPr>
        <w:t xml:space="preserve">on strengthening support </w:t>
      </w:r>
      <w:r>
        <w:rPr>
          <w:color w:val="231F20"/>
          <w:spacing w:val="-3"/>
          <w:sz w:val="20"/>
        </w:rPr>
        <w:t xml:space="preserve">for under-served </w:t>
      </w:r>
      <w:r>
        <w:rPr>
          <w:color w:val="231F20"/>
          <w:sz w:val="20"/>
        </w:rPr>
        <w:t>groups,</w:t>
      </w:r>
      <w:r>
        <w:rPr>
          <w:color w:val="231F20"/>
          <w:spacing w:val="-18"/>
          <w:sz w:val="20"/>
        </w:rPr>
        <w:t xml:space="preserve"> </w:t>
      </w:r>
      <w:r>
        <w:rPr>
          <w:color w:val="231F20"/>
          <w:sz w:val="20"/>
        </w:rPr>
        <w:t>especially:</w:t>
      </w:r>
    </w:p>
    <w:p w14:paraId="600FA781" w14:textId="77777777" w:rsidR="00894070" w:rsidRDefault="009B7AFD">
      <w:pPr>
        <w:pStyle w:val="ListParagraph"/>
        <w:numPr>
          <w:ilvl w:val="2"/>
          <w:numId w:val="126"/>
        </w:numPr>
        <w:tabs>
          <w:tab w:val="left" w:pos="2141"/>
          <w:tab w:val="left" w:pos="2142"/>
        </w:tabs>
        <w:spacing w:before="91"/>
        <w:ind w:hanging="340"/>
        <w:rPr>
          <w:sz w:val="20"/>
        </w:rPr>
      </w:pPr>
      <w:r>
        <w:rPr>
          <w:color w:val="231F20"/>
          <w:sz w:val="20"/>
        </w:rPr>
        <w:t>people in rural and regional</w:t>
      </w:r>
      <w:r>
        <w:rPr>
          <w:color w:val="231F20"/>
          <w:spacing w:val="-22"/>
          <w:sz w:val="20"/>
        </w:rPr>
        <w:t xml:space="preserve"> </w:t>
      </w:r>
      <w:r>
        <w:rPr>
          <w:color w:val="231F20"/>
          <w:sz w:val="20"/>
        </w:rPr>
        <w:t>Victoria</w:t>
      </w:r>
    </w:p>
    <w:p w14:paraId="5399E7CA" w14:textId="77777777" w:rsidR="00894070" w:rsidRDefault="009B7AFD">
      <w:pPr>
        <w:pStyle w:val="ListParagraph"/>
        <w:numPr>
          <w:ilvl w:val="2"/>
          <w:numId w:val="126"/>
        </w:numPr>
        <w:tabs>
          <w:tab w:val="left" w:pos="2141"/>
          <w:tab w:val="left" w:pos="2142"/>
        </w:tabs>
        <w:spacing w:before="47"/>
        <w:ind w:hanging="340"/>
        <w:rPr>
          <w:sz w:val="20"/>
        </w:rPr>
      </w:pPr>
      <w:r>
        <w:rPr>
          <w:color w:val="231F20"/>
          <w:spacing w:val="-3"/>
          <w:sz w:val="20"/>
        </w:rPr>
        <w:t>children</w:t>
      </w:r>
    </w:p>
    <w:p w14:paraId="525E07C0" w14:textId="77777777" w:rsidR="00894070" w:rsidRDefault="009B7AFD">
      <w:pPr>
        <w:pStyle w:val="ListParagraph"/>
        <w:numPr>
          <w:ilvl w:val="2"/>
          <w:numId w:val="126"/>
        </w:numPr>
        <w:tabs>
          <w:tab w:val="left" w:pos="2141"/>
          <w:tab w:val="left" w:pos="2142"/>
        </w:tabs>
        <w:spacing w:before="47"/>
        <w:ind w:hanging="340"/>
        <w:rPr>
          <w:sz w:val="20"/>
        </w:rPr>
      </w:pPr>
      <w:r>
        <w:rPr>
          <w:color w:val="231F20"/>
          <w:sz w:val="20"/>
        </w:rPr>
        <w:t>people with</w:t>
      </w:r>
      <w:r>
        <w:rPr>
          <w:color w:val="231F20"/>
          <w:spacing w:val="-9"/>
          <w:sz w:val="20"/>
        </w:rPr>
        <w:t xml:space="preserve"> </w:t>
      </w:r>
      <w:r>
        <w:rPr>
          <w:color w:val="231F20"/>
          <w:sz w:val="20"/>
        </w:rPr>
        <w:t>disabilities.</w:t>
      </w:r>
    </w:p>
    <w:p w14:paraId="7C5C22A5" w14:textId="77777777" w:rsidR="00894070" w:rsidRDefault="009B7AFD">
      <w:pPr>
        <w:pStyle w:val="ListParagraph"/>
        <w:numPr>
          <w:ilvl w:val="1"/>
          <w:numId w:val="126"/>
        </w:numPr>
        <w:tabs>
          <w:tab w:val="left" w:pos="1801"/>
          <w:tab w:val="left" w:pos="1802"/>
        </w:tabs>
        <w:spacing w:before="80" w:line="206" w:lineRule="auto"/>
        <w:ind w:right="1565"/>
        <w:rPr>
          <w:sz w:val="20"/>
        </w:rPr>
      </w:pPr>
      <w:r>
        <w:rPr>
          <w:color w:val="231F20"/>
          <w:sz w:val="20"/>
        </w:rPr>
        <w:t xml:space="preserve">The support services should take advantage of advancements in </w:t>
      </w:r>
      <w:r>
        <w:rPr>
          <w:color w:val="231F20"/>
          <w:spacing w:val="-3"/>
          <w:sz w:val="20"/>
        </w:rPr>
        <w:t xml:space="preserve">technology, </w:t>
      </w:r>
      <w:r>
        <w:rPr>
          <w:color w:val="231F20"/>
          <w:sz w:val="20"/>
        </w:rPr>
        <w:t xml:space="preserve">especially </w:t>
      </w:r>
      <w:r>
        <w:rPr>
          <w:color w:val="231F20"/>
          <w:spacing w:val="-3"/>
          <w:sz w:val="20"/>
        </w:rPr>
        <w:t xml:space="preserve">following </w:t>
      </w:r>
      <w:r>
        <w:rPr>
          <w:color w:val="231F20"/>
          <w:sz w:val="20"/>
        </w:rPr>
        <w:t xml:space="preserve">the </w:t>
      </w:r>
      <w:r>
        <w:rPr>
          <w:color w:val="231F20"/>
          <w:spacing w:val="-3"/>
          <w:sz w:val="20"/>
        </w:rPr>
        <w:t xml:space="preserve">coronavirus (COVID-19) </w:t>
      </w:r>
      <w:r>
        <w:rPr>
          <w:color w:val="231F20"/>
          <w:sz w:val="20"/>
        </w:rPr>
        <w:t xml:space="preserve">pandemic, where </w:t>
      </w:r>
      <w:r>
        <w:rPr>
          <w:color w:val="231F20"/>
          <w:spacing w:val="-3"/>
          <w:sz w:val="20"/>
        </w:rPr>
        <w:t xml:space="preserve">appropriate </w:t>
      </w:r>
      <w:r>
        <w:rPr>
          <w:color w:val="231F20"/>
          <w:sz w:val="20"/>
        </w:rPr>
        <w:t>and if</w:t>
      </w:r>
      <w:r>
        <w:rPr>
          <w:color w:val="231F20"/>
          <w:spacing w:val="-9"/>
          <w:sz w:val="20"/>
        </w:rPr>
        <w:t xml:space="preserve"> </w:t>
      </w:r>
      <w:r>
        <w:rPr>
          <w:color w:val="231F20"/>
          <w:sz w:val="20"/>
        </w:rPr>
        <w:t>this</w:t>
      </w:r>
      <w:r>
        <w:rPr>
          <w:color w:val="231F20"/>
          <w:spacing w:val="-9"/>
          <w:sz w:val="20"/>
        </w:rPr>
        <w:t xml:space="preserve"> </w:t>
      </w:r>
      <w:r>
        <w:rPr>
          <w:color w:val="231F20"/>
          <w:sz w:val="20"/>
        </w:rPr>
        <w:t>is</w:t>
      </w:r>
      <w:r>
        <w:rPr>
          <w:color w:val="231F20"/>
          <w:spacing w:val="-8"/>
          <w:sz w:val="20"/>
        </w:rPr>
        <w:t xml:space="preserve"> </w:t>
      </w:r>
      <w:r>
        <w:rPr>
          <w:color w:val="231F20"/>
          <w:sz w:val="20"/>
        </w:rPr>
        <w:t>what</w:t>
      </w:r>
      <w:r>
        <w:rPr>
          <w:color w:val="231F20"/>
          <w:spacing w:val="-9"/>
          <w:sz w:val="20"/>
        </w:rPr>
        <w:t xml:space="preserve"> </w:t>
      </w:r>
      <w:r>
        <w:rPr>
          <w:color w:val="231F20"/>
          <w:sz w:val="20"/>
        </w:rPr>
        <w:t>the</w:t>
      </w:r>
      <w:r>
        <w:rPr>
          <w:color w:val="231F20"/>
          <w:spacing w:val="-9"/>
          <w:sz w:val="20"/>
        </w:rPr>
        <w:t xml:space="preserve"> </w:t>
      </w:r>
      <w:r>
        <w:rPr>
          <w:color w:val="231F20"/>
          <w:sz w:val="20"/>
        </w:rPr>
        <w:t>victim</w:t>
      </w:r>
      <w:r>
        <w:rPr>
          <w:color w:val="231F20"/>
          <w:spacing w:val="-8"/>
          <w:sz w:val="20"/>
        </w:rPr>
        <w:t xml:space="preserve"> </w:t>
      </w:r>
      <w:r>
        <w:rPr>
          <w:color w:val="231F20"/>
          <w:sz w:val="20"/>
        </w:rPr>
        <w:t>survivor</w:t>
      </w:r>
      <w:r>
        <w:rPr>
          <w:color w:val="231F20"/>
          <w:spacing w:val="-9"/>
          <w:sz w:val="20"/>
        </w:rPr>
        <w:t xml:space="preserve"> </w:t>
      </w:r>
      <w:r>
        <w:rPr>
          <w:color w:val="231F20"/>
          <w:spacing w:val="-3"/>
          <w:sz w:val="20"/>
        </w:rPr>
        <w:t>prefers.</w:t>
      </w:r>
      <w:r>
        <w:rPr>
          <w:color w:val="231F20"/>
          <w:spacing w:val="-9"/>
          <w:sz w:val="20"/>
        </w:rPr>
        <w:t xml:space="preserve"> </w:t>
      </w:r>
      <w:r>
        <w:rPr>
          <w:color w:val="231F20"/>
          <w:spacing w:val="-3"/>
          <w:sz w:val="20"/>
        </w:rPr>
        <w:t>For</w:t>
      </w:r>
      <w:r>
        <w:rPr>
          <w:color w:val="231F20"/>
          <w:spacing w:val="-8"/>
          <w:sz w:val="20"/>
        </w:rPr>
        <w:t xml:space="preserve"> </w:t>
      </w:r>
      <w:r>
        <w:rPr>
          <w:color w:val="231F20"/>
          <w:spacing w:val="-3"/>
          <w:sz w:val="20"/>
        </w:rPr>
        <w:t>example,</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8"/>
          <w:sz w:val="20"/>
        </w:rPr>
        <w:t xml:space="preserve"> </w:t>
      </w:r>
      <w:r>
        <w:rPr>
          <w:color w:val="231F20"/>
          <w:sz w:val="20"/>
        </w:rPr>
        <w:t>could</w:t>
      </w:r>
      <w:r>
        <w:rPr>
          <w:color w:val="231F20"/>
          <w:spacing w:val="-9"/>
          <w:sz w:val="20"/>
        </w:rPr>
        <w:t xml:space="preserve"> </w:t>
      </w:r>
      <w:r>
        <w:rPr>
          <w:color w:val="231F20"/>
          <w:sz w:val="20"/>
        </w:rPr>
        <w:t>access services online via</w:t>
      </w:r>
      <w:r>
        <w:rPr>
          <w:color w:val="231F20"/>
          <w:spacing w:val="-14"/>
          <w:sz w:val="20"/>
        </w:rPr>
        <w:t xml:space="preserve"> </w:t>
      </w:r>
      <w:proofErr w:type="gramStart"/>
      <w:r>
        <w:rPr>
          <w:color w:val="231F20"/>
          <w:sz w:val="20"/>
        </w:rPr>
        <w:t>video-conferencing</w:t>
      </w:r>
      <w:proofErr w:type="gramEnd"/>
      <w:r>
        <w:rPr>
          <w:color w:val="231F20"/>
          <w:sz w:val="20"/>
        </w:rPr>
        <w:t>.</w:t>
      </w:r>
    </w:p>
    <w:p w14:paraId="75AA023C" w14:textId="77777777" w:rsidR="00894070" w:rsidRDefault="00894070">
      <w:pPr>
        <w:pStyle w:val="BodyText"/>
        <w:spacing w:before="12"/>
        <w:rPr>
          <w:sz w:val="15"/>
        </w:rPr>
      </w:pPr>
    </w:p>
    <w:p w14:paraId="1624A006" w14:textId="77777777" w:rsidR="00894070" w:rsidRDefault="009B7AFD">
      <w:pPr>
        <w:pStyle w:val="Heading8"/>
        <w:ind w:left="1007"/>
      </w:pPr>
      <w:r>
        <w:rPr>
          <w:color w:val="231F20"/>
        </w:rPr>
        <w:t>Victim support staff must be supported to understand stalking</w:t>
      </w:r>
    </w:p>
    <w:p w14:paraId="161BD322" w14:textId="77777777" w:rsidR="00894070" w:rsidRDefault="009B7AFD">
      <w:pPr>
        <w:pStyle w:val="ListParagraph"/>
        <w:numPr>
          <w:ilvl w:val="1"/>
          <w:numId w:val="126"/>
        </w:numPr>
        <w:tabs>
          <w:tab w:val="left" w:pos="1801"/>
          <w:tab w:val="left" w:pos="1802"/>
        </w:tabs>
        <w:spacing w:before="127" w:line="206" w:lineRule="auto"/>
        <w:ind w:right="1204"/>
        <w:rPr>
          <w:sz w:val="11"/>
        </w:rPr>
      </w:pPr>
      <w:r>
        <w:rPr>
          <w:color w:val="231F20"/>
          <w:sz w:val="20"/>
        </w:rPr>
        <w:t xml:space="preserve">As </w:t>
      </w:r>
      <w:r>
        <w:rPr>
          <w:color w:val="231F20"/>
          <w:spacing w:val="-3"/>
          <w:sz w:val="20"/>
        </w:rPr>
        <w:t xml:space="preserve">we </w:t>
      </w:r>
      <w:r>
        <w:rPr>
          <w:color w:val="231F20"/>
          <w:sz w:val="20"/>
        </w:rPr>
        <w:t xml:space="preserve">discuss in </w:t>
      </w:r>
      <w:r>
        <w:rPr>
          <w:color w:val="231F20"/>
          <w:spacing w:val="-3"/>
          <w:sz w:val="20"/>
        </w:rPr>
        <w:t xml:space="preserve">Chapter </w:t>
      </w:r>
      <w:r>
        <w:rPr>
          <w:color w:val="231F20"/>
          <w:sz w:val="20"/>
        </w:rPr>
        <w:t xml:space="preserve">4, stalking is not </w:t>
      </w:r>
      <w:r>
        <w:rPr>
          <w:color w:val="231F20"/>
          <w:spacing w:val="-3"/>
          <w:sz w:val="20"/>
        </w:rPr>
        <w:t xml:space="preserve">well </w:t>
      </w:r>
      <w:r>
        <w:rPr>
          <w:color w:val="231F20"/>
          <w:sz w:val="20"/>
        </w:rPr>
        <w:t xml:space="preserve">understood. It is important that </w:t>
      </w:r>
      <w:r>
        <w:rPr>
          <w:color w:val="231F20"/>
          <w:spacing w:val="-3"/>
          <w:sz w:val="20"/>
        </w:rPr>
        <w:t xml:space="preserve">any </w:t>
      </w:r>
      <w:r>
        <w:rPr>
          <w:color w:val="231F20"/>
          <w:sz w:val="20"/>
        </w:rPr>
        <w:t>victim</w:t>
      </w:r>
      <w:r>
        <w:rPr>
          <w:color w:val="231F20"/>
          <w:spacing w:val="-12"/>
          <w:sz w:val="20"/>
        </w:rPr>
        <w:t xml:space="preserve"> </w:t>
      </w:r>
      <w:r>
        <w:rPr>
          <w:color w:val="231F20"/>
          <w:sz w:val="20"/>
        </w:rPr>
        <w:t>support</w:t>
      </w:r>
      <w:r>
        <w:rPr>
          <w:color w:val="231F20"/>
          <w:spacing w:val="-12"/>
          <w:sz w:val="20"/>
        </w:rPr>
        <w:t xml:space="preserve"> </w:t>
      </w:r>
      <w:r>
        <w:rPr>
          <w:color w:val="231F20"/>
          <w:sz w:val="20"/>
        </w:rPr>
        <w:t>service</w:t>
      </w:r>
      <w:r>
        <w:rPr>
          <w:color w:val="231F20"/>
          <w:spacing w:val="-12"/>
          <w:sz w:val="20"/>
        </w:rPr>
        <w:t xml:space="preserve"> </w:t>
      </w:r>
      <w:r>
        <w:rPr>
          <w:color w:val="231F20"/>
          <w:sz w:val="20"/>
        </w:rPr>
        <w:t>is</w:t>
      </w:r>
      <w:r>
        <w:rPr>
          <w:color w:val="231F20"/>
          <w:spacing w:val="-12"/>
          <w:sz w:val="20"/>
        </w:rPr>
        <w:t xml:space="preserve"> </w:t>
      </w:r>
      <w:r>
        <w:rPr>
          <w:color w:val="231F20"/>
          <w:sz w:val="20"/>
        </w:rPr>
        <w:t>staffed</w:t>
      </w:r>
      <w:r>
        <w:rPr>
          <w:color w:val="231F20"/>
          <w:spacing w:val="-12"/>
          <w:sz w:val="20"/>
        </w:rPr>
        <w:t xml:space="preserve"> </w:t>
      </w:r>
      <w:r>
        <w:rPr>
          <w:color w:val="231F20"/>
          <w:sz w:val="20"/>
        </w:rPr>
        <w:t>with</w:t>
      </w:r>
      <w:r>
        <w:rPr>
          <w:color w:val="231F20"/>
          <w:spacing w:val="-12"/>
          <w:sz w:val="20"/>
        </w:rPr>
        <w:t xml:space="preserve"> </w:t>
      </w:r>
      <w:r>
        <w:rPr>
          <w:color w:val="231F20"/>
          <w:sz w:val="20"/>
        </w:rPr>
        <w:t>people</w:t>
      </w:r>
      <w:r>
        <w:rPr>
          <w:color w:val="231F20"/>
          <w:spacing w:val="-12"/>
          <w:sz w:val="20"/>
        </w:rPr>
        <w:t xml:space="preserve"> </w:t>
      </w:r>
      <w:r>
        <w:rPr>
          <w:color w:val="231F20"/>
          <w:sz w:val="20"/>
        </w:rPr>
        <w:t>who</w:t>
      </w:r>
      <w:r>
        <w:rPr>
          <w:color w:val="231F20"/>
          <w:spacing w:val="-12"/>
          <w:sz w:val="20"/>
        </w:rPr>
        <w:t xml:space="preserve"> </w:t>
      </w:r>
      <w:r>
        <w:rPr>
          <w:color w:val="231F20"/>
          <w:sz w:val="20"/>
        </w:rPr>
        <w:t>understand</w:t>
      </w:r>
      <w:r>
        <w:rPr>
          <w:color w:val="231F20"/>
          <w:spacing w:val="-12"/>
          <w:sz w:val="20"/>
        </w:rPr>
        <w:t xml:space="preserve"> </w:t>
      </w:r>
      <w:r>
        <w:rPr>
          <w:color w:val="231F20"/>
          <w:sz w:val="20"/>
        </w:rPr>
        <w:t>stalking,</w:t>
      </w:r>
      <w:r>
        <w:rPr>
          <w:color w:val="231F20"/>
          <w:spacing w:val="-12"/>
          <w:sz w:val="20"/>
        </w:rPr>
        <w:t xml:space="preserve"> </w:t>
      </w:r>
      <w:r>
        <w:rPr>
          <w:color w:val="231F20"/>
          <w:sz w:val="20"/>
        </w:rPr>
        <w:t>including</w:t>
      </w:r>
      <w:r>
        <w:rPr>
          <w:color w:val="231F20"/>
          <w:spacing w:val="-12"/>
          <w:sz w:val="20"/>
        </w:rPr>
        <w:t xml:space="preserve"> </w:t>
      </w:r>
      <w:r>
        <w:rPr>
          <w:color w:val="231F20"/>
          <w:sz w:val="20"/>
        </w:rPr>
        <w:t>what</w:t>
      </w:r>
      <w:r>
        <w:rPr>
          <w:color w:val="231F20"/>
          <w:spacing w:val="-12"/>
          <w:sz w:val="20"/>
        </w:rPr>
        <w:t xml:space="preserve"> </w:t>
      </w:r>
      <w:r>
        <w:rPr>
          <w:color w:val="231F20"/>
          <w:sz w:val="20"/>
        </w:rPr>
        <w:t xml:space="preserve">it is, </w:t>
      </w:r>
      <w:r>
        <w:rPr>
          <w:color w:val="231F20"/>
          <w:spacing w:val="-3"/>
          <w:sz w:val="20"/>
        </w:rPr>
        <w:t xml:space="preserve">how </w:t>
      </w:r>
      <w:r>
        <w:rPr>
          <w:color w:val="231F20"/>
          <w:sz w:val="20"/>
        </w:rPr>
        <w:t>it presents,</w:t>
      </w:r>
      <w:r>
        <w:rPr>
          <w:color w:val="231F20"/>
          <w:position w:val="7"/>
          <w:sz w:val="11"/>
        </w:rPr>
        <w:t xml:space="preserve">108 </w:t>
      </w:r>
      <w:r>
        <w:rPr>
          <w:color w:val="231F20"/>
          <w:sz w:val="20"/>
        </w:rPr>
        <w:t>and its effects.</w:t>
      </w:r>
      <w:r>
        <w:rPr>
          <w:color w:val="231F20"/>
          <w:position w:val="7"/>
          <w:sz w:val="11"/>
        </w:rPr>
        <w:t xml:space="preserve">109 </w:t>
      </w:r>
      <w:r>
        <w:rPr>
          <w:color w:val="231F20"/>
          <w:sz w:val="20"/>
        </w:rPr>
        <w:t xml:space="preserve">This </w:t>
      </w:r>
      <w:r>
        <w:rPr>
          <w:color w:val="231F20"/>
          <w:spacing w:val="-3"/>
          <w:sz w:val="20"/>
        </w:rPr>
        <w:t xml:space="preserve">would </w:t>
      </w:r>
      <w:r>
        <w:rPr>
          <w:color w:val="231F20"/>
          <w:sz w:val="20"/>
        </w:rPr>
        <w:t>help guide the victim survivor to the right services and get them the support they</w:t>
      </w:r>
      <w:r>
        <w:rPr>
          <w:color w:val="231F20"/>
          <w:spacing w:val="-35"/>
          <w:sz w:val="20"/>
        </w:rPr>
        <w:t xml:space="preserve"> </w:t>
      </w:r>
      <w:r>
        <w:rPr>
          <w:color w:val="231F20"/>
          <w:sz w:val="20"/>
        </w:rPr>
        <w:t>need.</w:t>
      </w:r>
      <w:r>
        <w:rPr>
          <w:color w:val="231F20"/>
          <w:position w:val="7"/>
          <w:sz w:val="11"/>
        </w:rPr>
        <w:t>110</w:t>
      </w:r>
    </w:p>
    <w:p w14:paraId="447F87BB" w14:textId="77777777" w:rsidR="00894070" w:rsidRDefault="00894070">
      <w:pPr>
        <w:pStyle w:val="BodyText"/>
      </w:pPr>
    </w:p>
    <w:p w14:paraId="6B86FC9A" w14:textId="77777777" w:rsidR="00894070" w:rsidRDefault="00894070">
      <w:pPr>
        <w:pStyle w:val="BodyText"/>
      </w:pPr>
    </w:p>
    <w:p w14:paraId="3495A0D3" w14:textId="77777777" w:rsidR="00894070" w:rsidRDefault="00894070">
      <w:pPr>
        <w:pStyle w:val="BodyText"/>
      </w:pPr>
    </w:p>
    <w:p w14:paraId="6B47824F" w14:textId="77777777" w:rsidR="00894070" w:rsidRDefault="00894070">
      <w:pPr>
        <w:pStyle w:val="BodyText"/>
      </w:pPr>
    </w:p>
    <w:p w14:paraId="315F11BA" w14:textId="77777777" w:rsidR="00894070" w:rsidRDefault="00894070">
      <w:pPr>
        <w:pStyle w:val="BodyText"/>
      </w:pPr>
    </w:p>
    <w:p w14:paraId="2737DE52" w14:textId="77777777" w:rsidR="00894070" w:rsidRDefault="00894070">
      <w:pPr>
        <w:pStyle w:val="BodyText"/>
      </w:pPr>
    </w:p>
    <w:p w14:paraId="2558A9C9" w14:textId="77777777" w:rsidR="00894070" w:rsidRDefault="00894070">
      <w:pPr>
        <w:pStyle w:val="BodyText"/>
      </w:pPr>
    </w:p>
    <w:p w14:paraId="55764E1F" w14:textId="77777777" w:rsidR="00894070" w:rsidRDefault="00894070">
      <w:pPr>
        <w:pStyle w:val="BodyText"/>
      </w:pPr>
    </w:p>
    <w:p w14:paraId="369FEDC1" w14:textId="77777777" w:rsidR="00894070" w:rsidRDefault="00894070">
      <w:pPr>
        <w:pStyle w:val="BodyText"/>
      </w:pPr>
    </w:p>
    <w:p w14:paraId="3070CD92" w14:textId="77777777" w:rsidR="00894070" w:rsidRDefault="00894070">
      <w:pPr>
        <w:pStyle w:val="BodyText"/>
      </w:pPr>
    </w:p>
    <w:p w14:paraId="728B2650" w14:textId="77777777" w:rsidR="00894070" w:rsidRDefault="00894070">
      <w:pPr>
        <w:pStyle w:val="BodyText"/>
      </w:pPr>
    </w:p>
    <w:p w14:paraId="5F49C7D1" w14:textId="77777777" w:rsidR="00894070" w:rsidRDefault="00894070">
      <w:pPr>
        <w:pStyle w:val="BodyText"/>
      </w:pPr>
    </w:p>
    <w:p w14:paraId="2C838767" w14:textId="77777777" w:rsidR="00894070" w:rsidRDefault="00894070">
      <w:pPr>
        <w:pStyle w:val="BodyText"/>
      </w:pPr>
    </w:p>
    <w:p w14:paraId="4CEE322A" w14:textId="77777777" w:rsidR="00894070" w:rsidRDefault="00894070">
      <w:pPr>
        <w:pStyle w:val="BodyText"/>
      </w:pPr>
    </w:p>
    <w:p w14:paraId="6907547D" w14:textId="77777777" w:rsidR="00894070" w:rsidRDefault="009F6793">
      <w:pPr>
        <w:pStyle w:val="BodyText"/>
        <w:spacing w:before="10"/>
        <w:rPr>
          <w:sz w:val="26"/>
        </w:rPr>
      </w:pPr>
      <w:r>
        <w:pict w14:anchorId="7D0FC2BC">
          <v:line id="_x0000_s1404" style="position:absolute;z-index:251610112;mso-wrap-distance-left:0;mso-wrap-distance-right:0;mso-position-horizontal-relative:page" from="79.35pt,21.05pt" to="515.9pt,21.05pt" strokecolor="#f8cabc" strokeweight="1pt">
            <w10:wrap type="topAndBottom" anchorx="page"/>
          </v:line>
        </w:pict>
      </w:r>
    </w:p>
    <w:p w14:paraId="59413A71" w14:textId="77777777" w:rsidR="00894070" w:rsidRDefault="009B7AFD">
      <w:pPr>
        <w:pStyle w:val="ListParagraph"/>
        <w:numPr>
          <w:ilvl w:val="0"/>
          <w:numId w:val="113"/>
        </w:numPr>
        <w:tabs>
          <w:tab w:val="left" w:pos="1801"/>
          <w:tab w:val="left" w:pos="1802"/>
        </w:tabs>
        <w:spacing w:before="91" w:line="170" w:lineRule="exact"/>
        <w:rPr>
          <w:sz w:val="13"/>
        </w:rPr>
      </w:pPr>
      <w:r>
        <w:rPr>
          <w:color w:val="231F20"/>
          <w:sz w:val="13"/>
        </w:rPr>
        <w:t>Consultation 16 (Centre for Excellence in Child and Family Welfare: Young People and</w:t>
      </w:r>
      <w:r>
        <w:rPr>
          <w:color w:val="231F20"/>
          <w:spacing w:val="10"/>
          <w:sz w:val="13"/>
        </w:rPr>
        <w:t xml:space="preserve"> </w:t>
      </w:r>
      <w:r>
        <w:rPr>
          <w:color w:val="231F20"/>
          <w:sz w:val="13"/>
        </w:rPr>
        <w:t>Stalking).</w:t>
      </w:r>
    </w:p>
    <w:p w14:paraId="366BE4A2" w14:textId="77777777" w:rsidR="00894070" w:rsidRDefault="009B7AFD">
      <w:pPr>
        <w:pStyle w:val="ListParagraph"/>
        <w:numPr>
          <w:ilvl w:val="0"/>
          <w:numId w:val="113"/>
        </w:numPr>
        <w:tabs>
          <w:tab w:val="left" w:pos="1801"/>
          <w:tab w:val="left" w:pos="1802"/>
        </w:tabs>
        <w:spacing w:line="160" w:lineRule="exact"/>
        <w:rPr>
          <w:sz w:val="13"/>
        </w:rPr>
      </w:pPr>
      <w:r>
        <w:rPr>
          <w:color w:val="231F20"/>
          <w:sz w:val="13"/>
        </w:rPr>
        <w:t xml:space="preserve">Consultation 29 </w:t>
      </w:r>
      <w:r>
        <w:rPr>
          <w:color w:val="231F20"/>
          <w:spacing w:val="2"/>
          <w:sz w:val="13"/>
        </w:rPr>
        <w:t xml:space="preserve">(Alannah </w:t>
      </w:r>
      <w:r>
        <w:rPr>
          <w:color w:val="231F20"/>
          <w:sz w:val="13"/>
        </w:rPr>
        <w:t>&amp; Madeline</w:t>
      </w:r>
      <w:r>
        <w:rPr>
          <w:color w:val="231F20"/>
          <w:spacing w:val="-1"/>
          <w:sz w:val="13"/>
        </w:rPr>
        <w:t xml:space="preserve"> </w:t>
      </w:r>
      <w:r>
        <w:rPr>
          <w:color w:val="231F20"/>
          <w:sz w:val="13"/>
        </w:rPr>
        <w:t>Foundation).</w:t>
      </w:r>
    </w:p>
    <w:p w14:paraId="642EDDB0" w14:textId="77777777" w:rsidR="00894070" w:rsidRDefault="009B7AFD">
      <w:pPr>
        <w:pStyle w:val="ListParagraph"/>
        <w:numPr>
          <w:ilvl w:val="0"/>
          <w:numId w:val="113"/>
        </w:numPr>
        <w:tabs>
          <w:tab w:val="left" w:pos="1801"/>
          <w:tab w:val="left" w:pos="1802"/>
        </w:tabs>
        <w:spacing w:line="160" w:lineRule="exact"/>
        <w:rPr>
          <w:sz w:val="13"/>
        </w:rPr>
      </w:pPr>
      <w:r>
        <w:rPr>
          <w:color w:val="231F20"/>
          <w:sz w:val="13"/>
        </w:rPr>
        <w:t xml:space="preserve">Consultation 22 (Small group meeting on </w:t>
      </w:r>
      <w:r>
        <w:rPr>
          <w:color w:val="231F20"/>
          <w:spacing w:val="2"/>
          <w:sz w:val="13"/>
        </w:rPr>
        <w:t xml:space="preserve">stalking </w:t>
      </w:r>
      <w:r>
        <w:rPr>
          <w:color w:val="231F20"/>
          <w:sz w:val="13"/>
        </w:rPr>
        <w:t>and people with</w:t>
      </w:r>
      <w:r>
        <w:rPr>
          <w:color w:val="231F20"/>
          <w:spacing w:val="5"/>
          <w:sz w:val="13"/>
        </w:rPr>
        <w:t xml:space="preserve"> </w:t>
      </w:r>
      <w:r>
        <w:rPr>
          <w:color w:val="231F20"/>
          <w:sz w:val="13"/>
        </w:rPr>
        <w:t>disabilities).</w:t>
      </w:r>
    </w:p>
    <w:p w14:paraId="74FB83AC" w14:textId="77777777" w:rsidR="00894070" w:rsidRDefault="009B7AFD">
      <w:pPr>
        <w:pStyle w:val="ListParagraph"/>
        <w:numPr>
          <w:ilvl w:val="0"/>
          <w:numId w:val="113"/>
        </w:numPr>
        <w:tabs>
          <w:tab w:val="left" w:pos="1801"/>
          <w:tab w:val="left" w:pos="1802"/>
        </w:tabs>
        <w:spacing w:line="160" w:lineRule="exact"/>
        <w:rPr>
          <w:sz w:val="13"/>
        </w:rPr>
      </w:pPr>
      <w:r>
        <w:rPr>
          <w:color w:val="231F20"/>
          <w:sz w:val="13"/>
        </w:rPr>
        <w:t>Ibid.</w:t>
      </w:r>
    </w:p>
    <w:p w14:paraId="6FF75C69" w14:textId="77777777" w:rsidR="00894070" w:rsidRDefault="009B7AFD">
      <w:pPr>
        <w:pStyle w:val="ListParagraph"/>
        <w:numPr>
          <w:ilvl w:val="0"/>
          <w:numId w:val="113"/>
        </w:numPr>
        <w:tabs>
          <w:tab w:val="left" w:pos="1800"/>
          <w:tab w:val="left" w:pos="1802"/>
        </w:tabs>
        <w:spacing w:line="160" w:lineRule="exact"/>
        <w:rPr>
          <w:sz w:val="13"/>
        </w:rPr>
      </w:pPr>
      <w:r>
        <w:rPr>
          <w:color w:val="231F20"/>
          <w:sz w:val="13"/>
        </w:rPr>
        <w:t>Ibid.</w:t>
      </w:r>
    </w:p>
    <w:p w14:paraId="7FA11CF4" w14:textId="77777777" w:rsidR="00894070" w:rsidRDefault="009B7AFD">
      <w:pPr>
        <w:pStyle w:val="ListParagraph"/>
        <w:numPr>
          <w:ilvl w:val="0"/>
          <w:numId w:val="113"/>
        </w:numPr>
        <w:tabs>
          <w:tab w:val="left" w:pos="1800"/>
          <w:tab w:val="left" w:pos="1802"/>
        </w:tabs>
        <w:spacing w:line="160" w:lineRule="exact"/>
        <w:rPr>
          <w:sz w:val="13"/>
        </w:rPr>
      </w:pPr>
      <w:r>
        <w:rPr>
          <w:color w:val="231F20"/>
          <w:sz w:val="13"/>
        </w:rPr>
        <w:t>Consultation 15 (Forensicare (No 1)).</w:t>
      </w:r>
    </w:p>
    <w:p w14:paraId="62E0C3BC" w14:textId="77777777" w:rsidR="00894070" w:rsidRDefault="009F6793">
      <w:pPr>
        <w:pStyle w:val="ListParagraph"/>
        <w:numPr>
          <w:ilvl w:val="0"/>
          <w:numId w:val="113"/>
        </w:numPr>
        <w:tabs>
          <w:tab w:val="left" w:pos="1800"/>
          <w:tab w:val="left" w:pos="1802"/>
        </w:tabs>
        <w:spacing w:line="160" w:lineRule="exact"/>
        <w:rPr>
          <w:sz w:val="13"/>
        </w:rPr>
      </w:pPr>
      <w:r>
        <w:pict w14:anchorId="60AE98A3">
          <v:shape id="_x0000_s1403" type="#_x0000_t202" style="position:absolute;left:0;text-align:left;margin-left:548.7pt;margin-top:3.7pt;width:13.65pt;height:14.1pt;z-index:251691008;mso-position-horizontal-relative:page" filled="f" stroked="f">
            <v:textbox inset="0,0,0,0">
              <w:txbxContent>
                <w:p w14:paraId="78F329CB" w14:textId="77777777" w:rsidR="00894070" w:rsidRDefault="009B7AFD">
                  <w:pPr>
                    <w:spacing w:line="282" w:lineRule="exact"/>
                    <w:rPr>
                      <w:b/>
                      <w:sz w:val="24"/>
                    </w:rPr>
                  </w:pPr>
                  <w:r>
                    <w:rPr>
                      <w:b/>
                      <w:color w:val="EA5B50"/>
                      <w:spacing w:val="-4"/>
                      <w:sz w:val="24"/>
                    </w:rPr>
                    <w:t>87</w:t>
                  </w:r>
                </w:p>
              </w:txbxContent>
            </v:textbox>
            <w10:wrap anchorx="page"/>
          </v:shape>
        </w:pict>
      </w:r>
      <w:r w:rsidR="009B7AFD">
        <w:rPr>
          <w:color w:val="231F20"/>
          <w:spacing w:val="2"/>
          <w:sz w:val="13"/>
        </w:rPr>
        <w:t xml:space="preserve">Submission </w:t>
      </w:r>
      <w:r w:rsidR="009B7AFD">
        <w:rPr>
          <w:color w:val="231F20"/>
          <w:sz w:val="13"/>
        </w:rPr>
        <w:t>93 (Royal Australian and New Zealand College of</w:t>
      </w:r>
      <w:r w:rsidR="009B7AFD">
        <w:rPr>
          <w:color w:val="231F20"/>
          <w:spacing w:val="2"/>
          <w:sz w:val="13"/>
        </w:rPr>
        <w:t xml:space="preserve"> </w:t>
      </w:r>
      <w:r w:rsidR="009B7AFD">
        <w:rPr>
          <w:color w:val="231F20"/>
          <w:sz w:val="13"/>
        </w:rPr>
        <w:t>Psychiatrists).</w:t>
      </w:r>
    </w:p>
    <w:p w14:paraId="63C1F051" w14:textId="77777777" w:rsidR="00894070" w:rsidRDefault="009B7AFD">
      <w:pPr>
        <w:pStyle w:val="ListParagraph"/>
        <w:numPr>
          <w:ilvl w:val="0"/>
          <w:numId w:val="113"/>
        </w:numPr>
        <w:tabs>
          <w:tab w:val="left" w:pos="1801"/>
          <w:tab w:val="left" w:pos="1802"/>
        </w:tabs>
        <w:spacing w:line="170" w:lineRule="exact"/>
        <w:rPr>
          <w:sz w:val="13"/>
        </w:rPr>
      </w:pPr>
      <w:r>
        <w:rPr>
          <w:color w:val="231F20"/>
          <w:sz w:val="13"/>
        </w:rPr>
        <w:t>Ibid.</w:t>
      </w:r>
    </w:p>
    <w:p w14:paraId="222D3848" w14:textId="77777777" w:rsidR="00894070" w:rsidRDefault="00894070">
      <w:pPr>
        <w:spacing w:line="170" w:lineRule="exact"/>
        <w:rPr>
          <w:sz w:val="13"/>
        </w:rPr>
        <w:sectPr w:rsidR="00894070">
          <w:pgSz w:w="11910" w:h="16840"/>
          <w:pgMar w:top="840" w:right="420" w:bottom="280" w:left="580" w:header="0" w:footer="0" w:gutter="0"/>
          <w:cols w:space="720"/>
        </w:sectPr>
      </w:pPr>
    </w:p>
    <w:p w14:paraId="3BD4E85D" w14:textId="77777777" w:rsidR="00894070" w:rsidRDefault="00894070">
      <w:pPr>
        <w:pStyle w:val="BodyText"/>
      </w:pPr>
    </w:p>
    <w:p w14:paraId="71E31930" w14:textId="77777777" w:rsidR="00894070" w:rsidRDefault="00894070">
      <w:pPr>
        <w:pStyle w:val="BodyText"/>
      </w:pPr>
    </w:p>
    <w:p w14:paraId="304A4BBC" w14:textId="77777777" w:rsidR="00894070" w:rsidRDefault="00894070">
      <w:pPr>
        <w:pStyle w:val="BodyText"/>
      </w:pPr>
    </w:p>
    <w:p w14:paraId="2D484A88" w14:textId="77777777" w:rsidR="00894070" w:rsidRDefault="00894070">
      <w:pPr>
        <w:pStyle w:val="BodyText"/>
        <w:spacing w:before="10"/>
        <w:rPr>
          <w:sz w:val="28"/>
        </w:rPr>
      </w:pPr>
    </w:p>
    <w:p w14:paraId="49601813" w14:textId="77777777" w:rsidR="00894070" w:rsidRDefault="009F6793">
      <w:pPr>
        <w:pStyle w:val="Heading5"/>
      </w:pPr>
      <w:r>
        <w:pict w14:anchorId="25228640">
          <v:group id="_x0000_s1400" style="position:absolute;left:0;text-align:left;margin-left:62.35pt;margin-top:-6.35pt;width:479.1pt;height:346.45pt;z-index:-251498496;mso-position-horizontal-relative:page" coordorigin="1247,-127" coordsize="9582,6929">
            <v:rect id="_x0000_s1402" style="position:absolute;left:1587;top:-128;width:8731;height:6929" fillcolor="#fee7de" stroked="f"/>
            <v:line id="_x0000_s1401" style="position:absolute" from="1247,680" to="10828,680" strokecolor="white" strokeweight="2.5pt"/>
            <w10:wrap anchorx="page"/>
          </v:group>
        </w:pict>
      </w:r>
      <w:bookmarkStart w:id="106" w:name="A_new_model_of_victim_advocates_could_pr"/>
      <w:bookmarkStart w:id="107" w:name="_bookmark59"/>
      <w:bookmarkEnd w:id="106"/>
      <w:bookmarkEnd w:id="107"/>
      <w:r w:rsidR="009B7AFD">
        <w:rPr>
          <w:color w:val="EA5B50"/>
        </w:rPr>
        <w:t>Recommendations</w:t>
      </w:r>
    </w:p>
    <w:p w14:paraId="0688747C" w14:textId="77777777" w:rsidR="00894070" w:rsidRDefault="00894070">
      <w:pPr>
        <w:pStyle w:val="BodyText"/>
        <w:spacing w:before="1"/>
        <w:rPr>
          <w:rFonts w:ascii="Raleway ExtraBold"/>
          <w:b/>
          <w:sz w:val="31"/>
        </w:rPr>
      </w:pPr>
    </w:p>
    <w:p w14:paraId="3BE97BE2" w14:textId="77777777" w:rsidR="00894070" w:rsidRDefault="009B7AFD">
      <w:pPr>
        <w:pStyle w:val="ListParagraph"/>
        <w:numPr>
          <w:ilvl w:val="0"/>
          <w:numId w:val="127"/>
        </w:numPr>
        <w:tabs>
          <w:tab w:val="left" w:pos="1801"/>
          <w:tab w:val="left" w:pos="1802"/>
        </w:tabs>
        <w:spacing w:line="247" w:lineRule="auto"/>
        <w:ind w:left="1801" w:right="1467" w:hanging="567"/>
        <w:jc w:val="left"/>
        <w:rPr>
          <w:rFonts w:ascii="Trebuchet MS" w:hAnsi="Trebuchet MS"/>
          <w:color w:val="231F20"/>
          <w:sz w:val="20"/>
        </w:rPr>
      </w:pP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w w:val="105"/>
          <w:sz w:val="20"/>
        </w:rPr>
        <w:t>Victorian</w:t>
      </w:r>
      <w:r>
        <w:rPr>
          <w:rFonts w:ascii="Trebuchet MS" w:hAnsi="Trebuchet MS"/>
          <w:color w:val="231F20"/>
          <w:spacing w:val="-16"/>
          <w:w w:val="105"/>
          <w:sz w:val="20"/>
        </w:rPr>
        <w:t xml:space="preserve"> </w:t>
      </w:r>
      <w:r>
        <w:rPr>
          <w:rFonts w:ascii="Trebuchet MS" w:hAnsi="Trebuchet MS"/>
          <w:color w:val="231F20"/>
          <w:spacing w:val="-3"/>
          <w:w w:val="105"/>
          <w:sz w:val="20"/>
        </w:rPr>
        <w:t>Government</w:t>
      </w:r>
      <w:r>
        <w:rPr>
          <w:rFonts w:ascii="Trebuchet MS" w:hAnsi="Trebuchet MS"/>
          <w:color w:val="231F20"/>
          <w:spacing w:val="-16"/>
          <w:w w:val="105"/>
          <w:sz w:val="20"/>
        </w:rPr>
        <w:t xml:space="preserve"> </w:t>
      </w:r>
      <w:r>
        <w:rPr>
          <w:rFonts w:ascii="Trebuchet MS" w:hAnsi="Trebuchet MS"/>
          <w:color w:val="231F20"/>
          <w:w w:val="105"/>
          <w:sz w:val="20"/>
        </w:rPr>
        <w:t>should</w:t>
      </w:r>
      <w:r>
        <w:rPr>
          <w:rFonts w:ascii="Trebuchet MS" w:hAnsi="Trebuchet MS"/>
          <w:color w:val="231F20"/>
          <w:spacing w:val="-17"/>
          <w:w w:val="105"/>
          <w:sz w:val="20"/>
        </w:rPr>
        <w:t xml:space="preserve"> </w:t>
      </w:r>
      <w:r>
        <w:rPr>
          <w:rFonts w:ascii="Trebuchet MS" w:hAnsi="Trebuchet MS"/>
          <w:color w:val="231F20"/>
          <w:w w:val="105"/>
          <w:sz w:val="20"/>
        </w:rPr>
        <w:t>implement</w:t>
      </w:r>
      <w:r>
        <w:rPr>
          <w:rFonts w:ascii="Trebuchet MS" w:hAnsi="Trebuchet MS"/>
          <w:color w:val="231F20"/>
          <w:spacing w:val="-16"/>
          <w:w w:val="105"/>
          <w:sz w:val="20"/>
        </w:rPr>
        <w:t xml:space="preserve"> </w:t>
      </w:r>
      <w:r>
        <w:rPr>
          <w:rFonts w:ascii="Trebuchet MS" w:hAnsi="Trebuchet MS"/>
          <w:color w:val="231F20"/>
          <w:w w:val="105"/>
          <w:sz w:val="20"/>
        </w:rPr>
        <w:t>the</w:t>
      </w:r>
      <w:r>
        <w:rPr>
          <w:rFonts w:ascii="Trebuchet MS" w:hAnsi="Trebuchet MS"/>
          <w:color w:val="231F20"/>
          <w:spacing w:val="-16"/>
          <w:w w:val="105"/>
          <w:sz w:val="20"/>
        </w:rPr>
        <w:t xml:space="preserve"> </w:t>
      </w:r>
      <w:r>
        <w:rPr>
          <w:rFonts w:ascii="Trebuchet MS" w:hAnsi="Trebuchet MS"/>
          <w:color w:val="231F20"/>
          <w:w w:val="105"/>
          <w:sz w:val="20"/>
        </w:rPr>
        <w:t>victim</w:t>
      </w:r>
      <w:r>
        <w:rPr>
          <w:rFonts w:ascii="Trebuchet MS" w:hAnsi="Trebuchet MS"/>
          <w:color w:val="231F20"/>
          <w:spacing w:val="-17"/>
          <w:w w:val="105"/>
          <w:sz w:val="20"/>
        </w:rPr>
        <w:t xml:space="preserve"> </w:t>
      </w:r>
      <w:r>
        <w:rPr>
          <w:rFonts w:ascii="Trebuchet MS" w:hAnsi="Trebuchet MS"/>
          <w:color w:val="231F20"/>
          <w:w w:val="105"/>
          <w:sz w:val="20"/>
        </w:rPr>
        <w:t>support</w:t>
      </w:r>
      <w:r>
        <w:rPr>
          <w:rFonts w:ascii="Trebuchet MS" w:hAnsi="Trebuchet MS"/>
          <w:color w:val="231F20"/>
          <w:spacing w:val="-16"/>
          <w:w w:val="105"/>
          <w:sz w:val="20"/>
        </w:rPr>
        <w:t xml:space="preserve"> </w:t>
      </w:r>
      <w:r>
        <w:rPr>
          <w:rFonts w:ascii="Trebuchet MS" w:hAnsi="Trebuchet MS"/>
          <w:color w:val="231F20"/>
          <w:w w:val="105"/>
          <w:sz w:val="20"/>
        </w:rPr>
        <w:t>recommendations in</w:t>
      </w:r>
      <w:r>
        <w:rPr>
          <w:rFonts w:ascii="Trebuchet MS" w:hAnsi="Trebuchet MS"/>
          <w:color w:val="231F20"/>
          <w:spacing w:val="-30"/>
          <w:w w:val="105"/>
          <w:sz w:val="20"/>
        </w:rPr>
        <w:t xml:space="preserve"> </w:t>
      </w:r>
      <w:r>
        <w:rPr>
          <w:rFonts w:ascii="Trebuchet MS" w:hAnsi="Trebuchet MS"/>
          <w:color w:val="231F20"/>
          <w:w w:val="105"/>
          <w:sz w:val="20"/>
        </w:rPr>
        <w:t>the</w:t>
      </w:r>
      <w:r>
        <w:rPr>
          <w:rFonts w:ascii="Trebuchet MS" w:hAnsi="Trebuchet MS"/>
          <w:color w:val="231F20"/>
          <w:spacing w:val="-30"/>
          <w:w w:val="105"/>
          <w:sz w:val="20"/>
        </w:rPr>
        <w:t xml:space="preserve"> </w:t>
      </w:r>
      <w:r>
        <w:rPr>
          <w:rFonts w:ascii="Trebuchet MS" w:hAnsi="Trebuchet MS"/>
          <w:color w:val="231F20"/>
          <w:spacing w:val="-2"/>
          <w:w w:val="105"/>
          <w:sz w:val="20"/>
        </w:rPr>
        <w:t>Centre</w:t>
      </w:r>
      <w:r>
        <w:rPr>
          <w:rFonts w:ascii="Trebuchet MS" w:hAnsi="Trebuchet MS"/>
          <w:color w:val="231F20"/>
          <w:spacing w:val="-30"/>
          <w:w w:val="105"/>
          <w:sz w:val="20"/>
        </w:rPr>
        <w:t xml:space="preserve"> </w:t>
      </w:r>
      <w:r>
        <w:rPr>
          <w:rFonts w:ascii="Trebuchet MS" w:hAnsi="Trebuchet MS"/>
          <w:color w:val="231F20"/>
          <w:w w:val="105"/>
          <w:sz w:val="20"/>
        </w:rPr>
        <w:t>for</w:t>
      </w:r>
      <w:r>
        <w:rPr>
          <w:rFonts w:ascii="Trebuchet MS" w:hAnsi="Trebuchet MS"/>
          <w:color w:val="231F20"/>
          <w:spacing w:val="-30"/>
          <w:w w:val="105"/>
          <w:sz w:val="20"/>
        </w:rPr>
        <w:t xml:space="preserve"> </w:t>
      </w:r>
      <w:r>
        <w:rPr>
          <w:rFonts w:ascii="Trebuchet MS" w:hAnsi="Trebuchet MS"/>
          <w:color w:val="231F20"/>
          <w:spacing w:val="-3"/>
          <w:w w:val="105"/>
          <w:sz w:val="20"/>
        </w:rPr>
        <w:t>Innovative</w:t>
      </w:r>
      <w:r>
        <w:rPr>
          <w:rFonts w:ascii="Trebuchet MS" w:hAnsi="Trebuchet MS"/>
          <w:color w:val="231F20"/>
          <w:spacing w:val="-30"/>
          <w:w w:val="105"/>
          <w:sz w:val="20"/>
        </w:rPr>
        <w:t xml:space="preserve"> </w:t>
      </w:r>
      <w:r>
        <w:rPr>
          <w:rFonts w:ascii="Trebuchet MS" w:hAnsi="Trebuchet MS"/>
          <w:color w:val="231F20"/>
          <w:w w:val="105"/>
          <w:sz w:val="20"/>
        </w:rPr>
        <w:t>Justice</w:t>
      </w:r>
      <w:r>
        <w:rPr>
          <w:rFonts w:ascii="Trebuchet MS" w:hAnsi="Trebuchet MS"/>
          <w:color w:val="231F20"/>
          <w:spacing w:val="-30"/>
          <w:w w:val="105"/>
          <w:sz w:val="20"/>
        </w:rPr>
        <w:t xml:space="preserve"> </w:t>
      </w:r>
      <w:r>
        <w:rPr>
          <w:rFonts w:ascii="Arial" w:hAnsi="Arial"/>
          <w:i/>
          <w:color w:val="231F20"/>
          <w:w w:val="105"/>
          <w:sz w:val="20"/>
        </w:rPr>
        <w:t>Strengthening</w:t>
      </w:r>
      <w:r>
        <w:rPr>
          <w:rFonts w:ascii="Arial" w:hAnsi="Arial"/>
          <w:i/>
          <w:color w:val="231F20"/>
          <w:spacing w:val="-26"/>
          <w:w w:val="105"/>
          <w:sz w:val="20"/>
        </w:rPr>
        <w:t xml:space="preserve"> </w:t>
      </w:r>
      <w:r>
        <w:rPr>
          <w:rFonts w:ascii="Arial" w:hAnsi="Arial"/>
          <w:i/>
          <w:color w:val="231F20"/>
          <w:spacing w:val="-3"/>
          <w:w w:val="105"/>
          <w:sz w:val="20"/>
        </w:rPr>
        <w:t>Victoria’s</w:t>
      </w:r>
      <w:r>
        <w:rPr>
          <w:rFonts w:ascii="Arial" w:hAnsi="Arial"/>
          <w:i/>
          <w:color w:val="231F20"/>
          <w:spacing w:val="-27"/>
          <w:w w:val="105"/>
          <w:sz w:val="20"/>
        </w:rPr>
        <w:t xml:space="preserve"> </w:t>
      </w:r>
      <w:r>
        <w:rPr>
          <w:rFonts w:ascii="Arial" w:hAnsi="Arial"/>
          <w:i/>
          <w:color w:val="231F20"/>
          <w:w w:val="105"/>
          <w:sz w:val="20"/>
        </w:rPr>
        <w:t>Victim</w:t>
      </w:r>
      <w:r>
        <w:rPr>
          <w:rFonts w:ascii="Arial" w:hAnsi="Arial"/>
          <w:i/>
          <w:color w:val="231F20"/>
          <w:spacing w:val="-26"/>
          <w:w w:val="105"/>
          <w:sz w:val="20"/>
        </w:rPr>
        <w:t xml:space="preserve"> </w:t>
      </w:r>
      <w:r>
        <w:rPr>
          <w:rFonts w:ascii="Arial" w:hAnsi="Arial"/>
          <w:i/>
          <w:color w:val="231F20"/>
          <w:w w:val="105"/>
          <w:sz w:val="20"/>
        </w:rPr>
        <w:t>Support</w:t>
      </w:r>
      <w:r>
        <w:rPr>
          <w:rFonts w:ascii="Arial" w:hAnsi="Arial"/>
          <w:i/>
          <w:color w:val="231F20"/>
          <w:spacing w:val="-26"/>
          <w:w w:val="105"/>
          <w:sz w:val="20"/>
        </w:rPr>
        <w:t xml:space="preserve"> </w:t>
      </w:r>
      <w:r>
        <w:rPr>
          <w:rFonts w:ascii="Arial" w:hAnsi="Arial"/>
          <w:i/>
          <w:color w:val="231F20"/>
          <w:spacing w:val="-3"/>
          <w:w w:val="105"/>
          <w:sz w:val="20"/>
        </w:rPr>
        <w:t xml:space="preserve">System: </w:t>
      </w:r>
      <w:r>
        <w:rPr>
          <w:rFonts w:ascii="Arial" w:hAnsi="Arial"/>
          <w:i/>
          <w:color w:val="231F20"/>
          <w:w w:val="105"/>
          <w:sz w:val="20"/>
        </w:rPr>
        <w:t xml:space="preserve">Victim Services </w:t>
      </w:r>
      <w:r>
        <w:rPr>
          <w:rFonts w:ascii="Arial" w:hAnsi="Arial"/>
          <w:i/>
          <w:color w:val="231F20"/>
          <w:spacing w:val="-3"/>
          <w:w w:val="105"/>
          <w:sz w:val="20"/>
        </w:rPr>
        <w:t xml:space="preserve">Review </w:t>
      </w:r>
      <w:r>
        <w:rPr>
          <w:rFonts w:ascii="Trebuchet MS" w:hAnsi="Trebuchet MS"/>
          <w:color w:val="231F20"/>
          <w:w w:val="105"/>
          <w:sz w:val="20"/>
        </w:rPr>
        <w:t xml:space="preserve">report and recommendations in the Legislative Council </w:t>
      </w:r>
      <w:r>
        <w:rPr>
          <w:rFonts w:ascii="Trebuchet MS" w:hAnsi="Trebuchet MS"/>
          <w:color w:val="231F20"/>
          <w:spacing w:val="-3"/>
          <w:w w:val="115"/>
          <w:sz w:val="20"/>
        </w:rPr>
        <w:t>L</w:t>
      </w:r>
      <w:r>
        <w:rPr>
          <w:rFonts w:ascii="Trebuchet MS" w:hAnsi="Trebuchet MS"/>
          <w:color w:val="231F20"/>
          <w:w w:val="108"/>
          <w:sz w:val="20"/>
        </w:rPr>
        <w:t>e</w:t>
      </w:r>
      <w:r>
        <w:rPr>
          <w:rFonts w:ascii="Trebuchet MS" w:hAnsi="Trebuchet MS"/>
          <w:color w:val="231F20"/>
          <w:spacing w:val="-1"/>
          <w:w w:val="124"/>
          <w:sz w:val="20"/>
        </w:rPr>
        <w:t>g</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w w:val="126"/>
          <w:sz w:val="20"/>
        </w:rPr>
        <w:t>S</w:t>
      </w:r>
      <w:r>
        <w:rPr>
          <w:rFonts w:ascii="Trebuchet MS" w:hAnsi="Trebuchet MS"/>
          <w:color w:val="231F20"/>
          <w:spacing w:val="-1"/>
          <w:w w:val="111"/>
          <w:sz w:val="20"/>
        </w:rPr>
        <w:t>o</w:t>
      </w:r>
      <w:r>
        <w:rPr>
          <w:rFonts w:ascii="Trebuchet MS" w:hAnsi="Trebuchet MS"/>
          <w:color w:val="231F20"/>
          <w:spacing w:val="-2"/>
          <w:w w:val="111"/>
          <w:sz w:val="20"/>
        </w:rPr>
        <w:t>c</w:t>
      </w:r>
      <w:r>
        <w:rPr>
          <w:rFonts w:ascii="Trebuchet MS" w:hAnsi="Trebuchet MS"/>
          <w:color w:val="231F20"/>
          <w:spacing w:val="-1"/>
          <w:w w:val="80"/>
          <w:sz w:val="20"/>
        </w:rPr>
        <w:t>i</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spacing w:val="-1"/>
          <w:w w:val="93"/>
          <w:sz w:val="20"/>
        </w:rPr>
        <w:t>I</w:t>
      </w:r>
      <w:r>
        <w:rPr>
          <w:rFonts w:ascii="Trebuchet MS" w:hAnsi="Trebuchet MS"/>
          <w:color w:val="231F20"/>
          <w:spacing w:val="-1"/>
          <w:w w:val="122"/>
          <w:sz w:val="20"/>
        </w:rPr>
        <w:t>s</w:t>
      </w:r>
      <w:r>
        <w:rPr>
          <w:rFonts w:ascii="Trebuchet MS" w:hAnsi="Trebuchet MS"/>
          <w:color w:val="231F20"/>
          <w:spacing w:val="-2"/>
          <w:w w:val="122"/>
          <w:sz w:val="20"/>
        </w:rPr>
        <w:t>s</w:t>
      </w:r>
      <w:r>
        <w:rPr>
          <w:rFonts w:ascii="Trebuchet MS" w:hAnsi="Trebuchet MS"/>
          <w:color w:val="231F20"/>
          <w:spacing w:val="-2"/>
          <w:w w:val="109"/>
          <w:sz w:val="20"/>
        </w:rPr>
        <w:t>u</w:t>
      </w:r>
      <w:r>
        <w:rPr>
          <w:rFonts w:ascii="Trebuchet MS" w:hAnsi="Trebuchet MS"/>
          <w:color w:val="231F20"/>
          <w:spacing w:val="-2"/>
          <w:w w:val="108"/>
          <w:sz w:val="20"/>
        </w:rPr>
        <w:t>e</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11"/>
          <w:sz w:val="20"/>
        </w:rPr>
        <w:t>o</w:t>
      </w:r>
      <w:r>
        <w:rPr>
          <w:rFonts w:ascii="Trebuchet MS" w:hAnsi="Trebuchet MS"/>
          <w:color w:val="231F20"/>
          <w:spacing w:val="-2"/>
          <w:w w:val="111"/>
          <w:sz w:val="20"/>
        </w:rPr>
        <w:t>mm</w:t>
      </w:r>
      <w:r>
        <w:rPr>
          <w:rFonts w:ascii="Trebuchet MS" w:hAnsi="Trebuchet MS"/>
          <w:color w:val="231F20"/>
          <w:spacing w:val="-3"/>
          <w:w w:val="80"/>
          <w:sz w:val="20"/>
        </w:rPr>
        <w:t>i</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w w:val="108"/>
          <w:sz w:val="20"/>
        </w:rPr>
        <w:t>ee</w:t>
      </w:r>
      <w:r>
        <w:rPr>
          <w:rFonts w:ascii="Trebuchet MS" w:hAnsi="Trebuchet MS"/>
          <w:color w:val="231F20"/>
          <w:spacing w:val="-14"/>
          <w:sz w:val="20"/>
        </w:rPr>
        <w:t xml:space="preserve"> </w:t>
      </w:r>
      <w:r>
        <w:rPr>
          <w:rFonts w:ascii="Arial" w:hAnsi="Arial"/>
          <w:i/>
          <w:color w:val="231F20"/>
          <w:spacing w:val="-1"/>
          <w:w w:val="92"/>
          <w:sz w:val="20"/>
        </w:rPr>
        <w:t>I</w:t>
      </w:r>
      <w:r>
        <w:rPr>
          <w:rFonts w:ascii="Arial" w:hAnsi="Arial"/>
          <w:i/>
          <w:color w:val="231F20"/>
          <w:spacing w:val="-1"/>
          <w:w w:val="104"/>
          <w:sz w:val="20"/>
        </w:rPr>
        <w:t>nqui</w:t>
      </w:r>
      <w:r>
        <w:rPr>
          <w:rFonts w:ascii="Arial" w:hAnsi="Arial"/>
          <w:i/>
          <w:color w:val="231F20"/>
          <w:spacing w:val="3"/>
          <w:w w:val="104"/>
          <w:sz w:val="20"/>
        </w:rPr>
        <w:t>r</w:t>
      </w:r>
      <w:r>
        <w:rPr>
          <w:rFonts w:ascii="Arial" w:hAnsi="Arial"/>
          <w:i/>
          <w:color w:val="231F20"/>
          <w:sz w:val="20"/>
        </w:rPr>
        <w:t>y</w:t>
      </w:r>
      <w:r>
        <w:rPr>
          <w:rFonts w:ascii="Arial" w:hAnsi="Arial"/>
          <w:i/>
          <w:color w:val="231F20"/>
          <w:spacing w:val="-11"/>
          <w:sz w:val="20"/>
        </w:rPr>
        <w:t xml:space="preserve"> </w:t>
      </w:r>
      <w:r>
        <w:rPr>
          <w:rFonts w:ascii="Arial" w:hAnsi="Arial"/>
          <w:i/>
          <w:color w:val="231F20"/>
          <w:spacing w:val="-1"/>
          <w:w w:val="101"/>
          <w:sz w:val="20"/>
        </w:rPr>
        <w:t>i</w:t>
      </w:r>
      <w:r>
        <w:rPr>
          <w:rFonts w:ascii="Arial" w:hAnsi="Arial"/>
          <w:i/>
          <w:color w:val="231F20"/>
          <w:spacing w:val="-3"/>
          <w:w w:val="101"/>
          <w:sz w:val="20"/>
        </w:rPr>
        <w:t>n</w:t>
      </w:r>
      <w:r>
        <w:rPr>
          <w:rFonts w:ascii="Arial" w:hAnsi="Arial"/>
          <w:i/>
          <w:color w:val="231F20"/>
          <w:spacing w:val="-5"/>
          <w:w w:val="121"/>
          <w:sz w:val="20"/>
        </w:rPr>
        <w:t>t</w:t>
      </w:r>
      <w:r>
        <w:rPr>
          <w:rFonts w:ascii="Arial" w:hAnsi="Arial"/>
          <w:i/>
          <w:color w:val="231F20"/>
          <w:w w:val="103"/>
          <w:sz w:val="20"/>
        </w:rPr>
        <w:t>o</w:t>
      </w:r>
      <w:r>
        <w:rPr>
          <w:rFonts w:ascii="Arial" w:hAnsi="Arial"/>
          <w:i/>
          <w:color w:val="231F20"/>
          <w:spacing w:val="-11"/>
          <w:sz w:val="20"/>
        </w:rPr>
        <w:t xml:space="preserve"> </w:t>
      </w:r>
      <w:r>
        <w:rPr>
          <w:rFonts w:ascii="Arial" w:hAnsi="Arial"/>
          <w:i/>
          <w:color w:val="231F20"/>
          <w:spacing w:val="-3"/>
          <w:w w:val="97"/>
          <w:sz w:val="20"/>
        </w:rPr>
        <w:t>V</w:t>
      </w:r>
      <w:r>
        <w:rPr>
          <w:rFonts w:ascii="Arial" w:hAnsi="Arial"/>
          <w:i/>
          <w:color w:val="231F20"/>
          <w:spacing w:val="-1"/>
          <w:w w:val="101"/>
          <w:sz w:val="20"/>
        </w:rPr>
        <w:t>i</w:t>
      </w:r>
      <w:r>
        <w:rPr>
          <w:rFonts w:ascii="Arial" w:hAnsi="Arial"/>
          <w:i/>
          <w:color w:val="231F20"/>
          <w:spacing w:val="-3"/>
          <w:w w:val="106"/>
          <w:sz w:val="20"/>
        </w:rPr>
        <w:t>c</w:t>
      </w:r>
      <w:r>
        <w:rPr>
          <w:rFonts w:ascii="Arial" w:hAnsi="Arial"/>
          <w:i/>
          <w:color w:val="231F20"/>
          <w:spacing w:val="-5"/>
          <w:w w:val="121"/>
          <w:sz w:val="20"/>
        </w:rPr>
        <w:t>t</w:t>
      </w:r>
      <w:r>
        <w:rPr>
          <w:rFonts w:ascii="Arial" w:hAnsi="Arial"/>
          <w:i/>
          <w:color w:val="231F20"/>
          <w:spacing w:val="-1"/>
          <w:w w:val="103"/>
          <w:sz w:val="20"/>
        </w:rPr>
        <w:t>o</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6"/>
          <w:w w:val="108"/>
          <w:sz w:val="20"/>
        </w:rPr>
        <w:t>a</w:t>
      </w:r>
      <w:r>
        <w:rPr>
          <w:rFonts w:ascii="Arial" w:hAnsi="Arial"/>
          <w:i/>
          <w:color w:val="231F20"/>
          <w:spacing w:val="-2"/>
          <w:w w:val="90"/>
          <w:sz w:val="20"/>
        </w:rPr>
        <w:t>’</w:t>
      </w:r>
      <w:r>
        <w:rPr>
          <w:rFonts w:ascii="Arial" w:hAnsi="Arial"/>
          <w:i/>
          <w:color w:val="231F20"/>
          <w:w w:val="95"/>
          <w:sz w:val="20"/>
        </w:rPr>
        <w:t>s</w:t>
      </w:r>
      <w:r>
        <w:rPr>
          <w:rFonts w:ascii="Arial" w:hAnsi="Arial"/>
          <w:i/>
          <w:color w:val="231F20"/>
          <w:spacing w:val="-11"/>
          <w:sz w:val="20"/>
        </w:rPr>
        <w:t xml:space="preserve"> </w:t>
      </w:r>
      <w:r>
        <w:rPr>
          <w:rFonts w:ascii="Arial" w:hAnsi="Arial"/>
          <w:i/>
          <w:color w:val="231F20"/>
          <w:spacing w:val="-2"/>
          <w:w w:val="90"/>
          <w:sz w:val="20"/>
        </w:rPr>
        <w:t>C</w:t>
      </w:r>
      <w:r>
        <w:rPr>
          <w:rFonts w:ascii="Arial" w:hAnsi="Arial"/>
          <w:i/>
          <w:color w:val="231F20"/>
          <w:spacing w:val="-3"/>
          <w:w w:val="106"/>
          <w:sz w:val="20"/>
        </w:rPr>
        <w:t>r</w:t>
      </w:r>
      <w:r>
        <w:rPr>
          <w:rFonts w:ascii="Arial" w:hAnsi="Arial"/>
          <w:i/>
          <w:color w:val="231F20"/>
          <w:spacing w:val="-1"/>
          <w:w w:val="105"/>
          <w:sz w:val="20"/>
        </w:rPr>
        <w:t>im</w:t>
      </w:r>
      <w:r>
        <w:rPr>
          <w:rFonts w:ascii="Arial" w:hAnsi="Arial"/>
          <w:i/>
          <w:color w:val="231F20"/>
          <w:spacing w:val="-1"/>
          <w:w w:val="104"/>
          <w:sz w:val="20"/>
        </w:rPr>
        <w:t>ina</w:t>
      </w:r>
      <w:r>
        <w:rPr>
          <w:rFonts w:ascii="Arial" w:hAnsi="Arial"/>
          <w:i/>
          <w:color w:val="231F20"/>
          <w:w w:val="126"/>
          <w:sz w:val="20"/>
        </w:rPr>
        <w:t>l</w:t>
      </w:r>
      <w:r>
        <w:rPr>
          <w:rFonts w:ascii="Arial" w:hAnsi="Arial"/>
          <w:i/>
          <w:color w:val="231F20"/>
          <w:spacing w:val="-11"/>
          <w:sz w:val="20"/>
        </w:rPr>
        <w:t xml:space="preserve"> </w:t>
      </w:r>
      <w:r>
        <w:rPr>
          <w:rFonts w:ascii="Arial" w:hAnsi="Arial"/>
          <w:i/>
          <w:color w:val="231F20"/>
          <w:spacing w:val="-2"/>
          <w:w w:val="94"/>
          <w:sz w:val="20"/>
        </w:rPr>
        <w:t>J</w:t>
      </w:r>
      <w:r>
        <w:rPr>
          <w:rFonts w:ascii="Arial" w:hAnsi="Arial"/>
          <w:i/>
          <w:color w:val="231F20"/>
          <w:spacing w:val="-1"/>
          <w:w w:val="99"/>
          <w:sz w:val="20"/>
        </w:rPr>
        <w:t>u</w:t>
      </w:r>
      <w:r>
        <w:rPr>
          <w:rFonts w:ascii="Arial" w:hAnsi="Arial"/>
          <w:i/>
          <w:color w:val="231F20"/>
          <w:spacing w:val="-2"/>
          <w:w w:val="99"/>
          <w:sz w:val="20"/>
        </w:rPr>
        <w:t>s</w:t>
      </w:r>
      <w:r>
        <w:rPr>
          <w:rFonts w:ascii="Arial" w:hAnsi="Arial"/>
          <w:i/>
          <w:color w:val="231F20"/>
          <w:spacing w:val="-2"/>
          <w:w w:val="121"/>
          <w:sz w:val="20"/>
        </w:rPr>
        <w:t>t</w:t>
      </w:r>
      <w:r>
        <w:rPr>
          <w:rFonts w:ascii="Arial" w:hAnsi="Arial"/>
          <w:i/>
          <w:color w:val="231F20"/>
          <w:spacing w:val="-1"/>
          <w:w w:val="101"/>
          <w:sz w:val="20"/>
        </w:rPr>
        <w:t>i</w:t>
      </w:r>
      <w:r>
        <w:rPr>
          <w:rFonts w:ascii="Arial" w:hAnsi="Arial"/>
          <w:i/>
          <w:color w:val="231F20"/>
          <w:spacing w:val="-2"/>
          <w:w w:val="106"/>
          <w:sz w:val="20"/>
        </w:rPr>
        <w:t>c</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5"/>
          <w:w w:val="88"/>
          <w:sz w:val="20"/>
        </w:rPr>
        <w:t>S</w:t>
      </w:r>
      <w:r>
        <w:rPr>
          <w:rFonts w:ascii="Arial" w:hAnsi="Arial"/>
          <w:i/>
          <w:color w:val="231F20"/>
          <w:spacing w:val="-3"/>
          <w:sz w:val="20"/>
        </w:rPr>
        <w:t>y</w:t>
      </w:r>
      <w:r>
        <w:rPr>
          <w:rFonts w:ascii="Arial" w:hAnsi="Arial"/>
          <w:i/>
          <w:color w:val="231F20"/>
          <w:spacing w:val="-2"/>
          <w:w w:val="95"/>
          <w:sz w:val="20"/>
        </w:rPr>
        <w:t>s</w:t>
      </w:r>
      <w:r>
        <w:rPr>
          <w:rFonts w:ascii="Arial" w:hAnsi="Arial"/>
          <w:i/>
          <w:color w:val="231F20"/>
          <w:spacing w:val="-6"/>
          <w:w w:val="121"/>
          <w:sz w:val="20"/>
        </w:rPr>
        <w:t>t</w:t>
      </w:r>
      <w:r>
        <w:rPr>
          <w:rFonts w:ascii="Arial" w:hAnsi="Arial"/>
          <w:i/>
          <w:color w:val="231F20"/>
          <w:w w:val="96"/>
          <w:sz w:val="20"/>
        </w:rPr>
        <w:t>e</w:t>
      </w:r>
      <w:r>
        <w:rPr>
          <w:rFonts w:ascii="Arial" w:hAnsi="Arial"/>
          <w:i/>
          <w:color w:val="231F20"/>
          <w:spacing w:val="-6"/>
          <w:w w:val="106"/>
          <w:sz w:val="20"/>
        </w:rPr>
        <w:t>m</w:t>
      </w:r>
      <w:r>
        <w:rPr>
          <w:rFonts w:ascii="Trebuchet MS" w:hAnsi="Trebuchet MS"/>
          <w:color w:val="231F20"/>
          <w:w w:val="57"/>
          <w:sz w:val="20"/>
        </w:rPr>
        <w:t xml:space="preserve">, </w:t>
      </w:r>
      <w:r>
        <w:rPr>
          <w:rFonts w:ascii="Trebuchet MS" w:hAnsi="Trebuchet MS"/>
          <w:color w:val="231F20"/>
          <w:spacing w:val="-2"/>
          <w:w w:val="108"/>
          <w:sz w:val="20"/>
        </w:rPr>
        <w:t>e</w:t>
      </w:r>
      <w:r>
        <w:rPr>
          <w:rFonts w:ascii="Trebuchet MS" w:hAnsi="Trebuchet MS"/>
          <w:color w:val="231F20"/>
          <w:spacing w:val="-2"/>
          <w:w w:val="122"/>
          <w:sz w:val="20"/>
        </w:rPr>
        <w:t>s</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1"/>
          <w:w w:val="80"/>
          <w:sz w:val="20"/>
        </w:rPr>
        <w:t>i</w:t>
      </w:r>
      <w:r>
        <w:rPr>
          <w:rFonts w:ascii="Trebuchet MS" w:hAnsi="Trebuchet MS"/>
          <w:color w:val="231F20"/>
          <w:spacing w:val="-3"/>
          <w:w w:val="105"/>
          <w:sz w:val="20"/>
        </w:rPr>
        <w:t>a</w:t>
      </w:r>
      <w:r>
        <w:rPr>
          <w:rFonts w:ascii="Trebuchet MS" w:hAnsi="Trebuchet MS"/>
          <w:color w:val="231F20"/>
          <w:spacing w:val="-2"/>
          <w:w w:val="96"/>
          <w:sz w:val="20"/>
        </w:rPr>
        <w:t>l</w:t>
      </w:r>
      <w:r>
        <w:rPr>
          <w:rFonts w:ascii="Trebuchet MS" w:hAnsi="Trebuchet MS"/>
          <w:color w:val="231F20"/>
          <w:spacing w:val="-7"/>
          <w:w w:val="96"/>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2"/>
          <w:w w:val="111"/>
          <w:sz w:val="20"/>
        </w:rPr>
        <w:t>m</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2"/>
          <w:w w:val="112"/>
          <w:sz w:val="20"/>
        </w:rPr>
        <w:t>d</w:t>
      </w:r>
      <w:r>
        <w:rPr>
          <w:rFonts w:ascii="Trebuchet MS" w:hAnsi="Trebuchet MS"/>
          <w:color w:val="231F20"/>
          <w:spacing w:val="-4"/>
          <w:w w:val="105"/>
          <w:sz w:val="20"/>
        </w:rPr>
        <w:t>a</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1"/>
          <w:w w:val="102"/>
          <w:sz w:val="20"/>
        </w:rPr>
        <w:t>3</w:t>
      </w:r>
      <w:r>
        <w:rPr>
          <w:rFonts w:ascii="Trebuchet MS" w:hAnsi="Trebuchet MS"/>
          <w:color w:val="231F20"/>
          <w:spacing w:val="-1"/>
          <w:w w:val="115"/>
          <w:sz w:val="20"/>
        </w:rPr>
        <w:t>6</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4"/>
          <w:w w:val="102"/>
          <w:sz w:val="20"/>
        </w:rPr>
        <w:t>3</w:t>
      </w:r>
      <w:r>
        <w:rPr>
          <w:rFonts w:ascii="Trebuchet MS" w:hAnsi="Trebuchet MS"/>
          <w:color w:val="231F20"/>
          <w:spacing w:val="-17"/>
          <w:w w:val="102"/>
          <w:sz w:val="20"/>
        </w:rPr>
        <w:t>7</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3"/>
          <w:w w:val="106"/>
          <w:sz w:val="20"/>
        </w:rPr>
        <w:t>4</w:t>
      </w:r>
      <w:r>
        <w:rPr>
          <w:rFonts w:ascii="Trebuchet MS" w:hAnsi="Trebuchet MS"/>
          <w:color w:val="231F20"/>
          <w:spacing w:val="-3"/>
          <w:w w:val="117"/>
          <w:sz w:val="20"/>
        </w:rPr>
        <w:t>0</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1"/>
          <w:w w:val="106"/>
          <w:sz w:val="20"/>
        </w:rPr>
        <w:t>4</w:t>
      </w:r>
      <w:r>
        <w:rPr>
          <w:rFonts w:ascii="Trebuchet MS" w:hAnsi="Trebuchet MS"/>
          <w:color w:val="231F20"/>
          <w:spacing w:val="1"/>
          <w:w w:val="102"/>
          <w:sz w:val="20"/>
        </w:rPr>
        <w:t>2</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3"/>
          <w:w w:val="106"/>
          <w:sz w:val="20"/>
        </w:rPr>
        <w:t>4</w:t>
      </w:r>
      <w:r>
        <w:rPr>
          <w:rFonts w:ascii="Trebuchet MS" w:hAnsi="Trebuchet MS"/>
          <w:color w:val="231F20"/>
          <w:w w:val="112"/>
          <w:sz w:val="20"/>
        </w:rPr>
        <w:t>9</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4"/>
          <w:w w:val="104"/>
          <w:sz w:val="20"/>
        </w:rPr>
        <w:t>5</w:t>
      </w:r>
      <w:r>
        <w:rPr>
          <w:rFonts w:ascii="Trebuchet MS" w:hAnsi="Trebuchet MS"/>
          <w:color w:val="231F20"/>
          <w:spacing w:val="-3"/>
          <w:w w:val="117"/>
          <w:sz w:val="20"/>
        </w:rPr>
        <w:t>0</w:t>
      </w:r>
      <w:r>
        <w:rPr>
          <w:rFonts w:ascii="Trebuchet MS" w:hAnsi="Trebuchet MS"/>
          <w:color w:val="231F20"/>
          <w:w w:val="55"/>
          <w:sz w:val="20"/>
        </w:rPr>
        <w:t>.</w:t>
      </w:r>
    </w:p>
    <w:p w14:paraId="074267D8" w14:textId="77777777" w:rsidR="00894070" w:rsidRDefault="009B7AFD">
      <w:pPr>
        <w:pStyle w:val="ListParagraph"/>
        <w:numPr>
          <w:ilvl w:val="0"/>
          <w:numId w:val="127"/>
        </w:numPr>
        <w:tabs>
          <w:tab w:val="left" w:pos="1801"/>
          <w:tab w:val="left" w:pos="1802"/>
          <w:tab w:val="left" w:pos="2368"/>
        </w:tabs>
        <w:spacing w:before="89" w:line="247" w:lineRule="auto"/>
        <w:ind w:left="2368" w:right="1505" w:hanging="1134"/>
        <w:jc w:val="left"/>
        <w:rPr>
          <w:rFonts w:ascii="Trebuchet MS"/>
          <w:color w:val="231F20"/>
          <w:sz w:val="20"/>
        </w:rPr>
      </w:pPr>
      <w:r>
        <w:rPr>
          <w:rFonts w:ascii="Trebuchet MS"/>
          <w:color w:val="231F20"/>
          <w:spacing w:val="1"/>
          <w:w w:val="105"/>
          <w:sz w:val="20"/>
        </w:rPr>
        <w:t>a</w:t>
      </w:r>
      <w:r>
        <w:rPr>
          <w:rFonts w:ascii="Trebuchet MS"/>
          <w:color w:val="231F20"/>
          <w:w w:val="55"/>
          <w:sz w:val="20"/>
        </w:rPr>
        <w:t>.</w:t>
      </w:r>
      <w:r>
        <w:rPr>
          <w:rFonts w:ascii="Trebuchet MS"/>
          <w:color w:val="231F20"/>
          <w:sz w:val="20"/>
        </w:rPr>
        <w:tab/>
      </w:r>
      <w:r>
        <w:rPr>
          <w:rFonts w:ascii="Trebuchet MS"/>
          <w:color w:val="231F20"/>
          <w:spacing w:val="-2"/>
          <w:w w:val="103"/>
          <w:sz w:val="20"/>
        </w:rPr>
        <w:t>I</w:t>
      </w:r>
      <w:r>
        <w:rPr>
          <w:rFonts w:ascii="Trebuchet MS"/>
          <w:color w:val="231F20"/>
          <w:w w:val="103"/>
          <w:sz w:val="20"/>
        </w:rPr>
        <w:t>n</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2"/>
          <w:w w:val="108"/>
          <w:sz w:val="20"/>
        </w:rPr>
        <w:t>mp</w:t>
      </w:r>
      <w:r>
        <w:rPr>
          <w:rFonts w:ascii="Trebuchet MS"/>
          <w:color w:val="231F20"/>
          <w:spacing w:val="-3"/>
          <w:w w:val="108"/>
          <w:sz w:val="20"/>
        </w:rPr>
        <w:t>l</w:t>
      </w:r>
      <w:r>
        <w:rPr>
          <w:rFonts w:ascii="Trebuchet MS"/>
          <w:color w:val="231F20"/>
          <w:spacing w:val="-1"/>
          <w:w w:val="108"/>
          <w:sz w:val="20"/>
        </w:rPr>
        <w:t>e</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5"/>
          <w:sz w:val="20"/>
        </w:rPr>
        <w:t>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4"/>
          <w:w w:val="108"/>
          <w:sz w:val="20"/>
        </w:rPr>
        <w:t>e</w:t>
      </w:r>
      <w:r>
        <w:rPr>
          <w:rFonts w:ascii="Trebuchet MS"/>
          <w:color w:val="231F20"/>
          <w:spacing w:val="-5"/>
          <w:w w:val="92"/>
          <w:sz w:val="20"/>
        </w:rPr>
        <w:t>f</w:t>
      </w:r>
      <w:r>
        <w:rPr>
          <w:rFonts w:ascii="Trebuchet MS"/>
          <w:color w:val="231F20"/>
          <w:spacing w:val="-1"/>
          <w:w w:val="111"/>
          <w:sz w:val="20"/>
        </w:rPr>
        <w:t>o</w:t>
      </w:r>
      <w:r>
        <w:rPr>
          <w:rFonts w:ascii="Trebuchet MS"/>
          <w:color w:val="231F20"/>
          <w:spacing w:val="-2"/>
          <w:w w:val="93"/>
          <w:sz w:val="20"/>
        </w:rPr>
        <w:t>r</w:t>
      </w:r>
      <w:r>
        <w:rPr>
          <w:rFonts w:ascii="Trebuchet MS"/>
          <w:color w:val="231F20"/>
          <w:spacing w:val="-2"/>
          <w:w w:val="114"/>
          <w:sz w:val="20"/>
        </w:rPr>
        <w:t>m</w:t>
      </w:r>
      <w:r>
        <w:rPr>
          <w:rFonts w:ascii="Trebuchet MS"/>
          <w:color w:val="231F20"/>
          <w:w w:val="114"/>
          <w:sz w:val="20"/>
        </w:rPr>
        <w:t>s</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96"/>
          <w:sz w:val="20"/>
        </w:rPr>
        <w:t>cti</w:t>
      </w:r>
      <w:r>
        <w:rPr>
          <w:rFonts w:ascii="Trebuchet MS"/>
          <w:color w:val="231F20"/>
          <w:w w:val="111"/>
          <w:sz w:val="20"/>
        </w:rPr>
        <w:t>m</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1"/>
          <w:w w:val="111"/>
          <w:sz w:val="20"/>
        </w:rPr>
        <w:t>ppo</w:t>
      </w:r>
      <w:r>
        <w:rPr>
          <w:rFonts w:ascii="Trebuchet MS"/>
          <w:color w:val="231F20"/>
          <w:spacing w:val="2"/>
          <w:w w:val="93"/>
          <w:sz w:val="20"/>
        </w:rPr>
        <w:t>r</w:t>
      </w:r>
      <w:r>
        <w:rPr>
          <w:rFonts w:ascii="Trebuchet MS"/>
          <w:color w:val="231F20"/>
          <w:spacing w:val="1"/>
          <w:w w:val="88"/>
          <w:sz w:val="20"/>
        </w:rPr>
        <w:t>t</w:t>
      </w:r>
      <w:r>
        <w:rPr>
          <w:rFonts w:ascii="Trebuchet MS"/>
          <w:color w:val="231F20"/>
          <w:w w:val="57"/>
          <w:sz w:val="20"/>
        </w:rPr>
        <w:t>,</w:t>
      </w:r>
      <w:r>
        <w:rPr>
          <w:rFonts w:ascii="Trebuchet MS"/>
          <w:color w:val="231F20"/>
          <w:spacing w:val="-14"/>
          <w:sz w:val="20"/>
        </w:rPr>
        <w:t xml:space="preserve"> </w:t>
      </w:r>
      <w:r>
        <w:rPr>
          <w:rFonts w:ascii="Trebuchet MS"/>
          <w:color w:val="231F20"/>
          <w:spacing w:val="-2"/>
          <w:w w:val="99"/>
          <w:sz w:val="20"/>
        </w:rPr>
        <w:t>t</w:t>
      </w:r>
      <w:r>
        <w:rPr>
          <w:rFonts w:ascii="Trebuchet MS"/>
          <w:color w:val="231F20"/>
          <w:spacing w:val="-1"/>
          <w:w w:val="99"/>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01"/>
          <w:sz w:val="20"/>
        </w:rPr>
        <w:t>c</w:t>
      </w:r>
      <w:r>
        <w:rPr>
          <w:rFonts w:ascii="Trebuchet MS"/>
          <w:color w:val="231F20"/>
          <w:spacing w:val="-4"/>
          <w:w w:val="101"/>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spacing w:val="-2"/>
          <w:w w:val="106"/>
          <w:sz w:val="20"/>
        </w:rPr>
        <w:t>a</w:t>
      </w:r>
      <w:r>
        <w:rPr>
          <w:rFonts w:ascii="Trebuchet MS"/>
          <w:color w:val="231F20"/>
          <w:w w:val="106"/>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9"/>
          <w:sz w:val="20"/>
        </w:rPr>
        <w:t>n</w:t>
      </w:r>
      <w:r>
        <w:rPr>
          <w:rFonts w:ascii="Trebuchet MS"/>
          <w:color w:val="231F20"/>
          <w:spacing w:val="-1"/>
          <w:w w:val="109"/>
          <w:sz w:val="20"/>
        </w:rPr>
        <w:t>m</w:t>
      </w:r>
      <w:r>
        <w:rPr>
          <w:rFonts w:ascii="Trebuchet MS"/>
          <w:color w:val="231F20"/>
          <w:spacing w:val="-1"/>
          <w:w w:val="108"/>
          <w:sz w:val="20"/>
        </w:rPr>
        <w:t>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 xml:space="preserve">d </w:t>
      </w:r>
      <w:r>
        <w:rPr>
          <w:rFonts w:ascii="Trebuchet MS"/>
          <w:color w:val="231F20"/>
          <w:w w:val="105"/>
          <w:sz w:val="20"/>
        </w:rPr>
        <w:t>ensure</w:t>
      </w:r>
      <w:r>
        <w:rPr>
          <w:rFonts w:ascii="Trebuchet MS"/>
          <w:color w:val="231F20"/>
          <w:spacing w:val="-18"/>
          <w:w w:val="105"/>
          <w:sz w:val="20"/>
        </w:rPr>
        <w:t xml:space="preserve"> </w:t>
      </w:r>
      <w:r>
        <w:rPr>
          <w:rFonts w:ascii="Trebuchet MS"/>
          <w:color w:val="231F20"/>
          <w:w w:val="105"/>
          <w:sz w:val="20"/>
        </w:rPr>
        <w:t>that</w:t>
      </w:r>
      <w:r>
        <w:rPr>
          <w:rFonts w:ascii="Trebuchet MS"/>
          <w:color w:val="231F20"/>
          <w:spacing w:val="-18"/>
          <w:w w:val="105"/>
          <w:sz w:val="20"/>
        </w:rPr>
        <w:t xml:space="preserve"> </w:t>
      </w:r>
      <w:r>
        <w:rPr>
          <w:rFonts w:ascii="Trebuchet MS"/>
          <w:color w:val="231F20"/>
          <w:w w:val="105"/>
          <w:sz w:val="20"/>
        </w:rPr>
        <w:t>victim</w:t>
      </w:r>
      <w:r>
        <w:rPr>
          <w:rFonts w:ascii="Trebuchet MS"/>
          <w:color w:val="231F20"/>
          <w:spacing w:val="-18"/>
          <w:w w:val="105"/>
          <w:sz w:val="20"/>
        </w:rPr>
        <w:t xml:space="preserve"> </w:t>
      </w:r>
      <w:r>
        <w:rPr>
          <w:rFonts w:ascii="Trebuchet MS"/>
          <w:color w:val="231F20"/>
          <w:w w:val="105"/>
          <w:sz w:val="20"/>
        </w:rPr>
        <w:t>survivors</w:t>
      </w:r>
      <w:r>
        <w:rPr>
          <w:rFonts w:ascii="Trebuchet MS"/>
          <w:color w:val="231F20"/>
          <w:spacing w:val="-18"/>
          <w:w w:val="105"/>
          <w:sz w:val="20"/>
        </w:rPr>
        <w:t xml:space="preserve"> </w:t>
      </w:r>
      <w:r>
        <w:rPr>
          <w:rFonts w:ascii="Trebuchet MS"/>
          <w:color w:val="231F20"/>
          <w:w w:val="105"/>
          <w:sz w:val="20"/>
        </w:rPr>
        <w:t>of</w:t>
      </w:r>
      <w:r>
        <w:rPr>
          <w:rFonts w:ascii="Trebuchet MS"/>
          <w:color w:val="231F20"/>
          <w:spacing w:val="-18"/>
          <w:w w:val="105"/>
          <w:sz w:val="20"/>
        </w:rPr>
        <w:t xml:space="preserve"> </w:t>
      </w:r>
      <w:r>
        <w:rPr>
          <w:rFonts w:ascii="Trebuchet MS"/>
          <w:color w:val="231F20"/>
          <w:spacing w:val="-3"/>
          <w:w w:val="105"/>
          <w:sz w:val="20"/>
        </w:rPr>
        <w:t>non-family</w:t>
      </w:r>
      <w:r>
        <w:rPr>
          <w:rFonts w:ascii="Trebuchet MS"/>
          <w:color w:val="231F20"/>
          <w:spacing w:val="-18"/>
          <w:w w:val="105"/>
          <w:sz w:val="20"/>
        </w:rPr>
        <w:t xml:space="preserve"> </w:t>
      </w:r>
      <w:r>
        <w:rPr>
          <w:rFonts w:ascii="Trebuchet MS"/>
          <w:color w:val="231F20"/>
          <w:w w:val="105"/>
          <w:sz w:val="20"/>
        </w:rPr>
        <w:t>violence</w:t>
      </w:r>
      <w:r>
        <w:rPr>
          <w:rFonts w:ascii="Trebuchet MS"/>
          <w:color w:val="231F20"/>
          <w:spacing w:val="-18"/>
          <w:w w:val="105"/>
          <w:sz w:val="20"/>
        </w:rPr>
        <w:t xml:space="preserve"> </w:t>
      </w:r>
      <w:r>
        <w:rPr>
          <w:rFonts w:ascii="Trebuchet MS"/>
          <w:color w:val="231F20"/>
          <w:w w:val="105"/>
          <w:sz w:val="20"/>
        </w:rPr>
        <w:t>stalking</w:t>
      </w:r>
      <w:r>
        <w:rPr>
          <w:rFonts w:ascii="Trebuchet MS"/>
          <w:color w:val="231F20"/>
          <w:spacing w:val="-18"/>
          <w:w w:val="105"/>
          <w:sz w:val="20"/>
        </w:rPr>
        <w:t xml:space="preserve"> </w:t>
      </w:r>
      <w:r>
        <w:rPr>
          <w:rFonts w:ascii="Trebuchet MS"/>
          <w:color w:val="231F20"/>
          <w:spacing w:val="-3"/>
          <w:w w:val="105"/>
          <w:sz w:val="20"/>
        </w:rPr>
        <w:t>receive</w:t>
      </w:r>
      <w:r>
        <w:rPr>
          <w:rFonts w:ascii="Trebuchet MS"/>
          <w:color w:val="231F20"/>
          <w:spacing w:val="-18"/>
          <w:w w:val="105"/>
          <w:sz w:val="20"/>
        </w:rPr>
        <w:t xml:space="preserve"> </w:t>
      </w:r>
      <w:r>
        <w:rPr>
          <w:rFonts w:ascii="Trebuchet MS"/>
          <w:color w:val="231F20"/>
          <w:w w:val="105"/>
          <w:sz w:val="20"/>
        </w:rPr>
        <w:t xml:space="preserve">support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4"/>
          <w:w w:val="105"/>
          <w:sz w:val="20"/>
        </w:rPr>
        <w:t>a</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2"/>
          <w:w w:val="93"/>
          <w:sz w:val="20"/>
        </w:rPr>
        <w:t>r</w:t>
      </w:r>
      <w:r>
        <w:rPr>
          <w:rFonts w:ascii="Trebuchet MS"/>
          <w:color w:val="231F20"/>
          <w:spacing w:val="-2"/>
          <w:w w:val="108"/>
          <w:sz w:val="20"/>
        </w:rPr>
        <w:t>ac</w:t>
      </w:r>
      <w:r>
        <w:rPr>
          <w:rFonts w:ascii="Trebuchet MS"/>
          <w:color w:val="231F20"/>
          <w:spacing w:val="-2"/>
          <w:w w:val="88"/>
          <w:sz w:val="20"/>
        </w:rPr>
        <w:t>t</w:t>
      </w:r>
      <w:r>
        <w:rPr>
          <w:rFonts w:ascii="Trebuchet MS"/>
          <w:color w:val="231F20"/>
          <w:spacing w:val="-1"/>
          <w:w w:val="80"/>
          <w:sz w:val="20"/>
        </w:rPr>
        <w:t>i</w:t>
      </w:r>
      <w:r>
        <w:rPr>
          <w:rFonts w:ascii="Trebuchet MS"/>
          <w:color w:val="231F20"/>
          <w:w w:val="111"/>
          <w:sz w:val="20"/>
        </w:rPr>
        <w:t>c</w:t>
      </w:r>
      <w:r>
        <w:rPr>
          <w:rFonts w:ascii="Trebuchet MS"/>
          <w:color w:val="231F20"/>
          <w:spacing w:val="-3"/>
          <w:w w:val="105"/>
          <w:sz w:val="20"/>
        </w:rPr>
        <w:t>a</w:t>
      </w:r>
      <w:r>
        <w:rPr>
          <w:rFonts w:ascii="Trebuchet MS"/>
          <w:color w:val="231F20"/>
          <w:spacing w:val="2"/>
          <w:w w:val="96"/>
          <w:sz w:val="20"/>
        </w:rPr>
        <w:t>l</w:t>
      </w:r>
      <w:r>
        <w:rPr>
          <w:rFonts w:ascii="Trebuchet MS"/>
          <w:color w:val="231F20"/>
          <w:w w:val="57"/>
          <w:sz w:val="20"/>
        </w:rPr>
        <w:t>,</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2"/>
          <w:w w:val="80"/>
          <w:sz w:val="20"/>
        </w:rPr>
        <w:t>i</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1"/>
          <w:w w:val="124"/>
          <w:sz w:val="20"/>
        </w:rPr>
        <w:t>g</w:t>
      </w:r>
      <w:r>
        <w:rPr>
          <w:rFonts w:ascii="Trebuchet MS"/>
          <w:color w:val="231F20"/>
          <w:spacing w:val="-1"/>
          <w:w w:val="111"/>
          <w:sz w:val="20"/>
        </w:rPr>
        <w:t>o</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p w14:paraId="19967BAC" w14:textId="77777777" w:rsidR="00894070" w:rsidRDefault="009B7AFD">
      <w:pPr>
        <w:pStyle w:val="ListParagraph"/>
        <w:numPr>
          <w:ilvl w:val="0"/>
          <w:numId w:val="112"/>
        </w:numPr>
        <w:tabs>
          <w:tab w:val="left" w:pos="2367"/>
          <w:tab w:val="left" w:pos="2368"/>
        </w:tabs>
        <w:spacing w:before="87" w:line="247" w:lineRule="auto"/>
        <w:ind w:right="2115"/>
        <w:rPr>
          <w:rFonts w:ascii="Trebuchet MS"/>
          <w:sz w:val="20"/>
        </w:rPr>
      </w:pPr>
      <w:r>
        <w:rPr>
          <w:rFonts w:ascii="Trebuchet MS"/>
          <w:color w:val="231F20"/>
          <w:spacing w:val="-3"/>
          <w:w w:val="105"/>
          <w:sz w:val="20"/>
        </w:rPr>
        <w:t>For</w:t>
      </w:r>
      <w:r>
        <w:rPr>
          <w:rFonts w:ascii="Trebuchet MS"/>
          <w:color w:val="231F20"/>
          <w:spacing w:val="-22"/>
          <w:w w:val="105"/>
          <w:sz w:val="20"/>
        </w:rPr>
        <w:t xml:space="preserve"> </w:t>
      </w:r>
      <w:r>
        <w:rPr>
          <w:rFonts w:ascii="Trebuchet MS"/>
          <w:color w:val="231F20"/>
          <w:w w:val="105"/>
          <w:sz w:val="20"/>
        </w:rPr>
        <w:t>victim</w:t>
      </w:r>
      <w:r>
        <w:rPr>
          <w:rFonts w:ascii="Trebuchet MS"/>
          <w:color w:val="231F20"/>
          <w:spacing w:val="-22"/>
          <w:w w:val="105"/>
          <w:sz w:val="20"/>
        </w:rPr>
        <w:t xml:space="preserve"> </w:t>
      </w:r>
      <w:r>
        <w:rPr>
          <w:rFonts w:ascii="Trebuchet MS"/>
          <w:color w:val="231F20"/>
          <w:w w:val="105"/>
          <w:sz w:val="20"/>
        </w:rPr>
        <w:t>survivors</w:t>
      </w:r>
      <w:r>
        <w:rPr>
          <w:rFonts w:ascii="Trebuchet MS"/>
          <w:color w:val="231F20"/>
          <w:spacing w:val="-22"/>
          <w:w w:val="105"/>
          <w:sz w:val="20"/>
        </w:rPr>
        <w:t xml:space="preserve"> </w:t>
      </w:r>
      <w:r>
        <w:rPr>
          <w:rFonts w:ascii="Trebuchet MS"/>
          <w:color w:val="231F20"/>
          <w:w w:val="105"/>
          <w:sz w:val="20"/>
        </w:rPr>
        <w:t>of</w:t>
      </w:r>
      <w:r>
        <w:rPr>
          <w:rFonts w:ascii="Trebuchet MS"/>
          <w:color w:val="231F20"/>
          <w:spacing w:val="-22"/>
          <w:w w:val="105"/>
          <w:sz w:val="20"/>
        </w:rPr>
        <w:t xml:space="preserve"> </w:t>
      </w:r>
      <w:r>
        <w:rPr>
          <w:rFonts w:ascii="Trebuchet MS"/>
          <w:color w:val="231F20"/>
          <w:spacing w:val="-3"/>
          <w:w w:val="105"/>
          <w:sz w:val="20"/>
        </w:rPr>
        <w:t>non-family</w:t>
      </w:r>
      <w:r>
        <w:rPr>
          <w:rFonts w:ascii="Trebuchet MS"/>
          <w:color w:val="231F20"/>
          <w:spacing w:val="-22"/>
          <w:w w:val="105"/>
          <w:sz w:val="20"/>
        </w:rPr>
        <w:t xml:space="preserve"> </w:t>
      </w:r>
      <w:r>
        <w:rPr>
          <w:rFonts w:ascii="Trebuchet MS"/>
          <w:color w:val="231F20"/>
          <w:w w:val="105"/>
          <w:sz w:val="20"/>
        </w:rPr>
        <w:t>violence</w:t>
      </w:r>
      <w:r>
        <w:rPr>
          <w:rFonts w:ascii="Trebuchet MS"/>
          <w:color w:val="231F20"/>
          <w:spacing w:val="-22"/>
          <w:w w:val="105"/>
          <w:sz w:val="20"/>
        </w:rPr>
        <w:t xml:space="preserve"> </w:t>
      </w:r>
      <w:r>
        <w:rPr>
          <w:rFonts w:ascii="Trebuchet MS"/>
          <w:color w:val="231F20"/>
          <w:w w:val="105"/>
          <w:sz w:val="20"/>
        </w:rPr>
        <w:t>cyberstalking</w:t>
      </w:r>
      <w:r>
        <w:rPr>
          <w:rFonts w:ascii="Trebuchet MS"/>
          <w:color w:val="231F20"/>
          <w:spacing w:val="-22"/>
          <w:w w:val="105"/>
          <w:sz w:val="20"/>
        </w:rPr>
        <w:t xml:space="preserve"> </w:t>
      </w:r>
      <w:r>
        <w:rPr>
          <w:rFonts w:ascii="Trebuchet MS"/>
          <w:color w:val="231F20"/>
          <w:w w:val="105"/>
          <w:sz w:val="20"/>
        </w:rPr>
        <w:t>the</w:t>
      </w:r>
      <w:r>
        <w:rPr>
          <w:rFonts w:ascii="Trebuchet MS"/>
          <w:color w:val="231F20"/>
          <w:spacing w:val="-22"/>
          <w:w w:val="105"/>
          <w:sz w:val="20"/>
        </w:rPr>
        <w:t xml:space="preserve"> </w:t>
      </w:r>
      <w:r>
        <w:rPr>
          <w:rFonts w:ascii="Trebuchet MS"/>
          <w:color w:val="231F20"/>
          <w:w w:val="105"/>
          <w:sz w:val="20"/>
        </w:rPr>
        <w:t xml:space="preserve">Victorian </w:t>
      </w:r>
      <w:r>
        <w:rPr>
          <w:rFonts w:ascii="Trebuchet MS"/>
          <w:color w:val="231F20"/>
          <w:spacing w:val="-3"/>
          <w:w w:val="105"/>
          <w:sz w:val="20"/>
        </w:rPr>
        <w:t xml:space="preserve">Government </w:t>
      </w:r>
      <w:r>
        <w:rPr>
          <w:rFonts w:ascii="Trebuchet MS"/>
          <w:color w:val="231F20"/>
          <w:w w:val="105"/>
          <w:sz w:val="20"/>
        </w:rPr>
        <w:t xml:space="preserve">should also ensure that the support provided </w:t>
      </w:r>
      <w:r>
        <w:rPr>
          <w:rFonts w:ascii="Trebuchet MS"/>
          <w:color w:val="231F20"/>
          <w:spacing w:val="-3"/>
          <w:w w:val="105"/>
          <w:sz w:val="20"/>
        </w:rPr>
        <w:t xml:space="preserve">by private </w:t>
      </w:r>
      <w:r>
        <w:rPr>
          <w:rFonts w:ascii="Trebuchet MS"/>
          <w:color w:val="231F20"/>
          <w:spacing w:val="-4"/>
          <w:w w:val="88"/>
          <w:sz w:val="20"/>
        </w:rPr>
        <w:t>t</w:t>
      </w:r>
      <w:r>
        <w:rPr>
          <w:rFonts w:ascii="Trebuchet MS"/>
          <w:color w:val="231F20"/>
          <w:w w:val="108"/>
          <w:sz w:val="20"/>
        </w:rPr>
        <w:t>e</w:t>
      </w:r>
      <w:r>
        <w:rPr>
          <w:rFonts w:ascii="Trebuchet MS"/>
          <w:color w:val="231F20"/>
          <w:spacing w:val="-2"/>
          <w:w w:val="111"/>
          <w:sz w:val="20"/>
        </w:rPr>
        <w:t>c</w:t>
      </w:r>
      <w:r>
        <w:rPr>
          <w:rFonts w:ascii="Trebuchet MS"/>
          <w:color w:val="231F20"/>
          <w:spacing w:val="-2"/>
          <w:w w:val="107"/>
          <w:sz w:val="20"/>
        </w:rPr>
        <w:t>h</w:t>
      </w:r>
      <w:r>
        <w:rPr>
          <w:rFonts w:ascii="Trebuchet MS"/>
          <w:color w:val="231F20"/>
          <w:spacing w:val="-1"/>
          <w:w w:val="107"/>
          <w:sz w:val="20"/>
        </w:rPr>
        <w:t>n</w:t>
      </w:r>
      <w:r>
        <w:rPr>
          <w:rFonts w:ascii="Trebuchet MS"/>
          <w:color w:val="231F20"/>
          <w:spacing w:val="-2"/>
          <w:w w:val="106"/>
          <w:sz w:val="20"/>
        </w:rPr>
        <w:t>o</w:t>
      </w:r>
      <w:r>
        <w:rPr>
          <w:rFonts w:ascii="Trebuchet MS"/>
          <w:color w:val="231F20"/>
          <w:spacing w:val="-3"/>
          <w:w w:val="106"/>
          <w:sz w:val="20"/>
        </w:rPr>
        <w:t>l</w:t>
      </w:r>
      <w:r>
        <w:rPr>
          <w:rFonts w:ascii="Trebuchet MS"/>
          <w:color w:val="231F20"/>
          <w:spacing w:val="-1"/>
          <w:w w:val="111"/>
          <w:sz w:val="20"/>
        </w:rPr>
        <w:t>o</w:t>
      </w:r>
      <w:r>
        <w:rPr>
          <w:rFonts w:ascii="Trebuchet MS"/>
          <w:color w:val="231F20"/>
          <w:spacing w:val="-2"/>
          <w:w w:val="124"/>
          <w:sz w:val="20"/>
        </w:rPr>
        <w:t>g</w:t>
      </w:r>
      <w:r>
        <w:rPr>
          <w:rFonts w:ascii="Trebuchet MS"/>
          <w:color w:val="231F20"/>
          <w:w w:val="110"/>
          <w:sz w:val="20"/>
        </w:rPr>
        <w:t>y</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11"/>
          <w:sz w:val="20"/>
        </w:rPr>
        <w:t>m</w:t>
      </w:r>
      <w:r>
        <w:rPr>
          <w:rFonts w:ascii="Trebuchet MS"/>
          <w:color w:val="231F20"/>
          <w:spacing w:val="-1"/>
          <w:w w:val="111"/>
          <w:sz w:val="20"/>
        </w:rPr>
        <w:t>p</w:t>
      </w:r>
      <w:r>
        <w:rPr>
          <w:rFonts w:ascii="Trebuchet MS"/>
          <w:color w:val="231F20"/>
          <w:spacing w:val="-2"/>
          <w:w w:val="101"/>
          <w:sz w:val="20"/>
        </w:rPr>
        <w:t>an</w:t>
      </w:r>
      <w:r>
        <w:rPr>
          <w:rFonts w:ascii="Trebuchet MS"/>
          <w:color w:val="231F20"/>
          <w:spacing w:val="-1"/>
          <w:w w:val="101"/>
          <w:sz w:val="20"/>
        </w:rPr>
        <w:t>i</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16"/>
          <w:sz w:val="20"/>
        </w:rPr>
        <w:t>gu</w:t>
      </w:r>
      <w:r>
        <w:rPr>
          <w:rFonts w:ascii="Trebuchet MS"/>
          <w:color w:val="231F20"/>
          <w:spacing w:val="1"/>
          <w:w w:val="96"/>
          <w:sz w:val="20"/>
        </w:rPr>
        <w:t>l</w:t>
      </w:r>
      <w:r>
        <w:rPr>
          <w:rFonts w:ascii="Trebuchet MS"/>
          <w:color w:val="231F20"/>
          <w:spacing w:val="-4"/>
          <w:w w:val="105"/>
          <w:sz w:val="20"/>
        </w:rPr>
        <w:t>a</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06"/>
          <w:sz w:val="20"/>
        </w:rPr>
        <w:t>a</w:t>
      </w:r>
      <w:r>
        <w:rPr>
          <w:rFonts w:ascii="Trebuchet MS"/>
          <w:color w:val="231F20"/>
          <w:spacing w:val="-1"/>
          <w:w w:val="106"/>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55"/>
          <w:sz w:val="20"/>
        </w:rPr>
        <w:t>.</w:t>
      </w:r>
    </w:p>
    <w:p w14:paraId="3D1343C9" w14:textId="77777777" w:rsidR="00894070" w:rsidRDefault="009B7AFD">
      <w:pPr>
        <w:pStyle w:val="ListParagraph"/>
        <w:numPr>
          <w:ilvl w:val="0"/>
          <w:numId w:val="112"/>
        </w:numPr>
        <w:tabs>
          <w:tab w:val="left" w:pos="2367"/>
          <w:tab w:val="left" w:pos="2368"/>
        </w:tabs>
        <w:spacing w:before="88" w:line="247" w:lineRule="auto"/>
        <w:ind w:right="1834"/>
        <w:rPr>
          <w:rFonts w:ascii="Trebuchet MS"/>
          <w:sz w:val="20"/>
        </w:rPr>
      </w:pPr>
      <w:r>
        <w:rPr>
          <w:rFonts w:ascii="Trebuchet MS"/>
          <w:color w:val="231F20"/>
          <w:sz w:val="20"/>
        </w:rPr>
        <w:t xml:space="preserve">The Victorian </w:t>
      </w:r>
      <w:r>
        <w:rPr>
          <w:rFonts w:ascii="Trebuchet MS"/>
          <w:color w:val="231F20"/>
          <w:spacing w:val="-3"/>
          <w:sz w:val="20"/>
        </w:rPr>
        <w:t xml:space="preserve">Government </w:t>
      </w:r>
      <w:r>
        <w:rPr>
          <w:rFonts w:ascii="Trebuchet MS"/>
          <w:color w:val="231F20"/>
          <w:sz w:val="20"/>
        </w:rPr>
        <w:t xml:space="preserve">should ensure that for victim survivors of non- </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7"/>
          <w:sz w:val="20"/>
        </w:rPr>
        <w:t>,</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1"/>
          <w:w w:val="107"/>
          <w:sz w:val="20"/>
        </w:rPr>
        <w:t>n</w:t>
      </w:r>
      <w:r>
        <w:rPr>
          <w:rFonts w:ascii="Trebuchet MS"/>
          <w:color w:val="231F20"/>
          <w:spacing w:val="-3"/>
          <w:w w:val="111"/>
          <w:sz w:val="20"/>
        </w:rPr>
        <w:t>c</w:t>
      </w:r>
      <w:r>
        <w:rPr>
          <w:rFonts w:ascii="Trebuchet MS"/>
          <w:color w:val="231F20"/>
          <w:spacing w:val="-3"/>
          <w:w w:val="96"/>
          <w:sz w:val="20"/>
        </w:rPr>
        <w:t>l</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11"/>
          <w:sz w:val="20"/>
        </w:rPr>
        <w:t>cy</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2"/>
          <w:w w:val="124"/>
          <w:sz w:val="20"/>
        </w:rPr>
        <w:t>g</w:t>
      </w:r>
      <w:r>
        <w:rPr>
          <w:rFonts w:ascii="Trebuchet MS"/>
          <w:color w:val="231F20"/>
          <w:w w:val="54"/>
          <w:sz w:val="20"/>
        </w:rPr>
        <w:t>:</w:t>
      </w:r>
    </w:p>
    <w:p w14:paraId="271C48BE" w14:textId="77777777" w:rsidR="00894070" w:rsidRDefault="009B7AFD">
      <w:pPr>
        <w:pStyle w:val="ListParagraph"/>
        <w:numPr>
          <w:ilvl w:val="1"/>
          <w:numId w:val="112"/>
        </w:numPr>
        <w:tabs>
          <w:tab w:val="left" w:pos="2934"/>
          <w:tab w:val="left" w:pos="2935"/>
        </w:tabs>
        <w:spacing w:before="86"/>
        <w:ind w:hanging="566"/>
        <w:rPr>
          <w:rFonts w:ascii="Trebuchet MS" w:hAnsi="Trebuchet MS"/>
          <w:sz w:val="20"/>
        </w:rPr>
      </w:pPr>
      <w:r>
        <w:rPr>
          <w:rFonts w:ascii="Trebuchet MS" w:hAnsi="Trebuchet MS"/>
          <w:color w:val="231F20"/>
          <w:spacing w:val="-4"/>
          <w:w w:val="105"/>
          <w:sz w:val="20"/>
        </w:rPr>
        <w:t>pathways</w:t>
      </w:r>
      <w:r>
        <w:rPr>
          <w:rFonts w:ascii="Trebuchet MS" w:hAnsi="Trebuchet MS"/>
          <w:color w:val="231F20"/>
          <w:spacing w:val="-17"/>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spacing w:val="-3"/>
          <w:w w:val="105"/>
          <w:sz w:val="20"/>
        </w:rPr>
        <w:t>early</w:t>
      </w:r>
      <w:r>
        <w:rPr>
          <w:rFonts w:ascii="Trebuchet MS" w:hAnsi="Trebuchet MS"/>
          <w:color w:val="231F20"/>
          <w:spacing w:val="-16"/>
          <w:w w:val="105"/>
          <w:sz w:val="20"/>
        </w:rPr>
        <w:t xml:space="preserve"> </w:t>
      </w:r>
      <w:r>
        <w:rPr>
          <w:rFonts w:ascii="Trebuchet MS" w:hAnsi="Trebuchet MS"/>
          <w:color w:val="231F20"/>
          <w:w w:val="105"/>
          <w:sz w:val="20"/>
        </w:rPr>
        <w:t>support</w:t>
      </w:r>
      <w:r>
        <w:rPr>
          <w:rFonts w:ascii="Trebuchet MS" w:hAnsi="Trebuchet MS"/>
          <w:color w:val="231F20"/>
          <w:spacing w:val="-16"/>
          <w:w w:val="105"/>
          <w:sz w:val="20"/>
        </w:rPr>
        <w:t xml:space="preserve"> </w:t>
      </w:r>
      <w:r>
        <w:rPr>
          <w:rFonts w:ascii="Trebuchet MS" w:hAnsi="Trebuchet MS"/>
          <w:color w:val="231F20"/>
          <w:spacing w:val="-2"/>
          <w:w w:val="105"/>
          <w:sz w:val="20"/>
        </w:rPr>
        <w:t>are</w:t>
      </w:r>
      <w:r>
        <w:rPr>
          <w:rFonts w:ascii="Trebuchet MS" w:hAnsi="Trebuchet MS"/>
          <w:color w:val="231F20"/>
          <w:spacing w:val="-16"/>
          <w:w w:val="105"/>
          <w:sz w:val="20"/>
        </w:rPr>
        <w:t xml:space="preserve"> </w:t>
      </w:r>
      <w:r>
        <w:rPr>
          <w:rFonts w:ascii="Trebuchet MS" w:hAnsi="Trebuchet MS"/>
          <w:color w:val="231F20"/>
          <w:spacing w:val="-3"/>
          <w:w w:val="105"/>
          <w:sz w:val="20"/>
        </w:rPr>
        <w:t>developed</w:t>
      </w:r>
    </w:p>
    <w:p w14:paraId="031F68E2" w14:textId="77777777" w:rsidR="00894070" w:rsidRDefault="009B7AFD">
      <w:pPr>
        <w:pStyle w:val="ListParagraph"/>
        <w:numPr>
          <w:ilvl w:val="1"/>
          <w:numId w:val="112"/>
        </w:numPr>
        <w:tabs>
          <w:tab w:val="left" w:pos="2934"/>
          <w:tab w:val="left" w:pos="2935"/>
        </w:tabs>
        <w:spacing w:before="93"/>
        <w:ind w:hanging="566"/>
        <w:rPr>
          <w:rFonts w:ascii="Trebuchet MS" w:hAnsi="Trebuchet MS"/>
          <w:sz w:val="20"/>
        </w:rPr>
      </w:pPr>
      <w:r>
        <w:rPr>
          <w:rFonts w:ascii="Trebuchet MS" w:hAnsi="Trebuchet MS"/>
          <w:color w:val="231F20"/>
          <w:spacing w:val="-3"/>
          <w:sz w:val="20"/>
        </w:rPr>
        <w:t>any</w:t>
      </w:r>
      <w:r>
        <w:rPr>
          <w:rFonts w:ascii="Trebuchet MS" w:hAnsi="Trebuchet MS"/>
          <w:color w:val="231F20"/>
          <w:spacing w:val="-13"/>
          <w:sz w:val="20"/>
        </w:rPr>
        <w:t xml:space="preserve"> </w:t>
      </w:r>
      <w:r>
        <w:rPr>
          <w:rFonts w:ascii="Trebuchet MS" w:hAnsi="Trebuchet MS"/>
          <w:color w:val="231F20"/>
          <w:sz w:val="20"/>
        </w:rPr>
        <w:t>barriers</w:t>
      </w:r>
      <w:r>
        <w:rPr>
          <w:rFonts w:ascii="Trebuchet MS" w:hAnsi="Trebuchet MS"/>
          <w:color w:val="231F20"/>
          <w:spacing w:val="-13"/>
          <w:sz w:val="20"/>
        </w:rPr>
        <w:t xml:space="preserve"> </w:t>
      </w:r>
      <w:r>
        <w:rPr>
          <w:rFonts w:ascii="Trebuchet MS" w:hAnsi="Trebuchet MS"/>
          <w:color w:val="231F20"/>
          <w:sz w:val="20"/>
        </w:rPr>
        <w:t>to</w:t>
      </w:r>
      <w:r>
        <w:rPr>
          <w:rFonts w:ascii="Trebuchet MS" w:hAnsi="Trebuchet MS"/>
          <w:color w:val="231F20"/>
          <w:spacing w:val="-13"/>
          <w:sz w:val="20"/>
        </w:rPr>
        <w:t xml:space="preserve"> </w:t>
      </w:r>
      <w:r>
        <w:rPr>
          <w:rFonts w:ascii="Trebuchet MS" w:hAnsi="Trebuchet MS"/>
          <w:color w:val="231F20"/>
          <w:sz w:val="20"/>
        </w:rPr>
        <w:t>eligibility</w:t>
      </w:r>
      <w:r>
        <w:rPr>
          <w:rFonts w:ascii="Trebuchet MS" w:hAnsi="Trebuchet MS"/>
          <w:color w:val="231F20"/>
          <w:spacing w:val="-13"/>
          <w:sz w:val="20"/>
        </w:rPr>
        <w:t xml:space="preserve"> </w:t>
      </w:r>
      <w:r>
        <w:rPr>
          <w:rFonts w:ascii="Trebuchet MS" w:hAnsi="Trebuchet MS"/>
          <w:color w:val="231F20"/>
          <w:spacing w:val="-2"/>
          <w:sz w:val="20"/>
        </w:rPr>
        <w:t>are</w:t>
      </w:r>
      <w:r>
        <w:rPr>
          <w:rFonts w:ascii="Trebuchet MS" w:hAnsi="Trebuchet MS"/>
          <w:color w:val="231F20"/>
          <w:spacing w:val="-13"/>
          <w:sz w:val="20"/>
        </w:rPr>
        <w:t xml:space="preserve"> </w:t>
      </w:r>
      <w:r>
        <w:rPr>
          <w:rFonts w:ascii="Trebuchet MS" w:hAnsi="Trebuchet MS"/>
          <w:color w:val="231F20"/>
          <w:sz w:val="20"/>
        </w:rPr>
        <w:t>addressed</w:t>
      </w:r>
    </w:p>
    <w:p w14:paraId="670760FE" w14:textId="77777777" w:rsidR="00894070" w:rsidRDefault="009B7AFD">
      <w:pPr>
        <w:pStyle w:val="ListParagraph"/>
        <w:numPr>
          <w:ilvl w:val="1"/>
          <w:numId w:val="112"/>
        </w:numPr>
        <w:tabs>
          <w:tab w:val="left" w:pos="2934"/>
          <w:tab w:val="left" w:pos="2935"/>
        </w:tabs>
        <w:spacing w:before="93"/>
        <w:ind w:hanging="566"/>
        <w:rPr>
          <w:rFonts w:ascii="Trebuchet MS" w:hAnsi="Trebuchet MS"/>
          <w:sz w:val="20"/>
        </w:rPr>
      </w:pPr>
      <w:r>
        <w:rPr>
          <w:rFonts w:ascii="Trebuchet MS" w:hAnsi="Trebuchet MS"/>
          <w:color w:val="231F20"/>
          <w:w w:val="105"/>
          <w:sz w:val="20"/>
        </w:rPr>
        <w:t>access</w:t>
      </w:r>
      <w:r>
        <w:rPr>
          <w:rFonts w:ascii="Trebuchet MS" w:hAnsi="Trebuchet MS"/>
          <w:color w:val="231F20"/>
          <w:spacing w:val="-16"/>
          <w:w w:val="105"/>
          <w:sz w:val="20"/>
        </w:rPr>
        <w:t xml:space="preserve"> </w:t>
      </w:r>
      <w:r>
        <w:rPr>
          <w:rFonts w:ascii="Trebuchet MS" w:hAnsi="Trebuchet MS"/>
          <w:color w:val="231F20"/>
          <w:w w:val="105"/>
          <w:sz w:val="20"/>
        </w:rPr>
        <w:t>to</w:t>
      </w:r>
      <w:r>
        <w:rPr>
          <w:rFonts w:ascii="Trebuchet MS" w:hAnsi="Trebuchet MS"/>
          <w:color w:val="231F20"/>
          <w:spacing w:val="-15"/>
          <w:w w:val="105"/>
          <w:sz w:val="20"/>
        </w:rPr>
        <w:t xml:space="preserve"> </w:t>
      </w:r>
      <w:r>
        <w:rPr>
          <w:rFonts w:ascii="Trebuchet MS" w:hAnsi="Trebuchet MS"/>
          <w:color w:val="231F20"/>
          <w:w w:val="105"/>
          <w:sz w:val="20"/>
        </w:rPr>
        <w:t>support</w:t>
      </w:r>
      <w:r>
        <w:rPr>
          <w:rFonts w:ascii="Trebuchet MS" w:hAnsi="Trebuchet MS"/>
          <w:color w:val="231F20"/>
          <w:spacing w:val="-16"/>
          <w:w w:val="105"/>
          <w:sz w:val="20"/>
        </w:rPr>
        <w:t xml:space="preserve"> </w:t>
      </w:r>
      <w:r>
        <w:rPr>
          <w:rFonts w:ascii="Trebuchet MS" w:hAnsi="Trebuchet MS"/>
          <w:color w:val="231F20"/>
          <w:w w:val="105"/>
          <w:sz w:val="20"/>
        </w:rPr>
        <w:t>is</w:t>
      </w:r>
      <w:r>
        <w:rPr>
          <w:rFonts w:ascii="Trebuchet MS" w:hAnsi="Trebuchet MS"/>
          <w:color w:val="231F20"/>
          <w:spacing w:val="-15"/>
          <w:w w:val="105"/>
          <w:sz w:val="20"/>
        </w:rPr>
        <w:t xml:space="preserve"> </w:t>
      </w:r>
      <w:r>
        <w:rPr>
          <w:rFonts w:ascii="Trebuchet MS" w:hAnsi="Trebuchet MS"/>
          <w:color w:val="231F20"/>
          <w:spacing w:val="-3"/>
          <w:w w:val="105"/>
          <w:sz w:val="20"/>
        </w:rPr>
        <w:t>improved</w:t>
      </w:r>
      <w:r>
        <w:rPr>
          <w:rFonts w:ascii="Trebuchet MS" w:hAnsi="Trebuchet MS"/>
          <w:color w:val="231F20"/>
          <w:spacing w:val="-15"/>
          <w:w w:val="105"/>
          <w:sz w:val="20"/>
        </w:rPr>
        <w:t xml:space="preserve"> </w:t>
      </w:r>
      <w:r>
        <w:rPr>
          <w:rFonts w:ascii="Trebuchet MS" w:hAnsi="Trebuchet MS"/>
          <w:color w:val="231F20"/>
          <w:w w:val="105"/>
          <w:sz w:val="20"/>
        </w:rPr>
        <w:t>for</w:t>
      </w:r>
      <w:r>
        <w:rPr>
          <w:rFonts w:ascii="Trebuchet MS" w:hAnsi="Trebuchet MS"/>
          <w:color w:val="231F20"/>
          <w:spacing w:val="-16"/>
          <w:w w:val="105"/>
          <w:sz w:val="20"/>
        </w:rPr>
        <w:t xml:space="preserve"> </w:t>
      </w:r>
      <w:r>
        <w:rPr>
          <w:rFonts w:ascii="Trebuchet MS" w:hAnsi="Trebuchet MS"/>
          <w:color w:val="231F20"/>
          <w:w w:val="105"/>
          <w:sz w:val="20"/>
        </w:rPr>
        <w:t>underserved</w:t>
      </w:r>
      <w:r>
        <w:rPr>
          <w:rFonts w:ascii="Trebuchet MS" w:hAnsi="Trebuchet MS"/>
          <w:color w:val="231F20"/>
          <w:spacing w:val="-15"/>
          <w:w w:val="105"/>
          <w:sz w:val="20"/>
        </w:rPr>
        <w:t xml:space="preserve"> </w:t>
      </w:r>
      <w:r>
        <w:rPr>
          <w:rFonts w:ascii="Trebuchet MS" w:hAnsi="Trebuchet MS"/>
          <w:color w:val="231F20"/>
          <w:spacing w:val="-2"/>
          <w:w w:val="105"/>
          <w:sz w:val="20"/>
        </w:rPr>
        <w:t>groups</w:t>
      </w:r>
    </w:p>
    <w:p w14:paraId="2120E7A4" w14:textId="77777777" w:rsidR="00894070" w:rsidRDefault="009B7AFD">
      <w:pPr>
        <w:pStyle w:val="ListParagraph"/>
        <w:numPr>
          <w:ilvl w:val="1"/>
          <w:numId w:val="112"/>
        </w:numPr>
        <w:tabs>
          <w:tab w:val="left" w:pos="2934"/>
          <w:tab w:val="left" w:pos="2935"/>
        </w:tabs>
        <w:spacing w:before="93"/>
        <w:ind w:hanging="566"/>
        <w:rPr>
          <w:rFonts w:ascii="Trebuchet MS" w:hAnsi="Trebuchet MS"/>
          <w:sz w:val="20"/>
        </w:rPr>
      </w:pPr>
      <w:r>
        <w:rPr>
          <w:rFonts w:ascii="Trebuchet MS" w:hAnsi="Trebuchet MS"/>
          <w:color w:val="231F20"/>
          <w:spacing w:val="-2"/>
          <w:w w:val="124"/>
          <w:sz w:val="20"/>
        </w:rPr>
        <w:t>g</w:t>
      </w:r>
      <w:r>
        <w:rPr>
          <w:rFonts w:ascii="Trebuchet MS" w:hAnsi="Trebuchet MS"/>
          <w:color w:val="231F20"/>
          <w:spacing w:val="-1"/>
          <w:w w:val="109"/>
          <w:sz w:val="20"/>
        </w:rPr>
        <w:t>u</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spacing w:val="-2"/>
          <w:w w:val="108"/>
          <w:sz w:val="20"/>
        </w:rPr>
        <w:t>e</w:t>
      </w:r>
      <w:r>
        <w:rPr>
          <w:rFonts w:ascii="Trebuchet MS" w:hAnsi="Trebuchet MS"/>
          <w:color w:val="231F20"/>
          <w:w w:val="96"/>
          <w:sz w:val="20"/>
        </w:rPr>
        <w:t>l</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2"/>
          <w:w w:val="108"/>
          <w:sz w:val="20"/>
        </w:rPr>
        <w:t>e</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2"/>
          <w:w w:val="105"/>
          <w:sz w:val="20"/>
        </w:rPr>
        <w:t>a</w:t>
      </w:r>
      <w:r>
        <w:rPr>
          <w:rFonts w:ascii="Trebuchet MS" w:hAnsi="Trebuchet MS"/>
          <w:color w:val="231F20"/>
          <w:spacing w:val="-2"/>
          <w:w w:val="80"/>
          <w:sz w:val="20"/>
        </w:rPr>
        <w:t>i</w:t>
      </w:r>
      <w:r>
        <w:rPr>
          <w:rFonts w:ascii="Trebuchet MS" w:hAnsi="Trebuchet MS"/>
          <w:color w:val="231F20"/>
          <w:spacing w:val="-2"/>
          <w:w w:val="107"/>
          <w:sz w:val="20"/>
        </w:rPr>
        <w:t>n</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6"/>
          <w:w w:val="111"/>
          <w:sz w:val="20"/>
        </w:rPr>
        <w:t>o</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u</w:t>
      </w:r>
      <w:r>
        <w:rPr>
          <w:rFonts w:ascii="Trebuchet MS" w:hAnsi="Trebuchet MS"/>
          <w:color w:val="231F20"/>
          <w:spacing w:val="-1"/>
          <w:w w:val="111"/>
          <w:sz w:val="20"/>
        </w:rPr>
        <w:t>ppo</w:t>
      </w:r>
      <w:r>
        <w:rPr>
          <w:rFonts w:ascii="Trebuchet MS" w:hAnsi="Trebuchet MS"/>
          <w:color w:val="231F20"/>
          <w:spacing w:val="2"/>
          <w:w w:val="93"/>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81"/>
          <w:sz w:val="20"/>
        </w:rPr>
        <w:t>ff</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1"/>
          <w:w w:val="124"/>
          <w:sz w:val="20"/>
        </w:rPr>
        <w:t>g</w:t>
      </w:r>
      <w:r>
        <w:rPr>
          <w:rFonts w:ascii="Trebuchet MS" w:hAnsi="Trebuchet MS"/>
          <w:color w:val="231F20"/>
          <w:w w:val="55"/>
          <w:sz w:val="20"/>
        </w:rPr>
        <w:t>.</w:t>
      </w:r>
    </w:p>
    <w:p w14:paraId="06633042" w14:textId="77777777" w:rsidR="00894070" w:rsidRDefault="009B7AFD">
      <w:pPr>
        <w:pStyle w:val="ListParagraph"/>
        <w:numPr>
          <w:ilvl w:val="0"/>
          <w:numId w:val="127"/>
        </w:numPr>
        <w:tabs>
          <w:tab w:val="left" w:pos="1801"/>
          <w:tab w:val="left" w:pos="1802"/>
        </w:tabs>
        <w:spacing w:before="93" w:line="247" w:lineRule="auto"/>
        <w:ind w:left="1801" w:right="1733" w:hanging="567"/>
        <w:jc w:val="left"/>
        <w:rPr>
          <w:rFonts w:ascii="Trebuchet MS"/>
          <w:color w:val="231F20"/>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fund a stream of </w:t>
      </w:r>
      <w:r>
        <w:rPr>
          <w:rFonts w:ascii="Trebuchet MS"/>
          <w:color w:val="231F20"/>
          <w:spacing w:val="-3"/>
          <w:w w:val="105"/>
          <w:sz w:val="20"/>
        </w:rPr>
        <w:t xml:space="preserve">timely </w:t>
      </w:r>
      <w:r>
        <w:rPr>
          <w:rFonts w:ascii="Trebuchet MS"/>
          <w:color w:val="231F20"/>
          <w:w w:val="105"/>
          <w:sz w:val="20"/>
        </w:rPr>
        <w:t>financial assistance so</w:t>
      </w:r>
      <w:r>
        <w:rPr>
          <w:rFonts w:ascii="Trebuchet MS"/>
          <w:color w:val="231F20"/>
          <w:spacing w:val="-18"/>
          <w:w w:val="105"/>
          <w:sz w:val="20"/>
        </w:rPr>
        <w:t xml:space="preserve"> </w:t>
      </w:r>
      <w:r>
        <w:rPr>
          <w:rFonts w:ascii="Trebuchet MS"/>
          <w:color w:val="231F20"/>
          <w:w w:val="105"/>
          <w:sz w:val="20"/>
        </w:rPr>
        <w:t>that</w:t>
      </w:r>
      <w:r>
        <w:rPr>
          <w:rFonts w:ascii="Trebuchet MS"/>
          <w:color w:val="231F20"/>
          <w:spacing w:val="-17"/>
          <w:w w:val="105"/>
          <w:sz w:val="20"/>
        </w:rPr>
        <w:t xml:space="preserve"> </w:t>
      </w:r>
      <w:r>
        <w:rPr>
          <w:rFonts w:ascii="Trebuchet MS"/>
          <w:color w:val="231F20"/>
          <w:w w:val="105"/>
          <w:sz w:val="20"/>
        </w:rPr>
        <w:t>victim</w:t>
      </w:r>
      <w:r>
        <w:rPr>
          <w:rFonts w:ascii="Trebuchet MS"/>
          <w:color w:val="231F20"/>
          <w:spacing w:val="-17"/>
          <w:w w:val="105"/>
          <w:sz w:val="20"/>
        </w:rPr>
        <w:t xml:space="preserve"> </w:t>
      </w:r>
      <w:r>
        <w:rPr>
          <w:rFonts w:ascii="Trebuchet MS"/>
          <w:color w:val="231F20"/>
          <w:w w:val="105"/>
          <w:sz w:val="20"/>
        </w:rPr>
        <w:t>services</w:t>
      </w:r>
      <w:r>
        <w:rPr>
          <w:rFonts w:ascii="Trebuchet MS"/>
          <w:color w:val="231F20"/>
          <w:spacing w:val="-17"/>
          <w:w w:val="105"/>
          <w:sz w:val="20"/>
        </w:rPr>
        <w:t xml:space="preserve"> </w:t>
      </w:r>
      <w:r>
        <w:rPr>
          <w:rFonts w:ascii="Trebuchet MS"/>
          <w:color w:val="231F20"/>
          <w:w w:val="105"/>
          <w:sz w:val="20"/>
        </w:rPr>
        <w:t>can</w:t>
      </w:r>
      <w:r>
        <w:rPr>
          <w:rFonts w:ascii="Trebuchet MS"/>
          <w:color w:val="231F20"/>
          <w:spacing w:val="-18"/>
          <w:w w:val="105"/>
          <w:sz w:val="20"/>
        </w:rPr>
        <w:t xml:space="preserve"> </w:t>
      </w:r>
      <w:r>
        <w:rPr>
          <w:rFonts w:ascii="Trebuchet MS"/>
          <w:color w:val="231F20"/>
          <w:w w:val="105"/>
          <w:sz w:val="20"/>
        </w:rPr>
        <w:t>administer</w:t>
      </w:r>
      <w:r>
        <w:rPr>
          <w:rFonts w:ascii="Trebuchet MS"/>
          <w:color w:val="231F20"/>
          <w:spacing w:val="-17"/>
          <w:w w:val="105"/>
          <w:sz w:val="20"/>
        </w:rPr>
        <w:t xml:space="preserve"> </w:t>
      </w:r>
      <w:r>
        <w:rPr>
          <w:rFonts w:ascii="Trebuchet MS"/>
          <w:color w:val="231F20"/>
          <w:spacing w:val="-3"/>
          <w:w w:val="105"/>
          <w:sz w:val="20"/>
        </w:rPr>
        <w:t>flexible</w:t>
      </w:r>
      <w:r>
        <w:rPr>
          <w:rFonts w:ascii="Trebuchet MS"/>
          <w:color w:val="231F20"/>
          <w:spacing w:val="-17"/>
          <w:w w:val="105"/>
          <w:sz w:val="20"/>
        </w:rPr>
        <w:t xml:space="preserve"> </w:t>
      </w:r>
      <w:r>
        <w:rPr>
          <w:rFonts w:ascii="Trebuchet MS"/>
          <w:color w:val="231F20"/>
          <w:w w:val="105"/>
          <w:sz w:val="20"/>
        </w:rPr>
        <w:t>support</w:t>
      </w:r>
      <w:r>
        <w:rPr>
          <w:rFonts w:ascii="Trebuchet MS"/>
          <w:color w:val="231F20"/>
          <w:spacing w:val="-17"/>
          <w:w w:val="105"/>
          <w:sz w:val="20"/>
        </w:rPr>
        <w:t xml:space="preserve"> </w:t>
      </w:r>
      <w:r>
        <w:rPr>
          <w:rFonts w:ascii="Trebuchet MS"/>
          <w:color w:val="231F20"/>
          <w:w w:val="105"/>
          <w:sz w:val="20"/>
        </w:rPr>
        <w:t>packages</w:t>
      </w:r>
      <w:r>
        <w:rPr>
          <w:rFonts w:ascii="Trebuchet MS"/>
          <w:color w:val="231F20"/>
          <w:spacing w:val="-18"/>
          <w:w w:val="105"/>
          <w:sz w:val="20"/>
        </w:rPr>
        <w:t xml:space="preserve"> </w:t>
      </w:r>
      <w:r>
        <w:rPr>
          <w:rFonts w:ascii="Trebuchet MS"/>
          <w:color w:val="231F20"/>
          <w:w w:val="105"/>
          <w:sz w:val="20"/>
        </w:rPr>
        <w:t>or</w:t>
      </w:r>
      <w:r>
        <w:rPr>
          <w:rFonts w:ascii="Trebuchet MS"/>
          <w:color w:val="231F20"/>
          <w:spacing w:val="-17"/>
          <w:w w:val="105"/>
          <w:sz w:val="20"/>
        </w:rPr>
        <w:t xml:space="preserve"> </w:t>
      </w:r>
      <w:r>
        <w:rPr>
          <w:rFonts w:ascii="Trebuchet MS"/>
          <w:color w:val="231F20"/>
          <w:w w:val="105"/>
          <w:sz w:val="20"/>
        </w:rPr>
        <w:t>brokerage</w:t>
      </w:r>
      <w:r>
        <w:rPr>
          <w:rFonts w:ascii="Trebuchet MS"/>
          <w:color w:val="231F20"/>
          <w:spacing w:val="-17"/>
          <w:w w:val="105"/>
          <w:sz w:val="20"/>
        </w:rPr>
        <w:t xml:space="preserve"> </w:t>
      </w:r>
      <w:r>
        <w:rPr>
          <w:rFonts w:ascii="Trebuchet MS"/>
          <w:color w:val="231F20"/>
          <w:w w:val="105"/>
          <w:sz w:val="20"/>
        </w:rPr>
        <w:t>to</w:t>
      </w:r>
    </w:p>
    <w:p w14:paraId="263F17DD" w14:textId="77777777" w:rsidR="00894070" w:rsidRDefault="009B7AFD">
      <w:pPr>
        <w:pStyle w:val="BodyText"/>
        <w:spacing w:before="1" w:line="247" w:lineRule="auto"/>
        <w:ind w:left="1801" w:right="1459"/>
        <w:rPr>
          <w:rFonts w:ascii="Trebuchet MS"/>
        </w:rPr>
      </w:pPr>
      <w:r>
        <w:rPr>
          <w:rFonts w:ascii="Trebuchet MS"/>
          <w:color w:val="231F20"/>
          <w:w w:val="105"/>
        </w:rPr>
        <w:t>a</w:t>
      </w:r>
      <w:r>
        <w:rPr>
          <w:rFonts w:ascii="Trebuchet MS"/>
          <w:color w:val="231F20"/>
          <w:spacing w:val="-1"/>
          <w:w w:val="122"/>
        </w:rPr>
        <w:t>s</w:t>
      </w:r>
      <w:r>
        <w:rPr>
          <w:rFonts w:ascii="Trebuchet MS"/>
          <w:color w:val="231F20"/>
          <w:spacing w:val="-2"/>
          <w:w w:val="122"/>
        </w:rPr>
        <w:t>s</w:t>
      </w:r>
      <w:r>
        <w:rPr>
          <w:rFonts w:ascii="Trebuchet MS"/>
          <w:color w:val="231F20"/>
          <w:spacing w:val="-1"/>
          <w:w w:val="80"/>
        </w:rPr>
        <w:t>i</w:t>
      </w:r>
      <w:r>
        <w:rPr>
          <w:rFonts w:ascii="Trebuchet MS"/>
          <w:color w:val="231F20"/>
          <w:spacing w:val="-1"/>
          <w:w w:val="122"/>
        </w:rPr>
        <w:t>s</w:t>
      </w:r>
      <w:r>
        <w:rPr>
          <w:rFonts w:ascii="Trebuchet MS"/>
          <w:color w:val="231F20"/>
          <w:w w:val="88"/>
        </w:rPr>
        <w:t>t</w:t>
      </w:r>
      <w:r>
        <w:rPr>
          <w:rFonts w:ascii="Trebuchet MS"/>
          <w:color w:val="231F20"/>
          <w:spacing w:val="-14"/>
        </w:rPr>
        <w:t xml:space="preserve"> </w:t>
      </w:r>
      <w:r>
        <w:rPr>
          <w:rFonts w:ascii="Trebuchet MS"/>
          <w:color w:val="231F20"/>
          <w:spacing w:val="-2"/>
          <w:w w:val="109"/>
        </w:rPr>
        <w:t>v</w:t>
      </w:r>
      <w:r>
        <w:rPr>
          <w:rFonts w:ascii="Trebuchet MS"/>
          <w:color w:val="231F20"/>
          <w:spacing w:val="-1"/>
          <w:w w:val="80"/>
        </w:rPr>
        <w:t>i</w:t>
      </w:r>
      <w:r>
        <w:rPr>
          <w:rFonts w:ascii="Trebuchet MS"/>
          <w:color w:val="231F20"/>
          <w:spacing w:val="-2"/>
          <w:w w:val="111"/>
        </w:rPr>
        <w:t>c</w:t>
      </w:r>
      <w:r>
        <w:rPr>
          <w:rFonts w:ascii="Trebuchet MS"/>
          <w:color w:val="231F20"/>
          <w:spacing w:val="-2"/>
          <w:w w:val="88"/>
        </w:rPr>
        <w:t>t</w:t>
      </w:r>
      <w:r>
        <w:rPr>
          <w:rFonts w:ascii="Trebuchet MS"/>
          <w:color w:val="231F20"/>
          <w:spacing w:val="-2"/>
          <w:w w:val="80"/>
        </w:rPr>
        <w:t>i</w:t>
      </w:r>
      <w:r>
        <w:rPr>
          <w:rFonts w:ascii="Trebuchet MS"/>
          <w:color w:val="231F20"/>
          <w:w w:val="111"/>
        </w:rPr>
        <w:t>m</w:t>
      </w:r>
      <w:r>
        <w:rPr>
          <w:rFonts w:ascii="Trebuchet MS"/>
          <w:color w:val="231F20"/>
          <w:spacing w:val="-14"/>
        </w:rPr>
        <w:t xml:space="preserve"> </w:t>
      </w:r>
      <w:r>
        <w:rPr>
          <w:rFonts w:ascii="Trebuchet MS"/>
          <w:color w:val="231F20"/>
          <w:spacing w:val="-2"/>
          <w:w w:val="122"/>
        </w:rPr>
        <w:t>s</w:t>
      </w:r>
      <w:r>
        <w:rPr>
          <w:rFonts w:ascii="Trebuchet MS"/>
          <w:color w:val="231F20"/>
          <w:spacing w:val="-1"/>
          <w:w w:val="109"/>
        </w:rPr>
        <w:t>u</w:t>
      </w:r>
      <w:r>
        <w:rPr>
          <w:rFonts w:ascii="Trebuchet MS"/>
          <w:color w:val="231F20"/>
          <w:spacing w:val="3"/>
          <w:w w:val="93"/>
        </w:rPr>
        <w:t>r</w:t>
      </w:r>
      <w:r>
        <w:rPr>
          <w:rFonts w:ascii="Trebuchet MS"/>
          <w:color w:val="231F20"/>
          <w:spacing w:val="-2"/>
          <w:w w:val="109"/>
        </w:rPr>
        <w:t>v</w:t>
      </w:r>
      <w:r>
        <w:rPr>
          <w:rFonts w:ascii="Trebuchet MS"/>
          <w:color w:val="231F20"/>
          <w:spacing w:val="-2"/>
          <w:w w:val="80"/>
        </w:rPr>
        <w:t>i</w:t>
      </w:r>
      <w:r>
        <w:rPr>
          <w:rFonts w:ascii="Trebuchet MS"/>
          <w:color w:val="231F20"/>
          <w:spacing w:val="-6"/>
          <w:w w:val="109"/>
        </w:rPr>
        <w:t>v</w:t>
      </w:r>
      <w:r>
        <w:rPr>
          <w:rFonts w:ascii="Trebuchet MS"/>
          <w:color w:val="231F20"/>
          <w:spacing w:val="-1"/>
          <w:w w:val="111"/>
        </w:rPr>
        <w:t>o</w:t>
      </w:r>
      <w:r>
        <w:rPr>
          <w:rFonts w:ascii="Trebuchet MS"/>
          <w:color w:val="231F20"/>
          <w:spacing w:val="-1"/>
          <w:w w:val="93"/>
        </w:rPr>
        <w:t>r</w:t>
      </w:r>
      <w:r>
        <w:rPr>
          <w:rFonts w:ascii="Trebuchet MS"/>
          <w:color w:val="231F20"/>
          <w:w w:val="122"/>
        </w:rPr>
        <w:t>s</w:t>
      </w:r>
      <w:r>
        <w:rPr>
          <w:rFonts w:ascii="Trebuchet MS"/>
          <w:color w:val="231F20"/>
          <w:spacing w:val="-14"/>
        </w:rPr>
        <w:t xml:space="preserve"> </w:t>
      </w:r>
      <w:r>
        <w:rPr>
          <w:rFonts w:ascii="Trebuchet MS"/>
          <w:color w:val="231F20"/>
          <w:spacing w:val="-4"/>
          <w:w w:val="111"/>
        </w:rPr>
        <w:t>o</w:t>
      </w:r>
      <w:r>
        <w:rPr>
          <w:rFonts w:ascii="Trebuchet MS"/>
          <w:color w:val="231F20"/>
          <w:w w:val="92"/>
        </w:rPr>
        <w:t>f</w:t>
      </w:r>
      <w:r>
        <w:rPr>
          <w:rFonts w:ascii="Trebuchet MS"/>
          <w:color w:val="231F20"/>
          <w:spacing w:val="-14"/>
        </w:rPr>
        <w:t xml:space="preserve"> </w:t>
      </w:r>
      <w:r>
        <w:rPr>
          <w:rFonts w:ascii="Trebuchet MS"/>
          <w:color w:val="231F20"/>
          <w:spacing w:val="-1"/>
          <w:w w:val="107"/>
        </w:rPr>
        <w:t>n</w:t>
      </w:r>
      <w:r>
        <w:rPr>
          <w:rFonts w:ascii="Trebuchet MS"/>
          <w:color w:val="231F20"/>
          <w:spacing w:val="-1"/>
          <w:w w:val="111"/>
        </w:rPr>
        <w:t>o</w:t>
      </w:r>
      <w:r>
        <w:rPr>
          <w:rFonts w:ascii="Trebuchet MS"/>
          <w:color w:val="231F20"/>
          <w:spacing w:val="-1"/>
          <w:w w:val="107"/>
        </w:rPr>
        <w:t>n</w:t>
      </w:r>
      <w:r>
        <w:rPr>
          <w:rFonts w:ascii="Trebuchet MS"/>
          <w:color w:val="231F20"/>
          <w:spacing w:val="-5"/>
          <w:w w:val="115"/>
        </w:rPr>
        <w:t>-</w:t>
      </w:r>
      <w:r>
        <w:rPr>
          <w:rFonts w:ascii="Trebuchet MS"/>
          <w:color w:val="231F20"/>
          <w:spacing w:val="-2"/>
          <w:w w:val="92"/>
        </w:rPr>
        <w:t>f</w:t>
      </w:r>
      <w:r>
        <w:rPr>
          <w:rFonts w:ascii="Trebuchet MS"/>
          <w:color w:val="231F20"/>
          <w:spacing w:val="-2"/>
          <w:w w:val="105"/>
        </w:rPr>
        <w:t>a</w:t>
      </w:r>
      <w:r>
        <w:rPr>
          <w:rFonts w:ascii="Trebuchet MS"/>
          <w:color w:val="231F20"/>
          <w:spacing w:val="-2"/>
          <w:w w:val="111"/>
        </w:rPr>
        <w:t>m</w:t>
      </w:r>
      <w:r>
        <w:rPr>
          <w:rFonts w:ascii="Trebuchet MS"/>
          <w:color w:val="231F20"/>
          <w:spacing w:val="-2"/>
          <w:w w:val="80"/>
        </w:rPr>
        <w:t>i</w:t>
      </w:r>
      <w:r>
        <w:rPr>
          <w:rFonts w:ascii="Trebuchet MS"/>
          <w:color w:val="231F20"/>
          <w:spacing w:val="-7"/>
          <w:w w:val="96"/>
        </w:rPr>
        <w:t>l</w:t>
      </w:r>
      <w:r>
        <w:rPr>
          <w:rFonts w:ascii="Trebuchet MS"/>
          <w:color w:val="231F20"/>
          <w:w w:val="110"/>
        </w:rPr>
        <w:t>y</w:t>
      </w:r>
      <w:r>
        <w:rPr>
          <w:rFonts w:ascii="Trebuchet MS"/>
          <w:color w:val="231F20"/>
          <w:spacing w:val="-14"/>
        </w:rPr>
        <w:t xml:space="preserve"> </w:t>
      </w:r>
      <w:r>
        <w:rPr>
          <w:rFonts w:ascii="Trebuchet MS"/>
          <w:color w:val="231F20"/>
          <w:spacing w:val="-2"/>
          <w:w w:val="109"/>
        </w:rPr>
        <w:t>v</w:t>
      </w:r>
      <w:r>
        <w:rPr>
          <w:rFonts w:ascii="Trebuchet MS"/>
          <w:color w:val="231F20"/>
          <w:spacing w:val="-1"/>
          <w:w w:val="80"/>
        </w:rPr>
        <w:t>i</w:t>
      </w:r>
      <w:r>
        <w:rPr>
          <w:rFonts w:ascii="Trebuchet MS"/>
          <w:color w:val="231F20"/>
          <w:spacing w:val="-2"/>
          <w:w w:val="111"/>
        </w:rPr>
        <w:t>o</w:t>
      </w:r>
      <w:r>
        <w:rPr>
          <w:rFonts w:ascii="Trebuchet MS"/>
          <w:color w:val="231F20"/>
          <w:spacing w:val="-3"/>
          <w:w w:val="96"/>
        </w:rPr>
        <w:t>l</w:t>
      </w:r>
      <w:r>
        <w:rPr>
          <w:rFonts w:ascii="Trebuchet MS"/>
          <w:color w:val="231F20"/>
          <w:spacing w:val="-1"/>
          <w:w w:val="108"/>
        </w:rPr>
        <w:t>e</w:t>
      </w:r>
      <w:r>
        <w:rPr>
          <w:rFonts w:ascii="Trebuchet MS"/>
          <w:color w:val="231F20"/>
          <w:spacing w:val="-1"/>
          <w:w w:val="107"/>
        </w:rPr>
        <w:t>n</w:t>
      </w:r>
      <w:r>
        <w:rPr>
          <w:rFonts w:ascii="Trebuchet MS"/>
          <w:color w:val="231F20"/>
          <w:spacing w:val="-3"/>
          <w:w w:val="111"/>
        </w:rPr>
        <w:t>c</w:t>
      </w:r>
      <w:r>
        <w:rPr>
          <w:rFonts w:ascii="Trebuchet MS"/>
          <w:color w:val="231F20"/>
          <w:w w:val="108"/>
        </w:rPr>
        <w:t>e</w:t>
      </w:r>
      <w:r>
        <w:rPr>
          <w:rFonts w:ascii="Trebuchet MS"/>
          <w:color w:val="231F20"/>
          <w:spacing w:val="-14"/>
        </w:rPr>
        <w:t xml:space="preserve"> </w:t>
      </w:r>
      <w:r>
        <w:rPr>
          <w:rFonts w:ascii="Trebuchet MS"/>
          <w:color w:val="231F20"/>
          <w:spacing w:val="-1"/>
          <w:w w:val="122"/>
        </w:rPr>
        <w:t>s</w:t>
      </w:r>
      <w:r>
        <w:rPr>
          <w:rFonts w:ascii="Trebuchet MS"/>
          <w:color w:val="231F20"/>
          <w:w w:val="88"/>
        </w:rPr>
        <w:t>t</w:t>
      </w:r>
      <w:r>
        <w:rPr>
          <w:rFonts w:ascii="Trebuchet MS"/>
          <w:color w:val="231F20"/>
          <w:spacing w:val="-3"/>
          <w:w w:val="105"/>
        </w:rPr>
        <w:t>a</w:t>
      </w:r>
      <w:r>
        <w:rPr>
          <w:rFonts w:ascii="Trebuchet MS"/>
          <w:color w:val="231F20"/>
          <w:w w:val="96"/>
        </w:rPr>
        <w:t>l</w:t>
      </w:r>
      <w:r>
        <w:rPr>
          <w:rFonts w:ascii="Trebuchet MS"/>
          <w:color w:val="231F20"/>
          <w:spacing w:val="-1"/>
          <w:w w:val="106"/>
        </w:rPr>
        <w:t>k</w:t>
      </w:r>
      <w:r>
        <w:rPr>
          <w:rFonts w:ascii="Trebuchet MS"/>
          <w:color w:val="231F20"/>
          <w:spacing w:val="-2"/>
          <w:w w:val="80"/>
        </w:rPr>
        <w:t>i</w:t>
      </w:r>
      <w:r>
        <w:rPr>
          <w:rFonts w:ascii="Trebuchet MS"/>
          <w:color w:val="231F20"/>
          <w:spacing w:val="-1"/>
          <w:w w:val="107"/>
        </w:rPr>
        <w:t>n</w:t>
      </w:r>
      <w:r>
        <w:rPr>
          <w:rFonts w:ascii="Trebuchet MS"/>
          <w:color w:val="231F20"/>
          <w:spacing w:val="-1"/>
          <w:w w:val="124"/>
        </w:rPr>
        <w:t>g</w:t>
      </w:r>
      <w:r>
        <w:rPr>
          <w:rFonts w:ascii="Trebuchet MS"/>
          <w:color w:val="231F20"/>
          <w:w w:val="57"/>
        </w:rPr>
        <w:t>,</w:t>
      </w:r>
      <w:r>
        <w:rPr>
          <w:rFonts w:ascii="Trebuchet MS"/>
          <w:color w:val="231F20"/>
          <w:spacing w:val="-14"/>
        </w:rPr>
        <w:t xml:space="preserve"> </w:t>
      </w:r>
      <w:r>
        <w:rPr>
          <w:rFonts w:ascii="Trebuchet MS"/>
          <w:color w:val="231F20"/>
          <w:spacing w:val="-2"/>
          <w:w w:val="80"/>
        </w:rPr>
        <w:t>i</w:t>
      </w:r>
      <w:r>
        <w:rPr>
          <w:rFonts w:ascii="Trebuchet MS"/>
          <w:color w:val="231F20"/>
          <w:spacing w:val="-1"/>
          <w:w w:val="107"/>
        </w:rPr>
        <w:t>n</w:t>
      </w:r>
      <w:r>
        <w:rPr>
          <w:rFonts w:ascii="Trebuchet MS"/>
          <w:color w:val="231F20"/>
          <w:spacing w:val="-3"/>
          <w:w w:val="111"/>
        </w:rPr>
        <w:t>c</w:t>
      </w:r>
      <w:r>
        <w:rPr>
          <w:rFonts w:ascii="Trebuchet MS"/>
          <w:color w:val="231F20"/>
          <w:spacing w:val="-3"/>
          <w:w w:val="96"/>
        </w:rPr>
        <w:t>l</w:t>
      </w:r>
      <w:r>
        <w:rPr>
          <w:rFonts w:ascii="Trebuchet MS"/>
          <w:color w:val="231F20"/>
          <w:spacing w:val="-2"/>
          <w:w w:val="109"/>
        </w:rPr>
        <w:t>u</w:t>
      </w:r>
      <w:r>
        <w:rPr>
          <w:rFonts w:ascii="Trebuchet MS"/>
          <w:color w:val="231F20"/>
          <w:spacing w:val="-1"/>
          <w:w w:val="112"/>
        </w:rPr>
        <w:t>d</w:t>
      </w:r>
      <w:r>
        <w:rPr>
          <w:rFonts w:ascii="Trebuchet MS"/>
          <w:color w:val="231F20"/>
          <w:spacing w:val="-2"/>
          <w:w w:val="80"/>
        </w:rPr>
        <w:t>i</w:t>
      </w:r>
      <w:r>
        <w:rPr>
          <w:rFonts w:ascii="Trebuchet MS"/>
          <w:color w:val="231F20"/>
          <w:spacing w:val="-1"/>
          <w:w w:val="107"/>
        </w:rPr>
        <w:t>n</w:t>
      </w:r>
      <w:r>
        <w:rPr>
          <w:rFonts w:ascii="Trebuchet MS"/>
          <w:color w:val="231F20"/>
          <w:w w:val="124"/>
        </w:rPr>
        <w:t>g</w:t>
      </w:r>
      <w:r>
        <w:rPr>
          <w:rFonts w:ascii="Trebuchet MS"/>
          <w:color w:val="231F20"/>
          <w:spacing w:val="-14"/>
        </w:rPr>
        <w:t xml:space="preserve"> </w:t>
      </w:r>
      <w:r>
        <w:rPr>
          <w:rFonts w:ascii="Trebuchet MS"/>
          <w:color w:val="231F20"/>
          <w:spacing w:val="-2"/>
          <w:w w:val="111"/>
        </w:rPr>
        <w:t>cy</w:t>
      </w:r>
      <w:r>
        <w:rPr>
          <w:rFonts w:ascii="Trebuchet MS"/>
          <w:color w:val="231F20"/>
          <w:spacing w:val="-1"/>
          <w:w w:val="111"/>
        </w:rPr>
        <w:t>b</w:t>
      </w:r>
      <w:r>
        <w:rPr>
          <w:rFonts w:ascii="Trebuchet MS"/>
          <w:color w:val="231F20"/>
          <w:spacing w:val="-1"/>
          <w:w w:val="108"/>
        </w:rPr>
        <w:t>e</w:t>
      </w:r>
      <w:r>
        <w:rPr>
          <w:rFonts w:ascii="Trebuchet MS"/>
          <w:color w:val="231F20"/>
          <w:spacing w:val="-1"/>
          <w:w w:val="93"/>
        </w:rPr>
        <w:t>r</w:t>
      </w:r>
      <w:r>
        <w:rPr>
          <w:rFonts w:ascii="Trebuchet MS"/>
          <w:color w:val="231F20"/>
          <w:spacing w:val="-1"/>
          <w:w w:val="122"/>
        </w:rPr>
        <w:t>s</w:t>
      </w:r>
      <w:r>
        <w:rPr>
          <w:rFonts w:ascii="Trebuchet MS"/>
          <w:color w:val="231F20"/>
          <w:w w:val="88"/>
        </w:rPr>
        <w:t>t</w:t>
      </w:r>
      <w:r>
        <w:rPr>
          <w:rFonts w:ascii="Trebuchet MS"/>
          <w:color w:val="231F20"/>
          <w:spacing w:val="-3"/>
          <w:w w:val="105"/>
        </w:rPr>
        <w:t>a</w:t>
      </w:r>
      <w:r>
        <w:rPr>
          <w:rFonts w:ascii="Trebuchet MS"/>
          <w:color w:val="231F20"/>
          <w:w w:val="96"/>
        </w:rPr>
        <w:t>l</w:t>
      </w:r>
      <w:r>
        <w:rPr>
          <w:rFonts w:ascii="Trebuchet MS"/>
          <w:color w:val="231F20"/>
          <w:spacing w:val="-1"/>
          <w:w w:val="106"/>
        </w:rPr>
        <w:t>k</w:t>
      </w:r>
      <w:r>
        <w:rPr>
          <w:rFonts w:ascii="Trebuchet MS"/>
          <w:color w:val="231F20"/>
          <w:spacing w:val="-2"/>
          <w:w w:val="80"/>
        </w:rPr>
        <w:t>i</w:t>
      </w:r>
      <w:r>
        <w:rPr>
          <w:rFonts w:ascii="Trebuchet MS"/>
          <w:color w:val="231F20"/>
          <w:spacing w:val="-1"/>
          <w:w w:val="107"/>
        </w:rPr>
        <w:t>n</w:t>
      </w:r>
      <w:r>
        <w:rPr>
          <w:rFonts w:ascii="Trebuchet MS"/>
          <w:color w:val="231F20"/>
          <w:spacing w:val="-1"/>
          <w:w w:val="124"/>
        </w:rPr>
        <w:t>g</w:t>
      </w:r>
      <w:r>
        <w:rPr>
          <w:rFonts w:ascii="Trebuchet MS"/>
          <w:color w:val="231F20"/>
          <w:w w:val="55"/>
        </w:rPr>
        <w:t>.</w:t>
      </w:r>
      <w:r>
        <w:rPr>
          <w:rFonts w:ascii="Trebuchet MS"/>
          <w:color w:val="231F20"/>
          <w:spacing w:val="-14"/>
        </w:rPr>
        <w:t xml:space="preserve"> </w:t>
      </w:r>
      <w:r>
        <w:rPr>
          <w:rFonts w:ascii="Trebuchet MS"/>
          <w:color w:val="231F20"/>
          <w:spacing w:val="-2"/>
          <w:w w:val="105"/>
        </w:rPr>
        <w:t>T</w:t>
      </w:r>
      <w:r>
        <w:rPr>
          <w:rFonts w:ascii="Trebuchet MS"/>
          <w:color w:val="231F20"/>
          <w:spacing w:val="-2"/>
          <w:w w:val="107"/>
        </w:rPr>
        <w:t>h</w:t>
      </w:r>
      <w:r>
        <w:rPr>
          <w:rFonts w:ascii="Trebuchet MS"/>
          <w:color w:val="231F20"/>
          <w:spacing w:val="-1"/>
          <w:w w:val="80"/>
        </w:rPr>
        <w:t>i</w:t>
      </w:r>
      <w:r>
        <w:rPr>
          <w:rFonts w:ascii="Trebuchet MS"/>
          <w:color w:val="231F20"/>
          <w:w w:val="122"/>
        </w:rPr>
        <w:t xml:space="preserve">s </w:t>
      </w:r>
      <w:r>
        <w:rPr>
          <w:rFonts w:ascii="Trebuchet MS"/>
          <w:color w:val="231F20"/>
          <w:spacing w:val="-2"/>
          <w:w w:val="122"/>
        </w:rPr>
        <w:t>s</w:t>
      </w:r>
      <w:r>
        <w:rPr>
          <w:rFonts w:ascii="Trebuchet MS"/>
          <w:color w:val="231F20"/>
          <w:spacing w:val="-1"/>
          <w:w w:val="107"/>
        </w:rPr>
        <w:t>h</w:t>
      </w:r>
      <w:r>
        <w:rPr>
          <w:rFonts w:ascii="Trebuchet MS"/>
          <w:color w:val="231F20"/>
          <w:spacing w:val="-1"/>
          <w:w w:val="111"/>
        </w:rPr>
        <w:t>o</w:t>
      </w:r>
      <w:r>
        <w:rPr>
          <w:rFonts w:ascii="Trebuchet MS"/>
          <w:color w:val="231F20"/>
          <w:spacing w:val="-2"/>
          <w:w w:val="109"/>
        </w:rPr>
        <w:t>u</w:t>
      </w:r>
      <w:r>
        <w:rPr>
          <w:rFonts w:ascii="Trebuchet MS"/>
          <w:color w:val="231F20"/>
          <w:spacing w:val="-3"/>
          <w:w w:val="96"/>
        </w:rPr>
        <w:t>l</w:t>
      </w:r>
      <w:r>
        <w:rPr>
          <w:rFonts w:ascii="Trebuchet MS"/>
          <w:color w:val="231F20"/>
          <w:w w:val="112"/>
        </w:rPr>
        <w:t>d</w:t>
      </w:r>
      <w:r>
        <w:rPr>
          <w:rFonts w:ascii="Trebuchet MS"/>
          <w:color w:val="231F20"/>
          <w:spacing w:val="-14"/>
        </w:rPr>
        <w:t xml:space="preserve"> </w:t>
      </w:r>
      <w:r>
        <w:rPr>
          <w:rFonts w:ascii="Trebuchet MS"/>
          <w:color w:val="231F20"/>
          <w:spacing w:val="-2"/>
          <w:w w:val="80"/>
        </w:rPr>
        <w:t>i</w:t>
      </w:r>
      <w:r>
        <w:rPr>
          <w:rFonts w:ascii="Trebuchet MS"/>
          <w:color w:val="231F20"/>
          <w:spacing w:val="-1"/>
          <w:w w:val="107"/>
        </w:rPr>
        <w:t>n</w:t>
      </w:r>
      <w:r>
        <w:rPr>
          <w:rFonts w:ascii="Trebuchet MS"/>
          <w:color w:val="231F20"/>
          <w:spacing w:val="-3"/>
          <w:w w:val="111"/>
        </w:rPr>
        <w:t>c</w:t>
      </w:r>
      <w:r>
        <w:rPr>
          <w:rFonts w:ascii="Trebuchet MS"/>
          <w:color w:val="231F20"/>
          <w:spacing w:val="-3"/>
          <w:w w:val="96"/>
        </w:rPr>
        <w:t>l</w:t>
      </w:r>
      <w:r>
        <w:rPr>
          <w:rFonts w:ascii="Trebuchet MS"/>
          <w:color w:val="231F20"/>
          <w:spacing w:val="-2"/>
          <w:w w:val="109"/>
        </w:rPr>
        <w:t>u</w:t>
      </w:r>
      <w:r>
        <w:rPr>
          <w:rFonts w:ascii="Trebuchet MS"/>
          <w:color w:val="231F20"/>
          <w:spacing w:val="-2"/>
          <w:w w:val="112"/>
        </w:rPr>
        <w:t>d</w:t>
      </w:r>
      <w:r>
        <w:rPr>
          <w:rFonts w:ascii="Trebuchet MS"/>
          <w:color w:val="231F20"/>
          <w:w w:val="108"/>
        </w:rPr>
        <w:t>e</w:t>
      </w:r>
      <w:r>
        <w:rPr>
          <w:rFonts w:ascii="Trebuchet MS"/>
          <w:color w:val="231F20"/>
          <w:spacing w:val="-14"/>
        </w:rPr>
        <w:t xml:space="preserve"> </w:t>
      </w:r>
      <w:r>
        <w:rPr>
          <w:rFonts w:ascii="Trebuchet MS"/>
          <w:color w:val="231F20"/>
          <w:w w:val="80"/>
        </w:rPr>
        <w:t>f</w:t>
      </w:r>
      <w:r>
        <w:rPr>
          <w:rFonts w:ascii="Trebuchet MS"/>
          <w:color w:val="231F20"/>
          <w:spacing w:val="-2"/>
          <w:w w:val="80"/>
        </w:rPr>
        <w:t>i</w:t>
      </w:r>
      <w:r>
        <w:rPr>
          <w:rFonts w:ascii="Trebuchet MS"/>
          <w:color w:val="231F20"/>
          <w:spacing w:val="-1"/>
          <w:w w:val="107"/>
        </w:rPr>
        <w:t>n</w:t>
      </w:r>
      <w:r>
        <w:rPr>
          <w:rFonts w:ascii="Trebuchet MS"/>
          <w:color w:val="231F20"/>
          <w:spacing w:val="-2"/>
          <w:w w:val="105"/>
        </w:rPr>
        <w:t>a</w:t>
      </w:r>
      <w:r>
        <w:rPr>
          <w:rFonts w:ascii="Trebuchet MS"/>
          <w:color w:val="231F20"/>
          <w:spacing w:val="-1"/>
          <w:w w:val="107"/>
        </w:rPr>
        <w:t>n</w:t>
      </w:r>
      <w:r>
        <w:rPr>
          <w:rFonts w:ascii="Trebuchet MS"/>
          <w:color w:val="231F20"/>
          <w:spacing w:val="-2"/>
          <w:w w:val="111"/>
        </w:rPr>
        <w:t>c</w:t>
      </w:r>
      <w:r>
        <w:rPr>
          <w:rFonts w:ascii="Trebuchet MS"/>
          <w:color w:val="231F20"/>
          <w:spacing w:val="-1"/>
          <w:w w:val="80"/>
        </w:rPr>
        <w:t>i</w:t>
      </w:r>
      <w:r>
        <w:rPr>
          <w:rFonts w:ascii="Trebuchet MS"/>
          <w:color w:val="231F20"/>
          <w:spacing w:val="-3"/>
          <w:w w:val="105"/>
        </w:rPr>
        <w:t>a</w:t>
      </w:r>
      <w:r>
        <w:rPr>
          <w:rFonts w:ascii="Trebuchet MS"/>
          <w:color w:val="231F20"/>
          <w:w w:val="96"/>
        </w:rPr>
        <w:t>l</w:t>
      </w:r>
      <w:r>
        <w:rPr>
          <w:rFonts w:ascii="Trebuchet MS"/>
          <w:color w:val="231F20"/>
          <w:spacing w:val="-14"/>
        </w:rPr>
        <w:t xml:space="preserve"> </w:t>
      </w:r>
      <w:r>
        <w:rPr>
          <w:rFonts w:ascii="Trebuchet MS"/>
          <w:color w:val="231F20"/>
          <w:w w:val="105"/>
        </w:rPr>
        <w:t>a</w:t>
      </w:r>
      <w:r>
        <w:rPr>
          <w:rFonts w:ascii="Trebuchet MS"/>
          <w:color w:val="231F20"/>
          <w:spacing w:val="-1"/>
          <w:w w:val="122"/>
        </w:rPr>
        <w:t>s</w:t>
      </w:r>
      <w:r>
        <w:rPr>
          <w:rFonts w:ascii="Trebuchet MS"/>
          <w:color w:val="231F20"/>
          <w:spacing w:val="-2"/>
          <w:w w:val="122"/>
        </w:rPr>
        <w:t>s</w:t>
      </w:r>
      <w:r>
        <w:rPr>
          <w:rFonts w:ascii="Trebuchet MS"/>
          <w:color w:val="231F20"/>
          <w:spacing w:val="-1"/>
          <w:w w:val="80"/>
        </w:rPr>
        <w:t>i</w:t>
      </w:r>
      <w:r>
        <w:rPr>
          <w:rFonts w:ascii="Trebuchet MS"/>
          <w:color w:val="231F20"/>
          <w:spacing w:val="-1"/>
          <w:w w:val="122"/>
        </w:rPr>
        <w:t>s</w:t>
      </w:r>
      <w:r>
        <w:rPr>
          <w:rFonts w:ascii="Trebuchet MS"/>
          <w:color w:val="231F20"/>
          <w:w w:val="88"/>
        </w:rPr>
        <w:t>t</w:t>
      </w:r>
      <w:r>
        <w:rPr>
          <w:rFonts w:ascii="Trebuchet MS"/>
          <w:color w:val="231F20"/>
          <w:spacing w:val="-2"/>
          <w:w w:val="105"/>
        </w:rPr>
        <w:t>a</w:t>
      </w:r>
      <w:r>
        <w:rPr>
          <w:rFonts w:ascii="Trebuchet MS"/>
          <w:color w:val="231F20"/>
          <w:spacing w:val="-1"/>
          <w:w w:val="107"/>
        </w:rPr>
        <w:t>n</w:t>
      </w:r>
      <w:r>
        <w:rPr>
          <w:rFonts w:ascii="Trebuchet MS"/>
          <w:color w:val="231F20"/>
          <w:spacing w:val="-3"/>
          <w:w w:val="111"/>
        </w:rPr>
        <w:t>c</w:t>
      </w:r>
      <w:r>
        <w:rPr>
          <w:rFonts w:ascii="Trebuchet MS"/>
          <w:color w:val="231F20"/>
          <w:w w:val="108"/>
        </w:rPr>
        <w:t>e</w:t>
      </w:r>
      <w:r>
        <w:rPr>
          <w:rFonts w:ascii="Trebuchet MS"/>
          <w:color w:val="231F20"/>
          <w:spacing w:val="-14"/>
        </w:rPr>
        <w:t xml:space="preserve"> </w:t>
      </w:r>
      <w:r>
        <w:rPr>
          <w:rFonts w:ascii="Trebuchet MS"/>
          <w:color w:val="231F20"/>
          <w:spacing w:val="-4"/>
          <w:w w:val="88"/>
        </w:rPr>
        <w:t>t</w:t>
      </w:r>
      <w:r>
        <w:rPr>
          <w:rFonts w:ascii="Trebuchet MS"/>
          <w:color w:val="231F20"/>
          <w:w w:val="111"/>
        </w:rPr>
        <w:t>o</w:t>
      </w:r>
      <w:r>
        <w:rPr>
          <w:rFonts w:ascii="Trebuchet MS"/>
          <w:color w:val="231F20"/>
          <w:spacing w:val="-14"/>
        </w:rPr>
        <w:t xml:space="preserve"> </w:t>
      </w:r>
      <w:r>
        <w:rPr>
          <w:rFonts w:ascii="Trebuchet MS"/>
          <w:color w:val="231F20"/>
          <w:spacing w:val="-2"/>
          <w:w w:val="80"/>
        </w:rPr>
        <w:t>i</w:t>
      </w:r>
      <w:r>
        <w:rPr>
          <w:rFonts w:ascii="Trebuchet MS"/>
          <w:color w:val="231F20"/>
          <w:spacing w:val="-2"/>
          <w:w w:val="111"/>
        </w:rPr>
        <w:t>mp</w:t>
      </w:r>
      <w:r>
        <w:rPr>
          <w:rFonts w:ascii="Trebuchet MS"/>
          <w:color w:val="231F20"/>
          <w:spacing w:val="-3"/>
          <w:w w:val="96"/>
        </w:rPr>
        <w:t>l</w:t>
      </w:r>
      <w:r>
        <w:rPr>
          <w:rFonts w:ascii="Trebuchet MS"/>
          <w:color w:val="231F20"/>
          <w:spacing w:val="-1"/>
          <w:w w:val="108"/>
        </w:rPr>
        <w:t>e</w:t>
      </w:r>
      <w:r>
        <w:rPr>
          <w:rFonts w:ascii="Trebuchet MS"/>
          <w:color w:val="231F20"/>
          <w:spacing w:val="-1"/>
          <w:w w:val="111"/>
        </w:rPr>
        <w:t>m</w:t>
      </w:r>
      <w:r>
        <w:rPr>
          <w:rFonts w:ascii="Trebuchet MS"/>
          <w:color w:val="231F20"/>
          <w:spacing w:val="-1"/>
          <w:w w:val="108"/>
        </w:rPr>
        <w:t>e</w:t>
      </w:r>
      <w:r>
        <w:rPr>
          <w:rFonts w:ascii="Trebuchet MS"/>
          <w:color w:val="231F20"/>
          <w:spacing w:val="-4"/>
          <w:w w:val="107"/>
        </w:rPr>
        <w:t>n</w:t>
      </w:r>
      <w:r>
        <w:rPr>
          <w:rFonts w:ascii="Trebuchet MS"/>
          <w:color w:val="231F20"/>
          <w:w w:val="88"/>
        </w:rPr>
        <w:t>t</w:t>
      </w:r>
      <w:r>
        <w:rPr>
          <w:rFonts w:ascii="Trebuchet MS"/>
          <w:color w:val="231F20"/>
          <w:spacing w:val="-14"/>
        </w:rPr>
        <w:t xml:space="preserve"> </w:t>
      </w:r>
      <w:r>
        <w:rPr>
          <w:rFonts w:ascii="Trebuchet MS"/>
          <w:color w:val="231F20"/>
          <w:w w:val="122"/>
        </w:rPr>
        <w:t>s</w:t>
      </w:r>
      <w:r>
        <w:rPr>
          <w:rFonts w:ascii="Trebuchet MS"/>
          <w:color w:val="231F20"/>
          <w:spacing w:val="-4"/>
          <w:w w:val="105"/>
        </w:rPr>
        <w:t>a</w:t>
      </w:r>
      <w:r>
        <w:rPr>
          <w:rFonts w:ascii="Trebuchet MS"/>
          <w:color w:val="231F20"/>
          <w:spacing w:val="-5"/>
          <w:w w:val="92"/>
        </w:rPr>
        <w:t>f</w:t>
      </w:r>
      <w:r>
        <w:rPr>
          <w:rFonts w:ascii="Trebuchet MS"/>
          <w:color w:val="231F20"/>
          <w:spacing w:val="-3"/>
          <w:w w:val="108"/>
        </w:rPr>
        <w:t>e</w:t>
      </w:r>
      <w:r>
        <w:rPr>
          <w:rFonts w:ascii="Trebuchet MS"/>
          <w:color w:val="231F20"/>
          <w:w w:val="88"/>
        </w:rPr>
        <w:t>t</w:t>
      </w:r>
      <w:r>
        <w:rPr>
          <w:rFonts w:ascii="Trebuchet MS"/>
          <w:color w:val="231F20"/>
          <w:w w:val="110"/>
        </w:rPr>
        <w:t>y</w:t>
      </w:r>
      <w:r>
        <w:rPr>
          <w:rFonts w:ascii="Trebuchet MS"/>
          <w:color w:val="231F20"/>
          <w:spacing w:val="-14"/>
        </w:rPr>
        <w:t xml:space="preserve"> </w:t>
      </w:r>
      <w:r>
        <w:rPr>
          <w:rFonts w:ascii="Trebuchet MS"/>
          <w:color w:val="231F20"/>
          <w:spacing w:val="-2"/>
          <w:w w:val="111"/>
        </w:rPr>
        <w:t>p</w:t>
      </w:r>
      <w:r>
        <w:rPr>
          <w:rFonts w:ascii="Trebuchet MS"/>
          <w:color w:val="231F20"/>
          <w:spacing w:val="1"/>
          <w:w w:val="96"/>
        </w:rPr>
        <w:t>l</w:t>
      </w:r>
      <w:r>
        <w:rPr>
          <w:rFonts w:ascii="Trebuchet MS"/>
          <w:color w:val="231F20"/>
          <w:spacing w:val="-2"/>
          <w:w w:val="105"/>
        </w:rPr>
        <w:t>a</w:t>
      </w:r>
      <w:r>
        <w:rPr>
          <w:rFonts w:ascii="Trebuchet MS"/>
          <w:color w:val="231F20"/>
          <w:spacing w:val="-2"/>
          <w:w w:val="107"/>
        </w:rPr>
        <w:t>n</w:t>
      </w:r>
      <w:r>
        <w:rPr>
          <w:rFonts w:ascii="Trebuchet MS"/>
          <w:color w:val="231F20"/>
          <w:spacing w:val="1"/>
          <w:w w:val="122"/>
        </w:rPr>
        <w:t>s</w:t>
      </w:r>
      <w:r>
        <w:rPr>
          <w:rFonts w:ascii="Trebuchet MS"/>
          <w:color w:val="231F20"/>
          <w:w w:val="55"/>
        </w:rPr>
        <w:t>.</w:t>
      </w:r>
    </w:p>
    <w:p w14:paraId="5D83427D" w14:textId="77777777" w:rsidR="00894070" w:rsidRDefault="00894070">
      <w:pPr>
        <w:pStyle w:val="BodyText"/>
        <w:rPr>
          <w:rFonts w:ascii="Trebuchet MS"/>
          <w:sz w:val="22"/>
        </w:rPr>
      </w:pPr>
    </w:p>
    <w:p w14:paraId="0F9AA103" w14:textId="77777777" w:rsidR="00894070" w:rsidRDefault="00894070">
      <w:pPr>
        <w:pStyle w:val="BodyText"/>
        <w:rPr>
          <w:rFonts w:ascii="Trebuchet MS"/>
          <w:sz w:val="22"/>
        </w:rPr>
      </w:pPr>
    </w:p>
    <w:p w14:paraId="3A1F9D46" w14:textId="77777777" w:rsidR="00894070" w:rsidRDefault="009B7AFD">
      <w:pPr>
        <w:pStyle w:val="Heading7"/>
        <w:spacing w:before="159"/>
      </w:pPr>
      <w:r>
        <w:rPr>
          <w:color w:val="EA5B50"/>
        </w:rPr>
        <w:t>A new model of victim advocates could provide ongoing support</w:t>
      </w:r>
    </w:p>
    <w:p w14:paraId="69E14E35" w14:textId="77777777" w:rsidR="00894070" w:rsidRDefault="009B7AFD">
      <w:pPr>
        <w:pStyle w:val="ListParagraph"/>
        <w:numPr>
          <w:ilvl w:val="1"/>
          <w:numId w:val="126"/>
        </w:numPr>
        <w:tabs>
          <w:tab w:val="left" w:pos="1801"/>
          <w:tab w:val="left" w:pos="1802"/>
        </w:tabs>
        <w:spacing w:before="146" w:line="206" w:lineRule="auto"/>
        <w:ind w:right="1534"/>
        <w:rPr>
          <w:sz w:val="20"/>
        </w:rPr>
      </w:pPr>
      <w:r>
        <w:rPr>
          <w:color w:val="231F20"/>
          <w:spacing w:val="-6"/>
          <w:sz w:val="20"/>
        </w:rPr>
        <w:t xml:space="preserve">We </w:t>
      </w:r>
      <w:r>
        <w:rPr>
          <w:color w:val="231F20"/>
          <w:sz w:val="20"/>
        </w:rPr>
        <w:t xml:space="preserve">recommend that the Victorian </w:t>
      </w:r>
      <w:r>
        <w:rPr>
          <w:color w:val="231F20"/>
          <w:spacing w:val="-3"/>
          <w:sz w:val="20"/>
        </w:rPr>
        <w:t xml:space="preserve">Government </w:t>
      </w:r>
      <w:r>
        <w:rPr>
          <w:color w:val="231F20"/>
          <w:spacing w:val="-4"/>
          <w:sz w:val="20"/>
        </w:rPr>
        <w:t xml:space="preserve">move </w:t>
      </w:r>
      <w:r>
        <w:rPr>
          <w:color w:val="231F20"/>
          <w:spacing w:val="-3"/>
          <w:sz w:val="20"/>
        </w:rPr>
        <w:t xml:space="preserve">towards </w:t>
      </w:r>
      <w:r>
        <w:rPr>
          <w:color w:val="231F20"/>
          <w:sz w:val="20"/>
        </w:rPr>
        <w:t xml:space="preserve">a model of victim </w:t>
      </w:r>
      <w:r>
        <w:rPr>
          <w:color w:val="231F20"/>
          <w:spacing w:val="-3"/>
          <w:sz w:val="20"/>
        </w:rPr>
        <w:t xml:space="preserve">advocates </w:t>
      </w:r>
      <w:r>
        <w:rPr>
          <w:color w:val="231F20"/>
          <w:sz w:val="20"/>
        </w:rPr>
        <w:t xml:space="preserve">who </w:t>
      </w:r>
      <w:r>
        <w:rPr>
          <w:color w:val="231F20"/>
          <w:spacing w:val="-3"/>
          <w:sz w:val="20"/>
        </w:rPr>
        <w:t xml:space="preserve">are </w:t>
      </w:r>
      <w:r>
        <w:rPr>
          <w:color w:val="231F20"/>
          <w:sz w:val="20"/>
        </w:rPr>
        <w:t xml:space="preserve">trained to </w:t>
      </w:r>
      <w:r>
        <w:rPr>
          <w:color w:val="231F20"/>
          <w:spacing w:val="-3"/>
          <w:sz w:val="20"/>
        </w:rPr>
        <w:t xml:space="preserve">provide </w:t>
      </w:r>
      <w:r>
        <w:rPr>
          <w:color w:val="231F20"/>
          <w:sz w:val="20"/>
        </w:rPr>
        <w:t xml:space="preserve">holistic and individualised support </w:t>
      </w:r>
      <w:r>
        <w:rPr>
          <w:color w:val="231F20"/>
          <w:spacing w:val="-3"/>
          <w:sz w:val="20"/>
        </w:rPr>
        <w:t xml:space="preserve">for </w:t>
      </w:r>
      <w:r>
        <w:rPr>
          <w:color w:val="231F20"/>
          <w:sz w:val="20"/>
        </w:rPr>
        <w:t>people who</w:t>
      </w:r>
      <w:r>
        <w:rPr>
          <w:color w:val="231F20"/>
          <w:spacing w:val="-11"/>
          <w:sz w:val="20"/>
        </w:rPr>
        <w:t xml:space="preserve"> </w:t>
      </w:r>
      <w:r>
        <w:rPr>
          <w:color w:val="231F20"/>
          <w:spacing w:val="-4"/>
          <w:sz w:val="20"/>
        </w:rPr>
        <w:t>have</w:t>
      </w:r>
      <w:r>
        <w:rPr>
          <w:color w:val="231F20"/>
          <w:spacing w:val="-11"/>
          <w:sz w:val="20"/>
        </w:rPr>
        <w:t xml:space="preserve"> </w:t>
      </w:r>
      <w:r>
        <w:rPr>
          <w:color w:val="231F20"/>
          <w:sz w:val="20"/>
        </w:rPr>
        <w:t>experienced</w:t>
      </w:r>
      <w:r>
        <w:rPr>
          <w:color w:val="231F20"/>
          <w:spacing w:val="-11"/>
          <w:sz w:val="20"/>
        </w:rPr>
        <w:t xml:space="preserve"> </w:t>
      </w:r>
      <w:r>
        <w:rPr>
          <w:color w:val="231F20"/>
          <w:sz w:val="20"/>
        </w:rPr>
        <w:t>non-family</w:t>
      </w:r>
      <w:r>
        <w:rPr>
          <w:color w:val="231F20"/>
          <w:spacing w:val="-11"/>
          <w:sz w:val="20"/>
        </w:rPr>
        <w:t xml:space="preserve"> </w:t>
      </w:r>
      <w:r>
        <w:rPr>
          <w:color w:val="231F20"/>
          <w:sz w:val="20"/>
        </w:rPr>
        <w:t>violence</w:t>
      </w:r>
      <w:r>
        <w:rPr>
          <w:color w:val="231F20"/>
          <w:spacing w:val="-10"/>
          <w:sz w:val="20"/>
        </w:rPr>
        <w:t xml:space="preserve"> </w:t>
      </w:r>
      <w:r>
        <w:rPr>
          <w:color w:val="231F20"/>
          <w:sz w:val="20"/>
        </w:rPr>
        <w:t>stalking.</w:t>
      </w:r>
      <w:r>
        <w:rPr>
          <w:color w:val="231F20"/>
          <w:spacing w:val="-11"/>
          <w:sz w:val="20"/>
        </w:rPr>
        <w:t xml:space="preserve"> </w:t>
      </w:r>
      <w:r>
        <w:rPr>
          <w:color w:val="231F20"/>
          <w:sz w:val="20"/>
        </w:rPr>
        <w:t>This</w:t>
      </w:r>
      <w:r>
        <w:rPr>
          <w:color w:val="231F20"/>
          <w:spacing w:val="-11"/>
          <w:sz w:val="20"/>
        </w:rPr>
        <w:t xml:space="preserve"> </w:t>
      </w:r>
      <w:r>
        <w:rPr>
          <w:color w:val="231F20"/>
          <w:spacing w:val="-3"/>
          <w:sz w:val="20"/>
        </w:rPr>
        <w:t>would</w:t>
      </w:r>
      <w:r>
        <w:rPr>
          <w:color w:val="231F20"/>
          <w:spacing w:val="-11"/>
          <w:sz w:val="20"/>
        </w:rPr>
        <w:t xml:space="preserve"> </w:t>
      </w:r>
      <w:r>
        <w:rPr>
          <w:color w:val="231F20"/>
          <w:sz w:val="20"/>
        </w:rPr>
        <w:t>bolster</w:t>
      </w:r>
      <w:r>
        <w:rPr>
          <w:color w:val="231F20"/>
          <w:spacing w:val="-10"/>
          <w:sz w:val="20"/>
        </w:rPr>
        <w:t xml:space="preserve"> </w:t>
      </w:r>
      <w:r>
        <w:rPr>
          <w:color w:val="231F20"/>
          <w:sz w:val="20"/>
        </w:rPr>
        <w:t>the</w:t>
      </w:r>
      <w:r>
        <w:rPr>
          <w:color w:val="231F20"/>
          <w:spacing w:val="-11"/>
          <w:sz w:val="20"/>
        </w:rPr>
        <w:t xml:space="preserve"> </w:t>
      </w:r>
      <w:r>
        <w:rPr>
          <w:color w:val="231F20"/>
          <w:sz w:val="20"/>
        </w:rPr>
        <w:t xml:space="preserve">support </w:t>
      </w:r>
      <w:r>
        <w:rPr>
          <w:color w:val="231F20"/>
          <w:spacing w:val="-3"/>
          <w:sz w:val="20"/>
        </w:rPr>
        <w:t xml:space="preserve">provided through </w:t>
      </w:r>
      <w:r>
        <w:rPr>
          <w:color w:val="231F20"/>
          <w:sz w:val="20"/>
        </w:rPr>
        <w:t>the generalist victim support</w:t>
      </w:r>
      <w:r>
        <w:rPr>
          <w:color w:val="231F20"/>
          <w:spacing w:val="-20"/>
          <w:sz w:val="20"/>
        </w:rPr>
        <w:t xml:space="preserve"> </w:t>
      </w:r>
      <w:r>
        <w:rPr>
          <w:color w:val="231F20"/>
          <w:sz w:val="20"/>
        </w:rPr>
        <w:t>model.</w:t>
      </w:r>
    </w:p>
    <w:p w14:paraId="038247E9" w14:textId="77777777" w:rsidR="00894070" w:rsidRDefault="009B7AFD">
      <w:pPr>
        <w:pStyle w:val="ListParagraph"/>
        <w:numPr>
          <w:ilvl w:val="1"/>
          <w:numId w:val="126"/>
        </w:numPr>
        <w:tabs>
          <w:tab w:val="left" w:pos="1801"/>
          <w:tab w:val="left" w:pos="1802"/>
        </w:tabs>
        <w:spacing w:before="125" w:line="206" w:lineRule="auto"/>
        <w:ind w:right="1388"/>
        <w:rPr>
          <w:sz w:val="20"/>
        </w:rPr>
      </w:pPr>
      <w:r>
        <w:rPr>
          <w:color w:val="231F20"/>
          <w:spacing w:val="-4"/>
          <w:sz w:val="20"/>
        </w:rPr>
        <w:t>Ideally,</w:t>
      </w:r>
      <w:r>
        <w:rPr>
          <w:color w:val="231F20"/>
          <w:spacing w:val="-6"/>
          <w:sz w:val="20"/>
        </w:rPr>
        <w:t xml:space="preserve"> </w:t>
      </w:r>
      <w:r>
        <w:rPr>
          <w:color w:val="231F20"/>
          <w:sz w:val="20"/>
        </w:rPr>
        <w:t>the</w:t>
      </w:r>
      <w:r>
        <w:rPr>
          <w:color w:val="231F20"/>
          <w:spacing w:val="-6"/>
          <w:sz w:val="20"/>
        </w:rPr>
        <w:t xml:space="preserve"> </w:t>
      </w:r>
      <w:r>
        <w:rPr>
          <w:color w:val="231F20"/>
          <w:sz w:val="20"/>
        </w:rPr>
        <w:t>model</w:t>
      </w:r>
      <w:r>
        <w:rPr>
          <w:color w:val="231F20"/>
          <w:spacing w:val="-5"/>
          <w:sz w:val="20"/>
        </w:rPr>
        <w:t xml:space="preserve"> </w:t>
      </w:r>
      <w:r>
        <w:rPr>
          <w:color w:val="231F20"/>
          <w:spacing w:val="-3"/>
          <w:sz w:val="20"/>
        </w:rPr>
        <w:t>would</w:t>
      </w:r>
      <w:r>
        <w:rPr>
          <w:color w:val="231F20"/>
          <w:spacing w:val="-6"/>
          <w:sz w:val="20"/>
        </w:rPr>
        <w:t xml:space="preserve"> </w:t>
      </w:r>
      <w:r>
        <w:rPr>
          <w:color w:val="231F20"/>
          <w:spacing w:val="-3"/>
          <w:sz w:val="20"/>
        </w:rPr>
        <w:t>provide</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one</w:t>
      </w:r>
      <w:r>
        <w:rPr>
          <w:color w:val="231F20"/>
          <w:spacing w:val="-6"/>
          <w:sz w:val="20"/>
        </w:rPr>
        <w:t xml:space="preserve"> </w:t>
      </w:r>
      <w:r>
        <w:rPr>
          <w:color w:val="231F20"/>
          <w:sz w:val="20"/>
        </w:rPr>
        <w:t>victim</w:t>
      </w:r>
      <w:r>
        <w:rPr>
          <w:color w:val="231F20"/>
          <w:spacing w:val="-6"/>
          <w:sz w:val="20"/>
        </w:rPr>
        <w:t xml:space="preserve"> </w:t>
      </w:r>
      <w:r>
        <w:rPr>
          <w:color w:val="231F20"/>
          <w:spacing w:val="-3"/>
          <w:sz w:val="20"/>
        </w:rPr>
        <w:t>advocate</w:t>
      </w:r>
      <w:r>
        <w:rPr>
          <w:color w:val="231F20"/>
          <w:spacing w:val="-5"/>
          <w:sz w:val="20"/>
        </w:rPr>
        <w:t xml:space="preserve"> </w:t>
      </w:r>
      <w:r>
        <w:rPr>
          <w:color w:val="231F20"/>
          <w:sz w:val="20"/>
        </w:rPr>
        <w:t>who</w:t>
      </w:r>
      <w:r>
        <w:rPr>
          <w:color w:val="231F20"/>
          <w:spacing w:val="-6"/>
          <w:sz w:val="20"/>
        </w:rPr>
        <w:t xml:space="preserve"> </w:t>
      </w:r>
      <w:r>
        <w:rPr>
          <w:color w:val="231F20"/>
          <w:spacing w:val="-3"/>
          <w:sz w:val="20"/>
        </w:rPr>
        <w:t>would</w:t>
      </w:r>
      <w:r>
        <w:rPr>
          <w:color w:val="231F20"/>
          <w:spacing w:val="-6"/>
          <w:sz w:val="20"/>
        </w:rPr>
        <w:t xml:space="preserve"> </w:t>
      </w:r>
      <w:r>
        <w:rPr>
          <w:color w:val="231F20"/>
          <w:sz w:val="20"/>
        </w:rPr>
        <w:t>assist</w:t>
      </w:r>
      <w:r>
        <w:rPr>
          <w:color w:val="231F20"/>
          <w:spacing w:val="-5"/>
          <w:sz w:val="20"/>
        </w:rPr>
        <w:t xml:space="preserve"> </w:t>
      </w:r>
      <w:r>
        <w:rPr>
          <w:color w:val="231F20"/>
          <w:sz w:val="20"/>
        </w:rPr>
        <w:t>the</w:t>
      </w:r>
      <w:r>
        <w:rPr>
          <w:color w:val="231F20"/>
          <w:spacing w:val="-6"/>
          <w:sz w:val="20"/>
        </w:rPr>
        <w:t xml:space="preserve"> </w:t>
      </w:r>
      <w:r>
        <w:rPr>
          <w:color w:val="231F20"/>
          <w:sz w:val="20"/>
        </w:rPr>
        <w:t>victim survivor</w:t>
      </w:r>
      <w:r>
        <w:rPr>
          <w:color w:val="231F20"/>
          <w:spacing w:val="-7"/>
          <w:sz w:val="20"/>
        </w:rPr>
        <w:t xml:space="preserve"> </w:t>
      </w:r>
      <w:r>
        <w:rPr>
          <w:color w:val="231F20"/>
          <w:sz w:val="20"/>
        </w:rPr>
        <w:t>throughout</w:t>
      </w:r>
      <w:r>
        <w:rPr>
          <w:color w:val="231F20"/>
          <w:spacing w:val="-7"/>
          <w:sz w:val="20"/>
        </w:rPr>
        <w:t xml:space="preserve"> </w:t>
      </w:r>
      <w:r>
        <w:rPr>
          <w:color w:val="231F20"/>
          <w:sz w:val="20"/>
        </w:rPr>
        <w:t>the</w:t>
      </w:r>
      <w:r>
        <w:rPr>
          <w:color w:val="231F20"/>
          <w:spacing w:val="-7"/>
          <w:sz w:val="20"/>
        </w:rPr>
        <w:t xml:space="preserve"> </w:t>
      </w:r>
      <w:r>
        <w:rPr>
          <w:color w:val="231F20"/>
          <w:sz w:val="20"/>
        </w:rPr>
        <w:t>process</w:t>
      </w:r>
      <w:r>
        <w:rPr>
          <w:color w:val="231F20"/>
          <w:spacing w:val="-6"/>
          <w:sz w:val="20"/>
        </w:rPr>
        <w:t xml:space="preserve"> </w:t>
      </w:r>
      <w:r>
        <w:rPr>
          <w:color w:val="231F20"/>
          <w:sz w:val="20"/>
        </w:rPr>
        <w:t>of</w:t>
      </w:r>
      <w:r>
        <w:rPr>
          <w:color w:val="231F20"/>
          <w:spacing w:val="-7"/>
          <w:sz w:val="20"/>
        </w:rPr>
        <w:t xml:space="preserve"> </w:t>
      </w:r>
      <w:r>
        <w:rPr>
          <w:color w:val="231F20"/>
          <w:sz w:val="20"/>
        </w:rPr>
        <w:t>seeking</w:t>
      </w:r>
      <w:r>
        <w:rPr>
          <w:color w:val="231F20"/>
          <w:spacing w:val="-7"/>
          <w:sz w:val="20"/>
        </w:rPr>
        <w:t xml:space="preserve"> </w:t>
      </w:r>
      <w:r>
        <w:rPr>
          <w:color w:val="231F20"/>
          <w:sz w:val="20"/>
        </w:rPr>
        <w:t>support</w:t>
      </w:r>
      <w:r>
        <w:rPr>
          <w:color w:val="231F20"/>
          <w:spacing w:val="-7"/>
          <w:sz w:val="20"/>
        </w:rPr>
        <w:t xml:space="preserve"> </w:t>
      </w:r>
      <w:r>
        <w:rPr>
          <w:color w:val="231F20"/>
          <w:sz w:val="20"/>
        </w:rPr>
        <w:t>and</w:t>
      </w:r>
      <w:r>
        <w:rPr>
          <w:color w:val="231F20"/>
          <w:spacing w:val="-6"/>
          <w:sz w:val="20"/>
        </w:rPr>
        <w:t xml:space="preserve"> </w:t>
      </w:r>
      <w:r>
        <w:rPr>
          <w:color w:val="231F20"/>
          <w:sz w:val="20"/>
        </w:rPr>
        <w:t>the</w:t>
      </w:r>
      <w:r>
        <w:rPr>
          <w:color w:val="231F20"/>
          <w:spacing w:val="-7"/>
          <w:sz w:val="20"/>
        </w:rPr>
        <w:t xml:space="preserve"> </w:t>
      </w:r>
      <w:r>
        <w:rPr>
          <w:color w:val="231F20"/>
          <w:sz w:val="20"/>
        </w:rPr>
        <w:t>justice</w:t>
      </w:r>
      <w:r>
        <w:rPr>
          <w:color w:val="231F20"/>
          <w:spacing w:val="-7"/>
          <w:sz w:val="20"/>
        </w:rPr>
        <w:t xml:space="preserve"> </w:t>
      </w:r>
      <w:r>
        <w:rPr>
          <w:color w:val="231F20"/>
          <w:sz w:val="20"/>
        </w:rPr>
        <w:t>system.</w:t>
      </w:r>
    </w:p>
    <w:p w14:paraId="380D6467" w14:textId="77777777" w:rsidR="00894070" w:rsidRDefault="009B7AFD">
      <w:pPr>
        <w:pStyle w:val="ListParagraph"/>
        <w:numPr>
          <w:ilvl w:val="1"/>
          <w:numId w:val="126"/>
        </w:numPr>
        <w:tabs>
          <w:tab w:val="left" w:pos="1801"/>
          <w:tab w:val="left" w:pos="1802"/>
        </w:tabs>
        <w:spacing w:before="123" w:line="206" w:lineRule="auto"/>
        <w:ind w:right="1258"/>
        <w:rPr>
          <w:sz w:val="20"/>
        </w:rPr>
      </w:pPr>
      <w:r>
        <w:rPr>
          <w:color w:val="231F20"/>
          <w:sz w:val="20"/>
        </w:rPr>
        <w:t xml:space="preserve">‘Victim </w:t>
      </w:r>
      <w:r>
        <w:rPr>
          <w:color w:val="231F20"/>
          <w:spacing w:val="-3"/>
          <w:sz w:val="20"/>
        </w:rPr>
        <w:t xml:space="preserve">advocate’ </w:t>
      </w:r>
      <w:r>
        <w:rPr>
          <w:color w:val="231F20"/>
          <w:sz w:val="20"/>
        </w:rPr>
        <w:t xml:space="preserve">does not mean a legal </w:t>
      </w:r>
      <w:r>
        <w:rPr>
          <w:color w:val="231F20"/>
          <w:spacing w:val="-3"/>
          <w:sz w:val="20"/>
        </w:rPr>
        <w:t xml:space="preserve">advocate </w:t>
      </w:r>
      <w:r>
        <w:rPr>
          <w:color w:val="231F20"/>
          <w:sz w:val="20"/>
        </w:rPr>
        <w:t xml:space="preserve">or </w:t>
      </w:r>
      <w:r>
        <w:rPr>
          <w:color w:val="231F20"/>
          <w:spacing w:val="-4"/>
          <w:sz w:val="20"/>
        </w:rPr>
        <w:t xml:space="preserve">lawyer, </w:t>
      </w:r>
      <w:r>
        <w:rPr>
          <w:color w:val="231F20"/>
          <w:sz w:val="20"/>
        </w:rPr>
        <w:t xml:space="preserve">but a person who </w:t>
      </w:r>
      <w:r>
        <w:rPr>
          <w:color w:val="231F20"/>
          <w:spacing w:val="-3"/>
          <w:sz w:val="20"/>
        </w:rPr>
        <w:t>gives information,</w:t>
      </w:r>
      <w:r>
        <w:rPr>
          <w:color w:val="231F20"/>
          <w:spacing w:val="-7"/>
          <w:sz w:val="20"/>
        </w:rPr>
        <w:t xml:space="preserve"> </w:t>
      </w:r>
      <w:r>
        <w:rPr>
          <w:color w:val="231F20"/>
          <w:sz w:val="20"/>
        </w:rPr>
        <w:t>helps</w:t>
      </w:r>
      <w:r>
        <w:rPr>
          <w:color w:val="231F20"/>
          <w:spacing w:val="-7"/>
          <w:sz w:val="20"/>
        </w:rPr>
        <w:t xml:space="preserve"> </w:t>
      </w:r>
      <w:r>
        <w:rPr>
          <w:color w:val="231F20"/>
          <w:sz w:val="20"/>
        </w:rPr>
        <w:t>people</w:t>
      </w:r>
      <w:r>
        <w:rPr>
          <w:color w:val="231F20"/>
          <w:spacing w:val="-7"/>
          <w:sz w:val="20"/>
        </w:rPr>
        <w:t xml:space="preserve"> </w:t>
      </w:r>
      <w:r>
        <w:rPr>
          <w:color w:val="231F20"/>
          <w:spacing w:val="-3"/>
          <w:sz w:val="20"/>
        </w:rPr>
        <w:t>navigate</w:t>
      </w:r>
      <w:r>
        <w:rPr>
          <w:color w:val="231F20"/>
          <w:spacing w:val="-7"/>
          <w:sz w:val="20"/>
        </w:rPr>
        <w:t xml:space="preserve"> </w:t>
      </w:r>
      <w:r>
        <w:rPr>
          <w:color w:val="231F20"/>
          <w:sz w:val="20"/>
        </w:rPr>
        <w:t>a</w:t>
      </w:r>
      <w:r>
        <w:rPr>
          <w:color w:val="231F20"/>
          <w:spacing w:val="-7"/>
          <w:sz w:val="20"/>
        </w:rPr>
        <w:t xml:space="preserve"> </w:t>
      </w:r>
      <w:r>
        <w:rPr>
          <w:color w:val="231F20"/>
          <w:sz w:val="20"/>
        </w:rPr>
        <w:t>range</w:t>
      </w:r>
      <w:r>
        <w:rPr>
          <w:color w:val="231F20"/>
          <w:spacing w:val="-7"/>
          <w:sz w:val="20"/>
        </w:rPr>
        <w:t xml:space="preserve"> </w:t>
      </w:r>
      <w:r>
        <w:rPr>
          <w:color w:val="231F20"/>
          <w:sz w:val="20"/>
        </w:rPr>
        <w:t>of</w:t>
      </w:r>
      <w:r>
        <w:rPr>
          <w:color w:val="231F20"/>
          <w:spacing w:val="-6"/>
          <w:sz w:val="20"/>
        </w:rPr>
        <w:t xml:space="preserve"> </w:t>
      </w:r>
      <w:r>
        <w:rPr>
          <w:color w:val="231F20"/>
          <w:sz w:val="20"/>
        </w:rPr>
        <w:t>services</w:t>
      </w:r>
      <w:r>
        <w:rPr>
          <w:color w:val="231F20"/>
          <w:spacing w:val="-7"/>
          <w:sz w:val="20"/>
        </w:rPr>
        <w:t xml:space="preserve"> </w:t>
      </w:r>
      <w:r>
        <w:rPr>
          <w:color w:val="231F20"/>
          <w:sz w:val="20"/>
        </w:rPr>
        <w:t>and</w:t>
      </w:r>
      <w:r>
        <w:rPr>
          <w:color w:val="231F20"/>
          <w:spacing w:val="-7"/>
          <w:sz w:val="20"/>
        </w:rPr>
        <w:t xml:space="preserve"> </w:t>
      </w:r>
      <w:r>
        <w:rPr>
          <w:color w:val="231F20"/>
          <w:sz w:val="20"/>
        </w:rPr>
        <w:t>supports,</w:t>
      </w:r>
      <w:r>
        <w:rPr>
          <w:color w:val="231F20"/>
          <w:spacing w:val="-7"/>
          <w:sz w:val="20"/>
        </w:rPr>
        <w:t xml:space="preserve"> </w:t>
      </w:r>
      <w:r>
        <w:rPr>
          <w:color w:val="231F20"/>
          <w:sz w:val="20"/>
        </w:rPr>
        <w:t>and</w:t>
      </w:r>
      <w:r>
        <w:rPr>
          <w:color w:val="231F20"/>
          <w:spacing w:val="-7"/>
          <w:sz w:val="20"/>
        </w:rPr>
        <w:t xml:space="preserve"> </w:t>
      </w:r>
      <w:r>
        <w:rPr>
          <w:color w:val="231F20"/>
          <w:sz w:val="20"/>
        </w:rPr>
        <w:t>ensures</w:t>
      </w:r>
      <w:r>
        <w:rPr>
          <w:color w:val="231F20"/>
          <w:spacing w:val="-7"/>
          <w:sz w:val="20"/>
        </w:rPr>
        <w:t xml:space="preserve"> </w:t>
      </w:r>
      <w:r>
        <w:rPr>
          <w:color w:val="231F20"/>
          <w:sz w:val="20"/>
        </w:rPr>
        <w:t>they get their rights and</w:t>
      </w:r>
      <w:r>
        <w:rPr>
          <w:color w:val="231F20"/>
          <w:spacing w:val="-18"/>
          <w:sz w:val="20"/>
        </w:rPr>
        <w:t xml:space="preserve"> </w:t>
      </w:r>
      <w:r>
        <w:rPr>
          <w:color w:val="231F20"/>
          <w:sz w:val="20"/>
        </w:rPr>
        <w:t>entitlements.</w:t>
      </w:r>
    </w:p>
    <w:p w14:paraId="74D18414" w14:textId="77777777" w:rsidR="00894070" w:rsidRDefault="009F6793">
      <w:pPr>
        <w:pStyle w:val="BodyText"/>
        <w:spacing w:before="7"/>
        <w:rPr>
          <w:sz w:val="23"/>
        </w:rPr>
      </w:pPr>
      <w:r>
        <w:pict w14:anchorId="38850158">
          <v:shape id="_x0000_s1399" type="#_x0000_t202" style="position:absolute;margin-left:119.3pt;margin-top:18.55pt;width:396.35pt;height:116.1pt;z-index:251612160;mso-wrap-distance-left:0;mso-wrap-distance-right:0;mso-position-horizontal-relative:page" fillcolor="#fee7de" strokecolor="#ea5b50" strokeweight=".5pt">
            <v:textbox inset="0,0,0,0">
              <w:txbxContent>
                <w:p w14:paraId="7DE41936" w14:textId="77777777" w:rsidR="00894070" w:rsidRDefault="00894070">
                  <w:pPr>
                    <w:pStyle w:val="BodyText"/>
                    <w:spacing w:before="3"/>
                    <w:rPr>
                      <w:sz w:val="15"/>
                    </w:rPr>
                  </w:pPr>
                </w:p>
                <w:p w14:paraId="32A831B1" w14:textId="77777777" w:rsidR="00894070" w:rsidRDefault="009B7AFD">
                  <w:pPr>
                    <w:pStyle w:val="BodyText"/>
                    <w:spacing w:line="206" w:lineRule="auto"/>
                    <w:ind w:left="221" w:right="331"/>
                  </w:pPr>
                  <w:r>
                    <w:rPr>
                      <w:color w:val="231F20"/>
                    </w:rPr>
                    <w:t>Having that formal victim advocate … [to help] navigate the systems and provide a level of case management would be crucial, because victims are often so</w:t>
                  </w:r>
                </w:p>
                <w:p w14:paraId="79871D8D" w14:textId="77777777" w:rsidR="00894070" w:rsidRDefault="009B7AFD">
                  <w:pPr>
                    <w:pStyle w:val="BodyText"/>
                    <w:spacing w:before="2" w:line="206" w:lineRule="auto"/>
                    <w:ind w:left="221" w:right="156"/>
                    <w:rPr>
                      <w:sz w:val="11"/>
                    </w:rPr>
                  </w:pPr>
                  <w:r>
                    <w:rPr>
                      <w:color w:val="231F20"/>
                    </w:rPr>
                    <w:t>overwhelmed by the processes. If I had only known certain things earlier, it would have made a huge difference, and there are people who know these things and can help make that pathway less treacherous to travel. At the moment it is like walking up a mountain track with the precipice right beside you and rocks falling down—but having that guide, that victim advocate, it becomes safer and less stressful, and you don’t carry the entire burden on your own.</w:t>
                  </w:r>
                  <w:r>
                    <w:rPr>
                      <w:color w:val="231F20"/>
                      <w:position w:val="7"/>
                      <w:sz w:val="11"/>
                    </w:rPr>
                    <w:t>111</w:t>
                  </w:r>
                </w:p>
              </w:txbxContent>
            </v:textbox>
            <w10:wrap type="topAndBottom" anchorx="page"/>
          </v:shape>
        </w:pict>
      </w:r>
    </w:p>
    <w:p w14:paraId="24C4EA1B" w14:textId="77777777" w:rsidR="00894070" w:rsidRDefault="00894070">
      <w:pPr>
        <w:pStyle w:val="BodyText"/>
      </w:pPr>
    </w:p>
    <w:p w14:paraId="3155C495" w14:textId="77777777" w:rsidR="00894070" w:rsidRDefault="00894070">
      <w:pPr>
        <w:pStyle w:val="BodyText"/>
      </w:pPr>
    </w:p>
    <w:p w14:paraId="42635980" w14:textId="77777777" w:rsidR="00894070" w:rsidRDefault="009F6793">
      <w:pPr>
        <w:pStyle w:val="BodyText"/>
        <w:spacing w:before="4"/>
        <w:rPr>
          <w:sz w:val="23"/>
        </w:rPr>
      </w:pPr>
      <w:r>
        <w:pict w14:anchorId="61915A5E">
          <v:line id="_x0000_s1398" style="position:absolute;z-index:251614208;mso-wrap-distance-left:0;mso-wrap-distance-right:0;mso-position-horizontal-relative:page" from="79.35pt,18.6pt" to="515.9pt,18.6pt" strokecolor="#f8cabc" strokeweight="1pt">
            <w10:wrap type="topAndBottom" anchorx="page"/>
          </v:line>
        </w:pict>
      </w:r>
    </w:p>
    <w:p w14:paraId="786D6760" w14:textId="77777777" w:rsidR="00894070" w:rsidRDefault="009B7AFD">
      <w:pPr>
        <w:tabs>
          <w:tab w:val="left" w:pos="1007"/>
          <w:tab w:val="left" w:pos="1801"/>
        </w:tabs>
        <w:spacing w:line="297" w:lineRule="exact"/>
        <w:ind w:left="140"/>
        <w:rPr>
          <w:sz w:val="13"/>
        </w:rPr>
      </w:pPr>
      <w:r>
        <w:rPr>
          <w:b/>
          <w:color w:val="EA5B50"/>
          <w:sz w:val="24"/>
        </w:rPr>
        <w:t>88</w:t>
      </w:r>
      <w:r>
        <w:rPr>
          <w:b/>
          <w:color w:val="EA5B50"/>
          <w:sz w:val="24"/>
        </w:rPr>
        <w:tab/>
      </w:r>
      <w:r>
        <w:rPr>
          <w:color w:val="231F20"/>
          <w:sz w:val="13"/>
        </w:rPr>
        <w:t>111</w:t>
      </w:r>
      <w:r>
        <w:rPr>
          <w:color w:val="231F20"/>
          <w:sz w:val="13"/>
        </w:rPr>
        <w:tab/>
        <w:t xml:space="preserve">Consultation 11 </w:t>
      </w:r>
      <w:r>
        <w:rPr>
          <w:color w:val="231F20"/>
          <w:spacing w:val="2"/>
          <w:sz w:val="13"/>
        </w:rPr>
        <w:t xml:space="preserve">(Members </w:t>
      </w:r>
      <w:r>
        <w:rPr>
          <w:color w:val="231F20"/>
          <w:sz w:val="13"/>
        </w:rPr>
        <w:t>of the Victims of Crime Consultative</w:t>
      </w:r>
      <w:r>
        <w:rPr>
          <w:color w:val="231F20"/>
          <w:spacing w:val="3"/>
          <w:sz w:val="13"/>
        </w:rPr>
        <w:t xml:space="preserve"> </w:t>
      </w:r>
      <w:r>
        <w:rPr>
          <w:color w:val="231F20"/>
          <w:sz w:val="13"/>
        </w:rPr>
        <w:t>Committee).</w:t>
      </w:r>
    </w:p>
    <w:p w14:paraId="1823D2F3" w14:textId="77777777" w:rsidR="00894070" w:rsidRDefault="00894070">
      <w:pPr>
        <w:spacing w:line="297" w:lineRule="exact"/>
        <w:rPr>
          <w:sz w:val="13"/>
        </w:rPr>
        <w:sectPr w:rsidR="00894070">
          <w:pgSz w:w="11910" w:h="16840"/>
          <w:pgMar w:top="860" w:right="420" w:bottom="280" w:left="580" w:header="567" w:footer="0" w:gutter="0"/>
          <w:cols w:space="720"/>
        </w:sectPr>
      </w:pPr>
    </w:p>
    <w:p w14:paraId="31607E88" w14:textId="77777777" w:rsidR="00894070" w:rsidRDefault="00894070">
      <w:pPr>
        <w:pStyle w:val="BodyText"/>
      </w:pPr>
    </w:p>
    <w:p w14:paraId="5DE30178" w14:textId="77777777" w:rsidR="00894070" w:rsidRDefault="00894070">
      <w:pPr>
        <w:pStyle w:val="BodyText"/>
      </w:pPr>
    </w:p>
    <w:p w14:paraId="68BC3F2B" w14:textId="77777777" w:rsidR="00894070" w:rsidRDefault="00894070">
      <w:pPr>
        <w:pStyle w:val="BodyText"/>
      </w:pPr>
    </w:p>
    <w:p w14:paraId="18D04803" w14:textId="77777777" w:rsidR="00894070" w:rsidRDefault="00894070">
      <w:pPr>
        <w:pStyle w:val="BodyText"/>
        <w:spacing w:before="6"/>
        <w:rPr>
          <w:sz w:val="14"/>
        </w:rPr>
      </w:pPr>
    </w:p>
    <w:p w14:paraId="09676A71" w14:textId="77777777" w:rsidR="00894070" w:rsidRDefault="009B7AFD">
      <w:pPr>
        <w:pStyle w:val="ListParagraph"/>
        <w:numPr>
          <w:ilvl w:val="1"/>
          <w:numId w:val="126"/>
        </w:numPr>
        <w:tabs>
          <w:tab w:val="left" w:pos="1801"/>
          <w:tab w:val="left" w:pos="1802"/>
        </w:tabs>
        <w:spacing w:before="90" w:line="206" w:lineRule="auto"/>
        <w:ind w:right="1383"/>
        <w:rPr>
          <w:sz w:val="20"/>
        </w:rPr>
      </w:pPr>
      <w:r>
        <w:rPr>
          <w:color w:val="231F20"/>
          <w:sz w:val="20"/>
        </w:rPr>
        <w:t xml:space="preserve">People who experience stalking </w:t>
      </w:r>
      <w:r>
        <w:rPr>
          <w:color w:val="231F20"/>
          <w:spacing w:val="-3"/>
          <w:sz w:val="20"/>
        </w:rPr>
        <w:t xml:space="preserve">may </w:t>
      </w:r>
      <w:r>
        <w:rPr>
          <w:color w:val="231F20"/>
          <w:sz w:val="20"/>
        </w:rPr>
        <w:t xml:space="preserve">need more </w:t>
      </w:r>
      <w:r>
        <w:rPr>
          <w:color w:val="231F20"/>
          <w:spacing w:val="-3"/>
          <w:sz w:val="20"/>
        </w:rPr>
        <w:t xml:space="preserve">intensive </w:t>
      </w:r>
      <w:r>
        <w:rPr>
          <w:color w:val="231F20"/>
          <w:sz w:val="20"/>
        </w:rPr>
        <w:t xml:space="preserve">support. Stalking can be </w:t>
      </w:r>
      <w:proofErr w:type="gramStart"/>
      <w:r>
        <w:rPr>
          <w:color w:val="231F20"/>
          <w:sz w:val="20"/>
        </w:rPr>
        <w:t>ongoing</w:t>
      </w:r>
      <w:proofErr w:type="gramEnd"/>
      <w:r>
        <w:rPr>
          <w:color w:val="231F20"/>
          <w:sz w:val="20"/>
        </w:rPr>
        <w:t xml:space="preserve"> and it is challenging to collect evidence on every stalking incident. Victim survivors</w:t>
      </w:r>
      <w:r>
        <w:rPr>
          <w:color w:val="231F20"/>
          <w:spacing w:val="-10"/>
          <w:sz w:val="20"/>
        </w:rPr>
        <w:t xml:space="preserve"> </w:t>
      </w:r>
      <w:r>
        <w:rPr>
          <w:color w:val="231F20"/>
          <w:sz w:val="20"/>
        </w:rPr>
        <w:t>might</w:t>
      </w:r>
      <w:r>
        <w:rPr>
          <w:color w:val="231F20"/>
          <w:spacing w:val="-9"/>
          <w:sz w:val="20"/>
        </w:rPr>
        <w:t xml:space="preserve"> </w:t>
      </w:r>
      <w:r>
        <w:rPr>
          <w:color w:val="231F20"/>
          <w:sz w:val="20"/>
        </w:rPr>
        <w:t>need</w:t>
      </w:r>
      <w:r>
        <w:rPr>
          <w:color w:val="231F20"/>
          <w:spacing w:val="-10"/>
          <w:sz w:val="20"/>
        </w:rPr>
        <w:t xml:space="preserve"> </w:t>
      </w:r>
      <w:r>
        <w:rPr>
          <w:color w:val="231F20"/>
          <w:sz w:val="20"/>
        </w:rPr>
        <w:t>to</w:t>
      </w:r>
      <w:r>
        <w:rPr>
          <w:color w:val="231F20"/>
          <w:spacing w:val="-9"/>
          <w:sz w:val="20"/>
        </w:rPr>
        <w:t xml:space="preserve"> </w:t>
      </w:r>
      <w:r>
        <w:rPr>
          <w:color w:val="231F20"/>
          <w:spacing w:val="-3"/>
          <w:sz w:val="20"/>
        </w:rPr>
        <w:t>navigate</w:t>
      </w:r>
      <w:r>
        <w:rPr>
          <w:color w:val="231F20"/>
          <w:spacing w:val="-10"/>
          <w:sz w:val="20"/>
        </w:rPr>
        <w:t xml:space="preserve"> </w:t>
      </w:r>
      <w:r>
        <w:rPr>
          <w:color w:val="231F20"/>
          <w:sz w:val="20"/>
        </w:rPr>
        <w:t>a</w:t>
      </w:r>
      <w:r>
        <w:rPr>
          <w:color w:val="231F20"/>
          <w:spacing w:val="-9"/>
          <w:sz w:val="20"/>
        </w:rPr>
        <w:t xml:space="preserve"> </w:t>
      </w:r>
      <w:r>
        <w:rPr>
          <w:color w:val="231F20"/>
          <w:sz w:val="20"/>
        </w:rPr>
        <w:t>range</w:t>
      </w:r>
      <w:r>
        <w:rPr>
          <w:color w:val="231F20"/>
          <w:spacing w:val="-9"/>
          <w:sz w:val="20"/>
        </w:rPr>
        <w:t xml:space="preserve"> </w:t>
      </w:r>
      <w:r>
        <w:rPr>
          <w:color w:val="231F20"/>
          <w:sz w:val="20"/>
        </w:rPr>
        <w:t>of</w:t>
      </w:r>
      <w:r>
        <w:rPr>
          <w:color w:val="231F20"/>
          <w:spacing w:val="-10"/>
          <w:sz w:val="20"/>
        </w:rPr>
        <w:t xml:space="preserve"> </w:t>
      </w:r>
      <w:r>
        <w:rPr>
          <w:color w:val="231F20"/>
          <w:sz w:val="20"/>
        </w:rPr>
        <w:t>criminal</w:t>
      </w:r>
      <w:r>
        <w:rPr>
          <w:color w:val="231F20"/>
          <w:spacing w:val="-9"/>
          <w:sz w:val="20"/>
        </w:rPr>
        <w:t xml:space="preserve"> </w:t>
      </w:r>
      <w:r>
        <w:rPr>
          <w:color w:val="231F20"/>
          <w:sz w:val="20"/>
        </w:rPr>
        <w:t>and</w:t>
      </w:r>
      <w:r>
        <w:rPr>
          <w:color w:val="231F20"/>
          <w:spacing w:val="-10"/>
          <w:sz w:val="20"/>
        </w:rPr>
        <w:t xml:space="preserve"> </w:t>
      </w:r>
      <w:r>
        <w:rPr>
          <w:color w:val="231F20"/>
          <w:sz w:val="20"/>
        </w:rPr>
        <w:t>civil</w:t>
      </w:r>
      <w:r>
        <w:rPr>
          <w:color w:val="231F20"/>
          <w:spacing w:val="-9"/>
          <w:sz w:val="20"/>
        </w:rPr>
        <w:t xml:space="preserve"> </w:t>
      </w:r>
      <w:r>
        <w:rPr>
          <w:color w:val="231F20"/>
          <w:sz w:val="20"/>
        </w:rPr>
        <w:t>processes</w:t>
      </w:r>
      <w:r>
        <w:rPr>
          <w:color w:val="231F20"/>
          <w:spacing w:val="-10"/>
          <w:sz w:val="20"/>
        </w:rPr>
        <w:t xml:space="preserve"> </w:t>
      </w:r>
      <w:r>
        <w:rPr>
          <w:color w:val="231F20"/>
          <w:sz w:val="20"/>
        </w:rPr>
        <w:t>and</w:t>
      </w:r>
      <w:r>
        <w:rPr>
          <w:color w:val="231F20"/>
          <w:spacing w:val="-9"/>
          <w:sz w:val="20"/>
        </w:rPr>
        <w:t xml:space="preserve"> </w:t>
      </w:r>
      <w:r>
        <w:rPr>
          <w:color w:val="231F20"/>
          <w:sz w:val="20"/>
        </w:rPr>
        <w:t>services.</w:t>
      </w:r>
    </w:p>
    <w:p w14:paraId="5F6B323D" w14:textId="77777777" w:rsidR="00894070" w:rsidRDefault="009B7AFD">
      <w:pPr>
        <w:pStyle w:val="ListParagraph"/>
        <w:numPr>
          <w:ilvl w:val="1"/>
          <w:numId w:val="126"/>
        </w:numPr>
        <w:tabs>
          <w:tab w:val="left" w:pos="1801"/>
          <w:tab w:val="left" w:pos="1802"/>
        </w:tabs>
        <w:spacing w:before="124" w:line="206" w:lineRule="auto"/>
        <w:ind w:right="1268"/>
        <w:rPr>
          <w:sz w:val="20"/>
        </w:rPr>
      </w:pPr>
      <w:r>
        <w:rPr>
          <w:color w:val="231F20"/>
          <w:sz w:val="20"/>
        </w:rPr>
        <w:t xml:space="preserve">The </w:t>
      </w:r>
      <w:r>
        <w:rPr>
          <w:color w:val="231F20"/>
          <w:spacing w:val="-3"/>
          <w:sz w:val="20"/>
        </w:rPr>
        <w:t xml:space="preserve">negative </w:t>
      </w:r>
      <w:r>
        <w:rPr>
          <w:color w:val="231F20"/>
          <w:sz w:val="20"/>
        </w:rPr>
        <w:t xml:space="preserve">mental health impacts of stalking can make it difficult, if not impossible, </w:t>
      </w:r>
      <w:r>
        <w:rPr>
          <w:color w:val="231F20"/>
          <w:spacing w:val="-3"/>
          <w:sz w:val="20"/>
        </w:rPr>
        <w:t xml:space="preserve">for </w:t>
      </w:r>
      <w:r>
        <w:rPr>
          <w:color w:val="231F20"/>
          <w:sz w:val="20"/>
        </w:rPr>
        <w:t xml:space="preserve">victim survivors to </w:t>
      </w:r>
      <w:r>
        <w:rPr>
          <w:color w:val="231F20"/>
          <w:spacing w:val="-3"/>
          <w:sz w:val="20"/>
        </w:rPr>
        <w:t xml:space="preserve">navigate </w:t>
      </w:r>
      <w:r>
        <w:rPr>
          <w:color w:val="231F20"/>
          <w:sz w:val="20"/>
        </w:rPr>
        <w:t>all these things on their own. Stalking affects physical and mental health, sometimes in unexpected ways.</w:t>
      </w:r>
      <w:r>
        <w:rPr>
          <w:color w:val="231F20"/>
          <w:position w:val="7"/>
          <w:sz w:val="11"/>
        </w:rPr>
        <w:t xml:space="preserve">112 </w:t>
      </w:r>
      <w:r>
        <w:rPr>
          <w:color w:val="231F20"/>
          <w:sz w:val="20"/>
        </w:rPr>
        <w:t xml:space="preserve">This </w:t>
      </w:r>
      <w:r>
        <w:rPr>
          <w:color w:val="231F20"/>
          <w:spacing w:val="-3"/>
          <w:sz w:val="20"/>
        </w:rPr>
        <w:t xml:space="preserve">prevents </w:t>
      </w:r>
      <w:r>
        <w:rPr>
          <w:color w:val="231F20"/>
          <w:sz w:val="20"/>
        </w:rPr>
        <w:t xml:space="preserve">people </w:t>
      </w:r>
      <w:r>
        <w:rPr>
          <w:color w:val="231F20"/>
          <w:spacing w:val="-3"/>
          <w:sz w:val="20"/>
        </w:rPr>
        <w:t xml:space="preserve">from </w:t>
      </w:r>
      <w:r>
        <w:rPr>
          <w:color w:val="231F20"/>
          <w:sz w:val="20"/>
        </w:rPr>
        <w:t>seeking</w:t>
      </w:r>
      <w:r>
        <w:rPr>
          <w:color w:val="231F20"/>
          <w:spacing w:val="-9"/>
          <w:sz w:val="20"/>
        </w:rPr>
        <w:t xml:space="preserve"> </w:t>
      </w:r>
      <w:r>
        <w:rPr>
          <w:color w:val="231F20"/>
          <w:sz w:val="20"/>
        </w:rPr>
        <w:t>help</w:t>
      </w:r>
      <w:r>
        <w:rPr>
          <w:color w:val="231F20"/>
          <w:spacing w:val="-8"/>
          <w:sz w:val="20"/>
        </w:rPr>
        <w:t xml:space="preserve"> </w:t>
      </w:r>
      <w:r>
        <w:rPr>
          <w:color w:val="231F20"/>
          <w:sz w:val="20"/>
        </w:rPr>
        <w:t>or</w:t>
      </w:r>
      <w:r>
        <w:rPr>
          <w:color w:val="231F20"/>
          <w:spacing w:val="-8"/>
          <w:sz w:val="20"/>
        </w:rPr>
        <w:t xml:space="preserve"> </w:t>
      </w:r>
      <w:r>
        <w:rPr>
          <w:color w:val="231F20"/>
          <w:sz w:val="20"/>
        </w:rPr>
        <w:t>carrying</w:t>
      </w:r>
      <w:r>
        <w:rPr>
          <w:color w:val="231F20"/>
          <w:spacing w:val="-8"/>
          <w:sz w:val="20"/>
        </w:rPr>
        <w:t xml:space="preserve"> </w:t>
      </w:r>
      <w:r>
        <w:rPr>
          <w:color w:val="231F20"/>
          <w:sz w:val="20"/>
        </w:rPr>
        <w:t>out</w:t>
      </w:r>
      <w:r>
        <w:rPr>
          <w:color w:val="231F20"/>
          <w:spacing w:val="-8"/>
          <w:sz w:val="20"/>
        </w:rPr>
        <w:t xml:space="preserve"> </w:t>
      </w:r>
      <w:r>
        <w:rPr>
          <w:color w:val="231F20"/>
          <w:sz w:val="20"/>
        </w:rPr>
        <w:t>risk</w:t>
      </w:r>
      <w:r>
        <w:rPr>
          <w:color w:val="231F20"/>
          <w:spacing w:val="-9"/>
          <w:sz w:val="20"/>
        </w:rPr>
        <w:t xml:space="preserve"> </w:t>
      </w:r>
      <w:r>
        <w:rPr>
          <w:color w:val="231F20"/>
          <w:sz w:val="20"/>
        </w:rPr>
        <w:t>management</w:t>
      </w:r>
      <w:r>
        <w:rPr>
          <w:color w:val="231F20"/>
          <w:spacing w:val="-8"/>
          <w:sz w:val="20"/>
        </w:rPr>
        <w:t xml:space="preserve"> </w:t>
      </w:r>
      <w:r>
        <w:rPr>
          <w:color w:val="231F20"/>
          <w:spacing w:val="-4"/>
          <w:sz w:val="20"/>
        </w:rPr>
        <w:t>(for</w:t>
      </w:r>
      <w:r>
        <w:rPr>
          <w:color w:val="231F20"/>
          <w:spacing w:val="-8"/>
          <w:sz w:val="20"/>
        </w:rPr>
        <w:t xml:space="preserve"> </w:t>
      </w:r>
      <w:r>
        <w:rPr>
          <w:color w:val="231F20"/>
          <w:spacing w:val="-3"/>
          <w:sz w:val="20"/>
        </w:rPr>
        <w:t>example,</w:t>
      </w:r>
      <w:r>
        <w:rPr>
          <w:color w:val="231F20"/>
          <w:spacing w:val="-8"/>
          <w:sz w:val="20"/>
        </w:rPr>
        <w:t xml:space="preserve"> </w:t>
      </w:r>
      <w:r>
        <w:rPr>
          <w:color w:val="231F20"/>
          <w:spacing w:val="-3"/>
          <w:sz w:val="20"/>
        </w:rPr>
        <w:t>following</w:t>
      </w:r>
      <w:r>
        <w:rPr>
          <w:color w:val="231F20"/>
          <w:spacing w:val="-8"/>
          <w:sz w:val="20"/>
        </w:rPr>
        <w:t xml:space="preserve"> </w:t>
      </w:r>
      <w:r>
        <w:rPr>
          <w:color w:val="231F20"/>
          <w:sz w:val="20"/>
        </w:rPr>
        <w:t>up</w:t>
      </w:r>
      <w:r>
        <w:rPr>
          <w:color w:val="231F20"/>
          <w:spacing w:val="-9"/>
          <w:sz w:val="20"/>
        </w:rPr>
        <w:t xml:space="preserve"> </w:t>
      </w:r>
      <w:r>
        <w:rPr>
          <w:color w:val="231F20"/>
          <w:sz w:val="20"/>
        </w:rPr>
        <w:t>with</w:t>
      </w:r>
      <w:r>
        <w:rPr>
          <w:color w:val="231F20"/>
          <w:spacing w:val="-8"/>
          <w:sz w:val="20"/>
        </w:rPr>
        <w:t xml:space="preserve"> </w:t>
      </w:r>
      <w:r>
        <w:rPr>
          <w:color w:val="231F20"/>
          <w:sz w:val="20"/>
        </w:rPr>
        <w:t>referrals or documenting the evidence).</w:t>
      </w:r>
      <w:r>
        <w:rPr>
          <w:color w:val="231F20"/>
          <w:position w:val="7"/>
          <w:sz w:val="11"/>
        </w:rPr>
        <w:t xml:space="preserve">113 </w:t>
      </w:r>
      <w:r>
        <w:rPr>
          <w:color w:val="231F20"/>
          <w:sz w:val="20"/>
        </w:rPr>
        <w:t xml:space="preserve">An independent </w:t>
      </w:r>
      <w:r>
        <w:rPr>
          <w:color w:val="231F20"/>
          <w:spacing w:val="-3"/>
          <w:sz w:val="20"/>
        </w:rPr>
        <w:t xml:space="preserve">advocate </w:t>
      </w:r>
      <w:r>
        <w:rPr>
          <w:color w:val="231F20"/>
          <w:sz w:val="20"/>
        </w:rPr>
        <w:t>could assist with these matters.</w:t>
      </w:r>
    </w:p>
    <w:p w14:paraId="2E73290D" w14:textId="77777777" w:rsidR="00894070" w:rsidRDefault="009B7AFD">
      <w:pPr>
        <w:pStyle w:val="ListParagraph"/>
        <w:numPr>
          <w:ilvl w:val="1"/>
          <w:numId w:val="126"/>
        </w:numPr>
        <w:tabs>
          <w:tab w:val="left" w:pos="1801"/>
          <w:tab w:val="left" w:pos="1802"/>
        </w:tabs>
        <w:spacing w:before="95" w:line="259" w:lineRule="exact"/>
        <w:rPr>
          <w:sz w:val="20"/>
        </w:rPr>
      </w:pPr>
      <w:r>
        <w:rPr>
          <w:color w:val="231F20"/>
          <w:sz w:val="20"/>
        </w:rPr>
        <w:t>Victim</w:t>
      </w:r>
      <w:r>
        <w:rPr>
          <w:color w:val="231F20"/>
          <w:spacing w:val="-6"/>
          <w:sz w:val="20"/>
        </w:rPr>
        <w:t xml:space="preserve"> </w:t>
      </w:r>
      <w:r>
        <w:rPr>
          <w:color w:val="231F20"/>
          <w:spacing w:val="-3"/>
          <w:sz w:val="20"/>
        </w:rPr>
        <w:t>advocates</w:t>
      </w:r>
      <w:r>
        <w:rPr>
          <w:color w:val="231F20"/>
          <w:spacing w:val="-6"/>
          <w:sz w:val="20"/>
        </w:rPr>
        <w:t xml:space="preserve"> </w:t>
      </w:r>
      <w:r>
        <w:rPr>
          <w:color w:val="231F20"/>
          <w:sz w:val="20"/>
        </w:rPr>
        <w:t>could</w:t>
      </w:r>
      <w:r>
        <w:rPr>
          <w:color w:val="231F20"/>
          <w:spacing w:val="-5"/>
          <w:sz w:val="20"/>
        </w:rPr>
        <w:t xml:space="preserve"> </w:t>
      </w:r>
      <w:r>
        <w:rPr>
          <w:color w:val="231F20"/>
          <w:sz w:val="20"/>
        </w:rPr>
        <w:t>help</w:t>
      </w:r>
      <w:r>
        <w:rPr>
          <w:color w:val="231F20"/>
          <w:spacing w:val="-6"/>
          <w:sz w:val="20"/>
        </w:rPr>
        <w:t xml:space="preserve"> </w:t>
      </w:r>
      <w:r>
        <w:rPr>
          <w:color w:val="231F20"/>
          <w:sz w:val="20"/>
        </w:rPr>
        <w:t>to</w:t>
      </w:r>
      <w:r>
        <w:rPr>
          <w:color w:val="231F20"/>
          <w:spacing w:val="-6"/>
          <w:sz w:val="20"/>
        </w:rPr>
        <w:t xml:space="preserve"> </w:t>
      </w:r>
      <w:r>
        <w:rPr>
          <w:color w:val="231F20"/>
          <w:sz w:val="20"/>
        </w:rPr>
        <w:t>identify</w:t>
      </w:r>
      <w:r>
        <w:rPr>
          <w:color w:val="231F20"/>
          <w:spacing w:val="-5"/>
          <w:sz w:val="20"/>
        </w:rPr>
        <w:t xml:space="preserve"> </w:t>
      </w:r>
      <w:r>
        <w:rPr>
          <w:color w:val="231F20"/>
          <w:sz w:val="20"/>
        </w:rPr>
        <w:t>what</w:t>
      </w:r>
      <w:r>
        <w:rPr>
          <w:color w:val="231F20"/>
          <w:spacing w:val="-6"/>
          <w:sz w:val="20"/>
        </w:rPr>
        <w:t xml:space="preserve"> </w:t>
      </w:r>
      <w:r>
        <w:rPr>
          <w:color w:val="231F20"/>
          <w:sz w:val="20"/>
        </w:rPr>
        <w:t>is</w:t>
      </w:r>
      <w:r>
        <w:rPr>
          <w:color w:val="231F20"/>
          <w:spacing w:val="-6"/>
          <w:sz w:val="20"/>
        </w:rPr>
        <w:t xml:space="preserve"> </w:t>
      </w:r>
      <w:r>
        <w:rPr>
          <w:color w:val="231F20"/>
          <w:sz w:val="20"/>
        </w:rPr>
        <w:t>happening</w:t>
      </w:r>
      <w:r>
        <w:rPr>
          <w:color w:val="231F20"/>
          <w:spacing w:val="-5"/>
          <w:sz w:val="20"/>
        </w:rPr>
        <w:t xml:space="preserve"> </w:t>
      </w:r>
      <w:r>
        <w:rPr>
          <w:color w:val="231F20"/>
          <w:sz w:val="20"/>
        </w:rPr>
        <w:t>to</w:t>
      </w:r>
      <w:r>
        <w:rPr>
          <w:color w:val="231F20"/>
          <w:spacing w:val="-6"/>
          <w:sz w:val="20"/>
        </w:rPr>
        <w:t xml:space="preserve"> </w:t>
      </w:r>
      <w:r>
        <w:rPr>
          <w:color w:val="231F20"/>
          <w:sz w:val="20"/>
        </w:rPr>
        <w:t>the</w:t>
      </w:r>
      <w:r>
        <w:rPr>
          <w:color w:val="231F20"/>
          <w:spacing w:val="-6"/>
          <w:sz w:val="20"/>
        </w:rPr>
        <w:t xml:space="preserve"> </w:t>
      </w:r>
      <w:r>
        <w:rPr>
          <w:color w:val="231F20"/>
          <w:sz w:val="20"/>
        </w:rPr>
        <w:t>victim</w:t>
      </w:r>
      <w:r>
        <w:rPr>
          <w:color w:val="231F20"/>
          <w:spacing w:val="-5"/>
          <w:sz w:val="20"/>
        </w:rPr>
        <w:t xml:space="preserve"> </w:t>
      </w:r>
      <w:r>
        <w:rPr>
          <w:color w:val="231F20"/>
          <w:sz w:val="20"/>
        </w:rPr>
        <w:t>survivor</w:t>
      </w:r>
      <w:r>
        <w:rPr>
          <w:color w:val="231F20"/>
          <w:spacing w:val="-6"/>
          <w:sz w:val="20"/>
        </w:rPr>
        <w:t xml:space="preserve"> </w:t>
      </w:r>
      <w:r>
        <w:rPr>
          <w:color w:val="231F20"/>
          <w:sz w:val="20"/>
        </w:rPr>
        <w:t>and</w:t>
      </w:r>
    </w:p>
    <w:p w14:paraId="12FA97DD" w14:textId="77777777" w:rsidR="00894070" w:rsidRDefault="009B7AFD">
      <w:pPr>
        <w:pStyle w:val="BodyText"/>
        <w:spacing w:line="259" w:lineRule="exact"/>
        <w:ind w:left="1801"/>
        <w:rPr>
          <w:sz w:val="11"/>
        </w:rPr>
      </w:pPr>
      <w:r>
        <w:rPr>
          <w:color w:val="231F20"/>
        </w:rPr>
        <w:t>help make sure that timely action is taken to stop the stalking and any risk of harm.</w:t>
      </w:r>
      <w:r>
        <w:rPr>
          <w:color w:val="231F20"/>
          <w:position w:val="7"/>
          <w:sz w:val="11"/>
        </w:rPr>
        <w:t>114</w:t>
      </w:r>
    </w:p>
    <w:p w14:paraId="32A0BF58" w14:textId="77777777" w:rsidR="00894070" w:rsidRDefault="009B7AFD">
      <w:pPr>
        <w:pStyle w:val="ListParagraph"/>
        <w:numPr>
          <w:ilvl w:val="1"/>
          <w:numId w:val="126"/>
        </w:numPr>
        <w:tabs>
          <w:tab w:val="left" w:pos="1801"/>
          <w:tab w:val="left" w:pos="1802"/>
        </w:tabs>
        <w:spacing w:before="115" w:line="206" w:lineRule="auto"/>
        <w:ind w:right="1446"/>
        <w:rPr>
          <w:sz w:val="11"/>
        </w:rPr>
      </w:pPr>
      <w:r>
        <w:rPr>
          <w:color w:val="231F20"/>
          <w:sz w:val="20"/>
        </w:rPr>
        <w:t>Victim</w:t>
      </w:r>
      <w:r>
        <w:rPr>
          <w:color w:val="231F20"/>
          <w:spacing w:val="-10"/>
          <w:sz w:val="20"/>
        </w:rPr>
        <w:t xml:space="preserve"> </w:t>
      </w:r>
      <w:r>
        <w:rPr>
          <w:color w:val="231F20"/>
          <w:spacing w:val="-3"/>
          <w:sz w:val="20"/>
        </w:rPr>
        <w:t>advocates</w:t>
      </w:r>
      <w:r>
        <w:rPr>
          <w:color w:val="231F20"/>
          <w:spacing w:val="-9"/>
          <w:sz w:val="20"/>
        </w:rPr>
        <w:t xml:space="preserve"> </w:t>
      </w:r>
      <w:r>
        <w:rPr>
          <w:color w:val="231F20"/>
          <w:sz w:val="20"/>
        </w:rPr>
        <w:t>could</w:t>
      </w:r>
      <w:r>
        <w:rPr>
          <w:color w:val="231F20"/>
          <w:spacing w:val="-9"/>
          <w:sz w:val="20"/>
        </w:rPr>
        <w:t xml:space="preserve"> </w:t>
      </w:r>
      <w:r>
        <w:rPr>
          <w:color w:val="231F20"/>
          <w:spacing w:val="-3"/>
          <w:sz w:val="20"/>
        </w:rPr>
        <w:t>provide</w:t>
      </w:r>
      <w:r>
        <w:rPr>
          <w:color w:val="231F20"/>
          <w:spacing w:val="-9"/>
          <w:sz w:val="20"/>
        </w:rPr>
        <w:t xml:space="preserve"> </w:t>
      </w:r>
      <w:r>
        <w:rPr>
          <w:color w:val="231F20"/>
          <w:sz w:val="20"/>
        </w:rPr>
        <w:t>the</w:t>
      </w:r>
      <w:r>
        <w:rPr>
          <w:color w:val="231F20"/>
          <w:spacing w:val="-9"/>
          <w:sz w:val="20"/>
        </w:rPr>
        <w:t xml:space="preserve"> </w:t>
      </w:r>
      <w:r>
        <w:rPr>
          <w:color w:val="231F20"/>
          <w:sz w:val="20"/>
        </w:rPr>
        <w:t>ongoing,</w:t>
      </w:r>
      <w:r>
        <w:rPr>
          <w:color w:val="231F20"/>
          <w:spacing w:val="-9"/>
          <w:sz w:val="20"/>
        </w:rPr>
        <w:t xml:space="preserve"> </w:t>
      </w:r>
      <w:r>
        <w:rPr>
          <w:color w:val="231F20"/>
          <w:sz w:val="20"/>
        </w:rPr>
        <w:t>‘joined</w:t>
      </w:r>
      <w:r>
        <w:rPr>
          <w:color w:val="231F20"/>
          <w:spacing w:val="-9"/>
          <w:sz w:val="20"/>
        </w:rPr>
        <w:t xml:space="preserve"> </w:t>
      </w:r>
      <w:r>
        <w:rPr>
          <w:color w:val="231F20"/>
          <w:spacing w:val="-3"/>
          <w:sz w:val="20"/>
        </w:rPr>
        <w:t>up’</w:t>
      </w:r>
      <w:r>
        <w:rPr>
          <w:color w:val="231F20"/>
          <w:spacing w:val="-9"/>
          <w:sz w:val="20"/>
        </w:rPr>
        <w:t xml:space="preserve"> </w:t>
      </w:r>
      <w:r>
        <w:rPr>
          <w:color w:val="231F20"/>
          <w:sz w:val="20"/>
        </w:rPr>
        <w:t>support</w:t>
      </w:r>
      <w:r>
        <w:rPr>
          <w:color w:val="231F20"/>
          <w:spacing w:val="-9"/>
          <w:sz w:val="20"/>
        </w:rPr>
        <w:t xml:space="preserve"> </w:t>
      </w:r>
      <w:r>
        <w:rPr>
          <w:color w:val="231F20"/>
          <w:sz w:val="20"/>
        </w:rPr>
        <w:t>that</w:t>
      </w:r>
      <w:r>
        <w:rPr>
          <w:color w:val="231F20"/>
          <w:spacing w:val="-9"/>
          <w:sz w:val="20"/>
        </w:rPr>
        <w:t xml:space="preserve"> </w:t>
      </w:r>
      <w:r>
        <w:rPr>
          <w:color w:val="231F20"/>
          <w:sz w:val="20"/>
        </w:rPr>
        <w:t>victim</w:t>
      </w:r>
      <w:r>
        <w:rPr>
          <w:color w:val="231F20"/>
          <w:spacing w:val="-9"/>
          <w:sz w:val="20"/>
        </w:rPr>
        <w:t xml:space="preserve"> </w:t>
      </w:r>
      <w:r>
        <w:rPr>
          <w:color w:val="231F20"/>
          <w:sz w:val="20"/>
        </w:rPr>
        <w:t xml:space="preserve">survivors need. Coordination with services is </w:t>
      </w:r>
      <w:r>
        <w:rPr>
          <w:color w:val="231F20"/>
          <w:spacing w:val="-3"/>
          <w:sz w:val="20"/>
        </w:rPr>
        <w:t xml:space="preserve">‘associated </w:t>
      </w:r>
      <w:r>
        <w:rPr>
          <w:color w:val="231F20"/>
          <w:sz w:val="20"/>
        </w:rPr>
        <w:t>with victim reports of more helpful services’.</w:t>
      </w:r>
      <w:r>
        <w:rPr>
          <w:color w:val="231F20"/>
          <w:position w:val="7"/>
          <w:sz w:val="11"/>
        </w:rPr>
        <w:t>115</w:t>
      </w:r>
    </w:p>
    <w:p w14:paraId="5BD96670" w14:textId="77777777" w:rsidR="00894070" w:rsidRDefault="009B7AFD">
      <w:pPr>
        <w:pStyle w:val="ListParagraph"/>
        <w:numPr>
          <w:ilvl w:val="1"/>
          <w:numId w:val="126"/>
        </w:numPr>
        <w:tabs>
          <w:tab w:val="left" w:pos="1801"/>
          <w:tab w:val="left" w:pos="1802"/>
        </w:tabs>
        <w:spacing w:before="124" w:line="206" w:lineRule="auto"/>
        <w:ind w:right="1324"/>
        <w:rPr>
          <w:sz w:val="11"/>
        </w:rPr>
      </w:pPr>
      <w:r>
        <w:rPr>
          <w:color w:val="231F20"/>
          <w:sz w:val="20"/>
        </w:rPr>
        <w:t xml:space="preserve">In our report </w:t>
      </w:r>
      <w:r>
        <w:rPr>
          <w:i/>
          <w:color w:val="231F20"/>
          <w:spacing w:val="-3"/>
          <w:sz w:val="20"/>
        </w:rPr>
        <w:t xml:space="preserve">Improving </w:t>
      </w:r>
      <w:r>
        <w:rPr>
          <w:i/>
          <w:color w:val="231F20"/>
          <w:sz w:val="20"/>
        </w:rPr>
        <w:t xml:space="preserve">the Justice </w:t>
      </w:r>
      <w:r>
        <w:rPr>
          <w:i/>
          <w:color w:val="231F20"/>
          <w:spacing w:val="-3"/>
          <w:sz w:val="20"/>
        </w:rPr>
        <w:t xml:space="preserve">System </w:t>
      </w:r>
      <w:r>
        <w:rPr>
          <w:i/>
          <w:color w:val="231F20"/>
          <w:sz w:val="20"/>
        </w:rPr>
        <w:t xml:space="preserve">Response </w:t>
      </w:r>
      <w:r>
        <w:rPr>
          <w:i/>
          <w:color w:val="231F20"/>
          <w:spacing w:val="-3"/>
          <w:sz w:val="20"/>
        </w:rPr>
        <w:t xml:space="preserve">to </w:t>
      </w:r>
      <w:r>
        <w:rPr>
          <w:i/>
          <w:color w:val="231F20"/>
          <w:sz w:val="20"/>
        </w:rPr>
        <w:t xml:space="preserve">Sexual Offences </w:t>
      </w:r>
      <w:r>
        <w:rPr>
          <w:color w:val="231F20"/>
          <w:spacing w:val="-3"/>
          <w:sz w:val="20"/>
        </w:rPr>
        <w:t xml:space="preserve">(2021), we </w:t>
      </w:r>
      <w:r>
        <w:rPr>
          <w:color w:val="231F20"/>
          <w:sz w:val="20"/>
        </w:rPr>
        <w:t>recommended</w:t>
      </w:r>
      <w:r>
        <w:rPr>
          <w:color w:val="231F20"/>
          <w:spacing w:val="-12"/>
          <w:sz w:val="20"/>
        </w:rPr>
        <w:t xml:space="preserve"> </w:t>
      </w:r>
      <w:r>
        <w:rPr>
          <w:color w:val="231F20"/>
          <w:sz w:val="20"/>
        </w:rPr>
        <w:t>a</w:t>
      </w:r>
      <w:r>
        <w:rPr>
          <w:color w:val="231F20"/>
          <w:spacing w:val="-12"/>
          <w:sz w:val="20"/>
        </w:rPr>
        <w:t xml:space="preserve"> </w:t>
      </w:r>
      <w:r>
        <w:rPr>
          <w:color w:val="231F20"/>
          <w:sz w:val="20"/>
        </w:rPr>
        <w:t>similar</w:t>
      </w:r>
      <w:r>
        <w:rPr>
          <w:color w:val="231F20"/>
          <w:spacing w:val="-11"/>
          <w:sz w:val="20"/>
        </w:rPr>
        <w:t xml:space="preserve"> </w:t>
      </w:r>
      <w:r>
        <w:rPr>
          <w:color w:val="231F20"/>
          <w:sz w:val="20"/>
        </w:rPr>
        <w:t>model</w:t>
      </w:r>
      <w:r>
        <w:rPr>
          <w:color w:val="231F20"/>
          <w:spacing w:val="-12"/>
          <w:sz w:val="20"/>
        </w:rPr>
        <w:t xml:space="preserve"> </w:t>
      </w:r>
      <w:r>
        <w:rPr>
          <w:color w:val="231F20"/>
          <w:sz w:val="20"/>
        </w:rPr>
        <w:t>of</w:t>
      </w:r>
      <w:r>
        <w:rPr>
          <w:color w:val="231F20"/>
          <w:spacing w:val="-11"/>
          <w:sz w:val="20"/>
        </w:rPr>
        <w:t xml:space="preserve"> </w:t>
      </w:r>
      <w:r>
        <w:rPr>
          <w:color w:val="231F20"/>
          <w:sz w:val="20"/>
        </w:rPr>
        <w:t>victim</w:t>
      </w:r>
      <w:r>
        <w:rPr>
          <w:color w:val="231F20"/>
          <w:spacing w:val="-12"/>
          <w:sz w:val="20"/>
        </w:rPr>
        <w:t xml:space="preserve"> </w:t>
      </w:r>
      <w:r>
        <w:rPr>
          <w:color w:val="231F20"/>
          <w:sz w:val="20"/>
        </w:rPr>
        <w:t>advocates.</w:t>
      </w:r>
      <w:r>
        <w:rPr>
          <w:color w:val="231F20"/>
          <w:position w:val="7"/>
          <w:sz w:val="11"/>
        </w:rPr>
        <w:t>116</w:t>
      </w:r>
      <w:r>
        <w:rPr>
          <w:color w:val="231F20"/>
          <w:spacing w:val="13"/>
          <w:position w:val="7"/>
          <w:sz w:val="11"/>
        </w:rPr>
        <w:t xml:space="preserve"> </w:t>
      </w:r>
      <w:r>
        <w:rPr>
          <w:color w:val="231F20"/>
          <w:spacing w:val="-6"/>
          <w:sz w:val="20"/>
        </w:rPr>
        <w:t>We</w:t>
      </w:r>
      <w:r>
        <w:rPr>
          <w:color w:val="231F20"/>
          <w:spacing w:val="-12"/>
          <w:sz w:val="20"/>
        </w:rPr>
        <w:t xml:space="preserve"> </w:t>
      </w:r>
      <w:r>
        <w:rPr>
          <w:color w:val="231F20"/>
          <w:sz w:val="20"/>
        </w:rPr>
        <w:t>made</w:t>
      </w:r>
      <w:r>
        <w:rPr>
          <w:color w:val="231F20"/>
          <w:spacing w:val="-11"/>
          <w:sz w:val="20"/>
        </w:rPr>
        <w:t xml:space="preserve"> </w:t>
      </w:r>
      <w:r>
        <w:rPr>
          <w:color w:val="231F20"/>
          <w:sz w:val="20"/>
        </w:rPr>
        <w:t>this</w:t>
      </w:r>
      <w:r>
        <w:rPr>
          <w:color w:val="231F20"/>
          <w:spacing w:val="-12"/>
          <w:sz w:val="20"/>
        </w:rPr>
        <w:t xml:space="preserve"> </w:t>
      </w:r>
      <w:r>
        <w:rPr>
          <w:color w:val="231F20"/>
          <w:sz w:val="20"/>
        </w:rPr>
        <w:t xml:space="preserve">recommendation partly because </w:t>
      </w:r>
      <w:r>
        <w:rPr>
          <w:color w:val="231F20"/>
          <w:spacing w:val="-3"/>
          <w:sz w:val="20"/>
        </w:rPr>
        <w:t xml:space="preserve">research </w:t>
      </w:r>
      <w:r>
        <w:rPr>
          <w:color w:val="231F20"/>
          <w:sz w:val="20"/>
        </w:rPr>
        <w:t xml:space="preserve">indicates that victim </w:t>
      </w:r>
      <w:r>
        <w:rPr>
          <w:color w:val="231F20"/>
          <w:spacing w:val="-3"/>
          <w:sz w:val="20"/>
        </w:rPr>
        <w:t xml:space="preserve">advocates </w:t>
      </w:r>
      <w:r>
        <w:rPr>
          <w:color w:val="231F20"/>
          <w:sz w:val="20"/>
        </w:rPr>
        <w:t>help keep victims engaged with the justice</w:t>
      </w:r>
      <w:r>
        <w:rPr>
          <w:color w:val="231F20"/>
          <w:spacing w:val="-13"/>
          <w:sz w:val="20"/>
        </w:rPr>
        <w:t xml:space="preserve"> </w:t>
      </w:r>
      <w:r>
        <w:rPr>
          <w:color w:val="231F20"/>
          <w:sz w:val="20"/>
        </w:rPr>
        <w:t>system.</w:t>
      </w:r>
      <w:r>
        <w:rPr>
          <w:color w:val="231F20"/>
          <w:position w:val="7"/>
          <w:sz w:val="11"/>
        </w:rPr>
        <w:t>117</w:t>
      </w:r>
    </w:p>
    <w:p w14:paraId="3E3BBDDD" w14:textId="77777777" w:rsidR="00894070" w:rsidRDefault="009B7AFD">
      <w:pPr>
        <w:pStyle w:val="ListParagraph"/>
        <w:numPr>
          <w:ilvl w:val="1"/>
          <w:numId w:val="126"/>
        </w:numPr>
        <w:tabs>
          <w:tab w:val="left" w:pos="1801"/>
          <w:tab w:val="left" w:pos="1802"/>
        </w:tabs>
        <w:spacing w:before="125" w:line="206" w:lineRule="auto"/>
        <w:ind w:right="1663"/>
        <w:rPr>
          <w:sz w:val="20"/>
        </w:rPr>
      </w:pPr>
      <w:r>
        <w:rPr>
          <w:color w:val="231F20"/>
          <w:sz w:val="20"/>
        </w:rPr>
        <w:t xml:space="preserve">Victim engagement with the justice </w:t>
      </w:r>
      <w:r>
        <w:rPr>
          <w:color w:val="231F20"/>
          <w:spacing w:val="-2"/>
          <w:sz w:val="20"/>
        </w:rPr>
        <w:t xml:space="preserve">system </w:t>
      </w:r>
      <w:r>
        <w:rPr>
          <w:color w:val="231F20"/>
          <w:sz w:val="20"/>
        </w:rPr>
        <w:t xml:space="preserve">is needed to support prosecutions and convictions. If the person who stalks is not </w:t>
      </w:r>
      <w:r>
        <w:rPr>
          <w:color w:val="231F20"/>
          <w:spacing w:val="-3"/>
          <w:sz w:val="20"/>
        </w:rPr>
        <w:t xml:space="preserve">prosecuted </w:t>
      </w:r>
      <w:r>
        <w:rPr>
          <w:color w:val="231F20"/>
          <w:sz w:val="20"/>
        </w:rPr>
        <w:t xml:space="preserve">and </w:t>
      </w:r>
      <w:r>
        <w:rPr>
          <w:color w:val="231F20"/>
          <w:spacing w:val="-3"/>
          <w:sz w:val="20"/>
        </w:rPr>
        <w:t xml:space="preserve">convicted, </w:t>
      </w:r>
      <w:r>
        <w:rPr>
          <w:color w:val="231F20"/>
          <w:sz w:val="20"/>
        </w:rPr>
        <w:t xml:space="preserve">where </w:t>
      </w:r>
      <w:r>
        <w:rPr>
          <w:color w:val="231F20"/>
          <w:spacing w:val="-3"/>
          <w:sz w:val="20"/>
        </w:rPr>
        <w:t>appropriate,</w:t>
      </w:r>
      <w:r>
        <w:rPr>
          <w:color w:val="231F20"/>
          <w:spacing w:val="-9"/>
          <w:sz w:val="20"/>
        </w:rPr>
        <w:t xml:space="preserve"> </w:t>
      </w:r>
      <w:r>
        <w:rPr>
          <w:color w:val="231F20"/>
          <w:sz w:val="20"/>
        </w:rPr>
        <w:t>they</w:t>
      </w:r>
      <w:r>
        <w:rPr>
          <w:color w:val="231F20"/>
          <w:spacing w:val="-9"/>
          <w:sz w:val="20"/>
        </w:rPr>
        <w:t xml:space="preserve"> </w:t>
      </w:r>
      <w:r>
        <w:rPr>
          <w:color w:val="231F20"/>
          <w:sz w:val="20"/>
        </w:rPr>
        <w:t>might</w:t>
      </w:r>
      <w:r>
        <w:rPr>
          <w:color w:val="231F20"/>
          <w:spacing w:val="-8"/>
          <w:sz w:val="20"/>
        </w:rPr>
        <w:t xml:space="preserve"> </w:t>
      </w:r>
      <w:r>
        <w:rPr>
          <w:color w:val="231F20"/>
          <w:sz w:val="20"/>
        </w:rPr>
        <w:t>offend</w:t>
      </w:r>
      <w:r>
        <w:rPr>
          <w:color w:val="231F20"/>
          <w:spacing w:val="-9"/>
          <w:sz w:val="20"/>
        </w:rPr>
        <w:t xml:space="preserve"> </w:t>
      </w:r>
      <w:r>
        <w:rPr>
          <w:color w:val="231F20"/>
          <w:sz w:val="20"/>
        </w:rPr>
        <w:t>again.</w:t>
      </w:r>
      <w:r>
        <w:rPr>
          <w:color w:val="231F20"/>
          <w:spacing w:val="-8"/>
          <w:sz w:val="20"/>
        </w:rPr>
        <w:t xml:space="preserve"> </w:t>
      </w:r>
      <w:proofErr w:type="gramStart"/>
      <w:r>
        <w:rPr>
          <w:color w:val="231F20"/>
          <w:sz w:val="20"/>
        </w:rPr>
        <w:t>So</w:t>
      </w:r>
      <w:proofErr w:type="gramEnd"/>
      <w:r>
        <w:rPr>
          <w:color w:val="231F20"/>
          <w:spacing w:val="-9"/>
          <w:sz w:val="20"/>
        </w:rPr>
        <w:t xml:space="preserve"> </w:t>
      </w:r>
      <w:r>
        <w:rPr>
          <w:color w:val="231F20"/>
          <w:spacing w:val="-3"/>
          <w:sz w:val="20"/>
        </w:rPr>
        <w:t>by</w:t>
      </w:r>
      <w:r>
        <w:rPr>
          <w:color w:val="231F20"/>
          <w:spacing w:val="-8"/>
          <w:sz w:val="20"/>
        </w:rPr>
        <w:t xml:space="preserve"> </w:t>
      </w:r>
      <w:r>
        <w:rPr>
          <w:color w:val="231F20"/>
          <w:sz w:val="20"/>
        </w:rPr>
        <w:t>supporting</w:t>
      </w:r>
      <w:r>
        <w:rPr>
          <w:color w:val="231F20"/>
          <w:spacing w:val="-9"/>
          <w:sz w:val="20"/>
        </w:rPr>
        <w:t xml:space="preserve"> </w:t>
      </w:r>
      <w:r>
        <w:rPr>
          <w:color w:val="231F20"/>
          <w:sz w:val="20"/>
        </w:rPr>
        <w:t>victims,</w:t>
      </w:r>
      <w:r>
        <w:rPr>
          <w:color w:val="231F20"/>
          <w:spacing w:val="-8"/>
          <w:sz w:val="20"/>
        </w:rPr>
        <w:t xml:space="preserve"> </w:t>
      </w:r>
      <w:r>
        <w:rPr>
          <w:color w:val="231F20"/>
          <w:spacing w:val="-3"/>
          <w:sz w:val="20"/>
        </w:rPr>
        <w:t>we</w:t>
      </w:r>
      <w:r>
        <w:rPr>
          <w:color w:val="231F20"/>
          <w:spacing w:val="-9"/>
          <w:sz w:val="20"/>
        </w:rPr>
        <w:t xml:space="preserve"> </w:t>
      </w:r>
      <w:r>
        <w:rPr>
          <w:color w:val="231F20"/>
          <w:spacing w:val="-3"/>
          <w:sz w:val="20"/>
        </w:rPr>
        <w:t>are</w:t>
      </w:r>
      <w:r>
        <w:rPr>
          <w:color w:val="231F20"/>
          <w:spacing w:val="-8"/>
          <w:sz w:val="20"/>
        </w:rPr>
        <w:t xml:space="preserve"> </w:t>
      </w:r>
      <w:r>
        <w:rPr>
          <w:color w:val="231F20"/>
          <w:spacing w:val="-3"/>
          <w:sz w:val="20"/>
        </w:rPr>
        <w:t>likely</w:t>
      </w:r>
      <w:r>
        <w:rPr>
          <w:color w:val="231F20"/>
          <w:spacing w:val="-9"/>
          <w:sz w:val="20"/>
        </w:rPr>
        <w:t xml:space="preserve"> </w:t>
      </w:r>
      <w:r>
        <w:rPr>
          <w:color w:val="231F20"/>
          <w:sz w:val="20"/>
        </w:rPr>
        <w:t>to</w:t>
      </w:r>
      <w:r>
        <w:rPr>
          <w:color w:val="231F20"/>
          <w:spacing w:val="-8"/>
          <w:sz w:val="20"/>
        </w:rPr>
        <w:t xml:space="preserve"> </w:t>
      </w:r>
      <w:r>
        <w:rPr>
          <w:color w:val="231F20"/>
          <w:sz w:val="20"/>
        </w:rPr>
        <w:t>get</w:t>
      </w:r>
    </w:p>
    <w:p w14:paraId="14EFA5B3" w14:textId="77777777" w:rsidR="00894070" w:rsidRDefault="009B7AFD">
      <w:pPr>
        <w:pStyle w:val="BodyText"/>
        <w:spacing w:before="3" w:line="206" w:lineRule="auto"/>
        <w:ind w:left="1801" w:right="1459"/>
      </w:pPr>
      <w:r>
        <w:rPr>
          <w:color w:val="231F20"/>
        </w:rPr>
        <w:t xml:space="preserve">better justice outcomes. </w:t>
      </w:r>
      <w:r>
        <w:rPr>
          <w:color w:val="231F20"/>
          <w:spacing w:val="-3"/>
        </w:rPr>
        <w:t xml:space="preserve">Resources </w:t>
      </w:r>
      <w:r>
        <w:rPr>
          <w:color w:val="231F20"/>
        </w:rPr>
        <w:t xml:space="preserve">dedicated to </w:t>
      </w:r>
      <w:r>
        <w:rPr>
          <w:color w:val="231F20"/>
          <w:spacing w:val="-3"/>
        </w:rPr>
        <w:t xml:space="preserve">improving </w:t>
      </w:r>
      <w:r>
        <w:rPr>
          <w:color w:val="231F20"/>
        </w:rPr>
        <w:t xml:space="preserve">victim support </w:t>
      </w:r>
      <w:r>
        <w:rPr>
          <w:color w:val="231F20"/>
          <w:spacing w:val="-3"/>
        </w:rPr>
        <w:t xml:space="preserve">are </w:t>
      </w:r>
      <w:r>
        <w:rPr>
          <w:color w:val="231F20"/>
          <w:spacing w:val="-4"/>
        </w:rPr>
        <w:t xml:space="preserve">cost- </w:t>
      </w:r>
      <w:r>
        <w:rPr>
          <w:color w:val="231F20"/>
          <w:spacing w:val="-3"/>
        </w:rPr>
        <w:t xml:space="preserve">effective, </w:t>
      </w:r>
      <w:r>
        <w:rPr>
          <w:color w:val="231F20"/>
        </w:rPr>
        <w:t xml:space="preserve">when assessed holistically </w:t>
      </w:r>
      <w:r>
        <w:rPr>
          <w:color w:val="231F20"/>
          <w:spacing w:val="-3"/>
        </w:rPr>
        <w:t xml:space="preserve">across </w:t>
      </w:r>
      <w:r>
        <w:rPr>
          <w:color w:val="231F20"/>
        </w:rPr>
        <w:t>the criminal justice system.</w:t>
      </w:r>
    </w:p>
    <w:p w14:paraId="48B47268" w14:textId="77777777" w:rsidR="00894070" w:rsidRDefault="009B7AFD">
      <w:pPr>
        <w:pStyle w:val="ListParagraph"/>
        <w:numPr>
          <w:ilvl w:val="1"/>
          <w:numId w:val="126"/>
        </w:numPr>
        <w:tabs>
          <w:tab w:val="left" w:pos="1802"/>
        </w:tabs>
        <w:spacing w:before="123" w:line="206" w:lineRule="auto"/>
        <w:ind w:right="1471"/>
        <w:jc w:val="both"/>
        <w:rPr>
          <w:sz w:val="11"/>
        </w:rPr>
      </w:pPr>
      <w:r>
        <w:rPr>
          <w:color w:val="231F20"/>
          <w:sz w:val="20"/>
        </w:rPr>
        <w:t>Research</w:t>
      </w:r>
      <w:r>
        <w:rPr>
          <w:color w:val="231F20"/>
          <w:spacing w:val="-11"/>
          <w:sz w:val="20"/>
        </w:rPr>
        <w:t xml:space="preserve"> </w:t>
      </w:r>
      <w:r>
        <w:rPr>
          <w:color w:val="231F20"/>
          <w:sz w:val="20"/>
        </w:rPr>
        <w:t>has</w:t>
      </w:r>
      <w:r>
        <w:rPr>
          <w:color w:val="231F20"/>
          <w:spacing w:val="-11"/>
          <w:sz w:val="20"/>
        </w:rPr>
        <w:t xml:space="preserve"> </w:t>
      </w:r>
      <w:r>
        <w:rPr>
          <w:color w:val="231F20"/>
          <w:sz w:val="20"/>
        </w:rPr>
        <w:t>similarly</w:t>
      </w:r>
      <w:r>
        <w:rPr>
          <w:color w:val="231F20"/>
          <w:spacing w:val="-11"/>
          <w:sz w:val="20"/>
        </w:rPr>
        <w:t xml:space="preserve"> </w:t>
      </w:r>
      <w:r>
        <w:rPr>
          <w:color w:val="231F20"/>
          <w:sz w:val="20"/>
        </w:rPr>
        <w:t>indicated</w:t>
      </w:r>
      <w:r>
        <w:rPr>
          <w:color w:val="231F20"/>
          <w:spacing w:val="-11"/>
          <w:sz w:val="20"/>
        </w:rPr>
        <w:t xml:space="preserve"> </w:t>
      </w:r>
      <w:r>
        <w:rPr>
          <w:color w:val="231F20"/>
          <w:sz w:val="20"/>
        </w:rPr>
        <w:t>that</w:t>
      </w:r>
      <w:r>
        <w:rPr>
          <w:color w:val="231F20"/>
          <w:spacing w:val="-10"/>
          <w:sz w:val="20"/>
        </w:rPr>
        <w:t xml:space="preserve"> </w:t>
      </w:r>
      <w:r>
        <w:rPr>
          <w:color w:val="231F20"/>
          <w:sz w:val="20"/>
        </w:rPr>
        <w:t>victim</w:t>
      </w:r>
      <w:r>
        <w:rPr>
          <w:color w:val="231F20"/>
          <w:spacing w:val="-11"/>
          <w:sz w:val="20"/>
        </w:rPr>
        <w:t xml:space="preserve"> </w:t>
      </w:r>
      <w:r>
        <w:rPr>
          <w:color w:val="231F20"/>
          <w:spacing w:val="-3"/>
          <w:sz w:val="20"/>
        </w:rPr>
        <w:t>advocates</w:t>
      </w:r>
      <w:r>
        <w:rPr>
          <w:color w:val="231F20"/>
          <w:spacing w:val="-11"/>
          <w:sz w:val="20"/>
        </w:rPr>
        <w:t xml:space="preserve"> </w:t>
      </w:r>
      <w:r>
        <w:rPr>
          <w:color w:val="231F20"/>
          <w:sz w:val="20"/>
        </w:rPr>
        <w:t>can</w:t>
      </w:r>
      <w:r>
        <w:rPr>
          <w:color w:val="231F20"/>
          <w:spacing w:val="-11"/>
          <w:sz w:val="20"/>
        </w:rPr>
        <w:t xml:space="preserve"> </w:t>
      </w:r>
      <w:r>
        <w:rPr>
          <w:color w:val="231F20"/>
          <w:sz w:val="20"/>
        </w:rPr>
        <w:t>help</w:t>
      </w:r>
      <w:r>
        <w:rPr>
          <w:color w:val="231F20"/>
          <w:spacing w:val="-10"/>
          <w:sz w:val="20"/>
        </w:rPr>
        <w:t xml:space="preserve"> </w:t>
      </w:r>
      <w:r>
        <w:rPr>
          <w:color w:val="231F20"/>
          <w:sz w:val="20"/>
        </w:rPr>
        <w:t>address</w:t>
      </w:r>
      <w:r>
        <w:rPr>
          <w:color w:val="231F20"/>
          <w:spacing w:val="-11"/>
          <w:sz w:val="20"/>
        </w:rPr>
        <w:t xml:space="preserve"> </w:t>
      </w:r>
      <w:r>
        <w:rPr>
          <w:color w:val="231F20"/>
          <w:sz w:val="20"/>
        </w:rPr>
        <w:t>the</w:t>
      </w:r>
      <w:r>
        <w:rPr>
          <w:color w:val="231F20"/>
          <w:spacing w:val="-11"/>
          <w:sz w:val="20"/>
        </w:rPr>
        <w:t xml:space="preserve"> </w:t>
      </w:r>
      <w:r>
        <w:rPr>
          <w:color w:val="231F20"/>
          <w:sz w:val="20"/>
        </w:rPr>
        <w:t>support needs</w:t>
      </w:r>
      <w:r>
        <w:rPr>
          <w:color w:val="231F20"/>
          <w:spacing w:val="-9"/>
          <w:sz w:val="20"/>
        </w:rPr>
        <w:t xml:space="preserve"> </w:t>
      </w:r>
      <w:r>
        <w:rPr>
          <w:color w:val="231F20"/>
          <w:sz w:val="20"/>
        </w:rPr>
        <w:t>that</w:t>
      </w:r>
      <w:r>
        <w:rPr>
          <w:color w:val="231F20"/>
          <w:spacing w:val="-9"/>
          <w:sz w:val="20"/>
        </w:rPr>
        <w:t xml:space="preserve"> </w:t>
      </w:r>
      <w:r>
        <w:rPr>
          <w:color w:val="231F20"/>
          <w:sz w:val="20"/>
        </w:rPr>
        <w:t>people</w:t>
      </w:r>
      <w:r>
        <w:rPr>
          <w:color w:val="231F20"/>
          <w:spacing w:val="-9"/>
          <w:sz w:val="20"/>
        </w:rPr>
        <w:t xml:space="preserve"> </w:t>
      </w:r>
      <w:r>
        <w:rPr>
          <w:color w:val="231F20"/>
          <w:spacing w:val="-4"/>
          <w:sz w:val="20"/>
        </w:rPr>
        <w:t>have</w:t>
      </w:r>
      <w:r>
        <w:rPr>
          <w:color w:val="231F20"/>
          <w:spacing w:val="-9"/>
          <w:sz w:val="20"/>
        </w:rPr>
        <w:t xml:space="preserve"> </w:t>
      </w:r>
      <w:r>
        <w:rPr>
          <w:color w:val="231F20"/>
          <w:spacing w:val="-3"/>
          <w:sz w:val="20"/>
        </w:rPr>
        <w:t>beyond</w:t>
      </w:r>
      <w:r>
        <w:rPr>
          <w:color w:val="231F20"/>
          <w:spacing w:val="-9"/>
          <w:sz w:val="20"/>
        </w:rPr>
        <w:t xml:space="preserve"> </w:t>
      </w:r>
      <w:r>
        <w:rPr>
          <w:color w:val="231F20"/>
          <w:sz w:val="20"/>
        </w:rPr>
        <w:t>the</w:t>
      </w:r>
      <w:r>
        <w:rPr>
          <w:color w:val="231F20"/>
          <w:spacing w:val="-9"/>
          <w:sz w:val="20"/>
        </w:rPr>
        <w:t xml:space="preserve"> </w:t>
      </w:r>
      <w:r>
        <w:rPr>
          <w:color w:val="231F20"/>
          <w:sz w:val="20"/>
        </w:rPr>
        <w:t>criminal</w:t>
      </w:r>
      <w:r>
        <w:rPr>
          <w:color w:val="231F20"/>
          <w:spacing w:val="-9"/>
          <w:sz w:val="20"/>
        </w:rPr>
        <w:t xml:space="preserve"> </w:t>
      </w:r>
      <w:r>
        <w:rPr>
          <w:color w:val="231F20"/>
          <w:sz w:val="20"/>
        </w:rPr>
        <w:t>justice</w:t>
      </w:r>
      <w:r>
        <w:rPr>
          <w:color w:val="231F20"/>
          <w:spacing w:val="-9"/>
          <w:sz w:val="20"/>
        </w:rPr>
        <w:t xml:space="preserve"> </w:t>
      </w:r>
      <w:r>
        <w:rPr>
          <w:color w:val="231F20"/>
          <w:sz w:val="20"/>
        </w:rPr>
        <w:t>system,</w:t>
      </w:r>
      <w:r>
        <w:rPr>
          <w:color w:val="231F20"/>
          <w:spacing w:val="-9"/>
          <w:sz w:val="20"/>
        </w:rPr>
        <w:t xml:space="preserve"> </w:t>
      </w:r>
      <w:r>
        <w:rPr>
          <w:color w:val="231F20"/>
          <w:sz w:val="20"/>
        </w:rPr>
        <w:t>which</w:t>
      </w:r>
      <w:r>
        <w:rPr>
          <w:color w:val="231F20"/>
          <w:spacing w:val="-9"/>
          <w:sz w:val="20"/>
        </w:rPr>
        <w:t xml:space="preserve"> </w:t>
      </w:r>
      <w:r>
        <w:rPr>
          <w:color w:val="231F20"/>
          <w:sz w:val="20"/>
        </w:rPr>
        <w:t>can</w:t>
      </w:r>
      <w:r>
        <w:rPr>
          <w:color w:val="231F20"/>
          <w:spacing w:val="-9"/>
          <w:sz w:val="20"/>
        </w:rPr>
        <w:t xml:space="preserve"> </w:t>
      </w:r>
      <w:r>
        <w:rPr>
          <w:color w:val="231F20"/>
          <w:sz w:val="20"/>
        </w:rPr>
        <w:t>minimise</w:t>
      </w:r>
      <w:r>
        <w:rPr>
          <w:color w:val="231F20"/>
          <w:spacing w:val="-9"/>
          <w:sz w:val="20"/>
        </w:rPr>
        <w:t xml:space="preserve"> </w:t>
      </w:r>
      <w:r>
        <w:rPr>
          <w:color w:val="231F20"/>
          <w:sz w:val="20"/>
        </w:rPr>
        <w:t xml:space="preserve">the </w:t>
      </w:r>
      <w:r>
        <w:rPr>
          <w:color w:val="231F20"/>
          <w:spacing w:val="-3"/>
          <w:sz w:val="20"/>
        </w:rPr>
        <w:t xml:space="preserve">negative </w:t>
      </w:r>
      <w:r>
        <w:rPr>
          <w:color w:val="231F20"/>
          <w:sz w:val="20"/>
        </w:rPr>
        <w:t>impacts of</w:t>
      </w:r>
      <w:r>
        <w:rPr>
          <w:color w:val="231F20"/>
          <w:spacing w:val="-9"/>
          <w:sz w:val="20"/>
        </w:rPr>
        <w:t xml:space="preserve"> </w:t>
      </w:r>
      <w:r>
        <w:rPr>
          <w:color w:val="231F20"/>
          <w:sz w:val="20"/>
        </w:rPr>
        <w:t>stalking.</w:t>
      </w:r>
      <w:r>
        <w:rPr>
          <w:color w:val="231F20"/>
          <w:position w:val="7"/>
          <w:sz w:val="11"/>
        </w:rPr>
        <w:t>118</w:t>
      </w:r>
    </w:p>
    <w:p w14:paraId="4D95EA54" w14:textId="77777777" w:rsidR="00894070" w:rsidRDefault="009B7AFD">
      <w:pPr>
        <w:pStyle w:val="ListParagraph"/>
        <w:numPr>
          <w:ilvl w:val="1"/>
          <w:numId w:val="126"/>
        </w:numPr>
        <w:tabs>
          <w:tab w:val="left" w:pos="1801"/>
          <w:tab w:val="left" w:pos="1802"/>
        </w:tabs>
        <w:spacing w:before="124" w:line="206" w:lineRule="auto"/>
        <w:ind w:right="1202"/>
        <w:rPr>
          <w:sz w:val="11"/>
        </w:rPr>
      </w:pPr>
      <w:r>
        <w:rPr>
          <w:color w:val="231F20"/>
          <w:sz w:val="20"/>
        </w:rPr>
        <w:t xml:space="preserve">One study found that victims </w:t>
      </w:r>
      <w:r>
        <w:rPr>
          <w:color w:val="231F20"/>
          <w:spacing w:val="-3"/>
          <w:sz w:val="20"/>
        </w:rPr>
        <w:t xml:space="preserve">perceive </w:t>
      </w:r>
      <w:r>
        <w:rPr>
          <w:color w:val="231F20"/>
          <w:sz w:val="20"/>
        </w:rPr>
        <w:t xml:space="preserve">the crisis </w:t>
      </w:r>
      <w:r>
        <w:rPr>
          <w:color w:val="231F20"/>
          <w:spacing w:val="-2"/>
          <w:sz w:val="20"/>
        </w:rPr>
        <w:t xml:space="preserve">intervention </w:t>
      </w:r>
      <w:r>
        <w:rPr>
          <w:color w:val="231F20"/>
          <w:spacing w:val="-3"/>
          <w:sz w:val="20"/>
        </w:rPr>
        <w:t xml:space="preserve">provided by </w:t>
      </w:r>
      <w:r>
        <w:rPr>
          <w:color w:val="231F20"/>
          <w:sz w:val="20"/>
        </w:rPr>
        <w:t xml:space="preserve">victim </w:t>
      </w:r>
      <w:r>
        <w:rPr>
          <w:color w:val="231F20"/>
          <w:spacing w:val="-3"/>
          <w:sz w:val="20"/>
        </w:rPr>
        <w:t>advocates</w:t>
      </w:r>
      <w:r>
        <w:rPr>
          <w:color w:val="231F20"/>
          <w:spacing w:val="-10"/>
          <w:sz w:val="20"/>
        </w:rPr>
        <w:t xml:space="preserve"> </w:t>
      </w:r>
      <w:r>
        <w:rPr>
          <w:color w:val="231F20"/>
          <w:sz w:val="20"/>
        </w:rPr>
        <w:t>as</w:t>
      </w:r>
      <w:r>
        <w:rPr>
          <w:color w:val="231F20"/>
          <w:spacing w:val="-10"/>
          <w:sz w:val="20"/>
        </w:rPr>
        <w:t xml:space="preserve"> </w:t>
      </w:r>
      <w:r>
        <w:rPr>
          <w:color w:val="231F20"/>
          <w:sz w:val="20"/>
        </w:rPr>
        <w:t>‘validating</w:t>
      </w:r>
      <w:r>
        <w:rPr>
          <w:color w:val="231F20"/>
          <w:spacing w:val="-9"/>
          <w:sz w:val="20"/>
        </w:rPr>
        <w:t xml:space="preserve"> </w:t>
      </w:r>
      <w:r>
        <w:rPr>
          <w:color w:val="231F20"/>
          <w:sz w:val="20"/>
        </w:rPr>
        <w:t>and</w:t>
      </w:r>
      <w:r>
        <w:rPr>
          <w:color w:val="231F20"/>
          <w:spacing w:val="-10"/>
          <w:sz w:val="20"/>
        </w:rPr>
        <w:t xml:space="preserve"> </w:t>
      </w:r>
      <w:r>
        <w:rPr>
          <w:color w:val="231F20"/>
          <w:spacing w:val="-3"/>
          <w:sz w:val="20"/>
        </w:rPr>
        <w:t>empowering’.</w:t>
      </w:r>
      <w:r>
        <w:rPr>
          <w:color w:val="231F20"/>
          <w:spacing w:val="-3"/>
          <w:position w:val="7"/>
          <w:sz w:val="11"/>
        </w:rPr>
        <w:t>119</w:t>
      </w:r>
      <w:r>
        <w:rPr>
          <w:color w:val="231F20"/>
          <w:spacing w:val="15"/>
          <w:position w:val="7"/>
          <w:sz w:val="11"/>
        </w:rPr>
        <w:t xml:space="preserve"> </w:t>
      </w:r>
      <w:r>
        <w:rPr>
          <w:color w:val="231F20"/>
          <w:sz w:val="20"/>
        </w:rPr>
        <w:t>Other</w:t>
      </w:r>
      <w:r>
        <w:rPr>
          <w:color w:val="231F20"/>
          <w:spacing w:val="-10"/>
          <w:sz w:val="20"/>
        </w:rPr>
        <w:t xml:space="preserve"> </w:t>
      </w:r>
      <w:r>
        <w:rPr>
          <w:color w:val="231F20"/>
          <w:sz w:val="20"/>
        </w:rPr>
        <w:t>benefits</w:t>
      </w:r>
      <w:r>
        <w:rPr>
          <w:color w:val="231F20"/>
          <w:spacing w:val="-9"/>
          <w:sz w:val="20"/>
        </w:rPr>
        <w:t xml:space="preserve"> </w:t>
      </w:r>
      <w:r>
        <w:rPr>
          <w:color w:val="231F20"/>
          <w:sz w:val="20"/>
        </w:rPr>
        <w:t>include</w:t>
      </w:r>
      <w:r>
        <w:rPr>
          <w:color w:val="231F20"/>
          <w:spacing w:val="-10"/>
          <w:sz w:val="20"/>
        </w:rPr>
        <w:t xml:space="preserve"> </w:t>
      </w:r>
      <w:r>
        <w:rPr>
          <w:color w:val="231F20"/>
          <w:sz w:val="20"/>
        </w:rPr>
        <w:t>reduced</w:t>
      </w:r>
      <w:r>
        <w:rPr>
          <w:color w:val="231F20"/>
          <w:spacing w:val="-9"/>
          <w:sz w:val="20"/>
        </w:rPr>
        <w:t xml:space="preserve"> </w:t>
      </w:r>
      <w:r>
        <w:rPr>
          <w:color w:val="231F20"/>
          <w:sz w:val="20"/>
        </w:rPr>
        <w:t>feelings</w:t>
      </w:r>
      <w:r>
        <w:rPr>
          <w:color w:val="231F20"/>
          <w:spacing w:val="-10"/>
          <w:sz w:val="20"/>
        </w:rPr>
        <w:t xml:space="preserve"> </w:t>
      </w:r>
      <w:r>
        <w:rPr>
          <w:color w:val="231F20"/>
          <w:sz w:val="20"/>
        </w:rPr>
        <w:t>of isolation and reframed perceptions of</w:t>
      </w:r>
      <w:r>
        <w:rPr>
          <w:color w:val="231F20"/>
          <w:spacing w:val="-23"/>
          <w:sz w:val="20"/>
        </w:rPr>
        <w:t xml:space="preserve"> </w:t>
      </w:r>
      <w:r>
        <w:rPr>
          <w:color w:val="231F20"/>
          <w:spacing w:val="-3"/>
          <w:sz w:val="20"/>
        </w:rPr>
        <w:t>fear.</w:t>
      </w:r>
      <w:r>
        <w:rPr>
          <w:color w:val="231F20"/>
          <w:spacing w:val="-3"/>
          <w:position w:val="7"/>
          <w:sz w:val="11"/>
        </w:rPr>
        <w:t>120</w:t>
      </w:r>
    </w:p>
    <w:p w14:paraId="0B4B7D99" w14:textId="77777777" w:rsidR="00894070" w:rsidRDefault="009B7AFD">
      <w:pPr>
        <w:pStyle w:val="ListParagraph"/>
        <w:numPr>
          <w:ilvl w:val="1"/>
          <w:numId w:val="126"/>
        </w:numPr>
        <w:tabs>
          <w:tab w:val="left" w:pos="1802"/>
        </w:tabs>
        <w:spacing w:before="123" w:line="206" w:lineRule="auto"/>
        <w:ind w:right="1336"/>
        <w:jc w:val="both"/>
        <w:rPr>
          <w:sz w:val="11"/>
        </w:rPr>
      </w:pPr>
      <w:r>
        <w:rPr>
          <w:color w:val="231F20"/>
          <w:sz w:val="20"/>
        </w:rPr>
        <w:t>The</w:t>
      </w:r>
      <w:r>
        <w:rPr>
          <w:color w:val="231F20"/>
          <w:spacing w:val="-7"/>
          <w:sz w:val="20"/>
        </w:rPr>
        <w:t xml:space="preserve"> </w:t>
      </w:r>
      <w:r>
        <w:rPr>
          <w:color w:val="231F20"/>
          <w:spacing w:val="-3"/>
          <w:sz w:val="20"/>
        </w:rPr>
        <w:t>evaluation</w:t>
      </w:r>
      <w:r>
        <w:rPr>
          <w:color w:val="231F20"/>
          <w:spacing w:val="-6"/>
          <w:sz w:val="20"/>
        </w:rPr>
        <w:t xml:space="preserve"> </w:t>
      </w:r>
      <w:r>
        <w:rPr>
          <w:color w:val="231F20"/>
          <w:sz w:val="20"/>
        </w:rPr>
        <w:t>of</w:t>
      </w:r>
      <w:r>
        <w:rPr>
          <w:color w:val="231F20"/>
          <w:spacing w:val="-6"/>
          <w:sz w:val="20"/>
        </w:rPr>
        <w:t xml:space="preserve"> </w:t>
      </w:r>
      <w:r>
        <w:rPr>
          <w:color w:val="231F20"/>
          <w:sz w:val="20"/>
        </w:rPr>
        <w:t>victim</w:t>
      </w:r>
      <w:r>
        <w:rPr>
          <w:color w:val="231F20"/>
          <w:spacing w:val="-7"/>
          <w:sz w:val="20"/>
        </w:rPr>
        <w:t xml:space="preserve"> </w:t>
      </w:r>
      <w:r>
        <w:rPr>
          <w:color w:val="231F20"/>
          <w:spacing w:val="-3"/>
          <w:sz w:val="20"/>
        </w:rPr>
        <w:t>advocates</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stalking</w:t>
      </w:r>
      <w:r>
        <w:rPr>
          <w:color w:val="231F20"/>
          <w:spacing w:val="-6"/>
          <w:sz w:val="20"/>
        </w:rPr>
        <w:t xml:space="preserve"> </w:t>
      </w:r>
      <w:r>
        <w:rPr>
          <w:color w:val="231F20"/>
          <w:sz w:val="20"/>
        </w:rPr>
        <w:t>in</w:t>
      </w:r>
      <w:r>
        <w:rPr>
          <w:color w:val="231F20"/>
          <w:spacing w:val="-7"/>
          <w:sz w:val="20"/>
        </w:rPr>
        <w:t xml:space="preserve"> </w:t>
      </w:r>
      <w:r>
        <w:rPr>
          <w:color w:val="231F20"/>
          <w:sz w:val="20"/>
        </w:rPr>
        <w:t>England</w:t>
      </w:r>
      <w:r>
        <w:rPr>
          <w:color w:val="231F20"/>
          <w:spacing w:val="-6"/>
          <w:sz w:val="20"/>
        </w:rPr>
        <w:t xml:space="preserve"> </w:t>
      </w:r>
      <w:r>
        <w:rPr>
          <w:color w:val="231F20"/>
          <w:sz w:val="20"/>
        </w:rPr>
        <w:t>and</w:t>
      </w:r>
      <w:r>
        <w:rPr>
          <w:color w:val="231F20"/>
          <w:spacing w:val="-6"/>
          <w:sz w:val="20"/>
        </w:rPr>
        <w:t xml:space="preserve"> </w:t>
      </w:r>
      <w:r>
        <w:rPr>
          <w:color w:val="231F20"/>
          <w:spacing w:val="-4"/>
          <w:sz w:val="20"/>
        </w:rPr>
        <w:t>Wales</w:t>
      </w:r>
      <w:r>
        <w:rPr>
          <w:color w:val="231F20"/>
          <w:spacing w:val="-7"/>
          <w:sz w:val="20"/>
        </w:rPr>
        <w:t xml:space="preserve"> </w:t>
      </w:r>
      <w:r>
        <w:rPr>
          <w:color w:val="231F20"/>
          <w:sz w:val="20"/>
        </w:rPr>
        <w:t>(discussed</w:t>
      </w:r>
      <w:r>
        <w:rPr>
          <w:color w:val="231F20"/>
          <w:spacing w:val="-6"/>
          <w:sz w:val="20"/>
        </w:rPr>
        <w:t xml:space="preserve"> </w:t>
      </w:r>
      <w:r>
        <w:rPr>
          <w:color w:val="231F20"/>
          <w:spacing w:val="-3"/>
          <w:sz w:val="20"/>
        </w:rPr>
        <w:t xml:space="preserve">later) </w:t>
      </w:r>
      <w:r>
        <w:rPr>
          <w:color w:val="231F20"/>
          <w:sz w:val="20"/>
        </w:rPr>
        <w:t>indicated</w:t>
      </w:r>
      <w:r>
        <w:rPr>
          <w:color w:val="231F20"/>
          <w:spacing w:val="-14"/>
          <w:sz w:val="20"/>
        </w:rPr>
        <w:t xml:space="preserve"> </w:t>
      </w:r>
      <w:r>
        <w:rPr>
          <w:color w:val="231F20"/>
          <w:sz w:val="20"/>
        </w:rPr>
        <w:t>that</w:t>
      </w:r>
      <w:r>
        <w:rPr>
          <w:color w:val="231F20"/>
          <w:spacing w:val="-13"/>
          <w:sz w:val="20"/>
        </w:rPr>
        <w:t xml:space="preserve"> </w:t>
      </w:r>
      <w:r>
        <w:rPr>
          <w:color w:val="231F20"/>
          <w:sz w:val="20"/>
        </w:rPr>
        <w:t>‘intervening</w:t>
      </w:r>
      <w:r>
        <w:rPr>
          <w:color w:val="231F20"/>
          <w:spacing w:val="-14"/>
          <w:sz w:val="20"/>
        </w:rPr>
        <w:t xml:space="preserve"> </w:t>
      </w:r>
      <w:r>
        <w:rPr>
          <w:color w:val="231F20"/>
          <w:sz w:val="20"/>
        </w:rPr>
        <w:t>in</w:t>
      </w:r>
      <w:r>
        <w:rPr>
          <w:color w:val="231F20"/>
          <w:spacing w:val="-14"/>
          <w:sz w:val="20"/>
        </w:rPr>
        <w:t xml:space="preserve"> </w:t>
      </w:r>
      <w:r>
        <w:rPr>
          <w:color w:val="231F20"/>
          <w:sz w:val="20"/>
        </w:rPr>
        <w:t>high-risk</w:t>
      </w:r>
      <w:r>
        <w:rPr>
          <w:color w:val="231F20"/>
          <w:spacing w:val="-13"/>
          <w:sz w:val="20"/>
        </w:rPr>
        <w:t xml:space="preserve"> </w:t>
      </w:r>
      <w:r>
        <w:rPr>
          <w:color w:val="231F20"/>
          <w:sz w:val="20"/>
        </w:rPr>
        <w:t>stalking</w:t>
      </w:r>
      <w:r>
        <w:rPr>
          <w:color w:val="231F20"/>
          <w:spacing w:val="-14"/>
          <w:sz w:val="20"/>
        </w:rPr>
        <w:t xml:space="preserve"> </w:t>
      </w:r>
      <w:r>
        <w:rPr>
          <w:color w:val="231F20"/>
          <w:sz w:val="20"/>
        </w:rPr>
        <w:t>cases</w:t>
      </w:r>
      <w:r>
        <w:rPr>
          <w:color w:val="231F20"/>
          <w:spacing w:val="-13"/>
          <w:sz w:val="20"/>
        </w:rPr>
        <w:t xml:space="preserve"> </w:t>
      </w:r>
      <w:r>
        <w:rPr>
          <w:color w:val="231F20"/>
          <w:sz w:val="20"/>
        </w:rPr>
        <w:t>was</w:t>
      </w:r>
      <w:r>
        <w:rPr>
          <w:color w:val="231F20"/>
          <w:spacing w:val="-14"/>
          <w:sz w:val="20"/>
        </w:rPr>
        <w:t xml:space="preserve"> </w:t>
      </w:r>
      <w:r>
        <w:rPr>
          <w:color w:val="231F20"/>
          <w:sz w:val="20"/>
        </w:rPr>
        <w:t>cost-beneficial</w:t>
      </w:r>
      <w:r>
        <w:rPr>
          <w:color w:val="231F20"/>
          <w:spacing w:val="-13"/>
          <w:sz w:val="20"/>
        </w:rPr>
        <w:t xml:space="preserve"> </w:t>
      </w:r>
      <w:r>
        <w:rPr>
          <w:color w:val="231F20"/>
          <w:sz w:val="20"/>
        </w:rPr>
        <w:t>to</w:t>
      </w:r>
      <w:r>
        <w:rPr>
          <w:color w:val="231F20"/>
          <w:spacing w:val="-14"/>
          <w:sz w:val="20"/>
        </w:rPr>
        <w:t xml:space="preserve"> </w:t>
      </w:r>
      <w:r>
        <w:rPr>
          <w:color w:val="231F20"/>
          <w:sz w:val="20"/>
        </w:rPr>
        <w:t>the</w:t>
      </w:r>
      <w:r>
        <w:rPr>
          <w:color w:val="231F20"/>
          <w:spacing w:val="-13"/>
          <w:sz w:val="20"/>
        </w:rPr>
        <w:t xml:space="preserve"> </w:t>
      </w:r>
      <w:r>
        <w:rPr>
          <w:color w:val="231F20"/>
          <w:sz w:val="20"/>
        </w:rPr>
        <w:t>state</w:t>
      </w:r>
      <w:r>
        <w:rPr>
          <w:color w:val="231F20"/>
          <w:spacing w:val="-14"/>
          <w:sz w:val="20"/>
        </w:rPr>
        <w:t xml:space="preserve"> </w:t>
      </w:r>
      <w:r>
        <w:rPr>
          <w:color w:val="231F20"/>
          <w:sz w:val="20"/>
        </w:rPr>
        <w:t>… and was often cost-beneficial to the victims</w:t>
      </w:r>
      <w:r>
        <w:rPr>
          <w:color w:val="231F20"/>
          <w:spacing w:val="-33"/>
          <w:sz w:val="20"/>
        </w:rPr>
        <w:t xml:space="preserve"> </w:t>
      </w:r>
      <w:r>
        <w:rPr>
          <w:color w:val="231F20"/>
          <w:spacing w:val="-3"/>
          <w:sz w:val="20"/>
        </w:rPr>
        <w:t>too’.</w:t>
      </w:r>
      <w:r>
        <w:rPr>
          <w:color w:val="231F20"/>
          <w:spacing w:val="-3"/>
          <w:position w:val="7"/>
          <w:sz w:val="11"/>
        </w:rPr>
        <w:t>121</w:t>
      </w:r>
    </w:p>
    <w:p w14:paraId="6A1E0B54" w14:textId="77777777" w:rsidR="00894070" w:rsidRDefault="00894070">
      <w:pPr>
        <w:pStyle w:val="BodyText"/>
      </w:pPr>
    </w:p>
    <w:p w14:paraId="1DA590ED" w14:textId="77777777" w:rsidR="00894070" w:rsidRDefault="00894070">
      <w:pPr>
        <w:pStyle w:val="BodyText"/>
      </w:pPr>
    </w:p>
    <w:p w14:paraId="73B58DCA" w14:textId="77777777" w:rsidR="00894070" w:rsidRDefault="00894070">
      <w:pPr>
        <w:pStyle w:val="BodyText"/>
      </w:pPr>
    </w:p>
    <w:p w14:paraId="170D7958" w14:textId="77777777" w:rsidR="00894070" w:rsidRDefault="00894070">
      <w:pPr>
        <w:pStyle w:val="BodyText"/>
      </w:pPr>
    </w:p>
    <w:p w14:paraId="7AF4DB4A" w14:textId="77777777" w:rsidR="00894070" w:rsidRDefault="00894070">
      <w:pPr>
        <w:pStyle w:val="BodyText"/>
      </w:pPr>
    </w:p>
    <w:p w14:paraId="1E8D9A2D" w14:textId="77777777" w:rsidR="00894070" w:rsidRDefault="00894070">
      <w:pPr>
        <w:pStyle w:val="BodyText"/>
      </w:pPr>
    </w:p>
    <w:p w14:paraId="3960603A" w14:textId="77777777" w:rsidR="00894070" w:rsidRDefault="009F6793">
      <w:pPr>
        <w:pStyle w:val="BodyText"/>
        <w:spacing w:before="1"/>
        <w:rPr>
          <w:sz w:val="22"/>
        </w:rPr>
      </w:pPr>
      <w:r>
        <w:pict w14:anchorId="2044BA57">
          <v:line id="_x0000_s1397" style="position:absolute;z-index:251615232;mso-wrap-distance-left:0;mso-wrap-distance-right:0;mso-position-horizontal-relative:page" from="79.35pt,17.8pt" to="515.9pt,17.8pt" strokecolor="#f8cabc" strokeweight="1pt">
            <w10:wrap type="topAndBottom" anchorx="page"/>
          </v:line>
        </w:pict>
      </w:r>
    </w:p>
    <w:p w14:paraId="41586D88" w14:textId="77777777" w:rsidR="00894070" w:rsidRDefault="009B7AFD">
      <w:pPr>
        <w:pStyle w:val="ListParagraph"/>
        <w:numPr>
          <w:ilvl w:val="0"/>
          <w:numId w:val="111"/>
        </w:numPr>
        <w:tabs>
          <w:tab w:val="left" w:pos="1800"/>
          <w:tab w:val="left" w:pos="1802"/>
        </w:tabs>
        <w:spacing w:before="107" w:line="213" w:lineRule="auto"/>
        <w:ind w:right="1506"/>
        <w:rPr>
          <w:sz w:val="13"/>
        </w:rPr>
      </w:pPr>
      <w:r>
        <w:rPr>
          <w:color w:val="231F20"/>
          <w:sz w:val="13"/>
        </w:rPr>
        <w:t xml:space="preserve">For example, the impacts can include gastrointestinal issues, dental issues (from excessive jaw clenching), pelvic issues, </w:t>
      </w:r>
      <w:r>
        <w:rPr>
          <w:color w:val="231F20"/>
          <w:spacing w:val="2"/>
          <w:sz w:val="13"/>
        </w:rPr>
        <w:t xml:space="preserve">hypervigilance, </w:t>
      </w:r>
      <w:r>
        <w:rPr>
          <w:color w:val="231F20"/>
          <w:sz w:val="13"/>
        </w:rPr>
        <w:t xml:space="preserve">chronic sleep disturbance, </w:t>
      </w:r>
      <w:r>
        <w:rPr>
          <w:color w:val="231F20"/>
          <w:spacing w:val="2"/>
          <w:sz w:val="13"/>
        </w:rPr>
        <w:t xml:space="preserve">headaches, </w:t>
      </w:r>
      <w:r>
        <w:rPr>
          <w:color w:val="231F20"/>
          <w:sz w:val="13"/>
        </w:rPr>
        <w:t xml:space="preserve">intrusive recollections, and the onset or worsening of physically </w:t>
      </w:r>
      <w:r>
        <w:rPr>
          <w:color w:val="231F20"/>
          <w:spacing w:val="2"/>
          <w:sz w:val="13"/>
        </w:rPr>
        <w:t xml:space="preserve">debilitating </w:t>
      </w:r>
      <w:r>
        <w:rPr>
          <w:color w:val="231F20"/>
          <w:sz w:val="13"/>
        </w:rPr>
        <w:t xml:space="preserve">conditions such as psoriasis or asthma attacks: see Michele Pathé and Paul E Mullen, ‘The Impact of Stalkers on Their Victims’ (1997) 170(1) </w:t>
      </w:r>
      <w:r>
        <w:rPr>
          <w:i/>
          <w:color w:val="231F20"/>
          <w:sz w:val="13"/>
        </w:rPr>
        <w:t xml:space="preserve">The British Journal of Psychiatry </w:t>
      </w:r>
      <w:r>
        <w:rPr>
          <w:color w:val="231F20"/>
          <w:spacing w:val="2"/>
          <w:sz w:val="13"/>
        </w:rPr>
        <w:t>12,</w:t>
      </w:r>
      <w:r>
        <w:rPr>
          <w:color w:val="231F20"/>
          <w:spacing w:val="6"/>
          <w:sz w:val="13"/>
        </w:rPr>
        <w:t xml:space="preserve"> </w:t>
      </w:r>
      <w:r>
        <w:rPr>
          <w:color w:val="231F20"/>
          <w:spacing w:val="3"/>
          <w:sz w:val="13"/>
        </w:rPr>
        <w:t>14.</w:t>
      </w:r>
    </w:p>
    <w:p w14:paraId="786ED9C9" w14:textId="77777777" w:rsidR="00894070" w:rsidRDefault="009B7AFD">
      <w:pPr>
        <w:pStyle w:val="ListParagraph"/>
        <w:numPr>
          <w:ilvl w:val="0"/>
          <w:numId w:val="111"/>
        </w:numPr>
        <w:tabs>
          <w:tab w:val="left" w:pos="1801"/>
          <w:tab w:val="left" w:pos="1802"/>
        </w:tabs>
        <w:spacing w:line="213" w:lineRule="auto"/>
        <w:ind w:right="1512"/>
        <w:rPr>
          <w:sz w:val="13"/>
        </w:rPr>
      </w:pPr>
      <w:r>
        <w:rPr>
          <w:color w:val="231F20"/>
          <w:sz w:val="13"/>
        </w:rPr>
        <w:t xml:space="preserve">Lauren </w:t>
      </w:r>
      <w:r>
        <w:rPr>
          <w:color w:val="231F20"/>
          <w:spacing w:val="2"/>
          <w:sz w:val="13"/>
        </w:rPr>
        <w:t xml:space="preserve">Bennett Cattaneo, </w:t>
      </w:r>
      <w:r>
        <w:rPr>
          <w:color w:val="231F20"/>
          <w:sz w:val="13"/>
        </w:rPr>
        <w:t xml:space="preserve">Sarah Cho and Shelly Botuck, </w:t>
      </w:r>
      <w:r>
        <w:rPr>
          <w:color w:val="231F20"/>
          <w:spacing w:val="2"/>
          <w:sz w:val="13"/>
        </w:rPr>
        <w:t xml:space="preserve">‘Describing </w:t>
      </w:r>
      <w:r>
        <w:rPr>
          <w:color w:val="231F20"/>
          <w:sz w:val="13"/>
        </w:rPr>
        <w:t xml:space="preserve">Intimate </w:t>
      </w:r>
      <w:r>
        <w:rPr>
          <w:color w:val="231F20"/>
          <w:spacing w:val="2"/>
          <w:sz w:val="13"/>
        </w:rPr>
        <w:t xml:space="preserve">Partner </w:t>
      </w:r>
      <w:r>
        <w:rPr>
          <w:color w:val="231F20"/>
          <w:sz w:val="13"/>
        </w:rPr>
        <w:t xml:space="preserve">Stalking Over Time: An Effort to Inform </w:t>
      </w:r>
      <w:r>
        <w:rPr>
          <w:color w:val="231F20"/>
          <w:spacing w:val="2"/>
          <w:sz w:val="13"/>
        </w:rPr>
        <w:t xml:space="preserve">Victim-Centered Service </w:t>
      </w:r>
      <w:r>
        <w:rPr>
          <w:color w:val="231F20"/>
          <w:sz w:val="13"/>
        </w:rPr>
        <w:t xml:space="preserve">Provision’ </w:t>
      </w:r>
      <w:r>
        <w:rPr>
          <w:color w:val="231F20"/>
          <w:spacing w:val="2"/>
          <w:sz w:val="13"/>
        </w:rPr>
        <w:t xml:space="preserve">(2011) </w:t>
      </w:r>
      <w:r>
        <w:rPr>
          <w:color w:val="231F20"/>
          <w:sz w:val="13"/>
        </w:rPr>
        <w:t xml:space="preserve">26(17) </w:t>
      </w:r>
      <w:r>
        <w:rPr>
          <w:i/>
          <w:color w:val="231F20"/>
          <w:sz w:val="13"/>
        </w:rPr>
        <w:t xml:space="preserve">Journal of Interpersonal Violence </w:t>
      </w:r>
      <w:r>
        <w:rPr>
          <w:color w:val="231F20"/>
          <w:sz w:val="13"/>
        </w:rPr>
        <w:t>3428,</w:t>
      </w:r>
      <w:r>
        <w:rPr>
          <w:color w:val="231F20"/>
          <w:spacing w:val="5"/>
          <w:sz w:val="13"/>
        </w:rPr>
        <w:t xml:space="preserve"> </w:t>
      </w:r>
      <w:r>
        <w:rPr>
          <w:color w:val="231F20"/>
          <w:spacing w:val="2"/>
          <w:sz w:val="13"/>
        </w:rPr>
        <w:t>3448.</w:t>
      </w:r>
    </w:p>
    <w:p w14:paraId="4FA5FCFD" w14:textId="77777777" w:rsidR="00894070" w:rsidRDefault="009B7AFD">
      <w:pPr>
        <w:pStyle w:val="ListParagraph"/>
        <w:numPr>
          <w:ilvl w:val="0"/>
          <w:numId w:val="111"/>
        </w:numPr>
        <w:tabs>
          <w:tab w:val="left" w:pos="1801"/>
          <w:tab w:val="left" w:pos="1802"/>
        </w:tabs>
        <w:spacing w:line="152"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4"/>
          <w:sz w:val="13"/>
        </w:rPr>
        <w:t xml:space="preserve"> </w:t>
      </w:r>
      <w:r>
        <w:rPr>
          <w:color w:val="231F20"/>
          <w:sz w:val="13"/>
        </w:rPr>
        <w:t>Commissioner).</w:t>
      </w:r>
    </w:p>
    <w:p w14:paraId="2DE75140" w14:textId="77777777" w:rsidR="00894070" w:rsidRDefault="009B7AFD">
      <w:pPr>
        <w:pStyle w:val="ListParagraph"/>
        <w:numPr>
          <w:ilvl w:val="0"/>
          <w:numId w:val="111"/>
        </w:numPr>
        <w:tabs>
          <w:tab w:val="left" w:pos="1801"/>
          <w:tab w:val="left" w:pos="1802"/>
        </w:tabs>
        <w:spacing w:before="4" w:line="213" w:lineRule="auto"/>
        <w:ind w:right="1512"/>
        <w:rPr>
          <w:sz w:val="13"/>
        </w:rPr>
      </w:pPr>
      <w:r>
        <w:rPr>
          <w:color w:val="231F20"/>
          <w:sz w:val="13"/>
        </w:rPr>
        <w:t xml:space="preserve">Lauren </w:t>
      </w:r>
      <w:r>
        <w:rPr>
          <w:color w:val="231F20"/>
          <w:spacing w:val="2"/>
          <w:sz w:val="13"/>
        </w:rPr>
        <w:t xml:space="preserve">Bennett Cattaneo, </w:t>
      </w:r>
      <w:r>
        <w:rPr>
          <w:color w:val="231F20"/>
          <w:sz w:val="13"/>
        </w:rPr>
        <w:t xml:space="preserve">Sarah Cho and Shelly Botuck, </w:t>
      </w:r>
      <w:r>
        <w:rPr>
          <w:color w:val="231F20"/>
          <w:spacing w:val="2"/>
          <w:sz w:val="13"/>
        </w:rPr>
        <w:t xml:space="preserve">‘Describing </w:t>
      </w:r>
      <w:r>
        <w:rPr>
          <w:color w:val="231F20"/>
          <w:sz w:val="13"/>
        </w:rPr>
        <w:t xml:space="preserve">Intimate </w:t>
      </w:r>
      <w:r>
        <w:rPr>
          <w:color w:val="231F20"/>
          <w:spacing w:val="2"/>
          <w:sz w:val="13"/>
        </w:rPr>
        <w:t xml:space="preserve">Partner </w:t>
      </w:r>
      <w:r>
        <w:rPr>
          <w:color w:val="231F20"/>
          <w:sz w:val="13"/>
        </w:rPr>
        <w:t xml:space="preserve">Stalking Over Time: An Effort to Inform </w:t>
      </w:r>
      <w:r>
        <w:rPr>
          <w:color w:val="231F20"/>
          <w:spacing w:val="2"/>
          <w:sz w:val="13"/>
        </w:rPr>
        <w:t xml:space="preserve">Victim-Centered Service </w:t>
      </w:r>
      <w:r>
        <w:rPr>
          <w:color w:val="231F20"/>
          <w:sz w:val="13"/>
        </w:rPr>
        <w:t xml:space="preserve">Provision’ </w:t>
      </w:r>
      <w:r>
        <w:rPr>
          <w:color w:val="231F20"/>
          <w:spacing w:val="2"/>
          <w:sz w:val="13"/>
        </w:rPr>
        <w:t xml:space="preserve">(2011) </w:t>
      </w:r>
      <w:r>
        <w:rPr>
          <w:color w:val="231F20"/>
          <w:sz w:val="13"/>
        </w:rPr>
        <w:t xml:space="preserve">26(17) </w:t>
      </w:r>
      <w:r>
        <w:rPr>
          <w:i/>
          <w:color w:val="231F20"/>
          <w:sz w:val="13"/>
        </w:rPr>
        <w:t xml:space="preserve">Journal of Interpersonal Violence </w:t>
      </w:r>
      <w:r>
        <w:rPr>
          <w:color w:val="231F20"/>
          <w:sz w:val="13"/>
        </w:rPr>
        <w:t>3428,</w:t>
      </w:r>
      <w:r>
        <w:rPr>
          <w:color w:val="231F20"/>
          <w:spacing w:val="5"/>
          <w:sz w:val="13"/>
        </w:rPr>
        <w:t xml:space="preserve"> </w:t>
      </w:r>
      <w:r>
        <w:rPr>
          <w:color w:val="231F20"/>
          <w:spacing w:val="2"/>
          <w:sz w:val="13"/>
        </w:rPr>
        <w:t>3448.</w:t>
      </w:r>
    </w:p>
    <w:p w14:paraId="1E24C7D6" w14:textId="77777777" w:rsidR="00894070" w:rsidRDefault="009B7AFD">
      <w:pPr>
        <w:pStyle w:val="ListParagraph"/>
        <w:numPr>
          <w:ilvl w:val="0"/>
          <w:numId w:val="111"/>
        </w:numPr>
        <w:tabs>
          <w:tab w:val="left" w:pos="1801"/>
          <w:tab w:val="left" w:pos="1802"/>
        </w:tabs>
        <w:spacing w:line="153"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No 42, September</w:t>
      </w:r>
      <w:r>
        <w:rPr>
          <w:color w:val="231F20"/>
          <w:spacing w:val="26"/>
          <w:sz w:val="13"/>
        </w:rPr>
        <w:t xml:space="preserve"> </w:t>
      </w:r>
      <w:r>
        <w:rPr>
          <w:color w:val="231F20"/>
          <w:sz w:val="13"/>
        </w:rPr>
        <w:t>2021)</w:t>
      </w:r>
    </w:p>
    <w:p w14:paraId="04133071" w14:textId="77777777" w:rsidR="00894070" w:rsidRDefault="009B7AFD">
      <w:pPr>
        <w:spacing w:line="160" w:lineRule="exact"/>
        <w:ind w:left="1801"/>
        <w:rPr>
          <w:sz w:val="13"/>
        </w:rPr>
      </w:pPr>
      <w:r>
        <w:rPr>
          <w:color w:val="231F20"/>
          <w:sz w:val="13"/>
        </w:rPr>
        <w:t>Recommendation 45.</w:t>
      </w:r>
    </w:p>
    <w:p w14:paraId="6F360E67" w14:textId="77777777" w:rsidR="00894070" w:rsidRDefault="009B7AFD">
      <w:pPr>
        <w:pStyle w:val="ListParagraph"/>
        <w:numPr>
          <w:ilvl w:val="0"/>
          <w:numId w:val="111"/>
        </w:numPr>
        <w:tabs>
          <w:tab w:val="left" w:pos="1800"/>
          <w:tab w:val="left" w:pos="1802"/>
        </w:tabs>
        <w:spacing w:before="6" w:line="213" w:lineRule="auto"/>
        <w:ind w:right="1232"/>
        <w:rPr>
          <w:i/>
          <w:sz w:val="13"/>
        </w:rPr>
      </w:pPr>
      <w:r>
        <w:rPr>
          <w:color w:val="231F20"/>
          <w:sz w:val="13"/>
        </w:rPr>
        <w:t xml:space="preserve">Oona Brooks-Hay et </w:t>
      </w:r>
      <w:r>
        <w:rPr>
          <w:color w:val="231F20"/>
          <w:spacing w:val="2"/>
          <w:sz w:val="13"/>
        </w:rPr>
        <w:t xml:space="preserve">al, </w:t>
      </w:r>
      <w:r>
        <w:rPr>
          <w:i/>
          <w:color w:val="231F20"/>
          <w:sz w:val="13"/>
        </w:rPr>
        <w:t xml:space="preserve">Evaluation of the Rape Crisis Scotland National Advocacy Project </w:t>
      </w:r>
      <w:r>
        <w:rPr>
          <w:color w:val="231F20"/>
          <w:sz w:val="13"/>
        </w:rPr>
        <w:t xml:space="preserve">(Briefing No 01/2018, Scottish Centre for Crime and Justice Research, </w:t>
      </w:r>
      <w:r>
        <w:rPr>
          <w:color w:val="231F20"/>
          <w:spacing w:val="2"/>
          <w:sz w:val="13"/>
        </w:rPr>
        <w:t xml:space="preserve">January </w:t>
      </w:r>
      <w:r>
        <w:rPr>
          <w:color w:val="231F20"/>
          <w:sz w:val="13"/>
        </w:rPr>
        <w:t>2018</w:t>
      </w:r>
      <w:hyperlink r:id="rId143">
        <w:r>
          <w:rPr>
            <w:color w:val="231F20"/>
            <w:sz w:val="13"/>
          </w:rPr>
          <w:t>) 3 &lt;https://www.sccjr.ac.uk/publications/evaluation-of-the-rape-crisis-scotland-</w:t>
        </w:r>
      </w:hyperlink>
      <w:hyperlink r:id="rId144">
        <w:r>
          <w:rPr>
            <w:color w:val="231F20"/>
            <w:sz w:val="13"/>
          </w:rPr>
          <w:t xml:space="preserve"> national-advocacy-project-summary-report-jan-2018/</w:t>
        </w:r>
      </w:hyperlink>
      <w:r>
        <w:rPr>
          <w:color w:val="231F20"/>
          <w:sz w:val="13"/>
        </w:rPr>
        <w:t xml:space="preserve">&gt;; Victims’ </w:t>
      </w:r>
      <w:r>
        <w:rPr>
          <w:color w:val="231F20"/>
          <w:spacing w:val="2"/>
          <w:sz w:val="13"/>
        </w:rPr>
        <w:t xml:space="preserve">Commissioner </w:t>
      </w:r>
      <w:r>
        <w:rPr>
          <w:color w:val="231F20"/>
          <w:sz w:val="13"/>
        </w:rPr>
        <w:t>for England and Wales,</w:t>
      </w:r>
      <w:r>
        <w:rPr>
          <w:color w:val="231F20"/>
          <w:spacing w:val="11"/>
          <w:sz w:val="13"/>
        </w:rPr>
        <w:t xml:space="preserve"> </w:t>
      </w:r>
      <w:r>
        <w:rPr>
          <w:i/>
          <w:color w:val="231F20"/>
          <w:sz w:val="13"/>
        </w:rPr>
        <w:t>Victim Advocates:</w:t>
      </w:r>
    </w:p>
    <w:p w14:paraId="07D37DD5" w14:textId="77777777" w:rsidR="00894070" w:rsidRDefault="009B7AFD">
      <w:pPr>
        <w:spacing w:line="213" w:lineRule="auto"/>
        <w:ind w:left="1801" w:right="1674"/>
        <w:rPr>
          <w:sz w:val="13"/>
        </w:rPr>
      </w:pPr>
      <w:r>
        <w:rPr>
          <w:i/>
          <w:color w:val="231F20"/>
          <w:sz w:val="13"/>
        </w:rPr>
        <w:t xml:space="preserve">A Rapid Evidence Assessment </w:t>
      </w:r>
      <w:r>
        <w:rPr>
          <w:color w:val="231F20"/>
          <w:sz w:val="13"/>
        </w:rPr>
        <w:t>(Report, February 2019</w:t>
      </w:r>
      <w:hyperlink r:id="rId145">
        <w:r>
          <w:rPr>
            <w:color w:val="231F20"/>
            <w:sz w:val="13"/>
          </w:rPr>
          <w:t>) 6 &lt;https://victimscommissioner.org.uk/published-reviews/victim-</w:t>
        </w:r>
      </w:hyperlink>
      <w:r>
        <w:rPr>
          <w:color w:val="231F20"/>
          <w:sz w:val="13"/>
        </w:rPr>
        <w:t xml:space="preserve"> </w:t>
      </w:r>
      <w:hyperlink r:id="rId146">
        <w:r>
          <w:rPr>
            <w:color w:val="231F20"/>
            <w:sz w:val="13"/>
          </w:rPr>
          <w:t>advocates-a-rapid-evidence-assessment/</w:t>
        </w:r>
      </w:hyperlink>
      <w:r>
        <w:rPr>
          <w:color w:val="231F20"/>
          <w:sz w:val="13"/>
        </w:rPr>
        <w:t>&gt;.</w:t>
      </w:r>
    </w:p>
    <w:p w14:paraId="578F03F5" w14:textId="77777777" w:rsidR="00894070" w:rsidRDefault="009B7AFD">
      <w:pPr>
        <w:pStyle w:val="ListParagraph"/>
        <w:numPr>
          <w:ilvl w:val="0"/>
          <w:numId w:val="111"/>
        </w:numPr>
        <w:tabs>
          <w:tab w:val="left" w:pos="1800"/>
          <w:tab w:val="left" w:pos="1802"/>
        </w:tabs>
        <w:spacing w:line="213" w:lineRule="auto"/>
        <w:ind w:right="1293"/>
        <w:rPr>
          <w:sz w:val="13"/>
        </w:rPr>
      </w:pPr>
      <w:r>
        <w:rPr>
          <w:color w:val="231F20"/>
          <w:sz w:val="13"/>
        </w:rPr>
        <w:t xml:space="preserve">Emily </w:t>
      </w:r>
      <w:r>
        <w:rPr>
          <w:color w:val="231F20"/>
          <w:spacing w:val="2"/>
          <w:sz w:val="13"/>
        </w:rPr>
        <w:t xml:space="preserve">Spence-Diehl, </w:t>
      </w:r>
      <w:r>
        <w:rPr>
          <w:color w:val="231F20"/>
          <w:sz w:val="13"/>
        </w:rPr>
        <w:t xml:space="preserve">‘Intensive </w:t>
      </w:r>
      <w:r>
        <w:rPr>
          <w:color w:val="231F20"/>
          <w:spacing w:val="2"/>
          <w:sz w:val="13"/>
        </w:rPr>
        <w:t xml:space="preserve">Case </w:t>
      </w:r>
      <w:r>
        <w:rPr>
          <w:color w:val="231F20"/>
          <w:sz w:val="13"/>
        </w:rPr>
        <w:t xml:space="preserve">Management for Victims of Stalking: A Pilot Test Evaluation’ (2004) 4(4) </w:t>
      </w:r>
      <w:r>
        <w:rPr>
          <w:i/>
          <w:color w:val="231F20"/>
          <w:sz w:val="13"/>
        </w:rPr>
        <w:t xml:space="preserve">Brief Treatment </w:t>
      </w:r>
      <w:r>
        <w:rPr>
          <w:i/>
          <w:color w:val="231F20"/>
          <w:spacing w:val="2"/>
          <w:sz w:val="13"/>
        </w:rPr>
        <w:t xml:space="preserve">and </w:t>
      </w:r>
      <w:r>
        <w:rPr>
          <w:i/>
          <w:color w:val="231F20"/>
          <w:sz w:val="13"/>
        </w:rPr>
        <w:t xml:space="preserve">Crisis Intervention </w:t>
      </w:r>
      <w:r>
        <w:rPr>
          <w:color w:val="231F20"/>
          <w:sz w:val="13"/>
        </w:rPr>
        <w:t xml:space="preserve">323, </w:t>
      </w:r>
      <w:r>
        <w:rPr>
          <w:color w:val="231F20"/>
          <w:spacing w:val="2"/>
          <w:sz w:val="13"/>
        </w:rPr>
        <w:t>338.</w:t>
      </w:r>
    </w:p>
    <w:p w14:paraId="2497B4F5" w14:textId="77777777" w:rsidR="00894070" w:rsidRDefault="009B7AFD">
      <w:pPr>
        <w:pStyle w:val="ListParagraph"/>
        <w:numPr>
          <w:ilvl w:val="0"/>
          <w:numId w:val="111"/>
        </w:numPr>
        <w:tabs>
          <w:tab w:val="left" w:pos="1801"/>
          <w:tab w:val="left" w:pos="1802"/>
        </w:tabs>
        <w:spacing w:line="152" w:lineRule="exact"/>
        <w:rPr>
          <w:sz w:val="13"/>
        </w:rPr>
      </w:pPr>
      <w:r>
        <w:rPr>
          <w:color w:val="231F20"/>
          <w:sz w:val="13"/>
        </w:rPr>
        <w:t>Ibid.</w:t>
      </w:r>
    </w:p>
    <w:p w14:paraId="6B05E482" w14:textId="77777777" w:rsidR="00894070" w:rsidRDefault="009B7AFD">
      <w:pPr>
        <w:pStyle w:val="ListParagraph"/>
        <w:numPr>
          <w:ilvl w:val="0"/>
          <w:numId w:val="111"/>
        </w:numPr>
        <w:tabs>
          <w:tab w:val="left" w:pos="1801"/>
          <w:tab w:val="left" w:pos="1802"/>
        </w:tabs>
        <w:spacing w:line="160" w:lineRule="exact"/>
        <w:rPr>
          <w:sz w:val="13"/>
        </w:rPr>
      </w:pPr>
      <w:r>
        <w:rPr>
          <w:color w:val="231F20"/>
          <w:sz w:val="13"/>
        </w:rPr>
        <w:t>Ibid.</w:t>
      </w:r>
    </w:p>
    <w:p w14:paraId="5C1C3055" w14:textId="77777777" w:rsidR="00894070" w:rsidRDefault="009F6793">
      <w:pPr>
        <w:pStyle w:val="ListParagraph"/>
        <w:numPr>
          <w:ilvl w:val="0"/>
          <w:numId w:val="111"/>
        </w:numPr>
        <w:tabs>
          <w:tab w:val="left" w:pos="1801"/>
          <w:tab w:val="left" w:pos="1802"/>
        </w:tabs>
        <w:spacing w:before="4" w:line="213" w:lineRule="auto"/>
        <w:ind w:right="1219"/>
        <w:rPr>
          <w:sz w:val="13"/>
        </w:rPr>
      </w:pPr>
      <w:r>
        <w:pict w14:anchorId="07AD6E8E">
          <v:shape id="_x0000_s1396" type="#_x0000_t202" style="position:absolute;left:0;text-align:left;margin-left:548.45pt;margin-top:3.6pt;width:14.3pt;height:14.1pt;z-index:251693056;mso-position-horizontal-relative:page" filled="f" stroked="f">
            <v:textbox inset="0,0,0,0">
              <w:txbxContent>
                <w:p w14:paraId="55F08908" w14:textId="77777777" w:rsidR="00894070" w:rsidRDefault="009B7AFD">
                  <w:pPr>
                    <w:spacing w:line="282" w:lineRule="exact"/>
                    <w:rPr>
                      <w:b/>
                      <w:sz w:val="24"/>
                    </w:rPr>
                  </w:pPr>
                  <w:r>
                    <w:rPr>
                      <w:b/>
                      <w:color w:val="EA5B50"/>
                      <w:spacing w:val="-1"/>
                      <w:sz w:val="24"/>
                    </w:rPr>
                    <w:t>89</w:t>
                  </w:r>
                </w:p>
              </w:txbxContent>
            </v:textbox>
            <w10:wrap anchorx="page"/>
          </v:shape>
        </w:pict>
      </w:r>
      <w:r w:rsidR="009B7AFD">
        <w:rPr>
          <w:color w:val="231F20"/>
          <w:sz w:val="13"/>
        </w:rPr>
        <w:t xml:space="preserve">Lisa Tompson, Jyoti Belur and Kritika Jerath, </w:t>
      </w:r>
      <w:r w:rsidR="009B7AFD">
        <w:rPr>
          <w:color w:val="231F20"/>
          <w:spacing w:val="-4"/>
          <w:sz w:val="13"/>
        </w:rPr>
        <w:t xml:space="preserve">‘A </w:t>
      </w:r>
      <w:r w:rsidR="009B7AFD">
        <w:rPr>
          <w:color w:val="231F20"/>
          <w:spacing w:val="2"/>
          <w:sz w:val="13"/>
        </w:rPr>
        <w:t xml:space="preserve">Victim-Centred </w:t>
      </w:r>
      <w:r w:rsidR="009B7AFD">
        <w:rPr>
          <w:color w:val="231F20"/>
          <w:sz w:val="13"/>
        </w:rPr>
        <w:t xml:space="preserve">Cost–Benefit Analysis of a Stalking Prevention Programme’ (2021) 10(1) </w:t>
      </w:r>
      <w:r w:rsidR="009B7AFD">
        <w:rPr>
          <w:i/>
          <w:color w:val="231F20"/>
          <w:sz w:val="13"/>
        </w:rPr>
        <w:t xml:space="preserve">Crime Science </w:t>
      </w:r>
      <w:r w:rsidR="009B7AFD">
        <w:rPr>
          <w:color w:val="231F20"/>
          <w:spacing w:val="2"/>
          <w:sz w:val="13"/>
        </w:rPr>
        <w:t>21,</w:t>
      </w:r>
      <w:r w:rsidR="009B7AFD">
        <w:rPr>
          <w:color w:val="231F20"/>
          <w:sz w:val="13"/>
        </w:rPr>
        <w:t xml:space="preserve"> </w:t>
      </w:r>
      <w:r w:rsidR="009B7AFD">
        <w:rPr>
          <w:color w:val="231F20"/>
          <w:spacing w:val="2"/>
          <w:sz w:val="13"/>
        </w:rPr>
        <w:t>9.</w:t>
      </w:r>
    </w:p>
    <w:p w14:paraId="4077164E" w14:textId="77777777" w:rsidR="00894070" w:rsidRDefault="00894070">
      <w:pPr>
        <w:spacing w:line="213" w:lineRule="auto"/>
        <w:rPr>
          <w:sz w:val="13"/>
        </w:rPr>
        <w:sectPr w:rsidR="00894070">
          <w:pgSz w:w="11910" w:h="16840"/>
          <w:pgMar w:top="840" w:right="420" w:bottom="280" w:left="580" w:header="0" w:footer="0" w:gutter="0"/>
          <w:cols w:space="720"/>
        </w:sectPr>
      </w:pPr>
    </w:p>
    <w:p w14:paraId="339F779E" w14:textId="77777777" w:rsidR="00894070" w:rsidRDefault="00894070">
      <w:pPr>
        <w:pStyle w:val="BodyText"/>
      </w:pPr>
    </w:p>
    <w:p w14:paraId="07BCB49B" w14:textId="77777777" w:rsidR="00894070" w:rsidRDefault="00894070">
      <w:pPr>
        <w:pStyle w:val="BodyText"/>
      </w:pPr>
    </w:p>
    <w:p w14:paraId="6D69475E" w14:textId="77777777" w:rsidR="00894070" w:rsidRDefault="00894070">
      <w:pPr>
        <w:pStyle w:val="BodyText"/>
      </w:pPr>
    </w:p>
    <w:p w14:paraId="7AE3CFAA" w14:textId="77777777" w:rsidR="00894070" w:rsidRDefault="009B7AFD">
      <w:pPr>
        <w:pStyle w:val="Heading8"/>
        <w:spacing w:before="220"/>
        <w:ind w:left="1007"/>
      </w:pPr>
      <w:bookmarkStart w:id="108" w:name="_bookmark60"/>
      <w:bookmarkEnd w:id="108"/>
      <w:r>
        <w:rPr>
          <w:color w:val="231F20"/>
        </w:rPr>
        <w:t>Victim advocates have worked well overseas</w:t>
      </w:r>
    </w:p>
    <w:p w14:paraId="10A2A9F7" w14:textId="77777777" w:rsidR="00894070" w:rsidRDefault="009B7AFD">
      <w:pPr>
        <w:pStyle w:val="ListParagraph"/>
        <w:numPr>
          <w:ilvl w:val="1"/>
          <w:numId w:val="126"/>
        </w:numPr>
        <w:tabs>
          <w:tab w:val="left" w:pos="1801"/>
          <w:tab w:val="left" w:pos="1802"/>
        </w:tabs>
        <w:spacing w:before="95" w:line="259" w:lineRule="exact"/>
        <w:rPr>
          <w:sz w:val="20"/>
        </w:rPr>
      </w:pPr>
      <w:r>
        <w:rPr>
          <w:color w:val="231F20"/>
          <w:spacing w:val="-3"/>
          <w:sz w:val="20"/>
        </w:rPr>
        <w:t>Advocates</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stalking</w:t>
      </w:r>
      <w:r>
        <w:rPr>
          <w:color w:val="231F20"/>
          <w:spacing w:val="-5"/>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5"/>
          <w:sz w:val="20"/>
        </w:rPr>
        <w:t xml:space="preserve"> </w:t>
      </w:r>
      <w:r>
        <w:rPr>
          <w:color w:val="231F20"/>
          <w:sz w:val="20"/>
        </w:rPr>
        <w:t>exist</w:t>
      </w:r>
      <w:r>
        <w:rPr>
          <w:color w:val="231F20"/>
          <w:spacing w:val="-5"/>
          <w:sz w:val="20"/>
        </w:rPr>
        <w:t xml:space="preserve"> </w:t>
      </w:r>
      <w:r>
        <w:rPr>
          <w:color w:val="231F20"/>
          <w:sz w:val="20"/>
        </w:rPr>
        <w:t>in</w:t>
      </w:r>
      <w:r>
        <w:rPr>
          <w:color w:val="231F20"/>
          <w:spacing w:val="-5"/>
          <w:sz w:val="20"/>
        </w:rPr>
        <w:t xml:space="preserve"> </w:t>
      </w:r>
      <w:r>
        <w:rPr>
          <w:color w:val="231F20"/>
          <w:spacing w:val="-3"/>
          <w:sz w:val="20"/>
        </w:rPr>
        <w:t>international</w:t>
      </w:r>
      <w:r>
        <w:rPr>
          <w:color w:val="231F20"/>
          <w:spacing w:val="-4"/>
          <w:sz w:val="20"/>
        </w:rPr>
        <w:t xml:space="preserve"> </w:t>
      </w:r>
      <w:r>
        <w:rPr>
          <w:color w:val="231F20"/>
          <w:sz w:val="20"/>
        </w:rPr>
        <w:t>jurisdictions</w:t>
      </w:r>
      <w:r>
        <w:rPr>
          <w:color w:val="231F20"/>
          <w:spacing w:val="-5"/>
          <w:sz w:val="20"/>
        </w:rPr>
        <w:t xml:space="preserve"> </w:t>
      </w:r>
      <w:r>
        <w:rPr>
          <w:color w:val="231F20"/>
          <w:sz w:val="20"/>
        </w:rPr>
        <w:t>such</w:t>
      </w:r>
      <w:r>
        <w:rPr>
          <w:color w:val="231F20"/>
          <w:spacing w:val="-5"/>
          <w:sz w:val="20"/>
        </w:rPr>
        <w:t xml:space="preserve"> </w:t>
      </w:r>
      <w:r>
        <w:rPr>
          <w:color w:val="231F20"/>
          <w:sz w:val="20"/>
        </w:rPr>
        <w:t>as</w:t>
      </w:r>
    </w:p>
    <w:p w14:paraId="4B5F3049" w14:textId="77777777" w:rsidR="00894070" w:rsidRDefault="009B7AFD">
      <w:pPr>
        <w:pStyle w:val="BodyText"/>
        <w:spacing w:line="259" w:lineRule="exact"/>
        <w:ind w:left="1801"/>
        <w:rPr>
          <w:sz w:val="11"/>
        </w:rPr>
      </w:pPr>
      <w:r>
        <w:rPr>
          <w:color w:val="231F20"/>
        </w:rPr>
        <w:t>England and Wales,</w:t>
      </w:r>
      <w:r>
        <w:rPr>
          <w:color w:val="231F20"/>
          <w:position w:val="7"/>
          <w:sz w:val="11"/>
        </w:rPr>
        <w:t xml:space="preserve">122 </w:t>
      </w:r>
      <w:r>
        <w:rPr>
          <w:color w:val="231F20"/>
        </w:rPr>
        <w:t>Denmark,</w:t>
      </w:r>
      <w:r>
        <w:rPr>
          <w:color w:val="231F20"/>
          <w:position w:val="7"/>
          <w:sz w:val="11"/>
        </w:rPr>
        <w:t xml:space="preserve">123 </w:t>
      </w:r>
      <w:r>
        <w:rPr>
          <w:color w:val="231F20"/>
        </w:rPr>
        <w:t>and the United States.</w:t>
      </w:r>
      <w:r>
        <w:rPr>
          <w:color w:val="231F20"/>
          <w:position w:val="7"/>
          <w:sz w:val="11"/>
        </w:rPr>
        <w:t>124</w:t>
      </w:r>
    </w:p>
    <w:p w14:paraId="1DCC4C45" w14:textId="77777777" w:rsidR="00894070" w:rsidRDefault="009B7AFD">
      <w:pPr>
        <w:pStyle w:val="ListParagraph"/>
        <w:numPr>
          <w:ilvl w:val="1"/>
          <w:numId w:val="126"/>
        </w:numPr>
        <w:tabs>
          <w:tab w:val="left" w:pos="1801"/>
          <w:tab w:val="left" w:pos="1802"/>
        </w:tabs>
        <w:spacing w:before="115" w:line="206" w:lineRule="auto"/>
        <w:ind w:right="1316"/>
        <w:rPr>
          <w:sz w:val="11"/>
        </w:rPr>
      </w:pPr>
      <w:r>
        <w:rPr>
          <w:color w:val="231F20"/>
          <w:sz w:val="20"/>
        </w:rPr>
        <w:t>In</w:t>
      </w:r>
      <w:r>
        <w:rPr>
          <w:color w:val="231F20"/>
          <w:spacing w:val="-12"/>
          <w:sz w:val="20"/>
        </w:rPr>
        <w:t xml:space="preserve"> </w:t>
      </w:r>
      <w:r>
        <w:rPr>
          <w:color w:val="231F20"/>
          <w:sz w:val="20"/>
        </w:rPr>
        <w:t>England</w:t>
      </w:r>
      <w:r>
        <w:rPr>
          <w:color w:val="231F20"/>
          <w:spacing w:val="-12"/>
          <w:sz w:val="20"/>
        </w:rPr>
        <w:t xml:space="preserve"> </w:t>
      </w:r>
      <w:r>
        <w:rPr>
          <w:color w:val="231F20"/>
          <w:sz w:val="20"/>
        </w:rPr>
        <w:t>and</w:t>
      </w:r>
      <w:r>
        <w:rPr>
          <w:color w:val="231F20"/>
          <w:spacing w:val="-12"/>
          <w:sz w:val="20"/>
        </w:rPr>
        <w:t xml:space="preserve"> </w:t>
      </w:r>
      <w:proofErr w:type="gramStart"/>
      <w:r>
        <w:rPr>
          <w:color w:val="231F20"/>
          <w:spacing w:val="-4"/>
          <w:sz w:val="20"/>
        </w:rPr>
        <w:t>Wales</w:t>
      </w:r>
      <w:proofErr w:type="gramEnd"/>
      <w:r>
        <w:rPr>
          <w:color w:val="231F20"/>
          <w:spacing w:val="-11"/>
          <w:sz w:val="20"/>
        </w:rPr>
        <w:t xml:space="preserve"> </w:t>
      </w:r>
      <w:r>
        <w:rPr>
          <w:color w:val="231F20"/>
          <w:sz w:val="20"/>
        </w:rPr>
        <w:t>the</w:t>
      </w:r>
      <w:r>
        <w:rPr>
          <w:color w:val="231F20"/>
          <w:spacing w:val="-12"/>
          <w:sz w:val="20"/>
        </w:rPr>
        <w:t xml:space="preserve"> </w:t>
      </w:r>
      <w:r>
        <w:rPr>
          <w:color w:val="231F20"/>
          <w:sz w:val="20"/>
        </w:rPr>
        <w:t>Multi-Agency</w:t>
      </w:r>
      <w:r>
        <w:rPr>
          <w:color w:val="231F20"/>
          <w:spacing w:val="-12"/>
          <w:sz w:val="20"/>
        </w:rPr>
        <w:t xml:space="preserve"> </w:t>
      </w:r>
      <w:r>
        <w:rPr>
          <w:color w:val="231F20"/>
          <w:sz w:val="20"/>
        </w:rPr>
        <w:t>Stalking</w:t>
      </w:r>
      <w:r>
        <w:rPr>
          <w:color w:val="231F20"/>
          <w:spacing w:val="-11"/>
          <w:sz w:val="20"/>
        </w:rPr>
        <w:t xml:space="preserve"> </w:t>
      </w:r>
      <w:r>
        <w:rPr>
          <w:color w:val="231F20"/>
          <w:spacing w:val="-2"/>
          <w:sz w:val="20"/>
        </w:rPr>
        <w:t>Intervention</w:t>
      </w:r>
      <w:r>
        <w:rPr>
          <w:color w:val="231F20"/>
          <w:spacing w:val="-12"/>
          <w:sz w:val="20"/>
        </w:rPr>
        <w:t xml:space="preserve"> </w:t>
      </w:r>
      <w:r>
        <w:rPr>
          <w:color w:val="231F20"/>
          <w:sz w:val="20"/>
        </w:rPr>
        <w:t>Program</w:t>
      </w:r>
      <w:r>
        <w:rPr>
          <w:color w:val="231F20"/>
          <w:spacing w:val="-12"/>
          <w:sz w:val="20"/>
        </w:rPr>
        <w:t xml:space="preserve"> </w:t>
      </w:r>
      <w:r>
        <w:rPr>
          <w:color w:val="231F20"/>
          <w:sz w:val="20"/>
        </w:rPr>
        <w:t>includes</w:t>
      </w:r>
      <w:r>
        <w:rPr>
          <w:color w:val="231F20"/>
          <w:spacing w:val="-11"/>
          <w:sz w:val="20"/>
        </w:rPr>
        <w:t xml:space="preserve"> </w:t>
      </w:r>
      <w:r>
        <w:rPr>
          <w:color w:val="231F20"/>
          <w:sz w:val="20"/>
        </w:rPr>
        <w:t xml:space="preserve">victim </w:t>
      </w:r>
      <w:r>
        <w:rPr>
          <w:color w:val="231F20"/>
          <w:spacing w:val="-3"/>
          <w:sz w:val="20"/>
        </w:rPr>
        <w:t xml:space="preserve">advocates </w:t>
      </w:r>
      <w:r>
        <w:rPr>
          <w:color w:val="231F20"/>
          <w:sz w:val="20"/>
        </w:rPr>
        <w:t xml:space="preserve">(see </w:t>
      </w:r>
      <w:r>
        <w:rPr>
          <w:color w:val="231F20"/>
          <w:spacing w:val="-3"/>
          <w:sz w:val="20"/>
        </w:rPr>
        <w:t xml:space="preserve">box). </w:t>
      </w:r>
      <w:r>
        <w:rPr>
          <w:color w:val="231F20"/>
          <w:sz w:val="20"/>
        </w:rPr>
        <w:t xml:space="preserve">England and </w:t>
      </w:r>
      <w:r>
        <w:rPr>
          <w:color w:val="231F20"/>
          <w:spacing w:val="-4"/>
          <w:sz w:val="20"/>
        </w:rPr>
        <w:t xml:space="preserve">Wales </w:t>
      </w:r>
      <w:r>
        <w:rPr>
          <w:color w:val="231F20"/>
          <w:sz w:val="20"/>
        </w:rPr>
        <w:t xml:space="preserve">also </w:t>
      </w:r>
      <w:proofErr w:type="gramStart"/>
      <w:r>
        <w:rPr>
          <w:color w:val="231F20"/>
          <w:sz w:val="20"/>
        </w:rPr>
        <w:t>has</w:t>
      </w:r>
      <w:proofErr w:type="gramEnd"/>
      <w:r>
        <w:rPr>
          <w:color w:val="231F20"/>
          <w:sz w:val="20"/>
        </w:rPr>
        <w:t xml:space="preserve"> the smaller scale Independent Stalking </w:t>
      </w:r>
      <w:r>
        <w:rPr>
          <w:color w:val="231F20"/>
          <w:spacing w:val="-3"/>
          <w:sz w:val="20"/>
        </w:rPr>
        <w:t>Advocacy</w:t>
      </w:r>
      <w:r>
        <w:rPr>
          <w:color w:val="231F20"/>
          <w:spacing w:val="-9"/>
          <w:sz w:val="20"/>
        </w:rPr>
        <w:t xml:space="preserve"> </w:t>
      </w:r>
      <w:r>
        <w:rPr>
          <w:color w:val="231F20"/>
          <w:sz w:val="20"/>
        </w:rPr>
        <w:t>Caseworkers.</w:t>
      </w:r>
      <w:r>
        <w:rPr>
          <w:color w:val="231F20"/>
          <w:position w:val="7"/>
          <w:sz w:val="11"/>
        </w:rPr>
        <w:t>125</w:t>
      </w:r>
    </w:p>
    <w:p w14:paraId="4196AE2F" w14:textId="77777777" w:rsidR="00894070" w:rsidRDefault="00894070">
      <w:pPr>
        <w:pStyle w:val="BodyText"/>
      </w:pPr>
    </w:p>
    <w:p w14:paraId="4CA526FA" w14:textId="77777777" w:rsidR="00894070" w:rsidRDefault="00894070">
      <w:pPr>
        <w:pStyle w:val="BodyText"/>
        <w:spacing w:before="11"/>
        <w:rPr>
          <w:sz w:val="15"/>
        </w:rPr>
      </w:pPr>
    </w:p>
    <w:p w14:paraId="76D51FDB" w14:textId="77777777" w:rsidR="00894070" w:rsidRDefault="009F6793">
      <w:pPr>
        <w:spacing w:before="58"/>
        <w:ind w:left="1239"/>
        <w:rPr>
          <w:sz w:val="11"/>
        </w:rPr>
      </w:pPr>
      <w:r>
        <w:pict w14:anchorId="2376F3FC">
          <v:group id="_x0000_s1390" style="position:absolute;left:0;text-align:left;margin-left:79.35pt;margin-top:-6.55pt;width:437.05pt;height:401.85pt;z-index:-251497472;mso-position-horizontal-relative:page" coordorigin="1587,-131" coordsize="8741,8037">
            <v:rect id="_x0000_s1395" style="position:absolute;left:1592;top:-126;width:8731;height:8027" fillcolor="#fee7de" stroked="f"/>
            <v:line id="_x0000_s1394" style="position:absolute" from="1587,-126" to="10328,-126" strokecolor="#ea5b50" strokeweight=".5pt"/>
            <v:line id="_x0000_s1393" style="position:absolute" from="1592,7896" to="1592,-121" strokecolor="#ea5b50" strokeweight=".5pt"/>
            <v:line id="_x0000_s1392" style="position:absolute" from="10323,7896" to="10323,-121" strokecolor="#ea5b50" strokeweight=".5pt"/>
            <v:line id="_x0000_s1391" style="position:absolute" from="1587,7901" to="10328,7901" strokecolor="#ea5b50" strokeweight=".5pt"/>
            <w10:wrap anchorx="page"/>
          </v:group>
        </w:pict>
      </w:r>
      <w:r w:rsidR="009B7AFD">
        <w:rPr>
          <w:b/>
          <w:color w:val="231F20"/>
          <w:sz w:val="20"/>
        </w:rPr>
        <w:t>The Multi-Agency Stalking Intervention Program (MASIP)</w:t>
      </w:r>
      <w:r w:rsidR="009B7AFD">
        <w:rPr>
          <w:color w:val="231F20"/>
          <w:position w:val="7"/>
          <w:sz w:val="11"/>
        </w:rPr>
        <w:t>126</w:t>
      </w:r>
    </w:p>
    <w:p w14:paraId="693408FF" w14:textId="77777777" w:rsidR="00894070" w:rsidRDefault="009B7AFD">
      <w:pPr>
        <w:pStyle w:val="BodyText"/>
        <w:spacing w:before="114" w:line="206" w:lineRule="auto"/>
        <w:ind w:left="1239" w:right="2071"/>
      </w:pPr>
      <w:r>
        <w:rPr>
          <w:color w:val="231F20"/>
        </w:rPr>
        <w:t xml:space="preserve">MASIP aimed to support the identification, </w:t>
      </w:r>
      <w:proofErr w:type="gramStart"/>
      <w:r>
        <w:rPr>
          <w:color w:val="231F20"/>
        </w:rPr>
        <w:t>treatment</w:t>
      </w:r>
      <w:proofErr w:type="gramEnd"/>
      <w:r>
        <w:rPr>
          <w:color w:val="231F20"/>
        </w:rPr>
        <w:t xml:space="preserve"> and prevention of stalking by providing support and interventions for victim survivors and people who stalk.</w:t>
      </w:r>
    </w:p>
    <w:p w14:paraId="0C4A02F8" w14:textId="77777777" w:rsidR="00894070" w:rsidRDefault="009B7AFD">
      <w:pPr>
        <w:pStyle w:val="BodyText"/>
        <w:spacing w:before="123" w:line="206" w:lineRule="auto"/>
        <w:ind w:left="1239" w:right="1571"/>
      </w:pPr>
      <w:r>
        <w:rPr>
          <w:color w:val="231F20"/>
        </w:rPr>
        <w:t>Victim survivors were assigned to a victim advocate. Support was in the form of a single point of direct and consistent contact between the victim advocate and the victim survivor. The victim advocate’s role included:</w:t>
      </w:r>
    </w:p>
    <w:p w14:paraId="0E609FE4" w14:textId="77777777" w:rsidR="00894070" w:rsidRDefault="009B7AFD">
      <w:pPr>
        <w:pStyle w:val="ListParagraph"/>
        <w:numPr>
          <w:ilvl w:val="2"/>
          <w:numId w:val="126"/>
        </w:numPr>
        <w:tabs>
          <w:tab w:val="left" w:pos="1579"/>
          <w:tab w:val="left" w:pos="1580"/>
        </w:tabs>
        <w:spacing w:before="91"/>
        <w:ind w:left="1579" w:hanging="340"/>
        <w:rPr>
          <w:sz w:val="20"/>
        </w:rPr>
      </w:pPr>
      <w:r>
        <w:rPr>
          <w:color w:val="231F20"/>
          <w:spacing w:val="-3"/>
          <w:sz w:val="20"/>
        </w:rPr>
        <w:t xml:space="preserve">providing </w:t>
      </w:r>
      <w:r>
        <w:rPr>
          <w:color w:val="231F20"/>
          <w:sz w:val="20"/>
        </w:rPr>
        <w:t>information on legal</w:t>
      </w:r>
      <w:r>
        <w:rPr>
          <w:color w:val="231F20"/>
          <w:spacing w:val="-14"/>
          <w:sz w:val="20"/>
        </w:rPr>
        <w:t xml:space="preserve"> </w:t>
      </w:r>
      <w:r>
        <w:rPr>
          <w:color w:val="231F20"/>
          <w:sz w:val="20"/>
        </w:rPr>
        <w:t>options</w:t>
      </w:r>
    </w:p>
    <w:p w14:paraId="2BE29F5B" w14:textId="77777777" w:rsidR="00894070" w:rsidRDefault="009B7AFD">
      <w:pPr>
        <w:pStyle w:val="ListParagraph"/>
        <w:numPr>
          <w:ilvl w:val="2"/>
          <w:numId w:val="126"/>
        </w:numPr>
        <w:tabs>
          <w:tab w:val="left" w:pos="1579"/>
          <w:tab w:val="left" w:pos="1580"/>
        </w:tabs>
        <w:spacing w:before="48"/>
        <w:ind w:left="1579" w:hanging="340"/>
        <w:rPr>
          <w:sz w:val="20"/>
        </w:rPr>
      </w:pPr>
      <w:r>
        <w:rPr>
          <w:color w:val="231F20"/>
          <w:spacing w:val="-3"/>
          <w:sz w:val="20"/>
        </w:rPr>
        <w:t xml:space="preserve">providing </w:t>
      </w:r>
      <w:r>
        <w:rPr>
          <w:color w:val="231F20"/>
          <w:sz w:val="20"/>
        </w:rPr>
        <w:t>advice on limiting contact with the person</w:t>
      </w:r>
      <w:r>
        <w:rPr>
          <w:color w:val="231F20"/>
          <w:spacing w:val="-34"/>
          <w:sz w:val="20"/>
        </w:rPr>
        <w:t xml:space="preserve"> </w:t>
      </w:r>
      <w:r>
        <w:rPr>
          <w:color w:val="231F20"/>
          <w:sz w:val="20"/>
        </w:rPr>
        <w:t>stalking</w:t>
      </w:r>
    </w:p>
    <w:p w14:paraId="3008425F" w14:textId="77777777" w:rsidR="00894070" w:rsidRDefault="009B7AFD">
      <w:pPr>
        <w:pStyle w:val="ListParagraph"/>
        <w:numPr>
          <w:ilvl w:val="2"/>
          <w:numId w:val="126"/>
        </w:numPr>
        <w:tabs>
          <w:tab w:val="left" w:pos="1579"/>
          <w:tab w:val="left" w:pos="1580"/>
        </w:tabs>
        <w:spacing w:before="47"/>
        <w:ind w:left="1579" w:hanging="340"/>
        <w:rPr>
          <w:sz w:val="20"/>
        </w:rPr>
      </w:pPr>
      <w:r>
        <w:rPr>
          <w:color w:val="231F20"/>
          <w:sz w:val="20"/>
        </w:rPr>
        <w:t>safety planning, including at</w:t>
      </w:r>
      <w:r>
        <w:rPr>
          <w:color w:val="231F20"/>
          <w:spacing w:val="-18"/>
          <w:sz w:val="20"/>
        </w:rPr>
        <w:t xml:space="preserve"> </w:t>
      </w:r>
      <w:r>
        <w:rPr>
          <w:color w:val="231F20"/>
          <w:sz w:val="20"/>
        </w:rPr>
        <w:t>court</w:t>
      </w:r>
    </w:p>
    <w:p w14:paraId="47E707F5" w14:textId="77777777" w:rsidR="00894070" w:rsidRDefault="009B7AFD">
      <w:pPr>
        <w:pStyle w:val="ListParagraph"/>
        <w:numPr>
          <w:ilvl w:val="2"/>
          <w:numId w:val="126"/>
        </w:numPr>
        <w:tabs>
          <w:tab w:val="left" w:pos="1579"/>
          <w:tab w:val="left" w:pos="1580"/>
        </w:tabs>
        <w:spacing w:before="48"/>
        <w:ind w:left="1579" w:hanging="340"/>
        <w:rPr>
          <w:sz w:val="20"/>
        </w:rPr>
      </w:pPr>
      <w:r>
        <w:rPr>
          <w:color w:val="231F20"/>
          <w:sz w:val="20"/>
        </w:rPr>
        <w:t>contacting other services, such as social</w:t>
      </w:r>
      <w:r>
        <w:rPr>
          <w:color w:val="231F20"/>
          <w:spacing w:val="-27"/>
          <w:sz w:val="20"/>
        </w:rPr>
        <w:t xml:space="preserve"> </w:t>
      </w:r>
      <w:r>
        <w:rPr>
          <w:color w:val="231F20"/>
          <w:sz w:val="20"/>
        </w:rPr>
        <w:t>services</w:t>
      </w:r>
    </w:p>
    <w:p w14:paraId="05292CDB" w14:textId="77777777" w:rsidR="00894070" w:rsidRDefault="009B7AFD">
      <w:pPr>
        <w:pStyle w:val="ListParagraph"/>
        <w:numPr>
          <w:ilvl w:val="2"/>
          <w:numId w:val="126"/>
        </w:numPr>
        <w:tabs>
          <w:tab w:val="left" w:pos="1579"/>
          <w:tab w:val="left" w:pos="1580"/>
        </w:tabs>
        <w:spacing w:before="47" w:line="259" w:lineRule="exact"/>
        <w:ind w:left="1579" w:hanging="340"/>
        <w:rPr>
          <w:sz w:val="20"/>
        </w:rPr>
      </w:pPr>
      <w:r>
        <w:rPr>
          <w:color w:val="231F20"/>
          <w:sz w:val="20"/>
        </w:rPr>
        <w:t>diversion</w:t>
      </w:r>
      <w:r>
        <w:rPr>
          <w:color w:val="231F20"/>
          <w:spacing w:val="-6"/>
          <w:sz w:val="20"/>
        </w:rPr>
        <w:t xml:space="preserve"> </w:t>
      </w:r>
      <w:r>
        <w:rPr>
          <w:color w:val="231F20"/>
          <w:spacing w:val="-3"/>
          <w:sz w:val="20"/>
        </w:rPr>
        <w:t>into</w:t>
      </w:r>
      <w:r>
        <w:rPr>
          <w:color w:val="231F20"/>
          <w:spacing w:val="-5"/>
          <w:sz w:val="20"/>
        </w:rPr>
        <w:t xml:space="preserve"> </w:t>
      </w:r>
      <w:r>
        <w:rPr>
          <w:color w:val="231F20"/>
          <w:sz w:val="20"/>
        </w:rPr>
        <w:t>other</w:t>
      </w:r>
      <w:r>
        <w:rPr>
          <w:color w:val="231F20"/>
          <w:spacing w:val="-5"/>
          <w:sz w:val="20"/>
        </w:rPr>
        <w:t xml:space="preserve"> </w:t>
      </w:r>
      <w:r>
        <w:rPr>
          <w:color w:val="231F20"/>
          <w:spacing w:val="-3"/>
          <w:sz w:val="20"/>
        </w:rPr>
        <w:t>agencies—for</w:t>
      </w:r>
      <w:r>
        <w:rPr>
          <w:color w:val="231F20"/>
          <w:spacing w:val="-5"/>
          <w:sz w:val="20"/>
        </w:rPr>
        <w:t xml:space="preserve"> </w:t>
      </w:r>
      <w:r>
        <w:rPr>
          <w:color w:val="231F20"/>
          <w:spacing w:val="-3"/>
          <w:sz w:val="20"/>
        </w:rPr>
        <w:t>example,</w:t>
      </w:r>
      <w:r>
        <w:rPr>
          <w:color w:val="231F20"/>
          <w:spacing w:val="-5"/>
          <w:sz w:val="20"/>
        </w:rPr>
        <w:t xml:space="preserve"> </w:t>
      </w:r>
      <w:r>
        <w:rPr>
          <w:color w:val="231F20"/>
          <w:sz w:val="20"/>
        </w:rPr>
        <w:t>to</w:t>
      </w:r>
      <w:r>
        <w:rPr>
          <w:color w:val="231F20"/>
          <w:spacing w:val="-5"/>
          <w:sz w:val="20"/>
        </w:rPr>
        <w:t xml:space="preserve"> </w:t>
      </w:r>
      <w:r>
        <w:rPr>
          <w:color w:val="231F20"/>
          <w:sz w:val="20"/>
        </w:rPr>
        <w:t>assist</w:t>
      </w:r>
      <w:r>
        <w:rPr>
          <w:color w:val="231F20"/>
          <w:spacing w:val="-5"/>
          <w:sz w:val="20"/>
        </w:rPr>
        <w:t xml:space="preserve"> </w:t>
      </w:r>
      <w:r>
        <w:rPr>
          <w:color w:val="231F20"/>
          <w:sz w:val="20"/>
        </w:rPr>
        <w:t>with</w:t>
      </w:r>
      <w:r>
        <w:rPr>
          <w:color w:val="231F20"/>
          <w:spacing w:val="-5"/>
          <w:sz w:val="20"/>
        </w:rPr>
        <w:t xml:space="preserve"> </w:t>
      </w:r>
      <w:r>
        <w:rPr>
          <w:color w:val="231F20"/>
          <w:sz w:val="20"/>
        </w:rPr>
        <w:t>mental</w:t>
      </w:r>
      <w:r>
        <w:rPr>
          <w:color w:val="231F20"/>
          <w:spacing w:val="-5"/>
          <w:sz w:val="20"/>
        </w:rPr>
        <w:t xml:space="preserve"> </w:t>
      </w:r>
      <w:r>
        <w:rPr>
          <w:color w:val="231F20"/>
          <w:sz w:val="20"/>
        </w:rPr>
        <w:t>health</w:t>
      </w:r>
      <w:r>
        <w:rPr>
          <w:color w:val="231F20"/>
          <w:spacing w:val="-5"/>
          <w:sz w:val="20"/>
        </w:rPr>
        <w:t xml:space="preserve"> </w:t>
      </w:r>
      <w:r>
        <w:rPr>
          <w:color w:val="231F20"/>
          <w:sz w:val="20"/>
        </w:rPr>
        <w:t>or</w:t>
      </w:r>
      <w:r>
        <w:rPr>
          <w:color w:val="231F20"/>
          <w:spacing w:val="-5"/>
          <w:sz w:val="20"/>
        </w:rPr>
        <w:t xml:space="preserve"> </w:t>
      </w:r>
      <w:r>
        <w:rPr>
          <w:color w:val="231F20"/>
          <w:sz w:val="20"/>
        </w:rPr>
        <w:t>with</w:t>
      </w:r>
      <w:r>
        <w:rPr>
          <w:color w:val="231F20"/>
          <w:spacing w:val="-5"/>
          <w:sz w:val="20"/>
        </w:rPr>
        <w:t xml:space="preserve"> </w:t>
      </w:r>
      <w:r>
        <w:rPr>
          <w:color w:val="231F20"/>
          <w:sz w:val="20"/>
        </w:rPr>
        <w:t>other</w:t>
      </w:r>
    </w:p>
    <w:p w14:paraId="17AA81C9" w14:textId="77777777" w:rsidR="00894070" w:rsidRDefault="009B7AFD">
      <w:pPr>
        <w:pStyle w:val="BodyText"/>
        <w:spacing w:line="259" w:lineRule="exact"/>
        <w:ind w:left="1579"/>
      </w:pPr>
      <w:r>
        <w:rPr>
          <w:color w:val="231F20"/>
        </w:rPr>
        <w:t>health problems due to stalking.</w:t>
      </w:r>
    </w:p>
    <w:p w14:paraId="0341C6A7" w14:textId="77777777" w:rsidR="00894070" w:rsidRDefault="009B7AFD">
      <w:pPr>
        <w:pStyle w:val="BodyText"/>
        <w:spacing w:before="80" w:line="206" w:lineRule="auto"/>
        <w:ind w:left="1239" w:right="1459"/>
      </w:pPr>
      <w:r>
        <w:rPr>
          <w:color w:val="231F20"/>
        </w:rPr>
        <w:t>MASIP also provided relocation assistance, advice on how to document the stalking behaviours and assistance with reporting to police or getting a civil intervention order.</w:t>
      </w:r>
    </w:p>
    <w:p w14:paraId="0D6EA4DA" w14:textId="77777777" w:rsidR="00894070" w:rsidRDefault="009B7AFD">
      <w:pPr>
        <w:pStyle w:val="BodyText"/>
        <w:spacing w:before="122" w:line="206" w:lineRule="auto"/>
        <w:ind w:left="1239" w:right="1499"/>
      </w:pPr>
      <w:r>
        <w:rPr>
          <w:color w:val="231F20"/>
        </w:rPr>
        <w:t>The final evaluation of MASIP was published in April 2020 and concluded that victim advocacy was a valuable support tool for victims. It found that victim advocacy provided victim survivors with emotional and pragmatic support and equipped them with the knowledge and confidence needed to keep them engaged with the justice system. It allowed victim survivors to participate actively in managing safety risks.</w:t>
      </w:r>
    </w:p>
    <w:p w14:paraId="68B6EACE" w14:textId="77777777" w:rsidR="00894070" w:rsidRDefault="009B7AFD">
      <w:pPr>
        <w:pStyle w:val="BodyText"/>
        <w:spacing w:before="127" w:line="206" w:lineRule="auto"/>
        <w:ind w:left="1239" w:right="1534"/>
      </w:pPr>
      <w:r>
        <w:rPr>
          <w:color w:val="231F20"/>
        </w:rPr>
        <w:t>The advocate functioned as the victim survivor’s voice across interactions with support services and the justice system. For example, at court, victim advocates requested specific clauses in civil intervention orders, which allowed courts to put physical limits in place between the victim survivor and the person stalking. They also supported victim survivors to better understand what was happening as their case moved through the criminal justice system, which was a major information gap.</w:t>
      </w:r>
    </w:p>
    <w:p w14:paraId="4C5AC6BD" w14:textId="77777777" w:rsidR="00894070" w:rsidRDefault="009B7AFD">
      <w:pPr>
        <w:pStyle w:val="BodyText"/>
        <w:spacing w:before="127" w:line="206" w:lineRule="auto"/>
        <w:ind w:left="1239" w:right="1459"/>
      </w:pPr>
      <w:r>
        <w:rPr>
          <w:color w:val="231F20"/>
        </w:rPr>
        <w:t>The evaluation made some findings for improvement, including a need for more mental health provision to help victim survivors cope with the negative impacts of being stalked.</w:t>
      </w:r>
    </w:p>
    <w:p w14:paraId="51871BB3" w14:textId="77777777" w:rsidR="00894070" w:rsidRDefault="00894070">
      <w:pPr>
        <w:pStyle w:val="BodyText"/>
      </w:pPr>
    </w:p>
    <w:p w14:paraId="473E701A" w14:textId="77777777" w:rsidR="00894070" w:rsidRDefault="00894070">
      <w:pPr>
        <w:pStyle w:val="BodyText"/>
      </w:pPr>
    </w:p>
    <w:p w14:paraId="415F79A0" w14:textId="77777777" w:rsidR="00894070" w:rsidRDefault="00894070">
      <w:pPr>
        <w:pStyle w:val="BodyText"/>
      </w:pPr>
    </w:p>
    <w:p w14:paraId="06C9C359" w14:textId="77777777" w:rsidR="00894070" w:rsidRDefault="00894070">
      <w:pPr>
        <w:pStyle w:val="BodyText"/>
      </w:pPr>
    </w:p>
    <w:p w14:paraId="0557E71B" w14:textId="77777777" w:rsidR="00894070" w:rsidRDefault="00894070">
      <w:pPr>
        <w:pStyle w:val="BodyText"/>
      </w:pPr>
    </w:p>
    <w:p w14:paraId="1849AC03" w14:textId="77777777" w:rsidR="00894070" w:rsidRDefault="00894070">
      <w:pPr>
        <w:pStyle w:val="BodyText"/>
      </w:pPr>
    </w:p>
    <w:p w14:paraId="5D58A137" w14:textId="77777777" w:rsidR="00894070" w:rsidRDefault="00894070">
      <w:pPr>
        <w:pStyle w:val="BodyText"/>
      </w:pPr>
    </w:p>
    <w:p w14:paraId="2C2DA8AD" w14:textId="77777777" w:rsidR="00894070" w:rsidRDefault="00894070">
      <w:pPr>
        <w:pStyle w:val="BodyText"/>
      </w:pPr>
    </w:p>
    <w:p w14:paraId="6EACCBB0" w14:textId="77777777" w:rsidR="00894070" w:rsidRDefault="00894070">
      <w:pPr>
        <w:pStyle w:val="BodyText"/>
      </w:pPr>
    </w:p>
    <w:p w14:paraId="760F0CC8" w14:textId="77777777" w:rsidR="00894070" w:rsidRDefault="009F6793">
      <w:pPr>
        <w:pStyle w:val="BodyText"/>
        <w:spacing w:before="9"/>
        <w:rPr>
          <w:sz w:val="17"/>
        </w:rPr>
      </w:pPr>
      <w:r>
        <w:pict w14:anchorId="257ADF71">
          <v:line id="_x0000_s1389" style="position:absolute;z-index:251617280;mso-wrap-distance-left:0;mso-wrap-distance-right:0;mso-position-horizontal-relative:page" from="79.35pt,14.7pt" to="515.9pt,14.7pt" strokecolor="#f8cabc" strokeweight="1pt">
            <w10:wrap type="topAndBottom" anchorx="page"/>
          </v:line>
        </w:pict>
      </w:r>
    </w:p>
    <w:p w14:paraId="3A6A3996" w14:textId="77777777" w:rsidR="00894070" w:rsidRDefault="009B7AFD">
      <w:pPr>
        <w:pStyle w:val="ListParagraph"/>
        <w:numPr>
          <w:ilvl w:val="0"/>
          <w:numId w:val="110"/>
        </w:numPr>
        <w:tabs>
          <w:tab w:val="left" w:pos="1801"/>
          <w:tab w:val="left" w:pos="1802"/>
        </w:tabs>
        <w:spacing w:before="107" w:line="213" w:lineRule="auto"/>
        <w:ind w:right="1813"/>
        <w:rPr>
          <w:sz w:val="13"/>
        </w:rPr>
      </w:pPr>
      <w:r>
        <w:rPr>
          <w:color w:val="231F20"/>
          <w:sz w:val="13"/>
        </w:rPr>
        <w:t xml:space="preserve">Kritika Jerath, Lisa Tompson and Jyoti Belur, ‘Risk Management in Stalking Victims: A Multi-Agency Approach to Victim Advocacy’ [2020] </w:t>
      </w:r>
      <w:r>
        <w:rPr>
          <w:i/>
          <w:color w:val="231F20"/>
          <w:sz w:val="13"/>
        </w:rPr>
        <w:t xml:space="preserve">Journal of Interpersonal Violence </w:t>
      </w:r>
      <w:r>
        <w:rPr>
          <w:color w:val="231F20"/>
          <w:sz w:val="13"/>
        </w:rPr>
        <w:t>10.1177/0886260520980402:1–27,</w:t>
      </w:r>
      <w:r>
        <w:rPr>
          <w:color w:val="231F20"/>
          <w:spacing w:val="8"/>
          <w:sz w:val="13"/>
        </w:rPr>
        <w:t xml:space="preserve"> </w:t>
      </w:r>
      <w:r>
        <w:rPr>
          <w:color w:val="231F20"/>
          <w:spacing w:val="3"/>
          <w:sz w:val="13"/>
        </w:rPr>
        <w:t>3.</w:t>
      </w:r>
    </w:p>
    <w:p w14:paraId="182FFCBF" w14:textId="77777777" w:rsidR="00894070" w:rsidRDefault="009B7AFD">
      <w:pPr>
        <w:pStyle w:val="ListParagraph"/>
        <w:numPr>
          <w:ilvl w:val="0"/>
          <w:numId w:val="110"/>
        </w:numPr>
        <w:tabs>
          <w:tab w:val="left" w:pos="1800"/>
          <w:tab w:val="left" w:pos="1802"/>
        </w:tabs>
        <w:spacing w:line="213" w:lineRule="auto"/>
        <w:ind w:right="1805"/>
        <w:rPr>
          <w:sz w:val="13"/>
        </w:rPr>
      </w:pPr>
      <w:r>
        <w:rPr>
          <w:color w:val="231F20"/>
          <w:sz w:val="13"/>
        </w:rPr>
        <w:t xml:space="preserve">Heng Choon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An International Perspective </w:t>
      </w:r>
      <w:r>
        <w:rPr>
          <w:color w:val="231F20"/>
          <w:sz w:val="13"/>
        </w:rPr>
        <w:t xml:space="preserve">(Wiley, 2020) chs </w:t>
      </w:r>
      <w:r>
        <w:rPr>
          <w:color w:val="231F20"/>
          <w:spacing w:val="-3"/>
          <w:sz w:val="13"/>
        </w:rPr>
        <w:t>197,</w:t>
      </w:r>
      <w:r>
        <w:rPr>
          <w:color w:val="231F20"/>
          <w:sz w:val="13"/>
        </w:rPr>
        <w:t xml:space="preserve"> </w:t>
      </w:r>
      <w:r>
        <w:rPr>
          <w:color w:val="231F20"/>
          <w:spacing w:val="2"/>
          <w:sz w:val="13"/>
        </w:rPr>
        <w:t>199.</w:t>
      </w:r>
    </w:p>
    <w:p w14:paraId="03FFE948" w14:textId="77777777" w:rsidR="00894070" w:rsidRDefault="009B7AFD">
      <w:pPr>
        <w:pStyle w:val="ListParagraph"/>
        <w:numPr>
          <w:ilvl w:val="0"/>
          <w:numId w:val="110"/>
        </w:numPr>
        <w:tabs>
          <w:tab w:val="left" w:pos="1800"/>
          <w:tab w:val="left" w:pos="1802"/>
        </w:tabs>
        <w:spacing w:line="213" w:lineRule="auto"/>
        <w:ind w:right="1167"/>
        <w:rPr>
          <w:sz w:val="13"/>
        </w:rPr>
      </w:pPr>
      <w:r>
        <w:rPr>
          <w:color w:val="231F20"/>
          <w:sz w:val="13"/>
        </w:rPr>
        <w:t xml:space="preserve">The </w:t>
      </w:r>
      <w:r>
        <w:rPr>
          <w:color w:val="231F20"/>
          <w:spacing w:val="2"/>
          <w:sz w:val="13"/>
        </w:rPr>
        <w:t xml:space="preserve">VictimConnect </w:t>
      </w:r>
      <w:r>
        <w:rPr>
          <w:color w:val="231F20"/>
          <w:sz w:val="13"/>
        </w:rPr>
        <w:t xml:space="preserve">Resource Centre provides information and </w:t>
      </w:r>
      <w:r>
        <w:rPr>
          <w:color w:val="231F20"/>
          <w:spacing w:val="2"/>
          <w:sz w:val="13"/>
        </w:rPr>
        <w:t xml:space="preserve">assistance </w:t>
      </w:r>
      <w:r>
        <w:rPr>
          <w:color w:val="231F20"/>
          <w:sz w:val="13"/>
        </w:rPr>
        <w:t xml:space="preserve">to victim survivors of </w:t>
      </w:r>
      <w:r>
        <w:rPr>
          <w:color w:val="231F20"/>
          <w:spacing w:val="2"/>
          <w:sz w:val="13"/>
        </w:rPr>
        <w:t xml:space="preserve">stalking: </w:t>
      </w:r>
      <w:r>
        <w:rPr>
          <w:color w:val="231F20"/>
          <w:sz w:val="13"/>
        </w:rPr>
        <w:t xml:space="preserve">‘Stalking’, </w:t>
      </w:r>
      <w:r>
        <w:rPr>
          <w:i/>
          <w:color w:val="231F20"/>
          <w:sz w:val="13"/>
        </w:rPr>
        <w:t xml:space="preserve">Victim Connect Resource Center </w:t>
      </w:r>
      <w:r>
        <w:rPr>
          <w:color w:val="231F20"/>
          <w:sz w:val="13"/>
        </w:rPr>
        <w:t>(Web Page, 2022</w:t>
      </w:r>
      <w:hyperlink r:id="rId147">
        <w:r>
          <w:rPr>
            <w:color w:val="231F20"/>
            <w:sz w:val="13"/>
          </w:rPr>
          <w:t>)</w:t>
        </w:r>
        <w:r>
          <w:rPr>
            <w:color w:val="231F20"/>
            <w:spacing w:val="7"/>
            <w:sz w:val="13"/>
          </w:rPr>
          <w:t xml:space="preserve"> </w:t>
        </w:r>
        <w:r>
          <w:rPr>
            <w:color w:val="231F20"/>
            <w:sz w:val="13"/>
          </w:rPr>
          <w:t>&lt;https://victimconnect.org/learn/types-of-crime/stalking/</w:t>
        </w:r>
      </w:hyperlink>
      <w:r>
        <w:rPr>
          <w:color w:val="231F20"/>
          <w:sz w:val="13"/>
        </w:rPr>
        <w:t>&gt;.</w:t>
      </w:r>
    </w:p>
    <w:p w14:paraId="0BA523FC" w14:textId="77777777" w:rsidR="00894070" w:rsidRDefault="009B7AFD">
      <w:pPr>
        <w:pStyle w:val="ListParagraph"/>
        <w:numPr>
          <w:ilvl w:val="0"/>
          <w:numId w:val="110"/>
        </w:numPr>
        <w:tabs>
          <w:tab w:val="left" w:pos="1801"/>
          <w:tab w:val="left" w:pos="1802"/>
        </w:tabs>
        <w:spacing w:line="153" w:lineRule="exact"/>
        <w:rPr>
          <w:sz w:val="13"/>
        </w:rPr>
      </w:pPr>
      <w:r>
        <w:rPr>
          <w:color w:val="231F20"/>
          <w:sz w:val="13"/>
        </w:rPr>
        <w:t xml:space="preserve">Paladin </w:t>
      </w:r>
      <w:r>
        <w:rPr>
          <w:color w:val="231F20"/>
          <w:spacing w:val="2"/>
          <w:sz w:val="13"/>
        </w:rPr>
        <w:t xml:space="preserve">Service, </w:t>
      </w:r>
      <w:r>
        <w:rPr>
          <w:i/>
          <w:color w:val="231F20"/>
          <w:sz w:val="13"/>
        </w:rPr>
        <w:t xml:space="preserve">Paladin Vision </w:t>
      </w:r>
      <w:r>
        <w:rPr>
          <w:color w:val="231F20"/>
          <w:sz w:val="13"/>
        </w:rPr>
        <w:t>(Web Page, 2022</w:t>
      </w:r>
      <w:hyperlink r:id="rId148">
        <w:r>
          <w:rPr>
            <w:color w:val="231F20"/>
            <w:sz w:val="13"/>
          </w:rPr>
          <w:t>)</w:t>
        </w:r>
        <w:r>
          <w:rPr>
            <w:color w:val="231F20"/>
            <w:spacing w:val="4"/>
            <w:sz w:val="13"/>
          </w:rPr>
          <w:t xml:space="preserve"> </w:t>
        </w:r>
        <w:r>
          <w:rPr>
            <w:color w:val="231F20"/>
            <w:sz w:val="13"/>
          </w:rPr>
          <w:t>&lt;https://www.paladinservice.co.uk/our-mission</w:t>
        </w:r>
      </w:hyperlink>
      <w:r>
        <w:rPr>
          <w:color w:val="231F20"/>
          <w:sz w:val="13"/>
        </w:rPr>
        <w:t>&gt;.</w:t>
      </w:r>
    </w:p>
    <w:p w14:paraId="59623032" w14:textId="77777777" w:rsidR="00894070" w:rsidRDefault="009F6793">
      <w:pPr>
        <w:pStyle w:val="ListParagraph"/>
        <w:numPr>
          <w:ilvl w:val="0"/>
          <w:numId w:val="110"/>
        </w:numPr>
        <w:tabs>
          <w:tab w:val="left" w:pos="1801"/>
          <w:tab w:val="left" w:pos="1802"/>
        </w:tabs>
        <w:spacing w:before="4" w:line="213" w:lineRule="auto"/>
        <w:ind w:right="1656"/>
        <w:rPr>
          <w:sz w:val="13"/>
        </w:rPr>
      </w:pPr>
      <w:r>
        <w:pict w14:anchorId="75DAC42B">
          <v:shape id="_x0000_s1388" type="#_x0000_t202" style="position:absolute;left:0;text-align:left;margin-left:36pt;margin-top:3.6pt;width:14.65pt;height:14.1pt;z-index:251695104;mso-position-horizontal-relative:page" filled="f" stroked="f">
            <v:textbox inset="0,0,0,0">
              <w:txbxContent>
                <w:p w14:paraId="4B377C1E" w14:textId="77777777" w:rsidR="00894070" w:rsidRDefault="009B7AFD">
                  <w:pPr>
                    <w:spacing w:line="282" w:lineRule="exact"/>
                    <w:rPr>
                      <w:b/>
                      <w:sz w:val="24"/>
                    </w:rPr>
                  </w:pPr>
                  <w:r>
                    <w:rPr>
                      <w:b/>
                      <w:color w:val="EA5B50"/>
                      <w:sz w:val="24"/>
                    </w:rPr>
                    <w:t>90</w:t>
                  </w:r>
                </w:p>
              </w:txbxContent>
            </v:textbox>
            <w10:wrap anchorx="page"/>
          </v:shape>
        </w:pict>
      </w:r>
      <w:r w:rsidR="009B7AFD">
        <w:rPr>
          <w:color w:val="231F20"/>
          <w:sz w:val="13"/>
        </w:rPr>
        <w:t xml:space="preserve">Lisa Tompson, Jyoti Belur and Kritika Jerath, </w:t>
      </w:r>
      <w:r w:rsidR="009B7AFD">
        <w:rPr>
          <w:i/>
          <w:color w:val="231F20"/>
          <w:sz w:val="13"/>
        </w:rPr>
        <w:t xml:space="preserve">MASIP Evaluation </w:t>
      </w:r>
      <w:r w:rsidR="009B7AFD">
        <w:rPr>
          <w:color w:val="231F20"/>
          <w:sz w:val="13"/>
        </w:rPr>
        <w:t xml:space="preserve">(Final </w:t>
      </w:r>
      <w:r w:rsidR="009B7AFD">
        <w:rPr>
          <w:color w:val="231F20"/>
          <w:spacing w:val="2"/>
          <w:sz w:val="13"/>
        </w:rPr>
        <w:t xml:space="preserve">Report, </w:t>
      </w:r>
      <w:r w:rsidR="009B7AFD">
        <w:rPr>
          <w:color w:val="231F20"/>
          <w:sz w:val="13"/>
        </w:rPr>
        <w:t>Multi-Agency Stalking Intervention Program, University College London, 2020).</w:t>
      </w:r>
    </w:p>
    <w:p w14:paraId="26DFCA1A" w14:textId="77777777" w:rsidR="00894070" w:rsidRDefault="00894070">
      <w:pPr>
        <w:spacing w:line="213" w:lineRule="auto"/>
        <w:rPr>
          <w:sz w:val="13"/>
        </w:rPr>
        <w:sectPr w:rsidR="00894070">
          <w:pgSz w:w="11910" w:h="16840"/>
          <w:pgMar w:top="860" w:right="420" w:bottom="280" w:left="580" w:header="567" w:footer="0" w:gutter="0"/>
          <w:cols w:space="720"/>
        </w:sectPr>
      </w:pPr>
    </w:p>
    <w:p w14:paraId="72591C69" w14:textId="77777777" w:rsidR="00894070" w:rsidRDefault="00894070">
      <w:pPr>
        <w:pStyle w:val="BodyText"/>
      </w:pPr>
    </w:p>
    <w:p w14:paraId="5FA3E799" w14:textId="77777777" w:rsidR="00894070" w:rsidRDefault="00894070">
      <w:pPr>
        <w:pStyle w:val="BodyText"/>
      </w:pPr>
    </w:p>
    <w:p w14:paraId="2DF8B160" w14:textId="77777777" w:rsidR="00894070" w:rsidRDefault="00894070">
      <w:pPr>
        <w:pStyle w:val="BodyText"/>
      </w:pPr>
    </w:p>
    <w:p w14:paraId="38B96CB8" w14:textId="77777777" w:rsidR="00894070" w:rsidRDefault="00894070">
      <w:pPr>
        <w:pStyle w:val="BodyText"/>
        <w:spacing w:before="6"/>
        <w:rPr>
          <w:sz w:val="14"/>
        </w:rPr>
      </w:pPr>
    </w:p>
    <w:p w14:paraId="3C8C9534" w14:textId="77777777" w:rsidR="00894070" w:rsidRDefault="009B7AFD">
      <w:pPr>
        <w:pStyle w:val="Heading8"/>
        <w:spacing w:before="49"/>
        <w:ind w:left="1007"/>
        <w:rPr>
          <w:sz w:val="14"/>
        </w:rPr>
      </w:pPr>
      <w:bookmarkStart w:id="109" w:name="_bookmark61"/>
      <w:bookmarkEnd w:id="109"/>
      <w:r>
        <w:rPr>
          <w:color w:val="231F20"/>
        </w:rPr>
        <w:t>Victim advocates ‘would be a game changer’</w:t>
      </w:r>
      <w:r>
        <w:rPr>
          <w:color w:val="231F20"/>
          <w:position w:val="8"/>
          <w:sz w:val="14"/>
        </w:rPr>
        <w:t>127</w:t>
      </w:r>
    </w:p>
    <w:p w14:paraId="7844B4DE" w14:textId="77777777" w:rsidR="00894070" w:rsidRDefault="009B7AFD">
      <w:pPr>
        <w:pStyle w:val="ListParagraph"/>
        <w:numPr>
          <w:ilvl w:val="1"/>
          <w:numId w:val="126"/>
        </w:numPr>
        <w:tabs>
          <w:tab w:val="left" w:pos="1801"/>
          <w:tab w:val="left" w:pos="1802"/>
        </w:tabs>
        <w:spacing w:before="95"/>
        <w:rPr>
          <w:sz w:val="20"/>
        </w:rPr>
      </w:pPr>
      <w:r>
        <w:rPr>
          <w:color w:val="231F20"/>
          <w:sz w:val="20"/>
        </w:rPr>
        <w:t>There</w:t>
      </w:r>
      <w:r>
        <w:rPr>
          <w:color w:val="231F20"/>
          <w:spacing w:val="-6"/>
          <w:sz w:val="20"/>
        </w:rPr>
        <w:t xml:space="preserve"> </w:t>
      </w:r>
      <w:r>
        <w:rPr>
          <w:color w:val="231F20"/>
          <w:sz w:val="20"/>
        </w:rPr>
        <w:t>was</w:t>
      </w:r>
      <w:r>
        <w:rPr>
          <w:color w:val="231F20"/>
          <w:spacing w:val="-5"/>
          <w:sz w:val="20"/>
        </w:rPr>
        <w:t xml:space="preserve"> </w:t>
      </w:r>
      <w:r>
        <w:rPr>
          <w:color w:val="231F20"/>
          <w:sz w:val="20"/>
        </w:rPr>
        <w:t>strong</w:t>
      </w:r>
      <w:r>
        <w:rPr>
          <w:color w:val="231F20"/>
          <w:spacing w:val="-5"/>
          <w:sz w:val="20"/>
        </w:rPr>
        <w:t xml:space="preserve"> </w:t>
      </w:r>
      <w:r>
        <w:rPr>
          <w:color w:val="231F20"/>
          <w:sz w:val="20"/>
        </w:rPr>
        <w:t>support</w:t>
      </w:r>
      <w:r>
        <w:rPr>
          <w:color w:val="231F20"/>
          <w:spacing w:val="-6"/>
          <w:sz w:val="20"/>
        </w:rPr>
        <w:t xml:space="preserve"> </w:t>
      </w:r>
      <w:r>
        <w:rPr>
          <w:color w:val="231F20"/>
          <w:sz w:val="20"/>
        </w:rPr>
        <w:t>in</w:t>
      </w:r>
      <w:r>
        <w:rPr>
          <w:color w:val="231F20"/>
          <w:spacing w:val="-5"/>
          <w:sz w:val="20"/>
        </w:rPr>
        <w:t xml:space="preserve"> </w:t>
      </w:r>
      <w:r>
        <w:rPr>
          <w:color w:val="231F20"/>
          <w:sz w:val="20"/>
        </w:rPr>
        <w:t>this</w:t>
      </w:r>
      <w:r>
        <w:rPr>
          <w:color w:val="231F20"/>
          <w:spacing w:val="-5"/>
          <w:sz w:val="20"/>
        </w:rPr>
        <w:t xml:space="preserve"> </w:t>
      </w:r>
      <w:r>
        <w:rPr>
          <w:color w:val="231F20"/>
          <w:sz w:val="20"/>
        </w:rPr>
        <w:t>inquiry</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an</w:t>
      </w:r>
      <w:r>
        <w:rPr>
          <w:color w:val="231F20"/>
          <w:spacing w:val="-5"/>
          <w:sz w:val="20"/>
        </w:rPr>
        <w:t xml:space="preserve"> </w:t>
      </w:r>
      <w:r>
        <w:rPr>
          <w:color w:val="231F20"/>
          <w:sz w:val="20"/>
        </w:rPr>
        <w:t>advocacy</w:t>
      </w:r>
      <w:r>
        <w:rPr>
          <w:color w:val="231F20"/>
          <w:spacing w:val="-5"/>
          <w:sz w:val="20"/>
        </w:rPr>
        <w:t xml:space="preserve"> </w:t>
      </w:r>
      <w:r>
        <w:rPr>
          <w:color w:val="231F20"/>
          <w:spacing w:val="-3"/>
          <w:sz w:val="20"/>
        </w:rPr>
        <w:t>role</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victim</w:t>
      </w:r>
      <w:r>
        <w:rPr>
          <w:color w:val="231F20"/>
          <w:spacing w:val="-5"/>
          <w:sz w:val="20"/>
        </w:rPr>
        <w:t xml:space="preserve"> </w:t>
      </w:r>
      <w:r>
        <w:rPr>
          <w:color w:val="231F20"/>
          <w:sz w:val="20"/>
        </w:rPr>
        <w:t>survivors.</w:t>
      </w:r>
    </w:p>
    <w:p w14:paraId="7EDBA5B3" w14:textId="77777777" w:rsidR="00894070" w:rsidRDefault="009B7AFD">
      <w:pPr>
        <w:pStyle w:val="ListParagraph"/>
        <w:numPr>
          <w:ilvl w:val="1"/>
          <w:numId w:val="126"/>
        </w:numPr>
        <w:tabs>
          <w:tab w:val="left" w:pos="1801"/>
          <w:tab w:val="left" w:pos="1802"/>
        </w:tabs>
        <w:spacing w:before="115" w:line="206" w:lineRule="auto"/>
        <w:ind w:right="1186"/>
        <w:rPr>
          <w:sz w:val="11"/>
        </w:rPr>
      </w:pPr>
      <w:r>
        <w:rPr>
          <w:color w:val="231F20"/>
          <w:sz w:val="20"/>
        </w:rPr>
        <w:t xml:space="preserve">Some victim survivors called </w:t>
      </w:r>
      <w:r>
        <w:rPr>
          <w:color w:val="231F20"/>
          <w:spacing w:val="-3"/>
          <w:sz w:val="20"/>
        </w:rPr>
        <w:t xml:space="preserve">for </w:t>
      </w:r>
      <w:r>
        <w:rPr>
          <w:color w:val="231F20"/>
          <w:sz w:val="20"/>
        </w:rPr>
        <w:t xml:space="preserve">support to come in the </w:t>
      </w:r>
      <w:r>
        <w:rPr>
          <w:color w:val="231F20"/>
          <w:spacing w:val="-3"/>
          <w:sz w:val="20"/>
        </w:rPr>
        <w:t xml:space="preserve">form </w:t>
      </w:r>
      <w:r>
        <w:rPr>
          <w:color w:val="231F20"/>
          <w:sz w:val="20"/>
        </w:rPr>
        <w:t>of a support person.</w:t>
      </w:r>
      <w:r>
        <w:rPr>
          <w:color w:val="231F20"/>
          <w:position w:val="7"/>
          <w:sz w:val="11"/>
        </w:rPr>
        <w:t>128</w:t>
      </w:r>
      <w:r>
        <w:rPr>
          <w:color w:val="231F20"/>
          <w:sz w:val="11"/>
        </w:rPr>
        <w:t xml:space="preserve"> </w:t>
      </w:r>
      <w:r>
        <w:rPr>
          <w:color w:val="231F20"/>
          <w:sz w:val="20"/>
        </w:rPr>
        <w:t xml:space="preserve">Erin </w:t>
      </w:r>
      <w:r>
        <w:rPr>
          <w:color w:val="231F20"/>
          <w:spacing w:val="-4"/>
          <w:sz w:val="20"/>
        </w:rPr>
        <w:t xml:space="preserve">Scrimshaw, </w:t>
      </w:r>
      <w:r>
        <w:rPr>
          <w:color w:val="231F20"/>
          <w:sz w:val="20"/>
        </w:rPr>
        <w:t xml:space="preserve">a close friend of Celeste Manno, who has also experienced stalking, </w:t>
      </w:r>
      <w:r>
        <w:rPr>
          <w:color w:val="231F20"/>
          <w:spacing w:val="-3"/>
          <w:sz w:val="20"/>
        </w:rPr>
        <w:t>told</w:t>
      </w:r>
      <w:r>
        <w:rPr>
          <w:color w:val="231F20"/>
          <w:spacing w:val="-8"/>
          <w:sz w:val="20"/>
        </w:rPr>
        <w:t xml:space="preserve"> </w:t>
      </w:r>
      <w:r>
        <w:rPr>
          <w:color w:val="231F20"/>
          <w:sz w:val="20"/>
        </w:rPr>
        <w:t>us</w:t>
      </w:r>
      <w:r>
        <w:rPr>
          <w:color w:val="231F20"/>
          <w:spacing w:val="-7"/>
          <w:sz w:val="20"/>
        </w:rPr>
        <w:t xml:space="preserve"> </w:t>
      </w:r>
      <w:r>
        <w:rPr>
          <w:color w:val="231F20"/>
          <w:sz w:val="20"/>
        </w:rPr>
        <w:t>that</w:t>
      </w:r>
      <w:r>
        <w:rPr>
          <w:color w:val="231F20"/>
          <w:spacing w:val="-7"/>
          <w:sz w:val="20"/>
        </w:rPr>
        <w:t xml:space="preserve"> </w:t>
      </w:r>
      <w:r>
        <w:rPr>
          <w:color w:val="231F20"/>
          <w:sz w:val="20"/>
        </w:rPr>
        <w:t>case</w:t>
      </w:r>
      <w:r>
        <w:rPr>
          <w:color w:val="231F20"/>
          <w:spacing w:val="-8"/>
          <w:sz w:val="20"/>
        </w:rPr>
        <w:t xml:space="preserve"> </w:t>
      </w:r>
      <w:r>
        <w:rPr>
          <w:color w:val="231F20"/>
          <w:spacing w:val="-3"/>
          <w:sz w:val="20"/>
        </w:rPr>
        <w:t>workers</w:t>
      </w:r>
      <w:r>
        <w:rPr>
          <w:color w:val="231F20"/>
          <w:spacing w:val="-7"/>
          <w:sz w:val="20"/>
        </w:rPr>
        <w:t xml:space="preserve"> </w:t>
      </w:r>
      <w:r>
        <w:rPr>
          <w:color w:val="231F20"/>
          <w:sz w:val="20"/>
        </w:rPr>
        <w:t>should</w:t>
      </w:r>
      <w:r>
        <w:rPr>
          <w:color w:val="231F20"/>
          <w:spacing w:val="-7"/>
          <w:sz w:val="20"/>
        </w:rPr>
        <w:t xml:space="preserve"> </w:t>
      </w:r>
      <w:r>
        <w:rPr>
          <w:color w:val="231F20"/>
          <w:sz w:val="20"/>
        </w:rPr>
        <w:t>be</w:t>
      </w:r>
      <w:r>
        <w:rPr>
          <w:color w:val="231F20"/>
          <w:spacing w:val="-7"/>
          <w:sz w:val="20"/>
        </w:rPr>
        <w:t xml:space="preserve"> </w:t>
      </w:r>
      <w:r>
        <w:rPr>
          <w:color w:val="231F20"/>
          <w:sz w:val="20"/>
        </w:rPr>
        <w:t>‘assigned</w:t>
      </w:r>
      <w:r>
        <w:rPr>
          <w:color w:val="231F20"/>
          <w:spacing w:val="-8"/>
          <w:sz w:val="20"/>
        </w:rPr>
        <w:t xml:space="preserve"> </w:t>
      </w:r>
      <w:r>
        <w:rPr>
          <w:color w:val="231F20"/>
          <w:sz w:val="20"/>
        </w:rPr>
        <w:t>to</w:t>
      </w:r>
      <w:r>
        <w:rPr>
          <w:color w:val="231F20"/>
          <w:spacing w:val="-7"/>
          <w:sz w:val="20"/>
        </w:rPr>
        <w:t xml:space="preserve"> </w:t>
      </w:r>
      <w:r>
        <w:rPr>
          <w:color w:val="231F20"/>
          <w:sz w:val="20"/>
        </w:rPr>
        <w:t>victims</w:t>
      </w:r>
      <w:r>
        <w:rPr>
          <w:color w:val="231F20"/>
          <w:spacing w:val="-7"/>
          <w:sz w:val="20"/>
        </w:rPr>
        <w:t xml:space="preserve"> </w:t>
      </w:r>
      <w:r>
        <w:rPr>
          <w:color w:val="231F20"/>
          <w:sz w:val="20"/>
        </w:rPr>
        <w:t>of</w:t>
      </w:r>
      <w:r>
        <w:rPr>
          <w:color w:val="231F20"/>
          <w:spacing w:val="-7"/>
          <w:sz w:val="20"/>
        </w:rPr>
        <w:t xml:space="preserve"> </w:t>
      </w:r>
      <w:r>
        <w:rPr>
          <w:color w:val="231F20"/>
          <w:sz w:val="20"/>
        </w:rPr>
        <w:t>stalking</w:t>
      </w:r>
      <w:r>
        <w:rPr>
          <w:color w:val="231F20"/>
          <w:spacing w:val="-8"/>
          <w:sz w:val="20"/>
        </w:rPr>
        <w:t xml:space="preserve"> </w:t>
      </w:r>
      <w:r>
        <w:rPr>
          <w:color w:val="231F20"/>
          <w:sz w:val="20"/>
        </w:rPr>
        <w:t>…</w:t>
      </w:r>
      <w:r>
        <w:rPr>
          <w:color w:val="231F20"/>
          <w:spacing w:val="-7"/>
          <w:sz w:val="20"/>
        </w:rPr>
        <w:t xml:space="preserve"> </w:t>
      </w:r>
      <w:r>
        <w:rPr>
          <w:color w:val="231F20"/>
          <w:sz w:val="20"/>
        </w:rPr>
        <w:t>who</w:t>
      </w:r>
      <w:r>
        <w:rPr>
          <w:color w:val="231F20"/>
          <w:spacing w:val="-7"/>
          <w:sz w:val="20"/>
        </w:rPr>
        <w:t xml:space="preserve"> </w:t>
      </w:r>
      <w:r>
        <w:rPr>
          <w:color w:val="231F20"/>
          <w:spacing w:val="-4"/>
          <w:sz w:val="20"/>
        </w:rPr>
        <w:t>follow</w:t>
      </w:r>
      <w:r>
        <w:rPr>
          <w:color w:val="231F20"/>
          <w:spacing w:val="-7"/>
          <w:sz w:val="20"/>
        </w:rPr>
        <w:t xml:space="preserve"> </w:t>
      </w:r>
      <w:r>
        <w:rPr>
          <w:color w:val="231F20"/>
          <w:sz w:val="20"/>
        </w:rPr>
        <w:t>up</w:t>
      </w:r>
      <w:r>
        <w:rPr>
          <w:color w:val="231F20"/>
          <w:spacing w:val="-8"/>
          <w:sz w:val="20"/>
        </w:rPr>
        <w:t xml:space="preserve"> </w:t>
      </w:r>
      <w:r>
        <w:rPr>
          <w:color w:val="231F20"/>
          <w:sz w:val="20"/>
        </w:rPr>
        <w:t xml:space="preserve">and stay in contact with victims throughout the process of getting an </w:t>
      </w:r>
      <w:r>
        <w:rPr>
          <w:color w:val="231F20"/>
          <w:spacing w:val="-3"/>
          <w:sz w:val="20"/>
        </w:rPr>
        <w:t xml:space="preserve">[intervention order] </w:t>
      </w:r>
      <w:r>
        <w:rPr>
          <w:color w:val="231F20"/>
          <w:sz w:val="20"/>
        </w:rPr>
        <w:t xml:space="preserve">to </w:t>
      </w:r>
      <w:r>
        <w:rPr>
          <w:color w:val="231F20"/>
          <w:spacing w:val="-3"/>
          <w:sz w:val="20"/>
        </w:rPr>
        <w:t>provide</w:t>
      </w:r>
      <w:r>
        <w:rPr>
          <w:color w:val="231F20"/>
          <w:spacing w:val="-6"/>
          <w:sz w:val="20"/>
        </w:rPr>
        <w:t xml:space="preserve"> </w:t>
      </w:r>
      <w:r>
        <w:rPr>
          <w:color w:val="231F20"/>
          <w:sz w:val="20"/>
        </w:rPr>
        <w:t>support,</w:t>
      </w:r>
      <w:r>
        <w:rPr>
          <w:color w:val="231F20"/>
          <w:spacing w:val="-5"/>
          <w:sz w:val="20"/>
        </w:rPr>
        <w:t xml:space="preserve"> </w:t>
      </w:r>
      <w:proofErr w:type="gramStart"/>
      <w:r>
        <w:rPr>
          <w:color w:val="231F20"/>
          <w:sz w:val="20"/>
        </w:rPr>
        <w:t>advice</w:t>
      </w:r>
      <w:proofErr w:type="gramEnd"/>
      <w:r>
        <w:rPr>
          <w:color w:val="231F20"/>
          <w:spacing w:val="-5"/>
          <w:sz w:val="20"/>
        </w:rPr>
        <w:t xml:space="preserve"> </w:t>
      </w:r>
      <w:r>
        <w:rPr>
          <w:color w:val="231F20"/>
          <w:sz w:val="20"/>
        </w:rPr>
        <w:t>and</w:t>
      </w:r>
      <w:r>
        <w:rPr>
          <w:color w:val="231F20"/>
          <w:spacing w:val="-6"/>
          <w:sz w:val="20"/>
        </w:rPr>
        <w:t xml:space="preserve"> </w:t>
      </w:r>
      <w:r>
        <w:rPr>
          <w:color w:val="231F20"/>
          <w:sz w:val="20"/>
        </w:rPr>
        <w:t>easy</w:t>
      </w:r>
      <w:r>
        <w:rPr>
          <w:color w:val="231F20"/>
          <w:spacing w:val="-5"/>
          <w:sz w:val="20"/>
        </w:rPr>
        <w:t xml:space="preserve"> </w:t>
      </w:r>
      <w:r>
        <w:rPr>
          <w:color w:val="231F20"/>
          <w:sz w:val="20"/>
        </w:rPr>
        <w:t>access</w:t>
      </w:r>
      <w:r>
        <w:rPr>
          <w:color w:val="231F20"/>
          <w:spacing w:val="-5"/>
          <w:sz w:val="20"/>
        </w:rPr>
        <w:t xml:space="preserve"> </w:t>
      </w:r>
      <w:r>
        <w:rPr>
          <w:color w:val="231F20"/>
          <w:sz w:val="20"/>
        </w:rPr>
        <w:t>to</w:t>
      </w:r>
      <w:r>
        <w:rPr>
          <w:color w:val="231F20"/>
          <w:spacing w:val="-6"/>
          <w:sz w:val="20"/>
        </w:rPr>
        <w:t xml:space="preserve"> </w:t>
      </w:r>
      <w:r>
        <w:rPr>
          <w:color w:val="231F20"/>
          <w:sz w:val="20"/>
        </w:rPr>
        <w:t>escalating</w:t>
      </w:r>
      <w:r>
        <w:rPr>
          <w:color w:val="231F20"/>
          <w:spacing w:val="-5"/>
          <w:sz w:val="20"/>
        </w:rPr>
        <w:t xml:space="preserve"> </w:t>
      </w:r>
      <w:r>
        <w:rPr>
          <w:color w:val="231F20"/>
          <w:sz w:val="20"/>
        </w:rPr>
        <w:t>further</w:t>
      </w:r>
      <w:r>
        <w:rPr>
          <w:color w:val="231F20"/>
          <w:spacing w:val="-5"/>
          <w:sz w:val="20"/>
        </w:rPr>
        <w:t xml:space="preserve"> </w:t>
      </w:r>
      <w:r>
        <w:rPr>
          <w:color w:val="231F20"/>
          <w:sz w:val="20"/>
        </w:rPr>
        <w:t>reports’.</w:t>
      </w:r>
      <w:r>
        <w:rPr>
          <w:color w:val="231F20"/>
          <w:position w:val="7"/>
          <w:sz w:val="11"/>
        </w:rPr>
        <w:t>129</w:t>
      </w:r>
    </w:p>
    <w:p w14:paraId="4B70CA60" w14:textId="77777777" w:rsidR="00894070" w:rsidRDefault="009B7AFD">
      <w:pPr>
        <w:pStyle w:val="ListParagraph"/>
        <w:numPr>
          <w:ilvl w:val="1"/>
          <w:numId w:val="126"/>
        </w:numPr>
        <w:tabs>
          <w:tab w:val="left" w:pos="1801"/>
          <w:tab w:val="left" w:pos="1802"/>
        </w:tabs>
        <w:spacing w:before="94"/>
        <w:rPr>
          <w:sz w:val="20"/>
        </w:rPr>
      </w:pPr>
      <w:r>
        <w:rPr>
          <w:color w:val="231F20"/>
          <w:sz w:val="20"/>
        </w:rPr>
        <w:t xml:space="preserve">Another victim </w:t>
      </w:r>
      <w:r>
        <w:rPr>
          <w:color w:val="231F20"/>
          <w:spacing w:val="-3"/>
          <w:sz w:val="20"/>
        </w:rPr>
        <w:t xml:space="preserve">survivor, </w:t>
      </w:r>
      <w:r>
        <w:rPr>
          <w:color w:val="231F20"/>
          <w:sz w:val="20"/>
        </w:rPr>
        <w:t>who identified as a migrant,</w:t>
      </w:r>
      <w:r>
        <w:rPr>
          <w:color w:val="231F20"/>
          <w:spacing w:val="-36"/>
          <w:sz w:val="20"/>
        </w:rPr>
        <w:t xml:space="preserve"> </w:t>
      </w:r>
      <w:r>
        <w:rPr>
          <w:color w:val="231F20"/>
          <w:spacing w:val="-3"/>
          <w:sz w:val="20"/>
        </w:rPr>
        <w:t xml:space="preserve">told </w:t>
      </w:r>
      <w:r>
        <w:rPr>
          <w:color w:val="231F20"/>
          <w:sz w:val="20"/>
        </w:rPr>
        <w:t>us:</w:t>
      </w:r>
    </w:p>
    <w:p w14:paraId="41109293" w14:textId="77777777" w:rsidR="00894070" w:rsidRDefault="009F6793">
      <w:pPr>
        <w:pStyle w:val="BodyText"/>
        <w:spacing w:before="12"/>
        <w:rPr>
          <w:sz w:val="22"/>
        </w:rPr>
      </w:pPr>
      <w:r>
        <w:pict w14:anchorId="64A4A8D2">
          <v:shape id="_x0000_s1387" type="#_x0000_t202" style="position:absolute;margin-left:119.3pt;margin-top:18.1pt;width:396.35pt;height:80.1pt;z-index:251620352;mso-wrap-distance-left:0;mso-wrap-distance-right:0;mso-position-horizontal-relative:page" fillcolor="#fee7de" strokecolor="#ea5b50" strokeweight=".5pt">
            <v:textbox inset="0,0,0,0">
              <w:txbxContent>
                <w:p w14:paraId="0ECD3F60" w14:textId="77777777" w:rsidR="00894070" w:rsidRDefault="00894070">
                  <w:pPr>
                    <w:pStyle w:val="BodyText"/>
                    <w:spacing w:before="3"/>
                    <w:rPr>
                      <w:sz w:val="15"/>
                    </w:rPr>
                  </w:pPr>
                </w:p>
                <w:p w14:paraId="7305032A" w14:textId="77777777" w:rsidR="00894070" w:rsidRDefault="009B7AFD">
                  <w:pPr>
                    <w:pStyle w:val="BodyText"/>
                    <w:spacing w:line="206" w:lineRule="auto"/>
                    <w:ind w:left="221" w:right="393"/>
                    <w:rPr>
                      <w:sz w:val="11"/>
                    </w:rPr>
                  </w:pPr>
                  <w:r>
                    <w:rPr>
                      <w:color w:val="231F20"/>
                    </w:rPr>
                    <w:t>Being stalked creates an overwhelming feeling of powerlessness. You are constantly watching wherever you go, the rear vision mirror in your car, you don’t feel safe in your own home. The most important initial support would be for someone to take you seriously and to help you work out what to do without judgement and to help you work out practical steps you can take.</w:t>
                  </w:r>
                  <w:r>
                    <w:rPr>
                      <w:color w:val="231F20"/>
                      <w:position w:val="7"/>
                      <w:sz w:val="11"/>
                    </w:rPr>
                    <w:t>130</w:t>
                  </w:r>
                </w:p>
              </w:txbxContent>
            </v:textbox>
            <w10:wrap type="topAndBottom" anchorx="page"/>
          </v:shape>
        </w:pict>
      </w:r>
    </w:p>
    <w:p w14:paraId="33D3F91B" w14:textId="77777777" w:rsidR="00894070" w:rsidRDefault="00894070">
      <w:pPr>
        <w:pStyle w:val="BodyText"/>
        <w:spacing w:before="6"/>
        <w:rPr>
          <w:sz w:val="19"/>
        </w:rPr>
      </w:pPr>
    </w:p>
    <w:p w14:paraId="66084345" w14:textId="77777777" w:rsidR="00894070" w:rsidRDefault="009B7AFD">
      <w:pPr>
        <w:pStyle w:val="ListParagraph"/>
        <w:numPr>
          <w:ilvl w:val="1"/>
          <w:numId w:val="126"/>
        </w:numPr>
        <w:tabs>
          <w:tab w:val="left" w:pos="1801"/>
          <w:tab w:val="left" w:pos="1802"/>
        </w:tabs>
        <w:spacing w:before="57"/>
        <w:rPr>
          <w:sz w:val="20"/>
        </w:rPr>
      </w:pPr>
      <w:r>
        <w:rPr>
          <w:color w:val="231F20"/>
          <w:sz w:val="20"/>
        </w:rPr>
        <w:t>Di McDonald, a person who experienced stalking,</w:t>
      </w:r>
      <w:r>
        <w:rPr>
          <w:color w:val="231F20"/>
          <w:spacing w:val="-34"/>
          <w:sz w:val="20"/>
        </w:rPr>
        <w:t xml:space="preserve"> </w:t>
      </w:r>
      <w:r>
        <w:rPr>
          <w:color w:val="231F20"/>
          <w:sz w:val="20"/>
        </w:rPr>
        <w:t>suggested:</w:t>
      </w:r>
    </w:p>
    <w:p w14:paraId="66098C53" w14:textId="77777777" w:rsidR="00894070" w:rsidRDefault="009F6793">
      <w:pPr>
        <w:pStyle w:val="BodyText"/>
        <w:spacing w:before="12"/>
        <w:rPr>
          <w:sz w:val="22"/>
        </w:rPr>
      </w:pPr>
      <w:r>
        <w:pict w14:anchorId="1BED5C3B">
          <v:shape id="_x0000_s1386" type="#_x0000_t202" style="position:absolute;margin-left:119.3pt;margin-top:18.1pt;width:396.35pt;height:68.1pt;z-index:251621376;mso-wrap-distance-left:0;mso-wrap-distance-right:0;mso-position-horizontal-relative:page" fillcolor="#fee7de" strokecolor="#ea5b50" strokeweight=".5pt">
            <v:textbox inset="0,0,0,0">
              <w:txbxContent>
                <w:p w14:paraId="0B01F64B" w14:textId="77777777" w:rsidR="00894070" w:rsidRDefault="00894070">
                  <w:pPr>
                    <w:pStyle w:val="BodyText"/>
                    <w:spacing w:before="3"/>
                    <w:rPr>
                      <w:sz w:val="15"/>
                    </w:rPr>
                  </w:pPr>
                </w:p>
                <w:p w14:paraId="655254CA" w14:textId="77777777" w:rsidR="00894070" w:rsidRDefault="009B7AFD">
                  <w:pPr>
                    <w:pStyle w:val="BodyText"/>
                    <w:spacing w:line="206" w:lineRule="auto"/>
                    <w:ind w:left="221" w:right="217"/>
                    <w:rPr>
                      <w:sz w:val="11"/>
                    </w:rPr>
                  </w:pPr>
                  <w:r>
                    <w:rPr>
                      <w:color w:val="231F20"/>
                    </w:rPr>
                    <w:t>Assign a victim a support person that will see them through all of the processes. Police, Victim Services and Court. They may not have anyone to be there for them, so their own personal support person, who deals with all the legal things would be a godsend…</w:t>
                  </w:r>
                  <w:r>
                    <w:rPr>
                      <w:color w:val="231F20"/>
                      <w:position w:val="7"/>
                      <w:sz w:val="11"/>
                    </w:rPr>
                    <w:t>131</w:t>
                  </w:r>
                </w:p>
              </w:txbxContent>
            </v:textbox>
            <w10:wrap type="topAndBottom" anchorx="page"/>
          </v:shape>
        </w:pict>
      </w:r>
    </w:p>
    <w:p w14:paraId="17593953" w14:textId="77777777" w:rsidR="00894070" w:rsidRDefault="00894070">
      <w:pPr>
        <w:pStyle w:val="BodyText"/>
        <w:spacing w:before="6"/>
        <w:rPr>
          <w:sz w:val="19"/>
        </w:rPr>
      </w:pPr>
    </w:p>
    <w:p w14:paraId="54F8F194" w14:textId="77777777" w:rsidR="00894070" w:rsidRDefault="009B7AFD">
      <w:pPr>
        <w:pStyle w:val="ListParagraph"/>
        <w:numPr>
          <w:ilvl w:val="1"/>
          <w:numId w:val="126"/>
        </w:numPr>
        <w:tabs>
          <w:tab w:val="left" w:pos="1801"/>
          <w:tab w:val="left" w:pos="1802"/>
        </w:tabs>
        <w:spacing w:before="89" w:line="206" w:lineRule="auto"/>
        <w:ind w:right="1169"/>
        <w:rPr>
          <w:sz w:val="11"/>
        </w:rPr>
      </w:pPr>
      <w:r>
        <w:rPr>
          <w:color w:val="231F20"/>
          <w:spacing w:val="-6"/>
          <w:sz w:val="20"/>
        </w:rPr>
        <w:t xml:space="preserve">We </w:t>
      </w:r>
      <w:r>
        <w:rPr>
          <w:color w:val="231F20"/>
          <w:sz w:val="20"/>
        </w:rPr>
        <w:t xml:space="preserve">also heard support </w:t>
      </w:r>
      <w:r>
        <w:rPr>
          <w:color w:val="231F20"/>
          <w:spacing w:val="-3"/>
          <w:sz w:val="20"/>
        </w:rPr>
        <w:t xml:space="preserve">for </w:t>
      </w:r>
      <w:r>
        <w:rPr>
          <w:color w:val="231F20"/>
          <w:sz w:val="20"/>
        </w:rPr>
        <w:t xml:space="preserve">an advocacy </w:t>
      </w:r>
      <w:r>
        <w:rPr>
          <w:color w:val="231F20"/>
          <w:spacing w:val="-3"/>
          <w:sz w:val="20"/>
        </w:rPr>
        <w:t xml:space="preserve">role from </w:t>
      </w:r>
      <w:r>
        <w:rPr>
          <w:color w:val="231F20"/>
          <w:sz w:val="20"/>
        </w:rPr>
        <w:t xml:space="preserve">the Victims of Crime </w:t>
      </w:r>
      <w:r>
        <w:rPr>
          <w:color w:val="231F20"/>
          <w:spacing w:val="-3"/>
          <w:sz w:val="20"/>
        </w:rPr>
        <w:t xml:space="preserve">Commissioner, </w:t>
      </w:r>
      <w:r>
        <w:rPr>
          <w:color w:val="231F20"/>
          <w:sz w:val="20"/>
        </w:rPr>
        <w:t>Victims</w:t>
      </w:r>
      <w:r>
        <w:rPr>
          <w:color w:val="231F20"/>
          <w:spacing w:val="-10"/>
          <w:sz w:val="20"/>
        </w:rPr>
        <w:t xml:space="preserve"> </w:t>
      </w:r>
      <w:r>
        <w:rPr>
          <w:color w:val="231F20"/>
          <w:sz w:val="20"/>
        </w:rPr>
        <w:t>of</w:t>
      </w:r>
      <w:r>
        <w:rPr>
          <w:color w:val="231F20"/>
          <w:spacing w:val="-10"/>
          <w:sz w:val="20"/>
        </w:rPr>
        <w:t xml:space="preserve"> </w:t>
      </w:r>
      <w:r>
        <w:rPr>
          <w:color w:val="231F20"/>
          <w:sz w:val="20"/>
        </w:rPr>
        <w:t>Crime</w:t>
      </w:r>
      <w:r>
        <w:rPr>
          <w:color w:val="231F20"/>
          <w:spacing w:val="-10"/>
          <w:sz w:val="20"/>
        </w:rPr>
        <w:t xml:space="preserve"> </w:t>
      </w:r>
      <w:r>
        <w:rPr>
          <w:color w:val="231F20"/>
          <w:spacing w:val="-3"/>
          <w:sz w:val="20"/>
        </w:rPr>
        <w:t>Consultative</w:t>
      </w:r>
      <w:r>
        <w:rPr>
          <w:color w:val="231F20"/>
          <w:spacing w:val="-10"/>
          <w:sz w:val="20"/>
        </w:rPr>
        <w:t xml:space="preserve"> </w:t>
      </w:r>
      <w:r>
        <w:rPr>
          <w:color w:val="231F20"/>
          <w:sz w:val="20"/>
        </w:rPr>
        <w:t>Committee,</w:t>
      </w:r>
      <w:r>
        <w:rPr>
          <w:color w:val="231F20"/>
          <w:spacing w:val="-10"/>
          <w:sz w:val="20"/>
        </w:rPr>
        <w:t xml:space="preserve"> </w:t>
      </w:r>
      <w:r>
        <w:rPr>
          <w:color w:val="231F20"/>
          <w:sz w:val="20"/>
        </w:rPr>
        <w:t>Springvale</w:t>
      </w:r>
      <w:r>
        <w:rPr>
          <w:color w:val="231F20"/>
          <w:spacing w:val="-10"/>
          <w:sz w:val="20"/>
        </w:rPr>
        <w:t xml:space="preserve"> </w:t>
      </w:r>
      <w:r>
        <w:rPr>
          <w:color w:val="231F20"/>
          <w:sz w:val="20"/>
        </w:rPr>
        <w:t>Monash</w:t>
      </w:r>
      <w:r>
        <w:rPr>
          <w:color w:val="231F20"/>
          <w:spacing w:val="-10"/>
          <w:sz w:val="20"/>
        </w:rPr>
        <w:t xml:space="preserve"> </w:t>
      </w:r>
      <w:r>
        <w:rPr>
          <w:color w:val="231F20"/>
          <w:sz w:val="20"/>
        </w:rPr>
        <w:t>Legal</w:t>
      </w:r>
      <w:r>
        <w:rPr>
          <w:color w:val="231F20"/>
          <w:spacing w:val="-10"/>
          <w:sz w:val="20"/>
        </w:rPr>
        <w:t xml:space="preserve"> </w:t>
      </w:r>
      <w:r>
        <w:rPr>
          <w:color w:val="231F20"/>
          <w:sz w:val="20"/>
        </w:rPr>
        <w:t>Service,</w:t>
      </w:r>
      <w:r>
        <w:rPr>
          <w:color w:val="231F20"/>
          <w:spacing w:val="-10"/>
          <w:sz w:val="20"/>
        </w:rPr>
        <w:t xml:space="preserve"> </w:t>
      </w:r>
      <w:r>
        <w:rPr>
          <w:color w:val="231F20"/>
          <w:sz w:val="20"/>
        </w:rPr>
        <w:t>the</w:t>
      </w:r>
      <w:r>
        <w:rPr>
          <w:color w:val="231F20"/>
          <w:spacing w:val="-10"/>
          <w:sz w:val="20"/>
        </w:rPr>
        <w:t xml:space="preserve"> </w:t>
      </w:r>
      <w:r>
        <w:rPr>
          <w:color w:val="231F20"/>
          <w:spacing w:val="-3"/>
          <w:sz w:val="20"/>
        </w:rPr>
        <w:t xml:space="preserve">Centre for Forensic </w:t>
      </w:r>
      <w:r>
        <w:rPr>
          <w:color w:val="231F20"/>
          <w:sz w:val="20"/>
        </w:rPr>
        <w:t>Behavioural Science and Forensicare.</w:t>
      </w:r>
      <w:r>
        <w:rPr>
          <w:color w:val="231F20"/>
          <w:position w:val="7"/>
          <w:sz w:val="11"/>
        </w:rPr>
        <w:t xml:space="preserve">132 </w:t>
      </w:r>
      <w:r>
        <w:rPr>
          <w:color w:val="231F20"/>
          <w:spacing w:val="-6"/>
          <w:sz w:val="20"/>
        </w:rPr>
        <w:t xml:space="preserve">We </w:t>
      </w:r>
      <w:r>
        <w:rPr>
          <w:color w:val="231F20"/>
          <w:sz w:val="20"/>
        </w:rPr>
        <w:t xml:space="preserve">heard </w:t>
      </w:r>
      <w:r>
        <w:rPr>
          <w:color w:val="231F20"/>
          <w:spacing w:val="-3"/>
          <w:sz w:val="20"/>
        </w:rPr>
        <w:t xml:space="preserve">from </w:t>
      </w:r>
      <w:r>
        <w:rPr>
          <w:color w:val="231F20"/>
          <w:spacing w:val="-2"/>
          <w:sz w:val="20"/>
        </w:rPr>
        <w:t xml:space="preserve">multicultural </w:t>
      </w:r>
      <w:r>
        <w:rPr>
          <w:color w:val="231F20"/>
          <w:sz w:val="20"/>
        </w:rPr>
        <w:t xml:space="preserve">and multifaith lawyers and legal stakeholders that ‘sometimes victims need someone to talk to rather than </w:t>
      </w:r>
      <w:r>
        <w:rPr>
          <w:color w:val="231F20"/>
          <w:spacing w:val="-3"/>
          <w:sz w:val="20"/>
        </w:rPr>
        <w:t xml:space="preserve">having </w:t>
      </w:r>
      <w:r>
        <w:rPr>
          <w:color w:val="231F20"/>
          <w:sz w:val="20"/>
        </w:rPr>
        <w:t>someone</w:t>
      </w:r>
      <w:r>
        <w:rPr>
          <w:color w:val="231F20"/>
          <w:spacing w:val="-22"/>
          <w:sz w:val="20"/>
        </w:rPr>
        <w:t xml:space="preserve"> </w:t>
      </w:r>
      <w:r>
        <w:rPr>
          <w:color w:val="231F20"/>
          <w:spacing w:val="-3"/>
          <w:sz w:val="20"/>
        </w:rPr>
        <w:t>prosecuted’.</w:t>
      </w:r>
      <w:r>
        <w:rPr>
          <w:color w:val="231F20"/>
          <w:spacing w:val="-3"/>
          <w:position w:val="7"/>
          <w:sz w:val="11"/>
        </w:rPr>
        <w:t>133</w:t>
      </w:r>
    </w:p>
    <w:p w14:paraId="6D589F18" w14:textId="77777777" w:rsidR="00894070" w:rsidRDefault="009B7AFD">
      <w:pPr>
        <w:pStyle w:val="ListParagraph"/>
        <w:numPr>
          <w:ilvl w:val="1"/>
          <w:numId w:val="126"/>
        </w:numPr>
        <w:tabs>
          <w:tab w:val="left" w:pos="1801"/>
          <w:tab w:val="left" w:pos="1802"/>
        </w:tabs>
        <w:spacing w:before="94" w:line="259" w:lineRule="exact"/>
        <w:rPr>
          <w:sz w:val="20"/>
        </w:rPr>
      </w:pPr>
      <w:r>
        <w:rPr>
          <w:color w:val="231F20"/>
          <w:sz w:val="20"/>
        </w:rPr>
        <w:t>The</w:t>
      </w:r>
      <w:r>
        <w:rPr>
          <w:color w:val="231F20"/>
          <w:spacing w:val="-6"/>
          <w:sz w:val="20"/>
        </w:rPr>
        <w:t xml:space="preserve"> </w:t>
      </w:r>
      <w:r>
        <w:rPr>
          <w:color w:val="231F20"/>
          <w:sz w:val="20"/>
        </w:rPr>
        <w:t>Victims</w:t>
      </w:r>
      <w:r>
        <w:rPr>
          <w:color w:val="231F20"/>
          <w:spacing w:val="-5"/>
          <w:sz w:val="20"/>
        </w:rPr>
        <w:t xml:space="preserve"> </w:t>
      </w:r>
      <w:r>
        <w:rPr>
          <w:color w:val="231F20"/>
          <w:sz w:val="20"/>
        </w:rPr>
        <w:t>of</w:t>
      </w:r>
      <w:r>
        <w:rPr>
          <w:color w:val="231F20"/>
          <w:spacing w:val="-5"/>
          <w:sz w:val="20"/>
        </w:rPr>
        <w:t xml:space="preserve"> </w:t>
      </w:r>
      <w:r>
        <w:rPr>
          <w:color w:val="231F20"/>
          <w:sz w:val="20"/>
        </w:rPr>
        <w:t>Crime</w:t>
      </w:r>
      <w:r>
        <w:rPr>
          <w:color w:val="231F20"/>
          <w:spacing w:val="-5"/>
          <w:sz w:val="20"/>
        </w:rPr>
        <w:t xml:space="preserve"> </w:t>
      </w:r>
      <w:r>
        <w:rPr>
          <w:color w:val="231F20"/>
          <w:sz w:val="20"/>
        </w:rPr>
        <w:t>Commissioner</w:t>
      </w:r>
      <w:r>
        <w:rPr>
          <w:color w:val="231F20"/>
          <w:spacing w:val="-6"/>
          <w:sz w:val="20"/>
        </w:rPr>
        <w:t xml:space="preserve"> </w:t>
      </w:r>
      <w:r>
        <w:rPr>
          <w:color w:val="231F20"/>
          <w:sz w:val="20"/>
        </w:rPr>
        <w:t>supported</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introduction</w:t>
      </w:r>
      <w:r>
        <w:rPr>
          <w:color w:val="231F20"/>
          <w:spacing w:val="-5"/>
          <w:sz w:val="20"/>
        </w:rPr>
        <w:t xml:space="preserve"> </w:t>
      </w:r>
      <w:r>
        <w:rPr>
          <w:color w:val="231F20"/>
          <w:sz w:val="20"/>
        </w:rPr>
        <w:t>of</w:t>
      </w:r>
      <w:r>
        <w:rPr>
          <w:color w:val="231F20"/>
          <w:spacing w:val="-5"/>
          <w:sz w:val="20"/>
        </w:rPr>
        <w:t xml:space="preserve"> </w:t>
      </w:r>
      <w:r>
        <w:rPr>
          <w:color w:val="231F20"/>
          <w:sz w:val="20"/>
        </w:rPr>
        <w:t>advisers</w:t>
      </w:r>
      <w:r>
        <w:rPr>
          <w:color w:val="231F20"/>
          <w:spacing w:val="-6"/>
          <w:sz w:val="20"/>
        </w:rPr>
        <w:t xml:space="preserve"> </w:t>
      </w:r>
      <w:r>
        <w:rPr>
          <w:color w:val="231F20"/>
          <w:sz w:val="20"/>
        </w:rPr>
        <w:t>based</w:t>
      </w:r>
      <w:r>
        <w:rPr>
          <w:color w:val="231F20"/>
          <w:spacing w:val="-5"/>
          <w:sz w:val="20"/>
        </w:rPr>
        <w:t xml:space="preserve"> </w:t>
      </w:r>
      <w:r>
        <w:rPr>
          <w:color w:val="231F20"/>
          <w:sz w:val="20"/>
        </w:rPr>
        <w:t>on</w:t>
      </w:r>
    </w:p>
    <w:p w14:paraId="7BDC3DDF" w14:textId="77777777" w:rsidR="00894070" w:rsidRDefault="009B7AFD">
      <w:pPr>
        <w:pStyle w:val="BodyText"/>
        <w:spacing w:line="259" w:lineRule="exact"/>
        <w:ind w:left="1801"/>
        <w:rPr>
          <w:sz w:val="11"/>
        </w:rPr>
      </w:pPr>
      <w:r>
        <w:rPr>
          <w:color w:val="231F20"/>
        </w:rPr>
        <w:t>the model in England and Wales.</w:t>
      </w:r>
      <w:r>
        <w:rPr>
          <w:color w:val="231F20"/>
          <w:position w:val="7"/>
          <w:sz w:val="11"/>
        </w:rPr>
        <w:t>134</w:t>
      </w:r>
    </w:p>
    <w:p w14:paraId="4B3E926A" w14:textId="77777777" w:rsidR="00894070" w:rsidRDefault="009B7AFD">
      <w:pPr>
        <w:pStyle w:val="ListParagraph"/>
        <w:numPr>
          <w:ilvl w:val="1"/>
          <w:numId w:val="126"/>
        </w:numPr>
        <w:tabs>
          <w:tab w:val="left" w:pos="1801"/>
          <w:tab w:val="left" w:pos="1802"/>
        </w:tabs>
        <w:spacing w:before="115" w:line="206" w:lineRule="auto"/>
        <w:ind w:right="1198"/>
        <w:rPr>
          <w:sz w:val="20"/>
        </w:rPr>
      </w:pPr>
      <w:r>
        <w:rPr>
          <w:color w:val="231F20"/>
          <w:spacing w:val="-5"/>
          <w:sz w:val="20"/>
        </w:rPr>
        <w:t>However,</w:t>
      </w:r>
      <w:r>
        <w:rPr>
          <w:color w:val="231F20"/>
          <w:spacing w:val="-10"/>
          <w:sz w:val="20"/>
        </w:rPr>
        <w:t xml:space="preserve"> </w:t>
      </w:r>
      <w:r>
        <w:rPr>
          <w:color w:val="231F20"/>
          <w:sz w:val="20"/>
        </w:rPr>
        <w:t>a</w:t>
      </w:r>
      <w:r>
        <w:rPr>
          <w:color w:val="231F20"/>
          <w:spacing w:val="-10"/>
          <w:sz w:val="20"/>
        </w:rPr>
        <w:t xml:space="preserve"> </w:t>
      </w:r>
      <w:r>
        <w:rPr>
          <w:color w:val="231F20"/>
          <w:sz w:val="20"/>
        </w:rPr>
        <w:t>participant</w:t>
      </w:r>
      <w:r>
        <w:rPr>
          <w:color w:val="231F20"/>
          <w:spacing w:val="-9"/>
          <w:sz w:val="20"/>
        </w:rPr>
        <w:t xml:space="preserve"> </w:t>
      </w:r>
      <w:r>
        <w:rPr>
          <w:color w:val="231F20"/>
          <w:sz w:val="20"/>
        </w:rPr>
        <w:t>in</w:t>
      </w:r>
      <w:r>
        <w:rPr>
          <w:color w:val="231F20"/>
          <w:spacing w:val="-10"/>
          <w:sz w:val="20"/>
        </w:rPr>
        <w:t xml:space="preserve"> </w:t>
      </w:r>
      <w:r>
        <w:rPr>
          <w:color w:val="231F20"/>
          <w:sz w:val="20"/>
        </w:rPr>
        <w:t>a</w:t>
      </w:r>
      <w:r>
        <w:rPr>
          <w:color w:val="231F20"/>
          <w:spacing w:val="-9"/>
          <w:sz w:val="20"/>
        </w:rPr>
        <w:t xml:space="preserve"> </w:t>
      </w:r>
      <w:r>
        <w:rPr>
          <w:color w:val="231F20"/>
          <w:sz w:val="20"/>
        </w:rPr>
        <w:t>small</w:t>
      </w:r>
      <w:r>
        <w:rPr>
          <w:color w:val="231F20"/>
          <w:spacing w:val="-10"/>
          <w:sz w:val="20"/>
        </w:rPr>
        <w:t xml:space="preserve"> </w:t>
      </w:r>
      <w:r>
        <w:rPr>
          <w:color w:val="231F20"/>
          <w:sz w:val="20"/>
        </w:rPr>
        <w:t>group</w:t>
      </w:r>
      <w:r>
        <w:rPr>
          <w:color w:val="231F20"/>
          <w:spacing w:val="-9"/>
          <w:sz w:val="20"/>
        </w:rPr>
        <w:t xml:space="preserve"> </w:t>
      </w:r>
      <w:r>
        <w:rPr>
          <w:color w:val="231F20"/>
          <w:sz w:val="20"/>
        </w:rPr>
        <w:t>meeting</w:t>
      </w:r>
      <w:r>
        <w:rPr>
          <w:color w:val="231F20"/>
          <w:spacing w:val="-10"/>
          <w:sz w:val="20"/>
        </w:rPr>
        <w:t xml:space="preserve"> </w:t>
      </w:r>
      <w:r>
        <w:rPr>
          <w:color w:val="231F20"/>
          <w:sz w:val="20"/>
        </w:rPr>
        <w:t>on</w:t>
      </w:r>
      <w:r>
        <w:rPr>
          <w:color w:val="231F20"/>
          <w:spacing w:val="-10"/>
          <w:sz w:val="20"/>
        </w:rPr>
        <w:t xml:space="preserve"> </w:t>
      </w:r>
      <w:r>
        <w:rPr>
          <w:color w:val="231F20"/>
          <w:sz w:val="20"/>
        </w:rPr>
        <w:t>stalking</w:t>
      </w:r>
      <w:r>
        <w:rPr>
          <w:color w:val="231F20"/>
          <w:spacing w:val="-9"/>
          <w:sz w:val="20"/>
        </w:rPr>
        <w:t xml:space="preserve"> </w:t>
      </w:r>
      <w:r>
        <w:rPr>
          <w:color w:val="231F20"/>
          <w:sz w:val="20"/>
        </w:rPr>
        <w:t>and</w:t>
      </w:r>
      <w:r>
        <w:rPr>
          <w:color w:val="231F20"/>
          <w:spacing w:val="-10"/>
          <w:sz w:val="20"/>
        </w:rPr>
        <w:t xml:space="preserve"> </w:t>
      </w:r>
      <w:r>
        <w:rPr>
          <w:color w:val="231F20"/>
          <w:sz w:val="20"/>
        </w:rPr>
        <w:t>people</w:t>
      </w:r>
      <w:r>
        <w:rPr>
          <w:color w:val="231F20"/>
          <w:spacing w:val="-9"/>
          <w:sz w:val="20"/>
        </w:rPr>
        <w:t xml:space="preserve"> </w:t>
      </w:r>
      <w:r>
        <w:rPr>
          <w:color w:val="231F20"/>
          <w:sz w:val="20"/>
        </w:rPr>
        <w:t>with</w:t>
      </w:r>
      <w:r>
        <w:rPr>
          <w:color w:val="231F20"/>
          <w:spacing w:val="-10"/>
          <w:sz w:val="20"/>
        </w:rPr>
        <w:t xml:space="preserve"> </w:t>
      </w:r>
      <w:r>
        <w:rPr>
          <w:color w:val="231F20"/>
          <w:sz w:val="20"/>
        </w:rPr>
        <w:t xml:space="preserve">disabilities noted that </w:t>
      </w:r>
      <w:r>
        <w:rPr>
          <w:color w:val="231F20"/>
          <w:spacing w:val="-3"/>
          <w:sz w:val="20"/>
        </w:rPr>
        <w:t xml:space="preserve">even </w:t>
      </w:r>
      <w:r>
        <w:rPr>
          <w:color w:val="231F20"/>
          <w:sz w:val="20"/>
        </w:rPr>
        <w:t xml:space="preserve">with a victim </w:t>
      </w:r>
      <w:r>
        <w:rPr>
          <w:color w:val="231F20"/>
          <w:spacing w:val="-3"/>
          <w:sz w:val="20"/>
        </w:rPr>
        <w:t xml:space="preserve">advocate, </w:t>
      </w:r>
      <w:r>
        <w:rPr>
          <w:color w:val="231F20"/>
          <w:sz w:val="20"/>
        </w:rPr>
        <w:t xml:space="preserve">police could shut a complaint down. In our </w:t>
      </w:r>
      <w:r>
        <w:rPr>
          <w:color w:val="231F20"/>
          <w:spacing w:val="-3"/>
          <w:sz w:val="20"/>
        </w:rPr>
        <w:t>interim</w:t>
      </w:r>
      <w:r>
        <w:rPr>
          <w:color w:val="231F20"/>
          <w:spacing w:val="-9"/>
          <w:sz w:val="20"/>
        </w:rPr>
        <w:t xml:space="preserve"> </w:t>
      </w:r>
      <w:r>
        <w:rPr>
          <w:color w:val="231F20"/>
          <w:sz w:val="20"/>
        </w:rPr>
        <w:t>report</w:t>
      </w:r>
      <w:r>
        <w:rPr>
          <w:color w:val="231F20"/>
          <w:spacing w:val="-8"/>
          <w:sz w:val="20"/>
        </w:rPr>
        <w:t xml:space="preserve"> </w:t>
      </w:r>
      <w:r>
        <w:rPr>
          <w:color w:val="231F20"/>
          <w:spacing w:val="-3"/>
          <w:sz w:val="20"/>
        </w:rPr>
        <w:t>we</w:t>
      </w:r>
      <w:r>
        <w:rPr>
          <w:color w:val="231F20"/>
          <w:spacing w:val="-9"/>
          <w:sz w:val="20"/>
        </w:rPr>
        <w:t xml:space="preserve"> </w:t>
      </w:r>
      <w:r>
        <w:rPr>
          <w:color w:val="231F20"/>
          <w:sz w:val="20"/>
        </w:rPr>
        <w:t>made</w:t>
      </w:r>
      <w:r>
        <w:rPr>
          <w:color w:val="231F20"/>
          <w:spacing w:val="-8"/>
          <w:sz w:val="20"/>
        </w:rPr>
        <w:t xml:space="preserve"> </w:t>
      </w:r>
      <w:r>
        <w:rPr>
          <w:color w:val="231F20"/>
          <w:sz w:val="20"/>
        </w:rPr>
        <w:t>recommendations</w:t>
      </w:r>
      <w:r>
        <w:rPr>
          <w:color w:val="231F20"/>
          <w:spacing w:val="-9"/>
          <w:sz w:val="20"/>
        </w:rPr>
        <w:t xml:space="preserve"> </w:t>
      </w:r>
      <w:r>
        <w:rPr>
          <w:color w:val="231F20"/>
          <w:sz w:val="20"/>
        </w:rPr>
        <w:t>to</w:t>
      </w:r>
      <w:r>
        <w:rPr>
          <w:color w:val="231F20"/>
          <w:spacing w:val="-8"/>
          <w:sz w:val="20"/>
        </w:rPr>
        <w:t xml:space="preserve"> </w:t>
      </w:r>
      <w:r>
        <w:rPr>
          <w:color w:val="231F20"/>
          <w:spacing w:val="-4"/>
          <w:sz w:val="20"/>
        </w:rPr>
        <w:t>improve</w:t>
      </w:r>
      <w:r>
        <w:rPr>
          <w:color w:val="231F20"/>
          <w:spacing w:val="-9"/>
          <w:sz w:val="20"/>
        </w:rPr>
        <w:t xml:space="preserve"> </w:t>
      </w:r>
      <w:r>
        <w:rPr>
          <w:color w:val="231F20"/>
          <w:sz w:val="20"/>
        </w:rPr>
        <w:t>the</w:t>
      </w:r>
      <w:r>
        <w:rPr>
          <w:color w:val="231F20"/>
          <w:spacing w:val="-8"/>
          <w:sz w:val="20"/>
        </w:rPr>
        <w:t xml:space="preserve"> </w:t>
      </w:r>
      <w:r>
        <w:rPr>
          <w:color w:val="231F20"/>
          <w:sz w:val="20"/>
        </w:rPr>
        <w:t>police</w:t>
      </w:r>
      <w:r>
        <w:rPr>
          <w:color w:val="231F20"/>
          <w:spacing w:val="-8"/>
          <w:sz w:val="20"/>
        </w:rPr>
        <w:t xml:space="preserve"> </w:t>
      </w:r>
      <w:r>
        <w:rPr>
          <w:color w:val="231F20"/>
          <w:sz w:val="20"/>
        </w:rPr>
        <w:t>response</w:t>
      </w:r>
      <w:r>
        <w:rPr>
          <w:color w:val="231F20"/>
          <w:spacing w:val="-9"/>
          <w:sz w:val="20"/>
        </w:rPr>
        <w:t xml:space="preserve"> </w:t>
      </w:r>
      <w:r>
        <w:rPr>
          <w:color w:val="231F20"/>
          <w:sz w:val="20"/>
        </w:rPr>
        <w:t>to</w:t>
      </w:r>
      <w:r>
        <w:rPr>
          <w:color w:val="231F20"/>
          <w:spacing w:val="-8"/>
          <w:sz w:val="20"/>
        </w:rPr>
        <w:t xml:space="preserve"> </w:t>
      </w:r>
      <w:r>
        <w:rPr>
          <w:color w:val="231F20"/>
          <w:sz w:val="20"/>
        </w:rPr>
        <w:t>stalking.</w:t>
      </w:r>
    </w:p>
    <w:p w14:paraId="3A83D6D5" w14:textId="77777777" w:rsidR="00894070" w:rsidRDefault="009B7AFD">
      <w:pPr>
        <w:pStyle w:val="ListParagraph"/>
        <w:numPr>
          <w:ilvl w:val="1"/>
          <w:numId w:val="126"/>
        </w:numPr>
        <w:tabs>
          <w:tab w:val="left" w:pos="1801"/>
          <w:tab w:val="left" w:pos="1802"/>
        </w:tabs>
        <w:spacing w:before="124" w:line="206" w:lineRule="auto"/>
        <w:ind w:right="1315"/>
        <w:rPr>
          <w:sz w:val="20"/>
        </w:rPr>
      </w:pPr>
      <w:r>
        <w:rPr>
          <w:color w:val="231F20"/>
          <w:sz w:val="20"/>
        </w:rPr>
        <w:t xml:space="preserve">Others </w:t>
      </w:r>
      <w:r>
        <w:rPr>
          <w:color w:val="231F20"/>
          <w:spacing w:val="-3"/>
          <w:sz w:val="20"/>
        </w:rPr>
        <w:t xml:space="preserve">we consulted </w:t>
      </w:r>
      <w:r>
        <w:rPr>
          <w:color w:val="231F20"/>
          <w:sz w:val="20"/>
        </w:rPr>
        <w:t xml:space="preserve">identified </w:t>
      </w:r>
      <w:r>
        <w:rPr>
          <w:color w:val="231F20"/>
          <w:spacing w:val="-3"/>
          <w:sz w:val="20"/>
        </w:rPr>
        <w:t xml:space="preserve">potential problems </w:t>
      </w:r>
      <w:r>
        <w:rPr>
          <w:color w:val="231F20"/>
          <w:sz w:val="20"/>
        </w:rPr>
        <w:t xml:space="preserve">with victim </w:t>
      </w:r>
      <w:r>
        <w:rPr>
          <w:color w:val="231F20"/>
          <w:spacing w:val="-3"/>
          <w:sz w:val="20"/>
        </w:rPr>
        <w:t xml:space="preserve">advocate </w:t>
      </w:r>
      <w:r>
        <w:rPr>
          <w:color w:val="231F20"/>
          <w:sz w:val="20"/>
        </w:rPr>
        <w:t>programs. A participant</w:t>
      </w:r>
      <w:r>
        <w:rPr>
          <w:color w:val="231F20"/>
          <w:spacing w:val="-13"/>
          <w:sz w:val="20"/>
        </w:rPr>
        <w:t xml:space="preserve"> </w:t>
      </w:r>
      <w:r>
        <w:rPr>
          <w:color w:val="231F20"/>
          <w:sz w:val="20"/>
        </w:rPr>
        <w:t>at</w:t>
      </w:r>
      <w:r>
        <w:rPr>
          <w:color w:val="231F20"/>
          <w:spacing w:val="-13"/>
          <w:sz w:val="20"/>
        </w:rPr>
        <w:t xml:space="preserve"> </w:t>
      </w:r>
      <w:r>
        <w:rPr>
          <w:color w:val="231F20"/>
          <w:sz w:val="20"/>
        </w:rPr>
        <w:t>a</w:t>
      </w:r>
      <w:r>
        <w:rPr>
          <w:color w:val="231F20"/>
          <w:spacing w:val="-12"/>
          <w:sz w:val="20"/>
        </w:rPr>
        <w:t xml:space="preserve"> </w:t>
      </w:r>
      <w:r>
        <w:rPr>
          <w:color w:val="231F20"/>
          <w:sz w:val="20"/>
        </w:rPr>
        <w:t>meeting</w:t>
      </w:r>
      <w:r>
        <w:rPr>
          <w:color w:val="231F20"/>
          <w:spacing w:val="-13"/>
          <w:sz w:val="20"/>
        </w:rPr>
        <w:t xml:space="preserve"> </w:t>
      </w:r>
      <w:r>
        <w:rPr>
          <w:color w:val="231F20"/>
          <w:sz w:val="20"/>
        </w:rPr>
        <w:t>with</w:t>
      </w:r>
      <w:r>
        <w:rPr>
          <w:color w:val="231F20"/>
          <w:spacing w:val="-13"/>
          <w:sz w:val="20"/>
        </w:rPr>
        <w:t xml:space="preserve"> </w:t>
      </w:r>
      <w:r>
        <w:rPr>
          <w:color w:val="231F20"/>
          <w:spacing w:val="-2"/>
          <w:sz w:val="20"/>
        </w:rPr>
        <w:t>multicultural</w:t>
      </w:r>
      <w:r>
        <w:rPr>
          <w:color w:val="231F20"/>
          <w:spacing w:val="-13"/>
          <w:sz w:val="20"/>
        </w:rPr>
        <w:t xml:space="preserve"> </w:t>
      </w:r>
      <w:r>
        <w:rPr>
          <w:color w:val="231F20"/>
          <w:sz w:val="20"/>
        </w:rPr>
        <w:t>and</w:t>
      </w:r>
      <w:r>
        <w:rPr>
          <w:color w:val="231F20"/>
          <w:spacing w:val="-12"/>
          <w:sz w:val="20"/>
        </w:rPr>
        <w:t xml:space="preserve"> </w:t>
      </w:r>
      <w:r>
        <w:rPr>
          <w:color w:val="231F20"/>
          <w:sz w:val="20"/>
        </w:rPr>
        <w:t>multifaith</w:t>
      </w:r>
      <w:r>
        <w:rPr>
          <w:color w:val="231F20"/>
          <w:spacing w:val="-13"/>
          <w:sz w:val="20"/>
        </w:rPr>
        <w:t xml:space="preserve"> </w:t>
      </w:r>
      <w:r>
        <w:rPr>
          <w:color w:val="231F20"/>
          <w:sz w:val="20"/>
        </w:rPr>
        <w:t>organisations</w:t>
      </w:r>
      <w:r>
        <w:rPr>
          <w:color w:val="231F20"/>
          <w:spacing w:val="-12"/>
          <w:sz w:val="20"/>
        </w:rPr>
        <w:t xml:space="preserve"> </w:t>
      </w:r>
      <w:r>
        <w:rPr>
          <w:color w:val="231F20"/>
          <w:sz w:val="20"/>
        </w:rPr>
        <w:t>noted</w:t>
      </w:r>
      <w:r>
        <w:rPr>
          <w:color w:val="231F20"/>
          <w:spacing w:val="-13"/>
          <w:sz w:val="20"/>
        </w:rPr>
        <w:t xml:space="preserve"> </w:t>
      </w:r>
      <w:r>
        <w:rPr>
          <w:color w:val="231F20"/>
          <w:sz w:val="20"/>
        </w:rPr>
        <w:t>potential problems</w:t>
      </w:r>
      <w:r>
        <w:rPr>
          <w:color w:val="231F20"/>
          <w:spacing w:val="-7"/>
          <w:sz w:val="20"/>
        </w:rPr>
        <w:t xml:space="preserve"> </w:t>
      </w:r>
      <w:r>
        <w:rPr>
          <w:color w:val="231F20"/>
          <w:sz w:val="20"/>
        </w:rPr>
        <w:t>if</w:t>
      </w:r>
      <w:r>
        <w:rPr>
          <w:color w:val="231F20"/>
          <w:spacing w:val="-7"/>
          <w:sz w:val="20"/>
        </w:rPr>
        <w:t xml:space="preserve"> </w:t>
      </w:r>
      <w:r>
        <w:rPr>
          <w:color w:val="231F20"/>
          <w:sz w:val="20"/>
        </w:rPr>
        <w:t>the</w:t>
      </w:r>
      <w:r>
        <w:rPr>
          <w:color w:val="231F20"/>
          <w:spacing w:val="-6"/>
          <w:sz w:val="20"/>
        </w:rPr>
        <w:t xml:space="preserve"> </w:t>
      </w:r>
      <w:r>
        <w:rPr>
          <w:color w:val="231F20"/>
          <w:spacing w:val="-3"/>
          <w:sz w:val="20"/>
        </w:rPr>
        <w:t>advocate</w:t>
      </w:r>
      <w:r>
        <w:rPr>
          <w:color w:val="231F20"/>
          <w:spacing w:val="-7"/>
          <w:sz w:val="20"/>
        </w:rPr>
        <w:t xml:space="preserve"> </w:t>
      </w:r>
      <w:r>
        <w:rPr>
          <w:color w:val="231F20"/>
          <w:sz w:val="20"/>
        </w:rPr>
        <w:t>did</w:t>
      </w:r>
      <w:r>
        <w:rPr>
          <w:color w:val="231F20"/>
          <w:spacing w:val="-6"/>
          <w:sz w:val="20"/>
        </w:rPr>
        <w:t xml:space="preserve"> </w:t>
      </w:r>
      <w:r>
        <w:rPr>
          <w:color w:val="231F20"/>
          <w:sz w:val="20"/>
        </w:rPr>
        <w:t>not</w:t>
      </w:r>
      <w:r>
        <w:rPr>
          <w:color w:val="231F20"/>
          <w:spacing w:val="-7"/>
          <w:sz w:val="20"/>
        </w:rPr>
        <w:t xml:space="preserve"> </w:t>
      </w:r>
      <w:r>
        <w:rPr>
          <w:color w:val="231F20"/>
          <w:sz w:val="20"/>
        </w:rPr>
        <w:t>understand</w:t>
      </w:r>
      <w:r>
        <w:rPr>
          <w:color w:val="231F20"/>
          <w:spacing w:val="-7"/>
          <w:sz w:val="20"/>
        </w:rPr>
        <w:t xml:space="preserve"> </w:t>
      </w:r>
      <w:r>
        <w:rPr>
          <w:color w:val="231F20"/>
          <w:sz w:val="20"/>
        </w:rPr>
        <w:t>the</w:t>
      </w:r>
      <w:r>
        <w:rPr>
          <w:color w:val="231F20"/>
          <w:spacing w:val="-6"/>
          <w:sz w:val="20"/>
        </w:rPr>
        <w:t xml:space="preserve"> </w:t>
      </w:r>
      <w:r>
        <w:rPr>
          <w:color w:val="231F20"/>
          <w:sz w:val="20"/>
        </w:rPr>
        <w:t>person</w:t>
      </w:r>
      <w:r>
        <w:rPr>
          <w:color w:val="231F20"/>
          <w:spacing w:val="-7"/>
          <w:sz w:val="20"/>
        </w:rPr>
        <w:t xml:space="preserve"> </w:t>
      </w:r>
      <w:r>
        <w:rPr>
          <w:color w:val="231F20"/>
          <w:sz w:val="20"/>
        </w:rPr>
        <w:t>they</w:t>
      </w:r>
      <w:r>
        <w:rPr>
          <w:color w:val="231F20"/>
          <w:spacing w:val="-6"/>
          <w:sz w:val="20"/>
        </w:rPr>
        <w:t xml:space="preserve"> </w:t>
      </w:r>
      <w:r>
        <w:rPr>
          <w:color w:val="231F20"/>
          <w:spacing w:val="-3"/>
          <w:sz w:val="20"/>
        </w:rPr>
        <w:t>are</w:t>
      </w:r>
      <w:r>
        <w:rPr>
          <w:color w:val="231F20"/>
          <w:spacing w:val="-7"/>
          <w:sz w:val="20"/>
        </w:rPr>
        <w:t xml:space="preserve"> </w:t>
      </w:r>
      <w:r>
        <w:rPr>
          <w:color w:val="231F20"/>
          <w:sz w:val="20"/>
        </w:rPr>
        <w:t>working</w:t>
      </w:r>
      <w:r>
        <w:rPr>
          <w:color w:val="231F20"/>
          <w:spacing w:val="-6"/>
          <w:sz w:val="20"/>
        </w:rPr>
        <w:t xml:space="preserve"> </w:t>
      </w:r>
      <w:r>
        <w:rPr>
          <w:color w:val="231F20"/>
          <w:sz w:val="20"/>
        </w:rPr>
        <w:t>with,</w:t>
      </w:r>
    </w:p>
    <w:p w14:paraId="6ED5798D" w14:textId="77777777" w:rsidR="00894070" w:rsidRDefault="009B7AFD">
      <w:pPr>
        <w:pStyle w:val="BodyText"/>
        <w:spacing w:line="230" w:lineRule="exact"/>
        <w:ind w:left="1801"/>
      </w:pPr>
      <w:r>
        <w:rPr>
          <w:color w:val="231F20"/>
        </w:rPr>
        <w:t>such as their faith, culture, or barriers they might be facing. It was also noted that a</w:t>
      </w:r>
    </w:p>
    <w:p w14:paraId="0EA4FDB4" w14:textId="77777777" w:rsidR="00894070" w:rsidRDefault="009B7AFD">
      <w:pPr>
        <w:pStyle w:val="BodyText"/>
        <w:spacing w:line="259" w:lineRule="exact"/>
        <w:ind w:left="1801"/>
        <w:rPr>
          <w:sz w:val="11"/>
        </w:rPr>
      </w:pPr>
      <w:r>
        <w:rPr>
          <w:color w:val="231F20"/>
        </w:rPr>
        <w:t>government-run advocacy program would need to build trust with the community.</w:t>
      </w:r>
      <w:r>
        <w:rPr>
          <w:color w:val="231F20"/>
          <w:position w:val="7"/>
          <w:sz w:val="11"/>
        </w:rPr>
        <w:t>135</w:t>
      </w:r>
    </w:p>
    <w:p w14:paraId="6AA59005" w14:textId="77777777" w:rsidR="00894070" w:rsidRDefault="00894070">
      <w:pPr>
        <w:pStyle w:val="BodyText"/>
      </w:pPr>
    </w:p>
    <w:p w14:paraId="6C930168" w14:textId="77777777" w:rsidR="00894070" w:rsidRDefault="00894070">
      <w:pPr>
        <w:pStyle w:val="BodyText"/>
      </w:pPr>
    </w:p>
    <w:p w14:paraId="5EA9DAB5" w14:textId="77777777" w:rsidR="00894070" w:rsidRDefault="00894070">
      <w:pPr>
        <w:pStyle w:val="BodyText"/>
      </w:pPr>
    </w:p>
    <w:p w14:paraId="35382932" w14:textId="77777777" w:rsidR="00894070" w:rsidRDefault="009F6793">
      <w:pPr>
        <w:pStyle w:val="BodyText"/>
        <w:rPr>
          <w:sz w:val="25"/>
        </w:rPr>
      </w:pPr>
      <w:r>
        <w:pict w14:anchorId="7BF7F209">
          <v:line id="_x0000_s1385" style="position:absolute;z-index:251622400;mso-wrap-distance-left:0;mso-wrap-distance-right:0;mso-position-horizontal-relative:page" from="79.35pt,19.8pt" to="515.9pt,19.8pt" strokecolor="#f8cabc" strokeweight="1pt">
            <w10:wrap type="topAndBottom" anchorx="page"/>
          </v:line>
        </w:pict>
      </w:r>
    </w:p>
    <w:p w14:paraId="46913C07" w14:textId="77777777" w:rsidR="00894070" w:rsidRDefault="009B7AFD">
      <w:pPr>
        <w:pStyle w:val="ListParagraph"/>
        <w:numPr>
          <w:ilvl w:val="0"/>
          <w:numId w:val="109"/>
        </w:numPr>
        <w:tabs>
          <w:tab w:val="left" w:pos="1800"/>
          <w:tab w:val="left" w:pos="1802"/>
        </w:tabs>
        <w:spacing w:before="91" w:line="170" w:lineRule="exact"/>
        <w:rPr>
          <w:sz w:val="13"/>
        </w:rPr>
      </w:pPr>
      <w:r>
        <w:rPr>
          <w:color w:val="231F20"/>
          <w:sz w:val="13"/>
        </w:rPr>
        <w:t xml:space="preserve">Consultation 11 </w:t>
      </w:r>
      <w:r>
        <w:rPr>
          <w:color w:val="231F20"/>
          <w:spacing w:val="2"/>
          <w:sz w:val="13"/>
        </w:rPr>
        <w:t xml:space="preserve">(Members </w:t>
      </w:r>
      <w:r>
        <w:rPr>
          <w:color w:val="231F20"/>
          <w:sz w:val="13"/>
        </w:rPr>
        <w:t>of the Victims of Crime Consultative</w:t>
      </w:r>
      <w:r>
        <w:rPr>
          <w:color w:val="231F20"/>
          <w:spacing w:val="3"/>
          <w:sz w:val="13"/>
        </w:rPr>
        <w:t xml:space="preserve"> </w:t>
      </w:r>
      <w:r>
        <w:rPr>
          <w:color w:val="231F20"/>
          <w:sz w:val="13"/>
        </w:rPr>
        <w:t>Committee).</w:t>
      </w:r>
    </w:p>
    <w:p w14:paraId="4CB8C2B7" w14:textId="77777777" w:rsidR="00894070" w:rsidRDefault="009B7AFD">
      <w:pPr>
        <w:pStyle w:val="ListParagraph"/>
        <w:numPr>
          <w:ilvl w:val="0"/>
          <w:numId w:val="109"/>
        </w:numPr>
        <w:tabs>
          <w:tab w:val="left" w:pos="1801"/>
          <w:tab w:val="left" w:pos="1802"/>
        </w:tabs>
        <w:spacing w:before="6" w:line="213" w:lineRule="auto"/>
        <w:ind w:right="1227"/>
        <w:rPr>
          <w:sz w:val="13"/>
        </w:rPr>
      </w:pPr>
      <w:r>
        <w:rPr>
          <w:color w:val="231F20"/>
          <w:spacing w:val="2"/>
          <w:sz w:val="13"/>
        </w:rPr>
        <w:t xml:space="preserve">Submission </w:t>
      </w:r>
      <w:r>
        <w:rPr>
          <w:color w:val="231F20"/>
          <w:sz w:val="13"/>
        </w:rPr>
        <w:t xml:space="preserve">70 (Di McDonald); 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6712CF14" w14:textId="77777777" w:rsidR="00894070" w:rsidRDefault="009B7AFD">
      <w:pPr>
        <w:pStyle w:val="ListParagraph"/>
        <w:numPr>
          <w:ilvl w:val="0"/>
          <w:numId w:val="109"/>
        </w:numPr>
        <w:tabs>
          <w:tab w:val="left" w:pos="1800"/>
          <w:tab w:val="left" w:pos="1802"/>
        </w:tabs>
        <w:spacing w:line="153" w:lineRule="exact"/>
        <w:rPr>
          <w:sz w:val="13"/>
        </w:rPr>
      </w:pPr>
      <w:r>
        <w:rPr>
          <w:color w:val="231F20"/>
          <w:spacing w:val="2"/>
          <w:sz w:val="13"/>
        </w:rPr>
        <w:t xml:space="preserve">Submission </w:t>
      </w:r>
      <w:r>
        <w:rPr>
          <w:color w:val="231F20"/>
          <w:sz w:val="13"/>
        </w:rPr>
        <w:t>67 (Erin</w:t>
      </w:r>
      <w:r>
        <w:rPr>
          <w:color w:val="231F20"/>
          <w:spacing w:val="-3"/>
          <w:sz w:val="13"/>
        </w:rPr>
        <w:t xml:space="preserve"> </w:t>
      </w:r>
      <w:r>
        <w:rPr>
          <w:color w:val="231F20"/>
          <w:sz w:val="13"/>
        </w:rPr>
        <w:t>Scrimshaw).</w:t>
      </w:r>
    </w:p>
    <w:p w14:paraId="579F21FC" w14:textId="77777777" w:rsidR="00894070" w:rsidRDefault="009B7AFD">
      <w:pPr>
        <w:pStyle w:val="ListParagraph"/>
        <w:numPr>
          <w:ilvl w:val="0"/>
          <w:numId w:val="109"/>
        </w:numPr>
        <w:tabs>
          <w:tab w:val="left" w:pos="1800"/>
          <w:tab w:val="left" w:pos="1802"/>
        </w:tabs>
        <w:spacing w:before="6"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0EE793B8" w14:textId="77777777" w:rsidR="00894070" w:rsidRDefault="009B7AFD">
      <w:pPr>
        <w:pStyle w:val="ListParagraph"/>
        <w:numPr>
          <w:ilvl w:val="0"/>
          <w:numId w:val="109"/>
        </w:numPr>
        <w:tabs>
          <w:tab w:val="left" w:pos="1800"/>
          <w:tab w:val="left" w:pos="1802"/>
        </w:tabs>
        <w:spacing w:line="153" w:lineRule="exact"/>
        <w:rPr>
          <w:sz w:val="13"/>
        </w:rPr>
      </w:pPr>
      <w:r>
        <w:rPr>
          <w:color w:val="231F20"/>
          <w:spacing w:val="2"/>
          <w:sz w:val="13"/>
        </w:rPr>
        <w:t xml:space="preserve">Submission </w:t>
      </w:r>
      <w:r>
        <w:rPr>
          <w:color w:val="231F20"/>
          <w:sz w:val="13"/>
        </w:rPr>
        <w:t>70 (Di</w:t>
      </w:r>
      <w:r>
        <w:rPr>
          <w:color w:val="231F20"/>
          <w:spacing w:val="-3"/>
          <w:sz w:val="13"/>
        </w:rPr>
        <w:t xml:space="preserve"> </w:t>
      </w:r>
      <w:r>
        <w:rPr>
          <w:color w:val="231F20"/>
          <w:sz w:val="13"/>
        </w:rPr>
        <w:t>McDonald).</w:t>
      </w:r>
    </w:p>
    <w:p w14:paraId="651AC525" w14:textId="77777777" w:rsidR="00894070" w:rsidRDefault="009B7AFD">
      <w:pPr>
        <w:pStyle w:val="ListParagraph"/>
        <w:numPr>
          <w:ilvl w:val="0"/>
          <w:numId w:val="109"/>
        </w:numPr>
        <w:tabs>
          <w:tab w:val="left" w:pos="1801"/>
          <w:tab w:val="left" w:pos="1802"/>
        </w:tabs>
        <w:spacing w:before="6" w:line="213" w:lineRule="auto"/>
        <w:ind w:right="1454"/>
        <w:rPr>
          <w:sz w:val="13"/>
        </w:rPr>
      </w:pPr>
      <w:r>
        <w:rPr>
          <w:color w:val="231F20"/>
          <w:spacing w:val="2"/>
          <w:sz w:val="13"/>
        </w:rPr>
        <w:t xml:space="preserve">Submissions </w:t>
      </w:r>
      <w:r>
        <w:rPr>
          <w:color w:val="231F20"/>
          <w:sz w:val="13"/>
        </w:rPr>
        <w:t xml:space="preserve">32 (Centre for Forensic Behavioural Science), 49 </w:t>
      </w:r>
      <w:r>
        <w:rPr>
          <w:color w:val="231F20"/>
          <w:spacing w:val="2"/>
          <w:sz w:val="13"/>
        </w:rPr>
        <w:t xml:space="preserve">(Victims </w:t>
      </w:r>
      <w:r>
        <w:rPr>
          <w:color w:val="231F20"/>
          <w:sz w:val="13"/>
        </w:rPr>
        <w:t xml:space="preserve">of Crime Commissioner), 55 (Springvale Monash Legal Service), 100 (Forensicare); Consultation 11 </w:t>
      </w:r>
      <w:r>
        <w:rPr>
          <w:color w:val="231F20"/>
          <w:spacing w:val="2"/>
          <w:sz w:val="13"/>
        </w:rPr>
        <w:t xml:space="preserve">(Members </w:t>
      </w:r>
      <w:r>
        <w:rPr>
          <w:color w:val="231F20"/>
          <w:sz w:val="13"/>
        </w:rPr>
        <w:t>of the Victims of Crime Consultative</w:t>
      </w:r>
      <w:r>
        <w:rPr>
          <w:color w:val="231F20"/>
          <w:spacing w:val="26"/>
          <w:sz w:val="13"/>
        </w:rPr>
        <w:t xml:space="preserve"> </w:t>
      </w:r>
      <w:r>
        <w:rPr>
          <w:color w:val="231F20"/>
          <w:sz w:val="13"/>
        </w:rPr>
        <w:t>Committee).</w:t>
      </w:r>
    </w:p>
    <w:p w14:paraId="4F0A0B56" w14:textId="77777777" w:rsidR="00894070" w:rsidRDefault="009B7AFD">
      <w:pPr>
        <w:pStyle w:val="ListParagraph"/>
        <w:numPr>
          <w:ilvl w:val="0"/>
          <w:numId w:val="109"/>
        </w:numPr>
        <w:tabs>
          <w:tab w:val="left" w:pos="1801"/>
          <w:tab w:val="left" w:pos="1802"/>
        </w:tabs>
        <w:spacing w:line="153" w:lineRule="exact"/>
        <w:rPr>
          <w:sz w:val="13"/>
        </w:rPr>
      </w:pPr>
      <w:r>
        <w:rPr>
          <w:color w:val="231F20"/>
          <w:sz w:val="13"/>
        </w:rPr>
        <w:t>Consultation 30 (Roundtable with multicultural and multifaith lawyers and legal</w:t>
      </w:r>
      <w:r>
        <w:rPr>
          <w:color w:val="231F20"/>
          <w:spacing w:val="12"/>
          <w:sz w:val="13"/>
        </w:rPr>
        <w:t xml:space="preserve"> </w:t>
      </w:r>
      <w:r>
        <w:rPr>
          <w:color w:val="231F20"/>
          <w:sz w:val="13"/>
        </w:rPr>
        <w:t>stakeholders).</w:t>
      </w:r>
    </w:p>
    <w:p w14:paraId="4F61B57D" w14:textId="77777777" w:rsidR="00894070" w:rsidRDefault="009F6793">
      <w:pPr>
        <w:pStyle w:val="ListParagraph"/>
        <w:numPr>
          <w:ilvl w:val="0"/>
          <w:numId w:val="109"/>
        </w:numPr>
        <w:tabs>
          <w:tab w:val="left" w:pos="1801"/>
          <w:tab w:val="left" w:pos="1802"/>
        </w:tabs>
        <w:spacing w:line="160" w:lineRule="exact"/>
        <w:rPr>
          <w:sz w:val="13"/>
        </w:rPr>
      </w:pPr>
      <w:r>
        <w:pict w14:anchorId="720D42B8">
          <v:shape id="_x0000_s1384" type="#_x0000_t202" style="position:absolute;left:0;text-align:left;margin-left:549.05pt;margin-top:3.7pt;width:13.2pt;height:14.1pt;z-index:251697152;mso-position-horizontal-relative:page" filled="f" stroked="f">
            <v:textbox inset="0,0,0,0">
              <w:txbxContent>
                <w:p w14:paraId="64E17245" w14:textId="77777777" w:rsidR="00894070" w:rsidRDefault="009B7AFD">
                  <w:pPr>
                    <w:spacing w:line="282" w:lineRule="exact"/>
                    <w:rPr>
                      <w:b/>
                      <w:sz w:val="24"/>
                    </w:rPr>
                  </w:pPr>
                  <w:r>
                    <w:rPr>
                      <w:b/>
                      <w:color w:val="EA5B50"/>
                      <w:sz w:val="24"/>
                    </w:rPr>
                    <w:t>91</w:t>
                  </w:r>
                </w:p>
              </w:txbxContent>
            </v:textbox>
            <w10:wrap anchorx="page"/>
          </v:shape>
        </w:pict>
      </w:r>
      <w:r w:rsidR="009B7AFD">
        <w:rPr>
          <w:color w:val="231F20"/>
          <w:spacing w:val="2"/>
          <w:sz w:val="13"/>
        </w:rPr>
        <w:t xml:space="preserve">Submission </w:t>
      </w:r>
      <w:r w:rsidR="009B7AFD">
        <w:rPr>
          <w:color w:val="231F20"/>
          <w:sz w:val="13"/>
        </w:rPr>
        <w:t xml:space="preserve">49 </w:t>
      </w:r>
      <w:r w:rsidR="009B7AFD">
        <w:rPr>
          <w:color w:val="231F20"/>
          <w:spacing w:val="2"/>
          <w:sz w:val="13"/>
        </w:rPr>
        <w:t xml:space="preserve">(Victims </w:t>
      </w:r>
      <w:r w:rsidR="009B7AFD">
        <w:rPr>
          <w:color w:val="231F20"/>
          <w:sz w:val="13"/>
        </w:rPr>
        <w:t>of Crime</w:t>
      </w:r>
      <w:r w:rsidR="009B7AFD">
        <w:rPr>
          <w:color w:val="231F20"/>
          <w:spacing w:val="-4"/>
          <w:sz w:val="13"/>
        </w:rPr>
        <w:t xml:space="preserve"> </w:t>
      </w:r>
      <w:r w:rsidR="009B7AFD">
        <w:rPr>
          <w:color w:val="231F20"/>
          <w:sz w:val="13"/>
        </w:rPr>
        <w:t>Commissioner).</w:t>
      </w:r>
    </w:p>
    <w:p w14:paraId="727C4EAE" w14:textId="77777777" w:rsidR="00894070" w:rsidRDefault="009B7AFD">
      <w:pPr>
        <w:pStyle w:val="ListParagraph"/>
        <w:numPr>
          <w:ilvl w:val="0"/>
          <w:numId w:val="109"/>
        </w:numPr>
        <w:tabs>
          <w:tab w:val="left" w:pos="1801"/>
          <w:tab w:val="left" w:pos="1802"/>
        </w:tabs>
        <w:spacing w:line="170" w:lineRule="exact"/>
        <w:rPr>
          <w:sz w:val="13"/>
        </w:rPr>
      </w:pPr>
      <w:r>
        <w:rPr>
          <w:color w:val="231F20"/>
          <w:sz w:val="13"/>
        </w:rPr>
        <w:t>Consultation 31 (Roundtable with multicultural and multifaith community</w:t>
      </w:r>
      <w:r>
        <w:rPr>
          <w:color w:val="231F20"/>
          <w:spacing w:val="8"/>
          <w:sz w:val="13"/>
        </w:rPr>
        <w:t xml:space="preserve"> </w:t>
      </w:r>
      <w:r>
        <w:rPr>
          <w:color w:val="231F20"/>
          <w:sz w:val="13"/>
        </w:rPr>
        <w:t>organisations).</w:t>
      </w:r>
    </w:p>
    <w:p w14:paraId="25E353FC" w14:textId="77777777" w:rsidR="00894070" w:rsidRDefault="00894070">
      <w:pPr>
        <w:spacing w:line="170" w:lineRule="exact"/>
        <w:rPr>
          <w:sz w:val="13"/>
        </w:rPr>
        <w:sectPr w:rsidR="00894070">
          <w:pgSz w:w="11910" w:h="16840"/>
          <w:pgMar w:top="840" w:right="420" w:bottom="280" w:left="580" w:header="0" w:footer="0" w:gutter="0"/>
          <w:cols w:space="720"/>
        </w:sectPr>
      </w:pPr>
    </w:p>
    <w:p w14:paraId="1D19BE3F" w14:textId="77777777" w:rsidR="00894070" w:rsidRDefault="00894070">
      <w:pPr>
        <w:pStyle w:val="BodyText"/>
      </w:pPr>
    </w:p>
    <w:p w14:paraId="7FA4263D" w14:textId="77777777" w:rsidR="00894070" w:rsidRDefault="00894070">
      <w:pPr>
        <w:pStyle w:val="BodyText"/>
      </w:pPr>
    </w:p>
    <w:p w14:paraId="575BEA92" w14:textId="77777777" w:rsidR="00894070" w:rsidRDefault="00894070">
      <w:pPr>
        <w:pStyle w:val="BodyText"/>
      </w:pPr>
    </w:p>
    <w:p w14:paraId="7C42B8FA" w14:textId="77777777" w:rsidR="00894070" w:rsidRDefault="00894070">
      <w:pPr>
        <w:pStyle w:val="BodyText"/>
        <w:spacing w:before="11"/>
        <w:rPr>
          <w:sz w:val="18"/>
        </w:rPr>
      </w:pPr>
    </w:p>
    <w:p w14:paraId="26BF5C23" w14:textId="77777777" w:rsidR="00894070" w:rsidRDefault="009B7AFD">
      <w:pPr>
        <w:pStyle w:val="ListParagraph"/>
        <w:numPr>
          <w:ilvl w:val="1"/>
          <w:numId w:val="126"/>
        </w:numPr>
        <w:tabs>
          <w:tab w:val="left" w:pos="1801"/>
          <w:tab w:val="left" w:pos="1802"/>
        </w:tabs>
        <w:spacing w:line="206" w:lineRule="auto"/>
        <w:ind w:right="1571"/>
        <w:rPr>
          <w:sz w:val="20"/>
        </w:rPr>
      </w:pPr>
      <w:bookmarkStart w:id="110" w:name="_bookmark62"/>
      <w:bookmarkEnd w:id="110"/>
      <w:r>
        <w:rPr>
          <w:color w:val="231F20"/>
          <w:sz w:val="20"/>
        </w:rPr>
        <w:t xml:space="preserve">The </w:t>
      </w:r>
      <w:r>
        <w:rPr>
          <w:color w:val="231F20"/>
          <w:spacing w:val="-3"/>
          <w:sz w:val="20"/>
        </w:rPr>
        <w:t xml:space="preserve">Centre for Multicultural </w:t>
      </w:r>
      <w:r>
        <w:rPr>
          <w:color w:val="231F20"/>
          <w:spacing w:val="-5"/>
          <w:sz w:val="20"/>
        </w:rPr>
        <w:t xml:space="preserve">Youth, </w:t>
      </w:r>
      <w:r>
        <w:rPr>
          <w:color w:val="231F20"/>
          <w:sz w:val="20"/>
        </w:rPr>
        <w:t xml:space="preserve">which works with young people </w:t>
      </w:r>
      <w:r>
        <w:rPr>
          <w:color w:val="231F20"/>
          <w:spacing w:val="-3"/>
          <w:sz w:val="20"/>
        </w:rPr>
        <w:t xml:space="preserve">from culturally </w:t>
      </w:r>
      <w:r>
        <w:rPr>
          <w:color w:val="231F20"/>
          <w:sz w:val="20"/>
        </w:rPr>
        <w:t xml:space="preserve">diverse backgrounds, </w:t>
      </w:r>
      <w:r>
        <w:rPr>
          <w:color w:val="231F20"/>
          <w:spacing w:val="-3"/>
          <w:sz w:val="20"/>
        </w:rPr>
        <w:t xml:space="preserve">told </w:t>
      </w:r>
      <w:r>
        <w:rPr>
          <w:color w:val="231F20"/>
          <w:sz w:val="20"/>
        </w:rPr>
        <w:t xml:space="preserve">us that victim </w:t>
      </w:r>
      <w:r>
        <w:rPr>
          <w:color w:val="231F20"/>
          <w:spacing w:val="-3"/>
          <w:sz w:val="20"/>
        </w:rPr>
        <w:t xml:space="preserve">advocates </w:t>
      </w:r>
      <w:r>
        <w:rPr>
          <w:color w:val="231F20"/>
          <w:sz w:val="20"/>
        </w:rPr>
        <w:t xml:space="preserve">should </w:t>
      </w:r>
      <w:r>
        <w:rPr>
          <w:color w:val="231F20"/>
          <w:spacing w:val="-3"/>
          <w:sz w:val="20"/>
        </w:rPr>
        <w:t xml:space="preserve">work collaboratively </w:t>
      </w:r>
      <w:r>
        <w:rPr>
          <w:color w:val="231F20"/>
          <w:sz w:val="20"/>
        </w:rPr>
        <w:t xml:space="preserve">with </w:t>
      </w:r>
      <w:r>
        <w:rPr>
          <w:color w:val="231F20"/>
          <w:spacing w:val="-3"/>
          <w:sz w:val="20"/>
        </w:rPr>
        <w:t xml:space="preserve">multicultural </w:t>
      </w:r>
      <w:r>
        <w:rPr>
          <w:color w:val="231F20"/>
          <w:sz w:val="20"/>
        </w:rPr>
        <w:t xml:space="preserve">specific services, </w:t>
      </w:r>
      <w:r>
        <w:rPr>
          <w:color w:val="231F20"/>
          <w:spacing w:val="-4"/>
          <w:sz w:val="20"/>
        </w:rPr>
        <w:t xml:space="preserve">have </w:t>
      </w:r>
      <w:r>
        <w:rPr>
          <w:color w:val="231F20"/>
          <w:sz w:val="20"/>
        </w:rPr>
        <w:t xml:space="preserve">experience working with people </w:t>
      </w:r>
      <w:r>
        <w:rPr>
          <w:color w:val="231F20"/>
          <w:spacing w:val="-3"/>
          <w:sz w:val="20"/>
        </w:rPr>
        <w:t>from culturally</w:t>
      </w:r>
      <w:r>
        <w:rPr>
          <w:color w:val="231F20"/>
          <w:spacing w:val="-11"/>
          <w:sz w:val="20"/>
        </w:rPr>
        <w:t xml:space="preserve"> </w:t>
      </w:r>
      <w:r>
        <w:rPr>
          <w:color w:val="231F20"/>
          <w:sz w:val="20"/>
        </w:rPr>
        <w:t>and</w:t>
      </w:r>
      <w:r>
        <w:rPr>
          <w:color w:val="231F20"/>
          <w:spacing w:val="-10"/>
          <w:sz w:val="20"/>
        </w:rPr>
        <w:t xml:space="preserve"> </w:t>
      </w:r>
      <w:r>
        <w:rPr>
          <w:color w:val="231F20"/>
          <w:sz w:val="20"/>
        </w:rPr>
        <w:t>linguistically</w:t>
      </w:r>
      <w:r>
        <w:rPr>
          <w:color w:val="231F20"/>
          <w:spacing w:val="-10"/>
          <w:sz w:val="20"/>
        </w:rPr>
        <w:t xml:space="preserve"> </w:t>
      </w:r>
      <w:r>
        <w:rPr>
          <w:color w:val="231F20"/>
          <w:sz w:val="20"/>
        </w:rPr>
        <w:t>diverse</w:t>
      </w:r>
      <w:r>
        <w:rPr>
          <w:color w:val="231F20"/>
          <w:spacing w:val="-10"/>
          <w:sz w:val="20"/>
        </w:rPr>
        <w:t xml:space="preserve"> </w:t>
      </w:r>
      <w:r>
        <w:rPr>
          <w:color w:val="231F20"/>
          <w:sz w:val="20"/>
        </w:rPr>
        <w:t>backgrounds,</w:t>
      </w:r>
      <w:r>
        <w:rPr>
          <w:color w:val="231F20"/>
          <w:spacing w:val="-10"/>
          <w:sz w:val="20"/>
        </w:rPr>
        <w:t xml:space="preserve"> </w:t>
      </w:r>
      <w:r>
        <w:rPr>
          <w:color w:val="231F20"/>
          <w:sz w:val="20"/>
        </w:rPr>
        <w:t>and</w:t>
      </w:r>
      <w:r>
        <w:rPr>
          <w:color w:val="231F20"/>
          <w:spacing w:val="-10"/>
          <w:sz w:val="20"/>
        </w:rPr>
        <w:t xml:space="preserve"> </w:t>
      </w:r>
      <w:r>
        <w:rPr>
          <w:color w:val="231F20"/>
          <w:sz w:val="20"/>
        </w:rPr>
        <w:t>be</w:t>
      </w:r>
      <w:r>
        <w:rPr>
          <w:color w:val="231F20"/>
          <w:spacing w:val="-10"/>
          <w:sz w:val="20"/>
        </w:rPr>
        <w:t xml:space="preserve"> </w:t>
      </w:r>
      <w:r>
        <w:rPr>
          <w:color w:val="231F20"/>
          <w:sz w:val="20"/>
        </w:rPr>
        <w:t>hired</w:t>
      </w:r>
      <w:r>
        <w:rPr>
          <w:color w:val="231F20"/>
          <w:spacing w:val="-10"/>
          <w:sz w:val="20"/>
        </w:rPr>
        <w:t xml:space="preserve"> </w:t>
      </w:r>
      <w:r>
        <w:rPr>
          <w:color w:val="231F20"/>
          <w:spacing w:val="-3"/>
          <w:sz w:val="20"/>
        </w:rPr>
        <w:t>from</w:t>
      </w:r>
      <w:r>
        <w:rPr>
          <w:color w:val="231F20"/>
          <w:spacing w:val="-10"/>
          <w:sz w:val="20"/>
        </w:rPr>
        <w:t xml:space="preserve"> </w:t>
      </w:r>
      <w:r>
        <w:rPr>
          <w:color w:val="231F20"/>
          <w:sz w:val="20"/>
        </w:rPr>
        <w:t>various</w:t>
      </w:r>
      <w:r>
        <w:rPr>
          <w:color w:val="231F20"/>
          <w:spacing w:val="-10"/>
          <w:sz w:val="20"/>
        </w:rPr>
        <w:t xml:space="preserve"> </w:t>
      </w:r>
      <w:r>
        <w:rPr>
          <w:color w:val="231F20"/>
          <w:spacing w:val="-3"/>
          <w:sz w:val="20"/>
        </w:rPr>
        <w:t xml:space="preserve">cultural </w:t>
      </w:r>
      <w:r>
        <w:rPr>
          <w:color w:val="231F20"/>
          <w:sz w:val="20"/>
        </w:rPr>
        <w:t>backgrounds.</w:t>
      </w:r>
      <w:r>
        <w:rPr>
          <w:color w:val="231F20"/>
          <w:position w:val="7"/>
          <w:sz w:val="11"/>
        </w:rPr>
        <w:t xml:space="preserve">136 </w:t>
      </w:r>
      <w:r>
        <w:rPr>
          <w:color w:val="231F20"/>
          <w:spacing w:val="-6"/>
          <w:sz w:val="20"/>
        </w:rPr>
        <w:t xml:space="preserve">We </w:t>
      </w:r>
      <w:r>
        <w:rPr>
          <w:color w:val="231F20"/>
          <w:sz w:val="20"/>
        </w:rPr>
        <w:t xml:space="preserve">discuss </w:t>
      </w:r>
      <w:r>
        <w:rPr>
          <w:color w:val="231F20"/>
          <w:spacing w:val="-3"/>
          <w:sz w:val="20"/>
        </w:rPr>
        <w:t xml:space="preserve">accessible </w:t>
      </w:r>
      <w:r>
        <w:rPr>
          <w:color w:val="231F20"/>
          <w:sz w:val="20"/>
        </w:rPr>
        <w:t>design</w:t>
      </w:r>
      <w:r>
        <w:rPr>
          <w:color w:val="231F20"/>
          <w:spacing w:val="-16"/>
          <w:sz w:val="20"/>
        </w:rPr>
        <w:t xml:space="preserve"> </w:t>
      </w:r>
      <w:r>
        <w:rPr>
          <w:color w:val="231F20"/>
          <w:sz w:val="20"/>
        </w:rPr>
        <w:t>next.</w:t>
      </w:r>
    </w:p>
    <w:p w14:paraId="163E745F" w14:textId="77777777" w:rsidR="00894070" w:rsidRDefault="00894070">
      <w:pPr>
        <w:pStyle w:val="BodyText"/>
        <w:spacing w:before="13"/>
        <w:rPr>
          <w:sz w:val="15"/>
        </w:rPr>
      </w:pPr>
    </w:p>
    <w:p w14:paraId="75032930" w14:textId="77777777" w:rsidR="00894070" w:rsidRDefault="009B7AFD">
      <w:pPr>
        <w:pStyle w:val="Heading8"/>
        <w:ind w:left="1007"/>
      </w:pPr>
      <w:r>
        <w:rPr>
          <w:color w:val="231F20"/>
        </w:rPr>
        <w:t>What should be the features of an independent advocate model?</w:t>
      </w:r>
    </w:p>
    <w:p w14:paraId="15501DFC" w14:textId="77777777" w:rsidR="00894070" w:rsidRDefault="009B7AFD">
      <w:pPr>
        <w:pStyle w:val="ListParagraph"/>
        <w:numPr>
          <w:ilvl w:val="1"/>
          <w:numId w:val="126"/>
        </w:numPr>
        <w:tabs>
          <w:tab w:val="left" w:pos="1801"/>
          <w:tab w:val="left" w:pos="1802"/>
        </w:tabs>
        <w:spacing w:before="127" w:line="206" w:lineRule="auto"/>
        <w:ind w:right="1165"/>
        <w:rPr>
          <w:sz w:val="20"/>
        </w:rPr>
      </w:pPr>
      <w:r>
        <w:rPr>
          <w:color w:val="231F20"/>
          <w:spacing w:val="-6"/>
          <w:sz w:val="20"/>
        </w:rPr>
        <w:t>We</w:t>
      </w:r>
      <w:r>
        <w:rPr>
          <w:color w:val="231F20"/>
          <w:spacing w:val="-10"/>
          <w:sz w:val="20"/>
        </w:rPr>
        <w:t xml:space="preserve"> </w:t>
      </w:r>
      <w:r>
        <w:rPr>
          <w:color w:val="231F20"/>
          <w:sz w:val="20"/>
        </w:rPr>
        <w:t>do</w:t>
      </w:r>
      <w:r>
        <w:rPr>
          <w:color w:val="231F20"/>
          <w:spacing w:val="-10"/>
          <w:sz w:val="20"/>
        </w:rPr>
        <w:t xml:space="preserve"> </w:t>
      </w:r>
      <w:r>
        <w:rPr>
          <w:color w:val="231F20"/>
          <w:sz w:val="20"/>
        </w:rPr>
        <w:t>not</w:t>
      </w:r>
      <w:r>
        <w:rPr>
          <w:color w:val="231F20"/>
          <w:spacing w:val="-9"/>
          <w:sz w:val="20"/>
        </w:rPr>
        <w:t xml:space="preserve"> </w:t>
      </w:r>
      <w:r>
        <w:rPr>
          <w:color w:val="231F20"/>
          <w:sz w:val="20"/>
        </w:rPr>
        <w:t>propose</w:t>
      </w:r>
      <w:r>
        <w:rPr>
          <w:color w:val="231F20"/>
          <w:spacing w:val="-10"/>
          <w:sz w:val="20"/>
        </w:rPr>
        <w:t xml:space="preserve"> </w:t>
      </w:r>
      <w:r>
        <w:rPr>
          <w:color w:val="231F20"/>
          <w:sz w:val="20"/>
        </w:rPr>
        <w:t>to</w:t>
      </w:r>
      <w:r>
        <w:rPr>
          <w:color w:val="231F20"/>
          <w:spacing w:val="-9"/>
          <w:sz w:val="20"/>
        </w:rPr>
        <w:t xml:space="preserve"> </w:t>
      </w:r>
      <w:r>
        <w:rPr>
          <w:color w:val="231F20"/>
          <w:sz w:val="20"/>
        </w:rPr>
        <w:t>design</w:t>
      </w:r>
      <w:r>
        <w:rPr>
          <w:color w:val="231F20"/>
          <w:spacing w:val="-10"/>
          <w:sz w:val="20"/>
        </w:rPr>
        <w:t xml:space="preserve"> </w:t>
      </w:r>
      <w:r>
        <w:rPr>
          <w:color w:val="231F20"/>
          <w:sz w:val="20"/>
        </w:rPr>
        <w:t>specific</w:t>
      </w:r>
      <w:r>
        <w:rPr>
          <w:color w:val="231F20"/>
          <w:spacing w:val="-9"/>
          <w:sz w:val="20"/>
        </w:rPr>
        <w:t xml:space="preserve"> </w:t>
      </w:r>
      <w:r>
        <w:rPr>
          <w:color w:val="231F20"/>
          <w:sz w:val="20"/>
        </w:rPr>
        <w:t>models</w:t>
      </w:r>
      <w:r>
        <w:rPr>
          <w:color w:val="231F20"/>
          <w:spacing w:val="-10"/>
          <w:sz w:val="20"/>
        </w:rPr>
        <w:t xml:space="preserve"> </w:t>
      </w:r>
      <w:r>
        <w:rPr>
          <w:color w:val="231F20"/>
          <w:sz w:val="20"/>
        </w:rPr>
        <w:t>of</w:t>
      </w:r>
      <w:r>
        <w:rPr>
          <w:color w:val="231F20"/>
          <w:spacing w:val="-9"/>
          <w:sz w:val="20"/>
        </w:rPr>
        <w:t xml:space="preserve"> </w:t>
      </w:r>
      <w:r>
        <w:rPr>
          <w:color w:val="231F20"/>
          <w:sz w:val="20"/>
        </w:rPr>
        <w:t>service</w:t>
      </w:r>
      <w:r>
        <w:rPr>
          <w:color w:val="231F20"/>
          <w:spacing w:val="-10"/>
          <w:sz w:val="20"/>
        </w:rPr>
        <w:t xml:space="preserve"> </w:t>
      </w:r>
      <w:r>
        <w:rPr>
          <w:color w:val="231F20"/>
          <w:spacing w:val="-3"/>
          <w:sz w:val="20"/>
        </w:rPr>
        <w:t>delivery.</w:t>
      </w:r>
      <w:r>
        <w:rPr>
          <w:color w:val="231F20"/>
          <w:spacing w:val="-9"/>
          <w:sz w:val="20"/>
        </w:rPr>
        <w:t xml:space="preserve"> </w:t>
      </w:r>
      <w:r>
        <w:rPr>
          <w:color w:val="231F20"/>
          <w:sz w:val="20"/>
        </w:rPr>
        <w:t>These</w:t>
      </w:r>
      <w:r>
        <w:rPr>
          <w:color w:val="231F20"/>
          <w:spacing w:val="-10"/>
          <w:sz w:val="20"/>
        </w:rPr>
        <w:t xml:space="preserve"> </w:t>
      </w:r>
      <w:r>
        <w:rPr>
          <w:color w:val="231F20"/>
          <w:sz w:val="20"/>
        </w:rPr>
        <w:t>matters</w:t>
      </w:r>
      <w:r>
        <w:rPr>
          <w:color w:val="231F20"/>
          <w:spacing w:val="-9"/>
          <w:sz w:val="20"/>
        </w:rPr>
        <w:t xml:space="preserve"> </w:t>
      </w:r>
      <w:r>
        <w:rPr>
          <w:color w:val="231F20"/>
          <w:spacing w:val="-3"/>
          <w:sz w:val="20"/>
        </w:rPr>
        <w:t xml:space="preserve">require </w:t>
      </w:r>
      <w:r>
        <w:rPr>
          <w:color w:val="231F20"/>
          <w:sz w:val="20"/>
        </w:rPr>
        <w:t>close</w:t>
      </w:r>
      <w:r>
        <w:rPr>
          <w:color w:val="231F20"/>
          <w:spacing w:val="-9"/>
          <w:sz w:val="20"/>
        </w:rPr>
        <w:t xml:space="preserve"> </w:t>
      </w:r>
      <w:r>
        <w:rPr>
          <w:color w:val="231F20"/>
          <w:sz w:val="20"/>
        </w:rPr>
        <w:t>consultation,</w:t>
      </w:r>
      <w:r>
        <w:rPr>
          <w:color w:val="231F20"/>
          <w:spacing w:val="-8"/>
          <w:sz w:val="20"/>
        </w:rPr>
        <w:t xml:space="preserve"> </w:t>
      </w:r>
      <w:r>
        <w:rPr>
          <w:color w:val="231F20"/>
          <w:sz w:val="20"/>
        </w:rPr>
        <w:t>community</w:t>
      </w:r>
      <w:r>
        <w:rPr>
          <w:color w:val="231F20"/>
          <w:spacing w:val="-9"/>
          <w:sz w:val="20"/>
        </w:rPr>
        <w:t xml:space="preserve"> </w:t>
      </w:r>
      <w:r>
        <w:rPr>
          <w:color w:val="231F20"/>
          <w:sz w:val="20"/>
        </w:rPr>
        <w:t>engagement</w:t>
      </w:r>
      <w:r>
        <w:rPr>
          <w:color w:val="231F20"/>
          <w:spacing w:val="-8"/>
          <w:sz w:val="20"/>
        </w:rPr>
        <w:t xml:space="preserve"> </w:t>
      </w:r>
      <w:r>
        <w:rPr>
          <w:color w:val="231F20"/>
          <w:sz w:val="20"/>
        </w:rPr>
        <w:t>and</w:t>
      </w:r>
      <w:r>
        <w:rPr>
          <w:color w:val="231F20"/>
          <w:spacing w:val="-8"/>
          <w:sz w:val="20"/>
        </w:rPr>
        <w:t xml:space="preserve"> </w:t>
      </w:r>
      <w:r>
        <w:rPr>
          <w:color w:val="231F20"/>
          <w:sz w:val="20"/>
        </w:rPr>
        <w:t>co-design</w:t>
      </w:r>
      <w:r>
        <w:rPr>
          <w:color w:val="231F20"/>
          <w:spacing w:val="-9"/>
          <w:sz w:val="20"/>
        </w:rPr>
        <w:t xml:space="preserve"> </w:t>
      </w:r>
      <w:r>
        <w:rPr>
          <w:color w:val="231F20"/>
          <w:sz w:val="20"/>
        </w:rPr>
        <w:t>with</w:t>
      </w:r>
      <w:r>
        <w:rPr>
          <w:color w:val="231F20"/>
          <w:spacing w:val="-8"/>
          <w:sz w:val="20"/>
        </w:rPr>
        <w:t xml:space="preserve"> </w:t>
      </w:r>
      <w:r>
        <w:rPr>
          <w:color w:val="231F20"/>
          <w:sz w:val="20"/>
        </w:rPr>
        <w:t>victim</w:t>
      </w:r>
      <w:r>
        <w:rPr>
          <w:color w:val="231F20"/>
          <w:spacing w:val="-8"/>
          <w:sz w:val="20"/>
        </w:rPr>
        <w:t xml:space="preserve"> </w:t>
      </w:r>
      <w:r>
        <w:rPr>
          <w:color w:val="231F20"/>
          <w:sz w:val="20"/>
        </w:rPr>
        <w:t>survivors.</w:t>
      </w:r>
    </w:p>
    <w:p w14:paraId="3D9B16A7" w14:textId="77777777" w:rsidR="00894070" w:rsidRDefault="009B7AFD">
      <w:pPr>
        <w:pStyle w:val="ListParagraph"/>
        <w:numPr>
          <w:ilvl w:val="1"/>
          <w:numId w:val="126"/>
        </w:numPr>
        <w:tabs>
          <w:tab w:val="left" w:pos="1801"/>
          <w:tab w:val="left" w:pos="1802"/>
        </w:tabs>
        <w:spacing w:before="123" w:line="206" w:lineRule="auto"/>
        <w:ind w:right="1460"/>
        <w:rPr>
          <w:sz w:val="20"/>
        </w:rPr>
      </w:pPr>
      <w:r>
        <w:rPr>
          <w:color w:val="231F20"/>
          <w:spacing w:val="-5"/>
          <w:sz w:val="20"/>
        </w:rPr>
        <w:t>However,</w:t>
      </w:r>
      <w:r>
        <w:rPr>
          <w:color w:val="231F20"/>
          <w:spacing w:val="-8"/>
          <w:sz w:val="20"/>
        </w:rPr>
        <w:t xml:space="preserve"> </w:t>
      </w:r>
      <w:r>
        <w:rPr>
          <w:color w:val="231F20"/>
          <w:sz w:val="20"/>
        </w:rPr>
        <w:t>a</w:t>
      </w:r>
      <w:r>
        <w:rPr>
          <w:color w:val="231F20"/>
          <w:spacing w:val="-8"/>
          <w:sz w:val="20"/>
        </w:rPr>
        <w:t xml:space="preserve"> </w:t>
      </w:r>
      <w:r>
        <w:rPr>
          <w:color w:val="231F20"/>
          <w:spacing w:val="-3"/>
          <w:sz w:val="20"/>
        </w:rPr>
        <w:t>lot</w:t>
      </w:r>
      <w:r>
        <w:rPr>
          <w:color w:val="231F20"/>
          <w:spacing w:val="-8"/>
          <w:sz w:val="20"/>
        </w:rPr>
        <w:t xml:space="preserve"> </w:t>
      </w:r>
      <w:r>
        <w:rPr>
          <w:color w:val="231F20"/>
          <w:sz w:val="20"/>
        </w:rPr>
        <w:t>can</w:t>
      </w:r>
      <w:r>
        <w:rPr>
          <w:color w:val="231F20"/>
          <w:spacing w:val="-8"/>
          <w:sz w:val="20"/>
        </w:rPr>
        <w:t xml:space="preserve"> </w:t>
      </w:r>
      <w:r>
        <w:rPr>
          <w:color w:val="231F20"/>
          <w:sz w:val="20"/>
        </w:rPr>
        <w:t>be</w:t>
      </w:r>
      <w:r>
        <w:rPr>
          <w:color w:val="231F20"/>
          <w:spacing w:val="-7"/>
          <w:sz w:val="20"/>
        </w:rPr>
        <w:t xml:space="preserve"> </w:t>
      </w:r>
      <w:r>
        <w:rPr>
          <w:color w:val="231F20"/>
          <w:sz w:val="20"/>
        </w:rPr>
        <w:t>learned</w:t>
      </w:r>
      <w:r>
        <w:rPr>
          <w:color w:val="231F20"/>
          <w:spacing w:val="-8"/>
          <w:sz w:val="20"/>
        </w:rPr>
        <w:t xml:space="preserve"> </w:t>
      </w:r>
      <w:r>
        <w:rPr>
          <w:color w:val="231F20"/>
          <w:spacing w:val="-3"/>
          <w:sz w:val="20"/>
        </w:rPr>
        <w:t>from</w:t>
      </w:r>
      <w:r>
        <w:rPr>
          <w:color w:val="231F20"/>
          <w:spacing w:val="-8"/>
          <w:sz w:val="20"/>
        </w:rPr>
        <w:t xml:space="preserve"> </w:t>
      </w:r>
      <w:r>
        <w:rPr>
          <w:color w:val="231F20"/>
          <w:sz w:val="20"/>
        </w:rPr>
        <w:t>the</w:t>
      </w:r>
      <w:r>
        <w:rPr>
          <w:color w:val="231F20"/>
          <w:spacing w:val="-8"/>
          <w:sz w:val="20"/>
        </w:rPr>
        <w:t xml:space="preserve"> </w:t>
      </w:r>
      <w:r>
        <w:rPr>
          <w:color w:val="231F20"/>
          <w:sz w:val="20"/>
        </w:rPr>
        <w:t>model</w:t>
      </w:r>
      <w:r>
        <w:rPr>
          <w:color w:val="231F20"/>
          <w:spacing w:val="-8"/>
          <w:sz w:val="20"/>
        </w:rPr>
        <w:t xml:space="preserve"> </w:t>
      </w:r>
      <w:r>
        <w:rPr>
          <w:color w:val="231F20"/>
          <w:sz w:val="20"/>
        </w:rPr>
        <w:t>of</w:t>
      </w:r>
      <w:r>
        <w:rPr>
          <w:color w:val="231F20"/>
          <w:spacing w:val="-7"/>
          <w:sz w:val="20"/>
        </w:rPr>
        <w:t xml:space="preserve"> </w:t>
      </w:r>
      <w:r>
        <w:rPr>
          <w:color w:val="231F20"/>
          <w:sz w:val="20"/>
        </w:rPr>
        <w:t>victim</w:t>
      </w:r>
      <w:r>
        <w:rPr>
          <w:color w:val="231F20"/>
          <w:spacing w:val="-8"/>
          <w:sz w:val="20"/>
        </w:rPr>
        <w:t xml:space="preserve"> </w:t>
      </w:r>
      <w:r>
        <w:rPr>
          <w:color w:val="231F20"/>
          <w:sz w:val="20"/>
        </w:rPr>
        <w:t>advocacy</w:t>
      </w:r>
      <w:r>
        <w:rPr>
          <w:color w:val="231F20"/>
          <w:spacing w:val="-8"/>
          <w:sz w:val="20"/>
        </w:rPr>
        <w:t xml:space="preserve"> </w:t>
      </w:r>
      <w:r>
        <w:rPr>
          <w:color w:val="231F20"/>
          <w:sz w:val="20"/>
        </w:rPr>
        <w:t>used</w:t>
      </w:r>
      <w:r>
        <w:rPr>
          <w:color w:val="231F20"/>
          <w:spacing w:val="-8"/>
          <w:sz w:val="20"/>
        </w:rPr>
        <w:t xml:space="preserve"> </w:t>
      </w:r>
      <w:r>
        <w:rPr>
          <w:color w:val="231F20"/>
          <w:sz w:val="20"/>
        </w:rPr>
        <w:t>in</w:t>
      </w:r>
      <w:r>
        <w:rPr>
          <w:color w:val="231F20"/>
          <w:spacing w:val="-7"/>
          <w:sz w:val="20"/>
        </w:rPr>
        <w:t xml:space="preserve"> </w:t>
      </w:r>
      <w:r>
        <w:rPr>
          <w:color w:val="231F20"/>
          <w:sz w:val="20"/>
        </w:rPr>
        <w:t>the</w:t>
      </w:r>
      <w:r>
        <w:rPr>
          <w:color w:val="231F20"/>
          <w:spacing w:val="-8"/>
          <w:sz w:val="20"/>
        </w:rPr>
        <w:t xml:space="preserve"> </w:t>
      </w:r>
      <w:r>
        <w:rPr>
          <w:color w:val="231F20"/>
          <w:sz w:val="20"/>
        </w:rPr>
        <w:t xml:space="preserve">United Kingdom </w:t>
      </w:r>
      <w:r>
        <w:rPr>
          <w:color w:val="231F20"/>
          <w:spacing w:val="-3"/>
          <w:sz w:val="20"/>
        </w:rPr>
        <w:t xml:space="preserve">by </w:t>
      </w:r>
      <w:r>
        <w:rPr>
          <w:color w:val="231F20"/>
          <w:sz w:val="20"/>
        </w:rPr>
        <w:t>MASIP (discussed</w:t>
      </w:r>
      <w:r>
        <w:rPr>
          <w:color w:val="231F20"/>
          <w:spacing w:val="-14"/>
          <w:sz w:val="20"/>
        </w:rPr>
        <w:t xml:space="preserve"> </w:t>
      </w:r>
      <w:r>
        <w:rPr>
          <w:color w:val="231F20"/>
          <w:spacing w:val="-3"/>
          <w:sz w:val="20"/>
        </w:rPr>
        <w:t>earlier).</w:t>
      </w:r>
    </w:p>
    <w:p w14:paraId="01C0D0CD" w14:textId="77777777" w:rsidR="00894070" w:rsidRDefault="009B7AFD">
      <w:pPr>
        <w:pStyle w:val="ListParagraph"/>
        <w:numPr>
          <w:ilvl w:val="1"/>
          <w:numId w:val="126"/>
        </w:numPr>
        <w:tabs>
          <w:tab w:val="left" w:pos="1801"/>
          <w:tab w:val="left" w:pos="1802"/>
        </w:tabs>
        <w:spacing w:before="90" w:line="259" w:lineRule="exact"/>
        <w:rPr>
          <w:sz w:val="20"/>
        </w:rPr>
      </w:pPr>
      <w:r>
        <w:rPr>
          <w:color w:val="231F20"/>
          <w:sz w:val="20"/>
        </w:rPr>
        <w:t>Based</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research</w:t>
      </w:r>
      <w:r>
        <w:rPr>
          <w:color w:val="231F20"/>
          <w:spacing w:val="-4"/>
          <w:sz w:val="20"/>
        </w:rPr>
        <w:t xml:space="preserve"> </w:t>
      </w:r>
      <w:r>
        <w:rPr>
          <w:color w:val="231F20"/>
          <w:sz w:val="20"/>
        </w:rPr>
        <w:t>and</w:t>
      </w:r>
      <w:r>
        <w:rPr>
          <w:color w:val="231F20"/>
          <w:spacing w:val="-5"/>
          <w:sz w:val="20"/>
        </w:rPr>
        <w:t xml:space="preserve"> </w:t>
      </w:r>
      <w:r>
        <w:rPr>
          <w:color w:val="231F20"/>
          <w:sz w:val="20"/>
        </w:rPr>
        <w:t>what</w:t>
      </w:r>
      <w:r>
        <w:rPr>
          <w:color w:val="231F20"/>
          <w:spacing w:val="-5"/>
          <w:sz w:val="20"/>
        </w:rPr>
        <w:t xml:space="preserve"> </w:t>
      </w:r>
      <w:r>
        <w:rPr>
          <w:color w:val="231F20"/>
          <w:sz w:val="20"/>
        </w:rPr>
        <w:t>people</w:t>
      </w:r>
      <w:r>
        <w:rPr>
          <w:color w:val="231F20"/>
          <w:spacing w:val="-4"/>
          <w:sz w:val="20"/>
        </w:rPr>
        <w:t xml:space="preserve"> </w:t>
      </w:r>
      <w:r>
        <w:rPr>
          <w:color w:val="231F20"/>
          <w:spacing w:val="-3"/>
          <w:sz w:val="20"/>
        </w:rPr>
        <w:t>told</w:t>
      </w:r>
      <w:r>
        <w:rPr>
          <w:color w:val="231F20"/>
          <w:spacing w:val="-5"/>
          <w:sz w:val="20"/>
        </w:rPr>
        <w:t xml:space="preserve"> </w:t>
      </w:r>
      <w:r>
        <w:rPr>
          <w:color w:val="231F20"/>
          <w:sz w:val="20"/>
        </w:rPr>
        <w:t>us,</w:t>
      </w:r>
      <w:r>
        <w:rPr>
          <w:color w:val="231F20"/>
          <w:spacing w:val="-5"/>
          <w:sz w:val="20"/>
        </w:rPr>
        <w:t xml:space="preserve"> </w:t>
      </w:r>
      <w:r>
        <w:rPr>
          <w:color w:val="231F20"/>
          <w:spacing w:val="-3"/>
          <w:sz w:val="20"/>
        </w:rPr>
        <w:t>we</w:t>
      </w:r>
      <w:r>
        <w:rPr>
          <w:color w:val="231F20"/>
          <w:spacing w:val="-5"/>
          <w:sz w:val="20"/>
        </w:rPr>
        <w:t xml:space="preserve"> </w:t>
      </w:r>
      <w:r>
        <w:rPr>
          <w:color w:val="231F20"/>
          <w:sz w:val="20"/>
        </w:rPr>
        <w:t>consider</w:t>
      </w:r>
      <w:r>
        <w:rPr>
          <w:color w:val="231F20"/>
          <w:spacing w:val="-4"/>
          <w:sz w:val="20"/>
        </w:rPr>
        <w:t xml:space="preserve"> </w:t>
      </w:r>
      <w:r>
        <w:rPr>
          <w:color w:val="231F20"/>
          <w:sz w:val="20"/>
        </w:rPr>
        <w:t>these</w:t>
      </w:r>
      <w:r>
        <w:rPr>
          <w:color w:val="231F20"/>
          <w:spacing w:val="-5"/>
          <w:sz w:val="20"/>
        </w:rPr>
        <w:t xml:space="preserve"> </w:t>
      </w:r>
      <w:r>
        <w:rPr>
          <w:color w:val="231F20"/>
          <w:spacing w:val="-3"/>
          <w:sz w:val="20"/>
        </w:rPr>
        <w:t>features</w:t>
      </w:r>
      <w:r>
        <w:rPr>
          <w:color w:val="231F20"/>
          <w:spacing w:val="-5"/>
          <w:sz w:val="20"/>
        </w:rPr>
        <w:t xml:space="preserve"> </w:t>
      </w:r>
      <w:r>
        <w:rPr>
          <w:color w:val="231F20"/>
          <w:sz w:val="20"/>
        </w:rPr>
        <w:t>to</w:t>
      </w:r>
      <w:r>
        <w:rPr>
          <w:color w:val="231F20"/>
          <w:spacing w:val="-4"/>
          <w:sz w:val="20"/>
        </w:rPr>
        <w:t xml:space="preserve"> </w:t>
      </w:r>
      <w:r>
        <w:rPr>
          <w:color w:val="231F20"/>
          <w:sz w:val="20"/>
        </w:rPr>
        <w:t>be</w:t>
      </w:r>
    </w:p>
    <w:p w14:paraId="5D16EA90" w14:textId="77777777" w:rsidR="00894070" w:rsidRDefault="009B7AFD">
      <w:pPr>
        <w:pStyle w:val="BodyText"/>
        <w:spacing w:line="259" w:lineRule="exact"/>
        <w:ind w:left="1801"/>
      </w:pPr>
      <w:r>
        <w:rPr>
          <w:color w:val="231F20"/>
        </w:rPr>
        <w:t>important:</w:t>
      </w:r>
    </w:p>
    <w:p w14:paraId="533188F4" w14:textId="77777777" w:rsidR="00894070" w:rsidRDefault="009B7AFD">
      <w:pPr>
        <w:pStyle w:val="ListParagraph"/>
        <w:numPr>
          <w:ilvl w:val="2"/>
          <w:numId w:val="126"/>
        </w:numPr>
        <w:tabs>
          <w:tab w:val="left" w:pos="2141"/>
          <w:tab w:val="left" w:pos="2142"/>
        </w:tabs>
        <w:spacing w:before="83" w:line="259" w:lineRule="exact"/>
        <w:ind w:hanging="340"/>
        <w:rPr>
          <w:sz w:val="20"/>
        </w:rPr>
      </w:pPr>
      <w:r>
        <w:rPr>
          <w:color w:val="231F20"/>
          <w:sz w:val="20"/>
        </w:rPr>
        <w:t>The</w:t>
      </w:r>
      <w:r>
        <w:rPr>
          <w:color w:val="231F20"/>
          <w:spacing w:val="-5"/>
          <w:sz w:val="20"/>
        </w:rPr>
        <w:t xml:space="preserve"> </w:t>
      </w:r>
      <w:r>
        <w:rPr>
          <w:color w:val="231F20"/>
          <w:sz w:val="20"/>
        </w:rPr>
        <w:t>victim</w:t>
      </w:r>
      <w:r>
        <w:rPr>
          <w:color w:val="231F20"/>
          <w:spacing w:val="-5"/>
          <w:sz w:val="20"/>
        </w:rPr>
        <w:t xml:space="preserve"> </w:t>
      </w:r>
      <w:r>
        <w:rPr>
          <w:color w:val="231F20"/>
          <w:spacing w:val="-3"/>
          <w:sz w:val="20"/>
        </w:rPr>
        <w:t>advocate</w:t>
      </w:r>
      <w:r>
        <w:rPr>
          <w:color w:val="231F20"/>
          <w:spacing w:val="-5"/>
          <w:sz w:val="20"/>
        </w:rPr>
        <w:t xml:space="preserve"> </w:t>
      </w:r>
      <w:r>
        <w:rPr>
          <w:color w:val="231F20"/>
          <w:sz w:val="20"/>
        </w:rPr>
        <w:t>should</w:t>
      </w:r>
      <w:r>
        <w:rPr>
          <w:color w:val="231F20"/>
          <w:spacing w:val="-5"/>
          <w:sz w:val="20"/>
        </w:rPr>
        <w:t xml:space="preserve"> </w:t>
      </w:r>
      <w:r>
        <w:rPr>
          <w:color w:val="231F20"/>
          <w:sz w:val="20"/>
        </w:rPr>
        <w:t>be</w:t>
      </w:r>
      <w:r>
        <w:rPr>
          <w:color w:val="231F20"/>
          <w:spacing w:val="-5"/>
          <w:sz w:val="20"/>
        </w:rPr>
        <w:t xml:space="preserve"> </w:t>
      </w:r>
      <w:r>
        <w:rPr>
          <w:color w:val="231F20"/>
          <w:sz w:val="20"/>
        </w:rPr>
        <w:t>available</w:t>
      </w:r>
      <w:r>
        <w:rPr>
          <w:color w:val="231F20"/>
          <w:spacing w:val="-4"/>
          <w:sz w:val="20"/>
        </w:rPr>
        <w:t xml:space="preserve"> </w:t>
      </w:r>
      <w:r>
        <w:rPr>
          <w:color w:val="231F20"/>
          <w:sz w:val="20"/>
        </w:rPr>
        <w:t>as</w:t>
      </w:r>
      <w:r>
        <w:rPr>
          <w:color w:val="231F20"/>
          <w:spacing w:val="-5"/>
          <w:sz w:val="20"/>
        </w:rPr>
        <w:t xml:space="preserve"> </w:t>
      </w:r>
      <w:r>
        <w:rPr>
          <w:color w:val="231F20"/>
          <w:sz w:val="20"/>
        </w:rPr>
        <w:t>soon</w:t>
      </w:r>
      <w:r>
        <w:rPr>
          <w:color w:val="231F20"/>
          <w:spacing w:val="-5"/>
          <w:sz w:val="20"/>
        </w:rPr>
        <w:t xml:space="preserve"> </w:t>
      </w:r>
      <w:r>
        <w:rPr>
          <w:color w:val="231F20"/>
          <w:sz w:val="20"/>
        </w:rPr>
        <w:t>as</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disclosure</w:t>
      </w:r>
      <w:r>
        <w:rPr>
          <w:color w:val="231F20"/>
          <w:spacing w:val="-4"/>
          <w:sz w:val="20"/>
        </w:rPr>
        <w:t xml:space="preserve"> </w:t>
      </w:r>
      <w:r>
        <w:rPr>
          <w:color w:val="231F20"/>
          <w:sz w:val="20"/>
        </w:rPr>
        <w:t>of</w:t>
      </w:r>
      <w:r>
        <w:rPr>
          <w:color w:val="231F20"/>
          <w:spacing w:val="-5"/>
          <w:sz w:val="20"/>
        </w:rPr>
        <w:t xml:space="preserve"> </w:t>
      </w:r>
      <w:r>
        <w:rPr>
          <w:color w:val="231F20"/>
          <w:sz w:val="20"/>
        </w:rPr>
        <w:t>stalking</w:t>
      </w:r>
      <w:r>
        <w:rPr>
          <w:color w:val="231F20"/>
          <w:spacing w:val="-5"/>
          <w:sz w:val="20"/>
        </w:rPr>
        <w:t xml:space="preserve"> </w:t>
      </w:r>
      <w:r>
        <w:rPr>
          <w:color w:val="231F20"/>
          <w:sz w:val="20"/>
        </w:rPr>
        <w:t>is</w:t>
      </w:r>
    </w:p>
    <w:p w14:paraId="2E5FE60A" w14:textId="77777777" w:rsidR="00894070" w:rsidRDefault="009B7AFD">
      <w:pPr>
        <w:spacing w:line="259" w:lineRule="exact"/>
        <w:ind w:left="2141"/>
        <w:rPr>
          <w:sz w:val="11"/>
        </w:rPr>
      </w:pPr>
      <w:r>
        <w:rPr>
          <w:color w:val="231F20"/>
          <w:sz w:val="20"/>
        </w:rPr>
        <w:t>made.</w:t>
      </w:r>
      <w:r>
        <w:rPr>
          <w:color w:val="231F20"/>
          <w:position w:val="7"/>
          <w:sz w:val="11"/>
        </w:rPr>
        <w:t>137</w:t>
      </w:r>
    </w:p>
    <w:p w14:paraId="3008C89A" w14:textId="77777777" w:rsidR="00894070" w:rsidRDefault="009B7AFD">
      <w:pPr>
        <w:pStyle w:val="ListParagraph"/>
        <w:numPr>
          <w:ilvl w:val="2"/>
          <w:numId w:val="126"/>
        </w:numPr>
        <w:tabs>
          <w:tab w:val="left" w:pos="2141"/>
          <w:tab w:val="left" w:pos="2142"/>
        </w:tabs>
        <w:spacing w:before="79" w:line="206" w:lineRule="auto"/>
        <w:ind w:right="1666" w:hanging="340"/>
        <w:rPr>
          <w:sz w:val="11"/>
        </w:rPr>
      </w:pPr>
      <w:r>
        <w:rPr>
          <w:color w:val="231F20"/>
          <w:sz w:val="20"/>
        </w:rPr>
        <w:t>Eligibility</w:t>
      </w:r>
      <w:r>
        <w:rPr>
          <w:color w:val="231F20"/>
          <w:spacing w:val="-12"/>
          <w:sz w:val="20"/>
        </w:rPr>
        <w:t xml:space="preserve"> </w:t>
      </w:r>
      <w:r>
        <w:rPr>
          <w:color w:val="231F20"/>
          <w:sz w:val="20"/>
        </w:rPr>
        <w:t>should</w:t>
      </w:r>
      <w:r>
        <w:rPr>
          <w:color w:val="231F20"/>
          <w:spacing w:val="-12"/>
          <w:sz w:val="20"/>
        </w:rPr>
        <w:t xml:space="preserve"> </w:t>
      </w:r>
      <w:r>
        <w:rPr>
          <w:color w:val="231F20"/>
          <w:sz w:val="20"/>
        </w:rPr>
        <w:t>not</w:t>
      </w:r>
      <w:r>
        <w:rPr>
          <w:color w:val="231F20"/>
          <w:spacing w:val="-11"/>
          <w:sz w:val="20"/>
        </w:rPr>
        <w:t xml:space="preserve"> </w:t>
      </w:r>
      <w:r>
        <w:rPr>
          <w:color w:val="231F20"/>
          <w:sz w:val="20"/>
        </w:rPr>
        <w:t>depend</w:t>
      </w:r>
      <w:r>
        <w:rPr>
          <w:color w:val="231F20"/>
          <w:spacing w:val="-12"/>
          <w:sz w:val="20"/>
        </w:rPr>
        <w:t xml:space="preserve"> </w:t>
      </w:r>
      <w:r>
        <w:rPr>
          <w:color w:val="231F20"/>
          <w:sz w:val="20"/>
        </w:rPr>
        <w:t>on</w:t>
      </w:r>
      <w:r>
        <w:rPr>
          <w:color w:val="231F20"/>
          <w:spacing w:val="-11"/>
          <w:sz w:val="20"/>
        </w:rPr>
        <w:t xml:space="preserve"> </w:t>
      </w:r>
      <w:r>
        <w:rPr>
          <w:color w:val="231F20"/>
          <w:sz w:val="20"/>
        </w:rPr>
        <w:t>engagement</w:t>
      </w:r>
      <w:r>
        <w:rPr>
          <w:color w:val="231F20"/>
          <w:spacing w:val="-12"/>
          <w:sz w:val="20"/>
        </w:rPr>
        <w:t xml:space="preserve"> </w:t>
      </w:r>
      <w:r>
        <w:rPr>
          <w:color w:val="231F20"/>
          <w:sz w:val="20"/>
        </w:rPr>
        <w:t>with</w:t>
      </w:r>
      <w:r>
        <w:rPr>
          <w:color w:val="231F20"/>
          <w:spacing w:val="-11"/>
          <w:sz w:val="20"/>
        </w:rPr>
        <w:t xml:space="preserve"> </w:t>
      </w:r>
      <w:r>
        <w:rPr>
          <w:color w:val="231F20"/>
          <w:sz w:val="20"/>
        </w:rPr>
        <w:t>the</w:t>
      </w:r>
      <w:r>
        <w:rPr>
          <w:color w:val="231F20"/>
          <w:spacing w:val="-12"/>
          <w:sz w:val="20"/>
        </w:rPr>
        <w:t xml:space="preserve"> </w:t>
      </w:r>
      <w:r>
        <w:rPr>
          <w:color w:val="231F20"/>
          <w:sz w:val="20"/>
        </w:rPr>
        <w:t>justice</w:t>
      </w:r>
      <w:r>
        <w:rPr>
          <w:color w:val="231F20"/>
          <w:spacing w:val="-12"/>
          <w:sz w:val="20"/>
        </w:rPr>
        <w:t xml:space="preserve"> </w:t>
      </w:r>
      <w:r>
        <w:rPr>
          <w:color w:val="231F20"/>
          <w:sz w:val="20"/>
        </w:rPr>
        <w:t>system,</w:t>
      </w:r>
      <w:r>
        <w:rPr>
          <w:color w:val="231F20"/>
          <w:spacing w:val="-11"/>
          <w:sz w:val="20"/>
        </w:rPr>
        <w:t xml:space="preserve"> </w:t>
      </w:r>
      <w:r>
        <w:rPr>
          <w:color w:val="231F20"/>
          <w:sz w:val="20"/>
        </w:rPr>
        <w:t>as</w:t>
      </w:r>
      <w:r>
        <w:rPr>
          <w:color w:val="231F20"/>
          <w:spacing w:val="-12"/>
          <w:sz w:val="20"/>
        </w:rPr>
        <w:t xml:space="preserve"> </w:t>
      </w:r>
      <w:r>
        <w:rPr>
          <w:color w:val="231F20"/>
          <w:sz w:val="20"/>
        </w:rPr>
        <w:t>many victim</w:t>
      </w:r>
      <w:r>
        <w:rPr>
          <w:color w:val="231F20"/>
          <w:spacing w:val="-5"/>
          <w:sz w:val="20"/>
        </w:rPr>
        <w:t xml:space="preserve"> </w:t>
      </w:r>
      <w:r>
        <w:rPr>
          <w:color w:val="231F20"/>
          <w:sz w:val="20"/>
        </w:rPr>
        <w:t>survivors</w:t>
      </w:r>
      <w:r>
        <w:rPr>
          <w:color w:val="231F20"/>
          <w:spacing w:val="-5"/>
          <w:sz w:val="20"/>
        </w:rPr>
        <w:t xml:space="preserve"> </w:t>
      </w:r>
      <w:r>
        <w:rPr>
          <w:color w:val="231F20"/>
          <w:sz w:val="20"/>
        </w:rPr>
        <w:t>do</w:t>
      </w:r>
      <w:r>
        <w:rPr>
          <w:color w:val="231F20"/>
          <w:spacing w:val="-5"/>
          <w:sz w:val="20"/>
        </w:rPr>
        <w:t xml:space="preserve"> </w:t>
      </w:r>
      <w:r>
        <w:rPr>
          <w:color w:val="231F20"/>
          <w:sz w:val="20"/>
        </w:rPr>
        <w:t>not</w:t>
      </w:r>
      <w:r>
        <w:rPr>
          <w:color w:val="231F20"/>
          <w:spacing w:val="-4"/>
          <w:sz w:val="20"/>
        </w:rPr>
        <w:t xml:space="preserve"> </w:t>
      </w:r>
      <w:r>
        <w:rPr>
          <w:color w:val="231F20"/>
          <w:sz w:val="20"/>
        </w:rPr>
        <w:t>report</w:t>
      </w:r>
      <w:r>
        <w:rPr>
          <w:color w:val="231F20"/>
          <w:spacing w:val="-5"/>
          <w:sz w:val="20"/>
        </w:rPr>
        <w:t xml:space="preserve"> </w:t>
      </w:r>
      <w:r>
        <w:rPr>
          <w:color w:val="231F20"/>
          <w:sz w:val="20"/>
        </w:rPr>
        <w:t>to</w:t>
      </w:r>
      <w:r>
        <w:rPr>
          <w:color w:val="231F20"/>
          <w:spacing w:val="-5"/>
          <w:sz w:val="20"/>
        </w:rPr>
        <w:t xml:space="preserve"> </w:t>
      </w:r>
      <w:r>
        <w:rPr>
          <w:color w:val="231F20"/>
          <w:sz w:val="20"/>
        </w:rPr>
        <w:t>police</w:t>
      </w:r>
      <w:r>
        <w:rPr>
          <w:color w:val="231F20"/>
          <w:spacing w:val="-5"/>
          <w:sz w:val="20"/>
        </w:rPr>
        <w:t xml:space="preserve"> </w:t>
      </w:r>
      <w:r>
        <w:rPr>
          <w:color w:val="231F20"/>
          <w:sz w:val="20"/>
        </w:rPr>
        <w:t>(see</w:t>
      </w:r>
      <w:r>
        <w:rPr>
          <w:color w:val="231F20"/>
          <w:spacing w:val="-4"/>
          <w:sz w:val="20"/>
        </w:rPr>
        <w:t xml:space="preserve"> </w:t>
      </w:r>
      <w:r>
        <w:rPr>
          <w:color w:val="231F20"/>
          <w:spacing w:val="-3"/>
          <w:sz w:val="20"/>
        </w:rPr>
        <w:t>Chapter</w:t>
      </w:r>
      <w:r>
        <w:rPr>
          <w:color w:val="231F20"/>
          <w:spacing w:val="-5"/>
          <w:sz w:val="20"/>
        </w:rPr>
        <w:t xml:space="preserve"> </w:t>
      </w:r>
      <w:r>
        <w:rPr>
          <w:color w:val="231F20"/>
          <w:sz w:val="20"/>
        </w:rPr>
        <w:t>2).</w:t>
      </w:r>
      <w:r>
        <w:rPr>
          <w:color w:val="231F20"/>
          <w:position w:val="7"/>
          <w:sz w:val="11"/>
        </w:rPr>
        <w:t>138</w:t>
      </w:r>
    </w:p>
    <w:p w14:paraId="5C0493E9" w14:textId="77777777" w:rsidR="00894070" w:rsidRDefault="009B7AFD">
      <w:pPr>
        <w:pStyle w:val="ListParagraph"/>
        <w:numPr>
          <w:ilvl w:val="2"/>
          <w:numId w:val="126"/>
        </w:numPr>
        <w:tabs>
          <w:tab w:val="left" w:pos="2141"/>
          <w:tab w:val="left" w:pos="2142"/>
        </w:tabs>
        <w:spacing w:before="88" w:line="206" w:lineRule="auto"/>
        <w:ind w:right="1591" w:hanging="340"/>
        <w:rPr>
          <w:sz w:val="20"/>
        </w:rPr>
      </w:pPr>
      <w:r>
        <w:rPr>
          <w:color w:val="231F20"/>
          <w:sz w:val="20"/>
        </w:rPr>
        <w:t>Victim</w:t>
      </w:r>
      <w:r>
        <w:rPr>
          <w:color w:val="231F20"/>
          <w:spacing w:val="-12"/>
          <w:sz w:val="20"/>
        </w:rPr>
        <w:t xml:space="preserve"> </w:t>
      </w:r>
      <w:r>
        <w:rPr>
          <w:color w:val="231F20"/>
          <w:sz w:val="20"/>
        </w:rPr>
        <w:t>survivors</w:t>
      </w:r>
      <w:r>
        <w:rPr>
          <w:color w:val="231F20"/>
          <w:spacing w:val="-11"/>
          <w:sz w:val="20"/>
        </w:rPr>
        <w:t xml:space="preserve"> </w:t>
      </w:r>
      <w:r>
        <w:rPr>
          <w:color w:val="231F20"/>
          <w:sz w:val="20"/>
        </w:rPr>
        <w:t>should</w:t>
      </w:r>
      <w:r>
        <w:rPr>
          <w:color w:val="231F20"/>
          <w:spacing w:val="-11"/>
          <w:sz w:val="20"/>
        </w:rPr>
        <w:t xml:space="preserve"> </w:t>
      </w:r>
      <w:r>
        <w:rPr>
          <w:color w:val="231F20"/>
          <w:sz w:val="20"/>
        </w:rPr>
        <w:t>be</w:t>
      </w:r>
      <w:r>
        <w:rPr>
          <w:color w:val="231F20"/>
          <w:spacing w:val="-11"/>
          <w:sz w:val="20"/>
        </w:rPr>
        <w:t xml:space="preserve"> </w:t>
      </w:r>
      <w:r>
        <w:rPr>
          <w:color w:val="231F20"/>
          <w:sz w:val="20"/>
        </w:rPr>
        <w:t>able</w:t>
      </w:r>
      <w:r>
        <w:rPr>
          <w:color w:val="231F20"/>
          <w:spacing w:val="-11"/>
          <w:sz w:val="20"/>
        </w:rPr>
        <w:t xml:space="preserve"> </w:t>
      </w:r>
      <w:r>
        <w:rPr>
          <w:color w:val="231F20"/>
          <w:sz w:val="20"/>
        </w:rPr>
        <w:t>to</w:t>
      </w:r>
      <w:r>
        <w:rPr>
          <w:color w:val="231F20"/>
          <w:spacing w:val="-11"/>
          <w:sz w:val="20"/>
        </w:rPr>
        <w:t xml:space="preserve"> </w:t>
      </w:r>
      <w:r>
        <w:rPr>
          <w:color w:val="231F20"/>
          <w:sz w:val="20"/>
        </w:rPr>
        <w:t>access</w:t>
      </w:r>
      <w:r>
        <w:rPr>
          <w:color w:val="231F20"/>
          <w:spacing w:val="-11"/>
          <w:sz w:val="20"/>
        </w:rPr>
        <w:t xml:space="preserve"> </w:t>
      </w:r>
      <w:r>
        <w:rPr>
          <w:color w:val="231F20"/>
          <w:sz w:val="20"/>
        </w:rPr>
        <w:t>victim</w:t>
      </w:r>
      <w:r>
        <w:rPr>
          <w:color w:val="231F20"/>
          <w:spacing w:val="-11"/>
          <w:sz w:val="20"/>
        </w:rPr>
        <w:t xml:space="preserve"> </w:t>
      </w:r>
      <w:r>
        <w:rPr>
          <w:color w:val="231F20"/>
          <w:spacing w:val="-3"/>
          <w:sz w:val="20"/>
        </w:rPr>
        <w:t>advocates</w:t>
      </w:r>
      <w:r>
        <w:rPr>
          <w:color w:val="231F20"/>
          <w:spacing w:val="-11"/>
          <w:sz w:val="20"/>
        </w:rPr>
        <w:t xml:space="preserve"> </w:t>
      </w:r>
      <w:r>
        <w:rPr>
          <w:color w:val="231F20"/>
          <w:sz w:val="20"/>
        </w:rPr>
        <w:t>using</w:t>
      </w:r>
      <w:r>
        <w:rPr>
          <w:color w:val="231F20"/>
          <w:spacing w:val="-12"/>
          <w:sz w:val="20"/>
        </w:rPr>
        <w:t xml:space="preserve"> </w:t>
      </w:r>
      <w:r>
        <w:rPr>
          <w:color w:val="231F20"/>
          <w:sz w:val="20"/>
        </w:rPr>
        <w:t xml:space="preserve">strengthened </w:t>
      </w:r>
      <w:r>
        <w:rPr>
          <w:color w:val="231F20"/>
          <w:spacing w:val="-3"/>
          <w:sz w:val="20"/>
        </w:rPr>
        <w:t xml:space="preserve">referral </w:t>
      </w:r>
      <w:r>
        <w:rPr>
          <w:color w:val="231F20"/>
          <w:spacing w:val="-4"/>
          <w:sz w:val="20"/>
        </w:rPr>
        <w:t xml:space="preserve">pathways </w:t>
      </w:r>
      <w:r>
        <w:rPr>
          <w:color w:val="231F20"/>
          <w:sz w:val="20"/>
        </w:rPr>
        <w:t>(discussed</w:t>
      </w:r>
      <w:r>
        <w:rPr>
          <w:color w:val="231F20"/>
          <w:spacing w:val="-5"/>
          <w:sz w:val="20"/>
        </w:rPr>
        <w:t xml:space="preserve"> </w:t>
      </w:r>
      <w:r>
        <w:rPr>
          <w:color w:val="231F20"/>
          <w:spacing w:val="-3"/>
          <w:sz w:val="20"/>
        </w:rPr>
        <w:t>earlier).</w:t>
      </w:r>
    </w:p>
    <w:p w14:paraId="36AB34ED" w14:textId="77777777" w:rsidR="00894070" w:rsidRDefault="009B7AFD">
      <w:pPr>
        <w:pStyle w:val="ListParagraph"/>
        <w:numPr>
          <w:ilvl w:val="2"/>
          <w:numId w:val="126"/>
        </w:numPr>
        <w:tabs>
          <w:tab w:val="left" w:pos="2141"/>
          <w:tab w:val="left" w:pos="2142"/>
        </w:tabs>
        <w:spacing w:before="87" w:line="206" w:lineRule="auto"/>
        <w:ind w:right="1398" w:hanging="340"/>
        <w:rPr>
          <w:sz w:val="11"/>
        </w:rPr>
      </w:pPr>
      <w:r>
        <w:rPr>
          <w:color w:val="231F20"/>
          <w:spacing w:val="-4"/>
          <w:sz w:val="20"/>
        </w:rPr>
        <w:t>Pathways</w:t>
      </w:r>
      <w:r>
        <w:rPr>
          <w:color w:val="231F20"/>
          <w:spacing w:val="-7"/>
          <w:sz w:val="20"/>
        </w:rPr>
        <w:t xml:space="preserve"> </w:t>
      </w:r>
      <w:r>
        <w:rPr>
          <w:color w:val="231F20"/>
          <w:sz w:val="20"/>
        </w:rPr>
        <w:t>should</w:t>
      </w:r>
      <w:r>
        <w:rPr>
          <w:color w:val="231F20"/>
          <w:spacing w:val="-7"/>
          <w:sz w:val="20"/>
        </w:rPr>
        <w:t xml:space="preserve"> </w:t>
      </w:r>
      <w:r>
        <w:rPr>
          <w:color w:val="231F20"/>
          <w:sz w:val="20"/>
        </w:rPr>
        <w:t>also</w:t>
      </w:r>
      <w:r>
        <w:rPr>
          <w:color w:val="231F20"/>
          <w:spacing w:val="-7"/>
          <w:sz w:val="20"/>
        </w:rPr>
        <w:t xml:space="preserve"> </w:t>
      </w:r>
      <w:r>
        <w:rPr>
          <w:color w:val="231F20"/>
          <w:sz w:val="20"/>
        </w:rPr>
        <w:t>be</w:t>
      </w:r>
      <w:r>
        <w:rPr>
          <w:color w:val="231F20"/>
          <w:spacing w:val="-7"/>
          <w:sz w:val="20"/>
        </w:rPr>
        <w:t xml:space="preserve"> </w:t>
      </w:r>
      <w:r>
        <w:rPr>
          <w:color w:val="231F20"/>
          <w:sz w:val="20"/>
        </w:rPr>
        <w:t>built</w:t>
      </w:r>
      <w:r>
        <w:rPr>
          <w:color w:val="231F20"/>
          <w:spacing w:val="-7"/>
          <w:sz w:val="20"/>
        </w:rPr>
        <w:t xml:space="preserve"> </w:t>
      </w:r>
      <w:r>
        <w:rPr>
          <w:color w:val="231F20"/>
          <w:spacing w:val="-3"/>
          <w:sz w:val="20"/>
        </w:rPr>
        <w:t>from</w:t>
      </w:r>
      <w:r>
        <w:rPr>
          <w:color w:val="231F20"/>
          <w:spacing w:val="-7"/>
          <w:sz w:val="20"/>
        </w:rPr>
        <w:t xml:space="preserve"> </w:t>
      </w:r>
      <w:r>
        <w:rPr>
          <w:color w:val="231F20"/>
          <w:sz w:val="20"/>
        </w:rPr>
        <w:t>the</w:t>
      </w:r>
      <w:r>
        <w:rPr>
          <w:color w:val="231F20"/>
          <w:spacing w:val="-7"/>
          <w:sz w:val="20"/>
        </w:rPr>
        <w:t xml:space="preserve"> </w:t>
      </w:r>
      <w:r>
        <w:rPr>
          <w:color w:val="231F20"/>
          <w:sz w:val="20"/>
        </w:rPr>
        <w:t>victim</w:t>
      </w:r>
      <w:r>
        <w:rPr>
          <w:color w:val="231F20"/>
          <w:spacing w:val="-6"/>
          <w:sz w:val="20"/>
        </w:rPr>
        <w:t xml:space="preserve"> </w:t>
      </w:r>
      <w:r>
        <w:rPr>
          <w:color w:val="231F20"/>
          <w:spacing w:val="-3"/>
          <w:sz w:val="20"/>
        </w:rPr>
        <w:t>advocate</w:t>
      </w:r>
      <w:r>
        <w:rPr>
          <w:color w:val="231F20"/>
          <w:spacing w:val="-7"/>
          <w:sz w:val="20"/>
        </w:rPr>
        <w:t xml:space="preserve"> </w:t>
      </w:r>
      <w:r>
        <w:rPr>
          <w:color w:val="231F20"/>
          <w:sz w:val="20"/>
        </w:rPr>
        <w:t>to</w:t>
      </w:r>
      <w:r>
        <w:rPr>
          <w:color w:val="231F20"/>
          <w:spacing w:val="-7"/>
          <w:sz w:val="20"/>
        </w:rPr>
        <w:t xml:space="preserve"> </w:t>
      </w:r>
      <w:r>
        <w:rPr>
          <w:color w:val="231F20"/>
          <w:sz w:val="20"/>
        </w:rPr>
        <w:t>other</w:t>
      </w:r>
      <w:r>
        <w:rPr>
          <w:color w:val="231F20"/>
          <w:spacing w:val="-7"/>
          <w:sz w:val="20"/>
        </w:rPr>
        <w:t xml:space="preserve"> </w:t>
      </w:r>
      <w:r>
        <w:rPr>
          <w:color w:val="231F20"/>
          <w:sz w:val="20"/>
        </w:rPr>
        <w:t>services,</w:t>
      </w:r>
      <w:r>
        <w:rPr>
          <w:color w:val="231F20"/>
          <w:spacing w:val="-7"/>
          <w:sz w:val="20"/>
        </w:rPr>
        <w:t xml:space="preserve"> </w:t>
      </w:r>
      <w:r>
        <w:rPr>
          <w:color w:val="231F20"/>
          <w:sz w:val="20"/>
        </w:rPr>
        <w:t>such</w:t>
      </w:r>
      <w:r>
        <w:rPr>
          <w:color w:val="231F20"/>
          <w:spacing w:val="-7"/>
          <w:sz w:val="20"/>
        </w:rPr>
        <w:t xml:space="preserve"> </w:t>
      </w:r>
      <w:r>
        <w:rPr>
          <w:color w:val="231F20"/>
          <w:sz w:val="20"/>
        </w:rPr>
        <w:t>as legal</w:t>
      </w:r>
      <w:r>
        <w:rPr>
          <w:color w:val="231F20"/>
          <w:spacing w:val="-4"/>
          <w:sz w:val="20"/>
        </w:rPr>
        <w:t xml:space="preserve"> </w:t>
      </w:r>
      <w:r>
        <w:rPr>
          <w:color w:val="231F20"/>
          <w:sz w:val="20"/>
        </w:rPr>
        <w:t>services.</w:t>
      </w:r>
      <w:r>
        <w:rPr>
          <w:color w:val="231F20"/>
          <w:position w:val="7"/>
          <w:sz w:val="11"/>
        </w:rPr>
        <w:t>139</w:t>
      </w:r>
    </w:p>
    <w:p w14:paraId="611A356C" w14:textId="77777777" w:rsidR="00894070" w:rsidRDefault="009B7AFD">
      <w:pPr>
        <w:pStyle w:val="ListParagraph"/>
        <w:numPr>
          <w:ilvl w:val="2"/>
          <w:numId w:val="126"/>
        </w:numPr>
        <w:tabs>
          <w:tab w:val="left" w:pos="2141"/>
          <w:tab w:val="left" w:pos="2142"/>
        </w:tabs>
        <w:spacing w:before="56" w:line="259" w:lineRule="exact"/>
        <w:ind w:hanging="340"/>
        <w:rPr>
          <w:sz w:val="20"/>
        </w:rPr>
      </w:pPr>
      <w:r>
        <w:rPr>
          <w:color w:val="231F20"/>
          <w:sz w:val="20"/>
        </w:rPr>
        <w:t>The</w:t>
      </w:r>
      <w:r>
        <w:rPr>
          <w:color w:val="231F20"/>
          <w:spacing w:val="-5"/>
          <w:sz w:val="20"/>
        </w:rPr>
        <w:t xml:space="preserve"> </w:t>
      </w:r>
      <w:r>
        <w:rPr>
          <w:color w:val="231F20"/>
          <w:sz w:val="20"/>
        </w:rPr>
        <w:t>program</w:t>
      </w:r>
      <w:r>
        <w:rPr>
          <w:color w:val="231F20"/>
          <w:spacing w:val="-5"/>
          <w:sz w:val="20"/>
        </w:rPr>
        <w:t xml:space="preserve"> </w:t>
      </w:r>
      <w:r>
        <w:rPr>
          <w:color w:val="231F20"/>
          <w:sz w:val="20"/>
        </w:rPr>
        <w:t>should</w:t>
      </w:r>
      <w:r>
        <w:rPr>
          <w:color w:val="231F20"/>
          <w:spacing w:val="-5"/>
          <w:sz w:val="20"/>
        </w:rPr>
        <w:t xml:space="preserve"> </w:t>
      </w:r>
      <w:r>
        <w:rPr>
          <w:color w:val="231F20"/>
          <w:sz w:val="20"/>
        </w:rPr>
        <w:t>be</w:t>
      </w:r>
      <w:r>
        <w:rPr>
          <w:color w:val="231F20"/>
          <w:spacing w:val="-5"/>
          <w:sz w:val="20"/>
        </w:rPr>
        <w:t xml:space="preserve"> </w:t>
      </w:r>
      <w:r>
        <w:rPr>
          <w:color w:val="231F20"/>
          <w:spacing w:val="-3"/>
          <w:sz w:val="20"/>
        </w:rPr>
        <w:t>accessible</w:t>
      </w:r>
      <w:r>
        <w:rPr>
          <w:color w:val="231F20"/>
          <w:spacing w:val="-5"/>
          <w:sz w:val="20"/>
        </w:rPr>
        <w:t xml:space="preserve"> </w:t>
      </w:r>
      <w:r>
        <w:rPr>
          <w:color w:val="231F20"/>
          <w:sz w:val="20"/>
        </w:rPr>
        <w:t>and</w:t>
      </w:r>
      <w:r>
        <w:rPr>
          <w:color w:val="231F20"/>
          <w:spacing w:val="-5"/>
          <w:sz w:val="20"/>
        </w:rPr>
        <w:t xml:space="preserve"> </w:t>
      </w:r>
      <w:r>
        <w:rPr>
          <w:color w:val="231F20"/>
          <w:sz w:val="20"/>
        </w:rPr>
        <w:t>designed</w:t>
      </w:r>
      <w:r>
        <w:rPr>
          <w:color w:val="231F20"/>
          <w:spacing w:val="-5"/>
          <w:sz w:val="20"/>
        </w:rPr>
        <w:t xml:space="preserve"> </w:t>
      </w:r>
      <w:r>
        <w:rPr>
          <w:color w:val="231F20"/>
          <w:sz w:val="20"/>
        </w:rPr>
        <w:t>with</w:t>
      </w:r>
      <w:r>
        <w:rPr>
          <w:color w:val="231F20"/>
          <w:spacing w:val="-5"/>
          <w:sz w:val="20"/>
        </w:rPr>
        <w:t xml:space="preserve"> </w:t>
      </w:r>
      <w:r>
        <w:rPr>
          <w:color w:val="231F20"/>
          <w:sz w:val="20"/>
        </w:rPr>
        <w:t>people</w:t>
      </w:r>
      <w:r>
        <w:rPr>
          <w:color w:val="231F20"/>
          <w:spacing w:val="-5"/>
          <w:sz w:val="20"/>
        </w:rPr>
        <w:t xml:space="preserve"> </w:t>
      </w:r>
      <w:r>
        <w:rPr>
          <w:color w:val="231F20"/>
          <w:spacing w:val="-3"/>
          <w:sz w:val="20"/>
        </w:rPr>
        <w:t>from</w:t>
      </w:r>
      <w:r>
        <w:rPr>
          <w:color w:val="231F20"/>
          <w:spacing w:val="-5"/>
          <w:sz w:val="20"/>
        </w:rPr>
        <w:t xml:space="preserve"> </w:t>
      </w:r>
      <w:r>
        <w:rPr>
          <w:color w:val="231F20"/>
          <w:sz w:val="20"/>
        </w:rPr>
        <w:t>diverse</w:t>
      </w:r>
    </w:p>
    <w:p w14:paraId="45805B75" w14:textId="77777777" w:rsidR="00894070" w:rsidRDefault="009B7AFD">
      <w:pPr>
        <w:pStyle w:val="BodyText"/>
        <w:spacing w:line="259" w:lineRule="exact"/>
        <w:ind w:left="2141"/>
        <w:rPr>
          <w:sz w:val="11"/>
        </w:rPr>
      </w:pPr>
      <w:r>
        <w:rPr>
          <w:color w:val="231F20"/>
        </w:rPr>
        <w:t>backgrounds in mind.</w:t>
      </w:r>
      <w:r>
        <w:rPr>
          <w:color w:val="231F20"/>
          <w:position w:val="7"/>
          <w:sz w:val="11"/>
        </w:rPr>
        <w:t>140</w:t>
      </w:r>
    </w:p>
    <w:p w14:paraId="68416E92" w14:textId="77777777" w:rsidR="00894070" w:rsidRDefault="009B7AFD">
      <w:pPr>
        <w:pStyle w:val="ListParagraph"/>
        <w:numPr>
          <w:ilvl w:val="1"/>
          <w:numId w:val="126"/>
        </w:numPr>
        <w:tabs>
          <w:tab w:val="left" w:pos="1801"/>
          <w:tab w:val="left" w:pos="1802"/>
        </w:tabs>
        <w:spacing w:before="79" w:line="206" w:lineRule="auto"/>
        <w:ind w:right="1633"/>
        <w:rPr>
          <w:sz w:val="11"/>
        </w:rPr>
      </w:pPr>
      <w:r>
        <w:rPr>
          <w:color w:val="231F20"/>
          <w:sz w:val="20"/>
        </w:rPr>
        <w:t>Building</w:t>
      </w:r>
      <w:r>
        <w:rPr>
          <w:color w:val="231F20"/>
          <w:spacing w:val="-9"/>
          <w:sz w:val="20"/>
        </w:rPr>
        <w:t xml:space="preserve"> </w:t>
      </w:r>
      <w:r>
        <w:rPr>
          <w:color w:val="231F20"/>
          <w:sz w:val="20"/>
        </w:rPr>
        <w:t>on</w:t>
      </w:r>
      <w:r>
        <w:rPr>
          <w:color w:val="231F20"/>
          <w:spacing w:val="-9"/>
          <w:sz w:val="20"/>
        </w:rPr>
        <w:t xml:space="preserve"> </w:t>
      </w:r>
      <w:r>
        <w:rPr>
          <w:color w:val="231F20"/>
          <w:sz w:val="20"/>
        </w:rPr>
        <w:t>the</w:t>
      </w:r>
      <w:r>
        <w:rPr>
          <w:color w:val="231F20"/>
          <w:spacing w:val="-9"/>
          <w:sz w:val="20"/>
        </w:rPr>
        <w:t xml:space="preserve"> </w:t>
      </w:r>
      <w:r>
        <w:rPr>
          <w:color w:val="231F20"/>
          <w:sz w:val="20"/>
        </w:rPr>
        <w:t>MASIP</w:t>
      </w:r>
      <w:r>
        <w:rPr>
          <w:color w:val="231F20"/>
          <w:spacing w:val="-8"/>
          <w:sz w:val="20"/>
        </w:rPr>
        <w:t xml:space="preserve"> </w:t>
      </w:r>
      <w:r>
        <w:rPr>
          <w:color w:val="231F20"/>
          <w:sz w:val="20"/>
        </w:rPr>
        <w:t>victim</w:t>
      </w:r>
      <w:r>
        <w:rPr>
          <w:color w:val="231F20"/>
          <w:spacing w:val="-9"/>
          <w:sz w:val="20"/>
        </w:rPr>
        <w:t xml:space="preserve"> </w:t>
      </w:r>
      <w:r>
        <w:rPr>
          <w:color w:val="231F20"/>
          <w:sz w:val="20"/>
        </w:rPr>
        <w:t>advocacy</w:t>
      </w:r>
      <w:r>
        <w:rPr>
          <w:color w:val="231F20"/>
          <w:spacing w:val="-9"/>
          <w:sz w:val="20"/>
        </w:rPr>
        <w:t xml:space="preserve"> </w:t>
      </w:r>
      <w:r>
        <w:rPr>
          <w:color w:val="231F20"/>
          <w:spacing w:val="-4"/>
          <w:sz w:val="20"/>
        </w:rPr>
        <w:t>role,</w:t>
      </w:r>
      <w:r>
        <w:rPr>
          <w:color w:val="231F20"/>
          <w:spacing w:val="-9"/>
          <w:sz w:val="20"/>
        </w:rPr>
        <w:t xml:space="preserve"> </w:t>
      </w:r>
      <w:r>
        <w:rPr>
          <w:color w:val="231F20"/>
          <w:sz w:val="20"/>
        </w:rPr>
        <w:t>the</w:t>
      </w:r>
      <w:r>
        <w:rPr>
          <w:color w:val="231F20"/>
          <w:spacing w:val="-8"/>
          <w:sz w:val="20"/>
        </w:rPr>
        <w:t xml:space="preserve"> </w:t>
      </w:r>
      <w:r>
        <w:rPr>
          <w:color w:val="231F20"/>
          <w:spacing w:val="-3"/>
          <w:sz w:val="20"/>
        </w:rPr>
        <w:t>role</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victim</w:t>
      </w:r>
      <w:r>
        <w:rPr>
          <w:color w:val="231F20"/>
          <w:spacing w:val="-8"/>
          <w:sz w:val="20"/>
        </w:rPr>
        <w:t xml:space="preserve"> </w:t>
      </w:r>
      <w:r>
        <w:rPr>
          <w:color w:val="231F20"/>
          <w:spacing w:val="-3"/>
          <w:sz w:val="20"/>
        </w:rPr>
        <w:t>advocate</w:t>
      </w:r>
      <w:r>
        <w:rPr>
          <w:color w:val="231F20"/>
          <w:spacing w:val="-9"/>
          <w:sz w:val="20"/>
        </w:rPr>
        <w:t xml:space="preserve"> </w:t>
      </w:r>
      <w:r>
        <w:rPr>
          <w:color w:val="231F20"/>
          <w:sz w:val="20"/>
        </w:rPr>
        <w:t>should include:</w:t>
      </w:r>
      <w:r>
        <w:rPr>
          <w:color w:val="231F20"/>
          <w:position w:val="7"/>
          <w:sz w:val="11"/>
        </w:rPr>
        <w:t>141</w:t>
      </w:r>
    </w:p>
    <w:p w14:paraId="313BB36D" w14:textId="77777777" w:rsidR="00894070" w:rsidRDefault="009B7AFD">
      <w:pPr>
        <w:pStyle w:val="ListParagraph"/>
        <w:numPr>
          <w:ilvl w:val="2"/>
          <w:numId w:val="126"/>
        </w:numPr>
        <w:tabs>
          <w:tab w:val="left" w:pos="2141"/>
          <w:tab w:val="left" w:pos="2142"/>
        </w:tabs>
        <w:spacing w:before="91"/>
        <w:ind w:hanging="340"/>
        <w:rPr>
          <w:sz w:val="20"/>
        </w:rPr>
      </w:pPr>
      <w:r>
        <w:rPr>
          <w:color w:val="231F20"/>
          <w:spacing w:val="-3"/>
          <w:sz w:val="20"/>
        </w:rPr>
        <w:t xml:space="preserve">providing information </w:t>
      </w:r>
      <w:r>
        <w:rPr>
          <w:color w:val="231F20"/>
          <w:sz w:val="20"/>
        </w:rPr>
        <w:t xml:space="preserve">on justice options and </w:t>
      </w:r>
      <w:r>
        <w:rPr>
          <w:color w:val="231F20"/>
          <w:spacing w:val="-3"/>
          <w:sz w:val="20"/>
        </w:rPr>
        <w:t xml:space="preserve">progress through </w:t>
      </w:r>
      <w:r>
        <w:rPr>
          <w:color w:val="231F20"/>
          <w:sz w:val="20"/>
        </w:rPr>
        <w:t>the justice</w:t>
      </w:r>
      <w:r>
        <w:rPr>
          <w:color w:val="231F20"/>
          <w:spacing w:val="-29"/>
          <w:sz w:val="20"/>
        </w:rPr>
        <w:t xml:space="preserve"> </w:t>
      </w:r>
      <w:r>
        <w:rPr>
          <w:color w:val="231F20"/>
          <w:spacing w:val="-2"/>
          <w:sz w:val="20"/>
        </w:rPr>
        <w:t>system</w:t>
      </w:r>
    </w:p>
    <w:p w14:paraId="5A5F3503" w14:textId="77777777" w:rsidR="00894070" w:rsidRDefault="009B7AFD">
      <w:pPr>
        <w:pStyle w:val="ListParagraph"/>
        <w:numPr>
          <w:ilvl w:val="2"/>
          <w:numId w:val="126"/>
        </w:numPr>
        <w:tabs>
          <w:tab w:val="left" w:pos="2141"/>
          <w:tab w:val="left" w:pos="2142"/>
        </w:tabs>
        <w:spacing w:before="79" w:line="206" w:lineRule="auto"/>
        <w:ind w:right="1190" w:hanging="340"/>
        <w:rPr>
          <w:sz w:val="20"/>
        </w:rPr>
      </w:pPr>
      <w:r>
        <w:rPr>
          <w:color w:val="231F20"/>
          <w:sz w:val="20"/>
        </w:rPr>
        <w:t xml:space="preserve">supporting victim survivors to understand and </w:t>
      </w:r>
      <w:r>
        <w:rPr>
          <w:color w:val="231F20"/>
          <w:spacing w:val="-3"/>
          <w:sz w:val="20"/>
        </w:rPr>
        <w:t xml:space="preserve">exercise </w:t>
      </w:r>
      <w:r>
        <w:rPr>
          <w:color w:val="231F20"/>
          <w:sz w:val="20"/>
        </w:rPr>
        <w:t>their rights, including their rights</w:t>
      </w:r>
      <w:r>
        <w:rPr>
          <w:color w:val="231F20"/>
          <w:spacing w:val="-7"/>
          <w:sz w:val="20"/>
        </w:rPr>
        <w:t xml:space="preserve"> </w:t>
      </w:r>
      <w:r>
        <w:rPr>
          <w:color w:val="231F20"/>
          <w:sz w:val="20"/>
        </w:rPr>
        <w:t>to</w:t>
      </w:r>
      <w:r>
        <w:rPr>
          <w:color w:val="231F20"/>
          <w:spacing w:val="-6"/>
          <w:sz w:val="20"/>
        </w:rPr>
        <w:t xml:space="preserve"> </w:t>
      </w:r>
      <w:r>
        <w:rPr>
          <w:color w:val="231F20"/>
          <w:spacing w:val="-3"/>
          <w:sz w:val="20"/>
        </w:rPr>
        <w:t>information</w:t>
      </w:r>
      <w:r>
        <w:rPr>
          <w:color w:val="231F20"/>
          <w:spacing w:val="-6"/>
          <w:sz w:val="20"/>
        </w:rPr>
        <w:t xml:space="preserve"> </w:t>
      </w:r>
      <w:r>
        <w:rPr>
          <w:color w:val="231F20"/>
          <w:sz w:val="20"/>
        </w:rPr>
        <w:t>about</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progress</w:t>
      </w:r>
      <w:r>
        <w:rPr>
          <w:color w:val="231F20"/>
          <w:spacing w:val="-6"/>
          <w:sz w:val="20"/>
        </w:rPr>
        <w:t xml:space="preserve"> </w:t>
      </w:r>
      <w:r>
        <w:rPr>
          <w:color w:val="231F20"/>
          <w:sz w:val="20"/>
        </w:rPr>
        <w:t>of</w:t>
      </w:r>
      <w:r>
        <w:rPr>
          <w:color w:val="231F20"/>
          <w:spacing w:val="-6"/>
          <w:sz w:val="20"/>
        </w:rPr>
        <w:t xml:space="preserve"> </w:t>
      </w:r>
      <w:r>
        <w:rPr>
          <w:color w:val="231F20"/>
          <w:sz w:val="20"/>
        </w:rPr>
        <w:t>their</w:t>
      </w:r>
      <w:r>
        <w:rPr>
          <w:color w:val="231F20"/>
          <w:spacing w:val="-6"/>
          <w:sz w:val="20"/>
        </w:rPr>
        <w:t xml:space="preserve"> </w:t>
      </w:r>
      <w:r>
        <w:rPr>
          <w:color w:val="231F20"/>
          <w:sz w:val="20"/>
        </w:rPr>
        <w:t>cases</w:t>
      </w:r>
      <w:r>
        <w:rPr>
          <w:color w:val="231F20"/>
          <w:spacing w:val="-7"/>
          <w:sz w:val="20"/>
        </w:rPr>
        <w:t xml:space="preserve"> </w:t>
      </w:r>
      <w:r>
        <w:rPr>
          <w:color w:val="231F20"/>
          <w:sz w:val="20"/>
        </w:rPr>
        <w:t>under</w:t>
      </w:r>
      <w:r>
        <w:rPr>
          <w:color w:val="231F20"/>
          <w:spacing w:val="-6"/>
          <w:sz w:val="20"/>
        </w:rPr>
        <w:t xml:space="preserve"> </w:t>
      </w:r>
      <w:r>
        <w:rPr>
          <w:color w:val="231F20"/>
          <w:sz w:val="20"/>
        </w:rPr>
        <w:t>the</w:t>
      </w:r>
      <w:r>
        <w:rPr>
          <w:color w:val="231F20"/>
          <w:spacing w:val="-6"/>
          <w:sz w:val="20"/>
        </w:rPr>
        <w:t xml:space="preserve"> </w:t>
      </w:r>
      <w:r>
        <w:rPr>
          <w:i/>
          <w:color w:val="231F20"/>
          <w:spacing w:val="-3"/>
          <w:sz w:val="20"/>
        </w:rPr>
        <w:t>Victims’</w:t>
      </w:r>
      <w:r>
        <w:rPr>
          <w:i/>
          <w:color w:val="231F20"/>
          <w:spacing w:val="-6"/>
          <w:sz w:val="20"/>
        </w:rPr>
        <w:t xml:space="preserve"> </w:t>
      </w:r>
      <w:r>
        <w:rPr>
          <w:i/>
          <w:color w:val="231F20"/>
          <w:sz w:val="20"/>
        </w:rPr>
        <w:t>Charter</w:t>
      </w:r>
      <w:r>
        <w:rPr>
          <w:i/>
          <w:color w:val="231F20"/>
          <w:spacing w:val="-6"/>
          <w:sz w:val="20"/>
        </w:rPr>
        <w:t xml:space="preserve"> </w:t>
      </w:r>
      <w:r>
        <w:rPr>
          <w:i/>
          <w:color w:val="231F20"/>
          <w:spacing w:val="-3"/>
          <w:sz w:val="20"/>
        </w:rPr>
        <w:t xml:space="preserve">Act </w:t>
      </w:r>
      <w:r>
        <w:rPr>
          <w:i/>
          <w:color w:val="231F20"/>
          <w:sz w:val="20"/>
        </w:rPr>
        <w:t>2006</w:t>
      </w:r>
      <w:r>
        <w:rPr>
          <w:i/>
          <w:color w:val="231F20"/>
          <w:spacing w:val="-4"/>
          <w:sz w:val="20"/>
        </w:rPr>
        <w:t xml:space="preserve"> </w:t>
      </w:r>
      <w:r>
        <w:rPr>
          <w:color w:val="231F20"/>
          <w:sz w:val="20"/>
        </w:rPr>
        <w:t>(Vic)</w:t>
      </w:r>
    </w:p>
    <w:p w14:paraId="11819AD2" w14:textId="77777777" w:rsidR="00894070" w:rsidRDefault="009B7AFD">
      <w:pPr>
        <w:pStyle w:val="ListParagraph"/>
        <w:numPr>
          <w:ilvl w:val="2"/>
          <w:numId w:val="126"/>
        </w:numPr>
        <w:tabs>
          <w:tab w:val="left" w:pos="2141"/>
          <w:tab w:val="left" w:pos="2142"/>
        </w:tabs>
        <w:spacing w:before="89" w:line="206" w:lineRule="auto"/>
        <w:ind w:right="1226" w:hanging="340"/>
        <w:rPr>
          <w:sz w:val="11"/>
        </w:rPr>
      </w:pPr>
      <w:r>
        <w:rPr>
          <w:color w:val="231F20"/>
          <w:sz w:val="20"/>
        </w:rPr>
        <w:t>safety</w:t>
      </w:r>
      <w:r>
        <w:rPr>
          <w:color w:val="231F20"/>
          <w:spacing w:val="-10"/>
          <w:sz w:val="20"/>
        </w:rPr>
        <w:t xml:space="preserve"> </w:t>
      </w:r>
      <w:r>
        <w:rPr>
          <w:color w:val="231F20"/>
          <w:sz w:val="20"/>
        </w:rPr>
        <w:t>planning,</w:t>
      </w:r>
      <w:r>
        <w:rPr>
          <w:color w:val="231F20"/>
          <w:spacing w:val="-9"/>
          <w:sz w:val="20"/>
        </w:rPr>
        <w:t xml:space="preserve"> </w:t>
      </w:r>
      <w:r>
        <w:rPr>
          <w:color w:val="231F20"/>
          <w:spacing w:val="-3"/>
          <w:sz w:val="20"/>
        </w:rPr>
        <w:t>for</w:t>
      </w:r>
      <w:r>
        <w:rPr>
          <w:color w:val="231F20"/>
          <w:spacing w:val="-9"/>
          <w:sz w:val="20"/>
        </w:rPr>
        <w:t xml:space="preserve"> </w:t>
      </w:r>
      <w:r>
        <w:rPr>
          <w:color w:val="231F20"/>
          <w:spacing w:val="-3"/>
          <w:sz w:val="20"/>
        </w:rPr>
        <w:t>example</w:t>
      </w:r>
      <w:r>
        <w:rPr>
          <w:color w:val="231F20"/>
          <w:spacing w:val="-10"/>
          <w:sz w:val="20"/>
        </w:rPr>
        <w:t xml:space="preserve"> </w:t>
      </w:r>
      <w:r>
        <w:rPr>
          <w:color w:val="231F20"/>
          <w:sz w:val="20"/>
        </w:rPr>
        <w:t>helping</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10"/>
          <w:sz w:val="20"/>
        </w:rPr>
        <w:t xml:space="preserve"> </w:t>
      </w:r>
      <w:r>
        <w:rPr>
          <w:color w:val="231F20"/>
          <w:sz w:val="20"/>
        </w:rPr>
        <w:t>to</w:t>
      </w:r>
      <w:r>
        <w:rPr>
          <w:color w:val="231F20"/>
          <w:spacing w:val="-9"/>
          <w:sz w:val="20"/>
        </w:rPr>
        <w:t xml:space="preserve"> </w:t>
      </w:r>
      <w:r>
        <w:rPr>
          <w:color w:val="231F20"/>
          <w:sz w:val="20"/>
        </w:rPr>
        <w:t>think</w:t>
      </w:r>
      <w:r>
        <w:rPr>
          <w:color w:val="231F20"/>
          <w:spacing w:val="-9"/>
          <w:sz w:val="20"/>
        </w:rPr>
        <w:t xml:space="preserve"> </w:t>
      </w:r>
      <w:r>
        <w:rPr>
          <w:color w:val="231F20"/>
          <w:sz w:val="20"/>
        </w:rPr>
        <w:t>about</w:t>
      </w:r>
      <w:r>
        <w:rPr>
          <w:color w:val="231F20"/>
          <w:spacing w:val="-10"/>
          <w:sz w:val="20"/>
        </w:rPr>
        <w:t xml:space="preserve"> </w:t>
      </w:r>
      <w:r>
        <w:rPr>
          <w:color w:val="231F20"/>
          <w:spacing w:val="-3"/>
          <w:sz w:val="20"/>
        </w:rPr>
        <w:t>how</w:t>
      </w:r>
      <w:r>
        <w:rPr>
          <w:color w:val="231F20"/>
          <w:spacing w:val="-9"/>
          <w:sz w:val="20"/>
        </w:rPr>
        <w:t xml:space="preserve"> </w:t>
      </w:r>
      <w:r>
        <w:rPr>
          <w:color w:val="231F20"/>
          <w:sz w:val="20"/>
        </w:rPr>
        <w:t>to</w:t>
      </w:r>
      <w:r>
        <w:rPr>
          <w:color w:val="231F20"/>
          <w:spacing w:val="-9"/>
          <w:sz w:val="20"/>
        </w:rPr>
        <w:t xml:space="preserve"> </w:t>
      </w:r>
      <w:r>
        <w:rPr>
          <w:color w:val="231F20"/>
          <w:sz w:val="20"/>
        </w:rPr>
        <w:t>be</w:t>
      </w:r>
      <w:r>
        <w:rPr>
          <w:color w:val="231F20"/>
          <w:spacing w:val="-9"/>
          <w:sz w:val="20"/>
        </w:rPr>
        <w:t xml:space="preserve"> </w:t>
      </w:r>
      <w:r>
        <w:rPr>
          <w:color w:val="231F20"/>
          <w:sz w:val="20"/>
        </w:rPr>
        <w:t>safer when</w:t>
      </w:r>
      <w:r>
        <w:rPr>
          <w:color w:val="231F20"/>
          <w:spacing w:val="-10"/>
          <w:sz w:val="20"/>
        </w:rPr>
        <w:t xml:space="preserve"> </w:t>
      </w:r>
      <w:r>
        <w:rPr>
          <w:color w:val="231F20"/>
          <w:sz w:val="20"/>
        </w:rPr>
        <w:t>experiencing</w:t>
      </w:r>
      <w:r>
        <w:rPr>
          <w:color w:val="231F20"/>
          <w:spacing w:val="-10"/>
          <w:sz w:val="20"/>
        </w:rPr>
        <w:t xml:space="preserve"> </w:t>
      </w:r>
      <w:r>
        <w:rPr>
          <w:color w:val="231F20"/>
          <w:sz w:val="20"/>
        </w:rPr>
        <w:t>stalking,</w:t>
      </w:r>
      <w:r>
        <w:rPr>
          <w:color w:val="231F20"/>
          <w:spacing w:val="-9"/>
          <w:sz w:val="20"/>
        </w:rPr>
        <w:t xml:space="preserve"> </w:t>
      </w:r>
      <w:r>
        <w:rPr>
          <w:color w:val="231F20"/>
          <w:sz w:val="20"/>
        </w:rPr>
        <w:t>such</w:t>
      </w:r>
      <w:r>
        <w:rPr>
          <w:color w:val="231F20"/>
          <w:spacing w:val="-10"/>
          <w:sz w:val="20"/>
        </w:rPr>
        <w:t xml:space="preserve"> </w:t>
      </w:r>
      <w:r>
        <w:rPr>
          <w:color w:val="231F20"/>
          <w:sz w:val="20"/>
        </w:rPr>
        <w:t>as</w:t>
      </w:r>
      <w:r>
        <w:rPr>
          <w:color w:val="231F20"/>
          <w:spacing w:val="-10"/>
          <w:sz w:val="20"/>
        </w:rPr>
        <w:t xml:space="preserve"> </w:t>
      </w:r>
      <w:r>
        <w:rPr>
          <w:color w:val="231F20"/>
          <w:sz w:val="20"/>
        </w:rPr>
        <w:t>changing</w:t>
      </w:r>
      <w:r>
        <w:rPr>
          <w:color w:val="231F20"/>
          <w:spacing w:val="-9"/>
          <w:sz w:val="20"/>
        </w:rPr>
        <w:t xml:space="preserve"> </w:t>
      </w:r>
      <w:r>
        <w:rPr>
          <w:color w:val="231F20"/>
          <w:sz w:val="20"/>
        </w:rPr>
        <w:t>normal</w:t>
      </w:r>
      <w:r>
        <w:rPr>
          <w:color w:val="231F20"/>
          <w:spacing w:val="-10"/>
          <w:sz w:val="20"/>
        </w:rPr>
        <w:t xml:space="preserve"> </w:t>
      </w:r>
      <w:r>
        <w:rPr>
          <w:color w:val="231F20"/>
          <w:sz w:val="20"/>
        </w:rPr>
        <w:t>routines,</w:t>
      </w:r>
      <w:r>
        <w:rPr>
          <w:color w:val="231F20"/>
          <w:spacing w:val="-9"/>
          <w:sz w:val="20"/>
        </w:rPr>
        <w:t xml:space="preserve"> </w:t>
      </w:r>
      <w:r>
        <w:rPr>
          <w:color w:val="231F20"/>
          <w:spacing w:val="-3"/>
          <w:sz w:val="20"/>
        </w:rPr>
        <w:t>having</w:t>
      </w:r>
      <w:r>
        <w:rPr>
          <w:color w:val="231F20"/>
          <w:spacing w:val="-10"/>
          <w:sz w:val="20"/>
        </w:rPr>
        <w:t xml:space="preserve"> </w:t>
      </w:r>
      <w:r>
        <w:rPr>
          <w:color w:val="231F20"/>
          <w:sz w:val="20"/>
        </w:rPr>
        <w:t>a</w:t>
      </w:r>
      <w:r>
        <w:rPr>
          <w:color w:val="231F20"/>
          <w:spacing w:val="-10"/>
          <w:sz w:val="20"/>
        </w:rPr>
        <w:t xml:space="preserve"> </w:t>
      </w:r>
      <w:r>
        <w:rPr>
          <w:color w:val="231F20"/>
          <w:spacing w:val="-3"/>
          <w:sz w:val="20"/>
        </w:rPr>
        <w:t>safe</w:t>
      </w:r>
      <w:r>
        <w:rPr>
          <w:color w:val="231F20"/>
          <w:spacing w:val="-9"/>
          <w:sz w:val="20"/>
        </w:rPr>
        <w:t xml:space="preserve"> </w:t>
      </w:r>
      <w:r>
        <w:rPr>
          <w:color w:val="231F20"/>
          <w:sz w:val="20"/>
        </w:rPr>
        <w:t xml:space="preserve">place to </w:t>
      </w:r>
      <w:proofErr w:type="gramStart"/>
      <w:r>
        <w:rPr>
          <w:color w:val="231F20"/>
          <w:sz w:val="20"/>
        </w:rPr>
        <w:t>go</w:t>
      </w:r>
      <w:proofErr w:type="gramEnd"/>
      <w:r>
        <w:rPr>
          <w:color w:val="231F20"/>
          <w:sz w:val="20"/>
        </w:rPr>
        <w:t xml:space="preserve"> and </w:t>
      </w:r>
      <w:r>
        <w:rPr>
          <w:color w:val="231F20"/>
          <w:spacing w:val="-3"/>
          <w:sz w:val="20"/>
        </w:rPr>
        <w:t xml:space="preserve">having </w:t>
      </w:r>
      <w:r>
        <w:rPr>
          <w:color w:val="231F20"/>
          <w:sz w:val="20"/>
        </w:rPr>
        <w:t xml:space="preserve">a code </w:t>
      </w:r>
      <w:r>
        <w:rPr>
          <w:color w:val="231F20"/>
          <w:spacing w:val="-3"/>
          <w:sz w:val="20"/>
        </w:rPr>
        <w:t xml:space="preserve">word </w:t>
      </w:r>
      <w:r>
        <w:rPr>
          <w:color w:val="231F20"/>
          <w:sz w:val="20"/>
        </w:rPr>
        <w:t>with a trusted person so that calls can be made (in the case of phone</w:t>
      </w:r>
      <w:r>
        <w:rPr>
          <w:color w:val="231F20"/>
          <w:spacing w:val="-17"/>
          <w:sz w:val="20"/>
        </w:rPr>
        <w:t xml:space="preserve"> </w:t>
      </w:r>
      <w:r>
        <w:rPr>
          <w:color w:val="231F20"/>
          <w:sz w:val="20"/>
        </w:rPr>
        <w:t>tapping)</w:t>
      </w:r>
      <w:r>
        <w:rPr>
          <w:color w:val="231F20"/>
          <w:position w:val="7"/>
          <w:sz w:val="11"/>
        </w:rPr>
        <w:t>142</w:t>
      </w:r>
    </w:p>
    <w:p w14:paraId="341D1EE4" w14:textId="77777777" w:rsidR="00894070" w:rsidRDefault="009B7AFD">
      <w:pPr>
        <w:pStyle w:val="ListParagraph"/>
        <w:numPr>
          <w:ilvl w:val="2"/>
          <w:numId w:val="126"/>
        </w:numPr>
        <w:tabs>
          <w:tab w:val="left" w:pos="2141"/>
          <w:tab w:val="left" w:pos="2142"/>
        </w:tabs>
        <w:spacing w:before="90" w:line="206" w:lineRule="auto"/>
        <w:ind w:right="2015" w:hanging="340"/>
        <w:rPr>
          <w:sz w:val="20"/>
        </w:rPr>
      </w:pPr>
      <w:r>
        <w:rPr>
          <w:color w:val="231F20"/>
          <w:sz w:val="20"/>
        </w:rPr>
        <w:t>supporting</w:t>
      </w:r>
      <w:r>
        <w:rPr>
          <w:color w:val="231F20"/>
          <w:spacing w:val="-12"/>
          <w:sz w:val="20"/>
        </w:rPr>
        <w:t xml:space="preserve"> </w:t>
      </w:r>
      <w:r>
        <w:rPr>
          <w:color w:val="231F20"/>
          <w:sz w:val="20"/>
        </w:rPr>
        <w:t>their</w:t>
      </w:r>
      <w:r>
        <w:rPr>
          <w:color w:val="231F20"/>
          <w:spacing w:val="-12"/>
          <w:sz w:val="20"/>
        </w:rPr>
        <w:t xml:space="preserve"> </w:t>
      </w:r>
      <w:r>
        <w:rPr>
          <w:color w:val="231F20"/>
          <w:sz w:val="20"/>
        </w:rPr>
        <w:t>individual</w:t>
      </w:r>
      <w:r>
        <w:rPr>
          <w:color w:val="231F20"/>
          <w:spacing w:val="-11"/>
          <w:sz w:val="20"/>
        </w:rPr>
        <w:t xml:space="preserve"> </w:t>
      </w:r>
      <w:r>
        <w:rPr>
          <w:color w:val="231F20"/>
          <w:sz w:val="20"/>
        </w:rPr>
        <w:t>needs,</w:t>
      </w:r>
      <w:r>
        <w:rPr>
          <w:color w:val="231F20"/>
          <w:spacing w:val="-12"/>
          <w:sz w:val="20"/>
        </w:rPr>
        <w:t xml:space="preserve"> </w:t>
      </w:r>
      <w:r>
        <w:rPr>
          <w:color w:val="231F20"/>
          <w:sz w:val="20"/>
        </w:rPr>
        <w:t>such</w:t>
      </w:r>
      <w:r>
        <w:rPr>
          <w:color w:val="231F20"/>
          <w:spacing w:val="-11"/>
          <w:sz w:val="20"/>
        </w:rPr>
        <w:t xml:space="preserve"> </w:t>
      </w:r>
      <w:r>
        <w:rPr>
          <w:color w:val="231F20"/>
          <w:sz w:val="20"/>
        </w:rPr>
        <w:t>as</w:t>
      </w:r>
      <w:r>
        <w:rPr>
          <w:color w:val="231F20"/>
          <w:spacing w:val="-12"/>
          <w:sz w:val="20"/>
        </w:rPr>
        <w:t xml:space="preserve"> </w:t>
      </w:r>
      <w:r>
        <w:rPr>
          <w:color w:val="231F20"/>
          <w:sz w:val="20"/>
        </w:rPr>
        <w:t>advice</w:t>
      </w:r>
      <w:r>
        <w:rPr>
          <w:color w:val="231F20"/>
          <w:spacing w:val="-11"/>
          <w:sz w:val="20"/>
        </w:rPr>
        <w:t xml:space="preserve"> </w:t>
      </w:r>
      <w:r>
        <w:rPr>
          <w:color w:val="231F20"/>
          <w:sz w:val="20"/>
        </w:rPr>
        <w:t>on</w:t>
      </w:r>
      <w:r>
        <w:rPr>
          <w:color w:val="231F20"/>
          <w:spacing w:val="-12"/>
          <w:sz w:val="20"/>
        </w:rPr>
        <w:t xml:space="preserve"> </w:t>
      </w:r>
      <w:r>
        <w:rPr>
          <w:color w:val="231F20"/>
          <w:sz w:val="20"/>
        </w:rPr>
        <w:t>documenting</w:t>
      </w:r>
      <w:r>
        <w:rPr>
          <w:color w:val="231F20"/>
          <w:spacing w:val="-11"/>
          <w:sz w:val="20"/>
        </w:rPr>
        <w:t xml:space="preserve"> </w:t>
      </w:r>
      <w:r>
        <w:rPr>
          <w:color w:val="231F20"/>
          <w:sz w:val="20"/>
        </w:rPr>
        <w:t>stalking behaviour</w:t>
      </w:r>
      <w:r>
        <w:rPr>
          <w:color w:val="231F20"/>
          <w:spacing w:val="-6"/>
          <w:sz w:val="20"/>
        </w:rPr>
        <w:t xml:space="preserve"> </w:t>
      </w:r>
      <w:r>
        <w:rPr>
          <w:color w:val="231F20"/>
          <w:sz w:val="20"/>
        </w:rPr>
        <w:t>or</w:t>
      </w:r>
      <w:r>
        <w:rPr>
          <w:color w:val="231F20"/>
          <w:spacing w:val="-5"/>
          <w:sz w:val="20"/>
        </w:rPr>
        <w:t xml:space="preserve"> </w:t>
      </w:r>
      <w:r>
        <w:rPr>
          <w:color w:val="231F20"/>
          <w:sz w:val="20"/>
        </w:rPr>
        <w:t>help</w:t>
      </w:r>
      <w:r>
        <w:rPr>
          <w:color w:val="231F20"/>
          <w:spacing w:val="-6"/>
          <w:sz w:val="20"/>
        </w:rPr>
        <w:t xml:space="preserve"> </w:t>
      </w:r>
      <w:r>
        <w:rPr>
          <w:color w:val="231F20"/>
          <w:sz w:val="20"/>
        </w:rPr>
        <w:t>reporting</w:t>
      </w:r>
      <w:r>
        <w:rPr>
          <w:color w:val="231F20"/>
          <w:spacing w:val="-5"/>
          <w:sz w:val="20"/>
        </w:rPr>
        <w:t xml:space="preserve"> </w:t>
      </w:r>
      <w:r>
        <w:rPr>
          <w:color w:val="231F20"/>
          <w:sz w:val="20"/>
        </w:rPr>
        <w:t>to</w:t>
      </w:r>
      <w:r>
        <w:rPr>
          <w:color w:val="231F20"/>
          <w:spacing w:val="-6"/>
          <w:sz w:val="20"/>
        </w:rPr>
        <w:t xml:space="preserve"> </w:t>
      </w:r>
      <w:r>
        <w:rPr>
          <w:color w:val="231F20"/>
          <w:sz w:val="20"/>
        </w:rPr>
        <w:t>police</w:t>
      </w:r>
      <w:r>
        <w:rPr>
          <w:color w:val="231F20"/>
          <w:spacing w:val="-5"/>
          <w:sz w:val="20"/>
        </w:rPr>
        <w:t xml:space="preserve"> </w:t>
      </w:r>
      <w:r>
        <w:rPr>
          <w:color w:val="231F20"/>
          <w:sz w:val="20"/>
        </w:rPr>
        <w:t>or</w:t>
      </w:r>
      <w:r>
        <w:rPr>
          <w:color w:val="231F20"/>
          <w:spacing w:val="-6"/>
          <w:sz w:val="20"/>
        </w:rPr>
        <w:t xml:space="preserve"> </w:t>
      </w:r>
      <w:r>
        <w:rPr>
          <w:color w:val="231F20"/>
          <w:sz w:val="20"/>
        </w:rPr>
        <w:t>applying</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a</w:t>
      </w:r>
      <w:r>
        <w:rPr>
          <w:color w:val="231F20"/>
          <w:spacing w:val="-5"/>
          <w:sz w:val="20"/>
        </w:rPr>
        <w:t xml:space="preserve"> </w:t>
      </w:r>
      <w:r>
        <w:rPr>
          <w:color w:val="231F20"/>
          <w:sz w:val="20"/>
        </w:rPr>
        <w:t>PSIO</w:t>
      </w:r>
    </w:p>
    <w:p w14:paraId="5C36D7EF" w14:textId="77777777" w:rsidR="00894070" w:rsidRDefault="009B7AFD">
      <w:pPr>
        <w:pStyle w:val="ListParagraph"/>
        <w:numPr>
          <w:ilvl w:val="2"/>
          <w:numId w:val="126"/>
        </w:numPr>
        <w:tabs>
          <w:tab w:val="left" w:pos="2141"/>
          <w:tab w:val="left" w:pos="2142"/>
        </w:tabs>
        <w:spacing w:before="56"/>
        <w:ind w:hanging="340"/>
        <w:rPr>
          <w:sz w:val="20"/>
        </w:rPr>
      </w:pPr>
      <w:r>
        <w:rPr>
          <w:color w:val="231F20"/>
          <w:sz w:val="20"/>
        </w:rPr>
        <w:t>liaising</w:t>
      </w:r>
      <w:r>
        <w:rPr>
          <w:color w:val="231F20"/>
          <w:spacing w:val="-5"/>
          <w:sz w:val="20"/>
        </w:rPr>
        <w:t xml:space="preserve"> </w:t>
      </w:r>
      <w:r>
        <w:rPr>
          <w:color w:val="231F20"/>
          <w:sz w:val="20"/>
        </w:rPr>
        <w:t>with,</w:t>
      </w:r>
      <w:r>
        <w:rPr>
          <w:color w:val="231F20"/>
          <w:spacing w:val="-5"/>
          <w:sz w:val="20"/>
        </w:rPr>
        <w:t xml:space="preserve"> </w:t>
      </w:r>
      <w:r>
        <w:rPr>
          <w:color w:val="231F20"/>
          <w:sz w:val="20"/>
        </w:rPr>
        <w:t>and</w:t>
      </w:r>
      <w:r>
        <w:rPr>
          <w:color w:val="231F20"/>
          <w:spacing w:val="-5"/>
          <w:sz w:val="20"/>
        </w:rPr>
        <w:t xml:space="preserve"> </w:t>
      </w:r>
      <w:r>
        <w:rPr>
          <w:color w:val="231F20"/>
          <w:spacing w:val="-3"/>
          <w:sz w:val="20"/>
        </w:rPr>
        <w:t>advocating</w:t>
      </w:r>
      <w:r>
        <w:rPr>
          <w:color w:val="231F20"/>
          <w:spacing w:val="-4"/>
          <w:sz w:val="20"/>
        </w:rPr>
        <w:t xml:space="preserve"> </w:t>
      </w:r>
      <w:r>
        <w:rPr>
          <w:color w:val="231F20"/>
          <w:spacing w:val="-3"/>
          <w:sz w:val="20"/>
        </w:rPr>
        <w:t>for</w:t>
      </w:r>
      <w:r>
        <w:rPr>
          <w:color w:val="231F20"/>
          <w:spacing w:val="-5"/>
          <w:sz w:val="20"/>
        </w:rPr>
        <w:t xml:space="preserve"> </w:t>
      </w:r>
      <w:r>
        <w:rPr>
          <w:color w:val="231F20"/>
          <w:sz w:val="20"/>
        </w:rPr>
        <w:t>them</w:t>
      </w:r>
      <w:r>
        <w:rPr>
          <w:color w:val="231F20"/>
          <w:spacing w:val="-5"/>
          <w:sz w:val="20"/>
        </w:rPr>
        <w:t xml:space="preserve"> </w:t>
      </w:r>
      <w:r>
        <w:rPr>
          <w:color w:val="231F20"/>
          <w:spacing w:val="-3"/>
          <w:sz w:val="20"/>
        </w:rPr>
        <w:t>to,</w:t>
      </w:r>
      <w:r>
        <w:rPr>
          <w:color w:val="231F20"/>
          <w:spacing w:val="-4"/>
          <w:sz w:val="20"/>
        </w:rPr>
        <w:t xml:space="preserve"> </w:t>
      </w:r>
      <w:r>
        <w:rPr>
          <w:color w:val="231F20"/>
          <w:sz w:val="20"/>
        </w:rPr>
        <w:t>services</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4"/>
          <w:sz w:val="20"/>
        </w:rPr>
        <w:t xml:space="preserve"> </w:t>
      </w:r>
      <w:r>
        <w:rPr>
          <w:color w:val="231F20"/>
          <w:sz w:val="20"/>
        </w:rPr>
        <w:t>justice</w:t>
      </w:r>
      <w:r>
        <w:rPr>
          <w:color w:val="231F20"/>
          <w:spacing w:val="-5"/>
          <w:sz w:val="20"/>
        </w:rPr>
        <w:t xml:space="preserve"> </w:t>
      </w:r>
      <w:r>
        <w:rPr>
          <w:color w:val="231F20"/>
          <w:sz w:val="20"/>
        </w:rPr>
        <w:t>system.</w:t>
      </w:r>
    </w:p>
    <w:p w14:paraId="3F06D420" w14:textId="77777777" w:rsidR="00894070" w:rsidRDefault="009B7AFD">
      <w:pPr>
        <w:pStyle w:val="ListParagraph"/>
        <w:numPr>
          <w:ilvl w:val="1"/>
          <w:numId w:val="126"/>
        </w:numPr>
        <w:tabs>
          <w:tab w:val="left" w:pos="1801"/>
          <w:tab w:val="left" w:pos="1802"/>
        </w:tabs>
        <w:spacing w:before="79" w:line="206" w:lineRule="auto"/>
        <w:ind w:right="1273"/>
        <w:rPr>
          <w:sz w:val="20"/>
        </w:rPr>
      </w:pPr>
      <w:r>
        <w:rPr>
          <w:color w:val="231F20"/>
          <w:sz w:val="20"/>
        </w:rPr>
        <w:t xml:space="preserve">In cases in which the victim survivor engages with the criminal justice system, victim </w:t>
      </w:r>
      <w:r>
        <w:rPr>
          <w:color w:val="231F20"/>
          <w:spacing w:val="-3"/>
          <w:sz w:val="20"/>
        </w:rPr>
        <w:t xml:space="preserve">advocates </w:t>
      </w:r>
      <w:r>
        <w:rPr>
          <w:color w:val="231F20"/>
          <w:sz w:val="20"/>
        </w:rPr>
        <w:t xml:space="preserve">should </w:t>
      </w:r>
      <w:r>
        <w:rPr>
          <w:color w:val="231F20"/>
          <w:spacing w:val="-4"/>
          <w:sz w:val="20"/>
        </w:rPr>
        <w:t xml:space="preserve">have </w:t>
      </w:r>
      <w:r>
        <w:rPr>
          <w:color w:val="231F20"/>
          <w:sz w:val="20"/>
        </w:rPr>
        <w:t xml:space="preserve">a </w:t>
      </w:r>
      <w:r>
        <w:rPr>
          <w:color w:val="231F20"/>
          <w:spacing w:val="-3"/>
          <w:sz w:val="20"/>
        </w:rPr>
        <w:t xml:space="preserve">role </w:t>
      </w:r>
      <w:r>
        <w:rPr>
          <w:color w:val="231F20"/>
          <w:sz w:val="20"/>
        </w:rPr>
        <w:t xml:space="preserve">in </w:t>
      </w:r>
      <w:r>
        <w:rPr>
          <w:color w:val="231F20"/>
          <w:spacing w:val="-3"/>
          <w:sz w:val="20"/>
        </w:rPr>
        <w:t xml:space="preserve">providing </w:t>
      </w:r>
      <w:r>
        <w:rPr>
          <w:color w:val="231F20"/>
          <w:sz w:val="20"/>
        </w:rPr>
        <w:t xml:space="preserve">victim survivors with </w:t>
      </w:r>
      <w:r>
        <w:rPr>
          <w:color w:val="231F20"/>
          <w:spacing w:val="-3"/>
          <w:sz w:val="20"/>
        </w:rPr>
        <w:t xml:space="preserve">information </w:t>
      </w:r>
      <w:r>
        <w:rPr>
          <w:color w:val="231F20"/>
          <w:sz w:val="20"/>
        </w:rPr>
        <w:t>on their case.</w:t>
      </w:r>
      <w:r>
        <w:rPr>
          <w:color w:val="231F20"/>
          <w:spacing w:val="-10"/>
          <w:sz w:val="20"/>
        </w:rPr>
        <w:t xml:space="preserve"> </w:t>
      </w:r>
      <w:r>
        <w:rPr>
          <w:color w:val="231F20"/>
          <w:sz w:val="20"/>
        </w:rPr>
        <w:t>As</w:t>
      </w:r>
      <w:r>
        <w:rPr>
          <w:color w:val="231F20"/>
          <w:spacing w:val="-9"/>
          <w:sz w:val="20"/>
        </w:rPr>
        <w:t xml:space="preserve"> </w:t>
      </w:r>
      <w:r>
        <w:rPr>
          <w:color w:val="231F20"/>
          <w:sz w:val="20"/>
        </w:rPr>
        <w:t>was</w:t>
      </w:r>
      <w:r>
        <w:rPr>
          <w:color w:val="231F20"/>
          <w:spacing w:val="-9"/>
          <w:sz w:val="20"/>
        </w:rPr>
        <w:t xml:space="preserve"> </w:t>
      </w:r>
      <w:r>
        <w:rPr>
          <w:color w:val="231F20"/>
          <w:sz w:val="20"/>
        </w:rPr>
        <w:t>the</w:t>
      </w:r>
      <w:r>
        <w:rPr>
          <w:color w:val="231F20"/>
          <w:spacing w:val="-10"/>
          <w:sz w:val="20"/>
        </w:rPr>
        <w:t xml:space="preserve"> </w:t>
      </w:r>
      <w:r>
        <w:rPr>
          <w:color w:val="231F20"/>
          <w:sz w:val="20"/>
        </w:rPr>
        <w:t>case</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10"/>
          <w:sz w:val="20"/>
        </w:rPr>
        <w:t xml:space="preserve"> </w:t>
      </w:r>
      <w:r>
        <w:rPr>
          <w:color w:val="231F20"/>
          <w:sz w:val="20"/>
        </w:rPr>
        <w:t>United</w:t>
      </w:r>
      <w:r>
        <w:rPr>
          <w:color w:val="231F20"/>
          <w:spacing w:val="-9"/>
          <w:sz w:val="20"/>
        </w:rPr>
        <w:t xml:space="preserve"> </w:t>
      </w:r>
      <w:r>
        <w:rPr>
          <w:color w:val="231F20"/>
          <w:sz w:val="20"/>
        </w:rPr>
        <w:t>Kingdom,</w:t>
      </w:r>
      <w:r>
        <w:rPr>
          <w:color w:val="231F20"/>
          <w:spacing w:val="-9"/>
          <w:sz w:val="20"/>
        </w:rPr>
        <w:t xml:space="preserve"> </w:t>
      </w:r>
      <w:r>
        <w:rPr>
          <w:color w:val="231F20"/>
          <w:spacing w:val="-3"/>
          <w:sz w:val="20"/>
        </w:rPr>
        <w:t>we</w:t>
      </w:r>
      <w:r>
        <w:rPr>
          <w:color w:val="231F20"/>
          <w:spacing w:val="-10"/>
          <w:sz w:val="20"/>
        </w:rPr>
        <w:t xml:space="preserve"> </w:t>
      </w:r>
      <w:r>
        <w:rPr>
          <w:color w:val="231F20"/>
          <w:sz w:val="20"/>
        </w:rPr>
        <w:t>heard</w:t>
      </w:r>
      <w:r>
        <w:rPr>
          <w:color w:val="231F20"/>
          <w:spacing w:val="-9"/>
          <w:sz w:val="20"/>
        </w:rPr>
        <w:t xml:space="preserve"> </w:t>
      </w:r>
      <w:r>
        <w:rPr>
          <w:color w:val="231F20"/>
          <w:sz w:val="20"/>
        </w:rPr>
        <w:t>that</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10"/>
          <w:sz w:val="20"/>
        </w:rPr>
        <w:t xml:space="preserve"> </w:t>
      </w:r>
      <w:r>
        <w:rPr>
          <w:color w:val="231F20"/>
          <w:sz w:val="20"/>
        </w:rPr>
        <w:t>in</w:t>
      </w:r>
      <w:r>
        <w:rPr>
          <w:color w:val="231F20"/>
          <w:spacing w:val="-9"/>
          <w:sz w:val="20"/>
        </w:rPr>
        <w:t xml:space="preserve"> </w:t>
      </w:r>
      <w:r>
        <w:rPr>
          <w:color w:val="231F20"/>
          <w:sz w:val="20"/>
        </w:rPr>
        <w:t xml:space="preserve">Victoria lacked </w:t>
      </w:r>
      <w:r>
        <w:rPr>
          <w:color w:val="231F20"/>
          <w:spacing w:val="-3"/>
          <w:sz w:val="20"/>
        </w:rPr>
        <w:t xml:space="preserve">information </w:t>
      </w:r>
      <w:r>
        <w:rPr>
          <w:color w:val="231F20"/>
          <w:sz w:val="20"/>
        </w:rPr>
        <w:t xml:space="preserve">about the </w:t>
      </w:r>
      <w:r>
        <w:rPr>
          <w:color w:val="231F20"/>
          <w:spacing w:val="-3"/>
          <w:sz w:val="20"/>
        </w:rPr>
        <w:t xml:space="preserve">progress </w:t>
      </w:r>
      <w:r>
        <w:rPr>
          <w:color w:val="231F20"/>
          <w:sz w:val="20"/>
        </w:rPr>
        <w:t>of their</w:t>
      </w:r>
      <w:r>
        <w:rPr>
          <w:color w:val="231F20"/>
          <w:spacing w:val="-24"/>
          <w:sz w:val="20"/>
        </w:rPr>
        <w:t xml:space="preserve"> </w:t>
      </w:r>
      <w:r>
        <w:rPr>
          <w:color w:val="231F20"/>
          <w:sz w:val="20"/>
        </w:rPr>
        <w:t>case:</w:t>
      </w:r>
    </w:p>
    <w:p w14:paraId="0404A379" w14:textId="77777777" w:rsidR="00894070" w:rsidRDefault="00894070">
      <w:pPr>
        <w:pStyle w:val="BodyText"/>
      </w:pPr>
    </w:p>
    <w:p w14:paraId="41001640" w14:textId="77777777" w:rsidR="00894070" w:rsidRDefault="00894070">
      <w:pPr>
        <w:pStyle w:val="BodyText"/>
      </w:pPr>
    </w:p>
    <w:p w14:paraId="3B625F0E" w14:textId="77777777" w:rsidR="00894070" w:rsidRDefault="00894070">
      <w:pPr>
        <w:pStyle w:val="BodyText"/>
      </w:pPr>
    </w:p>
    <w:p w14:paraId="47E572B4" w14:textId="77777777" w:rsidR="00894070" w:rsidRDefault="00894070">
      <w:pPr>
        <w:pStyle w:val="BodyText"/>
      </w:pPr>
    </w:p>
    <w:p w14:paraId="486E3C55" w14:textId="77777777" w:rsidR="00894070" w:rsidRDefault="00894070">
      <w:pPr>
        <w:pStyle w:val="BodyText"/>
      </w:pPr>
    </w:p>
    <w:p w14:paraId="480D53A8" w14:textId="77777777" w:rsidR="00894070" w:rsidRDefault="009F6793">
      <w:pPr>
        <w:pStyle w:val="BodyText"/>
        <w:spacing w:before="7"/>
        <w:rPr>
          <w:sz w:val="24"/>
        </w:rPr>
      </w:pPr>
      <w:r>
        <w:pict w14:anchorId="01C58C00">
          <v:line id="_x0000_s1383" style="position:absolute;z-index:251624448;mso-wrap-distance-left:0;mso-wrap-distance-right:0;mso-position-horizontal-relative:page" from="79.35pt,19.45pt" to="515.9pt,19.45pt" strokecolor="#f8cabc" strokeweight="1pt">
            <w10:wrap type="topAndBottom" anchorx="page"/>
          </v:line>
        </w:pict>
      </w:r>
    </w:p>
    <w:p w14:paraId="424F3883" w14:textId="77777777" w:rsidR="00894070" w:rsidRDefault="009B7AFD">
      <w:pPr>
        <w:pStyle w:val="ListParagraph"/>
        <w:numPr>
          <w:ilvl w:val="0"/>
          <w:numId w:val="108"/>
        </w:numPr>
        <w:tabs>
          <w:tab w:val="left" w:pos="1801"/>
          <w:tab w:val="left" w:pos="1802"/>
        </w:tabs>
        <w:spacing w:before="91" w:line="170" w:lineRule="exact"/>
        <w:rPr>
          <w:sz w:val="13"/>
        </w:rPr>
      </w:pPr>
      <w:r>
        <w:rPr>
          <w:color w:val="231F20"/>
          <w:sz w:val="13"/>
        </w:rPr>
        <w:t xml:space="preserve">Email from Centre for Multicultural Youth to Victorian Law Reform </w:t>
      </w:r>
      <w:r>
        <w:rPr>
          <w:color w:val="231F20"/>
          <w:spacing w:val="2"/>
          <w:sz w:val="13"/>
        </w:rPr>
        <w:t xml:space="preserve">Commission, </w:t>
      </w:r>
      <w:r>
        <w:rPr>
          <w:color w:val="231F20"/>
          <w:sz w:val="13"/>
        </w:rPr>
        <w:t>25 November</w:t>
      </w:r>
      <w:r>
        <w:rPr>
          <w:color w:val="231F20"/>
          <w:spacing w:val="8"/>
          <w:sz w:val="13"/>
        </w:rPr>
        <w:t xml:space="preserve"> </w:t>
      </w:r>
      <w:r>
        <w:rPr>
          <w:color w:val="231F20"/>
          <w:sz w:val="13"/>
        </w:rPr>
        <w:t>2021.</w:t>
      </w:r>
    </w:p>
    <w:p w14:paraId="7437C351" w14:textId="77777777" w:rsidR="00894070" w:rsidRDefault="009B7AFD">
      <w:pPr>
        <w:pStyle w:val="ListParagraph"/>
        <w:numPr>
          <w:ilvl w:val="0"/>
          <w:numId w:val="108"/>
        </w:numPr>
        <w:tabs>
          <w:tab w:val="left" w:pos="1801"/>
          <w:tab w:val="left" w:pos="1802"/>
        </w:tabs>
        <w:spacing w:line="160" w:lineRule="exact"/>
        <w:rPr>
          <w:sz w:val="13"/>
        </w:rPr>
      </w:pPr>
      <w:r>
        <w:rPr>
          <w:color w:val="231F20"/>
          <w:sz w:val="13"/>
        </w:rPr>
        <w:t xml:space="preserve">Consultation 11 </w:t>
      </w:r>
      <w:r>
        <w:rPr>
          <w:color w:val="231F20"/>
          <w:spacing w:val="2"/>
          <w:sz w:val="13"/>
        </w:rPr>
        <w:t xml:space="preserve">(Members </w:t>
      </w:r>
      <w:r>
        <w:rPr>
          <w:color w:val="231F20"/>
          <w:sz w:val="13"/>
        </w:rPr>
        <w:t>of the Victims of Crime Consultative</w:t>
      </w:r>
      <w:r>
        <w:rPr>
          <w:color w:val="231F20"/>
          <w:spacing w:val="3"/>
          <w:sz w:val="13"/>
        </w:rPr>
        <w:t xml:space="preserve"> </w:t>
      </w:r>
      <w:r>
        <w:rPr>
          <w:color w:val="231F20"/>
          <w:sz w:val="13"/>
        </w:rPr>
        <w:t>Committee).</w:t>
      </w:r>
    </w:p>
    <w:p w14:paraId="1A4CF071" w14:textId="77777777" w:rsidR="00894070" w:rsidRDefault="009B7AFD">
      <w:pPr>
        <w:pStyle w:val="ListParagraph"/>
        <w:numPr>
          <w:ilvl w:val="0"/>
          <w:numId w:val="108"/>
        </w:numPr>
        <w:tabs>
          <w:tab w:val="left" w:pos="1800"/>
          <w:tab w:val="left" w:pos="1802"/>
        </w:tabs>
        <w:spacing w:line="16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14B0D5D4" w14:textId="77777777" w:rsidR="00894070" w:rsidRDefault="009B7AFD">
      <w:pPr>
        <w:pStyle w:val="ListParagraph"/>
        <w:numPr>
          <w:ilvl w:val="0"/>
          <w:numId w:val="108"/>
        </w:numPr>
        <w:tabs>
          <w:tab w:val="left" w:pos="1801"/>
          <w:tab w:val="left" w:pos="1802"/>
        </w:tabs>
        <w:spacing w:line="160" w:lineRule="exact"/>
        <w:rPr>
          <w:sz w:val="13"/>
        </w:rPr>
      </w:pPr>
      <w:r>
        <w:rPr>
          <w:color w:val="231F20"/>
          <w:spacing w:val="2"/>
          <w:sz w:val="13"/>
        </w:rPr>
        <w:t xml:space="preserve">Submission </w:t>
      </w:r>
      <w:r>
        <w:rPr>
          <w:color w:val="231F20"/>
          <w:sz w:val="13"/>
        </w:rPr>
        <w:t>95 (Springvale Monash Legal</w:t>
      </w:r>
      <w:r>
        <w:rPr>
          <w:color w:val="231F20"/>
          <w:spacing w:val="-1"/>
          <w:sz w:val="13"/>
        </w:rPr>
        <w:t xml:space="preserve"> </w:t>
      </w:r>
      <w:r>
        <w:rPr>
          <w:color w:val="231F20"/>
          <w:sz w:val="13"/>
        </w:rPr>
        <w:t>Service).</w:t>
      </w:r>
    </w:p>
    <w:p w14:paraId="5F07D106" w14:textId="77777777" w:rsidR="00894070" w:rsidRDefault="009B7AFD">
      <w:pPr>
        <w:pStyle w:val="ListParagraph"/>
        <w:numPr>
          <w:ilvl w:val="0"/>
          <w:numId w:val="108"/>
        </w:numPr>
        <w:tabs>
          <w:tab w:val="left" w:pos="1801"/>
          <w:tab w:val="left" w:pos="1802"/>
        </w:tabs>
        <w:spacing w:line="160" w:lineRule="exact"/>
        <w:rPr>
          <w:sz w:val="13"/>
        </w:rPr>
      </w:pPr>
      <w:r>
        <w:rPr>
          <w:color w:val="231F20"/>
          <w:sz w:val="13"/>
        </w:rPr>
        <w:t xml:space="preserve">Email from Centre for Multicultural Youth to Victorian Law Reform </w:t>
      </w:r>
      <w:r>
        <w:rPr>
          <w:color w:val="231F20"/>
          <w:spacing w:val="2"/>
          <w:sz w:val="13"/>
        </w:rPr>
        <w:t xml:space="preserve">Commission, </w:t>
      </w:r>
      <w:r>
        <w:rPr>
          <w:color w:val="231F20"/>
          <w:sz w:val="13"/>
        </w:rPr>
        <w:t>25 November</w:t>
      </w:r>
      <w:r>
        <w:rPr>
          <w:color w:val="231F20"/>
          <w:spacing w:val="8"/>
          <w:sz w:val="13"/>
        </w:rPr>
        <w:t xml:space="preserve"> </w:t>
      </w:r>
      <w:r>
        <w:rPr>
          <w:color w:val="231F20"/>
          <w:sz w:val="13"/>
        </w:rPr>
        <w:t>2021.</w:t>
      </w:r>
    </w:p>
    <w:p w14:paraId="49EAB70F" w14:textId="77777777" w:rsidR="00894070" w:rsidRDefault="009B7AFD">
      <w:pPr>
        <w:pStyle w:val="ListParagraph"/>
        <w:numPr>
          <w:ilvl w:val="0"/>
          <w:numId w:val="108"/>
        </w:numPr>
        <w:tabs>
          <w:tab w:val="left" w:pos="1801"/>
          <w:tab w:val="left" w:pos="1802"/>
        </w:tabs>
        <w:spacing w:line="160" w:lineRule="exac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4"/>
          <w:sz w:val="13"/>
        </w:rPr>
        <w:t xml:space="preserve"> </w:t>
      </w:r>
      <w:r>
        <w:rPr>
          <w:color w:val="231F20"/>
          <w:sz w:val="13"/>
        </w:rPr>
        <w:t>Commissioner).</w:t>
      </w:r>
    </w:p>
    <w:p w14:paraId="4C7D9928" w14:textId="77777777" w:rsidR="00894070" w:rsidRDefault="009F6793">
      <w:pPr>
        <w:pStyle w:val="ListParagraph"/>
        <w:numPr>
          <w:ilvl w:val="0"/>
          <w:numId w:val="108"/>
        </w:numPr>
        <w:tabs>
          <w:tab w:val="left" w:pos="1800"/>
          <w:tab w:val="left" w:pos="1802"/>
        </w:tabs>
        <w:spacing w:line="160" w:lineRule="exact"/>
        <w:rPr>
          <w:sz w:val="13"/>
        </w:rPr>
      </w:pPr>
      <w:r>
        <w:pict w14:anchorId="129898EB">
          <v:shape id="_x0000_s1382" type="#_x0000_t202" style="position:absolute;left:0;text-align:left;margin-left:36pt;margin-top:3.7pt;width:13.85pt;height:14.1pt;z-index:251699200;mso-position-horizontal-relative:page" filled="f" stroked="f">
            <v:textbox inset="0,0,0,0">
              <w:txbxContent>
                <w:p w14:paraId="1AB727A0" w14:textId="77777777" w:rsidR="00894070" w:rsidRDefault="009B7AFD">
                  <w:pPr>
                    <w:spacing w:line="282" w:lineRule="exact"/>
                    <w:rPr>
                      <w:b/>
                      <w:sz w:val="24"/>
                    </w:rPr>
                  </w:pPr>
                  <w:r>
                    <w:rPr>
                      <w:b/>
                      <w:color w:val="EA5B50"/>
                      <w:sz w:val="24"/>
                    </w:rPr>
                    <w:t>92</w:t>
                  </w:r>
                </w:p>
              </w:txbxContent>
            </v:textbox>
            <w10:wrap anchorx="page"/>
          </v:shape>
        </w:pict>
      </w:r>
      <w:r w:rsidR="009B7AFD">
        <w:rPr>
          <w:color w:val="231F20"/>
          <w:sz w:val="13"/>
        </w:rPr>
        <w:t xml:space="preserve">‘Safety Planning Checklist’, </w:t>
      </w:r>
      <w:r w:rsidR="009B7AFD">
        <w:rPr>
          <w:i/>
          <w:color w:val="231F20"/>
          <w:sz w:val="13"/>
        </w:rPr>
        <w:t xml:space="preserve">1800RESPECT </w:t>
      </w:r>
      <w:r w:rsidR="009B7AFD">
        <w:rPr>
          <w:color w:val="231F20"/>
          <w:sz w:val="13"/>
        </w:rPr>
        <w:t>(Web Page)</w:t>
      </w:r>
      <w:r w:rsidR="009B7AFD">
        <w:rPr>
          <w:color w:val="231F20"/>
          <w:spacing w:val="20"/>
          <w:sz w:val="13"/>
        </w:rPr>
        <w:t xml:space="preserve"> </w:t>
      </w:r>
      <w:r w:rsidR="009B7AFD">
        <w:rPr>
          <w:color w:val="231F20"/>
          <w:sz w:val="13"/>
        </w:rPr>
        <w:t>&lt;https://www.1800</w:t>
      </w:r>
      <w:hyperlink r:id="rId149">
        <w:r w:rsidR="009B7AFD">
          <w:rPr>
            <w:color w:val="231F20"/>
            <w:sz w:val="13"/>
          </w:rPr>
          <w:t>respect.org.au/help-and-support/safety-planning/</w:t>
        </w:r>
      </w:hyperlink>
    </w:p>
    <w:p w14:paraId="09698427" w14:textId="77777777" w:rsidR="00894070" w:rsidRDefault="009F6793">
      <w:pPr>
        <w:spacing w:line="170" w:lineRule="exact"/>
        <w:ind w:left="1801"/>
        <w:rPr>
          <w:sz w:val="13"/>
        </w:rPr>
      </w:pPr>
      <w:hyperlink r:id="rId150">
        <w:r w:rsidR="009B7AFD">
          <w:rPr>
            <w:color w:val="231F20"/>
            <w:sz w:val="13"/>
          </w:rPr>
          <w:t>checklist</w:t>
        </w:r>
      </w:hyperlink>
      <w:r w:rsidR="009B7AFD">
        <w:rPr>
          <w:color w:val="231F20"/>
          <w:sz w:val="13"/>
        </w:rPr>
        <w:t>&gt;.</w:t>
      </w:r>
    </w:p>
    <w:p w14:paraId="2FFF7FDF" w14:textId="77777777" w:rsidR="00894070" w:rsidRDefault="00894070">
      <w:pPr>
        <w:spacing w:line="170" w:lineRule="exact"/>
        <w:rPr>
          <w:sz w:val="13"/>
        </w:rPr>
        <w:sectPr w:rsidR="00894070">
          <w:pgSz w:w="11910" w:h="16840"/>
          <w:pgMar w:top="860" w:right="420" w:bottom="280" w:left="580" w:header="567" w:footer="0" w:gutter="0"/>
          <w:cols w:space="720"/>
        </w:sectPr>
      </w:pPr>
    </w:p>
    <w:p w14:paraId="77D94E39" w14:textId="77777777" w:rsidR="00894070" w:rsidRDefault="00894070">
      <w:pPr>
        <w:pStyle w:val="BodyText"/>
      </w:pPr>
    </w:p>
    <w:p w14:paraId="669AD418" w14:textId="77777777" w:rsidR="00894070" w:rsidRDefault="00894070">
      <w:pPr>
        <w:pStyle w:val="BodyText"/>
      </w:pPr>
    </w:p>
    <w:p w14:paraId="5CC7926E" w14:textId="77777777" w:rsidR="00894070" w:rsidRDefault="00894070">
      <w:pPr>
        <w:pStyle w:val="BodyText"/>
      </w:pPr>
    </w:p>
    <w:p w14:paraId="6F496D82" w14:textId="77777777" w:rsidR="00894070" w:rsidRDefault="00894070">
      <w:pPr>
        <w:pStyle w:val="BodyText"/>
        <w:spacing w:before="9"/>
        <w:rPr>
          <w:sz w:val="21"/>
        </w:rPr>
      </w:pPr>
    </w:p>
    <w:p w14:paraId="6EFB157A" w14:textId="77777777" w:rsidR="00894070" w:rsidRDefault="009F6793">
      <w:pPr>
        <w:pStyle w:val="BodyText"/>
        <w:ind w:left="1801"/>
      </w:pPr>
      <w:r>
        <w:pict w14:anchorId="46387AE4">
          <v:shape id="_x0000_s1740" type="#_x0000_t202" style="width:396.35pt;height:80.1pt;mso-left-percent:-10001;mso-top-percent:-10001;mso-position-horizontal:absolute;mso-position-horizontal-relative:char;mso-position-vertical:absolute;mso-position-vertical-relative:line;mso-left-percent:-10001;mso-top-percent:-10001" fillcolor="#fee7de" strokecolor="#ea5b50" strokeweight=".5pt">
            <v:textbox inset="0,0,0,0">
              <w:txbxContent>
                <w:p w14:paraId="3480D4D3" w14:textId="77777777" w:rsidR="00894070" w:rsidRDefault="00894070">
                  <w:pPr>
                    <w:pStyle w:val="BodyText"/>
                    <w:spacing w:before="3"/>
                    <w:rPr>
                      <w:sz w:val="15"/>
                    </w:rPr>
                  </w:pPr>
                </w:p>
                <w:p w14:paraId="4D717081" w14:textId="77777777" w:rsidR="00894070" w:rsidRDefault="009B7AFD">
                  <w:pPr>
                    <w:pStyle w:val="BodyText"/>
                    <w:spacing w:line="206" w:lineRule="auto"/>
                    <w:ind w:left="221" w:right="398"/>
                    <w:rPr>
                      <w:sz w:val="11"/>
                    </w:rPr>
                  </w:pPr>
                  <w:bookmarkStart w:id="111" w:name="_bookmark63"/>
                  <w:bookmarkEnd w:id="111"/>
                  <w:r>
                    <w:rPr>
                      <w:color w:val="231F20"/>
                    </w:rPr>
                    <w:t>It was frustrating the Magistrates’ Court wouldn’t tell me anything about my stalker when he was charged. They told me to call up my officer to find out the results which I did but didn’t hear from my officer straight away. It was a few days later. I almost wish I was allowed to go to court on the day my stalker was charged so I could hear the results then and there.</w:t>
                  </w:r>
                  <w:r>
                    <w:rPr>
                      <w:color w:val="231F20"/>
                      <w:position w:val="7"/>
                      <w:sz w:val="11"/>
                    </w:rPr>
                    <w:t>143</w:t>
                  </w:r>
                </w:p>
              </w:txbxContent>
            </v:textbox>
            <w10:anchorlock/>
          </v:shape>
        </w:pict>
      </w:r>
    </w:p>
    <w:p w14:paraId="3173CFE6" w14:textId="77777777" w:rsidR="00894070" w:rsidRDefault="00894070">
      <w:pPr>
        <w:pStyle w:val="BodyText"/>
        <w:spacing w:before="1"/>
        <w:rPr>
          <w:sz w:val="19"/>
        </w:rPr>
      </w:pPr>
    </w:p>
    <w:p w14:paraId="42FB77A8" w14:textId="77777777" w:rsidR="00894070" w:rsidRDefault="009B7AFD">
      <w:pPr>
        <w:pStyle w:val="ListParagraph"/>
        <w:numPr>
          <w:ilvl w:val="1"/>
          <w:numId w:val="126"/>
        </w:numPr>
        <w:tabs>
          <w:tab w:val="left" w:pos="1801"/>
          <w:tab w:val="left" w:pos="1802"/>
        </w:tabs>
        <w:spacing w:before="57" w:line="259" w:lineRule="exact"/>
        <w:rPr>
          <w:sz w:val="20"/>
        </w:rPr>
      </w:pPr>
      <w:r>
        <w:rPr>
          <w:color w:val="231F20"/>
          <w:sz w:val="20"/>
        </w:rPr>
        <w:t>As</w:t>
      </w:r>
      <w:r>
        <w:rPr>
          <w:color w:val="231F20"/>
          <w:spacing w:val="-6"/>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6"/>
          <w:sz w:val="20"/>
        </w:rPr>
        <w:t xml:space="preserve"> </w:t>
      </w:r>
      <w:r>
        <w:rPr>
          <w:color w:val="231F20"/>
          <w:spacing w:val="-3"/>
          <w:sz w:val="20"/>
        </w:rPr>
        <w:t>told</w:t>
      </w:r>
      <w:r>
        <w:rPr>
          <w:color w:val="231F20"/>
          <w:spacing w:val="-6"/>
          <w:sz w:val="20"/>
        </w:rPr>
        <w:t xml:space="preserve"> </w:t>
      </w:r>
      <w:r>
        <w:rPr>
          <w:color w:val="231F20"/>
          <w:sz w:val="20"/>
        </w:rPr>
        <w:t>us,</w:t>
      </w:r>
      <w:r>
        <w:rPr>
          <w:color w:val="231F20"/>
          <w:spacing w:val="-6"/>
          <w:sz w:val="20"/>
        </w:rPr>
        <w:t xml:space="preserve"> </w:t>
      </w:r>
      <w:r>
        <w:rPr>
          <w:color w:val="231F20"/>
          <w:sz w:val="20"/>
        </w:rPr>
        <w:t>the</w:t>
      </w:r>
      <w:r>
        <w:rPr>
          <w:color w:val="231F20"/>
          <w:spacing w:val="-5"/>
          <w:sz w:val="20"/>
        </w:rPr>
        <w:t xml:space="preserve"> </w:t>
      </w:r>
      <w:r>
        <w:rPr>
          <w:color w:val="231F20"/>
          <w:spacing w:val="-3"/>
          <w:sz w:val="20"/>
        </w:rPr>
        <w:t>role</w:t>
      </w:r>
      <w:r>
        <w:rPr>
          <w:color w:val="231F20"/>
          <w:spacing w:val="-6"/>
          <w:sz w:val="20"/>
        </w:rPr>
        <w:t xml:space="preserve"> </w:t>
      </w:r>
      <w:r>
        <w:rPr>
          <w:color w:val="231F20"/>
          <w:sz w:val="20"/>
        </w:rPr>
        <w:t>might</w:t>
      </w:r>
      <w:r>
        <w:rPr>
          <w:color w:val="231F20"/>
          <w:spacing w:val="-6"/>
          <w:sz w:val="20"/>
        </w:rPr>
        <w:t xml:space="preserve"> </w:t>
      </w:r>
      <w:r>
        <w:rPr>
          <w:color w:val="231F20"/>
          <w:sz w:val="20"/>
        </w:rPr>
        <w:t>include</w:t>
      </w:r>
      <w:r>
        <w:rPr>
          <w:color w:val="231F20"/>
          <w:spacing w:val="-6"/>
          <w:sz w:val="20"/>
        </w:rPr>
        <w:t xml:space="preserve"> </w:t>
      </w:r>
      <w:r>
        <w:rPr>
          <w:color w:val="231F20"/>
          <w:sz w:val="20"/>
        </w:rPr>
        <w:t>checking</w:t>
      </w:r>
      <w:r>
        <w:rPr>
          <w:color w:val="231F20"/>
          <w:spacing w:val="-6"/>
          <w:sz w:val="20"/>
        </w:rPr>
        <w:t xml:space="preserve"> </w:t>
      </w:r>
      <w:r>
        <w:rPr>
          <w:color w:val="231F20"/>
          <w:sz w:val="20"/>
        </w:rPr>
        <w:t>in</w:t>
      </w:r>
      <w:r>
        <w:rPr>
          <w:color w:val="231F20"/>
          <w:spacing w:val="-5"/>
          <w:sz w:val="20"/>
        </w:rPr>
        <w:t xml:space="preserve"> </w:t>
      </w:r>
      <w:r>
        <w:rPr>
          <w:color w:val="231F20"/>
          <w:sz w:val="20"/>
        </w:rPr>
        <w:t>with</w:t>
      </w:r>
      <w:r>
        <w:rPr>
          <w:color w:val="231F20"/>
          <w:spacing w:val="-6"/>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6"/>
          <w:sz w:val="20"/>
        </w:rPr>
        <w:t xml:space="preserve"> </w:t>
      </w:r>
      <w:r>
        <w:rPr>
          <w:color w:val="231F20"/>
          <w:sz w:val="20"/>
        </w:rPr>
        <w:t>on</w:t>
      </w:r>
    </w:p>
    <w:p w14:paraId="442A3E59" w14:textId="77777777" w:rsidR="00894070" w:rsidRDefault="009B7AFD">
      <w:pPr>
        <w:pStyle w:val="BodyText"/>
        <w:spacing w:line="259" w:lineRule="exact"/>
        <w:ind w:left="1801"/>
        <w:rPr>
          <w:sz w:val="11"/>
        </w:rPr>
      </w:pPr>
      <w:r>
        <w:rPr>
          <w:color w:val="231F20"/>
        </w:rPr>
        <w:t>the phone regularly or attending appointments with them.</w:t>
      </w:r>
      <w:r>
        <w:rPr>
          <w:color w:val="231F20"/>
          <w:position w:val="7"/>
          <w:sz w:val="11"/>
        </w:rPr>
        <w:t>144</w:t>
      </w:r>
    </w:p>
    <w:p w14:paraId="23A6BFC4" w14:textId="77777777" w:rsidR="00894070" w:rsidRDefault="00894070">
      <w:pPr>
        <w:pStyle w:val="BodyText"/>
        <w:spacing w:before="2"/>
        <w:rPr>
          <w:sz w:val="15"/>
        </w:rPr>
      </w:pPr>
    </w:p>
    <w:p w14:paraId="4F17771A" w14:textId="77777777" w:rsidR="00894070" w:rsidRDefault="009B7AFD">
      <w:pPr>
        <w:pStyle w:val="Heading8"/>
        <w:ind w:left="1007"/>
      </w:pPr>
      <w:r>
        <w:rPr>
          <w:color w:val="231F20"/>
        </w:rPr>
        <w:t>Under-served groups should be a focus</w:t>
      </w:r>
    </w:p>
    <w:p w14:paraId="5241036D" w14:textId="77777777" w:rsidR="00894070" w:rsidRDefault="009B7AFD">
      <w:pPr>
        <w:pStyle w:val="ListParagraph"/>
        <w:numPr>
          <w:ilvl w:val="1"/>
          <w:numId w:val="126"/>
        </w:numPr>
        <w:tabs>
          <w:tab w:val="left" w:pos="1801"/>
          <w:tab w:val="left" w:pos="1802"/>
        </w:tabs>
        <w:spacing w:before="127" w:line="206" w:lineRule="auto"/>
        <w:ind w:right="1191"/>
        <w:rPr>
          <w:sz w:val="20"/>
        </w:rPr>
      </w:pPr>
      <w:r>
        <w:rPr>
          <w:color w:val="231F20"/>
          <w:sz w:val="20"/>
        </w:rPr>
        <w:t xml:space="preserve">As </w:t>
      </w:r>
      <w:r>
        <w:rPr>
          <w:color w:val="231F20"/>
          <w:spacing w:val="-3"/>
          <w:sz w:val="20"/>
        </w:rPr>
        <w:t xml:space="preserve">we </w:t>
      </w:r>
      <w:r>
        <w:rPr>
          <w:color w:val="231F20"/>
          <w:sz w:val="20"/>
        </w:rPr>
        <w:t xml:space="preserve">recommended in the </w:t>
      </w:r>
      <w:r>
        <w:rPr>
          <w:color w:val="231F20"/>
          <w:spacing w:val="-3"/>
          <w:sz w:val="20"/>
        </w:rPr>
        <w:t xml:space="preserve">sexual </w:t>
      </w:r>
      <w:r>
        <w:rPr>
          <w:color w:val="231F20"/>
          <w:sz w:val="20"/>
        </w:rPr>
        <w:t xml:space="preserve">offences report, the design of the model should prioritise those who </w:t>
      </w:r>
      <w:r>
        <w:rPr>
          <w:color w:val="231F20"/>
          <w:spacing w:val="-3"/>
          <w:sz w:val="20"/>
        </w:rPr>
        <w:t xml:space="preserve">are under-served by </w:t>
      </w:r>
      <w:r>
        <w:rPr>
          <w:color w:val="231F20"/>
          <w:sz w:val="20"/>
        </w:rPr>
        <w:t>existing services and the justice system.</w:t>
      </w:r>
      <w:r>
        <w:rPr>
          <w:color w:val="231F20"/>
          <w:position w:val="7"/>
          <w:sz w:val="11"/>
        </w:rPr>
        <w:t>145</w:t>
      </w:r>
      <w:r>
        <w:rPr>
          <w:color w:val="231F20"/>
          <w:sz w:val="11"/>
        </w:rPr>
        <w:t xml:space="preserve"> </w:t>
      </w:r>
      <w:r>
        <w:rPr>
          <w:color w:val="231F20"/>
          <w:sz w:val="20"/>
        </w:rPr>
        <w:t>These</w:t>
      </w:r>
      <w:r>
        <w:rPr>
          <w:color w:val="231F20"/>
          <w:spacing w:val="-11"/>
          <w:sz w:val="20"/>
        </w:rPr>
        <w:t xml:space="preserve"> </w:t>
      </w:r>
      <w:r>
        <w:rPr>
          <w:color w:val="231F20"/>
          <w:sz w:val="20"/>
        </w:rPr>
        <w:t>people</w:t>
      </w:r>
      <w:r>
        <w:rPr>
          <w:color w:val="231F20"/>
          <w:spacing w:val="-11"/>
          <w:sz w:val="20"/>
        </w:rPr>
        <w:t xml:space="preserve"> </w:t>
      </w:r>
      <w:r>
        <w:rPr>
          <w:color w:val="231F20"/>
          <w:sz w:val="20"/>
        </w:rPr>
        <w:t>often</w:t>
      </w:r>
      <w:r>
        <w:rPr>
          <w:color w:val="231F20"/>
          <w:spacing w:val="-11"/>
          <w:sz w:val="20"/>
        </w:rPr>
        <w:t xml:space="preserve"> </w:t>
      </w:r>
      <w:r>
        <w:rPr>
          <w:color w:val="231F20"/>
          <w:sz w:val="20"/>
        </w:rPr>
        <w:t>face</w:t>
      </w:r>
      <w:r>
        <w:rPr>
          <w:color w:val="231F20"/>
          <w:spacing w:val="-11"/>
          <w:sz w:val="20"/>
        </w:rPr>
        <w:t xml:space="preserve"> </w:t>
      </w:r>
      <w:r>
        <w:rPr>
          <w:color w:val="231F20"/>
          <w:sz w:val="20"/>
        </w:rPr>
        <w:t>the</w:t>
      </w:r>
      <w:r>
        <w:rPr>
          <w:color w:val="231F20"/>
          <w:spacing w:val="-10"/>
          <w:sz w:val="20"/>
        </w:rPr>
        <w:t xml:space="preserve"> </w:t>
      </w:r>
      <w:r>
        <w:rPr>
          <w:color w:val="231F20"/>
          <w:sz w:val="20"/>
        </w:rPr>
        <w:t>most</w:t>
      </w:r>
      <w:r>
        <w:rPr>
          <w:color w:val="231F20"/>
          <w:spacing w:val="-11"/>
          <w:sz w:val="20"/>
        </w:rPr>
        <w:t xml:space="preserve"> </w:t>
      </w:r>
      <w:r>
        <w:rPr>
          <w:color w:val="231F20"/>
          <w:spacing w:val="-3"/>
          <w:sz w:val="20"/>
        </w:rPr>
        <w:t>complex</w:t>
      </w:r>
      <w:r>
        <w:rPr>
          <w:color w:val="231F20"/>
          <w:spacing w:val="-11"/>
          <w:sz w:val="20"/>
        </w:rPr>
        <w:t xml:space="preserve"> </w:t>
      </w:r>
      <w:r>
        <w:rPr>
          <w:color w:val="231F20"/>
          <w:sz w:val="20"/>
        </w:rPr>
        <w:t>interactions</w:t>
      </w:r>
      <w:r>
        <w:rPr>
          <w:color w:val="231F20"/>
          <w:spacing w:val="-11"/>
          <w:sz w:val="20"/>
        </w:rPr>
        <w:t xml:space="preserve"> </w:t>
      </w:r>
      <w:r>
        <w:rPr>
          <w:color w:val="231F20"/>
          <w:sz w:val="20"/>
        </w:rPr>
        <w:t>between</w:t>
      </w:r>
      <w:r>
        <w:rPr>
          <w:color w:val="231F20"/>
          <w:spacing w:val="-11"/>
          <w:sz w:val="20"/>
        </w:rPr>
        <w:t xml:space="preserve"> </w:t>
      </w:r>
      <w:r>
        <w:rPr>
          <w:color w:val="231F20"/>
          <w:sz w:val="20"/>
        </w:rPr>
        <w:t>services</w:t>
      </w:r>
      <w:r>
        <w:rPr>
          <w:color w:val="231F20"/>
          <w:spacing w:val="-10"/>
          <w:sz w:val="20"/>
        </w:rPr>
        <w:t xml:space="preserve"> </w:t>
      </w:r>
      <w:r>
        <w:rPr>
          <w:color w:val="231F20"/>
          <w:sz w:val="20"/>
        </w:rPr>
        <w:t>and</w:t>
      </w:r>
      <w:r>
        <w:rPr>
          <w:color w:val="231F20"/>
          <w:spacing w:val="-11"/>
          <w:sz w:val="20"/>
        </w:rPr>
        <w:t xml:space="preserve"> </w:t>
      </w:r>
      <w:r>
        <w:rPr>
          <w:color w:val="231F20"/>
          <w:sz w:val="20"/>
        </w:rPr>
        <w:t xml:space="preserve">systems and </w:t>
      </w:r>
      <w:r>
        <w:rPr>
          <w:color w:val="231F20"/>
          <w:spacing w:val="-3"/>
          <w:sz w:val="20"/>
        </w:rPr>
        <w:t xml:space="preserve">therefore </w:t>
      </w:r>
      <w:r>
        <w:rPr>
          <w:color w:val="231F20"/>
          <w:sz w:val="20"/>
        </w:rPr>
        <w:t xml:space="preserve">need more support in </w:t>
      </w:r>
      <w:r>
        <w:rPr>
          <w:color w:val="231F20"/>
          <w:spacing w:val="-3"/>
          <w:sz w:val="20"/>
        </w:rPr>
        <w:t>navigating</w:t>
      </w:r>
      <w:r>
        <w:rPr>
          <w:color w:val="231F20"/>
          <w:spacing w:val="-26"/>
          <w:sz w:val="20"/>
        </w:rPr>
        <w:t xml:space="preserve"> </w:t>
      </w:r>
      <w:r>
        <w:rPr>
          <w:color w:val="231F20"/>
          <w:sz w:val="20"/>
        </w:rPr>
        <w:t>them.</w:t>
      </w:r>
    </w:p>
    <w:p w14:paraId="232D446A" w14:textId="77777777" w:rsidR="00894070" w:rsidRDefault="009B7AFD">
      <w:pPr>
        <w:pStyle w:val="ListParagraph"/>
        <w:numPr>
          <w:ilvl w:val="1"/>
          <w:numId w:val="126"/>
        </w:numPr>
        <w:tabs>
          <w:tab w:val="left" w:pos="1801"/>
          <w:tab w:val="left" w:pos="1802"/>
        </w:tabs>
        <w:spacing w:before="125" w:line="206" w:lineRule="auto"/>
        <w:ind w:right="1165"/>
        <w:rPr>
          <w:sz w:val="20"/>
        </w:rPr>
      </w:pPr>
      <w:r>
        <w:rPr>
          <w:color w:val="231F20"/>
          <w:sz w:val="20"/>
        </w:rPr>
        <w:t xml:space="preserve">In stalking, </w:t>
      </w:r>
      <w:r>
        <w:rPr>
          <w:color w:val="231F20"/>
          <w:spacing w:val="-3"/>
          <w:sz w:val="20"/>
        </w:rPr>
        <w:t xml:space="preserve">we </w:t>
      </w:r>
      <w:r>
        <w:rPr>
          <w:color w:val="231F20"/>
          <w:spacing w:val="-4"/>
          <w:sz w:val="20"/>
        </w:rPr>
        <w:t xml:space="preserve">have </w:t>
      </w:r>
      <w:r>
        <w:rPr>
          <w:color w:val="231F20"/>
          <w:sz w:val="20"/>
        </w:rPr>
        <w:t>identified people in rural and regional Victoria,</w:t>
      </w:r>
      <w:r>
        <w:rPr>
          <w:color w:val="231F20"/>
          <w:position w:val="7"/>
          <w:sz w:val="11"/>
        </w:rPr>
        <w:t xml:space="preserve">146 </w:t>
      </w:r>
      <w:r>
        <w:rPr>
          <w:color w:val="231F20"/>
          <w:spacing w:val="-3"/>
          <w:sz w:val="20"/>
        </w:rPr>
        <w:t xml:space="preserve">children </w:t>
      </w:r>
      <w:r>
        <w:rPr>
          <w:color w:val="231F20"/>
          <w:sz w:val="20"/>
        </w:rPr>
        <w:t>and young</w:t>
      </w:r>
      <w:r>
        <w:rPr>
          <w:color w:val="231F20"/>
          <w:spacing w:val="-20"/>
          <w:sz w:val="20"/>
        </w:rPr>
        <w:t xml:space="preserve"> </w:t>
      </w:r>
      <w:r>
        <w:rPr>
          <w:color w:val="231F20"/>
          <w:sz w:val="20"/>
        </w:rPr>
        <w:t>people,</w:t>
      </w:r>
      <w:r>
        <w:rPr>
          <w:color w:val="231F20"/>
          <w:position w:val="7"/>
          <w:sz w:val="11"/>
        </w:rPr>
        <w:t>147</w:t>
      </w:r>
      <w:r>
        <w:rPr>
          <w:color w:val="231F20"/>
          <w:spacing w:val="6"/>
          <w:position w:val="7"/>
          <w:sz w:val="11"/>
        </w:rPr>
        <w:t xml:space="preserve"> </w:t>
      </w:r>
      <w:r>
        <w:rPr>
          <w:color w:val="231F20"/>
          <w:spacing w:val="-4"/>
          <w:sz w:val="20"/>
        </w:rPr>
        <w:t>LGBTIQA+</w:t>
      </w:r>
      <w:r>
        <w:rPr>
          <w:color w:val="231F20"/>
          <w:spacing w:val="-19"/>
          <w:sz w:val="20"/>
        </w:rPr>
        <w:t xml:space="preserve"> </w:t>
      </w:r>
      <w:r>
        <w:rPr>
          <w:color w:val="231F20"/>
          <w:sz w:val="20"/>
        </w:rPr>
        <w:t>people,</w:t>
      </w:r>
      <w:r>
        <w:rPr>
          <w:color w:val="231F20"/>
          <w:position w:val="7"/>
          <w:sz w:val="11"/>
        </w:rPr>
        <w:t>148</w:t>
      </w:r>
      <w:r>
        <w:rPr>
          <w:color w:val="231F20"/>
          <w:spacing w:val="6"/>
          <w:position w:val="7"/>
          <w:sz w:val="11"/>
        </w:rPr>
        <w:t xml:space="preserve"> </w:t>
      </w:r>
      <w:r>
        <w:rPr>
          <w:color w:val="231F20"/>
          <w:sz w:val="20"/>
        </w:rPr>
        <w:t>people</w:t>
      </w:r>
      <w:r>
        <w:rPr>
          <w:color w:val="231F20"/>
          <w:spacing w:val="-19"/>
          <w:sz w:val="20"/>
        </w:rPr>
        <w:t xml:space="preserve"> </w:t>
      </w:r>
      <w:r>
        <w:rPr>
          <w:color w:val="231F20"/>
          <w:sz w:val="20"/>
        </w:rPr>
        <w:t>with</w:t>
      </w:r>
      <w:r>
        <w:rPr>
          <w:color w:val="231F20"/>
          <w:spacing w:val="-19"/>
          <w:sz w:val="20"/>
        </w:rPr>
        <w:t xml:space="preserve"> </w:t>
      </w:r>
      <w:r>
        <w:rPr>
          <w:color w:val="231F20"/>
          <w:sz w:val="20"/>
        </w:rPr>
        <w:t>disabilities,</w:t>
      </w:r>
      <w:r>
        <w:rPr>
          <w:color w:val="231F20"/>
          <w:position w:val="7"/>
          <w:sz w:val="11"/>
        </w:rPr>
        <w:t>149</w:t>
      </w:r>
      <w:r>
        <w:rPr>
          <w:color w:val="231F20"/>
          <w:spacing w:val="6"/>
          <w:position w:val="7"/>
          <w:sz w:val="11"/>
        </w:rPr>
        <w:t xml:space="preserve"> </w:t>
      </w:r>
      <w:r>
        <w:rPr>
          <w:color w:val="231F20"/>
          <w:sz w:val="20"/>
        </w:rPr>
        <w:t>Aboriginal</w:t>
      </w:r>
      <w:r>
        <w:rPr>
          <w:color w:val="231F20"/>
          <w:spacing w:val="-19"/>
          <w:sz w:val="20"/>
        </w:rPr>
        <w:t xml:space="preserve"> </w:t>
      </w:r>
      <w:r>
        <w:rPr>
          <w:color w:val="231F20"/>
          <w:sz w:val="20"/>
        </w:rPr>
        <w:t>people,</w:t>
      </w:r>
      <w:r>
        <w:rPr>
          <w:color w:val="231F20"/>
          <w:position w:val="7"/>
          <w:sz w:val="11"/>
        </w:rPr>
        <w:t>150</w:t>
      </w:r>
      <w:r>
        <w:rPr>
          <w:color w:val="231F20"/>
          <w:spacing w:val="6"/>
          <w:position w:val="7"/>
          <w:sz w:val="11"/>
        </w:rPr>
        <w:t xml:space="preserve"> </w:t>
      </w:r>
      <w:r>
        <w:rPr>
          <w:color w:val="231F20"/>
          <w:sz w:val="20"/>
        </w:rPr>
        <w:t xml:space="preserve">and people </w:t>
      </w:r>
      <w:r>
        <w:rPr>
          <w:color w:val="231F20"/>
          <w:spacing w:val="-3"/>
          <w:sz w:val="20"/>
        </w:rPr>
        <w:t xml:space="preserve">from culturally </w:t>
      </w:r>
      <w:r>
        <w:rPr>
          <w:color w:val="231F20"/>
          <w:sz w:val="20"/>
        </w:rPr>
        <w:t>and linguistically diverse backgrounds</w:t>
      </w:r>
      <w:r>
        <w:rPr>
          <w:color w:val="231F20"/>
          <w:position w:val="7"/>
          <w:sz w:val="11"/>
        </w:rPr>
        <w:t xml:space="preserve">151 </w:t>
      </w:r>
      <w:r>
        <w:rPr>
          <w:color w:val="231F20"/>
          <w:sz w:val="20"/>
        </w:rPr>
        <w:t>as priority</w:t>
      </w:r>
      <w:r>
        <w:rPr>
          <w:color w:val="231F20"/>
          <w:spacing w:val="-34"/>
          <w:sz w:val="20"/>
        </w:rPr>
        <w:t xml:space="preserve"> </w:t>
      </w:r>
      <w:r>
        <w:rPr>
          <w:color w:val="231F20"/>
          <w:sz w:val="20"/>
        </w:rPr>
        <w:t>groups.</w:t>
      </w:r>
    </w:p>
    <w:p w14:paraId="1AA66BDB" w14:textId="77777777" w:rsidR="00894070" w:rsidRDefault="009B7AFD">
      <w:pPr>
        <w:pStyle w:val="ListParagraph"/>
        <w:numPr>
          <w:ilvl w:val="1"/>
          <w:numId w:val="126"/>
        </w:numPr>
        <w:tabs>
          <w:tab w:val="left" w:pos="1801"/>
          <w:tab w:val="left" w:pos="1802"/>
        </w:tabs>
        <w:spacing w:before="124" w:line="206" w:lineRule="auto"/>
        <w:ind w:right="1256"/>
        <w:rPr>
          <w:sz w:val="11"/>
        </w:rPr>
      </w:pPr>
      <w:r>
        <w:rPr>
          <w:color w:val="231F20"/>
          <w:sz w:val="20"/>
        </w:rPr>
        <w:t xml:space="preserve">The Child Witness Service also acts as an independent </w:t>
      </w:r>
      <w:r>
        <w:rPr>
          <w:color w:val="231F20"/>
          <w:spacing w:val="-3"/>
          <w:sz w:val="20"/>
        </w:rPr>
        <w:t xml:space="preserve">advocate for </w:t>
      </w:r>
      <w:r>
        <w:rPr>
          <w:color w:val="231F20"/>
          <w:sz w:val="20"/>
        </w:rPr>
        <w:t xml:space="preserve">the </w:t>
      </w:r>
      <w:r>
        <w:rPr>
          <w:color w:val="231F20"/>
          <w:spacing w:val="-3"/>
          <w:sz w:val="20"/>
        </w:rPr>
        <w:t xml:space="preserve">children’s voices </w:t>
      </w:r>
      <w:r>
        <w:rPr>
          <w:color w:val="231F20"/>
          <w:sz w:val="20"/>
        </w:rPr>
        <w:t xml:space="preserve">and wishes. </w:t>
      </w:r>
      <w:r>
        <w:rPr>
          <w:color w:val="231F20"/>
          <w:spacing w:val="-5"/>
          <w:sz w:val="20"/>
        </w:rPr>
        <w:t xml:space="preserve">However, </w:t>
      </w:r>
      <w:r>
        <w:rPr>
          <w:color w:val="231F20"/>
          <w:sz w:val="20"/>
        </w:rPr>
        <w:t xml:space="preserve">the service does not include support </w:t>
      </w:r>
      <w:r>
        <w:rPr>
          <w:color w:val="231F20"/>
          <w:spacing w:val="-3"/>
          <w:sz w:val="20"/>
        </w:rPr>
        <w:t xml:space="preserve">before </w:t>
      </w:r>
      <w:r>
        <w:rPr>
          <w:color w:val="231F20"/>
          <w:sz w:val="20"/>
        </w:rPr>
        <w:t xml:space="preserve">charges </w:t>
      </w:r>
      <w:r>
        <w:rPr>
          <w:color w:val="231F20"/>
          <w:spacing w:val="-3"/>
          <w:sz w:val="20"/>
        </w:rPr>
        <w:t xml:space="preserve">are </w:t>
      </w:r>
      <w:r>
        <w:rPr>
          <w:color w:val="231F20"/>
          <w:sz w:val="20"/>
        </w:rPr>
        <w:t>laid,</w:t>
      </w:r>
      <w:r>
        <w:rPr>
          <w:color w:val="231F20"/>
          <w:spacing w:val="-7"/>
          <w:sz w:val="20"/>
        </w:rPr>
        <w:t xml:space="preserve"> </w:t>
      </w:r>
      <w:r>
        <w:rPr>
          <w:color w:val="231F20"/>
          <w:sz w:val="20"/>
        </w:rPr>
        <w:t>and</w:t>
      </w:r>
      <w:r>
        <w:rPr>
          <w:color w:val="231F20"/>
          <w:spacing w:val="-7"/>
          <w:sz w:val="20"/>
        </w:rPr>
        <w:t xml:space="preserve"> </w:t>
      </w:r>
      <w:r>
        <w:rPr>
          <w:color w:val="231F20"/>
          <w:sz w:val="20"/>
        </w:rPr>
        <w:t>its</w:t>
      </w:r>
      <w:r>
        <w:rPr>
          <w:color w:val="231F20"/>
          <w:spacing w:val="-6"/>
          <w:sz w:val="20"/>
        </w:rPr>
        <w:t xml:space="preserve"> </w:t>
      </w:r>
      <w:r>
        <w:rPr>
          <w:color w:val="231F20"/>
          <w:sz w:val="20"/>
        </w:rPr>
        <w:t>scope</w:t>
      </w:r>
      <w:r>
        <w:rPr>
          <w:color w:val="231F20"/>
          <w:spacing w:val="-7"/>
          <w:sz w:val="20"/>
        </w:rPr>
        <w:t xml:space="preserve"> </w:t>
      </w:r>
      <w:r>
        <w:rPr>
          <w:color w:val="231F20"/>
          <w:sz w:val="20"/>
        </w:rPr>
        <w:t>of</w:t>
      </w:r>
      <w:r>
        <w:rPr>
          <w:color w:val="231F20"/>
          <w:spacing w:val="-7"/>
          <w:sz w:val="20"/>
        </w:rPr>
        <w:t xml:space="preserve"> </w:t>
      </w:r>
      <w:r>
        <w:rPr>
          <w:color w:val="231F20"/>
          <w:sz w:val="20"/>
        </w:rPr>
        <w:t>advocacy</w:t>
      </w:r>
      <w:r>
        <w:rPr>
          <w:color w:val="231F20"/>
          <w:spacing w:val="-6"/>
          <w:sz w:val="20"/>
        </w:rPr>
        <w:t xml:space="preserve"> </w:t>
      </w:r>
      <w:r>
        <w:rPr>
          <w:color w:val="231F20"/>
          <w:sz w:val="20"/>
        </w:rPr>
        <w:t>is</w:t>
      </w:r>
      <w:r>
        <w:rPr>
          <w:color w:val="231F20"/>
          <w:spacing w:val="-7"/>
          <w:sz w:val="20"/>
        </w:rPr>
        <w:t xml:space="preserve"> </w:t>
      </w:r>
      <w:r>
        <w:rPr>
          <w:color w:val="231F20"/>
          <w:spacing w:val="-3"/>
          <w:sz w:val="20"/>
        </w:rPr>
        <w:t>narrower</w:t>
      </w:r>
      <w:r>
        <w:rPr>
          <w:color w:val="231F20"/>
          <w:spacing w:val="-6"/>
          <w:sz w:val="20"/>
        </w:rPr>
        <w:t xml:space="preserve"> </w:t>
      </w:r>
      <w:r>
        <w:rPr>
          <w:color w:val="231F20"/>
          <w:sz w:val="20"/>
        </w:rPr>
        <w:t>because</w:t>
      </w:r>
      <w:r>
        <w:rPr>
          <w:color w:val="231F20"/>
          <w:spacing w:val="-7"/>
          <w:sz w:val="20"/>
        </w:rPr>
        <w:t xml:space="preserve"> </w:t>
      </w:r>
      <w:r>
        <w:rPr>
          <w:color w:val="231F20"/>
          <w:sz w:val="20"/>
        </w:rPr>
        <w:t>its</w:t>
      </w:r>
      <w:r>
        <w:rPr>
          <w:color w:val="231F20"/>
          <w:spacing w:val="-7"/>
          <w:sz w:val="20"/>
        </w:rPr>
        <w:t xml:space="preserve"> </w:t>
      </w:r>
      <w:r>
        <w:rPr>
          <w:color w:val="231F20"/>
          <w:spacing w:val="-3"/>
          <w:sz w:val="20"/>
        </w:rPr>
        <w:t>focus</w:t>
      </w:r>
      <w:r>
        <w:rPr>
          <w:color w:val="231F20"/>
          <w:spacing w:val="-6"/>
          <w:sz w:val="20"/>
        </w:rPr>
        <w:t xml:space="preserve"> </w:t>
      </w:r>
      <w:r>
        <w:rPr>
          <w:color w:val="231F20"/>
          <w:sz w:val="20"/>
        </w:rPr>
        <w:t>is</w:t>
      </w:r>
      <w:r>
        <w:rPr>
          <w:color w:val="231F20"/>
          <w:spacing w:val="-7"/>
          <w:sz w:val="20"/>
        </w:rPr>
        <w:t xml:space="preserve"> </w:t>
      </w:r>
      <w:r>
        <w:rPr>
          <w:color w:val="231F20"/>
          <w:sz w:val="20"/>
        </w:rPr>
        <w:t>on</w:t>
      </w:r>
      <w:r>
        <w:rPr>
          <w:color w:val="231F20"/>
          <w:spacing w:val="-6"/>
          <w:sz w:val="20"/>
        </w:rPr>
        <w:t xml:space="preserve"> </w:t>
      </w:r>
      <w:r>
        <w:rPr>
          <w:color w:val="231F20"/>
          <w:sz w:val="20"/>
        </w:rPr>
        <w:t>supporting</w:t>
      </w:r>
      <w:r>
        <w:rPr>
          <w:color w:val="231F20"/>
          <w:spacing w:val="-7"/>
          <w:sz w:val="20"/>
        </w:rPr>
        <w:t xml:space="preserve"> </w:t>
      </w:r>
      <w:r>
        <w:rPr>
          <w:color w:val="231F20"/>
          <w:sz w:val="20"/>
        </w:rPr>
        <w:t>a</w:t>
      </w:r>
      <w:r>
        <w:rPr>
          <w:color w:val="231F20"/>
          <w:spacing w:val="-7"/>
          <w:sz w:val="20"/>
        </w:rPr>
        <w:t xml:space="preserve"> </w:t>
      </w:r>
      <w:r>
        <w:rPr>
          <w:color w:val="231F20"/>
          <w:sz w:val="20"/>
        </w:rPr>
        <w:t xml:space="preserve">person to </w:t>
      </w:r>
      <w:r>
        <w:rPr>
          <w:color w:val="231F20"/>
          <w:spacing w:val="-3"/>
          <w:sz w:val="20"/>
        </w:rPr>
        <w:t>give</w:t>
      </w:r>
      <w:r>
        <w:rPr>
          <w:color w:val="231F20"/>
          <w:spacing w:val="-9"/>
          <w:sz w:val="20"/>
        </w:rPr>
        <w:t xml:space="preserve"> </w:t>
      </w:r>
      <w:r>
        <w:rPr>
          <w:color w:val="231F20"/>
          <w:sz w:val="20"/>
        </w:rPr>
        <w:t>evidence.</w:t>
      </w:r>
      <w:r>
        <w:rPr>
          <w:color w:val="231F20"/>
          <w:position w:val="7"/>
          <w:sz w:val="11"/>
        </w:rPr>
        <w:t>152</w:t>
      </w:r>
    </w:p>
    <w:p w14:paraId="7D845FC3" w14:textId="77777777" w:rsidR="00894070" w:rsidRDefault="009B7AFD">
      <w:pPr>
        <w:pStyle w:val="ListParagraph"/>
        <w:numPr>
          <w:ilvl w:val="1"/>
          <w:numId w:val="126"/>
        </w:numPr>
        <w:tabs>
          <w:tab w:val="left" w:pos="1801"/>
          <w:tab w:val="left" w:pos="1802"/>
        </w:tabs>
        <w:spacing w:before="93" w:line="259" w:lineRule="exact"/>
        <w:rPr>
          <w:sz w:val="20"/>
        </w:rPr>
      </w:pPr>
      <w:r>
        <w:rPr>
          <w:color w:val="231F20"/>
          <w:sz w:val="20"/>
        </w:rPr>
        <w:t>The</w:t>
      </w:r>
      <w:r>
        <w:rPr>
          <w:color w:val="231F20"/>
          <w:spacing w:val="-6"/>
          <w:sz w:val="20"/>
        </w:rPr>
        <w:t xml:space="preserve"> </w:t>
      </w:r>
      <w:r>
        <w:rPr>
          <w:color w:val="231F20"/>
          <w:sz w:val="20"/>
        </w:rPr>
        <w:t>model</w:t>
      </w:r>
      <w:r>
        <w:rPr>
          <w:color w:val="231F20"/>
          <w:spacing w:val="-6"/>
          <w:sz w:val="20"/>
        </w:rPr>
        <w:t xml:space="preserve"> </w:t>
      </w:r>
      <w:r>
        <w:rPr>
          <w:color w:val="231F20"/>
          <w:sz w:val="20"/>
        </w:rPr>
        <w:t>should</w:t>
      </w:r>
      <w:r>
        <w:rPr>
          <w:color w:val="231F20"/>
          <w:spacing w:val="-6"/>
          <w:sz w:val="20"/>
        </w:rPr>
        <w:t xml:space="preserve"> </w:t>
      </w:r>
      <w:r>
        <w:rPr>
          <w:color w:val="231F20"/>
          <w:sz w:val="20"/>
        </w:rPr>
        <w:t>be</w:t>
      </w:r>
      <w:r>
        <w:rPr>
          <w:color w:val="231F20"/>
          <w:spacing w:val="-6"/>
          <w:sz w:val="20"/>
        </w:rPr>
        <w:t xml:space="preserve"> </w:t>
      </w:r>
      <w:r>
        <w:rPr>
          <w:color w:val="231F20"/>
          <w:sz w:val="20"/>
        </w:rPr>
        <w:t>built</w:t>
      </w:r>
      <w:r>
        <w:rPr>
          <w:color w:val="231F20"/>
          <w:spacing w:val="-6"/>
          <w:sz w:val="20"/>
        </w:rPr>
        <w:t xml:space="preserve"> </w:t>
      </w:r>
      <w:r>
        <w:rPr>
          <w:color w:val="231F20"/>
          <w:sz w:val="20"/>
        </w:rPr>
        <w:t>with</w:t>
      </w:r>
      <w:r>
        <w:rPr>
          <w:color w:val="231F20"/>
          <w:spacing w:val="-6"/>
          <w:sz w:val="20"/>
        </w:rPr>
        <w:t xml:space="preserve"> </w:t>
      </w:r>
      <w:r>
        <w:rPr>
          <w:color w:val="231F20"/>
          <w:sz w:val="20"/>
        </w:rPr>
        <w:t>diverse</w:t>
      </w:r>
      <w:r>
        <w:rPr>
          <w:color w:val="231F20"/>
          <w:spacing w:val="-6"/>
          <w:sz w:val="20"/>
        </w:rPr>
        <w:t xml:space="preserve"> </w:t>
      </w:r>
      <w:r>
        <w:rPr>
          <w:color w:val="231F20"/>
          <w:sz w:val="20"/>
        </w:rPr>
        <w:t>access</w:t>
      </w:r>
      <w:r>
        <w:rPr>
          <w:color w:val="231F20"/>
          <w:spacing w:val="-6"/>
          <w:sz w:val="20"/>
        </w:rPr>
        <w:t xml:space="preserve"> </w:t>
      </w:r>
      <w:r>
        <w:rPr>
          <w:color w:val="231F20"/>
          <w:sz w:val="20"/>
        </w:rPr>
        <w:t>points</w:t>
      </w:r>
      <w:r>
        <w:rPr>
          <w:color w:val="231F20"/>
          <w:spacing w:val="-6"/>
          <w:sz w:val="20"/>
        </w:rPr>
        <w:t xml:space="preserve"> </w:t>
      </w:r>
      <w:r>
        <w:rPr>
          <w:color w:val="231F20"/>
          <w:sz w:val="20"/>
        </w:rPr>
        <w:t>in</w:t>
      </w:r>
      <w:r>
        <w:rPr>
          <w:color w:val="231F20"/>
          <w:spacing w:val="-6"/>
          <w:sz w:val="20"/>
        </w:rPr>
        <w:t xml:space="preserve"> </w:t>
      </w:r>
      <w:r>
        <w:rPr>
          <w:color w:val="231F20"/>
          <w:sz w:val="20"/>
        </w:rPr>
        <w:t>mind,</w:t>
      </w:r>
      <w:r>
        <w:rPr>
          <w:color w:val="231F20"/>
          <w:spacing w:val="-6"/>
          <w:sz w:val="20"/>
        </w:rPr>
        <w:t xml:space="preserve"> </w:t>
      </w:r>
      <w:r>
        <w:rPr>
          <w:color w:val="231F20"/>
          <w:sz w:val="20"/>
        </w:rPr>
        <w:t>in</w:t>
      </w:r>
      <w:r>
        <w:rPr>
          <w:color w:val="231F20"/>
          <w:spacing w:val="-5"/>
          <w:sz w:val="20"/>
        </w:rPr>
        <w:t xml:space="preserve"> </w:t>
      </w:r>
      <w:r>
        <w:rPr>
          <w:color w:val="231F20"/>
          <w:sz w:val="20"/>
        </w:rPr>
        <w:t>consultation</w:t>
      </w:r>
      <w:r>
        <w:rPr>
          <w:color w:val="231F20"/>
          <w:spacing w:val="-6"/>
          <w:sz w:val="20"/>
        </w:rPr>
        <w:t xml:space="preserve"> </w:t>
      </w:r>
      <w:r>
        <w:rPr>
          <w:color w:val="231F20"/>
          <w:sz w:val="20"/>
        </w:rPr>
        <w:t>with</w:t>
      </w:r>
    </w:p>
    <w:p w14:paraId="5A5AA650" w14:textId="77777777" w:rsidR="00894070" w:rsidRDefault="009B7AFD">
      <w:pPr>
        <w:pStyle w:val="BodyText"/>
        <w:spacing w:line="259" w:lineRule="exact"/>
        <w:ind w:left="1801"/>
      </w:pPr>
      <w:r>
        <w:rPr>
          <w:color w:val="231F20"/>
        </w:rPr>
        <w:t>those communities.</w:t>
      </w:r>
    </w:p>
    <w:p w14:paraId="62AB293F" w14:textId="77777777" w:rsidR="00894070" w:rsidRDefault="00894070">
      <w:pPr>
        <w:pStyle w:val="BodyText"/>
      </w:pPr>
    </w:p>
    <w:p w14:paraId="5B5A3C16" w14:textId="77777777" w:rsidR="00894070" w:rsidRDefault="00894070">
      <w:pPr>
        <w:pStyle w:val="BodyText"/>
      </w:pPr>
    </w:p>
    <w:p w14:paraId="2FC00EE8" w14:textId="77777777" w:rsidR="00894070" w:rsidRDefault="00894070">
      <w:pPr>
        <w:pStyle w:val="BodyText"/>
      </w:pPr>
    </w:p>
    <w:p w14:paraId="760897DF" w14:textId="77777777" w:rsidR="00894070" w:rsidRDefault="00894070">
      <w:pPr>
        <w:pStyle w:val="BodyText"/>
      </w:pPr>
    </w:p>
    <w:p w14:paraId="42B72BB1" w14:textId="77777777" w:rsidR="00894070" w:rsidRDefault="00894070">
      <w:pPr>
        <w:pStyle w:val="BodyText"/>
      </w:pPr>
    </w:p>
    <w:p w14:paraId="0813EB83" w14:textId="77777777" w:rsidR="00894070" w:rsidRDefault="00894070">
      <w:pPr>
        <w:pStyle w:val="BodyText"/>
      </w:pPr>
    </w:p>
    <w:p w14:paraId="7F3EBBA1" w14:textId="77777777" w:rsidR="00894070" w:rsidRDefault="00894070">
      <w:pPr>
        <w:pStyle w:val="BodyText"/>
      </w:pPr>
    </w:p>
    <w:p w14:paraId="24B114CA" w14:textId="77777777" w:rsidR="00894070" w:rsidRDefault="00894070">
      <w:pPr>
        <w:pStyle w:val="BodyText"/>
      </w:pPr>
    </w:p>
    <w:p w14:paraId="38774241" w14:textId="77777777" w:rsidR="00894070" w:rsidRDefault="00894070">
      <w:pPr>
        <w:pStyle w:val="BodyText"/>
      </w:pPr>
    </w:p>
    <w:p w14:paraId="52358C48" w14:textId="77777777" w:rsidR="00894070" w:rsidRDefault="00894070">
      <w:pPr>
        <w:pStyle w:val="BodyText"/>
      </w:pPr>
    </w:p>
    <w:p w14:paraId="6B5389BC" w14:textId="77777777" w:rsidR="00894070" w:rsidRDefault="00894070">
      <w:pPr>
        <w:pStyle w:val="BodyText"/>
      </w:pPr>
    </w:p>
    <w:p w14:paraId="7ED7DA7E" w14:textId="77777777" w:rsidR="00894070" w:rsidRDefault="00894070">
      <w:pPr>
        <w:pStyle w:val="BodyText"/>
      </w:pPr>
    </w:p>
    <w:p w14:paraId="39E614E0" w14:textId="77777777" w:rsidR="00894070" w:rsidRDefault="00894070">
      <w:pPr>
        <w:pStyle w:val="BodyText"/>
      </w:pPr>
    </w:p>
    <w:p w14:paraId="4ABBAE04" w14:textId="77777777" w:rsidR="00894070" w:rsidRDefault="00894070">
      <w:pPr>
        <w:pStyle w:val="BodyText"/>
      </w:pPr>
    </w:p>
    <w:p w14:paraId="1D0FA4B9" w14:textId="77777777" w:rsidR="00894070" w:rsidRDefault="00894070">
      <w:pPr>
        <w:pStyle w:val="BodyText"/>
      </w:pPr>
    </w:p>
    <w:p w14:paraId="7C2F1BCE" w14:textId="77777777" w:rsidR="00894070" w:rsidRDefault="00894070">
      <w:pPr>
        <w:pStyle w:val="BodyText"/>
      </w:pPr>
    </w:p>
    <w:p w14:paraId="364A9C6E" w14:textId="77777777" w:rsidR="00894070" w:rsidRDefault="00894070">
      <w:pPr>
        <w:pStyle w:val="BodyText"/>
      </w:pPr>
    </w:p>
    <w:p w14:paraId="676005B2" w14:textId="77777777" w:rsidR="00894070" w:rsidRDefault="009F6793">
      <w:pPr>
        <w:pStyle w:val="BodyText"/>
        <w:spacing w:before="11"/>
        <w:rPr>
          <w:sz w:val="25"/>
        </w:rPr>
      </w:pPr>
      <w:r>
        <w:pict w14:anchorId="7FCF4AD4">
          <v:line id="_x0000_s1380" style="position:absolute;z-index:251626496;mso-wrap-distance-left:0;mso-wrap-distance-right:0;mso-position-horizontal-relative:page" from="79.35pt,20.35pt" to="515.9pt,20.35pt" strokecolor="#f8cabc" strokeweight="1pt">
            <w10:wrap type="topAndBottom" anchorx="page"/>
          </v:line>
        </w:pict>
      </w:r>
    </w:p>
    <w:p w14:paraId="69C7606B" w14:textId="77777777" w:rsidR="00894070" w:rsidRDefault="009B7AFD">
      <w:pPr>
        <w:pStyle w:val="ListParagraph"/>
        <w:numPr>
          <w:ilvl w:val="0"/>
          <w:numId w:val="107"/>
        </w:numPr>
        <w:tabs>
          <w:tab w:val="left" w:pos="1801"/>
          <w:tab w:val="left" w:pos="1802"/>
        </w:tabs>
        <w:spacing w:before="107"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20CAD226" w14:textId="77777777" w:rsidR="00894070" w:rsidRDefault="009B7AFD">
      <w:pPr>
        <w:pStyle w:val="ListParagraph"/>
        <w:numPr>
          <w:ilvl w:val="0"/>
          <w:numId w:val="107"/>
        </w:numPr>
        <w:tabs>
          <w:tab w:val="left" w:pos="1801"/>
          <w:tab w:val="left" w:pos="1802"/>
        </w:tabs>
        <w:spacing w:line="153" w:lineRule="exact"/>
        <w:rPr>
          <w:sz w:val="13"/>
        </w:rPr>
      </w:pPr>
      <w:r>
        <w:rPr>
          <w:color w:val="231F20"/>
          <w:sz w:val="13"/>
        </w:rPr>
        <w:t>Ibid.</w:t>
      </w:r>
    </w:p>
    <w:p w14:paraId="1FECB726" w14:textId="77777777" w:rsidR="00894070" w:rsidRDefault="009B7AFD">
      <w:pPr>
        <w:pStyle w:val="ListParagraph"/>
        <w:numPr>
          <w:ilvl w:val="0"/>
          <w:numId w:val="107"/>
        </w:numPr>
        <w:tabs>
          <w:tab w:val="left" w:pos="1801"/>
          <w:tab w:val="left" w:pos="1802"/>
        </w:tabs>
        <w:spacing w:line="160"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No 42, September</w:t>
      </w:r>
      <w:r>
        <w:rPr>
          <w:color w:val="231F20"/>
          <w:spacing w:val="26"/>
          <w:sz w:val="13"/>
        </w:rPr>
        <w:t xml:space="preserve"> </w:t>
      </w:r>
      <w:r>
        <w:rPr>
          <w:color w:val="231F20"/>
          <w:sz w:val="13"/>
        </w:rPr>
        <w:t>2021)</w:t>
      </w:r>
    </w:p>
    <w:p w14:paraId="573B013F" w14:textId="77777777" w:rsidR="00894070" w:rsidRDefault="009B7AFD">
      <w:pPr>
        <w:spacing w:line="160" w:lineRule="exact"/>
        <w:ind w:left="1801"/>
        <w:rPr>
          <w:sz w:val="13"/>
        </w:rPr>
      </w:pPr>
      <w:r>
        <w:rPr>
          <w:color w:val="231F20"/>
          <w:sz w:val="13"/>
        </w:rPr>
        <w:t>Recommendation 45.</w:t>
      </w:r>
    </w:p>
    <w:p w14:paraId="0DABC2EE" w14:textId="77777777" w:rsidR="00894070" w:rsidRDefault="009B7AFD">
      <w:pPr>
        <w:pStyle w:val="ListParagraph"/>
        <w:numPr>
          <w:ilvl w:val="0"/>
          <w:numId w:val="107"/>
        </w:numPr>
        <w:tabs>
          <w:tab w:val="left" w:pos="1801"/>
          <w:tab w:val="left" w:pos="1802"/>
        </w:tabs>
        <w:spacing w:before="6" w:line="213" w:lineRule="auto"/>
        <w:ind w:right="1276"/>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w:t>
      </w:r>
      <w:r>
        <w:rPr>
          <w:color w:val="231F20"/>
          <w:spacing w:val="2"/>
          <w:sz w:val="13"/>
        </w:rPr>
        <w:t>[4.14].</w:t>
      </w:r>
    </w:p>
    <w:p w14:paraId="1161CD4D" w14:textId="77777777" w:rsidR="00894070" w:rsidRDefault="009B7AFD">
      <w:pPr>
        <w:pStyle w:val="ListParagraph"/>
        <w:numPr>
          <w:ilvl w:val="0"/>
          <w:numId w:val="107"/>
        </w:numPr>
        <w:tabs>
          <w:tab w:val="left" w:pos="1800"/>
          <w:tab w:val="left" w:pos="1802"/>
        </w:tabs>
        <w:spacing w:line="213" w:lineRule="auto"/>
        <w:ind w:right="1451"/>
        <w:rPr>
          <w:sz w:val="13"/>
        </w:rPr>
      </w:pPr>
      <w:r>
        <w:rPr>
          <w:color w:val="231F20"/>
          <w:sz w:val="13"/>
        </w:rPr>
        <w:t xml:space="preserve">Consultations 16 (Centre for Excellence in Child and Family Welfare: Young People and Stalking), 17 (Small group meeting on </w:t>
      </w:r>
      <w:r>
        <w:rPr>
          <w:color w:val="231F20"/>
          <w:spacing w:val="2"/>
          <w:sz w:val="13"/>
        </w:rPr>
        <w:t xml:space="preserve">stalking </w:t>
      </w:r>
      <w:r>
        <w:rPr>
          <w:color w:val="231F20"/>
          <w:sz w:val="13"/>
        </w:rPr>
        <w:t>and young</w:t>
      </w:r>
      <w:r>
        <w:rPr>
          <w:color w:val="231F20"/>
          <w:spacing w:val="-2"/>
          <w:sz w:val="13"/>
        </w:rPr>
        <w:t xml:space="preserve"> </w:t>
      </w:r>
      <w:r>
        <w:rPr>
          <w:color w:val="231F20"/>
          <w:sz w:val="13"/>
        </w:rPr>
        <w:t>people).</w:t>
      </w:r>
    </w:p>
    <w:p w14:paraId="700DB639" w14:textId="77777777" w:rsidR="00894070" w:rsidRDefault="009B7AFD">
      <w:pPr>
        <w:pStyle w:val="ListParagraph"/>
        <w:numPr>
          <w:ilvl w:val="0"/>
          <w:numId w:val="107"/>
        </w:numPr>
        <w:tabs>
          <w:tab w:val="left" w:pos="1801"/>
          <w:tab w:val="left" w:pos="1802"/>
        </w:tabs>
        <w:spacing w:line="152" w:lineRule="exact"/>
        <w:rPr>
          <w:sz w:val="13"/>
        </w:rPr>
      </w:pPr>
      <w:r>
        <w:rPr>
          <w:color w:val="231F20"/>
          <w:spacing w:val="2"/>
          <w:sz w:val="13"/>
        </w:rPr>
        <w:t xml:space="preserve">Submission </w:t>
      </w:r>
      <w:r>
        <w:rPr>
          <w:color w:val="231F20"/>
          <w:sz w:val="13"/>
        </w:rPr>
        <w:t>39 (Victorian Pride</w:t>
      </w:r>
      <w:r>
        <w:rPr>
          <w:color w:val="231F20"/>
          <w:spacing w:val="-3"/>
          <w:sz w:val="13"/>
        </w:rPr>
        <w:t xml:space="preserve"> </w:t>
      </w:r>
      <w:r>
        <w:rPr>
          <w:color w:val="231F20"/>
          <w:sz w:val="13"/>
        </w:rPr>
        <w:t>Lobby).</w:t>
      </w:r>
    </w:p>
    <w:p w14:paraId="59148BD6" w14:textId="77777777" w:rsidR="00894070" w:rsidRDefault="009B7AFD">
      <w:pPr>
        <w:pStyle w:val="ListParagraph"/>
        <w:numPr>
          <w:ilvl w:val="0"/>
          <w:numId w:val="107"/>
        </w:numPr>
        <w:tabs>
          <w:tab w:val="left" w:pos="1801"/>
          <w:tab w:val="left" w:pos="1802"/>
        </w:tabs>
        <w:spacing w:line="160" w:lineRule="exact"/>
        <w:rPr>
          <w:sz w:val="13"/>
        </w:rPr>
      </w:pPr>
      <w:r>
        <w:rPr>
          <w:color w:val="231F20"/>
          <w:sz w:val="13"/>
        </w:rPr>
        <w:t xml:space="preserve">Consultation 22 (Small group meeting on </w:t>
      </w:r>
      <w:r>
        <w:rPr>
          <w:color w:val="231F20"/>
          <w:spacing w:val="2"/>
          <w:sz w:val="13"/>
        </w:rPr>
        <w:t xml:space="preserve">stalking </w:t>
      </w:r>
      <w:r>
        <w:rPr>
          <w:color w:val="231F20"/>
          <w:sz w:val="13"/>
        </w:rPr>
        <w:t>and people with</w:t>
      </w:r>
      <w:r>
        <w:rPr>
          <w:color w:val="231F20"/>
          <w:spacing w:val="5"/>
          <w:sz w:val="13"/>
        </w:rPr>
        <w:t xml:space="preserve"> </w:t>
      </w:r>
      <w:r>
        <w:rPr>
          <w:color w:val="231F20"/>
          <w:sz w:val="13"/>
        </w:rPr>
        <w:t>disabilities).</w:t>
      </w:r>
    </w:p>
    <w:p w14:paraId="04457693" w14:textId="77777777" w:rsidR="00894070" w:rsidRDefault="009B7AFD">
      <w:pPr>
        <w:pStyle w:val="ListParagraph"/>
        <w:numPr>
          <w:ilvl w:val="0"/>
          <w:numId w:val="107"/>
        </w:numPr>
        <w:tabs>
          <w:tab w:val="left" w:pos="1800"/>
          <w:tab w:val="left" w:pos="1802"/>
        </w:tabs>
        <w:spacing w:line="160" w:lineRule="exact"/>
        <w:rPr>
          <w:sz w:val="13"/>
        </w:rPr>
      </w:pPr>
      <w:r>
        <w:rPr>
          <w:color w:val="231F20"/>
          <w:spacing w:val="2"/>
          <w:sz w:val="13"/>
        </w:rPr>
        <w:t xml:space="preserve">Submission </w:t>
      </w:r>
      <w:r>
        <w:rPr>
          <w:color w:val="231F20"/>
          <w:sz w:val="13"/>
        </w:rPr>
        <w:t>41</w:t>
      </w:r>
      <w:r>
        <w:rPr>
          <w:color w:val="231F20"/>
          <w:spacing w:val="-3"/>
          <w:sz w:val="13"/>
        </w:rPr>
        <w:t xml:space="preserve"> </w:t>
      </w:r>
      <w:r>
        <w:rPr>
          <w:color w:val="231F20"/>
          <w:sz w:val="13"/>
        </w:rPr>
        <w:t>(Djirra).</w:t>
      </w:r>
    </w:p>
    <w:p w14:paraId="77E2931B" w14:textId="77777777" w:rsidR="00894070" w:rsidRDefault="009B7AFD">
      <w:pPr>
        <w:pStyle w:val="ListParagraph"/>
        <w:numPr>
          <w:ilvl w:val="0"/>
          <w:numId w:val="107"/>
        </w:numPr>
        <w:tabs>
          <w:tab w:val="left" w:pos="1800"/>
          <w:tab w:val="left" w:pos="1802"/>
        </w:tabs>
        <w:spacing w:line="160" w:lineRule="exact"/>
        <w:rPr>
          <w:sz w:val="13"/>
        </w:rPr>
      </w:pPr>
      <w:r>
        <w:rPr>
          <w:color w:val="231F20"/>
          <w:sz w:val="13"/>
        </w:rPr>
        <w:t>Consultation 31 (Roundtable with multicultural and multifaith community</w:t>
      </w:r>
      <w:r>
        <w:rPr>
          <w:color w:val="231F20"/>
          <w:spacing w:val="8"/>
          <w:sz w:val="13"/>
        </w:rPr>
        <w:t xml:space="preserve"> </w:t>
      </w:r>
      <w:r>
        <w:rPr>
          <w:color w:val="231F20"/>
          <w:sz w:val="13"/>
        </w:rPr>
        <w:t>organisations).</w:t>
      </w:r>
    </w:p>
    <w:p w14:paraId="4A326B5E" w14:textId="77777777" w:rsidR="00894070" w:rsidRDefault="009F6793">
      <w:pPr>
        <w:pStyle w:val="ListParagraph"/>
        <w:numPr>
          <w:ilvl w:val="0"/>
          <w:numId w:val="107"/>
        </w:numPr>
        <w:tabs>
          <w:tab w:val="left" w:pos="1800"/>
          <w:tab w:val="left" w:pos="1802"/>
        </w:tabs>
        <w:spacing w:before="6" w:line="213" w:lineRule="auto"/>
        <w:ind w:right="1233"/>
        <w:rPr>
          <w:sz w:val="13"/>
        </w:rPr>
      </w:pPr>
      <w:r>
        <w:pict w14:anchorId="4E769B3B">
          <v:shape id="_x0000_s1379" type="#_x0000_t202" style="position:absolute;left:0;text-align:left;margin-left:548.9pt;margin-top:3.7pt;width:13.1pt;height:14.1pt;z-index:251702272;mso-position-horizontal-relative:page" filled="f" stroked="f">
            <v:textbox inset="0,0,0,0">
              <w:txbxContent>
                <w:p w14:paraId="58D8234C" w14:textId="77777777" w:rsidR="00894070" w:rsidRDefault="009B7AFD">
                  <w:pPr>
                    <w:spacing w:line="282" w:lineRule="exact"/>
                    <w:rPr>
                      <w:b/>
                      <w:sz w:val="24"/>
                    </w:rPr>
                  </w:pPr>
                  <w:r>
                    <w:rPr>
                      <w:b/>
                      <w:color w:val="EA5B50"/>
                      <w:spacing w:val="-7"/>
                      <w:sz w:val="24"/>
                    </w:rPr>
                    <w:t>93</w:t>
                  </w:r>
                </w:p>
              </w:txbxContent>
            </v:textbox>
            <w10:wrap anchorx="page"/>
          </v:shape>
        </w:pict>
      </w:r>
      <w:r w:rsidR="009B7AFD">
        <w:rPr>
          <w:color w:val="231F20"/>
          <w:sz w:val="13"/>
        </w:rPr>
        <w:t xml:space="preserve">‘Child Witness Service’, </w:t>
      </w:r>
      <w:r w:rsidR="009B7AFD">
        <w:rPr>
          <w:i/>
          <w:color w:val="231F20"/>
          <w:sz w:val="13"/>
        </w:rPr>
        <w:t xml:space="preserve">Victims of Crime </w:t>
      </w:r>
      <w:r w:rsidR="009B7AFD">
        <w:rPr>
          <w:color w:val="231F20"/>
          <w:sz w:val="13"/>
        </w:rPr>
        <w:t>(Web Page, 10 June 2021</w:t>
      </w:r>
      <w:hyperlink r:id="rId151">
        <w:r w:rsidR="009B7AFD">
          <w:rPr>
            <w:color w:val="231F20"/>
            <w:sz w:val="13"/>
          </w:rPr>
          <w:t>) &lt;http://www.victimsofcrime.vic.gov.au/going-to-court/child-</w:t>
        </w:r>
      </w:hyperlink>
      <w:hyperlink r:id="rId152">
        <w:r w:rsidR="009B7AFD">
          <w:rPr>
            <w:color w:val="231F20"/>
            <w:sz w:val="13"/>
          </w:rPr>
          <w:t xml:space="preserve"> witness-service</w:t>
        </w:r>
      </w:hyperlink>
      <w:r w:rsidR="009B7AFD">
        <w:rPr>
          <w:color w:val="231F20"/>
          <w:sz w:val="13"/>
        </w:rPr>
        <w:t>&gt;.</w:t>
      </w:r>
    </w:p>
    <w:p w14:paraId="0B4DD908" w14:textId="77777777" w:rsidR="00894070" w:rsidRDefault="00894070">
      <w:pPr>
        <w:spacing w:line="213" w:lineRule="auto"/>
        <w:rPr>
          <w:sz w:val="13"/>
        </w:rPr>
        <w:sectPr w:rsidR="00894070">
          <w:pgSz w:w="11910" w:h="16840"/>
          <w:pgMar w:top="840" w:right="420" w:bottom="280" w:left="580" w:header="0" w:footer="0" w:gutter="0"/>
          <w:cols w:space="720"/>
        </w:sectPr>
      </w:pPr>
    </w:p>
    <w:p w14:paraId="448BC041" w14:textId="77777777" w:rsidR="00894070" w:rsidRDefault="00894070">
      <w:pPr>
        <w:pStyle w:val="BodyText"/>
      </w:pPr>
    </w:p>
    <w:p w14:paraId="405B47DE" w14:textId="77777777" w:rsidR="00894070" w:rsidRDefault="00894070">
      <w:pPr>
        <w:pStyle w:val="BodyText"/>
      </w:pPr>
    </w:p>
    <w:p w14:paraId="08E0E9B7" w14:textId="77777777" w:rsidR="00894070" w:rsidRDefault="00894070">
      <w:pPr>
        <w:pStyle w:val="BodyText"/>
      </w:pPr>
    </w:p>
    <w:p w14:paraId="3772D1B2" w14:textId="77777777" w:rsidR="00894070" w:rsidRDefault="00894070">
      <w:pPr>
        <w:pStyle w:val="BodyText"/>
      </w:pPr>
    </w:p>
    <w:p w14:paraId="4AE366B1" w14:textId="77777777" w:rsidR="00894070" w:rsidRDefault="009F6793">
      <w:pPr>
        <w:pStyle w:val="Heading5"/>
        <w:spacing w:before="171"/>
      </w:pPr>
      <w:r>
        <w:pict w14:anchorId="372DF5C9">
          <v:group id="_x0000_s1376" style="position:absolute;left:0;text-align:left;margin-left:62.35pt;margin-top:.65pt;width:479.1pt;height:342.95pt;z-index:-251496448;mso-position-horizontal-relative:page" coordorigin="1247,13" coordsize="9582,6859">
            <v:rect id="_x0000_s1378" style="position:absolute;left:1587;top:12;width:8731;height:6859" fillcolor="#fee7de" stroked="f"/>
            <v:line id="_x0000_s1377" style="position:absolute" from="1247,820" to="10828,820" strokecolor="white" strokeweight="2.5pt"/>
            <w10:wrap anchorx="page"/>
          </v:group>
        </w:pict>
      </w:r>
      <w:r w:rsidR="009B7AFD">
        <w:rPr>
          <w:color w:val="EA5B50"/>
        </w:rPr>
        <w:t>Recommendation</w:t>
      </w:r>
    </w:p>
    <w:p w14:paraId="10E763A7" w14:textId="77777777" w:rsidR="00894070" w:rsidRDefault="00894070">
      <w:pPr>
        <w:pStyle w:val="BodyText"/>
        <w:spacing w:before="1"/>
        <w:rPr>
          <w:rFonts w:ascii="Raleway ExtraBold"/>
          <w:b/>
          <w:sz w:val="31"/>
        </w:rPr>
      </w:pPr>
    </w:p>
    <w:p w14:paraId="17E6BEDC" w14:textId="77777777" w:rsidR="00894070" w:rsidRDefault="009B7AFD">
      <w:pPr>
        <w:pStyle w:val="ListParagraph"/>
        <w:numPr>
          <w:ilvl w:val="0"/>
          <w:numId w:val="127"/>
        </w:numPr>
        <w:tabs>
          <w:tab w:val="left" w:pos="1801"/>
          <w:tab w:val="left" w:pos="1802"/>
          <w:tab w:val="left" w:pos="2368"/>
        </w:tabs>
        <w:spacing w:line="247" w:lineRule="auto"/>
        <w:ind w:left="2368" w:right="1471" w:hanging="1134"/>
        <w:jc w:val="left"/>
        <w:rPr>
          <w:rFonts w:ascii="Trebuchet MS"/>
          <w:color w:val="231F20"/>
          <w:sz w:val="20"/>
        </w:rPr>
      </w:pPr>
      <w:r>
        <w:rPr>
          <w:rFonts w:ascii="Trebuchet MS"/>
          <w:color w:val="231F20"/>
          <w:w w:val="105"/>
          <w:sz w:val="20"/>
        </w:rPr>
        <w:t>a.</w:t>
      </w:r>
      <w:r>
        <w:rPr>
          <w:rFonts w:ascii="Trebuchet MS"/>
          <w:color w:val="231F20"/>
          <w:w w:val="105"/>
          <w:sz w:val="20"/>
        </w:rPr>
        <w:tab/>
        <w:t xml:space="preserve">The Victorian </w:t>
      </w:r>
      <w:r>
        <w:rPr>
          <w:rFonts w:ascii="Trebuchet MS"/>
          <w:color w:val="231F20"/>
          <w:spacing w:val="-3"/>
          <w:w w:val="105"/>
          <w:sz w:val="20"/>
        </w:rPr>
        <w:t xml:space="preserve">Government </w:t>
      </w:r>
      <w:r>
        <w:rPr>
          <w:rFonts w:ascii="Trebuchet MS"/>
          <w:color w:val="231F20"/>
          <w:w w:val="105"/>
          <w:sz w:val="20"/>
        </w:rPr>
        <w:t>should consult on and co-design a model of victim</w:t>
      </w:r>
      <w:r>
        <w:rPr>
          <w:rFonts w:ascii="Trebuchet MS"/>
          <w:color w:val="231F20"/>
          <w:spacing w:val="-12"/>
          <w:w w:val="105"/>
          <w:sz w:val="20"/>
        </w:rPr>
        <w:t xml:space="preserve"> </w:t>
      </w:r>
      <w:r>
        <w:rPr>
          <w:rFonts w:ascii="Trebuchet MS"/>
          <w:color w:val="231F20"/>
          <w:w w:val="105"/>
          <w:sz w:val="20"/>
        </w:rPr>
        <w:t>support</w:t>
      </w:r>
      <w:r>
        <w:rPr>
          <w:rFonts w:ascii="Trebuchet MS"/>
          <w:color w:val="231F20"/>
          <w:spacing w:val="-12"/>
          <w:w w:val="105"/>
          <w:sz w:val="20"/>
        </w:rPr>
        <w:t xml:space="preserve"> </w:t>
      </w:r>
      <w:r>
        <w:rPr>
          <w:rFonts w:ascii="Trebuchet MS"/>
          <w:color w:val="231F20"/>
          <w:w w:val="105"/>
          <w:sz w:val="20"/>
        </w:rPr>
        <w:t>that</w:t>
      </w:r>
      <w:r>
        <w:rPr>
          <w:rFonts w:ascii="Trebuchet MS"/>
          <w:color w:val="231F20"/>
          <w:spacing w:val="-11"/>
          <w:w w:val="105"/>
          <w:sz w:val="20"/>
        </w:rPr>
        <w:t xml:space="preserve"> </w:t>
      </w:r>
      <w:r>
        <w:rPr>
          <w:rFonts w:ascii="Trebuchet MS"/>
          <w:color w:val="231F20"/>
          <w:w w:val="105"/>
          <w:sz w:val="20"/>
        </w:rPr>
        <w:t>uses</w:t>
      </w:r>
      <w:r>
        <w:rPr>
          <w:rFonts w:ascii="Trebuchet MS"/>
          <w:color w:val="231F20"/>
          <w:spacing w:val="-12"/>
          <w:w w:val="105"/>
          <w:sz w:val="20"/>
        </w:rPr>
        <w:t xml:space="preserve"> </w:t>
      </w:r>
      <w:r>
        <w:rPr>
          <w:rFonts w:ascii="Trebuchet MS"/>
          <w:color w:val="231F20"/>
          <w:spacing w:val="-3"/>
          <w:w w:val="105"/>
          <w:sz w:val="20"/>
        </w:rPr>
        <w:t>advocates</w:t>
      </w:r>
      <w:r>
        <w:rPr>
          <w:rFonts w:ascii="Trebuchet MS"/>
          <w:color w:val="231F20"/>
          <w:spacing w:val="-11"/>
          <w:w w:val="105"/>
          <w:sz w:val="20"/>
        </w:rPr>
        <w:t xml:space="preserve"> </w:t>
      </w:r>
      <w:r>
        <w:rPr>
          <w:rFonts w:ascii="Trebuchet MS"/>
          <w:color w:val="231F20"/>
          <w:w w:val="105"/>
          <w:sz w:val="20"/>
        </w:rPr>
        <w:t>to</w:t>
      </w:r>
      <w:r>
        <w:rPr>
          <w:rFonts w:ascii="Trebuchet MS"/>
          <w:color w:val="231F20"/>
          <w:spacing w:val="-12"/>
          <w:w w:val="105"/>
          <w:sz w:val="20"/>
        </w:rPr>
        <w:t xml:space="preserve"> </w:t>
      </w:r>
      <w:r>
        <w:rPr>
          <w:rFonts w:ascii="Trebuchet MS"/>
          <w:color w:val="231F20"/>
          <w:spacing w:val="-3"/>
          <w:w w:val="105"/>
          <w:sz w:val="20"/>
        </w:rPr>
        <w:t>provide</w:t>
      </w:r>
      <w:r>
        <w:rPr>
          <w:rFonts w:ascii="Trebuchet MS"/>
          <w:color w:val="231F20"/>
          <w:spacing w:val="-11"/>
          <w:w w:val="105"/>
          <w:sz w:val="20"/>
        </w:rPr>
        <w:t xml:space="preserve"> </w:t>
      </w:r>
      <w:r>
        <w:rPr>
          <w:rFonts w:ascii="Trebuchet MS"/>
          <w:color w:val="231F20"/>
          <w:w w:val="105"/>
          <w:sz w:val="20"/>
        </w:rPr>
        <w:t>continuous</w:t>
      </w:r>
      <w:r>
        <w:rPr>
          <w:rFonts w:ascii="Trebuchet MS"/>
          <w:color w:val="231F20"/>
          <w:spacing w:val="-12"/>
          <w:w w:val="105"/>
          <w:sz w:val="20"/>
        </w:rPr>
        <w:t xml:space="preserve"> </w:t>
      </w:r>
      <w:r>
        <w:rPr>
          <w:rFonts w:ascii="Trebuchet MS"/>
          <w:color w:val="231F20"/>
          <w:w w:val="105"/>
          <w:sz w:val="20"/>
        </w:rPr>
        <w:t>support</w:t>
      </w:r>
      <w:r>
        <w:rPr>
          <w:rFonts w:ascii="Trebuchet MS"/>
          <w:color w:val="231F20"/>
          <w:spacing w:val="-12"/>
          <w:w w:val="105"/>
          <w:sz w:val="20"/>
        </w:rPr>
        <w:t xml:space="preserve"> </w:t>
      </w:r>
      <w:r>
        <w:rPr>
          <w:rFonts w:ascii="Trebuchet MS"/>
          <w:color w:val="231F20"/>
          <w:w w:val="105"/>
          <w:sz w:val="20"/>
        </w:rPr>
        <w:t>for</w:t>
      </w:r>
      <w:r>
        <w:rPr>
          <w:rFonts w:ascii="Trebuchet MS"/>
          <w:color w:val="231F20"/>
          <w:spacing w:val="-11"/>
          <w:w w:val="105"/>
          <w:sz w:val="20"/>
        </w:rPr>
        <w:t xml:space="preserve"> </w:t>
      </w:r>
      <w:r>
        <w:rPr>
          <w:rFonts w:ascii="Trebuchet MS"/>
          <w:color w:val="231F20"/>
          <w:w w:val="105"/>
          <w:sz w:val="20"/>
        </w:rPr>
        <w:t xml:space="preserve">people </w:t>
      </w:r>
      <w:r>
        <w:rPr>
          <w:rFonts w:ascii="Trebuchet MS"/>
          <w:color w:val="231F20"/>
          <w:spacing w:val="-2"/>
          <w:w w:val="110"/>
          <w:sz w:val="20"/>
        </w:rPr>
        <w:t>w</w:t>
      </w:r>
      <w:r>
        <w:rPr>
          <w:rFonts w:ascii="Trebuchet MS"/>
          <w:color w:val="231F20"/>
          <w:spacing w:val="-1"/>
          <w:w w:val="107"/>
          <w:sz w:val="20"/>
        </w:rPr>
        <w:t>h</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07"/>
          <w:sz w:val="20"/>
        </w:rPr>
        <w:t>h</w:t>
      </w:r>
      <w:r>
        <w:rPr>
          <w:rFonts w:ascii="Trebuchet MS"/>
          <w:color w:val="231F20"/>
          <w:spacing w:val="-6"/>
          <w:w w:val="105"/>
          <w:sz w:val="20"/>
        </w:rPr>
        <w:t>a</w:t>
      </w:r>
      <w:r>
        <w:rPr>
          <w:rFonts w:ascii="Trebuchet MS"/>
          <w:color w:val="231F20"/>
          <w:spacing w:val="-6"/>
          <w:w w:val="109"/>
          <w:sz w:val="20"/>
        </w:rPr>
        <w:t>v</w:t>
      </w:r>
      <w:r>
        <w:rPr>
          <w:rFonts w:ascii="Trebuchet MS"/>
          <w:color w:val="231F20"/>
          <w:w w:val="108"/>
          <w:sz w:val="20"/>
        </w:rPr>
        <w:t>e</w:t>
      </w:r>
      <w:r>
        <w:rPr>
          <w:rFonts w:ascii="Trebuchet MS"/>
          <w:color w:val="231F20"/>
          <w:spacing w:val="-14"/>
          <w:sz w:val="20"/>
        </w:rPr>
        <w:t xml:space="preserve"> </w:t>
      </w:r>
      <w:r>
        <w:rPr>
          <w:rFonts w:ascii="Trebuchet MS"/>
          <w:color w:val="231F20"/>
          <w:spacing w:val="-5"/>
          <w:w w:val="108"/>
          <w:sz w:val="20"/>
        </w:rPr>
        <w:t>e</w:t>
      </w:r>
      <w:r>
        <w:rPr>
          <w:rFonts w:ascii="Trebuchet MS"/>
          <w:color w:val="231F20"/>
          <w:spacing w:val="-2"/>
          <w:w w:val="102"/>
          <w:sz w:val="20"/>
        </w:rPr>
        <w:t>x</w:t>
      </w:r>
      <w:r>
        <w:rPr>
          <w:rFonts w:ascii="Trebuchet MS"/>
          <w:color w:val="231F20"/>
          <w:spacing w:val="-1"/>
          <w:w w:val="105"/>
          <w:sz w:val="20"/>
        </w:rPr>
        <w:t>pe</w:t>
      </w:r>
      <w:r>
        <w:rPr>
          <w:rFonts w:ascii="Trebuchet MS"/>
          <w:color w:val="231F20"/>
          <w:spacing w:val="-2"/>
          <w:w w:val="105"/>
          <w:sz w:val="20"/>
        </w:rPr>
        <w:t>r</w:t>
      </w:r>
      <w:r>
        <w:rPr>
          <w:rFonts w:ascii="Trebuchet MS"/>
          <w:color w:val="231F20"/>
          <w:spacing w:val="-1"/>
          <w:w w:val="80"/>
          <w:sz w:val="20"/>
        </w:rPr>
        <w:t>i</w:t>
      </w:r>
      <w:r>
        <w:rPr>
          <w:rFonts w:ascii="Trebuchet MS"/>
          <w:color w:val="231F20"/>
          <w:spacing w:val="-1"/>
          <w:w w:val="108"/>
          <w:sz w:val="20"/>
        </w:rPr>
        <w:t>en</w:t>
      </w:r>
      <w:r>
        <w:rPr>
          <w:rFonts w:ascii="Trebuchet MS"/>
          <w:color w:val="231F20"/>
          <w:spacing w:val="-3"/>
          <w:w w:val="111"/>
          <w:sz w:val="20"/>
        </w:rPr>
        <w:t>c</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05"/>
          <w:sz w:val="20"/>
        </w:rPr>
        <w:t>s</w:t>
      </w:r>
      <w:r>
        <w:rPr>
          <w:rFonts w:ascii="Trebuchet MS"/>
          <w:color w:val="231F20"/>
          <w:w w:val="105"/>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r>
        <w:rPr>
          <w:rFonts w:ascii="Trebuchet MS"/>
          <w:color w:val="231F20"/>
          <w:spacing w:val="-14"/>
          <w:sz w:val="20"/>
        </w:rPr>
        <w:t xml:space="preserve"> </w:t>
      </w:r>
      <w:r>
        <w:rPr>
          <w:rFonts w:ascii="Trebuchet MS"/>
          <w:color w:val="231F20"/>
          <w:spacing w:val="-2"/>
          <w:w w:val="105"/>
          <w:sz w:val="20"/>
        </w:rPr>
        <w:t>T</w:t>
      </w:r>
      <w:r>
        <w:rPr>
          <w:rFonts w:ascii="Trebuchet MS"/>
          <w:color w:val="231F20"/>
          <w:spacing w:val="-1"/>
          <w:w w:val="107"/>
          <w:sz w:val="20"/>
        </w:rPr>
        <w:t>h</w:t>
      </w:r>
      <w:r>
        <w:rPr>
          <w:rFonts w:ascii="Trebuchet MS"/>
          <w:color w:val="231F20"/>
          <w:spacing w:val="-2"/>
          <w:w w:val="108"/>
          <w:sz w:val="20"/>
        </w:rPr>
        <w:t>e</w:t>
      </w:r>
      <w:r>
        <w:rPr>
          <w:rFonts w:ascii="Trebuchet MS"/>
          <w:color w:val="231F20"/>
          <w:spacing w:val="-1"/>
          <w:w w:val="122"/>
          <w:sz w:val="20"/>
        </w:rPr>
        <w:t>s</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9"/>
          <w:sz w:val="20"/>
        </w:rPr>
        <w:t>epen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4"/>
          <w:w w:val="108"/>
          <w:sz w:val="20"/>
        </w:rPr>
        <w:t>n</w:t>
      </w:r>
      <w:r>
        <w:rPr>
          <w:rFonts w:ascii="Trebuchet MS"/>
          <w:color w:val="231F20"/>
          <w:w w:val="88"/>
          <w:sz w:val="20"/>
        </w:rPr>
        <w:t xml:space="preserve">t </w:t>
      </w:r>
      <w:r>
        <w:rPr>
          <w:rFonts w:ascii="Trebuchet MS"/>
          <w:color w:val="231F20"/>
          <w:spacing w:val="-2"/>
          <w:w w:val="109"/>
          <w:sz w:val="20"/>
        </w:rPr>
        <w:t>a</w:t>
      </w:r>
      <w:r>
        <w:rPr>
          <w:rFonts w:ascii="Trebuchet MS"/>
          <w:color w:val="231F20"/>
          <w:spacing w:val="-3"/>
          <w:w w:val="109"/>
          <w:sz w:val="20"/>
        </w:rPr>
        <w:t>d</w:t>
      </w:r>
      <w:r>
        <w:rPr>
          <w:rFonts w:ascii="Trebuchet MS"/>
          <w:color w:val="231F20"/>
          <w:spacing w:val="-6"/>
          <w:w w:val="109"/>
          <w:sz w:val="20"/>
        </w:rPr>
        <w:t>v</w:t>
      </w:r>
      <w:r>
        <w:rPr>
          <w:rFonts w:ascii="Trebuchet MS"/>
          <w:color w:val="231F20"/>
          <w:spacing w:val="-1"/>
          <w:w w:val="111"/>
          <w:sz w:val="20"/>
        </w:rPr>
        <w:t>o</w:t>
      </w:r>
      <w:r>
        <w:rPr>
          <w:rFonts w:ascii="Trebuchet MS"/>
          <w:color w:val="231F20"/>
          <w:w w:val="111"/>
          <w:sz w:val="20"/>
        </w:rPr>
        <w:t>c</w:t>
      </w:r>
      <w:r>
        <w:rPr>
          <w:rFonts w:ascii="Trebuchet MS"/>
          <w:color w:val="231F20"/>
          <w:spacing w:val="-4"/>
          <w:w w:val="105"/>
          <w:sz w:val="20"/>
        </w:rPr>
        <w:t>a</w:t>
      </w:r>
      <w:r>
        <w:rPr>
          <w:rFonts w:ascii="Trebuchet MS"/>
          <w:color w:val="231F20"/>
          <w:spacing w:val="-4"/>
          <w:w w:val="88"/>
          <w:sz w:val="20"/>
        </w:rPr>
        <w:t>t</w:t>
      </w:r>
      <w:r>
        <w:rPr>
          <w:rFonts w:ascii="Trebuchet MS"/>
          <w:color w:val="231F20"/>
          <w:spacing w:val="-2"/>
          <w:w w:val="114"/>
          <w:sz w:val="20"/>
        </w:rPr>
        <w:t>e</w:t>
      </w:r>
      <w:r>
        <w:rPr>
          <w:rFonts w:ascii="Trebuchet MS"/>
          <w:color w:val="231F20"/>
          <w:w w:val="114"/>
          <w:sz w:val="20"/>
        </w:rPr>
        <w:t>s</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5"/>
          <w:sz w:val="20"/>
        </w:rPr>
        <w:t>u</w:t>
      </w:r>
      <w:r>
        <w:rPr>
          <w:rFonts w:ascii="Trebuchet MS"/>
          <w:color w:val="231F20"/>
          <w:spacing w:val="-3"/>
          <w:w w:val="105"/>
          <w:sz w:val="20"/>
        </w:rPr>
        <w:t>l</w:t>
      </w:r>
      <w:r>
        <w:rPr>
          <w:rFonts w:ascii="Trebuchet MS"/>
          <w:color w:val="231F20"/>
          <w:spacing w:val="-3"/>
          <w:w w:val="112"/>
          <w:sz w:val="20"/>
        </w:rPr>
        <w:t>d</w:t>
      </w:r>
      <w:r>
        <w:rPr>
          <w:rFonts w:ascii="Trebuchet MS"/>
          <w:color w:val="231F20"/>
          <w:w w:val="54"/>
          <w:sz w:val="20"/>
        </w:rPr>
        <w:t>:</w:t>
      </w:r>
    </w:p>
    <w:p w14:paraId="0A34B273" w14:textId="77777777" w:rsidR="00894070" w:rsidRDefault="009B7AFD">
      <w:pPr>
        <w:pStyle w:val="ListParagraph"/>
        <w:numPr>
          <w:ilvl w:val="0"/>
          <w:numId w:val="106"/>
        </w:numPr>
        <w:tabs>
          <w:tab w:val="left" w:pos="2934"/>
          <w:tab w:val="left" w:pos="2935"/>
        </w:tabs>
        <w:spacing w:before="88" w:line="247" w:lineRule="auto"/>
        <w:ind w:right="1796" w:hanging="566"/>
        <w:rPr>
          <w:rFonts w:ascii="Trebuchet MS" w:hAnsi="Trebuchet MS"/>
          <w:sz w:val="20"/>
        </w:rPr>
      </w:pPr>
      <w:r>
        <w:rPr>
          <w:rFonts w:ascii="Trebuchet MS" w:hAnsi="Trebuchet MS"/>
          <w:color w:val="231F20"/>
          <w:spacing w:val="-3"/>
          <w:w w:val="105"/>
          <w:sz w:val="20"/>
        </w:rPr>
        <w:t>provide</w:t>
      </w:r>
      <w:r>
        <w:rPr>
          <w:rFonts w:ascii="Trebuchet MS" w:hAnsi="Trebuchet MS"/>
          <w:color w:val="231F20"/>
          <w:spacing w:val="-18"/>
          <w:w w:val="105"/>
          <w:sz w:val="20"/>
        </w:rPr>
        <w:t xml:space="preserve"> </w:t>
      </w:r>
      <w:r>
        <w:rPr>
          <w:rFonts w:ascii="Trebuchet MS" w:hAnsi="Trebuchet MS"/>
          <w:color w:val="231F20"/>
          <w:spacing w:val="-3"/>
          <w:w w:val="105"/>
          <w:sz w:val="20"/>
        </w:rPr>
        <w:t>information</w:t>
      </w:r>
      <w:r>
        <w:rPr>
          <w:rFonts w:ascii="Trebuchet MS" w:hAnsi="Trebuchet MS"/>
          <w:color w:val="231F20"/>
          <w:spacing w:val="-17"/>
          <w:w w:val="105"/>
          <w:sz w:val="20"/>
        </w:rPr>
        <w:t xml:space="preserve"> </w:t>
      </w:r>
      <w:r>
        <w:rPr>
          <w:rFonts w:ascii="Trebuchet MS" w:hAnsi="Trebuchet MS"/>
          <w:color w:val="231F20"/>
          <w:w w:val="105"/>
          <w:sz w:val="20"/>
        </w:rPr>
        <w:t>about</w:t>
      </w:r>
      <w:r>
        <w:rPr>
          <w:rFonts w:ascii="Trebuchet MS" w:hAnsi="Trebuchet MS"/>
          <w:color w:val="231F20"/>
          <w:spacing w:val="-17"/>
          <w:w w:val="105"/>
          <w:sz w:val="20"/>
        </w:rPr>
        <w:t xml:space="preserve"> </w:t>
      </w:r>
      <w:r>
        <w:rPr>
          <w:rFonts w:ascii="Trebuchet MS" w:hAnsi="Trebuchet MS"/>
          <w:color w:val="231F20"/>
          <w:w w:val="105"/>
          <w:sz w:val="20"/>
        </w:rPr>
        <w:t>justice</w:t>
      </w:r>
      <w:r>
        <w:rPr>
          <w:rFonts w:ascii="Trebuchet MS" w:hAnsi="Trebuchet MS"/>
          <w:color w:val="231F20"/>
          <w:spacing w:val="-17"/>
          <w:w w:val="105"/>
          <w:sz w:val="20"/>
        </w:rPr>
        <w:t xml:space="preserve"> </w:t>
      </w:r>
      <w:r>
        <w:rPr>
          <w:rFonts w:ascii="Trebuchet MS" w:hAnsi="Trebuchet MS"/>
          <w:color w:val="231F20"/>
          <w:w w:val="105"/>
          <w:sz w:val="20"/>
        </w:rPr>
        <w:t>options</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7"/>
          <w:w w:val="105"/>
          <w:sz w:val="20"/>
        </w:rPr>
        <w:t xml:space="preserve"> </w:t>
      </w:r>
      <w:r>
        <w:rPr>
          <w:rFonts w:ascii="Trebuchet MS" w:hAnsi="Trebuchet MS"/>
          <w:color w:val="231F20"/>
          <w:w w:val="105"/>
          <w:sz w:val="20"/>
        </w:rPr>
        <w:t>progress</w:t>
      </w:r>
      <w:r>
        <w:rPr>
          <w:rFonts w:ascii="Trebuchet MS" w:hAnsi="Trebuchet MS"/>
          <w:color w:val="231F20"/>
          <w:spacing w:val="-18"/>
          <w:w w:val="105"/>
          <w:sz w:val="20"/>
        </w:rPr>
        <w:t xml:space="preserve"> </w:t>
      </w:r>
      <w:r>
        <w:rPr>
          <w:rFonts w:ascii="Trebuchet MS" w:hAnsi="Trebuchet MS"/>
          <w:color w:val="231F20"/>
          <w:w w:val="105"/>
          <w:sz w:val="20"/>
        </w:rPr>
        <w:t>through</w:t>
      </w:r>
      <w:r>
        <w:rPr>
          <w:rFonts w:ascii="Trebuchet MS" w:hAnsi="Trebuchet MS"/>
          <w:color w:val="231F20"/>
          <w:spacing w:val="-17"/>
          <w:w w:val="105"/>
          <w:sz w:val="20"/>
        </w:rPr>
        <w:t xml:space="preserve"> </w:t>
      </w:r>
      <w:r>
        <w:rPr>
          <w:rFonts w:ascii="Trebuchet MS" w:hAnsi="Trebuchet MS"/>
          <w:color w:val="231F20"/>
          <w:w w:val="105"/>
          <w:sz w:val="20"/>
        </w:rPr>
        <w:t>the justice</w:t>
      </w:r>
      <w:r>
        <w:rPr>
          <w:rFonts w:ascii="Trebuchet MS" w:hAnsi="Trebuchet MS"/>
          <w:color w:val="231F20"/>
          <w:spacing w:val="-18"/>
          <w:w w:val="105"/>
          <w:sz w:val="20"/>
        </w:rPr>
        <w:t xml:space="preserve"> </w:t>
      </w:r>
      <w:r>
        <w:rPr>
          <w:rFonts w:ascii="Trebuchet MS" w:hAnsi="Trebuchet MS"/>
          <w:color w:val="231F20"/>
          <w:w w:val="105"/>
          <w:sz w:val="20"/>
        </w:rPr>
        <w:t>system</w:t>
      </w:r>
    </w:p>
    <w:p w14:paraId="22AEA5EB" w14:textId="77777777" w:rsidR="00894070" w:rsidRDefault="009B7AFD">
      <w:pPr>
        <w:pStyle w:val="ListParagraph"/>
        <w:numPr>
          <w:ilvl w:val="0"/>
          <w:numId w:val="106"/>
        </w:numPr>
        <w:tabs>
          <w:tab w:val="left" w:pos="2934"/>
          <w:tab w:val="left" w:pos="2935"/>
        </w:tabs>
        <w:spacing w:before="87"/>
        <w:ind w:hanging="566"/>
        <w:rPr>
          <w:rFonts w:ascii="Trebuchet MS" w:hAnsi="Trebuchet MS"/>
          <w:sz w:val="20"/>
        </w:rPr>
      </w:pPr>
      <w:r>
        <w:rPr>
          <w:rFonts w:ascii="Trebuchet MS" w:hAnsi="Trebuchet MS"/>
          <w:color w:val="231F20"/>
          <w:w w:val="105"/>
          <w:sz w:val="20"/>
        </w:rPr>
        <w:t>support</w:t>
      </w:r>
      <w:r>
        <w:rPr>
          <w:rFonts w:ascii="Trebuchet MS" w:hAnsi="Trebuchet MS"/>
          <w:color w:val="231F20"/>
          <w:spacing w:val="-18"/>
          <w:w w:val="105"/>
          <w:sz w:val="20"/>
        </w:rPr>
        <w:t xml:space="preserve"> </w:t>
      </w:r>
      <w:r>
        <w:rPr>
          <w:rFonts w:ascii="Trebuchet MS" w:hAnsi="Trebuchet MS"/>
          <w:color w:val="231F20"/>
          <w:w w:val="105"/>
          <w:sz w:val="20"/>
        </w:rPr>
        <w:t>victim</w:t>
      </w:r>
      <w:r>
        <w:rPr>
          <w:rFonts w:ascii="Trebuchet MS" w:hAnsi="Trebuchet MS"/>
          <w:color w:val="231F20"/>
          <w:spacing w:val="-17"/>
          <w:w w:val="105"/>
          <w:sz w:val="20"/>
        </w:rPr>
        <w:t xml:space="preserve"> </w:t>
      </w:r>
      <w:r>
        <w:rPr>
          <w:rFonts w:ascii="Trebuchet MS" w:hAnsi="Trebuchet MS"/>
          <w:color w:val="231F20"/>
          <w:w w:val="105"/>
          <w:sz w:val="20"/>
        </w:rPr>
        <w:t>survivors</w:t>
      </w:r>
      <w:r>
        <w:rPr>
          <w:rFonts w:ascii="Trebuchet MS" w:hAnsi="Trebuchet MS"/>
          <w:color w:val="231F20"/>
          <w:spacing w:val="-18"/>
          <w:w w:val="105"/>
          <w:sz w:val="20"/>
        </w:rPr>
        <w:t xml:space="preserve"> </w:t>
      </w:r>
      <w:r>
        <w:rPr>
          <w:rFonts w:ascii="Trebuchet MS" w:hAnsi="Trebuchet MS"/>
          <w:color w:val="231F20"/>
          <w:w w:val="105"/>
          <w:sz w:val="20"/>
        </w:rPr>
        <w:t>to</w:t>
      </w:r>
      <w:r>
        <w:rPr>
          <w:rFonts w:ascii="Trebuchet MS" w:hAnsi="Trebuchet MS"/>
          <w:color w:val="231F20"/>
          <w:spacing w:val="-17"/>
          <w:w w:val="105"/>
          <w:sz w:val="20"/>
        </w:rPr>
        <w:t xml:space="preserve"> </w:t>
      </w:r>
      <w:r>
        <w:rPr>
          <w:rFonts w:ascii="Trebuchet MS" w:hAnsi="Trebuchet MS"/>
          <w:color w:val="231F20"/>
          <w:w w:val="105"/>
          <w:sz w:val="20"/>
        </w:rPr>
        <w:t>understand</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8"/>
          <w:w w:val="105"/>
          <w:sz w:val="20"/>
        </w:rPr>
        <w:t xml:space="preserve"> </w:t>
      </w:r>
      <w:r>
        <w:rPr>
          <w:rFonts w:ascii="Trebuchet MS" w:hAnsi="Trebuchet MS"/>
          <w:color w:val="231F20"/>
          <w:spacing w:val="-3"/>
          <w:w w:val="105"/>
          <w:sz w:val="20"/>
        </w:rPr>
        <w:t>exercise</w:t>
      </w:r>
      <w:r>
        <w:rPr>
          <w:rFonts w:ascii="Trebuchet MS" w:hAnsi="Trebuchet MS"/>
          <w:color w:val="231F20"/>
          <w:spacing w:val="-17"/>
          <w:w w:val="105"/>
          <w:sz w:val="20"/>
        </w:rPr>
        <w:t xml:space="preserve"> </w:t>
      </w:r>
      <w:r>
        <w:rPr>
          <w:rFonts w:ascii="Trebuchet MS" w:hAnsi="Trebuchet MS"/>
          <w:color w:val="231F20"/>
          <w:w w:val="105"/>
          <w:sz w:val="20"/>
        </w:rPr>
        <w:t>their</w:t>
      </w:r>
      <w:r>
        <w:rPr>
          <w:rFonts w:ascii="Trebuchet MS" w:hAnsi="Trebuchet MS"/>
          <w:color w:val="231F20"/>
          <w:spacing w:val="-18"/>
          <w:w w:val="105"/>
          <w:sz w:val="20"/>
        </w:rPr>
        <w:t xml:space="preserve"> </w:t>
      </w:r>
      <w:r>
        <w:rPr>
          <w:rFonts w:ascii="Trebuchet MS" w:hAnsi="Trebuchet MS"/>
          <w:color w:val="231F20"/>
          <w:w w:val="105"/>
          <w:sz w:val="20"/>
        </w:rPr>
        <w:t>rights</w:t>
      </w:r>
    </w:p>
    <w:p w14:paraId="211FEE6E" w14:textId="77777777" w:rsidR="00894070" w:rsidRDefault="009B7AFD">
      <w:pPr>
        <w:pStyle w:val="ListParagraph"/>
        <w:numPr>
          <w:ilvl w:val="0"/>
          <w:numId w:val="106"/>
        </w:numPr>
        <w:tabs>
          <w:tab w:val="left" w:pos="2934"/>
          <w:tab w:val="left" w:pos="2935"/>
        </w:tabs>
        <w:spacing w:before="92" w:line="247" w:lineRule="auto"/>
        <w:ind w:right="2154" w:hanging="566"/>
        <w:rPr>
          <w:rFonts w:ascii="Trebuchet MS" w:hAnsi="Trebuchet MS"/>
          <w:sz w:val="20"/>
        </w:rPr>
      </w:pPr>
      <w:r>
        <w:rPr>
          <w:rFonts w:ascii="Trebuchet MS" w:hAnsi="Trebuchet MS"/>
          <w:color w:val="231F20"/>
          <w:w w:val="105"/>
          <w:sz w:val="20"/>
        </w:rPr>
        <w:t>assist</w:t>
      </w:r>
      <w:r>
        <w:rPr>
          <w:rFonts w:ascii="Trebuchet MS" w:hAnsi="Trebuchet MS"/>
          <w:color w:val="231F20"/>
          <w:spacing w:val="-25"/>
          <w:w w:val="105"/>
          <w:sz w:val="20"/>
        </w:rPr>
        <w:t xml:space="preserve"> </w:t>
      </w:r>
      <w:r>
        <w:rPr>
          <w:rFonts w:ascii="Trebuchet MS" w:hAnsi="Trebuchet MS"/>
          <w:color w:val="231F20"/>
          <w:w w:val="105"/>
          <w:sz w:val="20"/>
        </w:rPr>
        <w:t>with</w:t>
      </w:r>
      <w:r>
        <w:rPr>
          <w:rFonts w:ascii="Trebuchet MS" w:hAnsi="Trebuchet MS"/>
          <w:color w:val="231F20"/>
          <w:spacing w:val="-24"/>
          <w:w w:val="105"/>
          <w:sz w:val="20"/>
        </w:rPr>
        <w:t xml:space="preserve"> </w:t>
      </w:r>
      <w:r>
        <w:rPr>
          <w:rFonts w:ascii="Trebuchet MS" w:hAnsi="Trebuchet MS"/>
          <w:color w:val="231F20"/>
          <w:w w:val="105"/>
          <w:sz w:val="20"/>
        </w:rPr>
        <w:t>planning</w:t>
      </w:r>
      <w:r>
        <w:rPr>
          <w:rFonts w:ascii="Trebuchet MS" w:hAnsi="Trebuchet MS"/>
          <w:color w:val="231F20"/>
          <w:spacing w:val="-25"/>
          <w:w w:val="105"/>
          <w:sz w:val="20"/>
        </w:rPr>
        <w:t xml:space="preserve"> </w:t>
      </w:r>
      <w:r>
        <w:rPr>
          <w:rFonts w:ascii="Trebuchet MS" w:hAnsi="Trebuchet MS"/>
          <w:color w:val="231F20"/>
          <w:w w:val="105"/>
          <w:sz w:val="20"/>
        </w:rPr>
        <w:t>for</w:t>
      </w:r>
      <w:r>
        <w:rPr>
          <w:rFonts w:ascii="Trebuchet MS" w:hAnsi="Trebuchet MS"/>
          <w:color w:val="231F20"/>
          <w:spacing w:val="-24"/>
          <w:w w:val="105"/>
          <w:sz w:val="20"/>
        </w:rPr>
        <w:t xml:space="preserve"> </w:t>
      </w:r>
      <w:r>
        <w:rPr>
          <w:rFonts w:ascii="Trebuchet MS" w:hAnsi="Trebuchet MS"/>
          <w:color w:val="231F20"/>
          <w:w w:val="105"/>
          <w:sz w:val="20"/>
        </w:rPr>
        <w:t>their</w:t>
      </w:r>
      <w:r>
        <w:rPr>
          <w:rFonts w:ascii="Trebuchet MS" w:hAnsi="Trebuchet MS"/>
          <w:color w:val="231F20"/>
          <w:spacing w:val="-25"/>
          <w:w w:val="105"/>
          <w:sz w:val="20"/>
        </w:rPr>
        <w:t xml:space="preserve"> </w:t>
      </w:r>
      <w:r>
        <w:rPr>
          <w:rFonts w:ascii="Trebuchet MS" w:hAnsi="Trebuchet MS"/>
          <w:color w:val="231F20"/>
          <w:w w:val="105"/>
          <w:sz w:val="20"/>
        </w:rPr>
        <w:t>safety</w:t>
      </w:r>
      <w:r>
        <w:rPr>
          <w:rFonts w:ascii="Trebuchet MS" w:hAnsi="Trebuchet MS"/>
          <w:color w:val="231F20"/>
          <w:spacing w:val="-24"/>
          <w:w w:val="105"/>
          <w:sz w:val="20"/>
        </w:rPr>
        <w:t xml:space="preserve"> </w:t>
      </w:r>
      <w:r>
        <w:rPr>
          <w:rFonts w:ascii="Trebuchet MS" w:hAnsi="Trebuchet MS"/>
          <w:color w:val="231F20"/>
          <w:w w:val="105"/>
          <w:sz w:val="20"/>
        </w:rPr>
        <w:t>when</w:t>
      </w:r>
      <w:r>
        <w:rPr>
          <w:rFonts w:ascii="Trebuchet MS" w:hAnsi="Trebuchet MS"/>
          <w:color w:val="231F20"/>
          <w:spacing w:val="-25"/>
          <w:w w:val="105"/>
          <w:sz w:val="20"/>
        </w:rPr>
        <w:t xml:space="preserve"> </w:t>
      </w:r>
      <w:r>
        <w:rPr>
          <w:rFonts w:ascii="Trebuchet MS" w:hAnsi="Trebuchet MS"/>
          <w:color w:val="231F20"/>
          <w:w w:val="105"/>
          <w:sz w:val="20"/>
        </w:rPr>
        <w:t>they</w:t>
      </w:r>
      <w:r>
        <w:rPr>
          <w:rFonts w:ascii="Trebuchet MS" w:hAnsi="Trebuchet MS"/>
          <w:color w:val="231F20"/>
          <w:spacing w:val="-24"/>
          <w:w w:val="105"/>
          <w:sz w:val="20"/>
        </w:rPr>
        <w:t xml:space="preserve"> </w:t>
      </w:r>
      <w:r>
        <w:rPr>
          <w:rFonts w:ascii="Trebuchet MS" w:hAnsi="Trebuchet MS"/>
          <w:color w:val="231F20"/>
          <w:spacing w:val="-2"/>
          <w:w w:val="105"/>
          <w:sz w:val="20"/>
        </w:rPr>
        <w:t>are</w:t>
      </w:r>
      <w:r>
        <w:rPr>
          <w:rFonts w:ascii="Trebuchet MS" w:hAnsi="Trebuchet MS"/>
          <w:color w:val="231F20"/>
          <w:spacing w:val="-25"/>
          <w:w w:val="105"/>
          <w:sz w:val="20"/>
        </w:rPr>
        <w:t xml:space="preserve"> </w:t>
      </w:r>
      <w:r>
        <w:rPr>
          <w:rFonts w:ascii="Trebuchet MS" w:hAnsi="Trebuchet MS"/>
          <w:color w:val="231F20"/>
          <w:w w:val="105"/>
          <w:sz w:val="20"/>
        </w:rPr>
        <w:t>experiencing stalking</w:t>
      </w:r>
    </w:p>
    <w:p w14:paraId="610AC56E" w14:textId="77777777" w:rsidR="00894070" w:rsidRDefault="009B7AFD">
      <w:pPr>
        <w:pStyle w:val="ListParagraph"/>
        <w:numPr>
          <w:ilvl w:val="0"/>
          <w:numId w:val="106"/>
        </w:numPr>
        <w:tabs>
          <w:tab w:val="left" w:pos="2934"/>
          <w:tab w:val="left" w:pos="2935"/>
        </w:tabs>
        <w:spacing w:before="87"/>
        <w:ind w:hanging="566"/>
        <w:rPr>
          <w:rFonts w:ascii="Trebuchet MS" w:hAnsi="Trebuchet MS"/>
          <w:sz w:val="20"/>
        </w:rPr>
      </w:pPr>
      <w:r>
        <w:rPr>
          <w:rFonts w:ascii="Trebuchet MS" w:hAnsi="Trebuchet MS"/>
          <w:color w:val="231F20"/>
          <w:w w:val="105"/>
          <w:sz w:val="20"/>
        </w:rPr>
        <w:t>support</w:t>
      </w:r>
      <w:r>
        <w:rPr>
          <w:rFonts w:ascii="Trebuchet MS" w:hAnsi="Trebuchet MS"/>
          <w:color w:val="231F20"/>
          <w:spacing w:val="-18"/>
          <w:w w:val="105"/>
          <w:sz w:val="20"/>
        </w:rPr>
        <w:t xml:space="preserve"> </w:t>
      </w:r>
      <w:r>
        <w:rPr>
          <w:rFonts w:ascii="Trebuchet MS" w:hAnsi="Trebuchet MS"/>
          <w:color w:val="231F20"/>
          <w:w w:val="105"/>
          <w:sz w:val="20"/>
        </w:rPr>
        <w:t>their</w:t>
      </w:r>
      <w:r>
        <w:rPr>
          <w:rFonts w:ascii="Trebuchet MS" w:hAnsi="Trebuchet MS"/>
          <w:color w:val="231F20"/>
          <w:spacing w:val="-17"/>
          <w:w w:val="105"/>
          <w:sz w:val="20"/>
        </w:rPr>
        <w:t xml:space="preserve"> </w:t>
      </w:r>
      <w:r>
        <w:rPr>
          <w:rFonts w:ascii="Trebuchet MS" w:hAnsi="Trebuchet MS"/>
          <w:color w:val="231F20"/>
          <w:w w:val="105"/>
          <w:sz w:val="20"/>
        </w:rPr>
        <w:t>individual</w:t>
      </w:r>
      <w:r>
        <w:rPr>
          <w:rFonts w:ascii="Trebuchet MS" w:hAnsi="Trebuchet MS"/>
          <w:color w:val="231F20"/>
          <w:spacing w:val="-17"/>
          <w:w w:val="105"/>
          <w:sz w:val="20"/>
        </w:rPr>
        <w:t xml:space="preserve"> </w:t>
      </w:r>
      <w:r>
        <w:rPr>
          <w:rFonts w:ascii="Trebuchet MS" w:hAnsi="Trebuchet MS"/>
          <w:color w:val="231F20"/>
          <w:w w:val="105"/>
          <w:sz w:val="20"/>
        </w:rPr>
        <w:t>needs</w:t>
      </w:r>
    </w:p>
    <w:p w14:paraId="7544F422" w14:textId="77777777" w:rsidR="00894070" w:rsidRDefault="009B7AFD">
      <w:pPr>
        <w:pStyle w:val="ListParagraph"/>
        <w:numPr>
          <w:ilvl w:val="0"/>
          <w:numId w:val="106"/>
        </w:numPr>
        <w:tabs>
          <w:tab w:val="left" w:pos="2934"/>
          <w:tab w:val="left" w:pos="2935"/>
        </w:tabs>
        <w:spacing w:before="93" w:line="247" w:lineRule="auto"/>
        <w:ind w:right="1432" w:hanging="566"/>
        <w:rPr>
          <w:rFonts w:ascii="Trebuchet MS" w:hAnsi="Trebuchet MS"/>
          <w:sz w:val="20"/>
        </w:rPr>
      </w:pPr>
      <w:r>
        <w:rPr>
          <w:rFonts w:ascii="Trebuchet MS" w:hAnsi="Trebuchet MS"/>
          <w:color w:val="231F20"/>
          <w:sz w:val="20"/>
        </w:rPr>
        <w:t xml:space="preserve">liaise with, and </w:t>
      </w:r>
      <w:r>
        <w:rPr>
          <w:rFonts w:ascii="Trebuchet MS" w:hAnsi="Trebuchet MS"/>
          <w:color w:val="231F20"/>
          <w:spacing w:val="-3"/>
          <w:sz w:val="20"/>
        </w:rPr>
        <w:t xml:space="preserve">advocate </w:t>
      </w:r>
      <w:r>
        <w:rPr>
          <w:rFonts w:ascii="Trebuchet MS" w:hAnsi="Trebuchet MS"/>
          <w:color w:val="231F20"/>
          <w:sz w:val="20"/>
        </w:rPr>
        <w:t xml:space="preserve">for victim survivors </w:t>
      </w:r>
      <w:r>
        <w:rPr>
          <w:rFonts w:ascii="Trebuchet MS" w:hAnsi="Trebuchet MS"/>
          <w:color w:val="231F20"/>
          <w:spacing w:val="-3"/>
          <w:sz w:val="20"/>
        </w:rPr>
        <w:t xml:space="preserve">to, </w:t>
      </w:r>
      <w:r>
        <w:rPr>
          <w:rFonts w:ascii="Trebuchet MS" w:hAnsi="Trebuchet MS"/>
          <w:color w:val="231F20"/>
          <w:sz w:val="20"/>
        </w:rPr>
        <w:t xml:space="preserve">services and the justice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05"/>
          <w:sz w:val="20"/>
        </w:rPr>
        <w:t>s</w:t>
      </w:r>
      <w:r>
        <w:rPr>
          <w:rFonts w:ascii="Trebuchet MS" w:hAnsi="Trebuchet MS"/>
          <w:color w:val="231F20"/>
          <w:spacing w:val="-4"/>
          <w:w w:val="105"/>
          <w:sz w:val="20"/>
        </w:rPr>
        <w:t>t</w:t>
      </w:r>
      <w:r>
        <w:rPr>
          <w:rFonts w:ascii="Trebuchet MS" w:hAnsi="Trebuchet MS"/>
          <w:color w:val="231F20"/>
          <w:spacing w:val="-1"/>
          <w:w w:val="110"/>
          <w:sz w:val="20"/>
        </w:rPr>
        <w:t>em</w:t>
      </w:r>
      <w:r>
        <w:rPr>
          <w:rFonts w:ascii="Trebuchet MS" w:hAnsi="Trebuchet MS"/>
          <w:color w:val="231F20"/>
          <w:w w:val="55"/>
          <w:sz w:val="20"/>
        </w:rPr>
        <w:t>.</w:t>
      </w:r>
    </w:p>
    <w:p w14:paraId="7156C11F" w14:textId="77777777" w:rsidR="00894070" w:rsidRDefault="009B7AFD">
      <w:pPr>
        <w:pStyle w:val="ListParagraph"/>
        <w:numPr>
          <w:ilvl w:val="0"/>
          <w:numId w:val="105"/>
        </w:numPr>
        <w:tabs>
          <w:tab w:val="left" w:pos="2367"/>
          <w:tab w:val="left" w:pos="2368"/>
        </w:tabs>
        <w:spacing w:before="87"/>
        <w:ind w:hanging="553"/>
        <w:rPr>
          <w:rFonts w:ascii="Trebuchet MS"/>
          <w:sz w:val="20"/>
        </w:rPr>
      </w:pPr>
      <w:r>
        <w:rPr>
          <w:rFonts w:ascii="Trebuchet MS"/>
          <w:color w:val="231F20"/>
          <w:spacing w:val="-2"/>
          <w:w w:val="105"/>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mo</w:t>
      </w:r>
      <w:r>
        <w:rPr>
          <w:rFonts w:ascii="Trebuchet MS"/>
          <w:color w:val="231F20"/>
          <w:spacing w:val="-2"/>
          <w:w w:val="112"/>
          <w:sz w:val="20"/>
        </w:rPr>
        <w:t>d</w:t>
      </w:r>
      <w:r>
        <w:rPr>
          <w:rFonts w:ascii="Trebuchet MS"/>
          <w:color w:val="231F20"/>
          <w:spacing w:val="-1"/>
          <w:w w:val="108"/>
          <w:sz w:val="20"/>
        </w:rPr>
        <w:t>e</w:t>
      </w:r>
      <w:r>
        <w:rPr>
          <w:rFonts w:ascii="Trebuchet MS"/>
          <w:color w:val="231F20"/>
          <w:w w:val="96"/>
          <w:sz w:val="20"/>
        </w:rPr>
        <w:t>l</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105"/>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3"/>
          <w:w w:val="112"/>
          <w:sz w:val="20"/>
        </w:rPr>
        <w:t>d</w:t>
      </w:r>
      <w:r>
        <w:rPr>
          <w:rFonts w:ascii="Trebuchet MS"/>
          <w:color w:val="231F20"/>
          <w:spacing w:val="-6"/>
          <w:w w:val="109"/>
          <w:sz w:val="20"/>
        </w:rPr>
        <w:t>v</w:t>
      </w:r>
      <w:r>
        <w:rPr>
          <w:rFonts w:ascii="Trebuchet MS"/>
          <w:color w:val="231F20"/>
          <w:spacing w:val="-1"/>
          <w:w w:val="111"/>
          <w:sz w:val="20"/>
        </w:rPr>
        <w:t>o</w:t>
      </w:r>
      <w:r>
        <w:rPr>
          <w:rFonts w:ascii="Trebuchet MS"/>
          <w:color w:val="231F20"/>
          <w:w w:val="111"/>
          <w:sz w:val="20"/>
        </w:rPr>
        <w:t>c</w:t>
      </w:r>
      <w:r>
        <w:rPr>
          <w:rFonts w:ascii="Trebuchet MS"/>
          <w:color w:val="231F20"/>
          <w:spacing w:val="-4"/>
          <w:w w:val="105"/>
          <w:sz w:val="20"/>
        </w:rPr>
        <w:t>a</w:t>
      </w:r>
      <w:r>
        <w:rPr>
          <w:rFonts w:ascii="Trebuchet MS"/>
          <w:color w:val="231F20"/>
          <w:spacing w:val="-4"/>
          <w:w w:val="88"/>
          <w:sz w:val="20"/>
        </w:rPr>
        <w:t>t</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spacing w:val="-3"/>
          <w:w w:val="112"/>
          <w:sz w:val="20"/>
        </w:rPr>
        <w:t>d</w:t>
      </w:r>
      <w:r>
        <w:rPr>
          <w:rFonts w:ascii="Trebuchet MS"/>
          <w:color w:val="231F20"/>
          <w:w w:val="54"/>
          <w:sz w:val="20"/>
        </w:rPr>
        <w:t>:</w:t>
      </w:r>
    </w:p>
    <w:p w14:paraId="283BBD5F" w14:textId="77777777" w:rsidR="00894070" w:rsidRDefault="009B7AFD">
      <w:pPr>
        <w:pStyle w:val="ListParagraph"/>
        <w:numPr>
          <w:ilvl w:val="1"/>
          <w:numId w:val="105"/>
        </w:numPr>
        <w:tabs>
          <w:tab w:val="left" w:pos="2934"/>
          <w:tab w:val="left" w:pos="2935"/>
        </w:tabs>
        <w:spacing w:before="92" w:line="247" w:lineRule="auto"/>
        <w:ind w:right="1791" w:hanging="566"/>
        <w:rPr>
          <w:rFonts w:ascii="Trebuchet MS" w:hAnsi="Trebuchet MS"/>
          <w:sz w:val="20"/>
        </w:rPr>
      </w:pPr>
      <w:r>
        <w:rPr>
          <w:rFonts w:ascii="Trebuchet MS" w:hAnsi="Trebuchet MS"/>
          <w:color w:val="231F20"/>
          <w:w w:val="105"/>
          <w:sz w:val="20"/>
        </w:rPr>
        <w:t xml:space="preserve">be </w:t>
      </w:r>
      <w:r>
        <w:rPr>
          <w:rFonts w:ascii="Trebuchet MS" w:hAnsi="Trebuchet MS"/>
          <w:color w:val="231F20"/>
          <w:spacing w:val="-3"/>
          <w:w w:val="105"/>
          <w:sz w:val="20"/>
        </w:rPr>
        <w:t xml:space="preserve">available </w:t>
      </w:r>
      <w:r>
        <w:rPr>
          <w:rFonts w:ascii="Trebuchet MS" w:hAnsi="Trebuchet MS"/>
          <w:color w:val="231F20"/>
          <w:w w:val="105"/>
          <w:sz w:val="20"/>
        </w:rPr>
        <w:t xml:space="preserve">as soon as a disclosure of stalking is made and not </w:t>
      </w:r>
      <w:r>
        <w:rPr>
          <w:rFonts w:ascii="Trebuchet MS" w:hAnsi="Trebuchet MS"/>
          <w:color w:val="231F20"/>
          <w:spacing w:val="-2"/>
          <w:w w:val="112"/>
          <w:sz w:val="20"/>
        </w:rPr>
        <w:t>d</w:t>
      </w:r>
      <w:r>
        <w:rPr>
          <w:rFonts w:ascii="Trebuchet MS" w:hAnsi="Trebuchet MS"/>
          <w:color w:val="231F20"/>
          <w:spacing w:val="-1"/>
          <w:w w:val="109"/>
          <w:sz w:val="20"/>
        </w:rPr>
        <w:t>epen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1"/>
          <w:w w:val="105"/>
          <w:sz w:val="20"/>
        </w:rPr>
        <w:t>per</w:t>
      </w:r>
      <w:r>
        <w:rPr>
          <w:rFonts w:ascii="Trebuchet MS" w:hAnsi="Trebuchet MS"/>
          <w:color w:val="231F20"/>
          <w:spacing w:val="-1"/>
          <w:w w:val="122"/>
          <w:sz w:val="20"/>
        </w:rPr>
        <w:t>s</w:t>
      </w:r>
      <w:r>
        <w:rPr>
          <w:rFonts w:ascii="Trebuchet MS" w:hAnsi="Trebuchet MS"/>
          <w:color w:val="231F20"/>
          <w:spacing w:val="-1"/>
          <w:w w:val="111"/>
          <w:sz w:val="20"/>
        </w:rPr>
        <w:t>o</w:t>
      </w:r>
      <w:r>
        <w:rPr>
          <w:rFonts w:ascii="Trebuchet MS" w:hAnsi="Trebuchet MS"/>
          <w:color w:val="231F20"/>
          <w:spacing w:val="-6"/>
          <w:w w:val="107"/>
          <w:sz w:val="20"/>
        </w:rPr>
        <w:t>n</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1"/>
          <w:w w:val="108"/>
          <w:sz w:val="20"/>
        </w:rPr>
        <w:t>en</w:t>
      </w:r>
      <w:r>
        <w:rPr>
          <w:rFonts w:ascii="Trebuchet MS" w:hAnsi="Trebuchet MS"/>
          <w:color w:val="231F20"/>
          <w:spacing w:val="-1"/>
          <w:w w:val="124"/>
          <w:sz w:val="20"/>
        </w:rPr>
        <w:t>g</w:t>
      </w:r>
      <w:r>
        <w:rPr>
          <w:rFonts w:ascii="Trebuchet MS" w:hAnsi="Trebuchet MS"/>
          <w:color w:val="231F20"/>
          <w:spacing w:val="-2"/>
          <w:w w:val="105"/>
          <w:sz w:val="20"/>
        </w:rPr>
        <w:t>a</w:t>
      </w:r>
      <w:r>
        <w:rPr>
          <w:rFonts w:ascii="Trebuchet MS" w:hAnsi="Trebuchet MS"/>
          <w:color w:val="231F20"/>
          <w:spacing w:val="-1"/>
          <w:w w:val="124"/>
          <w:sz w:val="20"/>
        </w:rPr>
        <w:t>g</w:t>
      </w:r>
      <w:r>
        <w:rPr>
          <w:rFonts w:ascii="Trebuchet MS" w:hAnsi="Trebuchet MS"/>
          <w:color w:val="231F20"/>
          <w:spacing w:val="-1"/>
          <w:w w:val="110"/>
          <w:sz w:val="20"/>
        </w:rPr>
        <w:t>em</w:t>
      </w:r>
      <w:r>
        <w:rPr>
          <w:rFonts w:ascii="Trebuchet MS" w:hAnsi="Trebuchet MS"/>
          <w:color w:val="231F20"/>
          <w:spacing w:val="-1"/>
          <w:w w:val="108"/>
          <w:sz w:val="20"/>
        </w:rPr>
        <w:t>e</w:t>
      </w:r>
      <w:r>
        <w:rPr>
          <w:rFonts w:ascii="Trebuchet MS" w:hAnsi="Trebuchet MS"/>
          <w:color w:val="231F20"/>
          <w:spacing w:val="-4"/>
          <w:w w:val="108"/>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3"/>
          <w:w w:val="80"/>
          <w:sz w:val="20"/>
        </w:rPr>
        <w:t>i</w:t>
      </w:r>
      <w:r>
        <w:rPr>
          <w:rFonts w:ascii="Trebuchet MS" w:hAnsi="Trebuchet MS"/>
          <w:color w:val="231F20"/>
          <w:spacing w:val="-2"/>
          <w:w w:val="88"/>
          <w:sz w:val="20"/>
        </w:rPr>
        <w:t>t</w:t>
      </w:r>
      <w:r>
        <w:rPr>
          <w:rFonts w:ascii="Trebuchet MS" w:hAnsi="Trebuchet MS"/>
          <w:color w:val="231F20"/>
          <w:w w:val="107"/>
          <w:sz w:val="20"/>
        </w:rPr>
        <w:t>h</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1"/>
          <w:sz w:val="20"/>
        </w:rPr>
        <w:t>c</w:t>
      </w:r>
      <w:r>
        <w:rPr>
          <w:rFonts w:ascii="Trebuchet MS" w:hAnsi="Trebuchet MS"/>
          <w:color w:val="231F20"/>
          <w:spacing w:val="-2"/>
          <w:w w:val="93"/>
          <w:sz w:val="20"/>
        </w:rPr>
        <w:t>r</w:t>
      </w:r>
      <w:r>
        <w:rPr>
          <w:rFonts w:ascii="Trebuchet MS" w:hAnsi="Trebuchet MS"/>
          <w:color w:val="231F20"/>
          <w:spacing w:val="-2"/>
          <w:w w:val="80"/>
          <w:sz w:val="20"/>
        </w:rPr>
        <w:t>i</w:t>
      </w:r>
      <w:r>
        <w:rPr>
          <w:rFonts w:ascii="Trebuchet MS" w:hAnsi="Trebuchet MS"/>
          <w:color w:val="231F20"/>
          <w:spacing w:val="-2"/>
          <w:w w:val="111"/>
          <w:sz w:val="20"/>
        </w:rPr>
        <w:t>m</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spacing w:val="-2"/>
          <w:w w:val="64"/>
          <w:sz w:val="20"/>
        </w:rPr>
        <w:t>j</w:t>
      </w:r>
      <w:r>
        <w:rPr>
          <w:rFonts w:ascii="Trebuchet MS" w:hAnsi="Trebuchet MS"/>
          <w:color w:val="231F20"/>
          <w:spacing w:val="-1"/>
          <w:w w:val="107"/>
          <w:sz w:val="20"/>
        </w:rPr>
        <w:t>us</w:t>
      </w:r>
      <w:r>
        <w:rPr>
          <w:rFonts w:ascii="Trebuchet MS" w:hAnsi="Trebuchet MS"/>
          <w:color w:val="231F20"/>
          <w:spacing w:val="-2"/>
          <w:w w:val="107"/>
          <w:sz w:val="20"/>
        </w:rPr>
        <w:t>t</w:t>
      </w:r>
      <w:r>
        <w:rPr>
          <w:rFonts w:ascii="Trebuchet MS" w:hAnsi="Trebuchet MS"/>
          <w:color w:val="231F20"/>
          <w:spacing w:val="-1"/>
          <w:w w:val="80"/>
          <w:sz w:val="20"/>
        </w:rPr>
        <w:t>i</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05"/>
          <w:sz w:val="20"/>
        </w:rPr>
        <w:t>s</w:t>
      </w:r>
      <w:r>
        <w:rPr>
          <w:rFonts w:ascii="Trebuchet MS" w:hAnsi="Trebuchet MS"/>
          <w:color w:val="231F20"/>
          <w:spacing w:val="-4"/>
          <w:w w:val="105"/>
          <w:sz w:val="20"/>
        </w:rPr>
        <w:t>t</w:t>
      </w:r>
      <w:r>
        <w:rPr>
          <w:rFonts w:ascii="Trebuchet MS" w:hAnsi="Trebuchet MS"/>
          <w:color w:val="231F20"/>
          <w:spacing w:val="-1"/>
          <w:w w:val="110"/>
          <w:sz w:val="20"/>
        </w:rPr>
        <w:t>em</w:t>
      </w:r>
    </w:p>
    <w:p w14:paraId="16DCA9C6" w14:textId="77777777" w:rsidR="00894070" w:rsidRDefault="009B7AFD">
      <w:pPr>
        <w:pStyle w:val="ListParagraph"/>
        <w:numPr>
          <w:ilvl w:val="1"/>
          <w:numId w:val="105"/>
        </w:numPr>
        <w:tabs>
          <w:tab w:val="left" w:pos="2934"/>
          <w:tab w:val="left" w:pos="2935"/>
        </w:tabs>
        <w:spacing w:before="87"/>
        <w:ind w:hanging="566"/>
        <w:rPr>
          <w:rFonts w:ascii="Trebuchet MS" w:hAnsi="Trebuchet MS"/>
          <w:sz w:val="20"/>
        </w:rPr>
      </w:pPr>
      <w:r>
        <w:rPr>
          <w:rFonts w:ascii="Trebuchet MS" w:hAnsi="Trebuchet MS"/>
          <w:color w:val="231F20"/>
          <w:w w:val="105"/>
          <w:sz w:val="20"/>
        </w:rPr>
        <w:t>include</w:t>
      </w:r>
      <w:r>
        <w:rPr>
          <w:rFonts w:ascii="Trebuchet MS" w:hAnsi="Trebuchet MS"/>
          <w:color w:val="231F20"/>
          <w:spacing w:val="-17"/>
          <w:w w:val="105"/>
          <w:sz w:val="20"/>
        </w:rPr>
        <w:t xml:space="preserve"> </w:t>
      </w:r>
      <w:r>
        <w:rPr>
          <w:rFonts w:ascii="Trebuchet MS" w:hAnsi="Trebuchet MS"/>
          <w:color w:val="231F20"/>
          <w:w w:val="105"/>
          <w:sz w:val="20"/>
        </w:rPr>
        <w:t>diverse</w:t>
      </w:r>
      <w:r>
        <w:rPr>
          <w:rFonts w:ascii="Trebuchet MS" w:hAnsi="Trebuchet MS"/>
          <w:color w:val="231F20"/>
          <w:spacing w:val="-16"/>
          <w:w w:val="105"/>
          <w:sz w:val="20"/>
        </w:rPr>
        <w:t xml:space="preserve"> </w:t>
      </w:r>
      <w:r>
        <w:rPr>
          <w:rFonts w:ascii="Trebuchet MS" w:hAnsi="Trebuchet MS"/>
          <w:color w:val="231F20"/>
          <w:w w:val="105"/>
          <w:sz w:val="20"/>
        </w:rPr>
        <w:t>points</w:t>
      </w:r>
      <w:r>
        <w:rPr>
          <w:rFonts w:ascii="Trebuchet MS" w:hAnsi="Trebuchet MS"/>
          <w:color w:val="231F20"/>
          <w:spacing w:val="-17"/>
          <w:w w:val="105"/>
          <w:sz w:val="20"/>
        </w:rPr>
        <w:t xml:space="preserve"> </w:t>
      </w:r>
      <w:r>
        <w:rPr>
          <w:rFonts w:ascii="Trebuchet MS" w:hAnsi="Trebuchet MS"/>
          <w:color w:val="231F20"/>
          <w:w w:val="105"/>
          <w:sz w:val="20"/>
        </w:rPr>
        <w:t>of</w:t>
      </w:r>
      <w:r>
        <w:rPr>
          <w:rFonts w:ascii="Trebuchet MS" w:hAnsi="Trebuchet MS"/>
          <w:color w:val="231F20"/>
          <w:spacing w:val="-16"/>
          <w:w w:val="105"/>
          <w:sz w:val="20"/>
        </w:rPr>
        <w:t xml:space="preserve"> </w:t>
      </w:r>
      <w:r>
        <w:rPr>
          <w:rFonts w:ascii="Trebuchet MS" w:hAnsi="Trebuchet MS"/>
          <w:color w:val="231F20"/>
          <w:spacing w:val="-3"/>
          <w:w w:val="105"/>
          <w:sz w:val="20"/>
        </w:rPr>
        <w:t>referral</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access</w:t>
      </w:r>
      <w:r>
        <w:rPr>
          <w:rFonts w:ascii="Trebuchet MS" w:hAnsi="Trebuchet MS"/>
          <w:color w:val="231F20"/>
          <w:spacing w:val="-17"/>
          <w:w w:val="105"/>
          <w:sz w:val="20"/>
        </w:rPr>
        <w:t xml:space="preserve"> </w:t>
      </w:r>
      <w:r>
        <w:rPr>
          <w:rFonts w:ascii="Trebuchet MS" w:hAnsi="Trebuchet MS"/>
          <w:color w:val="231F20"/>
          <w:w w:val="105"/>
          <w:sz w:val="20"/>
        </w:rPr>
        <w:t>to</w:t>
      </w:r>
      <w:r>
        <w:rPr>
          <w:rFonts w:ascii="Trebuchet MS" w:hAnsi="Trebuchet MS"/>
          <w:color w:val="231F20"/>
          <w:spacing w:val="-16"/>
          <w:w w:val="105"/>
          <w:sz w:val="20"/>
        </w:rPr>
        <w:t xml:space="preserve"> </w:t>
      </w:r>
      <w:r>
        <w:rPr>
          <w:rFonts w:ascii="Trebuchet MS" w:hAnsi="Trebuchet MS"/>
          <w:color w:val="231F20"/>
          <w:w w:val="105"/>
          <w:sz w:val="20"/>
        </w:rPr>
        <w:t>such</w:t>
      </w:r>
      <w:r>
        <w:rPr>
          <w:rFonts w:ascii="Trebuchet MS" w:hAnsi="Trebuchet MS"/>
          <w:color w:val="231F20"/>
          <w:spacing w:val="-17"/>
          <w:w w:val="105"/>
          <w:sz w:val="20"/>
        </w:rPr>
        <w:t xml:space="preserve"> </w:t>
      </w:r>
      <w:r>
        <w:rPr>
          <w:rFonts w:ascii="Trebuchet MS" w:hAnsi="Trebuchet MS"/>
          <w:color w:val="231F20"/>
          <w:w w:val="105"/>
          <w:sz w:val="20"/>
        </w:rPr>
        <w:t>support</w:t>
      </w:r>
    </w:p>
    <w:p w14:paraId="2A69D69D" w14:textId="77777777" w:rsidR="00894070" w:rsidRDefault="009B7AFD">
      <w:pPr>
        <w:pStyle w:val="ListParagraph"/>
        <w:numPr>
          <w:ilvl w:val="1"/>
          <w:numId w:val="105"/>
        </w:numPr>
        <w:tabs>
          <w:tab w:val="left" w:pos="2934"/>
          <w:tab w:val="left" w:pos="2935"/>
        </w:tabs>
        <w:spacing w:before="93" w:line="247" w:lineRule="auto"/>
        <w:ind w:right="1558" w:hanging="566"/>
        <w:rPr>
          <w:rFonts w:ascii="Trebuchet MS" w:hAnsi="Trebuchet MS"/>
          <w:sz w:val="20"/>
        </w:rPr>
      </w:pP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2"/>
          <w:w w:val="105"/>
          <w:sz w:val="20"/>
        </w:rPr>
        <w:t>a</w:t>
      </w:r>
      <w:r>
        <w:rPr>
          <w:rFonts w:ascii="Trebuchet MS" w:hAnsi="Trebuchet MS"/>
          <w:color w:val="231F20"/>
          <w:spacing w:val="-2"/>
          <w:w w:val="111"/>
          <w:sz w:val="20"/>
        </w:rPr>
        <w:t>b</w:t>
      </w:r>
      <w:r>
        <w:rPr>
          <w:rFonts w:ascii="Trebuchet MS" w:hAnsi="Trebuchet MS"/>
          <w:color w:val="231F20"/>
          <w:spacing w:val="-3"/>
          <w:w w:val="9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3"/>
          <w:w w:val="112"/>
          <w:sz w:val="20"/>
        </w:rPr>
        <w:t>d</w:t>
      </w:r>
      <w:r>
        <w:rPr>
          <w:rFonts w:ascii="Trebuchet MS" w:hAnsi="Trebuchet MS"/>
          <w:color w:val="231F20"/>
          <w:spacing w:val="-6"/>
          <w:w w:val="109"/>
          <w:sz w:val="20"/>
        </w:rPr>
        <w:t>v</w:t>
      </w:r>
      <w:r>
        <w:rPr>
          <w:rFonts w:ascii="Trebuchet MS" w:hAnsi="Trebuchet MS"/>
          <w:color w:val="231F20"/>
          <w:spacing w:val="-1"/>
          <w:w w:val="111"/>
          <w:sz w:val="20"/>
        </w:rPr>
        <w:t>o</w:t>
      </w:r>
      <w:r>
        <w:rPr>
          <w:rFonts w:ascii="Trebuchet MS" w:hAnsi="Trebuchet MS"/>
          <w:color w:val="231F20"/>
          <w:w w:val="111"/>
          <w:sz w:val="20"/>
        </w:rPr>
        <w:t>c</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04"/>
          <w:sz w:val="20"/>
        </w:rPr>
        <w:t>p</w:t>
      </w:r>
      <w:r>
        <w:rPr>
          <w:rFonts w:ascii="Trebuchet MS" w:hAnsi="Trebuchet MS"/>
          <w:color w:val="231F20"/>
          <w:spacing w:val="-4"/>
          <w:w w:val="104"/>
          <w:sz w:val="20"/>
        </w:rPr>
        <w:t>r</w:t>
      </w:r>
      <w:r>
        <w:rPr>
          <w:rFonts w:ascii="Trebuchet MS" w:hAnsi="Trebuchet MS"/>
          <w:color w:val="231F20"/>
          <w:spacing w:val="-6"/>
          <w:w w:val="111"/>
          <w:sz w:val="20"/>
        </w:rPr>
        <w:t>o</w:t>
      </w:r>
      <w:r>
        <w:rPr>
          <w:rFonts w:ascii="Trebuchet MS" w:hAnsi="Trebuchet MS"/>
          <w:color w:val="231F20"/>
          <w:spacing w:val="-2"/>
          <w:w w:val="109"/>
          <w:sz w:val="20"/>
        </w:rPr>
        <w:t>v</w:t>
      </w:r>
      <w:r>
        <w:rPr>
          <w:rFonts w:ascii="Trebuchet MS" w:hAnsi="Trebuchet MS"/>
          <w:color w:val="231F20"/>
          <w:spacing w:val="-1"/>
          <w:w w:val="101"/>
          <w:sz w:val="20"/>
        </w:rPr>
        <w:t>i</w:t>
      </w:r>
      <w:r>
        <w:rPr>
          <w:rFonts w:ascii="Trebuchet MS" w:hAnsi="Trebuchet MS"/>
          <w:color w:val="231F20"/>
          <w:spacing w:val="-2"/>
          <w:w w:val="101"/>
          <w:sz w:val="20"/>
        </w:rPr>
        <w:t>d</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1"/>
          <w:w w:val="104"/>
          <w:sz w:val="20"/>
        </w:rPr>
        <w:t>nd</w:t>
      </w:r>
      <w:r>
        <w:rPr>
          <w:rFonts w:ascii="Trebuchet MS" w:hAnsi="Trebuchet MS"/>
          <w:color w:val="231F20"/>
          <w:spacing w:val="-2"/>
          <w:w w:val="104"/>
          <w:sz w:val="20"/>
        </w:rPr>
        <w:t>i</w:t>
      </w:r>
      <w:r>
        <w:rPr>
          <w:rFonts w:ascii="Trebuchet MS" w:hAnsi="Trebuchet MS"/>
          <w:color w:val="231F20"/>
          <w:spacing w:val="-2"/>
          <w:w w:val="109"/>
          <w:sz w:val="20"/>
        </w:rPr>
        <w:t>v</w:t>
      </w:r>
      <w:r>
        <w:rPr>
          <w:rFonts w:ascii="Trebuchet MS" w:hAnsi="Trebuchet MS"/>
          <w:color w:val="231F20"/>
          <w:spacing w:val="-1"/>
          <w:w w:val="101"/>
          <w:sz w:val="20"/>
        </w:rPr>
        <w:t>i</w:t>
      </w:r>
      <w:r>
        <w:rPr>
          <w:rFonts w:ascii="Trebuchet MS" w:hAnsi="Trebuchet MS"/>
          <w:color w:val="231F20"/>
          <w:spacing w:val="-2"/>
          <w:w w:val="101"/>
          <w:sz w:val="20"/>
        </w:rPr>
        <w:t>d</w:t>
      </w:r>
      <w:r>
        <w:rPr>
          <w:rFonts w:ascii="Trebuchet MS" w:hAnsi="Trebuchet MS"/>
          <w:color w:val="231F20"/>
          <w:spacing w:val="-2"/>
          <w:w w:val="109"/>
          <w:sz w:val="20"/>
        </w:rPr>
        <w:t>u</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u</w:t>
      </w:r>
      <w:r>
        <w:rPr>
          <w:rFonts w:ascii="Trebuchet MS" w:hAnsi="Trebuchet MS"/>
          <w:color w:val="231F20"/>
          <w:spacing w:val="-1"/>
          <w:w w:val="111"/>
          <w:sz w:val="20"/>
        </w:rPr>
        <w:t>ppo</w:t>
      </w:r>
      <w:r>
        <w:rPr>
          <w:rFonts w:ascii="Trebuchet MS" w:hAnsi="Trebuchet MS"/>
          <w:color w:val="231F20"/>
          <w:spacing w:val="2"/>
          <w:w w:val="93"/>
          <w:sz w:val="20"/>
        </w:rPr>
        <w:t>r</w:t>
      </w:r>
      <w:r>
        <w:rPr>
          <w:rFonts w:ascii="Trebuchet MS" w:hAnsi="Trebuchet MS"/>
          <w:color w:val="231F20"/>
          <w:spacing w:val="1"/>
          <w:w w:val="88"/>
          <w:sz w:val="20"/>
        </w:rPr>
        <w:t>t</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1"/>
          <w:w w:val="109"/>
          <w:sz w:val="20"/>
        </w:rPr>
        <w:t>n</w:t>
      </w:r>
      <w:r>
        <w:rPr>
          <w:rFonts w:ascii="Trebuchet MS" w:hAnsi="Trebuchet MS"/>
          <w:color w:val="231F20"/>
          <w:spacing w:val="-3"/>
          <w:w w:val="109"/>
          <w:sz w:val="20"/>
        </w:rPr>
        <w:t>c</w:t>
      </w:r>
      <w:r>
        <w:rPr>
          <w:rFonts w:ascii="Trebuchet MS" w:hAnsi="Trebuchet MS"/>
          <w:color w:val="231F20"/>
          <w:spacing w:val="-3"/>
          <w:w w:val="96"/>
          <w:sz w:val="20"/>
        </w:rPr>
        <w:t>l</w:t>
      </w:r>
      <w:r>
        <w:rPr>
          <w:rFonts w:ascii="Trebuchet MS" w:hAnsi="Trebuchet MS"/>
          <w:color w:val="231F20"/>
          <w:spacing w:val="-2"/>
          <w:w w:val="109"/>
          <w:sz w:val="20"/>
        </w:rPr>
        <w:t>u</w:t>
      </w:r>
      <w:r>
        <w:rPr>
          <w:rFonts w:ascii="Trebuchet MS" w:hAnsi="Trebuchet MS"/>
          <w:color w:val="231F20"/>
          <w:spacing w:val="-1"/>
          <w:w w:val="101"/>
          <w:sz w:val="20"/>
        </w:rPr>
        <w:t>d</w:t>
      </w:r>
      <w:r>
        <w:rPr>
          <w:rFonts w:ascii="Trebuchet MS" w:hAnsi="Trebuchet MS"/>
          <w:color w:val="231F20"/>
          <w:spacing w:val="-2"/>
          <w:w w:val="101"/>
          <w:sz w:val="20"/>
        </w:rPr>
        <w:t>i</w:t>
      </w:r>
      <w:r>
        <w:rPr>
          <w:rFonts w:ascii="Trebuchet MS" w:hAnsi="Trebuchet MS"/>
          <w:color w:val="231F20"/>
          <w:spacing w:val="-1"/>
          <w:w w:val="107"/>
          <w:sz w:val="20"/>
        </w:rPr>
        <w:t>n</w:t>
      </w:r>
      <w:r>
        <w:rPr>
          <w:rFonts w:ascii="Trebuchet MS" w:hAnsi="Trebuchet MS"/>
          <w:color w:val="231F20"/>
          <w:w w:val="124"/>
          <w:sz w:val="20"/>
        </w:rPr>
        <w:t xml:space="preserve">g </w:t>
      </w:r>
      <w:r>
        <w:rPr>
          <w:rFonts w:ascii="Trebuchet MS" w:hAnsi="Trebuchet MS"/>
          <w:color w:val="231F20"/>
          <w:w w:val="105"/>
          <w:sz w:val="20"/>
        </w:rPr>
        <w:t>specialised</w:t>
      </w:r>
      <w:r>
        <w:rPr>
          <w:rFonts w:ascii="Trebuchet MS" w:hAnsi="Trebuchet MS"/>
          <w:color w:val="231F20"/>
          <w:spacing w:val="-16"/>
          <w:w w:val="105"/>
          <w:sz w:val="20"/>
        </w:rPr>
        <w:t xml:space="preserve"> </w:t>
      </w:r>
      <w:r>
        <w:rPr>
          <w:rFonts w:ascii="Trebuchet MS" w:hAnsi="Trebuchet MS"/>
          <w:color w:val="231F20"/>
          <w:w w:val="105"/>
          <w:sz w:val="20"/>
        </w:rPr>
        <w:t>expertise</w:t>
      </w:r>
      <w:r>
        <w:rPr>
          <w:rFonts w:ascii="Trebuchet MS" w:hAnsi="Trebuchet MS"/>
          <w:color w:val="231F20"/>
          <w:spacing w:val="-15"/>
          <w:w w:val="105"/>
          <w:sz w:val="20"/>
        </w:rPr>
        <w:t xml:space="preserve"> </w:t>
      </w:r>
      <w:r>
        <w:rPr>
          <w:rFonts w:ascii="Trebuchet MS" w:hAnsi="Trebuchet MS"/>
          <w:color w:val="231F20"/>
          <w:w w:val="105"/>
          <w:sz w:val="20"/>
        </w:rPr>
        <w:t>and</w:t>
      </w:r>
      <w:r>
        <w:rPr>
          <w:rFonts w:ascii="Trebuchet MS" w:hAnsi="Trebuchet MS"/>
          <w:color w:val="231F20"/>
          <w:spacing w:val="-16"/>
          <w:w w:val="105"/>
          <w:sz w:val="20"/>
        </w:rPr>
        <w:t xml:space="preserve"> </w:t>
      </w:r>
      <w:r>
        <w:rPr>
          <w:rFonts w:ascii="Trebuchet MS" w:hAnsi="Trebuchet MS"/>
          <w:color w:val="231F20"/>
          <w:w w:val="105"/>
          <w:sz w:val="20"/>
        </w:rPr>
        <w:t>understanding</w:t>
      </w:r>
      <w:r>
        <w:rPr>
          <w:rFonts w:ascii="Trebuchet MS" w:hAnsi="Trebuchet MS"/>
          <w:color w:val="231F20"/>
          <w:spacing w:val="-15"/>
          <w:w w:val="105"/>
          <w:sz w:val="20"/>
        </w:rPr>
        <w:t xml:space="preserve"> </w:t>
      </w:r>
      <w:r>
        <w:rPr>
          <w:rFonts w:ascii="Trebuchet MS" w:hAnsi="Trebuchet MS"/>
          <w:color w:val="231F20"/>
          <w:w w:val="105"/>
          <w:sz w:val="20"/>
        </w:rPr>
        <w:t>of</w:t>
      </w:r>
      <w:r>
        <w:rPr>
          <w:rFonts w:ascii="Trebuchet MS" w:hAnsi="Trebuchet MS"/>
          <w:color w:val="231F20"/>
          <w:spacing w:val="-16"/>
          <w:w w:val="105"/>
          <w:sz w:val="20"/>
        </w:rPr>
        <w:t xml:space="preserve"> </w:t>
      </w:r>
      <w:r>
        <w:rPr>
          <w:rFonts w:ascii="Trebuchet MS" w:hAnsi="Trebuchet MS"/>
          <w:color w:val="231F20"/>
          <w:w w:val="105"/>
          <w:sz w:val="20"/>
        </w:rPr>
        <w:t>working</w:t>
      </w:r>
      <w:r>
        <w:rPr>
          <w:rFonts w:ascii="Trebuchet MS" w:hAnsi="Trebuchet MS"/>
          <w:color w:val="231F20"/>
          <w:spacing w:val="-15"/>
          <w:w w:val="105"/>
          <w:sz w:val="20"/>
        </w:rPr>
        <w:t xml:space="preserve"> </w:t>
      </w:r>
      <w:r>
        <w:rPr>
          <w:rFonts w:ascii="Trebuchet MS" w:hAnsi="Trebuchet MS"/>
          <w:color w:val="231F20"/>
          <w:w w:val="105"/>
          <w:sz w:val="20"/>
        </w:rPr>
        <w:t>with</w:t>
      </w:r>
      <w:r>
        <w:rPr>
          <w:rFonts w:ascii="Trebuchet MS" w:hAnsi="Trebuchet MS"/>
          <w:color w:val="231F20"/>
          <w:spacing w:val="-15"/>
          <w:w w:val="105"/>
          <w:sz w:val="20"/>
        </w:rPr>
        <w:t xml:space="preserve"> </w:t>
      </w:r>
      <w:r>
        <w:rPr>
          <w:rFonts w:ascii="Trebuchet MS" w:hAnsi="Trebuchet MS"/>
          <w:color w:val="231F20"/>
          <w:w w:val="105"/>
          <w:sz w:val="20"/>
        </w:rPr>
        <w:t>people</w:t>
      </w:r>
      <w:r>
        <w:rPr>
          <w:rFonts w:ascii="Trebuchet MS" w:hAnsi="Trebuchet MS"/>
          <w:color w:val="231F20"/>
          <w:spacing w:val="-16"/>
          <w:w w:val="105"/>
          <w:sz w:val="20"/>
        </w:rPr>
        <w:t xml:space="preserve"> </w:t>
      </w:r>
      <w:r>
        <w:rPr>
          <w:rFonts w:ascii="Trebuchet MS" w:hAnsi="Trebuchet MS"/>
          <w:color w:val="231F20"/>
          <w:w w:val="105"/>
          <w:sz w:val="20"/>
        </w:rPr>
        <w:t>from diverse</w:t>
      </w:r>
      <w:r>
        <w:rPr>
          <w:rFonts w:ascii="Trebuchet MS" w:hAnsi="Trebuchet MS"/>
          <w:color w:val="231F20"/>
          <w:spacing w:val="-17"/>
          <w:w w:val="105"/>
          <w:sz w:val="20"/>
        </w:rPr>
        <w:t xml:space="preserve"> </w:t>
      </w:r>
      <w:r>
        <w:rPr>
          <w:rFonts w:ascii="Trebuchet MS" w:hAnsi="Trebuchet MS"/>
          <w:color w:val="231F20"/>
          <w:w w:val="105"/>
          <w:sz w:val="20"/>
        </w:rPr>
        <w:t>backgrounds</w:t>
      </w:r>
    </w:p>
    <w:p w14:paraId="395B1C07" w14:textId="77777777" w:rsidR="00894070" w:rsidRDefault="009B7AFD">
      <w:pPr>
        <w:pStyle w:val="ListParagraph"/>
        <w:numPr>
          <w:ilvl w:val="1"/>
          <w:numId w:val="105"/>
        </w:numPr>
        <w:tabs>
          <w:tab w:val="left" w:pos="2934"/>
          <w:tab w:val="left" w:pos="2935"/>
        </w:tabs>
        <w:spacing w:before="87"/>
        <w:ind w:hanging="566"/>
        <w:rPr>
          <w:rFonts w:ascii="Trebuchet MS" w:hAnsi="Trebuchet MS"/>
          <w:sz w:val="20"/>
        </w:rPr>
      </w:pPr>
      <w:r>
        <w:rPr>
          <w:rFonts w:ascii="Trebuchet MS" w:hAnsi="Trebuchet MS"/>
          <w:color w:val="231F20"/>
          <w:spacing w:val="-2"/>
          <w:w w:val="124"/>
          <w:sz w:val="20"/>
        </w:rPr>
        <w:t>g</w:t>
      </w:r>
      <w:r>
        <w:rPr>
          <w:rFonts w:ascii="Trebuchet MS" w:hAnsi="Trebuchet MS"/>
          <w:color w:val="231F20"/>
          <w:spacing w:val="-2"/>
          <w:w w:val="80"/>
          <w:sz w:val="20"/>
        </w:rPr>
        <w:t>i</w:t>
      </w:r>
      <w:r>
        <w:rPr>
          <w:rFonts w:ascii="Trebuchet MS" w:hAnsi="Trebuchet MS"/>
          <w:color w:val="231F20"/>
          <w:spacing w:val="-6"/>
          <w:w w:val="109"/>
          <w:sz w:val="20"/>
        </w:rPr>
        <w:t>v</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2"/>
          <w:w w:val="93"/>
          <w:sz w:val="20"/>
        </w:rPr>
        <w:t>r</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3"/>
          <w:w w:val="80"/>
          <w:sz w:val="20"/>
        </w:rPr>
        <w:t>i</w:t>
      </w:r>
      <w:r>
        <w:rPr>
          <w:rFonts w:ascii="Trebuchet MS" w:hAnsi="Trebuchet MS"/>
          <w:color w:val="231F20"/>
          <w:w w:val="88"/>
          <w:sz w:val="20"/>
        </w:rPr>
        <w:t>t</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1"/>
          <w:w w:val="111"/>
          <w:sz w:val="20"/>
        </w:rPr>
        <w:t>o</w:t>
      </w:r>
      <w:r>
        <w:rPr>
          <w:rFonts w:ascii="Trebuchet MS" w:hAnsi="Trebuchet MS"/>
          <w:color w:val="231F20"/>
          <w:spacing w:val="-2"/>
          <w:w w:val="111"/>
          <w:sz w:val="20"/>
        </w:rPr>
        <w:t>p</w:t>
      </w:r>
      <w:r>
        <w:rPr>
          <w:rFonts w:ascii="Trebuchet MS" w:hAnsi="Trebuchet MS"/>
          <w:color w:val="231F20"/>
          <w:spacing w:val="-3"/>
          <w:w w:val="9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0"/>
          <w:sz w:val="20"/>
        </w:rPr>
        <w:t>c</w:t>
      </w:r>
      <w:r>
        <w:rPr>
          <w:rFonts w:ascii="Trebuchet MS" w:hAnsi="Trebuchet MS"/>
          <w:color w:val="231F20"/>
          <w:spacing w:val="-1"/>
          <w:w w:val="110"/>
          <w:sz w:val="20"/>
        </w:rPr>
        <w:t>u</w:t>
      </w:r>
      <w:r>
        <w:rPr>
          <w:rFonts w:ascii="Trebuchet MS" w:hAnsi="Trebuchet MS"/>
          <w:color w:val="231F20"/>
          <w:spacing w:val="-2"/>
          <w:w w:val="93"/>
          <w:sz w:val="20"/>
        </w:rPr>
        <w:t>r</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3"/>
          <w:w w:val="88"/>
          <w:sz w:val="20"/>
        </w:rPr>
        <w:t>t</w:t>
      </w:r>
      <w:r>
        <w:rPr>
          <w:rFonts w:ascii="Trebuchet MS" w:hAnsi="Trebuchet MS"/>
          <w:color w:val="231F20"/>
          <w:spacing w:val="-7"/>
          <w:w w:val="96"/>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1"/>
          <w:w w:val="109"/>
          <w:sz w:val="20"/>
        </w:rPr>
        <w:t>u</w:t>
      </w:r>
      <w:r>
        <w:rPr>
          <w:rFonts w:ascii="Trebuchet MS" w:hAnsi="Trebuchet MS"/>
          <w:color w:val="231F20"/>
          <w:spacing w:val="-1"/>
          <w:w w:val="107"/>
          <w:sz w:val="20"/>
        </w:rPr>
        <w:t>n</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spacing w:val="-1"/>
          <w:w w:val="108"/>
          <w:sz w:val="20"/>
        </w:rPr>
        <w:t>e</w:t>
      </w:r>
      <w:r>
        <w:rPr>
          <w:rFonts w:ascii="Trebuchet MS" w:hAnsi="Trebuchet MS"/>
          <w:color w:val="231F20"/>
          <w:spacing w:val="3"/>
          <w:w w:val="93"/>
          <w:sz w:val="20"/>
        </w:rPr>
        <w:t>r</w:t>
      </w:r>
      <w:r>
        <w:rPr>
          <w:rFonts w:ascii="Trebuchet MS" w:hAnsi="Trebuchet MS"/>
          <w:color w:val="231F20"/>
          <w:spacing w:val="-6"/>
          <w:w w:val="109"/>
          <w:sz w:val="20"/>
        </w:rPr>
        <w:t>v</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w w:val="55"/>
          <w:sz w:val="20"/>
        </w:rPr>
        <w:t>.</w:t>
      </w:r>
    </w:p>
    <w:p w14:paraId="774F0DF5" w14:textId="77777777" w:rsidR="00894070" w:rsidRDefault="00894070">
      <w:pPr>
        <w:pStyle w:val="BodyText"/>
        <w:rPr>
          <w:rFonts w:ascii="Trebuchet MS"/>
        </w:rPr>
      </w:pPr>
    </w:p>
    <w:p w14:paraId="2ED772E8" w14:textId="77777777" w:rsidR="00894070" w:rsidRDefault="00894070">
      <w:pPr>
        <w:pStyle w:val="BodyText"/>
        <w:rPr>
          <w:rFonts w:ascii="Trebuchet MS"/>
        </w:rPr>
      </w:pPr>
    </w:p>
    <w:p w14:paraId="1A5FEE59" w14:textId="77777777" w:rsidR="00894070" w:rsidRDefault="00894070">
      <w:pPr>
        <w:pStyle w:val="BodyText"/>
        <w:rPr>
          <w:rFonts w:ascii="Trebuchet MS"/>
        </w:rPr>
      </w:pPr>
    </w:p>
    <w:p w14:paraId="6D478B6B" w14:textId="77777777" w:rsidR="00894070" w:rsidRDefault="00894070">
      <w:pPr>
        <w:pStyle w:val="BodyText"/>
        <w:rPr>
          <w:rFonts w:ascii="Trebuchet MS"/>
        </w:rPr>
      </w:pPr>
    </w:p>
    <w:p w14:paraId="6CBC85D3" w14:textId="77777777" w:rsidR="00894070" w:rsidRDefault="00894070">
      <w:pPr>
        <w:pStyle w:val="BodyText"/>
        <w:rPr>
          <w:rFonts w:ascii="Trebuchet MS"/>
        </w:rPr>
      </w:pPr>
    </w:p>
    <w:p w14:paraId="1766D688" w14:textId="77777777" w:rsidR="00894070" w:rsidRDefault="00894070">
      <w:pPr>
        <w:pStyle w:val="BodyText"/>
        <w:rPr>
          <w:rFonts w:ascii="Trebuchet MS"/>
        </w:rPr>
      </w:pPr>
    </w:p>
    <w:p w14:paraId="5F40E204" w14:textId="77777777" w:rsidR="00894070" w:rsidRDefault="00894070">
      <w:pPr>
        <w:pStyle w:val="BodyText"/>
        <w:rPr>
          <w:rFonts w:ascii="Trebuchet MS"/>
        </w:rPr>
      </w:pPr>
    </w:p>
    <w:p w14:paraId="572B9FA6" w14:textId="77777777" w:rsidR="00894070" w:rsidRDefault="00894070">
      <w:pPr>
        <w:pStyle w:val="BodyText"/>
        <w:rPr>
          <w:rFonts w:ascii="Trebuchet MS"/>
        </w:rPr>
      </w:pPr>
    </w:p>
    <w:p w14:paraId="3F98883C" w14:textId="77777777" w:rsidR="00894070" w:rsidRDefault="00894070">
      <w:pPr>
        <w:pStyle w:val="BodyText"/>
        <w:rPr>
          <w:rFonts w:ascii="Trebuchet MS"/>
        </w:rPr>
      </w:pPr>
    </w:p>
    <w:p w14:paraId="59AF32F9" w14:textId="77777777" w:rsidR="00894070" w:rsidRDefault="00894070">
      <w:pPr>
        <w:pStyle w:val="BodyText"/>
        <w:rPr>
          <w:rFonts w:ascii="Trebuchet MS"/>
        </w:rPr>
      </w:pPr>
    </w:p>
    <w:p w14:paraId="314357BE" w14:textId="77777777" w:rsidR="00894070" w:rsidRDefault="00894070">
      <w:pPr>
        <w:pStyle w:val="BodyText"/>
        <w:rPr>
          <w:rFonts w:ascii="Trebuchet MS"/>
        </w:rPr>
      </w:pPr>
    </w:p>
    <w:p w14:paraId="7F89F354" w14:textId="77777777" w:rsidR="00894070" w:rsidRDefault="00894070">
      <w:pPr>
        <w:pStyle w:val="BodyText"/>
        <w:rPr>
          <w:rFonts w:ascii="Trebuchet MS"/>
        </w:rPr>
      </w:pPr>
    </w:p>
    <w:p w14:paraId="6A48DF84" w14:textId="77777777" w:rsidR="00894070" w:rsidRDefault="00894070">
      <w:pPr>
        <w:pStyle w:val="BodyText"/>
        <w:rPr>
          <w:rFonts w:ascii="Trebuchet MS"/>
        </w:rPr>
      </w:pPr>
    </w:p>
    <w:p w14:paraId="08B3AA7E" w14:textId="77777777" w:rsidR="00894070" w:rsidRDefault="00894070">
      <w:pPr>
        <w:pStyle w:val="BodyText"/>
        <w:rPr>
          <w:rFonts w:ascii="Trebuchet MS"/>
        </w:rPr>
      </w:pPr>
    </w:p>
    <w:p w14:paraId="6FA04796" w14:textId="77777777" w:rsidR="00894070" w:rsidRDefault="00894070">
      <w:pPr>
        <w:pStyle w:val="BodyText"/>
        <w:rPr>
          <w:rFonts w:ascii="Trebuchet MS"/>
        </w:rPr>
      </w:pPr>
    </w:p>
    <w:p w14:paraId="72E73EF3" w14:textId="77777777" w:rsidR="00894070" w:rsidRDefault="00894070">
      <w:pPr>
        <w:pStyle w:val="BodyText"/>
        <w:rPr>
          <w:rFonts w:ascii="Trebuchet MS"/>
        </w:rPr>
      </w:pPr>
    </w:p>
    <w:p w14:paraId="2C66DB0D" w14:textId="77777777" w:rsidR="00894070" w:rsidRDefault="00894070">
      <w:pPr>
        <w:pStyle w:val="BodyText"/>
        <w:rPr>
          <w:rFonts w:ascii="Trebuchet MS"/>
        </w:rPr>
      </w:pPr>
    </w:p>
    <w:p w14:paraId="00EE556C" w14:textId="77777777" w:rsidR="00894070" w:rsidRDefault="00894070">
      <w:pPr>
        <w:pStyle w:val="BodyText"/>
        <w:rPr>
          <w:rFonts w:ascii="Trebuchet MS"/>
        </w:rPr>
      </w:pPr>
    </w:p>
    <w:p w14:paraId="524FBF97" w14:textId="77777777" w:rsidR="00894070" w:rsidRDefault="00894070">
      <w:pPr>
        <w:pStyle w:val="BodyText"/>
        <w:rPr>
          <w:rFonts w:ascii="Trebuchet MS"/>
        </w:rPr>
      </w:pPr>
    </w:p>
    <w:p w14:paraId="5875D5E7" w14:textId="77777777" w:rsidR="00894070" w:rsidRDefault="00894070">
      <w:pPr>
        <w:pStyle w:val="BodyText"/>
        <w:rPr>
          <w:rFonts w:ascii="Trebuchet MS"/>
        </w:rPr>
      </w:pPr>
    </w:p>
    <w:p w14:paraId="3B9BE040" w14:textId="77777777" w:rsidR="00894070" w:rsidRDefault="00894070">
      <w:pPr>
        <w:pStyle w:val="BodyText"/>
        <w:rPr>
          <w:rFonts w:ascii="Trebuchet MS"/>
        </w:rPr>
      </w:pPr>
    </w:p>
    <w:p w14:paraId="65F6CF37" w14:textId="77777777" w:rsidR="00894070" w:rsidRDefault="00894070">
      <w:pPr>
        <w:pStyle w:val="BodyText"/>
        <w:rPr>
          <w:rFonts w:ascii="Trebuchet MS"/>
        </w:rPr>
      </w:pPr>
    </w:p>
    <w:p w14:paraId="48785443" w14:textId="77777777" w:rsidR="00894070" w:rsidRDefault="00894070">
      <w:pPr>
        <w:pStyle w:val="BodyText"/>
        <w:rPr>
          <w:rFonts w:ascii="Trebuchet MS"/>
        </w:rPr>
      </w:pPr>
    </w:p>
    <w:p w14:paraId="4B455BAA" w14:textId="77777777" w:rsidR="00894070" w:rsidRDefault="00894070">
      <w:pPr>
        <w:pStyle w:val="BodyText"/>
        <w:rPr>
          <w:rFonts w:ascii="Trebuchet MS"/>
        </w:rPr>
      </w:pPr>
    </w:p>
    <w:p w14:paraId="3EDA73FB" w14:textId="77777777" w:rsidR="00894070" w:rsidRDefault="00894070">
      <w:pPr>
        <w:pStyle w:val="BodyText"/>
        <w:rPr>
          <w:rFonts w:ascii="Trebuchet MS"/>
        </w:rPr>
      </w:pPr>
    </w:p>
    <w:p w14:paraId="5DA03B40" w14:textId="77777777" w:rsidR="00894070" w:rsidRDefault="00894070">
      <w:pPr>
        <w:pStyle w:val="BodyText"/>
        <w:rPr>
          <w:rFonts w:ascii="Trebuchet MS"/>
        </w:rPr>
      </w:pPr>
    </w:p>
    <w:p w14:paraId="670DE2A2" w14:textId="77777777" w:rsidR="00894070" w:rsidRDefault="00894070">
      <w:pPr>
        <w:pStyle w:val="BodyText"/>
        <w:rPr>
          <w:rFonts w:ascii="Trebuchet MS"/>
        </w:rPr>
      </w:pPr>
    </w:p>
    <w:p w14:paraId="1ABC5FA2" w14:textId="77777777" w:rsidR="00894070" w:rsidRDefault="00894070">
      <w:pPr>
        <w:pStyle w:val="BodyText"/>
        <w:rPr>
          <w:rFonts w:ascii="Trebuchet MS"/>
        </w:rPr>
      </w:pPr>
    </w:p>
    <w:p w14:paraId="47AD8A37" w14:textId="77777777" w:rsidR="00894070" w:rsidRDefault="00894070">
      <w:pPr>
        <w:pStyle w:val="BodyText"/>
        <w:rPr>
          <w:rFonts w:ascii="Trebuchet MS"/>
        </w:rPr>
      </w:pPr>
    </w:p>
    <w:p w14:paraId="679C3AF1" w14:textId="77777777" w:rsidR="00894070" w:rsidRDefault="00894070">
      <w:pPr>
        <w:pStyle w:val="BodyText"/>
        <w:rPr>
          <w:rFonts w:ascii="Trebuchet MS"/>
        </w:rPr>
      </w:pPr>
    </w:p>
    <w:p w14:paraId="6F8E1D05" w14:textId="77777777" w:rsidR="00894070" w:rsidRDefault="00894070">
      <w:pPr>
        <w:pStyle w:val="BodyText"/>
        <w:spacing w:before="9"/>
        <w:rPr>
          <w:rFonts w:ascii="Trebuchet MS"/>
          <w:sz w:val="25"/>
        </w:rPr>
      </w:pPr>
    </w:p>
    <w:p w14:paraId="39FC311E" w14:textId="77777777" w:rsidR="00894070" w:rsidRDefault="009B7AFD">
      <w:pPr>
        <w:pStyle w:val="Heading8"/>
        <w:spacing w:before="49"/>
        <w:ind w:left="140"/>
      </w:pPr>
      <w:r>
        <w:rPr>
          <w:color w:val="EA5B50"/>
        </w:rPr>
        <w:t>94</w:t>
      </w:r>
    </w:p>
    <w:p w14:paraId="1AF51FBF" w14:textId="77777777" w:rsidR="00894070" w:rsidRDefault="00894070">
      <w:pPr>
        <w:sectPr w:rsidR="00894070">
          <w:pgSz w:w="11910" w:h="16840"/>
          <w:pgMar w:top="860" w:right="420" w:bottom="280" w:left="580" w:header="567" w:footer="0" w:gutter="0"/>
          <w:cols w:space="720"/>
        </w:sectPr>
      </w:pPr>
    </w:p>
    <w:p w14:paraId="48CF9FAE" w14:textId="77777777" w:rsidR="00894070" w:rsidRDefault="009F6793">
      <w:pPr>
        <w:spacing w:line="680" w:lineRule="exact"/>
        <w:ind w:right="705"/>
        <w:jc w:val="right"/>
        <w:rPr>
          <w:rFonts w:ascii="Raleway SemiBold"/>
          <w:b/>
          <w:sz w:val="50"/>
        </w:rPr>
      </w:pPr>
      <w:r>
        <w:lastRenderedPageBreak/>
        <w:pict w14:anchorId="793AE134">
          <v:rect id="_x0000_s1375" style="position:absolute;left:0;text-align:left;margin-left:0;margin-top:0;width:595.3pt;height:841.9pt;z-index:-251495424;mso-position-horizontal-relative:page;mso-position-vertical-relative:page" fillcolor="#ea5b50" stroked="f">
            <w10:wrap anchorx="page" anchory="page"/>
          </v:rect>
        </w:pict>
      </w:r>
      <w:r>
        <w:pict w14:anchorId="62DE8924">
          <v:shape id="_x0000_s1374" type="#_x0000_t202" style="position:absolute;left:0;text-align:left;margin-left:406.5pt;margin-top:4.3pt;width:146.55pt;height:152.65pt;z-index:-251494400;mso-position-horizontal-relative:page" filled="f" stroked="f">
            <v:textbox inset="0,0,0,0">
              <w:txbxContent>
                <w:p w14:paraId="7D4B0886" w14:textId="77777777" w:rsidR="00894070" w:rsidRDefault="009B7AFD">
                  <w:pPr>
                    <w:spacing w:line="3052" w:lineRule="exact"/>
                    <w:rPr>
                      <w:b/>
                      <w:sz w:val="260"/>
                    </w:rPr>
                  </w:pPr>
                  <w:r>
                    <w:rPr>
                      <w:b/>
                      <w:color w:val="FFFFFF"/>
                      <w:spacing w:val="-123"/>
                      <w:sz w:val="260"/>
                    </w:rPr>
                    <w:t>06</w:t>
                  </w:r>
                </w:p>
              </w:txbxContent>
            </v:textbox>
            <w10:wrap anchorx="page"/>
          </v:shape>
        </w:pict>
      </w:r>
      <w:r w:rsidR="009B7AFD">
        <w:rPr>
          <w:rFonts w:ascii="Raleway SemiBold"/>
          <w:b/>
          <w:color w:val="FFFFFF"/>
          <w:sz w:val="50"/>
        </w:rPr>
        <w:t>CHAPTER</w:t>
      </w:r>
    </w:p>
    <w:p w14:paraId="602DA003" w14:textId="77777777" w:rsidR="00894070" w:rsidRDefault="00894070">
      <w:pPr>
        <w:pStyle w:val="BodyText"/>
        <w:rPr>
          <w:rFonts w:ascii="Raleway SemiBold"/>
          <w:b/>
        </w:rPr>
      </w:pPr>
    </w:p>
    <w:p w14:paraId="51609012" w14:textId="77777777" w:rsidR="00894070" w:rsidRDefault="00894070">
      <w:pPr>
        <w:pStyle w:val="BodyText"/>
        <w:rPr>
          <w:rFonts w:ascii="Raleway SemiBold"/>
          <w:b/>
        </w:rPr>
      </w:pPr>
    </w:p>
    <w:p w14:paraId="0083DB7C" w14:textId="77777777" w:rsidR="00894070" w:rsidRDefault="00894070">
      <w:pPr>
        <w:pStyle w:val="BodyText"/>
        <w:rPr>
          <w:rFonts w:ascii="Raleway SemiBold"/>
          <w:b/>
        </w:rPr>
      </w:pPr>
    </w:p>
    <w:p w14:paraId="5D87C876" w14:textId="77777777" w:rsidR="00894070" w:rsidRDefault="00894070">
      <w:pPr>
        <w:pStyle w:val="BodyText"/>
        <w:rPr>
          <w:rFonts w:ascii="Raleway SemiBold"/>
          <w:b/>
        </w:rPr>
      </w:pPr>
    </w:p>
    <w:p w14:paraId="3D223B59" w14:textId="77777777" w:rsidR="00894070" w:rsidRDefault="00894070">
      <w:pPr>
        <w:pStyle w:val="BodyText"/>
        <w:rPr>
          <w:rFonts w:ascii="Raleway SemiBold"/>
          <w:b/>
        </w:rPr>
      </w:pPr>
    </w:p>
    <w:p w14:paraId="654B9A86" w14:textId="77777777" w:rsidR="00894070" w:rsidRDefault="00894070">
      <w:pPr>
        <w:pStyle w:val="BodyText"/>
        <w:rPr>
          <w:rFonts w:ascii="Raleway SemiBold"/>
          <w:b/>
        </w:rPr>
      </w:pPr>
    </w:p>
    <w:p w14:paraId="2073F4AD" w14:textId="77777777" w:rsidR="00894070" w:rsidRDefault="00894070">
      <w:pPr>
        <w:pStyle w:val="BodyText"/>
        <w:rPr>
          <w:rFonts w:ascii="Raleway SemiBold"/>
          <w:b/>
        </w:rPr>
      </w:pPr>
    </w:p>
    <w:p w14:paraId="1B7E5D34" w14:textId="77777777" w:rsidR="00894070" w:rsidRDefault="00894070">
      <w:pPr>
        <w:pStyle w:val="BodyText"/>
        <w:spacing w:before="7"/>
        <w:rPr>
          <w:rFonts w:ascii="Raleway SemiBold"/>
          <w:b/>
          <w:sz w:val="27"/>
        </w:rPr>
      </w:pPr>
    </w:p>
    <w:p w14:paraId="59CA4AE3" w14:textId="77777777" w:rsidR="00894070" w:rsidRDefault="009B7AFD">
      <w:pPr>
        <w:spacing w:before="151" w:line="182" w:lineRule="auto"/>
        <w:ind w:left="1007" w:right="1166"/>
        <w:rPr>
          <w:rFonts w:ascii="Raleway ExtraBold"/>
          <w:b/>
          <w:sz w:val="80"/>
        </w:rPr>
      </w:pPr>
      <w:r>
        <w:rPr>
          <w:rFonts w:ascii="Raleway ExtraBold"/>
          <w:b/>
          <w:color w:val="FFFFFF"/>
          <w:spacing w:val="-18"/>
          <w:sz w:val="80"/>
        </w:rPr>
        <w:t xml:space="preserve">Personal </w:t>
      </w:r>
      <w:r>
        <w:rPr>
          <w:rFonts w:ascii="Raleway ExtraBold"/>
          <w:b/>
          <w:color w:val="FFFFFF"/>
          <w:spacing w:val="-21"/>
          <w:sz w:val="80"/>
        </w:rPr>
        <w:t xml:space="preserve">safety </w:t>
      </w:r>
      <w:r>
        <w:rPr>
          <w:rFonts w:ascii="Raleway ExtraBold"/>
          <w:b/>
          <w:color w:val="FFFFFF"/>
          <w:spacing w:val="-20"/>
          <w:sz w:val="80"/>
        </w:rPr>
        <w:t xml:space="preserve">intervention </w:t>
      </w:r>
      <w:r>
        <w:rPr>
          <w:rFonts w:ascii="Raleway ExtraBold"/>
          <w:b/>
          <w:color w:val="FFFFFF"/>
          <w:spacing w:val="-17"/>
          <w:sz w:val="80"/>
        </w:rPr>
        <w:t xml:space="preserve">orders </w:t>
      </w:r>
      <w:r>
        <w:rPr>
          <w:rFonts w:ascii="Raleway ExtraBold"/>
          <w:b/>
          <w:color w:val="FFFFFF"/>
          <w:spacing w:val="-18"/>
          <w:sz w:val="80"/>
        </w:rPr>
        <w:t xml:space="preserve">and </w:t>
      </w:r>
      <w:r>
        <w:rPr>
          <w:rFonts w:ascii="Raleway ExtraBold"/>
          <w:b/>
          <w:color w:val="FFFFFF"/>
          <w:spacing w:val="-13"/>
          <w:sz w:val="80"/>
        </w:rPr>
        <w:t xml:space="preserve">the </w:t>
      </w:r>
      <w:r>
        <w:rPr>
          <w:rFonts w:ascii="Raleway ExtraBold"/>
          <w:b/>
          <w:color w:val="FFFFFF"/>
          <w:spacing w:val="-18"/>
          <w:sz w:val="80"/>
        </w:rPr>
        <w:t xml:space="preserve">civil response </w:t>
      </w:r>
      <w:r>
        <w:rPr>
          <w:rFonts w:ascii="Raleway ExtraBold"/>
          <w:b/>
          <w:color w:val="FFFFFF"/>
          <w:spacing w:val="-14"/>
          <w:sz w:val="80"/>
        </w:rPr>
        <w:t xml:space="preserve">to </w:t>
      </w:r>
      <w:r>
        <w:rPr>
          <w:rFonts w:ascii="Raleway ExtraBold"/>
          <w:b/>
          <w:color w:val="FFFFFF"/>
          <w:spacing w:val="-18"/>
          <w:sz w:val="80"/>
        </w:rPr>
        <w:t>stalking</w:t>
      </w:r>
    </w:p>
    <w:p w14:paraId="40A7CCBE" w14:textId="77777777" w:rsidR="00894070" w:rsidRDefault="00894070">
      <w:pPr>
        <w:pStyle w:val="BodyText"/>
        <w:rPr>
          <w:rFonts w:ascii="Raleway ExtraBold"/>
          <w:b/>
        </w:rPr>
      </w:pPr>
    </w:p>
    <w:p w14:paraId="00666C8B" w14:textId="77777777" w:rsidR="00894070" w:rsidRDefault="00894070">
      <w:pPr>
        <w:pStyle w:val="BodyText"/>
        <w:rPr>
          <w:rFonts w:ascii="Raleway ExtraBold"/>
          <w:b/>
        </w:rPr>
      </w:pPr>
    </w:p>
    <w:p w14:paraId="745EC9F7" w14:textId="77777777" w:rsidR="00894070" w:rsidRDefault="00894070">
      <w:pPr>
        <w:pStyle w:val="BodyText"/>
        <w:rPr>
          <w:rFonts w:ascii="Raleway ExtraBold"/>
          <w:b/>
          <w:sz w:val="27"/>
        </w:rPr>
      </w:pPr>
    </w:p>
    <w:p w14:paraId="7376EEC8" w14:textId="77777777" w:rsidR="00894070" w:rsidRDefault="009F6793">
      <w:pPr>
        <w:pStyle w:val="Heading8"/>
        <w:tabs>
          <w:tab w:val="left" w:pos="1588"/>
        </w:tabs>
        <w:spacing w:before="49"/>
        <w:ind w:left="1021"/>
      </w:pPr>
      <w:r>
        <w:pict w14:anchorId="0E4010A9">
          <v:line id="_x0000_s1373" style="position:absolute;left:0;text-align:left;z-index:251627520;mso-wrap-distance-left:0;mso-wrap-distance-right:0;mso-position-horizontal-relative:page" from="80.1pt,22.95pt" to="105.6pt,22.95pt" strokecolor="#f4a997" strokeweight="2pt">
            <w10:wrap type="topAndBottom" anchorx="page"/>
          </v:line>
        </w:pict>
      </w:r>
      <w:hyperlink w:anchor="_bookmark64" w:history="1">
        <w:r w:rsidR="009B7AFD">
          <w:rPr>
            <w:color w:val="FFFFFF"/>
          </w:rPr>
          <w:t>96</w:t>
        </w:r>
        <w:r w:rsidR="009B7AFD">
          <w:rPr>
            <w:color w:val="FFFFFF"/>
          </w:rPr>
          <w:tab/>
          <w:t>Overview</w:t>
        </w:r>
      </w:hyperlink>
    </w:p>
    <w:p w14:paraId="34B36605" w14:textId="77777777" w:rsidR="00894070" w:rsidRDefault="009F6793">
      <w:pPr>
        <w:pStyle w:val="ListParagraph"/>
        <w:numPr>
          <w:ilvl w:val="0"/>
          <w:numId w:val="104"/>
        </w:numPr>
        <w:tabs>
          <w:tab w:val="left" w:pos="1588"/>
          <w:tab w:val="left" w:pos="1589"/>
        </w:tabs>
        <w:spacing w:before="14" w:after="57"/>
        <w:rPr>
          <w:b/>
          <w:sz w:val="24"/>
        </w:rPr>
      </w:pPr>
      <w:hyperlink w:anchor="_bookmark64" w:history="1">
        <w:r w:rsidR="009B7AFD">
          <w:rPr>
            <w:b/>
            <w:color w:val="FFFFFF"/>
            <w:sz w:val="24"/>
          </w:rPr>
          <w:t>The main response to</w:t>
        </w:r>
        <w:r w:rsidR="009B7AFD">
          <w:rPr>
            <w:b/>
            <w:color w:val="FFFFFF"/>
            <w:spacing w:val="-1"/>
            <w:sz w:val="24"/>
          </w:rPr>
          <w:t xml:space="preserve"> </w:t>
        </w:r>
        <w:r w:rsidR="009B7AFD">
          <w:rPr>
            <w:b/>
            <w:color w:val="FFFFFF"/>
            <w:sz w:val="24"/>
          </w:rPr>
          <w:t>stalking</w:t>
        </w:r>
      </w:hyperlink>
    </w:p>
    <w:p w14:paraId="615D8EED" w14:textId="77777777" w:rsidR="00894070" w:rsidRDefault="009F6793">
      <w:pPr>
        <w:pStyle w:val="BodyText"/>
        <w:spacing w:line="40" w:lineRule="exact"/>
        <w:ind w:left="1001"/>
        <w:rPr>
          <w:sz w:val="4"/>
        </w:rPr>
      </w:pPr>
      <w:r>
        <w:rPr>
          <w:sz w:val="4"/>
        </w:rPr>
      </w:r>
      <w:r>
        <w:rPr>
          <w:sz w:val="4"/>
        </w:rPr>
        <w:pict w14:anchorId="071370CD">
          <v:group id="_x0000_s1371" style="width:25.55pt;height:2pt;mso-position-horizontal-relative:char;mso-position-vertical-relative:line" coordsize="511,40">
            <v:line id="_x0000_s1372" style="position:absolute" from="0,20" to="510,20" strokecolor="#f4a997" strokeweight="2pt"/>
            <w10:anchorlock/>
          </v:group>
        </w:pict>
      </w:r>
    </w:p>
    <w:p w14:paraId="5D411461" w14:textId="77777777" w:rsidR="00894070" w:rsidRDefault="009F6793">
      <w:pPr>
        <w:pStyle w:val="ListParagraph"/>
        <w:numPr>
          <w:ilvl w:val="0"/>
          <w:numId w:val="104"/>
        </w:numPr>
        <w:tabs>
          <w:tab w:val="left" w:pos="1588"/>
          <w:tab w:val="left" w:pos="1589"/>
        </w:tabs>
        <w:spacing w:before="43"/>
        <w:rPr>
          <w:b/>
          <w:sz w:val="24"/>
        </w:rPr>
      </w:pPr>
      <w:r>
        <w:pict w14:anchorId="0FDB29AA">
          <v:line id="_x0000_s1370" style="position:absolute;left:0;text-align:left;z-index:251629568;mso-wrap-distance-left:0;mso-wrap-distance-right:0;mso-position-horizontal-relative:page" from="80.1pt,22.65pt" to="105.6pt,22.65pt" strokecolor="#f4a997" strokeweight="2pt">
            <w10:wrap type="topAndBottom" anchorx="page"/>
          </v:line>
        </w:pict>
      </w:r>
      <w:hyperlink w:anchor="_bookmark65" w:history="1">
        <w:r w:rsidR="009B7AFD">
          <w:rPr>
            <w:b/>
            <w:color w:val="FFFFFF"/>
            <w:sz w:val="24"/>
          </w:rPr>
          <w:t>How does the PSIO process</w:t>
        </w:r>
        <w:r w:rsidR="009B7AFD">
          <w:rPr>
            <w:b/>
            <w:color w:val="FFFFFF"/>
            <w:spacing w:val="-1"/>
            <w:sz w:val="24"/>
          </w:rPr>
          <w:t xml:space="preserve"> </w:t>
        </w:r>
        <w:r w:rsidR="009B7AFD">
          <w:rPr>
            <w:b/>
            <w:color w:val="FFFFFF"/>
            <w:spacing w:val="-3"/>
            <w:sz w:val="24"/>
          </w:rPr>
          <w:t>work?</w:t>
        </w:r>
      </w:hyperlink>
    </w:p>
    <w:p w14:paraId="24B7B7DD" w14:textId="77777777" w:rsidR="00894070" w:rsidRDefault="009F6793">
      <w:pPr>
        <w:spacing w:before="14" w:after="57"/>
        <w:ind w:left="1021"/>
        <w:rPr>
          <w:b/>
          <w:sz w:val="24"/>
        </w:rPr>
      </w:pPr>
      <w:hyperlink w:anchor="_bookmark68" w:history="1">
        <w:r w:rsidR="009B7AFD">
          <w:rPr>
            <w:b/>
            <w:color w:val="FFFFFF"/>
            <w:sz w:val="24"/>
          </w:rPr>
          <w:t>101 Identifying stalking among PSIO cases</w:t>
        </w:r>
      </w:hyperlink>
    </w:p>
    <w:p w14:paraId="37155EF8" w14:textId="77777777" w:rsidR="00894070" w:rsidRDefault="009F6793">
      <w:pPr>
        <w:pStyle w:val="BodyText"/>
        <w:spacing w:line="40" w:lineRule="exact"/>
        <w:ind w:left="1001"/>
        <w:rPr>
          <w:sz w:val="4"/>
        </w:rPr>
      </w:pPr>
      <w:r>
        <w:rPr>
          <w:sz w:val="4"/>
        </w:rPr>
      </w:r>
      <w:r>
        <w:rPr>
          <w:sz w:val="4"/>
        </w:rPr>
        <w:pict w14:anchorId="7A2297A8">
          <v:group id="_x0000_s1368" style="width:25.55pt;height:2pt;mso-position-horizontal-relative:char;mso-position-vertical-relative:line" coordsize="511,40">
            <v:line id="_x0000_s1369" style="position:absolute" from="0,20" to="510,20" strokecolor="#f4a997" strokeweight="2pt"/>
            <w10:anchorlock/>
          </v:group>
        </w:pict>
      </w:r>
    </w:p>
    <w:p w14:paraId="49E92716" w14:textId="77777777" w:rsidR="00894070" w:rsidRDefault="009F6793">
      <w:pPr>
        <w:spacing w:before="43"/>
        <w:ind w:left="1021"/>
        <w:rPr>
          <w:b/>
          <w:sz w:val="24"/>
        </w:rPr>
      </w:pPr>
      <w:r>
        <w:pict w14:anchorId="1C20F474">
          <v:line id="_x0000_s1367" style="position:absolute;left:0;text-align:left;z-index:251630592;mso-wrap-distance-left:0;mso-wrap-distance-right:0;mso-position-horizontal-relative:page" from="80.1pt,22.65pt" to="105.6pt,22.65pt" strokecolor="#f4a997" strokeweight="2pt">
            <w10:wrap type="topAndBottom" anchorx="page"/>
          </v:line>
        </w:pict>
      </w:r>
      <w:hyperlink w:anchor="_bookmark69" w:history="1">
        <w:r w:rsidR="009B7AFD">
          <w:rPr>
            <w:b/>
            <w:color w:val="FFFFFF"/>
            <w:sz w:val="24"/>
          </w:rPr>
          <w:t>103 A specialised approach should be adopted</w:t>
        </w:r>
      </w:hyperlink>
    </w:p>
    <w:p w14:paraId="108D4C6A" w14:textId="77777777" w:rsidR="00894070" w:rsidRDefault="009F6793">
      <w:pPr>
        <w:spacing w:before="14" w:after="57"/>
        <w:ind w:left="1021"/>
        <w:rPr>
          <w:b/>
          <w:sz w:val="24"/>
        </w:rPr>
      </w:pPr>
      <w:hyperlink w:anchor="_bookmark74" w:history="1">
        <w:r w:rsidR="009B7AFD">
          <w:rPr>
            <w:b/>
            <w:color w:val="FFFFFF"/>
            <w:sz w:val="24"/>
          </w:rPr>
          <w:t>110 System improvements should be based on family violence legislation</w:t>
        </w:r>
      </w:hyperlink>
    </w:p>
    <w:p w14:paraId="17B934AF" w14:textId="77777777" w:rsidR="00894070" w:rsidRDefault="009F6793">
      <w:pPr>
        <w:pStyle w:val="BodyText"/>
        <w:spacing w:line="40" w:lineRule="exact"/>
        <w:ind w:left="1001"/>
        <w:rPr>
          <w:sz w:val="4"/>
        </w:rPr>
      </w:pPr>
      <w:r>
        <w:rPr>
          <w:sz w:val="4"/>
        </w:rPr>
      </w:r>
      <w:r>
        <w:rPr>
          <w:sz w:val="4"/>
        </w:rPr>
        <w:pict w14:anchorId="6701FCB7">
          <v:group id="_x0000_s1365" style="width:25.55pt;height:2pt;mso-position-horizontal-relative:char;mso-position-vertical-relative:line" coordsize="511,40">
            <v:line id="_x0000_s1366" style="position:absolute" from="0,20" to="510,20" strokecolor="#f4a997" strokeweight="2pt"/>
            <w10:anchorlock/>
          </v:group>
        </w:pict>
      </w:r>
    </w:p>
    <w:p w14:paraId="3726DD90" w14:textId="77777777" w:rsidR="00894070" w:rsidRDefault="009F6793">
      <w:pPr>
        <w:spacing w:before="43"/>
        <w:ind w:left="1021"/>
        <w:rPr>
          <w:b/>
          <w:sz w:val="24"/>
        </w:rPr>
      </w:pPr>
      <w:r>
        <w:pict w14:anchorId="5248F922">
          <v:line id="_x0000_s1364" style="position:absolute;left:0;text-align:left;z-index:251632640;mso-wrap-distance-left:0;mso-wrap-distance-right:0;mso-position-horizontal-relative:page" from="80.1pt,22.65pt" to="105.6pt,22.65pt" strokecolor="#f4a997" strokeweight="2pt">
            <w10:wrap type="topAndBottom" anchorx="page"/>
          </v:line>
        </w:pict>
      </w:r>
      <w:hyperlink w:anchor="_bookmark77" w:history="1">
        <w:r w:rsidR="009B7AFD">
          <w:rPr>
            <w:b/>
            <w:color w:val="FFFFFF"/>
            <w:sz w:val="24"/>
          </w:rPr>
          <w:t>116 Legal representation and support should be strengthened</w:t>
        </w:r>
      </w:hyperlink>
    </w:p>
    <w:p w14:paraId="690EBBCB" w14:textId="77777777" w:rsidR="00894070" w:rsidRDefault="009F6793">
      <w:pPr>
        <w:spacing w:before="14" w:after="57"/>
        <w:ind w:left="1021"/>
        <w:rPr>
          <w:b/>
          <w:sz w:val="24"/>
        </w:rPr>
      </w:pPr>
      <w:hyperlink w:anchor="_bookmark79" w:history="1">
        <w:r w:rsidR="009B7AFD">
          <w:rPr>
            <w:b/>
            <w:color w:val="FFFFFF"/>
            <w:sz w:val="24"/>
          </w:rPr>
          <w:t>120 Efficient protections and procedural fixes should be introduced</w:t>
        </w:r>
      </w:hyperlink>
    </w:p>
    <w:p w14:paraId="75475CD2" w14:textId="77777777" w:rsidR="00894070" w:rsidRDefault="009F6793">
      <w:pPr>
        <w:pStyle w:val="BodyText"/>
        <w:spacing w:line="40" w:lineRule="exact"/>
        <w:ind w:left="1001"/>
        <w:rPr>
          <w:sz w:val="4"/>
        </w:rPr>
      </w:pPr>
      <w:r>
        <w:rPr>
          <w:sz w:val="4"/>
        </w:rPr>
      </w:r>
      <w:r>
        <w:rPr>
          <w:sz w:val="4"/>
        </w:rPr>
        <w:pict w14:anchorId="5BF07C9E">
          <v:group id="_x0000_s1362" style="width:25.55pt;height:2pt;mso-position-horizontal-relative:char;mso-position-vertical-relative:line" coordsize="511,40">
            <v:line id="_x0000_s1363" style="position:absolute" from="0,20" to="510,20" strokecolor="#f4a997" strokeweight="2pt"/>
            <w10:anchorlock/>
          </v:group>
        </w:pict>
      </w:r>
    </w:p>
    <w:p w14:paraId="4DC0CAB7" w14:textId="77777777" w:rsidR="00894070" w:rsidRDefault="009F6793">
      <w:pPr>
        <w:spacing w:before="43"/>
        <w:ind w:left="1021"/>
        <w:rPr>
          <w:b/>
          <w:sz w:val="24"/>
        </w:rPr>
      </w:pPr>
      <w:r>
        <w:pict w14:anchorId="33E9B03C">
          <v:line id="_x0000_s1361" style="position:absolute;left:0;text-align:left;z-index:251634688;mso-wrap-distance-left:0;mso-wrap-distance-right:0;mso-position-horizontal-relative:page" from="80.1pt,22.65pt" to="105.6pt,22.65pt" strokecolor="#f4a997" strokeweight="2pt">
            <w10:wrap type="topAndBottom" anchorx="page"/>
          </v:line>
        </w:pict>
      </w:r>
      <w:hyperlink w:anchor="_bookmark82" w:history="1">
        <w:r w:rsidR="009B7AFD">
          <w:rPr>
            <w:b/>
            <w:color w:val="FFFFFF"/>
            <w:sz w:val="24"/>
          </w:rPr>
          <w:t>123 The need for a different approach for children and young people</w:t>
        </w:r>
      </w:hyperlink>
    </w:p>
    <w:p w14:paraId="782DB401" w14:textId="77777777" w:rsidR="00894070" w:rsidRDefault="00894070">
      <w:pPr>
        <w:rPr>
          <w:sz w:val="24"/>
        </w:rPr>
        <w:sectPr w:rsidR="00894070">
          <w:headerReference w:type="even" r:id="rId153"/>
          <w:headerReference w:type="default" r:id="rId154"/>
          <w:pgSz w:w="11910" w:h="16840"/>
          <w:pgMar w:top="640" w:right="420" w:bottom="280" w:left="580" w:header="0" w:footer="0" w:gutter="0"/>
          <w:cols w:space="720"/>
        </w:sectPr>
      </w:pPr>
    </w:p>
    <w:p w14:paraId="0C5F8F4A" w14:textId="77777777" w:rsidR="00894070" w:rsidRDefault="009F6793">
      <w:pPr>
        <w:pStyle w:val="BodyText"/>
        <w:rPr>
          <w:b/>
        </w:rPr>
      </w:pPr>
      <w:r>
        <w:lastRenderedPageBreak/>
        <w:pict w14:anchorId="271ACAC9">
          <v:rect id="_x0000_s1360" style="position:absolute;margin-left:0;margin-top:99.2pt;width:14.15pt;height:85.75pt;z-index:251708416;mso-position-horizontal-relative:page;mso-position-vertical-relative:page" fillcolor="#ea5b50" stroked="f">
            <w10:wrap anchorx="page" anchory="page"/>
          </v:rect>
        </w:pict>
      </w:r>
    </w:p>
    <w:p w14:paraId="4908C65A" w14:textId="77777777" w:rsidR="00894070" w:rsidRDefault="00894070">
      <w:pPr>
        <w:pStyle w:val="BodyText"/>
        <w:rPr>
          <w:b/>
        </w:rPr>
      </w:pPr>
    </w:p>
    <w:p w14:paraId="70AE3492" w14:textId="77777777" w:rsidR="00894070" w:rsidRDefault="00894070">
      <w:pPr>
        <w:pStyle w:val="BodyText"/>
        <w:spacing w:before="4"/>
        <w:rPr>
          <w:b/>
          <w:sz w:val="22"/>
        </w:rPr>
      </w:pPr>
    </w:p>
    <w:p w14:paraId="6623C8FC" w14:textId="77777777" w:rsidR="00894070" w:rsidRDefault="009B7AFD">
      <w:pPr>
        <w:pStyle w:val="Heading3"/>
        <w:numPr>
          <w:ilvl w:val="0"/>
          <w:numId w:val="103"/>
        </w:numPr>
        <w:tabs>
          <w:tab w:val="left" w:pos="873"/>
        </w:tabs>
        <w:spacing w:before="129" w:line="184" w:lineRule="auto"/>
        <w:ind w:right="2451" w:firstLine="0"/>
      </w:pPr>
      <w:bookmarkStart w:id="112" w:name="6._Personal_safety_intervention_orders_a"/>
      <w:bookmarkStart w:id="113" w:name="The_main_response_to_stalking"/>
      <w:bookmarkStart w:id="114" w:name="_bookmark64"/>
      <w:bookmarkEnd w:id="112"/>
      <w:bookmarkEnd w:id="113"/>
      <w:bookmarkEnd w:id="114"/>
      <w:r>
        <w:rPr>
          <w:color w:val="EA5B50"/>
          <w:spacing w:val="-4"/>
        </w:rPr>
        <w:t xml:space="preserve">Personal safety </w:t>
      </w:r>
      <w:r>
        <w:rPr>
          <w:color w:val="EA5B50"/>
          <w:spacing w:val="-6"/>
        </w:rPr>
        <w:t xml:space="preserve">intervention </w:t>
      </w:r>
      <w:r>
        <w:rPr>
          <w:color w:val="EA5B50"/>
          <w:spacing w:val="-4"/>
        </w:rPr>
        <w:t xml:space="preserve">orders </w:t>
      </w:r>
      <w:r>
        <w:rPr>
          <w:color w:val="EA5B50"/>
        </w:rPr>
        <w:t xml:space="preserve">and </w:t>
      </w:r>
      <w:r>
        <w:rPr>
          <w:color w:val="EA5B50"/>
          <w:spacing w:val="-3"/>
        </w:rPr>
        <w:t xml:space="preserve">the </w:t>
      </w:r>
      <w:r>
        <w:rPr>
          <w:color w:val="EA5B50"/>
          <w:spacing w:val="-5"/>
        </w:rPr>
        <w:t xml:space="preserve">civil </w:t>
      </w:r>
      <w:r>
        <w:rPr>
          <w:color w:val="EA5B50"/>
          <w:spacing w:val="-4"/>
        </w:rPr>
        <w:t xml:space="preserve">response </w:t>
      </w:r>
      <w:r>
        <w:rPr>
          <w:color w:val="EA5B50"/>
          <w:spacing w:val="-5"/>
        </w:rPr>
        <w:t>to</w:t>
      </w:r>
      <w:r>
        <w:rPr>
          <w:color w:val="EA5B50"/>
        </w:rPr>
        <w:t xml:space="preserve"> </w:t>
      </w:r>
      <w:r>
        <w:rPr>
          <w:color w:val="EA5B50"/>
          <w:spacing w:val="-4"/>
        </w:rPr>
        <w:t>stalking</w:t>
      </w:r>
    </w:p>
    <w:p w14:paraId="05E266CF" w14:textId="77777777" w:rsidR="00894070" w:rsidRDefault="00894070">
      <w:pPr>
        <w:pStyle w:val="BodyText"/>
        <w:rPr>
          <w:rFonts w:ascii="Raleway ExtraBold"/>
          <w:b/>
          <w:sz w:val="66"/>
        </w:rPr>
      </w:pPr>
    </w:p>
    <w:p w14:paraId="598EBEF5" w14:textId="77777777" w:rsidR="00894070" w:rsidRDefault="00894070">
      <w:pPr>
        <w:pStyle w:val="BodyText"/>
        <w:spacing w:before="10"/>
        <w:rPr>
          <w:rFonts w:ascii="Raleway ExtraBold"/>
          <w:b/>
          <w:sz w:val="69"/>
        </w:rPr>
      </w:pPr>
    </w:p>
    <w:p w14:paraId="544099D7" w14:textId="77777777" w:rsidR="00894070" w:rsidRDefault="009B7AFD">
      <w:pPr>
        <w:pStyle w:val="Heading7"/>
      </w:pPr>
      <w:r>
        <w:rPr>
          <w:color w:val="EA5B50"/>
        </w:rPr>
        <w:t>Overview</w:t>
      </w:r>
    </w:p>
    <w:p w14:paraId="4D5AA8F8" w14:textId="77777777" w:rsidR="00894070" w:rsidRDefault="009B7AFD">
      <w:pPr>
        <w:pStyle w:val="ListParagraph"/>
        <w:numPr>
          <w:ilvl w:val="1"/>
          <w:numId w:val="103"/>
        </w:numPr>
        <w:tabs>
          <w:tab w:val="left" w:pos="2141"/>
          <w:tab w:val="left" w:pos="2142"/>
        </w:tabs>
        <w:spacing w:before="146" w:line="206" w:lineRule="auto"/>
        <w:ind w:right="1383" w:hanging="340"/>
        <w:rPr>
          <w:sz w:val="20"/>
        </w:rPr>
      </w:pPr>
      <w:r>
        <w:rPr>
          <w:color w:val="231F20"/>
          <w:sz w:val="20"/>
        </w:rPr>
        <w:t xml:space="preserve">The personal safety </w:t>
      </w:r>
      <w:r>
        <w:rPr>
          <w:color w:val="231F20"/>
          <w:spacing w:val="-2"/>
          <w:sz w:val="20"/>
        </w:rPr>
        <w:t xml:space="preserve">intervention </w:t>
      </w:r>
      <w:r>
        <w:rPr>
          <w:color w:val="231F20"/>
          <w:sz w:val="20"/>
        </w:rPr>
        <w:t>order (PSIO) system, the main civil response to non-family</w:t>
      </w:r>
      <w:r>
        <w:rPr>
          <w:color w:val="231F20"/>
          <w:spacing w:val="-13"/>
          <w:sz w:val="20"/>
        </w:rPr>
        <w:t xml:space="preserve"> </w:t>
      </w:r>
      <w:r>
        <w:rPr>
          <w:color w:val="231F20"/>
          <w:sz w:val="20"/>
        </w:rPr>
        <w:t>violence</w:t>
      </w:r>
      <w:r>
        <w:rPr>
          <w:color w:val="231F20"/>
          <w:spacing w:val="-12"/>
          <w:sz w:val="20"/>
        </w:rPr>
        <w:t xml:space="preserve"> </w:t>
      </w:r>
      <w:r>
        <w:rPr>
          <w:color w:val="231F20"/>
          <w:sz w:val="20"/>
        </w:rPr>
        <w:t>stalking,</w:t>
      </w:r>
      <w:r>
        <w:rPr>
          <w:color w:val="231F20"/>
          <w:spacing w:val="-12"/>
          <w:sz w:val="20"/>
        </w:rPr>
        <w:t xml:space="preserve"> </w:t>
      </w:r>
      <w:r>
        <w:rPr>
          <w:color w:val="231F20"/>
          <w:sz w:val="20"/>
        </w:rPr>
        <w:t>is</w:t>
      </w:r>
      <w:r>
        <w:rPr>
          <w:color w:val="231F20"/>
          <w:spacing w:val="-12"/>
          <w:sz w:val="20"/>
        </w:rPr>
        <w:t xml:space="preserve"> </w:t>
      </w:r>
      <w:r>
        <w:rPr>
          <w:color w:val="231F20"/>
          <w:sz w:val="20"/>
        </w:rPr>
        <w:t>under</w:t>
      </w:r>
      <w:r>
        <w:rPr>
          <w:color w:val="231F20"/>
          <w:spacing w:val="-12"/>
          <w:sz w:val="20"/>
        </w:rPr>
        <w:t xml:space="preserve"> </w:t>
      </w:r>
      <w:r>
        <w:rPr>
          <w:color w:val="231F20"/>
          <w:sz w:val="20"/>
        </w:rPr>
        <w:t>strain.</w:t>
      </w:r>
      <w:r>
        <w:rPr>
          <w:color w:val="231F20"/>
          <w:spacing w:val="-12"/>
          <w:sz w:val="20"/>
        </w:rPr>
        <w:t xml:space="preserve"> </w:t>
      </w:r>
      <w:r>
        <w:rPr>
          <w:color w:val="231F20"/>
          <w:sz w:val="20"/>
        </w:rPr>
        <w:t>This</w:t>
      </w:r>
      <w:r>
        <w:rPr>
          <w:color w:val="231F20"/>
          <w:spacing w:val="-13"/>
          <w:sz w:val="20"/>
        </w:rPr>
        <w:t xml:space="preserve"> </w:t>
      </w:r>
      <w:r>
        <w:rPr>
          <w:color w:val="231F20"/>
          <w:sz w:val="20"/>
        </w:rPr>
        <w:t>makes</w:t>
      </w:r>
      <w:r>
        <w:rPr>
          <w:color w:val="231F20"/>
          <w:spacing w:val="-12"/>
          <w:sz w:val="20"/>
        </w:rPr>
        <w:t xml:space="preserve"> </w:t>
      </w:r>
      <w:r>
        <w:rPr>
          <w:color w:val="231F20"/>
          <w:sz w:val="20"/>
        </w:rPr>
        <w:t>it</w:t>
      </w:r>
      <w:r>
        <w:rPr>
          <w:color w:val="231F20"/>
          <w:spacing w:val="-12"/>
          <w:sz w:val="20"/>
        </w:rPr>
        <w:t xml:space="preserve"> </w:t>
      </w:r>
      <w:r>
        <w:rPr>
          <w:color w:val="231F20"/>
          <w:sz w:val="20"/>
        </w:rPr>
        <w:t>challenging</w:t>
      </w:r>
      <w:r>
        <w:rPr>
          <w:color w:val="231F20"/>
          <w:spacing w:val="-12"/>
          <w:sz w:val="20"/>
        </w:rPr>
        <w:t xml:space="preserve"> </w:t>
      </w:r>
      <w:r>
        <w:rPr>
          <w:color w:val="231F20"/>
          <w:spacing w:val="-3"/>
          <w:sz w:val="20"/>
        </w:rPr>
        <w:t>for</w:t>
      </w:r>
      <w:r>
        <w:rPr>
          <w:color w:val="231F20"/>
          <w:spacing w:val="-12"/>
          <w:sz w:val="20"/>
        </w:rPr>
        <w:t xml:space="preserve"> </w:t>
      </w:r>
      <w:r>
        <w:rPr>
          <w:color w:val="231F20"/>
          <w:sz w:val="20"/>
        </w:rPr>
        <w:t xml:space="preserve">stalking matters to get the </w:t>
      </w:r>
      <w:r>
        <w:rPr>
          <w:color w:val="231F20"/>
          <w:spacing w:val="-3"/>
          <w:sz w:val="20"/>
        </w:rPr>
        <w:t xml:space="preserve">attention </w:t>
      </w:r>
      <w:r>
        <w:rPr>
          <w:color w:val="231F20"/>
          <w:sz w:val="20"/>
        </w:rPr>
        <w:t>they</w:t>
      </w:r>
      <w:r>
        <w:rPr>
          <w:color w:val="231F20"/>
          <w:spacing w:val="-23"/>
          <w:sz w:val="20"/>
        </w:rPr>
        <w:t xml:space="preserve"> </w:t>
      </w:r>
      <w:r>
        <w:rPr>
          <w:color w:val="231F20"/>
          <w:sz w:val="20"/>
        </w:rPr>
        <w:t>need.</w:t>
      </w:r>
    </w:p>
    <w:p w14:paraId="2A110019" w14:textId="77777777" w:rsidR="00894070" w:rsidRDefault="009B7AFD">
      <w:pPr>
        <w:pStyle w:val="ListParagraph"/>
        <w:numPr>
          <w:ilvl w:val="1"/>
          <w:numId w:val="103"/>
        </w:numPr>
        <w:tabs>
          <w:tab w:val="left" w:pos="2141"/>
          <w:tab w:val="left" w:pos="2142"/>
        </w:tabs>
        <w:spacing w:before="89" w:line="206" w:lineRule="auto"/>
        <w:ind w:right="1698" w:hanging="340"/>
        <w:rPr>
          <w:sz w:val="20"/>
        </w:rPr>
      </w:pPr>
      <w:r>
        <w:rPr>
          <w:color w:val="231F20"/>
          <w:sz w:val="20"/>
        </w:rPr>
        <w:t>The</w:t>
      </w:r>
      <w:r>
        <w:rPr>
          <w:color w:val="231F20"/>
          <w:spacing w:val="-11"/>
          <w:sz w:val="20"/>
        </w:rPr>
        <w:t xml:space="preserve"> </w:t>
      </w:r>
      <w:r>
        <w:rPr>
          <w:color w:val="231F20"/>
          <w:sz w:val="20"/>
        </w:rPr>
        <w:t>response</w:t>
      </w:r>
      <w:r>
        <w:rPr>
          <w:color w:val="231F20"/>
          <w:spacing w:val="-10"/>
          <w:sz w:val="20"/>
        </w:rPr>
        <w:t xml:space="preserve"> </w:t>
      </w:r>
      <w:r>
        <w:rPr>
          <w:color w:val="231F20"/>
          <w:sz w:val="20"/>
        </w:rPr>
        <w:t>must</w:t>
      </w:r>
      <w:r>
        <w:rPr>
          <w:color w:val="231F20"/>
          <w:spacing w:val="-10"/>
          <w:sz w:val="20"/>
        </w:rPr>
        <w:t xml:space="preserve"> </w:t>
      </w:r>
      <w:r>
        <w:rPr>
          <w:color w:val="231F20"/>
          <w:sz w:val="20"/>
        </w:rPr>
        <w:t>become</w:t>
      </w:r>
      <w:r>
        <w:rPr>
          <w:color w:val="231F20"/>
          <w:spacing w:val="-11"/>
          <w:sz w:val="20"/>
        </w:rPr>
        <w:t xml:space="preserve"> </w:t>
      </w:r>
      <w:r>
        <w:rPr>
          <w:color w:val="231F20"/>
          <w:sz w:val="20"/>
        </w:rPr>
        <w:t>focused</w:t>
      </w:r>
      <w:r>
        <w:rPr>
          <w:color w:val="231F20"/>
          <w:spacing w:val="-10"/>
          <w:sz w:val="20"/>
        </w:rPr>
        <w:t xml:space="preserve"> </w:t>
      </w:r>
      <w:r>
        <w:rPr>
          <w:color w:val="231F20"/>
          <w:sz w:val="20"/>
        </w:rPr>
        <w:t>and</w:t>
      </w:r>
      <w:r>
        <w:rPr>
          <w:color w:val="231F20"/>
          <w:spacing w:val="-10"/>
          <w:sz w:val="20"/>
        </w:rPr>
        <w:t xml:space="preserve"> </w:t>
      </w:r>
      <w:r>
        <w:rPr>
          <w:color w:val="231F20"/>
          <w:sz w:val="20"/>
        </w:rPr>
        <w:t>specialised</w:t>
      </w:r>
      <w:r>
        <w:rPr>
          <w:color w:val="231F20"/>
          <w:spacing w:val="-10"/>
          <w:sz w:val="20"/>
        </w:rPr>
        <w:t xml:space="preserve"> </w:t>
      </w:r>
      <w:r>
        <w:rPr>
          <w:color w:val="231F20"/>
          <w:sz w:val="20"/>
        </w:rPr>
        <w:t>to</w:t>
      </w:r>
      <w:r>
        <w:rPr>
          <w:color w:val="231F20"/>
          <w:spacing w:val="-11"/>
          <w:sz w:val="20"/>
        </w:rPr>
        <w:t xml:space="preserve"> </w:t>
      </w:r>
      <w:r>
        <w:rPr>
          <w:color w:val="231F20"/>
          <w:sz w:val="20"/>
        </w:rPr>
        <w:t>make</w:t>
      </w:r>
      <w:r>
        <w:rPr>
          <w:color w:val="231F20"/>
          <w:spacing w:val="-10"/>
          <w:sz w:val="20"/>
        </w:rPr>
        <w:t xml:space="preserve"> </w:t>
      </w:r>
      <w:r>
        <w:rPr>
          <w:color w:val="231F20"/>
          <w:spacing w:val="-3"/>
          <w:sz w:val="20"/>
        </w:rPr>
        <w:t>sure</w:t>
      </w:r>
      <w:r>
        <w:rPr>
          <w:color w:val="231F20"/>
          <w:spacing w:val="-10"/>
          <w:sz w:val="20"/>
        </w:rPr>
        <w:t xml:space="preserve"> </w:t>
      </w:r>
      <w:r>
        <w:rPr>
          <w:color w:val="231F20"/>
          <w:sz w:val="20"/>
        </w:rPr>
        <w:t>that</w:t>
      </w:r>
      <w:r>
        <w:rPr>
          <w:color w:val="231F20"/>
          <w:spacing w:val="-11"/>
          <w:sz w:val="20"/>
        </w:rPr>
        <w:t xml:space="preserve"> </w:t>
      </w:r>
      <w:r>
        <w:rPr>
          <w:color w:val="231F20"/>
          <w:sz w:val="20"/>
        </w:rPr>
        <w:t>victim survivors</w:t>
      </w:r>
      <w:r>
        <w:rPr>
          <w:color w:val="231F20"/>
          <w:spacing w:val="-6"/>
          <w:sz w:val="20"/>
        </w:rPr>
        <w:t xml:space="preserve"> </w:t>
      </w:r>
      <w:r>
        <w:rPr>
          <w:color w:val="231F20"/>
          <w:sz w:val="20"/>
        </w:rPr>
        <w:t>can</w:t>
      </w:r>
      <w:r>
        <w:rPr>
          <w:color w:val="231F20"/>
          <w:spacing w:val="-5"/>
          <w:sz w:val="20"/>
        </w:rPr>
        <w:t xml:space="preserve"> </w:t>
      </w:r>
      <w:r>
        <w:rPr>
          <w:color w:val="231F20"/>
          <w:sz w:val="20"/>
        </w:rPr>
        <w:t>access</w:t>
      </w:r>
      <w:r>
        <w:rPr>
          <w:color w:val="231F20"/>
          <w:spacing w:val="-5"/>
          <w:sz w:val="20"/>
        </w:rPr>
        <w:t xml:space="preserve"> </w:t>
      </w:r>
      <w:r>
        <w:rPr>
          <w:color w:val="231F20"/>
          <w:sz w:val="20"/>
        </w:rPr>
        <w:t>justice</w:t>
      </w:r>
      <w:r>
        <w:rPr>
          <w:color w:val="231F20"/>
          <w:spacing w:val="-6"/>
          <w:sz w:val="20"/>
        </w:rPr>
        <w:t xml:space="preserve"> </w:t>
      </w:r>
      <w:r>
        <w:rPr>
          <w:color w:val="231F20"/>
          <w:sz w:val="20"/>
        </w:rPr>
        <w:t>and</w:t>
      </w:r>
      <w:r>
        <w:rPr>
          <w:color w:val="231F20"/>
          <w:spacing w:val="-5"/>
          <w:sz w:val="20"/>
        </w:rPr>
        <w:t xml:space="preserve"> </w:t>
      </w:r>
      <w:r>
        <w:rPr>
          <w:color w:val="231F20"/>
          <w:sz w:val="20"/>
        </w:rPr>
        <w:t>their</w:t>
      </w:r>
      <w:r>
        <w:rPr>
          <w:color w:val="231F20"/>
          <w:spacing w:val="-5"/>
          <w:sz w:val="20"/>
        </w:rPr>
        <w:t xml:space="preserve"> </w:t>
      </w:r>
      <w:r>
        <w:rPr>
          <w:color w:val="231F20"/>
          <w:sz w:val="20"/>
        </w:rPr>
        <w:t>safety</w:t>
      </w:r>
      <w:r>
        <w:rPr>
          <w:color w:val="231F20"/>
          <w:spacing w:val="-5"/>
          <w:sz w:val="20"/>
        </w:rPr>
        <w:t xml:space="preserve"> </w:t>
      </w:r>
      <w:r>
        <w:rPr>
          <w:color w:val="231F20"/>
          <w:sz w:val="20"/>
        </w:rPr>
        <w:t>is</w:t>
      </w:r>
      <w:r>
        <w:rPr>
          <w:color w:val="231F20"/>
          <w:spacing w:val="-6"/>
          <w:sz w:val="20"/>
        </w:rPr>
        <w:t xml:space="preserve"> </w:t>
      </w:r>
      <w:r>
        <w:rPr>
          <w:color w:val="231F20"/>
          <w:sz w:val="20"/>
        </w:rPr>
        <w:t>prioritised.</w:t>
      </w:r>
    </w:p>
    <w:p w14:paraId="693D75ED" w14:textId="77777777" w:rsidR="00894070" w:rsidRDefault="009B7AFD">
      <w:pPr>
        <w:pStyle w:val="ListParagraph"/>
        <w:numPr>
          <w:ilvl w:val="1"/>
          <w:numId w:val="103"/>
        </w:numPr>
        <w:tabs>
          <w:tab w:val="left" w:pos="2141"/>
          <w:tab w:val="left" w:pos="2142"/>
        </w:tabs>
        <w:spacing w:before="55"/>
        <w:ind w:hanging="340"/>
        <w:rPr>
          <w:sz w:val="20"/>
        </w:rPr>
      </w:pPr>
      <w:r>
        <w:rPr>
          <w:color w:val="231F20"/>
          <w:spacing w:val="-6"/>
          <w:sz w:val="20"/>
        </w:rPr>
        <w:t>We</w:t>
      </w:r>
      <w:r>
        <w:rPr>
          <w:color w:val="231F20"/>
          <w:spacing w:val="-5"/>
          <w:sz w:val="20"/>
        </w:rPr>
        <w:t xml:space="preserve"> </w:t>
      </w:r>
      <w:r>
        <w:rPr>
          <w:color w:val="231F20"/>
          <w:sz w:val="20"/>
        </w:rPr>
        <w:t>recommend:</w:t>
      </w:r>
    </w:p>
    <w:p w14:paraId="75E203CC" w14:textId="77777777" w:rsidR="00894070" w:rsidRDefault="009B7AFD">
      <w:pPr>
        <w:pStyle w:val="ListParagraph"/>
        <w:numPr>
          <w:ilvl w:val="2"/>
          <w:numId w:val="103"/>
        </w:numPr>
        <w:tabs>
          <w:tab w:val="left" w:pos="2481"/>
          <w:tab w:val="left" w:pos="2482"/>
        </w:tabs>
        <w:spacing w:before="48"/>
        <w:rPr>
          <w:sz w:val="20"/>
        </w:rPr>
      </w:pPr>
      <w:r>
        <w:rPr>
          <w:color w:val="231F20"/>
          <w:sz w:val="20"/>
        </w:rPr>
        <w:t>guidance for courts to identify non-family violence stalking</w:t>
      </w:r>
      <w:r>
        <w:rPr>
          <w:color w:val="231F20"/>
          <w:spacing w:val="-25"/>
          <w:sz w:val="20"/>
        </w:rPr>
        <w:t xml:space="preserve"> </w:t>
      </w:r>
      <w:r>
        <w:rPr>
          <w:color w:val="231F20"/>
          <w:sz w:val="20"/>
        </w:rPr>
        <w:t>cases</w:t>
      </w:r>
    </w:p>
    <w:p w14:paraId="7AB8AF3A" w14:textId="77777777" w:rsidR="00894070" w:rsidRDefault="009B7AFD">
      <w:pPr>
        <w:pStyle w:val="ListParagraph"/>
        <w:numPr>
          <w:ilvl w:val="2"/>
          <w:numId w:val="103"/>
        </w:numPr>
        <w:tabs>
          <w:tab w:val="left" w:pos="2481"/>
          <w:tab w:val="left" w:pos="2482"/>
        </w:tabs>
        <w:spacing w:before="47"/>
        <w:rPr>
          <w:sz w:val="20"/>
        </w:rPr>
      </w:pPr>
      <w:r>
        <w:rPr>
          <w:color w:val="231F20"/>
          <w:sz w:val="20"/>
        </w:rPr>
        <w:t>a specialist approach to non-family violence</w:t>
      </w:r>
      <w:r>
        <w:rPr>
          <w:color w:val="231F20"/>
          <w:spacing w:val="-13"/>
          <w:sz w:val="20"/>
        </w:rPr>
        <w:t xml:space="preserve"> </w:t>
      </w:r>
      <w:r>
        <w:rPr>
          <w:color w:val="231F20"/>
          <w:sz w:val="20"/>
        </w:rPr>
        <w:t>stalking</w:t>
      </w:r>
    </w:p>
    <w:p w14:paraId="1A2749AC" w14:textId="77777777" w:rsidR="00894070" w:rsidRDefault="009B7AFD">
      <w:pPr>
        <w:pStyle w:val="ListParagraph"/>
        <w:numPr>
          <w:ilvl w:val="2"/>
          <w:numId w:val="103"/>
        </w:numPr>
        <w:tabs>
          <w:tab w:val="left" w:pos="2481"/>
          <w:tab w:val="left" w:pos="2482"/>
        </w:tabs>
        <w:spacing w:before="80" w:line="206" w:lineRule="auto"/>
        <w:ind w:right="1652"/>
        <w:rPr>
          <w:sz w:val="20"/>
        </w:rPr>
      </w:pPr>
      <w:r>
        <w:rPr>
          <w:color w:val="231F20"/>
          <w:sz w:val="20"/>
        </w:rPr>
        <w:t xml:space="preserve">using mediation to free up the PSIO system to focus on stalking and </w:t>
      </w:r>
      <w:r>
        <w:rPr>
          <w:color w:val="231F20"/>
          <w:spacing w:val="-4"/>
          <w:sz w:val="20"/>
        </w:rPr>
        <w:t xml:space="preserve">other </w:t>
      </w:r>
      <w:r>
        <w:rPr>
          <w:color w:val="231F20"/>
          <w:sz w:val="20"/>
        </w:rPr>
        <w:t>serious harm.</w:t>
      </w:r>
    </w:p>
    <w:p w14:paraId="7041F9DD" w14:textId="77777777" w:rsidR="00894070" w:rsidRDefault="009B7AFD">
      <w:pPr>
        <w:pStyle w:val="ListParagraph"/>
        <w:numPr>
          <w:ilvl w:val="1"/>
          <w:numId w:val="103"/>
        </w:numPr>
        <w:tabs>
          <w:tab w:val="left" w:pos="2141"/>
          <w:tab w:val="left" w:pos="2142"/>
        </w:tabs>
        <w:spacing w:before="87" w:line="206" w:lineRule="auto"/>
        <w:ind w:right="1623" w:hanging="340"/>
        <w:rPr>
          <w:sz w:val="20"/>
        </w:rPr>
      </w:pPr>
      <w:r>
        <w:rPr>
          <w:color w:val="231F20"/>
          <w:sz w:val="20"/>
        </w:rPr>
        <w:t>The</w:t>
      </w:r>
      <w:r>
        <w:rPr>
          <w:color w:val="231F20"/>
          <w:spacing w:val="-11"/>
          <w:sz w:val="20"/>
        </w:rPr>
        <w:t xml:space="preserve"> </w:t>
      </w:r>
      <w:r>
        <w:rPr>
          <w:color w:val="231F20"/>
          <w:spacing w:val="-3"/>
          <w:sz w:val="20"/>
        </w:rPr>
        <w:t>family</w:t>
      </w:r>
      <w:r>
        <w:rPr>
          <w:color w:val="231F20"/>
          <w:spacing w:val="-10"/>
          <w:sz w:val="20"/>
        </w:rPr>
        <w:t xml:space="preserve"> </w:t>
      </w:r>
      <w:r>
        <w:rPr>
          <w:color w:val="231F20"/>
          <w:sz w:val="20"/>
        </w:rPr>
        <w:t>violence</w:t>
      </w:r>
      <w:r>
        <w:rPr>
          <w:color w:val="231F20"/>
          <w:spacing w:val="-11"/>
          <w:sz w:val="20"/>
        </w:rPr>
        <w:t xml:space="preserve"> </w:t>
      </w:r>
      <w:r>
        <w:rPr>
          <w:color w:val="231F20"/>
          <w:sz w:val="20"/>
        </w:rPr>
        <w:t>civil</w:t>
      </w:r>
      <w:r>
        <w:rPr>
          <w:color w:val="231F20"/>
          <w:spacing w:val="-10"/>
          <w:sz w:val="20"/>
        </w:rPr>
        <w:t xml:space="preserve"> </w:t>
      </w:r>
      <w:r>
        <w:rPr>
          <w:color w:val="231F20"/>
          <w:sz w:val="20"/>
        </w:rPr>
        <w:t>response</w:t>
      </w:r>
      <w:r>
        <w:rPr>
          <w:color w:val="231F20"/>
          <w:spacing w:val="-10"/>
          <w:sz w:val="20"/>
        </w:rPr>
        <w:t xml:space="preserve"> </w:t>
      </w:r>
      <w:r>
        <w:rPr>
          <w:color w:val="231F20"/>
          <w:sz w:val="20"/>
        </w:rPr>
        <w:t>has</w:t>
      </w:r>
      <w:r>
        <w:rPr>
          <w:color w:val="231F20"/>
          <w:spacing w:val="-11"/>
          <w:sz w:val="20"/>
        </w:rPr>
        <w:t xml:space="preserve"> </w:t>
      </w:r>
      <w:r>
        <w:rPr>
          <w:color w:val="231F20"/>
          <w:spacing w:val="-3"/>
          <w:sz w:val="20"/>
        </w:rPr>
        <w:t>improved</w:t>
      </w:r>
      <w:r>
        <w:rPr>
          <w:color w:val="231F20"/>
          <w:spacing w:val="-10"/>
          <w:sz w:val="20"/>
        </w:rPr>
        <w:t xml:space="preserve"> </w:t>
      </w:r>
      <w:r>
        <w:rPr>
          <w:color w:val="231F20"/>
          <w:sz w:val="20"/>
        </w:rPr>
        <w:t>protections,</w:t>
      </w:r>
      <w:r>
        <w:rPr>
          <w:color w:val="231F20"/>
          <w:spacing w:val="-10"/>
          <w:sz w:val="20"/>
        </w:rPr>
        <w:t xml:space="preserve"> </w:t>
      </w:r>
      <w:proofErr w:type="gramStart"/>
      <w:r>
        <w:rPr>
          <w:color w:val="231F20"/>
          <w:sz w:val="20"/>
        </w:rPr>
        <w:t>support</w:t>
      </w:r>
      <w:proofErr w:type="gramEnd"/>
      <w:r>
        <w:rPr>
          <w:color w:val="231F20"/>
          <w:spacing w:val="-11"/>
          <w:sz w:val="20"/>
        </w:rPr>
        <w:t xml:space="preserve"> </w:t>
      </w:r>
      <w:r>
        <w:rPr>
          <w:color w:val="231F20"/>
          <w:sz w:val="20"/>
        </w:rPr>
        <w:t>and</w:t>
      </w:r>
      <w:r>
        <w:rPr>
          <w:color w:val="231F20"/>
          <w:spacing w:val="-10"/>
          <w:sz w:val="20"/>
        </w:rPr>
        <w:t xml:space="preserve"> </w:t>
      </w:r>
      <w:r>
        <w:rPr>
          <w:color w:val="231F20"/>
          <w:sz w:val="20"/>
        </w:rPr>
        <w:t xml:space="preserve">legal representation. Where </w:t>
      </w:r>
      <w:r>
        <w:rPr>
          <w:color w:val="231F20"/>
          <w:spacing w:val="-3"/>
          <w:sz w:val="20"/>
        </w:rPr>
        <w:t xml:space="preserve">appropriate, </w:t>
      </w:r>
      <w:r>
        <w:rPr>
          <w:color w:val="231F20"/>
          <w:sz w:val="20"/>
        </w:rPr>
        <w:t xml:space="preserve">this should be matched </w:t>
      </w:r>
      <w:r>
        <w:rPr>
          <w:color w:val="231F20"/>
          <w:spacing w:val="-3"/>
          <w:sz w:val="20"/>
        </w:rPr>
        <w:t xml:space="preserve">for </w:t>
      </w:r>
      <w:r>
        <w:rPr>
          <w:color w:val="231F20"/>
          <w:sz w:val="20"/>
        </w:rPr>
        <w:t>people who experience non-family violence</w:t>
      </w:r>
      <w:r>
        <w:rPr>
          <w:color w:val="231F20"/>
          <w:spacing w:val="-15"/>
          <w:sz w:val="20"/>
        </w:rPr>
        <w:t xml:space="preserve"> </w:t>
      </w:r>
      <w:r>
        <w:rPr>
          <w:color w:val="231F20"/>
          <w:sz w:val="20"/>
        </w:rPr>
        <w:t>stalking.</w:t>
      </w:r>
    </w:p>
    <w:p w14:paraId="2E1B7DD6" w14:textId="77777777" w:rsidR="00894070" w:rsidRDefault="009B7AFD">
      <w:pPr>
        <w:pStyle w:val="ListParagraph"/>
        <w:numPr>
          <w:ilvl w:val="1"/>
          <w:numId w:val="103"/>
        </w:numPr>
        <w:tabs>
          <w:tab w:val="left" w:pos="2141"/>
          <w:tab w:val="left" w:pos="2142"/>
        </w:tabs>
        <w:spacing w:before="89" w:line="206" w:lineRule="auto"/>
        <w:ind w:right="1495" w:hanging="340"/>
        <w:rPr>
          <w:sz w:val="20"/>
        </w:rPr>
      </w:pPr>
      <w:r>
        <w:rPr>
          <w:color w:val="231F20"/>
          <w:spacing w:val="-3"/>
          <w:sz w:val="20"/>
        </w:rPr>
        <w:t xml:space="preserve">For children, </w:t>
      </w:r>
      <w:r>
        <w:rPr>
          <w:color w:val="231F20"/>
          <w:sz w:val="20"/>
        </w:rPr>
        <w:t xml:space="preserve">the civil response might be their first interaction with the justice system. The response to </w:t>
      </w:r>
      <w:r>
        <w:rPr>
          <w:color w:val="231F20"/>
          <w:spacing w:val="-3"/>
          <w:sz w:val="20"/>
        </w:rPr>
        <w:t xml:space="preserve">children </w:t>
      </w:r>
      <w:r>
        <w:rPr>
          <w:color w:val="231F20"/>
          <w:sz w:val="20"/>
        </w:rPr>
        <w:t xml:space="preserve">needs to recognise evidence about their </w:t>
      </w:r>
      <w:r>
        <w:rPr>
          <w:color w:val="231F20"/>
          <w:spacing w:val="-3"/>
          <w:sz w:val="20"/>
        </w:rPr>
        <w:t xml:space="preserve">development </w:t>
      </w:r>
      <w:r>
        <w:rPr>
          <w:color w:val="231F20"/>
          <w:sz w:val="20"/>
        </w:rPr>
        <w:t xml:space="preserve">and emphasise </w:t>
      </w:r>
      <w:r>
        <w:rPr>
          <w:color w:val="231F20"/>
          <w:spacing w:val="-3"/>
          <w:sz w:val="20"/>
        </w:rPr>
        <w:t xml:space="preserve">alternative </w:t>
      </w:r>
      <w:r>
        <w:rPr>
          <w:color w:val="231F20"/>
          <w:spacing w:val="-4"/>
          <w:sz w:val="20"/>
        </w:rPr>
        <w:t xml:space="preserve">pathways </w:t>
      </w:r>
      <w:r>
        <w:rPr>
          <w:color w:val="231F20"/>
          <w:sz w:val="20"/>
        </w:rPr>
        <w:t xml:space="preserve">to </w:t>
      </w:r>
      <w:r>
        <w:rPr>
          <w:color w:val="231F20"/>
          <w:spacing w:val="-4"/>
          <w:sz w:val="20"/>
        </w:rPr>
        <w:t xml:space="preserve">prevent </w:t>
      </w:r>
      <w:r>
        <w:rPr>
          <w:color w:val="231F20"/>
          <w:spacing w:val="-3"/>
          <w:sz w:val="20"/>
        </w:rPr>
        <w:t xml:space="preserve">long-term </w:t>
      </w:r>
      <w:r>
        <w:rPr>
          <w:color w:val="231F20"/>
          <w:sz w:val="20"/>
        </w:rPr>
        <w:t>contact with the justice</w:t>
      </w:r>
      <w:r>
        <w:rPr>
          <w:color w:val="231F20"/>
          <w:spacing w:val="-13"/>
          <w:sz w:val="20"/>
        </w:rPr>
        <w:t xml:space="preserve"> </w:t>
      </w:r>
      <w:r>
        <w:rPr>
          <w:color w:val="231F20"/>
          <w:sz w:val="20"/>
        </w:rPr>
        <w:t>system.</w:t>
      </w:r>
    </w:p>
    <w:p w14:paraId="6FB7399B" w14:textId="77777777" w:rsidR="00894070" w:rsidRDefault="009B7AFD">
      <w:pPr>
        <w:pStyle w:val="Heading7"/>
        <w:spacing w:before="196"/>
      </w:pPr>
      <w:r>
        <w:rPr>
          <w:color w:val="EA5B50"/>
        </w:rPr>
        <w:t>The main response to stalking</w:t>
      </w:r>
    </w:p>
    <w:p w14:paraId="6329D85B" w14:textId="77777777" w:rsidR="00894070" w:rsidRDefault="009B7AFD">
      <w:pPr>
        <w:pStyle w:val="ListParagraph"/>
        <w:numPr>
          <w:ilvl w:val="1"/>
          <w:numId w:val="102"/>
        </w:numPr>
        <w:tabs>
          <w:tab w:val="left" w:pos="1801"/>
          <w:tab w:val="left" w:pos="1802"/>
        </w:tabs>
        <w:spacing w:before="146" w:line="206" w:lineRule="auto"/>
        <w:ind w:right="1297"/>
        <w:rPr>
          <w:sz w:val="11"/>
        </w:rPr>
      </w:pPr>
      <w:r>
        <w:rPr>
          <w:color w:val="231F20"/>
          <w:sz w:val="20"/>
        </w:rPr>
        <w:t xml:space="preserve">The </w:t>
      </w:r>
      <w:r>
        <w:rPr>
          <w:color w:val="231F20"/>
          <w:spacing w:val="-3"/>
          <w:sz w:val="20"/>
        </w:rPr>
        <w:t xml:space="preserve">current </w:t>
      </w:r>
      <w:r>
        <w:rPr>
          <w:color w:val="231F20"/>
          <w:sz w:val="20"/>
        </w:rPr>
        <w:t xml:space="preserve">personal safety </w:t>
      </w:r>
      <w:r>
        <w:rPr>
          <w:color w:val="231F20"/>
          <w:spacing w:val="-2"/>
          <w:sz w:val="20"/>
        </w:rPr>
        <w:t xml:space="preserve">intervention </w:t>
      </w:r>
      <w:r>
        <w:rPr>
          <w:color w:val="231F20"/>
          <w:sz w:val="20"/>
        </w:rPr>
        <w:t xml:space="preserve">order (PSIO) </w:t>
      </w:r>
      <w:r>
        <w:rPr>
          <w:color w:val="231F20"/>
          <w:spacing w:val="-2"/>
          <w:sz w:val="20"/>
        </w:rPr>
        <w:t xml:space="preserve">system </w:t>
      </w:r>
      <w:r>
        <w:rPr>
          <w:color w:val="231F20"/>
          <w:sz w:val="20"/>
        </w:rPr>
        <w:t xml:space="preserve">started in 2011. A person can </w:t>
      </w:r>
      <w:r>
        <w:rPr>
          <w:color w:val="231F20"/>
          <w:spacing w:val="-3"/>
          <w:sz w:val="20"/>
        </w:rPr>
        <w:t xml:space="preserve">apply </w:t>
      </w:r>
      <w:r>
        <w:rPr>
          <w:color w:val="231F20"/>
          <w:sz w:val="20"/>
        </w:rPr>
        <w:t xml:space="preserve">to the </w:t>
      </w:r>
      <w:r>
        <w:rPr>
          <w:color w:val="231F20"/>
          <w:spacing w:val="-3"/>
          <w:sz w:val="20"/>
        </w:rPr>
        <w:t xml:space="preserve">Magistrates’ </w:t>
      </w:r>
      <w:r>
        <w:rPr>
          <w:color w:val="231F20"/>
          <w:sz w:val="20"/>
        </w:rPr>
        <w:t xml:space="preserve">or </w:t>
      </w:r>
      <w:r>
        <w:rPr>
          <w:color w:val="231F20"/>
          <w:spacing w:val="-3"/>
          <w:sz w:val="20"/>
        </w:rPr>
        <w:t xml:space="preserve">Children’s </w:t>
      </w:r>
      <w:r>
        <w:rPr>
          <w:color w:val="231F20"/>
          <w:sz w:val="20"/>
        </w:rPr>
        <w:t xml:space="preserve">Court </w:t>
      </w:r>
      <w:r>
        <w:rPr>
          <w:color w:val="231F20"/>
          <w:spacing w:val="-3"/>
          <w:sz w:val="20"/>
        </w:rPr>
        <w:t xml:space="preserve">for </w:t>
      </w:r>
      <w:r>
        <w:rPr>
          <w:color w:val="231F20"/>
          <w:sz w:val="20"/>
        </w:rPr>
        <w:t xml:space="preserve">a PSIO to </w:t>
      </w:r>
      <w:r>
        <w:rPr>
          <w:color w:val="231F20"/>
          <w:spacing w:val="-3"/>
          <w:sz w:val="20"/>
        </w:rPr>
        <w:t xml:space="preserve">protect </w:t>
      </w:r>
      <w:r>
        <w:rPr>
          <w:color w:val="231F20"/>
          <w:sz w:val="20"/>
        </w:rPr>
        <w:t>themselves, their</w:t>
      </w:r>
      <w:r>
        <w:rPr>
          <w:color w:val="231F20"/>
          <w:spacing w:val="-9"/>
          <w:sz w:val="20"/>
        </w:rPr>
        <w:t xml:space="preserve"> </w:t>
      </w:r>
      <w:proofErr w:type="gramStart"/>
      <w:r>
        <w:rPr>
          <w:color w:val="231F20"/>
          <w:spacing w:val="-3"/>
          <w:sz w:val="20"/>
        </w:rPr>
        <w:t>children</w:t>
      </w:r>
      <w:proofErr w:type="gramEnd"/>
      <w:r>
        <w:rPr>
          <w:color w:val="231F20"/>
          <w:spacing w:val="-8"/>
          <w:sz w:val="20"/>
        </w:rPr>
        <w:t xml:space="preserve"> </w:t>
      </w:r>
      <w:r>
        <w:rPr>
          <w:color w:val="231F20"/>
          <w:sz w:val="20"/>
        </w:rPr>
        <w:t>or</w:t>
      </w:r>
      <w:r>
        <w:rPr>
          <w:color w:val="231F20"/>
          <w:spacing w:val="-8"/>
          <w:sz w:val="20"/>
        </w:rPr>
        <w:t xml:space="preserve"> </w:t>
      </w:r>
      <w:r>
        <w:rPr>
          <w:color w:val="231F20"/>
          <w:sz w:val="20"/>
        </w:rPr>
        <w:t>their</w:t>
      </w:r>
      <w:r>
        <w:rPr>
          <w:color w:val="231F20"/>
          <w:spacing w:val="-8"/>
          <w:sz w:val="20"/>
        </w:rPr>
        <w:t xml:space="preserve"> </w:t>
      </w:r>
      <w:r>
        <w:rPr>
          <w:color w:val="231F20"/>
          <w:sz w:val="20"/>
        </w:rPr>
        <w:t>property</w:t>
      </w:r>
      <w:r>
        <w:rPr>
          <w:color w:val="231F20"/>
          <w:spacing w:val="-8"/>
          <w:sz w:val="20"/>
        </w:rPr>
        <w:t xml:space="preserve"> </w:t>
      </w:r>
      <w:r>
        <w:rPr>
          <w:color w:val="231F20"/>
          <w:spacing w:val="-3"/>
          <w:sz w:val="20"/>
        </w:rPr>
        <w:t>from</w:t>
      </w:r>
      <w:r>
        <w:rPr>
          <w:color w:val="231F20"/>
          <w:spacing w:val="-8"/>
          <w:sz w:val="20"/>
        </w:rPr>
        <w:t xml:space="preserve"> </w:t>
      </w:r>
      <w:r>
        <w:rPr>
          <w:color w:val="231F20"/>
          <w:sz w:val="20"/>
        </w:rPr>
        <w:t>stalking</w:t>
      </w:r>
      <w:r>
        <w:rPr>
          <w:color w:val="231F20"/>
          <w:spacing w:val="-8"/>
          <w:sz w:val="20"/>
        </w:rPr>
        <w:t xml:space="preserve"> </w:t>
      </w:r>
      <w:r>
        <w:rPr>
          <w:color w:val="231F20"/>
          <w:sz w:val="20"/>
        </w:rPr>
        <w:t>behaviours</w:t>
      </w:r>
      <w:r>
        <w:rPr>
          <w:color w:val="231F20"/>
          <w:spacing w:val="-8"/>
          <w:sz w:val="20"/>
        </w:rPr>
        <w:t xml:space="preserve"> </w:t>
      </w:r>
      <w:r>
        <w:rPr>
          <w:color w:val="231F20"/>
          <w:spacing w:val="-3"/>
          <w:sz w:val="20"/>
        </w:rPr>
        <w:t>by</w:t>
      </w:r>
      <w:r>
        <w:rPr>
          <w:color w:val="231F20"/>
          <w:spacing w:val="-8"/>
          <w:sz w:val="20"/>
        </w:rPr>
        <w:t xml:space="preserve"> </w:t>
      </w:r>
      <w:r>
        <w:rPr>
          <w:color w:val="231F20"/>
          <w:sz w:val="20"/>
        </w:rPr>
        <w:t>a</w:t>
      </w:r>
      <w:r>
        <w:rPr>
          <w:color w:val="231F20"/>
          <w:spacing w:val="-8"/>
          <w:sz w:val="20"/>
        </w:rPr>
        <w:t xml:space="preserve"> </w:t>
      </w:r>
      <w:r>
        <w:rPr>
          <w:color w:val="231F20"/>
          <w:sz w:val="20"/>
        </w:rPr>
        <w:t>non-family</w:t>
      </w:r>
      <w:r>
        <w:rPr>
          <w:color w:val="231F20"/>
          <w:spacing w:val="-9"/>
          <w:sz w:val="20"/>
        </w:rPr>
        <w:t xml:space="preserve"> </w:t>
      </w:r>
      <w:r>
        <w:rPr>
          <w:color w:val="231F20"/>
          <w:spacing w:val="-3"/>
          <w:sz w:val="20"/>
        </w:rPr>
        <w:t>member.</w:t>
      </w:r>
      <w:r>
        <w:rPr>
          <w:color w:val="231F20"/>
          <w:spacing w:val="-3"/>
          <w:position w:val="7"/>
          <w:sz w:val="11"/>
        </w:rPr>
        <w:t>1</w:t>
      </w:r>
      <w:r>
        <w:rPr>
          <w:color w:val="231F20"/>
          <w:spacing w:val="16"/>
          <w:position w:val="7"/>
          <w:sz w:val="11"/>
        </w:rPr>
        <w:t xml:space="preserve"> </w:t>
      </w:r>
      <w:r>
        <w:rPr>
          <w:color w:val="231F20"/>
          <w:sz w:val="20"/>
        </w:rPr>
        <w:t xml:space="preserve">The behaviours </w:t>
      </w:r>
      <w:r>
        <w:rPr>
          <w:color w:val="231F20"/>
          <w:spacing w:val="-4"/>
          <w:sz w:val="20"/>
        </w:rPr>
        <w:t xml:space="preserve">covered </w:t>
      </w:r>
      <w:r>
        <w:rPr>
          <w:color w:val="231F20"/>
          <w:sz w:val="20"/>
        </w:rPr>
        <w:t>include assault, harassment and property</w:t>
      </w:r>
      <w:r>
        <w:rPr>
          <w:color w:val="231F20"/>
          <w:spacing w:val="-36"/>
          <w:sz w:val="20"/>
        </w:rPr>
        <w:t xml:space="preserve"> </w:t>
      </w:r>
      <w:r>
        <w:rPr>
          <w:color w:val="231F20"/>
          <w:sz w:val="20"/>
        </w:rPr>
        <w:t>damage.</w:t>
      </w:r>
      <w:r>
        <w:rPr>
          <w:color w:val="231F20"/>
          <w:position w:val="7"/>
          <w:sz w:val="11"/>
        </w:rPr>
        <w:t>2</w:t>
      </w:r>
    </w:p>
    <w:p w14:paraId="575E0E5F" w14:textId="77777777" w:rsidR="00894070" w:rsidRDefault="009B7AFD">
      <w:pPr>
        <w:pStyle w:val="ListParagraph"/>
        <w:numPr>
          <w:ilvl w:val="1"/>
          <w:numId w:val="102"/>
        </w:numPr>
        <w:tabs>
          <w:tab w:val="left" w:pos="1801"/>
          <w:tab w:val="left" w:pos="1802"/>
        </w:tabs>
        <w:spacing w:before="125" w:line="206" w:lineRule="auto"/>
        <w:ind w:right="1528"/>
        <w:rPr>
          <w:sz w:val="20"/>
        </w:rPr>
      </w:pPr>
      <w:r>
        <w:rPr>
          <w:color w:val="231F20"/>
          <w:sz w:val="20"/>
        </w:rPr>
        <w:t>PSIOs</w:t>
      </w:r>
      <w:r>
        <w:rPr>
          <w:color w:val="231F20"/>
          <w:spacing w:val="-11"/>
          <w:sz w:val="20"/>
        </w:rPr>
        <w:t xml:space="preserve"> </w:t>
      </w:r>
      <w:r>
        <w:rPr>
          <w:color w:val="231F20"/>
          <w:spacing w:val="-3"/>
          <w:sz w:val="20"/>
        </w:rPr>
        <w:t>are</w:t>
      </w:r>
      <w:r>
        <w:rPr>
          <w:color w:val="231F20"/>
          <w:spacing w:val="-11"/>
          <w:sz w:val="20"/>
        </w:rPr>
        <w:t xml:space="preserve"> </w:t>
      </w:r>
      <w:r>
        <w:rPr>
          <w:color w:val="231F20"/>
          <w:sz w:val="20"/>
        </w:rPr>
        <w:t>a</w:t>
      </w:r>
      <w:r>
        <w:rPr>
          <w:color w:val="231F20"/>
          <w:spacing w:val="-10"/>
          <w:sz w:val="20"/>
        </w:rPr>
        <w:t xml:space="preserve"> </w:t>
      </w:r>
      <w:r>
        <w:rPr>
          <w:color w:val="231F20"/>
          <w:sz w:val="20"/>
        </w:rPr>
        <w:t>civil,</w:t>
      </w:r>
      <w:r>
        <w:rPr>
          <w:color w:val="231F20"/>
          <w:spacing w:val="-11"/>
          <w:sz w:val="20"/>
        </w:rPr>
        <w:t xml:space="preserve"> </w:t>
      </w:r>
      <w:r>
        <w:rPr>
          <w:color w:val="231F20"/>
          <w:sz w:val="20"/>
        </w:rPr>
        <w:t>as</w:t>
      </w:r>
      <w:r>
        <w:rPr>
          <w:color w:val="231F20"/>
          <w:spacing w:val="-10"/>
          <w:sz w:val="20"/>
        </w:rPr>
        <w:t xml:space="preserve"> </w:t>
      </w:r>
      <w:r>
        <w:rPr>
          <w:color w:val="231F20"/>
          <w:sz w:val="20"/>
        </w:rPr>
        <w:t>opposed</w:t>
      </w:r>
      <w:r>
        <w:rPr>
          <w:color w:val="231F20"/>
          <w:spacing w:val="-11"/>
          <w:sz w:val="20"/>
        </w:rPr>
        <w:t xml:space="preserve"> </w:t>
      </w:r>
      <w:r>
        <w:rPr>
          <w:color w:val="231F20"/>
          <w:sz w:val="20"/>
        </w:rPr>
        <w:t>to</w:t>
      </w:r>
      <w:r>
        <w:rPr>
          <w:color w:val="231F20"/>
          <w:spacing w:val="-10"/>
          <w:sz w:val="20"/>
        </w:rPr>
        <w:t xml:space="preserve"> </w:t>
      </w:r>
      <w:r>
        <w:rPr>
          <w:color w:val="231F20"/>
          <w:sz w:val="20"/>
        </w:rPr>
        <w:t>a</w:t>
      </w:r>
      <w:r>
        <w:rPr>
          <w:color w:val="231F20"/>
          <w:spacing w:val="-11"/>
          <w:sz w:val="20"/>
        </w:rPr>
        <w:t xml:space="preserve"> </w:t>
      </w:r>
      <w:r>
        <w:rPr>
          <w:color w:val="231F20"/>
          <w:sz w:val="20"/>
        </w:rPr>
        <w:t>criminal,</w:t>
      </w:r>
      <w:r>
        <w:rPr>
          <w:color w:val="231F20"/>
          <w:spacing w:val="-10"/>
          <w:sz w:val="20"/>
        </w:rPr>
        <w:t xml:space="preserve"> </w:t>
      </w:r>
      <w:r>
        <w:rPr>
          <w:color w:val="231F20"/>
          <w:sz w:val="20"/>
        </w:rPr>
        <w:t>response</w:t>
      </w:r>
      <w:r>
        <w:rPr>
          <w:color w:val="231F20"/>
          <w:spacing w:val="-11"/>
          <w:sz w:val="20"/>
        </w:rPr>
        <w:t xml:space="preserve"> </w:t>
      </w:r>
      <w:r>
        <w:rPr>
          <w:color w:val="231F20"/>
          <w:sz w:val="20"/>
        </w:rPr>
        <w:t>to</w:t>
      </w:r>
      <w:r>
        <w:rPr>
          <w:color w:val="231F20"/>
          <w:spacing w:val="-10"/>
          <w:sz w:val="20"/>
        </w:rPr>
        <w:t xml:space="preserve"> </w:t>
      </w:r>
      <w:r>
        <w:rPr>
          <w:color w:val="231F20"/>
          <w:sz w:val="20"/>
        </w:rPr>
        <w:t>non-family</w:t>
      </w:r>
      <w:r>
        <w:rPr>
          <w:color w:val="231F20"/>
          <w:spacing w:val="-11"/>
          <w:sz w:val="20"/>
        </w:rPr>
        <w:t xml:space="preserve"> </w:t>
      </w:r>
      <w:r>
        <w:rPr>
          <w:color w:val="231F20"/>
          <w:sz w:val="20"/>
        </w:rPr>
        <w:t>violence</w:t>
      </w:r>
      <w:r>
        <w:rPr>
          <w:color w:val="231F20"/>
          <w:spacing w:val="-10"/>
          <w:sz w:val="20"/>
        </w:rPr>
        <w:t xml:space="preserve"> </w:t>
      </w:r>
      <w:r>
        <w:rPr>
          <w:color w:val="231F20"/>
          <w:sz w:val="20"/>
        </w:rPr>
        <w:t xml:space="preserve">stalking. </w:t>
      </w:r>
      <w:r>
        <w:rPr>
          <w:color w:val="231F20"/>
          <w:spacing w:val="-5"/>
          <w:sz w:val="20"/>
        </w:rPr>
        <w:t>However,</w:t>
      </w:r>
      <w:r>
        <w:rPr>
          <w:color w:val="231F20"/>
          <w:spacing w:val="-6"/>
          <w:sz w:val="20"/>
        </w:rPr>
        <w:t xml:space="preserve"> </w:t>
      </w:r>
      <w:r>
        <w:rPr>
          <w:color w:val="231F20"/>
          <w:sz w:val="20"/>
        </w:rPr>
        <w:t>breaching</w:t>
      </w:r>
      <w:r>
        <w:rPr>
          <w:color w:val="231F20"/>
          <w:spacing w:val="-5"/>
          <w:sz w:val="20"/>
        </w:rPr>
        <w:t xml:space="preserve"> </w:t>
      </w:r>
      <w:r>
        <w:rPr>
          <w:color w:val="231F20"/>
          <w:sz w:val="20"/>
        </w:rPr>
        <w:t>a</w:t>
      </w:r>
      <w:r>
        <w:rPr>
          <w:color w:val="231F20"/>
          <w:spacing w:val="-5"/>
          <w:sz w:val="20"/>
        </w:rPr>
        <w:t xml:space="preserve"> </w:t>
      </w:r>
      <w:r>
        <w:rPr>
          <w:color w:val="231F20"/>
          <w:sz w:val="20"/>
        </w:rPr>
        <w:t>PSIO</w:t>
      </w:r>
      <w:r>
        <w:rPr>
          <w:color w:val="231F20"/>
          <w:spacing w:val="-5"/>
          <w:sz w:val="20"/>
        </w:rPr>
        <w:t xml:space="preserve"> </w:t>
      </w:r>
      <w:r>
        <w:rPr>
          <w:color w:val="231F20"/>
          <w:sz w:val="20"/>
        </w:rPr>
        <w:t>is</w:t>
      </w:r>
      <w:r>
        <w:rPr>
          <w:color w:val="231F20"/>
          <w:spacing w:val="-5"/>
          <w:sz w:val="20"/>
        </w:rPr>
        <w:t xml:space="preserve"> </w:t>
      </w:r>
      <w:r>
        <w:rPr>
          <w:color w:val="231F20"/>
          <w:sz w:val="20"/>
        </w:rPr>
        <w:t>a</w:t>
      </w:r>
      <w:r>
        <w:rPr>
          <w:color w:val="231F20"/>
          <w:spacing w:val="-5"/>
          <w:sz w:val="20"/>
        </w:rPr>
        <w:t xml:space="preserve"> </w:t>
      </w:r>
      <w:r>
        <w:rPr>
          <w:color w:val="231F20"/>
          <w:sz w:val="20"/>
        </w:rPr>
        <w:t>criminal</w:t>
      </w:r>
      <w:r>
        <w:rPr>
          <w:color w:val="231F20"/>
          <w:spacing w:val="-6"/>
          <w:sz w:val="20"/>
        </w:rPr>
        <w:t xml:space="preserve"> </w:t>
      </w:r>
      <w:r>
        <w:rPr>
          <w:color w:val="231F20"/>
          <w:sz w:val="20"/>
        </w:rPr>
        <w:t>offence</w:t>
      </w:r>
      <w:r>
        <w:rPr>
          <w:color w:val="231F20"/>
          <w:spacing w:val="-5"/>
          <w:sz w:val="20"/>
        </w:rPr>
        <w:t xml:space="preserve"> </w:t>
      </w:r>
      <w:r>
        <w:rPr>
          <w:color w:val="231F20"/>
          <w:sz w:val="20"/>
        </w:rPr>
        <w:t>(see</w:t>
      </w:r>
      <w:r>
        <w:rPr>
          <w:color w:val="231F20"/>
          <w:spacing w:val="-5"/>
          <w:sz w:val="20"/>
        </w:rPr>
        <w:t xml:space="preserve"> </w:t>
      </w:r>
      <w:r>
        <w:rPr>
          <w:color w:val="231F20"/>
          <w:spacing w:val="-3"/>
          <w:sz w:val="20"/>
        </w:rPr>
        <w:t>Chapter</w:t>
      </w:r>
      <w:r>
        <w:rPr>
          <w:color w:val="231F20"/>
          <w:spacing w:val="-5"/>
          <w:sz w:val="20"/>
        </w:rPr>
        <w:t xml:space="preserve"> </w:t>
      </w:r>
      <w:r>
        <w:rPr>
          <w:color w:val="231F20"/>
          <w:spacing w:val="-4"/>
          <w:sz w:val="20"/>
        </w:rPr>
        <w:t>7).</w:t>
      </w:r>
    </w:p>
    <w:p w14:paraId="4E5A4141" w14:textId="77777777" w:rsidR="00894070" w:rsidRDefault="009B7AFD">
      <w:pPr>
        <w:pStyle w:val="ListParagraph"/>
        <w:numPr>
          <w:ilvl w:val="1"/>
          <w:numId w:val="102"/>
        </w:numPr>
        <w:tabs>
          <w:tab w:val="left" w:pos="1801"/>
          <w:tab w:val="left" w:pos="1802"/>
        </w:tabs>
        <w:spacing w:before="122" w:line="206" w:lineRule="auto"/>
        <w:ind w:right="1361"/>
        <w:rPr>
          <w:sz w:val="20"/>
        </w:rPr>
      </w:pPr>
      <w:r>
        <w:rPr>
          <w:color w:val="231F20"/>
          <w:sz w:val="20"/>
        </w:rPr>
        <w:t xml:space="preserve">A PSIO is the most common response </w:t>
      </w:r>
      <w:r>
        <w:rPr>
          <w:color w:val="231F20"/>
          <w:spacing w:val="-3"/>
          <w:sz w:val="20"/>
        </w:rPr>
        <w:t xml:space="preserve">by </w:t>
      </w:r>
      <w:r>
        <w:rPr>
          <w:color w:val="231F20"/>
          <w:sz w:val="20"/>
        </w:rPr>
        <w:t xml:space="preserve">the justice </w:t>
      </w:r>
      <w:r>
        <w:rPr>
          <w:color w:val="231F20"/>
          <w:spacing w:val="-2"/>
          <w:sz w:val="20"/>
        </w:rPr>
        <w:t xml:space="preserve">system </w:t>
      </w:r>
      <w:r>
        <w:rPr>
          <w:color w:val="231F20"/>
          <w:sz w:val="20"/>
        </w:rPr>
        <w:t>to non-family violence stalking.</w:t>
      </w:r>
      <w:r>
        <w:rPr>
          <w:color w:val="231F20"/>
          <w:spacing w:val="-9"/>
          <w:sz w:val="20"/>
        </w:rPr>
        <w:t xml:space="preserve"> </w:t>
      </w:r>
      <w:r>
        <w:rPr>
          <w:color w:val="231F20"/>
          <w:sz w:val="20"/>
        </w:rPr>
        <w:t>It</w:t>
      </w:r>
      <w:r>
        <w:rPr>
          <w:color w:val="231F20"/>
          <w:spacing w:val="-8"/>
          <w:sz w:val="20"/>
        </w:rPr>
        <w:t xml:space="preserve"> </w:t>
      </w:r>
      <w:r>
        <w:rPr>
          <w:color w:val="231F20"/>
          <w:sz w:val="20"/>
        </w:rPr>
        <w:t>is</w:t>
      </w:r>
      <w:r>
        <w:rPr>
          <w:color w:val="231F20"/>
          <w:spacing w:val="-9"/>
          <w:sz w:val="20"/>
        </w:rPr>
        <w:t xml:space="preserve"> </w:t>
      </w:r>
      <w:r>
        <w:rPr>
          <w:color w:val="231F20"/>
          <w:spacing w:val="-3"/>
          <w:sz w:val="20"/>
        </w:rPr>
        <w:t>how</w:t>
      </w:r>
      <w:r>
        <w:rPr>
          <w:color w:val="231F20"/>
          <w:spacing w:val="-8"/>
          <w:sz w:val="20"/>
        </w:rPr>
        <w:t xml:space="preserve"> </w:t>
      </w:r>
      <w:r>
        <w:rPr>
          <w:color w:val="231F20"/>
          <w:sz w:val="20"/>
        </w:rPr>
        <w:t>the</w:t>
      </w:r>
      <w:r>
        <w:rPr>
          <w:color w:val="231F20"/>
          <w:spacing w:val="-9"/>
          <w:sz w:val="20"/>
        </w:rPr>
        <w:t xml:space="preserve"> </w:t>
      </w:r>
      <w:r>
        <w:rPr>
          <w:color w:val="231F20"/>
          <w:sz w:val="20"/>
        </w:rPr>
        <w:t>state</w:t>
      </w:r>
      <w:r>
        <w:rPr>
          <w:color w:val="231F20"/>
          <w:spacing w:val="-8"/>
          <w:sz w:val="20"/>
        </w:rPr>
        <w:t xml:space="preserve"> </w:t>
      </w:r>
      <w:r>
        <w:rPr>
          <w:color w:val="231F20"/>
          <w:sz w:val="20"/>
        </w:rPr>
        <w:t>recognises</w:t>
      </w:r>
      <w:r>
        <w:rPr>
          <w:color w:val="231F20"/>
          <w:spacing w:val="-8"/>
          <w:sz w:val="20"/>
        </w:rPr>
        <w:t xml:space="preserve"> </w:t>
      </w:r>
      <w:r>
        <w:rPr>
          <w:color w:val="231F20"/>
          <w:sz w:val="20"/>
        </w:rPr>
        <w:t>the</w:t>
      </w:r>
      <w:r>
        <w:rPr>
          <w:color w:val="231F20"/>
          <w:spacing w:val="-9"/>
          <w:sz w:val="20"/>
        </w:rPr>
        <w:t xml:space="preserve"> </w:t>
      </w:r>
      <w:r>
        <w:rPr>
          <w:color w:val="231F20"/>
          <w:sz w:val="20"/>
        </w:rPr>
        <w:t>harm</w:t>
      </w:r>
      <w:r>
        <w:rPr>
          <w:color w:val="231F20"/>
          <w:spacing w:val="-8"/>
          <w:sz w:val="20"/>
        </w:rPr>
        <w:t xml:space="preserve"> </w:t>
      </w:r>
      <w:r>
        <w:rPr>
          <w:color w:val="231F20"/>
          <w:sz w:val="20"/>
        </w:rPr>
        <w:t>the</w:t>
      </w:r>
      <w:r>
        <w:rPr>
          <w:color w:val="231F20"/>
          <w:spacing w:val="-9"/>
          <w:sz w:val="20"/>
        </w:rPr>
        <w:t xml:space="preserve"> </w:t>
      </w:r>
      <w:r>
        <w:rPr>
          <w:color w:val="231F20"/>
          <w:sz w:val="20"/>
        </w:rPr>
        <w:t>person</w:t>
      </w:r>
      <w:r>
        <w:rPr>
          <w:color w:val="231F20"/>
          <w:spacing w:val="-8"/>
          <w:sz w:val="20"/>
        </w:rPr>
        <w:t xml:space="preserve"> </w:t>
      </w:r>
      <w:r>
        <w:rPr>
          <w:color w:val="231F20"/>
          <w:sz w:val="20"/>
        </w:rPr>
        <w:t>who</w:t>
      </w:r>
      <w:r>
        <w:rPr>
          <w:color w:val="231F20"/>
          <w:spacing w:val="-9"/>
          <w:sz w:val="20"/>
        </w:rPr>
        <w:t xml:space="preserve"> </w:t>
      </w:r>
      <w:r>
        <w:rPr>
          <w:color w:val="231F20"/>
          <w:sz w:val="20"/>
        </w:rPr>
        <w:t>stalks</w:t>
      </w:r>
      <w:r>
        <w:rPr>
          <w:color w:val="231F20"/>
          <w:spacing w:val="-8"/>
          <w:sz w:val="20"/>
        </w:rPr>
        <w:t xml:space="preserve"> </w:t>
      </w:r>
      <w:r>
        <w:rPr>
          <w:color w:val="231F20"/>
          <w:sz w:val="20"/>
        </w:rPr>
        <w:t>is</w:t>
      </w:r>
      <w:r>
        <w:rPr>
          <w:color w:val="231F20"/>
          <w:spacing w:val="-8"/>
          <w:sz w:val="20"/>
        </w:rPr>
        <w:t xml:space="preserve"> </w:t>
      </w:r>
      <w:proofErr w:type="gramStart"/>
      <w:r>
        <w:rPr>
          <w:color w:val="231F20"/>
          <w:sz w:val="20"/>
        </w:rPr>
        <w:t>causing,</w:t>
      </w:r>
      <w:r>
        <w:rPr>
          <w:color w:val="231F20"/>
          <w:spacing w:val="-9"/>
          <w:sz w:val="20"/>
        </w:rPr>
        <w:t xml:space="preserve"> </w:t>
      </w:r>
      <w:r>
        <w:rPr>
          <w:color w:val="231F20"/>
          <w:sz w:val="20"/>
        </w:rPr>
        <w:t>and</w:t>
      </w:r>
      <w:proofErr w:type="gramEnd"/>
      <w:r>
        <w:rPr>
          <w:color w:val="231F20"/>
          <w:sz w:val="20"/>
        </w:rPr>
        <w:t xml:space="preserve"> puts</w:t>
      </w:r>
      <w:r>
        <w:rPr>
          <w:color w:val="231F20"/>
          <w:spacing w:val="-5"/>
          <w:sz w:val="20"/>
        </w:rPr>
        <w:t xml:space="preserve"> </w:t>
      </w:r>
      <w:r>
        <w:rPr>
          <w:color w:val="231F20"/>
          <w:sz w:val="20"/>
        </w:rPr>
        <w:t>conditions</w:t>
      </w:r>
      <w:r>
        <w:rPr>
          <w:color w:val="231F20"/>
          <w:spacing w:val="-5"/>
          <w:sz w:val="20"/>
        </w:rPr>
        <w:t xml:space="preserve"> </w:t>
      </w:r>
      <w:r>
        <w:rPr>
          <w:color w:val="231F20"/>
          <w:sz w:val="20"/>
        </w:rPr>
        <w:t>in</w:t>
      </w:r>
      <w:r>
        <w:rPr>
          <w:color w:val="231F20"/>
          <w:spacing w:val="-5"/>
          <w:sz w:val="20"/>
        </w:rPr>
        <w:t xml:space="preserve"> </w:t>
      </w:r>
      <w:r>
        <w:rPr>
          <w:color w:val="231F20"/>
          <w:sz w:val="20"/>
        </w:rPr>
        <w:t>place</w:t>
      </w:r>
      <w:r>
        <w:rPr>
          <w:color w:val="231F20"/>
          <w:spacing w:val="-5"/>
          <w:sz w:val="20"/>
        </w:rPr>
        <w:t xml:space="preserve"> </w:t>
      </w:r>
      <w:r>
        <w:rPr>
          <w:color w:val="231F20"/>
          <w:sz w:val="20"/>
        </w:rPr>
        <w:t>to</w:t>
      </w:r>
      <w:r>
        <w:rPr>
          <w:color w:val="231F20"/>
          <w:spacing w:val="-4"/>
          <w:sz w:val="20"/>
        </w:rPr>
        <w:t xml:space="preserve"> </w:t>
      </w:r>
      <w:r>
        <w:rPr>
          <w:color w:val="231F20"/>
          <w:sz w:val="20"/>
        </w:rPr>
        <w:t>keep</w:t>
      </w:r>
      <w:r>
        <w:rPr>
          <w:color w:val="231F20"/>
          <w:spacing w:val="-5"/>
          <w:sz w:val="20"/>
        </w:rPr>
        <w:t xml:space="preserve"> </w:t>
      </w:r>
      <w:r>
        <w:rPr>
          <w:color w:val="231F20"/>
          <w:sz w:val="20"/>
        </w:rPr>
        <w:t>the</w:t>
      </w:r>
      <w:r>
        <w:rPr>
          <w:color w:val="231F20"/>
          <w:spacing w:val="-5"/>
          <w:sz w:val="20"/>
        </w:rPr>
        <w:t xml:space="preserve"> </w:t>
      </w:r>
      <w:r>
        <w:rPr>
          <w:color w:val="231F20"/>
          <w:sz w:val="20"/>
        </w:rPr>
        <w:t>victim</w:t>
      </w:r>
      <w:r>
        <w:rPr>
          <w:color w:val="231F20"/>
          <w:spacing w:val="-5"/>
          <w:sz w:val="20"/>
        </w:rPr>
        <w:t xml:space="preserve"> </w:t>
      </w:r>
      <w:r>
        <w:rPr>
          <w:color w:val="231F20"/>
          <w:sz w:val="20"/>
        </w:rPr>
        <w:t>survivor</w:t>
      </w:r>
      <w:r>
        <w:rPr>
          <w:color w:val="231F20"/>
          <w:spacing w:val="-5"/>
          <w:sz w:val="20"/>
        </w:rPr>
        <w:t xml:space="preserve"> </w:t>
      </w:r>
      <w:r>
        <w:rPr>
          <w:color w:val="231F20"/>
          <w:spacing w:val="-3"/>
          <w:sz w:val="20"/>
        </w:rPr>
        <w:t>safe.</w:t>
      </w:r>
    </w:p>
    <w:p w14:paraId="77864648" w14:textId="77777777" w:rsidR="00894070" w:rsidRDefault="009B7AFD">
      <w:pPr>
        <w:pStyle w:val="ListParagraph"/>
        <w:numPr>
          <w:ilvl w:val="1"/>
          <w:numId w:val="102"/>
        </w:numPr>
        <w:tabs>
          <w:tab w:val="left" w:pos="1801"/>
          <w:tab w:val="left" w:pos="1802"/>
        </w:tabs>
        <w:spacing w:before="124" w:line="206" w:lineRule="auto"/>
        <w:ind w:right="1546"/>
        <w:rPr>
          <w:sz w:val="20"/>
        </w:rPr>
      </w:pPr>
      <w:r>
        <w:rPr>
          <w:color w:val="231F20"/>
          <w:sz w:val="20"/>
        </w:rPr>
        <w:t>When</w:t>
      </w:r>
      <w:r>
        <w:rPr>
          <w:color w:val="231F20"/>
          <w:spacing w:val="-9"/>
          <w:sz w:val="20"/>
        </w:rPr>
        <w:t xml:space="preserve"> </w:t>
      </w:r>
      <w:r>
        <w:rPr>
          <w:color w:val="231F20"/>
          <w:sz w:val="20"/>
        </w:rPr>
        <w:t>a</w:t>
      </w:r>
      <w:r>
        <w:rPr>
          <w:color w:val="231F20"/>
          <w:spacing w:val="-8"/>
          <w:sz w:val="20"/>
        </w:rPr>
        <w:t xml:space="preserve"> </w:t>
      </w:r>
      <w:r>
        <w:rPr>
          <w:color w:val="231F20"/>
          <w:sz w:val="20"/>
        </w:rPr>
        <w:t>PSIO</w:t>
      </w:r>
      <w:r>
        <w:rPr>
          <w:color w:val="231F20"/>
          <w:spacing w:val="-9"/>
          <w:sz w:val="20"/>
        </w:rPr>
        <w:t xml:space="preserve"> </w:t>
      </w:r>
      <w:r>
        <w:rPr>
          <w:color w:val="231F20"/>
          <w:sz w:val="20"/>
        </w:rPr>
        <w:t>is</w:t>
      </w:r>
      <w:r>
        <w:rPr>
          <w:color w:val="231F20"/>
          <w:spacing w:val="-8"/>
          <w:sz w:val="20"/>
        </w:rPr>
        <w:t xml:space="preserve"> </w:t>
      </w:r>
      <w:r>
        <w:rPr>
          <w:color w:val="231F20"/>
          <w:sz w:val="20"/>
        </w:rPr>
        <w:t>granted,</w:t>
      </w:r>
      <w:r>
        <w:rPr>
          <w:color w:val="231F20"/>
          <w:spacing w:val="-8"/>
          <w:sz w:val="20"/>
        </w:rPr>
        <w:t xml:space="preserve"> </w:t>
      </w:r>
      <w:r>
        <w:rPr>
          <w:color w:val="231F20"/>
          <w:sz w:val="20"/>
        </w:rPr>
        <w:t>that</w:t>
      </w:r>
      <w:r>
        <w:rPr>
          <w:color w:val="231F20"/>
          <w:spacing w:val="-9"/>
          <w:sz w:val="20"/>
        </w:rPr>
        <w:t xml:space="preserve"> </w:t>
      </w:r>
      <w:r>
        <w:rPr>
          <w:color w:val="231F20"/>
          <w:sz w:val="20"/>
        </w:rPr>
        <w:t>is</w:t>
      </w:r>
      <w:r>
        <w:rPr>
          <w:color w:val="231F20"/>
          <w:spacing w:val="-8"/>
          <w:sz w:val="20"/>
        </w:rPr>
        <w:t xml:space="preserve"> </w:t>
      </w:r>
      <w:r>
        <w:rPr>
          <w:color w:val="231F20"/>
          <w:sz w:val="20"/>
        </w:rPr>
        <w:t>often</w:t>
      </w:r>
      <w:r>
        <w:rPr>
          <w:color w:val="231F20"/>
          <w:spacing w:val="-9"/>
          <w:sz w:val="20"/>
        </w:rPr>
        <w:t xml:space="preserve"> </w:t>
      </w:r>
      <w:r>
        <w:rPr>
          <w:color w:val="231F20"/>
          <w:sz w:val="20"/>
        </w:rPr>
        <w:t>a</w:t>
      </w:r>
      <w:r>
        <w:rPr>
          <w:color w:val="231F20"/>
          <w:spacing w:val="-8"/>
          <w:sz w:val="20"/>
        </w:rPr>
        <w:t xml:space="preserve"> </w:t>
      </w:r>
      <w:r>
        <w:rPr>
          <w:color w:val="231F20"/>
          <w:sz w:val="20"/>
        </w:rPr>
        <w:t>point</w:t>
      </w:r>
      <w:r>
        <w:rPr>
          <w:color w:val="231F20"/>
          <w:spacing w:val="-8"/>
          <w:sz w:val="20"/>
        </w:rPr>
        <w:t xml:space="preserve"> </w:t>
      </w:r>
      <w:r>
        <w:rPr>
          <w:color w:val="231F20"/>
          <w:sz w:val="20"/>
        </w:rPr>
        <w:t>in</w:t>
      </w:r>
      <w:r>
        <w:rPr>
          <w:color w:val="231F20"/>
          <w:spacing w:val="-9"/>
          <w:sz w:val="20"/>
        </w:rPr>
        <w:t xml:space="preserve"> </w:t>
      </w:r>
      <w:r>
        <w:rPr>
          <w:color w:val="231F20"/>
          <w:sz w:val="20"/>
        </w:rPr>
        <w:t>the</w:t>
      </w:r>
      <w:r>
        <w:rPr>
          <w:color w:val="231F20"/>
          <w:spacing w:val="-8"/>
          <w:sz w:val="20"/>
        </w:rPr>
        <w:t xml:space="preserve"> </w:t>
      </w:r>
      <w:r>
        <w:rPr>
          <w:color w:val="231F20"/>
          <w:sz w:val="20"/>
        </w:rPr>
        <w:t>justice</w:t>
      </w:r>
      <w:r>
        <w:rPr>
          <w:color w:val="231F20"/>
          <w:spacing w:val="-8"/>
          <w:sz w:val="20"/>
        </w:rPr>
        <w:t xml:space="preserve"> </w:t>
      </w:r>
      <w:r>
        <w:rPr>
          <w:color w:val="231F20"/>
          <w:spacing w:val="-2"/>
          <w:sz w:val="20"/>
        </w:rPr>
        <w:t>system</w:t>
      </w:r>
      <w:r>
        <w:rPr>
          <w:color w:val="231F20"/>
          <w:spacing w:val="-9"/>
          <w:sz w:val="20"/>
        </w:rPr>
        <w:t xml:space="preserve"> </w:t>
      </w:r>
      <w:r>
        <w:rPr>
          <w:color w:val="231F20"/>
          <w:sz w:val="20"/>
        </w:rPr>
        <w:t>where</w:t>
      </w:r>
      <w:r>
        <w:rPr>
          <w:color w:val="231F20"/>
          <w:spacing w:val="-8"/>
          <w:sz w:val="20"/>
        </w:rPr>
        <w:t xml:space="preserve"> </w:t>
      </w:r>
      <w:r>
        <w:rPr>
          <w:color w:val="231F20"/>
          <w:sz w:val="20"/>
        </w:rPr>
        <w:t>the</w:t>
      </w:r>
      <w:r>
        <w:rPr>
          <w:color w:val="231F20"/>
          <w:spacing w:val="-9"/>
          <w:sz w:val="20"/>
        </w:rPr>
        <w:t xml:space="preserve"> </w:t>
      </w:r>
      <w:r>
        <w:rPr>
          <w:color w:val="231F20"/>
          <w:sz w:val="20"/>
        </w:rPr>
        <w:t xml:space="preserve">justice needs of victim </w:t>
      </w:r>
      <w:r>
        <w:rPr>
          <w:color w:val="231F20"/>
          <w:spacing w:val="-3"/>
          <w:sz w:val="20"/>
        </w:rPr>
        <w:t xml:space="preserve">survivors—for example, </w:t>
      </w:r>
      <w:r>
        <w:rPr>
          <w:color w:val="231F20"/>
          <w:sz w:val="20"/>
        </w:rPr>
        <w:t>to feel believed, supported and safe—can be</w:t>
      </w:r>
      <w:r>
        <w:rPr>
          <w:color w:val="231F20"/>
          <w:spacing w:val="-10"/>
          <w:sz w:val="20"/>
        </w:rPr>
        <w:t xml:space="preserve"> </w:t>
      </w:r>
      <w:r>
        <w:rPr>
          <w:color w:val="231F20"/>
          <w:sz w:val="20"/>
        </w:rPr>
        <w:t>met</w:t>
      </w:r>
      <w:r>
        <w:rPr>
          <w:color w:val="231F20"/>
          <w:spacing w:val="-9"/>
          <w:sz w:val="20"/>
        </w:rPr>
        <w:t xml:space="preserve"> </w:t>
      </w:r>
      <w:r>
        <w:rPr>
          <w:color w:val="231F20"/>
          <w:sz w:val="20"/>
        </w:rPr>
        <w:t>(see</w:t>
      </w:r>
      <w:r>
        <w:rPr>
          <w:color w:val="231F20"/>
          <w:spacing w:val="-9"/>
          <w:sz w:val="20"/>
        </w:rPr>
        <w:t xml:space="preserve"> </w:t>
      </w:r>
      <w:r>
        <w:rPr>
          <w:color w:val="231F20"/>
          <w:spacing w:val="-3"/>
          <w:sz w:val="20"/>
        </w:rPr>
        <w:t>Chapter</w:t>
      </w:r>
      <w:r>
        <w:rPr>
          <w:color w:val="231F20"/>
          <w:spacing w:val="-9"/>
          <w:sz w:val="20"/>
        </w:rPr>
        <w:t xml:space="preserve"> </w:t>
      </w:r>
      <w:r>
        <w:rPr>
          <w:color w:val="231F20"/>
          <w:sz w:val="20"/>
        </w:rPr>
        <w:t>1).</w:t>
      </w:r>
      <w:r>
        <w:rPr>
          <w:color w:val="231F20"/>
          <w:spacing w:val="-9"/>
          <w:sz w:val="20"/>
        </w:rPr>
        <w:t xml:space="preserve"> </w:t>
      </w:r>
      <w:r>
        <w:rPr>
          <w:color w:val="231F20"/>
          <w:sz w:val="20"/>
        </w:rPr>
        <w:t>It</w:t>
      </w:r>
      <w:r>
        <w:rPr>
          <w:color w:val="231F20"/>
          <w:spacing w:val="-10"/>
          <w:sz w:val="20"/>
        </w:rPr>
        <w:t xml:space="preserve"> </w:t>
      </w:r>
      <w:r>
        <w:rPr>
          <w:color w:val="231F20"/>
          <w:sz w:val="20"/>
        </w:rPr>
        <w:t>is</w:t>
      </w:r>
      <w:r>
        <w:rPr>
          <w:color w:val="231F20"/>
          <w:spacing w:val="-9"/>
          <w:sz w:val="20"/>
        </w:rPr>
        <w:t xml:space="preserve"> </w:t>
      </w:r>
      <w:r>
        <w:rPr>
          <w:color w:val="231F20"/>
          <w:sz w:val="20"/>
        </w:rPr>
        <w:t>a</w:t>
      </w:r>
      <w:r>
        <w:rPr>
          <w:color w:val="231F20"/>
          <w:spacing w:val="-9"/>
          <w:sz w:val="20"/>
        </w:rPr>
        <w:t xml:space="preserve"> </w:t>
      </w:r>
      <w:r>
        <w:rPr>
          <w:color w:val="231F20"/>
          <w:sz w:val="20"/>
        </w:rPr>
        <w:t>significant</w:t>
      </w:r>
      <w:r>
        <w:rPr>
          <w:color w:val="231F20"/>
          <w:spacing w:val="-9"/>
          <w:sz w:val="20"/>
        </w:rPr>
        <w:t xml:space="preserve"> </w:t>
      </w:r>
      <w:r>
        <w:rPr>
          <w:color w:val="231F20"/>
          <w:sz w:val="20"/>
        </w:rPr>
        <w:t>opportunity</w:t>
      </w:r>
      <w:r>
        <w:rPr>
          <w:color w:val="231F20"/>
          <w:spacing w:val="-9"/>
          <w:sz w:val="20"/>
        </w:rPr>
        <w:t xml:space="preserve"> </w:t>
      </w:r>
      <w:r>
        <w:rPr>
          <w:color w:val="231F20"/>
          <w:sz w:val="20"/>
        </w:rPr>
        <w:t>to</w:t>
      </w:r>
      <w:r>
        <w:rPr>
          <w:color w:val="231F20"/>
          <w:spacing w:val="-10"/>
          <w:sz w:val="20"/>
        </w:rPr>
        <w:t xml:space="preserve"> </w:t>
      </w:r>
      <w:r>
        <w:rPr>
          <w:color w:val="231F20"/>
          <w:sz w:val="20"/>
        </w:rPr>
        <w:t>address</w:t>
      </w:r>
      <w:r>
        <w:rPr>
          <w:color w:val="231F20"/>
          <w:spacing w:val="-9"/>
          <w:sz w:val="20"/>
        </w:rPr>
        <w:t xml:space="preserve"> </w:t>
      </w:r>
      <w:r>
        <w:rPr>
          <w:color w:val="231F20"/>
          <w:sz w:val="20"/>
        </w:rPr>
        <w:t>the</w:t>
      </w:r>
      <w:r>
        <w:rPr>
          <w:color w:val="231F20"/>
          <w:spacing w:val="-9"/>
          <w:sz w:val="20"/>
        </w:rPr>
        <w:t xml:space="preserve"> </w:t>
      </w:r>
      <w:r>
        <w:rPr>
          <w:color w:val="231F20"/>
          <w:sz w:val="20"/>
        </w:rPr>
        <w:t>behaviour</w:t>
      </w:r>
      <w:r>
        <w:rPr>
          <w:color w:val="231F20"/>
          <w:spacing w:val="-9"/>
          <w:sz w:val="20"/>
        </w:rPr>
        <w:t xml:space="preserve"> </w:t>
      </w:r>
      <w:r>
        <w:rPr>
          <w:color w:val="231F20"/>
          <w:sz w:val="20"/>
        </w:rPr>
        <w:t>of</w:t>
      </w:r>
      <w:r>
        <w:rPr>
          <w:color w:val="231F20"/>
          <w:spacing w:val="-9"/>
          <w:sz w:val="20"/>
        </w:rPr>
        <w:t xml:space="preserve"> </w:t>
      </w:r>
      <w:r>
        <w:rPr>
          <w:color w:val="231F20"/>
          <w:sz w:val="20"/>
        </w:rPr>
        <w:t xml:space="preserve">the person who stalks (see </w:t>
      </w:r>
      <w:r>
        <w:rPr>
          <w:color w:val="231F20"/>
          <w:spacing w:val="-3"/>
          <w:sz w:val="20"/>
        </w:rPr>
        <w:t>Chapter</w:t>
      </w:r>
      <w:r>
        <w:rPr>
          <w:color w:val="231F20"/>
          <w:spacing w:val="-21"/>
          <w:sz w:val="20"/>
        </w:rPr>
        <w:t xml:space="preserve"> </w:t>
      </w:r>
      <w:r>
        <w:rPr>
          <w:color w:val="231F20"/>
          <w:spacing w:val="-4"/>
          <w:sz w:val="20"/>
        </w:rPr>
        <w:t>8).</w:t>
      </w:r>
    </w:p>
    <w:p w14:paraId="75433908" w14:textId="77777777" w:rsidR="00894070" w:rsidRDefault="00894070">
      <w:pPr>
        <w:pStyle w:val="BodyText"/>
      </w:pPr>
    </w:p>
    <w:p w14:paraId="2EEFD1EE" w14:textId="77777777" w:rsidR="00894070" w:rsidRDefault="00894070">
      <w:pPr>
        <w:pStyle w:val="BodyText"/>
      </w:pPr>
    </w:p>
    <w:p w14:paraId="41557233" w14:textId="77777777" w:rsidR="00894070" w:rsidRDefault="009F6793">
      <w:pPr>
        <w:pStyle w:val="BodyText"/>
        <w:rPr>
          <w:sz w:val="19"/>
        </w:rPr>
      </w:pPr>
      <w:r>
        <w:pict w14:anchorId="49E24474">
          <v:line id="_x0000_s1359" style="position:absolute;z-index:251636736;mso-wrap-distance-left:0;mso-wrap-distance-right:0;mso-position-horizontal-relative:page" from="79.35pt,15.65pt" to="515.9pt,15.65pt" strokecolor="#f8cabc" strokeweight="1pt">
            <w10:wrap type="topAndBottom" anchorx="page"/>
          </v:line>
        </w:pict>
      </w:r>
    </w:p>
    <w:p w14:paraId="060AE719" w14:textId="77777777" w:rsidR="00894070" w:rsidRDefault="009B7AFD">
      <w:pPr>
        <w:pStyle w:val="ListParagraph"/>
        <w:numPr>
          <w:ilvl w:val="0"/>
          <w:numId w:val="101"/>
        </w:numPr>
        <w:tabs>
          <w:tab w:val="left" w:pos="1800"/>
          <w:tab w:val="left" w:pos="1802"/>
        </w:tabs>
        <w:spacing w:before="91" w:line="170" w:lineRule="exact"/>
        <w:rPr>
          <w:sz w:val="13"/>
        </w:rPr>
      </w:pPr>
      <w:r>
        <w:rPr>
          <w:color w:val="231F20"/>
          <w:sz w:val="13"/>
        </w:rPr>
        <w:t>As discussed in Chapter 2, family violence intervention orders (FVIOs) protect people from violence by a family</w:t>
      </w:r>
      <w:r>
        <w:rPr>
          <w:color w:val="231F20"/>
          <w:spacing w:val="4"/>
          <w:sz w:val="13"/>
        </w:rPr>
        <w:t xml:space="preserve"> </w:t>
      </w:r>
      <w:r>
        <w:rPr>
          <w:color w:val="231F20"/>
          <w:sz w:val="13"/>
        </w:rPr>
        <w:t>member.</w:t>
      </w:r>
    </w:p>
    <w:p w14:paraId="6B505204" w14:textId="77777777" w:rsidR="00894070" w:rsidRDefault="009F6793">
      <w:pPr>
        <w:pStyle w:val="ListParagraph"/>
        <w:numPr>
          <w:ilvl w:val="0"/>
          <w:numId w:val="101"/>
        </w:numPr>
        <w:tabs>
          <w:tab w:val="left" w:pos="1801"/>
          <w:tab w:val="left" w:pos="1802"/>
        </w:tabs>
        <w:spacing w:line="170" w:lineRule="exact"/>
        <w:rPr>
          <w:sz w:val="13"/>
        </w:rPr>
      </w:pPr>
      <w:r>
        <w:pict w14:anchorId="08690244">
          <v:shape id="_x0000_s1358" type="#_x0000_t202" style="position:absolute;left:0;text-align:left;margin-left:36pt;margin-top:-4.3pt;width:14.55pt;height:14.1pt;z-index:251709440;mso-position-horizontal-relative:page" filled="f" stroked="f">
            <v:textbox inset="0,0,0,0">
              <w:txbxContent>
                <w:p w14:paraId="198F57C9" w14:textId="77777777" w:rsidR="00894070" w:rsidRDefault="009B7AFD">
                  <w:pPr>
                    <w:spacing w:line="282" w:lineRule="exact"/>
                    <w:rPr>
                      <w:b/>
                      <w:sz w:val="24"/>
                    </w:rPr>
                  </w:pPr>
                  <w:r>
                    <w:rPr>
                      <w:b/>
                      <w:color w:val="EA5B50"/>
                      <w:sz w:val="24"/>
                    </w:rPr>
                    <w:t>96</w:t>
                  </w:r>
                </w:p>
              </w:txbxContent>
            </v:textbox>
            <w10:wrap anchorx="page"/>
          </v:shape>
        </w:pict>
      </w:r>
      <w:r w:rsidR="009B7AFD">
        <w:rPr>
          <w:i/>
          <w:color w:val="231F20"/>
          <w:sz w:val="13"/>
        </w:rPr>
        <w:t xml:space="preserve">Personal Safety Intervention Orders Act 2010 </w:t>
      </w:r>
      <w:r w:rsidR="009B7AFD">
        <w:rPr>
          <w:color w:val="231F20"/>
          <w:sz w:val="13"/>
        </w:rPr>
        <w:t>(Vic) s</w:t>
      </w:r>
      <w:r w:rsidR="009B7AFD">
        <w:rPr>
          <w:color w:val="231F20"/>
          <w:spacing w:val="3"/>
          <w:sz w:val="13"/>
        </w:rPr>
        <w:t xml:space="preserve"> </w:t>
      </w:r>
      <w:r w:rsidR="009B7AFD">
        <w:rPr>
          <w:color w:val="231F20"/>
          <w:sz w:val="13"/>
        </w:rPr>
        <w:t>10(1)(b).</w:t>
      </w:r>
    </w:p>
    <w:p w14:paraId="03675C8B" w14:textId="77777777" w:rsidR="00894070" w:rsidRDefault="00894070">
      <w:pPr>
        <w:spacing w:line="170" w:lineRule="exact"/>
        <w:rPr>
          <w:sz w:val="13"/>
        </w:rPr>
        <w:sectPr w:rsidR="00894070">
          <w:pgSz w:w="11910" w:h="16840"/>
          <w:pgMar w:top="860" w:right="420" w:bottom="280" w:left="580" w:header="567" w:footer="0" w:gutter="0"/>
          <w:cols w:space="720"/>
        </w:sectPr>
      </w:pPr>
    </w:p>
    <w:p w14:paraId="2F55E1FE" w14:textId="77777777" w:rsidR="00894070" w:rsidRDefault="00894070">
      <w:pPr>
        <w:pStyle w:val="BodyText"/>
      </w:pPr>
    </w:p>
    <w:p w14:paraId="0CCB882C" w14:textId="77777777" w:rsidR="00894070" w:rsidRDefault="00894070">
      <w:pPr>
        <w:pStyle w:val="BodyText"/>
      </w:pPr>
    </w:p>
    <w:p w14:paraId="7733AA9E" w14:textId="77777777" w:rsidR="00894070" w:rsidRDefault="00894070">
      <w:pPr>
        <w:pStyle w:val="BodyText"/>
      </w:pPr>
    </w:p>
    <w:p w14:paraId="142556CD" w14:textId="77777777" w:rsidR="00894070" w:rsidRDefault="00894070">
      <w:pPr>
        <w:pStyle w:val="BodyText"/>
        <w:spacing w:before="6"/>
        <w:rPr>
          <w:sz w:val="14"/>
        </w:rPr>
      </w:pPr>
    </w:p>
    <w:p w14:paraId="777FC36C" w14:textId="77777777" w:rsidR="00894070" w:rsidRDefault="009B7AFD">
      <w:pPr>
        <w:pStyle w:val="ListParagraph"/>
        <w:numPr>
          <w:ilvl w:val="1"/>
          <w:numId w:val="102"/>
        </w:numPr>
        <w:tabs>
          <w:tab w:val="left" w:pos="1801"/>
          <w:tab w:val="left" w:pos="1802"/>
        </w:tabs>
        <w:spacing w:before="90" w:line="206" w:lineRule="auto"/>
        <w:ind w:right="1244"/>
        <w:rPr>
          <w:sz w:val="11"/>
        </w:rPr>
      </w:pPr>
      <w:bookmarkStart w:id="115" w:name="How_does_the_PSIO_process_work?"/>
      <w:bookmarkStart w:id="116" w:name="_bookmark65"/>
      <w:bookmarkEnd w:id="115"/>
      <w:bookmarkEnd w:id="116"/>
      <w:r>
        <w:rPr>
          <w:color w:val="231F20"/>
          <w:spacing w:val="-5"/>
          <w:sz w:val="20"/>
        </w:rPr>
        <w:t>However,</w:t>
      </w:r>
      <w:r>
        <w:rPr>
          <w:color w:val="231F20"/>
          <w:spacing w:val="-8"/>
          <w:sz w:val="20"/>
        </w:rPr>
        <w:t xml:space="preserve"> </w:t>
      </w:r>
      <w:proofErr w:type="gramStart"/>
      <w:r>
        <w:rPr>
          <w:color w:val="231F20"/>
          <w:sz w:val="20"/>
        </w:rPr>
        <w:t>it</w:t>
      </w:r>
      <w:r>
        <w:rPr>
          <w:color w:val="231F20"/>
          <w:spacing w:val="-8"/>
          <w:sz w:val="20"/>
        </w:rPr>
        <w:t xml:space="preserve"> </w:t>
      </w:r>
      <w:r>
        <w:rPr>
          <w:color w:val="231F20"/>
          <w:sz w:val="20"/>
        </w:rPr>
        <w:t>is</w:t>
      </w:r>
      <w:r>
        <w:rPr>
          <w:color w:val="231F20"/>
          <w:spacing w:val="-7"/>
          <w:sz w:val="20"/>
        </w:rPr>
        <w:t xml:space="preserve"> </w:t>
      </w:r>
      <w:r>
        <w:rPr>
          <w:color w:val="231F20"/>
          <w:sz w:val="20"/>
        </w:rPr>
        <w:t>clear</w:t>
      </w:r>
      <w:r>
        <w:rPr>
          <w:color w:val="231F20"/>
          <w:spacing w:val="-8"/>
          <w:sz w:val="20"/>
        </w:rPr>
        <w:t xml:space="preserve"> </w:t>
      </w:r>
      <w:r>
        <w:rPr>
          <w:color w:val="231F20"/>
          <w:sz w:val="20"/>
        </w:rPr>
        <w:t>that</w:t>
      </w:r>
      <w:r>
        <w:rPr>
          <w:color w:val="231F20"/>
          <w:spacing w:val="-7"/>
          <w:sz w:val="20"/>
        </w:rPr>
        <w:t xml:space="preserve"> </w:t>
      </w:r>
      <w:r>
        <w:rPr>
          <w:color w:val="231F20"/>
          <w:sz w:val="20"/>
        </w:rPr>
        <w:t>the</w:t>
      </w:r>
      <w:proofErr w:type="gramEnd"/>
      <w:r>
        <w:rPr>
          <w:color w:val="231F20"/>
          <w:spacing w:val="-8"/>
          <w:sz w:val="20"/>
        </w:rPr>
        <w:t xml:space="preserve"> </w:t>
      </w:r>
      <w:r>
        <w:rPr>
          <w:color w:val="231F20"/>
          <w:sz w:val="20"/>
        </w:rPr>
        <w:t>civil</w:t>
      </w:r>
      <w:r>
        <w:rPr>
          <w:color w:val="231F20"/>
          <w:spacing w:val="-8"/>
          <w:sz w:val="20"/>
        </w:rPr>
        <w:t xml:space="preserve"> </w:t>
      </w:r>
      <w:r>
        <w:rPr>
          <w:color w:val="231F20"/>
          <w:sz w:val="20"/>
        </w:rPr>
        <w:t>response</w:t>
      </w:r>
      <w:r>
        <w:rPr>
          <w:color w:val="231F20"/>
          <w:spacing w:val="-7"/>
          <w:sz w:val="20"/>
        </w:rPr>
        <w:t xml:space="preserve"> </w:t>
      </w:r>
      <w:r>
        <w:rPr>
          <w:color w:val="231F20"/>
          <w:sz w:val="20"/>
        </w:rPr>
        <w:t>is</w:t>
      </w:r>
      <w:r>
        <w:rPr>
          <w:color w:val="231F20"/>
          <w:spacing w:val="-8"/>
          <w:sz w:val="20"/>
        </w:rPr>
        <w:t xml:space="preserve"> </w:t>
      </w:r>
      <w:r>
        <w:rPr>
          <w:color w:val="231F20"/>
          <w:sz w:val="20"/>
        </w:rPr>
        <w:t>not</w:t>
      </w:r>
      <w:r>
        <w:rPr>
          <w:color w:val="231F20"/>
          <w:spacing w:val="-7"/>
          <w:sz w:val="20"/>
        </w:rPr>
        <w:t xml:space="preserve"> </w:t>
      </w:r>
      <w:r>
        <w:rPr>
          <w:color w:val="231F20"/>
          <w:sz w:val="20"/>
        </w:rPr>
        <w:t>working</w:t>
      </w:r>
      <w:r>
        <w:rPr>
          <w:color w:val="231F20"/>
          <w:spacing w:val="-8"/>
          <w:sz w:val="20"/>
        </w:rPr>
        <w:t xml:space="preserve"> </w:t>
      </w:r>
      <w:r>
        <w:rPr>
          <w:color w:val="231F20"/>
          <w:sz w:val="20"/>
        </w:rPr>
        <w:t>as</w:t>
      </w:r>
      <w:r>
        <w:rPr>
          <w:color w:val="231F20"/>
          <w:spacing w:val="-8"/>
          <w:sz w:val="20"/>
        </w:rPr>
        <w:t xml:space="preserve"> </w:t>
      </w:r>
      <w:r>
        <w:rPr>
          <w:color w:val="231F20"/>
          <w:spacing w:val="-3"/>
          <w:sz w:val="20"/>
        </w:rPr>
        <w:t>well</w:t>
      </w:r>
      <w:r>
        <w:rPr>
          <w:color w:val="231F20"/>
          <w:spacing w:val="-7"/>
          <w:sz w:val="20"/>
        </w:rPr>
        <w:t xml:space="preserve"> </w:t>
      </w:r>
      <w:r>
        <w:rPr>
          <w:color w:val="231F20"/>
          <w:sz w:val="20"/>
        </w:rPr>
        <w:t>as</w:t>
      </w:r>
      <w:r>
        <w:rPr>
          <w:color w:val="231F20"/>
          <w:spacing w:val="-8"/>
          <w:sz w:val="20"/>
        </w:rPr>
        <w:t xml:space="preserve"> </w:t>
      </w:r>
      <w:r>
        <w:rPr>
          <w:color w:val="231F20"/>
          <w:sz w:val="20"/>
        </w:rPr>
        <w:t>it</w:t>
      </w:r>
      <w:r>
        <w:rPr>
          <w:color w:val="231F20"/>
          <w:spacing w:val="-7"/>
          <w:sz w:val="20"/>
        </w:rPr>
        <w:t xml:space="preserve"> </w:t>
      </w:r>
      <w:r>
        <w:rPr>
          <w:color w:val="231F20"/>
          <w:sz w:val="20"/>
        </w:rPr>
        <w:t>should.</w:t>
      </w:r>
      <w:r>
        <w:rPr>
          <w:color w:val="231F20"/>
          <w:spacing w:val="-8"/>
          <w:sz w:val="20"/>
        </w:rPr>
        <w:t xml:space="preserve"> </w:t>
      </w:r>
      <w:r>
        <w:rPr>
          <w:color w:val="231F20"/>
          <w:sz w:val="20"/>
        </w:rPr>
        <w:t>PSIOs</w:t>
      </w:r>
      <w:r>
        <w:rPr>
          <w:color w:val="231F20"/>
          <w:spacing w:val="-8"/>
          <w:sz w:val="20"/>
        </w:rPr>
        <w:t xml:space="preserve"> </w:t>
      </w:r>
      <w:r>
        <w:rPr>
          <w:color w:val="231F20"/>
          <w:spacing w:val="-3"/>
          <w:sz w:val="20"/>
        </w:rPr>
        <w:t xml:space="preserve">are </w:t>
      </w:r>
      <w:r>
        <w:rPr>
          <w:color w:val="231F20"/>
          <w:sz w:val="20"/>
        </w:rPr>
        <w:t>often</w:t>
      </w:r>
      <w:r>
        <w:rPr>
          <w:color w:val="231F20"/>
          <w:spacing w:val="-12"/>
          <w:sz w:val="20"/>
        </w:rPr>
        <w:t xml:space="preserve"> </w:t>
      </w:r>
      <w:r>
        <w:rPr>
          <w:color w:val="231F20"/>
          <w:sz w:val="20"/>
        </w:rPr>
        <w:t>breached,</w:t>
      </w:r>
      <w:r>
        <w:rPr>
          <w:color w:val="231F20"/>
          <w:spacing w:val="-11"/>
          <w:sz w:val="20"/>
        </w:rPr>
        <w:t xml:space="preserve"> </w:t>
      </w:r>
      <w:r>
        <w:rPr>
          <w:color w:val="231F20"/>
          <w:sz w:val="20"/>
        </w:rPr>
        <w:t>which</w:t>
      </w:r>
      <w:r>
        <w:rPr>
          <w:color w:val="231F20"/>
          <w:spacing w:val="-12"/>
          <w:sz w:val="20"/>
        </w:rPr>
        <w:t xml:space="preserve"> </w:t>
      </w:r>
      <w:r>
        <w:rPr>
          <w:color w:val="231F20"/>
          <w:sz w:val="20"/>
        </w:rPr>
        <w:t>indicates</w:t>
      </w:r>
      <w:r>
        <w:rPr>
          <w:color w:val="231F20"/>
          <w:spacing w:val="-11"/>
          <w:sz w:val="20"/>
        </w:rPr>
        <w:t xml:space="preserve"> </w:t>
      </w:r>
      <w:r>
        <w:rPr>
          <w:color w:val="231F20"/>
          <w:sz w:val="20"/>
        </w:rPr>
        <w:t>that</w:t>
      </w:r>
      <w:r>
        <w:rPr>
          <w:color w:val="231F20"/>
          <w:spacing w:val="-11"/>
          <w:sz w:val="20"/>
        </w:rPr>
        <w:t xml:space="preserve"> </w:t>
      </w:r>
      <w:r>
        <w:rPr>
          <w:color w:val="231F20"/>
          <w:sz w:val="20"/>
        </w:rPr>
        <w:t>the</w:t>
      </w:r>
      <w:r>
        <w:rPr>
          <w:color w:val="231F20"/>
          <w:spacing w:val="-12"/>
          <w:sz w:val="20"/>
        </w:rPr>
        <w:t xml:space="preserve"> </w:t>
      </w:r>
      <w:r>
        <w:rPr>
          <w:color w:val="231F20"/>
          <w:sz w:val="20"/>
        </w:rPr>
        <w:t>behaviour</w:t>
      </w:r>
      <w:r>
        <w:rPr>
          <w:color w:val="231F20"/>
          <w:spacing w:val="-11"/>
          <w:sz w:val="20"/>
        </w:rPr>
        <w:t xml:space="preserve"> </w:t>
      </w:r>
      <w:r>
        <w:rPr>
          <w:color w:val="231F20"/>
          <w:sz w:val="20"/>
        </w:rPr>
        <w:t>is</w:t>
      </w:r>
      <w:r>
        <w:rPr>
          <w:color w:val="231F20"/>
          <w:spacing w:val="-12"/>
          <w:sz w:val="20"/>
        </w:rPr>
        <w:t xml:space="preserve"> </w:t>
      </w:r>
      <w:r>
        <w:rPr>
          <w:color w:val="231F20"/>
          <w:sz w:val="20"/>
        </w:rPr>
        <w:t>not</w:t>
      </w:r>
      <w:r>
        <w:rPr>
          <w:color w:val="231F20"/>
          <w:spacing w:val="-11"/>
          <w:sz w:val="20"/>
        </w:rPr>
        <w:t xml:space="preserve"> </w:t>
      </w:r>
      <w:r>
        <w:rPr>
          <w:color w:val="231F20"/>
          <w:sz w:val="20"/>
        </w:rPr>
        <w:t>being</w:t>
      </w:r>
      <w:r>
        <w:rPr>
          <w:color w:val="231F20"/>
          <w:spacing w:val="-11"/>
          <w:sz w:val="20"/>
        </w:rPr>
        <w:t xml:space="preserve"> </w:t>
      </w:r>
      <w:r>
        <w:rPr>
          <w:color w:val="231F20"/>
          <w:spacing w:val="-3"/>
          <w:sz w:val="20"/>
        </w:rPr>
        <w:t>adequately</w:t>
      </w:r>
      <w:r>
        <w:rPr>
          <w:color w:val="231F20"/>
          <w:spacing w:val="-12"/>
          <w:sz w:val="20"/>
        </w:rPr>
        <w:t xml:space="preserve"> </w:t>
      </w:r>
      <w:r>
        <w:rPr>
          <w:color w:val="231F20"/>
          <w:sz w:val="20"/>
        </w:rPr>
        <w:t>addressed, and</w:t>
      </w:r>
      <w:r>
        <w:rPr>
          <w:color w:val="231F20"/>
          <w:spacing w:val="-9"/>
          <w:sz w:val="20"/>
        </w:rPr>
        <w:t xml:space="preserve"> </w:t>
      </w:r>
      <w:r>
        <w:rPr>
          <w:color w:val="231F20"/>
          <w:spacing w:val="-3"/>
          <w:sz w:val="20"/>
        </w:rPr>
        <w:t>we</w:t>
      </w:r>
      <w:r>
        <w:rPr>
          <w:color w:val="231F20"/>
          <w:spacing w:val="-9"/>
          <w:sz w:val="20"/>
        </w:rPr>
        <w:t xml:space="preserve"> </w:t>
      </w:r>
      <w:r>
        <w:rPr>
          <w:color w:val="231F20"/>
          <w:sz w:val="20"/>
        </w:rPr>
        <w:t>heard</w:t>
      </w:r>
      <w:r>
        <w:rPr>
          <w:color w:val="231F20"/>
          <w:spacing w:val="-8"/>
          <w:sz w:val="20"/>
        </w:rPr>
        <w:t xml:space="preserve"> </w:t>
      </w:r>
      <w:r>
        <w:rPr>
          <w:color w:val="231F20"/>
          <w:sz w:val="20"/>
        </w:rPr>
        <w:t>the</w:t>
      </w:r>
      <w:r>
        <w:rPr>
          <w:color w:val="231F20"/>
          <w:spacing w:val="-9"/>
          <w:sz w:val="20"/>
        </w:rPr>
        <w:t xml:space="preserve"> </w:t>
      </w:r>
      <w:r>
        <w:rPr>
          <w:color w:val="231F20"/>
          <w:sz w:val="20"/>
        </w:rPr>
        <w:t>police</w:t>
      </w:r>
      <w:r>
        <w:rPr>
          <w:color w:val="231F20"/>
          <w:spacing w:val="-9"/>
          <w:sz w:val="20"/>
        </w:rPr>
        <w:t xml:space="preserve"> </w:t>
      </w:r>
      <w:r>
        <w:rPr>
          <w:color w:val="231F20"/>
          <w:sz w:val="20"/>
        </w:rPr>
        <w:t>response</w:t>
      </w:r>
      <w:r>
        <w:rPr>
          <w:color w:val="231F20"/>
          <w:spacing w:val="-8"/>
          <w:sz w:val="20"/>
        </w:rPr>
        <w:t xml:space="preserve"> </w:t>
      </w:r>
      <w:r>
        <w:rPr>
          <w:color w:val="231F20"/>
          <w:sz w:val="20"/>
        </w:rPr>
        <w:t>to</w:t>
      </w:r>
      <w:r>
        <w:rPr>
          <w:color w:val="231F20"/>
          <w:spacing w:val="-9"/>
          <w:sz w:val="20"/>
        </w:rPr>
        <w:t xml:space="preserve"> </w:t>
      </w:r>
      <w:r>
        <w:rPr>
          <w:color w:val="231F20"/>
          <w:sz w:val="20"/>
        </w:rPr>
        <w:t>those</w:t>
      </w:r>
      <w:r>
        <w:rPr>
          <w:color w:val="231F20"/>
          <w:spacing w:val="-9"/>
          <w:sz w:val="20"/>
        </w:rPr>
        <w:t xml:space="preserve"> </w:t>
      </w:r>
      <w:r>
        <w:rPr>
          <w:color w:val="231F20"/>
          <w:sz w:val="20"/>
        </w:rPr>
        <w:t>breaches</w:t>
      </w:r>
      <w:r>
        <w:rPr>
          <w:color w:val="231F20"/>
          <w:spacing w:val="-8"/>
          <w:sz w:val="20"/>
        </w:rPr>
        <w:t xml:space="preserve"> </w:t>
      </w:r>
      <w:r>
        <w:rPr>
          <w:color w:val="231F20"/>
          <w:sz w:val="20"/>
        </w:rPr>
        <w:t>is</w:t>
      </w:r>
      <w:r>
        <w:rPr>
          <w:color w:val="231F20"/>
          <w:spacing w:val="-9"/>
          <w:sz w:val="20"/>
        </w:rPr>
        <w:t xml:space="preserve"> </w:t>
      </w:r>
      <w:r>
        <w:rPr>
          <w:color w:val="231F20"/>
          <w:sz w:val="20"/>
        </w:rPr>
        <w:t>not</w:t>
      </w:r>
      <w:r>
        <w:rPr>
          <w:color w:val="231F20"/>
          <w:spacing w:val="-9"/>
          <w:sz w:val="20"/>
        </w:rPr>
        <w:t xml:space="preserve"> </w:t>
      </w:r>
      <w:r>
        <w:rPr>
          <w:color w:val="231F20"/>
          <w:sz w:val="20"/>
        </w:rPr>
        <w:t>consistent</w:t>
      </w:r>
      <w:r>
        <w:rPr>
          <w:color w:val="231F20"/>
          <w:spacing w:val="-8"/>
          <w:sz w:val="20"/>
        </w:rPr>
        <w:t xml:space="preserve"> </w:t>
      </w:r>
      <w:r>
        <w:rPr>
          <w:color w:val="231F20"/>
          <w:sz w:val="20"/>
        </w:rPr>
        <w:t>(see</w:t>
      </w:r>
      <w:r>
        <w:rPr>
          <w:color w:val="231F20"/>
          <w:spacing w:val="-9"/>
          <w:sz w:val="20"/>
        </w:rPr>
        <w:t xml:space="preserve"> </w:t>
      </w:r>
      <w:r>
        <w:rPr>
          <w:color w:val="231F20"/>
          <w:spacing w:val="-3"/>
          <w:sz w:val="20"/>
        </w:rPr>
        <w:t>Chapter</w:t>
      </w:r>
      <w:r>
        <w:rPr>
          <w:color w:val="231F20"/>
          <w:spacing w:val="-9"/>
          <w:sz w:val="20"/>
        </w:rPr>
        <w:t xml:space="preserve"> </w:t>
      </w:r>
      <w:r>
        <w:rPr>
          <w:color w:val="231F20"/>
          <w:spacing w:val="-4"/>
          <w:sz w:val="20"/>
        </w:rPr>
        <w:t>7).</w:t>
      </w:r>
      <w:r>
        <w:rPr>
          <w:color w:val="231F20"/>
          <w:spacing w:val="-4"/>
          <w:position w:val="7"/>
          <w:sz w:val="11"/>
        </w:rPr>
        <w:t>3</w:t>
      </w:r>
      <w:r>
        <w:rPr>
          <w:color w:val="231F20"/>
          <w:spacing w:val="-4"/>
          <w:sz w:val="11"/>
        </w:rPr>
        <w:t xml:space="preserve"> </w:t>
      </w:r>
      <w:r>
        <w:rPr>
          <w:color w:val="231F20"/>
          <w:sz w:val="20"/>
        </w:rPr>
        <w:t xml:space="preserve">People who </w:t>
      </w:r>
      <w:r>
        <w:rPr>
          <w:color w:val="231F20"/>
          <w:spacing w:val="-3"/>
          <w:sz w:val="20"/>
        </w:rPr>
        <w:t xml:space="preserve">are </w:t>
      </w:r>
      <w:r>
        <w:rPr>
          <w:color w:val="231F20"/>
          <w:sz w:val="20"/>
        </w:rPr>
        <w:t>subject to PSIOs often</w:t>
      </w:r>
      <w:r>
        <w:rPr>
          <w:color w:val="231F20"/>
          <w:spacing w:val="-30"/>
          <w:sz w:val="20"/>
        </w:rPr>
        <w:t xml:space="preserve"> </w:t>
      </w:r>
      <w:r>
        <w:rPr>
          <w:color w:val="231F20"/>
          <w:sz w:val="20"/>
        </w:rPr>
        <w:t>re-offend.</w:t>
      </w:r>
      <w:r>
        <w:rPr>
          <w:color w:val="231F20"/>
          <w:position w:val="7"/>
          <w:sz w:val="11"/>
        </w:rPr>
        <w:t>4</w:t>
      </w:r>
    </w:p>
    <w:p w14:paraId="7B78F4FA" w14:textId="77777777" w:rsidR="00894070" w:rsidRDefault="009B7AFD">
      <w:pPr>
        <w:pStyle w:val="ListParagraph"/>
        <w:numPr>
          <w:ilvl w:val="1"/>
          <w:numId w:val="102"/>
        </w:numPr>
        <w:tabs>
          <w:tab w:val="left" w:pos="1801"/>
          <w:tab w:val="left" w:pos="1802"/>
        </w:tabs>
        <w:spacing w:before="93" w:line="259" w:lineRule="exact"/>
        <w:rPr>
          <w:sz w:val="20"/>
        </w:rPr>
      </w:pPr>
      <w:r>
        <w:rPr>
          <w:color w:val="231F20"/>
          <w:spacing w:val="-6"/>
          <w:sz w:val="20"/>
        </w:rPr>
        <w:t xml:space="preserve">We </w:t>
      </w:r>
      <w:r>
        <w:rPr>
          <w:color w:val="231F20"/>
          <w:sz w:val="20"/>
        </w:rPr>
        <w:t>heard</w:t>
      </w:r>
      <w:r>
        <w:rPr>
          <w:color w:val="231F20"/>
          <w:spacing w:val="-5"/>
          <w:sz w:val="20"/>
        </w:rPr>
        <w:t xml:space="preserve"> </w:t>
      </w:r>
      <w:r>
        <w:rPr>
          <w:color w:val="231F20"/>
          <w:spacing w:val="-3"/>
          <w:sz w:val="20"/>
        </w:rPr>
        <w:t>from</w:t>
      </w:r>
      <w:r>
        <w:rPr>
          <w:color w:val="231F20"/>
          <w:spacing w:val="-5"/>
          <w:sz w:val="20"/>
        </w:rPr>
        <w:t xml:space="preserve"> </w:t>
      </w:r>
      <w:r>
        <w:rPr>
          <w:color w:val="231F20"/>
          <w:sz w:val="20"/>
        </w:rPr>
        <w:t>many</w:t>
      </w:r>
      <w:r>
        <w:rPr>
          <w:color w:val="231F20"/>
          <w:spacing w:val="-5"/>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5"/>
          <w:sz w:val="20"/>
        </w:rPr>
        <w:t xml:space="preserve"> </w:t>
      </w:r>
      <w:r>
        <w:rPr>
          <w:color w:val="231F20"/>
          <w:sz w:val="20"/>
        </w:rPr>
        <w:t>who</w:t>
      </w:r>
      <w:r>
        <w:rPr>
          <w:color w:val="231F20"/>
          <w:spacing w:val="-5"/>
          <w:sz w:val="20"/>
        </w:rPr>
        <w:t xml:space="preserve"> </w:t>
      </w:r>
      <w:r>
        <w:rPr>
          <w:color w:val="231F20"/>
          <w:sz w:val="20"/>
        </w:rPr>
        <w:t>said</w:t>
      </w:r>
      <w:r>
        <w:rPr>
          <w:color w:val="231F20"/>
          <w:spacing w:val="-5"/>
          <w:sz w:val="20"/>
        </w:rPr>
        <w:t xml:space="preserve"> </w:t>
      </w:r>
      <w:r>
        <w:rPr>
          <w:color w:val="231F20"/>
          <w:sz w:val="20"/>
        </w:rPr>
        <w:t>they</w:t>
      </w:r>
      <w:r>
        <w:rPr>
          <w:color w:val="231F20"/>
          <w:spacing w:val="-5"/>
          <w:sz w:val="20"/>
        </w:rPr>
        <w:t xml:space="preserve"> </w:t>
      </w:r>
      <w:r>
        <w:rPr>
          <w:color w:val="231F20"/>
          <w:spacing w:val="-3"/>
          <w:sz w:val="20"/>
        </w:rPr>
        <w:t>felt</w:t>
      </w:r>
      <w:r>
        <w:rPr>
          <w:color w:val="231F20"/>
          <w:spacing w:val="-6"/>
          <w:sz w:val="20"/>
        </w:rPr>
        <w:t xml:space="preserve"> </w:t>
      </w:r>
      <w:r>
        <w:rPr>
          <w:color w:val="231F20"/>
          <w:spacing w:val="-2"/>
          <w:sz w:val="20"/>
        </w:rPr>
        <w:t>unsafe</w:t>
      </w:r>
      <w:r>
        <w:rPr>
          <w:color w:val="231F20"/>
          <w:spacing w:val="-5"/>
          <w:sz w:val="20"/>
        </w:rPr>
        <w:t xml:space="preserve"> </w:t>
      </w:r>
      <w:r>
        <w:rPr>
          <w:color w:val="231F20"/>
          <w:spacing w:val="-3"/>
          <w:sz w:val="20"/>
        </w:rPr>
        <w:t>even</w:t>
      </w:r>
      <w:r>
        <w:rPr>
          <w:color w:val="231F20"/>
          <w:spacing w:val="-5"/>
          <w:sz w:val="20"/>
        </w:rPr>
        <w:t xml:space="preserve"> </w:t>
      </w:r>
      <w:r>
        <w:rPr>
          <w:color w:val="231F20"/>
          <w:sz w:val="20"/>
        </w:rPr>
        <w:t>after</w:t>
      </w:r>
      <w:r>
        <w:rPr>
          <w:color w:val="231F20"/>
          <w:spacing w:val="-5"/>
          <w:sz w:val="20"/>
        </w:rPr>
        <w:t xml:space="preserve"> </w:t>
      </w:r>
      <w:r>
        <w:rPr>
          <w:color w:val="231F20"/>
          <w:sz w:val="20"/>
        </w:rPr>
        <w:t>they</w:t>
      </w:r>
      <w:r>
        <w:rPr>
          <w:color w:val="231F20"/>
          <w:spacing w:val="-5"/>
          <w:sz w:val="20"/>
        </w:rPr>
        <w:t xml:space="preserve"> </w:t>
      </w:r>
      <w:r>
        <w:rPr>
          <w:color w:val="231F20"/>
          <w:spacing w:val="-4"/>
          <w:sz w:val="20"/>
        </w:rPr>
        <w:t>were</w:t>
      </w:r>
    </w:p>
    <w:p w14:paraId="6A5B06A4" w14:textId="77777777" w:rsidR="00894070" w:rsidRDefault="009B7AFD">
      <w:pPr>
        <w:pStyle w:val="BodyText"/>
        <w:spacing w:line="259" w:lineRule="exact"/>
        <w:ind w:left="1801"/>
        <w:rPr>
          <w:sz w:val="11"/>
        </w:rPr>
      </w:pPr>
      <w:r>
        <w:rPr>
          <w:color w:val="231F20"/>
        </w:rPr>
        <w:t>granted a PSIO.</w:t>
      </w:r>
      <w:r>
        <w:rPr>
          <w:color w:val="231F20"/>
          <w:position w:val="7"/>
          <w:sz w:val="11"/>
        </w:rPr>
        <w:t xml:space="preserve">5 </w:t>
      </w:r>
      <w:r>
        <w:rPr>
          <w:color w:val="231F20"/>
        </w:rPr>
        <w:t>Some think of it as nothing more than a ‘piece of paper’.</w:t>
      </w:r>
      <w:r>
        <w:rPr>
          <w:color w:val="231F20"/>
          <w:position w:val="7"/>
          <w:sz w:val="11"/>
        </w:rPr>
        <w:t>6</w:t>
      </w:r>
    </w:p>
    <w:p w14:paraId="411AAA1A" w14:textId="77777777" w:rsidR="00894070" w:rsidRDefault="009B7AFD">
      <w:pPr>
        <w:pStyle w:val="ListParagraph"/>
        <w:numPr>
          <w:ilvl w:val="1"/>
          <w:numId w:val="102"/>
        </w:numPr>
        <w:tabs>
          <w:tab w:val="left" w:pos="1801"/>
          <w:tab w:val="left" w:pos="1802"/>
        </w:tabs>
        <w:spacing w:before="114" w:line="206" w:lineRule="auto"/>
        <w:ind w:right="1586"/>
        <w:jc w:val="both"/>
        <w:rPr>
          <w:sz w:val="20"/>
        </w:rPr>
      </w:pPr>
      <w:r>
        <w:rPr>
          <w:color w:val="231F20"/>
          <w:sz w:val="20"/>
        </w:rPr>
        <w:t>The</w:t>
      </w:r>
      <w:r>
        <w:rPr>
          <w:color w:val="231F20"/>
          <w:spacing w:val="-7"/>
          <w:sz w:val="20"/>
        </w:rPr>
        <w:t xml:space="preserve"> </w:t>
      </w:r>
      <w:r>
        <w:rPr>
          <w:color w:val="231F20"/>
          <w:sz w:val="20"/>
        </w:rPr>
        <w:t>civil</w:t>
      </w:r>
      <w:r>
        <w:rPr>
          <w:color w:val="231F20"/>
          <w:spacing w:val="-6"/>
          <w:sz w:val="20"/>
        </w:rPr>
        <w:t xml:space="preserve"> </w:t>
      </w:r>
      <w:r>
        <w:rPr>
          <w:color w:val="231F20"/>
          <w:sz w:val="20"/>
        </w:rPr>
        <w:t>response</w:t>
      </w:r>
      <w:r>
        <w:rPr>
          <w:color w:val="231F20"/>
          <w:spacing w:val="-6"/>
          <w:sz w:val="20"/>
        </w:rPr>
        <w:t xml:space="preserve"> </w:t>
      </w:r>
      <w:r>
        <w:rPr>
          <w:color w:val="231F20"/>
          <w:sz w:val="20"/>
        </w:rPr>
        <w:t>needs</w:t>
      </w:r>
      <w:r>
        <w:rPr>
          <w:color w:val="231F20"/>
          <w:spacing w:val="-6"/>
          <w:sz w:val="20"/>
        </w:rPr>
        <w:t xml:space="preserve"> </w:t>
      </w:r>
      <w:r>
        <w:rPr>
          <w:color w:val="231F20"/>
          <w:sz w:val="20"/>
        </w:rPr>
        <w:t>to</w:t>
      </w:r>
      <w:r>
        <w:rPr>
          <w:color w:val="231F20"/>
          <w:spacing w:val="-7"/>
          <w:sz w:val="20"/>
        </w:rPr>
        <w:t xml:space="preserve"> </w:t>
      </w:r>
      <w:r>
        <w:rPr>
          <w:color w:val="231F20"/>
          <w:spacing w:val="-4"/>
          <w:sz w:val="20"/>
        </w:rPr>
        <w:t>improve.</w:t>
      </w:r>
      <w:r>
        <w:rPr>
          <w:color w:val="231F20"/>
          <w:spacing w:val="-6"/>
          <w:sz w:val="20"/>
        </w:rPr>
        <w:t xml:space="preserve"> </w:t>
      </w:r>
      <w:r>
        <w:rPr>
          <w:color w:val="231F20"/>
          <w:sz w:val="20"/>
        </w:rPr>
        <w:t>In</w:t>
      </w:r>
      <w:r>
        <w:rPr>
          <w:color w:val="231F20"/>
          <w:spacing w:val="-6"/>
          <w:sz w:val="20"/>
        </w:rPr>
        <w:t xml:space="preserve"> </w:t>
      </w:r>
      <w:r>
        <w:rPr>
          <w:color w:val="231F20"/>
          <w:sz w:val="20"/>
        </w:rPr>
        <w:t>this</w:t>
      </w:r>
      <w:r>
        <w:rPr>
          <w:color w:val="231F20"/>
          <w:spacing w:val="-6"/>
          <w:sz w:val="20"/>
        </w:rPr>
        <w:t xml:space="preserve"> </w:t>
      </w:r>
      <w:r>
        <w:rPr>
          <w:color w:val="231F20"/>
          <w:spacing w:val="-3"/>
          <w:sz w:val="20"/>
        </w:rPr>
        <w:t>chapter</w:t>
      </w:r>
      <w:r>
        <w:rPr>
          <w:color w:val="231F20"/>
          <w:spacing w:val="-6"/>
          <w:sz w:val="20"/>
        </w:rPr>
        <w:t xml:space="preserve"> </w:t>
      </w:r>
      <w:r>
        <w:rPr>
          <w:color w:val="231F20"/>
          <w:spacing w:val="-3"/>
          <w:sz w:val="20"/>
        </w:rPr>
        <w:t>we</w:t>
      </w:r>
      <w:r>
        <w:rPr>
          <w:color w:val="231F20"/>
          <w:spacing w:val="-7"/>
          <w:sz w:val="20"/>
        </w:rPr>
        <w:t xml:space="preserve"> </w:t>
      </w:r>
      <w:r>
        <w:rPr>
          <w:color w:val="231F20"/>
          <w:sz w:val="20"/>
        </w:rPr>
        <w:t>explain</w:t>
      </w:r>
      <w:r>
        <w:rPr>
          <w:color w:val="231F20"/>
          <w:spacing w:val="-6"/>
          <w:sz w:val="20"/>
        </w:rPr>
        <w:t xml:space="preserve"> </w:t>
      </w:r>
      <w:r>
        <w:rPr>
          <w:color w:val="231F20"/>
          <w:spacing w:val="-3"/>
          <w:sz w:val="20"/>
        </w:rPr>
        <w:t>how</w:t>
      </w:r>
      <w:r>
        <w:rPr>
          <w:color w:val="231F20"/>
          <w:spacing w:val="-6"/>
          <w:sz w:val="20"/>
        </w:rPr>
        <w:t xml:space="preserve"> </w:t>
      </w:r>
      <w:r>
        <w:rPr>
          <w:color w:val="231F20"/>
          <w:sz w:val="20"/>
        </w:rPr>
        <w:t>to</w:t>
      </w:r>
      <w:r>
        <w:rPr>
          <w:color w:val="231F20"/>
          <w:spacing w:val="-6"/>
          <w:sz w:val="20"/>
        </w:rPr>
        <w:t xml:space="preserve"> </w:t>
      </w:r>
      <w:r>
        <w:rPr>
          <w:color w:val="231F20"/>
          <w:spacing w:val="-3"/>
          <w:sz w:val="20"/>
        </w:rPr>
        <w:t>re-focus</w:t>
      </w:r>
      <w:r>
        <w:rPr>
          <w:color w:val="231F20"/>
          <w:spacing w:val="-6"/>
          <w:sz w:val="20"/>
        </w:rPr>
        <w:t xml:space="preserve"> </w:t>
      </w:r>
      <w:r>
        <w:rPr>
          <w:color w:val="231F20"/>
          <w:sz w:val="20"/>
        </w:rPr>
        <w:t xml:space="preserve">the </w:t>
      </w:r>
      <w:r>
        <w:rPr>
          <w:color w:val="231F20"/>
          <w:spacing w:val="-2"/>
          <w:sz w:val="20"/>
        </w:rPr>
        <w:t>system</w:t>
      </w:r>
      <w:r>
        <w:rPr>
          <w:color w:val="231F20"/>
          <w:spacing w:val="-11"/>
          <w:sz w:val="20"/>
        </w:rPr>
        <w:t xml:space="preserve"> </w:t>
      </w:r>
      <w:r>
        <w:rPr>
          <w:color w:val="231F20"/>
          <w:sz w:val="20"/>
        </w:rPr>
        <w:t>on</w:t>
      </w:r>
      <w:r>
        <w:rPr>
          <w:color w:val="231F20"/>
          <w:spacing w:val="-11"/>
          <w:sz w:val="20"/>
        </w:rPr>
        <w:t xml:space="preserve"> </w:t>
      </w:r>
      <w:r>
        <w:rPr>
          <w:color w:val="231F20"/>
          <w:sz w:val="20"/>
        </w:rPr>
        <w:t>non-family</w:t>
      </w:r>
      <w:r>
        <w:rPr>
          <w:color w:val="231F20"/>
          <w:spacing w:val="-10"/>
          <w:sz w:val="20"/>
        </w:rPr>
        <w:t xml:space="preserve"> </w:t>
      </w:r>
      <w:r>
        <w:rPr>
          <w:color w:val="231F20"/>
          <w:sz w:val="20"/>
        </w:rPr>
        <w:t>violence</w:t>
      </w:r>
      <w:r>
        <w:rPr>
          <w:color w:val="231F20"/>
          <w:spacing w:val="-11"/>
          <w:sz w:val="20"/>
        </w:rPr>
        <w:t xml:space="preserve"> </w:t>
      </w:r>
      <w:r>
        <w:rPr>
          <w:color w:val="231F20"/>
          <w:sz w:val="20"/>
        </w:rPr>
        <w:t>stalking</w:t>
      </w:r>
      <w:r>
        <w:rPr>
          <w:color w:val="231F20"/>
          <w:spacing w:val="-10"/>
          <w:sz w:val="20"/>
        </w:rPr>
        <w:t xml:space="preserve"> </w:t>
      </w:r>
      <w:r>
        <w:rPr>
          <w:color w:val="231F20"/>
          <w:sz w:val="20"/>
        </w:rPr>
        <w:t>matters</w:t>
      </w:r>
      <w:r>
        <w:rPr>
          <w:color w:val="231F20"/>
          <w:spacing w:val="-11"/>
          <w:sz w:val="20"/>
        </w:rPr>
        <w:t xml:space="preserve"> </w:t>
      </w:r>
      <w:r>
        <w:rPr>
          <w:color w:val="231F20"/>
          <w:sz w:val="20"/>
        </w:rPr>
        <w:t>and</w:t>
      </w:r>
      <w:r>
        <w:rPr>
          <w:color w:val="231F20"/>
          <w:spacing w:val="-10"/>
          <w:sz w:val="20"/>
        </w:rPr>
        <w:t xml:space="preserve"> </w:t>
      </w:r>
      <w:r>
        <w:rPr>
          <w:color w:val="231F20"/>
          <w:sz w:val="20"/>
        </w:rPr>
        <w:t>make</w:t>
      </w:r>
      <w:r>
        <w:rPr>
          <w:color w:val="231F20"/>
          <w:spacing w:val="-11"/>
          <w:sz w:val="20"/>
        </w:rPr>
        <w:t xml:space="preserve"> </w:t>
      </w:r>
      <w:r>
        <w:rPr>
          <w:color w:val="231F20"/>
          <w:spacing w:val="-3"/>
          <w:sz w:val="20"/>
        </w:rPr>
        <w:t>sure</w:t>
      </w:r>
      <w:r>
        <w:rPr>
          <w:color w:val="231F20"/>
          <w:spacing w:val="-10"/>
          <w:sz w:val="20"/>
        </w:rPr>
        <w:t xml:space="preserve"> </w:t>
      </w:r>
      <w:r>
        <w:rPr>
          <w:color w:val="231F20"/>
          <w:sz w:val="20"/>
        </w:rPr>
        <w:t>these</w:t>
      </w:r>
      <w:r>
        <w:rPr>
          <w:color w:val="231F20"/>
          <w:spacing w:val="-11"/>
          <w:sz w:val="20"/>
        </w:rPr>
        <w:t xml:space="preserve"> </w:t>
      </w:r>
      <w:r>
        <w:rPr>
          <w:color w:val="231F20"/>
          <w:sz w:val="20"/>
        </w:rPr>
        <w:t>matters</w:t>
      </w:r>
      <w:r>
        <w:rPr>
          <w:color w:val="231F20"/>
          <w:spacing w:val="-11"/>
          <w:sz w:val="20"/>
        </w:rPr>
        <w:t xml:space="preserve"> </w:t>
      </w:r>
      <w:r>
        <w:rPr>
          <w:color w:val="231F20"/>
          <w:sz w:val="20"/>
        </w:rPr>
        <w:t>get</w:t>
      </w:r>
      <w:r>
        <w:rPr>
          <w:color w:val="231F20"/>
          <w:spacing w:val="-10"/>
          <w:sz w:val="20"/>
        </w:rPr>
        <w:t xml:space="preserve"> </w:t>
      </w:r>
      <w:r>
        <w:rPr>
          <w:color w:val="231F20"/>
          <w:sz w:val="20"/>
        </w:rPr>
        <w:t xml:space="preserve">a </w:t>
      </w:r>
      <w:r>
        <w:rPr>
          <w:color w:val="231F20"/>
          <w:spacing w:val="-3"/>
          <w:sz w:val="20"/>
        </w:rPr>
        <w:t xml:space="preserve">safe, </w:t>
      </w:r>
      <w:proofErr w:type="gramStart"/>
      <w:r>
        <w:rPr>
          <w:color w:val="231F20"/>
          <w:sz w:val="20"/>
        </w:rPr>
        <w:t>supported</w:t>
      </w:r>
      <w:proofErr w:type="gramEnd"/>
      <w:r>
        <w:rPr>
          <w:color w:val="231F20"/>
          <w:sz w:val="20"/>
        </w:rPr>
        <w:t xml:space="preserve"> and tailored</w:t>
      </w:r>
      <w:r>
        <w:rPr>
          <w:color w:val="231F20"/>
          <w:spacing w:val="-15"/>
          <w:sz w:val="20"/>
        </w:rPr>
        <w:t xml:space="preserve"> </w:t>
      </w:r>
      <w:r>
        <w:rPr>
          <w:color w:val="231F20"/>
          <w:sz w:val="20"/>
        </w:rPr>
        <w:t>response.</w:t>
      </w:r>
    </w:p>
    <w:p w14:paraId="36FC9032" w14:textId="77777777" w:rsidR="00894070" w:rsidRDefault="009B7AFD">
      <w:pPr>
        <w:pStyle w:val="ListParagraph"/>
        <w:numPr>
          <w:ilvl w:val="1"/>
          <w:numId w:val="102"/>
        </w:numPr>
        <w:tabs>
          <w:tab w:val="left" w:pos="1801"/>
          <w:tab w:val="left" w:pos="1802"/>
        </w:tabs>
        <w:spacing w:before="92" w:line="259" w:lineRule="exact"/>
        <w:rPr>
          <w:sz w:val="20"/>
        </w:rPr>
      </w:pPr>
      <w:r>
        <w:rPr>
          <w:color w:val="231F20"/>
          <w:sz w:val="20"/>
        </w:rPr>
        <w:t>This</w:t>
      </w:r>
      <w:r>
        <w:rPr>
          <w:color w:val="231F20"/>
          <w:spacing w:val="-6"/>
          <w:sz w:val="20"/>
        </w:rPr>
        <w:t xml:space="preserve"> </w:t>
      </w:r>
      <w:r>
        <w:rPr>
          <w:color w:val="231F20"/>
          <w:spacing w:val="-4"/>
          <w:sz w:val="20"/>
        </w:rPr>
        <w:t>chapter,</w:t>
      </w:r>
      <w:r>
        <w:rPr>
          <w:color w:val="231F20"/>
          <w:spacing w:val="-6"/>
          <w:sz w:val="20"/>
        </w:rPr>
        <w:t xml:space="preserve"> </w:t>
      </w:r>
      <w:r>
        <w:rPr>
          <w:color w:val="231F20"/>
          <w:spacing w:val="-3"/>
          <w:sz w:val="20"/>
        </w:rPr>
        <w:t>like</w:t>
      </w:r>
      <w:r>
        <w:rPr>
          <w:color w:val="231F20"/>
          <w:spacing w:val="-5"/>
          <w:sz w:val="20"/>
        </w:rPr>
        <w:t xml:space="preserve"> </w:t>
      </w:r>
      <w:r>
        <w:rPr>
          <w:color w:val="231F20"/>
          <w:sz w:val="20"/>
        </w:rPr>
        <w:t>our</w:t>
      </w:r>
      <w:r>
        <w:rPr>
          <w:color w:val="231F20"/>
          <w:spacing w:val="-6"/>
          <w:sz w:val="20"/>
        </w:rPr>
        <w:t xml:space="preserve"> </w:t>
      </w:r>
      <w:r>
        <w:rPr>
          <w:color w:val="231F20"/>
          <w:sz w:val="20"/>
        </w:rPr>
        <w:t>report</w:t>
      </w:r>
      <w:r>
        <w:rPr>
          <w:color w:val="231F20"/>
          <w:spacing w:val="-6"/>
          <w:sz w:val="20"/>
        </w:rPr>
        <w:t xml:space="preserve"> </w:t>
      </w:r>
      <w:r>
        <w:rPr>
          <w:color w:val="231F20"/>
          <w:sz w:val="20"/>
        </w:rPr>
        <w:t>in</w:t>
      </w:r>
      <w:r>
        <w:rPr>
          <w:color w:val="231F20"/>
          <w:spacing w:val="-5"/>
          <w:sz w:val="20"/>
        </w:rPr>
        <w:t xml:space="preserve"> </w:t>
      </w:r>
      <w:r>
        <w:rPr>
          <w:color w:val="231F20"/>
          <w:sz w:val="20"/>
        </w:rPr>
        <w:t>general,</w:t>
      </w:r>
      <w:r>
        <w:rPr>
          <w:color w:val="231F20"/>
          <w:spacing w:val="-6"/>
          <w:sz w:val="20"/>
        </w:rPr>
        <w:t xml:space="preserve"> </w:t>
      </w:r>
      <w:r>
        <w:rPr>
          <w:color w:val="231F20"/>
          <w:sz w:val="20"/>
        </w:rPr>
        <w:t>is</w:t>
      </w:r>
      <w:r>
        <w:rPr>
          <w:color w:val="231F20"/>
          <w:spacing w:val="-5"/>
          <w:sz w:val="20"/>
        </w:rPr>
        <w:t xml:space="preserve"> </w:t>
      </w:r>
      <w:r>
        <w:rPr>
          <w:color w:val="231F20"/>
          <w:sz w:val="20"/>
        </w:rPr>
        <w:t>about</w:t>
      </w:r>
      <w:r>
        <w:rPr>
          <w:color w:val="231F20"/>
          <w:spacing w:val="-6"/>
          <w:sz w:val="20"/>
        </w:rPr>
        <w:t xml:space="preserve"> </w:t>
      </w:r>
      <w:r>
        <w:rPr>
          <w:color w:val="231F20"/>
          <w:sz w:val="20"/>
        </w:rPr>
        <w:t>non-family</w:t>
      </w:r>
      <w:r>
        <w:rPr>
          <w:color w:val="231F20"/>
          <w:spacing w:val="-6"/>
          <w:sz w:val="20"/>
        </w:rPr>
        <w:t xml:space="preserve"> </w:t>
      </w:r>
      <w:r>
        <w:rPr>
          <w:color w:val="231F20"/>
          <w:sz w:val="20"/>
        </w:rPr>
        <w:t>violence</w:t>
      </w:r>
      <w:r>
        <w:rPr>
          <w:color w:val="231F20"/>
          <w:spacing w:val="-5"/>
          <w:sz w:val="20"/>
        </w:rPr>
        <w:t xml:space="preserve"> </w:t>
      </w:r>
      <w:r>
        <w:rPr>
          <w:color w:val="231F20"/>
          <w:sz w:val="20"/>
        </w:rPr>
        <w:t>stalking.</w:t>
      </w:r>
      <w:r>
        <w:rPr>
          <w:color w:val="231F20"/>
          <w:spacing w:val="-6"/>
          <w:sz w:val="20"/>
        </w:rPr>
        <w:t xml:space="preserve"> </w:t>
      </w:r>
      <w:r>
        <w:rPr>
          <w:color w:val="231F20"/>
          <w:sz w:val="20"/>
        </w:rPr>
        <w:t>When</w:t>
      </w:r>
      <w:r>
        <w:rPr>
          <w:color w:val="231F20"/>
          <w:spacing w:val="-5"/>
          <w:sz w:val="20"/>
        </w:rPr>
        <w:t xml:space="preserve"> </w:t>
      </w:r>
      <w:r>
        <w:rPr>
          <w:color w:val="231F20"/>
          <w:spacing w:val="-3"/>
          <w:sz w:val="20"/>
        </w:rPr>
        <w:t>we</w:t>
      </w:r>
    </w:p>
    <w:p w14:paraId="1234A575" w14:textId="77777777" w:rsidR="00894070" w:rsidRDefault="009B7AFD">
      <w:pPr>
        <w:pStyle w:val="BodyText"/>
        <w:spacing w:line="259" w:lineRule="exact"/>
        <w:ind w:left="1801"/>
      </w:pPr>
      <w:r>
        <w:rPr>
          <w:color w:val="231F20"/>
        </w:rPr>
        <w:t>use the word ‘stalking’, that is what we mean.</w:t>
      </w:r>
    </w:p>
    <w:p w14:paraId="08BC4470" w14:textId="77777777" w:rsidR="00894070" w:rsidRDefault="00894070">
      <w:pPr>
        <w:pStyle w:val="BodyText"/>
        <w:spacing w:before="12"/>
        <w:rPr>
          <w:sz w:val="15"/>
        </w:rPr>
      </w:pPr>
    </w:p>
    <w:p w14:paraId="399A2261" w14:textId="77777777" w:rsidR="00894070" w:rsidRDefault="009B7AFD">
      <w:pPr>
        <w:pStyle w:val="Heading7"/>
      </w:pPr>
      <w:r>
        <w:rPr>
          <w:color w:val="EA5B50"/>
        </w:rPr>
        <w:t>How does the PSIO process work?</w:t>
      </w:r>
    </w:p>
    <w:p w14:paraId="6925A4B9" w14:textId="77777777" w:rsidR="00894070" w:rsidRDefault="009B7AFD">
      <w:pPr>
        <w:pStyle w:val="ListParagraph"/>
        <w:numPr>
          <w:ilvl w:val="1"/>
          <w:numId w:val="102"/>
        </w:numPr>
        <w:tabs>
          <w:tab w:val="left" w:pos="1801"/>
          <w:tab w:val="left" w:pos="1802"/>
        </w:tabs>
        <w:spacing w:before="114" w:line="259" w:lineRule="exact"/>
        <w:rPr>
          <w:sz w:val="11"/>
        </w:rPr>
      </w:pPr>
      <w:r>
        <w:rPr>
          <w:color w:val="231F20"/>
          <w:sz w:val="20"/>
        </w:rPr>
        <w:t>Stalking</w:t>
      </w:r>
      <w:r>
        <w:rPr>
          <w:color w:val="231F20"/>
          <w:spacing w:val="-6"/>
          <w:sz w:val="20"/>
        </w:rPr>
        <w:t xml:space="preserve"> </w:t>
      </w:r>
      <w:r>
        <w:rPr>
          <w:color w:val="231F20"/>
          <w:sz w:val="20"/>
        </w:rPr>
        <w:t>has</w:t>
      </w:r>
      <w:r>
        <w:rPr>
          <w:color w:val="231F20"/>
          <w:spacing w:val="-5"/>
          <w:sz w:val="20"/>
        </w:rPr>
        <w:t xml:space="preserve"> </w:t>
      </w:r>
      <w:r>
        <w:rPr>
          <w:color w:val="231F20"/>
          <w:sz w:val="20"/>
        </w:rPr>
        <w:t>the</w:t>
      </w:r>
      <w:r>
        <w:rPr>
          <w:color w:val="231F20"/>
          <w:spacing w:val="-5"/>
          <w:sz w:val="20"/>
        </w:rPr>
        <w:t xml:space="preserve"> </w:t>
      </w:r>
      <w:r>
        <w:rPr>
          <w:color w:val="231F20"/>
          <w:sz w:val="20"/>
        </w:rPr>
        <w:t>same</w:t>
      </w:r>
      <w:r>
        <w:rPr>
          <w:color w:val="231F20"/>
          <w:spacing w:val="-5"/>
          <w:sz w:val="20"/>
        </w:rPr>
        <w:t xml:space="preserve"> </w:t>
      </w:r>
      <w:r>
        <w:rPr>
          <w:color w:val="231F20"/>
          <w:sz w:val="20"/>
        </w:rPr>
        <w:t>definition</w:t>
      </w:r>
      <w:r>
        <w:rPr>
          <w:color w:val="231F20"/>
          <w:spacing w:val="-5"/>
          <w:sz w:val="20"/>
        </w:rPr>
        <w:t xml:space="preserve"> </w:t>
      </w:r>
      <w:r>
        <w:rPr>
          <w:color w:val="231F20"/>
          <w:sz w:val="20"/>
        </w:rPr>
        <w:t>in</w:t>
      </w:r>
      <w:r>
        <w:rPr>
          <w:color w:val="231F20"/>
          <w:spacing w:val="-6"/>
          <w:sz w:val="20"/>
        </w:rPr>
        <w:t xml:space="preserve"> </w:t>
      </w:r>
      <w:r>
        <w:rPr>
          <w:color w:val="231F20"/>
          <w:sz w:val="20"/>
        </w:rPr>
        <w:t>the</w:t>
      </w:r>
      <w:r>
        <w:rPr>
          <w:color w:val="231F20"/>
          <w:spacing w:val="-5"/>
          <w:sz w:val="20"/>
        </w:rPr>
        <w:t xml:space="preserve"> </w:t>
      </w:r>
      <w:r>
        <w:rPr>
          <w:color w:val="231F20"/>
          <w:sz w:val="20"/>
        </w:rPr>
        <w:t>PSIO</w:t>
      </w:r>
      <w:r>
        <w:rPr>
          <w:color w:val="231F20"/>
          <w:spacing w:val="-5"/>
          <w:sz w:val="20"/>
        </w:rPr>
        <w:t xml:space="preserve"> </w:t>
      </w:r>
      <w:r>
        <w:rPr>
          <w:color w:val="231F20"/>
          <w:spacing w:val="-2"/>
          <w:sz w:val="20"/>
        </w:rPr>
        <w:t>system</w:t>
      </w:r>
      <w:r>
        <w:rPr>
          <w:color w:val="231F20"/>
          <w:spacing w:val="-5"/>
          <w:sz w:val="20"/>
        </w:rPr>
        <w:t xml:space="preserve"> </w:t>
      </w:r>
      <w:r>
        <w:rPr>
          <w:color w:val="231F20"/>
          <w:sz w:val="20"/>
        </w:rPr>
        <w:t>as</w:t>
      </w:r>
      <w:r>
        <w:rPr>
          <w:color w:val="231F20"/>
          <w:spacing w:val="-5"/>
          <w:sz w:val="20"/>
        </w:rPr>
        <w:t xml:space="preserve"> </w:t>
      </w:r>
      <w:r>
        <w:rPr>
          <w:color w:val="231F20"/>
          <w:sz w:val="20"/>
        </w:rPr>
        <w:t>under</w:t>
      </w:r>
      <w:r>
        <w:rPr>
          <w:color w:val="231F20"/>
          <w:spacing w:val="-6"/>
          <w:sz w:val="20"/>
        </w:rPr>
        <w:t xml:space="preserve"> </w:t>
      </w:r>
      <w:r>
        <w:rPr>
          <w:color w:val="231F20"/>
          <w:sz w:val="20"/>
        </w:rPr>
        <w:t>the</w:t>
      </w:r>
      <w:r>
        <w:rPr>
          <w:color w:val="231F20"/>
          <w:spacing w:val="-5"/>
          <w:sz w:val="20"/>
        </w:rPr>
        <w:t xml:space="preserve"> </w:t>
      </w:r>
      <w:r>
        <w:rPr>
          <w:i/>
          <w:color w:val="231F20"/>
          <w:sz w:val="20"/>
        </w:rPr>
        <w:t>Crimes</w:t>
      </w:r>
      <w:r>
        <w:rPr>
          <w:i/>
          <w:color w:val="231F20"/>
          <w:spacing w:val="-5"/>
          <w:sz w:val="20"/>
        </w:rPr>
        <w:t xml:space="preserve"> </w:t>
      </w:r>
      <w:r>
        <w:rPr>
          <w:i/>
          <w:color w:val="231F20"/>
          <w:sz w:val="20"/>
        </w:rPr>
        <w:t>Act</w:t>
      </w:r>
      <w:r>
        <w:rPr>
          <w:i/>
          <w:color w:val="231F20"/>
          <w:spacing w:val="-5"/>
          <w:sz w:val="20"/>
        </w:rPr>
        <w:t xml:space="preserve"> </w:t>
      </w:r>
      <w:r>
        <w:rPr>
          <w:i/>
          <w:color w:val="231F20"/>
          <w:spacing w:val="-4"/>
          <w:sz w:val="20"/>
        </w:rPr>
        <w:t>1958</w:t>
      </w:r>
      <w:r>
        <w:rPr>
          <w:color w:val="231F20"/>
          <w:spacing w:val="-4"/>
          <w:sz w:val="20"/>
        </w:rPr>
        <w:t>.</w:t>
      </w:r>
      <w:r>
        <w:rPr>
          <w:color w:val="231F20"/>
          <w:spacing w:val="-4"/>
          <w:position w:val="7"/>
          <w:sz w:val="11"/>
        </w:rPr>
        <w:t>7</w:t>
      </w:r>
    </w:p>
    <w:p w14:paraId="642D43F7" w14:textId="77777777" w:rsidR="00894070" w:rsidRDefault="009B7AFD">
      <w:pPr>
        <w:pStyle w:val="BodyText"/>
        <w:spacing w:line="259" w:lineRule="exact"/>
        <w:ind w:left="1801"/>
      </w:pPr>
      <w:r>
        <w:rPr>
          <w:color w:val="231F20"/>
        </w:rPr>
        <w:t>Stalking means engaging in a ‘course of conduct’ against a person with the intention of:</w:t>
      </w:r>
    </w:p>
    <w:p w14:paraId="3795571D" w14:textId="77777777" w:rsidR="00894070" w:rsidRDefault="009B7AFD">
      <w:pPr>
        <w:pStyle w:val="ListParagraph"/>
        <w:numPr>
          <w:ilvl w:val="2"/>
          <w:numId w:val="102"/>
        </w:numPr>
        <w:tabs>
          <w:tab w:val="left" w:pos="2141"/>
          <w:tab w:val="left" w:pos="2142"/>
        </w:tabs>
        <w:spacing w:before="82"/>
        <w:ind w:hanging="340"/>
        <w:rPr>
          <w:sz w:val="20"/>
        </w:rPr>
      </w:pPr>
      <w:r>
        <w:rPr>
          <w:color w:val="231F20"/>
          <w:sz w:val="20"/>
        </w:rPr>
        <w:t>causing physical or mental harm,</w:t>
      </w:r>
      <w:r>
        <w:rPr>
          <w:color w:val="231F20"/>
          <w:spacing w:val="-23"/>
          <w:sz w:val="20"/>
        </w:rPr>
        <w:t xml:space="preserve"> </w:t>
      </w:r>
      <w:r>
        <w:rPr>
          <w:color w:val="231F20"/>
          <w:sz w:val="20"/>
        </w:rPr>
        <w:t>or</w:t>
      </w:r>
    </w:p>
    <w:p w14:paraId="773BBB17" w14:textId="77777777" w:rsidR="00894070" w:rsidRDefault="009B7AFD">
      <w:pPr>
        <w:pStyle w:val="ListParagraph"/>
        <w:numPr>
          <w:ilvl w:val="2"/>
          <w:numId w:val="102"/>
        </w:numPr>
        <w:tabs>
          <w:tab w:val="left" w:pos="2141"/>
          <w:tab w:val="left" w:pos="2142"/>
        </w:tabs>
        <w:spacing w:before="47"/>
        <w:ind w:hanging="340"/>
        <w:rPr>
          <w:sz w:val="11"/>
        </w:rPr>
      </w:pPr>
      <w:r>
        <w:rPr>
          <w:color w:val="231F20"/>
          <w:sz w:val="20"/>
        </w:rPr>
        <w:t>arousing</w:t>
      </w:r>
      <w:r>
        <w:rPr>
          <w:color w:val="231F20"/>
          <w:spacing w:val="-6"/>
          <w:sz w:val="20"/>
        </w:rPr>
        <w:t xml:space="preserve"> </w:t>
      </w:r>
      <w:r>
        <w:rPr>
          <w:color w:val="231F20"/>
          <w:sz w:val="20"/>
        </w:rPr>
        <w:t>apprehension</w:t>
      </w:r>
      <w:r>
        <w:rPr>
          <w:color w:val="231F20"/>
          <w:spacing w:val="-5"/>
          <w:sz w:val="20"/>
        </w:rPr>
        <w:t xml:space="preserve"> </w:t>
      </w:r>
      <w:r>
        <w:rPr>
          <w:color w:val="231F20"/>
          <w:sz w:val="20"/>
        </w:rPr>
        <w:t>or</w:t>
      </w:r>
      <w:r>
        <w:rPr>
          <w:color w:val="231F20"/>
          <w:spacing w:val="-5"/>
          <w:sz w:val="20"/>
        </w:rPr>
        <w:t xml:space="preserve"> </w:t>
      </w:r>
      <w:r>
        <w:rPr>
          <w:color w:val="231F20"/>
          <w:sz w:val="20"/>
        </w:rPr>
        <w:t>fear</w:t>
      </w:r>
      <w:r>
        <w:rPr>
          <w:color w:val="231F20"/>
          <w:spacing w:val="-6"/>
          <w:sz w:val="20"/>
        </w:rPr>
        <w:t xml:space="preserve"> </w:t>
      </w: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z w:val="20"/>
        </w:rPr>
        <w:t>victim</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their</w:t>
      </w:r>
      <w:r>
        <w:rPr>
          <w:color w:val="231F20"/>
          <w:spacing w:val="-5"/>
          <w:sz w:val="20"/>
        </w:rPr>
        <w:t xml:space="preserve"> </w:t>
      </w:r>
      <w:r>
        <w:rPr>
          <w:color w:val="231F20"/>
          <w:spacing w:val="-3"/>
          <w:sz w:val="20"/>
        </w:rPr>
        <w:t>own</w:t>
      </w:r>
      <w:r>
        <w:rPr>
          <w:color w:val="231F20"/>
          <w:spacing w:val="-5"/>
          <w:sz w:val="20"/>
        </w:rPr>
        <w:t xml:space="preserve"> </w:t>
      </w:r>
      <w:r>
        <w:rPr>
          <w:color w:val="231F20"/>
          <w:sz w:val="20"/>
        </w:rPr>
        <w:t>or</w:t>
      </w:r>
      <w:r>
        <w:rPr>
          <w:color w:val="231F20"/>
          <w:spacing w:val="-5"/>
          <w:sz w:val="20"/>
        </w:rPr>
        <w:t xml:space="preserve"> </w:t>
      </w:r>
      <w:r>
        <w:rPr>
          <w:color w:val="231F20"/>
          <w:sz w:val="20"/>
        </w:rPr>
        <w:t>another’s</w:t>
      </w:r>
      <w:r>
        <w:rPr>
          <w:color w:val="231F20"/>
          <w:spacing w:val="-6"/>
          <w:sz w:val="20"/>
        </w:rPr>
        <w:t xml:space="preserve"> </w:t>
      </w:r>
      <w:r>
        <w:rPr>
          <w:color w:val="231F20"/>
          <w:spacing w:val="-3"/>
          <w:sz w:val="20"/>
        </w:rPr>
        <w:t>safety.</w:t>
      </w:r>
      <w:r>
        <w:rPr>
          <w:color w:val="231F20"/>
          <w:spacing w:val="-3"/>
          <w:position w:val="7"/>
          <w:sz w:val="11"/>
        </w:rPr>
        <w:t>8</w:t>
      </w:r>
    </w:p>
    <w:p w14:paraId="49854D1A" w14:textId="77777777" w:rsidR="00894070" w:rsidRDefault="009B7AFD">
      <w:pPr>
        <w:pStyle w:val="ListParagraph"/>
        <w:numPr>
          <w:ilvl w:val="1"/>
          <w:numId w:val="102"/>
        </w:numPr>
        <w:tabs>
          <w:tab w:val="left" w:pos="1801"/>
          <w:tab w:val="left" w:pos="1802"/>
        </w:tabs>
        <w:spacing w:before="48"/>
        <w:rPr>
          <w:sz w:val="20"/>
        </w:rPr>
      </w:pPr>
      <w:r>
        <w:rPr>
          <w:color w:val="231F20"/>
          <w:sz w:val="20"/>
        </w:rPr>
        <w:t>The</w:t>
      </w:r>
      <w:r>
        <w:rPr>
          <w:color w:val="231F20"/>
          <w:spacing w:val="-6"/>
          <w:sz w:val="20"/>
        </w:rPr>
        <w:t xml:space="preserve"> </w:t>
      </w:r>
      <w:r>
        <w:rPr>
          <w:color w:val="231F20"/>
          <w:sz w:val="20"/>
        </w:rPr>
        <w:t>list</w:t>
      </w:r>
      <w:r>
        <w:rPr>
          <w:color w:val="231F20"/>
          <w:spacing w:val="-6"/>
          <w:sz w:val="20"/>
        </w:rPr>
        <w:t xml:space="preserve"> </w:t>
      </w:r>
      <w:r>
        <w:rPr>
          <w:color w:val="231F20"/>
          <w:sz w:val="20"/>
        </w:rPr>
        <w:t>of</w:t>
      </w:r>
      <w:r>
        <w:rPr>
          <w:color w:val="231F20"/>
          <w:spacing w:val="-5"/>
          <w:sz w:val="20"/>
        </w:rPr>
        <w:t xml:space="preserve"> </w:t>
      </w:r>
      <w:r>
        <w:rPr>
          <w:color w:val="231F20"/>
          <w:sz w:val="20"/>
        </w:rPr>
        <w:t>behaviours</w:t>
      </w:r>
      <w:r>
        <w:rPr>
          <w:color w:val="231F20"/>
          <w:spacing w:val="-6"/>
          <w:sz w:val="20"/>
        </w:rPr>
        <w:t xml:space="preserve"> </w:t>
      </w:r>
      <w:r>
        <w:rPr>
          <w:color w:val="231F20"/>
          <w:sz w:val="20"/>
        </w:rPr>
        <w:t>included</w:t>
      </w:r>
      <w:r>
        <w:rPr>
          <w:color w:val="231F20"/>
          <w:spacing w:val="-5"/>
          <w:sz w:val="20"/>
        </w:rPr>
        <w:t xml:space="preserve"> </w:t>
      </w:r>
      <w:r>
        <w:rPr>
          <w:color w:val="231F20"/>
          <w:sz w:val="20"/>
        </w:rPr>
        <w:t>in</w:t>
      </w:r>
      <w:r>
        <w:rPr>
          <w:color w:val="231F20"/>
          <w:spacing w:val="-6"/>
          <w:sz w:val="20"/>
        </w:rPr>
        <w:t xml:space="preserve"> </w:t>
      </w:r>
      <w:r>
        <w:rPr>
          <w:color w:val="231F20"/>
          <w:sz w:val="20"/>
        </w:rPr>
        <w:t>a</w:t>
      </w:r>
      <w:r>
        <w:rPr>
          <w:color w:val="231F20"/>
          <w:spacing w:val="-5"/>
          <w:sz w:val="20"/>
        </w:rPr>
        <w:t xml:space="preserve"> </w:t>
      </w:r>
      <w:r>
        <w:rPr>
          <w:color w:val="231F20"/>
          <w:sz w:val="20"/>
        </w:rPr>
        <w:t>‘course</w:t>
      </w:r>
      <w:r>
        <w:rPr>
          <w:color w:val="231F20"/>
          <w:spacing w:val="-6"/>
          <w:sz w:val="20"/>
        </w:rPr>
        <w:t xml:space="preserve"> </w:t>
      </w:r>
      <w:r>
        <w:rPr>
          <w:color w:val="231F20"/>
          <w:sz w:val="20"/>
        </w:rPr>
        <w:t>of</w:t>
      </w:r>
      <w:r>
        <w:rPr>
          <w:color w:val="231F20"/>
          <w:spacing w:val="-5"/>
          <w:sz w:val="20"/>
        </w:rPr>
        <w:t xml:space="preserve"> </w:t>
      </w:r>
      <w:r>
        <w:rPr>
          <w:color w:val="231F20"/>
          <w:sz w:val="20"/>
        </w:rPr>
        <w:t>conduct’</w:t>
      </w:r>
      <w:r>
        <w:rPr>
          <w:color w:val="231F20"/>
          <w:spacing w:val="-6"/>
          <w:sz w:val="20"/>
        </w:rPr>
        <w:t xml:space="preserve"> </w:t>
      </w:r>
      <w:r>
        <w:rPr>
          <w:color w:val="231F20"/>
          <w:sz w:val="20"/>
        </w:rPr>
        <w:t>is</w:t>
      </w:r>
      <w:r>
        <w:rPr>
          <w:color w:val="231F20"/>
          <w:spacing w:val="-5"/>
          <w:sz w:val="20"/>
        </w:rPr>
        <w:t xml:space="preserve"> </w:t>
      </w:r>
      <w:r>
        <w:rPr>
          <w:color w:val="231F20"/>
          <w:sz w:val="20"/>
        </w:rPr>
        <w:t>very</w:t>
      </w:r>
      <w:r>
        <w:rPr>
          <w:color w:val="231F20"/>
          <w:spacing w:val="-6"/>
          <w:sz w:val="20"/>
        </w:rPr>
        <w:t xml:space="preserve"> </w:t>
      </w:r>
      <w:r>
        <w:rPr>
          <w:color w:val="231F20"/>
          <w:sz w:val="20"/>
        </w:rPr>
        <w:t>broad,</w:t>
      </w:r>
      <w:r>
        <w:rPr>
          <w:color w:val="231F20"/>
          <w:spacing w:val="-5"/>
          <w:sz w:val="20"/>
        </w:rPr>
        <w:t xml:space="preserve"> </w:t>
      </w:r>
      <w:r>
        <w:rPr>
          <w:color w:val="231F20"/>
          <w:spacing w:val="-3"/>
          <w:sz w:val="20"/>
        </w:rPr>
        <w:t>for</w:t>
      </w:r>
      <w:r>
        <w:rPr>
          <w:color w:val="231F20"/>
          <w:spacing w:val="-6"/>
          <w:sz w:val="20"/>
        </w:rPr>
        <w:t xml:space="preserve"> </w:t>
      </w:r>
      <w:r>
        <w:rPr>
          <w:color w:val="231F20"/>
          <w:spacing w:val="-3"/>
          <w:sz w:val="20"/>
        </w:rPr>
        <w:t>example:</w:t>
      </w:r>
    </w:p>
    <w:p w14:paraId="19EBC014" w14:textId="77777777" w:rsidR="00894070" w:rsidRDefault="009B7AFD">
      <w:pPr>
        <w:pStyle w:val="ListParagraph"/>
        <w:numPr>
          <w:ilvl w:val="2"/>
          <w:numId w:val="102"/>
        </w:numPr>
        <w:tabs>
          <w:tab w:val="left" w:pos="2141"/>
          <w:tab w:val="left" w:pos="2142"/>
        </w:tabs>
        <w:spacing w:before="82"/>
        <w:ind w:hanging="340"/>
        <w:rPr>
          <w:sz w:val="20"/>
        </w:rPr>
      </w:pPr>
      <w:r>
        <w:rPr>
          <w:color w:val="231F20"/>
          <w:spacing w:val="-3"/>
          <w:sz w:val="20"/>
        </w:rPr>
        <w:t xml:space="preserve">following </w:t>
      </w:r>
      <w:r>
        <w:rPr>
          <w:color w:val="231F20"/>
          <w:sz w:val="20"/>
        </w:rPr>
        <w:t>the</w:t>
      </w:r>
      <w:r>
        <w:rPr>
          <w:color w:val="231F20"/>
          <w:spacing w:val="-6"/>
          <w:sz w:val="20"/>
        </w:rPr>
        <w:t xml:space="preserve"> </w:t>
      </w:r>
      <w:r>
        <w:rPr>
          <w:color w:val="231F20"/>
          <w:sz w:val="20"/>
        </w:rPr>
        <w:t>person</w:t>
      </w:r>
    </w:p>
    <w:p w14:paraId="04348CBF"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hacking their</w:t>
      </w:r>
      <w:r>
        <w:rPr>
          <w:color w:val="231F20"/>
          <w:spacing w:val="-9"/>
          <w:sz w:val="20"/>
        </w:rPr>
        <w:t xml:space="preserve"> </w:t>
      </w:r>
      <w:r>
        <w:rPr>
          <w:color w:val="231F20"/>
          <w:sz w:val="20"/>
        </w:rPr>
        <w:t>computer</w:t>
      </w:r>
    </w:p>
    <w:p w14:paraId="6F0827D1" w14:textId="77777777" w:rsidR="00894070" w:rsidRDefault="009B7AFD">
      <w:pPr>
        <w:pStyle w:val="ListParagraph"/>
        <w:numPr>
          <w:ilvl w:val="2"/>
          <w:numId w:val="102"/>
        </w:numPr>
        <w:tabs>
          <w:tab w:val="left" w:pos="2141"/>
          <w:tab w:val="left" w:pos="2142"/>
        </w:tabs>
        <w:spacing w:before="47"/>
        <w:ind w:hanging="340"/>
        <w:rPr>
          <w:sz w:val="20"/>
        </w:rPr>
      </w:pPr>
      <w:r>
        <w:rPr>
          <w:color w:val="231F20"/>
          <w:sz w:val="20"/>
        </w:rPr>
        <w:t>loitering outside their</w:t>
      </w:r>
      <w:r>
        <w:rPr>
          <w:color w:val="231F20"/>
          <w:spacing w:val="-13"/>
          <w:sz w:val="20"/>
        </w:rPr>
        <w:t xml:space="preserve"> </w:t>
      </w:r>
      <w:r>
        <w:rPr>
          <w:color w:val="231F20"/>
          <w:sz w:val="20"/>
        </w:rPr>
        <w:t>home</w:t>
      </w:r>
    </w:p>
    <w:p w14:paraId="26EC721E" w14:textId="77777777" w:rsidR="00894070" w:rsidRDefault="009B7AFD">
      <w:pPr>
        <w:pStyle w:val="ListParagraph"/>
        <w:numPr>
          <w:ilvl w:val="2"/>
          <w:numId w:val="102"/>
        </w:numPr>
        <w:tabs>
          <w:tab w:val="left" w:pos="2141"/>
          <w:tab w:val="left" w:pos="2142"/>
        </w:tabs>
        <w:spacing w:before="48"/>
        <w:ind w:hanging="340"/>
        <w:rPr>
          <w:sz w:val="11"/>
        </w:rPr>
      </w:pPr>
      <w:r>
        <w:rPr>
          <w:color w:val="231F20"/>
          <w:sz w:val="20"/>
        </w:rPr>
        <w:t>making</w:t>
      </w:r>
      <w:r>
        <w:rPr>
          <w:color w:val="231F20"/>
          <w:spacing w:val="-5"/>
          <w:sz w:val="20"/>
        </w:rPr>
        <w:t xml:space="preserve"> </w:t>
      </w:r>
      <w:r>
        <w:rPr>
          <w:color w:val="231F20"/>
          <w:sz w:val="20"/>
        </w:rPr>
        <w:t>threats.</w:t>
      </w:r>
      <w:r>
        <w:rPr>
          <w:color w:val="231F20"/>
          <w:position w:val="7"/>
          <w:sz w:val="11"/>
        </w:rPr>
        <w:t>9</w:t>
      </w:r>
    </w:p>
    <w:p w14:paraId="57E29FAB" w14:textId="77777777" w:rsidR="00894070" w:rsidRDefault="009B7AFD">
      <w:pPr>
        <w:pStyle w:val="BodyText"/>
        <w:spacing w:before="47"/>
        <w:ind w:left="1801"/>
      </w:pPr>
      <w:r>
        <w:rPr>
          <w:color w:val="231F20"/>
        </w:rPr>
        <w:t>We discuss the offence in more detail in Chapter 7.</w:t>
      </w:r>
    </w:p>
    <w:p w14:paraId="2C145ADC" w14:textId="77777777" w:rsidR="00894070" w:rsidRDefault="009B7AFD">
      <w:pPr>
        <w:pStyle w:val="ListParagraph"/>
        <w:numPr>
          <w:ilvl w:val="1"/>
          <w:numId w:val="102"/>
        </w:numPr>
        <w:tabs>
          <w:tab w:val="left" w:pos="1801"/>
          <w:tab w:val="left" w:pos="1802"/>
        </w:tabs>
        <w:spacing w:before="115" w:line="206" w:lineRule="auto"/>
        <w:ind w:right="1246"/>
        <w:rPr>
          <w:sz w:val="20"/>
        </w:rPr>
      </w:pPr>
      <w:r>
        <w:rPr>
          <w:color w:val="231F20"/>
          <w:sz w:val="20"/>
        </w:rPr>
        <w:t xml:space="preserve">While </w:t>
      </w:r>
      <w:r>
        <w:rPr>
          <w:color w:val="231F20"/>
          <w:spacing w:val="-3"/>
          <w:sz w:val="20"/>
        </w:rPr>
        <w:t xml:space="preserve">we </w:t>
      </w:r>
      <w:r>
        <w:rPr>
          <w:color w:val="231F20"/>
          <w:sz w:val="20"/>
        </w:rPr>
        <w:t xml:space="preserve">do not </w:t>
      </w:r>
      <w:r>
        <w:rPr>
          <w:color w:val="231F20"/>
          <w:spacing w:val="-3"/>
          <w:sz w:val="20"/>
        </w:rPr>
        <w:t xml:space="preserve">know </w:t>
      </w:r>
      <w:r>
        <w:rPr>
          <w:color w:val="231F20"/>
          <w:spacing w:val="-4"/>
          <w:sz w:val="20"/>
        </w:rPr>
        <w:t xml:space="preserve">exactly </w:t>
      </w:r>
      <w:r>
        <w:rPr>
          <w:color w:val="231F20"/>
          <w:spacing w:val="-3"/>
          <w:sz w:val="20"/>
        </w:rPr>
        <w:t xml:space="preserve">how </w:t>
      </w:r>
      <w:r>
        <w:rPr>
          <w:color w:val="231F20"/>
          <w:sz w:val="20"/>
        </w:rPr>
        <w:t xml:space="preserve">many PSIO matters </w:t>
      </w:r>
      <w:r>
        <w:rPr>
          <w:color w:val="231F20"/>
          <w:spacing w:val="-5"/>
          <w:sz w:val="20"/>
        </w:rPr>
        <w:t xml:space="preserve">involve </w:t>
      </w:r>
      <w:r>
        <w:rPr>
          <w:color w:val="231F20"/>
          <w:sz w:val="20"/>
        </w:rPr>
        <w:t xml:space="preserve">stalking, </w:t>
      </w:r>
      <w:r>
        <w:rPr>
          <w:color w:val="231F20"/>
          <w:spacing w:val="-3"/>
          <w:sz w:val="20"/>
        </w:rPr>
        <w:t xml:space="preserve">we know </w:t>
      </w:r>
      <w:r>
        <w:rPr>
          <w:color w:val="231F20"/>
          <w:sz w:val="20"/>
        </w:rPr>
        <w:t xml:space="preserve">that </w:t>
      </w:r>
      <w:r>
        <w:rPr>
          <w:color w:val="231F20"/>
          <w:spacing w:val="-3"/>
          <w:sz w:val="20"/>
        </w:rPr>
        <w:t>for</w:t>
      </w:r>
      <w:r>
        <w:rPr>
          <w:color w:val="231F20"/>
          <w:spacing w:val="-10"/>
          <w:sz w:val="20"/>
        </w:rPr>
        <w:t xml:space="preserve"> </w:t>
      </w:r>
      <w:r>
        <w:rPr>
          <w:color w:val="231F20"/>
          <w:sz w:val="20"/>
        </w:rPr>
        <w:t>adults</w:t>
      </w:r>
      <w:r>
        <w:rPr>
          <w:color w:val="231F20"/>
          <w:spacing w:val="-9"/>
          <w:sz w:val="20"/>
        </w:rPr>
        <w:t xml:space="preserve"> </w:t>
      </w:r>
      <w:r>
        <w:rPr>
          <w:color w:val="231F20"/>
          <w:sz w:val="20"/>
        </w:rPr>
        <w:t>they</w:t>
      </w:r>
      <w:r>
        <w:rPr>
          <w:color w:val="231F20"/>
          <w:spacing w:val="-9"/>
          <w:sz w:val="20"/>
        </w:rPr>
        <w:t xml:space="preserve"> </w:t>
      </w:r>
      <w:r>
        <w:rPr>
          <w:color w:val="231F20"/>
          <w:sz w:val="20"/>
        </w:rPr>
        <w:t>commonly</w:t>
      </w:r>
      <w:r>
        <w:rPr>
          <w:color w:val="231F20"/>
          <w:spacing w:val="-9"/>
          <w:sz w:val="20"/>
        </w:rPr>
        <w:t xml:space="preserve"> </w:t>
      </w:r>
      <w:r>
        <w:rPr>
          <w:color w:val="231F20"/>
          <w:sz w:val="20"/>
        </w:rPr>
        <w:t>restrain</w:t>
      </w:r>
      <w:r>
        <w:rPr>
          <w:color w:val="231F20"/>
          <w:spacing w:val="-10"/>
          <w:sz w:val="20"/>
        </w:rPr>
        <w:t xml:space="preserve"> </w:t>
      </w:r>
      <w:r>
        <w:rPr>
          <w:color w:val="231F20"/>
          <w:sz w:val="20"/>
        </w:rPr>
        <w:t>people</w:t>
      </w:r>
      <w:r>
        <w:rPr>
          <w:color w:val="231F20"/>
          <w:spacing w:val="-9"/>
          <w:sz w:val="20"/>
        </w:rPr>
        <w:t xml:space="preserve"> </w:t>
      </w:r>
      <w:r>
        <w:rPr>
          <w:color w:val="231F20"/>
          <w:sz w:val="20"/>
        </w:rPr>
        <w:t>living</w:t>
      </w:r>
      <w:r>
        <w:rPr>
          <w:color w:val="231F20"/>
          <w:spacing w:val="-9"/>
          <w:sz w:val="20"/>
        </w:rPr>
        <w:t xml:space="preserve"> </w:t>
      </w:r>
      <w:r>
        <w:rPr>
          <w:color w:val="231F20"/>
          <w:sz w:val="20"/>
        </w:rPr>
        <w:t>in</w:t>
      </w:r>
      <w:r>
        <w:rPr>
          <w:color w:val="231F20"/>
          <w:spacing w:val="-9"/>
          <w:sz w:val="20"/>
        </w:rPr>
        <w:t xml:space="preserve"> </w:t>
      </w:r>
      <w:r>
        <w:rPr>
          <w:color w:val="231F20"/>
          <w:sz w:val="20"/>
        </w:rPr>
        <w:t>close</w:t>
      </w:r>
      <w:r>
        <w:rPr>
          <w:color w:val="231F20"/>
          <w:spacing w:val="-9"/>
          <w:sz w:val="20"/>
        </w:rPr>
        <w:t xml:space="preserve"> </w:t>
      </w:r>
      <w:r>
        <w:rPr>
          <w:color w:val="231F20"/>
          <w:spacing w:val="-3"/>
          <w:sz w:val="20"/>
        </w:rPr>
        <w:t>proximity</w:t>
      </w:r>
      <w:r>
        <w:rPr>
          <w:color w:val="231F20"/>
          <w:spacing w:val="-10"/>
          <w:sz w:val="20"/>
        </w:rPr>
        <w:t xml:space="preserve"> </w:t>
      </w:r>
      <w:r>
        <w:rPr>
          <w:color w:val="231F20"/>
          <w:sz w:val="20"/>
        </w:rPr>
        <w:t>to</w:t>
      </w:r>
      <w:r>
        <w:rPr>
          <w:color w:val="231F20"/>
          <w:spacing w:val="-9"/>
          <w:sz w:val="20"/>
        </w:rPr>
        <w:t xml:space="preserve"> </w:t>
      </w:r>
      <w:r>
        <w:rPr>
          <w:color w:val="231F20"/>
          <w:sz w:val="20"/>
        </w:rPr>
        <w:t>one</w:t>
      </w:r>
      <w:r>
        <w:rPr>
          <w:color w:val="231F20"/>
          <w:spacing w:val="-9"/>
          <w:sz w:val="20"/>
        </w:rPr>
        <w:t xml:space="preserve"> </w:t>
      </w:r>
      <w:r>
        <w:rPr>
          <w:color w:val="231F20"/>
          <w:spacing w:val="-3"/>
          <w:sz w:val="20"/>
        </w:rPr>
        <w:t>another,</w:t>
      </w:r>
      <w:r>
        <w:rPr>
          <w:color w:val="231F20"/>
          <w:spacing w:val="-9"/>
          <w:sz w:val="20"/>
        </w:rPr>
        <w:t xml:space="preserve"> </w:t>
      </w:r>
      <w:r>
        <w:rPr>
          <w:color w:val="231F20"/>
          <w:sz w:val="20"/>
        </w:rPr>
        <w:t xml:space="preserve">such as neighbours (27 per cent of </w:t>
      </w:r>
      <w:r>
        <w:rPr>
          <w:color w:val="231F20"/>
          <w:spacing w:val="-3"/>
          <w:sz w:val="20"/>
        </w:rPr>
        <w:t xml:space="preserve">‘protected </w:t>
      </w:r>
      <w:r>
        <w:rPr>
          <w:color w:val="231F20"/>
          <w:sz w:val="20"/>
        </w:rPr>
        <w:t xml:space="preserve">persons’ under a PSIO) or ‘friends, former friends or </w:t>
      </w:r>
      <w:r>
        <w:rPr>
          <w:color w:val="231F20"/>
          <w:spacing w:val="-3"/>
          <w:sz w:val="20"/>
        </w:rPr>
        <w:t xml:space="preserve">acquaintances’ </w:t>
      </w:r>
      <w:r>
        <w:rPr>
          <w:color w:val="231F20"/>
          <w:sz w:val="20"/>
        </w:rPr>
        <w:t xml:space="preserve">(14 per cent of </w:t>
      </w:r>
      <w:r>
        <w:rPr>
          <w:color w:val="231F20"/>
          <w:spacing w:val="-3"/>
          <w:sz w:val="20"/>
        </w:rPr>
        <w:t>protected persons).</w:t>
      </w:r>
      <w:r>
        <w:rPr>
          <w:color w:val="231F20"/>
          <w:spacing w:val="-3"/>
          <w:position w:val="7"/>
          <w:sz w:val="11"/>
        </w:rPr>
        <w:t xml:space="preserve">10 </w:t>
      </w:r>
      <w:r>
        <w:rPr>
          <w:color w:val="231F20"/>
          <w:sz w:val="20"/>
        </w:rPr>
        <w:t xml:space="preserve">There </w:t>
      </w:r>
      <w:r>
        <w:rPr>
          <w:color w:val="231F20"/>
          <w:spacing w:val="-3"/>
          <w:sz w:val="20"/>
        </w:rPr>
        <w:t xml:space="preserve">are </w:t>
      </w:r>
      <w:r>
        <w:rPr>
          <w:color w:val="231F20"/>
          <w:sz w:val="20"/>
        </w:rPr>
        <w:t>more PSIOs made</w:t>
      </w:r>
      <w:r>
        <w:rPr>
          <w:color w:val="231F20"/>
          <w:spacing w:val="-11"/>
          <w:sz w:val="20"/>
        </w:rPr>
        <w:t xml:space="preserve"> </w:t>
      </w:r>
      <w:r>
        <w:rPr>
          <w:color w:val="231F20"/>
          <w:sz w:val="20"/>
        </w:rPr>
        <w:t>in</w:t>
      </w:r>
      <w:r>
        <w:rPr>
          <w:color w:val="231F20"/>
          <w:spacing w:val="-11"/>
          <w:sz w:val="20"/>
        </w:rPr>
        <w:t xml:space="preserve"> </w:t>
      </w:r>
      <w:r>
        <w:rPr>
          <w:color w:val="231F20"/>
          <w:sz w:val="20"/>
        </w:rPr>
        <w:t>regional</w:t>
      </w:r>
      <w:r>
        <w:rPr>
          <w:color w:val="231F20"/>
          <w:spacing w:val="-11"/>
          <w:sz w:val="20"/>
        </w:rPr>
        <w:t xml:space="preserve"> </w:t>
      </w:r>
      <w:r>
        <w:rPr>
          <w:color w:val="231F20"/>
          <w:sz w:val="20"/>
        </w:rPr>
        <w:t>and</w:t>
      </w:r>
      <w:r>
        <w:rPr>
          <w:color w:val="231F20"/>
          <w:spacing w:val="-12"/>
          <w:sz w:val="20"/>
        </w:rPr>
        <w:t xml:space="preserve"> </w:t>
      </w:r>
      <w:r>
        <w:rPr>
          <w:color w:val="231F20"/>
          <w:sz w:val="20"/>
        </w:rPr>
        <w:t>rural</w:t>
      </w:r>
      <w:r>
        <w:rPr>
          <w:color w:val="231F20"/>
          <w:spacing w:val="-11"/>
          <w:sz w:val="20"/>
        </w:rPr>
        <w:t xml:space="preserve"> </w:t>
      </w:r>
      <w:r>
        <w:rPr>
          <w:color w:val="231F20"/>
          <w:sz w:val="20"/>
        </w:rPr>
        <w:t>Victoria</w:t>
      </w:r>
      <w:r>
        <w:rPr>
          <w:color w:val="231F20"/>
          <w:spacing w:val="-11"/>
          <w:sz w:val="20"/>
        </w:rPr>
        <w:t xml:space="preserve"> </w:t>
      </w:r>
      <w:r>
        <w:rPr>
          <w:color w:val="231F20"/>
          <w:sz w:val="20"/>
        </w:rPr>
        <w:t>compared</w:t>
      </w:r>
      <w:r>
        <w:rPr>
          <w:color w:val="231F20"/>
          <w:spacing w:val="-11"/>
          <w:sz w:val="20"/>
        </w:rPr>
        <w:t xml:space="preserve"> </w:t>
      </w:r>
      <w:r>
        <w:rPr>
          <w:color w:val="231F20"/>
          <w:sz w:val="20"/>
        </w:rPr>
        <w:t>to</w:t>
      </w:r>
      <w:r>
        <w:rPr>
          <w:color w:val="231F20"/>
          <w:spacing w:val="-11"/>
          <w:sz w:val="20"/>
        </w:rPr>
        <w:t xml:space="preserve"> </w:t>
      </w:r>
      <w:r>
        <w:rPr>
          <w:color w:val="231F20"/>
          <w:sz w:val="20"/>
        </w:rPr>
        <w:t>metropolitan</w:t>
      </w:r>
      <w:r>
        <w:rPr>
          <w:color w:val="231F20"/>
          <w:spacing w:val="-11"/>
          <w:sz w:val="20"/>
        </w:rPr>
        <w:t xml:space="preserve"> </w:t>
      </w:r>
      <w:r>
        <w:rPr>
          <w:color w:val="231F20"/>
          <w:sz w:val="20"/>
        </w:rPr>
        <w:t>Melbourne.</w:t>
      </w:r>
      <w:r>
        <w:rPr>
          <w:color w:val="231F20"/>
          <w:position w:val="7"/>
          <w:sz w:val="11"/>
        </w:rPr>
        <w:t>11</w:t>
      </w:r>
      <w:r>
        <w:rPr>
          <w:color w:val="231F20"/>
          <w:spacing w:val="13"/>
          <w:position w:val="7"/>
          <w:sz w:val="11"/>
        </w:rPr>
        <w:t xml:space="preserve"> </w:t>
      </w:r>
      <w:r>
        <w:rPr>
          <w:color w:val="231F20"/>
          <w:spacing w:val="-6"/>
          <w:sz w:val="20"/>
        </w:rPr>
        <w:t>We</w:t>
      </w:r>
      <w:r>
        <w:rPr>
          <w:color w:val="231F20"/>
          <w:spacing w:val="-11"/>
          <w:sz w:val="20"/>
        </w:rPr>
        <w:t xml:space="preserve"> </w:t>
      </w:r>
      <w:r>
        <w:rPr>
          <w:color w:val="231F20"/>
          <w:spacing w:val="-3"/>
          <w:sz w:val="20"/>
        </w:rPr>
        <w:t xml:space="preserve">explore </w:t>
      </w:r>
      <w:r>
        <w:rPr>
          <w:color w:val="231F20"/>
          <w:sz w:val="20"/>
        </w:rPr>
        <w:t xml:space="preserve">data on PSIOs in more detail in </w:t>
      </w:r>
      <w:r>
        <w:rPr>
          <w:color w:val="231F20"/>
          <w:spacing w:val="-3"/>
          <w:sz w:val="20"/>
        </w:rPr>
        <w:t>Chapter</w:t>
      </w:r>
      <w:r>
        <w:rPr>
          <w:color w:val="231F20"/>
          <w:spacing w:val="-35"/>
          <w:sz w:val="20"/>
        </w:rPr>
        <w:t xml:space="preserve"> </w:t>
      </w:r>
      <w:r>
        <w:rPr>
          <w:color w:val="231F20"/>
          <w:sz w:val="20"/>
        </w:rPr>
        <w:t>2.</w:t>
      </w:r>
    </w:p>
    <w:p w14:paraId="23EE6771" w14:textId="77777777" w:rsidR="00894070" w:rsidRDefault="009B7AFD">
      <w:pPr>
        <w:pStyle w:val="ListParagraph"/>
        <w:numPr>
          <w:ilvl w:val="1"/>
          <w:numId w:val="102"/>
        </w:numPr>
        <w:tabs>
          <w:tab w:val="left" w:pos="1801"/>
          <w:tab w:val="left" w:pos="1802"/>
        </w:tabs>
        <w:spacing w:before="127" w:line="206" w:lineRule="auto"/>
        <w:ind w:right="1393"/>
        <w:rPr>
          <w:sz w:val="20"/>
        </w:rPr>
      </w:pPr>
      <w:r>
        <w:rPr>
          <w:color w:val="231F20"/>
          <w:sz w:val="20"/>
        </w:rPr>
        <w:t xml:space="preserve">A victim survivor </w:t>
      </w:r>
      <w:r>
        <w:rPr>
          <w:color w:val="231F20"/>
          <w:spacing w:val="-3"/>
          <w:sz w:val="20"/>
        </w:rPr>
        <w:t xml:space="preserve">(or ‘affected </w:t>
      </w:r>
      <w:r>
        <w:rPr>
          <w:color w:val="231F20"/>
          <w:sz w:val="20"/>
        </w:rPr>
        <w:t xml:space="preserve">person’) can </w:t>
      </w:r>
      <w:r>
        <w:rPr>
          <w:color w:val="231F20"/>
          <w:spacing w:val="-3"/>
          <w:sz w:val="20"/>
        </w:rPr>
        <w:t xml:space="preserve">apply for </w:t>
      </w:r>
      <w:r>
        <w:rPr>
          <w:color w:val="231F20"/>
          <w:sz w:val="20"/>
        </w:rPr>
        <w:t xml:space="preserve">a PSIO </w:t>
      </w:r>
      <w:r>
        <w:rPr>
          <w:color w:val="231F20"/>
          <w:spacing w:val="-3"/>
          <w:sz w:val="20"/>
        </w:rPr>
        <w:t xml:space="preserve">themselves </w:t>
      </w:r>
      <w:r>
        <w:rPr>
          <w:color w:val="231F20"/>
          <w:sz w:val="20"/>
        </w:rPr>
        <w:t>or consent to someone</w:t>
      </w:r>
      <w:r>
        <w:rPr>
          <w:color w:val="231F20"/>
          <w:spacing w:val="-7"/>
          <w:sz w:val="20"/>
        </w:rPr>
        <w:t xml:space="preserve"> </w:t>
      </w:r>
      <w:r>
        <w:rPr>
          <w:color w:val="231F20"/>
          <w:sz w:val="20"/>
        </w:rPr>
        <w:t>else</w:t>
      </w:r>
      <w:r>
        <w:rPr>
          <w:color w:val="231F20"/>
          <w:spacing w:val="-6"/>
          <w:sz w:val="20"/>
        </w:rPr>
        <w:t xml:space="preserve"> </w:t>
      </w:r>
      <w:r>
        <w:rPr>
          <w:color w:val="231F20"/>
          <w:spacing w:val="-3"/>
          <w:sz w:val="20"/>
        </w:rPr>
        <w:t>applying</w:t>
      </w:r>
      <w:r>
        <w:rPr>
          <w:color w:val="231F20"/>
          <w:spacing w:val="-7"/>
          <w:sz w:val="20"/>
        </w:rPr>
        <w:t xml:space="preserve"> </w:t>
      </w:r>
      <w:r>
        <w:rPr>
          <w:color w:val="231F20"/>
          <w:sz w:val="20"/>
        </w:rPr>
        <w:t>on</w:t>
      </w:r>
      <w:r>
        <w:rPr>
          <w:color w:val="231F20"/>
          <w:spacing w:val="-6"/>
          <w:sz w:val="20"/>
        </w:rPr>
        <w:t xml:space="preserve"> </w:t>
      </w:r>
      <w:r>
        <w:rPr>
          <w:color w:val="231F20"/>
          <w:sz w:val="20"/>
        </w:rPr>
        <w:t>their</w:t>
      </w:r>
      <w:r>
        <w:rPr>
          <w:color w:val="231F20"/>
          <w:spacing w:val="-7"/>
          <w:sz w:val="20"/>
        </w:rPr>
        <w:t xml:space="preserve"> </w:t>
      </w:r>
      <w:r>
        <w:rPr>
          <w:color w:val="231F20"/>
          <w:spacing w:val="-3"/>
          <w:sz w:val="20"/>
        </w:rPr>
        <w:t>behalf.</w:t>
      </w:r>
      <w:r>
        <w:rPr>
          <w:color w:val="231F20"/>
          <w:spacing w:val="-6"/>
          <w:sz w:val="20"/>
        </w:rPr>
        <w:t xml:space="preserve"> </w:t>
      </w:r>
      <w:r>
        <w:rPr>
          <w:color w:val="231F20"/>
          <w:sz w:val="20"/>
        </w:rPr>
        <w:t>Police</w:t>
      </w:r>
      <w:r>
        <w:rPr>
          <w:color w:val="231F20"/>
          <w:spacing w:val="-7"/>
          <w:sz w:val="20"/>
        </w:rPr>
        <w:t xml:space="preserve"> </w:t>
      </w:r>
      <w:r>
        <w:rPr>
          <w:color w:val="231F20"/>
          <w:sz w:val="20"/>
        </w:rPr>
        <w:t>officers</w:t>
      </w:r>
      <w:r>
        <w:rPr>
          <w:color w:val="231F20"/>
          <w:spacing w:val="-6"/>
          <w:sz w:val="20"/>
        </w:rPr>
        <w:t xml:space="preserve"> </w:t>
      </w:r>
      <w:r>
        <w:rPr>
          <w:color w:val="231F20"/>
          <w:sz w:val="20"/>
        </w:rPr>
        <w:t>can</w:t>
      </w:r>
      <w:r>
        <w:rPr>
          <w:color w:val="231F20"/>
          <w:spacing w:val="-7"/>
          <w:sz w:val="20"/>
        </w:rPr>
        <w:t xml:space="preserve"> </w:t>
      </w:r>
      <w:r>
        <w:rPr>
          <w:color w:val="231F20"/>
          <w:spacing w:val="-3"/>
          <w:sz w:val="20"/>
        </w:rPr>
        <w:t>apply</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a</w:t>
      </w:r>
      <w:r>
        <w:rPr>
          <w:color w:val="231F20"/>
          <w:spacing w:val="-7"/>
          <w:sz w:val="20"/>
        </w:rPr>
        <w:t xml:space="preserve"> </w:t>
      </w:r>
      <w:r>
        <w:rPr>
          <w:color w:val="231F20"/>
          <w:sz w:val="20"/>
        </w:rPr>
        <w:t>PSIO</w:t>
      </w:r>
      <w:r>
        <w:rPr>
          <w:color w:val="231F20"/>
          <w:spacing w:val="-6"/>
          <w:sz w:val="20"/>
        </w:rPr>
        <w:t xml:space="preserve"> </w:t>
      </w:r>
      <w:r>
        <w:rPr>
          <w:color w:val="231F20"/>
          <w:spacing w:val="-3"/>
          <w:sz w:val="20"/>
        </w:rPr>
        <w:t>for</w:t>
      </w:r>
      <w:r>
        <w:rPr>
          <w:color w:val="231F20"/>
          <w:spacing w:val="-7"/>
          <w:sz w:val="20"/>
        </w:rPr>
        <w:t xml:space="preserve"> </w:t>
      </w:r>
      <w:r>
        <w:rPr>
          <w:color w:val="231F20"/>
          <w:sz w:val="20"/>
        </w:rPr>
        <w:t>them.</w:t>
      </w:r>
      <w:r>
        <w:rPr>
          <w:color w:val="231F20"/>
          <w:position w:val="7"/>
          <w:sz w:val="11"/>
        </w:rPr>
        <w:t>12</w:t>
      </w:r>
      <w:r>
        <w:rPr>
          <w:color w:val="231F20"/>
          <w:sz w:val="11"/>
        </w:rPr>
        <w:t xml:space="preserve"> </w:t>
      </w:r>
      <w:r>
        <w:rPr>
          <w:color w:val="231F20"/>
          <w:sz w:val="20"/>
        </w:rPr>
        <w:t xml:space="preserve">The person who applies </w:t>
      </w:r>
      <w:r>
        <w:rPr>
          <w:color w:val="231F20"/>
          <w:spacing w:val="-3"/>
          <w:sz w:val="20"/>
        </w:rPr>
        <w:t xml:space="preserve">for </w:t>
      </w:r>
      <w:r>
        <w:rPr>
          <w:color w:val="231F20"/>
          <w:sz w:val="20"/>
        </w:rPr>
        <w:t xml:space="preserve">the PSIO is the </w:t>
      </w:r>
      <w:r>
        <w:rPr>
          <w:color w:val="231F20"/>
          <w:spacing w:val="-3"/>
          <w:sz w:val="20"/>
        </w:rPr>
        <w:t xml:space="preserve">‘applicant’. </w:t>
      </w:r>
      <w:r>
        <w:rPr>
          <w:color w:val="231F20"/>
          <w:sz w:val="20"/>
        </w:rPr>
        <w:t xml:space="preserve">PSIOs </w:t>
      </w:r>
      <w:r>
        <w:rPr>
          <w:color w:val="231F20"/>
          <w:spacing w:val="-3"/>
          <w:sz w:val="20"/>
        </w:rPr>
        <w:t xml:space="preserve">are </w:t>
      </w:r>
      <w:r>
        <w:rPr>
          <w:color w:val="231F20"/>
          <w:sz w:val="20"/>
        </w:rPr>
        <w:t xml:space="preserve">made against a </w:t>
      </w:r>
      <w:r>
        <w:rPr>
          <w:color w:val="231F20"/>
          <w:spacing w:val="-3"/>
          <w:sz w:val="20"/>
        </w:rPr>
        <w:t>‘respondent’.</w:t>
      </w:r>
    </w:p>
    <w:p w14:paraId="0C031266" w14:textId="77777777" w:rsidR="00894070" w:rsidRDefault="009B7AFD">
      <w:pPr>
        <w:pStyle w:val="ListParagraph"/>
        <w:numPr>
          <w:ilvl w:val="1"/>
          <w:numId w:val="102"/>
        </w:numPr>
        <w:tabs>
          <w:tab w:val="left" w:pos="1801"/>
          <w:tab w:val="left" w:pos="1802"/>
        </w:tabs>
        <w:spacing w:before="125" w:line="206" w:lineRule="auto"/>
        <w:ind w:right="1165"/>
        <w:rPr>
          <w:sz w:val="11"/>
        </w:rPr>
      </w:pPr>
      <w:r>
        <w:rPr>
          <w:color w:val="231F20"/>
          <w:sz w:val="20"/>
        </w:rPr>
        <w:t xml:space="preserve">The </w:t>
      </w:r>
      <w:r>
        <w:rPr>
          <w:color w:val="231F20"/>
          <w:spacing w:val="-3"/>
          <w:sz w:val="20"/>
        </w:rPr>
        <w:t xml:space="preserve">Magistrates’ </w:t>
      </w:r>
      <w:r>
        <w:rPr>
          <w:color w:val="231F20"/>
          <w:sz w:val="20"/>
        </w:rPr>
        <w:t xml:space="preserve">Court hears the application, but if </w:t>
      </w:r>
      <w:r>
        <w:rPr>
          <w:color w:val="231F20"/>
          <w:spacing w:val="-3"/>
          <w:sz w:val="20"/>
        </w:rPr>
        <w:t xml:space="preserve">any </w:t>
      </w:r>
      <w:r>
        <w:rPr>
          <w:color w:val="231F20"/>
          <w:sz w:val="20"/>
        </w:rPr>
        <w:t xml:space="preserve">of the parties </w:t>
      </w:r>
      <w:r>
        <w:rPr>
          <w:color w:val="231F20"/>
          <w:spacing w:val="-3"/>
          <w:sz w:val="20"/>
        </w:rPr>
        <w:t xml:space="preserve">(the </w:t>
      </w:r>
      <w:r>
        <w:rPr>
          <w:color w:val="231F20"/>
          <w:sz w:val="20"/>
        </w:rPr>
        <w:t>applicant, affected</w:t>
      </w:r>
      <w:r>
        <w:rPr>
          <w:color w:val="231F20"/>
          <w:spacing w:val="-10"/>
          <w:sz w:val="20"/>
        </w:rPr>
        <w:t xml:space="preserve"> </w:t>
      </w:r>
      <w:r>
        <w:rPr>
          <w:color w:val="231F20"/>
          <w:sz w:val="20"/>
        </w:rPr>
        <w:t>person</w:t>
      </w:r>
      <w:r>
        <w:rPr>
          <w:color w:val="231F20"/>
          <w:spacing w:val="-10"/>
          <w:sz w:val="20"/>
        </w:rPr>
        <w:t xml:space="preserve"> </w:t>
      </w:r>
      <w:r>
        <w:rPr>
          <w:color w:val="231F20"/>
          <w:sz w:val="20"/>
        </w:rPr>
        <w:t>or</w:t>
      </w:r>
      <w:r>
        <w:rPr>
          <w:color w:val="231F20"/>
          <w:spacing w:val="-10"/>
          <w:sz w:val="20"/>
        </w:rPr>
        <w:t xml:space="preserve"> </w:t>
      </w:r>
      <w:r>
        <w:rPr>
          <w:color w:val="231F20"/>
          <w:sz w:val="20"/>
        </w:rPr>
        <w:t>respondent)</w:t>
      </w:r>
      <w:r>
        <w:rPr>
          <w:color w:val="231F20"/>
          <w:spacing w:val="-9"/>
          <w:sz w:val="20"/>
        </w:rPr>
        <w:t xml:space="preserve"> </w:t>
      </w:r>
      <w:r>
        <w:rPr>
          <w:color w:val="231F20"/>
          <w:sz w:val="20"/>
        </w:rPr>
        <w:t>is</w:t>
      </w:r>
      <w:r>
        <w:rPr>
          <w:color w:val="231F20"/>
          <w:spacing w:val="-10"/>
          <w:sz w:val="20"/>
        </w:rPr>
        <w:t xml:space="preserve"> </w:t>
      </w:r>
      <w:r>
        <w:rPr>
          <w:color w:val="231F20"/>
          <w:sz w:val="20"/>
        </w:rPr>
        <w:t>a</w:t>
      </w:r>
      <w:r>
        <w:rPr>
          <w:color w:val="231F20"/>
          <w:spacing w:val="-10"/>
          <w:sz w:val="20"/>
        </w:rPr>
        <w:t xml:space="preserve"> </w:t>
      </w:r>
      <w:r>
        <w:rPr>
          <w:color w:val="231F20"/>
          <w:sz w:val="20"/>
        </w:rPr>
        <w:t>child</w:t>
      </w:r>
      <w:r>
        <w:rPr>
          <w:color w:val="231F20"/>
          <w:spacing w:val="-10"/>
          <w:sz w:val="20"/>
        </w:rPr>
        <w:t xml:space="preserve"> </w:t>
      </w:r>
      <w:r>
        <w:rPr>
          <w:color w:val="231F20"/>
          <w:sz w:val="20"/>
        </w:rPr>
        <w:t>then</w:t>
      </w:r>
      <w:r>
        <w:rPr>
          <w:color w:val="231F20"/>
          <w:spacing w:val="-9"/>
          <w:sz w:val="20"/>
        </w:rPr>
        <w:t xml:space="preserve"> </w:t>
      </w:r>
      <w:r>
        <w:rPr>
          <w:color w:val="231F20"/>
          <w:sz w:val="20"/>
        </w:rPr>
        <w:t>the</w:t>
      </w:r>
      <w:r>
        <w:rPr>
          <w:color w:val="231F20"/>
          <w:spacing w:val="-10"/>
          <w:sz w:val="20"/>
        </w:rPr>
        <w:t xml:space="preserve"> </w:t>
      </w:r>
      <w:r>
        <w:rPr>
          <w:color w:val="231F20"/>
          <w:spacing w:val="-4"/>
          <w:sz w:val="20"/>
        </w:rPr>
        <w:t>Family</w:t>
      </w:r>
      <w:r>
        <w:rPr>
          <w:color w:val="231F20"/>
          <w:spacing w:val="-10"/>
          <w:sz w:val="20"/>
        </w:rPr>
        <w:t xml:space="preserve"> </w:t>
      </w:r>
      <w:r>
        <w:rPr>
          <w:color w:val="231F20"/>
          <w:sz w:val="20"/>
        </w:rPr>
        <w:t>Division</w:t>
      </w:r>
      <w:r>
        <w:rPr>
          <w:color w:val="231F20"/>
          <w:spacing w:val="-10"/>
          <w:sz w:val="20"/>
        </w:rPr>
        <w:t xml:space="preserve"> </w:t>
      </w:r>
      <w:r>
        <w:rPr>
          <w:color w:val="231F20"/>
          <w:sz w:val="20"/>
        </w:rPr>
        <w:t>of</w:t>
      </w:r>
      <w:r>
        <w:rPr>
          <w:color w:val="231F20"/>
          <w:spacing w:val="-9"/>
          <w:sz w:val="20"/>
        </w:rPr>
        <w:t xml:space="preserve"> </w:t>
      </w:r>
      <w:r>
        <w:rPr>
          <w:color w:val="231F20"/>
          <w:sz w:val="20"/>
        </w:rPr>
        <w:t>the</w:t>
      </w:r>
      <w:r>
        <w:rPr>
          <w:color w:val="231F20"/>
          <w:spacing w:val="-10"/>
          <w:sz w:val="20"/>
        </w:rPr>
        <w:t xml:space="preserve"> </w:t>
      </w:r>
      <w:r>
        <w:rPr>
          <w:color w:val="231F20"/>
          <w:spacing w:val="-3"/>
          <w:sz w:val="20"/>
        </w:rPr>
        <w:t>Children’s</w:t>
      </w:r>
      <w:r>
        <w:rPr>
          <w:color w:val="231F20"/>
          <w:spacing w:val="-10"/>
          <w:sz w:val="20"/>
        </w:rPr>
        <w:t xml:space="preserve"> </w:t>
      </w:r>
      <w:r>
        <w:rPr>
          <w:color w:val="231F20"/>
          <w:sz w:val="20"/>
        </w:rPr>
        <w:t>Court hears the</w:t>
      </w:r>
      <w:r>
        <w:rPr>
          <w:color w:val="231F20"/>
          <w:spacing w:val="-9"/>
          <w:sz w:val="20"/>
        </w:rPr>
        <w:t xml:space="preserve"> </w:t>
      </w:r>
      <w:r>
        <w:rPr>
          <w:color w:val="231F20"/>
          <w:sz w:val="20"/>
        </w:rPr>
        <w:t>application.</w:t>
      </w:r>
      <w:r>
        <w:rPr>
          <w:color w:val="231F20"/>
          <w:position w:val="7"/>
          <w:sz w:val="11"/>
        </w:rPr>
        <w:t>13</w:t>
      </w:r>
    </w:p>
    <w:p w14:paraId="6CE59D4E" w14:textId="77777777" w:rsidR="00894070" w:rsidRDefault="00894070">
      <w:pPr>
        <w:pStyle w:val="BodyText"/>
      </w:pPr>
    </w:p>
    <w:p w14:paraId="3FD0B9C3" w14:textId="77777777" w:rsidR="00894070" w:rsidRDefault="00894070">
      <w:pPr>
        <w:pStyle w:val="BodyText"/>
      </w:pPr>
    </w:p>
    <w:p w14:paraId="45735491" w14:textId="77777777" w:rsidR="00894070" w:rsidRDefault="009F6793">
      <w:pPr>
        <w:pStyle w:val="BodyText"/>
        <w:spacing w:before="1"/>
        <w:rPr>
          <w:sz w:val="22"/>
        </w:rPr>
      </w:pPr>
      <w:r>
        <w:pict w14:anchorId="3F88A24D">
          <v:line id="_x0000_s1357" style="position:absolute;z-index:251638784;mso-wrap-distance-left:0;mso-wrap-distance-right:0;mso-position-horizontal-relative:page" from="79.35pt,17.8pt" to="515.9pt,17.8pt" strokecolor="#f8cabc" strokeweight="1pt">
            <w10:wrap type="topAndBottom" anchorx="page"/>
          </v:line>
        </w:pict>
      </w:r>
    </w:p>
    <w:p w14:paraId="748019A3" w14:textId="77777777" w:rsidR="00894070" w:rsidRDefault="009B7AFD">
      <w:pPr>
        <w:pStyle w:val="ListParagraph"/>
        <w:numPr>
          <w:ilvl w:val="0"/>
          <w:numId w:val="100"/>
        </w:numPr>
        <w:tabs>
          <w:tab w:val="left" w:pos="1800"/>
          <w:tab w:val="left" w:pos="1802"/>
        </w:tabs>
        <w:spacing w:before="107" w:line="213" w:lineRule="auto"/>
        <w:ind w:right="1197"/>
        <w:rPr>
          <w:sz w:val="13"/>
        </w:rPr>
      </w:pPr>
      <w:r>
        <w:rPr>
          <w:color w:val="231F20"/>
          <w:spacing w:val="2"/>
          <w:sz w:val="13"/>
        </w:rPr>
        <w:t xml:space="preserve">Submission </w:t>
      </w:r>
      <w:r>
        <w:rPr>
          <w:color w:val="231F20"/>
          <w:sz w:val="13"/>
        </w:rPr>
        <w:t xml:space="preserve">70 (Di McDonald); 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 xml:space="preserve">August 2021). Police data on </w:t>
      </w:r>
      <w:r>
        <w:rPr>
          <w:color w:val="231F20"/>
          <w:spacing w:val="2"/>
          <w:sz w:val="13"/>
        </w:rPr>
        <w:t xml:space="preserve">PSIO </w:t>
      </w:r>
      <w:r>
        <w:rPr>
          <w:color w:val="231F20"/>
          <w:sz w:val="13"/>
        </w:rPr>
        <w:t xml:space="preserve">breach offences recorded by </w:t>
      </w:r>
      <w:r>
        <w:rPr>
          <w:color w:val="231F20"/>
          <w:spacing w:val="2"/>
          <w:sz w:val="13"/>
        </w:rPr>
        <w:t xml:space="preserve">police </w:t>
      </w:r>
      <w:r>
        <w:rPr>
          <w:color w:val="231F20"/>
          <w:sz w:val="13"/>
        </w:rPr>
        <w:t xml:space="preserve">in the 10 years from 2011 to 2020 shows that there were 26,329 recorded </w:t>
      </w:r>
      <w:r>
        <w:rPr>
          <w:color w:val="231F20"/>
          <w:spacing w:val="2"/>
          <w:sz w:val="13"/>
        </w:rPr>
        <w:t xml:space="preserve">PSIO </w:t>
      </w:r>
      <w:r>
        <w:rPr>
          <w:color w:val="231F20"/>
          <w:sz w:val="13"/>
        </w:rPr>
        <w:t xml:space="preserve">breach offences during this </w:t>
      </w:r>
      <w:r>
        <w:rPr>
          <w:color w:val="231F20"/>
          <w:spacing w:val="2"/>
          <w:sz w:val="13"/>
        </w:rPr>
        <w:t xml:space="preserve">period. </w:t>
      </w:r>
      <w:r>
        <w:rPr>
          <w:color w:val="231F20"/>
          <w:sz w:val="13"/>
        </w:rPr>
        <w:t xml:space="preserve">The </w:t>
      </w:r>
      <w:r>
        <w:rPr>
          <w:color w:val="231F20"/>
          <w:spacing w:val="2"/>
          <w:sz w:val="13"/>
        </w:rPr>
        <w:t xml:space="preserve">number </w:t>
      </w:r>
      <w:r>
        <w:rPr>
          <w:color w:val="231F20"/>
          <w:sz w:val="13"/>
        </w:rPr>
        <w:t xml:space="preserve">of </w:t>
      </w:r>
      <w:r>
        <w:rPr>
          <w:color w:val="231F20"/>
          <w:spacing w:val="2"/>
          <w:sz w:val="13"/>
        </w:rPr>
        <w:t xml:space="preserve">PSIO </w:t>
      </w:r>
      <w:r>
        <w:rPr>
          <w:color w:val="231F20"/>
          <w:sz w:val="13"/>
        </w:rPr>
        <w:t xml:space="preserve">breaches recorded per recent years includes </w:t>
      </w:r>
      <w:r>
        <w:rPr>
          <w:color w:val="231F20"/>
          <w:spacing w:val="2"/>
          <w:sz w:val="13"/>
        </w:rPr>
        <w:t xml:space="preserve">3,553 </w:t>
      </w:r>
      <w:r>
        <w:rPr>
          <w:color w:val="231F20"/>
          <w:sz w:val="13"/>
        </w:rPr>
        <w:t xml:space="preserve">in 2018, </w:t>
      </w:r>
      <w:r>
        <w:rPr>
          <w:color w:val="231F20"/>
          <w:spacing w:val="2"/>
          <w:sz w:val="13"/>
        </w:rPr>
        <w:t xml:space="preserve">4,000 </w:t>
      </w:r>
      <w:r>
        <w:rPr>
          <w:color w:val="231F20"/>
          <w:sz w:val="13"/>
        </w:rPr>
        <w:t xml:space="preserve">in 2019 and 4,343 in 2020: 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w:t>
      </w:r>
      <w:r>
        <w:rPr>
          <w:color w:val="231F20"/>
          <w:spacing w:val="10"/>
          <w:sz w:val="13"/>
        </w:rPr>
        <w:t xml:space="preserve"> </w:t>
      </w:r>
      <w:r>
        <w:rPr>
          <w:color w:val="231F20"/>
          <w:spacing w:val="3"/>
          <w:sz w:val="13"/>
        </w:rPr>
        <w:t>[5.2].</w:t>
      </w:r>
    </w:p>
    <w:p w14:paraId="71646FAF" w14:textId="77777777" w:rsidR="00894070" w:rsidRDefault="009B7AFD">
      <w:pPr>
        <w:pStyle w:val="ListParagraph"/>
        <w:numPr>
          <w:ilvl w:val="0"/>
          <w:numId w:val="100"/>
        </w:numPr>
        <w:tabs>
          <w:tab w:val="left" w:pos="1800"/>
          <w:tab w:val="left" w:pos="1802"/>
        </w:tabs>
        <w:spacing w:line="213" w:lineRule="auto"/>
        <w:ind w:right="1276"/>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w:t>
      </w:r>
      <w:proofErr w:type="gramStart"/>
      <w:r>
        <w:rPr>
          <w:color w:val="231F20"/>
          <w:sz w:val="13"/>
        </w:rPr>
        <w:t>)  xiii.</w:t>
      </w:r>
      <w:proofErr w:type="gramEnd"/>
    </w:p>
    <w:p w14:paraId="351D74F3" w14:textId="77777777" w:rsidR="00894070" w:rsidRDefault="009B7AFD">
      <w:pPr>
        <w:pStyle w:val="ListParagraph"/>
        <w:numPr>
          <w:ilvl w:val="0"/>
          <w:numId w:val="100"/>
        </w:numPr>
        <w:tabs>
          <w:tab w:val="left" w:pos="1800"/>
          <w:tab w:val="left" w:pos="1802"/>
        </w:tabs>
        <w:spacing w:line="213" w:lineRule="auto"/>
        <w:ind w:right="1521"/>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461C692A" w14:textId="77777777" w:rsidR="00894070" w:rsidRDefault="009B7AFD">
      <w:pPr>
        <w:pStyle w:val="ListParagraph"/>
        <w:numPr>
          <w:ilvl w:val="0"/>
          <w:numId w:val="100"/>
        </w:numPr>
        <w:tabs>
          <w:tab w:val="left" w:pos="1800"/>
          <w:tab w:val="left" w:pos="1802"/>
        </w:tabs>
        <w:spacing w:line="153" w:lineRule="exac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4"/>
          <w:sz w:val="13"/>
        </w:rPr>
        <w:t xml:space="preserve"> </w:t>
      </w:r>
      <w:r>
        <w:rPr>
          <w:color w:val="231F20"/>
          <w:sz w:val="13"/>
        </w:rPr>
        <w:t>Party).</w:t>
      </w:r>
    </w:p>
    <w:p w14:paraId="4AFB56C2" w14:textId="77777777" w:rsidR="00894070" w:rsidRDefault="009B7AFD">
      <w:pPr>
        <w:pStyle w:val="ListParagraph"/>
        <w:numPr>
          <w:ilvl w:val="0"/>
          <w:numId w:val="100"/>
        </w:numPr>
        <w:tabs>
          <w:tab w:val="left" w:pos="1801"/>
          <w:tab w:val="left" w:pos="1802"/>
        </w:tabs>
        <w:spacing w:line="160" w:lineRule="exact"/>
        <w:rPr>
          <w:sz w:val="13"/>
        </w:rPr>
      </w:pPr>
      <w:r>
        <w:rPr>
          <w:i/>
          <w:color w:val="231F20"/>
          <w:sz w:val="13"/>
        </w:rPr>
        <w:t xml:space="preserve">Personal Safety Intervention Orders Act 2010 </w:t>
      </w:r>
      <w:r>
        <w:rPr>
          <w:color w:val="231F20"/>
          <w:sz w:val="13"/>
        </w:rPr>
        <w:t xml:space="preserve">(Vic) s 10; </w:t>
      </w:r>
      <w:r>
        <w:rPr>
          <w:i/>
          <w:color w:val="231F20"/>
          <w:sz w:val="13"/>
        </w:rPr>
        <w:t xml:space="preserve">Crimes Act 1958 </w:t>
      </w:r>
      <w:r>
        <w:rPr>
          <w:color w:val="231F20"/>
          <w:sz w:val="13"/>
        </w:rPr>
        <w:t>(Vic) s</w:t>
      </w:r>
      <w:r>
        <w:rPr>
          <w:color w:val="231F20"/>
          <w:spacing w:val="9"/>
          <w:sz w:val="13"/>
        </w:rPr>
        <w:t xml:space="preserve"> </w:t>
      </w:r>
      <w:r>
        <w:rPr>
          <w:color w:val="231F20"/>
          <w:spacing w:val="3"/>
          <w:sz w:val="13"/>
        </w:rPr>
        <w:t>21A.</w:t>
      </w:r>
    </w:p>
    <w:p w14:paraId="273C3CE6" w14:textId="77777777" w:rsidR="00894070" w:rsidRDefault="009B7AFD">
      <w:pPr>
        <w:pStyle w:val="ListParagraph"/>
        <w:numPr>
          <w:ilvl w:val="0"/>
          <w:numId w:val="100"/>
        </w:numPr>
        <w:tabs>
          <w:tab w:val="left" w:pos="1800"/>
          <w:tab w:val="left" w:pos="1802"/>
        </w:tabs>
        <w:spacing w:before="2" w:line="213" w:lineRule="auto"/>
        <w:ind w:left="1007" w:right="5568" w:firstLine="0"/>
        <w:rPr>
          <w:sz w:val="13"/>
        </w:rPr>
      </w:pPr>
      <w:r>
        <w:rPr>
          <w:i/>
          <w:color w:val="231F20"/>
          <w:sz w:val="13"/>
        </w:rPr>
        <w:t xml:space="preserve">Personal Safety Intervention Orders Act 2010 </w:t>
      </w:r>
      <w:r>
        <w:rPr>
          <w:color w:val="231F20"/>
          <w:sz w:val="13"/>
        </w:rPr>
        <w:t>(Vic) s 10(1)(a).  9</w:t>
      </w:r>
      <w:r>
        <w:rPr>
          <w:color w:val="231F20"/>
          <w:sz w:val="13"/>
        </w:rPr>
        <w:tab/>
        <w:t>Ibid s 10(1)(b).</w:t>
      </w:r>
    </w:p>
    <w:p w14:paraId="4CF91706" w14:textId="77777777" w:rsidR="00894070" w:rsidRDefault="009B7AFD">
      <w:pPr>
        <w:tabs>
          <w:tab w:val="left" w:pos="1801"/>
        </w:tabs>
        <w:spacing w:line="213" w:lineRule="auto"/>
        <w:ind w:left="1801" w:right="1459" w:hanging="794"/>
        <w:rPr>
          <w:sz w:val="13"/>
        </w:rPr>
      </w:pPr>
      <w:r>
        <w:rPr>
          <w:color w:val="231F20"/>
          <w:sz w:val="13"/>
        </w:rPr>
        <w:t>10</w:t>
      </w:r>
      <w:r>
        <w:rPr>
          <w:color w:val="231F20"/>
          <w:sz w:val="13"/>
        </w:rPr>
        <w:tab/>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xi, in relation to </w:t>
      </w:r>
      <w:r>
        <w:rPr>
          <w:color w:val="231F20"/>
          <w:spacing w:val="2"/>
          <w:sz w:val="13"/>
        </w:rPr>
        <w:t xml:space="preserve">PSIOs </w:t>
      </w:r>
      <w:r>
        <w:rPr>
          <w:color w:val="231F20"/>
          <w:sz w:val="13"/>
        </w:rPr>
        <w:t>made in the Magistrates’</w:t>
      </w:r>
      <w:r>
        <w:rPr>
          <w:color w:val="231F20"/>
          <w:spacing w:val="1"/>
          <w:sz w:val="13"/>
        </w:rPr>
        <w:t xml:space="preserve"> </w:t>
      </w:r>
      <w:r>
        <w:rPr>
          <w:color w:val="231F20"/>
          <w:spacing w:val="2"/>
          <w:sz w:val="13"/>
        </w:rPr>
        <w:t>Court.</w:t>
      </w:r>
    </w:p>
    <w:p w14:paraId="0AF5285C" w14:textId="77777777" w:rsidR="00894070" w:rsidRDefault="009B7AFD">
      <w:pPr>
        <w:tabs>
          <w:tab w:val="left" w:pos="1801"/>
        </w:tabs>
        <w:spacing w:line="153" w:lineRule="exact"/>
        <w:ind w:left="1007"/>
        <w:rPr>
          <w:sz w:val="13"/>
        </w:rPr>
      </w:pPr>
      <w:r>
        <w:rPr>
          <w:color w:val="231F20"/>
          <w:sz w:val="13"/>
        </w:rPr>
        <w:t>11</w:t>
      </w:r>
      <w:r>
        <w:rPr>
          <w:color w:val="231F20"/>
          <w:sz w:val="13"/>
        </w:rPr>
        <w:tab/>
        <w:t>Ibid [10.3].</w:t>
      </w:r>
    </w:p>
    <w:p w14:paraId="7A1A0977" w14:textId="77777777" w:rsidR="00894070" w:rsidRDefault="009F6793">
      <w:pPr>
        <w:pStyle w:val="ListParagraph"/>
        <w:numPr>
          <w:ilvl w:val="0"/>
          <w:numId w:val="99"/>
        </w:numPr>
        <w:tabs>
          <w:tab w:val="left" w:pos="1801"/>
          <w:tab w:val="left" w:pos="1802"/>
        </w:tabs>
        <w:spacing w:line="160" w:lineRule="exact"/>
        <w:rPr>
          <w:sz w:val="13"/>
        </w:rPr>
      </w:pPr>
      <w:r>
        <w:pict w14:anchorId="77C73544">
          <v:shape id="_x0000_s1356" type="#_x0000_t202" style="position:absolute;left:0;text-align:left;margin-left:548.85pt;margin-top:3.7pt;width:13.55pt;height:14.1pt;z-index:251711488;mso-position-horizontal-relative:page" filled="f" stroked="f">
            <v:textbox inset="0,0,0,0">
              <w:txbxContent>
                <w:p w14:paraId="24C57A1C" w14:textId="77777777" w:rsidR="00894070" w:rsidRDefault="009B7AFD">
                  <w:pPr>
                    <w:spacing w:line="282" w:lineRule="exact"/>
                    <w:rPr>
                      <w:b/>
                      <w:sz w:val="24"/>
                    </w:rPr>
                  </w:pPr>
                  <w:r>
                    <w:rPr>
                      <w:b/>
                      <w:color w:val="EA5B50"/>
                      <w:spacing w:val="-3"/>
                      <w:sz w:val="24"/>
                    </w:rPr>
                    <w:t>97</w:t>
                  </w:r>
                </w:p>
              </w:txbxContent>
            </v:textbox>
            <w10:wrap anchorx="page"/>
          </v:shape>
        </w:pict>
      </w:r>
      <w:r w:rsidR="009B7AFD">
        <w:rPr>
          <w:i/>
          <w:color w:val="231F20"/>
          <w:sz w:val="13"/>
        </w:rPr>
        <w:t xml:space="preserve">Personal Safety Intervention Orders Act 2010 </w:t>
      </w:r>
      <w:r w:rsidR="009B7AFD">
        <w:rPr>
          <w:color w:val="231F20"/>
          <w:sz w:val="13"/>
        </w:rPr>
        <w:t>(Vic) s</w:t>
      </w:r>
      <w:r w:rsidR="009B7AFD">
        <w:rPr>
          <w:color w:val="231F20"/>
          <w:spacing w:val="2"/>
          <w:sz w:val="13"/>
        </w:rPr>
        <w:t xml:space="preserve"> </w:t>
      </w:r>
      <w:r w:rsidR="009B7AFD">
        <w:rPr>
          <w:color w:val="231F20"/>
          <w:spacing w:val="3"/>
          <w:sz w:val="13"/>
        </w:rPr>
        <w:t>15.</w:t>
      </w:r>
    </w:p>
    <w:p w14:paraId="53EA1556" w14:textId="77777777" w:rsidR="00894070" w:rsidRDefault="009B7AFD">
      <w:pPr>
        <w:pStyle w:val="ListParagraph"/>
        <w:numPr>
          <w:ilvl w:val="0"/>
          <w:numId w:val="99"/>
        </w:numPr>
        <w:tabs>
          <w:tab w:val="left" w:pos="1801"/>
          <w:tab w:val="left" w:pos="1802"/>
        </w:tabs>
        <w:spacing w:line="170" w:lineRule="exact"/>
        <w:rPr>
          <w:sz w:val="13"/>
        </w:rPr>
      </w:pPr>
      <w:r>
        <w:rPr>
          <w:color w:val="231F20"/>
          <w:sz w:val="13"/>
        </w:rPr>
        <w:t>Ibid ss 102–4.</w:t>
      </w:r>
    </w:p>
    <w:p w14:paraId="56416EDD" w14:textId="77777777" w:rsidR="00894070" w:rsidRDefault="00894070">
      <w:pPr>
        <w:spacing w:line="170" w:lineRule="exact"/>
        <w:rPr>
          <w:sz w:val="13"/>
        </w:rPr>
        <w:sectPr w:rsidR="00894070">
          <w:headerReference w:type="even" r:id="rId155"/>
          <w:headerReference w:type="default" r:id="rId156"/>
          <w:pgSz w:w="11910" w:h="16840"/>
          <w:pgMar w:top="840" w:right="420" w:bottom="280" w:left="580" w:header="0" w:footer="0" w:gutter="0"/>
          <w:cols w:space="720"/>
        </w:sectPr>
      </w:pPr>
    </w:p>
    <w:p w14:paraId="27470055" w14:textId="77777777" w:rsidR="00894070" w:rsidRDefault="00894070">
      <w:pPr>
        <w:pStyle w:val="BodyText"/>
      </w:pPr>
    </w:p>
    <w:p w14:paraId="69E493DE" w14:textId="77777777" w:rsidR="00894070" w:rsidRDefault="00894070">
      <w:pPr>
        <w:pStyle w:val="BodyText"/>
      </w:pPr>
    </w:p>
    <w:p w14:paraId="0109A76F" w14:textId="77777777" w:rsidR="00894070" w:rsidRDefault="00894070">
      <w:pPr>
        <w:pStyle w:val="BodyText"/>
      </w:pPr>
    </w:p>
    <w:p w14:paraId="6A69037F" w14:textId="77777777" w:rsidR="00894070" w:rsidRDefault="00894070">
      <w:pPr>
        <w:pStyle w:val="BodyText"/>
        <w:spacing w:before="7"/>
        <w:rPr>
          <w:sz w:val="16"/>
        </w:rPr>
      </w:pPr>
    </w:p>
    <w:p w14:paraId="59B8057D" w14:textId="77777777" w:rsidR="00894070" w:rsidRDefault="009B7AFD">
      <w:pPr>
        <w:pStyle w:val="ListParagraph"/>
        <w:numPr>
          <w:ilvl w:val="1"/>
          <w:numId w:val="102"/>
        </w:numPr>
        <w:tabs>
          <w:tab w:val="left" w:pos="1801"/>
          <w:tab w:val="left" w:pos="1802"/>
        </w:tabs>
        <w:spacing w:line="259" w:lineRule="exact"/>
        <w:rPr>
          <w:sz w:val="20"/>
        </w:rPr>
      </w:pPr>
      <w:bookmarkStart w:id="117" w:name="_bookmark66"/>
      <w:bookmarkEnd w:id="117"/>
      <w:r>
        <w:rPr>
          <w:color w:val="231F20"/>
          <w:sz w:val="20"/>
        </w:rPr>
        <w:t>After</w:t>
      </w:r>
      <w:r>
        <w:rPr>
          <w:color w:val="231F20"/>
          <w:spacing w:val="-5"/>
          <w:sz w:val="20"/>
        </w:rPr>
        <w:t xml:space="preserve"> </w:t>
      </w:r>
      <w:r>
        <w:rPr>
          <w:color w:val="231F20"/>
          <w:sz w:val="20"/>
        </w:rPr>
        <w:t>a</w:t>
      </w:r>
      <w:r>
        <w:rPr>
          <w:color w:val="231F20"/>
          <w:spacing w:val="-5"/>
          <w:sz w:val="20"/>
        </w:rPr>
        <w:t xml:space="preserve"> </w:t>
      </w:r>
      <w:r>
        <w:rPr>
          <w:color w:val="231F20"/>
          <w:sz w:val="20"/>
        </w:rPr>
        <w:t>PSIO</w:t>
      </w:r>
      <w:r>
        <w:rPr>
          <w:color w:val="231F20"/>
          <w:spacing w:val="-5"/>
          <w:sz w:val="20"/>
        </w:rPr>
        <w:t xml:space="preserve"> </w:t>
      </w:r>
      <w:r>
        <w:rPr>
          <w:color w:val="231F20"/>
          <w:sz w:val="20"/>
        </w:rPr>
        <w:t>is</w:t>
      </w:r>
      <w:r>
        <w:rPr>
          <w:color w:val="231F20"/>
          <w:spacing w:val="-5"/>
          <w:sz w:val="20"/>
        </w:rPr>
        <w:t xml:space="preserve"> </w:t>
      </w:r>
      <w:r>
        <w:rPr>
          <w:color w:val="231F20"/>
          <w:sz w:val="20"/>
        </w:rPr>
        <w:t>applied</w:t>
      </w:r>
      <w:r>
        <w:rPr>
          <w:color w:val="231F20"/>
          <w:spacing w:val="-4"/>
          <w:sz w:val="20"/>
        </w:rPr>
        <w:t xml:space="preserve"> </w:t>
      </w:r>
      <w:r>
        <w:rPr>
          <w:color w:val="231F20"/>
          <w:spacing w:val="-6"/>
          <w:sz w:val="20"/>
        </w:rPr>
        <w:t>for,</w:t>
      </w:r>
      <w:r>
        <w:rPr>
          <w:color w:val="231F20"/>
          <w:spacing w:val="-5"/>
          <w:sz w:val="20"/>
        </w:rPr>
        <w:t xml:space="preserve"> </w:t>
      </w:r>
      <w:r>
        <w:rPr>
          <w:color w:val="231F20"/>
          <w:sz w:val="20"/>
        </w:rPr>
        <w:t>a</w:t>
      </w:r>
      <w:r>
        <w:rPr>
          <w:color w:val="231F20"/>
          <w:spacing w:val="-5"/>
          <w:sz w:val="20"/>
        </w:rPr>
        <w:t xml:space="preserve"> </w:t>
      </w:r>
      <w:r>
        <w:rPr>
          <w:color w:val="231F20"/>
          <w:sz w:val="20"/>
        </w:rPr>
        <w:t>court</w:t>
      </w:r>
      <w:r>
        <w:rPr>
          <w:color w:val="231F20"/>
          <w:spacing w:val="-5"/>
          <w:sz w:val="20"/>
        </w:rPr>
        <w:t xml:space="preserve"> </w:t>
      </w:r>
      <w:r>
        <w:rPr>
          <w:color w:val="231F20"/>
          <w:spacing w:val="-3"/>
          <w:sz w:val="20"/>
        </w:rPr>
        <w:t>may</w:t>
      </w:r>
      <w:r>
        <w:rPr>
          <w:color w:val="231F20"/>
          <w:spacing w:val="-5"/>
          <w:sz w:val="20"/>
        </w:rPr>
        <w:t xml:space="preserve"> </w:t>
      </w:r>
      <w:r>
        <w:rPr>
          <w:color w:val="231F20"/>
          <w:sz w:val="20"/>
        </w:rPr>
        <w:t>make</w:t>
      </w:r>
      <w:r>
        <w:rPr>
          <w:color w:val="231F20"/>
          <w:spacing w:val="-5"/>
          <w:sz w:val="20"/>
        </w:rPr>
        <w:t xml:space="preserve"> </w:t>
      </w:r>
      <w:r>
        <w:rPr>
          <w:color w:val="231F20"/>
          <w:sz w:val="20"/>
        </w:rPr>
        <w:t>an</w:t>
      </w:r>
      <w:r>
        <w:rPr>
          <w:color w:val="231F20"/>
          <w:spacing w:val="-4"/>
          <w:sz w:val="20"/>
        </w:rPr>
        <w:t xml:space="preserve"> </w:t>
      </w:r>
      <w:r>
        <w:rPr>
          <w:color w:val="231F20"/>
          <w:spacing w:val="-3"/>
          <w:sz w:val="20"/>
        </w:rPr>
        <w:t>‘interim</w:t>
      </w:r>
      <w:r>
        <w:rPr>
          <w:color w:val="231F20"/>
          <w:spacing w:val="-5"/>
          <w:sz w:val="20"/>
        </w:rPr>
        <w:t xml:space="preserve"> </w:t>
      </w:r>
      <w:r>
        <w:rPr>
          <w:color w:val="231F20"/>
          <w:sz w:val="20"/>
        </w:rPr>
        <w:t>PSIO’</w:t>
      </w:r>
      <w:r>
        <w:rPr>
          <w:color w:val="231F20"/>
          <w:spacing w:val="-5"/>
          <w:sz w:val="20"/>
        </w:rPr>
        <w:t xml:space="preserve"> </w:t>
      </w:r>
      <w:r>
        <w:rPr>
          <w:color w:val="231F20"/>
          <w:sz w:val="20"/>
        </w:rPr>
        <w:t>if</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4"/>
          <w:sz w:val="20"/>
        </w:rPr>
        <w:t xml:space="preserve"> </w:t>
      </w:r>
      <w:r>
        <w:rPr>
          <w:color w:val="231F20"/>
          <w:sz w:val="20"/>
        </w:rPr>
        <w:t>balance</w:t>
      </w:r>
      <w:r>
        <w:rPr>
          <w:color w:val="231F20"/>
          <w:spacing w:val="-5"/>
          <w:sz w:val="20"/>
        </w:rPr>
        <w:t xml:space="preserve"> </w:t>
      </w:r>
      <w:r>
        <w:rPr>
          <w:color w:val="231F20"/>
          <w:sz w:val="20"/>
        </w:rPr>
        <w:t>of</w:t>
      </w:r>
    </w:p>
    <w:p w14:paraId="03B7765D" w14:textId="77777777" w:rsidR="00894070" w:rsidRDefault="009B7AFD">
      <w:pPr>
        <w:pStyle w:val="BodyText"/>
        <w:spacing w:line="259" w:lineRule="exact"/>
        <w:ind w:left="1801"/>
      </w:pPr>
      <w:r>
        <w:rPr>
          <w:color w:val="231F20"/>
        </w:rPr>
        <w:t>probabilities it is needed to:</w:t>
      </w:r>
    </w:p>
    <w:p w14:paraId="30447B1E" w14:textId="77777777" w:rsidR="00894070" w:rsidRDefault="009B7AFD">
      <w:pPr>
        <w:pStyle w:val="ListParagraph"/>
        <w:numPr>
          <w:ilvl w:val="2"/>
          <w:numId w:val="102"/>
        </w:numPr>
        <w:tabs>
          <w:tab w:val="left" w:pos="2141"/>
          <w:tab w:val="left" w:pos="2142"/>
        </w:tabs>
        <w:spacing w:before="82"/>
        <w:ind w:hanging="340"/>
        <w:rPr>
          <w:sz w:val="20"/>
        </w:rPr>
      </w:pPr>
      <w:r>
        <w:rPr>
          <w:color w:val="231F20"/>
          <w:sz w:val="20"/>
        </w:rPr>
        <w:t xml:space="preserve">ensure the safety of the affected </w:t>
      </w:r>
      <w:r>
        <w:rPr>
          <w:color w:val="231F20"/>
          <w:spacing w:val="-3"/>
          <w:sz w:val="20"/>
        </w:rPr>
        <w:t>person(s),</w:t>
      </w:r>
      <w:r>
        <w:rPr>
          <w:color w:val="231F20"/>
          <w:spacing w:val="-32"/>
          <w:sz w:val="20"/>
        </w:rPr>
        <w:t xml:space="preserve"> </w:t>
      </w:r>
      <w:r>
        <w:rPr>
          <w:color w:val="231F20"/>
          <w:sz w:val="20"/>
        </w:rPr>
        <w:t>or</w:t>
      </w:r>
    </w:p>
    <w:p w14:paraId="4E34039E"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 xml:space="preserve">preserve their </w:t>
      </w:r>
      <w:r>
        <w:rPr>
          <w:color w:val="231F20"/>
          <w:spacing w:val="-3"/>
          <w:sz w:val="20"/>
        </w:rPr>
        <w:t>property,</w:t>
      </w:r>
      <w:r>
        <w:rPr>
          <w:color w:val="231F20"/>
          <w:spacing w:val="-13"/>
          <w:sz w:val="20"/>
        </w:rPr>
        <w:t xml:space="preserve"> </w:t>
      </w:r>
      <w:r>
        <w:rPr>
          <w:color w:val="231F20"/>
          <w:sz w:val="20"/>
        </w:rPr>
        <w:t>and</w:t>
      </w:r>
    </w:p>
    <w:p w14:paraId="3C7B9672" w14:textId="77777777" w:rsidR="00894070" w:rsidRDefault="009B7AFD">
      <w:pPr>
        <w:pStyle w:val="ListParagraph"/>
        <w:numPr>
          <w:ilvl w:val="2"/>
          <w:numId w:val="102"/>
        </w:numPr>
        <w:tabs>
          <w:tab w:val="left" w:pos="2141"/>
          <w:tab w:val="left" w:pos="2142"/>
        </w:tabs>
        <w:spacing w:before="47"/>
        <w:ind w:hanging="340"/>
        <w:rPr>
          <w:sz w:val="11"/>
        </w:rPr>
      </w:pPr>
      <w:r>
        <w:rPr>
          <w:color w:val="231F20"/>
          <w:sz w:val="20"/>
        </w:rPr>
        <w:t xml:space="preserve">it is </w:t>
      </w:r>
      <w:r>
        <w:rPr>
          <w:color w:val="231F20"/>
          <w:spacing w:val="-3"/>
          <w:sz w:val="20"/>
        </w:rPr>
        <w:t xml:space="preserve">appropriate </w:t>
      </w:r>
      <w:r>
        <w:rPr>
          <w:color w:val="231F20"/>
          <w:sz w:val="20"/>
        </w:rPr>
        <w:t>in the</w:t>
      </w:r>
      <w:r>
        <w:rPr>
          <w:color w:val="231F20"/>
          <w:spacing w:val="-18"/>
          <w:sz w:val="20"/>
        </w:rPr>
        <w:t xml:space="preserve"> </w:t>
      </w:r>
      <w:r>
        <w:rPr>
          <w:color w:val="231F20"/>
          <w:sz w:val="20"/>
        </w:rPr>
        <w:t>circumstances.</w:t>
      </w:r>
      <w:r>
        <w:rPr>
          <w:color w:val="231F20"/>
          <w:position w:val="7"/>
          <w:sz w:val="11"/>
        </w:rPr>
        <w:t>14</w:t>
      </w:r>
    </w:p>
    <w:p w14:paraId="6C476948" w14:textId="77777777" w:rsidR="00894070" w:rsidRDefault="009B7AFD">
      <w:pPr>
        <w:pStyle w:val="ListParagraph"/>
        <w:numPr>
          <w:ilvl w:val="1"/>
          <w:numId w:val="102"/>
        </w:numPr>
        <w:tabs>
          <w:tab w:val="left" w:pos="1801"/>
          <w:tab w:val="left" w:pos="1802"/>
        </w:tabs>
        <w:spacing w:before="80" w:line="206" w:lineRule="auto"/>
        <w:ind w:right="1166"/>
        <w:rPr>
          <w:sz w:val="20"/>
        </w:rPr>
      </w:pPr>
      <w:r>
        <w:rPr>
          <w:color w:val="231F20"/>
          <w:sz w:val="20"/>
        </w:rPr>
        <w:t>An</w:t>
      </w:r>
      <w:r>
        <w:rPr>
          <w:color w:val="231F20"/>
          <w:spacing w:val="-7"/>
          <w:sz w:val="20"/>
        </w:rPr>
        <w:t xml:space="preserve"> </w:t>
      </w:r>
      <w:r>
        <w:rPr>
          <w:color w:val="231F20"/>
          <w:spacing w:val="-3"/>
          <w:sz w:val="20"/>
        </w:rPr>
        <w:t>interim</w:t>
      </w:r>
      <w:r>
        <w:rPr>
          <w:color w:val="231F20"/>
          <w:spacing w:val="-7"/>
          <w:sz w:val="20"/>
        </w:rPr>
        <w:t xml:space="preserve"> </w:t>
      </w:r>
      <w:r>
        <w:rPr>
          <w:color w:val="231F20"/>
          <w:sz w:val="20"/>
        </w:rPr>
        <w:t>PSIO</w:t>
      </w:r>
      <w:r>
        <w:rPr>
          <w:color w:val="231F20"/>
          <w:spacing w:val="-6"/>
          <w:sz w:val="20"/>
        </w:rPr>
        <w:t xml:space="preserve"> </w:t>
      </w:r>
      <w:r>
        <w:rPr>
          <w:color w:val="231F20"/>
          <w:sz w:val="20"/>
        </w:rPr>
        <w:t>is</w:t>
      </w:r>
      <w:r>
        <w:rPr>
          <w:color w:val="231F20"/>
          <w:spacing w:val="-7"/>
          <w:sz w:val="20"/>
        </w:rPr>
        <w:t xml:space="preserve"> </w:t>
      </w:r>
      <w:r>
        <w:rPr>
          <w:color w:val="231F20"/>
          <w:sz w:val="20"/>
        </w:rPr>
        <w:t>designed</w:t>
      </w:r>
      <w:r>
        <w:rPr>
          <w:color w:val="231F20"/>
          <w:spacing w:val="-6"/>
          <w:sz w:val="20"/>
        </w:rPr>
        <w:t xml:space="preserve"> </w:t>
      </w:r>
      <w:r>
        <w:rPr>
          <w:color w:val="231F20"/>
          <w:sz w:val="20"/>
        </w:rPr>
        <w:t>to</w:t>
      </w:r>
      <w:r>
        <w:rPr>
          <w:color w:val="231F20"/>
          <w:spacing w:val="-7"/>
          <w:sz w:val="20"/>
        </w:rPr>
        <w:t xml:space="preserve"> </w:t>
      </w:r>
      <w:r>
        <w:rPr>
          <w:color w:val="231F20"/>
          <w:spacing w:val="-3"/>
          <w:sz w:val="20"/>
        </w:rPr>
        <w:t>provide</w:t>
      </w:r>
      <w:r>
        <w:rPr>
          <w:color w:val="231F20"/>
          <w:spacing w:val="-7"/>
          <w:sz w:val="20"/>
        </w:rPr>
        <w:t xml:space="preserve"> </w:t>
      </w:r>
      <w:r>
        <w:rPr>
          <w:color w:val="231F20"/>
          <w:sz w:val="20"/>
        </w:rPr>
        <w:t>urgent</w:t>
      </w:r>
      <w:r>
        <w:rPr>
          <w:color w:val="231F20"/>
          <w:spacing w:val="-6"/>
          <w:sz w:val="20"/>
        </w:rPr>
        <w:t xml:space="preserve"> </w:t>
      </w:r>
      <w:r>
        <w:rPr>
          <w:color w:val="231F20"/>
          <w:spacing w:val="-3"/>
          <w:sz w:val="20"/>
        </w:rPr>
        <w:t>short-term</w:t>
      </w:r>
      <w:r>
        <w:rPr>
          <w:color w:val="231F20"/>
          <w:spacing w:val="-7"/>
          <w:sz w:val="20"/>
        </w:rPr>
        <w:t xml:space="preserve"> </w:t>
      </w:r>
      <w:r>
        <w:rPr>
          <w:color w:val="231F20"/>
          <w:sz w:val="20"/>
        </w:rPr>
        <w:t>protection.</w:t>
      </w:r>
      <w:r>
        <w:rPr>
          <w:color w:val="231F20"/>
          <w:spacing w:val="-6"/>
          <w:sz w:val="20"/>
        </w:rPr>
        <w:t xml:space="preserve"> </w:t>
      </w:r>
      <w:r>
        <w:rPr>
          <w:color w:val="231F20"/>
          <w:sz w:val="20"/>
        </w:rPr>
        <w:t>Its</w:t>
      </w:r>
      <w:r>
        <w:rPr>
          <w:color w:val="231F20"/>
          <w:spacing w:val="-7"/>
          <w:sz w:val="20"/>
        </w:rPr>
        <w:t xml:space="preserve"> </w:t>
      </w:r>
      <w:r>
        <w:rPr>
          <w:color w:val="231F20"/>
          <w:sz w:val="20"/>
        </w:rPr>
        <w:t>aim</w:t>
      </w:r>
      <w:r>
        <w:rPr>
          <w:color w:val="231F20"/>
          <w:spacing w:val="-6"/>
          <w:sz w:val="20"/>
        </w:rPr>
        <w:t xml:space="preserve"> </w:t>
      </w:r>
      <w:r>
        <w:rPr>
          <w:color w:val="231F20"/>
          <w:sz w:val="20"/>
        </w:rPr>
        <w:t>is</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 xml:space="preserve">protect </w:t>
      </w:r>
      <w:r>
        <w:rPr>
          <w:color w:val="231F20"/>
          <w:sz w:val="20"/>
        </w:rPr>
        <w:t>the</w:t>
      </w:r>
      <w:r>
        <w:rPr>
          <w:color w:val="231F20"/>
          <w:spacing w:val="-8"/>
          <w:sz w:val="20"/>
        </w:rPr>
        <w:t xml:space="preserve"> </w:t>
      </w:r>
      <w:r>
        <w:rPr>
          <w:color w:val="231F20"/>
          <w:sz w:val="20"/>
        </w:rPr>
        <w:t>affected</w:t>
      </w:r>
      <w:r>
        <w:rPr>
          <w:color w:val="231F20"/>
          <w:spacing w:val="-8"/>
          <w:sz w:val="20"/>
        </w:rPr>
        <w:t xml:space="preserve"> </w:t>
      </w:r>
      <w:r>
        <w:rPr>
          <w:color w:val="231F20"/>
          <w:sz w:val="20"/>
        </w:rPr>
        <w:t>person</w:t>
      </w:r>
      <w:r>
        <w:rPr>
          <w:color w:val="231F20"/>
          <w:spacing w:val="-8"/>
          <w:sz w:val="20"/>
        </w:rPr>
        <w:t xml:space="preserve"> </w:t>
      </w:r>
      <w:r>
        <w:rPr>
          <w:color w:val="231F20"/>
          <w:sz w:val="20"/>
        </w:rPr>
        <w:t>until</w:t>
      </w:r>
      <w:r>
        <w:rPr>
          <w:color w:val="231F20"/>
          <w:spacing w:val="-8"/>
          <w:sz w:val="20"/>
        </w:rPr>
        <w:t xml:space="preserve"> </w:t>
      </w:r>
      <w:r>
        <w:rPr>
          <w:color w:val="231F20"/>
          <w:sz w:val="20"/>
        </w:rPr>
        <w:t>the</w:t>
      </w:r>
      <w:r>
        <w:rPr>
          <w:color w:val="231F20"/>
          <w:spacing w:val="-8"/>
          <w:sz w:val="20"/>
        </w:rPr>
        <w:t xml:space="preserve"> </w:t>
      </w:r>
      <w:r>
        <w:rPr>
          <w:color w:val="231F20"/>
          <w:sz w:val="20"/>
        </w:rPr>
        <w:t>court</w:t>
      </w:r>
      <w:r>
        <w:rPr>
          <w:color w:val="231F20"/>
          <w:spacing w:val="-7"/>
          <w:sz w:val="20"/>
        </w:rPr>
        <w:t xml:space="preserve"> </w:t>
      </w:r>
      <w:r>
        <w:rPr>
          <w:color w:val="231F20"/>
          <w:sz w:val="20"/>
        </w:rPr>
        <w:t>can</w:t>
      </w:r>
      <w:r>
        <w:rPr>
          <w:color w:val="231F20"/>
          <w:spacing w:val="-8"/>
          <w:sz w:val="20"/>
        </w:rPr>
        <w:t xml:space="preserve"> </w:t>
      </w:r>
      <w:r>
        <w:rPr>
          <w:color w:val="231F20"/>
          <w:sz w:val="20"/>
        </w:rPr>
        <w:t>consider</w:t>
      </w:r>
      <w:r>
        <w:rPr>
          <w:color w:val="231F20"/>
          <w:spacing w:val="-8"/>
          <w:sz w:val="20"/>
        </w:rPr>
        <w:t xml:space="preserve"> </w:t>
      </w:r>
      <w:r>
        <w:rPr>
          <w:color w:val="231F20"/>
          <w:sz w:val="20"/>
        </w:rPr>
        <w:t>whether</w:t>
      </w:r>
      <w:r>
        <w:rPr>
          <w:color w:val="231F20"/>
          <w:spacing w:val="-8"/>
          <w:sz w:val="20"/>
        </w:rPr>
        <w:t xml:space="preserve"> </w:t>
      </w:r>
      <w:r>
        <w:rPr>
          <w:color w:val="231F20"/>
          <w:sz w:val="20"/>
        </w:rPr>
        <w:t>to</w:t>
      </w:r>
      <w:r>
        <w:rPr>
          <w:color w:val="231F20"/>
          <w:spacing w:val="-8"/>
          <w:sz w:val="20"/>
        </w:rPr>
        <w:t xml:space="preserve"> </w:t>
      </w:r>
      <w:r>
        <w:rPr>
          <w:color w:val="231F20"/>
          <w:sz w:val="20"/>
        </w:rPr>
        <w:t>make</w:t>
      </w:r>
      <w:r>
        <w:rPr>
          <w:color w:val="231F20"/>
          <w:spacing w:val="-7"/>
          <w:sz w:val="20"/>
        </w:rPr>
        <w:t xml:space="preserve"> </w:t>
      </w:r>
      <w:r>
        <w:rPr>
          <w:color w:val="231F20"/>
          <w:sz w:val="20"/>
        </w:rPr>
        <w:t>a</w:t>
      </w:r>
      <w:r>
        <w:rPr>
          <w:color w:val="231F20"/>
          <w:spacing w:val="-8"/>
          <w:sz w:val="20"/>
        </w:rPr>
        <w:t xml:space="preserve"> </w:t>
      </w:r>
      <w:r>
        <w:rPr>
          <w:color w:val="231F20"/>
          <w:sz w:val="20"/>
        </w:rPr>
        <w:t>final</w:t>
      </w:r>
      <w:r>
        <w:rPr>
          <w:color w:val="231F20"/>
          <w:spacing w:val="-8"/>
          <w:sz w:val="20"/>
        </w:rPr>
        <w:t xml:space="preserve"> </w:t>
      </w:r>
      <w:r>
        <w:rPr>
          <w:color w:val="231F20"/>
          <w:spacing w:val="-4"/>
          <w:sz w:val="20"/>
        </w:rPr>
        <w:t>order.</w:t>
      </w:r>
      <w:r>
        <w:rPr>
          <w:color w:val="231F20"/>
          <w:spacing w:val="-8"/>
          <w:sz w:val="20"/>
        </w:rPr>
        <w:t xml:space="preserve"> </w:t>
      </w:r>
      <w:r>
        <w:rPr>
          <w:color w:val="231F20"/>
          <w:spacing w:val="-3"/>
          <w:sz w:val="20"/>
        </w:rPr>
        <w:t>For</w:t>
      </w:r>
    </w:p>
    <w:p w14:paraId="0A9ECF25" w14:textId="77777777" w:rsidR="00894070" w:rsidRDefault="009B7AFD">
      <w:pPr>
        <w:pStyle w:val="BodyText"/>
        <w:spacing w:before="2" w:line="206" w:lineRule="auto"/>
        <w:ind w:left="1801" w:right="1493"/>
        <w:jc w:val="both"/>
        <w:rPr>
          <w:sz w:val="11"/>
        </w:rPr>
      </w:pPr>
      <w:r>
        <w:rPr>
          <w:color w:val="231F20"/>
        </w:rPr>
        <w:t>this</w:t>
      </w:r>
      <w:r>
        <w:rPr>
          <w:color w:val="231F20"/>
          <w:spacing w:val="-9"/>
        </w:rPr>
        <w:t xml:space="preserve"> </w:t>
      </w:r>
      <w:r>
        <w:rPr>
          <w:color w:val="231F20"/>
        </w:rPr>
        <w:t>reason,</w:t>
      </w:r>
      <w:r>
        <w:rPr>
          <w:color w:val="231F20"/>
          <w:spacing w:val="-8"/>
        </w:rPr>
        <w:t xml:space="preserve"> </w:t>
      </w:r>
      <w:r>
        <w:rPr>
          <w:color w:val="231F20"/>
          <w:spacing w:val="-3"/>
        </w:rPr>
        <w:t>interim</w:t>
      </w:r>
      <w:r>
        <w:rPr>
          <w:color w:val="231F20"/>
          <w:spacing w:val="-8"/>
        </w:rPr>
        <w:t xml:space="preserve"> </w:t>
      </w:r>
      <w:r>
        <w:rPr>
          <w:color w:val="231F20"/>
        </w:rPr>
        <w:t>orders</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made</w:t>
      </w:r>
      <w:r>
        <w:rPr>
          <w:color w:val="231F20"/>
          <w:spacing w:val="-8"/>
        </w:rPr>
        <w:t xml:space="preserve"> </w:t>
      </w:r>
      <w:r>
        <w:rPr>
          <w:color w:val="231F20"/>
        </w:rPr>
        <w:t>without</w:t>
      </w:r>
      <w:r>
        <w:rPr>
          <w:color w:val="231F20"/>
          <w:spacing w:val="-8"/>
        </w:rPr>
        <w:t xml:space="preserve"> </w:t>
      </w:r>
      <w:r>
        <w:rPr>
          <w:color w:val="231F20"/>
        </w:rPr>
        <w:t>serving</w:t>
      </w:r>
      <w:r>
        <w:rPr>
          <w:color w:val="231F20"/>
          <w:spacing w:val="-8"/>
        </w:rPr>
        <w:t xml:space="preserve"> </w:t>
      </w:r>
      <w:r>
        <w:rPr>
          <w:color w:val="231F20"/>
        </w:rPr>
        <w:t>a</w:t>
      </w:r>
      <w:r>
        <w:rPr>
          <w:color w:val="231F20"/>
          <w:spacing w:val="-8"/>
        </w:rPr>
        <w:t xml:space="preserve"> </w:t>
      </w:r>
      <w:r>
        <w:rPr>
          <w:color w:val="231F20"/>
          <w:spacing w:val="-3"/>
        </w:rPr>
        <w:t>copy</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application</w:t>
      </w:r>
      <w:r>
        <w:rPr>
          <w:color w:val="231F20"/>
          <w:spacing w:val="-8"/>
        </w:rPr>
        <w:t xml:space="preserve"> </w:t>
      </w:r>
      <w:r>
        <w:rPr>
          <w:color w:val="231F20"/>
        </w:rPr>
        <w:t>to the</w:t>
      </w:r>
      <w:r>
        <w:rPr>
          <w:color w:val="231F20"/>
          <w:spacing w:val="-8"/>
        </w:rPr>
        <w:t xml:space="preserve"> </w:t>
      </w:r>
      <w:r>
        <w:rPr>
          <w:color w:val="231F20"/>
        </w:rPr>
        <w:t>respondent</w:t>
      </w:r>
      <w:r>
        <w:rPr>
          <w:color w:val="231F20"/>
          <w:spacing w:val="-8"/>
        </w:rPr>
        <w:t xml:space="preserve"> </w:t>
      </w:r>
      <w:r>
        <w:rPr>
          <w:color w:val="231F20"/>
        </w:rPr>
        <w:t>and</w:t>
      </w:r>
      <w:r>
        <w:rPr>
          <w:color w:val="231F20"/>
          <w:spacing w:val="-8"/>
        </w:rPr>
        <w:t xml:space="preserve"> </w:t>
      </w:r>
      <w:r>
        <w:rPr>
          <w:color w:val="231F20"/>
        </w:rPr>
        <w:t>without</w:t>
      </w:r>
      <w:r>
        <w:rPr>
          <w:color w:val="231F20"/>
          <w:spacing w:val="-8"/>
        </w:rPr>
        <w:t xml:space="preserve"> </w:t>
      </w:r>
      <w:r>
        <w:rPr>
          <w:color w:val="231F20"/>
        </w:rPr>
        <w:t>them</w:t>
      </w:r>
      <w:r>
        <w:rPr>
          <w:color w:val="231F20"/>
          <w:spacing w:val="-8"/>
        </w:rPr>
        <w:t xml:space="preserve"> </w:t>
      </w:r>
      <w:r>
        <w:rPr>
          <w:color w:val="231F20"/>
        </w:rPr>
        <w:t>being</w:t>
      </w:r>
      <w:r>
        <w:rPr>
          <w:color w:val="231F20"/>
          <w:spacing w:val="-8"/>
        </w:rPr>
        <w:t xml:space="preserve"> </w:t>
      </w:r>
      <w:r>
        <w:rPr>
          <w:color w:val="231F20"/>
          <w:spacing w:val="-3"/>
        </w:rPr>
        <w:t>present</w:t>
      </w:r>
      <w:r>
        <w:rPr>
          <w:color w:val="231F20"/>
          <w:spacing w:val="-8"/>
        </w:rPr>
        <w:t xml:space="preserve"> </w:t>
      </w:r>
      <w:r>
        <w:rPr>
          <w:color w:val="231F20"/>
        </w:rPr>
        <w:t>when</w:t>
      </w:r>
      <w:r>
        <w:rPr>
          <w:color w:val="231F20"/>
          <w:spacing w:val="-8"/>
        </w:rPr>
        <w:t xml:space="preserve"> </w:t>
      </w:r>
      <w:r>
        <w:rPr>
          <w:color w:val="231F20"/>
        </w:rPr>
        <w:t>the</w:t>
      </w:r>
      <w:r>
        <w:rPr>
          <w:color w:val="231F20"/>
          <w:spacing w:val="-7"/>
        </w:rPr>
        <w:t xml:space="preserve"> </w:t>
      </w:r>
      <w:r>
        <w:rPr>
          <w:color w:val="231F20"/>
          <w:spacing w:val="-3"/>
        </w:rPr>
        <w:t>interim</w:t>
      </w:r>
      <w:r>
        <w:rPr>
          <w:color w:val="231F20"/>
          <w:spacing w:val="-8"/>
        </w:rPr>
        <w:t xml:space="preserve"> </w:t>
      </w:r>
      <w:r>
        <w:rPr>
          <w:color w:val="231F20"/>
        </w:rPr>
        <w:t>order</w:t>
      </w:r>
      <w:r>
        <w:rPr>
          <w:color w:val="231F20"/>
          <w:spacing w:val="-8"/>
        </w:rPr>
        <w:t xml:space="preserve"> </w:t>
      </w:r>
      <w:r>
        <w:rPr>
          <w:color w:val="231F20"/>
        </w:rPr>
        <w:t>is</w:t>
      </w:r>
      <w:r>
        <w:rPr>
          <w:color w:val="231F20"/>
          <w:spacing w:val="-8"/>
        </w:rPr>
        <w:t xml:space="preserve"> </w:t>
      </w:r>
      <w:r>
        <w:rPr>
          <w:color w:val="231F20"/>
        </w:rPr>
        <w:t>made</w:t>
      </w:r>
      <w:r>
        <w:rPr>
          <w:color w:val="231F20"/>
          <w:spacing w:val="-8"/>
        </w:rPr>
        <w:t xml:space="preserve"> </w:t>
      </w:r>
      <w:r>
        <w:rPr>
          <w:color w:val="231F20"/>
          <w:spacing w:val="-3"/>
        </w:rPr>
        <w:t xml:space="preserve">(‘ex </w:t>
      </w:r>
      <w:r>
        <w:rPr>
          <w:color w:val="231F20"/>
        </w:rPr>
        <w:t>parte’).</w:t>
      </w:r>
      <w:r>
        <w:rPr>
          <w:color w:val="231F20"/>
          <w:position w:val="7"/>
          <w:sz w:val="11"/>
        </w:rPr>
        <w:t>15</w:t>
      </w:r>
    </w:p>
    <w:p w14:paraId="097D65C8" w14:textId="77777777" w:rsidR="00894070" w:rsidRDefault="009B7AFD">
      <w:pPr>
        <w:pStyle w:val="ListParagraph"/>
        <w:numPr>
          <w:ilvl w:val="1"/>
          <w:numId w:val="102"/>
        </w:numPr>
        <w:tabs>
          <w:tab w:val="left" w:pos="1801"/>
          <w:tab w:val="left" w:pos="1802"/>
        </w:tabs>
        <w:spacing w:before="92"/>
        <w:rPr>
          <w:sz w:val="11"/>
        </w:rPr>
      </w:pPr>
      <w:r>
        <w:rPr>
          <w:color w:val="231F20"/>
          <w:sz w:val="20"/>
        </w:rPr>
        <w:t>The</w:t>
      </w:r>
      <w:r>
        <w:rPr>
          <w:color w:val="231F20"/>
          <w:spacing w:val="-5"/>
          <w:sz w:val="20"/>
        </w:rPr>
        <w:t xml:space="preserve"> </w:t>
      </w:r>
      <w:r>
        <w:rPr>
          <w:color w:val="231F20"/>
          <w:sz w:val="20"/>
        </w:rPr>
        <w:t>court</w:t>
      </w:r>
      <w:r>
        <w:rPr>
          <w:color w:val="231F20"/>
          <w:spacing w:val="-4"/>
          <w:sz w:val="20"/>
        </w:rPr>
        <w:t xml:space="preserve"> </w:t>
      </w:r>
      <w:r>
        <w:rPr>
          <w:color w:val="231F20"/>
          <w:sz w:val="20"/>
        </w:rPr>
        <w:t>can</w:t>
      </w:r>
      <w:r>
        <w:rPr>
          <w:color w:val="231F20"/>
          <w:spacing w:val="-5"/>
          <w:sz w:val="20"/>
        </w:rPr>
        <w:t xml:space="preserve"> </w:t>
      </w:r>
      <w:r>
        <w:rPr>
          <w:color w:val="231F20"/>
          <w:sz w:val="20"/>
        </w:rPr>
        <w:t>also</w:t>
      </w:r>
      <w:r>
        <w:rPr>
          <w:color w:val="231F20"/>
          <w:spacing w:val="-4"/>
          <w:sz w:val="20"/>
        </w:rPr>
        <w:t xml:space="preserve"> </w:t>
      </w:r>
      <w:r>
        <w:rPr>
          <w:color w:val="231F20"/>
          <w:sz w:val="20"/>
        </w:rPr>
        <w:t>make</w:t>
      </w:r>
      <w:r>
        <w:rPr>
          <w:color w:val="231F20"/>
          <w:spacing w:val="-5"/>
          <w:sz w:val="20"/>
        </w:rPr>
        <w:t xml:space="preserve"> </w:t>
      </w:r>
      <w:r>
        <w:rPr>
          <w:color w:val="231F20"/>
          <w:sz w:val="20"/>
        </w:rPr>
        <w:t>an</w:t>
      </w:r>
      <w:r>
        <w:rPr>
          <w:color w:val="231F20"/>
          <w:spacing w:val="-4"/>
          <w:sz w:val="20"/>
        </w:rPr>
        <w:t xml:space="preserve"> </w:t>
      </w:r>
      <w:r>
        <w:rPr>
          <w:color w:val="231F20"/>
          <w:spacing w:val="-3"/>
          <w:sz w:val="20"/>
        </w:rPr>
        <w:t>interim</w:t>
      </w:r>
      <w:r>
        <w:rPr>
          <w:color w:val="231F20"/>
          <w:spacing w:val="-5"/>
          <w:sz w:val="20"/>
        </w:rPr>
        <w:t xml:space="preserve"> </w:t>
      </w:r>
      <w:r>
        <w:rPr>
          <w:color w:val="231F20"/>
          <w:sz w:val="20"/>
        </w:rPr>
        <w:t>PSIO</w:t>
      </w:r>
      <w:r>
        <w:rPr>
          <w:color w:val="231F20"/>
          <w:spacing w:val="-4"/>
          <w:sz w:val="20"/>
        </w:rPr>
        <w:t xml:space="preserve"> </w:t>
      </w:r>
      <w:r>
        <w:rPr>
          <w:color w:val="231F20"/>
          <w:sz w:val="20"/>
        </w:rPr>
        <w:t>if</w:t>
      </w:r>
      <w:r>
        <w:rPr>
          <w:color w:val="231F20"/>
          <w:spacing w:val="-5"/>
          <w:sz w:val="20"/>
        </w:rPr>
        <w:t xml:space="preserve"> </w:t>
      </w:r>
      <w:r>
        <w:rPr>
          <w:color w:val="231F20"/>
          <w:sz w:val="20"/>
        </w:rPr>
        <w:t>the</w:t>
      </w:r>
      <w:r>
        <w:rPr>
          <w:color w:val="231F20"/>
          <w:spacing w:val="-4"/>
          <w:sz w:val="20"/>
        </w:rPr>
        <w:t xml:space="preserve"> </w:t>
      </w:r>
      <w:r>
        <w:rPr>
          <w:color w:val="231F20"/>
          <w:sz w:val="20"/>
        </w:rPr>
        <w:t>parties</w:t>
      </w:r>
      <w:r>
        <w:rPr>
          <w:color w:val="231F20"/>
          <w:spacing w:val="-5"/>
          <w:sz w:val="20"/>
        </w:rPr>
        <w:t xml:space="preserve"> </w:t>
      </w:r>
      <w:r>
        <w:rPr>
          <w:color w:val="231F20"/>
          <w:sz w:val="20"/>
        </w:rPr>
        <w:t>agree</w:t>
      </w:r>
      <w:r>
        <w:rPr>
          <w:color w:val="231F20"/>
          <w:spacing w:val="-4"/>
          <w:sz w:val="20"/>
        </w:rPr>
        <w:t xml:space="preserve"> </w:t>
      </w:r>
      <w:r>
        <w:rPr>
          <w:color w:val="231F20"/>
          <w:sz w:val="20"/>
        </w:rPr>
        <w:t>to</w:t>
      </w:r>
      <w:r>
        <w:rPr>
          <w:color w:val="231F20"/>
          <w:spacing w:val="-5"/>
          <w:sz w:val="20"/>
        </w:rPr>
        <w:t xml:space="preserve"> </w:t>
      </w:r>
      <w:r>
        <w:rPr>
          <w:color w:val="231F20"/>
          <w:sz w:val="20"/>
        </w:rPr>
        <w:t>the</w:t>
      </w:r>
      <w:r>
        <w:rPr>
          <w:color w:val="231F20"/>
          <w:spacing w:val="-4"/>
          <w:sz w:val="20"/>
        </w:rPr>
        <w:t xml:space="preserve"> </w:t>
      </w:r>
      <w:r>
        <w:rPr>
          <w:color w:val="231F20"/>
          <w:spacing w:val="-3"/>
          <w:sz w:val="20"/>
        </w:rPr>
        <w:t>order.</w:t>
      </w:r>
      <w:r>
        <w:rPr>
          <w:color w:val="231F20"/>
          <w:spacing w:val="-3"/>
          <w:position w:val="7"/>
          <w:sz w:val="11"/>
        </w:rPr>
        <w:t>16</w:t>
      </w:r>
    </w:p>
    <w:p w14:paraId="2AB66AFF" w14:textId="77777777" w:rsidR="00894070" w:rsidRDefault="009B7AFD">
      <w:pPr>
        <w:pStyle w:val="ListParagraph"/>
        <w:numPr>
          <w:ilvl w:val="1"/>
          <w:numId w:val="102"/>
        </w:numPr>
        <w:tabs>
          <w:tab w:val="left" w:pos="1801"/>
          <w:tab w:val="left" w:pos="1802"/>
        </w:tabs>
        <w:spacing w:before="114" w:line="206" w:lineRule="auto"/>
        <w:ind w:right="1238"/>
        <w:rPr>
          <w:sz w:val="11"/>
        </w:rPr>
      </w:pPr>
      <w:r>
        <w:rPr>
          <w:color w:val="231F20"/>
          <w:sz w:val="20"/>
        </w:rPr>
        <w:t>The</w:t>
      </w:r>
      <w:r>
        <w:rPr>
          <w:color w:val="231F20"/>
          <w:spacing w:val="-9"/>
          <w:sz w:val="20"/>
        </w:rPr>
        <w:t xml:space="preserve"> </w:t>
      </w:r>
      <w:r>
        <w:rPr>
          <w:color w:val="231F20"/>
          <w:spacing w:val="-3"/>
          <w:sz w:val="20"/>
        </w:rPr>
        <w:t>interim</w:t>
      </w:r>
      <w:r>
        <w:rPr>
          <w:color w:val="231F20"/>
          <w:spacing w:val="-8"/>
          <w:sz w:val="20"/>
        </w:rPr>
        <w:t xml:space="preserve"> </w:t>
      </w:r>
      <w:r>
        <w:rPr>
          <w:color w:val="231F20"/>
          <w:sz w:val="20"/>
        </w:rPr>
        <w:t>PSIO</w:t>
      </w:r>
      <w:r>
        <w:rPr>
          <w:color w:val="231F20"/>
          <w:spacing w:val="-8"/>
          <w:sz w:val="20"/>
        </w:rPr>
        <w:t xml:space="preserve"> </w:t>
      </w:r>
      <w:r>
        <w:rPr>
          <w:color w:val="231F20"/>
          <w:spacing w:val="-3"/>
          <w:sz w:val="20"/>
        </w:rPr>
        <w:t>stays</w:t>
      </w:r>
      <w:r>
        <w:rPr>
          <w:color w:val="231F20"/>
          <w:spacing w:val="-8"/>
          <w:sz w:val="20"/>
        </w:rPr>
        <w:t xml:space="preserve"> </w:t>
      </w:r>
      <w:r>
        <w:rPr>
          <w:color w:val="231F20"/>
          <w:sz w:val="20"/>
        </w:rPr>
        <w:t>in</w:t>
      </w:r>
      <w:r>
        <w:rPr>
          <w:color w:val="231F20"/>
          <w:spacing w:val="-8"/>
          <w:sz w:val="20"/>
        </w:rPr>
        <w:t xml:space="preserve"> </w:t>
      </w:r>
      <w:r>
        <w:rPr>
          <w:color w:val="231F20"/>
          <w:sz w:val="20"/>
        </w:rPr>
        <w:t>effect</w:t>
      </w:r>
      <w:r>
        <w:rPr>
          <w:color w:val="231F20"/>
          <w:spacing w:val="-8"/>
          <w:sz w:val="20"/>
        </w:rPr>
        <w:t xml:space="preserve"> </w:t>
      </w:r>
      <w:r>
        <w:rPr>
          <w:color w:val="231F20"/>
          <w:sz w:val="20"/>
        </w:rPr>
        <w:t>until</w:t>
      </w:r>
      <w:r>
        <w:rPr>
          <w:color w:val="231F20"/>
          <w:spacing w:val="-8"/>
          <w:sz w:val="20"/>
        </w:rPr>
        <w:t xml:space="preserve"> </w:t>
      </w:r>
      <w:r>
        <w:rPr>
          <w:color w:val="231F20"/>
          <w:sz w:val="20"/>
        </w:rPr>
        <w:t>the</w:t>
      </w:r>
      <w:r>
        <w:rPr>
          <w:color w:val="231F20"/>
          <w:spacing w:val="-8"/>
          <w:sz w:val="20"/>
        </w:rPr>
        <w:t xml:space="preserve"> </w:t>
      </w:r>
      <w:r>
        <w:rPr>
          <w:color w:val="231F20"/>
          <w:sz w:val="20"/>
        </w:rPr>
        <w:t>court</w:t>
      </w:r>
      <w:r>
        <w:rPr>
          <w:color w:val="231F20"/>
          <w:spacing w:val="-8"/>
          <w:sz w:val="20"/>
        </w:rPr>
        <w:t xml:space="preserve"> </w:t>
      </w:r>
      <w:r>
        <w:rPr>
          <w:color w:val="231F20"/>
          <w:sz w:val="20"/>
        </w:rPr>
        <w:t>makes</w:t>
      </w:r>
      <w:r>
        <w:rPr>
          <w:color w:val="231F20"/>
          <w:spacing w:val="-8"/>
          <w:sz w:val="20"/>
        </w:rPr>
        <w:t xml:space="preserve"> </w:t>
      </w:r>
      <w:r>
        <w:rPr>
          <w:color w:val="231F20"/>
          <w:sz w:val="20"/>
        </w:rPr>
        <w:t>or</w:t>
      </w:r>
      <w:r>
        <w:rPr>
          <w:color w:val="231F20"/>
          <w:spacing w:val="-9"/>
          <w:sz w:val="20"/>
        </w:rPr>
        <w:t xml:space="preserve"> </w:t>
      </w:r>
      <w:r>
        <w:rPr>
          <w:color w:val="231F20"/>
          <w:spacing w:val="-3"/>
          <w:sz w:val="20"/>
        </w:rPr>
        <w:t>refuses</w:t>
      </w:r>
      <w:r>
        <w:rPr>
          <w:color w:val="231F20"/>
          <w:spacing w:val="-8"/>
          <w:sz w:val="20"/>
        </w:rPr>
        <w:t xml:space="preserve"> </w:t>
      </w:r>
      <w:r>
        <w:rPr>
          <w:color w:val="231F20"/>
          <w:sz w:val="20"/>
        </w:rPr>
        <w:t>to</w:t>
      </w:r>
      <w:r>
        <w:rPr>
          <w:color w:val="231F20"/>
          <w:spacing w:val="-8"/>
          <w:sz w:val="20"/>
        </w:rPr>
        <w:t xml:space="preserve"> </w:t>
      </w:r>
      <w:r>
        <w:rPr>
          <w:color w:val="231F20"/>
          <w:sz w:val="20"/>
        </w:rPr>
        <w:t>make</w:t>
      </w:r>
      <w:r>
        <w:rPr>
          <w:color w:val="231F20"/>
          <w:spacing w:val="-8"/>
          <w:sz w:val="20"/>
        </w:rPr>
        <w:t xml:space="preserve"> </w:t>
      </w:r>
      <w:r>
        <w:rPr>
          <w:color w:val="231F20"/>
          <w:sz w:val="20"/>
        </w:rPr>
        <w:t>the</w:t>
      </w:r>
      <w:r>
        <w:rPr>
          <w:color w:val="231F20"/>
          <w:spacing w:val="-8"/>
          <w:sz w:val="20"/>
        </w:rPr>
        <w:t xml:space="preserve"> </w:t>
      </w:r>
      <w:r>
        <w:rPr>
          <w:color w:val="231F20"/>
          <w:sz w:val="20"/>
        </w:rPr>
        <w:t>final</w:t>
      </w:r>
      <w:r>
        <w:rPr>
          <w:color w:val="231F20"/>
          <w:spacing w:val="-8"/>
          <w:sz w:val="20"/>
        </w:rPr>
        <w:t xml:space="preserve"> </w:t>
      </w:r>
      <w:r>
        <w:rPr>
          <w:color w:val="231F20"/>
          <w:spacing w:val="-4"/>
          <w:sz w:val="20"/>
        </w:rPr>
        <w:t xml:space="preserve">order, </w:t>
      </w:r>
      <w:r>
        <w:rPr>
          <w:color w:val="231F20"/>
          <w:sz w:val="20"/>
        </w:rPr>
        <w:t>or</w:t>
      </w:r>
      <w:r>
        <w:rPr>
          <w:color w:val="231F20"/>
          <w:spacing w:val="-6"/>
          <w:sz w:val="20"/>
        </w:rPr>
        <w:t xml:space="preserve"> </w:t>
      </w:r>
      <w:r>
        <w:rPr>
          <w:color w:val="231F20"/>
          <w:sz w:val="20"/>
        </w:rPr>
        <w:t>someone</w:t>
      </w:r>
      <w:r>
        <w:rPr>
          <w:color w:val="231F20"/>
          <w:spacing w:val="-5"/>
          <w:sz w:val="20"/>
        </w:rPr>
        <w:t xml:space="preserve"> </w:t>
      </w:r>
      <w:r>
        <w:rPr>
          <w:color w:val="231F20"/>
          <w:spacing w:val="-3"/>
          <w:sz w:val="20"/>
        </w:rPr>
        <w:t>withdraws</w:t>
      </w:r>
      <w:r>
        <w:rPr>
          <w:color w:val="231F20"/>
          <w:spacing w:val="-5"/>
          <w:sz w:val="20"/>
        </w:rPr>
        <w:t xml:space="preserve"> </w:t>
      </w:r>
      <w:r>
        <w:rPr>
          <w:color w:val="231F20"/>
          <w:sz w:val="20"/>
        </w:rPr>
        <w:t>the</w:t>
      </w:r>
      <w:r>
        <w:rPr>
          <w:color w:val="231F20"/>
          <w:spacing w:val="-6"/>
          <w:sz w:val="20"/>
        </w:rPr>
        <w:t xml:space="preserve"> </w:t>
      </w:r>
      <w:r>
        <w:rPr>
          <w:color w:val="231F20"/>
          <w:sz w:val="20"/>
        </w:rPr>
        <w:t>application,</w:t>
      </w:r>
      <w:r>
        <w:rPr>
          <w:color w:val="231F20"/>
          <w:spacing w:val="-5"/>
          <w:sz w:val="20"/>
        </w:rPr>
        <w:t xml:space="preserve"> </w:t>
      </w:r>
      <w:r>
        <w:rPr>
          <w:color w:val="231F20"/>
          <w:sz w:val="20"/>
        </w:rPr>
        <w:t>or</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interim</w:t>
      </w:r>
      <w:r>
        <w:rPr>
          <w:color w:val="231F20"/>
          <w:spacing w:val="-6"/>
          <w:sz w:val="20"/>
        </w:rPr>
        <w:t xml:space="preserve"> </w:t>
      </w:r>
      <w:r>
        <w:rPr>
          <w:color w:val="231F20"/>
          <w:sz w:val="20"/>
        </w:rPr>
        <w:t>order</w:t>
      </w:r>
      <w:r>
        <w:rPr>
          <w:color w:val="231F20"/>
          <w:spacing w:val="-5"/>
          <w:sz w:val="20"/>
        </w:rPr>
        <w:t xml:space="preserve"> </w:t>
      </w:r>
      <w:r>
        <w:rPr>
          <w:color w:val="231F20"/>
          <w:sz w:val="20"/>
        </w:rPr>
        <w:t>is</w:t>
      </w:r>
      <w:r>
        <w:rPr>
          <w:color w:val="231F20"/>
          <w:spacing w:val="-5"/>
          <w:sz w:val="20"/>
        </w:rPr>
        <w:t xml:space="preserve"> </w:t>
      </w:r>
      <w:r>
        <w:rPr>
          <w:color w:val="231F20"/>
          <w:spacing w:val="-4"/>
          <w:sz w:val="20"/>
        </w:rPr>
        <w:t>revoked</w:t>
      </w:r>
      <w:r>
        <w:rPr>
          <w:color w:val="231F20"/>
          <w:spacing w:val="-5"/>
          <w:sz w:val="20"/>
        </w:rPr>
        <w:t xml:space="preserve"> </w:t>
      </w:r>
      <w:r>
        <w:rPr>
          <w:color w:val="231F20"/>
          <w:spacing w:val="-3"/>
          <w:sz w:val="20"/>
        </w:rPr>
        <w:t>by</w:t>
      </w:r>
      <w:r>
        <w:rPr>
          <w:color w:val="231F20"/>
          <w:spacing w:val="-6"/>
          <w:sz w:val="20"/>
        </w:rPr>
        <w:t xml:space="preserve"> </w:t>
      </w:r>
      <w:r>
        <w:rPr>
          <w:color w:val="231F20"/>
          <w:sz w:val="20"/>
        </w:rPr>
        <w:t>the</w:t>
      </w:r>
      <w:r>
        <w:rPr>
          <w:color w:val="231F20"/>
          <w:spacing w:val="-5"/>
          <w:sz w:val="20"/>
        </w:rPr>
        <w:t xml:space="preserve"> </w:t>
      </w:r>
      <w:r>
        <w:rPr>
          <w:color w:val="231F20"/>
          <w:sz w:val="20"/>
        </w:rPr>
        <w:t>court.</w:t>
      </w:r>
      <w:r>
        <w:rPr>
          <w:color w:val="231F20"/>
          <w:position w:val="7"/>
          <w:sz w:val="11"/>
        </w:rPr>
        <w:t>17</w:t>
      </w:r>
    </w:p>
    <w:p w14:paraId="33337B19" w14:textId="77777777" w:rsidR="00894070" w:rsidRDefault="009B7AFD">
      <w:pPr>
        <w:pStyle w:val="ListParagraph"/>
        <w:numPr>
          <w:ilvl w:val="1"/>
          <w:numId w:val="102"/>
        </w:numPr>
        <w:tabs>
          <w:tab w:val="left" w:pos="1801"/>
          <w:tab w:val="left" w:pos="1802"/>
        </w:tabs>
        <w:spacing w:before="123" w:line="206" w:lineRule="auto"/>
        <w:ind w:right="1669"/>
        <w:rPr>
          <w:sz w:val="20"/>
        </w:rPr>
      </w:pPr>
      <w:r>
        <w:rPr>
          <w:color w:val="231F20"/>
          <w:sz w:val="20"/>
        </w:rPr>
        <w:t>The</w:t>
      </w:r>
      <w:r>
        <w:rPr>
          <w:color w:val="231F20"/>
          <w:spacing w:val="-10"/>
          <w:sz w:val="20"/>
        </w:rPr>
        <w:t xml:space="preserve"> </w:t>
      </w:r>
      <w:r>
        <w:rPr>
          <w:color w:val="231F20"/>
          <w:sz w:val="20"/>
        </w:rPr>
        <w:t>court</w:t>
      </w:r>
      <w:r>
        <w:rPr>
          <w:color w:val="231F20"/>
          <w:spacing w:val="-10"/>
          <w:sz w:val="20"/>
        </w:rPr>
        <w:t xml:space="preserve"> </w:t>
      </w:r>
      <w:r>
        <w:rPr>
          <w:color w:val="231F20"/>
          <w:spacing w:val="-3"/>
          <w:sz w:val="20"/>
        </w:rPr>
        <w:t>may</w:t>
      </w:r>
      <w:r>
        <w:rPr>
          <w:color w:val="231F20"/>
          <w:spacing w:val="-10"/>
          <w:sz w:val="20"/>
        </w:rPr>
        <w:t xml:space="preserve"> </w:t>
      </w:r>
      <w:r>
        <w:rPr>
          <w:color w:val="231F20"/>
          <w:sz w:val="20"/>
        </w:rPr>
        <w:t>grant</w:t>
      </w:r>
      <w:r>
        <w:rPr>
          <w:color w:val="231F20"/>
          <w:spacing w:val="-10"/>
          <w:sz w:val="20"/>
        </w:rPr>
        <w:t xml:space="preserve"> </w:t>
      </w:r>
      <w:r>
        <w:rPr>
          <w:color w:val="231F20"/>
          <w:sz w:val="20"/>
        </w:rPr>
        <w:t>a</w:t>
      </w:r>
      <w:r>
        <w:rPr>
          <w:color w:val="231F20"/>
          <w:spacing w:val="-10"/>
          <w:sz w:val="20"/>
        </w:rPr>
        <w:t xml:space="preserve"> </w:t>
      </w:r>
      <w:r>
        <w:rPr>
          <w:color w:val="231F20"/>
          <w:sz w:val="20"/>
        </w:rPr>
        <w:t>final</w:t>
      </w:r>
      <w:r>
        <w:rPr>
          <w:color w:val="231F20"/>
          <w:spacing w:val="-9"/>
          <w:sz w:val="20"/>
        </w:rPr>
        <w:t xml:space="preserve"> </w:t>
      </w:r>
      <w:r>
        <w:rPr>
          <w:color w:val="231F20"/>
          <w:sz w:val="20"/>
        </w:rPr>
        <w:t>PSIO</w:t>
      </w:r>
      <w:r>
        <w:rPr>
          <w:color w:val="231F20"/>
          <w:spacing w:val="-10"/>
          <w:sz w:val="20"/>
        </w:rPr>
        <w:t xml:space="preserve"> </w:t>
      </w:r>
      <w:r>
        <w:rPr>
          <w:color w:val="231F20"/>
          <w:sz w:val="20"/>
        </w:rPr>
        <w:t>if</w:t>
      </w:r>
      <w:r>
        <w:rPr>
          <w:color w:val="231F20"/>
          <w:spacing w:val="-10"/>
          <w:sz w:val="20"/>
        </w:rPr>
        <w:t xml:space="preserve"> </w:t>
      </w:r>
      <w:r>
        <w:rPr>
          <w:color w:val="231F20"/>
          <w:sz w:val="20"/>
        </w:rPr>
        <w:t>satisfied</w:t>
      </w:r>
      <w:r>
        <w:rPr>
          <w:color w:val="231F20"/>
          <w:spacing w:val="-10"/>
          <w:sz w:val="20"/>
        </w:rPr>
        <w:t xml:space="preserve"> </w:t>
      </w:r>
      <w:r>
        <w:rPr>
          <w:color w:val="231F20"/>
          <w:sz w:val="20"/>
        </w:rPr>
        <w:t>on</w:t>
      </w:r>
      <w:r>
        <w:rPr>
          <w:color w:val="231F20"/>
          <w:spacing w:val="-10"/>
          <w:sz w:val="20"/>
        </w:rPr>
        <w:t xml:space="preserve"> </w:t>
      </w:r>
      <w:r>
        <w:rPr>
          <w:color w:val="231F20"/>
          <w:sz w:val="20"/>
        </w:rPr>
        <w:t>the</w:t>
      </w:r>
      <w:r>
        <w:rPr>
          <w:color w:val="231F20"/>
          <w:spacing w:val="-9"/>
          <w:sz w:val="20"/>
        </w:rPr>
        <w:t xml:space="preserve"> </w:t>
      </w:r>
      <w:r>
        <w:rPr>
          <w:color w:val="231F20"/>
          <w:sz w:val="20"/>
        </w:rPr>
        <w:t>balance</w:t>
      </w:r>
      <w:r>
        <w:rPr>
          <w:color w:val="231F20"/>
          <w:spacing w:val="-10"/>
          <w:sz w:val="20"/>
        </w:rPr>
        <w:t xml:space="preserve"> </w:t>
      </w:r>
      <w:r>
        <w:rPr>
          <w:color w:val="231F20"/>
          <w:sz w:val="20"/>
        </w:rPr>
        <w:t>of</w:t>
      </w:r>
      <w:r>
        <w:rPr>
          <w:color w:val="231F20"/>
          <w:spacing w:val="-10"/>
          <w:sz w:val="20"/>
        </w:rPr>
        <w:t xml:space="preserve"> </w:t>
      </w:r>
      <w:r>
        <w:rPr>
          <w:color w:val="231F20"/>
          <w:sz w:val="20"/>
        </w:rPr>
        <w:t>probabilities</w:t>
      </w:r>
      <w:r>
        <w:rPr>
          <w:color w:val="231F20"/>
          <w:spacing w:val="-10"/>
          <w:sz w:val="20"/>
        </w:rPr>
        <w:t xml:space="preserve"> </w:t>
      </w:r>
      <w:r>
        <w:rPr>
          <w:color w:val="231F20"/>
          <w:sz w:val="20"/>
        </w:rPr>
        <w:t>that</w:t>
      </w:r>
      <w:r>
        <w:rPr>
          <w:color w:val="231F20"/>
          <w:spacing w:val="-10"/>
          <w:sz w:val="20"/>
        </w:rPr>
        <w:t xml:space="preserve"> </w:t>
      </w:r>
      <w:r>
        <w:rPr>
          <w:color w:val="231F20"/>
          <w:sz w:val="20"/>
        </w:rPr>
        <w:t>the respondent:</w:t>
      </w:r>
    </w:p>
    <w:p w14:paraId="59064C57" w14:textId="77777777" w:rsidR="00894070" w:rsidRDefault="009B7AFD">
      <w:pPr>
        <w:pStyle w:val="ListParagraph"/>
        <w:numPr>
          <w:ilvl w:val="2"/>
          <w:numId w:val="102"/>
        </w:numPr>
        <w:tabs>
          <w:tab w:val="left" w:pos="2142"/>
        </w:tabs>
        <w:spacing w:before="122" w:line="206" w:lineRule="auto"/>
        <w:ind w:right="1581" w:hanging="340"/>
        <w:jc w:val="both"/>
        <w:rPr>
          <w:sz w:val="20"/>
        </w:rPr>
      </w:pPr>
      <w:r>
        <w:rPr>
          <w:color w:val="231F20"/>
          <w:sz w:val="20"/>
        </w:rPr>
        <w:t>has</w:t>
      </w:r>
      <w:r>
        <w:rPr>
          <w:color w:val="231F20"/>
          <w:spacing w:val="-13"/>
          <w:sz w:val="20"/>
        </w:rPr>
        <w:t xml:space="preserve"> </w:t>
      </w:r>
      <w:r>
        <w:rPr>
          <w:color w:val="231F20"/>
          <w:sz w:val="20"/>
        </w:rPr>
        <w:t>committed</w:t>
      </w:r>
      <w:r>
        <w:rPr>
          <w:color w:val="231F20"/>
          <w:spacing w:val="-13"/>
          <w:sz w:val="20"/>
        </w:rPr>
        <w:t xml:space="preserve"> </w:t>
      </w:r>
      <w:r>
        <w:rPr>
          <w:color w:val="231F20"/>
          <w:sz w:val="20"/>
        </w:rPr>
        <w:t>prohibited</w:t>
      </w:r>
      <w:r>
        <w:rPr>
          <w:color w:val="231F20"/>
          <w:spacing w:val="-13"/>
          <w:sz w:val="20"/>
        </w:rPr>
        <w:t xml:space="preserve"> </w:t>
      </w:r>
      <w:r>
        <w:rPr>
          <w:color w:val="231F20"/>
          <w:sz w:val="20"/>
        </w:rPr>
        <w:t>behaviour</w:t>
      </w:r>
      <w:r>
        <w:rPr>
          <w:color w:val="231F20"/>
          <w:spacing w:val="-13"/>
          <w:sz w:val="20"/>
        </w:rPr>
        <w:t xml:space="preserve"> </w:t>
      </w:r>
      <w:r>
        <w:rPr>
          <w:color w:val="231F20"/>
          <w:sz w:val="20"/>
        </w:rPr>
        <w:t>against</w:t>
      </w:r>
      <w:r>
        <w:rPr>
          <w:color w:val="231F20"/>
          <w:spacing w:val="-13"/>
          <w:sz w:val="20"/>
        </w:rPr>
        <w:t xml:space="preserve"> </w:t>
      </w:r>
      <w:r>
        <w:rPr>
          <w:color w:val="231F20"/>
          <w:sz w:val="20"/>
        </w:rPr>
        <w:t>the</w:t>
      </w:r>
      <w:r>
        <w:rPr>
          <w:color w:val="231F20"/>
          <w:spacing w:val="-13"/>
          <w:sz w:val="20"/>
        </w:rPr>
        <w:t xml:space="preserve"> </w:t>
      </w:r>
      <w:r>
        <w:rPr>
          <w:color w:val="231F20"/>
          <w:sz w:val="20"/>
        </w:rPr>
        <w:t>affected</w:t>
      </w:r>
      <w:r>
        <w:rPr>
          <w:color w:val="231F20"/>
          <w:spacing w:val="-13"/>
          <w:sz w:val="20"/>
        </w:rPr>
        <w:t xml:space="preserve"> </w:t>
      </w:r>
      <w:r>
        <w:rPr>
          <w:color w:val="231F20"/>
          <w:sz w:val="20"/>
        </w:rPr>
        <w:t>person</w:t>
      </w:r>
      <w:r>
        <w:rPr>
          <w:color w:val="231F20"/>
          <w:spacing w:val="-13"/>
          <w:sz w:val="20"/>
        </w:rPr>
        <w:t xml:space="preserve"> </w:t>
      </w:r>
      <w:r>
        <w:rPr>
          <w:color w:val="231F20"/>
          <w:sz w:val="20"/>
        </w:rPr>
        <w:t>and</w:t>
      </w:r>
      <w:r>
        <w:rPr>
          <w:color w:val="231F20"/>
          <w:spacing w:val="-12"/>
          <w:sz w:val="20"/>
        </w:rPr>
        <w:t xml:space="preserve"> </w:t>
      </w:r>
      <w:r>
        <w:rPr>
          <w:color w:val="231F20"/>
          <w:sz w:val="20"/>
        </w:rPr>
        <w:t>is</w:t>
      </w:r>
      <w:r>
        <w:rPr>
          <w:color w:val="231F20"/>
          <w:spacing w:val="-13"/>
          <w:sz w:val="20"/>
        </w:rPr>
        <w:t xml:space="preserve"> </w:t>
      </w:r>
      <w:r>
        <w:rPr>
          <w:color w:val="231F20"/>
          <w:spacing w:val="-3"/>
          <w:sz w:val="20"/>
        </w:rPr>
        <w:t>likely</w:t>
      </w:r>
      <w:r>
        <w:rPr>
          <w:color w:val="231F20"/>
          <w:spacing w:val="-13"/>
          <w:sz w:val="20"/>
        </w:rPr>
        <w:t xml:space="preserve"> </w:t>
      </w:r>
      <w:r>
        <w:rPr>
          <w:color w:val="231F20"/>
          <w:sz w:val="20"/>
        </w:rPr>
        <w:t>to continue</w:t>
      </w:r>
      <w:r>
        <w:rPr>
          <w:color w:val="231F20"/>
          <w:spacing w:val="-10"/>
          <w:sz w:val="20"/>
        </w:rPr>
        <w:t xml:space="preserve"> </w:t>
      </w:r>
      <w:r>
        <w:rPr>
          <w:color w:val="231F20"/>
          <w:sz w:val="20"/>
        </w:rPr>
        <w:t>to</w:t>
      </w:r>
      <w:r>
        <w:rPr>
          <w:color w:val="231F20"/>
          <w:spacing w:val="-9"/>
          <w:sz w:val="20"/>
        </w:rPr>
        <w:t xml:space="preserve"> </w:t>
      </w:r>
      <w:r>
        <w:rPr>
          <w:color w:val="231F20"/>
          <w:sz w:val="20"/>
        </w:rPr>
        <w:t>do</w:t>
      </w:r>
      <w:r>
        <w:rPr>
          <w:color w:val="231F20"/>
          <w:spacing w:val="-9"/>
          <w:sz w:val="20"/>
        </w:rPr>
        <w:t xml:space="preserve"> </w:t>
      </w:r>
      <w:r>
        <w:rPr>
          <w:color w:val="231F20"/>
          <w:sz w:val="20"/>
        </w:rPr>
        <w:t>so</w:t>
      </w:r>
      <w:r>
        <w:rPr>
          <w:color w:val="231F20"/>
          <w:spacing w:val="-9"/>
          <w:sz w:val="20"/>
        </w:rPr>
        <w:t xml:space="preserve"> </w:t>
      </w:r>
      <w:r>
        <w:rPr>
          <w:color w:val="231F20"/>
          <w:sz w:val="20"/>
        </w:rPr>
        <w:t>or</w:t>
      </w:r>
      <w:r>
        <w:rPr>
          <w:color w:val="231F20"/>
          <w:spacing w:val="-9"/>
          <w:sz w:val="20"/>
        </w:rPr>
        <w:t xml:space="preserve"> </w:t>
      </w:r>
      <w:r>
        <w:rPr>
          <w:color w:val="231F20"/>
          <w:sz w:val="20"/>
        </w:rPr>
        <w:t>do</w:t>
      </w:r>
      <w:r>
        <w:rPr>
          <w:color w:val="231F20"/>
          <w:spacing w:val="-9"/>
          <w:sz w:val="20"/>
        </w:rPr>
        <w:t xml:space="preserve"> </w:t>
      </w:r>
      <w:r>
        <w:rPr>
          <w:color w:val="231F20"/>
          <w:sz w:val="20"/>
        </w:rPr>
        <w:t>so</w:t>
      </w:r>
      <w:r>
        <w:rPr>
          <w:color w:val="231F20"/>
          <w:spacing w:val="-10"/>
          <w:sz w:val="20"/>
        </w:rPr>
        <w:t xml:space="preserve"> </w:t>
      </w:r>
      <w:r>
        <w:rPr>
          <w:color w:val="231F20"/>
          <w:sz w:val="20"/>
        </w:rPr>
        <w:t>again,</w:t>
      </w:r>
      <w:r>
        <w:rPr>
          <w:color w:val="231F20"/>
          <w:spacing w:val="-9"/>
          <w:sz w:val="20"/>
        </w:rPr>
        <w:t xml:space="preserve"> </w:t>
      </w:r>
      <w:r>
        <w:rPr>
          <w:color w:val="231F20"/>
          <w:sz w:val="20"/>
        </w:rPr>
        <w:t>and</w:t>
      </w:r>
      <w:r>
        <w:rPr>
          <w:color w:val="231F20"/>
          <w:spacing w:val="-9"/>
          <w:sz w:val="20"/>
        </w:rPr>
        <w:t xml:space="preserve"> </w:t>
      </w:r>
      <w:r>
        <w:rPr>
          <w:color w:val="231F20"/>
          <w:sz w:val="20"/>
        </w:rPr>
        <w:t>that</w:t>
      </w:r>
      <w:r>
        <w:rPr>
          <w:color w:val="231F20"/>
          <w:spacing w:val="-9"/>
          <w:sz w:val="20"/>
        </w:rPr>
        <w:t xml:space="preserve"> </w:t>
      </w:r>
      <w:r>
        <w:rPr>
          <w:color w:val="231F20"/>
          <w:sz w:val="20"/>
        </w:rPr>
        <w:t>behaviour</w:t>
      </w:r>
      <w:r>
        <w:rPr>
          <w:color w:val="231F20"/>
          <w:spacing w:val="-9"/>
          <w:sz w:val="20"/>
        </w:rPr>
        <w:t xml:space="preserve"> </w:t>
      </w:r>
      <w:r>
        <w:rPr>
          <w:color w:val="231F20"/>
          <w:spacing w:val="-3"/>
          <w:sz w:val="20"/>
        </w:rPr>
        <w:t>would</w:t>
      </w:r>
      <w:r>
        <w:rPr>
          <w:color w:val="231F20"/>
          <w:spacing w:val="-9"/>
          <w:sz w:val="20"/>
        </w:rPr>
        <w:t xml:space="preserve"> </w:t>
      </w:r>
      <w:r>
        <w:rPr>
          <w:color w:val="231F20"/>
          <w:sz w:val="20"/>
        </w:rPr>
        <w:t>cause</w:t>
      </w:r>
      <w:r>
        <w:rPr>
          <w:color w:val="231F20"/>
          <w:spacing w:val="-10"/>
          <w:sz w:val="20"/>
        </w:rPr>
        <w:t xml:space="preserve"> </w:t>
      </w:r>
      <w:r>
        <w:rPr>
          <w:color w:val="231F20"/>
          <w:sz w:val="20"/>
        </w:rPr>
        <w:t>a</w:t>
      </w:r>
      <w:r>
        <w:rPr>
          <w:color w:val="231F20"/>
          <w:spacing w:val="-9"/>
          <w:sz w:val="20"/>
        </w:rPr>
        <w:t xml:space="preserve"> </w:t>
      </w:r>
      <w:r>
        <w:rPr>
          <w:color w:val="231F20"/>
          <w:sz w:val="20"/>
        </w:rPr>
        <w:t xml:space="preserve">reasonable person to fear </w:t>
      </w:r>
      <w:r>
        <w:rPr>
          <w:color w:val="231F20"/>
          <w:spacing w:val="-3"/>
          <w:sz w:val="20"/>
        </w:rPr>
        <w:t xml:space="preserve">for </w:t>
      </w:r>
      <w:r>
        <w:rPr>
          <w:color w:val="231F20"/>
          <w:sz w:val="20"/>
        </w:rPr>
        <w:t xml:space="preserve">their </w:t>
      </w:r>
      <w:r>
        <w:rPr>
          <w:color w:val="231F20"/>
          <w:spacing w:val="-4"/>
          <w:sz w:val="20"/>
        </w:rPr>
        <w:t>safety,</w:t>
      </w:r>
      <w:r>
        <w:rPr>
          <w:color w:val="231F20"/>
          <w:spacing w:val="-23"/>
          <w:sz w:val="20"/>
        </w:rPr>
        <w:t xml:space="preserve"> </w:t>
      </w:r>
      <w:r>
        <w:rPr>
          <w:color w:val="231F20"/>
          <w:sz w:val="20"/>
        </w:rPr>
        <w:t>or</w:t>
      </w:r>
    </w:p>
    <w:p w14:paraId="61AB92C6" w14:textId="77777777" w:rsidR="00894070" w:rsidRDefault="009B7AFD">
      <w:pPr>
        <w:pStyle w:val="ListParagraph"/>
        <w:numPr>
          <w:ilvl w:val="2"/>
          <w:numId w:val="102"/>
        </w:numPr>
        <w:tabs>
          <w:tab w:val="left" w:pos="2141"/>
          <w:tab w:val="left" w:pos="2142"/>
        </w:tabs>
        <w:spacing w:before="57"/>
        <w:ind w:hanging="340"/>
        <w:rPr>
          <w:sz w:val="20"/>
        </w:rPr>
      </w:pPr>
      <w:r>
        <w:rPr>
          <w:color w:val="231F20"/>
          <w:sz w:val="20"/>
        </w:rPr>
        <w:t>has</w:t>
      </w:r>
      <w:r>
        <w:rPr>
          <w:color w:val="231F20"/>
          <w:spacing w:val="-7"/>
          <w:sz w:val="20"/>
        </w:rPr>
        <w:t xml:space="preserve"> </w:t>
      </w:r>
      <w:r>
        <w:rPr>
          <w:color w:val="231F20"/>
          <w:sz w:val="20"/>
        </w:rPr>
        <w:t>stalked</w:t>
      </w:r>
      <w:r>
        <w:rPr>
          <w:color w:val="231F20"/>
          <w:spacing w:val="-6"/>
          <w:sz w:val="20"/>
        </w:rPr>
        <w:t xml:space="preserve"> </w:t>
      </w:r>
      <w:r>
        <w:rPr>
          <w:color w:val="231F20"/>
          <w:sz w:val="20"/>
        </w:rPr>
        <w:t>the</w:t>
      </w:r>
      <w:r>
        <w:rPr>
          <w:color w:val="231F20"/>
          <w:spacing w:val="-6"/>
          <w:sz w:val="20"/>
        </w:rPr>
        <w:t xml:space="preserve"> </w:t>
      </w:r>
      <w:r>
        <w:rPr>
          <w:color w:val="231F20"/>
          <w:sz w:val="20"/>
        </w:rPr>
        <w:t>affected</w:t>
      </w:r>
      <w:r>
        <w:rPr>
          <w:color w:val="231F20"/>
          <w:spacing w:val="-6"/>
          <w:sz w:val="20"/>
        </w:rPr>
        <w:t xml:space="preserve"> </w:t>
      </w:r>
      <w:r>
        <w:rPr>
          <w:color w:val="231F20"/>
          <w:sz w:val="20"/>
        </w:rPr>
        <w:t>person</w:t>
      </w:r>
      <w:r>
        <w:rPr>
          <w:color w:val="231F20"/>
          <w:spacing w:val="-6"/>
          <w:sz w:val="20"/>
        </w:rPr>
        <w:t xml:space="preserve"> </w:t>
      </w:r>
      <w:r>
        <w:rPr>
          <w:color w:val="231F20"/>
          <w:sz w:val="20"/>
        </w:rPr>
        <w:t>and</w:t>
      </w:r>
      <w:r>
        <w:rPr>
          <w:color w:val="231F20"/>
          <w:spacing w:val="-7"/>
          <w:sz w:val="20"/>
        </w:rPr>
        <w:t xml:space="preserve"> </w:t>
      </w:r>
      <w:r>
        <w:rPr>
          <w:color w:val="231F20"/>
          <w:sz w:val="20"/>
        </w:rPr>
        <w:t>is</w:t>
      </w:r>
      <w:r>
        <w:rPr>
          <w:color w:val="231F20"/>
          <w:spacing w:val="-6"/>
          <w:sz w:val="20"/>
        </w:rPr>
        <w:t xml:space="preserve"> </w:t>
      </w:r>
      <w:r>
        <w:rPr>
          <w:color w:val="231F20"/>
          <w:spacing w:val="-3"/>
          <w:sz w:val="20"/>
        </w:rPr>
        <w:t>likely</w:t>
      </w:r>
      <w:r>
        <w:rPr>
          <w:color w:val="231F20"/>
          <w:spacing w:val="-6"/>
          <w:sz w:val="20"/>
        </w:rPr>
        <w:t xml:space="preserve"> </w:t>
      </w:r>
      <w:r>
        <w:rPr>
          <w:color w:val="231F20"/>
          <w:sz w:val="20"/>
        </w:rPr>
        <w:t>to</w:t>
      </w:r>
      <w:r>
        <w:rPr>
          <w:color w:val="231F20"/>
          <w:spacing w:val="-6"/>
          <w:sz w:val="20"/>
        </w:rPr>
        <w:t xml:space="preserve"> </w:t>
      </w:r>
      <w:r>
        <w:rPr>
          <w:color w:val="231F20"/>
          <w:sz w:val="20"/>
        </w:rPr>
        <w:t>continue</w:t>
      </w:r>
      <w:r>
        <w:rPr>
          <w:color w:val="231F20"/>
          <w:spacing w:val="-6"/>
          <w:sz w:val="20"/>
        </w:rPr>
        <w:t xml:space="preserve"> </w:t>
      </w:r>
      <w:r>
        <w:rPr>
          <w:color w:val="231F20"/>
          <w:sz w:val="20"/>
        </w:rPr>
        <w:t>to</w:t>
      </w:r>
      <w:r>
        <w:rPr>
          <w:color w:val="231F20"/>
          <w:spacing w:val="-6"/>
          <w:sz w:val="20"/>
        </w:rPr>
        <w:t xml:space="preserve"> </w:t>
      </w:r>
      <w:r>
        <w:rPr>
          <w:color w:val="231F20"/>
          <w:sz w:val="20"/>
        </w:rPr>
        <w:t>do</w:t>
      </w:r>
      <w:r>
        <w:rPr>
          <w:color w:val="231F20"/>
          <w:spacing w:val="-7"/>
          <w:sz w:val="20"/>
        </w:rPr>
        <w:t xml:space="preserve"> </w:t>
      </w:r>
      <w:r>
        <w:rPr>
          <w:color w:val="231F20"/>
          <w:sz w:val="20"/>
        </w:rPr>
        <w:t>so</w:t>
      </w:r>
      <w:r>
        <w:rPr>
          <w:color w:val="231F20"/>
          <w:spacing w:val="-6"/>
          <w:sz w:val="20"/>
        </w:rPr>
        <w:t xml:space="preserve"> </w:t>
      </w:r>
      <w:r>
        <w:rPr>
          <w:color w:val="231F20"/>
          <w:sz w:val="20"/>
        </w:rPr>
        <w:t>or</w:t>
      </w:r>
      <w:r>
        <w:rPr>
          <w:color w:val="231F20"/>
          <w:spacing w:val="-6"/>
          <w:sz w:val="20"/>
        </w:rPr>
        <w:t xml:space="preserve"> </w:t>
      </w:r>
      <w:r>
        <w:rPr>
          <w:color w:val="231F20"/>
          <w:sz w:val="20"/>
        </w:rPr>
        <w:t>do</w:t>
      </w:r>
      <w:r>
        <w:rPr>
          <w:color w:val="231F20"/>
          <w:spacing w:val="-6"/>
          <w:sz w:val="20"/>
        </w:rPr>
        <w:t xml:space="preserve"> </w:t>
      </w:r>
      <w:r>
        <w:rPr>
          <w:color w:val="231F20"/>
          <w:sz w:val="20"/>
        </w:rPr>
        <w:t>so</w:t>
      </w:r>
      <w:r>
        <w:rPr>
          <w:color w:val="231F20"/>
          <w:spacing w:val="-6"/>
          <w:sz w:val="20"/>
        </w:rPr>
        <w:t xml:space="preserve"> </w:t>
      </w:r>
      <w:r>
        <w:rPr>
          <w:color w:val="231F20"/>
          <w:sz w:val="20"/>
        </w:rPr>
        <w:t>again,</w:t>
      </w:r>
      <w:r>
        <w:rPr>
          <w:color w:val="231F20"/>
          <w:spacing w:val="-7"/>
          <w:sz w:val="20"/>
        </w:rPr>
        <w:t xml:space="preserve"> </w:t>
      </w:r>
      <w:r>
        <w:rPr>
          <w:color w:val="231F20"/>
          <w:sz w:val="20"/>
        </w:rPr>
        <w:t>and</w:t>
      </w:r>
    </w:p>
    <w:p w14:paraId="0E2AA8B9" w14:textId="77777777" w:rsidR="00894070" w:rsidRDefault="009B7AFD">
      <w:pPr>
        <w:pStyle w:val="ListParagraph"/>
        <w:numPr>
          <w:ilvl w:val="2"/>
          <w:numId w:val="102"/>
        </w:numPr>
        <w:tabs>
          <w:tab w:val="left" w:pos="2141"/>
          <w:tab w:val="left" w:pos="2142"/>
        </w:tabs>
        <w:spacing w:before="47"/>
        <w:ind w:hanging="340"/>
        <w:rPr>
          <w:sz w:val="20"/>
        </w:rPr>
      </w:pPr>
      <w:r>
        <w:rPr>
          <w:color w:val="231F20"/>
          <w:sz w:val="20"/>
        </w:rPr>
        <w:t xml:space="preserve">the </w:t>
      </w:r>
      <w:r>
        <w:rPr>
          <w:color w:val="231F20"/>
          <w:spacing w:val="-2"/>
          <w:sz w:val="20"/>
        </w:rPr>
        <w:t xml:space="preserve">respondent </w:t>
      </w:r>
      <w:r>
        <w:rPr>
          <w:color w:val="231F20"/>
          <w:sz w:val="20"/>
        </w:rPr>
        <w:t xml:space="preserve">and the affected person </w:t>
      </w:r>
      <w:r>
        <w:rPr>
          <w:color w:val="231F20"/>
          <w:spacing w:val="-3"/>
          <w:sz w:val="20"/>
        </w:rPr>
        <w:t xml:space="preserve">are </w:t>
      </w:r>
      <w:r>
        <w:rPr>
          <w:color w:val="231F20"/>
          <w:sz w:val="20"/>
        </w:rPr>
        <w:t xml:space="preserve">not </w:t>
      </w:r>
      <w:r>
        <w:rPr>
          <w:color w:val="231F20"/>
          <w:spacing w:val="-3"/>
          <w:sz w:val="20"/>
        </w:rPr>
        <w:t>family</w:t>
      </w:r>
      <w:r>
        <w:rPr>
          <w:color w:val="231F20"/>
          <w:spacing w:val="-19"/>
          <w:sz w:val="20"/>
        </w:rPr>
        <w:t xml:space="preserve"> </w:t>
      </w:r>
      <w:r>
        <w:rPr>
          <w:color w:val="231F20"/>
          <w:sz w:val="20"/>
        </w:rPr>
        <w:t>members,</w:t>
      </w:r>
      <w:r>
        <w:rPr>
          <w:color w:val="231F20"/>
          <w:position w:val="7"/>
          <w:sz w:val="11"/>
        </w:rPr>
        <w:t xml:space="preserve">18 </w:t>
      </w:r>
      <w:r>
        <w:rPr>
          <w:color w:val="231F20"/>
          <w:sz w:val="20"/>
        </w:rPr>
        <w:t>and</w:t>
      </w:r>
    </w:p>
    <w:p w14:paraId="15977F2D" w14:textId="77777777" w:rsidR="00894070" w:rsidRDefault="009B7AFD">
      <w:pPr>
        <w:pStyle w:val="ListParagraph"/>
        <w:numPr>
          <w:ilvl w:val="2"/>
          <w:numId w:val="102"/>
        </w:numPr>
        <w:tabs>
          <w:tab w:val="left" w:pos="2141"/>
          <w:tab w:val="left" w:pos="2142"/>
        </w:tabs>
        <w:spacing w:before="48"/>
        <w:ind w:hanging="340"/>
        <w:rPr>
          <w:sz w:val="11"/>
        </w:rPr>
      </w:pPr>
      <w:r>
        <w:rPr>
          <w:color w:val="231F20"/>
          <w:sz w:val="20"/>
        </w:rPr>
        <w:t xml:space="preserve">it is </w:t>
      </w:r>
      <w:r>
        <w:rPr>
          <w:color w:val="231F20"/>
          <w:spacing w:val="-3"/>
          <w:sz w:val="20"/>
        </w:rPr>
        <w:t xml:space="preserve">appropriate </w:t>
      </w:r>
      <w:r>
        <w:rPr>
          <w:color w:val="231F20"/>
          <w:sz w:val="20"/>
        </w:rPr>
        <w:t>in all the</w:t>
      </w:r>
      <w:r>
        <w:rPr>
          <w:color w:val="231F20"/>
          <w:spacing w:val="-22"/>
          <w:sz w:val="20"/>
        </w:rPr>
        <w:t xml:space="preserve"> </w:t>
      </w:r>
      <w:r>
        <w:rPr>
          <w:color w:val="231F20"/>
          <w:sz w:val="20"/>
        </w:rPr>
        <w:t>circumstances.</w:t>
      </w:r>
      <w:r>
        <w:rPr>
          <w:color w:val="231F20"/>
          <w:position w:val="7"/>
          <w:sz w:val="11"/>
        </w:rPr>
        <w:t>19</w:t>
      </w:r>
    </w:p>
    <w:p w14:paraId="6FF69D23" w14:textId="77777777" w:rsidR="00894070" w:rsidRDefault="009B7AFD">
      <w:pPr>
        <w:pStyle w:val="ListParagraph"/>
        <w:numPr>
          <w:ilvl w:val="1"/>
          <w:numId w:val="102"/>
        </w:numPr>
        <w:tabs>
          <w:tab w:val="left" w:pos="1801"/>
          <w:tab w:val="left" w:pos="1802"/>
        </w:tabs>
        <w:spacing w:before="80" w:line="206" w:lineRule="auto"/>
        <w:ind w:right="1233"/>
        <w:rPr>
          <w:sz w:val="20"/>
        </w:rPr>
      </w:pPr>
      <w:r>
        <w:rPr>
          <w:color w:val="231F20"/>
          <w:sz w:val="20"/>
        </w:rPr>
        <w:t>An</w:t>
      </w:r>
      <w:r>
        <w:rPr>
          <w:color w:val="231F20"/>
          <w:spacing w:val="-7"/>
          <w:sz w:val="20"/>
        </w:rPr>
        <w:t xml:space="preserve"> </w:t>
      </w:r>
      <w:r>
        <w:rPr>
          <w:color w:val="231F20"/>
          <w:spacing w:val="-3"/>
          <w:sz w:val="20"/>
        </w:rPr>
        <w:t>interim</w:t>
      </w:r>
      <w:r>
        <w:rPr>
          <w:color w:val="231F20"/>
          <w:spacing w:val="-7"/>
          <w:sz w:val="20"/>
        </w:rPr>
        <w:t xml:space="preserve"> </w:t>
      </w:r>
      <w:r>
        <w:rPr>
          <w:color w:val="231F20"/>
          <w:sz w:val="20"/>
        </w:rPr>
        <w:t>or</w:t>
      </w:r>
      <w:r>
        <w:rPr>
          <w:color w:val="231F20"/>
          <w:spacing w:val="-6"/>
          <w:sz w:val="20"/>
        </w:rPr>
        <w:t xml:space="preserve"> </w:t>
      </w:r>
      <w:r>
        <w:rPr>
          <w:color w:val="231F20"/>
          <w:sz w:val="20"/>
        </w:rPr>
        <w:t>final</w:t>
      </w:r>
      <w:r>
        <w:rPr>
          <w:color w:val="231F20"/>
          <w:spacing w:val="-7"/>
          <w:sz w:val="20"/>
        </w:rPr>
        <w:t xml:space="preserve"> </w:t>
      </w:r>
      <w:r>
        <w:rPr>
          <w:color w:val="231F20"/>
          <w:sz w:val="20"/>
        </w:rPr>
        <w:t>PSIO</w:t>
      </w:r>
      <w:r>
        <w:rPr>
          <w:color w:val="231F20"/>
          <w:spacing w:val="-6"/>
          <w:sz w:val="20"/>
        </w:rPr>
        <w:t xml:space="preserve"> </w:t>
      </w:r>
      <w:r>
        <w:rPr>
          <w:color w:val="231F20"/>
          <w:sz w:val="20"/>
        </w:rPr>
        <w:t>can</w:t>
      </w:r>
      <w:r>
        <w:rPr>
          <w:color w:val="231F20"/>
          <w:spacing w:val="-7"/>
          <w:sz w:val="20"/>
        </w:rPr>
        <w:t xml:space="preserve"> </w:t>
      </w:r>
      <w:r>
        <w:rPr>
          <w:color w:val="231F20"/>
          <w:sz w:val="20"/>
        </w:rPr>
        <w:t>include</w:t>
      </w:r>
      <w:r>
        <w:rPr>
          <w:color w:val="231F20"/>
          <w:spacing w:val="-7"/>
          <w:sz w:val="20"/>
        </w:rPr>
        <w:t xml:space="preserve"> </w:t>
      </w:r>
      <w:r>
        <w:rPr>
          <w:color w:val="231F20"/>
          <w:sz w:val="20"/>
        </w:rPr>
        <w:t>conditions</w:t>
      </w:r>
      <w:r>
        <w:rPr>
          <w:color w:val="231F20"/>
          <w:spacing w:val="-6"/>
          <w:sz w:val="20"/>
        </w:rPr>
        <w:t xml:space="preserve"> </w:t>
      </w:r>
      <w:r>
        <w:rPr>
          <w:color w:val="231F20"/>
          <w:sz w:val="20"/>
        </w:rPr>
        <w:t>a</w:t>
      </w:r>
      <w:r>
        <w:rPr>
          <w:color w:val="231F20"/>
          <w:spacing w:val="-7"/>
          <w:sz w:val="20"/>
        </w:rPr>
        <w:t xml:space="preserve"> </w:t>
      </w:r>
      <w:r>
        <w:rPr>
          <w:color w:val="231F20"/>
          <w:sz w:val="20"/>
        </w:rPr>
        <w:t>court</w:t>
      </w:r>
      <w:r>
        <w:rPr>
          <w:color w:val="231F20"/>
          <w:spacing w:val="-6"/>
          <w:sz w:val="20"/>
        </w:rPr>
        <w:t xml:space="preserve"> </w:t>
      </w:r>
      <w:r>
        <w:rPr>
          <w:color w:val="231F20"/>
          <w:spacing w:val="-3"/>
          <w:sz w:val="20"/>
        </w:rPr>
        <w:t>views</w:t>
      </w:r>
      <w:r>
        <w:rPr>
          <w:color w:val="231F20"/>
          <w:spacing w:val="-7"/>
          <w:sz w:val="20"/>
        </w:rPr>
        <w:t xml:space="preserve"> </w:t>
      </w:r>
      <w:r>
        <w:rPr>
          <w:color w:val="231F20"/>
          <w:sz w:val="20"/>
        </w:rPr>
        <w:t>as</w:t>
      </w:r>
      <w:r>
        <w:rPr>
          <w:color w:val="231F20"/>
          <w:spacing w:val="-6"/>
          <w:sz w:val="20"/>
        </w:rPr>
        <w:t xml:space="preserve"> </w:t>
      </w:r>
      <w:r>
        <w:rPr>
          <w:color w:val="231F20"/>
          <w:sz w:val="20"/>
        </w:rPr>
        <w:t>‘necessary</w:t>
      </w:r>
      <w:r>
        <w:rPr>
          <w:color w:val="231F20"/>
          <w:spacing w:val="-7"/>
          <w:sz w:val="20"/>
        </w:rPr>
        <w:t xml:space="preserve"> </w:t>
      </w:r>
      <w:r>
        <w:rPr>
          <w:color w:val="231F20"/>
          <w:sz w:val="20"/>
        </w:rPr>
        <w:t>or</w:t>
      </w:r>
      <w:r>
        <w:rPr>
          <w:color w:val="231F20"/>
          <w:spacing w:val="-7"/>
          <w:sz w:val="20"/>
        </w:rPr>
        <w:t xml:space="preserve"> </w:t>
      </w:r>
      <w:r>
        <w:rPr>
          <w:color w:val="231F20"/>
          <w:spacing w:val="-3"/>
          <w:sz w:val="20"/>
        </w:rPr>
        <w:t xml:space="preserve">desirable’ </w:t>
      </w:r>
      <w:r>
        <w:rPr>
          <w:color w:val="231F20"/>
          <w:sz w:val="20"/>
        </w:rPr>
        <w:t xml:space="preserve">in the situation, </w:t>
      </w:r>
      <w:r>
        <w:rPr>
          <w:color w:val="231F20"/>
          <w:spacing w:val="-3"/>
          <w:sz w:val="20"/>
        </w:rPr>
        <w:t>for</w:t>
      </w:r>
      <w:r>
        <w:rPr>
          <w:color w:val="231F20"/>
          <w:spacing w:val="-17"/>
          <w:sz w:val="20"/>
        </w:rPr>
        <w:t xml:space="preserve"> </w:t>
      </w:r>
      <w:r>
        <w:rPr>
          <w:color w:val="231F20"/>
          <w:spacing w:val="-3"/>
          <w:sz w:val="20"/>
        </w:rPr>
        <w:t>example:</w:t>
      </w:r>
    </w:p>
    <w:p w14:paraId="62F745F8" w14:textId="77777777" w:rsidR="00894070" w:rsidRDefault="009B7AFD">
      <w:pPr>
        <w:pStyle w:val="ListParagraph"/>
        <w:numPr>
          <w:ilvl w:val="2"/>
          <w:numId w:val="102"/>
        </w:numPr>
        <w:tabs>
          <w:tab w:val="left" w:pos="2141"/>
          <w:tab w:val="left" w:pos="2142"/>
        </w:tabs>
        <w:spacing w:before="90"/>
        <w:ind w:hanging="340"/>
        <w:rPr>
          <w:sz w:val="20"/>
        </w:rPr>
      </w:pPr>
      <w:r>
        <w:rPr>
          <w:color w:val="231F20"/>
          <w:sz w:val="20"/>
        </w:rPr>
        <w:t xml:space="preserve">prohibiting the respondent </w:t>
      </w:r>
      <w:r>
        <w:rPr>
          <w:color w:val="231F20"/>
          <w:spacing w:val="-3"/>
          <w:sz w:val="20"/>
        </w:rPr>
        <w:t>from</w:t>
      </w:r>
      <w:r>
        <w:rPr>
          <w:color w:val="231F20"/>
          <w:spacing w:val="-19"/>
          <w:sz w:val="20"/>
        </w:rPr>
        <w:t xml:space="preserve"> </w:t>
      </w:r>
      <w:r>
        <w:rPr>
          <w:color w:val="231F20"/>
          <w:sz w:val="20"/>
        </w:rPr>
        <w:t>stalking</w:t>
      </w:r>
    </w:p>
    <w:p w14:paraId="4344177B" w14:textId="77777777" w:rsidR="00894070" w:rsidRDefault="009B7AFD">
      <w:pPr>
        <w:pStyle w:val="ListParagraph"/>
        <w:numPr>
          <w:ilvl w:val="2"/>
          <w:numId w:val="102"/>
        </w:numPr>
        <w:tabs>
          <w:tab w:val="left" w:pos="2141"/>
          <w:tab w:val="left" w:pos="2142"/>
        </w:tabs>
        <w:spacing w:before="47"/>
        <w:ind w:hanging="340"/>
        <w:rPr>
          <w:sz w:val="20"/>
        </w:rPr>
      </w:pPr>
      <w:r>
        <w:rPr>
          <w:color w:val="231F20"/>
          <w:sz w:val="20"/>
        </w:rPr>
        <w:t>prohibiting</w:t>
      </w:r>
      <w:r>
        <w:rPr>
          <w:color w:val="231F20"/>
          <w:spacing w:val="-7"/>
          <w:sz w:val="20"/>
        </w:rPr>
        <w:t xml:space="preserve"> </w:t>
      </w:r>
      <w:r>
        <w:rPr>
          <w:color w:val="231F20"/>
          <w:sz w:val="20"/>
        </w:rPr>
        <w:t>the</w:t>
      </w:r>
      <w:r>
        <w:rPr>
          <w:color w:val="231F20"/>
          <w:spacing w:val="-6"/>
          <w:sz w:val="20"/>
        </w:rPr>
        <w:t xml:space="preserve"> </w:t>
      </w:r>
      <w:r>
        <w:rPr>
          <w:color w:val="231F20"/>
          <w:sz w:val="20"/>
        </w:rPr>
        <w:t>respondent</w:t>
      </w:r>
      <w:r>
        <w:rPr>
          <w:color w:val="231F20"/>
          <w:spacing w:val="-6"/>
          <w:sz w:val="20"/>
        </w:rPr>
        <w:t xml:space="preserve"> </w:t>
      </w:r>
      <w:r>
        <w:rPr>
          <w:color w:val="231F20"/>
          <w:spacing w:val="-3"/>
          <w:sz w:val="20"/>
        </w:rPr>
        <w:t>from</w:t>
      </w:r>
      <w:r>
        <w:rPr>
          <w:color w:val="231F20"/>
          <w:spacing w:val="-6"/>
          <w:sz w:val="20"/>
        </w:rPr>
        <w:t xml:space="preserve"> </w:t>
      </w:r>
      <w:r>
        <w:rPr>
          <w:color w:val="231F20"/>
          <w:sz w:val="20"/>
        </w:rPr>
        <w:t>approaching</w:t>
      </w:r>
      <w:r>
        <w:rPr>
          <w:color w:val="231F20"/>
          <w:spacing w:val="-6"/>
          <w:sz w:val="20"/>
        </w:rPr>
        <w:t xml:space="preserve"> </w:t>
      </w:r>
      <w:r>
        <w:rPr>
          <w:color w:val="231F20"/>
          <w:sz w:val="20"/>
        </w:rPr>
        <w:t>or</w:t>
      </w:r>
      <w:r>
        <w:rPr>
          <w:color w:val="231F20"/>
          <w:spacing w:val="-6"/>
          <w:sz w:val="20"/>
        </w:rPr>
        <w:t xml:space="preserve"> </w:t>
      </w:r>
      <w:r>
        <w:rPr>
          <w:color w:val="231F20"/>
          <w:sz w:val="20"/>
        </w:rPr>
        <w:t>contacting</w:t>
      </w:r>
      <w:r>
        <w:rPr>
          <w:color w:val="231F20"/>
          <w:spacing w:val="-5"/>
          <w:sz w:val="20"/>
        </w:rPr>
        <w:t xml:space="preserve"> </w:t>
      </w:r>
      <w:r>
        <w:rPr>
          <w:color w:val="231F20"/>
          <w:sz w:val="20"/>
        </w:rPr>
        <w:t>the</w:t>
      </w:r>
      <w:r>
        <w:rPr>
          <w:color w:val="231F20"/>
          <w:spacing w:val="-6"/>
          <w:sz w:val="20"/>
        </w:rPr>
        <w:t xml:space="preserve"> </w:t>
      </w:r>
      <w:r>
        <w:rPr>
          <w:color w:val="231F20"/>
          <w:spacing w:val="-3"/>
          <w:sz w:val="20"/>
        </w:rPr>
        <w:t>protected</w:t>
      </w:r>
      <w:r>
        <w:rPr>
          <w:color w:val="231F20"/>
          <w:spacing w:val="-6"/>
          <w:sz w:val="20"/>
        </w:rPr>
        <w:t xml:space="preserve"> </w:t>
      </w:r>
      <w:r>
        <w:rPr>
          <w:color w:val="231F20"/>
          <w:sz w:val="20"/>
        </w:rPr>
        <w:t>person</w:t>
      </w:r>
    </w:p>
    <w:p w14:paraId="2645A21A" w14:textId="77777777" w:rsidR="00894070" w:rsidRDefault="009B7AFD">
      <w:pPr>
        <w:pStyle w:val="ListParagraph"/>
        <w:numPr>
          <w:ilvl w:val="2"/>
          <w:numId w:val="102"/>
        </w:numPr>
        <w:tabs>
          <w:tab w:val="left" w:pos="2141"/>
          <w:tab w:val="left" w:pos="2142"/>
        </w:tabs>
        <w:spacing w:before="80" w:line="206" w:lineRule="auto"/>
        <w:ind w:right="1320" w:hanging="340"/>
        <w:rPr>
          <w:sz w:val="20"/>
        </w:rPr>
      </w:pPr>
      <w:r>
        <w:rPr>
          <w:color w:val="231F20"/>
          <w:sz w:val="20"/>
        </w:rPr>
        <w:t>prohibiting</w:t>
      </w:r>
      <w:r>
        <w:rPr>
          <w:color w:val="231F20"/>
          <w:spacing w:val="-9"/>
          <w:sz w:val="20"/>
        </w:rPr>
        <w:t xml:space="preserve"> </w:t>
      </w:r>
      <w:r>
        <w:rPr>
          <w:color w:val="231F20"/>
          <w:sz w:val="20"/>
        </w:rPr>
        <w:t>the</w:t>
      </w:r>
      <w:r>
        <w:rPr>
          <w:color w:val="231F20"/>
          <w:spacing w:val="-9"/>
          <w:sz w:val="20"/>
        </w:rPr>
        <w:t xml:space="preserve"> </w:t>
      </w:r>
      <w:r>
        <w:rPr>
          <w:color w:val="231F20"/>
          <w:spacing w:val="-2"/>
          <w:sz w:val="20"/>
        </w:rPr>
        <w:t>respondent</w:t>
      </w:r>
      <w:r>
        <w:rPr>
          <w:color w:val="231F20"/>
          <w:spacing w:val="-9"/>
          <w:sz w:val="20"/>
        </w:rPr>
        <w:t xml:space="preserve"> </w:t>
      </w:r>
      <w:r>
        <w:rPr>
          <w:color w:val="231F20"/>
          <w:spacing w:val="-3"/>
          <w:sz w:val="20"/>
        </w:rPr>
        <w:t>from</w:t>
      </w:r>
      <w:r>
        <w:rPr>
          <w:color w:val="231F20"/>
          <w:spacing w:val="-9"/>
          <w:sz w:val="20"/>
        </w:rPr>
        <w:t xml:space="preserve"> </w:t>
      </w:r>
      <w:r>
        <w:rPr>
          <w:color w:val="231F20"/>
          <w:sz w:val="20"/>
        </w:rPr>
        <w:t>being</w:t>
      </w:r>
      <w:r>
        <w:rPr>
          <w:color w:val="231F20"/>
          <w:spacing w:val="-9"/>
          <w:sz w:val="20"/>
        </w:rPr>
        <w:t xml:space="preserve"> </w:t>
      </w:r>
      <w:r>
        <w:rPr>
          <w:color w:val="231F20"/>
          <w:sz w:val="20"/>
        </w:rPr>
        <w:t>within</w:t>
      </w:r>
      <w:r>
        <w:rPr>
          <w:color w:val="231F20"/>
          <w:spacing w:val="-9"/>
          <w:sz w:val="20"/>
        </w:rPr>
        <w:t xml:space="preserve"> </w:t>
      </w:r>
      <w:r>
        <w:rPr>
          <w:color w:val="231F20"/>
          <w:sz w:val="20"/>
        </w:rPr>
        <w:t>a</w:t>
      </w:r>
      <w:r>
        <w:rPr>
          <w:color w:val="231F20"/>
          <w:spacing w:val="-9"/>
          <w:sz w:val="20"/>
        </w:rPr>
        <w:t xml:space="preserve"> </w:t>
      </w:r>
      <w:r>
        <w:rPr>
          <w:color w:val="231F20"/>
          <w:sz w:val="20"/>
        </w:rPr>
        <w:t>specified</w:t>
      </w:r>
      <w:r>
        <w:rPr>
          <w:color w:val="231F20"/>
          <w:spacing w:val="-9"/>
          <w:sz w:val="20"/>
        </w:rPr>
        <w:t xml:space="preserve"> </w:t>
      </w:r>
      <w:r>
        <w:rPr>
          <w:color w:val="231F20"/>
          <w:sz w:val="20"/>
        </w:rPr>
        <w:t>distance</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 xml:space="preserve">protected </w:t>
      </w:r>
      <w:r>
        <w:rPr>
          <w:color w:val="231F20"/>
          <w:sz w:val="20"/>
        </w:rPr>
        <w:t>person or a specified</w:t>
      </w:r>
      <w:r>
        <w:rPr>
          <w:color w:val="231F20"/>
          <w:spacing w:val="-18"/>
          <w:sz w:val="20"/>
        </w:rPr>
        <w:t xml:space="preserve"> </w:t>
      </w:r>
      <w:r>
        <w:rPr>
          <w:color w:val="231F20"/>
          <w:sz w:val="20"/>
        </w:rPr>
        <w:t>place</w:t>
      </w:r>
    </w:p>
    <w:p w14:paraId="58687FCF" w14:textId="77777777" w:rsidR="00894070" w:rsidRDefault="009B7AFD">
      <w:pPr>
        <w:pStyle w:val="ListParagraph"/>
        <w:numPr>
          <w:ilvl w:val="2"/>
          <w:numId w:val="102"/>
        </w:numPr>
        <w:tabs>
          <w:tab w:val="left" w:pos="2141"/>
          <w:tab w:val="left" w:pos="2142"/>
        </w:tabs>
        <w:spacing w:before="55"/>
        <w:ind w:hanging="340"/>
        <w:rPr>
          <w:sz w:val="11"/>
        </w:rPr>
      </w:pPr>
      <w:r>
        <w:rPr>
          <w:color w:val="231F20"/>
          <w:spacing w:val="-3"/>
          <w:sz w:val="20"/>
        </w:rPr>
        <w:t xml:space="preserve">revoking </w:t>
      </w:r>
      <w:r>
        <w:rPr>
          <w:color w:val="231F20"/>
          <w:sz w:val="20"/>
        </w:rPr>
        <w:t xml:space="preserve">or suspending a weapons </w:t>
      </w:r>
      <w:r>
        <w:rPr>
          <w:color w:val="231F20"/>
          <w:spacing w:val="-3"/>
          <w:sz w:val="20"/>
        </w:rPr>
        <w:t xml:space="preserve">approval </w:t>
      </w:r>
      <w:r>
        <w:rPr>
          <w:color w:val="231F20"/>
          <w:sz w:val="20"/>
        </w:rPr>
        <w:t xml:space="preserve">held </w:t>
      </w:r>
      <w:r>
        <w:rPr>
          <w:color w:val="231F20"/>
          <w:spacing w:val="-3"/>
          <w:sz w:val="20"/>
        </w:rPr>
        <w:t xml:space="preserve">by </w:t>
      </w:r>
      <w:r>
        <w:rPr>
          <w:color w:val="231F20"/>
          <w:sz w:val="20"/>
        </w:rPr>
        <w:t>the</w:t>
      </w:r>
      <w:r>
        <w:rPr>
          <w:color w:val="231F20"/>
          <w:spacing w:val="-32"/>
          <w:sz w:val="20"/>
        </w:rPr>
        <w:t xml:space="preserve"> </w:t>
      </w:r>
      <w:r>
        <w:rPr>
          <w:color w:val="231F20"/>
          <w:sz w:val="20"/>
        </w:rPr>
        <w:t>respondent.</w:t>
      </w:r>
      <w:r>
        <w:rPr>
          <w:color w:val="231F20"/>
          <w:position w:val="7"/>
          <w:sz w:val="11"/>
        </w:rPr>
        <w:t>20</w:t>
      </w:r>
    </w:p>
    <w:p w14:paraId="3BFC032A" w14:textId="77777777" w:rsidR="00894070" w:rsidRDefault="009B7AFD">
      <w:pPr>
        <w:pStyle w:val="ListParagraph"/>
        <w:numPr>
          <w:ilvl w:val="1"/>
          <w:numId w:val="102"/>
        </w:numPr>
        <w:tabs>
          <w:tab w:val="left" w:pos="1801"/>
          <w:tab w:val="left" w:pos="1802"/>
        </w:tabs>
        <w:spacing w:before="80" w:line="206" w:lineRule="auto"/>
        <w:ind w:right="1314"/>
        <w:rPr>
          <w:sz w:val="11"/>
        </w:rPr>
      </w:pPr>
      <w:r>
        <w:rPr>
          <w:color w:val="231F20"/>
          <w:sz w:val="20"/>
        </w:rPr>
        <w:t xml:space="preserve">The </w:t>
      </w:r>
      <w:r>
        <w:rPr>
          <w:color w:val="231F20"/>
          <w:spacing w:val="-3"/>
          <w:sz w:val="20"/>
        </w:rPr>
        <w:t xml:space="preserve">difference </w:t>
      </w:r>
      <w:r>
        <w:rPr>
          <w:color w:val="231F20"/>
          <w:sz w:val="20"/>
        </w:rPr>
        <w:t xml:space="preserve">between </w:t>
      </w:r>
      <w:r>
        <w:rPr>
          <w:color w:val="231F20"/>
          <w:spacing w:val="-3"/>
          <w:sz w:val="20"/>
        </w:rPr>
        <w:t xml:space="preserve">family </w:t>
      </w:r>
      <w:r>
        <w:rPr>
          <w:color w:val="231F20"/>
          <w:sz w:val="20"/>
        </w:rPr>
        <w:t xml:space="preserve">and non-family members can sometimes be unclear under the legislation. </w:t>
      </w:r>
      <w:r>
        <w:rPr>
          <w:color w:val="231F20"/>
          <w:spacing w:val="-3"/>
          <w:sz w:val="20"/>
        </w:rPr>
        <w:t xml:space="preserve">For example, </w:t>
      </w:r>
      <w:r>
        <w:rPr>
          <w:color w:val="231F20"/>
          <w:sz w:val="20"/>
        </w:rPr>
        <w:t xml:space="preserve">someone’s </w:t>
      </w:r>
      <w:r>
        <w:rPr>
          <w:color w:val="231F20"/>
          <w:spacing w:val="-3"/>
          <w:sz w:val="20"/>
        </w:rPr>
        <w:t xml:space="preserve">current </w:t>
      </w:r>
      <w:r>
        <w:rPr>
          <w:color w:val="231F20"/>
          <w:sz w:val="20"/>
        </w:rPr>
        <w:t xml:space="preserve">or former </w:t>
      </w:r>
      <w:r>
        <w:rPr>
          <w:color w:val="231F20"/>
          <w:spacing w:val="-3"/>
          <w:sz w:val="20"/>
        </w:rPr>
        <w:t xml:space="preserve">intimate </w:t>
      </w:r>
      <w:r>
        <w:rPr>
          <w:color w:val="231F20"/>
          <w:sz w:val="20"/>
        </w:rPr>
        <w:t xml:space="preserve">partner counts as a </w:t>
      </w:r>
      <w:r>
        <w:rPr>
          <w:color w:val="231F20"/>
          <w:spacing w:val="-3"/>
          <w:sz w:val="20"/>
        </w:rPr>
        <w:t xml:space="preserve">family member, </w:t>
      </w:r>
      <w:r>
        <w:rPr>
          <w:color w:val="231F20"/>
          <w:sz w:val="20"/>
        </w:rPr>
        <w:t xml:space="preserve">but </w:t>
      </w:r>
      <w:r>
        <w:rPr>
          <w:color w:val="231F20"/>
          <w:spacing w:val="-3"/>
          <w:sz w:val="20"/>
        </w:rPr>
        <w:t xml:space="preserve">anyone </w:t>
      </w:r>
      <w:r>
        <w:rPr>
          <w:color w:val="231F20"/>
          <w:sz w:val="20"/>
        </w:rPr>
        <w:t xml:space="preserve">associated with that person—such as their </w:t>
      </w:r>
      <w:r>
        <w:rPr>
          <w:color w:val="231F20"/>
          <w:spacing w:val="-3"/>
          <w:sz w:val="20"/>
        </w:rPr>
        <w:t>family</w:t>
      </w:r>
      <w:r>
        <w:rPr>
          <w:color w:val="231F20"/>
          <w:spacing w:val="-14"/>
          <w:sz w:val="20"/>
        </w:rPr>
        <w:t xml:space="preserve"> </w:t>
      </w:r>
      <w:r>
        <w:rPr>
          <w:color w:val="231F20"/>
          <w:sz w:val="20"/>
        </w:rPr>
        <w:t>or</w:t>
      </w:r>
      <w:r>
        <w:rPr>
          <w:color w:val="231F20"/>
          <w:spacing w:val="-13"/>
          <w:sz w:val="20"/>
        </w:rPr>
        <w:t xml:space="preserve"> </w:t>
      </w:r>
      <w:r>
        <w:rPr>
          <w:color w:val="231F20"/>
          <w:sz w:val="20"/>
        </w:rPr>
        <w:t>new</w:t>
      </w:r>
      <w:r>
        <w:rPr>
          <w:color w:val="231F20"/>
          <w:spacing w:val="-13"/>
          <w:sz w:val="20"/>
        </w:rPr>
        <w:t xml:space="preserve"> </w:t>
      </w:r>
      <w:r>
        <w:rPr>
          <w:color w:val="231F20"/>
          <w:sz w:val="20"/>
        </w:rPr>
        <w:t>partner—does</w:t>
      </w:r>
      <w:r>
        <w:rPr>
          <w:color w:val="231F20"/>
          <w:spacing w:val="-14"/>
          <w:sz w:val="20"/>
        </w:rPr>
        <w:t xml:space="preserve"> </w:t>
      </w:r>
      <w:r>
        <w:rPr>
          <w:color w:val="231F20"/>
          <w:sz w:val="20"/>
        </w:rPr>
        <w:t>not.</w:t>
      </w:r>
      <w:r>
        <w:rPr>
          <w:color w:val="231F20"/>
          <w:spacing w:val="-13"/>
          <w:sz w:val="20"/>
        </w:rPr>
        <w:t xml:space="preserve"> </w:t>
      </w:r>
      <w:r>
        <w:rPr>
          <w:color w:val="231F20"/>
          <w:sz w:val="20"/>
        </w:rPr>
        <w:t>In</w:t>
      </w:r>
      <w:r>
        <w:rPr>
          <w:color w:val="231F20"/>
          <w:spacing w:val="-13"/>
          <w:sz w:val="20"/>
        </w:rPr>
        <w:t xml:space="preserve"> </w:t>
      </w:r>
      <w:r>
        <w:rPr>
          <w:color w:val="231F20"/>
          <w:sz w:val="20"/>
        </w:rPr>
        <w:t>these</w:t>
      </w:r>
      <w:r>
        <w:rPr>
          <w:color w:val="231F20"/>
          <w:spacing w:val="-14"/>
          <w:sz w:val="20"/>
        </w:rPr>
        <w:t xml:space="preserve"> </w:t>
      </w:r>
      <w:proofErr w:type="gramStart"/>
      <w:r>
        <w:rPr>
          <w:color w:val="231F20"/>
          <w:sz w:val="20"/>
        </w:rPr>
        <w:t>situations</w:t>
      </w:r>
      <w:proofErr w:type="gramEnd"/>
      <w:r>
        <w:rPr>
          <w:color w:val="231F20"/>
          <w:spacing w:val="-13"/>
          <w:sz w:val="20"/>
        </w:rPr>
        <w:t xml:space="preserve"> </w:t>
      </w:r>
      <w:r>
        <w:rPr>
          <w:color w:val="231F20"/>
          <w:sz w:val="20"/>
        </w:rPr>
        <w:t>affected</w:t>
      </w:r>
      <w:r>
        <w:rPr>
          <w:color w:val="231F20"/>
          <w:spacing w:val="-13"/>
          <w:sz w:val="20"/>
        </w:rPr>
        <w:t xml:space="preserve"> </w:t>
      </w:r>
      <w:r>
        <w:rPr>
          <w:color w:val="231F20"/>
          <w:sz w:val="20"/>
        </w:rPr>
        <w:t>non-family</w:t>
      </w:r>
      <w:r>
        <w:rPr>
          <w:color w:val="231F20"/>
          <w:spacing w:val="-13"/>
          <w:sz w:val="20"/>
        </w:rPr>
        <w:t xml:space="preserve"> </w:t>
      </w:r>
      <w:r>
        <w:rPr>
          <w:color w:val="231F20"/>
          <w:sz w:val="20"/>
        </w:rPr>
        <w:t>members</w:t>
      </w:r>
      <w:r>
        <w:rPr>
          <w:color w:val="231F20"/>
          <w:spacing w:val="-14"/>
          <w:sz w:val="20"/>
        </w:rPr>
        <w:t xml:space="preserve"> </w:t>
      </w:r>
      <w:r>
        <w:rPr>
          <w:color w:val="231F20"/>
          <w:sz w:val="20"/>
        </w:rPr>
        <w:t xml:space="preserve">can be </w:t>
      </w:r>
      <w:r>
        <w:rPr>
          <w:color w:val="231F20"/>
          <w:spacing w:val="-3"/>
          <w:sz w:val="20"/>
        </w:rPr>
        <w:t xml:space="preserve">protected by family </w:t>
      </w:r>
      <w:r>
        <w:rPr>
          <w:color w:val="231F20"/>
          <w:sz w:val="20"/>
        </w:rPr>
        <w:t xml:space="preserve">violence </w:t>
      </w:r>
      <w:r>
        <w:rPr>
          <w:color w:val="231F20"/>
          <w:spacing w:val="-2"/>
          <w:sz w:val="20"/>
        </w:rPr>
        <w:t xml:space="preserve">intervention </w:t>
      </w:r>
      <w:r>
        <w:rPr>
          <w:color w:val="231F20"/>
          <w:sz w:val="20"/>
        </w:rPr>
        <w:t xml:space="preserve">orders but PSIOs </w:t>
      </w:r>
      <w:r>
        <w:rPr>
          <w:color w:val="231F20"/>
          <w:spacing w:val="-3"/>
          <w:sz w:val="20"/>
        </w:rPr>
        <w:t xml:space="preserve">are </w:t>
      </w:r>
      <w:r>
        <w:rPr>
          <w:color w:val="231F20"/>
          <w:sz w:val="20"/>
        </w:rPr>
        <w:t>also</w:t>
      </w:r>
      <w:r>
        <w:rPr>
          <w:color w:val="231F20"/>
          <w:spacing w:val="-33"/>
          <w:sz w:val="20"/>
        </w:rPr>
        <w:t xml:space="preserve"> </w:t>
      </w:r>
      <w:r>
        <w:rPr>
          <w:color w:val="231F20"/>
          <w:sz w:val="20"/>
        </w:rPr>
        <w:t>used.</w:t>
      </w:r>
      <w:r>
        <w:rPr>
          <w:color w:val="231F20"/>
          <w:position w:val="7"/>
          <w:sz w:val="11"/>
        </w:rPr>
        <w:t>21</w:t>
      </w:r>
    </w:p>
    <w:p w14:paraId="4E12295D" w14:textId="77777777" w:rsidR="00894070" w:rsidRDefault="00894070">
      <w:pPr>
        <w:pStyle w:val="BodyText"/>
        <w:spacing w:before="13"/>
        <w:rPr>
          <w:sz w:val="15"/>
        </w:rPr>
      </w:pPr>
    </w:p>
    <w:p w14:paraId="29C9BD16" w14:textId="77777777" w:rsidR="00894070" w:rsidRDefault="009B7AFD">
      <w:pPr>
        <w:pStyle w:val="Heading8"/>
        <w:ind w:left="1007"/>
      </w:pPr>
      <w:r>
        <w:rPr>
          <w:color w:val="231F20"/>
        </w:rPr>
        <w:t>The need for a focused response</w:t>
      </w:r>
    </w:p>
    <w:p w14:paraId="3B67C8D6" w14:textId="77777777" w:rsidR="00894070" w:rsidRDefault="009F6793">
      <w:pPr>
        <w:pStyle w:val="BodyText"/>
        <w:spacing w:before="11"/>
        <w:rPr>
          <w:b/>
          <w:sz w:val="23"/>
        </w:rPr>
      </w:pPr>
      <w:r>
        <w:pict w14:anchorId="305374FB">
          <v:shape id="_x0000_s1355" type="#_x0000_t202" style="position:absolute;margin-left:119.3pt;margin-top:18.7pt;width:395.65pt;height:56.1pt;z-index:251640832;mso-wrap-distance-left:0;mso-wrap-distance-right:0;mso-position-horizontal-relative:page" fillcolor="#fee7de" strokecolor="#ea5b50" strokeweight=".5pt">
            <v:textbox inset="0,0,0,0">
              <w:txbxContent>
                <w:p w14:paraId="251A6DD0" w14:textId="77777777" w:rsidR="00894070" w:rsidRDefault="00894070">
                  <w:pPr>
                    <w:pStyle w:val="BodyText"/>
                    <w:spacing w:before="3"/>
                    <w:rPr>
                      <w:b/>
                      <w:sz w:val="15"/>
                    </w:rPr>
                  </w:pPr>
                </w:p>
                <w:p w14:paraId="01F37BDD" w14:textId="77777777" w:rsidR="00894070" w:rsidRDefault="009B7AFD">
                  <w:pPr>
                    <w:pStyle w:val="BodyText"/>
                    <w:spacing w:line="206" w:lineRule="auto"/>
                    <w:ind w:left="221" w:right="217"/>
                    <w:rPr>
                      <w:sz w:val="11"/>
                    </w:rPr>
                  </w:pPr>
                  <w:r>
                    <w:rPr>
                      <w:color w:val="231F20"/>
                    </w:rPr>
                    <w:t>In reality the Personal Safety Intervention Order[s] Act appears to be a sharp, shiny sword, but when you pick the sword up to examine it, both edges are blunt and the blade is made of styro[foam].</w:t>
                  </w:r>
                  <w:r>
                    <w:rPr>
                      <w:color w:val="231F20"/>
                      <w:position w:val="7"/>
                      <w:sz w:val="11"/>
                    </w:rPr>
                    <w:t>22</w:t>
                  </w:r>
                </w:p>
              </w:txbxContent>
            </v:textbox>
            <w10:wrap type="topAndBottom" anchorx="page"/>
          </v:shape>
        </w:pict>
      </w:r>
    </w:p>
    <w:p w14:paraId="17909D66" w14:textId="77777777" w:rsidR="00894070" w:rsidRDefault="00894070">
      <w:pPr>
        <w:pStyle w:val="BodyText"/>
        <w:rPr>
          <w:b/>
        </w:rPr>
      </w:pPr>
    </w:p>
    <w:p w14:paraId="21F31BDC" w14:textId="77777777" w:rsidR="00894070" w:rsidRDefault="00894070">
      <w:pPr>
        <w:pStyle w:val="BodyText"/>
        <w:rPr>
          <w:b/>
        </w:rPr>
      </w:pPr>
    </w:p>
    <w:p w14:paraId="06809D8B" w14:textId="77777777" w:rsidR="00894070" w:rsidRDefault="009F6793">
      <w:pPr>
        <w:pStyle w:val="BodyText"/>
        <w:rPr>
          <w:b/>
          <w:sz w:val="23"/>
        </w:rPr>
      </w:pPr>
      <w:r>
        <w:pict w14:anchorId="0CBB7DA7">
          <v:line id="_x0000_s1354" style="position:absolute;z-index:251641856;mso-wrap-distance-left:0;mso-wrap-distance-right:0;mso-position-horizontal-relative:page" from="79.35pt,18.45pt" to="515.9pt,18.45pt" strokecolor="#f8cabc" strokeweight="1pt">
            <w10:wrap type="topAndBottom" anchorx="page"/>
          </v:line>
        </w:pict>
      </w:r>
    </w:p>
    <w:p w14:paraId="0F289013" w14:textId="77777777" w:rsidR="00894070" w:rsidRDefault="009B7AFD">
      <w:pPr>
        <w:tabs>
          <w:tab w:val="left" w:pos="1800"/>
        </w:tabs>
        <w:spacing w:before="91" w:line="170" w:lineRule="exact"/>
        <w:ind w:left="1007"/>
        <w:rPr>
          <w:sz w:val="13"/>
        </w:rPr>
      </w:pPr>
      <w:r>
        <w:rPr>
          <w:color w:val="231F20"/>
          <w:spacing w:val="2"/>
          <w:sz w:val="13"/>
        </w:rPr>
        <w:t>14</w:t>
      </w:r>
      <w:r>
        <w:rPr>
          <w:color w:val="231F20"/>
          <w:spacing w:val="2"/>
          <w:sz w:val="13"/>
        </w:rPr>
        <w:tab/>
      </w:r>
      <w:r>
        <w:rPr>
          <w:color w:val="231F20"/>
          <w:sz w:val="13"/>
        </w:rPr>
        <w:t>Ibid s 35(1).</w:t>
      </w:r>
    </w:p>
    <w:p w14:paraId="222BF3AF" w14:textId="77777777" w:rsidR="00894070" w:rsidRDefault="009B7AFD">
      <w:pPr>
        <w:tabs>
          <w:tab w:val="left" w:pos="1801"/>
        </w:tabs>
        <w:spacing w:line="160" w:lineRule="exact"/>
        <w:ind w:left="1007"/>
        <w:rPr>
          <w:sz w:val="13"/>
        </w:rPr>
      </w:pPr>
      <w:r>
        <w:rPr>
          <w:color w:val="231F20"/>
          <w:sz w:val="13"/>
        </w:rPr>
        <w:t>15</w:t>
      </w:r>
      <w:r>
        <w:rPr>
          <w:color w:val="231F20"/>
          <w:sz w:val="13"/>
        </w:rPr>
        <w:tab/>
        <w:t>Ibid s 37.</w:t>
      </w:r>
    </w:p>
    <w:p w14:paraId="0B303EB1" w14:textId="77777777" w:rsidR="00894070" w:rsidRDefault="009B7AFD">
      <w:pPr>
        <w:tabs>
          <w:tab w:val="left" w:pos="1801"/>
        </w:tabs>
        <w:spacing w:line="160" w:lineRule="exact"/>
        <w:ind w:left="1007"/>
        <w:rPr>
          <w:sz w:val="13"/>
        </w:rPr>
      </w:pPr>
      <w:r>
        <w:rPr>
          <w:color w:val="231F20"/>
          <w:sz w:val="13"/>
        </w:rPr>
        <w:t>16</w:t>
      </w:r>
      <w:r>
        <w:rPr>
          <w:color w:val="231F20"/>
          <w:sz w:val="13"/>
        </w:rPr>
        <w:tab/>
        <w:t>Ibid s 35(2).</w:t>
      </w:r>
    </w:p>
    <w:p w14:paraId="54E1D607" w14:textId="77777777" w:rsidR="00894070" w:rsidRDefault="009B7AFD">
      <w:pPr>
        <w:pStyle w:val="ListParagraph"/>
        <w:numPr>
          <w:ilvl w:val="0"/>
          <w:numId w:val="98"/>
        </w:numPr>
        <w:tabs>
          <w:tab w:val="left" w:pos="1801"/>
          <w:tab w:val="left" w:pos="1802"/>
        </w:tabs>
        <w:spacing w:line="160" w:lineRule="exact"/>
        <w:rPr>
          <w:sz w:val="13"/>
        </w:rPr>
      </w:pPr>
      <w:r>
        <w:rPr>
          <w:color w:val="231F20"/>
          <w:sz w:val="13"/>
        </w:rPr>
        <w:t>Ibid s 43.</w:t>
      </w:r>
    </w:p>
    <w:p w14:paraId="76DCC08D" w14:textId="77777777" w:rsidR="00894070" w:rsidRDefault="009B7AFD">
      <w:pPr>
        <w:pStyle w:val="ListParagraph"/>
        <w:numPr>
          <w:ilvl w:val="0"/>
          <w:numId w:val="98"/>
        </w:numPr>
        <w:tabs>
          <w:tab w:val="left" w:pos="1801"/>
          <w:tab w:val="left" w:pos="1802"/>
        </w:tabs>
        <w:spacing w:before="6" w:line="213" w:lineRule="auto"/>
        <w:ind w:right="1372"/>
        <w:rPr>
          <w:sz w:val="13"/>
        </w:rPr>
      </w:pPr>
      <w:r>
        <w:rPr>
          <w:color w:val="231F20"/>
          <w:sz w:val="13"/>
        </w:rPr>
        <w:t xml:space="preserve">In family violence </w:t>
      </w:r>
      <w:r>
        <w:rPr>
          <w:color w:val="231F20"/>
          <w:spacing w:val="2"/>
          <w:sz w:val="13"/>
        </w:rPr>
        <w:t xml:space="preserve">cases, </w:t>
      </w:r>
      <w:r>
        <w:rPr>
          <w:color w:val="231F20"/>
          <w:sz w:val="13"/>
        </w:rPr>
        <w:t xml:space="preserve">the relevant order is a Family Violence Intervention Order (FVIO) under the </w:t>
      </w:r>
      <w:r>
        <w:rPr>
          <w:i/>
          <w:color w:val="231F20"/>
          <w:sz w:val="13"/>
        </w:rPr>
        <w:t xml:space="preserve">Family Violence Protection Act 2008 </w:t>
      </w:r>
      <w:r>
        <w:rPr>
          <w:color w:val="231F20"/>
          <w:sz w:val="13"/>
        </w:rPr>
        <w:t>(Vic).</w:t>
      </w:r>
    </w:p>
    <w:p w14:paraId="0DD3E4A6" w14:textId="77777777" w:rsidR="00894070" w:rsidRDefault="009B7AFD">
      <w:pPr>
        <w:pStyle w:val="ListParagraph"/>
        <w:numPr>
          <w:ilvl w:val="0"/>
          <w:numId w:val="98"/>
        </w:numPr>
        <w:tabs>
          <w:tab w:val="left" w:pos="1801"/>
          <w:tab w:val="left" w:pos="1802"/>
        </w:tabs>
        <w:spacing w:line="153" w:lineRule="exact"/>
        <w:rPr>
          <w:sz w:val="13"/>
        </w:rPr>
      </w:pPr>
      <w:r>
        <w:rPr>
          <w:i/>
          <w:color w:val="231F20"/>
          <w:sz w:val="13"/>
        </w:rPr>
        <w:t xml:space="preserve">Personal Safety Intervention Orders Act 2010 </w:t>
      </w:r>
      <w:r>
        <w:rPr>
          <w:color w:val="231F20"/>
          <w:sz w:val="13"/>
        </w:rPr>
        <w:t>(Vic) s</w:t>
      </w:r>
      <w:r>
        <w:rPr>
          <w:color w:val="231F20"/>
          <w:spacing w:val="3"/>
          <w:sz w:val="13"/>
        </w:rPr>
        <w:t xml:space="preserve"> </w:t>
      </w:r>
      <w:r>
        <w:rPr>
          <w:color w:val="231F20"/>
          <w:sz w:val="13"/>
        </w:rPr>
        <w:t>61(1).</w:t>
      </w:r>
    </w:p>
    <w:p w14:paraId="14F77EDC" w14:textId="77777777" w:rsidR="00894070" w:rsidRDefault="009B7AFD">
      <w:pPr>
        <w:pStyle w:val="ListParagraph"/>
        <w:numPr>
          <w:ilvl w:val="0"/>
          <w:numId w:val="98"/>
        </w:numPr>
        <w:tabs>
          <w:tab w:val="left" w:pos="1801"/>
          <w:tab w:val="left" w:pos="1802"/>
        </w:tabs>
        <w:spacing w:line="160" w:lineRule="exact"/>
        <w:rPr>
          <w:sz w:val="13"/>
        </w:rPr>
      </w:pPr>
      <w:r>
        <w:rPr>
          <w:color w:val="231F20"/>
          <w:sz w:val="13"/>
        </w:rPr>
        <w:t>Ibid s 67.</w:t>
      </w:r>
    </w:p>
    <w:p w14:paraId="75CA8D7E" w14:textId="77777777" w:rsidR="00894070" w:rsidRDefault="009F6793">
      <w:pPr>
        <w:pStyle w:val="ListParagraph"/>
        <w:numPr>
          <w:ilvl w:val="0"/>
          <w:numId w:val="98"/>
        </w:numPr>
        <w:tabs>
          <w:tab w:val="left" w:pos="1801"/>
          <w:tab w:val="left" w:pos="1802"/>
        </w:tabs>
        <w:spacing w:line="160" w:lineRule="exact"/>
        <w:rPr>
          <w:sz w:val="13"/>
        </w:rPr>
      </w:pPr>
      <w:r>
        <w:pict w14:anchorId="0FD0398D">
          <v:shape id="_x0000_s1353" type="#_x0000_t202" style="position:absolute;left:0;text-align:left;margin-left:36pt;margin-top:3.7pt;width:14.6pt;height:14.1pt;z-index:251714560;mso-position-horizontal-relative:page" filled="f" stroked="f">
            <v:textbox inset="0,0,0,0">
              <w:txbxContent>
                <w:p w14:paraId="571A4727" w14:textId="77777777" w:rsidR="00894070" w:rsidRDefault="009B7AFD">
                  <w:pPr>
                    <w:spacing w:line="282" w:lineRule="exact"/>
                    <w:rPr>
                      <w:b/>
                      <w:sz w:val="24"/>
                    </w:rPr>
                  </w:pPr>
                  <w:r>
                    <w:rPr>
                      <w:b/>
                      <w:color w:val="EA5B50"/>
                      <w:sz w:val="24"/>
                    </w:rPr>
                    <w:t>98</w:t>
                  </w:r>
                </w:p>
              </w:txbxContent>
            </v:textbox>
            <w10:wrap anchorx="page"/>
          </v:shape>
        </w:pict>
      </w:r>
      <w:r w:rsidR="009B7AFD">
        <w:rPr>
          <w:i/>
          <w:color w:val="231F20"/>
          <w:sz w:val="13"/>
        </w:rPr>
        <w:t xml:space="preserve">DPP v Banks (a pseudonym) </w:t>
      </w:r>
      <w:r w:rsidR="009B7AFD">
        <w:rPr>
          <w:color w:val="231F20"/>
          <w:sz w:val="13"/>
        </w:rPr>
        <w:t xml:space="preserve">[2019] VCC </w:t>
      </w:r>
      <w:r w:rsidR="009B7AFD">
        <w:rPr>
          <w:color w:val="231F20"/>
          <w:spacing w:val="2"/>
          <w:sz w:val="13"/>
        </w:rPr>
        <w:t xml:space="preserve">1185, </w:t>
      </w:r>
      <w:r w:rsidR="009B7AFD">
        <w:rPr>
          <w:color w:val="231F20"/>
          <w:sz w:val="13"/>
        </w:rPr>
        <w:t xml:space="preserve">[22]; </w:t>
      </w:r>
      <w:r w:rsidR="009B7AFD">
        <w:rPr>
          <w:i/>
          <w:color w:val="231F20"/>
          <w:sz w:val="13"/>
        </w:rPr>
        <w:t xml:space="preserve">Family Violence Protection Act 2008 </w:t>
      </w:r>
      <w:r w:rsidR="009B7AFD">
        <w:rPr>
          <w:color w:val="231F20"/>
          <w:sz w:val="13"/>
        </w:rPr>
        <w:t>(Vic) s</w:t>
      </w:r>
      <w:r w:rsidR="009B7AFD">
        <w:rPr>
          <w:color w:val="231F20"/>
          <w:spacing w:val="10"/>
          <w:sz w:val="13"/>
        </w:rPr>
        <w:t xml:space="preserve"> </w:t>
      </w:r>
      <w:r w:rsidR="009B7AFD">
        <w:rPr>
          <w:color w:val="231F20"/>
          <w:sz w:val="13"/>
        </w:rPr>
        <w:t>76.</w:t>
      </w:r>
    </w:p>
    <w:p w14:paraId="76A3173A" w14:textId="77777777" w:rsidR="00894070" w:rsidRDefault="009B7AFD">
      <w:pPr>
        <w:pStyle w:val="ListParagraph"/>
        <w:numPr>
          <w:ilvl w:val="0"/>
          <w:numId w:val="98"/>
        </w:numPr>
        <w:tabs>
          <w:tab w:val="left" w:pos="1800"/>
          <w:tab w:val="left" w:pos="1802"/>
        </w:tabs>
        <w:spacing w:line="170" w:lineRule="exact"/>
        <w:rPr>
          <w:sz w:val="13"/>
        </w:rPr>
      </w:pPr>
      <w:r>
        <w:rPr>
          <w:color w:val="231F20"/>
          <w:spacing w:val="2"/>
          <w:sz w:val="13"/>
        </w:rPr>
        <w:t xml:space="preserve">Submission </w:t>
      </w:r>
      <w:r>
        <w:rPr>
          <w:color w:val="231F20"/>
          <w:sz w:val="13"/>
        </w:rPr>
        <w:t>107 (J</w:t>
      </w:r>
      <w:r>
        <w:rPr>
          <w:color w:val="231F20"/>
          <w:spacing w:val="-2"/>
          <w:sz w:val="13"/>
        </w:rPr>
        <w:t xml:space="preserve"> </w:t>
      </w:r>
      <w:r>
        <w:rPr>
          <w:color w:val="231F20"/>
          <w:sz w:val="13"/>
        </w:rPr>
        <w:t>Starr).</w:t>
      </w:r>
    </w:p>
    <w:p w14:paraId="69BF0108" w14:textId="77777777" w:rsidR="00894070" w:rsidRDefault="00894070">
      <w:pPr>
        <w:spacing w:line="170" w:lineRule="exact"/>
        <w:rPr>
          <w:sz w:val="13"/>
        </w:rPr>
        <w:sectPr w:rsidR="00894070">
          <w:pgSz w:w="11910" w:h="16840"/>
          <w:pgMar w:top="860" w:right="420" w:bottom="280" w:left="580" w:header="567" w:footer="0" w:gutter="0"/>
          <w:cols w:space="720"/>
        </w:sectPr>
      </w:pPr>
    </w:p>
    <w:p w14:paraId="5F977E93" w14:textId="77777777" w:rsidR="00894070" w:rsidRDefault="00894070">
      <w:pPr>
        <w:pStyle w:val="BodyText"/>
      </w:pPr>
    </w:p>
    <w:p w14:paraId="51DFB21B" w14:textId="77777777" w:rsidR="00894070" w:rsidRDefault="00894070">
      <w:pPr>
        <w:pStyle w:val="BodyText"/>
      </w:pPr>
    </w:p>
    <w:p w14:paraId="0DC09472" w14:textId="77777777" w:rsidR="00894070" w:rsidRDefault="00894070">
      <w:pPr>
        <w:pStyle w:val="BodyText"/>
      </w:pPr>
    </w:p>
    <w:p w14:paraId="300B9CB3" w14:textId="77777777" w:rsidR="00894070" w:rsidRDefault="00894070">
      <w:pPr>
        <w:pStyle w:val="BodyText"/>
        <w:spacing w:before="6"/>
        <w:rPr>
          <w:sz w:val="14"/>
        </w:rPr>
      </w:pPr>
    </w:p>
    <w:p w14:paraId="48875D36" w14:textId="77777777" w:rsidR="00894070" w:rsidRDefault="009B7AFD">
      <w:pPr>
        <w:pStyle w:val="ListParagraph"/>
        <w:numPr>
          <w:ilvl w:val="1"/>
          <w:numId w:val="102"/>
        </w:numPr>
        <w:tabs>
          <w:tab w:val="left" w:pos="1801"/>
          <w:tab w:val="left" w:pos="1802"/>
        </w:tabs>
        <w:spacing w:before="90" w:line="206" w:lineRule="auto"/>
        <w:ind w:right="1235"/>
        <w:rPr>
          <w:sz w:val="20"/>
        </w:rPr>
      </w:pPr>
      <w:r>
        <w:rPr>
          <w:color w:val="231F20"/>
          <w:sz w:val="20"/>
        </w:rPr>
        <w:t xml:space="preserve">Under the </w:t>
      </w:r>
      <w:r>
        <w:rPr>
          <w:color w:val="231F20"/>
          <w:spacing w:val="-3"/>
          <w:sz w:val="20"/>
        </w:rPr>
        <w:t xml:space="preserve">previous </w:t>
      </w:r>
      <w:r>
        <w:rPr>
          <w:color w:val="231F20"/>
          <w:sz w:val="20"/>
        </w:rPr>
        <w:t xml:space="preserve">legislative scheme, set out in the </w:t>
      </w:r>
      <w:r>
        <w:rPr>
          <w:i/>
          <w:color w:val="231F20"/>
          <w:sz w:val="20"/>
        </w:rPr>
        <w:t xml:space="preserve">Stalking Intervention Orders Act 2008 </w:t>
      </w:r>
      <w:r>
        <w:rPr>
          <w:color w:val="231F20"/>
          <w:spacing w:val="-2"/>
          <w:sz w:val="20"/>
        </w:rPr>
        <w:t xml:space="preserve">(Vic), </w:t>
      </w:r>
      <w:r>
        <w:rPr>
          <w:color w:val="231F20"/>
          <w:sz w:val="20"/>
        </w:rPr>
        <w:t xml:space="preserve">the </w:t>
      </w:r>
      <w:r>
        <w:rPr>
          <w:color w:val="231F20"/>
          <w:spacing w:val="-3"/>
          <w:sz w:val="20"/>
        </w:rPr>
        <w:t xml:space="preserve">only </w:t>
      </w:r>
      <w:r>
        <w:rPr>
          <w:color w:val="231F20"/>
          <w:sz w:val="20"/>
        </w:rPr>
        <w:t xml:space="preserve">ground </w:t>
      </w:r>
      <w:r>
        <w:rPr>
          <w:color w:val="231F20"/>
          <w:spacing w:val="-3"/>
          <w:sz w:val="20"/>
        </w:rPr>
        <w:t xml:space="preserve">for </w:t>
      </w:r>
      <w:r>
        <w:rPr>
          <w:color w:val="231F20"/>
          <w:sz w:val="20"/>
        </w:rPr>
        <w:t xml:space="preserve">seeking an </w:t>
      </w:r>
      <w:r>
        <w:rPr>
          <w:color w:val="231F20"/>
          <w:spacing w:val="-2"/>
          <w:sz w:val="20"/>
        </w:rPr>
        <w:t xml:space="preserve">intervention </w:t>
      </w:r>
      <w:r>
        <w:rPr>
          <w:color w:val="231F20"/>
          <w:sz w:val="20"/>
        </w:rPr>
        <w:t>order was stalking.</w:t>
      </w:r>
      <w:r>
        <w:rPr>
          <w:color w:val="231F20"/>
          <w:position w:val="7"/>
          <w:sz w:val="11"/>
        </w:rPr>
        <w:t xml:space="preserve">23 </w:t>
      </w:r>
      <w:r>
        <w:rPr>
          <w:color w:val="231F20"/>
          <w:spacing w:val="-3"/>
          <w:sz w:val="20"/>
        </w:rPr>
        <w:t xml:space="preserve">Over </w:t>
      </w:r>
      <w:r>
        <w:rPr>
          <w:color w:val="231F20"/>
          <w:sz w:val="20"/>
        </w:rPr>
        <w:t xml:space="preserve">time, applications under that </w:t>
      </w:r>
      <w:r>
        <w:rPr>
          <w:color w:val="231F20"/>
          <w:spacing w:val="-2"/>
          <w:sz w:val="20"/>
        </w:rPr>
        <w:t xml:space="preserve">Act </w:t>
      </w:r>
      <w:r>
        <w:rPr>
          <w:color w:val="231F20"/>
          <w:sz w:val="20"/>
        </w:rPr>
        <w:t>became concerned with other kinds of behaviours that could</w:t>
      </w:r>
      <w:r>
        <w:rPr>
          <w:color w:val="231F20"/>
          <w:spacing w:val="-13"/>
          <w:sz w:val="20"/>
        </w:rPr>
        <w:t xml:space="preserve"> </w:t>
      </w:r>
      <w:r>
        <w:rPr>
          <w:color w:val="231F20"/>
          <w:sz w:val="20"/>
        </w:rPr>
        <w:t>fit</w:t>
      </w:r>
      <w:r>
        <w:rPr>
          <w:color w:val="231F20"/>
          <w:spacing w:val="-13"/>
          <w:sz w:val="20"/>
        </w:rPr>
        <w:t xml:space="preserve"> </w:t>
      </w:r>
      <w:r>
        <w:rPr>
          <w:color w:val="231F20"/>
          <w:sz w:val="20"/>
        </w:rPr>
        <w:t>within</w:t>
      </w:r>
      <w:r>
        <w:rPr>
          <w:color w:val="231F20"/>
          <w:spacing w:val="-13"/>
          <w:sz w:val="20"/>
        </w:rPr>
        <w:t xml:space="preserve"> </w:t>
      </w:r>
      <w:r>
        <w:rPr>
          <w:color w:val="231F20"/>
          <w:sz w:val="20"/>
        </w:rPr>
        <w:t>the</w:t>
      </w:r>
      <w:r>
        <w:rPr>
          <w:color w:val="231F20"/>
          <w:spacing w:val="-12"/>
          <w:sz w:val="20"/>
        </w:rPr>
        <w:t xml:space="preserve"> </w:t>
      </w:r>
      <w:r>
        <w:rPr>
          <w:color w:val="231F20"/>
          <w:sz w:val="20"/>
        </w:rPr>
        <w:t>broad</w:t>
      </w:r>
      <w:r>
        <w:rPr>
          <w:color w:val="231F20"/>
          <w:spacing w:val="-13"/>
          <w:sz w:val="20"/>
        </w:rPr>
        <w:t xml:space="preserve"> </w:t>
      </w:r>
      <w:r>
        <w:rPr>
          <w:color w:val="231F20"/>
          <w:sz w:val="20"/>
        </w:rPr>
        <w:t>definition</w:t>
      </w:r>
      <w:r>
        <w:rPr>
          <w:color w:val="231F20"/>
          <w:spacing w:val="-13"/>
          <w:sz w:val="20"/>
        </w:rPr>
        <w:t xml:space="preserve"> </w:t>
      </w:r>
      <w:r>
        <w:rPr>
          <w:color w:val="231F20"/>
          <w:sz w:val="20"/>
        </w:rPr>
        <w:t>of</w:t>
      </w:r>
      <w:r>
        <w:rPr>
          <w:color w:val="231F20"/>
          <w:spacing w:val="-13"/>
          <w:sz w:val="20"/>
        </w:rPr>
        <w:t xml:space="preserve"> </w:t>
      </w:r>
      <w:r>
        <w:rPr>
          <w:color w:val="231F20"/>
          <w:sz w:val="20"/>
        </w:rPr>
        <w:t>stalking,</w:t>
      </w:r>
      <w:r>
        <w:rPr>
          <w:color w:val="231F20"/>
          <w:spacing w:val="-12"/>
          <w:sz w:val="20"/>
        </w:rPr>
        <w:t xml:space="preserve"> </w:t>
      </w:r>
      <w:r>
        <w:rPr>
          <w:color w:val="231F20"/>
          <w:sz w:val="20"/>
        </w:rPr>
        <w:t>including</w:t>
      </w:r>
      <w:r>
        <w:rPr>
          <w:color w:val="231F20"/>
          <w:spacing w:val="-13"/>
          <w:sz w:val="20"/>
        </w:rPr>
        <w:t xml:space="preserve"> </w:t>
      </w:r>
      <w:r>
        <w:rPr>
          <w:color w:val="231F20"/>
          <w:sz w:val="20"/>
        </w:rPr>
        <w:t>neighbourhood</w:t>
      </w:r>
      <w:r>
        <w:rPr>
          <w:color w:val="231F20"/>
          <w:spacing w:val="-13"/>
          <w:sz w:val="20"/>
        </w:rPr>
        <w:t xml:space="preserve"> </w:t>
      </w:r>
      <w:r>
        <w:rPr>
          <w:color w:val="231F20"/>
          <w:sz w:val="20"/>
        </w:rPr>
        <w:t>issues,</w:t>
      </w:r>
      <w:r>
        <w:rPr>
          <w:color w:val="231F20"/>
          <w:spacing w:val="-13"/>
          <w:sz w:val="20"/>
        </w:rPr>
        <w:t xml:space="preserve"> </w:t>
      </w:r>
      <w:r>
        <w:rPr>
          <w:color w:val="231F20"/>
          <w:sz w:val="20"/>
        </w:rPr>
        <w:t>as</w:t>
      </w:r>
      <w:r>
        <w:rPr>
          <w:color w:val="231F20"/>
          <w:spacing w:val="-12"/>
          <w:sz w:val="20"/>
        </w:rPr>
        <w:t xml:space="preserve"> </w:t>
      </w:r>
      <w:r>
        <w:rPr>
          <w:color w:val="231F20"/>
          <w:spacing w:val="-3"/>
          <w:sz w:val="20"/>
        </w:rPr>
        <w:t xml:space="preserve">well </w:t>
      </w:r>
      <w:r>
        <w:rPr>
          <w:color w:val="231F20"/>
          <w:sz w:val="20"/>
        </w:rPr>
        <w:t>as serious and harmful non-stalking</w:t>
      </w:r>
      <w:r>
        <w:rPr>
          <w:color w:val="231F20"/>
          <w:spacing w:val="-22"/>
          <w:sz w:val="20"/>
        </w:rPr>
        <w:t xml:space="preserve"> </w:t>
      </w:r>
      <w:r>
        <w:rPr>
          <w:color w:val="231F20"/>
          <w:spacing w:val="-3"/>
          <w:sz w:val="20"/>
        </w:rPr>
        <w:t>behaviour.</w:t>
      </w:r>
    </w:p>
    <w:p w14:paraId="0C0FC6D3" w14:textId="77777777" w:rsidR="00894070" w:rsidRDefault="009B7AFD">
      <w:pPr>
        <w:pStyle w:val="ListParagraph"/>
        <w:numPr>
          <w:ilvl w:val="1"/>
          <w:numId w:val="102"/>
        </w:numPr>
        <w:tabs>
          <w:tab w:val="left" w:pos="1801"/>
          <w:tab w:val="left" w:pos="1802"/>
        </w:tabs>
        <w:spacing w:before="126" w:line="206" w:lineRule="auto"/>
        <w:ind w:right="1434"/>
        <w:rPr>
          <w:sz w:val="11"/>
        </w:rPr>
      </w:pPr>
      <w:r>
        <w:rPr>
          <w:color w:val="231F20"/>
          <w:sz w:val="20"/>
        </w:rPr>
        <w:t xml:space="preserve">When it was recognised that the stalking </w:t>
      </w:r>
      <w:r>
        <w:rPr>
          <w:color w:val="231F20"/>
          <w:spacing w:val="-2"/>
          <w:sz w:val="20"/>
        </w:rPr>
        <w:t xml:space="preserve">intervention </w:t>
      </w:r>
      <w:r>
        <w:rPr>
          <w:color w:val="231F20"/>
          <w:sz w:val="20"/>
        </w:rPr>
        <w:t xml:space="preserve">order </w:t>
      </w:r>
      <w:r>
        <w:rPr>
          <w:color w:val="231F20"/>
          <w:spacing w:val="-2"/>
          <w:sz w:val="20"/>
        </w:rPr>
        <w:t xml:space="preserve">system </w:t>
      </w:r>
      <w:r>
        <w:rPr>
          <w:color w:val="231F20"/>
          <w:sz w:val="20"/>
        </w:rPr>
        <w:t xml:space="preserve">was being </w:t>
      </w:r>
      <w:r>
        <w:rPr>
          <w:color w:val="231F20"/>
          <w:spacing w:val="-3"/>
          <w:sz w:val="20"/>
        </w:rPr>
        <w:t>stretched</w:t>
      </w:r>
      <w:r>
        <w:rPr>
          <w:color w:val="231F20"/>
          <w:spacing w:val="-9"/>
          <w:sz w:val="20"/>
        </w:rPr>
        <w:t xml:space="preserve"> </w:t>
      </w:r>
      <w:r>
        <w:rPr>
          <w:color w:val="231F20"/>
          <w:spacing w:val="-3"/>
          <w:sz w:val="20"/>
        </w:rPr>
        <w:t>beyond</w:t>
      </w:r>
      <w:r>
        <w:rPr>
          <w:color w:val="231F20"/>
          <w:spacing w:val="-9"/>
          <w:sz w:val="20"/>
        </w:rPr>
        <w:t xml:space="preserve"> </w:t>
      </w:r>
      <w:r>
        <w:rPr>
          <w:color w:val="231F20"/>
          <w:sz w:val="20"/>
        </w:rPr>
        <w:t>its</w:t>
      </w:r>
      <w:r>
        <w:rPr>
          <w:color w:val="231F20"/>
          <w:spacing w:val="-9"/>
          <w:sz w:val="20"/>
        </w:rPr>
        <w:t xml:space="preserve"> </w:t>
      </w:r>
      <w:r>
        <w:rPr>
          <w:color w:val="231F20"/>
          <w:sz w:val="20"/>
        </w:rPr>
        <w:t>original,</w:t>
      </w:r>
      <w:r>
        <w:rPr>
          <w:color w:val="231F20"/>
          <w:spacing w:val="-8"/>
          <w:sz w:val="20"/>
        </w:rPr>
        <w:t xml:space="preserve"> </w:t>
      </w:r>
      <w:r>
        <w:rPr>
          <w:color w:val="231F20"/>
          <w:spacing w:val="-3"/>
          <w:sz w:val="20"/>
        </w:rPr>
        <w:t>narrow</w:t>
      </w:r>
      <w:r>
        <w:rPr>
          <w:color w:val="231F20"/>
          <w:spacing w:val="-9"/>
          <w:sz w:val="20"/>
        </w:rPr>
        <w:t xml:space="preserve"> </w:t>
      </w:r>
      <w:r>
        <w:rPr>
          <w:color w:val="231F20"/>
          <w:sz w:val="20"/>
        </w:rPr>
        <w:t>purpose,</w:t>
      </w:r>
      <w:r>
        <w:rPr>
          <w:color w:val="231F20"/>
          <w:spacing w:val="-9"/>
          <w:sz w:val="20"/>
        </w:rPr>
        <w:t xml:space="preserve"> </w:t>
      </w:r>
      <w:r>
        <w:rPr>
          <w:color w:val="231F20"/>
          <w:sz w:val="20"/>
        </w:rPr>
        <w:t>the</w:t>
      </w:r>
      <w:r>
        <w:rPr>
          <w:color w:val="231F20"/>
          <w:spacing w:val="-8"/>
          <w:sz w:val="20"/>
        </w:rPr>
        <w:t xml:space="preserve"> </w:t>
      </w:r>
      <w:r>
        <w:rPr>
          <w:i/>
          <w:color w:val="231F20"/>
          <w:sz w:val="20"/>
        </w:rPr>
        <w:t>Personal</w:t>
      </w:r>
      <w:r>
        <w:rPr>
          <w:i/>
          <w:color w:val="231F20"/>
          <w:spacing w:val="-9"/>
          <w:sz w:val="20"/>
        </w:rPr>
        <w:t xml:space="preserve"> </w:t>
      </w:r>
      <w:r>
        <w:rPr>
          <w:i/>
          <w:color w:val="231F20"/>
          <w:sz w:val="20"/>
        </w:rPr>
        <w:t>Safety</w:t>
      </w:r>
      <w:r>
        <w:rPr>
          <w:i/>
          <w:color w:val="231F20"/>
          <w:spacing w:val="-8"/>
          <w:sz w:val="20"/>
        </w:rPr>
        <w:t xml:space="preserve"> </w:t>
      </w:r>
      <w:r>
        <w:rPr>
          <w:i/>
          <w:color w:val="231F20"/>
          <w:sz w:val="20"/>
        </w:rPr>
        <w:t>Intervention</w:t>
      </w:r>
      <w:r>
        <w:rPr>
          <w:i/>
          <w:color w:val="231F20"/>
          <w:spacing w:val="-9"/>
          <w:sz w:val="20"/>
        </w:rPr>
        <w:t xml:space="preserve"> </w:t>
      </w:r>
      <w:r>
        <w:rPr>
          <w:i/>
          <w:color w:val="231F20"/>
          <w:spacing w:val="-2"/>
          <w:sz w:val="20"/>
        </w:rPr>
        <w:t xml:space="preserve">Orders </w:t>
      </w:r>
      <w:r>
        <w:rPr>
          <w:i/>
          <w:color w:val="231F20"/>
          <w:sz w:val="20"/>
        </w:rPr>
        <w:t xml:space="preserve">Act </w:t>
      </w:r>
      <w:r>
        <w:rPr>
          <w:i/>
          <w:color w:val="231F20"/>
          <w:spacing w:val="-3"/>
          <w:sz w:val="20"/>
        </w:rPr>
        <w:t xml:space="preserve">2010 </w:t>
      </w:r>
      <w:r>
        <w:rPr>
          <w:color w:val="231F20"/>
          <w:sz w:val="20"/>
        </w:rPr>
        <w:t xml:space="preserve">(Vic) was </w:t>
      </w:r>
      <w:r>
        <w:rPr>
          <w:color w:val="231F20"/>
          <w:spacing w:val="-3"/>
          <w:sz w:val="20"/>
        </w:rPr>
        <w:t>brought</w:t>
      </w:r>
      <w:r>
        <w:rPr>
          <w:color w:val="231F20"/>
          <w:spacing w:val="-16"/>
          <w:sz w:val="20"/>
        </w:rPr>
        <w:t xml:space="preserve"> </w:t>
      </w:r>
      <w:r>
        <w:rPr>
          <w:color w:val="231F20"/>
          <w:sz w:val="20"/>
        </w:rPr>
        <w:t>in.</w:t>
      </w:r>
      <w:r>
        <w:rPr>
          <w:color w:val="231F20"/>
          <w:position w:val="7"/>
          <w:sz w:val="11"/>
        </w:rPr>
        <w:t>24</w:t>
      </w:r>
    </w:p>
    <w:p w14:paraId="544B36D6" w14:textId="77777777" w:rsidR="00894070" w:rsidRDefault="009B7AFD">
      <w:pPr>
        <w:pStyle w:val="ListParagraph"/>
        <w:numPr>
          <w:ilvl w:val="1"/>
          <w:numId w:val="102"/>
        </w:numPr>
        <w:tabs>
          <w:tab w:val="left" w:pos="1801"/>
          <w:tab w:val="left" w:pos="1802"/>
        </w:tabs>
        <w:spacing w:before="124" w:line="206" w:lineRule="auto"/>
        <w:ind w:right="1542"/>
        <w:rPr>
          <w:sz w:val="11"/>
        </w:rPr>
      </w:pPr>
      <w:r>
        <w:rPr>
          <w:color w:val="231F20"/>
          <w:sz w:val="20"/>
        </w:rPr>
        <w:t>Under</w:t>
      </w:r>
      <w:r>
        <w:rPr>
          <w:color w:val="231F20"/>
          <w:spacing w:val="-10"/>
          <w:sz w:val="20"/>
        </w:rPr>
        <w:t xml:space="preserve"> </w:t>
      </w:r>
      <w:r>
        <w:rPr>
          <w:color w:val="231F20"/>
          <w:sz w:val="20"/>
        </w:rPr>
        <w:t>the</w:t>
      </w:r>
      <w:r>
        <w:rPr>
          <w:color w:val="231F20"/>
          <w:spacing w:val="-9"/>
          <w:sz w:val="20"/>
        </w:rPr>
        <w:t xml:space="preserve"> </w:t>
      </w:r>
      <w:r>
        <w:rPr>
          <w:color w:val="231F20"/>
          <w:sz w:val="20"/>
        </w:rPr>
        <w:t>new</w:t>
      </w:r>
      <w:r>
        <w:rPr>
          <w:color w:val="231F20"/>
          <w:spacing w:val="-9"/>
          <w:sz w:val="20"/>
        </w:rPr>
        <w:t xml:space="preserve"> </w:t>
      </w:r>
      <w:r>
        <w:rPr>
          <w:color w:val="231F20"/>
          <w:sz w:val="20"/>
        </w:rPr>
        <w:t>Act,</w:t>
      </w:r>
      <w:r>
        <w:rPr>
          <w:color w:val="231F20"/>
          <w:spacing w:val="-9"/>
          <w:sz w:val="20"/>
        </w:rPr>
        <w:t xml:space="preserve"> </w:t>
      </w:r>
      <w:r>
        <w:rPr>
          <w:color w:val="231F20"/>
          <w:sz w:val="20"/>
        </w:rPr>
        <w:t>the</w:t>
      </w:r>
      <w:r>
        <w:rPr>
          <w:color w:val="231F20"/>
          <w:spacing w:val="-9"/>
          <w:sz w:val="20"/>
        </w:rPr>
        <w:t xml:space="preserve"> </w:t>
      </w:r>
      <w:r>
        <w:rPr>
          <w:color w:val="231F20"/>
          <w:sz w:val="20"/>
        </w:rPr>
        <w:t>grounds</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an</w:t>
      </w:r>
      <w:r>
        <w:rPr>
          <w:color w:val="231F20"/>
          <w:spacing w:val="-9"/>
          <w:sz w:val="20"/>
        </w:rPr>
        <w:t xml:space="preserve"> </w:t>
      </w:r>
      <w:r>
        <w:rPr>
          <w:color w:val="231F20"/>
          <w:sz w:val="20"/>
        </w:rPr>
        <w:t>order</w:t>
      </w:r>
      <w:r>
        <w:rPr>
          <w:color w:val="231F20"/>
          <w:spacing w:val="-9"/>
          <w:sz w:val="20"/>
        </w:rPr>
        <w:t xml:space="preserve"> </w:t>
      </w:r>
      <w:r>
        <w:rPr>
          <w:color w:val="231F20"/>
          <w:spacing w:val="-4"/>
          <w:sz w:val="20"/>
        </w:rPr>
        <w:t>were</w:t>
      </w:r>
      <w:r>
        <w:rPr>
          <w:color w:val="231F20"/>
          <w:spacing w:val="-9"/>
          <w:sz w:val="20"/>
        </w:rPr>
        <w:t xml:space="preserve"> </w:t>
      </w:r>
      <w:r>
        <w:rPr>
          <w:color w:val="231F20"/>
          <w:sz w:val="20"/>
        </w:rPr>
        <w:t>expanded</w:t>
      </w:r>
      <w:r>
        <w:rPr>
          <w:color w:val="231F20"/>
          <w:spacing w:val="-9"/>
          <w:sz w:val="20"/>
        </w:rPr>
        <w:t xml:space="preserve"> </w:t>
      </w:r>
      <w:r>
        <w:rPr>
          <w:color w:val="231F20"/>
          <w:sz w:val="20"/>
        </w:rPr>
        <w:t>to</w:t>
      </w:r>
      <w:r>
        <w:rPr>
          <w:color w:val="231F20"/>
          <w:spacing w:val="-9"/>
          <w:sz w:val="20"/>
        </w:rPr>
        <w:t xml:space="preserve"> </w:t>
      </w:r>
      <w:r>
        <w:rPr>
          <w:color w:val="231F20"/>
          <w:spacing w:val="-3"/>
          <w:sz w:val="20"/>
        </w:rPr>
        <w:t>‘explicitly</w:t>
      </w:r>
      <w:r>
        <w:rPr>
          <w:color w:val="231F20"/>
          <w:spacing w:val="-9"/>
          <w:sz w:val="20"/>
        </w:rPr>
        <w:t xml:space="preserve"> </w:t>
      </w:r>
      <w:r>
        <w:rPr>
          <w:color w:val="231F20"/>
          <w:sz w:val="20"/>
        </w:rPr>
        <w:t xml:space="preserve">recognise some of the other forms of behaviour that had come to be </w:t>
      </w:r>
      <w:r>
        <w:rPr>
          <w:color w:val="231F20"/>
          <w:spacing w:val="-4"/>
          <w:sz w:val="20"/>
        </w:rPr>
        <w:t xml:space="preserve">covered </w:t>
      </w:r>
      <w:r>
        <w:rPr>
          <w:color w:val="231F20"/>
          <w:spacing w:val="-3"/>
          <w:sz w:val="20"/>
        </w:rPr>
        <w:t xml:space="preserve">by </w:t>
      </w:r>
      <w:r>
        <w:rPr>
          <w:color w:val="231F20"/>
          <w:sz w:val="20"/>
        </w:rPr>
        <w:t xml:space="preserve">stalking </w:t>
      </w:r>
      <w:r>
        <w:rPr>
          <w:color w:val="231F20"/>
          <w:spacing w:val="-2"/>
          <w:sz w:val="20"/>
        </w:rPr>
        <w:t xml:space="preserve">intervention </w:t>
      </w:r>
      <w:r>
        <w:rPr>
          <w:color w:val="231F20"/>
          <w:spacing w:val="-3"/>
          <w:sz w:val="20"/>
        </w:rPr>
        <w:t xml:space="preserve">orders—such </w:t>
      </w:r>
      <w:r>
        <w:rPr>
          <w:color w:val="231F20"/>
          <w:sz w:val="20"/>
        </w:rPr>
        <w:t>as harassment and property damage or</w:t>
      </w:r>
      <w:r>
        <w:rPr>
          <w:color w:val="231F20"/>
          <w:spacing w:val="-29"/>
          <w:sz w:val="20"/>
        </w:rPr>
        <w:t xml:space="preserve"> </w:t>
      </w:r>
      <w:r>
        <w:rPr>
          <w:color w:val="231F20"/>
          <w:spacing w:val="-3"/>
          <w:sz w:val="20"/>
        </w:rPr>
        <w:t>interference’.</w:t>
      </w:r>
      <w:r>
        <w:rPr>
          <w:color w:val="231F20"/>
          <w:spacing w:val="-3"/>
          <w:position w:val="7"/>
          <w:sz w:val="11"/>
        </w:rPr>
        <w:t>25</w:t>
      </w:r>
    </w:p>
    <w:p w14:paraId="648393B2" w14:textId="77777777" w:rsidR="00894070" w:rsidRDefault="009B7AFD">
      <w:pPr>
        <w:pStyle w:val="ListParagraph"/>
        <w:numPr>
          <w:ilvl w:val="1"/>
          <w:numId w:val="102"/>
        </w:numPr>
        <w:tabs>
          <w:tab w:val="left" w:pos="1801"/>
          <w:tab w:val="left" w:pos="1802"/>
        </w:tabs>
        <w:spacing w:before="124" w:line="206" w:lineRule="auto"/>
        <w:ind w:right="1622"/>
        <w:rPr>
          <w:sz w:val="11"/>
        </w:rPr>
      </w:pPr>
      <w:r>
        <w:rPr>
          <w:color w:val="231F20"/>
          <w:sz w:val="20"/>
        </w:rPr>
        <w:t>The</w:t>
      </w:r>
      <w:r>
        <w:rPr>
          <w:color w:val="231F20"/>
          <w:spacing w:val="-9"/>
          <w:sz w:val="20"/>
        </w:rPr>
        <w:t xml:space="preserve"> </w:t>
      </w:r>
      <w:r>
        <w:rPr>
          <w:color w:val="231F20"/>
          <w:sz w:val="20"/>
        </w:rPr>
        <w:t>PSIO</w:t>
      </w:r>
      <w:r>
        <w:rPr>
          <w:color w:val="231F20"/>
          <w:spacing w:val="-8"/>
          <w:sz w:val="20"/>
        </w:rPr>
        <w:t xml:space="preserve"> </w:t>
      </w:r>
      <w:r>
        <w:rPr>
          <w:color w:val="231F20"/>
          <w:spacing w:val="-2"/>
          <w:sz w:val="20"/>
        </w:rPr>
        <w:t>Act</w:t>
      </w:r>
      <w:r>
        <w:rPr>
          <w:color w:val="231F20"/>
          <w:spacing w:val="-8"/>
          <w:sz w:val="20"/>
        </w:rPr>
        <w:t xml:space="preserve"> </w:t>
      </w:r>
      <w:r>
        <w:rPr>
          <w:color w:val="231F20"/>
          <w:sz w:val="20"/>
        </w:rPr>
        <w:t>was</w:t>
      </w:r>
      <w:r>
        <w:rPr>
          <w:color w:val="231F20"/>
          <w:spacing w:val="-9"/>
          <w:sz w:val="20"/>
        </w:rPr>
        <w:t xml:space="preserve"> </w:t>
      </w:r>
      <w:r>
        <w:rPr>
          <w:color w:val="231F20"/>
          <w:sz w:val="20"/>
        </w:rPr>
        <w:t>also</w:t>
      </w:r>
      <w:r>
        <w:rPr>
          <w:color w:val="231F20"/>
          <w:spacing w:val="-8"/>
          <w:sz w:val="20"/>
        </w:rPr>
        <w:t xml:space="preserve"> </w:t>
      </w:r>
      <w:r>
        <w:rPr>
          <w:color w:val="231F20"/>
          <w:sz w:val="20"/>
        </w:rPr>
        <w:t>intended</w:t>
      </w:r>
      <w:r>
        <w:rPr>
          <w:color w:val="231F20"/>
          <w:spacing w:val="-8"/>
          <w:sz w:val="20"/>
        </w:rPr>
        <w:t xml:space="preserve"> </w:t>
      </w:r>
      <w:r>
        <w:rPr>
          <w:color w:val="231F20"/>
          <w:sz w:val="20"/>
        </w:rPr>
        <w:t>to</w:t>
      </w:r>
      <w:r>
        <w:rPr>
          <w:color w:val="231F20"/>
          <w:spacing w:val="-9"/>
          <w:sz w:val="20"/>
        </w:rPr>
        <w:t xml:space="preserve"> </w:t>
      </w:r>
      <w:r>
        <w:rPr>
          <w:color w:val="231F20"/>
          <w:spacing w:val="-3"/>
          <w:sz w:val="20"/>
        </w:rPr>
        <w:t>promote</w:t>
      </w:r>
      <w:r>
        <w:rPr>
          <w:color w:val="231F20"/>
          <w:spacing w:val="-8"/>
          <w:sz w:val="20"/>
        </w:rPr>
        <w:t xml:space="preserve"> </w:t>
      </w:r>
      <w:r>
        <w:rPr>
          <w:color w:val="231F20"/>
          <w:sz w:val="20"/>
        </w:rPr>
        <w:t>mediation</w:t>
      </w:r>
      <w:r>
        <w:rPr>
          <w:color w:val="231F20"/>
          <w:spacing w:val="-8"/>
          <w:sz w:val="20"/>
        </w:rPr>
        <w:t xml:space="preserve"> </w:t>
      </w:r>
      <w:r>
        <w:rPr>
          <w:color w:val="231F20"/>
          <w:spacing w:val="-3"/>
          <w:sz w:val="20"/>
        </w:rPr>
        <w:t>for</w:t>
      </w:r>
      <w:r>
        <w:rPr>
          <w:color w:val="231F20"/>
          <w:spacing w:val="-9"/>
          <w:sz w:val="20"/>
        </w:rPr>
        <w:t xml:space="preserve"> </w:t>
      </w:r>
      <w:r>
        <w:rPr>
          <w:color w:val="231F20"/>
          <w:sz w:val="20"/>
        </w:rPr>
        <w:t>the</w:t>
      </w:r>
      <w:r>
        <w:rPr>
          <w:color w:val="231F20"/>
          <w:spacing w:val="-8"/>
          <w:sz w:val="20"/>
        </w:rPr>
        <w:t xml:space="preserve"> </w:t>
      </w:r>
      <w:r>
        <w:rPr>
          <w:color w:val="231F20"/>
          <w:sz w:val="20"/>
        </w:rPr>
        <w:t>less</w:t>
      </w:r>
      <w:r>
        <w:rPr>
          <w:color w:val="231F20"/>
          <w:spacing w:val="-8"/>
          <w:sz w:val="20"/>
        </w:rPr>
        <w:t xml:space="preserve"> </w:t>
      </w:r>
      <w:r>
        <w:rPr>
          <w:color w:val="231F20"/>
          <w:sz w:val="20"/>
        </w:rPr>
        <w:t>serious</w:t>
      </w:r>
      <w:r>
        <w:rPr>
          <w:color w:val="231F20"/>
          <w:spacing w:val="-9"/>
          <w:sz w:val="20"/>
        </w:rPr>
        <w:t xml:space="preserve"> </w:t>
      </w:r>
      <w:r>
        <w:rPr>
          <w:color w:val="231F20"/>
          <w:sz w:val="20"/>
        </w:rPr>
        <w:t xml:space="preserve">matters, while reserving court </w:t>
      </w:r>
      <w:r>
        <w:rPr>
          <w:color w:val="231F20"/>
          <w:spacing w:val="-2"/>
          <w:sz w:val="20"/>
        </w:rPr>
        <w:t xml:space="preserve">intervention </w:t>
      </w:r>
      <w:r>
        <w:rPr>
          <w:color w:val="231F20"/>
          <w:spacing w:val="-3"/>
          <w:sz w:val="20"/>
        </w:rPr>
        <w:t xml:space="preserve">for </w:t>
      </w:r>
      <w:r>
        <w:rPr>
          <w:color w:val="231F20"/>
          <w:sz w:val="20"/>
        </w:rPr>
        <w:t>stalking cases and serious matters such as assault and sexual</w:t>
      </w:r>
      <w:r>
        <w:rPr>
          <w:color w:val="231F20"/>
          <w:spacing w:val="-13"/>
          <w:sz w:val="20"/>
        </w:rPr>
        <w:t xml:space="preserve"> </w:t>
      </w:r>
      <w:r>
        <w:rPr>
          <w:color w:val="231F20"/>
          <w:sz w:val="20"/>
        </w:rPr>
        <w:t>assault.</w:t>
      </w:r>
      <w:r>
        <w:rPr>
          <w:color w:val="231F20"/>
          <w:position w:val="7"/>
          <w:sz w:val="11"/>
        </w:rPr>
        <w:t>26</w:t>
      </w:r>
    </w:p>
    <w:p w14:paraId="26C5F958" w14:textId="77777777" w:rsidR="00894070" w:rsidRDefault="009B7AFD">
      <w:pPr>
        <w:pStyle w:val="ListParagraph"/>
        <w:numPr>
          <w:ilvl w:val="1"/>
          <w:numId w:val="102"/>
        </w:numPr>
        <w:tabs>
          <w:tab w:val="left" w:pos="1802"/>
        </w:tabs>
        <w:spacing w:before="124" w:line="206" w:lineRule="auto"/>
        <w:ind w:right="1389"/>
        <w:jc w:val="both"/>
        <w:rPr>
          <w:sz w:val="20"/>
        </w:rPr>
      </w:pPr>
      <w:r>
        <w:rPr>
          <w:color w:val="231F20"/>
          <w:sz w:val="20"/>
        </w:rPr>
        <w:t>These</w:t>
      </w:r>
      <w:r>
        <w:rPr>
          <w:color w:val="231F20"/>
          <w:spacing w:val="-7"/>
          <w:sz w:val="20"/>
        </w:rPr>
        <w:t xml:space="preserve"> </w:t>
      </w:r>
      <w:r>
        <w:rPr>
          <w:color w:val="231F20"/>
          <w:spacing w:val="-3"/>
          <w:sz w:val="20"/>
        </w:rPr>
        <w:t>reforms</w:t>
      </w:r>
      <w:r>
        <w:rPr>
          <w:color w:val="231F20"/>
          <w:spacing w:val="-6"/>
          <w:sz w:val="20"/>
        </w:rPr>
        <w:t xml:space="preserve"> </w:t>
      </w:r>
      <w:r>
        <w:rPr>
          <w:color w:val="231F20"/>
          <w:spacing w:val="-4"/>
          <w:sz w:val="20"/>
        </w:rPr>
        <w:t>were</w:t>
      </w:r>
      <w:r>
        <w:rPr>
          <w:color w:val="231F20"/>
          <w:spacing w:val="-6"/>
          <w:sz w:val="20"/>
        </w:rPr>
        <w:t xml:space="preserve"> </w:t>
      </w:r>
      <w:r>
        <w:rPr>
          <w:color w:val="231F20"/>
          <w:spacing w:val="-4"/>
          <w:sz w:val="20"/>
        </w:rPr>
        <w:t>clear,</w:t>
      </w:r>
      <w:r>
        <w:rPr>
          <w:color w:val="231F20"/>
          <w:spacing w:val="-7"/>
          <w:sz w:val="20"/>
        </w:rPr>
        <w:t xml:space="preserve"> </w:t>
      </w:r>
      <w:proofErr w:type="gramStart"/>
      <w:r>
        <w:rPr>
          <w:color w:val="231F20"/>
          <w:spacing w:val="-3"/>
          <w:sz w:val="20"/>
        </w:rPr>
        <w:t>well-intentioned</w:t>
      </w:r>
      <w:proofErr w:type="gramEnd"/>
      <w:r>
        <w:rPr>
          <w:color w:val="231F20"/>
          <w:spacing w:val="-6"/>
          <w:sz w:val="20"/>
        </w:rPr>
        <w:t xml:space="preserve"> </w:t>
      </w:r>
      <w:r>
        <w:rPr>
          <w:color w:val="231F20"/>
          <w:sz w:val="20"/>
        </w:rPr>
        <w:t>and</w:t>
      </w:r>
      <w:r>
        <w:rPr>
          <w:color w:val="231F20"/>
          <w:spacing w:val="-6"/>
          <w:sz w:val="20"/>
        </w:rPr>
        <w:t xml:space="preserve"> </w:t>
      </w:r>
      <w:r>
        <w:rPr>
          <w:color w:val="231F20"/>
          <w:sz w:val="20"/>
        </w:rPr>
        <w:t>justified.</w:t>
      </w:r>
      <w:r>
        <w:rPr>
          <w:color w:val="231F20"/>
          <w:spacing w:val="-7"/>
          <w:sz w:val="20"/>
        </w:rPr>
        <w:t xml:space="preserve"> </w:t>
      </w:r>
      <w:r>
        <w:rPr>
          <w:color w:val="231F20"/>
          <w:spacing w:val="-5"/>
          <w:sz w:val="20"/>
        </w:rPr>
        <w:t>However,</w:t>
      </w:r>
      <w:r>
        <w:rPr>
          <w:color w:val="231F20"/>
          <w:spacing w:val="-6"/>
          <w:sz w:val="20"/>
        </w:rPr>
        <w:t xml:space="preserve"> </w:t>
      </w:r>
      <w:r>
        <w:rPr>
          <w:color w:val="231F20"/>
          <w:sz w:val="20"/>
        </w:rPr>
        <w:t>the</w:t>
      </w:r>
      <w:r>
        <w:rPr>
          <w:color w:val="231F20"/>
          <w:spacing w:val="-6"/>
          <w:sz w:val="20"/>
        </w:rPr>
        <w:t xml:space="preserve"> </w:t>
      </w:r>
      <w:r>
        <w:rPr>
          <w:color w:val="231F20"/>
          <w:sz w:val="20"/>
        </w:rPr>
        <w:t>understanding of</w:t>
      </w:r>
      <w:r>
        <w:rPr>
          <w:color w:val="231F20"/>
          <w:spacing w:val="-9"/>
          <w:sz w:val="20"/>
        </w:rPr>
        <w:t xml:space="preserve"> </w:t>
      </w:r>
      <w:r>
        <w:rPr>
          <w:color w:val="231F20"/>
          <w:sz w:val="20"/>
        </w:rPr>
        <w:t>stalking</w:t>
      </w:r>
      <w:r>
        <w:rPr>
          <w:color w:val="231F20"/>
          <w:spacing w:val="-9"/>
          <w:sz w:val="20"/>
        </w:rPr>
        <w:t xml:space="preserve"> </w:t>
      </w:r>
      <w:r>
        <w:rPr>
          <w:color w:val="231F20"/>
          <w:sz w:val="20"/>
        </w:rPr>
        <w:t>behaviours</w:t>
      </w:r>
      <w:r>
        <w:rPr>
          <w:color w:val="231F20"/>
          <w:spacing w:val="-9"/>
          <w:sz w:val="20"/>
        </w:rPr>
        <w:t xml:space="preserve"> </w:t>
      </w:r>
      <w:r>
        <w:rPr>
          <w:color w:val="231F20"/>
          <w:sz w:val="20"/>
        </w:rPr>
        <w:t>has</w:t>
      </w:r>
      <w:r>
        <w:rPr>
          <w:color w:val="231F20"/>
          <w:spacing w:val="-9"/>
          <w:sz w:val="20"/>
        </w:rPr>
        <w:t xml:space="preserve"> </w:t>
      </w:r>
      <w:r>
        <w:rPr>
          <w:color w:val="231F20"/>
          <w:sz w:val="20"/>
        </w:rPr>
        <w:t>continued</w:t>
      </w:r>
      <w:r>
        <w:rPr>
          <w:color w:val="231F20"/>
          <w:spacing w:val="-9"/>
          <w:sz w:val="20"/>
        </w:rPr>
        <w:t xml:space="preserve"> </w:t>
      </w:r>
      <w:r>
        <w:rPr>
          <w:color w:val="231F20"/>
          <w:sz w:val="20"/>
        </w:rPr>
        <w:t>to</w:t>
      </w:r>
      <w:r>
        <w:rPr>
          <w:color w:val="231F20"/>
          <w:spacing w:val="-9"/>
          <w:sz w:val="20"/>
        </w:rPr>
        <w:t xml:space="preserve"> </w:t>
      </w:r>
      <w:r>
        <w:rPr>
          <w:color w:val="231F20"/>
          <w:spacing w:val="-5"/>
          <w:sz w:val="20"/>
        </w:rPr>
        <w:t>evolve,</w:t>
      </w:r>
      <w:r>
        <w:rPr>
          <w:color w:val="231F20"/>
          <w:spacing w:val="-9"/>
          <w:sz w:val="20"/>
        </w:rPr>
        <w:t xml:space="preserve"> </w:t>
      </w:r>
      <w:r>
        <w:rPr>
          <w:color w:val="231F20"/>
          <w:sz w:val="20"/>
        </w:rPr>
        <w:t>and</w:t>
      </w:r>
      <w:r>
        <w:rPr>
          <w:color w:val="231F20"/>
          <w:spacing w:val="-9"/>
          <w:sz w:val="20"/>
        </w:rPr>
        <w:t xml:space="preserve"> </w:t>
      </w:r>
      <w:proofErr w:type="gramStart"/>
      <w:r>
        <w:rPr>
          <w:color w:val="231F20"/>
          <w:sz w:val="20"/>
        </w:rPr>
        <w:t>it</w:t>
      </w:r>
      <w:r>
        <w:rPr>
          <w:color w:val="231F20"/>
          <w:spacing w:val="-9"/>
          <w:sz w:val="20"/>
        </w:rPr>
        <w:t xml:space="preserve"> </w:t>
      </w:r>
      <w:r>
        <w:rPr>
          <w:color w:val="231F20"/>
          <w:sz w:val="20"/>
        </w:rPr>
        <w:t>is</w:t>
      </w:r>
      <w:r>
        <w:rPr>
          <w:color w:val="231F20"/>
          <w:spacing w:val="-9"/>
          <w:sz w:val="20"/>
        </w:rPr>
        <w:t xml:space="preserve"> </w:t>
      </w:r>
      <w:r>
        <w:rPr>
          <w:color w:val="231F20"/>
          <w:sz w:val="20"/>
        </w:rPr>
        <w:t>clear</w:t>
      </w:r>
      <w:r>
        <w:rPr>
          <w:color w:val="231F20"/>
          <w:spacing w:val="-9"/>
          <w:sz w:val="20"/>
        </w:rPr>
        <w:t xml:space="preserve"> </w:t>
      </w:r>
      <w:r>
        <w:rPr>
          <w:color w:val="231F20"/>
          <w:sz w:val="20"/>
        </w:rPr>
        <w:t>that</w:t>
      </w:r>
      <w:r>
        <w:rPr>
          <w:color w:val="231F20"/>
          <w:spacing w:val="-9"/>
          <w:sz w:val="20"/>
        </w:rPr>
        <w:t xml:space="preserve"> </w:t>
      </w:r>
      <w:r>
        <w:rPr>
          <w:color w:val="231F20"/>
          <w:sz w:val="20"/>
        </w:rPr>
        <w:t>there</w:t>
      </w:r>
      <w:proofErr w:type="gramEnd"/>
      <w:r>
        <w:rPr>
          <w:color w:val="231F20"/>
          <w:spacing w:val="-9"/>
          <w:sz w:val="20"/>
        </w:rPr>
        <w:t xml:space="preserve"> </w:t>
      </w:r>
      <w:r>
        <w:rPr>
          <w:color w:val="231F20"/>
          <w:sz w:val="20"/>
        </w:rPr>
        <w:t>needs</w:t>
      </w:r>
      <w:r>
        <w:rPr>
          <w:color w:val="231F20"/>
          <w:spacing w:val="-9"/>
          <w:sz w:val="20"/>
        </w:rPr>
        <w:t xml:space="preserve"> </w:t>
      </w:r>
      <w:r>
        <w:rPr>
          <w:color w:val="231F20"/>
          <w:sz w:val="20"/>
        </w:rPr>
        <w:t>to</w:t>
      </w:r>
      <w:r>
        <w:rPr>
          <w:color w:val="231F20"/>
          <w:spacing w:val="-9"/>
          <w:sz w:val="20"/>
        </w:rPr>
        <w:t xml:space="preserve"> </w:t>
      </w:r>
      <w:r>
        <w:rPr>
          <w:color w:val="231F20"/>
          <w:sz w:val="20"/>
        </w:rPr>
        <w:t>be</w:t>
      </w:r>
      <w:r>
        <w:rPr>
          <w:color w:val="231F20"/>
          <w:spacing w:val="-9"/>
          <w:sz w:val="20"/>
        </w:rPr>
        <w:t xml:space="preserve"> </w:t>
      </w:r>
      <w:r>
        <w:rPr>
          <w:color w:val="231F20"/>
          <w:sz w:val="20"/>
        </w:rPr>
        <w:t>a further</w:t>
      </w:r>
      <w:r>
        <w:rPr>
          <w:color w:val="231F20"/>
          <w:spacing w:val="-6"/>
          <w:sz w:val="20"/>
        </w:rPr>
        <w:t xml:space="preserve"> </w:t>
      </w:r>
      <w:r>
        <w:rPr>
          <w:color w:val="231F20"/>
          <w:spacing w:val="-3"/>
          <w:sz w:val="20"/>
        </w:rPr>
        <w:t>focus</w:t>
      </w:r>
      <w:r>
        <w:rPr>
          <w:color w:val="231F20"/>
          <w:spacing w:val="-6"/>
          <w:sz w:val="20"/>
        </w:rPr>
        <w:t xml:space="preserve"> </w:t>
      </w:r>
      <w:r>
        <w:rPr>
          <w:color w:val="231F20"/>
          <w:sz w:val="20"/>
        </w:rPr>
        <w:t>on</w:t>
      </w:r>
      <w:r>
        <w:rPr>
          <w:color w:val="231F20"/>
          <w:spacing w:val="-6"/>
          <w:sz w:val="20"/>
        </w:rPr>
        <w:t xml:space="preserve"> </w:t>
      </w:r>
      <w:r>
        <w:rPr>
          <w:color w:val="231F20"/>
          <w:sz w:val="20"/>
        </w:rPr>
        <w:t>the</w:t>
      </w:r>
      <w:r>
        <w:rPr>
          <w:color w:val="231F20"/>
          <w:spacing w:val="-5"/>
          <w:sz w:val="20"/>
        </w:rPr>
        <w:t xml:space="preserve"> </w:t>
      </w:r>
      <w:r>
        <w:rPr>
          <w:color w:val="231F20"/>
          <w:sz w:val="20"/>
        </w:rPr>
        <w:t>high</w:t>
      </w:r>
      <w:r>
        <w:rPr>
          <w:color w:val="231F20"/>
          <w:spacing w:val="-6"/>
          <w:sz w:val="20"/>
        </w:rPr>
        <w:t xml:space="preserve"> </w:t>
      </w:r>
      <w:r>
        <w:rPr>
          <w:color w:val="231F20"/>
          <w:sz w:val="20"/>
        </w:rPr>
        <w:t>harm</w:t>
      </w:r>
      <w:r>
        <w:rPr>
          <w:color w:val="231F20"/>
          <w:spacing w:val="-6"/>
          <w:sz w:val="20"/>
        </w:rPr>
        <w:t xml:space="preserve"> </w:t>
      </w:r>
      <w:r>
        <w:rPr>
          <w:color w:val="231F20"/>
          <w:sz w:val="20"/>
        </w:rPr>
        <w:t>and</w:t>
      </w:r>
      <w:r>
        <w:rPr>
          <w:color w:val="231F20"/>
          <w:spacing w:val="-6"/>
          <w:sz w:val="20"/>
        </w:rPr>
        <w:t xml:space="preserve"> </w:t>
      </w:r>
      <w:r>
        <w:rPr>
          <w:color w:val="231F20"/>
          <w:sz w:val="20"/>
        </w:rPr>
        <w:t>risk</w:t>
      </w:r>
      <w:r>
        <w:rPr>
          <w:color w:val="231F20"/>
          <w:spacing w:val="-5"/>
          <w:sz w:val="20"/>
        </w:rPr>
        <w:t xml:space="preserve"> </w:t>
      </w:r>
      <w:r>
        <w:rPr>
          <w:color w:val="231F20"/>
          <w:sz w:val="20"/>
        </w:rPr>
        <w:t>behaviours</w:t>
      </w:r>
      <w:r>
        <w:rPr>
          <w:color w:val="231F20"/>
          <w:spacing w:val="-6"/>
          <w:sz w:val="20"/>
        </w:rPr>
        <w:t xml:space="preserve"> </w:t>
      </w:r>
      <w:r>
        <w:rPr>
          <w:color w:val="231F20"/>
          <w:sz w:val="20"/>
        </w:rPr>
        <w:t>that</w:t>
      </w:r>
      <w:r>
        <w:rPr>
          <w:color w:val="231F20"/>
          <w:spacing w:val="-6"/>
          <w:sz w:val="20"/>
        </w:rPr>
        <w:t xml:space="preserve"> </w:t>
      </w:r>
      <w:r>
        <w:rPr>
          <w:color w:val="231F20"/>
          <w:spacing w:val="-3"/>
          <w:sz w:val="20"/>
        </w:rPr>
        <w:t>may</w:t>
      </w:r>
      <w:r>
        <w:rPr>
          <w:color w:val="231F20"/>
          <w:spacing w:val="-6"/>
          <w:sz w:val="20"/>
        </w:rPr>
        <w:t xml:space="preserve"> </w:t>
      </w:r>
      <w:r>
        <w:rPr>
          <w:color w:val="231F20"/>
          <w:spacing w:val="-4"/>
          <w:sz w:val="20"/>
        </w:rPr>
        <w:t>feature</w:t>
      </w:r>
      <w:r>
        <w:rPr>
          <w:color w:val="231F20"/>
          <w:spacing w:val="-5"/>
          <w:sz w:val="20"/>
        </w:rPr>
        <w:t xml:space="preserve"> </w:t>
      </w:r>
      <w:r>
        <w:rPr>
          <w:color w:val="231F20"/>
          <w:sz w:val="20"/>
        </w:rPr>
        <w:t>in</w:t>
      </w:r>
      <w:r>
        <w:rPr>
          <w:color w:val="231F20"/>
          <w:spacing w:val="-6"/>
          <w:sz w:val="20"/>
        </w:rPr>
        <w:t xml:space="preserve"> </w:t>
      </w:r>
      <w:r>
        <w:rPr>
          <w:color w:val="231F20"/>
          <w:sz w:val="20"/>
        </w:rPr>
        <w:t>stalking.</w:t>
      </w:r>
    </w:p>
    <w:p w14:paraId="13FB6B1B" w14:textId="77777777" w:rsidR="00894070" w:rsidRDefault="009B7AFD">
      <w:pPr>
        <w:pStyle w:val="ListParagraph"/>
        <w:numPr>
          <w:ilvl w:val="1"/>
          <w:numId w:val="102"/>
        </w:numPr>
        <w:tabs>
          <w:tab w:val="left" w:pos="1801"/>
          <w:tab w:val="left" w:pos="1802"/>
        </w:tabs>
        <w:spacing w:before="91" w:line="259" w:lineRule="exact"/>
        <w:rPr>
          <w:sz w:val="20"/>
        </w:rPr>
      </w:pPr>
      <w:r>
        <w:rPr>
          <w:color w:val="231F20"/>
          <w:spacing w:val="-6"/>
          <w:sz w:val="20"/>
        </w:rPr>
        <w:t xml:space="preserve">We </w:t>
      </w:r>
      <w:r>
        <w:rPr>
          <w:color w:val="231F20"/>
          <w:spacing w:val="-4"/>
          <w:sz w:val="20"/>
        </w:rPr>
        <w:t>were</w:t>
      </w:r>
      <w:r>
        <w:rPr>
          <w:color w:val="231F20"/>
          <w:spacing w:val="-5"/>
          <w:sz w:val="20"/>
        </w:rPr>
        <w:t xml:space="preserve"> </w:t>
      </w:r>
      <w:r>
        <w:rPr>
          <w:color w:val="231F20"/>
          <w:spacing w:val="-3"/>
          <w:sz w:val="20"/>
        </w:rPr>
        <w:t>told</w:t>
      </w:r>
      <w:r>
        <w:rPr>
          <w:color w:val="231F20"/>
          <w:spacing w:val="-5"/>
          <w:sz w:val="20"/>
        </w:rPr>
        <w:t xml:space="preserve"> </w:t>
      </w:r>
      <w:r>
        <w:rPr>
          <w:color w:val="231F20"/>
          <w:sz w:val="20"/>
        </w:rPr>
        <w:t>that</w:t>
      </w:r>
      <w:r>
        <w:rPr>
          <w:color w:val="231F20"/>
          <w:spacing w:val="-5"/>
          <w:sz w:val="20"/>
        </w:rPr>
        <w:t xml:space="preserve"> </w:t>
      </w:r>
      <w:r>
        <w:rPr>
          <w:color w:val="231F20"/>
          <w:sz w:val="20"/>
        </w:rPr>
        <w:t>PSIOs</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used</w:t>
      </w:r>
      <w:r>
        <w:rPr>
          <w:color w:val="231F20"/>
          <w:spacing w:val="-5"/>
          <w:sz w:val="20"/>
        </w:rPr>
        <w:t xml:space="preserve"> </w:t>
      </w:r>
      <w:r>
        <w:rPr>
          <w:color w:val="231F20"/>
          <w:sz w:val="20"/>
        </w:rPr>
        <w:t>too</w:t>
      </w:r>
      <w:r>
        <w:rPr>
          <w:color w:val="231F20"/>
          <w:spacing w:val="-5"/>
          <w:sz w:val="20"/>
        </w:rPr>
        <w:t xml:space="preserve"> </w:t>
      </w:r>
      <w:r>
        <w:rPr>
          <w:color w:val="231F20"/>
          <w:sz w:val="20"/>
        </w:rPr>
        <w:t>often</w:t>
      </w:r>
      <w:r>
        <w:rPr>
          <w:color w:val="231F20"/>
          <w:spacing w:val="-6"/>
          <w:sz w:val="20"/>
        </w:rPr>
        <w:t xml:space="preserve"> </w:t>
      </w:r>
      <w:r>
        <w:rPr>
          <w:color w:val="231F20"/>
          <w:sz w:val="20"/>
        </w:rPr>
        <w:t>as</w:t>
      </w:r>
      <w:r>
        <w:rPr>
          <w:color w:val="231F20"/>
          <w:spacing w:val="-5"/>
          <w:sz w:val="20"/>
        </w:rPr>
        <w:t xml:space="preserve"> </w:t>
      </w:r>
      <w:r>
        <w:rPr>
          <w:color w:val="231F20"/>
          <w:sz w:val="20"/>
        </w:rPr>
        <w:t>a</w:t>
      </w:r>
      <w:r>
        <w:rPr>
          <w:color w:val="231F20"/>
          <w:spacing w:val="-5"/>
          <w:sz w:val="20"/>
        </w:rPr>
        <w:t xml:space="preserve"> </w:t>
      </w:r>
      <w:r>
        <w:rPr>
          <w:color w:val="231F20"/>
          <w:sz w:val="20"/>
        </w:rPr>
        <w:t>response</w:t>
      </w:r>
      <w:r>
        <w:rPr>
          <w:color w:val="231F20"/>
          <w:spacing w:val="-5"/>
          <w:sz w:val="20"/>
        </w:rPr>
        <w:t xml:space="preserve"> </w:t>
      </w:r>
      <w:r>
        <w:rPr>
          <w:color w:val="231F20"/>
          <w:sz w:val="20"/>
        </w:rPr>
        <w:t>to</w:t>
      </w:r>
      <w:r>
        <w:rPr>
          <w:color w:val="231F20"/>
          <w:spacing w:val="-5"/>
          <w:sz w:val="20"/>
        </w:rPr>
        <w:t xml:space="preserve"> </w:t>
      </w:r>
      <w:r>
        <w:rPr>
          <w:color w:val="231F20"/>
          <w:sz w:val="20"/>
        </w:rPr>
        <w:t>matters</w:t>
      </w:r>
      <w:r>
        <w:rPr>
          <w:color w:val="231F20"/>
          <w:spacing w:val="-5"/>
          <w:sz w:val="20"/>
        </w:rPr>
        <w:t xml:space="preserve"> </w:t>
      </w:r>
      <w:r>
        <w:rPr>
          <w:color w:val="231F20"/>
          <w:sz w:val="20"/>
        </w:rPr>
        <w:t>that</w:t>
      </w:r>
      <w:r>
        <w:rPr>
          <w:color w:val="231F20"/>
          <w:spacing w:val="-5"/>
          <w:sz w:val="20"/>
        </w:rPr>
        <w:t xml:space="preserve"> </w:t>
      </w:r>
      <w:r>
        <w:rPr>
          <w:color w:val="231F20"/>
          <w:spacing w:val="-3"/>
          <w:sz w:val="20"/>
        </w:rPr>
        <w:t>may</w:t>
      </w:r>
      <w:r>
        <w:rPr>
          <w:color w:val="231F20"/>
          <w:spacing w:val="-5"/>
          <w:sz w:val="20"/>
        </w:rPr>
        <w:t xml:space="preserve"> </w:t>
      </w:r>
      <w:r>
        <w:rPr>
          <w:color w:val="231F20"/>
          <w:sz w:val="20"/>
        </w:rPr>
        <w:t>not</w:t>
      </w:r>
    </w:p>
    <w:p w14:paraId="2F489EE3" w14:textId="77777777" w:rsidR="00894070" w:rsidRDefault="009B7AFD">
      <w:pPr>
        <w:pStyle w:val="BodyText"/>
        <w:spacing w:line="259" w:lineRule="exact"/>
        <w:ind w:left="1801"/>
      </w:pPr>
      <w:r>
        <w:rPr>
          <w:color w:val="231F20"/>
        </w:rPr>
        <w:t>require their use. For example, Jim Shaw, from the Criminal Bar Association, told us:</w:t>
      </w:r>
    </w:p>
    <w:p w14:paraId="10042729" w14:textId="77777777" w:rsidR="00894070" w:rsidRDefault="009B7AFD">
      <w:pPr>
        <w:spacing w:before="113" w:line="208" w:lineRule="auto"/>
        <w:ind w:left="2254" w:right="2114"/>
        <w:rPr>
          <w:sz w:val="11"/>
        </w:rPr>
      </w:pPr>
      <w:r>
        <w:rPr>
          <w:color w:val="231F20"/>
          <w:sz w:val="19"/>
        </w:rPr>
        <w:t xml:space="preserve">Magistrates tend to err on the side of </w:t>
      </w:r>
      <w:proofErr w:type="gramStart"/>
      <w:r>
        <w:rPr>
          <w:color w:val="231F20"/>
          <w:sz w:val="19"/>
        </w:rPr>
        <w:t>caution</w:t>
      </w:r>
      <w:proofErr w:type="gramEnd"/>
      <w:r>
        <w:rPr>
          <w:color w:val="231F20"/>
          <w:sz w:val="19"/>
        </w:rPr>
        <w:t xml:space="preserve"> and it is not difficult to get an intervention order.</w:t>
      </w:r>
      <w:r>
        <w:rPr>
          <w:color w:val="231F20"/>
          <w:position w:val="6"/>
          <w:sz w:val="11"/>
        </w:rPr>
        <w:t>27</w:t>
      </w:r>
    </w:p>
    <w:p w14:paraId="0A5F0852" w14:textId="77777777" w:rsidR="00894070" w:rsidRDefault="009B7AFD">
      <w:pPr>
        <w:pStyle w:val="ListParagraph"/>
        <w:numPr>
          <w:ilvl w:val="1"/>
          <w:numId w:val="102"/>
        </w:numPr>
        <w:tabs>
          <w:tab w:val="left" w:pos="1801"/>
          <w:tab w:val="left" w:pos="1802"/>
        </w:tabs>
        <w:spacing w:before="91"/>
        <w:rPr>
          <w:sz w:val="20"/>
        </w:rPr>
      </w:pPr>
      <w:r>
        <w:rPr>
          <w:color w:val="231F20"/>
          <w:spacing w:val="-3"/>
          <w:sz w:val="20"/>
        </w:rPr>
        <w:t xml:space="preserve">Similarly, we </w:t>
      </w:r>
      <w:r>
        <w:rPr>
          <w:color w:val="231F20"/>
          <w:sz w:val="20"/>
        </w:rPr>
        <w:t xml:space="preserve">heard </w:t>
      </w:r>
      <w:r>
        <w:rPr>
          <w:color w:val="231F20"/>
          <w:spacing w:val="-3"/>
          <w:sz w:val="20"/>
        </w:rPr>
        <w:t xml:space="preserve">from </w:t>
      </w:r>
      <w:r>
        <w:rPr>
          <w:color w:val="231F20"/>
          <w:sz w:val="20"/>
        </w:rPr>
        <w:t xml:space="preserve">the Law </w:t>
      </w:r>
      <w:r>
        <w:rPr>
          <w:color w:val="231F20"/>
          <w:spacing w:val="-3"/>
          <w:sz w:val="20"/>
        </w:rPr>
        <w:t xml:space="preserve">Institute </w:t>
      </w:r>
      <w:r>
        <w:rPr>
          <w:color w:val="231F20"/>
          <w:sz w:val="20"/>
        </w:rPr>
        <w:t>of</w:t>
      </w:r>
      <w:r>
        <w:rPr>
          <w:color w:val="231F20"/>
          <w:spacing w:val="-22"/>
          <w:sz w:val="20"/>
        </w:rPr>
        <w:t xml:space="preserve"> </w:t>
      </w:r>
      <w:r>
        <w:rPr>
          <w:color w:val="231F20"/>
          <w:sz w:val="20"/>
        </w:rPr>
        <w:t>Victoria:</w:t>
      </w:r>
    </w:p>
    <w:p w14:paraId="7ACEDCA5" w14:textId="77777777" w:rsidR="00894070" w:rsidRDefault="009B7AFD">
      <w:pPr>
        <w:spacing w:before="112" w:line="208" w:lineRule="auto"/>
        <w:ind w:left="2254" w:right="1219"/>
        <w:rPr>
          <w:sz w:val="11"/>
        </w:rPr>
      </w:pPr>
      <w:r>
        <w:rPr>
          <w:color w:val="231F20"/>
          <w:sz w:val="19"/>
        </w:rPr>
        <w:t>A risk averse approach is being taken and there is a reluctance to refuse to make an order. No one wants to risk that they said no to an order, and something happens later.</w:t>
      </w:r>
      <w:r>
        <w:rPr>
          <w:color w:val="231F20"/>
          <w:position w:val="6"/>
          <w:sz w:val="11"/>
        </w:rPr>
        <w:t>28</w:t>
      </w:r>
    </w:p>
    <w:p w14:paraId="6CF3A23F" w14:textId="77777777" w:rsidR="00894070" w:rsidRDefault="009B7AFD">
      <w:pPr>
        <w:pStyle w:val="ListParagraph"/>
        <w:numPr>
          <w:ilvl w:val="1"/>
          <w:numId w:val="102"/>
        </w:numPr>
        <w:tabs>
          <w:tab w:val="left" w:pos="1801"/>
          <w:tab w:val="left" w:pos="1802"/>
        </w:tabs>
        <w:spacing w:before="92" w:line="259" w:lineRule="exact"/>
        <w:rPr>
          <w:sz w:val="20"/>
        </w:rPr>
      </w:pPr>
      <w:r>
        <w:rPr>
          <w:color w:val="231F20"/>
          <w:sz w:val="20"/>
        </w:rPr>
        <w:t>While</w:t>
      </w:r>
      <w:r>
        <w:rPr>
          <w:color w:val="231F20"/>
          <w:spacing w:val="-6"/>
          <w:sz w:val="20"/>
        </w:rPr>
        <w:t xml:space="preserve"> </w:t>
      </w:r>
      <w:r>
        <w:rPr>
          <w:color w:val="231F20"/>
          <w:sz w:val="20"/>
        </w:rPr>
        <w:t>the</w:t>
      </w:r>
      <w:r>
        <w:rPr>
          <w:color w:val="231F20"/>
          <w:spacing w:val="-6"/>
          <w:sz w:val="20"/>
        </w:rPr>
        <w:t xml:space="preserve"> </w:t>
      </w:r>
      <w:r>
        <w:rPr>
          <w:color w:val="231F20"/>
          <w:spacing w:val="-2"/>
          <w:sz w:val="20"/>
        </w:rPr>
        <w:t>system</w:t>
      </w:r>
      <w:r>
        <w:rPr>
          <w:color w:val="231F20"/>
          <w:spacing w:val="-5"/>
          <w:sz w:val="20"/>
        </w:rPr>
        <w:t xml:space="preserve"> </w:t>
      </w:r>
      <w:r>
        <w:rPr>
          <w:color w:val="231F20"/>
          <w:spacing w:val="-3"/>
          <w:sz w:val="20"/>
        </w:rPr>
        <w:t>allows</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mediation</w:t>
      </w:r>
      <w:r>
        <w:rPr>
          <w:color w:val="231F20"/>
          <w:spacing w:val="-6"/>
          <w:sz w:val="20"/>
        </w:rPr>
        <w:t xml:space="preserve"> </w:t>
      </w:r>
      <w:r>
        <w:rPr>
          <w:color w:val="231F20"/>
          <w:sz w:val="20"/>
        </w:rPr>
        <w:t>to</w:t>
      </w:r>
      <w:r>
        <w:rPr>
          <w:color w:val="231F20"/>
          <w:spacing w:val="-6"/>
          <w:sz w:val="20"/>
        </w:rPr>
        <w:t xml:space="preserve"> </w:t>
      </w:r>
      <w:r>
        <w:rPr>
          <w:color w:val="231F20"/>
          <w:sz w:val="20"/>
        </w:rPr>
        <w:t>free</w:t>
      </w:r>
      <w:r>
        <w:rPr>
          <w:color w:val="231F20"/>
          <w:spacing w:val="-5"/>
          <w:sz w:val="20"/>
        </w:rPr>
        <w:t xml:space="preserve"> </w:t>
      </w:r>
      <w:r>
        <w:rPr>
          <w:color w:val="231F20"/>
          <w:sz w:val="20"/>
        </w:rPr>
        <w:t>up</w:t>
      </w:r>
      <w:r>
        <w:rPr>
          <w:color w:val="231F20"/>
          <w:spacing w:val="-6"/>
          <w:sz w:val="20"/>
        </w:rPr>
        <w:t xml:space="preserve"> </w:t>
      </w:r>
      <w:r>
        <w:rPr>
          <w:color w:val="231F20"/>
          <w:sz w:val="20"/>
        </w:rPr>
        <w:t>court</w:t>
      </w:r>
      <w:r>
        <w:rPr>
          <w:color w:val="231F20"/>
          <w:spacing w:val="-5"/>
          <w:sz w:val="20"/>
        </w:rPr>
        <w:t xml:space="preserve"> </w:t>
      </w:r>
      <w:r>
        <w:rPr>
          <w:color w:val="231F20"/>
          <w:sz w:val="20"/>
        </w:rPr>
        <w:t>hearings,</w:t>
      </w:r>
      <w:r>
        <w:rPr>
          <w:color w:val="231F20"/>
          <w:spacing w:val="-6"/>
          <w:sz w:val="20"/>
        </w:rPr>
        <w:t xml:space="preserve"> </w:t>
      </w:r>
      <w:r>
        <w:rPr>
          <w:color w:val="231F20"/>
          <w:sz w:val="20"/>
        </w:rPr>
        <w:t>in</w:t>
      </w:r>
      <w:r>
        <w:rPr>
          <w:color w:val="231F20"/>
          <w:spacing w:val="-6"/>
          <w:sz w:val="20"/>
        </w:rPr>
        <w:t xml:space="preserve"> </w:t>
      </w:r>
      <w:r>
        <w:rPr>
          <w:color w:val="231F20"/>
          <w:sz w:val="20"/>
        </w:rPr>
        <w:t>practice</w:t>
      </w:r>
      <w:r>
        <w:rPr>
          <w:color w:val="231F20"/>
          <w:spacing w:val="-5"/>
          <w:sz w:val="20"/>
        </w:rPr>
        <w:t xml:space="preserve"> </w:t>
      </w:r>
      <w:r>
        <w:rPr>
          <w:color w:val="231F20"/>
          <w:sz w:val="20"/>
        </w:rPr>
        <w:t>mediation</w:t>
      </w:r>
    </w:p>
    <w:p w14:paraId="59A431E9" w14:textId="77777777" w:rsidR="00894070" w:rsidRDefault="009B7AFD">
      <w:pPr>
        <w:pStyle w:val="BodyText"/>
        <w:spacing w:line="259" w:lineRule="exact"/>
        <w:ind w:left="1801"/>
      </w:pPr>
      <w:r>
        <w:rPr>
          <w:color w:val="231F20"/>
        </w:rPr>
        <w:t>is rarely used (see below).</w:t>
      </w:r>
    </w:p>
    <w:p w14:paraId="0B1BAE8F" w14:textId="77777777" w:rsidR="00894070" w:rsidRDefault="009B7AFD">
      <w:pPr>
        <w:pStyle w:val="ListParagraph"/>
        <w:numPr>
          <w:ilvl w:val="1"/>
          <w:numId w:val="102"/>
        </w:numPr>
        <w:tabs>
          <w:tab w:val="left" w:pos="1801"/>
          <w:tab w:val="left" w:pos="1802"/>
        </w:tabs>
        <w:spacing w:before="114" w:line="206" w:lineRule="auto"/>
        <w:ind w:right="1786"/>
        <w:rPr>
          <w:sz w:val="20"/>
        </w:rPr>
      </w:pPr>
      <w:r>
        <w:rPr>
          <w:color w:val="231F20"/>
          <w:sz w:val="20"/>
        </w:rPr>
        <w:t>The</w:t>
      </w:r>
      <w:r>
        <w:rPr>
          <w:color w:val="231F20"/>
          <w:spacing w:val="-7"/>
          <w:sz w:val="20"/>
        </w:rPr>
        <w:t xml:space="preserve"> </w:t>
      </w:r>
      <w:r>
        <w:rPr>
          <w:color w:val="231F20"/>
          <w:spacing w:val="-3"/>
          <w:sz w:val="20"/>
        </w:rPr>
        <w:t>volume</w:t>
      </w:r>
      <w:r>
        <w:rPr>
          <w:color w:val="231F20"/>
          <w:spacing w:val="-7"/>
          <w:sz w:val="20"/>
        </w:rPr>
        <w:t xml:space="preserve"> </w:t>
      </w:r>
      <w:r>
        <w:rPr>
          <w:color w:val="231F20"/>
          <w:sz w:val="20"/>
        </w:rPr>
        <w:t>of</w:t>
      </w:r>
      <w:r>
        <w:rPr>
          <w:color w:val="231F20"/>
          <w:spacing w:val="-7"/>
          <w:sz w:val="20"/>
        </w:rPr>
        <w:t xml:space="preserve"> </w:t>
      </w:r>
      <w:r>
        <w:rPr>
          <w:color w:val="231F20"/>
          <w:sz w:val="20"/>
        </w:rPr>
        <w:t>PSIOs</w:t>
      </w:r>
      <w:r>
        <w:rPr>
          <w:color w:val="231F20"/>
          <w:spacing w:val="-7"/>
          <w:sz w:val="20"/>
        </w:rPr>
        <w:t xml:space="preserve"> </w:t>
      </w:r>
      <w:r>
        <w:rPr>
          <w:color w:val="231F20"/>
          <w:sz w:val="20"/>
        </w:rPr>
        <w:t>leads</w:t>
      </w:r>
      <w:r>
        <w:rPr>
          <w:color w:val="231F20"/>
          <w:spacing w:val="-6"/>
          <w:sz w:val="20"/>
        </w:rPr>
        <w:t xml:space="preserve"> </w:t>
      </w:r>
      <w:r>
        <w:rPr>
          <w:color w:val="231F20"/>
          <w:sz w:val="20"/>
        </w:rPr>
        <w:t>to</w:t>
      </w:r>
      <w:r>
        <w:rPr>
          <w:color w:val="231F20"/>
          <w:spacing w:val="-7"/>
          <w:sz w:val="20"/>
        </w:rPr>
        <w:t xml:space="preserve"> </w:t>
      </w:r>
      <w:r>
        <w:rPr>
          <w:color w:val="231F20"/>
          <w:sz w:val="20"/>
        </w:rPr>
        <w:t>problems.</w:t>
      </w:r>
      <w:r>
        <w:rPr>
          <w:color w:val="231F20"/>
          <w:spacing w:val="-7"/>
          <w:sz w:val="20"/>
        </w:rPr>
        <w:t xml:space="preserve"> </w:t>
      </w:r>
      <w:r>
        <w:rPr>
          <w:color w:val="231F20"/>
          <w:sz w:val="20"/>
        </w:rPr>
        <w:t>Derryn</w:t>
      </w:r>
      <w:r>
        <w:rPr>
          <w:color w:val="231F20"/>
          <w:spacing w:val="-7"/>
          <w:sz w:val="20"/>
        </w:rPr>
        <w:t xml:space="preserve"> </w:t>
      </w:r>
      <w:r>
        <w:rPr>
          <w:color w:val="231F20"/>
          <w:spacing w:val="-4"/>
          <w:sz w:val="20"/>
        </w:rPr>
        <w:t>Hinch’s</w:t>
      </w:r>
      <w:r>
        <w:rPr>
          <w:color w:val="231F20"/>
          <w:spacing w:val="-7"/>
          <w:sz w:val="20"/>
        </w:rPr>
        <w:t xml:space="preserve"> </w:t>
      </w:r>
      <w:r>
        <w:rPr>
          <w:color w:val="231F20"/>
          <w:sz w:val="20"/>
        </w:rPr>
        <w:t>Justice</w:t>
      </w:r>
      <w:r>
        <w:rPr>
          <w:color w:val="231F20"/>
          <w:spacing w:val="-6"/>
          <w:sz w:val="20"/>
        </w:rPr>
        <w:t xml:space="preserve"> </w:t>
      </w:r>
      <w:r>
        <w:rPr>
          <w:color w:val="231F20"/>
          <w:sz w:val="20"/>
        </w:rPr>
        <w:t>Party</w:t>
      </w:r>
      <w:r>
        <w:rPr>
          <w:color w:val="231F20"/>
          <w:spacing w:val="-7"/>
          <w:sz w:val="20"/>
        </w:rPr>
        <w:t xml:space="preserve"> </w:t>
      </w:r>
      <w:r>
        <w:rPr>
          <w:color w:val="231F20"/>
          <w:spacing w:val="-3"/>
          <w:sz w:val="20"/>
        </w:rPr>
        <w:t>told</w:t>
      </w:r>
      <w:r>
        <w:rPr>
          <w:color w:val="231F20"/>
          <w:spacing w:val="-7"/>
          <w:sz w:val="20"/>
        </w:rPr>
        <w:t xml:space="preserve"> </w:t>
      </w:r>
      <w:r>
        <w:rPr>
          <w:color w:val="231F20"/>
          <w:sz w:val="20"/>
        </w:rPr>
        <w:t>us</w:t>
      </w:r>
      <w:r>
        <w:rPr>
          <w:color w:val="231F20"/>
          <w:spacing w:val="-7"/>
          <w:sz w:val="20"/>
        </w:rPr>
        <w:t xml:space="preserve"> </w:t>
      </w:r>
      <w:r>
        <w:rPr>
          <w:color w:val="231F20"/>
          <w:sz w:val="20"/>
        </w:rPr>
        <w:t>that it</w:t>
      </w:r>
      <w:r>
        <w:rPr>
          <w:color w:val="231F20"/>
          <w:spacing w:val="-8"/>
          <w:sz w:val="20"/>
        </w:rPr>
        <w:t xml:space="preserve"> </w:t>
      </w:r>
      <w:r>
        <w:rPr>
          <w:color w:val="231F20"/>
          <w:sz w:val="20"/>
        </w:rPr>
        <w:t>becomes</w:t>
      </w:r>
      <w:r>
        <w:rPr>
          <w:color w:val="231F20"/>
          <w:spacing w:val="-8"/>
          <w:sz w:val="20"/>
        </w:rPr>
        <w:t xml:space="preserve"> </w:t>
      </w:r>
      <w:r>
        <w:rPr>
          <w:color w:val="231F20"/>
          <w:sz w:val="20"/>
        </w:rPr>
        <w:t>difficult</w:t>
      </w:r>
      <w:r>
        <w:rPr>
          <w:color w:val="231F20"/>
          <w:spacing w:val="-7"/>
          <w:sz w:val="20"/>
        </w:rPr>
        <w:t xml:space="preserve"> </w:t>
      </w:r>
      <w:r>
        <w:rPr>
          <w:color w:val="231F20"/>
          <w:sz w:val="20"/>
        </w:rPr>
        <w:t>to</w:t>
      </w:r>
      <w:r>
        <w:rPr>
          <w:color w:val="231F20"/>
          <w:spacing w:val="-8"/>
          <w:sz w:val="20"/>
        </w:rPr>
        <w:t xml:space="preserve"> </w:t>
      </w:r>
      <w:r>
        <w:rPr>
          <w:color w:val="231F20"/>
          <w:spacing w:val="-3"/>
          <w:sz w:val="20"/>
        </w:rPr>
        <w:t>‘[separate]</w:t>
      </w:r>
      <w:r>
        <w:rPr>
          <w:color w:val="231F20"/>
          <w:spacing w:val="-8"/>
          <w:sz w:val="20"/>
        </w:rPr>
        <w:t xml:space="preserve"> </w:t>
      </w:r>
      <w:r>
        <w:rPr>
          <w:color w:val="231F20"/>
          <w:sz w:val="20"/>
        </w:rPr>
        <w:t>the</w:t>
      </w:r>
      <w:r>
        <w:rPr>
          <w:color w:val="231F20"/>
          <w:spacing w:val="-7"/>
          <w:sz w:val="20"/>
        </w:rPr>
        <w:t xml:space="preserve"> </w:t>
      </w:r>
      <w:r>
        <w:rPr>
          <w:color w:val="231F20"/>
          <w:sz w:val="20"/>
        </w:rPr>
        <w:t>serious</w:t>
      </w:r>
      <w:r>
        <w:rPr>
          <w:color w:val="231F20"/>
          <w:spacing w:val="-8"/>
          <w:sz w:val="20"/>
        </w:rPr>
        <w:t xml:space="preserve"> </w:t>
      </w:r>
      <w:r>
        <w:rPr>
          <w:color w:val="231F20"/>
          <w:spacing w:val="-3"/>
          <w:sz w:val="20"/>
        </w:rPr>
        <w:t>from</w:t>
      </w:r>
      <w:r>
        <w:rPr>
          <w:color w:val="231F20"/>
          <w:spacing w:val="-8"/>
          <w:sz w:val="20"/>
        </w:rPr>
        <w:t xml:space="preserve"> </w:t>
      </w:r>
      <w:r>
        <w:rPr>
          <w:color w:val="231F20"/>
          <w:sz w:val="20"/>
        </w:rPr>
        <w:t>the</w:t>
      </w:r>
      <w:r>
        <w:rPr>
          <w:color w:val="231F20"/>
          <w:spacing w:val="-7"/>
          <w:sz w:val="20"/>
        </w:rPr>
        <w:t xml:space="preserve"> </w:t>
      </w:r>
      <w:r>
        <w:rPr>
          <w:color w:val="231F20"/>
          <w:spacing w:val="-3"/>
          <w:sz w:val="20"/>
        </w:rPr>
        <w:t>trivial’.</w:t>
      </w:r>
      <w:r>
        <w:rPr>
          <w:color w:val="231F20"/>
          <w:spacing w:val="-3"/>
          <w:position w:val="7"/>
          <w:sz w:val="11"/>
        </w:rPr>
        <w:t>29</w:t>
      </w:r>
      <w:r>
        <w:rPr>
          <w:color w:val="231F20"/>
          <w:spacing w:val="16"/>
          <w:position w:val="7"/>
          <w:sz w:val="11"/>
        </w:rPr>
        <w:t xml:space="preserve"> </w:t>
      </w:r>
      <w:r>
        <w:rPr>
          <w:color w:val="231F20"/>
          <w:sz w:val="20"/>
        </w:rPr>
        <w:t>Jason</w:t>
      </w:r>
      <w:r>
        <w:rPr>
          <w:color w:val="231F20"/>
          <w:spacing w:val="-8"/>
          <w:sz w:val="20"/>
        </w:rPr>
        <w:t xml:space="preserve"> </w:t>
      </w:r>
      <w:r>
        <w:rPr>
          <w:color w:val="231F20"/>
          <w:sz w:val="20"/>
        </w:rPr>
        <w:t>Gullaci,</w:t>
      </w:r>
      <w:r>
        <w:rPr>
          <w:color w:val="231F20"/>
          <w:spacing w:val="-7"/>
          <w:sz w:val="20"/>
        </w:rPr>
        <w:t xml:space="preserve"> </w:t>
      </w:r>
      <w:r>
        <w:rPr>
          <w:color w:val="231F20"/>
          <w:spacing w:val="-3"/>
          <w:sz w:val="20"/>
        </w:rPr>
        <w:t>from</w:t>
      </w:r>
    </w:p>
    <w:p w14:paraId="4004618A" w14:textId="77777777" w:rsidR="00894070" w:rsidRDefault="009B7AFD">
      <w:pPr>
        <w:pStyle w:val="BodyText"/>
        <w:spacing w:before="3" w:line="206" w:lineRule="auto"/>
        <w:ind w:left="1801" w:right="1121"/>
        <w:rPr>
          <w:sz w:val="11"/>
        </w:rPr>
      </w:pPr>
      <w:r>
        <w:rPr>
          <w:color w:val="231F20"/>
        </w:rPr>
        <w:t xml:space="preserve">the Criminal Bar Association, explained that using </w:t>
      </w:r>
      <w:r>
        <w:rPr>
          <w:color w:val="231F20"/>
          <w:spacing w:val="-2"/>
        </w:rPr>
        <w:t xml:space="preserve">intervention </w:t>
      </w:r>
      <w:r>
        <w:rPr>
          <w:color w:val="231F20"/>
        </w:rPr>
        <w:t xml:space="preserve">orders ‘for collateral purposes in other </w:t>
      </w:r>
      <w:r>
        <w:rPr>
          <w:color w:val="231F20"/>
          <w:spacing w:val="-4"/>
        </w:rPr>
        <w:t xml:space="preserve">ways’ </w:t>
      </w:r>
      <w:r>
        <w:rPr>
          <w:color w:val="231F20"/>
        </w:rPr>
        <w:t xml:space="preserve">makes it difficult to </w:t>
      </w:r>
      <w:r>
        <w:rPr>
          <w:color w:val="231F20"/>
          <w:spacing w:val="-3"/>
        </w:rPr>
        <w:t xml:space="preserve">know </w:t>
      </w:r>
      <w:r>
        <w:rPr>
          <w:color w:val="231F20"/>
        </w:rPr>
        <w:t xml:space="preserve">which cases ‘will become serious stalking </w:t>
      </w:r>
      <w:r>
        <w:rPr>
          <w:color w:val="231F20"/>
          <w:spacing w:val="-4"/>
        </w:rPr>
        <w:t>matters’.</w:t>
      </w:r>
      <w:r>
        <w:rPr>
          <w:color w:val="231F20"/>
          <w:spacing w:val="-4"/>
          <w:position w:val="7"/>
          <w:sz w:val="11"/>
        </w:rPr>
        <w:t xml:space="preserve">30 </w:t>
      </w:r>
      <w:r>
        <w:rPr>
          <w:color w:val="231F20"/>
        </w:rPr>
        <w:t xml:space="preserve">The Law </w:t>
      </w:r>
      <w:r>
        <w:rPr>
          <w:color w:val="231F20"/>
          <w:spacing w:val="-3"/>
        </w:rPr>
        <w:t xml:space="preserve">Institute </w:t>
      </w:r>
      <w:r>
        <w:rPr>
          <w:color w:val="231F20"/>
        </w:rPr>
        <w:t xml:space="preserve">of Victoria stated that the number of PSIOs makes them harder to police, and victim survivors of stalking </w:t>
      </w:r>
      <w:r>
        <w:rPr>
          <w:color w:val="231F20"/>
          <w:spacing w:val="-3"/>
        </w:rPr>
        <w:t xml:space="preserve">may </w:t>
      </w:r>
      <w:r>
        <w:rPr>
          <w:color w:val="231F20"/>
        </w:rPr>
        <w:t>not get the support they need.</w:t>
      </w:r>
      <w:r>
        <w:rPr>
          <w:color w:val="231F20"/>
          <w:position w:val="7"/>
          <w:sz w:val="11"/>
        </w:rPr>
        <w:t xml:space="preserve">31 </w:t>
      </w:r>
      <w:r>
        <w:rPr>
          <w:color w:val="231F20"/>
          <w:spacing w:val="-6"/>
        </w:rPr>
        <w:t xml:space="preserve">We </w:t>
      </w:r>
      <w:r>
        <w:rPr>
          <w:color w:val="231F20"/>
          <w:spacing w:val="-4"/>
        </w:rPr>
        <w:t xml:space="preserve">were </w:t>
      </w:r>
      <w:r>
        <w:rPr>
          <w:color w:val="231F20"/>
        </w:rPr>
        <w:t xml:space="preserve">also </w:t>
      </w:r>
      <w:r>
        <w:rPr>
          <w:color w:val="231F20"/>
          <w:spacing w:val="-3"/>
        </w:rPr>
        <w:t xml:space="preserve">told </w:t>
      </w:r>
      <w:r>
        <w:rPr>
          <w:color w:val="231F20"/>
        </w:rPr>
        <w:t xml:space="preserve">that it is important to identify and intervene </w:t>
      </w:r>
      <w:r>
        <w:rPr>
          <w:color w:val="231F20"/>
          <w:spacing w:val="-3"/>
        </w:rPr>
        <w:t xml:space="preserve">early </w:t>
      </w:r>
      <w:r>
        <w:rPr>
          <w:color w:val="231F20"/>
        </w:rPr>
        <w:t xml:space="preserve">in the cases that need to be escalated among the ‘large </w:t>
      </w:r>
      <w:r>
        <w:rPr>
          <w:color w:val="231F20"/>
          <w:spacing w:val="-3"/>
        </w:rPr>
        <w:t xml:space="preserve">volume </w:t>
      </w:r>
      <w:r>
        <w:rPr>
          <w:color w:val="231F20"/>
        </w:rPr>
        <w:t xml:space="preserve">of personal safety </w:t>
      </w:r>
      <w:r>
        <w:rPr>
          <w:color w:val="231F20"/>
          <w:spacing w:val="-4"/>
        </w:rPr>
        <w:t>matters’.</w:t>
      </w:r>
      <w:r>
        <w:rPr>
          <w:color w:val="231F20"/>
          <w:spacing w:val="-4"/>
          <w:position w:val="7"/>
          <w:sz w:val="11"/>
        </w:rPr>
        <w:t>32</w:t>
      </w:r>
    </w:p>
    <w:p w14:paraId="031ED0D1" w14:textId="77777777" w:rsidR="00894070" w:rsidRDefault="009B7AFD">
      <w:pPr>
        <w:pStyle w:val="ListParagraph"/>
        <w:numPr>
          <w:ilvl w:val="1"/>
          <w:numId w:val="102"/>
        </w:numPr>
        <w:tabs>
          <w:tab w:val="left" w:pos="1801"/>
          <w:tab w:val="left" w:pos="1802"/>
        </w:tabs>
        <w:spacing w:before="95"/>
        <w:rPr>
          <w:sz w:val="20"/>
        </w:rPr>
      </w:pPr>
      <w:r>
        <w:rPr>
          <w:color w:val="231F20"/>
          <w:sz w:val="20"/>
        </w:rPr>
        <w:t>Other problems</w:t>
      </w:r>
      <w:r>
        <w:rPr>
          <w:color w:val="231F20"/>
          <w:spacing w:val="-9"/>
          <w:sz w:val="20"/>
        </w:rPr>
        <w:t xml:space="preserve"> </w:t>
      </w:r>
      <w:r>
        <w:rPr>
          <w:color w:val="231F20"/>
          <w:sz w:val="20"/>
        </w:rPr>
        <w:t>include:</w:t>
      </w:r>
    </w:p>
    <w:p w14:paraId="503D81B2" w14:textId="77777777" w:rsidR="00894070" w:rsidRDefault="009B7AFD">
      <w:pPr>
        <w:pStyle w:val="ListParagraph"/>
        <w:numPr>
          <w:ilvl w:val="2"/>
          <w:numId w:val="102"/>
        </w:numPr>
        <w:tabs>
          <w:tab w:val="left" w:pos="2141"/>
          <w:tab w:val="left" w:pos="2142"/>
        </w:tabs>
        <w:spacing w:before="83"/>
        <w:ind w:hanging="340"/>
        <w:rPr>
          <w:sz w:val="11"/>
        </w:rPr>
      </w:pPr>
      <w:r>
        <w:rPr>
          <w:color w:val="231F20"/>
          <w:sz w:val="20"/>
        </w:rPr>
        <w:t>court backlogs and</w:t>
      </w:r>
      <w:r>
        <w:rPr>
          <w:color w:val="231F20"/>
          <w:spacing w:val="-13"/>
          <w:sz w:val="20"/>
        </w:rPr>
        <w:t xml:space="preserve"> </w:t>
      </w:r>
      <w:r>
        <w:rPr>
          <w:color w:val="231F20"/>
          <w:sz w:val="20"/>
        </w:rPr>
        <w:t>delays</w:t>
      </w:r>
      <w:r>
        <w:rPr>
          <w:color w:val="231F20"/>
          <w:position w:val="7"/>
          <w:sz w:val="11"/>
        </w:rPr>
        <w:t>33</w:t>
      </w:r>
    </w:p>
    <w:p w14:paraId="62A5641A" w14:textId="77777777" w:rsidR="00894070" w:rsidRDefault="009B7AFD">
      <w:pPr>
        <w:pStyle w:val="ListParagraph"/>
        <w:numPr>
          <w:ilvl w:val="2"/>
          <w:numId w:val="102"/>
        </w:numPr>
        <w:tabs>
          <w:tab w:val="left" w:pos="2141"/>
          <w:tab w:val="left" w:pos="2142"/>
        </w:tabs>
        <w:spacing w:before="47"/>
        <w:ind w:hanging="340"/>
        <w:rPr>
          <w:sz w:val="11"/>
        </w:rPr>
      </w:pPr>
      <w:r>
        <w:rPr>
          <w:color w:val="231F20"/>
          <w:sz w:val="20"/>
        </w:rPr>
        <w:t>wasting police and court</w:t>
      </w:r>
      <w:r>
        <w:rPr>
          <w:color w:val="231F20"/>
          <w:spacing w:val="-17"/>
          <w:sz w:val="20"/>
        </w:rPr>
        <w:t xml:space="preserve"> </w:t>
      </w:r>
      <w:r>
        <w:rPr>
          <w:color w:val="231F20"/>
          <w:sz w:val="20"/>
        </w:rPr>
        <w:t>resources</w:t>
      </w:r>
      <w:r>
        <w:rPr>
          <w:color w:val="231F20"/>
          <w:position w:val="7"/>
          <w:sz w:val="11"/>
        </w:rPr>
        <w:t>34</w:t>
      </w:r>
    </w:p>
    <w:p w14:paraId="7DFE3380"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not</w:t>
      </w:r>
      <w:r>
        <w:rPr>
          <w:color w:val="231F20"/>
          <w:spacing w:val="-6"/>
          <w:sz w:val="20"/>
        </w:rPr>
        <w:t xml:space="preserve"> </w:t>
      </w:r>
      <w:r>
        <w:rPr>
          <w:color w:val="231F20"/>
          <w:sz w:val="20"/>
        </w:rPr>
        <w:t>charging</w:t>
      </w:r>
      <w:r>
        <w:rPr>
          <w:color w:val="231F20"/>
          <w:spacing w:val="-6"/>
          <w:sz w:val="20"/>
        </w:rPr>
        <w:t xml:space="preserve"> </w:t>
      </w:r>
      <w:r>
        <w:rPr>
          <w:color w:val="231F20"/>
          <w:sz w:val="20"/>
        </w:rPr>
        <w:t>stalking</w:t>
      </w:r>
      <w:r>
        <w:rPr>
          <w:color w:val="231F20"/>
          <w:spacing w:val="-6"/>
          <w:sz w:val="20"/>
        </w:rPr>
        <w:t xml:space="preserve"> </w:t>
      </w:r>
      <w:r>
        <w:rPr>
          <w:color w:val="231F20"/>
          <w:sz w:val="20"/>
        </w:rPr>
        <w:t>as</w:t>
      </w:r>
      <w:r>
        <w:rPr>
          <w:color w:val="231F20"/>
          <w:spacing w:val="-5"/>
          <w:sz w:val="20"/>
        </w:rPr>
        <w:t xml:space="preserve"> </w:t>
      </w:r>
      <w:r>
        <w:rPr>
          <w:color w:val="231F20"/>
          <w:sz w:val="20"/>
        </w:rPr>
        <w:t>a</w:t>
      </w:r>
      <w:r>
        <w:rPr>
          <w:color w:val="231F20"/>
          <w:spacing w:val="-6"/>
          <w:sz w:val="20"/>
        </w:rPr>
        <w:t xml:space="preserve"> </w:t>
      </w:r>
      <w:r>
        <w:rPr>
          <w:color w:val="231F20"/>
          <w:sz w:val="20"/>
        </w:rPr>
        <w:t>criminal</w:t>
      </w:r>
      <w:r>
        <w:rPr>
          <w:color w:val="231F20"/>
          <w:spacing w:val="-6"/>
          <w:sz w:val="20"/>
        </w:rPr>
        <w:t xml:space="preserve"> </w:t>
      </w:r>
      <w:r>
        <w:rPr>
          <w:color w:val="231F20"/>
          <w:sz w:val="20"/>
        </w:rPr>
        <w:t>offence</w:t>
      </w:r>
      <w:r>
        <w:rPr>
          <w:color w:val="231F20"/>
          <w:spacing w:val="-5"/>
          <w:sz w:val="20"/>
        </w:rPr>
        <w:t xml:space="preserve"> </w:t>
      </w:r>
      <w:r>
        <w:rPr>
          <w:color w:val="231F20"/>
          <w:sz w:val="20"/>
        </w:rPr>
        <w:t>where</w:t>
      </w:r>
      <w:r>
        <w:rPr>
          <w:color w:val="231F20"/>
          <w:spacing w:val="-6"/>
          <w:sz w:val="20"/>
        </w:rPr>
        <w:t xml:space="preserve"> </w:t>
      </w:r>
      <w:r>
        <w:rPr>
          <w:color w:val="231F20"/>
          <w:sz w:val="20"/>
        </w:rPr>
        <w:t>it</w:t>
      </w:r>
      <w:r>
        <w:rPr>
          <w:color w:val="231F20"/>
          <w:spacing w:val="-6"/>
          <w:sz w:val="20"/>
        </w:rPr>
        <w:t xml:space="preserve"> </w:t>
      </w:r>
      <w:r>
        <w:rPr>
          <w:color w:val="231F20"/>
          <w:sz w:val="20"/>
        </w:rPr>
        <w:t>should</w:t>
      </w:r>
      <w:r>
        <w:rPr>
          <w:color w:val="231F20"/>
          <w:spacing w:val="-6"/>
          <w:sz w:val="20"/>
        </w:rPr>
        <w:t xml:space="preserve"> </w:t>
      </w:r>
      <w:r>
        <w:rPr>
          <w:color w:val="231F20"/>
          <w:sz w:val="20"/>
        </w:rPr>
        <w:t>be</w:t>
      </w:r>
      <w:r>
        <w:rPr>
          <w:color w:val="231F20"/>
          <w:spacing w:val="-5"/>
          <w:sz w:val="20"/>
        </w:rPr>
        <w:t xml:space="preserve"> </w:t>
      </w:r>
      <w:r>
        <w:rPr>
          <w:color w:val="231F20"/>
          <w:sz w:val="20"/>
        </w:rPr>
        <w:t>(see</w:t>
      </w:r>
      <w:r>
        <w:rPr>
          <w:color w:val="231F20"/>
          <w:spacing w:val="-6"/>
          <w:sz w:val="20"/>
        </w:rPr>
        <w:t xml:space="preserve"> </w:t>
      </w:r>
      <w:r>
        <w:rPr>
          <w:color w:val="231F20"/>
          <w:spacing w:val="-3"/>
          <w:sz w:val="20"/>
        </w:rPr>
        <w:t>Chapter</w:t>
      </w:r>
      <w:r>
        <w:rPr>
          <w:color w:val="231F20"/>
          <w:spacing w:val="-6"/>
          <w:sz w:val="20"/>
        </w:rPr>
        <w:t xml:space="preserve"> </w:t>
      </w:r>
      <w:r>
        <w:rPr>
          <w:color w:val="231F20"/>
          <w:spacing w:val="-4"/>
          <w:sz w:val="20"/>
        </w:rPr>
        <w:t>7).</w:t>
      </w:r>
    </w:p>
    <w:p w14:paraId="1C0AB195" w14:textId="77777777" w:rsidR="00894070" w:rsidRDefault="00894070">
      <w:pPr>
        <w:pStyle w:val="BodyText"/>
      </w:pPr>
    </w:p>
    <w:p w14:paraId="614B732C" w14:textId="77777777" w:rsidR="00894070" w:rsidRDefault="00894070">
      <w:pPr>
        <w:pStyle w:val="BodyText"/>
      </w:pPr>
    </w:p>
    <w:p w14:paraId="268E5B38" w14:textId="77777777" w:rsidR="00894070" w:rsidRDefault="00894070">
      <w:pPr>
        <w:pStyle w:val="BodyText"/>
      </w:pPr>
    </w:p>
    <w:p w14:paraId="3E4E2CF7" w14:textId="77777777" w:rsidR="00894070" w:rsidRDefault="009F6793">
      <w:pPr>
        <w:pStyle w:val="BodyText"/>
        <w:spacing w:before="12"/>
      </w:pPr>
      <w:r>
        <w:pict w14:anchorId="423C8D72">
          <v:line id="_x0000_s1352" style="position:absolute;z-index:251643904;mso-wrap-distance-left:0;mso-wrap-distance-right:0;mso-position-horizontal-relative:page" from="79.35pt,16.95pt" to="515.9pt,16.95pt" strokecolor="#f8cabc" strokeweight="1pt">
            <w10:wrap type="topAndBottom" anchorx="page"/>
          </v:line>
        </w:pict>
      </w:r>
    </w:p>
    <w:p w14:paraId="581FCD5B" w14:textId="77777777" w:rsidR="00894070" w:rsidRDefault="009B7AFD">
      <w:pPr>
        <w:pStyle w:val="ListParagraph"/>
        <w:numPr>
          <w:ilvl w:val="0"/>
          <w:numId w:val="97"/>
        </w:numPr>
        <w:tabs>
          <w:tab w:val="left" w:pos="1801"/>
          <w:tab w:val="left" w:pos="1802"/>
        </w:tabs>
        <w:spacing w:before="91" w:line="170" w:lineRule="exact"/>
        <w:rPr>
          <w:sz w:val="13"/>
        </w:rPr>
      </w:pPr>
      <w:r>
        <w:rPr>
          <w:i/>
          <w:color w:val="231F20"/>
          <w:sz w:val="13"/>
        </w:rPr>
        <w:t>Stalking</w:t>
      </w:r>
      <w:r>
        <w:rPr>
          <w:i/>
          <w:color w:val="231F20"/>
          <w:spacing w:val="2"/>
          <w:sz w:val="13"/>
        </w:rPr>
        <w:t xml:space="preserve"> </w:t>
      </w:r>
      <w:r>
        <w:rPr>
          <w:i/>
          <w:color w:val="231F20"/>
          <w:sz w:val="13"/>
        </w:rPr>
        <w:t>Intervention</w:t>
      </w:r>
      <w:r>
        <w:rPr>
          <w:i/>
          <w:color w:val="231F20"/>
          <w:spacing w:val="2"/>
          <w:sz w:val="13"/>
        </w:rPr>
        <w:t xml:space="preserve"> </w:t>
      </w:r>
      <w:r>
        <w:rPr>
          <w:i/>
          <w:color w:val="231F20"/>
          <w:sz w:val="13"/>
        </w:rPr>
        <w:t>Orders</w:t>
      </w:r>
      <w:r>
        <w:rPr>
          <w:i/>
          <w:color w:val="231F20"/>
          <w:spacing w:val="2"/>
          <w:sz w:val="13"/>
        </w:rPr>
        <w:t xml:space="preserve"> </w:t>
      </w:r>
      <w:r>
        <w:rPr>
          <w:i/>
          <w:color w:val="231F20"/>
          <w:sz w:val="13"/>
        </w:rPr>
        <w:t>Act</w:t>
      </w:r>
      <w:r>
        <w:rPr>
          <w:i/>
          <w:color w:val="231F20"/>
          <w:spacing w:val="2"/>
          <w:sz w:val="13"/>
        </w:rPr>
        <w:t xml:space="preserve"> </w:t>
      </w:r>
      <w:r>
        <w:rPr>
          <w:i/>
          <w:color w:val="231F20"/>
          <w:sz w:val="13"/>
        </w:rPr>
        <w:t>2008</w:t>
      </w:r>
      <w:r>
        <w:rPr>
          <w:i/>
          <w:color w:val="231F20"/>
          <w:spacing w:val="2"/>
          <w:sz w:val="13"/>
        </w:rPr>
        <w:t xml:space="preserve"> </w:t>
      </w:r>
      <w:r>
        <w:rPr>
          <w:color w:val="231F20"/>
          <w:sz w:val="13"/>
        </w:rPr>
        <w:t>(Vic)</w:t>
      </w:r>
      <w:r>
        <w:rPr>
          <w:color w:val="231F20"/>
          <w:spacing w:val="2"/>
          <w:sz w:val="13"/>
        </w:rPr>
        <w:t xml:space="preserve"> </w:t>
      </w:r>
      <w:r>
        <w:rPr>
          <w:color w:val="231F20"/>
          <w:sz w:val="13"/>
        </w:rPr>
        <w:t>ss</w:t>
      </w:r>
      <w:r>
        <w:rPr>
          <w:color w:val="231F20"/>
          <w:spacing w:val="2"/>
          <w:sz w:val="13"/>
        </w:rPr>
        <w:t xml:space="preserve"> </w:t>
      </w:r>
      <w:r>
        <w:rPr>
          <w:color w:val="231F20"/>
          <w:sz w:val="13"/>
        </w:rPr>
        <w:t>1,</w:t>
      </w:r>
      <w:r>
        <w:rPr>
          <w:color w:val="231F20"/>
          <w:spacing w:val="2"/>
          <w:sz w:val="13"/>
        </w:rPr>
        <w:t xml:space="preserve"> </w:t>
      </w:r>
      <w:r>
        <w:rPr>
          <w:color w:val="231F20"/>
          <w:spacing w:val="-5"/>
          <w:sz w:val="13"/>
        </w:rPr>
        <w:t>7,</w:t>
      </w:r>
      <w:r>
        <w:rPr>
          <w:color w:val="231F20"/>
          <w:spacing w:val="3"/>
          <w:sz w:val="13"/>
        </w:rPr>
        <w:t xml:space="preserve"> </w:t>
      </w:r>
      <w:r>
        <w:rPr>
          <w:color w:val="231F20"/>
          <w:sz w:val="13"/>
        </w:rPr>
        <w:t>as</w:t>
      </w:r>
      <w:r>
        <w:rPr>
          <w:color w:val="231F20"/>
          <w:spacing w:val="2"/>
          <w:sz w:val="13"/>
        </w:rPr>
        <w:t xml:space="preserve"> </w:t>
      </w:r>
      <w:r>
        <w:rPr>
          <w:color w:val="231F20"/>
          <w:sz w:val="13"/>
        </w:rPr>
        <w:t>repealed</w:t>
      </w:r>
      <w:r>
        <w:rPr>
          <w:color w:val="231F20"/>
          <w:spacing w:val="2"/>
          <w:sz w:val="13"/>
        </w:rPr>
        <w:t xml:space="preserve"> </w:t>
      </w:r>
      <w:r>
        <w:rPr>
          <w:color w:val="231F20"/>
          <w:sz w:val="13"/>
        </w:rPr>
        <w:t>by:</w:t>
      </w:r>
      <w:r>
        <w:rPr>
          <w:color w:val="231F20"/>
          <w:spacing w:val="2"/>
          <w:sz w:val="13"/>
        </w:rPr>
        <w:t xml:space="preserve"> </w:t>
      </w:r>
      <w:r>
        <w:rPr>
          <w:i/>
          <w:color w:val="231F20"/>
          <w:sz w:val="13"/>
        </w:rPr>
        <w:t>Personal</w:t>
      </w:r>
      <w:r>
        <w:rPr>
          <w:i/>
          <w:color w:val="231F20"/>
          <w:spacing w:val="2"/>
          <w:sz w:val="13"/>
        </w:rPr>
        <w:t xml:space="preserve"> </w:t>
      </w:r>
      <w:r>
        <w:rPr>
          <w:i/>
          <w:color w:val="231F20"/>
          <w:sz w:val="13"/>
        </w:rPr>
        <w:t>Safety</w:t>
      </w:r>
      <w:r>
        <w:rPr>
          <w:i/>
          <w:color w:val="231F20"/>
          <w:spacing w:val="2"/>
          <w:sz w:val="13"/>
        </w:rPr>
        <w:t xml:space="preserve"> </w:t>
      </w:r>
      <w:r>
        <w:rPr>
          <w:i/>
          <w:color w:val="231F20"/>
          <w:sz w:val="13"/>
        </w:rPr>
        <w:t>Intervention</w:t>
      </w:r>
      <w:r>
        <w:rPr>
          <w:i/>
          <w:color w:val="231F20"/>
          <w:spacing w:val="2"/>
          <w:sz w:val="13"/>
        </w:rPr>
        <w:t xml:space="preserve"> </w:t>
      </w:r>
      <w:r>
        <w:rPr>
          <w:i/>
          <w:color w:val="231F20"/>
          <w:sz w:val="13"/>
        </w:rPr>
        <w:t>Orders</w:t>
      </w:r>
      <w:r>
        <w:rPr>
          <w:i/>
          <w:color w:val="231F20"/>
          <w:spacing w:val="2"/>
          <w:sz w:val="13"/>
        </w:rPr>
        <w:t xml:space="preserve"> </w:t>
      </w:r>
      <w:r>
        <w:rPr>
          <w:i/>
          <w:color w:val="231F20"/>
          <w:sz w:val="13"/>
        </w:rPr>
        <w:t>Act</w:t>
      </w:r>
      <w:r>
        <w:rPr>
          <w:i/>
          <w:color w:val="231F20"/>
          <w:spacing w:val="2"/>
          <w:sz w:val="13"/>
        </w:rPr>
        <w:t xml:space="preserve"> </w:t>
      </w:r>
      <w:r>
        <w:rPr>
          <w:i/>
          <w:color w:val="231F20"/>
          <w:sz w:val="13"/>
        </w:rPr>
        <w:t>2010</w:t>
      </w:r>
      <w:r>
        <w:rPr>
          <w:i/>
          <w:color w:val="231F20"/>
          <w:spacing w:val="2"/>
          <w:sz w:val="13"/>
        </w:rPr>
        <w:t xml:space="preserve"> </w:t>
      </w:r>
      <w:r>
        <w:rPr>
          <w:color w:val="231F20"/>
          <w:sz w:val="13"/>
        </w:rPr>
        <w:t>(Vic)</w:t>
      </w:r>
      <w:r>
        <w:rPr>
          <w:color w:val="231F20"/>
          <w:spacing w:val="3"/>
          <w:sz w:val="13"/>
        </w:rPr>
        <w:t xml:space="preserve"> </w:t>
      </w:r>
      <w:r>
        <w:rPr>
          <w:color w:val="231F20"/>
          <w:sz w:val="13"/>
        </w:rPr>
        <w:t>s</w:t>
      </w:r>
      <w:r>
        <w:rPr>
          <w:color w:val="231F20"/>
          <w:spacing w:val="2"/>
          <w:sz w:val="13"/>
        </w:rPr>
        <w:t xml:space="preserve"> </w:t>
      </w:r>
      <w:r>
        <w:rPr>
          <w:color w:val="231F20"/>
          <w:sz w:val="13"/>
        </w:rPr>
        <w:t>186.</w:t>
      </w:r>
    </w:p>
    <w:p w14:paraId="5715FCCA" w14:textId="77777777" w:rsidR="00894070" w:rsidRDefault="009B7AFD">
      <w:pPr>
        <w:pStyle w:val="ListParagraph"/>
        <w:numPr>
          <w:ilvl w:val="0"/>
          <w:numId w:val="97"/>
        </w:numPr>
        <w:tabs>
          <w:tab w:val="left" w:pos="1801"/>
          <w:tab w:val="left" w:pos="1802"/>
        </w:tabs>
        <w:spacing w:line="160" w:lineRule="exact"/>
        <w:rPr>
          <w:sz w:val="13"/>
        </w:rPr>
      </w:pPr>
      <w:r>
        <w:rPr>
          <w:color w:val="231F20"/>
          <w:sz w:val="13"/>
        </w:rPr>
        <w:t xml:space="preserve">Victoria, </w:t>
      </w:r>
      <w:r>
        <w:rPr>
          <w:i/>
          <w:color w:val="231F20"/>
          <w:sz w:val="13"/>
        </w:rPr>
        <w:t>Parliamentary Debates</w:t>
      </w:r>
      <w:r>
        <w:rPr>
          <w:color w:val="231F20"/>
          <w:sz w:val="13"/>
        </w:rPr>
        <w:t xml:space="preserve">, Legislative Assembly, 9 June 2010, 2226 (Rob </w:t>
      </w:r>
      <w:r>
        <w:rPr>
          <w:color w:val="231F20"/>
          <w:spacing w:val="2"/>
          <w:sz w:val="13"/>
        </w:rPr>
        <w:t>Hulls,</w:t>
      </w:r>
      <w:r>
        <w:rPr>
          <w:color w:val="231F20"/>
          <w:spacing w:val="15"/>
          <w:sz w:val="13"/>
        </w:rPr>
        <w:t xml:space="preserve"> </w:t>
      </w:r>
      <w:r>
        <w:rPr>
          <w:color w:val="231F20"/>
          <w:sz w:val="13"/>
        </w:rPr>
        <w:t>Attorney-General).</w:t>
      </w:r>
    </w:p>
    <w:p w14:paraId="018FBE55" w14:textId="77777777" w:rsidR="00894070" w:rsidRDefault="009B7AFD">
      <w:pPr>
        <w:tabs>
          <w:tab w:val="left" w:pos="1801"/>
        </w:tabs>
        <w:spacing w:line="160" w:lineRule="exact"/>
        <w:ind w:left="1007"/>
        <w:rPr>
          <w:sz w:val="13"/>
        </w:rPr>
      </w:pPr>
      <w:r>
        <w:rPr>
          <w:color w:val="231F20"/>
          <w:sz w:val="13"/>
        </w:rPr>
        <w:t>25</w:t>
      </w:r>
      <w:r>
        <w:rPr>
          <w:color w:val="231F20"/>
          <w:sz w:val="13"/>
        </w:rPr>
        <w:tab/>
        <w:t>Ibid</w:t>
      </w:r>
      <w:r>
        <w:rPr>
          <w:color w:val="231F20"/>
          <w:spacing w:val="-1"/>
          <w:sz w:val="13"/>
        </w:rPr>
        <w:t xml:space="preserve"> </w:t>
      </w:r>
      <w:r>
        <w:rPr>
          <w:color w:val="231F20"/>
          <w:sz w:val="13"/>
        </w:rPr>
        <w:t>2227.</w:t>
      </w:r>
    </w:p>
    <w:p w14:paraId="02857A68" w14:textId="77777777" w:rsidR="00894070" w:rsidRDefault="009B7AFD">
      <w:pPr>
        <w:tabs>
          <w:tab w:val="left" w:pos="1801"/>
        </w:tabs>
        <w:spacing w:line="160" w:lineRule="exact"/>
        <w:ind w:left="1007"/>
        <w:rPr>
          <w:sz w:val="13"/>
        </w:rPr>
      </w:pPr>
      <w:r>
        <w:rPr>
          <w:color w:val="231F20"/>
          <w:sz w:val="13"/>
        </w:rPr>
        <w:t>26</w:t>
      </w:r>
      <w:r>
        <w:rPr>
          <w:color w:val="231F20"/>
          <w:sz w:val="13"/>
        </w:rPr>
        <w:tab/>
        <w:t>Ibid 2226–7.</w:t>
      </w:r>
    </w:p>
    <w:p w14:paraId="55B58BBF" w14:textId="77777777" w:rsidR="00894070" w:rsidRDefault="009B7AFD">
      <w:pPr>
        <w:pStyle w:val="ListParagraph"/>
        <w:numPr>
          <w:ilvl w:val="0"/>
          <w:numId w:val="96"/>
        </w:numPr>
        <w:tabs>
          <w:tab w:val="left" w:pos="1800"/>
          <w:tab w:val="left" w:pos="1802"/>
        </w:tabs>
        <w:spacing w:line="160" w:lineRule="exact"/>
        <w:jc w:val="left"/>
        <w:rPr>
          <w:sz w:val="13"/>
        </w:rPr>
      </w:pPr>
      <w:r>
        <w:rPr>
          <w:color w:val="231F20"/>
          <w:sz w:val="13"/>
        </w:rPr>
        <w:t>Consultation 24 (Criminal Bar</w:t>
      </w:r>
      <w:r>
        <w:rPr>
          <w:color w:val="231F20"/>
          <w:spacing w:val="1"/>
          <w:sz w:val="13"/>
        </w:rPr>
        <w:t xml:space="preserve"> </w:t>
      </w:r>
      <w:r>
        <w:rPr>
          <w:color w:val="231F20"/>
          <w:sz w:val="13"/>
        </w:rPr>
        <w:t>Association).</w:t>
      </w:r>
    </w:p>
    <w:p w14:paraId="30BF0AEB" w14:textId="77777777" w:rsidR="00894070" w:rsidRDefault="009B7AFD">
      <w:pPr>
        <w:pStyle w:val="ListParagraph"/>
        <w:numPr>
          <w:ilvl w:val="0"/>
          <w:numId w:val="96"/>
        </w:numPr>
        <w:tabs>
          <w:tab w:val="left" w:pos="1801"/>
          <w:tab w:val="left" w:pos="1802"/>
        </w:tabs>
        <w:spacing w:line="160" w:lineRule="exact"/>
        <w:jc w:val="left"/>
        <w:rPr>
          <w:sz w:val="13"/>
        </w:rPr>
      </w:pPr>
      <w:r>
        <w:rPr>
          <w:color w:val="231F20"/>
          <w:sz w:val="13"/>
        </w:rPr>
        <w:t>Consultation 20 (Law Institute of</w:t>
      </w:r>
      <w:r>
        <w:rPr>
          <w:color w:val="231F20"/>
          <w:spacing w:val="1"/>
          <w:sz w:val="13"/>
        </w:rPr>
        <w:t xml:space="preserve"> </w:t>
      </w:r>
      <w:r>
        <w:rPr>
          <w:color w:val="231F20"/>
          <w:sz w:val="13"/>
        </w:rPr>
        <w:t>Victoria).</w:t>
      </w:r>
    </w:p>
    <w:p w14:paraId="2C12B383" w14:textId="77777777" w:rsidR="00894070" w:rsidRDefault="009B7AFD">
      <w:pPr>
        <w:pStyle w:val="ListParagraph"/>
        <w:numPr>
          <w:ilvl w:val="0"/>
          <w:numId w:val="96"/>
        </w:numPr>
        <w:tabs>
          <w:tab w:val="left" w:pos="1801"/>
          <w:tab w:val="left" w:pos="1802"/>
        </w:tabs>
        <w:spacing w:line="160" w:lineRule="exact"/>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4"/>
          <w:sz w:val="13"/>
        </w:rPr>
        <w:t xml:space="preserve"> </w:t>
      </w:r>
      <w:r>
        <w:rPr>
          <w:color w:val="231F20"/>
          <w:sz w:val="13"/>
        </w:rPr>
        <w:t>Party).</w:t>
      </w:r>
    </w:p>
    <w:p w14:paraId="647D6FC5" w14:textId="77777777" w:rsidR="00894070" w:rsidRDefault="009B7AFD">
      <w:pPr>
        <w:pStyle w:val="ListParagraph"/>
        <w:numPr>
          <w:ilvl w:val="0"/>
          <w:numId w:val="96"/>
        </w:numPr>
        <w:tabs>
          <w:tab w:val="left" w:pos="1801"/>
          <w:tab w:val="left" w:pos="1802"/>
        </w:tabs>
        <w:spacing w:line="160" w:lineRule="exact"/>
        <w:jc w:val="left"/>
        <w:rPr>
          <w:sz w:val="13"/>
        </w:rPr>
      </w:pPr>
      <w:r>
        <w:rPr>
          <w:color w:val="231F20"/>
          <w:sz w:val="13"/>
        </w:rPr>
        <w:t>Consultation 24 (Criminal Bar Association).</w:t>
      </w:r>
    </w:p>
    <w:p w14:paraId="3B35C7D6" w14:textId="77777777" w:rsidR="00894070" w:rsidRDefault="009B7AFD">
      <w:pPr>
        <w:pStyle w:val="ListParagraph"/>
        <w:numPr>
          <w:ilvl w:val="0"/>
          <w:numId w:val="96"/>
        </w:numPr>
        <w:tabs>
          <w:tab w:val="left" w:pos="1801"/>
          <w:tab w:val="left" w:pos="1802"/>
        </w:tabs>
        <w:spacing w:line="160" w:lineRule="exact"/>
        <w:jc w:val="left"/>
        <w:rPr>
          <w:sz w:val="13"/>
        </w:rPr>
      </w:pPr>
      <w:r>
        <w:rPr>
          <w:color w:val="231F20"/>
          <w:sz w:val="13"/>
        </w:rPr>
        <w:t>Consultation 20 (Law Institute of</w:t>
      </w:r>
      <w:r>
        <w:rPr>
          <w:color w:val="231F20"/>
          <w:spacing w:val="1"/>
          <w:sz w:val="13"/>
        </w:rPr>
        <w:t xml:space="preserve"> </w:t>
      </w:r>
      <w:r>
        <w:rPr>
          <w:color w:val="231F20"/>
          <w:sz w:val="13"/>
        </w:rPr>
        <w:t>Victoria).</w:t>
      </w:r>
    </w:p>
    <w:p w14:paraId="19402C78" w14:textId="77777777" w:rsidR="00894070" w:rsidRDefault="009B7AFD">
      <w:pPr>
        <w:pStyle w:val="ListParagraph"/>
        <w:numPr>
          <w:ilvl w:val="0"/>
          <w:numId w:val="96"/>
        </w:numPr>
        <w:tabs>
          <w:tab w:val="left" w:pos="1801"/>
          <w:tab w:val="left" w:pos="1802"/>
        </w:tabs>
        <w:spacing w:line="160" w:lineRule="exact"/>
        <w:jc w:val="left"/>
        <w:rPr>
          <w:sz w:val="13"/>
        </w:rPr>
      </w:pPr>
      <w:r>
        <w:rPr>
          <w:color w:val="231F20"/>
          <w:sz w:val="13"/>
        </w:rPr>
        <w:t xml:space="preserve">Consultation 34 (Magistrates’ </w:t>
      </w:r>
      <w:r>
        <w:rPr>
          <w:color w:val="231F20"/>
          <w:spacing w:val="2"/>
          <w:sz w:val="13"/>
        </w:rPr>
        <w:t xml:space="preserve">Court </w:t>
      </w:r>
      <w:r>
        <w:rPr>
          <w:color w:val="231F20"/>
          <w:sz w:val="13"/>
        </w:rPr>
        <w:t>of Victoria (No 2)).</w:t>
      </w:r>
    </w:p>
    <w:p w14:paraId="4DF6B542" w14:textId="77777777" w:rsidR="00894070" w:rsidRDefault="009B7AFD">
      <w:pPr>
        <w:pStyle w:val="ListParagraph"/>
        <w:numPr>
          <w:ilvl w:val="0"/>
          <w:numId w:val="96"/>
        </w:numPr>
        <w:tabs>
          <w:tab w:val="left" w:pos="1800"/>
          <w:tab w:val="left" w:pos="1802"/>
        </w:tabs>
        <w:spacing w:line="160" w:lineRule="exact"/>
        <w:jc w:val="left"/>
        <w:rPr>
          <w:sz w:val="13"/>
        </w:rPr>
      </w:pPr>
      <w:r>
        <w:rPr>
          <w:color w:val="231F20"/>
          <w:sz w:val="13"/>
        </w:rPr>
        <w:t xml:space="preserve">Consultation 10 (Victorian Aboriginal Legal Service). The Victorian Aboriginal Legal </w:t>
      </w:r>
      <w:r>
        <w:rPr>
          <w:color w:val="231F20"/>
          <w:spacing w:val="2"/>
          <w:sz w:val="13"/>
        </w:rPr>
        <w:t xml:space="preserve">Service </w:t>
      </w:r>
      <w:r>
        <w:rPr>
          <w:color w:val="231F20"/>
          <w:sz w:val="13"/>
        </w:rPr>
        <w:t>told us that the</w:t>
      </w:r>
      <w:r>
        <w:rPr>
          <w:color w:val="231F20"/>
          <w:spacing w:val="31"/>
          <w:sz w:val="13"/>
        </w:rPr>
        <w:t xml:space="preserve"> </w:t>
      </w:r>
      <w:r>
        <w:rPr>
          <w:color w:val="231F20"/>
          <w:sz w:val="13"/>
        </w:rPr>
        <w:t>‘significant</w:t>
      </w:r>
    </w:p>
    <w:p w14:paraId="0C9491A0" w14:textId="77777777" w:rsidR="00894070" w:rsidRDefault="009F6793">
      <w:pPr>
        <w:spacing w:line="160" w:lineRule="exact"/>
        <w:ind w:left="799" w:right="1651"/>
        <w:jc w:val="center"/>
        <w:rPr>
          <w:sz w:val="13"/>
        </w:rPr>
      </w:pPr>
      <w:r>
        <w:pict w14:anchorId="280B233C">
          <v:shape id="_x0000_s1351" type="#_x0000_t202" style="position:absolute;left:0;text-align:left;margin-left:548.45pt;margin-top:3.7pt;width:14.4pt;height:14.1pt;z-index:251715584;mso-position-horizontal-relative:page" filled="f" stroked="f">
            <v:textbox inset="0,0,0,0">
              <w:txbxContent>
                <w:p w14:paraId="792594D8" w14:textId="77777777" w:rsidR="00894070" w:rsidRDefault="009B7AFD">
                  <w:pPr>
                    <w:spacing w:line="282" w:lineRule="exact"/>
                    <w:rPr>
                      <w:b/>
                      <w:sz w:val="24"/>
                    </w:rPr>
                  </w:pPr>
                  <w:r>
                    <w:rPr>
                      <w:b/>
                      <w:color w:val="EA5B50"/>
                      <w:sz w:val="24"/>
                    </w:rPr>
                    <w:t>99</w:t>
                  </w:r>
                </w:p>
              </w:txbxContent>
            </v:textbox>
            <w10:wrap anchorx="page"/>
          </v:shape>
        </w:pict>
      </w:r>
      <w:r w:rsidR="009B7AFD">
        <w:rPr>
          <w:color w:val="231F20"/>
          <w:sz w:val="13"/>
        </w:rPr>
        <w:t>detrimental impact on the health and wellbeing of the respondent’ can be compounded by court delays.</w:t>
      </w:r>
    </w:p>
    <w:p w14:paraId="3AA36923" w14:textId="77777777" w:rsidR="00894070" w:rsidRDefault="009B7AFD">
      <w:pPr>
        <w:pStyle w:val="ListParagraph"/>
        <w:numPr>
          <w:ilvl w:val="0"/>
          <w:numId w:val="96"/>
        </w:numPr>
        <w:tabs>
          <w:tab w:val="left" w:pos="1801"/>
          <w:tab w:val="left" w:pos="1802"/>
        </w:tabs>
        <w:spacing w:line="170" w:lineRule="exact"/>
        <w:jc w:val="left"/>
        <w:rPr>
          <w:sz w:val="13"/>
        </w:rPr>
      </w:pPr>
      <w:r>
        <w:rPr>
          <w:color w:val="231F20"/>
          <w:sz w:val="13"/>
        </w:rPr>
        <w:t>Consultation 20 (Law Institute of</w:t>
      </w:r>
      <w:r>
        <w:rPr>
          <w:color w:val="231F20"/>
          <w:spacing w:val="1"/>
          <w:sz w:val="13"/>
        </w:rPr>
        <w:t xml:space="preserve"> </w:t>
      </w:r>
      <w:r>
        <w:rPr>
          <w:color w:val="231F20"/>
          <w:sz w:val="13"/>
        </w:rPr>
        <w:t>Victoria).</w:t>
      </w:r>
    </w:p>
    <w:p w14:paraId="2A053E88" w14:textId="77777777" w:rsidR="00894070" w:rsidRDefault="00894070">
      <w:pPr>
        <w:spacing w:line="170" w:lineRule="exact"/>
        <w:rPr>
          <w:sz w:val="13"/>
        </w:rPr>
        <w:sectPr w:rsidR="00894070">
          <w:pgSz w:w="11910" w:h="16840"/>
          <w:pgMar w:top="840" w:right="420" w:bottom="280" w:left="580" w:header="0" w:footer="0" w:gutter="0"/>
          <w:cols w:space="720"/>
        </w:sectPr>
      </w:pPr>
    </w:p>
    <w:p w14:paraId="263CA094" w14:textId="77777777" w:rsidR="00894070" w:rsidRDefault="00894070">
      <w:pPr>
        <w:pStyle w:val="BodyText"/>
      </w:pPr>
    </w:p>
    <w:p w14:paraId="7EE917F1" w14:textId="77777777" w:rsidR="00894070" w:rsidRDefault="00894070">
      <w:pPr>
        <w:pStyle w:val="BodyText"/>
      </w:pPr>
    </w:p>
    <w:p w14:paraId="4F487202" w14:textId="77777777" w:rsidR="00894070" w:rsidRDefault="00894070">
      <w:pPr>
        <w:pStyle w:val="BodyText"/>
      </w:pPr>
    </w:p>
    <w:p w14:paraId="294AA180" w14:textId="77777777" w:rsidR="00894070" w:rsidRDefault="00894070">
      <w:pPr>
        <w:pStyle w:val="BodyText"/>
        <w:spacing w:before="11"/>
        <w:rPr>
          <w:sz w:val="18"/>
        </w:rPr>
      </w:pPr>
    </w:p>
    <w:p w14:paraId="2F227F1F" w14:textId="77777777" w:rsidR="00894070" w:rsidRDefault="009B7AFD">
      <w:pPr>
        <w:pStyle w:val="ListParagraph"/>
        <w:numPr>
          <w:ilvl w:val="1"/>
          <w:numId w:val="102"/>
        </w:numPr>
        <w:tabs>
          <w:tab w:val="left" w:pos="1801"/>
          <w:tab w:val="left" w:pos="1802"/>
        </w:tabs>
        <w:spacing w:line="206" w:lineRule="auto"/>
        <w:ind w:right="1320"/>
        <w:rPr>
          <w:sz w:val="20"/>
        </w:rPr>
      </w:pPr>
      <w:bookmarkStart w:id="118" w:name="_bookmark67"/>
      <w:bookmarkEnd w:id="118"/>
      <w:r>
        <w:rPr>
          <w:color w:val="231F20"/>
          <w:sz w:val="20"/>
        </w:rPr>
        <w:t>There is also the question of whether PSIOs ‘run a risk of smashing a walnut with a sledgehammer’.</w:t>
      </w:r>
      <w:r>
        <w:rPr>
          <w:color w:val="231F20"/>
          <w:position w:val="7"/>
          <w:sz w:val="11"/>
        </w:rPr>
        <w:t xml:space="preserve">35 </w:t>
      </w:r>
      <w:r>
        <w:rPr>
          <w:color w:val="231F20"/>
          <w:sz w:val="20"/>
        </w:rPr>
        <w:t xml:space="preserve">In some cases, a PSIO </w:t>
      </w:r>
      <w:r>
        <w:rPr>
          <w:color w:val="231F20"/>
          <w:spacing w:val="-3"/>
          <w:sz w:val="20"/>
        </w:rPr>
        <w:t xml:space="preserve">may </w:t>
      </w:r>
      <w:r>
        <w:rPr>
          <w:color w:val="231F20"/>
          <w:sz w:val="20"/>
        </w:rPr>
        <w:t xml:space="preserve">be a </w:t>
      </w:r>
      <w:r>
        <w:rPr>
          <w:color w:val="231F20"/>
          <w:spacing w:val="-3"/>
          <w:sz w:val="20"/>
        </w:rPr>
        <w:t>‘disproportionate’</w:t>
      </w:r>
      <w:r>
        <w:rPr>
          <w:color w:val="231F20"/>
          <w:spacing w:val="-3"/>
          <w:position w:val="7"/>
          <w:sz w:val="11"/>
        </w:rPr>
        <w:t xml:space="preserve">36 </w:t>
      </w:r>
      <w:r>
        <w:rPr>
          <w:color w:val="231F20"/>
          <w:sz w:val="20"/>
        </w:rPr>
        <w:t xml:space="preserve">and </w:t>
      </w:r>
      <w:r>
        <w:rPr>
          <w:color w:val="231F20"/>
          <w:spacing w:val="-3"/>
          <w:sz w:val="20"/>
        </w:rPr>
        <w:t xml:space="preserve">ineffective way </w:t>
      </w:r>
      <w:r>
        <w:rPr>
          <w:color w:val="231F20"/>
          <w:sz w:val="20"/>
        </w:rPr>
        <w:t>of stopping the stalking.</w:t>
      </w:r>
      <w:r>
        <w:rPr>
          <w:color w:val="231F20"/>
          <w:position w:val="7"/>
          <w:sz w:val="11"/>
        </w:rPr>
        <w:t xml:space="preserve">37 </w:t>
      </w:r>
      <w:r>
        <w:rPr>
          <w:color w:val="231F20"/>
          <w:sz w:val="20"/>
        </w:rPr>
        <w:t xml:space="preserve">It risks criminalising people </w:t>
      </w:r>
      <w:r>
        <w:rPr>
          <w:color w:val="231F20"/>
          <w:spacing w:val="-3"/>
          <w:sz w:val="20"/>
        </w:rPr>
        <w:t xml:space="preserve">from </w:t>
      </w:r>
      <w:r>
        <w:rPr>
          <w:color w:val="231F20"/>
          <w:sz w:val="20"/>
        </w:rPr>
        <w:t xml:space="preserve">groups who </w:t>
      </w:r>
      <w:r>
        <w:rPr>
          <w:color w:val="231F20"/>
          <w:spacing w:val="-3"/>
          <w:sz w:val="20"/>
        </w:rPr>
        <w:t>are overrepresented</w:t>
      </w:r>
      <w:r>
        <w:rPr>
          <w:color w:val="231F20"/>
          <w:spacing w:val="-10"/>
          <w:sz w:val="20"/>
        </w:rPr>
        <w:t xml:space="preserve"> </w:t>
      </w:r>
      <w:r>
        <w:rPr>
          <w:color w:val="231F20"/>
          <w:sz w:val="20"/>
        </w:rPr>
        <w:t>in</w:t>
      </w:r>
      <w:r>
        <w:rPr>
          <w:color w:val="231F20"/>
          <w:spacing w:val="-9"/>
          <w:sz w:val="20"/>
        </w:rPr>
        <w:t xml:space="preserve"> </w:t>
      </w:r>
      <w:r>
        <w:rPr>
          <w:color w:val="231F20"/>
          <w:sz w:val="20"/>
        </w:rPr>
        <w:t>the</w:t>
      </w:r>
      <w:r>
        <w:rPr>
          <w:color w:val="231F20"/>
          <w:spacing w:val="-10"/>
          <w:sz w:val="20"/>
        </w:rPr>
        <w:t xml:space="preserve"> </w:t>
      </w:r>
      <w:r>
        <w:rPr>
          <w:color w:val="231F20"/>
          <w:sz w:val="20"/>
        </w:rPr>
        <w:t>justice</w:t>
      </w:r>
      <w:r>
        <w:rPr>
          <w:color w:val="231F20"/>
          <w:spacing w:val="-9"/>
          <w:sz w:val="20"/>
        </w:rPr>
        <w:t xml:space="preserve"> </w:t>
      </w:r>
      <w:r>
        <w:rPr>
          <w:color w:val="231F20"/>
          <w:sz w:val="20"/>
        </w:rPr>
        <w:t>system,</w:t>
      </w:r>
      <w:r>
        <w:rPr>
          <w:color w:val="231F20"/>
          <w:spacing w:val="-9"/>
          <w:sz w:val="20"/>
        </w:rPr>
        <w:t xml:space="preserve"> </w:t>
      </w:r>
      <w:r>
        <w:rPr>
          <w:color w:val="231F20"/>
          <w:sz w:val="20"/>
        </w:rPr>
        <w:t>when</w:t>
      </w:r>
      <w:r>
        <w:rPr>
          <w:color w:val="231F20"/>
          <w:spacing w:val="-10"/>
          <w:sz w:val="20"/>
        </w:rPr>
        <w:t xml:space="preserve"> </w:t>
      </w:r>
      <w:r>
        <w:rPr>
          <w:color w:val="231F20"/>
          <w:sz w:val="20"/>
        </w:rPr>
        <w:t>there</w:t>
      </w:r>
      <w:r>
        <w:rPr>
          <w:color w:val="231F20"/>
          <w:spacing w:val="-9"/>
          <w:sz w:val="20"/>
        </w:rPr>
        <w:t xml:space="preserve"> </w:t>
      </w:r>
      <w:r>
        <w:rPr>
          <w:color w:val="231F20"/>
          <w:sz w:val="20"/>
        </w:rPr>
        <w:t>might</w:t>
      </w:r>
      <w:r>
        <w:rPr>
          <w:color w:val="231F20"/>
          <w:spacing w:val="-9"/>
          <w:sz w:val="20"/>
        </w:rPr>
        <w:t xml:space="preserve"> </w:t>
      </w:r>
      <w:r>
        <w:rPr>
          <w:color w:val="231F20"/>
          <w:sz w:val="20"/>
        </w:rPr>
        <w:t>be</w:t>
      </w:r>
      <w:r>
        <w:rPr>
          <w:color w:val="231F20"/>
          <w:spacing w:val="-10"/>
          <w:sz w:val="20"/>
        </w:rPr>
        <w:t xml:space="preserve"> </w:t>
      </w:r>
      <w:r>
        <w:rPr>
          <w:color w:val="231F20"/>
          <w:sz w:val="20"/>
        </w:rPr>
        <w:t>another</w:t>
      </w:r>
      <w:r>
        <w:rPr>
          <w:color w:val="231F20"/>
          <w:spacing w:val="-9"/>
          <w:sz w:val="20"/>
        </w:rPr>
        <w:t xml:space="preserve"> </w:t>
      </w:r>
      <w:r>
        <w:rPr>
          <w:color w:val="231F20"/>
          <w:spacing w:val="-3"/>
          <w:sz w:val="20"/>
        </w:rPr>
        <w:t>way</w:t>
      </w:r>
      <w:r>
        <w:rPr>
          <w:color w:val="231F20"/>
          <w:spacing w:val="-10"/>
          <w:sz w:val="20"/>
        </w:rPr>
        <w:t xml:space="preserve"> </w:t>
      </w:r>
      <w:r>
        <w:rPr>
          <w:color w:val="231F20"/>
          <w:sz w:val="20"/>
        </w:rPr>
        <w:t>of</w:t>
      </w:r>
      <w:r>
        <w:rPr>
          <w:color w:val="231F20"/>
          <w:spacing w:val="-9"/>
          <w:sz w:val="20"/>
        </w:rPr>
        <w:t xml:space="preserve"> </w:t>
      </w:r>
      <w:r>
        <w:rPr>
          <w:color w:val="231F20"/>
          <w:sz w:val="20"/>
        </w:rPr>
        <w:t xml:space="preserve">managing the behaviour (see </w:t>
      </w:r>
      <w:r>
        <w:rPr>
          <w:color w:val="231F20"/>
          <w:spacing w:val="-3"/>
          <w:sz w:val="20"/>
        </w:rPr>
        <w:t>Chapter</w:t>
      </w:r>
      <w:r>
        <w:rPr>
          <w:color w:val="231F20"/>
          <w:spacing w:val="-17"/>
          <w:sz w:val="20"/>
        </w:rPr>
        <w:t xml:space="preserve"> </w:t>
      </w:r>
      <w:r>
        <w:rPr>
          <w:color w:val="231F20"/>
          <w:spacing w:val="-4"/>
          <w:sz w:val="20"/>
        </w:rPr>
        <w:t>8).</w:t>
      </w:r>
    </w:p>
    <w:p w14:paraId="59739703" w14:textId="77777777" w:rsidR="00894070" w:rsidRDefault="009B7AFD">
      <w:pPr>
        <w:pStyle w:val="ListParagraph"/>
        <w:numPr>
          <w:ilvl w:val="1"/>
          <w:numId w:val="102"/>
        </w:numPr>
        <w:tabs>
          <w:tab w:val="left" w:pos="1801"/>
          <w:tab w:val="left" w:pos="1802"/>
        </w:tabs>
        <w:spacing w:before="127" w:line="206" w:lineRule="auto"/>
        <w:ind w:right="1393"/>
        <w:rPr>
          <w:sz w:val="20"/>
        </w:rPr>
      </w:pPr>
      <w:r>
        <w:rPr>
          <w:color w:val="231F20"/>
          <w:sz w:val="20"/>
        </w:rPr>
        <w:t>The</w:t>
      </w:r>
      <w:r>
        <w:rPr>
          <w:color w:val="231F20"/>
          <w:spacing w:val="-10"/>
          <w:sz w:val="20"/>
        </w:rPr>
        <w:t xml:space="preserve"> </w:t>
      </w:r>
      <w:r>
        <w:rPr>
          <w:color w:val="231F20"/>
          <w:sz w:val="20"/>
        </w:rPr>
        <w:t>civil</w:t>
      </w:r>
      <w:r>
        <w:rPr>
          <w:color w:val="231F20"/>
          <w:spacing w:val="-10"/>
          <w:sz w:val="20"/>
        </w:rPr>
        <w:t xml:space="preserve"> </w:t>
      </w:r>
      <w:r>
        <w:rPr>
          <w:color w:val="231F20"/>
          <w:sz w:val="20"/>
        </w:rPr>
        <w:t>response</w:t>
      </w:r>
      <w:r>
        <w:rPr>
          <w:color w:val="231F20"/>
          <w:spacing w:val="-10"/>
          <w:sz w:val="20"/>
        </w:rPr>
        <w:t xml:space="preserve"> </w:t>
      </w:r>
      <w:r>
        <w:rPr>
          <w:color w:val="231F20"/>
          <w:sz w:val="20"/>
        </w:rPr>
        <w:t>to</w:t>
      </w:r>
      <w:r>
        <w:rPr>
          <w:color w:val="231F20"/>
          <w:spacing w:val="-10"/>
          <w:sz w:val="20"/>
        </w:rPr>
        <w:t xml:space="preserve"> </w:t>
      </w:r>
      <w:r>
        <w:rPr>
          <w:color w:val="231F20"/>
          <w:sz w:val="20"/>
        </w:rPr>
        <w:t>managing</w:t>
      </w:r>
      <w:r>
        <w:rPr>
          <w:color w:val="231F20"/>
          <w:spacing w:val="-9"/>
          <w:sz w:val="20"/>
        </w:rPr>
        <w:t xml:space="preserve"> </w:t>
      </w:r>
      <w:r>
        <w:rPr>
          <w:color w:val="231F20"/>
          <w:sz w:val="20"/>
        </w:rPr>
        <w:t>stalking</w:t>
      </w:r>
      <w:r>
        <w:rPr>
          <w:color w:val="231F20"/>
          <w:spacing w:val="-10"/>
          <w:sz w:val="20"/>
        </w:rPr>
        <w:t xml:space="preserve"> </w:t>
      </w:r>
      <w:r>
        <w:rPr>
          <w:color w:val="231F20"/>
          <w:sz w:val="20"/>
        </w:rPr>
        <w:t>should</w:t>
      </w:r>
      <w:r>
        <w:rPr>
          <w:color w:val="231F20"/>
          <w:spacing w:val="-10"/>
          <w:sz w:val="20"/>
        </w:rPr>
        <w:t xml:space="preserve"> </w:t>
      </w:r>
      <w:r>
        <w:rPr>
          <w:color w:val="231F20"/>
          <w:sz w:val="20"/>
        </w:rPr>
        <w:t>be</w:t>
      </w:r>
      <w:r>
        <w:rPr>
          <w:color w:val="231F20"/>
          <w:spacing w:val="-10"/>
          <w:sz w:val="20"/>
        </w:rPr>
        <w:t xml:space="preserve"> </w:t>
      </w:r>
      <w:r>
        <w:rPr>
          <w:color w:val="231F20"/>
          <w:sz w:val="20"/>
        </w:rPr>
        <w:t>more</w:t>
      </w:r>
      <w:r>
        <w:rPr>
          <w:color w:val="231F20"/>
          <w:spacing w:val="-9"/>
          <w:sz w:val="20"/>
        </w:rPr>
        <w:t xml:space="preserve"> </w:t>
      </w:r>
      <w:r>
        <w:rPr>
          <w:color w:val="231F20"/>
          <w:sz w:val="20"/>
        </w:rPr>
        <w:t>focused.</w:t>
      </w:r>
      <w:r>
        <w:rPr>
          <w:color w:val="231F20"/>
          <w:spacing w:val="-10"/>
          <w:sz w:val="20"/>
        </w:rPr>
        <w:t xml:space="preserve"> </w:t>
      </w:r>
      <w:r>
        <w:rPr>
          <w:color w:val="231F20"/>
          <w:sz w:val="20"/>
        </w:rPr>
        <w:t>This</w:t>
      </w:r>
      <w:r>
        <w:rPr>
          <w:color w:val="231F20"/>
          <w:spacing w:val="-10"/>
          <w:sz w:val="20"/>
        </w:rPr>
        <w:t xml:space="preserve"> </w:t>
      </w:r>
      <w:r>
        <w:rPr>
          <w:color w:val="231F20"/>
          <w:spacing w:val="-3"/>
          <w:sz w:val="20"/>
        </w:rPr>
        <w:t>would</w:t>
      </w:r>
      <w:r>
        <w:rPr>
          <w:color w:val="231F20"/>
          <w:spacing w:val="-10"/>
          <w:sz w:val="20"/>
        </w:rPr>
        <w:t xml:space="preserve"> </w:t>
      </w:r>
      <w:r>
        <w:rPr>
          <w:color w:val="231F20"/>
          <w:spacing w:val="-3"/>
          <w:sz w:val="20"/>
        </w:rPr>
        <w:t xml:space="preserve">achieve </w:t>
      </w:r>
      <w:r>
        <w:rPr>
          <w:color w:val="231F20"/>
          <w:sz w:val="20"/>
        </w:rPr>
        <w:t>two</w:t>
      </w:r>
      <w:r>
        <w:rPr>
          <w:color w:val="231F20"/>
          <w:spacing w:val="-5"/>
          <w:sz w:val="20"/>
        </w:rPr>
        <w:t xml:space="preserve"> </w:t>
      </w:r>
      <w:r>
        <w:rPr>
          <w:color w:val="231F20"/>
          <w:sz w:val="20"/>
        </w:rPr>
        <w:t>things:</w:t>
      </w:r>
    </w:p>
    <w:p w14:paraId="42752442" w14:textId="77777777" w:rsidR="00894070" w:rsidRDefault="009B7AFD">
      <w:pPr>
        <w:pStyle w:val="ListParagraph"/>
        <w:numPr>
          <w:ilvl w:val="2"/>
          <w:numId w:val="102"/>
        </w:numPr>
        <w:tabs>
          <w:tab w:val="left" w:pos="2141"/>
          <w:tab w:val="left" w:pos="2142"/>
        </w:tabs>
        <w:spacing w:before="90"/>
        <w:ind w:hanging="340"/>
        <w:rPr>
          <w:sz w:val="20"/>
        </w:rPr>
      </w:pPr>
      <w:r>
        <w:rPr>
          <w:color w:val="231F20"/>
          <w:sz w:val="20"/>
        </w:rPr>
        <w:t xml:space="preserve">make the process less traumatic </w:t>
      </w:r>
      <w:r>
        <w:rPr>
          <w:color w:val="231F20"/>
          <w:spacing w:val="-3"/>
          <w:sz w:val="20"/>
        </w:rPr>
        <w:t xml:space="preserve">for </w:t>
      </w:r>
      <w:r>
        <w:rPr>
          <w:color w:val="231F20"/>
          <w:sz w:val="20"/>
        </w:rPr>
        <w:t>victim</w:t>
      </w:r>
      <w:r>
        <w:rPr>
          <w:color w:val="231F20"/>
          <w:spacing w:val="-30"/>
          <w:sz w:val="20"/>
        </w:rPr>
        <w:t xml:space="preserve"> </w:t>
      </w:r>
      <w:r>
        <w:rPr>
          <w:color w:val="231F20"/>
          <w:sz w:val="20"/>
        </w:rPr>
        <w:t>survivors</w:t>
      </w:r>
    </w:p>
    <w:p w14:paraId="22FCCD79" w14:textId="77777777" w:rsidR="00894070" w:rsidRDefault="009B7AFD">
      <w:pPr>
        <w:pStyle w:val="ListParagraph"/>
        <w:numPr>
          <w:ilvl w:val="2"/>
          <w:numId w:val="102"/>
        </w:numPr>
        <w:tabs>
          <w:tab w:val="left" w:pos="2141"/>
          <w:tab w:val="left" w:pos="2142"/>
        </w:tabs>
        <w:spacing w:before="47"/>
        <w:ind w:hanging="340"/>
        <w:rPr>
          <w:sz w:val="11"/>
        </w:rPr>
      </w:pPr>
      <w:r>
        <w:rPr>
          <w:color w:val="231F20"/>
          <w:spacing w:val="-3"/>
          <w:sz w:val="20"/>
        </w:rPr>
        <w:t xml:space="preserve">provide </w:t>
      </w:r>
      <w:r>
        <w:rPr>
          <w:color w:val="231F20"/>
          <w:sz w:val="20"/>
        </w:rPr>
        <w:t xml:space="preserve">more </w:t>
      </w:r>
      <w:r>
        <w:rPr>
          <w:color w:val="231F20"/>
          <w:spacing w:val="-3"/>
          <w:sz w:val="20"/>
        </w:rPr>
        <w:t xml:space="preserve">attention </w:t>
      </w:r>
      <w:r>
        <w:rPr>
          <w:color w:val="231F20"/>
          <w:sz w:val="20"/>
        </w:rPr>
        <w:t xml:space="preserve">to the cases that </w:t>
      </w:r>
      <w:r>
        <w:rPr>
          <w:color w:val="231F20"/>
          <w:spacing w:val="-3"/>
          <w:sz w:val="20"/>
        </w:rPr>
        <w:t xml:space="preserve">really </w:t>
      </w:r>
      <w:r>
        <w:rPr>
          <w:color w:val="231F20"/>
          <w:sz w:val="20"/>
        </w:rPr>
        <w:t>need</w:t>
      </w:r>
      <w:r>
        <w:rPr>
          <w:color w:val="231F20"/>
          <w:spacing w:val="-28"/>
          <w:sz w:val="20"/>
        </w:rPr>
        <w:t xml:space="preserve"> </w:t>
      </w:r>
      <w:r>
        <w:rPr>
          <w:color w:val="231F20"/>
          <w:sz w:val="20"/>
        </w:rPr>
        <w:t>it.</w:t>
      </w:r>
      <w:r>
        <w:rPr>
          <w:color w:val="231F20"/>
          <w:position w:val="7"/>
          <w:sz w:val="11"/>
        </w:rPr>
        <w:t>38</w:t>
      </w:r>
    </w:p>
    <w:p w14:paraId="57635819" w14:textId="77777777" w:rsidR="00894070" w:rsidRDefault="009B7AFD">
      <w:pPr>
        <w:pStyle w:val="Heading8"/>
        <w:spacing w:before="175"/>
        <w:ind w:left="1007"/>
      </w:pPr>
      <w:r>
        <w:rPr>
          <w:color w:val="231F20"/>
        </w:rPr>
        <w:t>The need for a specialised response</w:t>
      </w:r>
    </w:p>
    <w:p w14:paraId="19379951" w14:textId="77777777" w:rsidR="00894070" w:rsidRDefault="009B7AFD">
      <w:pPr>
        <w:pStyle w:val="ListParagraph"/>
        <w:numPr>
          <w:ilvl w:val="1"/>
          <w:numId w:val="102"/>
        </w:numPr>
        <w:tabs>
          <w:tab w:val="left" w:pos="1801"/>
          <w:tab w:val="left" w:pos="1802"/>
        </w:tabs>
        <w:spacing w:before="127" w:line="206" w:lineRule="auto"/>
        <w:ind w:right="1179"/>
        <w:rPr>
          <w:sz w:val="20"/>
        </w:rPr>
      </w:pPr>
      <w:r>
        <w:rPr>
          <w:color w:val="231F20"/>
          <w:sz w:val="20"/>
        </w:rPr>
        <w:t xml:space="preserve">Stalking is complex. It is a crime made up of </w:t>
      </w:r>
      <w:r>
        <w:rPr>
          <w:color w:val="231F20"/>
          <w:spacing w:val="-3"/>
          <w:sz w:val="20"/>
        </w:rPr>
        <w:t xml:space="preserve">repeated </w:t>
      </w:r>
      <w:r>
        <w:rPr>
          <w:color w:val="231F20"/>
          <w:sz w:val="20"/>
        </w:rPr>
        <w:t>incidents.</w:t>
      </w:r>
      <w:r>
        <w:rPr>
          <w:color w:val="231F20"/>
          <w:position w:val="7"/>
          <w:sz w:val="11"/>
        </w:rPr>
        <w:t xml:space="preserve">39 </w:t>
      </w:r>
      <w:r>
        <w:rPr>
          <w:color w:val="231F20"/>
          <w:sz w:val="20"/>
        </w:rPr>
        <w:t xml:space="preserve">It is hard </w:t>
      </w:r>
      <w:r>
        <w:rPr>
          <w:color w:val="231F20"/>
          <w:spacing w:val="-3"/>
          <w:sz w:val="20"/>
        </w:rPr>
        <w:t xml:space="preserve">for </w:t>
      </w:r>
      <w:r>
        <w:rPr>
          <w:color w:val="231F20"/>
          <w:sz w:val="20"/>
        </w:rPr>
        <w:t xml:space="preserve">people working in the justice </w:t>
      </w:r>
      <w:r>
        <w:rPr>
          <w:color w:val="231F20"/>
          <w:spacing w:val="-2"/>
          <w:sz w:val="20"/>
        </w:rPr>
        <w:t xml:space="preserve">system </w:t>
      </w:r>
      <w:r>
        <w:rPr>
          <w:color w:val="231F20"/>
          <w:sz w:val="20"/>
        </w:rPr>
        <w:t xml:space="preserve">to identify it and </w:t>
      </w:r>
      <w:r>
        <w:rPr>
          <w:color w:val="231F20"/>
          <w:spacing w:val="-3"/>
          <w:sz w:val="20"/>
        </w:rPr>
        <w:t xml:space="preserve">know how </w:t>
      </w:r>
      <w:r>
        <w:rPr>
          <w:color w:val="231F20"/>
          <w:sz w:val="20"/>
        </w:rPr>
        <w:t xml:space="preserve">best to manage it (see </w:t>
      </w:r>
      <w:r>
        <w:rPr>
          <w:color w:val="231F20"/>
          <w:spacing w:val="-3"/>
          <w:sz w:val="20"/>
        </w:rPr>
        <w:t xml:space="preserve">Chapter 4). </w:t>
      </w:r>
      <w:r>
        <w:rPr>
          <w:color w:val="231F20"/>
          <w:sz w:val="20"/>
        </w:rPr>
        <w:t xml:space="preserve">Victim survivors </w:t>
      </w:r>
      <w:r>
        <w:rPr>
          <w:color w:val="231F20"/>
          <w:spacing w:val="-3"/>
          <w:sz w:val="20"/>
        </w:rPr>
        <w:t xml:space="preserve">may </w:t>
      </w:r>
      <w:r>
        <w:rPr>
          <w:color w:val="231F20"/>
          <w:spacing w:val="-4"/>
          <w:sz w:val="20"/>
        </w:rPr>
        <w:t xml:space="preserve">have </w:t>
      </w:r>
      <w:r>
        <w:rPr>
          <w:color w:val="231F20"/>
          <w:sz w:val="20"/>
        </w:rPr>
        <w:t xml:space="preserve">experienced serious trauma and </w:t>
      </w:r>
      <w:r>
        <w:rPr>
          <w:color w:val="231F20"/>
          <w:spacing w:val="-3"/>
          <w:sz w:val="20"/>
        </w:rPr>
        <w:t>may require intensive</w:t>
      </w:r>
      <w:r>
        <w:rPr>
          <w:color w:val="231F20"/>
          <w:spacing w:val="-8"/>
          <w:sz w:val="20"/>
        </w:rPr>
        <w:t xml:space="preserve"> </w:t>
      </w:r>
      <w:r>
        <w:rPr>
          <w:color w:val="231F20"/>
          <w:sz w:val="20"/>
        </w:rPr>
        <w:t>support</w:t>
      </w:r>
      <w:r>
        <w:rPr>
          <w:color w:val="231F20"/>
          <w:spacing w:val="-8"/>
          <w:sz w:val="20"/>
        </w:rPr>
        <w:t xml:space="preserve"> </w:t>
      </w:r>
      <w:r>
        <w:rPr>
          <w:color w:val="231F20"/>
          <w:spacing w:val="-3"/>
          <w:sz w:val="20"/>
        </w:rPr>
        <w:t>from</w:t>
      </w:r>
      <w:r>
        <w:rPr>
          <w:color w:val="231F20"/>
          <w:spacing w:val="-8"/>
          <w:sz w:val="20"/>
        </w:rPr>
        <w:t xml:space="preserve"> </w:t>
      </w:r>
      <w:r>
        <w:rPr>
          <w:color w:val="231F20"/>
          <w:sz w:val="20"/>
        </w:rPr>
        <w:t>the</w:t>
      </w:r>
      <w:r>
        <w:rPr>
          <w:color w:val="231F20"/>
          <w:spacing w:val="-7"/>
          <w:sz w:val="20"/>
        </w:rPr>
        <w:t xml:space="preserve"> </w:t>
      </w:r>
      <w:r>
        <w:rPr>
          <w:color w:val="231F20"/>
          <w:sz w:val="20"/>
        </w:rPr>
        <w:t>people</w:t>
      </w:r>
      <w:r>
        <w:rPr>
          <w:color w:val="231F20"/>
          <w:spacing w:val="-8"/>
          <w:sz w:val="20"/>
        </w:rPr>
        <w:t xml:space="preserve"> </w:t>
      </w:r>
      <w:r>
        <w:rPr>
          <w:color w:val="231F20"/>
          <w:sz w:val="20"/>
        </w:rPr>
        <w:t>responding</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7"/>
          <w:sz w:val="20"/>
        </w:rPr>
        <w:t xml:space="preserve"> </w:t>
      </w:r>
      <w:r>
        <w:rPr>
          <w:color w:val="231F20"/>
          <w:sz w:val="20"/>
        </w:rPr>
        <w:t>stalking</w:t>
      </w:r>
      <w:r>
        <w:rPr>
          <w:color w:val="231F20"/>
          <w:spacing w:val="-8"/>
          <w:sz w:val="20"/>
        </w:rPr>
        <w:t xml:space="preserve"> </w:t>
      </w:r>
      <w:r>
        <w:rPr>
          <w:color w:val="231F20"/>
          <w:sz w:val="20"/>
        </w:rPr>
        <w:t>behaviour</w:t>
      </w:r>
      <w:r>
        <w:rPr>
          <w:color w:val="231F20"/>
          <w:spacing w:val="-8"/>
          <w:sz w:val="20"/>
        </w:rPr>
        <w:t xml:space="preserve"> </w:t>
      </w:r>
      <w:r>
        <w:rPr>
          <w:color w:val="231F20"/>
          <w:sz w:val="20"/>
        </w:rPr>
        <w:t>(see</w:t>
      </w:r>
      <w:r>
        <w:rPr>
          <w:color w:val="231F20"/>
          <w:spacing w:val="-8"/>
          <w:sz w:val="20"/>
        </w:rPr>
        <w:t xml:space="preserve"> </w:t>
      </w:r>
      <w:r>
        <w:rPr>
          <w:color w:val="231F20"/>
          <w:spacing w:val="-3"/>
          <w:sz w:val="20"/>
        </w:rPr>
        <w:t>Chapter</w:t>
      </w:r>
      <w:r>
        <w:rPr>
          <w:color w:val="231F20"/>
          <w:spacing w:val="-7"/>
          <w:sz w:val="20"/>
        </w:rPr>
        <w:t xml:space="preserve"> </w:t>
      </w:r>
      <w:r>
        <w:rPr>
          <w:color w:val="231F20"/>
          <w:spacing w:val="-3"/>
          <w:sz w:val="20"/>
        </w:rPr>
        <w:t>5).</w:t>
      </w:r>
    </w:p>
    <w:p w14:paraId="050170ED" w14:textId="77777777" w:rsidR="00894070" w:rsidRDefault="009B7AFD">
      <w:pPr>
        <w:pStyle w:val="ListParagraph"/>
        <w:numPr>
          <w:ilvl w:val="1"/>
          <w:numId w:val="102"/>
        </w:numPr>
        <w:tabs>
          <w:tab w:val="left" w:pos="1801"/>
          <w:tab w:val="left" w:pos="1802"/>
        </w:tabs>
        <w:spacing w:before="125" w:line="206" w:lineRule="auto"/>
        <w:ind w:right="1489"/>
        <w:rPr>
          <w:sz w:val="20"/>
        </w:rPr>
      </w:pPr>
      <w:r>
        <w:rPr>
          <w:color w:val="231F20"/>
          <w:sz w:val="20"/>
        </w:rPr>
        <w:t>It</w:t>
      </w:r>
      <w:r>
        <w:rPr>
          <w:color w:val="231F20"/>
          <w:spacing w:val="-9"/>
          <w:sz w:val="20"/>
        </w:rPr>
        <w:t xml:space="preserve"> </w:t>
      </w:r>
      <w:r>
        <w:rPr>
          <w:color w:val="231F20"/>
          <w:sz w:val="20"/>
        </w:rPr>
        <w:t>is</w:t>
      </w:r>
      <w:r>
        <w:rPr>
          <w:color w:val="231F20"/>
          <w:spacing w:val="-9"/>
          <w:sz w:val="20"/>
        </w:rPr>
        <w:t xml:space="preserve"> </w:t>
      </w:r>
      <w:r>
        <w:rPr>
          <w:color w:val="231F20"/>
          <w:sz w:val="20"/>
        </w:rPr>
        <w:t>becoming</w:t>
      </w:r>
      <w:r>
        <w:rPr>
          <w:color w:val="231F20"/>
          <w:spacing w:val="-9"/>
          <w:sz w:val="20"/>
        </w:rPr>
        <w:t xml:space="preserve"> </w:t>
      </w:r>
      <w:r>
        <w:rPr>
          <w:color w:val="231F20"/>
          <w:sz w:val="20"/>
        </w:rPr>
        <w:t>common</w:t>
      </w:r>
      <w:r>
        <w:rPr>
          <w:color w:val="231F20"/>
          <w:spacing w:val="-9"/>
          <w:sz w:val="20"/>
        </w:rPr>
        <w:t xml:space="preserve"> </w:t>
      </w:r>
      <w:r>
        <w:rPr>
          <w:color w:val="231F20"/>
          <w:sz w:val="20"/>
        </w:rPr>
        <w:t>to</w:t>
      </w:r>
      <w:r>
        <w:rPr>
          <w:color w:val="231F20"/>
          <w:spacing w:val="-8"/>
          <w:sz w:val="20"/>
        </w:rPr>
        <w:t xml:space="preserve"> </w:t>
      </w:r>
      <w:r>
        <w:rPr>
          <w:color w:val="231F20"/>
          <w:sz w:val="20"/>
        </w:rPr>
        <w:t>encourage</w:t>
      </w:r>
      <w:r>
        <w:rPr>
          <w:color w:val="231F20"/>
          <w:spacing w:val="-9"/>
          <w:sz w:val="20"/>
        </w:rPr>
        <w:t xml:space="preserve"> </w:t>
      </w:r>
      <w:r>
        <w:rPr>
          <w:color w:val="231F20"/>
          <w:sz w:val="20"/>
        </w:rPr>
        <w:t>a</w:t>
      </w:r>
      <w:r>
        <w:rPr>
          <w:color w:val="231F20"/>
          <w:spacing w:val="-9"/>
          <w:sz w:val="20"/>
        </w:rPr>
        <w:t xml:space="preserve"> </w:t>
      </w:r>
      <w:r>
        <w:rPr>
          <w:color w:val="231F20"/>
          <w:sz w:val="20"/>
        </w:rPr>
        <w:t>specialist</w:t>
      </w:r>
      <w:r>
        <w:rPr>
          <w:color w:val="231F20"/>
          <w:spacing w:val="-9"/>
          <w:sz w:val="20"/>
        </w:rPr>
        <w:t xml:space="preserve"> </w:t>
      </w:r>
      <w:r>
        <w:rPr>
          <w:color w:val="231F20"/>
          <w:sz w:val="20"/>
        </w:rPr>
        <w:t>response</w:t>
      </w:r>
      <w:r>
        <w:rPr>
          <w:color w:val="231F20"/>
          <w:spacing w:val="-9"/>
          <w:sz w:val="20"/>
        </w:rPr>
        <w:t xml:space="preserve"> </w:t>
      </w:r>
      <w:r>
        <w:rPr>
          <w:color w:val="231F20"/>
          <w:sz w:val="20"/>
        </w:rPr>
        <w:t>in</w:t>
      </w:r>
      <w:r>
        <w:rPr>
          <w:color w:val="231F20"/>
          <w:spacing w:val="-8"/>
          <w:sz w:val="20"/>
        </w:rPr>
        <w:t xml:space="preserve"> </w:t>
      </w:r>
      <w:r>
        <w:rPr>
          <w:color w:val="231F20"/>
          <w:spacing w:val="-3"/>
          <w:sz w:val="20"/>
        </w:rPr>
        <w:t>complex</w:t>
      </w:r>
      <w:r>
        <w:rPr>
          <w:color w:val="231F20"/>
          <w:spacing w:val="-9"/>
          <w:sz w:val="20"/>
        </w:rPr>
        <w:t xml:space="preserve"> </w:t>
      </w:r>
      <w:r>
        <w:rPr>
          <w:color w:val="231F20"/>
          <w:sz w:val="20"/>
        </w:rPr>
        <w:t>areas</w:t>
      </w:r>
      <w:r>
        <w:rPr>
          <w:color w:val="231F20"/>
          <w:spacing w:val="-9"/>
          <w:sz w:val="20"/>
        </w:rPr>
        <w:t xml:space="preserve"> </w:t>
      </w:r>
      <w:r>
        <w:rPr>
          <w:color w:val="231F20"/>
          <w:sz w:val="20"/>
        </w:rPr>
        <w:t>of</w:t>
      </w:r>
      <w:r>
        <w:rPr>
          <w:color w:val="231F20"/>
          <w:spacing w:val="-9"/>
          <w:sz w:val="20"/>
        </w:rPr>
        <w:t xml:space="preserve"> </w:t>
      </w:r>
      <w:r>
        <w:rPr>
          <w:color w:val="231F20"/>
          <w:sz w:val="20"/>
        </w:rPr>
        <w:t>law or</w:t>
      </w:r>
      <w:r>
        <w:rPr>
          <w:color w:val="231F20"/>
          <w:spacing w:val="-9"/>
          <w:sz w:val="20"/>
        </w:rPr>
        <w:t xml:space="preserve"> </w:t>
      </w:r>
      <w:r>
        <w:rPr>
          <w:color w:val="231F20"/>
          <w:sz w:val="20"/>
        </w:rPr>
        <w:t>crime</w:t>
      </w:r>
      <w:r>
        <w:rPr>
          <w:color w:val="231F20"/>
          <w:spacing w:val="-9"/>
          <w:sz w:val="20"/>
        </w:rPr>
        <w:t xml:space="preserve"> </w:t>
      </w:r>
      <w:r>
        <w:rPr>
          <w:color w:val="231F20"/>
          <w:sz w:val="20"/>
        </w:rPr>
        <w:t>such</w:t>
      </w:r>
      <w:r>
        <w:rPr>
          <w:color w:val="231F20"/>
          <w:spacing w:val="-9"/>
          <w:sz w:val="20"/>
        </w:rPr>
        <w:t xml:space="preserve"> </w:t>
      </w:r>
      <w:r>
        <w:rPr>
          <w:color w:val="231F20"/>
          <w:sz w:val="20"/>
        </w:rPr>
        <w:t>as</w:t>
      </w:r>
      <w:r>
        <w:rPr>
          <w:color w:val="231F20"/>
          <w:spacing w:val="-10"/>
          <w:sz w:val="20"/>
        </w:rPr>
        <w:t xml:space="preserve"> </w:t>
      </w:r>
      <w:r>
        <w:rPr>
          <w:color w:val="231F20"/>
          <w:sz w:val="20"/>
        </w:rPr>
        <w:t>sexual</w:t>
      </w:r>
      <w:r>
        <w:rPr>
          <w:color w:val="231F20"/>
          <w:spacing w:val="-9"/>
          <w:sz w:val="20"/>
        </w:rPr>
        <w:t xml:space="preserve"> </w:t>
      </w:r>
      <w:r>
        <w:rPr>
          <w:color w:val="231F20"/>
          <w:sz w:val="20"/>
        </w:rPr>
        <w:t>offences,</w:t>
      </w:r>
      <w:r>
        <w:rPr>
          <w:color w:val="231F20"/>
          <w:spacing w:val="-9"/>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spacing w:val="-9"/>
          <w:sz w:val="20"/>
        </w:rPr>
        <w:t xml:space="preserve"> </w:t>
      </w:r>
      <w:r>
        <w:rPr>
          <w:color w:val="231F20"/>
          <w:sz w:val="20"/>
        </w:rPr>
        <w:t>and</w:t>
      </w:r>
      <w:r>
        <w:rPr>
          <w:color w:val="231F20"/>
          <w:spacing w:val="-9"/>
          <w:sz w:val="20"/>
        </w:rPr>
        <w:t xml:space="preserve"> </w:t>
      </w:r>
      <w:r>
        <w:rPr>
          <w:color w:val="231F20"/>
          <w:sz w:val="20"/>
        </w:rPr>
        <w:t>drugs.</w:t>
      </w:r>
      <w:r>
        <w:rPr>
          <w:color w:val="231F20"/>
          <w:position w:val="7"/>
          <w:sz w:val="11"/>
        </w:rPr>
        <w:t>40</w:t>
      </w:r>
      <w:r>
        <w:rPr>
          <w:color w:val="231F20"/>
          <w:spacing w:val="15"/>
          <w:position w:val="7"/>
          <w:sz w:val="11"/>
        </w:rPr>
        <w:t xml:space="preserve"> </w:t>
      </w:r>
      <w:r>
        <w:rPr>
          <w:color w:val="231F20"/>
          <w:sz w:val="20"/>
        </w:rPr>
        <w:t>In</w:t>
      </w:r>
      <w:r>
        <w:rPr>
          <w:color w:val="231F20"/>
          <w:spacing w:val="-9"/>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spacing w:val="-9"/>
          <w:sz w:val="20"/>
        </w:rPr>
        <w:t xml:space="preserve"> </w:t>
      </w:r>
      <w:r>
        <w:rPr>
          <w:color w:val="231F20"/>
          <w:sz w:val="20"/>
        </w:rPr>
        <w:t>and</w:t>
      </w:r>
    </w:p>
    <w:p w14:paraId="2355E5ED" w14:textId="77777777" w:rsidR="00894070" w:rsidRDefault="009B7AFD">
      <w:pPr>
        <w:pStyle w:val="BodyText"/>
        <w:spacing w:line="248" w:lineRule="exact"/>
        <w:ind w:left="1801"/>
      </w:pPr>
      <w:r>
        <w:rPr>
          <w:color w:val="231F20"/>
        </w:rPr>
        <w:t>sexual violence, this approach has resulted in a more tailored and supportive response.</w:t>
      </w:r>
    </w:p>
    <w:p w14:paraId="316286EC" w14:textId="77777777" w:rsidR="00894070" w:rsidRDefault="009B7AFD">
      <w:pPr>
        <w:pStyle w:val="ListParagraph"/>
        <w:numPr>
          <w:ilvl w:val="1"/>
          <w:numId w:val="102"/>
        </w:numPr>
        <w:tabs>
          <w:tab w:val="left" w:pos="1801"/>
          <w:tab w:val="left" w:pos="1802"/>
        </w:tabs>
        <w:spacing w:before="115" w:line="206" w:lineRule="auto"/>
        <w:ind w:right="1276"/>
        <w:rPr>
          <w:sz w:val="20"/>
        </w:rPr>
      </w:pPr>
      <w:r>
        <w:rPr>
          <w:color w:val="231F20"/>
          <w:spacing w:val="-6"/>
          <w:sz w:val="20"/>
        </w:rPr>
        <w:t xml:space="preserve">We </w:t>
      </w:r>
      <w:r>
        <w:rPr>
          <w:color w:val="231F20"/>
          <w:sz w:val="20"/>
        </w:rPr>
        <w:t xml:space="preserve">see value in taking a specialised approach to non-family violence stalking in the courts. If people who </w:t>
      </w:r>
      <w:r>
        <w:rPr>
          <w:color w:val="231F20"/>
          <w:spacing w:val="-3"/>
          <w:sz w:val="20"/>
        </w:rPr>
        <w:t xml:space="preserve">worked </w:t>
      </w:r>
      <w:r>
        <w:rPr>
          <w:color w:val="231F20"/>
          <w:sz w:val="20"/>
        </w:rPr>
        <w:t xml:space="preserve">on the response to stalking understood it </w:t>
      </w:r>
      <w:r>
        <w:rPr>
          <w:color w:val="231F20"/>
          <w:spacing w:val="-4"/>
          <w:sz w:val="20"/>
        </w:rPr>
        <w:t xml:space="preserve">better, </w:t>
      </w:r>
      <w:r>
        <w:rPr>
          <w:color w:val="231F20"/>
          <w:sz w:val="20"/>
        </w:rPr>
        <w:t xml:space="preserve">they </w:t>
      </w:r>
      <w:r>
        <w:rPr>
          <w:color w:val="231F20"/>
          <w:spacing w:val="-3"/>
          <w:sz w:val="20"/>
        </w:rPr>
        <w:t>would</w:t>
      </w:r>
      <w:r>
        <w:rPr>
          <w:color w:val="231F20"/>
          <w:spacing w:val="-8"/>
          <w:sz w:val="20"/>
        </w:rPr>
        <w:t xml:space="preserve"> </w:t>
      </w:r>
      <w:r>
        <w:rPr>
          <w:color w:val="231F20"/>
          <w:sz w:val="20"/>
        </w:rPr>
        <w:t>be</w:t>
      </w:r>
      <w:r>
        <w:rPr>
          <w:color w:val="231F20"/>
          <w:spacing w:val="-7"/>
          <w:sz w:val="20"/>
        </w:rPr>
        <w:t xml:space="preserve"> </w:t>
      </w:r>
      <w:r>
        <w:rPr>
          <w:color w:val="231F20"/>
          <w:sz w:val="20"/>
        </w:rPr>
        <w:t>able</w:t>
      </w:r>
      <w:r>
        <w:rPr>
          <w:color w:val="231F20"/>
          <w:spacing w:val="-8"/>
          <w:sz w:val="20"/>
        </w:rPr>
        <w:t xml:space="preserve"> </w:t>
      </w:r>
      <w:r>
        <w:rPr>
          <w:color w:val="231F20"/>
          <w:sz w:val="20"/>
        </w:rPr>
        <w:t>to</w:t>
      </w:r>
      <w:r>
        <w:rPr>
          <w:color w:val="231F20"/>
          <w:spacing w:val="-7"/>
          <w:sz w:val="20"/>
        </w:rPr>
        <w:t xml:space="preserve"> </w:t>
      </w:r>
      <w:r>
        <w:rPr>
          <w:color w:val="231F20"/>
          <w:sz w:val="20"/>
        </w:rPr>
        <w:t>manage</w:t>
      </w:r>
      <w:r>
        <w:rPr>
          <w:color w:val="231F20"/>
          <w:spacing w:val="-8"/>
          <w:sz w:val="20"/>
        </w:rPr>
        <w:t xml:space="preserve"> </w:t>
      </w:r>
      <w:r>
        <w:rPr>
          <w:color w:val="231F20"/>
          <w:sz w:val="20"/>
        </w:rPr>
        <w:t>it</w:t>
      </w:r>
      <w:r>
        <w:rPr>
          <w:color w:val="231F20"/>
          <w:spacing w:val="-7"/>
          <w:sz w:val="20"/>
        </w:rPr>
        <w:t xml:space="preserve"> </w:t>
      </w:r>
      <w:r>
        <w:rPr>
          <w:color w:val="231F20"/>
          <w:sz w:val="20"/>
        </w:rPr>
        <w:t>more</w:t>
      </w:r>
      <w:r>
        <w:rPr>
          <w:color w:val="231F20"/>
          <w:spacing w:val="-8"/>
          <w:sz w:val="20"/>
        </w:rPr>
        <w:t xml:space="preserve"> </w:t>
      </w:r>
      <w:r>
        <w:rPr>
          <w:color w:val="231F20"/>
          <w:spacing w:val="-4"/>
          <w:sz w:val="20"/>
        </w:rPr>
        <w:t>effectively.</w:t>
      </w:r>
      <w:r>
        <w:rPr>
          <w:color w:val="231F20"/>
          <w:spacing w:val="-7"/>
          <w:sz w:val="20"/>
        </w:rPr>
        <w:t xml:space="preserve"> </w:t>
      </w:r>
      <w:r>
        <w:rPr>
          <w:color w:val="231F20"/>
          <w:sz w:val="20"/>
        </w:rPr>
        <w:t>Specialist</w:t>
      </w:r>
      <w:r>
        <w:rPr>
          <w:color w:val="231F20"/>
          <w:spacing w:val="-8"/>
          <w:sz w:val="20"/>
        </w:rPr>
        <w:t xml:space="preserve"> </w:t>
      </w:r>
      <w:r>
        <w:rPr>
          <w:color w:val="231F20"/>
          <w:sz w:val="20"/>
        </w:rPr>
        <w:t>court</w:t>
      </w:r>
      <w:r>
        <w:rPr>
          <w:color w:val="231F20"/>
          <w:spacing w:val="-7"/>
          <w:sz w:val="20"/>
        </w:rPr>
        <w:t xml:space="preserve"> </w:t>
      </w:r>
      <w:r>
        <w:rPr>
          <w:color w:val="231F20"/>
          <w:spacing w:val="-3"/>
          <w:sz w:val="20"/>
        </w:rPr>
        <w:t>infrastructure</w:t>
      </w:r>
      <w:r>
        <w:rPr>
          <w:color w:val="231F20"/>
          <w:spacing w:val="-7"/>
          <w:sz w:val="20"/>
        </w:rPr>
        <w:t xml:space="preserve"> </w:t>
      </w:r>
      <w:r>
        <w:rPr>
          <w:color w:val="231F20"/>
          <w:sz w:val="20"/>
        </w:rPr>
        <w:t>and</w:t>
      </w:r>
      <w:r>
        <w:rPr>
          <w:color w:val="231F20"/>
          <w:spacing w:val="-8"/>
          <w:sz w:val="20"/>
        </w:rPr>
        <w:t xml:space="preserve"> </w:t>
      </w:r>
      <w:r>
        <w:rPr>
          <w:color w:val="231F20"/>
          <w:sz w:val="20"/>
        </w:rPr>
        <w:t xml:space="preserve">victim- </w:t>
      </w:r>
      <w:r>
        <w:rPr>
          <w:color w:val="231F20"/>
          <w:spacing w:val="-3"/>
          <w:sz w:val="20"/>
        </w:rPr>
        <w:t xml:space="preserve">centred </w:t>
      </w:r>
      <w:r>
        <w:rPr>
          <w:color w:val="231F20"/>
          <w:sz w:val="20"/>
        </w:rPr>
        <w:t xml:space="preserve">design (discussed </w:t>
      </w:r>
      <w:r>
        <w:rPr>
          <w:color w:val="231F20"/>
          <w:spacing w:val="-3"/>
          <w:sz w:val="20"/>
        </w:rPr>
        <w:t xml:space="preserve">below) </w:t>
      </w:r>
      <w:r>
        <w:rPr>
          <w:color w:val="231F20"/>
          <w:sz w:val="20"/>
        </w:rPr>
        <w:t xml:space="preserve">could help victim survivors to feel </w:t>
      </w:r>
      <w:r>
        <w:rPr>
          <w:color w:val="231F20"/>
          <w:spacing w:val="-3"/>
          <w:sz w:val="20"/>
        </w:rPr>
        <w:t xml:space="preserve">safe </w:t>
      </w:r>
      <w:r>
        <w:rPr>
          <w:color w:val="231F20"/>
          <w:sz w:val="20"/>
        </w:rPr>
        <w:t xml:space="preserve">and </w:t>
      </w:r>
      <w:r>
        <w:rPr>
          <w:color w:val="231F20"/>
          <w:spacing w:val="-4"/>
          <w:sz w:val="20"/>
        </w:rPr>
        <w:t xml:space="preserve">prevent </w:t>
      </w:r>
      <w:r>
        <w:rPr>
          <w:color w:val="231F20"/>
          <w:sz w:val="20"/>
        </w:rPr>
        <w:t>contact</w:t>
      </w:r>
      <w:r>
        <w:rPr>
          <w:color w:val="231F20"/>
          <w:spacing w:val="-6"/>
          <w:sz w:val="20"/>
        </w:rPr>
        <w:t xml:space="preserve"> </w:t>
      </w:r>
      <w:r>
        <w:rPr>
          <w:color w:val="231F20"/>
          <w:sz w:val="20"/>
        </w:rPr>
        <w:t>between</w:t>
      </w:r>
      <w:r>
        <w:rPr>
          <w:color w:val="231F20"/>
          <w:spacing w:val="-5"/>
          <w:sz w:val="20"/>
        </w:rPr>
        <w:t xml:space="preserve"> </w:t>
      </w:r>
      <w:r>
        <w:rPr>
          <w:color w:val="231F20"/>
          <w:sz w:val="20"/>
        </w:rPr>
        <w:t>the</w:t>
      </w:r>
      <w:r>
        <w:rPr>
          <w:color w:val="231F20"/>
          <w:spacing w:val="-6"/>
          <w:sz w:val="20"/>
        </w:rPr>
        <w:t xml:space="preserve"> </w:t>
      </w:r>
      <w:r>
        <w:rPr>
          <w:color w:val="231F20"/>
          <w:sz w:val="20"/>
        </w:rPr>
        <w:t>parties</w:t>
      </w:r>
      <w:r>
        <w:rPr>
          <w:color w:val="231F20"/>
          <w:spacing w:val="-5"/>
          <w:sz w:val="20"/>
        </w:rPr>
        <w:t xml:space="preserve"> </w:t>
      </w:r>
      <w:r>
        <w:rPr>
          <w:color w:val="231F20"/>
          <w:sz w:val="20"/>
        </w:rPr>
        <w:t>continuing</w:t>
      </w:r>
      <w:r>
        <w:rPr>
          <w:color w:val="231F20"/>
          <w:spacing w:val="-5"/>
          <w:sz w:val="20"/>
        </w:rPr>
        <w:t xml:space="preserve"> </w:t>
      </w:r>
      <w:r>
        <w:rPr>
          <w:color w:val="231F20"/>
          <w:spacing w:val="-3"/>
          <w:sz w:val="20"/>
        </w:rPr>
        <w:t>through</w:t>
      </w:r>
      <w:r>
        <w:rPr>
          <w:color w:val="231F20"/>
          <w:spacing w:val="-6"/>
          <w:sz w:val="20"/>
        </w:rPr>
        <w:t xml:space="preserve"> </w:t>
      </w:r>
      <w:r>
        <w:rPr>
          <w:color w:val="231F20"/>
          <w:sz w:val="20"/>
        </w:rPr>
        <w:t>the</w:t>
      </w:r>
      <w:r>
        <w:rPr>
          <w:color w:val="231F20"/>
          <w:spacing w:val="-5"/>
          <w:sz w:val="20"/>
        </w:rPr>
        <w:t xml:space="preserve"> </w:t>
      </w:r>
      <w:r>
        <w:rPr>
          <w:color w:val="231F20"/>
          <w:sz w:val="20"/>
        </w:rPr>
        <w:t>justice</w:t>
      </w:r>
      <w:r>
        <w:rPr>
          <w:color w:val="231F20"/>
          <w:spacing w:val="-5"/>
          <w:sz w:val="20"/>
        </w:rPr>
        <w:t xml:space="preserve"> </w:t>
      </w:r>
      <w:r>
        <w:rPr>
          <w:color w:val="231F20"/>
          <w:sz w:val="20"/>
        </w:rPr>
        <w:t>system.</w:t>
      </w:r>
    </w:p>
    <w:p w14:paraId="2BDECCB3" w14:textId="77777777" w:rsidR="00894070" w:rsidRDefault="009B7AFD">
      <w:pPr>
        <w:pStyle w:val="ListParagraph"/>
        <w:numPr>
          <w:ilvl w:val="1"/>
          <w:numId w:val="102"/>
        </w:numPr>
        <w:tabs>
          <w:tab w:val="left" w:pos="1801"/>
          <w:tab w:val="left" w:pos="1802"/>
        </w:tabs>
        <w:spacing w:before="94"/>
        <w:rPr>
          <w:sz w:val="20"/>
        </w:rPr>
      </w:pPr>
      <w:r>
        <w:rPr>
          <w:color w:val="231F20"/>
          <w:sz w:val="20"/>
        </w:rPr>
        <w:t>The general benefits of specialisation also</w:t>
      </w:r>
      <w:r>
        <w:rPr>
          <w:color w:val="231F20"/>
          <w:spacing w:val="-27"/>
          <w:sz w:val="20"/>
        </w:rPr>
        <w:t xml:space="preserve"> </w:t>
      </w:r>
      <w:r>
        <w:rPr>
          <w:color w:val="231F20"/>
          <w:spacing w:val="-3"/>
          <w:sz w:val="20"/>
        </w:rPr>
        <w:t>include:</w:t>
      </w:r>
    </w:p>
    <w:p w14:paraId="1D5FB503" w14:textId="77777777" w:rsidR="00894070" w:rsidRDefault="009B7AFD">
      <w:pPr>
        <w:pStyle w:val="ListParagraph"/>
        <w:numPr>
          <w:ilvl w:val="2"/>
          <w:numId w:val="102"/>
        </w:numPr>
        <w:tabs>
          <w:tab w:val="left" w:pos="2141"/>
          <w:tab w:val="left" w:pos="2142"/>
        </w:tabs>
        <w:spacing w:before="82" w:line="259" w:lineRule="exact"/>
        <w:ind w:hanging="340"/>
        <w:rPr>
          <w:sz w:val="20"/>
        </w:rPr>
      </w:pPr>
      <w:r>
        <w:rPr>
          <w:color w:val="231F20"/>
          <w:sz w:val="20"/>
        </w:rPr>
        <w:t>efficiency—specialists</w:t>
      </w:r>
      <w:r>
        <w:rPr>
          <w:color w:val="231F20"/>
          <w:spacing w:val="-7"/>
          <w:sz w:val="20"/>
        </w:rPr>
        <w:t xml:space="preserve"> </w:t>
      </w:r>
      <w:r>
        <w:rPr>
          <w:color w:val="231F20"/>
          <w:sz w:val="20"/>
        </w:rPr>
        <w:t>tend</w:t>
      </w:r>
      <w:r>
        <w:rPr>
          <w:color w:val="231F20"/>
          <w:spacing w:val="-7"/>
          <w:sz w:val="20"/>
        </w:rPr>
        <w:t xml:space="preserve"> </w:t>
      </w:r>
      <w:r>
        <w:rPr>
          <w:color w:val="231F20"/>
          <w:sz w:val="20"/>
        </w:rPr>
        <w:t>to</w:t>
      </w:r>
      <w:r>
        <w:rPr>
          <w:color w:val="231F20"/>
          <w:spacing w:val="-6"/>
          <w:sz w:val="20"/>
        </w:rPr>
        <w:t xml:space="preserve"> </w:t>
      </w:r>
      <w:r>
        <w:rPr>
          <w:color w:val="231F20"/>
          <w:spacing w:val="-3"/>
          <w:sz w:val="20"/>
        </w:rPr>
        <w:t>work</w:t>
      </w:r>
      <w:r>
        <w:rPr>
          <w:color w:val="231F20"/>
          <w:spacing w:val="-7"/>
          <w:sz w:val="20"/>
        </w:rPr>
        <w:t xml:space="preserve"> </w:t>
      </w:r>
      <w:r>
        <w:rPr>
          <w:color w:val="231F20"/>
          <w:sz w:val="20"/>
        </w:rPr>
        <w:t>faster</w:t>
      </w:r>
      <w:r>
        <w:rPr>
          <w:color w:val="231F20"/>
          <w:spacing w:val="-6"/>
          <w:sz w:val="20"/>
        </w:rPr>
        <w:t xml:space="preserve"> </w:t>
      </w:r>
      <w:r>
        <w:rPr>
          <w:color w:val="231F20"/>
          <w:sz w:val="20"/>
        </w:rPr>
        <w:t>than</w:t>
      </w:r>
      <w:r>
        <w:rPr>
          <w:color w:val="231F20"/>
          <w:spacing w:val="-7"/>
          <w:sz w:val="20"/>
        </w:rPr>
        <w:t xml:space="preserve"> </w:t>
      </w:r>
      <w:r>
        <w:rPr>
          <w:color w:val="231F20"/>
          <w:sz w:val="20"/>
        </w:rPr>
        <w:t>generalists</w:t>
      </w:r>
      <w:r>
        <w:rPr>
          <w:color w:val="231F20"/>
          <w:spacing w:val="-7"/>
          <w:sz w:val="20"/>
        </w:rPr>
        <w:t xml:space="preserve"> </w:t>
      </w:r>
      <w:r>
        <w:rPr>
          <w:color w:val="231F20"/>
          <w:sz w:val="20"/>
        </w:rPr>
        <w:t>because</w:t>
      </w:r>
      <w:r>
        <w:rPr>
          <w:color w:val="231F20"/>
          <w:spacing w:val="-6"/>
          <w:sz w:val="20"/>
        </w:rPr>
        <w:t xml:space="preserve"> </w:t>
      </w:r>
      <w:r>
        <w:rPr>
          <w:color w:val="231F20"/>
          <w:sz w:val="20"/>
        </w:rPr>
        <w:t>they</w:t>
      </w:r>
      <w:r>
        <w:rPr>
          <w:color w:val="231F20"/>
          <w:spacing w:val="-7"/>
          <w:sz w:val="20"/>
        </w:rPr>
        <w:t xml:space="preserve"> </w:t>
      </w:r>
      <w:r>
        <w:rPr>
          <w:color w:val="231F20"/>
          <w:spacing w:val="-3"/>
          <w:sz w:val="20"/>
        </w:rPr>
        <w:t>are</w:t>
      </w:r>
      <w:r>
        <w:rPr>
          <w:color w:val="231F20"/>
          <w:spacing w:val="-6"/>
          <w:sz w:val="20"/>
        </w:rPr>
        <w:t xml:space="preserve"> </w:t>
      </w:r>
      <w:r>
        <w:rPr>
          <w:color w:val="231F20"/>
          <w:sz w:val="20"/>
        </w:rPr>
        <w:t>more</w:t>
      </w:r>
    </w:p>
    <w:p w14:paraId="7BB00097" w14:textId="77777777" w:rsidR="00894070" w:rsidRDefault="009B7AFD">
      <w:pPr>
        <w:pStyle w:val="BodyText"/>
        <w:spacing w:line="259" w:lineRule="exact"/>
        <w:ind w:left="2141"/>
        <w:rPr>
          <w:sz w:val="11"/>
        </w:rPr>
      </w:pPr>
      <w:r>
        <w:rPr>
          <w:color w:val="231F20"/>
        </w:rPr>
        <w:t>familiar with the tasks</w:t>
      </w:r>
      <w:r>
        <w:rPr>
          <w:color w:val="231F20"/>
          <w:position w:val="7"/>
          <w:sz w:val="11"/>
        </w:rPr>
        <w:t>41</w:t>
      </w:r>
    </w:p>
    <w:p w14:paraId="2A138C28" w14:textId="77777777" w:rsidR="00894070" w:rsidRDefault="009B7AFD">
      <w:pPr>
        <w:pStyle w:val="ListParagraph"/>
        <w:numPr>
          <w:ilvl w:val="2"/>
          <w:numId w:val="102"/>
        </w:numPr>
        <w:tabs>
          <w:tab w:val="left" w:pos="2141"/>
          <w:tab w:val="left" w:pos="2142"/>
        </w:tabs>
        <w:spacing w:before="48" w:line="259" w:lineRule="exact"/>
        <w:ind w:hanging="340"/>
        <w:rPr>
          <w:sz w:val="20"/>
        </w:rPr>
      </w:pPr>
      <w:r>
        <w:rPr>
          <w:color w:val="231F20"/>
          <w:spacing w:val="-3"/>
          <w:sz w:val="20"/>
        </w:rPr>
        <w:t xml:space="preserve">improved </w:t>
      </w:r>
      <w:r>
        <w:rPr>
          <w:color w:val="231F20"/>
          <w:sz w:val="20"/>
        </w:rPr>
        <w:t xml:space="preserve">decision making—specialists </w:t>
      </w:r>
      <w:r>
        <w:rPr>
          <w:color w:val="231F20"/>
          <w:spacing w:val="-3"/>
          <w:sz w:val="20"/>
        </w:rPr>
        <w:t xml:space="preserve">are </w:t>
      </w:r>
      <w:r>
        <w:rPr>
          <w:color w:val="231F20"/>
          <w:sz w:val="20"/>
        </w:rPr>
        <w:t xml:space="preserve">more </w:t>
      </w:r>
      <w:r>
        <w:rPr>
          <w:color w:val="231F20"/>
          <w:spacing w:val="-3"/>
          <w:sz w:val="20"/>
        </w:rPr>
        <w:t xml:space="preserve">likely </w:t>
      </w:r>
      <w:r>
        <w:rPr>
          <w:color w:val="231F20"/>
          <w:sz w:val="20"/>
        </w:rPr>
        <w:t>to make</w:t>
      </w:r>
      <w:r>
        <w:rPr>
          <w:color w:val="231F20"/>
          <w:spacing w:val="-33"/>
          <w:sz w:val="20"/>
        </w:rPr>
        <w:t xml:space="preserve"> </w:t>
      </w:r>
      <w:r>
        <w:rPr>
          <w:color w:val="231F20"/>
          <w:sz w:val="20"/>
        </w:rPr>
        <w:t>knowledge-</w:t>
      </w:r>
    </w:p>
    <w:p w14:paraId="4AF49234" w14:textId="77777777" w:rsidR="00894070" w:rsidRDefault="009B7AFD">
      <w:pPr>
        <w:pStyle w:val="BodyText"/>
        <w:spacing w:line="259" w:lineRule="exact"/>
        <w:ind w:left="2141"/>
        <w:rPr>
          <w:sz w:val="11"/>
        </w:rPr>
      </w:pPr>
      <w:r>
        <w:rPr>
          <w:color w:val="231F20"/>
        </w:rPr>
        <w:t>informed decisions than generalists</w:t>
      </w:r>
      <w:r>
        <w:rPr>
          <w:color w:val="231F20"/>
          <w:position w:val="7"/>
          <w:sz w:val="11"/>
        </w:rPr>
        <w:t>42</w:t>
      </w:r>
    </w:p>
    <w:p w14:paraId="2399AD29" w14:textId="77777777" w:rsidR="00894070" w:rsidRDefault="009B7AFD">
      <w:pPr>
        <w:pStyle w:val="ListParagraph"/>
        <w:numPr>
          <w:ilvl w:val="2"/>
          <w:numId w:val="102"/>
        </w:numPr>
        <w:tabs>
          <w:tab w:val="left" w:pos="2141"/>
          <w:tab w:val="left" w:pos="2142"/>
        </w:tabs>
        <w:spacing w:before="79" w:line="206" w:lineRule="auto"/>
        <w:ind w:right="1358" w:hanging="340"/>
        <w:rPr>
          <w:sz w:val="20"/>
        </w:rPr>
      </w:pPr>
      <w:r>
        <w:rPr>
          <w:color w:val="231F20"/>
          <w:spacing w:val="-3"/>
          <w:sz w:val="20"/>
        </w:rPr>
        <w:t xml:space="preserve">improved </w:t>
      </w:r>
      <w:r>
        <w:rPr>
          <w:color w:val="231F20"/>
          <w:sz w:val="20"/>
        </w:rPr>
        <w:t xml:space="preserve">case management—cases can be managed more </w:t>
      </w:r>
      <w:r>
        <w:rPr>
          <w:color w:val="231F20"/>
          <w:spacing w:val="-3"/>
          <w:sz w:val="20"/>
        </w:rPr>
        <w:t xml:space="preserve">effectively </w:t>
      </w:r>
      <w:r>
        <w:rPr>
          <w:color w:val="231F20"/>
          <w:sz w:val="20"/>
        </w:rPr>
        <w:t xml:space="preserve">(because specialisation can </w:t>
      </w:r>
      <w:r>
        <w:rPr>
          <w:color w:val="231F20"/>
          <w:spacing w:val="-4"/>
          <w:sz w:val="20"/>
        </w:rPr>
        <w:t xml:space="preserve">improve </w:t>
      </w:r>
      <w:r>
        <w:rPr>
          <w:color w:val="231F20"/>
          <w:spacing w:val="-3"/>
          <w:sz w:val="20"/>
        </w:rPr>
        <w:t xml:space="preserve">rates </w:t>
      </w:r>
      <w:r>
        <w:rPr>
          <w:color w:val="231F20"/>
          <w:sz w:val="20"/>
        </w:rPr>
        <w:t xml:space="preserve">of </w:t>
      </w:r>
      <w:r>
        <w:rPr>
          <w:color w:val="231F20"/>
          <w:spacing w:val="-3"/>
          <w:sz w:val="20"/>
        </w:rPr>
        <w:t>resolution)</w:t>
      </w:r>
      <w:r>
        <w:rPr>
          <w:color w:val="231F20"/>
          <w:spacing w:val="-3"/>
          <w:position w:val="7"/>
          <w:sz w:val="11"/>
        </w:rPr>
        <w:t xml:space="preserve">43 </w:t>
      </w:r>
      <w:r>
        <w:rPr>
          <w:color w:val="231F20"/>
          <w:sz w:val="20"/>
        </w:rPr>
        <w:t xml:space="preserve">and processes </w:t>
      </w:r>
      <w:r>
        <w:rPr>
          <w:color w:val="231F20"/>
          <w:spacing w:val="-3"/>
          <w:sz w:val="20"/>
        </w:rPr>
        <w:t xml:space="preserve">are </w:t>
      </w:r>
      <w:r>
        <w:rPr>
          <w:color w:val="231F20"/>
          <w:spacing w:val="-2"/>
          <w:sz w:val="20"/>
        </w:rPr>
        <w:t xml:space="preserve">sensitive </w:t>
      </w:r>
      <w:r>
        <w:rPr>
          <w:color w:val="231F20"/>
          <w:sz w:val="20"/>
        </w:rPr>
        <w:t>to the needs of court</w:t>
      </w:r>
      <w:r>
        <w:rPr>
          <w:color w:val="231F20"/>
          <w:spacing w:val="-13"/>
          <w:sz w:val="20"/>
        </w:rPr>
        <w:t xml:space="preserve"> </w:t>
      </w:r>
      <w:r>
        <w:rPr>
          <w:color w:val="231F20"/>
          <w:sz w:val="20"/>
        </w:rPr>
        <w:t>users.</w:t>
      </w:r>
    </w:p>
    <w:p w14:paraId="5994B052" w14:textId="77777777" w:rsidR="00894070" w:rsidRDefault="009B7AFD">
      <w:pPr>
        <w:pStyle w:val="ListParagraph"/>
        <w:numPr>
          <w:ilvl w:val="1"/>
          <w:numId w:val="102"/>
        </w:numPr>
        <w:tabs>
          <w:tab w:val="left" w:pos="1801"/>
          <w:tab w:val="left" w:pos="1802"/>
        </w:tabs>
        <w:spacing w:before="57"/>
        <w:rPr>
          <w:sz w:val="20"/>
        </w:rPr>
      </w:pPr>
      <w:r>
        <w:rPr>
          <w:color w:val="231F20"/>
          <w:sz w:val="20"/>
        </w:rPr>
        <w:t>In</w:t>
      </w:r>
      <w:r>
        <w:rPr>
          <w:color w:val="231F20"/>
          <w:spacing w:val="-5"/>
          <w:sz w:val="20"/>
        </w:rPr>
        <w:t xml:space="preserve"> </w:t>
      </w:r>
      <w:r>
        <w:rPr>
          <w:color w:val="231F20"/>
          <w:sz w:val="20"/>
        </w:rPr>
        <w:t>terms</w:t>
      </w:r>
      <w:r>
        <w:rPr>
          <w:color w:val="231F20"/>
          <w:spacing w:val="-4"/>
          <w:sz w:val="20"/>
        </w:rPr>
        <w:t xml:space="preserve"> </w:t>
      </w:r>
      <w:r>
        <w:rPr>
          <w:color w:val="231F20"/>
          <w:sz w:val="20"/>
        </w:rPr>
        <w:t>of</w:t>
      </w:r>
      <w:r>
        <w:rPr>
          <w:color w:val="231F20"/>
          <w:spacing w:val="-5"/>
          <w:sz w:val="20"/>
        </w:rPr>
        <w:t xml:space="preserve"> </w:t>
      </w:r>
      <w:r>
        <w:rPr>
          <w:color w:val="231F20"/>
          <w:spacing w:val="-3"/>
          <w:sz w:val="20"/>
        </w:rPr>
        <w:t>improved</w:t>
      </w:r>
      <w:r>
        <w:rPr>
          <w:color w:val="231F20"/>
          <w:spacing w:val="-4"/>
          <w:sz w:val="20"/>
        </w:rPr>
        <w:t xml:space="preserve"> </w:t>
      </w:r>
      <w:r>
        <w:rPr>
          <w:color w:val="231F20"/>
          <w:sz w:val="20"/>
        </w:rPr>
        <w:t>case</w:t>
      </w:r>
      <w:r>
        <w:rPr>
          <w:color w:val="231F20"/>
          <w:spacing w:val="-4"/>
          <w:sz w:val="20"/>
        </w:rPr>
        <w:t xml:space="preserve"> </w:t>
      </w:r>
      <w:r>
        <w:rPr>
          <w:color w:val="231F20"/>
          <w:sz w:val="20"/>
        </w:rPr>
        <w:t>management,</w:t>
      </w:r>
      <w:r>
        <w:rPr>
          <w:color w:val="231F20"/>
          <w:spacing w:val="-5"/>
          <w:sz w:val="20"/>
        </w:rPr>
        <w:t xml:space="preserve"> </w:t>
      </w:r>
      <w:r>
        <w:rPr>
          <w:color w:val="231F20"/>
          <w:sz w:val="20"/>
        </w:rPr>
        <w:t>it</w:t>
      </w:r>
      <w:r>
        <w:rPr>
          <w:color w:val="231F20"/>
          <w:spacing w:val="-4"/>
          <w:sz w:val="20"/>
        </w:rPr>
        <w:t xml:space="preserve"> </w:t>
      </w:r>
      <w:r>
        <w:rPr>
          <w:color w:val="231F20"/>
          <w:spacing w:val="-3"/>
          <w:sz w:val="20"/>
        </w:rPr>
        <w:t>would</w:t>
      </w:r>
      <w:r>
        <w:rPr>
          <w:color w:val="231F20"/>
          <w:spacing w:val="-5"/>
          <w:sz w:val="20"/>
        </w:rPr>
        <w:t xml:space="preserve"> </w:t>
      </w:r>
      <w:r>
        <w:rPr>
          <w:color w:val="231F20"/>
          <w:sz w:val="20"/>
        </w:rPr>
        <w:t>be</w:t>
      </w:r>
      <w:r>
        <w:rPr>
          <w:color w:val="231F20"/>
          <w:spacing w:val="-4"/>
          <w:sz w:val="20"/>
        </w:rPr>
        <w:t xml:space="preserve"> </w:t>
      </w:r>
      <w:r>
        <w:rPr>
          <w:color w:val="231F20"/>
          <w:sz w:val="20"/>
        </w:rPr>
        <w:t>easier</w:t>
      </w:r>
      <w:r>
        <w:rPr>
          <w:color w:val="231F20"/>
          <w:spacing w:val="-4"/>
          <w:sz w:val="20"/>
        </w:rPr>
        <w:t xml:space="preserve"> </w:t>
      </w:r>
      <w:r>
        <w:rPr>
          <w:color w:val="231F20"/>
          <w:spacing w:val="-3"/>
          <w:sz w:val="20"/>
        </w:rPr>
        <w:t>to:</w:t>
      </w:r>
    </w:p>
    <w:p w14:paraId="383D1CFF" w14:textId="77777777" w:rsidR="00894070" w:rsidRDefault="009B7AFD">
      <w:pPr>
        <w:pStyle w:val="ListParagraph"/>
        <w:numPr>
          <w:ilvl w:val="2"/>
          <w:numId w:val="102"/>
        </w:numPr>
        <w:tabs>
          <w:tab w:val="left" w:pos="2141"/>
          <w:tab w:val="left" w:pos="2142"/>
        </w:tabs>
        <w:spacing w:before="115" w:line="206" w:lineRule="auto"/>
        <w:ind w:right="1706" w:hanging="340"/>
        <w:rPr>
          <w:sz w:val="20"/>
        </w:rPr>
      </w:pPr>
      <w:r>
        <w:rPr>
          <w:color w:val="231F20"/>
          <w:sz w:val="20"/>
        </w:rPr>
        <w:t>more</w:t>
      </w:r>
      <w:r>
        <w:rPr>
          <w:color w:val="231F20"/>
          <w:spacing w:val="-8"/>
          <w:sz w:val="20"/>
        </w:rPr>
        <w:t xml:space="preserve"> </w:t>
      </w:r>
      <w:r>
        <w:rPr>
          <w:color w:val="231F20"/>
          <w:spacing w:val="-3"/>
          <w:sz w:val="20"/>
        </w:rPr>
        <w:t>quickly</w:t>
      </w:r>
      <w:r>
        <w:rPr>
          <w:color w:val="231F20"/>
          <w:spacing w:val="-7"/>
          <w:sz w:val="20"/>
        </w:rPr>
        <w:t xml:space="preserve"> </w:t>
      </w:r>
      <w:r>
        <w:rPr>
          <w:color w:val="231F20"/>
          <w:sz w:val="20"/>
        </w:rPr>
        <w:t>and</w:t>
      </w:r>
      <w:r>
        <w:rPr>
          <w:color w:val="231F20"/>
          <w:spacing w:val="-8"/>
          <w:sz w:val="20"/>
        </w:rPr>
        <w:t xml:space="preserve"> </w:t>
      </w:r>
      <w:r>
        <w:rPr>
          <w:color w:val="231F20"/>
          <w:spacing w:val="-3"/>
          <w:sz w:val="20"/>
        </w:rPr>
        <w:t>accurately</w:t>
      </w:r>
      <w:r>
        <w:rPr>
          <w:color w:val="231F20"/>
          <w:spacing w:val="-7"/>
          <w:sz w:val="20"/>
        </w:rPr>
        <w:t xml:space="preserve"> </w:t>
      </w:r>
      <w:r>
        <w:rPr>
          <w:color w:val="231F20"/>
          <w:sz w:val="20"/>
        </w:rPr>
        <w:t>identify</w:t>
      </w:r>
      <w:r>
        <w:rPr>
          <w:color w:val="231F20"/>
          <w:spacing w:val="-8"/>
          <w:sz w:val="20"/>
        </w:rPr>
        <w:t xml:space="preserve"> </w:t>
      </w:r>
      <w:r>
        <w:rPr>
          <w:color w:val="231F20"/>
          <w:sz w:val="20"/>
        </w:rPr>
        <w:t>the</w:t>
      </w:r>
      <w:r>
        <w:rPr>
          <w:color w:val="231F20"/>
          <w:spacing w:val="-7"/>
          <w:sz w:val="20"/>
        </w:rPr>
        <w:t xml:space="preserve"> </w:t>
      </w:r>
      <w:r>
        <w:rPr>
          <w:color w:val="231F20"/>
          <w:sz w:val="20"/>
        </w:rPr>
        <w:t>stalking</w:t>
      </w:r>
      <w:r>
        <w:rPr>
          <w:color w:val="231F20"/>
          <w:spacing w:val="-8"/>
          <w:sz w:val="20"/>
        </w:rPr>
        <w:t xml:space="preserve"> </w:t>
      </w:r>
      <w:r>
        <w:rPr>
          <w:color w:val="231F20"/>
          <w:sz w:val="20"/>
        </w:rPr>
        <w:t>cases</w:t>
      </w:r>
      <w:r>
        <w:rPr>
          <w:color w:val="231F20"/>
          <w:spacing w:val="-7"/>
          <w:sz w:val="20"/>
        </w:rPr>
        <w:t xml:space="preserve"> </w:t>
      </w:r>
      <w:r>
        <w:rPr>
          <w:color w:val="231F20"/>
          <w:sz w:val="20"/>
        </w:rPr>
        <w:t>among</w:t>
      </w:r>
      <w:r>
        <w:rPr>
          <w:color w:val="231F20"/>
          <w:spacing w:val="-8"/>
          <w:sz w:val="20"/>
        </w:rPr>
        <w:t xml:space="preserve"> </w:t>
      </w:r>
      <w:r>
        <w:rPr>
          <w:color w:val="231F20"/>
          <w:sz w:val="20"/>
        </w:rPr>
        <w:t>the</w:t>
      </w:r>
      <w:r>
        <w:rPr>
          <w:color w:val="231F20"/>
          <w:spacing w:val="-7"/>
          <w:sz w:val="20"/>
        </w:rPr>
        <w:t xml:space="preserve"> </w:t>
      </w:r>
      <w:r>
        <w:rPr>
          <w:color w:val="231F20"/>
          <w:sz w:val="20"/>
        </w:rPr>
        <w:t>other</w:t>
      </w:r>
      <w:r>
        <w:rPr>
          <w:color w:val="231F20"/>
          <w:spacing w:val="-7"/>
          <w:sz w:val="20"/>
        </w:rPr>
        <w:t xml:space="preserve"> </w:t>
      </w:r>
      <w:r>
        <w:rPr>
          <w:color w:val="231F20"/>
          <w:sz w:val="20"/>
        </w:rPr>
        <w:t>PSIO matters</w:t>
      </w:r>
    </w:p>
    <w:p w14:paraId="1B8E28FF" w14:textId="77777777" w:rsidR="00894070" w:rsidRDefault="009B7AFD">
      <w:pPr>
        <w:pStyle w:val="ListParagraph"/>
        <w:numPr>
          <w:ilvl w:val="2"/>
          <w:numId w:val="102"/>
        </w:numPr>
        <w:tabs>
          <w:tab w:val="left" w:pos="2141"/>
          <w:tab w:val="left" w:pos="2142"/>
        </w:tabs>
        <w:spacing w:before="87" w:line="206" w:lineRule="auto"/>
        <w:ind w:right="1495" w:hanging="340"/>
        <w:rPr>
          <w:sz w:val="20"/>
        </w:rPr>
      </w:pPr>
      <w:r>
        <w:rPr>
          <w:color w:val="231F20"/>
          <w:sz w:val="20"/>
        </w:rPr>
        <w:t>make</w:t>
      </w:r>
      <w:r>
        <w:rPr>
          <w:color w:val="231F20"/>
          <w:spacing w:val="-6"/>
          <w:sz w:val="20"/>
        </w:rPr>
        <w:t xml:space="preserve"> </w:t>
      </w:r>
      <w:r>
        <w:rPr>
          <w:color w:val="231F20"/>
          <w:spacing w:val="-3"/>
          <w:sz w:val="20"/>
        </w:rPr>
        <w:t>sure</w:t>
      </w:r>
      <w:r>
        <w:rPr>
          <w:color w:val="231F20"/>
          <w:spacing w:val="-6"/>
          <w:sz w:val="20"/>
        </w:rPr>
        <w:t xml:space="preserve"> </w:t>
      </w:r>
      <w:r>
        <w:rPr>
          <w:color w:val="231F20"/>
          <w:sz w:val="20"/>
        </w:rPr>
        <w:t>enough</w:t>
      </w:r>
      <w:r>
        <w:rPr>
          <w:color w:val="231F20"/>
          <w:spacing w:val="-5"/>
          <w:sz w:val="20"/>
        </w:rPr>
        <w:t xml:space="preserve"> </w:t>
      </w:r>
      <w:r>
        <w:rPr>
          <w:color w:val="231F20"/>
          <w:sz w:val="20"/>
        </w:rPr>
        <w:t>time</w:t>
      </w:r>
      <w:r>
        <w:rPr>
          <w:color w:val="231F20"/>
          <w:spacing w:val="-6"/>
          <w:sz w:val="20"/>
        </w:rPr>
        <w:t xml:space="preserve"> </w:t>
      </w:r>
      <w:r>
        <w:rPr>
          <w:color w:val="231F20"/>
          <w:sz w:val="20"/>
        </w:rPr>
        <w:t>and</w:t>
      </w:r>
      <w:r>
        <w:rPr>
          <w:color w:val="231F20"/>
          <w:spacing w:val="-6"/>
          <w:sz w:val="20"/>
        </w:rPr>
        <w:t xml:space="preserve"> </w:t>
      </w:r>
      <w:r>
        <w:rPr>
          <w:color w:val="231F20"/>
          <w:spacing w:val="-3"/>
          <w:sz w:val="20"/>
        </w:rPr>
        <w:t>attention</w:t>
      </w:r>
      <w:r>
        <w:rPr>
          <w:color w:val="231F20"/>
          <w:spacing w:val="-5"/>
          <w:sz w:val="20"/>
        </w:rPr>
        <w:t xml:space="preserve"> </w:t>
      </w:r>
      <w:r>
        <w:rPr>
          <w:color w:val="231F20"/>
          <w:sz w:val="20"/>
        </w:rPr>
        <w:t>is</w:t>
      </w:r>
      <w:r>
        <w:rPr>
          <w:color w:val="231F20"/>
          <w:spacing w:val="-6"/>
          <w:sz w:val="20"/>
        </w:rPr>
        <w:t xml:space="preserve"> </w:t>
      </w:r>
      <w:r>
        <w:rPr>
          <w:color w:val="231F20"/>
          <w:spacing w:val="-3"/>
          <w:sz w:val="20"/>
        </w:rPr>
        <w:t>given</w:t>
      </w:r>
      <w:r>
        <w:rPr>
          <w:color w:val="231F20"/>
          <w:spacing w:val="-6"/>
          <w:sz w:val="20"/>
        </w:rPr>
        <w:t xml:space="preserve"> </w:t>
      </w:r>
      <w:r>
        <w:rPr>
          <w:color w:val="231F20"/>
          <w:sz w:val="20"/>
        </w:rPr>
        <w:t>to</w:t>
      </w:r>
      <w:r>
        <w:rPr>
          <w:color w:val="231F20"/>
          <w:spacing w:val="-5"/>
          <w:sz w:val="20"/>
        </w:rPr>
        <w:t xml:space="preserve"> </w:t>
      </w:r>
      <w:r>
        <w:rPr>
          <w:color w:val="231F20"/>
          <w:sz w:val="20"/>
        </w:rPr>
        <w:t>more</w:t>
      </w:r>
      <w:r>
        <w:rPr>
          <w:color w:val="231F20"/>
          <w:spacing w:val="-6"/>
          <w:sz w:val="20"/>
        </w:rPr>
        <w:t xml:space="preserve"> </w:t>
      </w:r>
      <w:r>
        <w:rPr>
          <w:color w:val="231F20"/>
          <w:spacing w:val="-3"/>
          <w:sz w:val="20"/>
        </w:rPr>
        <w:t>complex</w:t>
      </w:r>
      <w:r>
        <w:rPr>
          <w:color w:val="231F20"/>
          <w:spacing w:val="-5"/>
          <w:sz w:val="20"/>
        </w:rPr>
        <w:t xml:space="preserve"> </w:t>
      </w:r>
      <w:r>
        <w:rPr>
          <w:color w:val="231F20"/>
          <w:sz w:val="20"/>
        </w:rPr>
        <w:t>or</w:t>
      </w:r>
      <w:r>
        <w:rPr>
          <w:color w:val="231F20"/>
          <w:spacing w:val="-6"/>
          <w:sz w:val="20"/>
        </w:rPr>
        <w:t xml:space="preserve"> </w:t>
      </w:r>
      <w:r>
        <w:rPr>
          <w:color w:val="231F20"/>
          <w:sz w:val="20"/>
        </w:rPr>
        <w:t>serious</w:t>
      </w:r>
      <w:r>
        <w:rPr>
          <w:color w:val="231F20"/>
          <w:spacing w:val="-6"/>
          <w:sz w:val="20"/>
        </w:rPr>
        <w:t xml:space="preserve"> </w:t>
      </w:r>
      <w:r>
        <w:rPr>
          <w:color w:val="231F20"/>
          <w:sz w:val="20"/>
        </w:rPr>
        <w:t>cases and make safety issues more</w:t>
      </w:r>
      <w:r>
        <w:rPr>
          <w:color w:val="231F20"/>
          <w:spacing w:val="-23"/>
          <w:sz w:val="20"/>
        </w:rPr>
        <w:t xml:space="preserve"> </w:t>
      </w:r>
      <w:r>
        <w:rPr>
          <w:color w:val="231F20"/>
          <w:sz w:val="20"/>
        </w:rPr>
        <w:t>visible</w:t>
      </w:r>
    </w:p>
    <w:p w14:paraId="37C7879E" w14:textId="77777777" w:rsidR="00894070" w:rsidRDefault="009B7AFD">
      <w:pPr>
        <w:pStyle w:val="ListParagraph"/>
        <w:numPr>
          <w:ilvl w:val="2"/>
          <w:numId w:val="102"/>
        </w:numPr>
        <w:tabs>
          <w:tab w:val="left" w:pos="2141"/>
          <w:tab w:val="left" w:pos="2142"/>
        </w:tabs>
        <w:spacing w:before="88" w:line="206" w:lineRule="auto"/>
        <w:ind w:right="1391" w:hanging="340"/>
        <w:rPr>
          <w:sz w:val="20"/>
        </w:rPr>
      </w:pPr>
      <w:r>
        <w:rPr>
          <w:color w:val="231F20"/>
          <w:spacing w:val="-3"/>
          <w:sz w:val="20"/>
        </w:rPr>
        <w:t>develop</w:t>
      </w:r>
      <w:r>
        <w:rPr>
          <w:color w:val="231F20"/>
          <w:spacing w:val="-10"/>
          <w:sz w:val="20"/>
        </w:rPr>
        <w:t xml:space="preserve"> </w:t>
      </w:r>
      <w:r>
        <w:rPr>
          <w:color w:val="231F20"/>
          <w:sz w:val="20"/>
        </w:rPr>
        <w:t>expertise</w:t>
      </w:r>
      <w:r>
        <w:rPr>
          <w:color w:val="231F20"/>
          <w:spacing w:val="-10"/>
          <w:sz w:val="20"/>
        </w:rPr>
        <w:t xml:space="preserve"> </w:t>
      </w:r>
      <w:r>
        <w:rPr>
          <w:color w:val="231F20"/>
          <w:sz w:val="20"/>
        </w:rPr>
        <w:t>amongst</w:t>
      </w:r>
      <w:r>
        <w:rPr>
          <w:color w:val="231F20"/>
          <w:spacing w:val="-9"/>
          <w:sz w:val="20"/>
        </w:rPr>
        <w:t xml:space="preserve"> </w:t>
      </w:r>
      <w:r>
        <w:rPr>
          <w:color w:val="231F20"/>
          <w:sz w:val="20"/>
        </w:rPr>
        <w:t>magistrates</w:t>
      </w:r>
      <w:r>
        <w:rPr>
          <w:color w:val="231F20"/>
          <w:spacing w:val="-10"/>
          <w:sz w:val="20"/>
        </w:rPr>
        <w:t xml:space="preserve"> </w:t>
      </w:r>
      <w:r>
        <w:rPr>
          <w:color w:val="231F20"/>
          <w:sz w:val="20"/>
        </w:rPr>
        <w:t>and</w:t>
      </w:r>
      <w:r>
        <w:rPr>
          <w:color w:val="231F20"/>
          <w:spacing w:val="-9"/>
          <w:sz w:val="20"/>
        </w:rPr>
        <w:t xml:space="preserve"> </w:t>
      </w:r>
      <w:r>
        <w:rPr>
          <w:color w:val="231F20"/>
          <w:sz w:val="20"/>
        </w:rPr>
        <w:t>court</w:t>
      </w:r>
      <w:r>
        <w:rPr>
          <w:color w:val="231F20"/>
          <w:spacing w:val="-10"/>
          <w:sz w:val="20"/>
        </w:rPr>
        <w:t xml:space="preserve"> </w:t>
      </w:r>
      <w:r>
        <w:rPr>
          <w:color w:val="231F20"/>
          <w:sz w:val="20"/>
        </w:rPr>
        <w:t>staff</w:t>
      </w:r>
      <w:r>
        <w:rPr>
          <w:color w:val="231F20"/>
          <w:spacing w:val="-9"/>
          <w:sz w:val="20"/>
        </w:rPr>
        <w:t xml:space="preserve"> </w:t>
      </w:r>
      <w:r>
        <w:rPr>
          <w:color w:val="231F20"/>
          <w:sz w:val="20"/>
        </w:rPr>
        <w:t>in</w:t>
      </w:r>
      <w:r>
        <w:rPr>
          <w:color w:val="231F20"/>
          <w:spacing w:val="-10"/>
          <w:sz w:val="20"/>
        </w:rPr>
        <w:t xml:space="preserve"> </w:t>
      </w:r>
      <w:r>
        <w:rPr>
          <w:color w:val="231F20"/>
          <w:sz w:val="20"/>
        </w:rPr>
        <w:t>stalking,</w:t>
      </w:r>
      <w:r>
        <w:rPr>
          <w:color w:val="231F20"/>
          <w:spacing w:val="-9"/>
          <w:sz w:val="20"/>
        </w:rPr>
        <w:t xml:space="preserve"> </w:t>
      </w:r>
      <w:r>
        <w:rPr>
          <w:color w:val="231F20"/>
          <w:spacing w:val="-3"/>
          <w:sz w:val="20"/>
        </w:rPr>
        <w:t>for</w:t>
      </w:r>
      <w:r>
        <w:rPr>
          <w:color w:val="231F20"/>
          <w:spacing w:val="-10"/>
          <w:sz w:val="20"/>
        </w:rPr>
        <w:t xml:space="preserve"> </w:t>
      </w:r>
      <w:r>
        <w:rPr>
          <w:color w:val="231F20"/>
          <w:spacing w:val="-3"/>
          <w:sz w:val="20"/>
        </w:rPr>
        <w:t>example,</w:t>
      </w:r>
      <w:r>
        <w:rPr>
          <w:color w:val="231F20"/>
          <w:spacing w:val="-9"/>
          <w:sz w:val="20"/>
        </w:rPr>
        <w:t xml:space="preserve"> </w:t>
      </w:r>
      <w:r>
        <w:rPr>
          <w:color w:val="231F20"/>
          <w:sz w:val="20"/>
        </w:rPr>
        <w:t xml:space="preserve">in crafting </w:t>
      </w:r>
      <w:r>
        <w:rPr>
          <w:color w:val="231F20"/>
          <w:spacing w:val="-3"/>
          <w:sz w:val="20"/>
        </w:rPr>
        <w:t xml:space="preserve">effective </w:t>
      </w:r>
      <w:r>
        <w:rPr>
          <w:color w:val="231F20"/>
          <w:sz w:val="20"/>
        </w:rPr>
        <w:t>conditions in</w:t>
      </w:r>
      <w:r>
        <w:rPr>
          <w:color w:val="231F20"/>
          <w:spacing w:val="-15"/>
          <w:sz w:val="20"/>
        </w:rPr>
        <w:t xml:space="preserve"> </w:t>
      </w:r>
      <w:r>
        <w:rPr>
          <w:color w:val="231F20"/>
          <w:sz w:val="20"/>
        </w:rPr>
        <w:t>PSIOs</w:t>
      </w:r>
    </w:p>
    <w:p w14:paraId="7CAA8F16" w14:textId="77777777" w:rsidR="00894070" w:rsidRDefault="009B7AFD">
      <w:pPr>
        <w:pStyle w:val="ListParagraph"/>
        <w:numPr>
          <w:ilvl w:val="2"/>
          <w:numId w:val="102"/>
        </w:numPr>
        <w:tabs>
          <w:tab w:val="left" w:pos="2141"/>
          <w:tab w:val="left" w:pos="2142"/>
        </w:tabs>
        <w:spacing w:before="87" w:line="206" w:lineRule="auto"/>
        <w:ind w:right="1465" w:hanging="340"/>
        <w:rPr>
          <w:sz w:val="20"/>
        </w:rPr>
      </w:pPr>
      <w:r>
        <w:rPr>
          <w:color w:val="231F20"/>
          <w:spacing w:val="-3"/>
          <w:sz w:val="20"/>
        </w:rPr>
        <w:t xml:space="preserve">provide </w:t>
      </w:r>
      <w:r>
        <w:rPr>
          <w:color w:val="231F20"/>
          <w:sz w:val="20"/>
        </w:rPr>
        <w:t xml:space="preserve">physical facilities </w:t>
      </w:r>
      <w:r>
        <w:rPr>
          <w:color w:val="231F20"/>
          <w:spacing w:val="-4"/>
          <w:sz w:val="20"/>
        </w:rPr>
        <w:t xml:space="preserve">(for </w:t>
      </w:r>
      <w:r>
        <w:rPr>
          <w:color w:val="231F20"/>
          <w:spacing w:val="-3"/>
          <w:sz w:val="20"/>
        </w:rPr>
        <w:t xml:space="preserve">example, </w:t>
      </w:r>
      <w:r>
        <w:rPr>
          <w:color w:val="231F20"/>
          <w:sz w:val="20"/>
        </w:rPr>
        <w:t xml:space="preserve">separate waiting </w:t>
      </w:r>
      <w:r>
        <w:rPr>
          <w:color w:val="231F20"/>
          <w:spacing w:val="-3"/>
          <w:sz w:val="20"/>
        </w:rPr>
        <w:t xml:space="preserve">rooms) </w:t>
      </w:r>
      <w:r>
        <w:rPr>
          <w:color w:val="231F20"/>
          <w:sz w:val="20"/>
        </w:rPr>
        <w:t>and technology (such</w:t>
      </w:r>
      <w:r>
        <w:rPr>
          <w:color w:val="231F20"/>
          <w:spacing w:val="-10"/>
          <w:sz w:val="20"/>
        </w:rPr>
        <w:t xml:space="preserve"> </w:t>
      </w:r>
      <w:r>
        <w:rPr>
          <w:color w:val="231F20"/>
          <w:sz w:val="20"/>
        </w:rPr>
        <w:t>as</w:t>
      </w:r>
      <w:r>
        <w:rPr>
          <w:color w:val="231F20"/>
          <w:spacing w:val="-9"/>
          <w:sz w:val="20"/>
        </w:rPr>
        <w:t xml:space="preserve"> </w:t>
      </w:r>
      <w:r>
        <w:rPr>
          <w:color w:val="231F20"/>
          <w:spacing w:val="-3"/>
          <w:sz w:val="20"/>
        </w:rPr>
        <w:t>remote</w:t>
      </w:r>
      <w:r>
        <w:rPr>
          <w:color w:val="231F20"/>
          <w:spacing w:val="-9"/>
          <w:sz w:val="20"/>
        </w:rPr>
        <w:t xml:space="preserve"> </w:t>
      </w:r>
      <w:r>
        <w:rPr>
          <w:color w:val="231F20"/>
          <w:sz w:val="20"/>
        </w:rPr>
        <w:t>witness</w:t>
      </w:r>
      <w:r>
        <w:rPr>
          <w:color w:val="231F20"/>
          <w:spacing w:val="-9"/>
          <w:sz w:val="20"/>
        </w:rPr>
        <w:t xml:space="preserve"> </w:t>
      </w:r>
      <w:r>
        <w:rPr>
          <w:color w:val="231F20"/>
          <w:sz w:val="20"/>
        </w:rPr>
        <w:t>facilities)</w:t>
      </w:r>
      <w:r>
        <w:rPr>
          <w:color w:val="231F20"/>
          <w:spacing w:val="-10"/>
          <w:sz w:val="20"/>
        </w:rPr>
        <w:t xml:space="preserve"> </w:t>
      </w:r>
      <w:r>
        <w:rPr>
          <w:color w:val="231F20"/>
          <w:sz w:val="20"/>
        </w:rPr>
        <w:t>to</w:t>
      </w:r>
      <w:r>
        <w:rPr>
          <w:color w:val="231F20"/>
          <w:spacing w:val="-9"/>
          <w:sz w:val="20"/>
        </w:rPr>
        <w:t xml:space="preserve"> </w:t>
      </w:r>
      <w:r>
        <w:rPr>
          <w:color w:val="231F20"/>
          <w:sz w:val="20"/>
        </w:rPr>
        <w:t>make</w:t>
      </w:r>
      <w:r>
        <w:rPr>
          <w:color w:val="231F20"/>
          <w:spacing w:val="-9"/>
          <w:sz w:val="20"/>
        </w:rPr>
        <w:t xml:space="preserve"> </w:t>
      </w:r>
      <w:r>
        <w:rPr>
          <w:color w:val="231F20"/>
          <w:spacing w:val="-3"/>
          <w:sz w:val="20"/>
        </w:rPr>
        <w:t>sure</w:t>
      </w:r>
      <w:r>
        <w:rPr>
          <w:color w:val="231F20"/>
          <w:spacing w:val="-9"/>
          <w:sz w:val="20"/>
        </w:rPr>
        <w:t xml:space="preserve"> </w:t>
      </w:r>
      <w:r>
        <w:rPr>
          <w:color w:val="231F20"/>
          <w:sz w:val="20"/>
        </w:rPr>
        <w:t>victim</w:t>
      </w:r>
      <w:r>
        <w:rPr>
          <w:color w:val="231F20"/>
          <w:spacing w:val="-10"/>
          <w:sz w:val="20"/>
        </w:rPr>
        <w:t xml:space="preserve"> </w:t>
      </w:r>
      <w:r>
        <w:rPr>
          <w:color w:val="231F20"/>
          <w:sz w:val="20"/>
        </w:rPr>
        <w:t>survivors</w:t>
      </w:r>
      <w:r>
        <w:rPr>
          <w:color w:val="231F20"/>
          <w:spacing w:val="-9"/>
          <w:sz w:val="20"/>
        </w:rPr>
        <w:t xml:space="preserve"> </w:t>
      </w:r>
      <w:r>
        <w:rPr>
          <w:color w:val="231F20"/>
          <w:sz w:val="20"/>
        </w:rPr>
        <w:t>feel</w:t>
      </w:r>
      <w:r>
        <w:rPr>
          <w:color w:val="231F20"/>
          <w:spacing w:val="-9"/>
          <w:sz w:val="20"/>
        </w:rPr>
        <w:t xml:space="preserve"> </w:t>
      </w:r>
      <w:r>
        <w:rPr>
          <w:color w:val="231F20"/>
          <w:spacing w:val="-3"/>
          <w:sz w:val="20"/>
        </w:rPr>
        <w:t>safe</w:t>
      </w:r>
      <w:r>
        <w:rPr>
          <w:color w:val="231F20"/>
          <w:spacing w:val="-9"/>
          <w:sz w:val="20"/>
        </w:rPr>
        <w:t xml:space="preserve"> </w:t>
      </w:r>
      <w:r>
        <w:rPr>
          <w:color w:val="231F20"/>
          <w:sz w:val="20"/>
        </w:rPr>
        <w:t>at</w:t>
      </w:r>
      <w:r>
        <w:rPr>
          <w:color w:val="231F20"/>
          <w:spacing w:val="-10"/>
          <w:sz w:val="20"/>
        </w:rPr>
        <w:t xml:space="preserve"> </w:t>
      </w:r>
      <w:r>
        <w:rPr>
          <w:color w:val="231F20"/>
          <w:sz w:val="20"/>
        </w:rPr>
        <w:t>court</w:t>
      </w:r>
    </w:p>
    <w:p w14:paraId="36404544" w14:textId="77777777" w:rsidR="00894070" w:rsidRDefault="009B7AFD">
      <w:pPr>
        <w:pStyle w:val="ListParagraph"/>
        <w:numPr>
          <w:ilvl w:val="2"/>
          <w:numId w:val="102"/>
        </w:numPr>
        <w:tabs>
          <w:tab w:val="left" w:pos="2141"/>
          <w:tab w:val="left" w:pos="2142"/>
        </w:tabs>
        <w:spacing w:before="88" w:line="206" w:lineRule="auto"/>
        <w:ind w:right="1366" w:hanging="340"/>
        <w:rPr>
          <w:sz w:val="20"/>
        </w:rPr>
      </w:pPr>
      <w:r>
        <w:rPr>
          <w:color w:val="231F20"/>
          <w:sz w:val="20"/>
        </w:rPr>
        <w:t>identify</w:t>
      </w:r>
      <w:r>
        <w:rPr>
          <w:color w:val="231F20"/>
          <w:spacing w:val="-11"/>
          <w:sz w:val="20"/>
        </w:rPr>
        <w:t xml:space="preserve"> </w:t>
      </w:r>
      <w:r>
        <w:rPr>
          <w:color w:val="231F20"/>
          <w:sz w:val="20"/>
        </w:rPr>
        <w:t>barriers</w:t>
      </w:r>
      <w:r>
        <w:rPr>
          <w:color w:val="231F20"/>
          <w:spacing w:val="-11"/>
          <w:sz w:val="20"/>
        </w:rPr>
        <w:t xml:space="preserve"> </w:t>
      </w:r>
      <w:r>
        <w:rPr>
          <w:color w:val="231F20"/>
          <w:sz w:val="20"/>
        </w:rPr>
        <w:t>to</w:t>
      </w:r>
      <w:r>
        <w:rPr>
          <w:color w:val="231F20"/>
          <w:spacing w:val="-10"/>
          <w:sz w:val="20"/>
        </w:rPr>
        <w:t xml:space="preserve"> </w:t>
      </w:r>
      <w:r>
        <w:rPr>
          <w:color w:val="231F20"/>
          <w:sz w:val="20"/>
        </w:rPr>
        <w:t>participation</w:t>
      </w:r>
      <w:r>
        <w:rPr>
          <w:color w:val="231F20"/>
          <w:spacing w:val="-11"/>
          <w:sz w:val="20"/>
        </w:rPr>
        <w:t xml:space="preserve"> </w:t>
      </w:r>
      <w:r>
        <w:rPr>
          <w:color w:val="231F20"/>
          <w:sz w:val="20"/>
        </w:rPr>
        <w:t>some</w:t>
      </w:r>
      <w:r>
        <w:rPr>
          <w:color w:val="231F20"/>
          <w:spacing w:val="-10"/>
          <w:sz w:val="20"/>
        </w:rPr>
        <w:t xml:space="preserve"> </w:t>
      </w:r>
      <w:r>
        <w:rPr>
          <w:color w:val="231F20"/>
          <w:sz w:val="20"/>
        </w:rPr>
        <w:t>people</w:t>
      </w:r>
      <w:r>
        <w:rPr>
          <w:color w:val="231F20"/>
          <w:spacing w:val="-11"/>
          <w:sz w:val="20"/>
        </w:rPr>
        <w:t xml:space="preserve"> </w:t>
      </w:r>
      <w:r>
        <w:rPr>
          <w:color w:val="231F20"/>
          <w:sz w:val="20"/>
        </w:rPr>
        <w:t>might</w:t>
      </w:r>
      <w:r>
        <w:rPr>
          <w:color w:val="231F20"/>
          <w:spacing w:val="-10"/>
          <w:sz w:val="20"/>
        </w:rPr>
        <w:t xml:space="preserve"> </w:t>
      </w:r>
      <w:r>
        <w:rPr>
          <w:color w:val="231F20"/>
          <w:spacing w:val="-3"/>
          <w:sz w:val="20"/>
        </w:rPr>
        <w:t>face,</w:t>
      </w:r>
      <w:r>
        <w:rPr>
          <w:color w:val="231F20"/>
          <w:spacing w:val="-11"/>
          <w:sz w:val="20"/>
        </w:rPr>
        <w:t xml:space="preserve"> </w:t>
      </w:r>
      <w:r>
        <w:rPr>
          <w:color w:val="231F20"/>
          <w:sz w:val="20"/>
        </w:rPr>
        <w:t>and</w:t>
      </w:r>
      <w:r>
        <w:rPr>
          <w:color w:val="231F20"/>
          <w:spacing w:val="-10"/>
          <w:sz w:val="20"/>
        </w:rPr>
        <w:t xml:space="preserve"> </w:t>
      </w:r>
      <w:r>
        <w:rPr>
          <w:color w:val="231F20"/>
          <w:sz w:val="20"/>
        </w:rPr>
        <w:t>address</w:t>
      </w:r>
      <w:r>
        <w:rPr>
          <w:color w:val="231F20"/>
          <w:spacing w:val="-11"/>
          <w:sz w:val="20"/>
        </w:rPr>
        <w:t xml:space="preserve"> </w:t>
      </w:r>
      <w:r>
        <w:rPr>
          <w:color w:val="231F20"/>
          <w:sz w:val="20"/>
        </w:rPr>
        <w:t>them</w:t>
      </w:r>
      <w:r>
        <w:rPr>
          <w:color w:val="231F20"/>
          <w:spacing w:val="-10"/>
          <w:sz w:val="20"/>
        </w:rPr>
        <w:t xml:space="preserve"> </w:t>
      </w:r>
      <w:r>
        <w:rPr>
          <w:color w:val="231F20"/>
          <w:sz w:val="20"/>
        </w:rPr>
        <w:t xml:space="preserve">(such as a need </w:t>
      </w:r>
      <w:r>
        <w:rPr>
          <w:color w:val="231F20"/>
          <w:spacing w:val="-3"/>
          <w:sz w:val="20"/>
        </w:rPr>
        <w:t xml:space="preserve">for </w:t>
      </w:r>
      <w:r>
        <w:rPr>
          <w:color w:val="231F20"/>
          <w:sz w:val="20"/>
        </w:rPr>
        <w:t>an</w:t>
      </w:r>
      <w:r>
        <w:rPr>
          <w:color w:val="231F20"/>
          <w:spacing w:val="-17"/>
          <w:sz w:val="20"/>
        </w:rPr>
        <w:t xml:space="preserve"> </w:t>
      </w:r>
      <w:r>
        <w:rPr>
          <w:color w:val="231F20"/>
          <w:spacing w:val="-3"/>
          <w:sz w:val="20"/>
        </w:rPr>
        <w:t>interpreter)</w:t>
      </w:r>
    </w:p>
    <w:p w14:paraId="5AAE085C" w14:textId="77777777" w:rsidR="00894070" w:rsidRDefault="00894070">
      <w:pPr>
        <w:pStyle w:val="BodyText"/>
      </w:pPr>
    </w:p>
    <w:p w14:paraId="61839646" w14:textId="77777777" w:rsidR="00894070" w:rsidRDefault="009F6793">
      <w:pPr>
        <w:pStyle w:val="BodyText"/>
        <w:spacing w:before="13"/>
        <w:rPr>
          <w:sz w:val="23"/>
        </w:rPr>
      </w:pPr>
      <w:r>
        <w:pict w14:anchorId="4E537FF3">
          <v:line id="_x0000_s1350" style="position:absolute;z-index:251645952;mso-wrap-distance-left:0;mso-wrap-distance-right:0;mso-position-horizontal-relative:page" from="79.35pt,19.1pt" to="515.9pt,19.1pt" strokecolor="#f8cabc" strokeweight="1pt">
            <w10:wrap type="topAndBottom" anchorx="page"/>
          </v:line>
        </w:pict>
      </w:r>
    </w:p>
    <w:p w14:paraId="1028E801" w14:textId="77777777" w:rsidR="00894070" w:rsidRDefault="00894070">
      <w:pPr>
        <w:pStyle w:val="BodyText"/>
        <w:rPr>
          <w:sz w:val="5"/>
        </w:rPr>
      </w:pPr>
    </w:p>
    <w:p w14:paraId="0C592969" w14:textId="77777777" w:rsidR="00894070" w:rsidRDefault="00894070">
      <w:pPr>
        <w:rPr>
          <w:sz w:val="5"/>
        </w:rPr>
        <w:sectPr w:rsidR="00894070">
          <w:pgSz w:w="11910" w:h="16840"/>
          <w:pgMar w:top="860" w:right="420" w:bottom="280" w:left="580" w:header="567" w:footer="0" w:gutter="0"/>
          <w:cols w:space="720"/>
        </w:sectPr>
      </w:pPr>
    </w:p>
    <w:p w14:paraId="539659B7" w14:textId="77777777" w:rsidR="00894070" w:rsidRDefault="00894070">
      <w:pPr>
        <w:pStyle w:val="BodyText"/>
        <w:rPr>
          <w:sz w:val="28"/>
        </w:rPr>
      </w:pPr>
    </w:p>
    <w:p w14:paraId="49FCA0A4" w14:textId="77777777" w:rsidR="00894070" w:rsidRDefault="00894070">
      <w:pPr>
        <w:pStyle w:val="BodyText"/>
        <w:rPr>
          <w:sz w:val="28"/>
        </w:rPr>
      </w:pPr>
    </w:p>
    <w:p w14:paraId="7BAB8147" w14:textId="77777777" w:rsidR="00894070" w:rsidRDefault="00894070">
      <w:pPr>
        <w:pStyle w:val="BodyText"/>
        <w:rPr>
          <w:sz w:val="28"/>
        </w:rPr>
      </w:pPr>
    </w:p>
    <w:p w14:paraId="7D8B687E" w14:textId="77777777" w:rsidR="00894070" w:rsidRDefault="00894070">
      <w:pPr>
        <w:pStyle w:val="BodyText"/>
        <w:spacing w:before="9"/>
        <w:rPr>
          <w:sz w:val="23"/>
        </w:rPr>
      </w:pPr>
    </w:p>
    <w:p w14:paraId="68349299" w14:textId="77777777" w:rsidR="00894070" w:rsidRDefault="009B7AFD">
      <w:pPr>
        <w:pStyle w:val="Heading8"/>
        <w:ind w:left="140"/>
      </w:pPr>
      <w:r>
        <w:rPr>
          <w:color w:val="EA5B50"/>
        </w:rPr>
        <w:t>100</w:t>
      </w:r>
    </w:p>
    <w:p w14:paraId="43E8D5EB" w14:textId="77777777" w:rsidR="00894070" w:rsidRDefault="009B7AFD">
      <w:pPr>
        <w:pStyle w:val="ListParagraph"/>
        <w:numPr>
          <w:ilvl w:val="0"/>
          <w:numId w:val="96"/>
        </w:numPr>
        <w:tabs>
          <w:tab w:val="left" w:pos="933"/>
          <w:tab w:val="left" w:pos="934"/>
        </w:tabs>
        <w:spacing w:before="21" w:line="170" w:lineRule="exact"/>
        <w:ind w:left="933" w:hanging="793"/>
        <w:jc w:val="left"/>
        <w:rPr>
          <w:sz w:val="13"/>
        </w:rPr>
      </w:pPr>
      <w:r>
        <w:rPr>
          <w:color w:val="231F20"/>
          <w:spacing w:val="3"/>
          <w:sz w:val="13"/>
        </w:rPr>
        <w:br w:type="column"/>
      </w:r>
      <w:r>
        <w:rPr>
          <w:color w:val="231F20"/>
          <w:sz w:val="13"/>
        </w:rPr>
        <w:t>Consultation 1 (Centre for Forensic Behavioural</w:t>
      </w:r>
      <w:r>
        <w:rPr>
          <w:color w:val="231F20"/>
          <w:spacing w:val="2"/>
          <w:sz w:val="13"/>
        </w:rPr>
        <w:t xml:space="preserve"> </w:t>
      </w:r>
      <w:r>
        <w:rPr>
          <w:color w:val="231F20"/>
          <w:sz w:val="13"/>
        </w:rPr>
        <w:t>Science).</w:t>
      </w:r>
    </w:p>
    <w:p w14:paraId="56636625" w14:textId="77777777" w:rsidR="00894070" w:rsidRDefault="009B7AFD">
      <w:pPr>
        <w:pStyle w:val="ListParagraph"/>
        <w:numPr>
          <w:ilvl w:val="0"/>
          <w:numId w:val="96"/>
        </w:numPr>
        <w:tabs>
          <w:tab w:val="left" w:pos="933"/>
          <w:tab w:val="left" w:pos="934"/>
        </w:tabs>
        <w:spacing w:line="160" w:lineRule="exact"/>
        <w:ind w:left="933" w:hanging="793"/>
        <w:jc w:val="left"/>
        <w:rPr>
          <w:sz w:val="13"/>
        </w:rPr>
      </w:pPr>
      <w:r>
        <w:rPr>
          <w:color w:val="231F20"/>
          <w:sz w:val="13"/>
        </w:rPr>
        <w:t>Consultation 10 (Victorian Aboriginal Legal</w:t>
      </w:r>
      <w:r>
        <w:rPr>
          <w:color w:val="231F20"/>
          <w:spacing w:val="2"/>
          <w:sz w:val="13"/>
        </w:rPr>
        <w:t xml:space="preserve"> </w:t>
      </w:r>
      <w:r>
        <w:rPr>
          <w:color w:val="231F20"/>
          <w:sz w:val="13"/>
        </w:rPr>
        <w:t>Service).</w:t>
      </w:r>
    </w:p>
    <w:p w14:paraId="3E52881C" w14:textId="77777777" w:rsidR="00894070" w:rsidRDefault="009B7AFD">
      <w:pPr>
        <w:pStyle w:val="ListParagraph"/>
        <w:numPr>
          <w:ilvl w:val="0"/>
          <w:numId w:val="96"/>
        </w:numPr>
        <w:tabs>
          <w:tab w:val="left" w:pos="933"/>
          <w:tab w:val="left" w:pos="934"/>
        </w:tabs>
        <w:spacing w:line="160" w:lineRule="exact"/>
        <w:ind w:left="933" w:hanging="793"/>
        <w:jc w:val="left"/>
        <w:rPr>
          <w:sz w:val="13"/>
        </w:rPr>
      </w:pPr>
      <w:r>
        <w:rPr>
          <w:color w:val="231F20"/>
          <w:sz w:val="13"/>
        </w:rPr>
        <w:t>Consultation 1 (Centre for Forensic Behavioural</w:t>
      </w:r>
      <w:r>
        <w:rPr>
          <w:color w:val="231F20"/>
          <w:spacing w:val="2"/>
          <w:sz w:val="13"/>
        </w:rPr>
        <w:t xml:space="preserve"> </w:t>
      </w:r>
      <w:r>
        <w:rPr>
          <w:color w:val="231F20"/>
          <w:sz w:val="13"/>
        </w:rPr>
        <w:t>Science).</w:t>
      </w:r>
    </w:p>
    <w:p w14:paraId="7F3C7EDF" w14:textId="77777777" w:rsidR="00894070" w:rsidRDefault="009B7AFD">
      <w:pPr>
        <w:pStyle w:val="ListParagraph"/>
        <w:numPr>
          <w:ilvl w:val="0"/>
          <w:numId w:val="96"/>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4"/>
          <w:sz w:val="13"/>
        </w:rPr>
        <w:t xml:space="preserve"> </w:t>
      </w:r>
      <w:r>
        <w:rPr>
          <w:color w:val="231F20"/>
          <w:sz w:val="13"/>
        </w:rPr>
        <w:t>Party).</w:t>
      </w:r>
    </w:p>
    <w:p w14:paraId="4EDC3602" w14:textId="77777777" w:rsidR="00894070" w:rsidRDefault="009B7AFD">
      <w:pPr>
        <w:pStyle w:val="ListParagraph"/>
        <w:numPr>
          <w:ilvl w:val="0"/>
          <w:numId w:val="96"/>
        </w:numPr>
        <w:tabs>
          <w:tab w:val="left" w:pos="933"/>
          <w:tab w:val="left" w:pos="934"/>
        </w:tabs>
        <w:spacing w:before="7" w:line="213" w:lineRule="auto"/>
        <w:ind w:left="933" w:right="1252" w:hanging="793"/>
        <w:jc w:val="left"/>
        <w:rPr>
          <w:sz w:val="13"/>
        </w:rPr>
      </w:pPr>
      <w:r>
        <w:rPr>
          <w:color w:val="231F20"/>
          <w:sz w:val="13"/>
        </w:rPr>
        <w:t xml:space="preserve">Marilyn McMahon, Paul </w:t>
      </w:r>
      <w:proofErr w:type="gramStart"/>
      <w:r>
        <w:rPr>
          <w:color w:val="231F20"/>
          <w:spacing w:val="2"/>
          <w:sz w:val="13"/>
        </w:rPr>
        <w:t>McGorrery</w:t>
      </w:r>
      <w:proofErr w:type="gramEnd"/>
      <w:r>
        <w:rPr>
          <w:color w:val="231F20"/>
          <w:spacing w:val="2"/>
          <w:sz w:val="13"/>
        </w:rPr>
        <w:t xml:space="preserve"> </w:t>
      </w:r>
      <w:r>
        <w:rPr>
          <w:color w:val="231F20"/>
          <w:sz w:val="13"/>
        </w:rPr>
        <w:t xml:space="preserve">and Kelley Burton, ‘Prosecuting Non-Physical Abuse between Current Intimate </w:t>
      </w:r>
      <w:r>
        <w:rPr>
          <w:color w:val="231F20"/>
          <w:spacing w:val="2"/>
          <w:sz w:val="13"/>
        </w:rPr>
        <w:t xml:space="preserve">Partners: </w:t>
      </w:r>
      <w:r>
        <w:rPr>
          <w:color w:val="231F20"/>
          <w:sz w:val="13"/>
        </w:rPr>
        <w:t xml:space="preserve">Are Stalking Laws an Under-Utilised Resource?’ (2019) </w:t>
      </w:r>
      <w:r>
        <w:rPr>
          <w:color w:val="231F20"/>
          <w:spacing w:val="2"/>
          <w:sz w:val="13"/>
        </w:rPr>
        <w:t xml:space="preserve">42(2) </w:t>
      </w:r>
      <w:r>
        <w:rPr>
          <w:i/>
          <w:color w:val="231F20"/>
          <w:sz w:val="13"/>
        </w:rPr>
        <w:t xml:space="preserve">Melbourne University Law Review </w:t>
      </w:r>
      <w:r>
        <w:rPr>
          <w:color w:val="231F20"/>
          <w:spacing w:val="2"/>
          <w:sz w:val="13"/>
        </w:rPr>
        <w:t>551,</w:t>
      </w:r>
      <w:r>
        <w:rPr>
          <w:color w:val="231F20"/>
          <w:spacing w:val="17"/>
          <w:sz w:val="13"/>
        </w:rPr>
        <w:t xml:space="preserve"> </w:t>
      </w:r>
      <w:r>
        <w:rPr>
          <w:color w:val="231F20"/>
          <w:sz w:val="13"/>
        </w:rPr>
        <w:t>575.</w:t>
      </w:r>
    </w:p>
    <w:p w14:paraId="7110D473" w14:textId="77777777" w:rsidR="00894070" w:rsidRDefault="009B7AFD">
      <w:pPr>
        <w:pStyle w:val="ListParagraph"/>
        <w:numPr>
          <w:ilvl w:val="0"/>
          <w:numId w:val="96"/>
        </w:numPr>
        <w:tabs>
          <w:tab w:val="left" w:pos="933"/>
          <w:tab w:val="left" w:pos="934"/>
        </w:tabs>
        <w:spacing w:line="213" w:lineRule="auto"/>
        <w:ind w:left="933" w:right="1665" w:hanging="793"/>
        <w:jc w:val="left"/>
        <w:rPr>
          <w:sz w:val="13"/>
        </w:rPr>
      </w:pPr>
      <w:r>
        <w:rPr>
          <w:color w:val="231F20"/>
          <w:sz w:val="13"/>
        </w:rPr>
        <w:t xml:space="preserve">Patrick Parkinson, </w:t>
      </w:r>
      <w:r>
        <w:rPr>
          <w:i/>
          <w:color w:val="231F20"/>
          <w:spacing w:val="2"/>
          <w:sz w:val="13"/>
        </w:rPr>
        <w:t xml:space="preserve">Specialist </w:t>
      </w:r>
      <w:r>
        <w:rPr>
          <w:i/>
          <w:color w:val="231F20"/>
          <w:sz w:val="13"/>
        </w:rPr>
        <w:t xml:space="preserve">Prosecution Units and </w:t>
      </w:r>
      <w:r>
        <w:rPr>
          <w:i/>
          <w:color w:val="231F20"/>
          <w:spacing w:val="2"/>
          <w:sz w:val="13"/>
        </w:rPr>
        <w:t xml:space="preserve">Courts: </w:t>
      </w:r>
      <w:r>
        <w:rPr>
          <w:i/>
          <w:color w:val="231F20"/>
          <w:sz w:val="13"/>
        </w:rPr>
        <w:t xml:space="preserve">A Review of the Literature </w:t>
      </w:r>
      <w:r>
        <w:rPr>
          <w:color w:val="231F20"/>
          <w:spacing w:val="2"/>
          <w:sz w:val="13"/>
        </w:rPr>
        <w:t xml:space="preserve">(Report </w:t>
      </w:r>
      <w:r>
        <w:rPr>
          <w:color w:val="231F20"/>
          <w:sz w:val="13"/>
        </w:rPr>
        <w:t xml:space="preserve">for the Royal </w:t>
      </w:r>
      <w:r>
        <w:rPr>
          <w:color w:val="231F20"/>
          <w:spacing w:val="2"/>
          <w:sz w:val="13"/>
        </w:rPr>
        <w:t xml:space="preserve">Commission </w:t>
      </w:r>
      <w:r>
        <w:rPr>
          <w:color w:val="231F20"/>
          <w:sz w:val="13"/>
        </w:rPr>
        <w:t>into Institutional Responses to Child Sexual Abuse, March 2016)</w:t>
      </w:r>
      <w:r>
        <w:rPr>
          <w:color w:val="231F20"/>
          <w:spacing w:val="5"/>
          <w:sz w:val="13"/>
        </w:rPr>
        <w:t xml:space="preserve"> </w:t>
      </w:r>
      <w:r>
        <w:rPr>
          <w:color w:val="231F20"/>
          <w:spacing w:val="-3"/>
          <w:sz w:val="13"/>
        </w:rPr>
        <w:t>6–7.</w:t>
      </w:r>
    </w:p>
    <w:p w14:paraId="2DB324EF" w14:textId="77777777" w:rsidR="00894070" w:rsidRDefault="009B7AFD">
      <w:pPr>
        <w:pStyle w:val="ListParagraph"/>
        <w:numPr>
          <w:ilvl w:val="0"/>
          <w:numId w:val="96"/>
        </w:numPr>
        <w:tabs>
          <w:tab w:val="left" w:pos="933"/>
          <w:tab w:val="left" w:pos="934"/>
        </w:tabs>
        <w:spacing w:line="153" w:lineRule="exact"/>
        <w:ind w:left="933" w:hanging="793"/>
        <w:jc w:val="left"/>
        <w:rPr>
          <w:sz w:val="13"/>
        </w:rPr>
      </w:pPr>
      <w:r>
        <w:rPr>
          <w:color w:val="231F20"/>
          <w:sz w:val="13"/>
        </w:rPr>
        <w:t>Ibid</w:t>
      </w:r>
      <w:r>
        <w:rPr>
          <w:color w:val="231F20"/>
          <w:spacing w:val="7"/>
          <w:sz w:val="13"/>
        </w:rPr>
        <w:t xml:space="preserve"> </w:t>
      </w:r>
      <w:r>
        <w:rPr>
          <w:color w:val="231F20"/>
          <w:spacing w:val="2"/>
          <w:sz w:val="13"/>
        </w:rPr>
        <w:t>11.</w:t>
      </w:r>
    </w:p>
    <w:p w14:paraId="4C9CA0B1" w14:textId="77777777" w:rsidR="00894070" w:rsidRDefault="009B7AFD">
      <w:pPr>
        <w:pStyle w:val="ListParagraph"/>
        <w:numPr>
          <w:ilvl w:val="0"/>
          <w:numId w:val="96"/>
        </w:numPr>
        <w:tabs>
          <w:tab w:val="left" w:pos="933"/>
          <w:tab w:val="left" w:pos="934"/>
        </w:tabs>
        <w:spacing w:line="160" w:lineRule="exact"/>
        <w:ind w:left="933" w:hanging="793"/>
        <w:jc w:val="left"/>
        <w:rPr>
          <w:sz w:val="13"/>
        </w:rPr>
      </w:pPr>
      <w:r>
        <w:rPr>
          <w:color w:val="231F20"/>
          <w:sz w:val="13"/>
        </w:rPr>
        <w:t>Ibid</w:t>
      </w:r>
      <w:r>
        <w:rPr>
          <w:color w:val="231F20"/>
          <w:spacing w:val="7"/>
          <w:sz w:val="13"/>
        </w:rPr>
        <w:t xml:space="preserve"> </w:t>
      </w:r>
      <w:r>
        <w:rPr>
          <w:color w:val="231F20"/>
          <w:spacing w:val="2"/>
          <w:sz w:val="13"/>
        </w:rPr>
        <w:t>12.</w:t>
      </w:r>
    </w:p>
    <w:p w14:paraId="2FCD8529" w14:textId="77777777" w:rsidR="00894070" w:rsidRDefault="009B7AFD">
      <w:pPr>
        <w:pStyle w:val="ListParagraph"/>
        <w:numPr>
          <w:ilvl w:val="0"/>
          <w:numId w:val="96"/>
        </w:numPr>
        <w:tabs>
          <w:tab w:val="left" w:pos="933"/>
          <w:tab w:val="left" w:pos="934"/>
        </w:tabs>
        <w:spacing w:line="170" w:lineRule="exact"/>
        <w:ind w:left="933" w:hanging="793"/>
        <w:jc w:val="left"/>
        <w:rPr>
          <w:sz w:val="13"/>
        </w:rPr>
      </w:pPr>
      <w:r>
        <w:rPr>
          <w:color w:val="231F20"/>
          <w:sz w:val="13"/>
        </w:rPr>
        <w:t>Ibid</w:t>
      </w:r>
      <w:r>
        <w:rPr>
          <w:color w:val="231F20"/>
          <w:spacing w:val="8"/>
          <w:sz w:val="13"/>
        </w:rPr>
        <w:t xml:space="preserve"> </w:t>
      </w:r>
      <w:r>
        <w:rPr>
          <w:color w:val="231F20"/>
          <w:spacing w:val="2"/>
          <w:sz w:val="13"/>
        </w:rPr>
        <w:t>13.</w:t>
      </w:r>
    </w:p>
    <w:p w14:paraId="7A7A4E15"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88" w:space="279"/>
            <w:col w:w="10043"/>
          </w:cols>
        </w:sectPr>
      </w:pPr>
    </w:p>
    <w:p w14:paraId="411273D0" w14:textId="77777777" w:rsidR="00894070" w:rsidRDefault="00894070">
      <w:pPr>
        <w:pStyle w:val="BodyText"/>
      </w:pPr>
    </w:p>
    <w:p w14:paraId="7BF1D9E3" w14:textId="77777777" w:rsidR="00894070" w:rsidRDefault="00894070">
      <w:pPr>
        <w:pStyle w:val="BodyText"/>
      </w:pPr>
    </w:p>
    <w:p w14:paraId="0840C5D1" w14:textId="77777777" w:rsidR="00894070" w:rsidRDefault="00894070">
      <w:pPr>
        <w:pStyle w:val="BodyText"/>
      </w:pPr>
    </w:p>
    <w:p w14:paraId="37F18937" w14:textId="77777777" w:rsidR="00894070" w:rsidRDefault="00894070">
      <w:pPr>
        <w:pStyle w:val="BodyText"/>
        <w:spacing w:before="6"/>
        <w:rPr>
          <w:sz w:val="14"/>
        </w:rPr>
      </w:pPr>
    </w:p>
    <w:p w14:paraId="4829D5DA" w14:textId="77777777" w:rsidR="00894070" w:rsidRDefault="009B7AFD">
      <w:pPr>
        <w:pStyle w:val="ListParagraph"/>
        <w:numPr>
          <w:ilvl w:val="1"/>
          <w:numId w:val="96"/>
        </w:numPr>
        <w:tabs>
          <w:tab w:val="left" w:pos="2141"/>
          <w:tab w:val="left" w:pos="2142"/>
        </w:tabs>
        <w:spacing w:before="58"/>
        <w:ind w:hanging="340"/>
        <w:rPr>
          <w:sz w:val="20"/>
        </w:rPr>
      </w:pPr>
      <w:bookmarkStart w:id="119" w:name="Identifying_stalking_among_PSIO_cases"/>
      <w:bookmarkStart w:id="120" w:name="_bookmark68"/>
      <w:bookmarkEnd w:id="119"/>
      <w:bookmarkEnd w:id="120"/>
      <w:r>
        <w:rPr>
          <w:color w:val="231F20"/>
          <w:sz w:val="20"/>
        </w:rPr>
        <w:t>link</w:t>
      </w:r>
      <w:r>
        <w:rPr>
          <w:color w:val="231F20"/>
          <w:spacing w:val="-6"/>
          <w:sz w:val="20"/>
        </w:rPr>
        <w:t xml:space="preserve"> </w:t>
      </w:r>
      <w:r>
        <w:rPr>
          <w:color w:val="231F20"/>
          <w:sz w:val="20"/>
        </w:rPr>
        <w:t>services</w:t>
      </w:r>
      <w:r>
        <w:rPr>
          <w:color w:val="231F20"/>
          <w:spacing w:val="-6"/>
          <w:sz w:val="20"/>
        </w:rPr>
        <w:t xml:space="preserve"> </w:t>
      </w:r>
      <w:r>
        <w:rPr>
          <w:color w:val="231F20"/>
          <w:spacing w:val="-3"/>
          <w:sz w:val="20"/>
        </w:rPr>
        <w:t>into</w:t>
      </w:r>
      <w:r>
        <w:rPr>
          <w:color w:val="231F20"/>
          <w:spacing w:val="-5"/>
          <w:sz w:val="20"/>
        </w:rPr>
        <w:t xml:space="preserve"> </w:t>
      </w:r>
      <w:r>
        <w:rPr>
          <w:color w:val="231F20"/>
          <w:sz w:val="20"/>
        </w:rPr>
        <w:t>the</w:t>
      </w:r>
      <w:r>
        <w:rPr>
          <w:color w:val="231F20"/>
          <w:spacing w:val="-6"/>
          <w:sz w:val="20"/>
        </w:rPr>
        <w:t xml:space="preserve"> </w:t>
      </w:r>
      <w:r>
        <w:rPr>
          <w:color w:val="231F20"/>
          <w:sz w:val="20"/>
        </w:rPr>
        <w:t>court</w:t>
      </w:r>
      <w:r>
        <w:rPr>
          <w:color w:val="231F20"/>
          <w:spacing w:val="-5"/>
          <w:sz w:val="20"/>
        </w:rPr>
        <w:t xml:space="preserve"> </w:t>
      </w:r>
      <w:r>
        <w:rPr>
          <w:color w:val="231F20"/>
          <w:sz w:val="20"/>
        </w:rPr>
        <w:t>process</w:t>
      </w:r>
      <w:r>
        <w:rPr>
          <w:color w:val="231F20"/>
          <w:spacing w:val="-6"/>
          <w:sz w:val="20"/>
        </w:rPr>
        <w:t xml:space="preserve"> </w:t>
      </w:r>
      <w:r>
        <w:rPr>
          <w:color w:val="231F20"/>
          <w:sz w:val="20"/>
        </w:rPr>
        <w:t>and</w:t>
      </w:r>
      <w:r>
        <w:rPr>
          <w:color w:val="231F20"/>
          <w:spacing w:val="-6"/>
          <w:sz w:val="20"/>
        </w:rPr>
        <w:t xml:space="preserve"> </w:t>
      </w:r>
      <w:r>
        <w:rPr>
          <w:color w:val="231F20"/>
          <w:sz w:val="20"/>
        </w:rPr>
        <w:t>enable</w:t>
      </w:r>
      <w:r>
        <w:rPr>
          <w:color w:val="231F20"/>
          <w:spacing w:val="-5"/>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5"/>
          <w:sz w:val="20"/>
        </w:rPr>
        <w:t xml:space="preserve"> </w:t>
      </w:r>
      <w:r>
        <w:rPr>
          <w:color w:val="231F20"/>
          <w:sz w:val="20"/>
        </w:rPr>
        <w:t>to</w:t>
      </w:r>
      <w:r>
        <w:rPr>
          <w:color w:val="231F20"/>
          <w:spacing w:val="-6"/>
          <w:sz w:val="20"/>
        </w:rPr>
        <w:t xml:space="preserve"> </w:t>
      </w:r>
      <w:r>
        <w:rPr>
          <w:color w:val="231F20"/>
          <w:sz w:val="20"/>
        </w:rPr>
        <w:t>access</w:t>
      </w:r>
      <w:r>
        <w:rPr>
          <w:color w:val="231F20"/>
          <w:spacing w:val="-6"/>
          <w:sz w:val="20"/>
        </w:rPr>
        <w:t xml:space="preserve"> </w:t>
      </w:r>
      <w:r>
        <w:rPr>
          <w:color w:val="231F20"/>
          <w:sz w:val="20"/>
        </w:rPr>
        <w:t>them</w:t>
      </w:r>
    </w:p>
    <w:p w14:paraId="07FDE1FE" w14:textId="77777777" w:rsidR="00894070" w:rsidRDefault="009B7AFD">
      <w:pPr>
        <w:pStyle w:val="ListParagraph"/>
        <w:numPr>
          <w:ilvl w:val="1"/>
          <w:numId w:val="96"/>
        </w:numPr>
        <w:tabs>
          <w:tab w:val="left" w:pos="2141"/>
          <w:tab w:val="left" w:pos="2142"/>
        </w:tabs>
        <w:spacing w:before="47"/>
        <w:ind w:hanging="340"/>
        <w:rPr>
          <w:sz w:val="20"/>
        </w:rPr>
      </w:pPr>
      <w:r>
        <w:rPr>
          <w:color w:val="231F20"/>
          <w:sz w:val="20"/>
        </w:rPr>
        <w:t xml:space="preserve">facilitate </w:t>
      </w:r>
      <w:r>
        <w:rPr>
          <w:color w:val="231F20"/>
          <w:spacing w:val="-3"/>
          <w:sz w:val="20"/>
        </w:rPr>
        <w:t xml:space="preserve">information exchange </w:t>
      </w:r>
      <w:r>
        <w:rPr>
          <w:color w:val="231F20"/>
          <w:sz w:val="20"/>
        </w:rPr>
        <w:t>between</w:t>
      </w:r>
      <w:r>
        <w:rPr>
          <w:color w:val="231F20"/>
          <w:spacing w:val="-11"/>
          <w:sz w:val="20"/>
        </w:rPr>
        <w:t xml:space="preserve"> </w:t>
      </w:r>
      <w:r>
        <w:rPr>
          <w:color w:val="231F20"/>
          <w:sz w:val="20"/>
        </w:rPr>
        <w:t>agencies.</w:t>
      </w:r>
    </w:p>
    <w:p w14:paraId="31D37FED" w14:textId="77777777" w:rsidR="00894070" w:rsidRDefault="009B7AFD">
      <w:pPr>
        <w:pStyle w:val="ListParagraph"/>
        <w:numPr>
          <w:ilvl w:val="1"/>
          <w:numId w:val="102"/>
        </w:numPr>
        <w:tabs>
          <w:tab w:val="left" w:pos="1801"/>
          <w:tab w:val="left" w:pos="1802"/>
        </w:tabs>
        <w:spacing w:before="80" w:line="206" w:lineRule="auto"/>
        <w:ind w:right="1673"/>
        <w:rPr>
          <w:sz w:val="20"/>
        </w:rPr>
      </w:pPr>
      <w:r>
        <w:rPr>
          <w:color w:val="231F20"/>
          <w:sz w:val="20"/>
        </w:rPr>
        <w:t>The</w:t>
      </w:r>
      <w:r>
        <w:rPr>
          <w:color w:val="231F20"/>
          <w:spacing w:val="-9"/>
          <w:sz w:val="20"/>
        </w:rPr>
        <w:t xml:space="preserve"> </w:t>
      </w:r>
      <w:r>
        <w:rPr>
          <w:color w:val="231F20"/>
          <w:spacing w:val="-3"/>
          <w:sz w:val="20"/>
        </w:rPr>
        <w:t>reforms</w:t>
      </w:r>
      <w:r>
        <w:rPr>
          <w:color w:val="231F20"/>
          <w:spacing w:val="-8"/>
          <w:sz w:val="20"/>
        </w:rPr>
        <w:t xml:space="preserve"> </w:t>
      </w:r>
      <w:r>
        <w:rPr>
          <w:color w:val="231F20"/>
          <w:sz w:val="20"/>
        </w:rPr>
        <w:t>proposed</w:t>
      </w:r>
      <w:r>
        <w:rPr>
          <w:color w:val="231F20"/>
          <w:spacing w:val="-8"/>
          <w:sz w:val="20"/>
        </w:rPr>
        <w:t xml:space="preserve"> </w:t>
      </w:r>
      <w:r>
        <w:rPr>
          <w:color w:val="231F20"/>
          <w:sz w:val="20"/>
        </w:rPr>
        <w:t>in</w:t>
      </w:r>
      <w:r>
        <w:rPr>
          <w:color w:val="231F20"/>
          <w:spacing w:val="-8"/>
          <w:sz w:val="20"/>
        </w:rPr>
        <w:t xml:space="preserve"> </w:t>
      </w:r>
      <w:r>
        <w:rPr>
          <w:color w:val="231F20"/>
          <w:sz w:val="20"/>
        </w:rPr>
        <w:t>this</w:t>
      </w:r>
      <w:r>
        <w:rPr>
          <w:color w:val="231F20"/>
          <w:spacing w:val="-8"/>
          <w:sz w:val="20"/>
        </w:rPr>
        <w:t xml:space="preserve"> </w:t>
      </w:r>
      <w:r>
        <w:rPr>
          <w:color w:val="231F20"/>
          <w:spacing w:val="-3"/>
          <w:sz w:val="20"/>
        </w:rPr>
        <w:t>chapter</w:t>
      </w:r>
      <w:r>
        <w:rPr>
          <w:color w:val="231F20"/>
          <w:spacing w:val="-8"/>
          <w:sz w:val="20"/>
        </w:rPr>
        <w:t xml:space="preserve"> </w:t>
      </w:r>
      <w:r>
        <w:rPr>
          <w:color w:val="231F20"/>
          <w:sz w:val="20"/>
        </w:rPr>
        <w:t>aim</w:t>
      </w:r>
      <w:r>
        <w:rPr>
          <w:color w:val="231F20"/>
          <w:spacing w:val="-8"/>
          <w:sz w:val="20"/>
        </w:rPr>
        <w:t xml:space="preserve"> </w:t>
      </w:r>
      <w:r>
        <w:rPr>
          <w:color w:val="231F20"/>
          <w:sz w:val="20"/>
        </w:rPr>
        <w:t>to</w:t>
      </w:r>
      <w:r>
        <w:rPr>
          <w:color w:val="231F20"/>
          <w:spacing w:val="-9"/>
          <w:sz w:val="20"/>
        </w:rPr>
        <w:t xml:space="preserve"> </w:t>
      </w:r>
      <w:r>
        <w:rPr>
          <w:color w:val="231F20"/>
          <w:sz w:val="20"/>
        </w:rPr>
        <w:t>build</w:t>
      </w:r>
      <w:r>
        <w:rPr>
          <w:color w:val="231F20"/>
          <w:spacing w:val="-8"/>
          <w:sz w:val="20"/>
        </w:rPr>
        <w:t xml:space="preserve"> </w:t>
      </w:r>
      <w:r>
        <w:rPr>
          <w:color w:val="231F20"/>
          <w:sz w:val="20"/>
        </w:rPr>
        <w:t>a</w:t>
      </w:r>
      <w:r>
        <w:rPr>
          <w:color w:val="231F20"/>
          <w:spacing w:val="-8"/>
          <w:sz w:val="20"/>
        </w:rPr>
        <w:t xml:space="preserve"> </w:t>
      </w:r>
      <w:r>
        <w:rPr>
          <w:color w:val="231F20"/>
          <w:sz w:val="20"/>
        </w:rPr>
        <w:t>more</w:t>
      </w:r>
      <w:r>
        <w:rPr>
          <w:color w:val="231F20"/>
          <w:spacing w:val="-8"/>
          <w:sz w:val="20"/>
        </w:rPr>
        <w:t xml:space="preserve"> </w:t>
      </w:r>
      <w:r>
        <w:rPr>
          <w:color w:val="231F20"/>
          <w:sz w:val="20"/>
        </w:rPr>
        <w:t>focused</w:t>
      </w:r>
      <w:r>
        <w:rPr>
          <w:color w:val="231F20"/>
          <w:spacing w:val="-8"/>
          <w:sz w:val="20"/>
        </w:rPr>
        <w:t xml:space="preserve"> </w:t>
      </w:r>
      <w:r>
        <w:rPr>
          <w:color w:val="231F20"/>
          <w:sz w:val="20"/>
        </w:rPr>
        <w:t>and</w:t>
      </w:r>
      <w:r>
        <w:rPr>
          <w:color w:val="231F20"/>
          <w:spacing w:val="-8"/>
          <w:sz w:val="20"/>
        </w:rPr>
        <w:t xml:space="preserve"> </w:t>
      </w:r>
      <w:r>
        <w:rPr>
          <w:color w:val="231F20"/>
          <w:sz w:val="20"/>
        </w:rPr>
        <w:t>specialised system.</w:t>
      </w:r>
    </w:p>
    <w:p w14:paraId="19DF78D9" w14:textId="77777777" w:rsidR="00894070" w:rsidRDefault="00894070">
      <w:pPr>
        <w:pStyle w:val="BodyText"/>
        <w:spacing w:before="6"/>
        <w:rPr>
          <w:sz w:val="16"/>
        </w:rPr>
      </w:pPr>
    </w:p>
    <w:p w14:paraId="2D2BD6D4" w14:textId="77777777" w:rsidR="00894070" w:rsidRDefault="009B7AFD">
      <w:pPr>
        <w:pStyle w:val="Heading7"/>
      </w:pPr>
      <w:r>
        <w:rPr>
          <w:color w:val="EA5B50"/>
        </w:rPr>
        <w:t>Identifying stalking among PSIO cases</w:t>
      </w:r>
    </w:p>
    <w:p w14:paraId="05DD4D20" w14:textId="77777777" w:rsidR="00894070" w:rsidRDefault="009B7AFD">
      <w:pPr>
        <w:pStyle w:val="ListParagraph"/>
        <w:numPr>
          <w:ilvl w:val="1"/>
          <w:numId w:val="102"/>
        </w:numPr>
        <w:tabs>
          <w:tab w:val="left" w:pos="1801"/>
          <w:tab w:val="left" w:pos="1802"/>
        </w:tabs>
        <w:spacing w:before="146" w:line="206" w:lineRule="auto"/>
        <w:ind w:right="1743"/>
        <w:rPr>
          <w:sz w:val="20"/>
        </w:rPr>
      </w:pPr>
      <w:r>
        <w:rPr>
          <w:color w:val="231F20"/>
          <w:sz w:val="20"/>
        </w:rPr>
        <w:t xml:space="preserve">The PSIO </w:t>
      </w:r>
      <w:r>
        <w:rPr>
          <w:color w:val="231F20"/>
          <w:spacing w:val="-2"/>
          <w:sz w:val="20"/>
        </w:rPr>
        <w:t xml:space="preserve">system </w:t>
      </w:r>
      <w:r>
        <w:rPr>
          <w:color w:val="231F20"/>
          <w:sz w:val="20"/>
        </w:rPr>
        <w:t>needs to become more focused</w:t>
      </w:r>
      <w:r>
        <w:rPr>
          <w:color w:val="231F20"/>
          <w:position w:val="7"/>
          <w:sz w:val="11"/>
        </w:rPr>
        <w:t xml:space="preserve">44 </w:t>
      </w:r>
      <w:r>
        <w:rPr>
          <w:color w:val="231F20"/>
          <w:sz w:val="20"/>
        </w:rPr>
        <w:t xml:space="preserve">to be able to distinguish ‘the </w:t>
      </w:r>
      <w:r>
        <w:rPr>
          <w:color w:val="231F20"/>
          <w:spacing w:val="-3"/>
          <w:sz w:val="20"/>
        </w:rPr>
        <w:t>relative</w:t>
      </w:r>
      <w:r>
        <w:rPr>
          <w:color w:val="231F20"/>
          <w:spacing w:val="-9"/>
          <w:sz w:val="20"/>
        </w:rPr>
        <w:t xml:space="preserve"> </w:t>
      </w:r>
      <w:r>
        <w:rPr>
          <w:color w:val="231F20"/>
          <w:sz w:val="20"/>
        </w:rPr>
        <w:t>importance</w:t>
      </w:r>
      <w:r>
        <w:rPr>
          <w:color w:val="231F20"/>
          <w:spacing w:val="-8"/>
          <w:sz w:val="20"/>
        </w:rPr>
        <w:t xml:space="preserve"> </w:t>
      </w:r>
      <w:r>
        <w:rPr>
          <w:color w:val="231F20"/>
          <w:sz w:val="20"/>
        </w:rPr>
        <w:t>of</w:t>
      </w:r>
      <w:r>
        <w:rPr>
          <w:color w:val="231F20"/>
          <w:spacing w:val="-8"/>
          <w:sz w:val="20"/>
        </w:rPr>
        <w:t xml:space="preserve"> </w:t>
      </w:r>
      <w:r>
        <w:rPr>
          <w:color w:val="231F20"/>
          <w:sz w:val="20"/>
        </w:rPr>
        <w:t>cases’.</w:t>
      </w:r>
      <w:r>
        <w:rPr>
          <w:color w:val="231F20"/>
          <w:position w:val="7"/>
          <w:sz w:val="11"/>
        </w:rPr>
        <w:t>45</w:t>
      </w:r>
      <w:r>
        <w:rPr>
          <w:color w:val="231F20"/>
          <w:spacing w:val="16"/>
          <w:position w:val="7"/>
          <w:sz w:val="11"/>
        </w:rPr>
        <w:t xml:space="preserve"> </w:t>
      </w:r>
      <w:r>
        <w:rPr>
          <w:color w:val="231F20"/>
          <w:sz w:val="20"/>
        </w:rPr>
        <w:t>It</w:t>
      </w:r>
      <w:r>
        <w:rPr>
          <w:color w:val="231F20"/>
          <w:spacing w:val="-9"/>
          <w:sz w:val="20"/>
        </w:rPr>
        <w:t xml:space="preserve"> </w:t>
      </w:r>
      <w:r>
        <w:rPr>
          <w:color w:val="231F20"/>
          <w:sz w:val="20"/>
        </w:rPr>
        <w:t>is</w:t>
      </w:r>
      <w:r>
        <w:rPr>
          <w:color w:val="231F20"/>
          <w:spacing w:val="-8"/>
          <w:sz w:val="20"/>
        </w:rPr>
        <w:t xml:space="preserve"> </w:t>
      </w:r>
      <w:r>
        <w:rPr>
          <w:color w:val="231F20"/>
          <w:sz w:val="20"/>
        </w:rPr>
        <w:t>essential</w:t>
      </w:r>
      <w:r>
        <w:rPr>
          <w:color w:val="231F20"/>
          <w:spacing w:val="-8"/>
          <w:sz w:val="20"/>
        </w:rPr>
        <w:t xml:space="preserve"> </w:t>
      </w:r>
      <w:r>
        <w:rPr>
          <w:color w:val="231F20"/>
          <w:sz w:val="20"/>
        </w:rPr>
        <w:t>to</w:t>
      </w:r>
      <w:r>
        <w:rPr>
          <w:color w:val="231F20"/>
          <w:spacing w:val="-8"/>
          <w:sz w:val="20"/>
        </w:rPr>
        <w:t xml:space="preserve"> </w:t>
      </w:r>
      <w:r>
        <w:rPr>
          <w:color w:val="231F20"/>
          <w:sz w:val="20"/>
        </w:rPr>
        <w:t>identify</w:t>
      </w:r>
      <w:r>
        <w:rPr>
          <w:color w:val="231F20"/>
          <w:spacing w:val="-8"/>
          <w:sz w:val="20"/>
        </w:rPr>
        <w:t xml:space="preserve"> </w:t>
      </w:r>
      <w:r>
        <w:rPr>
          <w:color w:val="231F20"/>
          <w:sz w:val="20"/>
        </w:rPr>
        <w:t>stalking</w:t>
      </w:r>
      <w:r>
        <w:rPr>
          <w:color w:val="231F20"/>
          <w:spacing w:val="-9"/>
          <w:sz w:val="20"/>
        </w:rPr>
        <w:t xml:space="preserve"> </w:t>
      </w:r>
      <w:r>
        <w:rPr>
          <w:color w:val="231F20"/>
          <w:sz w:val="20"/>
        </w:rPr>
        <w:t>cases</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 xml:space="preserve">court </w:t>
      </w:r>
      <w:r>
        <w:rPr>
          <w:color w:val="231F20"/>
          <w:spacing w:val="-2"/>
          <w:sz w:val="20"/>
        </w:rPr>
        <w:t>system</w:t>
      </w:r>
      <w:r>
        <w:rPr>
          <w:color w:val="231F20"/>
          <w:spacing w:val="-6"/>
          <w:sz w:val="20"/>
        </w:rPr>
        <w:t xml:space="preserve"> </w:t>
      </w:r>
      <w:r>
        <w:rPr>
          <w:color w:val="231F20"/>
          <w:sz w:val="20"/>
        </w:rPr>
        <w:t>so</w:t>
      </w:r>
      <w:r>
        <w:rPr>
          <w:color w:val="231F20"/>
          <w:spacing w:val="-5"/>
          <w:sz w:val="20"/>
        </w:rPr>
        <w:t xml:space="preserve"> </w:t>
      </w:r>
      <w:r>
        <w:rPr>
          <w:color w:val="231F20"/>
          <w:sz w:val="20"/>
        </w:rPr>
        <w:t>that</w:t>
      </w:r>
      <w:r>
        <w:rPr>
          <w:color w:val="231F20"/>
          <w:spacing w:val="-5"/>
          <w:sz w:val="20"/>
        </w:rPr>
        <w:t xml:space="preserve"> </w:t>
      </w:r>
      <w:r>
        <w:rPr>
          <w:color w:val="231F20"/>
          <w:sz w:val="20"/>
        </w:rPr>
        <w:t>they</w:t>
      </w:r>
      <w:r>
        <w:rPr>
          <w:color w:val="231F20"/>
          <w:spacing w:val="-5"/>
          <w:sz w:val="20"/>
        </w:rPr>
        <w:t xml:space="preserve"> </w:t>
      </w:r>
      <w:r>
        <w:rPr>
          <w:color w:val="231F20"/>
          <w:sz w:val="20"/>
        </w:rPr>
        <w:t>can</w:t>
      </w:r>
      <w:r>
        <w:rPr>
          <w:color w:val="231F20"/>
          <w:spacing w:val="-5"/>
          <w:sz w:val="20"/>
        </w:rPr>
        <w:t xml:space="preserve"> </w:t>
      </w:r>
      <w:r>
        <w:rPr>
          <w:color w:val="231F20"/>
          <w:spacing w:val="-3"/>
          <w:sz w:val="20"/>
        </w:rPr>
        <w:t>receive</w:t>
      </w:r>
      <w:r>
        <w:rPr>
          <w:color w:val="231F20"/>
          <w:spacing w:val="-5"/>
          <w:sz w:val="20"/>
        </w:rPr>
        <w:t xml:space="preserve"> </w:t>
      </w:r>
      <w:r>
        <w:rPr>
          <w:color w:val="231F20"/>
          <w:sz w:val="20"/>
        </w:rPr>
        <w:t>a</w:t>
      </w:r>
      <w:r>
        <w:rPr>
          <w:color w:val="231F20"/>
          <w:spacing w:val="-5"/>
          <w:sz w:val="20"/>
        </w:rPr>
        <w:t xml:space="preserve"> </w:t>
      </w:r>
      <w:r>
        <w:rPr>
          <w:color w:val="231F20"/>
          <w:sz w:val="20"/>
        </w:rPr>
        <w:t>specialised</w:t>
      </w:r>
      <w:r>
        <w:rPr>
          <w:color w:val="231F20"/>
          <w:spacing w:val="-5"/>
          <w:sz w:val="20"/>
        </w:rPr>
        <w:t xml:space="preserve"> </w:t>
      </w:r>
      <w:r>
        <w:rPr>
          <w:color w:val="231F20"/>
          <w:sz w:val="20"/>
        </w:rPr>
        <w:t>and</w:t>
      </w:r>
      <w:r>
        <w:rPr>
          <w:color w:val="231F20"/>
          <w:spacing w:val="-5"/>
          <w:sz w:val="20"/>
        </w:rPr>
        <w:t xml:space="preserve"> </w:t>
      </w:r>
      <w:r>
        <w:rPr>
          <w:color w:val="231F20"/>
          <w:sz w:val="20"/>
        </w:rPr>
        <w:t>tailored</w:t>
      </w:r>
      <w:r>
        <w:rPr>
          <w:color w:val="231F20"/>
          <w:spacing w:val="-5"/>
          <w:sz w:val="20"/>
        </w:rPr>
        <w:t xml:space="preserve"> </w:t>
      </w:r>
      <w:r>
        <w:rPr>
          <w:color w:val="231F20"/>
          <w:spacing w:val="-2"/>
          <w:sz w:val="20"/>
        </w:rPr>
        <w:t>response.</w:t>
      </w:r>
    </w:p>
    <w:p w14:paraId="15E46A64" w14:textId="77777777" w:rsidR="00894070" w:rsidRDefault="009B7AFD">
      <w:pPr>
        <w:pStyle w:val="ListParagraph"/>
        <w:numPr>
          <w:ilvl w:val="1"/>
          <w:numId w:val="102"/>
        </w:numPr>
        <w:tabs>
          <w:tab w:val="left" w:pos="1801"/>
          <w:tab w:val="left" w:pos="1802"/>
        </w:tabs>
        <w:spacing w:before="124" w:line="206" w:lineRule="auto"/>
        <w:ind w:right="1572"/>
        <w:rPr>
          <w:sz w:val="20"/>
        </w:rPr>
      </w:pPr>
      <w:r>
        <w:rPr>
          <w:color w:val="231F20"/>
          <w:spacing w:val="-3"/>
          <w:sz w:val="20"/>
        </w:rPr>
        <w:t>Several</w:t>
      </w:r>
      <w:r>
        <w:rPr>
          <w:color w:val="231F20"/>
          <w:spacing w:val="-10"/>
          <w:sz w:val="20"/>
        </w:rPr>
        <w:t xml:space="preserve"> </w:t>
      </w:r>
      <w:r>
        <w:rPr>
          <w:color w:val="231F20"/>
          <w:sz w:val="20"/>
        </w:rPr>
        <w:t>organisations</w:t>
      </w:r>
      <w:r>
        <w:rPr>
          <w:color w:val="231F20"/>
          <w:spacing w:val="-10"/>
          <w:sz w:val="20"/>
        </w:rPr>
        <w:t xml:space="preserve"> </w:t>
      </w:r>
      <w:r>
        <w:rPr>
          <w:color w:val="231F20"/>
          <w:sz w:val="20"/>
        </w:rPr>
        <w:t>and</w:t>
      </w:r>
      <w:r>
        <w:rPr>
          <w:color w:val="231F20"/>
          <w:spacing w:val="-9"/>
          <w:sz w:val="20"/>
        </w:rPr>
        <w:t xml:space="preserve"> </w:t>
      </w:r>
      <w:r>
        <w:rPr>
          <w:color w:val="231F20"/>
          <w:sz w:val="20"/>
        </w:rPr>
        <w:t>experts</w:t>
      </w:r>
      <w:r>
        <w:rPr>
          <w:color w:val="231F20"/>
          <w:spacing w:val="-10"/>
          <w:sz w:val="20"/>
        </w:rPr>
        <w:t xml:space="preserve"> </w:t>
      </w:r>
      <w:r>
        <w:rPr>
          <w:color w:val="231F20"/>
          <w:sz w:val="20"/>
        </w:rPr>
        <w:t>proposed</w:t>
      </w:r>
      <w:r>
        <w:rPr>
          <w:color w:val="231F20"/>
          <w:spacing w:val="-9"/>
          <w:sz w:val="20"/>
        </w:rPr>
        <w:t xml:space="preserve"> </w:t>
      </w:r>
      <w:r>
        <w:rPr>
          <w:color w:val="231F20"/>
          <w:sz w:val="20"/>
        </w:rPr>
        <w:t>that</w:t>
      </w:r>
      <w:r>
        <w:rPr>
          <w:color w:val="231F20"/>
          <w:spacing w:val="-10"/>
          <w:sz w:val="20"/>
        </w:rPr>
        <w:t xml:space="preserve"> </w:t>
      </w:r>
      <w:r>
        <w:rPr>
          <w:color w:val="231F20"/>
          <w:sz w:val="20"/>
        </w:rPr>
        <w:t>a</w:t>
      </w:r>
      <w:r>
        <w:rPr>
          <w:color w:val="231F20"/>
          <w:spacing w:val="-10"/>
          <w:sz w:val="20"/>
        </w:rPr>
        <w:t xml:space="preserve"> </w:t>
      </w:r>
      <w:r>
        <w:rPr>
          <w:color w:val="231F20"/>
          <w:sz w:val="20"/>
        </w:rPr>
        <w:t>risk</w:t>
      </w:r>
      <w:r>
        <w:rPr>
          <w:color w:val="231F20"/>
          <w:spacing w:val="-9"/>
          <w:sz w:val="20"/>
        </w:rPr>
        <w:t xml:space="preserve"> </w:t>
      </w:r>
      <w:r>
        <w:rPr>
          <w:color w:val="231F20"/>
          <w:sz w:val="20"/>
        </w:rPr>
        <w:t>assessment</w:t>
      </w:r>
      <w:r>
        <w:rPr>
          <w:color w:val="231F20"/>
          <w:spacing w:val="-10"/>
          <w:sz w:val="20"/>
        </w:rPr>
        <w:t xml:space="preserve"> </w:t>
      </w:r>
      <w:r>
        <w:rPr>
          <w:color w:val="231F20"/>
          <w:sz w:val="20"/>
        </w:rPr>
        <w:t>framework,</w:t>
      </w:r>
      <w:r>
        <w:rPr>
          <w:color w:val="231F20"/>
          <w:position w:val="7"/>
          <w:sz w:val="11"/>
        </w:rPr>
        <w:t>46</w:t>
      </w:r>
      <w:r>
        <w:rPr>
          <w:color w:val="231F20"/>
          <w:spacing w:val="15"/>
          <w:position w:val="7"/>
          <w:sz w:val="11"/>
        </w:rPr>
        <w:t xml:space="preserve"> </w:t>
      </w:r>
      <w:r>
        <w:rPr>
          <w:color w:val="231F20"/>
          <w:sz w:val="20"/>
        </w:rPr>
        <w:t>or screening or ‘triage’ system,</w:t>
      </w:r>
      <w:r>
        <w:rPr>
          <w:color w:val="231F20"/>
          <w:position w:val="7"/>
          <w:sz w:val="11"/>
        </w:rPr>
        <w:t xml:space="preserve">47 </w:t>
      </w:r>
      <w:r>
        <w:rPr>
          <w:color w:val="231F20"/>
          <w:sz w:val="20"/>
        </w:rPr>
        <w:t xml:space="preserve">should be developed. </w:t>
      </w:r>
      <w:r>
        <w:rPr>
          <w:color w:val="231F20"/>
          <w:spacing w:val="-6"/>
          <w:sz w:val="20"/>
        </w:rPr>
        <w:t xml:space="preserve">We </w:t>
      </w:r>
      <w:r>
        <w:rPr>
          <w:color w:val="231F20"/>
          <w:sz w:val="20"/>
        </w:rPr>
        <w:t>heard this</w:t>
      </w:r>
      <w:r>
        <w:rPr>
          <w:color w:val="231F20"/>
          <w:spacing w:val="-33"/>
          <w:sz w:val="20"/>
        </w:rPr>
        <w:t xml:space="preserve"> </w:t>
      </w:r>
      <w:r>
        <w:rPr>
          <w:color w:val="231F20"/>
          <w:spacing w:val="-3"/>
          <w:sz w:val="20"/>
        </w:rPr>
        <w:t>would:</w:t>
      </w:r>
    </w:p>
    <w:p w14:paraId="76D246C8" w14:textId="77777777" w:rsidR="00894070" w:rsidRDefault="009B7AFD">
      <w:pPr>
        <w:pStyle w:val="ListParagraph"/>
        <w:numPr>
          <w:ilvl w:val="2"/>
          <w:numId w:val="102"/>
        </w:numPr>
        <w:tabs>
          <w:tab w:val="left" w:pos="2141"/>
          <w:tab w:val="left" w:pos="2142"/>
        </w:tabs>
        <w:spacing w:before="90"/>
        <w:ind w:hanging="340"/>
        <w:rPr>
          <w:sz w:val="11"/>
        </w:rPr>
      </w:pPr>
      <w:r>
        <w:rPr>
          <w:color w:val="231F20"/>
          <w:sz w:val="20"/>
        </w:rPr>
        <w:t xml:space="preserve">help identify stalking and </w:t>
      </w:r>
      <w:r>
        <w:rPr>
          <w:color w:val="231F20"/>
          <w:spacing w:val="-3"/>
          <w:sz w:val="20"/>
        </w:rPr>
        <w:t xml:space="preserve">how </w:t>
      </w:r>
      <w:r>
        <w:rPr>
          <w:color w:val="231F20"/>
          <w:sz w:val="20"/>
        </w:rPr>
        <w:t>to manage</w:t>
      </w:r>
      <w:r>
        <w:rPr>
          <w:color w:val="231F20"/>
          <w:spacing w:val="-27"/>
          <w:sz w:val="20"/>
        </w:rPr>
        <w:t xml:space="preserve"> </w:t>
      </w:r>
      <w:r>
        <w:rPr>
          <w:color w:val="231F20"/>
          <w:sz w:val="20"/>
        </w:rPr>
        <w:t>it</w:t>
      </w:r>
      <w:r>
        <w:rPr>
          <w:color w:val="231F20"/>
          <w:position w:val="7"/>
          <w:sz w:val="11"/>
        </w:rPr>
        <w:t>48</w:t>
      </w:r>
    </w:p>
    <w:p w14:paraId="7BF2594B" w14:textId="77777777" w:rsidR="00894070" w:rsidRDefault="009B7AFD">
      <w:pPr>
        <w:pStyle w:val="ListParagraph"/>
        <w:numPr>
          <w:ilvl w:val="2"/>
          <w:numId w:val="102"/>
        </w:numPr>
        <w:tabs>
          <w:tab w:val="left" w:pos="2141"/>
          <w:tab w:val="left" w:pos="2142"/>
        </w:tabs>
        <w:spacing w:before="47"/>
        <w:ind w:hanging="340"/>
        <w:rPr>
          <w:sz w:val="11"/>
        </w:rPr>
      </w:pPr>
      <w:r>
        <w:rPr>
          <w:color w:val="231F20"/>
          <w:sz w:val="20"/>
        </w:rPr>
        <w:t>help</w:t>
      </w:r>
      <w:r>
        <w:rPr>
          <w:color w:val="231F20"/>
          <w:spacing w:val="-5"/>
          <w:sz w:val="20"/>
        </w:rPr>
        <w:t xml:space="preserve"> </w:t>
      </w:r>
      <w:r>
        <w:rPr>
          <w:color w:val="231F20"/>
          <w:sz w:val="20"/>
        </w:rPr>
        <w:t>identify</w:t>
      </w:r>
      <w:r>
        <w:rPr>
          <w:color w:val="231F20"/>
          <w:spacing w:val="-5"/>
          <w:sz w:val="20"/>
        </w:rPr>
        <w:t xml:space="preserve"> </w:t>
      </w:r>
      <w:r>
        <w:rPr>
          <w:color w:val="231F20"/>
          <w:sz w:val="20"/>
        </w:rPr>
        <w:t>which</w:t>
      </w:r>
      <w:r>
        <w:rPr>
          <w:color w:val="231F20"/>
          <w:spacing w:val="-5"/>
          <w:sz w:val="20"/>
        </w:rPr>
        <w:t xml:space="preserve"> </w:t>
      </w:r>
      <w:r>
        <w:rPr>
          <w:color w:val="231F20"/>
          <w:sz w:val="20"/>
        </w:rPr>
        <w:t>disputes</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suitable</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mediation</w:t>
      </w:r>
      <w:r>
        <w:rPr>
          <w:color w:val="231F20"/>
          <w:spacing w:val="-5"/>
          <w:sz w:val="20"/>
        </w:rPr>
        <w:t xml:space="preserve"> </w:t>
      </w:r>
      <w:r>
        <w:rPr>
          <w:color w:val="231F20"/>
          <w:sz w:val="20"/>
        </w:rPr>
        <w:t>(discussed</w:t>
      </w:r>
      <w:r>
        <w:rPr>
          <w:color w:val="231F20"/>
          <w:spacing w:val="-5"/>
          <w:sz w:val="20"/>
        </w:rPr>
        <w:t xml:space="preserve"> </w:t>
      </w:r>
      <w:r>
        <w:rPr>
          <w:color w:val="231F20"/>
          <w:sz w:val="20"/>
        </w:rPr>
        <w:t>next)</w:t>
      </w:r>
      <w:r>
        <w:rPr>
          <w:color w:val="231F20"/>
          <w:position w:val="7"/>
          <w:sz w:val="11"/>
        </w:rPr>
        <w:t>49</w:t>
      </w:r>
    </w:p>
    <w:p w14:paraId="1B588F27" w14:textId="77777777" w:rsidR="00894070" w:rsidRDefault="009B7AFD">
      <w:pPr>
        <w:pStyle w:val="ListParagraph"/>
        <w:numPr>
          <w:ilvl w:val="2"/>
          <w:numId w:val="102"/>
        </w:numPr>
        <w:tabs>
          <w:tab w:val="left" w:pos="2141"/>
          <w:tab w:val="left" w:pos="2142"/>
        </w:tabs>
        <w:spacing w:before="48"/>
        <w:ind w:hanging="340"/>
        <w:rPr>
          <w:sz w:val="11"/>
        </w:rPr>
      </w:pPr>
      <w:r>
        <w:rPr>
          <w:color w:val="231F20"/>
          <w:sz w:val="20"/>
        </w:rPr>
        <w:t>ensure</w:t>
      </w:r>
      <w:r>
        <w:rPr>
          <w:color w:val="231F20"/>
          <w:spacing w:val="-6"/>
          <w:sz w:val="20"/>
        </w:rPr>
        <w:t xml:space="preserve"> </w:t>
      </w:r>
      <w:r>
        <w:rPr>
          <w:color w:val="231F20"/>
          <w:sz w:val="20"/>
        </w:rPr>
        <w:t>that</w:t>
      </w:r>
      <w:r>
        <w:rPr>
          <w:color w:val="231F20"/>
          <w:spacing w:val="-5"/>
          <w:sz w:val="20"/>
        </w:rPr>
        <w:t xml:space="preserve"> </w:t>
      </w:r>
      <w:r>
        <w:rPr>
          <w:color w:val="231F20"/>
          <w:sz w:val="20"/>
        </w:rPr>
        <w:t>the</w:t>
      </w:r>
      <w:r>
        <w:rPr>
          <w:color w:val="231F20"/>
          <w:spacing w:val="-5"/>
          <w:sz w:val="20"/>
        </w:rPr>
        <w:t xml:space="preserve"> </w:t>
      </w:r>
      <w:r>
        <w:rPr>
          <w:color w:val="231F20"/>
          <w:sz w:val="20"/>
        </w:rPr>
        <w:t>PSIO</w:t>
      </w:r>
      <w:r>
        <w:rPr>
          <w:color w:val="231F20"/>
          <w:spacing w:val="-6"/>
          <w:sz w:val="20"/>
        </w:rPr>
        <w:t xml:space="preserve"> </w:t>
      </w:r>
      <w:r>
        <w:rPr>
          <w:color w:val="231F20"/>
          <w:spacing w:val="-2"/>
          <w:sz w:val="20"/>
        </w:rPr>
        <w:t>system</w:t>
      </w:r>
      <w:r>
        <w:rPr>
          <w:color w:val="231F20"/>
          <w:spacing w:val="-5"/>
          <w:sz w:val="20"/>
        </w:rPr>
        <w:t xml:space="preserve"> </w:t>
      </w:r>
      <w:r>
        <w:rPr>
          <w:color w:val="231F20"/>
          <w:sz w:val="20"/>
        </w:rPr>
        <w:t>deals</w:t>
      </w:r>
      <w:r>
        <w:rPr>
          <w:color w:val="231F20"/>
          <w:spacing w:val="-5"/>
          <w:sz w:val="20"/>
        </w:rPr>
        <w:t xml:space="preserve"> </w:t>
      </w:r>
      <w:r>
        <w:rPr>
          <w:color w:val="231F20"/>
          <w:sz w:val="20"/>
        </w:rPr>
        <w:t>with</w:t>
      </w:r>
      <w:r>
        <w:rPr>
          <w:color w:val="231F20"/>
          <w:spacing w:val="-5"/>
          <w:sz w:val="20"/>
        </w:rPr>
        <w:t xml:space="preserve"> </w:t>
      </w:r>
      <w:r>
        <w:rPr>
          <w:color w:val="231F20"/>
          <w:sz w:val="20"/>
        </w:rPr>
        <w:t>cases</w:t>
      </w:r>
      <w:r>
        <w:rPr>
          <w:color w:val="231F20"/>
          <w:spacing w:val="-6"/>
          <w:sz w:val="20"/>
        </w:rPr>
        <w:t xml:space="preserve"> </w:t>
      </w:r>
      <w:r>
        <w:rPr>
          <w:color w:val="231F20"/>
          <w:sz w:val="20"/>
        </w:rPr>
        <w:t>where</w:t>
      </w:r>
      <w:r>
        <w:rPr>
          <w:color w:val="231F20"/>
          <w:spacing w:val="-5"/>
          <w:sz w:val="20"/>
        </w:rPr>
        <w:t xml:space="preserve"> </w:t>
      </w:r>
      <w:r>
        <w:rPr>
          <w:color w:val="231F20"/>
          <w:sz w:val="20"/>
        </w:rPr>
        <w:t>personal</w:t>
      </w:r>
      <w:r>
        <w:rPr>
          <w:color w:val="231F20"/>
          <w:spacing w:val="-5"/>
          <w:sz w:val="20"/>
        </w:rPr>
        <w:t xml:space="preserve"> </w:t>
      </w:r>
      <w:r>
        <w:rPr>
          <w:color w:val="231F20"/>
          <w:sz w:val="20"/>
        </w:rPr>
        <w:t>safety</w:t>
      </w:r>
      <w:r>
        <w:rPr>
          <w:color w:val="231F20"/>
          <w:spacing w:val="-6"/>
          <w:sz w:val="20"/>
        </w:rPr>
        <w:t xml:space="preserve"> </w:t>
      </w:r>
      <w:r>
        <w:rPr>
          <w:color w:val="231F20"/>
          <w:sz w:val="20"/>
        </w:rPr>
        <w:t>is</w:t>
      </w:r>
      <w:r>
        <w:rPr>
          <w:color w:val="231F20"/>
          <w:spacing w:val="-5"/>
          <w:sz w:val="20"/>
        </w:rPr>
        <w:t xml:space="preserve"> </w:t>
      </w:r>
      <w:r>
        <w:rPr>
          <w:color w:val="231F20"/>
          <w:sz w:val="20"/>
        </w:rPr>
        <w:t>at</w:t>
      </w:r>
      <w:r>
        <w:rPr>
          <w:color w:val="231F20"/>
          <w:spacing w:val="-5"/>
          <w:sz w:val="20"/>
        </w:rPr>
        <w:t xml:space="preserve"> </w:t>
      </w:r>
      <w:r>
        <w:rPr>
          <w:color w:val="231F20"/>
          <w:sz w:val="20"/>
        </w:rPr>
        <w:t>risk.</w:t>
      </w:r>
      <w:r>
        <w:rPr>
          <w:color w:val="231F20"/>
          <w:position w:val="7"/>
          <w:sz w:val="11"/>
        </w:rPr>
        <w:t>50</w:t>
      </w:r>
    </w:p>
    <w:p w14:paraId="2F789D37" w14:textId="77777777" w:rsidR="00894070" w:rsidRDefault="009B7AFD">
      <w:pPr>
        <w:pStyle w:val="ListParagraph"/>
        <w:numPr>
          <w:ilvl w:val="1"/>
          <w:numId w:val="102"/>
        </w:numPr>
        <w:tabs>
          <w:tab w:val="left" w:pos="1801"/>
          <w:tab w:val="left" w:pos="1802"/>
        </w:tabs>
        <w:spacing w:before="79" w:line="206" w:lineRule="auto"/>
        <w:ind w:right="1414"/>
        <w:rPr>
          <w:sz w:val="11"/>
        </w:rPr>
      </w:pPr>
      <w:proofErr w:type="gramStart"/>
      <w:r>
        <w:rPr>
          <w:color w:val="231F20"/>
          <w:sz w:val="20"/>
        </w:rPr>
        <w:t>A</w:t>
      </w:r>
      <w:r>
        <w:rPr>
          <w:color w:val="231F20"/>
          <w:spacing w:val="-8"/>
          <w:sz w:val="20"/>
        </w:rPr>
        <w:t xml:space="preserve"> </w:t>
      </w:r>
      <w:r>
        <w:rPr>
          <w:color w:val="231F20"/>
          <w:sz w:val="20"/>
        </w:rPr>
        <w:t>number</w:t>
      </w:r>
      <w:r>
        <w:rPr>
          <w:color w:val="231F20"/>
          <w:spacing w:val="-7"/>
          <w:sz w:val="20"/>
        </w:rPr>
        <w:t xml:space="preserve"> </w:t>
      </w:r>
      <w:r>
        <w:rPr>
          <w:color w:val="231F20"/>
          <w:sz w:val="20"/>
        </w:rPr>
        <w:t>of</w:t>
      </w:r>
      <w:proofErr w:type="gramEnd"/>
      <w:r>
        <w:rPr>
          <w:color w:val="231F20"/>
          <w:spacing w:val="-7"/>
          <w:sz w:val="20"/>
        </w:rPr>
        <w:t xml:space="preserve"> </w:t>
      </w:r>
      <w:r>
        <w:rPr>
          <w:color w:val="231F20"/>
          <w:sz w:val="20"/>
        </w:rPr>
        <w:t>organisations</w:t>
      </w:r>
      <w:r>
        <w:rPr>
          <w:color w:val="231F20"/>
          <w:spacing w:val="-8"/>
          <w:sz w:val="20"/>
        </w:rPr>
        <w:t xml:space="preserve"> </w:t>
      </w:r>
      <w:r>
        <w:rPr>
          <w:color w:val="231F20"/>
          <w:sz w:val="20"/>
        </w:rPr>
        <w:t>saw</w:t>
      </w:r>
      <w:r>
        <w:rPr>
          <w:color w:val="231F20"/>
          <w:spacing w:val="-7"/>
          <w:sz w:val="20"/>
        </w:rPr>
        <w:t xml:space="preserve"> </w:t>
      </w:r>
      <w:r>
        <w:rPr>
          <w:color w:val="231F20"/>
          <w:sz w:val="20"/>
        </w:rPr>
        <w:t>value</w:t>
      </w:r>
      <w:r>
        <w:rPr>
          <w:color w:val="231F20"/>
          <w:spacing w:val="-7"/>
          <w:sz w:val="20"/>
        </w:rPr>
        <w:t xml:space="preserve"> </w:t>
      </w:r>
      <w:r>
        <w:rPr>
          <w:color w:val="231F20"/>
          <w:sz w:val="20"/>
        </w:rPr>
        <w:t>in</w:t>
      </w:r>
      <w:r>
        <w:rPr>
          <w:color w:val="231F20"/>
          <w:spacing w:val="-7"/>
          <w:sz w:val="20"/>
        </w:rPr>
        <w:t xml:space="preserve"> </w:t>
      </w:r>
      <w:r>
        <w:rPr>
          <w:color w:val="231F20"/>
          <w:spacing w:val="-3"/>
          <w:sz w:val="20"/>
        </w:rPr>
        <w:t>developing</w:t>
      </w:r>
      <w:r>
        <w:rPr>
          <w:color w:val="231F20"/>
          <w:spacing w:val="-8"/>
          <w:sz w:val="20"/>
        </w:rPr>
        <w:t xml:space="preserve"> </w:t>
      </w:r>
      <w:r>
        <w:rPr>
          <w:color w:val="231F20"/>
          <w:sz w:val="20"/>
        </w:rPr>
        <w:t>a</w:t>
      </w:r>
      <w:r>
        <w:rPr>
          <w:color w:val="231F20"/>
          <w:spacing w:val="-7"/>
          <w:sz w:val="20"/>
        </w:rPr>
        <w:t xml:space="preserve"> </w:t>
      </w:r>
      <w:r>
        <w:rPr>
          <w:color w:val="231F20"/>
          <w:spacing w:val="-3"/>
          <w:sz w:val="20"/>
        </w:rPr>
        <w:t>framework</w:t>
      </w:r>
      <w:r>
        <w:rPr>
          <w:color w:val="231F20"/>
          <w:spacing w:val="-7"/>
          <w:sz w:val="20"/>
        </w:rPr>
        <w:t xml:space="preserve"> </w:t>
      </w:r>
      <w:r>
        <w:rPr>
          <w:color w:val="231F20"/>
          <w:sz w:val="20"/>
        </w:rPr>
        <w:t>similar</w:t>
      </w:r>
      <w:r>
        <w:rPr>
          <w:color w:val="231F20"/>
          <w:spacing w:val="-8"/>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pacing w:val="-4"/>
          <w:sz w:val="20"/>
        </w:rPr>
        <w:t xml:space="preserve">Family </w:t>
      </w:r>
      <w:r>
        <w:rPr>
          <w:color w:val="231F20"/>
          <w:sz w:val="20"/>
        </w:rPr>
        <w:t xml:space="preserve">Violence Multi-Agency Risk Assessment and Management (MARAM) </w:t>
      </w:r>
      <w:r>
        <w:rPr>
          <w:color w:val="231F20"/>
          <w:spacing w:val="-3"/>
          <w:sz w:val="20"/>
        </w:rPr>
        <w:t xml:space="preserve">framework for </w:t>
      </w:r>
      <w:r>
        <w:rPr>
          <w:color w:val="231F20"/>
          <w:sz w:val="20"/>
        </w:rPr>
        <w:t>stalking.</w:t>
      </w:r>
      <w:r>
        <w:rPr>
          <w:color w:val="231F20"/>
          <w:position w:val="7"/>
          <w:sz w:val="11"/>
        </w:rPr>
        <w:t xml:space="preserve">51 </w:t>
      </w:r>
      <w:r>
        <w:rPr>
          <w:color w:val="231F20"/>
          <w:sz w:val="20"/>
        </w:rPr>
        <w:t xml:space="preserve">The MARAM is designed to support services and practitioners to </w:t>
      </w:r>
      <w:r>
        <w:rPr>
          <w:color w:val="231F20"/>
          <w:spacing w:val="-3"/>
          <w:sz w:val="20"/>
        </w:rPr>
        <w:t xml:space="preserve">identify, </w:t>
      </w:r>
      <w:r>
        <w:rPr>
          <w:color w:val="231F20"/>
          <w:sz w:val="20"/>
        </w:rPr>
        <w:t>assess</w:t>
      </w:r>
      <w:r>
        <w:rPr>
          <w:color w:val="231F20"/>
          <w:spacing w:val="-5"/>
          <w:sz w:val="20"/>
        </w:rPr>
        <w:t xml:space="preserve"> </w:t>
      </w:r>
      <w:r>
        <w:rPr>
          <w:color w:val="231F20"/>
          <w:sz w:val="20"/>
        </w:rPr>
        <w:t>and</w:t>
      </w:r>
      <w:r>
        <w:rPr>
          <w:color w:val="231F20"/>
          <w:spacing w:val="-5"/>
          <w:sz w:val="20"/>
        </w:rPr>
        <w:t xml:space="preserve"> </w:t>
      </w:r>
      <w:r>
        <w:rPr>
          <w:color w:val="231F20"/>
          <w:sz w:val="20"/>
        </w:rPr>
        <w:t>manage</w:t>
      </w:r>
      <w:r>
        <w:rPr>
          <w:color w:val="231F20"/>
          <w:spacing w:val="-5"/>
          <w:sz w:val="20"/>
        </w:rPr>
        <w:t xml:space="preserve"> </w:t>
      </w:r>
      <w:r>
        <w:rPr>
          <w:color w:val="231F20"/>
          <w:spacing w:val="-3"/>
          <w:sz w:val="20"/>
        </w:rPr>
        <w:t>family</w:t>
      </w:r>
      <w:r>
        <w:rPr>
          <w:color w:val="231F20"/>
          <w:spacing w:val="-5"/>
          <w:sz w:val="20"/>
        </w:rPr>
        <w:t xml:space="preserve"> </w:t>
      </w:r>
      <w:r>
        <w:rPr>
          <w:color w:val="231F20"/>
          <w:sz w:val="20"/>
        </w:rPr>
        <w:t>violence</w:t>
      </w:r>
      <w:r>
        <w:rPr>
          <w:color w:val="231F20"/>
          <w:spacing w:val="-5"/>
          <w:sz w:val="20"/>
        </w:rPr>
        <w:t xml:space="preserve"> </w:t>
      </w:r>
      <w:r>
        <w:rPr>
          <w:color w:val="231F20"/>
          <w:sz w:val="20"/>
        </w:rPr>
        <w:t>risk</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6"/>
          <w:sz w:val="20"/>
        </w:rPr>
        <w:t xml:space="preserve"> </w:t>
      </w:r>
      <w:r>
        <w:rPr>
          <w:color w:val="231F20"/>
          <w:sz w:val="20"/>
        </w:rPr>
        <w:t>victim</w:t>
      </w:r>
      <w:r>
        <w:rPr>
          <w:color w:val="231F20"/>
          <w:spacing w:val="-5"/>
          <w:sz w:val="20"/>
        </w:rPr>
        <w:t xml:space="preserve"> </w:t>
      </w:r>
      <w:r>
        <w:rPr>
          <w:color w:val="231F20"/>
          <w:sz w:val="20"/>
        </w:rPr>
        <w:t>survivor.</w:t>
      </w:r>
      <w:r>
        <w:rPr>
          <w:color w:val="231F20"/>
          <w:position w:val="7"/>
          <w:sz w:val="11"/>
        </w:rPr>
        <w:t>52</w:t>
      </w:r>
    </w:p>
    <w:p w14:paraId="41341CD9" w14:textId="77777777" w:rsidR="00894070" w:rsidRDefault="009B7AFD">
      <w:pPr>
        <w:pStyle w:val="ListParagraph"/>
        <w:numPr>
          <w:ilvl w:val="1"/>
          <w:numId w:val="102"/>
        </w:numPr>
        <w:tabs>
          <w:tab w:val="left" w:pos="1801"/>
          <w:tab w:val="left" w:pos="1802"/>
        </w:tabs>
        <w:spacing w:before="125" w:line="206" w:lineRule="auto"/>
        <w:ind w:right="1507"/>
        <w:rPr>
          <w:sz w:val="20"/>
        </w:rPr>
      </w:pPr>
      <w:r>
        <w:rPr>
          <w:color w:val="231F20"/>
          <w:sz w:val="20"/>
        </w:rPr>
        <w:t xml:space="preserve">The </w:t>
      </w:r>
      <w:r>
        <w:rPr>
          <w:color w:val="231F20"/>
          <w:spacing w:val="-3"/>
          <w:sz w:val="20"/>
        </w:rPr>
        <w:t xml:space="preserve">Magistrates’ </w:t>
      </w:r>
      <w:r>
        <w:rPr>
          <w:color w:val="231F20"/>
          <w:sz w:val="20"/>
        </w:rPr>
        <w:t xml:space="preserve">Court </w:t>
      </w:r>
      <w:r>
        <w:rPr>
          <w:color w:val="231F20"/>
          <w:spacing w:val="-3"/>
          <w:sz w:val="20"/>
        </w:rPr>
        <w:t xml:space="preserve">strongly </w:t>
      </w:r>
      <w:r>
        <w:rPr>
          <w:color w:val="231F20"/>
          <w:sz w:val="20"/>
        </w:rPr>
        <w:t xml:space="preserve">supported a </w:t>
      </w:r>
      <w:r>
        <w:rPr>
          <w:color w:val="231F20"/>
          <w:spacing w:val="-3"/>
          <w:sz w:val="20"/>
        </w:rPr>
        <w:t xml:space="preserve">framework </w:t>
      </w:r>
      <w:r>
        <w:rPr>
          <w:color w:val="231F20"/>
          <w:sz w:val="20"/>
        </w:rPr>
        <w:t>that could enable all parts of</w:t>
      </w:r>
      <w:r>
        <w:rPr>
          <w:color w:val="231F20"/>
          <w:spacing w:val="-10"/>
          <w:sz w:val="20"/>
        </w:rPr>
        <w:t xml:space="preserve"> </w:t>
      </w:r>
      <w:r>
        <w:rPr>
          <w:color w:val="231F20"/>
          <w:sz w:val="20"/>
        </w:rPr>
        <w:t>the</w:t>
      </w:r>
      <w:r>
        <w:rPr>
          <w:color w:val="231F20"/>
          <w:spacing w:val="-9"/>
          <w:sz w:val="20"/>
        </w:rPr>
        <w:t xml:space="preserve"> </w:t>
      </w:r>
      <w:r>
        <w:rPr>
          <w:color w:val="231F20"/>
          <w:sz w:val="20"/>
        </w:rPr>
        <w:t>system—including</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court—to</w:t>
      </w:r>
      <w:r>
        <w:rPr>
          <w:color w:val="231F20"/>
          <w:spacing w:val="-10"/>
          <w:sz w:val="20"/>
        </w:rPr>
        <w:t xml:space="preserve"> </w:t>
      </w:r>
      <w:r>
        <w:rPr>
          <w:color w:val="231F20"/>
          <w:sz w:val="20"/>
        </w:rPr>
        <w:t>identify</w:t>
      </w:r>
      <w:r>
        <w:rPr>
          <w:color w:val="231F20"/>
          <w:spacing w:val="-9"/>
          <w:sz w:val="20"/>
        </w:rPr>
        <w:t xml:space="preserve"> </w:t>
      </w:r>
      <w:r>
        <w:rPr>
          <w:color w:val="231F20"/>
          <w:sz w:val="20"/>
        </w:rPr>
        <w:t>high</w:t>
      </w:r>
      <w:r>
        <w:rPr>
          <w:color w:val="231F20"/>
          <w:spacing w:val="-9"/>
          <w:sz w:val="20"/>
        </w:rPr>
        <w:t xml:space="preserve"> </w:t>
      </w:r>
      <w:r>
        <w:rPr>
          <w:color w:val="231F20"/>
          <w:sz w:val="20"/>
        </w:rPr>
        <w:t>risk</w:t>
      </w:r>
      <w:r>
        <w:rPr>
          <w:color w:val="231F20"/>
          <w:spacing w:val="-9"/>
          <w:sz w:val="20"/>
        </w:rPr>
        <w:t xml:space="preserve"> </w:t>
      </w:r>
      <w:r>
        <w:rPr>
          <w:color w:val="231F20"/>
          <w:sz w:val="20"/>
        </w:rPr>
        <w:t>stalking</w:t>
      </w:r>
      <w:r>
        <w:rPr>
          <w:color w:val="231F20"/>
          <w:spacing w:val="-10"/>
          <w:sz w:val="20"/>
        </w:rPr>
        <w:t xml:space="preserve"> </w:t>
      </w:r>
      <w:r>
        <w:rPr>
          <w:color w:val="231F20"/>
          <w:sz w:val="20"/>
        </w:rPr>
        <w:t>and</w:t>
      </w:r>
      <w:r>
        <w:rPr>
          <w:color w:val="231F20"/>
          <w:spacing w:val="-9"/>
          <w:sz w:val="20"/>
        </w:rPr>
        <w:t xml:space="preserve"> </w:t>
      </w:r>
      <w:r>
        <w:rPr>
          <w:color w:val="231F20"/>
          <w:spacing w:val="-3"/>
          <w:sz w:val="20"/>
        </w:rPr>
        <w:t>provide</w:t>
      </w:r>
      <w:r>
        <w:rPr>
          <w:color w:val="231F20"/>
          <w:spacing w:val="-9"/>
          <w:sz w:val="20"/>
        </w:rPr>
        <w:t xml:space="preserve"> </w:t>
      </w:r>
      <w:r>
        <w:rPr>
          <w:color w:val="231F20"/>
          <w:sz w:val="20"/>
        </w:rPr>
        <w:t>a</w:t>
      </w:r>
      <w:r>
        <w:rPr>
          <w:color w:val="231F20"/>
          <w:spacing w:val="-9"/>
          <w:sz w:val="20"/>
        </w:rPr>
        <w:t xml:space="preserve"> </w:t>
      </w:r>
      <w:r>
        <w:rPr>
          <w:color w:val="231F20"/>
          <w:sz w:val="20"/>
        </w:rPr>
        <w:t xml:space="preserve">more </w:t>
      </w:r>
      <w:r>
        <w:rPr>
          <w:color w:val="231F20"/>
          <w:spacing w:val="-3"/>
          <w:sz w:val="20"/>
        </w:rPr>
        <w:t xml:space="preserve">resource-intensive, </w:t>
      </w:r>
      <w:r>
        <w:rPr>
          <w:color w:val="231F20"/>
          <w:sz w:val="20"/>
        </w:rPr>
        <w:t xml:space="preserve">specialist response </w:t>
      </w:r>
      <w:r>
        <w:rPr>
          <w:color w:val="231F20"/>
          <w:spacing w:val="-3"/>
          <w:sz w:val="20"/>
        </w:rPr>
        <w:t xml:space="preserve">for </w:t>
      </w:r>
      <w:r>
        <w:rPr>
          <w:color w:val="231F20"/>
          <w:sz w:val="20"/>
        </w:rPr>
        <w:t>these matters. It</w:t>
      </w:r>
      <w:r>
        <w:rPr>
          <w:color w:val="231F20"/>
          <w:spacing w:val="-28"/>
          <w:sz w:val="20"/>
        </w:rPr>
        <w:t xml:space="preserve"> </w:t>
      </w:r>
      <w:r>
        <w:rPr>
          <w:color w:val="231F20"/>
          <w:sz w:val="20"/>
        </w:rPr>
        <w:t>said:</w:t>
      </w:r>
    </w:p>
    <w:p w14:paraId="074390D2" w14:textId="77777777" w:rsidR="00894070" w:rsidRDefault="009B7AFD">
      <w:pPr>
        <w:spacing w:before="122" w:line="208" w:lineRule="auto"/>
        <w:ind w:left="2254" w:right="1219"/>
        <w:rPr>
          <w:sz w:val="11"/>
        </w:rPr>
      </w:pPr>
      <w:r>
        <w:rPr>
          <w:color w:val="231F20"/>
          <w:sz w:val="19"/>
        </w:rPr>
        <w:t>We need a way to identify flags indicating risk that might come up in a particular case. When [Magistrates’ Court] staff see these flags, they have a sense of the risk. But we need greater rigour around that.</w:t>
      </w:r>
      <w:r>
        <w:rPr>
          <w:color w:val="231F20"/>
          <w:position w:val="6"/>
          <w:sz w:val="11"/>
        </w:rPr>
        <w:t>53</w:t>
      </w:r>
    </w:p>
    <w:p w14:paraId="46176F8D" w14:textId="77777777" w:rsidR="00894070" w:rsidRDefault="009B7AFD">
      <w:pPr>
        <w:pStyle w:val="ListParagraph"/>
        <w:numPr>
          <w:ilvl w:val="1"/>
          <w:numId w:val="102"/>
        </w:numPr>
        <w:tabs>
          <w:tab w:val="left" w:pos="1802"/>
        </w:tabs>
        <w:spacing w:before="124" w:line="206" w:lineRule="auto"/>
        <w:ind w:right="1428"/>
        <w:jc w:val="both"/>
        <w:rPr>
          <w:sz w:val="11"/>
        </w:rPr>
      </w:pPr>
      <w:r>
        <w:rPr>
          <w:color w:val="231F20"/>
          <w:spacing w:val="-3"/>
          <w:sz w:val="20"/>
        </w:rPr>
        <w:t>Forensicare</w:t>
      </w:r>
      <w:r>
        <w:rPr>
          <w:color w:val="231F20"/>
          <w:spacing w:val="-8"/>
          <w:sz w:val="20"/>
        </w:rPr>
        <w:t xml:space="preserve"> </w:t>
      </w:r>
      <w:r>
        <w:rPr>
          <w:color w:val="231F20"/>
          <w:sz w:val="20"/>
        </w:rPr>
        <w:t>and</w:t>
      </w:r>
      <w:r>
        <w:rPr>
          <w:color w:val="231F20"/>
          <w:spacing w:val="-8"/>
          <w:sz w:val="20"/>
        </w:rPr>
        <w:t xml:space="preserve"> </w:t>
      </w:r>
      <w:r>
        <w:rPr>
          <w:color w:val="231F20"/>
          <w:sz w:val="20"/>
        </w:rPr>
        <w:t>the</w:t>
      </w:r>
      <w:r>
        <w:rPr>
          <w:color w:val="231F20"/>
          <w:spacing w:val="-7"/>
          <w:sz w:val="20"/>
        </w:rPr>
        <w:t xml:space="preserve"> </w:t>
      </w:r>
      <w:r>
        <w:rPr>
          <w:color w:val="231F20"/>
          <w:spacing w:val="-3"/>
          <w:sz w:val="20"/>
        </w:rPr>
        <w:t>Centre</w:t>
      </w:r>
      <w:r>
        <w:rPr>
          <w:color w:val="231F20"/>
          <w:spacing w:val="-8"/>
          <w:sz w:val="20"/>
        </w:rPr>
        <w:t xml:space="preserve"> </w:t>
      </w:r>
      <w:r>
        <w:rPr>
          <w:color w:val="231F20"/>
          <w:spacing w:val="-3"/>
          <w:sz w:val="20"/>
        </w:rPr>
        <w:t>for</w:t>
      </w:r>
      <w:r>
        <w:rPr>
          <w:color w:val="231F20"/>
          <w:spacing w:val="-7"/>
          <w:sz w:val="20"/>
        </w:rPr>
        <w:t xml:space="preserve"> </w:t>
      </w:r>
      <w:r>
        <w:rPr>
          <w:color w:val="231F20"/>
          <w:spacing w:val="-3"/>
          <w:sz w:val="20"/>
        </w:rPr>
        <w:t>Forensic</w:t>
      </w:r>
      <w:r>
        <w:rPr>
          <w:color w:val="231F20"/>
          <w:spacing w:val="-8"/>
          <w:sz w:val="20"/>
        </w:rPr>
        <w:t xml:space="preserve"> </w:t>
      </w:r>
      <w:r>
        <w:rPr>
          <w:color w:val="231F20"/>
          <w:sz w:val="20"/>
        </w:rPr>
        <w:t>Behavioural</w:t>
      </w:r>
      <w:r>
        <w:rPr>
          <w:color w:val="231F20"/>
          <w:spacing w:val="-7"/>
          <w:sz w:val="20"/>
        </w:rPr>
        <w:t xml:space="preserve"> </w:t>
      </w:r>
      <w:r>
        <w:rPr>
          <w:color w:val="231F20"/>
          <w:sz w:val="20"/>
        </w:rPr>
        <w:t>Science</w:t>
      </w:r>
      <w:r>
        <w:rPr>
          <w:color w:val="231F20"/>
          <w:spacing w:val="-8"/>
          <w:sz w:val="20"/>
        </w:rPr>
        <w:t xml:space="preserve"> </w:t>
      </w:r>
      <w:r>
        <w:rPr>
          <w:color w:val="231F20"/>
          <w:sz w:val="20"/>
        </w:rPr>
        <w:t>suggested</w:t>
      </w:r>
      <w:r>
        <w:rPr>
          <w:color w:val="231F20"/>
          <w:spacing w:val="-7"/>
          <w:sz w:val="20"/>
        </w:rPr>
        <w:t xml:space="preserve"> </w:t>
      </w:r>
      <w:r>
        <w:rPr>
          <w:color w:val="231F20"/>
          <w:sz w:val="20"/>
        </w:rPr>
        <w:t>that</w:t>
      </w:r>
      <w:r>
        <w:rPr>
          <w:color w:val="231F20"/>
          <w:spacing w:val="-8"/>
          <w:sz w:val="20"/>
        </w:rPr>
        <w:t xml:space="preserve"> </w:t>
      </w:r>
      <w:r>
        <w:rPr>
          <w:color w:val="231F20"/>
          <w:sz w:val="20"/>
        </w:rPr>
        <w:t>a</w:t>
      </w:r>
      <w:r>
        <w:rPr>
          <w:color w:val="231F20"/>
          <w:spacing w:val="-7"/>
          <w:sz w:val="20"/>
        </w:rPr>
        <w:t xml:space="preserve"> </w:t>
      </w:r>
      <w:r>
        <w:rPr>
          <w:color w:val="231F20"/>
          <w:sz w:val="20"/>
        </w:rPr>
        <w:t>multi- agency</w:t>
      </w:r>
      <w:r>
        <w:rPr>
          <w:color w:val="231F20"/>
          <w:spacing w:val="-10"/>
          <w:sz w:val="20"/>
        </w:rPr>
        <w:t xml:space="preserve"> </w:t>
      </w:r>
      <w:r>
        <w:rPr>
          <w:color w:val="231F20"/>
          <w:sz w:val="20"/>
        </w:rPr>
        <w:t>panel</w:t>
      </w:r>
      <w:r>
        <w:rPr>
          <w:color w:val="231F20"/>
          <w:spacing w:val="-10"/>
          <w:sz w:val="20"/>
        </w:rPr>
        <w:t xml:space="preserve"> </w:t>
      </w:r>
      <w:r>
        <w:rPr>
          <w:color w:val="231F20"/>
          <w:sz w:val="20"/>
        </w:rPr>
        <w:t>could</w:t>
      </w:r>
      <w:r>
        <w:rPr>
          <w:color w:val="231F20"/>
          <w:spacing w:val="-10"/>
          <w:sz w:val="20"/>
        </w:rPr>
        <w:t xml:space="preserve"> </w:t>
      </w:r>
      <w:r>
        <w:rPr>
          <w:color w:val="231F20"/>
          <w:spacing w:val="-3"/>
          <w:sz w:val="20"/>
        </w:rPr>
        <w:t>‘provide</w:t>
      </w:r>
      <w:r>
        <w:rPr>
          <w:color w:val="231F20"/>
          <w:spacing w:val="-10"/>
          <w:sz w:val="20"/>
        </w:rPr>
        <w:t xml:space="preserve"> </w:t>
      </w:r>
      <w:r>
        <w:rPr>
          <w:color w:val="231F20"/>
          <w:sz w:val="20"/>
        </w:rPr>
        <w:t>assessment</w:t>
      </w:r>
      <w:r>
        <w:rPr>
          <w:color w:val="231F20"/>
          <w:spacing w:val="-10"/>
          <w:sz w:val="20"/>
        </w:rPr>
        <w:t xml:space="preserve"> </w:t>
      </w:r>
      <w:r>
        <w:rPr>
          <w:color w:val="231F20"/>
          <w:sz w:val="20"/>
        </w:rPr>
        <w:t>and</w:t>
      </w:r>
      <w:r>
        <w:rPr>
          <w:color w:val="231F20"/>
          <w:spacing w:val="-10"/>
          <w:sz w:val="20"/>
        </w:rPr>
        <w:t xml:space="preserve"> </w:t>
      </w:r>
      <w:r>
        <w:rPr>
          <w:color w:val="231F20"/>
          <w:sz w:val="20"/>
        </w:rPr>
        <w:t>management</w:t>
      </w:r>
      <w:r>
        <w:rPr>
          <w:color w:val="231F20"/>
          <w:spacing w:val="-9"/>
          <w:sz w:val="20"/>
        </w:rPr>
        <w:t xml:space="preserve"> </w:t>
      </w:r>
      <w:r>
        <w:rPr>
          <w:color w:val="231F20"/>
          <w:sz w:val="20"/>
        </w:rPr>
        <w:t>guidance’</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cases</w:t>
      </w:r>
      <w:r>
        <w:rPr>
          <w:color w:val="231F20"/>
          <w:spacing w:val="-10"/>
          <w:sz w:val="20"/>
        </w:rPr>
        <w:t xml:space="preserve"> </w:t>
      </w:r>
      <w:r>
        <w:rPr>
          <w:color w:val="231F20"/>
          <w:sz w:val="20"/>
        </w:rPr>
        <w:t xml:space="preserve">that </w:t>
      </w:r>
      <w:r>
        <w:rPr>
          <w:color w:val="231F20"/>
          <w:spacing w:val="-3"/>
          <w:sz w:val="20"/>
        </w:rPr>
        <w:t xml:space="preserve">are highly complex </w:t>
      </w:r>
      <w:r>
        <w:rPr>
          <w:color w:val="231F20"/>
          <w:sz w:val="20"/>
        </w:rPr>
        <w:t>or</w:t>
      </w:r>
      <w:r>
        <w:rPr>
          <w:color w:val="231F20"/>
          <w:spacing w:val="-7"/>
          <w:sz w:val="20"/>
        </w:rPr>
        <w:t xml:space="preserve"> </w:t>
      </w:r>
      <w:r>
        <w:rPr>
          <w:color w:val="231F20"/>
          <w:sz w:val="20"/>
        </w:rPr>
        <w:t>concerning.</w:t>
      </w:r>
      <w:r>
        <w:rPr>
          <w:color w:val="231F20"/>
          <w:position w:val="7"/>
          <w:sz w:val="11"/>
        </w:rPr>
        <w:t>54</w:t>
      </w:r>
    </w:p>
    <w:p w14:paraId="0C1F54F5" w14:textId="77777777" w:rsidR="00894070" w:rsidRDefault="00894070">
      <w:pPr>
        <w:pStyle w:val="BodyText"/>
        <w:spacing w:before="10"/>
        <w:rPr>
          <w:sz w:val="15"/>
        </w:rPr>
      </w:pPr>
    </w:p>
    <w:p w14:paraId="290B0197" w14:textId="77777777" w:rsidR="00894070" w:rsidRDefault="009B7AFD">
      <w:pPr>
        <w:pStyle w:val="Heading8"/>
        <w:ind w:left="1007"/>
      </w:pPr>
      <w:r>
        <w:rPr>
          <w:color w:val="231F20"/>
        </w:rPr>
        <w:t>Guidance for courts should be developed</w:t>
      </w:r>
    </w:p>
    <w:p w14:paraId="2648B561" w14:textId="77777777" w:rsidR="00894070" w:rsidRDefault="009B7AFD">
      <w:pPr>
        <w:pStyle w:val="ListParagraph"/>
        <w:numPr>
          <w:ilvl w:val="1"/>
          <w:numId w:val="102"/>
        </w:numPr>
        <w:tabs>
          <w:tab w:val="left" w:pos="1801"/>
          <w:tab w:val="left" w:pos="1802"/>
        </w:tabs>
        <w:spacing w:before="128" w:line="206" w:lineRule="auto"/>
        <w:ind w:right="1246"/>
        <w:rPr>
          <w:sz w:val="11"/>
        </w:rPr>
      </w:pPr>
      <w:r>
        <w:rPr>
          <w:color w:val="231F20"/>
          <w:sz w:val="20"/>
        </w:rPr>
        <w:t xml:space="preserve">In our </w:t>
      </w:r>
      <w:r>
        <w:rPr>
          <w:color w:val="231F20"/>
          <w:spacing w:val="-3"/>
          <w:sz w:val="20"/>
        </w:rPr>
        <w:t xml:space="preserve">interim </w:t>
      </w:r>
      <w:r>
        <w:rPr>
          <w:color w:val="231F20"/>
          <w:sz w:val="20"/>
        </w:rPr>
        <w:t xml:space="preserve">report </w:t>
      </w:r>
      <w:r>
        <w:rPr>
          <w:color w:val="231F20"/>
          <w:spacing w:val="-3"/>
          <w:sz w:val="20"/>
        </w:rPr>
        <w:t xml:space="preserve">we </w:t>
      </w:r>
      <w:r>
        <w:rPr>
          <w:color w:val="231F20"/>
          <w:sz w:val="20"/>
        </w:rPr>
        <w:t xml:space="preserve">recommended guidance should be </w:t>
      </w:r>
      <w:r>
        <w:rPr>
          <w:color w:val="231F20"/>
          <w:spacing w:val="-3"/>
          <w:sz w:val="20"/>
        </w:rPr>
        <w:t xml:space="preserve">developed for </w:t>
      </w:r>
      <w:r>
        <w:rPr>
          <w:color w:val="231F20"/>
          <w:sz w:val="20"/>
        </w:rPr>
        <w:t>Victoria Police</w:t>
      </w:r>
      <w:r>
        <w:rPr>
          <w:color w:val="231F20"/>
          <w:spacing w:val="-11"/>
          <w:sz w:val="20"/>
        </w:rPr>
        <w:t xml:space="preserve"> </w:t>
      </w:r>
      <w:r>
        <w:rPr>
          <w:color w:val="231F20"/>
          <w:sz w:val="20"/>
        </w:rPr>
        <w:t>to</w:t>
      </w:r>
      <w:r>
        <w:rPr>
          <w:color w:val="231F20"/>
          <w:spacing w:val="-10"/>
          <w:sz w:val="20"/>
        </w:rPr>
        <w:t xml:space="preserve"> </w:t>
      </w:r>
      <w:r>
        <w:rPr>
          <w:color w:val="231F20"/>
          <w:sz w:val="20"/>
        </w:rPr>
        <w:t>identify</w:t>
      </w:r>
      <w:r>
        <w:rPr>
          <w:color w:val="231F20"/>
          <w:spacing w:val="-10"/>
          <w:sz w:val="20"/>
        </w:rPr>
        <w:t xml:space="preserve"> </w:t>
      </w:r>
      <w:r>
        <w:rPr>
          <w:color w:val="231F20"/>
          <w:sz w:val="20"/>
        </w:rPr>
        <w:t>stalking</w:t>
      </w:r>
      <w:r>
        <w:rPr>
          <w:color w:val="231F20"/>
          <w:spacing w:val="-10"/>
          <w:sz w:val="20"/>
        </w:rPr>
        <w:t xml:space="preserve"> </w:t>
      </w:r>
      <w:r>
        <w:rPr>
          <w:color w:val="231F20"/>
          <w:spacing w:val="-3"/>
          <w:sz w:val="20"/>
        </w:rPr>
        <w:t>behaviour.</w:t>
      </w:r>
      <w:r>
        <w:rPr>
          <w:color w:val="231F20"/>
          <w:spacing w:val="-10"/>
          <w:sz w:val="20"/>
        </w:rPr>
        <w:t xml:space="preserve"> </w:t>
      </w:r>
      <w:r>
        <w:rPr>
          <w:color w:val="231F20"/>
          <w:sz w:val="20"/>
        </w:rPr>
        <w:t>This</w:t>
      </w:r>
      <w:r>
        <w:rPr>
          <w:color w:val="231F20"/>
          <w:spacing w:val="-10"/>
          <w:sz w:val="20"/>
        </w:rPr>
        <w:t xml:space="preserve"> </w:t>
      </w:r>
      <w:r>
        <w:rPr>
          <w:color w:val="231F20"/>
          <w:sz w:val="20"/>
        </w:rPr>
        <w:t>guidance</w:t>
      </w:r>
      <w:r>
        <w:rPr>
          <w:color w:val="231F20"/>
          <w:spacing w:val="-10"/>
          <w:sz w:val="20"/>
        </w:rPr>
        <w:t xml:space="preserve"> </w:t>
      </w:r>
      <w:r>
        <w:rPr>
          <w:color w:val="231F20"/>
          <w:sz w:val="20"/>
        </w:rPr>
        <w:t>should</w:t>
      </w:r>
      <w:r>
        <w:rPr>
          <w:color w:val="231F20"/>
          <w:spacing w:val="-10"/>
          <w:sz w:val="20"/>
        </w:rPr>
        <w:t xml:space="preserve"> </w:t>
      </w:r>
      <w:r>
        <w:rPr>
          <w:color w:val="231F20"/>
          <w:sz w:val="20"/>
        </w:rPr>
        <w:t>contain</w:t>
      </w:r>
      <w:r>
        <w:rPr>
          <w:color w:val="231F20"/>
          <w:spacing w:val="-10"/>
          <w:sz w:val="20"/>
        </w:rPr>
        <w:t xml:space="preserve"> </w:t>
      </w:r>
      <w:r>
        <w:rPr>
          <w:color w:val="231F20"/>
          <w:spacing w:val="-4"/>
          <w:sz w:val="20"/>
        </w:rPr>
        <w:t>key</w:t>
      </w:r>
      <w:r>
        <w:rPr>
          <w:color w:val="231F20"/>
          <w:spacing w:val="-10"/>
          <w:sz w:val="20"/>
        </w:rPr>
        <w:t xml:space="preserve"> </w:t>
      </w:r>
      <w:r>
        <w:rPr>
          <w:color w:val="231F20"/>
          <w:sz w:val="20"/>
        </w:rPr>
        <w:t>components</w:t>
      </w:r>
      <w:r>
        <w:rPr>
          <w:color w:val="231F20"/>
          <w:spacing w:val="-10"/>
          <w:sz w:val="20"/>
        </w:rPr>
        <w:t xml:space="preserve"> </w:t>
      </w:r>
      <w:r>
        <w:rPr>
          <w:color w:val="231F20"/>
          <w:spacing w:val="-3"/>
          <w:sz w:val="20"/>
        </w:rPr>
        <w:t xml:space="preserve">for </w:t>
      </w:r>
      <w:r>
        <w:rPr>
          <w:color w:val="231F20"/>
          <w:sz w:val="20"/>
        </w:rPr>
        <w:t>identifying</w:t>
      </w:r>
      <w:r>
        <w:rPr>
          <w:color w:val="231F20"/>
          <w:spacing w:val="-6"/>
          <w:sz w:val="20"/>
        </w:rPr>
        <w:t xml:space="preserve"> </w:t>
      </w:r>
      <w:r>
        <w:rPr>
          <w:color w:val="231F20"/>
          <w:sz w:val="20"/>
        </w:rPr>
        <w:t>stalking</w:t>
      </w:r>
      <w:r>
        <w:rPr>
          <w:color w:val="231F20"/>
          <w:spacing w:val="-6"/>
          <w:sz w:val="20"/>
        </w:rPr>
        <w:t xml:space="preserve"> </w:t>
      </w:r>
      <w:r>
        <w:rPr>
          <w:color w:val="231F20"/>
          <w:sz w:val="20"/>
        </w:rPr>
        <w:t>(such</w:t>
      </w:r>
      <w:r>
        <w:rPr>
          <w:color w:val="231F20"/>
          <w:spacing w:val="-6"/>
          <w:sz w:val="20"/>
        </w:rPr>
        <w:t xml:space="preserve"> </w:t>
      </w:r>
      <w:r>
        <w:rPr>
          <w:color w:val="231F20"/>
          <w:sz w:val="20"/>
        </w:rPr>
        <w:t>as</w:t>
      </w:r>
      <w:r>
        <w:rPr>
          <w:color w:val="231F20"/>
          <w:spacing w:val="-6"/>
          <w:sz w:val="20"/>
        </w:rPr>
        <w:t xml:space="preserve"> </w:t>
      </w:r>
      <w:r>
        <w:rPr>
          <w:color w:val="231F20"/>
          <w:sz w:val="20"/>
        </w:rPr>
        <w:t>repetition</w:t>
      </w:r>
      <w:r>
        <w:rPr>
          <w:color w:val="231F20"/>
          <w:spacing w:val="-6"/>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unwanted</w:t>
      </w:r>
      <w:r>
        <w:rPr>
          <w:color w:val="231F20"/>
          <w:spacing w:val="-6"/>
          <w:sz w:val="20"/>
        </w:rPr>
        <w:t xml:space="preserve"> </w:t>
      </w:r>
      <w:r>
        <w:rPr>
          <w:color w:val="231F20"/>
          <w:spacing w:val="-3"/>
          <w:sz w:val="20"/>
        </w:rPr>
        <w:t>nature</w:t>
      </w:r>
      <w:r>
        <w:rPr>
          <w:color w:val="231F20"/>
          <w:spacing w:val="-5"/>
          <w:sz w:val="20"/>
        </w:rPr>
        <w:t xml:space="preserve"> </w:t>
      </w:r>
      <w:r>
        <w:rPr>
          <w:color w:val="231F20"/>
          <w:sz w:val="20"/>
        </w:rPr>
        <w:t>of</w:t>
      </w:r>
      <w:r>
        <w:rPr>
          <w:color w:val="231F20"/>
          <w:spacing w:val="-6"/>
          <w:sz w:val="20"/>
        </w:rPr>
        <w:t xml:space="preserve"> </w:t>
      </w:r>
      <w:r>
        <w:rPr>
          <w:color w:val="231F20"/>
          <w:sz w:val="20"/>
        </w:rPr>
        <w:t>contact).</w:t>
      </w:r>
      <w:r>
        <w:rPr>
          <w:color w:val="231F20"/>
          <w:position w:val="7"/>
          <w:sz w:val="11"/>
        </w:rPr>
        <w:t>55</w:t>
      </w:r>
    </w:p>
    <w:p w14:paraId="4E631491" w14:textId="77777777" w:rsidR="00894070" w:rsidRDefault="009B7AFD">
      <w:pPr>
        <w:pStyle w:val="ListParagraph"/>
        <w:numPr>
          <w:ilvl w:val="1"/>
          <w:numId w:val="102"/>
        </w:numPr>
        <w:tabs>
          <w:tab w:val="left" w:pos="1801"/>
          <w:tab w:val="left" w:pos="1802"/>
        </w:tabs>
        <w:spacing w:before="123" w:line="206" w:lineRule="auto"/>
        <w:ind w:right="1627"/>
        <w:rPr>
          <w:sz w:val="20"/>
        </w:rPr>
      </w:pPr>
      <w:r>
        <w:rPr>
          <w:color w:val="231F20"/>
          <w:sz w:val="20"/>
        </w:rPr>
        <w:t>In</w:t>
      </w:r>
      <w:r>
        <w:rPr>
          <w:color w:val="231F20"/>
          <w:spacing w:val="-8"/>
          <w:sz w:val="20"/>
        </w:rPr>
        <w:t xml:space="preserve"> </w:t>
      </w:r>
      <w:r>
        <w:rPr>
          <w:color w:val="231F20"/>
          <w:sz w:val="20"/>
        </w:rPr>
        <w:t>line</w:t>
      </w:r>
      <w:r>
        <w:rPr>
          <w:color w:val="231F20"/>
          <w:spacing w:val="-8"/>
          <w:sz w:val="20"/>
        </w:rPr>
        <w:t xml:space="preserve"> </w:t>
      </w:r>
      <w:r>
        <w:rPr>
          <w:color w:val="231F20"/>
          <w:sz w:val="20"/>
        </w:rPr>
        <w:t>with</w:t>
      </w:r>
      <w:r>
        <w:rPr>
          <w:color w:val="231F20"/>
          <w:spacing w:val="-7"/>
          <w:sz w:val="20"/>
        </w:rPr>
        <w:t xml:space="preserve"> </w:t>
      </w:r>
      <w:r>
        <w:rPr>
          <w:color w:val="231F20"/>
          <w:sz w:val="20"/>
        </w:rPr>
        <w:t>our</w:t>
      </w:r>
      <w:r>
        <w:rPr>
          <w:color w:val="231F20"/>
          <w:spacing w:val="-8"/>
          <w:sz w:val="20"/>
        </w:rPr>
        <w:t xml:space="preserve"> </w:t>
      </w:r>
      <w:r>
        <w:rPr>
          <w:color w:val="231F20"/>
          <w:spacing w:val="-3"/>
          <w:sz w:val="20"/>
        </w:rPr>
        <w:t>interim</w:t>
      </w:r>
      <w:r>
        <w:rPr>
          <w:color w:val="231F20"/>
          <w:spacing w:val="-7"/>
          <w:sz w:val="20"/>
        </w:rPr>
        <w:t xml:space="preserve"> </w:t>
      </w:r>
      <w:r>
        <w:rPr>
          <w:color w:val="231F20"/>
          <w:sz w:val="20"/>
        </w:rPr>
        <w:t>report,</w:t>
      </w:r>
      <w:r>
        <w:rPr>
          <w:color w:val="231F20"/>
          <w:spacing w:val="-8"/>
          <w:sz w:val="20"/>
        </w:rPr>
        <w:t xml:space="preserve"> </w:t>
      </w:r>
      <w:r>
        <w:rPr>
          <w:color w:val="231F20"/>
          <w:spacing w:val="-3"/>
          <w:sz w:val="20"/>
        </w:rPr>
        <w:t>we</w:t>
      </w:r>
      <w:r>
        <w:rPr>
          <w:color w:val="231F20"/>
          <w:spacing w:val="-7"/>
          <w:sz w:val="20"/>
        </w:rPr>
        <w:t xml:space="preserve"> </w:t>
      </w:r>
      <w:r>
        <w:rPr>
          <w:color w:val="231F20"/>
          <w:sz w:val="20"/>
        </w:rPr>
        <w:t>recommend</w:t>
      </w:r>
      <w:r>
        <w:rPr>
          <w:color w:val="231F20"/>
          <w:spacing w:val="-8"/>
          <w:sz w:val="20"/>
        </w:rPr>
        <w:t xml:space="preserve"> </w:t>
      </w:r>
      <w:r>
        <w:rPr>
          <w:color w:val="231F20"/>
          <w:sz w:val="20"/>
        </w:rPr>
        <w:t>that</w:t>
      </w:r>
      <w:r>
        <w:rPr>
          <w:color w:val="231F20"/>
          <w:spacing w:val="-8"/>
          <w:sz w:val="20"/>
        </w:rPr>
        <w:t xml:space="preserve"> </w:t>
      </w:r>
      <w:r>
        <w:rPr>
          <w:color w:val="231F20"/>
          <w:sz w:val="20"/>
        </w:rPr>
        <w:t>guidance</w:t>
      </w:r>
      <w:r>
        <w:rPr>
          <w:color w:val="231F20"/>
          <w:spacing w:val="-7"/>
          <w:sz w:val="20"/>
        </w:rPr>
        <w:t xml:space="preserve"> </w:t>
      </w:r>
      <w:r>
        <w:rPr>
          <w:color w:val="231F20"/>
          <w:sz w:val="20"/>
        </w:rPr>
        <w:t>be</w:t>
      </w:r>
      <w:r>
        <w:rPr>
          <w:color w:val="231F20"/>
          <w:spacing w:val="-8"/>
          <w:sz w:val="20"/>
        </w:rPr>
        <w:t xml:space="preserve"> </w:t>
      </w:r>
      <w:r>
        <w:rPr>
          <w:color w:val="231F20"/>
          <w:spacing w:val="-3"/>
          <w:sz w:val="20"/>
        </w:rPr>
        <w:t>developed</w:t>
      </w:r>
      <w:r>
        <w:rPr>
          <w:color w:val="231F20"/>
          <w:spacing w:val="-7"/>
          <w:sz w:val="20"/>
        </w:rPr>
        <w:t xml:space="preserve"> </w:t>
      </w:r>
      <w:r>
        <w:rPr>
          <w:color w:val="231F20"/>
          <w:sz w:val="20"/>
        </w:rPr>
        <w:t>to</w:t>
      </w:r>
      <w:r>
        <w:rPr>
          <w:color w:val="231F20"/>
          <w:spacing w:val="-8"/>
          <w:sz w:val="20"/>
        </w:rPr>
        <w:t xml:space="preserve"> </w:t>
      </w:r>
      <w:r>
        <w:rPr>
          <w:color w:val="231F20"/>
          <w:sz w:val="20"/>
        </w:rPr>
        <w:t xml:space="preserve">help courts to identify stalking </w:t>
      </w:r>
      <w:r>
        <w:rPr>
          <w:color w:val="231F20"/>
          <w:spacing w:val="-3"/>
          <w:sz w:val="20"/>
        </w:rPr>
        <w:t xml:space="preserve">behaviour. </w:t>
      </w:r>
      <w:r>
        <w:rPr>
          <w:color w:val="231F20"/>
          <w:sz w:val="20"/>
        </w:rPr>
        <w:t xml:space="preserve">This guidance </w:t>
      </w:r>
      <w:r>
        <w:rPr>
          <w:color w:val="231F20"/>
          <w:spacing w:val="-3"/>
          <w:sz w:val="20"/>
        </w:rPr>
        <w:t xml:space="preserve">would </w:t>
      </w:r>
      <w:r>
        <w:rPr>
          <w:color w:val="231F20"/>
          <w:sz w:val="20"/>
        </w:rPr>
        <w:t>serve an administrative function</w:t>
      </w:r>
      <w:r>
        <w:rPr>
          <w:color w:val="231F20"/>
          <w:spacing w:val="-10"/>
          <w:sz w:val="20"/>
        </w:rPr>
        <w:t xml:space="preserve"> </w:t>
      </w:r>
      <w:r>
        <w:rPr>
          <w:color w:val="231F20"/>
          <w:sz w:val="20"/>
        </w:rPr>
        <w:t>and</w:t>
      </w:r>
      <w:r>
        <w:rPr>
          <w:color w:val="231F20"/>
          <w:spacing w:val="-10"/>
          <w:sz w:val="20"/>
        </w:rPr>
        <w:t xml:space="preserve"> </w:t>
      </w:r>
      <w:r>
        <w:rPr>
          <w:color w:val="231F20"/>
          <w:sz w:val="20"/>
        </w:rPr>
        <w:t>assist</w:t>
      </w:r>
      <w:r>
        <w:rPr>
          <w:color w:val="231F20"/>
          <w:spacing w:val="-10"/>
          <w:sz w:val="20"/>
        </w:rPr>
        <w:t xml:space="preserve"> </w:t>
      </w:r>
      <w:r>
        <w:rPr>
          <w:color w:val="231F20"/>
          <w:sz w:val="20"/>
        </w:rPr>
        <w:t>the</w:t>
      </w:r>
      <w:r>
        <w:rPr>
          <w:color w:val="231F20"/>
          <w:spacing w:val="-9"/>
          <w:sz w:val="20"/>
        </w:rPr>
        <w:t xml:space="preserve"> </w:t>
      </w:r>
      <w:r>
        <w:rPr>
          <w:color w:val="231F20"/>
          <w:sz w:val="20"/>
        </w:rPr>
        <w:t>court</w:t>
      </w:r>
      <w:r>
        <w:rPr>
          <w:color w:val="231F20"/>
          <w:spacing w:val="-10"/>
          <w:sz w:val="20"/>
        </w:rPr>
        <w:t xml:space="preserve"> </w:t>
      </w:r>
      <w:r>
        <w:rPr>
          <w:color w:val="231F20"/>
          <w:sz w:val="20"/>
        </w:rPr>
        <w:t>and</w:t>
      </w:r>
      <w:r>
        <w:rPr>
          <w:color w:val="231F20"/>
          <w:spacing w:val="-10"/>
          <w:sz w:val="20"/>
        </w:rPr>
        <w:t xml:space="preserve"> </w:t>
      </w:r>
      <w:r>
        <w:rPr>
          <w:color w:val="231F20"/>
          <w:sz w:val="20"/>
        </w:rPr>
        <w:t>registry</w:t>
      </w:r>
      <w:r>
        <w:rPr>
          <w:color w:val="231F20"/>
          <w:spacing w:val="-9"/>
          <w:sz w:val="20"/>
        </w:rPr>
        <w:t xml:space="preserve"> </w:t>
      </w:r>
      <w:r>
        <w:rPr>
          <w:color w:val="231F20"/>
          <w:sz w:val="20"/>
        </w:rPr>
        <w:t>staff</w:t>
      </w:r>
      <w:r>
        <w:rPr>
          <w:color w:val="231F20"/>
          <w:spacing w:val="-10"/>
          <w:sz w:val="20"/>
        </w:rPr>
        <w:t xml:space="preserve"> </w:t>
      </w:r>
      <w:r>
        <w:rPr>
          <w:color w:val="231F20"/>
          <w:sz w:val="20"/>
        </w:rPr>
        <w:t>to</w:t>
      </w:r>
      <w:r>
        <w:rPr>
          <w:color w:val="231F20"/>
          <w:spacing w:val="-10"/>
          <w:sz w:val="20"/>
        </w:rPr>
        <w:t xml:space="preserve"> </w:t>
      </w:r>
      <w:r>
        <w:rPr>
          <w:color w:val="231F20"/>
          <w:sz w:val="20"/>
        </w:rPr>
        <w:t>ensure</w:t>
      </w:r>
      <w:r>
        <w:rPr>
          <w:color w:val="231F20"/>
          <w:spacing w:val="-10"/>
          <w:sz w:val="20"/>
        </w:rPr>
        <w:t xml:space="preserve"> </w:t>
      </w:r>
      <w:r>
        <w:rPr>
          <w:color w:val="231F20"/>
          <w:sz w:val="20"/>
        </w:rPr>
        <w:t>these</w:t>
      </w:r>
      <w:r>
        <w:rPr>
          <w:color w:val="231F20"/>
          <w:spacing w:val="-9"/>
          <w:sz w:val="20"/>
        </w:rPr>
        <w:t xml:space="preserve"> </w:t>
      </w:r>
      <w:r>
        <w:rPr>
          <w:color w:val="231F20"/>
          <w:sz w:val="20"/>
        </w:rPr>
        <w:t>cases</w:t>
      </w:r>
      <w:r>
        <w:rPr>
          <w:color w:val="231F20"/>
          <w:spacing w:val="-10"/>
          <w:sz w:val="20"/>
        </w:rPr>
        <w:t xml:space="preserve"> </w:t>
      </w:r>
      <w:r>
        <w:rPr>
          <w:color w:val="231F20"/>
          <w:spacing w:val="-3"/>
          <w:sz w:val="20"/>
        </w:rPr>
        <w:t>are</w:t>
      </w:r>
      <w:r>
        <w:rPr>
          <w:color w:val="231F20"/>
          <w:spacing w:val="-10"/>
          <w:sz w:val="20"/>
        </w:rPr>
        <w:t xml:space="preserve"> </w:t>
      </w:r>
      <w:r>
        <w:rPr>
          <w:color w:val="231F20"/>
          <w:sz w:val="20"/>
        </w:rPr>
        <w:t>dealt</w:t>
      </w:r>
      <w:r>
        <w:rPr>
          <w:color w:val="231F20"/>
          <w:spacing w:val="-9"/>
          <w:sz w:val="20"/>
        </w:rPr>
        <w:t xml:space="preserve"> </w:t>
      </w:r>
      <w:r>
        <w:rPr>
          <w:color w:val="231F20"/>
          <w:sz w:val="20"/>
        </w:rPr>
        <w:t xml:space="preserve">with </w:t>
      </w:r>
      <w:r>
        <w:rPr>
          <w:color w:val="231F20"/>
          <w:spacing w:val="-4"/>
          <w:sz w:val="20"/>
        </w:rPr>
        <w:t>appropriately.</w:t>
      </w:r>
    </w:p>
    <w:p w14:paraId="4A18DFB5" w14:textId="77777777" w:rsidR="00894070" w:rsidRDefault="00894070">
      <w:pPr>
        <w:pStyle w:val="BodyText"/>
      </w:pPr>
    </w:p>
    <w:p w14:paraId="374B0536" w14:textId="77777777" w:rsidR="00894070" w:rsidRDefault="00894070">
      <w:pPr>
        <w:pStyle w:val="BodyText"/>
      </w:pPr>
    </w:p>
    <w:p w14:paraId="5413B604" w14:textId="77777777" w:rsidR="00894070" w:rsidRDefault="00894070">
      <w:pPr>
        <w:pStyle w:val="BodyText"/>
      </w:pPr>
    </w:p>
    <w:p w14:paraId="133AA9A6" w14:textId="77777777" w:rsidR="00894070" w:rsidRDefault="00894070">
      <w:pPr>
        <w:pStyle w:val="BodyText"/>
      </w:pPr>
    </w:p>
    <w:p w14:paraId="4C8AF1E3" w14:textId="77777777" w:rsidR="00894070" w:rsidRDefault="009F6793">
      <w:pPr>
        <w:pStyle w:val="BodyText"/>
        <w:spacing w:before="4"/>
        <w:rPr>
          <w:sz w:val="28"/>
        </w:rPr>
      </w:pPr>
      <w:r>
        <w:pict w14:anchorId="74606E3B">
          <v:line id="_x0000_s1349" style="position:absolute;z-index:251646976;mso-wrap-distance-left:0;mso-wrap-distance-right:0;mso-position-horizontal-relative:page" from="79.35pt,22.1pt" to="515.9pt,22.1pt" strokecolor="#f8cabc" strokeweight="1pt">
            <w10:wrap type="topAndBottom" anchorx="page"/>
          </v:line>
        </w:pict>
      </w:r>
    </w:p>
    <w:p w14:paraId="096E6E3B" w14:textId="77777777" w:rsidR="00894070" w:rsidRDefault="00894070">
      <w:pPr>
        <w:pStyle w:val="BodyText"/>
        <w:rPr>
          <w:sz w:val="5"/>
        </w:rPr>
      </w:pPr>
    </w:p>
    <w:p w14:paraId="6C877BF6" w14:textId="77777777" w:rsidR="00894070" w:rsidRDefault="00894070">
      <w:pPr>
        <w:rPr>
          <w:sz w:val="5"/>
        </w:rPr>
        <w:sectPr w:rsidR="00894070">
          <w:pgSz w:w="11910" w:h="16840"/>
          <w:pgMar w:top="840" w:right="420" w:bottom="280" w:left="580" w:header="0" w:footer="0" w:gutter="0"/>
          <w:cols w:space="720"/>
        </w:sectPr>
      </w:pPr>
    </w:p>
    <w:p w14:paraId="24AB84DB" w14:textId="77777777" w:rsidR="00894070" w:rsidRDefault="009B7AFD">
      <w:pPr>
        <w:pStyle w:val="ListParagraph"/>
        <w:numPr>
          <w:ilvl w:val="0"/>
          <w:numId w:val="95"/>
        </w:numPr>
        <w:tabs>
          <w:tab w:val="left" w:pos="1801"/>
          <w:tab w:val="left" w:pos="1802"/>
        </w:tabs>
        <w:spacing w:before="21" w:line="170" w:lineRule="exact"/>
        <w:rPr>
          <w:sz w:val="13"/>
        </w:rPr>
      </w:pPr>
      <w:r>
        <w:rPr>
          <w:color w:val="231F20"/>
          <w:spacing w:val="2"/>
          <w:sz w:val="13"/>
        </w:rPr>
        <w:t xml:space="preserve">Submission </w:t>
      </w:r>
      <w:r>
        <w:rPr>
          <w:color w:val="231F20"/>
          <w:sz w:val="13"/>
        </w:rPr>
        <w:t>98 (Law Institute of Victoria); Consultation 15 (Forensicare (No</w:t>
      </w:r>
      <w:r>
        <w:rPr>
          <w:color w:val="231F20"/>
          <w:spacing w:val="6"/>
          <w:sz w:val="13"/>
        </w:rPr>
        <w:t xml:space="preserve"> </w:t>
      </w:r>
      <w:r>
        <w:rPr>
          <w:color w:val="231F20"/>
          <w:sz w:val="13"/>
        </w:rPr>
        <w:t>1)).</w:t>
      </w:r>
    </w:p>
    <w:p w14:paraId="63147C08" w14:textId="77777777" w:rsidR="00894070" w:rsidRDefault="009B7AFD">
      <w:pPr>
        <w:pStyle w:val="ListParagraph"/>
        <w:numPr>
          <w:ilvl w:val="0"/>
          <w:numId w:val="95"/>
        </w:numPr>
        <w:tabs>
          <w:tab w:val="left" w:pos="1801"/>
          <w:tab w:val="left" w:pos="1802"/>
        </w:tabs>
        <w:spacing w:line="160" w:lineRule="exac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3"/>
          <w:sz w:val="13"/>
        </w:rPr>
        <w:t xml:space="preserve"> </w:t>
      </w:r>
      <w:r>
        <w:rPr>
          <w:color w:val="231F20"/>
          <w:sz w:val="13"/>
        </w:rPr>
        <w:t>Party).</w:t>
      </w:r>
    </w:p>
    <w:p w14:paraId="23E71AC5" w14:textId="77777777" w:rsidR="00894070" w:rsidRDefault="009B7AFD">
      <w:pPr>
        <w:pStyle w:val="ListParagraph"/>
        <w:numPr>
          <w:ilvl w:val="0"/>
          <w:numId w:val="95"/>
        </w:numPr>
        <w:tabs>
          <w:tab w:val="left" w:pos="1801"/>
          <w:tab w:val="left" w:pos="1802"/>
        </w:tabs>
        <w:spacing w:before="7" w:line="213" w:lineRule="auto"/>
        <w:ind w:right="257"/>
        <w:rPr>
          <w:sz w:val="13"/>
        </w:rPr>
      </w:pPr>
      <w:r>
        <w:rPr>
          <w:color w:val="231F20"/>
          <w:spacing w:val="2"/>
          <w:sz w:val="13"/>
        </w:rPr>
        <w:t xml:space="preserve">Submissions </w:t>
      </w:r>
      <w:r>
        <w:rPr>
          <w:color w:val="231F20"/>
          <w:sz w:val="13"/>
        </w:rPr>
        <w:t xml:space="preserve">76 </w:t>
      </w:r>
      <w:r>
        <w:rPr>
          <w:color w:val="231F20"/>
          <w:spacing w:val="2"/>
          <w:sz w:val="13"/>
        </w:rPr>
        <w:t xml:space="preserve">(Australian Association </w:t>
      </w:r>
      <w:r>
        <w:rPr>
          <w:color w:val="231F20"/>
          <w:sz w:val="13"/>
        </w:rPr>
        <w:t>of Social Workers), 97 (Federation of Community Legal Centres), 98 (Law Institute of Victoria); Consultation 7 (Risk</w:t>
      </w:r>
      <w:r>
        <w:rPr>
          <w:color w:val="231F20"/>
          <w:spacing w:val="1"/>
          <w:sz w:val="13"/>
        </w:rPr>
        <w:t xml:space="preserve"> </w:t>
      </w:r>
      <w:r>
        <w:rPr>
          <w:color w:val="231F20"/>
          <w:sz w:val="13"/>
        </w:rPr>
        <w:t>roundtable).</w:t>
      </w:r>
    </w:p>
    <w:p w14:paraId="73FAC590" w14:textId="77777777" w:rsidR="00894070" w:rsidRDefault="009B7AFD">
      <w:pPr>
        <w:pStyle w:val="ListParagraph"/>
        <w:numPr>
          <w:ilvl w:val="0"/>
          <w:numId w:val="95"/>
        </w:numPr>
        <w:tabs>
          <w:tab w:val="left" w:pos="1801"/>
          <w:tab w:val="left" w:pos="1802"/>
        </w:tabs>
        <w:spacing w:line="153" w:lineRule="exact"/>
        <w:rPr>
          <w:sz w:val="13"/>
        </w:rPr>
      </w:pPr>
      <w:r>
        <w:rPr>
          <w:color w:val="231F20"/>
          <w:sz w:val="13"/>
        </w:rPr>
        <w:t xml:space="preserve">Consultations 13 (Victoria Legal Aid), 18 (County </w:t>
      </w:r>
      <w:r>
        <w:rPr>
          <w:color w:val="231F20"/>
          <w:spacing w:val="2"/>
          <w:sz w:val="13"/>
        </w:rPr>
        <w:t xml:space="preserve">Court </w:t>
      </w:r>
      <w:r>
        <w:rPr>
          <w:color w:val="231F20"/>
          <w:sz w:val="13"/>
        </w:rPr>
        <w:t xml:space="preserve">of Victoria), 34 (Magistrates’ </w:t>
      </w:r>
      <w:r>
        <w:rPr>
          <w:color w:val="231F20"/>
          <w:spacing w:val="2"/>
          <w:sz w:val="13"/>
        </w:rPr>
        <w:t xml:space="preserve">Court </w:t>
      </w:r>
      <w:r>
        <w:rPr>
          <w:color w:val="231F20"/>
          <w:sz w:val="13"/>
        </w:rPr>
        <w:t>of Victoria (No</w:t>
      </w:r>
      <w:r>
        <w:rPr>
          <w:color w:val="231F20"/>
          <w:spacing w:val="32"/>
          <w:sz w:val="13"/>
        </w:rPr>
        <w:t xml:space="preserve"> </w:t>
      </w:r>
      <w:r>
        <w:rPr>
          <w:color w:val="231F20"/>
          <w:sz w:val="13"/>
        </w:rPr>
        <w:t>2)).</w:t>
      </w:r>
    </w:p>
    <w:p w14:paraId="767A28E2" w14:textId="77777777" w:rsidR="00894070" w:rsidRDefault="009B7AFD">
      <w:pPr>
        <w:pStyle w:val="ListParagraph"/>
        <w:numPr>
          <w:ilvl w:val="0"/>
          <w:numId w:val="95"/>
        </w:numPr>
        <w:tabs>
          <w:tab w:val="left" w:pos="1801"/>
          <w:tab w:val="left" w:pos="1802"/>
        </w:tabs>
        <w:spacing w:line="160" w:lineRule="exact"/>
        <w:rPr>
          <w:sz w:val="13"/>
        </w:rPr>
      </w:pPr>
      <w:r>
        <w:rPr>
          <w:color w:val="231F20"/>
          <w:spacing w:val="2"/>
          <w:sz w:val="13"/>
        </w:rPr>
        <w:t xml:space="preserve">Submissions </w:t>
      </w:r>
      <w:r>
        <w:rPr>
          <w:color w:val="231F20"/>
          <w:sz w:val="13"/>
        </w:rPr>
        <w:t>97 (Federation of Community Legal Centres), 98 (Law Institute of</w:t>
      </w:r>
      <w:r>
        <w:rPr>
          <w:color w:val="231F20"/>
          <w:spacing w:val="9"/>
          <w:sz w:val="13"/>
        </w:rPr>
        <w:t xml:space="preserve"> </w:t>
      </w:r>
      <w:r>
        <w:rPr>
          <w:color w:val="231F20"/>
          <w:sz w:val="13"/>
        </w:rPr>
        <w:t>Victoria).</w:t>
      </w:r>
    </w:p>
    <w:p w14:paraId="477F64CE" w14:textId="77777777" w:rsidR="00894070" w:rsidRDefault="009B7AFD">
      <w:pPr>
        <w:pStyle w:val="ListParagraph"/>
        <w:numPr>
          <w:ilvl w:val="0"/>
          <w:numId w:val="95"/>
        </w:numPr>
        <w:tabs>
          <w:tab w:val="left" w:pos="1800"/>
          <w:tab w:val="left" w:pos="1802"/>
        </w:tabs>
        <w:spacing w:line="160" w:lineRule="exact"/>
        <w:rPr>
          <w:sz w:val="13"/>
        </w:rPr>
      </w:pPr>
      <w:r>
        <w:rPr>
          <w:color w:val="231F20"/>
          <w:spacing w:val="2"/>
          <w:sz w:val="13"/>
        </w:rPr>
        <w:t xml:space="preserve">Submission </w:t>
      </w:r>
      <w:r>
        <w:rPr>
          <w:color w:val="231F20"/>
          <w:sz w:val="13"/>
        </w:rPr>
        <w:t xml:space="preserve">98 (Law Institute of Victoria); Consultation 18 (County </w:t>
      </w:r>
      <w:r>
        <w:rPr>
          <w:color w:val="231F20"/>
          <w:spacing w:val="2"/>
          <w:sz w:val="13"/>
        </w:rPr>
        <w:t xml:space="preserve">Court </w:t>
      </w:r>
      <w:r>
        <w:rPr>
          <w:color w:val="231F20"/>
          <w:sz w:val="13"/>
        </w:rPr>
        <w:t>of</w:t>
      </w:r>
      <w:r>
        <w:rPr>
          <w:color w:val="231F20"/>
          <w:spacing w:val="7"/>
          <w:sz w:val="13"/>
        </w:rPr>
        <w:t xml:space="preserve"> </w:t>
      </w:r>
      <w:r>
        <w:rPr>
          <w:color w:val="231F20"/>
          <w:sz w:val="13"/>
        </w:rPr>
        <w:t>Victoria).</w:t>
      </w:r>
    </w:p>
    <w:p w14:paraId="7D4B12AA" w14:textId="77777777" w:rsidR="00894070" w:rsidRDefault="009B7AFD">
      <w:pPr>
        <w:pStyle w:val="ListParagraph"/>
        <w:numPr>
          <w:ilvl w:val="0"/>
          <w:numId w:val="95"/>
        </w:numPr>
        <w:tabs>
          <w:tab w:val="left" w:pos="1801"/>
          <w:tab w:val="left" w:pos="1802"/>
        </w:tabs>
        <w:spacing w:line="160" w:lineRule="exact"/>
        <w:rPr>
          <w:sz w:val="13"/>
        </w:rPr>
      </w:pPr>
      <w:r>
        <w:rPr>
          <w:color w:val="231F20"/>
          <w:sz w:val="13"/>
        </w:rPr>
        <w:t xml:space="preserve">Consultation 18 (County </w:t>
      </w:r>
      <w:r>
        <w:rPr>
          <w:color w:val="231F20"/>
          <w:spacing w:val="2"/>
          <w:sz w:val="13"/>
        </w:rPr>
        <w:t xml:space="preserve">Court </w:t>
      </w:r>
      <w:r>
        <w:rPr>
          <w:color w:val="231F20"/>
          <w:sz w:val="13"/>
        </w:rPr>
        <w:t>of</w:t>
      </w:r>
      <w:r>
        <w:rPr>
          <w:color w:val="231F20"/>
          <w:spacing w:val="-1"/>
          <w:sz w:val="13"/>
        </w:rPr>
        <w:t xml:space="preserve"> </w:t>
      </w:r>
      <w:r>
        <w:rPr>
          <w:color w:val="231F20"/>
          <w:sz w:val="13"/>
        </w:rPr>
        <w:t>Victoria).</w:t>
      </w:r>
    </w:p>
    <w:p w14:paraId="4418102C" w14:textId="77777777" w:rsidR="00894070" w:rsidRDefault="009B7AFD">
      <w:pPr>
        <w:pStyle w:val="ListParagraph"/>
        <w:numPr>
          <w:ilvl w:val="0"/>
          <w:numId w:val="95"/>
        </w:numPr>
        <w:tabs>
          <w:tab w:val="left" w:pos="1801"/>
          <w:tab w:val="left" w:pos="1802"/>
        </w:tabs>
        <w:spacing w:line="160" w:lineRule="exact"/>
        <w:rPr>
          <w:sz w:val="13"/>
        </w:rPr>
      </w:pPr>
      <w:r>
        <w:rPr>
          <w:color w:val="231F20"/>
          <w:spacing w:val="2"/>
          <w:sz w:val="13"/>
        </w:rPr>
        <w:t xml:space="preserve">Submission </w:t>
      </w:r>
      <w:r>
        <w:rPr>
          <w:color w:val="231F20"/>
          <w:sz w:val="13"/>
        </w:rPr>
        <w:t xml:space="preserve">76 </w:t>
      </w:r>
      <w:r>
        <w:rPr>
          <w:color w:val="231F20"/>
          <w:spacing w:val="2"/>
          <w:sz w:val="13"/>
        </w:rPr>
        <w:t xml:space="preserve">(Australian Association </w:t>
      </w:r>
      <w:r>
        <w:rPr>
          <w:color w:val="231F20"/>
          <w:sz w:val="13"/>
        </w:rPr>
        <w:t xml:space="preserve">of Social Workers); Consultation 34 (Magistrates’ </w:t>
      </w:r>
      <w:r>
        <w:rPr>
          <w:color w:val="231F20"/>
          <w:spacing w:val="2"/>
          <w:sz w:val="13"/>
        </w:rPr>
        <w:t xml:space="preserve">Court </w:t>
      </w:r>
      <w:r>
        <w:rPr>
          <w:color w:val="231F20"/>
          <w:sz w:val="13"/>
        </w:rPr>
        <w:t>of Victoria (No</w:t>
      </w:r>
      <w:r>
        <w:rPr>
          <w:color w:val="231F20"/>
          <w:spacing w:val="21"/>
          <w:sz w:val="13"/>
        </w:rPr>
        <w:t xml:space="preserve"> </w:t>
      </w:r>
      <w:r>
        <w:rPr>
          <w:color w:val="231F20"/>
          <w:sz w:val="13"/>
        </w:rPr>
        <w:t>2)).</w:t>
      </w:r>
    </w:p>
    <w:p w14:paraId="6A31511B" w14:textId="77777777" w:rsidR="00894070" w:rsidRDefault="009B7AFD">
      <w:pPr>
        <w:pStyle w:val="ListParagraph"/>
        <w:numPr>
          <w:ilvl w:val="0"/>
          <w:numId w:val="95"/>
        </w:numPr>
        <w:tabs>
          <w:tab w:val="left" w:pos="1801"/>
          <w:tab w:val="left" w:pos="1802"/>
        </w:tabs>
        <w:spacing w:before="6" w:line="213" w:lineRule="auto"/>
        <w:rPr>
          <w:sz w:val="13"/>
        </w:rPr>
      </w:pPr>
      <w:r>
        <w:rPr>
          <w:color w:val="231F20"/>
          <w:sz w:val="13"/>
        </w:rPr>
        <w:t xml:space="preserve">The Family Violence Multi-Agency Risk </w:t>
      </w:r>
      <w:r>
        <w:rPr>
          <w:color w:val="231F20"/>
          <w:spacing w:val="2"/>
          <w:sz w:val="13"/>
        </w:rPr>
        <w:t xml:space="preserve">Assessment </w:t>
      </w:r>
      <w:r>
        <w:rPr>
          <w:color w:val="231F20"/>
          <w:sz w:val="13"/>
        </w:rPr>
        <w:t xml:space="preserve">and Management (MARAM) is </w:t>
      </w:r>
      <w:r>
        <w:rPr>
          <w:color w:val="231F20"/>
          <w:spacing w:val="2"/>
          <w:sz w:val="13"/>
        </w:rPr>
        <w:t xml:space="preserve">established </w:t>
      </w:r>
      <w:r>
        <w:rPr>
          <w:color w:val="231F20"/>
          <w:sz w:val="13"/>
        </w:rPr>
        <w:t xml:space="preserve">under </w:t>
      </w:r>
      <w:r>
        <w:rPr>
          <w:i/>
          <w:color w:val="231F20"/>
          <w:sz w:val="13"/>
        </w:rPr>
        <w:t xml:space="preserve">Family Violence Protection Act 2008 </w:t>
      </w:r>
      <w:r>
        <w:rPr>
          <w:color w:val="231F20"/>
          <w:sz w:val="13"/>
        </w:rPr>
        <w:t xml:space="preserve">(Vic) pt </w:t>
      </w:r>
      <w:r>
        <w:rPr>
          <w:color w:val="231F20"/>
          <w:spacing w:val="2"/>
          <w:sz w:val="13"/>
        </w:rPr>
        <w:t>11.</w:t>
      </w:r>
    </w:p>
    <w:p w14:paraId="010172F2" w14:textId="77777777" w:rsidR="00894070" w:rsidRDefault="009B7AFD">
      <w:pPr>
        <w:pStyle w:val="ListParagraph"/>
        <w:numPr>
          <w:ilvl w:val="0"/>
          <w:numId w:val="95"/>
        </w:numPr>
        <w:tabs>
          <w:tab w:val="left" w:pos="1800"/>
          <w:tab w:val="left" w:pos="1802"/>
        </w:tabs>
        <w:spacing w:line="153" w:lineRule="exact"/>
        <w:rPr>
          <w:sz w:val="13"/>
        </w:rPr>
      </w:pPr>
      <w:r>
        <w:rPr>
          <w:color w:val="231F20"/>
          <w:sz w:val="13"/>
        </w:rPr>
        <w:t xml:space="preserve">Consultation 34 (Magistrates’ </w:t>
      </w:r>
      <w:r>
        <w:rPr>
          <w:color w:val="231F20"/>
          <w:spacing w:val="2"/>
          <w:sz w:val="13"/>
        </w:rPr>
        <w:t xml:space="preserve">Court </w:t>
      </w:r>
      <w:r>
        <w:rPr>
          <w:color w:val="231F20"/>
          <w:sz w:val="13"/>
        </w:rPr>
        <w:t>of Victoria (No</w:t>
      </w:r>
      <w:r>
        <w:rPr>
          <w:color w:val="231F20"/>
          <w:spacing w:val="1"/>
          <w:sz w:val="13"/>
        </w:rPr>
        <w:t xml:space="preserve"> </w:t>
      </w:r>
      <w:r>
        <w:rPr>
          <w:color w:val="231F20"/>
          <w:sz w:val="13"/>
        </w:rPr>
        <w:t>2)).</w:t>
      </w:r>
    </w:p>
    <w:p w14:paraId="2FA3643D" w14:textId="77777777" w:rsidR="00894070" w:rsidRDefault="009B7AFD">
      <w:pPr>
        <w:pStyle w:val="ListParagraph"/>
        <w:numPr>
          <w:ilvl w:val="0"/>
          <w:numId w:val="95"/>
        </w:numPr>
        <w:tabs>
          <w:tab w:val="left" w:pos="1801"/>
          <w:tab w:val="left" w:pos="1802"/>
        </w:tabs>
        <w:spacing w:before="6" w:line="213" w:lineRule="auto"/>
        <w:ind w:right="238"/>
        <w:rPr>
          <w:sz w:val="13"/>
        </w:rPr>
      </w:pPr>
      <w:r>
        <w:rPr>
          <w:color w:val="231F20"/>
          <w:spacing w:val="2"/>
          <w:sz w:val="13"/>
        </w:rPr>
        <w:t xml:space="preserve">Submissions </w:t>
      </w:r>
      <w:r>
        <w:rPr>
          <w:color w:val="231F20"/>
          <w:sz w:val="13"/>
        </w:rPr>
        <w:t>32 (Centre for Forensic Behavioural Science), 100 (Forensicare); Consultation 1 (Centre for Forensic Behavioural Science).</w:t>
      </w:r>
    </w:p>
    <w:p w14:paraId="2A494617" w14:textId="77777777" w:rsidR="00894070" w:rsidRDefault="009B7AFD">
      <w:pPr>
        <w:pStyle w:val="ListParagraph"/>
        <w:numPr>
          <w:ilvl w:val="0"/>
          <w:numId w:val="95"/>
        </w:numPr>
        <w:tabs>
          <w:tab w:val="left" w:pos="1801"/>
          <w:tab w:val="left" w:pos="1802"/>
        </w:tabs>
        <w:spacing w:line="163" w:lineRule="exac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 xml:space="preserve">2021) </w:t>
      </w:r>
      <w:r>
        <w:rPr>
          <w:color w:val="231F20"/>
          <w:spacing w:val="3"/>
          <w:sz w:val="13"/>
        </w:rPr>
        <w:t>[3.8]</w:t>
      </w:r>
      <w:proofErr w:type="gramStart"/>
      <w:r>
        <w:rPr>
          <w:color w:val="231F20"/>
          <w:spacing w:val="3"/>
          <w:sz w:val="13"/>
        </w:rPr>
        <w:t>–[</w:t>
      </w:r>
      <w:proofErr w:type="gramEnd"/>
      <w:r>
        <w:rPr>
          <w:color w:val="231F20"/>
          <w:spacing w:val="3"/>
          <w:sz w:val="13"/>
        </w:rPr>
        <w:t xml:space="preserve">3.11] </w:t>
      </w:r>
      <w:r>
        <w:rPr>
          <w:color w:val="231F20"/>
          <w:sz w:val="13"/>
        </w:rPr>
        <w:t>Recommendation</w:t>
      </w:r>
      <w:r>
        <w:rPr>
          <w:color w:val="231F20"/>
          <w:spacing w:val="17"/>
          <w:sz w:val="13"/>
        </w:rPr>
        <w:t xml:space="preserve"> </w:t>
      </w:r>
      <w:r>
        <w:rPr>
          <w:color w:val="231F20"/>
          <w:spacing w:val="3"/>
          <w:sz w:val="13"/>
        </w:rPr>
        <w:t>3.</w:t>
      </w:r>
    </w:p>
    <w:p w14:paraId="58129BBC" w14:textId="77777777" w:rsidR="00894070" w:rsidRDefault="009B7AFD">
      <w:pPr>
        <w:pStyle w:val="BodyText"/>
        <w:rPr>
          <w:sz w:val="28"/>
        </w:rPr>
      </w:pPr>
      <w:r>
        <w:br w:type="column"/>
      </w:r>
    </w:p>
    <w:p w14:paraId="5CED6668" w14:textId="77777777" w:rsidR="00894070" w:rsidRDefault="00894070">
      <w:pPr>
        <w:pStyle w:val="BodyText"/>
        <w:rPr>
          <w:sz w:val="28"/>
        </w:rPr>
      </w:pPr>
    </w:p>
    <w:p w14:paraId="1A7E838B" w14:textId="77777777" w:rsidR="00894070" w:rsidRDefault="00894070">
      <w:pPr>
        <w:pStyle w:val="BodyText"/>
        <w:rPr>
          <w:sz w:val="28"/>
        </w:rPr>
      </w:pPr>
    </w:p>
    <w:p w14:paraId="02892439" w14:textId="77777777" w:rsidR="00894070" w:rsidRDefault="00894070">
      <w:pPr>
        <w:pStyle w:val="BodyText"/>
        <w:rPr>
          <w:sz w:val="28"/>
        </w:rPr>
      </w:pPr>
    </w:p>
    <w:p w14:paraId="623F3F13" w14:textId="77777777" w:rsidR="00894070" w:rsidRDefault="00894070">
      <w:pPr>
        <w:pStyle w:val="BodyText"/>
        <w:spacing w:before="11"/>
        <w:rPr>
          <w:sz w:val="41"/>
        </w:rPr>
      </w:pPr>
    </w:p>
    <w:p w14:paraId="2F63A7BA" w14:textId="77777777" w:rsidR="00894070" w:rsidRDefault="009B7AFD">
      <w:pPr>
        <w:pStyle w:val="Heading8"/>
        <w:ind w:left="649"/>
      </w:pPr>
      <w:r>
        <w:rPr>
          <w:color w:val="EA5B50"/>
        </w:rPr>
        <w:t>101</w:t>
      </w:r>
    </w:p>
    <w:p w14:paraId="1D2663AA" w14:textId="77777777" w:rsidR="00894070" w:rsidRDefault="00894070">
      <w:pPr>
        <w:sectPr w:rsidR="00894070">
          <w:type w:val="continuous"/>
          <w:pgSz w:w="11910" w:h="16840"/>
          <w:pgMar w:top="560" w:right="420" w:bottom="280" w:left="580" w:header="720" w:footer="720" w:gutter="0"/>
          <w:cols w:num="2" w:space="720" w:equalWidth="0">
            <w:col w:w="9653" w:space="40"/>
            <w:col w:w="1217"/>
          </w:cols>
        </w:sectPr>
      </w:pPr>
    </w:p>
    <w:p w14:paraId="64CA231C" w14:textId="77777777" w:rsidR="00894070" w:rsidRDefault="00894070">
      <w:pPr>
        <w:pStyle w:val="BodyText"/>
        <w:rPr>
          <w:b/>
        </w:rPr>
      </w:pPr>
    </w:p>
    <w:p w14:paraId="39B1C569" w14:textId="77777777" w:rsidR="00894070" w:rsidRDefault="00894070">
      <w:pPr>
        <w:pStyle w:val="BodyText"/>
        <w:rPr>
          <w:b/>
        </w:rPr>
      </w:pPr>
    </w:p>
    <w:p w14:paraId="73EF179F" w14:textId="77777777" w:rsidR="00894070" w:rsidRDefault="00894070">
      <w:pPr>
        <w:pStyle w:val="BodyText"/>
        <w:rPr>
          <w:b/>
        </w:rPr>
      </w:pPr>
    </w:p>
    <w:p w14:paraId="366A1DBB" w14:textId="77777777" w:rsidR="00894070" w:rsidRDefault="00894070">
      <w:pPr>
        <w:pStyle w:val="BodyText"/>
        <w:spacing w:before="11"/>
        <w:rPr>
          <w:b/>
          <w:sz w:val="18"/>
        </w:rPr>
      </w:pPr>
    </w:p>
    <w:p w14:paraId="20036939" w14:textId="77777777" w:rsidR="00894070" w:rsidRDefault="009B7AFD">
      <w:pPr>
        <w:pStyle w:val="ListParagraph"/>
        <w:numPr>
          <w:ilvl w:val="1"/>
          <w:numId w:val="102"/>
        </w:numPr>
        <w:tabs>
          <w:tab w:val="left" w:pos="1801"/>
          <w:tab w:val="left" w:pos="1802"/>
        </w:tabs>
        <w:spacing w:line="206" w:lineRule="auto"/>
        <w:ind w:right="1309"/>
        <w:rPr>
          <w:sz w:val="20"/>
        </w:rPr>
      </w:pPr>
      <w:r>
        <w:rPr>
          <w:color w:val="231F20"/>
          <w:spacing w:val="-5"/>
          <w:sz w:val="20"/>
        </w:rPr>
        <w:t xml:space="preserve">However, </w:t>
      </w:r>
      <w:r>
        <w:rPr>
          <w:color w:val="231F20"/>
          <w:spacing w:val="-3"/>
          <w:sz w:val="20"/>
        </w:rPr>
        <w:t xml:space="preserve">we </w:t>
      </w:r>
      <w:r>
        <w:rPr>
          <w:color w:val="231F20"/>
          <w:sz w:val="20"/>
        </w:rPr>
        <w:t xml:space="preserve">do not endorse a particular risk assessment or screening tool or framework. As </w:t>
      </w:r>
      <w:r>
        <w:rPr>
          <w:color w:val="231F20"/>
          <w:spacing w:val="-3"/>
          <w:sz w:val="20"/>
        </w:rPr>
        <w:t xml:space="preserve">we </w:t>
      </w:r>
      <w:r>
        <w:rPr>
          <w:color w:val="231F20"/>
          <w:sz w:val="20"/>
        </w:rPr>
        <w:t xml:space="preserve">noted in the </w:t>
      </w:r>
      <w:r>
        <w:rPr>
          <w:color w:val="231F20"/>
          <w:spacing w:val="-3"/>
          <w:sz w:val="20"/>
        </w:rPr>
        <w:t xml:space="preserve">interim </w:t>
      </w:r>
      <w:r>
        <w:rPr>
          <w:color w:val="231F20"/>
          <w:sz w:val="20"/>
        </w:rPr>
        <w:t xml:space="preserve">report, more </w:t>
      </w:r>
      <w:r>
        <w:rPr>
          <w:color w:val="231F20"/>
          <w:spacing w:val="-3"/>
          <w:sz w:val="20"/>
        </w:rPr>
        <w:t xml:space="preserve">research </w:t>
      </w:r>
      <w:r>
        <w:rPr>
          <w:color w:val="231F20"/>
          <w:sz w:val="20"/>
        </w:rPr>
        <w:t xml:space="preserve">is needed about the </w:t>
      </w:r>
      <w:r>
        <w:rPr>
          <w:color w:val="231F20"/>
          <w:spacing w:val="-3"/>
          <w:sz w:val="20"/>
        </w:rPr>
        <w:t xml:space="preserve">nature, </w:t>
      </w:r>
      <w:proofErr w:type="gramStart"/>
      <w:r>
        <w:rPr>
          <w:color w:val="231F20"/>
          <w:sz w:val="20"/>
        </w:rPr>
        <w:t>dynamics</w:t>
      </w:r>
      <w:proofErr w:type="gramEnd"/>
      <w:r>
        <w:rPr>
          <w:color w:val="231F20"/>
          <w:sz w:val="20"/>
        </w:rPr>
        <w:t xml:space="preserve"> and risk factors of stalking </w:t>
      </w:r>
      <w:r>
        <w:rPr>
          <w:color w:val="231F20"/>
          <w:spacing w:val="-3"/>
          <w:sz w:val="20"/>
        </w:rPr>
        <w:t xml:space="preserve">before </w:t>
      </w:r>
      <w:r>
        <w:rPr>
          <w:color w:val="231F20"/>
          <w:sz w:val="20"/>
        </w:rPr>
        <w:t xml:space="preserve">these </w:t>
      </w:r>
      <w:r>
        <w:rPr>
          <w:color w:val="231F20"/>
          <w:spacing w:val="-3"/>
          <w:sz w:val="20"/>
        </w:rPr>
        <w:t xml:space="preserve">are </w:t>
      </w:r>
      <w:r>
        <w:rPr>
          <w:color w:val="231F20"/>
          <w:sz w:val="20"/>
        </w:rPr>
        <w:t>used.</w:t>
      </w:r>
      <w:r>
        <w:rPr>
          <w:color w:val="231F20"/>
          <w:position w:val="7"/>
          <w:sz w:val="11"/>
        </w:rPr>
        <w:t xml:space="preserve">56 </w:t>
      </w:r>
      <w:r>
        <w:rPr>
          <w:color w:val="231F20"/>
          <w:sz w:val="20"/>
        </w:rPr>
        <w:t xml:space="preserve">Again, </w:t>
      </w:r>
      <w:r>
        <w:rPr>
          <w:color w:val="231F20"/>
          <w:spacing w:val="-3"/>
          <w:sz w:val="20"/>
        </w:rPr>
        <w:t xml:space="preserve">we note </w:t>
      </w:r>
      <w:r>
        <w:rPr>
          <w:color w:val="231F20"/>
          <w:sz w:val="20"/>
        </w:rPr>
        <w:t>concerns</w:t>
      </w:r>
      <w:r>
        <w:rPr>
          <w:color w:val="231F20"/>
          <w:spacing w:val="-10"/>
          <w:sz w:val="20"/>
        </w:rPr>
        <w:t xml:space="preserve"> </w:t>
      </w:r>
      <w:r>
        <w:rPr>
          <w:color w:val="231F20"/>
          <w:sz w:val="20"/>
        </w:rPr>
        <w:t>about</w:t>
      </w:r>
      <w:r>
        <w:rPr>
          <w:color w:val="231F20"/>
          <w:spacing w:val="-9"/>
          <w:sz w:val="20"/>
        </w:rPr>
        <w:t xml:space="preserve"> </w:t>
      </w:r>
      <w:r>
        <w:rPr>
          <w:color w:val="231F20"/>
          <w:sz w:val="20"/>
        </w:rPr>
        <w:t>risk</w:t>
      </w:r>
      <w:r>
        <w:rPr>
          <w:color w:val="231F20"/>
          <w:spacing w:val="-9"/>
          <w:sz w:val="20"/>
        </w:rPr>
        <w:t xml:space="preserve"> </w:t>
      </w:r>
      <w:r>
        <w:rPr>
          <w:color w:val="231F20"/>
          <w:sz w:val="20"/>
        </w:rPr>
        <w:t>assessment</w:t>
      </w:r>
      <w:r>
        <w:rPr>
          <w:color w:val="231F20"/>
          <w:spacing w:val="-10"/>
          <w:sz w:val="20"/>
        </w:rPr>
        <w:t xml:space="preserve"> </w:t>
      </w:r>
      <w:r>
        <w:rPr>
          <w:color w:val="231F20"/>
          <w:sz w:val="20"/>
        </w:rPr>
        <w:t>tools,</w:t>
      </w:r>
      <w:r>
        <w:rPr>
          <w:color w:val="231F20"/>
          <w:spacing w:val="-10"/>
          <w:sz w:val="20"/>
        </w:rPr>
        <w:t xml:space="preserve"> </w:t>
      </w:r>
      <w:r>
        <w:rPr>
          <w:color w:val="231F20"/>
          <w:sz w:val="20"/>
        </w:rPr>
        <w:t>including</w:t>
      </w:r>
      <w:r>
        <w:rPr>
          <w:color w:val="231F20"/>
          <w:spacing w:val="-9"/>
          <w:sz w:val="20"/>
        </w:rPr>
        <w:t xml:space="preserve"> </w:t>
      </w:r>
      <w:r>
        <w:rPr>
          <w:color w:val="231F20"/>
          <w:sz w:val="20"/>
        </w:rPr>
        <w:t>ethical</w:t>
      </w:r>
      <w:r>
        <w:rPr>
          <w:color w:val="231F20"/>
          <w:spacing w:val="-9"/>
          <w:sz w:val="20"/>
        </w:rPr>
        <w:t xml:space="preserve"> </w:t>
      </w:r>
      <w:r>
        <w:rPr>
          <w:color w:val="231F20"/>
          <w:sz w:val="20"/>
        </w:rPr>
        <w:t>concerns.</w:t>
      </w:r>
      <w:r>
        <w:rPr>
          <w:color w:val="231F20"/>
          <w:position w:val="7"/>
          <w:sz w:val="11"/>
        </w:rPr>
        <w:t>57</w:t>
      </w:r>
      <w:r>
        <w:rPr>
          <w:color w:val="231F20"/>
          <w:spacing w:val="14"/>
          <w:position w:val="7"/>
          <w:sz w:val="11"/>
        </w:rPr>
        <w:t xml:space="preserve"> </w:t>
      </w:r>
      <w:r>
        <w:rPr>
          <w:color w:val="231F20"/>
          <w:spacing w:val="-6"/>
          <w:sz w:val="20"/>
        </w:rPr>
        <w:t>We</w:t>
      </w:r>
      <w:r>
        <w:rPr>
          <w:color w:val="231F20"/>
          <w:spacing w:val="-9"/>
          <w:sz w:val="20"/>
        </w:rPr>
        <w:t xml:space="preserve"> </w:t>
      </w:r>
      <w:r>
        <w:rPr>
          <w:color w:val="231F20"/>
          <w:sz w:val="20"/>
        </w:rPr>
        <w:t>also</w:t>
      </w:r>
      <w:r>
        <w:rPr>
          <w:color w:val="231F20"/>
          <w:spacing w:val="-9"/>
          <w:sz w:val="20"/>
        </w:rPr>
        <w:t xml:space="preserve"> </w:t>
      </w:r>
      <w:r>
        <w:rPr>
          <w:color w:val="231F20"/>
          <w:spacing w:val="-3"/>
          <w:sz w:val="20"/>
        </w:rPr>
        <w:t>note</w:t>
      </w:r>
      <w:r>
        <w:rPr>
          <w:color w:val="231F20"/>
          <w:spacing w:val="-10"/>
          <w:sz w:val="20"/>
        </w:rPr>
        <w:t xml:space="preserve"> </w:t>
      </w:r>
      <w:r>
        <w:rPr>
          <w:color w:val="231F20"/>
          <w:sz w:val="20"/>
        </w:rPr>
        <w:t xml:space="preserve">their limits. </w:t>
      </w:r>
      <w:r>
        <w:rPr>
          <w:color w:val="231F20"/>
          <w:spacing w:val="-3"/>
          <w:sz w:val="20"/>
        </w:rPr>
        <w:t xml:space="preserve">For example, </w:t>
      </w:r>
      <w:r>
        <w:rPr>
          <w:color w:val="231F20"/>
          <w:sz w:val="20"/>
        </w:rPr>
        <w:t>risk screening</w:t>
      </w:r>
      <w:r>
        <w:rPr>
          <w:color w:val="231F20"/>
          <w:spacing w:val="-16"/>
          <w:sz w:val="20"/>
        </w:rPr>
        <w:t xml:space="preserve"> </w:t>
      </w:r>
      <w:r>
        <w:rPr>
          <w:color w:val="231F20"/>
          <w:sz w:val="20"/>
        </w:rPr>
        <w:t>tools:</w:t>
      </w:r>
    </w:p>
    <w:p w14:paraId="3DE884D3" w14:textId="77777777" w:rsidR="00894070" w:rsidRDefault="009B7AFD">
      <w:pPr>
        <w:pStyle w:val="ListParagraph"/>
        <w:numPr>
          <w:ilvl w:val="2"/>
          <w:numId w:val="102"/>
        </w:numPr>
        <w:tabs>
          <w:tab w:val="left" w:pos="2141"/>
          <w:tab w:val="left" w:pos="2142"/>
        </w:tabs>
        <w:spacing w:before="94"/>
        <w:ind w:hanging="340"/>
        <w:rPr>
          <w:sz w:val="20"/>
        </w:rPr>
      </w:pPr>
      <w:r>
        <w:rPr>
          <w:color w:val="231F20"/>
          <w:spacing w:val="-3"/>
          <w:sz w:val="20"/>
        </w:rPr>
        <w:t>may</w:t>
      </w:r>
      <w:r>
        <w:rPr>
          <w:color w:val="231F20"/>
          <w:spacing w:val="-6"/>
          <w:sz w:val="20"/>
        </w:rPr>
        <w:t xml:space="preserve"> </w:t>
      </w:r>
      <w:r>
        <w:rPr>
          <w:color w:val="231F20"/>
          <w:spacing w:val="-4"/>
          <w:sz w:val="20"/>
        </w:rPr>
        <w:t>leave</w:t>
      </w:r>
      <w:r>
        <w:rPr>
          <w:color w:val="231F20"/>
          <w:spacing w:val="-5"/>
          <w:sz w:val="20"/>
        </w:rPr>
        <w:t xml:space="preserve"> </w:t>
      </w:r>
      <w:r>
        <w:rPr>
          <w:color w:val="231F20"/>
          <w:sz w:val="20"/>
        </w:rPr>
        <w:t>little</w:t>
      </w:r>
      <w:r>
        <w:rPr>
          <w:color w:val="231F20"/>
          <w:spacing w:val="-5"/>
          <w:sz w:val="20"/>
        </w:rPr>
        <w:t xml:space="preserve"> </w:t>
      </w:r>
      <w:r>
        <w:rPr>
          <w:color w:val="231F20"/>
          <w:sz w:val="20"/>
        </w:rPr>
        <w:t>room</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decision</w:t>
      </w:r>
      <w:r>
        <w:rPr>
          <w:color w:val="231F20"/>
          <w:spacing w:val="-5"/>
          <w:sz w:val="20"/>
        </w:rPr>
        <w:t xml:space="preserve"> </w:t>
      </w:r>
      <w:r>
        <w:rPr>
          <w:color w:val="231F20"/>
          <w:sz w:val="20"/>
        </w:rPr>
        <w:t>makers</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apply</w:t>
      </w:r>
      <w:r>
        <w:rPr>
          <w:color w:val="231F20"/>
          <w:spacing w:val="-5"/>
          <w:sz w:val="20"/>
        </w:rPr>
        <w:t xml:space="preserve"> </w:t>
      </w:r>
      <w:r>
        <w:rPr>
          <w:color w:val="231F20"/>
          <w:sz w:val="20"/>
        </w:rPr>
        <w:t>their</w:t>
      </w:r>
      <w:r>
        <w:rPr>
          <w:color w:val="231F20"/>
          <w:spacing w:val="-5"/>
          <w:sz w:val="20"/>
        </w:rPr>
        <w:t xml:space="preserve"> </w:t>
      </w:r>
      <w:r>
        <w:rPr>
          <w:color w:val="231F20"/>
          <w:spacing w:val="-3"/>
          <w:sz w:val="20"/>
        </w:rPr>
        <w:t>own</w:t>
      </w:r>
      <w:r>
        <w:rPr>
          <w:color w:val="231F20"/>
          <w:spacing w:val="-5"/>
          <w:sz w:val="20"/>
        </w:rPr>
        <w:t xml:space="preserve"> </w:t>
      </w:r>
      <w:r>
        <w:rPr>
          <w:color w:val="231F20"/>
          <w:spacing w:val="-3"/>
          <w:sz w:val="20"/>
        </w:rPr>
        <w:t>professional</w:t>
      </w:r>
      <w:r>
        <w:rPr>
          <w:color w:val="231F20"/>
          <w:spacing w:val="-5"/>
          <w:sz w:val="20"/>
        </w:rPr>
        <w:t xml:space="preserve"> </w:t>
      </w:r>
      <w:r>
        <w:rPr>
          <w:color w:val="231F20"/>
          <w:sz w:val="20"/>
        </w:rPr>
        <w:t>judgment</w:t>
      </w:r>
    </w:p>
    <w:p w14:paraId="1C3C79AE" w14:textId="77777777" w:rsidR="00894070" w:rsidRDefault="009B7AFD">
      <w:pPr>
        <w:pStyle w:val="ListParagraph"/>
        <w:numPr>
          <w:ilvl w:val="2"/>
          <w:numId w:val="102"/>
        </w:numPr>
        <w:tabs>
          <w:tab w:val="left" w:pos="2141"/>
          <w:tab w:val="left" w:pos="2142"/>
        </w:tabs>
        <w:spacing w:before="48"/>
        <w:ind w:hanging="340"/>
        <w:rPr>
          <w:sz w:val="20"/>
        </w:rPr>
      </w:pPr>
      <w:r>
        <w:rPr>
          <w:color w:val="231F20"/>
          <w:spacing w:val="-3"/>
          <w:sz w:val="20"/>
        </w:rPr>
        <w:t xml:space="preserve">are </w:t>
      </w:r>
      <w:r>
        <w:rPr>
          <w:color w:val="231F20"/>
          <w:sz w:val="20"/>
        </w:rPr>
        <w:t>not statistically</w:t>
      </w:r>
      <w:r>
        <w:rPr>
          <w:color w:val="231F20"/>
          <w:spacing w:val="-10"/>
          <w:sz w:val="20"/>
        </w:rPr>
        <w:t xml:space="preserve"> </w:t>
      </w:r>
      <w:r>
        <w:rPr>
          <w:color w:val="231F20"/>
          <w:sz w:val="20"/>
        </w:rPr>
        <w:t>reliable</w:t>
      </w:r>
    </w:p>
    <w:p w14:paraId="5714D8AF" w14:textId="77777777" w:rsidR="00894070" w:rsidRDefault="009B7AFD">
      <w:pPr>
        <w:pStyle w:val="ListParagraph"/>
        <w:numPr>
          <w:ilvl w:val="2"/>
          <w:numId w:val="102"/>
        </w:numPr>
        <w:tabs>
          <w:tab w:val="left" w:pos="2141"/>
          <w:tab w:val="left" w:pos="2142"/>
        </w:tabs>
        <w:spacing w:before="47"/>
        <w:ind w:hanging="340"/>
        <w:rPr>
          <w:sz w:val="11"/>
        </w:rPr>
      </w:pPr>
      <w:r>
        <w:rPr>
          <w:color w:val="231F20"/>
          <w:sz w:val="20"/>
        </w:rPr>
        <w:t xml:space="preserve">tend to disproportionately </w:t>
      </w:r>
      <w:r>
        <w:rPr>
          <w:color w:val="231F20"/>
          <w:spacing w:val="-3"/>
          <w:sz w:val="20"/>
        </w:rPr>
        <w:t xml:space="preserve">capture </w:t>
      </w:r>
      <w:r>
        <w:rPr>
          <w:color w:val="231F20"/>
          <w:sz w:val="20"/>
        </w:rPr>
        <w:t xml:space="preserve">people </w:t>
      </w:r>
      <w:r>
        <w:rPr>
          <w:color w:val="231F20"/>
          <w:spacing w:val="-3"/>
          <w:sz w:val="20"/>
        </w:rPr>
        <w:t xml:space="preserve">from </w:t>
      </w:r>
      <w:r>
        <w:rPr>
          <w:color w:val="231F20"/>
          <w:sz w:val="20"/>
        </w:rPr>
        <w:t>marginalised</w:t>
      </w:r>
      <w:r>
        <w:rPr>
          <w:color w:val="231F20"/>
          <w:spacing w:val="-33"/>
          <w:sz w:val="20"/>
        </w:rPr>
        <w:t xml:space="preserve"> </w:t>
      </w:r>
      <w:r>
        <w:rPr>
          <w:color w:val="231F20"/>
          <w:sz w:val="20"/>
        </w:rPr>
        <w:t>backgrounds.</w:t>
      </w:r>
      <w:r>
        <w:rPr>
          <w:color w:val="231F20"/>
          <w:position w:val="7"/>
          <w:sz w:val="11"/>
        </w:rPr>
        <w:t>58</w:t>
      </w:r>
    </w:p>
    <w:p w14:paraId="55C98E8F" w14:textId="77777777" w:rsidR="00894070" w:rsidRDefault="009B7AFD">
      <w:pPr>
        <w:pStyle w:val="ListParagraph"/>
        <w:numPr>
          <w:ilvl w:val="1"/>
          <w:numId w:val="102"/>
        </w:numPr>
        <w:tabs>
          <w:tab w:val="left" w:pos="1801"/>
          <w:tab w:val="left" w:pos="1802"/>
        </w:tabs>
        <w:spacing w:before="80" w:line="206" w:lineRule="auto"/>
        <w:ind w:right="1173"/>
        <w:rPr>
          <w:sz w:val="11"/>
        </w:rPr>
      </w:pPr>
      <w:r>
        <w:rPr>
          <w:color w:val="231F20"/>
          <w:sz w:val="20"/>
        </w:rPr>
        <w:t xml:space="preserve">As was our approach with police, the purpose of the guidance is to </w:t>
      </w:r>
      <w:r>
        <w:rPr>
          <w:color w:val="231F20"/>
          <w:spacing w:val="-3"/>
          <w:sz w:val="20"/>
        </w:rPr>
        <w:t xml:space="preserve">provide </w:t>
      </w:r>
      <w:r>
        <w:rPr>
          <w:color w:val="231F20"/>
          <w:sz w:val="20"/>
        </w:rPr>
        <w:t xml:space="preserve">a </w:t>
      </w:r>
      <w:r>
        <w:rPr>
          <w:color w:val="231F20"/>
          <w:spacing w:val="-4"/>
          <w:sz w:val="20"/>
        </w:rPr>
        <w:t xml:space="preserve">clear, </w:t>
      </w:r>
      <w:r>
        <w:rPr>
          <w:color w:val="231F20"/>
          <w:sz w:val="20"/>
        </w:rPr>
        <w:t>logical</w:t>
      </w:r>
      <w:r>
        <w:rPr>
          <w:color w:val="231F20"/>
          <w:spacing w:val="-11"/>
          <w:sz w:val="20"/>
        </w:rPr>
        <w:t xml:space="preserve"> </w:t>
      </w:r>
      <w:r>
        <w:rPr>
          <w:color w:val="231F20"/>
          <w:spacing w:val="-3"/>
          <w:sz w:val="20"/>
        </w:rPr>
        <w:t>framework</w:t>
      </w:r>
      <w:r>
        <w:rPr>
          <w:color w:val="231F20"/>
          <w:spacing w:val="-11"/>
          <w:sz w:val="20"/>
        </w:rPr>
        <w:t xml:space="preserve"> </w:t>
      </w:r>
      <w:r>
        <w:rPr>
          <w:color w:val="231F20"/>
          <w:spacing w:val="-3"/>
          <w:sz w:val="20"/>
        </w:rPr>
        <w:t>for</w:t>
      </w:r>
      <w:r>
        <w:rPr>
          <w:color w:val="231F20"/>
          <w:spacing w:val="-10"/>
          <w:sz w:val="20"/>
        </w:rPr>
        <w:t xml:space="preserve"> </w:t>
      </w:r>
      <w:r>
        <w:rPr>
          <w:color w:val="231F20"/>
          <w:sz w:val="20"/>
        </w:rPr>
        <w:t>magistrates,</w:t>
      </w:r>
      <w:r>
        <w:rPr>
          <w:color w:val="231F20"/>
          <w:spacing w:val="-11"/>
          <w:sz w:val="20"/>
        </w:rPr>
        <w:t xml:space="preserve"> </w:t>
      </w:r>
      <w:r>
        <w:rPr>
          <w:color w:val="231F20"/>
          <w:sz w:val="20"/>
        </w:rPr>
        <w:t>judicial</w:t>
      </w:r>
      <w:r>
        <w:rPr>
          <w:color w:val="231F20"/>
          <w:spacing w:val="-10"/>
          <w:sz w:val="20"/>
        </w:rPr>
        <w:t xml:space="preserve"> </w:t>
      </w:r>
      <w:proofErr w:type="gramStart"/>
      <w:r>
        <w:rPr>
          <w:color w:val="231F20"/>
          <w:sz w:val="20"/>
        </w:rPr>
        <w:t>registrars</w:t>
      </w:r>
      <w:proofErr w:type="gramEnd"/>
      <w:r>
        <w:rPr>
          <w:color w:val="231F20"/>
          <w:spacing w:val="-11"/>
          <w:sz w:val="20"/>
        </w:rPr>
        <w:t xml:space="preserve"> </w:t>
      </w:r>
      <w:r>
        <w:rPr>
          <w:color w:val="231F20"/>
          <w:sz w:val="20"/>
        </w:rPr>
        <w:t>and</w:t>
      </w:r>
      <w:r>
        <w:rPr>
          <w:color w:val="231F20"/>
          <w:spacing w:val="-10"/>
          <w:sz w:val="20"/>
        </w:rPr>
        <w:t xml:space="preserve"> </w:t>
      </w:r>
      <w:r>
        <w:rPr>
          <w:color w:val="231F20"/>
          <w:sz w:val="20"/>
        </w:rPr>
        <w:t>court</w:t>
      </w:r>
      <w:r>
        <w:rPr>
          <w:color w:val="231F20"/>
          <w:spacing w:val="-11"/>
          <w:sz w:val="20"/>
        </w:rPr>
        <w:t xml:space="preserve"> </w:t>
      </w:r>
      <w:r>
        <w:rPr>
          <w:color w:val="231F20"/>
          <w:spacing w:val="-4"/>
          <w:sz w:val="20"/>
        </w:rPr>
        <w:t>staff.</w:t>
      </w:r>
      <w:r>
        <w:rPr>
          <w:color w:val="231F20"/>
          <w:spacing w:val="-10"/>
          <w:sz w:val="20"/>
        </w:rPr>
        <w:t xml:space="preserve"> </w:t>
      </w:r>
      <w:r>
        <w:rPr>
          <w:color w:val="231F20"/>
          <w:sz w:val="20"/>
        </w:rPr>
        <w:t>It</w:t>
      </w:r>
      <w:r>
        <w:rPr>
          <w:color w:val="231F20"/>
          <w:spacing w:val="-11"/>
          <w:sz w:val="20"/>
        </w:rPr>
        <w:t xml:space="preserve"> </w:t>
      </w:r>
      <w:r>
        <w:rPr>
          <w:color w:val="231F20"/>
          <w:sz w:val="20"/>
        </w:rPr>
        <w:t>should</w:t>
      </w:r>
      <w:r>
        <w:rPr>
          <w:color w:val="231F20"/>
          <w:spacing w:val="-10"/>
          <w:sz w:val="20"/>
        </w:rPr>
        <w:t xml:space="preserve"> </w:t>
      </w:r>
      <w:r>
        <w:rPr>
          <w:color w:val="231F20"/>
          <w:sz w:val="20"/>
        </w:rPr>
        <w:t>enable</w:t>
      </w:r>
      <w:r>
        <w:rPr>
          <w:color w:val="231F20"/>
          <w:spacing w:val="-11"/>
          <w:sz w:val="20"/>
        </w:rPr>
        <w:t xml:space="preserve"> </w:t>
      </w:r>
      <w:r>
        <w:rPr>
          <w:color w:val="231F20"/>
          <w:sz w:val="20"/>
        </w:rPr>
        <w:t>the court</w:t>
      </w:r>
      <w:r>
        <w:rPr>
          <w:color w:val="231F20"/>
          <w:spacing w:val="-10"/>
          <w:sz w:val="20"/>
        </w:rPr>
        <w:t xml:space="preserve"> </w:t>
      </w:r>
      <w:r>
        <w:rPr>
          <w:color w:val="231F20"/>
          <w:sz w:val="20"/>
        </w:rPr>
        <w:t>to</w:t>
      </w:r>
      <w:r>
        <w:rPr>
          <w:color w:val="231F20"/>
          <w:spacing w:val="-9"/>
          <w:sz w:val="20"/>
        </w:rPr>
        <w:t xml:space="preserve"> </w:t>
      </w:r>
      <w:r>
        <w:rPr>
          <w:color w:val="231F20"/>
          <w:sz w:val="20"/>
        </w:rPr>
        <w:t>identify</w:t>
      </w:r>
      <w:r>
        <w:rPr>
          <w:color w:val="231F20"/>
          <w:spacing w:val="-10"/>
          <w:sz w:val="20"/>
        </w:rPr>
        <w:t xml:space="preserve"> </w:t>
      </w:r>
      <w:r>
        <w:rPr>
          <w:color w:val="231F20"/>
          <w:sz w:val="20"/>
        </w:rPr>
        <w:t>stalking,</w:t>
      </w:r>
      <w:r>
        <w:rPr>
          <w:color w:val="231F20"/>
          <w:spacing w:val="-9"/>
          <w:sz w:val="20"/>
        </w:rPr>
        <w:t xml:space="preserve"> </w:t>
      </w:r>
      <w:r>
        <w:rPr>
          <w:color w:val="231F20"/>
          <w:sz w:val="20"/>
        </w:rPr>
        <w:t>the</w:t>
      </w:r>
      <w:r>
        <w:rPr>
          <w:color w:val="231F20"/>
          <w:spacing w:val="-9"/>
          <w:sz w:val="20"/>
        </w:rPr>
        <w:t xml:space="preserve"> </w:t>
      </w:r>
      <w:r>
        <w:rPr>
          <w:color w:val="231F20"/>
          <w:sz w:val="20"/>
        </w:rPr>
        <w:t>potential</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serious</w:t>
      </w:r>
      <w:r>
        <w:rPr>
          <w:color w:val="231F20"/>
          <w:spacing w:val="-9"/>
          <w:sz w:val="20"/>
        </w:rPr>
        <w:t xml:space="preserve"> </w:t>
      </w:r>
      <w:r>
        <w:rPr>
          <w:color w:val="231F20"/>
          <w:sz w:val="20"/>
        </w:rPr>
        <w:t>harm</w:t>
      </w:r>
      <w:r>
        <w:rPr>
          <w:color w:val="231F20"/>
          <w:spacing w:val="-10"/>
          <w:sz w:val="20"/>
        </w:rPr>
        <w:t xml:space="preserve"> </w:t>
      </w:r>
      <w:r>
        <w:rPr>
          <w:color w:val="231F20"/>
          <w:sz w:val="20"/>
        </w:rPr>
        <w:t>or</w:t>
      </w:r>
      <w:r>
        <w:rPr>
          <w:color w:val="231F20"/>
          <w:spacing w:val="-9"/>
          <w:sz w:val="20"/>
        </w:rPr>
        <w:t xml:space="preserve"> </w:t>
      </w:r>
      <w:r>
        <w:rPr>
          <w:color w:val="231F20"/>
          <w:sz w:val="20"/>
        </w:rPr>
        <w:t>outcomes</w:t>
      </w:r>
      <w:r>
        <w:rPr>
          <w:color w:val="231F20"/>
          <w:spacing w:val="-9"/>
          <w:sz w:val="20"/>
        </w:rPr>
        <w:t xml:space="preserve"> </w:t>
      </w:r>
      <w:r>
        <w:rPr>
          <w:color w:val="231F20"/>
          <w:sz w:val="20"/>
        </w:rPr>
        <w:t>to</w:t>
      </w:r>
      <w:r>
        <w:rPr>
          <w:color w:val="231F20"/>
          <w:spacing w:val="-10"/>
          <w:sz w:val="20"/>
        </w:rPr>
        <w:t xml:space="preserve"> </w:t>
      </w:r>
      <w:r>
        <w:rPr>
          <w:color w:val="231F20"/>
          <w:sz w:val="20"/>
        </w:rPr>
        <w:t>the</w:t>
      </w:r>
      <w:r>
        <w:rPr>
          <w:color w:val="231F20"/>
          <w:spacing w:val="-9"/>
          <w:sz w:val="20"/>
        </w:rPr>
        <w:t xml:space="preserve"> </w:t>
      </w:r>
      <w:r>
        <w:rPr>
          <w:color w:val="231F20"/>
          <w:sz w:val="20"/>
        </w:rPr>
        <w:t xml:space="preserve">community and the need </w:t>
      </w:r>
      <w:r>
        <w:rPr>
          <w:color w:val="231F20"/>
          <w:spacing w:val="-3"/>
          <w:sz w:val="20"/>
        </w:rPr>
        <w:t>for</w:t>
      </w:r>
      <w:r>
        <w:rPr>
          <w:color w:val="231F20"/>
          <w:spacing w:val="-16"/>
          <w:sz w:val="20"/>
        </w:rPr>
        <w:t xml:space="preserve"> </w:t>
      </w:r>
      <w:r>
        <w:rPr>
          <w:color w:val="231F20"/>
          <w:sz w:val="20"/>
        </w:rPr>
        <w:t>services.</w:t>
      </w:r>
      <w:r>
        <w:rPr>
          <w:color w:val="231F20"/>
          <w:position w:val="7"/>
          <w:sz w:val="11"/>
        </w:rPr>
        <w:t>59</w:t>
      </w:r>
    </w:p>
    <w:p w14:paraId="306EEDC0" w14:textId="77777777" w:rsidR="00894070" w:rsidRDefault="009B7AFD">
      <w:pPr>
        <w:pStyle w:val="ListParagraph"/>
        <w:numPr>
          <w:ilvl w:val="1"/>
          <w:numId w:val="102"/>
        </w:numPr>
        <w:tabs>
          <w:tab w:val="left" w:pos="1801"/>
          <w:tab w:val="left" w:pos="1802"/>
        </w:tabs>
        <w:spacing w:before="93"/>
        <w:rPr>
          <w:sz w:val="20"/>
        </w:rPr>
      </w:pPr>
      <w:r>
        <w:rPr>
          <w:color w:val="231F20"/>
          <w:sz w:val="20"/>
        </w:rPr>
        <w:t>In</w:t>
      </w:r>
      <w:r>
        <w:rPr>
          <w:color w:val="231F20"/>
          <w:spacing w:val="-6"/>
          <w:sz w:val="20"/>
        </w:rPr>
        <w:t xml:space="preserve"> </w:t>
      </w:r>
      <w:r>
        <w:rPr>
          <w:color w:val="231F20"/>
          <w:sz w:val="20"/>
        </w:rPr>
        <w:t>designing</w:t>
      </w:r>
      <w:r>
        <w:rPr>
          <w:color w:val="231F20"/>
          <w:spacing w:val="-5"/>
          <w:sz w:val="20"/>
        </w:rPr>
        <w:t xml:space="preserve"> </w:t>
      </w:r>
      <w:r>
        <w:rPr>
          <w:color w:val="231F20"/>
          <w:sz w:val="20"/>
        </w:rPr>
        <w:t>the</w:t>
      </w:r>
      <w:r>
        <w:rPr>
          <w:color w:val="231F20"/>
          <w:spacing w:val="-5"/>
          <w:sz w:val="20"/>
        </w:rPr>
        <w:t xml:space="preserve"> </w:t>
      </w:r>
      <w:r>
        <w:rPr>
          <w:color w:val="231F20"/>
          <w:sz w:val="20"/>
        </w:rPr>
        <w:t>guidance,</w:t>
      </w:r>
      <w:r>
        <w:rPr>
          <w:color w:val="231F20"/>
          <w:spacing w:val="-5"/>
          <w:sz w:val="20"/>
        </w:rPr>
        <w:t xml:space="preserve"> </w:t>
      </w:r>
      <w:r>
        <w:rPr>
          <w:color w:val="231F20"/>
          <w:spacing w:val="-3"/>
          <w:sz w:val="20"/>
        </w:rPr>
        <w:t>we</w:t>
      </w:r>
      <w:r>
        <w:rPr>
          <w:color w:val="231F20"/>
          <w:spacing w:val="-5"/>
          <w:sz w:val="20"/>
        </w:rPr>
        <w:t xml:space="preserve"> </w:t>
      </w:r>
      <w:r>
        <w:rPr>
          <w:color w:val="231F20"/>
          <w:sz w:val="20"/>
        </w:rPr>
        <w:t>consider</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following</w:t>
      </w:r>
      <w:r>
        <w:rPr>
          <w:color w:val="231F20"/>
          <w:spacing w:val="-5"/>
          <w:sz w:val="20"/>
        </w:rPr>
        <w:t xml:space="preserve"> </w:t>
      </w:r>
      <w:r>
        <w:rPr>
          <w:color w:val="231F20"/>
          <w:spacing w:val="-3"/>
          <w:sz w:val="20"/>
        </w:rPr>
        <w:t>features</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important:</w:t>
      </w:r>
    </w:p>
    <w:p w14:paraId="2AA3A483" w14:textId="77777777" w:rsidR="00894070" w:rsidRDefault="009B7AFD">
      <w:pPr>
        <w:pStyle w:val="ListParagraph"/>
        <w:numPr>
          <w:ilvl w:val="2"/>
          <w:numId w:val="102"/>
        </w:numPr>
        <w:tabs>
          <w:tab w:val="left" w:pos="2141"/>
          <w:tab w:val="left" w:pos="2142"/>
        </w:tabs>
        <w:spacing w:before="82" w:line="259" w:lineRule="exact"/>
        <w:ind w:hanging="340"/>
        <w:rPr>
          <w:sz w:val="20"/>
        </w:rPr>
      </w:pPr>
      <w:r>
        <w:rPr>
          <w:color w:val="231F20"/>
          <w:sz w:val="20"/>
        </w:rPr>
        <w:t>Identification</w:t>
      </w:r>
      <w:r>
        <w:rPr>
          <w:color w:val="231F20"/>
          <w:spacing w:val="-8"/>
          <w:sz w:val="20"/>
        </w:rPr>
        <w:t xml:space="preserve"> </w:t>
      </w:r>
      <w:r>
        <w:rPr>
          <w:color w:val="231F20"/>
          <w:sz w:val="20"/>
        </w:rPr>
        <w:t>of</w:t>
      </w:r>
      <w:r>
        <w:rPr>
          <w:color w:val="231F20"/>
          <w:spacing w:val="-7"/>
          <w:sz w:val="20"/>
        </w:rPr>
        <w:t xml:space="preserve"> </w:t>
      </w:r>
      <w:r>
        <w:rPr>
          <w:color w:val="231F20"/>
          <w:sz w:val="20"/>
        </w:rPr>
        <w:t>stalking</w:t>
      </w:r>
      <w:r>
        <w:rPr>
          <w:color w:val="231F20"/>
          <w:spacing w:val="-7"/>
          <w:sz w:val="20"/>
        </w:rPr>
        <w:t xml:space="preserve"> </w:t>
      </w:r>
      <w:r>
        <w:rPr>
          <w:color w:val="231F20"/>
          <w:sz w:val="20"/>
        </w:rPr>
        <w:t>should</w:t>
      </w:r>
      <w:r>
        <w:rPr>
          <w:color w:val="231F20"/>
          <w:spacing w:val="-7"/>
          <w:sz w:val="20"/>
        </w:rPr>
        <w:t xml:space="preserve"> </w:t>
      </w:r>
      <w:r>
        <w:rPr>
          <w:color w:val="231F20"/>
          <w:sz w:val="20"/>
        </w:rPr>
        <w:t>be</w:t>
      </w:r>
      <w:r>
        <w:rPr>
          <w:color w:val="231F20"/>
          <w:spacing w:val="-7"/>
          <w:sz w:val="20"/>
        </w:rPr>
        <w:t xml:space="preserve"> </w:t>
      </w:r>
      <w:r>
        <w:rPr>
          <w:color w:val="231F20"/>
          <w:sz w:val="20"/>
        </w:rPr>
        <w:t>informed</w:t>
      </w:r>
      <w:r>
        <w:rPr>
          <w:color w:val="231F20"/>
          <w:spacing w:val="-7"/>
          <w:sz w:val="20"/>
        </w:rPr>
        <w:t xml:space="preserve"> </w:t>
      </w:r>
      <w:r>
        <w:rPr>
          <w:color w:val="231F20"/>
          <w:spacing w:val="-3"/>
          <w:sz w:val="20"/>
        </w:rPr>
        <w:t>by</w:t>
      </w:r>
      <w:r>
        <w:rPr>
          <w:color w:val="231F20"/>
          <w:spacing w:val="-8"/>
          <w:sz w:val="20"/>
        </w:rPr>
        <w:t xml:space="preserve"> </w:t>
      </w:r>
      <w:r>
        <w:rPr>
          <w:color w:val="231F20"/>
          <w:sz w:val="20"/>
        </w:rPr>
        <w:t>evidence-based</w:t>
      </w:r>
      <w:r>
        <w:rPr>
          <w:color w:val="231F20"/>
          <w:spacing w:val="-7"/>
          <w:sz w:val="20"/>
        </w:rPr>
        <w:t xml:space="preserve"> </w:t>
      </w:r>
      <w:r>
        <w:rPr>
          <w:color w:val="231F20"/>
          <w:sz w:val="20"/>
        </w:rPr>
        <w:t>criteria</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defining</w:t>
      </w:r>
    </w:p>
    <w:p w14:paraId="62EAED2F" w14:textId="77777777" w:rsidR="00894070" w:rsidRDefault="009B7AFD">
      <w:pPr>
        <w:pStyle w:val="BodyText"/>
        <w:spacing w:line="259" w:lineRule="exact"/>
        <w:ind w:left="2141"/>
        <w:rPr>
          <w:sz w:val="11"/>
        </w:rPr>
      </w:pPr>
      <w:r>
        <w:rPr>
          <w:color w:val="231F20"/>
        </w:rPr>
        <w:t>stalking.</w:t>
      </w:r>
      <w:r>
        <w:rPr>
          <w:color w:val="231F20"/>
          <w:position w:val="7"/>
          <w:sz w:val="11"/>
        </w:rPr>
        <w:t>60</w:t>
      </w:r>
    </w:p>
    <w:p w14:paraId="699A1BBC" w14:textId="77777777" w:rsidR="00894070" w:rsidRDefault="009B7AFD">
      <w:pPr>
        <w:pStyle w:val="ListParagraph"/>
        <w:numPr>
          <w:ilvl w:val="2"/>
          <w:numId w:val="102"/>
        </w:numPr>
        <w:tabs>
          <w:tab w:val="left" w:pos="2141"/>
          <w:tab w:val="left" w:pos="2142"/>
        </w:tabs>
        <w:spacing w:before="80" w:line="206" w:lineRule="auto"/>
        <w:ind w:right="1418" w:hanging="340"/>
        <w:rPr>
          <w:sz w:val="11"/>
        </w:rPr>
      </w:pPr>
      <w:r>
        <w:rPr>
          <w:color w:val="231F20"/>
          <w:sz w:val="20"/>
        </w:rPr>
        <w:t xml:space="preserve">It should not </w:t>
      </w:r>
      <w:r>
        <w:rPr>
          <w:color w:val="231F20"/>
          <w:spacing w:val="-3"/>
          <w:sz w:val="20"/>
        </w:rPr>
        <w:t xml:space="preserve">require </w:t>
      </w:r>
      <w:r>
        <w:rPr>
          <w:color w:val="231F20"/>
          <w:sz w:val="20"/>
        </w:rPr>
        <w:t>magistrates or court staff to perform a task that should be done</w:t>
      </w:r>
      <w:r>
        <w:rPr>
          <w:color w:val="231F20"/>
          <w:spacing w:val="-11"/>
          <w:sz w:val="20"/>
        </w:rPr>
        <w:t xml:space="preserve"> </w:t>
      </w:r>
      <w:r>
        <w:rPr>
          <w:color w:val="231F20"/>
          <w:spacing w:val="-3"/>
          <w:sz w:val="20"/>
        </w:rPr>
        <w:t>by</w:t>
      </w:r>
      <w:r>
        <w:rPr>
          <w:color w:val="231F20"/>
          <w:spacing w:val="-10"/>
          <w:sz w:val="20"/>
        </w:rPr>
        <w:t xml:space="preserve"> </w:t>
      </w:r>
      <w:r>
        <w:rPr>
          <w:color w:val="231F20"/>
          <w:sz w:val="20"/>
        </w:rPr>
        <w:t>trained</w:t>
      </w:r>
      <w:r>
        <w:rPr>
          <w:color w:val="231F20"/>
          <w:spacing w:val="-10"/>
          <w:sz w:val="20"/>
        </w:rPr>
        <w:t xml:space="preserve"> </w:t>
      </w:r>
      <w:r>
        <w:rPr>
          <w:color w:val="231F20"/>
          <w:sz w:val="20"/>
        </w:rPr>
        <w:t>clinicians.</w:t>
      </w:r>
      <w:r>
        <w:rPr>
          <w:color w:val="231F20"/>
          <w:position w:val="7"/>
          <w:sz w:val="11"/>
        </w:rPr>
        <w:t>61</w:t>
      </w:r>
      <w:r>
        <w:rPr>
          <w:color w:val="231F20"/>
          <w:spacing w:val="13"/>
          <w:position w:val="7"/>
          <w:sz w:val="11"/>
        </w:rPr>
        <w:t xml:space="preserve"> </w:t>
      </w:r>
      <w:r>
        <w:rPr>
          <w:color w:val="231F20"/>
          <w:spacing w:val="-5"/>
          <w:sz w:val="20"/>
        </w:rPr>
        <w:t>However,</w:t>
      </w:r>
      <w:r>
        <w:rPr>
          <w:color w:val="231F20"/>
          <w:spacing w:val="-10"/>
          <w:sz w:val="20"/>
        </w:rPr>
        <w:t xml:space="preserve"> </w:t>
      </w:r>
      <w:r>
        <w:rPr>
          <w:color w:val="231F20"/>
          <w:sz w:val="20"/>
        </w:rPr>
        <w:t>magistrates</w:t>
      </w:r>
      <w:r>
        <w:rPr>
          <w:color w:val="231F20"/>
          <w:spacing w:val="-10"/>
          <w:sz w:val="20"/>
        </w:rPr>
        <w:t xml:space="preserve"> </w:t>
      </w:r>
      <w:r>
        <w:rPr>
          <w:color w:val="231F20"/>
          <w:sz w:val="20"/>
        </w:rPr>
        <w:t>and</w:t>
      </w:r>
      <w:r>
        <w:rPr>
          <w:color w:val="231F20"/>
          <w:spacing w:val="-11"/>
          <w:sz w:val="20"/>
        </w:rPr>
        <w:t xml:space="preserve"> </w:t>
      </w:r>
      <w:r>
        <w:rPr>
          <w:color w:val="231F20"/>
          <w:sz w:val="20"/>
        </w:rPr>
        <w:t>court</w:t>
      </w:r>
      <w:r>
        <w:rPr>
          <w:color w:val="231F20"/>
          <w:spacing w:val="-10"/>
          <w:sz w:val="20"/>
        </w:rPr>
        <w:t xml:space="preserve"> </w:t>
      </w:r>
      <w:r>
        <w:rPr>
          <w:color w:val="231F20"/>
          <w:sz w:val="20"/>
        </w:rPr>
        <w:t>staff</w:t>
      </w:r>
      <w:r>
        <w:rPr>
          <w:color w:val="231F20"/>
          <w:spacing w:val="-10"/>
          <w:sz w:val="20"/>
        </w:rPr>
        <w:t xml:space="preserve"> </w:t>
      </w:r>
      <w:r>
        <w:rPr>
          <w:color w:val="231F20"/>
          <w:sz w:val="20"/>
        </w:rPr>
        <w:t>should</w:t>
      </w:r>
      <w:r>
        <w:rPr>
          <w:color w:val="231F20"/>
          <w:spacing w:val="-10"/>
          <w:sz w:val="20"/>
        </w:rPr>
        <w:t xml:space="preserve"> </w:t>
      </w:r>
      <w:r>
        <w:rPr>
          <w:color w:val="231F20"/>
          <w:sz w:val="20"/>
        </w:rPr>
        <w:t>be</w:t>
      </w:r>
      <w:r>
        <w:rPr>
          <w:color w:val="231F20"/>
          <w:spacing w:val="-11"/>
          <w:sz w:val="20"/>
        </w:rPr>
        <w:t xml:space="preserve"> </w:t>
      </w:r>
      <w:r>
        <w:rPr>
          <w:color w:val="231F20"/>
          <w:sz w:val="20"/>
        </w:rPr>
        <w:t>clear on</w:t>
      </w:r>
      <w:r>
        <w:rPr>
          <w:color w:val="231F20"/>
          <w:spacing w:val="-9"/>
          <w:sz w:val="20"/>
        </w:rPr>
        <w:t xml:space="preserve"> </w:t>
      </w:r>
      <w:r>
        <w:rPr>
          <w:color w:val="231F20"/>
          <w:sz w:val="20"/>
        </w:rPr>
        <w:t>when</w:t>
      </w:r>
      <w:r>
        <w:rPr>
          <w:color w:val="231F20"/>
          <w:spacing w:val="-8"/>
          <w:sz w:val="20"/>
        </w:rPr>
        <w:t xml:space="preserve"> </w:t>
      </w:r>
      <w:r>
        <w:rPr>
          <w:color w:val="231F20"/>
          <w:sz w:val="20"/>
        </w:rPr>
        <w:t>they</w:t>
      </w:r>
      <w:r>
        <w:rPr>
          <w:color w:val="231F20"/>
          <w:spacing w:val="-8"/>
          <w:sz w:val="20"/>
        </w:rPr>
        <w:t xml:space="preserve"> </w:t>
      </w:r>
      <w:r>
        <w:rPr>
          <w:color w:val="231F20"/>
          <w:sz w:val="20"/>
        </w:rPr>
        <w:t>need</w:t>
      </w:r>
      <w:r>
        <w:rPr>
          <w:color w:val="231F20"/>
          <w:spacing w:val="-8"/>
          <w:sz w:val="20"/>
        </w:rPr>
        <w:t xml:space="preserve"> </w:t>
      </w:r>
      <w:r>
        <w:rPr>
          <w:color w:val="231F20"/>
          <w:sz w:val="20"/>
        </w:rPr>
        <w:t>to</w:t>
      </w:r>
      <w:r>
        <w:rPr>
          <w:color w:val="231F20"/>
          <w:spacing w:val="-8"/>
          <w:sz w:val="20"/>
        </w:rPr>
        <w:t xml:space="preserve"> </w:t>
      </w:r>
      <w:r>
        <w:rPr>
          <w:color w:val="231F20"/>
          <w:sz w:val="20"/>
        </w:rPr>
        <w:t>ask</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an</w:t>
      </w:r>
      <w:r>
        <w:rPr>
          <w:color w:val="231F20"/>
          <w:spacing w:val="-9"/>
          <w:sz w:val="20"/>
        </w:rPr>
        <w:t xml:space="preserve"> </w:t>
      </w:r>
      <w:r>
        <w:rPr>
          <w:color w:val="231F20"/>
          <w:sz w:val="20"/>
        </w:rPr>
        <w:t>assessment</w:t>
      </w:r>
      <w:r>
        <w:rPr>
          <w:color w:val="231F20"/>
          <w:spacing w:val="-8"/>
          <w:sz w:val="20"/>
        </w:rPr>
        <w:t xml:space="preserve"> </w:t>
      </w:r>
      <w:r>
        <w:rPr>
          <w:color w:val="231F20"/>
          <w:sz w:val="20"/>
        </w:rPr>
        <w:t>or</w:t>
      </w:r>
      <w:r>
        <w:rPr>
          <w:color w:val="231F20"/>
          <w:spacing w:val="-8"/>
          <w:sz w:val="20"/>
        </w:rPr>
        <w:t xml:space="preserve"> </w:t>
      </w:r>
      <w:r>
        <w:rPr>
          <w:color w:val="231F20"/>
          <w:sz w:val="20"/>
        </w:rPr>
        <w:t>which</w:t>
      </w:r>
      <w:r>
        <w:rPr>
          <w:color w:val="231F20"/>
          <w:spacing w:val="-8"/>
          <w:sz w:val="20"/>
        </w:rPr>
        <w:t xml:space="preserve"> </w:t>
      </w:r>
      <w:r>
        <w:rPr>
          <w:color w:val="231F20"/>
          <w:sz w:val="20"/>
        </w:rPr>
        <w:t>services</w:t>
      </w:r>
      <w:r>
        <w:rPr>
          <w:color w:val="231F20"/>
          <w:spacing w:val="-8"/>
          <w:sz w:val="20"/>
        </w:rPr>
        <w:t xml:space="preserve"> </w:t>
      </w:r>
      <w:r>
        <w:rPr>
          <w:color w:val="231F20"/>
          <w:sz w:val="20"/>
        </w:rPr>
        <w:t>people</w:t>
      </w:r>
      <w:r>
        <w:rPr>
          <w:color w:val="231F20"/>
          <w:spacing w:val="-8"/>
          <w:sz w:val="20"/>
        </w:rPr>
        <w:t xml:space="preserve"> </w:t>
      </w:r>
      <w:r>
        <w:rPr>
          <w:color w:val="231F20"/>
          <w:sz w:val="20"/>
        </w:rPr>
        <w:t>should</w:t>
      </w:r>
      <w:r>
        <w:rPr>
          <w:color w:val="231F20"/>
          <w:spacing w:val="-8"/>
          <w:sz w:val="20"/>
        </w:rPr>
        <w:t xml:space="preserve"> </w:t>
      </w:r>
      <w:r>
        <w:rPr>
          <w:color w:val="231F20"/>
          <w:sz w:val="20"/>
        </w:rPr>
        <w:t xml:space="preserve">be </w:t>
      </w:r>
      <w:r>
        <w:rPr>
          <w:color w:val="231F20"/>
          <w:spacing w:val="-3"/>
          <w:sz w:val="20"/>
        </w:rPr>
        <w:t xml:space="preserve">referred </w:t>
      </w:r>
      <w:r>
        <w:rPr>
          <w:color w:val="231F20"/>
          <w:sz w:val="20"/>
        </w:rPr>
        <w:t xml:space="preserve">to (see </w:t>
      </w:r>
      <w:r>
        <w:rPr>
          <w:color w:val="231F20"/>
          <w:spacing w:val="-3"/>
          <w:sz w:val="20"/>
        </w:rPr>
        <w:t>Chapter</w:t>
      </w:r>
      <w:r>
        <w:rPr>
          <w:color w:val="231F20"/>
          <w:spacing w:val="-14"/>
          <w:sz w:val="20"/>
        </w:rPr>
        <w:t xml:space="preserve"> </w:t>
      </w:r>
      <w:r>
        <w:rPr>
          <w:color w:val="231F20"/>
          <w:sz w:val="20"/>
        </w:rPr>
        <w:t>4).</w:t>
      </w:r>
      <w:r>
        <w:rPr>
          <w:color w:val="231F20"/>
          <w:position w:val="7"/>
          <w:sz w:val="11"/>
        </w:rPr>
        <w:t>62</w:t>
      </w:r>
    </w:p>
    <w:p w14:paraId="5826D835" w14:textId="77777777" w:rsidR="00894070" w:rsidRDefault="009B7AFD">
      <w:pPr>
        <w:pStyle w:val="ListParagraph"/>
        <w:numPr>
          <w:ilvl w:val="2"/>
          <w:numId w:val="102"/>
        </w:numPr>
        <w:tabs>
          <w:tab w:val="left" w:pos="2141"/>
          <w:tab w:val="left" w:pos="2142"/>
        </w:tabs>
        <w:spacing w:before="90" w:line="206" w:lineRule="auto"/>
        <w:ind w:right="1392" w:hanging="340"/>
        <w:rPr>
          <w:sz w:val="11"/>
        </w:rPr>
      </w:pPr>
      <w:r>
        <w:rPr>
          <w:color w:val="231F20"/>
          <w:sz w:val="20"/>
        </w:rPr>
        <w:t xml:space="preserve">The criteria should </w:t>
      </w:r>
      <w:r>
        <w:rPr>
          <w:color w:val="231F20"/>
          <w:spacing w:val="-3"/>
          <w:sz w:val="20"/>
        </w:rPr>
        <w:t xml:space="preserve">inform </w:t>
      </w:r>
      <w:r>
        <w:rPr>
          <w:color w:val="231F20"/>
          <w:sz w:val="20"/>
        </w:rPr>
        <w:t xml:space="preserve">eligibility </w:t>
      </w:r>
      <w:r>
        <w:rPr>
          <w:color w:val="231F20"/>
          <w:spacing w:val="-3"/>
          <w:sz w:val="20"/>
        </w:rPr>
        <w:t xml:space="preserve">for </w:t>
      </w:r>
      <w:r>
        <w:rPr>
          <w:color w:val="231F20"/>
          <w:sz w:val="20"/>
        </w:rPr>
        <w:t>a specialised or tailored response—this might</w:t>
      </w:r>
      <w:r>
        <w:rPr>
          <w:color w:val="231F20"/>
          <w:spacing w:val="-10"/>
          <w:sz w:val="20"/>
        </w:rPr>
        <w:t xml:space="preserve"> </w:t>
      </w:r>
      <w:r>
        <w:rPr>
          <w:color w:val="231F20"/>
          <w:sz w:val="20"/>
        </w:rPr>
        <w:t>include</w:t>
      </w:r>
      <w:r>
        <w:rPr>
          <w:color w:val="231F20"/>
          <w:spacing w:val="-10"/>
          <w:sz w:val="20"/>
        </w:rPr>
        <w:t xml:space="preserve"> </w:t>
      </w:r>
      <w:r>
        <w:rPr>
          <w:color w:val="231F20"/>
          <w:sz w:val="20"/>
        </w:rPr>
        <w:t>safety</w:t>
      </w:r>
      <w:r>
        <w:rPr>
          <w:color w:val="231F20"/>
          <w:spacing w:val="-10"/>
          <w:sz w:val="20"/>
        </w:rPr>
        <w:t xml:space="preserve"> </w:t>
      </w:r>
      <w:r>
        <w:rPr>
          <w:color w:val="231F20"/>
          <w:sz w:val="20"/>
        </w:rPr>
        <w:t>plans</w:t>
      </w:r>
      <w:r>
        <w:rPr>
          <w:color w:val="231F20"/>
          <w:spacing w:val="-9"/>
          <w:sz w:val="20"/>
        </w:rPr>
        <w:t xml:space="preserve"> </w:t>
      </w:r>
      <w:r>
        <w:rPr>
          <w:color w:val="231F20"/>
          <w:spacing w:val="-3"/>
          <w:sz w:val="20"/>
        </w:rPr>
        <w:t>for</w:t>
      </w:r>
      <w:r>
        <w:rPr>
          <w:color w:val="231F20"/>
          <w:spacing w:val="-10"/>
          <w:sz w:val="20"/>
        </w:rPr>
        <w:t xml:space="preserve"> </w:t>
      </w:r>
      <w:r>
        <w:rPr>
          <w:color w:val="231F20"/>
          <w:sz w:val="20"/>
        </w:rPr>
        <w:t>court</w:t>
      </w:r>
      <w:r>
        <w:rPr>
          <w:color w:val="231F20"/>
          <w:spacing w:val="-10"/>
          <w:sz w:val="20"/>
        </w:rPr>
        <w:t xml:space="preserve"> </w:t>
      </w:r>
      <w:r>
        <w:rPr>
          <w:color w:val="231F20"/>
          <w:sz w:val="20"/>
        </w:rPr>
        <w:t>appearances</w:t>
      </w:r>
      <w:r>
        <w:rPr>
          <w:color w:val="231F20"/>
          <w:spacing w:val="-10"/>
          <w:sz w:val="20"/>
        </w:rPr>
        <w:t xml:space="preserve"> </w:t>
      </w:r>
      <w:r>
        <w:rPr>
          <w:color w:val="231F20"/>
          <w:sz w:val="20"/>
        </w:rPr>
        <w:t>and</w:t>
      </w:r>
      <w:r>
        <w:rPr>
          <w:color w:val="231F20"/>
          <w:spacing w:val="-9"/>
          <w:sz w:val="20"/>
        </w:rPr>
        <w:t xml:space="preserve"> </w:t>
      </w:r>
      <w:r>
        <w:rPr>
          <w:color w:val="231F20"/>
          <w:spacing w:val="-3"/>
          <w:sz w:val="20"/>
        </w:rPr>
        <w:t>alternative</w:t>
      </w:r>
      <w:r>
        <w:rPr>
          <w:color w:val="231F20"/>
          <w:spacing w:val="-10"/>
          <w:sz w:val="20"/>
        </w:rPr>
        <w:t xml:space="preserve"> </w:t>
      </w:r>
      <w:r>
        <w:rPr>
          <w:color w:val="231F20"/>
          <w:sz w:val="20"/>
        </w:rPr>
        <w:t>arrangements.</w:t>
      </w:r>
      <w:r>
        <w:rPr>
          <w:color w:val="231F20"/>
          <w:position w:val="7"/>
          <w:sz w:val="11"/>
        </w:rPr>
        <w:t>63</w:t>
      </w:r>
    </w:p>
    <w:p w14:paraId="65414C15" w14:textId="77777777" w:rsidR="00894070" w:rsidRDefault="009B7AFD">
      <w:pPr>
        <w:pStyle w:val="ListParagraph"/>
        <w:numPr>
          <w:ilvl w:val="2"/>
          <w:numId w:val="102"/>
        </w:numPr>
        <w:tabs>
          <w:tab w:val="left" w:pos="2141"/>
          <w:tab w:val="left" w:pos="2142"/>
        </w:tabs>
        <w:spacing w:before="87" w:line="206" w:lineRule="auto"/>
        <w:ind w:right="1242" w:hanging="340"/>
        <w:rPr>
          <w:sz w:val="11"/>
        </w:rPr>
      </w:pPr>
      <w:r>
        <w:rPr>
          <w:color w:val="231F20"/>
          <w:sz w:val="20"/>
        </w:rPr>
        <w:t xml:space="preserve">Magistrates, judicial </w:t>
      </w:r>
      <w:proofErr w:type="gramStart"/>
      <w:r>
        <w:rPr>
          <w:color w:val="231F20"/>
          <w:sz w:val="20"/>
        </w:rPr>
        <w:t>registrars</w:t>
      </w:r>
      <w:proofErr w:type="gramEnd"/>
      <w:r>
        <w:rPr>
          <w:color w:val="231F20"/>
          <w:sz w:val="20"/>
        </w:rPr>
        <w:t xml:space="preserve"> and court </w:t>
      </w:r>
      <w:r>
        <w:rPr>
          <w:color w:val="231F20"/>
          <w:spacing w:val="-3"/>
          <w:sz w:val="20"/>
        </w:rPr>
        <w:t xml:space="preserve">staff, </w:t>
      </w:r>
      <w:r>
        <w:rPr>
          <w:color w:val="231F20"/>
          <w:sz w:val="20"/>
        </w:rPr>
        <w:t xml:space="preserve">especially registrars who play an important </w:t>
      </w:r>
      <w:r>
        <w:rPr>
          <w:color w:val="231F20"/>
          <w:spacing w:val="-3"/>
          <w:sz w:val="20"/>
        </w:rPr>
        <w:t xml:space="preserve">role </w:t>
      </w:r>
      <w:r>
        <w:rPr>
          <w:color w:val="231F20"/>
          <w:sz w:val="20"/>
        </w:rPr>
        <w:t xml:space="preserve">in triaging the court list, should </w:t>
      </w:r>
      <w:r>
        <w:rPr>
          <w:color w:val="231F20"/>
          <w:spacing w:val="-4"/>
          <w:sz w:val="20"/>
        </w:rPr>
        <w:t xml:space="preserve">have </w:t>
      </w:r>
      <w:r>
        <w:rPr>
          <w:color w:val="231F20"/>
          <w:sz w:val="20"/>
        </w:rPr>
        <w:t xml:space="preserve">training and support to </w:t>
      </w:r>
      <w:r>
        <w:rPr>
          <w:color w:val="231F20"/>
          <w:spacing w:val="-3"/>
          <w:sz w:val="20"/>
        </w:rPr>
        <w:t xml:space="preserve">apply </w:t>
      </w:r>
      <w:r>
        <w:rPr>
          <w:color w:val="231F20"/>
          <w:sz w:val="20"/>
        </w:rPr>
        <w:t>the</w:t>
      </w:r>
      <w:r>
        <w:rPr>
          <w:color w:val="231F20"/>
          <w:spacing w:val="-9"/>
          <w:sz w:val="20"/>
        </w:rPr>
        <w:t xml:space="preserve"> </w:t>
      </w:r>
      <w:r>
        <w:rPr>
          <w:color w:val="231F20"/>
          <w:sz w:val="20"/>
        </w:rPr>
        <w:t>guidance</w:t>
      </w:r>
      <w:r>
        <w:rPr>
          <w:color w:val="231F20"/>
          <w:spacing w:val="-8"/>
          <w:sz w:val="20"/>
        </w:rPr>
        <w:t xml:space="preserve"> </w:t>
      </w:r>
      <w:r>
        <w:rPr>
          <w:color w:val="231F20"/>
          <w:sz w:val="20"/>
        </w:rPr>
        <w:t>(see</w:t>
      </w:r>
      <w:r>
        <w:rPr>
          <w:color w:val="231F20"/>
          <w:spacing w:val="-8"/>
          <w:sz w:val="20"/>
        </w:rPr>
        <w:t xml:space="preserve"> </w:t>
      </w:r>
      <w:r>
        <w:rPr>
          <w:color w:val="231F20"/>
          <w:spacing w:val="-3"/>
          <w:sz w:val="20"/>
        </w:rPr>
        <w:t>Chapter</w:t>
      </w:r>
      <w:r>
        <w:rPr>
          <w:color w:val="231F20"/>
          <w:spacing w:val="-8"/>
          <w:sz w:val="20"/>
        </w:rPr>
        <w:t xml:space="preserve"> </w:t>
      </w:r>
      <w:r>
        <w:rPr>
          <w:color w:val="231F20"/>
          <w:sz w:val="20"/>
        </w:rPr>
        <w:t>4).</w:t>
      </w:r>
      <w:r>
        <w:rPr>
          <w:color w:val="231F20"/>
          <w:position w:val="7"/>
          <w:sz w:val="11"/>
        </w:rPr>
        <w:t>64</w:t>
      </w:r>
      <w:r>
        <w:rPr>
          <w:color w:val="231F20"/>
          <w:spacing w:val="16"/>
          <w:position w:val="7"/>
          <w:sz w:val="11"/>
        </w:rPr>
        <w:t xml:space="preserve"> </w:t>
      </w:r>
      <w:r>
        <w:rPr>
          <w:color w:val="231F20"/>
          <w:sz w:val="20"/>
        </w:rPr>
        <w:t>Guidance</w:t>
      </w:r>
      <w:r>
        <w:rPr>
          <w:color w:val="231F20"/>
          <w:spacing w:val="-8"/>
          <w:sz w:val="20"/>
        </w:rPr>
        <w:t xml:space="preserve"> </w:t>
      </w:r>
      <w:r>
        <w:rPr>
          <w:color w:val="231F20"/>
          <w:sz w:val="20"/>
        </w:rPr>
        <w:t>could</w:t>
      </w:r>
      <w:r>
        <w:rPr>
          <w:color w:val="231F20"/>
          <w:spacing w:val="-8"/>
          <w:sz w:val="20"/>
        </w:rPr>
        <w:t xml:space="preserve"> </w:t>
      </w:r>
      <w:r>
        <w:rPr>
          <w:color w:val="231F20"/>
          <w:sz w:val="20"/>
        </w:rPr>
        <w:t>also</w:t>
      </w:r>
      <w:r>
        <w:rPr>
          <w:color w:val="231F20"/>
          <w:spacing w:val="-8"/>
          <w:sz w:val="20"/>
        </w:rPr>
        <w:t xml:space="preserve"> </w:t>
      </w:r>
      <w:r>
        <w:rPr>
          <w:color w:val="231F20"/>
          <w:sz w:val="20"/>
        </w:rPr>
        <w:t>be</w:t>
      </w:r>
      <w:r>
        <w:rPr>
          <w:color w:val="231F20"/>
          <w:spacing w:val="-8"/>
          <w:sz w:val="20"/>
        </w:rPr>
        <w:t xml:space="preserve"> </w:t>
      </w:r>
      <w:r>
        <w:rPr>
          <w:color w:val="231F20"/>
          <w:sz w:val="20"/>
        </w:rPr>
        <w:t>included</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PSIO</w:t>
      </w:r>
      <w:r>
        <w:rPr>
          <w:color w:val="231F20"/>
          <w:spacing w:val="-8"/>
          <w:sz w:val="20"/>
        </w:rPr>
        <w:t xml:space="preserve"> </w:t>
      </w:r>
      <w:r>
        <w:rPr>
          <w:color w:val="231F20"/>
          <w:sz w:val="20"/>
        </w:rPr>
        <w:t>Bench Book.</w:t>
      </w:r>
      <w:r>
        <w:rPr>
          <w:color w:val="231F20"/>
          <w:position w:val="7"/>
          <w:sz w:val="11"/>
        </w:rPr>
        <w:t>65</w:t>
      </w:r>
    </w:p>
    <w:p w14:paraId="1510B1E0" w14:textId="77777777" w:rsidR="00894070" w:rsidRDefault="009B7AFD">
      <w:pPr>
        <w:pStyle w:val="ListParagraph"/>
        <w:numPr>
          <w:ilvl w:val="2"/>
          <w:numId w:val="102"/>
        </w:numPr>
        <w:tabs>
          <w:tab w:val="left" w:pos="2141"/>
          <w:tab w:val="left" w:pos="2142"/>
        </w:tabs>
        <w:spacing w:before="58" w:line="259" w:lineRule="exact"/>
        <w:ind w:hanging="340"/>
        <w:rPr>
          <w:sz w:val="20"/>
        </w:rPr>
      </w:pPr>
      <w:r>
        <w:rPr>
          <w:color w:val="231F20"/>
          <w:sz w:val="20"/>
        </w:rPr>
        <w:t>The</w:t>
      </w:r>
      <w:r>
        <w:rPr>
          <w:color w:val="231F20"/>
          <w:spacing w:val="-6"/>
          <w:sz w:val="20"/>
        </w:rPr>
        <w:t xml:space="preserve"> </w:t>
      </w:r>
      <w:r>
        <w:rPr>
          <w:color w:val="231F20"/>
          <w:sz w:val="20"/>
        </w:rPr>
        <w:t>criteria</w:t>
      </w:r>
      <w:r>
        <w:rPr>
          <w:color w:val="231F20"/>
          <w:spacing w:val="-5"/>
          <w:sz w:val="20"/>
        </w:rPr>
        <w:t xml:space="preserve"> </w:t>
      </w:r>
      <w:r>
        <w:rPr>
          <w:color w:val="231F20"/>
          <w:sz w:val="20"/>
        </w:rPr>
        <w:t>should</w:t>
      </w:r>
      <w:r>
        <w:rPr>
          <w:color w:val="231F20"/>
          <w:spacing w:val="-6"/>
          <w:sz w:val="20"/>
        </w:rPr>
        <w:t xml:space="preserve"> </w:t>
      </w:r>
      <w:r>
        <w:rPr>
          <w:color w:val="231F20"/>
          <w:sz w:val="20"/>
        </w:rPr>
        <w:t>ensure</w:t>
      </w:r>
      <w:r>
        <w:rPr>
          <w:color w:val="231F20"/>
          <w:spacing w:val="-5"/>
          <w:sz w:val="20"/>
        </w:rPr>
        <w:t xml:space="preserve"> </w:t>
      </w:r>
      <w:r>
        <w:rPr>
          <w:color w:val="231F20"/>
          <w:sz w:val="20"/>
        </w:rPr>
        <w:t>that</w:t>
      </w:r>
      <w:r>
        <w:rPr>
          <w:color w:val="231F20"/>
          <w:spacing w:val="-6"/>
          <w:sz w:val="20"/>
        </w:rPr>
        <w:t xml:space="preserve"> </w:t>
      </w:r>
      <w:r>
        <w:rPr>
          <w:color w:val="231F20"/>
          <w:sz w:val="20"/>
        </w:rPr>
        <w:t>the</w:t>
      </w:r>
      <w:r>
        <w:rPr>
          <w:color w:val="231F20"/>
          <w:spacing w:val="-5"/>
          <w:sz w:val="20"/>
        </w:rPr>
        <w:t xml:space="preserve"> </w:t>
      </w:r>
      <w:r>
        <w:rPr>
          <w:color w:val="231F20"/>
          <w:sz w:val="20"/>
        </w:rPr>
        <w:t>process</w:t>
      </w:r>
      <w:r>
        <w:rPr>
          <w:color w:val="231F20"/>
          <w:spacing w:val="-6"/>
          <w:sz w:val="20"/>
        </w:rPr>
        <w:t xml:space="preserve"> </w:t>
      </w:r>
      <w:r>
        <w:rPr>
          <w:color w:val="231F20"/>
          <w:spacing w:val="-3"/>
          <w:sz w:val="20"/>
        </w:rPr>
        <w:t>appropriately</w:t>
      </w:r>
      <w:r>
        <w:rPr>
          <w:color w:val="231F20"/>
          <w:spacing w:val="-5"/>
          <w:sz w:val="20"/>
        </w:rPr>
        <w:t xml:space="preserve"> </w:t>
      </w:r>
      <w:r>
        <w:rPr>
          <w:color w:val="231F20"/>
          <w:sz w:val="20"/>
        </w:rPr>
        <w:t>funnels</w:t>
      </w:r>
      <w:r>
        <w:rPr>
          <w:color w:val="231F20"/>
          <w:spacing w:val="-5"/>
          <w:sz w:val="20"/>
        </w:rPr>
        <w:t xml:space="preserve"> </w:t>
      </w:r>
      <w:proofErr w:type="gramStart"/>
      <w:r>
        <w:rPr>
          <w:color w:val="231F20"/>
          <w:sz w:val="20"/>
        </w:rPr>
        <w:t>matters</w:t>
      </w:r>
      <w:proofErr w:type="gramEnd"/>
      <w:r>
        <w:rPr>
          <w:color w:val="231F20"/>
          <w:spacing w:val="-6"/>
          <w:sz w:val="20"/>
        </w:rPr>
        <w:t xml:space="preserve"> </w:t>
      </w:r>
      <w:r>
        <w:rPr>
          <w:color w:val="231F20"/>
          <w:sz w:val="20"/>
        </w:rPr>
        <w:t>to</w:t>
      </w:r>
    </w:p>
    <w:p w14:paraId="3C849599" w14:textId="77777777" w:rsidR="00894070" w:rsidRDefault="009B7AFD">
      <w:pPr>
        <w:pStyle w:val="BodyText"/>
        <w:spacing w:line="259" w:lineRule="exact"/>
        <w:ind w:left="2141"/>
        <w:rPr>
          <w:sz w:val="11"/>
        </w:rPr>
      </w:pPr>
      <w:r>
        <w:rPr>
          <w:color w:val="231F20"/>
        </w:rPr>
        <w:t>mediation (discussed next).</w:t>
      </w:r>
      <w:r>
        <w:rPr>
          <w:color w:val="231F20"/>
          <w:position w:val="7"/>
          <w:sz w:val="11"/>
        </w:rPr>
        <w:t>66</w:t>
      </w:r>
    </w:p>
    <w:p w14:paraId="456BE367" w14:textId="77777777" w:rsidR="00894070" w:rsidRDefault="009B7AFD">
      <w:pPr>
        <w:pStyle w:val="ListParagraph"/>
        <w:numPr>
          <w:ilvl w:val="2"/>
          <w:numId w:val="102"/>
        </w:numPr>
        <w:tabs>
          <w:tab w:val="left" w:pos="2142"/>
        </w:tabs>
        <w:spacing w:before="80" w:line="206" w:lineRule="auto"/>
        <w:ind w:right="1366" w:hanging="340"/>
        <w:jc w:val="both"/>
        <w:rPr>
          <w:sz w:val="11"/>
        </w:rPr>
      </w:pPr>
      <w:r>
        <w:rPr>
          <w:color w:val="231F20"/>
          <w:spacing w:val="-5"/>
          <w:sz w:val="20"/>
        </w:rPr>
        <w:t>However,</w:t>
      </w:r>
      <w:r>
        <w:rPr>
          <w:color w:val="231F20"/>
          <w:spacing w:val="-7"/>
          <w:sz w:val="20"/>
        </w:rPr>
        <w:t xml:space="preserve"> </w:t>
      </w:r>
      <w:r>
        <w:rPr>
          <w:color w:val="231F20"/>
          <w:sz w:val="20"/>
        </w:rPr>
        <w:t>the</w:t>
      </w:r>
      <w:r>
        <w:rPr>
          <w:color w:val="231F20"/>
          <w:spacing w:val="-7"/>
          <w:sz w:val="20"/>
        </w:rPr>
        <w:t xml:space="preserve"> </w:t>
      </w:r>
      <w:r>
        <w:rPr>
          <w:color w:val="231F20"/>
          <w:sz w:val="20"/>
        </w:rPr>
        <w:t>violence</w:t>
      </w:r>
      <w:r>
        <w:rPr>
          <w:color w:val="231F20"/>
          <w:spacing w:val="-7"/>
          <w:sz w:val="20"/>
        </w:rPr>
        <w:t xml:space="preserve"> </w:t>
      </w:r>
      <w:r>
        <w:rPr>
          <w:color w:val="231F20"/>
          <w:spacing w:val="-3"/>
          <w:sz w:val="20"/>
        </w:rPr>
        <w:t>protection</w:t>
      </w:r>
      <w:r>
        <w:rPr>
          <w:color w:val="231F20"/>
          <w:spacing w:val="-7"/>
          <w:sz w:val="20"/>
        </w:rPr>
        <w:t xml:space="preserve"> </w:t>
      </w:r>
      <w:r>
        <w:rPr>
          <w:color w:val="231F20"/>
          <w:spacing w:val="-3"/>
          <w:sz w:val="20"/>
        </w:rPr>
        <w:t>focus</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PSIO</w:t>
      </w:r>
      <w:r>
        <w:rPr>
          <w:color w:val="231F20"/>
          <w:spacing w:val="-7"/>
          <w:sz w:val="20"/>
        </w:rPr>
        <w:t xml:space="preserve"> </w:t>
      </w:r>
      <w:r>
        <w:rPr>
          <w:color w:val="231F20"/>
          <w:spacing w:val="-2"/>
          <w:sz w:val="20"/>
        </w:rPr>
        <w:t>system</w:t>
      </w:r>
      <w:r>
        <w:rPr>
          <w:color w:val="231F20"/>
          <w:spacing w:val="-7"/>
          <w:sz w:val="20"/>
        </w:rPr>
        <w:t xml:space="preserve"> </w:t>
      </w:r>
      <w:r>
        <w:rPr>
          <w:color w:val="231F20"/>
          <w:sz w:val="20"/>
        </w:rPr>
        <w:t>should</w:t>
      </w:r>
      <w:r>
        <w:rPr>
          <w:color w:val="231F20"/>
          <w:spacing w:val="-7"/>
          <w:sz w:val="20"/>
        </w:rPr>
        <w:t xml:space="preserve"> </w:t>
      </w:r>
      <w:r>
        <w:rPr>
          <w:color w:val="231F20"/>
          <w:sz w:val="20"/>
        </w:rPr>
        <w:t>be</w:t>
      </w:r>
      <w:r>
        <w:rPr>
          <w:color w:val="231F20"/>
          <w:spacing w:val="-7"/>
          <w:sz w:val="20"/>
        </w:rPr>
        <w:t xml:space="preserve"> </w:t>
      </w:r>
      <w:r>
        <w:rPr>
          <w:color w:val="231F20"/>
          <w:sz w:val="20"/>
        </w:rPr>
        <w:t xml:space="preserve">maintained, </w:t>
      </w:r>
      <w:r>
        <w:rPr>
          <w:color w:val="231F20"/>
          <w:spacing w:val="-3"/>
          <w:sz w:val="20"/>
        </w:rPr>
        <w:t>given</w:t>
      </w:r>
      <w:r>
        <w:rPr>
          <w:color w:val="231F20"/>
          <w:spacing w:val="-10"/>
          <w:sz w:val="20"/>
        </w:rPr>
        <w:t xml:space="preserve"> </w:t>
      </w:r>
      <w:r>
        <w:rPr>
          <w:color w:val="231F20"/>
          <w:sz w:val="20"/>
        </w:rPr>
        <w:t>there</w:t>
      </w:r>
      <w:r>
        <w:rPr>
          <w:color w:val="231F20"/>
          <w:spacing w:val="-10"/>
          <w:sz w:val="20"/>
        </w:rPr>
        <w:t xml:space="preserve"> </w:t>
      </w:r>
      <w:r>
        <w:rPr>
          <w:color w:val="231F20"/>
          <w:sz w:val="20"/>
        </w:rPr>
        <w:t>is</w:t>
      </w:r>
      <w:r>
        <w:rPr>
          <w:color w:val="231F20"/>
          <w:spacing w:val="-10"/>
          <w:sz w:val="20"/>
        </w:rPr>
        <w:t xml:space="preserve"> </w:t>
      </w:r>
      <w:r>
        <w:rPr>
          <w:color w:val="231F20"/>
          <w:sz w:val="20"/>
        </w:rPr>
        <w:t>serious</w:t>
      </w:r>
      <w:r>
        <w:rPr>
          <w:color w:val="231F20"/>
          <w:spacing w:val="-10"/>
          <w:sz w:val="20"/>
        </w:rPr>
        <w:t xml:space="preserve"> </w:t>
      </w:r>
      <w:r>
        <w:rPr>
          <w:color w:val="231F20"/>
          <w:sz w:val="20"/>
        </w:rPr>
        <w:t>non-stalking</w:t>
      </w:r>
      <w:r>
        <w:rPr>
          <w:color w:val="231F20"/>
          <w:spacing w:val="-10"/>
          <w:sz w:val="20"/>
        </w:rPr>
        <w:t xml:space="preserve"> </w:t>
      </w:r>
      <w:r>
        <w:rPr>
          <w:color w:val="231F20"/>
          <w:sz w:val="20"/>
        </w:rPr>
        <w:t>behaviour</w:t>
      </w:r>
      <w:r>
        <w:rPr>
          <w:color w:val="231F20"/>
          <w:spacing w:val="-10"/>
          <w:sz w:val="20"/>
        </w:rPr>
        <w:t xml:space="preserve"> </w:t>
      </w:r>
      <w:r>
        <w:rPr>
          <w:color w:val="231F20"/>
          <w:sz w:val="20"/>
        </w:rPr>
        <w:t>that</w:t>
      </w:r>
      <w:r>
        <w:rPr>
          <w:color w:val="231F20"/>
          <w:spacing w:val="-10"/>
          <w:sz w:val="20"/>
        </w:rPr>
        <w:t xml:space="preserve"> </w:t>
      </w:r>
      <w:r>
        <w:rPr>
          <w:color w:val="231F20"/>
          <w:sz w:val="20"/>
        </w:rPr>
        <w:t>the</w:t>
      </w:r>
      <w:r>
        <w:rPr>
          <w:color w:val="231F20"/>
          <w:spacing w:val="-10"/>
          <w:sz w:val="20"/>
        </w:rPr>
        <w:t xml:space="preserve"> </w:t>
      </w:r>
      <w:r>
        <w:rPr>
          <w:color w:val="231F20"/>
          <w:sz w:val="20"/>
        </w:rPr>
        <w:t>civil</w:t>
      </w:r>
      <w:r>
        <w:rPr>
          <w:color w:val="231F20"/>
          <w:spacing w:val="-10"/>
          <w:sz w:val="20"/>
        </w:rPr>
        <w:t xml:space="preserve"> </w:t>
      </w:r>
      <w:r>
        <w:rPr>
          <w:color w:val="231F20"/>
          <w:sz w:val="20"/>
        </w:rPr>
        <w:t>response</w:t>
      </w:r>
      <w:r>
        <w:rPr>
          <w:color w:val="231F20"/>
          <w:spacing w:val="-10"/>
          <w:sz w:val="20"/>
        </w:rPr>
        <w:t xml:space="preserve"> </w:t>
      </w:r>
      <w:r>
        <w:rPr>
          <w:color w:val="231F20"/>
          <w:sz w:val="20"/>
        </w:rPr>
        <w:t>also</w:t>
      </w:r>
      <w:r>
        <w:rPr>
          <w:color w:val="231F20"/>
          <w:spacing w:val="-10"/>
          <w:sz w:val="20"/>
        </w:rPr>
        <w:t xml:space="preserve"> </w:t>
      </w:r>
      <w:r>
        <w:rPr>
          <w:color w:val="231F20"/>
          <w:sz w:val="20"/>
        </w:rPr>
        <w:t>needs</w:t>
      </w:r>
      <w:r>
        <w:rPr>
          <w:color w:val="231F20"/>
          <w:spacing w:val="-10"/>
          <w:sz w:val="20"/>
        </w:rPr>
        <w:t xml:space="preserve"> </w:t>
      </w:r>
      <w:r>
        <w:rPr>
          <w:color w:val="231F20"/>
          <w:sz w:val="20"/>
        </w:rPr>
        <w:t>to address.</w:t>
      </w:r>
      <w:r>
        <w:rPr>
          <w:color w:val="231F20"/>
          <w:position w:val="7"/>
          <w:sz w:val="11"/>
        </w:rPr>
        <w:t>67</w:t>
      </w:r>
    </w:p>
    <w:p w14:paraId="56FFB192" w14:textId="77777777" w:rsidR="00894070" w:rsidRDefault="009B7AFD">
      <w:pPr>
        <w:pStyle w:val="ListParagraph"/>
        <w:numPr>
          <w:ilvl w:val="1"/>
          <w:numId w:val="102"/>
        </w:numPr>
        <w:tabs>
          <w:tab w:val="left" w:pos="1801"/>
          <w:tab w:val="left" w:pos="1802"/>
        </w:tabs>
        <w:spacing w:before="89" w:line="206" w:lineRule="auto"/>
        <w:ind w:right="1227"/>
        <w:rPr>
          <w:sz w:val="11"/>
        </w:rPr>
      </w:pPr>
      <w:r>
        <w:rPr>
          <w:color w:val="231F20"/>
          <w:sz w:val="20"/>
        </w:rPr>
        <w:t xml:space="preserve">Some criteria exist under the Dispute Settlement </w:t>
      </w:r>
      <w:r>
        <w:rPr>
          <w:color w:val="231F20"/>
          <w:spacing w:val="-3"/>
          <w:sz w:val="20"/>
        </w:rPr>
        <w:t xml:space="preserve">Centre </w:t>
      </w:r>
      <w:r>
        <w:rPr>
          <w:color w:val="231F20"/>
          <w:sz w:val="20"/>
        </w:rPr>
        <w:t xml:space="preserve">of Victoria (DSCV) guidelines to identify matters that </w:t>
      </w:r>
      <w:r>
        <w:rPr>
          <w:color w:val="231F20"/>
          <w:spacing w:val="-3"/>
          <w:sz w:val="20"/>
        </w:rPr>
        <w:t xml:space="preserve">are </w:t>
      </w:r>
      <w:r>
        <w:rPr>
          <w:color w:val="231F20"/>
          <w:sz w:val="20"/>
        </w:rPr>
        <w:t xml:space="preserve">unsuitable </w:t>
      </w:r>
      <w:r>
        <w:rPr>
          <w:color w:val="231F20"/>
          <w:spacing w:val="-3"/>
          <w:sz w:val="20"/>
        </w:rPr>
        <w:t xml:space="preserve">for </w:t>
      </w:r>
      <w:r>
        <w:rPr>
          <w:color w:val="231F20"/>
          <w:sz w:val="20"/>
        </w:rPr>
        <w:t xml:space="preserve">mediation </w:t>
      </w:r>
      <w:r>
        <w:rPr>
          <w:color w:val="231F20"/>
          <w:spacing w:val="-4"/>
          <w:sz w:val="20"/>
        </w:rPr>
        <w:t xml:space="preserve">(for </w:t>
      </w:r>
      <w:r>
        <w:rPr>
          <w:color w:val="231F20"/>
          <w:spacing w:val="-3"/>
          <w:sz w:val="20"/>
        </w:rPr>
        <w:t xml:space="preserve">example, </w:t>
      </w:r>
      <w:r>
        <w:rPr>
          <w:color w:val="231F20"/>
          <w:sz w:val="20"/>
        </w:rPr>
        <w:t xml:space="preserve">the </w:t>
      </w:r>
      <w:r>
        <w:rPr>
          <w:color w:val="231F20"/>
          <w:spacing w:val="-3"/>
          <w:sz w:val="20"/>
        </w:rPr>
        <w:t xml:space="preserve">existence </w:t>
      </w:r>
      <w:r>
        <w:rPr>
          <w:color w:val="231F20"/>
          <w:sz w:val="20"/>
        </w:rPr>
        <w:t xml:space="preserve">of </w:t>
      </w:r>
      <w:r>
        <w:rPr>
          <w:color w:val="231F20"/>
          <w:spacing w:val="-3"/>
          <w:sz w:val="20"/>
        </w:rPr>
        <w:t>‘pursuit-type</w:t>
      </w:r>
      <w:r>
        <w:rPr>
          <w:color w:val="231F20"/>
          <w:spacing w:val="-9"/>
          <w:sz w:val="20"/>
        </w:rPr>
        <w:t xml:space="preserve"> </w:t>
      </w:r>
      <w:r>
        <w:rPr>
          <w:color w:val="231F20"/>
          <w:sz w:val="20"/>
        </w:rPr>
        <w:t>stalking’</w:t>
      </w:r>
      <w:r>
        <w:rPr>
          <w:color w:val="231F20"/>
          <w:spacing w:val="-9"/>
          <w:sz w:val="20"/>
        </w:rPr>
        <w:t xml:space="preserve"> </w:t>
      </w:r>
      <w:r>
        <w:rPr>
          <w:color w:val="231F20"/>
          <w:sz w:val="20"/>
        </w:rPr>
        <w:t>and</w:t>
      </w:r>
      <w:r>
        <w:rPr>
          <w:color w:val="231F20"/>
          <w:spacing w:val="-9"/>
          <w:sz w:val="20"/>
        </w:rPr>
        <w:t xml:space="preserve"> </w:t>
      </w:r>
      <w:r>
        <w:rPr>
          <w:color w:val="231F20"/>
          <w:sz w:val="20"/>
        </w:rPr>
        <w:t>factors</w:t>
      </w:r>
      <w:r>
        <w:rPr>
          <w:color w:val="231F20"/>
          <w:spacing w:val="-8"/>
          <w:sz w:val="20"/>
        </w:rPr>
        <w:t xml:space="preserve"> </w:t>
      </w:r>
      <w:r>
        <w:rPr>
          <w:color w:val="231F20"/>
          <w:sz w:val="20"/>
        </w:rPr>
        <w:t>such</w:t>
      </w:r>
      <w:r>
        <w:rPr>
          <w:color w:val="231F20"/>
          <w:spacing w:val="-9"/>
          <w:sz w:val="20"/>
        </w:rPr>
        <w:t xml:space="preserve"> </w:t>
      </w:r>
      <w:r>
        <w:rPr>
          <w:color w:val="231F20"/>
          <w:sz w:val="20"/>
        </w:rPr>
        <w:t>as</w:t>
      </w:r>
      <w:r>
        <w:rPr>
          <w:color w:val="231F20"/>
          <w:spacing w:val="-9"/>
          <w:sz w:val="20"/>
        </w:rPr>
        <w:t xml:space="preserve"> </w:t>
      </w:r>
      <w:r>
        <w:rPr>
          <w:color w:val="231F20"/>
          <w:sz w:val="20"/>
        </w:rPr>
        <w:t>‘fear</w:t>
      </w:r>
      <w:r>
        <w:rPr>
          <w:color w:val="231F20"/>
          <w:spacing w:val="-9"/>
          <w:sz w:val="20"/>
        </w:rPr>
        <w:t xml:space="preserve"> </w:t>
      </w:r>
      <w:r>
        <w:rPr>
          <w:color w:val="231F20"/>
          <w:sz w:val="20"/>
        </w:rPr>
        <w:t>or</w:t>
      </w:r>
      <w:r>
        <w:rPr>
          <w:color w:val="231F20"/>
          <w:spacing w:val="-8"/>
          <w:sz w:val="20"/>
        </w:rPr>
        <w:t xml:space="preserve"> </w:t>
      </w:r>
      <w:r>
        <w:rPr>
          <w:color w:val="231F20"/>
          <w:sz w:val="20"/>
        </w:rPr>
        <w:t>concern</w:t>
      </w:r>
      <w:r>
        <w:rPr>
          <w:color w:val="231F20"/>
          <w:spacing w:val="-9"/>
          <w:sz w:val="20"/>
        </w:rPr>
        <w:t xml:space="preserve"> </w:t>
      </w:r>
      <w:r>
        <w:rPr>
          <w:color w:val="231F20"/>
          <w:sz w:val="20"/>
        </w:rPr>
        <w:t>expressed</w:t>
      </w:r>
      <w:r>
        <w:rPr>
          <w:color w:val="231F20"/>
          <w:spacing w:val="-9"/>
          <w:sz w:val="20"/>
        </w:rPr>
        <w:t xml:space="preserve"> </w:t>
      </w:r>
      <w:r>
        <w:rPr>
          <w:color w:val="231F20"/>
          <w:spacing w:val="-3"/>
          <w:sz w:val="20"/>
        </w:rPr>
        <w:t>by</w:t>
      </w:r>
      <w:r>
        <w:rPr>
          <w:color w:val="231F20"/>
          <w:spacing w:val="-8"/>
          <w:sz w:val="20"/>
        </w:rPr>
        <w:t xml:space="preserve"> </w:t>
      </w:r>
      <w:r>
        <w:rPr>
          <w:color w:val="231F20"/>
          <w:sz w:val="20"/>
        </w:rPr>
        <w:t>either</w:t>
      </w:r>
      <w:r>
        <w:rPr>
          <w:color w:val="231F20"/>
          <w:spacing w:val="-9"/>
          <w:sz w:val="20"/>
        </w:rPr>
        <w:t xml:space="preserve"> </w:t>
      </w:r>
      <w:r>
        <w:rPr>
          <w:color w:val="231F20"/>
          <w:sz w:val="20"/>
        </w:rPr>
        <w:t>party’).</w:t>
      </w:r>
      <w:r>
        <w:rPr>
          <w:color w:val="231F20"/>
          <w:position w:val="7"/>
          <w:sz w:val="11"/>
        </w:rPr>
        <w:t>68</w:t>
      </w:r>
    </w:p>
    <w:p w14:paraId="2A4C0EFF" w14:textId="77777777" w:rsidR="00894070" w:rsidRDefault="009B7AFD">
      <w:pPr>
        <w:pStyle w:val="ListParagraph"/>
        <w:numPr>
          <w:ilvl w:val="1"/>
          <w:numId w:val="102"/>
        </w:numPr>
        <w:tabs>
          <w:tab w:val="left" w:pos="1801"/>
          <w:tab w:val="left" w:pos="1802"/>
        </w:tabs>
        <w:spacing w:before="124" w:line="206" w:lineRule="auto"/>
        <w:ind w:right="1246"/>
        <w:rPr>
          <w:sz w:val="20"/>
        </w:rPr>
      </w:pPr>
      <w:r>
        <w:rPr>
          <w:color w:val="231F20"/>
          <w:spacing w:val="-6"/>
          <w:sz w:val="20"/>
        </w:rPr>
        <w:t xml:space="preserve">We </w:t>
      </w:r>
      <w:r>
        <w:rPr>
          <w:color w:val="231F20"/>
          <w:spacing w:val="-3"/>
          <w:sz w:val="20"/>
        </w:rPr>
        <w:t xml:space="preserve">note </w:t>
      </w:r>
      <w:r>
        <w:rPr>
          <w:color w:val="231F20"/>
          <w:sz w:val="20"/>
        </w:rPr>
        <w:t xml:space="preserve">that recommendations made in the </w:t>
      </w:r>
      <w:r>
        <w:rPr>
          <w:color w:val="231F20"/>
          <w:spacing w:val="-3"/>
          <w:sz w:val="20"/>
        </w:rPr>
        <w:t xml:space="preserve">interim </w:t>
      </w:r>
      <w:r>
        <w:rPr>
          <w:color w:val="231F20"/>
          <w:sz w:val="20"/>
        </w:rPr>
        <w:t xml:space="preserve">report will </w:t>
      </w:r>
      <w:r>
        <w:rPr>
          <w:color w:val="231F20"/>
          <w:spacing w:val="-3"/>
          <w:sz w:val="20"/>
        </w:rPr>
        <w:t xml:space="preserve">likely </w:t>
      </w:r>
      <w:r>
        <w:rPr>
          <w:color w:val="231F20"/>
          <w:sz w:val="20"/>
        </w:rPr>
        <w:t>also help flag stalking</w:t>
      </w:r>
      <w:r>
        <w:rPr>
          <w:color w:val="231F20"/>
          <w:spacing w:val="-8"/>
          <w:sz w:val="20"/>
        </w:rPr>
        <w:t xml:space="preserve"> </w:t>
      </w:r>
      <w:r>
        <w:rPr>
          <w:color w:val="231F20"/>
          <w:sz w:val="20"/>
        </w:rPr>
        <w:t>cases</w:t>
      </w:r>
      <w:r>
        <w:rPr>
          <w:color w:val="231F20"/>
          <w:spacing w:val="-8"/>
          <w:sz w:val="20"/>
        </w:rPr>
        <w:t xml:space="preserve"> </w:t>
      </w:r>
      <w:r>
        <w:rPr>
          <w:color w:val="231F20"/>
          <w:sz w:val="20"/>
        </w:rPr>
        <w:t>to</w:t>
      </w:r>
      <w:r>
        <w:rPr>
          <w:color w:val="231F20"/>
          <w:spacing w:val="-7"/>
          <w:sz w:val="20"/>
        </w:rPr>
        <w:t xml:space="preserve"> </w:t>
      </w:r>
      <w:r>
        <w:rPr>
          <w:color w:val="231F20"/>
          <w:sz w:val="20"/>
        </w:rPr>
        <w:t>the</w:t>
      </w:r>
      <w:r>
        <w:rPr>
          <w:color w:val="231F20"/>
          <w:spacing w:val="-8"/>
          <w:sz w:val="20"/>
        </w:rPr>
        <w:t xml:space="preserve"> </w:t>
      </w:r>
      <w:r>
        <w:rPr>
          <w:color w:val="231F20"/>
          <w:sz w:val="20"/>
        </w:rPr>
        <w:t>court,</w:t>
      </w:r>
      <w:r>
        <w:rPr>
          <w:color w:val="231F20"/>
          <w:position w:val="7"/>
          <w:sz w:val="11"/>
        </w:rPr>
        <w:t>69</w:t>
      </w:r>
      <w:r>
        <w:rPr>
          <w:color w:val="231F20"/>
          <w:spacing w:val="17"/>
          <w:position w:val="7"/>
          <w:sz w:val="11"/>
        </w:rPr>
        <w:t xml:space="preserve"> </w:t>
      </w:r>
      <w:r>
        <w:rPr>
          <w:color w:val="231F20"/>
          <w:sz w:val="20"/>
        </w:rPr>
        <w:t>especially</w:t>
      </w:r>
      <w:r>
        <w:rPr>
          <w:color w:val="231F20"/>
          <w:spacing w:val="-8"/>
          <w:sz w:val="20"/>
        </w:rPr>
        <w:t xml:space="preserve"> </w:t>
      </w:r>
      <w:r>
        <w:rPr>
          <w:color w:val="231F20"/>
          <w:sz w:val="20"/>
        </w:rPr>
        <w:t>if</w:t>
      </w:r>
      <w:r>
        <w:rPr>
          <w:color w:val="231F20"/>
          <w:spacing w:val="-7"/>
          <w:sz w:val="20"/>
        </w:rPr>
        <w:t xml:space="preserve"> </w:t>
      </w:r>
      <w:r>
        <w:rPr>
          <w:color w:val="231F20"/>
          <w:sz w:val="20"/>
        </w:rPr>
        <w:t>police</w:t>
      </w:r>
      <w:r>
        <w:rPr>
          <w:color w:val="231F20"/>
          <w:spacing w:val="-8"/>
          <w:sz w:val="20"/>
        </w:rPr>
        <w:t xml:space="preserve"> </w:t>
      </w:r>
      <w:r>
        <w:rPr>
          <w:color w:val="231F20"/>
          <w:spacing w:val="-3"/>
          <w:sz w:val="20"/>
        </w:rPr>
        <w:t>apply</w:t>
      </w:r>
      <w:r>
        <w:rPr>
          <w:color w:val="231F20"/>
          <w:spacing w:val="-7"/>
          <w:sz w:val="20"/>
        </w:rPr>
        <w:t xml:space="preserve"> </w:t>
      </w:r>
      <w:r>
        <w:rPr>
          <w:color w:val="231F20"/>
          <w:spacing w:val="-3"/>
          <w:sz w:val="20"/>
        </w:rPr>
        <w:t>for</w:t>
      </w:r>
      <w:r>
        <w:rPr>
          <w:color w:val="231F20"/>
          <w:spacing w:val="-8"/>
          <w:sz w:val="20"/>
        </w:rPr>
        <w:t xml:space="preserve"> </w:t>
      </w:r>
      <w:r>
        <w:rPr>
          <w:color w:val="231F20"/>
          <w:sz w:val="20"/>
        </w:rPr>
        <w:t>PSIOs</w:t>
      </w:r>
      <w:r>
        <w:rPr>
          <w:color w:val="231F20"/>
          <w:spacing w:val="-7"/>
          <w:sz w:val="20"/>
        </w:rPr>
        <w:t xml:space="preserve"> </w:t>
      </w:r>
      <w:r>
        <w:rPr>
          <w:color w:val="231F20"/>
          <w:sz w:val="20"/>
        </w:rPr>
        <w:t>more</w:t>
      </w:r>
      <w:r>
        <w:rPr>
          <w:color w:val="231F20"/>
          <w:spacing w:val="-8"/>
          <w:sz w:val="20"/>
        </w:rPr>
        <w:t xml:space="preserve"> </w:t>
      </w:r>
      <w:r>
        <w:rPr>
          <w:color w:val="231F20"/>
          <w:sz w:val="20"/>
        </w:rPr>
        <w:t>often</w:t>
      </w:r>
      <w:r>
        <w:rPr>
          <w:color w:val="231F20"/>
          <w:spacing w:val="-7"/>
          <w:sz w:val="20"/>
        </w:rPr>
        <w:t xml:space="preserve"> </w:t>
      </w:r>
      <w:r>
        <w:rPr>
          <w:color w:val="231F20"/>
          <w:sz w:val="20"/>
        </w:rPr>
        <w:t>and</w:t>
      </w:r>
      <w:r>
        <w:rPr>
          <w:color w:val="231F20"/>
          <w:spacing w:val="-8"/>
          <w:sz w:val="20"/>
        </w:rPr>
        <w:t xml:space="preserve"> </w:t>
      </w:r>
      <w:r>
        <w:rPr>
          <w:color w:val="231F20"/>
          <w:spacing w:val="-3"/>
          <w:sz w:val="20"/>
        </w:rPr>
        <w:t xml:space="preserve">record </w:t>
      </w:r>
      <w:r>
        <w:rPr>
          <w:color w:val="231F20"/>
          <w:sz w:val="20"/>
        </w:rPr>
        <w:t>them</w:t>
      </w:r>
      <w:r>
        <w:rPr>
          <w:color w:val="231F20"/>
          <w:spacing w:val="-4"/>
          <w:sz w:val="20"/>
        </w:rPr>
        <w:t xml:space="preserve"> </w:t>
      </w:r>
      <w:r>
        <w:rPr>
          <w:color w:val="231F20"/>
          <w:spacing w:val="-3"/>
          <w:sz w:val="20"/>
        </w:rPr>
        <w:t>systematically.</w:t>
      </w:r>
    </w:p>
    <w:p w14:paraId="42E82820" w14:textId="77777777" w:rsidR="00894070" w:rsidRDefault="009B7AFD">
      <w:pPr>
        <w:pStyle w:val="ListParagraph"/>
        <w:numPr>
          <w:ilvl w:val="1"/>
          <w:numId w:val="102"/>
        </w:numPr>
        <w:tabs>
          <w:tab w:val="left" w:pos="1801"/>
          <w:tab w:val="left" w:pos="1802"/>
        </w:tabs>
        <w:spacing w:before="91" w:line="259" w:lineRule="exact"/>
        <w:rPr>
          <w:sz w:val="20"/>
        </w:rPr>
      </w:pP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interim</w:t>
      </w:r>
      <w:r>
        <w:rPr>
          <w:color w:val="231F20"/>
          <w:spacing w:val="-5"/>
          <w:sz w:val="20"/>
        </w:rPr>
        <w:t xml:space="preserve"> </w:t>
      </w:r>
      <w:r>
        <w:rPr>
          <w:color w:val="231F20"/>
          <w:sz w:val="20"/>
        </w:rPr>
        <w:t>report</w:t>
      </w:r>
      <w:r>
        <w:rPr>
          <w:color w:val="231F20"/>
          <w:spacing w:val="-5"/>
          <w:sz w:val="20"/>
        </w:rPr>
        <w:t xml:space="preserve"> </w:t>
      </w:r>
      <w:r>
        <w:rPr>
          <w:color w:val="231F20"/>
          <w:spacing w:val="-3"/>
          <w:sz w:val="20"/>
        </w:rPr>
        <w:t>we</w:t>
      </w:r>
      <w:r>
        <w:rPr>
          <w:color w:val="231F20"/>
          <w:spacing w:val="-5"/>
          <w:sz w:val="20"/>
        </w:rPr>
        <w:t xml:space="preserve"> </w:t>
      </w:r>
      <w:r>
        <w:rPr>
          <w:color w:val="231F20"/>
          <w:sz w:val="20"/>
        </w:rPr>
        <w:t>discussed</w:t>
      </w:r>
      <w:r>
        <w:rPr>
          <w:color w:val="231F20"/>
          <w:spacing w:val="-5"/>
          <w:sz w:val="20"/>
        </w:rPr>
        <w:t xml:space="preserve"> </w:t>
      </w:r>
      <w:r>
        <w:rPr>
          <w:color w:val="231F20"/>
          <w:sz w:val="20"/>
        </w:rPr>
        <w:t>the</w:t>
      </w:r>
      <w:r>
        <w:rPr>
          <w:color w:val="231F20"/>
          <w:spacing w:val="-5"/>
          <w:sz w:val="20"/>
        </w:rPr>
        <w:t xml:space="preserve"> </w:t>
      </w:r>
      <w:r>
        <w:rPr>
          <w:color w:val="231F20"/>
          <w:sz w:val="20"/>
        </w:rPr>
        <w:t>Screening</w:t>
      </w:r>
      <w:r>
        <w:rPr>
          <w:color w:val="231F20"/>
          <w:spacing w:val="-4"/>
          <w:sz w:val="20"/>
        </w:rPr>
        <w:t xml:space="preserve"> </w:t>
      </w:r>
      <w:r>
        <w:rPr>
          <w:color w:val="231F20"/>
          <w:sz w:val="20"/>
        </w:rPr>
        <w:t>Assessment</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Stalking</w:t>
      </w:r>
      <w:r>
        <w:rPr>
          <w:color w:val="231F20"/>
          <w:spacing w:val="-5"/>
          <w:sz w:val="20"/>
        </w:rPr>
        <w:t xml:space="preserve"> </w:t>
      </w:r>
      <w:r>
        <w:rPr>
          <w:color w:val="231F20"/>
          <w:sz w:val="20"/>
        </w:rPr>
        <w:t>and</w:t>
      </w:r>
    </w:p>
    <w:p w14:paraId="5F582525" w14:textId="77777777" w:rsidR="00894070" w:rsidRDefault="009B7AFD">
      <w:pPr>
        <w:pStyle w:val="BodyText"/>
        <w:spacing w:line="259" w:lineRule="exact"/>
        <w:ind w:left="1801"/>
      </w:pPr>
      <w:r>
        <w:rPr>
          <w:color w:val="231F20"/>
        </w:rPr>
        <w:t>Harassment (SASH) tool used by the Netherlands Police.</w:t>
      </w:r>
      <w:r>
        <w:rPr>
          <w:color w:val="231F20"/>
          <w:position w:val="7"/>
          <w:sz w:val="11"/>
        </w:rPr>
        <w:t xml:space="preserve">70 </w:t>
      </w:r>
      <w:r>
        <w:rPr>
          <w:color w:val="231F20"/>
        </w:rPr>
        <w:t>It identifies and prioritises</w:t>
      </w:r>
    </w:p>
    <w:p w14:paraId="5395EE42" w14:textId="77777777" w:rsidR="00894070" w:rsidRDefault="009F6793">
      <w:pPr>
        <w:pStyle w:val="BodyText"/>
      </w:pPr>
      <w:r>
        <w:pict w14:anchorId="3271CF49">
          <v:line id="_x0000_s1348" style="position:absolute;z-index:251649024;mso-wrap-distance-left:0;mso-wrap-distance-right:0;mso-position-horizontal-relative:page" from="79.35pt,16.35pt" to="515.9pt,16.35pt" strokecolor="#f8cabc" strokeweight="1pt">
            <w10:wrap type="topAndBottom" anchorx="page"/>
          </v:line>
        </w:pict>
      </w:r>
    </w:p>
    <w:p w14:paraId="39E23072" w14:textId="77777777" w:rsidR="00894070" w:rsidRDefault="00894070">
      <w:pPr>
        <w:pStyle w:val="BodyText"/>
        <w:rPr>
          <w:sz w:val="5"/>
        </w:rPr>
      </w:pPr>
    </w:p>
    <w:p w14:paraId="3569506B" w14:textId="77777777" w:rsidR="00894070" w:rsidRDefault="00894070">
      <w:pPr>
        <w:rPr>
          <w:sz w:val="5"/>
        </w:rPr>
        <w:sectPr w:rsidR="00894070">
          <w:pgSz w:w="11910" w:h="16840"/>
          <w:pgMar w:top="860" w:right="420" w:bottom="280" w:left="580" w:header="567" w:footer="0" w:gutter="0"/>
          <w:cols w:space="720"/>
        </w:sectPr>
      </w:pPr>
    </w:p>
    <w:p w14:paraId="243EEBE5" w14:textId="77777777" w:rsidR="00894070" w:rsidRDefault="00894070">
      <w:pPr>
        <w:pStyle w:val="BodyText"/>
        <w:rPr>
          <w:sz w:val="28"/>
        </w:rPr>
      </w:pPr>
    </w:p>
    <w:p w14:paraId="1CEC6D8F" w14:textId="77777777" w:rsidR="00894070" w:rsidRDefault="00894070">
      <w:pPr>
        <w:pStyle w:val="BodyText"/>
        <w:rPr>
          <w:sz w:val="28"/>
        </w:rPr>
      </w:pPr>
    </w:p>
    <w:p w14:paraId="3533D7B9" w14:textId="77777777" w:rsidR="00894070" w:rsidRDefault="00894070">
      <w:pPr>
        <w:pStyle w:val="BodyText"/>
        <w:rPr>
          <w:sz w:val="28"/>
        </w:rPr>
      </w:pPr>
    </w:p>
    <w:p w14:paraId="20E7A6B5" w14:textId="77777777" w:rsidR="00894070" w:rsidRDefault="00894070">
      <w:pPr>
        <w:pStyle w:val="BodyText"/>
        <w:rPr>
          <w:sz w:val="28"/>
        </w:rPr>
      </w:pPr>
    </w:p>
    <w:p w14:paraId="71F320B4" w14:textId="77777777" w:rsidR="00894070" w:rsidRDefault="00894070">
      <w:pPr>
        <w:pStyle w:val="BodyText"/>
        <w:rPr>
          <w:sz w:val="28"/>
        </w:rPr>
      </w:pPr>
    </w:p>
    <w:p w14:paraId="173A8703" w14:textId="77777777" w:rsidR="00894070" w:rsidRDefault="00894070">
      <w:pPr>
        <w:pStyle w:val="BodyText"/>
        <w:rPr>
          <w:sz w:val="28"/>
        </w:rPr>
      </w:pPr>
    </w:p>
    <w:p w14:paraId="3B5A4E0A" w14:textId="77777777" w:rsidR="00894070" w:rsidRDefault="00894070">
      <w:pPr>
        <w:pStyle w:val="BodyText"/>
        <w:rPr>
          <w:sz w:val="28"/>
        </w:rPr>
      </w:pPr>
    </w:p>
    <w:p w14:paraId="1270A835" w14:textId="77777777" w:rsidR="00894070" w:rsidRDefault="00894070">
      <w:pPr>
        <w:pStyle w:val="BodyText"/>
        <w:spacing w:before="13"/>
        <w:rPr>
          <w:sz w:val="26"/>
        </w:rPr>
      </w:pPr>
    </w:p>
    <w:p w14:paraId="06F1B32D" w14:textId="77777777" w:rsidR="00894070" w:rsidRDefault="009B7AFD">
      <w:pPr>
        <w:pStyle w:val="Heading8"/>
        <w:ind w:left="140"/>
      </w:pPr>
      <w:r>
        <w:rPr>
          <w:color w:val="EA5B50"/>
        </w:rPr>
        <w:t>102</w:t>
      </w:r>
    </w:p>
    <w:p w14:paraId="0173887D" w14:textId="77777777" w:rsidR="00894070" w:rsidRDefault="009B7AFD">
      <w:pPr>
        <w:tabs>
          <w:tab w:val="left" w:pos="933"/>
        </w:tabs>
        <w:spacing w:before="21" w:line="170" w:lineRule="exact"/>
        <w:ind w:left="140"/>
        <w:rPr>
          <w:sz w:val="13"/>
        </w:rPr>
      </w:pPr>
      <w:r>
        <w:br w:type="column"/>
      </w:r>
      <w:r>
        <w:rPr>
          <w:color w:val="231F20"/>
          <w:sz w:val="13"/>
        </w:rPr>
        <w:t>56</w:t>
      </w:r>
      <w:r>
        <w:rPr>
          <w:color w:val="231F20"/>
          <w:sz w:val="13"/>
        </w:rPr>
        <w:tab/>
        <w:t>Ibid [4.100].</w:t>
      </w:r>
    </w:p>
    <w:p w14:paraId="4847CD4B" w14:textId="77777777" w:rsidR="00894070" w:rsidRDefault="009B7AFD">
      <w:pPr>
        <w:tabs>
          <w:tab w:val="left" w:pos="933"/>
        </w:tabs>
        <w:spacing w:line="160" w:lineRule="exact"/>
        <w:ind w:left="140"/>
        <w:rPr>
          <w:sz w:val="13"/>
        </w:rPr>
      </w:pPr>
      <w:r>
        <w:rPr>
          <w:color w:val="231F20"/>
          <w:sz w:val="13"/>
        </w:rPr>
        <w:t>57</w:t>
      </w:r>
      <w:r>
        <w:rPr>
          <w:color w:val="231F20"/>
          <w:sz w:val="13"/>
        </w:rPr>
        <w:tab/>
        <w:t>Ibid</w:t>
      </w:r>
      <w:r>
        <w:rPr>
          <w:color w:val="231F20"/>
          <w:spacing w:val="11"/>
          <w:sz w:val="13"/>
        </w:rPr>
        <w:t xml:space="preserve"> </w:t>
      </w:r>
      <w:r>
        <w:rPr>
          <w:color w:val="231F20"/>
          <w:spacing w:val="2"/>
          <w:sz w:val="13"/>
        </w:rPr>
        <w:t>[4.46]</w:t>
      </w:r>
      <w:proofErr w:type="gramStart"/>
      <w:r>
        <w:rPr>
          <w:color w:val="231F20"/>
          <w:spacing w:val="2"/>
          <w:sz w:val="13"/>
        </w:rPr>
        <w:t>–[</w:t>
      </w:r>
      <w:proofErr w:type="gramEnd"/>
      <w:r>
        <w:rPr>
          <w:color w:val="231F20"/>
          <w:spacing w:val="2"/>
          <w:sz w:val="13"/>
        </w:rPr>
        <w:t>4.72].</w:t>
      </w:r>
    </w:p>
    <w:p w14:paraId="059BA4B2" w14:textId="77777777" w:rsidR="00894070" w:rsidRDefault="009B7AFD">
      <w:pPr>
        <w:tabs>
          <w:tab w:val="left" w:pos="933"/>
        </w:tabs>
        <w:spacing w:line="160" w:lineRule="exact"/>
        <w:ind w:left="140"/>
        <w:rPr>
          <w:sz w:val="13"/>
        </w:rPr>
      </w:pPr>
      <w:r>
        <w:rPr>
          <w:color w:val="231F20"/>
          <w:sz w:val="13"/>
        </w:rPr>
        <w:t>58</w:t>
      </w:r>
      <w:r>
        <w:rPr>
          <w:color w:val="231F20"/>
          <w:sz w:val="13"/>
        </w:rPr>
        <w:tab/>
        <w:t>Ibid</w:t>
      </w:r>
      <w:r>
        <w:rPr>
          <w:color w:val="231F20"/>
          <w:spacing w:val="15"/>
          <w:sz w:val="13"/>
        </w:rPr>
        <w:t xml:space="preserve"> </w:t>
      </w:r>
      <w:r>
        <w:rPr>
          <w:color w:val="231F20"/>
          <w:spacing w:val="2"/>
          <w:sz w:val="13"/>
        </w:rPr>
        <w:t>[4.88]</w:t>
      </w:r>
      <w:proofErr w:type="gramStart"/>
      <w:r>
        <w:rPr>
          <w:color w:val="231F20"/>
          <w:spacing w:val="2"/>
          <w:sz w:val="13"/>
        </w:rPr>
        <w:t>–[</w:t>
      </w:r>
      <w:proofErr w:type="gramEnd"/>
      <w:r>
        <w:rPr>
          <w:color w:val="231F20"/>
          <w:spacing w:val="2"/>
          <w:sz w:val="13"/>
        </w:rPr>
        <w:t>4.94].</w:t>
      </w:r>
    </w:p>
    <w:p w14:paraId="3F09F590" w14:textId="77777777" w:rsidR="00894070" w:rsidRDefault="009B7AFD">
      <w:pPr>
        <w:tabs>
          <w:tab w:val="left" w:pos="933"/>
        </w:tabs>
        <w:spacing w:line="160" w:lineRule="exact"/>
        <w:ind w:left="140"/>
        <w:rPr>
          <w:sz w:val="13"/>
        </w:rPr>
      </w:pPr>
      <w:r>
        <w:rPr>
          <w:color w:val="231F20"/>
          <w:sz w:val="13"/>
        </w:rPr>
        <w:t>59</w:t>
      </w:r>
      <w:r>
        <w:rPr>
          <w:color w:val="231F20"/>
          <w:sz w:val="13"/>
        </w:rPr>
        <w:tab/>
        <w:t>Ibid [4.102].</w:t>
      </w:r>
    </w:p>
    <w:p w14:paraId="7C1E784A" w14:textId="77777777" w:rsidR="00894070" w:rsidRDefault="009B7AFD">
      <w:pPr>
        <w:pStyle w:val="ListParagraph"/>
        <w:numPr>
          <w:ilvl w:val="0"/>
          <w:numId w:val="94"/>
        </w:numPr>
        <w:tabs>
          <w:tab w:val="left" w:pos="933"/>
          <w:tab w:val="left" w:pos="934"/>
        </w:tabs>
        <w:spacing w:line="160" w:lineRule="exact"/>
        <w:ind w:hanging="793"/>
        <w:rPr>
          <w:sz w:val="13"/>
        </w:rPr>
      </w:pPr>
      <w:r>
        <w:rPr>
          <w:color w:val="231F20"/>
          <w:spacing w:val="2"/>
          <w:sz w:val="13"/>
        </w:rPr>
        <w:t xml:space="preserve">Submission </w:t>
      </w:r>
      <w:r>
        <w:rPr>
          <w:color w:val="231F20"/>
          <w:sz w:val="13"/>
        </w:rPr>
        <w:t>100</w:t>
      </w:r>
      <w:r>
        <w:rPr>
          <w:color w:val="231F20"/>
          <w:spacing w:val="-3"/>
          <w:sz w:val="13"/>
        </w:rPr>
        <w:t xml:space="preserve"> </w:t>
      </w:r>
      <w:r>
        <w:rPr>
          <w:color w:val="231F20"/>
          <w:sz w:val="13"/>
        </w:rPr>
        <w:t>(Forensicare).</w:t>
      </w:r>
    </w:p>
    <w:p w14:paraId="37F9AD10" w14:textId="77777777" w:rsidR="00894070" w:rsidRDefault="009B7AFD">
      <w:pPr>
        <w:pStyle w:val="ListParagraph"/>
        <w:numPr>
          <w:ilvl w:val="0"/>
          <w:numId w:val="94"/>
        </w:numPr>
        <w:tabs>
          <w:tab w:val="left" w:pos="933"/>
          <w:tab w:val="left" w:pos="934"/>
        </w:tabs>
        <w:spacing w:line="160" w:lineRule="exact"/>
        <w:ind w:hanging="793"/>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2021)</w:t>
      </w:r>
      <w:r>
        <w:rPr>
          <w:color w:val="231F20"/>
          <w:spacing w:val="-3"/>
          <w:sz w:val="13"/>
        </w:rPr>
        <w:t xml:space="preserve"> </w:t>
      </w:r>
      <w:r>
        <w:rPr>
          <w:color w:val="231F20"/>
          <w:sz w:val="13"/>
        </w:rPr>
        <w:t>[4.101].</w:t>
      </w:r>
    </w:p>
    <w:p w14:paraId="00711429" w14:textId="77777777" w:rsidR="00894070" w:rsidRDefault="009B7AFD">
      <w:pPr>
        <w:pStyle w:val="ListParagraph"/>
        <w:numPr>
          <w:ilvl w:val="0"/>
          <w:numId w:val="94"/>
        </w:numPr>
        <w:tabs>
          <w:tab w:val="left" w:pos="933"/>
          <w:tab w:val="left" w:pos="934"/>
        </w:tabs>
        <w:spacing w:line="160" w:lineRule="exact"/>
        <w:ind w:hanging="793"/>
        <w:rPr>
          <w:sz w:val="13"/>
        </w:rPr>
      </w:pPr>
      <w:r>
        <w:rPr>
          <w:color w:val="231F20"/>
          <w:sz w:val="13"/>
        </w:rPr>
        <w:t>Consultation 36 (Forensicare (No 2)).</w:t>
      </w:r>
    </w:p>
    <w:p w14:paraId="0D1F181A" w14:textId="77777777" w:rsidR="00894070" w:rsidRDefault="009B7AFD">
      <w:pPr>
        <w:pStyle w:val="ListParagraph"/>
        <w:numPr>
          <w:ilvl w:val="0"/>
          <w:numId w:val="94"/>
        </w:numPr>
        <w:tabs>
          <w:tab w:val="left" w:pos="933"/>
          <w:tab w:val="left" w:pos="934"/>
        </w:tabs>
        <w:spacing w:line="160" w:lineRule="exact"/>
        <w:ind w:hanging="793"/>
        <w:rPr>
          <w:sz w:val="13"/>
        </w:rPr>
      </w:pPr>
      <w:r>
        <w:rPr>
          <w:color w:val="231F20"/>
          <w:spacing w:val="2"/>
          <w:sz w:val="13"/>
        </w:rPr>
        <w:t xml:space="preserve">Submission </w:t>
      </w:r>
      <w:r>
        <w:rPr>
          <w:color w:val="231F20"/>
          <w:sz w:val="13"/>
        </w:rPr>
        <w:t>100</w:t>
      </w:r>
      <w:r>
        <w:rPr>
          <w:color w:val="231F20"/>
          <w:spacing w:val="-3"/>
          <w:sz w:val="13"/>
        </w:rPr>
        <w:t xml:space="preserve"> </w:t>
      </w:r>
      <w:r>
        <w:rPr>
          <w:color w:val="231F20"/>
          <w:sz w:val="13"/>
        </w:rPr>
        <w:t>(Forensicare).</w:t>
      </w:r>
    </w:p>
    <w:p w14:paraId="7CEC618E" w14:textId="77777777" w:rsidR="00894070" w:rsidRDefault="009B7AFD">
      <w:pPr>
        <w:pStyle w:val="ListParagraph"/>
        <w:numPr>
          <w:ilvl w:val="0"/>
          <w:numId w:val="94"/>
        </w:numPr>
        <w:tabs>
          <w:tab w:val="left" w:pos="933"/>
          <w:tab w:val="left" w:pos="934"/>
        </w:tabs>
        <w:spacing w:before="7" w:line="213" w:lineRule="auto"/>
        <w:ind w:right="1391" w:hanging="793"/>
        <w:rPr>
          <w:sz w:val="13"/>
        </w:rPr>
      </w:pPr>
      <w:r>
        <w:rPr>
          <w:color w:val="231F20"/>
          <w:spacing w:val="2"/>
          <w:sz w:val="13"/>
        </w:rPr>
        <w:t xml:space="preserve">Submission </w:t>
      </w:r>
      <w:r>
        <w:rPr>
          <w:color w:val="231F20"/>
          <w:sz w:val="13"/>
        </w:rPr>
        <w:t xml:space="preserve">97 (Federation of Community Legal Centres); Consultation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 Victoria).</w:t>
      </w:r>
    </w:p>
    <w:p w14:paraId="13676E33" w14:textId="77777777" w:rsidR="00894070" w:rsidRDefault="009B7AFD">
      <w:pPr>
        <w:pStyle w:val="ListParagraph"/>
        <w:numPr>
          <w:ilvl w:val="0"/>
          <w:numId w:val="94"/>
        </w:numPr>
        <w:tabs>
          <w:tab w:val="left" w:pos="933"/>
          <w:tab w:val="left" w:pos="934"/>
        </w:tabs>
        <w:spacing w:line="153" w:lineRule="exact"/>
        <w:ind w:hanging="793"/>
        <w:rPr>
          <w:sz w:val="13"/>
        </w:rPr>
      </w:pPr>
      <w:r>
        <w:rPr>
          <w:color w:val="231F20"/>
          <w:sz w:val="13"/>
        </w:rPr>
        <w:t>Consultation 36 (Forensicare (No 2)).</w:t>
      </w:r>
    </w:p>
    <w:p w14:paraId="01FB6217" w14:textId="77777777" w:rsidR="00894070" w:rsidRDefault="009B7AFD">
      <w:pPr>
        <w:pStyle w:val="ListParagraph"/>
        <w:numPr>
          <w:ilvl w:val="0"/>
          <w:numId w:val="94"/>
        </w:numPr>
        <w:tabs>
          <w:tab w:val="left" w:pos="933"/>
          <w:tab w:val="left" w:pos="934"/>
        </w:tabs>
        <w:spacing w:line="160" w:lineRule="exact"/>
        <w:ind w:hanging="793"/>
        <w:rPr>
          <w:sz w:val="13"/>
        </w:rPr>
      </w:pPr>
      <w:r>
        <w:rPr>
          <w:color w:val="231F20"/>
          <w:spacing w:val="2"/>
          <w:sz w:val="13"/>
        </w:rPr>
        <w:t xml:space="preserve">Submission </w:t>
      </w:r>
      <w:r>
        <w:rPr>
          <w:color w:val="231F20"/>
          <w:sz w:val="13"/>
        </w:rPr>
        <w:t>98 (Law Institute of</w:t>
      </w:r>
      <w:r>
        <w:rPr>
          <w:color w:val="231F20"/>
          <w:spacing w:val="-2"/>
          <w:sz w:val="13"/>
        </w:rPr>
        <w:t xml:space="preserve"> </w:t>
      </w:r>
      <w:r>
        <w:rPr>
          <w:color w:val="231F20"/>
          <w:sz w:val="13"/>
        </w:rPr>
        <w:t>Victoria).</w:t>
      </w:r>
    </w:p>
    <w:p w14:paraId="23EEAB61" w14:textId="77777777" w:rsidR="00894070" w:rsidRDefault="009B7AFD">
      <w:pPr>
        <w:pStyle w:val="ListParagraph"/>
        <w:numPr>
          <w:ilvl w:val="0"/>
          <w:numId w:val="94"/>
        </w:numPr>
        <w:tabs>
          <w:tab w:val="left" w:pos="933"/>
          <w:tab w:val="left" w:pos="934"/>
        </w:tabs>
        <w:spacing w:line="160" w:lineRule="exact"/>
        <w:ind w:hanging="793"/>
        <w:rPr>
          <w:sz w:val="13"/>
        </w:rPr>
      </w:pPr>
      <w:r>
        <w:rPr>
          <w:color w:val="231F20"/>
          <w:sz w:val="13"/>
        </w:rPr>
        <w:t xml:space="preserve">Consultation 34 (Magistrates’ </w:t>
      </w:r>
      <w:r>
        <w:rPr>
          <w:color w:val="231F20"/>
          <w:spacing w:val="2"/>
          <w:sz w:val="13"/>
        </w:rPr>
        <w:t xml:space="preserve">Court </w:t>
      </w:r>
      <w:r>
        <w:rPr>
          <w:color w:val="231F20"/>
          <w:sz w:val="13"/>
        </w:rPr>
        <w:t>of Victoria (No 2)).</w:t>
      </w:r>
    </w:p>
    <w:p w14:paraId="1631635D" w14:textId="77777777" w:rsidR="00894070" w:rsidRDefault="009B7AFD">
      <w:pPr>
        <w:pStyle w:val="ListParagraph"/>
        <w:numPr>
          <w:ilvl w:val="0"/>
          <w:numId w:val="94"/>
        </w:numPr>
        <w:tabs>
          <w:tab w:val="left" w:pos="933"/>
          <w:tab w:val="left" w:pos="934"/>
        </w:tabs>
        <w:spacing w:before="6" w:line="213" w:lineRule="auto"/>
        <w:ind w:right="1367" w:hanging="793"/>
        <w:rPr>
          <w:sz w:val="13"/>
        </w:rPr>
      </w:pPr>
      <w:r>
        <w:rPr>
          <w:color w:val="231F20"/>
          <w:sz w:val="13"/>
        </w:rPr>
        <w:t xml:space="preserve">Dispute Settlement Centre of Victoria, </w:t>
      </w:r>
      <w:r>
        <w:rPr>
          <w:i/>
          <w:color w:val="231F20"/>
          <w:sz w:val="13"/>
        </w:rPr>
        <w:t xml:space="preserve">DSCV Assessing Suitability Criteria </w:t>
      </w:r>
      <w:r>
        <w:rPr>
          <w:color w:val="231F20"/>
          <w:sz w:val="13"/>
        </w:rPr>
        <w:t xml:space="preserve">(Guideline, undated). These guidelines for </w:t>
      </w:r>
      <w:r>
        <w:rPr>
          <w:color w:val="231F20"/>
          <w:spacing w:val="2"/>
          <w:sz w:val="13"/>
        </w:rPr>
        <w:t xml:space="preserve">assessing suitability </w:t>
      </w:r>
      <w:r>
        <w:rPr>
          <w:color w:val="231F20"/>
          <w:sz w:val="13"/>
        </w:rPr>
        <w:t xml:space="preserve">for mediation of matters referred to DSCV by the court are issued under </w:t>
      </w:r>
      <w:r>
        <w:rPr>
          <w:i/>
          <w:color w:val="231F20"/>
          <w:sz w:val="13"/>
        </w:rPr>
        <w:t xml:space="preserve">Personal Safety Intervention Orders Act 2010 </w:t>
      </w:r>
      <w:r>
        <w:rPr>
          <w:color w:val="231F20"/>
          <w:sz w:val="13"/>
        </w:rPr>
        <w:t xml:space="preserve">(Vic) s </w:t>
      </w:r>
      <w:r>
        <w:rPr>
          <w:color w:val="231F20"/>
          <w:spacing w:val="3"/>
          <w:sz w:val="13"/>
        </w:rPr>
        <w:t>34.</w:t>
      </w:r>
    </w:p>
    <w:p w14:paraId="7FBD96F6" w14:textId="77777777" w:rsidR="00894070" w:rsidRDefault="009B7AFD">
      <w:pPr>
        <w:pStyle w:val="ListParagraph"/>
        <w:numPr>
          <w:ilvl w:val="0"/>
          <w:numId w:val="94"/>
        </w:numPr>
        <w:tabs>
          <w:tab w:val="left" w:pos="933"/>
          <w:tab w:val="left" w:pos="934"/>
        </w:tabs>
        <w:spacing w:line="213" w:lineRule="auto"/>
        <w:ind w:right="1186" w:hanging="793"/>
        <w:rPr>
          <w:sz w:val="13"/>
        </w:rPr>
      </w:pPr>
      <w:r>
        <w:rPr>
          <w:color w:val="231F20"/>
          <w:sz w:val="13"/>
        </w:rPr>
        <w:t xml:space="preserve">Forensicare considered that it was </w:t>
      </w:r>
      <w:r>
        <w:rPr>
          <w:color w:val="231F20"/>
          <w:spacing w:val="2"/>
          <w:sz w:val="13"/>
        </w:rPr>
        <w:t xml:space="preserve">important </w:t>
      </w:r>
      <w:r>
        <w:rPr>
          <w:color w:val="231F20"/>
          <w:sz w:val="13"/>
        </w:rPr>
        <w:t xml:space="preserve">for </w:t>
      </w:r>
      <w:r>
        <w:rPr>
          <w:color w:val="231F20"/>
          <w:spacing w:val="2"/>
          <w:sz w:val="13"/>
        </w:rPr>
        <w:t xml:space="preserve">police </w:t>
      </w:r>
      <w:r>
        <w:rPr>
          <w:color w:val="231F20"/>
          <w:sz w:val="13"/>
        </w:rPr>
        <w:t xml:space="preserve">to put a ‘flag’ on </w:t>
      </w:r>
      <w:r>
        <w:rPr>
          <w:color w:val="231F20"/>
          <w:spacing w:val="2"/>
          <w:sz w:val="13"/>
        </w:rPr>
        <w:t xml:space="preserve">stalking </w:t>
      </w:r>
      <w:r>
        <w:rPr>
          <w:color w:val="231F20"/>
          <w:sz w:val="13"/>
        </w:rPr>
        <w:t xml:space="preserve">cases and for this to </w:t>
      </w:r>
      <w:r>
        <w:rPr>
          <w:color w:val="231F20"/>
          <w:spacing w:val="2"/>
          <w:sz w:val="13"/>
        </w:rPr>
        <w:t xml:space="preserve">carry </w:t>
      </w:r>
      <w:r>
        <w:rPr>
          <w:color w:val="231F20"/>
          <w:sz w:val="13"/>
        </w:rPr>
        <w:t xml:space="preserve">through to the court system: Consultation 15 (Forensicare (No 1)). In our interim </w:t>
      </w:r>
      <w:r>
        <w:rPr>
          <w:color w:val="231F20"/>
          <w:spacing w:val="2"/>
          <w:sz w:val="13"/>
        </w:rPr>
        <w:t xml:space="preserve">report </w:t>
      </w:r>
      <w:r>
        <w:rPr>
          <w:color w:val="231F20"/>
          <w:sz w:val="13"/>
        </w:rPr>
        <w:t xml:space="preserve">we make a recommendation to improve the recording of     </w:t>
      </w:r>
      <w:r>
        <w:rPr>
          <w:color w:val="231F20"/>
          <w:spacing w:val="2"/>
          <w:sz w:val="13"/>
        </w:rPr>
        <w:t xml:space="preserve">stalking </w:t>
      </w:r>
      <w:r>
        <w:rPr>
          <w:color w:val="231F20"/>
          <w:sz w:val="13"/>
        </w:rPr>
        <w:t xml:space="preserve">matters by police: 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 xml:space="preserve">2021) </w:t>
      </w:r>
      <w:proofErr w:type="gramStart"/>
      <w:r>
        <w:rPr>
          <w:color w:val="231F20"/>
          <w:sz w:val="13"/>
        </w:rPr>
        <w:t xml:space="preserve">Recommendation  </w:t>
      </w:r>
      <w:r>
        <w:rPr>
          <w:color w:val="231F20"/>
          <w:spacing w:val="6"/>
          <w:sz w:val="13"/>
        </w:rPr>
        <w:t>4</w:t>
      </w:r>
      <w:proofErr w:type="gramEnd"/>
      <w:r>
        <w:rPr>
          <w:color w:val="231F20"/>
          <w:spacing w:val="6"/>
          <w:sz w:val="13"/>
        </w:rPr>
        <w:t>.</w:t>
      </w:r>
    </w:p>
    <w:p w14:paraId="275553B4" w14:textId="77777777" w:rsidR="00894070" w:rsidRDefault="009B7AFD">
      <w:pPr>
        <w:pStyle w:val="ListParagraph"/>
        <w:numPr>
          <w:ilvl w:val="0"/>
          <w:numId w:val="94"/>
        </w:numPr>
        <w:tabs>
          <w:tab w:val="left" w:pos="933"/>
          <w:tab w:val="left" w:pos="934"/>
        </w:tabs>
        <w:spacing w:line="162" w:lineRule="exact"/>
        <w:ind w:hanging="793"/>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2021)</w:t>
      </w:r>
      <w:r>
        <w:rPr>
          <w:color w:val="231F20"/>
          <w:spacing w:val="-4"/>
          <w:sz w:val="13"/>
        </w:rPr>
        <w:t xml:space="preserve"> </w:t>
      </w:r>
      <w:r>
        <w:rPr>
          <w:color w:val="231F20"/>
          <w:spacing w:val="2"/>
          <w:sz w:val="13"/>
        </w:rPr>
        <w:t>[4.34].</w:t>
      </w:r>
    </w:p>
    <w:p w14:paraId="0F78EF71" w14:textId="77777777" w:rsidR="00894070" w:rsidRDefault="00894070">
      <w:pPr>
        <w:spacing w:line="162" w:lineRule="exact"/>
        <w:rPr>
          <w:sz w:val="13"/>
        </w:rPr>
        <w:sectPr w:rsidR="00894070">
          <w:type w:val="continuous"/>
          <w:pgSz w:w="11910" w:h="16840"/>
          <w:pgMar w:top="560" w:right="420" w:bottom="280" w:left="580" w:header="720" w:footer="720" w:gutter="0"/>
          <w:cols w:num="2" w:space="720" w:equalWidth="0">
            <w:col w:w="574" w:space="294"/>
            <w:col w:w="10042"/>
          </w:cols>
        </w:sectPr>
      </w:pPr>
    </w:p>
    <w:p w14:paraId="2D868DBB" w14:textId="77777777" w:rsidR="00894070" w:rsidRDefault="00894070">
      <w:pPr>
        <w:pStyle w:val="BodyText"/>
      </w:pPr>
    </w:p>
    <w:p w14:paraId="1DF803F2" w14:textId="77777777" w:rsidR="00894070" w:rsidRDefault="00894070">
      <w:pPr>
        <w:pStyle w:val="BodyText"/>
      </w:pPr>
    </w:p>
    <w:p w14:paraId="4EBC198E" w14:textId="77777777" w:rsidR="00894070" w:rsidRDefault="00894070">
      <w:pPr>
        <w:pStyle w:val="BodyText"/>
      </w:pPr>
    </w:p>
    <w:p w14:paraId="212D30BC" w14:textId="77777777" w:rsidR="00894070" w:rsidRDefault="00894070">
      <w:pPr>
        <w:pStyle w:val="BodyText"/>
        <w:spacing w:before="6"/>
        <w:rPr>
          <w:sz w:val="14"/>
        </w:rPr>
      </w:pPr>
    </w:p>
    <w:p w14:paraId="5DB34F19" w14:textId="77777777" w:rsidR="00894070" w:rsidRDefault="009B7AFD">
      <w:pPr>
        <w:pStyle w:val="BodyText"/>
        <w:spacing w:before="58"/>
        <w:ind w:left="1801"/>
        <w:rPr>
          <w:sz w:val="11"/>
        </w:rPr>
      </w:pPr>
      <w:bookmarkStart w:id="121" w:name="A_specialised_approach_should_be_adopted"/>
      <w:bookmarkStart w:id="122" w:name="_bookmark69"/>
      <w:bookmarkEnd w:id="121"/>
      <w:bookmarkEnd w:id="122"/>
      <w:r>
        <w:rPr>
          <w:color w:val="231F20"/>
        </w:rPr>
        <w:t>cases, and guides management of situations where there is a high level of concern.</w:t>
      </w:r>
      <w:r>
        <w:rPr>
          <w:color w:val="231F20"/>
          <w:position w:val="7"/>
          <w:sz w:val="11"/>
        </w:rPr>
        <w:t>71</w:t>
      </w:r>
    </w:p>
    <w:p w14:paraId="42EE51C4" w14:textId="77777777" w:rsidR="00894070" w:rsidRDefault="009B7AFD">
      <w:pPr>
        <w:pStyle w:val="ListParagraph"/>
        <w:numPr>
          <w:ilvl w:val="1"/>
          <w:numId w:val="102"/>
        </w:numPr>
        <w:tabs>
          <w:tab w:val="left" w:pos="1801"/>
          <w:tab w:val="left" w:pos="1802"/>
        </w:tabs>
        <w:spacing w:before="82"/>
        <w:rPr>
          <w:sz w:val="11"/>
        </w:rPr>
      </w:pPr>
      <w:r>
        <w:rPr>
          <w:color w:val="231F20"/>
          <w:spacing w:val="-6"/>
          <w:sz w:val="20"/>
        </w:rPr>
        <w:t xml:space="preserve">We </w:t>
      </w:r>
      <w:r>
        <w:rPr>
          <w:color w:val="231F20"/>
          <w:spacing w:val="-3"/>
          <w:sz w:val="20"/>
        </w:rPr>
        <w:t>note</w:t>
      </w:r>
      <w:r>
        <w:rPr>
          <w:color w:val="231F20"/>
          <w:spacing w:val="-6"/>
          <w:sz w:val="20"/>
        </w:rPr>
        <w:t xml:space="preserve"> </w:t>
      </w:r>
      <w:r>
        <w:rPr>
          <w:color w:val="231F20"/>
          <w:sz w:val="20"/>
        </w:rPr>
        <w:t>that</w:t>
      </w:r>
      <w:r>
        <w:rPr>
          <w:color w:val="231F20"/>
          <w:spacing w:val="-6"/>
          <w:sz w:val="20"/>
        </w:rPr>
        <w:t xml:space="preserve"> </w:t>
      </w:r>
      <w:r>
        <w:rPr>
          <w:color w:val="231F20"/>
          <w:sz w:val="20"/>
        </w:rPr>
        <w:t>Victoria</w:t>
      </w:r>
      <w:r>
        <w:rPr>
          <w:color w:val="231F20"/>
          <w:spacing w:val="-6"/>
          <w:sz w:val="20"/>
        </w:rPr>
        <w:t xml:space="preserve"> </w:t>
      </w:r>
      <w:r>
        <w:rPr>
          <w:color w:val="231F20"/>
          <w:sz w:val="20"/>
        </w:rPr>
        <w:t>Police</w:t>
      </w:r>
      <w:r>
        <w:rPr>
          <w:color w:val="231F20"/>
          <w:spacing w:val="-5"/>
          <w:sz w:val="20"/>
        </w:rPr>
        <w:t xml:space="preserve"> </w:t>
      </w:r>
      <w:r>
        <w:rPr>
          <w:color w:val="231F20"/>
          <w:sz w:val="20"/>
        </w:rPr>
        <w:t>is</w:t>
      </w:r>
      <w:r>
        <w:rPr>
          <w:color w:val="231F20"/>
          <w:spacing w:val="-6"/>
          <w:sz w:val="20"/>
        </w:rPr>
        <w:t xml:space="preserve"> </w:t>
      </w:r>
      <w:r>
        <w:rPr>
          <w:color w:val="231F20"/>
          <w:spacing w:val="-3"/>
          <w:sz w:val="20"/>
        </w:rPr>
        <w:t>now</w:t>
      </w:r>
      <w:r>
        <w:rPr>
          <w:color w:val="231F20"/>
          <w:spacing w:val="-6"/>
          <w:sz w:val="20"/>
        </w:rPr>
        <w:t xml:space="preserve"> </w:t>
      </w:r>
      <w:r>
        <w:rPr>
          <w:color w:val="231F20"/>
          <w:sz w:val="20"/>
        </w:rPr>
        <w:t>piloting</w:t>
      </w:r>
      <w:r>
        <w:rPr>
          <w:color w:val="231F20"/>
          <w:spacing w:val="-6"/>
          <w:sz w:val="20"/>
        </w:rPr>
        <w:t xml:space="preserve"> </w:t>
      </w:r>
      <w:r>
        <w:rPr>
          <w:color w:val="231F20"/>
          <w:sz w:val="20"/>
        </w:rPr>
        <w:t>the</w:t>
      </w:r>
      <w:r>
        <w:rPr>
          <w:color w:val="231F20"/>
          <w:spacing w:val="-6"/>
          <w:sz w:val="20"/>
        </w:rPr>
        <w:t xml:space="preserve"> </w:t>
      </w:r>
      <w:r>
        <w:rPr>
          <w:color w:val="231F20"/>
          <w:sz w:val="20"/>
        </w:rPr>
        <w:t>SASH</w:t>
      </w:r>
      <w:r>
        <w:rPr>
          <w:color w:val="231F20"/>
          <w:spacing w:val="-5"/>
          <w:sz w:val="20"/>
        </w:rPr>
        <w:t xml:space="preserve"> </w:t>
      </w:r>
      <w:r>
        <w:rPr>
          <w:color w:val="231F20"/>
          <w:sz w:val="20"/>
        </w:rPr>
        <w:t>screening</w:t>
      </w:r>
      <w:r>
        <w:rPr>
          <w:color w:val="231F20"/>
          <w:spacing w:val="-6"/>
          <w:sz w:val="20"/>
        </w:rPr>
        <w:t xml:space="preserve"> </w:t>
      </w:r>
      <w:r>
        <w:rPr>
          <w:color w:val="231F20"/>
          <w:sz w:val="20"/>
        </w:rPr>
        <w:t>tool</w:t>
      </w:r>
      <w:r>
        <w:rPr>
          <w:color w:val="231F20"/>
          <w:spacing w:val="-6"/>
          <w:sz w:val="20"/>
        </w:rPr>
        <w:t xml:space="preserve"> </w:t>
      </w:r>
      <w:r>
        <w:rPr>
          <w:color w:val="231F20"/>
          <w:sz w:val="20"/>
        </w:rPr>
        <w:t>in</w:t>
      </w:r>
      <w:r>
        <w:rPr>
          <w:color w:val="231F20"/>
          <w:spacing w:val="-6"/>
          <w:sz w:val="20"/>
        </w:rPr>
        <w:t xml:space="preserve"> </w:t>
      </w:r>
      <w:r>
        <w:rPr>
          <w:color w:val="231F20"/>
          <w:sz w:val="20"/>
        </w:rPr>
        <w:t>two</w:t>
      </w:r>
      <w:r>
        <w:rPr>
          <w:color w:val="231F20"/>
          <w:spacing w:val="-6"/>
          <w:sz w:val="20"/>
        </w:rPr>
        <w:t xml:space="preserve"> </w:t>
      </w:r>
      <w:r>
        <w:rPr>
          <w:color w:val="231F20"/>
          <w:sz w:val="20"/>
        </w:rPr>
        <w:t>stations.</w:t>
      </w:r>
      <w:r>
        <w:rPr>
          <w:color w:val="231F20"/>
          <w:position w:val="7"/>
          <w:sz w:val="11"/>
        </w:rPr>
        <w:t>72</w:t>
      </w:r>
    </w:p>
    <w:p w14:paraId="4BC3A452" w14:textId="77777777" w:rsidR="00894070" w:rsidRDefault="009B7AFD">
      <w:pPr>
        <w:pStyle w:val="ListParagraph"/>
        <w:numPr>
          <w:ilvl w:val="1"/>
          <w:numId w:val="102"/>
        </w:numPr>
        <w:tabs>
          <w:tab w:val="left" w:pos="1801"/>
          <w:tab w:val="left" w:pos="1802"/>
        </w:tabs>
        <w:spacing w:before="115" w:line="206" w:lineRule="auto"/>
        <w:ind w:right="1409"/>
        <w:rPr>
          <w:sz w:val="11"/>
        </w:rPr>
      </w:pPr>
      <w:r>
        <w:rPr>
          <w:color w:val="231F20"/>
          <w:sz w:val="20"/>
        </w:rPr>
        <w:t>Victoria</w:t>
      </w:r>
      <w:r>
        <w:rPr>
          <w:color w:val="231F20"/>
          <w:spacing w:val="-10"/>
          <w:sz w:val="20"/>
        </w:rPr>
        <w:t xml:space="preserve"> </w:t>
      </w:r>
      <w:r>
        <w:rPr>
          <w:color w:val="231F20"/>
          <w:sz w:val="20"/>
        </w:rPr>
        <w:t>Police</w:t>
      </w:r>
      <w:r>
        <w:rPr>
          <w:color w:val="231F20"/>
          <w:spacing w:val="-10"/>
          <w:sz w:val="20"/>
        </w:rPr>
        <w:t xml:space="preserve"> </w:t>
      </w:r>
      <w:r>
        <w:rPr>
          <w:color w:val="231F20"/>
          <w:sz w:val="20"/>
        </w:rPr>
        <w:t>cautioned</w:t>
      </w:r>
      <w:r>
        <w:rPr>
          <w:color w:val="231F20"/>
          <w:spacing w:val="-9"/>
          <w:sz w:val="20"/>
        </w:rPr>
        <w:t xml:space="preserve"> </w:t>
      </w:r>
      <w:r>
        <w:rPr>
          <w:color w:val="231F20"/>
          <w:sz w:val="20"/>
        </w:rPr>
        <w:t>against</w:t>
      </w:r>
      <w:r>
        <w:rPr>
          <w:color w:val="231F20"/>
          <w:spacing w:val="-10"/>
          <w:sz w:val="20"/>
        </w:rPr>
        <w:t xml:space="preserve"> </w:t>
      </w:r>
      <w:r>
        <w:rPr>
          <w:color w:val="231F20"/>
          <w:sz w:val="20"/>
        </w:rPr>
        <w:t>using</w:t>
      </w:r>
      <w:r>
        <w:rPr>
          <w:color w:val="231F20"/>
          <w:spacing w:val="-9"/>
          <w:sz w:val="20"/>
        </w:rPr>
        <w:t xml:space="preserve"> </w:t>
      </w:r>
      <w:r>
        <w:rPr>
          <w:color w:val="231F20"/>
          <w:sz w:val="20"/>
        </w:rPr>
        <w:t>tools</w:t>
      </w:r>
      <w:r>
        <w:rPr>
          <w:color w:val="231F20"/>
          <w:spacing w:val="-10"/>
          <w:sz w:val="20"/>
        </w:rPr>
        <w:t xml:space="preserve"> </w:t>
      </w:r>
      <w:r>
        <w:rPr>
          <w:color w:val="231F20"/>
          <w:sz w:val="20"/>
        </w:rPr>
        <w:t>intended</w:t>
      </w:r>
      <w:r>
        <w:rPr>
          <w:color w:val="231F20"/>
          <w:spacing w:val="-10"/>
          <w:sz w:val="20"/>
        </w:rPr>
        <w:t xml:space="preserve"> </w:t>
      </w:r>
      <w:r>
        <w:rPr>
          <w:color w:val="231F20"/>
          <w:spacing w:val="-3"/>
          <w:sz w:val="20"/>
        </w:rPr>
        <w:t>for</w:t>
      </w:r>
      <w:r>
        <w:rPr>
          <w:color w:val="231F20"/>
          <w:spacing w:val="-9"/>
          <w:sz w:val="20"/>
        </w:rPr>
        <w:t xml:space="preserve"> </w:t>
      </w:r>
      <w:r>
        <w:rPr>
          <w:color w:val="231F20"/>
          <w:sz w:val="20"/>
        </w:rPr>
        <w:t>use</w:t>
      </w:r>
      <w:r>
        <w:rPr>
          <w:color w:val="231F20"/>
          <w:spacing w:val="-10"/>
          <w:sz w:val="20"/>
        </w:rPr>
        <w:t xml:space="preserve"> </w:t>
      </w:r>
      <w:r>
        <w:rPr>
          <w:color w:val="231F20"/>
          <w:spacing w:val="-3"/>
          <w:sz w:val="20"/>
        </w:rPr>
        <w:t>by</w:t>
      </w:r>
      <w:r>
        <w:rPr>
          <w:color w:val="231F20"/>
          <w:spacing w:val="-9"/>
          <w:sz w:val="20"/>
        </w:rPr>
        <w:t xml:space="preserve"> </w:t>
      </w:r>
      <w:r>
        <w:rPr>
          <w:color w:val="231F20"/>
          <w:sz w:val="20"/>
        </w:rPr>
        <w:t>police</w:t>
      </w:r>
      <w:r>
        <w:rPr>
          <w:color w:val="231F20"/>
          <w:spacing w:val="-10"/>
          <w:sz w:val="20"/>
        </w:rPr>
        <w:t xml:space="preserve"> </w:t>
      </w:r>
      <w:r>
        <w:rPr>
          <w:color w:val="231F20"/>
          <w:sz w:val="20"/>
        </w:rPr>
        <w:t>in</w:t>
      </w:r>
      <w:r>
        <w:rPr>
          <w:color w:val="231F20"/>
          <w:spacing w:val="-10"/>
          <w:sz w:val="20"/>
        </w:rPr>
        <w:t xml:space="preserve"> </w:t>
      </w:r>
      <w:r>
        <w:rPr>
          <w:color w:val="231F20"/>
          <w:sz w:val="20"/>
        </w:rPr>
        <w:t>other</w:t>
      </w:r>
      <w:r>
        <w:rPr>
          <w:color w:val="231F20"/>
          <w:spacing w:val="-9"/>
          <w:sz w:val="20"/>
        </w:rPr>
        <w:t xml:space="preserve"> </w:t>
      </w:r>
      <w:r>
        <w:rPr>
          <w:color w:val="231F20"/>
          <w:sz w:val="20"/>
        </w:rPr>
        <w:t xml:space="preserve">parts of the justice system, because police and courts </w:t>
      </w:r>
      <w:r>
        <w:rPr>
          <w:color w:val="231F20"/>
          <w:spacing w:val="-3"/>
          <w:sz w:val="20"/>
        </w:rPr>
        <w:t xml:space="preserve">require information for different </w:t>
      </w:r>
      <w:r>
        <w:rPr>
          <w:color w:val="231F20"/>
          <w:sz w:val="20"/>
        </w:rPr>
        <w:t xml:space="preserve">purposes and </w:t>
      </w:r>
      <w:r>
        <w:rPr>
          <w:color w:val="231F20"/>
          <w:spacing w:val="-3"/>
          <w:sz w:val="20"/>
        </w:rPr>
        <w:t xml:space="preserve">may </w:t>
      </w:r>
      <w:r>
        <w:rPr>
          <w:color w:val="231F20"/>
          <w:sz w:val="20"/>
        </w:rPr>
        <w:t xml:space="preserve">consider the case at </w:t>
      </w:r>
      <w:r>
        <w:rPr>
          <w:color w:val="231F20"/>
          <w:spacing w:val="-3"/>
          <w:sz w:val="20"/>
        </w:rPr>
        <w:t xml:space="preserve">different </w:t>
      </w:r>
      <w:r>
        <w:rPr>
          <w:color w:val="231F20"/>
          <w:sz w:val="20"/>
        </w:rPr>
        <w:t>times.</w:t>
      </w:r>
      <w:r>
        <w:rPr>
          <w:color w:val="231F20"/>
          <w:position w:val="7"/>
          <w:sz w:val="11"/>
        </w:rPr>
        <w:t xml:space="preserve">73 </w:t>
      </w:r>
      <w:r>
        <w:rPr>
          <w:color w:val="231F20"/>
          <w:spacing w:val="-3"/>
          <w:sz w:val="20"/>
        </w:rPr>
        <w:t xml:space="preserve">Forensicare </w:t>
      </w:r>
      <w:r>
        <w:rPr>
          <w:color w:val="231F20"/>
          <w:sz w:val="20"/>
        </w:rPr>
        <w:t xml:space="preserve">also noted that the SASH tool might not be </w:t>
      </w:r>
      <w:r>
        <w:rPr>
          <w:color w:val="231F20"/>
          <w:spacing w:val="-3"/>
          <w:sz w:val="20"/>
        </w:rPr>
        <w:t>appropriate for</w:t>
      </w:r>
      <w:r>
        <w:rPr>
          <w:color w:val="231F20"/>
          <w:spacing w:val="-30"/>
          <w:sz w:val="20"/>
        </w:rPr>
        <w:t xml:space="preserve"> </w:t>
      </w:r>
      <w:r>
        <w:rPr>
          <w:color w:val="231F20"/>
          <w:spacing w:val="-3"/>
          <w:sz w:val="20"/>
        </w:rPr>
        <w:t>magistrates.</w:t>
      </w:r>
      <w:r>
        <w:rPr>
          <w:color w:val="231F20"/>
          <w:spacing w:val="-3"/>
          <w:position w:val="7"/>
          <w:sz w:val="11"/>
        </w:rPr>
        <w:t>74</w:t>
      </w:r>
    </w:p>
    <w:p w14:paraId="2B83A8A5" w14:textId="77777777" w:rsidR="00894070" w:rsidRDefault="009F6793">
      <w:pPr>
        <w:pStyle w:val="BodyText"/>
        <w:spacing w:before="7"/>
        <w:rPr>
          <w:sz w:val="19"/>
        </w:rPr>
      </w:pPr>
      <w:r>
        <w:pict w14:anchorId="5329F51E">
          <v:group id="_x0000_s1342" style="position:absolute;margin-left:62.35pt;margin-top:15.5pt;width:479.1pt;height:108.4pt;z-index:251652096;mso-wrap-distance-left:0;mso-wrap-distance-right:0;mso-position-horizontal-relative:page" coordorigin="1247,310" coordsize="9582,2168">
            <v:rect id="_x0000_s1347" style="position:absolute;left:1587;top:310;width:8731;height:2168" fillcolor="#fee7de" stroked="f"/>
            <v:line id="_x0000_s1346" style="position:absolute" from="1247,1118" to="10828,1118" strokecolor="white" strokeweight="2.5pt"/>
            <v:shape id="_x0000_s1345" type="#_x0000_t202" style="position:absolute;left:2381;top:1343;width:7377;height:955" filled="f" stroked="f">
              <v:textbox inset="0,0,0,0">
                <w:txbxContent>
                  <w:p w14:paraId="0046A7A1" w14:textId="77777777" w:rsidR="00894070" w:rsidRDefault="009B7AFD">
                    <w:pPr>
                      <w:spacing w:line="247" w:lineRule="auto"/>
                      <w:rPr>
                        <w:rFonts w:ascii="Trebuchet MS" w:hAnsi="Trebuchet MS"/>
                        <w:sz w:val="20"/>
                      </w:rPr>
                    </w:pPr>
                    <w:r>
                      <w:rPr>
                        <w:rFonts w:ascii="Trebuchet MS" w:hAnsi="Trebuchet MS"/>
                        <w:color w:val="231F20"/>
                        <w:w w:val="105"/>
                        <w:sz w:val="20"/>
                      </w:rPr>
                      <w:t xml:space="preserve">The Victorian </w:t>
                    </w:r>
                    <w:r>
                      <w:rPr>
                        <w:rFonts w:ascii="Trebuchet MS" w:hAnsi="Trebuchet MS"/>
                        <w:color w:val="231F20"/>
                        <w:spacing w:val="-3"/>
                        <w:w w:val="105"/>
                        <w:sz w:val="20"/>
                      </w:rPr>
                      <w:t xml:space="preserve">Government </w:t>
                    </w:r>
                    <w:r>
                      <w:rPr>
                        <w:rFonts w:ascii="Trebuchet MS" w:hAnsi="Trebuchet MS"/>
                        <w:color w:val="231F20"/>
                        <w:w w:val="105"/>
                        <w:sz w:val="20"/>
                      </w:rPr>
                      <w:t xml:space="preserve">should </w:t>
                    </w:r>
                    <w:r>
                      <w:rPr>
                        <w:rFonts w:ascii="Trebuchet MS" w:hAnsi="Trebuchet MS"/>
                        <w:color w:val="231F20"/>
                        <w:spacing w:val="-3"/>
                        <w:w w:val="105"/>
                        <w:sz w:val="20"/>
                      </w:rPr>
                      <w:t xml:space="preserve">provide </w:t>
                    </w:r>
                    <w:r>
                      <w:rPr>
                        <w:rFonts w:ascii="Trebuchet MS" w:hAnsi="Trebuchet MS"/>
                        <w:color w:val="231F20"/>
                        <w:w w:val="105"/>
                        <w:sz w:val="20"/>
                      </w:rPr>
                      <w:t xml:space="preserve">all necessary assistance to the </w:t>
                    </w:r>
                    <w:r>
                      <w:rPr>
                        <w:rFonts w:ascii="Trebuchet MS" w:hAnsi="Trebuchet MS"/>
                        <w:color w:val="231F20"/>
                        <w:spacing w:val="-1"/>
                        <w:w w:val="115"/>
                        <w:sz w:val="20"/>
                      </w:rPr>
                      <w:t>M</w:t>
                    </w:r>
                    <w:r>
                      <w:rPr>
                        <w:rFonts w:ascii="Trebuchet MS" w:hAnsi="Trebuchet MS"/>
                        <w:color w:val="231F20"/>
                        <w:spacing w:val="-2"/>
                        <w:w w:val="11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06"/>
                        <w:sz w:val="20"/>
                      </w:rPr>
                      <w:t>ou</w:t>
                    </w:r>
                    <w:r>
                      <w:rPr>
                        <w:rFonts w:ascii="Trebuchet MS" w:hAnsi="Trebuchet MS"/>
                        <w:color w:val="231F20"/>
                        <w:spacing w:val="2"/>
                        <w:w w:val="106"/>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96"/>
                        <w:sz w:val="20"/>
                      </w:rPr>
                      <w:t>i</w:t>
                    </w:r>
                    <w:r>
                      <w:rPr>
                        <w:rFonts w:ascii="Trebuchet MS" w:hAnsi="Trebuchet MS"/>
                        <w:color w:val="231F20"/>
                        <w:w w:val="96"/>
                        <w:sz w:val="20"/>
                      </w:rPr>
                      <w:t>a</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2"/>
                        <w:w w:val="105"/>
                        <w:sz w:val="20"/>
                      </w:rPr>
                      <w:t>a</w:t>
                    </w:r>
                    <w:r>
                      <w:rPr>
                        <w:rFonts w:ascii="Trebuchet MS" w:hAnsi="Trebuchet MS"/>
                        <w:color w:val="231F20"/>
                        <w:spacing w:val="-2"/>
                        <w:w w:val="111"/>
                        <w:sz w:val="20"/>
                      </w:rPr>
                      <w:t>b</w:t>
                    </w:r>
                    <w:r>
                      <w:rPr>
                        <w:rFonts w:ascii="Trebuchet MS" w:hAnsi="Trebuchet MS"/>
                        <w:color w:val="231F20"/>
                        <w:spacing w:val="-3"/>
                        <w:w w:val="96"/>
                        <w:sz w:val="20"/>
                      </w:rPr>
                      <w:t>l</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06"/>
                        <w:sz w:val="20"/>
                      </w:rPr>
                      <w:t>ou</w:t>
                    </w:r>
                    <w:r>
                      <w:rPr>
                        <w:rFonts w:ascii="Trebuchet MS" w:hAnsi="Trebuchet MS"/>
                        <w:color w:val="231F20"/>
                        <w:spacing w:val="2"/>
                        <w:w w:val="106"/>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12"/>
                        <w:sz w:val="20"/>
                      </w:rPr>
                      <w:t>d</w:t>
                    </w:r>
                    <w:r>
                      <w:rPr>
                        <w:rFonts w:ascii="Trebuchet MS" w:hAnsi="Trebuchet MS"/>
                        <w:color w:val="231F20"/>
                        <w:spacing w:val="-5"/>
                        <w:w w:val="108"/>
                        <w:sz w:val="20"/>
                      </w:rPr>
                      <w:t>e</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3"/>
                        <w:w w:val="96"/>
                        <w:sz w:val="20"/>
                      </w:rPr>
                      <w:t>l</w:t>
                    </w:r>
                    <w:r>
                      <w:rPr>
                        <w:rFonts w:ascii="Trebuchet MS" w:hAnsi="Trebuchet MS"/>
                        <w:color w:val="231F20"/>
                        <w:spacing w:val="-1"/>
                        <w:w w:val="111"/>
                        <w:sz w:val="20"/>
                      </w:rPr>
                      <w:t>o</w:t>
                    </w:r>
                    <w:r>
                      <w:rPr>
                        <w:rFonts w:ascii="Trebuchet MS" w:hAnsi="Trebuchet MS"/>
                        <w:color w:val="231F20"/>
                        <w:w w:val="111"/>
                        <w:sz w:val="20"/>
                      </w:rPr>
                      <w:t>p</w:t>
                    </w:r>
                    <w:r>
                      <w:rPr>
                        <w:rFonts w:ascii="Trebuchet MS" w:hAnsi="Trebuchet MS"/>
                        <w:color w:val="231F20"/>
                        <w:spacing w:val="-14"/>
                        <w:sz w:val="20"/>
                      </w:rPr>
                      <w:t xml:space="preserve"> </w:t>
                    </w:r>
                    <w:r>
                      <w:rPr>
                        <w:rFonts w:ascii="Trebuchet MS" w:hAnsi="Trebuchet MS"/>
                        <w:color w:val="231F20"/>
                        <w:spacing w:val="-5"/>
                        <w:w w:val="108"/>
                        <w:sz w:val="20"/>
                      </w:rPr>
                      <w:t>e</w:t>
                    </w:r>
                    <w:r>
                      <w:rPr>
                        <w:rFonts w:ascii="Trebuchet MS" w:hAnsi="Trebuchet MS"/>
                        <w:color w:val="231F20"/>
                        <w:spacing w:val="-2"/>
                        <w:w w:val="109"/>
                        <w:sz w:val="20"/>
                      </w:rPr>
                      <w:t>v</w:t>
                    </w:r>
                    <w:r>
                      <w:rPr>
                        <w:rFonts w:ascii="Trebuchet MS" w:hAnsi="Trebuchet MS"/>
                        <w:color w:val="231F20"/>
                        <w:spacing w:val="-1"/>
                        <w:w w:val="101"/>
                        <w:sz w:val="20"/>
                      </w:rPr>
                      <w:t>i</w:t>
                    </w:r>
                    <w:r>
                      <w:rPr>
                        <w:rFonts w:ascii="Trebuchet MS" w:hAnsi="Trebuchet MS"/>
                        <w:color w:val="231F20"/>
                        <w:spacing w:val="-2"/>
                        <w:w w:val="101"/>
                        <w:sz w:val="20"/>
                      </w:rPr>
                      <w:t>d</w:t>
                    </w:r>
                    <w:r>
                      <w:rPr>
                        <w:rFonts w:ascii="Trebuchet MS" w:hAnsi="Trebuchet MS"/>
                        <w:color w:val="231F20"/>
                        <w:spacing w:val="-1"/>
                        <w:w w:val="108"/>
                        <w:sz w:val="20"/>
                      </w:rPr>
                      <w:t>e</w:t>
                    </w:r>
                    <w:r>
                      <w:rPr>
                        <w:rFonts w:ascii="Trebuchet MS" w:hAnsi="Trebuchet MS"/>
                        <w:color w:val="231F20"/>
                        <w:spacing w:val="-1"/>
                        <w:w w:val="109"/>
                        <w:sz w:val="20"/>
                      </w:rPr>
                      <w:t>n</w:t>
                    </w:r>
                    <w:r>
                      <w:rPr>
                        <w:rFonts w:ascii="Trebuchet MS" w:hAnsi="Trebuchet MS"/>
                        <w:color w:val="231F20"/>
                        <w:spacing w:val="-3"/>
                        <w:w w:val="109"/>
                        <w:sz w:val="20"/>
                      </w:rPr>
                      <w:t>c</w:t>
                    </w:r>
                    <w:r>
                      <w:rPr>
                        <w:rFonts w:ascii="Trebuchet MS" w:hAnsi="Trebuchet MS"/>
                        <w:color w:val="231F20"/>
                        <w:spacing w:val="1"/>
                        <w:w w:val="108"/>
                        <w:sz w:val="20"/>
                      </w:rPr>
                      <w:t>e</w:t>
                    </w:r>
                    <w:r>
                      <w:rPr>
                        <w:rFonts w:ascii="Trebuchet MS" w:hAnsi="Trebuchet MS"/>
                        <w:color w:val="231F20"/>
                        <w:spacing w:val="-2"/>
                        <w:w w:val="115"/>
                        <w:sz w:val="20"/>
                      </w:rPr>
                      <w:t>-</w:t>
                    </w:r>
                    <w:r>
                      <w:rPr>
                        <w:rFonts w:ascii="Trebuchet MS" w:hAnsi="Trebuchet MS"/>
                        <w:color w:val="231F20"/>
                        <w:spacing w:val="-2"/>
                        <w:w w:val="80"/>
                        <w:sz w:val="20"/>
                      </w:rPr>
                      <w:t>i</w:t>
                    </w:r>
                    <w:r>
                      <w:rPr>
                        <w:rFonts w:ascii="Trebuchet MS" w:hAnsi="Trebuchet MS"/>
                        <w:color w:val="231F20"/>
                        <w:spacing w:val="-4"/>
                        <w:w w:val="107"/>
                        <w:sz w:val="20"/>
                      </w:rPr>
                      <w:t>n</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110"/>
                        <w:sz w:val="20"/>
                      </w:rPr>
                      <w:t>m</w:t>
                    </w:r>
                    <w:r>
                      <w:rPr>
                        <w:rFonts w:ascii="Trebuchet MS" w:hAnsi="Trebuchet MS"/>
                        <w:color w:val="231F20"/>
                        <w:w w:val="110"/>
                        <w:sz w:val="20"/>
                      </w:rPr>
                      <w:t>e</w:t>
                    </w:r>
                    <w:r>
                      <w:rPr>
                        <w:rFonts w:ascii="Trebuchet MS" w:hAnsi="Trebuchet MS"/>
                        <w:color w:val="231F20"/>
                        <w:w w:val="112"/>
                        <w:sz w:val="20"/>
                      </w:rPr>
                      <w:t xml:space="preserve">d </w:t>
                    </w:r>
                    <w:r>
                      <w:rPr>
                        <w:rFonts w:ascii="Trebuchet MS" w:hAnsi="Trebuchet MS"/>
                        <w:color w:val="231F20"/>
                        <w:w w:val="105"/>
                        <w:sz w:val="20"/>
                      </w:rPr>
                      <w:t>guidance</w:t>
                    </w:r>
                    <w:r>
                      <w:rPr>
                        <w:rFonts w:ascii="Trebuchet MS" w:hAnsi="Trebuchet MS"/>
                        <w:color w:val="231F20"/>
                        <w:spacing w:val="-23"/>
                        <w:w w:val="105"/>
                        <w:sz w:val="20"/>
                      </w:rPr>
                      <w:t xml:space="preserve"> </w:t>
                    </w:r>
                    <w:r>
                      <w:rPr>
                        <w:rFonts w:ascii="Trebuchet MS" w:hAnsi="Trebuchet MS"/>
                        <w:color w:val="231F20"/>
                        <w:w w:val="105"/>
                        <w:sz w:val="20"/>
                      </w:rPr>
                      <w:t>for</w:t>
                    </w:r>
                    <w:r>
                      <w:rPr>
                        <w:rFonts w:ascii="Trebuchet MS" w:hAnsi="Trebuchet MS"/>
                        <w:color w:val="231F20"/>
                        <w:spacing w:val="-23"/>
                        <w:w w:val="105"/>
                        <w:sz w:val="20"/>
                      </w:rPr>
                      <w:t xml:space="preserve"> </w:t>
                    </w:r>
                    <w:r>
                      <w:rPr>
                        <w:rFonts w:ascii="Trebuchet MS" w:hAnsi="Trebuchet MS"/>
                        <w:color w:val="231F20"/>
                        <w:w w:val="105"/>
                        <w:sz w:val="20"/>
                      </w:rPr>
                      <w:t>identifying</w:t>
                    </w:r>
                    <w:r>
                      <w:rPr>
                        <w:rFonts w:ascii="Trebuchet MS" w:hAnsi="Trebuchet MS"/>
                        <w:color w:val="231F20"/>
                        <w:spacing w:val="-23"/>
                        <w:w w:val="105"/>
                        <w:sz w:val="20"/>
                      </w:rPr>
                      <w:t xml:space="preserve"> </w:t>
                    </w:r>
                    <w:r>
                      <w:rPr>
                        <w:rFonts w:ascii="Trebuchet MS" w:hAnsi="Trebuchet MS"/>
                        <w:color w:val="231F20"/>
                        <w:w w:val="105"/>
                        <w:sz w:val="20"/>
                      </w:rPr>
                      <w:t>and</w:t>
                    </w:r>
                    <w:r>
                      <w:rPr>
                        <w:rFonts w:ascii="Trebuchet MS" w:hAnsi="Trebuchet MS"/>
                        <w:color w:val="231F20"/>
                        <w:spacing w:val="-23"/>
                        <w:w w:val="105"/>
                        <w:sz w:val="20"/>
                      </w:rPr>
                      <w:t xml:space="preserve"> </w:t>
                    </w:r>
                    <w:r>
                      <w:rPr>
                        <w:rFonts w:ascii="Trebuchet MS" w:hAnsi="Trebuchet MS"/>
                        <w:color w:val="231F20"/>
                        <w:w w:val="105"/>
                        <w:sz w:val="20"/>
                      </w:rPr>
                      <w:t>prioritising</w:t>
                    </w:r>
                    <w:r>
                      <w:rPr>
                        <w:rFonts w:ascii="Trebuchet MS" w:hAnsi="Trebuchet MS"/>
                        <w:color w:val="231F20"/>
                        <w:spacing w:val="-23"/>
                        <w:w w:val="105"/>
                        <w:sz w:val="20"/>
                      </w:rPr>
                      <w:t xml:space="preserve"> </w:t>
                    </w:r>
                    <w:r>
                      <w:rPr>
                        <w:rFonts w:ascii="Trebuchet MS" w:hAnsi="Trebuchet MS"/>
                        <w:color w:val="231F20"/>
                        <w:spacing w:val="-3"/>
                        <w:w w:val="105"/>
                        <w:sz w:val="20"/>
                      </w:rPr>
                      <w:t>non-family</w:t>
                    </w:r>
                    <w:r>
                      <w:rPr>
                        <w:rFonts w:ascii="Trebuchet MS" w:hAnsi="Trebuchet MS"/>
                        <w:color w:val="231F20"/>
                        <w:spacing w:val="-22"/>
                        <w:w w:val="105"/>
                        <w:sz w:val="20"/>
                      </w:rPr>
                      <w:t xml:space="preserve"> </w:t>
                    </w:r>
                    <w:r>
                      <w:rPr>
                        <w:rFonts w:ascii="Trebuchet MS" w:hAnsi="Trebuchet MS"/>
                        <w:color w:val="231F20"/>
                        <w:w w:val="105"/>
                        <w:sz w:val="20"/>
                      </w:rPr>
                      <w:t>violence</w:t>
                    </w:r>
                    <w:r>
                      <w:rPr>
                        <w:rFonts w:ascii="Trebuchet MS" w:hAnsi="Trebuchet MS"/>
                        <w:color w:val="231F20"/>
                        <w:spacing w:val="-23"/>
                        <w:w w:val="105"/>
                        <w:sz w:val="20"/>
                      </w:rPr>
                      <w:t xml:space="preserve"> </w:t>
                    </w:r>
                    <w:r>
                      <w:rPr>
                        <w:rFonts w:ascii="Trebuchet MS" w:hAnsi="Trebuchet MS"/>
                        <w:color w:val="231F20"/>
                        <w:w w:val="105"/>
                        <w:sz w:val="20"/>
                      </w:rPr>
                      <w:t>stalking</w:t>
                    </w:r>
                    <w:r>
                      <w:rPr>
                        <w:rFonts w:ascii="Trebuchet MS" w:hAnsi="Trebuchet MS"/>
                        <w:color w:val="231F20"/>
                        <w:spacing w:val="-23"/>
                        <w:w w:val="105"/>
                        <w:sz w:val="20"/>
                      </w:rPr>
                      <w:t xml:space="preserve"> </w:t>
                    </w:r>
                    <w:r>
                      <w:rPr>
                        <w:rFonts w:ascii="Trebuchet MS" w:hAnsi="Trebuchet MS"/>
                        <w:color w:val="231F20"/>
                        <w:w w:val="105"/>
                        <w:sz w:val="20"/>
                      </w:rPr>
                      <w:t>in</w:t>
                    </w:r>
                    <w:r>
                      <w:rPr>
                        <w:rFonts w:ascii="Trebuchet MS" w:hAnsi="Trebuchet MS"/>
                        <w:color w:val="231F20"/>
                        <w:spacing w:val="-23"/>
                        <w:w w:val="105"/>
                        <w:sz w:val="20"/>
                      </w:rPr>
                      <w:t xml:space="preserve"> </w:t>
                    </w:r>
                    <w:r>
                      <w:rPr>
                        <w:rFonts w:ascii="Trebuchet MS" w:hAnsi="Trebuchet MS"/>
                        <w:color w:val="231F20"/>
                        <w:w w:val="105"/>
                        <w:sz w:val="20"/>
                      </w:rPr>
                      <w:t xml:space="preserve">personal </w:t>
                    </w:r>
                    <w:r>
                      <w:rPr>
                        <w:rFonts w:ascii="Trebuchet MS" w:hAnsi="Trebuchet MS"/>
                        <w:color w:val="231F20"/>
                        <w:w w:val="122"/>
                        <w:sz w:val="20"/>
                      </w:rPr>
                      <w:t>s</w:t>
                    </w:r>
                    <w:r>
                      <w:rPr>
                        <w:rFonts w:ascii="Trebuchet MS" w:hAnsi="Trebuchet MS"/>
                        <w:color w:val="231F20"/>
                        <w:spacing w:val="-4"/>
                        <w:w w:val="105"/>
                        <w:sz w:val="20"/>
                      </w:rPr>
                      <w:t>a</w:t>
                    </w:r>
                    <w:r>
                      <w:rPr>
                        <w:rFonts w:ascii="Trebuchet MS" w:hAnsi="Trebuchet MS"/>
                        <w:color w:val="231F20"/>
                        <w:spacing w:val="-5"/>
                        <w:w w:val="92"/>
                        <w:sz w:val="20"/>
                      </w:rPr>
                      <w:t>f</w:t>
                    </w:r>
                    <w:r>
                      <w:rPr>
                        <w:rFonts w:ascii="Trebuchet MS" w:hAnsi="Trebuchet MS"/>
                        <w:color w:val="231F20"/>
                        <w:spacing w:val="-3"/>
                        <w:w w:val="108"/>
                        <w:sz w:val="20"/>
                      </w:rPr>
                      <w:t>e</w:t>
                    </w:r>
                    <w:r>
                      <w:rPr>
                        <w:rFonts w:ascii="Trebuchet MS" w:hAnsi="Trebuchet MS"/>
                        <w:color w:val="231F20"/>
                        <w:w w:val="88"/>
                        <w:sz w:val="20"/>
                      </w:rPr>
                      <w:t>t</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4"/>
                        <w:w w:val="107"/>
                        <w:sz w:val="20"/>
                      </w:rPr>
                      <w:t>n</w:t>
                    </w:r>
                    <w:r>
                      <w:rPr>
                        <w:rFonts w:ascii="Trebuchet MS" w:hAnsi="Trebuchet MS"/>
                        <w:color w:val="231F20"/>
                        <w:spacing w:val="-4"/>
                        <w:w w:val="88"/>
                        <w:sz w:val="20"/>
                      </w:rPr>
                      <w:t>t</w:t>
                    </w:r>
                    <w:r>
                      <w:rPr>
                        <w:rFonts w:ascii="Trebuchet MS" w:hAnsi="Trebuchet MS"/>
                        <w:color w:val="231F20"/>
                        <w:spacing w:val="-1"/>
                        <w:w w:val="102"/>
                        <w:sz w:val="20"/>
                      </w:rPr>
                      <w:t>e</w:t>
                    </w:r>
                    <w:r>
                      <w:rPr>
                        <w:rFonts w:ascii="Trebuchet MS" w:hAnsi="Trebuchet MS"/>
                        <w:color w:val="231F20"/>
                        <w:spacing w:val="3"/>
                        <w:w w:val="102"/>
                        <w:sz w:val="20"/>
                      </w:rPr>
                      <w:t>r</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4"/>
                        <w:w w:val="108"/>
                        <w:sz w:val="20"/>
                      </w:rPr>
                      <w:t>n</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spacing w:val="-2"/>
                        <w:w w:val="112"/>
                        <w:sz w:val="20"/>
                      </w:rPr>
                      <w:t>d</w:t>
                    </w:r>
                    <w:r>
                      <w:rPr>
                        <w:rFonts w:ascii="Trebuchet MS" w:hAnsi="Trebuchet MS"/>
                        <w:color w:val="231F20"/>
                        <w:spacing w:val="-1"/>
                        <w:w w:val="102"/>
                        <w:sz w:val="20"/>
                      </w:rPr>
                      <w:t>e</w:t>
                    </w:r>
                    <w:r>
                      <w:rPr>
                        <w:rFonts w:ascii="Trebuchet MS" w:hAnsi="Trebuchet MS"/>
                        <w:color w:val="231F20"/>
                        <w:w w:val="102"/>
                        <w:sz w:val="20"/>
                      </w:rPr>
                      <w:t>r</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4"/>
                        <w:w w:val="105"/>
                        <w:sz w:val="20"/>
                      </w:rPr>
                      <w:t>a</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spacing w:val="-1"/>
                        <w:w w:val="102"/>
                        <w:sz w:val="20"/>
                      </w:rPr>
                      <w:t>er</w:t>
                    </w:r>
                    <w:r>
                      <w:rPr>
                        <w:rFonts w:ascii="Trebuchet MS" w:hAnsi="Trebuchet MS"/>
                        <w:color w:val="231F20"/>
                        <w:spacing w:val="1"/>
                        <w:w w:val="122"/>
                        <w:sz w:val="20"/>
                      </w:rPr>
                      <w:t>s</w:t>
                    </w:r>
                    <w:r>
                      <w:rPr>
                        <w:rFonts w:ascii="Trebuchet MS" w:hAnsi="Trebuchet MS"/>
                        <w:color w:val="231F20"/>
                        <w:w w:val="55"/>
                        <w:sz w:val="20"/>
                      </w:rPr>
                      <w:t>.</w:t>
                    </w:r>
                  </w:p>
                </w:txbxContent>
              </v:textbox>
            </v:shape>
            <v:shape id="_x0000_s1344" type="#_x0000_t202" style="position:absolute;left:1814;top:1343;width:266;height:235" filled="f" stroked="f">
              <v:textbox inset="0,0,0,0">
                <w:txbxContent>
                  <w:p w14:paraId="6ABC637A" w14:textId="77777777" w:rsidR="00894070" w:rsidRDefault="009B7AFD">
                    <w:pPr>
                      <w:rPr>
                        <w:rFonts w:ascii="Trebuchet MS"/>
                        <w:sz w:val="20"/>
                      </w:rPr>
                    </w:pPr>
                    <w:r>
                      <w:rPr>
                        <w:rFonts w:ascii="Trebuchet MS"/>
                        <w:color w:val="231F20"/>
                        <w:w w:val="90"/>
                        <w:sz w:val="20"/>
                      </w:rPr>
                      <w:t>10.</w:t>
                    </w:r>
                  </w:p>
                </w:txbxContent>
              </v:textbox>
            </v:shape>
            <v:shape id="_x0000_s1343" type="#_x0000_t202" style="position:absolute;left:1814;top:537;width:2759;height:376" filled="f" stroked="f">
              <v:textbox inset="0,0,0,0">
                <w:txbxContent>
                  <w:p w14:paraId="57408B1B" w14:textId="77777777" w:rsidR="00894070" w:rsidRDefault="009B7AFD">
                    <w:pPr>
                      <w:spacing w:line="376" w:lineRule="exact"/>
                      <w:rPr>
                        <w:rFonts w:ascii="Raleway ExtraBold"/>
                        <w:b/>
                        <w:sz w:val="32"/>
                      </w:rPr>
                    </w:pPr>
                    <w:r>
                      <w:rPr>
                        <w:rFonts w:ascii="Raleway ExtraBold"/>
                        <w:b/>
                        <w:color w:val="EA5B50"/>
                        <w:spacing w:val="-3"/>
                        <w:sz w:val="32"/>
                      </w:rPr>
                      <w:t>Recommendation</w:t>
                    </w:r>
                  </w:p>
                </w:txbxContent>
              </v:textbox>
            </v:shape>
            <w10:wrap type="topAndBottom" anchorx="page"/>
          </v:group>
        </w:pict>
      </w:r>
    </w:p>
    <w:p w14:paraId="74E98706" w14:textId="77777777" w:rsidR="00894070" w:rsidRDefault="00894070">
      <w:pPr>
        <w:pStyle w:val="BodyText"/>
      </w:pPr>
    </w:p>
    <w:p w14:paraId="3DEDDD27" w14:textId="77777777" w:rsidR="00894070" w:rsidRDefault="009B7AFD">
      <w:pPr>
        <w:pStyle w:val="Heading7"/>
        <w:spacing w:before="187"/>
      </w:pPr>
      <w:r>
        <w:rPr>
          <w:color w:val="EA5B50"/>
        </w:rPr>
        <w:t>A specialised approach should be adopted</w:t>
      </w:r>
    </w:p>
    <w:p w14:paraId="6949F144" w14:textId="77777777" w:rsidR="00894070" w:rsidRDefault="009B7AFD">
      <w:pPr>
        <w:pStyle w:val="ListParagraph"/>
        <w:numPr>
          <w:ilvl w:val="1"/>
          <w:numId w:val="102"/>
        </w:numPr>
        <w:tabs>
          <w:tab w:val="left" w:pos="1801"/>
          <w:tab w:val="left" w:pos="1802"/>
        </w:tabs>
        <w:spacing w:before="146" w:line="206" w:lineRule="auto"/>
        <w:ind w:right="1210"/>
        <w:rPr>
          <w:sz w:val="20"/>
        </w:rPr>
      </w:pPr>
      <w:r>
        <w:rPr>
          <w:color w:val="231F20"/>
          <w:sz w:val="20"/>
        </w:rPr>
        <w:t>The</w:t>
      </w:r>
      <w:r>
        <w:rPr>
          <w:color w:val="231F20"/>
          <w:spacing w:val="-10"/>
          <w:sz w:val="20"/>
        </w:rPr>
        <w:t xml:space="preserve"> </w:t>
      </w:r>
      <w:r>
        <w:rPr>
          <w:color w:val="231F20"/>
          <w:sz w:val="20"/>
        </w:rPr>
        <w:t>guidance</w:t>
      </w:r>
      <w:r>
        <w:rPr>
          <w:color w:val="231F20"/>
          <w:spacing w:val="-10"/>
          <w:sz w:val="20"/>
        </w:rPr>
        <w:t xml:space="preserve"> </w:t>
      </w:r>
      <w:r>
        <w:rPr>
          <w:color w:val="231F20"/>
          <w:sz w:val="20"/>
        </w:rPr>
        <w:t>that</w:t>
      </w:r>
      <w:r>
        <w:rPr>
          <w:color w:val="231F20"/>
          <w:spacing w:val="-9"/>
          <w:sz w:val="20"/>
        </w:rPr>
        <w:t xml:space="preserve"> </w:t>
      </w:r>
      <w:r>
        <w:rPr>
          <w:color w:val="231F20"/>
          <w:sz w:val="20"/>
        </w:rPr>
        <w:t>is</w:t>
      </w:r>
      <w:r>
        <w:rPr>
          <w:color w:val="231F20"/>
          <w:spacing w:val="-10"/>
          <w:sz w:val="20"/>
        </w:rPr>
        <w:t xml:space="preserve"> </w:t>
      </w:r>
      <w:r>
        <w:rPr>
          <w:color w:val="231F20"/>
          <w:sz w:val="20"/>
        </w:rPr>
        <w:t>put</w:t>
      </w:r>
      <w:r>
        <w:rPr>
          <w:color w:val="231F20"/>
          <w:spacing w:val="-10"/>
          <w:sz w:val="20"/>
        </w:rPr>
        <w:t xml:space="preserve"> </w:t>
      </w:r>
      <w:r>
        <w:rPr>
          <w:color w:val="231F20"/>
          <w:sz w:val="20"/>
        </w:rPr>
        <w:t>in</w:t>
      </w:r>
      <w:r>
        <w:rPr>
          <w:color w:val="231F20"/>
          <w:spacing w:val="-10"/>
          <w:sz w:val="20"/>
        </w:rPr>
        <w:t xml:space="preserve"> </w:t>
      </w:r>
      <w:r>
        <w:rPr>
          <w:color w:val="231F20"/>
          <w:sz w:val="20"/>
        </w:rPr>
        <w:t>place</w:t>
      </w:r>
      <w:r>
        <w:rPr>
          <w:color w:val="231F20"/>
          <w:spacing w:val="-9"/>
          <w:sz w:val="20"/>
        </w:rPr>
        <w:t xml:space="preserve"> </w:t>
      </w:r>
      <w:r>
        <w:rPr>
          <w:color w:val="231F20"/>
          <w:sz w:val="20"/>
        </w:rPr>
        <w:t>should</w:t>
      </w:r>
      <w:r>
        <w:rPr>
          <w:color w:val="231F20"/>
          <w:spacing w:val="-10"/>
          <w:sz w:val="20"/>
        </w:rPr>
        <w:t xml:space="preserve"> </w:t>
      </w:r>
      <w:r>
        <w:rPr>
          <w:color w:val="231F20"/>
          <w:spacing w:val="-3"/>
          <w:sz w:val="20"/>
        </w:rPr>
        <w:t>inform</w:t>
      </w:r>
      <w:r>
        <w:rPr>
          <w:color w:val="231F20"/>
          <w:spacing w:val="-10"/>
          <w:sz w:val="20"/>
        </w:rPr>
        <w:t xml:space="preserve"> </w:t>
      </w:r>
      <w:r>
        <w:rPr>
          <w:color w:val="231F20"/>
          <w:sz w:val="20"/>
        </w:rPr>
        <w:t>the</w:t>
      </w:r>
      <w:r>
        <w:rPr>
          <w:color w:val="231F20"/>
          <w:spacing w:val="-9"/>
          <w:sz w:val="20"/>
        </w:rPr>
        <w:t xml:space="preserve"> </w:t>
      </w:r>
      <w:r>
        <w:rPr>
          <w:color w:val="231F20"/>
          <w:spacing w:val="-4"/>
          <w:sz w:val="20"/>
        </w:rPr>
        <w:t>way</w:t>
      </w:r>
      <w:r>
        <w:rPr>
          <w:color w:val="231F20"/>
          <w:spacing w:val="-10"/>
          <w:sz w:val="20"/>
        </w:rPr>
        <w:t xml:space="preserve"> </w:t>
      </w:r>
      <w:r>
        <w:rPr>
          <w:color w:val="231F20"/>
          <w:sz w:val="20"/>
        </w:rPr>
        <w:t>that</w:t>
      </w:r>
      <w:r>
        <w:rPr>
          <w:color w:val="231F20"/>
          <w:spacing w:val="-10"/>
          <w:sz w:val="20"/>
        </w:rPr>
        <w:t xml:space="preserve"> </w:t>
      </w:r>
      <w:r>
        <w:rPr>
          <w:color w:val="231F20"/>
          <w:sz w:val="20"/>
        </w:rPr>
        <w:t>magistrates,</w:t>
      </w:r>
      <w:r>
        <w:rPr>
          <w:color w:val="231F20"/>
          <w:spacing w:val="-9"/>
          <w:sz w:val="20"/>
        </w:rPr>
        <w:t xml:space="preserve"> </w:t>
      </w:r>
      <w:proofErr w:type="gramStart"/>
      <w:r>
        <w:rPr>
          <w:color w:val="231F20"/>
          <w:sz w:val="20"/>
        </w:rPr>
        <w:t>registrars</w:t>
      </w:r>
      <w:proofErr w:type="gramEnd"/>
      <w:r>
        <w:rPr>
          <w:color w:val="231F20"/>
          <w:spacing w:val="-10"/>
          <w:sz w:val="20"/>
        </w:rPr>
        <w:t xml:space="preserve"> </w:t>
      </w:r>
      <w:r>
        <w:rPr>
          <w:color w:val="231F20"/>
          <w:sz w:val="20"/>
        </w:rPr>
        <w:t>and court</w:t>
      </w:r>
      <w:r>
        <w:rPr>
          <w:color w:val="231F20"/>
          <w:spacing w:val="-10"/>
          <w:sz w:val="20"/>
        </w:rPr>
        <w:t xml:space="preserve"> </w:t>
      </w:r>
      <w:r>
        <w:rPr>
          <w:color w:val="231F20"/>
          <w:sz w:val="20"/>
        </w:rPr>
        <w:t>staff</w:t>
      </w:r>
      <w:r>
        <w:rPr>
          <w:color w:val="231F20"/>
          <w:spacing w:val="-9"/>
          <w:sz w:val="20"/>
        </w:rPr>
        <w:t xml:space="preserve"> </w:t>
      </w:r>
      <w:r>
        <w:rPr>
          <w:color w:val="231F20"/>
          <w:sz w:val="20"/>
        </w:rPr>
        <w:t>respond</w:t>
      </w:r>
      <w:r>
        <w:rPr>
          <w:color w:val="231F20"/>
          <w:spacing w:val="-10"/>
          <w:sz w:val="20"/>
        </w:rPr>
        <w:t xml:space="preserve"> </w:t>
      </w:r>
      <w:r>
        <w:rPr>
          <w:color w:val="231F20"/>
          <w:sz w:val="20"/>
        </w:rPr>
        <w:t>to</w:t>
      </w:r>
      <w:r>
        <w:rPr>
          <w:color w:val="231F20"/>
          <w:spacing w:val="-9"/>
          <w:sz w:val="20"/>
        </w:rPr>
        <w:t xml:space="preserve"> </w:t>
      </w:r>
      <w:r>
        <w:rPr>
          <w:color w:val="231F20"/>
          <w:sz w:val="20"/>
        </w:rPr>
        <w:t>PSIO</w:t>
      </w:r>
      <w:r>
        <w:rPr>
          <w:color w:val="231F20"/>
          <w:spacing w:val="-10"/>
          <w:sz w:val="20"/>
        </w:rPr>
        <w:t xml:space="preserve"> </w:t>
      </w:r>
      <w:r>
        <w:rPr>
          <w:color w:val="231F20"/>
          <w:sz w:val="20"/>
        </w:rPr>
        <w:t>matters.</w:t>
      </w:r>
      <w:r>
        <w:rPr>
          <w:color w:val="231F20"/>
          <w:spacing w:val="-9"/>
          <w:sz w:val="20"/>
        </w:rPr>
        <w:t xml:space="preserve"> </w:t>
      </w:r>
      <w:r>
        <w:rPr>
          <w:color w:val="231F20"/>
          <w:sz w:val="20"/>
        </w:rPr>
        <w:t>The</w:t>
      </w:r>
      <w:r>
        <w:rPr>
          <w:color w:val="231F20"/>
          <w:spacing w:val="-10"/>
          <w:sz w:val="20"/>
        </w:rPr>
        <w:t xml:space="preserve"> </w:t>
      </w:r>
      <w:r>
        <w:rPr>
          <w:color w:val="231F20"/>
          <w:sz w:val="20"/>
        </w:rPr>
        <w:t>question</w:t>
      </w:r>
      <w:r>
        <w:rPr>
          <w:color w:val="231F20"/>
          <w:spacing w:val="-9"/>
          <w:sz w:val="20"/>
        </w:rPr>
        <w:t xml:space="preserve"> </w:t>
      </w:r>
      <w:r>
        <w:rPr>
          <w:color w:val="231F20"/>
          <w:sz w:val="20"/>
        </w:rPr>
        <w:t>is</w:t>
      </w:r>
      <w:r>
        <w:rPr>
          <w:color w:val="231F20"/>
          <w:spacing w:val="-10"/>
          <w:sz w:val="20"/>
        </w:rPr>
        <w:t xml:space="preserve"> </w:t>
      </w:r>
      <w:r>
        <w:rPr>
          <w:color w:val="231F20"/>
          <w:sz w:val="20"/>
        </w:rPr>
        <w:t>then:</w:t>
      </w:r>
      <w:r>
        <w:rPr>
          <w:color w:val="231F20"/>
          <w:spacing w:val="-9"/>
          <w:sz w:val="20"/>
        </w:rPr>
        <w:t xml:space="preserve"> </w:t>
      </w:r>
      <w:r>
        <w:rPr>
          <w:color w:val="231F20"/>
          <w:sz w:val="20"/>
        </w:rPr>
        <w:t>What</w:t>
      </w:r>
      <w:r>
        <w:rPr>
          <w:color w:val="231F20"/>
          <w:spacing w:val="-10"/>
          <w:sz w:val="20"/>
        </w:rPr>
        <w:t xml:space="preserve"> </w:t>
      </w:r>
      <w:r>
        <w:rPr>
          <w:color w:val="231F20"/>
          <w:sz w:val="20"/>
        </w:rPr>
        <w:t>should</w:t>
      </w:r>
      <w:r>
        <w:rPr>
          <w:color w:val="231F20"/>
          <w:spacing w:val="-9"/>
          <w:sz w:val="20"/>
        </w:rPr>
        <w:t xml:space="preserve"> </w:t>
      </w:r>
      <w:r>
        <w:rPr>
          <w:color w:val="231F20"/>
          <w:sz w:val="20"/>
        </w:rPr>
        <w:t>be</w:t>
      </w:r>
      <w:r>
        <w:rPr>
          <w:color w:val="231F20"/>
          <w:spacing w:val="-10"/>
          <w:sz w:val="20"/>
        </w:rPr>
        <w:t xml:space="preserve"> </w:t>
      </w:r>
      <w:r>
        <w:rPr>
          <w:color w:val="231F20"/>
          <w:sz w:val="20"/>
        </w:rPr>
        <w:t>the</w:t>
      </w:r>
      <w:r>
        <w:rPr>
          <w:color w:val="231F20"/>
          <w:spacing w:val="-9"/>
          <w:sz w:val="20"/>
        </w:rPr>
        <w:t xml:space="preserve"> </w:t>
      </w:r>
      <w:r>
        <w:rPr>
          <w:color w:val="231F20"/>
          <w:spacing w:val="-3"/>
          <w:sz w:val="20"/>
        </w:rPr>
        <w:t xml:space="preserve">features </w:t>
      </w:r>
      <w:r>
        <w:rPr>
          <w:color w:val="231F20"/>
          <w:sz w:val="20"/>
        </w:rPr>
        <w:t>of this</w:t>
      </w:r>
      <w:r>
        <w:rPr>
          <w:color w:val="231F20"/>
          <w:spacing w:val="-9"/>
          <w:sz w:val="20"/>
        </w:rPr>
        <w:t xml:space="preserve"> </w:t>
      </w:r>
      <w:r>
        <w:rPr>
          <w:color w:val="231F20"/>
          <w:spacing w:val="-3"/>
          <w:sz w:val="20"/>
        </w:rPr>
        <w:t>response?</w:t>
      </w:r>
    </w:p>
    <w:p w14:paraId="54B99E36" w14:textId="77777777" w:rsidR="00894070" w:rsidRDefault="009B7AFD">
      <w:pPr>
        <w:pStyle w:val="ListParagraph"/>
        <w:numPr>
          <w:ilvl w:val="1"/>
          <w:numId w:val="102"/>
        </w:numPr>
        <w:tabs>
          <w:tab w:val="left" w:pos="1801"/>
          <w:tab w:val="left" w:pos="1802"/>
        </w:tabs>
        <w:spacing w:before="124" w:line="206" w:lineRule="auto"/>
        <w:ind w:right="1227"/>
        <w:rPr>
          <w:sz w:val="20"/>
        </w:rPr>
      </w:pPr>
      <w:r>
        <w:rPr>
          <w:color w:val="231F20"/>
          <w:spacing w:val="-6"/>
          <w:sz w:val="20"/>
        </w:rPr>
        <w:t xml:space="preserve">We </w:t>
      </w:r>
      <w:r>
        <w:rPr>
          <w:color w:val="231F20"/>
          <w:sz w:val="20"/>
        </w:rPr>
        <w:t xml:space="preserve">agree with the </w:t>
      </w:r>
      <w:r>
        <w:rPr>
          <w:color w:val="231F20"/>
          <w:spacing w:val="-3"/>
          <w:sz w:val="20"/>
        </w:rPr>
        <w:t xml:space="preserve">Magistrates’ </w:t>
      </w:r>
      <w:r>
        <w:rPr>
          <w:color w:val="231F20"/>
          <w:sz w:val="20"/>
        </w:rPr>
        <w:t xml:space="preserve">Court that the </w:t>
      </w:r>
      <w:r>
        <w:rPr>
          <w:color w:val="231F20"/>
          <w:spacing w:val="-3"/>
          <w:sz w:val="20"/>
        </w:rPr>
        <w:t xml:space="preserve">‘infrastructure, </w:t>
      </w:r>
      <w:r>
        <w:rPr>
          <w:color w:val="231F20"/>
          <w:sz w:val="20"/>
        </w:rPr>
        <w:t xml:space="preserve">systems, people, processes and </w:t>
      </w:r>
      <w:r>
        <w:rPr>
          <w:color w:val="231F20"/>
          <w:spacing w:val="-3"/>
          <w:sz w:val="20"/>
        </w:rPr>
        <w:t xml:space="preserve">programs’ </w:t>
      </w:r>
      <w:r>
        <w:rPr>
          <w:color w:val="231F20"/>
          <w:sz w:val="20"/>
        </w:rPr>
        <w:t xml:space="preserve">that exist to respond to </w:t>
      </w:r>
      <w:r>
        <w:rPr>
          <w:color w:val="231F20"/>
          <w:spacing w:val="-3"/>
          <w:sz w:val="20"/>
        </w:rPr>
        <w:t xml:space="preserve">family </w:t>
      </w:r>
      <w:r>
        <w:rPr>
          <w:color w:val="231F20"/>
          <w:sz w:val="20"/>
        </w:rPr>
        <w:t xml:space="preserve">violence </w:t>
      </w:r>
      <w:r>
        <w:rPr>
          <w:color w:val="231F20"/>
          <w:spacing w:val="-3"/>
          <w:sz w:val="20"/>
        </w:rPr>
        <w:t xml:space="preserve">are </w:t>
      </w:r>
      <w:r>
        <w:rPr>
          <w:color w:val="231F20"/>
          <w:sz w:val="20"/>
        </w:rPr>
        <w:t xml:space="preserve">a useful model </w:t>
      </w:r>
      <w:r>
        <w:rPr>
          <w:color w:val="231F20"/>
          <w:spacing w:val="-3"/>
          <w:sz w:val="20"/>
        </w:rPr>
        <w:t xml:space="preserve">for </w:t>
      </w:r>
      <w:r>
        <w:rPr>
          <w:color w:val="231F20"/>
          <w:sz w:val="20"/>
        </w:rPr>
        <w:t>non-family violence stalking.</w:t>
      </w:r>
      <w:r>
        <w:rPr>
          <w:color w:val="231F20"/>
          <w:position w:val="7"/>
          <w:sz w:val="11"/>
        </w:rPr>
        <w:t xml:space="preserve">75 </w:t>
      </w:r>
      <w:r>
        <w:rPr>
          <w:color w:val="231F20"/>
          <w:spacing w:val="-3"/>
          <w:sz w:val="20"/>
        </w:rPr>
        <w:t xml:space="preserve">At </w:t>
      </w:r>
      <w:r>
        <w:rPr>
          <w:color w:val="231F20"/>
          <w:sz w:val="20"/>
        </w:rPr>
        <w:t xml:space="preserve">their </w:t>
      </w:r>
      <w:r>
        <w:rPr>
          <w:color w:val="231F20"/>
          <w:spacing w:val="-3"/>
          <w:sz w:val="20"/>
        </w:rPr>
        <w:t xml:space="preserve">core </w:t>
      </w:r>
      <w:r>
        <w:rPr>
          <w:color w:val="231F20"/>
          <w:sz w:val="20"/>
        </w:rPr>
        <w:t xml:space="preserve">both </w:t>
      </w:r>
      <w:r>
        <w:rPr>
          <w:color w:val="231F20"/>
          <w:spacing w:val="-3"/>
          <w:sz w:val="20"/>
        </w:rPr>
        <w:t xml:space="preserve">family </w:t>
      </w:r>
      <w:r>
        <w:rPr>
          <w:color w:val="231F20"/>
          <w:sz w:val="20"/>
        </w:rPr>
        <w:t xml:space="preserve">violence and stalking can </w:t>
      </w:r>
      <w:r>
        <w:rPr>
          <w:color w:val="231F20"/>
          <w:spacing w:val="-5"/>
          <w:sz w:val="20"/>
        </w:rPr>
        <w:t xml:space="preserve">involve </w:t>
      </w:r>
      <w:r>
        <w:rPr>
          <w:color w:val="231F20"/>
          <w:sz w:val="20"/>
        </w:rPr>
        <w:t xml:space="preserve">the </w:t>
      </w:r>
      <w:r>
        <w:rPr>
          <w:color w:val="231F20"/>
          <w:spacing w:val="-3"/>
          <w:sz w:val="20"/>
        </w:rPr>
        <w:t xml:space="preserve">exercise </w:t>
      </w:r>
      <w:r>
        <w:rPr>
          <w:color w:val="231F20"/>
          <w:sz w:val="20"/>
        </w:rPr>
        <w:t xml:space="preserve">of </w:t>
      </w:r>
      <w:r>
        <w:rPr>
          <w:color w:val="231F20"/>
          <w:spacing w:val="-3"/>
          <w:sz w:val="20"/>
        </w:rPr>
        <w:t xml:space="preserve">power by </w:t>
      </w:r>
      <w:r>
        <w:rPr>
          <w:color w:val="231F20"/>
          <w:sz w:val="20"/>
        </w:rPr>
        <w:t xml:space="preserve">one person </w:t>
      </w:r>
      <w:r>
        <w:rPr>
          <w:color w:val="231F20"/>
          <w:spacing w:val="-4"/>
          <w:sz w:val="20"/>
        </w:rPr>
        <w:t>over another.</w:t>
      </w:r>
      <w:r>
        <w:rPr>
          <w:color w:val="231F20"/>
          <w:spacing w:val="-4"/>
          <w:position w:val="7"/>
          <w:sz w:val="11"/>
        </w:rPr>
        <w:t xml:space="preserve">76 </w:t>
      </w:r>
      <w:r>
        <w:rPr>
          <w:color w:val="231F20"/>
          <w:sz w:val="20"/>
        </w:rPr>
        <w:t xml:space="preserve">Many of the impacts </w:t>
      </w:r>
      <w:r>
        <w:rPr>
          <w:color w:val="231F20"/>
          <w:spacing w:val="-3"/>
          <w:sz w:val="20"/>
        </w:rPr>
        <w:t xml:space="preserve">are </w:t>
      </w:r>
      <w:r>
        <w:rPr>
          <w:color w:val="231F20"/>
          <w:sz w:val="20"/>
        </w:rPr>
        <w:t>the</w:t>
      </w:r>
      <w:r>
        <w:rPr>
          <w:color w:val="231F20"/>
          <w:spacing w:val="-9"/>
          <w:sz w:val="20"/>
        </w:rPr>
        <w:t xml:space="preserve"> </w:t>
      </w:r>
      <w:r>
        <w:rPr>
          <w:color w:val="231F20"/>
          <w:sz w:val="20"/>
        </w:rPr>
        <w:t>same,</w:t>
      </w:r>
      <w:r>
        <w:rPr>
          <w:color w:val="231F20"/>
          <w:spacing w:val="-9"/>
          <w:sz w:val="20"/>
        </w:rPr>
        <w:t xml:space="preserve"> </w:t>
      </w:r>
      <w:r>
        <w:rPr>
          <w:color w:val="231F20"/>
          <w:sz w:val="20"/>
        </w:rPr>
        <w:t>including</w:t>
      </w:r>
      <w:r>
        <w:rPr>
          <w:color w:val="231F20"/>
          <w:spacing w:val="-9"/>
          <w:sz w:val="20"/>
        </w:rPr>
        <w:t xml:space="preserve"> </w:t>
      </w:r>
      <w:r>
        <w:rPr>
          <w:color w:val="231F20"/>
          <w:sz w:val="20"/>
        </w:rPr>
        <w:t>isolation</w:t>
      </w:r>
      <w:r>
        <w:rPr>
          <w:color w:val="231F20"/>
          <w:spacing w:val="-9"/>
          <w:sz w:val="20"/>
        </w:rPr>
        <w:t xml:space="preserve"> </w:t>
      </w:r>
      <w:r>
        <w:rPr>
          <w:color w:val="231F20"/>
          <w:spacing w:val="-3"/>
          <w:sz w:val="20"/>
        </w:rPr>
        <w:t>from</w:t>
      </w:r>
      <w:r>
        <w:rPr>
          <w:color w:val="231F20"/>
          <w:spacing w:val="-9"/>
          <w:sz w:val="20"/>
        </w:rPr>
        <w:t xml:space="preserve"> </w:t>
      </w:r>
      <w:r>
        <w:rPr>
          <w:color w:val="231F20"/>
          <w:sz w:val="20"/>
        </w:rPr>
        <w:t>others</w:t>
      </w:r>
      <w:r>
        <w:rPr>
          <w:color w:val="231F20"/>
          <w:spacing w:val="-9"/>
          <w:sz w:val="20"/>
        </w:rPr>
        <w:t xml:space="preserve"> </w:t>
      </w:r>
      <w:r>
        <w:rPr>
          <w:color w:val="231F20"/>
          <w:sz w:val="20"/>
        </w:rPr>
        <w:t>and</w:t>
      </w:r>
      <w:r>
        <w:rPr>
          <w:color w:val="231F20"/>
          <w:spacing w:val="-8"/>
          <w:sz w:val="20"/>
        </w:rPr>
        <w:t xml:space="preserve"> </w:t>
      </w:r>
      <w:r>
        <w:rPr>
          <w:color w:val="231F20"/>
          <w:spacing w:val="-4"/>
          <w:sz w:val="20"/>
        </w:rPr>
        <w:t>fear.</w:t>
      </w:r>
      <w:r>
        <w:rPr>
          <w:color w:val="231F20"/>
          <w:spacing w:val="-4"/>
          <w:position w:val="7"/>
          <w:sz w:val="11"/>
        </w:rPr>
        <w:t>77</w:t>
      </w:r>
      <w:r>
        <w:rPr>
          <w:color w:val="231F20"/>
          <w:spacing w:val="15"/>
          <w:position w:val="7"/>
          <w:sz w:val="11"/>
        </w:rPr>
        <w:t xml:space="preserve"> </w:t>
      </w:r>
      <w:r>
        <w:rPr>
          <w:color w:val="231F20"/>
          <w:sz w:val="20"/>
        </w:rPr>
        <w:t>Victim</w:t>
      </w:r>
      <w:r>
        <w:rPr>
          <w:color w:val="231F20"/>
          <w:spacing w:val="-9"/>
          <w:sz w:val="20"/>
        </w:rPr>
        <w:t xml:space="preserve"> </w:t>
      </w:r>
      <w:r>
        <w:rPr>
          <w:color w:val="231F20"/>
          <w:sz w:val="20"/>
        </w:rPr>
        <w:t>survivors</w:t>
      </w:r>
      <w:r>
        <w:rPr>
          <w:color w:val="231F20"/>
          <w:spacing w:val="-9"/>
          <w:sz w:val="20"/>
        </w:rPr>
        <w:t xml:space="preserve"> </w:t>
      </w:r>
      <w:r>
        <w:rPr>
          <w:color w:val="231F20"/>
          <w:sz w:val="20"/>
        </w:rPr>
        <w:t>of</w:t>
      </w:r>
      <w:r>
        <w:rPr>
          <w:color w:val="231F20"/>
          <w:spacing w:val="-9"/>
          <w:sz w:val="20"/>
        </w:rPr>
        <w:t xml:space="preserve"> </w:t>
      </w:r>
      <w:r>
        <w:rPr>
          <w:color w:val="231F20"/>
          <w:sz w:val="20"/>
        </w:rPr>
        <w:t>both</w:t>
      </w:r>
      <w:r>
        <w:rPr>
          <w:color w:val="231F20"/>
          <w:spacing w:val="-9"/>
          <w:sz w:val="20"/>
        </w:rPr>
        <w:t xml:space="preserve"> </w:t>
      </w:r>
      <w:r>
        <w:rPr>
          <w:color w:val="231F20"/>
          <w:spacing w:val="-4"/>
          <w:sz w:val="20"/>
        </w:rPr>
        <w:t>have</w:t>
      </w:r>
      <w:r>
        <w:rPr>
          <w:color w:val="231F20"/>
          <w:spacing w:val="-9"/>
          <w:sz w:val="20"/>
        </w:rPr>
        <w:t xml:space="preserve"> </w:t>
      </w:r>
      <w:r>
        <w:rPr>
          <w:color w:val="231F20"/>
          <w:sz w:val="20"/>
        </w:rPr>
        <w:t>many of the same support</w:t>
      </w:r>
      <w:r>
        <w:rPr>
          <w:color w:val="231F20"/>
          <w:spacing w:val="-17"/>
          <w:sz w:val="20"/>
        </w:rPr>
        <w:t xml:space="preserve"> </w:t>
      </w:r>
      <w:r>
        <w:rPr>
          <w:color w:val="231F20"/>
          <w:sz w:val="20"/>
        </w:rPr>
        <w:t>needs.</w:t>
      </w:r>
    </w:p>
    <w:p w14:paraId="6FF755A8" w14:textId="77777777" w:rsidR="00894070" w:rsidRDefault="009B7AFD">
      <w:pPr>
        <w:pStyle w:val="ListParagraph"/>
        <w:numPr>
          <w:ilvl w:val="1"/>
          <w:numId w:val="102"/>
        </w:numPr>
        <w:tabs>
          <w:tab w:val="left" w:pos="1801"/>
          <w:tab w:val="left" w:pos="1802"/>
        </w:tabs>
        <w:spacing w:before="127" w:line="206" w:lineRule="auto"/>
        <w:ind w:right="1564"/>
        <w:rPr>
          <w:sz w:val="20"/>
        </w:rPr>
      </w:pPr>
      <w:r>
        <w:rPr>
          <w:color w:val="231F20"/>
          <w:spacing w:val="-6"/>
          <w:sz w:val="20"/>
        </w:rPr>
        <w:t>We</w:t>
      </w:r>
      <w:r>
        <w:rPr>
          <w:color w:val="231F20"/>
          <w:spacing w:val="-12"/>
          <w:sz w:val="20"/>
        </w:rPr>
        <w:t xml:space="preserve"> </w:t>
      </w:r>
      <w:r>
        <w:rPr>
          <w:color w:val="231F20"/>
          <w:sz w:val="20"/>
        </w:rPr>
        <w:t>consider</w:t>
      </w:r>
      <w:r>
        <w:rPr>
          <w:color w:val="231F20"/>
          <w:spacing w:val="-11"/>
          <w:sz w:val="20"/>
        </w:rPr>
        <w:t xml:space="preserve"> </w:t>
      </w:r>
      <w:r>
        <w:rPr>
          <w:color w:val="231F20"/>
          <w:sz w:val="20"/>
        </w:rPr>
        <w:t>that</w:t>
      </w:r>
      <w:r>
        <w:rPr>
          <w:color w:val="231F20"/>
          <w:spacing w:val="-11"/>
          <w:sz w:val="20"/>
        </w:rPr>
        <w:t xml:space="preserve"> </w:t>
      </w:r>
      <w:r>
        <w:rPr>
          <w:color w:val="231F20"/>
          <w:sz w:val="20"/>
        </w:rPr>
        <w:t>the</w:t>
      </w:r>
      <w:r>
        <w:rPr>
          <w:color w:val="231F20"/>
          <w:spacing w:val="-11"/>
          <w:sz w:val="20"/>
        </w:rPr>
        <w:t xml:space="preserve"> </w:t>
      </w:r>
      <w:r>
        <w:rPr>
          <w:color w:val="231F20"/>
          <w:sz w:val="20"/>
        </w:rPr>
        <w:t>approach</w:t>
      </w:r>
      <w:r>
        <w:rPr>
          <w:color w:val="231F20"/>
          <w:spacing w:val="-12"/>
          <w:sz w:val="20"/>
        </w:rPr>
        <w:t xml:space="preserve"> </w:t>
      </w:r>
      <w:r>
        <w:rPr>
          <w:color w:val="231F20"/>
          <w:sz w:val="20"/>
        </w:rPr>
        <w:t>to</w:t>
      </w:r>
      <w:r>
        <w:rPr>
          <w:color w:val="231F20"/>
          <w:spacing w:val="-11"/>
          <w:sz w:val="20"/>
        </w:rPr>
        <w:t xml:space="preserve"> </w:t>
      </w:r>
      <w:r>
        <w:rPr>
          <w:color w:val="231F20"/>
          <w:sz w:val="20"/>
        </w:rPr>
        <w:t>non-family</w:t>
      </w:r>
      <w:r>
        <w:rPr>
          <w:color w:val="231F20"/>
          <w:spacing w:val="-11"/>
          <w:sz w:val="20"/>
        </w:rPr>
        <w:t xml:space="preserve"> </w:t>
      </w:r>
      <w:r>
        <w:rPr>
          <w:color w:val="231F20"/>
          <w:sz w:val="20"/>
        </w:rPr>
        <w:t>violence</w:t>
      </w:r>
      <w:r>
        <w:rPr>
          <w:color w:val="231F20"/>
          <w:spacing w:val="-11"/>
          <w:sz w:val="20"/>
        </w:rPr>
        <w:t xml:space="preserve"> </w:t>
      </w:r>
      <w:r>
        <w:rPr>
          <w:color w:val="231F20"/>
          <w:sz w:val="20"/>
        </w:rPr>
        <w:t>stalking</w:t>
      </w:r>
      <w:r>
        <w:rPr>
          <w:color w:val="231F20"/>
          <w:spacing w:val="-12"/>
          <w:sz w:val="20"/>
        </w:rPr>
        <w:t xml:space="preserve"> </w:t>
      </w:r>
      <w:r>
        <w:rPr>
          <w:color w:val="231F20"/>
          <w:sz w:val="20"/>
        </w:rPr>
        <w:t>should</w:t>
      </w:r>
      <w:r>
        <w:rPr>
          <w:color w:val="231F20"/>
          <w:spacing w:val="-11"/>
          <w:sz w:val="20"/>
        </w:rPr>
        <w:t xml:space="preserve"> </w:t>
      </w:r>
      <w:r>
        <w:rPr>
          <w:color w:val="231F20"/>
          <w:sz w:val="20"/>
        </w:rPr>
        <w:t>draw</w:t>
      </w:r>
      <w:r>
        <w:rPr>
          <w:color w:val="231F20"/>
          <w:spacing w:val="-11"/>
          <w:sz w:val="20"/>
        </w:rPr>
        <w:t xml:space="preserve"> </w:t>
      </w:r>
      <w:r>
        <w:rPr>
          <w:color w:val="231F20"/>
          <w:sz w:val="20"/>
        </w:rPr>
        <w:t>on</w:t>
      </w:r>
      <w:r>
        <w:rPr>
          <w:color w:val="231F20"/>
          <w:spacing w:val="-11"/>
          <w:sz w:val="20"/>
        </w:rPr>
        <w:t xml:space="preserve"> </w:t>
      </w:r>
      <w:r>
        <w:rPr>
          <w:color w:val="231F20"/>
          <w:sz w:val="20"/>
        </w:rPr>
        <w:t xml:space="preserve">the </w:t>
      </w:r>
      <w:r>
        <w:rPr>
          <w:color w:val="231F20"/>
          <w:spacing w:val="-3"/>
          <w:sz w:val="20"/>
        </w:rPr>
        <w:t xml:space="preserve">features </w:t>
      </w:r>
      <w:r>
        <w:rPr>
          <w:color w:val="231F20"/>
          <w:sz w:val="20"/>
        </w:rPr>
        <w:t xml:space="preserve">of the </w:t>
      </w:r>
      <w:r>
        <w:rPr>
          <w:color w:val="231F20"/>
          <w:spacing w:val="-3"/>
          <w:sz w:val="20"/>
        </w:rPr>
        <w:t xml:space="preserve">family </w:t>
      </w:r>
      <w:r>
        <w:rPr>
          <w:color w:val="231F20"/>
          <w:sz w:val="20"/>
        </w:rPr>
        <w:t>violence approach. This includes a specialist team (specially trained</w:t>
      </w:r>
      <w:r>
        <w:rPr>
          <w:color w:val="231F20"/>
          <w:spacing w:val="-16"/>
          <w:sz w:val="20"/>
        </w:rPr>
        <w:t xml:space="preserve"> </w:t>
      </w:r>
      <w:r>
        <w:rPr>
          <w:color w:val="231F20"/>
          <w:sz w:val="20"/>
        </w:rPr>
        <w:t>magistrates,</w:t>
      </w:r>
      <w:r>
        <w:rPr>
          <w:color w:val="231F20"/>
          <w:spacing w:val="-17"/>
          <w:sz w:val="20"/>
        </w:rPr>
        <w:t xml:space="preserve"> </w:t>
      </w:r>
      <w:r>
        <w:rPr>
          <w:color w:val="231F20"/>
          <w:sz w:val="20"/>
        </w:rPr>
        <w:t>court</w:t>
      </w:r>
      <w:r>
        <w:rPr>
          <w:color w:val="231F20"/>
          <w:spacing w:val="-16"/>
          <w:sz w:val="20"/>
        </w:rPr>
        <w:t xml:space="preserve"> </w:t>
      </w:r>
      <w:r>
        <w:rPr>
          <w:color w:val="231F20"/>
          <w:sz w:val="20"/>
        </w:rPr>
        <w:t>registrars</w:t>
      </w:r>
      <w:r>
        <w:rPr>
          <w:color w:val="231F20"/>
          <w:spacing w:val="-17"/>
          <w:sz w:val="20"/>
        </w:rPr>
        <w:t xml:space="preserve"> </w:t>
      </w:r>
      <w:r>
        <w:rPr>
          <w:color w:val="231F20"/>
          <w:sz w:val="20"/>
        </w:rPr>
        <w:t>and</w:t>
      </w:r>
      <w:r>
        <w:rPr>
          <w:color w:val="231F20"/>
          <w:spacing w:val="-17"/>
          <w:sz w:val="20"/>
        </w:rPr>
        <w:t xml:space="preserve"> </w:t>
      </w:r>
      <w:r>
        <w:rPr>
          <w:color w:val="231F20"/>
          <w:sz w:val="20"/>
        </w:rPr>
        <w:t>practitioners),</w:t>
      </w:r>
      <w:r>
        <w:rPr>
          <w:color w:val="231F20"/>
          <w:spacing w:val="-16"/>
          <w:sz w:val="20"/>
        </w:rPr>
        <w:t xml:space="preserve"> </w:t>
      </w:r>
      <w:r>
        <w:rPr>
          <w:color w:val="231F20"/>
          <w:sz w:val="20"/>
        </w:rPr>
        <w:t>environments</w:t>
      </w:r>
      <w:r>
        <w:rPr>
          <w:color w:val="231F20"/>
          <w:spacing w:val="-16"/>
          <w:sz w:val="20"/>
        </w:rPr>
        <w:t xml:space="preserve"> </w:t>
      </w:r>
      <w:r>
        <w:rPr>
          <w:color w:val="231F20"/>
          <w:sz w:val="20"/>
        </w:rPr>
        <w:t>that</w:t>
      </w:r>
      <w:r>
        <w:rPr>
          <w:color w:val="231F20"/>
          <w:spacing w:val="-16"/>
          <w:sz w:val="20"/>
        </w:rPr>
        <w:t xml:space="preserve"> </w:t>
      </w:r>
      <w:r>
        <w:rPr>
          <w:color w:val="231F20"/>
          <w:sz w:val="20"/>
        </w:rPr>
        <w:t>maximise safety</w:t>
      </w:r>
      <w:r>
        <w:rPr>
          <w:color w:val="231F20"/>
          <w:spacing w:val="-8"/>
          <w:sz w:val="20"/>
        </w:rPr>
        <w:t xml:space="preserve"> </w:t>
      </w:r>
      <w:r>
        <w:rPr>
          <w:color w:val="231F20"/>
          <w:sz w:val="20"/>
        </w:rPr>
        <w:t>and</w:t>
      </w:r>
      <w:r>
        <w:rPr>
          <w:color w:val="231F20"/>
          <w:spacing w:val="-8"/>
          <w:sz w:val="20"/>
        </w:rPr>
        <w:t xml:space="preserve"> </w:t>
      </w:r>
      <w:r>
        <w:rPr>
          <w:color w:val="231F20"/>
          <w:sz w:val="20"/>
        </w:rPr>
        <w:t>choice,</w:t>
      </w:r>
      <w:r>
        <w:rPr>
          <w:color w:val="231F20"/>
          <w:spacing w:val="-8"/>
          <w:sz w:val="20"/>
        </w:rPr>
        <w:t xml:space="preserve"> </w:t>
      </w:r>
      <w:r>
        <w:rPr>
          <w:color w:val="231F20"/>
          <w:sz w:val="20"/>
        </w:rPr>
        <w:t>and</w:t>
      </w:r>
      <w:r>
        <w:rPr>
          <w:color w:val="231F20"/>
          <w:spacing w:val="-8"/>
          <w:sz w:val="20"/>
        </w:rPr>
        <w:t xml:space="preserve"> </w:t>
      </w:r>
      <w:r>
        <w:rPr>
          <w:color w:val="231F20"/>
          <w:sz w:val="20"/>
        </w:rPr>
        <w:t>connections</w:t>
      </w:r>
      <w:r>
        <w:rPr>
          <w:color w:val="231F20"/>
          <w:spacing w:val="-8"/>
          <w:sz w:val="20"/>
        </w:rPr>
        <w:t xml:space="preserve"> </w:t>
      </w:r>
      <w:r>
        <w:rPr>
          <w:color w:val="231F20"/>
          <w:sz w:val="20"/>
        </w:rPr>
        <w:t>with</w:t>
      </w:r>
      <w:r>
        <w:rPr>
          <w:color w:val="231F20"/>
          <w:spacing w:val="-8"/>
          <w:sz w:val="20"/>
        </w:rPr>
        <w:t xml:space="preserve"> </w:t>
      </w:r>
      <w:r>
        <w:rPr>
          <w:color w:val="231F20"/>
          <w:sz w:val="20"/>
        </w:rPr>
        <w:t>services.</w:t>
      </w:r>
      <w:r>
        <w:rPr>
          <w:color w:val="231F20"/>
          <w:spacing w:val="-8"/>
          <w:sz w:val="20"/>
        </w:rPr>
        <w:t xml:space="preserve"> </w:t>
      </w:r>
      <w:r>
        <w:rPr>
          <w:color w:val="231F20"/>
          <w:sz w:val="20"/>
        </w:rPr>
        <w:t>See</w:t>
      </w:r>
      <w:r>
        <w:rPr>
          <w:color w:val="231F20"/>
          <w:spacing w:val="-8"/>
          <w:sz w:val="20"/>
        </w:rPr>
        <w:t xml:space="preserve"> </w:t>
      </w:r>
      <w:r>
        <w:rPr>
          <w:color w:val="231F20"/>
          <w:spacing w:val="-6"/>
          <w:sz w:val="20"/>
        </w:rPr>
        <w:t>Table</w:t>
      </w:r>
      <w:r>
        <w:rPr>
          <w:color w:val="231F20"/>
          <w:spacing w:val="-7"/>
          <w:sz w:val="20"/>
        </w:rPr>
        <w:t xml:space="preserve"> </w:t>
      </w:r>
      <w:r>
        <w:rPr>
          <w:color w:val="231F20"/>
          <w:sz w:val="20"/>
        </w:rPr>
        <w:t>11</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some</w:t>
      </w:r>
      <w:r>
        <w:rPr>
          <w:color w:val="231F20"/>
          <w:spacing w:val="-8"/>
          <w:sz w:val="20"/>
        </w:rPr>
        <w:t xml:space="preserve"> </w:t>
      </w:r>
      <w:r>
        <w:rPr>
          <w:color w:val="231F20"/>
          <w:spacing w:val="-3"/>
          <w:sz w:val="20"/>
        </w:rPr>
        <w:t>features</w:t>
      </w:r>
      <w:r>
        <w:rPr>
          <w:color w:val="231F20"/>
          <w:spacing w:val="-8"/>
          <w:sz w:val="20"/>
        </w:rPr>
        <w:t xml:space="preserve"> </w:t>
      </w:r>
      <w:r>
        <w:rPr>
          <w:color w:val="231F20"/>
          <w:sz w:val="20"/>
        </w:rPr>
        <w:t xml:space="preserve">of </w:t>
      </w:r>
      <w:r>
        <w:rPr>
          <w:color w:val="231F20"/>
          <w:spacing w:val="-3"/>
          <w:sz w:val="20"/>
        </w:rPr>
        <w:t>family</w:t>
      </w:r>
      <w:r>
        <w:rPr>
          <w:color w:val="231F20"/>
          <w:spacing w:val="-6"/>
          <w:sz w:val="20"/>
        </w:rPr>
        <w:t xml:space="preserve"> </w:t>
      </w:r>
      <w:r>
        <w:rPr>
          <w:color w:val="231F20"/>
          <w:sz w:val="20"/>
        </w:rPr>
        <w:t>violence</w:t>
      </w:r>
      <w:r>
        <w:rPr>
          <w:color w:val="231F20"/>
          <w:spacing w:val="-6"/>
          <w:sz w:val="20"/>
        </w:rPr>
        <w:t xml:space="preserve"> </w:t>
      </w:r>
      <w:r>
        <w:rPr>
          <w:color w:val="231F20"/>
          <w:sz w:val="20"/>
        </w:rPr>
        <w:t>courts</w:t>
      </w:r>
      <w:r>
        <w:rPr>
          <w:color w:val="231F20"/>
          <w:spacing w:val="-6"/>
          <w:sz w:val="20"/>
        </w:rPr>
        <w:t xml:space="preserve"> </w:t>
      </w:r>
      <w:r>
        <w:rPr>
          <w:color w:val="231F20"/>
          <w:sz w:val="20"/>
        </w:rPr>
        <w:t>that</w:t>
      </w:r>
      <w:r>
        <w:rPr>
          <w:color w:val="231F20"/>
          <w:spacing w:val="-5"/>
          <w:sz w:val="20"/>
        </w:rPr>
        <w:t xml:space="preserve"> </w:t>
      </w:r>
      <w:r>
        <w:rPr>
          <w:color w:val="231F20"/>
          <w:spacing w:val="-3"/>
          <w:sz w:val="20"/>
        </w:rPr>
        <w:t>we</w:t>
      </w:r>
      <w:r>
        <w:rPr>
          <w:color w:val="231F20"/>
          <w:spacing w:val="-6"/>
          <w:sz w:val="20"/>
        </w:rPr>
        <w:t xml:space="preserve"> </w:t>
      </w:r>
      <w:r>
        <w:rPr>
          <w:color w:val="231F20"/>
          <w:sz w:val="20"/>
        </w:rPr>
        <w:t>think</w:t>
      </w:r>
      <w:r>
        <w:rPr>
          <w:color w:val="231F20"/>
          <w:spacing w:val="-6"/>
          <w:sz w:val="20"/>
        </w:rPr>
        <w:t xml:space="preserve"> </w:t>
      </w:r>
      <w:r>
        <w:rPr>
          <w:color w:val="231F20"/>
          <w:sz w:val="20"/>
        </w:rPr>
        <w:t>could</w:t>
      </w:r>
      <w:r>
        <w:rPr>
          <w:color w:val="231F20"/>
          <w:spacing w:val="-5"/>
          <w:sz w:val="20"/>
        </w:rPr>
        <w:t xml:space="preserve"> </w:t>
      </w:r>
      <w:r>
        <w:rPr>
          <w:color w:val="231F20"/>
          <w:sz w:val="20"/>
        </w:rPr>
        <w:t>also</w:t>
      </w:r>
      <w:r>
        <w:rPr>
          <w:color w:val="231F20"/>
          <w:spacing w:val="-6"/>
          <w:sz w:val="20"/>
        </w:rPr>
        <w:t xml:space="preserve"> </w:t>
      </w:r>
      <w:r>
        <w:rPr>
          <w:color w:val="231F20"/>
          <w:spacing w:val="-3"/>
          <w:sz w:val="20"/>
        </w:rPr>
        <w:t>apply</w:t>
      </w:r>
      <w:r>
        <w:rPr>
          <w:color w:val="231F20"/>
          <w:spacing w:val="-6"/>
          <w:sz w:val="20"/>
        </w:rPr>
        <w:t xml:space="preserve"> </w:t>
      </w:r>
      <w:r>
        <w:rPr>
          <w:color w:val="231F20"/>
          <w:sz w:val="20"/>
        </w:rPr>
        <w:t>in</w:t>
      </w:r>
      <w:r>
        <w:rPr>
          <w:color w:val="231F20"/>
          <w:spacing w:val="-5"/>
          <w:sz w:val="20"/>
        </w:rPr>
        <w:t xml:space="preserve"> </w:t>
      </w:r>
      <w:r>
        <w:rPr>
          <w:color w:val="231F20"/>
          <w:sz w:val="20"/>
        </w:rPr>
        <w:t>a</w:t>
      </w:r>
      <w:r>
        <w:rPr>
          <w:color w:val="231F20"/>
          <w:spacing w:val="-6"/>
          <w:sz w:val="20"/>
        </w:rPr>
        <w:t xml:space="preserve"> </w:t>
      </w:r>
      <w:r>
        <w:rPr>
          <w:color w:val="231F20"/>
          <w:sz w:val="20"/>
        </w:rPr>
        <w:t>stalking</w:t>
      </w:r>
      <w:r>
        <w:rPr>
          <w:color w:val="231F20"/>
          <w:spacing w:val="-6"/>
          <w:sz w:val="20"/>
        </w:rPr>
        <w:t xml:space="preserve"> </w:t>
      </w:r>
      <w:r>
        <w:rPr>
          <w:color w:val="231F20"/>
          <w:sz w:val="20"/>
        </w:rPr>
        <w:t>context.</w:t>
      </w:r>
    </w:p>
    <w:p w14:paraId="7E9DF847" w14:textId="77777777" w:rsidR="00894070" w:rsidRDefault="009B7AFD">
      <w:pPr>
        <w:spacing w:before="106"/>
        <w:ind w:left="1801"/>
        <w:rPr>
          <w:b/>
          <w:sz w:val="19"/>
        </w:rPr>
      </w:pPr>
      <w:r>
        <w:rPr>
          <w:b/>
          <w:color w:val="231F20"/>
          <w:sz w:val="19"/>
        </w:rPr>
        <w:t>Table 11: Features of family violence courts</w:t>
      </w:r>
    </w:p>
    <w:p w14:paraId="0D4AAB84" w14:textId="77777777" w:rsidR="00894070" w:rsidRDefault="00894070">
      <w:pPr>
        <w:pStyle w:val="BodyText"/>
        <w:spacing w:before="8"/>
        <w:rPr>
          <w:b/>
          <w:sz w:val="13"/>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527"/>
        <w:gridCol w:w="5399"/>
      </w:tblGrid>
      <w:tr w:rsidR="00894070" w14:paraId="7B609CDC" w14:textId="77777777">
        <w:trPr>
          <w:trHeight w:val="518"/>
        </w:trPr>
        <w:tc>
          <w:tcPr>
            <w:tcW w:w="2527" w:type="dxa"/>
            <w:shd w:val="clear" w:color="auto" w:fill="F4BCAE"/>
          </w:tcPr>
          <w:p w14:paraId="04A293D7" w14:textId="77777777" w:rsidR="00894070" w:rsidRDefault="009B7AFD">
            <w:pPr>
              <w:pStyle w:val="TableParagraph"/>
              <w:spacing w:before="122"/>
              <w:rPr>
                <w:b/>
                <w:sz w:val="20"/>
              </w:rPr>
            </w:pPr>
            <w:r>
              <w:rPr>
                <w:b/>
                <w:color w:val="231F20"/>
                <w:sz w:val="20"/>
              </w:rPr>
              <w:t>Feature</w:t>
            </w:r>
          </w:p>
        </w:tc>
        <w:tc>
          <w:tcPr>
            <w:tcW w:w="5399" w:type="dxa"/>
            <w:shd w:val="clear" w:color="auto" w:fill="F4BCAE"/>
          </w:tcPr>
          <w:p w14:paraId="6C0E4B03" w14:textId="77777777" w:rsidR="00894070" w:rsidRDefault="009B7AFD">
            <w:pPr>
              <w:pStyle w:val="TableParagraph"/>
              <w:spacing w:before="122"/>
              <w:rPr>
                <w:b/>
                <w:sz w:val="20"/>
              </w:rPr>
            </w:pPr>
            <w:r>
              <w:rPr>
                <w:b/>
                <w:color w:val="231F20"/>
                <w:sz w:val="20"/>
              </w:rPr>
              <w:t>Description</w:t>
            </w:r>
          </w:p>
        </w:tc>
      </w:tr>
      <w:tr w:rsidR="00894070" w14:paraId="0133FED7" w14:textId="77777777">
        <w:trPr>
          <w:trHeight w:val="1124"/>
        </w:trPr>
        <w:tc>
          <w:tcPr>
            <w:tcW w:w="2527" w:type="dxa"/>
          </w:tcPr>
          <w:p w14:paraId="446E9DFB" w14:textId="77777777" w:rsidR="00894070" w:rsidRDefault="009B7AFD">
            <w:pPr>
              <w:pStyle w:val="TableParagraph"/>
              <w:spacing w:before="65"/>
              <w:rPr>
                <w:sz w:val="20"/>
              </w:rPr>
            </w:pPr>
            <w:r>
              <w:rPr>
                <w:color w:val="231F20"/>
                <w:sz w:val="20"/>
              </w:rPr>
              <w:t>Pre-court engagement</w:t>
            </w:r>
          </w:p>
        </w:tc>
        <w:tc>
          <w:tcPr>
            <w:tcW w:w="5399" w:type="dxa"/>
          </w:tcPr>
          <w:p w14:paraId="62AF7BFA" w14:textId="77777777" w:rsidR="00894070" w:rsidRDefault="009B7AFD">
            <w:pPr>
              <w:pStyle w:val="TableParagraph"/>
              <w:spacing w:before="98" w:line="206" w:lineRule="auto"/>
              <w:ind w:right="162"/>
              <w:rPr>
                <w:sz w:val="20"/>
              </w:rPr>
            </w:pPr>
            <w:r>
              <w:rPr>
                <w:color w:val="231F20"/>
                <w:sz w:val="20"/>
              </w:rPr>
              <w:t>A pilot program service engages early with court users to facilitate referrals to appropriate legal and support services and to prepare them for intervention order matters.</w:t>
            </w:r>
          </w:p>
        </w:tc>
      </w:tr>
      <w:tr w:rsidR="00894070" w14:paraId="7BF0DB22" w14:textId="77777777">
        <w:trPr>
          <w:trHeight w:val="1364"/>
        </w:trPr>
        <w:tc>
          <w:tcPr>
            <w:tcW w:w="2527" w:type="dxa"/>
          </w:tcPr>
          <w:p w14:paraId="42C4297D" w14:textId="77777777" w:rsidR="00894070" w:rsidRDefault="009B7AFD">
            <w:pPr>
              <w:pStyle w:val="TableParagraph"/>
              <w:spacing w:before="65"/>
              <w:rPr>
                <w:sz w:val="20"/>
              </w:rPr>
            </w:pPr>
            <w:r>
              <w:rPr>
                <w:color w:val="231F20"/>
                <w:sz w:val="20"/>
              </w:rPr>
              <w:t>Applicant practitioners</w:t>
            </w:r>
          </w:p>
        </w:tc>
        <w:tc>
          <w:tcPr>
            <w:tcW w:w="5399" w:type="dxa"/>
          </w:tcPr>
          <w:p w14:paraId="7A7880C4" w14:textId="77777777" w:rsidR="00894070" w:rsidRDefault="009B7AFD">
            <w:pPr>
              <w:pStyle w:val="TableParagraph"/>
              <w:spacing w:before="98" w:line="206" w:lineRule="auto"/>
              <w:ind w:right="162"/>
              <w:rPr>
                <w:sz w:val="20"/>
              </w:rPr>
            </w:pPr>
            <w:r>
              <w:rPr>
                <w:color w:val="231F20"/>
                <w:sz w:val="20"/>
              </w:rPr>
              <w:t xml:space="preserve">They provide non-legal information, support and referrals for people applying for an intervention order or who are affected by one. They develop safety plans and make referrals to appropriate agencies for support, </w:t>
            </w:r>
            <w:proofErr w:type="gramStart"/>
            <w:r>
              <w:rPr>
                <w:color w:val="231F20"/>
                <w:sz w:val="20"/>
              </w:rPr>
              <w:t>counselling</w:t>
            </w:r>
            <w:proofErr w:type="gramEnd"/>
            <w:r>
              <w:rPr>
                <w:color w:val="231F20"/>
                <w:sz w:val="20"/>
              </w:rPr>
              <w:t xml:space="preserve"> and longer-term safety planning.</w:t>
            </w:r>
          </w:p>
        </w:tc>
      </w:tr>
    </w:tbl>
    <w:p w14:paraId="621391F9" w14:textId="77777777" w:rsidR="00894070" w:rsidRDefault="009F6793">
      <w:pPr>
        <w:pStyle w:val="BodyText"/>
        <w:spacing w:before="8"/>
        <w:rPr>
          <w:b/>
          <w:sz w:val="10"/>
        </w:rPr>
      </w:pPr>
      <w:r>
        <w:pict w14:anchorId="0BAD5253">
          <v:line id="_x0000_s1341" style="position:absolute;z-index:251653120;mso-wrap-distance-left:0;mso-wrap-distance-right:0;mso-position-horizontal-relative:page;mso-position-vertical-relative:text" from="79.35pt,9.8pt" to="515.9pt,9.8pt" strokecolor="#f8cabc" strokeweight="1pt">
            <w10:wrap type="topAndBottom" anchorx="page"/>
          </v:line>
        </w:pict>
      </w:r>
    </w:p>
    <w:p w14:paraId="23D3E995" w14:textId="77777777" w:rsidR="00894070" w:rsidRDefault="00894070">
      <w:pPr>
        <w:pStyle w:val="BodyText"/>
        <w:rPr>
          <w:b/>
          <w:sz w:val="5"/>
        </w:rPr>
      </w:pPr>
    </w:p>
    <w:p w14:paraId="13B4B0BB" w14:textId="77777777" w:rsidR="00894070" w:rsidRDefault="00894070">
      <w:pPr>
        <w:rPr>
          <w:sz w:val="5"/>
        </w:rPr>
        <w:sectPr w:rsidR="00894070">
          <w:pgSz w:w="11910" w:h="16840"/>
          <w:pgMar w:top="840" w:right="420" w:bottom="280" w:left="580" w:header="0" w:footer="0" w:gutter="0"/>
          <w:cols w:space="720"/>
        </w:sectPr>
      </w:pPr>
    </w:p>
    <w:p w14:paraId="15ECA0DF" w14:textId="77777777" w:rsidR="00894070" w:rsidRDefault="009B7AFD">
      <w:pPr>
        <w:tabs>
          <w:tab w:val="left" w:pos="1801"/>
        </w:tabs>
        <w:spacing w:before="21" w:line="170" w:lineRule="exact"/>
        <w:ind w:left="1007"/>
        <w:rPr>
          <w:sz w:val="13"/>
        </w:rPr>
      </w:pPr>
      <w:r>
        <w:rPr>
          <w:color w:val="231F20"/>
          <w:sz w:val="13"/>
        </w:rPr>
        <w:t>71</w:t>
      </w:r>
      <w:r>
        <w:rPr>
          <w:color w:val="231F20"/>
          <w:sz w:val="13"/>
        </w:rPr>
        <w:tab/>
        <w:t>Ibid [4.78]</w:t>
      </w:r>
      <w:proofErr w:type="gramStart"/>
      <w:r>
        <w:rPr>
          <w:color w:val="231F20"/>
          <w:sz w:val="13"/>
        </w:rPr>
        <w:t>–[</w:t>
      </w:r>
      <w:proofErr w:type="gramEnd"/>
      <w:r>
        <w:rPr>
          <w:color w:val="231F20"/>
          <w:sz w:val="13"/>
        </w:rPr>
        <w:t>4.79].</w:t>
      </w:r>
    </w:p>
    <w:p w14:paraId="31E44190" w14:textId="77777777" w:rsidR="00894070" w:rsidRDefault="009B7AFD">
      <w:pPr>
        <w:pStyle w:val="ListParagraph"/>
        <w:numPr>
          <w:ilvl w:val="0"/>
          <w:numId w:val="93"/>
        </w:numPr>
        <w:tabs>
          <w:tab w:val="left" w:pos="1801"/>
          <w:tab w:val="left" w:pos="1802"/>
        </w:tabs>
        <w:spacing w:line="160" w:lineRule="exact"/>
        <w:jc w:val="left"/>
        <w:rPr>
          <w:sz w:val="13"/>
        </w:rPr>
      </w:pPr>
      <w:r>
        <w:rPr>
          <w:color w:val="231F20"/>
          <w:sz w:val="13"/>
        </w:rPr>
        <w:t xml:space="preserve">Victoria Police, </w:t>
      </w:r>
      <w:r>
        <w:rPr>
          <w:i/>
          <w:color w:val="231F20"/>
          <w:sz w:val="13"/>
        </w:rPr>
        <w:t xml:space="preserve">Stalking </w:t>
      </w:r>
      <w:r>
        <w:rPr>
          <w:color w:val="231F20"/>
          <w:sz w:val="13"/>
        </w:rPr>
        <w:t>(Web Page, 4 April 2022</w:t>
      </w:r>
      <w:hyperlink r:id="rId157">
        <w:r>
          <w:rPr>
            <w:color w:val="231F20"/>
            <w:sz w:val="13"/>
          </w:rPr>
          <w:t>)</w:t>
        </w:r>
        <w:r>
          <w:rPr>
            <w:color w:val="231F20"/>
            <w:spacing w:val="8"/>
            <w:sz w:val="13"/>
          </w:rPr>
          <w:t xml:space="preserve"> </w:t>
        </w:r>
        <w:r>
          <w:rPr>
            <w:color w:val="231F20"/>
            <w:sz w:val="13"/>
          </w:rPr>
          <w:t>&lt;https://www.police.vic.gov.au/stalking</w:t>
        </w:r>
      </w:hyperlink>
      <w:r>
        <w:rPr>
          <w:color w:val="231F20"/>
          <w:sz w:val="13"/>
        </w:rPr>
        <w:t>&gt;.</w:t>
      </w:r>
    </w:p>
    <w:p w14:paraId="1CB3EDC8" w14:textId="77777777" w:rsidR="00894070" w:rsidRDefault="009B7AFD">
      <w:pPr>
        <w:pStyle w:val="ListParagraph"/>
        <w:numPr>
          <w:ilvl w:val="0"/>
          <w:numId w:val="93"/>
        </w:numPr>
        <w:tabs>
          <w:tab w:val="left" w:pos="1801"/>
          <w:tab w:val="left" w:pos="1802"/>
        </w:tabs>
        <w:spacing w:line="160" w:lineRule="exact"/>
        <w:jc w:val="left"/>
        <w:rPr>
          <w:sz w:val="13"/>
        </w:rPr>
      </w:pPr>
      <w:r>
        <w:rPr>
          <w:color w:val="231F20"/>
          <w:spacing w:val="2"/>
          <w:sz w:val="13"/>
        </w:rPr>
        <w:t xml:space="preserve">Submission 115 </w:t>
      </w:r>
      <w:r>
        <w:rPr>
          <w:color w:val="231F20"/>
          <w:sz w:val="13"/>
        </w:rPr>
        <w:t>(Victoria</w:t>
      </w:r>
      <w:r>
        <w:rPr>
          <w:color w:val="231F20"/>
          <w:spacing w:val="-5"/>
          <w:sz w:val="13"/>
        </w:rPr>
        <w:t xml:space="preserve"> </w:t>
      </w:r>
      <w:r>
        <w:rPr>
          <w:color w:val="231F20"/>
          <w:sz w:val="13"/>
        </w:rPr>
        <w:t>Police).</w:t>
      </w:r>
    </w:p>
    <w:p w14:paraId="3DB5DB89" w14:textId="77777777" w:rsidR="00894070" w:rsidRDefault="009B7AFD">
      <w:pPr>
        <w:pStyle w:val="ListParagraph"/>
        <w:numPr>
          <w:ilvl w:val="0"/>
          <w:numId w:val="93"/>
        </w:numPr>
        <w:tabs>
          <w:tab w:val="left" w:pos="1801"/>
          <w:tab w:val="left" w:pos="1802"/>
        </w:tabs>
        <w:spacing w:line="160" w:lineRule="exact"/>
        <w:jc w:val="left"/>
        <w:rPr>
          <w:sz w:val="13"/>
        </w:rPr>
      </w:pPr>
      <w:r>
        <w:rPr>
          <w:color w:val="231F20"/>
          <w:sz w:val="13"/>
        </w:rPr>
        <w:t>Consultation 36 (Forensicare (No</w:t>
      </w:r>
      <w:r>
        <w:rPr>
          <w:color w:val="231F20"/>
          <w:spacing w:val="1"/>
          <w:sz w:val="13"/>
        </w:rPr>
        <w:t xml:space="preserve"> </w:t>
      </w:r>
      <w:r>
        <w:rPr>
          <w:color w:val="231F20"/>
          <w:sz w:val="13"/>
        </w:rPr>
        <w:t>2)).</w:t>
      </w:r>
    </w:p>
    <w:p w14:paraId="04B3F45C" w14:textId="77777777" w:rsidR="00894070" w:rsidRDefault="009B7AFD">
      <w:pPr>
        <w:pStyle w:val="ListParagraph"/>
        <w:numPr>
          <w:ilvl w:val="0"/>
          <w:numId w:val="93"/>
        </w:numPr>
        <w:tabs>
          <w:tab w:val="left" w:pos="1800"/>
          <w:tab w:val="left" w:pos="1802"/>
        </w:tabs>
        <w:spacing w:line="160" w:lineRule="exact"/>
        <w:jc w:val="left"/>
        <w:rPr>
          <w:sz w:val="13"/>
        </w:rPr>
      </w:pPr>
      <w:r>
        <w:rPr>
          <w:color w:val="231F20"/>
          <w:sz w:val="13"/>
        </w:rPr>
        <w:t xml:space="preserve">Consultation 34 (Magistrates’ </w:t>
      </w:r>
      <w:r>
        <w:rPr>
          <w:color w:val="231F20"/>
          <w:spacing w:val="2"/>
          <w:sz w:val="13"/>
        </w:rPr>
        <w:t xml:space="preserve">Court </w:t>
      </w:r>
      <w:r>
        <w:rPr>
          <w:color w:val="231F20"/>
          <w:sz w:val="13"/>
        </w:rPr>
        <w:t>of Victoria (No</w:t>
      </w:r>
      <w:r>
        <w:rPr>
          <w:color w:val="231F20"/>
          <w:spacing w:val="1"/>
          <w:sz w:val="13"/>
        </w:rPr>
        <w:t xml:space="preserve"> </w:t>
      </w:r>
      <w:r>
        <w:rPr>
          <w:color w:val="231F20"/>
          <w:sz w:val="13"/>
        </w:rPr>
        <w:t>2)).</w:t>
      </w:r>
    </w:p>
    <w:p w14:paraId="06B21BE2" w14:textId="77777777" w:rsidR="00894070" w:rsidRDefault="009B7AFD">
      <w:pPr>
        <w:pStyle w:val="ListParagraph"/>
        <w:numPr>
          <w:ilvl w:val="0"/>
          <w:numId w:val="93"/>
        </w:numPr>
        <w:tabs>
          <w:tab w:val="left" w:pos="1801"/>
          <w:tab w:val="left" w:pos="1802"/>
        </w:tabs>
        <w:spacing w:before="7" w:line="213" w:lineRule="auto"/>
        <w:ind w:right="65"/>
        <w:jc w:val="left"/>
        <w:rPr>
          <w:sz w:val="13"/>
        </w:rPr>
      </w:pPr>
      <w:r>
        <w:rPr>
          <w:color w:val="231F20"/>
          <w:sz w:val="13"/>
        </w:rPr>
        <w:t xml:space="preserve">Bonnie </w:t>
      </w:r>
      <w:r>
        <w:rPr>
          <w:color w:val="231F20"/>
          <w:spacing w:val="2"/>
          <w:sz w:val="13"/>
        </w:rPr>
        <w:t xml:space="preserve">Brandl, </w:t>
      </w:r>
      <w:r>
        <w:rPr>
          <w:color w:val="231F20"/>
          <w:sz w:val="13"/>
        </w:rPr>
        <w:t xml:space="preserve">Candace J Heisler and Lori A </w:t>
      </w:r>
      <w:r>
        <w:rPr>
          <w:color w:val="231F20"/>
          <w:spacing w:val="2"/>
          <w:sz w:val="13"/>
        </w:rPr>
        <w:t xml:space="preserve">Stiegel, </w:t>
      </w:r>
      <w:r>
        <w:rPr>
          <w:color w:val="231F20"/>
          <w:sz w:val="13"/>
        </w:rPr>
        <w:t xml:space="preserve">‘The Parallels between Undue Influence, </w:t>
      </w:r>
      <w:r>
        <w:rPr>
          <w:color w:val="231F20"/>
          <w:spacing w:val="2"/>
          <w:sz w:val="13"/>
        </w:rPr>
        <w:t xml:space="preserve">Domestic </w:t>
      </w:r>
      <w:r>
        <w:rPr>
          <w:color w:val="231F20"/>
          <w:sz w:val="13"/>
        </w:rPr>
        <w:t xml:space="preserve">Violence, </w:t>
      </w:r>
      <w:proofErr w:type="gramStart"/>
      <w:r>
        <w:rPr>
          <w:color w:val="231F20"/>
          <w:sz w:val="13"/>
        </w:rPr>
        <w:t xml:space="preserve">Stalking,   </w:t>
      </w:r>
      <w:proofErr w:type="gramEnd"/>
      <w:r>
        <w:rPr>
          <w:color w:val="231F20"/>
          <w:sz w:val="13"/>
        </w:rPr>
        <w:t xml:space="preserve">  and Sexual </w:t>
      </w:r>
      <w:r>
        <w:rPr>
          <w:color w:val="231F20"/>
          <w:spacing w:val="2"/>
          <w:sz w:val="13"/>
        </w:rPr>
        <w:t xml:space="preserve">Assault’ </w:t>
      </w:r>
      <w:r>
        <w:rPr>
          <w:color w:val="231F20"/>
          <w:sz w:val="13"/>
        </w:rPr>
        <w:t xml:space="preserve">(2005) 17(3) </w:t>
      </w:r>
      <w:r>
        <w:rPr>
          <w:i/>
          <w:color w:val="231F20"/>
          <w:sz w:val="13"/>
        </w:rPr>
        <w:t xml:space="preserve">Journal of Elder Abuse and Neglect </w:t>
      </w:r>
      <w:r>
        <w:rPr>
          <w:color w:val="231F20"/>
          <w:spacing w:val="-3"/>
          <w:sz w:val="13"/>
        </w:rPr>
        <w:t xml:space="preserve">37, </w:t>
      </w:r>
      <w:r>
        <w:rPr>
          <w:color w:val="231F20"/>
          <w:spacing w:val="2"/>
          <w:sz w:val="13"/>
        </w:rPr>
        <w:t xml:space="preserve">44; </w:t>
      </w:r>
      <w:r>
        <w:rPr>
          <w:i/>
          <w:color w:val="231F20"/>
          <w:sz w:val="13"/>
        </w:rPr>
        <w:t xml:space="preserve">Royal Commission into Family Violence: </w:t>
      </w:r>
      <w:r>
        <w:rPr>
          <w:i/>
          <w:color w:val="231F20"/>
          <w:spacing w:val="2"/>
          <w:sz w:val="13"/>
        </w:rPr>
        <w:t>Summary and</w:t>
      </w:r>
      <w:r>
        <w:rPr>
          <w:i/>
          <w:color w:val="231F20"/>
          <w:spacing w:val="36"/>
          <w:sz w:val="13"/>
        </w:rPr>
        <w:t xml:space="preserve"> </w:t>
      </w:r>
      <w:r>
        <w:rPr>
          <w:i/>
          <w:color w:val="231F20"/>
          <w:sz w:val="13"/>
        </w:rPr>
        <w:t xml:space="preserve">Recommendations </w:t>
      </w:r>
      <w:r>
        <w:rPr>
          <w:color w:val="231F20"/>
          <w:spacing w:val="2"/>
          <w:sz w:val="13"/>
        </w:rPr>
        <w:t xml:space="preserve">(Report, </w:t>
      </w:r>
      <w:r>
        <w:rPr>
          <w:color w:val="231F20"/>
          <w:sz w:val="13"/>
        </w:rPr>
        <w:t xml:space="preserve">March 2016) </w:t>
      </w:r>
      <w:r>
        <w:rPr>
          <w:color w:val="231F20"/>
          <w:spacing w:val="-3"/>
          <w:sz w:val="13"/>
        </w:rPr>
        <w:t xml:space="preserve">17. </w:t>
      </w:r>
      <w:r>
        <w:rPr>
          <w:color w:val="231F20"/>
          <w:sz w:val="13"/>
        </w:rPr>
        <w:t xml:space="preserve">See </w:t>
      </w:r>
      <w:r>
        <w:rPr>
          <w:color w:val="231F20"/>
          <w:spacing w:val="2"/>
          <w:sz w:val="13"/>
        </w:rPr>
        <w:t xml:space="preserve">also </w:t>
      </w:r>
      <w:r>
        <w:rPr>
          <w:i/>
          <w:color w:val="231F20"/>
          <w:sz w:val="13"/>
        </w:rPr>
        <w:t xml:space="preserve">Family Violence Protection Act 2008 </w:t>
      </w:r>
      <w:r>
        <w:rPr>
          <w:color w:val="231F20"/>
          <w:sz w:val="13"/>
        </w:rPr>
        <w:t>(Vic) s</w:t>
      </w:r>
      <w:r>
        <w:rPr>
          <w:color w:val="231F20"/>
          <w:spacing w:val="18"/>
          <w:sz w:val="13"/>
        </w:rPr>
        <w:t xml:space="preserve"> </w:t>
      </w:r>
      <w:r>
        <w:rPr>
          <w:color w:val="231F20"/>
          <w:spacing w:val="3"/>
          <w:sz w:val="13"/>
        </w:rPr>
        <w:t>5.</w:t>
      </w:r>
    </w:p>
    <w:p w14:paraId="79E451E3" w14:textId="77777777" w:rsidR="00894070" w:rsidRDefault="009B7AFD">
      <w:pPr>
        <w:pStyle w:val="ListParagraph"/>
        <w:numPr>
          <w:ilvl w:val="0"/>
          <w:numId w:val="93"/>
        </w:numPr>
        <w:tabs>
          <w:tab w:val="left" w:pos="1801"/>
          <w:tab w:val="left" w:pos="1802"/>
        </w:tabs>
        <w:spacing w:line="213" w:lineRule="auto"/>
        <w:jc w:val="left"/>
        <w:rPr>
          <w:sz w:val="13"/>
        </w:rPr>
      </w:pPr>
      <w:r>
        <w:rPr>
          <w:color w:val="231F20"/>
          <w:sz w:val="13"/>
        </w:rPr>
        <w:t xml:space="preserve">Bonnie </w:t>
      </w:r>
      <w:r>
        <w:rPr>
          <w:color w:val="231F20"/>
          <w:spacing w:val="2"/>
          <w:sz w:val="13"/>
        </w:rPr>
        <w:t xml:space="preserve">Brandl, </w:t>
      </w:r>
      <w:r>
        <w:rPr>
          <w:color w:val="231F20"/>
          <w:sz w:val="13"/>
        </w:rPr>
        <w:t xml:space="preserve">Candace J Heisler and Lori A </w:t>
      </w:r>
      <w:r>
        <w:rPr>
          <w:color w:val="231F20"/>
          <w:spacing w:val="2"/>
          <w:sz w:val="13"/>
        </w:rPr>
        <w:t xml:space="preserve">Stiegel, </w:t>
      </w:r>
      <w:r>
        <w:rPr>
          <w:color w:val="231F20"/>
          <w:sz w:val="13"/>
        </w:rPr>
        <w:t xml:space="preserve">‘The Parallels between Undue Influence, </w:t>
      </w:r>
      <w:r>
        <w:rPr>
          <w:color w:val="231F20"/>
          <w:spacing w:val="2"/>
          <w:sz w:val="13"/>
        </w:rPr>
        <w:t xml:space="preserve">Domestic </w:t>
      </w:r>
      <w:r>
        <w:rPr>
          <w:color w:val="231F20"/>
          <w:sz w:val="13"/>
        </w:rPr>
        <w:t xml:space="preserve">Violence, Stalking, and Sexual </w:t>
      </w:r>
      <w:r>
        <w:rPr>
          <w:color w:val="231F20"/>
          <w:spacing w:val="2"/>
          <w:sz w:val="13"/>
        </w:rPr>
        <w:t xml:space="preserve">Assault’ </w:t>
      </w:r>
      <w:r>
        <w:rPr>
          <w:color w:val="231F20"/>
          <w:sz w:val="13"/>
        </w:rPr>
        <w:t xml:space="preserve">(2005) 17(3) </w:t>
      </w:r>
      <w:r>
        <w:rPr>
          <w:i/>
          <w:color w:val="231F20"/>
          <w:sz w:val="13"/>
        </w:rPr>
        <w:t xml:space="preserve">Journal of Elder Abuse and Neglect </w:t>
      </w:r>
      <w:r>
        <w:rPr>
          <w:color w:val="231F20"/>
          <w:spacing w:val="-3"/>
          <w:sz w:val="13"/>
        </w:rPr>
        <w:t>37,</w:t>
      </w:r>
      <w:r>
        <w:rPr>
          <w:color w:val="231F20"/>
          <w:spacing w:val="4"/>
          <w:sz w:val="13"/>
        </w:rPr>
        <w:t xml:space="preserve"> </w:t>
      </w:r>
      <w:r>
        <w:rPr>
          <w:color w:val="231F20"/>
          <w:sz w:val="13"/>
        </w:rPr>
        <w:t>47–8.</w:t>
      </w:r>
    </w:p>
    <w:p w14:paraId="472678C9" w14:textId="77777777" w:rsidR="00894070" w:rsidRDefault="009B7AFD">
      <w:pPr>
        <w:pStyle w:val="BodyText"/>
        <w:rPr>
          <w:sz w:val="28"/>
        </w:rPr>
      </w:pPr>
      <w:r>
        <w:br w:type="column"/>
      </w:r>
    </w:p>
    <w:p w14:paraId="29F492A9" w14:textId="77777777" w:rsidR="00894070" w:rsidRDefault="00894070">
      <w:pPr>
        <w:pStyle w:val="BodyText"/>
        <w:rPr>
          <w:sz w:val="28"/>
        </w:rPr>
      </w:pPr>
    </w:p>
    <w:p w14:paraId="26AB167E" w14:textId="77777777" w:rsidR="00894070" w:rsidRDefault="00894070">
      <w:pPr>
        <w:pStyle w:val="BodyText"/>
        <w:spacing w:before="2"/>
        <w:rPr>
          <w:sz w:val="40"/>
        </w:rPr>
      </w:pPr>
    </w:p>
    <w:p w14:paraId="0C8AA2FD" w14:textId="77777777" w:rsidR="00894070" w:rsidRDefault="009B7AFD">
      <w:pPr>
        <w:pStyle w:val="Heading8"/>
        <w:ind w:left="665"/>
      </w:pPr>
      <w:r>
        <w:rPr>
          <w:color w:val="EA5B50"/>
        </w:rPr>
        <w:t>103</w:t>
      </w:r>
    </w:p>
    <w:p w14:paraId="3D9B74C4" w14:textId="77777777" w:rsidR="00894070" w:rsidRDefault="00894070">
      <w:pPr>
        <w:sectPr w:rsidR="00894070">
          <w:type w:val="continuous"/>
          <w:pgSz w:w="11910" w:h="16840"/>
          <w:pgMar w:top="560" w:right="420" w:bottom="280" w:left="580" w:header="720" w:footer="720" w:gutter="0"/>
          <w:cols w:num="2" w:space="720" w:equalWidth="0">
            <w:col w:w="9632" w:space="39"/>
            <w:col w:w="1239"/>
          </w:cols>
        </w:sectPr>
      </w:pPr>
    </w:p>
    <w:p w14:paraId="0FDB472B" w14:textId="77777777" w:rsidR="00894070" w:rsidRDefault="00894070">
      <w:pPr>
        <w:pStyle w:val="BodyText"/>
        <w:rPr>
          <w:b/>
        </w:rPr>
      </w:pPr>
    </w:p>
    <w:p w14:paraId="6A45E66E" w14:textId="77777777" w:rsidR="00894070" w:rsidRDefault="00894070">
      <w:pPr>
        <w:pStyle w:val="BodyText"/>
        <w:rPr>
          <w:b/>
        </w:rPr>
      </w:pPr>
    </w:p>
    <w:p w14:paraId="16A5F171" w14:textId="77777777" w:rsidR="00894070" w:rsidRDefault="00894070">
      <w:pPr>
        <w:pStyle w:val="BodyText"/>
        <w:rPr>
          <w:b/>
        </w:rPr>
      </w:pPr>
    </w:p>
    <w:p w14:paraId="772C299B" w14:textId="77777777" w:rsidR="00894070" w:rsidRDefault="00894070">
      <w:pPr>
        <w:pStyle w:val="BodyText"/>
        <w:spacing w:before="8"/>
        <w:rPr>
          <w:b/>
          <w:sz w:val="19"/>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527"/>
        <w:gridCol w:w="5399"/>
      </w:tblGrid>
      <w:tr w:rsidR="00894070" w14:paraId="2AE6C12A" w14:textId="77777777">
        <w:trPr>
          <w:trHeight w:val="518"/>
        </w:trPr>
        <w:tc>
          <w:tcPr>
            <w:tcW w:w="2527" w:type="dxa"/>
            <w:shd w:val="clear" w:color="auto" w:fill="F4BCAE"/>
          </w:tcPr>
          <w:p w14:paraId="744509EE" w14:textId="77777777" w:rsidR="00894070" w:rsidRDefault="009B7AFD">
            <w:pPr>
              <w:pStyle w:val="TableParagraph"/>
              <w:spacing w:before="122"/>
              <w:rPr>
                <w:b/>
                <w:sz w:val="20"/>
              </w:rPr>
            </w:pPr>
            <w:bookmarkStart w:id="123" w:name="_bookmark70"/>
            <w:bookmarkEnd w:id="123"/>
            <w:r>
              <w:rPr>
                <w:b/>
                <w:color w:val="231F20"/>
                <w:sz w:val="20"/>
              </w:rPr>
              <w:t>Feature</w:t>
            </w:r>
          </w:p>
        </w:tc>
        <w:tc>
          <w:tcPr>
            <w:tcW w:w="5399" w:type="dxa"/>
            <w:shd w:val="clear" w:color="auto" w:fill="F4BCAE"/>
          </w:tcPr>
          <w:p w14:paraId="179ADB96" w14:textId="77777777" w:rsidR="00894070" w:rsidRDefault="009B7AFD">
            <w:pPr>
              <w:pStyle w:val="TableParagraph"/>
              <w:spacing w:before="122"/>
              <w:rPr>
                <w:b/>
                <w:sz w:val="20"/>
              </w:rPr>
            </w:pPr>
            <w:r>
              <w:rPr>
                <w:b/>
                <w:color w:val="231F20"/>
                <w:sz w:val="20"/>
              </w:rPr>
              <w:t>Description</w:t>
            </w:r>
          </w:p>
        </w:tc>
      </w:tr>
      <w:tr w:rsidR="00894070" w14:paraId="096A37E1" w14:textId="77777777">
        <w:trPr>
          <w:trHeight w:val="1604"/>
        </w:trPr>
        <w:tc>
          <w:tcPr>
            <w:tcW w:w="2527" w:type="dxa"/>
          </w:tcPr>
          <w:p w14:paraId="718D4085" w14:textId="77777777" w:rsidR="00894070" w:rsidRDefault="009B7AFD">
            <w:pPr>
              <w:pStyle w:val="TableParagraph"/>
              <w:spacing w:before="98" w:line="206" w:lineRule="auto"/>
              <w:ind w:right="1230"/>
              <w:rPr>
                <w:sz w:val="20"/>
              </w:rPr>
            </w:pPr>
            <w:r>
              <w:rPr>
                <w:color w:val="231F20"/>
                <w:sz w:val="20"/>
              </w:rPr>
              <w:t>Respondent practitioners</w:t>
            </w:r>
          </w:p>
        </w:tc>
        <w:tc>
          <w:tcPr>
            <w:tcW w:w="5399" w:type="dxa"/>
          </w:tcPr>
          <w:p w14:paraId="52F12D78" w14:textId="77777777" w:rsidR="00894070" w:rsidRDefault="009B7AFD">
            <w:pPr>
              <w:pStyle w:val="TableParagraph"/>
              <w:spacing w:before="98" w:line="206" w:lineRule="auto"/>
              <w:ind w:right="162"/>
              <w:rPr>
                <w:sz w:val="20"/>
              </w:rPr>
            </w:pPr>
            <w:r>
              <w:rPr>
                <w:color w:val="231F20"/>
                <w:sz w:val="20"/>
              </w:rPr>
              <w:t xml:space="preserve">They provide non-legal information, </w:t>
            </w:r>
            <w:proofErr w:type="gramStart"/>
            <w:r>
              <w:rPr>
                <w:color w:val="231F20"/>
                <w:sz w:val="20"/>
              </w:rPr>
              <w:t>support</w:t>
            </w:r>
            <w:proofErr w:type="gramEnd"/>
            <w:r>
              <w:rPr>
                <w:color w:val="231F20"/>
                <w:sz w:val="20"/>
              </w:rPr>
              <w:t xml:space="preserve"> and referrals for respondents to an intervention order application. They may conduct assessments, make referrals for support, case management and programs to help address risk of further family violence (such as behaviour change programs).</w:t>
            </w:r>
          </w:p>
        </w:tc>
      </w:tr>
      <w:tr w:rsidR="00894070" w14:paraId="12935552" w14:textId="77777777">
        <w:trPr>
          <w:trHeight w:val="1364"/>
        </w:trPr>
        <w:tc>
          <w:tcPr>
            <w:tcW w:w="2527" w:type="dxa"/>
          </w:tcPr>
          <w:p w14:paraId="4AEE59B3" w14:textId="77777777" w:rsidR="00894070" w:rsidRDefault="009B7AFD">
            <w:pPr>
              <w:pStyle w:val="TableParagraph"/>
              <w:spacing w:before="65"/>
              <w:rPr>
                <w:sz w:val="20"/>
              </w:rPr>
            </w:pPr>
            <w:r>
              <w:rPr>
                <w:color w:val="231F20"/>
                <w:sz w:val="20"/>
              </w:rPr>
              <w:t>Accessibility</w:t>
            </w:r>
          </w:p>
        </w:tc>
        <w:tc>
          <w:tcPr>
            <w:tcW w:w="5399" w:type="dxa"/>
          </w:tcPr>
          <w:p w14:paraId="34F41340" w14:textId="77777777" w:rsidR="00894070" w:rsidRDefault="009B7AFD">
            <w:pPr>
              <w:pStyle w:val="TableParagraph"/>
              <w:spacing w:before="98" w:line="206" w:lineRule="auto"/>
              <w:rPr>
                <w:sz w:val="20"/>
              </w:rPr>
            </w:pPr>
            <w:r>
              <w:rPr>
                <w:color w:val="231F20"/>
                <w:sz w:val="20"/>
              </w:rPr>
              <w:t xml:space="preserve">For example, a </w:t>
            </w:r>
            <w:proofErr w:type="gramStart"/>
            <w:r>
              <w:rPr>
                <w:color w:val="231F20"/>
                <w:sz w:val="20"/>
              </w:rPr>
              <w:t>culturally-safe</w:t>
            </w:r>
            <w:proofErr w:type="gramEnd"/>
            <w:r>
              <w:rPr>
                <w:color w:val="231F20"/>
                <w:sz w:val="20"/>
              </w:rPr>
              <w:t xml:space="preserve"> program offers support, information and referrals to Aboriginal and Torres Strait Islander families. LGBTIQA+ family violence practitioners receive specific training on the needs of LGBTIQA+ court users.</w:t>
            </w:r>
          </w:p>
        </w:tc>
      </w:tr>
      <w:tr w:rsidR="00894070" w14:paraId="543159E5" w14:textId="77777777">
        <w:trPr>
          <w:trHeight w:val="644"/>
        </w:trPr>
        <w:tc>
          <w:tcPr>
            <w:tcW w:w="2527" w:type="dxa"/>
          </w:tcPr>
          <w:p w14:paraId="393CE0D0" w14:textId="77777777" w:rsidR="00894070" w:rsidRDefault="009B7AFD">
            <w:pPr>
              <w:pStyle w:val="TableParagraph"/>
              <w:spacing w:before="65"/>
              <w:rPr>
                <w:sz w:val="20"/>
              </w:rPr>
            </w:pPr>
            <w:r>
              <w:rPr>
                <w:color w:val="231F20"/>
                <w:sz w:val="20"/>
              </w:rPr>
              <w:t>Supportive infrastructure</w:t>
            </w:r>
          </w:p>
        </w:tc>
        <w:tc>
          <w:tcPr>
            <w:tcW w:w="5399" w:type="dxa"/>
          </w:tcPr>
          <w:p w14:paraId="6F8963FA" w14:textId="77777777" w:rsidR="00894070" w:rsidRDefault="009B7AFD">
            <w:pPr>
              <w:pStyle w:val="TableParagraph"/>
              <w:spacing w:before="65" w:line="259" w:lineRule="exact"/>
              <w:rPr>
                <w:sz w:val="20"/>
              </w:rPr>
            </w:pPr>
            <w:r>
              <w:rPr>
                <w:color w:val="231F20"/>
                <w:sz w:val="20"/>
              </w:rPr>
              <w:t>For example, screens and safe waiting areas in court</w:t>
            </w:r>
          </w:p>
          <w:p w14:paraId="04CD548D" w14:textId="77777777" w:rsidR="00894070" w:rsidRDefault="009B7AFD">
            <w:pPr>
              <w:pStyle w:val="TableParagraph"/>
              <w:spacing w:line="259" w:lineRule="exact"/>
              <w:rPr>
                <w:sz w:val="20"/>
              </w:rPr>
            </w:pPr>
            <w:r>
              <w:rPr>
                <w:color w:val="231F20"/>
                <w:sz w:val="20"/>
              </w:rPr>
              <w:t>and remote witness facilities.</w:t>
            </w:r>
          </w:p>
        </w:tc>
      </w:tr>
      <w:tr w:rsidR="00894070" w14:paraId="3CBDD257" w14:textId="77777777">
        <w:trPr>
          <w:trHeight w:val="884"/>
        </w:trPr>
        <w:tc>
          <w:tcPr>
            <w:tcW w:w="2527" w:type="dxa"/>
          </w:tcPr>
          <w:p w14:paraId="04529AA2" w14:textId="77777777" w:rsidR="00894070" w:rsidRDefault="009B7AFD">
            <w:pPr>
              <w:pStyle w:val="TableParagraph"/>
              <w:spacing w:before="98" w:line="206" w:lineRule="auto"/>
              <w:ind w:right="81"/>
              <w:rPr>
                <w:sz w:val="20"/>
              </w:rPr>
            </w:pPr>
            <w:r>
              <w:rPr>
                <w:color w:val="231F20"/>
                <w:sz w:val="20"/>
              </w:rPr>
              <w:t>Multi-agency cooperation</w:t>
            </w:r>
          </w:p>
        </w:tc>
        <w:tc>
          <w:tcPr>
            <w:tcW w:w="5399" w:type="dxa"/>
          </w:tcPr>
          <w:p w14:paraId="7002F6AA" w14:textId="77777777" w:rsidR="00894070" w:rsidRDefault="009B7AFD">
            <w:pPr>
              <w:pStyle w:val="TableParagraph"/>
              <w:spacing w:before="98" w:line="206" w:lineRule="auto"/>
              <w:rPr>
                <w:sz w:val="11"/>
              </w:rPr>
            </w:pPr>
            <w:r>
              <w:rPr>
                <w:color w:val="231F20"/>
                <w:sz w:val="20"/>
              </w:rPr>
              <w:t>Regular coordination happens between different agencies including a daily coordination meeting where issues of risk and needs are discussed if appropriate.</w:t>
            </w:r>
            <w:r>
              <w:rPr>
                <w:color w:val="231F20"/>
                <w:position w:val="7"/>
                <w:sz w:val="11"/>
              </w:rPr>
              <w:t>78</w:t>
            </w:r>
          </w:p>
        </w:tc>
      </w:tr>
    </w:tbl>
    <w:p w14:paraId="593B33BD" w14:textId="77777777" w:rsidR="00894070" w:rsidRDefault="00894070">
      <w:pPr>
        <w:pStyle w:val="BodyText"/>
        <w:spacing w:before="7"/>
        <w:rPr>
          <w:b/>
          <w:sz w:val="21"/>
        </w:rPr>
      </w:pPr>
    </w:p>
    <w:p w14:paraId="4F3CB539" w14:textId="77777777" w:rsidR="00894070" w:rsidRDefault="009B7AFD">
      <w:pPr>
        <w:pStyle w:val="ListParagraph"/>
        <w:numPr>
          <w:ilvl w:val="1"/>
          <w:numId w:val="102"/>
        </w:numPr>
        <w:tabs>
          <w:tab w:val="left" w:pos="1801"/>
          <w:tab w:val="left" w:pos="1802"/>
        </w:tabs>
        <w:spacing w:before="90" w:line="206" w:lineRule="auto"/>
        <w:ind w:right="1408"/>
        <w:rPr>
          <w:sz w:val="20"/>
        </w:rPr>
      </w:pPr>
      <w:r>
        <w:rPr>
          <w:color w:val="231F20"/>
          <w:sz w:val="20"/>
        </w:rPr>
        <w:t>It</w:t>
      </w:r>
      <w:r>
        <w:rPr>
          <w:color w:val="231F20"/>
          <w:spacing w:val="-9"/>
          <w:sz w:val="20"/>
        </w:rPr>
        <w:t xml:space="preserve"> </w:t>
      </w:r>
      <w:r>
        <w:rPr>
          <w:color w:val="231F20"/>
          <w:sz w:val="20"/>
        </w:rPr>
        <w:t>is</w:t>
      </w:r>
      <w:r>
        <w:rPr>
          <w:color w:val="231F20"/>
          <w:spacing w:val="-9"/>
          <w:sz w:val="20"/>
        </w:rPr>
        <w:t xml:space="preserve"> </w:t>
      </w:r>
      <w:r>
        <w:rPr>
          <w:color w:val="231F20"/>
          <w:sz w:val="20"/>
        </w:rPr>
        <w:t>important</w:t>
      </w:r>
      <w:r>
        <w:rPr>
          <w:color w:val="231F20"/>
          <w:spacing w:val="-8"/>
          <w:sz w:val="20"/>
        </w:rPr>
        <w:t xml:space="preserve"> </w:t>
      </w:r>
      <w:r>
        <w:rPr>
          <w:color w:val="231F20"/>
          <w:sz w:val="20"/>
        </w:rPr>
        <w:t>to</w:t>
      </w:r>
      <w:r>
        <w:rPr>
          <w:color w:val="231F20"/>
          <w:spacing w:val="-9"/>
          <w:sz w:val="20"/>
        </w:rPr>
        <w:t xml:space="preserve"> </w:t>
      </w:r>
      <w:r>
        <w:rPr>
          <w:color w:val="231F20"/>
          <w:sz w:val="20"/>
        </w:rPr>
        <w:t>keep</w:t>
      </w:r>
      <w:r>
        <w:rPr>
          <w:color w:val="231F20"/>
          <w:spacing w:val="-9"/>
          <w:sz w:val="20"/>
        </w:rPr>
        <w:t xml:space="preserve"> </w:t>
      </w:r>
      <w:r>
        <w:rPr>
          <w:color w:val="231F20"/>
          <w:sz w:val="20"/>
        </w:rPr>
        <w:t>in</w:t>
      </w:r>
      <w:r>
        <w:rPr>
          <w:color w:val="231F20"/>
          <w:spacing w:val="-8"/>
          <w:sz w:val="20"/>
        </w:rPr>
        <w:t xml:space="preserve"> </w:t>
      </w:r>
      <w:r>
        <w:rPr>
          <w:color w:val="231F20"/>
          <w:sz w:val="20"/>
        </w:rPr>
        <w:t>mind,</w:t>
      </w:r>
      <w:r>
        <w:rPr>
          <w:color w:val="231F20"/>
          <w:spacing w:val="-9"/>
          <w:sz w:val="20"/>
        </w:rPr>
        <w:t xml:space="preserve"> </w:t>
      </w:r>
      <w:r>
        <w:rPr>
          <w:color w:val="231F20"/>
          <w:spacing w:val="-5"/>
          <w:sz w:val="20"/>
        </w:rPr>
        <w:t>however,</w:t>
      </w:r>
      <w:r>
        <w:rPr>
          <w:color w:val="231F20"/>
          <w:spacing w:val="-9"/>
          <w:sz w:val="20"/>
        </w:rPr>
        <w:t xml:space="preserve"> </w:t>
      </w:r>
      <w:r>
        <w:rPr>
          <w:color w:val="231F20"/>
          <w:sz w:val="20"/>
        </w:rPr>
        <w:t>that</w:t>
      </w:r>
      <w:r>
        <w:rPr>
          <w:color w:val="231F20"/>
          <w:spacing w:val="-8"/>
          <w:sz w:val="20"/>
        </w:rPr>
        <w:t xml:space="preserve"> </w:t>
      </w:r>
      <w:r>
        <w:rPr>
          <w:color w:val="231F20"/>
          <w:sz w:val="20"/>
        </w:rPr>
        <w:t>there</w:t>
      </w:r>
      <w:r>
        <w:rPr>
          <w:color w:val="231F20"/>
          <w:spacing w:val="-9"/>
          <w:sz w:val="20"/>
        </w:rPr>
        <w:t xml:space="preserve"> </w:t>
      </w:r>
      <w:r>
        <w:rPr>
          <w:color w:val="231F20"/>
          <w:spacing w:val="-3"/>
          <w:sz w:val="20"/>
        </w:rPr>
        <w:t>are</w:t>
      </w:r>
      <w:r>
        <w:rPr>
          <w:color w:val="231F20"/>
          <w:spacing w:val="-9"/>
          <w:sz w:val="20"/>
        </w:rPr>
        <w:t xml:space="preserve"> </w:t>
      </w:r>
      <w:r>
        <w:rPr>
          <w:color w:val="231F20"/>
          <w:spacing w:val="-4"/>
          <w:sz w:val="20"/>
        </w:rPr>
        <w:t>fewer</w:t>
      </w:r>
      <w:r>
        <w:rPr>
          <w:color w:val="231F20"/>
          <w:spacing w:val="-8"/>
          <w:sz w:val="20"/>
        </w:rPr>
        <w:t xml:space="preserve"> </w:t>
      </w:r>
      <w:r>
        <w:rPr>
          <w:color w:val="231F20"/>
          <w:sz w:val="20"/>
        </w:rPr>
        <w:t>PSIO</w:t>
      </w:r>
      <w:r>
        <w:rPr>
          <w:color w:val="231F20"/>
          <w:spacing w:val="-9"/>
          <w:sz w:val="20"/>
        </w:rPr>
        <w:t xml:space="preserve"> </w:t>
      </w:r>
      <w:r>
        <w:rPr>
          <w:color w:val="231F20"/>
          <w:sz w:val="20"/>
        </w:rPr>
        <w:t>matters</w:t>
      </w:r>
      <w:r>
        <w:rPr>
          <w:color w:val="231F20"/>
          <w:spacing w:val="-8"/>
          <w:sz w:val="20"/>
        </w:rPr>
        <w:t xml:space="preserve"> </w:t>
      </w:r>
      <w:r>
        <w:rPr>
          <w:color w:val="231F20"/>
          <w:sz w:val="20"/>
        </w:rPr>
        <w:t>compared to</w:t>
      </w:r>
      <w:r>
        <w:rPr>
          <w:color w:val="231F20"/>
          <w:spacing w:val="-8"/>
          <w:sz w:val="20"/>
        </w:rPr>
        <w:t xml:space="preserve"> </w:t>
      </w:r>
      <w:r>
        <w:rPr>
          <w:color w:val="231F20"/>
          <w:spacing w:val="-3"/>
          <w:sz w:val="20"/>
        </w:rPr>
        <w:t>family</w:t>
      </w:r>
      <w:r>
        <w:rPr>
          <w:color w:val="231F20"/>
          <w:spacing w:val="-8"/>
          <w:sz w:val="20"/>
        </w:rPr>
        <w:t xml:space="preserve"> </w:t>
      </w:r>
      <w:r>
        <w:rPr>
          <w:color w:val="231F20"/>
          <w:sz w:val="20"/>
        </w:rPr>
        <w:t>violence</w:t>
      </w:r>
      <w:r>
        <w:rPr>
          <w:color w:val="231F20"/>
          <w:spacing w:val="-8"/>
          <w:sz w:val="20"/>
        </w:rPr>
        <w:t xml:space="preserve"> </w:t>
      </w:r>
      <w:r>
        <w:rPr>
          <w:color w:val="231F20"/>
          <w:spacing w:val="-2"/>
          <w:sz w:val="20"/>
        </w:rPr>
        <w:t>intervention</w:t>
      </w:r>
      <w:r>
        <w:rPr>
          <w:color w:val="231F20"/>
          <w:spacing w:val="-8"/>
          <w:sz w:val="20"/>
        </w:rPr>
        <w:t xml:space="preserve"> </w:t>
      </w:r>
      <w:r>
        <w:rPr>
          <w:color w:val="231F20"/>
          <w:sz w:val="20"/>
        </w:rPr>
        <w:t>order</w:t>
      </w:r>
      <w:r>
        <w:rPr>
          <w:color w:val="231F20"/>
          <w:spacing w:val="-8"/>
          <w:sz w:val="20"/>
        </w:rPr>
        <w:t xml:space="preserve"> </w:t>
      </w:r>
      <w:r>
        <w:rPr>
          <w:color w:val="231F20"/>
          <w:sz w:val="20"/>
        </w:rPr>
        <w:t>matters</w:t>
      </w:r>
      <w:r>
        <w:rPr>
          <w:color w:val="231F20"/>
          <w:spacing w:val="-7"/>
          <w:sz w:val="20"/>
        </w:rPr>
        <w:t xml:space="preserve"> </w:t>
      </w:r>
      <w:r>
        <w:rPr>
          <w:color w:val="231F20"/>
          <w:sz w:val="20"/>
        </w:rPr>
        <w:t>(see</w:t>
      </w:r>
      <w:r>
        <w:rPr>
          <w:color w:val="231F20"/>
          <w:spacing w:val="-8"/>
          <w:sz w:val="20"/>
        </w:rPr>
        <w:t xml:space="preserve"> </w:t>
      </w:r>
      <w:r>
        <w:rPr>
          <w:color w:val="231F20"/>
          <w:spacing w:val="-3"/>
          <w:sz w:val="20"/>
        </w:rPr>
        <w:t>Chapter</w:t>
      </w:r>
      <w:r>
        <w:rPr>
          <w:color w:val="231F20"/>
          <w:spacing w:val="-8"/>
          <w:sz w:val="20"/>
        </w:rPr>
        <w:t xml:space="preserve"> </w:t>
      </w:r>
      <w:r>
        <w:rPr>
          <w:color w:val="231F20"/>
          <w:spacing w:val="-3"/>
          <w:sz w:val="20"/>
        </w:rPr>
        <w:t>2).</w:t>
      </w:r>
      <w:r>
        <w:rPr>
          <w:color w:val="231F20"/>
          <w:spacing w:val="-8"/>
          <w:sz w:val="20"/>
        </w:rPr>
        <w:t xml:space="preserve"> </w:t>
      </w:r>
      <w:r>
        <w:rPr>
          <w:color w:val="231F20"/>
          <w:sz w:val="20"/>
        </w:rPr>
        <w:t>It</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be</w:t>
      </w:r>
      <w:r>
        <w:rPr>
          <w:color w:val="231F20"/>
          <w:spacing w:val="-7"/>
          <w:sz w:val="20"/>
        </w:rPr>
        <w:t xml:space="preserve"> </w:t>
      </w:r>
      <w:r>
        <w:rPr>
          <w:color w:val="231F20"/>
          <w:sz w:val="20"/>
        </w:rPr>
        <w:t>more</w:t>
      </w:r>
      <w:r>
        <w:rPr>
          <w:color w:val="231F20"/>
          <w:spacing w:val="-8"/>
          <w:sz w:val="20"/>
        </w:rPr>
        <w:t xml:space="preserve"> </w:t>
      </w:r>
      <w:r>
        <w:rPr>
          <w:color w:val="231F20"/>
          <w:sz w:val="20"/>
        </w:rPr>
        <w:t xml:space="preserve">sensible to use existing court </w:t>
      </w:r>
      <w:r>
        <w:rPr>
          <w:color w:val="231F20"/>
          <w:spacing w:val="-3"/>
          <w:sz w:val="20"/>
        </w:rPr>
        <w:t xml:space="preserve">structures </w:t>
      </w:r>
      <w:r>
        <w:rPr>
          <w:color w:val="231F20"/>
          <w:sz w:val="20"/>
        </w:rPr>
        <w:t xml:space="preserve">and </w:t>
      </w:r>
      <w:r>
        <w:rPr>
          <w:color w:val="231F20"/>
          <w:spacing w:val="-3"/>
          <w:sz w:val="20"/>
        </w:rPr>
        <w:t xml:space="preserve">resources </w:t>
      </w:r>
      <w:r>
        <w:rPr>
          <w:color w:val="231F20"/>
          <w:sz w:val="20"/>
        </w:rPr>
        <w:t xml:space="preserve">to implement a specialised approach instead of building new </w:t>
      </w:r>
      <w:r>
        <w:rPr>
          <w:color w:val="231F20"/>
          <w:spacing w:val="-3"/>
          <w:sz w:val="20"/>
        </w:rPr>
        <w:t xml:space="preserve">structures from </w:t>
      </w:r>
      <w:r>
        <w:rPr>
          <w:color w:val="231F20"/>
          <w:sz w:val="20"/>
        </w:rPr>
        <w:t>the ground</w:t>
      </w:r>
      <w:r>
        <w:rPr>
          <w:color w:val="231F20"/>
          <w:spacing w:val="-31"/>
          <w:sz w:val="20"/>
        </w:rPr>
        <w:t xml:space="preserve"> </w:t>
      </w:r>
      <w:r>
        <w:rPr>
          <w:color w:val="231F20"/>
          <w:sz w:val="20"/>
        </w:rPr>
        <w:t>up.</w:t>
      </w:r>
    </w:p>
    <w:p w14:paraId="67012432" w14:textId="77777777" w:rsidR="00894070" w:rsidRDefault="009B7AFD">
      <w:pPr>
        <w:pStyle w:val="ListParagraph"/>
        <w:numPr>
          <w:ilvl w:val="1"/>
          <w:numId w:val="102"/>
        </w:numPr>
        <w:tabs>
          <w:tab w:val="left" w:pos="1801"/>
          <w:tab w:val="left" w:pos="1802"/>
        </w:tabs>
        <w:spacing w:before="125" w:line="206" w:lineRule="auto"/>
        <w:ind w:right="1400"/>
        <w:rPr>
          <w:sz w:val="11"/>
        </w:rPr>
      </w:pPr>
      <w:r>
        <w:rPr>
          <w:color w:val="231F20"/>
          <w:sz w:val="20"/>
        </w:rPr>
        <w:t xml:space="preserve">There </w:t>
      </w:r>
      <w:r>
        <w:rPr>
          <w:color w:val="231F20"/>
          <w:spacing w:val="-3"/>
          <w:sz w:val="20"/>
        </w:rPr>
        <w:t xml:space="preserve">are </w:t>
      </w:r>
      <w:r>
        <w:rPr>
          <w:color w:val="231F20"/>
          <w:sz w:val="20"/>
        </w:rPr>
        <w:t xml:space="preserve">also risks to implementing a specialised approach, which </w:t>
      </w:r>
      <w:r>
        <w:rPr>
          <w:color w:val="231F20"/>
          <w:spacing w:val="-3"/>
          <w:sz w:val="20"/>
        </w:rPr>
        <w:t xml:space="preserve">would </w:t>
      </w:r>
      <w:r>
        <w:rPr>
          <w:color w:val="231F20"/>
          <w:sz w:val="20"/>
        </w:rPr>
        <w:t>need to be</w:t>
      </w:r>
      <w:r>
        <w:rPr>
          <w:color w:val="231F20"/>
          <w:spacing w:val="-10"/>
          <w:sz w:val="20"/>
        </w:rPr>
        <w:t xml:space="preserve"> </w:t>
      </w:r>
      <w:r>
        <w:rPr>
          <w:color w:val="231F20"/>
          <w:sz w:val="20"/>
        </w:rPr>
        <w:t>managed.</w:t>
      </w:r>
      <w:r>
        <w:rPr>
          <w:color w:val="231F20"/>
          <w:position w:val="7"/>
          <w:sz w:val="11"/>
        </w:rPr>
        <w:t>79</w:t>
      </w:r>
      <w:r>
        <w:rPr>
          <w:color w:val="231F20"/>
          <w:spacing w:val="15"/>
          <w:position w:val="7"/>
          <w:sz w:val="11"/>
        </w:rPr>
        <w:t xml:space="preserve"> </w:t>
      </w:r>
      <w:r>
        <w:rPr>
          <w:color w:val="231F20"/>
          <w:sz w:val="20"/>
        </w:rPr>
        <w:t>In</w:t>
      </w:r>
      <w:r>
        <w:rPr>
          <w:color w:val="231F20"/>
          <w:spacing w:val="-9"/>
          <w:sz w:val="20"/>
        </w:rPr>
        <w:t xml:space="preserve"> </w:t>
      </w:r>
      <w:r>
        <w:rPr>
          <w:color w:val="231F20"/>
          <w:sz w:val="20"/>
        </w:rPr>
        <w:t>our</w:t>
      </w:r>
      <w:r>
        <w:rPr>
          <w:color w:val="231F20"/>
          <w:spacing w:val="-10"/>
          <w:sz w:val="20"/>
        </w:rPr>
        <w:t xml:space="preserve"> </w:t>
      </w:r>
      <w:r>
        <w:rPr>
          <w:color w:val="231F20"/>
          <w:sz w:val="20"/>
        </w:rPr>
        <w:t>report</w:t>
      </w:r>
      <w:r>
        <w:rPr>
          <w:color w:val="231F20"/>
          <w:spacing w:val="-9"/>
          <w:sz w:val="20"/>
        </w:rPr>
        <w:t xml:space="preserve"> </w:t>
      </w:r>
      <w:r>
        <w:rPr>
          <w:i/>
          <w:color w:val="231F20"/>
          <w:spacing w:val="-3"/>
          <w:sz w:val="20"/>
        </w:rPr>
        <w:t>Improving</w:t>
      </w:r>
      <w:r>
        <w:rPr>
          <w:i/>
          <w:color w:val="231F20"/>
          <w:spacing w:val="-9"/>
          <w:sz w:val="20"/>
        </w:rPr>
        <w:t xml:space="preserve"> </w:t>
      </w:r>
      <w:r>
        <w:rPr>
          <w:i/>
          <w:color w:val="231F20"/>
          <w:sz w:val="20"/>
        </w:rPr>
        <w:t>the</w:t>
      </w:r>
      <w:r>
        <w:rPr>
          <w:i/>
          <w:color w:val="231F20"/>
          <w:spacing w:val="-9"/>
          <w:sz w:val="20"/>
        </w:rPr>
        <w:t xml:space="preserve"> </w:t>
      </w:r>
      <w:r>
        <w:rPr>
          <w:i/>
          <w:color w:val="231F20"/>
          <w:sz w:val="20"/>
        </w:rPr>
        <w:t>Justice</w:t>
      </w:r>
      <w:r>
        <w:rPr>
          <w:i/>
          <w:color w:val="231F20"/>
          <w:spacing w:val="-9"/>
          <w:sz w:val="20"/>
        </w:rPr>
        <w:t xml:space="preserve"> </w:t>
      </w:r>
      <w:r>
        <w:rPr>
          <w:i/>
          <w:color w:val="231F20"/>
          <w:spacing w:val="-3"/>
          <w:sz w:val="20"/>
        </w:rPr>
        <w:t>System</w:t>
      </w:r>
      <w:r>
        <w:rPr>
          <w:i/>
          <w:color w:val="231F20"/>
          <w:spacing w:val="-9"/>
          <w:sz w:val="20"/>
        </w:rPr>
        <w:t xml:space="preserve"> </w:t>
      </w:r>
      <w:r>
        <w:rPr>
          <w:i/>
          <w:color w:val="231F20"/>
          <w:sz w:val="20"/>
        </w:rPr>
        <w:t>Response</w:t>
      </w:r>
      <w:r>
        <w:rPr>
          <w:i/>
          <w:color w:val="231F20"/>
          <w:spacing w:val="-9"/>
          <w:sz w:val="20"/>
        </w:rPr>
        <w:t xml:space="preserve"> </w:t>
      </w:r>
      <w:r>
        <w:rPr>
          <w:i/>
          <w:color w:val="231F20"/>
          <w:spacing w:val="-3"/>
          <w:sz w:val="20"/>
        </w:rPr>
        <w:t>to</w:t>
      </w:r>
      <w:r>
        <w:rPr>
          <w:i/>
          <w:color w:val="231F20"/>
          <w:spacing w:val="-10"/>
          <w:sz w:val="20"/>
        </w:rPr>
        <w:t xml:space="preserve"> </w:t>
      </w:r>
      <w:r>
        <w:rPr>
          <w:i/>
          <w:color w:val="231F20"/>
          <w:sz w:val="20"/>
        </w:rPr>
        <w:t>Sexual</w:t>
      </w:r>
      <w:r>
        <w:rPr>
          <w:i/>
          <w:color w:val="231F20"/>
          <w:spacing w:val="-9"/>
          <w:sz w:val="20"/>
        </w:rPr>
        <w:t xml:space="preserve"> </w:t>
      </w:r>
      <w:r>
        <w:rPr>
          <w:i/>
          <w:color w:val="231F20"/>
          <w:sz w:val="20"/>
        </w:rPr>
        <w:t xml:space="preserve">Offences </w:t>
      </w:r>
      <w:r>
        <w:rPr>
          <w:color w:val="231F20"/>
          <w:spacing w:val="-3"/>
          <w:sz w:val="20"/>
        </w:rPr>
        <w:t xml:space="preserve">(2021), we </w:t>
      </w:r>
      <w:r>
        <w:rPr>
          <w:color w:val="231F20"/>
          <w:sz w:val="20"/>
        </w:rPr>
        <w:t xml:space="preserve">noted the risks of strengthening specialisation </w:t>
      </w:r>
      <w:r>
        <w:rPr>
          <w:color w:val="231F20"/>
          <w:spacing w:val="-3"/>
          <w:sz w:val="20"/>
        </w:rPr>
        <w:t xml:space="preserve">through </w:t>
      </w:r>
      <w:r>
        <w:rPr>
          <w:color w:val="231F20"/>
          <w:sz w:val="20"/>
        </w:rPr>
        <w:t>a specialist court, including the risk of ‘burn out’ and vicarious</w:t>
      </w:r>
      <w:r>
        <w:rPr>
          <w:color w:val="231F20"/>
          <w:spacing w:val="-37"/>
          <w:sz w:val="20"/>
        </w:rPr>
        <w:t xml:space="preserve"> </w:t>
      </w:r>
      <w:r>
        <w:rPr>
          <w:color w:val="231F20"/>
          <w:sz w:val="20"/>
        </w:rPr>
        <w:t>trauma.</w:t>
      </w:r>
      <w:r>
        <w:rPr>
          <w:color w:val="231F20"/>
          <w:position w:val="7"/>
          <w:sz w:val="11"/>
        </w:rPr>
        <w:t>80</w:t>
      </w:r>
    </w:p>
    <w:p w14:paraId="31D67FDC" w14:textId="77777777" w:rsidR="00894070" w:rsidRDefault="009B7AFD">
      <w:pPr>
        <w:pStyle w:val="ListParagraph"/>
        <w:numPr>
          <w:ilvl w:val="1"/>
          <w:numId w:val="102"/>
        </w:numPr>
        <w:tabs>
          <w:tab w:val="left" w:pos="1801"/>
          <w:tab w:val="left" w:pos="1802"/>
        </w:tabs>
        <w:spacing w:before="92"/>
        <w:rPr>
          <w:sz w:val="20"/>
        </w:rPr>
      </w:pPr>
      <w:r>
        <w:rPr>
          <w:color w:val="231F20"/>
          <w:spacing w:val="-10"/>
          <w:sz w:val="20"/>
        </w:rPr>
        <w:t xml:space="preserve">To </w:t>
      </w:r>
      <w:r>
        <w:rPr>
          <w:color w:val="231F20"/>
          <w:sz w:val="20"/>
        </w:rPr>
        <w:t xml:space="preserve">implement these </w:t>
      </w:r>
      <w:r>
        <w:rPr>
          <w:color w:val="231F20"/>
          <w:spacing w:val="-3"/>
          <w:sz w:val="20"/>
        </w:rPr>
        <w:t xml:space="preserve">features, we </w:t>
      </w:r>
      <w:r>
        <w:rPr>
          <w:color w:val="231F20"/>
          <w:sz w:val="20"/>
        </w:rPr>
        <w:t>considered two</w:t>
      </w:r>
      <w:r>
        <w:rPr>
          <w:color w:val="231F20"/>
          <w:spacing w:val="-17"/>
          <w:sz w:val="20"/>
        </w:rPr>
        <w:t xml:space="preserve"> </w:t>
      </w:r>
      <w:r>
        <w:rPr>
          <w:color w:val="231F20"/>
          <w:sz w:val="20"/>
        </w:rPr>
        <w:t>options:</w:t>
      </w:r>
    </w:p>
    <w:p w14:paraId="0CF3F1C4" w14:textId="77777777" w:rsidR="00894070" w:rsidRDefault="009B7AFD">
      <w:pPr>
        <w:pStyle w:val="ListParagraph"/>
        <w:numPr>
          <w:ilvl w:val="2"/>
          <w:numId w:val="102"/>
        </w:numPr>
        <w:tabs>
          <w:tab w:val="left" w:pos="2141"/>
          <w:tab w:val="left" w:pos="2142"/>
        </w:tabs>
        <w:spacing w:before="83"/>
        <w:ind w:hanging="340"/>
        <w:rPr>
          <w:sz w:val="20"/>
        </w:rPr>
      </w:pPr>
      <w:r>
        <w:rPr>
          <w:color w:val="231F20"/>
          <w:sz w:val="20"/>
        </w:rPr>
        <w:t>making</w:t>
      </w:r>
      <w:r>
        <w:rPr>
          <w:color w:val="231F20"/>
          <w:spacing w:val="-6"/>
          <w:sz w:val="20"/>
        </w:rPr>
        <w:t xml:space="preserve"> </w:t>
      </w:r>
      <w:r>
        <w:rPr>
          <w:color w:val="231F20"/>
          <w:sz w:val="20"/>
        </w:rPr>
        <w:t>use</w:t>
      </w:r>
      <w:r>
        <w:rPr>
          <w:color w:val="231F20"/>
          <w:spacing w:val="-6"/>
          <w:sz w:val="20"/>
        </w:rPr>
        <w:t xml:space="preserve"> </w:t>
      </w:r>
      <w:r>
        <w:rPr>
          <w:color w:val="231F20"/>
          <w:sz w:val="20"/>
        </w:rPr>
        <w:t>of</w:t>
      </w:r>
      <w:r>
        <w:rPr>
          <w:color w:val="231F20"/>
          <w:spacing w:val="-5"/>
          <w:sz w:val="20"/>
        </w:rPr>
        <w:t xml:space="preserve"> </w:t>
      </w:r>
      <w:r>
        <w:rPr>
          <w:color w:val="231F20"/>
          <w:sz w:val="20"/>
        </w:rPr>
        <w:t>the</w:t>
      </w:r>
      <w:r>
        <w:rPr>
          <w:color w:val="231F20"/>
          <w:spacing w:val="-6"/>
          <w:sz w:val="20"/>
        </w:rPr>
        <w:t xml:space="preserve"> </w:t>
      </w:r>
      <w:r>
        <w:rPr>
          <w:color w:val="231F20"/>
          <w:sz w:val="20"/>
        </w:rPr>
        <w:t>specialist</w:t>
      </w:r>
      <w:r>
        <w:rPr>
          <w:color w:val="231F20"/>
          <w:spacing w:val="-6"/>
          <w:sz w:val="20"/>
        </w:rPr>
        <w:t xml:space="preserve"> </w:t>
      </w:r>
      <w:r>
        <w:rPr>
          <w:color w:val="231F20"/>
          <w:spacing w:val="-3"/>
          <w:sz w:val="20"/>
        </w:rPr>
        <w:t>family</w:t>
      </w:r>
      <w:r>
        <w:rPr>
          <w:color w:val="231F20"/>
          <w:spacing w:val="-5"/>
          <w:sz w:val="20"/>
        </w:rPr>
        <w:t xml:space="preserve"> </w:t>
      </w:r>
      <w:r>
        <w:rPr>
          <w:color w:val="231F20"/>
          <w:sz w:val="20"/>
        </w:rPr>
        <w:t>violence</w:t>
      </w:r>
      <w:r>
        <w:rPr>
          <w:color w:val="231F20"/>
          <w:spacing w:val="-6"/>
          <w:sz w:val="20"/>
        </w:rPr>
        <w:t xml:space="preserve"> </w:t>
      </w:r>
      <w:r>
        <w:rPr>
          <w:color w:val="231F20"/>
          <w:sz w:val="20"/>
        </w:rPr>
        <w:t>courts’</w:t>
      </w:r>
      <w:r>
        <w:rPr>
          <w:color w:val="231F20"/>
          <w:spacing w:val="-6"/>
          <w:sz w:val="20"/>
        </w:rPr>
        <w:t xml:space="preserve"> </w:t>
      </w:r>
      <w:r>
        <w:rPr>
          <w:color w:val="231F20"/>
          <w:sz w:val="20"/>
        </w:rPr>
        <w:t>facilities</w:t>
      </w:r>
      <w:r>
        <w:rPr>
          <w:color w:val="231F20"/>
          <w:spacing w:val="-5"/>
          <w:sz w:val="20"/>
        </w:rPr>
        <w:t xml:space="preserve"> </w:t>
      </w:r>
      <w:r>
        <w:rPr>
          <w:color w:val="231F20"/>
          <w:sz w:val="20"/>
        </w:rPr>
        <w:t>and</w:t>
      </w:r>
      <w:r>
        <w:rPr>
          <w:color w:val="231F20"/>
          <w:spacing w:val="-6"/>
          <w:sz w:val="20"/>
        </w:rPr>
        <w:t xml:space="preserve"> </w:t>
      </w:r>
      <w:r>
        <w:rPr>
          <w:color w:val="231F20"/>
          <w:sz w:val="20"/>
        </w:rPr>
        <w:t>approach,</w:t>
      </w:r>
      <w:r>
        <w:rPr>
          <w:color w:val="231F20"/>
          <w:spacing w:val="-5"/>
          <w:sz w:val="20"/>
        </w:rPr>
        <w:t xml:space="preserve"> </w:t>
      </w:r>
      <w:r>
        <w:rPr>
          <w:color w:val="231F20"/>
          <w:sz w:val="20"/>
        </w:rPr>
        <w:t>and</w:t>
      </w:r>
    </w:p>
    <w:p w14:paraId="058EB3B0" w14:textId="77777777" w:rsidR="00894070" w:rsidRDefault="009B7AFD">
      <w:pPr>
        <w:pStyle w:val="ListParagraph"/>
        <w:numPr>
          <w:ilvl w:val="2"/>
          <w:numId w:val="102"/>
        </w:numPr>
        <w:tabs>
          <w:tab w:val="left" w:pos="2141"/>
          <w:tab w:val="left" w:pos="2142"/>
        </w:tabs>
        <w:spacing w:before="47"/>
        <w:ind w:hanging="340"/>
        <w:rPr>
          <w:sz w:val="20"/>
        </w:rPr>
      </w:pPr>
      <w:r>
        <w:rPr>
          <w:color w:val="231F20"/>
          <w:sz w:val="20"/>
        </w:rPr>
        <w:t>a</w:t>
      </w:r>
      <w:r>
        <w:rPr>
          <w:color w:val="231F20"/>
          <w:spacing w:val="-5"/>
          <w:sz w:val="20"/>
        </w:rPr>
        <w:t xml:space="preserve"> </w:t>
      </w:r>
      <w:r>
        <w:rPr>
          <w:color w:val="231F20"/>
          <w:sz w:val="20"/>
        </w:rPr>
        <w:t>court</w:t>
      </w:r>
      <w:r>
        <w:rPr>
          <w:color w:val="231F20"/>
          <w:spacing w:val="-5"/>
          <w:sz w:val="20"/>
        </w:rPr>
        <w:t xml:space="preserve"> </w:t>
      </w:r>
      <w:r>
        <w:rPr>
          <w:color w:val="231F20"/>
          <w:sz w:val="20"/>
        </w:rPr>
        <w:t>list</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stalking</w:t>
      </w:r>
      <w:r>
        <w:rPr>
          <w:color w:val="231F20"/>
          <w:spacing w:val="-5"/>
          <w:sz w:val="20"/>
        </w:rPr>
        <w:t xml:space="preserve"> </w:t>
      </w:r>
      <w:r>
        <w:rPr>
          <w:color w:val="231F20"/>
          <w:sz w:val="20"/>
        </w:rPr>
        <w:t>matters</w:t>
      </w:r>
      <w:r>
        <w:rPr>
          <w:color w:val="231F20"/>
          <w:spacing w:val="-5"/>
          <w:sz w:val="20"/>
        </w:rPr>
        <w:t xml:space="preserve"> </w:t>
      </w:r>
      <w:r>
        <w:rPr>
          <w:color w:val="231F20"/>
          <w:sz w:val="20"/>
        </w:rPr>
        <w:t>(noting</w:t>
      </w:r>
      <w:r>
        <w:rPr>
          <w:color w:val="231F20"/>
          <w:spacing w:val="-4"/>
          <w:sz w:val="20"/>
        </w:rPr>
        <w:t xml:space="preserve"> </w:t>
      </w:r>
      <w:r>
        <w:rPr>
          <w:color w:val="231F20"/>
          <w:sz w:val="20"/>
        </w:rPr>
        <w:t>that</w:t>
      </w:r>
      <w:r>
        <w:rPr>
          <w:color w:val="231F20"/>
          <w:spacing w:val="-5"/>
          <w:sz w:val="20"/>
        </w:rPr>
        <w:t xml:space="preserve"> </w:t>
      </w:r>
      <w:r>
        <w:rPr>
          <w:color w:val="231F20"/>
          <w:sz w:val="20"/>
        </w:rPr>
        <w:t>these</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not</w:t>
      </w:r>
      <w:r>
        <w:rPr>
          <w:color w:val="231F20"/>
          <w:spacing w:val="-5"/>
          <w:sz w:val="20"/>
        </w:rPr>
        <w:t xml:space="preserve"> </w:t>
      </w:r>
      <w:r>
        <w:rPr>
          <w:color w:val="231F20"/>
          <w:spacing w:val="-3"/>
          <w:sz w:val="20"/>
        </w:rPr>
        <w:t>mutually</w:t>
      </w:r>
      <w:r>
        <w:rPr>
          <w:color w:val="231F20"/>
          <w:spacing w:val="-5"/>
          <w:sz w:val="20"/>
        </w:rPr>
        <w:t xml:space="preserve"> </w:t>
      </w:r>
      <w:r>
        <w:rPr>
          <w:color w:val="231F20"/>
          <w:spacing w:val="-4"/>
          <w:sz w:val="20"/>
        </w:rPr>
        <w:t>exclusive).</w:t>
      </w:r>
    </w:p>
    <w:p w14:paraId="4E90255A" w14:textId="77777777" w:rsidR="00894070" w:rsidRDefault="009B7AFD">
      <w:pPr>
        <w:pStyle w:val="ListParagraph"/>
        <w:numPr>
          <w:ilvl w:val="1"/>
          <w:numId w:val="102"/>
        </w:numPr>
        <w:tabs>
          <w:tab w:val="left" w:pos="1801"/>
          <w:tab w:val="left" w:pos="1802"/>
        </w:tabs>
        <w:spacing w:before="80" w:line="206" w:lineRule="auto"/>
        <w:ind w:right="1787"/>
        <w:rPr>
          <w:sz w:val="20"/>
        </w:rPr>
      </w:pPr>
      <w:r>
        <w:rPr>
          <w:color w:val="231F20"/>
          <w:spacing w:val="-6"/>
          <w:sz w:val="20"/>
        </w:rPr>
        <w:t>We</w:t>
      </w:r>
      <w:r>
        <w:rPr>
          <w:color w:val="231F20"/>
          <w:spacing w:val="-11"/>
          <w:sz w:val="20"/>
        </w:rPr>
        <w:t xml:space="preserve"> </w:t>
      </w:r>
      <w:r>
        <w:rPr>
          <w:color w:val="231F20"/>
          <w:sz w:val="20"/>
        </w:rPr>
        <w:t>think</w:t>
      </w:r>
      <w:r>
        <w:rPr>
          <w:color w:val="231F20"/>
          <w:spacing w:val="-11"/>
          <w:sz w:val="20"/>
        </w:rPr>
        <w:t xml:space="preserve"> </w:t>
      </w:r>
      <w:r>
        <w:rPr>
          <w:color w:val="231F20"/>
          <w:sz w:val="20"/>
        </w:rPr>
        <w:t>that</w:t>
      </w:r>
      <w:r>
        <w:rPr>
          <w:color w:val="231F20"/>
          <w:spacing w:val="-11"/>
          <w:sz w:val="20"/>
        </w:rPr>
        <w:t xml:space="preserve"> </w:t>
      </w:r>
      <w:r>
        <w:rPr>
          <w:color w:val="231F20"/>
          <w:sz w:val="20"/>
        </w:rPr>
        <w:t>both</w:t>
      </w:r>
      <w:r>
        <w:rPr>
          <w:color w:val="231F20"/>
          <w:spacing w:val="-11"/>
          <w:sz w:val="20"/>
        </w:rPr>
        <w:t xml:space="preserve"> </w:t>
      </w:r>
      <w:r>
        <w:rPr>
          <w:color w:val="231F20"/>
          <w:sz w:val="20"/>
        </w:rPr>
        <w:t>these</w:t>
      </w:r>
      <w:r>
        <w:rPr>
          <w:color w:val="231F20"/>
          <w:spacing w:val="-11"/>
          <w:sz w:val="20"/>
        </w:rPr>
        <w:t xml:space="preserve"> </w:t>
      </w:r>
      <w:r>
        <w:rPr>
          <w:color w:val="231F20"/>
          <w:sz w:val="20"/>
        </w:rPr>
        <w:t>options</w:t>
      </w:r>
      <w:r>
        <w:rPr>
          <w:color w:val="231F20"/>
          <w:spacing w:val="-10"/>
          <w:sz w:val="20"/>
        </w:rPr>
        <w:t xml:space="preserve"> </w:t>
      </w:r>
      <w:r>
        <w:rPr>
          <w:color w:val="231F20"/>
          <w:sz w:val="20"/>
        </w:rPr>
        <w:t>should</w:t>
      </w:r>
      <w:r>
        <w:rPr>
          <w:color w:val="231F20"/>
          <w:spacing w:val="-11"/>
          <w:sz w:val="20"/>
        </w:rPr>
        <w:t xml:space="preserve"> </w:t>
      </w:r>
      <w:r>
        <w:rPr>
          <w:color w:val="231F20"/>
          <w:sz w:val="20"/>
        </w:rPr>
        <w:t>be</w:t>
      </w:r>
      <w:r>
        <w:rPr>
          <w:color w:val="231F20"/>
          <w:spacing w:val="-11"/>
          <w:sz w:val="20"/>
        </w:rPr>
        <w:t xml:space="preserve"> </w:t>
      </w:r>
      <w:r>
        <w:rPr>
          <w:color w:val="231F20"/>
          <w:sz w:val="20"/>
        </w:rPr>
        <w:t>considered</w:t>
      </w:r>
      <w:r>
        <w:rPr>
          <w:color w:val="231F20"/>
          <w:spacing w:val="-11"/>
          <w:sz w:val="20"/>
        </w:rPr>
        <w:t xml:space="preserve"> </w:t>
      </w:r>
      <w:r>
        <w:rPr>
          <w:color w:val="231F20"/>
          <w:sz w:val="20"/>
        </w:rPr>
        <w:t>if</w:t>
      </w:r>
      <w:r>
        <w:rPr>
          <w:color w:val="231F20"/>
          <w:spacing w:val="-11"/>
          <w:sz w:val="20"/>
        </w:rPr>
        <w:t xml:space="preserve"> </w:t>
      </w:r>
      <w:r>
        <w:rPr>
          <w:color w:val="231F20"/>
          <w:sz w:val="20"/>
        </w:rPr>
        <w:t>our</w:t>
      </w:r>
      <w:r>
        <w:rPr>
          <w:color w:val="231F20"/>
          <w:spacing w:val="-11"/>
          <w:sz w:val="20"/>
        </w:rPr>
        <w:t xml:space="preserve"> </w:t>
      </w:r>
      <w:r>
        <w:rPr>
          <w:color w:val="231F20"/>
          <w:sz w:val="20"/>
        </w:rPr>
        <w:t>recommendation</w:t>
      </w:r>
      <w:r>
        <w:rPr>
          <w:color w:val="231F20"/>
          <w:spacing w:val="-10"/>
          <w:sz w:val="20"/>
        </w:rPr>
        <w:t xml:space="preserve"> </w:t>
      </w:r>
      <w:r>
        <w:rPr>
          <w:color w:val="231F20"/>
          <w:sz w:val="20"/>
        </w:rPr>
        <w:t>is adopted.</w:t>
      </w:r>
    </w:p>
    <w:p w14:paraId="0AF5D34D" w14:textId="77777777" w:rsidR="00894070" w:rsidRDefault="00894070">
      <w:pPr>
        <w:pStyle w:val="BodyText"/>
        <w:spacing w:before="9"/>
        <w:rPr>
          <w:sz w:val="15"/>
        </w:rPr>
      </w:pPr>
    </w:p>
    <w:p w14:paraId="13B7F024" w14:textId="77777777" w:rsidR="00894070" w:rsidRDefault="009B7AFD">
      <w:pPr>
        <w:pStyle w:val="Heading8"/>
        <w:ind w:left="1007"/>
      </w:pPr>
      <w:r>
        <w:rPr>
          <w:color w:val="231F20"/>
        </w:rPr>
        <w:t>Learning from the specialist family violence courts</w:t>
      </w:r>
    </w:p>
    <w:p w14:paraId="12844D47" w14:textId="77777777" w:rsidR="00894070" w:rsidRDefault="009B7AFD">
      <w:pPr>
        <w:pStyle w:val="ListParagraph"/>
        <w:numPr>
          <w:ilvl w:val="1"/>
          <w:numId w:val="102"/>
        </w:numPr>
        <w:tabs>
          <w:tab w:val="left" w:pos="1801"/>
          <w:tab w:val="left" w:pos="1802"/>
        </w:tabs>
        <w:spacing w:before="127" w:line="206" w:lineRule="auto"/>
        <w:ind w:right="1333"/>
        <w:rPr>
          <w:sz w:val="20"/>
        </w:rPr>
      </w:pPr>
      <w:r>
        <w:rPr>
          <w:color w:val="231F20"/>
          <w:sz w:val="20"/>
        </w:rPr>
        <w:t xml:space="preserve">The specialist </w:t>
      </w:r>
      <w:r>
        <w:rPr>
          <w:color w:val="231F20"/>
          <w:spacing w:val="-3"/>
          <w:sz w:val="20"/>
        </w:rPr>
        <w:t xml:space="preserve">family </w:t>
      </w:r>
      <w:r>
        <w:rPr>
          <w:color w:val="231F20"/>
          <w:sz w:val="20"/>
        </w:rPr>
        <w:t xml:space="preserve">violence courts </w:t>
      </w:r>
      <w:r>
        <w:rPr>
          <w:color w:val="231F20"/>
          <w:spacing w:val="-4"/>
          <w:sz w:val="20"/>
        </w:rPr>
        <w:t xml:space="preserve">have </w:t>
      </w:r>
      <w:proofErr w:type="gramStart"/>
      <w:r>
        <w:rPr>
          <w:color w:val="231F20"/>
          <w:sz w:val="20"/>
        </w:rPr>
        <w:t xml:space="preserve">particular </w:t>
      </w:r>
      <w:r>
        <w:rPr>
          <w:color w:val="231F20"/>
          <w:spacing w:val="-3"/>
          <w:sz w:val="20"/>
        </w:rPr>
        <w:t>features</w:t>
      </w:r>
      <w:proofErr w:type="gramEnd"/>
      <w:r>
        <w:rPr>
          <w:color w:val="231F20"/>
          <w:spacing w:val="-3"/>
          <w:sz w:val="20"/>
        </w:rPr>
        <w:t xml:space="preserve">, infrastructure </w:t>
      </w:r>
      <w:r>
        <w:rPr>
          <w:color w:val="231F20"/>
          <w:sz w:val="20"/>
        </w:rPr>
        <w:t>and regional</w:t>
      </w:r>
      <w:r>
        <w:rPr>
          <w:color w:val="231F20"/>
          <w:spacing w:val="-10"/>
          <w:sz w:val="20"/>
        </w:rPr>
        <w:t xml:space="preserve"> </w:t>
      </w:r>
      <w:r>
        <w:rPr>
          <w:color w:val="231F20"/>
          <w:sz w:val="20"/>
        </w:rPr>
        <w:t>reach.</w:t>
      </w:r>
      <w:r>
        <w:rPr>
          <w:color w:val="231F20"/>
          <w:spacing w:val="-9"/>
          <w:sz w:val="20"/>
        </w:rPr>
        <w:t xml:space="preserve"> </w:t>
      </w:r>
      <w:r>
        <w:rPr>
          <w:color w:val="231F20"/>
          <w:spacing w:val="-6"/>
          <w:sz w:val="20"/>
        </w:rPr>
        <w:t>We</w:t>
      </w:r>
      <w:r>
        <w:rPr>
          <w:color w:val="231F20"/>
          <w:spacing w:val="-9"/>
          <w:sz w:val="20"/>
        </w:rPr>
        <w:t xml:space="preserve"> </w:t>
      </w:r>
      <w:r>
        <w:rPr>
          <w:color w:val="231F20"/>
          <w:sz w:val="20"/>
        </w:rPr>
        <w:t>considered</w:t>
      </w:r>
      <w:r>
        <w:rPr>
          <w:color w:val="231F20"/>
          <w:spacing w:val="-9"/>
          <w:sz w:val="20"/>
        </w:rPr>
        <w:t xml:space="preserve"> </w:t>
      </w:r>
      <w:r>
        <w:rPr>
          <w:color w:val="231F20"/>
          <w:sz w:val="20"/>
        </w:rPr>
        <w:t>whether</w:t>
      </w:r>
      <w:r>
        <w:rPr>
          <w:color w:val="231F20"/>
          <w:spacing w:val="-10"/>
          <w:sz w:val="20"/>
        </w:rPr>
        <w:t xml:space="preserve"> </w:t>
      </w:r>
      <w:r>
        <w:rPr>
          <w:color w:val="231F20"/>
          <w:sz w:val="20"/>
        </w:rPr>
        <w:t>to</w:t>
      </w:r>
      <w:r>
        <w:rPr>
          <w:color w:val="231F20"/>
          <w:spacing w:val="-9"/>
          <w:sz w:val="20"/>
        </w:rPr>
        <w:t xml:space="preserve"> </w:t>
      </w:r>
      <w:r>
        <w:rPr>
          <w:color w:val="231F20"/>
          <w:sz w:val="20"/>
        </w:rPr>
        <w:t>bring</w:t>
      </w:r>
      <w:r>
        <w:rPr>
          <w:color w:val="231F20"/>
          <w:spacing w:val="-9"/>
          <w:sz w:val="20"/>
        </w:rPr>
        <w:t xml:space="preserve"> </w:t>
      </w:r>
      <w:r>
        <w:rPr>
          <w:color w:val="231F20"/>
          <w:spacing w:val="-3"/>
          <w:sz w:val="20"/>
        </w:rPr>
        <w:t>into</w:t>
      </w:r>
      <w:r>
        <w:rPr>
          <w:color w:val="231F20"/>
          <w:spacing w:val="-9"/>
          <w:sz w:val="20"/>
        </w:rPr>
        <w:t xml:space="preserve"> </w:t>
      </w:r>
      <w:r>
        <w:rPr>
          <w:color w:val="231F20"/>
          <w:sz w:val="20"/>
        </w:rPr>
        <w:t>these</w:t>
      </w:r>
      <w:r>
        <w:rPr>
          <w:color w:val="231F20"/>
          <w:spacing w:val="-9"/>
          <w:sz w:val="20"/>
        </w:rPr>
        <w:t xml:space="preserve"> </w:t>
      </w:r>
      <w:r>
        <w:rPr>
          <w:color w:val="231F20"/>
          <w:sz w:val="20"/>
        </w:rPr>
        <w:t>courts</w:t>
      </w:r>
      <w:r>
        <w:rPr>
          <w:color w:val="231F20"/>
          <w:spacing w:val="-10"/>
          <w:sz w:val="20"/>
        </w:rPr>
        <w:t xml:space="preserve"> </w:t>
      </w:r>
      <w:r>
        <w:rPr>
          <w:color w:val="231F20"/>
          <w:sz w:val="20"/>
        </w:rPr>
        <w:t>the</w:t>
      </w:r>
      <w:r>
        <w:rPr>
          <w:color w:val="231F20"/>
          <w:spacing w:val="-9"/>
          <w:sz w:val="20"/>
        </w:rPr>
        <w:t xml:space="preserve"> </w:t>
      </w:r>
      <w:r>
        <w:rPr>
          <w:color w:val="231F20"/>
          <w:spacing w:val="-3"/>
          <w:sz w:val="20"/>
        </w:rPr>
        <w:t>(probably</w:t>
      </w:r>
      <w:r>
        <w:rPr>
          <w:color w:val="231F20"/>
          <w:spacing w:val="-9"/>
          <w:sz w:val="20"/>
        </w:rPr>
        <w:t xml:space="preserve"> </w:t>
      </w:r>
      <w:r>
        <w:rPr>
          <w:color w:val="231F20"/>
          <w:sz w:val="20"/>
        </w:rPr>
        <w:t>small) number</w:t>
      </w:r>
      <w:r>
        <w:rPr>
          <w:color w:val="231F20"/>
          <w:spacing w:val="-8"/>
          <w:sz w:val="20"/>
        </w:rPr>
        <w:t xml:space="preserve"> </w:t>
      </w:r>
      <w:r>
        <w:rPr>
          <w:color w:val="231F20"/>
          <w:sz w:val="20"/>
        </w:rPr>
        <w:t>of</w:t>
      </w:r>
      <w:r>
        <w:rPr>
          <w:color w:val="231F20"/>
          <w:spacing w:val="-8"/>
          <w:sz w:val="20"/>
        </w:rPr>
        <w:t xml:space="preserve"> </w:t>
      </w:r>
      <w:r>
        <w:rPr>
          <w:color w:val="231F20"/>
          <w:sz w:val="20"/>
        </w:rPr>
        <w:t>non-family</w:t>
      </w:r>
      <w:r>
        <w:rPr>
          <w:color w:val="231F20"/>
          <w:spacing w:val="-7"/>
          <w:sz w:val="20"/>
        </w:rPr>
        <w:t xml:space="preserve"> </w:t>
      </w:r>
      <w:r>
        <w:rPr>
          <w:color w:val="231F20"/>
          <w:sz w:val="20"/>
        </w:rPr>
        <w:t>violence</w:t>
      </w:r>
      <w:r>
        <w:rPr>
          <w:color w:val="231F20"/>
          <w:spacing w:val="-8"/>
          <w:sz w:val="20"/>
        </w:rPr>
        <w:t xml:space="preserve"> </w:t>
      </w:r>
      <w:r>
        <w:rPr>
          <w:color w:val="231F20"/>
          <w:sz w:val="20"/>
        </w:rPr>
        <w:t>stalking</w:t>
      </w:r>
      <w:r>
        <w:rPr>
          <w:color w:val="231F20"/>
          <w:spacing w:val="-7"/>
          <w:sz w:val="20"/>
        </w:rPr>
        <w:t xml:space="preserve"> </w:t>
      </w:r>
      <w:r>
        <w:rPr>
          <w:color w:val="231F20"/>
          <w:sz w:val="20"/>
        </w:rPr>
        <w:t>cases</w:t>
      </w:r>
      <w:r>
        <w:rPr>
          <w:color w:val="231F20"/>
          <w:spacing w:val="-8"/>
          <w:sz w:val="20"/>
        </w:rPr>
        <w:t xml:space="preserve"> </w:t>
      </w:r>
      <w:r>
        <w:rPr>
          <w:color w:val="231F20"/>
          <w:sz w:val="20"/>
        </w:rPr>
        <w:t>that</w:t>
      </w:r>
      <w:r>
        <w:rPr>
          <w:color w:val="231F20"/>
          <w:spacing w:val="-8"/>
          <w:sz w:val="20"/>
        </w:rPr>
        <w:t xml:space="preserve"> </w:t>
      </w:r>
      <w:r>
        <w:rPr>
          <w:color w:val="231F20"/>
          <w:spacing w:val="-3"/>
          <w:sz w:val="20"/>
        </w:rPr>
        <w:t>require</w:t>
      </w:r>
      <w:r>
        <w:rPr>
          <w:color w:val="231F20"/>
          <w:spacing w:val="-7"/>
          <w:sz w:val="20"/>
        </w:rPr>
        <w:t xml:space="preserve"> </w:t>
      </w:r>
      <w:r>
        <w:rPr>
          <w:color w:val="231F20"/>
          <w:sz w:val="20"/>
        </w:rPr>
        <w:t>a</w:t>
      </w:r>
      <w:r>
        <w:rPr>
          <w:color w:val="231F20"/>
          <w:spacing w:val="-8"/>
          <w:sz w:val="20"/>
        </w:rPr>
        <w:t xml:space="preserve"> </w:t>
      </w:r>
      <w:r>
        <w:rPr>
          <w:color w:val="231F20"/>
          <w:sz w:val="20"/>
        </w:rPr>
        <w:t>specialised</w:t>
      </w:r>
      <w:r>
        <w:rPr>
          <w:color w:val="231F20"/>
          <w:spacing w:val="-7"/>
          <w:sz w:val="20"/>
        </w:rPr>
        <w:t xml:space="preserve"> </w:t>
      </w:r>
      <w:r>
        <w:rPr>
          <w:color w:val="231F20"/>
          <w:spacing w:val="-2"/>
          <w:sz w:val="20"/>
        </w:rPr>
        <w:t>response.</w:t>
      </w:r>
    </w:p>
    <w:p w14:paraId="7895591B" w14:textId="77777777" w:rsidR="00894070" w:rsidRDefault="009B7AFD">
      <w:pPr>
        <w:pStyle w:val="ListParagraph"/>
        <w:numPr>
          <w:ilvl w:val="1"/>
          <w:numId w:val="102"/>
        </w:numPr>
        <w:tabs>
          <w:tab w:val="left" w:pos="1801"/>
          <w:tab w:val="left" w:pos="1802"/>
        </w:tabs>
        <w:spacing w:before="124" w:line="206" w:lineRule="auto"/>
        <w:ind w:right="1386"/>
        <w:rPr>
          <w:sz w:val="11"/>
        </w:rPr>
      </w:pPr>
      <w:r>
        <w:rPr>
          <w:color w:val="231F20"/>
          <w:spacing w:val="-6"/>
          <w:sz w:val="20"/>
        </w:rPr>
        <w:t xml:space="preserve">We </w:t>
      </w:r>
      <w:r>
        <w:rPr>
          <w:color w:val="231F20"/>
          <w:spacing w:val="-4"/>
          <w:sz w:val="20"/>
        </w:rPr>
        <w:t xml:space="preserve">were </w:t>
      </w:r>
      <w:r>
        <w:rPr>
          <w:color w:val="231F20"/>
          <w:spacing w:val="-3"/>
          <w:sz w:val="20"/>
        </w:rPr>
        <w:t xml:space="preserve">told </w:t>
      </w:r>
      <w:r>
        <w:rPr>
          <w:color w:val="231F20"/>
          <w:sz w:val="20"/>
        </w:rPr>
        <w:t xml:space="preserve">many of the </w:t>
      </w:r>
      <w:r>
        <w:rPr>
          <w:color w:val="231F20"/>
          <w:spacing w:val="-3"/>
          <w:sz w:val="20"/>
        </w:rPr>
        <w:t xml:space="preserve">features </w:t>
      </w:r>
      <w:r>
        <w:rPr>
          <w:color w:val="231F20"/>
          <w:sz w:val="20"/>
        </w:rPr>
        <w:t xml:space="preserve">of the </w:t>
      </w:r>
      <w:r>
        <w:rPr>
          <w:color w:val="231F20"/>
          <w:spacing w:val="-3"/>
          <w:sz w:val="20"/>
        </w:rPr>
        <w:t xml:space="preserve">family </w:t>
      </w:r>
      <w:r>
        <w:rPr>
          <w:color w:val="231F20"/>
          <w:sz w:val="20"/>
        </w:rPr>
        <w:t xml:space="preserve">violence courts </w:t>
      </w:r>
      <w:r>
        <w:rPr>
          <w:color w:val="231F20"/>
          <w:spacing w:val="-3"/>
          <w:sz w:val="20"/>
        </w:rPr>
        <w:t xml:space="preserve">would work well for </w:t>
      </w:r>
      <w:r>
        <w:rPr>
          <w:color w:val="231F20"/>
          <w:sz w:val="20"/>
        </w:rPr>
        <w:t xml:space="preserve">stalking </w:t>
      </w:r>
      <w:r>
        <w:rPr>
          <w:color w:val="231F20"/>
          <w:spacing w:val="-3"/>
          <w:sz w:val="20"/>
        </w:rPr>
        <w:t xml:space="preserve">matters—for example, </w:t>
      </w:r>
      <w:r>
        <w:rPr>
          <w:color w:val="231F20"/>
          <w:sz w:val="20"/>
        </w:rPr>
        <w:t>dedicated magistrates and case management,</w:t>
      </w:r>
      <w:proofErr w:type="gramStart"/>
      <w:r>
        <w:rPr>
          <w:color w:val="231F20"/>
          <w:position w:val="7"/>
          <w:sz w:val="11"/>
        </w:rPr>
        <w:t>81</w:t>
      </w:r>
      <w:proofErr w:type="gramEnd"/>
      <w:r>
        <w:rPr>
          <w:color w:val="231F20"/>
          <w:position w:val="7"/>
          <w:sz w:val="11"/>
        </w:rPr>
        <w:t xml:space="preserve"> </w:t>
      </w:r>
      <w:r>
        <w:rPr>
          <w:color w:val="231F20"/>
          <w:sz w:val="20"/>
        </w:rPr>
        <w:t>and connections with services.</w:t>
      </w:r>
      <w:r>
        <w:rPr>
          <w:color w:val="231F20"/>
          <w:position w:val="7"/>
          <w:sz w:val="11"/>
        </w:rPr>
        <w:t xml:space="preserve">82 </w:t>
      </w:r>
      <w:r>
        <w:rPr>
          <w:color w:val="231F20"/>
          <w:sz w:val="20"/>
        </w:rPr>
        <w:t xml:space="preserve">The </w:t>
      </w:r>
      <w:r>
        <w:rPr>
          <w:color w:val="231F20"/>
          <w:spacing w:val="-3"/>
          <w:sz w:val="20"/>
        </w:rPr>
        <w:t xml:space="preserve">family </w:t>
      </w:r>
      <w:r>
        <w:rPr>
          <w:color w:val="231F20"/>
          <w:sz w:val="20"/>
        </w:rPr>
        <w:t xml:space="preserve">violence courts </w:t>
      </w:r>
      <w:r>
        <w:rPr>
          <w:color w:val="231F20"/>
          <w:spacing w:val="-4"/>
          <w:sz w:val="20"/>
        </w:rPr>
        <w:t xml:space="preserve">were </w:t>
      </w:r>
      <w:r>
        <w:rPr>
          <w:color w:val="231F20"/>
          <w:spacing w:val="-3"/>
          <w:sz w:val="20"/>
        </w:rPr>
        <w:t xml:space="preserve">viewed </w:t>
      </w:r>
      <w:r>
        <w:rPr>
          <w:color w:val="231F20"/>
          <w:sz w:val="20"/>
        </w:rPr>
        <w:t xml:space="preserve">as </w:t>
      </w:r>
      <w:r>
        <w:rPr>
          <w:color w:val="231F20"/>
          <w:spacing w:val="-3"/>
          <w:sz w:val="20"/>
        </w:rPr>
        <w:t xml:space="preserve">well </w:t>
      </w:r>
      <w:r>
        <w:rPr>
          <w:color w:val="231F20"/>
          <w:sz w:val="20"/>
        </w:rPr>
        <w:t>suited</w:t>
      </w:r>
      <w:r>
        <w:rPr>
          <w:color w:val="231F20"/>
          <w:spacing w:val="-37"/>
          <w:sz w:val="20"/>
        </w:rPr>
        <w:t xml:space="preserve"> </w:t>
      </w:r>
      <w:r>
        <w:rPr>
          <w:color w:val="231F20"/>
          <w:sz w:val="20"/>
        </w:rPr>
        <w:t>to deal</w:t>
      </w:r>
      <w:r>
        <w:rPr>
          <w:color w:val="231F20"/>
          <w:spacing w:val="-6"/>
          <w:sz w:val="20"/>
        </w:rPr>
        <w:t xml:space="preserve"> </w:t>
      </w:r>
      <w:r>
        <w:rPr>
          <w:color w:val="231F20"/>
          <w:sz w:val="20"/>
        </w:rPr>
        <w:t>with</w:t>
      </w:r>
      <w:r>
        <w:rPr>
          <w:color w:val="231F20"/>
          <w:spacing w:val="-5"/>
          <w:sz w:val="20"/>
        </w:rPr>
        <w:t xml:space="preserve"> </w:t>
      </w:r>
      <w:r>
        <w:rPr>
          <w:color w:val="231F20"/>
          <w:sz w:val="20"/>
        </w:rPr>
        <w:t>the</w:t>
      </w:r>
      <w:r>
        <w:rPr>
          <w:color w:val="231F20"/>
          <w:spacing w:val="-5"/>
          <w:sz w:val="20"/>
        </w:rPr>
        <w:t xml:space="preserve"> </w:t>
      </w:r>
      <w:r>
        <w:rPr>
          <w:color w:val="231F20"/>
          <w:sz w:val="20"/>
        </w:rPr>
        <w:t>issues</w:t>
      </w:r>
      <w:r>
        <w:rPr>
          <w:color w:val="231F20"/>
          <w:spacing w:val="-5"/>
          <w:sz w:val="20"/>
        </w:rPr>
        <w:t xml:space="preserve"> </w:t>
      </w:r>
      <w:r>
        <w:rPr>
          <w:color w:val="231F20"/>
          <w:sz w:val="20"/>
        </w:rPr>
        <w:t>that</w:t>
      </w:r>
      <w:r>
        <w:rPr>
          <w:color w:val="231F20"/>
          <w:spacing w:val="-5"/>
          <w:sz w:val="20"/>
        </w:rPr>
        <w:t xml:space="preserve"> </w:t>
      </w:r>
      <w:r>
        <w:rPr>
          <w:color w:val="231F20"/>
          <w:sz w:val="20"/>
        </w:rPr>
        <w:t>commonly</w:t>
      </w:r>
      <w:r>
        <w:rPr>
          <w:color w:val="231F20"/>
          <w:spacing w:val="-5"/>
          <w:sz w:val="20"/>
        </w:rPr>
        <w:t xml:space="preserve"> </w:t>
      </w:r>
      <w:r>
        <w:rPr>
          <w:color w:val="231F20"/>
          <w:sz w:val="20"/>
        </w:rPr>
        <w:t>arise</w:t>
      </w:r>
      <w:r>
        <w:rPr>
          <w:color w:val="231F20"/>
          <w:spacing w:val="-5"/>
          <w:sz w:val="20"/>
        </w:rPr>
        <w:t xml:space="preserve"> </w:t>
      </w:r>
      <w:r>
        <w:rPr>
          <w:color w:val="231F20"/>
          <w:sz w:val="20"/>
        </w:rPr>
        <w:t>in</w:t>
      </w:r>
      <w:r>
        <w:rPr>
          <w:color w:val="231F20"/>
          <w:spacing w:val="-5"/>
          <w:sz w:val="20"/>
        </w:rPr>
        <w:t xml:space="preserve"> </w:t>
      </w:r>
      <w:r>
        <w:rPr>
          <w:color w:val="231F20"/>
          <w:sz w:val="20"/>
        </w:rPr>
        <w:t>stalking</w:t>
      </w:r>
      <w:r>
        <w:rPr>
          <w:color w:val="231F20"/>
          <w:spacing w:val="-5"/>
          <w:sz w:val="20"/>
        </w:rPr>
        <w:t xml:space="preserve"> </w:t>
      </w:r>
      <w:r>
        <w:rPr>
          <w:color w:val="231F20"/>
          <w:sz w:val="20"/>
        </w:rPr>
        <w:t>matters.</w:t>
      </w:r>
      <w:r>
        <w:rPr>
          <w:color w:val="231F20"/>
          <w:position w:val="7"/>
          <w:sz w:val="11"/>
        </w:rPr>
        <w:t>83</w:t>
      </w:r>
    </w:p>
    <w:p w14:paraId="1488697B" w14:textId="77777777" w:rsidR="00894070" w:rsidRDefault="009B7AFD">
      <w:pPr>
        <w:pStyle w:val="ListParagraph"/>
        <w:numPr>
          <w:ilvl w:val="1"/>
          <w:numId w:val="102"/>
        </w:numPr>
        <w:tabs>
          <w:tab w:val="left" w:pos="1801"/>
          <w:tab w:val="left" w:pos="1802"/>
        </w:tabs>
        <w:spacing w:before="125" w:line="206" w:lineRule="auto"/>
        <w:ind w:right="1216"/>
        <w:rPr>
          <w:sz w:val="20"/>
        </w:rPr>
      </w:pPr>
      <w:r>
        <w:rPr>
          <w:color w:val="231F20"/>
          <w:sz w:val="20"/>
        </w:rPr>
        <w:t>The</w:t>
      </w:r>
      <w:r>
        <w:rPr>
          <w:color w:val="231F20"/>
          <w:spacing w:val="-8"/>
          <w:sz w:val="20"/>
        </w:rPr>
        <w:t xml:space="preserve"> </w:t>
      </w:r>
      <w:r>
        <w:rPr>
          <w:color w:val="231F20"/>
          <w:spacing w:val="-3"/>
          <w:sz w:val="20"/>
        </w:rPr>
        <w:t>Magistrates’</w:t>
      </w:r>
      <w:r>
        <w:rPr>
          <w:color w:val="231F20"/>
          <w:spacing w:val="-7"/>
          <w:sz w:val="20"/>
        </w:rPr>
        <w:t xml:space="preserve"> </w:t>
      </w:r>
      <w:r>
        <w:rPr>
          <w:color w:val="231F20"/>
          <w:sz w:val="20"/>
        </w:rPr>
        <w:t>Court</w:t>
      </w:r>
      <w:r>
        <w:rPr>
          <w:color w:val="231F20"/>
          <w:spacing w:val="-7"/>
          <w:sz w:val="20"/>
        </w:rPr>
        <w:t xml:space="preserve"> </w:t>
      </w:r>
      <w:r>
        <w:rPr>
          <w:color w:val="231F20"/>
          <w:spacing w:val="-3"/>
          <w:sz w:val="20"/>
        </w:rPr>
        <w:t>told</w:t>
      </w:r>
      <w:r>
        <w:rPr>
          <w:color w:val="231F20"/>
          <w:spacing w:val="-7"/>
          <w:sz w:val="20"/>
        </w:rPr>
        <w:t xml:space="preserve"> </w:t>
      </w:r>
      <w:r>
        <w:rPr>
          <w:color w:val="231F20"/>
          <w:sz w:val="20"/>
        </w:rPr>
        <w:t>us</w:t>
      </w:r>
      <w:r>
        <w:rPr>
          <w:color w:val="231F20"/>
          <w:spacing w:val="-7"/>
          <w:sz w:val="20"/>
        </w:rPr>
        <w:t xml:space="preserve"> </w:t>
      </w:r>
      <w:r>
        <w:rPr>
          <w:color w:val="231F20"/>
          <w:sz w:val="20"/>
        </w:rPr>
        <w:t>about</w:t>
      </w:r>
      <w:r>
        <w:rPr>
          <w:color w:val="231F20"/>
          <w:spacing w:val="-7"/>
          <w:sz w:val="20"/>
        </w:rPr>
        <w:t xml:space="preserve"> </w:t>
      </w:r>
      <w:r>
        <w:rPr>
          <w:color w:val="231F20"/>
          <w:sz w:val="20"/>
        </w:rPr>
        <w:t>aspects</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specialist</w:t>
      </w:r>
      <w:r>
        <w:rPr>
          <w:color w:val="231F20"/>
          <w:spacing w:val="-7"/>
          <w:sz w:val="20"/>
        </w:rPr>
        <w:t xml:space="preserve"> </w:t>
      </w:r>
      <w:r>
        <w:rPr>
          <w:color w:val="231F20"/>
          <w:spacing w:val="-3"/>
          <w:sz w:val="20"/>
        </w:rPr>
        <w:t>family</w:t>
      </w:r>
      <w:r>
        <w:rPr>
          <w:color w:val="231F20"/>
          <w:spacing w:val="-7"/>
          <w:sz w:val="20"/>
        </w:rPr>
        <w:t xml:space="preserve"> </w:t>
      </w:r>
      <w:r>
        <w:rPr>
          <w:color w:val="231F20"/>
          <w:sz w:val="20"/>
        </w:rPr>
        <w:t>violence</w:t>
      </w:r>
      <w:r>
        <w:rPr>
          <w:color w:val="231F20"/>
          <w:spacing w:val="-7"/>
          <w:sz w:val="20"/>
        </w:rPr>
        <w:t xml:space="preserve"> </w:t>
      </w:r>
      <w:r>
        <w:rPr>
          <w:color w:val="231F20"/>
          <w:sz w:val="20"/>
        </w:rPr>
        <w:t>approach that</w:t>
      </w:r>
      <w:r>
        <w:rPr>
          <w:color w:val="231F20"/>
          <w:spacing w:val="-7"/>
          <w:sz w:val="20"/>
        </w:rPr>
        <w:t xml:space="preserve"> </w:t>
      </w:r>
      <w:r>
        <w:rPr>
          <w:color w:val="231F20"/>
          <w:sz w:val="20"/>
        </w:rPr>
        <w:t>might</w:t>
      </w:r>
      <w:r>
        <w:rPr>
          <w:color w:val="231F20"/>
          <w:spacing w:val="-6"/>
          <w:sz w:val="20"/>
        </w:rPr>
        <w:t xml:space="preserve"> </w:t>
      </w:r>
      <w:r>
        <w:rPr>
          <w:color w:val="231F20"/>
          <w:sz w:val="20"/>
        </w:rPr>
        <w:t>be</w:t>
      </w:r>
      <w:r>
        <w:rPr>
          <w:color w:val="231F20"/>
          <w:spacing w:val="-6"/>
          <w:sz w:val="20"/>
        </w:rPr>
        <w:t xml:space="preserve"> </w:t>
      </w:r>
      <w:r>
        <w:rPr>
          <w:color w:val="231F20"/>
          <w:sz w:val="20"/>
        </w:rPr>
        <w:t>replicated</w:t>
      </w:r>
      <w:r>
        <w:rPr>
          <w:color w:val="231F20"/>
          <w:spacing w:val="-6"/>
          <w:sz w:val="20"/>
        </w:rPr>
        <w:t xml:space="preserve"> </w:t>
      </w:r>
      <w:r>
        <w:rPr>
          <w:color w:val="231F20"/>
          <w:sz w:val="20"/>
        </w:rPr>
        <w:t>and</w:t>
      </w:r>
      <w:r>
        <w:rPr>
          <w:color w:val="231F20"/>
          <w:spacing w:val="-6"/>
          <w:sz w:val="20"/>
        </w:rPr>
        <w:t xml:space="preserve"> </w:t>
      </w:r>
      <w:r>
        <w:rPr>
          <w:color w:val="231F20"/>
          <w:sz w:val="20"/>
        </w:rPr>
        <w:t>useful</w:t>
      </w:r>
      <w:r>
        <w:rPr>
          <w:color w:val="231F20"/>
          <w:spacing w:val="-7"/>
          <w:sz w:val="20"/>
        </w:rPr>
        <w:t xml:space="preserve"> </w:t>
      </w:r>
      <w:r>
        <w:rPr>
          <w:color w:val="231F20"/>
          <w:sz w:val="20"/>
        </w:rPr>
        <w:t>in</w:t>
      </w:r>
      <w:r>
        <w:rPr>
          <w:color w:val="231F20"/>
          <w:spacing w:val="-6"/>
          <w:sz w:val="20"/>
        </w:rPr>
        <w:t xml:space="preserve"> </w:t>
      </w:r>
      <w:r>
        <w:rPr>
          <w:color w:val="231F20"/>
          <w:sz w:val="20"/>
        </w:rPr>
        <w:t>the</w:t>
      </w:r>
      <w:r>
        <w:rPr>
          <w:color w:val="231F20"/>
          <w:spacing w:val="-6"/>
          <w:sz w:val="20"/>
        </w:rPr>
        <w:t xml:space="preserve"> </w:t>
      </w:r>
      <w:r>
        <w:rPr>
          <w:color w:val="231F20"/>
          <w:sz w:val="20"/>
        </w:rPr>
        <w:t>management</w:t>
      </w:r>
      <w:r>
        <w:rPr>
          <w:color w:val="231F20"/>
          <w:spacing w:val="-6"/>
          <w:sz w:val="20"/>
        </w:rPr>
        <w:t xml:space="preserve"> </w:t>
      </w:r>
      <w:r>
        <w:rPr>
          <w:color w:val="231F20"/>
          <w:sz w:val="20"/>
        </w:rPr>
        <w:t>of</w:t>
      </w:r>
      <w:r>
        <w:rPr>
          <w:color w:val="231F20"/>
          <w:spacing w:val="-6"/>
          <w:sz w:val="20"/>
        </w:rPr>
        <w:t xml:space="preserve"> </w:t>
      </w:r>
      <w:r>
        <w:rPr>
          <w:color w:val="231F20"/>
          <w:sz w:val="20"/>
        </w:rPr>
        <w:t>stalking</w:t>
      </w:r>
      <w:r>
        <w:rPr>
          <w:color w:val="231F20"/>
          <w:spacing w:val="-6"/>
          <w:sz w:val="20"/>
        </w:rPr>
        <w:t xml:space="preserve"> </w:t>
      </w:r>
      <w:r>
        <w:rPr>
          <w:color w:val="231F20"/>
          <w:sz w:val="20"/>
        </w:rPr>
        <w:t>cases:</w:t>
      </w:r>
    </w:p>
    <w:p w14:paraId="50435326" w14:textId="77777777" w:rsidR="00894070" w:rsidRDefault="009F6793">
      <w:pPr>
        <w:pStyle w:val="BodyText"/>
        <w:spacing w:before="3"/>
        <w:rPr>
          <w:sz w:val="12"/>
        </w:rPr>
      </w:pPr>
      <w:r>
        <w:pict w14:anchorId="133BE623">
          <v:line id="_x0000_s1340" style="position:absolute;z-index:251654144;mso-wrap-distance-left:0;mso-wrap-distance-right:0;mso-position-horizontal-relative:page" from="79.35pt,10.95pt" to="515.9pt,10.95pt" strokecolor="#f8cabc" strokeweight="1pt">
            <w10:wrap type="topAndBottom" anchorx="page"/>
          </v:line>
        </w:pict>
      </w:r>
    </w:p>
    <w:p w14:paraId="41D9ACE0" w14:textId="77777777" w:rsidR="00894070" w:rsidRDefault="00894070">
      <w:pPr>
        <w:pStyle w:val="BodyText"/>
        <w:rPr>
          <w:sz w:val="5"/>
        </w:rPr>
      </w:pPr>
    </w:p>
    <w:p w14:paraId="56C9DF92" w14:textId="77777777" w:rsidR="00894070" w:rsidRDefault="00894070">
      <w:pPr>
        <w:rPr>
          <w:sz w:val="5"/>
        </w:rPr>
        <w:sectPr w:rsidR="00894070">
          <w:pgSz w:w="11910" w:h="16840"/>
          <w:pgMar w:top="860" w:right="420" w:bottom="280" w:left="580" w:header="567" w:footer="0" w:gutter="0"/>
          <w:cols w:space="720"/>
        </w:sectPr>
      </w:pPr>
    </w:p>
    <w:p w14:paraId="1992C7D9" w14:textId="77777777" w:rsidR="00894070" w:rsidRDefault="00894070">
      <w:pPr>
        <w:pStyle w:val="BodyText"/>
        <w:rPr>
          <w:sz w:val="28"/>
        </w:rPr>
      </w:pPr>
    </w:p>
    <w:p w14:paraId="2F098136" w14:textId="77777777" w:rsidR="00894070" w:rsidRDefault="00894070">
      <w:pPr>
        <w:pStyle w:val="BodyText"/>
        <w:rPr>
          <w:sz w:val="28"/>
        </w:rPr>
      </w:pPr>
    </w:p>
    <w:p w14:paraId="1AAEC2FF" w14:textId="77777777" w:rsidR="00894070" w:rsidRDefault="00894070">
      <w:pPr>
        <w:pStyle w:val="BodyText"/>
        <w:rPr>
          <w:sz w:val="28"/>
        </w:rPr>
      </w:pPr>
    </w:p>
    <w:p w14:paraId="3D7B63F7" w14:textId="77777777" w:rsidR="00894070" w:rsidRDefault="00894070">
      <w:pPr>
        <w:pStyle w:val="BodyText"/>
        <w:spacing w:before="9"/>
        <w:rPr>
          <w:sz w:val="23"/>
        </w:rPr>
      </w:pPr>
    </w:p>
    <w:p w14:paraId="41B6BE77" w14:textId="77777777" w:rsidR="00894070" w:rsidRDefault="009B7AFD">
      <w:pPr>
        <w:pStyle w:val="Heading8"/>
        <w:ind w:left="140"/>
      </w:pPr>
      <w:r>
        <w:rPr>
          <w:color w:val="EA5B50"/>
        </w:rPr>
        <w:t>104</w:t>
      </w:r>
    </w:p>
    <w:p w14:paraId="1AB5BCDD" w14:textId="77777777" w:rsidR="00894070" w:rsidRDefault="009B7AFD">
      <w:pPr>
        <w:pStyle w:val="ListParagraph"/>
        <w:numPr>
          <w:ilvl w:val="0"/>
          <w:numId w:val="93"/>
        </w:numPr>
        <w:tabs>
          <w:tab w:val="left" w:pos="933"/>
          <w:tab w:val="left" w:pos="934"/>
        </w:tabs>
        <w:spacing w:before="21" w:line="170" w:lineRule="exact"/>
        <w:ind w:left="933" w:hanging="793"/>
        <w:jc w:val="left"/>
        <w:rPr>
          <w:sz w:val="13"/>
        </w:rPr>
      </w:pPr>
      <w:r>
        <w:rPr>
          <w:color w:val="231F20"/>
          <w:spacing w:val="3"/>
          <w:sz w:val="13"/>
        </w:rPr>
        <w:br w:type="column"/>
      </w:r>
      <w:r>
        <w:rPr>
          <w:color w:val="231F20"/>
          <w:sz w:val="13"/>
        </w:rPr>
        <w:t xml:space="preserve">Consultation 34 (Magistrates’ </w:t>
      </w:r>
      <w:r>
        <w:rPr>
          <w:color w:val="231F20"/>
          <w:spacing w:val="2"/>
          <w:sz w:val="13"/>
        </w:rPr>
        <w:t xml:space="preserve">Court </w:t>
      </w:r>
      <w:r>
        <w:rPr>
          <w:color w:val="231F20"/>
          <w:sz w:val="13"/>
        </w:rPr>
        <w:t xml:space="preserve">of Victoria (No 2)). The Magistrates’ </w:t>
      </w:r>
      <w:r>
        <w:rPr>
          <w:color w:val="231F20"/>
          <w:spacing w:val="2"/>
          <w:sz w:val="13"/>
        </w:rPr>
        <w:t xml:space="preserve">Court also emphasised </w:t>
      </w:r>
      <w:r>
        <w:rPr>
          <w:color w:val="231F20"/>
          <w:sz w:val="13"/>
        </w:rPr>
        <w:t>as a key feature the integration</w:t>
      </w:r>
      <w:r>
        <w:rPr>
          <w:color w:val="231F20"/>
          <w:spacing w:val="1"/>
          <w:sz w:val="13"/>
        </w:rPr>
        <w:t xml:space="preserve"> </w:t>
      </w:r>
      <w:r>
        <w:rPr>
          <w:color w:val="231F20"/>
          <w:sz w:val="13"/>
        </w:rPr>
        <w:t>of</w:t>
      </w:r>
    </w:p>
    <w:p w14:paraId="491B37C3" w14:textId="77777777" w:rsidR="00894070" w:rsidRDefault="009B7AFD">
      <w:pPr>
        <w:spacing w:line="160" w:lineRule="exact"/>
        <w:ind w:left="933"/>
        <w:rPr>
          <w:sz w:val="13"/>
        </w:rPr>
      </w:pPr>
      <w:r>
        <w:rPr>
          <w:color w:val="231F20"/>
          <w:sz w:val="13"/>
        </w:rPr>
        <w:t>the MARAM framework.</w:t>
      </w:r>
    </w:p>
    <w:p w14:paraId="343706A3" w14:textId="77777777" w:rsidR="00894070" w:rsidRDefault="009B7AFD">
      <w:pPr>
        <w:pStyle w:val="ListParagraph"/>
        <w:numPr>
          <w:ilvl w:val="0"/>
          <w:numId w:val="93"/>
        </w:numPr>
        <w:tabs>
          <w:tab w:val="left" w:pos="933"/>
          <w:tab w:val="left" w:pos="934"/>
        </w:tabs>
        <w:spacing w:before="7" w:line="213" w:lineRule="auto"/>
        <w:ind w:left="933" w:right="1300" w:hanging="793"/>
        <w:jc w:val="left"/>
        <w:rPr>
          <w:sz w:val="13"/>
        </w:rPr>
      </w:pPr>
      <w:r>
        <w:rPr>
          <w:color w:val="231F20"/>
          <w:sz w:val="13"/>
        </w:rPr>
        <w:t xml:space="preserve">The obligation of employers to take precautions to manage risks to the health and safety of employees, including those arising from the nature of the work was considered in </w:t>
      </w:r>
      <w:r>
        <w:rPr>
          <w:i/>
          <w:color w:val="231F20"/>
          <w:sz w:val="13"/>
        </w:rPr>
        <w:t xml:space="preserve">Kozarov v Victoria </w:t>
      </w:r>
      <w:r>
        <w:rPr>
          <w:color w:val="231F20"/>
          <w:sz w:val="13"/>
        </w:rPr>
        <w:t xml:space="preserve">[2022] HCA 12, (2022) </w:t>
      </w:r>
      <w:r>
        <w:rPr>
          <w:color w:val="231F20"/>
          <w:spacing w:val="2"/>
          <w:sz w:val="13"/>
        </w:rPr>
        <w:t xml:space="preserve">399 </w:t>
      </w:r>
      <w:r>
        <w:rPr>
          <w:color w:val="231F20"/>
          <w:sz w:val="13"/>
        </w:rPr>
        <w:t xml:space="preserve">ALR 573. That case concerned a </w:t>
      </w:r>
      <w:r>
        <w:rPr>
          <w:color w:val="231F20"/>
          <w:spacing w:val="2"/>
          <w:sz w:val="13"/>
        </w:rPr>
        <w:t xml:space="preserve">negligence </w:t>
      </w:r>
      <w:r>
        <w:rPr>
          <w:color w:val="231F20"/>
          <w:sz w:val="13"/>
        </w:rPr>
        <w:t xml:space="preserve">claim by a former solicitor of the Victorian Office of </w:t>
      </w:r>
      <w:r>
        <w:rPr>
          <w:color w:val="231F20"/>
          <w:spacing w:val="2"/>
          <w:sz w:val="13"/>
        </w:rPr>
        <w:t xml:space="preserve">Public </w:t>
      </w:r>
      <w:r>
        <w:rPr>
          <w:color w:val="231F20"/>
          <w:sz w:val="13"/>
        </w:rPr>
        <w:t xml:space="preserve">Prosecutions who had worked in </w:t>
      </w:r>
      <w:r>
        <w:rPr>
          <w:color w:val="231F20"/>
          <w:spacing w:val="2"/>
          <w:sz w:val="13"/>
        </w:rPr>
        <w:t xml:space="preserve">its Specialist </w:t>
      </w:r>
      <w:r>
        <w:rPr>
          <w:color w:val="231F20"/>
          <w:sz w:val="13"/>
        </w:rPr>
        <w:t>Sexual Offences Unit.</w:t>
      </w:r>
    </w:p>
    <w:p w14:paraId="3E066A0A" w14:textId="77777777" w:rsidR="00894070" w:rsidRDefault="009B7AFD">
      <w:pPr>
        <w:pStyle w:val="ListParagraph"/>
        <w:numPr>
          <w:ilvl w:val="0"/>
          <w:numId w:val="93"/>
        </w:numPr>
        <w:tabs>
          <w:tab w:val="left" w:pos="933"/>
          <w:tab w:val="left" w:pos="934"/>
        </w:tabs>
        <w:spacing w:line="213" w:lineRule="auto"/>
        <w:ind w:left="933" w:right="1421" w:hanging="793"/>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 xml:space="preserve">No 42, September 2021) </w:t>
      </w:r>
      <w:r>
        <w:rPr>
          <w:color w:val="231F20"/>
          <w:spacing w:val="2"/>
          <w:sz w:val="13"/>
        </w:rPr>
        <w:t>[18.29].</w:t>
      </w:r>
    </w:p>
    <w:p w14:paraId="171EDEC6" w14:textId="77777777" w:rsidR="00894070" w:rsidRDefault="009B7AFD">
      <w:pPr>
        <w:pStyle w:val="ListParagraph"/>
        <w:numPr>
          <w:ilvl w:val="0"/>
          <w:numId w:val="93"/>
        </w:numPr>
        <w:tabs>
          <w:tab w:val="left" w:pos="933"/>
          <w:tab w:val="left" w:pos="934"/>
        </w:tabs>
        <w:spacing w:line="152" w:lineRule="exact"/>
        <w:ind w:left="933" w:hanging="793"/>
        <w:jc w:val="left"/>
        <w:rPr>
          <w:sz w:val="13"/>
        </w:rPr>
      </w:pPr>
      <w:r>
        <w:rPr>
          <w:color w:val="231F20"/>
          <w:sz w:val="13"/>
        </w:rPr>
        <w:t>Consultation 7 (Risk roundtable).</w:t>
      </w:r>
    </w:p>
    <w:p w14:paraId="1654FCF1" w14:textId="77777777" w:rsidR="00894070" w:rsidRDefault="009B7AFD">
      <w:pPr>
        <w:pStyle w:val="ListParagraph"/>
        <w:numPr>
          <w:ilvl w:val="0"/>
          <w:numId w:val="93"/>
        </w:numPr>
        <w:tabs>
          <w:tab w:val="left" w:pos="933"/>
          <w:tab w:val="left" w:pos="934"/>
        </w:tabs>
        <w:spacing w:line="160" w:lineRule="exact"/>
        <w:ind w:left="933" w:hanging="793"/>
        <w:jc w:val="left"/>
        <w:rPr>
          <w:sz w:val="13"/>
        </w:rPr>
      </w:pPr>
      <w:r>
        <w:rPr>
          <w:color w:val="231F20"/>
          <w:sz w:val="13"/>
        </w:rPr>
        <w:t>Consultation 13 (Victoria Legal</w:t>
      </w:r>
      <w:r>
        <w:rPr>
          <w:color w:val="231F20"/>
          <w:spacing w:val="1"/>
          <w:sz w:val="13"/>
        </w:rPr>
        <w:t xml:space="preserve"> </w:t>
      </w:r>
      <w:r>
        <w:rPr>
          <w:color w:val="231F20"/>
          <w:sz w:val="13"/>
        </w:rPr>
        <w:t>Aid).</w:t>
      </w:r>
    </w:p>
    <w:p w14:paraId="55786711" w14:textId="77777777" w:rsidR="00894070" w:rsidRDefault="009B7AFD">
      <w:pPr>
        <w:pStyle w:val="ListParagraph"/>
        <w:numPr>
          <w:ilvl w:val="0"/>
          <w:numId w:val="93"/>
        </w:numPr>
        <w:tabs>
          <w:tab w:val="left" w:pos="933"/>
          <w:tab w:val="left" w:pos="934"/>
        </w:tabs>
        <w:spacing w:line="170" w:lineRule="exact"/>
        <w:ind w:left="933" w:hanging="793"/>
        <w:jc w:val="left"/>
        <w:rPr>
          <w:sz w:val="13"/>
        </w:rPr>
      </w:pPr>
      <w:r>
        <w:rPr>
          <w:color w:val="231F20"/>
          <w:spacing w:val="2"/>
          <w:sz w:val="13"/>
        </w:rPr>
        <w:t xml:space="preserve">Submission </w:t>
      </w:r>
      <w:r>
        <w:rPr>
          <w:color w:val="231F20"/>
          <w:sz w:val="13"/>
        </w:rPr>
        <w:t>98 (Law Institute of</w:t>
      </w:r>
      <w:r>
        <w:rPr>
          <w:color w:val="231F20"/>
          <w:spacing w:val="-2"/>
          <w:sz w:val="13"/>
        </w:rPr>
        <w:t xml:space="preserve"> </w:t>
      </w:r>
      <w:r>
        <w:rPr>
          <w:color w:val="231F20"/>
          <w:sz w:val="13"/>
        </w:rPr>
        <w:t>Victoria).</w:t>
      </w:r>
    </w:p>
    <w:p w14:paraId="0716D5E4"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76" w:space="292"/>
            <w:col w:w="10042"/>
          </w:cols>
        </w:sectPr>
      </w:pPr>
    </w:p>
    <w:p w14:paraId="12182FB9" w14:textId="77777777" w:rsidR="00894070" w:rsidRDefault="00894070">
      <w:pPr>
        <w:pStyle w:val="BodyText"/>
      </w:pPr>
    </w:p>
    <w:p w14:paraId="44EB7FE8" w14:textId="77777777" w:rsidR="00894070" w:rsidRDefault="00894070">
      <w:pPr>
        <w:pStyle w:val="BodyText"/>
      </w:pPr>
    </w:p>
    <w:p w14:paraId="1996CDDC" w14:textId="77777777" w:rsidR="00894070" w:rsidRDefault="00894070">
      <w:pPr>
        <w:pStyle w:val="BodyText"/>
      </w:pPr>
    </w:p>
    <w:p w14:paraId="49643DF3" w14:textId="77777777" w:rsidR="00894070" w:rsidRDefault="00894070">
      <w:pPr>
        <w:pStyle w:val="BodyText"/>
        <w:spacing w:before="6"/>
        <w:rPr>
          <w:sz w:val="14"/>
        </w:rPr>
      </w:pPr>
    </w:p>
    <w:p w14:paraId="25A962A1" w14:textId="77777777" w:rsidR="00894070" w:rsidRDefault="009B7AFD">
      <w:pPr>
        <w:pStyle w:val="ListParagraph"/>
        <w:numPr>
          <w:ilvl w:val="1"/>
          <w:numId w:val="93"/>
        </w:numPr>
        <w:tabs>
          <w:tab w:val="left" w:pos="2141"/>
          <w:tab w:val="left" w:pos="2142"/>
        </w:tabs>
        <w:spacing w:before="58"/>
        <w:ind w:hanging="340"/>
        <w:rPr>
          <w:sz w:val="20"/>
        </w:rPr>
      </w:pPr>
      <w:bookmarkStart w:id="124" w:name="_bookmark71"/>
      <w:bookmarkEnd w:id="124"/>
      <w:r>
        <w:rPr>
          <w:color w:val="231F20"/>
          <w:sz w:val="20"/>
        </w:rPr>
        <w:t>pre-court</w:t>
      </w:r>
      <w:r>
        <w:rPr>
          <w:color w:val="231F20"/>
          <w:spacing w:val="-5"/>
          <w:sz w:val="20"/>
        </w:rPr>
        <w:t xml:space="preserve"> </w:t>
      </w:r>
      <w:r>
        <w:rPr>
          <w:color w:val="231F20"/>
          <w:sz w:val="20"/>
        </w:rPr>
        <w:t>engagement</w:t>
      </w:r>
    </w:p>
    <w:p w14:paraId="6E397BAC" w14:textId="77777777" w:rsidR="00894070" w:rsidRDefault="009B7AFD">
      <w:pPr>
        <w:pStyle w:val="ListParagraph"/>
        <w:numPr>
          <w:ilvl w:val="1"/>
          <w:numId w:val="93"/>
        </w:numPr>
        <w:tabs>
          <w:tab w:val="left" w:pos="2141"/>
          <w:tab w:val="left" w:pos="2142"/>
        </w:tabs>
        <w:spacing w:before="47"/>
        <w:ind w:hanging="340"/>
        <w:rPr>
          <w:sz w:val="20"/>
        </w:rPr>
      </w:pPr>
      <w:r>
        <w:rPr>
          <w:color w:val="231F20"/>
          <w:sz w:val="20"/>
        </w:rPr>
        <w:t>applicant and respondent</w:t>
      </w:r>
      <w:r>
        <w:rPr>
          <w:color w:val="231F20"/>
          <w:spacing w:val="-14"/>
          <w:sz w:val="20"/>
        </w:rPr>
        <w:t xml:space="preserve"> </w:t>
      </w:r>
      <w:r>
        <w:rPr>
          <w:color w:val="231F20"/>
          <w:sz w:val="20"/>
        </w:rPr>
        <w:t>practitioners</w:t>
      </w:r>
    </w:p>
    <w:p w14:paraId="2E4A76BD" w14:textId="77777777" w:rsidR="00894070" w:rsidRDefault="009B7AFD">
      <w:pPr>
        <w:pStyle w:val="ListParagraph"/>
        <w:numPr>
          <w:ilvl w:val="1"/>
          <w:numId w:val="93"/>
        </w:numPr>
        <w:tabs>
          <w:tab w:val="left" w:pos="2141"/>
          <w:tab w:val="left" w:pos="2142"/>
        </w:tabs>
        <w:spacing w:before="48"/>
        <w:ind w:hanging="340"/>
        <w:rPr>
          <w:sz w:val="20"/>
        </w:rPr>
      </w:pPr>
      <w:r>
        <w:rPr>
          <w:color w:val="231F20"/>
          <w:sz w:val="20"/>
        </w:rPr>
        <w:t xml:space="preserve">supportive </w:t>
      </w:r>
      <w:r>
        <w:rPr>
          <w:color w:val="231F20"/>
          <w:spacing w:val="-3"/>
          <w:sz w:val="20"/>
        </w:rPr>
        <w:t xml:space="preserve">infrastructure, </w:t>
      </w:r>
      <w:r>
        <w:rPr>
          <w:color w:val="231F20"/>
          <w:sz w:val="20"/>
        </w:rPr>
        <w:t xml:space="preserve">such as </w:t>
      </w:r>
      <w:r>
        <w:rPr>
          <w:color w:val="231F20"/>
          <w:spacing w:val="-3"/>
          <w:sz w:val="20"/>
        </w:rPr>
        <w:t xml:space="preserve">safe </w:t>
      </w:r>
      <w:r>
        <w:rPr>
          <w:color w:val="231F20"/>
          <w:sz w:val="20"/>
        </w:rPr>
        <w:t>waiting</w:t>
      </w:r>
      <w:r>
        <w:rPr>
          <w:color w:val="231F20"/>
          <w:spacing w:val="-20"/>
          <w:sz w:val="20"/>
        </w:rPr>
        <w:t xml:space="preserve"> </w:t>
      </w:r>
      <w:r>
        <w:rPr>
          <w:color w:val="231F20"/>
          <w:sz w:val="20"/>
        </w:rPr>
        <w:t>areas</w:t>
      </w:r>
    </w:p>
    <w:p w14:paraId="79B9F0DF" w14:textId="77777777" w:rsidR="00894070" w:rsidRDefault="009B7AFD">
      <w:pPr>
        <w:pStyle w:val="ListParagraph"/>
        <w:numPr>
          <w:ilvl w:val="1"/>
          <w:numId w:val="93"/>
        </w:numPr>
        <w:tabs>
          <w:tab w:val="left" w:pos="2141"/>
          <w:tab w:val="left" w:pos="2142"/>
        </w:tabs>
        <w:spacing w:before="47"/>
        <w:ind w:hanging="340"/>
        <w:rPr>
          <w:sz w:val="11"/>
        </w:rPr>
      </w:pPr>
      <w:r>
        <w:rPr>
          <w:color w:val="231F20"/>
          <w:sz w:val="20"/>
        </w:rPr>
        <w:t>access to legal advice and</w:t>
      </w:r>
      <w:r>
        <w:rPr>
          <w:color w:val="231F20"/>
          <w:spacing w:val="-23"/>
          <w:sz w:val="20"/>
        </w:rPr>
        <w:t xml:space="preserve"> </w:t>
      </w:r>
      <w:r>
        <w:rPr>
          <w:color w:val="231F20"/>
          <w:sz w:val="20"/>
        </w:rPr>
        <w:t>representation.</w:t>
      </w:r>
      <w:r>
        <w:rPr>
          <w:color w:val="231F20"/>
          <w:position w:val="7"/>
          <w:sz w:val="11"/>
        </w:rPr>
        <w:t>84</w:t>
      </w:r>
    </w:p>
    <w:p w14:paraId="6D5A8E66" w14:textId="77777777" w:rsidR="00894070" w:rsidRDefault="009B7AFD">
      <w:pPr>
        <w:pStyle w:val="ListParagraph"/>
        <w:numPr>
          <w:ilvl w:val="1"/>
          <w:numId w:val="102"/>
        </w:numPr>
        <w:tabs>
          <w:tab w:val="left" w:pos="1801"/>
          <w:tab w:val="left" w:pos="1802"/>
        </w:tabs>
        <w:spacing w:before="47" w:line="259" w:lineRule="exact"/>
        <w:rPr>
          <w:sz w:val="20"/>
        </w:rPr>
      </w:pPr>
      <w:r>
        <w:rPr>
          <w:color w:val="231F20"/>
          <w:sz w:val="20"/>
        </w:rPr>
        <w:t>The</w:t>
      </w:r>
      <w:r>
        <w:rPr>
          <w:color w:val="231F20"/>
          <w:spacing w:val="-5"/>
          <w:sz w:val="20"/>
        </w:rPr>
        <w:t xml:space="preserve"> </w:t>
      </w:r>
      <w:r>
        <w:rPr>
          <w:color w:val="231F20"/>
          <w:sz w:val="20"/>
        </w:rPr>
        <w:t>Court</w:t>
      </w:r>
      <w:r>
        <w:rPr>
          <w:color w:val="231F20"/>
          <w:spacing w:val="-5"/>
          <w:sz w:val="20"/>
        </w:rPr>
        <w:t xml:space="preserve"> </w:t>
      </w:r>
      <w:r>
        <w:rPr>
          <w:color w:val="231F20"/>
          <w:sz w:val="20"/>
        </w:rPr>
        <w:t>emphasised</w:t>
      </w:r>
      <w:r>
        <w:rPr>
          <w:color w:val="231F20"/>
          <w:spacing w:val="-5"/>
          <w:sz w:val="20"/>
        </w:rPr>
        <w:t xml:space="preserve"> </w:t>
      </w:r>
      <w:r>
        <w:rPr>
          <w:color w:val="231F20"/>
          <w:sz w:val="20"/>
        </w:rPr>
        <w:t>that</w:t>
      </w:r>
      <w:r>
        <w:rPr>
          <w:color w:val="231F20"/>
          <w:spacing w:val="-5"/>
          <w:sz w:val="20"/>
        </w:rPr>
        <w:t xml:space="preserve"> </w:t>
      </w:r>
      <w:r>
        <w:rPr>
          <w:color w:val="231F20"/>
          <w:sz w:val="20"/>
        </w:rPr>
        <w:t>more</w:t>
      </w:r>
      <w:r>
        <w:rPr>
          <w:color w:val="231F20"/>
          <w:spacing w:val="-5"/>
          <w:sz w:val="20"/>
        </w:rPr>
        <w:t xml:space="preserve"> </w:t>
      </w:r>
      <w:r>
        <w:rPr>
          <w:color w:val="231F20"/>
          <w:spacing w:val="-3"/>
          <w:sz w:val="20"/>
        </w:rPr>
        <w:t>resources</w:t>
      </w:r>
      <w:r>
        <w:rPr>
          <w:color w:val="231F20"/>
          <w:spacing w:val="-4"/>
          <w:sz w:val="20"/>
        </w:rPr>
        <w:t xml:space="preserve"> </w:t>
      </w:r>
      <w:r>
        <w:rPr>
          <w:color w:val="231F20"/>
          <w:spacing w:val="-3"/>
          <w:sz w:val="20"/>
        </w:rPr>
        <w:t>would</w:t>
      </w:r>
      <w:r>
        <w:rPr>
          <w:color w:val="231F20"/>
          <w:spacing w:val="-5"/>
          <w:sz w:val="20"/>
        </w:rPr>
        <w:t xml:space="preserve"> </w:t>
      </w:r>
      <w:r>
        <w:rPr>
          <w:color w:val="231F20"/>
          <w:sz w:val="20"/>
        </w:rPr>
        <w:t>be</w:t>
      </w:r>
      <w:r>
        <w:rPr>
          <w:color w:val="231F20"/>
          <w:spacing w:val="-5"/>
          <w:sz w:val="20"/>
        </w:rPr>
        <w:t xml:space="preserve"> </w:t>
      </w:r>
      <w:r>
        <w:rPr>
          <w:color w:val="231F20"/>
          <w:sz w:val="20"/>
        </w:rPr>
        <w:t>needed</w:t>
      </w:r>
      <w:r>
        <w:rPr>
          <w:color w:val="231F20"/>
          <w:spacing w:val="-5"/>
          <w:sz w:val="20"/>
        </w:rPr>
        <w:t xml:space="preserve"> </w:t>
      </w:r>
      <w:r>
        <w:rPr>
          <w:color w:val="231F20"/>
          <w:sz w:val="20"/>
        </w:rPr>
        <w:t>if</w:t>
      </w:r>
      <w:r>
        <w:rPr>
          <w:color w:val="231F20"/>
          <w:spacing w:val="-5"/>
          <w:sz w:val="20"/>
        </w:rPr>
        <w:t xml:space="preserve"> </w:t>
      </w:r>
      <w:r>
        <w:rPr>
          <w:color w:val="231F20"/>
          <w:sz w:val="20"/>
        </w:rPr>
        <w:t>the</w:t>
      </w:r>
      <w:r>
        <w:rPr>
          <w:color w:val="231F20"/>
          <w:spacing w:val="-4"/>
          <w:sz w:val="20"/>
        </w:rPr>
        <w:t xml:space="preserve"> </w:t>
      </w:r>
      <w:r>
        <w:rPr>
          <w:color w:val="231F20"/>
          <w:sz w:val="20"/>
        </w:rPr>
        <w:t>scope</w:t>
      </w:r>
      <w:r>
        <w:rPr>
          <w:color w:val="231F20"/>
          <w:spacing w:val="-5"/>
          <w:sz w:val="20"/>
        </w:rPr>
        <w:t xml:space="preserve"> </w:t>
      </w:r>
      <w:r>
        <w:rPr>
          <w:color w:val="231F20"/>
          <w:sz w:val="20"/>
        </w:rPr>
        <w:t>of</w:t>
      </w:r>
      <w:r>
        <w:rPr>
          <w:color w:val="231F20"/>
          <w:spacing w:val="-5"/>
          <w:sz w:val="20"/>
        </w:rPr>
        <w:t xml:space="preserve"> </w:t>
      </w:r>
      <w:r>
        <w:rPr>
          <w:color w:val="231F20"/>
          <w:sz w:val="20"/>
        </w:rPr>
        <w:t>the</w:t>
      </w:r>
    </w:p>
    <w:p w14:paraId="4615D4C4" w14:textId="77777777" w:rsidR="00894070" w:rsidRDefault="009B7AFD">
      <w:pPr>
        <w:pStyle w:val="BodyText"/>
        <w:spacing w:line="259" w:lineRule="exact"/>
        <w:ind w:left="1801"/>
        <w:rPr>
          <w:sz w:val="11"/>
        </w:rPr>
      </w:pPr>
      <w:r>
        <w:rPr>
          <w:color w:val="231F20"/>
        </w:rPr>
        <w:t xml:space="preserve">relevant referrals and supports </w:t>
      </w:r>
      <w:proofErr w:type="gramStart"/>
      <w:r>
        <w:rPr>
          <w:color w:val="231F20"/>
        </w:rPr>
        <w:t>was</w:t>
      </w:r>
      <w:proofErr w:type="gramEnd"/>
      <w:r>
        <w:rPr>
          <w:color w:val="231F20"/>
        </w:rPr>
        <w:t xml:space="preserve"> extended to stalking matters.</w:t>
      </w:r>
      <w:r>
        <w:rPr>
          <w:color w:val="231F20"/>
          <w:position w:val="7"/>
          <w:sz w:val="11"/>
        </w:rPr>
        <w:t>85</w:t>
      </w:r>
    </w:p>
    <w:p w14:paraId="4E904AD4" w14:textId="77777777" w:rsidR="00894070" w:rsidRDefault="009B7AFD">
      <w:pPr>
        <w:pStyle w:val="ListParagraph"/>
        <w:numPr>
          <w:ilvl w:val="1"/>
          <w:numId w:val="102"/>
        </w:numPr>
        <w:tabs>
          <w:tab w:val="left" w:pos="1801"/>
          <w:tab w:val="left" w:pos="1802"/>
        </w:tabs>
        <w:spacing w:before="83" w:line="259" w:lineRule="exact"/>
        <w:rPr>
          <w:sz w:val="20"/>
        </w:rPr>
      </w:pPr>
      <w:r>
        <w:rPr>
          <w:color w:val="231F20"/>
          <w:sz w:val="20"/>
        </w:rPr>
        <w:t>The</w:t>
      </w:r>
      <w:r>
        <w:rPr>
          <w:color w:val="231F20"/>
          <w:spacing w:val="-6"/>
          <w:sz w:val="20"/>
        </w:rPr>
        <w:t xml:space="preserve"> </w:t>
      </w:r>
      <w:r>
        <w:rPr>
          <w:color w:val="231F20"/>
          <w:sz w:val="20"/>
        </w:rPr>
        <w:t>Victims</w:t>
      </w:r>
      <w:r>
        <w:rPr>
          <w:color w:val="231F20"/>
          <w:spacing w:val="-6"/>
          <w:sz w:val="20"/>
        </w:rPr>
        <w:t xml:space="preserve"> </w:t>
      </w:r>
      <w:r>
        <w:rPr>
          <w:color w:val="231F20"/>
          <w:sz w:val="20"/>
        </w:rPr>
        <w:t>of</w:t>
      </w:r>
      <w:r>
        <w:rPr>
          <w:color w:val="231F20"/>
          <w:spacing w:val="-5"/>
          <w:sz w:val="20"/>
        </w:rPr>
        <w:t xml:space="preserve"> </w:t>
      </w:r>
      <w:r>
        <w:rPr>
          <w:color w:val="231F20"/>
          <w:sz w:val="20"/>
        </w:rPr>
        <w:t>Crime</w:t>
      </w:r>
      <w:r>
        <w:rPr>
          <w:color w:val="231F20"/>
          <w:spacing w:val="-6"/>
          <w:sz w:val="20"/>
        </w:rPr>
        <w:t xml:space="preserve"> </w:t>
      </w:r>
      <w:r>
        <w:rPr>
          <w:color w:val="231F20"/>
          <w:sz w:val="20"/>
        </w:rPr>
        <w:t>Commissioner</w:t>
      </w:r>
      <w:r>
        <w:rPr>
          <w:color w:val="231F20"/>
          <w:spacing w:val="-6"/>
          <w:sz w:val="20"/>
        </w:rPr>
        <w:t xml:space="preserve"> </w:t>
      </w:r>
      <w:r>
        <w:rPr>
          <w:color w:val="231F20"/>
          <w:sz w:val="20"/>
        </w:rPr>
        <w:t>was</w:t>
      </w:r>
      <w:r>
        <w:rPr>
          <w:color w:val="231F20"/>
          <w:spacing w:val="-5"/>
          <w:sz w:val="20"/>
        </w:rPr>
        <w:t xml:space="preserve"> </w:t>
      </w:r>
      <w:r>
        <w:rPr>
          <w:color w:val="231F20"/>
          <w:sz w:val="20"/>
        </w:rPr>
        <w:t>clear</w:t>
      </w:r>
      <w:r>
        <w:rPr>
          <w:color w:val="231F20"/>
          <w:spacing w:val="-6"/>
          <w:sz w:val="20"/>
        </w:rPr>
        <w:t xml:space="preserve"> </w:t>
      </w:r>
      <w:r>
        <w:rPr>
          <w:color w:val="231F20"/>
          <w:sz w:val="20"/>
        </w:rPr>
        <w:t>that</w:t>
      </w:r>
      <w:r>
        <w:rPr>
          <w:color w:val="231F20"/>
          <w:spacing w:val="-5"/>
          <w:sz w:val="20"/>
        </w:rPr>
        <w:t xml:space="preserve"> </w:t>
      </w:r>
      <w:r>
        <w:rPr>
          <w:color w:val="231F20"/>
          <w:sz w:val="20"/>
        </w:rPr>
        <w:t>court</w:t>
      </w:r>
      <w:r>
        <w:rPr>
          <w:color w:val="231F20"/>
          <w:spacing w:val="-6"/>
          <w:sz w:val="20"/>
        </w:rPr>
        <w:t xml:space="preserve"> </w:t>
      </w:r>
      <w:r>
        <w:rPr>
          <w:color w:val="231F20"/>
          <w:sz w:val="20"/>
        </w:rPr>
        <w:t>infrastructure</w:t>
      </w:r>
      <w:r>
        <w:rPr>
          <w:color w:val="231F20"/>
          <w:spacing w:val="-6"/>
          <w:sz w:val="20"/>
        </w:rPr>
        <w:t xml:space="preserve"> </w:t>
      </w:r>
      <w:r>
        <w:rPr>
          <w:color w:val="231F20"/>
          <w:sz w:val="20"/>
        </w:rPr>
        <w:t>should</w:t>
      </w:r>
    </w:p>
    <w:p w14:paraId="109388E0" w14:textId="77777777" w:rsidR="00894070" w:rsidRDefault="009B7AFD">
      <w:pPr>
        <w:pStyle w:val="BodyText"/>
        <w:spacing w:line="259" w:lineRule="exact"/>
        <w:ind w:left="1801"/>
        <w:rPr>
          <w:sz w:val="11"/>
        </w:rPr>
      </w:pPr>
      <w:r>
        <w:rPr>
          <w:color w:val="231F20"/>
          <w:spacing w:val="-3"/>
        </w:rPr>
        <w:t xml:space="preserve">accommodate </w:t>
      </w:r>
      <w:r>
        <w:rPr>
          <w:color w:val="231F20"/>
        </w:rPr>
        <w:t xml:space="preserve">the needs of all victims, </w:t>
      </w:r>
      <w:r>
        <w:rPr>
          <w:color w:val="231F20"/>
          <w:spacing w:val="-3"/>
        </w:rPr>
        <w:t xml:space="preserve">regardless </w:t>
      </w:r>
      <w:r>
        <w:rPr>
          <w:color w:val="231F20"/>
        </w:rPr>
        <w:t>of crime</w:t>
      </w:r>
      <w:r>
        <w:rPr>
          <w:color w:val="231F20"/>
          <w:spacing w:val="-35"/>
        </w:rPr>
        <w:t xml:space="preserve"> </w:t>
      </w:r>
      <w:r>
        <w:rPr>
          <w:color w:val="231F20"/>
        </w:rPr>
        <w:t>type.</w:t>
      </w:r>
      <w:r>
        <w:rPr>
          <w:color w:val="231F20"/>
          <w:position w:val="7"/>
          <w:sz w:val="11"/>
        </w:rPr>
        <w:t>86</w:t>
      </w:r>
    </w:p>
    <w:p w14:paraId="06F6B565" w14:textId="77777777" w:rsidR="00894070" w:rsidRDefault="009B7AFD">
      <w:pPr>
        <w:pStyle w:val="ListParagraph"/>
        <w:numPr>
          <w:ilvl w:val="1"/>
          <w:numId w:val="102"/>
        </w:numPr>
        <w:tabs>
          <w:tab w:val="left" w:pos="1802"/>
        </w:tabs>
        <w:spacing w:before="115" w:line="206" w:lineRule="auto"/>
        <w:ind w:right="1177"/>
        <w:jc w:val="both"/>
        <w:rPr>
          <w:sz w:val="11"/>
        </w:rPr>
      </w:pPr>
      <w:r>
        <w:rPr>
          <w:color w:val="231F20"/>
          <w:sz w:val="20"/>
        </w:rPr>
        <w:t>Victoria</w:t>
      </w:r>
      <w:r>
        <w:rPr>
          <w:color w:val="231F20"/>
          <w:spacing w:val="-11"/>
          <w:sz w:val="20"/>
        </w:rPr>
        <w:t xml:space="preserve"> </w:t>
      </w:r>
      <w:r>
        <w:rPr>
          <w:color w:val="231F20"/>
          <w:sz w:val="20"/>
        </w:rPr>
        <w:t>Police</w:t>
      </w:r>
      <w:r>
        <w:rPr>
          <w:color w:val="231F20"/>
          <w:spacing w:val="-11"/>
          <w:sz w:val="20"/>
        </w:rPr>
        <w:t xml:space="preserve"> </w:t>
      </w:r>
      <w:r>
        <w:rPr>
          <w:color w:val="231F20"/>
          <w:sz w:val="20"/>
        </w:rPr>
        <w:t>noted</w:t>
      </w:r>
      <w:r>
        <w:rPr>
          <w:color w:val="231F20"/>
          <w:spacing w:val="-11"/>
          <w:sz w:val="20"/>
        </w:rPr>
        <w:t xml:space="preserve"> </w:t>
      </w:r>
      <w:r>
        <w:rPr>
          <w:color w:val="231F20"/>
          <w:sz w:val="20"/>
        </w:rPr>
        <w:t>that</w:t>
      </w:r>
      <w:r>
        <w:rPr>
          <w:color w:val="231F20"/>
          <w:spacing w:val="-11"/>
          <w:sz w:val="20"/>
        </w:rPr>
        <w:t xml:space="preserve"> </w:t>
      </w:r>
      <w:r>
        <w:rPr>
          <w:color w:val="231F20"/>
          <w:sz w:val="20"/>
        </w:rPr>
        <w:t>while</w:t>
      </w:r>
      <w:r>
        <w:rPr>
          <w:color w:val="231F20"/>
          <w:spacing w:val="-10"/>
          <w:sz w:val="20"/>
        </w:rPr>
        <w:t xml:space="preserve"> </w:t>
      </w:r>
      <w:r>
        <w:rPr>
          <w:color w:val="231F20"/>
          <w:sz w:val="20"/>
        </w:rPr>
        <w:t>there</w:t>
      </w:r>
      <w:r>
        <w:rPr>
          <w:color w:val="231F20"/>
          <w:spacing w:val="-11"/>
          <w:sz w:val="20"/>
        </w:rPr>
        <w:t xml:space="preserve"> </w:t>
      </w:r>
      <w:r>
        <w:rPr>
          <w:color w:val="231F20"/>
          <w:sz w:val="20"/>
        </w:rPr>
        <w:t>might</w:t>
      </w:r>
      <w:r>
        <w:rPr>
          <w:color w:val="231F20"/>
          <w:spacing w:val="-11"/>
          <w:sz w:val="20"/>
        </w:rPr>
        <w:t xml:space="preserve"> </w:t>
      </w:r>
      <w:r>
        <w:rPr>
          <w:color w:val="231F20"/>
          <w:sz w:val="20"/>
        </w:rPr>
        <w:t>be</w:t>
      </w:r>
      <w:r>
        <w:rPr>
          <w:color w:val="231F20"/>
          <w:spacing w:val="-11"/>
          <w:sz w:val="20"/>
        </w:rPr>
        <w:t xml:space="preserve"> </w:t>
      </w:r>
      <w:r>
        <w:rPr>
          <w:color w:val="231F20"/>
          <w:sz w:val="20"/>
        </w:rPr>
        <w:t>benefit</w:t>
      </w:r>
      <w:r>
        <w:rPr>
          <w:color w:val="231F20"/>
          <w:spacing w:val="-11"/>
          <w:sz w:val="20"/>
        </w:rPr>
        <w:t xml:space="preserve"> </w:t>
      </w:r>
      <w:r>
        <w:rPr>
          <w:color w:val="231F20"/>
          <w:sz w:val="20"/>
        </w:rPr>
        <w:t>in</w:t>
      </w:r>
      <w:r>
        <w:rPr>
          <w:color w:val="231F20"/>
          <w:spacing w:val="-10"/>
          <w:sz w:val="20"/>
        </w:rPr>
        <w:t xml:space="preserve"> </w:t>
      </w:r>
      <w:r>
        <w:rPr>
          <w:color w:val="231F20"/>
          <w:sz w:val="20"/>
        </w:rPr>
        <w:t>a</w:t>
      </w:r>
      <w:r>
        <w:rPr>
          <w:color w:val="231F20"/>
          <w:spacing w:val="-11"/>
          <w:sz w:val="20"/>
        </w:rPr>
        <w:t xml:space="preserve"> </w:t>
      </w:r>
      <w:r>
        <w:rPr>
          <w:color w:val="231F20"/>
          <w:sz w:val="20"/>
        </w:rPr>
        <w:t>specialist</w:t>
      </w:r>
      <w:r>
        <w:rPr>
          <w:color w:val="231F20"/>
          <w:spacing w:val="-11"/>
          <w:sz w:val="20"/>
        </w:rPr>
        <w:t xml:space="preserve"> </w:t>
      </w:r>
      <w:r>
        <w:rPr>
          <w:color w:val="231F20"/>
          <w:sz w:val="20"/>
        </w:rPr>
        <w:t>court,</w:t>
      </w:r>
      <w:r>
        <w:rPr>
          <w:color w:val="231F20"/>
          <w:spacing w:val="-11"/>
          <w:sz w:val="20"/>
        </w:rPr>
        <w:t xml:space="preserve"> </w:t>
      </w:r>
      <w:r>
        <w:rPr>
          <w:color w:val="231F20"/>
          <w:spacing w:val="-4"/>
          <w:sz w:val="20"/>
        </w:rPr>
        <w:t>‘</w:t>
      </w:r>
      <w:proofErr w:type="gramStart"/>
      <w:r>
        <w:rPr>
          <w:color w:val="231F20"/>
          <w:spacing w:val="-4"/>
          <w:sz w:val="20"/>
        </w:rPr>
        <w:t>a</w:t>
      </w:r>
      <w:r>
        <w:rPr>
          <w:color w:val="231F20"/>
          <w:spacing w:val="-10"/>
          <w:sz w:val="20"/>
        </w:rPr>
        <w:t xml:space="preserve"> </w:t>
      </w:r>
      <w:r>
        <w:rPr>
          <w:color w:val="231F20"/>
          <w:sz w:val="20"/>
        </w:rPr>
        <w:t>number</w:t>
      </w:r>
      <w:r>
        <w:rPr>
          <w:color w:val="231F20"/>
          <w:spacing w:val="-11"/>
          <w:sz w:val="20"/>
        </w:rPr>
        <w:t xml:space="preserve"> </w:t>
      </w:r>
      <w:r>
        <w:rPr>
          <w:color w:val="231F20"/>
          <w:sz w:val="20"/>
        </w:rPr>
        <w:t>of</w:t>
      </w:r>
      <w:proofErr w:type="gramEnd"/>
      <w:r>
        <w:rPr>
          <w:color w:val="231F20"/>
          <w:sz w:val="20"/>
        </w:rPr>
        <w:t xml:space="preserve"> opportunities</w:t>
      </w:r>
      <w:r>
        <w:rPr>
          <w:color w:val="231F20"/>
          <w:spacing w:val="-11"/>
          <w:sz w:val="20"/>
        </w:rPr>
        <w:t xml:space="preserve"> </w:t>
      </w:r>
      <w:r>
        <w:rPr>
          <w:color w:val="231F20"/>
          <w:sz w:val="20"/>
        </w:rPr>
        <w:t>already</w:t>
      </w:r>
      <w:r>
        <w:rPr>
          <w:color w:val="231F20"/>
          <w:spacing w:val="-10"/>
          <w:sz w:val="20"/>
        </w:rPr>
        <w:t xml:space="preserve"> </w:t>
      </w:r>
      <w:r>
        <w:rPr>
          <w:color w:val="231F20"/>
          <w:sz w:val="20"/>
        </w:rPr>
        <w:t>exist</w:t>
      </w:r>
      <w:r>
        <w:rPr>
          <w:color w:val="231F20"/>
          <w:spacing w:val="-11"/>
          <w:sz w:val="20"/>
        </w:rPr>
        <w:t xml:space="preserve"> </w:t>
      </w:r>
      <w:r>
        <w:rPr>
          <w:color w:val="231F20"/>
          <w:sz w:val="20"/>
        </w:rPr>
        <w:t>to</w:t>
      </w:r>
      <w:r>
        <w:rPr>
          <w:color w:val="231F20"/>
          <w:spacing w:val="-10"/>
          <w:sz w:val="20"/>
        </w:rPr>
        <w:t xml:space="preserve"> </w:t>
      </w:r>
      <w:r>
        <w:rPr>
          <w:color w:val="231F20"/>
          <w:sz w:val="20"/>
        </w:rPr>
        <w:t>extract</w:t>
      </w:r>
      <w:r>
        <w:rPr>
          <w:color w:val="231F20"/>
          <w:spacing w:val="-10"/>
          <w:sz w:val="20"/>
        </w:rPr>
        <w:t xml:space="preserve"> </w:t>
      </w:r>
      <w:r>
        <w:rPr>
          <w:color w:val="231F20"/>
          <w:sz w:val="20"/>
        </w:rPr>
        <w:t>similar</w:t>
      </w:r>
      <w:r>
        <w:rPr>
          <w:color w:val="231F20"/>
          <w:spacing w:val="-11"/>
          <w:sz w:val="20"/>
        </w:rPr>
        <w:t xml:space="preserve"> </w:t>
      </w:r>
      <w:r>
        <w:rPr>
          <w:color w:val="231F20"/>
          <w:sz w:val="20"/>
        </w:rPr>
        <w:t>benefits</w:t>
      </w:r>
      <w:r>
        <w:rPr>
          <w:color w:val="231F20"/>
          <w:spacing w:val="-10"/>
          <w:sz w:val="20"/>
        </w:rPr>
        <w:t xml:space="preserve"> </w:t>
      </w:r>
      <w:r>
        <w:rPr>
          <w:color w:val="231F20"/>
          <w:sz w:val="20"/>
        </w:rPr>
        <w:t>in</w:t>
      </w:r>
      <w:r>
        <w:rPr>
          <w:color w:val="231F20"/>
          <w:spacing w:val="-11"/>
          <w:sz w:val="20"/>
        </w:rPr>
        <w:t xml:space="preserve"> </w:t>
      </w:r>
      <w:r>
        <w:rPr>
          <w:color w:val="231F20"/>
          <w:sz w:val="20"/>
        </w:rPr>
        <w:t>mainstream</w:t>
      </w:r>
      <w:r>
        <w:rPr>
          <w:color w:val="231F20"/>
          <w:spacing w:val="-10"/>
          <w:sz w:val="20"/>
        </w:rPr>
        <w:t xml:space="preserve"> </w:t>
      </w:r>
      <w:r>
        <w:rPr>
          <w:color w:val="231F20"/>
          <w:spacing w:val="-3"/>
          <w:sz w:val="20"/>
        </w:rPr>
        <w:t>courts’,</w:t>
      </w:r>
      <w:r>
        <w:rPr>
          <w:color w:val="231F20"/>
          <w:spacing w:val="-10"/>
          <w:sz w:val="20"/>
        </w:rPr>
        <w:t xml:space="preserve"> </w:t>
      </w:r>
      <w:r>
        <w:rPr>
          <w:color w:val="231F20"/>
          <w:spacing w:val="-3"/>
          <w:sz w:val="20"/>
        </w:rPr>
        <w:t>for</w:t>
      </w:r>
      <w:r>
        <w:rPr>
          <w:color w:val="231F20"/>
          <w:spacing w:val="-11"/>
          <w:sz w:val="20"/>
        </w:rPr>
        <w:t xml:space="preserve"> </w:t>
      </w:r>
      <w:r>
        <w:rPr>
          <w:color w:val="231F20"/>
          <w:spacing w:val="-3"/>
          <w:sz w:val="20"/>
        </w:rPr>
        <w:t xml:space="preserve">example </w:t>
      </w:r>
      <w:r>
        <w:rPr>
          <w:color w:val="231F20"/>
          <w:sz w:val="20"/>
        </w:rPr>
        <w:t>through training or court</w:t>
      </w:r>
      <w:r>
        <w:rPr>
          <w:color w:val="231F20"/>
          <w:spacing w:val="-17"/>
          <w:sz w:val="20"/>
        </w:rPr>
        <w:t xml:space="preserve"> </w:t>
      </w:r>
      <w:r>
        <w:rPr>
          <w:color w:val="231F20"/>
          <w:sz w:val="20"/>
        </w:rPr>
        <w:t>design.</w:t>
      </w:r>
      <w:r>
        <w:rPr>
          <w:color w:val="231F20"/>
          <w:position w:val="7"/>
          <w:sz w:val="11"/>
        </w:rPr>
        <w:t>87</w:t>
      </w:r>
    </w:p>
    <w:p w14:paraId="4199AA20" w14:textId="77777777" w:rsidR="00894070" w:rsidRDefault="009B7AFD">
      <w:pPr>
        <w:pStyle w:val="ListParagraph"/>
        <w:numPr>
          <w:ilvl w:val="1"/>
          <w:numId w:val="102"/>
        </w:numPr>
        <w:tabs>
          <w:tab w:val="left" w:pos="1801"/>
          <w:tab w:val="left" w:pos="1802"/>
        </w:tabs>
        <w:spacing w:before="123" w:line="206" w:lineRule="auto"/>
        <w:ind w:right="1422"/>
        <w:rPr>
          <w:sz w:val="11"/>
        </w:rPr>
      </w:pPr>
      <w:r>
        <w:rPr>
          <w:color w:val="231F20"/>
          <w:spacing w:val="-5"/>
          <w:sz w:val="20"/>
        </w:rPr>
        <w:t xml:space="preserve">However, </w:t>
      </w:r>
      <w:r>
        <w:rPr>
          <w:color w:val="231F20"/>
          <w:sz w:val="20"/>
        </w:rPr>
        <w:t xml:space="preserve">while </w:t>
      </w:r>
      <w:r>
        <w:rPr>
          <w:color w:val="231F20"/>
          <w:spacing w:val="-3"/>
          <w:sz w:val="20"/>
        </w:rPr>
        <w:t xml:space="preserve">Forensicare </w:t>
      </w:r>
      <w:r>
        <w:rPr>
          <w:color w:val="231F20"/>
          <w:sz w:val="20"/>
        </w:rPr>
        <w:t xml:space="preserve">agreed that victim survivors of stalking need special </w:t>
      </w:r>
      <w:r>
        <w:rPr>
          <w:color w:val="231F20"/>
          <w:spacing w:val="-3"/>
          <w:sz w:val="20"/>
        </w:rPr>
        <w:t>protections</w:t>
      </w:r>
      <w:r>
        <w:rPr>
          <w:color w:val="231F20"/>
          <w:spacing w:val="-9"/>
          <w:sz w:val="20"/>
        </w:rPr>
        <w:t xml:space="preserve"> </w:t>
      </w:r>
      <w:r>
        <w:rPr>
          <w:color w:val="231F20"/>
          <w:sz w:val="20"/>
        </w:rPr>
        <w:t>and</w:t>
      </w:r>
      <w:r>
        <w:rPr>
          <w:color w:val="231F20"/>
          <w:spacing w:val="-8"/>
          <w:sz w:val="20"/>
        </w:rPr>
        <w:t xml:space="preserve"> </w:t>
      </w:r>
      <w:r>
        <w:rPr>
          <w:color w:val="231F20"/>
          <w:sz w:val="20"/>
        </w:rPr>
        <w:t>arrangements,</w:t>
      </w:r>
      <w:r>
        <w:rPr>
          <w:color w:val="231F20"/>
          <w:spacing w:val="-9"/>
          <w:sz w:val="20"/>
        </w:rPr>
        <w:t xml:space="preserve"> </w:t>
      </w:r>
      <w:r>
        <w:rPr>
          <w:color w:val="231F20"/>
          <w:sz w:val="20"/>
        </w:rPr>
        <w:t>their</w:t>
      </w:r>
      <w:r>
        <w:rPr>
          <w:color w:val="231F20"/>
          <w:spacing w:val="-8"/>
          <w:sz w:val="20"/>
        </w:rPr>
        <w:t xml:space="preserve"> </w:t>
      </w:r>
      <w:r>
        <w:rPr>
          <w:color w:val="231F20"/>
          <w:sz w:val="20"/>
        </w:rPr>
        <w:t>view</w:t>
      </w:r>
      <w:r>
        <w:rPr>
          <w:color w:val="231F20"/>
          <w:spacing w:val="-9"/>
          <w:sz w:val="20"/>
        </w:rPr>
        <w:t xml:space="preserve"> </w:t>
      </w:r>
      <w:r>
        <w:rPr>
          <w:color w:val="231F20"/>
          <w:sz w:val="20"/>
        </w:rPr>
        <w:t>was</w:t>
      </w:r>
      <w:r>
        <w:rPr>
          <w:color w:val="231F20"/>
          <w:spacing w:val="-8"/>
          <w:sz w:val="20"/>
        </w:rPr>
        <w:t xml:space="preserve"> </w:t>
      </w:r>
      <w:r>
        <w:rPr>
          <w:color w:val="231F20"/>
          <w:sz w:val="20"/>
        </w:rPr>
        <w:t>that</w:t>
      </w:r>
      <w:r>
        <w:rPr>
          <w:color w:val="231F20"/>
          <w:spacing w:val="-9"/>
          <w:sz w:val="20"/>
        </w:rPr>
        <w:t xml:space="preserve"> </w:t>
      </w:r>
      <w:r>
        <w:rPr>
          <w:color w:val="231F20"/>
          <w:sz w:val="20"/>
        </w:rPr>
        <w:t>the</w:t>
      </w:r>
      <w:r>
        <w:rPr>
          <w:color w:val="231F20"/>
          <w:spacing w:val="-8"/>
          <w:sz w:val="20"/>
        </w:rPr>
        <w:t xml:space="preserve"> </w:t>
      </w:r>
      <w:r>
        <w:rPr>
          <w:color w:val="231F20"/>
          <w:sz w:val="20"/>
        </w:rPr>
        <w:t>‘family</w:t>
      </w:r>
      <w:r>
        <w:rPr>
          <w:color w:val="231F20"/>
          <w:spacing w:val="-9"/>
          <w:sz w:val="20"/>
        </w:rPr>
        <w:t xml:space="preserve"> </w:t>
      </w:r>
      <w:r>
        <w:rPr>
          <w:color w:val="231F20"/>
          <w:sz w:val="20"/>
        </w:rPr>
        <w:t>violence</w:t>
      </w:r>
      <w:r>
        <w:rPr>
          <w:color w:val="231F20"/>
          <w:spacing w:val="-8"/>
          <w:sz w:val="20"/>
        </w:rPr>
        <w:t xml:space="preserve"> </w:t>
      </w:r>
      <w:r>
        <w:rPr>
          <w:color w:val="231F20"/>
          <w:sz w:val="20"/>
        </w:rPr>
        <w:t>courts</w:t>
      </w:r>
      <w:r>
        <w:rPr>
          <w:color w:val="231F20"/>
          <w:spacing w:val="-8"/>
          <w:sz w:val="20"/>
        </w:rPr>
        <w:t xml:space="preserve"> </w:t>
      </w:r>
      <w:r>
        <w:rPr>
          <w:color w:val="231F20"/>
          <w:spacing w:val="-3"/>
          <w:sz w:val="20"/>
        </w:rPr>
        <w:t>are</w:t>
      </w:r>
      <w:r>
        <w:rPr>
          <w:color w:val="231F20"/>
          <w:spacing w:val="-9"/>
          <w:sz w:val="20"/>
        </w:rPr>
        <w:t xml:space="preserve"> </w:t>
      </w:r>
      <w:r>
        <w:rPr>
          <w:color w:val="231F20"/>
          <w:sz w:val="20"/>
        </w:rPr>
        <w:t xml:space="preserve">not the right place </w:t>
      </w:r>
      <w:r>
        <w:rPr>
          <w:color w:val="231F20"/>
          <w:spacing w:val="-3"/>
          <w:sz w:val="20"/>
        </w:rPr>
        <w:t xml:space="preserve">for </w:t>
      </w:r>
      <w:r>
        <w:rPr>
          <w:color w:val="231F20"/>
          <w:sz w:val="20"/>
        </w:rPr>
        <w:t>non-family violence</w:t>
      </w:r>
      <w:r>
        <w:rPr>
          <w:color w:val="231F20"/>
          <w:spacing w:val="-26"/>
          <w:sz w:val="20"/>
        </w:rPr>
        <w:t xml:space="preserve"> </w:t>
      </w:r>
      <w:r>
        <w:rPr>
          <w:color w:val="231F20"/>
          <w:sz w:val="20"/>
        </w:rPr>
        <w:t>stalking’.</w:t>
      </w:r>
      <w:r>
        <w:rPr>
          <w:color w:val="231F20"/>
          <w:position w:val="7"/>
          <w:sz w:val="11"/>
        </w:rPr>
        <w:t>88</w:t>
      </w:r>
    </w:p>
    <w:p w14:paraId="3F205D93" w14:textId="77777777" w:rsidR="00894070" w:rsidRDefault="009B7AFD">
      <w:pPr>
        <w:pStyle w:val="ListParagraph"/>
        <w:numPr>
          <w:ilvl w:val="1"/>
          <w:numId w:val="102"/>
        </w:numPr>
        <w:tabs>
          <w:tab w:val="left" w:pos="1801"/>
          <w:tab w:val="left" w:pos="1802"/>
        </w:tabs>
        <w:spacing w:before="124" w:line="206" w:lineRule="auto"/>
        <w:ind w:right="1246"/>
        <w:rPr>
          <w:sz w:val="11"/>
        </w:rPr>
      </w:pPr>
      <w:r>
        <w:rPr>
          <w:color w:val="231F20"/>
          <w:sz w:val="20"/>
        </w:rPr>
        <w:t>It</w:t>
      </w:r>
      <w:r>
        <w:rPr>
          <w:color w:val="231F20"/>
          <w:spacing w:val="-9"/>
          <w:sz w:val="20"/>
        </w:rPr>
        <w:t xml:space="preserve"> </w:t>
      </w:r>
      <w:r>
        <w:rPr>
          <w:color w:val="231F20"/>
          <w:sz w:val="20"/>
        </w:rPr>
        <w:t>expressed</w:t>
      </w:r>
      <w:r>
        <w:rPr>
          <w:color w:val="231F20"/>
          <w:spacing w:val="-9"/>
          <w:sz w:val="20"/>
        </w:rPr>
        <w:t xml:space="preserve"> </w:t>
      </w:r>
      <w:r>
        <w:rPr>
          <w:color w:val="231F20"/>
          <w:sz w:val="20"/>
        </w:rPr>
        <w:t>concerns</w:t>
      </w:r>
      <w:r>
        <w:rPr>
          <w:color w:val="231F20"/>
          <w:spacing w:val="-9"/>
          <w:sz w:val="20"/>
        </w:rPr>
        <w:t xml:space="preserve"> </w:t>
      </w:r>
      <w:r>
        <w:rPr>
          <w:color w:val="231F20"/>
          <w:sz w:val="20"/>
        </w:rPr>
        <w:t>about</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volume</w:t>
      </w:r>
      <w:r>
        <w:rPr>
          <w:color w:val="231F20"/>
          <w:spacing w:val="-9"/>
          <w:sz w:val="20"/>
        </w:rPr>
        <w:t xml:space="preserve"> </w:t>
      </w:r>
      <w:r>
        <w:rPr>
          <w:color w:val="231F20"/>
          <w:sz w:val="20"/>
        </w:rPr>
        <w:t>of</w:t>
      </w:r>
      <w:r>
        <w:rPr>
          <w:color w:val="231F20"/>
          <w:spacing w:val="-9"/>
          <w:sz w:val="20"/>
        </w:rPr>
        <w:t xml:space="preserve"> </w:t>
      </w:r>
      <w:r>
        <w:rPr>
          <w:color w:val="231F20"/>
          <w:sz w:val="20"/>
        </w:rPr>
        <w:t>cases</w:t>
      </w:r>
      <w:r>
        <w:rPr>
          <w:color w:val="231F20"/>
          <w:spacing w:val="-9"/>
          <w:sz w:val="20"/>
        </w:rPr>
        <w:t xml:space="preserve"> </w:t>
      </w:r>
      <w:r>
        <w:rPr>
          <w:color w:val="231F20"/>
          <w:sz w:val="20"/>
        </w:rPr>
        <w:t>already</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spacing w:val="-9"/>
          <w:sz w:val="20"/>
        </w:rPr>
        <w:t xml:space="preserve"> </w:t>
      </w:r>
      <w:proofErr w:type="gramStart"/>
      <w:r>
        <w:rPr>
          <w:color w:val="231F20"/>
          <w:sz w:val="20"/>
        </w:rPr>
        <w:t>courts, and</w:t>
      </w:r>
      <w:proofErr w:type="gramEnd"/>
      <w:r>
        <w:rPr>
          <w:color w:val="231F20"/>
          <w:sz w:val="20"/>
        </w:rPr>
        <w:t xml:space="preserve"> noted that stalking cases needed a </w:t>
      </w:r>
      <w:r>
        <w:rPr>
          <w:color w:val="231F20"/>
          <w:spacing w:val="-4"/>
          <w:sz w:val="20"/>
        </w:rPr>
        <w:t xml:space="preserve">level </w:t>
      </w:r>
      <w:r>
        <w:rPr>
          <w:color w:val="231F20"/>
          <w:sz w:val="20"/>
        </w:rPr>
        <w:t xml:space="preserve">of </w:t>
      </w:r>
      <w:r>
        <w:rPr>
          <w:color w:val="231F20"/>
          <w:spacing w:val="-3"/>
          <w:sz w:val="20"/>
        </w:rPr>
        <w:t xml:space="preserve">attention </w:t>
      </w:r>
      <w:r>
        <w:rPr>
          <w:color w:val="231F20"/>
          <w:sz w:val="20"/>
        </w:rPr>
        <w:t xml:space="preserve">that </w:t>
      </w:r>
      <w:r>
        <w:rPr>
          <w:color w:val="231F20"/>
          <w:spacing w:val="-3"/>
          <w:sz w:val="20"/>
        </w:rPr>
        <w:t xml:space="preserve">would </w:t>
      </w:r>
      <w:r>
        <w:rPr>
          <w:color w:val="231F20"/>
          <w:sz w:val="20"/>
        </w:rPr>
        <w:t xml:space="preserve">be impossible to </w:t>
      </w:r>
      <w:r>
        <w:rPr>
          <w:color w:val="231F20"/>
          <w:spacing w:val="-3"/>
          <w:sz w:val="20"/>
        </w:rPr>
        <w:t xml:space="preserve">achieve </w:t>
      </w:r>
      <w:r>
        <w:rPr>
          <w:color w:val="231F20"/>
          <w:sz w:val="20"/>
        </w:rPr>
        <w:t xml:space="preserve">in the </w:t>
      </w:r>
      <w:r>
        <w:rPr>
          <w:color w:val="231F20"/>
          <w:spacing w:val="-3"/>
          <w:sz w:val="20"/>
        </w:rPr>
        <w:t xml:space="preserve">family </w:t>
      </w:r>
      <w:r>
        <w:rPr>
          <w:color w:val="231F20"/>
          <w:sz w:val="20"/>
        </w:rPr>
        <w:t xml:space="preserve">violence courts. They also said that it </w:t>
      </w:r>
      <w:r>
        <w:rPr>
          <w:color w:val="231F20"/>
          <w:spacing w:val="-3"/>
          <w:sz w:val="20"/>
        </w:rPr>
        <w:t xml:space="preserve">would </w:t>
      </w:r>
      <w:r>
        <w:rPr>
          <w:color w:val="231F20"/>
          <w:sz w:val="20"/>
        </w:rPr>
        <w:t xml:space="preserve">be </w:t>
      </w:r>
      <w:r>
        <w:rPr>
          <w:color w:val="231F20"/>
          <w:spacing w:val="-3"/>
          <w:sz w:val="20"/>
        </w:rPr>
        <w:t xml:space="preserve">inappropriate </w:t>
      </w:r>
      <w:r>
        <w:rPr>
          <w:color w:val="231F20"/>
          <w:sz w:val="20"/>
        </w:rPr>
        <w:t>to put</w:t>
      </w:r>
      <w:r>
        <w:rPr>
          <w:color w:val="231F20"/>
          <w:spacing w:val="-10"/>
          <w:sz w:val="20"/>
        </w:rPr>
        <w:t xml:space="preserve"> </w:t>
      </w:r>
      <w:r>
        <w:rPr>
          <w:color w:val="231F20"/>
          <w:sz w:val="20"/>
        </w:rPr>
        <w:t>non-family</w:t>
      </w:r>
      <w:r>
        <w:rPr>
          <w:color w:val="231F20"/>
          <w:spacing w:val="-9"/>
          <w:sz w:val="20"/>
        </w:rPr>
        <w:t xml:space="preserve"> </w:t>
      </w:r>
      <w:r>
        <w:rPr>
          <w:color w:val="231F20"/>
          <w:sz w:val="20"/>
        </w:rPr>
        <w:t>violence</w:t>
      </w:r>
      <w:r>
        <w:rPr>
          <w:color w:val="231F20"/>
          <w:spacing w:val="-9"/>
          <w:sz w:val="20"/>
        </w:rPr>
        <w:t xml:space="preserve"> </w:t>
      </w:r>
      <w:r>
        <w:rPr>
          <w:color w:val="231F20"/>
          <w:sz w:val="20"/>
        </w:rPr>
        <w:t>stalking</w:t>
      </w:r>
      <w:r>
        <w:rPr>
          <w:color w:val="231F20"/>
          <w:spacing w:val="-9"/>
          <w:sz w:val="20"/>
        </w:rPr>
        <w:t xml:space="preserve"> </w:t>
      </w:r>
      <w:r>
        <w:rPr>
          <w:color w:val="231F20"/>
          <w:sz w:val="20"/>
        </w:rPr>
        <w:t>cases</w:t>
      </w:r>
      <w:r>
        <w:rPr>
          <w:color w:val="231F20"/>
          <w:spacing w:val="-9"/>
          <w:sz w:val="20"/>
        </w:rPr>
        <w:t xml:space="preserve"> </w:t>
      </w:r>
      <w:r>
        <w:rPr>
          <w:color w:val="231F20"/>
          <w:sz w:val="20"/>
        </w:rPr>
        <w:t>in</w:t>
      </w:r>
      <w:r>
        <w:rPr>
          <w:color w:val="231F20"/>
          <w:spacing w:val="-9"/>
          <w:sz w:val="20"/>
        </w:rPr>
        <w:t xml:space="preserve"> </w:t>
      </w:r>
      <w:r>
        <w:rPr>
          <w:color w:val="231F20"/>
          <w:sz w:val="20"/>
        </w:rPr>
        <w:t>an</w:t>
      </w:r>
      <w:r>
        <w:rPr>
          <w:color w:val="231F20"/>
          <w:spacing w:val="-9"/>
          <w:sz w:val="20"/>
        </w:rPr>
        <w:t xml:space="preserve"> </w:t>
      </w:r>
      <w:r>
        <w:rPr>
          <w:color w:val="231F20"/>
          <w:spacing w:val="-3"/>
          <w:sz w:val="20"/>
        </w:rPr>
        <w:t>environment</w:t>
      </w:r>
      <w:r>
        <w:rPr>
          <w:color w:val="231F20"/>
          <w:spacing w:val="-10"/>
          <w:sz w:val="20"/>
        </w:rPr>
        <w:t xml:space="preserve"> </w:t>
      </w:r>
      <w:r>
        <w:rPr>
          <w:color w:val="231F20"/>
          <w:sz w:val="20"/>
        </w:rPr>
        <w:t>with</w:t>
      </w:r>
      <w:r>
        <w:rPr>
          <w:color w:val="231F20"/>
          <w:spacing w:val="-9"/>
          <w:sz w:val="20"/>
        </w:rPr>
        <w:t xml:space="preserve"> </w:t>
      </w:r>
      <w:r>
        <w:rPr>
          <w:color w:val="231F20"/>
          <w:sz w:val="20"/>
        </w:rPr>
        <w:t>a</w:t>
      </w:r>
      <w:r>
        <w:rPr>
          <w:color w:val="231F20"/>
          <w:spacing w:val="-9"/>
          <w:sz w:val="20"/>
        </w:rPr>
        <w:t xml:space="preserve"> </w:t>
      </w:r>
      <w:r>
        <w:rPr>
          <w:color w:val="231F20"/>
          <w:sz w:val="20"/>
        </w:rPr>
        <w:t>strong</w:t>
      </w:r>
      <w:r>
        <w:rPr>
          <w:color w:val="231F20"/>
          <w:spacing w:val="-9"/>
          <w:sz w:val="20"/>
        </w:rPr>
        <w:t xml:space="preserve"> </w:t>
      </w:r>
      <w:r>
        <w:rPr>
          <w:color w:val="231F20"/>
          <w:spacing w:val="-3"/>
          <w:sz w:val="20"/>
        </w:rPr>
        <w:t>family</w:t>
      </w:r>
      <w:r>
        <w:rPr>
          <w:color w:val="231F20"/>
          <w:spacing w:val="-9"/>
          <w:sz w:val="20"/>
        </w:rPr>
        <w:t xml:space="preserve"> </w:t>
      </w:r>
      <w:r>
        <w:rPr>
          <w:color w:val="231F20"/>
          <w:sz w:val="20"/>
        </w:rPr>
        <w:t xml:space="preserve">violence </w:t>
      </w:r>
      <w:r>
        <w:rPr>
          <w:color w:val="231F20"/>
          <w:spacing w:val="-4"/>
          <w:sz w:val="20"/>
        </w:rPr>
        <w:t>‘culture’.</w:t>
      </w:r>
      <w:r>
        <w:rPr>
          <w:color w:val="231F20"/>
          <w:spacing w:val="-4"/>
          <w:position w:val="7"/>
          <w:sz w:val="11"/>
        </w:rPr>
        <w:t>89</w:t>
      </w:r>
    </w:p>
    <w:p w14:paraId="57B2A2F9" w14:textId="77777777" w:rsidR="00894070" w:rsidRDefault="009B7AFD">
      <w:pPr>
        <w:pStyle w:val="ListParagraph"/>
        <w:numPr>
          <w:ilvl w:val="1"/>
          <w:numId w:val="102"/>
        </w:numPr>
        <w:tabs>
          <w:tab w:val="left" w:pos="1801"/>
          <w:tab w:val="left" w:pos="1802"/>
        </w:tabs>
        <w:spacing w:before="94"/>
        <w:rPr>
          <w:sz w:val="20"/>
        </w:rPr>
      </w:pPr>
      <w:r>
        <w:rPr>
          <w:color w:val="231F20"/>
          <w:spacing w:val="-3"/>
          <w:sz w:val="20"/>
        </w:rPr>
        <w:t>Forensicare</w:t>
      </w:r>
      <w:r>
        <w:rPr>
          <w:color w:val="231F20"/>
          <w:spacing w:val="-5"/>
          <w:sz w:val="20"/>
        </w:rPr>
        <w:t xml:space="preserve"> </w:t>
      </w:r>
      <w:r>
        <w:rPr>
          <w:color w:val="231F20"/>
          <w:spacing w:val="-3"/>
          <w:sz w:val="20"/>
        </w:rPr>
        <w:t>preferred</w:t>
      </w:r>
      <w:r>
        <w:rPr>
          <w:color w:val="231F20"/>
          <w:spacing w:val="-5"/>
          <w:sz w:val="20"/>
        </w:rPr>
        <w:t xml:space="preserve"> </w:t>
      </w:r>
      <w:r>
        <w:rPr>
          <w:color w:val="231F20"/>
          <w:sz w:val="20"/>
        </w:rPr>
        <w:t>a</w:t>
      </w:r>
      <w:r>
        <w:rPr>
          <w:color w:val="231F20"/>
          <w:spacing w:val="-5"/>
          <w:sz w:val="20"/>
        </w:rPr>
        <w:t xml:space="preserve"> </w:t>
      </w:r>
      <w:r>
        <w:rPr>
          <w:color w:val="231F20"/>
          <w:sz w:val="20"/>
        </w:rPr>
        <w:t>stalking</w:t>
      </w:r>
      <w:r>
        <w:rPr>
          <w:color w:val="231F20"/>
          <w:spacing w:val="-5"/>
          <w:sz w:val="20"/>
        </w:rPr>
        <w:t xml:space="preserve"> </w:t>
      </w:r>
      <w:r>
        <w:rPr>
          <w:color w:val="231F20"/>
          <w:sz w:val="20"/>
        </w:rPr>
        <w:t>list</w:t>
      </w:r>
      <w:r>
        <w:rPr>
          <w:color w:val="231F20"/>
          <w:spacing w:val="-5"/>
          <w:sz w:val="20"/>
        </w:rPr>
        <w:t xml:space="preserve"> </w:t>
      </w:r>
      <w:r>
        <w:rPr>
          <w:color w:val="231F20"/>
          <w:sz w:val="20"/>
        </w:rPr>
        <w:t>outside</w:t>
      </w:r>
      <w:r>
        <w:rPr>
          <w:color w:val="231F20"/>
          <w:spacing w:val="-4"/>
          <w:sz w:val="20"/>
        </w:rPr>
        <w:t xml:space="preserve"> </w:t>
      </w:r>
      <w:r>
        <w:rPr>
          <w:color w:val="231F20"/>
          <w:spacing w:val="-3"/>
          <w:sz w:val="20"/>
        </w:rPr>
        <w:t>family</w:t>
      </w:r>
      <w:r>
        <w:rPr>
          <w:color w:val="231F20"/>
          <w:spacing w:val="-5"/>
          <w:sz w:val="20"/>
        </w:rPr>
        <w:t xml:space="preserve"> </w:t>
      </w:r>
      <w:r>
        <w:rPr>
          <w:color w:val="231F20"/>
          <w:sz w:val="20"/>
        </w:rPr>
        <w:t>violence</w:t>
      </w:r>
      <w:r>
        <w:rPr>
          <w:color w:val="231F20"/>
          <w:spacing w:val="-5"/>
          <w:sz w:val="20"/>
        </w:rPr>
        <w:t xml:space="preserve"> </w:t>
      </w:r>
      <w:r>
        <w:rPr>
          <w:color w:val="231F20"/>
          <w:sz w:val="20"/>
        </w:rPr>
        <w:t>courts</w:t>
      </w:r>
      <w:r>
        <w:rPr>
          <w:color w:val="231F20"/>
          <w:spacing w:val="-5"/>
          <w:sz w:val="20"/>
        </w:rPr>
        <w:t xml:space="preserve"> </w:t>
      </w:r>
      <w:r>
        <w:rPr>
          <w:color w:val="231F20"/>
          <w:sz w:val="20"/>
        </w:rPr>
        <w:t>(discussed</w:t>
      </w:r>
      <w:r>
        <w:rPr>
          <w:color w:val="231F20"/>
          <w:spacing w:val="-5"/>
          <w:sz w:val="20"/>
        </w:rPr>
        <w:t xml:space="preserve"> </w:t>
      </w:r>
      <w:r>
        <w:rPr>
          <w:color w:val="231F20"/>
          <w:sz w:val="20"/>
        </w:rPr>
        <w:t>next).</w:t>
      </w:r>
    </w:p>
    <w:p w14:paraId="7B230ABD" w14:textId="77777777" w:rsidR="00894070" w:rsidRDefault="00894070">
      <w:pPr>
        <w:pStyle w:val="BodyText"/>
        <w:spacing w:before="1"/>
        <w:rPr>
          <w:sz w:val="15"/>
        </w:rPr>
      </w:pPr>
    </w:p>
    <w:p w14:paraId="0A5FDE2A" w14:textId="77777777" w:rsidR="00894070" w:rsidRDefault="009B7AFD">
      <w:pPr>
        <w:pStyle w:val="Heading8"/>
        <w:spacing w:before="1"/>
        <w:ind w:left="1007"/>
      </w:pPr>
      <w:r>
        <w:rPr>
          <w:color w:val="231F20"/>
        </w:rPr>
        <w:t>A specialist stalking PSIO list</w:t>
      </w:r>
    </w:p>
    <w:p w14:paraId="1ADA9B25" w14:textId="77777777" w:rsidR="00894070" w:rsidRDefault="009B7AFD">
      <w:pPr>
        <w:pStyle w:val="ListParagraph"/>
        <w:numPr>
          <w:ilvl w:val="1"/>
          <w:numId w:val="102"/>
        </w:numPr>
        <w:tabs>
          <w:tab w:val="left" w:pos="1801"/>
          <w:tab w:val="left" w:pos="1802"/>
        </w:tabs>
        <w:spacing w:before="127" w:line="206" w:lineRule="auto"/>
        <w:ind w:right="1735"/>
        <w:rPr>
          <w:sz w:val="20"/>
        </w:rPr>
      </w:pPr>
      <w:r>
        <w:rPr>
          <w:color w:val="231F20"/>
          <w:sz w:val="20"/>
        </w:rPr>
        <w:t>Regardless</w:t>
      </w:r>
      <w:r>
        <w:rPr>
          <w:color w:val="231F20"/>
          <w:spacing w:val="-11"/>
          <w:sz w:val="20"/>
        </w:rPr>
        <w:t xml:space="preserve"> </w:t>
      </w:r>
      <w:r>
        <w:rPr>
          <w:color w:val="231F20"/>
          <w:sz w:val="20"/>
        </w:rPr>
        <w:t>of</w:t>
      </w:r>
      <w:r>
        <w:rPr>
          <w:color w:val="231F20"/>
          <w:spacing w:val="-10"/>
          <w:sz w:val="20"/>
        </w:rPr>
        <w:t xml:space="preserve"> </w:t>
      </w:r>
      <w:r>
        <w:rPr>
          <w:color w:val="231F20"/>
          <w:sz w:val="20"/>
        </w:rPr>
        <w:t>whether</w:t>
      </w:r>
      <w:r>
        <w:rPr>
          <w:color w:val="231F20"/>
          <w:spacing w:val="-10"/>
          <w:sz w:val="20"/>
        </w:rPr>
        <w:t xml:space="preserve"> </w:t>
      </w:r>
      <w:r>
        <w:rPr>
          <w:color w:val="231F20"/>
          <w:sz w:val="20"/>
        </w:rPr>
        <w:t>the</w:t>
      </w:r>
      <w:r>
        <w:rPr>
          <w:color w:val="231F20"/>
          <w:spacing w:val="-11"/>
          <w:sz w:val="20"/>
        </w:rPr>
        <w:t xml:space="preserve"> </w:t>
      </w:r>
      <w:r>
        <w:rPr>
          <w:color w:val="231F20"/>
          <w:spacing w:val="-3"/>
          <w:sz w:val="20"/>
        </w:rPr>
        <w:t>family</w:t>
      </w:r>
      <w:r>
        <w:rPr>
          <w:color w:val="231F20"/>
          <w:spacing w:val="-10"/>
          <w:sz w:val="20"/>
        </w:rPr>
        <w:t xml:space="preserve"> </w:t>
      </w:r>
      <w:r>
        <w:rPr>
          <w:color w:val="231F20"/>
          <w:sz w:val="20"/>
        </w:rPr>
        <w:t>violence</w:t>
      </w:r>
      <w:r>
        <w:rPr>
          <w:color w:val="231F20"/>
          <w:spacing w:val="-10"/>
          <w:sz w:val="20"/>
        </w:rPr>
        <w:t xml:space="preserve"> </w:t>
      </w:r>
      <w:r>
        <w:rPr>
          <w:color w:val="231F20"/>
          <w:sz w:val="20"/>
        </w:rPr>
        <w:t>courts</w:t>
      </w:r>
      <w:r>
        <w:rPr>
          <w:color w:val="231F20"/>
          <w:spacing w:val="-11"/>
          <w:sz w:val="20"/>
        </w:rPr>
        <w:t xml:space="preserve"> </w:t>
      </w:r>
      <w:r>
        <w:rPr>
          <w:color w:val="231F20"/>
          <w:spacing w:val="-3"/>
          <w:sz w:val="20"/>
        </w:rPr>
        <w:t>are</w:t>
      </w:r>
      <w:r>
        <w:rPr>
          <w:color w:val="231F20"/>
          <w:spacing w:val="-10"/>
          <w:sz w:val="20"/>
        </w:rPr>
        <w:t xml:space="preserve"> </w:t>
      </w:r>
      <w:r>
        <w:rPr>
          <w:color w:val="231F20"/>
          <w:sz w:val="20"/>
        </w:rPr>
        <w:t>used</w:t>
      </w:r>
      <w:r>
        <w:rPr>
          <w:color w:val="231F20"/>
          <w:spacing w:val="-10"/>
          <w:sz w:val="20"/>
        </w:rPr>
        <w:t xml:space="preserve"> </w:t>
      </w:r>
      <w:r>
        <w:rPr>
          <w:color w:val="231F20"/>
          <w:sz w:val="20"/>
        </w:rPr>
        <w:t>to</w:t>
      </w:r>
      <w:r>
        <w:rPr>
          <w:color w:val="231F20"/>
          <w:spacing w:val="-11"/>
          <w:sz w:val="20"/>
        </w:rPr>
        <w:t xml:space="preserve"> </w:t>
      </w:r>
      <w:r>
        <w:rPr>
          <w:color w:val="231F20"/>
          <w:sz w:val="20"/>
        </w:rPr>
        <w:t>manage</w:t>
      </w:r>
      <w:r>
        <w:rPr>
          <w:color w:val="231F20"/>
          <w:spacing w:val="-10"/>
          <w:sz w:val="20"/>
        </w:rPr>
        <w:t xml:space="preserve"> </w:t>
      </w:r>
      <w:r>
        <w:rPr>
          <w:color w:val="231F20"/>
          <w:sz w:val="20"/>
        </w:rPr>
        <w:t xml:space="preserve">non-family violence stalking matters, there </w:t>
      </w:r>
      <w:r>
        <w:rPr>
          <w:color w:val="231F20"/>
          <w:spacing w:val="-3"/>
          <w:sz w:val="20"/>
        </w:rPr>
        <w:t xml:space="preserve">may </w:t>
      </w:r>
      <w:r>
        <w:rPr>
          <w:color w:val="231F20"/>
          <w:sz w:val="20"/>
        </w:rPr>
        <w:t xml:space="preserve">be value in </w:t>
      </w:r>
      <w:r>
        <w:rPr>
          <w:color w:val="231F20"/>
          <w:spacing w:val="-3"/>
          <w:sz w:val="20"/>
        </w:rPr>
        <w:t xml:space="preserve">creating </w:t>
      </w:r>
      <w:r>
        <w:rPr>
          <w:color w:val="231F20"/>
          <w:sz w:val="20"/>
        </w:rPr>
        <w:t>a clear administrative grouping around non-family violence stalking</w:t>
      </w:r>
      <w:r>
        <w:rPr>
          <w:color w:val="231F20"/>
          <w:spacing w:val="-26"/>
          <w:sz w:val="20"/>
        </w:rPr>
        <w:t xml:space="preserve"> </w:t>
      </w:r>
      <w:r>
        <w:rPr>
          <w:color w:val="231F20"/>
          <w:sz w:val="20"/>
        </w:rPr>
        <w:t>cases.</w:t>
      </w:r>
    </w:p>
    <w:p w14:paraId="4F7EA286" w14:textId="77777777" w:rsidR="00894070" w:rsidRDefault="009B7AFD">
      <w:pPr>
        <w:pStyle w:val="ListParagraph"/>
        <w:numPr>
          <w:ilvl w:val="1"/>
          <w:numId w:val="102"/>
        </w:numPr>
        <w:tabs>
          <w:tab w:val="left" w:pos="1802"/>
        </w:tabs>
        <w:spacing w:before="123" w:line="206" w:lineRule="auto"/>
        <w:ind w:right="1319"/>
        <w:jc w:val="both"/>
        <w:rPr>
          <w:sz w:val="20"/>
        </w:rPr>
      </w:pPr>
      <w:r>
        <w:rPr>
          <w:color w:val="231F20"/>
          <w:sz w:val="20"/>
        </w:rPr>
        <w:t>The</w:t>
      </w:r>
      <w:r>
        <w:rPr>
          <w:color w:val="231F20"/>
          <w:spacing w:val="-11"/>
          <w:sz w:val="20"/>
        </w:rPr>
        <w:t xml:space="preserve"> </w:t>
      </w:r>
      <w:r>
        <w:rPr>
          <w:color w:val="231F20"/>
          <w:sz w:val="20"/>
        </w:rPr>
        <w:t>Victims</w:t>
      </w:r>
      <w:r>
        <w:rPr>
          <w:color w:val="231F20"/>
          <w:spacing w:val="-10"/>
          <w:sz w:val="20"/>
        </w:rPr>
        <w:t xml:space="preserve"> </w:t>
      </w:r>
      <w:r>
        <w:rPr>
          <w:color w:val="231F20"/>
          <w:sz w:val="20"/>
        </w:rPr>
        <w:t>of</w:t>
      </w:r>
      <w:r>
        <w:rPr>
          <w:color w:val="231F20"/>
          <w:spacing w:val="-10"/>
          <w:sz w:val="20"/>
        </w:rPr>
        <w:t xml:space="preserve"> </w:t>
      </w:r>
      <w:r>
        <w:rPr>
          <w:color w:val="231F20"/>
          <w:sz w:val="20"/>
        </w:rPr>
        <w:t>Crime</w:t>
      </w:r>
      <w:r>
        <w:rPr>
          <w:color w:val="231F20"/>
          <w:spacing w:val="-11"/>
          <w:sz w:val="20"/>
        </w:rPr>
        <w:t xml:space="preserve"> </w:t>
      </w:r>
      <w:r>
        <w:rPr>
          <w:color w:val="231F20"/>
          <w:sz w:val="20"/>
        </w:rPr>
        <w:t>Commissioner</w:t>
      </w:r>
      <w:r>
        <w:rPr>
          <w:color w:val="231F20"/>
          <w:spacing w:val="-10"/>
          <w:sz w:val="20"/>
        </w:rPr>
        <w:t xml:space="preserve"> </w:t>
      </w:r>
      <w:r>
        <w:rPr>
          <w:color w:val="231F20"/>
          <w:sz w:val="20"/>
        </w:rPr>
        <w:t>suggested</w:t>
      </w:r>
      <w:r>
        <w:rPr>
          <w:color w:val="231F20"/>
          <w:spacing w:val="-10"/>
          <w:sz w:val="20"/>
        </w:rPr>
        <w:t xml:space="preserve"> </w:t>
      </w:r>
      <w:r>
        <w:rPr>
          <w:color w:val="231F20"/>
          <w:sz w:val="20"/>
        </w:rPr>
        <w:t>that</w:t>
      </w:r>
      <w:r>
        <w:rPr>
          <w:color w:val="231F20"/>
          <w:spacing w:val="-11"/>
          <w:sz w:val="20"/>
        </w:rPr>
        <w:t xml:space="preserve"> </w:t>
      </w:r>
      <w:r>
        <w:rPr>
          <w:color w:val="231F20"/>
          <w:sz w:val="20"/>
        </w:rPr>
        <w:t>consideration</w:t>
      </w:r>
      <w:r>
        <w:rPr>
          <w:color w:val="231F20"/>
          <w:spacing w:val="-10"/>
          <w:sz w:val="20"/>
        </w:rPr>
        <w:t xml:space="preserve"> </w:t>
      </w:r>
      <w:r>
        <w:rPr>
          <w:color w:val="231F20"/>
          <w:sz w:val="20"/>
        </w:rPr>
        <w:t>should</w:t>
      </w:r>
      <w:r>
        <w:rPr>
          <w:color w:val="231F20"/>
          <w:spacing w:val="-10"/>
          <w:sz w:val="20"/>
        </w:rPr>
        <w:t xml:space="preserve"> </w:t>
      </w:r>
      <w:r>
        <w:rPr>
          <w:color w:val="231F20"/>
          <w:sz w:val="20"/>
        </w:rPr>
        <w:t>be</w:t>
      </w:r>
      <w:r>
        <w:rPr>
          <w:color w:val="231F20"/>
          <w:spacing w:val="-11"/>
          <w:sz w:val="20"/>
        </w:rPr>
        <w:t xml:space="preserve"> </w:t>
      </w:r>
      <w:r>
        <w:rPr>
          <w:color w:val="231F20"/>
          <w:spacing w:val="-3"/>
          <w:sz w:val="20"/>
        </w:rPr>
        <w:t>given</w:t>
      </w:r>
      <w:r>
        <w:rPr>
          <w:color w:val="231F20"/>
          <w:spacing w:val="-10"/>
          <w:sz w:val="20"/>
        </w:rPr>
        <w:t xml:space="preserve"> </w:t>
      </w:r>
      <w:r>
        <w:rPr>
          <w:color w:val="231F20"/>
          <w:sz w:val="20"/>
        </w:rPr>
        <w:t xml:space="preserve">to whether a specialist stalking list </w:t>
      </w:r>
      <w:r>
        <w:rPr>
          <w:color w:val="231F20"/>
          <w:spacing w:val="-3"/>
          <w:sz w:val="20"/>
        </w:rPr>
        <w:t xml:space="preserve">(or </w:t>
      </w:r>
      <w:r>
        <w:rPr>
          <w:color w:val="231F20"/>
          <w:sz w:val="20"/>
        </w:rPr>
        <w:t xml:space="preserve">division) should be established in the </w:t>
      </w:r>
      <w:r>
        <w:rPr>
          <w:color w:val="231F20"/>
          <w:spacing w:val="-3"/>
          <w:sz w:val="20"/>
        </w:rPr>
        <w:t xml:space="preserve">Magistrates’ </w:t>
      </w:r>
      <w:r>
        <w:rPr>
          <w:color w:val="231F20"/>
          <w:sz w:val="20"/>
        </w:rPr>
        <w:t>Court.</w:t>
      </w:r>
      <w:r>
        <w:rPr>
          <w:color w:val="231F20"/>
          <w:spacing w:val="-10"/>
          <w:sz w:val="20"/>
        </w:rPr>
        <w:t xml:space="preserve"> </w:t>
      </w:r>
      <w:r>
        <w:rPr>
          <w:color w:val="231F20"/>
          <w:sz w:val="20"/>
        </w:rPr>
        <w:t>This</w:t>
      </w:r>
      <w:r>
        <w:rPr>
          <w:color w:val="231F20"/>
          <w:spacing w:val="-9"/>
          <w:sz w:val="20"/>
        </w:rPr>
        <w:t xml:space="preserve"> </w:t>
      </w:r>
      <w:r>
        <w:rPr>
          <w:color w:val="231F20"/>
          <w:spacing w:val="-3"/>
          <w:sz w:val="20"/>
        </w:rPr>
        <w:t>would</w:t>
      </w:r>
      <w:r>
        <w:rPr>
          <w:color w:val="231F20"/>
          <w:spacing w:val="-9"/>
          <w:sz w:val="20"/>
        </w:rPr>
        <w:t xml:space="preserve"> </w:t>
      </w:r>
      <w:r>
        <w:rPr>
          <w:color w:val="231F20"/>
          <w:sz w:val="20"/>
        </w:rPr>
        <w:t>enable</w:t>
      </w:r>
      <w:r>
        <w:rPr>
          <w:color w:val="231F20"/>
          <w:spacing w:val="-9"/>
          <w:sz w:val="20"/>
        </w:rPr>
        <w:t xml:space="preserve"> </w:t>
      </w:r>
      <w:r>
        <w:rPr>
          <w:color w:val="231F20"/>
          <w:sz w:val="20"/>
        </w:rPr>
        <w:t>high-risk</w:t>
      </w:r>
      <w:r>
        <w:rPr>
          <w:color w:val="231F20"/>
          <w:spacing w:val="-9"/>
          <w:sz w:val="20"/>
        </w:rPr>
        <w:t xml:space="preserve"> </w:t>
      </w:r>
      <w:r>
        <w:rPr>
          <w:color w:val="231F20"/>
          <w:sz w:val="20"/>
        </w:rPr>
        <w:t>cases</w:t>
      </w:r>
      <w:r>
        <w:rPr>
          <w:color w:val="231F20"/>
          <w:spacing w:val="-9"/>
          <w:sz w:val="20"/>
        </w:rPr>
        <w:t xml:space="preserve"> </w:t>
      </w:r>
      <w:r>
        <w:rPr>
          <w:color w:val="231F20"/>
          <w:sz w:val="20"/>
        </w:rPr>
        <w:t>to</w:t>
      </w:r>
      <w:r>
        <w:rPr>
          <w:color w:val="231F20"/>
          <w:spacing w:val="-9"/>
          <w:sz w:val="20"/>
        </w:rPr>
        <w:t xml:space="preserve"> </w:t>
      </w:r>
      <w:r>
        <w:rPr>
          <w:color w:val="231F20"/>
          <w:sz w:val="20"/>
        </w:rPr>
        <w:t>be</w:t>
      </w:r>
      <w:r>
        <w:rPr>
          <w:color w:val="231F20"/>
          <w:spacing w:val="-9"/>
          <w:sz w:val="20"/>
        </w:rPr>
        <w:t xml:space="preserve"> </w:t>
      </w:r>
      <w:r>
        <w:rPr>
          <w:color w:val="231F20"/>
          <w:sz w:val="20"/>
        </w:rPr>
        <w:t>centralised</w:t>
      </w:r>
      <w:r>
        <w:rPr>
          <w:color w:val="231F20"/>
          <w:spacing w:val="-9"/>
          <w:sz w:val="20"/>
        </w:rPr>
        <w:t xml:space="preserve"> </w:t>
      </w:r>
      <w:r>
        <w:rPr>
          <w:color w:val="231F20"/>
          <w:sz w:val="20"/>
        </w:rPr>
        <w:t>and</w:t>
      </w:r>
      <w:r>
        <w:rPr>
          <w:color w:val="231F20"/>
          <w:spacing w:val="-9"/>
          <w:sz w:val="20"/>
        </w:rPr>
        <w:t xml:space="preserve"> </w:t>
      </w:r>
      <w:r>
        <w:rPr>
          <w:color w:val="231F20"/>
          <w:sz w:val="20"/>
        </w:rPr>
        <w:t>dealt</w:t>
      </w:r>
      <w:r>
        <w:rPr>
          <w:color w:val="231F20"/>
          <w:spacing w:val="-9"/>
          <w:sz w:val="20"/>
        </w:rPr>
        <w:t xml:space="preserve"> </w:t>
      </w:r>
      <w:r>
        <w:rPr>
          <w:color w:val="231F20"/>
          <w:sz w:val="20"/>
        </w:rPr>
        <w:t>with</w:t>
      </w:r>
      <w:r>
        <w:rPr>
          <w:color w:val="231F20"/>
          <w:spacing w:val="-9"/>
          <w:sz w:val="20"/>
        </w:rPr>
        <w:t xml:space="preserve"> </w:t>
      </w:r>
      <w:r>
        <w:rPr>
          <w:color w:val="231F20"/>
          <w:spacing w:val="-3"/>
          <w:sz w:val="20"/>
        </w:rPr>
        <w:t>by</w:t>
      </w:r>
      <w:r>
        <w:rPr>
          <w:color w:val="231F20"/>
          <w:spacing w:val="-9"/>
          <w:sz w:val="20"/>
        </w:rPr>
        <w:t xml:space="preserve"> </w:t>
      </w:r>
      <w:r>
        <w:rPr>
          <w:color w:val="231F20"/>
          <w:sz w:val="20"/>
        </w:rPr>
        <w:t>specialist magistrates.</w:t>
      </w:r>
      <w:r>
        <w:rPr>
          <w:color w:val="231F20"/>
          <w:position w:val="7"/>
          <w:sz w:val="11"/>
        </w:rPr>
        <w:t xml:space="preserve">90 </w:t>
      </w:r>
      <w:r>
        <w:rPr>
          <w:color w:val="231F20"/>
          <w:spacing w:val="-6"/>
          <w:sz w:val="20"/>
        </w:rPr>
        <w:t xml:space="preserve">We </w:t>
      </w:r>
      <w:r>
        <w:rPr>
          <w:color w:val="231F20"/>
          <w:sz w:val="20"/>
        </w:rPr>
        <w:t xml:space="preserve">agree that centralisation </w:t>
      </w:r>
      <w:r>
        <w:rPr>
          <w:color w:val="231F20"/>
          <w:spacing w:val="-3"/>
          <w:sz w:val="20"/>
        </w:rPr>
        <w:t xml:space="preserve">would </w:t>
      </w:r>
      <w:r>
        <w:rPr>
          <w:color w:val="231F20"/>
          <w:sz w:val="20"/>
        </w:rPr>
        <w:t xml:space="preserve">be helpful </w:t>
      </w:r>
      <w:r>
        <w:rPr>
          <w:color w:val="231F20"/>
          <w:spacing w:val="-3"/>
          <w:sz w:val="20"/>
        </w:rPr>
        <w:t>for several</w:t>
      </w:r>
      <w:r>
        <w:rPr>
          <w:color w:val="231F20"/>
          <w:spacing w:val="-34"/>
          <w:sz w:val="20"/>
        </w:rPr>
        <w:t xml:space="preserve"> </w:t>
      </w:r>
      <w:r>
        <w:rPr>
          <w:color w:val="231F20"/>
          <w:sz w:val="20"/>
        </w:rPr>
        <w:t>reasons:</w:t>
      </w:r>
    </w:p>
    <w:p w14:paraId="482DBE7A" w14:textId="77777777" w:rsidR="00894070" w:rsidRDefault="009B7AFD">
      <w:pPr>
        <w:pStyle w:val="ListParagraph"/>
        <w:numPr>
          <w:ilvl w:val="2"/>
          <w:numId w:val="102"/>
        </w:numPr>
        <w:tabs>
          <w:tab w:val="left" w:pos="2141"/>
          <w:tab w:val="left" w:pos="2142"/>
        </w:tabs>
        <w:spacing w:before="93" w:line="259" w:lineRule="exact"/>
        <w:ind w:hanging="340"/>
        <w:rPr>
          <w:sz w:val="20"/>
        </w:rPr>
      </w:pPr>
      <w:r>
        <w:rPr>
          <w:color w:val="231F20"/>
          <w:sz w:val="20"/>
        </w:rPr>
        <w:t>Cases</w:t>
      </w:r>
      <w:r>
        <w:rPr>
          <w:color w:val="231F20"/>
          <w:spacing w:val="-6"/>
          <w:sz w:val="20"/>
        </w:rPr>
        <w:t xml:space="preserve"> </w:t>
      </w:r>
      <w:r>
        <w:rPr>
          <w:color w:val="231F20"/>
          <w:sz w:val="20"/>
        </w:rPr>
        <w:t>that</w:t>
      </w:r>
      <w:r>
        <w:rPr>
          <w:color w:val="231F20"/>
          <w:spacing w:val="-5"/>
          <w:sz w:val="20"/>
        </w:rPr>
        <w:t xml:space="preserve"> </w:t>
      </w:r>
      <w:r>
        <w:rPr>
          <w:color w:val="231F20"/>
          <w:sz w:val="20"/>
        </w:rPr>
        <w:t>need</w:t>
      </w:r>
      <w:r>
        <w:rPr>
          <w:color w:val="231F20"/>
          <w:spacing w:val="-5"/>
          <w:sz w:val="20"/>
        </w:rPr>
        <w:t xml:space="preserve"> </w:t>
      </w:r>
      <w:r>
        <w:rPr>
          <w:color w:val="231F20"/>
          <w:spacing w:val="-3"/>
          <w:sz w:val="20"/>
        </w:rPr>
        <w:t>active</w:t>
      </w:r>
      <w:r>
        <w:rPr>
          <w:color w:val="231F20"/>
          <w:spacing w:val="-5"/>
          <w:sz w:val="20"/>
        </w:rPr>
        <w:t xml:space="preserve"> </w:t>
      </w:r>
      <w:r>
        <w:rPr>
          <w:color w:val="231F20"/>
          <w:sz w:val="20"/>
        </w:rPr>
        <w:t>case</w:t>
      </w:r>
      <w:r>
        <w:rPr>
          <w:color w:val="231F20"/>
          <w:spacing w:val="-5"/>
          <w:sz w:val="20"/>
        </w:rPr>
        <w:t xml:space="preserve"> </w:t>
      </w:r>
      <w:r>
        <w:rPr>
          <w:color w:val="231F20"/>
          <w:sz w:val="20"/>
        </w:rPr>
        <w:t>management</w:t>
      </w:r>
      <w:r>
        <w:rPr>
          <w:color w:val="231F20"/>
          <w:spacing w:val="-5"/>
          <w:sz w:val="20"/>
        </w:rPr>
        <w:t xml:space="preserve"> </w:t>
      </w:r>
      <w:r>
        <w:rPr>
          <w:color w:val="231F20"/>
          <w:spacing w:val="-3"/>
          <w:sz w:val="20"/>
        </w:rPr>
        <w:t>may</w:t>
      </w:r>
      <w:r>
        <w:rPr>
          <w:color w:val="231F20"/>
          <w:spacing w:val="-5"/>
          <w:sz w:val="20"/>
        </w:rPr>
        <w:t xml:space="preserve"> </w:t>
      </w:r>
      <w:r>
        <w:rPr>
          <w:color w:val="231F20"/>
          <w:sz w:val="20"/>
        </w:rPr>
        <w:t>be</w:t>
      </w:r>
      <w:r>
        <w:rPr>
          <w:color w:val="231F20"/>
          <w:spacing w:val="-5"/>
          <w:sz w:val="20"/>
        </w:rPr>
        <w:t xml:space="preserve"> </w:t>
      </w:r>
      <w:r>
        <w:rPr>
          <w:color w:val="231F20"/>
          <w:sz w:val="20"/>
        </w:rPr>
        <w:t>more</w:t>
      </w:r>
      <w:r>
        <w:rPr>
          <w:color w:val="231F20"/>
          <w:spacing w:val="-5"/>
          <w:sz w:val="20"/>
        </w:rPr>
        <w:t xml:space="preserve"> </w:t>
      </w:r>
      <w:r>
        <w:rPr>
          <w:color w:val="231F20"/>
          <w:spacing w:val="-3"/>
          <w:sz w:val="20"/>
        </w:rPr>
        <w:t>easily</w:t>
      </w:r>
      <w:r>
        <w:rPr>
          <w:color w:val="231F20"/>
          <w:spacing w:val="-5"/>
          <w:sz w:val="20"/>
        </w:rPr>
        <w:t xml:space="preserve"> </w:t>
      </w:r>
      <w:r>
        <w:rPr>
          <w:color w:val="231F20"/>
          <w:sz w:val="20"/>
        </w:rPr>
        <w:t>identified</w:t>
      </w:r>
      <w:r>
        <w:rPr>
          <w:color w:val="231F20"/>
          <w:spacing w:val="-5"/>
          <w:sz w:val="20"/>
        </w:rPr>
        <w:t xml:space="preserve"> </w:t>
      </w:r>
      <w:r>
        <w:rPr>
          <w:color w:val="231F20"/>
          <w:sz w:val="20"/>
        </w:rPr>
        <w:t>than</w:t>
      </w:r>
      <w:r>
        <w:rPr>
          <w:color w:val="231F20"/>
          <w:spacing w:val="-5"/>
          <w:sz w:val="20"/>
        </w:rPr>
        <w:t xml:space="preserve"> </w:t>
      </w:r>
      <w:r>
        <w:rPr>
          <w:color w:val="231F20"/>
          <w:sz w:val="20"/>
        </w:rPr>
        <w:t>is</w:t>
      </w:r>
    </w:p>
    <w:p w14:paraId="1DF13952" w14:textId="77777777" w:rsidR="00894070" w:rsidRDefault="009B7AFD">
      <w:pPr>
        <w:pStyle w:val="BodyText"/>
        <w:spacing w:line="259" w:lineRule="exact"/>
        <w:ind w:left="2141"/>
      </w:pPr>
      <w:r>
        <w:rPr>
          <w:color w:val="231F20"/>
        </w:rPr>
        <w:t>currently the case.</w:t>
      </w:r>
    </w:p>
    <w:p w14:paraId="4A30C0F3" w14:textId="77777777" w:rsidR="00894070" w:rsidRDefault="009B7AFD">
      <w:pPr>
        <w:pStyle w:val="ListParagraph"/>
        <w:numPr>
          <w:ilvl w:val="2"/>
          <w:numId w:val="102"/>
        </w:numPr>
        <w:tabs>
          <w:tab w:val="left" w:pos="2141"/>
          <w:tab w:val="left" w:pos="2142"/>
        </w:tabs>
        <w:spacing w:before="80" w:line="206" w:lineRule="auto"/>
        <w:ind w:right="1273" w:hanging="340"/>
        <w:rPr>
          <w:sz w:val="20"/>
        </w:rPr>
      </w:pPr>
      <w:r>
        <w:rPr>
          <w:color w:val="231F20"/>
          <w:sz w:val="20"/>
        </w:rPr>
        <w:t>Victim</w:t>
      </w:r>
      <w:r>
        <w:rPr>
          <w:color w:val="231F20"/>
          <w:spacing w:val="-8"/>
          <w:sz w:val="20"/>
        </w:rPr>
        <w:t xml:space="preserve"> </w:t>
      </w:r>
      <w:r>
        <w:rPr>
          <w:color w:val="231F20"/>
          <w:sz w:val="20"/>
        </w:rPr>
        <w:t>and</w:t>
      </w:r>
      <w:r>
        <w:rPr>
          <w:color w:val="231F20"/>
          <w:spacing w:val="-7"/>
          <w:sz w:val="20"/>
        </w:rPr>
        <w:t xml:space="preserve"> </w:t>
      </w:r>
      <w:r>
        <w:rPr>
          <w:color w:val="231F20"/>
          <w:spacing w:val="-2"/>
          <w:sz w:val="20"/>
        </w:rPr>
        <w:t>respondent</w:t>
      </w:r>
      <w:r>
        <w:rPr>
          <w:color w:val="231F20"/>
          <w:spacing w:val="-7"/>
          <w:sz w:val="20"/>
        </w:rPr>
        <w:t xml:space="preserve"> </w:t>
      </w:r>
      <w:r>
        <w:rPr>
          <w:color w:val="231F20"/>
          <w:sz w:val="20"/>
        </w:rPr>
        <w:t>services</w:t>
      </w:r>
      <w:r>
        <w:rPr>
          <w:color w:val="231F20"/>
          <w:spacing w:val="-7"/>
          <w:sz w:val="20"/>
        </w:rPr>
        <w:t xml:space="preserve"> </w:t>
      </w:r>
      <w:r>
        <w:rPr>
          <w:color w:val="231F20"/>
          <w:sz w:val="20"/>
        </w:rPr>
        <w:t>could</w:t>
      </w:r>
      <w:r>
        <w:rPr>
          <w:color w:val="231F20"/>
          <w:spacing w:val="-7"/>
          <w:sz w:val="20"/>
        </w:rPr>
        <w:t xml:space="preserve"> </w:t>
      </w:r>
      <w:r>
        <w:rPr>
          <w:color w:val="231F20"/>
          <w:spacing w:val="-2"/>
          <w:sz w:val="20"/>
        </w:rPr>
        <w:t>attend</w:t>
      </w:r>
      <w:r>
        <w:rPr>
          <w:color w:val="231F20"/>
          <w:spacing w:val="-8"/>
          <w:sz w:val="20"/>
        </w:rPr>
        <w:t xml:space="preserve"> </w:t>
      </w:r>
      <w:r>
        <w:rPr>
          <w:color w:val="231F20"/>
          <w:sz w:val="20"/>
        </w:rPr>
        <w:t>court</w:t>
      </w:r>
      <w:r>
        <w:rPr>
          <w:color w:val="231F20"/>
          <w:spacing w:val="-7"/>
          <w:sz w:val="20"/>
        </w:rPr>
        <w:t xml:space="preserve"> </w:t>
      </w:r>
      <w:r>
        <w:rPr>
          <w:color w:val="231F20"/>
          <w:sz w:val="20"/>
        </w:rPr>
        <w:t>on</w:t>
      </w:r>
      <w:r>
        <w:rPr>
          <w:color w:val="231F20"/>
          <w:spacing w:val="-7"/>
          <w:sz w:val="20"/>
        </w:rPr>
        <w:t xml:space="preserve"> </w:t>
      </w:r>
      <w:r>
        <w:rPr>
          <w:color w:val="231F20"/>
          <w:sz w:val="20"/>
        </w:rPr>
        <w:t>list</w:t>
      </w:r>
      <w:r>
        <w:rPr>
          <w:color w:val="231F20"/>
          <w:spacing w:val="-7"/>
          <w:sz w:val="20"/>
        </w:rPr>
        <w:t xml:space="preserve"> </w:t>
      </w:r>
      <w:r>
        <w:rPr>
          <w:color w:val="231F20"/>
          <w:spacing w:val="-3"/>
          <w:sz w:val="20"/>
        </w:rPr>
        <w:t>days,</w:t>
      </w:r>
      <w:r>
        <w:rPr>
          <w:color w:val="231F20"/>
          <w:spacing w:val="-7"/>
          <w:sz w:val="20"/>
        </w:rPr>
        <w:t xml:space="preserve"> </w:t>
      </w:r>
      <w:r>
        <w:rPr>
          <w:color w:val="231F20"/>
          <w:spacing w:val="-3"/>
          <w:sz w:val="20"/>
        </w:rPr>
        <w:t>improving</w:t>
      </w:r>
      <w:r>
        <w:rPr>
          <w:color w:val="231F20"/>
          <w:spacing w:val="-7"/>
          <w:sz w:val="20"/>
        </w:rPr>
        <w:t xml:space="preserve"> </w:t>
      </w:r>
      <w:r>
        <w:rPr>
          <w:color w:val="231F20"/>
          <w:sz w:val="20"/>
        </w:rPr>
        <w:t>referrals to</w:t>
      </w:r>
      <w:r>
        <w:rPr>
          <w:color w:val="231F20"/>
          <w:spacing w:val="-5"/>
          <w:sz w:val="20"/>
        </w:rPr>
        <w:t xml:space="preserve"> </w:t>
      </w:r>
      <w:r>
        <w:rPr>
          <w:color w:val="231F20"/>
          <w:sz w:val="20"/>
        </w:rPr>
        <w:t>services.</w:t>
      </w:r>
    </w:p>
    <w:p w14:paraId="4B671307" w14:textId="77777777" w:rsidR="00894070" w:rsidRDefault="009B7AFD">
      <w:pPr>
        <w:pStyle w:val="ListParagraph"/>
        <w:numPr>
          <w:ilvl w:val="2"/>
          <w:numId w:val="102"/>
        </w:numPr>
        <w:tabs>
          <w:tab w:val="left" w:pos="2141"/>
          <w:tab w:val="left" w:pos="2142"/>
        </w:tabs>
        <w:spacing w:before="87" w:line="206" w:lineRule="auto"/>
        <w:ind w:right="1218" w:hanging="340"/>
        <w:rPr>
          <w:sz w:val="20"/>
        </w:rPr>
      </w:pPr>
      <w:r>
        <w:rPr>
          <w:color w:val="231F20"/>
          <w:sz w:val="20"/>
        </w:rPr>
        <w:t xml:space="preserve">It </w:t>
      </w:r>
      <w:r>
        <w:rPr>
          <w:color w:val="231F20"/>
          <w:spacing w:val="-3"/>
          <w:sz w:val="20"/>
        </w:rPr>
        <w:t xml:space="preserve">may </w:t>
      </w:r>
      <w:r>
        <w:rPr>
          <w:color w:val="231F20"/>
          <w:sz w:val="20"/>
        </w:rPr>
        <w:t xml:space="preserve">be less traumatic </w:t>
      </w:r>
      <w:r>
        <w:rPr>
          <w:color w:val="231F20"/>
          <w:spacing w:val="-3"/>
          <w:sz w:val="20"/>
        </w:rPr>
        <w:t xml:space="preserve">for </w:t>
      </w:r>
      <w:r>
        <w:rPr>
          <w:color w:val="231F20"/>
          <w:sz w:val="20"/>
        </w:rPr>
        <w:t xml:space="preserve">victim survivors if they </w:t>
      </w:r>
      <w:r>
        <w:rPr>
          <w:color w:val="231F20"/>
          <w:spacing w:val="-3"/>
          <w:sz w:val="20"/>
        </w:rPr>
        <w:t xml:space="preserve">are </w:t>
      </w:r>
      <w:r>
        <w:rPr>
          <w:color w:val="231F20"/>
          <w:sz w:val="20"/>
        </w:rPr>
        <w:t>in the presence of other victims</w:t>
      </w:r>
      <w:r>
        <w:rPr>
          <w:color w:val="231F20"/>
          <w:spacing w:val="-9"/>
          <w:sz w:val="20"/>
        </w:rPr>
        <w:t xml:space="preserve"> </w:t>
      </w:r>
      <w:r>
        <w:rPr>
          <w:color w:val="231F20"/>
          <w:sz w:val="20"/>
        </w:rPr>
        <w:t>of</w:t>
      </w:r>
      <w:r>
        <w:rPr>
          <w:color w:val="231F20"/>
          <w:spacing w:val="-9"/>
          <w:sz w:val="20"/>
        </w:rPr>
        <w:t xml:space="preserve"> </w:t>
      </w:r>
      <w:r>
        <w:rPr>
          <w:color w:val="231F20"/>
          <w:sz w:val="20"/>
        </w:rPr>
        <w:t>stalking</w:t>
      </w:r>
      <w:r>
        <w:rPr>
          <w:color w:val="231F20"/>
          <w:spacing w:val="-9"/>
          <w:sz w:val="20"/>
        </w:rPr>
        <w:t xml:space="preserve"> </w:t>
      </w:r>
      <w:r>
        <w:rPr>
          <w:color w:val="231F20"/>
          <w:sz w:val="20"/>
        </w:rPr>
        <w:t>(if</w:t>
      </w:r>
      <w:r>
        <w:rPr>
          <w:color w:val="231F20"/>
          <w:spacing w:val="-9"/>
          <w:sz w:val="20"/>
        </w:rPr>
        <w:t xml:space="preserve"> </w:t>
      </w:r>
      <w:r>
        <w:rPr>
          <w:color w:val="231F20"/>
          <w:sz w:val="20"/>
        </w:rPr>
        <w:t>they</w:t>
      </w:r>
      <w:r>
        <w:rPr>
          <w:color w:val="231F20"/>
          <w:spacing w:val="-9"/>
          <w:sz w:val="20"/>
        </w:rPr>
        <w:t xml:space="preserve"> </w:t>
      </w:r>
      <w:r>
        <w:rPr>
          <w:color w:val="231F20"/>
          <w:spacing w:val="-4"/>
          <w:sz w:val="20"/>
        </w:rPr>
        <w:t>were</w:t>
      </w:r>
      <w:r>
        <w:rPr>
          <w:color w:val="231F20"/>
          <w:spacing w:val="-9"/>
          <w:sz w:val="20"/>
        </w:rPr>
        <w:t xml:space="preserve"> </w:t>
      </w:r>
      <w:r>
        <w:rPr>
          <w:color w:val="231F20"/>
          <w:sz w:val="20"/>
        </w:rPr>
        <w:t>to</w:t>
      </w:r>
      <w:r>
        <w:rPr>
          <w:color w:val="231F20"/>
          <w:spacing w:val="-9"/>
          <w:sz w:val="20"/>
        </w:rPr>
        <w:t xml:space="preserve"> </w:t>
      </w:r>
      <w:r>
        <w:rPr>
          <w:color w:val="231F20"/>
          <w:sz w:val="20"/>
        </w:rPr>
        <w:t>go</w:t>
      </w:r>
      <w:r>
        <w:rPr>
          <w:color w:val="231F20"/>
          <w:spacing w:val="-9"/>
          <w:sz w:val="20"/>
        </w:rPr>
        <w:t xml:space="preserve"> </w:t>
      </w:r>
      <w:r>
        <w:rPr>
          <w:color w:val="231F20"/>
          <w:sz w:val="20"/>
        </w:rPr>
        <w:t>to</w:t>
      </w:r>
      <w:r>
        <w:rPr>
          <w:color w:val="231F20"/>
          <w:spacing w:val="-9"/>
          <w:sz w:val="20"/>
        </w:rPr>
        <w:t xml:space="preserve"> </w:t>
      </w:r>
      <w:r>
        <w:rPr>
          <w:color w:val="231F20"/>
          <w:sz w:val="20"/>
        </w:rPr>
        <w:t>court)</w:t>
      </w:r>
      <w:r>
        <w:rPr>
          <w:color w:val="231F20"/>
          <w:spacing w:val="-9"/>
          <w:sz w:val="20"/>
        </w:rPr>
        <w:t xml:space="preserve"> </w:t>
      </w:r>
      <w:r>
        <w:rPr>
          <w:color w:val="231F20"/>
          <w:sz w:val="20"/>
        </w:rPr>
        <w:t>instead</w:t>
      </w:r>
      <w:r>
        <w:rPr>
          <w:color w:val="231F20"/>
          <w:spacing w:val="-9"/>
          <w:sz w:val="20"/>
        </w:rPr>
        <w:t xml:space="preserve"> </w:t>
      </w:r>
      <w:r>
        <w:rPr>
          <w:color w:val="231F20"/>
          <w:sz w:val="20"/>
        </w:rPr>
        <w:t>of</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mix</w:t>
      </w:r>
      <w:r>
        <w:rPr>
          <w:color w:val="231F20"/>
          <w:spacing w:val="-9"/>
          <w:sz w:val="20"/>
        </w:rPr>
        <w:t xml:space="preserve"> </w:t>
      </w:r>
      <w:r>
        <w:rPr>
          <w:color w:val="231F20"/>
          <w:sz w:val="20"/>
        </w:rPr>
        <w:t>of</w:t>
      </w:r>
      <w:r>
        <w:rPr>
          <w:color w:val="231F20"/>
          <w:spacing w:val="-9"/>
          <w:sz w:val="20"/>
        </w:rPr>
        <w:t xml:space="preserve"> </w:t>
      </w:r>
      <w:r>
        <w:rPr>
          <w:color w:val="231F20"/>
          <w:sz w:val="20"/>
        </w:rPr>
        <w:t>other</w:t>
      </w:r>
      <w:r>
        <w:rPr>
          <w:color w:val="231F20"/>
          <w:spacing w:val="-8"/>
          <w:sz w:val="20"/>
        </w:rPr>
        <w:t xml:space="preserve"> </w:t>
      </w:r>
      <w:r>
        <w:rPr>
          <w:color w:val="231F20"/>
          <w:sz w:val="20"/>
        </w:rPr>
        <w:t>matters.</w:t>
      </w:r>
    </w:p>
    <w:p w14:paraId="4C51CAD6" w14:textId="77777777" w:rsidR="00894070" w:rsidRDefault="009B7AFD">
      <w:pPr>
        <w:pStyle w:val="ListParagraph"/>
        <w:numPr>
          <w:ilvl w:val="1"/>
          <w:numId w:val="102"/>
        </w:numPr>
        <w:tabs>
          <w:tab w:val="left" w:pos="1801"/>
          <w:tab w:val="left" w:pos="1802"/>
        </w:tabs>
        <w:spacing w:before="56"/>
        <w:rPr>
          <w:sz w:val="20"/>
        </w:rPr>
      </w:pPr>
      <w:r>
        <w:rPr>
          <w:color w:val="231F20"/>
          <w:sz w:val="20"/>
        </w:rPr>
        <w:t xml:space="preserve">As one victim survivor </w:t>
      </w:r>
      <w:r>
        <w:rPr>
          <w:color w:val="231F20"/>
          <w:spacing w:val="-3"/>
          <w:sz w:val="20"/>
        </w:rPr>
        <w:t>told</w:t>
      </w:r>
      <w:r>
        <w:rPr>
          <w:color w:val="231F20"/>
          <w:spacing w:val="-21"/>
          <w:sz w:val="20"/>
        </w:rPr>
        <w:t xml:space="preserve"> </w:t>
      </w:r>
      <w:r>
        <w:rPr>
          <w:color w:val="231F20"/>
          <w:sz w:val="20"/>
        </w:rPr>
        <w:t>us:</w:t>
      </w:r>
    </w:p>
    <w:p w14:paraId="78DF3EAB" w14:textId="77777777" w:rsidR="00894070" w:rsidRDefault="009F6793">
      <w:pPr>
        <w:pStyle w:val="BodyText"/>
        <w:spacing w:before="12"/>
        <w:rPr>
          <w:sz w:val="22"/>
        </w:rPr>
      </w:pPr>
      <w:r>
        <w:pict w14:anchorId="7BF89817">
          <v:shape id="_x0000_s1339" type="#_x0000_t202" style="position:absolute;margin-left:119.3pt;margin-top:18.1pt;width:396.35pt;height:56.1pt;z-index:251655168;mso-wrap-distance-left:0;mso-wrap-distance-right:0;mso-position-horizontal-relative:page" fillcolor="#fee7de" strokecolor="#ea5b50" strokeweight=".5pt">
            <v:textbox inset="0,0,0,0">
              <w:txbxContent>
                <w:p w14:paraId="4FB8644B" w14:textId="77777777" w:rsidR="00894070" w:rsidRDefault="00894070">
                  <w:pPr>
                    <w:pStyle w:val="BodyText"/>
                    <w:spacing w:before="3"/>
                    <w:rPr>
                      <w:sz w:val="15"/>
                    </w:rPr>
                  </w:pPr>
                </w:p>
                <w:p w14:paraId="6FEC81C9" w14:textId="77777777" w:rsidR="00894070" w:rsidRDefault="009B7AFD">
                  <w:pPr>
                    <w:pStyle w:val="BodyText"/>
                    <w:spacing w:line="206" w:lineRule="auto"/>
                    <w:ind w:left="221" w:right="259"/>
                    <w:rPr>
                      <w:sz w:val="11"/>
                    </w:rPr>
                  </w:pPr>
                  <w:r>
                    <w:rPr>
                      <w:color w:val="231F20"/>
                    </w:rPr>
                    <w:t>There were heaps of IVO disputes at the time between friends/neighbours/ colleagues but an IVO for stalking is more serious (victims have died) and should be treated as such.</w:t>
                  </w:r>
                  <w:r>
                    <w:rPr>
                      <w:color w:val="231F20"/>
                      <w:position w:val="7"/>
                      <w:sz w:val="11"/>
                    </w:rPr>
                    <w:t>91</w:t>
                  </w:r>
                </w:p>
              </w:txbxContent>
            </v:textbox>
            <w10:wrap type="topAndBottom" anchorx="page"/>
          </v:shape>
        </w:pict>
      </w:r>
    </w:p>
    <w:p w14:paraId="2774188A" w14:textId="77777777" w:rsidR="00894070" w:rsidRDefault="00894070">
      <w:pPr>
        <w:pStyle w:val="BodyText"/>
      </w:pPr>
    </w:p>
    <w:p w14:paraId="2BDE27B2" w14:textId="77777777" w:rsidR="00894070" w:rsidRDefault="00894070">
      <w:pPr>
        <w:pStyle w:val="BodyText"/>
      </w:pPr>
    </w:p>
    <w:p w14:paraId="04A5AF09" w14:textId="77777777" w:rsidR="00894070" w:rsidRDefault="009F6793">
      <w:pPr>
        <w:pStyle w:val="BodyText"/>
        <w:spacing w:before="6"/>
        <w:rPr>
          <w:sz w:val="24"/>
        </w:rPr>
      </w:pPr>
      <w:r>
        <w:pict w14:anchorId="0AEFA039">
          <v:line id="_x0000_s1338" style="position:absolute;z-index:251656192;mso-wrap-distance-left:0;mso-wrap-distance-right:0;mso-position-horizontal-relative:page" from="79.35pt,19.45pt" to="515.9pt,19.45pt" strokecolor="#f8cabc" strokeweight="1pt">
            <w10:wrap type="topAndBottom" anchorx="page"/>
          </v:line>
        </w:pict>
      </w:r>
    </w:p>
    <w:p w14:paraId="633897CD" w14:textId="77777777" w:rsidR="00894070" w:rsidRDefault="00894070">
      <w:pPr>
        <w:pStyle w:val="BodyText"/>
        <w:rPr>
          <w:sz w:val="5"/>
        </w:rPr>
      </w:pPr>
    </w:p>
    <w:p w14:paraId="0D2481C5" w14:textId="77777777" w:rsidR="00894070" w:rsidRDefault="00894070">
      <w:pPr>
        <w:rPr>
          <w:sz w:val="5"/>
        </w:rPr>
        <w:sectPr w:rsidR="00894070">
          <w:pgSz w:w="11910" w:h="16840"/>
          <w:pgMar w:top="840" w:right="420" w:bottom="280" w:left="580" w:header="0" w:footer="0" w:gutter="0"/>
          <w:cols w:space="720"/>
        </w:sectPr>
      </w:pPr>
    </w:p>
    <w:p w14:paraId="4C93246E" w14:textId="77777777" w:rsidR="00894070" w:rsidRDefault="009B7AFD">
      <w:pPr>
        <w:pStyle w:val="ListParagraph"/>
        <w:numPr>
          <w:ilvl w:val="0"/>
          <w:numId w:val="92"/>
        </w:numPr>
        <w:tabs>
          <w:tab w:val="left" w:pos="1800"/>
          <w:tab w:val="left" w:pos="1802"/>
        </w:tabs>
        <w:spacing w:before="21" w:line="170" w:lineRule="exact"/>
        <w:jc w:val="left"/>
        <w:rPr>
          <w:sz w:val="13"/>
        </w:rPr>
      </w:pPr>
      <w:r>
        <w:rPr>
          <w:color w:val="231F20"/>
          <w:sz w:val="13"/>
        </w:rPr>
        <w:t xml:space="preserve">Consultation 34 (Magistrates’ </w:t>
      </w:r>
      <w:r>
        <w:rPr>
          <w:color w:val="231F20"/>
          <w:spacing w:val="2"/>
          <w:sz w:val="13"/>
        </w:rPr>
        <w:t xml:space="preserve">Court </w:t>
      </w:r>
      <w:r>
        <w:rPr>
          <w:color w:val="231F20"/>
          <w:sz w:val="13"/>
        </w:rPr>
        <w:t>of Victoria (No</w:t>
      </w:r>
      <w:r>
        <w:rPr>
          <w:color w:val="231F20"/>
          <w:spacing w:val="1"/>
          <w:sz w:val="13"/>
        </w:rPr>
        <w:t xml:space="preserve"> </w:t>
      </w:r>
      <w:r>
        <w:rPr>
          <w:color w:val="231F20"/>
          <w:sz w:val="13"/>
        </w:rPr>
        <w:t>2)).</w:t>
      </w:r>
    </w:p>
    <w:p w14:paraId="43E95CD6" w14:textId="77777777" w:rsidR="00894070" w:rsidRDefault="009B7AFD">
      <w:pPr>
        <w:pStyle w:val="ListParagraph"/>
        <w:numPr>
          <w:ilvl w:val="0"/>
          <w:numId w:val="92"/>
        </w:numPr>
        <w:tabs>
          <w:tab w:val="left" w:pos="1801"/>
          <w:tab w:val="left" w:pos="1802"/>
        </w:tabs>
        <w:spacing w:line="160" w:lineRule="exact"/>
        <w:jc w:val="left"/>
        <w:rPr>
          <w:sz w:val="13"/>
        </w:rPr>
      </w:pPr>
      <w:r>
        <w:rPr>
          <w:color w:val="231F20"/>
          <w:sz w:val="13"/>
        </w:rPr>
        <w:t>Ibid.</w:t>
      </w:r>
    </w:p>
    <w:p w14:paraId="6A9B6584" w14:textId="77777777" w:rsidR="00894070" w:rsidRDefault="009B7AFD">
      <w:pPr>
        <w:pStyle w:val="ListParagraph"/>
        <w:numPr>
          <w:ilvl w:val="0"/>
          <w:numId w:val="92"/>
        </w:numPr>
        <w:tabs>
          <w:tab w:val="left" w:pos="1801"/>
          <w:tab w:val="left" w:pos="1802"/>
        </w:tabs>
        <w:spacing w:line="160" w:lineRule="exact"/>
        <w:jc w:val="lef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4"/>
          <w:sz w:val="13"/>
        </w:rPr>
        <w:t xml:space="preserve"> </w:t>
      </w:r>
      <w:r>
        <w:rPr>
          <w:color w:val="231F20"/>
          <w:sz w:val="13"/>
        </w:rPr>
        <w:t>Commissioner).</w:t>
      </w:r>
    </w:p>
    <w:p w14:paraId="669268BE" w14:textId="77777777" w:rsidR="00894070" w:rsidRDefault="009B7AFD">
      <w:pPr>
        <w:pStyle w:val="ListParagraph"/>
        <w:numPr>
          <w:ilvl w:val="0"/>
          <w:numId w:val="92"/>
        </w:numPr>
        <w:tabs>
          <w:tab w:val="left" w:pos="1801"/>
          <w:tab w:val="left" w:pos="1802"/>
        </w:tabs>
        <w:spacing w:line="160" w:lineRule="exact"/>
        <w:jc w:val="left"/>
        <w:rPr>
          <w:sz w:val="13"/>
        </w:rPr>
      </w:pPr>
      <w:r>
        <w:rPr>
          <w:color w:val="231F20"/>
          <w:spacing w:val="2"/>
          <w:sz w:val="13"/>
        </w:rPr>
        <w:t xml:space="preserve">Submission 115 </w:t>
      </w:r>
      <w:r>
        <w:rPr>
          <w:color w:val="231F20"/>
          <w:sz w:val="13"/>
        </w:rPr>
        <w:t>(Victoria</w:t>
      </w:r>
      <w:r>
        <w:rPr>
          <w:color w:val="231F20"/>
          <w:spacing w:val="-5"/>
          <w:sz w:val="13"/>
        </w:rPr>
        <w:t xml:space="preserve"> </w:t>
      </w:r>
      <w:r>
        <w:rPr>
          <w:color w:val="231F20"/>
          <w:sz w:val="13"/>
        </w:rPr>
        <w:t>Police).</w:t>
      </w:r>
    </w:p>
    <w:p w14:paraId="19C94187" w14:textId="77777777" w:rsidR="00894070" w:rsidRDefault="009B7AFD">
      <w:pPr>
        <w:pStyle w:val="ListParagraph"/>
        <w:numPr>
          <w:ilvl w:val="0"/>
          <w:numId w:val="92"/>
        </w:numPr>
        <w:tabs>
          <w:tab w:val="left" w:pos="1801"/>
          <w:tab w:val="left" w:pos="1802"/>
        </w:tabs>
        <w:spacing w:line="160" w:lineRule="exact"/>
        <w:jc w:val="left"/>
        <w:rPr>
          <w:sz w:val="13"/>
        </w:rPr>
      </w:pPr>
      <w:r>
        <w:rPr>
          <w:color w:val="231F20"/>
          <w:sz w:val="13"/>
        </w:rPr>
        <w:t>Consultation 36 (Forensicare (No</w:t>
      </w:r>
      <w:r>
        <w:rPr>
          <w:color w:val="231F20"/>
          <w:spacing w:val="1"/>
          <w:sz w:val="13"/>
        </w:rPr>
        <w:t xml:space="preserve"> </w:t>
      </w:r>
      <w:r>
        <w:rPr>
          <w:color w:val="231F20"/>
          <w:sz w:val="13"/>
        </w:rPr>
        <w:t>2)).</w:t>
      </w:r>
    </w:p>
    <w:p w14:paraId="58E39F39" w14:textId="77777777" w:rsidR="00894070" w:rsidRDefault="009B7AFD">
      <w:pPr>
        <w:pStyle w:val="ListParagraph"/>
        <w:numPr>
          <w:ilvl w:val="0"/>
          <w:numId w:val="92"/>
        </w:numPr>
        <w:tabs>
          <w:tab w:val="left" w:pos="1801"/>
          <w:tab w:val="left" w:pos="1802"/>
        </w:tabs>
        <w:spacing w:line="160" w:lineRule="exact"/>
        <w:jc w:val="left"/>
        <w:rPr>
          <w:sz w:val="13"/>
        </w:rPr>
      </w:pPr>
      <w:r>
        <w:rPr>
          <w:color w:val="231F20"/>
          <w:sz w:val="13"/>
        </w:rPr>
        <w:t>Ibid.</w:t>
      </w:r>
    </w:p>
    <w:p w14:paraId="2F603CFA" w14:textId="77777777" w:rsidR="00894070" w:rsidRDefault="009B7AFD">
      <w:pPr>
        <w:pStyle w:val="ListParagraph"/>
        <w:numPr>
          <w:ilvl w:val="0"/>
          <w:numId w:val="92"/>
        </w:numPr>
        <w:tabs>
          <w:tab w:val="left" w:pos="1801"/>
          <w:tab w:val="left" w:pos="1802"/>
        </w:tabs>
        <w:spacing w:line="160" w:lineRule="exact"/>
        <w:jc w:val="lef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1A10128C" w14:textId="77777777" w:rsidR="00894070" w:rsidRDefault="009B7AFD">
      <w:pPr>
        <w:pStyle w:val="ListParagraph"/>
        <w:numPr>
          <w:ilvl w:val="0"/>
          <w:numId w:val="92"/>
        </w:numPr>
        <w:tabs>
          <w:tab w:val="left" w:pos="1800"/>
          <w:tab w:val="left" w:pos="1802"/>
        </w:tabs>
        <w:spacing w:before="7" w:line="213" w:lineRule="auto"/>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75A44286" w14:textId="77777777" w:rsidR="00894070" w:rsidRDefault="009B7AFD">
      <w:pPr>
        <w:pStyle w:val="BodyText"/>
        <w:rPr>
          <w:sz w:val="28"/>
        </w:rPr>
      </w:pPr>
      <w:r>
        <w:br w:type="column"/>
      </w:r>
    </w:p>
    <w:p w14:paraId="3998FB54" w14:textId="77777777" w:rsidR="00894070" w:rsidRDefault="00894070">
      <w:pPr>
        <w:pStyle w:val="BodyText"/>
        <w:rPr>
          <w:sz w:val="28"/>
        </w:rPr>
      </w:pPr>
    </w:p>
    <w:p w14:paraId="3CEE87AE" w14:textId="77777777" w:rsidR="00894070" w:rsidRDefault="00894070">
      <w:pPr>
        <w:pStyle w:val="BodyText"/>
        <w:spacing w:before="8"/>
        <w:rPr>
          <w:sz w:val="28"/>
        </w:rPr>
      </w:pPr>
    </w:p>
    <w:p w14:paraId="25D7E099" w14:textId="77777777" w:rsidR="00894070" w:rsidRDefault="009B7AFD">
      <w:pPr>
        <w:pStyle w:val="Heading8"/>
        <w:ind w:left="913"/>
      </w:pPr>
      <w:r>
        <w:rPr>
          <w:color w:val="EA5B50"/>
        </w:rPr>
        <w:t>105</w:t>
      </w:r>
    </w:p>
    <w:p w14:paraId="65D024DF" w14:textId="77777777" w:rsidR="00894070" w:rsidRDefault="00894070">
      <w:pPr>
        <w:sectPr w:rsidR="00894070">
          <w:type w:val="continuous"/>
          <w:pgSz w:w="11910" w:h="16840"/>
          <w:pgMar w:top="560" w:right="420" w:bottom="280" w:left="580" w:header="720" w:footer="720" w:gutter="0"/>
          <w:cols w:num="2" w:space="720" w:equalWidth="0">
            <w:col w:w="9382" w:space="40"/>
            <w:col w:w="1488"/>
          </w:cols>
        </w:sectPr>
      </w:pPr>
    </w:p>
    <w:p w14:paraId="7D23704D" w14:textId="77777777" w:rsidR="00894070" w:rsidRDefault="00894070">
      <w:pPr>
        <w:pStyle w:val="BodyText"/>
        <w:rPr>
          <w:b/>
        </w:rPr>
      </w:pPr>
    </w:p>
    <w:p w14:paraId="53982C63" w14:textId="77777777" w:rsidR="00894070" w:rsidRDefault="00894070">
      <w:pPr>
        <w:pStyle w:val="BodyText"/>
        <w:rPr>
          <w:b/>
        </w:rPr>
      </w:pPr>
    </w:p>
    <w:p w14:paraId="0FEBB9E5" w14:textId="77777777" w:rsidR="00894070" w:rsidRDefault="00894070">
      <w:pPr>
        <w:pStyle w:val="BodyText"/>
        <w:rPr>
          <w:b/>
        </w:rPr>
      </w:pPr>
    </w:p>
    <w:p w14:paraId="61473731" w14:textId="77777777" w:rsidR="00894070" w:rsidRDefault="00894070">
      <w:pPr>
        <w:pStyle w:val="BodyText"/>
        <w:spacing w:before="7"/>
        <w:rPr>
          <w:b/>
          <w:sz w:val="16"/>
        </w:rPr>
      </w:pPr>
    </w:p>
    <w:p w14:paraId="041D4B11" w14:textId="77777777" w:rsidR="00894070" w:rsidRDefault="009B7AFD">
      <w:pPr>
        <w:pStyle w:val="ListParagraph"/>
        <w:numPr>
          <w:ilvl w:val="1"/>
          <w:numId w:val="102"/>
        </w:numPr>
        <w:tabs>
          <w:tab w:val="left" w:pos="1801"/>
          <w:tab w:val="left" w:pos="1802"/>
        </w:tabs>
        <w:spacing w:line="259" w:lineRule="exact"/>
        <w:rPr>
          <w:sz w:val="20"/>
        </w:rPr>
      </w:pPr>
      <w:r>
        <w:rPr>
          <w:color w:val="231F20"/>
          <w:sz w:val="20"/>
        </w:rPr>
        <w:t>It</w:t>
      </w:r>
      <w:r>
        <w:rPr>
          <w:color w:val="231F20"/>
          <w:spacing w:val="-6"/>
          <w:sz w:val="20"/>
        </w:rPr>
        <w:t xml:space="preserve"> </w:t>
      </w:r>
      <w:r>
        <w:rPr>
          <w:color w:val="231F20"/>
          <w:sz w:val="20"/>
        </w:rPr>
        <w:t>could</w:t>
      </w:r>
      <w:r>
        <w:rPr>
          <w:color w:val="231F20"/>
          <w:spacing w:val="-6"/>
          <w:sz w:val="20"/>
        </w:rPr>
        <w:t xml:space="preserve"> </w:t>
      </w:r>
      <w:r>
        <w:rPr>
          <w:color w:val="231F20"/>
          <w:sz w:val="20"/>
        </w:rPr>
        <w:t>assist</w:t>
      </w:r>
      <w:r>
        <w:rPr>
          <w:color w:val="231F20"/>
          <w:spacing w:val="-6"/>
          <w:sz w:val="20"/>
        </w:rPr>
        <w:t xml:space="preserve"> </w:t>
      </w:r>
      <w:r>
        <w:rPr>
          <w:color w:val="231F20"/>
          <w:sz w:val="20"/>
        </w:rPr>
        <w:t>with</w:t>
      </w:r>
      <w:r>
        <w:rPr>
          <w:color w:val="231F20"/>
          <w:spacing w:val="-6"/>
          <w:sz w:val="20"/>
        </w:rPr>
        <w:t xml:space="preserve"> </w:t>
      </w:r>
      <w:r>
        <w:rPr>
          <w:color w:val="231F20"/>
          <w:sz w:val="20"/>
        </w:rPr>
        <w:t>the</w:t>
      </w:r>
      <w:r>
        <w:rPr>
          <w:color w:val="231F20"/>
          <w:spacing w:val="-6"/>
          <w:sz w:val="20"/>
        </w:rPr>
        <w:t xml:space="preserve"> </w:t>
      </w:r>
      <w:r>
        <w:rPr>
          <w:color w:val="231F20"/>
          <w:sz w:val="20"/>
        </w:rPr>
        <w:t>smooth</w:t>
      </w:r>
      <w:r>
        <w:rPr>
          <w:color w:val="231F20"/>
          <w:spacing w:val="-5"/>
          <w:sz w:val="20"/>
        </w:rPr>
        <w:t xml:space="preserve"> </w:t>
      </w:r>
      <w:r>
        <w:rPr>
          <w:color w:val="231F20"/>
          <w:sz w:val="20"/>
        </w:rPr>
        <w:t>running</w:t>
      </w:r>
      <w:r>
        <w:rPr>
          <w:color w:val="231F20"/>
          <w:spacing w:val="-6"/>
          <w:sz w:val="20"/>
        </w:rPr>
        <w:t xml:space="preserve"> </w:t>
      </w:r>
      <w:r>
        <w:rPr>
          <w:color w:val="231F20"/>
          <w:sz w:val="20"/>
        </w:rPr>
        <w:t>of</w:t>
      </w:r>
      <w:r>
        <w:rPr>
          <w:color w:val="231F20"/>
          <w:spacing w:val="-6"/>
          <w:sz w:val="20"/>
        </w:rPr>
        <w:t xml:space="preserve"> </w:t>
      </w:r>
      <w:r>
        <w:rPr>
          <w:color w:val="231F20"/>
          <w:sz w:val="20"/>
        </w:rPr>
        <w:t>matters,</w:t>
      </w:r>
      <w:r>
        <w:rPr>
          <w:color w:val="231F20"/>
          <w:spacing w:val="-6"/>
          <w:sz w:val="20"/>
        </w:rPr>
        <w:t xml:space="preserve"> </w:t>
      </w:r>
      <w:r>
        <w:rPr>
          <w:color w:val="231F20"/>
          <w:sz w:val="20"/>
        </w:rPr>
        <w:t>again</w:t>
      </w:r>
      <w:r>
        <w:rPr>
          <w:color w:val="231F20"/>
          <w:spacing w:val="-6"/>
          <w:sz w:val="20"/>
        </w:rPr>
        <w:t xml:space="preserve"> </w:t>
      </w:r>
      <w:r>
        <w:rPr>
          <w:color w:val="231F20"/>
          <w:sz w:val="20"/>
        </w:rPr>
        <w:t>making</w:t>
      </w:r>
      <w:r>
        <w:rPr>
          <w:color w:val="231F20"/>
          <w:spacing w:val="-5"/>
          <w:sz w:val="20"/>
        </w:rPr>
        <w:t xml:space="preserve"> </w:t>
      </w:r>
      <w:r>
        <w:rPr>
          <w:color w:val="231F20"/>
          <w:sz w:val="20"/>
        </w:rPr>
        <w:t>the</w:t>
      </w:r>
      <w:r>
        <w:rPr>
          <w:color w:val="231F20"/>
          <w:spacing w:val="-6"/>
          <w:sz w:val="20"/>
        </w:rPr>
        <w:t xml:space="preserve"> </w:t>
      </w:r>
      <w:r>
        <w:rPr>
          <w:color w:val="231F20"/>
          <w:sz w:val="20"/>
        </w:rPr>
        <w:t>process</w:t>
      </w:r>
      <w:r>
        <w:rPr>
          <w:color w:val="231F20"/>
          <w:spacing w:val="-6"/>
          <w:sz w:val="20"/>
        </w:rPr>
        <w:t xml:space="preserve"> </w:t>
      </w:r>
      <w:r>
        <w:rPr>
          <w:color w:val="231F20"/>
          <w:sz w:val="20"/>
        </w:rPr>
        <w:t>less</w:t>
      </w:r>
    </w:p>
    <w:p w14:paraId="72D56CBE" w14:textId="77777777" w:rsidR="00894070" w:rsidRDefault="009B7AFD">
      <w:pPr>
        <w:pStyle w:val="BodyText"/>
        <w:spacing w:line="259" w:lineRule="exact"/>
        <w:ind w:left="1801"/>
      </w:pPr>
      <w:r>
        <w:rPr>
          <w:color w:val="231F20"/>
        </w:rPr>
        <w:t>traumatic for people who experience stalking.</w:t>
      </w:r>
    </w:p>
    <w:p w14:paraId="00B99D41" w14:textId="77777777" w:rsidR="00894070" w:rsidRDefault="009F6793">
      <w:pPr>
        <w:pStyle w:val="BodyText"/>
        <w:spacing w:before="12"/>
        <w:rPr>
          <w:sz w:val="22"/>
        </w:rPr>
      </w:pPr>
      <w:r>
        <w:pict w14:anchorId="25E2538B">
          <v:shape id="_x0000_s1337" type="#_x0000_t202" style="position:absolute;margin-left:119.3pt;margin-top:18.1pt;width:396.35pt;height:44.1pt;z-index:251657216;mso-wrap-distance-left:0;mso-wrap-distance-right:0;mso-position-horizontal-relative:page" fillcolor="#fee7de" strokecolor="#ea5b50" strokeweight=".5pt">
            <v:textbox inset="0,0,0,0">
              <w:txbxContent>
                <w:p w14:paraId="1A453419" w14:textId="77777777" w:rsidR="00894070" w:rsidRDefault="009B7AFD">
                  <w:pPr>
                    <w:pStyle w:val="BodyText"/>
                    <w:spacing w:before="179" w:line="259" w:lineRule="exact"/>
                    <w:ind w:left="221"/>
                  </w:pPr>
                  <w:r>
                    <w:rPr>
                      <w:color w:val="231F20"/>
                    </w:rPr>
                    <w:t>The amount of times I took the day off work, to show up to court and find it had</w:t>
                  </w:r>
                </w:p>
                <w:p w14:paraId="6BEC5056" w14:textId="77777777" w:rsidR="00894070" w:rsidRDefault="009B7AFD">
                  <w:pPr>
                    <w:pStyle w:val="BodyText"/>
                    <w:spacing w:line="259" w:lineRule="exact"/>
                    <w:ind w:left="221"/>
                    <w:rPr>
                      <w:sz w:val="11"/>
                    </w:rPr>
                  </w:pPr>
                  <w:r>
                    <w:rPr>
                      <w:color w:val="231F20"/>
                    </w:rPr>
                    <w:t>been changed was infuriating.</w:t>
                  </w:r>
                  <w:r>
                    <w:rPr>
                      <w:color w:val="231F20"/>
                      <w:position w:val="7"/>
                      <w:sz w:val="11"/>
                    </w:rPr>
                    <w:t>92</w:t>
                  </w:r>
                </w:p>
              </w:txbxContent>
            </v:textbox>
            <w10:wrap type="topAndBottom" anchorx="page"/>
          </v:shape>
        </w:pict>
      </w:r>
    </w:p>
    <w:p w14:paraId="6BD26D33" w14:textId="77777777" w:rsidR="00894070" w:rsidRDefault="00894070">
      <w:pPr>
        <w:pStyle w:val="BodyText"/>
        <w:spacing w:before="6"/>
        <w:rPr>
          <w:sz w:val="19"/>
        </w:rPr>
      </w:pPr>
    </w:p>
    <w:p w14:paraId="02B42C47" w14:textId="77777777" w:rsidR="00894070" w:rsidRDefault="009B7AFD">
      <w:pPr>
        <w:pStyle w:val="ListParagraph"/>
        <w:numPr>
          <w:ilvl w:val="1"/>
          <w:numId w:val="102"/>
        </w:numPr>
        <w:tabs>
          <w:tab w:val="left" w:pos="1801"/>
          <w:tab w:val="left" w:pos="1802"/>
        </w:tabs>
        <w:spacing w:before="89" w:line="206" w:lineRule="auto"/>
        <w:ind w:right="1261"/>
        <w:rPr>
          <w:sz w:val="20"/>
        </w:rPr>
      </w:pPr>
      <w:r>
        <w:rPr>
          <w:color w:val="231F20"/>
          <w:sz w:val="20"/>
        </w:rPr>
        <w:t xml:space="preserve">If PSIO stalking matters </w:t>
      </w:r>
      <w:r>
        <w:rPr>
          <w:color w:val="231F20"/>
          <w:spacing w:val="-3"/>
          <w:sz w:val="20"/>
        </w:rPr>
        <w:t xml:space="preserve">are </w:t>
      </w:r>
      <w:r>
        <w:rPr>
          <w:color w:val="231F20"/>
          <w:sz w:val="20"/>
        </w:rPr>
        <w:t xml:space="preserve">dealt with using specialist </w:t>
      </w:r>
      <w:r>
        <w:rPr>
          <w:color w:val="231F20"/>
          <w:spacing w:val="-3"/>
          <w:sz w:val="20"/>
        </w:rPr>
        <w:t xml:space="preserve">family </w:t>
      </w:r>
      <w:r>
        <w:rPr>
          <w:color w:val="231F20"/>
          <w:sz w:val="20"/>
        </w:rPr>
        <w:t xml:space="preserve">violence court </w:t>
      </w:r>
      <w:r>
        <w:rPr>
          <w:color w:val="231F20"/>
          <w:spacing w:val="-3"/>
          <w:sz w:val="20"/>
        </w:rPr>
        <w:t>infrastructure,</w:t>
      </w:r>
      <w:r>
        <w:rPr>
          <w:color w:val="231F20"/>
          <w:spacing w:val="-8"/>
          <w:sz w:val="20"/>
        </w:rPr>
        <w:t xml:space="preserve"> </w:t>
      </w:r>
      <w:r>
        <w:rPr>
          <w:color w:val="231F20"/>
          <w:sz w:val="20"/>
        </w:rPr>
        <w:t>they</w:t>
      </w:r>
      <w:r>
        <w:rPr>
          <w:color w:val="231F20"/>
          <w:spacing w:val="-7"/>
          <w:sz w:val="20"/>
        </w:rPr>
        <w:t xml:space="preserve"> </w:t>
      </w:r>
      <w:r>
        <w:rPr>
          <w:color w:val="231F20"/>
          <w:sz w:val="20"/>
        </w:rPr>
        <w:t>should</w:t>
      </w:r>
      <w:r>
        <w:rPr>
          <w:color w:val="231F20"/>
          <w:spacing w:val="-7"/>
          <w:sz w:val="20"/>
        </w:rPr>
        <w:t xml:space="preserve"> </w:t>
      </w:r>
      <w:r>
        <w:rPr>
          <w:color w:val="231F20"/>
          <w:sz w:val="20"/>
        </w:rPr>
        <w:t>be</w:t>
      </w:r>
      <w:r>
        <w:rPr>
          <w:color w:val="231F20"/>
          <w:spacing w:val="-7"/>
          <w:sz w:val="20"/>
        </w:rPr>
        <w:t xml:space="preserve"> </w:t>
      </w:r>
      <w:r>
        <w:rPr>
          <w:color w:val="231F20"/>
          <w:spacing w:val="-3"/>
          <w:sz w:val="20"/>
        </w:rPr>
        <w:t>clearly</w:t>
      </w:r>
      <w:r>
        <w:rPr>
          <w:color w:val="231F20"/>
          <w:spacing w:val="-7"/>
          <w:sz w:val="20"/>
        </w:rPr>
        <w:t xml:space="preserve"> </w:t>
      </w:r>
      <w:r>
        <w:rPr>
          <w:color w:val="231F20"/>
          <w:spacing w:val="-3"/>
          <w:sz w:val="20"/>
        </w:rPr>
        <w:t>differentiated</w:t>
      </w:r>
      <w:r>
        <w:rPr>
          <w:color w:val="231F20"/>
          <w:spacing w:val="-7"/>
          <w:sz w:val="20"/>
        </w:rPr>
        <w:t xml:space="preserve"> </w:t>
      </w:r>
      <w:r>
        <w:rPr>
          <w:color w:val="231F20"/>
          <w:spacing w:val="-3"/>
          <w:sz w:val="20"/>
        </w:rPr>
        <w:t>from</w:t>
      </w:r>
      <w:r>
        <w:rPr>
          <w:color w:val="231F20"/>
          <w:spacing w:val="-8"/>
          <w:sz w:val="20"/>
        </w:rPr>
        <w:t xml:space="preserve"> </w:t>
      </w:r>
      <w:r>
        <w:rPr>
          <w:color w:val="231F20"/>
          <w:spacing w:val="-3"/>
          <w:sz w:val="20"/>
        </w:rPr>
        <w:t>family</w:t>
      </w:r>
      <w:r>
        <w:rPr>
          <w:color w:val="231F20"/>
          <w:spacing w:val="-7"/>
          <w:sz w:val="20"/>
        </w:rPr>
        <w:t xml:space="preserve"> </w:t>
      </w:r>
      <w:r>
        <w:rPr>
          <w:color w:val="231F20"/>
          <w:sz w:val="20"/>
        </w:rPr>
        <w:t>violence</w:t>
      </w:r>
      <w:r>
        <w:rPr>
          <w:color w:val="231F20"/>
          <w:spacing w:val="-7"/>
          <w:sz w:val="20"/>
        </w:rPr>
        <w:t xml:space="preserve"> </w:t>
      </w:r>
      <w:r>
        <w:rPr>
          <w:color w:val="231F20"/>
          <w:sz w:val="20"/>
        </w:rPr>
        <w:t>matters.</w:t>
      </w:r>
      <w:r>
        <w:rPr>
          <w:color w:val="231F20"/>
          <w:spacing w:val="-7"/>
          <w:sz w:val="20"/>
        </w:rPr>
        <w:t xml:space="preserve"> </w:t>
      </w:r>
      <w:r>
        <w:rPr>
          <w:color w:val="231F20"/>
          <w:sz w:val="20"/>
        </w:rPr>
        <w:t>Using the</w:t>
      </w:r>
      <w:r>
        <w:rPr>
          <w:color w:val="231F20"/>
          <w:spacing w:val="-11"/>
          <w:sz w:val="20"/>
        </w:rPr>
        <w:t xml:space="preserve"> </w:t>
      </w:r>
      <w:r>
        <w:rPr>
          <w:color w:val="231F20"/>
          <w:sz w:val="20"/>
        </w:rPr>
        <w:t>‘family’</w:t>
      </w:r>
      <w:r>
        <w:rPr>
          <w:color w:val="231F20"/>
          <w:spacing w:val="-10"/>
          <w:sz w:val="20"/>
        </w:rPr>
        <w:t xml:space="preserve"> </w:t>
      </w:r>
      <w:r>
        <w:rPr>
          <w:color w:val="231F20"/>
          <w:sz w:val="20"/>
        </w:rPr>
        <w:t>or</w:t>
      </w:r>
      <w:r>
        <w:rPr>
          <w:color w:val="231F20"/>
          <w:spacing w:val="-10"/>
          <w:sz w:val="20"/>
        </w:rPr>
        <w:t xml:space="preserve"> </w:t>
      </w:r>
      <w:r>
        <w:rPr>
          <w:color w:val="231F20"/>
          <w:sz w:val="20"/>
        </w:rPr>
        <w:t>partner</w:t>
      </w:r>
      <w:r>
        <w:rPr>
          <w:color w:val="231F20"/>
          <w:spacing w:val="-10"/>
          <w:sz w:val="20"/>
        </w:rPr>
        <w:t xml:space="preserve"> </w:t>
      </w:r>
      <w:r>
        <w:rPr>
          <w:color w:val="231F20"/>
          <w:sz w:val="20"/>
        </w:rPr>
        <w:t>label</w:t>
      </w:r>
      <w:r>
        <w:rPr>
          <w:color w:val="231F20"/>
          <w:spacing w:val="-11"/>
          <w:sz w:val="20"/>
        </w:rPr>
        <w:t xml:space="preserve"> </w:t>
      </w:r>
      <w:r>
        <w:rPr>
          <w:color w:val="231F20"/>
          <w:sz w:val="20"/>
        </w:rPr>
        <w:t>could</w:t>
      </w:r>
      <w:r>
        <w:rPr>
          <w:color w:val="231F20"/>
          <w:spacing w:val="-10"/>
          <w:sz w:val="20"/>
        </w:rPr>
        <w:t xml:space="preserve"> </w:t>
      </w:r>
      <w:r>
        <w:rPr>
          <w:color w:val="231F20"/>
          <w:sz w:val="20"/>
        </w:rPr>
        <w:t>be</w:t>
      </w:r>
      <w:r>
        <w:rPr>
          <w:color w:val="231F20"/>
          <w:spacing w:val="-10"/>
          <w:sz w:val="20"/>
        </w:rPr>
        <w:t xml:space="preserve"> </w:t>
      </w:r>
      <w:r>
        <w:rPr>
          <w:color w:val="231F20"/>
          <w:sz w:val="20"/>
        </w:rPr>
        <w:t>very</w:t>
      </w:r>
      <w:r>
        <w:rPr>
          <w:color w:val="231F20"/>
          <w:spacing w:val="-10"/>
          <w:sz w:val="20"/>
        </w:rPr>
        <w:t xml:space="preserve"> </w:t>
      </w:r>
      <w:r>
        <w:rPr>
          <w:color w:val="231F20"/>
          <w:sz w:val="20"/>
        </w:rPr>
        <w:t>uncomfortable</w:t>
      </w:r>
      <w:r>
        <w:rPr>
          <w:color w:val="231F20"/>
          <w:spacing w:val="-11"/>
          <w:sz w:val="20"/>
        </w:rPr>
        <w:t xml:space="preserve"> </w:t>
      </w:r>
      <w:r>
        <w:rPr>
          <w:color w:val="231F20"/>
          <w:spacing w:val="-3"/>
          <w:sz w:val="20"/>
        </w:rPr>
        <w:t>for</w:t>
      </w:r>
      <w:r>
        <w:rPr>
          <w:color w:val="231F20"/>
          <w:spacing w:val="-10"/>
          <w:sz w:val="20"/>
        </w:rPr>
        <w:t xml:space="preserve"> </w:t>
      </w:r>
      <w:r>
        <w:rPr>
          <w:color w:val="231F20"/>
          <w:sz w:val="20"/>
        </w:rPr>
        <w:t>affected</w:t>
      </w:r>
      <w:r>
        <w:rPr>
          <w:color w:val="231F20"/>
          <w:spacing w:val="-10"/>
          <w:sz w:val="20"/>
        </w:rPr>
        <w:t xml:space="preserve"> </w:t>
      </w:r>
      <w:r>
        <w:rPr>
          <w:color w:val="231F20"/>
          <w:sz w:val="20"/>
        </w:rPr>
        <w:t>persons</w:t>
      </w:r>
      <w:r>
        <w:rPr>
          <w:color w:val="231F20"/>
          <w:spacing w:val="-10"/>
          <w:sz w:val="20"/>
        </w:rPr>
        <w:t xml:space="preserve"> </w:t>
      </w:r>
      <w:r>
        <w:rPr>
          <w:color w:val="231F20"/>
          <w:sz w:val="20"/>
        </w:rPr>
        <w:t>who</w:t>
      </w:r>
      <w:r>
        <w:rPr>
          <w:color w:val="231F20"/>
          <w:spacing w:val="-11"/>
          <w:sz w:val="20"/>
        </w:rPr>
        <w:t xml:space="preserve"> </w:t>
      </w:r>
      <w:r>
        <w:rPr>
          <w:color w:val="231F20"/>
          <w:sz w:val="20"/>
        </w:rPr>
        <w:t xml:space="preserve">do not wish to be associated with the person stalking them in this </w:t>
      </w:r>
      <w:r>
        <w:rPr>
          <w:color w:val="231F20"/>
          <w:spacing w:val="-6"/>
          <w:sz w:val="20"/>
        </w:rPr>
        <w:t xml:space="preserve">way, </w:t>
      </w:r>
      <w:r>
        <w:rPr>
          <w:color w:val="231F20"/>
          <w:sz w:val="20"/>
        </w:rPr>
        <w:t xml:space="preserve">especially if the person stalking them is trying to </w:t>
      </w:r>
      <w:r>
        <w:rPr>
          <w:color w:val="231F20"/>
          <w:spacing w:val="-3"/>
          <w:sz w:val="20"/>
        </w:rPr>
        <w:t xml:space="preserve">perpetuate </w:t>
      </w:r>
      <w:r>
        <w:rPr>
          <w:color w:val="231F20"/>
          <w:sz w:val="20"/>
        </w:rPr>
        <w:t>that</w:t>
      </w:r>
      <w:r>
        <w:rPr>
          <w:color w:val="231F20"/>
          <w:spacing w:val="-34"/>
          <w:sz w:val="20"/>
        </w:rPr>
        <w:t xml:space="preserve"> </w:t>
      </w:r>
      <w:r>
        <w:rPr>
          <w:color w:val="231F20"/>
          <w:sz w:val="20"/>
        </w:rPr>
        <w:t>association.</w:t>
      </w:r>
    </w:p>
    <w:p w14:paraId="55134A47" w14:textId="77777777" w:rsidR="00894070" w:rsidRDefault="009B7AFD">
      <w:pPr>
        <w:pStyle w:val="ListParagraph"/>
        <w:numPr>
          <w:ilvl w:val="1"/>
          <w:numId w:val="102"/>
        </w:numPr>
        <w:tabs>
          <w:tab w:val="left" w:pos="1801"/>
          <w:tab w:val="left" w:pos="1802"/>
        </w:tabs>
        <w:spacing w:before="127" w:line="206" w:lineRule="auto"/>
        <w:ind w:right="1231"/>
        <w:rPr>
          <w:sz w:val="11"/>
        </w:rPr>
      </w:pPr>
      <w:r>
        <w:rPr>
          <w:color w:val="231F20"/>
          <w:spacing w:val="-3"/>
          <w:sz w:val="20"/>
        </w:rPr>
        <w:t xml:space="preserve">Importantly, </w:t>
      </w:r>
      <w:r>
        <w:rPr>
          <w:color w:val="231F20"/>
          <w:sz w:val="20"/>
        </w:rPr>
        <w:t xml:space="preserve">the </w:t>
      </w:r>
      <w:r>
        <w:rPr>
          <w:color w:val="231F20"/>
          <w:spacing w:val="-3"/>
          <w:sz w:val="20"/>
        </w:rPr>
        <w:t xml:space="preserve">Magistrates’ </w:t>
      </w:r>
      <w:r>
        <w:rPr>
          <w:color w:val="231F20"/>
          <w:sz w:val="20"/>
        </w:rPr>
        <w:t>Court did not support the creation of a specialist stalking list.</w:t>
      </w:r>
      <w:r>
        <w:rPr>
          <w:color w:val="231F20"/>
          <w:spacing w:val="-9"/>
          <w:sz w:val="20"/>
        </w:rPr>
        <w:t xml:space="preserve"> </w:t>
      </w:r>
      <w:r>
        <w:rPr>
          <w:color w:val="231F20"/>
          <w:sz w:val="20"/>
        </w:rPr>
        <w:t>They</w:t>
      </w:r>
      <w:r>
        <w:rPr>
          <w:color w:val="231F20"/>
          <w:spacing w:val="-9"/>
          <w:sz w:val="20"/>
        </w:rPr>
        <w:t xml:space="preserve"> </w:t>
      </w:r>
      <w:r>
        <w:rPr>
          <w:color w:val="231F20"/>
          <w:spacing w:val="-3"/>
          <w:sz w:val="20"/>
        </w:rPr>
        <w:t>told</w:t>
      </w:r>
      <w:r>
        <w:rPr>
          <w:color w:val="231F20"/>
          <w:spacing w:val="-8"/>
          <w:sz w:val="20"/>
        </w:rPr>
        <w:t xml:space="preserve"> </w:t>
      </w:r>
      <w:r>
        <w:rPr>
          <w:color w:val="231F20"/>
          <w:sz w:val="20"/>
        </w:rPr>
        <w:t>us</w:t>
      </w:r>
      <w:r>
        <w:rPr>
          <w:color w:val="231F20"/>
          <w:spacing w:val="-9"/>
          <w:sz w:val="20"/>
        </w:rPr>
        <w:t xml:space="preserve"> </w:t>
      </w:r>
      <w:r>
        <w:rPr>
          <w:color w:val="231F20"/>
          <w:sz w:val="20"/>
        </w:rPr>
        <w:t>that</w:t>
      </w:r>
      <w:r>
        <w:rPr>
          <w:color w:val="231F20"/>
          <w:spacing w:val="-8"/>
          <w:sz w:val="20"/>
        </w:rPr>
        <w:t xml:space="preserve"> </w:t>
      </w:r>
      <w:r>
        <w:rPr>
          <w:color w:val="231F20"/>
          <w:sz w:val="20"/>
        </w:rPr>
        <w:t>a</w:t>
      </w:r>
      <w:r>
        <w:rPr>
          <w:color w:val="231F20"/>
          <w:spacing w:val="-9"/>
          <w:sz w:val="20"/>
        </w:rPr>
        <w:t xml:space="preserve"> </w:t>
      </w:r>
      <w:r>
        <w:rPr>
          <w:color w:val="231F20"/>
          <w:sz w:val="20"/>
        </w:rPr>
        <w:t>‘risk</w:t>
      </w:r>
      <w:r>
        <w:rPr>
          <w:color w:val="231F20"/>
          <w:spacing w:val="-8"/>
          <w:sz w:val="20"/>
        </w:rPr>
        <w:t xml:space="preserve"> </w:t>
      </w:r>
      <w:r>
        <w:rPr>
          <w:color w:val="231F20"/>
          <w:sz w:val="20"/>
        </w:rPr>
        <w:t>framework’</w:t>
      </w:r>
      <w:r>
        <w:rPr>
          <w:color w:val="231F20"/>
          <w:spacing w:val="-9"/>
          <w:sz w:val="20"/>
        </w:rPr>
        <w:t xml:space="preserve"> </w:t>
      </w:r>
      <w:r>
        <w:rPr>
          <w:color w:val="231F20"/>
          <w:sz w:val="20"/>
        </w:rPr>
        <w:t>to</w:t>
      </w:r>
      <w:r>
        <w:rPr>
          <w:color w:val="231F20"/>
          <w:spacing w:val="-8"/>
          <w:sz w:val="20"/>
        </w:rPr>
        <w:t xml:space="preserve"> </w:t>
      </w:r>
      <w:r>
        <w:rPr>
          <w:color w:val="231F20"/>
          <w:sz w:val="20"/>
        </w:rPr>
        <w:t>identify</w:t>
      </w:r>
      <w:r>
        <w:rPr>
          <w:color w:val="231F20"/>
          <w:spacing w:val="-9"/>
          <w:sz w:val="20"/>
        </w:rPr>
        <w:t xml:space="preserve"> </w:t>
      </w:r>
      <w:r>
        <w:rPr>
          <w:color w:val="231F20"/>
          <w:sz w:val="20"/>
        </w:rPr>
        <w:t>cases</w:t>
      </w:r>
      <w:r>
        <w:rPr>
          <w:color w:val="231F20"/>
          <w:spacing w:val="-8"/>
          <w:sz w:val="20"/>
        </w:rPr>
        <w:t xml:space="preserve"> </w:t>
      </w:r>
      <w:r>
        <w:rPr>
          <w:color w:val="231F20"/>
          <w:sz w:val="20"/>
        </w:rPr>
        <w:t>that</w:t>
      </w:r>
      <w:r>
        <w:rPr>
          <w:color w:val="231F20"/>
          <w:spacing w:val="-9"/>
          <w:sz w:val="20"/>
        </w:rPr>
        <w:t xml:space="preserve"> </w:t>
      </w:r>
      <w:r>
        <w:rPr>
          <w:color w:val="231F20"/>
          <w:sz w:val="20"/>
        </w:rPr>
        <w:t>need</w:t>
      </w:r>
      <w:r>
        <w:rPr>
          <w:color w:val="231F20"/>
          <w:spacing w:val="-8"/>
          <w:sz w:val="20"/>
        </w:rPr>
        <w:t xml:space="preserve"> </w:t>
      </w:r>
      <w:r>
        <w:rPr>
          <w:color w:val="231F20"/>
          <w:sz w:val="20"/>
        </w:rPr>
        <w:t>to</w:t>
      </w:r>
      <w:r>
        <w:rPr>
          <w:color w:val="231F20"/>
          <w:spacing w:val="-9"/>
          <w:sz w:val="20"/>
        </w:rPr>
        <w:t xml:space="preserve"> </w:t>
      </w:r>
      <w:r>
        <w:rPr>
          <w:color w:val="231F20"/>
          <w:sz w:val="20"/>
        </w:rPr>
        <w:t>be</w:t>
      </w:r>
      <w:r>
        <w:rPr>
          <w:color w:val="231F20"/>
          <w:spacing w:val="-8"/>
          <w:sz w:val="20"/>
        </w:rPr>
        <w:t xml:space="preserve"> </w:t>
      </w:r>
      <w:r>
        <w:rPr>
          <w:color w:val="231F20"/>
          <w:sz w:val="20"/>
        </w:rPr>
        <w:t>escalated</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 xml:space="preserve">a specialist approach </w:t>
      </w:r>
      <w:r>
        <w:rPr>
          <w:color w:val="231F20"/>
          <w:spacing w:val="-3"/>
          <w:sz w:val="20"/>
        </w:rPr>
        <w:t xml:space="preserve">would </w:t>
      </w:r>
      <w:r>
        <w:rPr>
          <w:color w:val="231F20"/>
          <w:sz w:val="20"/>
        </w:rPr>
        <w:t>be</w:t>
      </w:r>
      <w:r>
        <w:rPr>
          <w:color w:val="231F20"/>
          <w:spacing w:val="-14"/>
          <w:sz w:val="20"/>
        </w:rPr>
        <w:t xml:space="preserve"> </w:t>
      </w:r>
      <w:r>
        <w:rPr>
          <w:color w:val="231F20"/>
          <w:spacing w:val="-3"/>
          <w:sz w:val="20"/>
        </w:rPr>
        <w:t>preferable.</w:t>
      </w:r>
      <w:r>
        <w:rPr>
          <w:color w:val="231F20"/>
          <w:spacing w:val="-3"/>
          <w:position w:val="7"/>
          <w:sz w:val="11"/>
        </w:rPr>
        <w:t>93</w:t>
      </w:r>
    </w:p>
    <w:p w14:paraId="60155F42" w14:textId="77777777" w:rsidR="00894070" w:rsidRDefault="009B7AFD">
      <w:pPr>
        <w:pStyle w:val="ListParagraph"/>
        <w:numPr>
          <w:ilvl w:val="1"/>
          <w:numId w:val="102"/>
        </w:numPr>
        <w:tabs>
          <w:tab w:val="left" w:pos="1801"/>
          <w:tab w:val="left" w:pos="1802"/>
        </w:tabs>
        <w:spacing w:before="123" w:line="206" w:lineRule="auto"/>
        <w:ind w:right="1306"/>
        <w:rPr>
          <w:sz w:val="20"/>
        </w:rPr>
      </w:pPr>
      <w:r>
        <w:rPr>
          <w:color w:val="231F20"/>
          <w:sz w:val="20"/>
        </w:rPr>
        <w:t>The</w:t>
      </w:r>
      <w:r>
        <w:rPr>
          <w:color w:val="231F20"/>
          <w:spacing w:val="-11"/>
          <w:sz w:val="20"/>
        </w:rPr>
        <w:t xml:space="preserve"> </w:t>
      </w:r>
      <w:r>
        <w:rPr>
          <w:color w:val="231F20"/>
          <w:sz w:val="20"/>
        </w:rPr>
        <w:t>Court</w:t>
      </w:r>
      <w:r>
        <w:rPr>
          <w:color w:val="231F20"/>
          <w:spacing w:val="-11"/>
          <w:sz w:val="20"/>
        </w:rPr>
        <w:t xml:space="preserve"> </w:t>
      </w:r>
      <w:r>
        <w:rPr>
          <w:color w:val="231F20"/>
          <w:sz w:val="20"/>
        </w:rPr>
        <w:t>was</w:t>
      </w:r>
      <w:r>
        <w:rPr>
          <w:color w:val="231F20"/>
          <w:spacing w:val="-11"/>
          <w:sz w:val="20"/>
        </w:rPr>
        <w:t xml:space="preserve"> </w:t>
      </w:r>
      <w:r>
        <w:rPr>
          <w:color w:val="231F20"/>
          <w:sz w:val="20"/>
        </w:rPr>
        <w:t>also</w:t>
      </w:r>
      <w:r>
        <w:rPr>
          <w:color w:val="231F20"/>
          <w:spacing w:val="-11"/>
          <w:sz w:val="20"/>
        </w:rPr>
        <w:t xml:space="preserve"> </w:t>
      </w:r>
      <w:r>
        <w:rPr>
          <w:color w:val="231F20"/>
          <w:sz w:val="20"/>
        </w:rPr>
        <w:t>concerned</w:t>
      </w:r>
      <w:r>
        <w:rPr>
          <w:color w:val="231F20"/>
          <w:spacing w:val="-11"/>
          <w:sz w:val="20"/>
        </w:rPr>
        <w:t xml:space="preserve"> </w:t>
      </w:r>
      <w:r>
        <w:rPr>
          <w:color w:val="231F20"/>
          <w:sz w:val="20"/>
        </w:rPr>
        <w:t>that</w:t>
      </w:r>
      <w:r>
        <w:rPr>
          <w:color w:val="231F20"/>
          <w:spacing w:val="-11"/>
          <w:sz w:val="20"/>
        </w:rPr>
        <w:t xml:space="preserve"> </w:t>
      </w:r>
      <w:r>
        <w:rPr>
          <w:color w:val="231F20"/>
          <w:sz w:val="20"/>
        </w:rPr>
        <w:t>the</w:t>
      </w:r>
      <w:r>
        <w:rPr>
          <w:color w:val="231F20"/>
          <w:spacing w:val="-11"/>
          <w:sz w:val="20"/>
        </w:rPr>
        <w:t xml:space="preserve"> </w:t>
      </w:r>
      <w:r>
        <w:rPr>
          <w:color w:val="231F20"/>
          <w:sz w:val="20"/>
        </w:rPr>
        <w:t>small</w:t>
      </w:r>
      <w:r>
        <w:rPr>
          <w:color w:val="231F20"/>
          <w:spacing w:val="-11"/>
          <w:sz w:val="20"/>
        </w:rPr>
        <w:t xml:space="preserve"> </w:t>
      </w:r>
      <w:r>
        <w:rPr>
          <w:color w:val="231F20"/>
          <w:sz w:val="20"/>
        </w:rPr>
        <w:t>numbers</w:t>
      </w:r>
      <w:r>
        <w:rPr>
          <w:color w:val="231F20"/>
          <w:spacing w:val="-10"/>
          <w:sz w:val="20"/>
        </w:rPr>
        <w:t xml:space="preserve"> </w:t>
      </w:r>
      <w:r>
        <w:rPr>
          <w:color w:val="231F20"/>
          <w:sz w:val="20"/>
        </w:rPr>
        <w:t>of</w:t>
      </w:r>
      <w:r>
        <w:rPr>
          <w:color w:val="231F20"/>
          <w:spacing w:val="-11"/>
          <w:sz w:val="20"/>
        </w:rPr>
        <w:t xml:space="preserve"> </w:t>
      </w:r>
      <w:r>
        <w:rPr>
          <w:color w:val="231F20"/>
          <w:sz w:val="20"/>
        </w:rPr>
        <w:t>non-family</w:t>
      </w:r>
      <w:r>
        <w:rPr>
          <w:color w:val="231F20"/>
          <w:spacing w:val="-11"/>
          <w:sz w:val="20"/>
        </w:rPr>
        <w:t xml:space="preserve"> </w:t>
      </w:r>
      <w:r>
        <w:rPr>
          <w:color w:val="231F20"/>
          <w:sz w:val="20"/>
        </w:rPr>
        <w:t>violence</w:t>
      </w:r>
      <w:r>
        <w:rPr>
          <w:color w:val="231F20"/>
          <w:spacing w:val="-11"/>
          <w:sz w:val="20"/>
        </w:rPr>
        <w:t xml:space="preserve"> </w:t>
      </w:r>
      <w:r>
        <w:rPr>
          <w:color w:val="231F20"/>
          <w:sz w:val="20"/>
        </w:rPr>
        <w:t>stalking matters</w:t>
      </w:r>
      <w:r>
        <w:rPr>
          <w:color w:val="231F20"/>
          <w:spacing w:val="-9"/>
          <w:sz w:val="20"/>
        </w:rPr>
        <w:t xml:space="preserve"> </w:t>
      </w:r>
      <w:r>
        <w:rPr>
          <w:color w:val="231F20"/>
          <w:sz w:val="20"/>
        </w:rPr>
        <w:t>that</w:t>
      </w:r>
      <w:r>
        <w:rPr>
          <w:color w:val="231F20"/>
          <w:spacing w:val="-8"/>
          <w:sz w:val="20"/>
        </w:rPr>
        <w:t xml:space="preserve"> </w:t>
      </w:r>
      <w:r>
        <w:rPr>
          <w:color w:val="231F20"/>
          <w:sz w:val="20"/>
        </w:rPr>
        <w:t>occur</w:t>
      </w:r>
      <w:r>
        <w:rPr>
          <w:color w:val="231F20"/>
          <w:spacing w:val="-8"/>
          <w:sz w:val="20"/>
        </w:rPr>
        <w:t xml:space="preserve"> </w:t>
      </w:r>
      <w:r>
        <w:rPr>
          <w:color w:val="231F20"/>
          <w:sz w:val="20"/>
        </w:rPr>
        <w:t>all</w:t>
      </w:r>
      <w:r>
        <w:rPr>
          <w:color w:val="231F20"/>
          <w:spacing w:val="-9"/>
          <w:sz w:val="20"/>
        </w:rPr>
        <w:t xml:space="preserve"> </w:t>
      </w:r>
      <w:r>
        <w:rPr>
          <w:color w:val="231F20"/>
          <w:spacing w:val="-4"/>
          <w:sz w:val="20"/>
        </w:rPr>
        <w:t>over</w:t>
      </w:r>
      <w:r>
        <w:rPr>
          <w:color w:val="231F20"/>
          <w:spacing w:val="-8"/>
          <w:sz w:val="20"/>
        </w:rPr>
        <w:t xml:space="preserve"> </w:t>
      </w:r>
      <w:r>
        <w:rPr>
          <w:color w:val="231F20"/>
          <w:sz w:val="20"/>
        </w:rPr>
        <w:t>Victoria</w:t>
      </w:r>
      <w:r>
        <w:rPr>
          <w:color w:val="231F20"/>
          <w:spacing w:val="-8"/>
          <w:sz w:val="20"/>
        </w:rPr>
        <w:t xml:space="preserve"> </w:t>
      </w:r>
      <w:r>
        <w:rPr>
          <w:color w:val="231F20"/>
          <w:sz w:val="20"/>
        </w:rPr>
        <w:t>could</w:t>
      </w:r>
      <w:r>
        <w:rPr>
          <w:color w:val="231F20"/>
          <w:spacing w:val="-9"/>
          <w:sz w:val="20"/>
        </w:rPr>
        <w:t xml:space="preserve"> </w:t>
      </w:r>
      <w:r>
        <w:rPr>
          <w:color w:val="231F20"/>
          <w:sz w:val="20"/>
        </w:rPr>
        <w:t>not</w:t>
      </w:r>
      <w:r>
        <w:rPr>
          <w:color w:val="231F20"/>
          <w:spacing w:val="-8"/>
          <w:sz w:val="20"/>
        </w:rPr>
        <w:t xml:space="preserve"> </w:t>
      </w:r>
      <w:r>
        <w:rPr>
          <w:color w:val="231F20"/>
          <w:sz w:val="20"/>
        </w:rPr>
        <w:t>justify</w:t>
      </w:r>
      <w:r>
        <w:rPr>
          <w:color w:val="231F20"/>
          <w:spacing w:val="-8"/>
          <w:sz w:val="20"/>
        </w:rPr>
        <w:t xml:space="preserve"> </w:t>
      </w:r>
      <w:r>
        <w:rPr>
          <w:color w:val="231F20"/>
          <w:sz w:val="20"/>
        </w:rPr>
        <w:t>a</w:t>
      </w:r>
      <w:r>
        <w:rPr>
          <w:color w:val="231F20"/>
          <w:spacing w:val="-9"/>
          <w:sz w:val="20"/>
        </w:rPr>
        <w:t xml:space="preserve"> </w:t>
      </w:r>
      <w:r>
        <w:rPr>
          <w:color w:val="231F20"/>
          <w:sz w:val="20"/>
        </w:rPr>
        <w:t>list</w:t>
      </w:r>
      <w:r>
        <w:rPr>
          <w:color w:val="231F20"/>
          <w:spacing w:val="-8"/>
          <w:sz w:val="20"/>
        </w:rPr>
        <w:t xml:space="preserve"> </w:t>
      </w:r>
      <w:r>
        <w:rPr>
          <w:color w:val="231F20"/>
          <w:sz w:val="20"/>
        </w:rPr>
        <w:t>at</w:t>
      </w:r>
      <w:r>
        <w:rPr>
          <w:color w:val="231F20"/>
          <w:spacing w:val="-8"/>
          <w:sz w:val="20"/>
        </w:rPr>
        <w:t xml:space="preserve"> </w:t>
      </w:r>
      <w:r>
        <w:rPr>
          <w:color w:val="231F20"/>
          <w:spacing w:val="-3"/>
          <w:sz w:val="20"/>
        </w:rPr>
        <w:t>any</w:t>
      </w:r>
      <w:r>
        <w:rPr>
          <w:color w:val="231F20"/>
          <w:spacing w:val="-9"/>
          <w:sz w:val="20"/>
        </w:rPr>
        <w:t xml:space="preserve"> </w:t>
      </w:r>
      <w:r>
        <w:rPr>
          <w:color w:val="231F20"/>
          <w:sz w:val="20"/>
        </w:rPr>
        <w:t>one</w:t>
      </w:r>
      <w:r>
        <w:rPr>
          <w:color w:val="231F20"/>
          <w:spacing w:val="-8"/>
          <w:sz w:val="20"/>
        </w:rPr>
        <w:t xml:space="preserve"> </w:t>
      </w:r>
      <w:r>
        <w:rPr>
          <w:color w:val="231F20"/>
          <w:sz w:val="20"/>
        </w:rPr>
        <w:t>court</w:t>
      </w:r>
      <w:r>
        <w:rPr>
          <w:color w:val="231F20"/>
          <w:spacing w:val="-8"/>
          <w:sz w:val="20"/>
        </w:rPr>
        <w:t xml:space="preserve"> </w:t>
      </w:r>
      <w:r>
        <w:rPr>
          <w:color w:val="231F20"/>
          <w:sz w:val="20"/>
        </w:rPr>
        <w:t>venue.</w:t>
      </w:r>
      <w:r>
        <w:rPr>
          <w:color w:val="231F20"/>
          <w:position w:val="7"/>
          <w:sz w:val="11"/>
        </w:rPr>
        <w:t>94</w:t>
      </w:r>
      <w:r>
        <w:rPr>
          <w:color w:val="231F20"/>
          <w:spacing w:val="16"/>
          <w:position w:val="7"/>
          <w:sz w:val="11"/>
        </w:rPr>
        <w:t xml:space="preserve"> </w:t>
      </w:r>
      <w:r>
        <w:rPr>
          <w:color w:val="231F20"/>
          <w:spacing w:val="-6"/>
          <w:sz w:val="20"/>
        </w:rPr>
        <w:t xml:space="preserve">We </w:t>
      </w:r>
      <w:r>
        <w:rPr>
          <w:color w:val="231F20"/>
          <w:spacing w:val="-3"/>
          <w:sz w:val="20"/>
        </w:rPr>
        <w:t xml:space="preserve">note </w:t>
      </w:r>
      <w:r>
        <w:rPr>
          <w:color w:val="231F20"/>
          <w:sz w:val="20"/>
        </w:rPr>
        <w:t xml:space="preserve">that when courts and police get better at identifying stalking matters amongst PSIOs, these numbers </w:t>
      </w:r>
      <w:r>
        <w:rPr>
          <w:color w:val="231F20"/>
          <w:spacing w:val="-3"/>
          <w:sz w:val="20"/>
        </w:rPr>
        <w:t>may</w:t>
      </w:r>
      <w:r>
        <w:rPr>
          <w:color w:val="231F20"/>
          <w:spacing w:val="-18"/>
          <w:sz w:val="20"/>
        </w:rPr>
        <w:t xml:space="preserve"> </w:t>
      </w:r>
      <w:r>
        <w:rPr>
          <w:color w:val="231F20"/>
          <w:sz w:val="20"/>
        </w:rPr>
        <w:t>increase.</w:t>
      </w:r>
    </w:p>
    <w:p w14:paraId="2EF4532D" w14:textId="77777777" w:rsidR="00894070" w:rsidRDefault="009B7AFD">
      <w:pPr>
        <w:pStyle w:val="ListParagraph"/>
        <w:numPr>
          <w:ilvl w:val="1"/>
          <w:numId w:val="102"/>
        </w:numPr>
        <w:tabs>
          <w:tab w:val="left" w:pos="1801"/>
          <w:tab w:val="left" w:pos="1802"/>
        </w:tabs>
        <w:spacing w:before="125" w:line="206" w:lineRule="auto"/>
        <w:ind w:right="1231"/>
        <w:rPr>
          <w:sz w:val="20"/>
        </w:rPr>
      </w:pPr>
      <w:r>
        <w:rPr>
          <w:color w:val="231F20"/>
          <w:spacing w:val="-6"/>
          <w:sz w:val="20"/>
        </w:rPr>
        <w:t>We</w:t>
      </w:r>
      <w:r>
        <w:rPr>
          <w:color w:val="231F20"/>
          <w:spacing w:val="-12"/>
          <w:sz w:val="20"/>
        </w:rPr>
        <w:t xml:space="preserve"> </w:t>
      </w:r>
      <w:r>
        <w:rPr>
          <w:color w:val="231F20"/>
          <w:sz w:val="20"/>
        </w:rPr>
        <w:t>think</w:t>
      </w:r>
      <w:r>
        <w:rPr>
          <w:color w:val="231F20"/>
          <w:spacing w:val="-11"/>
          <w:sz w:val="20"/>
        </w:rPr>
        <w:t xml:space="preserve"> </w:t>
      </w:r>
      <w:r>
        <w:rPr>
          <w:color w:val="231F20"/>
          <w:sz w:val="20"/>
        </w:rPr>
        <w:t>there</w:t>
      </w:r>
      <w:r>
        <w:rPr>
          <w:color w:val="231F20"/>
          <w:spacing w:val="-11"/>
          <w:sz w:val="20"/>
        </w:rPr>
        <w:t xml:space="preserve"> </w:t>
      </w:r>
      <w:r>
        <w:rPr>
          <w:color w:val="231F20"/>
          <w:spacing w:val="-3"/>
          <w:sz w:val="20"/>
        </w:rPr>
        <w:t>are</w:t>
      </w:r>
      <w:r>
        <w:rPr>
          <w:color w:val="231F20"/>
          <w:spacing w:val="-11"/>
          <w:sz w:val="20"/>
        </w:rPr>
        <w:t xml:space="preserve"> </w:t>
      </w:r>
      <w:r>
        <w:rPr>
          <w:color w:val="231F20"/>
          <w:spacing w:val="-4"/>
          <w:sz w:val="20"/>
        </w:rPr>
        <w:t>ways</w:t>
      </w:r>
      <w:r>
        <w:rPr>
          <w:color w:val="231F20"/>
          <w:spacing w:val="-11"/>
          <w:sz w:val="20"/>
        </w:rPr>
        <w:t xml:space="preserve"> </w:t>
      </w:r>
      <w:r>
        <w:rPr>
          <w:color w:val="231F20"/>
          <w:sz w:val="20"/>
        </w:rPr>
        <w:t>of</w:t>
      </w:r>
      <w:r>
        <w:rPr>
          <w:color w:val="231F20"/>
          <w:spacing w:val="-11"/>
          <w:sz w:val="20"/>
        </w:rPr>
        <w:t xml:space="preserve"> </w:t>
      </w:r>
      <w:r>
        <w:rPr>
          <w:color w:val="231F20"/>
          <w:sz w:val="20"/>
        </w:rPr>
        <w:t>addressing</w:t>
      </w:r>
      <w:r>
        <w:rPr>
          <w:color w:val="231F20"/>
          <w:spacing w:val="-12"/>
          <w:sz w:val="20"/>
        </w:rPr>
        <w:t xml:space="preserve"> </w:t>
      </w:r>
      <w:r>
        <w:rPr>
          <w:color w:val="231F20"/>
          <w:sz w:val="20"/>
        </w:rPr>
        <w:t>these</w:t>
      </w:r>
      <w:r>
        <w:rPr>
          <w:color w:val="231F20"/>
          <w:spacing w:val="-11"/>
          <w:sz w:val="20"/>
        </w:rPr>
        <w:t xml:space="preserve"> </w:t>
      </w:r>
      <w:r>
        <w:rPr>
          <w:color w:val="231F20"/>
          <w:sz w:val="20"/>
        </w:rPr>
        <w:t>concerns</w:t>
      </w:r>
      <w:r>
        <w:rPr>
          <w:color w:val="231F20"/>
          <w:spacing w:val="-11"/>
          <w:sz w:val="20"/>
        </w:rPr>
        <w:t xml:space="preserve"> </w:t>
      </w:r>
      <w:r>
        <w:rPr>
          <w:color w:val="231F20"/>
          <w:sz w:val="20"/>
        </w:rPr>
        <w:t>while</w:t>
      </w:r>
      <w:r>
        <w:rPr>
          <w:color w:val="231F20"/>
          <w:spacing w:val="-11"/>
          <w:sz w:val="20"/>
        </w:rPr>
        <w:t xml:space="preserve"> </w:t>
      </w:r>
      <w:r>
        <w:rPr>
          <w:color w:val="231F20"/>
          <w:sz w:val="20"/>
        </w:rPr>
        <w:t>still</w:t>
      </w:r>
      <w:r>
        <w:rPr>
          <w:color w:val="231F20"/>
          <w:spacing w:val="-11"/>
          <w:sz w:val="20"/>
        </w:rPr>
        <w:t xml:space="preserve"> </w:t>
      </w:r>
      <w:r>
        <w:rPr>
          <w:color w:val="231F20"/>
          <w:sz w:val="20"/>
        </w:rPr>
        <w:t>achieving</w:t>
      </w:r>
      <w:r>
        <w:rPr>
          <w:color w:val="231F20"/>
          <w:spacing w:val="-11"/>
          <w:sz w:val="20"/>
        </w:rPr>
        <w:t xml:space="preserve"> </w:t>
      </w:r>
      <w:r>
        <w:rPr>
          <w:color w:val="231F20"/>
          <w:sz w:val="20"/>
        </w:rPr>
        <w:t>the</w:t>
      </w:r>
      <w:r>
        <w:rPr>
          <w:color w:val="231F20"/>
          <w:spacing w:val="-12"/>
          <w:sz w:val="20"/>
        </w:rPr>
        <w:t xml:space="preserve"> </w:t>
      </w:r>
      <w:r>
        <w:rPr>
          <w:color w:val="231F20"/>
          <w:sz w:val="20"/>
        </w:rPr>
        <w:t>benefits of</w:t>
      </w:r>
      <w:r>
        <w:rPr>
          <w:color w:val="231F20"/>
          <w:spacing w:val="-9"/>
          <w:sz w:val="20"/>
        </w:rPr>
        <w:t xml:space="preserve"> </w:t>
      </w:r>
      <w:r>
        <w:rPr>
          <w:color w:val="231F20"/>
          <w:sz w:val="20"/>
        </w:rPr>
        <w:t>a</w:t>
      </w:r>
      <w:r>
        <w:rPr>
          <w:color w:val="231F20"/>
          <w:spacing w:val="-8"/>
          <w:sz w:val="20"/>
        </w:rPr>
        <w:t xml:space="preserve"> </w:t>
      </w:r>
      <w:r>
        <w:rPr>
          <w:color w:val="231F20"/>
          <w:sz w:val="20"/>
        </w:rPr>
        <w:t>specialist</w:t>
      </w:r>
      <w:r>
        <w:rPr>
          <w:color w:val="231F20"/>
          <w:spacing w:val="-8"/>
          <w:sz w:val="20"/>
        </w:rPr>
        <w:t xml:space="preserve"> </w:t>
      </w:r>
      <w:r>
        <w:rPr>
          <w:color w:val="231F20"/>
          <w:sz w:val="20"/>
        </w:rPr>
        <w:t>list,</w:t>
      </w:r>
      <w:r>
        <w:rPr>
          <w:color w:val="231F20"/>
          <w:spacing w:val="-9"/>
          <w:sz w:val="20"/>
        </w:rPr>
        <w:t xml:space="preserve"> </w:t>
      </w:r>
      <w:r>
        <w:rPr>
          <w:color w:val="231F20"/>
          <w:sz w:val="20"/>
        </w:rPr>
        <w:t>especially</w:t>
      </w:r>
      <w:r>
        <w:rPr>
          <w:color w:val="231F20"/>
          <w:spacing w:val="-8"/>
          <w:sz w:val="20"/>
        </w:rPr>
        <w:t xml:space="preserve"> </w:t>
      </w:r>
      <w:r>
        <w:rPr>
          <w:color w:val="231F20"/>
          <w:spacing w:val="-3"/>
          <w:sz w:val="20"/>
        </w:rPr>
        <w:t>given</w:t>
      </w:r>
      <w:r>
        <w:rPr>
          <w:color w:val="231F20"/>
          <w:spacing w:val="-8"/>
          <w:sz w:val="20"/>
        </w:rPr>
        <w:t xml:space="preserve"> </w:t>
      </w:r>
      <w:r>
        <w:rPr>
          <w:color w:val="231F20"/>
          <w:sz w:val="20"/>
        </w:rPr>
        <w:t>the</w:t>
      </w:r>
      <w:r>
        <w:rPr>
          <w:color w:val="231F20"/>
          <w:spacing w:val="-9"/>
          <w:sz w:val="20"/>
        </w:rPr>
        <w:t xml:space="preserve"> </w:t>
      </w:r>
      <w:r>
        <w:rPr>
          <w:color w:val="231F20"/>
          <w:sz w:val="20"/>
        </w:rPr>
        <w:t>shifts</w:t>
      </w:r>
      <w:r>
        <w:rPr>
          <w:color w:val="231F20"/>
          <w:spacing w:val="-8"/>
          <w:sz w:val="20"/>
        </w:rPr>
        <w:t xml:space="preserve"> </w:t>
      </w:r>
      <w:r>
        <w:rPr>
          <w:color w:val="231F20"/>
          <w:sz w:val="20"/>
        </w:rPr>
        <w:t>in</w:t>
      </w:r>
      <w:r>
        <w:rPr>
          <w:color w:val="231F20"/>
          <w:spacing w:val="-8"/>
          <w:sz w:val="20"/>
        </w:rPr>
        <w:t xml:space="preserve"> </w:t>
      </w:r>
      <w:r>
        <w:rPr>
          <w:color w:val="231F20"/>
          <w:sz w:val="20"/>
        </w:rPr>
        <w:t>court</w:t>
      </w:r>
      <w:r>
        <w:rPr>
          <w:color w:val="231F20"/>
          <w:spacing w:val="-9"/>
          <w:sz w:val="20"/>
        </w:rPr>
        <w:t xml:space="preserve"> </w:t>
      </w:r>
      <w:r>
        <w:rPr>
          <w:color w:val="231F20"/>
          <w:sz w:val="20"/>
        </w:rPr>
        <w:t>practice</w:t>
      </w:r>
      <w:r>
        <w:rPr>
          <w:color w:val="231F20"/>
          <w:spacing w:val="-8"/>
          <w:sz w:val="20"/>
        </w:rPr>
        <w:t xml:space="preserve"> </w:t>
      </w:r>
      <w:r>
        <w:rPr>
          <w:color w:val="231F20"/>
          <w:sz w:val="20"/>
        </w:rPr>
        <w:t>during</w:t>
      </w:r>
      <w:r>
        <w:rPr>
          <w:color w:val="231F20"/>
          <w:spacing w:val="-8"/>
          <w:sz w:val="20"/>
        </w:rPr>
        <w:t xml:space="preserve"> </w:t>
      </w:r>
      <w:r>
        <w:rPr>
          <w:color w:val="231F20"/>
          <w:sz w:val="20"/>
        </w:rPr>
        <w:t>the</w:t>
      </w:r>
      <w:r>
        <w:rPr>
          <w:color w:val="231F20"/>
          <w:spacing w:val="-9"/>
          <w:sz w:val="20"/>
        </w:rPr>
        <w:t xml:space="preserve"> </w:t>
      </w:r>
      <w:r>
        <w:rPr>
          <w:color w:val="231F20"/>
          <w:sz w:val="20"/>
        </w:rPr>
        <w:t>pandemic.</w:t>
      </w:r>
      <w:r>
        <w:rPr>
          <w:color w:val="231F20"/>
          <w:spacing w:val="-8"/>
          <w:sz w:val="20"/>
        </w:rPr>
        <w:t xml:space="preserve"> </w:t>
      </w:r>
      <w:r>
        <w:rPr>
          <w:color w:val="231F20"/>
          <w:spacing w:val="-3"/>
          <w:sz w:val="20"/>
        </w:rPr>
        <w:t xml:space="preserve">For example, </w:t>
      </w:r>
      <w:r>
        <w:rPr>
          <w:color w:val="231F20"/>
          <w:sz w:val="20"/>
        </w:rPr>
        <w:t xml:space="preserve">the Court could centralise matters in some court locations and hear them </w:t>
      </w:r>
      <w:r>
        <w:rPr>
          <w:color w:val="231F20"/>
          <w:spacing w:val="-4"/>
          <w:sz w:val="20"/>
        </w:rPr>
        <w:t>remotely.</w:t>
      </w:r>
    </w:p>
    <w:p w14:paraId="6E27A3E9" w14:textId="77777777" w:rsidR="00894070" w:rsidRDefault="009B7AFD">
      <w:pPr>
        <w:pStyle w:val="ListParagraph"/>
        <w:numPr>
          <w:ilvl w:val="1"/>
          <w:numId w:val="102"/>
        </w:numPr>
        <w:tabs>
          <w:tab w:val="left" w:pos="1801"/>
          <w:tab w:val="left" w:pos="1802"/>
        </w:tabs>
        <w:spacing w:before="93" w:line="259" w:lineRule="exact"/>
        <w:rPr>
          <w:sz w:val="20"/>
        </w:rPr>
      </w:pPr>
      <w:r>
        <w:rPr>
          <w:color w:val="231F20"/>
          <w:sz w:val="20"/>
        </w:rPr>
        <w:t>In</w:t>
      </w:r>
      <w:r>
        <w:rPr>
          <w:color w:val="231F20"/>
          <w:spacing w:val="-6"/>
          <w:sz w:val="20"/>
        </w:rPr>
        <w:t xml:space="preserve"> </w:t>
      </w:r>
      <w:r>
        <w:rPr>
          <w:color w:val="231F20"/>
          <w:sz w:val="20"/>
        </w:rPr>
        <w:t>this</w:t>
      </w:r>
      <w:r>
        <w:rPr>
          <w:color w:val="231F20"/>
          <w:spacing w:val="-6"/>
          <w:sz w:val="20"/>
        </w:rPr>
        <w:t xml:space="preserve"> </w:t>
      </w:r>
      <w:r>
        <w:rPr>
          <w:color w:val="231F20"/>
          <w:sz w:val="20"/>
        </w:rPr>
        <w:t>instance,</w:t>
      </w:r>
      <w:r>
        <w:rPr>
          <w:color w:val="231F20"/>
          <w:spacing w:val="-5"/>
          <w:sz w:val="20"/>
        </w:rPr>
        <w:t xml:space="preserve"> </w:t>
      </w:r>
      <w:r>
        <w:rPr>
          <w:color w:val="231F20"/>
          <w:sz w:val="20"/>
        </w:rPr>
        <w:t>the</w:t>
      </w:r>
      <w:r>
        <w:rPr>
          <w:color w:val="231F20"/>
          <w:spacing w:val="-6"/>
          <w:sz w:val="20"/>
        </w:rPr>
        <w:t xml:space="preserve"> </w:t>
      </w:r>
      <w:r>
        <w:rPr>
          <w:color w:val="231F20"/>
          <w:sz w:val="20"/>
        </w:rPr>
        <w:t>Court</w:t>
      </w:r>
      <w:r>
        <w:rPr>
          <w:color w:val="231F20"/>
          <w:spacing w:val="-5"/>
          <w:sz w:val="20"/>
        </w:rPr>
        <w:t xml:space="preserve"> </w:t>
      </w:r>
      <w:r>
        <w:rPr>
          <w:color w:val="231F20"/>
          <w:sz w:val="20"/>
        </w:rPr>
        <w:t>is</w:t>
      </w:r>
      <w:r>
        <w:rPr>
          <w:color w:val="231F20"/>
          <w:spacing w:val="-6"/>
          <w:sz w:val="20"/>
        </w:rPr>
        <w:t xml:space="preserve"> </w:t>
      </w:r>
      <w:r>
        <w:rPr>
          <w:color w:val="231F20"/>
          <w:sz w:val="20"/>
        </w:rPr>
        <w:t>best</w:t>
      </w:r>
      <w:r>
        <w:rPr>
          <w:color w:val="231F20"/>
          <w:spacing w:val="-5"/>
          <w:sz w:val="20"/>
        </w:rPr>
        <w:t xml:space="preserve"> </w:t>
      </w:r>
      <w:r>
        <w:rPr>
          <w:color w:val="231F20"/>
          <w:sz w:val="20"/>
        </w:rPr>
        <w:t>placed</w:t>
      </w:r>
      <w:r>
        <w:rPr>
          <w:color w:val="231F20"/>
          <w:spacing w:val="-6"/>
          <w:sz w:val="20"/>
        </w:rPr>
        <w:t xml:space="preserve"> </w:t>
      </w:r>
      <w:r>
        <w:rPr>
          <w:color w:val="231F20"/>
          <w:sz w:val="20"/>
        </w:rPr>
        <w:t>to</w:t>
      </w:r>
      <w:r>
        <w:rPr>
          <w:color w:val="231F20"/>
          <w:spacing w:val="-6"/>
          <w:sz w:val="20"/>
        </w:rPr>
        <w:t xml:space="preserve"> </w:t>
      </w:r>
      <w:r>
        <w:rPr>
          <w:color w:val="231F20"/>
          <w:sz w:val="20"/>
        </w:rPr>
        <w:t>determine</w:t>
      </w:r>
      <w:r>
        <w:rPr>
          <w:color w:val="231F20"/>
          <w:spacing w:val="-5"/>
          <w:sz w:val="20"/>
        </w:rPr>
        <w:t xml:space="preserve"> </w:t>
      </w:r>
      <w:r>
        <w:rPr>
          <w:color w:val="231F20"/>
          <w:spacing w:val="-3"/>
          <w:sz w:val="20"/>
        </w:rPr>
        <w:t>how</w:t>
      </w:r>
      <w:r>
        <w:rPr>
          <w:color w:val="231F20"/>
          <w:spacing w:val="-6"/>
          <w:sz w:val="20"/>
        </w:rPr>
        <w:t xml:space="preserve"> </w:t>
      </w:r>
      <w:r>
        <w:rPr>
          <w:color w:val="231F20"/>
          <w:sz w:val="20"/>
        </w:rPr>
        <w:t>a</w:t>
      </w:r>
      <w:r>
        <w:rPr>
          <w:color w:val="231F20"/>
          <w:spacing w:val="-5"/>
          <w:sz w:val="20"/>
        </w:rPr>
        <w:t xml:space="preserve"> </w:t>
      </w:r>
      <w:r>
        <w:rPr>
          <w:color w:val="231F20"/>
          <w:sz w:val="20"/>
        </w:rPr>
        <w:t>specialist</w:t>
      </w:r>
      <w:r>
        <w:rPr>
          <w:color w:val="231F20"/>
          <w:spacing w:val="-6"/>
          <w:sz w:val="20"/>
        </w:rPr>
        <w:t xml:space="preserve"> </w:t>
      </w:r>
      <w:r>
        <w:rPr>
          <w:color w:val="231F20"/>
          <w:sz w:val="20"/>
        </w:rPr>
        <w:t>approach</w:t>
      </w:r>
      <w:r>
        <w:rPr>
          <w:color w:val="231F20"/>
          <w:spacing w:val="-5"/>
          <w:sz w:val="20"/>
        </w:rPr>
        <w:t xml:space="preserve"> </w:t>
      </w:r>
      <w:r>
        <w:rPr>
          <w:color w:val="231F20"/>
          <w:sz w:val="20"/>
        </w:rPr>
        <w:t>to</w:t>
      </w:r>
    </w:p>
    <w:p w14:paraId="01C81530" w14:textId="77777777" w:rsidR="00894070" w:rsidRDefault="009B7AFD">
      <w:pPr>
        <w:pStyle w:val="BodyText"/>
        <w:spacing w:line="259" w:lineRule="exact"/>
        <w:ind w:left="1801"/>
      </w:pPr>
      <w:r>
        <w:rPr>
          <w:color w:val="231F20"/>
        </w:rPr>
        <w:t>these matters might be most effectively implemented.</w:t>
      </w:r>
    </w:p>
    <w:p w14:paraId="73E18982" w14:textId="77777777" w:rsidR="00894070" w:rsidRDefault="009F6793">
      <w:pPr>
        <w:pStyle w:val="BodyText"/>
        <w:spacing w:before="11"/>
        <w:rPr>
          <w:sz w:val="18"/>
        </w:rPr>
      </w:pPr>
      <w:r>
        <w:pict w14:anchorId="76ABD51B">
          <v:group id="_x0000_s1331" style="position:absolute;margin-left:62.35pt;margin-top:15pt;width:479.1pt;height:188.9pt;z-index:251658240;mso-wrap-distance-left:0;mso-wrap-distance-right:0;mso-position-horizontal-relative:page" coordorigin="1247,300" coordsize="9582,3778">
            <v:rect id="_x0000_s1336" style="position:absolute;left:1587;top:300;width:8731;height:3778" fillcolor="#fee7de" stroked="f"/>
            <v:line id="_x0000_s1335" style="position:absolute" from="1247,1108" to="10828,1108" strokecolor="white" strokeweight="2.5pt"/>
            <v:shape id="_x0000_s1334" type="#_x0000_t202" style="position:absolute;left:2381;top:1333;width:7703;height:2565" filled="f" stroked="f">
              <v:textbox inset="0,0,0,0">
                <w:txbxContent>
                  <w:p w14:paraId="2D28C14D" w14:textId="77777777" w:rsidR="00894070" w:rsidRDefault="009B7AFD">
                    <w:pPr>
                      <w:spacing w:line="247" w:lineRule="auto"/>
                      <w:rPr>
                        <w:rFonts w:ascii="Trebuchet MS" w:hAnsi="Trebuchet MS"/>
                        <w:sz w:val="20"/>
                      </w:rPr>
                    </w:pPr>
                    <w:r>
                      <w:rPr>
                        <w:rFonts w:ascii="Trebuchet MS" w:hAnsi="Trebuchet MS"/>
                        <w:color w:val="231F20"/>
                        <w:spacing w:val="-2"/>
                        <w:w w:val="105"/>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5"/>
                        <w:sz w:val="20"/>
                      </w:rPr>
                      <w:t>M</w:t>
                    </w:r>
                    <w:r>
                      <w:rPr>
                        <w:rFonts w:ascii="Trebuchet MS" w:hAnsi="Trebuchet MS"/>
                        <w:color w:val="231F20"/>
                        <w:spacing w:val="-2"/>
                        <w:w w:val="11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06"/>
                        <w:sz w:val="20"/>
                      </w:rPr>
                      <w:t>ou</w:t>
                    </w:r>
                    <w:r>
                      <w:rPr>
                        <w:rFonts w:ascii="Trebuchet MS" w:hAnsi="Trebuchet MS"/>
                        <w:color w:val="231F20"/>
                        <w:spacing w:val="2"/>
                        <w:w w:val="106"/>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96"/>
                        <w:sz w:val="20"/>
                      </w:rPr>
                      <w:t>i</w:t>
                    </w:r>
                    <w:r>
                      <w:rPr>
                        <w:rFonts w:ascii="Trebuchet MS" w:hAnsi="Trebuchet MS"/>
                        <w:color w:val="231F20"/>
                        <w:w w:val="96"/>
                        <w:sz w:val="20"/>
                      </w:rPr>
                      <w:t>a</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ho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05"/>
                        <w:sz w:val="20"/>
                      </w:rPr>
                      <w:t>a</w:t>
                    </w:r>
                    <w:r>
                      <w:rPr>
                        <w:rFonts w:ascii="Trebuchet MS" w:hAnsi="Trebuchet MS"/>
                        <w:color w:val="231F20"/>
                        <w:spacing w:val="-1"/>
                        <w:w w:val="111"/>
                        <w:sz w:val="20"/>
                      </w:rPr>
                      <w:t>p</w:t>
                    </w:r>
                    <w:r>
                      <w:rPr>
                        <w:rFonts w:ascii="Trebuchet MS" w:hAnsi="Trebuchet MS"/>
                        <w:color w:val="231F20"/>
                        <w:spacing w:val="-2"/>
                        <w:w w:val="111"/>
                        <w:sz w:val="20"/>
                      </w:rPr>
                      <w:t>p</w:t>
                    </w:r>
                    <w:r>
                      <w:rPr>
                        <w:rFonts w:ascii="Trebuchet MS" w:hAnsi="Trebuchet MS"/>
                        <w:color w:val="231F20"/>
                        <w:spacing w:val="-7"/>
                        <w:w w:val="96"/>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24"/>
                        <w:sz w:val="20"/>
                      </w:rPr>
                      <w:t>g</w:t>
                    </w:r>
                    <w:r>
                      <w:rPr>
                        <w:rFonts w:ascii="Trebuchet MS" w:hAnsi="Trebuchet MS"/>
                        <w:color w:val="231F20"/>
                        <w:spacing w:val="-1"/>
                        <w:w w:val="109"/>
                        <w:sz w:val="20"/>
                      </w:rPr>
                      <w:t>u</w:t>
                    </w:r>
                    <w:r>
                      <w:rPr>
                        <w:rFonts w:ascii="Trebuchet MS" w:hAnsi="Trebuchet MS"/>
                        <w:color w:val="231F20"/>
                        <w:spacing w:val="-1"/>
                        <w:w w:val="101"/>
                        <w:sz w:val="20"/>
                      </w:rPr>
                      <w:t>i</w:t>
                    </w:r>
                    <w:r>
                      <w:rPr>
                        <w:rFonts w:ascii="Trebuchet MS" w:hAnsi="Trebuchet MS"/>
                        <w:color w:val="231F20"/>
                        <w:spacing w:val="-2"/>
                        <w:w w:val="101"/>
                        <w:sz w:val="20"/>
                      </w:rPr>
                      <w:t>d</w:t>
                    </w:r>
                    <w:r>
                      <w:rPr>
                        <w:rFonts w:ascii="Trebuchet MS" w:hAnsi="Trebuchet MS"/>
                        <w:color w:val="231F20"/>
                        <w:spacing w:val="-2"/>
                        <w:w w:val="105"/>
                        <w:sz w:val="20"/>
                      </w:rPr>
                      <w:t>a</w:t>
                    </w:r>
                    <w:r>
                      <w:rPr>
                        <w:rFonts w:ascii="Trebuchet MS" w:hAnsi="Trebuchet MS"/>
                        <w:color w:val="231F20"/>
                        <w:spacing w:val="-1"/>
                        <w:w w:val="109"/>
                        <w:sz w:val="20"/>
                      </w:rPr>
                      <w:t>n</w:t>
                    </w:r>
                    <w:r>
                      <w:rPr>
                        <w:rFonts w:ascii="Trebuchet MS" w:hAnsi="Trebuchet MS"/>
                        <w:color w:val="231F20"/>
                        <w:spacing w:val="-3"/>
                        <w:w w:val="109"/>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2"/>
                        <w:sz w:val="20"/>
                      </w:rPr>
                      <w:t>d</w:t>
                    </w:r>
                    <w:r>
                      <w:rPr>
                        <w:rFonts w:ascii="Trebuchet MS" w:hAnsi="Trebuchet MS"/>
                        <w:color w:val="231F20"/>
                        <w:spacing w:val="-5"/>
                        <w:w w:val="108"/>
                        <w:sz w:val="20"/>
                      </w:rPr>
                      <w:t>e</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3"/>
                        <w:w w:val="96"/>
                        <w:sz w:val="20"/>
                      </w:rPr>
                      <w:t>l</w:t>
                    </w:r>
                    <w:r>
                      <w:rPr>
                        <w:rFonts w:ascii="Trebuchet MS" w:hAnsi="Trebuchet MS"/>
                        <w:color w:val="231F20"/>
                        <w:spacing w:val="-1"/>
                        <w:w w:val="111"/>
                        <w:sz w:val="20"/>
                      </w:rPr>
                      <w:t>op</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w w:val="107"/>
                        <w:sz w:val="20"/>
                      </w:rPr>
                      <w:t xml:space="preserve">n </w:t>
                    </w:r>
                    <w:r>
                      <w:rPr>
                        <w:rFonts w:ascii="Trebuchet MS" w:hAnsi="Trebuchet MS"/>
                        <w:color w:val="231F20"/>
                        <w:w w:val="105"/>
                        <w:sz w:val="20"/>
                      </w:rPr>
                      <w:t xml:space="preserve">Recommendation </w:t>
                    </w:r>
                    <w:r>
                      <w:rPr>
                        <w:rFonts w:ascii="Trebuchet MS" w:hAnsi="Trebuchet MS"/>
                        <w:color w:val="231F20"/>
                        <w:spacing w:val="-3"/>
                        <w:w w:val="105"/>
                        <w:sz w:val="20"/>
                      </w:rPr>
                      <w:t xml:space="preserve">10 </w:t>
                    </w:r>
                    <w:r>
                      <w:rPr>
                        <w:rFonts w:ascii="Trebuchet MS" w:hAnsi="Trebuchet MS"/>
                        <w:color w:val="231F20"/>
                        <w:w w:val="105"/>
                        <w:sz w:val="20"/>
                      </w:rPr>
                      <w:t xml:space="preserve">to identify </w:t>
                    </w:r>
                    <w:r>
                      <w:rPr>
                        <w:rFonts w:ascii="Trebuchet MS" w:hAnsi="Trebuchet MS"/>
                        <w:color w:val="231F20"/>
                        <w:spacing w:val="-3"/>
                        <w:w w:val="105"/>
                        <w:sz w:val="20"/>
                      </w:rPr>
                      <w:t xml:space="preserve">non-family </w:t>
                    </w:r>
                    <w:r>
                      <w:rPr>
                        <w:rFonts w:ascii="Trebuchet MS" w:hAnsi="Trebuchet MS"/>
                        <w:color w:val="231F20"/>
                        <w:w w:val="105"/>
                        <w:sz w:val="20"/>
                      </w:rPr>
                      <w:t xml:space="preserve">violence stalking personal safety </w:t>
                    </w:r>
                    <w:r>
                      <w:rPr>
                        <w:rFonts w:ascii="Trebuchet MS" w:hAnsi="Trebuchet MS"/>
                        <w:color w:val="231F20"/>
                        <w:spacing w:val="-2"/>
                        <w:w w:val="80"/>
                        <w:sz w:val="20"/>
                      </w:rPr>
                      <w:t>i</w:t>
                    </w:r>
                    <w:r>
                      <w:rPr>
                        <w:rFonts w:ascii="Trebuchet MS" w:hAnsi="Trebuchet MS"/>
                        <w:color w:val="231F20"/>
                        <w:spacing w:val="-4"/>
                        <w:w w:val="107"/>
                        <w:sz w:val="20"/>
                      </w:rPr>
                      <w:t>n</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3"/>
                        <w:w w:val="93"/>
                        <w:sz w:val="20"/>
                      </w:rPr>
                      <w:t>r</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4"/>
                        <w:w w:val="105"/>
                        <w:sz w:val="20"/>
                      </w:rPr>
                      <w:t>a</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4"/>
                        <w:w w:val="105"/>
                        <w:sz w:val="20"/>
                      </w:rPr>
                      <w:t>a</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2"/>
                        <w:w w:val="111"/>
                        <w:sz w:val="20"/>
                      </w:rPr>
                      <w:t>q</w:t>
                    </w:r>
                    <w:r>
                      <w:rPr>
                        <w:rFonts w:ascii="Trebuchet MS" w:hAnsi="Trebuchet MS"/>
                        <w:color w:val="231F20"/>
                        <w:spacing w:val="-1"/>
                        <w:w w:val="109"/>
                        <w:sz w:val="20"/>
                      </w:rPr>
                      <w:t>u</w:t>
                    </w:r>
                    <w:r>
                      <w:rPr>
                        <w:rFonts w:ascii="Trebuchet MS" w:hAnsi="Trebuchet MS"/>
                        <w:color w:val="231F20"/>
                        <w:spacing w:val="-2"/>
                        <w:w w:val="80"/>
                        <w:sz w:val="20"/>
                      </w:rPr>
                      <w:t>i</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1"/>
                        <w:w w:val="80"/>
                        <w:sz w:val="20"/>
                      </w:rPr>
                      <w:t>i</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05"/>
                        <w:sz w:val="20"/>
                      </w:rPr>
                      <w:t>a</w:t>
                    </w:r>
                    <w:r>
                      <w:rPr>
                        <w:rFonts w:ascii="Trebuchet MS" w:hAnsi="Trebuchet MS"/>
                        <w:color w:val="231F20"/>
                        <w:spacing w:val="-1"/>
                        <w:w w:val="111"/>
                        <w:sz w:val="20"/>
                      </w:rPr>
                      <w:t>pp</w:t>
                    </w:r>
                    <w:r>
                      <w:rPr>
                        <w:rFonts w:ascii="Trebuchet MS" w:hAnsi="Trebuchet MS"/>
                        <w:color w:val="231F20"/>
                        <w:spacing w:val="-4"/>
                        <w:w w:val="93"/>
                        <w:sz w:val="20"/>
                      </w:rPr>
                      <w:t>r</w:t>
                    </w:r>
                    <w:r>
                      <w:rPr>
                        <w:rFonts w:ascii="Trebuchet MS" w:hAnsi="Trebuchet MS"/>
                        <w:color w:val="231F20"/>
                        <w:spacing w:val="-1"/>
                        <w:w w:val="111"/>
                        <w:sz w:val="20"/>
                      </w:rPr>
                      <w:t>o</w:t>
                    </w:r>
                    <w:r>
                      <w:rPr>
                        <w:rFonts w:ascii="Trebuchet MS" w:hAnsi="Trebuchet MS"/>
                        <w:color w:val="231F20"/>
                        <w:spacing w:val="-2"/>
                        <w:w w:val="108"/>
                        <w:sz w:val="20"/>
                      </w:rPr>
                      <w:t>ac</w:t>
                    </w:r>
                    <w:r>
                      <w:rPr>
                        <w:rFonts w:ascii="Trebuchet MS" w:hAnsi="Trebuchet MS"/>
                        <w:color w:val="231F20"/>
                        <w:spacing w:val="-1"/>
                        <w:w w:val="107"/>
                        <w:sz w:val="20"/>
                      </w:rPr>
                      <w:t>h</w:t>
                    </w:r>
                    <w:r>
                      <w:rPr>
                        <w:rFonts w:ascii="Trebuchet MS" w:hAnsi="Trebuchet MS"/>
                        <w:color w:val="231F20"/>
                        <w:w w:val="55"/>
                        <w:sz w:val="20"/>
                      </w:rPr>
                      <w:t>.</w:t>
                    </w:r>
                    <w:r>
                      <w:rPr>
                        <w:rFonts w:ascii="Trebuchet MS" w:hAnsi="Trebuchet MS"/>
                        <w:color w:val="231F20"/>
                        <w:spacing w:val="-14"/>
                        <w:sz w:val="20"/>
                      </w:rPr>
                      <w:t xml:space="preserve"> </w:t>
                    </w:r>
                    <w:r>
                      <w:rPr>
                        <w:rFonts w:ascii="Trebuchet MS" w:hAnsi="Trebuchet MS"/>
                        <w:color w:val="231F20"/>
                        <w:spacing w:val="-2"/>
                        <w:w w:val="105"/>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3"/>
                        <w:sz w:val="20"/>
                      </w:rPr>
                      <w:t>M</w:t>
                    </w:r>
                    <w:r>
                      <w:rPr>
                        <w:rFonts w:ascii="Trebuchet MS" w:hAnsi="Trebuchet MS"/>
                        <w:color w:val="231F20"/>
                        <w:spacing w:val="-2"/>
                        <w:w w:val="10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 xml:space="preserve">’ </w:t>
                    </w:r>
                    <w:r>
                      <w:rPr>
                        <w:rFonts w:ascii="Trebuchet MS" w:hAnsi="Trebuchet MS"/>
                        <w:color w:val="231F20"/>
                        <w:spacing w:val="-1"/>
                        <w:w w:val="114"/>
                        <w:sz w:val="20"/>
                      </w:rPr>
                      <w:t>C</w:t>
                    </w:r>
                    <w:r>
                      <w:rPr>
                        <w:rFonts w:ascii="Trebuchet MS" w:hAnsi="Trebuchet MS"/>
                        <w:color w:val="231F20"/>
                        <w:spacing w:val="-1"/>
                        <w:w w:val="111"/>
                        <w:sz w:val="20"/>
                      </w:rPr>
                      <w:t>o</w:t>
                    </w:r>
                    <w:r>
                      <w:rPr>
                        <w:rFonts w:ascii="Trebuchet MS" w:hAnsi="Trebuchet MS"/>
                        <w:color w:val="231F20"/>
                        <w:spacing w:val="-1"/>
                        <w:w w:val="109"/>
                        <w:sz w:val="20"/>
                      </w:rPr>
                      <w:t>u</w:t>
                    </w:r>
                    <w:r>
                      <w:rPr>
                        <w:rFonts w:ascii="Trebuchet MS" w:hAnsi="Trebuchet MS"/>
                        <w:color w:val="231F20"/>
                        <w:spacing w:val="2"/>
                        <w:w w:val="93"/>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80"/>
                        <w:sz w:val="20"/>
                      </w:rPr>
                      <w:t>i</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spacing w:val="-1"/>
                        <w:w w:val="111"/>
                        <w:sz w:val="20"/>
                      </w:rPr>
                      <w:t>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2"/>
                        <w:w w:val="111"/>
                        <w:sz w:val="20"/>
                      </w:rPr>
                      <w:t>mp</w:t>
                    </w:r>
                    <w:r>
                      <w:rPr>
                        <w:rFonts w:ascii="Trebuchet MS" w:hAnsi="Trebuchet MS"/>
                        <w:color w:val="231F20"/>
                        <w:spacing w:val="-3"/>
                        <w:w w:val="96"/>
                        <w:sz w:val="20"/>
                      </w:rPr>
                      <w:t>l</w:t>
                    </w:r>
                    <w:r>
                      <w:rPr>
                        <w:rFonts w:ascii="Trebuchet MS" w:hAnsi="Trebuchet MS"/>
                        <w:color w:val="231F20"/>
                        <w:spacing w:val="-1"/>
                        <w:w w:val="108"/>
                        <w:sz w:val="20"/>
                      </w:rPr>
                      <w:t>e</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1"/>
                        <w:w w:val="80"/>
                        <w:sz w:val="20"/>
                      </w:rPr>
                      <w:t>i</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05"/>
                        <w:sz w:val="20"/>
                      </w:rPr>
                      <w:t>a</w:t>
                    </w:r>
                    <w:r>
                      <w:rPr>
                        <w:rFonts w:ascii="Trebuchet MS" w:hAnsi="Trebuchet MS"/>
                        <w:color w:val="231F20"/>
                        <w:spacing w:val="-1"/>
                        <w:w w:val="111"/>
                        <w:sz w:val="20"/>
                      </w:rPr>
                      <w:t>pp</w:t>
                    </w:r>
                    <w:r>
                      <w:rPr>
                        <w:rFonts w:ascii="Trebuchet MS" w:hAnsi="Trebuchet MS"/>
                        <w:color w:val="231F20"/>
                        <w:spacing w:val="-4"/>
                        <w:w w:val="93"/>
                        <w:sz w:val="20"/>
                      </w:rPr>
                      <w:t>r</w:t>
                    </w:r>
                    <w:r>
                      <w:rPr>
                        <w:rFonts w:ascii="Trebuchet MS" w:hAnsi="Trebuchet MS"/>
                        <w:color w:val="231F20"/>
                        <w:spacing w:val="-1"/>
                        <w:w w:val="111"/>
                        <w:sz w:val="20"/>
                      </w:rPr>
                      <w:t>o</w:t>
                    </w:r>
                    <w:r>
                      <w:rPr>
                        <w:rFonts w:ascii="Trebuchet MS" w:hAnsi="Trebuchet MS"/>
                        <w:color w:val="231F20"/>
                        <w:spacing w:val="-2"/>
                        <w:w w:val="108"/>
                        <w:sz w:val="20"/>
                      </w:rPr>
                      <w:t>ac</w:t>
                    </w:r>
                    <w:r>
                      <w:rPr>
                        <w:rFonts w:ascii="Trebuchet MS" w:hAnsi="Trebuchet MS"/>
                        <w:color w:val="231F20"/>
                        <w:w w:val="107"/>
                        <w:sz w:val="20"/>
                      </w:rPr>
                      <w:t>h</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4"/>
                        <w:w w:val="105"/>
                        <w:sz w:val="20"/>
                      </w:rPr>
                      <w:t>a</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w w:val="55"/>
                        <w:sz w:val="20"/>
                      </w:rPr>
                      <w:t>.</w:t>
                    </w:r>
                  </w:p>
                  <w:p w14:paraId="0F8C8370" w14:textId="77777777" w:rsidR="00894070" w:rsidRDefault="009B7AFD">
                    <w:pPr>
                      <w:spacing w:before="88" w:line="247" w:lineRule="auto"/>
                      <w:rPr>
                        <w:rFonts w:ascii="Trebuchet MS" w:hAnsi="Trebuchet MS"/>
                        <w:sz w:val="20"/>
                      </w:rPr>
                    </w:pPr>
                    <w:r>
                      <w:rPr>
                        <w:rFonts w:ascii="Trebuchet MS" w:hAnsi="Trebuchet MS"/>
                        <w:color w:val="231F20"/>
                        <w:spacing w:val="-2"/>
                        <w:w w:val="105"/>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23"/>
                        <w:sz w:val="20"/>
                      </w:rPr>
                      <w:t>M</w:t>
                    </w:r>
                    <w:r>
                      <w:rPr>
                        <w:rFonts w:ascii="Trebuchet MS" w:hAnsi="Trebuchet MS"/>
                        <w:color w:val="231F20"/>
                        <w:spacing w:val="-2"/>
                        <w:w w:val="10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11"/>
                        <w:sz w:val="20"/>
                      </w:rPr>
                      <w:t>o</w:t>
                    </w:r>
                    <w:r>
                      <w:rPr>
                        <w:rFonts w:ascii="Trebuchet MS" w:hAnsi="Trebuchet MS"/>
                        <w:color w:val="231F20"/>
                        <w:spacing w:val="-1"/>
                        <w:w w:val="109"/>
                        <w:sz w:val="20"/>
                      </w:rPr>
                      <w:t>u</w:t>
                    </w:r>
                    <w:r>
                      <w:rPr>
                        <w:rFonts w:ascii="Trebuchet MS" w:hAnsi="Trebuchet MS"/>
                        <w:color w:val="231F20"/>
                        <w:spacing w:val="2"/>
                        <w:w w:val="93"/>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80"/>
                        <w:sz w:val="20"/>
                      </w:rPr>
                      <w:t>i</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spacing w:val="-1"/>
                        <w:w w:val="111"/>
                        <w:sz w:val="20"/>
                      </w:rPr>
                      <w:t>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spacing w:val="-2"/>
                        <w:w w:val="122"/>
                        <w:sz w:val="20"/>
                      </w:rPr>
                      <w:t>s</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5"/>
                        <w:w w:val="108"/>
                        <w:sz w:val="20"/>
                      </w:rPr>
                      <w:t>e</w:t>
                    </w:r>
                    <w:r>
                      <w:rPr>
                        <w:rFonts w:ascii="Trebuchet MS" w:hAnsi="Trebuchet MS"/>
                        <w:color w:val="231F20"/>
                        <w:spacing w:val="2"/>
                        <w:w w:val="102"/>
                        <w:sz w:val="20"/>
                      </w:rPr>
                      <w:t>x</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2"/>
                        <w:w w:val="107"/>
                        <w:sz w:val="20"/>
                      </w:rPr>
                      <w:t>h</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w w:val="107"/>
                        <w:sz w:val="20"/>
                      </w:rPr>
                      <w:t>h</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1"/>
                        <w:w w:val="80"/>
                        <w:sz w:val="20"/>
                      </w:rPr>
                      <w:t>i</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w w:val="88"/>
                        <w:sz w:val="20"/>
                      </w:rPr>
                      <w:t xml:space="preserve">t </w:t>
                    </w:r>
                    <w:r>
                      <w:rPr>
                        <w:rFonts w:ascii="Trebuchet MS" w:hAnsi="Trebuchet MS"/>
                        <w:color w:val="231F20"/>
                        <w:spacing w:val="-3"/>
                        <w:w w:val="105"/>
                        <w:sz w:val="20"/>
                      </w:rPr>
                      <w:t xml:space="preserve">family </w:t>
                    </w:r>
                    <w:r>
                      <w:rPr>
                        <w:rFonts w:ascii="Trebuchet MS" w:hAnsi="Trebuchet MS"/>
                        <w:color w:val="231F20"/>
                        <w:w w:val="105"/>
                        <w:sz w:val="20"/>
                      </w:rPr>
                      <w:t xml:space="preserve">violence courts should be used for </w:t>
                    </w:r>
                    <w:r>
                      <w:rPr>
                        <w:rFonts w:ascii="Trebuchet MS" w:hAnsi="Trebuchet MS"/>
                        <w:color w:val="231F20"/>
                        <w:spacing w:val="-3"/>
                        <w:w w:val="105"/>
                        <w:sz w:val="20"/>
                      </w:rPr>
                      <w:t xml:space="preserve">non-family </w:t>
                    </w:r>
                    <w:r>
                      <w:rPr>
                        <w:rFonts w:ascii="Trebuchet MS" w:hAnsi="Trebuchet MS"/>
                        <w:color w:val="231F20"/>
                        <w:w w:val="105"/>
                        <w:sz w:val="20"/>
                      </w:rPr>
                      <w:t xml:space="preserve">violence stalking personal </w:t>
                    </w:r>
                    <w:r>
                      <w:rPr>
                        <w:rFonts w:ascii="Trebuchet MS" w:hAnsi="Trebuchet MS"/>
                        <w:color w:val="231F20"/>
                        <w:w w:val="122"/>
                        <w:sz w:val="20"/>
                      </w:rPr>
                      <w:t>s</w:t>
                    </w:r>
                    <w:r>
                      <w:rPr>
                        <w:rFonts w:ascii="Trebuchet MS" w:hAnsi="Trebuchet MS"/>
                        <w:color w:val="231F20"/>
                        <w:spacing w:val="-4"/>
                        <w:w w:val="105"/>
                        <w:sz w:val="20"/>
                      </w:rPr>
                      <w:t>a</w:t>
                    </w:r>
                    <w:r>
                      <w:rPr>
                        <w:rFonts w:ascii="Trebuchet MS" w:hAnsi="Trebuchet MS"/>
                        <w:color w:val="231F20"/>
                        <w:spacing w:val="-5"/>
                        <w:w w:val="92"/>
                        <w:sz w:val="20"/>
                      </w:rPr>
                      <w:t>f</w:t>
                    </w:r>
                    <w:r>
                      <w:rPr>
                        <w:rFonts w:ascii="Trebuchet MS" w:hAnsi="Trebuchet MS"/>
                        <w:color w:val="231F20"/>
                        <w:spacing w:val="-3"/>
                        <w:w w:val="108"/>
                        <w:sz w:val="20"/>
                      </w:rPr>
                      <w:t>e</w:t>
                    </w:r>
                    <w:r>
                      <w:rPr>
                        <w:rFonts w:ascii="Trebuchet MS" w:hAnsi="Trebuchet MS"/>
                        <w:color w:val="231F20"/>
                        <w:w w:val="88"/>
                        <w:sz w:val="20"/>
                      </w:rPr>
                      <w:t>t</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4"/>
                        <w:w w:val="107"/>
                        <w:sz w:val="20"/>
                      </w:rPr>
                      <w:t>n</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3"/>
                        <w:w w:val="93"/>
                        <w:sz w:val="20"/>
                      </w:rPr>
                      <w:t>r</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4"/>
                        <w:w w:val="105"/>
                        <w:sz w:val="20"/>
                      </w:rPr>
                      <w:t>a</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07"/>
                        <w:sz w:val="20"/>
                      </w:rPr>
                      <w:t>h</w:t>
                    </w:r>
                    <w:r>
                      <w:rPr>
                        <w:rFonts w:ascii="Trebuchet MS" w:hAnsi="Trebuchet MS"/>
                        <w:color w:val="231F20"/>
                        <w:spacing w:val="-6"/>
                        <w:w w:val="111"/>
                        <w:sz w:val="20"/>
                      </w:rPr>
                      <w:t>o</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07"/>
                        <w:sz w:val="20"/>
                      </w:rPr>
                      <w:t>n</w:t>
                    </w:r>
                    <w:r>
                      <w:rPr>
                        <w:rFonts w:ascii="Trebuchet MS" w:hAnsi="Trebuchet MS"/>
                        <w:color w:val="231F20"/>
                        <w:spacing w:val="-1"/>
                        <w:w w:val="111"/>
                        <w:sz w:val="20"/>
                      </w:rPr>
                      <w:t>o</w:t>
                    </w:r>
                    <w:r>
                      <w:rPr>
                        <w:rFonts w:ascii="Trebuchet MS" w:hAnsi="Trebuchet MS"/>
                        <w:color w:val="231F20"/>
                        <w:spacing w:val="-1"/>
                        <w:w w:val="107"/>
                        <w:sz w:val="20"/>
                      </w:rPr>
                      <w:t>n</w:t>
                    </w:r>
                    <w:r>
                      <w:rPr>
                        <w:rFonts w:ascii="Trebuchet MS" w:hAnsi="Trebuchet MS"/>
                        <w:color w:val="231F20"/>
                        <w:spacing w:val="-5"/>
                        <w:w w:val="115"/>
                        <w:sz w:val="20"/>
                      </w:rPr>
                      <w:t>-</w:t>
                    </w:r>
                    <w:r>
                      <w:rPr>
                        <w:rFonts w:ascii="Trebuchet MS" w:hAnsi="Trebuchet MS"/>
                        <w:color w:val="231F20"/>
                        <w:spacing w:val="-2"/>
                        <w:w w:val="92"/>
                        <w:sz w:val="20"/>
                      </w:rPr>
                      <w:t>f</w:t>
                    </w:r>
                    <w:r>
                      <w:rPr>
                        <w:rFonts w:ascii="Trebuchet MS" w:hAnsi="Trebuchet MS"/>
                        <w:color w:val="231F20"/>
                        <w:spacing w:val="-2"/>
                        <w:w w:val="105"/>
                        <w:sz w:val="20"/>
                      </w:rPr>
                      <w:t>a</w:t>
                    </w:r>
                    <w:r>
                      <w:rPr>
                        <w:rFonts w:ascii="Trebuchet MS" w:hAnsi="Trebuchet MS"/>
                        <w:color w:val="231F20"/>
                        <w:spacing w:val="-2"/>
                        <w:w w:val="111"/>
                        <w:sz w:val="20"/>
                      </w:rPr>
                      <w:t>m</w:t>
                    </w:r>
                    <w:r>
                      <w:rPr>
                        <w:rFonts w:ascii="Trebuchet MS" w:hAnsi="Trebuchet MS"/>
                        <w:color w:val="231F20"/>
                        <w:spacing w:val="-2"/>
                        <w:w w:val="80"/>
                        <w:sz w:val="20"/>
                      </w:rPr>
                      <w:t>i</w:t>
                    </w:r>
                    <w:r>
                      <w:rPr>
                        <w:rFonts w:ascii="Trebuchet MS" w:hAnsi="Trebuchet MS"/>
                        <w:color w:val="231F20"/>
                        <w:spacing w:val="-7"/>
                        <w:w w:val="96"/>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1"/>
                        <w:w w:val="107"/>
                        <w:sz w:val="20"/>
                      </w:rPr>
                      <w:t>n</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1"/>
                        <w:w w:val="109"/>
                        <w:sz w:val="20"/>
                      </w:rPr>
                      <w:t>u</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2"/>
                        <w:w w:val="116"/>
                        <w:sz w:val="20"/>
                      </w:rPr>
                      <w:t>o</w:t>
                    </w:r>
                    <w:r>
                      <w:rPr>
                        <w:rFonts w:ascii="Trebuchet MS" w:hAnsi="Trebuchet MS"/>
                        <w:color w:val="231F20"/>
                        <w:spacing w:val="-1"/>
                        <w:w w:val="116"/>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w w:val="111"/>
                        <w:sz w:val="20"/>
                      </w:rPr>
                      <w:t>c</w:t>
                    </w:r>
                    <w:r>
                      <w:rPr>
                        <w:rFonts w:ascii="Trebuchet MS" w:hAnsi="Trebuchet MS"/>
                        <w:color w:val="231F20"/>
                        <w:w w:val="105"/>
                        <w:sz w:val="20"/>
                      </w:rPr>
                      <w:t>a</w:t>
                    </w:r>
                    <w:r>
                      <w:rPr>
                        <w:rFonts w:ascii="Trebuchet MS" w:hAnsi="Trebuchet MS"/>
                        <w:color w:val="231F20"/>
                        <w:spacing w:val="-1"/>
                        <w:w w:val="122"/>
                        <w:sz w:val="20"/>
                      </w:rPr>
                      <w:t>s</w:t>
                    </w:r>
                    <w:r>
                      <w:rPr>
                        <w:rFonts w:ascii="Trebuchet MS" w:hAnsi="Trebuchet MS"/>
                        <w:color w:val="231F20"/>
                        <w:spacing w:val="-2"/>
                        <w:w w:val="108"/>
                        <w:sz w:val="20"/>
                      </w:rPr>
                      <w:t>e</w:t>
                    </w:r>
                    <w:r>
                      <w:rPr>
                        <w:rFonts w:ascii="Trebuchet MS" w:hAnsi="Trebuchet MS"/>
                        <w:color w:val="231F20"/>
                        <w:w w:val="122"/>
                        <w:sz w:val="20"/>
                      </w:rPr>
                      <w:t xml:space="preserve">s </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spacing w:val="-1"/>
                        <w:w w:val="111"/>
                        <w:sz w:val="20"/>
                      </w:rPr>
                      <w:t>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b</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w w:val="81"/>
                        <w:sz w:val="20"/>
                      </w:rPr>
                      <w:t>f</w:t>
                    </w:r>
                    <w:r>
                      <w:rPr>
                        <w:rFonts w:ascii="Trebuchet MS" w:hAnsi="Trebuchet MS"/>
                        <w:color w:val="231F20"/>
                        <w:spacing w:val="-5"/>
                        <w:w w:val="81"/>
                        <w:sz w:val="20"/>
                      </w:rPr>
                      <w:t>f</w:t>
                    </w:r>
                    <w:r>
                      <w:rPr>
                        <w:rFonts w:ascii="Trebuchet MS" w:hAnsi="Trebuchet MS"/>
                        <w:color w:val="231F20"/>
                        <w:spacing w:val="-1"/>
                        <w:w w:val="108"/>
                        <w:sz w:val="20"/>
                      </w:rPr>
                      <w:t>e</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3"/>
                        <w:w w:val="80"/>
                        <w:sz w:val="20"/>
                      </w:rPr>
                      <w:t>i</w:t>
                    </w:r>
                    <w:r>
                      <w:rPr>
                        <w:rFonts w:ascii="Trebuchet MS" w:hAnsi="Trebuchet MS"/>
                        <w:color w:val="231F20"/>
                        <w:spacing w:val="-2"/>
                        <w:w w:val="88"/>
                        <w:sz w:val="20"/>
                      </w:rPr>
                      <w:t>t</w:t>
                    </w:r>
                    <w:r>
                      <w:rPr>
                        <w:rFonts w:ascii="Trebuchet MS" w:hAnsi="Trebuchet MS"/>
                        <w:color w:val="231F20"/>
                        <w:spacing w:val="-2"/>
                        <w:w w:val="107"/>
                        <w:sz w:val="20"/>
                      </w:rPr>
                      <w:t>h</w:t>
                    </w:r>
                    <w:r>
                      <w:rPr>
                        <w:rFonts w:ascii="Trebuchet MS" w:hAnsi="Trebuchet MS"/>
                        <w:color w:val="231F20"/>
                        <w:spacing w:val="-2"/>
                        <w:w w:val="80"/>
                        <w:sz w:val="20"/>
                      </w:rPr>
                      <w:t>i</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110"/>
                        <w:sz w:val="20"/>
                      </w:rPr>
                      <w:t>c</w:t>
                    </w:r>
                    <w:r>
                      <w:rPr>
                        <w:rFonts w:ascii="Trebuchet MS" w:hAnsi="Trebuchet MS"/>
                        <w:color w:val="231F20"/>
                        <w:spacing w:val="-1"/>
                        <w:w w:val="110"/>
                        <w:sz w:val="20"/>
                      </w:rPr>
                      <w:t>u</w:t>
                    </w:r>
                    <w:r>
                      <w:rPr>
                        <w:rFonts w:ascii="Trebuchet MS" w:hAnsi="Trebuchet MS"/>
                        <w:color w:val="231F20"/>
                        <w:spacing w:val="-2"/>
                        <w:w w:val="93"/>
                        <w:sz w:val="20"/>
                      </w:rPr>
                      <w:t>r</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spacing w:val="-4"/>
                        <w:w w:val="110"/>
                        <w:sz w:val="20"/>
                      </w:rPr>
                      <w:t>y</w:t>
                    </w:r>
                    <w:r>
                      <w:rPr>
                        <w:rFonts w:ascii="Trebuchet MS" w:hAnsi="Trebuchet MS"/>
                        <w:color w:val="231F20"/>
                        <w:spacing w:val="-1"/>
                        <w:w w:val="122"/>
                        <w:sz w:val="20"/>
                      </w:rPr>
                      <w:t>s</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111"/>
                        <w:sz w:val="20"/>
                      </w:rPr>
                      <w:t>m</w:t>
                    </w:r>
                    <w:r>
                      <w:rPr>
                        <w:rFonts w:ascii="Trebuchet MS" w:hAnsi="Trebuchet MS"/>
                        <w:color w:val="231F20"/>
                        <w:w w:val="55"/>
                        <w:sz w:val="20"/>
                      </w:rPr>
                      <w:t>.</w:t>
                    </w:r>
                  </w:p>
                  <w:p w14:paraId="1C9B18B6" w14:textId="77777777" w:rsidR="00894070" w:rsidRDefault="009B7AFD">
                    <w:pPr>
                      <w:spacing w:before="88" w:line="247" w:lineRule="auto"/>
                      <w:rPr>
                        <w:rFonts w:ascii="Trebuchet MS" w:hAnsi="Trebuchet MS"/>
                        <w:sz w:val="20"/>
                      </w:rPr>
                    </w:pPr>
                    <w:r>
                      <w:rPr>
                        <w:rFonts w:ascii="Trebuchet MS" w:hAnsi="Trebuchet MS"/>
                        <w:color w:val="231F20"/>
                        <w:spacing w:val="-2"/>
                        <w:w w:val="105"/>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96"/>
                        <w:sz w:val="20"/>
                      </w:rPr>
                      <w:t>i</w:t>
                    </w:r>
                    <w:r>
                      <w:rPr>
                        <w:rFonts w:ascii="Trebuchet MS" w:hAnsi="Trebuchet MS"/>
                        <w:color w:val="231F20"/>
                        <w:spacing w:val="-2"/>
                        <w:w w:val="96"/>
                        <w:sz w:val="20"/>
                      </w:rPr>
                      <w:t>a</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05"/>
                        <w:sz w:val="20"/>
                      </w:rPr>
                      <w:t>G</w:t>
                    </w:r>
                    <w:r>
                      <w:rPr>
                        <w:rFonts w:ascii="Trebuchet MS" w:hAnsi="Trebuchet MS"/>
                        <w:color w:val="231F20"/>
                        <w:spacing w:val="-6"/>
                        <w:w w:val="111"/>
                        <w:sz w:val="20"/>
                      </w:rPr>
                      <w:t>o</w:t>
                    </w:r>
                    <w:r>
                      <w:rPr>
                        <w:rFonts w:ascii="Trebuchet MS" w:hAnsi="Trebuchet MS"/>
                        <w:color w:val="231F20"/>
                        <w:spacing w:val="-6"/>
                        <w:w w:val="109"/>
                        <w:sz w:val="20"/>
                      </w:rPr>
                      <w:t>v</w:t>
                    </w:r>
                    <w:r>
                      <w:rPr>
                        <w:rFonts w:ascii="Trebuchet MS" w:hAnsi="Trebuchet MS"/>
                        <w:color w:val="231F20"/>
                        <w:spacing w:val="-1"/>
                        <w:w w:val="108"/>
                        <w:sz w:val="20"/>
                      </w:rPr>
                      <w:t>e</w:t>
                    </w:r>
                    <w:r>
                      <w:rPr>
                        <w:rFonts w:ascii="Trebuchet MS" w:hAnsi="Trebuchet MS"/>
                        <w:color w:val="231F20"/>
                        <w:spacing w:val="-2"/>
                        <w:w w:val="93"/>
                        <w:sz w:val="20"/>
                      </w:rPr>
                      <w:t>r</w:t>
                    </w:r>
                    <w:r>
                      <w:rPr>
                        <w:rFonts w:ascii="Trebuchet MS" w:hAnsi="Trebuchet MS"/>
                        <w:color w:val="231F20"/>
                        <w:spacing w:val="-2"/>
                        <w:w w:val="107"/>
                        <w:sz w:val="20"/>
                      </w:rPr>
                      <w:t>n</w:t>
                    </w:r>
                    <w:r>
                      <w:rPr>
                        <w:rFonts w:ascii="Trebuchet MS" w:hAnsi="Trebuchet MS"/>
                        <w:color w:val="231F20"/>
                        <w:spacing w:val="-1"/>
                        <w:w w:val="110"/>
                        <w:sz w:val="20"/>
                      </w:rPr>
                      <w:t>me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ho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4"/>
                        <w:w w:val="93"/>
                        <w:sz w:val="20"/>
                      </w:rPr>
                      <w:t>r</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spacing w:val="-1"/>
                        <w:w w:val="110"/>
                        <w:sz w:val="20"/>
                      </w:rPr>
                      <w:t>ou</w:t>
                    </w:r>
                    <w:r>
                      <w:rPr>
                        <w:rFonts w:ascii="Trebuchet MS" w:hAnsi="Trebuchet MS"/>
                        <w:color w:val="231F20"/>
                        <w:spacing w:val="-4"/>
                        <w:w w:val="93"/>
                        <w:sz w:val="20"/>
                      </w:rPr>
                      <w:t>r</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5"/>
                        <w:sz w:val="20"/>
                      </w:rPr>
                      <w:t>M</w:t>
                    </w:r>
                    <w:r>
                      <w:rPr>
                        <w:rFonts w:ascii="Trebuchet MS" w:hAnsi="Trebuchet MS"/>
                        <w:color w:val="231F20"/>
                        <w:spacing w:val="-2"/>
                        <w:w w:val="11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06"/>
                        <w:sz w:val="20"/>
                      </w:rPr>
                      <w:t>ou</w:t>
                    </w:r>
                    <w:r>
                      <w:rPr>
                        <w:rFonts w:ascii="Trebuchet MS" w:hAnsi="Trebuchet MS"/>
                        <w:color w:val="231F20"/>
                        <w:spacing w:val="2"/>
                        <w:w w:val="106"/>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96"/>
                        <w:sz w:val="20"/>
                      </w:rPr>
                      <w:t>i</w:t>
                    </w:r>
                    <w:r>
                      <w:rPr>
                        <w:rFonts w:ascii="Trebuchet MS" w:hAnsi="Trebuchet MS"/>
                        <w:color w:val="231F20"/>
                        <w:w w:val="96"/>
                        <w:sz w:val="20"/>
                      </w:rPr>
                      <w:t>a</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 xml:space="preserve">o </w:t>
                    </w:r>
                    <w:r>
                      <w:rPr>
                        <w:rFonts w:ascii="Trebuchet MS" w:hAnsi="Trebuchet MS"/>
                        <w:color w:val="231F20"/>
                        <w:w w:val="105"/>
                        <w:sz w:val="20"/>
                      </w:rPr>
                      <w:t>implement Recommendation</w:t>
                    </w:r>
                    <w:r>
                      <w:rPr>
                        <w:rFonts w:ascii="Trebuchet MS" w:hAnsi="Trebuchet MS"/>
                        <w:color w:val="231F20"/>
                        <w:spacing w:val="-36"/>
                        <w:w w:val="105"/>
                        <w:sz w:val="20"/>
                      </w:rPr>
                      <w:t xml:space="preserve"> </w:t>
                    </w:r>
                    <w:r>
                      <w:rPr>
                        <w:rFonts w:ascii="Trebuchet MS" w:hAnsi="Trebuchet MS"/>
                        <w:color w:val="231F20"/>
                        <w:w w:val="105"/>
                        <w:sz w:val="20"/>
                      </w:rPr>
                      <w:t>11.</w:t>
                    </w:r>
                  </w:p>
                </w:txbxContent>
              </v:textbox>
            </v:shape>
            <v:shape id="_x0000_s1333" type="#_x0000_t202" style="position:absolute;left:1814;top:1333;width:262;height:2325" filled="f" stroked="f">
              <v:textbox inset="0,0,0,0">
                <w:txbxContent>
                  <w:p w14:paraId="476D36C2" w14:textId="77777777" w:rsidR="00894070" w:rsidRDefault="009B7AFD">
                    <w:pPr>
                      <w:rPr>
                        <w:rFonts w:ascii="Trebuchet MS"/>
                        <w:sz w:val="20"/>
                      </w:rPr>
                    </w:pPr>
                    <w:r>
                      <w:rPr>
                        <w:rFonts w:ascii="Trebuchet MS"/>
                        <w:color w:val="231F20"/>
                        <w:w w:val="85"/>
                        <w:sz w:val="20"/>
                      </w:rPr>
                      <w:t>11.</w:t>
                    </w:r>
                  </w:p>
                  <w:p w14:paraId="43DA9A6D" w14:textId="77777777" w:rsidR="00894070" w:rsidRDefault="00894070"/>
                  <w:p w14:paraId="34631B4B" w14:textId="77777777" w:rsidR="00894070" w:rsidRDefault="00894070"/>
                  <w:p w14:paraId="591AE1F6" w14:textId="77777777" w:rsidR="00894070" w:rsidRDefault="00894070">
                    <w:pPr>
                      <w:spacing w:before="7"/>
                      <w:rPr>
                        <w:sz w:val="14"/>
                      </w:rPr>
                    </w:pPr>
                  </w:p>
                  <w:p w14:paraId="775B92C6" w14:textId="77777777" w:rsidR="00894070" w:rsidRDefault="009B7AFD">
                    <w:pPr>
                      <w:spacing w:before="1"/>
                      <w:rPr>
                        <w:rFonts w:ascii="Trebuchet MS"/>
                        <w:sz w:val="20"/>
                      </w:rPr>
                    </w:pPr>
                    <w:r>
                      <w:rPr>
                        <w:rFonts w:ascii="Trebuchet MS"/>
                        <w:color w:val="231F20"/>
                        <w:w w:val="85"/>
                        <w:sz w:val="20"/>
                      </w:rPr>
                      <w:t>12.</w:t>
                    </w:r>
                  </w:p>
                  <w:p w14:paraId="0F1AB22A" w14:textId="77777777" w:rsidR="00894070" w:rsidRDefault="00894070"/>
                  <w:p w14:paraId="0E31AF08" w14:textId="77777777" w:rsidR="00894070" w:rsidRDefault="00894070"/>
                  <w:p w14:paraId="23147B1C" w14:textId="77777777" w:rsidR="00894070" w:rsidRDefault="00894070">
                    <w:pPr>
                      <w:spacing w:before="7"/>
                      <w:rPr>
                        <w:sz w:val="14"/>
                      </w:rPr>
                    </w:pPr>
                  </w:p>
                  <w:p w14:paraId="63C3934C" w14:textId="77777777" w:rsidR="00894070" w:rsidRDefault="009B7AFD">
                    <w:pPr>
                      <w:rPr>
                        <w:rFonts w:ascii="Trebuchet MS"/>
                        <w:sz w:val="20"/>
                      </w:rPr>
                    </w:pPr>
                    <w:r>
                      <w:rPr>
                        <w:rFonts w:ascii="Trebuchet MS"/>
                        <w:color w:val="231F20"/>
                        <w:w w:val="85"/>
                        <w:sz w:val="20"/>
                      </w:rPr>
                      <w:t>13.</w:t>
                    </w:r>
                  </w:p>
                </w:txbxContent>
              </v:textbox>
            </v:shape>
            <v:shape id="_x0000_s1332" type="#_x0000_t202" style="position:absolute;left:1587;top:300;width:8731;height:783" fillcolor="#fee7de" stroked="f">
              <v:textbox inset="0,0,0,0">
                <w:txbxContent>
                  <w:p w14:paraId="74095F2D" w14:textId="77777777" w:rsidR="00894070" w:rsidRDefault="009B7AFD">
                    <w:pPr>
                      <w:spacing w:before="158"/>
                      <w:ind w:left="226"/>
                      <w:rPr>
                        <w:rFonts w:ascii="Raleway ExtraBold"/>
                        <w:b/>
                        <w:sz w:val="32"/>
                      </w:rPr>
                    </w:pPr>
                    <w:r>
                      <w:rPr>
                        <w:rFonts w:ascii="Raleway ExtraBold"/>
                        <w:b/>
                        <w:color w:val="EA5B50"/>
                        <w:sz w:val="32"/>
                      </w:rPr>
                      <w:t>Recommendations</w:t>
                    </w:r>
                  </w:p>
                </w:txbxContent>
              </v:textbox>
            </v:shape>
            <w10:wrap type="topAndBottom" anchorx="page"/>
          </v:group>
        </w:pict>
      </w:r>
    </w:p>
    <w:p w14:paraId="2E652D7A" w14:textId="77777777" w:rsidR="00894070" w:rsidRDefault="00894070">
      <w:pPr>
        <w:pStyle w:val="BodyText"/>
      </w:pPr>
    </w:p>
    <w:p w14:paraId="7A8E656D" w14:textId="77777777" w:rsidR="00894070" w:rsidRDefault="00894070">
      <w:pPr>
        <w:pStyle w:val="BodyText"/>
      </w:pPr>
    </w:p>
    <w:p w14:paraId="43D60B12" w14:textId="77777777" w:rsidR="00894070" w:rsidRDefault="00894070">
      <w:pPr>
        <w:pStyle w:val="BodyText"/>
      </w:pPr>
    </w:p>
    <w:p w14:paraId="057390C7" w14:textId="77777777" w:rsidR="00894070" w:rsidRDefault="00894070">
      <w:pPr>
        <w:pStyle w:val="BodyText"/>
      </w:pPr>
    </w:p>
    <w:p w14:paraId="3D85D099" w14:textId="77777777" w:rsidR="00894070" w:rsidRDefault="00894070">
      <w:pPr>
        <w:pStyle w:val="BodyText"/>
      </w:pPr>
    </w:p>
    <w:p w14:paraId="51A06129" w14:textId="77777777" w:rsidR="00894070" w:rsidRDefault="00894070">
      <w:pPr>
        <w:pStyle w:val="BodyText"/>
      </w:pPr>
    </w:p>
    <w:p w14:paraId="10BC4B19" w14:textId="77777777" w:rsidR="00894070" w:rsidRDefault="00894070">
      <w:pPr>
        <w:pStyle w:val="BodyText"/>
      </w:pPr>
    </w:p>
    <w:p w14:paraId="2299B276" w14:textId="77777777" w:rsidR="00894070" w:rsidRDefault="00894070">
      <w:pPr>
        <w:pStyle w:val="BodyText"/>
      </w:pPr>
    </w:p>
    <w:p w14:paraId="7D600B11" w14:textId="77777777" w:rsidR="00894070" w:rsidRDefault="009F6793">
      <w:pPr>
        <w:pStyle w:val="BodyText"/>
        <w:spacing w:before="4"/>
        <w:rPr>
          <w:sz w:val="28"/>
        </w:rPr>
      </w:pPr>
      <w:r>
        <w:pict w14:anchorId="391B764E">
          <v:line id="_x0000_s1330" style="position:absolute;z-index:251659264;mso-wrap-distance-left:0;mso-wrap-distance-right:0;mso-position-horizontal-relative:page" from="79.35pt,22.1pt" to="515.9pt,22.1pt" strokecolor="#f8cabc" strokeweight="1pt">
            <w10:wrap type="topAndBottom" anchorx="page"/>
          </v:line>
        </w:pict>
      </w:r>
    </w:p>
    <w:p w14:paraId="68957FD6" w14:textId="77777777" w:rsidR="00894070" w:rsidRDefault="00894070">
      <w:pPr>
        <w:pStyle w:val="BodyText"/>
        <w:rPr>
          <w:sz w:val="5"/>
        </w:rPr>
      </w:pPr>
    </w:p>
    <w:p w14:paraId="4A562DE7" w14:textId="77777777" w:rsidR="00894070" w:rsidRDefault="00894070">
      <w:pPr>
        <w:rPr>
          <w:sz w:val="5"/>
        </w:rPr>
        <w:sectPr w:rsidR="00894070">
          <w:pgSz w:w="11910" w:h="16840"/>
          <w:pgMar w:top="860" w:right="420" w:bottom="280" w:left="580" w:header="567" w:footer="0" w:gutter="0"/>
          <w:cols w:space="720"/>
        </w:sectPr>
      </w:pPr>
    </w:p>
    <w:p w14:paraId="672BC5BE" w14:textId="77777777" w:rsidR="00894070" w:rsidRDefault="009B7AFD">
      <w:pPr>
        <w:pStyle w:val="Heading8"/>
        <w:spacing w:before="214"/>
        <w:ind w:left="140"/>
      </w:pPr>
      <w:r>
        <w:rPr>
          <w:color w:val="EA5B50"/>
        </w:rPr>
        <w:t>106</w:t>
      </w:r>
    </w:p>
    <w:p w14:paraId="154DE72A" w14:textId="77777777" w:rsidR="00894070" w:rsidRDefault="009B7AFD">
      <w:pPr>
        <w:pStyle w:val="ListParagraph"/>
        <w:numPr>
          <w:ilvl w:val="0"/>
          <w:numId w:val="92"/>
        </w:numPr>
        <w:tabs>
          <w:tab w:val="left" w:pos="933"/>
          <w:tab w:val="left" w:pos="934"/>
        </w:tabs>
        <w:spacing w:before="21" w:line="170" w:lineRule="exact"/>
        <w:ind w:left="933" w:hanging="793"/>
        <w:jc w:val="left"/>
        <w:rPr>
          <w:sz w:val="13"/>
        </w:rPr>
      </w:pPr>
      <w:r>
        <w:rPr>
          <w:color w:val="231F20"/>
          <w:spacing w:val="2"/>
          <w:sz w:val="13"/>
        </w:rPr>
        <w:br w:type="column"/>
      </w:r>
      <w:r>
        <w:rPr>
          <w:color w:val="231F20"/>
          <w:sz w:val="13"/>
        </w:rPr>
        <w:t>Ibid.</w:t>
      </w:r>
    </w:p>
    <w:p w14:paraId="68A9E144" w14:textId="77777777" w:rsidR="00894070" w:rsidRDefault="009B7AFD">
      <w:pPr>
        <w:pStyle w:val="ListParagraph"/>
        <w:numPr>
          <w:ilvl w:val="0"/>
          <w:numId w:val="92"/>
        </w:numPr>
        <w:tabs>
          <w:tab w:val="left" w:pos="933"/>
          <w:tab w:val="left" w:pos="934"/>
        </w:tabs>
        <w:spacing w:line="160" w:lineRule="exact"/>
        <w:ind w:left="933" w:hanging="793"/>
        <w:jc w:val="left"/>
        <w:rPr>
          <w:sz w:val="13"/>
        </w:rPr>
      </w:pPr>
      <w:r>
        <w:rPr>
          <w:color w:val="231F20"/>
          <w:sz w:val="13"/>
        </w:rPr>
        <w:t xml:space="preserve">Consultation 34 (Magistrates’ </w:t>
      </w:r>
      <w:r>
        <w:rPr>
          <w:color w:val="231F20"/>
          <w:spacing w:val="2"/>
          <w:sz w:val="13"/>
        </w:rPr>
        <w:t xml:space="preserve">Court </w:t>
      </w:r>
      <w:r>
        <w:rPr>
          <w:color w:val="231F20"/>
          <w:sz w:val="13"/>
        </w:rPr>
        <w:t>of Victoria (No 2)).</w:t>
      </w:r>
    </w:p>
    <w:p w14:paraId="5833D195" w14:textId="77777777" w:rsidR="00894070" w:rsidRDefault="009B7AFD">
      <w:pPr>
        <w:pStyle w:val="ListParagraph"/>
        <w:numPr>
          <w:ilvl w:val="0"/>
          <w:numId w:val="92"/>
        </w:numPr>
        <w:tabs>
          <w:tab w:val="left" w:pos="933"/>
          <w:tab w:val="left" w:pos="934"/>
        </w:tabs>
        <w:spacing w:line="170" w:lineRule="exact"/>
        <w:ind w:left="933" w:hanging="793"/>
        <w:jc w:val="left"/>
        <w:rPr>
          <w:sz w:val="13"/>
        </w:rPr>
      </w:pPr>
      <w:r>
        <w:rPr>
          <w:color w:val="231F20"/>
          <w:sz w:val="13"/>
        </w:rPr>
        <w:t>Ibid.</w:t>
      </w:r>
    </w:p>
    <w:p w14:paraId="56FC1FD6"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89" w:space="279"/>
            <w:col w:w="10042"/>
          </w:cols>
        </w:sectPr>
      </w:pPr>
    </w:p>
    <w:p w14:paraId="215E455D" w14:textId="77777777" w:rsidR="00894070" w:rsidRDefault="00894070">
      <w:pPr>
        <w:pStyle w:val="BodyText"/>
      </w:pPr>
    </w:p>
    <w:p w14:paraId="3897B47D" w14:textId="77777777" w:rsidR="00894070" w:rsidRDefault="00894070">
      <w:pPr>
        <w:pStyle w:val="BodyText"/>
      </w:pPr>
    </w:p>
    <w:p w14:paraId="2EF3DFA0" w14:textId="77777777" w:rsidR="00894070" w:rsidRDefault="00894070">
      <w:pPr>
        <w:pStyle w:val="BodyText"/>
      </w:pPr>
    </w:p>
    <w:p w14:paraId="5CD6CA26" w14:textId="77777777" w:rsidR="00894070" w:rsidRDefault="00894070">
      <w:pPr>
        <w:pStyle w:val="BodyText"/>
        <w:spacing w:before="6"/>
        <w:rPr>
          <w:sz w:val="14"/>
        </w:rPr>
      </w:pPr>
    </w:p>
    <w:p w14:paraId="37160985" w14:textId="77777777" w:rsidR="00894070" w:rsidRDefault="009B7AFD">
      <w:pPr>
        <w:pStyle w:val="Heading8"/>
        <w:spacing w:before="49"/>
        <w:ind w:left="1007"/>
      </w:pPr>
      <w:bookmarkStart w:id="125" w:name="_bookmark72"/>
      <w:bookmarkEnd w:id="125"/>
      <w:r>
        <w:rPr>
          <w:color w:val="231F20"/>
        </w:rPr>
        <w:t>Mediation of non-stalking matters</w:t>
      </w:r>
    </w:p>
    <w:p w14:paraId="6377F481" w14:textId="77777777" w:rsidR="00894070" w:rsidRDefault="009B7AFD">
      <w:pPr>
        <w:pStyle w:val="ListParagraph"/>
        <w:numPr>
          <w:ilvl w:val="1"/>
          <w:numId w:val="102"/>
        </w:numPr>
        <w:tabs>
          <w:tab w:val="left" w:pos="1801"/>
          <w:tab w:val="left" w:pos="1802"/>
        </w:tabs>
        <w:spacing w:before="127" w:line="206" w:lineRule="auto"/>
        <w:ind w:right="1589"/>
        <w:rPr>
          <w:sz w:val="20"/>
        </w:rPr>
      </w:pPr>
      <w:r>
        <w:rPr>
          <w:color w:val="231F20"/>
          <w:sz w:val="20"/>
        </w:rPr>
        <w:t xml:space="preserve">The </w:t>
      </w:r>
      <w:r>
        <w:rPr>
          <w:color w:val="231F20"/>
          <w:spacing w:val="-3"/>
          <w:sz w:val="20"/>
        </w:rPr>
        <w:t xml:space="preserve">current </w:t>
      </w:r>
      <w:r>
        <w:rPr>
          <w:color w:val="231F20"/>
          <w:sz w:val="20"/>
        </w:rPr>
        <w:t xml:space="preserve">PSIO </w:t>
      </w:r>
      <w:r>
        <w:rPr>
          <w:color w:val="231F20"/>
          <w:spacing w:val="-2"/>
          <w:sz w:val="20"/>
        </w:rPr>
        <w:t xml:space="preserve">system </w:t>
      </w:r>
      <w:r>
        <w:rPr>
          <w:color w:val="231F20"/>
          <w:sz w:val="20"/>
        </w:rPr>
        <w:t xml:space="preserve">was designed to direct less serious cases to mediation </w:t>
      </w:r>
      <w:r>
        <w:rPr>
          <w:color w:val="231F20"/>
          <w:spacing w:val="-3"/>
          <w:sz w:val="20"/>
        </w:rPr>
        <w:t>through</w:t>
      </w:r>
      <w:r>
        <w:rPr>
          <w:color w:val="231F20"/>
          <w:spacing w:val="-9"/>
          <w:sz w:val="20"/>
        </w:rPr>
        <w:t xml:space="preserve"> </w:t>
      </w:r>
      <w:r>
        <w:rPr>
          <w:color w:val="231F20"/>
          <w:sz w:val="20"/>
        </w:rPr>
        <w:t>the</w:t>
      </w:r>
      <w:r>
        <w:rPr>
          <w:color w:val="231F20"/>
          <w:spacing w:val="-8"/>
          <w:sz w:val="20"/>
        </w:rPr>
        <w:t xml:space="preserve"> </w:t>
      </w:r>
      <w:r>
        <w:rPr>
          <w:color w:val="231F20"/>
          <w:spacing w:val="-3"/>
          <w:sz w:val="20"/>
        </w:rPr>
        <w:t>free,</w:t>
      </w:r>
      <w:r>
        <w:rPr>
          <w:color w:val="231F20"/>
          <w:spacing w:val="-8"/>
          <w:sz w:val="20"/>
        </w:rPr>
        <w:t xml:space="preserve"> </w:t>
      </w:r>
      <w:r>
        <w:rPr>
          <w:color w:val="231F20"/>
          <w:spacing w:val="-3"/>
          <w:sz w:val="20"/>
        </w:rPr>
        <w:t>government-run</w:t>
      </w:r>
      <w:r>
        <w:rPr>
          <w:color w:val="231F20"/>
          <w:spacing w:val="-8"/>
          <w:sz w:val="20"/>
        </w:rPr>
        <w:t xml:space="preserve"> </w:t>
      </w:r>
      <w:r>
        <w:rPr>
          <w:color w:val="231F20"/>
          <w:sz w:val="20"/>
        </w:rPr>
        <w:t>Dispute</w:t>
      </w:r>
      <w:r>
        <w:rPr>
          <w:color w:val="231F20"/>
          <w:spacing w:val="-8"/>
          <w:sz w:val="20"/>
        </w:rPr>
        <w:t xml:space="preserve"> </w:t>
      </w:r>
      <w:r>
        <w:rPr>
          <w:color w:val="231F20"/>
          <w:sz w:val="20"/>
        </w:rPr>
        <w:t>Settlement</w:t>
      </w:r>
      <w:r>
        <w:rPr>
          <w:color w:val="231F20"/>
          <w:spacing w:val="-8"/>
          <w:sz w:val="20"/>
        </w:rPr>
        <w:t xml:space="preserve"> </w:t>
      </w:r>
      <w:r>
        <w:rPr>
          <w:color w:val="231F20"/>
          <w:spacing w:val="-3"/>
          <w:sz w:val="20"/>
        </w:rPr>
        <w:t>Centre</w:t>
      </w:r>
      <w:r>
        <w:rPr>
          <w:color w:val="231F20"/>
          <w:spacing w:val="-8"/>
          <w:sz w:val="20"/>
        </w:rPr>
        <w:t xml:space="preserve"> </w:t>
      </w:r>
      <w:r>
        <w:rPr>
          <w:color w:val="231F20"/>
          <w:sz w:val="20"/>
        </w:rPr>
        <w:t>of</w:t>
      </w:r>
      <w:r>
        <w:rPr>
          <w:color w:val="231F20"/>
          <w:spacing w:val="-8"/>
          <w:sz w:val="20"/>
        </w:rPr>
        <w:t xml:space="preserve"> </w:t>
      </w:r>
      <w:r>
        <w:rPr>
          <w:color w:val="231F20"/>
          <w:sz w:val="20"/>
        </w:rPr>
        <w:t>Victoria</w:t>
      </w:r>
      <w:r>
        <w:rPr>
          <w:color w:val="231F20"/>
          <w:spacing w:val="-8"/>
          <w:sz w:val="20"/>
        </w:rPr>
        <w:t xml:space="preserve"> </w:t>
      </w:r>
      <w:r>
        <w:rPr>
          <w:color w:val="231F20"/>
          <w:sz w:val="20"/>
        </w:rPr>
        <w:t>(DSCV).</w:t>
      </w:r>
      <w:r>
        <w:rPr>
          <w:color w:val="231F20"/>
          <w:position w:val="7"/>
          <w:sz w:val="11"/>
        </w:rPr>
        <w:t>95</w:t>
      </w:r>
      <w:r>
        <w:rPr>
          <w:color w:val="231F20"/>
          <w:spacing w:val="16"/>
          <w:position w:val="7"/>
          <w:sz w:val="11"/>
        </w:rPr>
        <w:t xml:space="preserve"> </w:t>
      </w:r>
      <w:r>
        <w:rPr>
          <w:color w:val="231F20"/>
          <w:sz w:val="20"/>
        </w:rPr>
        <w:t xml:space="preserve">It does not </w:t>
      </w:r>
      <w:r>
        <w:rPr>
          <w:color w:val="231F20"/>
          <w:spacing w:val="-3"/>
          <w:sz w:val="20"/>
        </w:rPr>
        <w:t xml:space="preserve">provide for </w:t>
      </w:r>
      <w:r>
        <w:rPr>
          <w:color w:val="231F20"/>
          <w:sz w:val="20"/>
        </w:rPr>
        <w:t>stalking matters to be</w:t>
      </w:r>
      <w:r>
        <w:rPr>
          <w:color w:val="231F20"/>
          <w:spacing w:val="-31"/>
          <w:sz w:val="20"/>
        </w:rPr>
        <w:t xml:space="preserve"> </w:t>
      </w:r>
      <w:r>
        <w:rPr>
          <w:color w:val="231F20"/>
          <w:sz w:val="20"/>
        </w:rPr>
        <w:t>mediated.</w:t>
      </w:r>
    </w:p>
    <w:p w14:paraId="0BEBD3C1" w14:textId="77777777" w:rsidR="00894070" w:rsidRDefault="009B7AFD">
      <w:pPr>
        <w:pStyle w:val="ListParagraph"/>
        <w:numPr>
          <w:ilvl w:val="1"/>
          <w:numId w:val="102"/>
        </w:numPr>
        <w:tabs>
          <w:tab w:val="left" w:pos="1801"/>
          <w:tab w:val="left" w:pos="1802"/>
        </w:tabs>
        <w:spacing w:before="92"/>
        <w:rPr>
          <w:sz w:val="20"/>
        </w:rPr>
      </w:pPr>
      <w:r>
        <w:rPr>
          <w:color w:val="231F20"/>
          <w:sz w:val="20"/>
        </w:rPr>
        <w:t>As the then Attorney–General</w:t>
      </w:r>
      <w:r>
        <w:rPr>
          <w:color w:val="231F20"/>
          <w:spacing w:val="-17"/>
          <w:sz w:val="20"/>
        </w:rPr>
        <w:t xml:space="preserve"> </w:t>
      </w:r>
      <w:r>
        <w:rPr>
          <w:color w:val="231F20"/>
          <w:spacing w:val="-3"/>
          <w:sz w:val="20"/>
        </w:rPr>
        <w:t>noted:</w:t>
      </w:r>
    </w:p>
    <w:p w14:paraId="71275340" w14:textId="77777777" w:rsidR="00894070" w:rsidRDefault="009B7AFD">
      <w:pPr>
        <w:spacing w:before="112" w:line="208" w:lineRule="auto"/>
        <w:ind w:left="2254" w:right="1459"/>
        <w:rPr>
          <w:sz w:val="11"/>
        </w:rPr>
      </w:pPr>
      <w:r>
        <w:rPr>
          <w:color w:val="231F20"/>
          <w:sz w:val="19"/>
        </w:rPr>
        <w:t>Mediation is no longer an adjunct to the justice system … [it] is a core part of court business … where safety is not at risk. It is time to stop seeing mediation as an ‘alternative’ form of dispute resolution –– it is now an integral part of the justice system and an ‘appropriate’ form of dispute resolution.</w:t>
      </w:r>
      <w:r>
        <w:rPr>
          <w:color w:val="231F20"/>
          <w:position w:val="6"/>
          <w:sz w:val="11"/>
        </w:rPr>
        <w:t>96</w:t>
      </w:r>
    </w:p>
    <w:p w14:paraId="0CB1AAAD" w14:textId="77777777" w:rsidR="00894070" w:rsidRDefault="009B7AFD">
      <w:pPr>
        <w:pStyle w:val="ListParagraph"/>
        <w:numPr>
          <w:ilvl w:val="1"/>
          <w:numId w:val="102"/>
        </w:numPr>
        <w:tabs>
          <w:tab w:val="left" w:pos="1801"/>
          <w:tab w:val="left" w:pos="1802"/>
        </w:tabs>
        <w:spacing w:before="125" w:line="206" w:lineRule="auto"/>
        <w:ind w:right="1433"/>
        <w:rPr>
          <w:sz w:val="20"/>
        </w:rPr>
      </w:pPr>
      <w:r>
        <w:rPr>
          <w:color w:val="231F20"/>
          <w:spacing w:val="-6"/>
          <w:sz w:val="20"/>
        </w:rPr>
        <w:t xml:space="preserve">We </w:t>
      </w:r>
      <w:r>
        <w:rPr>
          <w:color w:val="231F20"/>
          <w:sz w:val="20"/>
        </w:rPr>
        <w:t xml:space="preserve">do not suggest that stalking matters should be dealt with </w:t>
      </w:r>
      <w:r>
        <w:rPr>
          <w:color w:val="231F20"/>
          <w:spacing w:val="-3"/>
          <w:sz w:val="20"/>
        </w:rPr>
        <w:t xml:space="preserve">by </w:t>
      </w:r>
      <w:r>
        <w:rPr>
          <w:color w:val="231F20"/>
          <w:sz w:val="20"/>
        </w:rPr>
        <w:t xml:space="preserve">mediation. That is not </w:t>
      </w:r>
      <w:r>
        <w:rPr>
          <w:color w:val="231F20"/>
          <w:spacing w:val="-3"/>
          <w:sz w:val="20"/>
        </w:rPr>
        <w:t xml:space="preserve">appropriate, given </w:t>
      </w:r>
      <w:r>
        <w:rPr>
          <w:color w:val="231F20"/>
          <w:sz w:val="20"/>
        </w:rPr>
        <w:t xml:space="preserve">everything </w:t>
      </w:r>
      <w:r>
        <w:rPr>
          <w:color w:val="231F20"/>
          <w:spacing w:val="-3"/>
          <w:sz w:val="20"/>
        </w:rPr>
        <w:t xml:space="preserve">we know </w:t>
      </w:r>
      <w:r>
        <w:rPr>
          <w:color w:val="231F20"/>
          <w:sz w:val="20"/>
        </w:rPr>
        <w:t xml:space="preserve">about stalking. As the </w:t>
      </w:r>
      <w:r>
        <w:rPr>
          <w:color w:val="231F20"/>
          <w:spacing w:val="-3"/>
          <w:sz w:val="20"/>
        </w:rPr>
        <w:t xml:space="preserve">Centre for Forensic </w:t>
      </w:r>
      <w:r>
        <w:rPr>
          <w:color w:val="231F20"/>
          <w:sz w:val="20"/>
        </w:rPr>
        <w:t>Behavioural Science</w:t>
      </w:r>
      <w:r>
        <w:rPr>
          <w:color w:val="231F20"/>
          <w:spacing w:val="-9"/>
          <w:sz w:val="20"/>
        </w:rPr>
        <w:t xml:space="preserve"> </w:t>
      </w:r>
      <w:r>
        <w:rPr>
          <w:color w:val="231F20"/>
          <w:sz w:val="20"/>
        </w:rPr>
        <w:t>explained:</w:t>
      </w:r>
    </w:p>
    <w:p w14:paraId="16ED5C08" w14:textId="77777777" w:rsidR="00894070" w:rsidRDefault="009B7AFD">
      <w:pPr>
        <w:spacing w:before="93" w:line="247" w:lineRule="exact"/>
        <w:ind w:left="2254"/>
        <w:rPr>
          <w:sz w:val="19"/>
        </w:rPr>
      </w:pPr>
      <w:r>
        <w:rPr>
          <w:color w:val="231F20"/>
          <w:sz w:val="19"/>
        </w:rPr>
        <w:t>Mediation is not a suitable solution in stalking cases and may in fact enable the</w:t>
      </w:r>
    </w:p>
    <w:p w14:paraId="2AF066B0" w14:textId="77777777" w:rsidR="00894070" w:rsidRDefault="009B7AFD">
      <w:pPr>
        <w:spacing w:line="247" w:lineRule="exact"/>
        <w:ind w:left="2254"/>
        <w:rPr>
          <w:sz w:val="11"/>
        </w:rPr>
      </w:pPr>
      <w:r>
        <w:rPr>
          <w:color w:val="231F20"/>
          <w:sz w:val="19"/>
        </w:rPr>
        <w:t>stalker to continue stalking their victim through the mediation process.</w:t>
      </w:r>
      <w:r>
        <w:rPr>
          <w:color w:val="231F20"/>
          <w:position w:val="6"/>
          <w:sz w:val="11"/>
        </w:rPr>
        <w:t>97</w:t>
      </w:r>
    </w:p>
    <w:p w14:paraId="63A04839" w14:textId="77777777" w:rsidR="00894070" w:rsidRDefault="009B7AFD">
      <w:pPr>
        <w:pStyle w:val="ListParagraph"/>
        <w:numPr>
          <w:ilvl w:val="1"/>
          <w:numId w:val="102"/>
        </w:numPr>
        <w:tabs>
          <w:tab w:val="left" w:pos="1801"/>
          <w:tab w:val="left" w:pos="1802"/>
        </w:tabs>
        <w:spacing w:before="117" w:line="206" w:lineRule="auto"/>
        <w:ind w:right="1501"/>
        <w:rPr>
          <w:sz w:val="20"/>
        </w:rPr>
      </w:pPr>
      <w:r>
        <w:rPr>
          <w:color w:val="231F20"/>
          <w:sz w:val="20"/>
        </w:rPr>
        <w:t xml:space="preserve">The nuanced criteria applied </w:t>
      </w:r>
      <w:r>
        <w:rPr>
          <w:color w:val="231F20"/>
          <w:spacing w:val="-3"/>
          <w:sz w:val="20"/>
        </w:rPr>
        <w:t xml:space="preserve">by </w:t>
      </w:r>
      <w:r>
        <w:rPr>
          <w:color w:val="231F20"/>
          <w:sz w:val="20"/>
        </w:rPr>
        <w:t xml:space="preserve">DSCV to identify which matters </w:t>
      </w:r>
      <w:r>
        <w:rPr>
          <w:color w:val="231F20"/>
          <w:spacing w:val="-3"/>
          <w:sz w:val="20"/>
        </w:rPr>
        <w:t xml:space="preserve">are appropriate for </w:t>
      </w:r>
      <w:r>
        <w:rPr>
          <w:color w:val="231F20"/>
          <w:sz w:val="20"/>
        </w:rPr>
        <w:t xml:space="preserve">mediation </w:t>
      </w:r>
      <w:r>
        <w:rPr>
          <w:color w:val="231F20"/>
          <w:spacing w:val="-3"/>
          <w:sz w:val="20"/>
        </w:rPr>
        <w:t xml:space="preserve">expressly exclude </w:t>
      </w:r>
      <w:r>
        <w:rPr>
          <w:color w:val="231F20"/>
          <w:sz w:val="20"/>
        </w:rPr>
        <w:t>stalking.</w:t>
      </w:r>
      <w:r>
        <w:rPr>
          <w:color w:val="231F20"/>
          <w:position w:val="7"/>
          <w:sz w:val="11"/>
        </w:rPr>
        <w:t xml:space="preserve">98 </w:t>
      </w:r>
      <w:r>
        <w:rPr>
          <w:color w:val="231F20"/>
          <w:spacing w:val="-5"/>
          <w:sz w:val="20"/>
        </w:rPr>
        <w:t xml:space="preserve">However, </w:t>
      </w:r>
      <w:r>
        <w:rPr>
          <w:color w:val="231F20"/>
          <w:sz w:val="20"/>
        </w:rPr>
        <w:t xml:space="preserve">using mediation </w:t>
      </w:r>
      <w:r>
        <w:rPr>
          <w:color w:val="231F20"/>
          <w:spacing w:val="-3"/>
          <w:sz w:val="20"/>
        </w:rPr>
        <w:t xml:space="preserve">for </w:t>
      </w:r>
      <w:r>
        <w:rPr>
          <w:color w:val="231F20"/>
          <w:sz w:val="20"/>
        </w:rPr>
        <w:t>more non- stalking</w:t>
      </w:r>
      <w:r>
        <w:rPr>
          <w:color w:val="231F20"/>
          <w:spacing w:val="-12"/>
          <w:sz w:val="20"/>
        </w:rPr>
        <w:t xml:space="preserve"> </w:t>
      </w:r>
      <w:r>
        <w:rPr>
          <w:color w:val="231F20"/>
          <w:sz w:val="20"/>
        </w:rPr>
        <w:t>PSIO</w:t>
      </w:r>
      <w:r>
        <w:rPr>
          <w:color w:val="231F20"/>
          <w:spacing w:val="-11"/>
          <w:sz w:val="20"/>
        </w:rPr>
        <w:t xml:space="preserve"> </w:t>
      </w:r>
      <w:r>
        <w:rPr>
          <w:color w:val="231F20"/>
          <w:sz w:val="20"/>
        </w:rPr>
        <w:t>matters</w:t>
      </w:r>
      <w:r>
        <w:rPr>
          <w:color w:val="231F20"/>
          <w:spacing w:val="-11"/>
          <w:sz w:val="20"/>
        </w:rPr>
        <w:t xml:space="preserve"> </w:t>
      </w:r>
      <w:r>
        <w:rPr>
          <w:color w:val="231F20"/>
          <w:sz w:val="20"/>
        </w:rPr>
        <w:t>could</w:t>
      </w:r>
      <w:r>
        <w:rPr>
          <w:color w:val="231F20"/>
          <w:spacing w:val="-11"/>
          <w:sz w:val="20"/>
        </w:rPr>
        <w:t xml:space="preserve"> </w:t>
      </w:r>
      <w:r>
        <w:rPr>
          <w:color w:val="231F20"/>
          <w:spacing w:val="-4"/>
          <w:sz w:val="20"/>
        </w:rPr>
        <w:t>have</w:t>
      </w:r>
      <w:r>
        <w:rPr>
          <w:color w:val="231F20"/>
          <w:spacing w:val="-11"/>
          <w:sz w:val="20"/>
        </w:rPr>
        <w:t xml:space="preserve"> </w:t>
      </w:r>
      <w:r>
        <w:rPr>
          <w:color w:val="231F20"/>
          <w:sz w:val="20"/>
        </w:rPr>
        <w:t>an</w:t>
      </w:r>
      <w:r>
        <w:rPr>
          <w:color w:val="231F20"/>
          <w:spacing w:val="-12"/>
          <w:sz w:val="20"/>
        </w:rPr>
        <w:t xml:space="preserve"> </w:t>
      </w:r>
      <w:r>
        <w:rPr>
          <w:color w:val="231F20"/>
          <w:sz w:val="20"/>
        </w:rPr>
        <w:t>indirect</w:t>
      </w:r>
      <w:r>
        <w:rPr>
          <w:color w:val="231F20"/>
          <w:spacing w:val="-11"/>
          <w:sz w:val="20"/>
        </w:rPr>
        <w:t xml:space="preserve"> </w:t>
      </w:r>
      <w:r>
        <w:rPr>
          <w:color w:val="231F20"/>
          <w:sz w:val="20"/>
        </w:rPr>
        <w:t>benefit</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the</w:t>
      </w:r>
      <w:r>
        <w:rPr>
          <w:color w:val="231F20"/>
          <w:spacing w:val="-11"/>
          <w:sz w:val="20"/>
        </w:rPr>
        <w:t xml:space="preserve"> </w:t>
      </w:r>
      <w:r>
        <w:rPr>
          <w:color w:val="231F20"/>
          <w:sz w:val="20"/>
        </w:rPr>
        <w:t>management</w:t>
      </w:r>
      <w:r>
        <w:rPr>
          <w:color w:val="231F20"/>
          <w:spacing w:val="-12"/>
          <w:sz w:val="20"/>
        </w:rPr>
        <w:t xml:space="preserve"> </w:t>
      </w:r>
      <w:r>
        <w:rPr>
          <w:color w:val="231F20"/>
          <w:sz w:val="20"/>
        </w:rPr>
        <w:t>of</w:t>
      </w:r>
      <w:r>
        <w:rPr>
          <w:color w:val="231F20"/>
          <w:spacing w:val="-11"/>
          <w:sz w:val="20"/>
        </w:rPr>
        <w:t xml:space="preserve"> </w:t>
      </w:r>
      <w:r>
        <w:rPr>
          <w:color w:val="231F20"/>
          <w:sz w:val="20"/>
        </w:rPr>
        <w:t xml:space="preserve">stalking cases </w:t>
      </w:r>
      <w:r>
        <w:rPr>
          <w:color w:val="231F20"/>
          <w:spacing w:val="-3"/>
          <w:sz w:val="20"/>
        </w:rPr>
        <w:t xml:space="preserve">by </w:t>
      </w:r>
      <w:r>
        <w:rPr>
          <w:color w:val="231F20"/>
          <w:sz w:val="20"/>
        </w:rPr>
        <w:t>freeing up court time and</w:t>
      </w:r>
      <w:r>
        <w:rPr>
          <w:color w:val="231F20"/>
          <w:spacing w:val="-27"/>
          <w:sz w:val="20"/>
        </w:rPr>
        <w:t xml:space="preserve"> </w:t>
      </w:r>
      <w:r>
        <w:rPr>
          <w:color w:val="231F20"/>
          <w:spacing w:val="-3"/>
          <w:sz w:val="20"/>
        </w:rPr>
        <w:t>resources.</w:t>
      </w:r>
    </w:p>
    <w:p w14:paraId="16FFAE31" w14:textId="77777777" w:rsidR="00894070" w:rsidRDefault="009B7AFD">
      <w:pPr>
        <w:pStyle w:val="ListParagraph"/>
        <w:numPr>
          <w:ilvl w:val="1"/>
          <w:numId w:val="102"/>
        </w:numPr>
        <w:tabs>
          <w:tab w:val="left" w:pos="1801"/>
          <w:tab w:val="left" w:pos="1802"/>
        </w:tabs>
        <w:spacing w:before="125" w:line="206" w:lineRule="auto"/>
        <w:ind w:right="1269"/>
        <w:rPr>
          <w:sz w:val="11"/>
        </w:rPr>
      </w:pPr>
      <w:r>
        <w:rPr>
          <w:color w:val="231F20"/>
          <w:sz w:val="20"/>
        </w:rPr>
        <w:t>The</w:t>
      </w:r>
      <w:r>
        <w:rPr>
          <w:color w:val="231F20"/>
          <w:spacing w:val="-8"/>
          <w:sz w:val="20"/>
        </w:rPr>
        <w:t xml:space="preserve"> </w:t>
      </w:r>
      <w:r>
        <w:rPr>
          <w:color w:val="231F20"/>
          <w:sz w:val="20"/>
        </w:rPr>
        <w:t>PSIO</w:t>
      </w:r>
      <w:r>
        <w:rPr>
          <w:color w:val="231F20"/>
          <w:spacing w:val="-7"/>
          <w:sz w:val="20"/>
        </w:rPr>
        <w:t xml:space="preserve"> </w:t>
      </w:r>
      <w:r>
        <w:rPr>
          <w:color w:val="231F20"/>
          <w:spacing w:val="-2"/>
          <w:sz w:val="20"/>
        </w:rPr>
        <w:t>Act</w:t>
      </w:r>
      <w:r>
        <w:rPr>
          <w:color w:val="231F20"/>
          <w:spacing w:val="-8"/>
          <w:sz w:val="20"/>
        </w:rPr>
        <w:t xml:space="preserve"> </w:t>
      </w:r>
      <w:r>
        <w:rPr>
          <w:color w:val="231F20"/>
          <w:spacing w:val="-3"/>
          <w:sz w:val="20"/>
        </w:rPr>
        <w:t>gives</w:t>
      </w:r>
      <w:r>
        <w:rPr>
          <w:color w:val="231F20"/>
          <w:spacing w:val="-7"/>
          <w:sz w:val="20"/>
        </w:rPr>
        <w:t xml:space="preserve"> </w:t>
      </w:r>
      <w:r>
        <w:rPr>
          <w:color w:val="231F20"/>
          <w:sz w:val="20"/>
        </w:rPr>
        <w:t>magistrates</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power</w:t>
      </w:r>
      <w:r>
        <w:rPr>
          <w:color w:val="231F20"/>
          <w:spacing w:val="-7"/>
          <w:sz w:val="20"/>
        </w:rPr>
        <w:t xml:space="preserve"> </w:t>
      </w:r>
      <w:r>
        <w:rPr>
          <w:color w:val="231F20"/>
          <w:sz w:val="20"/>
        </w:rPr>
        <w:t>to</w:t>
      </w:r>
      <w:r>
        <w:rPr>
          <w:color w:val="231F20"/>
          <w:spacing w:val="-8"/>
          <w:sz w:val="20"/>
        </w:rPr>
        <w:t xml:space="preserve"> </w:t>
      </w:r>
      <w:r>
        <w:rPr>
          <w:color w:val="231F20"/>
          <w:sz w:val="20"/>
        </w:rPr>
        <w:t>direct</w:t>
      </w:r>
      <w:r>
        <w:rPr>
          <w:color w:val="231F20"/>
          <w:spacing w:val="-7"/>
          <w:sz w:val="20"/>
        </w:rPr>
        <w:t xml:space="preserve"> </w:t>
      </w:r>
      <w:r>
        <w:rPr>
          <w:color w:val="231F20"/>
          <w:sz w:val="20"/>
        </w:rPr>
        <w:t>parties</w:t>
      </w:r>
      <w:r>
        <w:rPr>
          <w:color w:val="231F20"/>
          <w:spacing w:val="-7"/>
          <w:sz w:val="20"/>
        </w:rPr>
        <w:t xml:space="preserve"> </w:t>
      </w:r>
      <w:r>
        <w:rPr>
          <w:color w:val="231F20"/>
          <w:sz w:val="20"/>
        </w:rPr>
        <w:t>to</w:t>
      </w:r>
      <w:r>
        <w:rPr>
          <w:color w:val="231F20"/>
          <w:spacing w:val="-8"/>
          <w:sz w:val="20"/>
        </w:rPr>
        <w:t xml:space="preserve"> </w:t>
      </w:r>
      <w:r>
        <w:rPr>
          <w:color w:val="231F20"/>
          <w:spacing w:val="-3"/>
          <w:sz w:val="20"/>
        </w:rPr>
        <w:t>attempt</w:t>
      </w:r>
      <w:r>
        <w:rPr>
          <w:color w:val="231F20"/>
          <w:spacing w:val="-7"/>
          <w:sz w:val="20"/>
        </w:rPr>
        <w:t xml:space="preserve"> </w:t>
      </w:r>
      <w:r>
        <w:rPr>
          <w:color w:val="231F20"/>
          <w:sz w:val="20"/>
        </w:rPr>
        <w:t>mediation.</w:t>
      </w:r>
      <w:r>
        <w:rPr>
          <w:color w:val="231F20"/>
          <w:position w:val="7"/>
          <w:sz w:val="11"/>
        </w:rPr>
        <w:t>99</w:t>
      </w:r>
      <w:r>
        <w:rPr>
          <w:color w:val="231F20"/>
          <w:spacing w:val="16"/>
          <w:position w:val="7"/>
          <w:sz w:val="11"/>
        </w:rPr>
        <w:t xml:space="preserve"> </w:t>
      </w:r>
      <w:r>
        <w:rPr>
          <w:color w:val="231F20"/>
          <w:sz w:val="20"/>
        </w:rPr>
        <w:t xml:space="preserve">The outcomes of the mediation process, and </w:t>
      </w:r>
      <w:proofErr w:type="gramStart"/>
      <w:r>
        <w:rPr>
          <w:color w:val="231F20"/>
          <w:sz w:val="20"/>
        </w:rPr>
        <w:t>whether or not</w:t>
      </w:r>
      <w:proofErr w:type="gramEnd"/>
      <w:r>
        <w:rPr>
          <w:color w:val="231F20"/>
          <w:sz w:val="20"/>
        </w:rPr>
        <w:t xml:space="preserve"> the parties </w:t>
      </w:r>
      <w:r>
        <w:rPr>
          <w:color w:val="231F20"/>
          <w:spacing w:val="-2"/>
          <w:sz w:val="20"/>
        </w:rPr>
        <w:t xml:space="preserve">attend </w:t>
      </w:r>
      <w:r>
        <w:rPr>
          <w:color w:val="231F20"/>
          <w:sz w:val="20"/>
        </w:rPr>
        <w:t xml:space="preserve">mediation, can be taken </w:t>
      </w:r>
      <w:r>
        <w:rPr>
          <w:color w:val="231F20"/>
          <w:spacing w:val="-3"/>
          <w:sz w:val="20"/>
        </w:rPr>
        <w:t xml:space="preserve">into </w:t>
      </w:r>
      <w:r>
        <w:rPr>
          <w:color w:val="231F20"/>
          <w:sz w:val="20"/>
        </w:rPr>
        <w:t xml:space="preserve">account </w:t>
      </w:r>
      <w:r>
        <w:rPr>
          <w:color w:val="231F20"/>
          <w:spacing w:val="-3"/>
          <w:sz w:val="20"/>
        </w:rPr>
        <w:t xml:space="preserve">by </w:t>
      </w:r>
      <w:r>
        <w:rPr>
          <w:color w:val="231F20"/>
          <w:sz w:val="20"/>
        </w:rPr>
        <w:t xml:space="preserve">the magistrate when deciding whether to make a final </w:t>
      </w:r>
      <w:r>
        <w:rPr>
          <w:color w:val="231F20"/>
          <w:spacing w:val="-3"/>
          <w:sz w:val="20"/>
        </w:rPr>
        <w:t>order.</w:t>
      </w:r>
      <w:r>
        <w:rPr>
          <w:color w:val="231F20"/>
          <w:spacing w:val="-3"/>
          <w:position w:val="7"/>
          <w:sz w:val="11"/>
        </w:rPr>
        <w:t>100</w:t>
      </w:r>
    </w:p>
    <w:p w14:paraId="69CA4E76" w14:textId="77777777" w:rsidR="00894070" w:rsidRDefault="009B7AFD">
      <w:pPr>
        <w:pStyle w:val="ListParagraph"/>
        <w:numPr>
          <w:ilvl w:val="1"/>
          <w:numId w:val="102"/>
        </w:numPr>
        <w:tabs>
          <w:tab w:val="left" w:pos="1801"/>
          <w:tab w:val="left" w:pos="1802"/>
        </w:tabs>
        <w:spacing w:before="125" w:line="206" w:lineRule="auto"/>
        <w:ind w:right="1347"/>
        <w:rPr>
          <w:sz w:val="11"/>
        </w:rPr>
      </w:pPr>
      <w:r>
        <w:rPr>
          <w:color w:val="231F20"/>
          <w:spacing w:val="-10"/>
          <w:sz w:val="20"/>
        </w:rPr>
        <w:t xml:space="preserve">To </w:t>
      </w:r>
      <w:r>
        <w:rPr>
          <w:color w:val="231F20"/>
          <w:sz w:val="20"/>
        </w:rPr>
        <w:t xml:space="preserve">smooth the process, DSCV set up </w:t>
      </w:r>
      <w:r>
        <w:rPr>
          <w:color w:val="231F20"/>
          <w:spacing w:val="-3"/>
          <w:sz w:val="20"/>
        </w:rPr>
        <w:t xml:space="preserve">referral </w:t>
      </w:r>
      <w:r>
        <w:rPr>
          <w:color w:val="231F20"/>
          <w:sz w:val="20"/>
        </w:rPr>
        <w:t xml:space="preserve">protocols with the </w:t>
      </w:r>
      <w:r>
        <w:rPr>
          <w:color w:val="231F20"/>
          <w:spacing w:val="-3"/>
          <w:sz w:val="20"/>
        </w:rPr>
        <w:t xml:space="preserve">Magistrates’ </w:t>
      </w:r>
      <w:r>
        <w:rPr>
          <w:color w:val="231F20"/>
          <w:sz w:val="20"/>
        </w:rPr>
        <w:t xml:space="preserve">Court. </w:t>
      </w:r>
      <w:r>
        <w:rPr>
          <w:color w:val="231F20"/>
          <w:spacing w:val="-3"/>
          <w:sz w:val="20"/>
        </w:rPr>
        <w:t xml:space="preserve">For example, </w:t>
      </w:r>
      <w:r>
        <w:rPr>
          <w:color w:val="231F20"/>
          <w:sz w:val="20"/>
        </w:rPr>
        <w:t xml:space="preserve">registrars </w:t>
      </w:r>
      <w:r>
        <w:rPr>
          <w:color w:val="231F20"/>
          <w:spacing w:val="-4"/>
          <w:sz w:val="20"/>
        </w:rPr>
        <w:t xml:space="preserve">have </w:t>
      </w:r>
      <w:r>
        <w:rPr>
          <w:color w:val="231F20"/>
          <w:sz w:val="20"/>
        </w:rPr>
        <w:t xml:space="preserve">mediation </w:t>
      </w:r>
      <w:r>
        <w:rPr>
          <w:color w:val="231F20"/>
          <w:spacing w:val="-3"/>
          <w:sz w:val="20"/>
        </w:rPr>
        <w:t xml:space="preserve">referral </w:t>
      </w:r>
      <w:r>
        <w:rPr>
          <w:color w:val="231F20"/>
          <w:sz w:val="20"/>
        </w:rPr>
        <w:t xml:space="preserve">forms they can fill in which will </w:t>
      </w:r>
      <w:r>
        <w:rPr>
          <w:color w:val="231F20"/>
          <w:spacing w:val="-3"/>
          <w:sz w:val="20"/>
        </w:rPr>
        <w:t xml:space="preserve">result </w:t>
      </w:r>
      <w:r>
        <w:rPr>
          <w:color w:val="231F20"/>
          <w:sz w:val="20"/>
        </w:rPr>
        <w:t>in</w:t>
      </w:r>
      <w:r>
        <w:rPr>
          <w:color w:val="231F20"/>
          <w:spacing w:val="-9"/>
          <w:sz w:val="20"/>
        </w:rPr>
        <w:t xml:space="preserve"> </w:t>
      </w:r>
      <w:r>
        <w:rPr>
          <w:color w:val="231F20"/>
          <w:sz w:val="20"/>
        </w:rPr>
        <w:t>DSCV</w:t>
      </w:r>
      <w:r>
        <w:rPr>
          <w:color w:val="231F20"/>
          <w:spacing w:val="-8"/>
          <w:sz w:val="20"/>
        </w:rPr>
        <w:t xml:space="preserve"> </w:t>
      </w:r>
      <w:proofErr w:type="gramStart"/>
      <w:r>
        <w:rPr>
          <w:color w:val="231F20"/>
          <w:sz w:val="20"/>
        </w:rPr>
        <w:t>making</w:t>
      </w:r>
      <w:r>
        <w:rPr>
          <w:color w:val="231F20"/>
          <w:spacing w:val="-9"/>
          <w:sz w:val="20"/>
        </w:rPr>
        <w:t xml:space="preserve"> </w:t>
      </w:r>
      <w:r>
        <w:rPr>
          <w:color w:val="231F20"/>
          <w:sz w:val="20"/>
        </w:rPr>
        <w:t>contact</w:t>
      </w:r>
      <w:r>
        <w:rPr>
          <w:color w:val="231F20"/>
          <w:spacing w:val="-8"/>
          <w:sz w:val="20"/>
        </w:rPr>
        <w:t xml:space="preserve"> </w:t>
      </w:r>
      <w:r>
        <w:rPr>
          <w:color w:val="231F20"/>
          <w:sz w:val="20"/>
        </w:rPr>
        <w:t>with</w:t>
      </w:r>
      <w:proofErr w:type="gramEnd"/>
      <w:r>
        <w:rPr>
          <w:color w:val="231F20"/>
          <w:spacing w:val="-9"/>
          <w:sz w:val="20"/>
        </w:rPr>
        <w:t xml:space="preserve"> </w:t>
      </w:r>
      <w:r>
        <w:rPr>
          <w:color w:val="231F20"/>
          <w:sz w:val="20"/>
        </w:rPr>
        <w:t>the</w:t>
      </w:r>
      <w:r>
        <w:rPr>
          <w:color w:val="231F20"/>
          <w:spacing w:val="-8"/>
          <w:sz w:val="20"/>
        </w:rPr>
        <w:t xml:space="preserve"> </w:t>
      </w:r>
      <w:r>
        <w:rPr>
          <w:color w:val="231F20"/>
          <w:sz w:val="20"/>
        </w:rPr>
        <w:t>parties</w:t>
      </w:r>
      <w:r>
        <w:rPr>
          <w:color w:val="231F20"/>
          <w:spacing w:val="-9"/>
          <w:sz w:val="20"/>
        </w:rPr>
        <w:t xml:space="preserve"> </w:t>
      </w:r>
      <w:r>
        <w:rPr>
          <w:color w:val="231F20"/>
          <w:sz w:val="20"/>
        </w:rPr>
        <w:t>to</w:t>
      </w:r>
      <w:r>
        <w:rPr>
          <w:color w:val="231F20"/>
          <w:spacing w:val="-8"/>
          <w:sz w:val="20"/>
        </w:rPr>
        <w:t xml:space="preserve"> </w:t>
      </w:r>
      <w:r>
        <w:rPr>
          <w:color w:val="231F20"/>
          <w:sz w:val="20"/>
        </w:rPr>
        <w:t>talk</w:t>
      </w:r>
      <w:r>
        <w:rPr>
          <w:color w:val="231F20"/>
          <w:spacing w:val="-9"/>
          <w:sz w:val="20"/>
        </w:rPr>
        <w:t xml:space="preserve"> </w:t>
      </w:r>
      <w:r>
        <w:rPr>
          <w:color w:val="231F20"/>
          <w:sz w:val="20"/>
        </w:rPr>
        <w:t>about</w:t>
      </w:r>
      <w:r>
        <w:rPr>
          <w:color w:val="231F20"/>
          <w:spacing w:val="-8"/>
          <w:sz w:val="20"/>
        </w:rPr>
        <w:t xml:space="preserve"> </w:t>
      </w:r>
      <w:r>
        <w:rPr>
          <w:color w:val="231F20"/>
          <w:sz w:val="20"/>
        </w:rPr>
        <w:t>the</w:t>
      </w:r>
      <w:r>
        <w:rPr>
          <w:color w:val="231F20"/>
          <w:spacing w:val="-8"/>
          <w:sz w:val="20"/>
        </w:rPr>
        <w:t xml:space="preserve"> </w:t>
      </w:r>
      <w:r>
        <w:rPr>
          <w:color w:val="231F20"/>
          <w:sz w:val="20"/>
        </w:rPr>
        <w:t>issues</w:t>
      </w:r>
      <w:r>
        <w:rPr>
          <w:color w:val="231F20"/>
          <w:spacing w:val="-9"/>
          <w:sz w:val="20"/>
        </w:rPr>
        <w:t xml:space="preserve"> </w:t>
      </w:r>
      <w:r>
        <w:rPr>
          <w:color w:val="231F20"/>
          <w:sz w:val="20"/>
        </w:rPr>
        <w:t>they</w:t>
      </w:r>
      <w:r>
        <w:rPr>
          <w:color w:val="231F20"/>
          <w:spacing w:val="-8"/>
          <w:sz w:val="20"/>
        </w:rPr>
        <w:t xml:space="preserve"> </w:t>
      </w:r>
      <w:r>
        <w:rPr>
          <w:color w:val="231F20"/>
          <w:sz w:val="20"/>
        </w:rPr>
        <w:t>need</w:t>
      </w:r>
      <w:r>
        <w:rPr>
          <w:color w:val="231F20"/>
          <w:spacing w:val="-9"/>
          <w:sz w:val="20"/>
        </w:rPr>
        <w:t xml:space="preserve"> </w:t>
      </w:r>
      <w:r>
        <w:rPr>
          <w:color w:val="231F20"/>
          <w:sz w:val="20"/>
        </w:rPr>
        <w:t>to</w:t>
      </w:r>
      <w:r>
        <w:rPr>
          <w:color w:val="231F20"/>
          <w:spacing w:val="-8"/>
          <w:sz w:val="20"/>
        </w:rPr>
        <w:t xml:space="preserve"> </w:t>
      </w:r>
      <w:r>
        <w:rPr>
          <w:color w:val="231F20"/>
          <w:spacing w:val="-4"/>
          <w:sz w:val="20"/>
        </w:rPr>
        <w:t xml:space="preserve">resolve, </w:t>
      </w:r>
      <w:r>
        <w:rPr>
          <w:color w:val="231F20"/>
          <w:sz w:val="20"/>
        </w:rPr>
        <w:t>instead</w:t>
      </w:r>
      <w:r>
        <w:rPr>
          <w:color w:val="231F20"/>
          <w:spacing w:val="-5"/>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z w:val="20"/>
        </w:rPr>
        <w:t>process</w:t>
      </w:r>
      <w:r>
        <w:rPr>
          <w:color w:val="231F20"/>
          <w:spacing w:val="-5"/>
          <w:sz w:val="20"/>
        </w:rPr>
        <w:t xml:space="preserve"> </w:t>
      </w:r>
      <w:r>
        <w:rPr>
          <w:color w:val="231F20"/>
          <w:sz w:val="20"/>
        </w:rPr>
        <w:t>that</w:t>
      </w:r>
      <w:r>
        <w:rPr>
          <w:color w:val="231F20"/>
          <w:spacing w:val="-5"/>
          <w:sz w:val="20"/>
        </w:rPr>
        <w:t xml:space="preserve"> </w:t>
      </w:r>
      <w:r>
        <w:rPr>
          <w:color w:val="231F20"/>
          <w:sz w:val="20"/>
        </w:rPr>
        <w:t>leads</w:t>
      </w:r>
      <w:r>
        <w:rPr>
          <w:color w:val="231F20"/>
          <w:spacing w:val="-4"/>
          <w:sz w:val="20"/>
        </w:rPr>
        <w:t xml:space="preserve"> </w:t>
      </w:r>
      <w:r>
        <w:rPr>
          <w:color w:val="231F20"/>
          <w:sz w:val="20"/>
        </w:rPr>
        <w:t>to</w:t>
      </w:r>
      <w:r>
        <w:rPr>
          <w:color w:val="231F20"/>
          <w:spacing w:val="-5"/>
          <w:sz w:val="20"/>
        </w:rPr>
        <w:t xml:space="preserve"> </w:t>
      </w:r>
      <w:r>
        <w:rPr>
          <w:color w:val="231F20"/>
          <w:sz w:val="20"/>
        </w:rPr>
        <w:t>a</w:t>
      </w:r>
      <w:r>
        <w:rPr>
          <w:color w:val="231F20"/>
          <w:spacing w:val="-5"/>
          <w:sz w:val="20"/>
        </w:rPr>
        <w:t xml:space="preserve"> </w:t>
      </w:r>
      <w:r>
        <w:rPr>
          <w:color w:val="231F20"/>
          <w:sz w:val="20"/>
        </w:rPr>
        <w:t>PSIO</w:t>
      </w:r>
      <w:r>
        <w:rPr>
          <w:color w:val="231F20"/>
          <w:spacing w:val="-5"/>
          <w:sz w:val="20"/>
        </w:rPr>
        <w:t xml:space="preserve"> </w:t>
      </w:r>
      <w:r>
        <w:rPr>
          <w:color w:val="231F20"/>
          <w:sz w:val="20"/>
        </w:rPr>
        <w:t>being</w:t>
      </w:r>
      <w:r>
        <w:rPr>
          <w:color w:val="231F20"/>
          <w:spacing w:val="-5"/>
          <w:sz w:val="20"/>
        </w:rPr>
        <w:t xml:space="preserve"> </w:t>
      </w:r>
      <w:r>
        <w:rPr>
          <w:color w:val="231F20"/>
          <w:sz w:val="20"/>
        </w:rPr>
        <w:t>made.</w:t>
      </w:r>
      <w:r>
        <w:rPr>
          <w:color w:val="231F20"/>
          <w:position w:val="7"/>
          <w:sz w:val="11"/>
        </w:rPr>
        <w:t>101</w:t>
      </w:r>
    </w:p>
    <w:p w14:paraId="1130FBB5" w14:textId="77777777" w:rsidR="00894070" w:rsidRDefault="009B7AFD">
      <w:pPr>
        <w:pStyle w:val="ListParagraph"/>
        <w:numPr>
          <w:ilvl w:val="1"/>
          <w:numId w:val="102"/>
        </w:numPr>
        <w:tabs>
          <w:tab w:val="left" w:pos="1801"/>
          <w:tab w:val="left" w:pos="1802"/>
        </w:tabs>
        <w:spacing w:before="125" w:line="206" w:lineRule="auto"/>
        <w:ind w:right="1268"/>
        <w:rPr>
          <w:sz w:val="11"/>
        </w:rPr>
      </w:pPr>
      <w:r>
        <w:rPr>
          <w:color w:val="231F20"/>
          <w:spacing w:val="-3"/>
          <w:sz w:val="20"/>
        </w:rPr>
        <w:t>Early</w:t>
      </w:r>
      <w:r>
        <w:rPr>
          <w:color w:val="231F20"/>
          <w:spacing w:val="-8"/>
          <w:sz w:val="20"/>
        </w:rPr>
        <w:t xml:space="preserve"> </w:t>
      </w:r>
      <w:r>
        <w:rPr>
          <w:color w:val="231F20"/>
          <w:sz w:val="20"/>
        </w:rPr>
        <w:t>in</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development</w:t>
      </w:r>
      <w:r>
        <w:rPr>
          <w:color w:val="231F20"/>
          <w:spacing w:val="-7"/>
          <w:sz w:val="20"/>
        </w:rPr>
        <w:t xml:space="preserve"> </w:t>
      </w:r>
      <w:r>
        <w:rPr>
          <w:color w:val="231F20"/>
          <w:sz w:val="20"/>
        </w:rPr>
        <w:t>of</w:t>
      </w:r>
      <w:r>
        <w:rPr>
          <w:color w:val="231F20"/>
          <w:spacing w:val="-8"/>
          <w:sz w:val="20"/>
        </w:rPr>
        <w:t xml:space="preserve"> </w:t>
      </w:r>
      <w:r>
        <w:rPr>
          <w:color w:val="231F20"/>
          <w:sz w:val="20"/>
        </w:rPr>
        <w:t>the</w:t>
      </w:r>
      <w:r>
        <w:rPr>
          <w:color w:val="231F20"/>
          <w:spacing w:val="-7"/>
          <w:sz w:val="20"/>
        </w:rPr>
        <w:t xml:space="preserve"> </w:t>
      </w:r>
      <w:r>
        <w:rPr>
          <w:color w:val="231F20"/>
          <w:sz w:val="20"/>
        </w:rPr>
        <w:t>DSCV</w:t>
      </w:r>
      <w:r>
        <w:rPr>
          <w:color w:val="231F20"/>
          <w:spacing w:val="-8"/>
          <w:sz w:val="20"/>
        </w:rPr>
        <w:t xml:space="preserve"> </w:t>
      </w:r>
      <w:r>
        <w:rPr>
          <w:color w:val="231F20"/>
          <w:sz w:val="20"/>
        </w:rPr>
        <w:t>PSIO</w:t>
      </w:r>
      <w:r>
        <w:rPr>
          <w:color w:val="231F20"/>
          <w:spacing w:val="-7"/>
          <w:sz w:val="20"/>
        </w:rPr>
        <w:t xml:space="preserve"> </w:t>
      </w:r>
      <w:r>
        <w:rPr>
          <w:color w:val="231F20"/>
          <w:sz w:val="20"/>
        </w:rPr>
        <w:t>program,</w:t>
      </w:r>
      <w:r>
        <w:rPr>
          <w:color w:val="231F20"/>
          <w:spacing w:val="-7"/>
          <w:sz w:val="20"/>
        </w:rPr>
        <w:t xml:space="preserve"> </w:t>
      </w:r>
      <w:r>
        <w:rPr>
          <w:color w:val="231F20"/>
          <w:sz w:val="20"/>
        </w:rPr>
        <w:t>they</w:t>
      </w:r>
      <w:r>
        <w:rPr>
          <w:color w:val="231F20"/>
          <w:spacing w:val="-8"/>
          <w:sz w:val="20"/>
        </w:rPr>
        <w:t xml:space="preserve"> </w:t>
      </w:r>
      <w:r>
        <w:rPr>
          <w:color w:val="231F20"/>
          <w:sz w:val="20"/>
        </w:rPr>
        <w:t>established</w:t>
      </w:r>
      <w:r>
        <w:rPr>
          <w:color w:val="231F20"/>
          <w:spacing w:val="-7"/>
          <w:sz w:val="20"/>
        </w:rPr>
        <w:t xml:space="preserve"> </w:t>
      </w:r>
      <w:r>
        <w:rPr>
          <w:color w:val="231F20"/>
          <w:sz w:val="20"/>
        </w:rPr>
        <w:t>a</w:t>
      </w:r>
      <w:r>
        <w:rPr>
          <w:color w:val="231F20"/>
          <w:spacing w:val="-8"/>
          <w:sz w:val="20"/>
        </w:rPr>
        <w:t xml:space="preserve"> </w:t>
      </w:r>
      <w:r>
        <w:rPr>
          <w:color w:val="231F20"/>
          <w:sz w:val="20"/>
        </w:rPr>
        <w:t>police</w:t>
      </w:r>
      <w:r>
        <w:rPr>
          <w:color w:val="231F20"/>
          <w:spacing w:val="-7"/>
          <w:sz w:val="20"/>
        </w:rPr>
        <w:t xml:space="preserve"> </w:t>
      </w:r>
      <w:r>
        <w:rPr>
          <w:color w:val="231F20"/>
          <w:spacing w:val="-3"/>
          <w:sz w:val="20"/>
        </w:rPr>
        <w:t xml:space="preserve">referral </w:t>
      </w:r>
      <w:r>
        <w:rPr>
          <w:color w:val="231F20"/>
          <w:sz w:val="20"/>
        </w:rPr>
        <w:t xml:space="preserve">pilot. This </w:t>
      </w:r>
      <w:r>
        <w:rPr>
          <w:color w:val="231F20"/>
          <w:spacing w:val="-4"/>
          <w:sz w:val="20"/>
        </w:rPr>
        <w:t xml:space="preserve">involved </w:t>
      </w:r>
      <w:r>
        <w:rPr>
          <w:color w:val="231F20"/>
          <w:sz w:val="20"/>
        </w:rPr>
        <w:t xml:space="preserve">DSCV staff training police and </w:t>
      </w:r>
      <w:r>
        <w:rPr>
          <w:color w:val="231F20"/>
          <w:spacing w:val="-3"/>
          <w:sz w:val="20"/>
        </w:rPr>
        <w:t xml:space="preserve">providing </w:t>
      </w:r>
      <w:r>
        <w:rPr>
          <w:color w:val="231F20"/>
          <w:sz w:val="20"/>
        </w:rPr>
        <w:t xml:space="preserve">a clear </w:t>
      </w:r>
      <w:r>
        <w:rPr>
          <w:color w:val="231F20"/>
          <w:spacing w:val="-4"/>
          <w:sz w:val="20"/>
        </w:rPr>
        <w:t xml:space="preserve">pathway </w:t>
      </w:r>
      <w:r>
        <w:rPr>
          <w:color w:val="231F20"/>
          <w:spacing w:val="-3"/>
          <w:sz w:val="20"/>
        </w:rPr>
        <w:t xml:space="preserve">for </w:t>
      </w:r>
      <w:r>
        <w:rPr>
          <w:color w:val="231F20"/>
          <w:sz w:val="20"/>
        </w:rPr>
        <w:t xml:space="preserve">police members to </w:t>
      </w:r>
      <w:r>
        <w:rPr>
          <w:color w:val="231F20"/>
          <w:spacing w:val="-3"/>
          <w:sz w:val="20"/>
        </w:rPr>
        <w:t xml:space="preserve">directly </w:t>
      </w:r>
      <w:r>
        <w:rPr>
          <w:color w:val="231F20"/>
          <w:spacing w:val="-4"/>
          <w:sz w:val="20"/>
        </w:rPr>
        <w:t xml:space="preserve">refer </w:t>
      </w:r>
      <w:r>
        <w:rPr>
          <w:color w:val="231F20"/>
          <w:sz w:val="20"/>
        </w:rPr>
        <w:t xml:space="preserve">people in dispute to DSCV </w:t>
      </w:r>
      <w:r>
        <w:rPr>
          <w:color w:val="231F20"/>
          <w:spacing w:val="-3"/>
          <w:sz w:val="20"/>
        </w:rPr>
        <w:t xml:space="preserve">for </w:t>
      </w:r>
      <w:r>
        <w:rPr>
          <w:color w:val="231F20"/>
          <w:sz w:val="20"/>
        </w:rPr>
        <w:t>mediation. This program ended</w:t>
      </w:r>
      <w:r>
        <w:rPr>
          <w:color w:val="231F20"/>
          <w:spacing w:val="-7"/>
          <w:sz w:val="20"/>
        </w:rPr>
        <w:t xml:space="preserve"> </w:t>
      </w:r>
      <w:r>
        <w:rPr>
          <w:color w:val="231F20"/>
          <w:sz w:val="20"/>
        </w:rPr>
        <w:t>in</w:t>
      </w:r>
      <w:r>
        <w:rPr>
          <w:color w:val="231F20"/>
          <w:spacing w:val="-7"/>
          <w:sz w:val="20"/>
        </w:rPr>
        <w:t xml:space="preserve"> </w:t>
      </w:r>
      <w:r>
        <w:rPr>
          <w:color w:val="231F20"/>
          <w:spacing w:val="-3"/>
          <w:sz w:val="20"/>
        </w:rPr>
        <w:t>2019</w:t>
      </w:r>
      <w:r>
        <w:rPr>
          <w:color w:val="231F20"/>
          <w:spacing w:val="-7"/>
          <w:sz w:val="20"/>
        </w:rPr>
        <w:t xml:space="preserve"> </w:t>
      </w:r>
      <w:r>
        <w:rPr>
          <w:color w:val="231F20"/>
          <w:sz w:val="20"/>
        </w:rPr>
        <w:t>due</w:t>
      </w:r>
      <w:r>
        <w:rPr>
          <w:color w:val="231F20"/>
          <w:spacing w:val="-7"/>
          <w:sz w:val="20"/>
        </w:rPr>
        <w:t xml:space="preserve"> </w:t>
      </w:r>
      <w:r>
        <w:rPr>
          <w:color w:val="231F20"/>
          <w:sz w:val="20"/>
        </w:rPr>
        <w:t>to</w:t>
      </w:r>
      <w:r>
        <w:rPr>
          <w:color w:val="231F20"/>
          <w:spacing w:val="-7"/>
          <w:sz w:val="20"/>
        </w:rPr>
        <w:t xml:space="preserve"> </w:t>
      </w:r>
      <w:r>
        <w:rPr>
          <w:color w:val="231F20"/>
          <w:sz w:val="20"/>
        </w:rPr>
        <w:t>limited</w:t>
      </w:r>
      <w:r>
        <w:rPr>
          <w:color w:val="231F20"/>
          <w:spacing w:val="-7"/>
          <w:sz w:val="20"/>
        </w:rPr>
        <w:t xml:space="preserve"> </w:t>
      </w:r>
      <w:r>
        <w:rPr>
          <w:color w:val="231F20"/>
          <w:sz w:val="20"/>
        </w:rPr>
        <w:t>funding,</w:t>
      </w:r>
      <w:r>
        <w:rPr>
          <w:color w:val="231F20"/>
          <w:spacing w:val="-7"/>
          <w:sz w:val="20"/>
        </w:rPr>
        <w:t xml:space="preserve"> </w:t>
      </w:r>
      <w:r>
        <w:rPr>
          <w:color w:val="231F20"/>
          <w:sz w:val="20"/>
        </w:rPr>
        <w:t>but</w:t>
      </w:r>
      <w:r>
        <w:rPr>
          <w:color w:val="231F20"/>
          <w:spacing w:val="-7"/>
          <w:sz w:val="20"/>
        </w:rPr>
        <w:t xml:space="preserve"> </w:t>
      </w:r>
      <w:r>
        <w:rPr>
          <w:color w:val="231F20"/>
          <w:sz w:val="20"/>
        </w:rPr>
        <w:t>DSCV</w:t>
      </w:r>
      <w:r>
        <w:rPr>
          <w:color w:val="231F20"/>
          <w:spacing w:val="-7"/>
          <w:sz w:val="20"/>
        </w:rPr>
        <w:t xml:space="preserve"> </w:t>
      </w:r>
      <w:r>
        <w:rPr>
          <w:color w:val="231F20"/>
          <w:spacing w:val="-3"/>
          <w:sz w:val="20"/>
        </w:rPr>
        <w:t>told</w:t>
      </w:r>
      <w:r>
        <w:rPr>
          <w:color w:val="231F20"/>
          <w:spacing w:val="-7"/>
          <w:sz w:val="20"/>
        </w:rPr>
        <w:t xml:space="preserve"> </w:t>
      </w:r>
      <w:r>
        <w:rPr>
          <w:color w:val="231F20"/>
          <w:sz w:val="20"/>
        </w:rPr>
        <w:t>us</w:t>
      </w:r>
      <w:r>
        <w:rPr>
          <w:color w:val="231F20"/>
          <w:spacing w:val="-7"/>
          <w:sz w:val="20"/>
        </w:rPr>
        <w:t xml:space="preserve"> </w:t>
      </w:r>
      <w:r>
        <w:rPr>
          <w:color w:val="231F20"/>
          <w:sz w:val="20"/>
        </w:rPr>
        <w:t>that</w:t>
      </w:r>
      <w:r>
        <w:rPr>
          <w:color w:val="231F20"/>
          <w:spacing w:val="-7"/>
          <w:sz w:val="20"/>
        </w:rPr>
        <w:t xml:space="preserve"> </w:t>
      </w:r>
      <w:r>
        <w:rPr>
          <w:color w:val="231F20"/>
          <w:sz w:val="20"/>
        </w:rPr>
        <w:t>it</w:t>
      </w:r>
      <w:r>
        <w:rPr>
          <w:color w:val="231F20"/>
          <w:spacing w:val="-7"/>
          <w:sz w:val="20"/>
        </w:rPr>
        <w:t xml:space="preserve"> </w:t>
      </w:r>
      <w:r>
        <w:rPr>
          <w:color w:val="231F20"/>
          <w:spacing w:val="-3"/>
          <w:sz w:val="20"/>
        </w:rPr>
        <w:t>would</w:t>
      </w:r>
      <w:r>
        <w:rPr>
          <w:color w:val="231F20"/>
          <w:spacing w:val="-7"/>
          <w:sz w:val="20"/>
        </w:rPr>
        <w:t xml:space="preserve"> </w:t>
      </w:r>
      <w:r>
        <w:rPr>
          <w:color w:val="231F20"/>
          <w:sz w:val="20"/>
        </w:rPr>
        <w:t>be</w:t>
      </w:r>
      <w:r>
        <w:rPr>
          <w:color w:val="231F20"/>
          <w:spacing w:val="-7"/>
          <w:sz w:val="20"/>
        </w:rPr>
        <w:t xml:space="preserve"> </w:t>
      </w:r>
      <w:r>
        <w:rPr>
          <w:color w:val="231F20"/>
          <w:spacing w:val="-3"/>
          <w:sz w:val="20"/>
        </w:rPr>
        <w:t>valuable</w:t>
      </w:r>
      <w:r>
        <w:rPr>
          <w:color w:val="231F20"/>
          <w:spacing w:val="-7"/>
          <w:sz w:val="20"/>
        </w:rPr>
        <w:t xml:space="preserve"> </w:t>
      </w:r>
      <w:r>
        <w:rPr>
          <w:color w:val="231F20"/>
          <w:sz w:val="20"/>
        </w:rPr>
        <w:t>to</w:t>
      </w:r>
      <w:r>
        <w:rPr>
          <w:color w:val="231F20"/>
          <w:spacing w:val="-7"/>
          <w:sz w:val="20"/>
        </w:rPr>
        <w:t xml:space="preserve"> </w:t>
      </w:r>
      <w:r>
        <w:rPr>
          <w:color w:val="231F20"/>
          <w:sz w:val="20"/>
        </w:rPr>
        <w:t xml:space="preserve">re- instate it, </w:t>
      </w:r>
      <w:r>
        <w:rPr>
          <w:color w:val="231F20"/>
          <w:spacing w:val="-3"/>
          <w:sz w:val="20"/>
        </w:rPr>
        <w:t xml:space="preserve">given </w:t>
      </w:r>
      <w:r>
        <w:rPr>
          <w:color w:val="231F20"/>
          <w:sz w:val="20"/>
        </w:rPr>
        <w:t xml:space="preserve">the </w:t>
      </w:r>
      <w:r>
        <w:rPr>
          <w:color w:val="231F20"/>
          <w:spacing w:val="-3"/>
          <w:sz w:val="20"/>
        </w:rPr>
        <w:t xml:space="preserve">frequent </w:t>
      </w:r>
      <w:r>
        <w:rPr>
          <w:color w:val="231F20"/>
          <w:sz w:val="20"/>
        </w:rPr>
        <w:t xml:space="preserve">police </w:t>
      </w:r>
      <w:r>
        <w:rPr>
          <w:color w:val="231F20"/>
          <w:spacing w:val="-4"/>
          <w:sz w:val="20"/>
        </w:rPr>
        <w:t xml:space="preserve">involvement </w:t>
      </w:r>
      <w:r>
        <w:rPr>
          <w:color w:val="231F20"/>
          <w:sz w:val="20"/>
        </w:rPr>
        <w:t xml:space="preserve">in </w:t>
      </w:r>
      <w:r>
        <w:rPr>
          <w:color w:val="231F20"/>
          <w:spacing w:val="-5"/>
          <w:sz w:val="20"/>
        </w:rPr>
        <w:t xml:space="preserve">lower-level </w:t>
      </w:r>
      <w:r>
        <w:rPr>
          <w:color w:val="231F20"/>
          <w:sz w:val="20"/>
        </w:rPr>
        <w:t xml:space="preserve">PSIO disputes and their </w:t>
      </w:r>
      <w:r>
        <w:rPr>
          <w:color w:val="231F20"/>
          <w:spacing w:val="-3"/>
          <w:sz w:val="20"/>
        </w:rPr>
        <w:t xml:space="preserve">potential </w:t>
      </w:r>
      <w:r>
        <w:rPr>
          <w:color w:val="231F20"/>
          <w:sz w:val="20"/>
        </w:rPr>
        <w:t xml:space="preserve">suitability </w:t>
      </w:r>
      <w:r>
        <w:rPr>
          <w:color w:val="231F20"/>
          <w:spacing w:val="-3"/>
          <w:sz w:val="20"/>
        </w:rPr>
        <w:t>for</w:t>
      </w:r>
      <w:r>
        <w:rPr>
          <w:color w:val="231F20"/>
          <w:spacing w:val="-10"/>
          <w:sz w:val="20"/>
        </w:rPr>
        <w:t xml:space="preserve"> </w:t>
      </w:r>
      <w:r>
        <w:rPr>
          <w:color w:val="231F20"/>
          <w:sz w:val="20"/>
        </w:rPr>
        <w:t>mediation.</w:t>
      </w:r>
      <w:r>
        <w:rPr>
          <w:color w:val="231F20"/>
          <w:position w:val="7"/>
          <w:sz w:val="11"/>
        </w:rPr>
        <w:t>102</w:t>
      </w:r>
    </w:p>
    <w:p w14:paraId="1F350561" w14:textId="77777777" w:rsidR="00894070" w:rsidRDefault="009B7AFD">
      <w:pPr>
        <w:pStyle w:val="ListParagraph"/>
        <w:numPr>
          <w:ilvl w:val="1"/>
          <w:numId w:val="102"/>
        </w:numPr>
        <w:tabs>
          <w:tab w:val="left" w:pos="1801"/>
          <w:tab w:val="left" w:pos="1802"/>
        </w:tabs>
        <w:spacing w:before="127" w:line="206" w:lineRule="auto"/>
        <w:ind w:right="1317"/>
        <w:rPr>
          <w:sz w:val="11"/>
        </w:rPr>
      </w:pPr>
      <w:r>
        <w:rPr>
          <w:color w:val="231F20"/>
          <w:spacing w:val="-4"/>
          <w:sz w:val="20"/>
        </w:rPr>
        <w:t xml:space="preserve">Ideally, </w:t>
      </w:r>
      <w:r>
        <w:rPr>
          <w:color w:val="231F20"/>
          <w:sz w:val="20"/>
        </w:rPr>
        <w:t xml:space="preserve">there </w:t>
      </w:r>
      <w:r>
        <w:rPr>
          <w:color w:val="231F20"/>
          <w:spacing w:val="-3"/>
          <w:sz w:val="20"/>
        </w:rPr>
        <w:t xml:space="preserve">are </w:t>
      </w:r>
      <w:r>
        <w:rPr>
          <w:color w:val="231F20"/>
          <w:sz w:val="20"/>
        </w:rPr>
        <w:t xml:space="preserve">also DSCV Dispute Assessment Officers </w:t>
      </w:r>
      <w:r>
        <w:rPr>
          <w:color w:val="231F20"/>
          <w:spacing w:val="-5"/>
          <w:sz w:val="20"/>
        </w:rPr>
        <w:t xml:space="preserve">(DAOs) </w:t>
      </w:r>
      <w:r>
        <w:rPr>
          <w:color w:val="231F20"/>
          <w:spacing w:val="-3"/>
          <w:sz w:val="20"/>
        </w:rPr>
        <w:t xml:space="preserve">physically present </w:t>
      </w:r>
      <w:r>
        <w:rPr>
          <w:color w:val="231F20"/>
          <w:sz w:val="20"/>
        </w:rPr>
        <w:t xml:space="preserve">at courts to </w:t>
      </w:r>
      <w:r>
        <w:rPr>
          <w:color w:val="231F20"/>
          <w:spacing w:val="-3"/>
          <w:sz w:val="20"/>
        </w:rPr>
        <w:t xml:space="preserve">receive </w:t>
      </w:r>
      <w:r>
        <w:rPr>
          <w:color w:val="231F20"/>
          <w:sz w:val="20"/>
        </w:rPr>
        <w:t xml:space="preserve">referrals </w:t>
      </w:r>
      <w:r>
        <w:rPr>
          <w:color w:val="231F20"/>
          <w:spacing w:val="-3"/>
          <w:sz w:val="20"/>
        </w:rPr>
        <w:t xml:space="preserve">from </w:t>
      </w:r>
      <w:r>
        <w:rPr>
          <w:color w:val="231F20"/>
          <w:sz w:val="20"/>
        </w:rPr>
        <w:t xml:space="preserve">registrars or magistrates. The </w:t>
      </w:r>
      <w:r>
        <w:rPr>
          <w:color w:val="231F20"/>
          <w:spacing w:val="-6"/>
          <w:sz w:val="20"/>
        </w:rPr>
        <w:t xml:space="preserve">DAO </w:t>
      </w:r>
      <w:r>
        <w:rPr>
          <w:color w:val="231F20"/>
          <w:sz w:val="20"/>
        </w:rPr>
        <w:t xml:space="preserve">can </w:t>
      </w:r>
      <w:r>
        <w:rPr>
          <w:color w:val="231F20"/>
          <w:spacing w:val="-3"/>
          <w:sz w:val="20"/>
        </w:rPr>
        <w:t xml:space="preserve">complete </w:t>
      </w:r>
      <w:r>
        <w:rPr>
          <w:color w:val="231F20"/>
          <w:sz w:val="20"/>
        </w:rPr>
        <w:t>an assessment</w:t>
      </w:r>
      <w:r>
        <w:rPr>
          <w:color w:val="231F20"/>
          <w:spacing w:val="-9"/>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matter’s</w:t>
      </w:r>
      <w:r>
        <w:rPr>
          <w:color w:val="231F20"/>
          <w:spacing w:val="-8"/>
          <w:sz w:val="20"/>
        </w:rPr>
        <w:t xml:space="preserve"> </w:t>
      </w:r>
      <w:r>
        <w:rPr>
          <w:color w:val="231F20"/>
          <w:sz w:val="20"/>
        </w:rPr>
        <w:t>suitability</w:t>
      </w:r>
      <w:r>
        <w:rPr>
          <w:color w:val="231F20"/>
          <w:spacing w:val="-8"/>
          <w:sz w:val="20"/>
        </w:rPr>
        <w:t xml:space="preserve"> </w:t>
      </w:r>
      <w:r>
        <w:rPr>
          <w:color w:val="231F20"/>
          <w:sz w:val="20"/>
        </w:rPr>
        <w:t>with</w:t>
      </w:r>
      <w:r>
        <w:rPr>
          <w:color w:val="231F20"/>
          <w:spacing w:val="-9"/>
          <w:sz w:val="20"/>
        </w:rPr>
        <w:t xml:space="preserve"> </w:t>
      </w:r>
      <w:r>
        <w:rPr>
          <w:color w:val="231F20"/>
          <w:sz w:val="20"/>
        </w:rPr>
        <w:t>the</w:t>
      </w:r>
      <w:r>
        <w:rPr>
          <w:color w:val="231F20"/>
          <w:spacing w:val="-8"/>
          <w:sz w:val="20"/>
        </w:rPr>
        <w:t xml:space="preserve"> </w:t>
      </w:r>
      <w:r>
        <w:rPr>
          <w:color w:val="231F20"/>
          <w:sz w:val="20"/>
        </w:rPr>
        <w:t>parties</w:t>
      </w:r>
      <w:r>
        <w:rPr>
          <w:color w:val="231F20"/>
          <w:spacing w:val="-8"/>
          <w:sz w:val="20"/>
        </w:rPr>
        <w:t xml:space="preserve"> </w:t>
      </w:r>
      <w:r>
        <w:rPr>
          <w:color w:val="231F20"/>
          <w:sz w:val="20"/>
        </w:rPr>
        <w:t>on</w:t>
      </w:r>
      <w:r>
        <w:rPr>
          <w:color w:val="231F20"/>
          <w:spacing w:val="-8"/>
          <w:sz w:val="20"/>
        </w:rPr>
        <w:t xml:space="preserve"> </w:t>
      </w:r>
      <w:r>
        <w:rPr>
          <w:color w:val="231F20"/>
          <w:sz w:val="20"/>
        </w:rPr>
        <w:t>the</w:t>
      </w:r>
      <w:r>
        <w:rPr>
          <w:color w:val="231F20"/>
          <w:spacing w:val="-8"/>
          <w:sz w:val="20"/>
        </w:rPr>
        <w:t xml:space="preserve"> </w:t>
      </w:r>
      <w:proofErr w:type="gramStart"/>
      <w:r>
        <w:rPr>
          <w:color w:val="231F20"/>
          <w:sz w:val="20"/>
        </w:rPr>
        <w:t>spot,</w:t>
      </w:r>
      <w:r>
        <w:rPr>
          <w:color w:val="231F20"/>
          <w:spacing w:val="-9"/>
          <w:sz w:val="20"/>
        </w:rPr>
        <w:t xml:space="preserve"> </w:t>
      </w:r>
      <w:r>
        <w:rPr>
          <w:color w:val="231F20"/>
          <w:sz w:val="20"/>
        </w:rPr>
        <w:t>and</w:t>
      </w:r>
      <w:proofErr w:type="gramEnd"/>
      <w:r>
        <w:rPr>
          <w:color w:val="231F20"/>
          <w:spacing w:val="-8"/>
          <w:sz w:val="20"/>
        </w:rPr>
        <w:t xml:space="preserve"> </w:t>
      </w:r>
      <w:r>
        <w:rPr>
          <w:color w:val="231F20"/>
          <w:sz w:val="20"/>
        </w:rPr>
        <w:t>can</w:t>
      </w:r>
      <w:r>
        <w:rPr>
          <w:color w:val="231F20"/>
          <w:spacing w:val="-8"/>
          <w:sz w:val="20"/>
        </w:rPr>
        <w:t xml:space="preserve"> </w:t>
      </w:r>
      <w:r>
        <w:rPr>
          <w:color w:val="231F20"/>
          <w:sz w:val="20"/>
        </w:rPr>
        <w:t xml:space="preserve">sometimes conduct the mediation on the same </w:t>
      </w:r>
      <w:r>
        <w:rPr>
          <w:color w:val="231F20"/>
          <w:spacing w:val="-5"/>
          <w:sz w:val="20"/>
        </w:rPr>
        <w:t xml:space="preserve">day. </w:t>
      </w:r>
      <w:r>
        <w:rPr>
          <w:color w:val="231F20"/>
          <w:sz w:val="20"/>
        </w:rPr>
        <w:t xml:space="preserve">Although the numbers of </w:t>
      </w:r>
      <w:r>
        <w:rPr>
          <w:color w:val="231F20"/>
          <w:spacing w:val="-5"/>
          <w:sz w:val="20"/>
        </w:rPr>
        <w:t xml:space="preserve">DAOs </w:t>
      </w:r>
      <w:r>
        <w:rPr>
          <w:color w:val="231F20"/>
          <w:spacing w:val="-4"/>
          <w:sz w:val="20"/>
        </w:rPr>
        <w:t xml:space="preserve">have </w:t>
      </w:r>
      <w:r>
        <w:rPr>
          <w:color w:val="231F20"/>
          <w:sz w:val="20"/>
        </w:rPr>
        <w:t xml:space="preserve">been </w:t>
      </w:r>
      <w:r>
        <w:rPr>
          <w:color w:val="231F20"/>
          <w:spacing w:val="-4"/>
          <w:sz w:val="20"/>
        </w:rPr>
        <w:t>greatly</w:t>
      </w:r>
      <w:r>
        <w:rPr>
          <w:color w:val="231F20"/>
          <w:spacing w:val="-7"/>
          <w:sz w:val="20"/>
        </w:rPr>
        <w:t xml:space="preserve"> </w:t>
      </w:r>
      <w:r>
        <w:rPr>
          <w:color w:val="231F20"/>
          <w:sz w:val="20"/>
        </w:rPr>
        <w:t>reduced</w:t>
      </w:r>
      <w:r>
        <w:rPr>
          <w:color w:val="231F20"/>
          <w:spacing w:val="-6"/>
          <w:sz w:val="20"/>
        </w:rPr>
        <w:t xml:space="preserve"> </w:t>
      </w:r>
      <w:r>
        <w:rPr>
          <w:color w:val="231F20"/>
          <w:sz w:val="20"/>
        </w:rPr>
        <w:t>due</w:t>
      </w:r>
      <w:r>
        <w:rPr>
          <w:color w:val="231F20"/>
          <w:spacing w:val="-6"/>
          <w:sz w:val="20"/>
        </w:rPr>
        <w:t xml:space="preserve"> </w:t>
      </w:r>
      <w:r>
        <w:rPr>
          <w:color w:val="231F20"/>
          <w:sz w:val="20"/>
        </w:rPr>
        <w:t>to</w:t>
      </w:r>
      <w:r>
        <w:rPr>
          <w:color w:val="231F20"/>
          <w:spacing w:val="-7"/>
          <w:sz w:val="20"/>
        </w:rPr>
        <w:t xml:space="preserve"> </w:t>
      </w:r>
      <w:r>
        <w:rPr>
          <w:color w:val="231F20"/>
          <w:sz w:val="20"/>
        </w:rPr>
        <w:t>the</w:t>
      </w:r>
      <w:r>
        <w:rPr>
          <w:color w:val="231F20"/>
          <w:spacing w:val="-6"/>
          <w:sz w:val="20"/>
        </w:rPr>
        <w:t xml:space="preserve"> </w:t>
      </w:r>
      <w:r>
        <w:rPr>
          <w:color w:val="231F20"/>
          <w:spacing w:val="-3"/>
          <w:sz w:val="20"/>
        </w:rPr>
        <w:t>coronavirus</w:t>
      </w:r>
      <w:r>
        <w:rPr>
          <w:color w:val="231F20"/>
          <w:spacing w:val="-6"/>
          <w:sz w:val="20"/>
        </w:rPr>
        <w:t xml:space="preserve"> </w:t>
      </w:r>
      <w:r>
        <w:rPr>
          <w:color w:val="231F20"/>
          <w:spacing w:val="-3"/>
          <w:sz w:val="20"/>
        </w:rPr>
        <w:t>(COVID-19)</w:t>
      </w:r>
      <w:r>
        <w:rPr>
          <w:color w:val="231F20"/>
          <w:spacing w:val="-7"/>
          <w:sz w:val="20"/>
        </w:rPr>
        <w:t xml:space="preserve"> </w:t>
      </w:r>
      <w:r>
        <w:rPr>
          <w:color w:val="231F20"/>
          <w:sz w:val="20"/>
        </w:rPr>
        <w:t>pandemic,</w:t>
      </w:r>
      <w:r>
        <w:rPr>
          <w:color w:val="231F20"/>
          <w:spacing w:val="-6"/>
          <w:sz w:val="20"/>
        </w:rPr>
        <w:t xml:space="preserve"> </w:t>
      </w:r>
      <w:r>
        <w:rPr>
          <w:color w:val="231F20"/>
          <w:sz w:val="20"/>
        </w:rPr>
        <w:t>DSCV</w:t>
      </w:r>
      <w:r>
        <w:rPr>
          <w:color w:val="231F20"/>
          <w:spacing w:val="-6"/>
          <w:sz w:val="20"/>
        </w:rPr>
        <w:t xml:space="preserve"> </w:t>
      </w:r>
      <w:r>
        <w:rPr>
          <w:color w:val="231F20"/>
          <w:spacing w:val="-3"/>
          <w:sz w:val="20"/>
        </w:rPr>
        <w:t>told</w:t>
      </w:r>
      <w:r>
        <w:rPr>
          <w:color w:val="231F20"/>
          <w:spacing w:val="-6"/>
          <w:sz w:val="20"/>
        </w:rPr>
        <w:t xml:space="preserve"> </w:t>
      </w:r>
      <w:r>
        <w:rPr>
          <w:color w:val="231F20"/>
          <w:sz w:val="20"/>
        </w:rPr>
        <w:t>us</w:t>
      </w:r>
      <w:r>
        <w:rPr>
          <w:color w:val="231F20"/>
          <w:spacing w:val="-7"/>
          <w:sz w:val="20"/>
        </w:rPr>
        <w:t xml:space="preserve"> </w:t>
      </w:r>
      <w:r>
        <w:rPr>
          <w:color w:val="231F20"/>
          <w:sz w:val="20"/>
        </w:rPr>
        <w:t>they</w:t>
      </w:r>
      <w:r>
        <w:rPr>
          <w:color w:val="231F20"/>
          <w:spacing w:val="-6"/>
          <w:sz w:val="20"/>
        </w:rPr>
        <w:t xml:space="preserve"> </w:t>
      </w:r>
      <w:r>
        <w:rPr>
          <w:color w:val="231F20"/>
          <w:spacing w:val="-4"/>
          <w:sz w:val="20"/>
        </w:rPr>
        <w:t xml:space="preserve">were </w:t>
      </w:r>
      <w:r>
        <w:rPr>
          <w:color w:val="231F20"/>
          <w:sz w:val="20"/>
        </w:rPr>
        <w:t>aiming to re-instate this</w:t>
      </w:r>
      <w:r>
        <w:rPr>
          <w:color w:val="231F20"/>
          <w:spacing w:val="-17"/>
          <w:sz w:val="20"/>
        </w:rPr>
        <w:t xml:space="preserve"> </w:t>
      </w:r>
      <w:r>
        <w:rPr>
          <w:color w:val="231F20"/>
          <w:spacing w:val="-3"/>
          <w:sz w:val="20"/>
        </w:rPr>
        <w:t>workforce.</w:t>
      </w:r>
      <w:r>
        <w:rPr>
          <w:color w:val="231F20"/>
          <w:spacing w:val="-3"/>
          <w:position w:val="7"/>
          <w:sz w:val="11"/>
        </w:rPr>
        <w:t>103</w:t>
      </w:r>
    </w:p>
    <w:p w14:paraId="501C1DAC" w14:textId="77777777" w:rsidR="00894070" w:rsidRDefault="00894070">
      <w:pPr>
        <w:pStyle w:val="BodyText"/>
      </w:pPr>
    </w:p>
    <w:p w14:paraId="61AB3B9B" w14:textId="77777777" w:rsidR="00894070" w:rsidRDefault="00894070">
      <w:pPr>
        <w:pStyle w:val="BodyText"/>
      </w:pPr>
    </w:p>
    <w:p w14:paraId="011A8746" w14:textId="77777777" w:rsidR="00894070" w:rsidRDefault="00894070">
      <w:pPr>
        <w:pStyle w:val="BodyText"/>
      </w:pPr>
    </w:p>
    <w:p w14:paraId="71C4335C" w14:textId="77777777" w:rsidR="00894070" w:rsidRDefault="00894070">
      <w:pPr>
        <w:pStyle w:val="BodyText"/>
      </w:pPr>
    </w:p>
    <w:p w14:paraId="0EF353B3" w14:textId="77777777" w:rsidR="00894070" w:rsidRDefault="00894070">
      <w:pPr>
        <w:pStyle w:val="BodyText"/>
      </w:pPr>
    </w:p>
    <w:p w14:paraId="27DEC209" w14:textId="77777777" w:rsidR="00894070" w:rsidRDefault="00894070">
      <w:pPr>
        <w:pStyle w:val="BodyText"/>
      </w:pPr>
    </w:p>
    <w:p w14:paraId="27C69C1A" w14:textId="77777777" w:rsidR="00894070" w:rsidRDefault="00894070">
      <w:pPr>
        <w:pStyle w:val="BodyText"/>
      </w:pPr>
    </w:p>
    <w:p w14:paraId="095F5A34" w14:textId="77777777" w:rsidR="00894070" w:rsidRDefault="00894070">
      <w:pPr>
        <w:pStyle w:val="BodyText"/>
      </w:pPr>
    </w:p>
    <w:p w14:paraId="2A143EAE" w14:textId="77777777" w:rsidR="00894070" w:rsidRDefault="009F6793">
      <w:pPr>
        <w:pStyle w:val="BodyText"/>
        <w:spacing w:before="3"/>
        <w:rPr>
          <w:sz w:val="11"/>
        </w:rPr>
      </w:pPr>
      <w:r>
        <w:pict w14:anchorId="6D964DCC">
          <v:line id="_x0000_s1329" style="position:absolute;z-index:251660288;mso-wrap-distance-left:0;mso-wrap-distance-right:0;mso-position-horizontal-relative:page" from="79.35pt,10.25pt" to="515.9pt,10.25pt" strokecolor="#f8cabc" strokeweight="1pt">
            <w10:wrap type="topAndBottom" anchorx="page"/>
          </v:line>
        </w:pict>
      </w:r>
    </w:p>
    <w:p w14:paraId="65B55F1E" w14:textId="77777777" w:rsidR="00894070" w:rsidRDefault="00894070">
      <w:pPr>
        <w:pStyle w:val="BodyText"/>
        <w:rPr>
          <w:sz w:val="5"/>
        </w:rPr>
      </w:pPr>
    </w:p>
    <w:p w14:paraId="7A0EEDCB" w14:textId="77777777" w:rsidR="00894070" w:rsidRDefault="00894070">
      <w:pPr>
        <w:rPr>
          <w:sz w:val="5"/>
        </w:rPr>
        <w:sectPr w:rsidR="00894070">
          <w:pgSz w:w="11910" w:h="16840"/>
          <w:pgMar w:top="840" w:right="420" w:bottom="280" w:left="580" w:header="0" w:footer="0" w:gutter="0"/>
          <w:cols w:space="720"/>
        </w:sectPr>
      </w:pPr>
    </w:p>
    <w:p w14:paraId="29C5742B" w14:textId="77777777" w:rsidR="00894070" w:rsidRDefault="009B7AFD">
      <w:pPr>
        <w:tabs>
          <w:tab w:val="left" w:pos="1800"/>
        </w:tabs>
        <w:spacing w:before="21" w:line="170" w:lineRule="exact"/>
        <w:ind w:left="1007"/>
        <w:rPr>
          <w:sz w:val="13"/>
        </w:rPr>
      </w:pPr>
      <w:r>
        <w:rPr>
          <w:color w:val="231F20"/>
          <w:sz w:val="13"/>
        </w:rPr>
        <w:t>95</w:t>
      </w:r>
      <w:r>
        <w:rPr>
          <w:color w:val="231F20"/>
          <w:sz w:val="13"/>
        </w:rPr>
        <w:tab/>
        <w:t>Victoria,</w:t>
      </w:r>
      <w:r>
        <w:rPr>
          <w:color w:val="231F20"/>
          <w:spacing w:val="9"/>
          <w:sz w:val="13"/>
        </w:rPr>
        <w:t xml:space="preserve"> </w:t>
      </w:r>
      <w:r>
        <w:rPr>
          <w:i/>
          <w:color w:val="231F20"/>
          <w:sz w:val="13"/>
        </w:rPr>
        <w:t>Parliamentary</w:t>
      </w:r>
      <w:r>
        <w:rPr>
          <w:i/>
          <w:color w:val="231F20"/>
          <w:spacing w:val="9"/>
          <w:sz w:val="13"/>
        </w:rPr>
        <w:t xml:space="preserve"> </w:t>
      </w:r>
      <w:r>
        <w:rPr>
          <w:i/>
          <w:color w:val="231F20"/>
          <w:sz w:val="13"/>
        </w:rPr>
        <w:t>Debates</w:t>
      </w:r>
      <w:r>
        <w:rPr>
          <w:color w:val="231F20"/>
          <w:sz w:val="13"/>
        </w:rPr>
        <w:t>,</w:t>
      </w:r>
      <w:r>
        <w:rPr>
          <w:color w:val="231F20"/>
          <w:spacing w:val="10"/>
          <w:sz w:val="13"/>
        </w:rPr>
        <w:t xml:space="preserve"> </w:t>
      </w:r>
      <w:r>
        <w:rPr>
          <w:color w:val="231F20"/>
          <w:sz w:val="13"/>
        </w:rPr>
        <w:t>Legislative</w:t>
      </w:r>
      <w:r>
        <w:rPr>
          <w:color w:val="231F20"/>
          <w:spacing w:val="10"/>
          <w:sz w:val="13"/>
        </w:rPr>
        <w:t xml:space="preserve"> </w:t>
      </w:r>
      <w:r>
        <w:rPr>
          <w:color w:val="231F20"/>
          <w:sz w:val="13"/>
        </w:rPr>
        <w:t>Assembly,</w:t>
      </w:r>
      <w:r>
        <w:rPr>
          <w:color w:val="231F20"/>
          <w:spacing w:val="9"/>
          <w:sz w:val="13"/>
        </w:rPr>
        <w:t xml:space="preserve"> </w:t>
      </w:r>
      <w:r>
        <w:rPr>
          <w:color w:val="231F20"/>
          <w:sz w:val="13"/>
        </w:rPr>
        <w:t>9</w:t>
      </w:r>
      <w:r>
        <w:rPr>
          <w:color w:val="231F20"/>
          <w:spacing w:val="10"/>
          <w:sz w:val="13"/>
        </w:rPr>
        <w:t xml:space="preserve"> </w:t>
      </w:r>
      <w:r>
        <w:rPr>
          <w:color w:val="231F20"/>
          <w:sz w:val="13"/>
        </w:rPr>
        <w:t>June</w:t>
      </w:r>
      <w:r>
        <w:rPr>
          <w:color w:val="231F20"/>
          <w:spacing w:val="9"/>
          <w:sz w:val="13"/>
        </w:rPr>
        <w:t xml:space="preserve"> </w:t>
      </w:r>
      <w:r>
        <w:rPr>
          <w:color w:val="231F20"/>
          <w:sz w:val="13"/>
        </w:rPr>
        <w:t>2010,</w:t>
      </w:r>
      <w:r>
        <w:rPr>
          <w:color w:val="231F20"/>
          <w:spacing w:val="10"/>
          <w:sz w:val="13"/>
        </w:rPr>
        <w:t xml:space="preserve"> </w:t>
      </w:r>
      <w:r>
        <w:rPr>
          <w:color w:val="231F20"/>
          <w:sz w:val="13"/>
        </w:rPr>
        <w:t>2226–7</w:t>
      </w:r>
      <w:r>
        <w:rPr>
          <w:color w:val="231F20"/>
          <w:spacing w:val="10"/>
          <w:sz w:val="13"/>
        </w:rPr>
        <w:t xml:space="preserve"> </w:t>
      </w:r>
      <w:r>
        <w:rPr>
          <w:color w:val="231F20"/>
          <w:sz w:val="13"/>
        </w:rPr>
        <w:t>(Rob</w:t>
      </w:r>
      <w:r>
        <w:rPr>
          <w:color w:val="231F20"/>
          <w:spacing w:val="9"/>
          <w:sz w:val="13"/>
        </w:rPr>
        <w:t xml:space="preserve"> </w:t>
      </w:r>
      <w:r>
        <w:rPr>
          <w:color w:val="231F20"/>
          <w:spacing w:val="2"/>
          <w:sz w:val="13"/>
        </w:rPr>
        <w:t>Hulls,</w:t>
      </w:r>
      <w:r>
        <w:rPr>
          <w:color w:val="231F20"/>
          <w:spacing w:val="10"/>
          <w:sz w:val="13"/>
        </w:rPr>
        <w:t xml:space="preserve"> </w:t>
      </w:r>
      <w:r>
        <w:rPr>
          <w:color w:val="231F20"/>
          <w:sz w:val="13"/>
        </w:rPr>
        <w:t>Attorney-General).</w:t>
      </w:r>
    </w:p>
    <w:p w14:paraId="17064CFF" w14:textId="77777777" w:rsidR="00894070" w:rsidRDefault="009B7AFD">
      <w:pPr>
        <w:tabs>
          <w:tab w:val="left" w:pos="1801"/>
        </w:tabs>
        <w:spacing w:line="160" w:lineRule="exact"/>
        <w:ind w:left="1007"/>
        <w:rPr>
          <w:sz w:val="13"/>
        </w:rPr>
      </w:pPr>
      <w:r>
        <w:rPr>
          <w:color w:val="231F20"/>
          <w:spacing w:val="2"/>
          <w:sz w:val="13"/>
        </w:rPr>
        <w:t>96</w:t>
      </w:r>
      <w:r>
        <w:rPr>
          <w:color w:val="231F20"/>
          <w:spacing w:val="2"/>
          <w:sz w:val="13"/>
        </w:rPr>
        <w:tab/>
      </w:r>
      <w:r>
        <w:rPr>
          <w:color w:val="231F20"/>
          <w:sz w:val="13"/>
        </w:rPr>
        <w:t>Ibid</w:t>
      </w:r>
      <w:r>
        <w:rPr>
          <w:color w:val="231F20"/>
          <w:spacing w:val="-1"/>
          <w:sz w:val="13"/>
        </w:rPr>
        <w:t xml:space="preserve"> </w:t>
      </w:r>
      <w:r>
        <w:rPr>
          <w:color w:val="231F20"/>
          <w:sz w:val="13"/>
        </w:rPr>
        <w:t>2226.</w:t>
      </w:r>
    </w:p>
    <w:p w14:paraId="67C48F07" w14:textId="77777777" w:rsidR="00894070" w:rsidRDefault="009B7AFD">
      <w:pPr>
        <w:pStyle w:val="ListParagraph"/>
        <w:numPr>
          <w:ilvl w:val="0"/>
          <w:numId w:val="91"/>
        </w:numPr>
        <w:tabs>
          <w:tab w:val="left" w:pos="1801"/>
          <w:tab w:val="left" w:pos="1802"/>
        </w:tabs>
        <w:spacing w:line="160" w:lineRule="exact"/>
        <w:jc w:val="left"/>
        <w:rPr>
          <w:sz w:val="13"/>
        </w:rPr>
      </w:pPr>
      <w:r>
        <w:rPr>
          <w:color w:val="231F20"/>
          <w:spacing w:val="2"/>
          <w:sz w:val="13"/>
        </w:rPr>
        <w:t xml:space="preserve">Submission </w:t>
      </w:r>
      <w:r>
        <w:rPr>
          <w:color w:val="231F20"/>
          <w:sz w:val="13"/>
        </w:rPr>
        <w:t>32 (Centre for Forensic Behavioural</w:t>
      </w:r>
      <w:r>
        <w:rPr>
          <w:color w:val="231F20"/>
          <w:spacing w:val="1"/>
          <w:sz w:val="13"/>
        </w:rPr>
        <w:t xml:space="preserve"> </w:t>
      </w:r>
      <w:r>
        <w:rPr>
          <w:color w:val="231F20"/>
          <w:sz w:val="13"/>
        </w:rPr>
        <w:t>Science).</w:t>
      </w:r>
    </w:p>
    <w:p w14:paraId="7AAFE8D0" w14:textId="77777777" w:rsidR="00894070" w:rsidRDefault="009B7AFD">
      <w:pPr>
        <w:pStyle w:val="ListParagraph"/>
        <w:numPr>
          <w:ilvl w:val="0"/>
          <w:numId w:val="91"/>
        </w:numPr>
        <w:tabs>
          <w:tab w:val="left" w:pos="1801"/>
          <w:tab w:val="left" w:pos="1802"/>
        </w:tabs>
        <w:spacing w:line="160" w:lineRule="exact"/>
        <w:jc w:val="left"/>
        <w:rPr>
          <w:sz w:val="13"/>
        </w:rPr>
      </w:pPr>
      <w:r>
        <w:rPr>
          <w:color w:val="231F20"/>
          <w:sz w:val="13"/>
        </w:rPr>
        <w:t xml:space="preserve">Dispute Settlement Centre of Victoria, </w:t>
      </w:r>
      <w:r>
        <w:rPr>
          <w:i/>
          <w:color w:val="231F20"/>
          <w:sz w:val="13"/>
        </w:rPr>
        <w:t xml:space="preserve">DSCV Assessing Suitability Criteria </w:t>
      </w:r>
      <w:r>
        <w:rPr>
          <w:color w:val="231F20"/>
          <w:sz w:val="13"/>
        </w:rPr>
        <w:t>(Guideline,</w:t>
      </w:r>
      <w:r>
        <w:rPr>
          <w:color w:val="231F20"/>
          <w:spacing w:val="5"/>
          <w:sz w:val="13"/>
        </w:rPr>
        <w:t xml:space="preserve"> </w:t>
      </w:r>
      <w:r>
        <w:rPr>
          <w:color w:val="231F20"/>
          <w:sz w:val="13"/>
        </w:rPr>
        <w:t>undated).</w:t>
      </w:r>
    </w:p>
    <w:p w14:paraId="49837BA2" w14:textId="77777777" w:rsidR="00894070" w:rsidRDefault="009B7AFD">
      <w:pPr>
        <w:pStyle w:val="ListParagraph"/>
        <w:numPr>
          <w:ilvl w:val="0"/>
          <w:numId w:val="91"/>
        </w:numPr>
        <w:tabs>
          <w:tab w:val="left" w:pos="1801"/>
          <w:tab w:val="left" w:pos="1802"/>
        </w:tabs>
        <w:spacing w:line="160" w:lineRule="exact"/>
        <w:jc w:val="left"/>
        <w:rPr>
          <w:sz w:val="13"/>
        </w:rPr>
      </w:pPr>
      <w:r>
        <w:rPr>
          <w:i/>
          <w:color w:val="231F20"/>
          <w:sz w:val="13"/>
        </w:rPr>
        <w:t xml:space="preserve">Personal Safety Intervention Orders Act 2010 </w:t>
      </w:r>
      <w:r>
        <w:rPr>
          <w:color w:val="231F20"/>
          <w:sz w:val="13"/>
        </w:rPr>
        <w:t>(Vic) s</w:t>
      </w:r>
      <w:r>
        <w:rPr>
          <w:color w:val="231F20"/>
          <w:spacing w:val="5"/>
          <w:sz w:val="13"/>
        </w:rPr>
        <w:t xml:space="preserve"> </w:t>
      </w:r>
      <w:r>
        <w:rPr>
          <w:color w:val="231F20"/>
          <w:sz w:val="13"/>
        </w:rPr>
        <w:t>26.</w:t>
      </w:r>
    </w:p>
    <w:p w14:paraId="542ACA4B" w14:textId="77777777" w:rsidR="00894070" w:rsidRDefault="009B7AFD">
      <w:pPr>
        <w:pStyle w:val="ListParagraph"/>
        <w:numPr>
          <w:ilvl w:val="0"/>
          <w:numId w:val="91"/>
        </w:numPr>
        <w:tabs>
          <w:tab w:val="left" w:pos="1800"/>
          <w:tab w:val="left" w:pos="1802"/>
        </w:tabs>
        <w:spacing w:line="160" w:lineRule="exact"/>
        <w:jc w:val="left"/>
        <w:rPr>
          <w:sz w:val="13"/>
        </w:rPr>
      </w:pPr>
      <w:r>
        <w:rPr>
          <w:color w:val="231F20"/>
          <w:sz w:val="13"/>
        </w:rPr>
        <w:t xml:space="preserve">Ibid s </w:t>
      </w:r>
      <w:r>
        <w:rPr>
          <w:color w:val="231F20"/>
          <w:spacing w:val="2"/>
          <w:sz w:val="13"/>
        </w:rPr>
        <w:t>33.</w:t>
      </w:r>
    </w:p>
    <w:p w14:paraId="089F944A" w14:textId="77777777" w:rsidR="00894070" w:rsidRDefault="009B7AFD">
      <w:pPr>
        <w:pStyle w:val="ListParagraph"/>
        <w:numPr>
          <w:ilvl w:val="0"/>
          <w:numId w:val="91"/>
        </w:numPr>
        <w:tabs>
          <w:tab w:val="left" w:pos="1801"/>
          <w:tab w:val="left" w:pos="1802"/>
        </w:tabs>
        <w:spacing w:line="160" w:lineRule="exact"/>
        <w:jc w:val="left"/>
        <w:rPr>
          <w:sz w:val="13"/>
        </w:rPr>
      </w:pPr>
      <w:r>
        <w:rPr>
          <w:color w:val="231F20"/>
          <w:sz w:val="13"/>
        </w:rPr>
        <w:t>Consultation 32 (Dispute Settlement Centre of</w:t>
      </w:r>
      <w:r>
        <w:rPr>
          <w:color w:val="231F20"/>
          <w:spacing w:val="4"/>
          <w:sz w:val="13"/>
        </w:rPr>
        <w:t xml:space="preserve"> </w:t>
      </w:r>
      <w:r>
        <w:rPr>
          <w:color w:val="231F20"/>
          <w:sz w:val="13"/>
        </w:rPr>
        <w:t>Victoria).</w:t>
      </w:r>
    </w:p>
    <w:p w14:paraId="6D0883B7" w14:textId="77777777" w:rsidR="00894070" w:rsidRDefault="009B7AFD">
      <w:pPr>
        <w:pStyle w:val="ListParagraph"/>
        <w:numPr>
          <w:ilvl w:val="0"/>
          <w:numId w:val="91"/>
        </w:numPr>
        <w:tabs>
          <w:tab w:val="left" w:pos="1801"/>
          <w:tab w:val="left" w:pos="1802"/>
        </w:tabs>
        <w:spacing w:line="160" w:lineRule="exact"/>
        <w:jc w:val="left"/>
        <w:rPr>
          <w:sz w:val="13"/>
        </w:rPr>
      </w:pPr>
      <w:r>
        <w:rPr>
          <w:color w:val="231F20"/>
          <w:sz w:val="13"/>
        </w:rPr>
        <w:t>Ibid.</w:t>
      </w:r>
    </w:p>
    <w:p w14:paraId="7AB20374" w14:textId="77777777" w:rsidR="00894070" w:rsidRDefault="009B7AFD">
      <w:pPr>
        <w:pStyle w:val="ListParagraph"/>
        <w:numPr>
          <w:ilvl w:val="0"/>
          <w:numId w:val="91"/>
        </w:numPr>
        <w:tabs>
          <w:tab w:val="left" w:pos="1801"/>
          <w:tab w:val="left" w:pos="1802"/>
        </w:tabs>
        <w:spacing w:line="170" w:lineRule="exact"/>
        <w:jc w:val="left"/>
        <w:rPr>
          <w:sz w:val="13"/>
        </w:rPr>
      </w:pPr>
      <w:r>
        <w:rPr>
          <w:color w:val="231F20"/>
          <w:sz w:val="13"/>
        </w:rPr>
        <w:t>Ibid.</w:t>
      </w:r>
    </w:p>
    <w:p w14:paraId="1A3B82A3" w14:textId="77777777" w:rsidR="00894070" w:rsidRDefault="009B7AFD">
      <w:pPr>
        <w:pStyle w:val="BodyText"/>
        <w:rPr>
          <w:sz w:val="28"/>
        </w:rPr>
      </w:pPr>
      <w:r>
        <w:br w:type="column"/>
      </w:r>
    </w:p>
    <w:p w14:paraId="780F66AD" w14:textId="77777777" w:rsidR="00894070" w:rsidRDefault="00894070">
      <w:pPr>
        <w:pStyle w:val="BodyText"/>
        <w:rPr>
          <w:sz w:val="28"/>
        </w:rPr>
      </w:pPr>
    </w:p>
    <w:p w14:paraId="01E2F549" w14:textId="77777777" w:rsidR="00894070" w:rsidRDefault="00894070">
      <w:pPr>
        <w:pStyle w:val="BodyText"/>
        <w:spacing w:before="8"/>
        <w:rPr>
          <w:sz w:val="28"/>
        </w:rPr>
      </w:pPr>
    </w:p>
    <w:p w14:paraId="7AE89D80" w14:textId="77777777" w:rsidR="00894070" w:rsidRDefault="009B7AFD">
      <w:pPr>
        <w:pStyle w:val="Heading8"/>
        <w:ind w:left="1007"/>
      </w:pPr>
      <w:r>
        <w:rPr>
          <w:color w:val="EA5B50"/>
        </w:rPr>
        <w:t>107</w:t>
      </w:r>
    </w:p>
    <w:p w14:paraId="48EF293E" w14:textId="77777777" w:rsidR="00894070" w:rsidRDefault="00894070">
      <w:pPr>
        <w:sectPr w:rsidR="00894070">
          <w:type w:val="continuous"/>
          <w:pgSz w:w="11910" w:h="16840"/>
          <w:pgMar w:top="560" w:right="420" w:bottom="280" w:left="580" w:header="720" w:footer="720" w:gutter="0"/>
          <w:cols w:num="2" w:space="720" w:equalWidth="0">
            <w:col w:w="8312" w:space="1018"/>
            <w:col w:w="1580"/>
          </w:cols>
        </w:sectPr>
      </w:pPr>
    </w:p>
    <w:p w14:paraId="1A0E161A" w14:textId="77777777" w:rsidR="00894070" w:rsidRDefault="00894070">
      <w:pPr>
        <w:pStyle w:val="BodyText"/>
        <w:rPr>
          <w:b/>
        </w:rPr>
      </w:pPr>
    </w:p>
    <w:p w14:paraId="2972B079" w14:textId="77777777" w:rsidR="00894070" w:rsidRDefault="00894070">
      <w:pPr>
        <w:pStyle w:val="BodyText"/>
        <w:rPr>
          <w:b/>
        </w:rPr>
      </w:pPr>
    </w:p>
    <w:p w14:paraId="2FE8E14F" w14:textId="77777777" w:rsidR="00894070" w:rsidRDefault="00894070">
      <w:pPr>
        <w:pStyle w:val="BodyText"/>
        <w:rPr>
          <w:b/>
        </w:rPr>
      </w:pPr>
    </w:p>
    <w:p w14:paraId="141854E4" w14:textId="77777777" w:rsidR="00894070" w:rsidRDefault="00894070">
      <w:pPr>
        <w:pStyle w:val="BodyText"/>
        <w:rPr>
          <w:b/>
          <w:sz w:val="13"/>
        </w:rPr>
      </w:pPr>
    </w:p>
    <w:p w14:paraId="047D635B" w14:textId="77777777" w:rsidR="00894070" w:rsidRDefault="009B7AFD">
      <w:pPr>
        <w:pStyle w:val="ListParagraph"/>
        <w:numPr>
          <w:ilvl w:val="1"/>
          <w:numId w:val="102"/>
        </w:numPr>
        <w:tabs>
          <w:tab w:val="left" w:pos="1801"/>
          <w:tab w:val="left" w:pos="1802"/>
        </w:tabs>
        <w:spacing w:before="90" w:line="206" w:lineRule="auto"/>
        <w:ind w:right="1623"/>
        <w:rPr>
          <w:sz w:val="11"/>
        </w:rPr>
      </w:pPr>
      <w:r>
        <w:rPr>
          <w:color w:val="231F20"/>
          <w:sz w:val="20"/>
        </w:rPr>
        <w:t xml:space="preserve">While there was much energy behind the mediation </w:t>
      </w:r>
      <w:r>
        <w:rPr>
          <w:color w:val="231F20"/>
          <w:spacing w:val="-4"/>
          <w:sz w:val="20"/>
        </w:rPr>
        <w:t xml:space="preserve">pathway </w:t>
      </w:r>
      <w:r>
        <w:rPr>
          <w:color w:val="231F20"/>
          <w:sz w:val="20"/>
        </w:rPr>
        <w:t xml:space="preserve">when the </w:t>
      </w:r>
      <w:r>
        <w:rPr>
          <w:color w:val="231F20"/>
          <w:spacing w:val="-3"/>
          <w:sz w:val="20"/>
        </w:rPr>
        <w:t xml:space="preserve">reforms </w:t>
      </w:r>
      <w:r>
        <w:rPr>
          <w:color w:val="231F20"/>
          <w:sz w:val="20"/>
        </w:rPr>
        <w:t>first</w:t>
      </w:r>
      <w:r>
        <w:rPr>
          <w:color w:val="231F20"/>
          <w:spacing w:val="-10"/>
          <w:sz w:val="20"/>
        </w:rPr>
        <w:t xml:space="preserve"> </w:t>
      </w:r>
      <w:r>
        <w:rPr>
          <w:color w:val="231F20"/>
          <w:sz w:val="20"/>
        </w:rPr>
        <w:t>came</w:t>
      </w:r>
      <w:r>
        <w:rPr>
          <w:color w:val="231F20"/>
          <w:spacing w:val="-10"/>
          <w:sz w:val="20"/>
        </w:rPr>
        <w:t xml:space="preserve"> </w:t>
      </w:r>
      <w:r>
        <w:rPr>
          <w:color w:val="231F20"/>
          <w:sz w:val="20"/>
        </w:rPr>
        <w:t>in,</w:t>
      </w:r>
      <w:r>
        <w:rPr>
          <w:color w:val="231F20"/>
          <w:spacing w:val="-9"/>
          <w:sz w:val="20"/>
        </w:rPr>
        <w:t xml:space="preserve"> </w:t>
      </w:r>
      <w:r>
        <w:rPr>
          <w:color w:val="231F20"/>
          <w:sz w:val="20"/>
        </w:rPr>
        <w:t>the</w:t>
      </w:r>
      <w:r>
        <w:rPr>
          <w:color w:val="231F20"/>
          <w:spacing w:val="-10"/>
          <w:sz w:val="20"/>
        </w:rPr>
        <w:t xml:space="preserve"> </w:t>
      </w:r>
      <w:r>
        <w:rPr>
          <w:color w:val="231F20"/>
          <w:sz w:val="20"/>
        </w:rPr>
        <w:t>use</w:t>
      </w:r>
      <w:r>
        <w:rPr>
          <w:color w:val="231F20"/>
          <w:spacing w:val="-10"/>
          <w:sz w:val="20"/>
        </w:rPr>
        <w:t xml:space="preserve"> </w:t>
      </w:r>
      <w:r>
        <w:rPr>
          <w:color w:val="231F20"/>
          <w:sz w:val="20"/>
        </w:rPr>
        <w:t>of</w:t>
      </w:r>
      <w:r>
        <w:rPr>
          <w:color w:val="231F20"/>
          <w:spacing w:val="-9"/>
          <w:sz w:val="20"/>
        </w:rPr>
        <w:t xml:space="preserve"> </w:t>
      </w:r>
      <w:r>
        <w:rPr>
          <w:color w:val="231F20"/>
          <w:sz w:val="20"/>
        </w:rPr>
        <w:t>mediation</w:t>
      </w:r>
      <w:r>
        <w:rPr>
          <w:color w:val="231F20"/>
          <w:spacing w:val="-10"/>
          <w:sz w:val="20"/>
        </w:rPr>
        <w:t xml:space="preserve"> </w:t>
      </w:r>
      <w:r>
        <w:rPr>
          <w:color w:val="231F20"/>
          <w:sz w:val="20"/>
        </w:rPr>
        <w:t>seems</w:t>
      </w:r>
      <w:r>
        <w:rPr>
          <w:color w:val="231F20"/>
          <w:spacing w:val="-10"/>
          <w:sz w:val="20"/>
        </w:rPr>
        <w:t xml:space="preserve"> </w:t>
      </w:r>
      <w:r>
        <w:rPr>
          <w:color w:val="231F20"/>
          <w:sz w:val="20"/>
        </w:rPr>
        <w:t>to</w:t>
      </w:r>
      <w:r>
        <w:rPr>
          <w:color w:val="231F20"/>
          <w:spacing w:val="-9"/>
          <w:sz w:val="20"/>
        </w:rPr>
        <w:t xml:space="preserve"> </w:t>
      </w:r>
      <w:r>
        <w:rPr>
          <w:color w:val="231F20"/>
          <w:sz w:val="20"/>
        </w:rPr>
        <w:t>be</w:t>
      </w:r>
      <w:r>
        <w:rPr>
          <w:color w:val="231F20"/>
          <w:spacing w:val="-10"/>
          <w:sz w:val="20"/>
        </w:rPr>
        <w:t xml:space="preserve"> </w:t>
      </w:r>
      <w:r>
        <w:rPr>
          <w:color w:val="231F20"/>
          <w:sz w:val="20"/>
        </w:rPr>
        <w:t>on</w:t>
      </w:r>
      <w:r>
        <w:rPr>
          <w:color w:val="231F20"/>
          <w:spacing w:val="-10"/>
          <w:sz w:val="20"/>
        </w:rPr>
        <w:t xml:space="preserve"> </w:t>
      </w:r>
      <w:r>
        <w:rPr>
          <w:color w:val="231F20"/>
          <w:sz w:val="20"/>
        </w:rPr>
        <w:t>the</w:t>
      </w:r>
      <w:r>
        <w:rPr>
          <w:color w:val="231F20"/>
          <w:spacing w:val="-9"/>
          <w:sz w:val="20"/>
        </w:rPr>
        <w:t xml:space="preserve"> </w:t>
      </w:r>
      <w:r>
        <w:rPr>
          <w:color w:val="231F20"/>
          <w:sz w:val="20"/>
        </w:rPr>
        <w:t>decline,</w:t>
      </w:r>
      <w:r>
        <w:rPr>
          <w:color w:val="231F20"/>
          <w:spacing w:val="-10"/>
          <w:sz w:val="20"/>
        </w:rPr>
        <w:t xml:space="preserve"> </w:t>
      </w:r>
      <w:r>
        <w:rPr>
          <w:color w:val="231F20"/>
          <w:sz w:val="20"/>
        </w:rPr>
        <w:t>especially</w:t>
      </w:r>
      <w:r>
        <w:rPr>
          <w:color w:val="231F20"/>
          <w:spacing w:val="-10"/>
          <w:sz w:val="20"/>
        </w:rPr>
        <w:t xml:space="preserve"> </w:t>
      </w:r>
      <w:r>
        <w:rPr>
          <w:color w:val="231F20"/>
          <w:sz w:val="20"/>
        </w:rPr>
        <w:t>since</w:t>
      </w:r>
      <w:r>
        <w:rPr>
          <w:color w:val="231F20"/>
          <w:spacing w:val="-9"/>
          <w:sz w:val="20"/>
        </w:rPr>
        <w:t xml:space="preserve"> </w:t>
      </w:r>
      <w:r>
        <w:rPr>
          <w:color w:val="231F20"/>
          <w:sz w:val="20"/>
        </w:rPr>
        <w:t>the pandemic</w:t>
      </w:r>
      <w:r>
        <w:rPr>
          <w:color w:val="231F20"/>
          <w:spacing w:val="-9"/>
          <w:sz w:val="20"/>
        </w:rPr>
        <w:t xml:space="preserve"> </w:t>
      </w:r>
      <w:r>
        <w:rPr>
          <w:color w:val="231F20"/>
          <w:sz w:val="20"/>
        </w:rPr>
        <w:t>started.</w:t>
      </w:r>
      <w:r>
        <w:rPr>
          <w:color w:val="231F20"/>
          <w:spacing w:val="-8"/>
          <w:sz w:val="20"/>
        </w:rPr>
        <w:t xml:space="preserve"> </w:t>
      </w:r>
      <w:r>
        <w:rPr>
          <w:color w:val="231F20"/>
          <w:sz w:val="20"/>
        </w:rPr>
        <w:t>DSCV</w:t>
      </w:r>
      <w:r>
        <w:rPr>
          <w:color w:val="231F20"/>
          <w:spacing w:val="-8"/>
          <w:sz w:val="20"/>
        </w:rPr>
        <w:t xml:space="preserve"> </w:t>
      </w:r>
      <w:r>
        <w:rPr>
          <w:color w:val="231F20"/>
          <w:sz w:val="20"/>
        </w:rPr>
        <w:t>shared</w:t>
      </w:r>
      <w:r>
        <w:rPr>
          <w:color w:val="231F20"/>
          <w:spacing w:val="-9"/>
          <w:sz w:val="20"/>
        </w:rPr>
        <w:t xml:space="preserve"> </w:t>
      </w:r>
      <w:r>
        <w:rPr>
          <w:color w:val="231F20"/>
          <w:sz w:val="20"/>
        </w:rPr>
        <w:t>data</w:t>
      </w:r>
      <w:r>
        <w:rPr>
          <w:color w:val="231F20"/>
          <w:spacing w:val="-8"/>
          <w:sz w:val="20"/>
        </w:rPr>
        <w:t xml:space="preserve"> </w:t>
      </w:r>
      <w:r>
        <w:rPr>
          <w:color w:val="231F20"/>
          <w:sz w:val="20"/>
        </w:rPr>
        <w:t>with</w:t>
      </w:r>
      <w:r>
        <w:rPr>
          <w:color w:val="231F20"/>
          <w:spacing w:val="-8"/>
          <w:sz w:val="20"/>
        </w:rPr>
        <w:t xml:space="preserve"> </w:t>
      </w:r>
      <w:r>
        <w:rPr>
          <w:color w:val="231F20"/>
          <w:sz w:val="20"/>
        </w:rPr>
        <w:t>us</w:t>
      </w:r>
      <w:r>
        <w:rPr>
          <w:color w:val="231F20"/>
          <w:spacing w:val="-8"/>
          <w:sz w:val="20"/>
        </w:rPr>
        <w:t xml:space="preserve"> </w:t>
      </w:r>
      <w:r>
        <w:rPr>
          <w:color w:val="231F20"/>
          <w:sz w:val="20"/>
        </w:rPr>
        <w:t>indicating</w:t>
      </w:r>
      <w:r>
        <w:rPr>
          <w:color w:val="231F20"/>
          <w:spacing w:val="-9"/>
          <w:sz w:val="20"/>
        </w:rPr>
        <w:t xml:space="preserve"> </w:t>
      </w:r>
      <w:r>
        <w:rPr>
          <w:color w:val="231F20"/>
          <w:sz w:val="20"/>
        </w:rPr>
        <w:t>this</w:t>
      </w:r>
      <w:r>
        <w:rPr>
          <w:color w:val="231F20"/>
          <w:spacing w:val="-8"/>
          <w:sz w:val="20"/>
        </w:rPr>
        <w:t xml:space="preserve"> </w:t>
      </w:r>
      <w:r>
        <w:rPr>
          <w:color w:val="231F20"/>
          <w:sz w:val="20"/>
        </w:rPr>
        <w:t>trend</w:t>
      </w:r>
      <w:r>
        <w:rPr>
          <w:color w:val="231F20"/>
          <w:spacing w:val="-8"/>
          <w:sz w:val="20"/>
        </w:rPr>
        <w:t xml:space="preserve"> </w:t>
      </w:r>
      <w:r>
        <w:rPr>
          <w:color w:val="231F20"/>
          <w:sz w:val="20"/>
        </w:rPr>
        <w:t>(see</w:t>
      </w:r>
      <w:r>
        <w:rPr>
          <w:color w:val="231F20"/>
          <w:spacing w:val="-8"/>
          <w:sz w:val="20"/>
        </w:rPr>
        <w:t xml:space="preserve"> </w:t>
      </w:r>
      <w:r>
        <w:rPr>
          <w:color w:val="231F20"/>
          <w:spacing w:val="-3"/>
          <w:sz w:val="20"/>
        </w:rPr>
        <w:t>Figure</w:t>
      </w:r>
      <w:r>
        <w:rPr>
          <w:color w:val="231F20"/>
          <w:spacing w:val="-9"/>
          <w:sz w:val="20"/>
        </w:rPr>
        <w:t xml:space="preserve"> </w:t>
      </w:r>
      <w:r>
        <w:rPr>
          <w:color w:val="231F20"/>
          <w:sz w:val="20"/>
        </w:rPr>
        <w:t>2).</w:t>
      </w:r>
      <w:r>
        <w:rPr>
          <w:color w:val="231F20"/>
          <w:position w:val="7"/>
          <w:sz w:val="11"/>
        </w:rPr>
        <w:t>104</w:t>
      </w:r>
    </w:p>
    <w:p w14:paraId="59595A32" w14:textId="77777777" w:rsidR="00894070" w:rsidRDefault="009B7AFD">
      <w:pPr>
        <w:spacing w:before="103"/>
        <w:ind w:left="1801"/>
        <w:rPr>
          <w:b/>
          <w:sz w:val="19"/>
        </w:rPr>
      </w:pPr>
      <w:r>
        <w:rPr>
          <w:b/>
          <w:color w:val="231F20"/>
          <w:sz w:val="19"/>
        </w:rPr>
        <w:t>Figure 2: Referrals from courts to DSCV over time</w:t>
      </w:r>
    </w:p>
    <w:p w14:paraId="53E61C96" w14:textId="77777777" w:rsidR="00894070" w:rsidRDefault="009F6793">
      <w:pPr>
        <w:pStyle w:val="BodyText"/>
        <w:spacing w:before="4"/>
        <w:rPr>
          <w:b/>
          <w:sz w:val="9"/>
        </w:rPr>
      </w:pPr>
      <w:r>
        <w:pict w14:anchorId="3A33858B">
          <v:group id="_x0000_s1326" style="position:absolute;margin-left:119.05pt;margin-top:8.7pt;width:328.8pt;height:191.5pt;z-index:251662336;mso-wrap-distance-left:0;mso-wrap-distance-right:0;mso-position-horizontal-relative:page" coordorigin="2381,174" coordsize="6576,3830">
            <v:shape id="_x0000_s1328" type="#_x0000_t75" alt="Chart, line chart  Description automatically generated" style="position:absolute;left:2386;top:178;width:6566;height:3800">
              <v:imagedata r:id="rId158" o:title=""/>
            </v:shape>
            <v:rect id="_x0000_s1327" style="position:absolute;left:2386;top:178;width:6566;height:3820" filled="f" strokecolor="#bcbec0" strokeweight=".5pt"/>
            <w10:wrap type="topAndBottom" anchorx="page"/>
          </v:group>
        </w:pict>
      </w:r>
    </w:p>
    <w:p w14:paraId="3DE379F6" w14:textId="77777777" w:rsidR="00894070" w:rsidRDefault="00894070">
      <w:pPr>
        <w:pStyle w:val="BodyText"/>
        <w:rPr>
          <w:b/>
        </w:rPr>
      </w:pPr>
    </w:p>
    <w:p w14:paraId="5ACAB98B" w14:textId="77777777" w:rsidR="00894070" w:rsidRDefault="00894070">
      <w:pPr>
        <w:pStyle w:val="BodyText"/>
        <w:spacing w:before="11"/>
        <w:rPr>
          <w:b/>
          <w:sz w:val="17"/>
        </w:rPr>
      </w:pPr>
    </w:p>
    <w:p w14:paraId="2E3CE7E8" w14:textId="77777777" w:rsidR="00894070" w:rsidRDefault="009B7AFD">
      <w:pPr>
        <w:pStyle w:val="ListParagraph"/>
        <w:numPr>
          <w:ilvl w:val="1"/>
          <w:numId w:val="102"/>
        </w:numPr>
        <w:tabs>
          <w:tab w:val="left" w:pos="1801"/>
          <w:tab w:val="left" w:pos="1802"/>
        </w:tabs>
        <w:spacing w:line="206" w:lineRule="auto"/>
        <w:ind w:right="1830"/>
        <w:rPr>
          <w:sz w:val="11"/>
        </w:rPr>
      </w:pPr>
      <w:r>
        <w:rPr>
          <w:color w:val="231F20"/>
          <w:spacing w:val="-6"/>
          <w:sz w:val="20"/>
        </w:rPr>
        <w:t xml:space="preserve">We </w:t>
      </w:r>
      <w:r>
        <w:rPr>
          <w:color w:val="231F20"/>
          <w:sz w:val="20"/>
        </w:rPr>
        <w:t xml:space="preserve">heard some support </w:t>
      </w:r>
      <w:r>
        <w:rPr>
          <w:color w:val="231F20"/>
          <w:spacing w:val="-3"/>
          <w:sz w:val="20"/>
        </w:rPr>
        <w:t xml:space="preserve">for </w:t>
      </w:r>
      <w:r>
        <w:rPr>
          <w:color w:val="231F20"/>
          <w:sz w:val="20"/>
        </w:rPr>
        <w:t>promoting mediation as an option in non-stalking matters.</w:t>
      </w:r>
      <w:r>
        <w:rPr>
          <w:color w:val="231F20"/>
          <w:position w:val="7"/>
          <w:sz w:val="11"/>
        </w:rPr>
        <w:t>105</w:t>
      </w:r>
      <w:r>
        <w:rPr>
          <w:color w:val="231F20"/>
          <w:spacing w:val="16"/>
          <w:position w:val="7"/>
          <w:sz w:val="11"/>
        </w:rPr>
        <w:t xml:space="preserve"> </w:t>
      </w:r>
      <w:r>
        <w:rPr>
          <w:color w:val="231F20"/>
          <w:sz w:val="20"/>
        </w:rPr>
        <w:t>The</w:t>
      </w:r>
      <w:r>
        <w:rPr>
          <w:color w:val="231F20"/>
          <w:spacing w:val="-7"/>
          <w:sz w:val="20"/>
        </w:rPr>
        <w:t xml:space="preserve"> </w:t>
      </w:r>
      <w:r>
        <w:rPr>
          <w:color w:val="231F20"/>
          <w:spacing w:val="-3"/>
          <w:sz w:val="20"/>
        </w:rPr>
        <w:t>Magistrates’</w:t>
      </w:r>
      <w:r>
        <w:rPr>
          <w:color w:val="231F20"/>
          <w:spacing w:val="-7"/>
          <w:sz w:val="20"/>
        </w:rPr>
        <w:t xml:space="preserve"> </w:t>
      </w:r>
      <w:r>
        <w:rPr>
          <w:color w:val="231F20"/>
          <w:sz w:val="20"/>
        </w:rPr>
        <w:t>Court</w:t>
      </w:r>
      <w:r>
        <w:rPr>
          <w:color w:val="231F20"/>
          <w:spacing w:val="-7"/>
          <w:sz w:val="20"/>
        </w:rPr>
        <w:t xml:space="preserve"> </w:t>
      </w:r>
      <w:r>
        <w:rPr>
          <w:color w:val="231F20"/>
          <w:spacing w:val="-3"/>
          <w:sz w:val="20"/>
        </w:rPr>
        <w:t>told</w:t>
      </w:r>
      <w:r>
        <w:rPr>
          <w:color w:val="231F20"/>
          <w:spacing w:val="-7"/>
          <w:sz w:val="20"/>
        </w:rPr>
        <w:t xml:space="preserve"> </w:t>
      </w:r>
      <w:r>
        <w:rPr>
          <w:color w:val="231F20"/>
          <w:sz w:val="20"/>
        </w:rPr>
        <w:t>us</w:t>
      </w:r>
      <w:r>
        <w:rPr>
          <w:color w:val="231F20"/>
          <w:spacing w:val="-7"/>
          <w:sz w:val="20"/>
        </w:rPr>
        <w:t xml:space="preserve"> </w:t>
      </w:r>
      <w:r>
        <w:rPr>
          <w:color w:val="231F20"/>
          <w:sz w:val="20"/>
        </w:rPr>
        <w:t>that</w:t>
      </w:r>
      <w:r>
        <w:rPr>
          <w:color w:val="231F20"/>
          <w:spacing w:val="-8"/>
          <w:sz w:val="20"/>
        </w:rPr>
        <w:t xml:space="preserve"> </w:t>
      </w:r>
      <w:r>
        <w:rPr>
          <w:color w:val="231F20"/>
          <w:sz w:val="20"/>
        </w:rPr>
        <w:t>more</w:t>
      </w:r>
      <w:r>
        <w:rPr>
          <w:color w:val="231F20"/>
          <w:spacing w:val="-7"/>
          <w:sz w:val="20"/>
        </w:rPr>
        <w:t xml:space="preserve"> </w:t>
      </w:r>
      <w:r>
        <w:rPr>
          <w:color w:val="231F20"/>
          <w:sz w:val="20"/>
        </w:rPr>
        <w:t>could</w:t>
      </w:r>
      <w:r>
        <w:rPr>
          <w:color w:val="231F20"/>
          <w:spacing w:val="-7"/>
          <w:sz w:val="20"/>
        </w:rPr>
        <w:t xml:space="preserve"> </w:t>
      </w:r>
      <w:r>
        <w:rPr>
          <w:color w:val="231F20"/>
          <w:sz w:val="20"/>
        </w:rPr>
        <w:t>be</w:t>
      </w:r>
      <w:r>
        <w:rPr>
          <w:color w:val="231F20"/>
          <w:spacing w:val="-7"/>
          <w:sz w:val="20"/>
        </w:rPr>
        <w:t xml:space="preserve"> </w:t>
      </w:r>
      <w:r>
        <w:rPr>
          <w:color w:val="231F20"/>
          <w:sz w:val="20"/>
        </w:rPr>
        <w:t>done</w:t>
      </w:r>
      <w:r>
        <w:rPr>
          <w:color w:val="231F20"/>
          <w:spacing w:val="-7"/>
          <w:sz w:val="20"/>
        </w:rPr>
        <w:t xml:space="preserve"> </w:t>
      </w:r>
      <w:r>
        <w:rPr>
          <w:color w:val="231F20"/>
          <w:sz w:val="20"/>
        </w:rPr>
        <w:t>to</w:t>
      </w:r>
      <w:r>
        <w:rPr>
          <w:color w:val="231F20"/>
          <w:spacing w:val="-7"/>
          <w:sz w:val="20"/>
        </w:rPr>
        <w:t xml:space="preserve"> </w:t>
      </w:r>
      <w:r>
        <w:rPr>
          <w:color w:val="231F20"/>
          <w:sz w:val="20"/>
        </w:rPr>
        <w:t>encourage mediation in cases where it was</w:t>
      </w:r>
      <w:r>
        <w:rPr>
          <w:color w:val="231F20"/>
          <w:spacing w:val="-27"/>
          <w:sz w:val="20"/>
        </w:rPr>
        <w:t xml:space="preserve"> </w:t>
      </w:r>
      <w:r>
        <w:rPr>
          <w:color w:val="231F20"/>
          <w:sz w:val="20"/>
        </w:rPr>
        <w:t>safe.</w:t>
      </w:r>
      <w:r>
        <w:rPr>
          <w:color w:val="231F20"/>
          <w:position w:val="7"/>
          <w:sz w:val="11"/>
        </w:rPr>
        <w:t>106</w:t>
      </w:r>
    </w:p>
    <w:p w14:paraId="71998406" w14:textId="77777777" w:rsidR="00894070" w:rsidRDefault="009B7AFD">
      <w:pPr>
        <w:pStyle w:val="ListParagraph"/>
        <w:numPr>
          <w:ilvl w:val="1"/>
          <w:numId w:val="102"/>
        </w:numPr>
        <w:tabs>
          <w:tab w:val="left" w:pos="1801"/>
          <w:tab w:val="left" w:pos="1802"/>
        </w:tabs>
        <w:spacing w:before="124" w:line="206" w:lineRule="auto"/>
        <w:ind w:right="1215"/>
        <w:rPr>
          <w:sz w:val="20"/>
        </w:rPr>
      </w:pPr>
      <w:r>
        <w:rPr>
          <w:color w:val="231F20"/>
          <w:sz w:val="20"/>
        </w:rPr>
        <w:t xml:space="preserve">Strengthening </w:t>
      </w:r>
      <w:r>
        <w:rPr>
          <w:color w:val="231F20"/>
          <w:spacing w:val="-4"/>
          <w:sz w:val="20"/>
        </w:rPr>
        <w:t xml:space="preserve">pathways </w:t>
      </w:r>
      <w:r>
        <w:rPr>
          <w:color w:val="231F20"/>
          <w:sz w:val="20"/>
        </w:rPr>
        <w:t xml:space="preserve">to mediation </w:t>
      </w:r>
      <w:r>
        <w:rPr>
          <w:color w:val="231F20"/>
          <w:spacing w:val="-3"/>
          <w:sz w:val="20"/>
        </w:rPr>
        <w:t xml:space="preserve">for </w:t>
      </w:r>
      <w:r>
        <w:rPr>
          <w:color w:val="231F20"/>
          <w:sz w:val="20"/>
        </w:rPr>
        <w:t xml:space="preserve">non-stalking PSIO matters could </w:t>
      </w:r>
      <w:r>
        <w:rPr>
          <w:color w:val="231F20"/>
          <w:spacing w:val="-3"/>
          <w:sz w:val="20"/>
        </w:rPr>
        <w:t>relieve pressure</w:t>
      </w:r>
      <w:r>
        <w:rPr>
          <w:color w:val="231F20"/>
          <w:spacing w:val="-6"/>
          <w:sz w:val="20"/>
        </w:rPr>
        <w:t xml:space="preserve"> </w:t>
      </w:r>
      <w:r>
        <w:rPr>
          <w:color w:val="231F20"/>
          <w:sz w:val="20"/>
        </w:rPr>
        <w:t>on</w:t>
      </w:r>
      <w:r>
        <w:rPr>
          <w:color w:val="231F20"/>
          <w:spacing w:val="-6"/>
          <w:sz w:val="20"/>
        </w:rPr>
        <w:t xml:space="preserve"> </w:t>
      </w:r>
      <w:r>
        <w:rPr>
          <w:color w:val="231F20"/>
          <w:sz w:val="20"/>
        </w:rPr>
        <w:t>the</w:t>
      </w:r>
      <w:r>
        <w:rPr>
          <w:color w:val="231F20"/>
          <w:spacing w:val="-6"/>
          <w:sz w:val="20"/>
        </w:rPr>
        <w:t xml:space="preserve"> </w:t>
      </w:r>
      <w:r>
        <w:rPr>
          <w:color w:val="231F20"/>
          <w:sz w:val="20"/>
        </w:rPr>
        <w:t>PSIO</w:t>
      </w:r>
      <w:r>
        <w:rPr>
          <w:color w:val="231F20"/>
          <w:spacing w:val="-6"/>
          <w:sz w:val="20"/>
        </w:rPr>
        <w:t xml:space="preserve"> </w:t>
      </w:r>
      <w:r>
        <w:rPr>
          <w:color w:val="231F20"/>
          <w:sz w:val="20"/>
        </w:rPr>
        <w:t>system.</w:t>
      </w:r>
      <w:r>
        <w:rPr>
          <w:color w:val="231F20"/>
          <w:spacing w:val="-6"/>
          <w:sz w:val="20"/>
        </w:rPr>
        <w:t xml:space="preserve"> </w:t>
      </w:r>
      <w:r>
        <w:rPr>
          <w:color w:val="231F20"/>
          <w:sz w:val="20"/>
        </w:rPr>
        <w:t>It</w:t>
      </w:r>
      <w:r>
        <w:rPr>
          <w:color w:val="231F20"/>
          <w:spacing w:val="-5"/>
          <w:sz w:val="20"/>
        </w:rPr>
        <w:t xml:space="preserve"> </w:t>
      </w:r>
      <w:r>
        <w:rPr>
          <w:color w:val="231F20"/>
          <w:spacing w:val="-3"/>
          <w:sz w:val="20"/>
        </w:rPr>
        <w:t>would</w:t>
      </w:r>
      <w:r>
        <w:rPr>
          <w:color w:val="231F20"/>
          <w:spacing w:val="-6"/>
          <w:sz w:val="20"/>
        </w:rPr>
        <w:t xml:space="preserve"> </w:t>
      </w:r>
      <w:r>
        <w:rPr>
          <w:color w:val="231F20"/>
          <w:spacing w:val="-3"/>
          <w:sz w:val="20"/>
        </w:rPr>
        <w:t>give</w:t>
      </w:r>
      <w:r>
        <w:rPr>
          <w:color w:val="231F20"/>
          <w:spacing w:val="-6"/>
          <w:sz w:val="20"/>
        </w:rPr>
        <w:t xml:space="preserve"> </w:t>
      </w:r>
      <w:r>
        <w:rPr>
          <w:color w:val="231F20"/>
          <w:sz w:val="20"/>
        </w:rPr>
        <w:t>the</w:t>
      </w:r>
      <w:r>
        <w:rPr>
          <w:color w:val="231F20"/>
          <w:spacing w:val="-6"/>
          <w:sz w:val="20"/>
        </w:rPr>
        <w:t xml:space="preserve"> </w:t>
      </w:r>
      <w:r>
        <w:rPr>
          <w:color w:val="231F20"/>
          <w:spacing w:val="-2"/>
          <w:sz w:val="20"/>
        </w:rPr>
        <w:t>system</w:t>
      </w:r>
      <w:r>
        <w:rPr>
          <w:color w:val="231F20"/>
          <w:spacing w:val="-6"/>
          <w:sz w:val="20"/>
        </w:rPr>
        <w:t xml:space="preserve"> </w:t>
      </w:r>
      <w:r>
        <w:rPr>
          <w:color w:val="231F20"/>
          <w:sz w:val="20"/>
        </w:rPr>
        <w:t>a</w:t>
      </w:r>
      <w:r>
        <w:rPr>
          <w:color w:val="231F20"/>
          <w:spacing w:val="-6"/>
          <w:sz w:val="20"/>
        </w:rPr>
        <w:t xml:space="preserve"> </w:t>
      </w:r>
      <w:r>
        <w:rPr>
          <w:color w:val="231F20"/>
          <w:sz w:val="20"/>
        </w:rPr>
        <w:t>stronger</w:t>
      </w:r>
      <w:r>
        <w:rPr>
          <w:color w:val="231F20"/>
          <w:spacing w:val="-5"/>
          <w:sz w:val="20"/>
        </w:rPr>
        <w:t xml:space="preserve"> </w:t>
      </w:r>
      <w:r>
        <w:rPr>
          <w:color w:val="231F20"/>
          <w:spacing w:val="-3"/>
          <w:sz w:val="20"/>
        </w:rPr>
        <w:t>focus</w:t>
      </w:r>
      <w:r>
        <w:rPr>
          <w:color w:val="231F20"/>
          <w:spacing w:val="-6"/>
          <w:sz w:val="20"/>
        </w:rPr>
        <w:t xml:space="preserve"> </w:t>
      </w:r>
      <w:r>
        <w:rPr>
          <w:color w:val="231F20"/>
          <w:sz w:val="20"/>
        </w:rPr>
        <w:t>on</w:t>
      </w:r>
      <w:r>
        <w:rPr>
          <w:color w:val="231F20"/>
          <w:spacing w:val="-6"/>
          <w:sz w:val="20"/>
        </w:rPr>
        <w:t xml:space="preserve"> </w:t>
      </w:r>
      <w:r>
        <w:rPr>
          <w:color w:val="231F20"/>
          <w:sz w:val="20"/>
        </w:rPr>
        <w:t>stalking</w:t>
      </w:r>
      <w:r>
        <w:rPr>
          <w:color w:val="231F20"/>
          <w:spacing w:val="-6"/>
          <w:sz w:val="20"/>
        </w:rPr>
        <w:t xml:space="preserve"> </w:t>
      </w:r>
      <w:r>
        <w:rPr>
          <w:color w:val="231F20"/>
          <w:sz w:val="20"/>
        </w:rPr>
        <w:t>and more serious</w:t>
      </w:r>
      <w:r>
        <w:rPr>
          <w:color w:val="231F20"/>
          <w:spacing w:val="-9"/>
          <w:sz w:val="20"/>
        </w:rPr>
        <w:t xml:space="preserve"> </w:t>
      </w:r>
      <w:r>
        <w:rPr>
          <w:color w:val="231F20"/>
          <w:sz w:val="20"/>
        </w:rPr>
        <w:t>matters.</w:t>
      </w:r>
    </w:p>
    <w:p w14:paraId="296AC4BB" w14:textId="77777777" w:rsidR="00894070" w:rsidRDefault="009B7AFD">
      <w:pPr>
        <w:pStyle w:val="ListParagraph"/>
        <w:numPr>
          <w:ilvl w:val="1"/>
          <w:numId w:val="102"/>
        </w:numPr>
        <w:tabs>
          <w:tab w:val="left" w:pos="1801"/>
          <w:tab w:val="left" w:pos="1802"/>
        </w:tabs>
        <w:spacing w:before="123" w:line="206" w:lineRule="auto"/>
        <w:ind w:right="1272"/>
        <w:rPr>
          <w:sz w:val="20"/>
        </w:rPr>
      </w:pPr>
      <w:r>
        <w:rPr>
          <w:color w:val="231F20"/>
          <w:sz w:val="20"/>
        </w:rPr>
        <w:t>Data</w:t>
      </w:r>
      <w:r>
        <w:rPr>
          <w:color w:val="231F20"/>
          <w:spacing w:val="-9"/>
          <w:sz w:val="20"/>
        </w:rPr>
        <w:t xml:space="preserve"> </w:t>
      </w:r>
      <w:r>
        <w:rPr>
          <w:color w:val="231F20"/>
          <w:spacing w:val="-3"/>
          <w:sz w:val="20"/>
        </w:rPr>
        <w:t>from</w:t>
      </w:r>
      <w:r>
        <w:rPr>
          <w:color w:val="231F20"/>
          <w:spacing w:val="-8"/>
          <w:sz w:val="20"/>
        </w:rPr>
        <w:t xml:space="preserve"> </w:t>
      </w:r>
      <w:r>
        <w:rPr>
          <w:color w:val="231F20"/>
          <w:sz w:val="20"/>
        </w:rPr>
        <w:t>the</w:t>
      </w:r>
      <w:r>
        <w:rPr>
          <w:color w:val="231F20"/>
          <w:spacing w:val="-9"/>
          <w:sz w:val="20"/>
        </w:rPr>
        <w:t xml:space="preserve"> </w:t>
      </w:r>
      <w:r>
        <w:rPr>
          <w:color w:val="231F20"/>
          <w:sz w:val="20"/>
        </w:rPr>
        <w:t>DSCV</w:t>
      </w:r>
      <w:r>
        <w:rPr>
          <w:color w:val="231F20"/>
          <w:spacing w:val="-8"/>
          <w:sz w:val="20"/>
        </w:rPr>
        <w:t xml:space="preserve"> </w:t>
      </w:r>
      <w:r>
        <w:rPr>
          <w:color w:val="231F20"/>
          <w:sz w:val="20"/>
        </w:rPr>
        <w:t>confirms</w:t>
      </w:r>
      <w:r>
        <w:rPr>
          <w:color w:val="231F20"/>
          <w:spacing w:val="-9"/>
          <w:sz w:val="20"/>
        </w:rPr>
        <w:t xml:space="preserve"> </w:t>
      </w:r>
      <w:r>
        <w:rPr>
          <w:color w:val="231F20"/>
          <w:sz w:val="20"/>
        </w:rPr>
        <w:t>that</w:t>
      </w:r>
      <w:r>
        <w:rPr>
          <w:color w:val="231F20"/>
          <w:spacing w:val="-8"/>
          <w:sz w:val="20"/>
        </w:rPr>
        <w:t xml:space="preserve"> </w:t>
      </w:r>
      <w:r>
        <w:rPr>
          <w:color w:val="231F20"/>
          <w:spacing w:val="-3"/>
          <w:sz w:val="20"/>
        </w:rPr>
        <w:t>referring</w:t>
      </w:r>
      <w:r>
        <w:rPr>
          <w:color w:val="231F20"/>
          <w:spacing w:val="-8"/>
          <w:sz w:val="20"/>
        </w:rPr>
        <w:t xml:space="preserve"> </w:t>
      </w:r>
      <w:r>
        <w:rPr>
          <w:color w:val="231F20"/>
          <w:sz w:val="20"/>
        </w:rPr>
        <w:t>disputes</w:t>
      </w:r>
      <w:r>
        <w:rPr>
          <w:color w:val="231F20"/>
          <w:spacing w:val="-9"/>
          <w:sz w:val="20"/>
        </w:rPr>
        <w:t xml:space="preserve"> </w:t>
      </w:r>
      <w:r>
        <w:rPr>
          <w:color w:val="231F20"/>
          <w:sz w:val="20"/>
        </w:rPr>
        <w:t>to</w:t>
      </w:r>
      <w:r>
        <w:rPr>
          <w:color w:val="231F20"/>
          <w:spacing w:val="-8"/>
          <w:sz w:val="20"/>
        </w:rPr>
        <w:t xml:space="preserve"> </w:t>
      </w:r>
      <w:r>
        <w:rPr>
          <w:color w:val="231F20"/>
          <w:sz w:val="20"/>
        </w:rPr>
        <w:t>the</w:t>
      </w:r>
      <w:r>
        <w:rPr>
          <w:color w:val="231F20"/>
          <w:spacing w:val="-9"/>
          <w:sz w:val="20"/>
        </w:rPr>
        <w:t xml:space="preserve"> </w:t>
      </w:r>
      <w:r>
        <w:rPr>
          <w:color w:val="231F20"/>
          <w:sz w:val="20"/>
        </w:rPr>
        <w:t>DSCV</w:t>
      </w:r>
      <w:r>
        <w:rPr>
          <w:color w:val="231F20"/>
          <w:spacing w:val="-8"/>
          <w:sz w:val="20"/>
        </w:rPr>
        <w:t xml:space="preserve"> </w:t>
      </w:r>
      <w:r>
        <w:rPr>
          <w:color w:val="231F20"/>
          <w:spacing w:val="-3"/>
          <w:sz w:val="20"/>
        </w:rPr>
        <w:t>saves</w:t>
      </w:r>
      <w:r>
        <w:rPr>
          <w:color w:val="231F20"/>
          <w:spacing w:val="-9"/>
          <w:sz w:val="20"/>
        </w:rPr>
        <w:t xml:space="preserve"> </w:t>
      </w:r>
      <w:r>
        <w:rPr>
          <w:color w:val="231F20"/>
          <w:sz w:val="20"/>
        </w:rPr>
        <w:t>court</w:t>
      </w:r>
      <w:r>
        <w:rPr>
          <w:color w:val="231F20"/>
          <w:spacing w:val="-8"/>
          <w:sz w:val="20"/>
        </w:rPr>
        <w:t xml:space="preserve"> </w:t>
      </w:r>
      <w:r>
        <w:rPr>
          <w:color w:val="231F20"/>
          <w:spacing w:val="-3"/>
          <w:sz w:val="20"/>
        </w:rPr>
        <w:t>days</w:t>
      </w:r>
      <w:r>
        <w:rPr>
          <w:color w:val="231F20"/>
          <w:spacing w:val="-8"/>
          <w:sz w:val="20"/>
        </w:rPr>
        <w:t xml:space="preserve"> </w:t>
      </w:r>
      <w:r>
        <w:rPr>
          <w:color w:val="231F20"/>
          <w:sz w:val="20"/>
        </w:rPr>
        <w:t xml:space="preserve">and </w:t>
      </w:r>
      <w:r>
        <w:rPr>
          <w:color w:val="231F20"/>
          <w:spacing w:val="-3"/>
          <w:sz w:val="20"/>
        </w:rPr>
        <w:t xml:space="preserve">reduces delays for </w:t>
      </w:r>
      <w:r>
        <w:rPr>
          <w:color w:val="231F20"/>
          <w:sz w:val="20"/>
        </w:rPr>
        <w:t>other matters.</w:t>
      </w:r>
      <w:r>
        <w:rPr>
          <w:color w:val="231F20"/>
          <w:position w:val="7"/>
          <w:sz w:val="11"/>
        </w:rPr>
        <w:t xml:space="preserve">107 </w:t>
      </w:r>
      <w:r>
        <w:rPr>
          <w:color w:val="231F20"/>
          <w:sz w:val="20"/>
        </w:rPr>
        <w:t xml:space="preserve">The DSCV </w:t>
      </w:r>
      <w:r>
        <w:rPr>
          <w:color w:val="231F20"/>
          <w:spacing w:val="-3"/>
          <w:sz w:val="20"/>
        </w:rPr>
        <w:t xml:space="preserve">told </w:t>
      </w:r>
      <w:r>
        <w:rPr>
          <w:color w:val="231F20"/>
          <w:sz w:val="20"/>
        </w:rPr>
        <w:t>us that it has capacity to take on more</w:t>
      </w:r>
      <w:r>
        <w:rPr>
          <w:color w:val="231F20"/>
          <w:spacing w:val="-5"/>
          <w:sz w:val="20"/>
        </w:rPr>
        <w:t xml:space="preserve"> </w:t>
      </w:r>
      <w:r>
        <w:rPr>
          <w:color w:val="231F20"/>
          <w:sz w:val="20"/>
        </w:rPr>
        <w:t>mediations.</w:t>
      </w:r>
    </w:p>
    <w:p w14:paraId="0009F8CD" w14:textId="77777777" w:rsidR="00894070" w:rsidRDefault="009B7AFD">
      <w:pPr>
        <w:pStyle w:val="ListParagraph"/>
        <w:numPr>
          <w:ilvl w:val="1"/>
          <w:numId w:val="102"/>
        </w:numPr>
        <w:tabs>
          <w:tab w:val="left" w:pos="1801"/>
          <w:tab w:val="left" w:pos="1802"/>
        </w:tabs>
        <w:spacing w:before="124" w:line="206" w:lineRule="auto"/>
        <w:ind w:right="1310"/>
        <w:rPr>
          <w:sz w:val="20"/>
        </w:rPr>
      </w:pPr>
      <w:r>
        <w:rPr>
          <w:color w:val="231F20"/>
          <w:sz w:val="20"/>
        </w:rPr>
        <w:t xml:space="preserve">Rather than </w:t>
      </w:r>
      <w:r>
        <w:rPr>
          <w:color w:val="231F20"/>
          <w:spacing w:val="-3"/>
          <w:sz w:val="20"/>
        </w:rPr>
        <w:t xml:space="preserve">‘downgrading’ </w:t>
      </w:r>
      <w:r>
        <w:rPr>
          <w:color w:val="231F20"/>
          <w:sz w:val="20"/>
        </w:rPr>
        <w:t xml:space="preserve">or giving these disputes a lesser </w:t>
      </w:r>
      <w:r>
        <w:rPr>
          <w:color w:val="231F20"/>
          <w:spacing w:val="-3"/>
          <w:sz w:val="20"/>
        </w:rPr>
        <w:t xml:space="preserve">form </w:t>
      </w:r>
      <w:r>
        <w:rPr>
          <w:color w:val="231F20"/>
          <w:sz w:val="20"/>
        </w:rPr>
        <w:t xml:space="preserve">of justice </w:t>
      </w:r>
      <w:r>
        <w:rPr>
          <w:color w:val="231F20"/>
          <w:spacing w:val="-3"/>
          <w:sz w:val="20"/>
        </w:rPr>
        <w:t xml:space="preserve">(than </w:t>
      </w:r>
      <w:r>
        <w:rPr>
          <w:color w:val="231F20"/>
          <w:sz w:val="20"/>
        </w:rPr>
        <w:t xml:space="preserve">the courts), mediation </w:t>
      </w:r>
      <w:r>
        <w:rPr>
          <w:color w:val="231F20"/>
          <w:spacing w:val="-3"/>
          <w:sz w:val="20"/>
        </w:rPr>
        <w:t xml:space="preserve">may </w:t>
      </w:r>
      <w:r>
        <w:rPr>
          <w:color w:val="231F20"/>
          <w:sz w:val="20"/>
        </w:rPr>
        <w:t xml:space="preserve">in fact lead to better outcomes. An </w:t>
      </w:r>
      <w:r>
        <w:rPr>
          <w:color w:val="231F20"/>
          <w:spacing w:val="-3"/>
          <w:sz w:val="20"/>
        </w:rPr>
        <w:t xml:space="preserve">example </w:t>
      </w:r>
      <w:r>
        <w:rPr>
          <w:color w:val="231F20"/>
          <w:sz w:val="20"/>
        </w:rPr>
        <w:t>of this is where there</w:t>
      </w:r>
      <w:r>
        <w:rPr>
          <w:color w:val="231F20"/>
          <w:spacing w:val="-12"/>
          <w:sz w:val="20"/>
        </w:rPr>
        <w:t xml:space="preserve"> </w:t>
      </w:r>
      <w:r>
        <w:rPr>
          <w:color w:val="231F20"/>
          <w:sz w:val="20"/>
        </w:rPr>
        <w:t>is</w:t>
      </w:r>
      <w:r>
        <w:rPr>
          <w:color w:val="231F20"/>
          <w:spacing w:val="-12"/>
          <w:sz w:val="20"/>
        </w:rPr>
        <w:t xml:space="preserve"> </w:t>
      </w:r>
      <w:r>
        <w:rPr>
          <w:color w:val="231F20"/>
          <w:sz w:val="20"/>
        </w:rPr>
        <w:t>an</w:t>
      </w:r>
      <w:r>
        <w:rPr>
          <w:color w:val="231F20"/>
          <w:spacing w:val="-11"/>
          <w:sz w:val="20"/>
        </w:rPr>
        <w:t xml:space="preserve"> </w:t>
      </w:r>
      <w:r>
        <w:rPr>
          <w:color w:val="231F20"/>
          <w:sz w:val="20"/>
        </w:rPr>
        <w:t>existing</w:t>
      </w:r>
      <w:r>
        <w:rPr>
          <w:color w:val="231F20"/>
          <w:spacing w:val="-12"/>
          <w:sz w:val="20"/>
        </w:rPr>
        <w:t xml:space="preserve"> </w:t>
      </w:r>
      <w:r>
        <w:rPr>
          <w:color w:val="231F20"/>
          <w:sz w:val="20"/>
        </w:rPr>
        <w:t>relationship</w:t>
      </w:r>
      <w:r>
        <w:rPr>
          <w:color w:val="231F20"/>
          <w:spacing w:val="-12"/>
          <w:sz w:val="20"/>
        </w:rPr>
        <w:t xml:space="preserve"> </w:t>
      </w:r>
      <w:r>
        <w:rPr>
          <w:color w:val="231F20"/>
          <w:sz w:val="20"/>
        </w:rPr>
        <w:t>to</w:t>
      </w:r>
      <w:r>
        <w:rPr>
          <w:color w:val="231F20"/>
          <w:spacing w:val="-11"/>
          <w:sz w:val="20"/>
        </w:rPr>
        <w:t xml:space="preserve"> </w:t>
      </w:r>
      <w:r>
        <w:rPr>
          <w:color w:val="231F20"/>
          <w:sz w:val="20"/>
        </w:rPr>
        <w:t>be</w:t>
      </w:r>
      <w:r>
        <w:rPr>
          <w:color w:val="231F20"/>
          <w:spacing w:val="-12"/>
          <w:sz w:val="20"/>
        </w:rPr>
        <w:t xml:space="preserve"> </w:t>
      </w:r>
      <w:r>
        <w:rPr>
          <w:color w:val="231F20"/>
          <w:sz w:val="20"/>
        </w:rPr>
        <w:t>preserved,</w:t>
      </w:r>
      <w:r>
        <w:rPr>
          <w:color w:val="231F20"/>
          <w:spacing w:val="-11"/>
          <w:sz w:val="20"/>
        </w:rPr>
        <w:t xml:space="preserve"> </w:t>
      </w:r>
      <w:r>
        <w:rPr>
          <w:color w:val="231F20"/>
          <w:sz w:val="20"/>
        </w:rPr>
        <w:t>such</w:t>
      </w:r>
      <w:r>
        <w:rPr>
          <w:color w:val="231F20"/>
          <w:spacing w:val="-12"/>
          <w:sz w:val="20"/>
        </w:rPr>
        <w:t xml:space="preserve"> </w:t>
      </w:r>
      <w:r>
        <w:rPr>
          <w:color w:val="231F20"/>
          <w:sz w:val="20"/>
        </w:rPr>
        <w:t>as</w:t>
      </w:r>
      <w:r>
        <w:rPr>
          <w:color w:val="231F20"/>
          <w:spacing w:val="-12"/>
          <w:sz w:val="20"/>
        </w:rPr>
        <w:t xml:space="preserve"> </w:t>
      </w:r>
      <w:r>
        <w:rPr>
          <w:color w:val="231F20"/>
          <w:sz w:val="20"/>
        </w:rPr>
        <w:t>in</w:t>
      </w:r>
      <w:r>
        <w:rPr>
          <w:color w:val="231F20"/>
          <w:spacing w:val="-11"/>
          <w:sz w:val="20"/>
        </w:rPr>
        <w:t xml:space="preserve"> </w:t>
      </w:r>
      <w:r>
        <w:rPr>
          <w:color w:val="231F20"/>
          <w:sz w:val="20"/>
        </w:rPr>
        <w:t>neighbour</w:t>
      </w:r>
      <w:r>
        <w:rPr>
          <w:color w:val="231F20"/>
          <w:spacing w:val="-12"/>
          <w:sz w:val="20"/>
        </w:rPr>
        <w:t xml:space="preserve"> </w:t>
      </w:r>
      <w:r>
        <w:rPr>
          <w:color w:val="231F20"/>
          <w:sz w:val="20"/>
        </w:rPr>
        <w:t>dispute</w:t>
      </w:r>
      <w:r>
        <w:rPr>
          <w:color w:val="231F20"/>
          <w:spacing w:val="-12"/>
          <w:sz w:val="20"/>
        </w:rPr>
        <w:t xml:space="preserve"> </w:t>
      </w:r>
      <w:r>
        <w:rPr>
          <w:color w:val="231F20"/>
          <w:sz w:val="20"/>
        </w:rPr>
        <w:t>matters.</w:t>
      </w:r>
    </w:p>
    <w:p w14:paraId="199A9329" w14:textId="77777777" w:rsidR="00894070" w:rsidRDefault="009B7AFD">
      <w:pPr>
        <w:pStyle w:val="ListParagraph"/>
        <w:numPr>
          <w:ilvl w:val="1"/>
          <w:numId w:val="102"/>
        </w:numPr>
        <w:tabs>
          <w:tab w:val="left" w:pos="1801"/>
          <w:tab w:val="left" w:pos="1802"/>
        </w:tabs>
        <w:spacing w:before="124" w:line="206" w:lineRule="auto"/>
        <w:ind w:right="1165"/>
        <w:rPr>
          <w:sz w:val="20"/>
        </w:rPr>
      </w:pPr>
      <w:r>
        <w:rPr>
          <w:color w:val="231F20"/>
          <w:spacing w:val="-4"/>
          <w:sz w:val="20"/>
        </w:rPr>
        <w:t>Pathways</w:t>
      </w:r>
      <w:r>
        <w:rPr>
          <w:color w:val="231F20"/>
          <w:spacing w:val="-10"/>
          <w:sz w:val="20"/>
        </w:rPr>
        <w:t xml:space="preserve"> </w:t>
      </w:r>
      <w:r>
        <w:rPr>
          <w:color w:val="231F20"/>
          <w:sz w:val="20"/>
        </w:rPr>
        <w:t>to</w:t>
      </w:r>
      <w:r>
        <w:rPr>
          <w:color w:val="231F20"/>
          <w:spacing w:val="-10"/>
          <w:sz w:val="20"/>
        </w:rPr>
        <w:t xml:space="preserve"> </w:t>
      </w:r>
      <w:r>
        <w:rPr>
          <w:color w:val="231F20"/>
          <w:sz w:val="20"/>
        </w:rPr>
        <w:t>mediation</w:t>
      </w:r>
      <w:r>
        <w:rPr>
          <w:color w:val="231F20"/>
          <w:spacing w:val="-9"/>
          <w:sz w:val="20"/>
        </w:rPr>
        <w:t xml:space="preserve"> </w:t>
      </w:r>
      <w:r>
        <w:rPr>
          <w:color w:val="231F20"/>
          <w:sz w:val="20"/>
        </w:rPr>
        <w:t>can</w:t>
      </w:r>
      <w:r>
        <w:rPr>
          <w:color w:val="231F20"/>
          <w:spacing w:val="-10"/>
          <w:sz w:val="20"/>
        </w:rPr>
        <w:t xml:space="preserve"> </w:t>
      </w:r>
      <w:r>
        <w:rPr>
          <w:color w:val="231F20"/>
          <w:sz w:val="20"/>
        </w:rPr>
        <w:t>be</w:t>
      </w:r>
      <w:r>
        <w:rPr>
          <w:color w:val="231F20"/>
          <w:spacing w:val="-9"/>
          <w:sz w:val="20"/>
        </w:rPr>
        <w:t xml:space="preserve"> </w:t>
      </w:r>
      <w:r>
        <w:rPr>
          <w:color w:val="231F20"/>
          <w:sz w:val="20"/>
        </w:rPr>
        <w:t>strengthened</w:t>
      </w:r>
      <w:r>
        <w:rPr>
          <w:color w:val="231F20"/>
          <w:spacing w:val="-10"/>
          <w:sz w:val="20"/>
        </w:rPr>
        <w:t xml:space="preserve"> </w:t>
      </w:r>
      <w:r>
        <w:rPr>
          <w:color w:val="231F20"/>
          <w:sz w:val="20"/>
        </w:rPr>
        <w:t>using</w:t>
      </w:r>
      <w:r>
        <w:rPr>
          <w:color w:val="231F20"/>
          <w:spacing w:val="-10"/>
          <w:sz w:val="20"/>
        </w:rPr>
        <w:t xml:space="preserve"> </w:t>
      </w:r>
      <w:r>
        <w:rPr>
          <w:color w:val="231F20"/>
          <w:sz w:val="20"/>
        </w:rPr>
        <w:t>existing</w:t>
      </w:r>
      <w:r>
        <w:rPr>
          <w:color w:val="231F20"/>
          <w:spacing w:val="-9"/>
          <w:sz w:val="20"/>
        </w:rPr>
        <w:t xml:space="preserve"> </w:t>
      </w:r>
      <w:r>
        <w:rPr>
          <w:color w:val="231F20"/>
          <w:sz w:val="20"/>
        </w:rPr>
        <w:t>law</w:t>
      </w:r>
      <w:r>
        <w:rPr>
          <w:color w:val="231F20"/>
          <w:spacing w:val="-10"/>
          <w:sz w:val="20"/>
        </w:rPr>
        <w:t xml:space="preserve"> </w:t>
      </w:r>
      <w:r>
        <w:rPr>
          <w:color w:val="231F20"/>
          <w:sz w:val="20"/>
        </w:rPr>
        <w:t>and</w:t>
      </w:r>
      <w:r>
        <w:rPr>
          <w:color w:val="231F20"/>
          <w:spacing w:val="-9"/>
          <w:sz w:val="20"/>
        </w:rPr>
        <w:t xml:space="preserve"> </w:t>
      </w:r>
      <w:r>
        <w:rPr>
          <w:color w:val="231F20"/>
          <w:spacing w:val="-3"/>
          <w:sz w:val="20"/>
        </w:rPr>
        <w:t>structures</w:t>
      </w:r>
      <w:r>
        <w:rPr>
          <w:color w:val="231F20"/>
          <w:spacing w:val="-10"/>
          <w:sz w:val="20"/>
        </w:rPr>
        <w:t xml:space="preserve"> </w:t>
      </w:r>
      <w:r>
        <w:rPr>
          <w:color w:val="231F20"/>
          <w:sz w:val="20"/>
        </w:rPr>
        <w:t>to</w:t>
      </w:r>
      <w:r>
        <w:rPr>
          <w:color w:val="231F20"/>
          <w:spacing w:val="-10"/>
          <w:sz w:val="20"/>
        </w:rPr>
        <w:t xml:space="preserve"> </w:t>
      </w:r>
      <w:r>
        <w:rPr>
          <w:color w:val="231F20"/>
          <w:sz w:val="20"/>
        </w:rPr>
        <w:t xml:space="preserve">ensure that as many matters as possible and </w:t>
      </w:r>
      <w:r>
        <w:rPr>
          <w:color w:val="231F20"/>
          <w:spacing w:val="-3"/>
          <w:sz w:val="20"/>
        </w:rPr>
        <w:t xml:space="preserve">appropriate </w:t>
      </w:r>
      <w:r>
        <w:rPr>
          <w:color w:val="231F20"/>
          <w:spacing w:val="-4"/>
          <w:sz w:val="20"/>
        </w:rPr>
        <w:t xml:space="preserve">have </w:t>
      </w:r>
      <w:r>
        <w:rPr>
          <w:color w:val="231F20"/>
          <w:sz w:val="20"/>
        </w:rPr>
        <w:t xml:space="preserve">access to DSCV’s bespoke mediation service. </w:t>
      </w:r>
      <w:r>
        <w:rPr>
          <w:color w:val="231F20"/>
          <w:spacing w:val="-6"/>
          <w:sz w:val="20"/>
        </w:rPr>
        <w:t>We</w:t>
      </w:r>
      <w:r>
        <w:rPr>
          <w:color w:val="231F20"/>
          <w:spacing w:val="-14"/>
          <w:sz w:val="20"/>
        </w:rPr>
        <w:t xml:space="preserve"> </w:t>
      </w:r>
      <w:r>
        <w:rPr>
          <w:color w:val="231F20"/>
          <w:sz w:val="20"/>
        </w:rPr>
        <w:t>recommend:</w:t>
      </w:r>
    </w:p>
    <w:p w14:paraId="5A0C58B2" w14:textId="77777777" w:rsidR="00894070" w:rsidRDefault="009B7AFD">
      <w:pPr>
        <w:pStyle w:val="ListParagraph"/>
        <w:numPr>
          <w:ilvl w:val="2"/>
          <w:numId w:val="102"/>
        </w:numPr>
        <w:tabs>
          <w:tab w:val="left" w:pos="2141"/>
          <w:tab w:val="left" w:pos="2142"/>
        </w:tabs>
        <w:spacing w:before="124" w:line="206" w:lineRule="auto"/>
        <w:ind w:right="1639" w:hanging="340"/>
        <w:rPr>
          <w:sz w:val="20"/>
        </w:rPr>
      </w:pPr>
      <w:r>
        <w:rPr>
          <w:color w:val="231F20"/>
          <w:sz w:val="20"/>
        </w:rPr>
        <w:t xml:space="preserve">making guidelines on mediation more </w:t>
      </w:r>
      <w:r>
        <w:rPr>
          <w:color w:val="231F20"/>
          <w:spacing w:val="-3"/>
          <w:sz w:val="20"/>
        </w:rPr>
        <w:t xml:space="preserve">widely </w:t>
      </w:r>
      <w:r>
        <w:rPr>
          <w:color w:val="231F20"/>
          <w:sz w:val="20"/>
        </w:rPr>
        <w:t>available including to police, magistrates,</w:t>
      </w:r>
      <w:r>
        <w:rPr>
          <w:color w:val="231F20"/>
          <w:spacing w:val="-12"/>
          <w:sz w:val="20"/>
        </w:rPr>
        <w:t xml:space="preserve"> </w:t>
      </w:r>
      <w:r>
        <w:rPr>
          <w:color w:val="231F20"/>
          <w:sz w:val="20"/>
        </w:rPr>
        <w:t>judicial</w:t>
      </w:r>
      <w:r>
        <w:rPr>
          <w:color w:val="231F20"/>
          <w:spacing w:val="-11"/>
          <w:sz w:val="20"/>
        </w:rPr>
        <w:t xml:space="preserve"> </w:t>
      </w:r>
      <w:proofErr w:type="gramStart"/>
      <w:r>
        <w:rPr>
          <w:color w:val="231F20"/>
          <w:sz w:val="20"/>
        </w:rPr>
        <w:t>registrars</w:t>
      </w:r>
      <w:proofErr w:type="gramEnd"/>
      <w:r>
        <w:rPr>
          <w:color w:val="231F20"/>
          <w:spacing w:val="-12"/>
          <w:sz w:val="20"/>
        </w:rPr>
        <w:t xml:space="preserve"> </w:t>
      </w:r>
      <w:r>
        <w:rPr>
          <w:color w:val="231F20"/>
          <w:sz w:val="20"/>
        </w:rPr>
        <w:t>and</w:t>
      </w:r>
      <w:r>
        <w:rPr>
          <w:color w:val="231F20"/>
          <w:spacing w:val="-11"/>
          <w:sz w:val="20"/>
        </w:rPr>
        <w:t xml:space="preserve"> </w:t>
      </w:r>
      <w:r>
        <w:rPr>
          <w:color w:val="231F20"/>
          <w:sz w:val="20"/>
        </w:rPr>
        <w:t>court</w:t>
      </w:r>
      <w:r>
        <w:rPr>
          <w:color w:val="231F20"/>
          <w:spacing w:val="-12"/>
          <w:sz w:val="20"/>
        </w:rPr>
        <w:t xml:space="preserve"> </w:t>
      </w:r>
      <w:r>
        <w:rPr>
          <w:color w:val="231F20"/>
          <w:spacing w:val="-3"/>
          <w:sz w:val="20"/>
        </w:rPr>
        <w:t>staff—for</w:t>
      </w:r>
      <w:r>
        <w:rPr>
          <w:color w:val="231F20"/>
          <w:spacing w:val="-11"/>
          <w:sz w:val="20"/>
        </w:rPr>
        <w:t xml:space="preserve"> </w:t>
      </w:r>
      <w:r>
        <w:rPr>
          <w:color w:val="231F20"/>
          <w:spacing w:val="-3"/>
          <w:sz w:val="20"/>
        </w:rPr>
        <w:t>example,</w:t>
      </w:r>
      <w:r>
        <w:rPr>
          <w:color w:val="231F20"/>
          <w:spacing w:val="-11"/>
          <w:sz w:val="20"/>
        </w:rPr>
        <w:t xml:space="preserve"> </w:t>
      </w:r>
      <w:r>
        <w:rPr>
          <w:color w:val="231F20"/>
          <w:sz w:val="20"/>
        </w:rPr>
        <w:t>its</w:t>
      </w:r>
      <w:r>
        <w:rPr>
          <w:color w:val="231F20"/>
          <w:spacing w:val="-12"/>
          <w:sz w:val="20"/>
        </w:rPr>
        <w:t xml:space="preserve"> </w:t>
      </w:r>
      <w:r>
        <w:rPr>
          <w:color w:val="231F20"/>
          <w:sz w:val="20"/>
        </w:rPr>
        <w:t>use,</w:t>
      </w:r>
      <w:r>
        <w:rPr>
          <w:color w:val="231F20"/>
          <w:spacing w:val="-11"/>
          <w:sz w:val="20"/>
        </w:rPr>
        <w:t xml:space="preserve"> </w:t>
      </w:r>
      <w:r>
        <w:rPr>
          <w:color w:val="231F20"/>
          <w:sz w:val="20"/>
        </w:rPr>
        <w:t>benefit</w:t>
      </w:r>
      <w:r>
        <w:rPr>
          <w:color w:val="231F20"/>
          <w:spacing w:val="-12"/>
          <w:sz w:val="20"/>
        </w:rPr>
        <w:t xml:space="preserve"> </w:t>
      </w:r>
      <w:r>
        <w:rPr>
          <w:color w:val="231F20"/>
          <w:sz w:val="20"/>
        </w:rPr>
        <w:t xml:space="preserve">and limits could be included in the PSIO bench book or on the </w:t>
      </w:r>
      <w:r>
        <w:rPr>
          <w:color w:val="231F20"/>
          <w:spacing w:val="-3"/>
          <w:sz w:val="20"/>
        </w:rPr>
        <w:t xml:space="preserve">Magistrates’ </w:t>
      </w:r>
      <w:r>
        <w:rPr>
          <w:color w:val="231F20"/>
          <w:sz w:val="20"/>
        </w:rPr>
        <w:t xml:space="preserve">Court </w:t>
      </w:r>
      <w:r>
        <w:rPr>
          <w:color w:val="231F20"/>
          <w:spacing w:val="-3"/>
          <w:sz w:val="20"/>
        </w:rPr>
        <w:t xml:space="preserve">website </w:t>
      </w:r>
      <w:r>
        <w:rPr>
          <w:color w:val="231F20"/>
          <w:sz w:val="20"/>
        </w:rPr>
        <w:t>on</w:t>
      </w:r>
      <w:r>
        <w:rPr>
          <w:color w:val="231F20"/>
          <w:spacing w:val="-5"/>
          <w:sz w:val="20"/>
        </w:rPr>
        <w:t xml:space="preserve"> </w:t>
      </w:r>
      <w:r>
        <w:rPr>
          <w:color w:val="231F20"/>
          <w:sz w:val="20"/>
        </w:rPr>
        <w:t>PSIOs</w:t>
      </w:r>
    </w:p>
    <w:p w14:paraId="26B39321" w14:textId="77777777" w:rsidR="00894070" w:rsidRDefault="009B7AFD">
      <w:pPr>
        <w:pStyle w:val="ListParagraph"/>
        <w:numPr>
          <w:ilvl w:val="2"/>
          <w:numId w:val="102"/>
        </w:numPr>
        <w:tabs>
          <w:tab w:val="left" w:pos="2141"/>
          <w:tab w:val="left" w:pos="2142"/>
        </w:tabs>
        <w:spacing w:before="90" w:line="206" w:lineRule="auto"/>
        <w:ind w:right="1915" w:hanging="340"/>
        <w:rPr>
          <w:sz w:val="11"/>
        </w:rPr>
      </w:pPr>
      <w:r>
        <w:rPr>
          <w:color w:val="231F20"/>
          <w:sz w:val="20"/>
        </w:rPr>
        <w:t>re-establishing</w:t>
      </w:r>
      <w:r>
        <w:rPr>
          <w:color w:val="231F20"/>
          <w:spacing w:val="-9"/>
          <w:sz w:val="20"/>
        </w:rPr>
        <w:t xml:space="preserve"> </w:t>
      </w:r>
      <w:r>
        <w:rPr>
          <w:color w:val="231F20"/>
          <w:spacing w:val="-3"/>
          <w:sz w:val="20"/>
        </w:rPr>
        <w:t>referral</w:t>
      </w:r>
      <w:r>
        <w:rPr>
          <w:color w:val="231F20"/>
          <w:spacing w:val="-9"/>
          <w:sz w:val="20"/>
        </w:rPr>
        <w:t xml:space="preserve"> </w:t>
      </w:r>
      <w:r>
        <w:rPr>
          <w:color w:val="231F20"/>
          <w:spacing w:val="-4"/>
          <w:sz w:val="20"/>
        </w:rPr>
        <w:t>pathways</w:t>
      </w:r>
      <w:r>
        <w:rPr>
          <w:color w:val="231F20"/>
          <w:spacing w:val="-8"/>
          <w:sz w:val="20"/>
        </w:rPr>
        <w:t xml:space="preserve"> </w:t>
      </w:r>
      <w:r>
        <w:rPr>
          <w:color w:val="231F20"/>
          <w:sz w:val="20"/>
        </w:rPr>
        <w:t>where</w:t>
      </w:r>
      <w:r>
        <w:rPr>
          <w:color w:val="231F20"/>
          <w:spacing w:val="-9"/>
          <w:sz w:val="20"/>
        </w:rPr>
        <w:t xml:space="preserve"> </w:t>
      </w:r>
      <w:r>
        <w:rPr>
          <w:color w:val="231F20"/>
          <w:sz w:val="20"/>
        </w:rPr>
        <w:t>they</w:t>
      </w:r>
      <w:r>
        <w:rPr>
          <w:color w:val="231F20"/>
          <w:spacing w:val="-8"/>
          <w:sz w:val="20"/>
        </w:rPr>
        <w:t xml:space="preserve"> </w:t>
      </w:r>
      <w:r>
        <w:rPr>
          <w:color w:val="231F20"/>
          <w:spacing w:val="-4"/>
          <w:sz w:val="20"/>
        </w:rPr>
        <w:t>have</w:t>
      </w:r>
      <w:r>
        <w:rPr>
          <w:color w:val="231F20"/>
          <w:spacing w:val="-9"/>
          <w:sz w:val="20"/>
        </w:rPr>
        <w:t xml:space="preserve"> </w:t>
      </w:r>
      <w:r>
        <w:rPr>
          <w:color w:val="231F20"/>
          <w:sz w:val="20"/>
        </w:rPr>
        <w:t>ended—for</w:t>
      </w:r>
      <w:r>
        <w:rPr>
          <w:color w:val="231F20"/>
          <w:spacing w:val="-8"/>
          <w:sz w:val="20"/>
        </w:rPr>
        <w:t xml:space="preserve"> </w:t>
      </w:r>
      <w:r>
        <w:rPr>
          <w:color w:val="231F20"/>
          <w:spacing w:val="-3"/>
          <w:sz w:val="20"/>
        </w:rPr>
        <w:t>example,</w:t>
      </w:r>
      <w:r>
        <w:rPr>
          <w:color w:val="231F20"/>
          <w:spacing w:val="-9"/>
          <w:sz w:val="20"/>
        </w:rPr>
        <w:t xml:space="preserve"> </w:t>
      </w:r>
      <w:r>
        <w:rPr>
          <w:color w:val="231F20"/>
          <w:sz w:val="20"/>
        </w:rPr>
        <w:t xml:space="preserve">the </w:t>
      </w:r>
      <w:r>
        <w:rPr>
          <w:color w:val="231F20"/>
          <w:spacing w:val="-3"/>
          <w:sz w:val="20"/>
        </w:rPr>
        <w:t xml:space="preserve">previously-funded </w:t>
      </w:r>
      <w:r>
        <w:rPr>
          <w:color w:val="231F20"/>
          <w:sz w:val="20"/>
        </w:rPr>
        <w:t xml:space="preserve">direct police </w:t>
      </w:r>
      <w:r>
        <w:rPr>
          <w:color w:val="231F20"/>
          <w:spacing w:val="-3"/>
          <w:sz w:val="20"/>
        </w:rPr>
        <w:t>referral</w:t>
      </w:r>
      <w:r>
        <w:rPr>
          <w:color w:val="231F20"/>
          <w:spacing w:val="-14"/>
          <w:sz w:val="20"/>
        </w:rPr>
        <w:t xml:space="preserve"> </w:t>
      </w:r>
      <w:r>
        <w:rPr>
          <w:color w:val="231F20"/>
          <w:sz w:val="20"/>
        </w:rPr>
        <w:t>program</w:t>
      </w:r>
      <w:r>
        <w:rPr>
          <w:color w:val="231F20"/>
          <w:position w:val="7"/>
          <w:sz w:val="11"/>
        </w:rPr>
        <w:t>108</w:t>
      </w:r>
    </w:p>
    <w:p w14:paraId="522020EB" w14:textId="77777777" w:rsidR="00894070" w:rsidRDefault="009B7AFD">
      <w:pPr>
        <w:pStyle w:val="ListParagraph"/>
        <w:numPr>
          <w:ilvl w:val="2"/>
          <w:numId w:val="102"/>
        </w:numPr>
        <w:tabs>
          <w:tab w:val="left" w:pos="2141"/>
          <w:tab w:val="left" w:pos="2142"/>
        </w:tabs>
        <w:spacing w:before="87" w:line="206" w:lineRule="auto"/>
        <w:ind w:right="1369" w:hanging="340"/>
        <w:rPr>
          <w:sz w:val="11"/>
        </w:rPr>
      </w:pPr>
      <w:r>
        <w:rPr>
          <w:color w:val="231F20"/>
          <w:sz w:val="20"/>
        </w:rPr>
        <w:t>education</w:t>
      </w:r>
      <w:r>
        <w:rPr>
          <w:color w:val="231F20"/>
          <w:spacing w:val="-14"/>
          <w:sz w:val="20"/>
        </w:rPr>
        <w:t xml:space="preserve"> </w:t>
      </w:r>
      <w:r>
        <w:rPr>
          <w:color w:val="231F20"/>
          <w:spacing w:val="-3"/>
          <w:sz w:val="20"/>
        </w:rPr>
        <w:t>for</w:t>
      </w:r>
      <w:r>
        <w:rPr>
          <w:color w:val="231F20"/>
          <w:spacing w:val="-13"/>
          <w:sz w:val="20"/>
        </w:rPr>
        <w:t xml:space="preserve"> </w:t>
      </w:r>
      <w:r>
        <w:rPr>
          <w:color w:val="231F20"/>
          <w:sz w:val="20"/>
        </w:rPr>
        <w:t>police,</w:t>
      </w:r>
      <w:r>
        <w:rPr>
          <w:color w:val="231F20"/>
          <w:spacing w:val="-13"/>
          <w:sz w:val="20"/>
        </w:rPr>
        <w:t xml:space="preserve"> </w:t>
      </w:r>
      <w:r>
        <w:rPr>
          <w:color w:val="231F20"/>
          <w:sz w:val="20"/>
        </w:rPr>
        <w:t>magistrates,</w:t>
      </w:r>
      <w:r>
        <w:rPr>
          <w:color w:val="231F20"/>
          <w:spacing w:val="-13"/>
          <w:sz w:val="20"/>
        </w:rPr>
        <w:t xml:space="preserve"> </w:t>
      </w:r>
      <w:r>
        <w:rPr>
          <w:color w:val="231F20"/>
          <w:sz w:val="20"/>
        </w:rPr>
        <w:t>judicial</w:t>
      </w:r>
      <w:r>
        <w:rPr>
          <w:color w:val="231F20"/>
          <w:spacing w:val="-13"/>
          <w:sz w:val="20"/>
        </w:rPr>
        <w:t xml:space="preserve"> </w:t>
      </w:r>
      <w:proofErr w:type="gramStart"/>
      <w:r>
        <w:rPr>
          <w:color w:val="231F20"/>
          <w:sz w:val="20"/>
        </w:rPr>
        <w:t>registrars</w:t>
      </w:r>
      <w:proofErr w:type="gramEnd"/>
      <w:r>
        <w:rPr>
          <w:color w:val="231F20"/>
          <w:spacing w:val="-13"/>
          <w:sz w:val="20"/>
        </w:rPr>
        <w:t xml:space="preserve"> </w:t>
      </w:r>
      <w:r>
        <w:rPr>
          <w:color w:val="231F20"/>
          <w:sz w:val="20"/>
        </w:rPr>
        <w:t>and</w:t>
      </w:r>
      <w:r>
        <w:rPr>
          <w:color w:val="231F20"/>
          <w:spacing w:val="-13"/>
          <w:sz w:val="20"/>
        </w:rPr>
        <w:t xml:space="preserve"> </w:t>
      </w:r>
      <w:r>
        <w:rPr>
          <w:color w:val="231F20"/>
          <w:sz w:val="20"/>
        </w:rPr>
        <w:t>court</w:t>
      </w:r>
      <w:r>
        <w:rPr>
          <w:color w:val="231F20"/>
          <w:spacing w:val="-14"/>
          <w:sz w:val="20"/>
        </w:rPr>
        <w:t xml:space="preserve"> </w:t>
      </w:r>
      <w:r>
        <w:rPr>
          <w:color w:val="231F20"/>
          <w:sz w:val="20"/>
        </w:rPr>
        <w:t>staff</w:t>
      </w:r>
      <w:r>
        <w:rPr>
          <w:color w:val="231F20"/>
          <w:spacing w:val="-13"/>
          <w:sz w:val="20"/>
        </w:rPr>
        <w:t xml:space="preserve"> </w:t>
      </w:r>
      <w:r>
        <w:rPr>
          <w:color w:val="231F20"/>
          <w:sz w:val="20"/>
        </w:rPr>
        <w:t>on</w:t>
      </w:r>
      <w:r>
        <w:rPr>
          <w:color w:val="231F20"/>
          <w:spacing w:val="-13"/>
          <w:sz w:val="20"/>
        </w:rPr>
        <w:t xml:space="preserve"> </w:t>
      </w:r>
      <w:r>
        <w:rPr>
          <w:color w:val="231F20"/>
          <w:sz w:val="20"/>
        </w:rPr>
        <w:t>the</w:t>
      </w:r>
      <w:r>
        <w:rPr>
          <w:color w:val="231F20"/>
          <w:spacing w:val="-13"/>
          <w:sz w:val="20"/>
        </w:rPr>
        <w:t xml:space="preserve"> </w:t>
      </w:r>
      <w:r>
        <w:rPr>
          <w:color w:val="231F20"/>
          <w:sz w:val="20"/>
        </w:rPr>
        <w:t>benefits of</w:t>
      </w:r>
      <w:r>
        <w:rPr>
          <w:color w:val="231F20"/>
          <w:spacing w:val="-5"/>
          <w:sz w:val="20"/>
        </w:rPr>
        <w:t xml:space="preserve"> </w:t>
      </w:r>
      <w:r>
        <w:rPr>
          <w:color w:val="231F20"/>
          <w:sz w:val="20"/>
        </w:rPr>
        <w:t>mediation</w:t>
      </w:r>
      <w:r>
        <w:rPr>
          <w:color w:val="231F20"/>
          <w:spacing w:val="-4"/>
          <w:sz w:val="20"/>
        </w:rPr>
        <w:t xml:space="preserve"> </w:t>
      </w:r>
      <w:r>
        <w:rPr>
          <w:color w:val="231F20"/>
          <w:sz w:val="20"/>
        </w:rPr>
        <w:t>and</w:t>
      </w:r>
      <w:r>
        <w:rPr>
          <w:color w:val="231F20"/>
          <w:spacing w:val="-5"/>
          <w:sz w:val="20"/>
        </w:rPr>
        <w:t xml:space="preserve"> </w:t>
      </w:r>
      <w:r>
        <w:rPr>
          <w:color w:val="231F20"/>
          <w:sz w:val="20"/>
        </w:rPr>
        <w:t>when</w:t>
      </w:r>
      <w:r>
        <w:rPr>
          <w:color w:val="231F20"/>
          <w:spacing w:val="-4"/>
          <w:sz w:val="20"/>
        </w:rPr>
        <w:t xml:space="preserve"> </w:t>
      </w:r>
      <w:r>
        <w:rPr>
          <w:color w:val="231F20"/>
          <w:sz w:val="20"/>
        </w:rPr>
        <w:t>it</w:t>
      </w:r>
      <w:r>
        <w:rPr>
          <w:color w:val="231F20"/>
          <w:spacing w:val="-4"/>
          <w:sz w:val="20"/>
        </w:rPr>
        <w:t xml:space="preserve"> </w:t>
      </w:r>
      <w:r>
        <w:rPr>
          <w:color w:val="231F20"/>
          <w:sz w:val="20"/>
        </w:rPr>
        <w:t>should</w:t>
      </w:r>
      <w:r>
        <w:rPr>
          <w:color w:val="231F20"/>
          <w:spacing w:val="-5"/>
          <w:sz w:val="20"/>
        </w:rPr>
        <w:t xml:space="preserve"> </w:t>
      </w:r>
      <w:r>
        <w:rPr>
          <w:color w:val="231F20"/>
          <w:sz w:val="20"/>
        </w:rPr>
        <w:t>be</w:t>
      </w:r>
      <w:r>
        <w:rPr>
          <w:color w:val="231F20"/>
          <w:spacing w:val="-4"/>
          <w:sz w:val="20"/>
        </w:rPr>
        <w:t xml:space="preserve"> </w:t>
      </w:r>
      <w:r>
        <w:rPr>
          <w:color w:val="231F20"/>
          <w:sz w:val="20"/>
        </w:rPr>
        <w:t>used</w:t>
      </w:r>
      <w:r>
        <w:rPr>
          <w:color w:val="231F20"/>
          <w:spacing w:val="-5"/>
          <w:sz w:val="20"/>
        </w:rPr>
        <w:t xml:space="preserve"> </w:t>
      </w:r>
      <w:r>
        <w:rPr>
          <w:color w:val="231F20"/>
          <w:sz w:val="20"/>
        </w:rPr>
        <w:t>(see</w:t>
      </w:r>
      <w:r>
        <w:rPr>
          <w:color w:val="231F20"/>
          <w:spacing w:val="-4"/>
          <w:sz w:val="20"/>
        </w:rPr>
        <w:t xml:space="preserve"> </w:t>
      </w:r>
      <w:r>
        <w:rPr>
          <w:color w:val="231F20"/>
          <w:spacing w:val="-3"/>
          <w:sz w:val="20"/>
        </w:rPr>
        <w:t>Chapter</w:t>
      </w:r>
      <w:r>
        <w:rPr>
          <w:color w:val="231F20"/>
          <w:spacing w:val="-4"/>
          <w:sz w:val="20"/>
        </w:rPr>
        <w:t xml:space="preserve"> </w:t>
      </w:r>
      <w:r>
        <w:rPr>
          <w:color w:val="231F20"/>
          <w:sz w:val="20"/>
        </w:rPr>
        <w:t>4)</w:t>
      </w:r>
      <w:r>
        <w:rPr>
          <w:color w:val="231F20"/>
          <w:position w:val="7"/>
          <w:sz w:val="11"/>
        </w:rPr>
        <w:t>109</w:t>
      </w:r>
    </w:p>
    <w:p w14:paraId="359BBF99" w14:textId="77777777" w:rsidR="00894070" w:rsidRDefault="00894070">
      <w:pPr>
        <w:pStyle w:val="BodyText"/>
      </w:pPr>
    </w:p>
    <w:p w14:paraId="33121D76" w14:textId="77777777" w:rsidR="00894070" w:rsidRDefault="00894070">
      <w:pPr>
        <w:pStyle w:val="BodyText"/>
      </w:pPr>
    </w:p>
    <w:p w14:paraId="5900F947" w14:textId="77777777" w:rsidR="00894070" w:rsidRDefault="009F6793">
      <w:pPr>
        <w:pStyle w:val="BodyText"/>
        <w:spacing w:before="9"/>
        <w:rPr>
          <w:sz w:val="25"/>
        </w:rPr>
      </w:pPr>
      <w:r>
        <w:pict w14:anchorId="6596F7D7">
          <v:line id="_x0000_s1325" style="position:absolute;z-index:251664384;mso-wrap-distance-left:0;mso-wrap-distance-right:0;mso-position-horizontal-relative:page" from="79.35pt,20.3pt" to="515.9pt,20.3pt" strokecolor="#f8cabc" strokeweight="1pt">
            <w10:wrap type="topAndBottom" anchorx="page"/>
          </v:line>
        </w:pict>
      </w:r>
    </w:p>
    <w:p w14:paraId="15680897" w14:textId="77777777" w:rsidR="00894070" w:rsidRDefault="00894070">
      <w:pPr>
        <w:pStyle w:val="BodyText"/>
        <w:rPr>
          <w:sz w:val="5"/>
        </w:rPr>
      </w:pPr>
    </w:p>
    <w:p w14:paraId="531E3CA1" w14:textId="77777777" w:rsidR="00894070" w:rsidRDefault="00894070">
      <w:pPr>
        <w:rPr>
          <w:sz w:val="5"/>
        </w:rPr>
        <w:sectPr w:rsidR="00894070">
          <w:pgSz w:w="11910" w:h="16840"/>
          <w:pgMar w:top="860" w:right="420" w:bottom="280" w:left="580" w:header="567" w:footer="0" w:gutter="0"/>
          <w:cols w:space="720"/>
        </w:sectPr>
      </w:pPr>
    </w:p>
    <w:p w14:paraId="4A08DA08" w14:textId="77777777" w:rsidR="00894070" w:rsidRDefault="00894070">
      <w:pPr>
        <w:pStyle w:val="BodyText"/>
        <w:rPr>
          <w:sz w:val="28"/>
        </w:rPr>
      </w:pPr>
    </w:p>
    <w:p w14:paraId="50A1542D" w14:textId="77777777" w:rsidR="00894070" w:rsidRDefault="00894070">
      <w:pPr>
        <w:pStyle w:val="BodyText"/>
        <w:rPr>
          <w:sz w:val="28"/>
        </w:rPr>
      </w:pPr>
    </w:p>
    <w:p w14:paraId="58271212" w14:textId="77777777" w:rsidR="00894070" w:rsidRDefault="009B7AFD">
      <w:pPr>
        <w:pStyle w:val="Heading8"/>
        <w:spacing w:before="237"/>
        <w:ind w:left="140"/>
      </w:pPr>
      <w:r>
        <w:rPr>
          <w:color w:val="EA5B50"/>
        </w:rPr>
        <w:t>108</w:t>
      </w:r>
    </w:p>
    <w:p w14:paraId="6DED2091" w14:textId="77777777" w:rsidR="00894070" w:rsidRDefault="009B7AFD">
      <w:pPr>
        <w:pStyle w:val="ListParagraph"/>
        <w:numPr>
          <w:ilvl w:val="0"/>
          <w:numId w:val="91"/>
        </w:numPr>
        <w:tabs>
          <w:tab w:val="left" w:pos="933"/>
          <w:tab w:val="left" w:pos="934"/>
        </w:tabs>
        <w:spacing w:before="38" w:line="213" w:lineRule="auto"/>
        <w:ind w:left="933" w:right="1676" w:hanging="793"/>
        <w:jc w:val="left"/>
        <w:rPr>
          <w:sz w:val="13"/>
        </w:rPr>
      </w:pPr>
      <w:r>
        <w:rPr>
          <w:color w:val="231F20"/>
          <w:spacing w:val="2"/>
          <w:sz w:val="13"/>
        </w:rPr>
        <w:br w:type="column"/>
      </w:r>
      <w:r>
        <w:rPr>
          <w:color w:val="231F20"/>
          <w:sz w:val="13"/>
        </w:rPr>
        <w:t xml:space="preserve">Information provided by Dispute Settlement Centre of Victoria to Victorian Law Reform </w:t>
      </w:r>
      <w:r>
        <w:rPr>
          <w:color w:val="231F20"/>
          <w:spacing w:val="2"/>
          <w:sz w:val="13"/>
        </w:rPr>
        <w:t xml:space="preserve">Commission, </w:t>
      </w:r>
      <w:r>
        <w:rPr>
          <w:color w:val="231F20"/>
          <w:sz w:val="13"/>
        </w:rPr>
        <w:t>16 March 2022. Data unavailable for 2016/17.</w:t>
      </w:r>
    </w:p>
    <w:p w14:paraId="3D074753" w14:textId="77777777" w:rsidR="00894070" w:rsidRDefault="009B7AFD">
      <w:pPr>
        <w:pStyle w:val="ListParagraph"/>
        <w:numPr>
          <w:ilvl w:val="0"/>
          <w:numId w:val="91"/>
        </w:numPr>
        <w:tabs>
          <w:tab w:val="left" w:pos="933"/>
          <w:tab w:val="left" w:pos="934"/>
        </w:tabs>
        <w:spacing w:line="153" w:lineRule="exact"/>
        <w:ind w:left="933" w:hanging="793"/>
        <w:jc w:val="left"/>
        <w:rPr>
          <w:sz w:val="13"/>
        </w:rPr>
      </w:pPr>
      <w:r>
        <w:rPr>
          <w:color w:val="231F20"/>
          <w:spacing w:val="2"/>
          <w:sz w:val="13"/>
        </w:rPr>
        <w:t xml:space="preserve">Submission </w:t>
      </w:r>
      <w:r>
        <w:rPr>
          <w:color w:val="231F20"/>
          <w:sz w:val="13"/>
        </w:rPr>
        <w:t>98 (Law Institute of Victoria); Consultation 10 (Victorian Aboriginal Legal</w:t>
      </w:r>
      <w:r>
        <w:rPr>
          <w:color w:val="231F20"/>
          <w:spacing w:val="10"/>
          <w:sz w:val="13"/>
        </w:rPr>
        <w:t xml:space="preserve"> </w:t>
      </w:r>
      <w:r>
        <w:rPr>
          <w:color w:val="231F20"/>
          <w:sz w:val="13"/>
        </w:rPr>
        <w:t>Service).</w:t>
      </w:r>
    </w:p>
    <w:p w14:paraId="5B47FD50" w14:textId="77777777" w:rsidR="00894070" w:rsidRDefault="009B7AFD">
      <w:pPr>
        <w:pStyle w:val="ListParagraph"/>
        <w:numPr>
          <w:ilvl w:val="0"/>
          <w:numId w:val="91"/>
        </w:numPr>
        <w:tabs>
          <w:tab w:val="left" w:pos="933"/>
          <w:tab w:val="left" w:pos="934"/>
        </w:tabs>
        <w:spacing w:line="160" w:lineRule="exact"/>
        <w:ind w:left="933" w:hanging="793"/>
        <w:jc w:val="left"/>
        <w:rPr>
          <w:sz w:val="13"/>
        </w:rPr>
      </w:pPr>
      <w:r>
        <w:rPr>
          <w:color w:val="231F20"/>
          <w:sz w:val="13"/>
        </w:rPr>
        <w:t xml:space="preserve">Consultation 34 (Magistrates’ </w:t>
      </w:r>
      <w:r>
        <w:rPr>
          <w:color w:val="231F20"/>
          <w:spacing w:val="2"/>
          <w:sz w:val="13"/>
        </w:rPr>
        <w:t xml:space="preserve">Court </w:t>
      </w:r>
      <w:r>
        <w:rPr>
          <w:color w:val="231F20"/>
          <w:sz w:val="13"/>
        </w:rPr>
        <w:t>of Victoria (No 2)).</w:t>
      </w:r>
    </w:p>
    <w:p w14:paraId="73CDCECF" w14:textId="77777777" w:rsidR="00894070" w:rsidRDefault="009B7AFD">
      <w:pPr>
        <w:pStyle w:val="ListParagraph"/>
        <w:numPr>
          <w:ilvl w:val="0"/>
          <w:numId w:val="91"/>
        </w:numPr>
        <w:tabs>
          <w:tab w:val="left" w:pos="933"/>
          <w:tab w:val="left" w:pos="934"/>
        </w:tabs>
        <w:spacing w:before="6" w:line="213" w:lineRule="auto"/>
        <w:ind w:left="933" w:right="1469" w:hanging="793"/>
        <w:jc w:val="left"/>
        <w:rPr>
          <w:sz w:val="13"/>
        </w:rPr>
      </w:pPr>
      <w:r>
        <w:rPr>
          <w:color w:val="231F20"/>
          <w:sz w:val="13"/>
        </w:rPr>
        <w:t xml:space="preserve">While we do not have current data on this, to illustrate, in 2015/16 it is estimated that 367 court days were saved: Information provided by Dispute Settlement Centre of Victoria to Victorian Law Reform </w:t>
      </w:r>
      <w:r>
        <w:rPr>
          <w:color w:val="231F20"/>
          <w:spacing w:val="2"/>
          <w:sz w:val="13"/>
        </w:rPr>
        <w:t xml:space="preserve">Commission, </w:t>
      </w:r>
      <w:r>
        <w:rPr>
          <w:color w:val="231F20"/>
          <w:sz w:val="13"/>
        </w:rPr>
        <w:t>16 March</w:t>
      </w:r>
      <w:r>
        <w:rPr>
          <w:color w:val="231F20"/>
          <w:spacing w:val="23"/>
          <w:sz w:val="13"/>
        </w:rPr>
        <w:t xml:space="preserve"> </w:t>
      </w:r>
      <w:r>
        <w:rPr>
          <w:color w:val="231F20"/>
          <w:sz w:val="13"/>
        </w:rPr>
        <w:t>2022.</w:t>
      </w:r>
    </w:p>
    <w:p w14:paraId="3983D8DB" w14:textId="77777777" w:rsidR="00894070" w:rsidRDefault="009B7AFD">
      <w:pPr>
        <w:pStyle w:val="ListParagraph"/>
        <w:numPr>
          <w:ilvl w:val="0"/>
          <w:numId w:val="91"/>
        </w:numPr>
        <w:tabs>
          <w:tab w:val="left" w:pos="933"/>
          <w:tab w:val="left" w:pos="934"/>
        </w:tabs>
        <w:spacing w:line="153" w:lineRule="exact"/>
        <w:ind w:left="933" w:hanging="793"/>
        <w:jc w:val="left"/>
        <w:rPr>
          <w:sz w:val="13"/>
        </w:rPr>
      </w:pPr>
      <w:r>
        <w:rPr>
          <w:color w:val="231F20"/>
          <w:sz w:val="13"/>
        </w:rPr>
        <w:t>Consultation 32 (Dispute Settlement Centre of</w:t>
      </w:r>
      <w:r>
        <w:rPr>
          <w:color w:val="231F20"/>
          <w:spacing w:val="2"/>
          <w:sz w:val="13"/>
        </w:rPr>
        <w:t xml:space="preserve"> </w:t>
      </w:r>
      <w:r>
        <w:rPr>
          <w:color w:val="231F20"/>
          <w:sz w:val="13"/>
        </w:rPr>
        <w:t>Victoria).</w:t>
      </w:r>
    </w:p>
    <w:p w14:paraId="12231491" w14:textId="77777777" w:rsidR="00894070" w:rsidRDefault="009B7AFD">
      <w:pPr>
        <w:pStyle w:val="ListParagraph"/>
        <w:numPr>
          <w:ilvl w:val="0"/>
          <w:numId w:val="91"/>
        </w:numPr>
        <w:tabs>
          <w:tab w:val="left" w:pos="933"/>
          <w:tab w:val="left" w:pos="934"/>
        </w:tabs>
        <w:spacing w:line="170" w:lineRule="exact"/>
        <w:ind w:left="933" w:hanging="793"/>
        <w:jc w:val="left"/>
        <w:rPr>
          <w:sz w:val="13"/>
        </w:rPr>
      </w:pPr>
      <w:r>
        <w:rPr>
          <w:color w:val="231F20"/>
          <w:sz w:val="13"/>
        </w:rPr>
        <w:t>Ibid.</w:t>
      </w:r>
    </w:p>
    <w:p w14:paraId="66D8AB55"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87" w:space="281"/>
            <w:col w:w="10042"/>
          </w:cols>
        </w:sectPr>
      </w:pPr>
    </w:p>
    <w:p w14:paraId="2131BF9C" w14:textId="77777777" w:rsidR="00894070" w:rsidRDefault="00894070">
      <w:pPr>
        <w:pStyle w:val="BodyText"/>
      </w:pPr>
    </w:p>
    <w:p w14:paraId="0C909473" w14:textId="77777777" w:rsidR="00894070" w:rsidRDefault="00894070">
      <w:pPr>
        <w:pStyle w:val="BodyText"/>
      </w:pPr>
    </w:p>
    <w:p w14:paraId="219BABEA" w14:textId="77777777" w:rsidR="00894070" w:rsidRDefault="00894070">
      <w:pPr>
        <w:pStyle w:val="BodyText"/>
      </w:pPr>
    </w:p>
    <w:p w14:paraId="6C1EE2F5" w14:textId="77777777" w:rsidR="00894070" w:rsidRDefault="00894070">
      <w:pPr>
        <w:pStyle w:val="BodyText"/>
        <w:spacing w:before="6"/>
        <w:rPr>
          <w:sz w:val="14"/>
        </w:rPr>
      </w:pPr>
    </w:p>
    <w:p w14:paraId="77F5BE9F" w14:textId="77777777" w:rsidR="00894070" w:rsidRDefault="009B7AFD">
      <w:pPr>
        <w:pStyle w:val="ListParagraph"/>
        <w:numPr>
          <w:ilvl w:val="1"/>
          <w:numId w:val="91"/>
        </w:numPr>
        <w:tabs>
          <w:tab w:val="left" w:pos="2141"/>
          <w:tab w:val="left" w:pos="2142"/>
        </w:tabs>
        <w:spacing w:before="90" w:line="206" w:lineRule="auto"/>
        <w:ind w:right="1481" w:hanging="340"/>
        <w:rPr>
          <w:sz w:val="11"/>
        </w:rPr>
      </w:pPr>
      <w:bookmarkStart w:id="126" w:name="_bookmark73"/>
      <w:bookmarkEnd w:id="126"/>
      <w:r>
        <w:rPr>
          <w:color w:val="231F20"/>
          <w:sz w:val="20"/>
        </w:rPr>
        <w:t xml:space="preserve">staffing more courts with </w:t>
      </w:r>
      <w:r>
        <w:rPr>
          <w:color w:val="231F20"/>
          <w:spacing w:val="-4"/>
          <w:sz w:val="20"/>
        </w:rPr>
        <w:t xml:space="preserve">DAOs—in </w:t>
      </w:r>
      <w:r>
        <w:rPr>
          <w:color w:val="231F20"/>
          <w:sz w:val="20"/>
        </w:rPr>
        <w:t xml:space="preserve">the past higher numbers of referrals </w:t>
      </w:r>
      <w:r>
        <w:rPr>
          <w:color w:val="231F20"/>
          <w:spacing w:val="-4"/>
          <w:sz w:val="20"/>
        </w:rPr>
        <w:t xml:space="preserve">were </w:t>
      </w:r>
      <w:r>
        <w:rPr>
          <w:color w:val="231F20"/>
          <w:spacing w:val="-3"/>
          <w:sz w:val="20"/>
        </w:rPr>
        <w:t xml:space="preserve">received </w:t>
      </w:r>
      <w:r>
        <w:rPr>
          <w:color w:val="231F20"/>
          <w:sz w:val="20"/>
        </w:rPr>
        <w:t xml:space="preserve">where a </w:t>
      </w:r>
      <w:r>
        <w:rPr>
          <w:color w:val="231F20"/>
          <w:spacing w:val="-6"/>
          <w:sz w:val="20"/>
        </w:rPr>
        <w:t xml:space="preserve">DAO </w:t>
      </w:r>
      <w:r>
        <w:rPr>
          <w:color w:val="231F20"/>
          <w:sz w:val="20"/>
        </w:rPr>
        <w:t xml:space="preserve">was </w:t>
      </w:r>
      <w:r>
        <w:rPr>
          <w:color w:val="231F20"/>
          <w:spacing w:val="-3"/>
          <w:sz w:val="20"/>
        </w:rPr>
        <w:t xml:space="preserve">present </w:t>
      </w:r>
      <w:r>
        <w:rPr>
          <w:color w:val="231F20"/>
          <w:sz w:val="20"/>
        </w:rPr>
        <w:t xml:space="preserve">on the </w:t>
      </w:r>
      <w:r>
        <w:rPr>
          <w:color w:val="231F20"/>
          <w:spacing w:val="-3"/>
          <w:sz w:val="20"/>
        </w:rPr>
        <w:t xml:space="preserve">day </w:t>
      </w:r>
      <w:r>
        <w:rPr>
          <w:color w:val="231F20"/>
          <w:sz w:val="20"/>
        </w:rPr>
        <w:t xml:space="preserve">PSIO matters </w:t>
      </w:r>
      <w:r>
        <w:rPr>
          <w:color w:val="231F20"/>
          <w:spacing w:val="-4"/>
          <w:sz w:val="20"/>
        </w:rPr>
        <w:t xml:space="preserve">were </w:t>
      </w:r>
      <w:r>
        <w:rPr>
          <w:color w:val="231F20"/>
          <w:sz w:val="20"/>
        </w:rPr>
        <w:t>listed.</w:t>
      </w:r>
      <w:r>
        <w:rPr>
          <w:color w:val="231F20"/>
          <w:position w:val="7"/>
          <w:sz w:val="11"/>
        </w:rPr>
        <w:t xml:space="preserve">110 </w:t>
      </w:r>
      <w:r>
        <w:rPr>
          <w:color w:val="231F20"/>
          <w:spacing w:val="-4"/>
          <w:sz w:val="20"/>
        </w:rPr>
        <w:t xml:space="preserve">There </w:t>
      </w:r>
      <w:r>
        <w:rPr>
          <w:color w:val="231F20"/>
          <w:sz w:val="20"/>
        </w:rPr>
        <w:t xml:space="preserve">should be a </w:t>
      </w:r>
      <w:r>
        <w:rPr>
          <w:color w:val="231F20"/>
          <w:spacing w:val="-3"/>
          <w:sz w:val="20"/>
        </w:rPr>
        <w:t xml:space="preserve">focus </w:t>
      </w:r>
      <w:r>
        <w:rPr>
          <w:color w:val="231F20"/>
          <w:sz w:val="20"/>
        </w:rPr>
        <w:t xml:space="preserve">on rural and regional Victoria, </w:t>
      </w:r>
      <w:r>
        <w:rPr>
          <w:color w:val="231F20"/>
          <w:spacing w:val="-3"/>
          <w:sz w:val="20"/>
        </w:rPr>
        <w:t xml:space="preserve">given </w:t>
      </w:r>
      <w:r>
        <w:rPr>
          <w:color w:val="231F20"/>
          <w:sz w:val="20"/>
        </w:rPr>
        <w:t xml:space="preserve">the higher </w:t>
      </w:r>
      <w:r>
        <w:rPr>
          <w:color w:val="231F20"/>
          <w:spacing w:val="-3"/>
          <w:sz w:val="20"/>
        </w:rPr>
        <w:t xml:space="preserve">rates </w:t>
      </w:r>
      <w:r>
        <w:rPr>
          <w:color w:val="231F20"/>
          <w:sz w:val="20"/>
        </w:rPr>
        <w:t>of PSIO applications</w:t>
      </w:r>
      <w:r>
        <w:rPr>
          <w:color w:val="231F20"/>
          <w:spacing w:val="-5"/>
          <w:sz w:val="20"/>
        </w:rPr>
        <w:t xml:space="preserve"> </w:t>
      </w:r>
      <w:r>
        <w:rPr>
          <w:color w:val="231F20"/>
          <w:sz w:val="20"/>
        </w:rPr>
        <w:t>there.</w:t>
      </w:r>
      <w:r>
        <w:rPr>
          <w:color w:val="231F20"/>
          <w:position w:val="7"/>
          <w:sz w:val="11"/>
        </w:rPr>
        <w:t>111</w:t>
      </w:r>
    </w:p>
    <w:p w14:paraId="299ED013" w14:textId="77777777" w:rsidR="00894070" w:rsidRDefault="009F6793">
      <w:pPr>
        <w:pStyle w:val="BodyText"/>
        <w:rPr>
          <w:sz w:val="17"/>
        </w:rPr>
      </w:pPr>
      <w:r>
        <w:pict w14:anchorId="6BAEE4D8">
          <v:group id="_x0000_s1318" style="position:absolute;margin-left:62.35pt;margin-top:13.8pt;width:479.1pt;height:245.45pt;z-index:251666432;mso-wrap-distance-left:0;mso-wrap-distance-right:0;mso-position-horizontal-relative:page" coordorigin="1247,276" coordsize="9582,4909">
            <v:rect id="_x0000_s1324" style="position:absolute;left:1587;top:275;width:8731;height:4909" fillcolor="#fee7de" stroked="f"/>
            <v:line id="_x0000_s1323" style="position:absolute" from="1247,1083" to="10828,1083" strokecolor="white" strokeweight="2.5pt"/>
            <v:shape id="_x0000_s1322" type="#_x0000_t202" style="position:absolute;left:1814;top:4288;width:8193;height:715" filled="f" stroked="f">
              <v:textbox inset="0,0,0,0">
                <w:txbxContent>
                  <w:p w14:paraId="44404FBB" w14:textId="77777777" w:rsidR="00894070" w:rsidRDefault="009B7AFD">
                    <w:pPr>
                      <w:tabs>
                        <w:tab w:val="left" w:pos="566"/>
                      </w:tabs>
                      <w:spacing w:line="247" w:lineRule="auto"/>
                      <w:ind w:left="566" w:right="18" w:hanging="567"/>
                      <w:rPr>
                        <w:rFonts w:ascii="Trebuchet MS"/>
                        <w:sz w:val="20"/>
                      </w:rPr>
                    </w:pPr>
                    <w:r>
                      <w:rPr>
                        <w:rFonts w:ascii="Trebuchet MS"/>
                        <w:color w:val="231F20"/>
                        <w:sz w:val="20"/>
                      </w:rPr>
                      <w:t>15.</w:t>
                    </w:r>
                    <w:r>
                      <w:rPr>
                        <w:rFonts w:ascii="Trebuchet MS"/>
                        <w:color w:val="231F20"/>
                        <w:sz w:val="20"/>
                      </w:rPr>
                      <w:tab/>
                      <w:t xml:space="preserve">In implementing Recommendations 1 and 3 of the </w:t>
                    </w:r>
                    <w:r>
                      <w:rPr>
                        <w:rFonts w:ascii="Trebuchet MS"/>
                        <w:color w:val="231F20"/>
                        <w:spacing w:val="-3"/>
                        <w:sz w:val="20"/>
                      </w:rPr>
                      <w:t xml:space="preserve">interim </w:t>
                    </w:r>
                    <w:r>
                      <w:rPr>
                        <w:rFonts w:ascii="Trebuchet MS"/>
                        <w:color w:val="231F20"/>
                        <w:sz w:val="20"/>
                      </w:rPr>
                      <w:t xml:space="preserve">report, Victoria Police should ensure that appropriate referrals to mediation </w:t>
                    </w:r>
                    <w:r>
                      <w:rPr>
                        <w:rFonts w:ascii="Trebuchet MS"/>
                        <w:color w:val="231F20"/>
                        <w:spacing w:val="-2"/>
                        <w:sz w:val="20"/>
                      </w:rPr>
                      <w:t xml:space="preserve">are </w:t>
                    </w:r>
                    <w:r>
                      <w:rPr>
                        <w:rFonts w:ascii="Trebuchet MS"/>
                        <w:color w:val="231F20"/>
                        <w:sz w:val="20"/>
                      </w:rPr>
                      <w:t xml:space="preserve">made for people who </w:t>
                    </w:r>
                    <w:r>
                      <w:rPr>
                        <w:rFonts w:ascii="Trebuchet MS"/>
                        <w:color w:val="231F20"/>
                        <w:spacing w:val="-2"/>
                        <w:sz w:val="20"/>
                      </w:rPr>
                      <w:t xml:space="preserve">are </w:t>
                    </w:r>
                    <w:r>
                      <w:rPr>
                        <w:rFonts w:ascii="Trebuchet MS"/>
                        <w:color w:val="231F20"/>
                        <w:spacing w:val="-1"/>
                        <w:w w:val="107"/>
                        <w:sz w:val="20"/>
                      </w:rPr>
                      <w:t>n</w:t>
                    </w:r>
                    <w:r>
                      <w:rPr>
                        <w:rFonts w:ascii="Trebuchet MS"/>
                        <w:color w:val="231F20"/>
                        <w:spacing w:val="-4"/>
                        <w:w w:val="111"/>
                        <w:sz w:val="20"/>
                      </w:rPr>
                      <w:t>o</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2"/>
                        <w:w w:val="88"/>
                        <w:sz w:val="20"/>
                      </w:rPr>
                      <w:t>t</w:t>
                    </w:r>
                    <w:r>
                      <w:rPr>
                        <w:rFonts w:ascii="Trebuchet MS"/>
                        <w:color w:val="231F20"/>
                        <w:spacing w:val="-2"/>
                        <w:w w:val="80"/>
                        <w:sz w:val="20"/>
                      </w:rPr>
                      <w:t>i</w:t>
                    </w:r>
                    <w:r>
                      <w:rPr>
                        <w:rFonts w:ascii="Trebuchet MS"/>
                        <w:color w:val="231F20"/>
                        <w:w w:val="111"/>
                        <w:sz w:val="20"/>
                      </w:rPr>
                      <w:t>m</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3"/>
                        <w:w w:val="93"/>
                        <w:sz w:val="20"/>
                      </w:rPr>
                      <w:t>r</w:t>
                    </w:r>
                    <w:r>
                      <w:rPr>
                        <w:rFonts w:ascii="Trebuchet MS"/>
                        <w:color w:val="231F20"/>
                        <w:spacing w:val="-2"/>
                        <w:w w:val="109"/>
                        <w:sz w:val="20"/>
                      </w:rPr>
                      <w:t>v</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11"/>
                        <w:sz w:val="20"/>
                      </w:rPr>
                      <w:t>o</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txbxContent>
              </v:textbox>
            </v:shape>
            <v:shape id="_x0000_s1321" type="#_x0000_t202" style="position:absolute;left:2381;top:1308;width:7595;height:2890" filled="f" stroked="f">
              <v:textbox inset="0,0,0,0">
                <w:txbxContent>
                  <w:p w14:paraId="0A08BD76" w14:textId="77777777" w:rsidR="00894070" w:rsidRDefault="009B7AFD">
                    <w:pPr>
                      <w:spacing w:line="247" w:lineRule="auto"/>
                      <w:ind w:right="88"/>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strengthen </w:t>
                    </w:r>
                    <w:r>
                      <w:rPr>
                        <w:rFonts w:ascii="Trebuchet MS"/>
                        <w:color w:val="231F20"/>
                        <w:spacing w:val="-4"/>
                        <w:w w:val="105"/>
                        <w:sz w:val="20"/>
                      </w:rPr>
                      <w:t xml:space="preserve">pathways </w:t>
                    </w:r>
                    <w:r>
                      <w:rPr>
                        <w:rFonts w:ascii="Trebuchet MS"/>
                        <w:color w:val="231F20"/>
                        <w:w w:val="105"/>
                        <w:sz w:val="20"/>
                      </w:rPr>
                      <w:t xml:space="preserve">from the personal safety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z w:val="20"/>
                      </w:rPr>
                      <w:t xml:space="preserve"> </w:t>
                    </w:r>
                    <w:r>
                      <w:rPr>
                        <w:rFonts w:ascii="Trebuchet MS"/>
                        <w:color w:val="231F20"/>
                        <w:spacing w:val="-1"/>
                        <w:w w:val="122"/>
                        <w:sz w:val="20"/>
                      </w:rPr>
                      <w:t>s</w:t>
                    </w:r>
                    <w:r>
                      <w:rPr>
                        <w:rFonts w:ascii="Trebuchet MS"/>
                        <w:color w:val="231F20"/>
                        <w:spacing w:val="-4"/>
                        <w:w w:val="110"/>
                        <w:sz w:val="20"/>
                      </w:rPr>
                      <w:t>y</w:t>
                    </w:r>
                    <w:r>
                      <w:rPr>
                        <w:rFonts w:ascii="Trebuchet MS"/>
                        <w:color w:val="231F20"/>
                        <w:spacing w:val="-1"/>
                        <w:w w:val="122"/>
                        <w:sz w:val="20"/>
                      </w:rPr>
                      <w:t>s</w:t>
                    </w:r>
                    <w:r>
                      <w:rPr>
                        <w:rFonts w:ascii="Trebuchet MS"/>
                        <w:color w:val="231F20"/>
                        <w:spacing w:val="-4"/>
                        <w:w w:val="88"/>
                        <w:sz w:val="20"/>
                      </w:rPr>
                      <w:t>t</w:t>
                    </w:r>
                    <w:r>
                      <w:rPr>
                        <w:rFonts w:ascii="Trebuchet MS"/>
                        <w:color w:val="231F20"/>
                        <w:spacing w:val="-1"/>
                        <w:w w:val="108"/>
                        <w:sz w:val="20"/>
                      </w:rPr>
                      <w:t>e</w:t>
                    </w:r>
                    <w:r>
                      <w:rPr>
                        <w:rFonts w:ascii="Trebuchet MS"/>
                        <w:color w:val="231F20"/>
                        <w:w w:val="111"/>
                        <w:sz w:val="20"/>
                      </w:rPr>
                      <w:t>m</w:t>
                    </w:r>
                    <w:r>
                      <w:rPr>
                        <w:rFonts w:ascii="Trebuchet MS"/>
                        <w:color w:val="231F20"/>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z w:val="20"/>
                      </w:rPr>
                      <w:t xml:space="preserve"> </w:t>
                    </w:r>
                    <w:r>
                      <w:rPr>
                        <w:rFonts w:ascii="Trebuchet MS"/>
                        <w:color w:val="231F20"/>
                        <w:spacing w:val="-1"/>
                        <w:w w:val="111"/>
                        <w:sz w:val="20"/>
                      </w:rPr>
                      <w:t>m</w:t>
                    </w:r>
                    <w:r>
                      <w:rPr>
                        <w:rFonts w:ascii="Trebuchet MS"/>
                        <w:color w:val="231F20"/>
                        <w:w w:val="108"/>
                        <w:sz w:val="20"/>
                      </w:rPr>
                      <w:t>e</w:t>
                    </w:r>
                    <w:r>
                      <w:rPr>
                        <w:rFonts w:ascii="Trebuchet MS"/>
                        <w:color w:val="231F20"/>
                        <w:spacing w:val="-1"/>
                        <w:w w:val="112"/>
                        <w:sz w:val="20"/>
                      </w:rPr>
                      <w:t>d</w:t>
                    </w:r>
                    <w:r>
                      <w:rPr>
                        <w:rFonts w:ascii="Trebuchet MS"/>
                        <w:color w:val="231F20"/>
                        <w:spacing w:val="-1"/>
                        <w:w w:val="80"/>
                        <w:sz w:val="20"/>
                      </w:rPr>
                      <w:t>i</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w w:val="57"/>
                        <w:sz w:val="20"/>
                      </w:rPr>
                      <w:t>,</w:t>
                    </w:r>
                    <w:r>
                      <w:rPr>
                        <w:rFonts w:ascii="Trebuchet MS"/>
                        <w:color w:val="231F20"/>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15"/>
                        <w:sz w:val="20"/>
                      </w:rPr>
                      <w:t>-</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93"/>
                        <w:sz w:val="20"/>
                      </w:rPr>
                      <w:t>r</w:t>
                    </w:r>
                    <w:r>
                      <w:rPr>
                        <w:rFonts w:ascii="Trebuchet MS"/>
                        <w:color w:val="231F20"/>
                        <w:w w:val="122"/>
                        <w:sz w:val="20"/>
                      </w:rPr>
                      <w:t>s</w:t>
                    </w:r>
                    <w:r>
                      <w:rPr>
                        <w:rFonts w:ascii="Trebuchet MS"/>
                        <w:color w:val="231F20"/>
                        <w:sz w:val="20"/>
                      </w:rPr>
                      <w:t xml:space="preserve"> </w:t>
                    </w:r>
                    <w:r>
                      <w:rPr>
                        <w:rFonts w:ascii="Trebuchet MS"/>
                        <w:color w:val="231F20"/>
                        <w:spacing w:val="-1"/>
                        <w:w w:val="111"/>
                        <w:sz w:val="20"/>
                      </w:rPr>
                      <w:t>o</w:t>
                    </w:r>
                    <w:r>
                      <w:rPr>
                        <w:rFonts w:ascii="Trebuchet MS"/>
                        <w:color w:val="231F20"/>
                        <w:spacing w:val="-2"/>
                        <w:w w:val="107"/>
                        <w:sz w:val="20"/>
                      </w:rPr>
                      <w:t>n</w:t>
                    </w:r>
                    <w:r>
                      <w:rPr>
                        <w:rFonts w:ascii="Trebuchet MS"/>
                        <w:color w:val="231F20"/>
                        <w:spacing w:val="-7"/>
                        <w:w w:val="96"/>
                        <w:sz w:val="20"/>
                      </w:rPr>
                      <w:t>l</w:t>
                    </w:r>
                    <w:r>
                      <w:rPr>
                        <w:rFonts w:ascii="Trebuchet MS"/>
                        <w:color w:val="231F20"/>
                        <w:spacing w:val="-13"/>
                        <w:w w:val="110"/>
                        <w:sz w:val="20"/>
                      </w:rPr>
                      <w:t>y</w:t>
                    </w:r>
                    <w:r>
                      <w:rPr>
                        <w:rFonts w:ascii="Trebuchet MS"/>
                        <w:color w:val="231F20"/>
                        <w:w w:val="57"/>
                        <w:sz w:val="20"/>
                      </w:rPr>
                      <w:t>,</w:t>
                    </w:r>
                    <w:r>
                      <w:rPr>
                        <w:rFonts w:ascii="Trebuchet MS"/>
                        <w:color w:val="231F20"/>
                        <w:sz w:val="20"/>
                      </w:rPr>
                      <w:t xml:space="preserve"> </w:t>
                    </w:r>
                    <w:r>
                      <w:rPr>
                        <w:rFonts w:ascii="Trebuchet MS"/>
                        <w:color w:val="231F20"/>
                        <w:spacing w:val="-6"/>
                        <w:w w:val="111"/>
                        <w:sz w:val="20"/>
                      </w:rPr>
                      <w:t>b</w:t>
                    </w:r>
                    <w:r>
                      <w:rPr>
                        <w:rFonts w:ascii="Trebuchet MS"/>
                        <w:color w:val="231F20"/>
                        <w:spacing w:val="-1"/>
                        <w:w w:val="110"/>
                        <w:sz w:val="20"/>
                      </w:rPr>
                      <w:t>y</w:t>
                    </w:r>
                    <w:r>
                      <w:rPr>
                        <w:rFonts w:ascii="Trebuchet MS"/>
                        <w:color w:val="231F20"/>
                        <w:w w:val="54"/>
                        <w:sz w:val="20"/>
                      </w:rPr>
                      <w:t>:</w:t>
                    </w:r>
                  </w:p>
                  <w:p w14:paraId="0C5910E4" w14:textId="77777777" w:rsidR="00894070" w:rsidRDefault="009B7AFD">
                    <w:pPr>
                      <w:numPr>
                        <w:ilvl w:val="0"/>
                        <w:numId w:val="90"/>
                      </w:numPr>
                      <w:tabs>
                        <w:tab w:val="left" w:pos="566"/>
                        <w:tab w:val="left" w:pos="567"/>
                      </w:tabs>
                      <w:spacing w:before="87" w:line="247" w:lineRule="auto"/>
                      <w:ind w:right="18" w:hanging="553"/>
                      <w:rPr>
                        <w:rFonts w:ascii="Trebuchet MS"/>
                        <w:sz w:val="20"/>
                      </w:rPr>
                    </w:pPr>
                    <w:r>
                      <w:rPr>
                        <w:rFonts w:ascii="Trebuchet MS"/>
                        <w:color w:val="231F20"/>
                        <w:sz w:val="20"/>
                      </w:rPr>
                      <w:t xml:space="preserve">making the Dispute Settlement </w:t>
                    </w:r>
                    <w:r>
                      <w:rPr>
                        <w:rFonts w:ascii="Trebuchet MS"/>
                        <w:color w:val="231F20"/>
                        <w:spacing w:val="-2"/>
                        <w:sz w:val="20"/>
                      </w:rPr>
                      <w:t xml:space="preserve">Centre </w:t>
                    </w:r>
                    <w:r>
                      <w:rPr>
                        <w:rFonts w:ascii="Trebuchet MS"/>
                        <w:color w:val="231F20"/>
                        <w:sz w:val="20"/>
                      </w:rPr>
                      <w:t xml:space="preserve">of Victoria (DSCV) mediation </w:t>
                    </w:r>
                    <w:r>
                      <w:rPr>
                        <w:rFonts w:ascii="Trebuchet MS"/>
                        <w:color w:val="231F20"/>
                        <w:spacing w:val="-2"/>
                        <w:w w:val="124"/>
                        <w:sz w:val="20"/>
                      </w:rPr>
                      <w:t>g</w:t>
                    </w:r>
                    <w:r>
                      <w:rPr>
                        <w:rFonts w:ascii="Trebuchet MS"/>
                        <w:color w:val="231F20"/>
                        <w:spacing w:val="-1"/>
                        <w:w w:val="109"/>
                        <w:sz w:val="20"/>
                      </w:rPr>
                      <w:t>u</w:t>
                    </w:r>
                    <w:r>
                      <w:rPr>
                        <w:rFonts w:ascii="Trebuchet MS"/>
                        <w:color w:val="231F20"/>
                        <w:spacing w:val="-1"/>
                        <w:w w:val="80"/>
                        <w:sz w:val="20"/>
                      </w:rPr>
                      <w:t>i</w:t>
                    </w:r>
                    <w:r>
                      <w:rPr>
                        <w:rFonts w:ascii="Trebuchet MS"/>
                        <w:color w:val="231F20"/>
                        <w:spacing w:val="-2"/>
                        <w:w w:val="112"/>
                        <w:sz w:val="20"/>
                      </w:rPr>
                      <w:t>d</w:t>
                    </w:r>
                    <w:r>
                      <w:rPr>
                        <w:rFonts w:ascii="Trebuchet MS"/>
                        <w:color w:val="231F20"/>
                        <w:spacing w:val="-2"/>
                        <w:w w:val="108"/>
                        <w:sz w:val="20"/>
                      </w:rPr>
                      <w:t>e</w:t>
                    </w:r>
                    <w:r>
                      <w:rPr>
                        <w:rFonts w:ascii="Trebuchet MS"/>
                        <w:color w:val="231F20"/>
                        <w:w w:val="96"/>
                        <w:sz w:val="20"/>
                      </w:rPr>
                      <w:t>l</w:t>
                    </w:r>
                    <w:r>
                      <w:rPr>
                        <w:rFonts w:ascii="Trebuchet MS"/>
                        <w:color w:val="231F20"/>
                        <w:spacing w:val="-2"/>
                        <w:w w:val="80"/>
                        <w:sz w:val="20"/>
                      </w:rPr>
                      <w:t>i</w:t>
                    </w:r>
                    <w:r>
                      <w:rPr>
                        <w:rFonts w:ascii="Trebuchet MS"/>
                        <w:color w:val="231F20"/>
                        <w:spacing w:val="-1"/>
                        <w:w w:val="107"/>
                        <w:sz w:val="20"/>
                      </w:rPr>
                      <w:t>n</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11"/>
                        <w:sz w:val="20"/>
                      </w:rPr>
                      <w:t>mo</w:t>
                    </w:r>
                    <w:r>
                      <w:rPr>
                        <w:rFonts w:ascii="Trebuchet MS"/>
                        <w:color w:val="231F20"/>
                        <w:spacing w:val="-4"/>
                        <w:w w:val="93"/>
                        <w:sz w:val="20"/>
                      </w:rPr>
                      <w:t>r</w:t>
                    </w:r>
                    <w:r>
                      <w:rPr>
                        <w:rFonts w:ascii="Trebuchet MS"/>
                        <w:color w:val="231F20"/>
                        <w:w w:val="108"/>
                        <w:sz w:val="20"/>
                      </w:rPr>
                      <w:t>e</w:t>
                    </w:r>
                    <w:r>
                      <w:rPr>
                        <w:rFonts w:ascii="Trebuchet MS"/>
                        <w:color w:val="231F20"/>
                        <w:spacing w:val="-14"/>
                        <w:sz w:val="20"/>
                      </w:rPr>
                      <w:t xml:space="preserve"> </w:t>
                    </w:r>
                    <w:r>
                      <w:rPr>
                        <w:rFonts w:ascii="Trebuchet MS"/>
                        <w:color w:val="231F20"/>
                        <w:spacing w:val="-6"/>
                        <w:w w:val="105"/>
                        <w:sz w:val="20"/>
                      </w:rPr>
                      <w:t>a</w:t>
                    </w:r>
                    <w:r>
                      <w:rPr>
                        <w:rFonts w:ascii="Trebuchet MS"/>
                        <w:color w:val="231F20"/>
                        <w:spacing w:val="-3"/>
                        <w:w w:val="109"/>
                        <w:sz w:val="20"/>
                      </w:rPr>
                      <w:t>v</w:t>
                    </w:r>
                    <w:r>
                      <w:rPr>
                        <w:rFonts w:ascii="Trebuchet MS"/>
                        <w:color w:val="231F20"/>
                        <w:spacing w:val="-2"/>
                        <w:w w:val="105"/>
                        <w:sz w:val="20"/>
                      </w:rPr>
                      <w:t>a</w:t>
                    </w:r>
                    <w:r>
                      <w:rPr>
                        <w:rFonts w:ascii="Trebuchet MS"/>
                        <w:color w:val="231F20"/>
                        <w:spacing w:val="-2"/>
                        <w:w w:val="80"/>
                        <w:sz w:val="20"/>
                      </w:rPr>
                      <w:t>i</w:t>
                    </w:r>
                    <w:r>
                      <w:rPr>
                        <w:rFonts w:ascii="Trebuchet MS"/>
                        <w:color w:val="231F20"/>
                        <w:spacing w:val="1"/>
                        <w:w w:val="96"/>
                        <w:sz w:val="20"/>
                      </w:rPr>
                      <w:t>l</w:t>
                    </w:r>
                    <w:r>
                      <w:rPr>
                        <w:rFonts w:ascii="Trebuchet MS"/>
                        <w:color w:val="231F20"/>
                        <w:spacing w:val="-2"/>
                        <w:w w:val="105"/>
                        <w:sz w:val="20"/>
                      </w:rPr>
                      <w:t>a</w:t>
                    </w:r>
                    <w:r>
                      <w:rPr>
                        <w:rFonts w:ascii="Trebuchet MS"/>
                        <w:color w:val="231F20"/>
                        <w:spacing w:val="-2"/>
                        <w:w w:val="111"/>
                        <w:sz w:val="20"/>
                      </w:rPr>
                      <w:t>b</w:t>
                    </w:r>
                    <w:r>
                      <w:rPr>
                        <w:rFonts w:ascii="Trebuchet MS"/>
                        <w:color w:val="231F20"/>
                        <w:spacing w:val="-3"/>
                        <w:w w:val="96"/>
                        <w:sz w:val="20"/>
                      </w:rPr>
                      <w:t>l</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2"/>
                        <w:w w:val="111"/>
                        <w:sz w:val="20"/>
                      </w:rPr>
                      <w:t>o</w:t>
                    </w:r>
                    <w:r>
                      <w:rPr>
                        <w:rFonts w:ascii="Trebuchet MS"/>
                        <w:color w:val="231F20"/>
                        <w:w w:val="96"/>
                        <w:sz w:val="20"/>
                      </w:rPr>
                      <w:t>l</w:t>
                    </w:r>
                    <w:r>
                      <w:rPr>
                        <w:rFonts w:ascii="Trebuchet MS"/>
                        <w:color w:val="231F20"/>
                        <w:spacing w:val="-1"/>
                        <w:w w:val="80"/>
                        <w:sz w:val="20"/>
                      </w:rPr>
                      <w:t>i</w:t>
                    </w:r>
                    <w:r>
                      <w:rPr>
                        <w:rFonts w:ascii="Trebuchet MS"/>
                        <w:color w:val="231F20"/>
                        <w:spacing w:val="-3"/>
                        <w:w w:val="111"/>
                        <w:sz w:val="20"/>
                      </w:rPr>
                      <w:t>c</w:t>
                    </w:r>
                    <w:r>
                      <w:rPr>
                        <w:rFonts w:ascii="Trebuchet MS"/>
                        <w:color w:val="231F20"/>
                        <w:spacing w:val="-3"/>
                        <w:w w:val="108"/>
                        <w:sz w:val="20"/>
                      </w:rPr>
                      <w:t>e</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2"/>
                        <w:w w:val="105"/>
                        <w:sz w:val="20"/>
                      </w:rPr>
                      <w:t>a</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22"/>
                        <w:sz w:val="20"/>
                      </w:rPr>
                      <w:t>s</w:t>
                    </w:r>
                    <w:r>
                      <w:rPr>
                        <w:rFonts w:ascii="Trebuchet MS"/>
                        <w:color w:val="231F20"/>
                        <w:spacing w:val="-2"/>
                        <w:w w:val="88"/>
                        <w:sz w:val="20"/>
                      </w:rPr>
                      <w:t>t</w:t>
                    </w:r>
                    <w:r>
                      <w:rPr>
                        <w:rFonts w:ascii="Trebuchet MS"/>
                        <w:color w:val="231F20"/>
                        <w:spacing w:val="-2"/>
                        <w:w w:val="93"/>
                        <w:sz w:val="20"/>
                      </w:rPr>
                      <w:t>r</w:t>
                    </w:r>
                    <w:r>
                      <w:rPr>
                        <w:rFonts w:ascii="Trebuchet MS"/>
                        <w:color w:val="231F20"/>
                        <w:spacing w:val="-4"/>
                        <w:w w:val="105"/>
                        <w:sz w:val="20"/>
                      </w:rPr>
                      <w:t>a</w:t>
                    </w:r>
                    <w:r>
                      <w:rPr>
                        <w:rFonts w:ascii="Trebuchet MS"/>
                        <w:color w:val="231F20"/>
                        <w:spacing w:val="-4"/>
                        <w:w w:val="88"/>
                        <w:sz w:val="20"/>
                      </w:rPr>
                      <w:t>t</w:t>
                    </w:r>
                    <w:r>
                      <w:rPr>
                        <w:rFonts w:ascii="Trebuchet MS"/>
                        <w:color w:val="231F20"/>
                        <w:spacing w:val="-2"/>
                        <w:w w:val="108"/>
                        <w:sz w:val="20"/>
                      </w:rPr>
                      <w:t>e</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spacing w:val="-2"/>
                        <w:w w:val="64"/>
                        <w:sz w:val="20"/>
                      </w:rPr>
                      <w:t>j</w:t>
                    </w:r>
                    <w:r>
                      <w:rPr>
                        <w:rFonts w:ascii="Trebuchet MS"/>
                        <w:color w:val="231F20"/>
                        <w:spacing w:val="-2"/>
                        <w:w w:val="109"/>
                        <w:sz w:val="20"/>
                      </w:rPr>
                      <w:t>u</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22"/>
                        <w:sz w:val="20"/>
                      </w:rPr>
                      <w:t>s</w:t>
                    </w:r>
                    <w:r>
                      <w:rPr>
                        <w:rFonts w:ascii="Trebuchet MS"/>
                        <w:color w:val="231F20"/>
                        <w:spacing w:val="-2"/>
                        <w:w w:val="88"/>
                        <w:sz w:val="20"/>
                      </w:rPr>
                      <w:t>t</w:t>
                    </w:r>
                    <w:r>
                      <w:rPr>
                        <w:rFonts w:ascii="Trebuchet MS"/>
                        <w:color w:val="231F20"/>
                        <w:spacing w:val="-2"/>
                        <w:w w:val="93"/>
                        <w:sz w:val="20"/>
                      </w:rPr>
                      <w:t>r</w:t>
                    </w:r>
                    <w:r>
                      <w:rPr>
                        <w:rFonts w:ascii="Trebuchet MS"/>
                        <w:color w:val="231F20"/>
                        <w:spacing w:val="-2"/>
                        <w:w w:val="105"/>
                        <w:sz w:val="20"/>
                      </w:rPr>
                      <w:t>a</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2"/>
                        <w:w w:val="93"/>
                        <w:sz w:val="20"/>
                      </w:rPr>
                      <w:t>r</w:t>
                    </w:r>
                    <w:r>
                      <w:rPr>
                        <w:rFonts w:ascii="Trebuchet MS"/>
                        <w:color w:val="231F20"/>
                        <w:w w:val="88"/>
                        <w:sz w:val="20"/>
                      </w:rPr>
                      <w:t xml:space="preserve">t </w:t>
                    </w:r>
                    <w:r>
                      <w:rPr>
                        <w:rFonts w:ascii="Trebuchet MS"/>
                        <w:color w:val="231F20"/>
                        <w:sz w:val="20"/>
                      </w:rPr>
                      <w:t>staff</w:t>
                    </w:r>
                  </w:p>
                  <w:p w14:paraId="4FE9B712" w14:textId="77777777" w:rsidR="00894070" w:rsidRDefault="009B7AFD">
                    <w:pPr>
                      <w:numPr>
                        <w:ilvl w:val="0"/>
                        <w:numId w:val="90"/>
                      </w:numPr>
                      <w:tabs>
                        <w:tab w:val="left" w:pos="566"/>
                        <w:tab w:val="left" w:pos="567"/>
                      </w:tabs>
                      <w:spacing w:before="87" w:line="247" w:lineRule="auto"/>
                      <w:ind w:right="240" w:hanging="553"/>
                      <w:rPr>
                        <w:rFonts w:ascii="Trebuchet MS"/>
                        <w:sz w:val="20"/>
                      </w:rPr>
                    </w:pPr>
                    <w:r>
                      <w:rPr>
                        <w:rFonts w:ascii="Trebuchet MS"/>
                        <w:color w:val="231F20"/>
                        <w:w w:val="105"/>
                        <w:sz w:val="20"/>
                      </w:rPr>
                      <w:t>funding</w:t>
                    </w:r>
                    <w:r>
                      <w:rPr>
                        <w:rFonts w:ascii="Trebuchet MS"/>
                        <w:color w:val="231F20"/>
                        <w:spacing w:val="-20"/>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DSCV</w:t>
                    </w:r>
                    <w:r>
                      <w:rPr>
                        <w:rFonts w:ascii="Trebuchet MS"/>
                        <w:color w:val="231F20"/>
                        <w:spacing w:val="-19"/>
                        <w:w w:val="105"/>
                        <w:sz w:val="20"/>
                      </w:rPr>
                      <w:t xml:space="preserve"> </w:t>
                    </w:r>
                    <w:r>
                      <w:rPr>
                        <w:rFonts w:ascii="Trebuchet MS"/>
                        <w:color w:val="231F20"/>
                        <w:w w:val="105"/>
                        <w:sz w:val="20"/>
                      </w:rPr>
                      <w:t>police</w:t>
                    </w:r>
                    <w:r>
                      <w:rPr>
                        <w:rFonts w:ascii="Trebuchet MS"/>
                        <w:color w:val="231F20"/>
                        <w:spacing w:val="-19"/>
                        <w:w w:val="105"/>
                        <w:sz w:val="20"/>
                      </w:rPr>
                      <w:t xml:space="preserve"> </w:t>
                    </w:r>
                    <w:r>
                      <w:rPr>
                        <w:rFonts w:ascii="Trebuchet MS"/>
                        <w:color w:val="231F20"/>
                        <w:spacing w:val="-3"/>
                        <w:w w:val="105"/>
                        <w:sz w:val="20"/>
                      </w:rPr>
                      <w:t>referral</w:t>
                    </w:r>
                    <w:r>
                      <w:rPr>
                        <w:rFonts w:ascii="Trebuchet MS"/>
                        <w:color w:val="231F20"/>
                        <w:spacing w:val="-19"/>
                        <w:w w:val="105"/>
                        <w:sz w:val="20"/>
                      </w:rPr>
                      <w:t xml:space="preserve"> </w:t>
                    </w:r>
                    <w:r>
                      <w:rPr>
                        <w:rFonts w:ascii="Trebuchet MS"/>
                        <w:color w:val="231F20"/>
                        <w:w w:val="105"/>
                        <w:sz w:val="20"/>
                      </w:rPr>
                      <w:t>program</w:t>
                    </w:r>
                    <w:r>
                      <w:rPr>
                        <w:rFonts w:ascii="Trebuchet MS"/>
                        <w:color w:val="231F20"/>
                        <w:spacing w:val="-19"/>
                        <w:w w:val="105"/>
                        <w:sz w:val="20"/>
                      </w:rPr>
                      <w:t xml:space="preserve"> </w:t>
                    </w:r>
                    <w:r>
                      <w:rPr>
                        <w:rFonts w:ascii="Trebuchet MS"/>
                        <w:color w:val="231F20"/>
                        <w:w w:val="105"/>
                        <w:sz w:val="20"/>
                      </w:rPr>
                      <w:t>to</w:t>
                    </w:r>
                    <w:r>
                      <w:rPr>
                        <w:rFonts w:ascii="Trebuchet MS"/>
                        <w:color w:val="231F20"/>
                        <w:spacing w:val="-19"/>
                        <w:w w:val="105"/>
                        <w:sz w:val="20"/>
                      </w:rPr>
                      <w:t xml:space="preserve"> </w:t>
                    </w:r>
                    <w:r>
                      <w:rPr>
                        <w:rFonts w:ascii="Trebuchet MS"/>
                        <w:color w:val="231F20"/>
                        <w:w w:val="105"/>
                        <w:sz w:val="20"/>
                      </w:rPr>
                      <w:t>re-establish</w:t>
                    </w:r>
                    <w:r>
                      <w:rPr>
                        <w:rFonts w:ascii="Trebuchet MS"/>
                        <w:color w:val="231F20"/>
                        <w:spacing w:val="-19"/>
                        <w:w w:val="105"/>
                        <w:sz w:val="20"/>
                      </w:rPr>
                      <w:t xml:space="preserve"> </w:t>
                    </w:r>
                    <w:r>
                      <w:rPr>
                        <w:rFonts w:ascii="Trebuchet MS"/>
                        <w:color w:val="231F20"/>
                        <w:w w:val="105"/>
                        <w:sz w:val="20"/>
                      </w:rPr>
                      <w:t>referrals</w:t>
                    </w:r>
                    <w:r>
                      <w:rPr>
                        <w:rFonts w:ascii="Trebuchet MS"/>
                        <w:color w:val="231F20"/>
                        <w:spacing w:val="-19"/>
                        <w:w w:val="105"/>
                        <w:sz w:val="20"/>
                      </w:rPr>
                      <w:t xml:space="preserve"> </w:t>
                    </w:r>
                    <w:r>
                      <w:rPr>
                        <w:rFonts w:ascii="Trebuchet MS"/>
                        <w:color w:val="231F20"/>
                        <w:spacing w:val="-3"/>
                        <w:w w:val="105"/>
                        <w:sz w:val="20"/>
                      </w:rPr>
                      <w:t xml:space="preserve">directly </w:t>
                    </w:r>
                    <w:r>
                      <w:rPr>
                        <w:rFonts w:ascii="Trebuchet MS"/>
                        <w:color w:val="231F20"/>
                        <w:w w:val="105"/>
                        <w:sz w:val="20"/>
                      </w:rPr>
                      <w:t>from</w:t>
                    </w:r>
                    <w:r>
                      <w:rPr>
                        <w:rFonts w:ascii="Trebuchet MS"/>
                        <w:color w:val="231F20"/>
                        <w:spacing w:val="-18"/>
                        <w:w w:val="105"/>
                        <w:sz w:val="20"/>
                      </w:rPr>
                      <w:t xml:space="preserve"> </w:t>
                    </w:r>
                    <w:r>
                      <w:rPr>
                        <w:rFonts w:ascii="Trebuchet MS"/>
                        <w:color w:val="231F20"/>
                        <w:w w:val="105"/>
                        <w:sz w:val="20"/>
                      </w:rPr>
                      <w:t>police</w:t>
                    </w:r>
                  </w:p>
                  <w:p w14:paraId="542108E0" w14:textId="77777777" w:rsidR="00894070" w:rsidRDefault="009B7AFD">
                    <w:pPr>
                      <w:numPr>
                        <w:ilvl w:val="0"/>
                        <w:numId w:val="90"/>
                      </w:numPr>
                      <w:tabs>
                        <w:tab w:val="left" w:pos="566"/>
                        <w:tab w:val="left" w:pos="567"/>
                      </w:tabs>
                      <w:spacing w:before="87" w:line="247" w:lineRule="auto"/>
                      <w:ind w:right="213" w:hanging="553"/>
                      <w:rPr>
                        <w:rFonts w:ascii="Trebuchet MS"/>
                        <w:sz w:val="20"/>
                      </w:rPr>
                    </w:pPr>
                    <w:r>
                      <w:rPr>
                        <w:rFonts w:ascii="Trebuchet MS"/>
                        <w:color w:val="231F20"/>
                        <w:w w:val="105"/>
                        <w:sz w:val="20"/>
                      </w:rPr>
                      <w:t>funding DSCV to increase Dispute Assessment Officer attendance, and ensuring</w:t>
                    </w:r>
                    <w:r>
                      <w:rPr>
                        <w:rFonts w:ascii="Trebuchet MS"/>
                        <w:color w:val="231F20"/>
                        <w:spacing w:val="-12"/>
                        <w:w w:val="105"/>
                        <w:sz w:val="20"/>
                      </w:rPr>
                      <w:t xml:space="preserve"> </w:t>
                    </w:r>
                    <w:r>
                      <w:rPr>
                        <w:rFonts w:ascii="Trebuchet MS"/>
                        <w:color w:val="231F20"/>
                        <w:w w:val="105"/>
                        <w:sz w:val="20"/>
                      </w:rPr>
                      <w:t>that</w:t>
                    </w:r>
                    <w:r>
                      <w:rPr>
                        <w:rFonts w:ascii="Trebuchet MS"/>
                        <w:color w:val="231F20"/>
                        <w:spacing w:val="-12"/>
                        <w:w w:val="105"/>
                        <w:sz w:val="20"/>
                      </w:rPr>
                      <w:t xml:space="preserve"> </w:t>
                    </w:r>
                    <w:r>
                      <w:rPr>
                        <w:rFonts w:ascii="Trebuchet MS"/>
                        <w:color w:val="231F20"/>
                        <w:w w:val="105"/>
                        <w:sz w:val="20"/>
                      </w:rPr>
                      <w:t>as</w:t>
                    </w:r>
                    <w:r>
                      <w:rPr>
                        <w:rFonts w:ascii="Trebuchet MS"/>
                        <w:color w:val="231F20"/>
                        <w:spacing w:val="-12"/>
                        <w:w w:val="105"/>
                        <w:sz w:val="20"/>
                      </w:rPr>
                      <w:t xml:space="preserve"> </w:t>
                    </w:r>
                    <w:r>
                      <w:rPr>
                        <w:rFonts w:ascii="Trebuchet MS"/>
                        <w:color w:val="231F20"/>
                        <w:spacing w:val="-3"/>
                        <w:w w:val="105"/>
                        <w:sz w:val="20"/>
                      </w:rPr>
                      <w:t>many</w:t>
                    </w:r>
                    <w:r>
                      <w:rPr>
                        <w:rFonts w:ascii="Trebuchet MS"/>
                        <w:color w:val="231F20"/>
                        <w:spacing w:val="-12"/>
                        <w:w w:val="105"/>
                        <w:sz w:val="20"/>
                      </w:rPr>
                      <w:t xml:space="preserve"> </w:t>
                    </w:r>
                    <w:r>
                      <w:rPr>
                        <w:rFonts w:ascii="Trebuchet MS"/>
                        <w:color w:val="231F20"/>
                        <w:w w:val="105"/>
                        <w:sz w:val="20"/>
                      </w:rPr>
                      <w:t>matters</w:t>
                    </w:r>
                    <w:r>
                      <w:rPr>
                        <w:rFonts w:ascii="Trebuchet MS"/>
                        <w:color w:val="231F20"/>
                        <w:spacing w:val="-12"/>
                        <w:w w:val="105"/>
                        <w:sz w:val="20"/>
                      </w:rPr>
                      <w:t xml:space="preserve"> </w:t>
                    </w:r>
                    <w:r>
                      <w:rPr>
                        <w:rFonts w:ascii="Trebuchet MS"/>
                        <w:color w:val="231F20"/>
                        <w:w w:val="105"/>
                        <w:sz w:val="20"/>
                      </w:rPr>
                      <w:t>as</w:t>
                    </w:r>
                    <w:r>
                      <w:rPr>
                        <w:rFonts w:ascii="Trebuchet MS"/>
                        <w:color w:val="231F20"/>
                        <w:spacing w:val="-12"/>
                        <w:w w:val="105"/>
                        <w:sz w:val="20"/>
                      </w:rPr>
                      <w:t xml:space="preserve"> </w:t>
                    </w:r>
                    <w:r>
                      <w:rPr>
                        <w:rFonts w:ascii="Trebuchet MS"/>
                        <w:color w:val="231F20"/>
                        <w:w w:val="105"/>
                        <w:sz w:val="20"/>
                      </w:rPr>
                      <w:t>possible</w:t>
                    </w:r>
                    <w:r>
                      <w:rPr>
                        <w:rFonts w:ascii="Trebuchet MS"/>
                        <w:color w:val="231F20"/>
                        <w:spacing w:val="-11"/>
                        <w:w w:val="105"/>
                        <w:sz w:val="20"/>
                      </w:rPr>
                      <w:t xml:space="preserve"> </w:t>
                    </w:r>
                    <w:r>
                      <w:rPr>
                        <w:rFonts w:ascii="Trebuchet MS"/>
                        <w:color w:val="231F20"/>
                        <w:w w:val="105"/>
                        <w:sz w:val="20"/>
                      </w:rPr>
                      <w:t>and</w:t>
                    </w:r>
                    <w:r>
                      <w:rPr>
                        <w:rFonts w:ascii="Trebuchet MS"/>
                        <w:color w:val="231F20"/>
                        <w:spacing w:val="-12"/>
                        <w:w w:val="105"/>
                        <w:sz w:val="20"/>
                      </w:rPr>
                      <w:t xml:space="preserve"> </w:t>
                    </w:r>
                    <w:r>
                      <w:rPr>
                        <w:rFonts w:ascii="Trebuchet MS"/>
                        <w:color w:val="231F20"/>
                        <w:w w:val="105"/>
                        <w:sz w:val="20"/>
                      </w:rPr>
                      <w:t>appropriate</w:t>
                    </w:r>
                    <w:r>
                      <w:rPr>
                        <w:rFonts w:ascii="Trebuchet MS"/>
                        <w:color w:val="231F20"/>
                        <w:spacing w:val="-12"/>
                        <w:w w:val="105"/>
                        <w:sz w:val="20"/>
                      </w:rPr>
                      <w:t xml:space="preserve"> </w:t>
                    </w:r>
                    <w:r>
                      <w:rPr>
                        <w:rFonts w:ascii="Trebuchet MS"/>
                        <w:color w:val="231F20"/>
                        <w:spacing w:val="-4"/>
                        <w:w w:val="105"/>
                        <w:sz w:val="20"/>
                      </w:rPr>
                      <w:t>have</w:t>
                    </w:r>
                    <w:r>
                      <w:rPr>
                        <w:rFonts w:ascii="Trebuchet MS"/>
                        <w:color w:val="231F20"/>
                        <w:spacing w:val="-12"/>
                        <w:w w:val="105"/>
                        <w:sz w:val="20"/>
                      </w:rPr>
                      <w:t xml:space="preserve"> </w:t>
                    </w:r>
                    <w:r>
                      <w:rPr>
                        <w:rFonts w:ascii="Trebuchet MS"/>
                        <w:color w:val="231F20"/>
                        <w:w w:val="105"/>
                        <w:sz w:val="20"/>
                      </w:rPr>
                      <w:t>access</w:t>
                    </w:r>
                    <w:r>
                      <w:rPr>
                        <w:rFonts w:ascii="Trebuchet MS"/>
                        <w:color w:val="231F20"/>
                        <w:spacing w:val="-12"/>
                        <w:w w:val="105"/>
                        <w:sz w:val="20"/>
                      </w:rPr>
                      <w:t xml:space="preserve"> </w:t>
                    </w:r>
                    <w:r>
                      <w:rPr>
                        <w:rFonts w:ascii="Trebuchet MS"/>
                        <w:color w:val="231F20"/>
                        <w:w w:val="105"/>
                        <w:sz w:val="20"/>
                      </w:rPr>
                      <w:t xml:space="preserve">to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m</w:t>
                    </w:r>
                    <w:r>
                      <w:rPr>
                        <w:rFonts w:ascii="Trebuchet MS"/>
                        <w:color w:val="231F20"/>
                        <w:w w:val="108"/>
                        <w:sz w:val="20"/>
                      </w:rPr>
                      <w:t>e</w:t>
                    </w:r>
                    <w:r>
                      <w:rPr>
                        <w:rFonts w:ascii="Trebuchet MS"/>
                        <w:color w:val="231F20"/>
                        <w:spacing w:val="-1"/>
                        <w:w w:val="112"/>
                        <w:sz w:val="20"/>
                      </w:rPr>
                      <w:t>d</w:t>
                    </w:r>
                    <w:r>
                      <w:rPr>
                        <w:rFonts w:ascii="Trebuchet MS"/>
                        <w:color w:val="231F20"/>
                        <w:spacing w:val="-1"/>
                        <w:w w:val="80"/>
                        <w:sz w:val="20"/>
                      </w:rPr>
                      <w:t>i</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1"/>
                        <w:w w:val="111"/>
                        <w:sz w:val="20"/>
                      </w:rPr>
                      <w:t>o</w:t>
                    </w:r>
                    <w:r>
                      <w:rPr>
                        <w:rFonts w:ascii="Trebuchet MS"/>
                        <w:color w:val="231F20"/>
                        <w:spacing w:val="-2"/>
                        <w:w w:val="124"/>
                        <w:sz w:val="20"/>
                      </w:rPr>
                      <w:t>g</w:t>
                    </w:r>
                    <w:r>
                      <w:rPr>
                        <w:rFonts w:ascii="Trebuchet MS"/>
                        <w:color w:val="231F20"/>
                        <w:spacing w:val="-2"/>
                        <w:w w:val="93"/>
                        <w:sz w:val="20"/>
                      </w:rPr>
                      <w:t>r</w:t>
                    </w:r>
                    <w:r>
                      <w:rPr>
                        <w:rFonts w:ascii="Trebuchet MS"/>
                        <w:color w:val="231F20"/>
                        <w:spacing w:val="-2"/>
                        <w:w w:val="105"/>
                        <w:sz w:val="20"/>
                      </w:rPr>
                      <w:t>a</w:t>
                    </w:r>
                    <w:r>
                      <w:rPr>
                        <w:rFonts w:ascii="Trebuchet MS"/>
                        <w:color w:val="231F20"/>
                        <w:spacing w:val="-1"/>
                        <w:w w:val="111"/>
                        <w:sz w:val="20"/>
                      </w:rPr>
                      <w:t>m</w:t>
                    </w:r>
                    <w:r>
                      <w:rPr>
                        <w:rFonts w:ascii="Trebuchet MS"/>
                        <w:color w:val="231F20"/>
                        <w:w w:val="57"/>
                        <w:sz w:val="20"/>
                      </w:rPr>
                      <w:t>,</w:t>
                    </w:r>
                    <w:r>
                      <w:rPr>
                        <w:rFonts w:ascii="Trebuchet MS"/>
                        <w:color w:val="231F20"/>
                        <w:spacing w:val="-14"/>
                        <w:sz w:val="20"/>
                      </w:rPr>
                      <w:t xml:space="preserve"> </w:t>
                    </w:r>
                    <w:r>
                      <w:rPr>
                        <w:rFonts w:ascii="Trebuchet MS"/>
                        <w:color w:val="231F20"/>
                        <w:spacing w:val="-2"/>
                        <w:w w:val="110"/>
                        <w:sz w:val="20"/>
                      </w:rPr>
                      <w:t>w</w:t>
                    </w:r>
                    <w:r>
                      <w:rPr>
                        <w:rFonts w:ascii="Trebuchet MS"/>
                        <w:color w:val="231F20"/>
                        <w:spacing w:val="-3"/>
                        <w:w w:val="80"/>
                        <w:sz w:val="20"/>
                      </w:rPr>
                      <w:t>i</w:t>
                    </w:r>
                    <w:r>
                      <w:rPr>
                        <w:rFonts w:ascii="Trebuchet MS"/>
                        <w:color w:val="231F20"/>
                        <w:spacing w:val="-2"/>
                        <w:w w:val="88"/>
                        <w:sz w:val="20"/>
                      </w:rPr>
                      <w:t>t</w:t>
                    </w:r>
                    <w:r>
                      <w:rPr>
                        <w:rFonts w:ascii="Trebuchet MS"/>
                        <w:color w:val="231F20"/>
                        <w:w w:val="107"/>
                        <w:sz w:val="20"/>
                      </w:rPr>
                      <w:t>h</w:t>
                    </w:r>
                    <w:r>
                      <w:rPr>
                        <w:rFonts w:ascii="Trebuchet MS"/>
                        <w:color w:val="231F20"/>
                        <w:spacing w:val="-14"/>
                        <w:sz w:val="20"/>
                      </w:rPr>
                      <w:t xml:space="preserve"> </w:t>
                    </w:r>
                    <w:r>
                      <w:rPr>
                        <w:rFonts w:ascii="Trebuchet MS"/>
                        <w:color w:val="231F20"/>
                        <w:w w:val="105"/>
                        <w:sz w:val="20"/>
                      </w:rPr>
                      <w:t>a</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spacing w:val="-2"/>
                        <w:w w:val="110"/>
                        <w:sz w:val="20"/>
                      </w:rPr>
                      <w:t>c</w:t>
                    </w:r>
                    <w:r>
                      <w:rPr>
                        <w:rFonts w:ascii="Trebuchet MS"/>
                        <w:color w:val="231F20"/>
                        <w:spacing w:val="-1"/>
                        <w:w w:val="110"/>
                        <w:sz w:val="20"/>
                      </w:rPr>
                      <w:t>u</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107"/>
                        <w:sz w:val="20"/>
                      </w:rPr>
                      <w:t xml:space="preserve">n </w:t>
                    </w:r>
                    <w:r>
                      <w:rPr>
                        <w:rFonts w:ascii="Trebuchet MS"/>
                        <w:color w:val="231F20"/>
                        <w:spacing w:val="-1"/>
                        <w:w w:val="108"/>
                        <w:sz w:val="20"/>
                      </w:rPr>
                      <w:t>e</w:t>
                    </w:r>
                    <w:r>
                      <w:rPr>
                        <w:rFonts w:ascii="Trebuchet MS"/>
                        <w:color w:val="231F20"/>
                        <w:spacing w:val="-2"/>
                        <w:w w:val="107"/>
                        <w:sz w:val="20"/>
                      </w:rPr>
                      <w:t>n</w:t>
                    </w:r>
                    <w:r>
                      <w:rPr>
                        <w:rFonts w:ascii="Trebuchet MS"/>
                        <w:color w:val="231F20"/>
                        <w:spacing w:val="-1"/>
                        <w:w w:val="107"/>
                        <w:sz w:val="20"/>
                      </w:rPr>
                      <w:t>h</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2"/>
                        <w:w w:val="111"/>
                        <w:sz w:val="20"/>
                      </w:rPr>
                      <w:t>c</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4"/>
                        <w:w w:val="93"/>
                        <w:sz w:val="20"/>
                      </w:rPr>
                      <w:t>r</w:t>
                    </w:r>
                    <w:r>
                      <w:rPr>
                        <w:rFonts w:ascii="Trebuchet MS"/>
                        <w:color w:val="231F20"/>
                        <w:spacing w:val="-3"/>
                        <w:w w:val="111"/>
                        <w:sz w:val="20"/>
                      </w:rPr>
                      <w:t>c</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93"/>
                        <w:sz w:val="20"/>
                      </w:rPr>
                      <w:t>r</w:t>
                    </w:r>
                    <w:r>
                      <w:rPr>
                        <w:rFonts w:ascii="Trebuchet MS"/>
                        <w:color w:val="231F20"/>
                        <w:spacing w:val="-1"/>
                        <w:w w:val="109"/>
                        <w:sz w:val="20"/>
                      </w:rPr>
                      <w:t>u</w:t>
                    </w:r>
                    <w:r>
                      <w:rPr>
                        <w:rFonts w:ascii="Trebuchet MS"/>
                        <w:color w:val="231F20"/>
                        <w:spacing w:val="-2"/>
                        <w:w w:val="93"/>
                        <w:sz w:val="20"/>
                      </w:rPr>
                      <w:t>r</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spacing w:val="1"/>
                        <w:w w:val="105"/>
                        <w:sz w:val="20"/>
                      </w:rPr>
                      <w:t>a</w:t>
                    </w:r>
                    <w:r>
                      <w:rPr>
                        <w:rFonts w:ascii="Trebuchet MS"/>
                        <w:color w:val="231F20"/>
                        <w:w w:val="55"/>
                        <w:sz w:val="20"/>
                      </w:rPr>
                      <w:t>.</w:t>
                    </w:r>
                  </w:p>
                </w:txbxContent>
              </v:textbox>
            </v:shape>
            <v:shape id="_x0000_s1320" type="#_x0000_t202" style="position:absolute;left:1814;top:1308;width:270;height:235" filled="f" stroked="f">
              <v:textbox inset="0,0,0,0">
                <w:txbxContent>
                  <w:p w14:paraId="4A153AD9" w14:textId="77777777" w:rsidR="00894070" w:rsidRDefault="009B7AFD">
                    <w:pPr>
                      <w:rPr>
                        <w:rFonts w:ascii="Trebuchet MS"/>
                        <w:sz w:val="20"/>
                      </w:rPr>
                    </w:pPr>
                    <w:r>
                      <w:rPr>
                        <w:rFonts w:ascii="Trebuchet MS"/>
                        <w:color w:val="231F20"/>
                        <w:w w:val="90"/>
                        <w:sz w:val="20"/>
                      </w:rPr>
                      <w:t>14.</w:t>
                    </w:r>
                  </w:p>
                </w:txbxContent>
              </v:textbox>
            </v:shape>
            <v:shape id="_x0000_s1319" type="#_x0000_t202" style="position:absolute;left:1587;top:275;width:8731;height:783" fillcolor="#fee7de" stroked="f">
              <v:textbox inset="0,0,0,0">
                <w:txbxContent>
                  <w:p w14:paraId="52742F45" w14:textId="77777777" w:rsidR="00894070" w:rsidRDefault="009B7AFD">
                    <w:pPr>
                      <w:spacing w:before="158"/>
                      <w:ind w:left="226"/>
                      <w:rPr>
                        <w:rFonts w:ascii="Raleway ExtraBold"/>
                        <w:b/>
                        <w:sz w:val="32"/>
                      </w:rPr>
                    </w:pPr>
                    <w:r>
                      <w:rPr>
                        <w:rFonts w:ascii="Raleway ExtraBold"/>
                        <w:b/>
                        <w:color w:val="EA5B50"/>
                        <w:sz w:val="32"/>
                      </w:rPr>
                      <w:t>Recommendations</w:t>
                    </w:r>
                  </w:p>
                </w:txbxContent>
              </v:textbox>
            </v:shape>
            <w10:wrap type="topAndBottom" anchorx="page"/>
          </v:group>
        </w:pict>
      </w:r>
    </w:p>
    <w:p w14:paraId="4CA13B8C" w14:textId="77777777" w:rsidR="00894070" w:rsidRDefault="00894070">
      <w:pPr>
        <w:pStyle w:val="BodyText"/>
        <w:spacing w:before="3"/>
        <w:rPr>
          <w:sz w:val="29"/>
        </w:rPr>
      </w:pPr>
    </w:p>
    <w:p w14:paraId="6076511C" w14:textId="77777777" w:rsidR="00894070" w:rsidRDefault="009B7AFD">
      <w:pPr>
        <w:pStyle w:val="Heading8"/>
        <w:spacing w:before="48"/>
        <w:ind w:left="1007"/>
      </w:pPr>
      <w:r>
        <w:rPr>
          <w:color w:val="231F20"/>
        </w:rPr>
        <w:t>There are future options for specialisation</w:t>
      </w:r>
    </w:p>
    <w:p w14:paraId="3612848D" w14:textId="77777777" w:rsidR="00894070" w:rsidRDefault="009B7AFD">
      <w:pPr>
        <w:pStyle w:val="ListParagraph"/>
        <w:numPr>
          <w:ilvl w:val="1"/>
          <w:numId w:val="102"/>
        </w:numPr>
        <w:tabs>
          <w:tab w:val="left" w:pos="1801"/>
          <w:tab w:val="left" w:pos="1802"/>
        </w:tabs>
        <w:spacing w:before="127" w:line="206" w:lineRule="auto"/>
        <w:ind w:right="1165"/>
        <w:rPr>
          <w:sz w:val="20"/>
        </w:rPr>
      </w:pPr>
      <w:r>
        <w:rPr>
          <w:color w:val="231F20"/>
          <w:spacing w:val="-6"/>
          <w:sz w:val="20"/>
        </w:rPr>
        <w:t xml:space="preserve">We </w:t>
      </w:r>
      <w:r>
        <w:rPr>
          <w:color w:val="231F20"/>
          <w:spacing w:val="-3"/>
          <w:sz w:val="20"/>
        </w:rPr>
        <w:t xml:space="preserve">received </w:t>
      </w:r>
      <w:r>
        <w:rPr>
          <w:color w:val="231F20"/>
          <w:sz w:val="20"/>
        </w:rPr>
        <w:t xml:space="preserve">other suggestions </w:t>
      </w:r>
      <w:r>
        <w:rPr>
          <w:color w:val="231F20"/>
          <w:spacing w:val="-3"/>
          <w:sz w:val="20"/>
        </w:rPr>
        <w:t xml:space="preserve">for reform. </w:t>
      </w:r>
      <w:r>
        <w:rPr>
          <w:color w:val="231F20"/>
          <w:sz w:val="20"/>
        </w:rPr>
        <w:t xml:space="preserve">Derryn </w:t>
      </w:r>
      <w:r>
        <w:rPr>
          <w:color w:val="231F20"/>
          <w:spacing w:val="-4"/>
          <w:sz w:val="20"/>
        </w:rPr>
        <w:t xml:space="preserve">Hinch’s </w:t>
      </w:r>
      <w:r>
        <w:rPr>
          <w:color w:val="231F20"/>
          <w:sz w:val="20"/>
        </w:rPr>
        <w:t xml:space="preserve">Justice Party suggested </w:t>
      </w:r>
      <w:r>
        <w:rPr>
          <w:color w:val="231F20"/>
          <w:spacing w:val="-3"/>
          <w:sz w:val="20"/>
        </w:rPr>
        <w:t xml:space="preserve">introducing </w:t>
      </w:r>
      <w:r>
        <w:rPr>
          <w:color w:val="231F20"/>
          <w:sz w:val="20"/>
        </w:rPr>
        <w:t xml:space="preserve">specialist orders based on the civil Stalking </w:t>
      </w:r>
      <w:r>
        <w:rPr>
          <w:color w:val="231F20"/>
          <w:spacing w:val="-3"/>
          <w:sz w:val="20"/>
        </w:rPr>
        <w:t xml:space="preserve">Protection </w:t>
      </w:r>
      <w:r>
        <w:rPr>
          <w:color w:val="231F20"/>
          <w:sz w:val="20"/>
        </w:rPr>
        <w:t>Orders in the United Kingdom</w:t>
      </w:r>
      <w:r>
        <w:rPr>
          <w:color w:val="231F20"/>
          <w:spacing w:val="-11"/>
          <w:sz w:val="20"/>
        </w:rPr>
        <w:t xml:space="preserve"> </w:t>
      </w:r>
      <w:r>
        <w:rPr>
          <w:color w:val="231F20"/>
          <w:sz w:val="20"/>
        </w:rPr>
        <w:t>to</w:t>
      </w:r>
      <w:r>
        <w:rPr>
          <w:color w:val="231F20"/>
          <w:spacing w:val="-10"/>
          <w:sz w:val="20"/>
        </w:rPr>
        <w:t xml:space="preserve"> </w:t>
      </w:r>
      <w:r>
        <w:rPr>
          <w:color w:val="231F20"/>
          <w:sz w:val="20"/>
        </w:rPr>
        <w:t>help</w:t>
      </w:r>
      <w:r>
        <w:rPr>
          <w:color w:val="231F20"/>
          <w:spacing w:val="-10"/>
          <w:sz w:val="20"/>
        </w:rPr>
        <w:t xml:space="preserve"> </w:t>
      </w:r>
      <w:r>
        <w:rPr>
          <w:color w:val="231F20"/>
          <w:sz w:val="20"/>
        </w:rPr>
        <w:t>separate</w:t>
      </w:r>
      <w:r>
        <w:rPr>
          <w:color w:val="231F20"/>
          <w:spacing w:val="-10"/>
          <w:sz w:val="20"/>
        </w:rPr>
        <w:t xml:space="preserve"> </w:t>
      </w:r>
      <w:r>
        <w:rPr>
          <w:color w:val="231F20"/>
          <w:sz w:val="20"/>
        </w:rPr>
        <w:t>stalking</w:t>
      </w:r>
      <w:r>
        <w:rPr>
          <w:color w:val="231F20"/>
          <w:spacing w:val="-11"/>
          <w:sz w:val="20"/>
        </w:rPr>
        <w:t xml:space="preserve"> </w:t>
      </w:r>
      <w:r>
        <w:rPr>
          <w:color w:val="231F20"/>
          <w:sz w:val="20"/>
        </w:rPr>
        <w:t>matters</w:t>
      </w:r>
      <w:r>
        <w:rPr>
          <w:color w:val="231F20"/>
          <w:spacing w:val="-10"/>
          <w:sz w:val="20"/>
        </w:rPr>
        <w:t xml:space="preserve"> </w:t>
      </w:r>
      <w:r>
        <w:rPr>
          <w:color w:val="231F20"/>
          <w:sz w:val="20"/>
        </w:rPr>
        <w:t>out</w:t>
      </w:r>
      <w:r>
        <w:rPr>
          <w:color w:val="231F20"/>
          <w:spacing w:val="-10"/>
          <w:sz w:val="20"/>
        </w:rPr>
        <w:t xml:space="preserve"> </w:t>
      </w:r>
      <w:r>
        <w:rPr>
          <w:color w:val="231F20"/>
          <w:spacing w:val="-3"/>
          <w:sz w:val="20"/>
        </w:rPr>
        <w:t>from</w:t>
      </w:r>
      <w:r>
        <w:rPr>
          <w:color w:val="231F20"/>
          <w:spacing w:val="-10"/>
          <w:sz w:val="20"/>
        </w:rPr>
        <w:t xml:space="preserve"> </w:t>
      </w:r>
      <w:r>
        <w:rPr>
          <w:color w:val="231F20"/>
          <w:sz w:val="20"/>
        </w:rPr>
        <w:t>other</w:t>
      </w:r>
      <w:r>
        <w:rPr>
          <w:color w:val="231F20"/>
          <w:spacing w:val="-10"/>
          <w:sz w:val="20"/>
        </w:rPr>
        <w:t xml:space="preserve"> </w:t>
      </w:r>
      <w:r>
        <w:rPr>
          <w:color w:val="231F20"/>
          <w:sz w:val="20"/>
        </w:rPr>
        <w:t>matters</w:t>
      </w:r>
      <w:r>
        <w:rPr>
          <w:color w:val="231F20"/>
          <w:spacing w:val="-11"/>
          <w:sz w:val="20"/>
        </w:rPr>
        <w:t xml:space="preserve"> </w:t>
      </w:r>
      <w:r>
        <w:rPr>
          <w:color w:val="231F20"/>
          <w:sz w:val="20"/>
        </w:rPr>
        <w:t>requiring</w:t>
      </w:r>
      <w:r>
        <w:rPr>
          <w:color w:val="231F20"/>
          <w:spacing w:val="-10"/>
          <w:sz w:val="20"/>
        </w:rPr>
        <w:t xml:space="preserve"> </w:t>
      </w:r>
      <w:r>
        <w:rPr>
          <w:color w:val="231F20"/>
          <w:sz w:val="20"/>
        </w:rPr>
        <w:t>some</w:t>
      </w:r>
      <w:r>
        <w:rPr>
          <w:color w:val="231F20"/>
          <w:spacing w:val="-10"/>
          <w:sz w:val="20"/>
        </w:rPr>
        <w:t xml:space="preserve"> </w:t>
      </w:r>
      <w:r>
        <w:rPr>
          <w:color w:val="231F20"/>
          <w:spacing w:val="-3"/>
          <w:sz w:val="20"/>
        </w:rPr>
        <w:t xml:space="preserve">form </w:t>
      </w:r>
      <w:r>
        <w:rPr>
          <w:color w:val="231F20"/>
          <w:sz w:val="20"/>
        </w:rPr>
        <w:t>of</w:t>
      </w:r>
      <w:r>
        <w:rPr>
          <w:color w:val="231F20"/>
          <w:spacing w:val="-9"/>
          <w:sz w:val="20"/>
        </w:rPr>
        <w:t xml:space="preserve"> </w:t>
      </w:r>
      <w:r>
        <w:rPr>
          <w:color w:val="231F20"/>
          <w:sz w:val="20"/>
        </w:rPr>
        <w:t>protection.</w:t>
      </w:r>
      <w:r>
        <w:rPr>
          <w:color w:val="231F20"/>
          <w:position w:val="7"/>
          <w:sz w:val="11"/>
        </w:rPr>
        <w:t>112</w:t>
      </w:r>
      <w:r>
        <w:rPr>
          <w:color w:val="231F20"/>
          <w:spacing w:val="17"/>
          <w:position w:val="7"/>
          <w:sz w:val="11"/>
        </w:rPr>
        <w:t xml:space="preserve"> </w:t>
      </w:r>
      <w:r>
        <w:rPr>
          <w:color w:val="231F20"/>
          <w:spacing w:val="-3"/>
          <w:sz w:val="20"/>
        </w:rPr>
        <w:t>At</w:t>
      </w:r>
      <w:r>
        <w:rPr>
          <w:color w:val="231F20"/>
          <w:spacing w:val="-8"/>
          <w:sz w:val="20"/>
        </w:rPr>
        <w:t xml:space="preserve"> </w:t>
      </w:r>
      <w:r>
        <w:rPr>
          <w:color w:val="231F20"/>
          <w:sz w:val="20"/>
        </w:rPr>
        <w:t>this</w:t>
      </w:r>
      <w:r>
        <w:rPr>
          <w:color w:val="231F20"/>
          <w:spacing w:val="-9"/>
          <w:sz w:val="20"/>
        </w:rPr>
        <w:t xml:space="preserve"> </w:t>
      </w:r>
      <w:r>
        <w:rPr>
          <w:color w:val="231F20"/>
          <w:sz w:val="20"/>
        </w:rPr>
        <w:t>stage</w:t>
      </w:r>
      <w:r>
        <w:rPr>
          <w:color w:val="231F20"/>
          <w:spacing w:val="-8"/>
          <w:sz w:val="20"/>
        </w:rPr>
        <w:t xml:space="preserve"> </w:t>
      </w:r>
      <w:r>
        <w:rPr>
          <w:color w:val="231F20"/>
          <w:spacing w:val="-3"/>
          <w:sz w:val="20"/>
        </w:rPr>
        <w:t>we</w:t>
      </w:r>
      <w:r>
        <w:rPr>
          <w:color w:val="231F20"/>
          <w:spacing w:val="-8"/>
          <w:sz w:val="20"/>
        </w:rPr>
        <w:t xml:space="preserve"> </w:t>
      </w:r>
      <w:r>
        <w:rPr>
          <w:color w:val="231F20"/>
          <w:sz w:val="20"/>
        </w:rPr>
        <w:t>do</w:t>
      </w:r>
      <w:r>
        <w:rPr>
          <w:color w:val="231F20"/>
          <w:spacing w:val="-9"/>
          <w:sz w:val="20"/>
        </w:rPr>
        <w:t xml:space="preserve"> </w:t>
      </w:r>
      <w:r>
        <w:rPr>
          <w:color w:val="231F20"/>
          <w:sz w:val="20"/>
        </w:rPr>
        <w:t>not</w:t>
      </w:r>
      <w:r>
        <w:rPr>
          <w:color w:val="231F20"/>
          <w:spacing w:val="-8"/>
          <w:sz w:val="20"/>
        </w:rPr>
        <w:t xml:space="preserve"> </w:t>
      </w:r>
      <w:r>
        <w:rPr>
          <w:color w:val="231F20"/>
          <w:sz w:val="20"/>
        </w:rPr>
        <w:t>recommend</w:t>
      </w:r>
      <w:r>
        <w:rPr>
          <w:color w:val="231F20"/>
          <w:spacing w:val="-8"/>
          <w:sz w:val="20"/>
        </w:rPr>
        <w:t xml:space="preserve"> </w:t>
      </w:r>
      <w:r>
        <w:rPr>
          <w:color w:val="231F20"/>
          <w:sz w:val="20"/>
        </w:rPr>
        <w:t>stalking</w:t>
      </w:r>
      <w:r>
        <w:rPr>
          <w:color w:val="231F20"/>
          <w:spacing w:val="-8"/>
          <w:sz w:val="20"/>
        </w:rPr>
        <w:t xml:space="preserve"> </w:t>
      </w:r>
      <w:r>
        <w:rPr>
          <w:color w:val="231F20"/>
          <w:spacing w:val="-3"/>
          <w:sz w:val="20"/>
        </w:rPr>
        <w:t>protection</w:t>
      </w:r>
      <w:r>
        <w:rPr>
          <w:color w:val="231F20"/>
          <w:spacing w:val="-9"/>
          <w:sz w:val="20"/>
        </w:rPr>
        <w:t xml:space="preserve"> </w:t>
      </w:r>
      <w:r>
        <w:rPr>
          <w:color w:val="231F20"/>
          <w:sz w:val="20"/>
        </w:rPr>
        <w:t>orders,</w:t>
      </w:r>
      <w:r>
        <w:rPr>
          <w:color w:val="231F20"/>
          <w:spacing w:val="-8"/>
          <w:sz w:val="20"/>
        </w:rPr>
        <w:t xml:space="preserve"> </w:t>
      </w:r>
      <w:r>
        <w:rPr>
          <w:color w:val="231F20"/>
          <w:spacing w:val="-4"/>
          <w:sz w:val="20"/>
        </w:rPr>
        <w:t xml:space="preserve">however </w:t>
      </w:r>
      <w:r>
        <w:rPr>
          <w:color w:val="231F20"/>
          <w:sz w:val="20"/>
        </w:rPr>
        <w:t xml:space="preserve">the recommendations </w:t>
      </w:r>
      <w:r>
        <w:rPr>
          <w:color w:val="231F20"/>
          <w:spacing w:val="-3"/>
          <w:sz w:val="20"/>
        </w:rPr>
        <w:t xml:space="preserve">we </w:t>
      </w:r>
      <w:r>
        <w:rPr>
          <w:color w:val="231F20"/>
          <w:sz w:val="20"/>
        </w:rPr>
        <w:t xml:space="preserve">do propose </w:t>
      </w:r>
      <w:r>
        <w:rPr>
          <w:color w:val="231F20"/>
          <w:spacing w:val="-3"/>
          <w:sz w:val="20"/>
        </w:rPr>
        <w:t xml:space="preserve">would achieve </w:t>
      </w:r>
      <w:r>
        <w:rPr>
          <w:color w:val="231F20"/>
          <w:sz w:val="20"/>
        </w:rPr>
        <w:t>the aim of separating stalking matters</w:t>
      </w:r>
      <w:r>
        <w:rPr>
          <w:color w:val="231F20"/>
          <w:spacing w:val="-5"/>
          <w:sz w:val="20"/>
        </w:rPr>
        <w:t xml:space="preserve"> </w:t>
      </w:r>
      <w:r>
        <w:rPr>
          <w:color w:val="231F20"/>
          <w:sz w:val="20"/>
        </w:rPr>
        <w:t>out.</w:t>
      </w:r>
    </w:p>
    <w:p w14:paraId="7F73E5D8" w14:textId="77777777" w:rsidR="00894070" w:rsidRDefault="009B7AFD">
      <w:pPr>
        <w:pStyle w:val="ListParagraph"/>
        <w:numPr>
          <w:ilvl w:val="1"/>
          <w:numId w:val="102"/>
        </w:numPr>
        <w:tabs>
          <w:tab w:val="left" w:pos="1801"/>
          <w:tab w:val="left" w:pos="1802"/>
        </w:tabs>
        <w:spacing w:before="128" w:line="206" w:lineRule="auto"/>
        <w:ind w:right="1256"/>
        <w:rPr>
          <w:sz w:val="20"/>
        </w:rPr>
      </w:pPr>
      <w:r>
        <w:rPr>
          <w:color w:val="231F20"/>
          <w:sz w:val="20"/>
        </w:rPr>
        <w:t xml:space="preserve">In the consultation paper </w:t>
      </w:r>
      <w:r>
        <w:rPr>
          <w:color w:val="231F20"/>
          <w:spacing w:val="-3"/>
          <w:sz w:val="20"/>
        </w:rPr>
        <w:t xml:space="preserve">we </w:t>
      </w:r>
      <w:r>
        <w:rPr>
          <w:color w:val="231F20"/>
          <w:sz w:val="20"/>
        </w:rPr>
        <w:t xml:space="preserve">asked about the need </w:t>
      </w:r>
      <w:r>
        <w:rPr>
          <w:color w:val="231F20"/>
          <w:spacing w:val="-3"/>
          <w:sz w:val="20"/>
        </w:rPr>
        <w:t xml:space="preserve">for </w:t>
      </w:r>
      <w:r>
        <w:rPr>
          <w:color w:val="231F20"/>
          <w:sz w:val="20"/>
        </w:rPr>
        <w:t xml:space="preserve">the equivalent of a </w:t>
      </w:r>
      <w:r>
        <w:rPr>
          <w:color w:val="231F20"/>
          <w:spacing w:val="-3"/>
          <w:sz w:val="20"/>
        </w:rPr>
        <w:t xml:space="preserve">family </w:t>
      </w:r>
      <w:r>
        <w:rPr>
          <w:color w:val="231F20"/>
          <w:sz w:val="20"/>
        </w:rPr>
        <w:t xml:space="preserve">violence safety notice </w:t>
      </w:r>
      <w:r>
        <w:rPr>
          <w:color w:val="231F20"/>
          <w:spacing w:val="-3"/>
          <w:sz w:val="20"/>
        </w:rPr>
        <w:t xml:space="preserve">(FVSN), </w:t>
      </w:r>
      <w:r>
        <w:rPr>
          <w:color w:val="231F20"/>
          <w:sz w:val="20"/>
        </w:rPr>
        <w:t xml:space="preserve">which is issued </w:t>
      </w:r>
      <w:r>
        <w:rPr>
          <w:color w:val="231F20"/>
          <w:spacing w:val="-3"/>
          <w:sz w:val="20"/>
        </w:rPr>
        <w:t xml:space="preserve">by </w:t>
      </w:r>
      <w:r>
        <w:rPr>
          <w:color w:val="231F20"/>
          <w:sz w:val="20"/>
        </w:rPr>
        <w:t xml:space="preserve">police who </w:t>
      </w:r>
      <w:r>
        <w:rPr>
          <w:color w:val="231F20"/>
          <w:spacing w:val="-2"/>
          <w:sz w:val="20"/>
        </w:rPr>
        <w:t xml:space="preserve">attend </w:t>
      </w:r>
      <w:r>
        <w:rPr>
          <w:color w:val="231F20"/>
          <w:spacing w:val="-3"/>
          <w:sz w:val="20"/>
        </w:rPr>
        <w:t xml:space="preserve">family </w:t>
      </w:r>
      <w:r>
        <w:rPr>
          <w:color w:val="231F20"/>
          <w:sz w:val="20"/>
        </w:rPr>
        <w:t>violence incidents.</w:t>
      </w:r>
      <w:r>
        <w:rPr>
          <w:color w:val="231F20"/>
          <w:spacing w:val="-8"/>
          <w:sz w:val="20"/>
        </w:rPr>
        <w:t xml:space="preserve"> </w:t>
      </w:r>
      <w:r>
        <w:rPr>
          <w:color w:val="231F20"/>
          <w:sz w:val="20"/>
        </w:rPr>
        <w:t>FVSNs</w:t>
      </w:r>
      <w:r>
        <w:rPr>
          <w:color w:val="231F20"/>
          <w:spacing w:val="-8"/>
          <w:sz w:val="20"/>
        </w:rPr>
        <w:t xml:space="preserve"> </w:t>
      </w:r>
      <w:r>
        <w:rPr>
          <w:color w:val="231F20"/>
          <w:spacing w:val="-3"/>
          <w:sz w:val="20"/>
        </w:rPr>
        <w:t>provide</w:t>
      </w:r>
      <w:r>
        <w:rPr>
          <w:color w:val="231F20"/>
          <w:spacing w:val="-7"/>
          <w:sz w:val="20"/>
        </w:rPr>
        <w:t xml:space="preserve"> </w:t>
      </w:r>
      <w:r>
        <w:rPr>
          <w:color w:val="231F20"/>
          <w:sz w:val="20"/>
        </w:rPr>
        <w:t>urgent</w:t>
      </w:r>
      <w:r>
        <w:rPr>
          <w:color w:val="231F20"/>
          <w:spacing w:val="-8"/>
          <w:sz w:val="20"/>
        </w:rPr>
        <w:t xml:space="preserve"> </w:t>
      </w:r>
      <w:r>
        <w:rPr>
          <w:color w:val="231F20"/>
          <w:sz w:val="20"/>
        </w:rPr>
        <w:t>and</w:t>
      </w:r>
      <w:r>
        <w:rPr>
          <w:color w:val="231F20"/>
          <w:spacing w:val="-8"/>
          <w:sz w:val="20"/>
        </w:rPr>
        <w:t xml:space="preserve"> </w:t>
      </w:r>
      <w:r>
        <w:rPr>
          <w:color w:val="231F20"/>
          <w:sz w:val="20"/>
        </w:rPr>
        <w:t>temporary</w:t>
      </w:r>
      <w:r>
        <w:rPr>
          <w:color w:val="231F20"/>
          <w:spacing w:val="-7"/>
          <w:sz w:val="20"/>
        </w:rPr>
        <w:t xml:space="preserve"> </w:t>
      </w:r>
      <w:r>
        <w:rPr>
          <w:color w:val="231F20"/>
          <w:spacing w:val="-3"/>
          <w:sz w:val="20"/>
        </w:rPr>
        <w:t>protection</w:t>
      </w:r>
      <w:r>
        <w:rPr>
          <w:color w:val="231F20"/>
          <w:spacing w:val="-8"/>
          <w:sz w:val="20"/>
        </w:rPr>
        <w:t xml:space="preserve"> </w:t>
      </w:r>
      <w:r>
        <w:rPr>
          <w:color w:val="231F20"/>
          <w:sz w:val="20"/>
        </w:rPr>
        <w:t>until</w:t>
      </w:r>
      <w:r>
        <w:rPr>
          <w:color w:val="231F20"/>
          <w:spacing w:val="-8"/>
          <w:sz w:val="20"/>
        </w:rPr>
        <w:t xml:space="preserve"> </w:t>
      </w:r>
      <w:r>
        <w:rPr>
          <w:color w:val="231F20"/>
          <w:sz w:val="20"/>
        </w:rPr>
        <w:t>the</w:t>
      </w:r>
      <w:r>
        <w:rPr>
          <w:color w:val="231F20"/>
          <w:spacing w:val="-7"/>
          <w:sz w:val="20"/>
        </w:rPr>
        <w:t xml:space="preserve"> </w:t>
      </w:r>
      <w:r>
        <w:rPr>
          <w:color w:val="231F20"/>
          <w:sz w:val="20"/>
        </w:rPr>
        <w:t>court</w:t>
      </w:r>
      <w:r>
        <w:rPr>
          <w:color w:val="231F20"/>
          <w:spacing w:val="-8"/>
          <w:sz w:val="20"/>
        </w:rPr>
        <w:t xml:space="preserve"> </w:t>
      </w:r>
      <w:r>
        <w:rPr>
          <w:color w:val="231F20"/>
          <w:sz w:val="20"/>
        </w:rPr>
        <w:t>can</w:t>
      </w:r>
      <w:r>
        <w:rPr>
          <w:color w:val="231F20"/>
          <w:spacing w:val="-8"/>
          <w:sz w:val="20"/>
        </w:rPr>
        <w:t xml:space="preserve"> </w:t>
      </w:r>
      <w:r>
        <w:rPr>
          <w:color w:val="231F20"/>
          <w:sz w:val="20"/>
        </w:rPr>
        <w:t>make</w:t>
      </w:r>
      <w:r>
        <w:rPr>
          <w:color w:val="231F20"/>
          <w:spacing w:val="-7"/>
          <w:sz w:val="20"/>
        </w:rPr>
        <w:t xml:space="preserve"> </w:t>
      </w:r>
      <w:r>
        <w:rPr>
          <w:color w:val="231F20"/>
          <w:sz w:val="20"/>
        </w:rPr>
        <w:t xml:space="preserve">an </w:t>
      </w:r>
      <w:r>
        <w:rPr>
          <w:color w:val="231F20"/>
          <w:spacing w:val="-3"/>
          <w:sz w:val="20"/>
        </w:rPr>
        <w:t>interim</w:t>
      </w:r>
      <w:r>
        <w:rPr>
          <w:color w:val="231F20"/>
          <w:spacing w:val="-8"/>
          <w:sz w:val="20"/>
        </w:rPr>
        <w:t xml:space="preserve"> </w:t>
      </w:r>
      <w:r>
        <w:rPr>
          <w:color w:val="231F20"/>
          <w:sz w:val="20"/>
        </w:rPr>
        <w:t>or</w:t>
      </w:r>
      <w:r>
        <w:rPr>
          <w:color w:val="231F20"/>
          <w:spacing w:val="-8"/>
          <w:sz w:val="20"/>
        </w:rPr>
        <w:t xml:space="preserve"> </w:t>
      </w:r>
      <w:r>
        <w:rPr>
          <w:color w:val="231F20"/>
          <w:sz w:val="20"/>
        </w:rPr>
        <w:t>final</w:t>
      </w:r>
      <w:r>
        <w:rPr>
          <w:color w:val="231F20"/>
          <w:spacing w:val="-7"/>
          <w:sz w:val="20"/>
        </w:rPr>
        <w:t xml:space="preserve"> </w:t>
      </w:r>
      <w:r>
        <w:rPr>
          <w:color w:val="231F20"/>
          <w:spacing w:val="-3"/>
          <w:sz w:val="20"/>
        </w:rPr>
        <w:t>order.</w:t>
      </w:r>
      <w:r>
        <w:rPr>
          <w:color w:val="231F20"/>
          <w:spacing w:val="-3"/>
          <w:position w:val="7"/>
          <w:sz w:val="11"/>
        </w:rPr>
        <w:t>113</w:t>
      </w:r>
      <w:r>
        <w:rPr>
          <w:color w:val="231F20"/>
          <w:spacing w:val="16"/>
          <w:position w:val="7"/>
          <w:sz w:val="11"/>
        </w:rPr>
        <w:t xml:space="preserve"> </w:t>
      </w:r>
      <w:r>
        <w:rPr>
          <w:color w:val="231F20"/>
          <w:sz w:val="20"/>
        </w:rPr>
        <w:t>The</w:t>
      </w:r>
      <w:r>
        <w:rPr>
          <w:color w:val="231F20"/>
          <w:spacing w:val="-8"/>
          <w:sz w:val="20"/>
        </w:rPr>
        <w:t xml:space="preserve"> </w:t>
      </w:r>
      <w:r>
        <w:rPr>
          <w:color w:val="231F20"/>
          <w:sz w:val="20"/>
        </w:rPr>
        <w:t>PSIO</w:t>
      </w:r>
      <w:r>
        <w:rPr>
          <w:color w:val="231F20"/>
          <w:spacing w:val="-7"/>
          <w:sz w:val="20"/>
        </w:rPr>
        <w:t xml:space="preserve"> </w:t>
      </w:r>
      <w:r>
        <w:rPr>
          <w:color w:val="231F20"/>
          <w:spacing w:val="-2"/>
          <w:sz w:val="20"/>
        </w:rPr>
        <w:t>Act</w:t>
      </w:r>
      <w:r>
        <w:rPr>
          <w:color w:val="231F20"/>
          <w:spacing w:val="-8"/>
          <w:sz w:val="20"/>
        </w:rPr>
        <w:t xml:space="preserve"> </w:t>
      </w:r>
      <w:r>
        <w:rPr>
          <w:color w:val="231F20"/>
          <w:sz w:val="20"/>
        </w:rPr>
        <w:t>does</w:t>
      </w:r>
      <w:r>
        <w:rPr>
          <w:color w:val="231F20"/>
          <w:spacing w:val="-7"/>
          <w:sz w:val="20"/>
        </w:rPr>
        <w:t xml:space="preserve"> </w:t>
      </w:r>
      <w:r>
        <w:rPr>
          <w:color w:val="231F20"/>
          <w:sz w:val="20"/>
        </w:rPr>
        <w:t>not</w:t>
      </w:r>
      <w:r>
        <w:rPr>
          <w:color w:val="231F20"/>
          <w:spacing w:val="-8"/>
          <w:sz w:val="20"/>
        </w:rPr>
        <w:t xml:space="preserve"> </w:t>
      </w:r>
      <w:r>
        <w:rPr>
          <w:color w:val="231F20"/>
          <w:spacing w:val="-4"/>
          <w:sz w:val="20"/>
        </w:rPr>
        <w:t>have</w:t>
      </w:r>
      <w:r>
        <w:rPr>
          <w:color w:val="231F20"/>
          <w:spacing w:val="-8"/>
          <w:sz w:val="20"/>
        </w:rPr>
        <w:t xml:space="preserve"> </w:t>
      </w:r>
      <w:r>
        <w:rPr>
          <w:color w:val="231F20"/>
          <w:sz w:val="20"/>
        </w:rPr>
        <w:t>an</w:t>
      </w:r>
      <w:r>
        <w:rPr>
          <w:color w:val="231F20"/>
          <w:spacing w:val="-7"/>
          <w:sz w:val="20"/>
        </w:rPr>
        <w:t xml:space="preserve"> </w:t>
      </w:r>
      <w:r>
        <w:rPr>
          <w:color w:val="231F20"/>
          <w:sz w:val="20"/>
        </w:rPr>
        <w:t>equivalent</w:t>
      </w:r>
      <w:r>
        <w:rPr>
          <w:color w:val="231F20"/>
          <w:spacing w:val="-8"/>
          <w:sz w:val="20"/>
        </w:rPr>
        <w:t xml:space="preserve"> </w:t>
      </w:r>
      <w:r>
        <w:rPr>
          <w:color w:val="231F20"/>
          <w:sz w:val="20"/>
        </w:rPr>
        <w:t>police-issued</w:t>
      </w:r>
      <w:r>
        <w:rPr>
          <w:color w:val="231F20"/>
          <w:spacing w:val="-8"/>
          <w:sz w:val="20"/>
        </w:rPr>
        <w:t xml:space="preserve"> </w:t>
      </w:r>
      <w:r>
        <w:rPr>
          <w:color w:val="231F20"/>
          <w:sz w:val="20"/>
        </w:rPr>
        <w:t>notice.</w:t>
      </w:r>
    </w:p>
    <w:p w14:paraId="1C457A65" w14:textId="77777777" w:rsidR="00894070" w:rsidRDefault="009B7AFD">
      <w:pPr>
        <w:pStyle w:val="ListParagraph"/>
        <w:numPr>
          <w:ilvl w:val="1"/>
          <w:numId w:val="102"/>
        </w:numPr>
        <w:tabs>
          <w:tab w:val="left" w:pos="1801"/>
          <w:tab w:val="left" w:pos="1802"/>
        </w:tabs>
        <w:spacing w:before="125" w:line="206" w:lineRule="auto"/>
        <w:ind w:right="1337"/>
        <w:rPr>
          <w:sz w:val="20"/>
        </w:rPr>
      </w:pPr>
      <w:r>
        <w:rPr>
          <w:color w:val="231F20"/>
          <w:sz w:val="20"/>
        </w:rPr>
        <w:t>Under</w:t>
      </w:r>
      <w:r>
        <w:rPr>
          <w:color w:val="231F20"/>
          <w:spacing w:val="-7"/>
          <w:sz w:val="20"/>
        </w:rPr>
        <w:t xml:space="preserve"> </w:t>
      </w:r>
      <w:r>
        <w:rPr>
          <w:color w:val="231F20"/>
          <w:sz w:val="20"/>
        </w:rPr>
        <w:t>the</w:t>
      </w:r>
      <w:r>
        <w:rPr>
          <w:color w:val="231F20"/>
          <w:spacing w:val="-7"/>
          <w:sz w:val="20"/>
        </w:rPr>
        <w:t xml:space="preserve"> </w:t>
      </w:r>
      <w:r>
        <w:rPr>
          <w:color w:val="231F20"/>
          <w:sz w:val="20"/>
        </w:rPr>
        <w:t>PSIO</w:t>
      </w:r>
      <w:r>
        <w:rPr>
          <w:color w:val="231F20"/>
          <w:spacing w:val="-7"/>
          <w:sz w:val="20"/>
        </w:rPr>
        <w:t xml:space="preserve"> </w:t>
      </w:r>
      <w:r>
        <w:rPr>
          <w:color w:val="231F20"/>
          <w:sz w:val="20"/>
        </w:rPr>
        <w:t>Act,</w:t>
      </w:r>
      <w:r>
        <w:rPr>
          <w:color w:val="231F20"/>
          <w:spacing w:val="-6"/>
          <w:sz w:val="20"/>
        </w:rPr>
        <w:t xml:space="preserve"> </w:t>
      </w:r>
      <w:r>
        <w:rPr>
          <w:color w:val="231F20"/>
          <w:sz w:val="20"/>
        </w:rPr>
        <w:t>police</w:t>
      </w:r>
      <w:r>
        <w:rPr>
          <w:color w:val="231F20"/>
          <w:spacing w:val="-7"/>
          <w:sz w:val="20"/>
        </w:rPr>
        <w:t xml:space="preserve"> </w:t>
      </w:r>
      <w:r>
        <w:rPr>
          <w:color w:val="231F20"/>
          <w:spacing w:val="-4"/>
          <w:sz w:val="20"/>
        </w:rPr>
        <w:t>have</w:t>
      </w:r>
      <w:r>
        <w:rPr>
          <w:color w:val="231F20"/>
          <w:spacing w:val="-7"/>
          <w:sz w:val="20"/>
        </w:rPr>
        <w:t xml:space="preserve"> </w:t>
      </w:r>
      <w:r>
        <w:rPr>
          <w:color w:val="231F20"/>
          <w:sz w:val="20"/>
        </w:rPr>
        <w:t>the</w:t>
      </w:r>
      <w:r>
        <w:rPr>
          <w:color w:val="231F20"/>
          <w:spacing w:val="-7"/>
          <w:sz w:val="20"/>
        </w:rPr>
        <w:t xml:space="preserve"> </w:t>
      </w:r>
      <w:r>
        <w:rPr>
          <w:color w:val="231F20"/>
          <w:spacing w:val="-3"/>
          <w:sz w:val="20"/>
        </w:rPr>
        <w:t>power</w:t>
      </w:r>
      <w:r>
        <w:rPr>
          <w:color w:val="231F20"/>
          <w:spacing w:val="-6"/>
          <w:sz w:val="20"/>
        </w:rPr>
        <w:t xml:space="preserve"> </w:t>
      </w:r>
      <w:r>
        <w:rPr>
          <w:color w:val="231F20"/>
          <w:sz w:val="20"/>
        </w:rPr>
        <w:t>to</w:t>
      </w:r>
      <w:r>
        <w:rPr>
          <w:color w:val="231F20"/>
          <w:spacing w:val="-7"/>
          <w:sz w:val="20"/>
        </w:rPr>
        <w:t xml:space="preserve"> </w:t>
      </w:r>
      <w:r>
        <w:rPr>
          <w:color w:val="231F20"/>
          <w:spacing w:val="-3"/>
          <w:sz w:val="20"/>
        </w:rPr>
        <w:t>apply</w:t>
      </w:r>
      <w:r>
        <w:rPr>
          <w:color w:val="231F20"/>
          <w:spacing w:val="-7"/>
          <w:sz w:val="20"/>
        </w:rPr>
        <w:t xml:space="preserve"> </w:t>
      </w:r>
      <w:r>
        <w:rPr>
          <w:color w:val="231F20"/>
          <w:sz w:val="20"/>
        </w:rPr>
        <w:t>to</w:t>
      </w:r>
      <w:r>
        <w:rPr>
          <w:color w:val="231F20"/>
          <w:spacing w:val="-6"/>
          <w:sz w:val="20"/>
        </w:rPr>
        <w:t xml:space="preserve"> </w:t>
      </w:r>
      <w:r>
        <w:rPr>
          <w:color w:val="231F20"/>
          <w:sz w:val="20"/>
        </w:rPr>
        <w:t>the</w:t>
      </w:r>
      <w:r>
        <w:rPr>
          <w:color w:val="231F20"/>
          <w:spacing w:val="-7"/>
          <w:sz w:val="20"/>
        </w:rPr>
        <w:t xml:space="preserve"> </w:t>
      </w:r>
      <w:r>
        <w:rPr>
          <w:color w:val="231F20"/>
          <w:sz w:val="20"/>
        </w:rPr>
        <w:t>court</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a</w:t>
      </w:r>
      <w:r>
        <w:rPr>
          <w:color w:val="231F20"/>
          <w:spacing w:val="-6"/>
          <w:sz w:val="20"/>
        </w:rPr>
        <w:t xml:space="preserve"> </w:t>
      </w:r>
      <w:r>
        <w:rPr>
          <w:color w:val="231F20"/>
          <w:sz w:val="20"/>
        </w:rPr>
        <w:t>warrant</w:t>
      </w:r>
      <w:r>
        <w:rPr>
          <w:color w:val="231F20"/>
          <w:spacing w:val="-7"/>
          <w:sz w:val="20"/>
        </w:rPr>
        <w:t xml:space="preserve"> </w:t>
      </w:r>
      <w:r>
        <w:rPr>
          <w:color w:val="231F20"/>
          <w:sz w:val="20"/>
        </w:rPr>
        <w:t>to</w:t>
      </w:r>
      <w:r>
        <w:rPr>
          <w:color w:val="231F20"/>
          <w:spacing w:val="-7"/>
          <w:sz w:val="20"/>
        </w:rPr>
        <w:t xml:space="preserve"> </w:t>
      </w:r>
      <w:r>
        <w:rPr>
          <w:color w:val="231F20"/>
          <w:spacing w:val="-2"/>
          <w:sz w:val="20"/>
        </w:rPr>
        <w:t xml:space="preserve">arrest </w:t>
      </w:r>
      <w:r>
        <w:rPr>
          <w:color w:val="231F20"/>
          <w:sz w:val="20"/>
        </w:rPr>
        <w:t>the</w:t>
      </w:r>
      <w:r>
        <w:rPr>
          <w:color w:val="231F20"/>
          <w:spacing w:val="-6"/>
          <w:sz w:val="20"/>
        </w:rPr>
        <w:t xml:space="preserve"> </w:t>
      </w:r>
      <w:r>
        <w:rPr>
          <w:color w:val="231F20"/>
          <w:spacing w:val="-2"/>
          <w:sz w:val="20"/>
        </w:rPr>
        <w:t>respondent</w:t>
      </w:r>
      <w:r>
        <w:rPr>
          <w:color w:val="231F20"/>
          <w:spacing w:val="-5"/>
          <w:sz w:val="20"/>
        </w:rPr>
        <w:t xml:space="preserve"> </w:t>
      </w:r>
      <w:r>
        <w:rPr>
          <w:color w:val="231F20"/>
          <w:sz w:val="20"/>
        </w:rPr>
        <w:t>if</w:t>
      </w:r>
      <w:r>
        <w:rPr>
          <w:color w:val="231F20"/>
          <w:spacing w:val="-5"/>
          <w:sz w:val="20"/>
        </w:rPr>
        <w:t xml:space="preserve"> </w:t>
      </w:r>
      <w:r>
        <w:rPr>
          <w:color w:val="231F20"/>
          <w:sz w:val="20"/>
        </w:rPr>
        <w:t>the</w:t>
      </w:r>
      <w:r>
        <w:rPr>
          <w:color w:val="231F20"/>
          <w:spacing w:val="-5"/>
          <w:sz w:val="20"/>
        </w:rPr>
        <w:t xml:space="preserve"> </w:t>
      </w:r>
      <w:r>
        <w:rPr>
          <w:color w:val="231F20"/>
          <w:sz w:val="20"/>
        </w:rPr>
        <w:t>court</w:t>
      </w:r>
      <w:r>
        <w:rPr>
          <w:color w:val="231F20"/>
          <w:spacing w:val="-6"/>
          <w:sz w:val="20"/>
        </w:rPr>
        <w:t xml:space="preserve"> </w:t>
      </w:r>
      <w:r>
        <w:rPr>
          <w:color w:val="231F20"/>
          <w:spacing w:val="-3"/>
          <w:sz w:val="20"/>
        </w:rPr>
        <w:t>believes</w:t>
      </w:r>
      <w:r>
        <w:rPr>
          <w:color w:val="231F20"/>
          <w:spacing w:val="-5"/>
          <w:sz w:val="20"/>
        </w:rPr>
        <w:t xml:space="preserve"> </w:t>
      </w:r>
      <w:r>
        <w:rPr>
          <w:color w:val="231F20"/>
          <w:sz w:val="20"/>
        </w:rPr>
        <w:t>on</w:t>
      </w:r>
      <w:r>
        <w:rPr>
          <w:color w:val="231F20"/>
          <w:spacing w:val="-5"/>
          <w:sz w:val="20"/>
        </w:rPr>
        <w:t xml:space="preserve"> </w:t>
      </w:r>
      <w:r>
        <w:rPr>
          <w:color w:val="231F20"/>
          <w:sz w:val="20"/>
        </w:rPr>
        <w:t>reasonable</w:t>
      </w:r>
      <w:r>
        <w:rPr>
          <w:color w:val="231F20"/>
          <w:spacing w:val="-5"/>
          <w:sz w:val="20"/>
        </w:rPr>
        <w:t xml:space="preserve"> </w:t>
      </w:r>
      <w:proofErr w:type="gramStart"/>
      <w:r>
        <w:rPr>
          <w:color w:val="231F20"/>
          <w:sz w:val="20"/>
        </w:rPr>
        <w:t>grounds</w:t>
      </w:r>
      <w:proofErr w:type="gramEnd"/>
      <w:r>
        <w:rPr>
          <w:color w:val="231F20"/>
          <w:spacing w:val="-5"/>
          <w:sz w:val="20"/>
        </w:rPr>
        <w:t xml:space="preserve"> </w:t>
      </w:r>
      <w:r>
        <w:rPr>
          <w:color w:val="231F20"/>
          <w:sz w:val="20"/>
        </w:rPr>
        <w:t>it</w:t>
      </w:r>
      <w:r>
        <w:rPr>
          <w:color w:val="231F20"/>
          <w:spacing w:val="-6"/>
          <w:sz w:val="20"/>
        </w:rPr>
        <w:t xml:space="preserve"> </w:t>
      </w:r>
      <w:r>
        <w:rPr>
          <w:color w:val="231F20"/>
          <w:sz w:val="20"/>
        </w:rPr>
        <w:t>is</w:t>
      </w:r>
      <w:r>
        <w:rPr>
          <w:color w:val="231F20"/>
          <w:spacing w:val="-5"/>
          <w:sz w:val="20"/>
        </w:rPr>
        <w:t xml:space="preserve"> </w:t>
      </w:r>
      <w:r>
        <w:rPr>
          <w:color w:val="231F20"/>
          <w:sz w:val="20"/>
        </w:rPr>
        <w:t>necessary</w:t>
      </w:r>
      <w:r>
        <w:rPr>
          <w:color w:val="231F20"/>
          <w:spacing w:val="-5"/>
          <w:sz w:val="20"/>
        </w:rPr>
        <w:t xml:space="preserve"> </w:t>
      </w:r>
      <w:r>
        <w:rPr>
          <w:color w:val="231F20"/>
          <w:spacing w:val="-3"/>
          <w:sz w:val="20"/>
        </w:rPr>
        <w:t>to:</w:t>
      </w:r>
    </w:p>
    <w:p w14:paraId="30752FF6" w14:textId="77777777" w:rsidR="00894070" w:rsidRDefault="009B7AFD">
      <w:pPr>
        <w:pStyle w:val="ListParagraph"/>
        <w:numPr>
          <w:ilvl w:val="2"/>
          <w:numId w:val="102"/>
        </w:numPr>
        <w:tabs>
          <w:tab w:val="left" w:pos="2141"/>
          <w:tab w:val="left" w:pos="2142"/>
        </w:tabs>
        <w:spacing w:before="90"/>
        <w:ind w:hanging="340"/>
        <w:rPr>
          <w:sz w:val="20"/>
        </w:rPr>
      </w:pPr>
      <w:r>
        <w:rPr>
          <w:color w:val="231F20"/>
          <w:sz w:val="20"/>
        </w:rPr>
        <w:t>keep the victim survivor</w:t>
      </w:r>
      <w:r>
        <w:rPr>
          <w:color w:val="231F20"/>
          <w:spacing w:val="-17"/>
          <w:sz w:val="20"/>
        </w:rPr>
        <w:t xml:space="preserve"> </w:t>
      </w:r>
      <w:r>
        <w:rPr>
          <w:color w:val="231F20"/>
          <w:spacing w:val="-3"/>
          <w:sz w:val="20"/>
        </w:rPr>
        <w:t>safe</w:t>
      </w:r>
    </w:p>
    <w:p w14:paraId="1ABDBDD8"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 xml:space="preserve">preserve their </w:t>
      </w:r>
      <w:r>
        <w:rPr>
          <w:color w:val="231F20"/>
          <w:spacing w:val="-3"/>
          <w:sz w:val="20"/>
        </w:rPr>
        <w:t>property,</w:t>
      </w:r>
      <w:r>
        <w:rPr>
          <w:color w:val="231F20"/>
          <w:spacing w:val="-13"/>
          <w:sz w:val="20"/>
        </w:rPr>
        <w:t xml:space="preserve"> </w:t>
      </w:r>
      <w:r>
        <w:rPr>
          <w:color w:val="231F20"/>
          <w:sz w:val="20"/>
        </w:rPr>
        <w:t>or</w:t>
      </w:r>
    </w:p>
    <w:p w14:paraId="7C28DA43" w14:textId="77777777" w:rsidR="00894070" w:rsidRDefault="009B7AFD">
      <w:pPr>
        <w:pStyle w:val="ListParagraph"/>
        <w:numPr>
          <w:ilvl w:val="2"/>
          <w:numId w:val="102"/>
        </w:numPr>
        <w:tabs>
          <w:tab w:val="left" w:pos="2141"/>
          <w:tab w:val="left" w:pos="2142"/>
        </w:tabs>
        <w:spacing w:before="47"/>
        <w:ind w:hanging="340"/>
        <w:rPr>
          <w:sz w:val="11"/>
        </w:rPr>
      </w:pPr>
      <w:r>
        <w:rPr>
          <w:color w:val="231F20"/>
          <w:sz w:val="20"/>
        </w:rPr>
        <w:t>ensure that the respondent attends</w:t>
      </w:r>
      <w:r>
        <w:rPr>
          <w:color w:val="231F20"/>
          <w:spacing w:val="-22"/>
          <w:sz w:val="20"/>
        </w:rPr>
        <w:t xml:space="preserve"> </w:t>
      </w:r>
      <w:r>
        <w:rPr>
          <w:color w:val="231F20"/>
          <w:sz w:val="20"/>
        </w:rPr>
        <w:t>court.</w:t>
      </w:r>
      <w:r>
        <w:rPr>
          <w:color w:val="231F20"/>
          <w:position w:val="7"/>
          <w:sz w:val="11"/>
        </w:rPr>
        <w:t>114</w:t>
      </w:r>
    </w:p>
    <w:p w14:paraId="464A3187" w14:textId="77777777" w:rsidR="00894070" w:rsidRDefault="00894070">
      <w:pPr>
        <w:pStyle w:val="BodyText"/>
      </w:pPr>
    </w:p>
    <w:p w14:paraId="275AE52E" w14:textId="77777777" w:rsidR="00894070" w:rsidRDefault="009F6793">
      <w:pPr>
        <w:pStyle w:val="BodyText"/>
        <w:spacing w:before="11"/>
        <w:rPr>
          <w:sz w:val="16"/>
        </w:rPr>
      </w:pPr>
      <w:r>
        <w:pict w14:anchorId="2F8E2855">
          <v:line id="_x0000_s1317" style="position:absolute;z-index:251668480;mso-wrap-distance-left:0;mso-wrap-distance-right:0;mso-position-horizontal-relative:page" from="79.35pt,14.15pt" to="515.9pt,14.15pt" strokecolor="#f8cabc" strokeweight="1pt">
            <w10:wrap type="topAndBottom" anchorx="page"/>
          </v:line>
        </w:pict>
      </w:r>
    </w:p>
    <w:p w14:paraId="6516E715" w14:textId="77777777" w:rsidR="00894070" w:rsidRDefault="00894070">
      <w:pPr>
        <w:pStyle w:val="BodyText"/>
        <w:rPr>
          <w:sz w:val="5"/>
        </w:rPr>
      </w:pPr>
    </w:p>
    <w:p w14:paraId="3AABF482" w14:textId="77777777" w:rsidR="00894070" w:rsidRDefault="00894070">
      <w:pPr>
        <w:rPr>
          <w:sz w:val="5"/>
        </w:rPr>
        <w:sectPr w:rsidR="00894070">
          <w:pgSz w:w="11910" w:h="16840"/>
          <w:pgMar w:top="840" w:right="420" w:bottom="280" w:left="580" w:header="0" w:footer="0" w:gutter="0"/>
          <w:cols w:space="720"/>
        </w:sectPr>
      </w:pPr>
    </w:p>
    <w:p w14:paraId="71CFFDEF" w14:textId="77777777" w:rsidR="00894070" w:rsidRDefault="009B7AFD">
      <w:pPr>
        <w:pStyle w:val="ListParagraph"/>
        <w:numPr>
          <w:ilvl w:val="0"/>
          <w:numId w:val="89"/>
        </w:numPr>
        <w:tabs>
          <w:tab w:val="left" w:pos="1801"/>
          <w:tab w:val="left" w:pos="1802"/>
        </w:tabs>
        <w:spacing w:before="38" w:line="213" w:lineRule="auto"/>
        <w:ind w:right="57"/>
        <w:jc w:val="left"/>
        <w:rPr>
          <w:sz w:val="13"/>
        </w:rPr>
      </w:pPr>
      <w:r>
        <w:rPr>
          <w:color w:val="231F20"/>
          <w:spacing w:val="2"/>
          <w:sz w:val="13"/>
        </w:rPr>
        <w:t xml:space="preserve">Ibid. </w:t>
      </w:r>
      <w:r>
        <w:rPr>
          <w:color w:val="231F20"/>
          <w:sz w:val="13"/>
        </w:rPr>
        <w:t xml:space="preserve">DSCV told us that while they used to have 10–12 DAOs they only have one now, as many of their DAOs have </w:t>
      </w:r>
      <w:r>
        <w:rPr>
          <w:color w:val="231F20"/>
          <w:spacing w:val="2"/>
          <w:sz w:val="13"/>
        </w:rPr>
        <w:t xml:space="preserve">been </w:t>
      </w:r>
      <w:r>
        <w:rPr>
          <w:color w:val="231F20"/>
          <w:sz w:val="13"/>
        </w:rPr>
        <w:t xml:space="preserve">moved to the residential tenancy space </w:t>
      </w:r>
      <w:r>
        <w:rPr>
          <w:color w:val="231F20"/>
          <w:spacing w:val="2"/>
          <w:sz w:val="13"/>
        </w:rPr>
        <w:t xml:space="preserve">because </w:t>
      </w:r>
      <w:r>
        <w:rPr>
          <w:color w:val="231F20"/>
          <w:sz w:val="13"/>
        </w:rPr>
        <w:t>of COVID-19.</w:t>
      </w:r>
    </w:p>
    <w:p w14:paraId="534DAA71" w14:textId="77777777" w:rsidR="00894070" w:rsidRDefault="009B7AFD">
      <w:pPr>
        <w:pStyle w:val="ListParagraph"/>
        <w:numPr>
          <w:ilvl w:val="0"/>
          <w:numId w:val="89"/>
        </w:numPr>
        <w:tabs>
          <w:tab w:val="left" w:pos="1801"/>
          <w:tab w:val="left" w:pos="1802"/>
        </w:tabs>
        <w:spacing w:line="213" w:lineRule="auto"/>
        <w:jc w:val="left"/>
        <w:rPr>
          <w:sz w:val="13"/>
        </w:rPr>
      </w:pPr>
      <w:r>
        <w:rPr>
          <w:color w:val="231F20"/>
          <w:sz w:val="13"/>
        </w:rPr>
        <w:t xml:space="preserve">‘Rural and regional Victoria made up a disproportionately large share of </w:t>
      </w:r>
      <w:r>
        <w:rPr>
          <w:color w:val="231F20"/>
          <w:spacing w:val="2"/>
          <w:sz w:val="13"/>
        </w:rPr>
        <w:t xml:space="preserve">PSIO applications </w:t>
      </w:r>
      <w:r>
        <w:rPr>
          <w:color w:val="231F20"/>
          <w:sz w:val="13"/>
        </w:rPr>
        <w:t xml:space="preserve">in Victoria: while 24% of Victorians live   in rural and regional areas, these areas accounted for 42% of </w:t>
      </w:r>
      <w:r>
        <w:rPr>
          <w:color w:val="231F20"/>
          <w:spacing w:val="2"/>
          <w:sz w:val="13"/>
        </w:rPr>
        <w:t xml:space="preserve">applications </w:t>
      </w:r>
      <w:r>
        <w:rPr>
          <w:color w:val="231F20"/>
          <w:sz w:val="13"/>
        </w:rPr>
        <w:t xml:space="preserve">(41% in the Magistrates’ </w:t>
      </w:r>
      <w:r>
        <w:rPr>
          <w:color w:val="231F20"/>
          <w:spacing w:val="2"/>
          <w:sz w:val="13"/>
        </w:rPr>
        <w:t xml:space="preserve">Court </w:t>
      </w:r>
      <w:r>
        <w:rPr>
          <w:color w:val="231F20"/>
          <w:sz w:val="13"/>
        </w:rPr>
        <w:t xml:space="preserve">and 53% in the Children’s </w:t>
      </w:r>
      <w:r>
        <w:rPr>
          <w:color w:val="231F20"/>
          <w:spacing w:val="2"/>
          <w:sz w:val="13"/>
        </w:rPr>
        <w:t xml:space="preserve">Court). </w:t>
      </w:r>
      <w:r>
        <w:rPr>
          <w:color w:val="231F20"/>
          <w:sz w:val="13"/>
        </w:rPr>
        <w:t xml:space="preserve">This overrepresentation </w:t>
      </w:r>
      <w:r>
        <w:rPr>
          <w:color w:val="231F20"/>
          <w:spacing w:val="2"/>
          <w:sz w:val="13"/>
        </w:rPr>
        <w:t xml:space="preserve">carried </w:t>
      </w:r>
      <w:r>
        <w:rPr>
          <w:color w:val="231F20"/>
          <w:sz w:val="13"/>
        </w:rPr>
        <w:t xml:space="preserve">through to interim and final orders made and sentenced </w:t>
      </w:r>
      <w:r>
        <w:rPr>
          <w:color w:val="231F20"/>
          <w:spacing w:val="2"/>
          <w:sz w:val="13"/>
        </w:rPr>
        <w:t xml:space="preserve">PSIO </w:t>
      </w:r>
      <w:r>
        <w:rPr>
          <w:color w:val="231F20"/>
          <w:sz w:val="13"/>
        </w:rPr>
        <w:t xml:space="preserve">breaches, with 42% of     cases in the Magistrates’ </w:t>
      </w:r>
      <w:r>
        <w:rPr>
          <w:color w:val="231F20"/>
          <w:spacing w:val="2"/>
          <w:sz w:val="13"/>
        </w:rPr>
        <w:t xml:space="preserve">Court </w:t>
      </w:r>
      <w:r>
        <w:rPr>
          <w:color w:val="231F20"/>
          <w:sz w:val="13"/>
        </w:rPr>
        <w:t xml:space="preserve">and 65% in the Children’s </w:t>
      </w:r>
      <w:r>
        <w:rPr>
          <w:color w:val="231F20"/>
          <w:spacing w:val="2"/>
          <w:sz w:val="13"/>
        </w:rPr>
        <w:t xml:space="preserve">Court </w:t>
      </w:r>
      <w:r>
        <w:rPr>
          <w:color w:val="231F20"/>
          <w:sz w:val="13"/>
        </w:rPr>
        <w:t xml:space="preserve">being sentenced in rural and regional </w:t>
      </w:r>
      <w:r>
        <w:rPr>
          <w:color w:val="231F20"/>
          <w:spacing w:val="2"/>
          <w:sz w:val="13"/>
        </w:rPr>
        <w:t xml:space="preserve">locations. </w:t>
      </w:r>
      <w:r>
        <w:rPr>
          <w:color w:val="231F20"/>
          <w:sz w:val="13"/>
        </w:rPr>
        <w:t xml:space="preserve">While regional Victoria is often overrepresented in a </w:t>
      </w:r>
      <w:r>
        <w:rPr>
          <w:color w:val="231F20"/>
          <w:spacing w:val="2"/>
          <w:sz w:val="13"/>
        </w:rPr>
        <w:t xml:space="preserve">number </w:t>
      </w:r>
      <w:r>
        <w:rPr>
          <w:color w:val="231F20"/>
          <w:sz w:val="13"/>
        </w:rPr>
        <w:t xml:space="preserve">of measures relating to criminal justice, the extent of the disparity in this instance      is </w:t>
      </w:r>
      <w:r>
        <w:rPr>
          <w:color w:val="231F20"/>
          <w:spacing w:val="2"/>
          <w:sz w:val="13"/>
        </w:rPr>
        <w:t xml:space="preserve">particularly </w:t>
      </w:r>
      <w:r>
        <w:rPr>
          <w:color w:val="231F20"/>
          <w:sz w:val="13"/>
        </w:rPr>
        <w:t xml:space="preserve">apparent, especially in </w:t>
      </w:r>
      <w:r>
        <w:rPr>
          <w:color w:val="231F20"/>
          <w:spacing w:val="2"/>
          <w:sz w:val="13"/>
        </w:rPr>
        <w:t xml:space="preserve">Gippsland </w:t>
      </w:r>
      <w:r>
        <w:rPr>
          <w:color w:val="231F20"/>
          <w:sz w:val="13"/>
        </w:rPr>
        <w:t xml:space="preserve">and Loddon Mallee.’: 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w:t>
      </w:r>
      <w:r>
        <w:rPr>
          <w:color w:val="231F20"/>
          <w:spacing w:val="7"/>
          <w:sz w:val="13"/>
        </w:rPr>
        <w:t xml:space="preserve"> </w:t>
      </w:r>
      <w:r>
        <w:rPr>
          <w:color w:val="231F20"/>
          <w:sz w:val="13"/>
        </w:rPr>
        <w:t>[10.3]</w:t>
      </w:r>
      <w:proofErr w:type="gramStart"/>
      <w:r>
        <w:rPr>
          <w:color w:val="231F20"/>
          <w:sz w:val="13"/>
        </w:rPr>
        <w:t>–[</w:t>
      </w:r>
      <w:proofErr w:type="gramEnd"/>
      <w:r>
        <w:rPr>
          <w:color w:val="231F20"/>
          <w:sz w:val="13"/>
        </w:rPr>
        <w:t>10.4].</w:t>
      </w:r>
    </w:p>
    <w:p w14:paraId="65908B30" w14:textId="77777777" w:rsidR="00894070" w:rsidRDefault="009B7AFD">
      <w:pPr>
        <w:pStyle w:val="ListParagraph"/>
        <w:numPr>
          <w:ilvl w:val="0"/>
          <w:numId w:val="89"/>
        </w:numPr>
        <w:tabs>
          <w:tab w:val="left" w:pos="1800"/>
          <w:tab w:val="left" w:pos="1802"/>
        </w:tabs>
        <w:spacing w:line="150" w:lineRule="exact"/>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 xml:space="preserve">Hinch’s Justice Party); </w:t>
      </w:r>
      <w:r>
        <w:rPr>
          <w:i/>
          <w:color w:val="231F20"/>
          <w:sz w:val="13"/>
        </w:rPr>
        <w:t xml:space="preserve">Stalking Protection Act 2019 </w:t>
      </w:r>
      <w:r>
        <w:rPr>
          <w:color w:val="231F20"/>
          <w:sz w:val="13"/>
        </w:rPr>
        <w:t>(UK) s</w:t>
      </w:r>
      <w:r>
        <w:rPr>
          <w:color w:val="231F20"/>
          <w:spacing w:val="4"/>
          <w:sz w:val="13"/>
        </w:rPr>
        <w:t xml:space="preserve"> </w:t>
      </w:r>
      <w:r>
        <w:rPr>
          <w:color w:val="231F20"/>
          <w:spacing w:val="2"/>
          <w:sz w:val="13"/>
        </w:rPr>
        <w:t>1.</w:t>
      </w:r>
    </w:p>
    <w:p w14:paraId="75389DFB" w14:textId="77777777" w:rsidR="00894070" w:rsidRDefault="009B7AFD">
      <w:pPr>
        <w:pStyle w:val="ListParagraph"/>
        <w:numPr>
          <w:ilvl w:val="0"/>
          <w:numId w:val="89"/>
        </w:numPr>
        <w:tabs>
          <w:tab w:val="left" w:pos="1801"/>
          <w:tab w:val="left" w:pos="1802"/>
        </w:tabs>
        <w:spacing w:before="5" w:line="213" w:lineRule="auto"/>
        <w:ind w:right="22"/>
        <w:jc w:val="left"/>
        <w:rPr>
          <w:sz w:val="13"/>
        </w:rPr>
      </w:pPr>
      <w:r>
        <w:rPr>
          <w:color w:val="231F20"/>
          <w:sz w:val="13"/>
        </w:rPr>
        <w:t xml:space="preserve">Police may issue family violence safety notices (without </w:t>
      </w:r>
      <w:r>
        <w:rPr>
          <w:color w:val="231F20"/>
          <w:spacing w:val="2"/>
          <w:sz w:val="13"/>
        </w:rPr>
        <w:t xml:space="preserve">application </w:t>
      </w:r>
      <w:r>
        <w:rPr>
          <w:color w:val="231F20"/>
          <w:sz w:val="13"/>
        </w:rPr>
        <w:t xml:space="preserve">to the </w:t>
      </w:r>
      <w:r>
        <w:rPr>
          <w:color w:val="231F20"/>
          <w:spacing w:val="2"/>
          <w:sz w:val="13"/>
        </w:rPr>
        <w:t xml:space="preserve">court) </w:t>
      </w:r>
      <w:r>
        <w:rPr>
          <w:color w:val="231F20"/>
          <w:sz w:val="13"/>
        </w:rPr>
        <w:t xml:space="preserve">if they believe on reasonable grounds that the notice is </w:t>
      </w:r>
      <w:r>
        <w:rPr>
          <w:color w:val="231F20"/>
          <w:spacing w:val="2"/>
          <w:sz w:val="13"/>
        </w:rPr>
        <w:t xml:space="preserve">necessary </w:t>
      </w:r>
      <w:r>
        <w:rPr>
          <w:color w:val="231F20"/>
          <w:sz w:val="13"/>
        </w:rPr>
        <w:t xml:space="preserve">to ensure the safety, or preserve the property, of the affected family member, or to protect a child who has </w:t>
      </w:r>
      <w:r>
        <w:rPr>
          <w:color w:val="231F20"/>
          <w:spacing w:val="2"/>
          <w:sz w:val="13"/>
        </w:rPr>
        <w:t xml:space="preserve">been </w:t>
      </w:r>
      <w:r>
        <w:rPr>
          <w:color w:val="231F20"/>
          <w:sz w:val="13"/>
        </w:rPr>
        <w:t xml:space="preserve">subjected to family violence. A family violence safety notice is taken to be an </w:t>
      </w:r>
      <w:r>
        <w:rPr>
          <w:color w:val="231F20"/>
          <w:spacing w:val="2"/>
          <w:sz w:val="13"/>
        </w:rPr>
        <w:t xml:space="preserve">application </w:t>
      </w:r>
      <w:r>
        <w:rPr>
          <w:color w:val="231F20"/>
          <w:sz w:val="13"/>
        </w:rPr>
        <w:t xml:space="preserve">for a family violence intervention order: </w:t>
      </w:r>
      <w:r>
        <w:rPr>
          <w:i/>
          <w:color w:val="231F20"/>
          <w:sz w:val="13"/>
        </w:rPr>
        <w:t xml:space="preserve">Family Violence Protection Act 2008 </w:t>
      </w:r>
      <w:r>
        <w:rPr>
          <w:color w:val="231F20"/>
          <w:sz w:val="13"/>
        </w:rPr>
        <w:t xml:space="preserve">(Vic) ss </w:t>
      </w:r>
      <w:r>
        <w:rPr>
          <w:color w:val="231F20"/>
          <w:spacing w:val="3"/>
          <w:sz w:val="13"/>
        </w:rPr>
        <w:t xml:space="preserve">24, </w:t>
      </w:r>
      <w:r>
        <w:rPr>
          <w:color w:val="231F20"/>
          <w:sz w:val="13"/>
        </w:rPr>
        <w:t xml:space="preserve">26, </w:t>
      </w:r>
      <w:r>
        <w:rPr>
          <w:color w:val="231F20"/>
          <w:spacing w:val="2"/>
          <w:sz w:val="13"/>
        </w:rPr>
        <w:t>31.</w:t>
      </w:r>
    </w:p>
    <w:p w14:paraId="18119574" w14:textId="77777777" w:rsidR="00894070" w:rsidRDefault="009B7AFD">
      <w:pPr>
        <w:pStyle w:val="ListParagraph"/>
        <w:numPr>
          <w:ilvl w:val="0"/>
          <w:numId w:val="89"/>
        </w:numPr>
        <w:tabs>
          <w:tab w:val="left" w:pos="1801"/>
          <w:tab w:val="left" w:pos="1802"/>
        </w:tabs>
        <w:spacing w:line="162" w:lineRule="exact"/>
        <w:jc w:val="left"/>
        <w:rPr>
          <w:sz w:val="13"/>
        </w:rPr>
      </w:pPr>
      <w:r>
        <w:rPr>
          <w:i/>
          <w:color w:val="231F20"/>
          <w:sz w:val="13"/>
        </w:rPr>
        <w:t xml:space="preserve">Personal Safety Intervention Orders Act 2010 </w:t>
      </w:r>
      <w:r>
        <w:rPr>
          <w:color w:val="231F20"/>
          <w:sz w:val="13"/>
        </w:rPr>
        <w:t>(Vic) s</w:t>
      </w:r>
      <w:r>
        <w:rPr>
          <w:color w:val="231F20"/>
          <w:spacing w:val="3"/>
          <w:sz w:val="13"/>
        </w:rPr>
        <w:t xml:space="preserve"> </w:t>
      </w:r>
      <w:r>
        <w:rPr>
          <w:color w:val="231F20"/>
          <w:spacing w:val="2"/>
          <w:sz w:val="13"/>
        </w:rPr>
        <w:t>21.</w:t>
      </w:r>
    </w:p>
    <w:p w14:paraId="759F52F0" w14:textId="77777777" w:rsidR="00894070" w:rsidRDefault="009B7AFD">
      <w:pPr>
        <w:pStyle w:val="BodyText"/>
        <w:rPr>
          <w:sz w:val="28"/>
        </w:rPr>
      </w:pPr>
      <w:r>
        <w:br w:type="column"/>
      </w:r>
    </w:p>
    <w:p w14:paraId="7C3DAC2F" w14:textId="77777777" w:rsidR="00894070" w:rsidRDefault="00894070">
      <w:pPr>
        <w:pStyle w:val="BodyText"/>
        <w:rPr>
          <w:sz w:val="28"/>
        </w:rPr>
      </w:pPr>
    </w:p>
    <w:p w14:paraId="65036F99" w14:textId="77777777" w:rsidR="00894070" w:rsidRDefault="00894070">
      <w:pPr>
        <w:pStyle w:val="BodyText"/>
        <w:rPr>
          <w:sz w:val="28"/>
        </w:rPr>
      </w:pPr>
    </w:p>
    <w:p w14:paraId="4FDD2968" w14:textId="77777777" w:rsidR="00894070" w:rsidRDefault="00894070">
      <w:pPr>
        <w:pStyle w:val="BodyText"/>
        <w:rPr>
          <w:sz w:val="28"/>
        </w:rPr>
      </w:pPr>
    </w:p>
    <w:p w14:paraId="728A590A" w14:textId="77777777" w:rsidR="00894070" w:rsidRDefault="00894070">
      <w:pPr>
        <w:pStyle w:val="BodyText"/>
        <w:spacing w:before="11"/>
        <w:rPr>
          <w:sz w:val="41"/>
        </w:rPr>
      </w:pPr>
    </w:p>
    <w:p w14:paraId="4086C1CE" w14:textId="77777777" w:rsidR="00894070" w:rsidRDefault="009B7AFD">
      <w:pPr>
        <w:pStyle w:val="Heading8"/>
        <w:ind w:left="608"/>
      </w:pPr>
      <w:r>
        <w:rPr>
          <w:color w:val="EA5B50"/>
        </w:rPr>
        <w:t>109</w:t>
      </w:r>
    </w:p>
    <w:p w14:paraId="0CC5C857" w14:textId="77777777" w:rsidR="00894070" w:rsidRDefault="00894070">
      <w:pPr>
        <w:sectPr w:rsidR="00894070">
          <w:type w:val="continuous"/>
          <w:pgSz w:w="11910" w:h="16840"/>
          <w:pgMar w:top="560" w:right="420" w:bottom="280" w:left="580" w:header="720" w:footer="720" w:gutter="0"/>
          <w:cols w:num="2" w:space="720" w:equalWidth="0">
            <w:col w:w="9682" w:space="40"/>
            <w:col w:w="1188"/>
          </w:cols>
        </w:sectPr>
      </w:pPr>
    </w:p>
    <w:p w14:paraId="1AA3768B" w14:textId="77777777" w:rsidR="00894070" w:rsidRDefault="00894070">
      <w:pPr>
        <w:pStyle w:val="BodyText"/>
        <w:rPr>
          <w:b/>
        </w:rPr>
      </w:pPr>
    </w:p>
    <w:p w14:paraId="0C076A2C" w14:textId="77777777" w:rsidR="00894070" w:rsidRDefault="00894070">
      <w:pPr>
        <w:pStyle w:val="BodyText"/>
        <w:rPr>
          <w:b/>
        </w:rPr>
      </w:pPr>
    </w:p>
    <w:p w14:paraId="1380CBE4" w14:textId="77777777" w:rsidR="00894070" w:rsidRDefault="00894070">
      <w:pPr>
        <w:pStyle w:val="BodyText"/>
        <w:rPr>
          <w:b/>
        </w:rPr>
      </w:pPr>
    </w:p>
    <w:p w14:paraId="4F1A9C41" w14:textId="77777777" w:rsidR="00894070" w:rsidRDefault="00894070">
      <w:pPr>
        <w:pStyle w:val="BodyText"/>
        <w:spacing w:before="11"/>
        <w:rPr>
          <w:b/>
          <w:sz w:val="18"/>
        </w:rPr>
      </w:pPr>
    </w:p>
    <w:p w14:paraId="4AE94CD1" w14:textId="77777777" w:rsidR="00894070" w:rsidRDefault="009B7AFD">
      <w:pPr>
        <w:pStyle w:val="ListParagraph"/>
        <w:numPr>
          <w:ilvl w:val="1"/>
          <w:numId w:val="102"/>
        </w:numPr>
        <w:tabs>
          <w:tab w:val="left" w:pos="1802"/>
        </w:tabs>
        <w:spacing w:line="206" w:lineRule="auto"/>
        <w:ind w:right="1219"/>
        <w:jc w:val="both"/>
        <w:rPr>
          <w:sz w:val="20"/>
        </w:rPr>
      </w:pPr>
      <w:bookmarkStart w:id="127" w:name="System_improvements_should_be_based_on_f"/>
      <w:bookmarkStart w:id="128" w:name="_bookmark74"/>
      <w:bookmarkEnd w:id="127"/>
      <w:bookmarkEnd w:id="128"/>
      <w:r>
        <w:rPr>
          <w:color w:val="231F20"/>
          <w:sz w:val="20"/>
        </w:rPr>
        <w:t>If</w:t>
      </w:r>
      <w:r>
        <w:rPr>
          <w:color w:val="231F20"/>
          <w:spacing w:val="-8"/>
          <w:sz w:val="20"/>
        </w:rPr>
        <w:t xml:space="preserve"> </w:t>
      </w:r>
      <w:r>
        <w:rPr>
          <w:color w:val="231F20"/>
          <w:sz w:val="20"/>
        </w:rPr>
        <w:t>the</w:t>
      </w:r>
      <w:r>
        <w:rPr>
          <w:color w:val="231F20"/>
          <w:spacing w:val="-8"/>
          <w:sz w:val="20"/>
        </w:rPr>
        <w:t xml:space="preserve"> </w:t>
      </w:r>
      <w:r>
        <w:rPr>
          <w:color w:val="231F20"/>
          <w:sz w:val="20"/>
        </w:rPr>
        <w:t>court</w:t>
      </w:r>
      <w:r>
        <w:rPr>
          <w:color w:val="231F20"/>
          <w:spacing w:val="-7"/>
          <w:sz w:val="20"/>
        </w:rPr>
        <w:t xml:space="preserve"> </w:t>
      </w:r>
      <w:r>
        <w:rPr>
          <w:color w:val="231F20"/>
          <w:sz w:val="20"/>
        </w:rPr>
        <w:t>grants</w:t>
      </w:r>
      <w:r>
        <w:rPr>
          <w:color w:val="231F20"/>
          <w:spacing w:val="-8"/>
          <w:sz w:val="20"/>
        </w:rPr>
        <w:t xml:space="preserve"> </w:t>
      </w:r>
      <w:r>
        <w:rPr>
          <w:color w:val="231F20"/>
          <w:sz w:val="20"/>
        </w:rPr>
        <w:t>the</w:t>
      </w:r>
      <w:r>
        <w:rPr>
          <w:color w:val="231F20"/>
          <w:spacing w:val="-7"/>
          <w:sz w:val="20"/>
        </w:rPr>
        <w:t xml:space="preserve"> </w:t>
      </w:r>
      <w:r>
        <w:rPr>
          <w:color w:val="231F20"/>
          <w:sz w:val="20"/>
        </w:rPr>
        <w:t>application,</w:t>
      </w:r>
      <w:r>
        <w:rPr>
          <w:color w:val="231F20"/>
          <w:spacing w:val="-8"/>
          <w:sz w:val="20"/>
        </w:rPr>
        <w:t xml:space="preserve"> </w:t>
      </w:r>
      <w:r>
        <w:rPr>
          <w:color w:val="231F20"/>
          <w:sz w:val="20"/>
        </w:rPr>
        <w:t>police</w:t>
      </w:r>
      <w:r>
        <w:rPr>
          <w:color w:val="231F20"/>
          <w:spacing w:val="-7"/>
          <w:sz w:val="20"/>
        </w:rPr>
        <w:t xml:space="preserve"> </w:t>
      </w:r>
      <w:r>
        <w:rPr>
          <w:color w:val="231F20"/>
          <w:sz w:val="20"/>
        </w:rPr>
        <w:t>can</w:t>
      </w:r>
      <w:r>
        <w:rPr>
          <w:color w:val="231F20"/>
          <w:spacing w:val="-8"/>
          <w:sz w:val="20"/>
        </w:rPr>
        <w:t xml:space="preserve"> </w:t>
      </w:r>
      <w:r>
        <w:rPr>
          <w:color w:val="231F20"/>
          <w:sz w:val="20"/>
        </w:rPr>
        <w:t>then</w:t>
      </w:r>
      <w:r>
        <w:rPr>
          <w:color w:val="231F20"/>
          <w:spacing w:val="-7"/>
          <w:sz w:val="20"/>
        </w:rPr>
        <w:t xml:space="preserve"> </w:t>
      </w:r>
      <w:r>
        <w:rPr>
          <w:color w:val="231F20"/>
          <w:spacing w:val="-2"/>
          <w:sz w:val="20"/>
        </w:rPr>
        <w:t>arrest</w:t>
      </w:r>
      <w:r>
        <w:rPr>
          <w:color w:val="231F20"/>
          <w:spacing w:val="-8"/>
          <w:sz w:val="20"/>
        </w:rPr>
        <w:t xml:space="preserve"> </w:t>
      </w:r>
      <w:r>
        <w:rPr>
          <w:color w:val="231F20"/>
          <w:sz w:val="20"/>
        </w:rPr>
        <w:t>the</w:t>
      </w:r>
      <w:r>
        <w:rPr>
          <w:color w:val="231F20"/>
          <w:spacing w:val="-7"/>
          <w:sz w:val="20"/>
        </w:rPr>
        <w:t xml:space="preserve"> </w:t>
      </w:r>
      <w:r>
        <w:rPr>
          <w:color w:val="231F20"/>
          <w:spacing w:val="-2"/>
          <w:sz w:val="20"/>
        </w:rPr>
        <w:t>respondent</w:t>
      </w:r>
      <w:r>
        <w:rPr>
          <w:color w:val="231F20"/>
          <w:spacing w:val="-8"/>
          <w:sz w:val="20"/>
        </w:rPr>
        <w:t xml:space="preserve"> </w:t>
      </w:r>
      <w:r>
        <w:rPr>
          <w:color w:val="231F20"/>
          <w:sz w:val="20"/>
        </w:rPr>
        <w:t>and</w:t>
      </w:r>
      <w:r>
        <w:rPr>
          <w:color w:val="231F20"/>
          <w:spacing w:val="-7"/>
          <w:sz w:val="20"/>
        </w:rPr>
        <w:t xml:space="preserve"> </w:t>
      </w:r>
      <w:r>
        <w:rPr>
          <w:color w:val="231F20"/>
          <w:sz w:val="20"/>
        </w:rPr>
        <w:t>bail</w:t>
      </w:r>
      <w:r>
        <w:rPr>
          <w:color w:val="231F20"/>
          <w:spacing w:val="-8"/>
          <w:sz w:val="20"/>
        </w:rPr>
        <w:t xml:space="preserve"> </w:t>
      </w:r>
      <w:r>
        <w:rPr>
          <w:color w:val="231F20"/>
          <w:sz w:val="20"/>
        </w:rPr>
        <w:t>them with</w:t>
      </w:r>
      <w:r>
        <w:rPr>
          <w:color w:val="231F20"/>
          <w:spacing w:val="-8"/>
          <w:sz w:val="20"/>
        </w:rPr>
        <w:t xml:space="preserve"> </w:t>
      </w:r>
      <w:r>
        <w:rPr>
          <w:color w:val="231F20"/>
          <w:sz w:val="20"/>
        </w:rPr>
        <w:t>conditions</w:t>
      </w:r>
      <w:r>
        <w:rPr>
          <w:color w:val="231F20"/>
          <w:spacing w:val="-8"/>
          <w:sz w:val="20"/>
        </w:rPr>
        <w:t xml:space="preserve"> </w:t>
      </w:r>
      <w:r>
        <w:rPr>
          <w:color w:val="231F20"/>
          <w:sz w:val="20"/>
        </w:rPr>
        <w:t>that</w:t>
      </w:r>
      <w:r>
        <w:rPr>
          <w:color w:val="231F20"/>
          <w:spacing w:val="-7"/>
          <w:sz w:val="20"/>
        </w:rPr>
        <w:t xml:space="preserve"> </w:t>
      </w:r>
      <w:r>
        <w:rPr>
          <w:color w:val="231F20"/>
          <w:spacing w:val="-3"/>
          <w:sz w:val="20"/>
        </w:rPr>
        <w:t>protect</w:t>
      </w:r>
      <w:r>
        <w:rPr>
          <w:color w:val="231F20"/>
          <w:spacing w:val="-8"/>
          <w:sz w:val="20"/>
        </w:rPr>
        <w:t xml:space="preserve"> </w:t>
      </w:r>
      <w:r>
        <w:rPr>
          <w:color w:val="231F20"/>
          <w:sz w:val="20"/>
        </w:rPr>
        <w:t>the</w:t>
      </w:r>
      <w:r>
        <w:rPr>
          <w:color w:val="231F20"/>
          <w:spacing w:val="-8"/>
          <w:sz w:val="20"/>
        </w:rPr>
        <w:t xml:space="preserve"> </w:t>
      </w:r>
      <w:r>
        <w:rPr>
          <w:color w:val="231F20"/>
          <w:sz w:val="20"/>
        </w:rPr>
        <w:t>victim</w:t>
      </w:r>
      <w:r>
        <w:rPr>
          <w:color w:val="231F20"/>
          <w:spacing w:val="-7"/>
          <w:sz w:val="20"/>
        </w:rPr>
        <w:t xml:space="preserve"> </w:t>
      </w:r>
      <w:r>
        <w:rPr>
          <w:color w:val="231F20"/>
          <w:sz w:val="20"/>
        </w:rPr>
        <w:t>survivor</w:t>
      </w:r>
      <w:r>
        <w:rPr>
          <w:color w:val="231F20"/>
          <w:spacing w:val="-8"/>
          <w:sz w:val="20"/>
        </w:rPr>
        <w:t xml:space="preserve"> </w:t>
      </w:r>
      <w:r>
        <w:rPr>
          <w:color w:val="231F20"/>
          <w:sz w:val="20"/>
        </w:rPr>
        <w:t>until</w:t>
      </w:r>
      <w:r>
        <w:rPr>
          <w:color w:val="231F20"/>
          <w:spacing w:val="-7"/>
          <w:sz w:val="20"/>
        </w:rPr>
        <w:t xml:space="preserve"> </w:t>
      </w:r>
      <w:r>
        <w:rPr>
          <w:color w:val="231F20"/>
          <w:sz w:val="20"/>
        </w:rPr>
        <w:t>the</w:t>
      </w:r>
      <w:r>
        <w:rPr>
          <w:color w:val="231F20"/>
          <w:spacing w:val="-8"/>
          <w:sz w:val="20"/>
        </w:rPr>
        <w:t xml:space="preserve"> </w:t>
      </w:r>
      <w:r>
        <w:rPr>
          <w:color w:val="231F20"/>
          <w:spacing w:val="-2"/>
          <w:sz w:val="20"/>
        </w:rPr>
        <w:t>matter</w:t>
      </w:r>
      <w:r>
        <w:rPr>
          <w:color w:val="231F20"/>
          <w:spacing w:val="-8"/>
          <w:sz w:val="20"/>
        </w:rPr>
        <w:t xml:space="preserve"> </w:t>
      </w:r>
      <w:r>
        <w:rPr>
          <w:color w:val="231F20"/>
          <w:sz w:val="20"/>
        </w:rPr>
        <w:t>can</w:t>
      </w:r>
      <w:r>
        <w:rPr>
          <w:color w:val="231F20"/>
          <w:spacing w:val="-7"/>
          <w:sz w:val="20"/>
        </w:rPr>
        <w:t xml:space="preserve"> </w:t>
      </w:r>
      <w:r>
        <w:rPr>
          <w:color w:val="231F20"/>
          <w:sz w:val="20"/>
        </w:rPr>
        <w:t>be</w:t>
      </w:r>
      <w:r>
        <w:rPr>
          <w:color w:val="231F20"/>
          <w:spacing w:val="-8"/>
          <w:sz w:val="20"/>
        </w:rPr>
        <w:t xml:space="preserve"> </w:t>
      </w:r>
      <w:r>
        <w:rPr>
          <w:color w:val="231F20"/>
          <w:spacing w:val="-3"/>
          <w:sz w:val="20"/>
        </w:rPr>
        <w:t>brought</w:t>
      </w:r>
      <w:r>
        <w:rPr>
          <w:color w:val="231F20"/>
          <w:spacing w:val="-7"/>
          <w:sz w:val="20"/>
        </w:rPr>
        <w:t xml:space="preserve"> </w:t>
      </w:r>
      <w:r>
        <w:rPr>
          <w:color w:val="231F20"/>
          <w:spacing w:val="-3"/>
          <w:sz w:val="20"/>
        </w:rPr>
        <w:t>before</w:t>
      </w:r>
      <w:r>
        <w:rPr>
          <w:color w:val="231F20"/>
          <w:spacing w:val="-8"/>
          <w:sz w:val="20"/>
        </w:rPr>
        <w:t xml:space="preserve"> </w:t>
      </w:r>
      <w:r>
        <w:rPr>
          <w:color w:val="231F20"/>
          <w:sz w:val="20"/>
        </w:rPr>
        <w:t>a magistrate.</w:t>
      </w:r>
    </w:p>
    <w:p w14:paraId="7334DAA5" w14:textId="77777777" w:rsidR="00894070" w:rsidRDefault="009B7AFD">
      <w:pPr>
        <w:pStyle w:val="ListParagraph"/>
        <w:numPr>
          <w:ilvl w:val="1"/>
          <w:numId w:val="102"/>
        </w:numPr>
        <w:tabs>
          <w:tab w:val="left" w:pos="1801"/>
          <w:tab w:val="left" w:pos="1802"/>
        </w:tabs>
        <w:spacing w:before="124" w:line="206" w:lineRule="auto"/>
        <w:ind w:right="1789"/>
        <w:rPr>
          <w:sz w:val="20"/>
        </w:rPr>
      </w:pPr>
      <w:r>
        <w:rPr>
          <w:color w:val="231F20"/>
          <w:sz w:val="20"/>
        </w:rPr>
        <w:t xml:space="preserve">There was some support </w:t>
      </w:r>
      <w:r>
        <w:rPr>
          <w:color w:val="231F20"/>
          <w:spacing w:val="-3"/>
          <w:sz w:val="20"/>
        </w:rPr>
        <w:t xml:space="preserve">for having </w:t>
      </w:r>
      <w:r>
        <w:rPr>
          <w:color w:val="231F20"/>
          <w:sz w:val="20"/>
        </w:rPr>
        <w:t>a police-issued notice in the PSIO system, especially</w:t>
      </w:r>
      <w:r>
        <w:rPr>
          <w:color w:val="231F20"/>
          <w:spacing w:val="-11"/>
          <w:sz w:val="20"/>
        </w:rPr>
        <w:t xml:space="preserve"> </w:t>
      </w:r>
      <w:r>
        <w:rPr>
          <w:color w:val="231F20"/>
          <w:sz w:val="20"/>
        </w:rPr>
        <w:t>in</w:t>
      </w:r>
      <w:r>
        <w:rPr>
          <w:color w:val="231F20"/>
          <w:spacing w:val="-10"/>
          <w:sz w:val="20"/>
        </w:rPr>
        <w:t xml:space="preserve"> </w:t>
      </w:r>
      <w:r>
        <w:rPr>
          <w:color w:val="231F20"/>
          <w:sz w:val="20"/>
        </w:rPr>
        <w:t>rural</w:t>
      </w:r>
      <w:r>
        <w:rPr>
          <w:color w:val="231F20"/>
          <w:spacing w:val="-10"/>
          <w:sz w:val="20"/>
        </w:rPr>
        <w:t xml:space="preserve"> </w:t>
      </w:r>
      <w:r>
        <w:rPr>
          <w:color w:val="231F20"/>
          <w:sz w:val="20"/>
        </w:rPr>
        <w:t>and</w:t>
      </w:r>
      <w:r>
        <w:rPr>
          <w:color w:val="231F20"/>
          <w:spacing w:val="-10"/>
          <w:sz w:val="20"/>
        </w:rPr>
        <w:t xml:space="preserve"> </w:t>
      </w:r>
      <w:r>
        <w:rPr>
          <w:color w:val="231F20"/>
          <w:sz w:val="20"/>
        </w:rPr>
        <w:t>regional</w:t>
      </w:r>
      <w:r>
        <w:rPr>
          <w:color w:val="231F20"/>
          <w:spacing w:val="-10"/>
          <w:sz w:val="20"/>
        </w:rPr>
        <w:t xml:space="preserve"> </w:t>
      </w:r>
      <w:r>
        <w:rPr>
          <w:color w:val="231F20"/>
          <w:sz w:val="20"/>
        </w:rPr>
        <w:t>Victoria,</w:t>
      </w:r>
      <w:r>
        <w:rPr>
          <w:color w:val="231F20"/>
          <w:position w:val="7"/>
          <w:sz w:val="11"/>
        </w:rPr>
        <w:t>115</w:t>
      </w:r>
      <w:r>
        <w:rPr>
          <w:color w:val="231F20"/>
          <w:spacing w:val="14"/>
          <w:position w:val="7"/>
          <w:sz w:val="11"/>
        </w:rPr>
        <w:t xml:space="preserve"> </w:t>
      </w:r>
      <w:r>
        <w:rPr>
          <w:color w:val="231F20"/>
          <w:sz w:val="20"/>
        </w:rPr>
        <w:t>because</w:t>
      </w:r>
      <w:r>
        <w:rPr>
          <w:color w:val="231F20"/>
          <w:spacing w:val="-10"/>
          <w:sz w:val="20"/>
        </w:rPr>
        <w:t xml:space="preserve"> </w:t>
      </w:r>
      <w:r>
        <w:rPr>
          <w:color w:val="231F20"/>
          <w:sz w:val="20"/>
        </w:rPr>
        <w:t>such</w:t>
      </w:r>
      <w:r>
        <w:rPr>
          <w:color w:val="231F20"/>
          <w:spacing w:val="-10"/>
          <w:sz w:val="20"/>
        </w:rPr>
        <w:t xml:space="preserve"> </w:t>
      </w:r>
      <w:r>
        <w:rPr>
          <w:color w:val="231F20"/>
          <w:sz w:val="20"/>
        </w:rPr>
        <w:t>a</w:t>
      </w:r>
      <w:r>
        <w:rPr>
          <w:color w:val="231F20"/>
          <w:spacing w:val="-11"/>
          <w:sz w:val="20"/>
        </w:rPr>
        <w:t xml:space="preserve"> </w:t>
      </w:r>
      <w:r>
        <w:rPr>
          <w:color w:val="231F20"/>
          <w:sz w:val="20"/>
        </w:rPr>
        <w:t>notice</w:t>
      </w:r>
      <w:r>
        <w:rPr>
          <w:color w:val="231F20"/>
          <w:spacing w:val="-10"/>
          <w:sz w:val="20"/>
        </w:rPr>
        <w:t xml:space="preserve"> </w:t>
      </w:r>
      <w:r>
        <w:rPr>
          <w:color w:val="231F20"/>
          <w:sz w:val="20"/>
        </w:rPr>
        <w:t>could</w:t>
      </w:r>
      <w:r>
        <w:rPr>
          <w:color w:val="231F20"/>
          <w:spacing w:val="-10"/>
          <w:sz w:val="20"/>
        </w:rPr>
        <w:t xml:space="preserve"> </w:t>
      </w:r>
      <w:r>
        <w:rPr>
          <w:color w:val="231F20"/>
          <w:sz w:val="20"/>
        </w:rPr>
        <w:t>be</w:t>
      </w:r>
      <w:r>
        <w:rPr>
          <w:color w:val="231F20"/>
          <w:spacing w:val="-10"/>
          <w:sz w:val="20"/>
        </w:rPr>
        <w:t xml:space="preserve"> </w:t>
      </w:r>
      <w:r>
        <w:rPr>
          <w:color w:val="231F20"/>
          <w:sz w:val="20"/>
        </w:rPr>
        <w:t>issued speedily.</w:t>
      </w:r>
      <w:r>
        <w:rPr>
          <w:color w:val="231F20"/>
          <w:position w:val="7"/>
          <w:sz w:val="11"/>
        </w:rPr>
        <w:t xml:space="preserve">116 </w:t>
      </w:r>
      <w:r>
        <w:rPr>
          <w:color w:val="231F20"/>
          <w:spacing w:val="-5"/>
          <w:sz w:val="20"/>
        </w:rPr>
        <w:t xml:space="preserve">However, </w:t>
      </w:r>
      <w:r>
        <w:rPr>
          <w:color w:val="231F20"/>
          <w:sz w:val="20"/>
        </w:rPr>
        <w:t xml:space="preserve">others saw no need </w:t>
      </w:r>
      <w:r>
        <w:rPr>
          <w:color w:val="231F20"/>
          <w:spacing w:val="-3"/>
          <w:sz w:val="20"/>
        </w:rPr>
        <w:t xml:space="preserve">for </w:t>
      </w:r>
      <w:r>
        <w:rPr>
          <w:color w:val="231F20"/>
          <w:sz w:val="20"/>
        </w:rPr>
        <w:t>it. Reasons</w:t>
      </w:r>
      <w:r>
        <w:rPr>
          <w:color w:val="231F20"/>
          <w:spacing w:val="-16"/>
          <w:sz w:val="20"/>
        </w:rPr>
        <w:t xml:space="preserve"> </w:t>
      </w:r>
      <w:r>
        <w:rPr>
          <w:color w:val="231F20"/>
          <w:sz w:val="20"/>
        </w:rPr>
        <w:t>included:</w:t>
      </w:r>
    </w:p>
    <w:p w14:paraId="4DB4DB49" w14:textId="77777777" w:rsidR="00894070" w:rsidRDefault="009B7AFD">
      <w:pPr>
        <w:pStyle w:val="ListParagraph"/>
        <w:numPr>
          <w:ilvl w:val="2"/>
          <w:numId w:val="102"/>
        </w:numPr>
        <w:tabs>
          <w:tab w:val="left" w:pos="2141"/>
          <w:tab w:val="left" w:pos="2142"/>
        </w:tabs>
        <w:spacing w:before="124" w:line="206" w:lineRule="auto"/>
        <w:ind w:right="1404" w:hanging="340"/>
        <w:rPr>
          <w:sz w:val="11"/>
        </w:rPr>
      </w:pPr>
      <w:r>
        <w:rPr>
          <w:color w:val="231F20"/>
          <w:sz w:val="20"/>
        </w:rPr>
        <w:t xml:space="preserve">the </w:t>
      </w:r>
      <w:r>
        <w:rPr>
          <w:color w:val="231F20"/>
          <w:spacing w:val="-3"/>
          <w:sz w:val="20"/>
        </w:rPr>
        <w:t xml:space="preserve">context </w:t>
      </w:r>
      <w:r>
        <w:rPr>
          <w:color w:val="231F20"/>
          <w:sz w:val="20"/>
        </w:rPr>
        <w:t xml:space="preserve">of serious violent acts, where there was not enough time </w:t>
      </w:r>
      <w:r>
        <w:rPr>
          <w:color w:val="231F20"/>
          <w:spacing w:val="-3"/>
          <w:sz w:val="20"/>
        </w:rPr>
        <w:t xml:space="preserve">for </w:t>
      </w:r>
      <w:r>
        <w:rPr>
          <w:color w:val="231F20"/>
          <w:sz w:val="20"/>
        </w:rPr>
        <w:t xml:space="preserve">an </w:t>
      </w:r>
      <w:r>
        <w:rPr>
          <w:color w:val="231F20"/>
          <w:spacing w:val="-2"/>
          <w:sz w:val="20"/>
        </w:rPr>
        <w:t>intervention</w:t>
      </w:r>
      <w:r>
        <w:rPr>
          <w:color w:val="231F20"/>
          <w:spacing w:val="-9"/>
          <w:sz w:val="20"/>
        </w:rPr>
        <w:t xml:space="preserve"> </w:t>
      </w:r>
      <w:r>
        <w:rPr>
          <w:color w:val="231F20"/>
          <w:sz w:val="20"/>
        </w:rPr>
        <w:t>order</w:t>
      </w:r>
      <w:r>
        <w:rPr>
          <w:color w:val="231F20"/>
          <w:spacing w:val="-8"/>
          <w:sz w:val="20"/>
        </w:rPr>
        <w:t xml:space="preserve"> </w:t>
      </w: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z w:val="20"/>
        </w:rPr>
        <w:t>put</w:t>
      </w:r>
      <w:r>
        <w:rPr>
          <w:color w:val="231F20"/>
          <w:spacing w:val="-9"/>
          <w:sz w:val="20"/>
        </w:rPr>
        <w:t xml:space="preserve"> </w:t>
      </w:r>
      <w:r>
        <w:rPr>
          <w:color w:val="231F20"/>
          <w:sz w:val="20"/>
        </w:rPr>
        <w:t>in</w:t>
      </w:r>
      <w:r>
        <w:rPr>
          <w:color w:val="231F20"/>
          <w:spacing w:val="-8"/>
          <w:sz w:val="20"/>
        </w:rPr>
        <w:t xml:space="preserve"> </w:t>
      </w:r>
      <w:r>
        <w:rPr>
          <w:color w:val="231F20"/>
          <w:sz w:val="20"/>
        </w:rPr>
        <w:t>place,</w:t>
      </w:r>
      <w:r>
        <w:rPr>
          <w:color w:val="231F20"/>
          <w:spacing w:val="-8"/>
          <w:sz w:val="20"/>
        </w:rPr>
        <w:t xml:space="preserve"> </w:t>
      </w:r>
      <w:r>
        <w:rPr>
          <w:color w:val="231F20"/>
          <w:sz w:val="20"/>
        </w:rPr>
        <w:t>was</w:t>
      </w:r>
      <w:r>
        <w:rPr>
          <w:color w:val="231F20"/>
          <w:spacing w:val="-8"/>
          <w:sz w:val="20"/>
        </w:rPr>
        <w:t xml:space="preserve"> </w:t>
      </w:r>
      <w:r>
        <w:rPr>
          <w:color w:val="231F20"/>
          <w:sz w:val="20"/>
        </w:rPr>
        <w:t>less</w:t>
      </w:r>
      <w:r>
        <w:rPr>
          <w:color w:val="231F20"/>
          <w:spacing w:val="-9"/>
          <w:sz w:val="20"/>
        </w:rPr>
        <w:t xml:space="preserve"> </w:t>
      </w:r>
      <w:r>
        <w:rPr>
          <w:color w:val="231F20"/>
          <w:spacing w:val="-3"/>
          <w:sz w:val="20"/>
        </w:rPr>
        <w:t>relevant</w:t>
      </w:r>
      <w:r>
        <w:rPr>
          <w:color w:val="231F20"/>
          <w:spacing w:val="-8"/>
          <w:sz w:val="20"/>
        </w:rPr>
        <w:t xml:space="preserve"> </w:t>
      </w:r>
      <w:r>
        <w:rPr>
          <w:color w:val="231F20"/>
          <w:sz w:val="20"/>
        </w:rPr>
        <w:t>in</w:t>
      </w:r>
      <w:r>
        <w:rPr>
          <w:color w:val="231F20"/>
          <w:spacing w:val="-8"/>
          <w:sz w:val="20"/>
        </w:rPr>
        <w:t xml:space="preserve"> </w:t>
      </w:r>
      <w:r>
        <w:rPr>
          <w:color w:val="231F20"/>
          <w:sz w:val="20"/>
        </w:rPr>
        <w:t>PSIO</w:t>
      </w:r>
      <w:r>
        <w:rPr>
          <w:color w:val="231F20"/>
          <w:spacing w:val="-8"/>
          <w:sz w:val="20"/>
        </w:rPr>
        <w:t xml:space="preserve"> </w:t>
      </w:r>
      <w:r>
        <w:rPr>
          <w:color w:val="231F20"/>
          <w:sz w:val="20"/>
        </w:rPr>
        <w:t>matters</w:t>
      </w:r>
      <w:r>
        <w:rPr>
          <w:color w:val="231F20"/>
          <w:spacing w:val="-8"/>
          <w:sz w:val="20"/>
        </w:rPr>
        <w:t xml:space="preserve"> </w:t>
      </w:r>
      <w:r>
        <w:rPr>
          <w:color w:val="231F20"/>
          <w:sz w:val="20"/>
        </w:rPr>
        <w:t>than</w:t>
      </w:r>
      <w:r>
        <w:rPr>
          <w:color w:val="231F20"/>
          <w:spacing w:val="-9"/>
          <w:sz w:val="20"/>
        </w:rPr>
        <w:t xml:space="preserve"> </w:t>
      </w:r>
      <w:r>
        <w:rPr>
          <w:color w:val="231F20"/>
          <w:sz w:val="20"/>
        </w:rPr>
        <w:t>in</w:t>
      </w:r>
      <w:r>
        <w:rPr>
          <w:color w:val="231F20"/>
          <w:spacing w:val="-8"/>
          <w:sz w:val="20"/>
        </w:rPr>
        <w:t xml:space="preserve"> </w:t>
      </w:r>
      <w:r>
        <w:rPr>
          <w:color w:val="231F20"/>
          <w:sz w:val="20"/>
        </w:rPr>
        <w:t xml:space="preserve">the </w:t>
      </w:r>
      <w:r>
        <w:rPr>
          <w:color w:val="231F20"/>
          <w:spacing w:val="-3"/>
          <w:sz w:val="20"/>
        </w:rPr>
        <w:t xml:space="preserve">family </w:t>
      </w:r>
      <w:r>
        <w:rPr>
          <w:color w:val="231F20"/>
          <w:sz w:val="20"/>
        </w:rPr>
        <w:t>violence</w:t>
      </w:r>
      <w:r>
        <w:rPr>
          <w:color w:val="231F20"/>
          <w:spacing w:val="-5"/>
          <w:sz w:val="20"/>
        </w:rPr>
        <w:t xml:space="preserve"> </w:t>
      </w:r>
      <w:r>
        <w:rPr>
          <w:color w:val="231F20"/>
          <w:spacing w:val="-2"/>
          <w:sz w:val="20"/>
        </w:rPr>
        <w:t>system</w:t>
      </w:r>
      <w:r>
        <w:rPr>
          <w:color w:val="231F20"/>
          <w:spacing w:val="-2"/>
          <w:position w:val="7"/>
          <w:sz w:val="11"/>
        </w:rPr>
        <w:t>117</w:t>
      </w:r>
    </w:p>
    <w:p w14:paraId="2E4D565D" w14:textId="77777777" w:rsidR="00894070" w:rsidRDefault="009B7AFD">
      <w:pPr>
        <w:pStyle w:val="ListParagraph"/>
        <w:numPr>
          <w:ilvl w:val="2"/>
          <w:numId w:val="102"/>
        </w:numPr>
        <w:tabs>
          <w:tab w:val="left" w:pos="2141"/>
          <w:tab w:val="left" w:pos="2142"/>
        </w:tabs>
        <w:spacing w:before="56"/>
        <w:ind w:hanging="340"/>
        <w:rPr>
          <w:sz w:val="11"/>
        </w:rPr>
      </w:pPr>
      <w:r>
        <w:rPr>
          <w:color w:val="231F20"/>
          <w:sz w:val="20"/>
        </w:rPr>
        <w:t>potential unintended consequences depending on the</w:t>
      </w:r>
      <w:r>
        <w:rPr>
          <w:color w:val="231F20"/>
          <w:spacing w:val="-32"/>
          <w:sz w:val="20"/>
        </w:rPr>
        <w:t xml:space="preserve"> </w:t>
      </w:r>
      <w:r>
        <w:rPr>
          <w:color w:val="231F20"/>
          <w:sz w:val="20"/>
        </w:rPr>
        <w:t>situation</w:t>
      </w:r>
      <w:r>
        <w:rPr>
          <w:color w:val="231F20"/>
          <w:position w:val="7"/>
          <w:sz w:val="11"/>
        </w:rPr>
        <w:t>118</w:t>
      </w:r>
    </w:p>
    <w:p w14:paraId="67F6F544" w14:textId="77777777" w:rsidR="00894070" w:rsidRDefault="009B7AFD">
      <w:pPr>
        <w:pStyle w:val="ListParagraph"/>
        <w:numPr>
          <w:ilvl w:val="2"/>
          <w:numId w:val="102"/>
        </w:numPr>
        <w:tabs>
          <w:tab w:val="left" w:pos="2141"/>
          <w:tab w:val="left" w:pos="2142"/>
        </w:tabs>
        <w:spacing w:before="48"/>
        <w:ind w:hanging="340"/>
        <w:rPr>
          <w:sz w:val="11"/>
        </w:rPr>
      </w:pPr>
      <w:r>
        <w:rPr>
          <w:color w:val="231F20"/>
          <w:spacing w:val="-3"/>
          <w:sz w:val="20"/>
        </w:rPr>
        <w:t xml:space="preserve">interim </w:t>
      </w:r>
      <w:r>
        <w:rPr>
          <w:color w:val="231F20"/>
          <w:sz w:val="20"/>
        </w:rPr>
        <w:t xml:space="preserve">orders can be obtained </w:t>
      </w:r>
      <w:r>
        <w:rPr>
          <w:color w:val="231F20"/>
          <w:spacing w:val="-3"/>
          <w:sz w:val="20"/>
        </w:rPr>
        <w:t xml:space="preserve">quickly </w:t>
      </w:r>
      <w:r>
        <w:rPr>
          <w:color w:val="231F20"/>
          <w:sz w:val="20"/>
        </w:rPr>
        <w:t>enough</w:t>
      </w:r>
      <w:r>
        <w:rPr>
          <w:color w:val="231F20"/>
          <w:spacing w:val="-22"/>
          <w:sz w:val="20"/>
        </w:rPr>
        <w:t xml:space="preserve"> </w:t>
      </w:r>
      <w:r>
        <w:rPr>
          <w:color w:val="231F20"/>
          <w:spacing w:val="-3"/>
          <w:sz w:val="20"/>
        </w:rPr>
        <w:t>already.</w:t>
      </w:r>
      <w:r>
        <w:rPr>
          <w:color w:val="231F20"/>
          <w:spacing w:val="-3"/>
          <w:position w:val="7"/>
          <w:sz w:val="11"/>
        </w:rPr>
        <w:t>119</w:t>
      </w:r>
    </w:p>
    <w:p w14:paraId="082C167C" w14:textId="77777777" w:rsidR="00894070" w:rsidRDefault="009B7AFD">
      <w:pPr>
        <w:pStyle w:val="ListParagraph"/>
        <w:numPr>
          <w:ilvl w:val="1"/>
          <w:numId w:val="102"/>
        </w:numPr>
        <w:tabs>
          <w:tab w:val="left" w:pos="1801"/>
          <w:tab w:val="left" w:pos="1802"/>
        </w:tabs>
        <w:spacing w:before="80" w:line="206" w:lineRule="auto"/>
        <w:ind w:right="1387"/>
        <w:rPr>
          <w:sz w:val="11"/>
        </w:rPr>
      </w:pPr>
      <w:r>
        <w:rPr>
          <w:color w:val="231F20"/>
          <w:sz w:val="20"/>
        </w:rPr>
        <w:t>There</w:t>
      </w:r>
      <w:r>
        <w:rPr>
          <w:color w:val="231F20"/>
          <w:spacing w:val="-10"/>
          <w:sz w:val="20"/>
        </w:rPr>
        <w:t xml:space="preserve"> </w:t>
      </w:r>
      <w:r>
        <w:rPr>
          <w:color w:val="231F20"/>
          <w:spacing w:val="-3"/>
          <w:sz w:val="20"/>
        </w:rPr>
        <w:t>are</w:t>
      </w:r>
      <w:r>
        <w:rPr>
          <w:color w:val="231F20"/>
          <w:spacing w:val="-10"/>
          <w:sz w:val="20"/>
        </w:rPr>
        <w:t xml:space="preserve"> </w:t>
      </w:r>
      <w:r>
        <w:rPr>
          <w:color w:val="231F20"/>
          <w:sz w:val="20"/>
        </w:rPr>
        <w:t>concerns</w:t>
      </w:r>
      <w:r>
        <w:rPr>
          <w:color w:val="231F20"/>
          <w:spacing w:val="-10"/>
          <w:sz w:val="20"/>
        </w:rPr>
        <w:t xml:space="preserve"> </w:t>
      </w:r>
      <w:r>
        <w:rPr>
          <w:color w:val="231F20"/>
          <w:sz w:val="20"/>
        </w:rPr>
        <w:t>about</w:t>
      </w:r>
      <w:r>
        <w:rPr>
          <w:color w:val="231F20"/>
          <w:spacing w:val="-11"/>
          <w:sz w:val="20"/>
        </w:rPr>
        <w:t xml:space="preserve"> </w:t>
      </w:r>
      <w:r>
        <w:rPr>
          <w:color w:val="231F20"/>
          <w:sz w:val="20"/>
        </w:rPr>
        <w:t>the</w:t>
      </w:r>
      <w:r>
        <w:rPr>
          <w:color w:val="231F20"/>
          <w:spacing w:val="-11"/>
          <w:sz w:val="20"/>
        </w:rPr>
        <w:t xml:space="preserve"> </w:t>
      </w:r>
      <w:r>
        <w:rPr>
          <w:color w:val="231F20"/>
          <w:sz w:val="20"/>
        </w:rPr>
        <w:t>implementation</w:t>
      </w:r>
      <w:r>
        <w:rPr>
          <w:color w:val="231F20"/>
          <w:spacing w:val="-10"/>
          <w:sz w:val="20"/>
        </w:rPr>
        <w:t xml:space="preserve"> </w:t>
      </w:r>
      <w:r>
        <w:rPr>
          <w:color w:val="231F20"/>
          <w:sz w:val="20"/>
        </w:rPr>
        <w:t>of</w:t>
      </w:r>
      <w:r>
        <w:rPr>
          <w:color w:val="231F20"/>
          <w:spacing w:val="-11"/>
          <w:sz w:val="20"/>
        </w:rPr>
        <w:t xml:space="preserve"> </w:t>
      </w:r>
      <w:r>
        <w:rPr>
          <w:color w:val="231F20"/>
          <w:sz w:val="20"/>
        </w:rPr>
        <w:t>FVSNs,</w:t>
      </w:r>
      <w:r>
        <w:rPr>
          <w:color w:val="231F20"/>
          <w:spacing w:val="-10"/>
          <w:sz w:val="20"/>
        </w:rPr>
        <w:t xml:space="preserve"> </w:t>
      </w:r>
      <w:r>
        <w:rPr>
          <w:color w:val="231F20"/>
          <w:sz w:val="20"/>
        </w:rPr>
        <w:t>including</w:t>
      </w:r>
      <w:r>
        <w:rPr>
          <w:color w:val="231F20"/>
          <w:spacing w:val="-10"/>
          <w:sz w:val="20"/>
        </w:rPr>
        <w:t xml:space="preserve"> </w:t>
      </w:r>
      <w:r>
        <w:rPr>
          <w:color w:val="231F20"/>
          <w:spacing w:val="-3"/>
          <w:sz w:val="20"/>
        </w:rPr>
        <w:t xml:space="preserve">well-documented </w:t>
      </w:r>
      <w:r>
        <w:rPr>
          <w:color w:val="231F20"/>
          <w:sz w:val="20"/>
        </w:rPr>
        <w:t>and</w:t>
      </w:r>
      <w:r>
        <w:rPr>
          <w:color w:val="231F20"/>
          <w:spacing w:val="-6"/>
          <w:sz w:val="20"/>
        </w:rPr>
        <w:t xml:space="preserve"> </w:t>
      </w:r>
      <w:r>
        <w:rPr>
          <w:color w:val="231F20"/>
          <w:spacing w:val="-3"/>
          <w:sz w:val="20"/>
        </w:rPr>
        <w:t>increasingly</w:t>
      </w:r>
      <w:r>
        <w:rPr>
          <w:color w:val="231F20"/>
          <w:spacing w:val="-5"/>
          <w:sz w:val="20"/>
        </w:rPr>
        <w:t xml:space="preserve"> </w:t>
      </w:r>
      <w:r>
        <w:rPr>
          <w:color w:val="231F20"/>
          <w:sz w:val="20"/>
        </w:rPr>
        <w:t>common</w:t>
      </w:r>
      <w:r>
        <w:rPr>
          <w:color w:val="231F20"/>
          <w:spacing w:val="-6"/>
          <w:sz w:val="20"/>
        </w:rPr>
        <w:t xml:space="preserve"> </w:t>
      </w:r>
      <w:r>
        <w:rPr>
          <w:color w:val="231F20"/>
          <w:sz w:val="20"/>
        </w:rPr>
        <w:t>issues</w:t>
      </w:r>
      <w:r>
        <w:rPr>
          <w:color w:val="231F20"/>
          <w:spacing w:val="-5"/>
          <w:sz w:val="20"/>
        </w:rPr>
        <w:t xml:space="preserve"> </w:t>
      </w:r>
      <w:r>
        <w:rPr>
          <w:color w:val="231F20"/>
          <w:sz w:val="20"/>
        </w:rPr>
        <w:t>where</w:t>
      </w:r>
      <w:r>
        <w:rPr>
          <w:color w:val="231F20"/>
          <w:spacing w:val="-5"/>
          <w:sz w:val="20"/>
        </w:rPr>
        <w:t xml:space="preserve"> </w:t>
      </w:r>
      <w:r>
        <w:rPr>
          <w:color w:val="231F20"/>
          <w:sz w:val="20"/>
        </w:rPr>
        <w:t>police</w:t>
      </w:r>
      <w:r>
        <w:rPr>
          <w:color w:val="231F20"/>
          <w:spacing w:val="-5"/>
          <w:sz w:val="20"/>
        </w:rPr>
        <w:t xml:space="preserve"> </w:t>
      </w:r>
      <w:r>
        <w:rPr>
          <w:color w:val="231F20"/>
          <w:sz w:val="20"/>
        </w:rPr>
        <w:t>misidentify</w:t>
      </w:r>
      <w:r>
        <w:rPr>
          <w:color w:val="231F20"/>
          <w:spacing w:val="-5"/>
          <w:sz w:val="20"/>
        </w:rPr>
        <w:t xml:space="preserve"> </w:t>
      </w:r>
      <w:r>
        <w:rPr>
          <w:color w:val="231F20"/>
          <w:sz w:val="20"/>
        </w:rPr>
        <w:t>the</w:t>
      </w:r>
      <w:r>
        <w:rPr>
          <w:color w:val="231F20"/>
          <w:spacing w:val="-5"/>
          <w:sz w:val="20"/>
        </w:rPr>
        <w:t xml:space="preserve"> </w:t>
      </w:r>
      <w:r>
        <w:rPr>
          <w:color w:val="231F20"/>
          <w:sz w:val="20"/>
        </w:rPr>
        <w:t>primary</w:t>
      </w:r>
      <w:r>
        <w:rPr>
          <w:color w:val="231F20"/>
          <w:spacing w:val="-5"/>
          <w:sz w:val="20"/>
        </w:rPr>
        <w:t xml:space="preserve"> </w:t>
      </w:r>
      <w:r>
        <w:rPr>
          <w:color w:val="231F20"/>
          <w:spacing w:val="-3"/>
          <w:sz w:val="20"/>
        </w:rPr>
        <w:t>aggressor.</w:t>
      </w:r>
      <w:r>
        <w:rPr>
          <w:color w:val="231F20"/>
          <w:spacing w:val="-3"/>
          <w:position w:val="7"/>
          <w:sz w:val="11"/>
        </w:rPr>
        <w:t>120</w:t>
      </w:r>
    </w:p>
    <w:p w14:paraId="1E67524A" w14:textId="77777777" w:rsidR="00894070" w:rsidRDefault="009B7AFD">
      <w:pPr>
        <w:pStyle w:val="BodyText"/>
        <w:spacing w:before="2" w:line="206" w:lineRule="auto"/>
        <w:ind w:left="1801" w:right="1133"/>
      </w:pPr>
      <w:r>
        <w:rPr>
          <w:color w:val="231F20"/>
        </w:rPr>
        <w:t xml:space="preserve">It </w:t>
      </w:r>
      <w:r>
        <w:rPr>
          <w:color w:val="231F20"/>
          <w:spacing w:val="-3"/>
        </w:rPr>
        <w:t xml:space="preserve">may </w:t>
      </w:r>
      <w:r>
        <w:rPr>
          <w:color w:val="231F20"/>
        </w:rPr>
        <w:t xml:space="preserve">be difficult </w:t>
      </w:r>
      <w:r>
        <w:rPr>
          <w:color w:val="231F20"/>
          <w:spacing w:val="-3"/>
        </w:rPr>
        <w:t xml:space="preserve">for </w:t>
      </w:r>
      <w:r>
        <w:rPr>
          <w:color w:val="231F20"/>
        </w:rPr>
        <w:t xml:space="preserve">police at the scene of a </w:t>
      </w:r>
      <w:r>
        <w:rPr>
          <w:color w:val="231F20"/>
          <w:spacing w:val="-2"/>
        </w:rPr>
        <w:t xml:space="preserve">matter </w:t>
      </w:r>
      <w:r>
        <w:rPr>
          <w:color w:val="231F20"/>
        </w:rPr>
        <w:t xml:space="preserve">to </w:t>
      </w:r>
      <w:r>
        <w:rPr>
          <w:color w:val="231F20"/>
          <w:spacing w:val="-3"/>
        </w:rPr>
        <w:t xml:space="preserve">avoid </w:t>
      </w:r>
      <w:r>
        <w:rPr>
          <w:color w:val="231F20"/>
        </w:rPr>
        <w:t xml:space="preserve">issuing notices if under </w:t>
      </w:r>
      <w:r>
        <w:rPr>
          <w:color w:val="231F20"/>
          <w:spacing w:val="-3"/>
        </w:rPr>
        <w:t xml:space="preserve">pressure from </w:t>
      </w:r>
      <w:r>
        <w:rPr>
          <w:color w:val="231F20"/>
        </w:rPr>
        <w:t xml:space="preserve">parties to do so, </w:t>
      </w:r>
      <w:r>
        <w:rPr>
          <w:color w:val="231F20"/>
          <w:spacing w:val="-3"/>
        </w:rPr>
        <w:t xml:space="preserve">for example, </w:t>
      </w:r>
      <w:r>
        <w:rPr>
          <w:color w:val="231F20"/>
        </w:rPr>
        <w:t xml:space="preserve">at a heated dispute between neighbours. If police had similar </w:t>
      </w:r>
      <w:r>
        <w:rPr>
          <w:color w:val="231F20"/>
          <w:spacing w:val="-3"/>
        </w:rPr>
        <w:t xml:space="preserve">powers </w:t>
      </w:r>
      <w:r>
        <w:rPr>
          <w:color w:val="231F20"/>
        </w:rPr>
        <w:t xml:space="preserve">in the PSIO system, the same </w:t>
      </w:r>
      <w:r>
        <w:rPr>
          <w:color w:val="231F20"/>
          <w:spacing w:val="-3"/>
        </w:rPr>
        <w:t xml:space="preserve">problems </w:t>
      </w:r>
      <w:r>
        <w:rPr>
          <w:color w:val="231F20"/>
        </w:rPr>
        <w:t>might arise.</w:t>
      </w:r>
    </w:p>
    <w:p w14:paraId="7CCCA00B" w14:textId="77777777" w:rsidR="00894070" w:rsidRDefault="009B7AFD">
      <w:pPr>
        <w:pStyle w:val="ListParagraph"/>
        <w:numPr>
          <w:ilvl w:val="1"/>
          <w:numId w:val="102"/>
        </w:numPr>
        <w:tabs>
          <w:tab w:val="left" w:pos="1801"/>
          <w:tab w:val="left" w:pos="1802"/>
        </w:tabs>
        <w:spacing w:before="124" w:line="206" w:lineRule="auto"/>
        <w:ind w:right="1328"/>
        <w:rPr>
          <w:sz w:val="11"/>
        </w:rPr>
      </w:pPr>
      <w:r>
        <w:rPr>
          <w:color w:val="231F20"/>
          <w:spacing w:val="-4"/>
          <w:sz w:val="20"/>
        </w:rPr>
        <w:t xml:space="preserve">Further, </w:t>
      </w:r>
      <w:r>
        <w:rPr>
          <w:color w:val="231F20"/>
          <w:sz w:val="20"/>
        </w:rPr>
        <w:t xml:space="preserve">if (as with FVSNs) a police-issued notice is </w:t>
      </w:r>
      <w:r>
        <w:rPr>
          <w:color w:val="231F20"/>
          <w:spacing w:val="-3"/>
          <w:sz w:val="20"/>
        </w:rPr>
        <w:t xml:space="preserve">treated </w:t>
      </w:r>
      <w:r>
        <w:rPr>
          <w:color w:val="231F20"/>
          <w:sz w:val="20"/>
        </w:rPr>
        <w:t xml:space="preserve">as an application </w:t>
      </w:r>
      <w:r>
        <w:rPr>
          <w:color w:val="231F20"/>
          <w:spacing w:val="-3"/>
          <w:sz w:val="20"/>
        </w:rPr>
        <w:t xml:space="preserve">for </w:t>
      </w:r>
      <w:r>
        <w:rPr>
          <w:color w:val="231F20"/>
          <w:sz w:val="20"/>
        </w:rPr>
        <w:t xml:space="preserve">an </w:t>
      </w:r>
      <w:r>
        <w:rPr>
          <w:color w:val="231F20"/>
          <w:spacing w:val="-2"/>
          <w:sz w:val="20"/>
        </w:rPr>
        <w:t>intervention</w:t>
      </w:r>
      <w:r>
        <w:rPr>
          <w:color w:val="231F20"/>
          <w:spacing w:val="-8"/>
          <w:sz w:val="20"/>
        </w:rPr>
        <w:t xml:space="preserve"> </w:t>
      </w:r>
      <w:r>
        <w:rPr>
          <w:color w:val="231F20"/>
          <w:spacing w:val="-4"/>
          <w:sz w:val="20"/>
        </w:rPr>
        <w:t>order,</w:t>
      </w:r>
      <w:r>
        <w:rPr>
          <w:color w:val="231F20"/>
          <w:spacing w:val="-8"/>
          <w:sz w:val="20"/>
        </w:rPr>
        <w:t xml:space="preserve"> </w:t>
      </w:r>
      <w:r>
        <w:rPr>
          <w:color w:val="231F20"/>
          <w:sz w:val="20"/>
        </w:rPr>
        <w:t>this</w:t>
      </w:r>
      <w:r>
        <w:rPr>
          <w:color w:val="231F20"/>
          <w:spacing w:val="-7"/>
          <w:sz w:val="20"/>
        </w:rPr>
        <w:t xml:space="preserve"> </w:t>
      </w:r>
      <w:r>
        <w:rPr>
          <w:color w:val="231F20"/>
          <w:spacing w:val="-3"/>
          <w:sz w:val="20"/>
        </w:rPr>
        <w:t>would</w:t>
      </w:r>
      <w:r>
        <w:rPr>
          <w:color w:val="231F20"/>
          <w:spacing w:val="-8"/>
          <w:sz w:val="20"/>
        </w:rPr>
        <w:t xml:space="preserve"> </w:t>
      </w:r>
      <w:r>
        <w:rPr>
          <w:color w:val="231F20"/>
          <w:sz w:val="20"/>
        </w:rPr>
        <w:t>lead</w:t>
      </w:r>
      <w:r>
        <w:rPr>
          <w:color w:val="231F20"/>
          <w:spacing w:val="-7"/>
          <w:sz w:val="20"/>
        </w:rPr>
        <w:t xml:space="preserve"> </w:t>
      </w:r>
      <w:r>
        <w:rPr>
          <w:color w:val="231F20"/>
          <w:sz w:val="20"/>
        </w:rPr>
        <w:t>to</w:t>
      </w:r>
      <w:r>
        <w:rPr>
          <w:color w:val="231F20"/>
          <w:spacing w:val="-8"/>
          <w:sz w:val="20"/>
        </w:rPr>
        <w:t xml:space="preserve"> </w:t>
      </w:r>
      <w:r>
        <w:rPr>
          <w:color w:val="231F20"/>
          <w:spacing w:val="-3"/>
          <w:sz w:val="20"/>
        </w:rPr>
        <w:t>even</w:t>
      </w:r>
      <w:r>
        <w:rPr>
          <w:color w:val="231F20"/>
          <w:spacing w:val="-7"/>
          <w:sz w:val="20"/>
        </w:rPr>
        <w:t xml:space="preserve"> </w:t>
      </w:r>
      <w:r>
        <w:rPr>
          <w:color w:val="231F20"/>
          <w:sz w:val="20"/>
        </w:rPr>
        <w:t>more</w:t>
      </w:r>
      <w:r>
        <w:rPr>
          <w:color w:val="231F20"/>
          <w:spacing w:val="-8"/>
          <w:sz w:val="20"/>
        </w:rPr>
        <w:t xml:space="preserve"> </w:t>
      </w:r>
      <w:r>
        <w:rPr>
          <w:color w:val="231F20"/>
          <w:sz w:val="20"/>
        </w:rPr>
        <w:t>PSIO</w:t>
      </w:r>
      <w:r>
        <w:rPr>
          <w:color w:val="231F20"/>
          <w:spacing w:val="-7"/>
          <w:sz w:val="20"/>
        </w:rPr>
        <w:t xml:space="preserve"> </w:t>
      </w:r>
      <w:r>
        <w:rPr>
          <w:color w:val="231F20"/>
          <w:sz w:val="20"/>
        </w:rPr>
        <w:t>applications.</w:t>
      </w:r>
      <w:r>
        <w:rPr>
          <w:color w:val="231F20"/>
          <w:spacing w:val="-8"/>
          <w:sz w:val="20"/>
        </w:rPr>
        <w:t xml:space="preserve"> </w:t>
      </w:r>
      <w:r>
        <w:rPr>
          <w:color w:val="231F20"/>
          <w:sz w:val="20"/>
        </w:rPr>
        <w:t>This</w:t>
      </w:r>
      <w:r>
        <w:rPr>
          <w:color w:val="231F20"/>
          <w:spacing w:val="-7"/>
          <w:sz w:val="20"/>
        </w:rPr>
        <w:t xml:space="preserve"> </w:t>
      </w:r>
      <w:r>
        <w:rPr>
          <w:color w:val="231F20"/>
          <w:spacing w:val="-3"/>
          <w:sz w:val="20"/>
        </w:rPr>
        <w:t>would</w:t>
      </w:r>
      <w:r>
        <w:rPr>
          <w:color w:val="231F20"/>
          <w:spacing w:val="-8"/>
          <w:sz w:val="20"/>
        </w:rPr>
        <w:t xml:space="preserve"> </w:t>
      </w:r>
      <w:r>
        <w:rPr>
          <w:color w:val="231F20"/>
          <w:sz w:val="20"/>
        </w:rPr>
        <w:t>make</w:t>
      </w:r>
      <w:r>
        <w:rPr>
          <w:color w:val="231F20"/>
          <w:spacing w:val="-7"/>
          <w:sz w:val="20"/>
        </w:rPr>
        <w:t xml:space="preserve"> </w:t>
      </w:r>
      <w:r>
        <w:rPr>
          <w:color w:val="231F20"/>
          <w:sz w:val="20"/>
        </w:rPr>
        <w:t>it difficult to identify serious stalking</w:t>
      </w:r>
      <w:r>
        <w:rPr>
          <w:color w:val="231F20"/>
          <w:spacing w:val="-24"/>
          <w:sz w:val="20"/>
        </w:rPr>
        <w:t xml:space="preserve"> </w:t>
      </w:r>
      <w:r>
        <w:rPr>
          <w:color w:val="231F20"/>
          <w:sz w:val="20"/>
        </w:rPr>
        <w:t>matters.</w:t>
      </w:r>
      <w:r>
        <w:rPr>
          <w:color w:val="231F20"/>
          <w:position w:val="7"/>
          <w:sz w:val="11"/>
        </w:rPr>
        <w:t>121</w:t>
      </w:r>
    </w:p>
    <w:p w14:paraId="5124CAEB" w14:textId="77777777" w:rsidR="00894070" w:rsidRDefault="009B7AFD">
      <w:pPr>
        <w:pStyle w:val="ListParagraph"/>
        <w:numPr>
          <w:ilvl w:val="1"/>
          <w:numId w:val="102"/>
        </w:numPr>
        <w:tabs>
          <w:tab w:val="left" w:pos="1801"/>
          <w:tab w:val="left" w:pos="1802"/>
        </w:tabs>
        <w:spacing w:before="124" w:line="206" w:lineRule="auto"/>
        <w:ind w:right="1177"/>
        <w:rPr>
          <w:sz w:val="20"/>
        </w:rPr>
      </w:pPr>
      <w:r>
        <w:rPr>
          <w:color w:val="231F20"/>
          <w:sz w:val="20"/>
        </w:rPr>
        <w:t xml:space="preserve">If clear guidance is </w:t>
      </w:r>
      <w:r>
        <w:rPr>
          <w:color w:val="231F20"/>
          <w:spacing w:val="-3"/>
          <w:sz w:val="20"/>
        </w:rPr>
        <w:t xml:space="preserve">developed </w:t>
      </w:r>
      <w:r>
        <w:rPr>
          <w:color w:val="231F20"/>
          <w:sz w:val="20"/>
        </w:rPr>
        <w:t xml:space="preserve">to identify stalking cases, it </w:t>
      </w:r>
      <w:r>
        <w:rPr>
          <w:color w:val="231F20"/>
          <w:spacing w:val="-3"/>
          <w:sz w:val="20"/>
        </w:rPr>
        <w:t xml:space="preserve">may </w:t>
      </w:r>
      <w:r>
        <w:rPr>
          <w:color w:val="231F20"/>
          <w:sz w:val="20"/>
        </w:rPr>
        <w:t xml:space="preserve">become possible to target police-issued notices sufficiently to </w:t>
      </w:r>
      <w:r>
        <w:rPr>
          <w:color w:val="231F20"/>
          <w:spacing w:val="-3"/>
          <w:sz w:val="20"/>
        </w:rPr>
        <w:t xml:space="preserve">avoid </w:t>
      </w:r>
      <w:r>
        <w:rPr>
          <w:color w:val="231F20"/>
          <w:sz w:val="20"/>
        </w:rPr>
        <w:t xml:space="preserve">those risks. </w:t>
      </w:r>
      <w:proofErr w:type="gramStart"/>
      <w:r>
        <w:rPr>
          <w:color w:val="231F20"/>
          <w:spacing w:val="-4"/>
          <w:sz w:val="20"/>
        </w:rPr>
        <w:t>However</w:t>
      </w:r>
      <w:proofErr w:type="gramEnd"/>
      <w:r>
        <w:rPr>
          <w:color w:val="231F20"/>
          <w:spacing w:val="-4"/>
          <w:sz w:val="20"/>
        </w:rPr>
        <w:t xml:space="preserve"> </w:t>
      </w:r>
      <w:r>
        <w:rPr>
          <w:color w:val="231F20"/>
          <w:sz w:val="20"/>
        </w:rPr>
        <w:t xml:space="preserve">at this stage </w:t>
      </w:r>
      <w:r>
        <w:rPr>
          <w:color w:val="231F20"/>
          <w:spacing w:val="-3"/>
          <w:sz w:val="20"/>
        </w:rPr>
        <w:t xml:space="preserve">we </w:t>
      </w:r>
      <w:r>
        <w:rPr>
          <w:color w:val="231F20"/>
          <w:sz w:val="20"/>
        </w:rPr>
        <w:t>do</w:t>
      </w:r>
      <w:r>
        <w:rPr>
          <w:color w:val="231F20"/>
          <w:spacing w:val="-10"/>
          <w:sz w:val="20"/>
        </w:rPr>
        <w:t xml:space="preserve"> </w:t>
      </w:r>
      <w:r>
        <w:rPr>
          <w:color w:val="231F20"/>
          <w:sz w:val="20"/>
        </w:rPr>
        <w:t>not</w:t>
      </w:r>
      <w:r>
        <w:rPr>
          <w:color w:val="231F20"/>
          <w:spacing w:val="-10"/>
          <w:sz w:val="20"/>
        </w:rPr>
        <w:t xml:space="preserve"> </w:t>
      </w:r>
      <w:r>
        <w:rPr>
          <w:color w:val="231F20"/>
          <w:sz w:val="20"/>
        </w:rPr>
        <w:t>make</w:t>
      </w:r>
      <w:r>
        <w:rPr>
          <w:color w:val="231F20"/>
          <w:spacing w:val="-9"/>
          <w:sz w:val="20"/>
        </w:rPr>
        <w:t xml:space="preserve"> </w:t>
      </w:r>
      <w:r>
        <w:rPr>
          <w:color w:val="231F20"/>
          <w:sz w:val="20"/>
        </w:rPr>
        <w:t>a</w:t>
      </w:r>
      <w:r>
        <w:rPr>
          <w:color w:val="231F20"/>
          <w:spacing w:val="-10"/>
          <w:sz w:val="20"/>
        </w:rPr>
        <w:t xml:space="preserve"> </w:t>
      </w:r>
      <w:r>
        <w:rPr>
          <w:color w:val="231F20"/>
          <w:sz w:val="20"/>
        </w:rPr>
        <w:t>recommendation</w:t>
      </w:r>
      <w:r>
        <w:rPr>
          <w:color w:val="231F20"/>
          <w:spacing w:val="-10"/>
          <w:sz w:val="20"/>
        </w:rPr>
        <w:t xml:space="preserve"> </w:t>
      </w:r>
      <w:r>
        <w:rPr>
          <w:color w:val="231F20"/>
          <w:sz w:val="20"/>
        </w:rPr>
        <w:t>to</w:t>
      </w:r>
      <w:r>
        <w:rPr>
          <w:color w:val="231F20"/>
          <w:spacing w:val="-9"/>
          <w:sz w:val="20"/>
        </w:rPr>
        <w:t xml:space="preserve"> </w:t>
      </w:r>
      <w:r>
        <w:rPr>
          <w:color w:val="231F20"/>
          <w:spacing w:val="-3"/>
          <w:sz w:val="20"/>
        </w:rPr>
        <w:t>introduce</w:t>
      </w:r>
      <w:r>
        <w:rPr>
          <w:color w:val="231F20"/>
          <w:spacing w:val="-10"/>
          <w:sz w:val="20"/>
        </w:rPr>
        <w:t xml:space="preserve"> </w:t>
      </w:r>
      <w:r>
        <w:rPr>
          <w:color w:val="231F20"/>
          <w:sz w:val="20"/>
        </w:rPr>
        <w:t>a</w:t>
      </w:r>
      <w:r>
        <w:rPr>
          <w:color w:val="231F20"/>
          <w:spacing w:val="-10"/>
          <w:sz w:val="20"/>
        </w:rPr>
        <w:t xml:space="preserve"> </w:t>
      </w:r>
      <w:r>
        <w:rPr>
          <w:color w:val="231F20"/>
          <w:sz w:val="20"/>
        </w:rPr>
        <w:t>police-issued</w:t>
      </w:r>
      <w:r>
        <w:rPr>
          <w:color w:val="231F20"/>
          <w:spacing w:val="-9"/>
          <w:sz w:val="20"/>
        </w:rPr>
        <w:t xml:space="preserve"> </w:t>
      </w:r>
      <w:r>
        <w:rPr>
          <w:color w:val="231F20"/>
          <w:sz w:val="20"/>
        </w:rPr>
        <w:t>notice</w:t>
      </w:r>
      <w:r>
        <w:rPr>
          <w:color w:val="231F20"/>
          <w:spacing w:val="-10"/>
          <w:sz w:val="20"/>
        </w:rPr>
        <w:t xml:space="preserve"> </w:t>
      </w:r>
      <w:r>
        <w:rPr>
          <w:color w:val="231F20"/>
          <w:sz w:val="20"/>
        </w:rPr>
        <w:t>in</w:t>
      </w:r>
      <w:r>
        <w:rPr>
          <w:color w:val="231F20"/>
          <w:spacing w:val="-9"/>
          <w:sz w:val="20"/>
        </w:rPr>
        <w:t xml:space="preserve"> </w:t>
      </w:r>
      <w:r>
        <w:rPr>
          <w:color w:val="231F20"/>
          <w:sz w:val="20"/>
        </w:rPr>
        <w:t>the</w:t>
      </w:r>
      <w:r>
        <w:rPr>
          <w:color w:val="231F20"/>
          <w:spacing w:val="-10"/>
          <w:sz w:val="20"/>
        </w:rPr>
        <w:t xml:space="preserve"> </w:t>
      </w:r>
      <w:r>
        <w:rPr>
          <w:color w:val="231F20"/>
          <w:sz w:val="20"/>
        </w:rPr>
        <w:t>PSIO</w:t>
      </w:r>
      <w:r>
        <w:rPr>
          <w:color w:val="231F20"/>
          <w:spacing w:val="-10"/>
          <w:sz w:val="20"/>
        </w:rPr>
        <w:t xml:space="preserve"> </w:t>
      </w:r>
      <w:r>
        <w:rPr>
          <w:color w:val="231F20"/>
          <w:sz w:val="20"/>
        </w:rPr>
        <w:t>system.</w:t>
      </w:r>
    </w:p>
    <w:p w14:paraId="0B897C34" w14:textId="77777777" w:rsidR="00894070" w:rsidRDefault="00894070">
      <w:pPr>
        <w:pStyle w:val="BodyText"/>
        <w:spacing w:before="12"/>
        <w:rPr>
          <w:sz w:val="21"/>
        </w:rPr>
      </w:pPr>
    </w:p>
    <w:p w14:paraId="346EA0C5" w14:textId="77777777" w:rsidR="00894070" w:rsidRDefault="009B7AFD">
      <w:pPr>
        <w:pStyle w:val="Heading7"/>
        <w:spacing w:line="184" w:lineRule="auto"/>
        <w:ind w:right="1957"/>
      </w:pPr>
      <w:r>
        <w:rPr>
          <w:color w:val="EA5B50"/>
        </w:rPr>
        <w:t>System improvements should be based on family violence legislation</w:t>
      </w:r>
    </w:p>
    <w:p w14:paraId="131A8328" w14:textId="77777777" w:rsidR="00894070" w:rsidRDefault="009B7AFD">
      <w:pPr>
        <w:pStyle w:val="ListParagraph"/>
        <w:numPr>
          <w:ilvl w:val="1"/>
          <w:numId w:val="102"/>
        </w:numPr>
        <w:tabs>
          <w:tab w:val="left" w:pos="1801"/>
          <w:tab w:val="left" w:pos="1802"/>
        </w:tabs>
        <w:spacing w:before="162" w:line="206" w:lineRule="auto"/>
        <w:ind w:right="1516"/>
        <w:rPr>
          <w:sz w:val="20"/>
        </w:rPr>
      </w:pPr>
      <w:r>
        <w:rPr>
          <w:color w:val="231F20"/>
          <w:sz w:val="20"/>
        </w:rPr>
        <w:t>The</w:t>
      </w:r>
      <w:r>
        <w:rPr>
          <w:color w:val="231F20"/>
          <w:spacing w:val="-11"/>
          <w:sz w:val="20"/>
        </w:rPr>
        <w:t xml:space="preserve"> </w:t>
      </w:r>
      <w:r>
        <w:rPr>
          <w:color w:val="231F20"/>
          <w:sz w:val="20"/>
        </w:rPr>
        <w:t>PSIO</w:t>
      </w:r>
      <w:r>
        <w:rPr>
          <w:color w:val="231F20"/>
          <w:spacing w:val="-11"/>
          <w:sz w:val="20"/>
        </w:rPr>
        <w:t xml:space="preserve"> </w:t>
      </w:r>
      <w:r>
        <w:rPr>
          <w:color w:val="231F20"/>
          <w:sz w:val="20"/>
        </w:rPr>
        <w:t>process</w:t>
      </w:r>
      <w:r>
        <w:rPr>
          <w:color w:val="231F20"/>
          <w:spacing w:val="-11"/>
          <w:sz w:val="20"/>
        </w:rPr>
        <w:t xml:space="preserve"> </w:t>
      </w:r>
      <w:r>
        <w:rPr>
          <w:color w:val="231F20"/>
          <w:sz w:val="20"/>
        </w:rPr>
        <w:t>can</w:t>
      </w:r>
      <w:r>
        <w:rPr>
          <w:color w:val="231F20"/>
          <w:spacing w:val="-11"/>
          <w:sz w:val="20"/>
        </w:rPr>
        <w:t xml:space="preserve"> </w:t>
      </w:r>
      <w:r>
        <w:rPr>
          <w:color w:val="231F20"/>
          <w:sz w:val="20"/>
        </w:rPr>
        <w:t>be</w:t>
      </w:r>
      <w:r>
        <w:rPr>
          <w:color w:val="231F20"/>
          <w:spacing w:val="-11"/>
          <w:sz w:val="20"/>
        </w:rPr>
        <w:t xml:space="preserve"> </w:t>
      </w:r>
      <w:r>
        <w:rPr>
          <w:color w:val="231F20"/>
          <w:sz w:val="20"/>
        </w:rPr>
        <w:t>long,</w:t>
      </w:r>
      <w:r>
        <w:rPr>
          <w:color w:val="231F20"/>
          <w:spacing w:val="-11"/>
          <w:sz w:val="20"/>
        </w:rPr>
        <w:t xml:space="preserve"> </w:t>
      </w:r>
      <w:proofErr w:type="gramStart"/>
      <w:r>
        <w:rPr>
          <w:color w:val="231F20"/>
          <w:sz w:val="20"/>
        </w:rPr>
        <w:t>frustrating</w:t>
      </w:r>
      <w:proofErr w:type="gramEnd"/>
      <w:r>
        <w:rPr>
          <w:color w:val="231F20"/>
          <w:spacing w:val="-10"/>
          <w:sz w:val="20"/>
        </w:rPr>
        <w:t xml:space="preserve"> </w:t>
      </w:r>
      <w:r>
        <w:rPr>
          <w:color w:val="231F20"/>
          <w:sz w:val="20"/>
        </w:rPr>
        <w:t>and</w:t>
      </w:r>
      <w:r>
        <w:rPr>
          <w:color w:val="231F20"/>
          <w:spacing w:val="-11"/>
          <w:sz w:val="20"/>
        </w:rPr>
        <w:t xml:space="preserve"> </w:t>
      </w:r>
      <w:r>
        <w:rPr>
          <w:color w:val="231F20"/>
          <w:sz w:val="20"/>
        </w:rPr>
        <w:t>traumatic</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people</w:t>
      </w:r>
      <w:r>
        <w:rPr>
          <w:color w:val="231F20"/>
          <w:spacing w:val="-11"/>
          <w:sz w:val="20"/>
        </w:rPr>
        <w:t xml:space="preserve"> </w:t>
      </w:r>
      <w:r>
        <w:rPr>
          <w:color w:val="231F20"/>
          <w:sz w:val="20"/>
        </w:rPr>
        <w:t>who</w:t>
      </w:r>
      <w:r>
        <w:rPr>
          <w:color w:val="231F20"/>
          <w:spacing w:val="-11"/>
          <w:sz w:val="20"/>
        </w:rPr>
        <w:t xml:space="preserve"> </w:t>
      </w:r>
      <w:r>
        <w:rPr>
          <w:color w:val="231F20"/>
          <w:sz w:val="20"/>
        </w:rPr>
        <w:t>experience stalking.</w:t>
      </w:r>
      <w:r>
        <w:rPr>
          <w:color w:val="231F20"/>
          <w:spacing w:val="-6"/>
          <w:sz w:val="20"/>
        </w:rPr>
        <w:t xml:space="preserve"> </w:t>
      </w:r>
      <w:r>
        <w:rPr>
          <w:color w:val="231F20"/>
          <w:sz w:val="20"/>
        </w:rPr>
        <w:t>This</w:t>
      </w:r>
      <w:r>
        <w:rPr>
          <w:color w:val="231F20"/>
          <w:spacing w:val="-5"/>
          <w:sz w:val="20"/>
        </w:rPr>
        <w:t xml:space="preserve"> </w:t>
      </w:r>
      <w:r>
        <w:rPr>
          <w:color w:val="231F20"/>
          <w:sz w:val="20"/>
        </w:rPr>
        <w:t>could</w:t>
      </w:r>
      <w:r>
        <w:rPr>
          <w:color w:val="231F20"/>
          <w:spacing w:val="-5"/>
          <w:sz w:val="20"/>
        </w:rPr>
        <w:t xml:space="preserve"> </w:t>
      </w:r>
      <w:r>
        <w:rPr>
          <w:color w:val="231F20"/>
          <w:sz w:val="20"/>
        </w:rPr>
        <w:t>be</w:t>
      </w:r>
      <w:r>
        <w:rPr>
          <w:color w:val="231F20"/>
          <w:spacing w:val="-6"/>
          <w:sz w:val="20"/>
        </w:rPr>
        <w:t xml:space="preserve"> </w:t>
      </w:r>
      <w:r>
        <w:rPr>
          <w:color w:val="231F20"/>
          <w:sz w:val="20"/>
        </w:rPr>
        <w:t>a</w:t>
      </w:r>
      <w:r>
        <w:rPr>
          <w:color w:val="231F20"/>
          <w:spacing w:val="-5"/>
          <w:sz w:val="20"/>
        </w:rPr>
        <w:t xml:space="preserve"> </w:t>
      </w:r>
      <w:r>
        <w:rPr>
          <w:color w:val="231F20"/>
          <w:sz w:val="20"/>
        </w:rPr>
        <w:t>barrier</w:t>
      </w:r>
      <w:r>
        <w:rPr>
          <w:color w:val="231F20"/>
          <w:spacing w:val="-5"/>
          <w:sz w:val="20"/>
        </w:rPr>
        <w:t xml:space="preserve"> </w:t>
      </w:r>
      <w:r>
        <w:rPr>
          <w:color w:val="231F20"/>
          <w:sz w:val="20"/>
        </w:rPr>
        <w:t>to</w:t>
      </w:r>
      <w:r>
        <w:rPr>
          <w:color w:val="231F20"/>
          <w:spacing w:val="-6"/>
          <w:sz w:val="20"/>
        </w:rPr>
        <w:t xml:space="preserve"> </w:t>
      </w:r>
      <w:r>
        <w:rPr>
          <w:color w:val="231F20"/>
          <w:sz w:val="20"/>
        </w:rPr>
        <w:t>reporting</w:t>
      </w:r>
      <w:r>
        <w:rPr>
          <w:color w:val="231F20"/>
          <w:spacing w:val="-5"/>
          <w:sz w:val="20"/>
        </w:rPr>
        <w:t xml:space="preserve"> </w:t>
      </w:r>
      <w:r>
        <w:rPr>
          <w:color w:val="231F20"/>
          <w:sz w:val="20"/>
        </w:rPr>
        <w:t>the</w:t>
      </w:r>
      <w:r>
        <w:rPr>
          <w:color w:val="231F20"/>
          <w:spacing w:val="-5"/>
          <w:sz w:val="20"/>
        </w:rPr>
        <w:t xml:space="preserve"> </w:t>
      </w:r>
      <w:r>
        <w:rPr>
          <w:color w:val="231F20"/>
          <w:sz w:val="20"/>
        </w:rPr>
        <w:t>stalking</w:t>
      </w:r>
      <w:r>
        <w:rPr>
          <w:color w:val="231F20"/>
          <w:spacing w:val="-5"/>
          <w:sz w:val="20"/>
        </w:rPr>
        <w:t xml:space="preserve"> </w:t>
      </w:r>
      <w:r>
        <w:rPr>
          <w:color w:val="231F20"/>
          <w:spacing w:val="-3"/>
          <w:sz w:val="20"/>
        </w:rPr>
        <w:t>behaviour.</w:t>
      </w:r>
    </w:p>
    <w:p w14:paraId="7B2643FC" w14:textId="77777777" w:rsidR="00894070" w:rsidRDefault="009B7AFD">
      <w:pPr>
        <w:pStyle w:val="ListParagraph"/>
        <w:numPr>
          <w:ilvl w:val="1"/>
          <w:numId w:val="102"/>
        </w:numPr>
        <w:tabs>
          <w:tab w:val="left" w:pos="1801"/>
          <w:tab w:val="left" w:pos="1802"/>
        </w:tabs>
        <w:spacing w:before="122" w:line="206" w:lineRule="auto"/>
        <w:ind w:right="1258"/>
        <w:rPr>
          <w:sz w:val="20"/>
        </w:rPr>
      </w:pPr>
      <w:r>
        <w:rPr>
          <w:color w:val="231F20"/>
          <w:sz w:val="20"/>
        </w:rPr>
        <w:t>It</w:t>
      </w:r>
      <w:r>
        <w:rPr>
          <w:color w:val="231F20"/>
          <w:spacing w:val="-8"/>
          <w:sz w:val="20"/>
        </w:rPr>
        <w:t xml:space="preserve"> </w:t>
      </w:r>
      <w:r>
        <w:rPr>
          <w:color w:val="231F20"/>
          <w:spacing w:val="-3"/>
          <w:sz w:val="20"/>
        </w:rPr>
        <w:t>may</w:t>
      </w:r>
      <w:r>
        <w:rPr>
          <w:color w:val="231F20"/>
          <w:spacing w:val="-7"/>
          <w:sz w:val="20"/>
        </w:rPr>
        <w:t xml:space="preserve"> </w:t>
      </w:r>
      <w:r>
        <w:rPr>
          <w:color w:val="231F20"/>
          <w:sz w:val="20"/>
        </w:rPr>
        <w:t>also</w:t>
      </w:r>
      <w:r>
        <w:rPr>
          <w:color w:val="231F20"/>
          <w:spacing w:val="-7"/>
          <w:sz w:val="20"/>
        </w:rPr>
        <w:t xml:space="preserve"> </w:t>
      </w:r>
      <w:r>
        <w:rPr>
          <w:color w:val="231F20"/>
          <w:sz w:val="20"/>
        </w:rPr>
        <w:t>mean</w:t>
      </w:r>
      <w:r>
        <w:rPr>
          <w:color w:val="231F20"/>
          <w:spacing w:val="-7"/>
          <w:sz w:val="20"/>
        </w:rPr>
        <w:t xml:space="preserve"> </w:t>
      </w:r>
      <w:r>
        <w:rPr>
          <w:color w:val="231F20"/>
          <w:sz w:val="20"/>
        </w:rPr>
        <w:t>that</w:t>
      </w:r>
      <w:r>
        <w:rPr>
          <w:color w:val="231F20"/>
          <w:spacing w:val="-7"/>
          <w:sz w:val="20"/>
        </w:rPr>
        <w:t xml:space="preserve"> </w:t>
      </w:r>
      <w:r>
        <w:rPr>
          <w:color w:val="231F20"/>
          <w:sz w:val="20"/>
        </w:rPr>
        <w:t>victim</w:t>
      </w:r>
      <w:r>
        <w:rPr>
          <w:color w:val="231F20"/>
          <w:spacing w:val="-7"/>
          <w:sz w:val="20"/>
        </w:rPr>
        <w:t xml:space="preserve"> </w:t>
      </w:r>
      <w:r>
        <w:rPr>
          <w:color w:val="231F20"/>
          <w:sz w:val="20"/>
        </w:rPr>
        <w:t>survivors</w:t>
      </w:r>
      <w:r>
        <w:rPr>
          <w:color w:val="231F20"/>
          <w:spacing w:val="-7"/>
          <w:sz w:val="20"/>
        </w:rPr>
        <w:t xml:space="preserve"> </w:t>
      </w:r>
      <w:r>
        <w:rPr>
          <w:color w:val="231F20"/>
          <w:spacing w:val="-3"/>
          <w:sz w:val="20"/>
        </w:rPr>
        <w:t>are</w:t>
      </w:r>
      <w:r>
        <w:rPr>
          <w:color w:val="231F20"/>
          <w:spacing w:val="-7"/>
          <w:sz w:val="20"/>
        </w:rPr>
        <w:t xml:space="preserve"> </w:t>
      </w:r>
      <w:r>
        <w:rPr>
          <w:color w:val="231F20"/>
          <w:sz w:val="20"/>
        </w:rPr>
        <w:t>not</w:t>
      </w:r>
      <w:r>
        <w:rPr>
          <w:color w:val="231F20"/>
          <w:spacing w:val="-8"/>
          <w:sz w:val="20"/>
        </w:rPr>
        <w:t xml:space="preserve"> </w:t>
      </w:r>
      <w:r>
        <w:rPr>
          <w:color w:val="231F20"/>
          <w:sz w:val="20"/>
        </w:rPr>
        <w:t>equipped</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present</w:t>
      </w:r>
      <w:r>
        <w:rPr>
          <w:color w:val="231F20"/>
          <w:spacing w:val="-7"/>
          <w:sz w:val="20"/>
        </w:rPr>
        <w:t xml:space="preserve"> </w:t>
      </w:r>
      <w:r>
        <w:rPr>
          <w:color w:val="231F20"/>
          <w:sz w:val="20"/>
        </w:rPr>
        <w:t>their</w:t>
      </w:r>
      <w:r>
        <w:rPr>
          <w:color w:val="231F20"/>
          <w:spacing w:val="-7"/>
          <w:sz w:val="20"/>
        </w:rPr>
        <w:t xml:space="preserve"> </w:t>
      </w:r>
      <w:r>
        <w:rPr>
          <w:color w:val="231F20"/>
          <w:sz w:val="20"/>
        </w:rPr>
        <w:t>best</w:t>
      </w:r>
      <w:r>
        <w:rPr>
          <w:color w:val="231F20"/>
          <w:spacing w:val="-7"/>
          <w:sz w:val="20"/>
        </w:rPr>
        <w:t xml:space="preserve"> </w:t>
      </w:r>
      <w:r>
        <w:rPr>
          <w:color w:val="231F20"/>
          <w:spacing w:val="-2"/>
          <w:sz w:val="20"/>
        </w:rPr>
        <w:t xml:space="preserve">evidence. </w:t>
      </w:r>
      <w:r>
        <w:rPr>
          <w:color w:val="231F20"/>
          <w:sz w:val="20"/>
        </w:rPr>
        <w:t xml:space="preserve">It can be frightening </w:t>
      </w:r>
      <w:r>
        <w:rPr>
          <w:color w:val="231F20"/>
          <w:spacing w:val="-3"/>
          <w:sz w:val="20"/>
        </w:rPr>
        <w:t xml:space="preserve">for </w:t>
      </w:r>
      <w:r>
        <w:rPr>
          <w:color w:val="231F20"/>
          <w:sz w:val="20"/>
        </w:rPr>
        <w:t>victim survivors to be part of a process when the person who stalks them is also part of</w:t>
      </w:r>
      <w:r>
        <w:rPr>
          <w:color w:val="231F20"/>
          <w:spacing w:val="-25"/>
          <w:sz w:val="20"/>
        </w:rPr>
        <w:t xml:space="preserve"> </w:t>
      </w:r>
      <w:r>
        <w:rPr>
          <w:color w:val="231F20"/>
          <w:sz w:val="20"/>
        </w:rPr>
        <w:t>it.</w:t>
      </w:r>
    </w:p>
    <w:p w14:paraId="060B0C11" w14:textId="77777777" w:rsidR="00894070" w:rsidRDefault="009B7AFD">
      <w:pPr>
        <w:pStyle w:val="ListParagraph"/>
        <w:numPr>
          <w:ilvl w:val="1"/>
          <w:numId w:val="102"/>
        </w:numPr>
        <w:tabs>
          <w:tab w:val="left" w:pos="1801"/>
          <w:tab w:val="left" w:pos="1802"/>
        </w:tabs>
        <w:spacing w:before="124" w:line="206" w:lineRule="auto"/>
        <w:ind w:right="1674"/>
        <w:rPr>
          <w:sz w:val="20"/>
        </w:rPr>
      </w:pPr>
      <w:r>
        <w:rPr>
          <w:color w:val="231F20"/>
          <w:sz w:val="20"/>
        </w:rPr>
        <w:t>The</w:t>
      </w:r>
      <w:r>
        <w:rPr>
          <w:color w:val="231F20"/>
          <w:spacing w:val="-9"/>
          <w:sz w:val="20"/>
        </w:rPr>
        <w:t xml:space="preserve"> </w:t>
      </w:r>
      <w:r>
        <w:rPr>
          <w:color w:val="231F20"/>
          <w:sz w:val="20"/>
        </w:rPr>
        <w:t>PSIO</w:t>
      </w:r>
      <w:r>
        <w:rPr>
          <w:color w:val="231F20"/>
          <w:spacing w:val="-9"/>
          <w:sz w:val="20"/>
        </w:rPr>
        <w:t xml:space="preserve"> </w:t>
      </w:r>
      <w:r>
        <w:rPr>
          <w:color w:val="231F20"/>
          <w:sz w:val="20"/>
        </w:rPr>
        <w:t>process</w:t>
      </w:r>
      <w:r>
        <w:rPr>
          <w:color w:val="231F20"/>
          <w:spacing w:val="-9"/>
          <w:sz w:val="20"/>
        </w:rPr>
        <w:t xml:space="preserve"> </w:t>
      </w:r>
      <w:r>
        <w:rPr>
          <w:color w:val="231F20"/>
          <w:sz w:val="20"/>
        </w:rPr>
        <w:t>can</w:t>
      </w:r>
      <w:r>
        <w:rPr>
          <w:color w:val="231F20"/>
          <w:spacing w:val="-9"/>
          <w:sz w:val="20"/>
        </w:rPr>
        <w:t xml:space="preserve"> </w:t>
      </w:r>
      <w:r>
        <w:rPr>
          <w:color w:val="231F20"/>
          <w:spacing w:val="-3"/>
          <w:sz w:val="20"/>
        </w:rPr>
        <w:t>even</w:t>
      </w:r>
      <w:r>
        <w:rPr>
          <w:color w:val="231F20"/>
          <w:spacing w:val="-9"/>
          <w:sz w:val="20"/>
        </w:rPr>
        <w:t xml:space="preserve"> </w:t>
      </w:r>
      <w:r>
        <w:rPr>
          <w:color w:val="231F20"/>
          <w:sz w:val="20"/>
        </w:rPr>
        <w:t>make</w:t>
      </w:r>
      <w:r>
        <w:rPr>
          <w:color w:val="231F20"/>
          <w:spacing w:val="-8"/>
          <w:sz w:val="20"/>
        </w:rPr>
        <w:t xml:space="preserve"> </w:t>
      </w:r>
      <w:r>
        <w:rPr>
          <w:color w:val="231F20"/>
          <w:sz w:val="20"/>
        </w:rPr>
        <w:t>matters</w:t>
      </w:r>
      <w:r>
        <w:rPr>
          <w:color w:val="231F20"/>
          <w:spacing w:val="-9"/>
          <w:sz w:val="20"/>
        </w:rPr>
        <w:t xml:space="preserve"> </w:t>
      </w:r>
      <w:r>
        <w:rPr>
          <w:color w:val="231F20"/>
          <w:spacing w:val="-3"/>
          <w:sz w:val="20"/>
        </w:rPr>
        <w:t>worse,</w:t>
      </w:r>
      <w:r>
        <w:rPr>
          <w:color w:val="231F20"/>
          <w:spacing w:val="-9"/>
          <w:sz w:val="20"/>
        </w:rPr>
        <w:t xml:space="preserve"> </w:t>
      </w:r>
      <w:r>
        <w:rPr>
          <w:color w:val="231F20"/>
          <w:sz w:val="20"/>
        </w:rPr>
        <w:t>enabling</w:t>
      </w:r>
      <w:r>
        <w:rPr>
          <w:color w:val="231F20"/>
          <w:spacing w:val="-9"/>
          <w:sz w:val="20"/>
        </w:rPr>
        <w:t xml:space="preserve"> </w:t>
      </w:r>
      <w:r>
        <w:rPr>
          <w:color w:val="231F20"/>
          <w:sz w:val="20"/>
        </w:rPr>
        <w:t>people</w:t>
      </w:r>
      <w:r>
        <w:rPr>
          <w:color w:val="231F20"/>
          <w:spacing w:val="-9"/>
          <w:sz w:val="20"/>
        </w:rPr>
        <w:t xml:space="preserve"> </w:t>
      </w:r>
      <w:r>
        <w:rPr>
          <w:color w:val="231F20"/>
          <w:sz w:val="20"/>
        </w:rPr>
        <w:t>who</w:t>
      </w:r>
      <w:r>
        <w:rPr>
          <w:color w:val="231F20"/>
          <w:spacing w:val="-8"/>
          <w:sz w:val="20"/>
        </w:rPr>
        <w:t xml:space="preserve"> </w:t>
      </w:r>
      <w:r>
        <w:rPr>
          <w:color w:val="231F20"/>
          <w:sz w:val="20"/>
        </w:rPr>
        <w:t>stalk</w:t>
      </w:r>
      <w:r>
        <w:rPr>
          <w:color w:val="231F20"/>
          <w:spacing w:val="-9"/>
          <w:sz w:val="20"/>
        </w:rPr>
        <w:t xml:space="preserve"> </w:t>
      </w:r>
      <w:r>
        <w:rPr>
          <w:color w:val="231F20"/>
          <w:sz w:val="20"/>
        </w:rPr>
        <w:t>to</w:t>
      </w:r>
      <w:r>
        <w:rPr>
          <w:color w:val="231F20"/>
          <w:spacing w:val="-9"/>
          <w:sz w:val="20"/>
        </w:rPr>
        <w:t xml:space="preserve"> </w:t>
      </w:r>
      <w:r>
        <w:rPr>
          <w:color w:val="231F20"/>
          <w:sz w:val="20"/>
        </w:rPr>
        <w:t xml:space="preserve">do more of it </w:t>
      </w:r>
      <w:r>
        <w:rPr>
          <w:color w:val="231F20"/>
          <w:spacing w:val="-3"/>
          <w:sz w:val="20"/>
        </w:rPr>
        <w:t xml:space="preserve">through </w:t>
      </w:r>
      <w:r>
        <w:rPr>
          <w:color w:val="231F20"/>
          <w:sz w:val="20"/>
        </w:rPr>
        <w:t>the justice</w:t>
      </w:r>
      <w:r>
        <w:rPr>
          <w:color w:val="231F20"/>
          <w:spacing w:val="-23"/>
          <w:sz w:val="20"/>
        </w:rPr>
        <w:t xml:space="preserve"> </w:t>
      </w:r>
      <w:r>
        <w:rPr>
          <w:color w:val="231F20"/>
          <w:sz w:val="20"/>
        </w:rPr>
        <w:t>system.</w:t>
      </w:r>
    </w:p>
    <w:p w14:paraId="70DAA2D8" w14:textId="77777777" w:rsidR="00894070" w:rsidRDefault="009B7AFD">
      <w:pPr>
        <w:pStyle w:val="ListParagraph"/>
        <w:numPr>
          <w:ilvl w:val="1"/>
          <w:numId w:val="102"/>
        </w:numPr>
        <w:tabs>
          <w:tab w:val="left" w:pos="1801"/>
          <w:tab w:val="left" w:pos="1802"/>
        </w:tabs>
        <w:spacing w:before="122" w:line="206" w:lineRule="auto"/>
        <w:ind w:right="1785"/>
        <w:rPr>
          <w:sz w:val="20"/>
        </w:rPr>
      </w:pPr>
      <w:r>
        <w:rPr>
          <w:color w:val="231F20"/>
          <w:sz w:val="20"/>
        </w:rPr>
        <w:t xml:space="preserve">There is a public </w:t>
      </w:r>
      <w:r>
        <w:rPr>
          <w:color w:val="231F20"/>
          <w:spacing w:val="-3"/>
          <w:sz w:val="20"/>
        </w:rPr>
        <w:t xml:space="preserve">interest </w:t>
      </w:r>
      <w:r>
        <w:rPr>
          <w:color w:val="231F20"/>
          <w:sz w:val="20"/>
        </w:rPr>
        <w:t xml:space="preserve">in making </w:t>
      </w:r>
      <w:r>
        <w:rPr>
          <w:color w:val="231F20"/>
          <w:spacing w:val="-3"/>
          <w:sz w:val="20"/>
        </w:rPr>
        <w:t xml:space="preserve">sure </w:t>
      </w:r>
      <w:r>
        <w:rPr>
          <w:color w:val="231F20"/>
          <w:sz w:val="20"/>
        </w:rPr>
        <w:t xml:space="preserve">that victim survivors </w:t>
      </w:r>
      <w:r>
        <w:rPr>
          <w:color w:val="231F20"/>
          <w:spacing w:val="-3"/>
          <w:sz w:val="20"/>
        </w:rPr>
        <w:t xml:space="preserve">are treated </w:t>
      </w:r>
      <w:r>
        <w:rPr>
          <w:color w:val="231F20"/>
          <w:spacing w:val="-4"/>
          <w:sz w:val="20"/>
        </w:rPr>
        <w:t xml:space="preserve">fairly, </w:t>
      </w:r>
      <w:proofErr w:type="gramStart"/>
      <w:r>
        <w:rPr>
          <w:color w:val="231F20"/>
          <w:sz w:val="20"/>
        </w:rPr>
        <w:t>supported</w:t>
      </w:r>
      <w:proofErr w:type="gramEnd"/>
      <w:r>
        <w:rPr>
          <w:color w:val="231F20"/>
          <w:spacing w:val="-10"/>
          <w:sz w:val="20"/>
        </w:rPr>
        <w:t xml:space="preserve"> </w:t>
      </w:r>
      <w:r>
        <w:rPr>
          <w:color w:val="231F20"/>
          <w:sz w:val="20"/>
        </w:rPr>
        <w:t>and</w:t>
      </w:r>
      <w:r>
        <w:rPr>
          <w:color w:val="231F20"/>
          <w:spacing w:val="-9"/>
          <w:sz w:val="20"/>
        </w:rPr>
        <w:t xml:space="preserve"> </w:t>
      </w:r>
      <w:r>
        <w:rPr>
          <w:color w:val="231F20"/>
          <w:sz w:val="20"/>
        </w:rPr>
        <w:t>not</w:t>
      </w:r>
      <w:r>
        <w:rPr>
          <w:color w:val="231F20"/>
          <w:spacing w:val="-9"/>
          <w:sz w:val="20"/>
        </w:rPr>
        <w:t xml:space="preserve"> </w:t>
      </w:r>
      <w:r>
        <w:rPr>
          <w:color w:val="231F20"/>
          <w:sz w:val="20"/>
        </w:rPr>
        <w:t>subjected</w:t>
      </w:r>
      <w:r>
        <w:rPr>
          <w:color w:val="231F20"/>
          <w:spacing w:val="-10"/>
          <w:sz w:val="20"/>
        </w:rPr>
        <w:t xml:space="preserve"> </w:t>
      </w:r>
      <w:r>
        <w:rPr>
          <w:color w:val="231F20"/>
          <w:sz w:val="20"/>
        </w:rPr>
        <w:t>to</w:t>
      </w:r>
      <w:r>
        <w:rPr>
          <w:color w:val="231F20"/>
          <w:spacing w:val="-9"/>
          <w:sz w:val="20"/>
        </w:rPr>
        <w:t xml:space="preserve"> </w:t>
      </w:r>
      <w:r>
        <w:rPr>
          <w:color w:val="231F20"/>
          <w:sz w:val="20"/>
        </w:rPr>
        <w:t>unnecessary</w:t>
      </w:r>
      <w:r>
        <w:rPr>
          <w:color w:val="231F20"/>
          <w:spacing w:val="-9"/>
          <w:sz w:val="20"/>
        </w:rPr>
        <w:t xml:space="preserve"> </w:t>
      </w:r>
      <w:r>
        <w:rPr>
          <w:color w:val="231F20"/>
          <w:sz w:val="20"/>
        </w:rPr>
        <w:t>distress</w:t>
      </w:r>
      <w:r>
        <w:rPr>
          <w:color w:val="231F20"/>
          <w:spacing w:val="-9"/>
          <w:sz w:val="20"/>
        </w:rPr>
        <w:t xml:space="preserve"> </w:t>
      </w:r>
      <w:r>
        <w:rPr>
          <w:color w:val="231F20"/>
          <w:spacing w:val="-3"/>
          <w:sz w:val="20"/>
        </w:rPr>
        <w:t>through</w:t>
      </w:r>
      <w:r>
        <w:rPr>
          <w:color w:val="231F20"/>
          <w:spacing w:val="-10"/>
          <w:sz w:val="20"/>
        </w:rPr>
        <w:t xml:space="preserve"> </w:t>
      </w:r>
      <w:r>
        <w:rPr>
          <w:color w:val="231F20"/>
          <w:sz w:val="20"/>
        </w:rPr>
        <w:t>the</w:t>
      </w:r>
      <w:r>
        <w:rPr>
          <w:color w:val="231F20"/>
          <w:spacing w:val="-9"/>
          <w:sz w:val="20"/>
        </w:rPr>
        <w:t xml:space="preserve"> </w:t>
      </w:r>
      <w:r>
        <w:rPr>
          <w:color w:val="231F20"/>
          <w:sz w:val="20"/>
        </w:rPr>
        <w:t>court</w:t>
      </w:r>
      <w:r>
        <w:rPr>
          <w:color w:val="231F20"/>
          <w:spacing w:val="-9"/>
          <w:sz w:val="20"/>
        </w:rPr>
        <w:t xml:space="preserve"> </w:t>
      </w:r>
      <w:r>
        <w:rPr>
          <w:color w:val="231F20"/>
          <w:sz w:val="20"/>
        </w:rPr>
        <w:t>process.</w:t>
      </w:r>
    </w:p>
    <w:p w14:paraId="0EA61AEE" w14:textId="77777777" w:rsidR="00894070" w:rsidRDefault="009B7AFD">
      <w:pPr>
        <w:pStyle w:val="ListParagraph"/>
        <w:numPr>
          <w:ilvl w:val="1"/>
          <w:numId w:val="102"/>
        </w:numPr>
        <w:tabs>
          <w:tab w:val="left" w:pos="1802"/>
        </w:tabs>
        <w:spacing w:before="123" w:line="206" w:lineRule="auto"/>
        <w:ind w:right="1674"/>
        <w:jc w:val="both"/>
        <w:rPr>
          <w:sz w:val="20"/>
        </w:rPr>
      </w:pPr>
      <w:r>
        <w:rPr>
          <w:color w:val="231F20"/>
          <w:sz w:val="20"/>
        </w:rPr>
        <w:t>The</w:t>
      </w:r>
      <w:r>
        <w:rPr>
          <w:color w:val="231F20"/>
          <w:spacing w:val="-6"/>
          <w:sz w:val="20"/>
        </w:rPr>
        <w:t xml:space="preserve"> </w:t>
      </w:r>
      <w:r>
        <w:rPr>
          <w:color w:val="231F20"/>
          <w:sz w:val="20"/>
        </w:rPr>
        <w:t>PSIO</w:t>
      </w:r>
      <w:r>
        <w:rPr>
          <w:color w:val="231F20"/>
          <w:spacing w:val="-6"/>
          <w:sz w:val="20"/>
        </w:rPr>
        <w:t xml:space="preserve"> </w:t>
      </w:r>
      <w:r>
        <w:rPr>
          <w:color w:val="231F20"/>
          <w:sz w:val="20"/>
        </w:rPr>
        <w:t>Act,</w:t>
      </w:r>
      <w:r>
        <w:rPr>
          <w:color w:val="231F20"/>
          <w:spacing w:val="-6"/>
          <w:sz w:val="20"/>
        </w:rPr>
        <w:t xml:space="preserve"> </w:t>
      </w:r>
      <w:r>
        <w:rPr>
          <w:color w:val="231F20"/>
          <w:spacing w:val="-3"/>
          <w:sz w:val="20"/>
        </w:rPr>
        <w:t>like</w:t>
      </w:r>
      <w:r>
        <w:rPr>
          <w:color w:val="231F20"/>
          <w:spacing w:val="-6"/>
          <w:sz w:val="20"/>
        </w:rPr>
        <w:t xml:space="preserve"> </w:t>
      </w:r>
      <w:r>
        <w:rPr>
          <w:color w:val="231F20"/>
          <w:sz w:val="20"/>
        </w:rPr>
        <w:t>the</w:t>
      </w:r>
      <w:r>
        <w:rPr>
          <w:color w:val="231F20"/>
          <w:spacing w:val="-6"/>
          <w:sz w:val="20"/>
        </w:rPr>
        <w:t xml:space="preserve"> </w:t>
      </w:r>
      <w:r>
        <w:rPr>
          <w:i/>
          <w:color w:val="231F20"/>
          <w:spacing w:val="-3"/>
          <w:sz w:val="20"/>
        </w:rPr>
        <w:t>Family</w:t>
      </w:r>
      <w:r>
        <w:rPr>
          <w:i/>
          <w:color w:val="231F20"/>
          <w:spacing w:val="-5"/>
          <w:sz w:val="20"/>
        </w:rPr>
        <w:t xml:space="preserve"> </w:t>
      </w:r>
      <w:r>
        <w:rPr>
          <w:i/>
          <w:color w:val="231F20"/>
          <w:sz w:val="20"/>
        </w:rPr>
        <w:t>Violence</w:t>
      </w:r>
      <w:r>
        <w:rPr>
          <w:i/>
          <w:color w:val="231F20"/>
          <w:spacing w:val="-6"/>
          <w:sz w:val="20"/>
        </w:rPr>
        <w:t xml:space="preserve"> </w:t>
      </w:r>
      <w:r>
        <w:rPr>
          <w:i/>
          <w:color w:val="231F20"/>
          <w:spacing w:val="-3"/>
          <w:sz w:val="20"/>
        </w:rPr>
        <w:t>Protection</w:t>
      </w:r>
      <w:r>
        <w:rPr>
          <w:i/>
          <w:color w:val="231F20"/>
          <w:spacing w:val="-6"/>
          <w:sz w:val="20"/>
        </w:rPr>
        <w:t xml:space="preserve"> </w:t>
      </w:r>
      <w:r>
        <w:rPr>
          <w:i/>
          <w:color w:val="231F20"/>
          <w:sz w:val="20"/>
        </w:rPr>
        <w:t>Act</w:t>
      </w:r>
      <w:r>
        <w:rPr>
          <w:i/>
          <w:color w:val="231F20"/>
          <w:spacing w:val="-6"/>
          <w:sz w:val="20"/>
        </w:rPr>
        <w:t xml:space="preserve"> </w:t>
      </w:r>
      <w:r>
        <w:rPr>
          <w:i/>
          <w:color w:val="231F20"/>
          <w:sz w:val="20"/>
        </w:rPr>
        <w:t>2008</w:t>
      </w:r>
      <w:r>
        <w:rPr>
          <w:i/>
          <w:color w:val="231F20"/>
          <w:spacing w:val="-5"/>
          <w:sz w:val="20"/>
        </w:rPr>
        <w:t xml:space="preserve"> </w:t>
      </w:r>
      <w:r>
        <w:rPr>
          <w:color w:val="231F20"/>
          <w:sz w:val="20"/>
        </w:rPr>
        <w:t>(Vic)</w:t>
      </w:r>
      <w:r>
        <w:rPr>
          <w:color w:val="231F20"/>
          <w:spacing w:val="-6"/>
          <w:sz w:val="20"/>
        </w:rPr>
        <w:t xml:space="preserve"> </w:t>
      </w:r>
      <w:r>
        <w:rPr>
          <w:color w:val="231F20"/>
          <w:spacing w:val="-3"/>
          <w:sz w:val="20"/>
        </w:rPr>
        <w:t>(FVPA),</w:t>
      </w:r>
      <w:r>
        <w:rPr>
          <w:color w:val="231F20"/>
          <w:spacing w:val="-5"/>
          <w:sz w:val="20"/>
        </w:rPr>
        <w:t xml:space="preserve"> </w:t>
      </w:r>
      <w:r>
        <w:rPr>
          <w:color w:val="231F20"/>
          <w:spacing w:val="-3"/>
          <w:sz w:val="20"/>
        </w:rPr>
        <w:t>provides</w:t>
      </w:r>
      <w:r>
        <w:rPr>
          <w:color w:val="231F20"/>
          <w:spacing w:val="-6"/>
          <w:sz w:val="20"/>
        </w:rPr>
        <w:t xml:space="preserve"> </w:t>
      </w:r>
      <w:r>
        <w:rPr>
          <w:color w:val="231F20"/>
          <w:spacing w:val="-3"/>
          <w:sz w:val="20"/>
        </w:rPr>
        <w:t xml:space="preserve">for </w:t>
      </w:r>
      <w:r>
        <w:rPr>
          <w:color w:val="231F20"/>
          <w:spacing w:val="-4"/>
          <w:sz w:val="20"/>
        </w:rPr>
        <w:t>‘alternative</w:t>
      </w:r>
      <w:r>
        <w:rPr>
          <w:color w:val="231F20"/>
          <w:spacing w:val="-9"/>
          <w:sz w:val="20"/>
        </w:rPr>
        <w:t xml:space="preserve"> </w:t>
      </w:r>
      <w:r>
        <w:rPr>
          <w:color w:val="231F20"/>
          <w:sz w:val="20"/>
        </w:rPr>
        <w:t>arrangements’</w:t>
      </w:r>
      <w:r>
        <w:rPr>
          <w:color w:val="231F20"/>
          <w:spacing w:val="-8"/>
          <w:sz w:val="20"/>
        </w:rPr>
        <w:t xml:space="preserve"> </w:t>
      </w:r>
      <w:r>
        <w:rPr>
          <w:color w:val="231F20"/>
          <w:sz w:val="20"/>
        </w:rPr>
        <w:t>to</w:t>
      </w:r>
      <w:r>
        <w:rPr>
          <w:color w:val="231F20"/>
          <w:spacing w:val="-8"/>
          <w:sz w:val="20"/>
        </w:rPr>
        <w:t xml:space="preserve"> </w:t>
      </w:r>
      <w:r>
        <w:rPr>
          <w:color w:val="231F20"/>
          <w:sz w:val="20"/>
        </w:rPr>
        <w:t>be</w:t>
      </w:r>
      <w:r>
        <w:rPr>
          <w:color w:val="231F20"/>
          <w:spacing w:val="-9"/>
          <w:sz w:val="20"/>
        </w:rPr>
        <w:t xml:space="preserve"> </w:t>
      </w:r>
      <w:r>
        <w:rPr>
          <w:color w:val="231F20"/>
          <w:sz w:val="20"/>
        </w:rPr>
        <w:t>made</w:t>
      </w:r>
      <w:r>
        <w:rPr>
          <w:color w:val="231F20"/>
          <w:spacing w:val="-8"/>
          <w:sz w:val="20"/>
        </w:rPr>
        <w:t xml:space="preserve"> </w:t>
      </w:r>
      <w:r>
        <w:rPr>
          <w:color w:val="231F20"/>
          <w:sz w:val="20"/>
        </w:rPr>
        <w:t>in</w:t>
      </w:r>
      <w:r>
        <w:rPr>
          <w:color w:val="231F20"/>
          <w:spacing w:val="-8"/>
          <w:sz w:val="20"/>
        </w:rPr>
        <w:t xml:space="preserve"> </w:t>
      </w:r>
      <w:r>
        <w:rPr>
          <w:color w:val="231F20"/>
          <w:sz w:val="20"/>
        </w:rPr>
        <w:t>PSIO</w:t>
      </w:r>
      <w:r>
        <w:rPr>
          <w:color w:val="231F20"/>
          <w:spacing w:val="-8"/>
          <w:sz w:val="20"/>
        </w:rPr>
        <w:t xml:space="preserve"> </w:t>
      </w:r>
      <w:r>
        <w:rPr>
          <w:color w:val="231F20"/>
          <w:sz w:val="20"/>
        </w:rPr>
        <w:t>proceedings.</w:t>
      </w:r>
      <w:r>
        <w:rPr>
          <w:color w:val="231F20"/>
          <w:spacing w:val="-9"/>
          <w:sz w:val="20"/>
        </w:rPr>
        <w:t xml:space="preserve"> </w:t>
      </w:r>
      <w:r>
        <w:rPr>
          <w:color w:val="231F20"/>
          <w:sz w:val="20"/>
        </w:rPr>
        <w:t>The</w:t>
      </w:r>
      <w:r>
        <w:rPr>
          <w:color w:val="231F20"/>
          <w:spacing w:val="-8"/>
          <w:sz w:val="20"/>
        </w:rPr>
        <w:t xml:space="preserve"> </w:t>
      </w:r>
      <w:r>
        <w:rPr>
          <w:color w:val="231F20"/>
          <w:sz w:val="20"/>
        </w:rPr>
        <w:t>court</w:t>
      </w:r>
      <w:r>
        <w:rPr>
          <w:color w:val="231F20"/>
          <w:spacing w:val="-8"/>
          <w:sz w:val="20"/>
        </w:rPr>
        <w:t xml:space="preserve"> </w:t>
      </w:r>
      <w:r>
        <w:rPr>
          <w:color w:val="231F20"/>
          <w:sz w:val="20"/>
        </w:rPr>
        <w:t>has</w:t>
      </w:r>
      <w:r>
        <w:rPr>
          <w:color w:val="231F20"/>
          <w:spacing w:val="-9"/>
          <w:sz w:val="20"/>
        </w:rPr>
        <w:t xml:space="preserve"> </w:t>
      </w:r>
      <w:r>
        <w:rPr>
          <w:color w:val="231F20"/>
          <w:sz w:val="20"/>
        </w:rPr>
        <w:t>a</w:t>
      </w:r>
      <w:r>
        <w:rPr>
          <w:color w:val="231F20"/>
          <w:spacing w:val="-8"/>
          <w:sz w:val="20"/>
        </w:rPr>
        <w:t xml:space="preserve"> </w:t>
      </w:r>
      <w:r>
        <w:rPr>
          <w:color w:val="231F20"/>
          <w:sz w:val="20"/>
        </w:rPr>
        <w:t xml:space="preserve">broad </w:t>
      </w:r>
      <w:r>
        <w:rPr>
          <w:color w:val="231F20"/>
          <w:spacing w:val="-3"/>
          <w:sz w:val="20"/>
        </w:rPr>
        <w:t xml:space="preserve">power </w:t>
      </w:r>
      <w:r>
        <w:rPr>
          <w:color w:val="231F20"/>
          <w:sz w:val="20"/>
        </w:rPr>
        <w:t>to order changes that can</w:t>
      </w:r>
      <w:r>
        <w:rPr>
          <w:color w:val="231F20"/>
          <w:spacing w:val="-23"/>
          <w:sz w:val="20"/>
        </w:rPr>
        <w:t xml:space="preserve"> </w:t>
      </w:r>
      <w:r>
        <w:rPr>
          <w:color w:val="231F20"/>
          <w:spacing w:val="-3"/>
          <w:sz w:val="20"/>
        </w:rPr>
        <w:t>include:</w:t>
      </w:r>
    </w:p>
    <w:p w14:paraId="1563C3A7" w14:textId="77777777" w:rsidR="00894070" w:rsidRDefault="009B7AFD">
      <w:pPr>
        <w:pStyle w:val="ListParagraph"/>
        <w:numPr>
          <w:ilvl w:val="2"/>
          <w:numId w:val="102"/>
        </w:numPr>
        <w:tabs>
          <w:tab w:val="left" w:pos="2141"/>
          <w:tab w:val="left" w:pos="2142"/>
        </w:tabs>
        <w:spacing w:before="91" w:line="259" w:lineRule="exact"/>
        <w:ind w:hanging="340"/>
        <w:rPr>
          <w:sz w:val="20"/>
        </w:rPr>
      </w:pPr>
      <w:r>
        <w:rPr>
          <w:color w:val="231F20"/>
          <w:spacing w:val="-3"/>
          <w:sz w:val="20"/>
        </w:rPr>
        <w:t>allowing</w:t>
      </w:r>
      <w:r>
        <w:rPr>
          <w:color w:val="231F20"/>
          <w:spacing w:val="-6"/>
          <w:sz w:val="20"/>
        </w:rPr>
        <w:t xml:space="preserve"> </w:t>
      </w:r>
      <w:r>
        <w:rPr>
          <w:color w:val="231F20"/>
          <w:sz w:val="20"/>
        </w:rPr>
        <w:t>parts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proceeding</w:t>
      </w:r>
      <w:r>
        <w:rPr>
          <w:color w:val="231F20"/>
          <w:spacing w:val="-6"/>
          <w:sz w:val="20"/>
        </w:rPr>
        <w:t xml:space="preserve"> </w:t>
      </w:r>
      <w:r>
        <w:rPr>
          <w:color w:val="231F20"/>
          <w:sz w:val="20"/>
        </w:rPr>
        <w:t>to</w:t>
      </w:r>
      <w:r>
        <w:rPr>
          <w:color w:val="231F20"/>
          <w:spacing w:val="-5"/>
          <w:sz w:val="20"/>
        </w:rPr>
        <w:t xml:space="preserve"> </w:t>
      </w:r>
      <w:r>
        <w:rPr>
          <w:color w:val="231F20"/>
          <w:sz w:val="20"/>
        </w:rPr>
        <w:t>happen</w:t>
      </w:r>
      <w:r>
        <w:rPr>
          <w:color w:val="231F20"/>
          <w:spacing w:val="-5"/>
          <w:sz w:val="20"/>
        </w:rPr>
        <w:t xml:space="preserve"> remotely, </w:t>
      </w:r>
      <w:r>
        <w:rPr>
          <w:color w:val="231F20"/>
          <w:spacing w:val="-3"/>
          <w:sz w:val="20"/>
        </w:rPr>
        <w:t>like</w:t>
      </w:r>
      <w:r>
        <w:rPr>
          <w:color w:val="231F20"/>
          <w:spacing w:val="-5"/>
          <w:sz w:val="20"/>
        </w:rPr>
        <w:t xml:space="preserve"> </w:t>
      </w:r>
      <w:r>
        <w:rPr>
          <w:color w:val="231F20"/>
          <w:sz w:val="20"/>
        </w:rPr>
        <w:t>a</w:t>
      </w:r>
      <w:r>
        <w:rPr>
          <w:color w:val="231F20"/>
          <w:spacing w:val="-6"/>
          <w:sz w:val="20"/>
        </w:rPr>
        <w:t xml:space="preserve"> </w:t>
      </w:r>
      <w:r>
        <w:rPr>
          <w:color w:val="231F20"/>
          <w:sz w:val="20"/>
        </w:rPr>
        <w:t>witness</w:t>
      </w:r>
      <w:r>
        <w:rPr>
          <w:color w:val="231F20"/>
          <w:spacing w:val="-5"/>
          <w:sz w:val="20"/>
        </w:rPr>
        <w:t xml:space="preserve"> </w:t>
      </w:r>
      <w:r>
        <w:rPr>
          <w:color w:val="231F20"/>
          <w:sz w:val="20"/>
        </w:rPr>
        <w:t>giving</w:t>
      </w:r>
      <w:r>
        <w:rPr>
          <w:color w:val="231F20"/>
          <w:spacing w:val="-5"/>
          <w:sz w:val="20"/>
        </w:rPr>
        <w:t xml:space="preserve"> </w:t>
      </w:r>
      <w:r>
        <w:rPr>
          <w:color w:val="231F20"/>
          <w:sz w:val="20"/>
        </w:rPr>
        <w:t>evidence</w:t>
      </w:r>
    </w:p>
    <w:p w14:paraId="2F559112" w14:textId="77777777" w:rsidR="00894070" w:rsidRDefault="009B7AFD">
      <w:pPr>
        <w:pStyle w:val="BodyText"/>
        <w:spacing w:line="259" w:lineRule="exact"/>
        <w:ind w:left="2141"/>
      </w:pPr>
      <w:r>
        <w:rPr>
          <w:color w:val="231F20"/>
        </w:rPr>
        <w:t>by CCTV</w:t>
      </w:r>
    </w:p>
    <w:p w14:paraId="00AB2A3F"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using</w:t>
      </w:r>
      <w:r>
        <w:rPr>
          <w:color w:val="231F20"/>
          <w:spacing w:val="-5"/>
          <w:sz w:val="20"/>
        </w:rPr>
        <w:t xml:space="preserve"> </w:t>
      </w:r>
      <w:r>
        <w:rPr>
          <w:color w:val="231F20"/>
          <w:sz w:val="20"/>
        </w:rPr>
        <w:t>screens</w:t>
      </w:r>
      <w:r>
        <w:rPr>
          <w:color w:val="231F20"/>
          <w:spacing w:val="-4"/>
          <w:sz w:val="20"/>
        </w:rPr>
        <w:t xml:space="preserve"> </w:t>
      </w:r>
      <w:r>
        <w:rPr>
          <w:color w:val="231F20"/>
          <w:sz w:val="20"/>
        </w:rPr>
        <w:t>to</w:t>
      </w:r>
      <w:r>
        <w:rPr>
          <w:color w:val="231F20"/>
          <w:spacing w:val="-5"/>
          <w:sz w:val="20"/>
        </w:rPr>
        <w:t xml:space="preserve"> </w:t>
      </w:r>
      <w:r>
        <w:rPr>
          <w:color w:val="231F20"/>
          <w:sz w:val="20"/>
        </w:rPr>
        <w:t>block</w:t>
      </w:r>
      <w:r>
        <w:rPr>
          <w:color w:val="231F20"/>
          <w:spacing w:val="-4"/>
          <w:sz w:val="20"/>
        </w:rPr>
        <w:t xml:space="preserve"> </w:t>
      </w:r>
      <w:r>
        <w:rPr>
          <w:color w:val="231F20"/>
          <w:sz w:val="20"/>
        </w:rPr>
        <w:t>the</w:t>
      </w:r>
      <w:r>
        <w:rPr>
          <w:color w:val="231F20"/>
          <w:spacing w:val="-5"/>
          <w:sz w:val="20"/>
        </w:rPr>
        <w:t xml:space="preserve"> </w:t>
      </w:r>
      <w:r>
        <w:rPr>
          <w:color w:val="231F20"/>
          <w:spacing w:val="-2"/>
          <w:sz w:val="20"/>
        </w:rPr>
        <w:t>respondent</w:t>
      </w:r>
      <w:r>
        <w:rPr>
          <w:color w:val="231F20"/>
          <w:spacing w:val="-4"/>
          <w:sz w:val="20"/>
        </w:rPr>
        <w:t xml:space="preserve"> </w:t>
      </w:r>
      <w:r>
        <w:rPr>
          <w:color w:val="231F20"/>
          <w:spacing w:val="-3"/>
          <w:sz w:val="20"/>
        </w:rPr>
        <w:t>from</w:t>
      </w:r>
      <w:r>
        <w:rPr>
          <w:color w:val="231F20"/>
          <w:spacing w:val="-5"/>
          <w:sz w:val="20"/>
        </w:rPr>
        <w:t xml:space="preserve"> </w:t>
      </w:r>
      <w:r>
        <w:rPr>
          <w:color w:val="231F20"/>
          <w:sz w:val="20"/>
        </w:rPr>
        <w:t>a</w:t>
      </w:r>
      <w:r>
        <w:rPr>
          <w:color w:val="231F20"/>
          <w:spacing w:val="-4"/>
          <w:sz w:val="20"/>
        </w:rPr>
        <w:t xml:space="preserve"> </w:t>
      </w:r>
      <w:r>
        <w:rPr>
          <w:color w:val="231F20"/>
          <w:sz w:val="20"/>
        </w:rPr>
        <w:t>party</w:t>
      </w:r>
      <w:r>
        <w:rPr>
          <w:color w:val="231F20"/>
          <w:spacing w:val="-4"/>
          <w:sz w:val="20"/>
        </w:rPr>
        <w:t xml:space="preserve"> </w:t>
      </w:r>
      <w:r>
        <w:rPr>
          <w:color w:val="231F20"/>
          <w:sz w:val="20"/>
        </w:rPr>
        <w:t>or</w:t>
      </w:r>
      <w:r>
        <w:rPr>
          <w:color w:val="231F20"/>
          <w:spacing w:val="-5"/>
          <w:sz w:val="20"/>
        </w:rPr>
        <w:t xml:space="preserve"> </w:t>
      </w:r>
      <w:r>
        <w:rPr>
          <w:color w:val="231F20"/>
          <w:spacing w:val="-3"/>
          <w:sz w:val="20"/>
        </w:rPr>
        <w:t>witness’s</w:t>
      </w:r>
      <w:r>
        <w:rPr>
          <w:color w:val="231F20"/>
          <w:spacing w:val="-4"/>
          <w:sz w:val="20"/>
        </w:rPr>
        <w:t xml:space="preserve"> </w:t>
      </w:r>
      <w:r>
        <w:rPr>
          <w:color w:val="231F20"/>
          <w:sz w:val="20"/>
        </w:rPr>
        <w:t>sight</w:t>
      </w:r>
    </w:p>
    <w:p w14:paraId="41806A09" w14:textId="77777777" w:rsidR="00894070" w:rsidRDefault="009B7AFD">
      <w:pPr>
        <w:pStyle w:val="ListParagraph"/>
        <w:numPr>
          <w:ilvl w:val="2"/>
          <w:numId w:val="102"/>
        </w:numPr>
        <w:tabs>
          <w:tab w:val="left" w:pos="2141"/>
          <w:tab w:val="left" w:pos="2142"/>
        </w:tabs>
        <w:spacing w:before="47"/>
        <w:ind w:hanging="340"/>
        <w:rPr>
          <w:sz w:val="20"/>
        </w:rPr>
      </w:pPr>
      <w:r>
        <w:rPr>
          <w:color w:val="231F20"/>
          <w:spacing w:val="-3"/>
          <w:sz w:val="20"/>
        </w:rPr>
        <w:t>allowing</w:t>
      </w:r>
      <w:r>
        <w:rPr>
          <w:color w:val="231F20"/>
          <w:spacing w:val="-5"/>
          <w:sz w:val="20"/>
        </w:rPr>
        <w:t xml:space="preserve"> </w:t>
      </w:r>
      <w:r>
        <w:rPr>
          <w:color w:val="231F20"/>
          <w:sz w:val="20"/>
        </w:rPr>
        <w:t>a</w:t>
      </w:r>
      <w:r>
        <w:rPr>
          <w:color w:val="231F20"/>
          <w:spacing w:val="-5"/>
          <w:sz w:val="20"/>
        </w:rPr>
        <w:t xml:space="preserve"> </w:t>
      </w:r>
      <w:r>
        <w:rPr>
          <w:color w:val="231F20"/>
          <w:sz w:val="20"/>
        </w:rPr>
        <w:t>support</w:t>
      </w:r>
      <w:r>
        <w:rPr>
          <w:color w:val="231F20"/>
          <w:spacing w:val="-5"/>
          <w:sz w:val="20"/>
        </w:rPr>
        <w:t xml:space="preserve"> </w:t>
      </w:r>
      <w:r>
        <w:rPr>
          <w:color w:val="231F20"/>
          <w:sz w:val="20"/>
        </w:rPr>
        <w:t>person</w:t>
      </w:r>
      <w:r>
        <w:rPr>
          <w:color w:val="231F20"/>
          <w:spacing w:val="-5"/>
          <w:sz w:val="20"/>
        </w:rPr>
        <w:t xml:space="preserve"> </w:t>
      </w:r>
      <w:r>
        <w:rPr>
          <w:color w:val="231F20"/>
          <w:sz w:val="20"/>
        </w:rPr>
        <w:t>to</w:t>
      </w:r>
      <w:r>
        <w:rPr>
          <w:color w:val="231F20"/>
          <w:spacing w:val="-5"/>
          <w:sz w:val="20"/>
        </w:rPr>
        <w:t xml:space="preserve"> </w:t>
      </w:r>
      <w:r>
        <w:rPr>
          <w:color w:val="231F20"/>
          <w:sz w:val="20"/>
        </w:rPr>
        <w:t>sit</w:t>
      </w:r>
      <w:r>
        <w:rPr>
          <w:color w:val="231F20"/>
          <w:spacing w:val="-5"/>
          <w:sz w:val="20"/>
        </w:rPr>
        <w:t xml:space="preserve"> </w:t>
      </w:r>
      <w:r>
        <w:rPr>
          <w:color w:val="231F20"/>
          <w:sz w:val="20"/>
        </w:rPr>
        <w:t>beside</w:t>
      </w:r>
      <w:r>
        <w:rPr>
          <w:color w:val="231F20"/>
          <w:spacing w:val="-5"/>
          <w:sz w:val="20"/>
        </w:rPr>
        <w:t xml:space="preserve"> </w:t>
      </w:r>
      <w:r>
        <w:rPr>
          <w:color w:val="231F20"/>
          <w:sz w:val="20"/>
        </w:rPr>
        <w:t>a</w:t>
      </w:r>
      <w:r>
        <w:rPr>
          <w:color w:val="231F20"/>
          <w:spacing w:val="-5"/>
          <w:sz w:val="20"/>
        </w:rPr>
        <w:t xml:space="preserve"> </w:t>
      </w:r>
      <w:r>
        <w:rPr>
          <w:color w:val="231F20"/>
          <w:sz w:val="20"/>
        </w:rPr>
        <w:t>witness</w:t>
      </w:r>
      <w:r>
        <w:rPr>
          <w:color w:val="231F20"/>
          <w:spacing w:val="-5"/>
          <w:sz w:val="20"/>
        </w:rPr>
        <w:t xml:space="preserve"> </w:t>
      </w:r>
      <w:r>
        <w:rPr>
          <w:color w:val="231F20"/>
          <w:sz w:val="20"/>
        </w:rPr>
        <w:t>while</w:t>
      </w:r>
      <w:r>
        <w:rPr>
          <w:color w:val="231F20"/>
          <w:spacing w:val="-5"/>
          <w:sz w:val="20"/>
        </w:rPr>
        <w:t xml:space="preserve"> </w:t>
      </w:r>
      <w:r>
        <w:rPr>
          <w:color w:val="231F20"/>
          <w:sz w:val="20"/>
        </w:rPr>
        <w:t>they</w:t>
      </w:r>
      <w:r>
        <w:rPr>
          <w:color w:val="231F20"/>
          <w:spacing w:val="-5"/>
          <w:sz w:val="20"/>
        </w:rPr>
        <w:t xml:space="preserve"> </w:t>
      </w:r>
      <w:r>
        <w:rPr>
          <w:color w:val="231F20"/>
          <w:spacing w:val="-3"/>
          <w:sz w:val="20"/>
        </w:rPr>
        <w:t>give</w:t>
      </w:r>
      <w:r>
        <w:rPr>
          <w:color w:val="231F20"/>
          <w:spacing w:val="-5"/>
          <w:sz w:val="20"/>
        </w:rPr>
        <w:t xml:space="preserve"> </w:t>
      </w:r>
      <w:r>
        <w:rPr>
          <w:color w:val="231F20"/>
          <w:sz w:val="20"/>
        </w:rPr>
        <w:t>evidence</w:t>
      </w:r>
    </w:p>
    <w:p w14:paraId="7670A91E" w14:textId="77777777" w:rsidR="00894070" w:rsidRDefault="009F6793">
      <w:pPr>
        <w:pStyle w:val="BodyText"/>
        <w:spacing w:before="3"/>
        <w:rPr>
          <w:sz w:val="14"/>
        </w:rPr>
      </w:pPr>
      <w:r>
        <w:pict w14:anchorId="7BAE1413">
          <v:line id="_x0000_s1316" style="position:absolute;z-index:251669504;mso-wrap-distance-left:0;mso-wrap-distance-right:0;mso-position-horizontal-relative:page" from="79.35pt,12.35pt" to="515.9pt,12.35pt" strokecolor="#f8cabc" strokeweight="1pt">
            <w10:wrap type="topAndBottom" anchorx="page"/>
          </v:line>
        </w:pict>
      </w:r>
    </w:p>
    <w:p w14:paraId="5B14E500" w14:textId="77777777" w:rsidR="00894070" w:rsidRDefault="00894070">
      <w:pPr>
        <w:pStyle w:val="BodyText"/>
        <w:rPr>
          <w:sz w:val="5"/>
        </w:rPr>
      </w:pPr>
    </w:p>
    <w:p w14:paraId="4BA209A4" w14:textId="77777777" w:rsidR="00894070" w:rsidRDefault="00894070">
      <w:pPr>
        <w:rPr>
          <w:sz w:val="5"/>
        </w:rPr>
        <w:sectPr w:rsidR="00894070">
          <w:pgSz w:w="11910" w:h="16840"/>
          <w:pgMar w:top="860" w:right="420" w:bottom="280" w:left="580" w:header="567" w:footer="0" w:gutter="0"/>
          <w:cols w:space="720"/>
        </w:sectPr>
      </w:pPr>
    </w:p>
    <w:p w14:paraId="2258ADD9" w14:textId="77777777" w:rsidR="00894070" w:rsidRDefault="00894070">
      <w:pPr>
        <w:pStyle w:val="BodyText"/>
        <w:rPr>
          <w:sz w:val="28"/>
        </w:rPr>
      </w:pPr>
    </w:p>
    <w:p w14:paraId="3F122C6F" w14:textId="77777777" w:rsidR="00894070" w:rsidRDefault="00894070">
      <w:pPr>
        <w:pStyle w:val="BodyText"/>
        <w:rPr>
          <w:sz w:val="28"/>
        </w:rPr>
      </w:pPr>
    </w:p>
    <w:p w14:paraId="373F668E" w14:textId="77777777" w:rsidR="00894070" w:rsidRDefault="00894070">
      <w:pPr>
        <w:pStyle w:val="BodyText"/>
        <w:rPr>
          <w:sz w:val="28"/>
        </w:rPr>
      </w:pPr>
    </w:p>
    <w:p w14:paraId="164E3353" w14:textId="77777777" w:rsidR="00894070" w:rsidRDefault="00894070">
      <w:pPr>
        <w:pStyle w:val="BodyText"/>
        <w:rPr>
          <w:sz w:val="28"/>
        </w:rPr>
      </w:pPr>
    </w:p>
    <w:p w14:paraId="5113B38B" w14:textId="77777777" w:rsidR="00894070" w:rsidRDefault="00894070">
      <w:pPr>
        <w:pStyle w:val="BodyText"/>
        <w:spacing w:before="3"/>
        <w:rPr>
          <w:sz w:val="30"/>
        </w:rPr>
      </w:pPr>
    </w:p>
    <w:p w14:paraId="7BDBC4C4" w14:textId="77777777" w:rsidR="00894070" w:rsidRDefault="009B7AFD">
      <w:pPr>
        <w:pStyle w:val="Heading8"/>
        <w:ind w:left="140"/>
      </w:pPr>
      <w:r>
        <w:rPr>
          <w:color w:val="EA5B50"/>
        </w:rPr>
        <w:t>110</w:t>
      </w:r>
    </w:p>
    <w:p w14:paraId="39189B46" w14:textId="77777777" w:rsidR="00894070" w:rsidRDefault="009B7AFD">
      <w:pPr>
        <w:pStyle w:val="ListParagraph"/>
        <w:numPr>
          <w:ilvl w:val="0"/>
          <w:numId w:val="89"/>
        </w:numPr>
        <w:tabs>
          <w:tab w:val="left" w:pos="933"/>
          <w:tab w:val="left" w:pos="934"/>
        </w:tabs>
        <w:spacing w:before="38" w:line="213" w:lineRule="auto"/>
        <w:ind w:left="933" w:right="1192" w:hanging="793"/>
        <w:jc w:val="left"/>
        <w:rPr>
          <w:sz w:val="13"/>
        </w:rPr>
      </w:pPr>
      <w:r>
        <w:rPr>
          <w:color w:val="231F20"/>
          <w:spacing w:val="3"/>
          <w:sz w:val="13"/>
        </w:rPr>
        <w:br w:type="column"/>
      </w:r>
      <w:r>
        <w:rPr>
          <w:color w:val="231F20"/>
          <w:spacing w:val="2"/>
          <w:sz w:val="13"/>
        </w:rPr>
        <w:t xml:space="preserve">Submissions </w:t>
      </w:r>
      <w:r>
        <w:rPr>
          <w:color w:val="231F20"/>
          <w:sz w:val="13"/>
        </w:rPr>
        <w:t xml:space="preserve">56 </w:t>
      </w:r>
      <w:r>
        <w:rPr>
          <w:color w:val="231F20"/>
          <w:spacing w:val="2"/>
          <w:sz w:val="13"/>
        </w:rPr>
        <w:t xml:space="preserve">(Derryn </w:t>
      </w:r>
      <w:r>
        <w:rPr>
          <w:color w:val="231F20"/>
          <w:sz w:val="13"/>
        </w:rPr>
        <w:t xml:space="preserve">Hinch’s Justice Party), 97 (Federation of Community Legal Centres), 98 (Law Institute of Victoria). The Federation of Community Legal Centres stated that the </w:t>
      </w:r>
      <w:r>
        <w:rPr>
          <w:color w:val="231F20"/>
          <w:spacing w:val="2"/>
          <w:sz w:val="13"/>
        </w:rPr>
        <w:t xml:space="preserve">benefits </w:t>
      </w:r>
      <w:r>
        <w:rPr>
          <w:color w:val="231F20"/>
          <w:sz w:val="13"/>
        </w:rPr>
        <w:t xml:space="preserve">of </w:t>
      </w:r>
      <w:r>
        <w:rPr>
          <w:color w:val="231F20"/>
          <w:spacing w:val="2"/>
          <w:sz w:val="13"/>
        </w:rPr>
        <w:t xml:space="preserve">police-issued </w:t>
      </w:r>
      <w:r>
        <w:rPr>
          <w:color w:val="231F20"/>
          <w:sz w:val="13"/>
        </w:rPr>
        <w:t xml:space="preserve">notices </w:t>
      </w:r>
      <w:r>
        <w:rPr>
          <w:color w:val="231F20"/>
          <w:spacing w:val="2"/>
          <w:sz w:val="13"/>
        </w:rPr>
        <w:t xml:space="preserve">need </w:t>
      </w:r>
      <w:r>
        <w:rPr>
          <w:color w:val="231F20"/>
          <w:sz w:val="13"/>
        </w:rPr>
        <w:t xml:space="preserve">to be balanced against risks </w:t>
      </w:r>
      <w:proofErr w:type="gramStart"/>
      <w:r>
        <w:rPr>
          <w:color w:val="231F20"/>
          <w:sz w:val="13"/>
        </w:rPr>
        <w:t>such  as</w:t>
      </w:r>
      <w:proofErr w:type="gramEnd"/>
      <w:r>
        <w:rPr>
          <w:color w:val="231F20"/>
          <w:sz w:val="13"/>
        </w:rPr>
        <w:t xml:space="preserve"> the potential for these notices to be issued in matters where mediation would have </w:t>
      </w:r>
      <w:r>
        <w:rPr>
          <w:color w:val="231F20"/>
          <w:spacing w:val="2"/>
          <w:sz w:val="13"/>
        </w:rPr>
        <w:t xml:space="preserve">been </w:t>
      </w:r>
      <w:r>
        <w:rPr>
          <w:color w:val="231F20"/>
          <w:sz w:val="13"/>
        </w:rPr>
        <w:t xml:space="preserve">more appropriate and increasing the </w:t>
      </w:r>
      <w:r>
        <w:rPr>
          <w:color w:val="231F20"/>
          <w:spacing w:val="2"/>
          <w:sz w:val="13"/>
        </w:rPr>
        <w:t xml:space="preserve">number </w:t>
      </w:r>
      <w:r>
        <w:rPr>
          <w:color w:val="231F20"/>
          <w:sz w:val="13"/>
        </w:rPr>
        <w:t xml:space="preserve">of </w:t>
      </w:r>
      <w:r>
        <w:rPr>
          <w:color w:val="231F20"/>
          <w:spacing w:val="2"/>
          <w:sz w:val="13"/>
        </w:rPr>
        <w:t xml:space="preserve">PSIO </w:t>
      </w:r>
      <w:r>
        <w:rPr>
          <w:color w:val="231F20"/>
          <w:sz w:val="13"/>
        </w:rPr>
        <w:t xml:space="preserve">matters in </w:t>
      </w:r>
      <w:r>
        <w:rPr>
          <w:color w:val="231F20"/>
          <w:spacing w:val="2"/>
          <w:sz w:val="13"/>
        </w:rPr>
        <w:t xml:space="preserve">court: Submission </w:t>
      </w:r>
      <w:r>
        <w:rPr>
          <w:color w:val="231F20"/>
          <w:sz w:val="13"/>
        </w:rPr>
        <w:t xml:space="preserve">97 (Federation of Community Legal Centres). The Law Institute of Victoria noted    that it would not </w:t>
      </w:r>
      <w:r>
        <w:rPr>
          <w:color w:val="231F20"/>
          <w:spacing w:val="2"/>
          <w:sz w:val="13"/>
        </w:rPr>
        <w:t xml:space="preserve">support </w:t>
      </w:r>
      <w:r>
        <w:rPr>
          <w:color w:val="231F20"/>
          <w:sz w:val="13"/>
        </w:rPr>
        <w:t xml:space="preserve">these notices being made against children: </w:t>
      </w:r>
      <w:r>
        <w:rPr>
          <w:color w:val="231F20"/>
          <w:spacing w:val="2"/>
          <w:sz w:val="13"/>
        </w:rPr>
        <w:t xml:space="preserve">Submission </w:t>
      </w:r>
      <w:r>
        <w:rPr>
          <w:color w:val="231F20"/>
          <w:sz w:val="13"/>
        </w:rPr>
        <w:t>98 (Law Institute of</w:t>
      </w:r>
      <w:r>
        <w:rPr>
          <w:color w:val="231F20"/>
          <w:spacing w:val="32"/>
          <w:sz w:val="13"/>
        </w:rPr>
        <w:t xml:space="preserve"> </w:t>
      </w:r>
      <w:r>
        <w:rPr>
          <w:color w:val="231F20"/>
          <w:sz w:val="13"/>
        </w:rPr>
        <w:t>Victoria).</w:t>
      </w:r>
    </w:p>
    <w:p w14:paraId="0009A0E1" w14:textId="77777777" w:rsidR="00894070" w:rsidRDefault="009B7AFD">
      <w:pPr>
        <w:pStyle w:val="ListParagraph"/>
        <w:numPr>
          <w:ilvl w:val="0"/>
          <w:numId w:val="89"/>
        </w:numPr>
        <w:tabs>
          <w:tab w:val="left" w:pos="933"/>
          <w:tab w:val="left" w:pos="934"/>
        </w:tabs>
        <w:spacing w:line="151" w:lineRule="exact"/>
        <w:ind w:left="933" w:hanging="793"/>
        <w:jc w:val="left"/>
        <w:rPr>
          <w:sz w:val="13"/>
        </w:rPr>
      </w:pPr>
      <w:r>
        <w:rPr>
          <w:color w:val="231F20"/>
          <w:spacing w:val="2"/>
          <w:sz w:val="13"/>
        </w:rPr>
        <w:t xml:space="preserve">Submission </w:t>
      </w:r>
      <w:r>
        <w:rPr>
          <w:color w:val="231F20"/>
          <w:sz w:val="13"/>
        </w:rPr>
        <w:t>98 (Law Institute of</w:t>
      </w:r>
      <w:r>
        <w:rPr>
          <w:color w:val="231F20"/>
          <w:spacing w:val="-2"/>
          <w:sz w:val="13"/>
        </w:rPr>
        <w:t xml:space="preserve"> </w:t>
      </w:r>
      <w:r>
        <w:rPr>
          <w:color w:val="231F20"/>
          <w:sz w:val="13"/>
        </w:rPr>
        <w:t>Victoria).</w:t>
      </w:r>
    </w:p>
    <w:p w14:paraId="0C6D800E" w14:textId="77777777" w:rsidR="00894070" w:rsidRDefault="009B7AFD">
      <w:pPr>
        <w:pStyle w:val="ListParagraph"/>
        <w:numPr>
          <w:ilvl w:val="0"/>
          <w:numId w:val="89"/>
        </w:numPr>
        <w:tabs>
          <w:tab w:val="left" w:pos="933"/>
          <w:tab w:val="left" w:pos="934"/>
        </w:tabs>
        <w:spacing w:line="160" w:lineRule="exact"/>
        <w:ind w:left="933" w:hanging="793"/>
        <w:jc w:val="left"/>
        <w:rPr>
          <w:sz w:val="13"/>
        </w:rPr>
      </w:pPr>
      <w:r>
        <w:rPr>
          <w:color w:val="231F20"/>
          <w:sz w:val="13"/>
        </w:rPr>
        <w:t xml:space="preserve">Consultations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 Victoria), 13 (Victoria Legal</w:t>
      </w:r>
      <w:r>
        <w:rPr>
          <w:color w:val="231F20"/>
          <w:spacing w:val="24"/>
          <w:sz w:val="13"/>
        </w:rPr>
        <w:t xml:space="preserve"> </w:t>
      </w:r>
      <w:r>
        <w:rPr>
          <w:color w:val="231F20"/>
          <w:sz w:val="13"/>
        </w:rPr>
        <w:t>Aid).</w:t>
      </w:r>
    </w:p>
    <w:p w14:paraId="5FD641EC" w14:textId="77777777" w:rsidR="00894070" w:rsidRDefault="009B7AFD">
      <w:pPr>
        <w:pStyle w:val="ListParagraph"/>
        <w:numPr>
          <w:ilvl w:val="0"/>
          <w:numId w:val="89"/>
        </w:numPr>
        <w:tabs>
          <w:tab w:val="left" w:pos="933"/>
          <w:tab w:val="left" w:pos="934"/>
        </w:tabs>
        <w:spacing w:line="160" w:lineRule="exact"/>
        <w:ind w:left="933" w:hanging="793"/>
        <w:jc w:val="left"/>
        <w:rPr>
          <w:sz w:val="13"/>
        </w:rPr>
      </w:pPr>
      <w:r>
        <w:rPr>
          <w:color w:val="231F20"/>
          <w:sz w:val="13"/>
        </w:rPr>
        <w:t xml:space="preserve">Consultation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w:t>
      </w:r>
      <w:r>
        <w:rPr>
          <w:color w:val="231F20"/>
          <w:spacing w:val="6"/>
          <w:sz w:val="13"/>
        </w:rPr>
        <w:t xml:space="preserve"> </w:t>
      </w:r>
      <w:r>
        <w:rPr>
          <w:color w:val="231F20"/>
          <w:sz w:val="13"/>
        </w:rPr>
        <w:t>Victoria).</w:t>
      </w:r>
    </w:p>
    <w:p w14:paraId="39ABE201" w14:textId="77777777" w:rsidR="00894070" w:rsidRDefault="009B7AFD">
      <w:pPr>
        <w:pStyle w:val="ListParagraph"/>
        <w:numPr>
          <w:ilvl w:val="0"/>
          <w:numId w:val="89"/>
        </w:numPr>
        <w:tabs>
          <w:tab w:val="left" w:pos="933"/>
          <w:tab w:val="left" w:pos="934"/>
        </w:tabs>
        <w:spacing w:line="160" w:lineRule="exact"/>
        <w:ind w:left="933" w:hanging="793"/>
        <w:jc w:val="left"/>
        <w:rPr>
          <w:sz w:val="13"/>
        </w:rPr>
      </w:pPr>
      <w:r>
        <w:rPr>
          <w:color w:val="231F20"/>
          <w:sz w:val="13"/>
        </w:rPr>
        <w:t xml:space="preserve">Consultations 6 (Magistrates’ </w:t>
      </w:r>
      <w:r>
        <w:rPr>
          <w:color w:val="231F20"/>
          <w:spacing w:val="2"/>
          <w:sz w:val="13"/>
        </w:rPr>
        <w:t xml:space="preserve">Court </w:t>
      </w:r>
      <w:r>
        <w:rPr>
          <w:color w:val="231F20"/>
          <w:sz w:val="13"/>
        </w:rPr>
        <w:t>of Victoria (No 1)), 13 (Victoria Legal</w:t>
      </w:r>
      <w:r>
        <w:rPr>
          <w:color w:val="231F20"/>
          <w:spacing w:val="5"/>
          <w:sz w:val="13"/>
        </w:rPr>
        <w:t xml:space="preserve"> </w:t>
      </w:r>
      <w:r>
        <w:rPr>
          <w:color w:val="231F20"/>
          <w:sz w:val="13"/>
        </w:rPr>
        <w:t>Aid).</w:t>
      </w:r>
    </w:p>
    <w:p w14:paraId="120A1DE0" w14:textId="77777777" w:rsidR="00894070" w:rsidRDefault="009B7AFD">
      <w:pPr>
        <w:pStyle w:val="ListParagraph"/>
        <w:numPr>
          <w:ilvl w:val="0"/>
          <w:numId w:val="89"/>
        </w:numPr>
        <w:tabs>
          <w:tab w:val="left" w:pos="933"/>
          <w:tab w:val="left" w:pos="934"/>
        </w:tabs>
        <w:spacing w:before="6" w:line="213" w:lineRule="auto"/>
        <w:ind w:left="933" w:right="1180" w:hanging="793"/>
        <w:jc w:val="left"/>
        <w:rPr>
          <w:sz w:val="13"/>
        </w:rPr>
      </w:pPr>
      <w:r>
        <w:rPr>
          <w:color w:val="231F20"/>
          <w:spacing w:val="2"/>
          <w:sz w:val="13"/>
        </w:rPr>
        <w:t xml:space="preserve">Submission </w:t>
      </w:r>
      <w:r>
        <w:rPr>
          <w:color w:val="231F20"/>
          <w:sz w:val="13"/>
        </w:rPr>
        <w:t xml:space="preserve">97 (Federation of Community Legal Centres); Consultations 10 (Victorian Aboriginal Legal Service), 13 (Victoria Legal Aid). For example, Victoria Police and Women’s Legal </w:t>
      </w:r>
      <w:r>
        <w:rPr>
          <w:color w:val="231F20"/>
          <w:spacing w:val="2"/>
          <w:sz w:val="13"/>
        </w:rPr>
        <w:t xml:space="preserve">Service </w:t>
      </w:r>
      <w:r>
        <w:rPr>
          <w:color w:val="231F20"/>
          <w:sz w:val="13"/>
        </w:rPr>
        <w:t xml:space="preserve">provide that misidentification rates are around 12 percent and 10 percent respectively: Office of the Family Violence Reform Implementation Monitor, </w:t>
      </w:r>
      <w:r>
        <w:rPr>
          <w:i/>
          <w:color w:val="231F20"/>
          <w:sz w:val="13"/>
        </w:rPr>
        <w:t xml:space="preserve">Monitoring Victoria’s Family Violence Reforms: Accurate Identification of the Predominant Aggressor </w:t>
      </w:r>
      <w:r>
        <w:rPr>
          <w:color w:val="231F20"/>
          <w:spacing w:val="2"/>
          <w:sz w:val="13"/>
        </w:rPr>
        <w:t xml:space="preserve">(Report, December </w:t>
      </w:r>
      <w:r>
        <w:rPr>
          <w:color w:val="231F20"/>
          <w:sz w:val="13"/>
        </w:rPr>
        <w:t>2021) 11</w:t>
      </w:r>
      <w:r>
        <w:rPr>
          <w:color w:val="231F20"/>
          <w:spacing w:val="13"/>
          <w:sz w:val="13"/>
        </w:rPr>
        <w:t xml:space="preserve"> </w:t>
      </w:r>
      <w:r>
        <w:rPr>
          <w:color w:val="231F20"/>
          <w:sz w:val="13"/>
        </w:rPr>
        <w:t>&lt;</w:t>
      </w:r>
      <w:hyperlink r:id="rId159">
        <w:r>
          <w:rPr>
            <w:color w:val="231F20"/>
            <w:sz w:val="13"/>
          </w:rPr>
          <w:t>www.fvrim.vic.gov.au</w:t>
        </w:r>
      </w:hyperlink>
      <w:r>
        <w:rPr>
          <w:color w:val="231F20"/>
          <w:sz w:val="13"/>
        </w:rPr>
        <w:t>&gt;.</w:t>
      </w:r>
    </w:p>
    <w:p w14:paraId="2928E83A" w14:textId="77777777" w:rsidR="00894070" w:rsidRDefault="009B7AFD">
      <w:pPr>
        <w:pStyle w:val="ListParagraph"/>
        <w:numPr>
          <w:ilvl w:val="0"/>
          <w:numId w:val="89"/>
        </w:numPr>
        <w:tabs>
          <w:tab w:val="left" w:pos="933"/>
          <w:tab w:val="left" w:pos="934"/>
        </w:tabs>
        <w:spacing w:line="162" w:lineRule="exact"/>
        <w:ind w:left="933" w:hanging="793"/>
        <w:jc w:val="left"/>
        <w:rPr>
          <w:sz w:val="13"/>
        </w:rPr>
      </w:pPr>
      <w:r>
        <w:rPr>
          <w:color w:val="231F20"/>
          <w:spacing w:val="2"/>
          <w:sz w:val="13"/>
        </w:rPr>
        <w:t xml:space="preserve">Submission </w:t>
      </w:r>
      <w:r>
        <w:rPr>
          <w:color w:val="231F20"/>
          <w:sz w:val="13"/>
        </w:rPr>
        <w:t xml:space="preserve">97 (Federation of Community Legal Centres); Consultation 6 (Magistrates’ </w:t>
      </w:r>
      <w:r>
        <w:rPr>
          <w:color w:val="231F20"/>
          <w:spacing w:val="2"/>
          <w:sz w:val="13"/>
        </w:rPr>
        <w:t xml:space="preserve">Court </w:t>
      </w:r>
      <w:r>
        <w:rPr>
          <w:color w:val="231F20"/>
          <w:sz w:val="13"/>
        </w:rPr>
        <w:t>of Victoria (No</w:t>
      </w:r>
      <w:r>
        <w:rPr>
          <w:color w:val="231F20"/>
          <w:spacing w:val="15"/>
          <w:sz w:val="13"/>
        </w:rPr>
        <w:t xml:space="preserve"> </w:t>
      </w:r>
      <w:r>
        <w:rPr>
          <w:color w:val="231F20"/>
          <w:sz w:val="13"/>
        </w:rPr>
        <w:t>1)).</w:t>
      </w:r>
    </w:p>
    <w:p w14:paraId="2161C859" w14:textId="77777777" w:rsidR="00894070" w:rsidRDefault="00894070">
      <w:pPr>
        <w:spacing w:line="162" w:lineRule="exact"/>
        <w:rPr>
          <w:sz w:val="13"/>
        </w:rPr>
        <w:sectPr w:rsidR="00894070">
          <w:type w:val="continuous"/>
          <w:pgSz w:w="11910" w:h="16840"/>
          <w:pgMar w:top="560" w:right="420" w:bottom="280" w:left="580" w:header="720" w:footer="720" w:gutter="0"/>
          <w:cols w:num="2" w:space="720" w:equalWidth="0">
            <w:col w:w="554" w:space="313"/>
            <w:col w:w="10043"/>
          </w:cols>
        </w:sectPr>
      </w:pPr>
    </w:p>
    <w:p w14:paraId="3F4FB88D" w14:textId="77777777" w:rsidR="00894070" w:rsidRDefault="00894070">
      <w:pPr>
        <w:pStyle w:val="BodyText"/>
      </w:pPr>
    </w:p>
    <w:p w14:paraId="7067D83B" w14:textId="77777777" w:rsidR="00894070" w:rsidRDefault="00894070">
      <w:pPr>
        <w:pStyle w:val="BodyText"/>
      </w:pPr>
    </w:p>
    <w:p w14:paraId="5ADF358F" w14:textId="77777777" w:rsidR="00894070" w:rsidRDefault="00894070">
      <w:pPr>
        <w:pStyle w:val="BodyText"/>
      </w:pPr>
    </w:p>
    <w:p w14:paraId="40169EF8" w14:textId="77777777" w:rsidR="00894070" w:rsidRDefault="00894070">
      <w:pPr>
        <w:pStyle w:val="BodyText"/>
        <w:spacing w:before="6"/>
        <w:rPr>
          <w:sz w:val="14"/>
        </w:rPr>
      </w:pPr>
    </w:p>
    <w:p w14:paraId="3EDD58C6" w14:textId="77777777" w:rsidR="00894070" w:rsidRDefault="009B7AFD">
      <w:pPr>
        <w:pStyle w:val="ListParagraph"/>
        <w:numPr>
          <w:ilvl w:val="1"/>
          <w:numId w:val="89"/>
        </w:numPr>
        <w:tabs>
          <w:tab w:val="left" w:pos="2141"/>
          <w:tab w:val="left" w:pos="2142"/>
        </w:tabs>
        <w:spacing w:before="58"/>
        <w:ind w:hanging="340"/>
        <w:rPr>
          <w:sz w:val="20"/>
        </w:rPr>
      </w:pPr>
      <w:bookmarkStart w:id="129" w:name="_bookmark75"/>
      <w:bookmarkEnd w:id="129"/>
      <w:r>
        <w:rPr>
          <w:color w:val="231F20"/>
          <w:sz w:val="20"/>
        </w:rPr>
        <w:t>requiring</w:t>
      </w:r>
      <w:r>
        <w:rPr>
          <w:color w:val="231F20"/>
          <w:spacing w:val="-5"/>
          <w:sz w:val="20"/>
        </w:rPr>
        <w:t xml:space="preserve"> </w:t>
      </w:r>
      <w:r>
        <w:rPr>
          <w:color w:val="231F20"/>
          <w:sz w:val="20"/>
        </w:rPr>
        <w:t>lawyers</w:t>
      </w:r>
      <w:r>
        <w:rPr>
          <w:color w:val="231F20"/>
          <w:spacing w:val="-5"/>
          <w:sz w:val="20"/>
        </w:rPr>
        <w:t xml:space="preserve"> </w:t>
      </w:r>
      <w:r>
        <w:rPr>
          <w:color w:val="231F20"/>
          <w:sz w:val="20"/>
        </w:rPr>
        <w:t>to</w:t>
      </w:r>
      <w:r>
        <w:rPr>
          <w:color w:val="231F20"/>
          <w:spacing w:val="-6"/>
          <w:sz w:val="20"/>
        </w:rPr>
        <w:t xml:space="preserve"> </w:t>
      </w:r>
      <w:r>
        <w:rPr>
          <w:color w:val="231F20"/>
          <w:sz w:val="20"/>
        </w:rPr>
        <w:t>stay</w:t>
      </w:r>
      <w:r>
        <w:rPr>
          <w:color w:val="231F20"/>
          <w:spacing w:val="-5"/>
          <w:sz w:val="20"/>
        </w:rPr>
        <w:t xml:space="preserve"> </w:t>
      </w:r>
      <w:r>
        <w:rPr>
          <w:color w:val="231F20"/>
          <w:sz w:val="20"/>
        </w:rPr>
        <w:t>seated,</w:t>
      </w:r>
      <w:r>
        <w:rPr>
          <w:color w:val="231F20"/>
          <w:spacing w:val="-5"/>
          <w:sz w:val="20"/>
        </w:rPr>
        <w:t xml:space="preserve"> </w:t>
      </w:r>
      <w:r>
        <w:rPr>
          <w:color w:val="231F20"/>
          <w:sz w:val="20"/>
        </w:rPr>
        <w:t>rather</w:t>
      </w:r>
      <w:r>
        <w:rPr>
          <w:color w:val="231F20"/>
          <w:spacing w:val="-5"/>
          <w:sz w:val="20"/>
        </w:rPr>
        <w:t xml:space="preserve"> </w:t>
      </w:r>
      <w:r>
        <w:rPr>
          <w:color w:val="231F20"/>
          <w:sz w:val="20"/>
        </w:rPr>
        <w:t>than</w:t>
      </w:r>
      <w:r>
        <w:rPr>
          <w:color w:val="231F20"/>
          <w:spacing w:val="-5"/>
          <w:sz w:val="20"/>
        </w:rPr>
        <w:t xml:space="preserve"> </w:t>
      </w:r>
      <w:r>
        <w:rPr>
          <w:color w:val="231F20"/>
          <w:sz w:val="20"/>
        </w:rPr>
        <w:t>standing</w:t>
      </w:r>
      <w:r>
        <w:rPr>
          <w:color w:val="231F20"/>
          <w:spacing w:val="-5"/>
          <w:sz w:val="20"/>
        </w:rPr>
        <w:t xml:space="preserve"> </w:t>
      </w:r>
      <w:r>
        <w:rPr>
          <w:color w:val="231F20"/>
          <w:sz w:val="20"/>
        </w:rPr>
        <w:t>to</w:t>
      </w:r>
      <w:r>
        <w:rPr>
          <w:color w:val="231F20"/>
          <w:spacing w:val="-5"/>
          <w:sz w:val="20"/>
        </w:rPr>
        <w:t xml:space="preserve"> </w:t>
      </w:r>
      <w:r>
        <w:rPr>
          <w:color w:val="231F20"/>
          <w:sz w:val="20"/>
        </w:rPr>
        <w:t>speak</w:t>
      </w:r>
    </w:p>
    <w:p w14:paraId="4CA3851C" w14:textId="77777777" w:rsidR="00894070" w:rsidRDefault="009B7AFD">
      <w:pPr>
        <w:pStyle w:val="ListParagraph"/>
        <w:numPr>
          <w:ilvl w:val="1"/>
          <w:numId w:val="89"/>
        </w:numPr>
        <w:tabs>
          <w:tab w:val="left" w:pos="2141"/>
          <w:tab w:val="left" w:pos="2142"/>
        </w:tabs>
        <w:spacing w:before="47"/>
        <w:ind w:hanging="340"/>
        <w:rPr>
          <w:sz w:val="11"/>
        </w:rPr>
      </w:pPr>
      <w:r>
        <w:rPr>
          <w:color w:val="231F20"/>
          <w:spacing w:val="-3"/>
          <w:sz w:val="20"/>
        </w:rPr>
        <w:t xml:space="preserve">any </w:t>
      </w:r>
      <w:r>
        <w:rPr>
          <w:color w:val="231F20"/>
          <w:sz w:val="20"/>
        </w:rPr>
        <w:t>other arrangements the court considers</w:t>
      </w:r>
      <w:r>
        <w:rPr>
          <w:color w:val="231F20"/>
          <w:spacing w:val="-26"/>
          <w:sz w:val="20"/>
        </w:rPr>
        <w:t xml:space="preserve"> </w:t>
      </w:r>
      <w:r>
        <w:rPr>
          <w:color w:val="231F20"/>
          <w:sz w:val="20"/>
        </w:rPr>
        <w:t>appropriate.</w:t>
      </w:r>
      <w:r>
        <w:rPr>
          <w:color w:val="231F20"/>
          <w:position w:val="7"/>
          <w:sz w:val="11"/>
        </w:rPr>
        <w:t>122</w:t>
      </w:r>
    </w:p>
    <w:p w14:paraId="38367391" w14:textId="77777777" w:rsidR="00894070" w:rsidRDefault="009B7AFD">
      <w:pPr>
        <w:pStyle w:val="ListParagraph"/>
        <w:numPr>
          <w:ilvl w:val="1"/>
          <w:numId w:val="102"/>
        </w:numPr>
        <w:tabs>
          <w:tab w:val="left" w:pos="1801"/>
          <w:tab w:val="left" w:pos="1802"/>
        </w:tabs>
        <w:spacing w:before="48" w:line="259" w:lineRule="exact"/>
        <w:rPr>
          <w:sz w:val="20"/>
        </w:rPr>
      </w:pPr>
      <w:r>
        <w:rPr>
          <w:color w:val="231F20"/>
          <w:sz w:val="20"/>
        </w:rPr>
        <w:t>In</w:t>
      </w:r>
      <w:r>
        <w:rPr>
          <w:color w:val="231F20"/>
          <w:spacing w:val="-6"/>
          <w:sz w:val="20"/>
        </w:rPr>
        <w:t xml:space="preserve"> </w:t>
      </w:r>
      <w:r>
        <w:rPr>
          <w:color w:val="231F20"/>
          <w:sz w:val="20"/>
        </w:rPr>
        <w:t>making</w:t>
      </w:r>
      <w:r>
        <w:rPr>
          <w:color w:val="231F20"/>
          <w:spacing w:val="-6"/>
          <w:sz w:val="20"/>
        </w:rPr>
        <w:t xml:space="preserve"> </w:t>
      </w:r>
      <w:r>
        <w:rPr>
          <w:color w:val="231F20"/>
          <w:sz w:val="20"/>
        </w:rPr>
        <w:t>these</w:t>
      </w:r>
      <w:r>
        <w:rPr>
          <w:color w:val="231F20"/>
          <w:spacing w:val="-5"/>
          <w:sz w:val="20"/>
        </w:rPr>
        <w:t xml:space="preserve"> </w:t>
      </w:r>
      <w:r>
        <w:rPr>
          <w:color w:val="231F20"/>
          <w:sz w:val="20"/>
        </w:rPr>
        <w:t>orders,</w:t>
      </w:r>
      <w:r>
        <w:rPr>
          <w:color w:val="231F20"/>
          <w:spacing w:val="-6"/>
          <w:sz w:val="20"/>
        </w:rPr>
        <w:t xml:space="preserve"> </w:t>
      </w:r>
      <w:r>
        <w:rPr>
          <w:color w:val="231F20"/>
          <w:sz w:val="20"/>
        </w:rPr>
        <w:t>the</w:t>
      </w:r>
      <w:r>
        <w:rPr>
          <w:color w:val="231F20"/>
          <w:spacing w:val="-7"/>
          <w:sz w:val="20"/>
        </w:rPr>
        <w:t xml:space="preserve"> </w:t>
      </w:r>
      <w:r>
        <w:rPr>
          <w:color w:val="231F20"/>
          <w:sz w:val="20"/>
        </w:rPr>
        <w:t>court</w:t>
      </w:r>
      <w:r>
        <w:rPr>
          <w:color w:val="231F20"/>
          <w:spacing w:val="-5"/>
          <w:sz w:val="20"/>
        </w:rPr>
        <w:t xml:space="preserve"> </w:t>
      </w:r>
      <w:r>
        <w:rPr>
          <w:color w:val="231F20"/>
          <w:sz w:val="20"/>
        </w:rPr>
        <w:t>must</w:t>
      </w:r>
      <w:r>
        <w:rPr>
          <w:color w:val="231F20"/>
          <w:spacing w:val="-6"/>
          <w:sz w:val="20"/>
        </w:rPr>
        <w:t xml:space="preserve"> </w:t>
      </w:r>
      <w:r>
        <w:rPr>
          <w:color w:val="231F20"/>
          <w:sz w:val="20"/>
        </w:rPr>
        <w:t>consider</w:t>
      </w:r>
      <w:r>
        <w:rPr>
          <w:color w:val="231F20"/>
          <w:spacing w:val="-6"/>
          <w:sz w:val="20"/>
        </w:rPr>
        <w:t xml:space="preserve"> </w:t>
      </w:r>
      <w:r>
        <w:rPr>
          <w:color w:val="231F20"/>
          <w:sz w:val="20"/>
        </w:rPr>
        <w:t>the</w:t>
      </w:r>
      <w:r>
        <w:rPr>
          <w:color w:val="231F20"/>
          <w:spacing w:val="-5"/>
          <w:sz w:val="20"/>
        </w:rPr>
        <w:t xml:space="preserve"> </w:t>
      </w:r>
      <w:r>
        <w:rPr>
          <w:color w:val="231F20"/>
          <w:sz w:val="20"/>
        </w:rPr>
        <w:t>witnesses’</w:t>
      </w:r>
      <w:r>
        <w:rPr>
          <w:color w:val="231F20"/>
          <w:spacing w:val="-6"/>
          <w:sz w:val="20"/>
        </w:rPr>
        <w:t xml:space="preserve"> </w:t>
      </w:r>
      <w:r>
        <w:rPr>
          <w:color w:val="231F20"/>
          <w:sz w:val="20"/>
        </w:rPr>
        <w:t>wishes,</w:t>
      </w:r>
      <w:r>
        <w:rPr>
          <w:color w:val="231F20"/>
          <w:spacing w:val="-6"/>
          <w:sz w:val="20"/>
        </w:rPr>
        <w:t xml:space="preserve"> </w:t>
      </w:r>
      <w:r>
        <w:rPr>
          <w:color w:val="231F20"/>
          <w:sz w:val="20"/>
        </w:rPr>
        <w:t>their</w:t>
      </w:r>
      <w:r>
        <w:rPr>
          <w:color w:val="231F20"/>
          <w:spacing w:val="-5"/>
          <w:sz w:val="20"/>
        </w:rPr>
        <w:t xml:space="preserve"> </w:t>
      </w:r>
      <w:r>
        <w:rPr>
          <w:color w:val="231F20"/>
          <w:sz w:val="20"/>
        </w:rPr>
        <w:t>age</w:t>
      </w:r>
      <w:r>
        <w:rPr>
          <w:color w:val="231F20"/>
          <w:spacing w:val="-6"/>
          <w:sz w:val="20"/>
        </w:rPr>
        <w:t xml:space="preserve"> </w:t>
      </w:r>
      <w:r>
        <w:rPr>
          <w:color w:val="231F20"/>
          <w:sz w:val="20"/>
        </w:rPr>
        <w:t>and</w:t>
      </w:r>
    </w:p>
    <w:p w14:paraId="1BFC46D6" w14:textId="77777777" w:rsidR="00894070" w:rsidRDefault="009B7AFD">
      <w:pPr>
        <w:pStyle w:val="BodyText"/>
        <w:spacing w:line="259" w:lineRule="exact"/>
        <w:ind w:left="1801"/>
        <w:rPr>
          <w:sz w:val="11"/>
        </w:rPr>
      </w:pPr>
      <w:r>
        <w:rPr>
          <w:color w:val="231F20"/>
        </w:rPr>
        <w:t>maturity, the facilities available to the court, and anything else it considers relevant.</w:t>
      </w:r>
      <w:r>
        <w:rPr>
          <w:color w:val="231F20"/>
          <w:position w:val="7"/>
          <w:sz w:val="11"/>
        </w:rPr>
        <w:t>123</w:t>
      </w:r>
    </w:p>
    <w:p w14:paraId="38364C52" w14:textId="77777777" w:rsidR="00894070" w:rsidRDefault="009B7AFD">
      <w:pPr>
        <w:pStyle w:val="ListParagraph"/>
        <w:numPr>
          <w:ilvl w:val="1"/>
          <w:numId w:val="102"/>
        </w:numPr>
        <w:tabs>
          <w:tab w:val="left" w:pos="1801"/>
          <w:tab w:val="left" w:pos="1802"/>
        </w:tabs>
        <w:spacing w:before="114" w:line="206" w:lineRule="auto"/>
        <w:ind w:right="1185"/>
        <w:rPr>
          <w:sz w:val="11"/>
        </w:rPr>
      </w:pPr>
      <w:r>
        <w:rPr>
          <w:color w:val="231F20"/>
          <w:spacing w:val="-6"/>
          <w:sz w:val="20"/>
        </w:rPr>
        <w:t xml:space="preserve">We </w:t>
      </w:r>
      <w:r>
        <w:rPr>
          <w:color w:val="231F20"/>
          <w:sz w:val="20"/>
        </w:rPr>
        <w:t xml:space="preserve">heard that there </w:t>
      </w:r>
      <w:r>
        <w:rPr>
          <w:color w:val="231F20"/>
          <w:spacing w:val="-3"/>
          <w:sz w:val="20"/>
        </w:rPr>
        <w:t xml:space="preserve">are </w:t>
      </w:r>
      <w:r>
        <w:rPr>
          <w:color w:val="231F20"/>
          <w:sz w:val="20"/>
        </w:rPr>
        <w:t xml:space="preserve">other aspects of the </w:t>
      </w:r>
      <w:r>
        <w:rPr>
          <w:color w:val="231F20"/>
          <w:spacing w:val="-4"/>
          <w:sz w:val="20"/>
        </w:rPr>
        <w:t xml:space="preserve">Family </w:t>
      </w:r>
      <w:r>
        <w:rPr>
          <w:color w:val="231F20"/>
          <w:sz w:val="20"/>
        </w:rPr>
        <w:t xml:space="preserve">Violence </w:t>
      </w:r>
      <w:r>
        <w:rPr>
          <w:color w:val="231F20"/>
          <w:spacing w:val="-2"/>
          <w:sz w:val="20"/>
        </w:rPr>
        <w:t xml:space="preserve">Intervention </w:t>
      </w:r>
      <w:r>
        <w:rPr>
          <w:color w:val="231F20"/>
          <w:sz w:val="20"/>
        </w:rPr>
        <w:t xml:space="preserve">Order (FVIO) </w:t>
      </w:r>
      <w:r>
        <w:rPr>
          <w:color w:val="231F20"/>
          <w:spacing w:val="-2"/>
          <w:sz w:val="20"/>
        </w:rPr>
        <w:t>system</w:t>
      </w:r>
      <w:r>
        <w:rPr>
          <w:color w:val="231F20"/>
          <w:spacing w:val="-7"/>
          <w:sz w:val="20"/>
        </w:rPr>
        <w:t xml:space="preserve"> </w:t>
      </w:r>
      <w:r>
        <w:rPr>
          <w:color w:val="231F20"/>
          <w:sz w:val="20"/>
        </w:rPr>
        <w:t>that</w:t>
      </w:r>
      <w:r>
        <w:rPr>
          <w:color w:val="231F20"/>
          <w:spacing w:val="-6"/>
          <w:sz w:val="20"/>
        </w:rPr>
        <w:t xml:space="preserve"> </w:t>
      </w:r>
      <w:r>
        <w:rPr>
          <w:color w:val="231F20"/>
          <w:spacing w:val="-3"/>
          <w:sz w:val="20"/>
        </w:rPr>
        <w:t>would</w:t>
      </w:r>
      <w:r>
        <w:rPr>
          <w:color w:val="231F20"/>
          <w:spacing w:val="-6"/>
          <w:sz w:val="20"/>
        </w:rPr>
        <w:t xml:space="preserve"> </w:t>
      </w:r>
      <w:r>
        <w:rPr>
          <w:color w:val="231F20"/>
          <w:spacing w:val="-4"/>
          <w:sz w:val="20"/>
        </w:rPr>
        <w:t>improve</w:t>
      </w:r>
      <w:r>
        <w:rPr>
          <w:color w:val="231F20"/>
          <w:spacing w:val="-7"/>
          <w:sz w:val="20"/>
        </w:rPr>
        <w:t xml:space="preserve"> </w:t>
      </w:r>
      <w:r>
        <w:rPr>
          <w:color w:val="231F20"/>
          <w:sz w:val="20"/>
        </w:rPr>
        <w:t>the</w:t>
      </w:r>
      <w:r>
        <w:rPr>
          <w:color w:val="231F20"/>
          <w:spacing w:val="-6"/>
          <w:sz w:val="20"/>
        </w:rPr>
        <w:t xml:space="preserve"> </w:t>
      </w:r>
      <w:r>
        <w:rPr>
          <w:color w:val="231F20"/>
          <w:sz w:val="20"/>
        </w:rPr>
        <w:t>PSIO</w:t>
      </w:r>
      <w:r>
        <w:rPr>
          <w:color w:val="231F20"/>
          <w:spacing w:val="-6"/>
          <w:sz w:val="20"/>
        </w:rPr>
        <w:t xml:space="preserve"> </w:t>
      </w:r>
      <w:r>
        <w:rPr>
          <w:color w:val="231F20"/>
          <w:spacing w:val="-2"/>
          <w:sz w:val="20"/>
        </w:rPr>
        <w:t>system</w:t>
      </w:r>
      <w:r>
        <w:rPr>
          <w:color w:val="231F20"/>
          <w:spacing w:val="-7"/>
          <w:sz w:val="20"/>
        </w:rPr>
        <w:t xml:space="preserve"> </w:t>
      </w:r>
      <w:r>
        <w:rPr>
          <w:color w:val="231F20"/>
          <w:sz w:val="20"/>
        </w:rPr>
        <w:t>response</w:t>
      </w:r>
      <w:r>
        <w:rPr>
          <w:color w:val="231F20"/>
          <w:spacing w:val="-6"/>
          <w:sz w:val="20"/>
        </w:rPr>
        <w:t xml:space="preserve"> </w:t>
      </w:r>
      <w:r>
        <w:rPr>
          <w:color w:val="231F20"/>
          <w:sz w:val="20"/>
        </w:rPr>
        <w:t>to</w:t>
      </w:r>
      <w:r>
        <w:rPr>
          <w:color w:val="231F20"/>
          <w:spacing w:val="-6"/>
          <w:sz w:val="20"/>
        </w:rPr>
        <w:t xml:space="preserve"> </w:t>
      </w:r>
      <w:r>
        <w:rPr>
          <w:color w:val="231F20"/>
          <w:sz w:val="20"/>
        </w:rPr>
        <w:t>stalking.</w:t>
      </w:r>
      <w:r>
        <w:rPr>
          <w:color w:val="231F20"/>
          <w:spacing w:val="-7"/>
          <w:sz w:val="20"/>
        </w:rPr>
        <w:t xml:space="preserve"> </w:t>
      </w:r>
      <w:r>
        <w:rPr>
          <w:color w:val="231F20"/>
          <w:sz w:val="20"/>
        </w:rPr>
        <w:t>The</w:t>
      </w:r>
      <w:r>
        <w:rPr>
          <w:color w:val="231F20"/>
          <w:spacing w:val="-6"/>
          <w:sz w:val="20"/>
        </w:rPr>
        <w:t xml:space="preserve"> </w:t>
      </w:r>
      <w:r>
        <w:rPr>
          <w:color w:val="231F20"/>
          <w:sz w:val="20"/>
        </w:rPr>
        <w:t>FVIO</w:t>
      </w:r>
      <w:r>
        <w:rPr>
          <w:color w:val="231F20"/>
          <w:spacing w:val="-6"/>
          <w:sz w:val="20"/>
        </w:rPr>
        <w:t xml:space="preserve"> </w:t>
      </w:r>
      <w:r>
        <w:rPr>
          <w:color w:val="231F20"/>
          <w:spacing w:val="-2"/>
          <w:sz w:val="20"/>
        </w:rPr>
        <w:t>system</w:t>
      </w:r>
      <w:r>
        <w:rPr>
          <w:color w:val="231F20"/>
          <w:spacing w:val="-7"/>
          <w:sz w:val="20"/>
        </w:rPr>
        <w:t xml:space="preserve"> </w:t>
      </w:r>
      <w:r>
        <w:rPr>
          <w:color w:val="231F20"/>
          <w:sz w:val="20"/>
        </w:rPr>
        <w:t xml:space="preserve">has specific </w:t>
      </w:r>
      <w:r>
        <w:rPr>
          <w:color w:val="231F20"/>
          <w:spacing w:val="-3"/>
          <w:sz w:val="20"/>
        </w:rPr>
        <w:t xml:space="preserve">protections for </w:t>
      </w:r>
      <w:r>
        <w:rPr>
          <w:color w:val="231F20"/>
          <w:sz w:val="20"/>
        </w:rPr>
        <w:t xml:space="preserve">victim survivors of </w:t>
      </w:r>
      <w:r>
        <w:rPr>
          <w:color w:val="231F20"/>
          <w:spacing w:val="-3"/>
          <w:sz w:val="20"/>
        </w:rPr>
        <w:t xml:space="preserve">family </w:t>
      </w:r>
      <w:proofErr w:type="gramStart"/>
      <w:r>
        <w:rPr>
          <w:color w:val="231F20"/>
          <w:spacing w:val="-2"/>
          <w:sz w:val="20"/>
        </w:rPr>
        <w:t xml:space="preserve">violence, </w:t>
      </w:r>
      <w:r>
        <w:rPr>
          <w:color w:val="231F20"/>
          <w:sz w:val="20"/>
        </w:rPr>
        <w:t>and</w:t>
      </w:r>
      <w:proofErr w:type="gramEnd"/>
      <w:r>
        <w:rPr>
          <w:color w:val="231F20"/>
          <w:sz w:val="20"/>
        </w:rPr>
        <w:t xml:space="preserve"> supports them to </w:t>
      </w:r>
      <w:r>
        <w:rPr>
          <w:color w:val="231F20"/>
          <w:spacing w:val="-3"/>
          <w:sz w:val="20"/>
        </w:rPr>
        <w:t xml:space="preserve">give </w:t>
      </w:r>
      <w:r>
        <w:rPr>
          <w:color w:val="231F20"/>
          <w:sz w:val="20"/>
        </w:rPr>
        <w:t xml:space="preserve">their best </w:t>
      </w:r>
      <w:r>
        <w:rPr>
          <w:color w:val="231F20"/>
          <w:spacing w:val="-2"/>
          <w:sz w:val="20"/>
        </w:rPr>
        <w:t xml:space="preserve">evidence. </w:t>
      </w:r>
      <w:r>
        <w:rPr>
          <w:color w:val="231F20"/>
          <w:sz w:val="20"/>
        </w:rPr>
        <w:t xml:space="preserve">People who </w:t>
      </w:r>
      <w:r>
        <w:rPr>
          <w:color w:val="231F20"/>
          <w:spacing w:val="-4"/>
          <w:sz w:val="20"/>
        </w:rPr>
        <w:t xml:space="preserve">have </w:t>
      </w:r>
      <w:r>
        <w:rPr>
          <w:color w:val="231F20"/>
          <w:sz w:val="20"/>
        </w:rPr>
        <w:t xml:space="preserve">experienced non-family violence stalking </w:t>
      </w:r>
      <w:r>
        <w:rPr>
          <w:color w:val="231F20"/>
          <w:spacing w:val="-4"/>
          <w:sz w:val="20"/>
        </w:rPr>
        <w:t xml:space="preserve">have </w:t>
      </w:r>
      <w:r>
        <w:rPr>
          <w:color w:val="231F20"/>
          <w:sz w:val="20"/>
        </w:rPr>
        <w:t>less protection and</w:t>
      </w:r>
      <w:r>
        <w:rPr>
          <w:color w:val="231F20"/>
          <w:spacing w:val="-14"/>
          <w:sz w:val="20"/>
        </w:rPr>
        <w:t xml:space="preserve"> </w:t>
      </w:r>
      <w:r>
        <w:rPr>
          <w:color w:val="231F20"/>
          <w:sz w:val="20"/>
        </w:rPr>
        <w:t>support.</w:t>
      </w:r>
      <w:r>
        <w:rPr>
          <w:color w:val="231F20"/>
          <w:position w:val="7"/>
          <w:sz w:val="11"/>
        </w:rPr>
        <w:t>124</w:t>
      </w:r>
    </w:p>
    <w:p w14:paraId="161AB1B2" w14:textId="77777777" w:rsidR="00894070" w:rsidRDefault="009B7AFD">
      <w:pPr>
        <w:pStyle w:val="ListParagraph"/>
        <w:numPr>
          <w:ilvl w:val="1"/>
          <w:numId w:val="102"/>
        </w:numPr>
        <w:tabs>
          <w:tab w:val="left" w:pos="1801"/>
          <w:tab w:val="left" w:pos="1802"/>
        </w:tabs>
        <w:spacing w:before="127" w:line="206" w:lineRule="auto"/>
        <w:ind w:right="1204"/>
        <w:rPr>
          <w:sz w:val="20"/>
        </w:rPr>
      </w:pPr>
      <w:r>
        <w:rPr>
          <w:color w:val="231F20"/>
          <w:spacing w:val="-6"/>
          <w:sz w:val="20"/>
        </w:rPr>
        <w:t xml:space="preserve">We </w:t>
      </w:r>
      <w:r>
        <w:rPr>
          <w:color w:val="231F20"/>
          <w:sz w:val="20"/>
        </w:rPr>
        <w:t>propose that maximum advantage should be taken of those aspects of the FVIO system,</w:t>
      </w:r>
      <w:r>
        <w:rPr>
          <w:color w:val="231F20"/>
          <w:spacing w:val="-10"/>
          <w:sz w:val="20"/>
        </w:rPr>
        <w:t xml:space="preserve"> </w:t>
      </w:r>
      <w:r>
        <w:rPr>
          <w:color w:val="231F20"/>
          <w:sz w:val="20"/>
        </w:rPr>
        <w:t>so</w:t>
      </w:r>
      <w:r>
        <w:rPr>
          <w:color w:val="231F20"/>
          <w:spacing w:val="-9"/>
          <w:sz w:val="20"/>
        </w:rPr>
        <w:t xml:space="preserve"> </w:t>
      </w:r>
      <w:r>
        <w:rPr>
          <w:color w:val="231F20"/>
          <w:sz w:val="20"/>
        </w:rPr>
        <w:t>that</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10"/>
          <w:sz w:val="20"/>
        </w:rPr>
        <w:t xml:space="preserve"> </w:t>
      </w:r>
      <w:r>
        <w:rPr>
          <w:color w:val="231F20"/>
          <w:sz w:val="20"/>
        </w:rPr>
        <w:t>of</w:t>
      </w:r>
      <w:r>
        <w:rPr>
          <w:color w:val="231F20"/>
          <w:spacing w:val="-9"/>
          <w:sz w:val="20"/>
        </w:rPr>
        <w:t xml:space="preserve"> </w:t>
      </w:r>
      <w:r>
        <w:rPr>
          <w:color w:val="231F20"/>
          <w:sz w:val="20"/>
        </w:rPr>
        <w:t>stalking</w:t>
      </w:r>
      <w:r>
        <w:rPr>
          <w:color w:val="231F20"/>
          <w:spacing w:val="-9"/>
          <w:sz w:val="20"/>
        </w:rPr>
        <w:t xml:space="preserve"> </w:t>
      </w:r>
      <w:r>
        <w:rPr>
          <w:color w:val="231F20"/>
          <w:sz w:val="20"/>
        </w:rPr>
        <w:t>also</w:t>
      </w:r>
      <w:r>
        <w:rPr>
          <w:color w:val="231F20"/>
          <w:spacing w:val="-9"/>
          <w:sz w:val="20"/>
        </w:rPr>
        <w:t xml:space="preserve"> </w:t>
      </w:r>
      <w:r>
        <w:rPr>
          <w:color w:val="231F20"/>
          <w:sz w:val="20"/>
        </w:rPr>
        <w:t>benefit</w:t>
      </w:r>
      <w:r>
        <w:rPr>
          <w:color w:val="231F20"/>
          <w:spacing w:val="-10"/>
          <w:sz w:val="20"/>
        </w:rPr>
        <w:t xml:space="preserve"> </w:t>
      </w:r>
      <w:r>
        <w:rPr>
          <w:color w:val="231F20"/>
          <w:spacing w:val="-3"/>
          <w:sz w:val="20"/>
        </w:rPr>
        <w:t>from</w:t>
      </w:r>
      <w:r>
        <w:rPr>
          <w:color w:val="231F20"/>
          <w:spacing w:val="-9"/>
          <w:sz w:val="20"/>
        </w:rPr>
        <w:t xml:space="preserve"> </w:t>
      </w:r>
      <w:r>
        <w:rPr>
          <w:color w:val="231F20"/>
          <w:sz w:val="20"/>
        </w:rPr>
        <w:t>the</w:t>
      </w:r>
      <w:r>
        <w:rPr>
          <w:color w:val="231F20"/>
          <w:spacing w:val="-9"/>
          <w:sz w:val="20"/>
        </w:rPr>
        <w:t xml:space="preserve"> </w:t>
      </w:r>
      <w:r>
        <w:rPr>
          <w:color w:val="231F20"/>
          <w:sz w:val="20"/>
        </w:rPr>
        <w:t>huge</w:t>
      </w:r>
      <w:r>
        <w:rPr>
          <w:color w:val="231F20"/>
          <w:spacing w:val="-9"/>
          <w:sz w:val="20"/>
        </w:rPr>
        <w:t xml:space="preserve"> </w:t>
      </w:r>
      <w:r>
        <w:rPr>
          <w:color w:val="231F20"/>
          <w:spacing w:val="-3"/>
          <w:sz w:val="20"/>
        </w:rPr>
        <w:t>progress</w:t>
      </w:r>
      <w:r>
        <w:rPr>
          <w:color w:val="231F20"/>
          <w:spacing w:val="-10"/>
          <w:sz w:val="20"/>
        </w:rPr>
        <w:t xml:space="preserve"> </w:t>
      </w:r>
      <w:r>
        <w:rPr>
          <w:color w:val="231F20"/>
          <w:sz w:val="20"/>
        </w:rPr>
        <w:t>that</w:t>
      </w:r>
      <w:r>
        <w:rPr>
          <w:color w:val="231F20"/>
          <w:spacing w:val="-9"/>
          <w:sz w:val="20"/>
        </w:rPr>
        <w:t xml:space="preserve"> </w:t>
      </w:r>
      <w:r>
        <w:rPr>
          <w:color w:val="231F20"/>
          <w:sz w:val="20"/>
        </w:rPr>
        <w:t>has been made in Victoria. As the County Court</w:t>
      </w:r>
      <w:r>
        <w:rPr>
          <w:color w:val="231F20"/>
          <w:spacing w:val="-37"/>
          <w:sz w:val="20"/>
        </w:rPr>
        <w:t xml:space="preserve"> </w:t>
      </w:r>
      <w:r>
        <w:rPr>
          <w:color w:val="231F20"/>
          <w:spacing w:val="-3"/>
          <w:sz w:val="20"/>
        </w:rPr>
        <w:t xml:space="preserve">told </w:t>
      </w:r>
      <w:r>
        <w:rPr>
          <w:color w:val="231F20"/>
          <w:sz w:val="20"/>
        </w:rPr>
        <w:t>us:</w:t>
      </w:r>
    </w:p>
    <w:p w14:paraId="191FAD38" w14:textId="77777777" w:rsidR="00894070" w:rsidRDefault="009B7AFD">
      <w:pPr>
        <w:spacing w:before="121" w:line="208" w:lineRule="auto"/>
        <w:ind w:left="2254" w:right="1272"/>
        <w:jc w:val="both"/>
        <w:rPr>
          <w:sz w:val="11"/>
        </w:rPr>
      </w:pPr>
      <w:r>
        <w:rPr>
          <w:color w:val="231F20"/>
          <w:sz w:val="19"/>
        </w:rPr>
        <w:t xml:space="preserve">Both personal safety and family violence intervention orders </w:t>
      </w:r>
      <w:r>
        <w:rPr>
          <w:color w:val="231F20"/>
          <w:spacing w:val="-3"/>
          <w:sz w:val="19"/>
        </w:rPr>
        <w:t xml:space="preserve">involve </w:t>
      </w:r>
      <w:r>
        <w:rPr>
          <w:color w:val="231F20"/>
          <w:sz w:val="19"/>
        </w:rPr>
        <w:t xml:space="preserve">the question of an individual’s </w:t>
      </w:r>
      <w:r>
        <w:rPr>
          <w:color w:val="231F20"/>
          <w:spacing w:val="-3"/>
          <w:sz w:val="19"/>
        </w:rPr>
        <w:t xml:space="preserve">safety, </w:t>
      </w:r>
      <w:r>
        <w:rPr>
          <w:color w:val="231F20"/>
          <w:sz w:val="19"/>
        </w:rPr>
        <w:t>so for this reason there should be a consistent approach to the protections</w:t>
      </w:r>
      <w:r>
        <w:rPr>
          <w:color w:val="231F20"/>
          <w:spacing w:val="-6"/>
          <w:sz w:val="19"/>
        </w:rPr>
        <w:t xml:space="preserve"> </w:t>
      </w:r>
      <w:r>
        <w:rPr>
          <w:color w:val="231F20"/>
          <w:sz w:val="19"/>
        </w:rPr>
        <w:t>on</w:t>
      </w:r>
      <w:r>
        <w:rPr>
          <w:color w:val="231F20"/>
          <w:spacing w:val="-7"/>
          <w:sz w:val="19"/>
        </w:rPr>
        <w:t xml:space="preserve"> </w:t>
      </w:r>
      <w:r>
        <w:rPr>
          <w:color w:val="231F20"/>
          <w:spacing w:val="-3"/>
          <w:sz w:val="19"/>
        </w:rPr>
        <w:t>offer.</w:t>
      </w:r>
      <w:r>
        <w:rPr>
          <w:color w:val="231F20"/>
          <w:spacing w:val="-6"/>
          <w:sz w:val="19"/>
        </w:rPr>
        <w:t xml:space="preserve"> </w:t>
      </w:r>
      <w:r>
        <w:rPr>
          <w:color w:val="231F20"/>
          <w:sz w:val="19"/>
        </w:rPr>
        <w:t>If</w:t>
      </w:r>
      <w:r>
        <w:rPr>
          <w:color w:val="231F20"/>
          <w:spacing w:val="-6"/>
          <w:sz w:val="19"/>
        </w:rPr>
        <w:t xml:space="preserve"> </w:t>
      </w:r>
      <w:r>
        <w:rPr>
          <w:color w:val="231F20"/>
          <w:sz w:val="19"/>
        </w:rPr>
        <w:t>there</w:t>
      </w:r>
      <w:r>
        <w:rPr>
          <w:color w:val="231F20"/>
          <w:spacing w:val="-6"/>
          <w:sz w:val="19"/>
        </w:rPr>
        <w:t xml:space="preserve"> </w:t>
      </w:r>
      <w:r>
        <w:rPr>
          <w:color w:val="231F20"/>
          <w:sz w:val="19"/>
        </w:rPr>
        <w:t>was</w:t>
      </w:r>
      <w:r>
        <w:rPr>
          <w:color w:val="231F20"/>
          <w:spacing w:val="-6"/>
          <w:sz w:val="19"/>
        </w:rPr>
        <w:t xml:space="preserve"> </w:t>
      </w:r>
      <w:r>
        <w:rPr>
          <w:color w:val="231F20"/>
          <w:sz w:val="19"/>
        </w:rPr>
        <w:t>to</w:t>
      </w:r>
      <w:r>
        <w:rPr>
          <w:color w:val="231F20"/>
          <w:spacing w:val="-6"/>
          <w:sz w:val="19"/>
        </w:rPr>
        <w:t xml:space="preserve"> </w:t>
      </w:r>
      <w:r>
        <w:rPr>
          <w:color w:val="231F20"/>
          <w:sz w:val="19"/>
        </w:rPr>
        <w:t>be</w:t>
      </w:r>
      <w:r>
        <w:rPr>
          <w:color w:val="231F20"/>
          <w:spacing w:val="-6"/>
          <w:sz w:val="19"/>
        </w:rPr>
        <w:t xml:space="preserve"> </w:t>
      </w:r>
      <w:r>
        <w:rPr>
          <w:color w:val="231F20"/>
          <w:sz w:val="19"/>
        </w:rPr>
        <w:t>a</w:t>
      </w:r>
      <w:r>
        <w:rPr>
          <w:color w:val="231F20"/>
          <w:spacing w:val="-6"/>
          <w:sz w:val="19"/>
        </w:rPr>
        <w:t xml:space="preserve"> </w:t>
      </w:r>
      <w:r>
        <w:rPr>
          <w:color w:val="231F20"/>
          <w:sz w:val="19"/>
        </w:rPr>
        <w:t>difference</w:t>
      </w:r>
      <w:r>
        <w:rPr>
          <w:color w:val="231F20"/>
          <w:spacing w:val="-6"/>
          <w:sz w:val="19"/>
        </w:rPr>
        <w:t xml:space="preserve"> </w:t>
      </w:r>
      <w:r>
        <w:rPr>
          <w:color w:val="231F20"/>
          <w:sz w:val="19"/>
        </w:rPr>
        <w:t>it</w:t>
      </w:r>
      <w:r>
        <w:rPr>
          <w:color w:val="231F20"/>
          <w:spacing w:val="-6"/>
          <w:sz w:val="19"/>
        </w:rPr>
        <w:t xml:space="preserve"> </w:t>
      </w:r>
      <w:r>
        <w:rPr>
          <w:color w:val="231F20"/>
          <w:sz w:val="19"/>
        </w:rPr>
        <w:t>would</w:t>
      </w:r>
      <w:r>
        <w:rPr>
          <w:color w:val="231F20"/>
          <w:spacing w:val="-6"/>
          <w:sz w:val="19"/>
        </w:rPr>
        <w:t xml:space="preserve"> </w:t>
      </w:r>
      <w:r>
        <w:rPr>
          <w:color w:val="231F20"/>
          <w:sz w:val="19"/>
        </w:rPr>
        <w:t>be</w:t>
      </w:r>
      <w:r>
        <w:rPr>
          <w:color w:val="231F20"/>
          <w:spacing w:val="-6"/>
          <w:sz w:val="19"/>
        </w:rPr>
        <w:t xml:space="preserve"> </w:t>
      </w:r>
      <w:r>
        <w:rPr>
          <w:color w:val="231F20"/>
          <w:sz w:val="19"/>
        </w:rPr>
        <w:t>by</w:t>
      </w:r>
      <w:r>
        <w:rPr>
          <w:color w:val="231F20"/>
          <w:spacing w:val="-6"/>
          <w:sz w:val="19"/>
        </w:rPr>
        <w:t xml:space="preserve"> </w:t>
      </w:r>
      <w:r>
        <w:rPr>
          <w:color w:val="231F20"/>
          <w:sz w:val="19"/>
        </w:rPr>
        <w:t>way</w:t>
      </w:r>
      <w:r>
        <w:rPr>
          <w:color w:val="231F20"/>
          <w:spacing w:val="-6"/>
          <w:sz w:val="19"/>
        </w:rPr>
        <w:t xml:space="preserve"> </w:t>
      </w:r>
      <w:r>
        <w:rPr>
          <w:color w:val="231F20"/>
          <w:sz w:val="19"/>
        </w:rPr>
        <w:t>of</w:t>
      </w:r>
      <w:r>
        <w:rPr>
          <w:color w:val="231F20"/>
          <w:spacing w:val="-6"/>
          <w:sz w:val="19"/>
        </w:rPr>
        <w:t xml:space="preserve"> </w:t>
      </w:r>
      <w:r>
        <w:rPr>
          <w:color w:val="231F20"/>
          <w:sz w:val="19"/>
        </w:rPr>
        <w:t>assessment of the degree of risk, but there is no reason that a complainant under either of these systems should be any less advantaged than the</w:t>
      </w:r>
      <w:r>
        <w:rPr>
          <w:color w:val="231F20"/>
          <w:spacing w:val="-19"/>
          <w:sz w:val="19"/>
        </w:rPr>
        <w:t xml:space="preserve"> </w:t>
      </w:r>
      <w:r>
        <w:rPr>
          <w:color w:val="231F20"/>
          <w:sz w:val="19"/>
        </w:rPr>
        <w:t>other.</w:t>
      </w:r>
      <w:r>
        <w:rPr>
          <w:color w:val="231F20"/>
          <w:position w:val="6"/>
          <w:sz w:val="11"/>
        </w:rPr>
        <w:t>125</w:t>
      </w:r>
    </w:p>
    <w:p w14:paraId="6F44EF9E" w14:textId="77777777" w:rsidR="00894070" w:rsidRDefault="009B7AFD">
      <w:pPr>
        <w:pStyle w:val="ListParagraph"/>
        <w:numPr>
          <w:ilvl w:val="1"/>
          <w:numId w:val="102"/>
        </w:numPr>
        <w:tabs>
          <w:tab w:val="left" w:pos="1802"/>
        </w:tabs>
        <w:spacing w:before="125" w:line="206" w:lineRule="auto"/>
        <w:ind w:right="1382"/>
        <w:jc w:val="both"/>
        <w:rPr>
          <w:sz w:val="11"/>
        </w:rPr>
      </w:pPr>
      <w:r>
        <w:rPr>
          <w:color w:val="231F20"/>
          <w:spacing w:val="-5"/>
          <w:sz w:val="20"/>
        </w:rPr>
        <w:t xml:space="preserve">However, </w:t>
      </w:r>
      <w:r>
        <w:rPr>
          <w:color w:val="231F20"/>
          <w:sz w:val="20"/>
        </w:rPr>
        <w:t xml:space="preserve">the </w:t>
      </w:r>
      <w:r>
        <w:rPr>
          <w:color w:val="231F20"/>
          <w:spacing w:val="-3"/>
          <w:sz w:val="20"/>
        </w:rPr>
        <w:t xml:space="preserve">Magistrates’ </w:t>
      </w:r>
      <w:r>
        <w:rPr>
          <w:color w:val="231F20"/>
          <w:sz w:val="20"/>
        </w:rPr>
        <w:t xml:space="preserve">Court emphasised that impact on demand and </w:t>
      </w:r>
      <w:r>
        <w:rPr>
          <w:color w:val="231F20"/>
          <w:spacing w:val="-3"/>
          <w:sz w:val="20"/>
        </w:rPr>
        <w:t xml:space="preserve">resourcing </w:t>
      </w:r>
      <w:r>
        <w:rPr>
          <w:color w:val="231F20"/>
          <w:sz w:val="20"/>
        </w:rPr>
        <w:t>should</w:t>
      </w:r>
      <w:r>
        <w:rPr>
          <w:color w:val="231F20"/>
          <w:spacing w:val="-11"/>
          <w:sz w:val="20"/>
        </w:rPr>
        <w:t xml:space="preserve"> </w:t>
      </w:r>
      <w:r>
        <w:rPr>
          <w:color w:val="231F20"/>
          <w:sz w:val="20"/>
        </w:rPr>
        <w:t>be</w:t>
      </w:r>
      <w:r>
        <w:rPr>
          <w:color w:val="231F20"/>
          <w:spacing w:val="-11"/>
          <w:sz w:val="20"/>
        </w:rPr>
        <w:t xml:space="preserve"> </w:t>
      </w:r>
      <w:r>
        <w:rPr>
          <w:color w:val="231F20"/>
          <w:spacing w:val="-3"/>
          <w:sz w:val="20"/>
        </w:rPr>
        <w:t>carefully</w:t>
      </w:r>
      <w:r>
        <w:rPr>
          <w:color w:val="231F20"/>
          <w:spacing w:val="-10"/>
          <w:sz w:val="20"/>
        </w:rPr>
        <w:t xml:space="preserve"> </w:t>
      </w:r>
      <w:r>
        <w:rPr>
          <w:color w:val="231F20"/>
          <w:sz w:val="20"/>
        </w:rPr>
        <w:t>considered</w:t>
      </w:r>
      <w:r>
        <w:rPr>
          <w:color w:val="231F20"/>
          <w:spacing w:val="-11"/>
          <w:sz w:val="20"/>
        </w:rPr>
        <w:t xml:space="preserve"> </w:t>
      </w:r>
      <w:r>
        <w:rPr>
          <w:color w:val="231F20"/>
          <w:spacing w:val="-3"/>
          <w:sz w:val="20"/>
        </w:rPr>
        <w:t>before</w:t>
      </w:r>
      <w:r>
        <w:rPr>
          <w:color w:val="231F20"/>
          <w:spacing w:val="-10"/>
          <w:sz w:val="20"/>
        </w:rPr>
        <w:t xml:space="preserve"> </w:t>
      </w:r>
      <w:r>
        <w:rPr>
          <w:color w:val="231F20"/>
          <w:sz w:val="20"/>
        </w:rPr>
        <w:t>implementing</w:t>
      </w:r>
      <w:r>
        <w:rPr>
          <w:color w:val="231F20"/>
          <w:spacing w:val="-11"/>
          <w:sz w:val="20"/>
        </w:rPr>
        <w:t xml:space="preserve"> </w:t>
      </w:r>
      <w:r>
        <w:rPr>
          <w:color w:val="231F20"/>
          <w:spacing w:val="-3"/>
          <w:sz w:val="20"/>
        </w:rPr>
        <w:t>any</w:t>
      </w:r>
      <w:r>
        <w:rPr>
          <w:color w:val="231F20"/>
          <w:spacing w:val="-10"/>
          <w:sz w:val="20"/>
        </w:rPr>
        <w:t xml:space="preserve"> </w:t>
      </w:r>
      <w:r>
        <w:rPr>
          <w:color w:val="231F20"/>
          <w:sz w:val="20"/>
        </w:rPr>
        <w:t>new</w:t>
      </w:r>
      <w:r>
        <w:rPr>
          <w:color w:val="231F20"/>
          <w:spacing w:val="-11"/>
          <w:sz w:val="20"/>
        </w:rPr>
        <w:t xml:space="preserve"> </w:t>
      </w:r>
      <w:r>
        <w:rPr>
          <w:color w:val="231F20"/>
          <w:sz w:val="20"/>
        </w:rPr>
        <w:t>measures.</w:t>
      </w:r>
      <w:r>
        <w:rPr>
          <w:color w:val="231F20"/>
          <w:spacing w:val="-10"/>
          <w:sz w:val="20"/>
        </w:rPr>
        <w:t xml:space="preserve"> </w:t>
      </w:r>
      <w:r>
        <w:rPr>
          <w:color w:val="231F20"/>
          <w:sz w:val="20"/>
        </w:rPr>
        <w:t>It</w:t>
      </w:r>
      <w:r>
        <w:rPr>
          <w:color w:val="231F20"/>
          <w:spacing w:val="-11"/>
          <w:sz w:val="20"/>
        </w:rPr>
        <w:t xml:space="preserve"> </w:t>
      </w:r>
      <w:r>
        <w:rPr>
          <w:color w:val="231F20"/>
          <w:sz w:val="20"/>
        </w:rPr>
        <w:t xml:space="preserve">cautioned against </w:t>
      </w:r>
      <w:r>
        <w:rPr>
          <w:color w:val="231F20"/>
          <w:spacing w:val="-3"/>
          <w:sz w:val="20"/>
        </w:rPr>
        <w:t xml:space="preserve">applying </w:t>
      </w:r>
      <w:r>
        <w:rPr>
          <w:color w:val="231F20"/>
          <w:sz w:val="20"/>
        </w:rPr>
        <w:t xml:space="preserve">them too </w:t>
      </w:r>
      <w:r>
        <w:rPr>
          <w:color w:val="231F20"/>
          <w:spacing w:val="-3"/>
          <w:sz w:val="20"/>
        </w:rPr>
        <w:t xml:space="preserve">broadly across </w:t>
      </w:r>
      <w:r>
        <w:rPr>
          <w:color w:val="231F20"/>
          <w:sz w:val="20"/>
        </w:rPr>
        <w:t xml:space="preserve">the </w:t>
      </w:r>
      <w:r>
        <w:rPr>
          <w:color w:val="231F20"/>
          <w:spacing w:val="-3"/>
          <w:sz w:val="20"/>
        </w:rPr>
        <w:t xml:space="preserve">entire </w:t>
      </w:r>
      <w:r>
        <w:rPr>
          <w:color w:val="231F20"/>
          <w:sz w:val="20"/>
        </w:rPr>
        <w:t>range of</w:t>
      </w:r>
      <w:r>
        <w:rPr>
          <w:color w:val="231F20"/>
          <w:spacing w:val="-28"/>
          <w:sz w:val="20"/>
        </w:rPr>
        <w:t xml:space="preserve"> </w:t>
      </w:r>
      <w:r>
        <w:rPr>
          <w:color w:val="231F20"/>
          <w:sz w:val="20"/>
        </w:rPr>
        <w:t>PSIOs.</w:t>
      </w:r>
      <w:r>
        <w:rPr>
          <w:color w:val="231F20"/>
          <w:position w:val="7"/>
          <w:sz w:val="11"/>
        </w:rPr>
        <w:t>126</w:t>
      </w:r>
    </w:p>
    <w:p w14:paraId="42A97C08" w14:textId="77777777" w:rsidR="00894070" w:rsidRDefault="00894070">
      <w:pPr>
        <w:pStyle w:val="BodyText"/>
        <w:spacing w:before="10"/>
        <w:rPr>
          <w:sz w:val="15"/>
        </w:rPr>
      </w:pPr>
    </w:p>
    <w:p w14:paraId="7B080DA7" w14:textId="77777777" w:rsidR="00894070" w:rsidRDefault="009B7AFD">
      <w:pPr>
        <w:pStyle w:val="Heading8"/>
        <w:spacing w:before="1"/>
        <w:ind w:left="1007"/>
      </w:pPr>
      <w:r>
        <w:rPr>
          <w:color w:val="231F20"/>
        </w:rPr>
        <w:t>Restrictions on publication should cover adults</w:t>
      </w:r>
    </w:p>
    <w:p w14:paraId="7F00BC32" w14:textId="77777777" w:rsidR="00894070" w:rsidRDefault="009F6793">
      <w:pPr>
        <w:pStyle w:val="BodyText"/>
        <w:spacing w:before="10"/>
        <w:rPr>
          <w:b/>
          <w:sz w:val="23"/>
        </w:rPr>
      </w:pPr>
      <w:r>
        <w:pict w14:anchorId="60451CE1">
          <v:shape id="_x0000_s1315" type="#_x0000_t202" style="position:absolute;margin-left:119.3pt;margin-top:18.7pt;width:396.35pt;height:56.1pt;z-index:251671552;mso-wrap-distance-left:0;mso-wrap-distance-right:0;mso-position-horizontal-relative:page" fillcolor="#fee7de" strokecolor="#ea5b50" strokeweight=".5pt">
            <v:textbox inset="0,0,0,0">
              <w:txbxContent>
                <w:p w14:paraId="780F93CE" w14:textId="77777777" w:rsidR="00894070" w:rsidRDefault="00894070">
                  <w:pPr>
                    <w:pStyle w:val="BodyText"/>
                    <w:spacing w:before="3"/>
                    <w:rPr>
                      <w:b/>
                      <w:sz w:val="15"/>
                    </w:rPr>
                  </w:pPr>
                </w:p>
                <w:p w14:paraId="08A639D4" w14:textId="77777777" w:rsidR="00894070" w:rsidRDefault="009B7AFD">
                  <w:pPr>
                    <w:pStyle w:val="BodyText"/>
                    <w:spacing w:line="206" w:lineRule="auto"/>
                    <w:ind w:left="221" w:right="316"/>
                    <w:jc w:val="both"/>
                    <w:rPr>
                      <w:sz w:val="11"/>
                    </w:rPr>
                  </w:pPr>
                  <w:r>
                    <w:rPr>
                      <w:color w:val="231F20"/>
                    </w:rPr>
                    <w:t>My</w:t>
                  </w:r>
                  <w:r>
                    <w:rPr>
                      <w:color w:val="231F20"/>
                      <w:spacing w:val="-4"/>
                    </w:rPr>
                    <w:t xml:space="preserve"> </w:t>
                  </w:r>
                  <w:r>
                    <w:rPr>
                      <w:color w:val="231F20"/>
                    </w:rPr>
                    <w:t>biggest</w:t>
                  </w:r>
                  <w:r>
                    <w:rPr>
                      <w:color w:val="231F20"/>
                      <w:spacing w:val="-4"/>
                    </w:rPr>
                    <w:t xml:space="preserve"> </w:t>
                  </w:r>
                  <w:r>
                    <w:rPr>
                      <w:color w:val="231F20"/>
                    </w:rPr>
                    <w:t>concern</w:t>
                  </w:r>
                  <w:r>
                    <w:rPr>
                      <w:color w:val="231F20"/>
                      <w:spacing w:val="-3"/>
                    </w:rPr>
                    <w:t xml:space="preserve"> </w:t>
                  </w:r>
                  <w:r>
                    <w:rPr>
                      <w:color w:val="231F20"/>
                    </w:rPr>
                    <w:t>was</w:t>
                  </w:r>
                  <w:r>
                    <w:rPr>
                      <w:color w:val="231F20"/>
                      <w:spacing w:val="-4"/>
                    </w:rPr>
                    <w:t xml:space="preserve"> </w:t>
                  </w:r>
                  <w:r>
                    <w:rPr>
                      <w:color w:val="231F20"/>
                      <w:spacing w:val="-3"/>
                    </w:rPr>
                    <w:t xml:space="preserve">my </w:t>
                  </w:r>
                  <w:r>
                    <w:rPr>
                      <w:color w:val="231F20"/>
                    </w:rPr>
                    <w:t>privacy</w:t>
                  </w:r>
                  <w:r>
                    <w:rPr>
                      <w:color w:val="231F20"/>
                      <w:spacing w:val="-4"/>
                    </w:rPr>
                    <w:t xml:space="preserve"> </w:t>
                  </w:r>
                  <w:r>
                    <w:rPr>
                      <w:color w:val="231F20"/>
                    </w:rPr>
                    <w:t>and</w:t>
                  </w:r>
                  <w:r>
                    <w:rPr>
                      <w:color w:val="231F20"/>
                      <w:spacing w:val="-4"/>
                    </w:rPr>
                    <w:t xml:space="preserve"> </w:t>
                  </w:r>
                  <w:r>
                    <w:rPr>
                      <w:color w:val="231F20"/>
                    </w:rPr>
                    <w:t>not</w:t>
                  </w:r>
                  <w:r>
                    <w:rPr>
                      <w:color w:val="231F20"/>
                      <w:spacing w:val="-3"/>
                    </w:rPr>
                    <w:t xml:space="preserve"> </w:t>
                  </w:r>
                  <w:r>
                    <w:rPr>
                      <w:color w:val="231F20"/>
                    </w:rPr>
                    <w:t>wanting</w:t>
                  </w:r>
                  <w:r>
                    <w:rPr>
                      <w:color w:val="231F20"/>
                      <w:spacing w:val="-4"/>
                    </w:rPr>
                    <w:t xml:space="preserve"> </w:t>
                  </w:r>
                  <w:r>
                    <w:rPr>
                      <w:color w:val="231F20"/>
                      <w:spacing w:val="-3"/>
                    </w:rPr>
                    <w:t xml:space="preserve">my </w:t>
                  </w:r>
                  <w:r>
                    <w:rPr>
                      <w:color w:val="231F20"/>
                    </w:rPr>
                    <w:t>story</w:t>
                  </w:r>
                  <w:r>
                    <w:rPr>
                      <w:color w:val="231F20"/>
                      <w:spacing w:val="-4"/>
                    </w:rPr>
                    <w:t xml:space="preserve"> </w:t>
                  </w:r>
                  <w:r>
                    <w:rPr>
                      <w:color w:val="231F20"/>
                    </w:rPr>
                    <w:t>to</w:t>
                  </w:r>
                  <w:r>
                    <w:rPr>
                      <w:color w:val="231F20"/>
                      <w:spacing w:val="-4"/>
                    </w:rPr>
                    <w:t xml:space="preserve"> </w:t>
                  </w:r>
                  <w:r>
                    <w:rPr>
                      <w:color w:val="231F20"/>
                    </w:rPr>
                    <w:t>get</w:t>
                  </w:r>
                  <w:r>
                    <w:rPr>
                      <w:color w:val="231F20"/>
                      <w:spacing w:val="-3"/>
                    </w:rPr>
                    <w:t xml:space="preserve"> </w:t>
                  </w:r>
                  <w:r>
                    <w:rPr>
                      <w:color w:val="231F20"/>
                    </w:rPr>
                    <w:t>out</w:t>
                  </w:r>
                  <w:r>
                    <w:rPr>
                      <w:color w:val="231F20"/>
                      <w:spacing w:val="-4"/>
                    </w:rPr>
                    <w:t xml:space="preserve"> </w:t>
                  </w:r>
                  <w:r>
                    <w:rPr>
                      <w:color w:val="231F20"/>
                    </w:rPr>
                    <w:t>in</w:t>
                  </w:r>
                  <w:r>
                    <w:rPr>
                      <w:color w:val="231F20"/>
                      <w:spacing w:val="-3"/>
                    </w:rPr>
                    <w:t xml:space="preserve"> </w:t>
                  </w:r>
                  <w:r>
                    <w:rPr>
                      <w:color w:val="231F20"/>
                    </w:rPr>
                    <w:t xml:space="preserve">court </w:t>
                  </w:r>
                  <w:r>
                    <w:rPr>
                      <w:color w:val="231F20"/>
                      <w:spacing w:val="-3"/>
                    </w:rPr>
                    <w:t>by</w:t>
                  </w:r>
                  <w:r>
                    <w:rPr>
                      <w:color w:val="231F20"/>
                      <w:spacing w:val="-5"/>
                    </w:rPr>
                    <w:t xml:space="preserve"> </w:t>
                  </w:r>
                  <w:r>
                    <w:rPr>
                      <w:color w:val="231F20"/>
                    </w:rPr>
                    <w:t>reporters.</w:t>
                  </w:r>
                  <w:r>
                    <w:rPr>
                      <w:color w:val="231F20"/>
                      <w:spacing w:val="-4"/>
                    </w:rPr>
                    <w:t xml:space="preserve"> </w:t>
                  </w:r>
                  <w:r>
                    <w:rPr>
                      <w:color w:val="231F20"/>
                    </w:rPr>
                    <w:t>I</w:t>
                  </w:r>
                  <w:r>
                    <w:rPr>
                      <w:color w:val="231F20"/>
                      <w:spacing w:val="-5"/>
                    </w:rPr>
                    <w:t xml:space="preserve"> </w:t>
                  </w:r>
                  <w:r>
                    <w:rPr>
                      <w:color w:val="231F20"/>
                    </w:rPr>
                    <w:t>kept</w:t>
                  </w:r>
                  <w:r>
                    <w:rPr>
                      <w:color w:val="231F20"/>
                      <w:spacing w:val="-4"/>
                    </w:rPr>
                    <w:t xml:space="preserve"> </w:t>
                  </w:r>
                  <w:r>
                    <w:rPr>
                      <w:color w:val="231F20"/>
                    </w:rPr>
                    <w:t>it</w:t>
                  </w:r>
                  <w:r>
                    <w:rPr>
                      <w:color w:val="231F20"/>
                      <w:spacing w:val="-4"/>
                    </w:rPr>
                    <w:t xml:space="preserve"> </w:t>
                  </w:r>
                  <w:r>
                    <w:rPr>
                      <w:color w:val="231F20"/>
                    </w:rPr>
                    <w:t>to</w:t>
                  </w:r>
                  <w:r>
                    <w:rPr>
                      <w:color w:val="231F20"/>
                      <w:spacing w:val="-5"/>
                    </w:rPr>
                    <w:t xml:space="preserve"> </w:t>
                  </w:r>
                  <w:r>
                    <w:rPr>
                      <w:color w:val="231F20"/>
                    </w:rPr>
                    <w:t>myself</w:t>
                  </w:r>
                  <w:r>
                    <w:rPr>
                      <w:color w:val="231F20"/>
                      <w:spacing w:val="-4"/>
                    </w:rPr>
                    <w:t xml:space="preserve"> </w:t>
                  </w:r>
                  <w:r>
                    <w:rPr>
                      <w:color w:val="231F20"/>
                    </w:rPr>
                    <w:t>for</w:t>
                  </w:r>
                  <w:r>
                    <w:rPr>
                      <w:color w:val="231F20"/>
                      <w:spacing w:val="-4"/>
                    </w:rPr>
                    <w:t xml:space="preserve"> </w:t>
                  </w:r>
                  <w:r>
                    <w:rPr>
                      <w:color w:val="231F20"/>
                    </w:rPr>
                    <w:t>a</w:t>
                  </w:r>
                  <w:r>
                    <w:rPr>
                      <w:color w:val="231F20"/>
                      <w:spacing w:val="-5"/>
                    </w:rPr>
                    <w:t xml:space="preserve"> </w:t>
                  </w:r>
                  <w:r>
                    <w:rPr>
                      <w:color w:val="231F20"/>
                    </w:rPr>
                    <w:t>long</w:t>
                  </w:r>
                  <w:r>
                    <w:rPr>
                      <w:color w:val="231F20"/>
                      <w:spacing w:val="-4"/>
                    </w:rPr>
                    <w:t xml:space="preserve"> </w:t>
                  </w:r>
                  <w:r>
                    <w:rPr>
                      <w:color w:val="231F20"/>
                    </w:rPr>
                    <w:t>time</w:t>
                  </w:r>
                  <w:r>
                    <w:rPr>
                      <w:color w:val="231F20"/>
                      <w:spacing w:val="-4"/>
                    </w:rPr>
                    <w:t xml:space="preserve"> </w:t>
                  </w:r>
                  <w:r>
                    <w:rPr>
                      <w:color w:val="231F20"/>
                    </w:rPr>
                    <w:t>because</w:t>
                  </w:r>
                  <w:r>
                    <w:rPr>
                      <w:color w:val="231F20"/>
                      <w:spacing w:val="-5"/>
                    </w:rPr>
                    <w:t xml:space="preserve"> </w:t>
                  </w:r>
                  <w:r>
                    <w:rPr>
                      <w:color w:val="231F20"/>
                    </w:rPr>
                    <w:t>I</w:t>
                  </w:r>
                  <w:r>
                    <w:rPr>
                      <w:color w:val="231F20"/>
                      <w:spacing w:val="-4"/>
                    </w:rPr>
                    <w:t xml:space="preserve"> </w:t>
                  </w:r>
                  <w:r>
                    <w:rPr>
                      <w:color w:val="231F20"/>
                    </w:rPr>
                    <w:t>didn’t</w:t>
                  </w:r>
                  <w:r>
                    <w:rPr>
                      <w:color w:val="231F20"/>
                      <w:spacing w:val="-5"/>
                    </w:rPr>
                    <w:t xml:space="preserve"> </w:t>
                  </w:r>
                  <w:r>
                    <w:rPr>
                      <w:color w:val="231F20"/>
                    </w:rPr>
                    <w:t>want</w:t>
                  </w:r>
                  <w:r>
                    <w:rPr>
                      <w:color w:val="231F20"/>
                      <w:spacing w:val="-4"/>
                    </w:rPr>
                    <w:t xml:space="preserve"> </w:t>
                  </w:r>
                  <w:r>
                    <w:rPr>
                      <w:color w:val="231F20"/>
                      <w:spacing w:val="-3"/>
                    </w:rPr>
                    <w:t>my</w:t>
                  </w:r>
                  <w:r>
                    <w:rPr>
                      <w:color w:val="231F20"/>
                      <w:spacing w:val="-4"/>
                    </w:rPr>
                    <w:t xml:space="preserve"> </w:t>
                  </w:r>
                  <w:r>
                    <w:rPr>
                      <w:color w:val="231F20"/>
                    </w:rPr>
                    <w:t xml:space="preserve">husband knowing about </w:t>
                  </w:r>
                  <w:r>
                    <w:rPr>
                      <w:color w:val="231F20"/>
                      <w:spacing w:val="-3"/>
                    </w:rPr>
                    <w:t xml:space="preserve">my </w:t>
                  </w:r>
                  <w:r>
                    <w:rPr>
                      <w:color w:val="231F20"/>
                    </w:rPr>
                    <w:t xml:space="preserve">stalker or getting </w:t>
                  </w:r>
                  <w:r>
                    <w:rPr>
                      <w:color w:val="231F20"/>
                      <w:spacing w:val="-3"/>
                    </w:rPr>
                    <w:t xml:space="preserve">involved </w:t>
                  </w:r>
                  <w:r>
                    <w:rPr>
                      <w:color w:val="231F20"/>
                    </w:rPr>
                    <w:t xml:space="preserve">at court </w:t>
                  </w:r>
                  <w:r>
                    <w:rPr>
                      <w:color w:val="231F20"/>
                      <w:spacing w:val="-3"/>
                    </w:rPr>
                    <w:t xml:space="preserve">by </w:t>
                  </w:r>
                  <w:r>
                    <w:rPr>
                      <w:color w:val="231F20"/>
                    </w:rPr>
                    <w:t>his</w:t>
                  </w:r>
                  <w:r>
                    <w:rPr>
                      <w:color w:val="231F20"/>
                      <w:spacing w:val="-19"/>
                    </w:rPr>
                    <w:t xml:space="preserve"> </w:t>
                  </w:r>
                  <w:r>
                    <w:rPr>
                      <w:color w:val="231F20"/>
                    </w:rPr>
                    <w:t>lawyer.</w:t>
                  </w:r>
                  <w:r>
                    <w:rPr>
                      <w:color w:val="231F20"/>
                      <w:position w:val="7"/>
                      <w:sz w:val="11"/>
                    </w:rPr>
                    <w:t>127</w:t>
                  </w:r>
                </w:p>
              </w:txbxContent>
            </v:textbox>
            <w10:wrap type="topAndBottom" anchorx="page"/>
          </v:shape>
        </w:pict>
      </w:r>
    </w:p>
    <w:p w14:paraId="5A40C62B" w14:textId="77777777" w:rsidR="00894070" w:rsidRDefault="00894070">
      <w:pPr>
        <w:pStyle w:val="BodyText"/>
        <w:spacing w:before="6"/>
        <w:rPr>
          <w:b/>
          <w:sz w:val="19"/>
        </w:rPr>
      </w:pPr>
    </w:p>
    <w:p w14:paraId="01FF5124" w14:textId="77777777" w:rsidR="00894070" w:rsidRDefault="009B7AFD">
      <w:pPr>
        <w:pStyle w:val="ListParagraph"/>
        <w:numPr>
          <w:ilvl w:val="1"/>
          <w:numId w:val="102"/>
        </w:numPr>
        <w:tabs>
          <w:tab w:val="left" w:pos="1801"/>
          <w:tab w:val="left" w:pos="1802"/>
        </w:tabs>
        <w:spacing w:before="89" w:line="206" w:lineRule="auto"/>
        <w:ind w:right="1228"/>
        <w:rPr>
          <w:sz w:val="11"/>
        </w:rPr>
      </w:pPr>
      <w:r>
        <w:rPr>
          <w:color w:val="231F20"/>
          <w:sz w:val="20"/>
        </w:rPr>
        <w:t xml:space="preserve">One of the hallmarks of stalking is an </w:t>
      </w:r>
      <w:r>
        <w:rPr>
          <w:color w:val="231F20"/>
          <w:spacing w:val="-2"/>
          <w:sz w:val="20"/>
        </w:rPr>
        <w:t xml:space="preserve">invasion </w:t>
      </w:r>
      <w:r>
        <w:rPr>
          <w:color w:val="231F20"/>
          <w:sz w:val="20"/>
        </w:rPr>
        <w:t xml:space="preserve">of </w:t>
      </w:r>
      <w:r>
        <w:rPr>
          <w:color w:val="231F20"/>
          <w:spacing w:val="-3"/>
          <w:sz w:val="20"/>
        </w:rPr>
        <w:t xml:space="preserve">privacy. </w:t>
      </w:r>
      <w:r>
        <w:rPr>
          <w:color w:val="231F20"/>
          <w:sz w:val="20"/>
        </w:rPr>
        <w:t xml:space="preserve">Participating in public court processes can raise privacy concerns. The PSIO </w:t>
      </w:r>
      <w:r>
        <w:rPr>
          <w:color w:val="231F20"/>
          <w:spacing w:val="-2"/>
          <w:sz w:val="20"/>
        </w:rPr>
        <w:t xml:space="preserve">Act </w:t>
      </w:r>
      <w:r>
        <w:rPr>
          <w:color w:val="231F20"/>
          <w:sz w:val="20"/>
        </w:rPr>
        <w:t>makes it an offence to publish reports</w:t>
      </w:r>
      <w:r>
        <w:rPr>
          <w:color w:val="231F20"/>
          <w:spacing w:val="-11"/>
          <w:sz w:val="20"/>
        </w:rPr>
        <w:t xml:space="preserve"> </w:t>
      </w:r>
      <w:r>
        <w:rPr>
          <w:color w:val="231F20"/>
          <w:sz w:val="20"/>
        </w:rPr>
        <w:t>of</w:t>
      </w:r>
      <w:r>
        <w:rPr>
          <w:color w:val="231F20"/>
          <w:spacing w:val="-11"/>
          <w:sz w:val="20"/>
        </w:rPr>
        <w:t xml:space="preserve"> </w:t>
      </w:r>
      <w:r>
        <w:rPr>
          <w:color w:val="231F20"/>
          <w:sz w:val="20"/>
        </w:rPr>
        <w:t>proceedings</w:t>
      </w:r>
      <w:r>
        <w:rPr>
          <w:color w:val="231F20"/>
          <w:spacing w:val="-11"/>
          <w:sz w:val="20"/>
        </w:rPr>
        <w:t xml:space="preserve"> </w:t>
      </w:r>
      <w:r>
        <w:rPr>
          <w:color w:val="231F20"/>
          <w:sz w:val="20"/>
        </w:rPr>
        <w:t>or</w:t>
      </w:r>
      <w:r>
        <w:rPr>
          <w:color w:val="231F20"/>
          <w:spacing w:val="-10"/>
          <w:sz w:val="20"/>
        </w:rPr>
        <w:t xml:space="preserve"> </w:t>
      </w:r>
      <w:r>
        <w:rPr>
          <w:color w:val="231F20"/>
          <w:sz w:val="20"/>
        </w:rPr>
        <w:t>details</w:t>
      </w:r>
      <w:r>
        <w:rPr>
          <w:color w:val="231F20"/>
          <w:spacing w:val="-11"/>
          <w:sz w:val="20"/>
        </w:rPr>
        <w:t xml:space="preserve"> </w:t>
      </w:r>
      <w:r>
        <w:rPr>
          <w:color w:val="231F20"/>
          <w:sz w:val="20"/>
        </w:rPr>
        <w:t>of</w:t>
      </w:r>
      <w:r>
        <w:rPr>
          <w:color w:val="231F20"/>
          <w:spacing w:val="-11"/>
          <w:sz w:val="20"/>
        </w:rPr>
        <w:t xml:space="preserve"> </w:t>
      </w:r>
      <w:r>
        <w:rPr>
          <w:color w:val="231F20"/>
          <w:sz w:val="20"/>
        </w:rPr>
        <w:t>orders</w:t>
      </w:r>
      <w:r>
        <w:rPr>
          <w:color w:val="231F20"/>
          <w:spacing w:val="-11"/>
          <w:sz w:val="20"/>
        </w:rPr>
        <w:t xml:space="preserve"> </w:t>
      </w:r>
      <w:r>
        <w:rPr>
          <w:color w:val="231F20"/>
          <w:sz w:val="20"/>
        </w:rPr>
        <w:t>that</w:t>
      </w:r>
      <w:r>
        <w:rPr>
          <w:color w:val="231F20"/>
          <w:spacing w:val="-10"/>
          <w:sz w:val="20"/>
        </w:rPr>
        <w:t xml:space="preserve"> </w:t>
      </w:r>
      <w:r>
        <w:rPr>
          <w:color w:val="231F20"/>
          <w:spacing w:val="-3"/>
          <w:sz w:val="20"/>
        </w:rPr>
        <w:t>may</w:t>
      </w:r>
      <w:r>
        <w:rPr>
          <w:color w:val="231F20"/>
          <w:spacing w:val="-11"/>
          <w:sz w:val="20"/>
        </w:rPr>
        <w:t xml:space="preserve"> </w:t>
      </w:r>
      <w:r>
        <w:rPr>
          <w:color w:val="231F20"/>
          <w:sz w:val="20"/>
        </w:rPr>
        <w:t>lead</w:t>
      </w:r>
      <w:r>
        <w:rPr>
          <w:color w:val="231F20"/>
          <w:spacing w:val="-11"/>
          <w:sz w:val="20"/>
        </w:rPr>
        <w:t xml:space="preserve"> </w:t>
      </w:r>
      <w:r>
        <w:rPr>
          <w:color w:val="231F20"/>
          <w:sz w:val="20"/>
        </w:rPr>
        <w:t>to</w:t>
      </w:r>
      <w:r>
        <w:rPr>
          <w:color w:val="231F20"/>
          <w:spacing w:val="-10"/>
          <w:sz w:val="20"/>
        </w:rPr>
        <w:t xml:space="preserve"> </w:t>
      </w:r>
      <w:r>
        <w:rPr>
          <w:color w:val="231F20"/>
          <w:sz w:val="20"/>
        </w:rPr>
        <w:t>the</w:t>
      </w:r>
      <w:r>
        <w:rPr>
          <w:color w:val="231F20"/>
          <w:spacing w:val="-11"/>
          <w:sz w:val="20"/>
        </w:rPr>
        <w:t xml:space="preserve"> </w:t>
      </w:r>
      <w:r>
        <w:rPr>
          <w:color w:val="231F20"/>
          <w:sz w:val="20"/>
        </w:rPr>
        <w:t>identification</w:t>
      </w:r>
      <w:r>
        <w:rPr>
          <w:color w:val="231F20"/>
          <w:spacing w:val="-11"/>
          <w:sz w:val="20"/>
        </w:rPr>
        <w:t xml:space="preserve"> </w:t>
      </w:r>
      <w:r>
        <w:rPr>
          <w:color w:val="231F20"/>
          <w:sz w:val="20"/>
        </w:rPr>
        <w:t>of</w:t>
      </w:r>
      <w:r>
        <w:rPr>
          <w:color w:val="231F20"/>
          <w:spacing w:val="-11"/>
          <w:sz w:val="20"/>
        </w:rPr>
        <w:t xml:space="preserve"> </w:t>
      </w:r>
      <w:r>
        <w:rPr>
          <w:color w:val="231F20"/>
          <w:sz w:val="20"/>
        </w:rPr>
        <w:t xml:space="preserve">parties, but </w:t>
      </w:r>
      <w:r>
        <w:rPr>
          <w:color w:val="231F20"/>
          <w:spacing w:val="-3"/>
          <w:sz w:val="20"/>
        </w:rPr>
        <w:t xml:space="preserve">only </w:t>
      </w:r>
      <w:r>
        <w:rPr>
          <w:color w:val="231F20"/>
          <w:sz w:val="20"/>
        </w:rPr>
        <w:t>in matters where a party or witness is a child.</w:t>
      </w:r>
      <w:r>
        <w:rPr>
          <w:color w:val="231F20"/>
          <w:position w:val="7"/>
          <w:sz w:val="11"/>
        </w:rPr>
        <w:t xml:space="preserve">128 </w:t>
      </w:r>
      <w:r>
        <w:rPr>
          <w:color w:val="231F20"/>
          <w:sz w:val="20"/>
        </w:rPr>
        <w:t xml:space="preserve">The equivalent limitations in the </w:t>
      </w:r>
      <w:r>
        <w:rPr>
          <w:color w:val="231F20"/>
          <w:spacing w:val="-3"/>
          <w:sz w:val="20"/>
        </w:rPr>
        <w:t xml:space="preserve">FVPA apply </w:t>
      </w:r>
      <w:r>
        <w:rPr>
          <w:color w:val="231F20"/>
          <w:sz w:val="20"/>
        </w:rPr>
        <w:t xml:space="preserve">to parties more </w:t>
      </w:r>
      <w:r>
        <w:rPr>
          <w:color w:val="231F20"/>
          <w:spacing w:val="-3"/>
          <w:sz w:val="20"/>
        </w:rPr>
        <w:t xml:space="preserve">generally, </w:t>
      </w:r>
      <w:r>
        <w:rPr>
          <w:color w:val="231F20"/>
          <w:sz w:val="20"/>
        </w:rPr>
        <w:t>not just</w:t>
      </w:r>
      <w:r>
        <w:rPr>
          <w:color w:val="231F20"/>
          <w:spacing w:val="-31"/>
          <w:sz w:val="20"/>
        </w:rPr>
        <w:t xml:space="preserve"> </w:t>
      </w:r>
      <w:r>
        <w:rPr>
          <w:color w:val="231F20"/>
          <w:sz w:val="20"/>
        </w:rPr>
        <w:t>children.</w:t>
      </w:r>
      <w:r>
        <w:rPr>
          <w:color w:val="231F20"/>
          <w:position w:val="7"/>
          <w:sz w:val="11"/>
        </w:rPr>
        <w:t>129</w:t>
      </w:r>
    </w:p>
    <w:p w14:paraId="3AD88CAC" w14:textId="77777777" w:rsidR="00894070" w:rsidRDefault="009B7AFD">
      <w:pPr>
        <w:pStyle w:val="ListParagraph"/>
        <w:numPr>
          <w:ilvl w:val="1"/>
          <w:numId w:val="102"/>
        </w:numPr>
        <w:tabs>
          <w:tab w:val="left" w:pos="1801"/>
          <w:tab w:val="left" w:pos="1802"/>
        </w:tabs>
        <w:spacing w:before="127" w:line="206" w:lineRule="auto"/>
        <w:ind w:right="1263"/>
        <w:rPr>
          <w:sz w:val="11"/>
        </w:rPr>
      </w:pPr>
      <w:r>
        <w:rPr>
          <w:color w:val="231F20"/>
          <w:sz w:val="20"/>
        </w:rPr>
        <w:t xml:space="preserve">There </w:t>
      </w:r>
      <w:r>
        <w:rPr>
          <w:color w:val="231F20"/>
          <w:spacing w:val="-3"/>
          <w:sz w:val="20"/>
        </w:rPr>
        <w:t xml:space="preserve">are </w:t>
      </w:r>
      <w:r>
        <w:rPr>
          <w:color w:val="231F20"/>
          <w:sz w:val="20"/>
        </w:rPr>
        <w:t xml:space="preserve">broad restrictions, under both the </w:t>
      </w:r>
      <w:r>
        <w:rPr>
          <w:color w:val="231F20"/>
          <w:spacing w:val="-3"/>
          <w:sz w:val="20"/>
        </w:rPr>
        <w:t xml:space="preserve">FVPA </w:t>
      </w:r>
      <w:r>
        <w:rPr>
          <w:color w:val="231F20"/>
          <w:sz w:val="20"/>
        </w:rPr>
        <w:t xml:space="preserve">and the PSIO Acts, on the types of information that can be published about what happens in court. </w:t>
      </w:r>
      <w:r>
        <w:rPr>
          <w:color w:val="231F20"/>
          <w:spacing w:val="-3"/>
          <w:sz w:val="20"/>
        </w:rPr>
        <w:t xml:space="preserve">Children </w:t>
      </w:r>
      <w:r>
        <w:rPr>
          <w:color w:val="231F20"/>
          <w:sz w:val="20"/>
        </w:rPr>
        <w:t xml:space="preserve">cannot be </w:t>
      </w:r>
      <w:proofErr w:type="gramStart"/>
      <w:r>
        <w:rPr>
          <w:color w:val="231F20"/>
          <w:sz w:val="20"/>
        </w:rPr>
        <w:t>identified</w:t>
      </w:r>
      <w:proofErr w:type="gramEnd"/>
      <w:r>
        <w:rPr>
          <w:color w:val="231F20"/>
          <w:spacing w:val="-9"/>
          <w:sz w:val="20"/>
        </w:rPr>
        <w:t xml:space="preserve"> </w:t>
      </w:r>
      <w:r>
        <w:rPr>
          <w:color w:val="231F20"/>
          <w:sz w:val="20"/>
        </w:rPr>
        <w:t>and</w:t>
      </w:r>
      <w:r>
        <w:rPr>
          <w:color w:val="231F20"/>
          <w:spacing w:val="-9"/>
          <w:sz w:val="20"/>
        </w:rPr>
        <w:t xml:space="preserve"> </w:t>
      </w:r>
      <w:r>
        <w:rPr>
          <w:color w:val="231F20"/>
          <w:sz w:val="20"/>
        </w:rPr>
        <w:t>their</w:t>
      </w:r>
      <w:r>
        <w:rPr>
          <w:color w:val="231F20"/>
          <w:spacing w:val="-9"/>
          <w:sz w:val="20"/>
        </w:rPr>
        <w:t xml:space="preserve"> </w:t>
      </w:r>
      <w:r>
        <w:rPr>
          <w:color w:val="231F20"/>
          <w:spacing w:val="-3"/>
          <w:sz w:val="20"/>
        </w:rPr>
        <w:t>pictures</w:t>
      </w:r>
      <w:r>
        <w:rPr>
          <w:color w:val="231F20"/>
          <w:spacing w:val="-9"/>
          <w:sz w:val="20"/>
        </w:rPr>
        <w:t xml:space="preserve"> </w:t>
      </w:r>
      <w:r>
        <w:rPr>
          <w:color w:val="231F20"/>
          <w:sz w:val="20"/>
        </w:rPr>
        <w:t>cannot</w:t>
      </w:r>
      <w:r>
        <w:rPr>
          <w:color w:val="231F20"/>
          <w:spacing w:val="-9"/>
          <w:sz w:val="20"/>
        </w:rPr>
        <w:t xml:space="preserve"> </w:t>
      </w:r>
      <w:r>
        <w:rPr>
          <w:color w:val="231F20"/>
          <w:sz w:val="20"/>
        </w:rPr>
        <w:t>be</w:t>
      </w:r>
      <w:r>
        <w:rPr>
          <w:color w:val="231F20"/>
          <w:spacing w:val="-8"/>
          <w:sz w:val="20"/>
        </w:rPr>
        <w:t xml:space="preserve"> </w:t>
      </w:r>
      <w:r>
        <w:rPr>
          <w:color w:val="231F20"/>
          <w:sz w:val="20"/>
        </w:rPr>
        <w:t>used.</w:t>
      </w:r>
      <w:r>
        <w:rPr>
          <w:color w:val="231F20"/>
          <w:position w:val="7"/>
          <w:sz w:val="11"/>
        </w:rPr>
        <w:t>130</w:t>
      </w:r>
      <w:r>
        <w:rPr>
          <w:color w:val="231F20"/>
          <w:spacing w:val="15"/>
          <w:position w:val="7"/>
          <w:sz w:val="11"/>
        </w:rPr>
        <w:t xml:space="preserve"> </w:t>
      </w:r>
      <w:r>
        <w:rPr>
          <w:color w:val="231F20"/>
          <w:sz w:val="20"/>
        </w:rPr>
        <w:t>This</w:t>
      </w:r>
      <w:r>
        <w:rPr>
          <w:color w:val="231F20"/>
          <w:spacing w:val="-9"/>
          <w:sz w:val="20"/>
        </w:rPr>
        <w:t xml:space="preserve"> </w:t>
      </w:r>
      <w:r>
        <w:rPr>
          <w:color w:val="231F20"/>
          <w:sz w:val="20"/>
        </w:rPr>
        <w:t>goes</w:t>
      </w:r>
      <w:r>
        <w:rPr>
          <w:color w:val="231F20"/>
          <w:spacing w:val="-9"/>
          <w:sz w:val="20"/>
        </w:rPr>
        <w:t xml:space="preserve"> </w:t>
      </w:r>
      <w:r>
        <w:rPr>
          <w:color w:val="231F20"/>
          <w:sz w:val="20"/>
        </w:rPr>
        <w:t>further</w:t>
      </w:r>
      <w:r>
        <w:rPr>
          <w:color w:val="231F20"/>
          <w:spacing w:val="-9"/>
          <w:sz w:val="20"/>
        </w:rPr>
        <w:t xml:space="preserve"> </w:t>
      </w:r>
      <w:r>
        <w:rPr>
          <w:color w:val="231F20"/>
          <w:sz w:val="20"/>
        </w:rPr>
        <w:t>than</w:t>
      </w:r>
      <w:r>
        <w:rPr>
          <w:color w:val="231F20"/>
          <w:spacing w:val="-8"/>
          <w:sz w:val="20"/>
        </w:rPr>
        <w:t xml:space="preserve"> </w:t>
      </w:r>
      <w:r>
        <w:rPr>
          <w:color w:val="231F20"/>
          <w:sz w:val="20"/>
        </w:rPr>
        <w:t>simply</w:t>
      </w:r>
      <w:r>
        <w:rPr>
          <w:color w:val="231F20"/>
          <w:spacing w:val="-9"/>
          <w:sz w:val="20"/>
        </w:rPr>
        <w:t xml:space="preserve"> </w:t>
      </w:r>
      <w:r>
        <w:rPr>
          <w:color w:val="231F20"/>
          <w:sz w:val="20"/>
        </w:rPr>
        <w:t>restricting the use of the parties’ names and details. It extends to other kinds of ‘</w:t>
      </w:r>
      <w:proofErr w:type="gramStart"/>
      <w:r>
        <w:rPr>
          <w:color w:val="231F20"/>
          <w:sz w:val="20"/>
        </w:rPr>
        <w:t>identifying particulars’</w:t>
      </w:r>
      <w:proofErr w:type="gramEnd"/>
      <w:r>
        <w:rPr>
          <w:color w:val="231F20"/>
          <w:sz w:val="20"/>
        </w:rPr>
        <w:t xml:space="preserve"> </w:t>
      </w:r>
      <w:r>
        <w:rPr>
          <w:color w:val="231F20"/>
          <w:spacing w:val="-4"/>
          <w:sz w:val="20"/>
        </w:rPr>
        <w:t xml:space="preserve">(for </w:t>
      </w:r>
      <w:r>
        <w:rPr>
          <w:color w:val="231F20"/>
          <w:spacing w:val="-3"/>
          <w:sz w:val="20"/>
        </w:rPr>
        <w:t xml:space="preserve">example, </w:t>
      </w:r>
      <w:r>
        <w:rPr>
          <w:color w:val="231F20"/>
          <w:sz w:val="20"/>
        </w:rPr>
        <w:t xml:space="preserve">about their education, employment, physical appearance, </w:t>
      </w:r>
      <w:r>
        <w:rPr>
          <w:color w:val="231F20"/>
          <w:spacing w:val="-3"/>
          <w:sz w:val="20"/>
        </w:rPr>
        <w:t xml:space="preserve">recreational interests </w:t>
      </w:r>
      <w:r>
        <w:rPr>
          <w:color w:val="231F20"/>
          <w:sz w:val="20"/>
        </w:rPr>
        <w:t>and</w:t>
      </w:r>
      <w:r>
        <w:rPr>
          <w:color w:val="231F20"/>
          <w:spacing w:val="-6"/>
          <w:sz w:val="20"/>
        </w:rPr>
        <w:t xml:space="preserve"> </w:t>
      </w:r>
      <w:r>
        <w:rPr>
          <w:color w:val="231F20"/>
          <w:sz w:val="20"/>
        </w:rPr>
        <w:t>beliefs).</w:t>
      </w:r>
      <w:r>
        <w:rPr>
          <w:color w:val="231F20"/>
          <w:position w:val="7"/>
          <w:sz w:val="11"/>
        </w:rPr>
        <w:t>131</w:t>
      </w:r>
    </w:p>
    <w:p w14:paraId="20997DFA" w14:textId="77777777" w:rsidR="00894070" w:rsidRDefault="00894070">
      <w:pPr>
        <w:pStyle w:val="BodyText"/>
      </w:pPr>
    </w:p>
    <w:p w14:paraId="3B82A1FC" w14:textId="77777777" w:rsidR="00894070" w:rsidRDefault="00894070">
      <w:pPr>
        <w:pStyle w:val="BodyText"/>
      </w:pPr>
    </w:p>
    <w:p w14:paraId="1D8D02F0" w14:textId="77777777" w:rsidR="00894070" w:rsidRDefault="00894070">
      <w:pPr>
        <w:pStyle w:val="BodyText"/>
      </w:pPr>
    </w:p>
    <w:p w14:paraId="45B6621E" w14:textId="77777777" w:rsidR="00894070" w:rsidRDefault="009F6793">
      <w:pPr>
        <w:pStyle w:val="BodyText"/>
        <w:rPr>
          <w:sz w:val="22"/>
        </w:rPr>
      </w:pPr>
      <w:r>
        <w:pict w14:anchorId="5671C6DE">
          <v:line id="_x0000_s1314" style="position:absolute;z-index:251672576;mso-wrap-distance-left:0;mso-wrap-distance-right:0;mso-position-horizontal-relative:page" from="79.35pt,17.75pt" to="515.9pt,17.75pt" strokecolor="#f8cabc" strokeweight="1pt">
            <w10:wrap type="topAndBottom" anchorx="page"/>
          </v:line>
        </w:pict>
      </w:r>
    </w:p>
    <w:p w14:paraId="00DEE3D5" w14:textId="77777777" w:rsidR="00894070" w:rsidRDefault="00894070">
      <w:pPr>
        <w:pStyle w:val="BodyText"/>
        <w:rPr>
          <w:sz w:val="5"/>
        </w:rPr>
      </w:pPr>
    </w:p>
    <w:p w14:paraId="01D70812" w14:textId="77777777" w:rsidR="00894070" w:rsidRDefault="00894070">
      <w:pPr>
        <w:rPr>
          <w:sz w:val="5"/>
        </w:rPr>
        <w:sectPr w:rsidR="00894070">
          <w:pgSz w:w="11910" w:h="16840"/>
          <w:pgMar w:top="840" w:right="420" w:bottom="280" w:left="580" w:header="0" w:footer="0" w:gutter="0"/>
          <w:cols w:space="720"/>
        </w:sectPr>
      </w:pPr>
    </w:p>
    <w:p w14:paraId="315D5C07" w14:textId="77777777" w:rsidR="00894070" w:rsidRDefault="009B7AFD">
      <w:pPr>
        <w:pStyle w:val="ListParagraph"/>
        <w:numPr>
          <w:ilvl w:val="0"/>
          <w:numId w:val="88"/>
        </w:numPr>
        <w:tabs>
          <w:tab w:val="left" w:pos="1801"/>
          <w:tab w:val="left" w:pos="1802"/>
        </w:tabs>
        <w:spacing w:before="21" w:line="170" w:lineRule="exact"/>
        <w:jc w:val="left"/>
        <w:rPr>
          <w:sz w:val="13"/>
        </w:rPr>
      </w:pPr>
      <w:r>
        <w:rPr>
          <w:i/>
          <w:color w:val="231F20"/>
          <w:sz w:val="13"/>
        </w:rPr>
        <w:t xml:space="preserve">Personal Safety Intervention Orders Act 2010 </w:t>
      </w:r>
      <w:r>
        <w:rPr>
          <w:color w:val="231F20"/>
          <w:sz w:val="13"/>
        </w:rPr>
        <w:t xml:space="preserve">(Vic) s 52; </w:t>
      </w:r>
      <w:r>
        <w:rPr>
          <w:i/>
          <w:color w:val="231F20"/>
          <w:sz w:val="13"/>
        </w:rPr>
        <w:t xml:space="preserve">Family Violence Protection Act 2008 </w:t>
      </w:r>
      <w:r>
        <w:rPr>
          <w:color w:val="231F20"/>
          <w:sz w:val="13"/>
        </w:rPr>
        <w:t>(Vic) s</w:t>
      </w:r>
      <w:r>
        <w:rPr>
          <w:color w:val="231F20"/>
          <w:spacing w:val="26"/>
          <w:sz w:val="13"/>
        </w:rPr>
        <w:t xml:space="preserve"> </w:t>
      </w:r>
      <w:r>
        <w:rPr>
          <w:color w:val="231F20"/>
          <w:spacing w:val="2"/>
          <w:sz w:val="13"/>
        </w:rPr>
        <w:t>69.</w:t>
      </w:r>
    </w:p>
    <w:p w14:paraId="65A05470" w14:textId="77777777" w:rsidR="00894070" w:rsidRDefault="009B7AFD">
      <w:pPr>
        <w:pStyle w:val="ListParagraph"/>
        <w:numPr>
          <w:ilvl w:val="0"/>
          <w:numId w:val="88"/>
        </w:numPr>
        <w:tabs>
          <w:tab w:val="left" w:pos="1801"/>
          <w:tab w:val="left" w:pos="1802"/>
        </w:tabs>
        <w:spacing w:before="7" w:line="213" w:lineRule="auto"/>
        <w:ind w:left="1800" w:hanging="793"/>
        <w:jc w:val="left"/>
        <w:rPr>
          <w:sz w:val="13"/>
        </w:rPr>
      </w:pPr>
      <w:r>
        <w:rPr>
          <w:i/>
          <w:color w:val="231F20"/>
          <w:sz w:val="13"/>
        </w:rPr>
        <w:t xml:space="preserve">Personal Safety Intervention Orders Act 2010 </w:t>
      </w:r>
      <w:r>
        <w:rPr>
          <w:color w:val="231F20"/>
          <w:sz w:val="13"/>
        </w:rPr>
        <w:t xml:space="preserve">(Vic) s 52(3). See </w:t>
      </w:r>
      <w:r>
        <w:rPr>
          <w:color w:val="231F20"/>
          <w:spacing w:val="2"/>
          <w:sz w:val="13"/>
        </w:rPr>
        <w:t xml:space="preserve">also </w:t>
      </w:r>
      <w:r>
        <w:rPr>
          <w:i/>
          <w:color w:val="231F20"/>
          <w:sz w:val="13"/>
        </w:rPr>
        <w:t xml:space="preserve">Family Violence Protection Act 2008 </w:t>
      </w:r>
      <w:r>
        <w:rPr>
          <w:color w:val="231F20"/>
          <w:sz w:val="13"/>
        </w:rPr>
        <w:t>(Vic) ss 1A–3 which sets out similar considerations for family violence orders</w:t>
      </w:r>
      <w:r>
        <w:rPr>
          <w:color w:val="231F20"/>
          <w:spacing w:val="4"/>
          <w:sz w:val="13"/>
        </w:rPr>
        <w:t xml:space="preserve"> </w:t>
      </w:r>
      <w:r>
        <w:rPr>
          <w:color w:val="231F20"/>
          <w:sz w:val="13"/>
        </w:rPr>
        <w:t>proceedings.</w:t>
      </w:r>
    </w:p>
    <w:p w14:paraId="52D440B7" w14:textId="77777777" w:rsidR="00894070" w:rsidRDefault="009B7AFD">
      <w:pPr>
        <w:pStyle w:val="ListParagraph"/>
        <w:numPr>
          <w:ilvl w:val="0"/>
          <w:numId w:val="88"/>
        </w:numPr>
        <w:tabs>
          <w:tab w:val="left" w:pos="1801"/>
          <w:tab w:val="left" w:pos="1802"/>
        </w:tabs>
        <w:spacing w:line="213" w:lineRule="auto"/>
        <w:ind w:left="1800" w:right="66" w:hanging="793"/>
        <w:jc w:val="left"/>
        <w:rPr>
          <w:sz w:val="13"/>
        </w:rPr>
      </w:pPr>
      <w:r>
        <w:rPr>
          <w:i/>
          <w:color w:val="231F20"/>
          <w:sz w:val="13"/>
        </w:rPr>
        <w:t xml:space="preserve">Family Violence Protection Act 2008 </w:t>
      </w:r>
      <w:r>
        <w:rPr>
          <w:color w:val="231F20"/>
          <w:sz w:val="13"/>
        </w:rPr>
        <w:t xml:space="preserve">(Vic) s 69.This </w:t>
      </w:r>
      <w:r>
        <w:rPr>
          <w:color w:val="231F20"/>
          <w:spacing w:val="2"/>
          <w:sz w:val="13"/>
        </w:rPr>
        <w:t xml:space="preserve">imbalance </w:t>
      </w:r>
      <w:r>
        <w:rPr>
          <w:color w:val="231F20"/>
          <w:sz w:val="13"/>
        </w:rPr>
        <w:t xml:space="preserve">is </w:t>
      </w:r>
      <w:r>
        <w:rPr>
          <w:color w:val="231F20"/>
          <w:spacing w:val="2"/>
          <w:sz w:val="13"/>
        </w:rPr>
        <w:t xml:space="preserve">starting </w:t>
      </w:r>
      <w:r>
        <w:rPr>
          <w:color w:val="231F20"/>
          <w:sz w:val="13"/>
        </w:rPr>
        <w:t xml:space="preserve">to change: see, eg, </w:t>
      </w:r>
      <w:r>
        <w:rPr>
          <w:color w:val="231F20"/>
          <w:spacing w:val="2"/>
          <w:sz w:val="13"/>
        </w:rPr>
        <w:t xml:space="preserve">Kieran </w:t>
      </w:r>
      <w:r>
        <w:rPr>
          <w:color w:val="231F20"/>
          <w:sz w:val="13"/>
        </w:rPr>
        <w:t xml:space="preserve">Rooney, ‘New Changes Introduced to Provide Protection to Victims of Stalking and Threats to Kill’, </w:t>
      </w:r>
      <w:r>
        <w:rPr>
          <w:i/>
          <w:color w:val="231F20"/>
          <w:sz w:val="13"/>
        </w:rPr>
        <w:t xml:space="preserve">Herald Sun </w:t>
      </w:r>
      <w:r>
        <w:rPr>
          <w:color w:val="231F20"/>
          <w:sz w:val="13"/>
        </w:rPr>
        <w:t>(online, 9 March 2022</w:t>
      </w:r>
      <w:hyperlink r:id="rId160">
        <w:r>
          <w:rPr>
            <w:color w:val="231F20"/>
            <w:sz w:val="13"/>
          </w:rPr>
          <w:t>) &lt;https://www.</w:t>
        </w:r>
      </w:hyperlink>
      <w:hyperlink r:id="rId161">
        <w:r>
          <w:rPr>
            <w:color w:val="231F20"/>
            <w:sz w:val="13"/>
          </w:rPr>
          <w:t xml:space="preserve"> heraldsun.com.au/news/victoria/new-changes-introduced-to-provide-protection-to-victims-of-stalking-and-threats-to-kill/</w:t>
        </w:r>
      </w:hyperlink>
      <w:hyperlink r:id="rId162">
        <w:r>
          <w:rPr>
            <w:color w:val="231F20"/>
            <w:sz w:val="13"/>
          </w:rPr>
          <w:t xml:space="preserve"> news-story/cd9d2339eb8b2c5d3d74ebc62ec9a8bc</w:t>
        </w:r>
      </w:hyperlink>
      <w:r>
        <w:rPr>
          <w:color w:val="231F20"/>
          <w:sz w:val="13"/>
        </w:rPr>
        <w:t xml:space="preserve">&gt;; Victims of Crime (Financial </w:t>
      </w:r>
      <w:r>
        <w:rPr>
          <w:color w:val="231F20"/>
          <w:spacing w:val="2"/>
          <w:sz w:val="13"/>
        </w:rPr>
        <w:t xml:space="preserve">Assistance </w:t>
      </w:r>
      <w:r>
        <w:rPr>
          <w:color w:val="231F20"/>
          <w:sz w:val="13"/>
        </w:rPr>
        <w:t>Scheme) Bill 2022</w:t>
      </w:r>
      <w:r>
        <w:rPr>
          <w:color w:val="231F20"/>
          <w:spacing w:val="5"/>
          <w:sz w:val="13"/>
        </w:rPr>
        <w:t xml:space="preserve"> </w:t>
      </w:r>
      <w:r>
        <w:rPr>
          <w:color w:val="231F20"/>
          <w:sz w:val="13"/>
        </w:rPr>
        <w:t>(Vic).</w:t>
      </w:r>
    </w:p>
    <w:p w14:paraId="33C37D8E" w14:textId="77777777" w:rsidR="00894070" w:rsidRDefault="009B7AFD">
      <w:pPr>
        <w:pStyle w:val="ListParagraph"/>
        <w:numPr>
          <w:ilvl w:val="0"/>
          <w:numId w:val="88"/>
        </w:numPr>
        <w:tabs>
          <w:tab w:val="left" w:pos="1801"/>
          <w:tab w:val="left" w:pos="1802"/>
        </w:tabs>
        <w:spacing w:line="151" w:lineRule="exact"/>
        <w:jc w:val="left"/>
        <w:rPr>
          <w:sz w:val="13"/>
        </w:rPr>
      </w:pPr>
      <w:r>
        <w:rPr>
          <w:color w:val="231F20"/>
          <w:sz w:val="13"/>
        </w:rPr>
        <w:t xml:space="preserve">Consultation 18 (County </w:t>
      </w:r>
      <w:r>
        <w:rPr>
          <w:color w:val="231F20"/>
          <w:spacing w:val="2"/>
          <w:sz w:val="13"/>
        </w:rPr>
        <w:t xml:space="preserve">Court </w:t>
      </w:r>
      <w:r>
        <w:rPr>
          <w:color w:val="231F20"/>
          <w:sz w:val="13"/>
        </w:rPr>
        <w:t>of</w:t>
      </w:r>
      <w:r>
        <w:rPr>
          <w:color w:val="231F20"/>
          <w:spacing w:val="-1"/>
          <w:sz w:val="13"/>
        </w:rPr>
        <w:t xml:space="preserve"> </w:t>
      </w:r>
      <w:r>
        <w:rPr>
          <w:color w:val="231F20"/>
          <w:sz w:val="13"/>
        </w:rPr>
        <w:t>Victoria).</w:t>
      </w:r>
    </w:p>
    <w:p w14:paraId="6DB47897" w14:textId="77777777" w:rsidR="00894070" w:rsidRDefault="009B7AFD">
      <w:pPr>
        <w:pStyle w:val="ListParagraph"/>
        <w:numPr>
          <w:ilvl w:val="0"/>
          <w:numId w:val="88"/>
        </w:numPr>
        <w:tabs>
          <w:tab w:val="left" w:pos="1801"/>
          <w:tab w:val="left" w:pos="1802"/>
        </w:tabs>
        <w:spacing w:line="160" w:lineRule="exact"/>
        <w:jc w:val="left"/>
        <w:rPr>
          <w:sz w:val="13"/>
        </w:rPr>
      </w:pPr>
      <w:r>
        <w:rPr>
          <w:color w:val="231F20"/>
          <w:sz w:val="13"/>
        </w:rPr>
        <w:t xml:space="preserve">Consultation 6 (Magistrates’ </w:t>
      </w:r>
      <w:r>
        <w:rPr>
          <w:color w:val="231F20"/>
          <w:spacing w:val="2"/>
          <w:sz w:val="13"/>
        </w:rPr>
        <w:t xml:space="preserve">Court </w:t>
      </w:r>
      <w:r>
        <w:rPr>
          <w:color w:val="231F20"/>
          <w:sz w:val="13"/>
        </w:rPr>
        <w:t>of Victoria (No</w:t>
      </w:r>
      <w:r>
        <w:rPr>
          <w:color w:val="231F20"/>
          <w:spacing w:val="1"/>
          <w:sz w:val="13"/>
        </w:rPr>
        <w:t xml:space="preserve"> </w:t>
      </w:r>
      <w:r>
        <w:rPr>
          <w:color w:val="231F20"/>
          <w:sz w:val="13"/>
        </w:rPr>
        <w:t>1)).</w:t>
      </w:r>
    </w:p>
    <w:p w14:paraId="3F83280D" w14:textId="77777777" w:rsidR="00894070" w:rsidRDefault="009B7AFD">
      <w:pPr>
        <w:pStyle w:val="ListParagraph"/>
        <w:numPr>
          <w:ilvl w:val="0"/>
          <w:numId w:val="88"/>
        </w:numPr>
        <w:tabs>
          <w:tab w:val="left" w:pos="1800"/>
          <w:tab w:val="left" w:pos="1802"/>
        </w:tabs>
        <w:spacing w:before="5" w:line="213" w:lineRule="auto"/>
        <w:ind w:right="289"/>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25A4437B" w14:textId="77777777" w:rsidR="00894070" w:rsidRDefault="009B7AFD">
      <w:pPr>
        <w:pStyle w:val="ListParagraph"/>
        <w:numPr>
          <w:ilvl w:val="0"/>
          <w:numId w:val="88"/>
        </w:numPr>
        <w:tabs>
          <w:tab w:val="left" w:pos="1801"/>
          <w:tab w:val="left" w:pos="1802"/>
        </w:tabs>
        <w:spacing w:line="153" w:lineRule="exact"/>
        <w:jc w:val="left"/>
        <w:rPr>
          <w:sz w:val="13"/>
        </w:rPr>
      </w:pPr>
      <w:r>
        <w:rPr>
          <w:i/>
          <w:color w:val="231F20"/>
          <w:sz w:val="13"/>
        </w:rPr>
        <w:t xml:space="preserve">Personal Safety Intervention Orders Act 2010 </w:t>
      </w:r>
      <w:r>
        <w:rPr>
          <w:color w:val="231F20"/>
          <w:sz w:val="13"/>
        </w:rPr>
        <w:t>(Vic) s</w:t>
      </w:r>
      <w:r>
        <w:rPr>
          <w:color w:val="231F20"/>
          <w:spacing w:val="4"/>
          <w:sz w:val="13"/>
        </w:rPr>
        <w:t xml:space="preserve"> </w:t>
      </w:r>
      <w:r>
        <w:rPr>
          <w:color w:val="231F20"/>
          <w:sz w:val="13"/>
        </w:rPr>
        <w:t>123(2).</w:t>
      </w:r>
    </w:p>
    <w:p w14:paraId="29BD8779" w14:textId="77777777" w:rsidR="00894070" w:rsidRDefault="009B7AFD">
      <w:pPr>
        <w:pStyle w:val="ListParagraph"/>
        <w:numPr>
          <w:ilvl w:val="0"/>
          <w:numId w:val="88"/>
        </w:numPr>
        <w:tabs>
          <w:tab w:val="left" w:pos="1801"/>
          <w:tab w:val="left" w:pos="1802"/>
        </w:tabs>
        <w:spacing w:line="160" w:lineRule="exact"/>
        <w:jc w:val="left"/>
        <w:rPr>
          <w:sz w:val="13"/>
        </w:rPr>
      </w:pPr>
      <w:r>
        <w:rPr>
          <w:i/>
          <w:color w:val="231F20"/>
          <w:sz w:val="13"/>
        </w:rPr>
        <w:t xml:space="preserve">Family Violence Protection Act 2008 </w:t>
      </w:r>
      <w:r>
        <w:rPr>
          <w:color w:val="231F20"/>
          <w:sz w:val="13"/>
        </w:rPr>
        <w:t>(Vic) s</w:t>
      </w:r>
      <w:r>
        <w:rPr>
          <w:color w:val="231F20"/>
          <w:spacing w:val="2"/>
          <w:sz w:val="13"/>
        </w:rPr>
        <w:t xml:space="preserve"> </w:t>
      </w:r>
      <w:r>
        <w:rPr>
          <w:color w:val="231F20"/>
          <w:sz w:val="13"/>
        </w:rPr>
        <w:t>166(2).</w:t>
      </w:r>
    </w:p>
    <w:p w14:paraId="6702F2DD" w14:textId="77777777" w:rsidR="00894070" w:rsidRDefault="009B7AFD">
      <w:pPr>
        <w:pStyle w:val="ListParagraph"/>
        <w:numPr>
          <w:ilvl w:val="0"/>
          <w:numId w:val="88"/>
        </w:numPr>
        <w:tabs>
          <w:tab w:val="left" w:pos="1801"/>
          <w:tab w:val="left" w:pos="1802"/>
        </w:tabs>
        <w:spacing w:line="160" w:lineRule="exact"/>
        <w:jc w:val="left"/>
        <w:rPr>
          <w:sz w:val="13"/>
        </w:rPr>
      </w:pPr>
      <w:r>
        <w:rPr>
          <w:i/>
          <w:color w:val="231F20"/>
          <w:sz w:val="13"/>
        </w:rPr>
        <w:t xml:space="preserve">Personal Safety Intervention Orders Act 2010 </w:t>
      </w:r>
      <w:r>
        <w:rPr>
          <w:color w:val="231F20"/>
          <w:sz w:val="13"/>
        </w:rPr>
        <w:t xml:space="preserve">(Vic) s </w:t>
      </w:r>
      <w:r>
        <w:rPr>
          <w:color w:val="231F20"/>
          <w:spacing w:val="2"/>
          <w:sz w:val="13"/>
        </w:rPr>
        <w:t xml:space="preserve">123(2); </w:t>
      </w:r>
      <w:r>
        <w:rPr>
          <w:i/>
          <w:color w:val="231F20"/>
          <w:sz w:val="13"/>
        </w:rPr>
        <w:t xml:space="preserve">Family Violence Protection Act 2008 </w:t>
      </w:r>
      <w:r>
        <w:rPr>
          <w:color w:val="231F20"/>
          <w:sz w:val="13"/>
        </w:rPr>
        <w:t>(Vic) s</w:t>
      </w:r>
      <w:r>
        <w:rPr>
          <w:color w:val="231F20"/>
          <w:spacing w:val="31"/>
          <w:sz w:val="13"/>
        </w:rPr>
        <w:t xml:space="preserve"> </w:t>
      </w:r>
      <w:r>
        <w:rPr>
          <w:color w:val="231F20"/>
          <w:sz w:val="13"/>
        </w:rPr>
        <w:t>166(2).</w:t>
      </w:r>
    </w:p>
    <w:p w14:paraId="772BF42E" w14:textId="77777777" w:rsidR="00894070" w:rsidRDefault="009B7AFD">
      <w:pPr>
        <w:pStyle w:val="ListParagraph"/>
        <w:numPr>
          <w:ilvl w:val="0"/>
          <w:numId w:val="88"/>
        </w:numPr>
        <w:tabs>
          <w:tab w:val="left" w:pos="1801"/>
          <w:tab w:val="left" w:pos="1802"/>
        </w:tabs>
        <w:spacing w:line="170" w:lineRule="exact"/>
        <w:jc w:val="left"/>
        <w:rPr>
          <w:sz w:val="13"/>
        </w:rPr>
      </w:pPr>
      <w:r>
        <w:rPr>
          <w:i/>
          <w:color w:val="231F20"/>
          <w:sz w:val="13"/>
        </w:rPr>
        <w:t xml:space="preserve">Personal Safety Intervention Orders Act 2010 </w:t>
      </w:r>
      <w:r>
        <w:rPr>
          <w:color w:val="231F20"/>
          <w:sz w:val="13"/>
        </w:rPr>
        <w:t xml:space="preserve">(Vic) s 125; </w:t>
      </w:r>
      <w:r>
        <w:rPr>
          <w:i/>
          <w:color w:val="231F20"/>
          <w:sz w:val="13"/>
        </w:rPr>
        <w:t xml:space="preserve">Family Violence Protection Act 2008 </w:t>
      </w:r>
      <w:r>
        <w:rPr>
          <w:color w:val="231F20"/>
          <w:sz w:val="13"/>
        </w:rPr>
        <w:t>(Vic) s</w:t>
      </w:r>
      <w:r>
        <w:rPr>
          <w:color w:val="231F20"/>
          <w:spacing w:val="27"/>
          <w:sz w:val="13"/>
        </w:rPr>
        <w:t xml:space="preserve"> </w:t>
      </w:r>
      <w:r>
        <w:rPr>
          <w:color w:val="231F20"/>
          <w:spacing w:val="2"/>
          <w:sz w:val="13"/>
        </w:rPr>
        <w:t>169.</w:t>
      </w:r>
    </w:p>
    <w:p w14:paraId="6C437820" w14:textId="77777777" w:rsidR="00894070" w:rsidRDefault="009B7AFD">
      <w:pPr>
        <w:pStyle w:val="BodyText"/>
        <w:rPr>
          <w:sz w:val="28"/>
        </w:rPr>
      </w:pPr>
      <w:r>
        <w:br w:type="column"/>
      </w:r>
    </w:p>
    <w:p w14:paraId="736467B9" w14:textId="77777777" w:rsidR="00894070" w:rsidRDefault="00894070">
      <w:pPr>
        <w:pStyle w:val="BodyText"/>
        <w:rPr>
          <w:sz w:val="28"/>
        </w:rPr>
      </w:pPr>
    </w:p>
    <w:p w14:paraId="6DEC0709" w14:textId="77777777" w:rsidR="00894070" w:rsidRDefault="00894070">
      <w:pPr>
        <w:pStyle w:val="BodyText"/>
        <w:rPr>
          <w:sz w:val="28"/>
        </w:rPr>
      </w:pPr>
    </w:p>
    <w:p w14:paraId="12D6D497" w14:textId="77777777" w:rsidR="00894070" w:rsidRDefault="00894070">
      <w:pPr>
        <w:pStyle w:val="BodyText"/>
        <w:rPr>
          <w:sz w:val="28"/>
        </w:rPr>
      </w:pPr>
    </w:p>
    <w:p w14:paraId="56A6631F" w14:textId="77777777" w:rsidR="00894070" w:rsidRDefault="00894070">
      <w:pPr>
        <w:pStyle w:val="BodyText"/>
        <w:spacing w:before="11"/>
        <w:rPr>
          <w:sz w:val="41"/>
        </w:rPr>
      </w:pPr>
    </w:p>
    <w:p w14:paraId="483573ED" w14:textId="77777777" w:rsidR="00894070" w:rsidRDefault="009B7AFD">
      <w:pPr>
        <w:pStyle w:val="Heading8"/>
        <w:ind w:left="643"/>
      </w:pPr>
      <w:r>
        <w:rPr>
          <w:color w:val="EA5B50"/>
        </w:rPr>
        <w:t>111</w:t>
      </w:r>
    </w:p>
    <w:p w14:paraId="45AD38DE" w14:textId="77777777" w:rsidR="00894070" w:rsidRDefault="00894070">
      <w:pPr>
        <w:sectPr w:rsidR="00894070">
          <w:type w:val="continuous"/>
          <w:pgSz w:w="11910" w:h="16840"/>
          <w:pgMar w:top="560" w:right="420" w:bottom="280" w:left="580" w:header="720" w:footer="720" w:gutter="0"/>
          <w:cols w:num="2" w:space="720" w:equalWidth="0">
            <w:col w:w="9673" w:space="40"/>
            <w:col w:w="1197"/>
          </w:cols>
        </w:sectPr>
      </w:pPr>
    </w:p>
    <w:p w14:paraId="216B7A76" w14:textId="77777777" w:rsidR="00894070" w:rsidRDefault="00894070">
      <w:pPr>
        <w:pStyle w:val="BodyText"/>
        <w:rPr>
          <w:b/>
        </w:rPr>
      </w:pPr>
    </w:p>
    <w:p w14:paraId="3345C43B" w14:textId="77777777" w:rsidR="00894070" w:rsidRDefault="00894070">
      <w:pPr>
        <w:pStyle w:val="BodyText"/>
        <w:rPr>
          <w:b/>
        </w:rPr>
      </w:pPr>
    </w:p>
    <w:p w14:paraId="1685CA3A" w14:textId="77777777" w:rsidR="00894070" w:rsidRDefault="00894070">
      <w:pPr>
        <w:pStyle w:val="BodyText"/>
        <w:rPr>
          <w:b/>
        </w:rPr>
      </w:pPr>
    </w:p>
    <w:p w14:paraId="25ABCECA" w14:textId="77777777" w:rsidR="00894070" w:rsidRDefault="00894070">
      <w:pPr>
        <w:pStyle w:val="BodyText"/>
        <w:spacing w:before="11"/>
        <w:rPr>
          <w:b/>
          <w:sz w:val="18"/>
        </w:rPr>
      </w:pPr>
    </w:p>
    <w:p w14:paraId="4B28EC4E" w14:textId="77777777" w:rsidR="00894070" w:rsidRDefault="009B7AFD">
      <w:pPr>
        <w:pStyle w:val="ListParagraph"/>
        <w:numPr>
          <w:ilvl w:val="1"/>
          <w:numId w:val="102"/>
        </w:numPr>
        <w:tabs>
          <w:tab w:val="left" w:pos="1802"/>
        </w:tabs>
        <w:spacing w:line="206" w:lineRule="auto"/>
        <w:ind w:right="1240"/>
        <w:jc w:val="both"/>
        <w:rPr>
          <w:sz w:val="20"/>
        </w:rPr>
      </w:pPr>
      <w:r>
        <w:rPr>
          <w:color w:val="231F20"/>
          <w:spacing w:val="-6"/>
          <w:sz w:val="20"/>
        </w:rPr>
        <w:t>We</w:t>
      </w:r>
      <w:r>
        <w:rPr>
          <w:color w:val="231F20"/>
          <w:spacing w:val="-7"/>
          <w:sz w:val="20"/>
        </w:rPr>
        <w:t xml:space="preserve"> </w:t>
      </w:r>
      <w:r>
        <w:rPr>
          <w:color w:val="231F20"/>
          <w:sz w:val="20"/>
        </w:rPr>
        <w:t>heard</w:t>
      </w:r>
      <w:r>
        <w:rPr>
          <w:color w:val="231F20"/>
          <w:spacing w:val="-7"/>
          <w:sz w:val="20"/>
        </w:rPr>
        <w:t xml:space="preserve"> </w:t>
      </w:r>
      <w:r>
        <w:rPr>
          <w:color w:val="231F20"/>
          <w:sz w:val="20"/>
        </w:rPr>
        <w:t>support</w:t>
      </w:r>
      <w:r>
        <w:rPr>
          <w:color w:val="231F20"/>
          <w:spacing w:val="-6"/>
          <w:sz w:val="20"/>
        </w:rPr>
        <w:t xml:space="preserve"> </w:t>
      </w:r>
      <w:r>
        <w:rPr>
          <w:color w:val="231F20"/>
          <w:spacing w:val="-3"/>
          <w:sz w:val="20"/>
        </w:rPr>
        <w:t>for</w:t>
      </w:r>
      <w:r>
        <w:rPr>
          <w:color w:val="231F20"/>
          <w:spacing w:val="-7"/>
          <w:sz w:val="20"/>
        </w:rPr>
        <w:t xml:space="preserve"> </w:t>
      </w:r>
      <w:r>
        <w:rPr>
          <w:color w:val="231F20"/>
          <w:sz w:val="20"/>
        </w:rPr>
        <w:t>increased</w:t>
      </w:r>
      <w:r>
        <w:rPr>
          <w:color w:val="231F20"/>
          <w:spacing w:val="-6"/>
          <w:sz w:val="20"/>
        </w:rPr>
        <w:t xml:space="preserve"> </w:t>
      </w:r>
      <w:r>
        <w:rPr>
          <w:color w:val="231F20"/>
          <w:spacing w:val="-3"/>
          <w:sz w:val="20"/>
        </w:rPr>
        <w:t>protections</w:t>
      </w:r>
      <w:r>
        <w:rPr>
          <w:color w:val="231F20"/>
          <w:spacing w:val="-7"/>
          <w:sz w:val="20"/>
        </w:rPr>
        <w:t xml:space="preserve"> </w:t>
      </w:r>
      <w:r>
        <w:rPr>
          <w:color w:val="231F20"/>
          <w:sz w:val="20"/>
        </w:rPr>
        <w:t>of</w:t>
      </w:r>
      <w:r>
        <w:rPr>
          <w:color w:val="231F20"/>
          <w:spacing w:val="-7"/>
          <w:sz w:val="20"/>
        </w:rPr>
        <w:t xml:space="preserve"> </w:t>
      </w:r>
      <w:r>
        <w:rPr>
          <w:color w:val="231F20"/>
          <w:spacing w:val="-3"/>
          <w:sz w:val="20"/>
        </w:rPr>
        <w:t>adults’</w:t>
      </w:r>
      <w:r>
        <w:rPr>
          <w:color w:val="231F20"/>
          <w:spacing w:val="-6"/>
          <w:sz w:val="20"/>
        </w:rPr>
        <w:t xml:space="preserve"> </w:t>
      </w:r>
      <w:r>
        <w:rPr>
          <w:color w:val="231F20"/>
          <w:sz w:val="20"/>
        </w:rPr>
        <w:t>privacy</w:t>
      </w:r>
      <w:r>
        <w:rPr>
          <w:color w:val="231F20"/>
          <w:spacing w:val="-7"/>
          <w:sz w:val="20"/>
        </w:rPr>
        <w:t xml:space="preserve"> </w:t>
      </w:r>
      <w:r>
        <w:rPr>
          <w:color w:val="231F20"/>
          <w:sz w:val="20"/>
        </w:rPr>
        <w:t>in</w:t>
      </w:r>
      <w:r>
        <w:rPr>
          <w:color w:val="231F20"/>
          <w:spacing w:val="-6"/>
          <w:sz w:val="20"/>
        </w:rPr>
        <w:t xml:space="preserve"> </w:t>
      </w:r>
      <w:r>
        <w:rPr>
          <w:color w:val="231F20"/>
          <w:sz w:val="20"/>
        </w:rPr>
        <w:t>the</w:t>
      </w:r>
      <w:r>
        <w:rPr>
          <w:color w:val="231F20"/>
          <w:spacing w:val="-7"/>
          <w:sz w:val="20"/>
        </w:rPr>
        <w:t xml:space="preserve"> </w:t>
      </w:r>
      <w:r>
        <w:rPr>
          <w:color w:val="231F20"/>
          <w:sz w:val="20"/>
        </w:rPr>
        <w:t>PSIO</w:t>
      </w:r>
      <w:r>
        <w:rPr>
          <w:color w:val="231F20"/>
          <w:spacing w:val="-7"/>
          <w:sz w:val="20"/>
        </w:rPr>
        <w:t xml:space="preserve"> </w:t>
      </w:r>
      <w:r>
        <w:rPr>
          <w:color w:val="231F20"/>
          <w:sz w:val="20"/>
        </w:rPr>
        <w:t>Act.</w:t>
      </w:r>
      <w:r>
        <w:rPr>
          <w:color w:val="231F20"/>
          <w:spacing w:val="-6"/>
          <w:sz w:val="20"/>
        </w:rPr>
        <w:t xml:space="preserve"> </w:t>
      </w:r>
      <w:r>
        <w:rPr>
          <w:color w:val="231F20"/>
          <w:sz w:val="20"/>
        </w:rPr>
        <w:t>A</w:t>
      </w:r>
      <w:r>
        <w:rPr>
          <w:color w:val="231F20"/>
          <w:spacing w:val="-7"/>
          <w:sz w:val="20"/>
        </w:rPr>
        <w:t xml:space="preserve"> </w:t>
      </w:r>
      <w:r>
        <w:rPr>
          <w:color w:val="231F20"/>
          <w:sz w:val="20"/>
        </w:rPr>
        <w:t>person who</w:t>
      </w:r>
      <w:r>
        <w:rPr>
          <w:color w:val="231F20"/>
          <w:spacing w:val="-11"/>
          <w:sz w:val="20"/>
        </w:rPr>
        <w:t xml:space="preserve"> </w:t>
      </w:r>
      <w:r>
        <w:rPr>
          <w:color w:val="231F20"/>
          <w:sz w:val="20"/>
        </w:rPr>
        <w:t>experienced</w:t>
      </w:r>
      <w:r>
        <w:rPr>
          <w:color w:val="231F20"/>
          <w:spacing w:val="-11"/>
          <w:sz w:val="20"/>
        </w:rPr>
        <w:t xml:space="preserve"> </w:t>
      </w:r>
      <w:r>
        <w:rPr>
          <w:color w:val="231F20"/>
          <w:sz w:val="20"/>
        </w:rPr>
        <w:t>stalking</w:t>
      </w:r>
      <w:r>
        <w:rPr>
          <w:color w:val="231F20"/>
          <w:spacing w:val="-10"/>
          <w:sz w:val="20"/>
        </w:rPr>
        <w:t xml:space="preserve"> </w:t>
      </w:r>
      <w:r>
        <w:rPr>
          <w:color w:val="231F20"/>
          <w:spacing w:val="-3"/>
          <w:sz w:val="20"/>
        </w:rPr>
        <w:t>told</w:t>
      </w:r>
      <w:r>
        <w:rPr>
          <w:color w:val="231F20"/>
          <w:spacing w:val="-11"/>
          <w:sz w:val="20"/>
        </w:rPr>
        <w:t xml:space="preserve"> </w:t>
      </w:r>
      <w:r>
        <w:rPr>
          <w:color w:val="231F20"/>
          <w:sz w:val="20"/>
        </w:rPr>
        <w:t>us</w:t>
      </w:r>
      <w:r>
        <w:rPr>
          <w:color w:val="231F20"/>
          <w:spacing w:val="-11"/>
          <w:sz w:val="20"/>
        </w:rPr>
        <w:t xml:space="preserve"> </w:t>
      </w:r>
      <w:r>
        <w:rPr>
          <w:color w:val="231F20"/>
          <w:sz w:val="20"/>
        </w:rPr>
        <w:t>they</w:t>
      </w:r>
      <w:r>
        <w:rPr>
          <w:color w:val="231F20"/>
          <w:spacing w:val="-10"/>
          <w:sz w:val="20"/>
        </w:rPr>
        <w:t xml:space="preserve"> </w:t>
      </w:r>
      <w:r>
        <w:rPr>
          <w:color w:val="231F20"/>
          <w:sz w:val="20"/>
        </w:rPr>
        <w:t>supported</w:t>
      </w:r>
      <w:r>
        <w:rPr>
          <w:color w:val="231F20"/>
          <w:spacing w:val="-11"/>
          <w:sz w:val="20"/>
        </w:rPr>
        <w:t xml:space="preserve"> </w:t>
      </w:r>
      <w:r>
        <w:rPr>
          <w:color w:val="231F20"/>
          <w:sz w:val="20"/>
        </w:rPr>
        <w:t>publication</w:t>
      </w:r>
      <w:r>
        <w:rPr>
          <w:color w:val="231F20"/>
          <w:spacing w:val="-10"/>
          <w:sz w:val="20"/>
        </w:rPr>
        <w:t xml:space="preserve"> </w:t>
      </w:r>
      <w:r>
        <w:rPr>
          <w:color w:val="231F20"/>
          <w:sz w:val="20"/>
        </w:rPr>
        <w:t>bans</w:t>
      </w:r>
      <w:r>
        <w:rPr>
          <w:color w:val="231F20"/>
          <w:spacing w:val="-11"/>
          <w:sz w:val="20"/>
        </w:rPr>
        <w:t xml:space="preserve"> </w:t>
      </w:r>
      <w:r>
        <w:rPr>
          <w:color w:val="231F20"/>
          <w:sz w:val="20"/>
        </w:rPr>
        <w:t>in</w:t>
      </w:r>
      <w:r>
        <w:rPr>
          <w:color w:val="231F20"/>
          <w:spacing w:val="-11"/>
          <w:sz w:val="20"/>
        </w:rPr>
        <w:t xml:space="preserve"> </w:t>
      </w:r>
      <w:r>
        <w:rPr>
          <w:color w:val="231F20"/>
          <w:sz w:val="20"/>
        </w:rPr>
        <w:t>relation</w:t>
      </w:r>
      <w:r>
        <w:rPr>
          <w:color w:val="231F20"/>
          <w:spacing w:val="-10"/>
          <w:sz w:val="20"/>
        </w:rPr>
        <w:t xml:space="preserve"> </w:t>
      </w:r>
      <w:r>
        <w:rPr>
          <w:color w:val="231F20"/>
          <w:sz w:val="20"/>
        </w:rPr>
        <w:t>to</w:t>
      </w:r>
      <w:r>
        <w:rPr>
          <w:color w:val="231F20"/>
          <w:spacing w:val="-11"/>
          <w:sz w:val="20"/>
        </w:rPr>
        <w:t xml:space="preserve"> </w:t>
      </w:r>
      <w:r>
        <w:rPr>
          <w:color w:val="231F20"/>
          <w:sz w:val="20"/>
        </w:rPr>
        <w:t xml:space="preserve">adults, especially those who </w:t>
      </w:r>
      <w:r>
        <w:rPr>
          <w:color w:val="231F20"/>
          <w:spacing w:val="-4"/>
          <w:sz w:val="20"/>
        </w:rPr>
        <w:t xml:space="preserve">were </w:t>
      </w:r>
      <w:r>
        <w:rPr>
          <w:color w:val="231F20"/>
          <w:spacing w:val="-3"/>
          <w:sz w:val="20"/>
        </w:rPr>
        <w:t>‘vulnerable’.</w:t>
      </w:r>
      <w:r>
        <w:rPr>
          <w:color w:val="231F20"/>
          <w:spacing w:val="-3"/>
          <w:position w:val="7"/>
          <w:sz w:val="11"/>
        </w:rPr>
        <w:t xml:space="preserve">132 </w:t>
      </w:r>
      <w:r>
        <w:rPr>
          <w:color w:val="231F20"/>
          <w:sz w:val="20"/>
        </w:rPr>
        <w:t>Djirra supported expanding the</w:t>
      </w:r>
      <w:r>
        <w:rPr>
          <w:color w:val="231F20"/>
          <w:spacing w:val="-33"/>
          <w:sz w:val="20"/>
        </w:rPr>
        <w:t xml:space="preserve"> </w:t>
      </w:r>
      <w:r>
        <w:rPr>
          <w:color w:val="231F20"/>
          <w:sz w:val="20"/>
        </w:rPr>
        <w:t>restriction</w:t>
      </w:r>
    </w:p>
    <w:p w14:paraId="7BFE4CC4" w14:textId="77777777" w:rsidR="00894070" w:rsidRDefault="009B7AFD">
      <w:pPr>
        <w:pStyle w:val="BodyText"/>
        <w:spacing w:before="4" w:line="206" w:lineRule="auto"/>
        <w:ind w:left="1801" w:right="1522"/>
        <w:rPr>
          <w:sz w:val="11"/>
        </w:rPr>
      </w:pPr>
      <w:r>
        <w:rPr>
          <w:color w:val="231F20"/>
        </w:rPr>
        <w:t xml:space="preserve">on publication in the PSIO </w:t>
      </w:r>
      <w:r>
        <w:rPr>
          <w:color w:val="231F20"/>
          <w:spacing w:val="-2"/>
        </w:rPr>
        <w:t xml:space="preserve">Act </w:t>
      </w:r>
      <w:r>
        <w:rPr>
          <w:color w:val="231F20"/>
        </w:rPr>
        <w:t xml:space="preserve">to </w:t>
      </w:r>
      <w:r>
        <w:rPr>
          <w:color w:val="231F20"/>
          <w:spacing w:val="-4"/>
        </w:rPr>
        <w:t xml:space="preserve">cover </w:t>
      </w:r>
      <w:r>
        <w:rPr>
          <w:color w:val="231F20"/>
        </w:rPr>
        <w:t xml:space="preserve">adults and </w:t>
      </w:r>
      <w:r>
        <w:rPr>
          <w:color w:val="231F20"/>
          <w:spacing w:val="-3"/>
        </w:rPr>
        <w:t xml:space="preserve">protect </w:t>
      </w:r>
      <w:r>
        <w:rPr>
          <w:color w:val="231F20"/>
        </w:rPr>
        <w:t xml:space="preserve">the safety and privacy of Aboriginal and </w:t>
      </w:r>
      <w:r>
        <w:rPr>
          <w:color w:val="231F20"/>
          <w:spacing w:val="-5"/>
        </w:rPr>
        <w:t xml:space="preserve">Torres </w:t>
      </w:r>
      <w:r>
        <w:rPr>
          <w:color w:val="231F20"/>
        </w:rPr>
        <w:t xml:space="preserve">Strait Islander people who </w:t>
      </w:r>
      <w:r>
        <w:rPr>
          <w:color w:val="231F20"/>
          <w:spacing w:val="-4"/>
        </w:rPr>
        <w:t xml:space="preserve">have </w:t>
      </w:r>
      <w:r>
        <w:rPr>
          <w:color w:val="231F20"/>
        </w:rPr>
        <w:t>experienced stalking.</w:t>
      </w:r>
      <w:r>
        <w:rPr>
          <w:color w:val="231F20"/>
          <w:position w:val="7"/>
          <w:sz w:val="11"/>
        </w:rPr>
        <w:t>133</w:t>
      </w:r>
    </w:p>
    <w:p w14:paraId="65D3F2A3" w14:textId="77777777" w:rsidR="00894070" w:rsidRDefault="009B7AFD">
      <w:pPr>
        <w:pStyle w:val="ListParagraph"/>
        <w:numPr>
          <w:ilvl w:val="1"/>
          <w:numId w:val="102"/>
        </w:numPr>
        <w:tabs>
          <w:tab w:val="left" w:pos="1801"/>
          <w:tab w:val="left" w:pos="1802"/>
        </w:tabs>
        <w:spacing w:before="90"/>
        <w:rPr>
          <w:sz w:val="20"/>
        </w:rPr>
      </w:pPr>
      <w:r>
        <w:rPr>
          <w:color w:val="231F20"/>
          <w:sz w:val="20"/>
        </w:rPr>
        <w:t>Benefits to victim survivors could</w:t>
      </w:r>
      <w:r>
        <w:rPr>
          <w:color w:val="231F20"/>
          <w:spacing w:val="-22"/>
          <w:sz w:val="20"/>
        </w:rPr>
        <w:t xml:space="preserve"> </w:t>
      </w:r>
      <w:r>
        <w:rPr>
          <w:color w:val="231F20"/>
          <w:spacing w:val="-3"/>
          <w:sz w:val="20"/>
        </w:rPr>
        <w:t>include:</w:t>
      </w:r>
    </w:p>
    <w:p w14:paraId="0F1045BD" w14:textId="77777777" w:rsidR="00894070" w:rsidRDefault="009B7AFD">
      <w:pPr>
        <w:pStyle w:val="ListParagraph"/>
        <w:numPr>
          <w:ilvl w:val="2"/>
          <w:numId w:val="102"/>
        </w:numPr>
        <w:tabs>
          <w:tab w:val="left" w:pos="2141"/>
          <w:tab w:val="left" w:pos="2142"/>
        </w:tabs>
        <w:spacing w:before="83"/>
        <w:ind w:hanging="340"/>
        <w:rPr>
          <w:sz w:val="20"/>
        </w:rPr>
      </w:pPr>
      <w:r>
        <w:rPr>
          <w:color w:val="231F20"/>
          <w:spacing w:val="-3"/>
          <w:sz w:val="20"/>
        </w:rPr>
        <w:t xml:space="preserve">preventing </w:t>
      </w:r>
      <w:r>
        <w:rPr>
          <w:color w:val="231F20"/>
          <w:sz w:val="20"/>
        </w:rPr>
        <w:t>further</w:t>
      </w:r>
      <w:r>
        <w:rPr>
          <w:color w:val="231F20"/>
          <w:spacing w:val="-6"/>
          <w:sz w:val="20"/>
        </w:rPr>
        <w:t xml:space="preserve"> </w:t>
      </w:r>
      <w:r>
        <w:rPr>
          <w:color w:val="231F20"/>
          <w:sz w:val="20"/>
        </w:rPr>
        <w:t>trauma</w:t>
      </w:r>
    </w:p>
    <w:p w14:paraId="7E50140F" w14:textId="77777777" w:rsidR="00894070" w:rsidRDefault="009B7AFD">
      <w:pPr>
        <w:pStyle w:val="ListParagraph"/>
        <w:numPr>
          <w:ilvl w:val="2"/>
          <w:numId w:val="102"/>
        </w:numPr>
        <w:tabs>
          <w:tab w:val="left" w:pos="2141"/>
          <w:tab w:val="left" w:pos="2142"/>
        </w:tabs>
        <w:spacing w:before="47"/>
        <w:ind w:hanging="340"/>
        <w:rPr>
          <w:sz w:val="20"/>
        </w:rPr>
      </w:pPr>
      <w:r>
        <w:rPr>
          <w:color w:val="231F20"/>
          <w:spacing w:val="-3"/>
          <w:sz w:val="20"/>
        </w:rPr>
        <w:t xml:space="preserve">protecting </w:t>
      </w:r>
      <w:r>
        <w:rPr>
          <w:color w:val="231F20"/>
          <w:sz w:val="20"/>
        </w:rPr>
        <w:t xml:space="preserve">their </w:t>
      </w:r>
      <w:r>
        <w:rPr>
          <w:color w:val="231F20"/>
          <w:spacing w:val="-3"/>
          <w:sz w:val="20"/>
        </w:rPr>
        <w:t xml:space="preserve">own </w:t>
      </w:r>
      <w:r>
        <w:rPr>
          <w:color w:val="231F20"/>
          <w:sz w:val="20"/>
        </w:rPr>
        <w:t xml:space="preserve">and </w:t>
      </w:r>
      <w:r>
        <w:rPr>
          <w:color w:val="231F20"/>
          <w:spacing w:val="-3"/>
          <w:sz w:val="20"/>
        </w:rPr>
        <w:t>others’</w:t>
      </w:r>
      <w:r>
        <w:rPr>
          <w:color w:val="231F20"/>
          <w:spacing w:val="-15"/>
          <w:sz w:val="20"/>
        </w:rPr>
        <w:t xml:space="preserve"> </w:t>
      </w:r>
      <w:r>
        <w:rPr>
          <w:color w:val="231F20"/>
          <w:sz w:val="20"/>
        </w:rPr>
        <w:t>privacy</w:t>
      </w:r>
    </w:p>
    <w:p w14:paraId="611E90B0"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addressing</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potential</w:t>
      </w:r>
      <w:r>
        <w:rPr>
          <w:color w:val="231F20"/>
          <w:spacing w:val="-5"/>
          <w:sz w:val="20"/>
        </w:rPr>
        <w:t xml:space="preserve"> </w:t>
      </w:r>
      <w:r>
        <w:rPr>
          <w:color w:val="231F20"/>
          <w:sz w:val="20"/>
        </w:rPr>
        <w:t>barrier</w:t>
      </w:r>
      <w:r>
        <w:rPr>
          <w:color w:val="231F20"/>
          <w:spacing w:val="-5"/>
          <w:sz w:val="20"/>
        </w:rPr>
        <w:t xml:space="preserve"> </w:t>
      </w:r>
      <w:r>
        <w:rPr>
          <w:color w:val="231F20"/>
          <w:sz w:val="20"/>
        </w:rPr>
        <w:t>to</w:t>
      </w:r>
      <w:r>
        <w:rPr>
          <w:color w:val="231F20"/>
          <w:spacing w:val="-5"/>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5"/>
          <w:sz w:val="20"/>
        </w:rPr>
        <w:t xml:space="preserve"> </w:t>
      </w:r>
      <w:r>
        <w:rPr>
          <w:color w:val="231F20"/>
          <w:sz w:val="20"/>
        </w:rPr>
        <w:t>applying</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a</w:t>
      </w:r>
      <w:r>
        <w:rPr>
          <w:color w:val="231F20"/>
          <w:spacing w:val="-5"/>
          <w:sz w:val="20"/>
        </w:rPr>
        <w:t xml:space="preserve"> </w:t>
      </w:r>
      <w:r>
        <w:rPr>
          <w:color w:val="231F20"/>
          <w:sz w:val="20"/>
        </w:rPr>
        <w:t>PSIO.</w:t>
      </w:r>
    </w:p>
    <w:p w14:paraId="6CA198E9" w14:textId="77777777" w:rsidR="00894070" w:rsidRDefault="009B7AFD">
      <w:pPr>
        <w:pStyle w:val="ListParagraph"/>
        <w:numPr>
          <w:ilvl w:val="1"/>
          <w:numId w:val="102"/>
        </w:numPr>
        <w:tabs>
          <w:tab w:val="left" w:pos="1801"/>
          <w:tab w:val="left" w:pos="1802"/>
        </w:tabs>
        <w:spacing w:before="79" w:line="206" w:lineRule="auto"/>
        <w:ind w:right="1549"/>
        <w:rPr>
          <w:sz w:val="11"/>
        </w:rPr>
      </w:pPr>
      <w:r>
        <w:rPr>
          <w:color w:val="231F20"/>
          <w:sz w:val="20"/>
        </w:rPr>
        <w:t>Victoria</w:t>
      </w:r>
      <w:r>
        <w:rPr>
          <w:color w:val="231F20"/>
          <w:spacing w:val="-12"/>
          <w:sz w:val="20"/>
        </w:rPr>
        <w:t xml:space="preserve"> </w:t>
      </w:r>
      <w:r>
        <w:rPr>
          <w:color w:val="231F20"/>
          <w:sz w:val="20"/>
        </w:rPr>
        <w:t>Police</w:t>
      </w:r>
      <w:r>
        <w:rPr>
          <w:color w:val="231F20"/>
          <w:spacing w:val="-12"/>
          <w:sz w:val="20"/>
        </w:rPr>
        <w:t xml:space="preserve"> </w:t>
      </w:r>
      <w:r>
        <w:rPr>
          <w:color w:val="231F20"/>
          <w:spacing w:val="-3"/>
          <w:sz w:val="20"/>
        </w:rPr>
        <w:t>told</w:t>
      </w:r>
      <w:r>
        <w:rPr>
          <w:color w:val="231F20"/>
          <w:spacing w:val="-11"/>
          <w:sz w:val="20"/>
        </w:rPr>
        <w:t xml:space="preserve"> </w:t>
      </w:r>
      <w:r>
        <w:rPr>
          <w:color w:val="231F20"/>
          <w:sz w:val="20"/>
        </w:rPr>
        <w:t>us</w:t>
      </w:r>
      <w:r>
        <w:rPr>
          <w:color w:val="231F20"/>
          <w:spacing w:val="-12"/>
          <w:sz w:val="20"/>
        </w:rPr>
        <w:t xml:space="preserve"> </w:t>
      </w:r>
      <w:r>
        <w:rPr>
          <w:color w:val="231F20"/>
          <w:sz w:val="20"/>
        </w:rPr>
        <w:t>that</w:t>
      </w:r>
      <w:r>
        <w:rPr>
          <w:color w:val="231F20"/>
          <w:spacing w:val="-12"/>
          <w:sz w:val="20"/>
        </w:rPr>
        <w:t xml:space="preserve"> </w:t>
      </w:r>
      <w:r>
        <w:rPr>
          <w:color w:val="231F20"/>
          <w:sz w:val="20"/>
        </w:rPr>
        <w:t>publication</w:t>
      </w:r>
      <w:r>
        <w:rPr>
          <w:color w:val="231F20"/>
          <w:spacing w:val="-11"/>
          <w:sz w:val="20"/>
        </w:rPr>
        <w:t xml:space="preserve"> </w:t>
      </w:r>
      <w:r>
        <w:rPr>
          <w:color w:val="231F20"/>
          <w:sz w:val="20"/>
        </w:rPr>
        <w:t>of</w:t>
      </w:r>
      <w:r>
        <w:rPr>
          <w:color w:val="231F20"/>
          <w:spacing w:val="-12"/>
          <w:sz w:val="20"/>
        </w:rPr>
        <w:t xml:space="preserve"> </w:t>
      </w:r>
      <w:r>
        <w:rPr>
          <w:color w:val="231F20"/>
          <w:sz w:val="20"/>
        </w:rPr>
        <w:t>information</w:t>
      </w:r>
      <w:r>
        <w:rPr>
          <w:color w:val="231F20"/>
          <w:spacing w:val="-12"/>
          <w:sz w:val="20"/>
        </w:rPr>
        <w:t xml:space="preserve"> </w:t>
      </w:r>
      <w:r>
        <w:rPr>
          <w:color w:val="231F20"/>
          <w:sz w:val="20"/>
        </w:rPr>
        <w:t>about</w:t>
      </w:r>
      <w:r>
        <w:rPr>
          <w:color w:val="231F20"/>
          <w:spacing w:val="-11"/>
          <w:sz w:val="20"/>
        </w:rPr>
        <w:t xml:space="preserve"> </w:t>
      </w:r>
      <w:r>
        <w:rPr>
          <w:color w:val="231F20"/>
          <w:sz w:val="20"/>
        </w:rPr>
        <w:t>PSIO</w:t>
      </w:r>
      <w:r>
        <w:rPr>
          <w:color w:val="231F20"/>
          <w:spacing w:val="-12"/>
          <w:sz w:val="20"/>
        </w:rPr>
        <w:t xml:space="preserve"> </w:t>
      </w:r>
      <w:r>
        <w:rPr>
          <w:color w:val="231F20"/>
          <w:sz w:val="20"/>
        </w:rPr>
        <w:t>matters</w:t>
      </w:r>
      <w:r>
        <w:rPr>
          <w:color w:val="231F20"/>
          <w:spacing w:val="-11"/>
          <w:sz w:val="20"/>
        </w:rPr>
        <w:t xml:space="preserve"> </w:t>
      </w:r>
      <w:r>
        <w:rPr>
          <w:color w:val="231F20"/>
          <w:sz w:val="20"/>
        </w:rPr>
        <w:t>could</w:t>
      </w:r>
      <w:r>
        <w:rPr>
          <w:color w:val="231F20"/>
          <w:spacing w:val="-12"/>
          <w:sz w:val="20"/>
        </w:rPr>
        <w:t xml:space="preserve"> </w:t>
      </w:r>
      <w:r>
        <w:rPr>
          <w:color w:val="231F20"/>
          <w:sz w:val="20"/>
        </w:rPr>
        <w:t xml:space="preserve">also </w:t>
      </w:r>
      <w:r>
        <w:rPr>
          <w:color w:val="231F20"/>
          <w:spacing w:val="-3"/>
          <w:sz w:val="20"/>
        </w:rPr>
        <w:t xml:space="preserve">provide </w:t>
      </w:r>
      <w:r>
        <w:rPr>
          <w:color w:val="231F20"/>
          <w:sz w:val="20"/>
        </w:rPr>
        <w:t xml:space="preserve">people who stalk with ‘perverse affirmation’ of their offending, and </w:t>
      </w:r>
      <w:r>
        <w:rPr>
          <w:color w:val="231F20"/>
          <w:spacing w:val="-3"/>
          <w:sz w:val="20"/>
        </w:rPr>
        <w:t xml:space="preserve">even </w:t>
      </w:r>
      <w:r>
        <w:rPr>
          <w:color w:val="231F20"/>
          <w:sz w:val="20"/>
        </w:rPr>
        <w:t xml:space="preserve">a sense of additional </w:t>
      </w:r>
      <w:r>
        <w:rPr>
          <w:color w:val="231F20"/>
          <w:spacing w:val="-3"/>
          <w:sz w:val="20"/>
        </w:rPr>
        <w:t xml:space="preserve">power </w:t>
      </w:r>
      <w:r>
        <w:rPr>
          <w:color w:val="231F20"/>
          <w:spacing w:val="-4"/>
          <w:sz w:val="20"/>
        </w:rPr>
        <w:t xml:space="preserve">over </w:t>
      </w:r>
      <w:r>
        <w:rPr>
          <w:color w:val="231F20"/>
          <w:sz w:val="20"/>
        </w:rPr>
        <w:t>their</w:t>
      </w:r>
      <w:r>
        <w:rPr>
          <w:color w:val="231F20"/>
          <w:spacing w:val="-19"/>
          <w:sz w:val="20"/>
        </w:rPr>
        <w:t xml:space="preserve"> </w:t>
      </w:r>
      <w:r>
        <w:rPr>
          <w:color w:val="231F20"/>
          <w:sz w:val="20"/>
        </w:rPr>
        <w:t>victim.</w:t>
      </w:r>
      <w:r>
        <w:rPr>
          <w:color w:val="231F20"/>
          <w:position w:val="7"/>
          <w:sz w:val="11"/>
        </w:rPr>
        <w:t>134</w:t>
      </w:r>
    </w:p>
    <w:p w14:paraId="0E740ED8" w14:textId="77777777" w:rsidR="00894070" w:rsidRDefault="009B7AFD">
      <w:pPr>
        <w:pStyle w:val="ListParagraph"/>
        <w:numPr>
          <w:ilvl w:val="1"/>
          <w:numId w:val="102"/>
        </w:numPr>
        <w:tabs>
          <w:tab w:val="left" w:pos="1801"/>
          <w:tab w:val="left" w:pos="1802"/>
        </w:tabs>
        <w:spacing w:before="124" w:line="206" w:lineRule="auto"/>
        <w:ind w:right="1438"/>
        <w:rPr>
          <w:sz w:val="20"/>
        </w:rPr>
      </w:pPr>
      <w:r>
        <w:rPr>
          <w:color w:val="231F20"/>
          <w:sz w:val="20"/>
        </w:rPr>
        <w:t>As</w:t>
      </w:r>
      <w:r>
        <w:rPr>
          <w:color w:val="231F20"/>
          <w:spacing w:val="-10"/>
          <w:sz w:val="20"/>
        </w:rPr>
        <w:t xml:space="preserve"> </w:t>
      </w:r>
      <w:r>
        <w:rPr>
          <w:color w:val="231F20"/>
          <w:sz w:val="20"/>
        </w:rPr>
        <w:t>with</w:t>
      </w:r>
      <w:r>
        <w:rPr>
          <w:color w:val="231F20"/>
          <w:spacing w:val="-10"/>
          <w:sz w:val="20"/>
        </w:rPr>
        <w:t xml:space="preserve"> </w:t>
      </w:r>
      <w:r>
        <w:rPr>
          <w:color w:val="231F20"/>
          <w:sz w:val="20"/>
        </w:rPr>
        <w:t>all</w:t>
      </w:r>
      <w:r>
        <w:rPr>
          <w:color w:val="231F20"/>
          <w:spacing w:val="-10"/>
          <w:sz w:val="20"/>
        </w:rPr>
        <w:t xml:space="preserve"> </w:t>
      </w:r>
      <w:r>
        <w:rPr>
          <w:color w:val="231F20"/>
          <w:sz w:val="20"/>
        </w:rPr>
        <w:t>restrictions</w:t>
      </w:r>
      <w:r>
        <w:rPr>
          <w:color w:val="231F20"/>
          <w:spacing w:val="-9"/>
          <w:sz w:val="20"/>
        </w:rPr>
        <w:t xml:space="preserve"> </w:t>
      </w:r>
      <w:r>
        <w:rPr>
          <w:color w:val="231F20"/>
          <w:sz w:val="20"/>
        </w:rPr>
        <w:t>on</w:t>
      </w:r>
      <w:r>
        <w:rPr>
          <w:color w:val="231F20"/>
          <w:spacing w:val="-10"/>
          <w:sz w:val="20"/>
        </w:rPr>
        <w:t xml:space="preserve"> </w:t>
      </w:r>
      <w:r>
        <w:rPr>
          <w:color w:val="231F20"/>
          <w:sz w:val="20"/>
        </w:rPr>
        <w:t>publication</w:t>
      </w:r>
      <w:r>
        <w:rPr>
          <w:color w:val="231F20"/>
          <w:spacing w:val="-10"/>
          <w:sz w:val="20"/>
        </w:rPr>
        <w:t xml:space="preserve"> </w:t>
      </w:r>
      <w:r>
        <w:rPr>
          <w:color w:val="231F20"/>
          <w:sz w:val="20"/>
        </w:rPr>
        <w:t>of</w:t>
      </w:r>
      <w:r>
        <w:rPr>
          <w:color w:val="231F20"/>
          <w:spacing w:val="-10"/>
          <w:sz w:val="20"/>
        </w:rPr>
        <w:t xml:space="preserve"> </w:t>
      </w:r>
      <w:r>
        <w:rPr>
          <w:color w:val="231F20"/>
          <w:sz w:val="20"/>
        </w:rPr>
        <w:t>court</w:t>
      </w:r>
      <w:r>
        <w:rPr>
          <w:color w:val="231F20"/>
          <w:spacing w:val="-9"/>
          <w:sz w:val="20"/>
        </w:rPr>
        <w:t xml:space="preserve"> </w:t>
      </w:r>
      <w:r>
        <w:rPr>
          <w:color w:val="231F20"/>
          <w:sz w:val="20"/>
        </w:rPr>
        <w:t>matters,</w:t>
      </w:r>
      <w:r>
        <w:rPr>
          <w:color w:val="231F20"/>
          <w:spacing w:val="-10"/>
          <w:sz w:val="20"/>
        </w:rPr>
        <w:t xml:space="preserve"> </w:t>
      </w:r>
      <w:r>
        <w:rPr>
          <w:color w:val="231F20"/>
          <w:sz w:val="20"/>
        </w:rPr>
        <w:t>this</w:t>
      </w:r>
      <w:r>
        <w:rPr>
          <w:color w:val="231F20"/>
          <w:spacing w:val="-10"/>
          <w:sz w:val="20"/>
        </w:rPr>
        <w:t xml:space="preserve"> </w:t>
      </w:r>
      <w:r>
        <w:rPr>
          <w:color w:val="231F20"/>
          <w:sz w:val="20"/>
        </w:rPr>
        <w:t>must</w:t>
      </w:r>
      <w:r>
        <w:rPr>
          <w:color w:val="231F20"/>
          <w:spacing w:val="-10"/>
          <w:sz w:val="20"/>
        </w:rPr>
        <w:t xml:space="preserve"> </w:t>
      </w:r>
      <w:r>
        <w:rPr>
          <w:color w:val="231F20"/>
          <w:sz w:val="20"/>
        </w:rPr>
        <w:t>be</w:t>
      </w:r>
      <w:r>
        <w:rPr>
          <w:color w:val="231F20"/>
          <w:spacing w:val="-9"/>
          <w:sz w:val="20"/>
        </w:rPr>
        <w:t xml:space="preserve"> </w:t>
      </w:r>
      <w:r>
        <w:rPr>
          <w:color w:val="231F20"/>
          <w:sz w:val="20"/>
        </w:rPr>
        <w:t>balanced</w:t>
      </w:r>
      <w:r>
        <w:rPr>
          <w:color w:val="231F20"/>
          <w:spacing w:val="-10"/>
          <w:sz w:val="20"/>
        </w:rPr>
        <w:t xml:space="preserve"> </w:t>
      </w:r>
      <w:r>
        <w:rPr>
          <w:color w:val="231F20"/>
          <w:sz w:val="20"/>
        </w:rPr>
        <w:t xml:space="preserve">against the public </w:t>
      </w:r>
      <w:r>
        <w:rPr>
          <w:color w:val="231F20"/>
          <w:spacing w:val="-3"/>
          <w:sz w:val="20"/>
        </w:rPr>
        <w:t xml:space="preserve">interest </w:t>
      </w:r>
      <w:r>
        <w:rPr>
          <w:color w:val="231F20"/>
          <w:sz w:val="20"/>
        </w:rPr>
        <w:t xml:space="preserve">in transparency of justice. PSIOs can </w:t>
      </w:r>
      <w:r>
        <w:rPr>
          <w:color w:val="231F20"/>
          <w:spacing w:val="-4"/>
          <w:sz w:val="20"/>
        </w:rPr>
        <w:t xml:space="preserve">cover </w:t>
      </w:r>
      <w:r>
        <w:rPr>
          <w:color w:val="231F20"/>
          <w:sz w:val="20"/>
        </w:rPr>
        <w:t xml:space="preserve">a wide range of behaviours aside </w:t>
      </w:r>
      <w:r>
        <w:rPr>
          <w:color w:val="231F20"/>
          <w:spacing w:val="-3"/>
          <w:sz w:val="20"/>
        </w:rPr>
        <w:t xml:space="preserve">from </w:t>
      </w:r>
      <w:r>
        <w:rPr>
          <w:color w:val="231F20"/>
          <w:sz w:val="20"/>
        </w:rPr>
        <w:t xml:space="preserve">stalking, some of which </w:t>
      </w:r>
      <w:r>
        <w:rPr>
          <w:color w:val="231F20"/>
          <w:spacing w:val="-3"/>
          <w:sz w:val="20"/>
        </w:rPr>
        <w:t xml:space="preserve">may relate </w:t>
      </w:r>
      <w:r>
        <w:rPr>
          <w:color w:val="231F20"/>
          <w:sz w:val="20"/>
        </w:rPr>
        <w:t xml:space="preserve">to public </w:t>
      </w:r>
      <w:r>
        <w:rPr>
          <w:color w:val="231F20"/>
          <w:spacing w:val="-3"/>
          <w:sz w:val="20"/>
        </w:rPr>
        <w:t xml:space="preserve">interest </w:t>
      </w:r>
      <w:r>
        <w:rPr>
          <w:color w:val="231F20"/>
          <w:sz w:val="20"/>
        </w:rPr>
        <w:t xml:space="preserve">issues that justify publication. </w:t>
      </w:r>
      <w:r>
        <w:rPr>
          <w:color w:val="231F20"/>
          <w:spacing w:val="-6"/>
          <w:sz w:val="20"/>
        </w:rPr>
        <w:t xml:space="preserve">We </w:t>
      </w:r>
      <w:r>
        <w:rPr>
          <w:color w:val="231F20"/>
          <w:sz w:val="20"/>
        </w:rPr>
        <w:t xml:space="preserve">consider that this issue should be managed </w:t>
      </w:r>
      <w:r>
        <w:rPr>
          <w:color w:val="231F20"/>
          <w:spacing w:val="-3"/>
          <w:sz w:val="20"/>
        </w:rPr>
        <w:t xml:space="preserve">by </w:t>
      </w:r>
      <w:r>
        <w:rPr>
          <w:color w:val="231F20"/>
          <w:sz w:val="20"/>
        </w:rPr>
        <w:t>judicial discretion.</w:t>
      </w:r>
    </w:p>
    <w:p w14:paraId="156A3309" w14:textId="77777777" w:rsidR="00894070" w:rsidRDefault="009B7AFD">
      <w:pPr>
        <w:pStyle w:val="ListParagraph"/>
        <w:numPr>
          <w:ilvl w:val="1"/>
          <w:numId w:val="102"/>
        </w:numPr>
        <w:tabs>
          <w:tab w:val="left" w:pos="1801"/>
          <w:tab w:val="left" w:pos="1802"/>
        </w:tabs>
        <w:spacing w:before="94" w:line="259" w:lineRule="exact"/>
        <w:rPr>
          <w:sz w:val="20"/>
        </w:rPr>
      </w:pPr>
      <w:r>
        <w:rPr>
          <w:color w:val="231F20"/>
          <w:spacing w:val="-3"/>
          <w:sz w:val="20"/>
        </w:rPr>
        <w:t>Importantly,</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FVPA</w:t>
      </w:r>
      <w:r>
        <w:rPr>
          <w:color w:val="231F20"/>
          <w:spacing w:val="-5"/>
          <w:sz w:val="20"/>
        </w:rPr>
        <w:t xml:space="preserve"> </w:t>
      </w:r>
      <w:r>
        <w:rPr>
          <w:color w:val="231F20"/>
          <w:spacing w:val="-3"/>
          <w:sz w:val="20"/>
        </w:rPr>
        <w:t>provides</w:t>
      </w:r>
      <w:r>
        <w:rPr>
          <w:color w:val="231F20"/>
          <w:spacing w:val="-4"/>
          <w:sz w:val="20"/>
        </w:rPr>
        <w:t xml:space="preserve"> </w:t>
      </w:r>
      <w:r>
        <w:rPr>
          <w:color w:val="231F20"/>
          <w:sz w:val="20"/>
        </w:rPr>
        <w:t>an</w:t>
      </w:r>
      <w:r>
        <w:rPr>
          <w:color w:val="231F20"/>
          <w:spacing w:val="-5"/>
          <w:sz w:val="20"/>
        </w:rPr>
        <w:t xml:space="preserve"> </w:t>
      </w:r>
      <w:r>
        <w:rPr>
          <w:color w:val="231F20"/>
          <w:spacing w:val="-3"/>
          <w:sz w:val="20"/>
        </w:rPr>
        <w:t>exception</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4"/>
          <w:sz w:val="20"/>
        </w:rPr>
        <w:t xml:space="preserve"> </w:t>
      </w:r>
      <w:r>
        <w:rPr>
          <w:color w:val="231F20"/>
          <w:sz w:val="20"/>
        </w:rPr>
        <w:t>restriction</w:t>
      </w:r>
      <w:r>
        <w:rPr>
          <w:color w:val="231F20"/>
          <w:spacing w:val="-5"/>
          <w:sz w:val="20"/>
        </w:rPr>
        <w:t xml:space="preserve"> </w:t>
      </w:r>
      <w:r>
        <w:rPr>
          <w:color w:val="231F20"/>
          <w:sz w:val="20"/>
        </w:rPr>
        <w:t>on</w:t>
      </w:r>
      <w:r>
        <w:rPr>
          <w:color w:val="231F20"/>
          <w:spacing w:val="-5"/>
          <w:sz w:val="20"/>
        </w:rPr>
        <w:t xml:space="preserve"> </w:t>
      </w:r>
      <w:r>
        <w:rPr>
          <w:color w:val="231F20"/>
          <w:sz w:val="20"/>
        </w:rPr>
        <w:t>publication</w:t>
      </w:r>
      <w:r>
        <w:rPr>
          <w:color w:val="231F20"/>
          <w:spacing w:val="-5"/>
          <w:sz w:val="20"/>
        </w:rPr>
        <w:t xml:space="preserve"> </w:t>
      </w:r>
      <w:r>
        <w:rPr>
          <w:color w:val="231F20"/>
          <w:sz w:val="20"/>
        </w:rPr>
        <w:t>when</w:t>
      </w:r>
    </w:p>
    <w:p w14:paraId="2634AD73" w14:textId="77777777" w:rsidR="00894070" w:rsidRDefault="009B7AFD">
      <w:pPr>
        <w:pStyle w:val="BodyText"/>
        <w:spacing w:line="259" w:lineRule="exact"/>
        <w:ind w:left="1801"/>
        <w:rPr>
          <w:sz w:val="11"/>
        </w:rPr>
      </w:pPr>
      <w:r>
        <w:rPr>
          <w:color w:val="231F20"/>
        </w:rPr>
        <w:t xml:space="preserve">adult </w:t>
      </w:r>
      <w:proofErr w:type="gramStart"/>
      <w:r>
        <w:rPr>
          <w:color w:val="231F20"/>
        </w:rPr>
        <w:t>parties</w:t>
      </w:r>
      <w:proofErr w:type="gramEnd"/>
      <w:r>
        <w:rPr>
          <w:color w:val="231F20"/>
        </w:rPr>
        <w:t xml:space="preserve"> consent.</w:t>
      </w:r>
      <w:r>
        <w:rPr>
          <w:color w:val="231F20"/>
          <w:position w:val="7"/>
          <w:sz w:val="11"/>
        </w:rPr>
        <w:t>135</w:t>
      </w:r>
    </w:p>
    <w:p w14:paraId="4DEECBB3" w14:textId="77777777" w:rsidR="00894070" w:rsidRDefault="009B7AFD">
      <w:pPr>
        <w:pStyle w:val="ListParagraph"/>
        <w:numPr>
          <w:ilvl w:val="1"/>
          <w:numId w:val="102"/>
        </w:numPr>
        <w:tabs>
          <w:tab w:val="left" w:pos="1801"/>
          <w:tab w:val="left" w:pos="1802"/>
        </w:tabs>
        <w:spacing w:before="82" w:line="259" w:lineRule="exact"/>
        <w:rPr>
          <w:sz w:val="20"/>
        </w:rPr>
      </w:pPr>
      <w:r>
        <w:rPr>
          <w:color w:val="231F20"/>
          <w:sz w:val="20"/>
        </w:rPr>
        <w:t>Under</w:t>
      </w:r>
      <w:r>
        <w:rPr>
          <w:color w:val="231F20"/>
          <w:spacing w:val="-6"/>
          <w:sz w:val="20"/>
        </w:rPr>
        <w:t xml:space="preserve"> </w:t>
      </w:r>
      <w:r>
        <w:rPr>
          <w:color w:val="231F20"/>
          <w:sz w:val="20"/>
        </w:rPr>
        <w:t>the</w:t>
      </w:r>
      <w:r>
        <w:rPr>
          <w:color w:val="231F20"/>
          <w:spacing w:val="-5"/>
          <w:sz w:val="20"/>
        </w:rPr>
        <w:t xml:space="preserve"> </w:t>
      </w:r>
      <w:r>
        <w:rPr>
          <w:color w:val="231F20"/>
          <w:sz w:val="20"/>
        </w:rPr>
        <w:t>FVPA,</w:t>
      </w:r>
      <w:r>
        <w:rPr>
          <w:color w:val="231F20"/>
          <w:spacing w:val="-6"/>
          <w:sz w:val="20"/>
        </w:rPr>
        <w:t xml:space="preserve"> </w:t>
      </w:r>
      <w:r>
        <w:rPr>
          <w:color w:val="231F20"/>
          <w:sz w:val="20"/>
        </w:rPr>
        <w:t>the</w:t>
      </w:r>
      <w:r>
        <w:rPr>
          <w:color w:val="231F20"/>
          <w:spacing w:val="-5"/>
          <w:sz w:val="20"/>
        </w:rPr>
        <w:t xml:space="preserve"> </w:t>
      </w:r>
      <w:r>
        <w:rPr>
          <w:color w:val="231F20"/>
          <w:sz w:val="20"/>
        </w:rPr>
        <w:t>court</w:t>
      </w:r>
      <w:r>
        <w:rPr>
          <w:color w:val="231F20"/>
          <w:spacing w:val="-5"/>
          <w:sz w:val="20"/>
        </w:rPr>
        <w:t xml:space="preserve"> </w:t>
      </w:r>
      <w:r>
        <w:rPr>
          <w:color w:val="231F20"/>
          <w:spacing w:val="-3"/>
          <w:sz w:val="20"/>
        </w:rPr>
        <w:t>may</w:t>
      </w:r>
      <w:r>
        <w:rPr>
          <w:color w:val="231F20"/>
          <w:spacing w:val="-6"/>
          <w:sz w:val="20"/>
        </w:rPr>
        <w:t xml:space="preserve"> </w:t>
      </w:r>
      <w:r>
        <w:rPr>
          <w:color w:val="231F20"/>
          <w:spacing w:val="-3"/>
          <w:sz w:val="20"/>
        </w:rPr>
        <w:t>allow</w:t>
      </w:r>
      <w:r>
        <w:rPr>
          <w:color w:val="231F20"/>
          <w:spacing w:val="-5"/>
          <w:sz w:val="20"/>
        </w:rPr>
        <w:t xml:space="preserve"> </w:t>
      </w:r>
      <w:r>
        <w:rPr>
          <w:color w:val="231F20"/>
          <w:sz w:val="20"/>
        </w:rPr>
        <w:t>publication</w:t>
      </w:r>
      <w:r>
        <w:rPr>
          <w:color w:val="231F20"/>
          <w:spacing w:val="-5"/>
          <w:sz w:val="20"/>
        </w:rPr>
        <w:t xml:space="preserve"> </w:t>
      </w:r>
      <w:r>
        <w:rPr>
          <w:color w:val="231F20"/>
          <w:sz w:val="20"/>
        </w:rPr>
        <w:t>of</w:t>
      </w:r>
      <w:r>
        <w:rPr>
          <w:color w:val="231F20"/>
          <w:spacing w:val="-6"/>
          <w:sz w:val="20"/>
        </w:rPr>
        <w:t xml:space="preserve"> </w:t>
      </w:r>
      <w:r>
        <w:rPr>
          <w:color w:val="231F20"/>
          <w:sz w:val="20"/>
        </w:rPr>
        <w:t>identifying</w:t>
      </w:r>
      <w:r>
        <w:rPr>
          <w:color w:val="231F20"/>
          <w:spacing w:val="-5"/>
          <w:sz w:val="20"/>
        </w:rPr>
        <w:t xml:space="preserve"> </w:t>
      </w:r>
      <w:r>
        <w:rPr>
          <w:color w:val="231F20"/>
          <w:sz w:val="20"/>
        </w:rPr>
        <w:t>particulars</w:t>
      </w:r>
      <w:r>
        <w:rPr>
          <w:color w:val="231F20"/>
          <w:spacing w:val="-5"/>
          <w:sz w:val="20"/>
        </w:rPr>
        <w:t xml:space="preserve"> </w:t>
      </w:r>
      <w:r>
        <w:rPr>
          <w:color w:val="231F20"/>
          <w:sz w:val="20"/>
        </w:rPr>
        <w:t>or</w:t>
      </w:r>
      <w:r>
        <w:rPr>
          <w:color w:val="231F20"/>
          <w:spacing w:val="-6"/>
          <w:sz w:val="20"/>
        </w:rPr>
        <w:t xml:space="preserve"> </w:t>
      </w:r>
      <w:r>
        <w:rPr>
          <w:color w:val="231F20"/>
          <w:sz w:val="20"/>
        </w:rPr>
        <w:t>a</w:t>
      </w:r>
      <w:r>
        <w:rPr>
          <w:color w:val="231F20"/>
          <w:spacing w:val="-5"/>
          <w:sz w:val="20"/>
        </w:rPr>
        <w:t xml:space="preserve"> </w:t>
      </w:r>
      <w:r>
        <w:rPr>
          <w:color w:val="231F20"/>
          <w:spacing w:val="-3"/>
          <w:sz w:val="20"/>
        </w:rPr>
        <w:t>picture,</w:t>
      </w:r>
    </w:p>
    <w:p w14:paraId="5D097156" w14:textId="77777777" w:rsidR="00894070" w:rsidRDefault="009B7AFD">
      <w:pPr>
        <w:pStyle w:val="BodyText"/>
        <w:spacing w:line="259" w:lineRule="exact"/>
        <w:ind w:left="1801"/>
      </w:pPr>
      <w:r>
        <w:rPr>
          <w:color w:val="231F20"/>
        </w:rPr>
        <w:t>if it reasonably considers that:</w:t>
      </w:r>
    </w:p>
    <w:p w14:paraId="4E4DCBE1" w14:textId="77777777" w:rsidR="00894070" w:rsidRDefault="009B7AFD">
      <w:pPr>
        <w:pStyle w:val="ListParagraph"/>
        <w:numPr>
          <w:ilvl w:val="2"/>
          <w:numId w:val="102"/>
        </w:numPr>
        <w:tabs>
          <w:tab w:val="left" w:pos="2141"/>
          <w:tab w:val="left" w:pos="2142"/>
        </w:tabs>
        <w:spacing w:before="83"/>
        <w:ind w:hanging="340"/>
        <w:rPr>
          <w:sz w:val="20"/>
        </w:rPr>
      </w:pPr>
      <w:r>
        <w:rPr>
          <w:color w:val="231F20"/>
          <w:sz w:val="20"/>
        </w:rPr>
        <w:t xml:space="preserve">it is in the public </w:t>
      </w:r>
      <w:r>
        <w:rPr>
          <w:color w:val="231F20"/>
          <w:spacing w:val="-3"/>
          <w:sz w:val="20"/>
        </w:rPr>
        <w:t xml:space="preserve">interest </w:t>
      </w:r>
      <w:r>
        <w:rPr>
          <w:color w:val="231F20"/>
          <w:sz w:val="20"/>
        </w:rPr>
        <w:t xml:space="preserve">to </w:t>
      </w:r>
      <w:r>
        <w:rPr>
          <w:color w:val="231F20"/>
          <w:spacing w:val="-3"/>
          <w:sz w:val="20"/>
        </w:rPr>
        <w:t>allow</w:t>
      </w:r>
      <w:r>
        <w:rPr>
          <w:color w:val="231F20"/>
          <w:spacing w:val="-31"/>
          <w:sz w:val="20"/>
        </w:rPr>
        <w:t xml:space="preserve"> </w:t>
      </w:r>
      <w:r>
        <w:rPr>
          <w:color w:val="231F20"/>
          <w:sz w:val="20"/>
        </w:rPr>
        <w:t>publication</w:t>
      </w:r>
    </w:p>
    <w:p w14:paraId="19935633" w14:textId="77777777" w:rsidR="00894070" w:rsidRDefault="009B7AFD">
      <w:pPr>
        <w:pStyle w:val="ListParagraph"/>
        <w:numPr>
          <w:ilvl w:val="2"/>
          <w:numId w:val="102"/>
        </w:numPr>
        <w:tabs>
          <w:tab w:val="left" w:pos="2141"/>
          <w:tab w:val="left" w:pos="2142"/>
        </w:tabs>
        <w:spacing w:before="47"/>
        <w:ind w:hanging="340"/>
        <w:rPr>
          <w:sz w:val="11"/>
        </w:rPr>
      </w:pPr>
      <w:r>
        <w:rPr>
          <w:color w:val="231F20"/>
          <w:sz w:val="20"/>
        </w:rPr>
        <w:t xml:space="preserve">it is just to </w:t>
      </w:r>
      <w:r>
        <w:rPr>
          <w:color w:val="231F20"/>
          <w:spacing w:val="-3"/>
          <w:sz w:val="20"/>
        </w:rPr>
        <w:t xml:space="preserve">allow </w:t>
      </w:r>
      <w:r>
        <w:rPr>
          <w:color w:val="231F20"/>
          <w:sz w:val="20"/>
        </w:rPr>
        <w:t>it in the</w:t>
      </w:r>
      <w:r>
        <w:rPr>
          <w:color w:val="231F20"/>
          <w:spacing w:val="-31"/>
          <w:sz w:val="20"/>
        </w:rPr>
        <w:t xml:space="preserve"> </w:t>
      </w:r>
      <w:r>
        <w:rPr>
          <w:color w:val="231F20"/>
          <w:sz w:val="20"/>
        </w:rPr>
        <w:t>circumstances.</w:t>
      </w:r>
      <w:r>
        <w:rPr>
          <w:color w:val="231F20"/>
          <w:position w:val="7"/>
          <w:sz w:val="11"/>
        </w:rPr>
        <w:t>136</w:t>
      </w:r>
    </w:p>
    <w:p w14:paraId="445EA5BD" w14:textId="77777777" w:rsidR="00894070" w:rsidRDefault="009B7AFD">
      <w:pPr>
        <w:pStyle w:val="ListParagraph"/>
        <w:numPr>
          <w:ilvl w:val="1"/>
          <w:numId w:val="102"/>
        </w:numPr>
        <w:tabs>
          <w:tab w:val="left" w:pos="1801"/>
          <w:tab w:val="left" w:pos="1802"/>
        </w:tabs>
        <w:spacing w:before="48" w:line="259" w:lineRule="exact"/>
        <w:rPr>
          <w:sz w:val="20"/>
        </w:rPr>
      </w:pPr>
      <w:r>
        <w:rPr>
          <w:color w:val="231F20"/>
          <w:spacing w:val="-6"/>
          <w:sz w:val="20"/>
        </w:rPr>
        <w:t>We</w:t>
      </w:r>
      <w:r>
        <w:rPr>
          <w:color w:val="231F20"/>
          <w:spacing w:val="-7"/>
          <w:sz w:val="20"/>
        </w:rPr>
        <w:t xml:space="preserve"> </w:t>
      </w:r>
      <w:r>
        <w:rPr>
          <w:color w:val="231F20"/>
          <w:sz w:val="20"/>
        </w:rPr>
        <w:t>recommend</w:t>
      </w:r>
      <w:r>
        <w:rPr>
          <w:color w:val="231F20"/>
          <w:spacing w:val="-7"/>
          <w:sz w:val="20"/>
        </w:rPr>
        <w:t xml:space="preserve"> </w:t>
      </w:r>
      <w:r>
        <w:rPr>
          <w:color w:val="231F20"/>
          <w:sz w:val="20"/>
        </w:rPr>
        <w:t>that</w:t>
      </w:r>
      <w:r>
        <w:rPr>
          <w:color w:val="231F20"/>
          <w:spacing w:val="-7"/>
          <w:sz w:val="20"/>
        </w:rPr>
        <w:t xml:space="preserve"> </w:t>
      </w:r>
      <w:r>
        <w:rPr>
          <w:color w:val="231F20"/>
          <w:sz w:val="20"/>
        </w:rPr>
        <w:t>the</w:t>
      </w:r>
      <w:r>
        <w:rPr>
          <w:color w:val="231F20"/>
          <w:spacing w:val="-7"/>
          <w:sz w:val="20"/>
        </w:rPr>
        <w:t xml:space="preserve"> </w:t>
      </w:r>
      <w:r>
        <w:rPr>
          <w:color w:val="231F20"/>
          <w:sz w:val="20"/>
        </w:rPr>
        <w:t>restriction</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PSIO</w:t>
      </w:r>
      <w:r>
        <w:rPr>
          <w:color w:val="231F20"/>
          <w:spacing w:val="-7"/>
          <w:sz w:val="20"/>
        </w:rPr>
        <w:t xml:space="preserve"> </w:t>
      </w:r>
      <w:r>
        <w:rPr>
          <w:color w:val="231F20"/>
          <w:spacing w:val="-2"/>
          <w:sz w:val="20"/>
        </w:rPr>
        <w:t>Act</w:t>
      </w:r>
      <w:r>
        <w:rPr>
          <w:color w:val="231F20"/>
          <w:spacing w:val="-7"/>
          <w:sz w:val="20"/>
        </w:rPr>
        <w:t xml:space="preserve"> </w:t>
      </w:r>
      <w:r>
        <w:rPr>
          <w:color w:val="231F20"/>
          <w:sz w:val="20"/>
        </w:rPr>
        <w:t>on</w:t>
      </w:r>
      <w:r>
        <w:rPr>
          <w:color w:val="231F20"/>
          <w:spacing w:val="-7"/>
          <w:sz w:val="20"/>
        </w:rPr>
        <w:t xml:space="preserve"> </w:t>
      </w:r>
      <w:r>
        <w:rPr>
          <w:color w:val="231F20"/>
          <w:sz w:val="20"/>
        </w:rPr>
        <w:t>publication</w:t>
      </w:r>
      <w:r>
        <w:rPr>
          <w:color w:val="231F20"/>
          <w:spacing w:val="-7"/>
          <w:sz w:val="20"/>
        </w:rPr>
        <w:t xml:space="preserve"> </w:t>
      </w:r>
      <w:r>
        <w:rPr>
          <w:color w:val="231F20"/>
          <w:sz w:val="20"/>
        </w:rPr>
        <w:t>be</w:t>
      </w:r>
      <w:r>
        <w:rPr>
          <w:color w:val="231F20"/>
          <w:spacing w:val="-7"/>
          <w:sz w:val="20"/>
        </w:rPr>
        <w:t xml:space="preserve"> </w:t>
      </w:r>
      <w:r>
        <w:rPr>
          <w:color w:val="231F20"/>
          <w:sz w:val="20"/>
        </w:rPr>
        <w:t>extended</w:t>
      </w:r>
      <w:r>
        <w:rPr>
          <w:color w:val="231F20"/>
          <w:spacing w:val="-7"/>
          <w:sz w:val="20"/>
        </w:rPr>
        <w:t xml:space="preserve"> </w:t>
      </w:r>
      <w:r>
        <w:rPr>
          <w:color w:val="231F20"/>
          <w:sz w:val="20"/>
        </w:rPr>
        <w:t>to</w:t>
      </w:r>
      <w:r>
        <w:rPr>
          <w:color w:val="231F20"/>
          <w:spacing w:val="-7"/>
          <w:sz w:val="20"/>
        </w:rPr>
        <w:t xml:space="preserve"> </w:t>
      </w:r>
      <w:r>
        <w:rPr>
          <w:color w:val="231F20"/>
          <w:spacing w:val="-4"/>
          <w:sz w:val="20"/>
        </w:rPr>
        <w:t>cover</w:t>
      </w:r>
    </w:p>
    <w:p w14:paraId="7E091AE0" w14:textId="77777777" w:rsidR="00894070" w:rsidRDefault="009B7AFD">
      <w:pPr>
        <w:pStyle w:val="BodyText"/>
        <w:spacing w:before="13" w:line="206" w:lineRule="auto"/>
        <w:ind w:left="1801" w:right="1219"/>
      </w:pPr>
      <w:r>
        <w:rPr>
          <w:color w:val="231F20"/>
        </w:rPr>
        <w:t xml:space="preserve">adults. Judicial discretion to </w:t>
      </w:r>
      <w:r>
        <w:rPr>
          <w:color w:val="231F20"/>
          <w:spacing w:val="-3"/>
        </w:rPr>
        <w:t xml:space="preserve">allow </w:t>
      </w:r>
      <w:r>
        <w:rPr>
          <w:color w:val="231F20"/>
        </w:rPr>
        <w:t xml:space="preserve">publication should be included, </w:t>
      </w:r>
      <w:proofErr w:type="gramStart"/>
      <w:r>
        <w:rPr>
          <w:color w:val="231F20"/>
        </w:rPr>
        <w:t>similar to</w:t>
      </w:r>
      <w:proofErr w:type="gramEnd"/>
      <w:r>
        <w:rPr>
          <w:color w:val="231F20"/>
        </w:rPr>
        <w:t xml:space="preserve"> section 169</w:t>
      </w:r>
      <w:r>
        <w:rPr>
          <w:color w:val="231F20"/>
          <w:spacing w:val="-12"/>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FVPA,</w:t>
      </w:r>
      <w:r>
        <w:rPr>
          <w:color w:val="231F20"/>
          <w:spacing w:val="-11"/>
        </w:rPr>
        <w:t xml:space="preserve"> </w:t>
      </w:r>
      <w:r>
        <w:rPr>
          <w:color w:val="231F20"/>
        </w:rPr>
        <w:t>and</w:t>
      </w:r>
      <w:r>
        <w:rPr>
          <w:color w:val="231F20"/>
          <w:spacing w:val="-11"/>
        </w:rPr>
        <w:t xml:space="preserve"> </w:t>
      </w:r>
      <w:r>
        <w:rPr>
          <w:color w:val="231F20"/>
        </w:rPr>
        <w:t>adult</w:t>
      </w:r>
      <w:r>
        <w:rPr>
          <w:color w:val="231F20"/>
          <w:spacing w:val="-11"/>
        </w:rPr>
        <w:t xml:space="preserve"> </w:t>
      </w:r>
      <w:r>
        <w:rPr>
          <w:color w:val="231F20"/>
        </w:rPr>
        <w:t>victims</w:t>
      </w:r>
      <w:r>
        <w:rPr>
          <w:color w:val="231F20"/>
          <w:spacing w:val="-11"/>
        </w:rPr>
        <w:t xml:space="preserve"> </w:t>
      </w:r>
      <w:r>
        <w:rPr>
          <w:color w:val="231F20"/>
        </w:rPr>
        <w:t>should</w:t>
      </w:r>
      <w:r>
        <w:rPr>
          <w:color w:val="231F20"/>
          <w:spacing w:val="-11"/>
        </w:rPr>
        <w:t xml:space="preserve"> </w:t>
      </w:r>
      <w:r>
        <w:rPr>
          <w:color w:val="231F20"/>
        </w:rPr>
        <w:t>be</w:t>
      </w:r>
      <w:r>
        <w:rPr>
          <w:color w:val="231F20"/>
          <w:spacing w:val="-11"/>
        </w:rPr>
        <w:t xml:space="preserve"> </w:t>
      </w:r>
      <w:r>
        <w:rPr>
          <w:color w:val="231F20"/>
        </w:rPr>
        <w:t>permitted</w:t>
      </w:r>
      <w:r>
        <w:rPr>
          <w:color w:val="231F20"/>
          <w:spacing w:val="-11"/>
        </w:rPr>
        <w:t xml:space="preserve"> </w:t>
      </w:r>
      <w:r>
        <w:rPr>
          <w:color w:val="231F20"/>
        </w:rPr>
        <w:t>to</w:t>
      </w:r>
      <w:r>
        <w:rPr>
          <w:color w:val="231F20"/>
          <w:spacing w:val="-11"/>
        </w:rPr>
        <w:t xml:space="preserve"> </w:t>
      </w:r>
      <w:r>
        <w:rPr>
          <w:color w:val="231F20"/>
        </w:rPr>
        <w:t>consent</w:t>
      </w:r>
      <w:r>
        <w:rPr>
          <w:color w:val="231F20"/>
          <w:spacing w:val="-11"/>
        </w:rPr>
        <w:t xml:space="preserve"> </w:t>
      </w:r>
      <w:r>
        <w:rPr>
          <w:color w:val="231F20"/>
        </w:rPr>
        <w:t>to</w:t>
      </w:r>
      <w:r>
        <w:rPr>
          <w:color w:val="231F20"/>
          <w:spacing w:val="-12"/>
        </w:rPr>
        <w:t xml:space="preserve"> </w:t>
      </w:r>
      <w:r>
        <w:rPr>
          <w:color w:val="231F20"/>
        </w:rPr>
        <w:t>publication,</w:t>
      </w:r>
      <w:r>
        <w:rPr>
          <w:color w:val="231F20"/>
          <w:spacing w:val="-11"/>
        </w:rPr>
        <w:t xml:space="preserve"> </w:t>
      </w:r>
      <w:r>
        <w:rPr>
          <w:color w:val="231F20"/>
        </w:rPr>
        <w:t xml:space="preserve">with </w:t>
      </w:r>
      <w:r>
        <w:rPr>
          <w:color w:val="231F20"/>
          <w:spacing w:val="-3"/>
        </w:rPr>
        <w:t>appropriate</w:t>
      </w:r>
      <w:r>
        <w:rPr>
          <w:color w:val="231F20"/>
          <w:spacing w:val="-6"/>
        </w:rPr>
        <w:t xml:space="preserve"> </w:t>
      </w:r>
      <w:r>
        <w:rPr>
          <w:color w:val="231F20"/>
        </w:rPr>
        <w:t>safeguards,</w:t>
      </w:r>
      <w:r>
        <w:rPr>
          <w:color w:val="231F20"/>
          <w:spacing w:val="-5"/>
        </w:rPr>
        <w:t xml:space="preserve"> </w:t>
      </w:r>
      <w:r>
        <w:rPr>
          <w:color w:val="231F20"/>
        </w:rPr>
        <w:t>along</w:t>
      </w:r>
      <w:r>
        <w:rPr>
          <w:color w:val="231F20"/>
          <w:spacing w:val="-5"/>
        </w:rPr>
        <w:t xml:space="preserve"> </w:t>
      </w:r>
      <w:r>
        <w:rPr>
          <w:color w:val="231F20"/>
        </w:rPr>
        <w:t>the</w:t>
      </w:r>
      <w:r>
        <w:rPr>
          <w:color w:val="231F20"/>
          <w:spacing w:val="-5"/>
        </w:rPr>
        <w:t xml:space="preserve"> </w:t>
      </w:r>
      <w:r>
        <w:rPr>
          <w:color w:val="231F20"/>
        </w:rPr>
        <w:t>lines</w:t>
      </w:r>
      <w:r>
        <w:rPr>
          <w:color w:val="231F20"/>
          <w:spacing w:val="-5"/>
        </w:rPr>
        <w:t xml:space="preserve"> </w:t>
      </w:r>
      <w:r>
        <w:rPr>
          <w:color w:val="231F20"/>
        </w:rPr>
        <w:t>of</w:t>
      </w:r>
      <w:r>
        <w:rPr>
          <w:color w:val="231F20"/>
          <w:spacing w:val="-5"/>
        </w:rPr>
        <w:t xml:space="preserve"> </w:t>
      </w:r>
      <w:r>
        <w:rPr>
          <w:color w:val="231F20"/>
        </w:rPr>
        <w:t>section</w:t>
      </w:r>
      <w:r>
        <w:rPr>
          <w:color w:val="231F20"/>
          <w:spacing w:val="-5"/>
        </w:rPr>
        <w:t xml:space="preserve"> </w:t>
      </w:r>
      <w:r>
        <w:rPr>
          <w:color w:val="231F20"/>
        </w:rPr>
        <w:t>169B</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FVPA.</w:t>
      </w:r>
    </w:p>
    <w:p w14:paraId="3E58EDB3" w14:textId="77777777" w:rsidR="00894070" w:rsidRDefault="009B7AFD">
      <w:pPr>
        <w:pStyle w:val="ListParagraph"/>
        <w:numPr>
          <w:ilvl w:val="1"/>
          <w:numId w:val="102"/>
        </w:numPr>
        <w:tabs>
          <w:tab w:val="left" w:pos="1801"/>
          <w:tab w:val="left" w:pos="1802"/>
        </w:tabs>
        <w:spacing w:before="124" w:line="206" w:lineRule="auto"/>
        <w:ind w:right="1206"/>
        <w:rPr>
          <w:sz w:val="20"/>
        </w:rPr>
      </w:pPr>
      <w:r>
        <w:rPr>
          <w:color w:val="231F20"/>
          <w:sz w:val="20"/>
        </w:rPr>
        <w:t xml:space="preserve">Under </w:t>
      </w:r>
      <w:r>
        <w:rPr>
          <w:color w:val="231F20"/>
          <w:spacing w:val="-3"/>
          <w:sz w:val="20"/>
        </w:rPr>
        <w:t xml:space="preserve">recent </w:t>
      </w:r>
      <w:r>
        <w:rPr>
          <w:color w:val="231F20"/>
          <w:sz w:val="20"/>
        </w:rPr>
        <w:t xml:space="preserve">amendments to the </w:t>
      </w:r>
      <w:r>
        <w:rPr>
          <w:i/>
          <w:color w:val="231F20"/>
          <w:sz w:val="20"/>
        </w:rPr>
        <w:t xml:space="preserve">Judicial Proceedings Reports Act 1958 </w:t>
      </w:r>
      <w:r>
        <w:rPr>
          <w:color w:val="231F20"/>
          <w:spacing w:val="-2"/>
          <w:sz w:val="20"/>
        </w:rPr>
        <w:t xml:space="preserve">(Vic), </w:t>
      </w:r>
      <w:r>
        <w:rPr>
          <w:color w:val="231F20"/>
          <w:spacing w:val="-3"/>
          <w:sz w:val="20"/>
        </w:rPr>
        <w:t xml:space="preserve">exceptions </w:t>
      </w:r>
      <w:r>
        <w:rPr>
          <w:color w:val="231F20"/>
          <w:sz w:val="20"/>
        </w:rPr>
        <w:t>can be made to prohibitions against publication of details about victims of sexual offending.</w:t>
      </w:r>
      <w:r>
        <w:rPr>
          <w:color w:val="231F20"/>
          <w:position w:val="7"/>
          <w:sz w:val="11"/>
        </w:rPr>
        <w:t xml:space="preserve">137 </w:t>
      </w:r>
      <w:r>
        <w:rPr>
          <w:color w:val="231F20"/>
          <w:sz w:val="20"/>
        </w:rPr>
        <w:t xml:space="preserve">This includes where the victim is a child. A child </w:t>
      </w:r>
      <w:r>
        <w:rPr>
          <w:color w:val="231F20"/>
          <w:spacing w:val="-3"/>
          <w:sz w:val="20"/>
        </w:rPr>
        <w:t xml:space="preserve">may give (usually written) </w:t>
      </w:r>
      <w:r>
        <w:rPr>
          <w:color w:val="231F20"/>
          <w:sz w:val="20"/>
        </w:rPr>
        <w:t xml:space="preserve">permission </w:t>
      </w:r>
      <w:r>
        <w:rPr>
          <w:color w:val="231F20"/>
          <w:spacing w:val="-3"/>
          <w:sz w:val="20"/>
        </w:rPr>
        <w:t xml:space="preserve">for </w:t>
      </w:r>
      <w:r>
        <w:rPr>
          <w:color w:val="231F20"/>
          <w:sz w:val="20"/>
        </w:rPr>
        <w:t xml:space="preserve">publication of particulars, if permission is accompanied </w:t>
      </w:r>
      <w:r>
        <w:rPr>
          <w:color w:val="231F20"/>
          <w:spacing w:val="-3"/>
          <w:sz w:val="20"/>
        </w:rPr>
        <w:t xml:space="preserve">by </w:t>
      </w:r>
      <w:r>
        <w:rPr>
          <w:color w:val="231F20"/>
          <w:sz w:val="20"/>
        </w:rPr>
        <w:t>a statement</w:t>
      </w:r>
      <w:r>
        <w:rPr>
          <w:color w:val="231F20"/>
          <w:spacing w:val="-10"/>
          <w:sz w:val="20"/>
        </w:rPr>
        <w:t xml:space="preserve"> </w:t>
      </w:r>
      <w:r>
        <w:rPr>
          <w:color w:val="231F20"/>
          <w:spacing w:val="-3"/>
          <w:sz w:val="20"/>
        </w:rPr>
        <w:t>from</w:t>
      </w:r>
      <w:r>
        <w:rPr>
          <w:color w:val="231F20"/>
          <w:spacing w:val="-9"/>
          <w:sz w:val="20"/>
        </w:rPr>
        <w:t xml:space="preserve"> </w:t>
      </w:r>
      <w:r>
        <w:rPr>
          <w:color w:val="231F20"/>
          <w:sz w:val="20"/>
        </w:rPr>
        <w:t>a</w:t>
      </w:r>
      <w:r>
        <w:rPr>
          <w:color w:val="231F20"/>
          <w:spacing w:val="-10"/>
          <w:sz w:val="20"/>
        </w:rPr>
        <w:t xml:space="preserve"> </w:t>
      </w:r>
      <w:r>
        <w:rPr>
          <w:color w:val="231F20"/>
          <w:spacing w:val="-3"/>
          <w:sz w:val="20"/>
        </w:rPr>
        <w:t>relevant</w:t>
      </w:r>
      <w:r>
        <w:rPr>
          <w:color w:val="231F20"/>
          <w:spacing w:val="-9"/>
          <w:sz w:val="20"/>
        </w:rPr>
        <w:t xml:space="preserve"> </w:t>
      </w:r>
      <w:r>
        <w:rPr>
          <w:color w:val="231F20"/>
          <w:sz w:val="20"/>
        </w:rPr>
        <w:t>person</w:t>
      </w:r>
      <w:r>
        <w:rPr>
          <w:color w:val="231F20"/>
          <w:spacing w:val="-9"/>
          <w:sz w:val="20"/>
        </w:rPr>
        <w:t xml:space="preserve"> </w:t>
      </w:r>
      <w:r>
        <w:rPr>
          <w:color w:val="231F20"/>
          <w:spacing w:val="-3"/>
          <w:sz w:val="20"/>
        </w:rPr>
        <w:t>(usually</w:t>
      </w:r>
      <w:r>
        <w:rPr>
          <w:color w:val="231F20"/>
          <w:spacing w:val="-10"/>
          <w:sz w:val="20"/>
        </w:rPr>
        <w:t xml:space="preserve"> </w:t>
      </w:r>
      <w:r>
        <w:rPr>
          <w:color w:val="231F20"/>
          <w:sz w:val="20"/>
        </w:rPr>
        <w:t>a</w:t>
      </w:r>
      <w:r>
        <w:rPr>
          <w:color w:val="231F20"/>
          <w:spacing w:val="-9"/>
          <w:sz w:val="20"/>
        </w:rPr>
        <w:t xml:space="preserve"> </w:t>
      </w:r>
      <w:r>
        <w:rPr>
          <w:color w:val="231F20"/>
          <w:sz w:val="20"/>
        </w:rPr>
        <w:t>doctor</w:t>
      </w:r>
      <w:r>
        <w:rPr>
          <w:color w:val="231F20"/>
          <w:spacing w:val="-9"/>
          <w:sz w:val="20"/>
        </w:rPr>
        <w:t xml:space="preserve"> </w:t>
      </w:r>
      <w:r>
        <w:rPr>
          <w:color w:val="231F20"/>
          <w:sz w:val="20"/>
        </w:rPr>
        <w:t>or</w:t>
      </w:r>
      <w:r>
        <w:rPr>
          <w:color w:val="231F20"/>
          <w:spacing w:val="-10"/>
          <w:sz w:val="20"/>
        </w:rPr>
        <w:t xml:space="preserve"> </w:t>
      </w:r>
      <w:r>
        <w:rPr>
          <w:color w:val="231F20"/>
          <w:sz w:val="20"/>
        </w:rPr>
        <w:t>psychologist)</w:t>
      </w:r>
      <w:r>
        <w:rPr>
          <w:color w:val="231F20"/>
          <w:spacing w:val="-9"/>
          <w:sz w:val="20"/>
        </w:rPr>
        <w:t xml:space="preserve"> </w:t>
      </w:r>
      <w:r>
        <w:rPr>
          <w:color w:val="231F20"/>
          <w:sz w:val="20"/>
        </w:rPr>
        <w:t>that</w:t>
      </w:r>
      <w:r>
        <w:rPr>
          <w:color w:val="231F20"/>
          <w:spacing w:val="-10"/>
          <w:sz w:val="20"/>
        </w:rPr>
        <w:t xml:space="preserve"> </w:t>
      </w:r>
      <w:r>
        <w:rPr>
          <w:color w:val="231F20"/>
          <w:sz w:val="20"/>
        </w:rPr>
        <w:t>attests</w:t>
      </w:r>
      <w:r>
        <w:rPr>
          <w:color w:val="231F20"/>
          <w:spacing w:val="-9"/>
          <w:sz w:val="20"/>
        </w:rPr>
        <w:t xml:space="preserve"> </w:t>
      </w:r>
      <w:r>
        <w:rPr>
          <w:color w:val="231F20"/>
          <w:sz w:val="20"/>
        </w:rPr>
        <w:t>that</w:t>
      </w:r>
      <w:r>
        <w:rPr>
          <w:color w:val="231F20"/>
          <w:spacing w:val="-9"/>
          <w:sz w:val="20"/>
        </w:rPr>
        <w:t xml:space="preserve"> </w:t>
      </w:r>
      <w:r>
        <w:rPr>
          <w:color w:val="231F20"/>
          <w:sz w:val="20"/>
        </w:rPr>
        <w:t>the child</w:t>
      </w:r>
      <w:r>
        <w:rPr>
          <w:color w:val="231F20"/>
          <w:spacing w:val="-5"/>
          <w:sz w:val="20"/>
        </w:rPr>
        <w:t xml:space="preserve"> </w:t>
      </w:r>
      <w:r>
        <w:rPr>
          <w:color w:val="231F20"/>
          <w:sz w:val="20"/>
        </w:rPr>
        <w:t>understands:</w:t>
      </w:r>
    </w:p>
    <w:p w14:paraId="74A3BC46" w14:textId="77777777" w:rsidR="00894070" w:rsidRDefault="009B7AFD">
      <w:pPr>
        <w:pStyle w:val="ListParagraph"/>
        <w:numPr>
          <w:ilvl w:val="2"/>
          <w:numId w:val="102"/>
        </w:numPr>
        <w:tabs>
          <w:tab w:val="left" w:pos="2141"/>
          <w:tab w:val="left" w:pos="2142"/>
        </w:tabs>
        <w:spacing w:before="95"/>
        <w:ind w:hanging="340"/>
        <w:rPr>
          <w:sz w:val="20"/>
        </w:rPr>
      </w:pPr>
      <w:r>
        <w:rPr>
          <w:color w:val="231F20"/>
          <w:sz w:val="20"/>
        </w:rPr>
        <w:t>what</w:t>
      </w:r>
      <w:r>
        <w:rPr>
          <w:color w:val="231F20"/>
          <w:spacing w:val="-6"/>
          <w:sz w:val="20"/>
        </w:rPr>
        <w:t xml:space="preserve"> </w:t>
      </w:r>
      <w:r>
        <w:rPr>
          <w:color w:val="231F20"/>
          <w:sz w:val="20"/>
        </w:rPr>
        <w:t>it</w:t>
      </w:r>
      <w:r>
        <w:rPr>
          <w:color w:val="231F20"/>
          <w:spacing w:val="-5"/>
          <w:sz w:val="20"/>
        </w:rPr>
        <w:t xml:space="preserve"> </w:t>
      </w:r>
      <w:r>
        <w:rPr>
          <w:color w:val="231F20"/>
          <w:sz w:val="20"/>
        </w:rPr>
        <w:t>means</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identified</w:t>
      </w:r>
      <w:r>
        <w:rPr>
          <w:color w:val="231F20"/>
          <w:spacing w:val="-5"/>
          <w:sz w:val="20"/>
        </w:rPr>
        <w:t xml:space="preserve"> </w:t>
      </w:r>
      <w:r>
        <w:rPr>
          <w:color w:val="231F20"/>
          <w:sz w:val="20"/>
        </w:rPr>
        <w:t>as</w:t>
      </w:r>
      <w:r>
        <w:rPr>
          <w:color w:val="231F20"/>
          <w:spacing w:val="-5"/>
          <w:sz w:val="20"/>
        </w:rPr>
        <w:t xml:space="preserve"> </w:t>
      </w:r>
      <w:r>
        <w:rPr>
          <w:color w:val="231F20"/>
          <w:sz w:val="20"/>
        </w:rPr>
        <w:t>a</w:t>
      </w:r>
      <w:r>
        <w:rPr>
          <w:color w:val="231F20"/>
          <w:spacing w:val="-6"/>
          <w:sz w:val="20"/>
        </w:rPr>
        <w:t xml:space="preserve"> </w:t>
      </w:r>
      <w:r>
        <w:rPr>
          <w:color w:val="231F20"/>
          <w:sz w:val="20"/>
        </w:rPr>
        <w:t>victim</w:t>
      </w:r>
      <w:r>
        <w:rPr>
          <w:color w:val="231F20"/>
          <w:spacing w:val="-5"/>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z w:val="20"/>
        </w:rPr>
        <w:t>sexual</w:t>
      </w:r>
      <w:r>
        <w:rPr>
          <w:color w:val="231F20"/>
          <w:spacing w:val="-5"/>
          <w:sz w:val="20"/>
        </w:rPr>
        <w:t xml:space="preserve"> </w:t>
      </w:r>
      <w:r>
        <w:rPr>
          <w:color w:val="231F20"/>
          <w:sz w:val="20"/>
        </w:rPr>
        <w:t>offence</w:t>
      </w:r>
    </w:p>
    <w:p w14:paraId="487AB7E0"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the consequences of losing their</w:t>
      </w:r>
      <w:r>
        <w:rPr>
          <w:color w:val="231F20"/>
          <w:spacing w:val="-23"/>
          <w:sz w:val="20"/>
        </w:rPr>
        <w:t xml:space="preserve"> </w:t>
      </w:r>
      <w:r>
        <w:rPr>
          <w:color w:val="231F20"/>
          <w:spacing w:val="-3"/>
          <w:sz w:val="20"/>
        </w:rPr>
        <w:t>anonymity.</w:t>
      </w:r>
    </w:p>
    <w:p w14:paraId="26ECDC53" w14:textId="77777777" w:rsidR="00894070" w:rsidRDefault="009B7AFD">
      <w:pPr>
        <w:pStyle w:val="ListParagraph"/>
        <w:numPr>
          <w:ilvl w:val="1"/>
          <w:numId w:val="102"/>
        </w:numPr>
        <w:tabs>
          <w:tab w:val="left" w:pos="1801"/>
          <w:tab w:val="left" w:pos="1802"/>
        </w:tabs>
        <w:spacing w:before="47"/>
        <w:rPr>
          <w:sz w:val="11"/>
        </w:rPr>
      </w:pPr>
      <w:r>
        <w:rPr>
          <w:color w:val="231F20"/>
          <w:sz w:val="20"/>
        </w:rPr>
        <w:t>The</w:t>
      </w:r>
      <w:r>
        <w:rPr>
          <w:color w:val="231F20"/>
          <w:spacing w:val="-6"/>
          <w:sz w:val="20"/>
        </w:rPr>
        <w:t xml:space="preserve"> </w:t>
      </w:r>
      <w:r>
        <w:rPr>
          <w:color w:val="231F20"/>
          <w:sz w:val="20"/>
        </w:rPr>
        <w:t>child</w:t>
      </w:r>
      <w:r>
        <w:rPr>
          <w:color w:val="231F20"/>
          <w:spacing w:val="-5"/>
          <w:sz w:val="20"/>
        </w:rPr>
        <w:t xml:space="preserve"> </w:t>
      </w:r>
      <w:r>
        <w:rPr>
          <w:color w:val="231F20"/>
          <w:spacing w:val="-3"/>
          <w:sz w:val="20"/>
        </w:rPr>
        <w:t>may</w:t>
      </w:r>
      <w:r>
        <w:rPr>
          <w:color w:val="231F20"/>
          <w:spacing w:val="-5"/>
          <w:sz w:val="20"/>
        </w:rPr>
        <w:t xml:space="preserve"> </w:t>
      </w:r>
      <w:r>
        <w:rPr>
          <w:color w:val="231F20"/>
          <w:sz w:val="20"/>
        </w:rPr>
        <w:t>also</w:t>
      </w:r>
      <w:r>
        <w:rPr>
          <w:color w:val="231F20"/>
          <w:spacing w:val="-5"/>
          <w:sz w:val="20"/>
        </w:rPr>
        <w:t xml:space="preserve"> </w:t>
      </w:r>
      <w:r>
        <w:rPr>
          <w:color w:val="231F20"/>
          <w:sz w:val="20"/>
        </w:rPr>
        <w:t>set</w:t>
      </w:r>
      <w:r>
        <w:rPr>
          <w:color w:val="231F20"/>
          <w:spacing w:val="-5"/>
          <w:sz w:val="20"/>
        </w:rPr>
        <w:t xml:space="preserve"> </w:t>
      </w:r>
      <w:r>
        <w:rPr>
          <w:color w:val="231F20"/>
          <w:sz w:val="20"/>
        </w:rPr>
        <w:t>limits</w:t>
      </w:r>
      <w:r>
        <w:rPr>
          <w:color w:val="231F20"/>
          <w:spacing w:val="-6"/>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extent</w:t>
      </w:r>
      <w:r>
        <w:rPr>
          <w:color w:val="231F20"/>
          <w:spacing w:val="-5"/>
          <w:sz w:val="20"/>
        </w:rPr>
        <w:t xml:space="preserve"> </w:t>
      </w:r>
      <w:r>
        <w:rPr>
          <w:color w:val="231F20"/>
          <w:sz w:val="20"/>
        </w:rPr>
        <w:t>of</w:t>
      </w:r>
      <w:r>
        <w:rPr>
          <w:color w:val="231F20"/>
          <w:spacing w:val="-5"/>
          <w:sz w:val="20"/>
        </w:rPr>
        <w:t xml:space="preserve"> </w:t>
      </w:r>
      <w:r>
        <w:rPr>
          <w:color w:val="231F20"/>
          <w:sz w:val="20"/>
        </w:rPr>
        <w:t>publication</w:t>
      </w:r>
      <w:r>
        <w:rPr>
          <w:color w:val="231F20"/>
          <w:spacing w:val="-6"/>
          <w:sz w:val="20"/>
        </w:rPr>
        <w:t xml:space="preserve"> </w:t>
      </w:r>
      <w:r>
        <w:rPr>
          <w:color w:val="231F20"/>
          <w:sz w:val="20"/>
        </w:rPr>
        <w:t>that</w:t>
      </w:r>
      <w:r>
        <w:rPr>
          <w:color w:val="231F20"/>
          <w:spacing w:val="-5"/>
          <w:sz w:val="20"/>
        </w:rPr>
        <w:t xml:space="preserve"> </w:t>
      </w:r>
      <w:r>
        <w:rPr>
          <w:color w:val="231F20"/>
          <w:sz w:val="20"/>
        </w:rPr>
        <w:t>they</w:t>
      </w:r>
      <w:r>
        <w:rPr>
          <w:color w:val="231F20"/>
          <w:spacing w:val="-5"/>
          <w:sz w:val="20"/>
        </w:rPr>
        <w:t xml:space="preserve"> </w:t>
      </w:r>
      <w:r>
        <w:rPr>
          <w:color w:val="231F20"/>
          <w:sz w:val="20"/>
        </w:rPr>
        <w:t>will</w:t>
      </w:r>
      <w:r>
        <w:rPr>
          <w:color w:val="231F20"/>
          <w:spacing w:val="-5"/>
          <w:sz w:val="20"/>
        </w:rPr>
        <w:t xml:space="preserve"> </w:t>
      </w:r>
      <w:r>
        <w:rPr>
          <w:color w:val="231F20"/>
          <w:sz w:val="20"/>
        </w:rPr>
        <w:t>permit.</w:t>
      </w:r>
      <w:r>
        <w:rPr>
          <w:color w:val="231F20"/>
          <w:position w:val="7"/>
          <w:sz w:val="11"/>
        </w:rPr>
        <w:t>138</w:t>
      </w:r>
    </w:p>
    <w:p w14:paraId="67CD2EB9" w14:textId="77777777" w:rsidR="00894070" w:rsidRDefault="009B7AFD">
      <w:pPr>
        <w:pStyle w:val="ListParagraph"/>
        <w:numPr>
          <w:ilvl w:val="1"/>
          <w:numId w:val="102"/>
        </w:numPr>
        <w:tabs>
          <w:tab w:val="left" w:pos="1801"/>
          <w:tab w:val="left" w:pos="1802"/>
        </w:tabs>
        <w:spacing w:before="115" w:line="206" w:lineRule="auto"/>
        <w:ind w:right="1561"/>
        <w:rPr>
          <w:sz w:val="20"/>
        </w:rPr>
      </w:pPr>
      <w:r>
        <w:rPr>
          <w:color w:val="231F20"/>
          <w:spacing w:val="-6"/>
          <w:sz w:val="20"/>
        </w:rPr>
        <w:t xml:space="preserve">We </w:t>
      </w:r>
      <w:r>
        <w:rPr>
          <w:color w:val="231F20"/>
          <w:sz w:val="20"/>
        </w:rPr>
        <w:t xml:space="preserve">recommend that, consistent with this approach, the </w:t>
      </w:r>
      <w:r>
        <w:rPr>
          <w:color w:val="231F20"/>
          <w:spacing w:val="-3"/>
          <w:sz w:val="20"/>
        </w:rPr>
        <w:t xml:space="preserve">relevant provision </w:t>
      </w:r>
      <w:r>
        <w:rPr>
          <w:color w:val="231F20"/>
          <w:sz w:val="20"/>
        </w:rPr>
        <w:t>in the PSIO</w:t>
      </w:r>
      <w:r>
        <w:rPr>
          <w:color w:val="231F20"/>
          <w:spacing w:val="-8"/>
          <w:sz w:val="20"/>
        </w:rPr>
        <w:t xml:space="preserve"> </w:t>
      </w:r>
      <w:r>
        <w:rPr>
          <w:color w:val="231F20"/>
          <w:spacing w:val="-2"/>
          <w:sz w:val="20"/>
        </w:rPr>
        <w:t>Act</w:t>
      </w:r>
      <w:r>
        <w:rPr>
          <w:color w:val="231F20"/>
          <w:spacing w:val="-8"/>
          <w:sz w:val="20"/>
        </w:rPr>
        <w:t xml:space="preserve"> </w:t>
      </w:r>
      <w:r>
        <w:rPr>
          <w:color w:val="231F20"/>
          <w:sz w:val="20"/>
        </w:rPr>
        <w:t>include</w:t>
      </w:r>
      <w:r>
        <w:rPr>
          <w:color w:val="231F20"/>
          <w:spacing w:val="-8"/>
          <w:sz w:val="20"/>
        </w:rPr>
        <w:t xml:space="preserve"> </w:t>
      </w:r>
      <w:r>
        <w:rPr>
          <w:color w:val="231F20"/>
          <w:sz w:val="20"/>
        </w:rPr>
        <w:t>a</w:t>
      </w:r>
      <w:r>
        <w:rPr>
          <w:color w:val="231F20"/>
          <w:spacing w:val="-8"/>
          <w:sz w:val="20"/>
        </w:rPr>
        <w:t xml:space="preserve"> </w:t>
      </w:r>
      <w:r>
        <w:rPr>
          <w:color w:val="231F20"/>
          <w:spacing w:val="-3"/>
          <w:sz w:val="20"/>
        </w:rPr>
        <w:t>provision</w:t>
      </w:r>
      <w:r>
        <w:rPr>
          <w:color w:val="231F20"/>
          <w:spacing w:val="-7"/>
          <w:sz w:val="20"/>
        </w:rPr>
        <w:t xml:space="preserve"> </w:t>
      </w:r>
      <w:r>
        <w:rPr>
          <w:color w:val="231F20"/>
          <w:sz w:val="20"/>
        </w:rPr>
        <w:t>to</w:t>
      </w:r>
      <w:r>
        <w:rPr>
          <w:color w:val="231F20"/>
          <w:spacing w:val="-8"/>
          <w:sz w:val="20"/>
        </w:rPr>
        <w:t xml:space="preserve"> </w:t>
      </w:r>
      <w:r>
        <w:rPr>
          <w:color w:val="231F20"/>
          <w:spacing w:val="-3"/>
          <w:sz w:val="20"/>
        </w:rPr>
        <w:t>allow</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victims</w:t>
      </w:r>
      <w:r>
        <w:rPr>
          <w:color w:val="231F20"/>
          <w:spacing w:val="-7"/>
          <w:sz w:val="20"/>
        </w:rPr>
        <w:t xml:space="preserve"> </w:t>
      </w:r>
      <w:r>
        <w:rPr>
          <w:color w:val="231F20"/>
          <w:sz w:val="20"/>
        </w:rPr>
        <w:t>under</w:t>
      </w:r>
      <w:r>
        <w:rPr>
          <w:color w:val="231F20"/>
          <w:spacing w:val="-8"/>
          <w:sz w:val="20"/>
        </w:rPr>
        <w:t xml:space="preserve"> </w:t>
      </w:r>
      <w:r>
        <w:rPr>
          <w:color w:val="231F20"/>
          <w:sz w:val="20"/>
        </w:rPr>
        <w:t>18</w:t>
      </w:r>
      <w:r>
        <w:rPr>
          <w:color w:val="231F20"/>
          <w:spacing w:val="-8"/>
          <w:sz w:val="20"/>
        </w:rPr>
        <w:t xml:space="preserve"> </w:t>
      </w:r>
      <w:r>
        <w:rPr>
          <w:color w:val="231F20"/>
          <w:sz w:val="20"/>
        </w:rPr>
        <w:t>years</w:t>
      </w:r>
      <w:r>
        <w:rPr>
          <w:color w:val="231F20"/>
          <w:spacing w:val="-8"/>
          <w:sz w:val="20"/>
        </w:rPr>
        <w:t xml:space="preserve"> </w:t>
      </w:r>
      <w:r>
        <w:rPr>
          <w:color w:val="231F20"/>
          <w:sz w:val="20"/>
        </w:rPr>
        <w:t>of</w:t>
      </w:r>
      <w:r>
        <w:rPr>
          <w:color w:val="231F20"/>
          <w:spacing w:val="-8"/>
          <w:sz w:val="20"/>
        </w:rPr>
        <w:t xml:space="preserve"> </w:t>
      </w:r>
      <w:r>
        <w:rPr>
          <w:color w:val="231F20"/>
          <w:sz w:val="20"/>
        </w:rPr>
        <w:t>age</w:t>
      </w:r>
      <w:r>
        <w:rPr>
          <w:color w:val="231F20"/>
          <w:spacing w:val="-7"/>
          <w:sz w:val="20"/>
        </w:rPr>
        <w:t xml:space="preserve"> </w:t>
      </w:r>
      <w:r>
        <w:rPr>
          <w:color w:val="231F20"/>
          <w:sz w:val="20"/>
        </w:rPr>
        <w:t>to</w:t>
      </w:r>
      <w:r>
        <w:rPr>
          <w:color w:val="231F20"/>
          <w:spacing w:val="-8"/>
          <w:sz w:val="20"/>
        </w:rPr>
        <w:t xml:space="preserve"> </w:t>
      </w:r>
      <w:r>
        <w:rPr>
          <w:color w:val="231F20"/>
          <w:sz w:val="20"/>
        </w:rPr>
        <w:t>consent</w:t>
      </w:r>
      <w:r>
        <w:rPr>
          <w:color w:val="231F20"/>
          <w:spacing w:val="-8"/>
          <w:sz w:val="20"/>
        </w:rPr>
        <w:t xml:space="preserve"> </w:t>
      </w:r>
      <w:r>
        <w:rPr>
          <w:color w:val="231F20"/>
          <w:sz w:val="20"/>
        </w:rPr>
        <w:t xml:space="preserve">to publication and that </w:t>
      </w:r>
      <w:r>
        <w:rPr>
          <w:color w:val="231F20"/>
          <w:spacing w:val="-3"/>
          <w:sz w:val="20"/>
        </w:rPr>
        <w:t xml:space="preserve">adequate </w:t>
      </w:r>
      <w:r>
        <w:rPr>
          <w:color w:val="231F20"/>
          <w:sz w:val="20"/>
        </w:rPr>
        <w:t xml:space="preserve">safeguards </w:t>
      </w:r>
      <w:r>
        <w:rPr>
          <w:color w:val="231F20"/>
          <w:spacing w:val="-3"/>
          <w:sz w:val="20"/>
        </w:rPr>
        <w:t>are</w:t>
      </w:r>
      <w:r>
        <w:rPr>
          <w:color w:val="231F20"/>
          <w:spacing w:val="-26"/>
          <w:sz w:val="20"/>
        </w:rPr>
        <w:t xml:space="preserve"> </w:t>
      </w:r>
      <w:r>
        <w:rPr>
          <w:color w:val="231F20"/>
          <w:sz w:val="20"/>
        </w:rPr>
        <w:t>included.</w:t>
      </w:r>
    </w:p>
    <w:p w14:paraId="45864F7D" w14:textId="77777777" w:rsidR="00894070" w:rsidRDefault="00894070">
      <w:pPr>
        <w:pStyle w:val="BodyText"/>
      </w:pPr>
    </w:p>
    <w:p w14:paraId="4CA457E9" w14:textId="77777777" w:rsidR="00894070" w:rsidRDefault="00894070">
      <w:pPr>
        <w:pStyle w:val="BodyText"/>
      </w:pPr>
    </w:p>
    <w:p w14:paraId="57CD55E4" w14:textId="77777777" w:rsidR="00894070" w:rsidRDefault="00894070">
      <w:pPr>
        <w:pStyle w:val="BodyText"/>
      </w:pPr>
    </w:p>
    <w:p w14:paraId="7B64FA45" w14:textId="77777777" w:rsidR="00894070" w:rsidRDefault="00894070">
      <w:pPr>
        <w:pStyle w:val="BodyText"/>
      </w:pPr>
    </w:p>
    <w:p w14:paraId="6BE21F3A" w14:textId="77777777" w:rsidR="00894070" w:rsidRDefault="009F6793">
      <w:pPr>
        <w:pStyle w:val="BodyText"/>
        <w:spacing w:before="11"/>
        <w:rPr>
          <w:sz w:val="27"/>
        </w:rPr>
      </w:pPr>
      <w:r>
        <w:pict w14:anchorId="65E71866">
          <v:line id="_x0000_s1313" style="position:absolute;z-index:251674624;mso-wrap-distance-left:0;mso-wrap-distance-right:0;mso-position-horizontal-relative:page" from="79.35pt,21.75pt" to="515.9pt,21.75pt" strokecolor="#f8cabc" strokeweight="1pt">
            <w10:wrap type="topAndBottom" anchorx="page"/>
          </v:line>
        </w:pict>
      </w:r>
    </w:p>
    <w:p w14:paraId="5CD4DF24" w14:textId="77777777" w:rsidR="00894070" w:rsidRDefault="00894070">
      <w:pPr>
        <w:pStyle w:val="BodyText"/>
        <w:rPr>
          <w:sz w:val="5"/>
        </w:rPr>
      </w:pPr>
    </w:p>
    <w:p w14:paraId="6D8157A5" w14:textId="77777777" w:rsidR="00894070" w:rsidRDefault="00894070">
      <w:pPr>
        <w:rPr>
          <w:sz w:val="5"/>
        </w:rPr>
        <w:sectPr w:rsidR="00894070">
          <w:pgSz w:w="11910" w:h="16840"/>
          <w:pgMar w:top="860" w:right="420" w:bottom="280" w:left="580" w:header="567" w:footer="0" w:gutter="0"/>
          <w:cols w:space="720"/>
        </w:sectPr>
      </w:pPr>
    </w:p>
    <w:p w14:paraId="160C408B" w14:textId="77777777" w:rsidR="00894070" w:rsidRDefault="00894070">
      <w:pPr>
        <w:pStyle w:val="BodyText"/>
        <w:rPr>
          <w:sz w:val="28"/>
        </w:rPr>
      </w:pPr>
    </w:p>
    <w:p w14:paraId="6F14C1AD" w14:textId="77777777" w:rsidR="00894070" w:rsidRDefault="00894070">
      <w:pPr>
        <w:pStyle w:val="BodyText"/>
        <w:rPr>
          <w:sz w:val="28"/>
        </w:rPr>
      </w:pPr>
    </w:p>
    <w:p w14:paraId="0A56F7FF" w14:textId="77777777" w:rsidR="00894070" w:rsidRDefault="00894070">
      <w:pPr>
        <w:pStyle w:val="BodyText"/>
        <w:spacing w:before="2"/>
        <w:rPr>
          <w:sz w:val="40"/>
        </w:rPr>
      </w:pPr>
    </w:p>
    <w:p w14:paraId="4574A5B6" w14:textId="77777777" w:rsidR="00894070" w:rsidRDefault="009B7AFD">
      <w:pPr>
        <w:pStyle w:val="Heading8"/>
        <w:ind w:left="140"/>
      </w:pPr>
      <w:r>
        <w:rPr>
          <w:color w:val="EA5B50"/>
        </w:rPr>
        <w:t>112</w:t>
      </w:r>
    </w:p>
    <w:p w14:paraId="27061A2D" w14:textId="77777777" w:rsidR="00894070" w:rsidRDefault="009B7AFD">
      <w:pPr>
        <w:pStyle w:val="ListParagraph"/>
        <w:numPr>
          <w:ilvl w:val="0"/>
          <w:numId w:val="88"/>
        </w:numPr>
        <w:tabs>
          <w:tab w:val="left" w:pos="933"/>
          <w:tab w:val="left" w:pos="934"/>
        </w:tabs>
        <w:spacing w:before="21" w:line="170" w:lineRule="exact"/>
        <w:ind w:left="933" w:hanging="793"/>
        <w:jc w:val="left"/>
        <w:rPr>
          <w:sz w:val="13"/>
        </w:rPr>
      </w:pPr>
      <w:r>
        <w:rPr>
          <w:color w:val="231F20"/>
          <w:spacing w:val="3"/>
          <w:sz w:val="13"/>
        </w:rPr>
        <w:br w:type="column"/>
      </w:r>
      <w:r>
        <w:rPr>
          <w:color w:val="231F20"/>
          <w:spacing w:val="2"/>
          <w:sz w:val="13"/>
        </w:rPr>
        <w:t xml:space="preserve">Submission </w:t>
      </w:r>
      <w:r>
        <w:rPr>
          <w:color w:val="231F20"/>
          <w:sz w:val="13"/>
        </w:rPr>
        <w:t xml:space="preserve">36 </w:t>
      </w:r>
      <w:r>
        <w:rPr>
          <w:color w:val="231F20"/>
          <w:spacing w:val="2"/>
          <w:sz w:val="13"/>
        </w:rPr>
        <w:t>(Ahmad</w:t>
      </w:r>
      <w:r>
        <w:rPr>
          <w:color w:val="231F20"/>
          <w:spacing w:val="-3"/>
          <w:sz w:val="13"/>
        </w:rPr>
        <w:t xml:space="preserve"> </w:t>
      </w:r>
      <w:r>
        <w:rPr>
          <w:color w:val="231F20"/>
          <w:sz w:val="13"/>
        </w:rPr>
        <w:t>Masri).</w:t>
      </w:r>
    </w:p>
    <w:p w14:paraId="3026E8C5" w14:textId="77777777" w:rsidR="00894070" w:rsidRDefault="009B7AFD">
      <w:pPr>
        <w:pStyle w:val="ListParagraph"/>
        <w:numPr>
          <w:ilvl w:val="0"/>
          <w:numId w:val="88"/>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41</w:t>
      </w:r>
      <w:r>
        <w:rPr>
          <w:color w:val="231F20"/>
          <w:spacing w:val="-3"/>
          <w:sz w:val="13"/>
        </w:rPr>
        <w:t xml:space="preserve"> </w:t>
      </w:r>
      <w:r>
        <w:rPr>
          <w:color w:val="231F20"/>
          <w:sz w:val="13"/>
        </w:rPr>
        <w:t>(Djirra).</w:t>
      </w:r>
    </w:p>
    <w:p w14:paraId="5FBC9EC9" w14:textId="77777777" w:rsidR="00894070" w:rsidRDefault="009B7AFD">
      <w:pPr>
        <w:pStyle w:val="ListParagraph"/>
        <w:numPr>
          <w:ilvl w:val="0"/>
          <w:numId w:val="88"/>
        </w:numPr>
        <w:tabs>
          <w:tab w:val="left" w:pos="933"/>
          <w:tab w:val="left" w:pos="934"/>
        </w:tabs>
        <w:spacing w:line="160" w:lineRule="exact"/>
        <w:ind w:left="933" w:hanging="793"/>
        <w:jc w:val="left"/>
        <w:rPr>
          <w:sz w:val="13"/>
        </w:rPr>
      </w:pPr>
      <w:r>
        <w:rPr>
          <w:color w:val="231F20"/>
          <w:spacing w:val="2"/>
          <w:sz w:val="13"/>
        </w:rPr>
        <w:t xml:space="preserve">Submission 115 </w:t>
      </w:r>
      <w:r>
        <w:rPr>
          <w:color w:val="231F20"/>
          <w:sz w:val="13"/>
        </w:rPr>
        <w:t>(Victoria</w:t>
      </w:r>
      <w:r>
        <w:rPr>
          <w:color w:val="231F20"/>
          <w:spacing w:val="-5"/>
          <w:sz w:val="13"/>
        </w:rPr>
        <w:t xml:space="preserve"> </w:t>
      </w:r>
      <w:r>
        <w:rPr>
          <w:color w:val="231F20"/>
          <w:sz w:val="13"/>
        </w:rPr>
        <w:t>Police).</w:t>
      </w:r>
    </w:p>
    <w:p w14:paraId="62248153" w14:textId="77777777" w:rsidR="00894070" w:rsidRDefault="009B7AFD">
      <w:pPr>
        <w:pStyle w:val="ListParagraph"/>
        <w:numPr>
          <w:ilvl w:val="0"/>
          <w:numId w:val="88"/>
        </w:numPr>
        <w:tabs>
          <w:tab w:val="left" w:pos="933"/>
          <w:tab w:val="left" w:pos="934"/>
        </w:tabs>
        <w:spacing w:before="7" w:line="213" w:lineRule="auto"/>
        <w:ind w:left="933" w:right="1298" w:hanging="793"/>
        <w:jc w:val="left"/>
        <w:rPr>
          <w:sz w:val="13"/>
        </w:rPr>
      </w:pPr>
      <w:r>
        <w:rPr>
          <w:i/>
          <w:color w:val="231F20"/>
          <w:sz w:val="13"/>
        </w:rPr>
        <w:t xml:space="preserve">Family Violence Protection Act 2008 </w:t>
      </w:r>
      <w:r>
        <w:rPr>
          <w:color w:val="231F20"/>
          <w:sz w:val="13"/>
        </w:rPr>
        <w:t xml:space="preserve">(Vic) s 169B(1)(b). The Act was </w:t>
      </w:r>
      <w:r>
        <w:rPr>
          <w:color w:val="231F20"/>
          <w:spacing w:val="2"/>
          <w:sz w:val="13"/>
        </w:rPr>
        <w:t xml:space="preserve">amended </w:t>
      </w:r>
      <w:r>
        <w:rPr>
          <w:color w:val="231F20"/>
          <w:sz w:val="13"/>
        </w:rPr>
        <w:t xml:space="preserve">to include this exception in </w:t>
      </w:r>
      <w:r>
        <w:rPr>
          <w:color w:val="231F20"/>
          <w:spacing w:val="2"/>
          <w:sz w:val="13"/>
        </w:rPr>
        <w:t xml:space="preserve">2014, </w:t>
      </w:r>
      <w:proofErr w:type="gramStart"/>
      <w:r>
        <w:rPr>
          <w:color w:val="231F20"/>
          <w:sz w:val="13"/>
        </w:rPr>
        <w:t>in order to</w:t>
      </w:r>
      <w:proofErr w:type="gramEnd"/>
      <w:r>
        <w:rPr>
          <w:color w:val="231F20"/>
          <w:sz w:val="13"/>
        </w:rPr>
        <w:t xml:space="preserve"> protect victims’ rights to tell their stories without having to seek court </w:t>
      </w:r>
      <w:r>
        <w:rPr>
          <w:color w:val="231F20"/>
          <w:spacing w:val="2"/>
          <w:sz w:val="13"/>
        </w:rPr>
        <w:t xml:space="preserve">permission, </w:t>
      </w:r>
      <w:r>
        <w:rPr>
          <w:color w:val="231F20"/>
          <w:sz w:val="13"/>
        </w:rPr>
        <w:t xml:space="preserve">to allow honest and open </w:t>
      </w:r>
      <w:r>
        <w:rPr>
          <w:color w:val="231F20"/>
          <w:spacing w:val="2"/>
          <w:sz w:val="13"/>
        </w:rPr>
        <w:t xml:space="preserve">reporting </w:t>
      </w:r>
      <w:r>
        <w:rPr>
          <w:color w:val="231F20"/>
          <w:sz w:val="13"/>
        </w:rPr>
        <w:t xml:space="preserve">about the extent   of family violence and </w:t>
      </w:r>
      <w:r>
        <w:rPr>
          <w:color w:val="231F20"/>
          <w:spacing w:val="2"/>
          <w:sz w:val="13"/>
        </w:rPr>
        <w:t xml:space="preserve">its </w:t>
      </w:r>
      <w:r>
        <w:rPr>
          <w:color w:val="231F20"/>
          <w:sz w:val="13"/>
        </w:rPr>
        <w:t xml:space="preserve">impact, and to contribute to perpetrator accountability: Victoria, </w:t>
      </w:r>
      <w:r>
        <w:rPr>
          <w:i/>
          <w:color w:val="231F20"/>
          <w:sz w:val="13"/>
        </w:rPr>
        <w:t>Parliamentary Debates</w:t>
      </w:r>
      <w:r>
        <w:rPr>
          <w:color w:val="231F20"/>
          <w:sz w:val="13"/>
        </w:rPr>
        <w:t xml:space="preserve">, Legislative </w:t>
      </w:r>
      <w:r>
        <w:rPr>
          <w:color w:val="231F20"/>
          <w:spacing w:val="2"/>
          <w:sz w:val="13"/>
        </w:rPr>
        <w:t xml:space="preserve">Council, </w:t>
      </w:r>
      <w:r>
        <w:rPr>
          <w:color w:val="231F20"/>
          <w:sz w:val="13"/>
        </w:rPr>
        <w:t xml:space="preserve">20 August </w:t>
      </w:r>
      <w:r>
        <w:rPr>
          <w:color w:val="231F20"/>
          <w:spacing w:val="2"/>
          <w:sz w:val="13"/>
        </w:rPr>
        <w:t xml:space="preserve">2014, </w:t>
      </w:r>
      <w:r>
        <w:rPr>
          <w:color w:val="231F20"/>
          <w:sz w:val="13"/>
        </w:rPr>
        <w:t>2622 (Edward O’Donohue, Minister for Liquor and Gaming</w:t>
      </w:r>
      <w:r>
        <w:rPr>
          <w:color w:val="231F20"/>
          <w:spacing w:val="13"/>
          <w:sz w:val="13"/>
        </w:rPr>
        <w:t xml:space="preserve"> </w:t>
      </w:r>
      <w:r>
        <w:rPr>
          <w:color w:val="231F20"/>
          <w:sz w:val="13"/>
        </w:rPr>
        <w:t>Regulation).</w:t>
      </w:r>
    </w:p>
    <w:p w14:paraId="2D82341B" w14:textId="77777777" w:rsidR="00894070" w:rsidRDefault="009B7AFD">
      <w:pPr>
        <w:pStyle w:val="ListParagraph"/>
        <w:numPr>
          <w:ilvl w:val="0"/>
          <w:numId w:val="88"/>
        </w:numPr>
        <w:tabs>
          <w:tab w:val="left" w:pos="933"/>
          <w:tab w:val="left" w:pos="934"/>
        </w:tabs>
        <w:spacing w:line="151" w:lineRule="exact"/>
        <w:ind w:left="933" w:hanging="793"/>
        <w:jc w:val="left"/>
        <w:rPr>
          <w:sz w:val="13"/>
        </w:rPr>
      </w:pPr>
      <w:r>
        <w:rPr>
          <w:i/>
          <w:color w:val="231F20"/>
          <w:sz w:val="13"/>
        </w:rPr>
        <w:t xml:space="preserve">Family Violence Protection Act 2008 </w:t>
      </w:r>
      <w:r>
        <w:rPr>
          <w:color w:val="231F20"/>
          <w:sz w:val="13"/>
        </w:rPr>
        <w:t>(Vic) s</w:t>
      </w:r>
      <w:r>
        <w:rPr>
          <w:color w:val="231F20"/>
          <w:spacing w:val="2"/>
          <w:sz w:val="13"/>
        </w:rPr>
        <w:t xml:space="preserve"> </w:t>
      </w:r>
      <w:r>
        <w:rPr>
          <w:color w:val="231F20"/>
          <w:sz w:val="13"/>
        </w:rPr>
        <w:t>169(1).</w:t>
      </w:r>
    </w:p>
    <w:p w14:paraId="7715B94F" w14:textId="77777777" w:rsidR="00894070" w:rsidRDefault="009B7AFD">
      <w:pPr>
        <w:pStyle w:val="ListParagraph"/>
        <w:numPr>
          <w:ilvl w:val="0"/>
          <w:numId w:val="88"/>
        </w:numPr>
        <w:tabs>
          <w:tab w:val="left" w:pos="933"/>
          <w:tab w:val="left" w:pos="934"/>
        </w:tabs>
        <w:spacing w:line="160" w:lineRule="exact"/>
        <w:ind w:left="933" w:hanging="793"/>
        <w:jc w:val="left"/>
        <w:rPr>
          <w:sz w:val="13"/>
        </w:rPr>
      </w:pPr>
      <w:r>
        <w:rPr>
          <w:i/>
          <w:color w:val="231F20"/>
          <w:sz w:val="13"/>
        </w:rPr>
        <w:t xml:space="preserve">Justice Legislation Amendment </w:t>
      </w:r>
      <w:r>
        <w:rPr>
          <w:i/>
          <w:color w:val="231F20"/>
          <w:spacing w:val="2"/>
          <w:sz w:val="13"/>
        </w:rPr>
        <w:t xml:space="preserve">(Supporting </w:t>
      </w:r>
      <w:r>
        <w:rPr>
          <w:i/>
          <w:color w:val="231F20"/>
          <w:sz w:val="13"/>
        </w:rPr>
        <w:t xml:space="preserve">Victims and Other Matters) Act 2020 </w:t>
      </w:r>
      <w:r>
        <w:rPr>
          <w:color w:val="231F20"/>
          <w:sz w:val="13"/>
        </w:rPr>
        <w:t>(Vic) s</w:t>
      </w:r>
      <w:r>
        <w:rPr>
          <w:color w:val="231F20"/>
          <w:spacing w:val="4"/>
          <w:sz w:val="13"/>
        </w:rPr>
        <w:t xml:space="preserve"> </w:t>
      </w:r>
      <w:r>
        <w:rPr>
          <w:color w:val="231F20"/>
          <w:spacing w:val="3"/>
          <w:sz w:val="13"/>
        </w:rPr>
        <w:t>3.</w:t>
      </w:r>
    </w:p>
    <w:p w14:paraId="1773132C" w14:textId="77777777" w:rsidR="00894070" w:rsidRDefault="009B7AFD">
      <w:pPr>
        <w:pStyle w:val="ListParagraph"/>
        <w:numPr>
          <w:ilvl w:val="0"/>
          <w:numId w:val="88"/>
        </w:numPr>
        <w:tabs>
          <w:tab w:val="left" w:pos="933"/>
          <w:tab w:val="left" w:pos="934"/>
        </w:tabs>
        <w:spacing w:line="170" w:lineRule="exact"/>
        <w:ind w:left="933" w:hanging="793"/>
        <w:jc w:val="left"/>
        <w:rPr>
          <w:sz w:val="13"/>
        </w:rPr>
      </w:pPr>
      <w:r>
        <w:rPr>
          <w:color w:val="231F20"/>
          <w:sz w:val="13"/>
        </w:rPr>
        <w:t>Ibid s 3(1</w:t>
      </w:r>
      <w:proofErr w:type="gramStart"/>
      <w:r>
        <w:rPr>
          <w:color w:val="231F20"/>
          <w:sz w:val="13"/>
        </w:rPr>
        <w:t>BB)(</w:t>
      </w:r>
      <w:proofErr w:type="gramEnd"/>
      <w:r>
        <w:rPr>
          <w:color w:val="231F20"/>
          <w:sz w:val="13"/>
        </w:rPr>
        <w:t>b).</w:t>
      </w:r>
    </w:p>
    <w:p w14:paraId="34B3420C"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51" w:space="316"/>
            <w:col w:w="10043"/>
          </w:cols>
        </w:sectPr>
      </w:pPr>
    </w:p>
    <w:p w14:paraId="5BF98FA3" w14:textId="77777777" w:rsidR="00894070" w:rsidRDefault="00894070">
      <w:pPr>
        <w:pStyle w:val="BodyText"/>
      </w:pPr>
    </w:p>
    <w:p w14:paraId="100852C9" w14:textId="77777777" w:rsidR="00894070" w:rsidRDefault="00894070">
      <w:pPr>
        <w:pStyle w:val="BodyText"/>
      </w:pPr>
    </w:p>
    <w:p w14:paraId="2A5C9215" w14:textId="77777777" w:rsidR="00894070" w:rsidRDefault="00894070">
      <w:pPr>
        <w:pStyle w:val="BodyText"/>
      </w:pPr>
    </w:p>
    <w:p w14:paraId="3C5CF7C9" w14:textId="77777777" w:rsidR="00894070" w:rsidRDefault="00894070">
      <w:pPr>
        <w:pStyle w:val="BodyText"/>
        <w:spacing w:before="9"/>
        <w:rPr>
          <w:sz w:val="21"/>
        </w:rPr>
      </w:pPr>
    </w:p>
    <w:p w14:paraId="559AB0C9" w14:textId="77777777" w:rsidR="00894070" w:rsidRDefault="009F6793">
      <w:pPr>
        <w:pStyle w:val="BodyText"/>
        <w:ind w:left="642"/>
      </w:pPr>
      <w:r>
        <w:pict w14:anchorId="2C7468A3">
          <v:group id="_x0000_s1306" style="width:479.1pt;height:233.45pt;mso-position-horizontal-relative:char;mso-position-vertical-relative:line" coordsize="9582,4669">
            <v:rect id="_x0000_s1312" style="position:absolute;left:340;width:8731;height:4669" fillcolor="#fee7de" stroked="f"/>
            <v:line id="_x0000_s1311" style="position:absolute" from="0,808" to="9581,808" strokecolor="white" strokeweight="2.5pt"/>
            <v:shape id="_x0000_s1310" type="#_x0000_t202" style="position:absolute;left:566;top:3533;width:8054;height:955" filled="f" stroked="f">
              <v:textbox inset="0,0,0,0">
                <w:txbxContent>
                  <w:p w14:paraId="1EB7808D" w14:textId="77777777" w:rsidR="00894070" w:rsidRDefault="009B7AFD">
                    <w:pPr>
                      <w:tabs>
                        <w:tab w:val="left" w:pos="566"/>
                      </w:tabs>
                      <w:spacing w:line="247" w:lineRule="auto"/>
                      <w:ind w:left="566" w:right="18" w:hanging="567"/>
                      <w:rPr>
                        <w:rFonts w:ascii="Trebuchet MS"/>
                        <w:sz w:val="20"/>
                      </w:rPr>
                    </w:pPr>
                    <w:bookmarkStart w:id="130" w:name="_bookmark76"/>
                    <w:bookmarkEnd w:id="130"/>
                    <w:r>
                      <w:rPr>
                        <w:rFonts w:ascii="Trebuchet MS"/>
                        <w:color w:val="231F20"/>
                        <w:w w:val="105"/>
                        <w:sz w:val="20"/>
                      </w:rPr>
                      <w:t>18.</w:t>
                    </w:r>
                    <w:r>
                      <w:rPr>
                        <w:rFonts w:ascii="Trebuchet MS"/>
                        <w:color w:val="231F20"/>
                        <w:w w:val="105"/>
                        <w:sz w:val="20"/>
                      </w:rPr>
                      <w:tab/>
                      <w:t xml:space="preserve">The Victorian </w:t>
                    </w:r>
                    <w:r>
                      <w:rPr>
                        <w:rFonts w:ascii="Trebuchet MS"/>
                        <w:color w:val="231F20"/>
                        <w:spacing w:val="-3"/>
                        <w:w w:val="105"/>
                        <w:sz w:val="20"/>
                      </w:rPr>
                      <w:t xml:space="preserve">Government </w:t>
                    </w:r>
                    <w:r>
                      <w:rPr>
                        <w:rFonts w:ascii="Trebuchet MS"/>
                        <w:color w:val="231F20"/>
                        <w:w w:val="105"/>
                        <w:sz w:val="20"/>
                      </w:rPr>
                      <w:t xml:space="preserve">should include a provision in the </w:t>
                    </w:r>
                    <w:r>
                      <w:rPr>
                        <w:rFonts w:ascii="Arial"/>
                        <w:i/>
                        <w:color w:val="231F20"/>
                        <w:w w:val="105"/>
                        <w:sz w:val="20"/>
                      </w:rPr>
                      <w:t xml:space="preserve">Personal Safety Intervention Orders Act </w:t>
                    </w:r>
                    <w:r>
                      <w:rPr>
                        <w:rFonts w:ascii="Arial"/>
                        <w:i/>
                        <w:color w:val="231F20"/>
                        <w:spacing w:val="-3"/>
                        <w:w w:val="105"/>
                        <w:sz w:val="20"/>
                      </w:rPr>
                      <w:t xml:space="preserve">2010 </w:t>
                    </w:r>
                    <w:r>
                      <w:rPr>
                        <w:rFonts w:ascii="Trebuchet MS"/>
                        <w:color w:val="231F20"/>
                        <w:w w:val="105"/>
                        <w:sz w:val="20"/>
                      </w:rPr>
                      <w:t xml:space="preserve">(Vic) to the effect of section 169B of the </w:t>
                    </w:r>
                    <w:r>
                      <w:rPr>
                        <w:rFonts w:ascii="Arial"/>
                        <w:i/>
                        <w:color w:val="231F20"/>
                        <w:spacing w:val="-5"/>
                        <w:w w:val="105"/>
                        <w:sz w:val="20"/>
                      </w:rPr>
                      <w:t xml:space="preserve">Family </w:t>
                    </w:r>
                    <w:r>
                      <w:rPr>
                        <w:rFonts w:ascii="Arial"/>
                        <w:i/>
                        <w:color w:val="231F20"/>
                        <w:w w:val="105"/>
                        <w:sz w:val="20"/>
                      </w:rPr>
                      <w:t>Violence</w:t>
                    </w:r>
                    <w:r>
                      <w:rPr>
                        <w:rFonts w:ascii="Arial"/>
                        <w:i/>
                        <w:color w:val="231F20"/>
                        <w:spacing w:val="-30"/>
                        <w:w w:val="105"/>
                        <w:sz w:val="20"/>
                      </w:rPr>
                      <w:t xml:space="preserve"> </w:t>
                    </w:r>
                    <w:r>
                      <w:rPr>
                        <w:rFonts w:ascii="Arial"/>
                        <w:i/>
                        <w:color w:val="231F20"/>
                        <w:spacing w:val="-3"/>
                        <w:w w:val="105"/>
                        <w:sz w:val="20"/>
                      </w:rPr>
                      <w:t>Protection</w:t>
                    </w:r>
                    <w:r>
                      <w:rPr>
                        <w:rFonts w:ascii="Arial"/>
                        <w:i/>
                        <w:color w:val="231F20"/>
                        <w:spacing w:val="-29"/>
                        <w:w w:val="105"/>
                        <w:sz w:val="20"/>
                      </w:rPr>
                      <w:t xml:space="preserve"> </w:t>
                    </w:r>
                    <w:r>
                      <w:rPr>
                        <w:rFonts w:ascii="Arial"/>
                        <w:i/>
                        <w:color w:val="231F20"/>
                        <w:w w:val="105"/>
                        <w:sz w:val="20"/>
                      </w:rPr>
                      <w:t>Act</w:t>
                    </w:r>
                    <w:r>
                      <w:rPr>
                        <w:rFonts w:ascii="Arial"/>
                        <w:i/>
                        <w:color w:val="231F20"/>
                        <w:spacing w:val="-29"/>
                        <w:w w:val="105"/>
                        <w:sz w:val="20"/>
                      </w:rPr>
                      <w:t xml:space="preserve"> </w:t>
                    </w:r>
                    <w:r>
                      <w:rPr>
                        <w:rFonts w:ascii="Arial"/>
                        <w:i/>
                        <w:color w:val="231F20"/>
                        <w:w w:val="105"/>
                        <w:sz w:val="20"/>
                      </w:rPr>
                      <w:t>2008</w:t>
                    </w:r>
                    <w:r>
                      <w:rPr>
                        <w:rFonts w:ascii="Arial"/>
                        <w:i/>
                        <w:color w:val="231F20"/>
                        <w:spacing w:val="-29"/>
                        <w:w w:val="105"/>
                        <w:sz w:val="20"/>
                      </w:rPr>
                      <w:t xml:space="preserve"> </w:t>
                    </w:r>
                    <w:r>
                      <w:rPr>
                        <w:rFonts w:ascii="Trebuchet MS"/>
                        <w:color w:val="231F20"/>
                        <w:w w:val="105"/>
                        <w:sz w:val="20"/>
                      </w:rPr>
                      <w:t>(Vic)</w:t>
                    </w:r>
                    <w:r>
                      <w:rPr>
                        <w:rFonts w:ascii="Trebuchet MS"/>
                        <w:color w:val="231F20"/>
                        <w:spacing w:val="-33"/>
                        <w:w w:val="105"/>
                        <w:sz w:val="20"/>
                      </w:rPr>
                      <w:t xml:space="preserve"> </w:t>
                    </w:r>
                    <w:r>
                      <w:rPr>
                        <w:rFonts w:ascii="Trebuchet MS"/>
                        <w:color w:val="231F20"/>
                        <w:w w:val="105"/>
                        <w:sz w:val="20"/>
                      </w:rPr>
                      <w:t>to</w:t>
                    </w:r>
                    <w:r>
                      <w:rPr>
                        <w:rFonts w:ascii="Trebuchet MS"/>
                        <w:color w:val="231F20"/>
                        <w:spacing w:val="-33"/>
                        <w:w w:val="105"/>
                        <w:sz w:val="20"/>
                      </w:rPr>
                      <w:t xml:space="preserve"> </w:t>
                    </w:r>
                    <w:r>
                      <w:rPr>
                        <w:rFonts w:ascii="Trebuchet MS"/>
                        <w:color w:val="231F20"/>
                        <w:w w:val="105"/>
                        <w:sz w:val="20"/>
                      </w:rPr>
                      <w:t>enable</w:t>
                    </w:r>
                    <w:r>
                      <w:rPr>
                        <w:rFonts w:ascii="Trebuchet MS"/>
                        <w:color w:val="231F20"/>
                        <w:spacing w:val="-33"/>
                        <w:w w:val="105"/>
                        <w:sz w:val="20"/>
                      </w:rPr>
                      <w:t xml:space="preserve"> </w:t>
                    </w:r>
                    <w:r>
                      <w:rPr>
                        <w:rFonts w:ascii="Trebuchet MS"/>
                        <w:color w:val="231F20"/>
                        <w:w w:val="105"/>
                        <w:sz w:val="20"/>
                      </w:rPr>
                      <w:t>victims</w:t>
                    </w:r>
                    <w:r>
                      <w:rPr>
                        <w:rFonts w:ascii="Trebuchet MS"/>
                        <w:color w:val="231F20"/>
                        <w:spacing w:val="-33"/>
                        <w:w w:val="105"/>
                        <w:sz w:val="20"/>
                      </w:rPr>
                      <w:t xml:space="preserve"> </w:t>
                    </w:r>
                    <w:r>
                      <w:rPr>
                        <w:rFonts w:ascii="Trebuchet MS"/>
                        <w:color w:val="231F20"/>
                        <w:w w:val="105"/>
                        <w:sz w:val="20"/>
                      </w:rPr>
                      <w:t>to</w:t>
                    </w:r>
                    <w:r>
                      <w:rPr>
                        <w:rFonts w:ascii="Trebuchet MS"/>
                        <w:color w:val="231F20"/>
                        <w:spacing w:val="-33"/>
                        <w:w w:val="105"/>
                        <w:sz w:val="20"/>
                      </w:rPr>
                      <w:t xml:space="preserve"> </w:t>
                    </w:r>
                    <w:r>
                      <w:rPr>
                        <w:rFonts w:ascii="Trebuchet MS"/>
                        <w:color w:val="231F20"/>
                        <w:w w:val="105"/>
                        <w:sz w:val="20"/>
                      </w:rPr>
                      <w:t>consent</w:t>
                    </w:r>
                    <w:r>
                      <w:rPr>
                        <w:rFonts w:ascii="Trebuchet MS"/>
                        <w:color w:val="231F20"/>
                        <w:spacing w:val="-33"/>
                        <w:w w:val="105"/>
                        <w:sz w:val="20"/>
                      </w:rPr>
                      <w:t xml:space="preserve"> </w:t>
                    </w:r>
                    <w:r>
                      <w:rPr>
                        <w:rFonts w:ascii="Trebuchet MS"/>
                        <w:color w:val="231F20"/>
                        <w:w w:val="105"/>
                        <w:sz w:val="20"/>
                      </w:rPr>
                      <w:t>to</w:t>
                    </w:r>
                    <w:r>
                      <w:rPr>
                        <w:rFonts w:ascii="Trebuchet MS"/>
                        <w:color w:val="231F20"/>
                        <w:spacing w:val="-33"/>
                        <w:w w:val="105"/>
                        <w:sz w:val="20"/>
                      </w:rPr>
                      <w:t xml:space="preserve"> </w:t>
                    </w:r>
                    <w:r>
                      <w:rPr>
                        <w:rFonts w:ascii="Trebuchet MS"/>
                        <w:color w:val="231F20"/>
                        <w:w w:val="105"/>
                        <w:sz w:val="20"/>
                      </w:rPr>
                      <w:t>publication,</w:t>
                    </w:r>
                    <w:r>
                      <w:rPr>
                        <w:rFonts w:ascii="Trebuchet MS"/>
                        <w:color w:val="231F20"/>
                        <w:spacing w:val="-33"/>
                        <w:w w:val="105"/>
                        <w:sz w:val="20"/>
                      </w:rPr>
                      <w:t xml:space="preserve"> </w:t>
                    </w:r>
                    <w:r>
                      <w:rPr>
                        <w:rFonts w:ascii="Trebuchet MS"/>
                        <w:color w:val="231F20"/>
                        <w:spacing w:val="-3"/>
                        <w:w w:val="105"/>
                        <w:sz w:val="20"/>
                      </w:rPr>
                      <w:t xml:space="preserve">with </w:t>
                    </w:r>
                    <w:r>
                      <w:rPr>
                        <w:rFonts w:ascii="Trebuchet MS"/>
                        <w:color w:val="231F20"/>
                        <w:spacing w:val="-1"/>
                        <w:w w:val="105"/>
                        <w:sz w:val="20"/>
                      </w:rPr>
                      <w:t>a</w:t>
                    </w:r>
                    <w:r>
                      <w:rPr>
                        <w:rFonts w:ascii="Trebuchet MS"/>
                        <w:color w:val="231F20"/>
                        <w:spacing w:val="-1"/>
                        <w:w w:val="107"/>
                        <w:sz w:val="20"/>
                      </w:rPr>
                      <w:t>pp</w:t>
                    </w:r>
                    <w:r>
                      <w:rPr>
                        <w:rFonts w:ascii="Trebuchet MS"/>
                        <w:color w:val="231F20"/>
                        <w:spacing w:val="-4"/>
                        <w:w w:val="107"/>
                        <w:sz w:val="20"/>
                      </w:rPr>
                      <w:t>r</w:t>
                    </w:r>
                    <w:r>
                      <w:rPr>
                        <w:rFonts w:ascii="Trebuchet MS"/>
                        <w:color w:val="231F20"/>
                        <w:spacing w:val="-1"/>
                        <w:w w:val="111"/>
                        <w:sz w:val="20"/>
                      </w:rPr>
                      <w:t>o</w:t>
                    </w:r>
                    <w:r>
                      <w:rPr>
                        <w:rFonts w:ascii="Trebuchet MS"/>
                        <w:color w:val="231F20"/>
                        <w:spacing w:val="-1"/>
                        <w:w w:val="104"/>
                        <w:sz w:val="20"/>
                      </w:rPr>
                      <w:t>p</w:t>
                    </w:r>
                    <w:r>
                      <w:rPr>
                        <w:rFonts w:ascii="Trebuchet MS"/>
                        <w:color w:val="231F20"/>
                        <w:spacing w:val="-2"/>
                        <w:w w:val="104"/>
                        <w:sz w:val="20"/>
                      </w:rPr>
                      <w:t>r</w:t>
                    </w:r>
                    <w:r>
                      <w:rPr>
                        <w:rFonts w:ascii="Trebuchet MS"/>
                        <w:color w:val="231F20"/>
                        <w:spacing w:val="-1"/>
                        <w:w w:val="96"/>
                        <w:sz w:val="20"/>
                      </w:rPr>
                      <w:t>i</w:t>
                    </w:r>
                    <w:r>
                      <w:rPr>
                        <w:rFonts w:ascii="Trebuchet MS"/>
                        <w:color w:val="231F20"/>
                        <w:spacing w:val="-4"/>
                        <w:w w:val="96"/>
                        <w:sz w:val="20"/>
                      </w:rPr>
                      <w:t>a</w:t>
                    </w:r>
                    <w:r>
                      <w:rPr>
                        <w:rFonts w:ascii="Trebuchet MS"/>
                        <w:color w:val="231F20"/>
                        <w:spacing w:val="-4"/>
                        <w:w w:val="88"/>
                        <w:sz w:val="20"/>
                      </w:rPr>
                      <w:t>t</w:t>
                    </w:r>
                    <w:r>
                      <w:rPr>
                        <w:rFonts w:ascii="Trebuchet MS"/>
                        <w:color w:val="231F20"/>
                        <w:w w:val="108"/>
                        <w:sz w:val="20"/>
                      </w:rPr>
                      <w:t>e</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w w:val="108"/>
                        <w:sz w:val="20"/>
                      </w:rPr>
                      <w:t>e</w:t>
                    </w:r>
                    <w:r>
                      <w:rPr>
                        <w:rFonts w:ascii="Trebuchet MS"/>
                        <w:color w:val="231F20"/>
                        <w:spacing w:val="-2"/>
                        <w:w w:val="124"/>
                        <w:sz w:val="20"/>
                      </w:rPr>
                      <w:t>g</w:t>
                    </w:r>
                    <w:r>
                      <w:rPr>
                        <w:rFonts w:ascii="Trebuchet MS"/>
                        <w:color w:val="231F20"/>
                        <w:spacing w:val="-2"/>
                        <w:w w:val="109"/>
                        <w:sz w:val="20"/>
                      </w:rPr>
                      <w:t>u</w:t>
                    </w:r>
                    <w:r>
                      <w:rPr>
                        <w:rFonts w:ascii="Trebuchet MS"/>
                        <w:color w:val="231F20"/>
                        <w:spacing w:val="-2"/>
                        <w:w w:val="105"/>
                        <w:sz w:val="20"/>
                      </w:rPr>
                      <w:t>a</w:t>
                    </w:r>
                    <w:r>
                      <w:rPr>
                        <w:rFonts w:ascii="Trebuchet MS"/>
                        <w:color w:val="231F20"/>
                        <w:spacing w:val="-4"/>
                        <w:w w:val="93"/>
                        <w:sz w:val="20"/>
                      </w:rPr>
                      <w:t>r</w:t>
                    </w:r>
                    <w:r>
                      <w:rPr>
                        <w:rFonts w:ascii="Trebuchet MS"/>
                        <w:color w:val="231F20"/>
                        <w:spacing w:val="-1"/>
                        <w:w w:val="112"/>
                        <w:sz w:val="20"/>
                      </w:rPr>
                      <w:t>d</w:t>
                    </w:r>
                    <w:r>
                      <w:rPr>
                        <w:rFonts w:ascii="Trebuchet MS"/>
                        <w:color w:val="231F20"/>
                        <w:spacing w:val="1"/>
                        <w:w w:val="122"/>
                        <w:sz w:val="20"/>
                      </w:rPr>
                      <w:t>s</w:t>
                    </w:r>
                    <w:r>
                      <w:rPr>
                        <w:rFonts w:ascii="Trebuchet MS"/>
                        <w:color w:val="231F20"/>
                        <w:w w:val="55"/>
                        <w:sz w:val="20"/>
                      </w:rPr>
                      <w:t>.</w:t>
                    </w:r>
                  </w:p>
                </w:txbxContent>
              </v:textbox>
            </v:shape>
            <v:shape id="_x0000_s1309" type="#_x0000_t202" style="position:absolute;left:1133;top:1033;width:7669;height:2410" filled="f" stroked="f">
              <v:textbox inset="0,0,0,0">
                <w:txbxContent>
                  <w:p w14:paraId="141E2176" w14:textId="77777777" w:rsidR="00894070" w:rsidRDefault="009B7AFD">
                    <w:pPr>
                      <w:spacing w:line="247" w:lineRule="auto"/>
                      <w:ind w:right="14"/>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amend section 123 of the </w:t>
                    </w:r>
                    <w:r>
                      <w:rPr>
                        <w:rFonts w:ascii="Arial"/>
                        <w:i/>
                        <w:color w:val="231F20"/>
                        <w:w w:val="105"/>
                        <w:sz w:val="20"/>
                      </w:rPr>
                      <w:t>Personal Safety Intervention</w:t>
                    </w:r>
                    <w:r>
                      <w:rPr>
                        <w:rFonts w:ascii="Arial"/>
                        <w:i/>
                        <w:color w:val="231F20"/>
                        <w:spacing w:val="-35"/>
                        <w:w w:val="105"/>
                        <w:sz w:val="20"/>
                      </w:rPr>
                      <w:t xml:space="preserve"> </w:t>
                    </w:r>
                    <w:r>
                      <w:rPr>
                        <w:rFonts w:ascii="Arial"/>
                        <w:i/>
                        <w:color w:val="231F20"/>
                        <w:w w:val="105"/>
                        <w:sz w:val="20"/>
                      </w:rPr>
                      <w:t>Orders</w:t>
                    </w:r>
                    <w:r>
                      <w:rPr>
                        <w:rFonts w:ascii="Arial"/>
                        <w:i/>
                        <w:color w:val="231F20"/>
                        <w:spacing w:val="-35"/>
                        <w:w w:val="105"/>
                        <w:sz w:val="20"/>
                      </w:rPr>
                      <w:t xml:space="preserve"> </w:t>
                    </w:r>
                    <w:r>
                      <w:rPr>
                        <w:rFonts w:ascii="Arial"/>
                        <w:i/>
                        <w:color w:val="231F20"/>
                        <w:w w:val="105"/>
                        <w:sz w:val="20"/>
                      </w:rPr>
                      <w:t>Act</w:t>
                    </w:r>
                    <w:r>
                      <w:rPr>
                        <w:rFonts w:ascii="Arial"/>
                        <w:i/>
                        <w:color w:val="231F20"/>
                        <w:spacing w:val="-34"/>
                        <w:w w:val="105"/>
                        <w:sz w:val="20"/>
                      </w:rPr>
                      <w:t xml:space="preserve"> </w:t>
                    </w:r>
                    <w:r>
                      <w:rPr>
                        <w:rFonts w:ascii="Arial"/>
                        <w:i/>
                        <w:color w:val="231F20"/>
                        <w:spacing w:val="-3"/>
                        <w:w w:val="105"/>
                        <w:sz w:val="20"/>
                      </w:rPr>
                      <w:t>2010</w:t>
                    </w:r>
                    <w:r>
                      <w:rPr>
                        <w:rFonts w:ascii="Arial"/>
                        <w:i/>
                        <w:color w:val="231F20"/>
                        <w:spacing w:val="-34"/>
                        <w:w w:val="105"/>
                        <w:sz w:val="20"/>
                      </w:rPr>
                      <w:t xml:space="preserve"> </w:t>
                    </w:r>
                    <w:r>
                      <w:rPr>
                        <w:rFonts w:ascii="Trebuchet MS"/>
                        <w:color w:val="231F20"/>
                        <w:w w:val="105"/>
                        <w:sz w:val="20"/>
                      </w:rPr>
                      <w:t>(Vic)</w:t>
                    </w:r>
                    <w:r>
                      <w:rPr>
                        <w:rFonts w:ascii="Trebuchet MS"/>
                        <w:color w:val="231F20"/>
                        <w:spacing w:val="-38"/>
                        <w:w w:val="105"/>
                        <w:sz w:val="20"/>
                      </w:rPr>
                      <w:t xml:space="preserve"> </w:t>
                    </w:r>
                    <w:r>
                      <w:rPr>
                        <w:rFonts w:ascii="Trebuchet MS"/>
                        <w:color w:val="231F20"/>
                        <w:w w:val="105"/>
                        <w:sz w:val="20"/>
                      </w:rPr>
                      <w:t>to</w:t>
                    </w:r>
                    <w:r>
                      <w:rPr>
                        <w:rFonts w:ascii="Trebuchet MS"/>
                        <w:color w:val="231F20"/>
                        <w:spacing w:val="-39"/>
                        <w:w w:val="105"/>
                        <w:sz w:val="20"/>
                      </w:rPr>
                      <w:t xml:space="preserve"> </w:t>
                    </w:r>
                    <w:r>
                      <w:rPr>
                        <w:rFonts w:ascii="Trebuchet MS"/>
                        <w:color w:val="231F20"/>
                        <w:w w:val="105"/>
                        <w:sz w:val="20"/>
                      </w:rPr>
                      <w:t>extend</w:t>
                    </w:r>
                    <w:r>
                      <w:rPr>
                        <w:rFonts w:ascii="Trebuchet MS"/>
                        <w:color w:val="231F20"/>
                        <w:spacing w:val="-38"/>
                        <w:w w:val="105"/>
                        <w:sz w:val="20"/>
                      </w:rPr>
                      <w:t xml:space="preserve"> </w:t>
                    </w:r>
                    <w:r>
                      <w:rPr>
                        <w:rFonts w:ascii="Trebuchet MS"/>
                        <w:color w:val="231F20"/>
                        <w:w w:val="105"/>
                        <w:sz w:val="20"/>
                      </w:rPr>
                      <w:t>the</w:t>
                    </w:r>
                    <w:r>
                      <w:rPr>
                        <w:rFonts w:ascii="Trebuchet MS"/>
                        <w:color w:val="231F20"/>
                        <w:spacing w:val="-39"/>
                        <w:w w:val="105"/>
                        <w:sz w:val="20"/>
                      </w:rPr>
                      <w:t xml:space="preserve"> </w:t>
                    </w:r>
                    <w:r>
                      <w:rPr>
                        <w:rFonts w:ascii="Trebuchet MS"/>
                        <w:color w:val="231F20"/>
                        <w:w w:val="105"/>
                        <w:sz w:val="20"/>
                      </w:rPr>
                      <w:t>prohibition</w:t>
                    </w:r>
                    <w:r>
                      <w:rPr>
                        <w:rFonts w:ascii="Trebuchet MS"/>
                        <w:color w:val="231F20"/>
                        <w:spacing w:val="-39"/>
                        <w:w w:val="105"/>
                        <w:sz w:val="20"/>
                      </w:rPr>
                      <w:t xml:space="preserve"> </w:t>
                    </w:r>
                    <w:r>
                      <w:rPr>
                        <w:rFonts w:ascii="Trebuchet MS"/>
                        <w:color w:val="231F20"/>
                        <w:w w:val="105"/>
                        <w:sz w:val="20"/>
                      </w:rPr>
                      <w:t>on</w:t>
                    </w:r>
                    <w:r>
                      <w:rPr>
                        <w:rFonts w:ascii="Trebuchet MS"/>
                        <w:color w:val="231F20"/>
                        <w:spacing w:val="-38"/>
                        <w:w w:val="105"/>
                        <w:sz w:val="20"/>
                      </w:rPr>
                      <w:t xml:space="preserve"> </w:t>
                    </w:r>
                    <w:r>
                      <w:rPr>
                        <w:rFonts w:ascii="Trebuchet MS"/>
                        <w:color w:val="231F20"/>
                        <w:w w:val="105"/>
                        <w:sz w:val="20"/>
                      </w:rPr>
                      <w:t>publication</w:t>
                    </w:r>
                    <w:r>
                      <w:rPr>
                        <w:rFonts w:ascii="Trebuchet MS"/>
                        <w:color w:val="231F20"/>
                        <w:spacing w:val="-39"/>
                        <w:w w:val="105"/>
                        <w:sz w:val="20"/>
                      </w:rPr>
                      <w:t xml:space="preserve"> </w:t>
                    </w:r>
                    <w:r>
                      <w:rPr>
                        <w:rFonts w:ascii="Trebuchet MS"/>
                        <w:color w:val="231F20"/>
                        <w:w w:val="105"/>
                        <w:sz w:val="20"/>
                      </w:rPr>
                      <w:t>to</w:t>
                    </w:r>
                    <w:r>
                      <w:rPr>
                        <w:rFonts w:ascii="Trebuchet MS"/>
                        <w:color w:val="231F20"/>
                        <w:spacing w:val="-38"/>
                        <w:w w:val="105"/>
                        <w:sz w:val="20"/>
                      </w:rPr>
                      <w:t xml:space="preserve"> </w:t>
                    </w:r>
                    <w:r>
                      <w:rPr>
                        <w:rFonts w:ascii="Trebuchet MS"/>
                        <w:color w:val="231F20"/>
                        <w:w w:val="105"/>
                        <w:sz w:val="20"/>
                      </w:rPr>
                      <w:t xml:space="preserve">matters </w:t>
                    </w:r>
                    <w:r>
                      <w:rPr>
                        <w:rFonts w:ascii="Trebuchet MS"/>
                        <w:color w:val="231F20"/>
                        <w:spacing w:val="-2"/>
                        <w:w w:val="98"/>
                        <w:sz w:val="20"/>
                      </w:rPr>
                      <w:t>i</w:t>
                    </w:r>
                    <w:r>
                      <w:rPr>
                        <w:rFonts w:ascii="Trebuchet MS"/>
                        <w:color w:val="231F20"/>
                        <w:spacing w:val="-6"/>
                        <w:w w:val="98"/>
                        <w:sz w:val="20"/>
                      </w:rPr>
                      <w:t>n</w:t>
                    </w:r>
                    <w:r>
                      <w:rPr>
                        <w:rFonts w:ascii="Trebuchet MS"/>
                        <w:color w:val="231F20"/>
                        <w:spacing w:val="-6"/>
                        <w:w w:val="109"/>
                        <w:sz w:val="20"/>
                      </w:rPr>
                      <w:t>v</w:t>
                    </w:r>
                    <w:r>
                      <w:rPr>
                        <w:rFonts w:ascii="Trebuchet MS"/>
                        <w:color w:val="231F20"/>
                        <w:spacing w:val="-2"/>
                        <w:w w:val="111"/>
                        <w:sz w:val="20"/>
                      </w:rPr>
                      <w:t>o</w:t>
                    </w:r>
                    <w:r>
                      <w:rPr>
                        <w:rFonts w:ascii="Trebuchet MS"/>
                        <w:color w:val="231F20"/>
                        <w:spacing w:val="-7"/>
                        <w:w w:val="96"/>
                        <w:sz w:val="20"/>
                      </w:rPr>
                      <w:t>l</w:t>
                    </w:r>
                    <w:r>
                      <w:rPr>
                        <w:rFonts w:ascii="Trebuchet MS"/>
                        <w:color w:val="231F20"/>
                        <w:spacing w:val="-2"/>
                        <w:w w:val="109"/>
                        <w:sz w:val="20"/>
                      </w:rPr>
                      <w:t>v</w:t>
                    </w:r>
                    <w:r>
                      <w:rPr>
                        <w:rFonts w:ascii="Trebuchet MS"/>
                        <w:color w:val="231F20"/>
                        <w:spacing w:val="-2"/>
                        <w:w w:val="98"/>
                        <w:sz w:val="20"/>
                      </w:rPr>
                      <w:t>i</w:t>
                    </w:r>
                    <w:r>
                      <w:rPr>
                        <w:rFonts w:ascii="Trebuchet MS"/>
                        <w:color w:val="231F20"/>
                        <w:spacing w:val="-1"/>
                        <w:w w:val="98"/>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107"/>
                        <w:sz w:val="20"/>
                      </w:rPr>
                      <w:t>adu</w:t>
                    </w:r>
                    <w:r>
                      <w:rPr>
                        <w:rFonts w:ascii="Trebuchet MS"/>
                        <w:color w:val="231F20"/>
                        <w:spacing w:val="-4"/>
                        <w:w w:val="107"/>
                        <w:sz w:val="20"/>
                      </w:rPr>
                      <w:t>l</w:t>
                    </w:r>
                    <w:r>
                      <w:rPr>
                        <w:rFonts w:ascii="Trebuchet MS"/>
                        <w:color w:val="231F20"/>
                        <w:spacing w:val="2"/>
                        <w:w w:val="88"/>
                        <w:sz w:val="20"/>
                      </w:rPr>
                      <w:t>t</w:t>
                    </w:r>
                    <w:r>
                      <w:rPr>
                        <w:rFonts w:ascii="Trebuchet MS"/>
                        <w:color w:val="231F20"/>
                        <w:spacing w:val="1"/>
                        <w:w w:val="122"/>
                        <w:sz w:val="20"/>
                      </w:rPr>
                      <w:t>s</w:t>
                    </w:r>
                    <w:r>
                      <w:rPr>
                        <w:rFonts w:ascii="Trebuchet MS"/>
                        <w:color w:val="231F20"/>
                        <w:w w:val="55"/>
                        <w:sz w:val="20"/>
                      </w:rPr>
                      <w:t>.</w:t>
                    </w:r>
                  </w:p>
                  <w:p w14:paraId="62F65E4B" w14:textId="77777777" w:rsidR="00894070" w:rsidRDefault="009B7AFD">
                    <w:pPr>
                      <w:spacing w:before="87" w:line="247" w:lineRule="auto"/>
                      <w:ind w:right="14"/>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include a provision in the </w:t>
                    </w:r>
                    <w:r>
                      <w:rPr>
                        <w:rFonts w:ascii="Arial"/>
                        <w:i/>
                        <w:color w:val="231F20"/>
                        <w:w w:val="105"/>
                        <w:sz w:val="20"/>
                      </w:rPr>
                      <w:t>Personal Safety Intervention</w:t>
                    </w:r>
                    <w:r>
                      <w:rPr>
                        <w:rFonts w:ascii="Arial"/>
                        <w:i/>
                        <w:color w:val="231F20"/>
                        <w:spacing w:val="-31"/>
                        <w:w w:val="105"/>
                        <w:sz w:val="20"/>
                      </w:rPr>
                      <w:t xml:space="preserve"> </w:t>
                    </w:r>
                    <w:r>
                      <w:rPr>
                        <w:rFonts w:ascii="Arial"/>
                        <w:i/>
                        <w:color w:val="231F20"/>
                        <w:w w:val="105"/>
                        <w:sz w:val="20"/>
                      </w:rPr>
                      <w:t>Orders</w:t>
                    </w:r>
                    <w:r>
                      <w:rPr>
                        <w:rFonts w:ascii="Arial"/>
                        <w:i/>
                        <w:color w:val="231F20"/>
                        <w:spacing w:val="-31"/>
                        <w:w w:val="105"/>
                        <w:sz w:val="20"/>
                      </w:rPr>
                      <w:t xml:space="preserve"> </w:t>
                    </w:r>
                    <w:r>
                      <w:rPr>
                        <w:rFonts w:ascii="Arial"/>
                        <w:i/>
                        <w:color w:val="231F20"/>
                        <w:w w:val="105"/>
                        <w:sz w:val="20"/>
                      </w:rPr>
                      <w:t>Act</w:t>
                    </w:r>
                    <w:r>
                      <w:rPr>
                        <w:rFonts w:ascii="Arial"/>
                        <w:i/>
                        <w:color w:val="231F20"/>
                        <w:spacing w:val="-31"/>
                        <w:w w:val="105"/>
                        <w:sz w:val="20"/>
                      </w:rPr>
                      <w:t xml:space="preserve"> </w:t>
                    </w:r>
                    <w:r>
                      <w:rPr>
                        <w:rFonts w:ascii="Arial"/>
                        <w:i/>
                        <w:color w:val="231F20"/>
                        <w:spacing w:val="-3"/>
                        <w:w w:val="105"/>
                        <w:sz w:val="20"/>
                      </w:rPr>
                      <w:t>2010</w:t>
                    </w:r>
                    <w:r>
                      <w:rPr>
                        <w:rFonts w:ascii="Arial"/>
                        <w:i/>
                        <w:color w:val="231F20"/>
                        <w:spacing w:val="-30"/>
                        <w:w w:val="105"/>
                        <w:sz w:val="20"/>
                      </w:rPr>
                      <w:t xml:space="preserve"> </w:t>
                    </w:r>
                    <w:r>
                      <w:rPr>
                        <w:rFonts w:ascii="Trebuchet MS"/>
                        <w:color w:val="231F20"/>
                        <w:w w:val="105"/>
                        <w:sz w:val="20"/>
                      </w:rPr>
                      <w:t>(Vic)</w:t>
                    </w:r>
                    <w:r>
                      <w:rPr>
                        <w:rFonts w:ascii="Trebuchet MS"/>
                        <w:color w:val="231F20"/>
                        <w:spacing w:val="-35"/>
                        <w:w w:val="105"/>
                        <w:sz w:val="20"/>
                      </w:rPr>
                      <w:t xml:space="preserve"> </w:t>
                    </w:r>
                    <w:r>
                      <w:rPr>
                        <w:rFonts w:ascii="Trebuchet MS"/>
                        <w:color w:val="231F20"/>
                        <w:w w:val="105"/>
                        <w:sz w:val="20"/>
                      </w:rPr>
                      <w:t>to</w:t>
                    </w:r>
                    <w:r>
                      <w:rPr>
                        <w:rFonts w:ascii="Trebuchet MS"/>
                        <w:color w:val="231F20"/>
                        <w:spacing w:val="-35"/>
                        <w:w w:val="105"/>
                        <w:sz w:val="20"/>
                      </w:rPr>
                      <w:t xml:space="preserve"> </w:t>
                    </w:r>
                    <w:r>
                      <w:rPr>
                        <w:rFonts w:ascii="Trebuchet MS"/>
                        <w:color w:val="231F20"/>
                        <w:w w:val="105"/>
                        <w:sz w:val="20"/>
                      </w:rPr>
                      <w:t>the</w:t>
                    </w:r>
                    <w:r>
                      <w:rPr>
                        <w:rFonts w:ascii="Trebuchet MS"/>
                        <w:color w:val="231F20"/>
                        <w:spacing w:val="-34"/>
                        <w:w w:val="105"/>
                        <w:sz w:val="20"/>
                      </w:rPr>
                      <w:t xml:space="preserve"> </w:t>
                    </w:r>
                    <w:r>
                      <w:rPr>
                        <w:rFonts w:ascii="Trebuchet MS"/>
                        <w:color w:val="231F20"/>
                        <w:w w:val="105"/>
                        <w:sz w:val="20"/>
                      </w:rPr>
                      <w:t>effect</w:t>
                    </w:r>
                    <w:r>
                      <w:rPr>
                        <w:rFonts w:ascii="Trebuchet MS"/>
                        <w:color w:val="231F20"/>
                        <w:spacing w:val="-35"/>
                        <w:w w:val="105"/>
                        <w:sz w:val="20"/>
                      </w:rPr>
                      <w:t xml:space="preserve"> </w:t>
                    </w:r>
                    <w:r>
                      <w:rPr>
                        <w:rFonts w:ascii="Trebuchet MS"/>
                        <w:color w:val="231F20"/>
                        <w:w w:val="105"/>
                        <w:sz w:val="20"/>
                      </w:rPr>
                      <w:t>of</w:t>
                    </w:r>
                    <w:r>
                      <w:rPr>
                        <w:rFonts w:ascii="Trebuchet MS"/>
                        <w:color w:val="231F20"/>
                        <w:spacing w:val="-35"/>
                        <w:w w:val="105"/>
                        <w:sz w:val="20"/>
                      </w:rPr>
                      <w:t xml:space="preserve"> </w:t>
                    </w:r>
                    <w:r>
                      <w:rPr>
                        <w:rFonts w:ascii="Trebuchet MS"/>
                        <w:color w:val="231F20"/>
                        <w:w w:val="105"/>
                        <w:sz w:val="20"/>
                      </w:rPr>
                      <w:t>section</w:t>
                    </w:r>
                    <w:r>
                      <w:rPr>
                        <w:rFonts w:ascii="Trebuchet MS"/>
                        <w:color w:val="231F20"/>
                        <w:spacing w:val="-35"/>
                        <w:w w:val="105"/>
                        <w:sz w:val="20"/>
                      </w:rPr>
                      <w:t xml:space="preserve"> </w:t>
                    </w:r>
                    <w:r>
                      <w:rPr>
                        <w:rFonts w:ascii="Trebuchet MS"/>
                        <w:color w:val="231F20"/>
                        <w:w w:val="105"/>
                        <w:sz w:val="20"/>
                      </w:rPr>
                      <w:t>169</w:t>
                    </w:r>
                    <w:r>
                      <w:rPr>
                        <w:rFonts w:ascii="Trebuchet MS"/>
                        <w:color w:val="231F20"/>
                        <w:spacing w:val="-35"/>
                        <w:w w:val="105"/>
                        <w:sz w:val="20"/>
                      </w:rPr>
                      <w:t xml:space="preserve"> </w:t>
                    </w:r>
                    <w:r>
                      <w:rPr>
                        <w:rFonts w:ascii="Trebuchet MS"/>
                        <w:color w:val="231F20"/>
                        <w:w w:val="105"/>
                        <w:sz w:val="20"/>
                      </w:rPr>
                      <w:t>of</w:t>
                    </w:r>
                    <w:r>
                      <w:rPr>
                        <w:rFonts w:ascii="Trebuchet MS"/>
                        <w:color w:val="231F20"/>
                        <w:spacing w:val="-34"/>
                        <w:w w:val="105"/>
                        <w:sz w:val="20"/>
                      </w:rPr>
                      <w:t xml:space="preserve"> </w:t>
                    </w:r>
                    <w:r>
                      <w:rPr>
                        <w:rFonts w:ascii="Trebuchet MS"/>
                        <w:color w:val="231F20"/>
                        <w:w w:val="105"/>
                        <w:sz w:val="20"/>
                      </w:rPr>
                      <w:t>the</w:t>
                    </w:r>
                    <w:r>
                      <w:rPr>
                        <w:rFonts w:ascii="Trebuchet MS"/>
                        <w:color w:val="231F20"/>
                        <w:spacing w:val="-35"/>
                        <w:w w:val="105"/>
                        <w:sz w:val="20"/>
                      </w:rPr>
                      <w:t xml:space="preserve"> </w:t>
                    </w:r>
                    <w:r>
                      <w:rPr>
                        <w:rFonts w:ascii="Arial"/>
                        <w:i/>
                        <w:color w:val="231F20"/>
                        <w:spacing w:val="-3"/>
                        <w:w w:val="105"/>
                        <w:sz w:val="20"/>
                      </w:rPr>
                      <w:t>Family</w:t>
                    </w:r>
                    <w:r>
                      <w:rPr>
                        <w:rFonts w:ascii="Arial"/>
                        <w:i/>
                        <w:color w:val="231F20"/>
                        <w:spacing w:val="-31"/>
                        <w:w w:val="105"/>
                        <w:sz w:val="20"/>
                      </w:rPr>
                      <w:t xml:space="preserve"> </w:t>
                    </w:r>
                    <w:r>
                      <w:rPr>
                        <w:rFonts w:ascii="Arial"/>
                        <w:i/>
                        <w:color w:val="231F20"/>
                        <w:w w:val="105"/>
                        <w:sz w:val="20"/>
                      </w:rPr>
                      <w:t xml:space="preserve">Violence </w:t>
                    </w:r>
                    <w:r>
                      <w:rPr>
                        <w:rFonts w:ascii="Arial"/>
                        <w:i/>
                        <w:color w:val="231F20"/>
                        <w:spacing w:val="-3"/>
                        <w:w w:val="105"/>
                        <w:sz w:val="20"/>
                      </w:rPr>
                      <w:t>Protection</w:t>
                    </w:r>
                    <w:r>
                      <w:rPr>
                        <w:rFonts w:ascii="Arial"/>
                        <w:i/>
                        <w:color w:val="231F20"/>
                        <w:spacing w:val="-24"/>
                        <w:w w:val="105"/>
                        <w:sz w:val="20"/>
                      </w:rPr>
                      <w:t xml:space="preserve"> </w:t>
                    </w:r>
                    <w:r>
                      <w:rPr>
                        <w:rFonts w:ascii="Arial"/>
                        <w:i/>
                        <w:color w:val="231F20"/>
                        <w:w w:val="105"/>
                        <w:sz w:val="20"/>
                      </w:rPr>
                      <w:t>Act</w:t>
                    </w:r>
                    <w:r>
                      <w:rPr>
                        <w:rFonts w:ascii="Arial"/>
                        <w:i/>
                        <w:color w:val="231F20"/>
                        <w:spacing w:val="-23"/>
                        <w:w w:val="105"/>
                        <w:sz w:val="20"/>
                      </w:rPr>
                      <w:t xml:space="preserve"> </w:t>
                    </w:r>
                    <w:r>
                      <w:rPr>
                        <w:rFonts w:ascii="Arial"/>
                        <w:i/>
                        <w:color w:val="231F20"/>
                        <w:w w:val="105"/>
                        <w:sz w:val="20"/>
                      </w:rPr>
                      <w:t>2008</w:t>
                    </w:r>
                    <w:r>
                      <w:rPr>
                        <w:rFonts w:ascii="Arial"/>
                        <w:i/>
                        <w:color w:val="231F20"/>
                        <w:spacing w:val="-22"/>
                        <w:w w:val="105"/>
                        <w:sz w:val="20"/>
                      </w:rPr>
                      <w:t xml:space="preserve"> </w:t>
                    </w:r>
                    <w:r>
                      <w:rPr>
                        <w:rFonts w:ascii="Trebuchet MS"/>
                        <w:color w:val="231F20"/>
                        <w:w w:val="105"/>
                        <w:sz w:val="20"/>
                      </w:rPr>
                      <w:t>(Vic)</w:t>
                    </w:r>
                    <w:r>
                      <w:rPr>
                        <w:rFonts w:ascii="Trebuchet MS"/>
                        <w:color w:val="231F20"/>
                        <w:spacing w:val="-26"/>
                        <w:w w:val="105"/>
                        <w:sz w:val="20"/>
                      </w:rPr>
                      <w:t xml:space="preserve"> </w:t>
                    </w:r>
                    <w:r>
                      <w:rPr>
                        <w:rFonts w:ascii="Trebuchet MS"/>
                        <w:color w:val="231F20"/>
                        <w:w w:val="105"/>
                        <w:sz w:val="20"/>
                      </w:rPr>
                      <w:t>to</w:t>
                    </w:r>
                    <w:r>
                      <w:rPr>
                        <w:rFonts w:ascii="Trebuchet MS"/>
                        <w:color w:val="231F20"/>
                        <w:spacing w:val="-27"/>
                        <w:w w:val="105"/>
                        <w:sz w:val="20"/>
                      </w:rPr>
                      <w:t xml:space="preserve"> </w:t>
                    </w:r>
                    <w:r>
                      <w:rPr>
                        <w:rFonts w:ascii="Trebuchet MS"/>
                        <w:color w:val="231F20"/>
                        <w:spacing w:val="-3"/>
                        <w:w w:val="105"/>
                        <w:sz w:val="20"/>
                      </w:rPr>
                      <w:t>provide</w:t>
                    </w:r>
                    <w:r>
                      <w:rPr>
                        <w:rFonts w:ascii="Trebuchet MS"/>
                        <w:color w:val="231F20"/>
                        <w:spacing w:val="-27"/>
                        <w:w w:val="105"/>
                        <w:sz w:val="20"/>
                      </w:rPr>
                      <w:t xml:space="preserve"> </w:t>
                    </w:r>
                    <w:r>
                      <w:rPr>
                        <w:rFonts w:ascii="Trebuchet MS"/>
                        <w:color w:val="231F20"/>
                        <w:w w:val="105"/>
                        <w:sz w:val="20"/>
                      </w:rPr>
                      <w:t>for</w:t>
                    </w:r>
                    <w:r>
                      <w:rPr>
                        <w:rFonts w:ascii="Trebuchet MS"/>
                        <w:color w:val="231F20"/>
                        <w:spacing w:val="-27"/>
                        <w:w w:val="105"/>
                        <w:sz w:val="20"/>
                      </w:rPr>
                      <w:t xml:space="preserve"> </w:t>
                    </w:r>
                    <w:r>
                      <w:rPr>
                        <w:rFonts w:ascii="Trebuchet MS"/>
                        <w:color w:val="231F20"/>
                        <w:w w:val="105"/>
                        <w:sz w:val="20"/>
                      </w:rPr>
                      <w:t>judicial</w:t>
                    </w:r>
                    <w:r>
                      <w:rPr>
                        <w:rFonts w:ascii="Trebuchet MS"/>
                        <w:color w:val="231F20"/>
                        <w:spacing w:val="-27"/>
                        <w:w w:val="105"/>
                        <w:sz w:val="20"/>
                      </w:rPr>
                      <w:t xml:space="preserve"> </w:t>
                    </w:r>
                    <w:r>
                      <w:rPr>
                        <w:rFonts w:ascii="Trebuchet MS"/>
                        <w:color w:val="231F20"/>
                        <w:w w:val="105"/>
                        <w:sz w:val="20"/>
                      </w:rPr>
                      <w:t>discretion</w:t>
                    </w:r>
                    <w:r>
                      <w:rPr>
                        <w:rFonts w:ascii="Trebuchet MS"/>
                        <w:color w:val="231F20"/>
                        <w:spacing w:val="-26"/>
                        <w:w w:val="105"/>
                        <w:sz w:val="20"/>
                      </w:rPr>
                      <w:t xml:space="preserve"> </w:t>
                    </w:r>
                    <w:r>
                      <w:rPr>
                        <w:rFonts w:ascii="Trebuchet MS"/>
                        <w:color w:val="231F20"/>
                        <w:w w:val="105"/>
                        <w:sz w:val="20"/>
                      </w:rPr>
                      <w:t>to</w:t>
                    </w:r>
                    <w:r>
                      <w:rPr>
                        <w:rFonts w:ascii="Trebuchet MS"/>
                        <w:color w:val="231F20"/>
                        <w:spacing w:val="-27"/>
                        <w:w w:val="105"/>
                        <w:sz w:val="20"/>
                      </w:rPr>
                      <w:t xml:space="preserve"> </w:t>
                    </w:r>
                    <w:r>
                      <w:rPr>
                        <w:rFonts w:ascii="Trebuchet MS"/>
                        <w:color w:val="231F20"/>
                        <w:spacing w:val="-3"/>
                        <w:w w:val="105"/>
                        <w:sz w:val="20"/>
                      </w:rPr>
                      <w:t>make</w:t>
                    </w:r>
                    <w:r>
                      <w:rPr>
                        <w:rFonts w:ascii="Trebuchet MS"/>
                        <w:color w:val="231F20"/>
                        <w:spacing w:val="-27"/>
                        <w:w w:val="105"/>
                        <w:sz w:val="20"/>
                      </w:rPr>
                      <w:t xml:space="preserve"> </w:t>
                    </w:r>
                    <w:r>
                      <w:rPr>
                        <w:rFonts w:ascii="Trebuchet MS"/>
                        <w:color w:val="231F20"/>
                        <w:w w:val="105"/>
                        <w:sz w:val="20"/>
                      </w:rPr>
                      <w:t>an</w:t>
                    </w:r>
                    <w:r>
                      <w:rPr>
                        <w:rFonts w:ascii="Trebuchet MS"/>
                        <w:color w:val="231F20"/>
                        <w:spacing w:val="-27"/>
                        <w:w w:val="105"/>
                        <w:sz w:val="20"/>
                      </w:rPr>
                      <w:t xml:space="preserve"> </w:t>
                    </w:r>
                    <w:r>
                      <w:rPr>
                        <w:rFonts w:ascii="Trebuchet MS"/>
                        <w:color w:val="231F20"/>
                        <w:w w:val="105"/>
                        <w:sz w:val="20"/>
                      </w:rPr>
                      <w:t>order</w:t>
                    </w:r>
                    <w:r>
                      <w:rPr>
                        <w:rFonts w:ascii="Trebuchet MS"/>
                        <w:color w:val="231F20"/>
                        <w:spacing w:val="-27"/>
                        <w:w w:val="105"/>
                        <w:sz w:val="20"/>
                      </w:rPr>
                      <w:t xml:space="preserve"> </w:t>
                    </w:r>
                    <w:r>
                      <w:rPr>
                        <w:rFonts w:ascii="Trebuchet MS"/>
                        <w:color w:val="231F20"/>
                        <w:spacing w:val="-3"/>
                        <w:w w:val="105"/>
                        <w:sz w:val="20"/>
                      </w:rPr>
                      <w:t xml:space="preserve">allowing </w:t>
                    </w:r>
                    <w:r>
                      <w:rPr>
                        <w:rFonts w:ascii="Trebuchet MS"/>
                        <w:color w:val="231F20"/>
                        <w:spacing w:val="-1"/>
                        <w:w w:val="111"/>
                        <w:sz w:val="20"/>
                      </w:rPr>
                      <w:t>p</w:t>
                    </w:r>
                    <w:r>
                      <w:rPr>
                        <w:rFonts w:ascii="Trebuchet MS"/>
                        <w:color w:val="231F20"/>
                        <w:spacing w:val="-1"/>
                        <w:w w:val="110"/>
                        <w:sz w:val="20"/>
                      </w:rPr>
                      <w:t>u</w:t>
                    </w:r>
                    <w:r>
                      <w:rPr>
                        <w:rFonts w:ascii="Trebuchet MS"/>
                        <w:color w:val="231F20"/>
                        <w:spacing w:val="-2"/>
                        <w:w w:val="110"/>
                        <w:sz w:val="20"/>
                      </w:rPr>
                      <w:t>b</w:t>
                    </w:r>
                    <w:r>
                      <w:rPr>
                        <w:rFonts w:ascii="Trebuchet MS"/>
                        <w:color w:val="231F20"/>
                        <w:w w:val="96"/>
                        <w:sz w:val="20"/>
                      </w:rPr>
                      <w:t>l</w:t>
                    </w:r>
                    <w:r>
                      <w:rPr>
                        <w:rFonts w:ascii="Trebuchet MS"/>
                        <w:color w:val="231F20"/>
                        <w:spacing w:val="-1"/>
                        <w:w w:val="80"/>
                        <w:sz w:val="20"/>
                      </w:rPr>
                      <w:t>i</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110"/>
                        <w:sz w:val="20"/>
                      </w:rPr>
                      <w:t>w</w:t>
                    </w:r>
                    <w:r>
                      <w:rPr>
                        <w:rFonts w:ascii="Trebuchet MS"/>
                        <w:color w:val="231F20"/>
                        <w:spacing w:val="-1"/>
                        <w:w w:val="108"/>
                        <w:sz w:val="20"/>
                      </w:rPr>
                      <w:t>he</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8"/>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06"/>
                        <w:sz w:val="20"/>
                      </w:rPr>
                      <w:t>ou</w:t>
                    </w:r>
                    <w:r>
                      <w:rPr>
                        <w:rFonts w:ascii="Trebuchet MS"/>
                        <w:color w:val="231F20"/>
                        <w:spacing w:val="2"/>
                        <w:w w:val="106"/>
                        <w:sz w:val="20"/>
                      </w:rPr>
                      <w:t>r</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1"/>
                        <w:w w:val="108"/>
                        <w:sz w:val="20"/>
                      </w:rPr>
                      <w:t>e</w:t>
                    </w:r>
                    <w:r>
                      <w:rPr>
                        <w:rFonts w:ascii="Trebuchet MS"/>
                        <w:color w:val="231F20"/>
                        <w:w w:val="105"/>
                        <w:sz w:val="20"/>
                      </w:rPr>
                      <w:t>a</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2"/>
                        <w:w w:val="105"/>
                        <w:sz w:val="20"/>
                      </w:rPr>
                      <w:t>a</w:t>
                    </w:r>
                    <w:r>
                      <w:rPr>
                        <w:rFonts w:ascii="Trebuchet MS"/>
                        <w:color w:val="231F20"/>
                        <w:spacing w:val="-2"/>
                        <w:w w:val="111"/>
                        <w:sz w:val="20"/>
                      </w:rPr>
                      <w:t>b</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07"/>
                        <w:sz w:val="20"/>
                      </w:rPr>
                      <w:t>n</w:t>
                    </w:r>
                    <w:r>
                      <w:rPr>
                        <w:rFonts w:ascii="Trebuchet MS"/>
                        <w:color w:val="231F20"/>
                        <w:spacing w:val="-2"/>
                        <w:w w:val="122"/>
                        <w:sz w:val="20"/>
                      </w:rPr>
                      <w:t>s</w:t>
                    </w:r>
                    <w:r>
                      <w:rPr>
                        <w:rFonts w:ascii="Trebuchet MS"/>
                        <w:color w:val="231F20"/>
                        <w:spacing w:val="-1"/>
                        <w:w w:val="101"/>
                        <w:sz w:val="20"/>
                      </w:rPr>
                      <w:t>i</w:t>
                    </w:r>
                    <w:r>
                      <w:rPr>
                        <w:rFonts w:ascii="Trebuchet MS"/>
                        <w:color w:val="231F20"/>
                        <w:spacing w:val="-2"/>
                        <w:w w:val="101"/>
                        <w:sz w:val="20"/>
                      </w:rPr>
                      <w:t>d</w:t>
                    </w:r>
                    <w:r>
                      <w:rPr>
                        <w:rFonts w:ascii="Trebuchet MS"/>
                        <w:color w:val="231F20"/>
                        <w:spacing w:val="-1"/>
                        <w:w w:val="108"/>
                        <w:sz w:val="20"/>
                      </w:rPr>
                      <w:t>er</w:t>
                    </w:r>
                    <w:r>
                      <w:rPr>
                        <w:rFonts w:ascii="Trebuchet MS"/>
                        <w:color w:val="231F20"/>
                        <w:w w:val="108"/>
                        <w:sz w:val="20"/>
                      </w:rPr>
                      <w:t>s</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4"/>
                        <w:w w:val="105"/>
                        <w:sz w:val="20"/>
                      </w:rPr>
                      <w:t>a</w:t>
                    </w:r>
                    <w:r>
                      <w:rPr>
                        <w:rFonts w:ascii="Trebuchet MS"/>
                        <w:color w:val="231F20"/>
                        <w:w w:val="88"/>
                        <w:sz w:val="20"/>
                      </w:rPr>
                      <w:t>t</w:t>
                    </w:r>
                    <w:r>
                      <w:rPr>
                        <w:rFonts w:ascii="Trebuchet MS"/>
                        <w:color w:val="231F20"/>
                        <w:spacing w:val="-14"/>
                        <w:sz w:val="20"/>
                      </w:rPr>
                      <w:t xml:space="preserve"> </w:t>
                    </w:r>
                    <w:r>
                      <w:rPr>
                        <w:rFonts w:ascii="Trebuchet MS"/>
                        <w:color w:val="231F20"/>
                        <w:spacing w:val="-3"/>
                        <w:w w:val="80"/>
                        <w:sz w:val="20"/>
                      </w:rPr>
                      <w:t>i</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80"/>
                        <w:sz w:val="20"/>
                      </w:rPr>
                      <w:t>i</w:t>
                    </w:r>
                    <w:r>
                      <w:rPr>
                        <w:rFonts w:ascii="Trebuchet MS"/>
                        <w:color w:val="231F20"/>
                        <w:spacing w:val="-3"/>
                        <w:w w:val="122"/>
                        <w:sz w:val="20"/>
                      </w:rPr>
                      <w:t>s</w:t>
                    </w:r>
                    <w:r>
                      <w:rPr>
                        <w:rFonts w:ascii="Trebuchet MS"/>
                        <w:color w:val="231F20"/>
                        <w:w w:val="54"/>
                        <w:sz w:val="20"/>
                      </w:rPr>
                      <w:t>:</w:t>
                    </w:r>
                  </w:p>
                  <w:p w14:paraId="208C51F4" w14:textId="77777777" w:rsidR="00894070" w:rsidRDefault="009B7AFD">
                    <w:pPr>
                      <w:numPr>
                        <w:ilvl w:val="0"/>
                        <w:numId w:val="87"/>
                      </w:numPr>
                      <w:tabs>
                        <w:tab w:val="left" w:pos="566"/>
                        <w:tab w:val="left" w:pos="567"/>
                      </w:tabs>
                      <w:spacing w:before="89"/>
                      <w:ind w:hanging="553"/>
                      <w:rPr>
                        <w:rFonts w:ascii="Trebuchet MS"/>
                        <w:sz w:val="20"/>
                      </w:rPr>
                    </w:pPr>
                    <w:r>
                      <w:rPr>
                        <w:rFonts w:ascii="Trebuchet MS"/>
                        <w:color w:val="231F20"/>
                        <w:sz w:val="20"/>
                      </w:rPr>
                      <w:t>in the public</w:t>
                    </w:r>
                    <w:r>
                      <w:rPr>
                        <w:rFonts w:ascii="Trebuchet MS"/>
                        <w:color w:val="231F20"/>
                        <w:spacing w:val="-41"/>
                        <w:sz w:val="20"/>
                      </w:rPr>
                      <w:t xml:space="preserve"> </w:t>
                    </w:r>
                    <w:r>
                      <w:rPr>
                        <w:rFonts w:ascii="Trebuchet MS"/>
                        <w:color w:val="231F20"/>
                        <w:spacing w:val="-3"/>
                        <w:sz w:val="20"/>
                      </w:rPr>
                      <w:t>interest</w:t>
                    </w:r>
                  </w:p>
                  <w:p w14:paraId="4230D29C" w14:textId="77777777" w:rsidR="00894070" w:rsidRDefault="009B7AFD">
                    <w:pPr>
                      <w:numPr>
                        <w:ilvl w:val="0"/>
                        <w:numId w:val="87"/>
                      </w:numPr>
                      <w:tabs>
                        <w:tab w:val="left" w:pos="566"/>
                        <w:tab w:val="left" w:pos="567"/>
                      </w:tabs>
                      <w:spacing w:before="92"/>
                      <w:ind w:hanging="553"/>
                      <w:rPr>
                        <w:rFonts w:ascii="Trebuchet MS"/>
                        <w:sz w:val="20"/>
                      </w:rPr>
                    </w:pPr>
                    <w:r>
                      <w:rPr>
                        <w:rFonts w:ascii="Trebuchet MS"/>
                        <w:color w:val="231F20"/>
                        <w:spacing w:val="-2"/>
                        <w:w w:val="64"/>
                        <w:sz w:val="20"/>
                      </w:rPr>
                      <w:t>j</w:t>
                    </w:r>
                    <w:r>
                      <w:rPr>
                        <w:rFonts w:ascii="Trebuchet MS"/>
                        <w:color w:val="231F20"/>
                        <w:spacing w:val="-1"/>
                        <w:w w:val="109"/>
                        <w:sz w:val="20"/>
                      </w:rPr>
                      <w:t>u</w:t>
                    </w:r>
                    <w:r>
                      <w:rPr>
                        <w:rFonts w:ascii="Trebuchet MS"/>
                        <w:color w:val="231F20"/>
                        <w:spacing w:val="-1"/>
                        <w:w w:val="122"/>
                        <w:sz w:val="20"/>
                      </w:rPr>
                      <w:t>s</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2"/>
                        <w:w w:val="80"/>
                        <w:sz w:val="20"/>
                      </w:rPr>
                      <w:t>i</w:t>
                    </w:r>
                    <w:r>
                      <w:rPr>
                        <w:rFonts w:ascii="Trebuchet MS"/>
                        <w:color w:val="231F20"/>
                        <w:spacing w:val="-4"/>
                        <w:w w:val="93"/>
                        <w:sz w:val="20"/>
                      </w:rPr>
                      <w:t>r</w:t>
                    </w:r>
                    <w:r>
                      <w:rPr>
                        <w:rFonts w:ascii="Trebuchet MS"/>
                        <w:color w:val="231F20"/>
                        <w:spacing w:val="-2"/>
                        <w:w w:val="110"/>
                        <w:sz w:val="20"/>
                      </w:rPr>
                      <w:t>c</w:t>
                    </w:r>
                    <w:r>
                      <w:rPr>
                        <w:rFonts w:ascii="Trebuchet MS"/>
                        <w:color w:val="231F20"/>
                        <w:spacing w:val="-1"/>
                        <w:w w:val="110"/>
                        <w:sz w:val="20"/>
                      </w:rPr>
                      <w:t>u</w:t>
                    </w:r>
                    <w:r>
                      <w:rPr>
                        <w:rFonts w:ascii="Trebuchet MS"/>
                        <w:color w:val="231F20"/>
                        <w:spacing w:val="-2"/>
                        <w:w w:val="111"/>
                        <w:sz w:val="20"/>
                      </w:rPr>
                      <w:t>m</w:t>
                    </w:r>
                    <w:r>
                      <w:rPr>
                        <w:rFonts w:ascii="Trebuchet MS"/>
                        <w:color w:val="231F20"/>
                        <w:spacing w:val="-1"/>
                        <w:w w:val="122"/>
                        <w:sz w:val="20"/>
                      </w:rPr>
                      <w:t>s</w:t>
                    </w:r>
                    <w:r>
                      <w:rPr>
                        <w:rFonts w:ascii="Trebuchet MS"/>
                        <w:color w:val="231F20"/>
                        <w:w w:val="88"/>
                        <w:sz w:val="20"/>
                      </w:rPr>
                      <w:t>t</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3"/>
                        <w:w w:val="111"/>
                        <w:sz w:val="20"/>
                      </w:rPr>
                      <w:t>c</w:t>
                    </w:r>
                    <w:r>
                      <w:rPr>
                        <w:rFonts w:ascii="Trebuchet MS"/>
                        <w:color w:val="231F20"/>
                        <w:spacing w:val="-2"/>
                        <w:w w:val="108"/>
                        <w:sz w:val="20"/>
                      </w:rPr>
                      <w:t>e</w:t>
                    </w:r>
                    <w:r>
                      <w:rPr>
                        <w:rFonts w:ascii="Trebuchet MS"/>
                        <w:color w:val="231F20"/>
                        <w:spacing w:val="1"/>
                        <w:w w:val="122"/>
                        <w:sz w:val="20"/>
                      </w:rPr>
                      <w:t>s</w:t>
                    </w:r>
                    <w:r>
                      <w:rPr>
                        <w:rFonts w:ascii="Trebuchet MS"/>
                        <w:color w:val="231F20"/>
                        <w:w w:val="55"/>
                        <w:sz w:val="20"/>
                      </w:rPr>
                      <w:t>.</w:t>
                    </w:r>
                  </w:p>
                </w:txbxContent>
              </v:textbox>
            </v:shape>
            <v:shape id="_x0000_s1308" type="#_x0000_t202" style="position:absolute;left:566;top:1033;width:268;height:1040" filled="f" stroked="f">
              <v:textbox inset="0,0,0,0">
                <w:txbxContent>
                  <w:p w14:paraId="0927A88F" w14:textId="77777777" w:rsidR="00894070" w:rsidRDefault="009B7AFD">
                    <w:pPr>
                      <w:rPr>
                        <w:rFonts w:ascii="Trebuchet MS"/>
                        <w:sz w:val="20"/>
                      </w:rPr>
                    </w:pPr>
                    <w:r>
                      <w:rPr>
                        <w:rFonts w:ascii="Trebuchet MS"/>
                        <w:color w:val="231F20"/>
                        <w:w w:val="90"/>
                        <w:sz w:val="20"/>
                      </w:rPr>
                      <w:t>16.</w:t>
                    </w:r>
                  </w:p>
                  <w:p w14:paraId="517A2BD2" w14:textId="77777777" w:rsidR="00894070" w:rsidRDefault="00894070"/>
                  <w:p w14:paraId="56F00821" w14:textId="77777777" w:rsidR="00894070" w:rsidRDefault="00894070">
                    <w:pPr>
                      <w:spacing w:before="3"/>
                      <w:rPr>
                        <w:sz w:val="19"/>
                      </w:rPr>
                    </w:pPr>
                  </w:p>
                  <w:p w14:paraId="5174C8F5" w14:textId="77777777" w:rsidR="00894070" w:rsidRDefault="009B7AFD">
                    <w:pPr>
                      <w:spacing w:before="1"/>
                      <w:rPr>
                        <w:rFonts w:ascii="Trebuchet MS"/>
                        <w:sz w:val="20"/>
                      </w:rPr>
                    </w:pPr>
                    <w:r>
                      <w:rPr>
                        <w:rFonts w:ascii="Trebuchet MS"/>
                        <w:color w:val="231F20"/>
                        <w:spacing w:val="-13"/>
                        <w:sz w:val="20"/>
                      </w:rPr>
                      <w:t>17.</w:t>
                    </w:r>
                  </w:p>
                </w:txbxContent>
              </v:textbox>
            </v:shape>
            <v:shape id="_x0000_s1307" type="#_x0000_t202" style="position:absolute;left:340;width:8731;height:783" fillcolor="#fee7de" stroked="f">
              <v:textbox inset="0,0,0,0">
                <w:txbxContent>
                  <w:p w14:paraId="3BF5E77F" w14:textId="77777777" w:rsidR="00894070" w:rsidRDefault="009B7AFD">
                    <w:pPr>
                      <w:spacing w:before="158"/>
                      <w:ind w:left="226"/>
                      <w:rPr>
                        <w:rFonts w:ascii="Raleway ExtraBold"/>
                        <w:b/>
                        <w:sz w:val="32"/>
                      </w:rPr>
                    </w:pPr>
                    <w:r>
                      <w:rPr>
                        <w:rFonts w:ascii="Raleway ExtraBold"/>
                        <w:b/>
                        <w:color w:val="EA5B50"/>
                        <w:sz w:val="32"/>
                      </w:rPr>
                      <w:t>Recommendations</w:t>
                    </w:r>
                  </w:p>
                </w:txbxContent>
              </v:textbox>
            </v:shape>
            <w10:anchorlock/>
          </v:group>
        </w:pict>
      </w:r>
    </w:p>
    <w:p w14:paraId="2A7CF5E6" w14:textId="77777777" w:rsidR="00894070" w:rsidRDefault="00894070">
      <w:pPr>
        <w:pStyle w:val="BodyText"/>
        <w:spacing w:before="5"/>
        <w:rPr>
          <w:sz w:val="29"/>
        </w:rPr>
      </w:pPr>
    </w:p>
    <w:p w14:paraId="16F23B18" w14:textId="77777777" w:rsidR="00894070" w:rsidRDefault="009B7AFD">
      <w:pPr>
        <w:pStyle w:val="Heading8"/>
        <w:spacing w:before="48"/>
        <w:ind w:left="1007"/>
      </w:pPr>
      <w:r>
        <w:rPr>
          <w:color w:val="231F20"/>
        </w:rPr>
        <w:t>Protection from cross-examination by the respondent</w:t>
      </w:r>
    </w:p>
    <w:p w14:paraId="65D1C695" w14:textId="77777777" w:rsidR="00894070" w:rsidRDefault="009B7AFD">
      <w:pPr>
        <w:pStyle w:val="ListParagraph"/>
        <w:numPr>
          <w:ilvl w:val="1"/>
          <w:numId w:val="102"/>
        </w:numPr>
        <w:tabs>
          <w:tab w:val="left" w:pos="1801"/>
          <w:tab w:val="left" w:pos="1802"/>
        </w:tabs>
        <w:spacing w:before="127" w:line="206" w:lineRule="auto"/>
        <w:ind w:right="1229"/>
        <w:rPr>
          <w:sz w:val="20"/>
        </w:rPr>
      </w:pPr>
      <w:r>
        <w:rPr>
          <w:color w:val="231F20"/>
          <w:sz w:val="20"/>
        </w:rPr>
        <w:t xml:space="preserve">Under the PSIO Act, people who experience stalking can still be personally </w:t>
      </w:r>
      <w:r>
        <w:rPr>
          <w:color w:val="231F20"/>
          <w:spacing w:val="-3"/>
          <w:sz w:val="20"/>
        </w:rPr>
        <w:t xml:space="preserve">cross- </w:t>
      </w:r>
      <w:r>
        <w:rPr>
          <w:color w:val="231F20"/>
          <w:sz w:val="20"/>
        </w:rPr>
        <w:t xml:space="preserve">examined </w:t>
      </w:r>
      <w:r>
        <w:rPr>
          <w:color w:val="231F20"/>
          <w:spacing w:val="-3"/>
          <w:sz w:val="20"/>
        </w:rPr>
        <w:t xml:space="preserve">by </w:t>
      </w:r>
      <w:r>
        <w:rPr>
          <w:color w:val="231F20"/>
          <w:sz w:val="20"/>
        </w:rPr>
        <w:t xml:space="preserve">the person who has stalked them. The </w:t>
      </w:r>
      <w:r>
        <w:rPr>
          <w:color w:val="231F20"/>
          <w:spacing w:val="-3"/>
          <w:sz w:val="20"/>
        </w:rPr>
        <w:t xml:space="preserve">FVPA </w:t>
      </w:r>
      <w:r>
        <w:rPr>
          <w:color w:val="231F20"/>
          <w:sz w:val="20"/>
        </w:rPr>
        <w:t xml:space="preserve">prohibits this based on </w:t>
      </w:r>
      <w:r>
        <w:rPr>
          <w:color w:val="231F20"/>
          <w:spacing w:val="-3"/>
          <w:sz w:val="20"/>
        </w:rPr>
        <w:t>relevant</w:t>
      </w:r>
      <w:r>
        <w:rPr>
          <w:color w:val="231F20"/>
          <w:spacing w:val="-9"/>
          <w:sz w:val="20"/>
        </w:rPr>
        <w:t xml:space="preserve"> </w:t>
      </w:r>
      <w:r>
        <w:rPr>
          <w:color w:val="231F20"/>
          <w:sz w:val="20"/>
        </w:rPr>
        <w:t>criteria.</w:t>
      </w:r>
      <w:r>
        <w:rPr>
          <w:color w:val="231F20"/>
          <w:spacing w:val="-9"/>
          <w:sz w:val="20"/>
        </w:rPr>
        <w:t xml:space="preserve"> </w:t>
      </w:r>
      <w:r>
        <w:rPr>
          <w:color w:val="231F20"/>
          <w:spacing w:val="-6"/>
          <w:sz w:val="20"/>
        </w:rPr>
        <w:t>We</w:t>
      </w:r>
      <w:r>
        <w:rPr>
          <w:color w:val="231F20"/>
          <w:spacing w:val="-8"/>
          <w:sz w:val="20"/>
        </w:rPr>
        <w:t xml:space="preserve"> </w:t>
      </w:r>
      <w:r>
        <w:rPr>
          <w:color w:val="231F20"/>
          <w:sz w:val="20"/>
        </w:rPr>
        <w:t>recommend</w:t>
      </w:r>
      <w:r>
        <w:rPr>
          <w:color w:val="231F20"/>
          <w:spacing w:val="-9"/>
          <w:sz w:val="20"/>
        </w:rPr>
        <w:t xml:space="preserve"> </w:t>
      </w:r>
      <w:r>
        <w:rPr>
          <w:color w:val="231F20"/>
          <w:sz w:val="20"/>
        </w:rPr>
        <w:t>that</w:t>
      </w:r>
      <w:r>
        <w:rPr>
          <w:color w:val="231F20"/>
          <w:spacing w:val="-8"/>
          <w:sz w:val="20"/>
        </w:rPr>
        <w:t xml:space="preserve"> </w:t>
      </w:r>
      <w:r>
        <w:rPr>
          <w:color w:val="231F20"/>
          <w:sz w:val="20"/>
        </w:rPr>
        <w:t>victims</w:t>
      </w:r>
      <w:r>
        <w:rPr>
          <w:color w:val="231F20"/>
          <w:spacing w:val="-9"/>
          <w:sz w:val="20"/>
        </w:rPr>
        <w:t xml:space="preserve"> </w:t>
      </w:r>
      <w:r>
        <w:rPr>
          <w:color w:val="231F20"/>
          <w:sz w:val="20"/>
        </w:rPr>
        <w:t>of</w:t>
      </w:r>
      <w:r>
        <w:rPr>
          <w:color w:val="231F20"/>
          <w:spacing w:val="-9"/>
          <w:sz w:val="20"/>
        </w:rPr>
        <w:t xml:space="preserve"> </w:t>
      </w:r>
      <w:r>
        <w:rPr>
          <w:color w:val="231F20"/>
          <w:sz w:val="20"/>
        </w:rPr>
        <w:t>stalking</w:t>
      </w:r>
      <w:r>
        <w:rPr>
          <w:color w:val="231F20"/>
          <w:spacing w:val="-8"/>
          <w:sz w:val="20"/>
        </w:rPr>
        <w:t xml:space="preserve"> </w:t>
      </w:r>
      <w:r>
        <w:rPr>
          <w:color w:val="231F20"/>
          <w:sz w:val="20"/>
        </w:rPr>
        <w:t>should</w:t>
      </w:r>
      <w:r>
        <w:rPr>
          <w:color w:val="231F20"/>
          <w:spacing w:val="-9"/>
          <w:sz w:val="20"/>
        </w:rPr>
        <w:t xml:space="preserve"> </w:t>
      </w:r>
      <w:r>
        <w:rPr>
          <w:color w:val="231F20"/>
          <w:sz w:val="20"/>
        </w:rPr>
        <w:t>also</w:t>
      </w:r>
      <w:r>
        <w:rPr>
          <w:color w:val="231F20"/>
          <w:spacing w:val="-8"/>
          <w:sz w:val="20"/>
        </w:rPr>
        <w:t xml:space="preserve"> </w:t>
      </w:r>
      <w:r>
        <w:rPr>
          <w:color w:val="231F20"/>
          <w:sz w:val="20"/>
        </w:rPr>
        <w:t>be</w:t>
      </w:r>
      <w:r>
        <w:rPr>
          <w:color w:val="231F20"/>
          <w:spacing w:val="-9"/>
          <w:sz w:val="20"/>
        </w:rPr>
        <w:t xml:space="preserve"> </w:t>
      </w:r>
      <w:r>
        <w:rPr>
          <w:color w:val="231F20"/>
          <w:spacing w:val="-3"/>
          <w:sz w:val="20"/>
        </w:rPr>
        <w:t>protected</w:t>
      </w:r>
      <w:r>
        <w:rPr>
          <w:color w:val="231F20"/>
          <w:spacing w:val="-9"/>
          <w:sz w:val="20"/>
        </w:rPr>
        <w:t xml:space="preserve"> </w:t>
      </w:r>
      <w:r>
        <w:rPr>
          <w:color w:val="231F20"/>
          <w:spacing w:val="-3"/>
          <w:sz w:val="20"/>
        </w:rPr>
        <w:t xml:space="preserve">from cross-examination by </w:t>
      </w:r>
      <w:r>
        <w:rPr>
          <w:color w:val="231F20"/>
          <w:sz w:val="20"/>
        </w:rPr>
        <w:t xml:space="preserve">the </w:t>
      </w:r>
      <w:r>
        <w:rPr>
          <w:color w:val="231F20"/>
          <w:spacing w:val="-2"/>
          <w:sz w:val="20"/>
        </w:rPr>
        <w:t xml:space="preserve">respondent </w:t>
      </w:r>
      <w:r>
        <w:rPr>
          <w:color w:val="231F20"/>
          <w:sz w:val="20"/>
        </w:rPr>
        <w:t>in PSIO</w:t>
      </w:r>
      <w:r>
        <w:rPr>
          <w:color w:val="231F20"/>
          <w:spacing w:val="-17"/>
          <w:sz w:val="20"/>
        </w:rPr>
        <w:t xml:space="preserve"> </w:t>
      </w:r>
      <w:r>
        <w:rPr>
          <w:color w:val="231F20"/>
          <w:sz w:val="20"/>
        </w:rPr>
        <w:t>matters.</w:t>
      </w:r>
    </w:p>
    <w:p w14:paraId="3BBC2B2E" w14:textId="77777777" w:rsidR="00894070" w:rsidRDefault="009B7AFD">
      <w:pPr>
        <w:pStyle w:val="ListParagraph"/>
        <w:numPr>
          <w:ilvl w:val="1"/>
          <w:numId w:val="102"/>
        </w:numPr>
        <w:tabs>
          <w:tab w:val="left" w:pos="1801"/>
          <w:tab w:val="left" w:pos="1802"/>
        </w:tabs>
        <w:spacing w:before="93" w:line="259" w:lineRule="exact"/>
        <w:rPr>
          <w:sz w:val="20"/>
        </w:rPr>
      </w:pPr>
      <w:r>
        <w:rPr>
          <w:color w:val="231F20"/>
          <w:sz w:val="20"/>
        </w:rPr>
        <w:t>The</w:t>
      </w:r>
      <w:r>
        <w:rPr>
          <w:color w:val="231F20"/>
          <w:spacing w:val="-5"/>
          <w:sz w:val="20"/>
        </w:rPr>
        <w:t xml:space="preserve"> </w:t>
      </w:r>
      <w:r>
        <w:rPr>
          <w:color w:val="231F20"/>
          <w:spacing w:val="-3"/>
          <w:sz w:val="20"/>
        </w:rPr>
        <w:t>FVPA</w:t>
      </w:r>
      <w:r>
        <w:rPr>
          <w:color w:val="231F20"/>
          <w:spacing w:val="-5"/>
          <w:sz w:val="20"/>
        </w:rPr>
        <w:t xml:space="preserve"> </w:t>
      </w:r>
      <w:r>
        <w:rPr>
          <w:color w:val="231F20"/>
          <w:sz w:val="20"/>
        </w:rPr>
        <w:t>lists</w:t>
      </w:r>
      <w:r>
        <w:rPr>
          <w:color w:val="231F20"/>
          <w:spacing w:val="-5"/>
          <w:sz w:val="20"/>
        </w:rPr>
        <w:t xml:space="preserve"> </w:t>
      </w:r>
      <w:r>
        <w:rPr>
          <w:color w:val="231F20"/>
          <w:sz w:val="20"/>
        </w:rPr>
        <w:t>people</w:t>
      </w:r>
      <w:r>
        <w:rPr>
          <w:color w:val="231F20"/>
          <w:spacing w:val="-4"/>
          <w:sz w:val="20"/>
        </w:rPr>
        <w:t xml:space="preserve"> </w:t>
      </w:r>
      <w:r>
        <w:rPr>
          <w:color w:val="231F20"/>
          <w:sz w:val="20"/>
        </w:rPr>
        <w:t>considered</w:t>
      </w:r>
      <w:r>
        <w:rPr>
          <w:color w:val="231F20"/>
          <w:spacing w:val="-5"/>
          <w:sz w:val="20"/>
        </w:rPr>
        <w:t xml:space="preserve"> </w:t>
      </w:r>
      <w:r>
        <w:rPr>
          <w:color w:val="231F20"/>
          <w:spacing w:val="-3"/>
          <w:sz w:val="20"/>
        </w:rPr>
        <w:t>‘protected</w:t>
      </w:r>
      <w:r>
        <w:rPr>
          <w:color w:val="231F20"/>
          <w:spacing w:val="-5"/>
          <w:sz w:val="20"/>
        </w:rPr>
        <w:t xml:space="preserve"> </w:t>
      </w:r>
      <w:proofErr w:type="gramStart"/>
      <w:r>
        <w:rPr>
          <w:color w:val="231F20"/>
          <w:spacing w:val="-3"/>
          <w:sz w:val="20"/>
        </w:rPr>
        <w:t>witnesses’</w:t>
      </w:r>
      <w:proofErr w:type="gramEnd"/>
      <w:r>
        <w:rPr>
          <w:color w:val="231F20"/>
          <w:spacing w:val="-3"/>
          <w:sz w:val="20"/>
        </w:rPr>
        <w:t>.</w:t>
      </w:r>
      <w:r>
        <w:rPr>
          <w:color w:val="231F20"/>
          <w:spacing w:val="-5"/>
          <w:sz w:val="20"/>
        </w:rPr>
        <w:t xml:space="preserve"> </w:t>
      </w:r>
      <w:r>
        <w:rPr>
          <w:color w:val="231F20"/>
          <w:sz w:val="20"/>
        </w:rPr>
        <w:t>Under</w:t>
      </w:r>
      <w:r>
        <w:rPr>
          <w:color w:val="231F20"/>
          <w:spacing w:val="-4"/>
          <w:sz w:val="20"/>
        </w:rPr>
        <w:t xml:space="preserve"> </w:t>
      </w:r>
      <w:r>
        <w:rPr>
          <w:color w:val="231F20"/>
          <w:sz w:val="20"/>
        </w:rPr>
        <w:t>the</w:t>
      </w:r>
      <w:r>
        <w:rPr>
          <w:color w:val="231F20"/>
          <w:spacing w:val="-5"/>
          <w:sz w:val="20"/>
        </w:rPr>
        <w:t xml:space="preserve"> </w:t>
      </w:r>
      <w:r>
        <w:rPr>
          <w:color w:val="231F20"/>
          <w:sz w:val="20"/>
        </w:rPr>
        <w:t>FVPA,</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protected</w:t>
      </w:r>
    </w:p>
    <w:p w14:paraId="3CD15083" w14:textId="77777777" w:rsidR="00894070" w:rsidRDefault="009B7AFD">
      <w:pPr>
        <w:pStyle w:val="BodyText"/>
        <w:spacing w:line="259" w:lineRule="exact"/>
        <w:ind w:left="1801"/>
      </w:pPr>
      <w:r>
        <w:rPr>
          <w:color w:val="231F20"/>
        </w:rPr>
        <w:t>witness must not be personally cross-examined by the respondent unless:</w:t>
      </w:r>
    </w:p>
    <w:p w14:paraId="450A9266" w14:textId="77777777" w:rsidR="00894070" w:rsidRDefault="009B7AFD">
      <w:pPr>
        <w:pStyle w:val="ListParagraph"/>
        <w:numPr>
          <w:ilvl w:val="2"/>
          <w:numId w:val="102"/>
        </w:numPr>
        <w:tabs>
          <w:tab w:val="left" w:pos="2141"/>
          <w:tab w:val="left" w:pos="2142"/>
        </w:tabs>
        <w:spacing w:before="83"/>
        <w:ind w:hanging="340"/>
        <w:rPr>
          <w:sz w:val="20"/>
        </w:rPr>
      </w:pPr>
      <w:r>
        <w:rPr>
          <w:color w:val="231F20"/>
          <w:sz w:val="20"/>
        </w:rPr>
        <w:t xml:space="preserve">they </w:t>
      </w:r>
      <w:r>
        <w:rPr>
          <w:color w:val="231F20"/>
          <w:spacing w:val="-3"/>
          <w:sz w:val="20"/>
        </w:rPr>
        <w:t xml:space="preserve">are </w:t>
      </w:r>
      <w:r>
        <w:rPr>
          <w:color w:val="231F20"/>
          <w:sz w:val="20"/>
        </w:rPr>
        <w:t>an</w:t>
      </w:r>
      <w:r>
        <w:rPr>
          <w:color w:val="231F20"/>
          <w:spacing w:val="-10"/>
          <w:sz w:val="20"/>
        </w:rPr>
        <w:t xml:space="preserve"> </w:t>
      </w:r>
      <w:r>
        <w:rPr>
          <w:color w:val="231F20"/>
          <w:sz w:val="20"/>
        </w:rPr>
        <w:t>adult</w:t>
      </w:r>
    </w:p>
    <w:p w14:paraId="419F209B" w14:textId="77777777" w:rsidR="00894070" w:rsidRDefault="009B7AFD">
      <w:pPr>
        <w:pStyle w:val="ListParagraph"/>
        <w:numPr>
          <w:ilvl w:val="2"/>
          <w:numId w:val="102"/>
        </w:numPr>
        <w:tabs>
          <w:tab w:val="left" w:pos="2141"/>
          <w:tab w:val="left" w:pos="2142"/>
        </w:tabs>
        <w:spacing w:before="47" w:line="259" w:lineRule="exact"/>
        <w:ind w:hanging="340"/>
        <w:rPr>
          <w:sz w:val="20"/>
        </w:rPr>
      </w:pPr>
      <w:r>
        <w:rPr>
          <w:color w:val="231F20"/>
          <w:sz w:val="20"/>
        </w:rPr>
        <w:t>they</w:t>
      </w:r>
      <w:r>
        <w:rPr>
          <w:color w:val="231F20"/>
          <w:spacing w:val="-6"/>
          <w:sz w:val="20"/>
        </w:rPr>
        <w:t xml:space="preserve"> </w:t>
      </w:r>
      <w:r>
        <w:rPr>
          <w:color w:val="231F20"/>
          <w:sz w:val="20"/>
        </w:rPr>
        <w:t>consent</w:t>
      </w:r>
      <w:r>
        <w:rPr>
          <w:color w:val="231F20"/>
          <w:spacing w:val="-5"/>
          <w:sz w:val="20"/>
        </w:rPr>
        <w:t xml:space="preserve"> </w:t>
      </w:r>
      <w:r>
        <w:rPr>
          <w:color w:val="231F20"/>
          <w:sz w:val="20"/>
        </w:rPr>
        <w:t>to</w:t>
      </w:r>
      <w:r>
        <w:rPr>
          <w:color w:val="231F20"/>
          <w:spacing w:val="-5"/>
          <w:sz w:val="20"/>
        </w:rPr>
        <w:t xml:space="preserve"> </w:t>
      </w:r>
      <w:r>
        <w:rPr>
          <w:color w:val="231F20"/>
          <w:sz w:val="20"/>
        </w:rPr>
        <w:t>being</w:t>
      </w:r>
      <w:r>
        <w:rPr>
          <w:color w:val="231F20"/>
          <w:spacing w:val="-5"/>
          <w:sz w:val="20"/>
        </w:rPr>
        <w:t xml:space="preserve"> </w:t>
      </w:r>
      <w:r>
        <w:rPr>
          <w:color w:val="231F20"/>
          <w:sz w:val="20"/>
        </w:rPr>
        <w:t>cross-examined</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the</w:t>
      </w:r>
      <w:r>
        <w:rPr>
          <w:color w:val="231F20"/>
          <w:spacing w:val="-5"/>
          <w:sz w:val="20"/>
        </w:rPr>
        <w:t xml:space="preserve"> </w:t>
      </w:r>
      <w:r>
        <w:rPr>
          <w:color w:val="231F20"/>
          <w:spacing w:val="-2"/>
          <w:sz w:val="20"/>
        </w:rPr>
        <w:t>respondent</w:t>
      </w:r>
      <w:r>
        <w:rPr>
          <w:color w:val="231F20"/>
          <w:spacing w:val="-5"/>
          <w:sz w:val="20"/>
        </w:rPr>
        <w:t xml:space="preserve"> </w:t>
      </w:r>
      <w:proofErr w:type="gramStart"/>
      <w:r>
        <w:rPr>
          <w:color w:val="231F20"/>
          <w:spacing w:val="-6"/>
          <w:sz w:val="20"/>
        </w:rPr>
        <w:t xml:space="preserve">or, </w:t>
      </w:r>
      <w:r>
        <w:rPr>
          <w:color w:val="231F20"/>
          <w:sz w:val="20"/>
        </w:rPr>
        <w:t>if</w:t>
      </w:r>
      <w:proofErr w:type="gramEnd"/>
      <w:r>
        <w:rPr>
          <w:color w:val="231F20"/>
          <w:spacing w:val="-5"/>
          <w:sz w:val="20"/>
        </w:rPr>
        <w:t xml:space="preserve"> </w:t>
      </w:r>
      <w:r>
        <w:rPr>
          <w:color w:val="231F20"/>
          <w:sz w:val="20"/>
        </w:rPr>
        <w:t>they</w:t>
      </w:r>
      <w:r>
        <w:rPr>
          <w:color w:val="231F20"/>
          <w:spacing w:val="-5"/>
          <w:sz w:val="20"/>
        </w:rPr>
        <w:t xml:space="preserve"> </w:t>
      </w:r>
      <w:r>
        <w:rPr>
          <w:color w:val="231F20"/>
          <w:spacing w:val="-4"/>
          <w:sz w:val="20"/>
        </w:rPr>
        <w:t>have</w:t>
      </w:r>
      <w:r>
        <w:rPr>
          <w:color w:val="231F20"/>
          <w:spacing w:val="-5"/>
          <w:sz w:val="20"/>
        </w:rPr>
        <w:t xml:space="preserve"> </w:t>
      </w:r>
      <w:r>
        <w:rPr>
          <w:color w:val="231F20"/>
          <w:sz w:val="20"/>
        </w:rPr>
        <w:t>a</w:t>
      </w:r>
    </w:p>
    <w:p w14:paraId="10B2B413" w14:textId="77777777" w:rsidR="00894070" w:rsidRDefault="009B7AFD">
      <w:pPr>
        <w:pStyle w:val="BodyText"/>
        <w:spacing w:line="259" w:lineRule="exact"/>
        <w:ind w:left="2141"/>
      </w:pPr>
      <w:r>
        <w:rPr>
          <w:color w:val="231F20"/>
        </w:rPr>
        <w:t>guardian, the guardian has consented</w:t>
      </w:r>
    </w:p>
    <w:p w14:paraId="32B3079B" w14:textId="77777777" w:rsidR="00894070" w:rsidRDefault="009B7AFD">
      <w:pPr>
        <w:pStyle w:val="ListParagraph"/>
        <w:numPr>
          <w:ilvl w:val="2"/>
          <w:numId w:val="102"/>
        </w:numPr>
        <w:tabs>
          <w:tab w:val="left" w:pos="2141"/>
          <w:tab w:val="left" w:pos="2142"/>
        </w:tabs>
        <w:spacing w:before="80" w:line="206" w:lineRule="auto"/>
        <w:ind w:right="1422" w:hanging="340"/>
        <w:rPr>
          <w:sz w:val="20"/>
        </w:rPr>
      </w:pPr>
      <w:r>
        <w:rPr>
          <w:color w:val="231F20"/>
          <w:sz w:val="20"/>
        </w:rPr>
        <w:t xml:space="preserve">if they </w:t>
      </w:r>
      <w:r>
        <w:rPr>
          <w:color w:val="231F20"/>
          <w:spacing w:val="-4"/>
          <w:sz w:val="20"/>
        </w:rPr>
        <w:t xml:space="preserve">have </w:t>
      </w:r>
      <w:r>
        <w:rPr>
          <w:color w:val="231F20"/>
          <w:sz w:val="20"/>
        </w:rPr>
        <w:t xml:space="preserve">a </w:t>
      </w:r>
      <w:r>
        <w:rPr>
          <w:color w:val="231F20"/>
          <w:spacing w:val="-3"/>
          <w:sz w:val="20"/>
        </w:rPr>
        <w:t xml:space="preserve">cognitive </w:t>
      </w:r>
      <w:r>
        <w:rPr>
          <w:color w:val="231F20"/>
          <w:sz w:val="20"/>
        </w:rPr>
        <w:t>impairment, the court is satisfied that they understand the</w:t>
      </w:r>
      <w:r>
        <w:rPr>
          <w:color w:val="231F20"/>
          <w:spacing w:val="-8"/>
          <w:sz w:val="20"/>
        </w:rPr>
        <w:t xml:space="preserve"> </w:t>
      </w:r>
      <w:r>
        <w:rPr>
          <w:color w:val="231F20"/>
          <w:spacing w:val="-3"/>
          <w:sz w:val="20"/>
        </w:rPr>
        <w:t>nature</w:t>
      </w:r>
      <w:r>
        <w:rPr>
          <w:color w:val="231F20"/>
          <w:spacing w:val="-7"/>
          <w:sz w:val="20"/>
        </w:rPr>
        <w:t xml:space="preserve"> </w:t>
      </w:r>
      <w:r>
        <w:rPr>
          <w:color w:val="231F20"/>
          <w:sz w:val="20"/>
        </w:rPr>
        <w:t>and</w:t>
      </w:r>
      <w:r>
        <w:rPr>
          <w:color w:val="231F20"/>
          <w:spacing w:val="-7"/>
          <w:sz w:val="20"/>
        </w:rPr>
        <w:t xml:space="preserve"> </w:t>
      </w:r>
      <w:r>
        <w:rPr>
          <w:color w:val="231F20"/>
          <w:sz w:val="20"/>
        </w:rPr>
        <w:t>consequences</w:t>
      </w:r>
      <w:r>
        <w:rPr>
          <w:color w:val="231F20"/>
          <w:spacing w:val="-7"/>
          <w:sz w:val="20"/>
        </w:rPr>
        <w:t xml:space="preserve"> </w:t>
      </w:r>
      <w:r>
        <w:rPr>
          <w:color w:val="231F20"/>
          <w:sz w:val="20"/>
        </w:rPr>
        <w:t>of</w:t>
      </w:r>
      <w:r>
        <w:rPr>
          <w:color w:val="231F20"/>
          <w:spacing w:val="-7"/>
          <w:sz w:val="20"/>
        </w:rPr>
        <w:t xml:space="preserve"> </w:t>
      </w:r>
      <w:r>
        <w:rPr>
          <w:color w:val="231F20"/>
          <w:sz w:val="20"/>
        </w:rPr>
        <w:t>giving</w:t>
      </w:r>
      <w:r>
        <w:rPr>
          <w:color w:val="231F20"/>
          <w:spacing w:val="-7"/>
          <w:sz w:val="20"/>
        </w:rPr>
        <w:t xml:space="preserve"> </w:t>
      </w:r>
      <w:r>
        <w:rPr>
          <w:color w:val="231F20"/>
          <w:sz w:val="20"/>
        </w:rPr>
        <w:t>consent</w:t>
      </w:r>
      <w:r>
        <w:rPr>
          <w:color w:val="231F20"/>
          <w:spacing w:val="-7"/>
          <w:sz w:val="20"/>
        </w:rPr>
        <w:t xml:space="preserve"> </w:t>
      </w:r>
      <w:r>
        <w:rPr>
          <w:color w:val="231F20"/>
          <w:sz w:val="20"/>
        </w:rPr>
        <w:t>and</w:t>
      </w:r>
      <w:r>
        <w:rPr>
          <w:color w:val="231F20"/>
          <w:spacing w:val="-8"/>
          <w:sz w:val="20"/>
        </w:rPr>
        <w:t xml:space="preserve"> </w:t>
      </w:r>
      <w:r>
        <w:rPr>
          <w:color w:val="231F20"/>
          <w:spacing w:val="-3"/>
          <w:sz w:val="20"/>
        </w:rPr>
        <w:t>would</w:t>
      </w:r>
      <w:r>
        <w:rPr>
          <w:color w:val="231F20"/>
          <w:spacing w:val="-7"/>
          <w:sz w:val="20"/>
        </w:rPr>
        <w:t xml:space="preserve"> </w:t>
      </w:r>
      <w:r>
        <w:rPr>
          <w:color w:val="231F20"/>
          <w:sz w:val="20"/>
        </w:rPr>
        <w:t>be</w:t>
      </w:r>
      <w:r>
        <w:rPr>
          <w:color w:val="231F20"/>
          <w:spacing w:val="-7"/>
          <w:sz w:val="20"/>
        </w:rPr>
        <w:t xml:space="preserve"> </w:t>
      </w:r>
      <w:r>
        <w:rPr>
          <w:color w:val="231F20"/>
          <w:spacing w:val="-3"/>
          <w:sz w:val="20"/>
        </w:rPr>
        <w:t>competent</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give evidence,</w:t>
      </w:r>
      <w:r>
        <w:rPr>
          <w:color w:val="231F20"/>
          <w:spacing w:val="-4"/>
          <w:sz w:val="20"/>
        </w:rPr>
        <w:t xml:space="preserve"> </w:t>
      </w:r>
      <w:r>
        <w:rPr>
          <w:color w:val="231F20"/>
          <w:sz w:val="20"/>
        </w:rPr>
        <w:t>or</w:t>
      </w:r>
    </w:p>
    <w:p w14:paraId="1937A2D2" w14:textId="77777777" w:rsidR="00894070" w:rsidRDefault="009B7AFD">
      <w:pPr>
        <w:pStyle w:val="ListParagraph"/>
        <w:numPr>
          <w:ilvl w:val="2"/>
          <w:numId w:val="102"/>
        </w:numPr>
        <w:tabs>
          <w:tab w:val="left" w:pos="2141"/>
          <w:tab w:val="left" w:pos="2142"/>
        </w:tabs>
        <w:spacing w:before="89" w:line="206" w:lineRule="auto"/>
        <w:ind w:right="1248" w:hanging="340"/>
        <w:rPr>
          <w:sz w:val="11"/>
        </w:rPr>
      </w:pPr>
      <w:r>
        <w:rPr>
          <w:color w:val="231F20"/>
          <w:sz w:val="20"/>
        </w:rPr>
        <w:t>the</w:t>
      </w:r>
      <w:r>
        <w:rPr>
          <w:color w:val="231F20"/>
          <w:spacing w:val="-8"/>
          <w:sz w:val="20"/>
        </w:rPr>
        <w:t xml:space="preserve"> </w:t>
      </w:r>
      <w:r>
        <w:rPr>
          <w:color w:val="231F20"/>
          <w:sz w:val="20"/>
        </w:rPr>
        <w:t>court</w:t>
      </w:r>
      <w:r>
        <w:rPr>
          <w:color w:val="231F20"/>
          <w:spacing w:val="-7"/>
          <w:sz w:val="20"/>
        </w:rPr>
        <w:t xml:space="preserve"> </w:t>
      </w:r>
      <w:r>
        <w:rPr>
          <w:color w:val="231F20"/>
          <w:sz w:val="20"/>
        </w:rPr>
        <w:t>decides</w:t>
      </w:r>
      <w:r>
        <w:rPr>
          <w:color w:val="231F20"/>
          <w:spacing w:val="-8"/>
          <w:sz w:val="20"/>
        </w:rPr>
        <w:t xml:space="preserve"> </w:t>
      </w:r>
      <w:r>
        <w:rPr>
          <w:color w:val="231F20"/>
          <w:sz w:val="20"/>
        </w:rPr>
        <w:t>that</w:t>
      </w:r>
      <w:r>
        <w:rPr>
          <w:color w:val="231F20"/>
          <w:spacing w:val="-7"/>
          <w:sz w:val="20"/>
        </w:rPr>
        <w:t xml:space="preserve"> </w:t>
      </w:r>
      <w:r>
        <w:rPr>
          <w:color w:val="231F20"/>
          <w:sz w:val="20"/>
        </w:rPr>
        <w:t>it</w:t>
      </w:r>
      <w:r>
        <w:rPr>
          <w:color w:val="231F20"/>
          <w:spacing w:val="-8"/>
          <w:sz w:val="20"/>
        </w:rPr>
        <w:t xml:space="preserve"> </w:t>
      </w:r>
      <w:r>
        <w:rPr>
          <w:color w:val="231F20"/>
          <w:spacing w:val="-3"/>
          <w:sz w:val="20"/>
        </w:rPr>
        <w:t>would</w:t>
      </w:r>
      <w:r>
        <w:rPr>
          <w:color w:val="231F20"/>
          <w:spacing w:val="-7"/>
          <w:sz w:val="20"/>
        </w:rPr>
        <w:t xml:space="preserve"> </w:t>
      </w:r>
      <w:r>
        <w:rPr>
          <w:color w:val="231F20"/>
          <w:sz w:val="20"/>
        </w:rPr>
        <w:t>not</w:t>
      </w:r>
      <w:r>
        <w:rPr>
          <w:color w:val="231F20"/>
          <w:spacing w:val="-8"/>
          <w:sz w:val="20"/>
        </w:rPr>
        <w:t xml:space="preserve"> </w:t>
      </w:r>
      <w:r>
        <w:rPr>
          <w:color w:val="231F20"/>
          <w:spacing w:val="-4"/>
          <w:sz w:val="20"/>
        </w:rPr>
        <w:t>have</w:t>
      </w:r>
      <w:r>
        <w:rPr>
          <w:color w:val="231F20"/>
          <w:spacing w:val="-7"/>
          <w:sz w:val="20"/>
        </w:rPr>
        <w:t xml:space="preserve"> </w:t>
      </w:r>
      <w:r>
        <w:rPr>
          <w:color w:val="231F20"/>
          <w:sz w:val="20"/>
        </w:rPr>
        <w:t>a</w:t>
      </w:r>
      <w:r>
        <w:rPr>
          <w:color w:val="231F20"/>
          <w:spacing w:val="-7"/>
          <w:sz w:val="20"/>
        </w:rPr>
        <w:t xml:space="preserve"> </w:t>
      </w:r>
      <w:r>
        <w:rPr>
          <w:color w:val="231F20"/>
          <w:sz w:val="20"/>
        </w:rPr>
        <w:t>harmful</w:t>
      </w:r>
      <w:r>
        <w:rPr>
          <w:color w:val="231F20"/>
          <w:spacing w:val="-8"/>
          <w:sz w:val="20"/>
        </w:rPr>
        <w:t xml:space="preserve"> </w:t>
      </w:r>
      <w:r>
        <w:rPr>
          <w:color w:val="231F20"/>
          <w:sz w:val="20"/>
        </w:rPr>
        <w:t>impact</w:t>
      </w:r>
      <w:r>
        <w:rPr>
          <w:color w:val="231F20"/>
          <w:spacing w:val="-7"/>
          <w:sz w:val="20"/>
        </w:rPr>
        <w:t xml:space="preserve"> </w:t>
      </w:r>
      <w:r>
        <w:rPr>
          <w:color w:val="231F20"/>
          <w:sz w:val="20"/>
        </w:rPr>
        <w:t>on</w:t>
      </w:r>
      <w:r>
        <w:rPr>
          <w:color w:val="231F20"/>
          <w:spacing w:val="-8"/>
          <w:sz w:val="20"/>
        </w:rPr>
        <w:t xml:space="preserve"> </w:t>
      </w:r>
      <w:r>
        <w:rPr>
          <w:color w:val="231F20"/>
          <w:sz w:val="20"/>
        </w:rPr>
        <w:t>the</w:t>
      </w:r>
      <w:r>
        <w:rPr>
          <w:color w:val="231F20"/>
          <w:spacing w:val="-7"/>
          <w:sz w:val="20"/>
        </w:rPr>
        <w:t xml:space="preserve"> </w:t>
      </w:r>
      <w:r>
        <w:rPr>
          <w:color w:val="231F20"/>
          <w:spacing w:val="-3"/>
          <w:sz w:val="20"/>
        </w:rPr>
        <w:t>protected</w:t>
      </w:r>
      <w:r>
        <w:rPr>
          <w:color w:val="231F20"/>
          <w:spacing w:val="-8"/>
          <w:sz w:val="20"/>
        </w:rPr>
        <w:t xml:space="preserve"> </w:t>
      </w:r>
      <w:r>
        <w:rPr>
          <w:color w:val="231F20"/>
          <w:sz w:val="20"/>
        </w:rPr>
        <w:t xml:space="preserve">witness </w:t>
      </w:r>
      <w:r>
        <w:rPr>
          <w:color w:val="231F20"/>
          <w:spacing w:val="-3"/>
          <w:sz w:val="20"/>
        </w:rPr>
        <w:t>for</w:t>
      </w:r>
      <w:r>
        <w:rPr>
          <w:color w:val="231F20"/>
          <w:spacing w:val="-6"/>
          <w:sz w:val="20"/>
        </w:rPr>
        <w:t xml:space="preserve"> </w:t>
      </w:r>
      <w:r>
        <w:rPr>
          <w:color w:val="231F20"/>
          <w:sz w:val="20"/>
        </w:rPr>
        <w:t>the</w:t>
      </w:r>
      <w:r>
        <w:rPr>
          <w:color w:val="231F20"/>
          <w:spacing w:val="-5"/>
          <w:sz w:val="20"/>
        </w:rPr>
        <w:t xml:space="preserve"> </w:t>
      </w:r>
      <w:r>
        <w:rPr>
          <w:color w:val="231F20"/>
          <w:spacing w:val="-3"/>
          <w:sz w:val="20"/>
        </w:rPr>
        <w:t>protected</w:t>
      </w:r>
      <w:r>
        <w:rPr>
          <w:color w:val="231F20"/>
          <w:spacing w:val="-5"/>
          <w:sz w:val="20"/>
        </w:rPr>
        <w:t xml:space="preserve"> </w:t>
      </w:r>
      <w:r>
        <w:rPr>
          <w:color w:val="231F20"/>
          <w:sz w:val="20"/>
        </w:rPr>
        <w:t>witness</w:t>
      </w:r>
      <w:r>
        <w:rPr>
          <w:color w:val="231F20"/>
          <w:spacing w:val="-5"/>
          <w:sz w:val="20"/>
        </w:rPr>
        <w:t xml:space="preserve"> </w:t>
      </w:r>
      <w:r>
        <w:rPr>
          <w:color w:val="231F20"/>
          <w:sz w:val="20"/>
        </w:rPr>
        <w:t>to</w:t>
      </w:r>
      <w:r>
        <w:rPr>
          <w:color w:val="231F20"/>
          <w:spacing w:val="-6"/>
          <w:sz w:val="20"/>
        </w:rPr>
        <w:t xml:space="preserve"> </w:t>
      </w:r>
      <w:r>
        <w:rPr>
          <w:color w:val="231F20"/>
          <w:sz w:val="20"/>
        </w:rPr>
        <w:t>be</w:t>
      </w:r>
      <w:r>
        <w:rPr>
          <w:color w:val="231F20"/>
          <w:spacing w:val="-5"/>
          <w:sz w:val="20"/>
        </w:rPr>
        <w:t xml:space="preserve"> </w:t>
      </w:r>
      <w:r>
        <w:rPr>
          <w:color w:val="231F20"/>
          <w:sz w:val="20"/>
        </w:rPr>
        <w:t>cross-examined</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the</w:t>
      </w:r>
      <w:r>
        <w:rPr>
          <w:color w:val="231F20"/>
          <w:spacing w:val="-6"/>
          <w:sz w:val="20"/>
        </w:rPr>
        <w:t xml:space="preserve"> </w:t>
      </w:r>
      <w:r>
        <w:rPr>
          <w:color w:val="231F20"/>
          <w:sz w:val="20"/>
        </w:rPr>
        <w:t>respondent.</w:t>
      </w:r>
      <w:r>
        <w:rPr>
          <w:color w:val="231F20"/>
          <w:position w:val="7"/>
          <w:sz w:val="11"/>
        </w:rPr>
        <w:t>139</w:t>
      </w:r>
    </w:p>
    <w:p w14:paraId="066E2025" w14:textId="77777777" w:rsidR="00894070" w:rsidRDefault="00894070">
      <w:pPr>
        <w:pStyle w:val="BodyText"/>
      </w:pPr>
    </w:p>
    <w:p w14:paraId="49D3D45A" w14:textId="77777777" w:rsidR="00894070" w:rsidRDefault="00894070">
      <w:pPr>
        <w:pStyle w:val="BodyText"/>
      </w:pPr>
    </w:p>
    <w:p w14:paraId="5E866147" w14:textId="77777777" w:rsidR="00894070" w:rsidRDefault="00894070">
      <w:pPr>
        <w:pStyle w:val="BodyText"/>
      </w:pPr>
    </w:p>
    <w:p w14:paraId="644EBFCD" w14:textId="77777777" w:rsidR="00894070" w:rsidRDefault="00894070">
      <w:pPr>
        <w:pStyle w:val="BodyText"/>
      </w:pPr>
    </w:p>
    <w:p w14:paraId="3C21019A" w14:textId="77777777" w:rsidR="00894070" w:rsidRDefault="00894070">
      <w:pPr>
        <w:pStyle w:val="BodyText"/>
      </w:pPr>
    </w:p>
    <w:p w14:paraId="59473A86" w14:textId="77777777" w:rsidR="00894070" w:rsidRDefault="00894070">
      <w:pPr>
        <w:pStyle w:val="BodyText"/>
      </w:pPr>
    </w:p>
    <w:p w14:paraId="1C9D0EC2" w14:textId="77777777" w:rsidR="00894070" w:rsidRDefault="00894070">
      <w:pPr>
        <w:pStyle w:val="BodyText"/>
      </w:pPr>
    </w:p>
    <w:p w14:paraId="504BE76A" w14:textId="77777777" w:rsidR="00894070" w:rsidRDefault="00894070">
      <w:pPr>
        <w:pStyle w:val="BodyText"/>
      </w:pPr>
    </w:p>
    <w:p w14:paraId="0AF9BD87" w14:textId="77777777" w:rsidR="00894070" w:rsidRDefault="00894070">
      <w:pPr>
        <w:pStyle w:val="BodyText"/>
      </w:pPr>
    </w:p>
    <w:p w14:paraId="29E8ACBA" w14:textId="77777777" w:rsidR="00894070" w:rsidRDefault="00894070">
      <w:pPr>
        <w:pStyle w:val="BodyText"/>
      </w:pPr>
    </w:p>
    <w:p w14:paraId="5E371663" w14:textId="77777777" w:rsidR="00894070" w:rsidRDefault="00894070">
      <w:pPr>
        <w:pStyle w:val="BodyText"/>
      </w:pPr>
    </w:p>
    <w:p w14:paraId="0262C45D" w14:textId="77777777" w:rsidR="00894070" w:rsidRDefault="00894070">
      <w:pPr>
        <w:pStyle w:val="BodyText"/>
      </w:pPr>
    </w:p>
    <w:p w14:paraId="2213C295" w14:textId="77777777" w:rsidR="00894070" w:rsidRDefault="00894070">
      <w:pPr>
        <w:pStyle w:val="BodyText"/>
      </w:pPr>
    </w:p>
    <w:p w14:paraId="6B1C9AB5" w14:textId="77777777" w:rsidR="00894070" w:rsidRDefault="00894070">
      <w:pPr>
        <w:pStyle w:val="BodyText"/>
      </w:pPr>
    </w:p>
    <w:p w14:paraId="4367F4A9" w14:textId="77777777" w:rsidR="00894070" w:rsidRDefault="00894070">
      <w:pPr>
        <w:pStyle w:val="BodyText"/>
      </w:pPr>
    </w:p>
    <w:p w14:paraId="0621C83F" w14:textId="77777777" w:rsidR="00894070" w:rsidRDefault="00894070">
      <w:pPr>
        <w:pStyle w:val="BodyText"/>
        <w:spacing w:before="7"/>
        <w:rPr>
          <w:sz w:val="26"/>
        </w:rPr>
      </w:pPr>
    </w:p>
    <w:p w14:paraId="590BCBFD" w14:textId="77777777" w:rsidR="00894070" w:rsidRDefault="009F6793">
      <w:pPr>
        <w:pStyle w:val="BodyText"/>
        <w:spacing w:line="20" w:lineRule="exact"/>
        <w:ind w:left="997"/>
        <w:rPr>
          <w:sz w:val="2"/>
        </w:rPr>
      </w:pPr>
      <w:r>
        <w:rPr>
          <w:sz w:val="2"/>
        </w:rPr>
      </w:r>
      <w:r>
        <w:rPr>
          <w:sz w:val="2"/>
        </w:rPr>
        <w:pict w14:anchorId="6C018F6B">
          <v:group id="_x0000_s1304" style="width:436.55pt;height:1pt;mso-position-horizontal-relative:char;mso-position-vertical-relative:line" coordsize="8731,20">
            <v:line id="_x0000_s1305" style="position:absolute" from="0,10" to="8731,10" strokecolor="#f8cabc" strokeweight="1pt"/>
            <w10:anchorlock/>
          </v:group>
        </w:pict>
      </w:r>
    </w:p>
    <w:p w14:paraId="349D7E1B" w14:textId="77777777" w:rsidR="00894070" w:rsidRDefault="00894070">
      <w:pPr>
        <w:spacing w:line="20" w:lineRule="exact"/>
        <w:rPr>
          <w:sz w:val="2"/>
        </w:rPr>
        <w:sectPr w:rsidR="00894070">
          <w:pgSz w:w="11910" w:h="16840"/>
          <w:pgMar w:top="840" w:right="420" w:bottom="280" w:left="580" w:header="0" w:footer="0" w:gutter="0"/>
          <w:cols w:space="720"/>
        </w:sectPr>
      </w:pPr>
    </w:p>
    <w:p w14:paraId="18FB9971" w14:textId="77777777" w:rsidR="00894070" w:rsidRDefault="009B7AFD">
      <w:pPr>
        <w:tabs>
          <w:tab w:val="left" w:pos="1801"/>
        </w:tabs>
        <w:spacing w:before="120"/>
        <w:ind w:left="1007"/>
        <w:rPr>
          <w:sz w:val="13"/>
        </w:rPr>
      </w:pPr>
      <w:r>
        <w:rPr>
          <w:color w:val="231F20"/>
          <w:sz w:val="13"/>
        </w:rPr>
        <w:t>139</w:t>
      </w:r>
      <w:r>
        <w:rPr>
          <w:color w:val="231F20"/>
          <w:sz w:val="13"/>
        </w:rPr>
        <w:tab/>
      </w:r>
      <w:r>
        <w:rPr>
          <w:i/>
          <w:color w:val="231F20"/>
          <w:sz w:val="13"/>
        </w:rPr>
        <w:t xml:space="preserve">Family Violence Protection Act 2008 </w:t>
      </w:r>
      <w:r>
        <w:rPr>
          <w:color w:val="231F20"/>
          <w:sz w:val="13"/>
        </w:rPr>
        <w:t>(Vic) s</w:t>
      </w:r>
      <w:r>
        <w:rPr>
          <w:color w:val="231F20"/>
          <w:spacing w:val="12"/>
          <w:sz w:val="13"/>
        </w:rPr>
        <w:t xml:space="preserve"> </w:t>
      </w:r>
      <w:r>
        <w:rPr>
          <w:color w:val="231F20"/>
          <w:sz w:val="13"/>
        </w:rPr>
        <w:t>70(3).</w:t>
      </w:r>
    </w:p>
    <w:p w14:paraId="073A5068" w14:textId="77777777" w:rsidR="00894070" w:rsidRDefault="009B7AFD">
      <w:pPr>
        <w:spacing w:line="326" w:lineRule="exact"/>
        <w:ind w:left="1007"/>
        <w:rPr>
          <w:b/>
          <w:sz w:val="24"/>
        </w:rPr>
      </w:pPr>
      <w:r>
        <w:br w:type="column"/>
      </w:r>
      <w:r>
        <w:rPr>
          <w:b/>
          <w:color w:val="EA5B50"/>
          <w:sz w:val="24"/>
        </w:rPr>
        <w:t>113</w:t>
      </w:r>
    </w:p>
    <w:p w14:paraId="632B5CC7" w14:textId="77777777" w:rsidR="00894070" w:rsidRDefault="00894070">
      <w:pPr>
        <w:spacing w:line="326" w:lineRule="exact"/>
        <w:rPr>
          <w:sz w:val="24"/>
        </w:rPr>
        <w:sectPr w:rsidR="00894070">
          <w:type w:val="continuous"/>
          <w:pgSz w:w="11910" w:h="16840"/>
          <w:pgMar w:top="560" w:right="420" w:bottom="280" w:left="580" w:header="720" w:footer="720" w:gutter="0"/>
          <w:cols w:num="2" w:space="720" w:equalWidth="0">
            <w:col w:w="4750" w:space="4591"/>
            <w:col w:w="1569"/>
          </w:cols>
        </w:sectPr>
      </w:pPr>
    </w:p>
    <w:p w14:paraId="11932493" w14:textId="77777777" w:rsidR="00894070" w:rsidRDefault="00894070">
      <w:pPr>
        <w:pStyle w:val="BodyText"/>
        <w:rPr>
          <w:b/>
        </w:rPr>
      </w:pPr>
    </w:p>
    <w:p w14:paraId="54EECC8E" w14:textId="77777777" w:rsidR="00894070" w:rsidRDefault="00894070">
      <w:pPr>
        <w:pStyle w:val="BodyText"/>
        <w:rPr>
          <w:b/>
        </w:rPr>
      </w:pPr>
    </w:p>
    <w:p w14:paraId="682A436B" w14:textId="77777777" w:rsidR="00894070" w:rsidRDefault="00894070">
      <w:pPr>
        <w:pStyle w:val="BodyText"/>
        <w:rPr>
          <w:b/>
        </w:rPr>
      </w:pPr>
    </w:p>
    <w:p w14:paraId="386945ED" w14:textId="77777777" w:rsidR="00894070" w:rsidRDefault="00894070">
      <w:pPr>
        <w:pStyle w:val="BodyText"/>
        <w:spacing w:before="7"/>
        <w:rPr>
          <w:b/>
          <w:sz w:val="16"/>
        </w:rPr>
      </w:pPr>
    </w:p>
    <w:p w14:paraId="39AC57B6" w14:textId="77777777" w:rsidR="00894070" w:rsidRDefault="009B7AFD">
      <w:pPr>
        <w:pStyle w:val="ListParagraph"/>
        <w:numPr>
          <w:ilvl w:val="1"/>
          <w:numId w:val="102"/>
        </w:numPr>
        <w:tabs>
          <w:tab w:val="left" w:pos="1801"/>
          <w:tab w:val="left" w:pos="1802"/>
        </w:tabs>
        <w:rPr>
          <w:sz w:val="20"/>
        </w:rPr>
      </w:pPr>
      <w:r>
        <w:rPr>
          <w:color w:val="231F20"/>
          <w:spacing w:val="-3"/>
          <w:sz w:val="20"/>
        </w:rPr>
        <w:t xml:space="preserve">Protected </w:t>
      </w:r>
      <w:r>
        <w:rPr>
          <w:color w:val="231F20"/>
          <w:sz w:val="20"/>
        </w:rPr>
        <w:t xml:space="preserve">witnesses under the </w:t>
      </w:r>
      <w:r>
        <w:rPr>
          <w:color w:val="231F20"/>
          <w:spacing w:val="-3"/>
          <w:sz w:val="20"/>
        </w:rPr>
        <w:t>FVPA</w:t>
      </w:r>
      <w:r>
        <w:rPr>
          <w:color w:val="231F20"/>
          <w:spacing w:val="-18"/>
          <w:sz w:val="20"/>
        </w:rPr>
        <w:t xml:space="preserve"> </w:t>
      </w:r>
      <w:r>
        <w:rPr>
          <w:color w:val="231F20"/>
          <w:spacing w:val="-3"/>
          <w:sz w:val="20"/>
        </w:rPr>
        <w:t>are:</w:t>
      </w:r>
    </w:p>
    <w:p w14:paraId="23ADA6F4" w14:textId="77777777" w:rsidR="00894070" w:rsidRDefault="009B7AFD">
      <w:pPr>
        <w:pStyle w:val="ListParagraph"/>
        <w:numPr>
          <w:ilvl w:val="2"/>
          <w:numId w:val="102"/>
        </w:numPr>
        <w:tabs>
          <w:tab w:val="left" w:pos="2141"/>
          <w:tab w:val="left" w:pos="2142"/>
        </w:tabs>
        <w:spacing w:before="82"/>
        <w:ind w:hanging="340"/>
        <w:rPr>
          <w:sz w:val="11"/>
        </w:rPr>
      </w:pPr>
      <w:r>
        <w:rPr>
          <w:color w:val="231F20"/>
          <w:sz w:val="20"/>
        </w:rPr>
        <w:t xml:space="preserve">the affected </w:t>
      </w:r>
      <w:r>
        <w:rPr>
          <w:color w:val="231F20"/>
          <w:spacing w:val="-3"/>
          <w:sz w:val="20"/>
        </w:rPr>
        <w:t xml:space="preserve">family </w:t>
      </w:r>
      <w:r>
        <w:rPr>
          <w:color w:val="231F20"/>
          <w:sz w:val="20"/>
        </w:rPr>
        <w:t xml:space="preserve">member or the </w:t>
      </w:r>
      <w:r>
        <w:rPr>
          <w:color w:val="231F20"/>
          <w:spacing w:val="-3"/>
          <w:sz w:val="20"/>
        </w:rPr>
        <w:t>protected</w:t>
      </w:r>
      <w:r>
        <w:rPr>
          <w:color w:val="231F20"/>
          <w:spacing w:val="-27"/>
          <w:sz w:val="20"/>
        </w:rPr>
        <w:t xml:space="preserve"> </w:t>
      </w:r>
      <w:r>
        <w:rPr>
          <w:color w:val="231F20"/>
          <w:sz w:val="20"/>
        </w:rPr>
        <w:t>person</w:t>
      </w:r>
      <w:r>
        <w:rPr>
          <w:color w:val="231F20"/>
          <w:position w:val="7"/>
          <w:sz w:val="11"/>
        </w:rPr>
        <w:t>140</w:t>
      </w:r>
    </w:p>
    <w:p w14:paraId="57EA9D34"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a</w:t>
      </w:r>
      <w:r>
        <w:rPr>
          <w:color w:val="231F20"/>
          <w:spacing w:val="-5"/>
          <w:sz w:val="20"/>
        </w:rPr>
        <w:t xml:space="preserve"> </w:t>
      </w:r>
      <w:r>
        <w:rPr>
          <w:color w:val="231F20"/>
          <w:sz w:val="20"/>
        </w:rPr>
        <w:t>child</w:t>
      </w:r>
    </w:p>
    <w:p w14:paraId="5E9DC76E" w14:textId="77777777" w:rsidR="00894070" w:rsidRDefault="009B7AFD">
      <w:pPr>
        <w:pStyle w:val="ListParagraph"/>
        <w:numPr>
          <w:ilvl w:val="2"/>
          <w:numId w:val="102"/>
        </w:numPr>
        <w:tabs>
          <w:tab w:val="left" w:pos="2141"/>
          <w:tab w:val="left" w:pos="2142"/>
        </w:tabs>
        <w:spacing w:before="47"/>
        <w:ind w:hanging="340"/>
        <w:rPr>
          <w:sz w:val="20"/>
        </w:rPr>
      </w:pPr>
      <w:r>
        <w:rPr>
          <w:color w:val="231F20"/>
          <w:spacing w:val="-3"/>
          <w:sz w:val="20"/>
        </w:rPr>
        <w:t xml:space="preserve">any family </w:t>
      </w:r>
      <w:r>
        <w:rPr>
          <w:color w:val="231F20"/>
          <w:sz w:val="20"/>
        </w:rPr>
        <w:t>member of a party to the</w:t>
      </w:r>
      <w:r>
        <w:rPr>
          <w:color w:val="231F20"/>
          <w:spacing w:val="-28"/>
          <w:sz w:val="20"/>
        </w:rPr>
        <w:t xml:space="preserve"> </w:t>
      </w:r>
      <w:r>
        <w:rPr>
          <w:color w:val="231F20"/>
          <w:sz w:val="20"/>
        </w:rPr>
        <w:t>proceeding</w:t>
      </w:r>
    </w:p>
    <w:p w14:paraId="65F8A43F" w14:textId="77777777" w:rsidR="00894070" w:rsidRDefault="009B7AFD">
      <w:pPr>
        <w:pStyle w:val="ListParagraph"/>
        <w:numPr>
          <w:ilvl w:val="2"/>
          <w:numId w:val="102"/>
        </w:numPr>
        <w:tabs>
          <w:tab w:val="left" w:pos="2141"/>
          <w:tab w:val="left" w:pos="2142"/>
        </w:tabs>
        <w:spacing w:before="47" w:line="259" w:lineRule="exact"/>
        <w:ind w:hanging="340"/>
        <w:rPr>
          <w:sz w:val="20"/>
        </w:rPr>
      </w:pPr>
      <w:r>
        <w:rPr>
          <w:color w:val="231F20"/>
          <w:spacing w:val="-3"/>
          <w:sz w:val="20"/>
        </w:rPr>
        <w:t>any</w:t>
      </w:r>
      <w:r>
        <w:rPr>
          <w:color w:val="231F20"/>
          <w:spacing w:val="-5"/>
          <w:sz w:val="20"/>
        </w:rPr>
        <w:t xml:space="preserve"> </w:t>
      </w:r>
      <w:r>
        <w:rPr>
          <w:color w:val="231F20"/>
          <w:sz w:val="20"/>
        </w:rPr>
        <w:t>person</w:t>
      </w:r>
      <w:r>
        <w:rPr>
          <w:color w:val="231F20"/>
          <w:spacing w:val="-5"/>
          <w:sz w:val="20"/>
        </w:rPr>
        <w:t xml:space="preserve"> </w:t>
      </w:r>
      <w:r>
        <w:rPr>
          <w:color w:val="231F20"/>
          <w:sz w:val="20"/>
        </w:rPr>
        <w:t>declared</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the</w:t>
      </w:r>
      <w:r>
        <w:rPr>
          <w:color w:val="231F20"/>
          <w:spacing w:val="-5"/>
          <w:sz w:val="20"/>
        </w:rPr>
        <w:t xml:space="preserve"> </w:t>
      </w:r>
      <w:r>
        <w:rPr>
          <w:color w:val="231F20"/>
          <w:sz w:val="20"/>
        </w:rPr>
        <w:t>court</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protected</w:t>
      </w:r>
      <w:r>
        <w:rPr>
          <w:color w:val="231F20"/>
          <w:spacing w:val="-5"/>
          <w:sz w:val="20"/>
        </w:rPr>
        <w:t xml:space="preserve"> </w:t>
      </w:r>
      <w:r>
        <w:rPr>
          <w:color w:val="231F20"/>
          <w:sz w:val="20"/>
        </w:rPr>
        <w:t>witness</w:t>
      </w:r>
      <w:r>
        <w:rPr>
          <w:color w:val="231F20"/>
          <w:spacing w:val="-4"/>
          <w:sz w:val="20"/>
        </w:rPr>
        <w:t xml:space="preserve"> </w:t>
      </w:r>
      <w:r>
        <w:rPr>
          <w:color w:val="231F20"/>
          <w:spacing w:val="-3"/>
          <w:sz w:val="20"/>
        </w:rPr>
        <w:t>for</w:t>
      </w:r>
      <w:r>
        <w:rPr>
          <w:color w:val="231F20"/>
          <w:spacing w:val="-5"/>
          <w:sz w:val="20"/>
        </w:rPr>
        <w:t xml:space="preserve"> </w:t>
      </w:r>
      <w:r>
        <w:rPr>
          <w:color w:val="231F20"/>
          <w:sz w:val="20"/>
        </w:rPr>
        <w:t>the</w:t>
      </w:r>
      <w:r>
        <w:rPr>
          <w:color w:val="231F20"/>
          <w:spacing w:val="-5"/>
          <w:sz w:val="20"/>
        </w:rPr>
        <w:t xml:space="preserve"> </w:t>
      </w:r>
      <w:r>
        <w:rPr>
          <w:color w:val="231F20"/>
          <w:sz w:val="20"/>
        </w:rPr>
        <w:t>proceeding</w:t>
      </w:r>
    </w:p>
    <w:p w14:paraId="0EC1E433" w14:textId="77777777" w:rsidR="00894070" w:rsidRDefault="009B7AFD">
      <w:pPr>
        <w:pStyle w:val="BodyText"/>
        <w:spacing w:line="259" w:lineRule="exact"/>
        <w:ind w:left="2141"/>
        <w:rPr>
          <w:sz w:val="11"/>
        </w:rPr>
      </w:pPr>
      <w:r>
        <w:rPr>
          <w:color w:val="231F20"/>
        </w:rPr>
        <w:t xml:space="preserve">because the court is satisfied of </w:t>
      </w:r>
      <w:proofErr w:type="gramStart"/>
      <w:r>
        <w:rPr>
          <w:color w:val="231F20"/>
        </w:rPr>
        <w:t>particular circumstances</w:t>
      </w:r>
      <w:proofErr w:type="gramEnd"/>
      <w:r>
        <w:rPr>
          <w:color w:val="231F20"/>
        </w:rPr>
        <w:t>.</w:t>
      </w:r>
      <w:r>
        <w:rPr>
          <w:color w:val="231F20"/>
          <w:position w:val="7"/>
          <w:sz w:val="11"/>
        </w:rPr>
        <w:t>141</w:t>
      </w:r>
    </w:p>
    <w:p w14:paraId="3F5C2DCD" w14:textId="77777777" w:rsidR="00894070" w:rsidRDefault="009B7AFD">
      <w:pPr>
        <w:pStyle w:val="ListParagraph"/>
        <w:numPr>
          <w:ilvl w:val="1"/>
          <w:numId w:val="102"/>
        </w:numPr>
        <w:tabs>
          <w:tab w:val="left" w:pos="1801"/>
          <w:tab w:val="left" w:pos="1802"/>
        </w:tabs>
        <w:spacing w:before="48" w:line="259" w:lineRule="exact"/>
        <w:rPr>
          <w:sz w:val="20"/>
        </w:rPr>
      </w:pPr>
      <w:r>
        <w:rPr>
          <w:color w:val="231F20"/>
          <w:sz w:val="20"/>
        </w:rPr>
        <w:t>The</w:t>
      </w:r>
      <w:r>
        <w:rPr>
          <w:color w:val="231F20"/>
          <w:spacing w:val="-6"/>
          <w:sz w:val="20"/>
        </w:rPr>
        <w:t xml:space="preserve"> </w:t>
      </w:r>
      <w:r>
        <w:rPr>
          <w:color w:val="231F20"/>
          <w:sz w:val="20"/>
        </w:rPr>
        <w:t>court’s</w:t>
      </w:r>
      <w:r>
        <w:rPr>
          <w:color w:val="231F20"/>
          <w:spacing w:val="-6"/>
          <w:sz w:val="20"/>
        </w:rPr>
        <w:t xml:space="preserve"> </w:t>
      </w:r>
      <w:r>
        <w:rPr>
          <w:color w:val="231F20"/>
          <w:sz w:val="20"/>
        </w:rPr>
        <w:t>general</w:t>
      </w:r>
      <w:r>
        <w:rPr>
          <w:color w:val="231F20"/>
          <w:spacing w:val="-6"/>
          <w:sz w:val="20"/>
        </w:rPr>
        <w:t xml:space="preserve"> </w:t>
      </w:r>
      <w:r>
        <w:rPr>
          <w:color w:val="231F20"/>
          <w:spacing w:val="-3"/>
          <w:sz w:val="20"/>
        </w:rPr>
        <w:t>power</w:t>
      </w:r>
      <w:r>
        <w:rPr>
          <w:color w:val="231F20"/>
          <w:spacing w:val="-6"/>
          <w:sz w:val="20"/>
        </w:rPr>
        <w:t xml:space="preserve"> </w:t>
      </w:r>
      <w:r>
        <w:rPr>
          <w:color w:val="231F20"/>
          <w:sz w:val="20"/>
        </w:rPr>
        <w:t>or</w:t>
      </w:r>
      <w:r>
        <w:rPr>
          <w:color w:val="231F20"/>
          <w:spacing w:val="-6"/>
          <w:sz w:val="20"/>
        </w:rPr>
        <w:t xml:space="preserve"> </w:t>
      </w:r>
      <w:r>
        <w:rPr>
          <w:color w:val="231F20"/>
          <w:sz w:val="20"/>
        </w:rPr>
        <w:t>obligation</w:t>
      </w:r>
      <w:r>
        <w:rPr>
          <w:color w:val="231F20"/>
          <w:spacing w:val="-5"/>
          <w:sz w:val="20"/>
        </w:rPr>
        <w:t xml:space="preserve"> </w:t>
      </w:r>
      <w:r>
        <w:rPr>
          <w:color w:val="231F20"/>
          <w:sz w:val="20"/>
        </w:rPr>
        <w:t>to</w:t>
      </w:r>
      <w:r>
        <w:rPr>
          <w:color w:val="231F20"/>
          <w:spacing w:val="-6"/>
          <w:sz w:val="20"/>
        </w:rPr>
        <w:t xml:space="preserve"> </w:t>
      </w:r>
      <w:r>
        <w:rPr>
          <w:color w:val="231F20"/>
          <w:spacing w:val="-4"/>
          <w:sz w:val="20"/>
        </w:rPr>
        <w:t>prevent</w:t>
      </w:r>
      <w:r>
        <w:rPr>
          <w:color w:val="231F20"/>
          <w:spacing w:val="-6"/>
          <w:sz w:val="20"/>
        </w:rPr>
        <w:t xml:space="preserve"> </w:t>
      </w:r>
      <w:r>
        <w:rPr>
          <w:color w:val="231F20"/>
          <w:sz w:val="20"/>
        </w:rPr>
        <w:t>improper</w:t>
      </w:r>
      <w:r>
        <w:rPr>
          <w:color w:val="231F20"/>
          <w:spacing w:val="-6"/>
          <w:sz w:val="20"/>
        </w:rPr>
        <w:t xml:space="preserve"> </w:t>
      </w:r>
      <w:r>
        <w:rPr>
          <w:color w:val="231F20"/>
          <w:sz w:val="20"/>
        </w:rPr>
        <w:t>questioning</w:t>
      </w:r>
      <w:r>
        <w:rPr>
          <w:color w:val="231F20"/>
          <w:spacing w:val="-6"/>
          <w:sz w:val="20"/>
        </w:rPr>
        <w:t xml:space="preserve"> </w:t>
      </w:r>
      <w:r>
        <w:rPr>
          <w:color w:val="231F20"/>
          <w:sz w:val="20"/>
        </w:rPr>
        <w:t>of</w:t>
      </w:r>
      <w:r>
        <w:rPr>
          <w:color w:val="231F20"/>
          <w:spacing w:val="-5"/>
          <w:sz w:val="20"/>
        </w:rPr>
        <w:t xml:space="preserve"> </w:t>
      </w:r>
      <w:r>
        <w:rPr>
          <w:color w:val="231F20"/>
          <w:sz w:val="20"/>
        </w:rPr>
        <w:t>witnesses</w:t>
      </w:r>
    </w:p>
    <w:p w14:paraId="4E55F0EE" w14:textId="77777777" w:rsidR="00894070" w:rsidRDefault="009B7AFD">
      <w:pPr>
        <w:spacing w:line="259" w:lineRule="exact"/>
        <w:ind w:left="1801"/>
        <w:rPr>
          <w:sz w:val="11"/>
        </w:rPr>
      </w:pPr>
      <w:r>
        <w:rPr>
          <w:color w:val="231F20"/>
          <w:sz w:val="20"/>
        </w:rPr>
        <w:t xml:space="preserve">under the </w:t>
      </w:r>
      <w:r>
        <w:rPr>
          <w:i/>
          <w:color w:val="231F20"/>
          <w:sz w:val="20"/>
        </w:rPr>
        <w:t xml:space="preserve">Evidence Act 2008 </w:t>
      </w:r>
      <w:r>
        <w:rPr>
          <w:color w:val="231F20"/>
          <w:sz w:val="20"/>
        </w:rPr>
        <w:t>(Vic) also applies to proceedings for an FVIO and PSIO.</w:t>
      </w:r>
      <w:r>
        <w:rPr>
          <w:color w:val="231F20"/>
          <w:position w:val="7"/>
          <w:sz w:val="11"/>
        </w:rPr>
        <w:t>142</w:t>
      </w:r>
    </w:p>
    <w:p w14:paraId="5208C409" w14:textId="77777777" w:rsidR="00894070" w:rsidRDefault="009B7AFD">
      <w:pPr>
        <w:pStyle w:val="ListParagraph"/>
        <w:numPr>
          <w:ilvl w:val="1"/>
          <w:numId w:val="102"/>
        </w:numPr>
        <w:tabs>
          <w:tab w:val="left" w:pos="1801"/>
          <w:tab w:val="left" w:pos="1802"/>
        </w:tabs>
        <w:spacing w:before="115" w:line="206" w:lineRule="auto"/>
        <w:ind w:right="1186"/>
        <w:rPr>
          <w:sz w:val="11"/>
        </w:rPr>
      </w:pPr>
      <w:r>
        <w:rPr>
          <w:color w:val="231F20"/>
          <w:sz w:val="20"/>
        </w:rPr>
        <w:t>There</w:t>
      </w:r>
      <w:r>
        <w:rPr>
          <w:color w:val="231F20"/>
          <w:spacing w:val="-6"/>
          <w:sz w:val="20"/>
        </w:rPr>
        <w:t xml:space="preserve"> </w:t>
      </w:r>
      <w:r>
        <w:rPr>
          <w:color w:val="231F20"/>
          <w:sz w:val="20"/>
        </w:rPr>
        <w:t>was</w:t>
      </w:r>
      <w:r>
        <w:rPr>
          <w:color w:val="231F20"/>
          <w:spacing w:val="-5"/>
          <w:sz w:val="20"/>
        </w:rPr>
        <w:t xml:space="preserve"> </w:t>
      </w:r>
      <w:r>
        <w:rPr>
          <w:color w:val="231F20"/>
          <w:sz w:val="20"/>
        </w:rPr>
        <w:t>support</w:t>
      </w:r>
      <w:r>
        <w:rPr>
          <w:color w:val="231F20"/>
          <w:spacing w:val="-5"/>
          <w:sz w:val="20"/>
        </w:rPr>
        <w:t xml:space="preserve"> </w:t>
      </w:r>
      <w:r>
        <w:rPr>
          <w:color w:val="231F20"/>
          <w:spacing w:val="-3"/>
          <w:sz w:val="20"/>
        </w:rPr>
        <w:t>for</w:t>
      </w:r>
      <w:r>
        <w:rPr>
          <w:color w:val="231F20"/>
          <w:spacing w:val="-5"/>
          <w:sz w:val="20"/>
        </w:rPr>
        <w:t xml:space="preserve"> </w:t>
      </w:r>
      <w:r>
        <w:rPr>
          <w:color w:val="231F20"/>
          <w:spacing w:val="-3"/>
          <w:sz w:val="20"/>
        </w:rPr>
        <w:t>introducing</w:t>
      </w:r>
      <w:r>
        <w:rPr>
          <w:color w:val="231F20"/>
          <w:spacing w:val="-6"/>
          <w:sz w:val="20"/>
        </w:rPr>
        <w:t xml:space="preserve"> </w:t>
      </w:r>
      <w:r>
        <w:rPr>
          <w:color w:val="231F20"/>
          <w:sz w:val="20"/>
        </w:rPr>
        <w:t>limits</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pacing w:val="-2"/>
          <w:sz w:val="20"/>
        </w:rPr>
        <w:t>respondent</w:t>
      </w:r>
      <w:r>
        <w:rPr>
          <w:color w:val="231F20"/>
          <w:spacing w:val="-6"/>
          <w:sz w:val="20"/>
        </w:rPr>
        <w:t xml:space="preserve"> </w:t>
      </w:r>
      <w:r>
        <w:rPr>
          <w:color w:val="231F20"/>
          <w:sz w:val="20"/>
        </w:rPr>
        <w:t>personally</w:t>
      </w:r>
      <w:r>
        <w:rPr>
          <w:color w:val="231F20"/>
          <w:spacing w:val="-5"/>
          <w:sz w:val="20"/>
        </w:rPr>
        <w:t xml:space="preserve"> </w:t>
      </w:r>
      <w:r>
        <w:rPr>
          <w:color w:val="231F20"/>
          <w:spacing w:val="-3"/>
          <w:sz w:val="20"/>
        </w:rPr>
        <w:t xml:space="preserve">cross-examining </w:t>
      </w:r>
      <w:r>
        <w:rPr>
          <w:color w:val="231F20"/>
          <w:sz w:val="20"/>
        </w:rPr>
        <w:t>the</w:t>
      </w:r>
      <w:r>
        <w:rPr>
          <w:color w:val="231F20"/>
          <w:spacing w:val="-6"/>
          <w:sz w:val="20"/>
        </w:rPr>
        <w:t xml:space="preserve"> </w:t>
      </w:r>
      <w:r>
        <w:rPr>
          <w:color w:val="231F20"/>
          <w:sz w:val="20"/>
        </w:rPr>
        <w:t>affected</w:t>
      </w:r>
      <w:r>
        <w:rPr>
          <w:color w:val="231F20"/>
          <w:spacing w:val="-6"/>
          <w:sz w:val="20"/>
        </w:rPr>
        <w:t xml:space="preserve"> </w:t>
      </w:r>
      <w:r>
        <w:rPr>
          <w:color w:val="231F20"/>
          <w:sz w:val="20"/>
        </w:rPr>
        <w:t>person</w:t>
      </w:r>
      <w:r>
        <w:rPr>
          <w:color w:val="231F20"/>
          <w:spacing w:val="-6"/>
          <w:sz w:val="20"/>
        </w:rPr>
        <w:t xml:space="preserve"> </w:t>
      </w:r>
      <w:r>
        <w:rPr>
          <w:color w:val="231F20"/>
          <w:sz w:val="20"/>
        </w:rPr>
        <w:t>in</w:t>
      </w:r>
      <w:r>
        <w:rPr>
          <w:color w:val="231F20"/>
          <w:spacing w:val="-5"/>
          <w:sz w:val="20"/>
        </w:rPr>
        <w:t xml:space="preserve"> </w:t>
      </w:r>
      <w:r>
        <w:rPr>
          <w:color w:val="231F20"/>
          <w:sz w:val="20"/>
        </w:rPr>
        <w:t>PSIO</w:t>
      </w:r>
      <w:r>
        <w:rPr>
          <w:color w:val="231F20"/>
          <w:spacing w:val="-6"/>
          <w:sz w:val="20"/>
        </w:rPr>
        <w:t xml:space="preserve"> </w:t>
      </w:r>
      <w:r>
        <w:rPr>
          <w:color w:val="231F20"/>
          <w:sz w:val="20"/>
        </w:rPr>
        <w:t>matters</w:t>
      </w:r>
      <w:r>
        <w:rPr>
          <w:color w:val="231F20"/>
          <w:spacing w:val="-6"/>
          <w:sz w:val="20"/>
        </w:rPr>
        <w:t xml:space="preserve"> </w:t>
      </w:r>
      <w:r>
        <w:rPr>
          <w:color w:val="231F20"/>
          <w:sz w:val="20"/>
        </w:rPr>
        <w:t>that</w:t>
      </w:r>
      <w:r>
        <w:rPr>
          <w:color w:val="231F20"/>
          <w:spacing w:val="-5"/>
          <w:sz w:val="20"/>
        </w:rPr>
        <w:t xml:space="preserve"> </w:t>
      </w:r>
      <w:r>
        <w:rPr>
          <w:color w:val="231F20"/>
          <w:spacing w:val="-2"/>
          <w:sz w:val="20"/>
        </w:rPr>
        <w:t>mirror</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FVPA</w:t>
      </w:r>
      <w:r>
        <w:rPr>
          <w:color w:val="231F20"/>
          <w:spacing w:val="-5"/>
          <w:sz w:val="20"/>
        </w:rPr>
        <w:t xml:space="preserve"> </w:t>
      </w:r>
      <w:r>
        <w:rPr>
          <w:color w:val="231F20"/>
          <w:sz w:val="20"/>
        </w:rPr>
        <w:t>provisions.</w:t>
      </w:r>
      <w:r>
        <w:rPr>
          <w:color w:val="231F20"/>
          <w:position w:val="7"/>
          <w:sz w:val="11"/>
        </w:rPr>
        <w:t>143</w:t>
      </w:r>
    </w:p>
    <w:p w14:paraId="3555647D" w14:textId="77777777" w:rsidR="00894070" w:rsidRDefault="009B7AFD">
      <w:pPr>
        <w:pStyle w:val="ListParagraph"/>
        <w:numPr>
          <w:ilvl w:val="1"/>
          <w:numId w:val="102"/>
        </w:numPr>
        <w:tabs>
          <w:tab w:val="left" w:pos="1801"/>
          <w:tab w:val="left" w:pos="1802"/>
        </w:tabs>
        <w:spacing w:before="122" w:line="206" w:lineRule="auto"/>
        <w:ind w:right="1415"/>
        <w:rPr>
          <w:sz w:val="20"/>
        </w:rPr>
      </w:pPr>
      <w:r>
        <w:rPr>
          <w:color w:val="231F20"/>
          <w:spacing w:val="-6"/>
          <w:sz w:val="20"/>
        </w:rPr>
        <w:t>We</w:t>
      </w:r>
      <w:r>
        <w:rPr>
          <w:color w:val="231F20"/>
          <w:spacing w:val="-7"/>
          <w:sz w:val="20"/>
        </w:rPr>
        <w:t xml:space="preserve"> </w:t>
      </w:r>
      <w:r>
        <w:rPr>
          <w:color w:val="231F20"/>
          <w:sz w:val="20"/>
        </w:rPr>
        <w:t>heard</w:t>
      </w:r>
      <w:r>
        <w:rPr>
          <w:color w:val="231F20"/>
          <w:spacing w:val="-7"/>
          <w:sz w:val="20"/>
        </w:rPr>
        <w:t xml:space="preserve"> </w:t>
      </w:r>
      <w:r>
        <w:rPr>
          <w:color w:val="231F20"/>
          <w:sz w:val="20"/>
        </w:rPr>
        <w:t>concerns</w:t>
      </w:r>
      <w:r>
        <w:rPr>
          <w:color w:val="231F20"/>
          <w:spacing w:val="-7"/>
          <w:sz w:val="20"/>
        </w:rPr>
        <w:t xml:space="preserve"> </w:t>
      </w:r>
      <w:r>
        <w:rPr>
          <w:color w:val="231F20"/>
          <w:sz w:val="20"/>
        </w:rPr>
        <w:t>that</w:t>
      </w:r>
      <w:r>
        <w:rPr>
          <w:color w:val="231F20"/>
          <w:spacing w:val="-7"/>
          <w:sz w:val="20"/>
        </w:rPr>
        <w:t xml:space="preserve"> </w:t>
      </w:r>
      <w:r>
        <w:rPr>
          <w:color w:val="231F20"/>
          <w:sz w:val="20"/>
        </w:rPr>
        <w:t>the</w:t>
      </w:r>
      <w:r>
        <w:rPr>
          <w:color w:val="231F20"/>
          <w:spacing w:val="-7"/>
          <w:sz w:val="20"/>
        </w:rPr>
        <w:t xml:space="preserve"> </w:t>
      </w:r>
      <w:r>
        <w:rPr>
          <w:color w:val="231F20"/>
          <w:sz w:val="20"/>
        </w:rPr>
        <w:t>legal</w:t>
      </w:r>
      <w:r>
        <w:rPr>
          <w:color w:val="231F20"/>
          <w:spacing w:val="-7"/>
          <w:sz w:val="20"/>
        </w:rPr>
        <w:t xml:space="preserve"> </w:t>
      </w:r>
      <w:r>
        <w:rPr>
          <w:color w:val="231F20"/>
          <w:sz w:val="20"/>
        </w:rPr>
        <w:t>process</w:t>
      </w:r>
      <w:r>
        <w:rPr>
          <w:color w:val="231F20"/>
          <w:spacing w:val="-7"/>
          <w:sz w:val="20"/>
        </w:rPr>
        <w:t xml:space="preserve"> </w:t>
      </w:r>
      <w:r>
        <w:rPr>
          <w:color w:val="231F20"/>
          <w:spacing w:val="-3"/>
          <w:sz w:val="20"/>
        </w:rPr>
        <w:t>would</w:t>
      </w:r>
      <w:r>
        <w:rPr>
          <w:color w:val="231F20"/>
          <w:spacing w:val="-7"/>
          <w:sz w:val="20"/>
        </w:rPr>
        <w:t xml:space="preserve"> </w:t>
      </w:r>
      <w:r>
        <w:rPr>
          <w:color w:val="231F20"/>
          <w:sz w:val="20"/>
        </w:rPr>
        <w:t>be</w:t>
      </w:r>
      <w:r>
        <w:rPr>
          <w:color w:val="231F20"/>
          <w:spacing w:val="-7"/>
          <w:sz w:val="20"/>
        </w:rPr>
        <w:t xml:space="preserve"> </w:t>
      </w:r>
      <w:r>
        <w:rPr>
          <w:color w:val="231F20"/>
          <w:sz w:val="20"/>
        </w:rPr>
        <w:t>used</w:t>
      </w:r>
      <w:r>
        <w:rPr>
          <w:color w:val="231F20"/>
          <w:spacing w:val="-7"/>
          <w:sz w:val="20"/>
        </w:rPr>
        <w:t xml:space="preserve"> </w:t>
      </w:r>
      <w:r>
        <w:rPr>
          <w:color w:val="231F20"/>
          <w:sz w:val="20"/>
        </w:rPr>
        <w:t>to</w:t>
      </w:r>
      <w:r>
        <w:rPr>
          <w:color w:val="231F20"/>
          <w:spacing w:val="-6"/>
          <w:sz w:val="20"/>
        </w:rPr>
        <w:t xml:space="preserve"> </w:t>
      </w:r>
      <w:r>
        <w:rPr>
          <w:color w:val="231F20"/>
          <w:spacing w:val="-3"/>
          <w:sz w:val="20"/>
        </w:rPr>
        <w:t>perpetuate</w:t>
      </w:r>
      <w:r>
        <w:rPr>
          <w:color w:val="231F20"/>
          <w:spacing w:val="-7"/>
          <w:sz w:val="20"/>
        </w:rPr>
        <w:t xml:space="preserve"> </w:t>
      </w:r>
      <w:r>
        <w:rPr>
          <w:color w:val="231F20"/>
          <w:sz w:val="20"/>
        </w:rPr>
        <w:t>the</w:t>
      </w:r>
      <w:r>
        <w:rPr>
          <w:color w:val="231F20"/>
          <w:spacing w:val="-7"/>
          <w:sz w:val="20"/>
        </w:rPr>
        <w:t xml:space="preserve"> </w:t>
      </w:r>
      <w:r>
        <w:rPr>
          <w:color w:val="231F20"/>
          <w:sz w:val="20"/>
        </w:rPr>
        <w:t>abuse,</w:t>
      </w:r>
      <w:r>
        <w:rPr>
          <w:color w:val="231F20"/>
          <w:position w:val="7"/>
          <w:sz w:val="11"/>
        </w:rPr>
        <w:t>144</w:t>
      </w:r>
      <w:r>
        <w:rPr>
          <w:color w:val="231F20"/>
          <w:sz w:val="11"/>
        </w:rPr>
        <w:t xml:space="preserve"> </w:t>
      </w:r>
      <w:r>
        <w:rPr>
          <w:color w:val="231F20"/>
          <w:sz w:val="20"/>
        </w:rPr>
        <w:t>and about the risk of traumatising the affected person.</w:t>
      </w:r>
      <w:r>
        <w:rPr>
          <w:color w:val="231F20"/>
          <w:position w:val="7"/>
          <w:sz w:val="11"/>
        </w:rPr>
        <w:t xml:space="preserve">145 </w:t>
      </w:r>
      <w:r>
        <w:rPr>
          <w:color w:val="231F20"/>
          <w:sz w:val="20"/>
        </w:rPr>
        <w:t>As Sexual Assault Services Victoria</w:t>
      </w:r>
      <w:r>
        <w:rPr>
          <w:color w:val="231F20"/>
          <w:spacing w:val="-5"/>
          <w:sz w:val="20"/>
        </w:rPr>
        <w:t xml:space="preserve"> </w:t>
      </w:r>
      <w:r>
        <w:rPr>
          <w:color w:val="231F20"/>
          <w:sz w:val="20"/>
        </w:rPr>
        <w:t>said:</w:t>
      </w:r>
    </w:p>
    <w:p w14:paraId="27FCD35F" w14:textId="77777777" w:rsidR="00894070" w:rsidRDefault="009B7AFD">
      <w:pPr>
        <w:spacing w:before="122" w:line="208" w:lineRule="auto"/>
        <w:ind w:left="2254" w:right="1219"/>
        <w:rPr>
          <w:sz w:val="11"/>
        </w:rPr>
      </w:pPr>
      <w:r>
        <w:rPr>
          <w:color w:val="231F20"/>
          <w:sz w:val="19"/>
        </w:rPr>
        <w:t>Being able to cross-examine the victim survivor is giving the perpetrator what they are seeking in controlling or making the victim survivor fearful.</w:t>
      </w:r>
      <w:r>
        <w:rPr>
          <w:color w:val="231F20"/>
          <w:position w:val="6"/>
          <w:sz w:val="11"/>
        </w:rPr>
        <w:t>146</w:t>
      </w:r>
    </w:p>
    <w:p w14:paraId="2945B3B0" w14:textId="77777777" w:rsidR="00894070" w:rsidRDefault="009B7AFD">
      <w:pPr>
        <w:pStyle w:val="ListParagraph"/>
        <w:numPr>
          <w:ilvl w:val="1"/>
          <w:numId w:val="102"/>
        </w:numPr>
        <w:tabs>
          <w:tab w:val="left" w:pos="1801"/>
          <w:tab w:val="left" w:pos="1802"/>
        </w:tabs>
        <w:spacing w:before="123" w:line="206" w:lineRule="auto"/>
        <w:ind w:right="1278"/>
        <w:rPr>
          <w:sz w:val="11"/>
        </w:rPr>
      </w:pPr>
      <w:r>
        <w:rPr>
          <w:color w:val="231F20"/>
          <w:sz w:val="20"/>
        </w:rPr>
        <w:t xml:space="preserve">Victoria Police </w:t>
      </w:r>
      <w:r>
        <w:rPr>
          <w:color w:val="231F20"/>
          <w:spacing w:val="-3"/>
          <w:sz w:val="20"/>
        </w:rPr>
        <w:t xml:space="preserve">told </w:t>
      </w:r>
      <w:r>
        <w:rPr>
          <w:color w:val="231F20"/>
          <w:sz w:val="20"/>
        </w:rPr>
        <w:t xml:space="preserve">us that one reason </w:t>
      </w:r>
      <w:r>
        <w:rPr>
          <w:color w:val="231F20"/>
          <w:spacing w:val="-3"/>
          <w:sz w:val="20"/>
        </w:rPr>
        <w:t xml:space="preserve">why </w:t>
      </w:r>
      <w:r>
        <w:rPr>
          <w:color w:val="231F20"/>
          <w:sz w:val="20"/>
        </w:rPr>
        <w:t>people do not report stalking is the fact that</w:t>
      </w:r>
      <w:r>
        <w:rPr>
          <w:color w:val="231F20"/>
          <w:spacing w:val="-9"/>
          <w:sz w:val="20"/>
        </w:rPr>
        <w:t xml:space="preserve"> </w:t>
      </w:r>
      <w:r>
        <w:rPr>
          <w:color w:val="231F20"/>
          <w:sz w:val="20"/>
        </w:rPr>
        <w:t>they</w:t>
      </w:r>
      <w:r>
        <w:rPr>
          <w:color w:val="231F20"/>
          <w:spacing w:val="-8"/>
          <w:sz w:val="20"/>
        </w:rPr>
        <w:t xml:space="preserve"> </w:t>
      </w:r>
      <w:r>
        <w:rPr>
          <w:color w:val="231F20"/>
          <w:sz w:val="20"/>
        </w:rPr>
        <w:t>can</w:t>
      </w:r>
      <w:r>
        <w:rPr>
          <w:color w:val="231F20"/>
          <w:spacing w:val="-8"/>
          <w:sz w:val="20"/>
        </w:rPr>
        <w:t xml:space="preserve"> </w:t>
      </w:r>
      <w:r>
        <w:rPr>
          <w:color w:val="231F20"/>
          <w:spacing w:val="-3"/>
          <w:sz w:val="20"/>
        </w:rPr>
        <w:t>‘expect</w:t>
      </w:r>
      <w:r>
        <w:rPr>
          <w:color w:val="231F20"/>
          <w:spacing w:val="-8"/>
          <w:sz w:val="20"/>
        </w:rPr>
        <w:t xml:space="preserve"> </w:t>
      </w:r>
      <w:r>
        <w:rPr>
          <w:color w:val="231F20"/>
          <w:sz w:val="20"/>
        </w:rPr>
        <w:t>no</w:t>
      </w:r>
      <w:r>
        <w:rPr>
          <w:color w:val="231F20"/>
          <w:spacing w:val="-8"/>
          <w:sz w:val="20"/>
        </w:rPr>
        <w:t xml:space="preserve"> </w:t>
      </w:r>
      <w:r>
        <w:rPr>
          <w:color w:val="231F20"/>
          <w:spacing w:val="-3"/>
          <w:sz w:val="20"/>
        </w:rPr>
        <w:t>protection’</w:t>
      </w:r>
      <w:r>
        <w:rPr>
          <w:color w:val="231F20"/>
          <w:spacing w:val="-8"/>
          <w:sz w:val="20"/>
        </w:rPr>
        <w:t xml:space="preserve"> </w:t>
      </w:r>
      <w:r>
        <w:rPr>
          <w:color w:val="231F20"/>
          <w:spacing w:val="-3"/>
          <w:sz w:val="20"/>
        </w:rPr>
        <w:t>from</w:t>
      </w:r>
      <w:r>
        <w:rPr>
          <w:color w:val="231F20"/>
          <w:spacing w:val="-8"/>
          <w:sz w:val="20"/>
        </w:rPr>
        <w:t xml:space="preserve"> </w:t>
      </w:r>
      <w:r>
        <w:rPr>
          <w:color w:val="231F20"/>
          <w:sz w:val="20"/>
        </w:rPr>
        <w:t>being</w:t>
      </w:r>
      <w:r>
        <w:rPr>
          <w:color w:val="231F20"/>
          <w:spacing w:val="-8"/>
          <w:sz w:val="20"/>
        </w:rPr>
        <w:t xml:space="preserve"> </w:t>
      </w:r>
      <w:r>
        <w:rPr>
          <w:color w:val="231F20"/>
          <w:sz w:val="20"/>
        </w:rPr>
        <w:t>cross-examined</w:t>
      </w:r>
      <w:r>
        <w:rPr>
          <w:color w:val="231F20"/>
          <w:spacing w:val="-8"/>
          <w:sz w:val="20"/>
        </w:rPr>
        <w:t xml:space="preserve"> </w:t>
      </w:r>
      <w:r>
        <w:rPr>
          <w:color w:val="231F20"/>
          <w:spacing w:val="-3"/>
          <w:sz w:val="20"/>
        </w:rPr>
        <w:t>by</w:t>
      </w:r>
      <w:r>
        <w:rPr>
          <w:color w:val="231F20"/>
          <w:spacing w:val="-8"/>
          <w:sz w:val="20"/>
        </w:rPr>
        <w:t xml:space="preserve"> </w:t>
      </w:r>
      <w:r>
        <w:rPr>
          <w:color w:val="231F20"/>
          <w:sz w:val="20"/>
        </w:rPr>
        <w:t>the</w:t>
      </w:r>
      <w:r>
        <w:rPr>
          <w:color w:val="231F20"/>
          <w:spacing w:val="-8"/>
          <w:sz w:val="20"/>
        </w:rPr>
        <w:t xml:space="preserve"> </w:t>
      </w:r>
      <w:r>
        <w:rPr>
          <w:color w:val="231F20"/>
          <w:sz w:val="20"/>
        </w:rPr>
        <w:t>person</w:t>
      </w:r>
      <w:r>
        <w:rPr>
          <w:color w:val="231F20"/>
          <w:spacing w:val="-8"/>
          <w:sz w:val="20"/>
        </w:rPr>
        <w:t xml:space="preserve"> </w:t>
      </w:r>
      <w:r>
        <w:rPr>
          <w:color w:val="231F20"/>
          <w:sz w:val="20"/>
        </w:rPr>
        <w:t>stalking them.</w:t>
      </w:r>
      <w:r>
        <w:rPr>
          <w:color w:val="231F20"/>
          <w:position w:val="7"/>
          <w:sz w:val="11"/>
        </w:rPr>
        <w:t>147</w:t>
      </w:r>
    </w:p>
    <w:p w14:paraId="720B280C" w14:textId="77777777" w:rsidR="00894070" w:rsidRDefault="009B7AFD">
      <w:pPr>
        <w:pStyle w:val="ListParagraph"/>
        <w:numPr>
          <w:ilvl w:val="1"/>
          <w:numId w:val="102"/>
        </w:numPr>
        <w:tabs>
          <w:tab w:val="left" w:pos="1801"/>
          <w:tab w:val="left" w:pos="1802"/>
        </w:tabs>
        <w:spacing w:before="124" w:line="206" w:lineRule="auto"/>
        <w:ind w:right="1721"/>
        <w:rPr>
          <w:sz w:val="11"/>
        </w:rPr>
      </w:pPr>
      <w:r>
        <w:rPr>
          <w:color w:val="231F20"/>
          <w:sz w:val="20"/>
        </w:rPr>
        <w:t xml:space="preserve">While the </w:t>
      </w:r>
      <w:r>
        <w:rPr>
          <w:color w:val="231F20"/>
          <w:spacing w:val="-3"/>
          <w:sz w:val="20"/>
        </w:rPr>
        <w:t xml:space="preserve">Magistrates’ </w:t>
      </w:r>
      <w:r>
        <w:rPr>
          <w:color w:val="231F20"/>
          <w:sz w:val="20"/>
        </w:rPr>
        <w:t xml:space="preserve">Court could not recall a case of a ‘high risk, high </w:t>
      </w:r>
      <w:r>
        <w:rPr>
          <w:color w:val="231F20"/>
          <w:spacing w:val="-3"/>
          <w:sz w:val="20"/>
        </w:rPr>
        <w:t xml:space="preserve">harm’ </w:t>
      </w:r>
      <w:r>
        <w:rPr>
          <w:color w:val="231F20"/>
          <w:spacing w:val="-2"/>
          <w:sz w:val="20"/>
        </w:rPr>
        <w:t>respondent</w:t>
      </w:r>
      <w:r>
        <w:rPr>
          <w:color w:val="231F20"/>
          <w:spacing w:val="-7"/>
          <w:sz w:val="20"/>
        </w:rPr>
        <w:t xml:space="preserve"> </w:t>
      </w:r>
      <w:r>
        <w:rPr>
          <w:color w:val="231F20"/>
          <w:spacing w:val="-3"/>
          <w:sz w:val="20"/>
        </w:rPr>
        <w:t>cross-examining</w:t>
      </w:r>
      <w:r>
        <w:rPr>
          <w:color w:val="231F20"/>
          <w:spacing w:val="-7"/>
          <w:sz w:val="20"/>
        </w:rPr>
        <w:t xml:space="preserve"> </w:t>
      </w:r>
      <w:r>
        <w:rPr>
          <w:color w:val="231F20"/>
          <w:sz w:val="20"/>
        </w:rPr>
        <w:t>a</w:t>
      </w:r>
      <w:r>
        <w:rPr>
          <w:color w:val="231F20"/>
          <w:spacing w:val="-7"/>
          <w:sz w:val="20"/>
        </w:rPr>
        <w:t xml:space="preserve"> </w:t>
      </w:r>
      <w:r>
        <w:rPr>
          <w:color w:val="231F20"/>
          <w:sz w:val="20"/>
        </w:rPr>
        <w:t>victim</w:t>
      </w:r>
      <w:r>
        <w:rPr>
          <w:color w:val="231F20"/>
          <w:spacing w:val="-7"/>
          <w:sz w:val="20"/>
        </w:rPr>
        <w:t xml:space="preserve"> </w:t>
      </w:r>
      <w:r>
        <w:rPr>
          <w:color w:val="231F20"/>
          <w:spacing w:val="-3"/>
          <w:sz w:val="20"/>
        </w:rPr>
        <w:t>survivor,</w:t>
      </w:r>
      <w:r>
        <w:rPr>
          <w:color w:val="231F20"/>
          <w:spacing w:val="-7"/>
          <w:sz w:val="20"/>
        </w:rPr>
        <w:t xml:space="preserve"> </w:t>
      </w:r>
      <w:r>
        <w:rPr>
          <w:color w:val="231F20"/>
          <w:sz w:val="20"/>
        </w:rPr>
        <w:t>they</w:t>
      </w:r>
      <w:r>
        <w:rPr>
          <w:color w:val="231F20"/>
          <w:spacing w:val="-6"/>
          <w:sz w:val="20"/>
        </w:rPr>
        <w:t xml:space="preserve"> </w:t>
      </w:r>
      <w:r>
        <w:rPr>
          <w:color w:val="231F20"/>
          <w:sz w:val="20"/>
        </w:rPr>
        <w:t>said</w:t>
      </w:r>
      <w:r>
        <w:rPr>
          <w:color w:val="231F20"/>
          <w:spacing w:val="-7"/>
          <w:sz w:val="20"/>
        </w:rPr>
        <w:t xml:space="preserve"> </w:t>
      </w:r>
      <w:r>
        <w:rPr>
          <w:color w:val="231F20"/>
          <w:sz w:val="20"/>
        </w:rPr>
        <w:t>‘it</w:t>
      </w:r>
      <w:r>
        <w:rPr>
          <w:color w:val="231F20"/>
          <w:spacing w:val="-7"/>
          <w:sz w:val="20"/>
        </w:rPr>
        <w:t xml:space="preserve"> </w:t>
      </w:r>
      <w:r>
        <w:rPr>
          <w:color w:val="231F20"/>
          <w:sz w:val="20"/>
        </w:rPr>
        <w:t>could</w:t>
      </w:r>
      <w:r>
        <w:rPr>
          <w:color w:val="231F20"/>
          <w:spacing w:val="-7"/>
          <w:sz w:val="20"/>
        </w:rPr>
        <w:t xml:space="preserve"> </w:t>
      </w:r>
      <w:r>
        <w:rPr>
          <w:color w:val="231F20"/>
          <w:sz w:val="20"/>
        </w:rPr>
        <w:t>happen,</w:t>
      </w:r>
      <w:r>
        <w:rPr>
          <w:color w:val="231F20"/>
          <w:spacing w:val="-7"/>
          <w:sz w:val="20"/>
        </w:rPr>
        <w:t xml:space="preserve"> </w:t>
      </w:r>
      <w:r>
        <w:rPr>
          <w:color w:val="231F20"/>
          <w:sz w:val="20"/>
        </w:rPr>
        <w:t>and</w:t>
      </w:r>
      <w:r>
        <w:rPr>
          <w:color w:val="231F20"/>
          <w:spacing w:val="-6"/>
          <w:sz w:val="20"/>
        </w:rPr>
        <w:t xml:space="preserve"> </w:t>
      </w:r>
      <w:r>
        <w:rPr>
          <w:color w:val="231F20"/>
          <w:sz w:val="20"/>
        </w:rPr>
        <w:t xml:space="preserve">that </w:t>
      </w:r>
      <w:r>
        <w:rPr>
          <w:color w:val="231F20"/>
          <w:spacing w:val="-3"/>
          <w:sz w:val="20"/>
        </w:rPr>
        <w:t xml:space="preserve">would </w:t>
      </w:r>
      <w:r>
        <w:rPr>
          <w:color w:val="231F20"/>
          <w:sz w:val="20"/>
        </w:rPr>
        <w:t>be</w:t>
      </w:r>
      <w:r>
        <w:rPr>
          <w:color w:val="231F20"/>
          <w:spacing w:val="-6"/>
          <w:sz w:val="20"/>
        </w:rPr>
        <w:t xml:space="preserve"> </w:t>
      </w:r>
      <w:r>
        <w:rPr>
          <w:color w:val="231F20"/>
          <w:sz w:val="20"/>
        </w:rPr>
        <w:t>undesirable’.</w:t>
      </w:r>
      <w:r>
        <w:rPr>
          <w:color w:val="231F20"/>
          <w:position w:val="7"/>
          <w:sz w:val="11"/>
        </w:rPr>
        <w:t>148</w:t>
      </w:r>
    </w:p>
    <w:p w14:paraId="310C4EA5" w14:textId="77777777" w:rsidR="00894070" w:rsidRDefault="009B7AFD">
      <w:pPr>
        <w:pStyle w:val="ListParagraph"/>
        <w:numPr>
          <w:ilvl w:val="1"/>
          <w:numId w:val="102"/>
        </w:numPr>
        <w:tabs>
          <w:tab w:val="left" w:pos="1801"/>
          <w:tab w:val="left" w:pos="1802"/>
        </w:tabs>
        <w:spacing w:before="124" w:line="206" w:lineRule="auto"/>
        <w:ind w:right="1228"/>
        <w:rPr>
          <w:sz w:val="20"/>
        </w:rPr>
      </w:pPr>
      <w:r>
        <w:rPr>
          <w:color w:val="231F20"/>
          <w:spacing w:val="-6"/>
          <w:sz w:val="20"/>
        </w:rPr>
        <w:t xml:space="preserve">We </w:t>
      </w:r>
      <w:r>
        <w:rPr>
          <w:color w:val="231F20"/>
          <w:sz w:val="20"/>
        </w:rPr>
        <w:t xml:space="preserve">agree with these views. Being personally cross-examined </w:t>
      </w:r>
      <w:r>
        <w:rPr>
          <w:color w:val="231F20"/>
          <w:spacing w:val="-3"/>
          <w:sz w:val="20"/>
        </w:rPr>
        <w:t xml:space="preserve">by </w:t>
      </w:r>
      <w:r>
        <w:rPr>
          <w:color w:val="231F20"/>
          <w:sz w:val="20"/>
        </w:rPr>
        <w:t>the person who has stalked</w:t>
      </w:r>
      <w:r>
        <w:rPr>
          <w:color w:val="231F20"/>
          <w:spacing w:val="-9"/>
          <w:sz w:val="20"/>
        </w:rPr>
        <w:t xml:space="preserve"> </w:t>
      </w:r>
      <w:r>
        <w:rPr>
          <w:color w:val="231F20"/>
          <w:sz w:val="20"/>
        </w:rPr>
        <w:t>them</w:t>
      </w:r>
      <w:r>
        <w:rPr>
          <w:color w:val="231F20"/>
          <w:spacing w:val="-9"/>
          <w:sz w:val="20"/>
        </w:rPr>
        <w:t xml:space="preserve"> </w:t>
      </w:r>
      <w:r>
        <w:rPr>
          <w:color w:val="231F20"/>
          <w:sz w:val="20"/>
        </w:rPr>
        <w:t>could</w:t>
      </w:r>
      <w:r>
        <w:rPr>
          <w:color w:val="231F20"/>
          <w:spacing w:val="-9"/>
          <w:sz w:val="20"/>
        </w:rPr>
        <w:t xml:space="preserve"> </w:t>
      </w:r>
      <w:r>
        <w:rPr>
          <w:color w:val="231F20"/>
          <w:sz w:val="20"/>
        </w:rPr>
        <w:t>be</w:t>
      </w:r>
      <w:r>
        <w:rPr>
          <w:color w:val="231F20"/>
          <w:spacing w:val="-9"/>
          <w:sz w:val="20"/>
        </w:rPr>
        <w:t xml:space="preserve"> </w:t>
      </w:r>
      <w:r>
        <w:rPr>
          <w:color w:val="231F20"/>
          <w:sz w:val="20"/>
        </w:rPr>
        <w:t>distressing</w:t>
      </w:r>
      <w:r>
        <w:rPr>
          <w:color w:val="231F20"/>
          <w:spacing w:val="-8"/>
          <w:sz w:val="20"/>
        </w:rPr>
        <w:t xml:space="preserve"> </w:t>
      </w:r>
      <w:r>
        <w:rPr>
          <w:color w:val="231F20"/>
          <w:spacing w:val="-3"/>
          <w:sz w:val="20"/>
        </w:rPr>
        <w:t>for</w:t>
      </w:r>
      <w:r>
        <w:rPr>
          <w:color w:val="231F20"/>
          <w:spacing w:val="-9"/>
          <w:sz w:val="20"/>
        </w:rPr>
        <w:t xml:space="preserve"> </w:t>
      </w:r>
      <w:r>
        <w:rPr>
          <w:color w:val="231F20"/>
          <w:sz w:val="20"/>
        </w:rPr>
        <w:t>the</w:t>
      </w:r>
      <w:r>
        <w:rPr>
          <w:color w:val="231F20"/>
          <w:spacing w:val="-9"/>
          <w:sz w:val="20"/>
        </w:rPr>
        <w:t xml:space="preserve"> </w:t>
      </w:r>
      <w:r>
        <w:rPr>
          <w:color w:val="231F20"/>
          <w:sz w:val="20"/>
        </w:rPr>
        <w:t>applicant,</w:t>
      </w:r>
      <w:r>
        <w:rPr>
          <w:color w:val="231F20"/>
          <w:spacing w:val="-9"/>
          <w:sz w:val="20"/>
        </w:rPr>
        <w:t xml:space="preserve"> </w:t>
      </w:r>
      <w:r>
        <w:rPr>
          <w:color w:val="231F20"/>
          <w:sz w:val="20"/>
        </w:rPr>
        <w:t>and</w:t>
      </w:r>
      <w:r>
        <w:rPr>
          <w:color w:val="231F20"/>
          <w:spacing w:val="-8"/>
          <w:sz w:val="20"/>
        </w:rPr>
        <w:t xml:space="preserve"> </w:t>
      </w:r>
      <w:r>
        <w:rPr>
          <w:color w:val="231F20"/>
          <w:spacing w:val="-4"/>
          <w:sz w:val="20"/>
        </w:rPr>
        <w:t>prevent</w:t>
      </w:r>
      <w:r>
        <w:rPr>
          <w:color w:val="231F20"/>
          <w:spacing w:val="-9"/>
          <w:sz w:val="20"/>
        </w:rPr>
        <w:t xml:space="preserve"> </w:t>
      </w:r>
      <w:r>
        <w:rPr>
          <w:color w:val="231F20"/>
          <w:sz w:val="20"/>
        </w:rPr>
        <w:t>them</w:t>
      </w:r>
      <w:r>
        <w:rPr>
          <w:color w:val="231F20"/>
          <w:spacing w:val="-9"/>
          <w:sz w:val="20"/>
        </w:rPr>
        <w:t xml:space="preserve"> </w:t>
      </w:r>
      <w:r>
        <w:rPr>
          <w:color w:val="231F20"/>
          <w:spacing w:val="-3"/>
          <w:sz w:val="20"/>
        </w:rPr>
        <w:t>from</w:t>
      </w:r>
      <w:r>
        <w:rPr>
          <w:color w:val="231F20"/>
          <w:spacing w:val="-9"/>
          <w:sz w:val="20"/>
        </w:rPr>
        <w:t xml:space="preserve"> </w:t>
      </w:r>
      <w:r>
        <w:rPr>
          <w:color w:val="231F20"/>
          <w:sz w:val="20"/>
        </w:rPr>
        <w:t>giving</w:t>
      </w:r>
      <w:r>
        <w:rPr>
          <w:color w:val="231F20"/>
          <w:spacing w:val="-8"/>
          <w:sz w:val="20"/>
        </w:rPr>
        <w:t xml:space="preserve"> </w:t>
      </w:r>
      <w:r>
        <w:rPr>
          <w:color w:val="231F20"/>
          <w:sz w:val="20"/>
        </w:rPr>
        <w:t>their evidence</w:t>
      </w:r>
      <w:r>
        <w:rPr>
          <w:color w:val="231F20"/>
          <w:spacing w:val="-10"/>
          <w:sz w:val="20"/>
        </w:rPr>
        <w:t xml:space="preserve"> </w:t>
      </w:r>
      <w:r>
        <w:rPr>
          <w:color w:val="231F20"/>
          <w:spacing w:val="-4"/>
          <w:sz w:val="20"/>
        </w:rPr>
        <w:t>effectively,</w:t>
      </w:r>
      <w:r>
        <w:rPr>
          <w:color w:val="231F20"/>
          <w:spacing w:val="-9"/>
          <w:sz w:val="20"/>
        </w:rPr>
        <w:t xml:space="preserve"> </w:t>
      </w:r>
      <w:r>
        <w:rPr>
          <w:color w:val="231F20"/>
          <w:sz w:val="20"/>
        </w:rPr>
        <w:t>which</w:t>
      </w:r>
      <w:r>
        <w:rPr>
          <w:color w:val="231F20"/>
          <w:spacing w:val="-9"/>
          <w:sz w:val="20"/>
        </w:rPr>
        <w:t xml:space="preserve"> </w:t>
      </w:r>
      <w:r>
        <w:rPr>
          <w:color w:val="231F20"/>
          <w:sz w:val="20"/>
        </w:rPr>
        <w:t>does</w:t>
      </w:r>
      <w:r>
        <w:rPr>
          <w:color w:val="231F20"/>
          <w:spacing w:val="-9"/>
          <w:sz w:val="20"/>
        </w:rPr>
        <w:t xml:space="preserve"> </w:t>
      </w:r>
      <w:r>
        <w:rPr>
          <w:color w:val="231F20"/>
          <w:sz w:val="20"/>
        </w:rPr>
        <w:t>not</w:t>
      </w:r>
      <w:r>
        <w:rPr>
          <w:color w:val="231F20"/>
          <w:spacing w:val="-9"/>
          <w:sz w:val="20"/>
        </w:rPr>
        <w:t xml:space="preserve"> </w:t>
      </w:r>
      <w:r>
        <w:rPr>
          <w:color w:val="231F20"/>
          <w:sz w:val="20"/>
        </w:rPr>
        <w:t>make</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a</w:t>
      </w:r>
      <w:r>
        <w:rPr>
          <w:color w:val="231F20"/>
          <w:spacing w:val="-9"/>
          <w:sz w:val="20"/>
        </w:rPr>
        <w:t xml:space="preserve"> </w:t>
      </w:r>
      <w:r>
        <w:rPr>
          <w:color w:val="231F20"/>
          <w:sz w:val="20"/>
        </w:rPr>
        <w:t>fair</w:t>
      </w:r>
      <w:r>
        <w:rPr>
          <w:color w:val="231F20"/>
          <w:spacing w:val="-9"/>
          <w:sz w:val="20"/>
        </w:rPr>
        <w:t xml:space="preserve"> </w:t>
      </w:r>
      <w:r>
        <w:rPr>
          <w:color w:val="231F20"/>
          <w:sz w:val="20"/>
        </w:rPr>
        <w:t>process.</w:t>
      </w:r>
      <w:r>
        <w:rPr>
          <w:color w:val="231F20"/>
          <w:spacing w:val="-9"/>
          <w:sz w:val="20"/>
        </w:rPr>
        <w:t xml:space="preserve"> </w:t>
      </w:r>
      <w:r>
        <w:rPr>
          <w:color w:val="231F20"/>
          <w:spacing w:val="-6"/>
          <w:sz w:val="20"/>
        </w:rPr>
        <w:t>We</w:t>
      </w:r>
      <w:r>
        <w:rPr>
          <w:color w:val="231F20"/>
          <w:spacing w:val="-9"/>
          <w:sz w:val="20"/>
        </w:rPr>
        <w:t xml:space="preserve"> </w:t>
      </w:r>
      <w:r>
        <w:rPr>
          <w:color w:val="231F20"/>
          <w:sz w:val="20"/>
        </w:rPr>
        <w:t>agree</w:t>
      </w:r>
      <w:r>
        <w:rPr>
          <w:color w:val="231F20"/>
          <w:spacing w:val="-9"/>
          <w:sz w:val="20"/>
        </w:rPr>
        <w:t xml:space="preserve"> </w:t>
      </w:r>
      <w:r>
        <w:rPr>
          <w:color w:val="231F20"/>
          <w:sz w:val="20"/>
        </w:rPr>
        <w:t>it</w:t>
      </w:r>
      <w:r>
        <w:rPr>
          <w:color w:val="231F20"/>
          <w:spacing w:val="-9"/>
          <w:sz w:val="20"/>
        </w:rPr>
        <w:t xml:space="preserve"> </w:t>
      </w:r>
      <w:r>
        <w:rPr>
          <w:color w:val="231F20"/>
          <w:sz w:val="20"/>
        </w:rPr>
        <w:t>could</w:t>
      </w:r>
      <w:r>
        <w:rPr>
          <w:color w:val="231F20"/>
          <w:spacing w:val="-9"/>
          <w:sz w:val="20"/>
        </w:rPr>
        <w:t xml:space="preserve"> </w:t>
      </w:r>
      <w:r>
        <w:rPr>
          <w:color w:val="231F20"/>
          <w:spacing w:val="-3"/>
          <w:sz w:val="20"/>
        </w:rPr>
        <w:t xml:space="preserve">present </w:t>
      </w:r>
      <w:r>
        <w:rPr>
          <w:color w:val="231F20"/>
          <w:sz w:val="20"/>
        </w:rPr>
        <w:t xml:space="preserve">a barrier to reporting. </w:t>
      </w:r>
      <w:r>
        <w:rPr>
          <w:color w:val="231F20"/>
          <w:spacing w:val="-6"/>
          <w:sz w:val="20"/>
        </w:rPr>
        <w:t xml:space="preserve">We </w:t>
      </w:r>
      <w:r>
        <w:rPr>
          <w:color w:val="231F20"/>
          <w:sz w:val="20"/>
        </w:rPr>
        <w:t xml:space="preserve">recommend that the PSIO </w:t>
      </w:r>
      <w:r>
        <w:rPr>
          <w:color w:val="231F20"/>
          <w:spacing w:val="-2"/>
          <w:sz w:val="20"/>
        </w:rPr>
        <w:t xml:space="preserve">Act </w:t>
      </w:r>
      <w:r>
        <w:rPr>
          <w:color w:val="231F20"/>
          <w:sz w:val="20"/>
        </w:rPr>
        <w:t xml:space="preserve">be amended to prohibit the </w:t>
      </w:r>
      <w:r>
        <w:rPr>
          <w:color w:val="231F20"/>
          <w:spacing w:val="-2"/>
          <w:sz w:val="20"/>
        </w:rPr>
        <w:t xml:space="preserve">respondent </w:t>
      </w:r>
      <w:r>
        <w:rPr>
          <w:color w:val="231F20"/>
          <w:sz w:val="20"/>
        </w:rPr>
        <w:t xml:space="preserve">personally </w:t>
      </w:r>
      <w:r>
        <w:rPr>
          <w:color w:val="231F20"/>
          <w:spacing w:val="-3"/>
          <w:sz w:val="20"/>
        </w:rPr>
        <w:t xml:space="preserve">cross-examining </w:t>
      </w:r>
      <w:r>
        <w:rPr>
          <w:color w:val="231F20"/>
          <w:sz w:val="20"/>
        </w:rPr>
        <w:t>the applicant in PSIO</w:t>
      </w:r>
      <w:r>
        <w:rPr>
          <w:color w:val="231F20"/>
          <w:spacing w:val="-29"/>
          <w:sz w:val="20"/>
        </w:rPr>
        <w:t xml:space="preserve"> </w:t>
      </w:r>
      <w:r>
        <w:rPr>
          <w:color w:val="231F20"/>
          <w:sz w:val="20"/>
        </w:rPr>
        <w:t>matters.</w:t>
      </w:r>
    </w:p>
    <w:p w14:paraId="4031D434" w14:textId="77777777" w:rsidR="00894070" w:rsidRDefault="009B7AFD">
      <w:pPr>
        <w:pStyle w:val="ListParagraph"/>
        <w:numPr>
          <w:ilvl w:val="1"/>
          <w:numId w:val="102"/>
        </w:numPr>
        <w:tabs>
          <w:tab w:val="left" w:pos="1801"/>
          <w:tab w:val="left" w:pos="1802"/>
        </w:tabs>
        <w:spacing w:before="94"/>
        <w:rPr>
          <w:sz w:val="20"/>
        </w:rPr>
      </w:pPr>
      <w:r>
        <w:rPr>
          <w:color w:val="231F20"/>
          <w:sz w:val="20"/>
        </w:rPr>
        <w:t>In</w:t>
      </w:r>
      <w:r>
        <w:rPr>
          <w:color w:val="231F20"/>
          <w:spacing w:val="-5"/>
          <w:sz w:val="20"/>
        </w:rPr>
        <w:t xml:space="preserve"> </w:t>
      </w:r>
      <w:r>
        <w:rPr>
          <w:color w:val="231F20"/>
          <w:spacing w:val="-3"/>
          <w:sz w:val="20"/>
        </w:rPr>
        <w:t>Chapter</w:t>
      </w:r>
      <w:r>
        <w:rPr>
          <w:color w:val="231F20"/>
          <w:spacing w:val="-4"/>
          <w:sz w:val="20"/>
        </w:rPr>
        <w:t xml:space="preserve"> </w:t>
      </w:r>
      <w:r>
        <w:rPr>
          <w:color w:val="231F20"/>
          <w:sz w:val="20"/>
        </w:rPr>
        <w:t>7</w:t>
      </w:r>
      <w:r>
        <w:rPr>
          <w:color w:val="231F20"/>
          <w:spacing w:val="-4"/>
          <w:sz w:val="20"/>
        </w:rPr>
        <w:t xml:space="preserve"> </w:t>
      </w:r>
      <w:r>
        <w:rPr>
          <w:color w:val="231F20"/>
          <w:spacing w:val="-3"/>
          <w:sz w:val="20"/>
        </w:rPr>
        <w:t>we</w:t>
      </w:r>
      <w:r>
        <w:rPr>
          <w:color w:val="231F20"/>
          <w:spacing w:val="-5"/>
          <w:sz w:val="20"/>
        </w:rPr>
        <w:t xml:space="preserve"> </w:t>
      </w:r>
      <w:r>
        <w:rPr>
          <w:color w:val="231F20"/>
          <w:sz w:val="20"/>
        </w:rPr>
        <w:t>discuss</w:t>
      </w:r>
      <w:r>
        <w:rPr>
          <w:color w:val="231F20"/>
          <w:spacing w:val="-4"/>
          <w:sz w:val="20"/>
        </w:rPr>
        <w:t xml:space="preserve"> </w:t>
      </w:r>
      <w:r>
        <w:rPr>
          <w:color w:val="231F20"/>
          <w:sz w:val="20"/>
        </w:rPr>
        <w:t>a</w:t>
      </w:r>
      <w:r>
        <w:rPr>
          <w:color w:val="231F20"/>
          <w:spacing w:val="-4"/>
          <w:sz w:val="20"/>
        </w:rPr>
        <w:t xml:space="preserve"> </w:t>
      </w:r>
      <w:r>
        <w:rPr>
          <w:color w:val="231F20"/>
          <w:sz w:val="20"/>
        </w:rPr>
        <w:t>ban</w:t>
      </w:r>
      <w:r>
        <w:rPr>
          <w:color w:val="231F20"/>
          <w:spacing w:val="-4"/>
          <w:sz w:val="20"/>
        </w:rPr>
        <w:t xml:space="preserve"> </w:t>
      </w:r>
      <w:r>
        <w:rPr>
          <w:color w:val="231F20"/>
          <w:sz w:val="20"/>
        </w:rPr>
        <w:t>on</w:t>
      </w:r>
      <w:r>
        <w:rPr>
          <w:color w:val="231F20"/>
          <w:spacing w:val="-5"/>
          <w:sz w:val="20"/>
        </w:rPr>
        <w:t xml:space="preserve"> </w:t>
      </w:r>
      <w:r>
        <w:rPr>
          <w:color w:val="231F20"/>
          <w:sz w:val="20"/>
        </w:rPr>
        <w:t>personal</w:t>
      </w:r>
      <w:r>
        <w:rPr>
          <w:color w:val="231F20"/>
          <w:spacing w:val="-4"/>
          <w:sz w:val="20"/>
        </w:rPr>
        <w:t xml:space="preserve"> </w:t>
      </w:r>
      <w:r>
        <w:rPr>
          <w:color w:val="231F20"/>
          <w:spacing w:val="-3"/>
          <w:sz w:val="20"/>
        </w:rPr>
        <w:t>cross-examination</w:t>
      </w:r>
      <w:r>
        <w:rPr>
          <w:color w:val="231F20"/>
          <w:spacing w:val="-4"/>
          <w:sz w:val="20"/>
        </w:rPr>
        <w:t xml:space="preserve"> </w:t>
      </w:r>
      <w:r>
        <w:rPr>
          <w:color w:val="231F20"/>
          <w:sz w:val="20"/>
        </w:rPr>
        <w:t>in</w:t>
      </w:r>
      <w:r>
        <w:rPr>
          <w:color w:val="231F20"/>
          <w:spacing w:val="-5"/>
          <w:sz w:val="20"/>
        </w:rPr>
        <w:t xml:space="preserve"> </w:t>
      </w:r>
      <w:r>
        <w:rPr>
          <w:color w:val="231F20"/>
          <w:sz w:val="20"/>
        </w:rPr>
        <w:t>criminal</w:t>
      </w:r>
      <w:r>
        <w:rPr>
          <w:color w:val="231F20"/>
          <w:spacing w:val="-4"/>
          <w:sz w:val="20"/>
        </w:rPr>
        <w:t xml:space="preserve"> </w:t>
      </w:r>
      <w:r>
        <w:rPr>
          <w:color w:val="231F20"/>
          <w:sz w:val="20"/>
        </w:rPr>
        <w:t>cases.</w:t>
      </w:r>
    </w:p>
    <w:p w14:paraId="52A69493" w14:textId="77777777" w:rsidR="00894070" w:rsidRDefault="009B7AFD">
      <w:pPr>
        <w:pStyle w:val="Heading9"/>
        <w:rPr>
          <w:b/>
        </w:rPr>
      </w:pPr>
      <w:r>
        <w:rPr>
          <w:b/>
          <w:color w:val="231F20"/>
        </w:rPr>
        <w:t>What should the criteria for protection be?</w:t>
      </w:r>
    </w:p>
    <w:p w14:paraId="5B9EA265" w14:textId="77777777" w:rsidR="00894070" w:rsidRDefault="009B7AFD">
      <w:pPr>
        <w:pStyle w:val="ListParagraph"/>
        <w:numPr>
          <w:ilvl w:val="1"/>
          <w:numId w:val="102"/>
        </w:numPr>
        <w:tabs>
          <w:tab w:val="left" w:pos="1801"/>
          <w:tab w:val="left" w:pos="1802"/>
        </w:tabs>
        <w:spacing w:before="132" w:line="206" w:lineRule="auto"/>
        <w:ind w:right="1197"/>
        <w:rPr>
          <w:sz w:val="20"/>
        </w:rPr>
      </w:pPr>
      <w:r>
        <w:rPr>
          <w:color w:val="231F20"/>
          <w:sz w:val="20"/>
        </w:rPr>
        <w:t xml:space="preserve">A ban on personal </w:t>
      </w:r>
      <w:r>
        <w:rPr>
          <w:color w:val="231F20"/>
          <w:spacing w:val="-3"/>
          <w:sz w:val="20"/>
        </w:rPr>
        <w:t xml:space="preserve">cross-examination would </w:t>
      </w:r>
      <w:r>
        <w:rPr>
          <w:color w:val="231F20"/>
          <w:spacing w:val="-4"/>
          <w:sz w:val="20"/>
        </w:rPr>
        <w:t xml:space="preserve">have </w:t>
      </w:r>
      <w:r>
        <w:rPr>
          <w:color w:val="231F20"/>
          <w:spacing w:val="-3"/>
          <w:sz w:val="20"/>
        </w:rPr>
        <w:t xml:space="preserve">resource </w:t>
      </w:r>
      <w:proofErr w:type="gramStart"/>
      <w:r>
        <w:rPr>
          <w:color w:val="231F20"/>
          <w:sz w:val="20"/>
        </w:rPr>
        <w:t>implications, because</w:t>
      </w:r>
      <w:proofErr w:type="gramEnd"/>
      <w:r>
        <w:rPr>
          <w:color w:val="231F20"/>
          <w:sz w:val="20"/>
        </w:rPr>
        <w:t xml:space="preserve"> there </w:t>
      </w:r>
      <w:r>
        <w:rPr>
          <w:color w:val="231F20"/>
          <w:spacing w:val="-3"/>
          <w:sz w:val="20"/>
        </w:rPr>
        <w:t>would</w:t>
      </w:r>
      <w:r>
        <w:rPr>
          <w:color w:val="231F20"/>
          <w:spacing w:val="-8"/>
          <w:sz w:val="20"/>
        </w:rPr>
        <w:t xml:space="preserve"> </w:t>
      </w:r>
      <w:r>
        <w:rPr>
          <w:color w:val="231F20"/>
          <w:sz w:val="20"/>
        </w:rPr>
        <w:t>be</w:t>
      </w:r>
      <w:r>
        <w:rPr>
          <w:color w:val="231F20"/>
          <w:spacing w:val="-7"/>
          <w:sz w:val="20"/>
        </w:rPr>
        <w:t xml:space="preserve"> </w:t>
      </w:r>
      <w:r>
        <w:rPr>
          <w:color w:val="231F20"/>
          <w:sz w:val="20"/>
        </w:rPr>
        <w:t>more</w:t>
      </w:r>
      <w:r>
        <w:rPr>
          <w:color w:val="231F20"/>
          <w:spacing w:val="-7"/>
          <w:sz w:val="20"/>
        </w:rPr>
        <w:t xml:space="preserve"> </w:t>
      </w:r>
      <w:r>
        <w:rPr>
          <w:color w:val="231F20"/>
          <w:sz w:val="20"/>
        </w:rPr>
        <w:t>need</w:t>
      </w:r>
      <w:r>
        <w:rPr>
          <w:color w:val="231F20"/>
          <w:spacing w:val="-7"/>
          <w:sz w:val="20"/>
        </w:rPr>
        <w:t xml:space="preserve"> </w:t>
      </w:r>
      <w:r>
        <w:rPr>
          <w:color w:val="231F20"/>
          <w:spacing w:val="-3"/>
          <w:sz w:val="20"/>
        </w:rPr>
        <w:t>for</w:t>
      </w:r>
      <w:r>
        <w:rPr>
          <w:color w:val="231F20"/>
          <w:spacing w:val="-8"/>
          <w:sz w:val="20"/>
        </w:rPr>
        <w:t xml:space="preserve"> </w:t>
      </w:r>
      <w:r>
        <w:rPr>
          <w:color w:val="231F20"/>
          <w:sz w:val="20"/>
        </w:rPr>
        <w:t>legal</w:t>
      </w:r>
      <w:r>
        <w:rPr>
          <w:color w:val="231F20"/>
          <w:spacing w:val="-7"/>
          <w:sz w:val="20"/>
        </w:rPr>
        <w:t xml:space="preserve"> </w:t>
      </w:r>
      <w:r>
        <w:rPr>
          <w:color w:val="231F20"/>
          <w:sz w:val="20"/>
        </w:rPr>
        <w:t>aid,</w:t>
      </w:r>
      <w:r>
        <w:rPr>
          <w:color w:val="231F20"/>
          <w:spacing w:val="-7"/>
          <w:sz w:val="20"/>
        </w:rPr>
        <w:t xml:space="preserve"> </w:t>
      </w:r>
      <w:r>
        <w:rPr>
          <w:color w:val="231F20"/>
          <w:sz w:val="20"/>
        </w:rPr>
        <w:t>which</w:t>
      </w:r>
      <w:r>
        <w:rPr>
          <w:color w:val="231F20"/>
          <w:spacing w:val="-7"/>
          <w:sz w:val="20"/>
        </w:rPr>
        <w:t xml:space="preserve"> </w:t>
      </w:r>
      <w:r>
        <w:rPr>
          <w:color w:val="231F20"/>
          <w:sz w:val="20"/>
        </w:rPr>
        <w:t>could</w:t>
      </w:r>
      <w:r>
        <w:rPr>
          <w:color w:val="231F20"/>
          <w:spacing w:val="-7"/>
          <w:sz w:val="20"/>
        </w:rPr>
        <w:t xml:space="preserve"> </w:t>
      </w:r>
      <w:r>
        <w:rPr>
          <w:color w:val="231F20"/>
          <w:sz w:val="20"/>
        </w:rPr>
        <w:t>also</w:t>
      </w:r>
      <w:r>
        <w:rPr>
          <w:color w:val="231F20"/>
          <w:spacing w:val="-8"/>
          <w:sz w:val="20"/>
        </w:rPr>
        <w:t xml:space="preserve"> </w:t>
      </w:r>
      <w:r>
        <w:rPr>
          <w:color w:val="231F20"/>
          <w:sz w:val="20"/>
        </w:rPr>
        <w:t>lead</w:t>
      </w:r>
      <w:r>
        <w:rPr>
          <w:color w:val="231F20"/>
          <w:spacing w:val="-7"/>
          <w:sz w:val="20"/>
        </w:rPr>
        <w:t xml:space="preserve"> </w:t>
      </w:r>
      <w:r>
        <w:rPr>
          <w:color w:val="231F20"/>
          <w:sz w:val="20"/>
        </w:rPr>
        <w:t>to</w:t>
      </w:r>
      <w:r>
        <w:rPr>
          <w:color w:val="231F20"/>
          <w:spacing w:val="-7"/>
          <w:sz w:val="20"/>
        </w:rPr>
        <w:t xml:space="preserve"> </w:t>
      </w:r>
      <w:r>
        <w:rPr>
          <w:color w:val="231F20"/>
          <w:sz w:val="20"/>
        </w:rPr>
        <w:t>delays.</w:t>
      </w:r>
      <w:r>
        <w:rPr>
          <w:color w:val="231F20"/>
          <w:position w:val="7"/>
          <w:sz w:val="11"/>
        </w:rPr>
        <w:t>149</w:t>
      </w:r>
      <w:r>
        <w:rPr>
          <w:color w:val="231F20"/>
          <w:spacing w:val="17"/>
          <w:position w:val="7"/>
          <w:sz w:val="11"/>
        </w:rPr>
        <w:t xml:space="preserve"> </w:t>
      </w:r>
      <w:r>
        <w:rPr>
          <w:color w:val="231F20"/>
          <w:sz w:val="20"/>
        </w:rPr>
        <w:t>So</w:t>
      </w:r>
      <w:r>
        <w:rPr>
          <w:color w:val="231F20"/>
          <w:spacing w:val="-7"/>
          <w:sz w:val="20"/>
        </w:rPr>
        <w:t xml:space="preserve"> </w:t>
      </w:r>
      <w:r>
        <w:rPr>
          <w:color w:val="231F20"/>
          <w:sz w:val="20"/>
        </w:rPr>
        <w:t>the</w:t>
      </w:r>
      <w:r>
        <w:rPr>
          <w:color w:val="231F20"/>
          <w:spacing w:val="-8"/>
          <w:sz w:val="20"/>
        </w:rPr>
        <w:t xml:space="preserve"> </w:t>
      </w:r>
      <w:r>
        <w:rPr>
          <w:color w:val="231F20"/>
          <w:sz w:val="20"/>
        </w:rPr>
        <w:t>ban</w:t>
      </w:r>
      <w:r>
        <w:rPr>
          <w:color w:val="231F20"/>
          <w:spacing w:val="-7"/>
          <w:sz w:val="20"/>
        </w:rPr>
        <w:t xml:space="preserve"> </w:t>
      </w:r>
      <w:r>
        <w:rPr>
          <w:color w:val="231F20"/>
          <w:sz w:val="20"/>
        </w:rPr>
        <w:t xml:space="preserve">should not be total. </w:t>
      </w:r>
      <w:r>
        <w:rPr>
          <w:color w:val="231F20"/>
          <w:spacing w:val="-6"/>
          <w:sz w:val="20"/>
        </w:rPr>
        <w:t xml:space="preserve">We </w:t>
      </w:r>
      <w:r>
        <w:rPr>
          <w:color w:val="231F20"/>
          <w:sz w:val="20"/>
        </w:rPr>
        <w:t xml:space="preserve">consider that there should be criteria to decide who is a </w:t>
      </w:r>
      <w:r>
        <w:rPr>
          <w:color w:val="231F20"/>
          <w:spacing w:val="-3"/>
          <w:sz w:val="20"/>
        </w:rPr>
        <w:t xml:space="preserve">‘protected </w:t>
      </w:r>
      <w:r>
        <w:rPr>
          <w:color w:val="231F20"/>
          <w:spacing w:val="-4"/>
          <w:sz w:val="20"/>
        </w:rPr>
        <w:t xml:space="preserve">witness’, </w:t>
      </w:r>
      <w:r>
        <w:rPr>
          <w:color w:val="231F20"/>
          <w:sz w:val="20"/>
        </w:rPr>
        <w:t>subject to judicial</w:t>
      </w:r>
      <w:r>
        <w:rPr>
          <w:color w:val="231F20"/>
          <w:spacing w:val="-14"/>
          <w:sz w:val="20"/>
        </w:rPr>
        <w:t xml:space="preserve"> </w:t>
      </w:r>
      <w:r>
        <w:rPr>
          <w:color w:val="231F20"/>
          <w:sz w:val="20"/>
        </w:rPr>
        <w:t>discretion.</w:t>
      </w:r>
    </w:p>
    <w:p w14:paraId="6FC8D21B" w14:textId="77777777" w:rsidR="00894070" w:rsidRDefault="00894070">
      <w:pPr>
        <w:pStyle w:val="BodyText"/>
      </w:pPr>
    </w:p>
    <w:p w14:paraId="063158B6" w14:textId="77777777" w:rsidR="00894070" w:rsidRDefault="00894070">
      <w:pPr>
        <w:pStyle w:val="BodyText"/>
      </w:pPr>
    </w:p>
    <w:p w14:paraId="2E24FE2F" w14:textId="77777777" w:rsidR="00894070" w:rsidRDefault="00894070">
      <w:pPr>
        <w:pStyle w:val="BodyText"/>
      </w:pPr>
    </w:p>
    <w:p w14:paraId="5C38102A" w14:textId="77777777" w:rsidR="00894070" w:rsidRDefault="00894070">
      <w:pPr>
        <w:pStyle w:val="BodyText"/>
      </w:pPr>
    </w:p>
    <w:p w14:paraId="6DD0F2D9" w14:textId="77777777" w:rsidR="00894070" w:rsidRDefault="00894070">
      <w:pPr>
        <w:pStyle w:val="BodyText"/>
      </w:pPr>
    </w:p>
    <w:p w14:paraId="040155A3" w14:textId="77777777" w:rsidR="00894070" w:rsidRDefault="00894070">
      <w:pPr>
        <w:pStyle w:val="BodyText"/>
      </w:pPr>
    </w:p>
    <w:p w14:paraId="423F09C8" w14:textId="77777777" w:rsidR="00894070" w:rsidRDefault="00894070">
      <w:pPr>
        <w:pStyle w:val="BodyText"/>
      </w:pPr>
    </w:p>
    <w:p w14:paraId="07672702" w14:textId="77777777" w:rsidR="00894070" w:rsidRDefault="009F6793">
      <w:pPr>
        <w:pStyle w:val="BodyText"/>
        <w:spacing w:before="7"/>
        <w:rPr>
          <w:sz w:val="13"/>
        </w:rPr>
      </w:pPr>
      <w:r>
        <w:pict w14:anchorId="12E7DEDB">
          <v:line id="_x0000_s1303" style="position:absolute;z-index:251678720;mso-wrap-distance-left:0;mso-wrap-distance-right:0;mso-position-horizontal-relative:page" from="79.35pt,11.85pt" to="515.9pt,11.85pt" strokecolor="#f8cabc" strokeweight="1pt">
            <w10:wrap type="topAndBottom" anchorx="page"/>
          </v:line>
        </w:pict>
      </w:r>
    </w:p>
    <w:p w14:paraId="1B503A0A" w14:textId="77777777" w:rsidR="00894070" w:rsidRDefault="00894070">
      <w:pPr>
        <w:pStyle w:val="BodyText"/>
        <w:rPr>
          <w:sz w:val="5"/>
        </w:rPr>
      </w:pPr>
    </w:p>
    <w:p w14:paraId="6FCF61F4" w14:textId="77777777" w:rsidR="00894070" w:rsidRDefault="00894070">
      <w:pPr>
        <w:rPr>
          <w:sz w:val="5"/>
        </w:rPr>
        <w:sectPr w:rsidR="00894070">
          <w:pgSz w:w="11910" w:h="16840"/>
          <w:pgMar w:top="860" w:right="420" w:bottom="280" w:left="580" w:header="567" w:footer="0" w:gutter="0"/>
          <w:cols w:space="720"/>
        </w:sectPr>
      </w:pPr>
    </w:p>
    <w:p w14:paraId="01EDC30F" w14:textId="77777777" w:rsidR="00894070" w:rsidRDefault="00894070">
      <w:pPr>
        <w:pStyle w:val="BodyText"/>
        <w:rPr>
          <w:sz w:val="28"/>
        </w:rPr>
      </w:pPr>
    </w:p>
    <w:p w14:paraId="1960BBD7" w14:textId="77777777" w:rsidR="00894070" w:rsidRDefault="00894070">
      <w:pPr>
        <w:pStyle w:val="BodyText"/>
        <w:rPr>
          <w:sz w:val="28"/>
        </w:rPr>
      </w:pPr>
    </w:p>
    <w:p w14:paraId="2F12F316" w14:textId="77777777" w:rsidR="00894070" w:rsidRDefault="00894070">
      <w:pPr>
        <w:pStyle w:val="BodyText"/>
        <w:rPr>
          <w:sz w:val="28"/>
        </w:rPr>
      </w:pPr>
    </w:p>
    <w:p w14:paraId="05046485" w14:textId="77777777" w:rsidR="00894070" w:rsidRDefault="00894070">
      <w:pPr>
        <w:pStyle w:val="BodyText"/>
        <w:rPr>
          <w:sz w:val="28"/>
        </w:rPr>
      </w:pPr>
    </w:p>
    <w:p w14:paraId="1490E769" w14:textId="77777777" w:rsidR="00894070" w:rsidRDefault="00894070">
      <w:pPr>
        <w:pStyle w:val="BodyText"/>
        <w:rPr>
          <w:sz w:val="28"/>
        </w:rPr>
      </w:pPr>
    </w:p>
    <w:p w14:paraId="160A5740" w14:textId="77777777" w:rsidR="00894070" w:rsidRDefault="00894070">
      <w:pPr>
        <w:pStyle w:val="BodyText"/>
        <w:spacing w:before="11"/>
        <w:rPr>
          <w:sz w:val="36"/>
        </w:rPr>
      </w:pPr>
    </w:p>
    <w:p w14:paraId="25C1FD41" w14:textId="77777777" w:rsidR="00894070" w:rsidRDefault="009B7AFD">
      <w:pPr>
        <w:pStyle w:val="Heading8"/>
        <w:spacing w:before="1"/>
        <w:ind w:left="140"/>
      </w:pPr>
      <w:r>
        <w:rPr>
          <w:color w:val="EA5B50"/>
        </w:rPr>
        <w:t>114</w:t>
      </w:r>
    </w:p>
    <w:p w14:paraId="1E1D79A3" w14:textId="77777777" w:rsidR="00894070" w:rsidRDefault="009B7AFD">
      <w:pPr>
        <w:tabs>
          <w:tab w:val="left" w:pos="933"/>
        </w:tabs>
        <w:spacing w:before="38" w:line="213" w:lineRule="auto"/>
        <w:ind w:left="933" w:right="1456" w:hanging="794"/>
        <w:rPr>
          <w:sz w:val="13"/>
        </w:rPr>
      </w:pPr>
      <w:r>
        <w:br w:type="column"/>
      </w:r>
      <w:r>
        <w:rPr>
          <w:color w:val="231F20"/>
          <w:spacing w:val="2"/>
          <w:sz w:val="13"/>
        </w:rPr>
        <w:t>140</w:t>
      </w:r>
      <w:r>
        <w:rPr>
          <w:color w:val="231F20"/>
          <w:spacing w:val="2"/>
          <w:sz w:val="13"/>
        </w:rPr>
        <w:tab/>
      </w:r>
      <w:r>
        <w:rPr>
          <w:color w:val="231F20"/>
          <w:sz w:val="13"/>
        </w:rPr>
        <w:t xml:space="preserve">An ‘affected family </w:t>
      </w:r>
      <w:r>
        <w:rPr>
          <w:color w:val="231F20"/>
          <w:spacing w:val="2"/>
          <w:sz w:val="13"/>
        </w:rPr>
        <w:t xml:space="preserve">member’ </w:t>
      </w:r>
      <w:r>
        <w:rPr>
          <w:color w:val="231F20"/>
          <w:sz w:val="13"/>
        </w:rPr>
        <w:t xml:space="preserve">is, broadly, the person the subject of the </w:t>
      </w:r>
      <w:r>
        <w:rPr>
          <w:color w:val="231F20"/>
          <w:spacing w:val="2"/>
          <w:sz w:val="13"/>
        </w:rPr>
        <w:t xml:space="preserve">application </w:t>
      </w:r>
      <w:r>
        <w:rPr>
          <w:color w:val="231F20"/>
          <w:sz w:val="13"/>
        </w:rPr>
        <w:t xml:space="preserve">for a family violence intervention order. A ‘protected person’ is ‘a person who is protected by a family violence intervention order or a family violence safety notice or a recognised DVO’: ibid s 4 (definition of ‘affected family </w:t>
      </w:r>
      <w:r>
        <w:rPr>
          <w:color w:val="231F20"/>
          <w:spacing w:val="2"/>
          <w:sz w:val="13"/>
        </w:rPr>
        <w:t xml:space="preserve">member’ </w:t>
      </w:r>
      <w:r>
        <w:rPr>
          <w:color w:val="231F20"/>
          <w:sz w:val="13"/>
        </w:rPr>
        <w:t>and ’protected</w:t>
      </w:r>
      <w:r>
        <w:rPr>
          <w:color w:val="231F20"/>
          <w:spacing w:val="7"/>
          <w:sz w:val="13"/>
        </w:rPr>
        <w:t xml:space="preserve"> </w:t>
      </w:r>
      <w:r>
        <w:rPr>
          <w:color w:val="231F20"/>
          <w:sz w:val="13"/>
        </w:rPr>
        <w:t>person’).</w:t>
      </w:r>
    </w:p>
    <w:p w14:paraId="6BD01F94" w14:textId="77777777" w:rsidR="00894070" w:rsidRDefault="009B7AFD">
      <w:pPr>
        <w:tabs>
          <w:tab w:val="left" w:pos="933"/>
        </w:tabs>
        <w:spacing w:line="152" w:lineRule="exact"/>
        <w:ind w:left="140"/>
        <w:rPr>
          <w:sz w:val="13"/>
        </w:rPr>
      </w:pPr>
      <w:r>
        <w:rPr>
          <w:color w:val="231F20"/>
          <w:spacing w:val="2"/>
          <w:sz w:val="13"/>
        </w:rPr>
        <w:t>141</w:t>
      </w:r>
      <w:r>
        <w:rPr>
          <w:color w:val="231F20"/>
          <w:spacing w:val="2"/>
          <w:sz w:val="13"/>
        </w:rPr>
        <w:tab/>
      </w:r>
      <w:r>
        <w:rPr>
          <w:color w:val="231F20"/>
          <w:sz w:val="13"/>
        </w:rPr>
        <w:t xml:space="preserve">Ibid s </w:t>
      </w:r>
      <w:r>
        <w:rPr>
          <w:color w:val="231F20"/>
          <w:spacing w:val="2"/>
          <w:sz w:val="13"/>
        </w:rPr>
        <w:t>70(1)-(2).</w:t>
      </w:r>
    </w:p>
    <w:p w14:paraId="2A5867E7" w14:textId="77777777" w:rsidR="00894070" w:rsidRDefault="009B7AFD">
      <w:pPr>
        <w:pStyle w:val="ListParagraph"/>
        <w:numPr>
          <w:ilvl w:val="0"/>
          <w:numId w:val="86"/>
        </w:numPr>
        <w:tabs>
          <w:tab w:val="left" w:pos="933"/>
          <w:tab w:val="left" w:pos="934"/>
        </w:tabs>
        <w:spacing w:before="6" w:line="213" w:lineRule="auto"/>
        <w:ind w:right="1383" w:hanging="793"/>
        <w:rPr>
          <w:sz w:val="13"/>
        </w:rPr>
      </w:pPr>
      <w:r>
        <w:rPr>
          <w:i/>
          <w:color w:val="231F20"/>
          <w:sz w:val="13"/>
        </w:rPr>
        <w:t xml:space="preserve">Evidence Act 2008 </w:t>
      </w:r>
      <w:r>
        <w:rPr>
          <w:color w:val="231F20"/>
          <w:sz w:val="13"/>
        </w:rPr>
        <w:t xml:space="preserve">(Vic) s 41; </w:t>
      </w:r>
      <w:r>
        <w:rPr>
          <w:i/>
          <w:color w:val="231F20"/>
          <w:sz w:val="13"/>
        </w:rPr>
        <w:t xml:space="preserve">Personal Safety Intervention Orders Act 2010 </w:t>
      </w:r>
      <w:r>
        <w:rPr>
          <w:color w:val="231F20"/>
          <w:sz w:val="13"/>
        </w:rPr>
        <w:t xml:space="preserve">(Vic) s 47(2); </w:t>
      </w:r>
      <w:r>
        <w:rPr>
          <w:i/>
          <w:color w:val="231F20"/>
          <w:sz w:val="13"/>
        </w:rPr>
        <w:t xml:space="preserve">Family Violence Protection Act 2008 </w:t>
      </w:r>
      <w:r>
        <w:rPr>
          <w:color w:val="231F20"/>
          <w:sz w:val="13"/>
        </w:rPr>
        <w:t>(Vic) s 65(2).</w:t>
      </w:r>
    </w:p>
    <w:p w14:paraId="1C96DB91" w14:textId="77777777" w:rsidR="00894070" w:rsidRDefault="009B7AFD">
      <w:pPr>
        <w:pStyle w:val="ListParagraph"/>
        <w:numPr>
          <w:ilvl w:val="0"/>
          <w:numId w:val="86"/>
        </w:numPr>
        <w:tabs>
          <w:tab w:val="left" w:pos="933"/>
          <w:tab w:val="left" w:pos="934"/>
        </w:tabs>
        <w:spacing w:line="213" w:lineRule="auto"/>
        <w:ind w:right="1368" w:hanging="793"/>
        <w:rPr>
          <w:sz w:val="13"/>
        </w:rPr>
      </w:pPr>
      <w:r>
        <w:rPr>
          <w:color w:val="231F20"/>
          <w:spacing w:val="2"/>
          <w:sz w:val="13"/>
        </w:rPr>
        <w:t xml:space="preserve">Submissions </w:t>
      </w:r>
      <w:r>
        <w:rPr>
          <w:color w:val="231F20"/>
          <w:sz w:val="13"/>
        </w:rPr>
        <w:t xml:space="preserve">41 (Djirra), 65 (Code </w:t>
      </w:r>
      <w:r>
        <w:rPr>
          <w:color w:val="231F20"/>
          <w:spacing w:val="2"/>
          <w:sz w:val="13"/>
        </w:rPr>
        <w:t xml:space="preserve">Black </w:t>
      </w:r>
      <w:r>
        <w:rPr>
          <w:color w:val="231F20"/>
          <w:sz w:val="13"/>
        </w:rPr>
        <w:t xml:space="preserve">Threat Management), 97 (Federation of Community Legal Centres), 98 (Law Institute of Victoria); Consultations 2 (Children’s </w:t>
      </w:r>
      <w:r>
        <w:rPr>
          <w:color w:val="231F20"/>
          <w:spacing w:val="2"/>
          <w:sz w:val="13"/>
        </w:rPr>
        <w:t xml:space="preserve">Court </w:t>
      </w:r>
      <w:r>
        <w:rPr>
          <w:color w:val="231F20"/>
          <w:sz w:val="13"/>
        </w:rPr>
        <w:t>of Victoria (No 1)), 19 (Community legal sector</w:t>
      </w:r>
      <w:r>
        <w:rPr>
          <w:color w:val="231F20"/>
          <w:spacing w:val="24"/>
          <w:sz w:val="13"/>
        </w:rPr>
        <w:t xml:space="preserve"> </w:t>
      </w:r>
      <w:r>
        <w:rPr>
          <w:color w:val="231F20"/>
          <w:sz w:val="13"/>
        </w:rPr>
        <w:t>roundtable).</w:t>
      </w:r>
    </w:p>
    <w:p w14:paraId="62720A90" w14:textId="77777777" w:rsidR="00894070" w:rsidRDefault="009B7AFD">
      <w:pPr>
        <w:pStyle w:val="ListParagraph"/>
        <w:numPr>
          <w:ilvl w:val="0"/>
          <w:numId w:val="86"/>
        </w:numPr>
        <w:tabs>
          <w:tab w:val="left" w:pos="933"/>
          <w:tab w:val="left" w:pos="934"/>
        </w:tabs>
        <w:spacing w:line="152" w:lineRule="exact"/>
        <w:ind w:hanging="793"/>
        <w:rPr>
          <w:sz w:val="13"/>
        </w:rPr>
      </w:pPr>
      <w:r>
        <w:rPr>
          <w:color w:val="231F20"/>
          <w:spacing w:val="2"/>
          <w:sz w:val="13"/>
        </w:rPr>
        <w:t xml:space="preserve">Submissions </w:t>
      </w:r>
      <w:r>
        <w:rPr>
          <w:color w:val="231F20"/>
          <w:sz w:val="13"/>
        </w:rPr>
        <w:t>97 (Federation of Community Legal Centres), 98 (Law Institute of</w:t>
      </w:r>
      <w:r>
        <w:rPr>
          <w:color w:val="231F20"/>
          <w:spacing w:val="6"/>
          <w:sz w:val="13"/>
        </w:rPr>
        <w:t xml:space="preserve"> </w:t>
      </w:r>
      <w:r>
        <w:rPr>
          <w:color w:val="231F20"/>
          <w:sz w:val="13"/>
        </w:rPr>
        <w:t>Victoria).</w:t>
      </w:r>
    </w:p>
    <w:p w14:paraId="4C0C1BB1" w14:textId="77777777" w:rsidR="00894070" w:rsidRDefault="009B7AFD">
      <w:pPr>
        <w:pStyle w:val="ListParagraph"/>
        <w:numPr>
          <w:ilvl w:val="0"/>
          <w:numId w:val="86"/>
        </w:numPr>
        <w:tabs>
          <w:tab w:val="left" w:pos="933"/>
          <w:tab w:val="left" w:pos="934"/>
        </w:tabs>
        <w:spacing w:before="5" w:line="213" w:lineRule="auto"/>
        <w:ind w:right="1357" w:hanging="793"/>
        <w:rPr>
          <w:sz w:val="13"/>
        </w:rPr>
      </w:pPr>
      <w:r>
        <w:rPr>
          <w:color w:val="231F20"/>
          <w:spacing w:val="2"/>
          <w:sz w:val="13"/>
        </w:rPr>
        <w:t xml:space="preserve">Submissions </w:t>
      </w:r>
      <w:r>
        <w:rPr>
          <w:color w:val="231F20"/>
          <w:sz w:val="13"/>
        </w:rPr>
        <w:t xml:space="preserve">56 </w:t>
      </w:r>
      <w:r>
        <w:rPr>
          <w:color w:val="231F20"/>
          <w:spacing w:val="2"/>
          <w:sz w:val="13"/>
        </w:rPr>
        <w:t xml:space="preserve">(Derryn </w:t>
      </w:r>
      <w:r>
        <w:rPr>
          <w:color w:val="231F20"/>
          <w:sz w:val="13"/>
        </w:rPr>
        <w:t>Hinch’s Justice Party), 97 (Federation of Community Legal Centres); Consultation 19 (Community legal sector roundtable).</w:t>
      </w:r>
    </w:p>
    <w:p w14:paraId="078F25ED" w14:textId="77777777" w:rsidR="00894070" w:rsidRDefault="009B7AFD">
      <w:pPr>
        <w:pStyle w:val="ListParagraph"/>
        <w:numPr>
          <w:ilvl w:val="0"/>
          <w:numId w:val="86"/>
        </w:numPr>
        <w:tabs>
          <w:tab w:val="left" w:pos="933"/>
          <w:tab w:val="left" w:pos="934"/>
        </w:tabs>
        <w:spacing w:line="153" w:lineRule="exact"/>
        <w:ind w:hanging="793"/>
        <w:rPr>
          <w:sz w:val="13"/>
        </w:rPr>
      </w:pPr>
      <w:r>
        <w:rPr>
          <w:color w:val="231F20"/>
          <w:sz w:val="13"/>
        </w:rPr>
        <w:t xml:space="preserve">Consultation 4 (Sexual </w:t>
      </w:r>
      <w:r>
        <w:rPr>
          <w:color w:val="231F20"/>
          <w:spacing w:val="2"/>
          <w:sz w:val="13"/>
        </w:rPr>
        <w:t>Assault Services</w:t>
      </w:r>
      <w:r>
        <w:rPr>
          <w:color w:val="231F20"/>
          <w:spacing w:val="-1"/>
          <w:sz w:val="13"/>
        </w:rPr>
        <w:t xml:space="preserve"> </w:t>
      </w:r>
      <w:r>
        <w:rPr>
          <w:color w:val="231F20"/>
          <w:sz w:val="13"/>
        </w:rPr>
        <w:t>Network).</w:t>
      </w:r>
    </w:p>
    <w:p w14:paraId="19AEB9A9" w14:textId="77777777" w:rsidR="00894070" w:rsidRDefault="009B7AFD">
      <w:pPr>
        <w:pStyle w:val="ListParagraph"/>
        <w:numPr>
          <w:ilvl w:val="0"/>
          <w:numId w:val="86"/>
        </w:numPr>
        <w:tabs>
          <w:tab w:val="left" w:pos="933"/>
          <w:tab w:val="left" w:pos="934"/>
        </w:tabs>
        <w:spacing w:before="6" w:line="213" w:lineRule="auto"/>
        <w:ind w:right="1335" w:hanging="793"/>
        <w:jc w:val="both"/>
        <w:rPr>
          <w:sz w:val="13"/>
        </w:rPr>
      </w:pPr>
      <w:r>
        <w:rPr>
          <w:color w:val="231F20"/>
          <w:spacing w:val="2"/>
          <w:sz w:val="13"/>
        </w:rPr>
        <w:t xml:space="preserve">Submission 115 </w:t>
      </w:r>
      <w:r>
        <w:rPr>
          <w:color w:val="231F20"/>
          <w:sz w:val="13"/>
        </w:rPr>
        <w:t xml:space="preserve">(Victoria Police). The Federation of Community Legal Centres </w:t>
      </w:r>
      <w:r>
        <w:rPr>
          <w:color w:val="231F20"/>
          <w:spacing w:val="2"/>
          <w:sz w:val="13"/>
        </w:rPr>
        <w:t xml:space="preserve">also </w:t>
      </w:r>
      <w:proofErr w:type="gramStart"/>
      <w:r>
        <w:rPr>
          <w:color w:val="231F20"/>
          <w:sz w:val="13"/>
        </w:rPr>
        <w:t>stated</w:t>
      </w:r>
      <w:proofErr w:type="gramEnd"/>
      <w:r>
        <w:rPr>
          <w:color w:val="231F20"/>
          <w:sz w:val="13"/>
        </w:rPr>
        <w:t xml:space="preserve"> ‘confrontation with the respondent in court can cause significant distress for victim survivors and can discourage people from applying for a </w:t>
      </w:r>
      <w:r>
        <w:rPr>
          <w:color w:val="231F20"/>
          <w:spacing w:val="2"/>
          <w:sz w:val="13"/>
        </w:rPr>
        <w:t xml:space="preserve">PSIO </w:t>
      </w:r>
      <w:r>
        <w:rPr>
          <w:color w:val="231F20"/>
          <w:sz w:val="13"/>
        </w:rPr>
        <w:t xml:space="preserve">or continuing with </w:t>
      </w:r>
      <w:r>
        <w:rPr>
          <w:color w:val="231F20"/>
          <w:spacing w:val="2"/>
          <w:sz w:val="13"/>
        </w:rPr>
        <w:t xml:space="preserve">PSIO </w:t>
      </w:r>
      <w:r>
        <w:rPr>
          <w:color w:val="231F20"/>
          <w:sz w:val="13"/>
        </w:rPr>
        <w:t xml:space="preserve">proceedings.’: </w:t>
      </w:r>
      <w:r>
        <w:rPr>
          <w:color w:val="231F20"/>
          <w:spacing w:val="2"/>
          <w:sz w:val="13"/>
        </w:rPr>
        <w:t xml:space="preserve">Submission </w:t>
      </w:r>
      <w:r>
        <w:rPr>
          <w:color w:val="231F20"/>
          <w:sz w:val="13"/>
        </w:rPr>
        <w:t>97 (Federation of Community Legal</w:t>
      </w:r>
      <w:r>
        <w:rPr>
          <w:color w:val="231F20"/>
          <w:spacing w:val="2"/>
          <w:sz w:val="13"/>
        </w:rPr>
        <w:t xml:space="preserve"> </w:t>
      </w:r>
      <w:r>
        <w:rPr>
          <w:color w:val="231F20"/>
          <w:sz w:val="13"/>
        </w:rPr>
        <w:t>Centres).</w:t>
      </w:r>
    </w:p>
    <w:p w14:paraId="5F154396" w14:textId="77777777" w:rsidR="00894070" w:rsidRDefault="009B7AFD">
      <w:pPr>
        <w:pStyle w:val="ListParagraph"/>
        <w:numPr>
          <w:ilvl w:val="0"/>
          <w:numId w:val="86"/>
        </w:numPr>
        <w:tabs>
          <w:tab w:val="left" w:pos="933"/>
          <w:tab w:val="left" w:pos="934"/>
        </w:tabs>
        <w:spacing w:line="152" w:lineRule="exact"/>
        <w:ind w:hanging="793"/>
        <w:rPr>
          <w:sz w:val="13"/>
        </w:rPr>
      </w:pPr>
      <w:r>
        <w:rPr>
          <w:color w:val="231F20"/>
          <w:sz w:val="13"/>
        </w:rPr>
        <w:t xml:space="preserve">Consultation 6 (Magistrates’ </w:t>
      </w:r>
      <w:r>
        <w:rPr>
          <w:color w:val="231F20"/>
          <w:spacing w:val="2"/>
          <w:sz w:val="13"/>
        </w:rPr>
        <w:t xml:space="preserve">Court </w:t>
      </w:r>
      <w:r>
        <w:rPr>
          <w:color w:val="231F20"/>
          <w:sz w:val="13"/>
        </w:rPr>
        <w:t>of Victoria (No 1)).</w:t>
      </w:r>
    </w:p>
    <w:p w14:paraId="4DCEBE5D" w14:textId="77777777" w:rsidR="00894070" w:rsidRDefault="009B7AFD">
      <w:pPr>
        <w:pStyle w:val="ListParagraph"/>
        <w:numPr>
          <w:ilvl w:val="0"/>
          <w:numId w:val="86"/>
        </w:numPr>
        <w:tabs>
          <w:tab w:val="left" w:pos="933"/>
          <w:tab w:val="left" w:pos="934"/>
        </w:tabs>
        <w:spacing w:line="170" w:lineRule="exact"/>
        <w:ind w:hanging="793"/>
        <w:rPr>
          <w:sz w:val="13"/>
        </w:rPr>
      </w:pPr>
      <w:proofErr w:type="gramStart"/>
      <w:r>
        <w:rPr>
          <w:color w:val="231F20"/>
          <w:sz w:val="13"/>
        </w:rPr>
        <w:t>Ibid;</w:t>
      </w:r>
      <w:proofErr w:type="gramEnd"/>
      <w:r>
        <w:rPr>
          <w:color w:val="231F20"/>
          <w:sz w:val="13"/>
        </w:rPr>
        <w:t xml:space="preserve"> Consultations 13 (Victoria Legal Aid), 19 (Community legal sector</w:t>
      </w:r>
      <w:r>
        <w:rPr>
          <w:color w:val="231F20"/>
          <w:spacing w:val="8"/>
          <w:sz w:val="13"/>
        </w:rPr>
        <w:t xml:space="preserve"> </w:t>
      </w:r>
      <w:r>
        <w:rPr>
          <w:color w:val="231F20"/>
          <w:sz w:val="13"/>
        </w:rPr>
        <w:t>roundtable).</w:t>
      </w:r>
    </w:p>
    <w:p w14:paraId="0F69CCB5"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55" w:space="313"/>
            <w:col w:w="10042"/>
          </w:cols>
        </w:sectPr>
      </w:pPr>
    </w:p>
    <w:p w14:paraId="68DEE3D7" w14:textId="77777777" w:rsidR="00894070" w:rsidRDefault="00894070">
      <w:pPr>
        <w:pStyle w:val="BodyText"/>
      </w:pPr>
    </w:p>
    <w:p w14:paraId="49D78FC3" w14:textId="77777777" w:rsidR="00894070" w:rsidRDefault="00894070">
      <w:pPr>
        <w:pStyle w:val="BodyText"/>
      </w:pPr>
    </w:p>
    <w:p w14:paraId="6DB311D1" w14:textId="77777777" w:rsidR="00894070" w:rsidRDefault="00894070">
      <w:pPr>
        <w:pStyle w:val="BodyText"/>
      </w:pPr>
    </w:p>
    <w:p w14:paraId="09BF60F0" w14:textId="77777777" w:rsidR="00894070" w:rsidRDefault="00894070">
      <w:pPr>
        <w:pStyle w:val="BodyText"/>
        <w:spacing w:before="6"/>
        <w:rPr>
          <w:sz w:val="14"/>
        </w:rPr>
      </w:pPr>
    </w:p>
    <w:p w14:paraId="0DF67AC8" w14:textId="77777777" w:rsidR="00894070" w:rsidRDefault="009B7AFD">
      <w:pPr>
        <w:pStyle w:val="ListParagraph"/>
        <w:numPr>
          <w:ilvl w:val="1"/>
          <w:numId w:val="102"/>
        </w:numPr>
        <w:tabs>
          <w:tab w:val="left" w:pos="1801"/>
          <w:tab w:val="left" w:pos="1802"/>
        </w:tabs>
        <w:spacing w:before="90" w:line="206" w:lineRule="auto"/>
        <w:ind w:right="1858"/>
        <w:rPr>
          <w:sz w:val="20"/>
        </w:rPr>
      </w:pPr>
      <w:r>
        <w:rPr>
          <w:color w:val="231F20"/>
          <w:spacing w:val="-6"/>
          <w:sz w:val="20"/>
        </w:rPr>
        <w:t>We</w:t>
      </w:r>
      <w:r>
        <w:rPr>
          <w:color w:val="231F20"/>
          <w:spacing w:val="-11"/>
          <w:sz w:val="20"/>
        </w:rPr>
        <w:t xml:space="preserve"> </w:t>
      </w:r>
      <w:r>
        <w:rPr>
          <w:color w:val="231F20"/>
          <w:sz w:val="20"/>
        </w:rPr>
        <w:t>heard</w:t>
      </w:r>
      <w:r>
        <w:rPr>
          <w:color w:val="231F20"/>
          <w:spacing w:val="-11"/>
          <w:sz w:val="20"/>
        </w:rPr>
        <w:t xml:space="preserve"> </w:t>
      </w:r>
      <w:r>
        <w:rPr>
          <w:color w:val="231F20"/>
          <w:sz w:val="20"/>
        </w:rPr>
        <w:t>suggestions</w:t>
      </w:r>
      <w:r>
        <w:rPr>
          <w:color w:val="231F20"/>
          <w:spacing w:val="-11"/>
          <w:sz w:val="20"/>
        </w:rPr>
        <w:t xml:space="preserve"> </w:t>
      </w:r>
      <w:r>
        <w:rPr>
          <w:color w:val="231F20"/>
          <w:sz w:val="20"/>
        </w:rPr>
        <w:t>about</w:t>
      </w:r>
      <w:r>
        <w:rPr>
          <w:color w:val="231F20"/>
          <w:spacing w:val="-11"/>
          <w:sz w:val="20"/>
        </w:rPr>
        <w:t xml:space="preserve"> </w:t>
      </w:r>
      <w:r>
        <w:rPr>
          <w:color w:val="231F20"/>
          <w:sz w:val="20"/>
        </w:rPr>
        <w:t>the</w:t>
      </w:r>
      <w:r>
        <w:rPr>
          <w:color w:val="231F20"/>
          <w:spacing w:val="-11"/>
          <w:sz w:val="20"/>
        </w:rPr>
        <w:t xml:space="preserve"> </w:t>
      </w:r>
      <w:r>
        <w:rPr>
          <w:color w:val="231F20"/>
          <w:sz w:val="20"/>
        </w:rPr>
        <w:t>factors</w:t>
      </w:r>
      <w:r>
        <w:rPr>
          <w:color w:val="231F20"/>
          <w:spacing w:val="-11"/>
          <w:sz w:val="20"/>
        </w:rPr>
        <w:t xml:space="preserve"> </w:t>
      </w:r>
      <w:r>
        <w:rPr>
          <w:color w:val="231F20"/>
          <w:sz w:val="20"/>
        </w:rPr>
        <w:t>that</w:t>
      </w:r>
      <w:r>
        <w:rPr>
          <w:color w:val="231F20"/>
          <w:spacing w:val="-10"/>
          <w:sz w:val="20"/>
        </w:rPr>
        <w:t xml:space="preserve"> </w:t>
      </w:r>
      <w:r>
        <w:rPr>
          <w:color w:val="231F20"/>
          <w:sz w:val="20"/>
        </w:rPr>
        <w:t>courts</w:t>
      </w:r>
      <w:r>
        <w:rPr>
          <w:color w:val="231F20"/>
          <w:spacing w:val="-11"/>
          <w:sz w:val="20"/>
        </w:rPr>
        <w:t xml:space="preserve"> </w:t>
      </w:r>
      <w:r>
        <w:rPr>
          <w:color w:val="231F20"/>
          <w:sz w:val="20"/>
        </w:rPr>
        <w:t>should</w:t>
      </w:r>
      <w:r>
        <w:rPr>
          <w:color w:val="231F20"/>
          <w:spacing w:val="-11"/>
          <w:sz w:val="20"/>
        </w:rPr>
        <w:t xml:space="preserve"> </w:t>
      </w:r>
      <w:r>
        <w:rPr>
          <w:color w:val="231F20"/>
          <w:sz w:val="20"/>
        </w:rPr>
        <w:t>consider</w:t>
      </w:r>
      <w:r>
        <w:rPr>
          <w:color w:val="231F20"/>
          <w:spacing w:val="-11"/>
          <w:sz w:val="20"/>
        </w:rPr>
        <w:t xml:space="preserve"> </w:t>
      </w:r>
      <w:r>
        <w:rPr>
          <w:color w:val="231F20"/>
          <w:sz w:val="20"/>
        </w:rPr>
        <w:t>in</w:t>
      </w:r>
      <w:r>
        <w:rPr>
          <w:color w:val="231F20"/>
          <w:spacing w:val="-11"/>
          <w:sz w:val="20"/>
        </w:rPr>
        <w:t xml:space="preserve"> </w:t>
      </w:r>
      <w:r>
        <w:rPr>
          <w:color w:val="231F20"/>
          <w:sz w:val="20"/>
        </w:rPr>
        <w:t xml:space="preserve">deciding whether </w:t>
      </w:r>
      <w:r>
        <w:rPr>
          <w:color w:val="231F20"/>
          <w:spacing w:val="-3"/>
          <w:sz w:val="20"/>
        </w:rPr>
        <w:t xml:space="preserve">cross-examination </w:t>
      </w:r>
      <w:r>
        <w:rPr>
          <w:color w:val="231F20"/>
          <w:sz w:val="20"/>
        </w:rPr>
        <w:t xml:space="preserve">should be banned in a particular PSIO </w:t>
      </w:r>
      <w:r>
        <w:rPr>
          <w:color w:val="231F20"/>
          <w:spacing w:val="-4"/>
          <w:sz w:val="20"/>
        </w:rPr>
        <w:t xml:space="preserve">matter. </w:t>
      </w:r>
      <w:r>
        <w:rPr>
          <w:color w:val="231F20"/>
          <w:sz w:val="20"/>
        </w:rPr>
        <w:t>They included:</w:t>
      </w:r>
    </w:p>
    <w:p w14:paraId="43D108D9" w14:textId="77777777" w:rsidR="00894070" w:rsidRDefault="009B7AFD">
      <w:pPr>
        <w:pStyle w:val="ListParagraph"/>
        <w:numPr>
          <w:ilvl w:val="2"/>
          <w:numId w:val="102"/>
        </w:numPr>
        <w:tabs>
          <w:tab w:val="left" w:pos="2141"/>
          <w:tab w:val="left" w:pos="2142"/>
        </w:tabs>
        <w:spacing w:before="91"/>
        <w:ind w:hanging="340"/>
        <w:rPr>
          <w:sz w:val="11"/>
        </w:rPr>
      </w:pPr>
      <w:r>
        <w:rPr>
          <w:color w:val="231F20"/>
          <w:sz w:val="20"/>
        </w:rPr>
        <w:t xml:space="preserve">the </w:t>
      </w:r>
      <w:r>
        <w:rPr>
          <w:color w:val="231F20"/>
          <w:spacing w:val="-3"/>
          <w:sz w:val="20"/>
        </w:rPr>
        <w:t xml:space="preserve">nature </w:t>
      </w:r>
      <w:r>
        <w:rPr>
          <w:color w:val="231F20"/>
          <w:sz w:val="20"/>
        </w:rPr>
        <w:t>or seriousness of the alleged</w:t>
      </w:r>
      <w:r>
        <w:rPr>
          <w:color w:val="231F20"/>
          <w:spacing w:val="-28"/>
          <w:sz w:val="20"/>
        </w:rPr>
        <w:t xml:space="preserve"> </w:t>
      </w:r>
      <w:r>
        <w:rPr>
          <w:color w:val="231F20"/>
          <w:sz w:val="20"/>
        </w:rPr>
        <w:t>conduct</w:t>
      </w:r>
      <w:r>
        <w:rPr>
          <w:color w:val="231F20"/>
          <w:position w:val="7"/>
          <w:sz w:val="11"/>
        </w:rPr>
        <w:t>150</w:t>
      </w:r>
    </w:p>
    <w:p w14:paraId="454D3D88" w14:textId="77777777" w:rsidR="00894070" w:rsidRDefault="009B7AFD">
      <w:pPr>
        <w:pStyle w:val="ListParagraph"/>
        <w:numPr>
          <w:ilvl w:val="2"/>
          <w:numId w:val="102"/>
        </w:numPr>
        <w:tabs>
          <w:tab w:val="left" w:pos="2141"/>
          <w:tab w:val="left" w:pos="2142"/>
        </w:tabs>
        <w:spacing w:before="48"/>
        <w:ind w:hanging="340"/>
        <w:rPr>
          <w:sz w:val="11"/>
        </w:rPr>
      </w:pPr>
      <w:r>
        <w:rPr>
          <w:color w:val="231F20"/>
          <w:sz w:val="20"/>
        </w:rPr>
        <w:t>the</w:t>
      </w:r>
      <w:r>
        <w:rPr>
          <w:color w:val="231F20"/>
          <w:spacing w:val="-6"/>
          <w:sz w:val="20"/>
        </w:rPr>
        <w:t xml:space="preserve"> </w:t>
      </w:r>
      <w:r>
        <w:rPr>
          <w:color w:val="231F20"/>
          <w:sz w:val="20"/>
        </w:rPr>
        <w:t>relationship</w:t>
      </w:r>
      <w:r>
        <w:rPr>
          <w:color w:val="231F20"/>
          <w:spacing w:val="-5"/>
          <w:sz w:val="20"/>
        </w:rPr>
        <w:t xml:space="preserve"> </w:t>
      </w:r>
      <w:r>
        <w:rPr>
          <w:color w:val="231F20"/>
          <w:sz w:val="20"/>
        </w:rPr>
        <w:t>between</w:t>
      </w:r>
      <w:r>
        <w:rPr>
          <w:color w:val="231F20"/>
          <w:spacing w:val="-5"/>
          <w:sz w:val="20"/>
        </w:rPr>
        <w:t xml:space="preserve"> </w:t>
      </w:r>
      <w:r>
        <w:rPr>
          <w:color w:val="231F20"/>
          <w:sz w:val="20"/>
        </w:rPr>
        <w:t>the</w:t>
      </w:r>
      <w:r>
        <w:rPr>
          <w:color w:val="231F20"/>
          <w:spacing w:val="-5"/>
          <w:sz w:val="20"/>
        </w:rPr>
        <w:t xml:space="preserve"> </w:t>
      </w:r>
      <w:r>
        <w:rPr>
          <w:color w:val="231F20"/>
          <w:sz w:val="20"/>
        </w:rPr>
        <w:t>affected</w:t>
      </w:r>
      <w:r>
        <w:rPr>
          <w:color w:val="231F20"/>
          <w:spacing w:val="-6"/>
          <w:sz w:val="20"/>
        </w:rPr>
        <w:t xml:space="preserve"> </w:t>
      </w:r>
      <w:r>
        <w:rPr>
          <w:color w:val="231F20"/>
          <w:sz w:val="20"/>
        </w:rPr>
        <w:t>person</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5"/>
          <w:sz w:val="20"/>
        </w:rPr>
        <w:t xml:space="preserve"> </w:t>
      </w:r>
      <w:r>
        <w:rPr>
          <w:color w:val="231F20"/>
          <w:sz w:val="20"/>
        </w:rPr>
        <w:t>respondent</w:t>
      </w:r>
      <w:r>
        <w:rPr>
          <w:color w:val="231F20"/>
          <w:position w:val="7"/>
          <w:sz w:val="11"/>
        </w:rPr>
        <w:t>151</w:t>
      </w:r>
    </w:p>
    <w:p w14:paraId="3F3E55EF" w14:textId="77777777" w:rsidR="00894070" w:rsidRDefault="009B7AFD">
      <w:pPr>
        <w:pStyle w:val="ListParagraph"/>
        <w:numPr>
          <w:ilvl w:val="2"/>
          <w:numId w:val="102"/>
        </w:numPr>
        <w:tabs>
          <w:tab w:val="left" w:pos="2141"/>
          <w:tab w:val="left" w:pos="2142"/>
        </w:tabs>
        <w:spacing w:before="47"/>
        <w:ind w:hanging="340"/>
        <w:rPr>
          <w:sz w:val="11"/>
        </w:rPr>
      </w:pPr>
      <w:r>
        <w:rPr>
          <w:color w:val="231F20"/>
          <w:sz w:val="20"/>
        </w:rPr>
        <w:t xml:space="preserve">the </w:t>
      </w:r>
      <w:r>
        <w:rPr>
          <w:color w:val="231F20"/>
          <w:spacing w:val="-4"/>
          <w:sz w:val="20"/>
        </w:rPr>
        <w:t xml:space="preserve">level </w:t>
      </w:r>
      <w:r>
        <w:rPr>
          <w:color w:val="231F20"/>
          <w:sz w:val="20"/>
        </w:rPr>
        <w:t>of fear of the affected</w:t>
      </w:r>
      <w:r>
        <w:rPr>
          <w:color w:val="231F20"/>
          <w:spacing w:val="-27"/>
          <w:sz w:val="20"/>
        </w:rPr>
        <w:t xml:space="preserve"> </w:t>
      </w:r>
      <w:r>
        <w:rPr>
          <w:color w:val="231F20"/>
          <w:sz w:val="20"/>
        </w:rPr>
        <w:t>person</w:t>
      </w:r>
      <w:r>
        <w:rPr>
          <w:color w:val="231F20"/>
          <w:position w:val="7"/>
          <w:sz w:val="11"/>
        </w:rPr>
        <w:t>152</w:t>
      </w:r>
    </w:p>
    <w:p w14:paraId="55738F42" w14:textId="77777777" w:rsidR="00894070" w:rsidRDefault="009B7AFD">
      <w:pPr>
        <w:pStyle w:val="ListParagraph"/>
        <w:numPr>
          <w:ilvl w:val="2"/>
          <w:numId w:val="102"/>
        </w:numPr>
        <w:tabs>
          <w:tab w:val="left" w:pos="2141"/>
          <w:tab w:val="left" w:pos="2142"/>
        </w:tabs>
        <w:spacing w:before="48"/>
        <w:ind w:hanging="340"/>
        <w:rPr>
          <w:sz w:val="11"/>
        </w:rPr>
      </w:pPr>
      <w:r>
        <w:rPr>
          <w:color w:val="231F20"/>
          <w:sz w:val="20"/>
        </w:rPr>
        <w:t xml:space="preserve">whether </w:t>
      </w:r>
      <w:r>
        <w:rPr>
          <w:color w:val="231F20"/>
          <w:spacing w:val="-3"/>
          <w:sz w:val="20"/>
        </w:rPr>
        <w:t xml:space="preserve">cross-examination would perpetuate </w:t>
      </w:r>
      <w:r>
        <w:rPr>
          <w:color w:val="231F20"/>
          <w:sz w:val="20"/>
        </w:rPr>
        <w:t>stalking</w:t>
      </w:r>
      <w:r>
        <w:rPr>
          <w:color w:val="231F20"/>
          <w:spacing w:val="-11"/>
          <w:sz w:val="20"/>
        </w:rPr>
        <w:t xml:space="preserve"> </w:t>
      </w:r>
      <w:r>
        <w:rPr>
          <w:color w:val="231F20"/>
          <w:sz w:val="20"/>
        </w:rPr>
        <w:t>behaviour</w:t>
      </w:r>
      <w:r>
        <w:rPr>
          <w:color w:val="231F20"/>
          <w:position w:val="7"/>
          <w:sz w:val="11"/>
        </w:rPr>
        <w:t>153</w:t>
      </w:r>
    </w:p>
    <w:p w14:paraId="4D4BC439" w14:textId="77777777" w:rsidR="00894070" w:rsidRDefault="009B7AFD">
      <w:pPr>
        <w:pStyle w:val="ListParagraph"/>
        <w:numPr>
          <w:ilvl w:val="2"/>
          <w:numId w:val="102"/>
        </w:numPr>
        <w:tabs>
          <w:tab w:val="left" w:pos="2141"/>
          <w:tab w:val="left" w:pos="2142"/>
        </w:tabs>
        <w:spacing w:before="47" w:line="259" w:lineRule="exact"/>
        <w:ind w:hanging="340"/>
        <w:rPr>
          <w:sz w:val="20"/>
        </w:rPr>
      </w:pPr>
      <w:r>
        <w:rPr>
          <w:color w:val="231F20"/>
          <w:sz w:val="20"/>
        </w:rPr>
        <w:t>the ‘vulnerabilities’ of the affected person,</w:t>
      </w:r>
      <w:r>
        <w:rPr>
          <w:color w:val="231F20"/>
          <w:position w:val="7"/>
          <w:sz w:val="11"/>
        </w:rPr>
        <w:t xml:space="preserve">154 </w:t>
      </w:r>
      <w:r>
        <w:rPr>
          <w:color w:val="231F20"/>
          <w:spacing w:val="-3"/>
          <w:sz w:val="20"/>
        </w:rPr>
        <w:t xml:space="preserve">for example </w:t>
      </w:r>
      <w:r>
        <w:rPr>
          <w:color w:val="231F20"/>
          <w:sz w:val="20"/>
        </w:rPr>
        <w:t xml:space="preserve">if they </w:t>
      </w:r>
      <w:r>
        <w:rPr>
          <w:color w:val="231F20"/>
          <w:spacing w:val="-4"/>
          <w:sz w:val="20"/>
        </w:rPr>
        <w:t xml:space="preserve">have </w:t>
      </w:r>
      <w:r>
        <w:rPr>
          <w:color w:val="231F20"/>
          <w:sz w:val="20"/>
        </w:rPr>
        <w:t>a</w:t>
      </w:r>
      <w:r>
        <w:rPr>
          <w:color w:val="231F20"/>
          <w:spacing w:val="-30"/>
          <w:sz w:val="20"/>
        </w:rPr>
        <w:t xml:space="preserve"> </w:t>
      </w:r>
      <w:r>
        <w:rPr>
          <w:color w:val="231F20"/>
          <w:spacing w:val="-3"/>
          <w:sz w:val="20"/>
        </w:rPr>
        <w:t>cognitive</w:t>
      </w:r>
    </w:p>
    <w:p w14:paraId="6EB3921A" w14:textId="77777777" w:rsidR="00894070" w:rsidRDefault="009B7AFD">
      <w:pPr>
        <w:pStyle w:val="BodyText"/>
        <w:spacing w:line="259" w:lineRule="exact"/>
        <w:ind w:left="2141"/>
      </w:pPr>
      <w:r>
        <w:rPr>
          <w:color w:val="231F20"/>
        </w:rPr>
        <w:t>impairment.</w:t>
      </w:r>
    </w:p>
    <w:p w14:paraId="79F8CFA6" w14:textId="77777777" w:rsidR="00894070" w:rsidRDefault="009B7AFD">
      <w:pPr>
        <w:pStyle w:val="ListParagraph"/>
        <w:numPr>
          <w:ilvl w:val="1"/>
          <w:numId w:val="102"/>
        </w:numPr>
        <w:tabs>
          <w:tab w:val="left" w:pos="1801"/>
          <w:tab w:val="left" w:pos="1802"/>
        </w:tabs>
        <w:spacing w:before="80" w:line="206" w:lineRule="auto"/>
        <w:ind w:right="1924"/>
        <w:rPr>
          <w:sz w:val="20"/>
        </w:rPr>
      </w:pPr>
      <w:r>
        <w:rPr>
          <w:color w:val="231F20"/>
          <w:spacing w:val="-6"/>
          <w:sz w:val="20"/>
        </w:rPr>
        <w:t>We</w:t>
      </w:r>
      <w:r>
        <w:rPr>
          <w:color w:val="231F20"/>
          <w:spacing w:val="-7"/>
          <w:sz w:val="20"/>
        </w:rPr>
        <w:t xml:space="preserve"> </w:t>
      </w:r>
      <w:r>
        <w:rPr>
          <w:color w:val="231F20"/>
          <w:sz w:val="20"/>
        </w:rPr>
        <w:t>consider</w:t>
      </w:r>
      <w:r>
        <w:rPr>
          <w:color w:val="231F20"/>
          <w:spacing w:val="-7"/>
          <w:sz w:val="20"/>
        </w:rPr>
        <w:t xml:space="preserve"> </w:t>
      </w:r>
      <w:r>
        <w:rPr>
          <w:color w:val="231F20"/>
          <w:sz w:val="20"/>
        </w:rPr>
        <w:t>this</w:t>
      </w:r>
      <w:r>
        <w:rPr>
          <w:color w:val="231F20"/>
          <w:spacing w:val="-7"/>
          <w:sz w:val="20"/>
        </w:rPr>
        <w:t xml:space="preserve"> </w:t>
      </w:r>
      <w:r>
        <w:rPr>
          <w:color w:val="231F20"/>
          <w:sz w:val="20"/>
        </w:rPr>
        <w:t>set</w:t>
      </w:r>
      <w:r>
        <w:rPr>
          <w:color w:val="231F20"/>
          <w:spacing w:val="-7"/>
          <w:sz w:val="20"/>
        </w:rPr>
        <w:t xml:space="preserve"> </w:t>
      </w:r>
      <w:r>
        <w:rPr>
          <w:color w:val="231F20"/>
          <w:sz w:val="20"/>
        </w:rPr>
        <w:t>of</w:t>
      </w:r>
      <w:r>
        <w:rPr>
          <w:color w:val="231F20"/>
          <w:spacing w:val="-7"/>
          <w:sz w:val="20"/>
        </w:rPr>
        <w:t xml:space="preserve"> </w:t>
      </w:r>
      <w:r>
        <w:rPr>
          <w:color w:val="231F20"/>
          <w:sz w:val="20"/>
        </w:rPr>
        <w:t>criteria</w:t>
      </w:r>
      <w:r>
        <w:rPr>
          <w:color w:val="231F20"/>
          <w:spacing w:val="-7"/>
          <w:sz w:val="20"/>
        </w:rPr>
        <w:t xml:space="preserve"> </w:t>
      </w:r>
      <w:r>
        <w:rPr>
          <w:color w:val="231F20"/>
          <w:sz w:val="20"/>
        </w:rPr>
        <w:t>to</w:t>
      </w:r>
      <w:r>
        <w:rPr>
          <w:color w:val="231F20"/>
          <w:spacing w:val="-6"/>
          <w:sz w:val="20"/>
        </w:rPr>
        <w:t xml:space="preserve"> </w:t>
      </w:r>
      <w:r>
        <w:rPr>
          <w:color w:val="231F20"/>
          <w:sz w:val="20"/>
        </w:rPr>
        <w:t>be</w:t>
      </w:r>
      <w:r>
        <w:rPr>
          <w:color w:val="231F20"/>
          <w:spacing w:val="-7"/>
          <w:sz w:val="20"/>
        </w:rPr>
        <w:t xml:space="preserve"> </w:t>
      </w:r>
      <w:r>
        <w:rPr>
          <w:color w:val="231F20"/>
          <w:spacing w:val="-3"/>
          <w:sz w:val="20"/>
        </w:rPr>
        <w:t>appropriate</w:t>
      </w:r>
      <w:r>
        <w:rPr>
          <w:color w:val="231F20"/>
          <w:spacing w:val="-7"/>
          <w:sz w:val="20"/>
        </w:rPr>
        <w:t xml:space="preserve"> </w:t>
      </w:r>
      <w:r>
        <w:rPr>
          <w:color w:val="231F20"/>
          <w:sz w:val="20"/>
        </w:rPr>
        <w:t>in</w:t>
      </w:r>
      <w:r>
        <w:rPr>
          <w:color w:val="231F20"/>
          <w:spacing w:val="-7"/>
          <w:sz w:val="20"/>
        </w:rPr>
        <w:t xml:space="preserve"> </w:t>
      </w:r>
      <w:r>
        <w:rPr>
          <w:color w:val="231F20"/>
          <w:sz w:val="20"/>
        </w:rPr>
        <w:t>deciding</w:t>
      </w:r>
      <w:r>
        <w:rPr>
          <w:color w:val="231F20"/>
          <w:spacing w:val="-7"/>
          <w:sz w:val="20"/>
        </w:rPr>
        <w:t xml:space="preserve"> </w:t>
      </w:r>
      <w:r>
        <w:rPr>
          <w:color w:val="231F20"/>
          <w:sz w:val="20"/>
        </w:rPr>
        <w:t>who</w:t>
      </w:r>
      <w:r>
        <w:rPr>
          <w:color w:val="231F20"/>
          <w:spacing w:val="-7"/>
          <w:sz w:val="20"/>
        </w:rPr>
        <w:t xml:space="preserve"> </w:t>
      </w:r>
      <w:r>
        <w:rPr>
          <w:color w:val="231F20"/>
          <w:sz w:val="20"/>
        </w:rPr>
        <w:t>is</w:t>
      </w:r>
      <w:r>
        <w:rPr>
          <w:color w:val="231F20"/>
          <w:spacing w:val="-7"/>
          <w:sz w:val="20"/>
        </w:rPr>
        <w:t xml:space="preserve"> </w:t>
      </w:r>
      <w:r>
        <w:rPr>
          <w:color w:val="231F20"/>
          <w:sz w:val="20"/>
        </w:rPr>
        <w:t>a</w:t>
      </w:r>
      <w:r>
        <w:rPr>
          <w:color w:val="231F20"/>
          <w:spacing w:val="-6"/>
          <w:sz w:val="20"/>
        </w:rPr>
        <w:t xml:space="preserve"> </w:t>
      </w:r>
      <w:r>
        <w:rPr>
          <w:color w:val="231F20"/>
          <w:spacing w:val="-3"/>
          <w:sz w:val="20"/>
        </w:rPr>
        <w:t xml:space="preserve">‘protected witness’ </w:t>
      </w:r>
      <w:r>
        <w:rPr>
          <w:color w:val="231F20"/>
          <w:sz w:val="20"/>
        </w:rPr>
        <w:t>in PSIO</w:t>
      </w:r>
      <w:r>
        <w:rPr>
          <w:color w:val="231F20"/>
          <w:spacing w:val="-10"/>
          <w:sz w:val="20"/>
        </w:rPr>
        <w:t xml:space="preserve"> </w:t>
      </w:r>
      <w:r>
        <w:rPr>
          <w:color w:val="231F20"/>
          <w:sz w:val="20"/>
        </w:rPr>
        <w:t>matters.</w:t>
      </w:r>
    </w:p>
    <w:p w14:paraId="59431C33" w14:textId="77777777" w:rsidR="00894070" w:rsidRDefault="009B7AFD">
      <w:pPr>
        <w:pStyle w:val="ListParagraph"/>
        <w:numPr>
          <w:ilvl w:val="1"/>
          <w:numId w:val="102"/>
        </w:numPr>
        <w:tabs>
          <w:tab w:val="left" w:pos="1801"/>
          <w:tab w:val="left" w:pos="1802"/>
        </w:tabs>
        <w:spacing w:before="122" w:line="206" w:lineRule="auto"/>
        <w:ind w:right="1409"/>
        <w:rPr>
          <w:sz w:val="20"/>
        </w:rPr>
      </w:pPr>
      <w:r>
        <w:rPr>
          <w:color w:val="231F20"/>
          <w:sz w:val="20"/>
        </w:rPr>
        <w:t xml:space="preserve">It </w:t>
      </w:r>
      <w:r>
        <w:rPr>
          <w:color w:val="231F20"/>
          <w:spacing w:val="-3"/>
          <w:sz w:val="20"/>
        </w:rPr>
        <w:t xml:space="preserve">narrows down </w:t>
      </w:r>
      <w:r>
        <w:rPr>
          <w:color w:val="231F20"/>
          <w:sz w:val="20"/>
        </w:rPr>
        <w:t xml:space="preserve">who is eligible </w:t>
      </w:r>
      <w:r>
        <w:rPr>
          <w:color w:val="231F20"/>
          <w:spacing w:val="-3"/>
          <w:sz w:val="20"/>
        </w:rPr>
        <w:t xml:space="preserve">for </w:t>
      </w:r>
      <w:r>
        <w:rPr>
          <w:color w:val="231F20"/>
          <w:sz w:val="20"/>
        </w:rPr>
        <w:t xml:space="preserve">legal aid (discussed </w:t>
      </w:r>
      <w:r>
        <w:rPr>
          <w:color w:val="231F20"/>
          <w:spacing w:val="-4"/>
          <w:sz w:val="20"/>
        </w:rPr>
        <w:t xml:space="preserve">below), </w:t>
      </w:r>
      <w:r>
        <w:rPr>
          <w:color w:val="231F20"/>
          <w:sz w:val="20"/>
        </w:rPr>
        <w:t>while ensuring that the</w:t>
      </w:r>
      <w:r>
        <w:rPr>
          <w:color w:val="231F20"/>
          <w:spacing w:val="-12"/>
          <w:sz w:val="20"/>
        </w:rPr>
        <w:t xml:space="preserve"> </w:t>
      </w:r>
      <w:r>
        <w:rPr>
          <w:color w:val="231F20"/>
          <w:sz w:val="20"/>
        </w:rPr>
        <w:t>people</w:t>
      </w:r>
      <w:r>
        <w:rPr>
          <w:color w:val="231F20"/>
          <w:spacing w:val="-12"/>
          <w:sz w:val="20"/>
        </w:rPr>
        <w:t xml:space="preserve"> </w:t>
      </w:r>
      <w:r>
        <w:rPr>
          <w:color w:val="231F20"/>
          <w:sz w:val="20"/>
        </w:rPr>
        <w:t>most</w:t>
      </w:r>
      <w:r>
        <w:rPr>
          <w:color w:val="231F20"/>
          <w:spacing w:val="-12"/>
          <w:sz w:val="20"/>
        </w:rPr>
        <w:t xml:space="preserve"> </w:t>
      </w:r>
      <w:r>
        <w:rPr>
          <w:color w:val="231F20"/>
          <w:spacing w:val="-3"/>
          <w:sz w:val="20"/>
        </w:rPr>
        <w:t>likely</w:t>
      </w:r>
      <w:r>
        <w:rPr>
          <w:color w:val="231F20"/>
          <w:spacing w:val="-11"/>
          <w:sz w:val="20"/>
        </w:rPr>
        <w:t xml:space="preserve"> </w:t>
      </w:r>
      <w:r>
        <w:rPr>
          <w:color w:val="231F20"/>
          <w:sz w:val="20"/>
        </w:rPr>
        <w:t>to</w:t>
      </w:r>
      <w:r>
        <w:rPr>
          <w:color w:val="231F20"/>
          <w:spacing w:val="-12"/>
          <w:sz w:val="20"/>
        </w:rPr>
        <w:t xml:space="preserve"> </w:t>
      </w:r>
      <w:r>
        <w:rPr>
          <w:color w:val="231F20"/>
          <w:sz w:val="20"/>
        </w:rPr>
        <w:t>experience</w:t>
      </w:r>
      <w:r>
        <w:rPr>
          <w:color w:val="231F20"/>
          <w:spacing w:val="-12"/>
          <w:sz w:val="20"/>
        </w:rPr>
        <w:t xml:space="preserve"> </w:t>
      </w:r>
      <w:r>
        <w:rPr>
          <w:color w:val="231F20"/>
          <w:sz w:val="20"/>
        </w:rPr>
        <w:t>distress</w:t>
      </w:r>
      <w:r>
        <w:rPr>
          <w:color w:val="231F20"/>
          <w:spacing w:val="-12"/>
          <w:sz w:val="20"/>
        </w:rPr>
        <w:t xml:space="preserve"> </w:t>
      </w:r>
      <w:r>
        <w:rPr>
          <w:color w:val="231F20"/>
          <w:spacing w:val="-3"/>
          <w:sz w:val="20"/>
        </w:rPr>
        <w:t>from</w:t>
      </w:r>
      <w:r>
        <w:rPr>
          <w:color w:val="231F20"/>
          <w:spacing w:val="-11"/>
          <w:sz w:val="20"/>
        </w:rPr>
        <w:t xml:space="preserve"> </w:t>
      </w:r>
      <w:r>
        <w:rPr>
          <w:color w:val="231F20"/>
          <w:sz w:val="20"/>
        </w:rPr>
        <w:t>being</w:t>
      </w:r>
      <w:r>
        <w:rPr>
          <w:color w:val="231F20"/>
          <w:spacing w:val="-12"/>
          <w:sz w:val="20"/>
        </w:rPr>
        <w:t xml:space="preserve"> </w:t>
      </w:r>
      <w:r>
        <w:rPr>
          <w:color w:val="231F20"/>
          <w:sz w:val="20"/>
        </w:rPr>
        <w:t>personally</w:t>
      </w:r>
      <w:r>
        <w:rPr>
          <w:color w:val="231F20"/>
          <w:spacing w:val="-12"/>
          <w:sz w:val="20"/>
        </w:rPr>
        <w:t xml:space="preserve"> </w:t>
      </w:r>
      <w:r>
        <w:rPr>
          <w:color w:val="231F20"/>
          <w:sz w:val="20"/>
        </w:rPr>
        <w:t xml:space="preserve">cross-examined </w:t>
      </w:r>
      <w:r>
        <w:rPr>
          <w:color w:val="231F20"/>
          <w:spacing w:val="-3"/>
          <w:sz w:val="20"/>
        </w:rPr>
        <w:t>are</w:t>
      </w:r>
      <w:r>
        <w:rPr>
          <w:color w:val="231F20"/>
          <w:spacing w:val="-8"/>
          <w:sz w:val="20"/>
        </w:rPr>
        <w:t xml:space="preserve"> </w:t>
      </w:r>
      <w:r>
        <w:rPr>
          <w:color w:val="231F20"/>
          <w:spacing w:val="-3"/>
          <w:sz w:val="20"/>
        </w:rPr>
        <w:t>protected.</w:t>
      </w:r>
      <w:r>
        <w:rPr>
          <w:color w:val="231F20"/>
          <w:spacing w:val="-7"/>
          <w:sz w:val="20"/>
        </w:rPr>
        <w:t xml:space="preserve"> </w:t>
      </w:r>
      <w:r>
        <w:rPr>
          <w:color w:val="231F20"/>
          <w:sz w:val="20"/>
        </w:rPr>
        <w:t>The</w:t>
      </w:r>
      <w:r>
        <w:rPr>
          <w:color w:val="231F20"/>
          <w:spacing w:val="-7"/>
          <w:sz w:val="20"/>
        </w:rPr>
        <w:t xml:space="preserve"> </w:t>
      </w:r>
      <w:r>
        <w:rPr>
          <w:color w:val="231F20"/>
          <w:sz w:val="20"/>
        </w:rPr>
        <w:t>criteria</w:t>
      </w:r>
      <w:r>
        <w:rPr>
          <w:color w:val="231F20"/>
          <w:spacing w:val="-7"/>
          <w:sz w:val="20"/>
        </w:rPr>
        <w:t xml:space="preserve"> </w:t>
      </w:r>
      <w:r>
        <w:rPr>
          <w:color w:val="231F20"/>
          <w:sz w:val="20"/>
        </w:rPr>
        <w:t>could</w:t>
      </w:r>
      <w:r>
        <w:rPr>
          <w:color w:val="231F20"/>
          <w:spacing w:val="-7"/>
          <w:sz w:val="20"/>
        </w:rPr>
        <w:t xml:space="preserve"> </w:t>
      </w:r>
      <w:r>
        <w:rPr>
          <w:color w:val="231F20"/>
          <w:spacing w:val="-3"/>
          <w:sz w:val="20"/>
        </w:rPr>
        <w:t>potentially</w:t>
      </w:r>
      <w:r>
        <w:rPr>
          <w:color w:val="231F20"/>
          <w:spacing w:val="-7"/>
          <w:sz w:val="20"/>
        </w:rPr>
        <w:t xml:space="preserve"> </w:t>
      </w:r>
      <w:r>
        <w:rPr>
          <w:color w:val="231F20"/>
          <w:spacing w:val="-3"/>
          <w:sz w:val="20"/>
        </w:rPr>
        <w:t>catch</w:t>
      </w:r>
      <w:r>
        <w:rPr>
          <w:color w:val="231F20"/>
          <w:spacing w:val="-7"/>
          <w:sz w:val="20"/>
        </w:rPr>
        <w:t xml:space="preserve"> </w:t>
      </w:r>
      <w:r>
        <w:rPr>
          <w:color w:val="231F20"/>
          <w:sz w:val="20"/>
        </w:rPr>
        <w:t>witnesses</w:t>
      </w:r>
      <w:r>
        <w:rPr>
          <w:color w:val="231F20"/>
          <w:spacing w:val="-8"/>
          <w:sz w:val="20"/>
        </w:rPr>
        <w:t xml:space="preserve"> </w:t>
      </w:r>
      <w:r>
        <w:rPr>
          <w:color w:val="231F20"/>
          <w:sz w:val="20"/>
        </w:rPr>
        <w:t>in</w:t>
      </w:r>
      <w:r>
        <w:rPr>
          <w:color w:val="231F20"/>
          <w:spacing w:val="-7"/>
          <w:sz w:val="20"/>
        </w:rPr>
        <w:t xml:space="preserve"> </w:t>
      </w:r>
      <w:r>
        <w:rPr>
          <w:color w:val="231F20"/>
          <w:sz w:val="20"/>
        </w:rPr>
        <w:t>other</w:t>
      </w:r>
      <w:r>
        <w:rPr>
          <w:color w:val="231F20"/>
          <w:spacing w:val="-7"/>
          <w:sz w:val="20"/>
        </w:rPr>
        <w:t xml:space="preserve"> </w:t>
      </w:r>
      <w:r>
        <w:rPr>
          <w:color w:val="231F20"/>
          <w:sz w:val="20"/>
        </w:rPr>
        <w:t>types</w:t>
      </w:r>
      <w:r>
        <w:rPr>
          <w:color w:val="231F20"/>
          <w:spacing w:val="-7"/>
          <w:sz w:val="20"/>
        </w:rPr>
        <w:t xml:space="preserve"> </w:t>
      </w:r>
      <w:r>
        <w:rPr>
          <w:color w:val="231F20"/>
          <w:sz w:val="20"/>
        </w:rPr>
        <w:t>of</w:t>
      </w:r>
      <w:r>
        <w:rPr>
          <w:color w:val="231F20"/>
          <w:spacing w:val="-7"/>
          <w:sz w:val="20"/>
        </w:rPr>
        <w:t xml:space="preserve"> </w:t>
      </w:r>
      <w:r>
        <w:rPr>
          <w:color w:val="231F20"/>
          <w:sz w:val="20"/>
        </w:rPr>
        <w:t>serious,</w:t>
      </w:r>
    </w:p>
    <w:p w14:paraId="7E9DA4F8" w14:textId="77777777" w:rsidR="00894070" w:rsidRDefault="009B7AFD">
      <w:pPr>
        <w:pStyle w:val="BodyText"/>
        <w:spacing w:before="4" w:line="206" w:lineRule="auto"/>
        <w:ind w:left="1801" w:right="1196"/>
      </w:pPr>
      <w:r>
        <w:rPr>
          <w:color w:val="231F20"/>
        </w:rPr>
        <w:t xml:space="preserve">non-stalking PSIO matters, but they </w:t>
      </w:r>
      <w:r>
        <w:rPr>
          <w:color w:val="231F20"/>
          <w:spacing w:val="-3"/>
        </w:rPr>
        <w:t xml:space="preserve">would </w:t>
      </w:r>
      <w:r>
        <w:rPr>
          <w:color w:val="231F20"/>
        </w:rPr>
        <w:t xml:space="preserve">also benefit </w:t>
      </w:r>
      <w:r>
        <w:rPr>
          <w:color w:val="231F20"/>
          <w:spacing w:val="-3"/>
        </w:rPr>
        <w:t xml:space="preserve">by </w:t>
      </w:r>
      <w:r>
        <w:rPr>
          <w:color w:val="231F20"/>
        </w:rPr>
        <w:t xml:space="preserve">being </w:t>
      </w:r>
      <w:r>
        <w:rPr>
          <w:color w:val="231F20"/>
          <w:spacing w:val="-3"/>
        </w:rPr>
        <w:t xml:space="preserve">protected from cross- </w:t>
      </w:r>
      <w:r>
        <w:rPr>
          <w:color w:val="231F20"/>
        </w:rPr>
        <w:t>examination.</w:t>
      </w:r>
    </w:p>
    <w:p w14:paraId="00CEB323" w14:textId="77777777" w:rsidR="00894070" w:rsidRDefault="009B7AFD">
      <w:pPr>
        <w:pStyle w:val="ListParagraph"/>
        <w:numPr>
          <w:ilvl w:val="1"/>
          <w:numId w:val="102"/>
        </w:numPr>
        <w:tabs>
          <w:tab w:val="left" w:pos="1801"/>
          <w:tab w:val="left" w:pos="1802"/>
        </w:tabs>
        <w:spacing w:before="90" w:line="259" w:lineRule="exact"/>
        <w:rPr>
          <w:sz w:val="20"/>
        </w:rPr>
      </w:pPr>
      <w:r>
        <w:rPr>
          <w:color w:val="231F20"/>
          <w:spacing w:val="-6"/>
          <w:sz w:val="20"/>
        </w:rPr>
        <w:t xml:space="preserve">We </w:t>
      </w:r>
      <w:r>
        <w:rPr>
          <w:color w:val="231F20"/>
          <w:spacing w:val="-3"/>
          <w:sz w:val="20"/>
        </w:rPr>
        <w:t>note</w:t>
      </w:r>
      <w:r>
        <w:rPr>
          <w:color w:val="231F20"/>
          <w:spacing w:val="-5"/>
          <w:sz w:val="20"/>
        </w:rPr>
        <w:t xml:space="preserve"> </w:t>
      </w:r>
      <w:r>
        <w:rPr>
          <w:color w:val="231F20"/>
          <w:sz w:val="20"/>
        </w:rPr>
        <w:t>other</w:t>
      </w:r>
      <w:r>
        <w:rPr>
          <w:color w:val="231F20"/>
          <w:spacing w:val="-5"/>
          <w:sz w:val="20"/>
        </w:rPr>
        <w:t xml:space="preserve"> </w:t>
      </w:r>
      <w:r>
        <w:rPr>
          <w:color w:val="231F20"/>
          <w:sz w:val="20"/>
        </w:rPr>
        <w:t>suggestions</w:t>
      </w:r>
      <w:r>
        <w:rPr>
          <w:color w:val="231F20"/>
          <w:spacing w:val="-5"/>
          <w:sz w:val="20"/>
        </w:rPr>
        <w:t xml:space="preserve"> </w:t>
      </w:r>
      <w:r>
        <w:rPr>
          <w:color w:val="231F20"/>
          <w:sz w:val="20"/>
        </w:rPr>
        <w:t>that</w:t>
      </w:r>
      <w:r>
        <w:rPr>
          <w:color w:val="231F20"/>
          <w:spacing w:val="-5"/>
          <w:sz w:val="20"/>
        </w:rPr>
        <w:t xml:space="preserve"> </w:t>
      </w:r>
      <w:r>
        <w:rPr>
          <w:color w:val="231F20"/>
          <w:sz w:val="20"/>
        </w:rPr>
        <w:t>the</w:t>
      </w:r>
      <w:r>
        <w:rPr>
          <w:color w:val="231F20"/>
          <w:spacing w:val="-5"/>
          <w:sz w:val="20"/>
        </w:rPr>
        <w:t xml:space="preserve"> </w:t>
      </w:r>
      <w:r>
        <w:rPr>
          <w:color w:val="231F20"/>
          <w:sz w:val="20"/>
        </w:rPr>
        <w:t>prohibition</w:t>
      </w:r>
      <w:r>
        <w:rPr>
          <w:color w:val="231F20"/>
          <w:spacing w:val="-6"/>
          <w:sz w:val="20"/>
        </w:rPr>
        <w:t xml:space="preserve"> </w:t>
      </w:r>
      <w:r>
        <w:rPr>
          <w:color w:val="231F20"/>
          <w:sz w:val="20"/>
        </w:rPr>
        <w:t>could</w:t>
      </w:r>
      <w:r>
        <w:rPr>
          <w:color w:val="231F20"/>
          <w:spacing w:val="-5"/>
          <w:sz w:val="20"/>
        </w:rPr>
        <w:t xml:space="preserve"> </w:t>
      </w:r>
      <w:r>
        <w:rPr>
          <w:color w:val="231F20"/>
          <w:sz w:val="20"/>
        </w:rPr>
        <w:t>apply</w:t>
      </w:r>
      <w:r>
        <w:rPr>
          <w:color w:val="231F20"/>
          <w:spacing w:val="-6"/>
          <w:sz w:val="20"/>
        </w:rPr>
        <w:t xml:space="preserve"> </w:t>
      </w:r>
      <w:r>
        <w:rPr>
          <w:color w:val="231F20"/>
          <w:sz w:val="20"/>
        </w:rPr>
        <w:t>to</w:t>
      </w:r>
      <w:r>
        <w:rPr>
          <w:color w:val="231F20"/>
          <w:spacing w:val="-5"/>
          <w:sz w:val="20"/>
        </w:rPr>
        <w:t xml:space="preserve"> </w:t>
      </w:r>
      <w:r>
        <w:rPr>
          <w:color w:val="231F20"/>
          <w:spacing w:val="-3"/>
          <w:sz w:val="20"/>
        </w:rPr>
        <w:t>‘more</w:t>
      </w:r>
      <w:r>
        <w:rPr>
          <w:color w:val="231F20"/>
          <w:spacing w:val="-5"/>
          <w:sz w:val="20"/>
        </w:rPr>
        <w:t xml:space="preserve"> </w:t>
      </w:r>
      <w:r>
        <w:rPr>
          <w:color w:val="231F20"/>
          <w:sz w:val="20"/>
        </w:rPr>
        <w:t>serious</w:t>
      </w:r>
    </w:p>
    <w:p w14:paraId="14BAEEB4" w14:textId="77777777" w:rsidR="00894070" w:rsidRDefault="009B7AFD">
      <w:pPr>
        <w:pStyle w:val="BodyText"/>
        <w:spacing w:before="14" w:line="206" w:lineRule="auto"/>
        <w:ind w:left="1801" w:right="1179"/>
      </w:pPr>
      <w:r>
        <w:rPr>
          <w:color w:val="231F20"/>
        </w:rPr>
        <w:t>stalking offences’</w:t>
      </w:r>
      <w:r>
        <w:rPr>
          <w:color w:val="231F20"/>
          <w:position w:val="7"/>
          <w:sz w:val="11"/>
        </w:rPr>
        <w:t xml:space="preserve">155 </w:t>
      </w:r>
      <w:r>
        <w:rPr>
          <w:color w:val="231F20"/>
        </w:rPr>
        <w:t>or be based on a risk assessment.</w:t>
      </w:r>
      <w:r>
        <w:rPr>
          <w:color w:val="231F20"/>
          <w:position w:val="7"/>
          <w:sz w:val="11"/>
        </w:rPr>
        <w:t xml:space="preserve">156 </w:t>
      </w:r>
      <w:r>
        <w:rPr>
          <w:color w:val="231F20"/>
        </w:rPr>
        <w:t xml:space="preserve">The guidance criteria in Recommendation </w:t>
      </w:r>
      <w:r>
        <w:rPr>
          <w:color w:val="231F20"/>
          <w:spacing w:val="-3"/>
        </w:rPr>
        <w:t xml:space="preserve">10 </w:t>
      </w:r>
      <w:r>
        <w:rPr>
          <w:color w:val="231F20"/>
        </w:rPr>
        <w:t xml:space="preserve">could </w:t>
      </w:r>
      <w:r>
        <w:rPr>
          <w:color w:val="231F20"/>
          <w:spacing w:val="-4"/>
        </w:rPr>
        <w:t xml:space="preserve">eventually </w:t>
      </w:r>
      <w:r>
        <w:rPr>
          <w:color w:val="231F20"/>
        </w:rPr>
        <w:t xml:space="preserve">be aligned with the criteria here to </w:t>
      </w:r>
      <w:proofErr w:type="gramStart"/>
      <w:r>
        <w:rPr>
          <w:color w:val="231F20"/>
        </w:rPr>
        <w:t xml:space="preserve">more </w:t>
      </w:r>
      <w:r>
        <w:rPr>
          <w:color w:val="231F20"/>
          <w:spacing w:val="-3"/>
        </w:rPr>
        <w:t xml:space="preserve">closely </w:t>
      </w:r>
      <w:r>
        <w:rPr>
          <w:color w:val="231F20"/>
        </w:rPr>
        <w:t>target stalking-type behaviours</w:t>
      </w:r>
      <w:proofErr w:type="gramEnd"/>
      <w:r>
        <w:rPr>
          <w:color w:val="231F20"/>
        </w:rPr>
        <w:t>.</w:t>
      </w:r>
    </w:p>
    <w:p w14:paraId="62643094" w14:textId="77777777" w:rsidR="00894070" w:rsidRDefault="009B7AFD">
      <w:pPr>
        <w:pStyle w:val="Heading9"/>
        <w:spacing w:before="128"/>
        <w:rPr>
          <w:b/>
        </w:rPr>
      </w:pPr>
      <w:r>
        <w:rPr>
          <w:b/>
          <w:color w:val="231F20"/>
        </w:rPr>
        <w:t>Legal representation for cross-examination</w:t>
      </w:r>
    </w:p>
    <w:p w14:paraId="38A88428" w14:textId="77777777" w:rsidR="00894070" w:rsidRDefault="009B7AFD">
      <w:pPr>
        <w:pStyle w:val="ListParagraph"/>
        <w:numPr>
          <w:ilvl w:val="1"/>
          <w:numId w:val="102"/>
        </w:numPr>
        <w:tabs>
          <w:tab w:val="left" w:pos="1801"/>
          <w:tab w:val="left" w:pos="1802"/>
        </w:tabs>
        <w:spacing w:before="132" w:line="206" w:lineRule="auto"/>
        <w:ind w:right="1167"/>
        <w:rPr>
          <w:sz w:val="11"/>
        </w:rPr>
      </w:pPr>
      <w:r>
        <w:rPr>
          <w:color w:val="231F20"/>
          <w:sz w:val="20"/>
        </w:rPr>
        <w:t>Respondents</w:t>
      </w:r>
      <w:r>
        <w:rPr>
          <w:color w:val="231F20"/>
          <w:spacing w:val="-11"/>
          <w:sz w:val="20"/>
        </w:rPr>
        <w:t xml:space="preserve"> </w:t>
      </w:r>
      <w:r>
        <w:rPr>
          <w:color w:val="231F20"/>
          <w:spacing w:val="-3"/>
          <w:sz w:val="20"/>
        </w:rPr>
        <w:t>are</w:t>
      </w:r>
      <w:r>
        <w:rPr>
          <w:color w:val="231F20"/>
          <w:spacing w:val="-11"/>
          <w:sz w:val="20"/>
        </w:rPr>
        <w:t xml:space="preserve"> </w:t>
      </w:r>
      <w:r>
        <w:rPr>
          <w:color w:val="231F20"/>
          <w:sz w:val="20"/>
        </w:rPr>
        <w:t>entitled</w:t>
      </w:r>
      <w:r>
        <w:rPr>
          <w:color w:val="231F20"/>
          <w:spacing w:val="-11"/>
          <w:sz w:val="20"/>
        </w:rPr>
        <w:t xml:space="preserve"> </w:t>
      </w:r>
      <w:r>
        <w:rPr>
          <w:color w:val="231F20"/>
          <w:sz w:val="20"/>
        </w:rPr>
        <w:t>to</w:t>
      </w:r>
      <w:r>
        <w:rPr>
          <w:color w:val="231F20"/>
          <w:spacing w:val="-10"/>
          <w:sz w:val="20"/>
        </w:rPr>
        <w:t xml:space="preserve"> </w:t>
      </w:r>
      <w:r>
        <w:rPr>
          <w:color w:val="231F20"/>
          <w:sz w:val="20"/>
        </w:rPr>
        <w:t>a</w:t>
      </w:r>
      <w:r>
        <w:rPr>
          <w:color w:val="231F20"/>
          <w:spacing w:val="-11"/>
          <w:sz w:val="20"/>
        </w:rPr>
        <w:t xml:space="preserve"> </w:t>
      </w:r>
      <w:r>
        <w:rPr>
          <w:color w:val="231F20"/>
          <w:sz w:val="20"/>
        </w:rPr>
        <w:t>fair</w:t>
      </w:r>
      <w:r>
        <w:rPr>
          <w:color w:val="231F20"/>
          <w:spacing w:val="-11"/>
          <w:sz w:val="20"/>
        </w:rPr>
        <w:t xml:space="preserve"> </w:t>
      </w:r>
      <w:r>
        <w:rPr>
          <w:color w:val="231F20"/>
          <w:sz w:val="20"/>
        </w:rPr>
        <w:t>process</w:t>
      </w:r>
      <w:r>
        <w:rPr>
          <w:color w:val="231F20"/>
          <w:spacing w:val="-10"/>
          <w:sz w:val="20"/>
        </w:rPr>
        <w:t xml:space="preserve"> </w:t>
      </w:r>
      <w:r>
        <w:rPr>
          <w:color w:val="231F20"/>
          <w:sz w:val="20"/>
        </w:rPr>
        <w:t>and</w:t>
      </w:r>
      <w:r>
        <w:rPr>
          <w:color w:val="231F20"/>
          <w:spacing w:val="-11"/>
          <w:sz w:val="20"/>
        </w:rPr>
        <w:t xml:space="preserve"> </w:t>
      </w:r>
      <w:r>
        <w:rPr>
          <w:color w:val="231F20"/>
          <w:sz w:val="20"/>
        </w:rPr>
        <w:t>to</w:t>
      </w:r>
      <w:r>
        <w:rPr>
          <w:color w:val="231F20"/>
          <w:spacing w:val="-11"/>
          <w:sz w:val="20"/>
        </w:rPr>
        <w:t xml:space="preserve"> </w:t>
      </w:r>
      <w:r>
        <w:rPr>
          <w:color w:val="231F20"/>
          <w:sz w:val="20"/>
        </w:rPr>
        <w:t>test</w:t>
      </w:r>
      <w:r>
        <w:rPr>
          <w:color w:val="231F20"/>
          <w:spacing w:val="-10"/>
          <w:sz w:val="20"/>
        </w:rPr>
        <w:t xml:space="preserve"> </w:t>
      </w:r>
      <w:r>
        <w:rPr>
          <w:color w:val="231F20"/>
          <w:sz w:val="20"/>
        </w:rPr>
        <w:t>the</w:t>
      </w:r>
      <w:r>
        <w:rPr>
          <w:color w:val="231F20"/>
          <w:spacing w:val="-11"/>
          <w:sz w:val="20"/>
        </w:rPr>
        <w:t xml:space="preserve"> </w:t>
      </w:r>
      <w:r>
        <w:rPr>
          <w:color w:val="231F20"/>
          <w:sz w:val="20"/>
        </w:rPr>
        <w:t>evidence</w:t>
      </w:r>
      <w:r>
        <w:rPr>
          <w:color w:val="231F20"/>
          <w:spacing w:val="-11"/>
          <w:sz w:val="20"/>
        </w:rPr>
        <w:t xml:space="preserve"> </w:t>
      </w:r>
      <w:r>
        <w:rPr>
          <w:color w:val="231F20"/>
          <w:sz w:val="20"/>
        </w:rPr>
        <w:t>against</w:t>
      </w:r>
      <w:r>
        <w:rPr>
          <w:color w:val="231F20"/>
          <w:spacing w:val="-10"/>
          <w:sz w:val="20"/>
        </w:rPr>
        <w:t xml:space="preserve"> </w:t>
      </w:r>
      <w:r>
        <w:rPr>
          <w:color w:val="231F20"/>
          <w:sz w:val="20"/>
        </w:rPr>
        <w:t>them.</w:t>
      </w:r>
      <w:r>
        <w:rPr>
          <w:color w:val="231F20"/>
          <w:spacing w:val="-11"/>
          <w:sz w:val="20"/>
        </w:rPr>
        <w:t xml:space="preserve"> </w:t>
      </w:r>
      <w:r>
        <w:rPr>
          <w:color w:val="231F20"/>
          <w:sz w:val="20"/>
        </w:rPr>
        <w:t xml:space="preserve">Under the FVPA, if a </w:t>
      </w:r>
      <w:r>
        <w:rPr>
          <w:color w:val="231F20"/>
          <w:spacing w:val="-2"/>
          <w:sz w:val="20"/>
        </w:rPr>
        <w:t xml:space="preserve">respondent </w:t>
      </w:r>
      <w:r>
        <w:rPr>
          <w:color w:val="231F20"/>
          <w:sz w:val="20"/>
        </w:rPr>
        <w:t xml:space="preserve">who is banned </w:t>
      </w:r>
      <w:r>
        <w:rPr>
          <w:color w:val="231F20"/>
          <w:spacing w:val="-3"/>
          <w:sz w:val="20"/>
        </w:rPr>
        <w:t xml:space="preserve">from cross-examining </w:t>
      </w:r>
      <w:r>
        <w:rPr>
          <w:color w:val="231F20"/>
          <w:sz w:val="20"/>
        </w:rPr>
        <w:t xml:space="preserve">a </w:t>
      </w:r>
      <w:r>
        <w:rPr>
          <w:color w:val="231F20"/>
          <w:spacing w:val="-3"/>
          <w:sz w:val="20"/>
        </w:rPr>
        <w:t xml:space="preserve">protected </w:t>
      </w:r>
      <w:r>
        <w:rPr>
          <w:color w:val="231F20"/>
          <w:sz w:val="20"/>
        </w:rPr>
        <w:t>witness does</w:t>
      </w:r>
      <w:r>
        <w:rPr>
          <w:color w:val="231F20"/>
          <w:spacing w:val="-7"/>
          <w:sz w:val="20"/>
        </w:rPr>
        <w:t xml:space="preserve"> </w:t>
      </w:r>
      <w:r>
        <w:rPr>
          <w:color w:val="231F20"/>
          <w:sz w:val="20"/>
        </w:rPr>
        <w:t>not</w:t>
      </w:r>
      <w:r>
        <w:rPr>
          <w:color w:val="231F20"/>
          <w:spacing w:val="-7"/>
          <w:sz w:val="20"/>
        </w:rPr>
        <w:t xml:space="preserve"> </w:t>
      </w:r>
      <w:r>
        <w:rPr>
          <w:color w:val="231F20"/>
          <w:spacing w:val="-4"/>
          <w:sz w:val="20"/>
        </w:rPr>
        <w:t>have</w:t>
      </w:r>
      <w:r>
        <w:rPr>
          <w:color w:val="231F20"/>
          <w:spacing w:val="-6"/>
          <w:sz w:val="20"/>
        </w:rPr>
        <w:t xml:space="preserve"> </w:t>
      </w:r>
      <w:r>
        <w:rPr>
          <w:color w:val="231F20"/>
          <w:sz w:val="20"/>
        </w:rPr>
        <w:t>a</w:t>
      </w:r>
      <w:r>
        <w:rPr>
          <w:color w:val="231F20"/>
          <w:spacing w:val="-7"/>
          <w:sz w:val="20"/>
        </w:rPr>
        <w:t xml:space="preserve"> </w:t>
      </w:r>
      <w:r>
        <w:rPr>
          <w:color w:val="231F20"/>
          <w:spacing w:val="-4"/>
          <w:sz w:val="20"/>
        </w:rPr>
        <w:t>lawyer,</w:t>
      </w:r>
      <w:r>
        <w:rPr>
          <w:color w:val="231F20"/>
          <w:spacing w:val="-6"/>
          <w:sz w:val="20"/>
        </w:rPr>
        <w:t xml:space="preserve"> </w:t>
      </w:r>
      <w:r>
        <w:rPr>
          <w:color w:val="231F20"/>
          <w:sz w:val="20"/>
        </w:rPr>
        <w:t>the</w:t>
      </w:r>
      <w:r>
        <w:rPr>
          <w:color w:val="231F20"/>
          <w:spacing w:val="-7"/>
          <w:sz w:val="20"/>
        </w:rPr>
        <w:t xml:space="preserve"> </w:t>
      </w:r>
      <w:r>
        <w:rPr>
          <w:color w:val="231F20"/>
          <w:sz w:val="20"/>
        </w:rPr>
        <w:t>court</w:t>
      </w:r>
      <w:r>
        <w:rPr>
          <w:color w:val="231F20"/>
          <w:spacing w:val="-6"/>
          <w:sz w:val="20"/>
        </w:rPr>
        <w:t xml:space="preserve"> </w:t>
      </w:r>
      <w:r>
        <w:rPr>
          <w:color w:val="231F20"/>
          <w:sz w:val="20"/>
        </w:rPr>
        <w:t>must</w:t>
      </w:r>
      <w:r>
        <w:rPr>
          <w:color w:val="231F20"/>
          <w:spacing w:val="-7"/>
          <w:sz w:val="20"/>
        </w:rPr>
        <w:t xml:space="preserve"> </w:t>
      </w:r>
      <w:r>
        <w:rPr>
          <w:color w:val="231F20"/>
          <w:sz w:val="20"/>
        </w:rPr>
        <w:t>order</w:t>
      </w:r>
      <w:r>
        <w:rPr>
          <w:color w:val="231F20"/>
          <w:spacing w:val="-7"/>
          <w:sz w:val="20"/>
        </w:rPr>
        <w:t xml:space="preserve"> </w:t>
      </w:r>
      <w:r>
        <w:rPr>
          <w:color w:val="231F20"/>
          <w:sz w:val="20"/>
        </w:rPr>
        <w:t>Victoria</w:t>
      </w:r>
      <w:r>
        <w:rPr>
          <w:color w:val="231F20"/>
          <w:spacing w:val="-6"/>
          <w:sz w:val="20"/>
        </w:rPr>
        <w:t xml:space="preserve"> </w:t>
      </w:r>
      <w:r>
        <w:rPr>
          <w:color w:val="231F20"/>
          <w:sz w:val="20"/>
        </w:rPr>
        <w:t>Legal</w:t>
      </w:r>
      <w:r>
        <w:rPr>
          <w:color w:val="231F20"/>
          <w:spacing w:val="-7"/>
          <w:sz w:val="20"/>
        </w:rPr>
        <w:t xml:space="preserve"> </w:t>
      </w:r>
      <w:r>
        <w:rPr>
          <w:color w:val="231F20"/>
          <w:sz w:val="20"/>
        </w:rPr>
        <w:t>Aid</w:t>
      </w:r>
      <w:r>
        <w:rPr>
          <w:color w:val="231F20"/>
          <w:spacing w:val="-6"/>
          <w:sz w:val="20"/>
        </w:rPr>
        <w:t xml:space="preserve"> </w:t>
      </w:r>
      <w:r>
        <w:rPr>
          <w:color w:val="231F20"/>
          <w:sz w:val="20"/>
        </w:rPr>
        <w:t>to</w:t>
      </w:r>
      <w:r>
        <w:rPr>
          <w:color w:val="231F20"/>
          <w:spacing w:val="-7"/>
          <w:sz w:val="20"/>
        </w:rPr>
        <w:t xml:space="preserve"> </w:t>
      </w:r>
      <w:r>
        <w:rPr>
          <w:color w:val="231F20"/>
          <w:spacing w:val="-3"/>
          <w:sz w:val="20"/>
        </w:rPr>
        <w:t>provide</w:t>
      </w:r>
      <w:r>
        <w:rPr>
          <w:color w:val="231F20"/>
          <w:spacing w:val="-6"/>
          <w:sz w:val="20"/>
        </w:rPr>
        <w:t xml:space="preserve"> </w:t>
      </w:r>
      <w:r>
        <w:rPr>
          <w:color w:val="231F20"/>
          <w:sz w:val="20"/>
        </w:rPr>
        <w:t>one</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 xml:space="preserve">cross- </w:t>
      </w:r>
      <w:r>
        <w:rPr>
          <w:color w:val="231F20"/>
          <w:sz w:val="20"/>
        </w:rPr>
        <w:t xml:space="preserve">examine the </w:t>
      </w:r>
      <w:r>
        <w:rPr>
          <w:color w:val="231F20"/>
          <w:spacing w:val="-3"/>
          <w:sz w:val="20"/>
        </w:rPr>
        <w:t>protected</w:t>
      </w:r>
      <w:r>
        <w:rPr>
          <w:color w:val="231F20"/>
          <w:spacing w:val="-13"/>
          <w:sz w:val="20"/>
        </w:rPr>
        <w:t xml:space="preserve"> </w:t>
      </w:r>
      <w:r>
        <w:rPr>
          <w:color w:val="231F20"/>
          <w:sz w:val="20"/>
        </w:rPr>
        <w:t>witness.</w:t>
      </w:r>
      <w:r>
        <w:rPr>
          <w:color w:val="231F20"/>
          <w:position w:val="7"/>
          <w:sz w:val="11"/>
        </w:rPr>
        <w:t>157</w:t>
      </w:r>
    </w:p>
    <w:p w14:paraId="33E2C15B" w14:textId="77777777" w:rsidR="00894070" w:rsidRDefault="009B7AFD">
      <w:pPr>
        <w:pStyle w:val="ListParagraph"/>
        <w:numPr>
          <w:ilvl w:val="1"/>
          <w:numId w:val="102"/>
        </w:numPr>
        <w:tabs>
          <w:tab w:val="left" w:pos="1801"/>
          <w:tab w:val="left" w:pos="1802"/>
        </w:tabs>
        <w:spacing w:before="125" w:line="206" w:lineRule="auto"/>
        <w:ind w:right="1644"/>
        <w:rPr>
          <w:sz w:val="20"/>
        </w:rPr>
      </w:pPr>
      <w:r>
        <w:rPr>
          <w:color w:val="231F20"/>
          <w:sz w:val="20"/>
        </w:rPr>
        <w:t xml:space="preserve">If the </w:t>
      </w:r>
      <w:r>
        <w:rPr>
          <w:color w:val="231F20"/>
          <w:spacing w:val="-3"/>
          <w:sz w:val="20"/>
        </w:rPr>
        <w:t xml:space="preserve">FVPA provisions </w:t>
      </w:r>
      <w:r>
        <w:rPr>
          <w:color w:val="231F20"/>
          <w:spacing w:val="-4"/>
          <w:sz w:val="20"/>
        </w:rPr>
        <w:t xml:space="preserve">were </w:t>
      </w:r>
      <w:r>
        <w:rPr>
          <w:color w:val="231F20"/>
          <w:spacing w:val="-3"/>
          <w:sz w:val="20"/>
        </w:rPr>
        <w:t xml:space="preserve">mirrored </w:t>
      </w:r>
      <w:r>
        <w:rPr>
          <w:color w:val="231F20"/>
          <w:sz w:val="20"/>
        </w:rPr>
        <w:t xml:space="preserve">in the PSIO Act, the court </w:t>
      </w:r>
      <w:r>
        <w:rPr>
          <w:color w:val="231F20"/>
          <w:spacing w:val="-3"/>
          <w:sz w:val="20"/>
        </w:rPr>
        <w:t xml:space="preserve">would </w:t>
      </w:r>
      <w:r>
        <w:rPr>
          <w:color w:val="231F20"/>
          <w:spacing w:val="-4"/>
          <w:sz w:val="20"/>
        </w:rPr>
        <w:t xml:space="preserve">have </w:t>
      </w:r>
      <w:r>
        <w:rPr>
          <w:color w:val="231F20"/>
          <w:sz w:val="20"/>
        </w:rPr>
        <w:t>a similar</w:t>
      </w:r>
      <w:r>
        <w:rPr>
          <w:color w:val="231F20"/>
          <w:spacing w:val="-9"/>
          <w:sz w:val="20"/>
        </w:rPr>
        <w:t xml:space="preserve"> </w:t>
      </w:r>
      <w:r>
        <w:rPr>
          <w:color w:val="231F20"/>
          <w:spacing w:val="-3"/>
          <w:sz w:val="20"/>
        </w:rPr>
        <w:t>power</w:t>
      </w:r>
      <w:r>
        <w:rPr>
          <w:color w:val="231F20"/>
          <w:spacing w:val="-9"/>
          <w:sz w:val="20"/>
        </w:rPr>
        <w:t xml:space="preserve"> </w:t>
      </w:r>
      <w:r>
        <w:rPr>
          <w:color w:val="231F20"/>
          <w:sz w:val="20"/>
        </w:rPr>
        <w:t>to</w:t>
      </w:r>
      <w:r>
        <w:rPr>
          <w:color w:val="231F20"/>
          <w:spacing w:val="-9"/>
          <w:sz w:val="20"/>
        </w:rPr>
        <w:t xml:space="preserve"> </w:t>
      </w:r>
      <w:r>
        <w:rPr>
          <w:color w:val="231F20"/>
          <w:sz w:val="20"/>
        </w:rPr>
        <w:t>ensure</w:t>
      </w:r>
      <w:r>
        <w:rPr>
          <w:color w:val="231F20"/>
          <w:spacing w:val="-9"/>
          <w:sz w:val="20"/>
        </w:rPr>
        <w:t xml:space="preserve"> </w:t>
      </w:r>
      <w:r>
        <w:rPr>
          <w:color w:val="231F20"/>
          <w:sz w:val="20"/>
        </w:rPr>
        <w:t>respondents</w:t>
      </w:r>
      <w:r>
        <w:rPr>
          <w:color w:val="231F20"/>
          <w:spacing w:val="-9"/>
          <w:sz w:val="20"/>
        </w:rPr>
        <w:t xml:space="preserve"> </w:t>
      </w:r>
      <w:r>
        <w:rPr>
          <w:color w:val="231F20"/>
          <w:sz w:val="20"/>
        </w:rPr>
        <w:t>could</w:t>
      </w:r>
      <w:r>
        <w:rPr>
          <w:color w:val="231F20"/>
          <w:spacing w:val="-9"/>
          <w:sz w:val="20"/>
        </w:rPr>
        <w:t xml:space="preserve"> </w:t>
      </w:r>
      <w:r>
        <w:rPr>
          <w:color w:val="231F20"/>
          <w:sz w:val="20"/>
        </w:rPr>
        <w:t>get</w:t>
      </w:r>
      <w:r>
        <w:rPr>
          <w:color w:val="231F20"/>
          <w:spacing w:val="-9"/>
          <w:sz w:val="20"/>
        </w:rPr>
        <w:t xml:space="preserve"> </w:t>
      </w:r>
      <w:r>
        <w:rPr>
          <w:color w:val="231F20"/>
          <w:sz w:val="20"/>
        </w:rPr>
        <w:t>a</w:t>
      </w:r>
      <w:r>
        <w:rPr>
          <w:color w:val="231F20"/>
          <w:spacing w:val="-9"/>
          <w:sz w:val="20"/>
        </w:rPr>
        <w:t xml:space="preserve"> </w:t>
      </w:r>
      <w:r>
        <w:rPr>
          <w:color w:val="231F20"/>
          <w:sz w:val="20"/>
        </w:rPr>
        <w:t>lawyer</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the</w:t>
      </w:r>
      <w:r>
        <w:rPr>
          <w:color w:val="231F20"/>
          <w:spacing w:val="-9"/>
          <w:sz w:val="20"/>
        </w:rPr>
        <w:t xml:space="preserve"> </w:t>
      </w:r>
      <w:r>
        <w:rPr>
          <w:color w:val="231F20"/>
          <w:sz w:val="20"/>
        </w:rPr>
        <w:t>purposes</w:t>
      </w:r>
      <w:r>
        <w:rPr>
          <w:color w:val="231F20"/>
          <w:spacing w:val="-9"/>
          <w:sz w:val="20"/>
        </w:rPr>
        <w:t xml:space="preserve"> </w:t>
      </w:r>
      <w:r>
        <w:rPr>
          <w:color w:val="231F20"/>
          <w:sz w:val="20"/>
        </w:rPr>
        <w:t>of</w:t>
      </w:r>
      <w:r>
        <w:rPr>
          <w:color w:val="231F20"/>
          <w:spacing w:val="-9"/>
          <w:sz w:val="20"/>
        </w:rPr>
        <w:t xml:space="preserve"> </w:t>
      </w:r>
      <w:r>
        <w:rPr>
          <w:color w:val="231F20"/>
          <w:spacing w:val="-3"/>
          <w:sz w:val="20"/>
        </w:rPr>
        <w:t xml:space="preserve">cross- </w:t>
      </w:r>
      <w:r>
        <w:rPr>
          <w:color w:val="231F20"/>
          <w:sz w:val="20"/>
        </w:rPr>
        <w:t>examination.</w:t>
      </w:r>
    </w:p>
    <w:p w14:paraId="1D209D32" w14:textId="77777777" w:rsidR="00894070" w:rsidRDefault="009B7AFD">
      <w:pPr>
        <w:pStyle w:val="ListParagraph"/>
        <w:numPr>
          <w:ilvl w:val="1"/>
          <w:numId w:val="102"/>
        </w:numPr>
        <w:tabs>
          <w:tab w:val="left" w:pos="1801"/>
          <w:tab w:val="left" w:pos="1802"/>
        </w:tabs>
        <w:spacing w:before="124" w:line="206" w:lineRule="auto"/>
        <w:ind w:right="1501"/>
        <w:rPr>
          <w:sz w:val="11"/>
        </w:rPr>
      </w:pPr>
      <w:r>
        <w:rPr>
          <w:color w:val="231F20"/>
          <w:spacing w:val="-6"/>
          <w:sz w:val="20"/>
        </w:rPr>
        <w:t xml:space="preserve">We </w:t>
      </w:r>
      <w:r>
        <w:rPr>
          <w:color w:val="231F20"/>
          <w:sz w:val="20"/>
        </w:rPr>
        <w:t xml:space="preserve">recommend that </w:t>
      </w:r>
      <w:r>
        <w:rPr>
          <w:color w:val="231F20"/>
          <w:spacing w:val="-3"/>
          <w:sz w:val="20"/>
        </w:rPr>
        <w:t xml:space="preserve">unrepresented </w:t>
      </w:r>
      <w:r>
        <w:rPr>
          <w:color w:val="231F20"/>
          <w:sz w:val="20"/>
        </w:rPr>
        <w:t xml:space="preserve">applicants or </w:t>
      </w:r>
      <w:r>
        <w:rPr>
          <w:color w:val="231F20"/>
          <w:spacing w:val="-3"/>
          <w:sz w:val="20"/>
        </w:rPr>
        <w:t xml:space="preserve">protected </w:t>
      </w:r>
      <w:r>
        <w:rPr>
          <w:color w:val="231F20"/>
          <w:sz w:val="20"/>
        </w:rPr>
        <w:t xml:space="preserve">persons should </w:t>
      </w:r>
      <w:r>
        <w:rPr>
          <w:color w:val="231F20"/>
          <w:spacing w:val="-4"/>
          <w:sz w:val="20"/>
        </w:rPr>
        <w:t xml:space="preserve">have </w:t>
      </w:r>
      <w:r>
        <w:rPr>
          <w:color w:val="231F20"/>
          <w:sz w:val="20"/>
        </w:rPr>
        <w:t>the</w:t>
      </w:r>
      <w:r>
        <w:rPr>
          <w:color w:val="231F20"/>
          <w:spacing w:val="-6"/>
          <w:sz w:val="20"/>
        </w:rPr>
        <w:t xml:space="preserve"> </w:t>
      </w:r>
      <w:r>
        <w:rPr>
          <w:color w:val="231F20"/>
          <w:sz w:val="20"/>
        </w:rPr>
        <w:t>same</w:t>
      </w:r>
      <w:r>
        <w:rPr>
          <w:color w:val="231F20"/>
          <w:spacing w:val="-6"/>
          <w:sz w:val="20"/>
        </w:rPr>
        <w:t xml:space="preserve"> </w:t>
      </w:r>
      <w:proofErr w:type="gramStart"/>
      <w:r>
        <w:rPr>
          <w:color w:val="231F20"/>
          <w:spacing w:val="-3"/>
          <w:sz w:val="20"/>
        </w:rPr>
        <w:t>protection,</w:t>
      </w:r>
      <w:r>
        <w:rPr>
          <w:color w:val="231F20"/>
          <w:spacing w:val="-6"/>
          <w:sz w:val="20"/>
        </w:rPr>
        <w:t xml:space="preserve"> </w:t>
      </w:r>
      <w:r>
        <w:rPr>
          <w:color w:val="231F20"/>
          <w:sz w:val="20"/>
        </w:rPr>
        <w:t>and</w:t>
      </w:r>
      <w:proofErr w:type="gramEnd"/>
      <w:r>
        <w:rPr>
          <w:color w:val="231F20"/>
          <w:spacing w:val="-6"/>
          <w:sz w:val="20"/>
        </w:rPr>
        <w:t xml:space="preserve"> </w:t>
      </w:r>
      <w:r>
        <w:rPr>
          <w:color w:val="231F20"/>
          <w:sz w:val="20"/>
        </w:rPr>
        <w:t>be</w:t>
      </w:r>
      <w:r>
        <w:rPr>
          <w:color w:val="231F20"/>
          <w:spacing w:val="-6"/>
          <w:sz w:val="20"/>
        </w:rPr>
        <w:t xml:space="preserve"> </w:t>
      </w:r>
      <w:r>
        <w:rPr>
          <w:color w:val="231F20"/>
          <w:spacing w:val="-3"/>
          <w:sz w:val="20"/>
        </w:rPr>
        <w:t>provided</w:t>
      </w:r>
      <w:r>
        <w:rPr>
          <w:color w:val="231F20"/>
          <w:spacing w:val="-6"/>
          <w:sz w:val="20"/>
        </w:rPr>
        <w:t xml:space="preserve"> </w:t>
      </w:r>
      <w:r>
        <w:rPr>
          <w:color w:val="231F20"/>
          <w:sz w:val="20"/>
        </w:rPr>
        <w:t>with</w:t>
      </w:r>
      <w:r>
        <w:rPr>
          <w:color w:val="231F20"/>
          <w:spacing w:val="-6"/>
          <w:sz w:val="20"/>
        </w:rPr>
        <w:t xml:space="preserve"> </w:t>
      </w:r>
      <w:r>
        <w:rPr>
          <w:color w:val="231F20"/>
          <w:sz w:val="20"/>
        </w:rPr>
        <w:t>a</w:t>
      </w:r>
      <w:r>
        <w:rPr>
          <w:color w:val="231F20"/>
          <w:spacing w:val="-6"/>
          <w:sz w:val="20"/>
        </w:rPr>
        <w:t xml:space="preserve"> </w:t>
      </w:r>
      <w:r>
        <w:rPr>
          <w:color w:val="231F20"/>
          <w:sz w:val="20"/>
        </w:rPr>
        <w:t>lawyer</w:t>
      </w:r>
      <w:r>
        <w:rPr>
          <w:color w:val="231F20"/>
          <w:spacing w:val="-6"/>
          <w:sz w:val="20"/>
        </w:rPr>
        <w:t xml:space="preserve"> </w:t>
      </w:r>
      <w:r>
        <w:rPr>
          <w:color w:val="231F20"/>
          <w:spacing w:val="-3"/>
          <w:sz w:val="20"/>
        </w:rPr>
        <w:t>by</w:t>
      </w:r>
      <w:r>
        <w:rPr>
          <w:color w:val="231F20"/>
          <w:spacing w:val="-6"/>
          <w:sz w:val="20"/>
        </w:rPr>
        <w:t xml:space="preserve"> </w:t>
      </w:r>
      <w:r>
        <w:rPr>
          <w:color w:val="231F20"/>
          <w:sz w:val="20"/>
        </w:rPr>
        <w:t>Legal</w:t>
      </w:r>
      <w:r>
        <w:rPr>
          <w:color w:val="231F20"/>
          <w:spacing w:val="-6"/>
          <w:sz w:val="20"/>
        </w:rPr>
        <w:t xml:space="preserve"> </w:t>
      </w:r>
      <w:r>
        <w:rPr>
          <w:color w:val="231F20"/>
          <w:sz w:val="20"/>
        </w:rPr>
        <w:t>Aid</w:t>
      </w:r>
      <w:r>
        <w:rPr>
          <w:color w:val="231F20"/>
          <w:spacing w:val="-6"/>
          <w:sz w:val="20"/>
        </w:rPr>
        <w:t xml:space="preserve"> </w:t>
      </w:r>
      <w:r>
        <w:rPr>
          <w:color w:val="231F20"/>
          <w:sz w:val="20"/>
        </w:rPr>
        <w:t>if</w:t>
      </w:r>
      <w:r>
        <w:rPr>
          <w:color w:val="231F20"/>
          <w:spacing w:val="-6"/>
          <w:sz w:val="20"/>
        </w:rPr>
        <w:t xml:space="preserve"> </w:t>
      </w:r>
      <w:r>
        <w:rPr>
          <w:color w:val="231F20"/>
          <w:sz w:val="20"/>
        </w:rPr>
        <w:t>they</w:t>
      </w:r>
      <w:r>
        <w:rPr>
          <w:color w:val="231F20"/>
          <w:spacing w:val="-6"/>
          <w:sz w:val="20"/>
        </w:rPr>
        <w:t xml:space="preserve"> </w:t>
      </w:r>
      <w:r>
        <w:rPr>
          <w:color w:val="231F20"/>
          <w:spacing w:val="-3"/>
          <w:sz w:val="20"/>
        </w:rPr>
        <w:t>are</w:t>
      </w:r>
      <w:r>
        <w:rPr>
          <w:color w:val="231F20"/>
          <w:spacing w:val="-6"/>
          <w:sz w:val="20"/>
        </w:rPr>
        <w:t xml:space="preserve"> </w:t>
      </w:r>
      <w:r>
        <w:rPr>
          <w:color w:val="231F20"/>
          <w:sz w:val="20"/>
        </w:rPr>
        <w:t>going</w:t>
      </w:r>
      <w:r>
        <w:rPr>
          <w:color w:val="231F20"/>
          <w:spacing w:val="-5"/>
          <w:sz w:val="20"/>
        </w:rPr>
        <w:t xml:space="preserve"> </w:t>
      </w:r>
      <w:r>
        <w:rPr>
          <w:color w:val="231F20"/>
          <w:sz w:val="20"/>
        </w:rPr>
        <w:t>to be</w:t>
      </w:r>
      <w:r>
        <w:rPr>
          <w:color w:val="231F20"/>
          <w:spacing w:val="-9"/>
          <w:sz w:val="20"/>
        </w:rPr>
        <w:t xml:space="preserve"> </w:t>
      </w:r>
      <w:r>
        <w:rPr>
          <w:color w:val="231F20"/>
          <w:sz w:val="20"/>
        </w:rPr>
        <w:t>cross-examined</w:t>
      </w:r>
      <w:r>
        <w:rPr>
          <w:color w:val="231F20"/>
          <w:spacing w:val="-8"/>
          <w:sz w:val="20"/>
        </w:rPr>
        <w:t xml:space="preserve"> </w:t>
      </w:r>
      <w:r>
        <w:rPr>
          <w:color w:val="231F20"/>
          <w:spacing w:val="-3"/>
          <w:sz w:val="20"/>
        </w:rPr>
        <w:t>by</w:t>
      </w:r>
      <w:r>
        <w:rPr>
          <w:color w:val="231F20"/>
          <w:spacing w:val="-8"/>
          <w:sz w:val="20"/>
        </w:rPr>
        <w:t xml:space="preserve"> </w:t>
      </w:r>
      <w:r>
        <w:rPr>
          <w:color w:val="231F20"/>
          <w:sz w:val="20"/>
        </w:rPr>
        <w:t>a</w:t>
      </w:r>
      <w:r>
        <w:rPr>
          <w:color w:val="231F20"/>
          <w:spacing w:val="-8"/>
          <w:sz w:val="20"/>
        </w:rPr>
        <w:t xml:space="preserve"> </w:t>
      </w:r>
      <w:r>
        <w:rPr>
          <w:color w:val="231F20"/>
          <w:sz w:val="20"/>
        </w:rPr>
        <w:t>lawyer</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the</w:t>
      </w:r>
      <w:r>
        <w:rPr>
          <w:color w:val="231F20"/>
          <w:spacing w:val="-9"/>
          <w:sz w:val="20"/>
        </w:rPr>
        <w:t xml:space="preserve"> </w:t>
      </w:r>
      <w:r>
        <w:rPr>
          <w:color w:val="231F20"/>
          <w:sz w:val="20"/>
        </w:rPr>
        <w:t>respondent.</w:t>
      </w:r>
      <w:r>
        <w:rPr>
          <w:color w:val="231F20"/>
          <w:spacing w:val="-8"/>
          <w:sz w:val="20"/>
        </w:rPr>
        <w:t xml:space="preserve"> </w:t>
      </w:r>
      <w:r>
        <w:rPr>
          <w:color w:val="231F20"/>
          <w:sz w:val="20"/>
        </w:rPr>
        <w:t>This</w:t>
      </w:r>
      <w:r>
        <w:rPr>
          <w:color w:val="231F20"/>
          <w:spacing w:val="-8"/>
          <w:sz w:val="20"/>
        </w:rPr>
        <w:t xml:space="preserve"> </w:t>
      </w:r>
      <w:r>
        <w:rPr>
          <w:color w:val="231F20"/>
          <w:spacing w:val="-3"/>
          <w:sz w:val="20"/>
        </w:rPr>
        <w:t>protection</w:t>
      </w:r>
      <w:r>
        <w:rPr>
          <w:color w:val="231F20"/>
          <w:spacing w:val="-8"/>
          <w:sz w:val="20"/>
        </w:rPr>
        <w:t xml:space="preserve"> </w:t>
      </w:r>
      <w:r>
        <w:rPr>
          <w:color w:val="231F20"/>
          <w:sz w:val="20"/>
        </w:rPr>
        <w:t>also</w:t>
      </w:r>
      <w:r>
        <w:rPr>
          <w:color w:val="231F20"/>
          <w:spacing w:val="-8"/>
          <w:sz w:val="20"/>
        </w:rPr>
        <w:t xml:space="preserve"> </w:t>
      </w:r>
      <w:r>
        <w:rPr>
          <w:color w:val="231F20"/>
          <w:sz w:val="20"/>
        </w:rPr>
        <w:t>exists</w:t>
      </w:r>
      <w:r>
        <w:rPr>
          <w:color w:val="231F20"/>
          <w:spacing w:val="-8"/>
          <w:sz w:val="20"/>
        </w:rPr>
        <w:t xml:space="preserve"> </w:t>
      </w:r>
      <w:r>
        <w:rPr>
          <w:color w:val="231F20"/>
          <w:sz w:val="20"/>
        </w:rPr>
        <w:t>in</w:t>
      </w:r>
      <w:r>
        <w:rPr>
          <w:color w:val="231F20"/>
          <w:spacing w:val="-8"/>
          <w:sz w:val="20"/>
        </w:rPr>
        <w:t xml:space="preserve"> </w:t>
      </w:r>
      <w:r>
        <w:rPr>
          <w:color w:val="231F20"/>
          <w:sz w:val="20"/>
        </w:rPr>
        <w:t>the FVPA.</w:t>
      </w:r>
      <w:r>
        <w:rPr>
          <w:color w:val="231F20"/>
          <w:position w:val="7"/>
          <w:sz w:val="11"/>
        </w:rPr>
        <w:t>158</w:t>
      </w:r>
    </w:p>
    <w:p w14:paraId="073B588A" w14:textId="77777777" w:rsidR="00894070" w:rsidRDefault="009B7AFD">
      <w:pPr>
        <w:pStyle w:val="ListParagraph"/>
        <w:numPr>
          <w:ilvl w:val="1"/>
          <w:numId w:val="102"/>
        </w:numPr>
        <w:tabs>
          <w:tab w:val="left" w:pos="1801"/>
          <w:tab w:val="left" w:pos="1802"/>
        </w:tabs>
        <w:spacing w:before="93"/>
        <w:rPr>
          <w:sz w:val="20"/>
        </w:rPr>
      </w:pPr>
      <w:r>
        <w:rPr>
          <w:color w:val="231F20"/>
          <w:sz w:val="20"/>
        </w:rPr>
        <w:t>Victoria</w:t>
      </w:r>
      <w:r>
        <w:rPr>
          <w:color w:val="231F20"/>
          <w:spacing w:val="-5"/>
          <w:sz w:val="20"/>
        </w:rPr>
        <w:t xml:space="preserve"> </w:t>
      </w:r>
      <w:r>
        <w:rPr>
          <w:color w:val="231F20"/>
          <w:sz w:val="20"/>
        </w:rPr>
        <w:t>Legal</w:t>
      </w:r>
      <w:r>
        <w:rPr>
          <w:color w:val="231F20"/>
          <w:spacing w:val="-5"/>
          <w:sz w:val="20"/>
        </w:rPr>
        <w:t xml:space="preserve"> </w:t>
      </w:r>
      <w:r>
        <w:rPr>
          <w:color w:val="231F20"/>
          <w:sz w:val="20"/>
        </w:rPr>
        <w:t>Aid</w:t>
      </w:r>
      <w:r>
        <w:rPr>
          <w:color w:val="231F20"/>
          <w:spacing w:val="-5"/>
          <w:sz w:val="20"/>
        </w:rPr>
        <w:t xml:space="preserve"> </w:t>
      </w:r>
      <w:r>
        <w:rPr>
          <w:color w:val="231F20"/>
          <w:sz w:val="20"/>
        </w:rPr>
        <w:t>should</w:t>
      </w:r>
      <w:r>
        <w:rPr>
          <w:color w:val="231F20"/>
          <w:spacing w:val="-5"/>
          <w:sz w:val="20"/>
        </w:rPr>
        <w:t xml:space="preserve"> </w:t>
      </w:r>
      <w:r>
        <w:rPr>
          <w:color w:val="231F20"/>
          <w:sz w:val="20"/>
        </w:rPr>
        <w:t>be</w:t>
      </w:r>
      <w:r>
        <w:rPr>
          <w:color w:val="231F20"/>
          <w:spacing w:val="-5"/>
          <w:sz w:val="20"/>
        </w:rPr>
        <w:t xml:space="preserve"> </w:t>
      </w:r>
      <w:r>
        <w:rPr>
          <w:color w:val="231F20"/>
          <w:sz w:val="20"/>
        </w:rPr>
        <w:t>funded</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provide</w:t>
      </w:r>
      <w:r>
        <w:rPr>
          <w:color w:val="231F20"/>
          <w:spacing w:val="-5"/>
          <w:sz w:val="20"/>
        </w:rPr>
        <w:t xml:space="preserve"> </w:t>
      </w:r>
      <w:r>
        <w:rPr>
          <w:color w:val="231F20"/>
          <w:sz w:val="20"/>
        </w:rPr>
        <w:t>this</w:t>
      </w:r>
      <w:r>
        <w:rPr>
          <w:color w:val="231F20"/>
          <w:spacing w:val="-5"/>
          <w:sz w:val="20"/>
        </w:rPr>
        <w:t xml:space="preserve"> </w:t>
      </w:r>
      <w:r>
        <w:rPr>
          <w:color w:val="231F20"/>
          <w:spacing w:val="-3"/>
          <w:sz w:val="20"/>
        </w:rPr>
        <w:t>representation</w:t>
      </w:r>
      <w:r>
        <w:rPr>
          <w:color w:val="231F20"/>
          <w:spacing w:val="-5"/>
          <w:sz w:val="20"/>
        </w:rPr>
        <w:t xml:space="preserve"> </w:t>
      </w:r>
      <w:r>
        <w:rPr>
          <w:color w:val="231F20"/>
          <w:sz w:val="20"/>
        </w:rPr>
        <w:t>in</w:t>
      </w:r>
      <w:r>
        <w:rPr>
          <w:color w:val="231F20"/>
          <w:spacing w:val="-5"/>
          <w:sz w:val="20"/>
        </w:rPr>
        <w:t xml:space="preserve"> </w:t>
      </w:r>
      <w:r>
        <w:rPr>
          <w:color w:val="231F20"/>
          <w:sz w:val="20"/>
        </w:rPr>
        <w:t>PSIO</w:t>
      </w:r>
      <w:r>
        <w:rPr>
          <w:color w:val="231F20"/>
          <w:spacing w:val="-5"/>
          <w:sz w:val="20"/>
        </w:rPr>
        <w:t xml:space="preserve"> </w:t>
      </w:r>
      <w:r>
        <w:rPr>
          <w:color w:val="231F20"/>
          <w:sz w:val="20"/>
        </w:rPr>
        <w:t>matters.</w:t>
      </w:r>
    </w:p>
    <w:p w14:paraId="0AC063A7" w14:textId="77777777" w:rsidR="00894070" w:rsidRDefault="00894070">
      <w:pPr>
        <w:pStyle w:val="BodyText"/>
      </w:pPr>
    </w:p>
    <w:p w14:paraId="11BBB604" w14:textId="77777777" w:rsidR="00894070" w:rsidRDefault="00894070">
      <w:pPr>
        <w:pStyle w:val="BodyText"/>
      </w:pPr>
    </w:p>
    <w:p w14:paraId="694281B4" w14:textId="77777777" w:rsidR="00894070" w:rsidRDefault="00894070">
      <w:pPr>
        <w:pStyle w:val="BodyText"/>
      </w:pPr>
    </w:p>
    <w:p w14:paraId="3776D6D2" w14:textId="77777777" w:rsidR="00894070" w:rsidRDefault="00894070">
      <w:pPr>
        <w:pStyle w:val="BodyText"/>
      </w:pPr>
    </w:p>
    <w:p w14:paraId="651BF680" w14:textId="77777777" w:rsidR="00894070" w:rsidRDefault="00894070">
      <w:pPr>
        <w:pStyle w:val="BodyText"/>
      </w:pPr>
    </w:p>
    <w:p w14:paraId="7CCC7FE3" w14:textId="77777777" w:rsidR="00894070" w:rsidRDefault="00894070">
      <w:pPr>
        <w:pStyle w:val="BodyText"/>
      </w:pPr>
    </w:p>
    <w:p w14:paraId="4C531D2D" w14:textId="77777777" w:rsidR="00894070" w:rsidRDefault="00894070">
      <w:pPr>
        <w:pStyle w:val="BodyText"/>
      </w:pPr>
    </w:p>
    <w:p w14:paraId="2B932EFA" w14:textId="77777777" w:rsidR="00894070" w:rsidRDefault="00894070">
      <w:pPr>
        <w:pStyle w:val="BodyText"/>
      </w:pPr>
    </w:p>
    <w:p w14:paraId="487DE850" w14:textId="77777777" w:rsidR="00894070" w:rsidRDefault="00894070">
      <w:pPr>
        <w:pStyle w:val="BodyText"/>
      </w:pPr>
    </w:p>
    <w:p w14:paraId="21462772" w14:textId="77777777" w:rsidR="00894070" w:rsidRDefault="00894070">
      <w:pPr>
        <w:pStyle w:val="BodyText"/>
      </w:pPr>
    </w:p>
    <w:p w14:paraId="1B6406D9" w14:textId="77777777" w:rsidR="00894070" w:rsidRDefault="009F6793">
      <w:pPr>
        <w:pStyle w:val="BodyText"/>
        <w:spacing w:before="12"/>
        <w:rPr>
          <w:sz w:val="25"/>
        </w:rPr>
      </w:pPr>
      <w:r>
        <w:pict w14:anchorId="645D2916">
          <v:line id="_x0000_s1302" style="position:absolute;z-index:251679744;mso-wrap-distance-left:0;mso-wrap-distance-right:0;mso-position-horizontal-relative:page" from="79.35pt,20.45pt" to="515.9pt,20.45pt" strokecolor="#f8cabc" strokeweight="1pt">
            <w10:wrap type="topAndBottom" anchorx="page"/>
          </v:line>
        </w:pict>
      </w:r>
    </w:p>
    <w:p w14:paraId="676782C7" w14:textId="77777777" w:rsidR="00894070" w:rsidRDefault="00894070">
      <w:pPr>
        <w:pStyle w:val="BodyText"/>
        <w:rPr>
          <w:sz w:val="5"/>
        </w:rPr>
      </w:pPr>
    </w:p>
    <w:p w14:paraId="0911053B" w14:textId="77777777" w:rsidR="00894070" w:rsidRDefault="00894070">
      <w:pPr>
        <w:rPr>
          <w:sz w:val="5"/>
        </w:rPr>
        <w:sectPr w:rsidR="00894070">
          <w:pgSz w:w="11910" w:h="16840"/>
          <w:pgMar w:top="840" w:right="420" w:bottom="280" w:left="580" w:header="0" w:footer="0" w:gutter="0"/>
          <w:cols w:space="720"/>
        </w:sectPr>
      </w:pPr>
    </w:p>
    <w:p w14:paraId="6D02625A" w14:textId="77777777" w:rsidR="00894070" w:rsidRDefault="009B7AFD">
      <w:pPr>
        <w:pStyle w:val="ListParagraph"/>
        <w:numPr>
          <w:ilvl w:val="0"/>
          <w:numId w:val="85"/>
        </w:numPr>
        <w:tabs>
          <w:tab w:val="left" w:pos="1800"/>
          <w:tab w:val="left" w:pos="1802"/>
        </w:tabs>
        <w:spacing w:before="21" w:line="170" w:lineRule="exact"/>
        <w:jc w:val="lef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 Centres); Consultation 19 (Community legal sector</w:t>
      </w:r>
      <w:r>
        <w:rPr>
          <w:color w:val="231F20"/>
          <w:spacing w:val="32"/>
          <w:sz w:val="13"/>
        </w:rPr>
        <w:t xml:space="preserve"> </w:t>
      </w:r>
      <w:r>
        <w:rPr>
          <w:color w:val="231F20"/>
          <w:sz w:val="13"/>
        </w:rPr>
        <w:t>roundtable).</w:t>
      </w:r>
    </w:p>
    <w:p w14:paraId="0F840033" w14:textId="77777777" w:rsidR="00894070" w:rsidRDefault="009B7AFD">
      <w:pPr>
        <w:pStyle w:val="ListParagraph"/>
        <w:numPr>
          <w:ilvl w:val="0"/>
          <w:numId w:val="85"/>
        </w:numPr>
        <w:tabs>
          <w:tab w:val="left" w:pos="1800"/>
          <w:tab w:val="left" w:pos="1802"/>
        </w:tabs>
        <w:spacing w:line="160" w:lineRule="exact"/>
        <w:jc w:val="left"/>
        <w:rPr>
          <w:sz w:val="13"/>
        </w:rPr>
      </w:pPr>
      <w:r>
        <w:rPr>
          <w:color w:val="231F20"/>
          <w:sz w:val="13"/>
        </w:rPr>
        <w:t>Consultations 13 (Victoria Legal Aid), 19 (Community legal sector</w:t>
      </w:r>
      <w:r>
        <w:rPr>
          <w:color w:val="231F20"/>
          <w:spacing w:val="10"/>
          <w:sz w:val="13"/>
        </w:rPr>
        <w:t xml:space="preserve"> </w:t>
      </w:r>
      <w:r>
        <w:rPr>
          <w:color w:val="231F20"/>
          <w:sz w:val="13"/>
        </w:rPr>
        <w:t>roundtable).</w:t>
      </w:r>
    </w:p>
    <w:p w14:paraId="56084E69" w14:textId="77777777" w:rsidR="00894070" w:rsidRDefault="009B7AFD">
      <w:pPr>
        <w:pStyle w:val="ListParagraph"/>
        <w:numPr>
          <w:ilvl w:val="0"/>
          <w:numId w:val="85"/>
        </w:numPr>
        <w:tabs>
          <w:tab w:val="left" w:pos="1800"/>
          <w:tab w:val="left" w:pos="1802"/>
        </w:tabs>
        <w:spacing w:line="160" w:lineRule="exact"/>
        <w:jc w:val="left"/>
        <w:rPr>
          <w:sz w:val="13"/>
        </w:rPr>
      </w:pPr>
      <w:r>
        <w:rPr>
          <w:color w:val="231F20"/>
          <w:sz w:val="13"/>
        </w:rPr>
        <w:t>Consultation 13 (Victoria Legal</w:t>
      </w:r>
      <w:r>
        <w:rPr>
          <w:color w:val="231F20"/>
          <w:spacing w:val="1"/>
          <w:sz w:val="13"/>
        </w:rPr>
        <w:t xml:space="preserve"> </w:t>
      </w:r>
      <w:r>
        <w:rPr>
          <w:color w:val="231F20"/>
          <w:sz w:val="13"/>
        </w:rPr>
        <w:t>Aid).</w:t>
      </w:r>
    </w:p>
    <w:p w14:paraId="17B50097" w14:textId="77777777" w:rsidR="00894070" w:rsidRDefault="009B7AFD">
      <w:pPr>
        <w:pStyle w:val="ListParagraph"/>
        <w:numPr>
          <w:ilvl w:val="0"/>
          <w:numId w:val="85"/>
        </w:numPr>
        <w:tabs>
          <w:tab w:val="left" w:pos="1801"/>
          <w:tab w:val="left" w:pos="1802"/>
        </w:tabs>
        <w:spacing w:line="160" w:lineRule="exact"/>
        <w:jc w:val="left"/>
        <w:rPr>
          <w:sz w:val="13"/>
        </w:rPr>
      </w:pPr>
      <w:r>
        <w:rPr>
          <w:color w:val="231F20"/>
          <w:sz w:val="13"/>
        </w:rPr>
        <w:t>Ibid.</w:t>
      </w:r>
    </w:p>
    <w:p w14:paraId="15E470A8" w14:textId="77777777" w:rsidR="00894070" w:rsidRDefault="009B7AFD">
      <w:pPr>
        <w:pStyle w:val="ListParagraph"/>
        <w:numPr>
          <w:ilvl w:val="0"/>
          <w:numId w:val="85"/>
        </w:numPr>
        <w:tabs>
          <w:tab w:val="left" w:pos="1800"/>
          <w:tab w:val="left" w:pos="1802"/>
        </w:tabs>
        <w:spacing w:before="7" w:line="213" w:lineRule="auto"/>
        <w:jc w:val="lef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 Centres); Consultations 13 (Victoria Legal Aid), 19 (Community legal sector roundtable).</w:t>
      </w:r>
    </w:p>
    <w:p w14:paraId="77C2A1AA" w14:textId="77777777" w:rsidR="00894070" w:rsidRDefault="009B7AFD">
      <w:pPr>
        <w:pStyle w:val="ListParagraph"/>
        <w:numPr>
          <w:ilvl w:val="0"/>
          <w:numId w:val="85"/>
        </w:numPr>
        <w:tabs>
          <w:tab w:val="left" w:pos="1800"/>
          <w:tab w:val="left" w:pos="1802"/>
        </w:tabs>
        <w:spacing w:line="153" w:lineRule="exact"/>
        <w:jc w:val="left"/>
        <w:rPr>
          <w:sz w:val="13"/>
        </w:rPr>
      </w:pPr>
      <w:r>
        <w:rPr>
          <w:color w:val="231F20"/>
          <w:sz w:val="13"/>
        </w:rPr>
        <w:t>Consultation 19 (Community legal sector</w:t>
      </w:r>
      <w:r>
        <w:rPr>
          <w:color w:val="231F20"/>
          <w:spacing w:val="2"/>
          <w:sz w:val="13"/>
        </w:rPr>
        <w:t xml:space="preserve"> </w:t>
      </w:r>
      <w:r>
        <w:rPr>
          <w:color w:val="231F20"/>
          <w:sz w:val="13"/>
        </w:rPr>
        <w:t>roundtable).</w:t>
      </w:r>
    </w:p>
    <w:p w14:paraId="00C0DF49" w14:textId="77777777" w:rsidR="00894070" w:rsidRDefault="009B7AFD">
      <w:pPr>
        <w:pStyle w:val="ListParagraph"/>
        <w:numPr>
          <w:ilvl w:val="0"/>
          <w:numId w:val="85"/>
        </w:numPr>
        <w:tabs>
          <w:tab w:val="left" w:pos="1800"/>
          <w:tab w:val="left" w:pos="1802"/>
        </w:tabs>
        <w:spacing w:line="160" w:lineRule="exact"/>
        <w:jc w:val="left"/>
        <w:rPr>
          <w:sz w:val="13"/>
        </w:rPr>
      </w:pPr>
      <w:r>
        <w:rPr>
          <w:color w:val="231F20"/>
          <w:sz w:val="13"/>
        </w:rPr>
        <w:t>Consultation 13 (Victoria Legal</w:t>
      </w:r>
      <w:r>
        <w:rPr>
          <w:color w:val="231F20"/>
          <w:spacing w:val="1"/>
          <w:sz w:val="13"/>
        </w:rPr>
        <w:t xml:space="preserve"> </w:t>
      </w:r>
      <w:r>
        <w:rPr>
          <w:color w:val="231F20"/>
          <w:sz w:val="13"/>
        </w:rPr>
        <w:t>Aid).</w:t>
      </w:r>
    </w:p>
    <w:p w14:paraId="0242B5FC" w14:textId="77777777" w:rsidR="00894070" w:rsidRDefault="009B7AFD">
      <w:pPr>
        <w:pStyle w:val="ListParagraph"/>
        <w:numPr>
          <w:ilvl w:val="0"/>
          <w:numId w:val="85"/>
        </w:numPr>
        <w:tabs>
          <w:tab w:val="left" w:pos="1801"/>
          <w:tab w:val="left" w:pos="1802"/>
        </w:tabs>
        <w:spacing w:line="160" w:lineRule="exact"/>
        <w:jc w:val="left"/>
        <w:rPr>
          <w:sz w:val="13"/>
        </w:rPr>
      </w:pPr>
      <w:r>
        <w:rPr>
          <w:i/>
          <w:color w:val="231F20"/>
          <w:sz w:val="13"/>
        </w:rPr>
        <w:t xml:space="preserve">Family Violence Protection Act 2008 </w:t>
      </w:r>
      <w:r>
        <w:rPr>
          <w:color w:val="231F20"/>
          <w:sz w:val="13"/>
        </w:rPr>
        <w:t>(Vic) s</w:t>
      </w:r>
      <w:r>
        <w:rPr>
          <w:color w:val="231F20"/>
          <w:spacing w:val="2"/>
          <w:sz w:val="13"/>
        </w:rPr>
        <w:t xml:space="preserve"> </w:t>
      </w:r>
      <w:r>
        <w:rPr>
          <w:color w:val="231F20"/>
          <w:sz w:val="13"/>
        </w:rPr>
        <w:t>71(1).</w:t>
      </w:r>
    </w:p>
    <w:p w14:paraId="544C3C72" w14:textId="77777777" w:rsidR="00894070" w:rsidRDefault="009B7AFD">
      <w:pPr>
        <w:pStyle w:val="ListParagraph"/>
        <w:numPr>
          <w:ilvl w:val="0"/>
          <w:numId w:val="85"/>
        </w:numPr>
        <w:tabs>
          <w:tab w:val="left" w:pos="1801"/>
          <w:tab w:val="left" w:pos="1802"/>
        </w:tabs>
        <w:spacing w:line="170" w:lineRule="exact"/>
        <w:jc w:val="left"/>
        <w:rPr>
          <w:sz w:val="13"/>
        </w:rPr>
      </w:pPr>
      <w:r>
        <w:rPr>
          <w:color w:val="231F20"/>
          <w:sz w:val="13"/>
        </w:rPr>
        <w:t>Ibid s 72.</w:t>
      </w:r>
    </w:p>
    <w:p w14:paraId="0BB7B3B9" w14:textId="77777777" w:rsidR="00894070" w:rsidRDefault="009B7AFD">
      <w:pPr>
        <w:pStyle w:val="BodyText"/>
        <w:rPr>
          <w:sz w:val="28"/>
        </w:rPr>
      </w:pPr>
      <w:r>
        <w:br w:type="column"/>
      </w:r>
    </w:p>
    <w:p w14:paraId="21768452" w14:textId="77777777" w:rsidR="00894070" w:rsidRDefault="00894070">
      <w:pPr>
        <w:pStyle w:val="BodyText"/>
        <w:rPr>
          <w:sz w:val="28"/>
        </w:rPr>
      </w:pPr>
    </w:p>
    <w:p w14:paraId="5ABEF589" w14:textId="77777777" w:rsidR="00894070" w:rsidRDefault="00894070">
      <w:pPr>
        <w:pStyle w:val="BodyText"/>
        <w:spacing w:before="2"/>
        <w:rPr>
          <w:sz w:val="40"/>
        </w:rPr>
      </w:pPr>
    </w:p>
    <w:p w14:paraId="6ADE6800" w14:textId="77777777" w:rsidR="00894070" w:rsidRDefault="009B7AFD">
      <w:pPr>
        <w:pStyle w:val="Heading8"/>
        <w:ind w:left="998"/>
      </w:pPr>
      <w:r>
        <w:rPr>
          <w:color w:val="EA5B50"/>
        </w:rPr>
        <w:t>115</w:t>
      </w:r>
    </w:p>
    <w:p w14:paraId="7148C308" w14:textId="77777777" w:rsidR="00894070" w:rsidRDefault="00894070">
      <w:pPr>
        <w:sectPr w:rsidR="00894070">
          <w:type w:val="continuous"/>
          <w:pgSz w:w="11910" w:h="16840"/>
          <w:pgMar w:top="560" w:right="420" w:bottom="280" w:left="580" w:header="720" w:footer="720" w:gutter="0"/>
          <w:cols w:num="2" w:space="720" w:equalWidth="0">
            <w:col w:w="9311" w:space="40"/>
            <w:col w:w="1559"/>
          </w:cols>
        </w:sectPr>
      </w:pPr>
    </w:p>
    <w:p w14:paraId="0F6EEDA4" w14:textId="77777777" w:rsidR="00894070" w:rsidRDefault="00894070">
      <w:pPr>
        <w:pStyle w:val="BodyText"/>
        <w:rPr>
          <w:b/>
        </w:rPr>
      </w:pPr>
    </w:p>
    <w:p w14:paraId="2D9F5710" w14:textId="77777777" w:rsidR="00894070" w:rsidRDefault="00894070">
      <w:pPr>
        <w:pStyle w:val="BodyText"/>
        <w:rPr>
          <w:b/>
        </w:rPr>
      </w:pPr>
    </w:p>
    <w:p w14:paraId="54DBDA47" w14:textId="77777777" w:rsidR="00894070" w:rsidRDefault="00894070">
      <w:pPr>
        <w:pStyle w:val="BodyText"/>
        <w:rPr>
          <w:b/>
        </w:rPr>
      </w:pPr>
    </w:p>
    <w:p w14:paraId="1151AAFD" w14:textId="77777777" w:rsidR="00894070" w:rsidRDefault="00894070">
      <w:pPr>
        <w:pStyle w:val="BodyText"/>
        <w:spacing w:before="10"/>
        <w:rPr>
          <w:b/>
          <w:sz w:val="28"/>
        </w:rPr>
      </w:pPr>
    </w:p>
    <w:p w14:paraId="0519738C" w14:textId="77777777" w:rsidR="00894070" w:rsidRDefault="009F6793">
      <w:pPr>
        <w:spacing w:before="31"/>
        <w:ind w:left="1234"/>
        <w:rPr>
          <w:rFonts w:ascii="Raleway ExtraBold"/>
          <w:b/>
          <w:sz w:val="32"/>
        </w:rPr>
      </w:pPr>
      <w:r>
        <w:pict w14:anchorId="64FE0D4D">
          <v:group id="_x0000_s1299" style="position:absolute;left:0;text-align:left;margin-left:62.35pt;margin-top:-6.35pt;width:479.1pt;height:350.7pt;z-index:-251493376;mso-position-horizontal-relative:page" coordorigin="1247,-127" coordsize="9582,7014">
            <v:rect id="_x0000_s1301" style="position:absolute;left:1587;top:-128;width:8731;height:7014" fillcolor="#fee7de" stroked="f"/>
            <v:line id="_x0000_s1300" style="position:absolute" from="1247,680" to="10828,680" strokecolor="white" strokeweight="2.5pt"/>
            <w10:wrap anchorx="page"/>
          </v:group>
        </w:pict>
      </w:r>
      <w:bookmarkStart w:id="131" w:name="Legal_representation_and_support_should_"/>
      <w:bookmarkStart w:id="132" w:name="_bookmark77"/>
      <w:bookmarkEnd w:id="131"/>
      <w:bookmarkEnd w:id="132"/>
      <w:r w:rsidR="009B7AFD">
        <w:rPr>
          <w:rFonts w:ascii="Raleway ExtraBold"/>
          <w:b/>
          <w:color w:val="EA5B50"/>
          <w:sz w:val="32"/>
        </w:rPr>
        <w:t>Recommendations</w:t>
      </w:r>
    </w:p>
    <w:p w14:paraId="3C7267D9" w14:textId="77777777" w:rsidR="00894070" w:rsidRDefault="00894070">
      <w:pPr>
        <w:pStyle w:val="BodyText"/>
        <w:spacing w:before="1"/>
        <w:rPr>
          <w:rFonts w:ascii="Raleway ExtraBold"/>
          <w:b/>
          <w:sz w:val="31"/>
        </w:rPr>
      </w:pPr>
    </w:p>
    <w:p w14:paraId="0C06CD32" w14:textId="77777777" w:rsidR="00894070" w:rsidRDefault="009B7AFD">
      <w:pPr>
        <w:pStyle w:val="ListParagraph"/>
        <w:numPr>
          <w:ilvl w:val="0"/>
          <w:numId w:val="84"/>
        </w:numPr>
        <w:tabs>
          <w:tab w:val="left" w:pos="1801"/>
          <w:tab w:val="left" w:pos="1802"/>
          <w:tab w:val="left" w:pos="2368"/>
        </w:tabs>
        <w:spacing w:line="247" w:lineRule="auto"/>
        <w:ind w:right="1748" w:hanging="1134"/>
        <w:rPr>
          <w:rFonts w:ascii="Trebuchet MS" w:hAnsi="Trebuchet MS"/>
          <w:sz w:val="20"/>
        </w:rPr>
      </w:pPr>
      <w:r>
        <w:rPr>
          <w:rFonts w:ascii="Trebuchet MS" w:hAnsi="Trebuchet MS"/>
          <w:color w:val="231F20"/>
          <w:w w:val="105"/>
          <w:sz w:val="20"/>
        </w:rPr>
        <w:t>a.</w:t>
      </w:r>
      <w:r>
        <w:rPr>
          <w:rFonts w:ascii="Trebuchet MS" w:hAnsi="Trebuchet MS"/>
          <w:color w:val="231F20"/>
          <w:w w:val="105"/>
          <w:sz w:val="20"/>
        </w:rPr>
        <w:tab/>
        <w:t>The</w:t>
      </w:r>
      <w:r>
        <w:rPr>
          <w:rFonts w:ascii="Trebuchet MS" w:hAnsi="Trebuchet MS"/>
          <w:color w:val="231F20"/>
          <w:spacing w:val="-25"/>
          <w:w w:val="105"/>
          <w:sz w:val="20"/>
        </w:rPr>
        <w:t xml:space="preserve"> </w:t>
      </w:r>
      <w:r>
        <w:rPr>
          <w:rFonts w:ascii="Trebuchet MS" w:hAnsi="Trebuchet MS"/>
          <w:color w:val="231F20"/>
          <w:w w:val="105"/>
          <w:sz w:val="20"/>
        </w:rPr>
        <w:t>Victorian</w:t>
      </w:r>
      <w:r>
        <w:rPr>
          <w:rFonts w:ascii="Trebuchet MS" w:hAnsi="Trebuchet MS"/>
          <w:color w:val="231F20"/>
          <w:spacing w:val="-24"/>
          <w:w w:val="105"/>
          <w:sz w:val="20"/>
        </w:rPr>
        <w:t xml:space="preserve"> </w:t>
      </w:r>
      <w:r>
        <w:rPr>
          <w:rFonts w:ascii="Trebuchet MS" w:hAnsi="Trebuchet MS"/>
          <w:color w:val="231F20"/>
          <w:spacing w:val="-3"/>
          <w:w w:val="105"/>
          <w:sz w:val="20"/>
        </w:rPr>
        <w:t>Government</w:t>
      </w:r>
      <w:r>
        <w:rPr>
          <w:rFonts w:ascii="Trebuchet MS" w:hAnsi="Trebuchet MS"/>
          <w:color w:val="231F20"/>
          <w:spacing w:val="-24"/>
          <w:w w:val="105"/>
          <w:sz w:val="20"/>
        </w:rPr>
        <w:t xml:space="preserve"> </w:t>
      </w:r>
      <w:r>
        <w:rPr>
          <w:rFonts w:ascii="Trebuchet MS" w:hAnsi="Trebuchet MS"/>
          <w:color w:val="231F20"/>
          <w:w w:val="105"/>
          <w:sz w:val="20"/>
        </w:rPr>
        <w:t>should</w:t>
      </w:r>
      <w:r>
        <w:rPr>
          <w:rFonts w:ascii="Trebuchet MS" w:hAnsi="Trebuchet MS"/>
          <w:color w:val="231F20"/>
          <w:spacing w:val="-24"/>
          <w:w w:val="105"/>
          <w:sz w:val="20"/>
        </w:rPr>
        <w:t xml:space="preserve"> </w:t>
      </w:r>
      <w:r>
        <w:rPr>
          <w:rFonts w:ascii="Trebuchet MS" w:hAnsi="Trebuchet MS"/>
          <w:color w:val="231F20"/>
          <w:w w:val="105"/>
          <w:sz w:val="20"/>
        </w:rPr>
        <w:t>amend</w:t>
      </w:r>
      <w:r>
        <w:rPr>
          <w:rFonts w:ascii="Trebuchet MS" w:hAnsi="Trebuchet MS"/>
          <w:color w:val="231F20"/>
          <w:spacing w:val="-24"/>
          <w:w w:val="105"/>
          <w:sz w:val="20"/>
        </w:rPr>
        <w:t xml:space="preserve"> </w:t>
      </w:r>
      <w:r>
        <w:rPr>
          <w:rFonts w:ascii="Trebuchet MS" w:hAnsi="Trebuchet MS"/>
          <w:color w:val="231F20"/>
          <w:w w:val="105"/>
          <w:sz w:val="20"/>
        </w:rPr>
        <w:t>the</w:t>
      </w:r>
      <w:r>
        <w:rPr>
          <w:rFonts w:ascii="Trebuchet MS" w:hAnsi="Trebuchet MS"/>
          <w:color w:val="231F20"/>
          <w:spacing w:val="-24"/>
          <w:w w:val="105"/>
          <w:sz w:val="20"/>
        </w:rPr>
        <w:t xml:space="preserve"> </w:t>
      </w:r>
      <w:r>
        <w:rPr>
          <w:rFonts w:ascii="Arial" w:hAnsi="Arial"/>
          <w:i/>
          <w:color w:val="231F20"/>
          <w:w w:val="105"/>
          <w:sz w:val="20"/>
        </w:rPr>
        <w:t>Personal</w:t>
      </w:r>
      <w:r>
        <w:rPr>
          <w:rFonts w:ascii="Arial" w:hAnsi="Arial"/>
          <w:i/>
          <w:color w:val="231F20"/>
          <w:spacing w:val="-21"/>
          <w:w w:val="105"/>
          <w:sz w:val="20"/>
        </w:rPr>
        <w:t xml:space="preserve"> </w:t>
      </w:r>
      <w:r>
        <w:rPr>
          <w:rFonts w:ascii="Arial" w:hAnsi="Arial"/>
          <w:i/>
          <w:color w:val="231F20"/>
          <w:w w:val="105"/>
          <w:sz w:val="20"/>
        </w:rPr>
        <w:t>Safety</w:t>
      </w:r>
      <w:r>
        <w:rPr>
          <w:rFonts w:ascii="Arial" w:hAnsi="Arial"/>
          <w:i/>
          <w:color w:val="231F20"/>
          <w:spacing w:val="-21"/>
          <w:w w:val="105"/>
          <w:sz w:val="20"/>
        </w:rPr>
        <w:t xml:space="preserve"> </w:t>
      </w:r>
      <w:r>
        <w:rPr>
          <w:rFonts w:ascii="Arial" w:hAnsi="Arial"/>
          <w:i/>
          <w:color w:val="231F20"/>
          <w:w w:val="105"/>
          <w:sz w:val="20"/>
        </w:rPr>
        <w:t xml:space="preserve">Intervention </w:t>
      </w:r>
      <w:r>
        <w:rPr>
          <w:rFonts w:ascii="Arial" w:hAnsi="Arial"/>
          <w:i/>
          <w:color w:val="231F20"/>
          <w:spacing w:val="1"/>
          <w:w w:val="92"/>
          <w:sz w:val="20"/>
        </w:rPr>
        <w:t>O</w:t>
      </w:r>
      <w:r>
        <w:rPr>
          <w:rFonts w:ascii="Arial" w:hAnsi="Arial"/>
          <w:i/>
          <w:color w:val="231F20"/>
          <w:spacing w:val="-4"/>
          <w:w w:val="106"/>
          <w:sz w:val="20"/>
        </w:rPr>
        <w:t>r</w:t>
      </w:r>
      <w:r>
        <w:rPr>
          <w:rFonts w:ascii="Arial" w:hAnsi="Arial"/>
          <w:i/>
          <w:color w:val="231F20"/>
          <w:spacing w:val="-2"/>
          <w:w w:val="108"/>
          <w:sz w:val="20"/>
        </w:rPr>
        <w:t>d</w:t>
      </w:r>
      <w:r>
        <w:rPr>
          <w:rFonts w:ascii="Arial" w:hAnsi="Arial"/>
          <w:i/>
          <w:color w:val="231F20"/>
          <w:w w:val="96"/>
          <w:sz w:val="20"/>
        </w:rPr>
        <w:t>e</w:t>
      </w:r>
      <w:r>
        <w:rPr>
          <w:rFonts w:ascii="Arial" w:hAnsi="Arial"/>
          <w:i/>
          <w:color w:val="231F20"/>
          <w:spacing w:val="-2"/>
          <w:w w:val="106"/>
          <w:sz w:val="20"/>
        </w:rPr>
        <w:t>r</w:t>
      </w:r>
      <w:r>
        <w:rPr>
          <w:rFonts w:ascii="Arial" w:hAnsi="Arial"/>
          <w:i/>
          <w:color w:val="231F20"/>
          <w:w w:val="95"/>
          <w:sz w:val="20"/>
        </w:rPr>
        <w:t>s</w:t>
      </w:r>
      <w:r>
        <w:rPr>
          <w:rFonts w:ascii="Arial" w:hAnsi="Arial"/>
          <w:i/>
          <w:color w:val="231F20"/>
          <w:spacing w:val="-11"/>
          <w:sz w:val="20"/>
        </w:rPr>
        <w:t xml:space="preserve"> </w:t>
      </w:r>
      <w:r>
        <w:rPr>
          <w:rFonts w:ascii="Arial" w:hAnsi="Arial"/>
          <w:i/>
          <w:color w:val="231F20"/>
          <w:spacing w:val="-3"/>
          <w:w w:val="97"/>
          <w:sz w:val="20"/>
        </w:rPr>
        <w:t>A</w:t>
      </w:r>
      <w:r>
        <w:rPr>
          <w:rFonts w:ascii="Arial" w:hAnsi="Arial"/>
          <w:i/>
          <w:color w:val="231F20"/>
          <w:spacing w:val="-3"/>
          <w:w w:val="106"/>
          <w:sz w:val="20"/>
        </w:rPr>
        <w:t>c</w:t>
      </w:r>
      <w:r>
        <w:rPr>
          <w:rFonts w:ascii="Arial" w:hAnsi="Arial"/>
          <w:i/>
          <w:color w:val="231F20"/>
          <w:w w:val="121"/>
          <w:sz w:val="20"/>
        </w:rPr>
        <w:t>t</w:t>
      </w:r>
      <w:r>
        <w:rPr>
          <w:rFonts w:ascii="Arial" w:hAnsi="Arial"/>
          <w:i/>
          <w:color w:val="231F20"/>
          <w:spacing w:val="-11"/>
          <w:sz w:val="20"/>
        </w:rPr>
        <w:t xml:space="preserve"> </w:t>
      </w:r>
      <w:r>
        <w:rPr>
          <w:rFonts w:ascii="Arial" w:hAnsi="Arial"/>
          <w:i/>
          <w:color w:val="231F20"/>
          <w:spacing w:val="-2"/>
          <w:w w:val="92"/>
          <w:sz w:val="20"/>
        </w:rPr>
        <w:t>2</w:t>
      </w:r>
      <w:r>
        <w:rPr>
          <w:rFonts w:ascii="Arial" w:hAnsi="Arial"/>
          <w:i/>
          <w:color w:val="231F20"/>
          <w:spacing w:val="-4"/>
          <w:w w:val="106"/>
          <w:sz w:val="20"/>
        </w:rPr>
        <w:t>0</w:t>
      </w:r>
      <w:r>
        <w:rPr>
          <w:rFonts w:ascii="Arial" w:hAnsi="Arial"/>
          <w:i/>
          <w:color w:val="231F20"/>
          <w:spacing w:val="-5"/>
          <w:w w:val="78"/>
          <w:sz w:val="20"/>
        </w:rPr>
        <w:t>1</w:t>
      </w:r>
      <w:r>
        <w:rPr>
          <w:rFonts w:ascii="Arial" w:hAnsi="Arial"/>
          <w:i/>
          <w:color w:val="231F20"/>
          <w:w w:val="106"/>
          <w:sz w:val="20"/>
        </w:rPr>
        <w:t>0</w:t>
      </w:r>
      <w:r>
        <w:rPr>
          <w:rFonts w:ascii="Arial" w:hAnsi="Arial"/>
          <w:i/>
          <w:color w:val="231F20"/>
          <w:spacing w:val="-9"/>
          <w:sz w:val="20"/>
        </w:rPr>
        <w:t xml:space="preserve"> </w:t>
      </w:r>
      <w:r>
        <w:rPr>
          <w:rFonts w:ascii="Trebuchet MS" w:hAnsi="Trebuchet MS"/>
          <w:color w:val="231F20"/>
          <w:spacing w:val="3"/>
          <w:w w:val="77"/>
          <w:sz w:val="20"/>
        </w:rPr>
        <w:t>(</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5"/>
          <w:w w:val="111"/>
          <w:sz w:val="20"/>
        </w:rPr>
        <w:t>c</w:t>
      </w:r>
      <w:r>
        <w:rPr>
          <w:rFonts w:ascii="Trebuchet MS" w:hAnsi="Trebuchet MS"/>
          <w:color w:val="231F20"/>
          <w:w w:val="77"/>
          <w:sz w:val="20"/>
        </w:rPr>
        <w: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6"/>
          <w:w w:val="111"/>
          <w:sz w:val="20"/>
        </w:rPr>
        <w:t>o</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w w:val="111"/>
          <w:sz w:val="20"/>
        </w:rPr>
        <w:t>c</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1"/>
          <w:w w:val="124"/>
          <w:sz w:val="20"/>
        </w:rPr>
        <w:t>g</w:t>
      </w:r>
      <w:r>
        <w:rPr>
          <w:rFonts w:ascii="Trebuchet MS" w:hAnsi="Trebuchet MS"/>
          <w:color w:val="231F20"/>
          <w:spacing w:val="-1"/>
          <w:w w:val="111"/>
          <w:sz w:val="20"/>
        </w:rPr>
        <w:t>o</w:t>
      </w:r>
      <w:r>
        <w:rPr>
          <w:rFonts w:ascii="Trebuchet MS" w:hAnsi="Trebuchet MS"/>
          <w:color w:val="231F20"/>
          <w:spacing w:val="3"/>
          <w:w w:val="93"/>
          <w:sz w:val="20"/>
        </w:rPr>
        <w:t>r</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4"/>
          <w:w w:val="56"/>
          <w:sz w:val="20"/>
        </w:rPr>
        <w:t>‘</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3"/>
          <w:w w:val="80"/>
          <w:sz w:val="20"/>
        </w:rPr>
        <w:t>i</w:t>
      </w:r>
      <w:r>
        <w:rPr>
          <w:rFonts w:ascii="Trebuchet MS" w:hAnsi="Trebuchet MS"/>
          <w:color w:val="231F20"/>
          <w:spacing w:val="-2"/>
          <w:w w:val="88"/>
          <w:sz w:val="20"/>
        </w:rPr>
        <w:t>t</w:t>
      </w:r>
      <w:r>
        <w:rPr>
          <w:rFonts w:ascii="Trebuchet MS" w:hAnsi="Trebuchet MS"/>
          <w:color w:val="231F20"/>
          <w:spacing w:val="-1"/>
          <w:w w:val="107"/>
          <w:sz w:val="20"/>
        </w:rPr>
        <w:t>n</w:t>
      </w:r>
      <w:r>
        <w:rPr>
          <w:rFonts w:ascii="Trebuchet MS" w:hAnsi="Trebuchet MS"/>
          <w:color w:val="231F20"/>
          <w:spacing w:val="-2"/>
          <w:w w:val="108"/>
          <w:sz w:val="20"/>
        </w:rPr>
        <w:t>e</w:t>
      </w:r>
      <w:r>
        <w:rPr>
          <w:rFonts w:ascii="Trebuchet MS" w:hAnsi="Trebuchet MS"/>
          <w:color w:val="231F20"/>
          <w:spacing w:val="-1"/>
          <w:w w:val="122"/>
          <w:sz w:val="20"/>
        </w:rPr>
        <w:t>ss</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w w:val="122"/>
          <w:sz w:val="20"/>
        </w:rPr>
        <w:t xml:space="preserve">s </w:t>
      </w:r>
      <w:r>
        <w:rPr>
          <w:rFonts w:ascii="Trebuchet MS" w:hAnsi="Trebuchet MS"/>
          <w:color w:val="231F20"/>
          <w:w w:val="105"/>
          <w:sz w:val="20"/>
        </w:rPr>
        <w:t>in</w:t>
      </w:r>
      <w:r>
        <w:rPr>
          <w:rFonts w:ascii="Trebuchet MS" w:hAnsi="Trebuchet MS"/>
          <w:color w:val="231F20"/>
          <w:spacing w:val="-29"/>
          <w:w w:val="105"/>
          <w:sz w:val="20"/>
        </w:rPr>
        <w:t xml:space="preserve"> </w:t>
      </w:r>
      <w:r>
        <w:rPr>
          <w:rFonts w:ascii="Trebuchet MS" w:hAnsi="Trebuchet MS"/>
          <w:color w:val="231F20"/>
          <w:w w:val="105"/>
          <w:sz w:val="20"/>
        </w:rPr>
        <w:t>the</w:t>
      </w:r>
      <w:r>
        <w:rPr>
          <w:rFonts w:ascii="Trebuchet MS" w:hAnsi="Trebuchet MS"/>
          <w:color w:val="231F20"/>
          <w:spacing w:val="-29"/>
          <w:w w:val="105"/>
          <w:sz w:val="20"/>
        </w:rPr>
        <w:t xml:space="preserve"> </w:t>
      </w:r>
      <w:r>
        <w:rPr>
          <w:rFonts w:ascii="Arial" w:hAnsi="Arial"/>
          <w:i/>
          <w:color w:val="231F20"/>
          <w:spacing w:val="-3"/>
          <w:w w:val="105"/>
          <w:sz w:val="20"/>
        </w:rPr>
        <w:t>Family</w:t>
      </w:r>
      <w:r>
        <w:rPr>
          <w:rFonts w:ascii="Arial" w:hAnsi="Arial"/>
          <w:i/>
          <w:color w:val="231F20"/>
          <w:spacing w:val="-25"/>
          <w:w w:val="105"/>
          <w:sz w:val="20"/>
        </w:rPr>
        <w:t xml:space="preserve"> </w:t>
      </w:r>
      <w:r>
        <w:rPr>
          <w:rFonts w:ascii="Arial" w:hAnsi="Arial"/>
          <w:i/>
          <w:color w:val="231F20"/>
          <w:w w:val="105"/>
          <w:sz w:val="20"/>
        </w:rPr>
        <w:t>Violence</w:t>
      </w:r>
      <w:r>
        <w:rPr>
          <w:rFonts w:ascii="Arial" w:hAnsi="Arial"/>
          <w:i/>
          <w:color w:val="231F20"/>
          <w:spacing w:val="-25"/>
          <w:w w:val="105"/>
          <w:sz w:val="20"/>
        </w:rPr>
        <w:t xml:space="preserve"> </w:t>
      </w:r>
      <w:r>
        <w:rPr>
          <w:rFonts w:ascii="Arial" w:hAnsi="Arial"/>
          <w:i/>
          <w:color w:val="231F20"/>
          <w:spacing w:val="-3"/>
          <w:w w:val="105"/>
          <w:sz w:val="20"/>
        </w:rPr>
        <w:t>Protection</w:t>
      </w:r>
      <w:r>
        <w:rPr>
          <w:rFonts w:ascii="Arial" w:hAnsi="Arial"/>
          <w:i/>
          <w:color w:val="231F20"/>
          <w:spacing w:val="-25"/>
          <w:w w:val="105"/>
          <w:sz w:val="20"/>
        </w:rPr>
        <w:t xml:space="preserve"> </w:t>
      </w:r>
      <w:r>
        <w:rPr>
          <w:rFonts w:ascii="Arial" w:hAnsi="Arial"/>
          <w:i/>
          <w:color w:val="231F20"/>
          <w:w w:val="105"/>
          <w:sz w:val="20"/>
        </w:rPr>
        <w:t>Act</w:t>
      </w:r>
      <w:r>
        <w:rPr>
          <w:rFonts w:ascii="Arial" w:hAnsi="Arial"/>
          <w:i/>
          <w:color w:val="231F20"/>
          <w:spacing w:val="-25"/>
          <w:w w:val="105"/>
          <w:sz w:val="20"/>
        </w:rPr>
        <w:t xml:space="preserve"> </w:t>
      </w:r>
      <w:r>
        <w:rPr>
          <w:rFonts w:ascii="Arial" w:hAnsi="Arial"/>
          <w:i/>
          <w:color w:val="231F20"/>
          <w:w w:val="105"/>
          <w:sz w:val="20"/>
        </w:rPr>
        <w:t>2008</w:t>
      </w:r>
      <w:r>
        <w:rPr>
          <w:rFonts w:ascii="Arial" w:hAnsi="Arial"/>
          <w:i/>
          <w:color w:val="231F20"/>
          <w:spacing w:val="-23"/>
          <w:w w:val="105"/>
          <w:sz w:val="20"/>
        </w:rPr>
        <w:t xml:space="preserve"> </w:t>
      </w:r>
      <w:r>
        <w:rPr>
          <w:rFonts w:ascii="Trebuchet MS" w:hAnsi="Trebuchet MS"/>
          <w:color w:val="231F20"/>
          <w:w w:val="105"/>
          <w:sz w:val="20"/>
        </w:rPr>
        <w:t>(Vic)</w:t>
      </w:r>
      <w:r>
        <w:rPr>
          <w:rFonts w:ascii="Trebuchet MS" w:hAnsi="Trebuchet MS"/>
          <w:color w:val="231F20"/>
          <w:spacing w:val="-29"/>
          <w:w w:val="105"/>
          <w:sz w:val="20"/>
        </w:rPr>
        <w:t xml:space="preserve"> </w:t>
      </w:r>
      <w:r>
        <w:rPr>
          <w:rFonts w:ascii="Trebuchet MS" w:hAnsi="Trebuchet MS"/>
          <w:color w:val="231F20"/>
          <w:w w:val="105"/>
          <w:sz w:val="20"/>
        </w:rPr>
        <w:t>that</w:t>
      </w:r>
      <w:r>
        <w:rPr>
          <w:rFonts w:ascii="Trebuchet MS" w:hAnsi="Trebuchet MS"/>
          <w:color w:val="231F20"/>
          <w:spacing w:val="-29"/>
          <w:w w:val="105"/>
          <w:sz w:val="20"/>
        </w:rPr>
        <w:t xml:space="preserve"> </w:t>
      </w:r>
      <w:r>
        <w:rPr>
          <w:rFonts w:ascii="Trebuchet MS" w:hAnsi="Trebuchet MS"/>
          <w:color w:val="231F20"/>
          <w:w w:val="105"/>
          <w:sz w:val="20"/>
        </w:rPr>
        <w:t>bars</w:t>
      </w:r>
      <w:r>
        <w:rPr>
          <w:rFonts w:ascii="Trebuchet MS" w:hAnsi="Trebuchet MS"/>
          <w:color w:val="231F20"/>
          <w:spacing w:val="-29"/>
          <w:w w:val="105"/>
          <w:sz w:val="20"/>
        </w:rPr>
        <w:t xml:space="preserve"> </w:t>
      </w:r>
      <w:r>
        <w:rPr>
          <w:rFonts w:ascii="Trebuchet MS" w:hAnsi="Trebuchet MS"/>
          <w:color w:val="231F20"/>
          <w:w w:val="105"/>
          <w:sz w:val="20"/>
        </w:rPr>
        <w:t>respondents</w:t>
      </w:r>
      <w:r>
        <w:rPr>
          <w:rFonts w:ascii="Trebuchet MS" w:hAnsi="Trebuchet MS"/>
          <w:color w:val="231F20"/>
          <w:spacing w:val="-28"/>
          <w:w w:val="105"/>
          <w:sz w:val="20"/>
        </w:rPr>
        <w:t xml:space="preserve"> </w:t>
      </w:r>
      <w:r>
        <w:rPr>
          <w:rFonts w:ascii="Trebuchet MS" w:hAnsi="Trebuchet MS"/>
          <w:color w:val="231F20"/>
          <w:w w:val="105"/>
          <w:sz w:val="20"/>
        </w:rPr>
        <w:t xml:space="preserve">from </w:t>
      </w:r>
      <w:r>
        <w:rPr>
          <w:rFonts w:ascii="Trebuchet MS" w:hAnsi="Trebuchet MS"/>
          <w:color w:val="231F20"/>
          <w:spacing w:val="-1"/>
          <w:w w:val="111"/>
          <w:sz w:val="20"/>
        </w:rPr>
        <w:t>p</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spacing w:val="-1"/>
          <w:w w:val="111"/>
          <w:sz w:val="20"/>
        </w:rPr>
        <w:t>o</w:t>
      </w:r>
      <w:r>
        <w:rPr>
          <w:rFonts w:ascii="Trebuchet MS" w:hAnsi="Trebuchet MS"/>
          <w:color w:val="231F20"/>
          <w:spacing w:val="-1"/>
          <w:w w:val="107"/>
          <w:sz w:val="20"/>
        </w:rPr>
        <w:t>n</w:t>
      </w:r>
      <w:r>
        <w:rPr>
          <w:rFonts w:ascii="Trebuchet MS" w:hAnsi="Trebuchet MS"/>
          <w:color w:val="231F20"/>
          <w:spacing w:val="-3"/>
          <w:w w:val="105"/>
          <w:sz w:val="20"/>
        </w:rPr>
        <w:t>a</w:t>
      </w:r>
      <w:r>
        <w:rPr>
          <w:rFonts w:ascii="Trebuchet MS" w:hAnsi="Trebuchet MS"/>
          <w:color w:val="231F20"/>
          <w:spacing w:val="-2"/>
          <w:w w:val="96"/>
          <w:sz w:val="20"/>
        </w:rPr>
        <w:t>l</w:t>
      </w:r>
      <w:r>
        <w:rPr>
          <w:rFonts w:ascii="Trebuchet MS" w:hAnsi="Trebuchet MS"/>
          <w:color w:val="231F20"/>
          <w:spacing w:val="-7"/>
          <w:w w:val="96"/>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111"/>
          <w:sz w:val="20"/>
        </w:rPr>
        <w:t>c</w:t>
      </w:r>
      <w:r>
        <w:rPr>
          <w:rFonts w:ascii="Trebuchet MS" w:hAnsi="Trebuchet MS"/>
          <w:color w:val="231F20"/>
          <w:spacing w:val="-4"/>
          <w:w w:val="93"/>
          <w:sz w:val="20"/>
        </w:rPr>
        <w:t>r</w:t>
      </w:r>
      <w:r>
        <w:rPr>
          <w:rFonts w:ascii="Trebuchet MS" w:hAnsi="Trebuchet MS"/>
          <w:color w:val="231F20"/>
          <w:spacing w:val="-2"/>
          <w:w w:val="111"/>
          <w:sz w:val="20"/>
        </w:rPr>
        <w:t>o</w:t>
      </w:r>
      <w:r>
        <w:rPr>
          <w:rFonts w:ascii="Trebuchet MS" w:hAnsi="Trebuchet MS"/>
          <w:color w:val="231F20"/>
          <w:spacing w:val="-1"/>
          <w:w w:val="122"/>
          <w:sz w:val="20"/>
        </w:rPr>
        <w:t>s</w:t>
      </w:r>
      <w:r>
        <w:rPr>
          <w:rFonts w:ascii="Trebuchet MS" w:hAnsi="Trebuchet MS"/>
          <w:color w:val="231F20"/>
          <w:spacing w:val="-4"/>
          <w:w w:val="122"/>
          <w:sz w:val="20"/>
        </w:rPr>
        <w:t>s</w:t>
      </w:r>
      <w:r>
        <w:rPr>
          <w:rFonts w:ascii="Trebuchet MS" w:hAnsi="Trebuchet MS"/>
          <w:color w:val="231F20"/>
          <w:spacing w:val="1"/>
          <w:w w:val="115"/>
          <w:sz w:val="20"/>
        </w:rPr>
        <w:t>-</w:t>
      </w:r>
      <w:r>
        <w:rPr>
          <w:rFonts w:ascii="Trebuchet MS" w:hAnsi="Trebuchet MS"/>
          <w:color w:val="231F20"/>
          <w:spacing w:val="-5"/>
          <w:w w:val="108"/>
          <w:sz w:val="20"/>
        </w:rPr>
        <w:t>e</w:t>
      </w:r>
      <w:r>
        <w:rPr>
          <w:rFonts w:ascii="Trebuchet MS" w:hAnsi="Trebuchet MS"/>
          <w:color w:val="231F20"/>
          <w:spacing w:val="-4"/>
          <w:w w:val="102"/>
          <w:sz w:val="20"/>
        </w:rPr>
        <w:t>x</w:t>
      </w:r>
      <w:r>
        <w:rPr>
          <w:rFonts w:ascii="Trebuchet MS" w:hAnsi="Trebuchet MS"/>
          <w:color w:val="231F20"/>
          <w:spacing w:val="-2"/>
          <w:w w:val="104"/>
          <w:sz w:val="20"/>
        </w:rPr>
        <w:t>ami</w:t>
      </w:r>
      <w:r>
        <w:rPr>
          <w:rFonts w:ascii="Trebuchet MS" w:hAnsi="Trebuchet MS"/>
          <w:color w:val="231F20"/>
          <w:spacing w:val="-2"/>
          <w:w w:val="98"/>
          <w:sz w:val="20"/>
        </w:rPr>
        <w:t>ni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01"/>
          <w:sz w:val="20"/>
        </w:rPr>
        <w:t>c</w:t>
      </w:r>
      <w:r>
        <w:rPr>
          <w:rFonts w:ascii="Trebuchet MS" w:hAnsi="Trebuchet MS"/>
          <w:color w:val="231F20"/>
          <w:spacing w:val="-4"/>
          <w:w w:val="101"/>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02"/>
          <w:sz w:val="20"/>
        </w:rPr>
        <w:t>w</w:t>
      </w:r>
      <w:r>
        <w:rPr>
          <w:rFonts w:ascii="Trebuchet MS" w:hAnsi="Trebuchet MS"/>
          <w:color w:val="231F20"/>
          <w:spacing w:val="-3"/>
          <w:w w:val="102"/>
          <w:sz w:val="20"/>
        </w:rPr>
        <w:t>i</w:t>
      </w:r>
      <w:r>
        <w:rPr>
          <w:rFonts w:ascii="Trebuchet MS" w:hAnsi="Trebuchet MS"/>
          <w:color w:val="231F20"/>
          <w:spacing w:val="-2"/>
          <w:w w:val="99"/>
          <w:sz w:val="20"/>
        </w:rPr>
        <w:t>t</w:t>
      </w:r>
      <w:r>
        <w:rPr>
          <w:rFonts w:ascii="Trebuchet MS" w:hAnsi="Trebuchet MS"/>
          <w:color w:val="231F20"/>
          <w:spacing w:val="-1"/>
          <w:w w:val="99"/>
          <w:sz w:val="20"/>
        </w:rPr>
        <w:t>n</w:t>
      </w:r>
      <w:r>
        <w:rPr>
          <w:rFonts w:ascii="Trebuchet MS" w:hAnsi="Trebuchet MS"/>
          <w:color w:val="231F20"/>
          <w:spacing w:val="-2"/>
          <w:w w:val="108"/>
          <w:sz w:val="20"/>
        </w:rPr>
        <w:t>e</w:t>
      </w:r>
      <w:r>
        <w:rPr>
          <w:rFonts w:ascii="Trebuchet MS" w:hAnsi="Trebuchet MS"/>
          <w:color w:val="231F20"/>
          <w:spacing w:val="-1"/>
          <w:w w:val="122"/>
          <w:sz w:val="20"/>
        </w:rPr>
        <w:t>ss</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w w:val="55"/>
          <w:sz w:val="20"/>
        </w:rPr>
        <w:t>.</w:t>
      </w:r>
    </w:p>
    <w:p w14:paraId="7BFAB713" w14:textId="77777777" w:rsidR="00894070" w:rsidRDefault="009B7AFD">
      <w:pPr>
        <w:pStyle w:val="ListParagraph"/>
        <w:numPr>
          <w:ilvl w:val="0"/>
          <w:numId w:val="83"/>
        </w:numPr>
        <w:tabs>
          <w:tab w:val="left" w:pos="2367"/>
          <w:tab w:val="left" w:pos="2368"/>
        </w:tabs>
        <w:spacing w:before="88" w:line="247" w:lineRule="auto"/>
        <w:ind w:right="1938"/>
        <w:rPr>
          <w:rFonts w:ascii="Trebuchet MS" w:hAnsi="Trebuchet MS"/>
          <w:sz w:val="20"/>
        </w:rPr>
      </w:pPr>
      <w:r>
        <w:rPr>
          <w:rFonts w:ascii="Trebuchet MS" w:hAnsi="Trebuchet MS"/>
          <w:color w:val="231F20"/>
          <w:spacing w:val="-2"/>
          <w:w w:val="93"/>
          <w:sz w:val="20"/>
        </w:rPr>
        <w:t>I</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112"/>
          <w:sz w:val="20"/>
        </w:rPr>
        <w:t>d</w:t>
      </w:r>
      <w:r>
        <w:rPr>
          <w:rFonts w:ascii="Trebuchet MS" w:hAnsi="Trebuchet MS"/>
          <w:color w:val="231F20"/>
          <w:spacing w:val="-3"/>
          <w:w w:val="108"/>
          <w:sz w:val="20"/>
        </w:rPr>
        <w:t>e</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2"/>
          <w:w w:val="93"/>
          <w:sz w:val="20"/>
        </w:rPr>
        <w:t>r</w:t>
      </w:r>
      <w:r>
        <w:rPr>
          <w:rFonts w:ascii="Trebuchet MS" w:hAnsi="Trebuchet MS"/>
          <w:color w:val="231F20"/>
          <w:spacing w:val="-2"/>
          <w:w w:val="111"/>
          <w:sz w:val="20"/>
        </w:rPr>
        <w:t>m</w:t>
      </w:r>
      <w:r>
        <w:rPr>
          <w:rFonts w:ascii="Trebuchet MS" w:hAnsi="Trebuchet MS"/>
          <w:color w:val="231F20"/>
          <w:spacing w:val="-2"/>
          <w:w w:val="80"/>
          <w:sz w:val="20"/>
        </w:rPr>
        <w:t>i</w:t>
      </w:r>
      <w:r>
        <w:rPr>
          <w:rFonts w:ascii="Trebuchet MS" w:hAnsi="Trebuchet MS"/>
          <w:color w:val="231F20"/>
          <w:spacing w:val="-2"/>
          <w:w w:val="107"/>
          <w:sz w:val="20"/>
        </w:rPr>
        <w:t>n</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1"/>
          <w:w w:val="107"/>
          <w:sz w:val="20"/>
        </w:rPr>
        <w:t>h</w:t>
      </w:r>
      <w:r>
        <w:rPr>
          <w:rFonts w:ascii="Trebuchet MS" w:hAnsi="Trebuchet MS"/>
          <w:color w:val="231F20"/>
          <w:spacing w:val="-3"/>
          <w:w w:val="108"/>
          <w:sz w:val="20"/>
        </w:rPr>
        <w:t>e</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spacing w:val="-3"/>
          <w:w w:val="111"/>
          <w:sz w:val="20"/>
        </w:rPr>
        <w:t>c</w:t>
      </w:r>
      <w:r>
        <w:rPr>
          <w:rFonts w:ascii="Trebuchet MS" w:hAnsi="Trebuchet MS"/>
          <w:color w:val="231F20"/>
          <w:spacing w:val="1"/>
          <w:w w:val="96"/>
          <w:sz w:val="20"/>
        </w:rPr>
        <w:t>l</w:t>
      </w:r>
      <w:r>
        <w:rPr>
          <w:rFonts w:ascii="Trebuchet MS" w:hAnsi="Trebuchet MS"/>
          <w:color w:val="231F20"/>
          <w:spacing w:val="-2"/>
          <w:w w:val="105"/>
          <w:sz w:val="20"/>
        </w:rPr>
        <w:t>a</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4"/>
          <w:w w:val="56"/>
          <w:sz w:val="20"/>
        </w:rPr>
        <w:t>‘</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3"/>
          <w:w w:val="80"/>
          <w:sz w:val="20"/>
        </w:rPr>
        <w:t>i</w:t>
      </w:r>
      <w:r>
        <w:rPr>
          <w:rFonts w:ascii="Trebuchet MS" w:hAnsi="Trebuchet MS"/>
          <w:color w:val="231F20"/>
          <w:spacing w:val="-2"/>
          <w:w w:val="88"/>
          <w:sz w:val="20"/>
        </w:rPr>
        <w:t>t</w:t>
      </w:r>
      <w:r>
        <w:rPr>
          <w:rFonts w:ascii="Trebuchet MS" w:hAnsi="Trebuchet MS"/>
          <w:color w:val="231F20"/>
          <w:spacing w:val="-1"/>
          <w:w w:val="107"/>
          <w:sz w:val="20"/>
        </w:rPr>
        <w:t>n</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 xml:space="preserve">e </w:t>
      </w:r>
      <w:r>
        <w:rPr>
          <w:rFonts w:ascii="Trebuchet MS" w:hAnsi="Trebuchet MS"/>
          <w:color w:val="231F20"/>
          <w:spacing w:val="-1"/>
          <w:w w:val="104"/>
          <w:sz w:val="20"/>
        </w:rPr>
        <w:t>p</w:t>
      </w:r>
      <w:r>
        <w:rPr>
          <w:rFonts w:ascii="Trebuchet MS" w:hAnsi="Trebuchet MS"/>
          <w:color w:val="231F20"/>
          <w:spacing w:val="-4"/>
          <w:w w:val="104"/>
          <w:sz w:val="20"/>
        </w:rPr>
        <w:t>r</w:t>
      </w:r>
      <w:r>
        <w:rPr>
          <w:rFonts w:ascii="Trebuchet MS" w:hAnsi="Trebuchet MS"/>
          <w:color w:val="231F20"/>
          <w:spacing w:val="-1"/>
          <w:w w:val="111"/>
          <w:sz w:val="20"/>
        </w:rPr>
        <w:t>o</w:t>
      </w:r>
      <w:r>
        <w:rPr>
          <w:rFonts w:ascii="Trebuchet MS" w:hAnsi="Trebuchet MS"/>
          <w:color w:val="231F20"/>
          <w:spacing w:val="-3"/>
          <w:w w:val="111"/>
          <w:sz w:val="20"/>
        </w:rPr>
        <w:t>c</w:t>
      </w:r>
      <w:r>
        <w:rPr>
          <w:rFonts w:ascii="Trebuchet MS" w:hAnsi="Trebuchet MS"/>
          <w:color w:val="231F20"/>
          <w:w w:val="108"/>
          <w:sz w:val="20"/>
        </w:rPr>
        <w:t>ee</w:t>
      </w:r>
      <w:r>
        <w:rPr>
          <w:rFonts w:ascii="Trebuchet MS" w:hAnsi="Trebuchet MS"/>
          <w:color w:val="231F20"/>
          <w:spacing w:val="-1"/>
          <w:w w:val="101"/>
          <w:sz w:val="20"/>
        </w:rPr>
        <w:t>d</w:t>
      </w:r>
      <w:r>
        <w:rPr>
          <w:rFonts w:ascii="Trebuchet MS" w:hAnsi="Trebuchet MS"/>
          <w:color w:val="231F20"/>
          <w:spacing w:val="-2"/>
          <w:w w:val="101"/>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06"/>
          <w:sz w:val="20"/>
        </w:rPr>
        <w:t>ou</w:t>
      </w:r>
      <w:r>
        <w:rPr>
          <w:rFonts w:ascii="Trebuchet MS" w:hAnsi="Trebuchet MS"/>
          <w:color w:val="231F20"/>
          <w:spacing w:val="2"/>
          <w:w w:val="106"/>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9"/>
          <w:sz w:val="20"/>
        </w:rPr>
        <w:t>ho</w:t>
      </w:r>
      <w:r>
        <w:rPr>
          <w:rFonts w:ascii="Trebuchet MS" w:hAnsi="Trebuchet MS"/>
          <w:color w:val="231F20"/>
          <w:spacing w:val="-2"/>
          <w:w w:val="109"/>
          <w:sz w:val="20"/>
        </w:rPr>
        <w:t>u</w:t>
      </w:r>
      <w:r>
        <w:rPr>
          <w:rFonts w:ascii="Trebuchet MS" w:hAnsi="Trebuchet MS"/>
          <w:color w:val="231F20"/>
          <w:spacing w:val="-3"/>
          <w:w w:val="96"/>
          <w:sz w:val="20"/>
        </w:rPr>
        <w:t>l</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spacing w:val="-2"/>
          <w:w w:val="122"/>
          <w:sz w:val="20"/>
        </w:rPr>
        <w:t>s</w:t>
      </w:r>
      <w:r>
        <w:rPr>
          <w:rFonts w:ascii="Trebuchet MS" w:hAnsi="Trebuchet MS"/>
          <w:color w:val="231F20"/>
          <w:spacing w:val="-1"/>
          <w:w w:val="101"/>
          <w:sz w:val="20"/>
        </w:rPr>
        <w:t>i</w:t>
      </w:r>
      <w:r>
        <w:rPr>
          <w:rFonts w:ascii="Trebuchet MS" w:hAnsi="Trebuchet MS"/>
          <w:color w:val="231F20"/>
          <w:spacing w:val="-2"/>
          <w:w w:val="101"/>
          <w:sz w:val="20"/>
        </w:rPr>
        <w:t>d</w:t>
      </w:r>
      <w:r>
        <w:rPr>
          <w:rFonts w:ascii="Trebuchet MS" w:hAnsi="Trebuchet MS"/>
          <w:color w:val="231F20"/>
          <w:spacing w:val="-1"/>
          <w:w w:val="108"/>
          <w:sz w:val="20"/>
        </w:rPr>
        <w:t>e</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2"/>
          <w:w w:val="111"/>
          <w:sz w:val="20"/>
        </w:rPr>
        <w:t>o</w:t>
      </w:r>
      <w:r>
        <w:rPr>
          <w:rFonts w:ascii="Trebuchet MS" w:hAnsi="Trebuchet MS"/>
          <w:color w:val="231F20"/>
          <w:spacing w:val="-2"/>
          <w:w w:val="96"/>
          <w:sz w:val="20"/>
        </w:rPr>
        <w:t>l</w:t>
      </w:r>
      <w:r>
        <w:rPr>
          <w:rFonts w:ascii="Trebuchet MS" w:hAnsi="Trebuchet MS"/>
          <w:color w:val="231F20"/>
          <w:spacing w:val="-3"/>
          <w:w w:val="96"/>
          <w:sz w:val="20"/>
        </w:rPr>
        <w:t>l</w:t>
      </w:r>
      <w:r>
        <w:rPr>
          <w:rFonts w:ascii="Trebuchet MS" w:hAnsi="Trebuchet MS"/>
          <w:color w:val="231F20"/>
          <w:spacing w:val="-6"/>
          <w:w w:val="111"/>
          <w:sz w:val="20"/>
        </w:rPr>
        <w:t>o</w:t>
      </w:r>
      <w:r>
        <w:rPr>
          <w:rFonts w:ascii="Trebuchet MS" w:hAnsi="Trebuchet MS"/>
          <w:color w:val="231F20"/>
          <w:spacing w:val="-2"/>
          <w:w w:val="110"/>
          <w:sz w:val="20"/>
        </w:rPr>
        <w:t>w</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2"/>
          <w:w w:val="111"/>
          <w:sz w:val="20"/>
        </w:rPr>
        <w:t>c</w:t>
      </w:r>
      <w:r>
        <w:rPr>
          <w:rFonts w:ascii="Trebuchet MS" w:hAnsi="Trebuchet MS"/>
          <w:color w:val="231F20"/>
          <w:spacing w:val="-2"/>
          <w:w w:val="80"/>
          <w:sz w:val="20"/>
        </w:rPr>
        <w:t>i</w:t>
      </w:r>
      <w:r>
        <w:rPr>
          <w:rFonts w:ascii="Trebuchet MS" w:hAnsi="Trebuchet MS"/>
          <w:color w:val="231F20"/>
          <w:spacing w:val="-4"/>
          <w:w w:val="93"/>
          <w:sz w:val="20"/>
        </w:rPr>
        <w:t>r</w:t>
      </w:r>
      <w:r>
        <w:rPr>
          <w:rFonts w:ascii="Trebuchet MS" w:hAnsi="Trebuchet MS"/>
          <w:color w:val="231F20"/>
          <w:spacing w:val="-3"/>
          <w:w w:val="111"/>
          <w:sz w:val="20"/>
        </w:rPr>
        <w:t>c</w:t>
      </w:r>
      <w:r>
        <w:rPr>
          <w:rFonts w:ascii="Trebuchet MS" w:hAnsi="Trebuchet MS"/>
          <w:color w:val="231F20"/>
          <w:spacing w:val="-1"/>
          <w:w w:val="109"/>
          <w:sz w:val="20"/>
        </w:rPr>
        <w:t>u</w:t>
      </w:r>
      <w:r>
        <w:rPr>
          <w:rFonts w:ascii="Trebuchet MS" w:hAnsi="Trebuchet MS"/>
          <w:color w:val="231F20"/>
          <w:spacing w:val="-2"/>
          <w:w w:val="111"/>
          <w:sz w:val="20"/>
        </w:rPr>
        <w:t>m</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2"/>
          <w:w w:val="105"/>
          <w:sz w:val="20"/>
        </w:rPr>
        <w:t>a</w:t>
      </w:r>
      <w:r>
        <w:rPr>
          <w:rFonts w:ascii="Trebuchet MS" w:hAnsi="Trebuchet MS"/>
          <w:color w:val="231F20"/>
          <w:spacing w:val="-1"/>
          <w:w w:val="109"/>
          <w:sz w:val="20"/>
        </w:rPr>
        <w:t>n</w:t>
      </w:r>
      <w:r>
        <w:rPr>
          <w:rFonts w:ascii="Trebuchet MS" w:hAnsi="Trebuchet MS"/>
          <w:color w:val="231F20"/>
          <w:spacing w:val="-3"/>
          <w:w w:val="109"/>
          <w:sz w:val="20"/>
        </w:rPr>
        <w:t>c</w:t>
      </w:r>
      <w:r>
        <w:rPr>
          <w:rFonts w:ascii="Trebuchet MS" w:hAnsi="Trebuchet MS"/>
          <w:color w:val="231F20"/>
          <w:spacing w:val="-2"/>
          <w:w w:val="108"/>
          <w:sz w:val="20"/>
        </w:rPr>
        <w:t>e</w:t>
      </w:r>
      <w:r>
        <w:rPr>
          <w:rFonts w:ascii="Trebuchet MS" w:hAnsi="Trebuchet MS"/>
          <w:color w:val="231F20"/>
          <w:spacing w:val="-3"/>
          <w:w w:val="122"/>
          <w:sz w:val="20"/>
        </w:rPr>
        <w:t>s</w:t>
      </w:r>
      <w:r>
        <w:rPr>
          <w:rFonts w:ascii="Trebuchet MS" w:hAnsi="Trebuchet MS"/>
          <w:color w:val="231F20"/>
          <w:w w:val="54"/>
          <w:sz w:val="20"/>
        </w:rPr>
        <w:t>:</w:t>
      </w:r>
    </w:p>
    <w:p w14:paraId="5C4E51C8" w14:textId="77777777" w:rsidR="00894070" w:rsidRDefault="009B7AFD">
      <w:pPr>
        <w:pStyle w:val="ListParagraph"/>
        <w:numPr>
          <w:ilvl w:val="1"/>
          <w:numId w:val="83"/>
        </w:numPr>
        <w:tabs>
          <w:tab w:val="left" w:pos="2934"/>
          <w:tab w:val="left" w:pos="2935"/>
        </w:tabs>
        <w:spacing w:before="87"/>
        <w:ind w:hanging="566"/>
        <w:rPr>
          <w:rFonts w:ascii="Trebuchet MS" w:hAnsi="Trebuchet MS"/>
          <w:sz w:val="20"/>
        </w:rPr>
      </w:pPr>
      <w:r>
        <w:rPr>
          <w:rFonts w:ascii="Trebuchet MS" w:hAnsi="Trebuchet MS"/>
          <w:color w:val="231F20"/>
          <w:w w:val="105"/>
          <w:sz w:val="20"/>
        </w:rPr>
        <w:t>the</w:t>
      </w:r>
      <w:r>
        <w:rPr>
          <w:rFonts w:ascii="Trebuchet MS" w:hAnsi="Trebuchet MS"/>
          <w:color w:val="231F20"/>
          <w:spacing w:val="-18"/>
          <w:w w:val="105"/>
          <w:sz w:val="20"/>
        </w:rPr>
        <w:t xml:space="preserve"> </w:t>
      </w:r>
      <w:r>
        <w:rPr>
          <w:rFonts w:ascii="Trebuchet MS" w:hAnsi="Trebuchet MS"/>
          <w:color w:val="231F20"/>
          <w:spacing w:val="-3"/>
          <w:w w:val="105"/>
          <w:sz w:val="20"/>
        </w:rPr>
        <w:t>nature</w:t>
      </w:r>
      <w:r>
        <w:rPr>
          <w:rFonts w:ascii="Trebuchet MS" w:hAnsi="Trebuchet MS"/>
          <w:color w:val="231F20"/>
          <w:spacing w:val="-17"/>
          <w:w w:val="105"/>
          <w:sz w:val="20"/>
        </w:rPr>
        <w:t xml:space="preserve"> </w:t>
      </w:r>
      <w:r>
        <w:rPr>
          <w:rFonts w:ascii="Trebuchet MS" w:hAnsi="Trebuchet MS"/>
          <w:color w:val="231F20"/>
          <w:w w:val="105"/>
          <w:sz w:val="20"/>
        </w:rPr>
        <w:t>or</w:t>
      </w:r>
      <w:r>
        <w:rPr>
          <w:rFonts w:ascii="Trebuchet MS" w:hAnsi="Trebuchet MS"/>
          <w:color w:val="231F20"/>
          <w:spacing w:val="-17"/>
          <w:w w:val="105"/>
          <w:sz w:val="20"/>
        </w:rPr>
        <w:t xml:space="preserve"> </w:t>
      </w:r>
      <w:r>
        <w:rPr>
          <w:rFonts w:ascii="Trebuchet MS" w:hAnsi="Trebuchet MS"/>
          <w:color w:val="231F20"/>
          <w:w w:val="105"/>
          <w:sz w:val="20"/>
        </w:rPr>
        <w:t>seriousness</w:t>
      </w:r>
      <w:r>
        <w:rPr>
          <w:rFonts w:ascii="Trebuchet MS" w:hAnsi="Trebuchet MS"/>
          <w:color w:val="231F20"/>
          <w:spacing w:val="-17"/>
          <w:w w:val="105"/>
          <w:sz w:val="20"/>
        </w:rPr>
        <w:t xml:space="preserve"> </w:t>
      </w:r>
      <w:r>
        <w:rPr>
          <w:rFonts w:ascii="Trebuchet MS" w:hAnsi="Trebuchet MS"/>
          <w:color w:val="231F20"/>
          <w:w w:val="105"/>
          <w:sz w:val="20"/>
        </w:rPr>
        <w:t>of</w:t>
      </w:r>
      <w:r>
        <w:rPr>
          <w:rFonts w:ascii="Trebuchet MS" w:hAnsi="Trebuchet MS"/>
          <w:color w:val="231F20"/>
          <w:spacing w:val="-17"/>
          <w:w w:val="105"/>
          <w:sz w:val="20"/>
        </w:rPr>
        <w:t xml:space="preserve"> </w:t>
      </w: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w w:val="105"/>
          <w:sz w:val="20"/>
        </w:rPr>
        <w:t>alleged</w:t>
      </w:r>
      <w:r>
        <w:rPr>
          <w:rFonts w:ascii="Trebuchet MS" w:hAnsi="Trebuchet MS"/>
          <w:color w:val="231F20"/>
          <w:spacing w:val="-17"/>
          <w:w w:val="105"/>
          <w:sz w:val="20"/>
        </w:rPr>
        <w:t xml:space="preserve"> </w:t>
      </w:r>
      <w:r>
        <w:rPr>
          <w:rFonts w:ascii="Trebuchet MS" w:hAnsi="Trebuchet MS"/>
          <w:color w:val="231F20"/>
          <w:w w:val="105"/>
          <w:sz w:val="20"/>
        </w:rPr>
        <w:t>prohibited</w:t>
      </w:r>
      <w:r>
        <w:rPr>
          <w:rFonts w:ascii="Trebuchet MS" w:hAnsi="Trebuchet MS"/>
          <w:color w:val="231F20"/>
          <w:spacing w:val="-18"/>
          <w:w w:val="105"/>
          <w:sz w:val="20"/>
        </w:rPr>
        <w:t xml:space="preserve"> </w:t>
      </w:r>
      <w:r>
        <w:rPr>
          <w:rFonts w:ascii="Trebuchet MS" w:hAnsi="Trebuchet MS"/>
          <w:color w:val="231F20"/>
          <w:w w:val="105"/>
          <w:sz w:val="20"/>
        </w:rPr>
        <w:t>behaviour</w:t>
      </w:r>
    </w:p>
    <w:p w14:paraId="43A4457D" w14:textId="77777777" w:rsidR="00894070" w:rsidRDefault="009B7AFD">
      <w:pPr>
        <w:pStyle w:val="ListParagraph"/>
        <w:numPr>
          <w:ilvl w:val="1"/>
          <w:numId w:val="83"/>
        </w:numPr>
        <w:tabs>
          <w:tab w:val="left" w:pos="2934"/>
          <w:tab w:val="left" w:pos="2935"/>
        </w:tabs>
        <w:spacing w:before="93"/>
        <w:ind w:hanging="566"/>
        <w:rPr>
          <w:rFonts w:ascii="Trebuchet MS" w:hAnsi="Trebuchet MS"/>
          <w:sz w:val="20"/>
        </w:rPr>
      </w:pPr>
      <w:r>
        <w:rPr>
          <w:rFonts w:ascii="Trebuchet MS" w:hAnsi="Trebuchet MS"/>
          <w:color w:val="231F20"/>
          <w:w w:val="105"/>
          <w:sz w:val="20"/>
        </w:rPr>
        <w:t>relationship</w:t>
      </w:r>
      <w:r>
        <w:rPr>
          <w:rFonts w:ascii="Trebuchet MS" w:hAnsi="Trebuchet MS"/>
          <w:color w:val="231F20"/>
          <w:spacing w:val="-18"/>
          <w:w w:val="105"/>
          <w:sz w:val="20"/>
        </w:rPr>
        <w:t xml:space="preserve"> </w:t>
      </w:r>
      <w:r>
        <w:rPr>
          <w:rFonts w:ascii="Trebuchet MS" w:hAnsi="Trebuchet MS"/>
          <w:color w:val="231F20"/>
          <w:w w:val="105"/>
          <w:sz w:val="20"/>
        </w:rPr>
        <w:t>between</w:t>
      </w:r>
      <w:r>
        <w:rPr>
          <w:rFonts w:ascii="Trebuchet MS" w:hAnsi="Trebuchet MS"/>
          <w:color w:val="231F20"/>
          <w:spacing w:val="-18"/>
          <w:w w:val="105"/>
          <w:sz w:val="20"/>
        </w:rPr>
        <w:t xml:space="preserve"> </w:t>
      </w: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w w:val="105"/>
          <w:sz w:val="20"/>
        </w:rPr>
        <w:t>affected</w:t>
      </w:r>
      <w:r>
        <w:rPr>
          <w:rFonts w:ascii="Trebuchet MS" w:hAnsi="Trebuchet MS"/>
          <w:color w:val="231F20"/>
          <w:spacing w:val="-18"/>
          <w:w w:val="105"/>
          <w:sz w:val="20"/>
        </w:rPr>
        <w:t xml:space="preserve"> </w:t>
      </w:r>
      <w:r>
        <w:rPr>
          <w:rFonts w:ascii="Trebuchet MS" w:hAnsi="Trebuchet MS"/>
          <w:color w:val="231F20"/>
          <w:w w:val="105"/>
          <w:sz w:val="20"/>
        </w:rPr>
        <w:t>person</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8"/>
          <w:w w:val="105"/>
          <w:sz w:val="20"/>
        </w:rPr>
        <w:t xml:space="preserve"> </w:t>
      </w:r>
      <w:r>
        <w:rPr>
          <w:rFonts w:ascii="Trebuchet MS" w:hAnsi="Trebuchet MS"/>
          <w:color w:val="231F20"/>
          <w:w w:val="105"/>
          <w:sz w:val="20"/>
        </w:rPr>
        <w:t>respondent</w:t>
      </w:r>
    </w:p>
    <w:p w14:paraId="100AB277" w14:textId="77777777" w:rsidR="00894070" w:rsidRDefault="009B7AFD">
      <w:pPr>
        <w:pStyle w:val="ListParagraph"/>
        <w:numPr>
          <w:ilvl w:val="1"/>
          <w:numId w:val="83"/>
        </w:numPr>
        <w:tabs>
          <w:tab w:val="left" w:pos="2934"/>
          <w:tab w:val="left" w:pos="2935"/>
        </w:tabs>
        <w:spacing w:before="92"/>
        <w:ind w:hanging="566"/>
        <w:rPr>
          <w:rFonts w:ascii="Trebuchet MS" w:hAnsi="Trebuchet MS"/>
          <w:sz w:val="20"/>
        </w:rPr>
      </w:pPr>
      <w:r>
        <w:rPr>
          <w:rFonts w:ascii="Trebuchet MS" w:hAnsi="Trebuchet MS"/>
          <w:color w:val="231F20"/>
          <w:sz w:val="20"/>
        </w:rPr>
        <w:t>the</w:t>
      </w:r>
      <w:r>
        <w:rPr>
          <w:rFonts w:ascii="Trebuchet MS" w:hAnsi="Trebuchet MS"/>
          <w:color w:val="231F20"/>
          <w:spacing w:val="-14"/>
          <w:sz w:val="20"/>
        </w:rPr>
        <w:t xml:space="preserve"> </w:t>
      </w:r>
      <w:r>
        <w:rPr>
          <w:rFonts w:ascii="Trebuchet MS" w:hAnsi="Trebuchet MS"/>
          <w:color w:val="231F20"/>
          <w:spacing w:val="-3"/>
          <w:sz w:val="20"/>
        </w:rPr>
        <w:t>level</w:t>
      </w:r>
      <w:r>
        <w:rPr>
          <w:rFonts w:ascii="Trebuchet MS" w:hAnsi="Trebuchet MS"/>
          <w:color w:val="231F20"/>
          <w:spacing w:val="-13"/>
          <w:sz w:val="20"/>
        </w:rPr>
        <w:t xml:space="preserve"> </w:t>
      </w:r>
      <w:r>
        <w:rPr>
          <w:rFonts w:ascii="Trebuchet MS" w:hAnsi="Trebuchet MS"/>
          <w:color w:val="231F20"/>
          <w:sz w:val="20"/>
        </w:rPr>
        <w:t>of</w:t>
      </w:r>
      <w:r>
        <w:rPr>
          <w:rFonts w:ascii="Trebuchet MS" w:hAnsi="Trebuchet MS"/>
          <w:color w:val="231F20"/>
          <w:spacing w:val="-13"/>
          <w:sz w:val="20"/>
        </w:rPr>
        <w:t xml:space="preserve"> </w:t>
      </w:r>
      <w:r>
        <w:rPr>
          <w:rFonts w:ascii="Trebuchet MS" w:hAnsi="Trebuchet MS"/>
          <w:color w:val="231F20"/>
          <w:sz w:val="20"/>
        </w:rPr>
        <w:t>fear</w:t>
      </w:r>
      <w:r>
        <w:rPr>
          <w:rFonts w:ascii="Trebuchet MS" w:hAnsi="Trebuchet MS"/>
          <w:color w:val="231F20"/>
          <w:spacing w:val="-13"/>
          <w:sz w:val="20"/>
        </w:rPr>
        <w:t xml:space="preserve"> </w:t>
      </w:r>
      <w:r>
        <w:rPr>
          <w:rFonts w:ascii="Trebuchet MS" w:hAnsi="Trebuchet MS"/>
          <w:color w:val="231F20"/>
          <w:sz w:val="20"/>
        </w:rPr>
        <w:t>of</w:t>
      </w:r>
      <w:r>
        <w:rPr>
          <w:rFonts w:ascii="Trebuchet MS" w:hAnsi="Trebuchet MS"/>
          <w:color w:val="231F20"/>
          <w:spacing w:val="-13"/>
          <w:sz w:val="20"/>
        </w:rPr>
        <w:t xml:space="preserve"> </w:t>
      </w:r>
      <w:r>
        <w:rPr>
          <w:rFonts w:ascii="Trebuchet MS" w:hAnsi="Trebuchet MS"/>
          <w:color w:val="231F20"/>
          <w:sz w:val="20"/>
        </w:rPr>
        <w:t>the</w:t>
      </w:r>
      <w:r>
        <w:rPr>
          <w:rFonts w:ascii="Trebuchet MS" w:hAnsi="Trebuchet MS"/>
          <w:color w:val="231F20"/>
          <w:spacing w:val="-13"/>
          <w:sz w:val="20"/>
        </w:rPr>
        <w:t xml:space="preserve"> </w:t>
      </w:r>
      <w:r>
        <w:rPr>
          <w:rFonts w:ascii="Trebuchet MS" w:hAnsi="Trebuchet MS"/>
          <w:color w:val="231F20"/>
          <w:sz w:val="20"/>
        </w:rPr>
        <w:t>affected</w:t>
      </w:r>
      <w:r>
        <w:rPr>
          <w:rFonts w:ascii="Trebuchet MS" w:hAnsi="Trebuchet MS"/>
          <w:color w:val="231F20"/>
          <w:spacing w:val="-13"/>
          <w:sz w:val="20"/>
        </w:rPr>
        <w:t xml:space="preserve"> </w:t>
      </w:r>
      <w:r>
        <w:rPr>
          <w:rFonts w:ascii="Trebuchet MS" w:hAnsi="Trebuchet MS"/>
          <w:color w:val="231F20"/>
          <w:sz w:val="20"/>
        </w:rPr>
        <w:t>person</w:t>
      </w:r>
    </w:p>
    <w:p w14:paraId="056D41D8" w14:textId="77777777" w:rsidR="00894070" w:rsidRDefault="009B7AFD">
      <w:pPr>
        <w:pStyle w:val="ListParagraph"/>
        <w:numPr>
          <w:ilvl w:val="1"/>
          <w:numId w:val="83"/>
        </w:numPr>
        <w:tabs>
          <w:tab w:val="left" w:pos="2934"/>
          <w:tab w:val="left" w:pos="2935"/>
        </w:tabs>
        <w:spacing w:before="93"/>
        <w:ind w:hanging="566"/>
        <w:rPr>
          <w:rFonts w:ascii="Trebuchet MS" w:hAnsi="Trebuchet MS"/>
          <w:sz w:val="20"/>
        </w:rPr>
      </w:pPr>
      <w:r>
        <w:rPr>
          <w:rFonts w:ascii="Trebuchet MS" w:hAnsi="Trebuchet MS"/>
          <w:color w:val="231F20"/>
          <w:w w:val="105"/>
          <w:sz w:val="20"/>
        </w:rPr>
        <w:t>whether</w:t>
      </w:r>
      <w:r>
        <w:rPr>
          <w:rFonts w:ascii="Trebuchet MS" w:hAnsi="Trebuchet MS"/>
          <w:color w:val="231F20"/>
          <w:spacing w:val="-17"/>
          <w:w w:val="105"/>
          <w:sz w:val="20"/>
        </w:rPr>
        <w:t xml:space="preserve"> </w:t>
      </w:r>
      <w:r>
        <w:rPr>
          <w:rFonts w:ascii="Trebuchet MS" w:hAnsi="Trebuchet MS"/>
          <w:color w:val="231F20"/>
          <w:spacing w:val="-3"/>
          <w:w w:val="105"/>
          <w:sz w:val="20"/>
        </w:rPr>
        <w:t>cross-examination</w:t>
      </w:r>
      <w:r>
        <w:rPr>
          <w:rFonts w:ascii="Trebuchet MS" w:hAnsi="Trebuchet MS"/>
          <w:color w:val="231F20"/>
          <w:spacing w:val="-16"/>
          <w:w w:val="105"/>
          <w:sz w:val="20"/>
        </w:rPr>
        <w:t xml:space="preserve"> </w:t>
      </w:r>
      <w:r>
        <w:rPr>
          <w:rFonts w:ascii="Trebuchet MS" w:hAnsi="Trebuchet MS"/>
          <w:color w:val="231F20"/>
          <w:w w:val="105"/>
          <w:sz w:val="20"/>
        </w:rPr>
        <w:t>could</w:t>
      </w:r>
      <w:r>
        <w:rPr>
          <w:rFonts w:ascii="Trebuchet MS" w:hAnsi="Trebuchet MS"/>
          <w:color w:val="231F20"/>
          <w:spacing w:val="-16"/>
          <w:w w:val="105"/>
          <w:sz w:val="20"/>
        </w:rPr>
        <w:t xml:space="preserve"> </w:t>
      </w:r>
      <w:r>
        <w:rPr>
          <w:rFonts w:ascii="Trebuchet MS" w:hAnsi="Trebuchet MS"/>
          <w:color w:val="231F20"/>
          <w:spacing w:val="-3"/>
          <w:w w:val="105"/>
          <w:sz w:val="20"/>
        </w:rPr>
        <w:t>perpetuate</w:t>
      </w:r>
      <w:r>
        <w:rPr>
          <w:rFonts w:ascii="Trebuchet MS" w:hAnsi="Trebuchet MS"/>
          <w:color w:val="231F20"/>
          <w:spacing w:val="-17"/>
          <w:w w:val="105"/>
          <w:sz w:val="20"/>
        </w:rPr>
        <w:t xml:space="preserve"> </w:t>
      </w:r>
      <w:r>
        <w:rPr>
          <w:rFonts w:ascii="Trebuchet MS" w:hAnsi="Trebuchet MS"/>
          <w:color w:val="231F20"/>
          <w:w w:val="105"/>
          <w:sz w:val="20"/>
        </w:rPr>
        <w:t>stalking</w:t>
      </w:r>
    </w:p>
    <w:p w14:paraId="4B83C14D" w14:textId="77777777" w:rsidR="00894070" w:rsidRDefault="009B7AFD">
      <w:pPr>
        <w:pStyle w:val="ListParagraph"/>
        <w:numPr>
          <w:ilvl w:val="1"/>
          <w:numId w:val="83"/>
        </w:numPr>
        <w:tabs>
          <w:tab w:val="left" w:pos="2934"/>
          <w:tab w:val="left" w:pos="2935"/>
        </w:tabs>
        <w:spacing w:before="93"/>
        <w:ind w:hanging="566"/>
        <w:rPr>
          <w:rFonts w:ascii="Trebuchet MS" w:hAnsi="Trebuchet MS"/>
          <w:sz w:val="20"/>
        </w:rPr>
      </w:pPr>
      <w:r>
        <w:rPr>
          <w:rFonts w:ascii="Trebuchet MS" w:hAnsi="Trebuchet MS"/>
          <w:color w:val="231F20"/>
          <w:spacing w:val="-2"/>
          <w:w w:val="105"/>
          <w:sz w:val="20"/>
        </w:rPr>
        <w:t>a</w:t>
      </w:r>
      <w:r>
        <w:rPr>
          <w:rFonts w:ascii="Trebuchet MS" w:hAnsi="Trebuchet MS"/>
          <w:color w:val="231F20"/>
          <w:spacing w:val="-6"/>
          <w:w w:val="107"/>
          <w:sz w:val="20"/>
        </w:rPr>
        <w:t>n</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11"/>
          <w:sz w:val="20"/>
        </w:rPr>
        <w:t>p</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2"/>
          <w:w w:val="80"/>
          <w:sz w:val="20"/>
        </w:rPr>
        <w:t>i</w:t>
      </w:r>
      <w:r>
        <w:rPr>
          <w:rFonts w:ascii="Trebuchet MS" w:hAnsi="Trebuchet MS"/>
          <w:color w:val="231F20"/>
          <w:w w:val="80"/>
          <w:sz w:val="20"/>
        </w:rPr>
        <w:t>f</w:t>
      </w:r>
      <w:r>
        <w:rPr>
          <w:rFonts w:ascii="Trebuchet MS" w:hAnsi="Trebuchet MS"/>
          <w:color w:val="231F20"/>
          <w:spacing w:val="-1"/>
          <w:w w:val="80"/>
          <w:sz w:val="20"/>
        </w:rPr>
        <w:t>i</w:t>
      </w:r>
      <w:r>
        <w:rPr>
          <w:rFonts w:ascii="Trebuchet MS" w:hAnsi="Trebuchet MS"/>
          <w:color w:val="231F20"/>
          <w:w w:val="111"/>
          <w:sz w:val="20"/>
        </w:rPr>
        <w:t>c</w:t>
      </w:r>
      <w:r>
        <w:rPr>
          <w:rFonts w:ascii="Trebuchet MS" w:hAnsi="Trebuchet MS"/>
          <w:color w:val="231F20"/>
          <w:spacing w:val="-14"/>
          <w:sz w:val="20"/>
        </w:rPr>
        <w:t xml:space="preserve"> </w:t>
      </w:r>
      <w:r>
        <w:rPr>
          <w:rFonts w:ascii="Trebuchet MS" w:hAnsi="Trebuchet MS"/>
          <w:color w:val="231F20"/>
          <w:spacing w:val="-1"/>
          <w:w w:val="107"/>
          <w:sz w:val="20"/>
        </w:rPr>
        <w:t>n</w:t>
      </w:r>
      <w:r>
        <w:rPr>
          <w:rFonts w:ascii="Trebuchet MS" w:hAnsi="Trebuchet MS"/>
          <w:color w:val="231F20"/>
          <w:w w:val="108"/>
          <w:sz w:val="20"/>
        </w:rPr>
        <w:t>ee</w:t>
      </w:r>
      <w:r>
        <w:rPr>
          <w:rFonts w:ascii="Trebuchet MS" w:hAnsi="Trebuchet MS"/>
          <w:color w:val="231F20"/>
          <w:spacing w:val="-1"/>
          <w:w w:val="112"/>
          <w:sz w:val="20"/>
        </w:rPr>
        <w:t>d</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3"/>
          <w:w w:val="105"/>
          <w:sz w:val="20"/>
        </w:rPr>
        <w:t>a</w:t>
      </w:r>
      <w:r>
        <w:rPr>
          <w:rFonts w:ascii="Trebuchet MS" w:hAnsi="Trebuchet MS"/>
          <w:color w:val="231F20"/>
          <w:w w:val="81"/>
          <w:sz w:val="20"/>
        </w:rPr>
        <w:t>f</w:t>
      </w:r>
      <w:r>
        <w:rPr>
          <w:rFonts w:ascii="Trebuchet MS" w:hAnsi="Trebuchet MS"/>
          <w:color w:val="231F20"/>
          <w:spacing w:val="-5"/>
          <w:w w:val="81"/>
          <w:sz w:val="20"/>
        </w:rPr>
        <w:t>f</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spacing w:val="-1"/>
          <w:w w:val="111"/>
          <w:sz w:val="20"/>
        </w:rPr>
        <w:t>o</w:t>
      </w:r>
      <w:r>
        <w:rPr>
          <w:rFonts w:ascii="Trebuchet MS" w:hAnsi="Trebuchet MS"/>
          <w:color w:val="231F20"/>
          <w:spacing w:val="-1"/>
          <w:w w:val="107"/>
          <w:sz w:val="20"/>
        </w:rPr>
        <w:t>n</w:t>
      </w:r>
      <w:r>
        <w:rPr>
          <w:rFonts w:ascii="Trebuchet MS" w:hAnsi="Trebuchet MS"/>
          <w:color w:val="231F20"/>
          <w:w w:val="55"/>
          <w:sz w:val="20"/>
        </w:rPr>
        <w:t>.</w:t>
      </w:r>
    </w:p>
    <w:p w14:paraId="189B8BE7" w14:textId="77777777" w:rsidR="00894070" w:rsidRDefault="009B7AFD">
      <w:pPr>
        <w:pStyle w:val="ListParagraph"/>
        <w:numPr>
          <w:ilvl w:val="0"/>
          <w:numId w:val="84"/>
        </w:numPr>
        <w:tabs>
          <w:tab w:val="left" w:pos="1801"/>
          <w:tab w:val="left" w:pos="1802"/>
        </w:tabs>
        <w:spacing w:before="93" w:line="247" w:lineRule="auto"/>
        <w:ind w:left="1801" w:right="1564"/>
        <w:rPr>
          <w:rFonts w:ascii="Trebuchet MS"/>
          <w:sz w:val="20"/>
        </w:rPr>
      </w:pPr>
      <w:r>
        <w:rPr>
          <w:rFonts w:ascii="Trebuchet MS"/>
          <w:color w:val="231F20"/>
          <w:w w:val="105"/>
          <w:sz w:val="20"/>
        </w:rPr>
        <w:t>The</w:t>
      </w:r>
      <w:r>
        <w:rPr>
          <w:rFonts w:ascii="Trebuchet MS"/>
          <w:color w:val="231F20"/>
          <w:spacing w:val="-36"/>
          <w:w w:val="105"/>
          <w:sz w:val="20"/>
        </w:rPr>
        <w:t xml:space="preserve"> </w:t>
      </w:r>
      <w:r>
        <w:rPr>
          <w:rFonts w:ascii="Arial"/>
          <w:i/>
          <w:color w:val="231F20"/>
          <w:w w:val="105"/>
          <w:sz w:val="20"/>
        </w:rPr>
        <w:t>Personal</w:t>
      </w:r>
      <w:r>
        <w:rPr>
          <w:rFonts w:ascii="Arial"/>
          <w:i/>
          <w:color w:val="231F20"/>
          <w:spacing w:val="-32"/>
          <w:w w:val="105"/>
          <w:sz w:val="20"/>
        </w:rPr>
        <w:t xml:space="preserve"> </w:t>
      </w:r>
      <w:r>
        <w:rPr>
          <w:rFonts w:ascii="Arial"/>
          <w:i/>
          <w:color w:val="231F20"/>
          <w:w w:val="105"/>
          <w:sz w:val="20"/>
        </w:rPr>
        <w:t>Safety</w:t>
      </w:r>
      <w:r>
        <w:rPr>
          <w:rFonts w:ascii="Arial"/>
          <w:i/>
          <w:color w:val="231F20"/>
          <w:spacing w:val="-33"/>
          <w:w w:val="105"/>
          <w:sz w:val="20"/>
        </w:rPr>
        <w:t xml:space="preserve"> </w:t>
      </w:r>
      <w:r>
        <w:rPr>
          <w:rFonts w:ascii="Arial"/>
          <w:i/>
          <w:color w:val="231F20"/>
          <w:w w:val="105"/>
          <w:sz w:val="20"/>
        </w:rPr>
        <w:t>Intervention</w:t>
      </w:r>
      <w:r>
        <w:rPr>
          <w:rFonts w:ascii="Arial"/>
          <w:i/>
          <w:color w:val="231F20"/>
          <w:spacing w:val="-32"/>
          <w:w w:val="105"/>
          <w:sz w:val="20"/>
        </w:rPr>
        <w:t xml:space="preserve"> </w:t>
      </w:r>
      <w:r>
        <w:rPr>
          <w:rFonts w:ascii="Arial"/>
          <w:i/>
          <w:color w:val="231F20"/>
          <w:w w:val="105"/>
          <w:sz w:val="20"/>
        </w:rPr>
        <w:t>Orders</w:t>
      </w:r>
      <w:r>
        <w:rPr>
          <w:rFonts w:ascii="Arial"/>
          <w:i/>
          <w:color w:val="231F20"/>
          <w:spacing w:val="-32"/>
          <w:w w:val="105"/>
          <w:sz w:val="20"/>
        </w:rPr>
        <w:t xml:space="preserve"> </w:t>
      </w:r>
      <w:r>
        <w:rPr>
          <w:rFonts w:ascii="Arial"/>
          <w:i/>
          <w:color w:val="231F20"/>
          <w:w w:val="105"/>
          <w:sz w:val="20"/>
        </w:rPr>
        <w:t>Act</w:t>
      </w:r>
      <w:r>
        <w:rPr>
          <w:rFonts w:ascii="Arial"/>
          <w:i/>
          <w:color w:val="231F20"/>
          <w:spacing w:val="-32"/>
          <w:w w:val="105"/>
          <w:sz w:val="20"/>
        </w:rPr>
        <w:t xml:space="preserve"> </w:t>
      </w:r>
      <w:r>
        <w:rPr>
          <w:rFonts w:ascii="Arial"/>
          <w:i/>
          <w:color w:val="231F20"/>
          <w:spacing w:val="-3"/>
          <w:w w:val="105"/>
          <w:sz w:val="20"/>
        </w:rPr>
        <w:t>2010</w:t>
      </w:r>
      <w:r>
        <w:rPr>
          <w:rFonts w:ascii="Arial"/>
          <w:i/>
          <w:color w:val="231F20"/>
          <w:spacing w:val="-30"/>
          <w:w w:val="105"/>
          <w:sz w:val="20"/>
        </w:rPr>
        <w:t xml:space="preserve"> </w:t>
      </w:r>
      <w:r>
        <w:rPr>
          <w:rFonts w:ascii="Trebuchet MS"/>
          <w:color w:val="231F20"/>
          <w:w w:val="105"/>
          <w:sz w:val="20"/>
        </w:rPr>
        <w:t>(Vic)</w:t>
      </w:r>
      <w:r>
        <w:rPr>
          <w:rFonts w:ascii="Trebuchet MS"/>
          <w:color w:val="231F20"/>
          <w:spacing w:val="-36"/>
          <w:w w:val="105"/>
          <w:sz w:val="20"/>
        </w:rPr>
        <w:t xml:space="preserve"> </w:t>
      </w:r>
      <w:r>
        <w:rPr>
          <w:rFonts w:ascii="Trebuchet MS"/>
          <w:color w:val="231F20"/>
          <w:w w:val="105"/>
          <w:sz w:val="20"/>
        </w:rPr>
        <w:t>should</w:t>
      </w:r>
      <w:r>
        <w:rPr>
          <w:rFonts w:ascii="Trebuchet MS"/>
          <w:color w:val="231F20"/>
          <w:spacing w:val="-36"/>
          <w:w w:val="105"/>
          <w:sz w:val="20"/>
        </w:rPr>
        <w:t xml:space="preserve"> </w:t>
      </w:r>
      <w:r>
        <w:rPr>
          <w:rFonts w:ascii="Trebuchet MS"/>
          <w:color w:val="231F20"/>
          <w:w w:val="105"/>
          <w:sz w:val="20"/>
        </w:rPr>
        <w:t>include</w:t>
      </w:r>
      <w:r>
        <w:rPr>
          <w:rFonts w:ascii="Trebuchet MS"/>
          <w:color w:val="231F20"/>
          <w:spacing w:val="-36"/>
          <w:w w:val="105"/>
          <w:sz w:val="20"/>
        </w:rPr>
        <w:t xml:space="preserve"> </w:t>
      </w:r>
      <w:r>
        <w:rPr>
          <w:rFonts w:ascii="Trebuchet MS"/>
          <w:color w:val="231F20"/>
          <w:w w:val="105"/>
          <w:sz w:val="20"/>
        </w:rPr>
        <w:t>an</w:t>
      </w:r>
      <w:r>
        <w:rPr>
          <w:rFonts w:ascii="Trebuchet MS"/>
          <w:color w:val="231F20"/>
          <w:spacing w:val="-36"/>
          <w:w w:val="105"/>
          <w:sz w:val="20"/>
        </w:rPr>
        <w:t xml:space="preserve"> </w:t>
      </w:r>
      <w:r>
        <w:rPr>
          <w:rFonts w:ascii="Trebuchet MS"/>
          <w:color w:val="231F20"/>
          <w:w w:val="105"/>
          <w:sz w:val="20"/>
        </w:rPr>
        <w:t xml:space="preserve">equivalent </w:t>
      </w:r>
      <w:r>
        <w:rPr>
          <w:rFonts w:ascii="Trebuchet MS"/>
          <w:color w:val="231F20"/>
          <w:spacing w:val="-3"/>
          <w:w w:val="105"/>
          <w:sz w:val="20"/>
        </w:rPr>
        <w:t>provision</w:t>
      </w:r>
      <w:r>
        <w:rPr>
          <w:rFonts w:ascii="Trebuchet MS"/>
          <w:color w:val="231F20"/>
          <w:spacing w:val="-23"/>
          <w:w w:val="105"/>
          <w:sz w:val="20"/>
        </w:rPr>
        <w:t xml:space="preserve"> </w:t>
      </w:r>
      <w:r>
        <w:rPr>
          <w:rFonts w:ascii="Trebuchet MS"/>
          <w:color w:val="231F20"/>
          <w:w w:val="105"/>
          <w:sz w:val="20"/>
        </w:rPr>
        <w:t>as</w:t>
      </w:r>
      <w:r>
        <w:rPr>
          <w:rFonts w:ascii="Trebuchet MS"/>
          <w:color w:val="231F20"/>
          <w:spacing w:val="-22"/>
          <w:w w:val="105"/>
          <w:sz w:val="20"/>
        </w:rPr>
        <w:t xml:space="preserve"> </w:t>
      </w:r>
      <w:r>
        <w:rPr>
          <w:rFonts w:ascii="Trebuchet MS"/>
          <w:color w:val="231F20"/>
          <w:w w:val="105"/>
          <w:sz w:val="20"/>
        </w:rPr>
        <w:t>in</w:t>
      </w:r>
      <w:r>
        <w:rPr>
          <w:rFonts w:ascii="Trebuchet MS"/>
          <w:color w:val="231F20"/>
          <w:spacing w:val="-23"/>
          <w:w w:val="105"/>
          <w:sz w:val="20"/>
        </w:rPr>
        <w:t xml:space="preserve"> </w:t>
      </w:r>
      <w:r>
        <w:rPr>
          <w:rFonts w:ascii="Trebuchet MS"/>
          <w:color w:val="231F20"/>
          <w:w w:val="105"/>
          <w:sz w:val="20"/>
        </w:rPr>
        <w:t>section</w:t>
      </w:r>
      <w:r>
        <w:rPr>
          <w:rFonts w:ascii="Trebuchet MS"/>
          <w:color w:val="231F20"/>
          <w:spacing w:val="-22"/>
          <w:w w:val="105"/>
          <w:sz w:val="20"/>
        </w:rPr>
        <w:t xml:space="preserve"> </w:t>
      </w:r>
      <w:r>
        <w:rPr>
          <w:rFonts w:ascii="Trebuchet MS"/>
          <w:color w:val="231F20"/>
          <w:w w:val="105"/>
          <w:sz w:val="20"/>
        </w:rPr>
        <w:t>71</w:t>
      </w:r>
      <w:r>
        <w:rPr>
          <w:rFonts w:ascii="Trebuchet MS"/>
          <w:color w:val="231F20"/>
          <w:spacing w:val="-23"/>
          <w:w w:val="105"/>
          <w:sz w:val="20"/>
        </w:rPr>
        <w:t xml:space="preserve"> </w:t>
      </w:r>
      <w:r>
        <w:rPr>
          <w:rFonts w:ascii="Trebuchet MS"/>
          <w:color w:val="231F20"/>
          <w:w w:val="105"/>
          <w:sz w:val="20"/>
        </w:rPr>
        <w:t>of</w:t>
      </w:r>
      <w:r>
        <w:rPr>
          <w:rFonts w:ascii="Trebuchet MS"/>
          <w:color w:val="231F20"/>
          <w:spacing w:val="-22"/>
          <w:w w:val="105"/>
          <w:sz w:val="20"/>
        </w:rPr>
        <w:t xml:space="preserve"> </w:t>
      </w:r>
      <w:r>
        <w:rPr>
          <w:rFonts w:ascii="Trebuchet MS"/>
          <w:color w:val="231F20"/>
          <w:w w:val="105"/>
          <w:sz w:val="20"/>
        </w:rPr>
        <w:t>the</w:t>
      </w:r>
      <w:r>
        <w:rPr>
          <w:rFonts w:ascii="Trebuchet MS"/>
          <w:color w:val="231F20"/>
          <w:spacing w:val="-23"/>
          <w:w w:val="105"/>
          <w:sz w:val="20"/>
        </w:rPr>
        <w:t xml:space="preserve"> </w:t>
      </w:r>
      <w:r>
        <w:rPr>
          <w:rFonts w:ascii="Arial"/>
          <w:i/>
          <w:color w:val="231F20"/>
          <w:spacing w:val="-3"/>
          <w:w w:val="105"/>
          <w:sz w:val="20"/>
        </w:rPr>
        <w:t>Family</w:t>
      </w:r>
      <w:r>
        <w:rPr>
          <w:rFonts w:ascii="Arial"/>
          <w:i/>
          <w:color w:val="231F20"/>
          <w:spacing w:val="-19"/>
          <w:w w:val="105"/>
          <w:sz w:val="20"/>
        </w:rPr>
        <w:t xml:space="preserve"> </w:t>
      </w:r>
      <w:r>
        <w:rPr>
          <w:rFonts w:ascii="Arial"/>
          <w:i/>
          <w:color w:val="231F20"/>
          <w:w w:val="105"/>
          <w:sz w:val="20"/>
        </w:rPr>
        <w:t>Violence</w:t>
      </w:r>
      <w:r>
        <w:rPr>
          <w:rFonts w:ascii="Arial"/>
          <w:i/>
          <w:color w:val="231F20"/>
          <w:spacing w:val="-19"/>
          <w:w w:val="105"/>
          <w:sz w:val="20"/>
        </w:rPr>
        <w:t xml:space="preserve"> </w:t>
      </w:r>
      <w:r>
        <w:rPr>
          <w:rFonts w:ascii="Arial"/>
          <w:i/>
          <w:color w:val="231F20"/>
          <w:spacing w:val="-3"/>
          <w:w w:val="105"/>
          <w:sz w:val="20"/>
        </w:rPr>
        <w:t>Protection</w:t>
      </w:r>
      <w:r>
        <w:rPr>
          <w:rFonts w:ascii="Arial"/>
          <w:i/>
          <w:color w:val="231F20"/>
          <w:spacing w:val="-19"/>
          <w:w w:val="105"/>
          <w:sz w:val="20"/>
        </w:rPr>
        <w:t xml:space="preserve"> </w:t>
      </w:r>
      <w:r>
        <w:rPr>
          <w:rFonts w:ascii="Arial"/>
          <w:i/>
          <w:color w:val="231F20"/>
          <w:w w:val="105"/>
          <w:sz w:val="20"/>
        </w:rPr>
        <w:t>Act</w:t>
      </w:r>
      <w:r>
        <w:rPr>
          <w:rFonts w:ascii="Arial"/>
          <w:i/>
          <w:color w:val="231F20"/>
          <w:spacing w:val="-19"/>
          <w:w w:val="105"/>
          <w:sz w:val="20"/>
        </w:rPr>
        <w:t xml:space="preserve"> </w:t>
      </w:r>
      <w:r>
        <w:rPr>
          <w:rFonts w:ascii="Arial"/>
          <w:i/>
          <w:color w:val="231F20"/>
          <w:w w:val="105"/>
          <w:sz w:val="20"/>
        </w:rPr>
        <w:t>2008</w:t>
      </w:r>
      <w:r>
        <w:rPr>
          <w:rFonts w:ascii="Arial"/>
          <w:i/>
          <w:color w:val="231F20"/>
          <w:spacing w:val="-17"/>
          <w:w w:val="105"/>
          <w:sz w:val="20"/>
        </w:rPr>
        <w:t xml:space="preserve"> </w:t>
      </w:r>
      <w:r>
        <w:rPr>
          <w:rFonts w:ascii="Trebuchet MS"/>
          <w:color w:val="231F20"/>
          <w:w w:val="105"/>
          <w:sz w:val="20"/>
        </w:rPr>
        <w:t>(Vic)</w:t>
      </w:r>
      <w:r>
        <w:rPr>
          <w:rFonts w:ascii="Trebuchet MS"/>
          <w:color w:val="231F20"/>
          <w:spacing w:val="-22"/>
          <w:w w:val="105"/>
          <w:sz w:val="20"/>
        </w:rPr>
        <w:t xml:space="preserve"> </w:t>
      </w:r>
      <w:r>
        <w:rPr>
          <w:rFonts w:ascii="Trebuchet MS"/>
          <w:color w:val="231F20"/>
          <w:w w:val="105"/>
          <w:sz w:val="20"/>
        </w:rPr>
        <w:t>for</w:t>
      </w:r>
    </w:p>
    <w:p w14:paraId="2252EA19" w14:textId="77777777" w:rsidR="00894070" w:rsidRDefault="009B7AFD">
      <w:pPr>
        <w:pStyle w:val="BodyText"/>
        <w:spacing w:before="1" w:line="247" w:lineRule="auto"/>
        <w:ind w:left="1801" w:right="1459"/>
        <w:rPr>
          <w:rFonts w:ascii="Trebuchet MS"/>
        </w:rPr>
      </w:pPr>
      <w:r>
        <w:rPr>
          <w:rFonts w:ascii="Trebuchet MS"/>
          <w:color w:val="231F20"/>
          <w:w w:val="105"/>
        </w:rPr>
        <w:t>the</w:t>
      </w:r>
      <w:r>
        <w:rPr>
          <w:rFonts w:ascii="Trebuchet MS"/>
          <w:color w:val="231F20"/>
          <w:spacing w:val="-22"/>
          <w:w w:val="105"/>
        </w:rPr>
        <w:t xml:space="preserve"> </w:t>
      </w:r>
      <w:r>
        <w:rPr>
          <w:rFonts w:ascii="Trebuchet MS"/>
          <w:color w:val="231F20"/>
          <w:w w:val="105"/>
        </w:rPr>
        <w:t>court</w:t>
      </w:r>
      <w:r>
        <w:rPr>
          <w:rFonts w:ascii="Trebuchet MS"/>
          <w:color w:val="231F20"/>
          <w:spacing w:val="-22"/>
          <w:w w:val="105"/>
        </w:rPr>
        <w:t xml:space="preserve"> </w:t>
      </w:r>
      <w:r>
        <w:rPr>
          <w:rFonts w:ascii="Trebuchet MS"/>
          <w:color w:val="231F20"/>
          <w:w w:val="105"/>
        </w:rPr>
        <w:t>to</w:t>
      </w:r>
      <w:r>
        <w:rPr>
          <w:rFonts w:ascii="Trebuchet MS"/>
          <w:color w:val="231F20"/>
          <w:spacing w:val="-21"/>
          <w:w w:val="105"/>
        </w:rPr>
        <w:t xml:space="preserve"> </w:t>
      </w:r>
      <w:r>
        <w:rPr>
          <w:rFonts w:ascii="Trebuchet MS"/>
          <w:color w:val="231F20"/>
          <w:w w:val="105"/>
        </w:rPr>
        <w:t>order</w:t>
      </w:r>
      <w:r>
        <w:rPr>
          <w:rFonts w:ascii="Trebuchet MS"/>
          <w:color w:val="231F20"/>
          <w:spacing w:val="-22"/>
          <w:w w:val="105"/>
        </w:rPr>
        <w:t xml:space="preserve"> </w:t>
      </w:r>
      <w:r>
        <w:rPr>
          <w:rFonts w:ascii="Trebuchet MS"/>
          <w:color w:val="231F20"/>
          <w:w w:val="105"/>
        </w:rPr>
        <w:t>Victoria</w:t>
      </w:r>
      <w:r>
        <w:rPr>
          <w:rFonts w:ascii="Trebuchet MS"/>
          <w:color w:val="231F20"/>
          <w:spacing w:val="-21"/>
          <w:w w:val="105"/>
        </w:rPr>
        <w:t xml:space="preserve"> </w:t>
      </w:r>
      <w:r>
        <w:rPr>
          <w:rFonts w:ascii="Trebuchet MS"/>
          <w:color w:val="231F20"/>
          <w:w w:val="105"/>
        </w:rPr>
        <w:t>Legal</w:t>
      </w:r>
      <w:r>
        <w:rPr>
          <w:rFonts w:ascii="Trebuchet MS"/>
          <w:color w:val="231F20"/>
          <w:spacing w:val="-22"/>
          <w:w w:val="105"/>
        </w:rPr>
        <w:t xml:space="preserve"> </w:t>
      </w:r>
      <w:r>
        <w:rPr>
          <w:rFonts w:ascii="Trebuchet MS"/>
          <w:color w:val="231F20"/>
          <w:w w:val="105"/>
        </w:rPr>
        <w:t>Aid</w:t>
      </w:r>
      <w:r>
        <w:rPr>
          <w:rFonts w:ascii="Trebuchet MS"/>
          <w:color w:val="231F20"/>
          <w:spacing w:val="-21"/>
          <w:w w:val="105"/>
        </w:rPr>
        <w:t xml:space="preserve"> </w:t>
      </w:r>
      <w:r>
        <w:rPr>
          <w:rFonts w:ascii="Trebuchet MS"/>
          <w:color w:val="231F20"/>
          <w:w w:val="105"/>
        </w:rPr>
        <w:t>to</w:t>
      </w:r>
      <w:r>
        <w:rPr>
          <w:rFonts w:ascii="Trebuchet MS"/>
          <w:color w:val="231F20"/>
          <w:spacing w:val="-22"/>
          <w:w w:val="105"/>
        </w:rPr>
        <w:t xml:space="preserve"> </w:t>
      </w:r>
      <w:r>
        <w:rPr>
          <w:rFonts w:ascii="Trebuchet MS"/>
          <w:color w:val="231F20"/>
          <w:spacing w:val="-2"/>
          <w:w w:val="105"/>
        </w:rPr>
        <w:t>represent</w:t>
      </w:r>
      <w:r>
        <w:rPr>
          <w:rFonts w:ascii="Trebuchet MS"/>
          <w:color w:val="231F20"/>
          <w:spacing w:val="-21"/>
          <w:w w:val="105"/>
        </w:rPr>
        <w:t xml:space="preserve"> </w:t>
      </w:r>
      <w:r>
        <w:rPr>
          <w:rFonts w:ascii="Trebuchet MS"/>
          <w:color w:val="231F20"/>
          <w:w w:val="105"/>
        </w:rPr>
        <w:t>otherwise</w:t>
      </w:r>
      <w:r>
        <w:rPr>
          <w:rFonts w:ascii="Trebuchet MS"/>
          <w:color w:val="231F20"/>
          <w:spacing w:val="-22"/>
          <w:w w:val="105"/>
        </w:rPr>
        <w:t xml:space="preserve"> </w:t>
      </w:r>
      <w:r>
        <w:rPr>
          <w:rFonts w:ascii="Trebuchet MS"/>
          <w:color w:val="231F20"/>
          <w:w w:val="105"/>
        </w:rPr>
        <w:t xml:space="preserve">unrepresented </w:t>
      </w:r>
      <w:r>
        <w:rPr>
          <w:rFonts w:ascii="Trebuchet MS"/>
          <w:color w:val="231F20"/>
          <w:spacing w:val="-4"/>
          <w:w w:val="93"/>
        </w:rPr>
        <w:t>r</w:t>
      </w:r>
      <w:r>
        <w:rPr>
          <w:rFonts w:ascii="Trebuchet MS"/>
          <w:color w:val="231F20"/>
          <w:spacing w:val="-2"/>
          <w:w w:val="108"/>
        </w:rPr>
        <w:t>e</w:t>
      </w:r>
      <w:r>
        <w:rPr>
          <w:rFonts w:ascii="Trebuchet MS"/>
          <w:color w:val="231F20"/>
          <w:spacing w:val="-2"/>
          <w:w w:val="122"/>
        </w:rPr>
        <w:t>s</w:t>
      </w:r>
      <w:r>
        <w:rPr>
          <w:rFonts w:ascii="Trebuchet MS"/>
          <w:color w:val="231F20"/>
          <w:spacing w:val="-1"/>
          <w:w w:val="111"/>
        </w:rPr>
        <w:t>po</w:t>
      </w:r>
      <w:r>
        <w:rPr>
          <w:rFonts w:ascii="Trebuchet MS"/>
          <w:color w:val="231F20"/>
          <w:spacing w:val="-1"/>
          <w:w w:val="107"/>
        </w:rPr>
        <w:t>n</w:t>
      </w:r>
      <w:r>
        <w:rPr>
          <w:rFonts w:ascii="Trebuchet MS"/>
          <w:color w:val="231F20"/>
          <w:spacing w:val="-2"/>
          <w:w w:val="112"/>
        </w:rPr>
        <w:t>d</w:t>
      </w:r>
      <w:r>
        <w:rPr>
          <w:rFonts w:ascii="Trebuchet MS"/>
          <w:color w:val="231F20"/>
          <w:spacing w:val="-1"/>
          <w:w w:val="108"/>
        </w:rPr>
        <w:t>e</w:t>
      </w:r>
      <w:r>
        <w:rPr>
          <w:rFonts w:ascii="Trebuchet MS"/>
          <w:color w:val="231F20"/>
          <w:spacing w:val="-4"/>
          <w:w w:val="107"/>
        </w:rPr>
        <w:t>n</w:t>
      </w:r>
      <w:r>
        <w:rPr>
          <w:rFonts w:ascii="Trebuchet MS"/>
          <w:color w:val="231F20"/>
          <w:spacing w:val="2"/>
          <w:w w:val="88"/>
        </w:rPr>
        <w:t>t</w:t>
      </w:r>
      <w:r>
        <w:rPr>
          <w:rFonts w:ascii="Trebuchet MS"/>
          <w:color w:val="231F20"/>
          <w:w w:val="122"/>
        </w:rPr>
        <w:t>s</w:t>
      </w:r>
      <w:r>
        <w:rPr>
          <w:rFonts w:ascii="Trebuchet MS"/>
          <w:color w:val="231F20"/>
          <w:spacing w:val="-14"/>
        </w:rPr>
        <w:t xml:space="preserve"> </w:t>
      </w:r>
      <w:r>
        <w:rPr>
          <w:rFonts w:ascii="Trebuchet MS"/>
          <w:color w:val="231F20"/>
          <w:spacing w:val="-5"/>
          <w:w w:val="92"/>
        </w:rPr>
        <w:t>f</w:t>
      </w:r>
      <w:r>
        <w:rPr>
          <w:rFonts w:ascii="Trebuchet MS"/>
          <w:color w:val="231F20"/>
          <w:spacing w:val="-1"/>
          <w:w w:val="111"/>
        </w:rPr>
        <w:t>o</w:t>
      </w:r>
      <w:r>
        <w:rPr>
          <w:rFonts w:ascii="Trebuchet MS"/>
          <w:color w:val="231F20"/>
          <w:w w:val="93"/>
        </w:rPr>
        <w:t>r</w:t>
      </w:r>
      <w:r>
        <w:rPr>
          <w:rFonts w:ascii="Trebuchet MS"/>
          <w:color w:val="231F20"/>
          <w:spacing w:val="-14"/>
        </w:rPr>
        <w:t xml:space="preserve"> </w:t>
      </w:r>
      <w:r>
        <w:rPr>
          <w:rFonts w:ascii="Trebuchet MS"/>
          <w:color w:val="231F20"/>
          <w:spacing w:val="-2"/>
          <w:w w:val="111"/>
        </w:rPr>
        <w:t>c</w:t>
      </w:r>
      <w:r>
        <w:rPr>
          <w:rFonts w:ascii="Trebuchet MS"/>
          <w:color w:val="231F20"/>
          <w:spacing w:val="-4"/>
          <w:w w:val="93"/>
        </w:rPr>
        <w:t>r</w:t>
      </w:r>
      <w:r>
        <w:rPr>
          <w:rFonts w:ascii="Trebuchet MS"/>
          <w:color w:val="231F20"/>
          <w:spacing w:val="-2"/>
          <w:w w:val="111"/>
        </w:rPr>
        <w:t>o</w:t>
      </w:r>
      <w:r>
        <w:rPr>
          <w:rFonts w:ascii="Trebuchet MS"/>
          <w:color w:val="231F20"/>
          <w:spacing w:val="-1"/>
          <w:w w:val="122"/>
        </w:rPr>
        <w:t>s</w:t>
      </w:r>
      <w:r>
        <w:rPr>
          <w:rFonts w:ascii="Trebuchet MS"/>
          <w:color w:val="231F20"/>
          <w:spacing w:val="-4"/>
          <w:w w:val="122"/>
        </w:rPr>
        <w:t>s</w:t>
      </w:r>
      <w:r>
        <w:rPr>
          <w:rFonts w:ascii="Trebuchet MS"/>
          <w:color w:val="231F20"/>
          <w:spacing w:val="1"/>
          <w:w w:val="115"/>
        </w:rPr>
        <w:t>-</w:t>
      </w:r>
      <w:r>
        <w:rPr>
          <w:rFonts w:ascii="Trebuchet MS"/>
          <w:color w:val="231F20"/>
          <w:spacing w:val="-5"/>
          <w:w w:val="108"/>
        </w:rPr>
        <w:t>e</w:t>
      </w:r>
      <w:r>
        <w:rPr>
          <w:rFonts w:ascii="Trebuchet MS"/>
          <w:color w:val="231F20"/>
          <w:spacing w:val="-4"/>
          <w:w w:val="102"/>
        </w:rPr>
        <w:t>x</w:t>
      </w:r>
      <w:r>
        <w:rPr>
          <w:rFonts w:ascii="Trebuchet MS"/>
          <w:color w:val="231F20"/>
          <w:spacing w:val="-2"/>
          <w:w w:val="104"/>
        </w:rPr>
        <w:t>ami</w:t>
      </w:r>
      <w:r>
        <w:rPr>
          <w:rFonts w:ascii="Trebuchet MS"/>
          <w:color w:val="231F20"/>
          <w:spacing w:val="-1"/>
          <w:w w:val="107"/>
        </w:rPr>
        <w:t>n</w:t>
      </w:r>
      <w:r>
        <w:rPr>
          <w:rFonts w:ascii="Trebuchet MS"/>
          <w:color w:val="231F20"/>
          <w:spacing w:val="-4"/>
          <w:w w:val="105"/>
        </w:rPr>
        <w:t>a</w:t>
      </w:r>
      <w:r>
        <w:rPr>
          <w:rFonts w:ascii="Trebuchet MS"/>
          <w:color w:val="231F20"/>
          <w:spacing w:val="-2"/>
          <w:w w:val="85"/>
        </w:rPr>
        <w:t>t</w:t>
      </w:r>
      <w:r>
        <w:rPr>
          <w:rFonts w:ascii="Trebuchet MS"/>
          <w:color w:val="231F20"/>
          <w:spacing w:val="-1"/>
          <w:w w:val="85"/>
        </w:rPr>
        <w:t>i</w:t>
      </w:r>
      <w:r>
        <w:rPr>
          <w:rFonts w:ascii="Trebuchet MS"/>
          <w:color w:val="231F20"/>
          <w:spacing w:val="-1"/>
          <w:w w:val="111"/>
        </w:rPr>
        <w:t>o</w:t>
      </w:r>
      <w:r>
        <w:rPr>
          <w:rFonts w:ascii="Trebuchet MS"/>
          <w:color w:val="231F20"/>
          <w:w w:val="107"/>
        </w:rPr>
        <w:t>n</w:t>
      </w:r>
      <w:r>
        <w:rPr>
          <w:rFonts w:ascii="Trebuchet MS"/>
          <w:color w:val="231F20"/>
          <w:spacing w:val="-14"/>
        </w:rPr>
        <w:t xml:space="preserve"> </w:t>
      </w:r>
      <w:r>
        <w:rPr>
          <w:rFonts w:ascii="Trebuchet MS"/>
          <w:color w:val="231F20"/>
          <w:spacing w:val="-4"/>
          <w:w w:val="111"/>
        </w:rPr>
        <w:t>o</w:t>
      </w:r>
      <w:r>
        <w:rPr>
          <w:rFonts w:ascii="Trebuchet MS"/>
          <w:color w:val="231F20"/>
          <w:w w:val="92"/>
        </w:rPr>
        <w:t>f</w:t>
      </w:r>
      <w:r>
        <w:rPr>
          <w:rFonts w:ascii="Trebuchet MS"/>
          <w:color w:val="231F20"/>
          <w:spacing w:val="-14"/>
        </w:rPr>
        <w:t xml:space="preserve"> </w:t>
      </w:r>
      <w:r>
        <w:rPr>
          <w:rFonts w:ascii="Trebuchet MS"/>
          <w:color w:val="231F20"/>
          <w:spacing w:val="-2"/>
          <w:w w:val="99"/>
        </w:rPr>
        <w:t>t</w:t>
      </w:r>
      <w:r>
        <w:rPr>
          <w:rFonts w:ascii="Trebuchet MS"/>
          <w:color w:val="231F20"/>
          <w:spacing w:val="-1"/>
          <w:w w:val="99"/>
        </w:rPr>
        <w:t>h</w:t>
      </w:r>
      <w:r>
        <w:rPr>
          <w:rFonts w:ascii="Trebuchet MS"/>
          <w:color w:val="231F20"/>
          <w:w w:val="108"/>
        </w:rPr>
        <w:t>e</w:t>
      </w:r>
      <w:r>
        <w:rPr>
          <w:rFonts w:ascii="Trebuchet MS"/>
          <w:color w:val="231F20"/>
          <w:spacing w:val="-14"/>
        </w:rPr>
        <w:t xml:space="preserve"> </w:t>
      </w:r>
      <w:r>
        <w:rPr>
          <w:rFonts w:ascii="Trebuchet MS"/>
          <w:color w:val="231F20"/>
          <w:spacing w:val="-1"/>
          <w:w w:val="111"/>
        </w:rPr>
        <w:t>p</w:t>
      </w:r>
      <w:r>
        <w:rPr>
          <w:rFonts w:ascii="Trebuchet MS"/>
          <w:color w:val="231F20"/>
          <w:spacing w:val="-4"/>
          <w:w w:val="93"/>
        </w:rPr>
        <w:t>r</w:t>
      </w:r>
      <w:r>
        <w:rPr>
          <w:rFonts w:ascii="Trebuchet MS"/>
          <w:color w:val="231F20"/>
          <w:spacing w:val="-4"/>
          <w:w w:val="111"/>
        </w:rPr>
        <w:t>o</w:t>
      </w:r>
      <w:r>
        <w:rPr>
          <w:rFonts w:ascii="Trebuchet MS"/>
          <w:color w:val="231F20"/>
          <w:spacing w:val="-4"/>
          <w:w w:val="88"/>
        </w:rPr>
        <w:t>t</w:t>
      </w:r>
      <w:r>
        <w:rPr>
          <w:rFonts w:ascii="Trebuchet MS"/>
          <w:color w:val="231F20"/>
          <w:w w:val="108"/>
        </w:rPr>
        <w:t>e</w:t>
      </w:r>
      <w:r>
        <w:rPr>
          <w:rFonts w:ascii="Trebuchet MS"/>
          <w:color w:val="231F20"/>
          <w:spacing w:val="-2"/>
          <w:w w:val="101"/>
        </w:rPr>
        <w:t>c</w:t>
      </w:r>
      <w:r>
        <w:rPr>
          <w:rFonts w:ascii="Trebuchet MS"/>
          <w:color w:val="231F20"/>
          <w:spacing w:val="-4"/>
          <w:w w:val="101"/>
        </w:rPr>
        <w:t>t</w:t>
      </w:r>
      <w:r>
        <w:rPr>
          <w:rFonts w:ascii="Trebuchet MS"/>
          <w:color w:val="231F20"/>
          <w:w w:val="108"/>
        </w:rPr>
        <w:t>e</w:t>
      </w:r>
      <w:r>
        <w:rPr>
          <w:rFonts w:ascii="Trebuchet MS"/>
          <w:color w:val="231F20"/>
          <w:w w:val="112"/>
        </w:rPr>
        <w:t>d</w:t>
      </w:r>
      <w:r>
        <w:rPr>
          <w:rFonts w:ascii="Trebuchet MS"/>
          <w:color w:val="231F20"/>
          <w:spacing w:val="-14"/>
        </w:rPr>
        <w:t xml:space="preserve"> </w:t>
      </w:r>
      <w:r>
        <w:rPr>
          <w:rFonts w:ascii="Trebuchet MS"/>
          <w:color w:val="231F20"/>
          <w:spacing w:val="-2"/>
          <w:w w:val="102"/>
        </w:rPr>
        <w:t>w</w:t>
      </w:r>
      <w:r>
        <w:rPr>
          <w:rFonts w:ascii="Trebuchet MS"/>
          <w:color w:val="231F20"/>
          <w:spacing w:val="-3"/>
          <w:w w:val="102"/>
        </w:rPr>
        <w:t>i</w:t>
      </w:r>
      <w:r>
        <w:rPr>
          <w:rFonts w:ascii="Trebuchet MS"/>
          <w:color w:val="231F20"/>
          <w:spacing w:val="-2"/>
          <w:w w:val="99"/>
        </w:rPr>
        <w:t>t</w:t>
      </w:r>
      <w:r>
        <w:rPr>
          <w:rFonts w:ascii="Trebuchet MS"/>
          <w:color w:val="231F20"/>
          <w:spacing w:val="-1"/>
          <w:w w:val="99"/>
        </w:rPr>
        <w:t>n</w:t>
      </w:r>
      <w:r>
        <w:rPr>
          <w:rFonts w:ascii="Trebuchet MS"/>
          <w:color w:val="231F20"/>
          <w:spacing w:val="-2"/>
          <w:w w:val="108"/>
        </w:rPr>
        <w:t>e</w:t>
      </w:r>
      <w:r>
        <w:rPr>
          <w:rFonts w:ascii="Trebuchet MS"/>
          <w:color w:val="231F20"/>
          <w:spacing w:val="-1"/>
          <w:w w:val="122"/>
        </w:rPr>
        <w:t>s</w:t>
      </w:r>
      <w:r>
        <w:rPr>
          <w:rFonts w:ascii="Trebuchet MS"/>
          <w:color w:val="231F20"/>
          <w:spacing w:val="1"/>
          <w:w w:val="122"/>
        </w:rPr>
        <w:t>s</w:t>
      </w:r>
      <w:r>
        <w:rPr>
          <w:rFonts w:ascii="Trebuchet MS"/>
          <w:color w:val="231F20"/>
          <w:w w:val="55"/>
        </w:rPr>
        <w:t>.</w:t>
      </w:r>
    </w:p>
    <w:p w14:paraId="61EB7801" w14:textId="77777777" w:rsidR="00894070" w:rsidRDefault="009B7AFD">
      <w:pPr>
        <w:pStyle w:val="ListParagraph"/>
        <w:numPr>
          <w:ilvl w:val="0"/>
          <w:numId w:val="84"/>
        </w:numPr>
        <w:tabs>
          <w:tab w:val="left" w:pos="1801"/>
          <w:tab w:val="left" w:pos="1802"/>
        </w:tabs>
        <w:spacing w:before="87" w:line="247" w:lineRule="auto"/>
        <w:ind w:left="1801" w:right="1564"/>
        <w:rPr>
          <w:rFonts w:ascii="Trebuchet MS"/>
          <w:sz w:val="20"/>
        </w:rPr>
      </w:pPr>
      <w:r>
        <w:rPr>
          <w:rFonts w:ascii="Trebuchet MS"/>
          <w:color w:val="231F20"/>
          <w:w w:val="105"/>
          <w:sz w:val="20"/>
        </w:rPr>
        <w:t>The</w:t>
      </w:r>
      <w:r>
        <w:rPr>
          <w:rFonts w:ascii="Trebuchet MS"/>
          <w:color w:val="231F20"/>
          <w:spacing w:val="-36"/>
          <w:w w:val="105"/>
          <w:sz w:val="20"/>
        </w:rPr>
        <w:t xml:space="preserve"> </w:t>
      </w:r>
      <w:r>
        <w:rPr>
          <w:rFonts w:ascii="Arial"/>
          <w:i/>
          <w:color w:val="231F20"/>
          <w:w w:val="105"/>
          <w:sz w:val="20"/>
        </w:rPr>
        <w:t>Personal</w:t>
      </w:r>
      <w:r>
        <w:rPr>
          <w:rFonts w:ascii="Arial"/>
          <w:i/>
          <w:color w:val="231F20"/>
          <w:spacing w:val="-32"/>
          <w:w w:val="105"/>
          <w:sz w:val="20"/>
        </w:rPr>
        <w:t xml:space="preserve"> </w:t>
      </w:r>
      <w:r>
        <w:rPr>
          <w:rFonts w:ascii="Arial"/>
          <w:i/>
          <w:color w:val="231F20"/>
          <w:w w:val="105"/>
          <w:sz w:val="20"/>
        </w:rPr>
        <w:t>Safety</w:t>
      </w:r>
      <w:r>
        <w:rPr>
          <w:rFonts w:ascii="Arial"/>
          <w:i/>
          <w:color w:val="231F20"/>
          <w:spacing w:val="-33"/>
          <w:w w:val="105"/>
          <w:sz w:val="20"/>
        </w:rPr>
        <w:t xml:space="preserve"> </w:t>
      </w:r>
      <w:r>
        <w:rPr>
          <w:rFonts w:ascii="Arial"/>
          <w:i/>
          <w:color w:val="231F20"/>
          <w:w w:val="105"/>
          <w:sz w:val="20"/>
        </w:rPr>
        <w:t>Intervention</w:t>
      </w:r>
      <w:r>
        <w:rPr>
          <w:rFonts w:ascii="Arial"/>
          <w:i/>
          <w:color w:val="231F20"/>
          <w:spacing w:val="-32"/>
          <w:w w:val="105"/>
          <w:sz w:val="20"/>
        </w:rPr>
        <w:t xml:space="preserve"> </w:t>
      </w:r>
      <w:r>
        <w:rPr>
          <w:rFonts w:ascii="Arial"/>
          <w:i/>
          <w:color w:val="231F20"/>
          <w:w w:val="105"/>
          <w:sz w:val="20"/>
        </w:rPr>
        <w:t>Orders</w:t>
      </w:r>
      <w:r>
        <w:rPr>
          <w:rFonts w:ascii="Arial"/>
          <w:i/>
          <w:color w:val="231F20"/>
          <w:spacing w:val="-32"/>
          <w:w w:val="105"/>
          <w:sz w:val="20"/>
        </w:rPr>
        <w:t xml:space="preserve"> </w:t>
      </w:r>
      <w:r>
        <w:rPr>
          <w:rFonts w:ascii="Arial"/>
          <w:i/>
          <w:color w:val="231F20"/>
          <w:w w:val="105"/>
          <w:sz w:val="20"/>
        </w:rPr>
        <w:t>Act</w:t>
      </w:r>
      <w:r>
        <w:rPr>
          <w:rFonts w:ascii="Arial"/>
          <w:i/>
          <w:color w:val="231F20"/>
          <w:spacing w:val="-32"/>
          <w:w w:val="105"/>
          <w:sz w:val="20"/>
        </w:rPr>
        <w:t xml:space="preserve"> </w:t>
      </w:r>
      <w:r>
        <w:rPr>
          <w:rFonts w:ascii="Arial"/>
          <w:i/>
          <w:color w:val="231F20"/>
          <w:spacing w:val="-3"/>
          <w:w w:val="105"/>
          <w:sz w:val="20"/>
        </w:rPr>
        <w:t>2010</w:t>
      </w:r>
      <w:r>
        <w:rPr>
          <w:rFonts w:ascii="Arial"/>
          <w:i/>
          <w:color w:val="231F20"/>
          <w:spacing w:val="-30"/>
          <w:w w:val="105"/>
          <w:sz w:val="20"/>
        </w:rPr>
        <w:t xml:space="preserve"> </w:t>
      </w:r>
      <w:r>
        <w:rPr>
          <w:rFonts w:ascii="Trebuchet MS"/>
          <w:color w:val="231F20"/>
          <w:w w:val="105"/>
          <w:sz w:val="20"/>
        </w:rPr>
        <w:t>(Vic)</w:t>
      </w:r>
      <w:r>
        <w:rPr>
          <w:rFonts w:ascii="Trebuchet MS"/>
          <w:color w:val="231F20"/>
          <w:spacing w:val="-36"/>
          <w:w w:val="105"/>
          <w:sz w:val="20"/>
        </w:rPr>
        <w:t xml:space="preserve"> </w:t>
      </w:r>
      <w:r>
        <w:rPr>
          <w:rFonts w:ascii="Trebuchet MS"/>
          <w:color w:val="231F20"/>
          <w:w w:val="105"/>
          <w:sz w:val="20"/>
        </w:rPr>
        <w:t>should</w:t>
      </w:r>
      <w:r>
        <w:rPr>
          <w:rFonts w:ascii="Trebuchet MS"/>
          <w:color w:val="231F20"/>
          <w:spacing w:val="-36"/>
          <w:w w:val="105"/>
          <w:sz w:val="20"/>
        </w:rPr>
        <w:t xml:space="preserve"> </w:t>
      </w:r>
      <w:r>
        <w:rPr>
          <w:rFonts w:ascii="Trebuchet MS"/>
          <w:color w:val="231F20"/>
          <w:w w:val="105"/>
          <w:sz w:val="20"/>
        </w:rPr>
        <w:t>include</w:t>
      </w:r>
      <w:r>
        <w:rPr>
          <w:rFonts w:ascii="Trebuchet MS"/>
          <w:color w:val="231F20"/>
          <w:spacing w:val="-36"/>
          <w:w w:val="105"/>
          <w:sz w:val="20"/>
        </w:rPr>
        <w:t xml:space="preserve"> </w:t>
      </w:r>
      <w:r>
        <w:rPr>
          <w:rFonts w:ascii="Trebuchet MS"/>
          <w:color w:val="231F20"/>
          <w:w w:val="105"/>
          <w:sz w:val="20"/>
        </w:rPr>
        <w:t>an</w:t>
      </w:r>
      <w:r>
        <w:rPr>
          <w:rFonts w:ascii="Trebuchet MS"/>
          <w:color w:val="231F20"/>
          <w:spacing w:val="-36"/>
          <w:w w:val="105"/>
          <w:sz w:val="20"/>
        </w:rPr>
        <w:t xml:space="preserve"> </w:t>
      </w:r>
      <w:r>
        <w:rPr>
          <w:rFonts w:ascii="Trebuchet MS"/>
          <w:color w:val="231F20"/>
          <w:w w:val="105"/>
          <w:sz w:val="20"/>
        </w:rPr>
        <w:t>equivalent of</w:t>
      </w:r>
      <w:r>
        <w:rPr>
          <w:rFonts w:ascii="Trebuchet MS"/>
          <w:color w:val="231F20"/>
          <w:spacing w:val="-28"/>
          <w:w w:val="105"/>
          <w:sz w:val="20"/>
        </w:rPr>
        <w:t xml:space="preserve"> </w:t>
      </w:r>
      <w:r>
        <w:rPr>
          <w:rFonts w:ascii="Trebuchet MS"/>
          <w:color w:val="231F20"/>
          <w:w w:val="105"/>
          <w:sz w:val="20"/>
        </w:rPr>
        <w:t>section</w:t>
      </w:r>
      <w:r>
        <w:rPr>
          <w:rFonts w:ascii="Trebuchet MS"/>
          <w:color w:val="231F20"/>
          <w:spacing w:val="-28"/>
          <w:w w:val="105"/>
          <w:sz w:val="20"/>
        </w:rPr>
        <w:t xml:space="preserve"> </w:t>
      </w:r>
      <w:r>
        <w:rPr>
          <w:rFonts w:ascii="Trebuchet MS"/>
          <w:color w:val="231F20"/>
          <w:w w:val="105"/>
          <w:sz w:val="20"/>
        </w:rPr>
        <w:t>72</w:t>
      </w:r>
      <w:r>
        <w:rPr>
          <w:rFonts w:ascii="Trebuchet MS"/>
          <w:color w:val="231F20"/>
          <w:spacing w:val="-27"/>
          <w:w w:val="105"/>
          <w:sz w:val="20"/>
        </w:rPr>
        <w:t xml:space="preserve"> </w:t>
      </w:r>
      <w:r>
        <w:rPr>
          <w:rFonts w:ascii="Trebuchet MS"/>
          <w:color w:val="231F20"/>
          <w:w w:val="105"/>
          <w:sz w:val="20"/>
        </w:rPr>
        <w:t>of</w:t>
      </w:r>
      <w:r>
        <w:rPr>
          <w:rFonts w:ascii="Trebuchet MS"/>
          <w:color w:val="231F20"/>
          <w:spacing w:val="-28"/>
          <w:w w:val="105"/>
          <w:sz w:val="20"/>
        </w:rPr>
        <w:t xml:space="preserve"> </w:t>
      </w:r>
      <w:r>
        <w:rPr>
          <w:rFonts w:ascii="Trebuchet MS"/>
          <w:color w:val="231F20"/>
          <w:w w:val="105"/>
          <w:sz w:val="20"/>
        </w:rPr>
        <w:t>the</w:t>
      </w:r>
      <w:r>
        <w:rPr>
          <w:rFonts w:ascii="Trebuchet MS"/>
          <w:color w:val="231F20"/>
          <w:spacing w:val="-27"/>
          <w:w w:val="105"/>
          <w:sz w:val="20"/>
        </w:rPr>
        <w:t xml:space="preserve"> </w:t>
      </w:r>
      <w:r>
        <w:rPr>
          <w:rFonts w:ascii="Arial"/>
          <w:i/>
          <w:color w:val="231F20"/>
          <w:spacing w:val="-3"/>
          <w:w w:val="105"/>
          <w:sz w:val="20"/>
        </w:rPr>
        <w:t>Family</w:t>
      </w:r>
      <w:r>
        <w:rPr>
          <w:rFonts w:ascii="Arial"/>
          <w:i/>
          <w:color w:val="231F20"/>
          <w:spacing w:val="-24"/>
          <w:w w:val="105"/>
          <w:sz w:val="20"/>
        </w:rPr>
        <w:t xml:space="preserve"> </w:t>
      </w:r>
      <w:r>
        <w:rPr>
          <w:rFonts w:ascii="Arial"/>
          <w:i/>
          <w:color w:val="231F20"/>
          <w:w w:val="105"/>
          <w:sz w:val="20"/>
        </w:rPr>
        <w:t>Violence</w:t>
      </w:r>
      <w:r>
        <w:rPr>
          <w:rFonts w:ascii="Arial"/>
          <w:i/>
          <w:color w:val="231F20"/>
          <w:spacing w:val="-24"/>
          <w:w w:val="105"/>
          <w:sz w:val="20"/>
        </w:rPr>
        <w:t xml:space="preserve"> </w:t>
      </w:r>
      <w:r>
        <w:rPr>
          <w:rFonts w:ascii="Arial"/>
          <w:i/>
          <w:color w:val="231F20"/>
          <w:spacing w:val="-3"/>
          <w:w w:val="105"/>
          <w:sz w:val="20"/>
        </w:rPr>
        <w:t>Protection</w:t>
      </w:r>
      <w:r>
        <w:rPr>
          <w:rFonts w:ascii="Arial"/>
          <w:i/>
          <w:color w:val="231F20"/>
          <w:spacing w:val="-24"/>
          <w:w w:val="105"/>
          <w:sz w:val="20"/>
        </w:rPr>
        <w:t xml:space="preserve"> </w:t>
      </w:r>
      <w:r>
        <w:rPr>
          <w:rFonts w:ascii="Arial"/>
          <w:i/>
          <w:color w:val="231F20"/>
          <w:w w:val="105"/>
          <w:sz w:val="20"/>
        </w:rPr>
        <w:t>Act</w:t>
      </w:r>
      <w:r>
        <w:rPr>
          <w:rFonts w:ascii="Arial"/>
          <w:i/>
          <w:color w:val="231F20"/>
          <w:spacing w:val="-24"/>
          <w:w w:val="105"/>
          <w:sz w:val="20"/>
        </w:rPr>
        <w:t xml:space="preserve"> </w:t>
      </w:r>
      <w:r>
        <w:rPr>
          <w:rFonts w:ascii="Arial"/>
          <w:i/>
          <w:color w:val="231F20"/>
          <w:w w:val="105"/>
          <w:sz w:val="20"/>
        </w:rPr>
        <w:t>2008</w:t>
      </w:r>
      <w:r>
        <w:rPr>
          <w:rFonts w:ascii="Arial"/>
          <w:i/>
          <w:color w:val="231F20"/>
          <w:spacing w:val="-22"/>
          <w:w w:val="105"/>
          <w:sz w:val="20"/>
        </w:rPr>
        <w:t xml:space="preserve"> </w:t>
      </w:r>
      <w:r>
        <w:rPr>
          <w:rFonts w:ascii="Trebuchet MS"/>
          <w:color w:val="231F20"/>
          <w:w w:val="105"/>
          <w:sz w:val="20"/>
        </w:rPr>
        <w:t>(Vic)</w:t>
      </w:r>
      <w:r>
        <w:rPr>
          <w:rFonts w:ascii="Trebuchet MS"/>
          <w:color w:val="231F20"/>
          <w:spacing w:val="-28"/>
          <w:w w:val="105"/>
          <w:sz w:val="20"/>
        </w:rPr>
        <w:t xml:space="preserve"> </w:t>
      </w:r>
      <w:r>
        <w:rPr>
          <w:rFonts w:ascii="Trebuchet MS"/>
          <w:color w:val="231F20"/>
          <w:w w:val="105"/>
          <w:sz w:val="20"/>
        </w:rPr>
        <w:t>for</w:t>
      </w:r>
      <w:r>
        <w:rPr>
          <w:rFonts w:ascii="Trebuchet MS"/>
          <w:color w:val="231F20"/>
          <w:spacing w:val="-28"/>
          <w:w w:val="105"/>
          <w:sz w:val="20"/>
        </w:rPr>
        <w:t xml:space="preserve"> </w:t>
      </w:r>
      <w:r>
        <w:rPr>
          <w:rFonts w:ascii="Trebuchet MS"/>
          <w:color w:val="231F20"/>
          <w:w w:val="105"/>
          <w:sz w:val="20"/>
        </w:rPr>
        <w:t>the</w:t>
      </w:r>
      <w:r>
        <w:rPr>
          <w:rFonts w:ascii="Trebuchet MS"/>
          <w:color w:val="231F20"/>
          <w:spacing w:val="-27"/>
          <w:w w:val="105"/>
          <w:sz w:val="20"/>
        </w:rPr>
        <w:t xml:space="preserve"> </w:t>
      </w:r>
      <w:r>
        <w:rPr>
          <w:rFonts w:ascii="Trebuchet MS"/>
          <w:color w:val="231F20"/>
          <w:w w:val="105"/>
          <w:sz w:val="20"/>
        </w:rPr>
        <w:t>court</w:t>
      </w:r>
      <w:r>
        <w:rPr>
          <w:rFonts w:ascii="Trebuchet MS"/>
          <w:color w:val="231F20"/>
          <w:spacing w:val="-28"/>
          <w:w w:val="105"/>
          <w:sz w:val="20"/>
        </w:rPr>
        <w:t xml:space="preserve"> </w:t>
      </w:r>
      <w:r>
        <w:rPr>
          <w:rFonts w:ascii="Trebuchet MS"/>
          <w:color w:val="231F20"/>
          <w:w w:val="105"/>
          <w:sz w:val="20"/>
        </w:rPr>
        <w:t>to</w:t>
      </w:r>
      <w:r>
        <w:rPr>
          <w:rFonts w:ascii="Trebuchet MS"/>
          <w:color w:val="231F20"/>
          <w:spacing w:val="-27"/>
          <w:w w:val="105"/>
          <w:sz w:val="20"/>
        </w:rPr>
        <w:t xml:space="preserve"> </w:t>
      </w:r>
      <w:r>
        <w:rPr>
          <w:rFonts w:ascii="Trebuchet MS"/>
          <w:color w:val="231F20"/>
          <w:w w:val="105"/>
          <w:sz w:val="20"/>
        </w:rPr>
        <w:t xml:space="preserve">order Victoria Legal Aid to </w:t>
      </w:r>
      <w:r>
        <w:rPr>
          <w:rFonts w:ascii="Trebuchet MS"/>
          <w:color w:val="231F20"/>
          <w:spacing w:val="-2"/>
          <w:w w:val="105"/>
          <w:sz w:val="20"/>
        </w:rPr>
        <w:t xml:space="preserve">represent </w:t>
      </w:r>
      <w:r>
        <w:rPr>
          <w:rFonts w:ascii="Trebuchet MS"/>
          <w:color w:val="231F20"/>
          <w:w w:val="105"/>
          <w:sz w:val="20"/>
        </w:rPr>
        <w:t xml:space="preserve">otherwise unrepresented applicants or </w:t>
      </w:r>
      <w:r>
        <w:rPr>
          <w:rFonts w:ascii="Trebuchet MS"/>
          <w:color w:val="231F20"/>
          <w:spacing w:val="-3"/>
          <w:w w:val="105"/>
          <w:sz w:val="20"/>
        </w:rPr>
        <w:t xml:space="preserve">protected </w:t>
      </w:r>
      <w:r>
        <w:rPr>
          <w:rFonts w:ascii="Trebuchet MS"/>
          <w:color w:val="231F20"/>
          <w:spacing w:val="-2"/>
          <w:w w:val="102"/>
          <w:sz w:val="20"/>
        </w:rPr>
        <w:t>w</w:t>
      </w:r>
      <w:r>
        <w:rPr>
          <w:rFonts w:ascii="Trebuchet MS"/>
          <w:color w:val="231F20"/>
          <w:spacing w:val="-3"/>
          <w:w w:val="102"/>
          <w:sz w:val="20"/>
        </w:rPr>
        <w:t>i</w:t>
      </w:r>
      <w:r>
        <w:rPr>
          <w:rFonts w:ascii="Trebuchet MS"/>
          <w:color w:val="231F20"/>
          <w:spacing w:val="-2"/>
          <w:w w:val="99"/>
          <w:sz w:val="20"/>
        </w:rPr>
        <w:t>t</w:t>
      </w:r>
      <w:r>
        <w:rPr>
          <w:rFonts w:ascii="Trebuchet MS"/>
          <w:color w:val="231F20"/>
          <w:spacing w:val="-1"/>
          <w:w w:val="99"/>
          <w:sz w:val="20"/>
        </w:rPr>
        <w:t>n</w:t>
      </w:r>
      <w:r>
        <w:rPr>
          <w:rFonts w:ascii="Trebuchet MS"/>
          <w:color w:val="231F20"/>
          <w:spacing w:val="-2"/>
          <w:w w:val="108"/>
          <w:sz w:val="20"/>
        </w:rPr>
        <w:t>e</w:t>
      </w:r>
      <w:r>
        <w:rPr>
          <w:rFonts w:ascii="Trebuchet MS"/>
          <w:color w:val="231F20"/>
          <w:spacing w:val="-1"/>
          <w:w w:val="122"/>
          <w:sz w:val="20"/>
        </w:rPr>
        <w:t>ss</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4"/>
          <w:w w:val="93"/>
          <w:sz w:val="20"/>
        </w:rPr>
        <w:t>r</w:t>
      </w:r>
      <w:r>
        <w:rPr>
          <w:rFonts w:ascii="Trebuchet MS"/>
          <w:color w:val="231F20"/>
          <w:spacing w:val="-2"/>
          <w:w w:val="111"/>
          <w:sz w:val="20"/>
        </w:rPr>
        <w:t>o</w:t>
      </w:r>
      <w:r>
        <w:rPr>
          <w:rFonts w:ascii="Trebuchet MS"/>
          <w:color w:val="231F20"/>
          <w:spacing w:val="-1"/>
          <w:w w:val="122"/>
          <w:sz w:val="20"/>
        </w:rPr>
        <w:t>s</w:t>
      </w:r>
      <w:r>
        <w:rPr>
          <w:rFonts w:ascii="Trebuchet MS"/>
          <w:color w:val="231F20"/>
          <w:spacing w:val="-4"/>
          <w:w w:val="122"/>
          <w:sz w:val="20"/>
        </w:rPr>
        <w:t>s</w:t>
      </w:r>
      <w:r>
        <w:rPr>
          <w:rFonts w:ascii="Trebuchet MS"/>
          <w:color w:val="231F20"/>
          <w:spacing w:val="1"/>
          <w:w w:val="115"/>
          <w:sz w:val="20"/>
        </w:rPr>
        <w:t>-</w:t>
      </w:r>
      <w:r>
        <w:rPr>
          <w:rFonts w:ascii="Trebuchet MS"/>
          <w:color w:val="231F20"/>
          <w:spacing w:val="-5"/>
          <w:w w:val="108"/>
          <w:sz w:val="20"/>
        </w:rPr>
        <w:t>e</w:t>
      </w:r>
      <w:r>
        <w:rPr>
          <w:rFonts w:ascii="Trebuchet MS"/>
          <w:color w:val="231F20"/>
          <w:spacing w:val="-4"/>
          <w:w w:val="102"/>
          <w:sz w:val="20"/>
        </w:rPr>
        <w:t>x</w:t>
      </w:r>
      <w:r>
        <w:rPr>
          <w:rFonts w:ascii="Trebuchet MS"/>
          <w:color w:val="231F20"/>
          <w:spacing w:val="-2"/>
          <w:w w:val="104"/>
          <w:sz w:val="20"/>
        </w:rPr>
        <w:t>ami</w:t>
      </w:r>
      <w:r>
        <w:rPr>
          <w:rFonts w:ascii="Trebuchet MS"/>
          <w:color w:val="231F20"/>
          <w:spacing w:val="-1"/>
          <w:w w:val="107"/>
          <w:sz w:val="20"/>
        </w:rPr>
        <w:t>n</w:t>
      </w:r>
      <w:r>
        <w:rPr>
          <w:rFonts w:ascii="Trebuchet MS"/>
          <w:color w:val="231F20"/>
          <w:spacing w:val="-4"/>
          <w:w w:val="105"/>
          <w:sz w:val="20"/>
        </w:rPr>
        <w:t>a</w:t>
      </w:r>
      <w:r>
        <w:rPr>
          <w:rFonts w:ascii="Trebuchet MS"/>
          <w:color w:val="231F20"/>
          <w:spacing w:val="-2"/>
          <w:w w:val="85"/>
          <w:sz w:val="20"/>
        </w:rPr>
        <w:t>t</w:t>
      </w:r>
      <w:r>
        <w:rPr>
          <w:rFonts w:ascii="Trebuchet MS"/>
          <w:color w:val="231F20"/>
          <w:spacing w:val="-1"/>
          <w:w w:val="85"/>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99"/>
          <w:sz w:val="20"/>
        </w:rPr>
        <w:t>t</w:t>
      </w:r>
      <w:r>
        <w:rPr>
          <w:rFonts w:ascii="Trebuchet MS"/>
          <w:color w:val="231F20"/>
          <w:spacing w:val="-1"/>
          <w:w w:val="99"/>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4"/>
          <w:w w:val="111"/>
          <w:sz w:val="20"/>
        </w:rPr>
        <w:t>o</w:t>
      </w:r>
      <w:r>
        <w:rPr>
          <w:rFonts w:ascii="Trebuchet MS"/>
          <w:color w:val="231F20"/>
          <w:spacing w:val="-4"/>
          <w:w w:val="88"/>
          <w:sz w:val="20"/>
        </w:rPr>
        <w:t>t</w:t>
      </w:r>
      <w:r>
        <w:rPr>
          <w:rFonts w:ascii="Trebuchet MS"/>
          <w:color w:val="231F20"/>
          <w:w w:val="108"/>
          <w:sz w:val="20"/>
        </w:rPr>
        <w:t>e</w:t>
      </w:r>
      <w:r>
        <w:rPr>
          <w:rFonts w:ascii="Trebuchet MS"/>
          <w:color w:val="231F20"/>
          <w:spacing w:val="-2"/>
          <w:w w:val="101"/>
          <w:sz w:val="20"/>
        </w:rPr>
        <w:t>c</w:t>
      </w:r>
      <w:r>
        <w:rPr>
          <w:rFonts w:ascii="Trebuchet MS"/>
          <w:color w:val="231F20"/>
          <w:spacing w:val="-4"/>
          <w:w w:val="101"/>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02"/>
          <w:sz w:val="20"/>
        </w:rPr>
        <w:t>w</w:t>
      </w:r>
      <w:r>
        <w:rPr>
          <w:rFonts w:ascii="Trebuchet MS"/>
          <w:color w:val="231F20"/>
          <w:spacing w:val="-3"/>
          <w:w w:val="102"/>
          <w:sz w:val="20"/>
        </w:rPr>
        <w:t>i</w:t>
      </w:r>
      <w:r>
        <w:rPr>
          <w:rFonts w:ascii="Trebuchet MS"/>
          <w:color w:val="231F20"/>
          <w:spacing w:val="-2"/>
          <w:w w:val="99"/>
          <w:sz w:val="20"/>
        </w:rPr>
        <w:t>t</w:t>
      </w:r>
      <w:r>
        <w:rPr>
          <w:rFonts w:ascii="Trebuchet MS"/>
          <w:color w:val="231F20"/>
          <w:spacing w:val="-1"/>
          <w:w w:val="99"/>
          <w:sz w:val="20"/>
        </w:rPr>
        <w:t>n</w:t>
      </w:r>
      <w:r>
        <w:rPr>
          <w:rFonts w:ascii="Trebuchet MS"/>
          <w:color w:val="231F20"/>
          <w:spacing w:val="-2"/>
          <w:w w:val="108"/>
          <w:sz w:val="20"/>
        </w:rPr>
        <w:t>e</w:t>
      </w:r>
      <w:r>
        <w:rPr>
          <w:rFonts w:ascii="Trebuchet MS"/>
          <w:color w:val="231F20"/>
          <w:spacing w:val="-1"/>
          <w:w w:val="122"/>
          <w:sz w:val="20"/>
        </w:rPr>
        <w:t>ss</w:t>
      </w:r>
      <w:r>
        <w:rPr>
          <w:rFonts w:ascii="Trebuchet MS"/>
          <w:color w:val="231F20"/>
          <w:spacing w:val="-2"/>
          <w:w w:val="108"/>
          <w:sz w:val="20"/>
        </w:rPr>
        <w:t>e</w:t>
      </w:r>
      <w:r>
        <w:rPr>
          <w:rFonts w:ascii="Trebuchet MS"/>
          <w:color w:val="231F20"/>
          <w:spacing w:val="1"/>
          <w:w w:val="122"/>
          <w:sz w:val="20"/>
        </w:rPr>
        <w:t>s</w:t>
      </w:r>
      <w:r>
        <w:rPr>
          <w:rFonts w:ascii="Trebuchet MS"/>
          <w:color w:val="231F20"/>
          <w:w w:val="55"/>
          <w:sz w:val="20"/>
        </w:rPr>
        <w:t>.</w:t>
      </w:r>
    </w:p>
    <w:p w14:paraId="21679DAD" w14:textId="77777777" w:rsidR="00894070" w:rsidRDefault="009B7AFD">
      <w:pPr>
        <w:pStyle w:val="ListParagraph"/>
        <w:numPr>
          <w:ilvl w:val="0"/>
          <w:numId w:val="84"/>
        </w:numPr>
        <w:tabs>
          <w:tab w:val="left" w:pos="1801"/>
          <w:tab w:val="left" w:pos="1802"/>
        </w:tabs>
        <w:spacing w:before="88" w:line="247" w:lineRule="auto"/>
        <w:ind w:left="1801" w:right="1571"/>
        <w:rPr>
          <w:rFonts w:ascii="Trebuchet MS"/>
          <w:sz w:val="20"/>
        </w:rPr>
      </w:pPr>
      <w:r>
        <w:rPr>
          <w:rFonts w:ascii="Trebuchet MS"/>
          <w:color w:val="231F20"/>
          <w:w w:val="105"/>
          <w:sz w:val="20"/>
        </w:rPr>
        <w:t>Victoria</w:t>
      </w:r>
      <w:r>
        <w:rPr>
          <w:rFonts w:ascii="Trebuchet MS"/>
          <w:color w:val="231F20"/>
          <w:spacing w:val="-15"/>
          <w:w w:val="105"/>
          <w:sz w:val="20"/>
        </w:rPr>
        <w:t xml:space="preserve"> </w:t>
      </w:r>
      <w:r>
        <w:rPr>
          <w:rFonts w:ascii="Trebuchet MS"/>
          <w:color w:val="231F20"/>
          <w:w w:val="105"/>
          <w:sz w:val="20"/>
        </w:rPr>
        <w:t>Legal</w:t>
      </w:r>
      <w:r>
        <w:rPr>
          <w:rFonts w:ascii="Trebuchet MS"/>
          <w:color w:val="231F20"/>
          <w:spacing w:val="-15"/>
          <w:w w:val="105"/>
          <w:sz w:val="20"/>
        </w:rPr>
        <w:t xml:space="preserve"> </w:t>
      </w:r>
      <w:r>
        <w:rPr>
          <w:rFonts w:ascii="Trebuchet MS"/>
          <w:color w:val="231F20"/>
          <w:w w:val="105"/>
          <w:sz w:val="20"/>
        </w:rPr>
        <w:t>Aid</w:t>
      </w:r>
      <w:r>
        <w:rPr>
          <w:rFonts w:ascii="Trebuchet MS"/>
          <w:color w:val="231F20"/>
          <w:spacing w:val="-15"/>
          <w:w w:val="105"/>
          <w:sz w:val="20"/>
        </w:rPr>
        <w:t xml:space="preserve"> </w:t>
      </w:r>
      <w:r>
        <w:rPr>
          <w:rFonts w:ascii="Trebuchet MS"/>
          <w:color w:val="231F20"/>
          <w:w w:val="105"/>
          <w:sz w:val="20"/>
        </w:rPr>
        <w:t>should</w:t>
      </w:r>
      <w:r>
        <w:rPr>
          <w:rFonts w:ascii="Trebuchet MS"/>
          <w:color w:val="231F20"/>
          <w:spacing w:val="-15"/>
          <w:w w:val="105"/>
          <w:sz w:val="20"/>
        </w:rPr>
        <w:t xml:space="preserve"> </w:t>
      </w:r>
      <w:r>
        <w:rPr>
          <w:rFonts w:ascii="Trebuchet MS"/>
          <w:color w:val="231F20"/>
          <w:w w:val="105"/>
          <w:sz w:val="20"/>
        </w:rPr>
        <w:t>be</w:t>
      </w:r>
      <w:r>
        <w:rPr>
          <w:rFonts w:ascii="Trebuchet MS"/>
          <w:color w:val="231F20"/>
          <w:spacing w:val="-15"/>
          <w:w w:val="105"/>
          <w:sz w:val="20"/>
        </w:rPr>
        <w:t xml:space="preserve"> </w:t>
      </w:r>
      <w:r>
        <w:rPr>
          <w:rFonts w:ascii="Trebuchet MS"/>
          <w:color w:val="231F20"/>
          <w:w w:val="105"/>
          <w:sz w:val="20"/>
        </w:rPr>
        <w:t>funded</w:t>
      </w:r>
      <w:r>
        <w:rPr>
          <w:rFonts w:ascii="Trebuchet MS"/>
          <w:color w:val="231F20"/>
          <w:spacing w:val="-15"/>
          <w:w w:val="105"/>
          <w:sz w:val="20"/>
        </w:rPr>
        <w:t xml:space="preserve"> </w:t>
      </w:r>
      <w:r>
        <w:rPr>
          <w:rFonts w:ascii="Trebuchet MS"/>
          <w:color w:val="231F20"/>
          <w:w w:val="105"/>
          <w:sz w:val="20"/>
        </w:rPr>
        <w:t>to</w:t>
      </w:r>
      <w:r>
        <w:rPr>
          <w:rFonts w:ascii="Trebuchet MS"/>
          <w:color w:val="231F20"/>
          <w:spacing w:val="-15"/>
          <w:w w:val="105"/>
          <w:sz w:val="20"/>
        </w:rPr>
        <w:t xml:space="preserve"> </w:t>
      </w:r>
      <w:r>
        <w:rPr>
          <w:rFonts w:ascii="Trebuchet MS"/>
          <w:color w:val="231F20"/>
          <w:spacing w:val="-3"/>
          <w:w w:val="105"/>
          <w:sz w:val="20"/>
        </w:rPr>
        <w:t>provide</w:t>
      </w:r>
      <w:r>
        <w:rPr>
          <w:rFonts w:ascii="Trebuchet MS"/>
          <w:color w:val="231F20"/>
          <w:spacing w:val="-15"/>
          <w:w w:val="105"/>
          <w:sz w:val="20"/>
        </w:rPr>
        <w:t xml:space="preserve"> </w:t>
      </w:r>
      <w:r>
        <w:rPr>
          <w:rFonts w:ascii="Trebuchet MS"/>
          <w:color w:val="231F20"/>
          <w:w w:val="105"/>
          <w:sz w:val="20"/>
        </w:rPr>
        <w:t>the</w:t>
      </w:r>
      <w:r>
        <w:rPr>
          <w:rFonts w:ascii="Trebuchet MS"/>
          <w:color w:val="231F20"/>
          <w:spacing w:val="-15"/>
          <w:w w:val="105"/>
          <w:sz w:val="20"/>
        </w:rPr>
        <w:t xml:space="preserve"> </w:t>
      </w:r>
      <w:r>
        <w:rPr>
          <w:rFonts w:ascii="Trebuchet MS"/>
          <w:color w:val="231F20"/>
          <w:w w:val="105"/>
          <w:sz w:val="20"/>
        </w:rPr>
        <w:t>legal</w:t>
      </w:r>
      <w:r>
        <w:rPr>
          <w:rFonts w:ascii="Trebuchet MS"/>
          <w:color w:val="231F20"/>
          <w:spacing w:val="-15"/>
          <w:w w:val="105"/>
          <w:sz w:val="20"/>
        </w:rPr>
        <w:t xml:space="preserve"> </w:t>
      </w:r>
      <w:r>
        <w:rPr>
          <w:rFonts w:ascii="Trebuchet MS"/>
          <w:color w:val="231F20"/>
          <w:w w:val="105"/>
          <w:sz w:val="20"/>
        </w:rPr>
        <w:t>representation</w:t>
      </w:r>
      <w:r>
        <w:rPr>
          <w:rFonts w:ascii="Trebuchet MS"/>
          <w:color w:val="231F20"/>
          <w:spacing w:val="-15"/>
          <w:w w:val="105"/>
          <w:sz w:val="20"/>
        </w:rPr>
        <w:t xml:space="preserve"> </w:t>
      </w:r>
      <w:r>
        <w:rPr>
          <w:rFonts w:ascii="Trebuchet MS"/>
          <w:color w:val="231F20"/>
          <w:w w:val="105"/>
          <w:sz w:val="20"/>
        </w:rPr>
        <w:t>described in</w:t>
      </w:r>
      <w:r>
        <w:rPr>
          <w:rFonts w:ascii="Trebuchet MS"/>
          <w:color w:val="231F20"/>
          <w:spacing w:val="-18"/>
          <w:w w:val="105"/>
          <w:sz w:val="20"/>
        </w:rPr>
        <w:t xml:space="preserve"> </w:t>
      </w:r>
      <w:r>
        <w:rPr>
          <w:rFonts w:ascii="Trebuchet MS"/>
          <w:color w:val="231F20"/>
          <w:w w:val="105"/>
          <w:sz w:val="20"/>
        </w:rPr>
        <w:t>Recommendations</w:t>
      </w:r>
      <w:r>
        <w:rPr>
          <w:rFonts w:ascii="Trebuchet MS"/>
          <w:color w:val="231F20"/>
          <w:spacing w:val="-17"/>
          <w:w w:val="105"/>
          <w:sz w:val="20"/>
        </w:rPr>
        <w:t xml:space="preserve"> </w:t>
      </w:r>
      <w:r>
        <w:rPr>
          <w:rFonts w:ascii="Trebuchet MS"/>
          <w:color w:val="231F20"/>
          <w:w w:val="105"/>
          <w:sz w:val="20"/>
        </w:rPr>
        <w:t>20</w:t>
      </w:r>
      <w:r>
        <w:rPr>
          <w:rFonts w:ascii="Trebuchet MS"/>
          <w:color w:val="231F20"/>
          <w:spacing w:val="-17"/>
          <w:w w:val="105"/>
          <w:sz w:val="20"/>
        </w:rPr>
        <w:t xml:space="preserve"> </w:t>
      </w:r>
      <w:r>
        <w:rPr>
          <w:rFonts w:ascii="Trebuchet MS"/>
          <w:color w:val="231F20"/>
          <w:w w:val="105"/>
          <w:sz w:val="20"/>
        </w:rPr>
        <w:t>and</w:t>
      </w:r>
      <w:r>
        <w:rPr>
          <w:rFonts w:ascii="Trebuchet MS"/>
          <w:color w:val="231F20"/>
          <w:spacing w:val="-17"/>
          <w:w w:val="105"/>
          <w:sz w:val="20"/>
        </w:rPr>
        <w:t xml:space="preserve"> </w:t>
      </w:r>
      <w:r>
        <w:rPr>
          <w:rFonts w:ascii="Trebuchet MS"/>
          <w:color w:val="231F20"/>
          <w:w w:val="105"/>
          <w:sz w:val="20"/>
        </w:rPr>
        <w:t>21.</w:t>
      </w:r>
    </w:p>
    <w:p w14:paraId="1F18AB20" w14:textId="77777777" w:rsidR="00894070" w:rsidRDefault="00894070">
      <w:pPr>
        <w:pStyle w:val="BodyText"/>
        <w:rPr>
          <w:rFonts w:ascii="Trebuchet MS"/>
          <w:sz w:val="22"/>
        </w:rPr>
      </w:pPr>
    </w:p>
    <w:p w14:paraId="1069A3B9" w14:textId="77777777" w:rsidR="00894070" w:rsidRDefault="00894070">
      <w:pPr>
        <w:pStyle w:val="BodyText"/>
        <w:rPr>
          <w:rFonts w:ascii="Trebuchet MS"/>
          <w:sz w:val="22"/>
        </w:rPr>
      </w:pPr>
    </w:p>
    <w:p w14:paraId="3FBAB36B" w14:textId="77777777" w:rsidR="00894070" w:rsidRDefault="009B7AFD">
      <w:pPr>
        <w:pStyle w:val="Heading7"/>
        <w:spacing w:before="159"/>
      </w:pPr>
      <w:r>
        <w:rPr>
          <w:color w:val="EA5B50"/>
        </w:rPr>
        <w:t>Legal representation and support should be strengthened</w:t>
      </w:r>
    </w:p>
    <w:p w14:paraId="7881E716" w14:textId="77777777" w:rsidR="00894070" w:rsidRDefault="009B7AFD">
      <w:pPr>
        <w:pStyle w:val="Heading8"/>
        <w:spacing w:before="241"/>
        <w:ind w:left="1007"/>
      </w:pPr>
      <w:r>
        <w:rPr>
          <w:color w:val="231F20"/>
        </w:rPr>
        <w:t>Gaps exist for applicants and respondents to PSIOs</w:t>
      </w:r>
    </w:p>
    <w:p w14:paraId="2A8B2151" w14:textId="77777777" w:rsidR="00894070" w:rsidRDefault="009F6793">
      <w:pPr>
        <w:pStyle w:val="BodyText"/>
        <w:spacing w:before="11"/>
        <w:rPr>
          <w:b/>
          <w:sz w:val="23"/>
        </w:rPr>
      </w:pPr>
      <w:r>
        <w:pict w14:anchorId="01513ACA">
          <v:shape id="_x0000_s1298" type="#_x0000_t202" style="position:absolute;margin-left:119.3pt;margin-top:18.75pt;width:396.35pt;height:44.1pt;z-index:251681792;mso-wrap-distance-left:0;mso-wrap-distance-right:0;mso-position-horizontal-relative:page" fillcolor="#fee7de" strokecolor="#ea5b50" strokeweight=".5pt">
            <v:textbox inset="0,0,0,0">
              <w:txbxContent>
                <w:p w14:paraId="26A2A8D6" w14:textId="77777777" w:rsidR="00894070" w:rsidRDefault="009B7AFD">
                  <w:pPr>
                    <w:pStyle w:val="BodyText"/>
                    <w:spacing w:before="179" w:line="259" w:lineRule="exact"/>
                    <w:ind w:left="221"/>
                  </w:pPr>
                  <w:r>
                    <w:rPr>
                      <w:color w:val="231F20"/>
                    </w:rPr>
                    <w:t>The court lawyer was fantastic and felt like the only person on our side until the</w:t>
                  </w:r>
                </w:p>
                <w:p w14:paraId="4933D3E3" w14:textId="77777777" w:rsidR="00894070" w:rsidRDefault="009B7AFD">
                  <w:pPr>
                    <w:pStyle w:val="BodyText"/>
                    <w:spacing w:line="259" w:lineRule="exact"/>
                    <w:ind w:left="221"/>
                    <w:rPr>
                      <w:sz w:val="11"/>
                    </w:rPr>
                  </w:pPr>
                  <w:r>
                    <w:rPr>
                      <w:color w:val="231F20"/>
                    </w:rPr>
                    <w:t>magistrate approved the application without hesitation.</w:t>
                  </w:r>
                  <w:r>
                    <w:rPr>
                      <w:color w:val="231F20"/>
                      <w:position w:val="7"/>
                      <w:sz w:val="11"/>
                    </w:rPr>
                    <w:t>159</w:t>
                  </w:r>
                </w:p>
              </w:txbxContent>
            </v:textbox>
            <w10:wrap type="topAndBottom" anchorx="page"/>
          </v:shape>
        </w:pict>
      </w:r>
    </w:p>
    <w:p w14:paraId="3689F0AD" w14:textId="77777777" w:rsidR="00894070" w:rsidRDefault="00894070">
      <w:pPr>
        <w:pStyle w:val="BodyText"/>
        <w:spacing w:before="6"/>
        <w:rPr>
          <w:b/>
          <w:sz w:val="19"/>
        </w:rPr>
      </w:pPr>
    </w:p>
    <w:p w14:paraId="64E2E4ED" w14:textId="77777777" w:rsidR="00894070" w:rsidRDefault="009B7AFD">
      <w:pPr>
        <w:pStyle w:val="ListParagraph"/>
        <w:numPr>
          <w:ilvl w:val="1"/>
          <w:numId w:val="102"/>
        </w:numPr>
        <w:tabs>
          <w:tab w:val="left" w:pos="1801"/>
          <w:tab w:val="left" w:pos="1802"/>
        </w:tabs>
        <w:spacing w:before="89" w:line="206" w:lineRule="auto"/>
        <w:ind w:right="1657"/>
        <w:rPr>
          <w:sz w:val="20"/>
        </w:rPr>
      </w:pPr>
      <w:r>
        <w:rPr>
          <w:color w:val="231F20"/>
          <w:sz w:val="20"/>
        </w:rPr>
        <w:t>There</w:t>
      </w:r>
      <w:r>
        <w:rPr>
          <w:color w:val="231F20"/>
          <w:spacing w:val="-8"/>
          <w:sz w:val="20"/>
        </w:rPr>
        <w:t xml:space="preserve"> </w:t>
      </w:r>
      <w:r>
        <w:rPr>
          <w:color w:val="231F20"/>
          <w:spacing w:val="-3"/>
          <w:sz w:val="20"/>
        </w:rPr>
        <w:t>are</w:t>
      </w:r>
      <w:r>
        <w:rPr>
          <w:color w:val="231F20"/>
          <w:spacing w:val="-7"/>
          <w:sz w:val="20"/>
        </w:rPr>
        <w:t xml:space="preserve"> </w:t>
      </w:r>
      <w:r>
        <w:rPr>
          <w:color w:val="231F20"/>
          <w:sz w:val="20"/>
        </w:rPr>
        <w:t>broader</w:t>
      </w:r>
      <w:r>
        <w:rPr>
          <w:color w:val="231F20"/>
          <w:spacing w:val="-8"/>
          <w:sz w:val="20"/>
        </w:rPr>
        <w:t xml:space="preserve"> </w:t>
      </w:r>
      <w:r>
        <w:rPr>
          <w:color w:val="231F20"/>
          <w:sz w:val="20"/>
        </w:rPr>
        <w:t>issues</w:t>
      </w:r>
      <w:r>
        <w:rPr>
          <w:color w:val="231F20"/>
          <w:spacing w:val="-7"/>
          <w:sz w:val="20"/>
        </w:rPr>
        <w:t xml:space="preserve"> </w:t>
      </w:r>
      <w:r>
        <w:rPr>
          <w:color w:val="231F20"/>
          <w:sz w:val="20"/>
        </w:rPr>
        <w:t>of</w:t>
      </w:r>
      <w:r>
        <w:rPr>
          <w:color w:val="231F20"/>
          <w:spacing w:val="-8"/>
          <w:sz w:val="20"/>
        </w:rPr>
        <w:t xml:space="preserve"> </w:t>
      </w:r>
      <w:r>
        <w:rPr>
          <w:color w:val="231F20"/>
          <w:sz w:val="20"/>
        </w:rPr>
        <w:t>access</w:t>
      </w:r>
      <w:r>
        <w:rPr>
          <w:color w:val="231F20"/>
          <w:spacing w:val="-7"/>
          <w:sz w:val="20"/>
        </w:rPr>
        <w:t xml:space="preserve"> </w:t>
      </w:r>
      <w:r>
        <w:rPr>
          <w:color w:val="231F20"/>
          <w:sz w:val="20"/>
        </w:rPr>
        <w:t>to</w:t>
      </w:r>
      <w:r>
        <w:rPr>
          <w:color w:val="231F20"/>
          <w:spacing w:val="-8"/>
          <w:sz w:val="20"/>
        </w:rPr>
        <w:t xml:space="preserve"> </w:t>
      </w:r>
      <w:r>
        <w:rPr>
          <w:color w:val="231F20"/>
          <w:sz w:val="20"/>
        </w:rPr>
        <w:t>legal</w:t>
      </w:r>
      <w:r>
        <w:rPr>
          <w:color w:val="231F20"/>
          <w:spacing w:val="-7"/>
          <w:sz w:val="20"/>
        </w:rPr>
        <w:t xml:space="preserve"> </w:t>
      </w:r>
      <w:r>
        <w:rPr>
          <w:color w:val="231F20"/>
          <w:spacing w:val="-3"/>
          <w:sz w:val="20"/>
        </w:rPr>
        <w:t>information,</w:t>
      </w:r>
      <w:r>
        <w:rPr>
          <w:color w:val="231F20"/>
          <w:spacing w:val="-8"/>
          <w:sz w:val="20"/>
        </w:rPr>
        <w:t xml:space="preserve"> </w:t>
      </w:r>
      <w:proofErr w:type="gramStart"/>
      <w:r>
        <w:rPr>
          <w:color w:val="231F20"/>
          <w:sz w:val="20"/>
        </w:rPr>
        <w:t>advice</w:t>
      </w:r>
      <w:proofErr w:type="gramEnd"/>
      <w:r>
        <w:rPr>
          <w:color w:val="231F20"/>
          <w:spacing w:val="-7"/>
          <w:sz w:val="20"/>
        </w:rPr>
        <w:t xml:space="preserve"> </w:t>
      </w:r>
      <w:r>
        <w:rPr>
          <w:color w:val="231F20"/>
          <w:sz w:val="20"/>
        </w:rPr>
        <w:t>and</w:t>
      </w:r>
      <w:r>
        <w:rPr>
          <w:color w:val="231F20"/>
          <w:spacing w:val="-8"/>
          <w:sz w:val="20"/>
        </w:rPr>
        <w:t xml:space="preserve"> </w:t>
      </w:r>
      <w:r>
        <w:rPr>
          <w:color w:val="231F20"/>
          <w:spacing w:val="-3"/>
          <w:sz w:val="20"/>
        </w:rPr>
        <w:t xml:space="preserve">representation </w:t>
      </w:r>
      <w:r>
        <w:rPr>
          <w:color w:val="231F20"/>
          <w:sz w:val="20"/>
        </w:rPr>
        <w:t>in</w:t>
      </w:r>
      <w:r>
        <w:rPr>
          <w:color w:val="231F20"/>
          <w:spacing w:val="-9"/>
          <w:sz w:val="20"/>
        </w:rPr>
        <w:t xml:space="preserve"> </w:t>
      </w:r>
      <w:r>
        <w:rPr>
          <w:color w:val="231F20"/>
          <w:sz w:val="20"/>
        </w:rPr>
        <w:t>court</w:t>
      </w:r>
      <w:r>
        <w:rPr>
          <w:color w:val="231F20"/>
          <w:spacing w:val="-8"/>
          <w:sz w:val="20"/>
        </w:rPr>
        <w:t xml:space="preserve"> </w:t>
      </w:r>
      <w:r>
        <w:rPr>
          <w:color w:val="231F20"/>
          <w:sz w:val="20"/>
        </w:rPr>
        <w:t>in</w:t>
      </w:r>
      <w:r>
        <w:rPr>
          <w:color w:val="231F20"/>
          <w:spacing w:val="-8"/>
          <w:sz w:val="20"/>
        </w:rPr>
        <w:t xml:space="preserve"> </w:t>
      </w:r>
      <w:r>
        <w:rPr>
          <w:color w:val="231F20"/>
          <w:sz w:val="20"/>
        </w:rPr>
        <w:t>PSIO</w:t>
      </w:r>
      <w:r>
        <w:rPr>
          <w:color w:val="231F20"/>
          <w:spacing w:val="-8"/>
          <w:sz w:val="20"/>
        </w:rPr>
        <w:t xml:space="preserve"> </w:t>
      </w:r>
      <w:r>
        <w:rPr>
          <w:color w:val="231F20"/>
          <w:sz w:val="20"/>
        </w:rPr>
        <w:t>matters.</w:t>
      </w:r>
      <w:r>
        <w:rPr>
          <w:color w:val="231F20"/>
          <w:spacing w:val="-9"/>
          <w:sz w:val="20"/>
        </w:rPr>
        <w:t xml:space="preserve"> </w:t>
      </w:r>
      <w:r>
        <w:rPr>
          <w:color w:val="231F20"/>
          <w:sz w:val="20"/>
        </w:rPr>
        <w:t>This</w:t>
      </w:r>
      <w:r>
        <w:rPr>
          <w:color w:val="231F20"/>
          <w:spacing w:val="-8"/>
          <w:sz w:val="20"/>
        </w:rPr>
        <w:t xml:space="preserve"> </w:t>
      </w:r>
      <w:r>
        <w:rPr>
          <w:color w:val="231F20"/>
          <w:sz w:val="20"/>
        </w:rPr>
        <w:t>has</w:t>
      </w:r>
      <w:r>
        <w:rPr>
          <w:color w:val="231F20"/>
          <w:spacing w:val="-8"/>
          <w:sz w:val="20"/>
        </w:rPr>
        <w:t xml:space="preserve"> </w:t>
      </w:r>
      <w:r>
        <w:rPr>
          <w:color w:val="231F20"/>
          <w:sz w:val="20"/>
        </w:rPr>
        <w:t>a</w:t>
      </w:r>
      <w:r>
        <w:rPr>
          <w:color w:val="231F20"/>
          <w:spacing w:val="-8"/>
          <w:sz w:val="20"/>
        </w:rPr>
        <w:t xml:space="preserve"> </w:t>
      </w:r>
      <w:r>
        <w:rPr>
          <w:color w:val="231F20"/>
          <w:sz w:val="20"/>
        </w:rPr>
        <w:t>significant</w:t>
      </w:r>
      <w:r>
        <w:rPr>
          <w:color w:val="231F20"/>
          <w:spacing w:val="-8"/>
          <w:sz w:val="20"/>
        </w:rPr>
        <w:t xml:space="preserve"> </w:t>
      </w:r>
      <w:r>
        <w:rPr>
          <w:color w:val="231F20"/>
          <w:sz w:val="20"/>
        </w:rPr>
        <w:t>impact</w:t>
      </w:r>
      <w:r>
        <w:rPr>
          <w:color w:val="231F20"/>
          <w:spacing w:val="-9"/>
          <w:sz w:val="20"/>
        </w:rPr>
        <w:t xml:space="preserve"> </w:t>
      </w:r>
      <w:r>
        <w:rPr>
          <w:color w:val="231F20"/>
          <w:sz w:val="20"/>
        </w:rPr>
        <w:t>on</w:t>
      </w:r>
      <w:r>
        <w:rPr>
          <w:color w:val="231F20"/>
          <w:spacing w:val="-8"/>
          <w:sz w:val="20"/>
        </w:rPr>
        <w:t xml:space="preserve"> </w:t>
      </w:r>
      <w:r>
        <w:rPr>
          <w:color w:val="231F20"/>
          <w:sz w:val="20"/>
        </w:rPr>
        <w:t>those</w:t>
      </w:r>
      <w:r>
        <w:rPr>
          <w:color w:val="231F20"/>
          <w:spacing w:val="-8"/>
          <w:sz w:val="20"/>
        </w:rPr>
        <w:t xml:space="preserve"> </w:t>
      </w:r>
      <w:r>
        <w:rPr>
          <w:color w:val="231F20"/>
          <w:sz w:val="20"/>
        </w:rPr>
        <w:t>who</w:t>
      </w:r>
      <w:r>
        <w:rPr>
          <w:color w:val="231F20"/>
          <w:spacing w:val="-8"/>
          <w:sz w:val="20"/>
        </w:rPr>
        <w:t xml:space="preserve"> </w:t>
      </w:r>
      <w:r>
        <w:rPr>
          <w:color w:val="231F20"/>
          <w:sz w:val="20"/>
        </w:rPr>
        <w:t>seek</w:t>
      </w:r>
      <w:r>
        <w:rPr>
          <w:color w:val="231F20"/>
          <w:spacing w:val="-8"/>
          <w:sz w:val="20"/>
        </w:rPr>
        <w:t xml:space="preserve"> </w:t>
      </w:r>
      <w:r>
        <w:rPr>
          <w:color w:val="231F20"/>
          <w:sz w:val="20"/>
        </w:rPr>
        <w:t>PSIOs</w:t>
      </w:r>
      <w:r>
        <w:rPr>
          <w:color w:val="231F20"/>
          <w:spacing w:val="-9"/>
          <w:sz w:val="20"/>
        </w:rPr>
        <w:t xml:space="preserve"> </w:t>
      </w:r>
      <w:r>
        <w:rPr>
          <w:color w:val="231F20"/>
          <w:sz w:val="20"/>
        </w:rPr>
        <w:t>to</w:t>
      </w:r>
    </w:p>
    <w:p w14:paraId="6F754E42" w14:textId="77777777" w:rsidR="00894070" w:rsidRDefault="009B7AFD">
      <w:pPr>
        <w:pStyle w:val="BodyText"/>
        <w:spacing w:before="3" w:line="206" w:lineRule="auto"/>
        <w:ind w:left="1801" w:right="1310"/>
        <w:jc w:val="both"/>
      </w:pPr>
      <w:r>
        <w:rPr>
          <w:color w:val="231F20"/>
        </w:rPr>
        <w:t>address</w:t>
      </w:r>
      <w:r>
        <w:rPr>
          <w:color w:val="231F20"/>
          <w:spacing w:val="-8"/>
        </w:rPr>
        <w:t xml:space="preserve"> </w:t>
      </w:r>
      <w:r>
        <w:rPr>
          <w:color w:val="231F20"/>
        </w:rPr>
        <w:t>stalking.</w:t>
      </w:r>
      <w:r>
        <w:rPr>
          <w:color w:val="231F20"/>
          <w:spacing w:val="-8"/>
        </w:rPr>
        <w:t xml:space="preserve"> </w:t>
      </w:r>
      <w:r>
        <w:rPr>
          <w:color w:val="231F20"/>
          <w:spacing w:val="-3"/>
        </w:rPr>
        <w:t>For</w:t>
      </w:r>
      <w:r>
        <w:rPr>
          <w:color w:val="231F20"/>
          <w:spacing w:val="-7"/>
        </w:rPr>
        <w:t xml:space="preserve"> </w:t>
      </w:r>
      <w:r>
        <w:rPr>
          <w:color w:val="231F20"/>
        </w:rPr>
        <w:t>some</w:t>
      </w:r>
      <w:r>
        <w:rPr>
          <w:color w:val="231F20"/>
          <w:spacing w:val="-8"/>
        </w:rPr>
        <w:t xml:space="preserve"> </w:t>
      </w:r>
      <w:r>
        <w:rPr>
          <w:color w:val="231F20"/>
        </w:rPr>
        <w:t>applicants</w:t>
      </w:r>
      <w:r>
        <w:rPr>
          <w:color w:val="231F20"/>
          <w:spacing w:val="-7"/>
        </w:rPr>
        <w:t xml:space="preserve"> </w:t>
      </w:r>
      <w:r>
        <w:rPr>
          <w:color w:val="231F20"/>
        </w:rPr>
        <w:t>in</w:t>
      </w:r>
      <w:r>
        <w:rPr>
          <w:color w:val="231F20"/>
          <w:spacing w:val="-8"/>
        </w:rPr>
        <w:t xml:space="preserve"> </w:t>
      </w:r>
      <w:r>
        <w:rPr>
          <w:color w:val="231F20"/>
        </w:rPr>
        <w:t>PSIOs,</w:t>
      </w:r>
      <w:r>
        <w:rPr>
          <w:color w:val="231F20"/>
          <w:spacing w:val="-7"/>
        </w:rPr>
        <w:t xml:space="preserve"> </w:t>
      </w:r>
      <w:r>
        <w:rPr>
          <w:color w:val="231F20"/>
        </w:rPr>
        <w:t>not</w:t>
      </w:r>
      <w:r>
        <w:rPr>
          <w:color w:val="231F20"/>
          <w:spacing w:val="-8"/>
        </w:rPr>
        <w:t xml:space="preserve"> </w:t>
      </w:r>
      <w:r>
        <w:rPr>
          <w:color w:val="231F20"/>
          <w:spacing w:val="-3"/>
        </w:rPr>
        <w:t>having</w:t>
      </w:r>
      <w:r>
        <w:rPr>
          <w:color w:val="231F20"/>
          <w:spacing w:val="-7"/>
        </w:rPr>
        <w:t xml:space="preserve"> </w:t>
      </w:r>
      <w:r>
        <w:rPr>
          <w:color w:val="231F20"/>
        </w:rPr>
        <w:t>a</w:t>
      </w:r>
      <w:r>
        <w:rPr>
          <w:color w:val="231F20"/>
          <w:spacing w:val="-8"/>
        </w:rPr>
        <w:t xml:space="preserve"> </w:t>
      </w:r>
      <w:r>
        <w:rPr>
          <w:color w:val="231F20"/>
        </w:rPr>
        <w:t>lawyer</w:t>
      </w:r>
      <w:r>
        <w:rPr>
          <w:color w:val="231F20"/>
          <w:spacing w:val="-7"/>
        </w:rPr>
        <w:t xml:space="preserve"> </w:t>
      </w:r>
      <w:r>
        <w:rPr>
          <w:color w:val="231F20"/>
        </w:rPr>
        <w:t>can</w:t>
      </w:r>
      <w:r>
        <w:rPr>
          <w:color w:val="231F20"/>
          <w:spacing w:val="-8"/>
        </w:rPr>
        <w:t xml:space="preserve"> </w:t>
      </w:r>
      <w:r>
        <w:rPr>
          <w:color w:val="231F20"/>
        </w:rPr>
        <w:t>be</w:t>
      </w:r>
      <w:r>
        <w:rPr>
          <w:color w:val="231F20"/>
          <w:spacing w:val="-7"/>
        </w:rPr>
        <w:t xml:space="preserve"> </w:t>
      </w:r>
      <w:r>
        <w:rPr>
          <w:color w:val="231F20"/>
        </w:rPr>
        <w:t>a</w:t>
      </w:r>
      <w:r>
        <w:rPr>
          <w:color w:val="231F20"/>
          <w:spacing w:val="-8"/>
        </w:rPr>
        <w:t xml:space="preserve"> </w:t>
      </w:r>
      <w:r>
        <w:rPr>
          <w:color w:val="231F20"/>
        </w:rPr>
        <w:t>barrier</w:t>
      </w:r>
      <w:r>
        <w:rPr>
          <w:color w:val="231F20"/>
          <w:spacing w:val="-7"/>
        </w:rPr>
        <w:t xml:space="preserve"> </w:t>
      </w:r>
      <w:r>
        <w:rPr>
          <w:color w:val="231F20"/>
        </w:rPr>
        <w:t>to securing</w:t>
      </w:r>
      <w:r>
        <w:rPr>
          <w:color w:val="231F20"/>
          <w:spacing w:val="-10"/>
        </w:rPr>
        <w:t xml:space="preserve"> </w:t>
      </w:r>
      <w:r>
        <w:rPr>
          <w:color w:val="231F20"/>
        </w:rPr>
        <w:t>an</w:t>
      </w:r>
      <w:r>
        <w:rPr>
          <w:color w:val="231F20"/>
          <w:spacing w:val="-10"/>
        </w:rPr>
        <w:t xml:space="preserve"> </w:t>
      </w:r>
      <w:r>
        <w:rPr>
          <w:color w:val="231F20"/>
        </w:rPr>
        <w:t>outcome</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justice</w:t>
      </w:r>
      <w:r>
        <w:rPr>
          <w:color w:val="231F20"/>
          <w:spacing w:val="-10"/>
        </w:rPr>
        <w:t xml:space="preserve"> </w:t>
      </w:r>
      <w:r>
        <w:rPr>
          <w:color w:val="231F20"/>
        </w:rPr>
        <w:t>system.</w:t>
      </w:r>
      <w:r>
        <w:rPr>
          <w:color w:val="231F20"/>
          <w:spacing w:val="-10"/>
        </w:rPr>
        <w:t xml:space="preserve"> </w:t>
      </w:r>
      <w:r>
        <w:rPr>
          <w:color w:val="231F20"/>
        </w:rPr>
        <w:t>One</w:t>
      </w:r>
      <w:r>
        <w:rPr>
          <w:color w:val="231F20"/>
          <w:spacing w:val="-10"/>
        </w:rPr>
        <w:t xml:space="preserve"> </w:t>
      </w:r>
      <w:r>
        <w:rPr>
          <w:color w:val="231F20"/>
        </w:rPr>
        <w:t>person</w:t>
      </w:r>
      <w:r>
        <w:rPr>
          <w:color w:val="231F20"/>
          <w:spacing w:val="-10"/>
        </w:rPr>
        <w:t xml:space="preserve"> </w:t>
      </w:r>
      <w:r>
        <w:rPr>
          <w:color w:val="231F20"/>
        </w:rPr>
        <w:t>who</w:t>
      </w:r>
      <w:r>
        <w:rPr>
          <w:color w:val="231F20"/>
          <w:spacing w:val="-10"/>
        </w:rPr>
        <w:t xml:space="preserve"> </w:t>
      </w:r>
      <w:r>
        <w:rPr>
          <w:color w:val="231F20"/>
        </w:rPr>
        <w:t>had</w:t>
      </w:r>
      <w:r>
        <w:rPr>
          <w:color w:val="231F20"/>
          <w:spacing w:val="-10"/>
        </w:rPr>
        <w:t xml:space="preserve"> </w:t>
      </w:r>
      <w:r>
        <w:rPr>
          <w:color w:val="231F20"/>
        </w:rPr>
        <w:t>reported</w:t>
      </w:r>
      <w:r>
        <w:rPr>
          <w:color w:val="231F20"/>
          <w:spacing w:val="-10"/>
        </w:rPr>
        <w:t xml:space="preserve"> </w:t>
      </w:r>
      <w:r>
        <w:rPr>
          <w:color w:val="231F20"/>
        </w:rPr>
        <w:t>her</w:t>
      </w:r>
      <w:r>
        <w:rPr>
          <w:color w:val="231F20"/>
          <w:spacing w:val="-10"/>
        </w:rPr>
        <w:t xml:space="preserve"> </w:t>
      </w:r>
      <w:r>
        <w:rPr>
          <w:color w:val="231F20"/>
        </w:rPr>
        <w:t xml:space="preserve">stalking experience </w:t>
      </w:r>
      <w:r>
        <w:rPr>
          <w:color w:val="231F20"/>
          <w:spacing w:val="-4"/>
        </w:rPr>
        <w:t xml:space="preserve">5–10 </w:t>
      </w:r>
      <w:r>
        <w:rPr>
          <w:color w:val="231F20"/>
        </w:rPr>
        <w:t xml:space="preserve">years ago </w:t>
      </w:r>
      <w:r>
        <w:rPr>
          <w:color w:val="231F20"/>
          <w:spacing w:val="-3"/>
        </w:rPr>
        <w:t>told</w:t>
      </w:r>
      <w:r>
        <w:rPr>
          <w:color w:val="231F20"/>
          <w:spacing w:val="-18"/>
        </w:rPr>
        <w:t xml:space="preserve"> </w:t>
      </w:r>
      <w:r>
        <w:rPr>
          <w:color w:val="231F20"/>
        </w:rPr>
        <w:t>us:</w:t>
      </w:r>
    </w:p>
    <w:p w14:paraId="024824FA" w14:textId="77777777" w:rsidR="00894070" w:rsidRDefault="009F6793">
      <w:pPr>
        <w:pStyle w:val="BodyText"/>
        <w:spacing w:before="7"/>
        <w:rPr>
          <w:sz w:val="23"/>
        </w:rPr>
      </w:pPr>
      <w:r>
        <w:pict w14:anchorId="2448F582">
          <v:shape id="_x0000_s1297" type="#_x0000_t202" style="position:absolute;margin-left:119.3pt;margin-top:18.55pt;width:396.35pt;height:56.1pt;z-index:251682816;mso-wrap-distance-left:0;mso-wrap-distance-right:0;mso-position-horizontal-relative:page" fillcolor="#fee7de" strokecolor="#ea5b50" strokeweight=".5pt">
            <v:textbox inset="0,0,0,0">
              <w:txbxContent>
                <w:p w14:paraId="1945D61D" w14:textId="77777777" w:rsidR="00894070" w:rsidRDefault="00894070">
                  <w:pPr>
                    <w:pStyle w:val="BodyText"/>
                    <w:spacing w:before="3"/>
                    <w:rPr>
                      <w:sz w:val="15"/>
                    </w:rPr>
                  </w:pPr>
                </w:p>
                <w:p w14:paraId="2733DFBE" w14:textId="77777777" w:rsidR="00894070" w:rsidRDefault="009B7AFD">
                  <w:pPr>
                    <w:pStyle w:val="BodyText"/>
                    <w:spacing w:line="206" w:lineRule="auto"/>
                    <w:ind w:left="221" w:right="557"/>
                    <w:jc w:val="both"/>
                    <w:rPr>
                      <w:sz w:val="11"/>
                    </w:rPr>
                  </w:pPr>
                  <w:r>
                    <w:rPr>
                      <w:color w:val="231F20"/>
                    </w:rPr>
                    <w:t xml:space="preserve">The other person ended up hiring a top lawyer and I didn’t </w:t>
                  </w:r>
                  <w:r>
                    <w:rPr>
                      <w:color w:val="231F20"/>
                      <w:spacing w:val="-3"/>
                    </w:rPr>
                    <w:t xml:space="preserve">have </w:t>
                  </w:r>
                  <w:r>
                    <w:rPr>
                      <w:color w:val="231F20"/>
                    </w:rPr>
                    <w:t>the money to spend</w:t>
                  </w:r>
                  <w:r>
                    <w:rPr>
                      <w:color w:val="231F20"/>
                      <w:spacing w:val="-5"/>
                    </w:rPr>
                    <w:t xml:space="preserve"> </w:t>
                  </w:r>
                  <w:r>
                    <w:rPr>
                      <w:color w:val="231F20"/>
                    </w:rPr>
                    <w:t>on</w:t>
                  </w:r>
                  <w:r>
                    <w:rPr>
                      <w:color w:val="231F20"/>
                      <w:spacing w:val="-4"/>
                    </w:rPr>
                    <w:t xml:space="preserve"> </w:t>
                  </w:r>
                  <w:r>
                    <w:rPr>
                      <w:color w:val="231F20"/>
                    </w:rPr>
                    <w:t>a</w:t>
                  </w:r>
                  <w:r>
                    <w:rPr>
                      <w:color w:val="231F20"/>
                      <w:spacing w:val="-5"/>
                    </w:rPr>
                    <w:t xml:space="preserve"> </w:t>
                  </w:r>
                  <w:r>
                    <w:rPr>
                      <w:color w:val="231F20"/>
                    </w:rPr>
                    <w:t>lawyer</w:t>
                  </w:r>
                  <w:r>
                    <w:rPr>
                      <w:color w:val="231F20"/>
                      <w:spacing w:val="-4"/>
                    </w:rPr>
                    <w:t xml:space="preserve"> </w:t>
                  </w:r>
                  <w:r>
                    <w:rPr>
                      <w:color w:val="231F20"/>
                    </w:rPr>
                    <w:t>so</w:t>
                  </w:r>
                  <w:r>
                    <w:rPr>
                      <w:color w:val="231F20"/>
                      <w:spacing w:val="-5"/>
                    </w:rPr>
                    <w:t xml:space="preserve"> </w:t>
                  </w:r>
                  <w:r>
                    <w:rPr>
                      <w:color w:val="231F20"/>
                    </w:rPr>
                    <w:t>I</w:t>
                  </w:r>
                  <w:r>
                    <w:rPr>
                      <w:color w:val="231F20"/>
                      <w:spacing w:val="-4"/>
                    </w:rPr>
                    <w:t xml:space="preserve"> </w:t>
                  </w:r>
                  <w:r>
                    <w:rPr>
                      <w:color w:val="231F20"/>
                    </w:rPr>
                    <w:t>ended</w:t>
                  </w:r>
                  <w:r>
                    <w:rPr>
                      <w:color w:val="231F20"/>
                      <w:spacing w:val="-5"/>
                    </w:rPr>
                    <w:t xml:space="preserve"> </w:t>
                  </w:r>
                  <w:r>
                    <w:rPr>
                      <w:color w:val="231F20"/>
                    </w:rPr>
                    <w:t>up</w:t>
                  </w:r>
                  <w:r>
                    <w:rPr>
                      <w:color w:val="231F20"/>
                      <w:spacing w:val="-4"/>
                    </w:rPr>
                    <w:t xml:space="preserve"> </w:t>
                  </w:r>
                  <w:r>
                    <w:rPr>
                      <w:color w:val="231F20"/>
                    </w:rPr>
                    <w:t>not</w:t>
                  </w:r>
                  <w:r>
                    <w:rPr>
                      <w:color w:val="231F20"/>
                      <w:spacing w:val="-5"/>
                    </w:rPr>
                    <w:t xml:space="preserve"> </w:t>
                  </w:r>
                  <w:r>
                    <w:rPr>
                      <w:color w:val="231F20"/>
                    </w:rPr>
                    <w:t>getting</w:t>
                  </w:r>
                  <w:r>
                    <w:rPr>
                      <w:color w:val="231F20"/>
                      <w:spacing w:val="-4"/>
                    </w:rPr>
                    <w:t xml:space="preserve"> </w:t>
                  </w:r>
                  <w:r>
                    <w:rPr>
                      <w:color w:val="231F20"/>
                    </w:rPr>
                    <w:t>the</w:t>
                  </w:r>
                  <w:r>
                    <w:rPr>
                      <w:color w:val="231F20"/>
                      <w:spacing w:val="-5"/>
                    </w:rPr>
                    <w:t xml:space="preserve"> </w:t>
                  </w:r>
                  <w:r>
                    <w:rPr>
                      <w:color w:val="231F20"/>
                    </w:rPr>
                    <w:t>final</w:t>
                  </w:r>
                  <w:r>
                    <w:rPr>
                      <w:color w:val="231F20"/>
                      <w:spacing w:val="-4"/>
                    </w:rPr>
                    <w:t xml:space="preserve"> </w:t>
                  </w:r>
                  <w:r>
                    <w:rPr>
                      <w:color w:val="231F20"/>
                    </w:rPr>
                    <w:t>intervention</w:t>
                  </w:r>
                  <w:r>
                    <w:rPr>
                      <w:color w:val="231F20"/>
                      <w:spacing w:val="-5"/>
                    </w:rPr>
                    <w:t xml:space="preserve"> </w:t>
                  </w:r>
                  <w:r>
                    <w:rPr>
                      <w:color w:val="231F20"/>
                    </w:rPr>
                    <w:t>order</w:t>
                  </w:r>
                  <w:r>
                    <w:rPr>
                      <w:color w:val="231F20"/>
                      <w:spacing w:val="-4"/>
                    </w:rPr>
                    <w:t xml:space="preserve"> </w:t>
                  </w:r>
                  <w:r>
                    <w:rPr>
                      <w:color w:val="231F20"/>
                    </w:rPr>
                    <w:t>as</w:t>
                  </w:r>
                  <w:r>
                    <w:rPr>
                      <w:color w:val="231F20"/>
                      <w:spacing w:val="-4"/>
                    </w:rPr>
                    <w:t xml:space="preserve"> </w:t>
                  </w:r>
                  <w:r>
                    <w:rPr>
                      <w:color w:val="231F20"/>
                    </w:rPr>
                    <w:t>the person contested it. I was so</w:t>
                  </w:r>
                  <w:r>
                    <w:rPr>
                      <w:color w:val="231F20"/>
                      <w:spacing w:val="-13"/>
                    </w:rPr>
                    <w:t xml:space="preserve"> </w:t>
                  </w:r>
                  <w:r>
                    <w:rPr>
                      <w:color w:val="231F20"/>
                    </w:rPr>
                    <w:t>devastated.</w:t>
                  </w:r>
                  <w:r>
                    <w:rPr>
                      <w:color w:val="231F20"/>
                      <w:position w:val="7"/>
                      <w:sz w:val="11"/>
                    </w:rPr>
                    <w:t>160</w:t>
                  </w:r>
                </w:p>
              </w:txbxContent>
            </v:textbox>
            <w10:wrap type="topAndBottom" anchorx="page"/>
          </v:shape>
        </w:pict>
      </w:r>
    </w:p>
    <w:p w14:paraId="24BF4CFC" w14:textId="77777777" w:rsidR="00894070" w:rsidRDefault="00894070">
      <w:pPr>
        <w:pStyle w:val="BodyText"/>
      </w:pPr>
    </w:p>
    <w:p w14:paraId="59F921EF" w14:textId="77777777" w:rsidR="00894070" w:rsidRDefault="00894070">
      <w:pPr>
        <w:pStyle w:val="BodyText"/>
      </w:pPr>
    </w:p>
    <w:p w14:paraId="4597BC1E" w14:textId="77777777" w:rsidR="00894070" w:rsidRDefault="009F6793">
      <w:pPr>
        <w:pStyle w:val="BodyText"/>
        <w:spacing w:before="5"/>
        <w:rPr>
          <w:sz w:val="17"/>
        </w:rPr>
      </w:pPr>
      <w:r>
        <w:pict w14:anchorId="1DFF3075">
          <v:line id="_x0000_s1296" style="position:absolute;z-index:251684864;mso-wrap-distance-left:0;mso-wrap-distance-right:0;mso-position-horizontal-relative:page" from="79.35pt,14.5pt" to="515.9pt,14.5pt" strokecolor="#f8cabc" strokeweight="1pt">
            <w10:wrap type="topAndBottom" anchorx="page"/>
          </v:line>
        </w:pict>
      </w:r>
    </w:p>
    <w:p w14:paraId="6918B31F" w14:textId="77777777" w:rsidR="00894070" w:rsidRDefault="00894070">
      <w:pPr>
        <w:pStyle w:val="BodyText"/>
        <w:rPr>
          <w:sz w:val="5"/>
        </w:rPr>
      </w:pPr>
    </w:p>
    <w:p w14:paraId="739C9F80" w14:textId="77777777" w:rsidR="00894070" w:rsidRDefault="00894070">
      <w:pPr>
        <w:rPr>
          <w:sz w:val="5"/>
        </w:rPr>
        <w:sectPr w:rsidR="00894070">
          <w:pgSz w:w="11910" w:h="16840"/>
          <w:pgMar w:top="860" w:right="420" w:bottom="280" w:left="580" w:header="567" w:footer="0" w:gutter="0"/>
          <w:cols w:space="720"/>
        </w:sectPr>
      </w:pPr>
    </w:p>
    <w:p w14:paraId="5A9FD946" w14:textId="77777777" w:rsidR="00894070" w:rsidRDefault="009B7AFD">
      <w:pPr>
        <w:pStyle w:val="Heading8"/>
        <w:spacing w:before="214"/>
        <w:ind w:left="140"/>
      </w:pPr>
      <w:r>
        <w:rPr>
          <w:color w:val="EA5B50"/>
        </w:rPr>
        <w:t>116</w:t>
      </w:r>
    </w:p>
    <w:p w14:paraId="415F424C" w14:textId="77777777" w:rsidR="00894070" w:rsidRDefault="009B7AFD">
      <w:pPr>
        <w:pStyle w:val="ListParagraph"/>
        <w:numPr>
          <w:ilvl w:val="0"/>
          <w:numId w:val="85"/>
        </w:numPr>
        <w:tabs>
          <w:tab w:val="left" w:pos="933"/>
          <w:tab w:val="left" w:pos="934"/>
        </w:tabs>
        <w:spacing w:before="38" w:line="213" w:lineRule="auto"/>
        <w:ind w:left="933" w:right="1521" w:hanging="793"/>
        <w:jc w:val="left"/>
        <w:rPr>
          <w:sz w:val="13"/>
        </w:rPr>
      </w:pPr>
      <w:r>
        <w:rPr>
          <w:color w:val="231F20"/>
          <w:spacing w:val="2"/>
          <w:sz w:val="13"/>
        </w:rPr>
        <w:br w:type="column"/>
      </w: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7E7F3EB7" w14:textId="77777777" w:rsidR="00894070" w:rsidRDefault="009B7AFD">
      <w:pPr>
        <w:pStyle w:val="ListParagraph"/>
        <w:numPr>
          <w:ilvl w:val="0"/>
          <w:numId w:val="85"/>
        </w:numPr>
        <w:tabs>
          <w:tab w:val="left" w:pos="933"/>
          <w:tab w:val="left" w:pos="934"/>
        </w:tabs>
        <w:spacing w:line="163" w:lineRule="exact"/>
        <w:ind w:left="933" w:hanging="793"/>
        <w:jc w:val="left"/>
        <w:rPr>
          <w:sz w:val="13"/>
        </w:rPr>
      </w:pPr>
      <w:r>
        <w:rPr>
          <w:color w:val="231F20"/>
          <w:sz w:val="13"/>
        </w:rPr>
        <w:t>Ibid.</w:t>
      </w:r>
    </w:p>
    <w:p w14:paraId="7295DBE7" w14:textId="77777777" w:rsidR="00894070" w:rsidRDefault="00894070">
      <w:pPr>
        <w:spacing w:line="163" w:lineRule="exact"/>
        <w:rPr>
          <w:sz w:val="13"/>
        </w:rPr>
        <w:sectPr w:rsidR="00894070">
          <w:type w:val="continuous"/>
          <w:pgSz w:w="11910" w:h="16840"/>
          <w:pgMar w:top="560" w:right="420" w:bottom="280" w:left="580" w:header="720" w:footer="720" w:gutter="0"/>
          <w:cols w:num="2" w:space="720" w:equalWidth="0">
            <w:col w:w="556" w:space="311"/>
            <w:col w:w="10043"/>
          </w:cols>
        </w:sectPr>
      </w:pPr>
    </w:p>
    <w:p w14:paraId="7A221CA2" w14:textId="77777777" w:rsidR="00894070" w:rsidRDefault="00894070">
      <w:pPr>
        <w:pStyle w:val="BodyText"/>
      </w:pPr>
    </w:p>
    <w:p w14:paraId="09B16C77" w14:textId="77777777" w:rsidR="00894070" w:rsidRDefault="00894070">
      <w:pPr>
        <w:pStyle w:val="BodyText"/>
      </w:pPr>
    </w:p>
    <w:p w14:paraId="769ABD36" w14:textId="77777777" w:rsidR="00894070" w:rsidRDefault="00894070">
      <w:pPr>
        <w:pStyle w:val="BodyText"/>
      </w:pPr>
    </w:p>
    <w:p w14:paraId="2959B25C" w14:textId="77777777" w:rsidR="00894070" w:rsidRDefault="00894070">
      <w:pPr>
        <w:pStyle w:val="BodyText"/>
        <w:spacing w:before="6"/>
        <w:rPr>
          <w:sz w:val="14"/>
        </w:rPr>
      </w:pPr>
    </w:p>
    <w:p w14:paraId="711C4311" w14:textId="77777777" w:rsidR="00894070" w:rsidRDefault="009B7AFD">
      <w:pPr>
        <w:pStyle w:val="ListParagraph"/>
        <w:numPr>
          <w:ilvl w:val="1"/>
          <w:numId w:val="102"/>
        </w:numPr>
        <w:tabs>
          <w:tab w:val="left" w:pos="1801"/>
          <w:tab w:val="left" w:pos="1802"/>
        </w:tabs>
        <w:spacing w:before="90" w:line="206" w:lineRule="auto"/>
        <w:ind w:right="1179"/>
        <w:rPr>
          <w:sz w:val="20"/>
        </w:rPr>
      </w:pPr>
      <w:r>
        <w:rPr>
          <w:color w:val="231F20"/>
          <w:sz w:val="20"/>
        </w:rPr>
        <w:t xml:space="preserve">A lack of legal </w:t>
      </w:r>
      <w:r>
        <w:rPr>
          <w:color w:val="231F20"/>
          <w:spacing w:val="-3"/>
          <w:sz w:val="20"/>
        </w:rPr>
        <w:t xml:space="preserve">representation </w:t>
      </w:r>
      <w:r>
        <w:rPr>
          <w:color w:val="231F20"/>
          <w:sz w:val="20"/>
        </w:rPr>
        <w:t>can add to the feeling of helplessness people often feel within</w:t>
      </w:r>
      <w:r>
        <w:rPr>
          <w:color w:val="231F20"/>
          <w:spacing w:val="-10"/>
          <w:sz w:val="20"/>
        </w:rPr>
        <w:t xml:space="preserve"> </w:t>
      </w:r>
      <w:r>
        <w:rPr>
          <w:color w:val="231F20"/>
          <w:sz w:val="20"/>
        </w:rPr>
        <w:t>the</w:t>
      </w:r>
      <w:r>
        <w:rPr>
          <w:color w:val="231F20"/>
          <w:spacing w:val="-10"/>
          <w:sz w:val="20"/>
        </w:rPr>
        <w:t xml:space="preserve"> </w:t>
      </w:r>
      <w:r>
        <w:rPr>
          <w:color w:val="231F20"/>
          <w:sz w:val="20"/>
        </w:rPr>
        <w:t>justice</w:t>
      </w:r>
      <w:r>
        <w:rPr>
          <w:color w:val="231F20"/>
          <w:spacing w:val="-10"/>
          <w:sz w:val="20"/>
        </w:rPr>
        <w:t xml:space="preserve"> </w:t>
      </w:r>
      <w:r>
        <w:rPr>
          <w:color w:val="231F20"/>
          <w:sz w:val="20"/>
        </w:rPr>
        <w:t>system.</w:t>
      </w:r>
      <w:r>
        <w:rPr>
          <w:color w:val="231F20"/>
          <w:spacing w:val="-9"/>
          <w:sz w:val="20"/>
        </w:rPr>
        <w:t xml:space="preserve"> </w:t>
      </w:r>
      <w:r>
        <w:rPr>
          <w:color w:val="231F20"/>
          <w:sz w:val="20"/>
        </w:rPr>
        <w:t>One</w:t>
      </w:r>
      <w:r>
        <w:rPr>
          <w:color w:val="231F20"/>
          <w:spacing w:val="-10"/>
          <w:sz w:val="20"/>
        </w:rPr>
        <w:t xml:space="preserve"> </w:t>
      </w:r>
      <w:r>
        <w:rPr>
          <w:color w:val="231F20"/>
          <w:sz w:val="20"/>
        </w:rPr>
        <w:t>person</w:t>
      </w:r>
      <w:r>
        <w:rPr>
          <w:color w:val="231F20"/>
          <w:spacing w:val="-10"/>
          <w:sz w:val="20"/>
        </w:rPr>
        <w:t xml:space="preserve"> </w:t>
      </w:r>
      <w:r>
        <w:rPr>
          <w:color w:val="231F20"/>
          <w:sz w:val="20"/>
        </w:rPr>
        <w:t>who</w:t>
      </w:r>
      <w:r>
        <w:rPr>
          <w:color w:val="231F20"/>
          <w:spacing w:val="-9"/>
          <w:sz w:val="20"/>
        </w:rPr>
        <w:t xml:space="preserve"> </w:t>
      </w:r>
      <w:r>
        <w:rPr>
          <w:color w:val="231F20"/>
          <w:sz w:val="20"/>
        </w:rPr>
        <w:t>made</w:t>
      </w:r>
      <w:r>
        <w:rPr>
          <w:color w:val="231F20"/>
          <w:spacing w:val="-10"/>
          <w:sz w:val="20"/>
        </w:rPr>
        <w:t xml:space="preserve"> </w:t>
      </w:r>
      <w:r>
        <w:rPr>
          <w:color w:val="231F20"/>
          <w:sz w:val="20"/>
        </w:rPr>
        <w:t>a</w:t>
      </w:r>
      <w:r>
        <w:rPr>
          <w:color w:val="231F20"/>
          <w:spacing w:val="-10"/>
          <w:sz w:val="20"/>
        </w:rPr>
        <w:t xml:space="preserve"> </w:t>
      </w:r>
      <w:r>
        <w:rPr>
          <w:color w:val="231F20"/>
          <w:sz w:val="20"/>
        </w:rPr>
        <w:t>report</w:t>
      </w:r>
      <w:r>
        <w:rPr>
          <w:color w:val="231F20"/>
          <w:spacing w:val="-10"/>
          <w:sz w:val="20"/>
        </w:rPr>
        <w:t xml:space="preserve"> </w:t>
      </w:r>
      <w:r>
        <w:rPr>
          <w:color w:val="231F20"/>
          <w:sz w:val="20"/>
        </w:rPr>
        <w:t>of</w:t>
      </w:r>
      <w:r>
        <w:rPr>
          <w:color w:val="231F20"/>
          <w:spacing w:val="-9"/>
          <w:sz w:val="20"/>
        </w:rPr>
        <w:t xml:space="preserve"> </w:t>
      </w:r>
      <w:r>
        <w:rPr>
          <w:color w:val="231F20"/>
          <w:sz w:val="20"/>
        </w:rPr>
        <w:t>stalking</w:t>
      </w:r>
      <w:r>
        <w:rPr>
          <w:color w:val="231F20"/>
          <w:spacing w:val="-10"/>
          <w:sz w:val="20"/>
        </w:rPr>
        <w:t xml:space="preserve"> </w:t>
      </w:r>
      <w:r>
        <w:rPr>
          <w:color w:val="231F20"/>
          <w:sz w:val="20"/>
        </w:rPr>
        <w:t>to</w:t>
      </w:r>
      <w:r>
        <w:rPr>
          <w:color w:val="231F20"/>
          <w:spacing w:val="-10"/>
          <w:sz w:val="20"/>
        </w:rPr>
        <w:t xml:space="preserve"> </w:t>
      </w:r>
      <w:r>
        <w:rPr>
          <w:color w:val="231F20"/>
          <w:sz w:val="20"/>
        </w:rPr>
        <w:t>police</w:t>
      </w:r>
      <w:r>
        <w:rPr>
          <w:color w:val="231F20"/>
          <w:spacing w:val="-9"/>
          <w:sz w:val="20"/>
        </w:rPr>
        <w:t xml:space="preserve"> </w:t>
      </w:r>
      <w:r>
        <w:rPr>
          <w:color w:val="231F20"/>
          <w:sz w:val="20"/>
        </w:rPr>
        <w:t>2–5</w:t>
      </w:r>
      <w:r>
        <w:rPr>
          <w:color w:val="231F20"/>
          <w:spacing w:val="-10"/>
          <w:sz w:val="20"/>
        </w:rPr>
        <w:t xml:space="preserve"> </w:t>
      </w:r>
      <w:r>
        <w:rPr>
          <w:color w:val="231F20"/>
          <w:sz w:val="20"/>
        </w:rPr>
        <w:t xml:space="preserve">years ago </w:t>
      </w:r>
      <w:r>
        <w:rPr>
          <w:color w:val="231F20"/>
          <w:spacing w:val="-3"/>
          <w:sz w:val="20"/>
        </w:rPr>
        <w:t>told</w:t>
      </w:r>
      <w:r>
        <w:rPr>
          <w:color w:val="231F20"/>
          <w:spacing w:val="-9"/>
          <w:sz w:val="20"/>
        </w:rPr>
        <w:t xml:space="preserve"> </w:t>
      </w:r>
      <w:r>
        <w:rPr>
          <w:color w:val="231F20"/>
          <w:sz w:val="20"/>
        </w:rPr>
        <w:t>us:</w:t>
      </w:r>
    </w:p>
    <w:p w14:paraId="6445E699" w14:textId="77777777" w:rsidR="00894070" w:rsidRDefault="009F6793">
      <w:pPr>
        <w:pStyle w:val="BodyText"/>
        <w:spacing w:before="7"/>
        <w:rPr>
          <w:sz w:val="23"/>
        </w:rPr>
      </w:pPr>
      <w:r>
        <w:pict w14:anchorId="61F2A845">
          <v:shape id="_x0000_s1295" type="#_x0000_t202" style="position:absolute;margin-left:119.3pt;margin-top:18.55pt;width:396.35pt;height:44.1pt;z-index:251685888;mso-wrap-distance-left:0;mso-wrap-distance-right:0;mso-position-horizontal-relative:page" fillcolor="#fee7de" strokecolor="#ea5b50" strokeweight=".5pt">
            <v:textbox inset="0,0,0,0">
              <w:txbxContent>
                <w:p w14:paraId="0CA35486" w14:textId="77777777" w:rsidR="00894070" w:rsidRDefault="009B7AFD">
                  <w:pPr>
                    <w:pStyle w:val="BodyText"/>
                    <w:spacing w:before="179" w:line="259" w:lineRule="exact"/>
                    <w:ind w:left="221"/>
                  </w:pPr>
                  <w:r>
                    <w:rPr>
                      <w:color w:val="231F20"/>
                    </w:rPr>
                    <w:t>I had no idea what was going to happen, there [was] no duty lawyer or</w:t>
                  </w:r>
                </w:p>
                <w:p w14:paraId="70EE6075" w14:textId="77777777" w:rsidR="00894070" w:rsidRDefault="009B7AFD">
                  <w:pPr>
                    <w:pStyle w:val="BodyText"/>
                    <w:spacing w:line="259" w:lineRule="exact"/>
                    <w:ind w:left="221"/>
                  </w:pPr>
                  <w:r>
                    <w:rPr>
                      <w:color w:val="231F20"/>
                    </w:rPr>
                    <w:t>community legal help for PSIO.</w:t>
                  </w:r>
                </w:p>
              </w:txbxContent>
            </v:textbox>
            <w10:wrap type="topAndBottom" anchorx="page"/>
          </v:shape>
        </w:pict>
      </w:r>
    </w:p>
    <w:p w14:paraId="68AC6C7F" w14:textId="77777777" w:rsidR="00894070" w:rsidRDefault="00894070">
      <w:pPr>
        <w:pStyle w:val="BodyText"/>
        <w:spacing w:before="6"/>
        <w:rPr>
          <w:sz w:val="19"/>
        </w:rPr>
      </w:pPr>
    </w:p>
    <w:p w14:paraId="39CB3A13" w14:textId="77777777" w:rsidR="00894070" w:rsidRDefault="009B7AFD">
      <w:pPr>
        <w:pStyle w:val="ListParagraph"/>
        <w:numPr>
          <w:ilvl w:val="1"/>
          <w:numId w:val="102"/>
        </w:numPr>
        <w:tabs>
          <w:tab w:val="left" w:pos="1801"/>
          <w:tab w:val="left" w:pos="1802"/>
        </w:tabs>
        <w:spacing w:before="57"/>
        <w:rPr>
          <w:sz w:val="20"/>
        </w:rPr>
      </w:pPr>
      <w:r>
        <w:rPr>
          <w:color w:val="231F20"/>
          <w:sz w:val="20"/>
        </w:rPr>
        <w:t xml:space="preserve">Di McDonald, a person who experienced stalking, </w:t>
      </w:r>
      <w:r>
        <w:rPr>
          <w:color w:val="231F20"/>
          <w:spacing w:val="-3"/>
          <w:sz w:val="20"/>
        </w:rPr>
        <w:t>told</w:t>
      </w:r>
      <w:r>
        <w:rPr>
          <w:color w:val="231F20"/>
          <w:spacing w:val="-37"/>
          <w:sz w:val="20"/>
        </w:rPr>
        <w:t xml:space="preserve"> </w:t>
      </w:r>
      <w:r>
        <w:rPr>
          <w:color w:val="231F20"/>
          <w:sz w:val="20"/>
        </w:rPr>
        <w:t>us:</w:t>
      </w:r>
    </w:p>
    <w:p w14:paraId="447FC0FF" w14:textId="77777777" w:rsidR="00894070" w:rsidRDefault="009F6793">
      <w:pPr>
        <w:pStyle w:val="BodyText"/>
        <w:spacing w:before="12"/>
        <w:rPr>
          <w:sz w:val="22"/>
        </w:rPr>
      </w:pPr>
      <w:r>
        <w:pict w14:anchorId="352E4442">
          <v:shape id="_x0000_s1294" type="#_x0000_t202" style="position:absolute;margin-left:119.3pt;margin-top:18.1pt;width:396.35pt;height:92.1pt;z-index:251686912;mso-wrap-distance-left:0;mso-wrap-distance-right:0;mso-position-horizontal-relative:page" fillcolor="#fee7de" strokecolor="#ea5b50" strokeweight=".5pt">
            <v:textbox inset="0,0,0,0">
              <w:txbxContent>
                <w:p w14:paraId="4589F8BA" w14:textId="77777777" w:rsidR="00894070" w:rsidRDefault="00894070">
                  <w:pPr>
                    <w:pStyle w:val="BodyText"/>
                    <w:spacing w:before="3"/>
                    <w:rPr>
                      <w:sz w:val="15"/>
                    </w:rPr>
                  </w:pPr>
                </w:p>
                <w:p w14:paraId="5917BF33" w14:textId="77777777" w:rsidR="00894070" w:rsidRDefault="009B7AFD">
                  <w:pPr>
                    <w:pStyle w:val="BodyText"/>
                    <w:spacing w:line="206" w:lineRule="auto"/>
                    <w:ind w:left="221" w:right="212"/>
                    <w:rPr>
                      <w:sz w:val="11"/>
                    </w:rPr>
                  </w:pPr>
                  <w:r>
                    <w:rPr>
                      <w:color w:val="231F20"/>
                    </w:rPr>
                    <w:t>My Aunt [and] I waited hours to speak to Legal Aid. I was concerned about being called into the [courtroom] not having any advice on what I needed to do. The [l]awyer for Legal Aid was extremely rude advising me they only help respondents, not applicants. I was so upset as no one would be helping me through this, I had never been inside a court before and had no idea what to do. … All I had with me was the flyer that was given to me the night before.</w:t>
                  </w:r>
                  <w:r>
                    <w:rPr>
                      <w:color w:val="231F20"/>
                      <w:position w:val="7"/>
                      <w:sz w:val="11"/>
                    </w:rPr>
                    <w:t>161</w:t>
                  </w:r>
                </w:p>
              </w:txbxContent>
            </v:textbox>
            <w10:wrap type="topAndBottom" anchorx="page"/>
          </v:shape>
        </w:pict>
      </w:r>
    </w:p>
    <w:p w14:paraId="741BC529" w14:textId="77777777" w:rsidR="00894070" w:rsidRDefault="00894070">
      <w:pPr>
        <w:pStyle w:val="BodyText"/>
        <w:spacing w:before="6"/>
        <w:rPr>
          <w:sz w:val="19"/>
        </w:rPr>
      </w:pPr>
    </w:p>
    <w:p w14:paraId="68679D85" w14:textId="77777777" w:rsidR="00894070" w:rsidRDefault="009B7AFD">
      <w:pPr>
        <w:pStyle w:val="ListParagraph"/>
        <w:numPr>
          <w:ilvl w:val="1"/>
          <w:numId w:val="102"/>
        </w:numPr>
        <w:tabs>
          <w:tab w:val="left" w:pos="1801"/>
          <w:tab w:val="left" w:pos="1802"/>
        </w:tabs>
        <w:spacing w:before="89" w:line="206" w:lineRule="auto"/>
        <w:ind w:right="1263"/>
        <w:rPr>
          <w:sz w:val="20"/>
        </w:rPr>
      </w:pPr>
      <w:r>
        <w:rPr>
          <w:color w:val="231F20"/>
          <w:spacing w:val="-6"/>
          <w:sz w:val="20"/>
        </w:rPr>
        <w:t>We</w:t>
      </w:r>
      <w:r>
        <w:rPr>
          <w:color w:val="231F20"/>
          <w:spacing w:val="-12"/>
          <w:sz w:val="20"/>
        </w:rPr>
        <w:t xml:space="preserve"> </w:t>
      </w:r>
      <w:r>
        <w:rPr>
          <w:color w:val="231F20"/>
          <w:sz w:val="20"/>
        </w:rPr>
        <w:t>heard</w:t>
      </w:r>
      <w:r>
        <w:rPr>
          <w:color w:val="231F20"/>
          <w:spacing w:val="-12"/>
          <w:sz w:val="20"/>
        </w:rPr>
        <w:t xml:space="preserve"> </w:t>
      </w:r>
      <w:r>
        <w:rPr>
          <w:color w:val="231F20"/>
          <w:sz w:val="20"/>
        </w:rPr>
        <w:t>that</w:t>
      </w:r>
      <w:r>
        <w:rPr>
          <w:color w:val="231F20"/>
          <w:spacing w:val="-12"/>
          <w:sz w:val="20"/>
        </w:rPr>
        <w:t xml:space="preserve"> </w:t>
      </w:r>
      <w:r>
        <w:rPr>
          <w:color w:val="231F20"/>
          <w:sz w:val="20"/>
        </w:rPr>
        <w:t>legal</w:t>
      </w:r>
      <w:r>
        <w:rPr>
          <w:color w:val="231F20"/>
          <w:spacing w:val="-11"/>
          <w:sz w:val="20"/>
        </w:rPr>
        <w:t xml:space="preserve"> </w:t>
      </w:r>
      <w:r>
        <w:rPr>
          <w:color w:val="231F20"/>
          <w:sz w:val="20"/>
        </w:rPr>
        <w:t>support</w:t>
      </w:r>
      <w:r>
        <w:rPr>
          <w:color w:val="231F20"/>
          <w:spacing w:val="-12"/>
          <w:sz w:val="20"/>
        </w:rPr>
        <w:t xml:space="preserve"> </w:t>
      </w:r>
      <w:r>
        <w:rPr>
          <w:color w:val="231F20"/>
          <w:spacing w:val="-3"/>
          <w:sz w:val="20"/>
        </w:rPr>
        <w:t>for</w:t>
      </w:r>
      <w:r>
        <w:rPr>
          <w:color w:val="231F20"/>
          <w:spacing w:val="-12"/>
          <w:sz w:val="20"/>
        </w:rPr>
        <w:t xml:space="preserve"> </w:t>
      </w:r>
      <w:r>
        <w:rPr>
          <w:color w:val="231F20"/>
          <w:sz w:val="20"/>
        </w:rPr>
        <w:t>non-family</w:t>
      </w:r>
      <w:r>
        <w:rPr>
          <w:color w:val="231F20"/>
          <w:spacing w:val="-11"/>
          <w:sz w:val="20"/>
        </w:rPr>
        <w:t xml:space="preserve"> </w:t>
      </w:r>
      <w:r>
        <w:rPr>
          <w:color w:val="231F20"/>
          <w:sz w:val="20"/>
        </w:rPr>
        <w:t>violence</w:t>
      </w:r>
      <w:r>
        <w:rPr>
          <w:color w:val="231F20"/>
          <w:spacing w:val="-12"/>
          <w:sz w:val="20"/>
        </w:rPr>
        <w:t xml:space="preserve"> </w:t>
      </w:r>
      <w:r>
        <w:rPr>
          <w:color w:val="231F20"/>
          <w:sz w:val="20"/>
        </w:rPr>
        <w:t>stalking</w:t>
      </w:r>
      <w:r>
        <w:rPr>
          <w:color w:val="231F20"/>
          <w:spacing w:val="-12"/>
          <w:sz w:val="20"/>
        </w:rPr>
        <w:t xml:space="preserve"> </w:t>
      </w:r>
      <w:r>
        <w:rPr>
          <w:color w:val="231F20"/>
          <w:sz w:val="20"/>
        </w:rPr>
        <w:t>victim</w:t>
      </w:r>
      <w:r>
        <w:rPr>
          <w:color w:val="231F20"/>
          <w:spacing w:val="-11"/>
          <w:sz w:val="20"/>
        </w:rPr>
        <w:t xml:space="preserve"> </w:t>
      </w:r>
      <w:r>
        <w:rPr>
          <w:color w:val="231F20"/>
          <w:sz w:val="20"/>
        </w:rPr>
        <w:t>survivors</w:t>
      </w:r>
      <w:r>
        <w:rPr>
          <w:color w:val="231F20"/>
          <w:spacing w:val="-12"/>
          <w:sz w:val="20"/>
        </w:rPr>
        <w:t xml:space="preserve"> </w:t>
      </w:r>
      <w:r>
        <w:rPr>
          <w:color w:val="231F20"/>
          <w:sz w:val="20"/>
        </w:rPr>
        <w:t>tends</w:t>
      </w:r>
      <w:r>
        <w:rPr>
          <w:color w:val="231F20"/>
          <w:spacing w:val="-12"/>
          <w:sz w:val="20"/>
        </w:rPr>
        <w:t xml:space="preserve"> </w:t>
      </w:r>
      <w:r>
        <w:rPr>
          <w:color w:val="231F20"/>
          <w:sz w:val="20"/>
        </w:rPr>
        <w:t>not to be ongoing</w:t>
      </w:r>
      <w:r>
        <w:rPr>
          <w:color w:val="231F20"/>
          <w:position w:val="7"/>
          <w:sz w:val="11"/>
        </w:rPr>
        <w:t xml:space="preserve">162 </w:t>
      </w:r>
      <w:r>
        <w:rPr>
          <w:color w:val="231F20"/>
          <w:sz w:val="20"/>
        </w:rPr>
        <w:t xml:space="preserve">or </w:t>
      </w:r>
      <w:r>
        <w:rPr>
          <w:color w:val="231F20"/>
          <w:spacing w:val="-3"/>
          <w:sz w:val="20"/>
        </w:rPr>
        <w:t xml:space="preserve">receives </w:t>
      </w:r>
      <w:r>
        <w:rPr>
          <w:color w:val="231F20"/>
          <w:sz w:val="20"/>
        </w:rPr>
        <w:t>insufficient funding.</w:t>
      </w:r>
      <w:r>
        <w:rPr>
          <w:color w:val="231F20"/>
          <w:position w:val="7"/>
          <w:sz w:val="11"/>
        </w:rPr>
        <w:t xml:space="preserve">163 </w:t>
      </w:r>
      <w:r>
        <w:rPr>
          <w:color w:val="231F20"/>
          <w:sz w:val="20"/>
        </w:rPr>
        <w:t xml:space="preserve">Domestic Violence Victoria and the Domestic Violence </w:t>
      </w:r>
      <w:r>
        <w:rPr>
          <w:color w:val="231F20"/>
          <w:spacing w:val="-3"/>
          <w:sz w:val="20"/>
        </w:rPr>
        <w:t xml:space="preserve">Resource Centre </w:t>
      </w:r>
      <w:r>
        <w:rPr>
          <w:color w:val="231F20"/>
          <w:sz w:val="20"/>
        </w:rPr>
        <w:t xml:space="preserve">Victoria </w:t>
      </w:r>
      <w:r>
        <w:rPr>
          <w:color w:val="231F20"/>
          <w:spacing w:val="-3"/>
          <w:sz w:val="20"/>
        </w:rPr>
        <w:t>told</w:t>
      </w:r>
      <w:r>
        <w:rPr>
          <w:color w:val="231F20"/>
          <w:spacing w:val="-20"/>
          <w:sz w:val="20"/>
        </w:rPr>
        <w:t xml:space="preserve"> </w:t>
      </w:r>
      <w:r>
        <w:rPr>
          <w:color w:val="231F20"/>
          <w:sz w:val="20"/>
        </w:rPr>
        <w:t>us:</w:t>
      </w:r>
    </w:p>
    <w:p w14:paraId="6A12D93F" w14:textId="77777777" w:rsidR="00894070" w:rsidRDefault="009B7AFD">
      <w:pPr>
        <w:spacing w:before="122" w:line="208" w:lineRule="auto"/>
        <w:ind w:left="2254" w:right="1167"/>
        <w:rPr>
          <w:sz w:val="11"/>
        </w:rPr>
      </w:pPr>
      <w:r>
        <w:rPr>
          <w:color w:val="231F20"/>
          <w:sz w:val="19"/>
        </w:rPr>
        <w:t xml:space="preserve">Community legal centres are a good existing resource where the public can go to understand their legal rights and obligations and the legal implications of </w:t>
      </w:r>
      <w:proofErr w:type="gramStart"/>
      <w:r>
        <w:rPr>
          <w:color w:val="231F20"/>
          <w:sz w:val="19"/>
        </w:rPr>
        <w:t>stalking</w:t>
      </w:r>
      <w:proofErr w:type="gramEnd"/>
      <w:r>
        <w:rPr>
          <w:color w:val="231F20"/>
          <w:sz w:val="19"/>
        </w:rPr>
        <w:t xml:space="preserve"> but they have limitations in the services they can provide due to funding constraints.</w:t>
      </w:r>
      <w:r>
        <w:rPr>
          <w:color w:val="231F20"/>
          <w:position w:val="6"/>
          <w:sz w:val="11"/>
        </w:rPr>
        <w:t>164</w:t>
      </w:r>
    </w:p>
    <w:p w14:paraId="70252F3C" w14:textId="77777777" w:rsidR="00894070" w:rsidRDefault="009B7AFD">
      <w:pPr>
        <w:pStyle w:val="ListParagraph"/>
        <w:numPr>
          <w:ilvl w:val="1"/>
          <w:numId w:val="102"/>
        </w:numPr>
        <w:tabs>
          <w:tab w:val="left" w:pos="1802"/>
        </w:tabs>
        <w:spacing w:before="124" w:line="206" w:lineRule="auto"/>
        <w:ind w:right="1863"/>
        <w:jc w:val="both"/>
        <w:rPr>
          <w:sz w:val="20"/>
        </w:rPr>
      </w:pPr>
      <w:r>
        <w:rPr>
          <w:color w:val="231F20"/>
          <w:sz w:val="20"/>
        </w:rPr>
        <w:t>The</w:t>
      </w:r>
      <w:r>
        <w:rPr>
          <w:color w:val="231F20"/>
          <w:spacing w:val="-11"/>
          <w:sz w:val="20"/>
        </w:rPr>
        <w:t xml:space="preserve"> </w:t>
      </w:r>
      <w:r>
        <w:rPr>
          <w:color w:val="231F20"/>
          <w:sz w:val="20"/>
        </w:rPr>
        <w:t>Federation</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Community</w:t>
      </w:r>
      <w:r>
        <w:rPr>
          <w:color w:val="231F20"/>
          <w:spacing w:val="-11"/>
          <w:sz w:val="20"/>
        </w:rPr>
        <w:t xml:space="preserve"> </w:t>
      </w:r>
      <w:r>
        <w:rPr>
          <w:color w:val="231F20"/>
          <w:sz w:val="20"/>
        </w:rPr>
        <w:t>Legal</w:t>
      </w:r>
      <w:r>
        <w:rPr>
          <w:color w:val="231F20"/>
          <w:spacing w:val="-10"/>
          <w:sz w:val="20"/>
        </w:rPr>
        <w:t xml:space="preserve"> </w:t>
      </w:r>
      <w:r>
        <w:rPr>
          <w:color w:val="231F20"/>
          <w:spacing w:val="-3"/>
          <w:sz w:val="20"/>
        </w:rPr>
        <w:t>Centres</w:t>
      </w:r>
      <w:r>
        <w:rPr>
          <w:color w:val="231F20"/>
          <w:spacing w:val="-10"/>
          <w:sz w:val="20"/>
        </w:rPr>
        <w:t xml:space="preserve"> </w:t>
      </w:r>
      <w:r>
        <w:rPr>
          <w:color w:val="231F20"/>
          <w:sz w:val="20"/>
        </w:rPr>
        <w:t>highlighted</w:t>
      </w:r>
      <w:r>
        <w:rPr>
          <w:color w:val="231F20"/>
          <w:spacing w:val="-10"/>
          <w:sz w:val="20"/>
        </w:rPr>
        <w:t xml:space="preserve"> </w:t>
      </w:r>
      <w:r>
        <w:rPr>
          <w:color w:val="231F20"/>
          <w:sz w:val="20"/>
        </w:rPr>
        <w:t>the</w:t>
      </w:r>
      <w:r>
        <w:rPr>
          <w:color w:val="231F20"/>
          <w:spacing w:val="-11"/>
          <w:sz w:val="20"/>
        </w:rPr>
        <w:t xml:space="preserve"> </w:t>
      </w:r>
      <w:r>
        <w:rPr>
          <w:color w:val="231F20"/>
          <w:spacing w:val="-3"/>
          <w:sz w:val="20"/>
        </w:rPr>
        <w:t>difference</w:t>
      </w:r>
      <w:r>
        <w:rPr>
          <w:color w:val="231F20"/>
          <w:spacing w:val="-10"/>
          <w:sz w:val="20"/>
        </w:rPr>
        <w:t xml:space="preserve"> </w:t>
      </w:r>
      <w:r>
        <w:rPr>
          <w:color w:val="231F20"/>
          <w:sz w:val="20"/>
        </w:rPr>
        <w:t>in</w:t>
      </w:r>
      <w:r>
        <w:rPr>
          <w:color w:val="231F20"/>
          <w:spacing w:val="-10"/>
          <w:sz w:val="20"/>
        </w:rPr>
        <w:t xml:space="preserve"> </w:t>
      </w:r>
      <w:r>
        <w:rPr>
          <w:color w:val="231F20"/>
          <w:sz w:val="20"/>
        </w:rPr>
        <w:t>legal assistance</w:t>
      </w:r>
      <w:r>
        <w:rPr>
          <w:color w:val="231F20"/>
          <w:spacing w:val="-13"/>
          <w:sz w:val="20"/>
        </w:rPr>
        <w:t xml:space="preserve"> </w:t>
      </w:r>
      <w:r>
        <w:rPr>
          <w:color w:val="231F20"/>
          <w:spacing w:val="-3"/>
          <w:sz w:val="20"/>
        </w:rPr>
        <w:t>for</w:t>
      </w:r>
      <w:r>
        <w:rPr>
          <w:color w:val="231F20"/>
          <w:spacing w:val="-12"/>
          <w:sz w:val="20"/>
        </w:rPr>
        <w:t xml:space="preserve"> </w:t>
      </w:r>
      <w:r>
        <w:rPr>
          <w:color w:val="231F20"/>
          <w:sz w:val="20"/>
        </w:rPr>
        <w:t>victims</w:t>
      </w:r>
      <w:r>
        <w:rPr>
          <w:color w:val="231F20"/>
          <w:spacing w:val="-12"/>
          <w:sz w:val="20"/>
        </w:rPr>
        <w:t xml:space="preserve"> </w:t>
      </w:r>
      <w:r>
        <w:rPr>
          <w:color w:val="231F20"/>
          <w:sz w:val="20"/>
        </w:rPr>
        <w:t>between</w:t>
      </w:r>
      <w:r>
        <w:rPr>
          <w:color w:val="231F20"/>
          <w:spacing w:val="-12"/>
          <w:sz w:val="20"/>
        </w:rPr>
        <w:t xml:space="preserve"> </w:t>
      </w:r>
      <w:r>
        <w:rPr>
          <w:color w:val="231F20"/>
          <w:spacing w:val="-3"/>
          <w:sz w:val="20"/>
        </w:rPr>
        <w:t>family</w:t>
      </w:r>
      <w:r>
        <w:rPr>
          <w:color w:val="231F20"/>
          <w:spacing w:val="-12"/>
          <w:sz w:val="20"/>
        </w:rPr>
        <w:t xml:space="preserve"> </w:t>
      </w:r>
      <w:r>
        <w:rPr>
          <w:color w:val="231F20"/>
          <w:sz w:val="20"/>
        </w:rPr>
        <w:t>violence</w:t>
      </w:r>
      <w:r>
        <w:rPr>
          <w:color w:val="231F20"/>
          <w:spacing w:val="-13"/>
          <w:sz w:val="20"/>
        </w:rPr>
        <w:t xml:space="preserve"> </w:t>
      </w:r>
      <w:r>
        <w:rPr>
          <w:color w:val="231F20"/>
          <w:sz w:val="20"/>
        </w:rPr>
        <w:t>and</w:t>
      </w:r>
      <w:r>
        <w:rPr>
          <w:color w:val="231F20"/>
          <w:spacing w:val="-12"/>
          <w:sz w:val="20"/>
        </w:rPr>
        <w:t xml:space="preserve"> </w:t>
      </w:r>
      <w:r>
        <w:rPr>
          <w:color w:val="231F20"/>
          <w:sz w:val="20"/>
        </w:rPr>
        <w:t>non-family</w:t>
      </w:r>
      <w:r>
        <w:rPr>
          <w:color w:val="231F20"/>
          <w:spacing w:val="-12"/>
          <w:sz w:val="20"/>
        </w:rPr>
        <w:t xml:space="preserve"> </w:t>
      </w:r>
      <w:r>
        <w:rPr>
          <w:color w:val="231F20"/>
          <w:sz w:val="20"/>
        </w:rPr>
        <w:t>violence</w:t>
      </w:r>
      <w:r>
        <w:rPr>
          <w:color w:val="231F20"/>
          <w:spacing w:val="-12"/>
          <w:sz w:val="20"/>
        </w:rPr>
        <w:t xml:space="preserve"> </w:t>
      </w:r>
      <w:r>
        <w:rPr>
          <w:color w:val="231F20"/>
          <w:sz w:val="20"/>
        </w:rPr>
        <w:t xml:space="preserve">stalking </w:t>
      </w:r>
      <w:r>
        <w:rPr>
          <w:color w:val="231F20"/>
          <w:spacing w:val="-3"/>
          <w:sz w:val="20"/>
        </w:rPr>
        <w:t>matters:</w:t>
      </w:r>
    </w:p>
    <w:p w14:paraId="5D91F978" w14:textId="77777777" w:rsidR="00894070" w:rsidRDefault="009B7AFD">
      <w:pPr>
        <w:spacing w:before="121" w:line="208" w:lineRule="auto"/>
        <w:ind w:left="2254" w:right="1219"/>
        <w:rPr>
          <w:sz w:val="11"/>
        </w:rPr>
      </w:pPr>
      <w:r>
        <w:rPr>
          <w:color w:val="231F20"/>
          <w:sz w:val="19"/>
        </w:rPr>
        <w:t xml:space="preserve">While community legal centres (CLCs) provide legal assistance in family violence matters (pre-court and through court duty services), there is no corresponding government funding for personal safety intervention order (PSIO) matters. This has created a discrepancy in the legal assistance available for victim survivors of family violence and victim survivors of (non-family violence) stalking and those at risk of harm, </w:t>
      </w:r>
      <w:proofErr w:type="gramStart"/>
      <w:r>
        <w:rPr>
          <w:color w:val="231F20"/>
          <w:sz w:val="19"/>
        </w:rPr>
        <w:t>threat</w:t>
      </w:r>
      <w:proofErr w:type="gramEnd"/>
      <w:r>
        <w:rPr>
          <w:color w:val="231F20"/>
          <w:sz w:val="19"/>
        </w:rPr>
        <w:t xml:space="preserve"> or violence. This is an area of unmet legal need.</w:t>
      </w:r>
      <w:r>
        <w:rPr>
          <w:color w:val="231F20"/>
          <w:position w:val="6"/>
          <w:sz w:val="11"/>
        </w:rPr>
        <w:t>165</w:t>
      </w:r>
    </w:p>
    <w:p w14:paraId="441C675B" w14:textId="77777777" w:rsidR="00894070" w:rsidRDefault="009B7AFD">
      <w:pPr>
        <w:pStyle w:val="ListParagraph"/>
        <w:numPr>
          <w:ilvl w:val="1"/>
          <w:numId w:val="102"/>
        </w:numPr>
        <w:tabs>
          <w:tab w:val="left" w:pos="1801"/>
          <w:tab w:val="left" w:pos="1802"/>
        </w:tabs>
        <w:spacing w:before="126" w:line="206" w:lineRule="auto"/>
        <w:ind w:right="1330"/>
        <w:rPr>
          <w:sz w:val="11"/>
        </w:rPr>
      </w:pPr>
      <w:r>
        <w:rPr>
          <w:color w:val="231F20"/>
          <w:sz w:val="20"/>
        </w:rPr>
        <w:t xml:space="preserve">Djirra explained that there </w:t>
      </w:r>
      <w:r>
        <w:rPr>
          <w:color w:val="231F20"/>
          <w:spacing w:val="-3"/>
          <w:sz w:val="20"/>
        </w:rPr>
        <w:t xml:space="preserve">are </w:t>
      </w:r>
      <w:r>
        <w:rPr>
          <w:color w:val="231F20"/>
          <w:sz w:val="20"/>
        </w:rPr>
        <w:t xml:space="preserve">no Aboriginal </w:t>
      </w:r>
      <w:r>
        <w:rPr>
          <w:color w:val="231F20"/>
          <w:spacing w:val="-2"/>
          <w:sz w:val="20"/>
        </w:rPr>
        <w:t xml:space="preserve">community-controlled </w:t>
      </w:r>
      <w:r>
        <w:rPr>
          <w:color w:val="231F20"/>
          <w:sz w:val="20"/>
        </w:rPr>
        <w:t xml:space="preserve">legal services </w:t>
      </w:r>
      <w:r>
        <w:rPr>
          <w:color w:val="231F20"/>
          <w:spacing w:val="-3"/>
          <w:sz w:val="20"/>
        </w:rPr>
        <w:t xml:space="preserve">for </w:t>
      </w:r>
      <w:r>
        <w:rPr>
          <w:color w:val="231F20"/>
          <w:sz w:val="20"/>
        </w:rPr>
        <w:t>Aboriginal</w:t>
      </w:r>
      <w:r>
        <w:rPr>
          <w:color w:val="231F20"/>
          <w:spacing w:val="-10"/>
          <w:sz w:val="20"/>
        </w:rPr>
        <w:t xml:space="preserve"> </w:t>
      </w:r>
      <w:r>
        <w:rPr>
          <w:color w:val="231F20"/>
          <w:sz w:val="20"/>
        </w:rPr>
        <w:t>and</w:t>
      </w:r>
      <w:r>
        <w:rPr>
          <w:color w:val="231F20"/>
          <w:spacing w:val="-9"/>
          <w:sz w:val="20"/>
        </w:rPr>
        <w:t xml:space="preserve"> </w:t>
      </w:r>
      <w:r>
        <w:rPr>
          <w:color w:val="231F20"/>
          <w:spacing w:val="-5"/>
          <w:sz w:val="20"/>
        </w:rPr>
        <w:t>Torres</w:t>
      </w:r>
      <w:r>
        <w:rPr>
          <w:color w:val="231F20"/>
          <w:spacing w:val="-10"/>
          <w:sz w:val="20"/>
        </w:rPr>
        <w:t xml:space="preserve"> </w:t>
      </w:r>
      <w:r>
        <w:rPr>
          <w:color w:val="231F20"/>
          <w:sz w:val="20"/>
        </w:rPr>
        <w:t>Strait</w:t>
      </w:r>
      <w:r>
        <w:rPr>
          <w:color w:val="231F20"/>
          <w:spacing w:val="-9"/>
          <w:sz w:val="20"/>
        </w:rPr>
        <w:t xml:space="preserve"> </w:t>
      </w:r>
      <w:r>
        <w:rPr>
          <w:color w:val="231F20"/>
          <w:sz w:val="20"/>
        </w:rPr>
        <w:t>Islander</w:t>
      </w:r>
      <w:r>
        <w:rPr>
          <w:color w:val="231F20"/>
          <w:spacing w:val="-10"/>
          <w:sz w:val="20"/>
        </w:rPr>
        <w:t xml:space="preserve"> </w:t>
      </w:r>
      <w:r>
        <w:rPr>
          <w:color w:val="231F20"/>
          <w:sz w:val="20"/>
        </w:rPr>
        <w:t>people</w:t>
      </w:r>
      <w:r>
        <w:rPr>
          <w:color w:val="231F20"/>
          <w:spacing w:val="-9"/>
          <w:sz w:val="20"/>
        </w:rPr>
        <w:t xml:space="preserve"> </w:t>
      </w:r>
      <w:r>
        <w:rPr>
          <w:color w:val="231F20"/>
          <w:sz w:val="20"/>
        </w:rPr>
        <w:t>who</w:t>
      </w:r>
      <w:r>
        <w:rPr>
          <w:color w:val="231F20"/>
          <w:spacing w:val="-10"/>
          <w:sz w:val="20"/>
        </w:rPr>
        <w:t xml:space="preserve"> </w:t>
      </w:r>
      <w:r>
        <w:rPr>
          <w:color w:val="231F20"/>
          <w:sz w:val="20"/>
        </w:rPr>
        <w:t>need</w:t>
      </w:r>
      <w:r>
        <w:rPr>
          <w:color w:val="231F20"/>
          <w:spacing w:val="-9"/>
          <w:sz w:val="20"/>
        </w:rPr>
        <w:t xml:space="preserve"> </w:t>
      </w:r>
      <w:r>
        <w:rPr>
          <w:color w:val="231F20"/>
          <w:sz w:val="20"/>
        </w:rPr>
        <w:t>assistance</w:t>
      </w:r>
      <w:r>
        <w:rPr>
          <w:color w:val="231F20"/>
          <w:spacing w:val="-10"/>
          <w:sz w:val="20"/>
        </w:rPr>
        <w:t xml:space="preserve"> </w:t>
      </w:r>
      <w:r>
        <w:rPr>
          <w:color w:val="231F20"/>
          <w:sz w:val="20"/>
        </w:rPr>
        <w:t>with</w:t>
      </w:r>
      <w:r>
        <w:rPr>
          <w:color w:val="231F20"/>
          <w:spacing w:val="-9"/>
          <w:sz w:val="20"/>
        </w:rPr>
        <w:t xml:space="preserve"> </w:t>
      </w:r>
      <w:r>
        <w:rPr>
          <w:color w:val="231F20"/>
          <w:sz w:val="20"/>
        </w:rPr>
        <w:t>PSIOs,</w:t>
      </w:r>
      <w:r>
        <w:rPr>
          <w:color w:val="231F20"/>
          <w:spacing w:val="-10"/>
          <w:sz w:val="20"/>
        </w:rPr>
        <w:t xml:space="preserve"> </w:t>
      </w:r>
      <w:r>
        <w:rPr>
          <w:color w:val="231F20"/>
          <w:sz w:val="20"/>
        </w:rPr>
        <w:t>and</w:t>
      </w:r>
      <w:r>
        <w:rPr>
          <w:color w:val="231F20"/>
          <w:spacing w:val="-9"/>
          <w:sz w:val="20"/>
        </w:rPr>
        <w:t xml:space="preserve"> </w:t>
      </w:r>
      <w:r>
        <w:rPr>
          <w:color w:val="231F20"/>
          <w:sz w:val="20"/>
        </w:rPr>
        <w:t xml:space="preserve">that many ‘cannot </w:t>
      </w:r>
      <w:r>
        <w:rPr>
          <w:color w:val="231F20"/>
          <w:spacing w:val="-3"/>
          <w:sz w:val="20"/>
        </w:rPr>
        <w:t xml:space="preserve">afford </w:t>
      </w:r>
      <w:r>
        <w:rPr>
          <w:color w:val="231F20"/>
          <w:sz w:val="20"/>
        </w:rPr>
        <w:t xml:space="preserve">a </w:t>
      </w:r>
      <w:r>
        <w:rPr>
          <w:color w:val="231F20"/>
          <w:spacing w:val="-3"/>
          <w:sz w:val="20"/>
        </w:rPr>
        <w:t>private</w:t>
      </w:r>
      <w:r>
        <w:rPr>
          <w:color w:val="231F20"/>
          <w:spacing w:val="-18"/>
          <w:sz w:val="20"/>
        </w:rPr>
        <w:t xml:space="preserve"> </w:t>
      </w:r>
      <w:r>
        <w:rPr>
          <w:color w:val="231F20"/>
          <w:spacing w:val="-3"/>
          <w:sz w:val="20"/>
        </w:rPr>
        <w:t>lawyer.’</w:t>
      </w:r>
      <w:r>
        <w:rPr>
          <w:color w:val="231F20"/>
          <w:spacing w:val="-3"/>
          <w:position w:val="7"/>
          <w:sz w:val="11"/>
        </w:rPr>
        <w:t>166</w:t>
      </w:r>
    </w:p>
    <w:p w14:paraId="10B5E414" w14:textId="77777777" w:rsidR="00894070" w:rsidRDefault="009B7AFD">
      <w:pPr>
        <w:pStyle w:val="ListParagraph"/>
        <w:numPr>
          <w:ilvl w:val="1"/>
          <w:numId w:val="102"/>
        </w:numPr>
        <w:tabs>
          <w:tab w:val="left" w:pos="1801"/>
          <w:tab w:val="left" w:pos="1802"/>
        </w:tabs>
        <w:spacing w:before="124" w:line="206" w:lineRule="auto"/>
        <w:ind w:right="1235"/>
        <w:rPr>
          <w:sz w:val="11"/>
        </w:rPr>
      </w:pPr>
      <w:r>
        <w:rPr>
          <w:color w:val="231F20"/>
          <w:sz w:val="20"/>
        </w:rPr>
        <w:t xml:space="preserve">The eligibility requirements </w:t>
      </w:r>
      <w:r>
        <w:rPr>
          <w:color w:val="231F20"/>
          <w:spacing w:val="-3"/>
          <w:sz w:val="20"/>
        </w:rPr>
        <w:t xml:space="preserve">for </w:t>
      </w:r>
      <w:r>
        <w:rPr>
          <w:color w:val="231F20"/>
          <w:sz w:val="20"/>
        </w:rPr>
        <w:t xml:space="preserve">legal aid grants </w:t>
      </w:r>
      <w:r>
        <w:rPr>
          <w:color w:val="231F20"/>
          <w:spacing w:val="-3"/>
          <w:sz w:val="20"/>
        </w:rPr>
        <w:t xml:space="preserve">for </w:t>
      </w:r>
      <w:r>
        <w:rPr>
          <w:color w:val="231F20"/>
          <w:sz w:val="20"/>
        </w:rPr>
        <w:t xml:space="preserve">PSIO matters </w:t>
      </w:r>
      <w:r>
        <w:rPr>
          <w:color w:val="231F20"/>
          <w:spacing w:val="-3"/>
          <w:sz w:val="20"/>
        </w:rPr>
        <w:t xml:space="preserve">are </w:t>
      </w:r>
      <w:r>
        <w:rPr>
          <w:color w:val="231F20"/>
          <w:sz w:val="20"/>
        </w:rPr>
        <w:t xml:space="preserve">also </w:t>
      </w:r>
      <w:r>
        <w:rPr>
          <w:color w:val="231F20"/>
          <w:spacing w:val="-4"/>
          <w:sz w:val="20"/>
        </w:rPr>
        <w:t>narrow.</w:t>
      </w:r>
      <w:r>
        <w:rPr>
          <w:color w:val="231F20"/>
          <w:spacing w:val="-4"/>
          <w:position w:val="7"/>
          <w:sz w:val="11"/>
        </w:rPr>
        <w:t>167</w:t>
      </w:r>
      <w:r>
        <w:rPr>
          <w:color w:val="231F20"/>
          <w:spacing w:val="-4"/>
          <w:sz w:val="11"/>
        </w:rPr>
        <w:t xml:space="preserve"> </w:t>
      </w:r>
      <w:r>
        <w:rPr>
          <w:color w:val="231F20"/>
          <w:sz w:val="20"/>
        </w:rPr>
        <w:t>Under</w:t>
      </w:r>
      <w:r>
        <w:rPr>
          <w:color w:val="231F20"/>
          <w:spacing w:val="-10"/>
          <w:sz w:val="20"/>
        </w:rPr>
        <w:t xml:space="preserve"> </w:t>
      </w:r>
      <w:r>
        <w:rPr>
          <w:color w:val="231F20"/>
          <w:sz w:val="20"/>
        </w:rPr>
        <w:t>Victoria</w:t>
      </w:r>
      <w:r>
        <w:rPr>
          <w:color w:val="231F20"/>
          <w:spacing w:val="-9"/>
          <w:sz w:val="20"/>
        </w:rPr>
        <w:t xml:space="preserve"> </w:t>
      </w:r>
      <w:r>
        <w:rPr>
          <w:color w:val="231F20"/>
          <w:sz w:val="20"/>
        </w:rPr>
        <w:t>Legal</w:t>
      </w:r>
      <w:r>
        <w:rPr>
          <w:color w:val="231F20"/>
          <w:spacing w:val="-9"/>
          <w:sz w:val="20"/>
        </w:rPr>
        <w:t xml:space="preserve"> </w:t>
      </w:r>
      <w:r>
        <w:rPr>
          <w:color w:val="231F20"/>
          <w:sz w:val="20"/>
        </w:rPr>
        <w:t>Aid’s</w:t>
      </w:r>
      <w:r>
        <w:rPr>
          <w:color w:val="231F20"/>
          <w:spacing w:val="-10"/>
          <w:sz w:val="20"/>
        </w:rPr>
        <w:t xml:space="preserve"> </w:t>
      </w:r>
      <w:r>
        <w:rPr>
          <w:color w:val="231F20"/>
          <w:sz w:val="20"/>
        </w:rPr>
        <w:t>guidelines,</w:t>
      </w:r>
      <w:r>
        <w:rPr>
          <w:color w:val="231F20"/>
          <w:spacing w:val="-9"/>
          <w:sz w:val="20"/>
        </w:rPr>
        <w:t xml:space="preserve"> </w:t>
      </w:r>
      <w:r>
        <w:rPr>
          <w:color w:val="231F20"/>
          <w:sz w:val="20"/>
        </w:rPr>
        <w:t>people</w:t>
      </w:r>
      <w:r>
        <w:rPr>
          <w:color w:val="231F20"/>
          <w:spacing w:val="-9"/>
          <w:sz w:val="20"/>
        </w:rPr>
        <w:t xml:space="preserve"> </w:t>
      </w:r>
      <w:r>
        <w:rPr>
          <w:color w:val="231F20"/>
          <w:spacing w:val="-4"/>
          <w:sz w:val="20"/>
        </w:rPr>
        <w:t>over</w:t>
      </w:r>
      <w:r>
        <w:rPr>
          <w:color w:val="231F20"/>
          <w:spacing w:val="-10"/>
          <w:sz w:val="20"/>
        </w:rPr>
        <w:t xml:space="preserve"> </w:t>
      </w:r>
      <w:r>
        <w:rPr>
          <w:color w:val="231F20"/>
          <w:sz w:val="20"/>
        </w:rPr>
        <w:t>the</w:t>
      </w:r>
      <w:r>
        <w:rPr>
          <w:color w:val="231F20"/>
          <w:spacing w:val="-9"/>
          <w:sz w:val="20"/>
        </w:rPr>
        <w:t xml:space="preserve"> </w:t>
      </w:r>
      <w:r>
        <w:rPr>
          <w:color w:val="231F20"/>
          <w:sz w:val="20"/>
        </w:rPr>
        <w:t>age</w:t>
      </w:r>
      <w:r>
        <w:rPr>
          <w:color w:val="231F20"/>
          <w:spacing w:val="-9"/>
          <w:sz w:val="20"/>
        </w:rPr>
        <w:t xml:space="preserve"> </w:t>
      </w:r>
      <w:r>
        <w:rPr>
          <w:color w:val="231F20"/>
          <w:sz w:val="20"/>
        </w:rPr>
        <w:t>of</w:t>
      </w:r>
      <w:r>
        <w:rPr>
          <w:color w:val="231F20"/>
          <w:spacing w:val="-9"/>
          <w:sz w:val="20"/>
        </w:rPr>
        <w:t xml:space="preserve"> </w:t>
      </w:r>
      <w:r>
        <w:rPr>
          <w:color w:val="231F20"/>
          <w:sz w:val="20"/>
        </w:rPr>
        <w:t>18</w:t>
      </w:r>
      <w:r>
        <w:rPr>
          <w:color w:val="231F20"/>
          <w:spacing w:val="-10"/>
          <w:sz w:val="20"/>
        </w:rPr>
        <w:t xml:space="preserve"> </w:t>
      </w:r>
      <w:r>
        <w:rPr>
          <w:color w:val="231F20"/>
          <w:spacing w:val="-3"/>
          <w:sz w:val="20"/>
        </w:rPr>
        <w:t>are</w:t>
      </w:r>
      <w:r>
        <w:rPr>
          <w:color w:val="231F20"/>
          <w:spacing w:val="-9"/>
          <w:sz w:val="20"/>
        </w:rPr>
        <w:t xml:space="preserve"> </w:t>
      </w:r>
      <w:r>
        <w:rPr>
          <w:color w:val="231F20"/>
          <w:sz w:val="20"/>
        </w:rPr>
        <w:t>not</w:t>
      </w:r>
      <w:r>
        <w:rPr>
          <w:color w:val="231F20"/>
          <w:spacing w:val="-9"/>
          <w:sz w:val="20"/>
        </w:rPr>
        <w:t xml:space="preserve"> </w:t>
      </w:r>
      <w:r>
        <w:rPr>
          <w:color w:val="231F20"/>
          <w:sz w:val="20"/>
        </w:rPr>
        <w:t>eligible</w:t>
      </w:r>
      <w:r>
        <w:rPr>
          <w:color w:val="231F20"/>
          <w:spacing w:val="-10"/>
          <w:sz w:val="20"/>
        </w:rPr>
        <w:t xml:space="preserve"> </w:t>
      </w:r>
      <w:r>
        <w:rPr>
          <w:color w:val="231F20"/>
          <w:sz w:val="20"/>
        </w:rPr>
        <w:t>to</w:t>
      </w:r>
      <w:r>
        <w:rPr>
          <w:color w:val="231F20"/>
          <w:spacing w:val="-9"/>
          <w:sz w:val="20"/>
        </w:rPr>
        <w:t xml:space="preserve"> </w:t>
      </w:r>
      <w:r>
        <w:rPr>
          <w:color w:val="231F20"/>
          <w:spacing w:val="-4"/>
          <w:sz w:val="20"/>
        </w:rPr>
        <w:t xml:space="preserve">have </w:t>
      </w:r>
      <w:r>
        <w:rPr>
          <w:color w:val="231F20"/>
          <w:sz w:val="20"/>
        </w:rPr>
        <w:t xml:space="preserve">a lawyer in PSIO matters unless they come within the </w:t>
      </w:r>
      <w:r>
        <w:rPr>
          <w:color w:val="231F20"/>
          <w:spacing w:val="-3"/>
          <w:sz w:val="20"/>
        </w:rPr>
        <w:t xml:space="preserve">state’s </w:t>
      </w:r>
      <w:r>
        <w:rPr>
          <w:color w:val="231F20"/>
          <w:sz w:val="20"/>
        </w:rPr>
        <w:t xml:space="preserve">special circumstances guideline—that is, they </w:t>
      </w:r>
      <w:r>
        <w:rPr>
          <w:color w:val="231F20"/>
          <w:spacing w:val="-4"/>
          <w:sz w:val="20"/>
        </w:rPr>
        <w:t xml:space="preserve">have </w:t>
      </w:r>
      <w:r>
        <w:rPr>
          <w:color w:val="231F20"/>
          <w:sz w:val="20"/>
        </w:rPr>
        <w:t xml:space="preserve">a </w:t>
      </w:r>
      <w:r>
        <w:rPr>
          <w:color w:val="231F20"/>
          <w:spacing w:val="-4"/>
          <w:sz w:val="20"/>
        </w:rPr>
        <w:t xml:space="preserve">low level </w:t>
      </w:r>
      <w:r>
        <w:rPr>
          <w:color w:val="231F20"/>
          <w:sz w:val="20"/>
        </w:rPr>
        <w:t xml:space="preserve">of ‘language or literacy’ or </w:t>
      </w:r>
      <w:r>
        <w:rPr>
          <w:color w:val="231F20"/>
          <w:spacing w:val="-4"/>
          <w:sz w:val="20"/>
        </w:rPr>
        <w:t xml:space="preserve">have </w:t>
      </w:r>
      <w:r>
        <w:rPr>
          <w:color w:val="231F20"/>
          <w:sz w:val="20"/>
        </w:rPr>
        <w:t xml:space="preserve">an </w:t>
      </w:r>
      <w:r>
        <w:rPr>
          <w:color w:val="231F20"/>
          <w:spacing w:val="-3"/>
          <w:sz w:val="20"/>
        </w:rPr>
        <w:t xml:space="preserve">‘intellectual </w:t>
      </w:r>
      <w:r>
        <w:rPr>
          <w:color w:val="231F20"/>
          <w:sz w:val="20"/>
        </w:rPr>
        <w:t>or psychiatric</w:t>
      </w:r>
      <w:r>
        <w:rPr>
          <w:color w:val="231F20"/>
          <w:spacing w:val="-9"/>
          <w:sz w:val="20"/>
        </w:rPr>
        <w:t xml:space="preserve"> </w:t>
      </w:r>
      <w:r>
        <w:rPr>
          <w:color w:val="231F20"/>
          <w:sz w:val="20"/>
        </w:rPr>
        <w:t>disability’.</w:t>
      </w:r>
      <w:r>
        <w:rPr>
          <w:color w:val="231F20"/>
          <w:position w:val="7"/>
          <w:sz w:val="11"/>
        </w:rPr>
        <w:t>168</w:t>
      </w:r>
    </w:p>
    <w:p w14:paraId="2CFB9AD3" w14:textId="77777777" w:rsidR="00894070" w:rsidRDefault="009B7AFD">
      <w:pPr>
        <w:pStyle w:val="ListParagraph"/>
        <w:numPr>
          <w:ilvl w:val="1"/>
          <w:numId w:val="102"/>
        </w:numPr>
        <w:tabs>
          <w:tab w:val="left" w:pos="1801"/>
          <w:tab w:val="left" w:pos="1802"/>
        </w:tabs>
        <w:spacing w:before="126" w:line="206" w:lineRule="auto"/>
        <w:ind w:right="1177"/>
        <w:rPr>
          <w:sz w:val="20"/>
        </w:rPr>
      </w:pPr>
      <w:r>
        <w:rPr>
          <w:color w:val="231F20"/>
          <w:sz w:val="20"/>
        </w:rPr>
        <w:t>Liberty</w:t>
      </w:r>
      <w:r>
        <w:rPr>
          <w:color w:val="231F20"/>
          <w:spacing w:val="-11"/>
          <w:sz w:val="20"/>
        </w:rPr>
        <w:t xml:space="preserve"> </w:t>
      </w:r>
      <w:r>
        <w:rPr>
          <w:color w:val="231F20"/>
          <w:sz w:val="20"/>
        </w:rPr>
        <w:t>Victoria</w:t>
      </w:r>
      <w:r>
        <w:rPr>
          <w:color w:val="231F20"/>
          <w:spacing w:val="-10"/>
          <w:sz w:val="20"/>
        </w:rPr>
        <w:t xml:space="preserve"> </w:t>
      </w:r>
      <w:r>
        <w:rPr>
          <w:color w:val="231F20"/>
          <w:spacing w:val="-3"/>
          <w:sz w:val="20"/>
        </w:rPr>
        <w:t>told</w:t>
      </w:r>
      <w:r>
        <w:rPr>
          <w:color w:val="231F20"/>
          <w:spacing w:val="-10"/>
          <w:sz w:val="20"/>
        </w:rPr>
        <w:t xml:space="preserve"> </w:t>
      </w:r>
      <w:r>
        <w:rPr>
          <w:color w:val="231F20"/>
          <w:sz w:val="20"/>
        </w:rPr>
        <w:t>us</w:t>
      </w:r>
      <w:r>
        <w:rPr>
          <w:color w:val="231F20"/>
          <w:spacing w:val="-10"/>
          <w:sz w:val="20"/>
        </w:rPr>
        <w:t xml:space="preserve"> </w:t>
      </w:r>
      <w:r>
        <w:rPr>
          <w:color w:val="231F20"/>
          <w:sz w:val="20"/>
        </w:rPr>
        <w:t>it</w:t>
      </w:r>
      <w:r>
        <w:rPr>
          <w:color w:val="231F20"/>
          <w:spacing w:val="-10"/>
          <w:sz w:val="20"/>
        </w:rPr>
        <w:t xml:space="preserve"> </w:t>
      </w:r>
      <w:r>
        <w:rPr>
          <w:color w:val="231F20"/>
          <w:sz w:val="20"/>
        </w:rPr>
        <w:t>is</w:t>
      </w:r>
      <w:r>
        <w:rPr>
          <w:color w:val="231F20"/>
          <w:spacing w:val="-10"/>
          <w:sz w:val="20"/>
        </w:rPr>
        <w:t xml:space="preserve"> </w:t>
      </w:r>
      <w:r>
        <w:rPr>
          <w:color w:val="231F20"/>
          <w:sz w:val="20"/>
        </w:rPr>
        <w:t>often</w:t>
      </w:r>
      <w:r>
        <w:rPr>
          <w:color w:val="231F20"/>
          <w:spacing w:val="-10"/>
          <w:sz w:val="20"/>
        </w:rPr>
        <w:t xml:space="preserve"> </w:t>
      </w:r>
      <w:r>
        <w:rPr>
          <w:color w:val="231F20"/>
          <w:sz w:val="20"/>
        </w:rPr>
        <w:t>difficult</w:t>
      </w:r>
      <w:r>
        <w:rPr>
          <w:color w:val="231F20"/>
          <w:spacing w:val="-10"/>
          <w:sz w:val="20"/>
        </w:rPr>
        <w:t xml:space="preserve"> </w:t>
      </w:r>
      <w:r>
        <w:rPr>
          <w:color w:val="231F20"/>
          <w:sz w:val="20"/>
        </w:rPr>
        <w:t>to</w:t>
      </w:r>
      <w:r>
        <w:rPr>
          <w:color w:val="231F20"/>
          <w:spacing w:val="-10"/>
          <w:sz w:val="20"/>
        </w:rPr>
        <w:t xml:space="preserve"> </w:t>
      </w:r>
      <w:r>
        <w:rPr>
          <w:color w:val="231F20"/>
          <w:spacing w:val="-4"/>
          <w:sz w:val="20"/>
        </w:rPr>
        <w:t>have</w:t>
      </w:r>
      <w:r>
        <w:rPr>
          <w:color w:val="231F20"/>
          <w:spacing w:val="-10"/>
          <w:sz w:val="20"/>
        </w:rPr>
        <w:t xml:space="preserve"> </w:t>
      </w:r>
      <w:r>
        <w:rPr>
          <w:color w:val="231F20"/>
          <w:sz w:val="20"/>
        </w:rPr>
        <w:t>funding</w:t>
      </w:r>
      <w:r>
        <w:rPr>
          <w:color w:val="231F20"/>
          <w:spacing w:val="-10"/>
          <w:sz w:val="20"/>
        </w:rPr>
        <w:t xml:space="preserve"> </w:t>
      </w:r>
      <w:r>
        <w:rPr>
          <w:color w:val="231F20"/>
          <w:spacing w:val="-3"/>
          <w:sz w:val="20"/>
        </w:rPr>
        <w:t>by</w:t>
      </w:r>
      <w:r>
        <w:rPr>
          <w:color w:val="231F20"/>
          <w:spacing w:val="-10"/>
          <w:sz w:val="20"/>
        </w:rPr>
        <w:t xml:space="preserve"> </w:t>
      </w:r>
      <w:r>
        <w:rPr>
          <w:color w:val="231F20"/>
          <w:sz w:val="20"/>
        </w:rPr>
        <w:t>Victoria</w:t>
      </w:r>
      <w:r>
        <w:rPr>
          <w:color w:val="231F20"/>
          <w:spacing w:val="-10"/>
          <w:sz w:val="20"/>
        </w:rPr>
        <w:t xml:space="preserve"> </w:t>
      </w:r>
      <w:r>
        <w:rPr>
          <w:color w:val="231F20"/>
          <w:sz w:val="20"/>
        </w:rPr>
        <w:t>Legal</w:t>
      </w:r>
      <w:r>
        <w:rPr>
          <w:color w:val="231F20"/>
          <w:spacing w:val="-10"/>
          <w:sz w:val="20"/>
        </w:rPr>
        <w:t xml:space="preserve"> </w:t>
      </w:r>
      <w:r>
        <w:rPr>
          <w:color w:val="231F20"/>
          <w:sz w:val="20"/>
        </w:rPr>
        <w:t>Aid</w:t>
      </w:r>
      <w:r>
        <w:rPr>
          <w:color w:val="231F20"/>
          <w:spacing w:val="-10"/>
          <w:sz w:val="20"/>
        </w:rPr>
        <w:t xml:space="preserve"> </w:t>
      </w:r>
      <w:r>
        <w:rPr>
          <w:color w:val="231F20"/>
          <w:spacing w:val="-3"/>
          <w:sz w:val="20"/>
        </w:rPr>
        <w:t xml:space="preserve">approved for </w:t>
      </w:r>
      <w:r>
        <w:rPr>
          <w:color w:val="231F20"/>
          <w:sz w:val="20"/>
        </w:rPr>
        <w:t xml:space="preserve">the preliminary steps in a PSIO proceeding or a </w:t>
      </w:r>
      <w:r>
        <w:rPr>
          <w:color w:val="231F20"/>
          <w:spacing w:val="-3"/>
          <w:sz w:val="20"/>
        </w:rPr>
        <w:t xml:space="preserve">contested </w:t>
      </w:r>
      <w:r>
        <w:rPr>
          <w:color w:val="231F20"/>
          <w:sz w:val="20"/>
        </w:rPr>
        <w:t>hearing.</w:t>
      </w:r>
      <w:r>
        <w:rPr>
          <w:color w:val="231F20"/>
          <w:position w:val="7"/>
          <w:sz w:val="11"/>
        </w:rPr>
        <w:t xml:space="preserve">169 </w:t>
      </w:r>
      <w:r>
        <w:rPr>
          <w:color w:val="231F20"/>
          <w:sz w:val="20"/>
        </w:rPr>
        <w:t xml:space="preserve">There </w:t>
      </w:r>
      <w:r>
        <w:rPr>
          <w:color w:val="231F20"/>
          <w:spacing w:val="-3"/>
          <w:sz w:val="20"/>
        </w:rPr>
        <w:t xml:space="preserve">are </w:t>
      </w:r>
      <w:r>
        <w:rPr>
          <w:color w:val="231F20"/>
          <w:spacing w:val="-4"/>
          <w:sz w:val="20"/>
        </w:rPr>
        <w:t xml:space="preserve">few </w:t>
      </w:r>
      <w:r>
        <w:rPr>
          <w:color w:val="231F20"/>
          <w:sz w:val="20"/>
        </w:rPr>
        <w:t>options</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respondents</w:t>
      </w:r>
      <w:r>
        <w:rPr>
          <w:color w:val="231F20"/>
          <w:spacing w:val="-5"/>
          <w:sz w:val="20"/>
        </w:rPr>
        <w:t xml:space="preserve"> </w:t>
      </w:r>
      <w:r>
        <w:rPr>
          <w:color w:val="231F20"/>
          <w:sz w:val="20"/>
        </w:rPr>
        <w:t>in</w:t>
      </w:r>
      <w:r>
        <w:rPr>
          <w:color w:val="231F20"/>
          <w:spacing w:val="-6"/>
          <w:sz w:val="20"/>
        </w:rPr>
        <w:t xml:space="preserve"> </w:t>
      </w:r>
      <w:r>
        <w:rPr>
          <w:color w:val="231F20"/>
          <w:sz w:val="20"/>
        </w:rPr>
        <w:t>PSIO</w:t>
      </w:r>
      <w:r>
        <w:rPr>
          <w:color w:val="231F20"/>
          <w:spacing w:val="-5"/>
          <w:sz w:val="20"/>
        </w:rPr>
        <w:t xml:space="preserve"> </w:t>
      </w:r>
      <w:r>
        <w:rPr>
          <w:color w:val="231F20"/>
          <w:sz w:val="20"/>
        </w:rPr>
        <w:t>matters</w:t>
      </w:r>
      <w:r>
        <w:rPr>
          <w:color w:val="231F20"/>
          <w:spacing w:val="-6"/>
          <w:sz w:val="20"/>
        </w:rPr>
        <w:t xml:space="preserve"> </w:t>
      </w:r>
      <w:r>
        <w:rPr>
          <w:color w:val="231F20"/>
          <w:sz w:val="20"/>
        </w:rPr>
        <w:t>to</w:t>
      </w:r>
      <w:r>
        <w:rPr>
          <w:color w:val="231F20"/>
          <w:spacing w:val="-6"/>
          <w:sz w:val="20"/>
        </w:rPr>
        <w:t xml:space="preserve"> </w:t>
      </w:r>
      <w:r>
        <w:rPr>
          <w:color w:val="231F20"/>
          <w:sz w:val="20"/>
        </w:rPr>
        <w:t>be</w:t>
      </w:r>
      <w:r>
        <w:rPr>
          <w:color w:val="231F20"/>
          <w:spacing w:val="-5"/>
          <w:sz w:val="20"/>
        </w:rPr>
        <w:t xml:space="preserve"> </w:t>
      </w:r>
      <w:r>
        <w:rPr>
          <w:color w:val="231F20"/>
          <w:spacing w:val="-3"/>
          <w:sz w:val="20"/>
        </w:rPr>
        <w:t>represented</w:t>
      </w:r>
      <w:r>
        <w:rPr>
          <w:color w:val="231F20"/>
          <w:spacing w:val="-6"/>
          <w:sz w:val="20"/>
        </w:rPr>
        <w:t xml:space="preserve"> </w:t>
      </w:r>
      <w:r>
        <w:rPr>
          <w:color w:val="231F20"/>
          <w:spacing w:val="-3"/>
          <w:sz w:val="20"/>
        </w:rPr>
        <w:t>by</w:t>
      </w:r>
      <w:r>
        <w:rPr>
          <w:color w:val="231F20"/>
          <w:spacing w:val="-5"/>
          <w:sz w:val="20"/>
        </w:rPr>
        <w:t xml:space="preserve"> </w:t>
      </w:r>
      <w:r>
        <w:rPr>
          <w:color w:val="231F20"/>
          <w:sz w:val="20"/>
        </w:rPr>
        <w:t>free</w:t>
      </w:r>
      <w:r>
        <w:rPr>
          <w:color w:val="231F20"/>
          <w:spacing w:val="-6"/>
          <w:sz w:val="20"/>
        </w:rPr>
        <w:t xml:space="preserve"> </w:t>
      </w:r>
      <w:r>
        <w:rPr>
          <w:color w:val="231F20"/>
          <w:sz w:val="20"/>
        </w:rPr>
        <w:t>lawyers.</w:t>
      </w:r>
    </w:p>
    <w:p w14:paraId="4B6F5609" w14:textId="77777777" w:rsidR="00894070" w:rsidRDefault="00894070">
      <w:pPr>
        <w:pStyle w:val="BodyText"/>
      </w:pPr>
    </w:p>
    <w:p w14:paraId="094478C1" w14:textId="77777777" w:rsidR="00894070" w:rsidRDefault="009F6793">
      <w:pPr>
        <w:pStyle w:val="BodyText"/>
        <w:rPr>
          <w:sz w:val="13"/>
        </w:rPr>
      </w:pPr>
      <w:r>
        <w:pict w14:anchorId="4AFD6A66">
          <v:line id="_x0000_s1293" style="position:absolute;z-index:251688960;mso-wrap-distance-left:0;mso-wrap-distance-right:0;mso-position-horizontal-relative:page" from="79.35pt,11.5pt" to="515.9pt,11.5pt" strokecolor="#f8cabc" strokeweight="1pt">
            <w10:wrap type="topAndBottom" anchorx="page"/>
          </v:line>
        </w:pict>
      </w:r>
    </w:p>
    <w:p w14:paraId="22D943A8" w14:textId="77777777" w:rsidR="00894070" w:rsidRDefault="00894070">
      <w:pPr>
        <w:pStyle w:val="BodyText"/>
        <w:rPr>
          <w:sz w:val="5"/>
        </w:rPr>
      </w:pPr>
    </w:p>
    <w:p w14:paraId="040538B6" w14:textId="77777777" w:rsidR="00894070" w:rsidRDefault="00894070">
      <w:pPr>
        <w:rPr>
          <w:sz w:val="5"/>
        </w:rPr>
        <w:sectPr w:rsidR="00894070">
          <w:pgSz w:w="11910" w:h="16840"/>
          <w:pgMar w:top="840" w:right="420" w:bottom="280" w:left="580" w:header="0" w:footer="0" w:gutter="0"/>
          <w:cols w:space="720"/>
        </w:sectPr>
      </w:pPr>
    </w:p>
    <w:p w14:paraId="575D45D4" w14:textId="77777777" w:rsidR="00894070" w:rsidRDefault="009B7AFD">
      <w:pPr>
        <w:pStyle w:val="ListParagraph"/>
        <w:numPr>
          <w:ilvl w:val="0"/>
          <w:numId w:val="82"/>
        </w:numPr>
        <w:tabs>
          <w:tab w:val="left" w:pos="1801"/>
          <w:tab w:val="left" w:pos="1802"/>
        </w:tabs>
        <w:spacing w:before="21" w:line="170" w:lineRule="exact"/>
        <w:jc w:val="left"/>
        <w:rPr>
          <w:sz w:val="13"/>
        </w:rPr>
      </w:pPr>
      <w:r>
        <w:rPr>
          <w:color w:val="231F20"/>
          <w:spacing w:val="2"/>
          <w:sz w:val="13"/>
        </w:rPr>
        <w:t xml:space="preserve">Submission </w:t>
      </w:r>
      <w:r>
        <w:rPr>
          <w:color w:val="231F20"/>
          <w:sz w:val="13"/>
        </w:rPr>
        <w:t>70 (Di</w:t>
      </w:r>
      <w:r>
        <w:rPr>
          <w:color w:val="231F20"/>
          <w:spacing w:val="-3"/>
          <w:sz w:val="13"/>
        </w:rPr>
        <w:t xml:space="preserve"> </w:t>
      </w:r>
      <w:r>
        <w:rPr>
          <w:color w:val="231F20"/>
          <w:sz w:val="13"/>
        </w:rPr>
        <w:t>McDonald).</w:t>
      </w:r>
    </w:p>
    <w:p w14:paraId="304CBA32" w14:textId="77777777" w:rsidR="00894070" w:rsidRDefault="009B7AFD">
      <w:pPr>
        <w:pStyle w:val="ListParagraph"/>
        <w:numPr>
          <w:ilvl w:val="0"/>
          <w:numId w:val="82"/>
        </w:numPr>
        <w:tabs>
          <w:tab w:val="left" w:pos="1800"/>
          <w:tab w:val="left" w:pos="1802"/>
        </w:tabs>
        <w:spacing w:line="160" w:lineRule="exact"/>
        <w:jc w:val="left"/>
        <w:rPr>
          <w:sz w:val="13"/>
        </w:rPr>
      </w:pPr>
      <w:r>
        <w:rPr>
          <w:color w:val="231F20"/>
          <w:sz w:val="13"/>
        </w:rPr>
        <w:t xml:space="preserve">Consultation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w:t>
      </w:r>
      <w:r>
        <w:rPr>
          <w:color w:val="231F20"/>
          <w:spacing w:val="11"/>
          <w:sz w:val="13"/>
        </w:rPr>
        <w:t xml:space="preserve"> </w:t>
      </w:r>
      <w:r>
        <w:rPr>
          <w:color w:val="231F20"/>
          <w:sz w:val="13"/>
        </w:rPr>
        <w:t>Victoria).</w:t>
      </w:r>
    </w:p>
    <w:p w14:paraId="0A8FE463" w14:textId="77777777" w:rsidR="00894070" w:rsidRDefault="009B7AFD">
      <w:pPr>
        <w:pStyle w:val="ListParagraph"/>
        <w:numPr>
          <w:ilvl w:val="0"/>
          <w:numId w:val="82"/>
        </w:numPr>
        <w:tabs>
          <w:tab w:val="left" w:pos="1801"/>
          <w:tab w:val="left" w:pos="1802"/>
        </w:tabs>
        <w:spacing w:line="160" w:lineRule="exact"/>
        <w:jc w:val="left"/>
        <w:rPr>
          <w:sz w:val="13"/>
        </w:rPr>
      </w:pPr>
      <w:r>
        <w:rPr>
          <w:color w:val="231F20"/>
          <w:spacing w:val="2"/>
          <w:sz w:val="13"/>
        </w:rPr>
        <w:t xml:space="preserve">Submission </w:t>
      </w:r>
      <w:r>
        <w:rPr>
          <w:color w:val="231F20"/>
          <w:sz w:val="13"/>
        </w:rPr>
        <w:t>41</w:t>
      </w:r>
      <w:r>
        <w:rPr>
          <w:color w:val="231F20"/>
          <w:spacing w:val="-3"/>
          <w:sz w:val="13"/>
        </w:rPr>
        <w:t xml:space="preserve"> </w:t>
      </w:r>
      <w:r>
        <w:rPr>
          <w:color w:val="231F20"/>
          <w:sz w:val="13"/>
        </w:rPr>
        <w:t>(Djirra).</w:t>
      </w:r>
    </w:p>
    <w:p w14:paraId="4D3963BC" w14:textId="77777777" w:rsidR="00894070" w:rsidRDefault="009B7AFD">
      <w:pPr>
        <w:pStyle w:val="ListParagraph"/>
        <w:numPr>
          <w:ilvl w:val="0"/>
          <w:numId w:val="82"/>
        </w:numPr>
        <w:tabs>
          <w:tab w:val="left" w:pos="1801"/>
          <w:tab w:val="left" w:pos="1802"/>
        </w:tabs>
        <w:spacing w:line="160" w:lineRule="exact"/>
        <w:jc w:val="left"/>
        <w:rPr>
          <w:sz w:val="13"/>
        </w:rPr>
      </w:pPr>
      <w:r>
        <w:rPr>
          <w:color w:val="231F20"/>
          <w:sz w:val="13"/>
        </w:rPr>
        <w:t xml:space="preserve">Consultation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w:t>
      </w:r>
      <w:r>
        <w:rPr>
          <w:color w:val="231F20"/>
          <w:spacing w:val="11"/>
          <w:sz w:val="13"/>
        </w:rPr>
        <w:t xml:space="preserve"> </w:t>
      </w:r>
      <w:r>
        <w:rPr>
          <w:color w:val="231F20"/>
          <w:sz w:val="13"/>
        </w:rPr>
        <w:t>Victoria).</w:t>
      </w:r>
    </w:p>
    <w:p w14:paraId="2DB3FEDC" w14:textId="77777777" w:rsidR="00894070" w:rsidRDefault="009B7AFD">
      <w:pPr>
        <w:pStyle w:val="ListParagraph"/>
        <w:numPr>
          <w:ilvl w:val="0"/>
          <w:numId w:val="82"/>
        </w:numPr>
        <w:tabs>
          <w:tab w:val="left" w:pos="1800"/>
          <w:tab w:val="left" w:pos="1802"/>
        </w:tabs>
        <w:spacing w:line="160" w:lineRule="exact"/>
        <w:jc w:val="lef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5"/>
          <w:sz w:val="13"/>
        </w:rPr>
        <w:t xml:space="preserve"> </w:t>
      </w:r>
      <w:r>
        <w:rPr>
          <w:color w:val="231F20"/>
          <w:sz w:val="13"/>
        </w:rPr>
        <w:t>Centres).</w:t>
      </w:r>
    </w:p>
    <w:p w14:paraId="6D451669" w14:textId="77777777" w:rsidR="00894070" w:rsidRDefault="009B7AFD">
      <w:pPr>
        <w:pStyle w:val="ListParagraph"/>
        <w:numPr>
          <w:ilvl w:val="0"/>
          <w:numId w:val="82"/>
        </w:numPr>
        <w:tabs>
          <w:tab w:val="left" w:pos="1800"/>
          <w:tab w:val="left" w:pos="1802"/>
        </w:tabs>
        <w:spacing w:line="160" w:lineRule="exact"/>
        <w:jc w:val="left"/>
        <w:rPr>
          <w:sz w:val="13"/>
        </w:rPr>
      </w:pPr>
      <w:r>
        <w:rPr>
          <w:color w:val="231F20"/>
          <w:spacing w:val="2"/>
          <w:sz w:val="13"/>
        </w:rPr>
        <w:t xml:space="preserve">Submission </w:t>
      </w:r>
      <w:r>
        <w:rPr>
          <w:color w:val="231F20"/>
          <w:sz w:val="13"/>
        </w:rPr>
        <w:t>41</w:t>
      </w:r>
      <w:r>
        <w:rPr>
          <w:color w:val="231F20"/>
          <w:spacing w:val="-3"/>
          <w:sz w:val="13"/>
        </w:rPr>
        <w:t xml:space="preserve"> </w:t>
      </w:r>
      <w:r>
        <w:rPr>
          <w:color w:val="231F20"/>
          <w:sz w:val="13"/>
        </w:rPr>
        <w:t>(Djirra).</w:t>
      </w:r>
    </w:p>
    <w:p w14:paraId="0E79A7D8" w14:textId="77777777" w:rsidR="00894070" w:rsidRDefault="009B7AFD">
      <w:pPr>
        <w:pStyle w:val="ListParagraph"/>
        <w:numPr>
          <w:ilvl w:val="0"/>
          <w:numId w:val="82"/>
        </w:numPr>
        <w:tabs>
          <w:tab w:val="left" w:pos="1800"/>
          <w:tab w:val="left" w:pos="1802"/>
        </w:tabs>
        <w:spacing w:line="160" w:lineRule="exact"/>
        <w:jc w:val="lef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31"/>
          <w:sz w:val="13"/>
        </w:rPr>
        <w:t xml:space="preserve"> </w:t>
      </w:r>
      <w:r>
        <w:rPr>
          <w:color w:val="231F20"/>
          <w:sz w:val="13"/>
        </w:rPr>
        <w:t>Centres).</w:t>
      </w:r>
    </w:p>
    <w:p w14:paraId="6C28B9F2" w14:textId="77777777" w:rsidR="00894070" w:rsidRDefault="009B7AFD">
      <w:pPr>
        <w:pStyle w:val="ListParagraph"/>
        <w:numPr>
          <w:ilvl w:val="0"/>
          <w:numId w:val="82"/>
        </w:numPr>
        <w:tabs>
          <w:tab w:val="left" w:pos="1801"/>
          <w:tab w:val="left" w:pos="1802"/>
        </w:tabs>
        <w:spacing w:before="7" w:line="213" w:lineRule="auto"/>
        <w:jc w:val="left"/>
        <w:rPr>
          <w:sz w:val="13"/>
        </w:rPr>
      </w:pPr>
      <w:r>
        <w:rPr>
          <w:color w:val="231F20"/>
          <w:sz w:val="13"/>
        </w:rPr>
        <w:t xml:space="preserve">Victoria Legal Aid, ‘15 </w:t>
      </w:r>
      <w:r>
        <w:rPr>
          <w:color w:val="231F20"/>
          <w:spacing w:val="2"/>
          <w:sz w:val="13"/>
        </w:rPr>
        <w:t xml:space="preserve">Special </w:t>
      </w:r>
      <w:r>
        <w:rPr>
          <w:color w:val="231F20"/>
          <w:sz w:val="13"/>
        </w:rPr>
        <w:t xml:space="preserve">Circumstances—The State’s </w:t>
      </w:r>
      <w:r>
        <w:rPr>
          <w:color w:val="231F20"/>
          <w:spacing w:val="2"/>
          <w:sz w:val="13"/>
        </w:rPr>
        <w:t xml:space="preserve">Special </w:t>
      </w:r>
      <w:r>
        <w:rPr>
          <w:color w:val="231F20"/>
          <w:sz w:val="13"/>
        </w:rPr>
        <w:t xml:space="preserve">Circumstances’, </w:t>
      </w:r>
      <w:r>
        <w:rPr>
          <w:i/>
          <w:color w:val="231F20"/>
          <w:sz w:val="13"/>
        </w:rPr>
        <w:t xml:space="preserve">Handbook for Lawyers </w:t>
      </w:r>
      <w:r>
        <w:rPr>
          <w:color w:val="231F20"/>
          <w:sz w:val="13"/>
        </w:rPr>
        <w:t xml:space="preserve">(Online </w:t>
      </w:r>
      <w:r>
        <w:rPr>
          <w:color w:val="231F20"/>
          <w:spacing w:val="2"/>
          <w:sz w:val="13"/>
        </w:rPr>
        <w:t xml:space="preserve">Handbook, </w:t>
      </w:r>
      <w:r>
        <w:rPr>
          <w:color w:val="231F20"/>
          <w:sz w:val="13"/>
        </w:rPr>
        <w:t>18 February 2022</w:t>
      </w:r>
      <w:hyperlink r:id="rId163">
        <w:r>
          <w:rPr>
            <w:color w:val="231F20"/>
            <w:sz w:val="13"/>
          </w:rPr>
          <w:t>) &lt;https://www.handbook.vla.vic.gov.au</w:t>
        </w:r>
      </w:hyperlink>
      <w:r>
        <w:rPr>
          <w:color w:val="231F20"/>
          <w:sz w:val="13"/>
        </w:rPr>
        <w:t>&gt;.</w:t>
      </w:r>
    </w:p>
    <w:p w14:paraId="717266C2" w14:textId="77777777" w:rsidR="00894070" w:rsidRDefault="009B7AFD">
      <w:pPr>
        <w:pStyle w:val="ListParagraph"/>
        <w:numPr>
          <w:ilvl w:val="0"/>
          <w:numId w:val="82"/>
        </w:numPr>
        <w:tabs>
          <w:tab w:val="left" w:pos="1801"/>
          <w:tab w:val="left" w:pos="1802"/>
        </w:tabs>
        <w:spacing w:line="163" w:lineRule="exact"/>
        <w:jc w:val="left"/>
        <w:rPr>
          <w:sz w:val="13"/>
        </w:rPr>
      </w:pPr>
      <w:r>
        <w:rPr>
          <w:color w:val="231F20"/>
          <w:spacing w:val="2"/>
          <w:sz w:val="13"/>
        </w:rPr>
        <w:t xml:space="preserve">Submission </w:t>
      </w:r>
      <w:r>
        <w:rPr>
          <w:color w:val="231F20"/>
          <w:sz w:val="13"/>
        </w:rPr>
        <w:t xml:space="preserve">47 </w:t>
      </w:r>
      <w:r>
        <w:rPr>
          <w:color w:val="231F20"/>
          <w:spacing w:val="2"/>
          <w:sz w:val="13"/>
        </w:rPr>
        <w:t>(Liberty</w:t>
      </w:r>
      <w:r>
        <w:rPr>
          <w:color w:val="231F20"/>
          <w:spacing w:val="-3"/>
          <w:sz w:val="13"/>
        </w:rPr>
        <w:t xml:space="preserve"> </w:t>
      </w:r>
      <w:r>
        <w:rPr>
          <w:color w:val="231F20"/>
          <w:sz w:val="13"/>
        </w:rPr>
        <w:t>Victoria).</w:t>
      </w:r>
    </w:p>
    <w:p w14:paraId="4CDD0568" w14:textId="77777777" w:rsidR="00894070" w:rsidRDefault="009B7AFD">
      <w:pPr>
        <w:pStyle w:val="BodyText"/>
        <w:rPr>
          <w:sz w:val="28"/>
        </w:rPr>
      </w:pPr>
      <w:r>
        <w:br w:type="column"/>
      </w:r>
    </w:p>
    <w:p w14:paraId="56253408" w14:textId="77777777" w:rsidR="00894070" w:rsidRDefault="00894070">
      <w:pPr>
        <w:pStyle w:val="BodyText"/>
        <w:rPr>
          <w:sz w:val="28"/>
        </w:rPr>
      </w:pPr>
    </w:p>
    <w:p w14:paraId="6C49FB28" w14:textId="77777777" w:rsidR="00894070" w:rsidRDefault="00894070">
      <w:pPr>
        <w:pStyle w:val="BodyText"/>
        <w:spacing w:before="2"/>
        <w:rPr>
          <w:sz w:val="40"/>
        </w:rPr>
      </w:pPr>
    </w:p>
    <w:p w14:paraId="6D352F14" w14:textId="77777777" w:rsidR="00894070" w:rsidRDefault="009B7AFD">
      <w:pPr>
        <w:pStyle w:val="Heading8"/>
        <w:ind w:left="709"/>
      </w:pPr>
      <w:r>
        <w:rPr>
          <w:color w:val="EA5B50"/>
        </w:rPr>
        <w:t>117</w:t>
      </w:r>
    </w:p>
    <w:p w14:paraId="2C5C14B8" w14:textId="77777777" w:rsidR="00894070" w:rsidRDefault="00894070">
      <w:pPr>
        <w:sectPr w:rsidR="00894070">
          <w:type w:val="continuous"/>
          <w:pgSz w:w="11910" w:h="16840"/>
          <w:pgMar w:top="560" w:right="420" w:bottom="280" w:left="580" w:header="720" w:footer="720" w:gutter="0"/>
          <w:cols w:num="2" w:space="720" w:equalWidth="0">
            <w:col w:w="9603" w:space="40"/>
            <w:col w:w="1267"/>
          </w:cols>
        </w:sectPr>
      </w:pPr>
    </w:p>
    <w:p w14:paraId="63939375" w14:textId="77777777" w:rsidR="00894070" w:rsidRDefault="00894070">
      <w:pPr>
        <w:pStyle w:val="BodyText"/>
        <w:rPr>
          <w:b/>
        </w:rPr>
      </w:pPr>
    </w:p>
    <w:p w14:paraId="2F8CEDAF" w14:textId="77777777" w:rsidR="00894070" w:rsidRDefault="00894070">
      <w:pPr>
        <w:pStyle w:val="BodyText"/>
        <w:rPr>
          <w:b/>
        </w:rPr>
      </w:pPr>
    </w:p>
    <w:p w14:paraId="4C8727EB" w14:textId="77777777" w:rsidR="00894070" w:rsidRDefault="00894070">
      <w:pPr>
        <w:pStyle w:val="BodyText"/>
        <w:rPr>
          <w:b/>
        </w:rPr>
      </w:pPr>
    </w:p>
    <w:p w14:paraId="781337F0" w14:textId="77777777" w:rsidR="00894070" w:rsidRDefault="00894070">
      <w:pPr>
        <w:pStyle w:val="BodyText"/>
        <w:spacing w:before="11"/>
        <w:rPr>
          <w:b/>
          <w:sz w:val="18"/>
        </w:rPr>
      </w:pPr>
    </w:p>
    <w:p w14:paraId="1455DCAA" w14:textId="77777777" w:rsidR="00894070" w:rsidRDefault="009B7AFD">
      <w:pPr>
        <w:pStyle w:val="ListParagraph"/>
        <w:numPr>
          <w:ilvl w:val="1"/>
          <w:numId w:val="102"/>
        </w:numPr>
        <w:tabs>
          <w:tab w:val="left" w:pos="1801"/>
          <w:tab w:val="left" w:pos="1802"/>
        </w:tabs>
        <w:spacing w:line="206" w:lineRule="auto"/>
        <w:ind w:right="1205"/>
        <w:rPr>
          <w:sz w:val="11"/>
        </w:rPr>
      </w:pPr>
      <w:bookmarkStart w:id="133" w:name="_bookmark78"/>
      <w:bookmarkEnd w:id="133"/>
      <w:r>
        <w:rPr>
          <w:color w:val="231F20"/>
          <w:sz w:val="20"/>
        </w:rPr>
        <w:t xml:space="preserve">Victoria Legal Aid confirmed that it had reduced duty lawyer advice and in-court advocacy services </w:t>
      </w:r>
      <w:r>
        <w:rPr>
          <w:color w:val="231F20"/>
          <w:spacing w:val="-3"/>
          <w:sz w:val="20"/>
        </w:rPr>
        <w:t xml:space="preserve">for </w:t>
      </w:r>
      <w:r>
        <w:rPr>
          <w:color w:val="231F20"/>
          <w:sz w:val="20"/>
        </w:rPr>
        <w:t xml:space="preserve">PSIOs. It </w:t>
      </w:r>
      <w:r>
        <w:rPr>
          <w:color w:val="231F20"/>
          <w:spacing w:val="-3"/>
          <w:sz w:val="20"/>
        </w:rPr>
        <w:t xml:space="preserve">only provides </w:t>
      </w:r>
      <w:r>
        <w:rPr>
          <w:color w:val="231F20"/>
          <w:sz w:val="20"/>
        </w:rPr>
        <w:t xml:space="preserve">those services to adults who </w:t>
      </w:r>
      <w:r>
        <w:rPr>
          <w:color w:val="231F20"/>
          <w:spacing w:val="-4"/>
          <w:sz w:val="20"/>
        </w:rPr>
        <w:t xml:space="preserve">have </w:t>
      </w:r>
      <w:r>
        <w:rPr>
          <w:color w:val="231F20"/>
          <w:sz w:val="20"/>
        </w:rPr>
        <w:t xml:space="preserve">a </w:t>
      </w:r>
      <w:r>
        <w:rPr>
          <w:color w:val="231F20"/>
          <w:spacing w:val="-3"/>
          <w:sz w:val="20"/>
        </w:rPr>
        <w:t xml:space="preserve">‘cognitive </w:t>
      </w:r>
      <w:r>
        <w:rPr>
          <w:color w:val="231F20"/>
          <w:sz w:val="20"/>
        </w:rPr>
        <w:t xml:space="preserve">or neurological disability’ or </w:t>
      </w:r>
      <w:r>
        <w:rPr>
          <w:color w:val="231F20"/>
          <w:spacing w:val="-4"/>
          <w:sz w:val="20"/>
        </w:rPr>
        <w:t xml:space="preserve">have </w:t>
      </w:r>
      <w:r>
        <w:rPr>
          <w:color w:val="231F20"/>
          <w:sz w:val="20"/>
        </w:rPr>
        <w:t xml:space="preserve">a </w:t>
      </w:r>
      <w:r>
        <w:rPr>
          <w:color w:val="231F20"/>
          <w:spacing w:val="-3"/>
          <w:sz w:val="20"/>
        </w:rPr>
        <w:t xml:space="preserve">related </w:t>
      </w:r>
      <w:r>
        <w:rPr>
          <w:color w:val="231F20"/>
          <w:sz w:val="20"/>
        </w:rPr>
        <w:t xml:space="preserve">FVIO </w:t>
      </w:r>
      <w:r>
        <w:rPr>
          <w:color w:val="231F20"/>
          <w:spacing w:val="-2"/>
          <w:sz w:val="20"/>
        </w:rPr>
        <w:t xml:space="preserve">matter </w:t>
      </w:r>
      <w:r>
        <w:rPr>
          <w:color w:val="231F20"/>
          <w:sz w:val="20"/>
        </w:rPr>
        <w:t xml:space="preserve">listed on the same </w:t>
      </w:r>
      <w:r>
        <w:rPr>
          <w:color w:val="231F20"/>
          <w:spacing w:val="-5"/>
          <w:sz w:val="20"/>
        </w:rPr>
        <w:t>day.</w:t>
      </w:r>
      <w:r>
        <w:rPr>
          <w:color w:val="231F20"/>
          <w:spacing w:val="-9"/>
          <w:sz w:val="20"/>
        </w:rPr>
        <w:t xml:space="preserve"> </w:t>
      </w:r>
      <w:r>
        <w:rPr>
          <w:color w:val="231F20"/>
          <w:sz w:val="20"/>
        </w:rPr>
        <w:t>They</w:t>
      </w:r>
      <w:r>
        <w:rPr>
          <w:color w:val="231F20"/>
          <w:spacing w:val="-8"/>
          <w:sz w:val="20"/>
        </w:rPr>
        <w:t xml:space="preserve"> </w:t>
      </w:r>
      <w:r>
        <w:rPr>
          <w:color w:val="231F20"/>
          <w:sz w:val="20"/>
        </w:rPr>
        <w:t>said</w:t>
      </w:r>
      <w:r>
        <w:rPr>
          <w:color w:val="231F20"/>
          <w:spacing w:val="-8"/>
          <w:sz w:val="20"/>
        </w:rPr>
        <w:t xml:space="preserve"> </w:t>
      </w:r>
      <w:r>
        <w:rPr>
          <w:color w:val="231F20"/>
          <w:sz w:val="20"/>
        </w:rPr>
        <w:t>this</w:t>
      </w:r>
      <w:r>
        <w:rPr>
          <w:color w:val="231F20"/>
          <w:spacing w:val="-8"/>
          <w:sz w:val="20"/>
        </w:rPr>
        <w:t xml:space="preserve"> </w:t>
      </w:r>
      <w:r>
        <w:rPr>
          <w:color w:val="231F20"/>
          <w:sz w:val="20"/>
        </w:rPr>
        <w:t>was</w:t>
      </w:r>
      <w:r>
        <w:rPr>
          <w:color w:val="231F20"/>
          <w:spacing w:val="-8"/>
          <w:sz w:val="20"/>
        </w:rPr>
        <w:t xml:space="preserve"> </w:t>
      </w:r>
      <w:r>
        <w:rPr>
          <w:color w:val="231F20"/>
          <w:sz w:val="20"/>
        </w:rPr>
        <w:t>because</w:t>
      </w:r>
      <w:r>
        <w:rPr>
          <w:color w:val="231F20"/>
          <w:spacing w:val="-9"/>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high</w:t>
      </w:r>
      <w:r>
        <w:rPr>
          <w:color w:val="231F20"/>
          <w:spacing w:val="-8"/>
          <w:sz w:val="20"/>
        </w:rPr>
        <w:t xml:space="preserve"> </w:t>
      </w:r>
      <w:r>
        <w:rPr>
          <w:color w:val="231F20"/>
          <w:spacing w:val="-3"/>
          <w:sz w:val="20"/>
        </w:rPr>
        <w:t>volume</w:t>
      </w:r>
      <w:r>
        <w:rPr>
          <w:color w:val="231F20"/>
          <w:spacing w:val="-8"/>
          <w:sz w:val="20"/>
        </w:rPr>
        <w:t xml:space="preserve"> </w:t>
      </w:r>
      <w:r>
        <w:rPr>
          <w:color w:val="231F20"/>
          <w:sz w:val="20"/>
        </w:rPr>
        <w:t>of</w:t>
      </w:r>
      <w:r>
        <w:rPr>
          <w:color w:val="231F20"/>
          <w:spacing w:val="-9"/>
          <w:sz w:val="20"/>
        </w:rPr>
        <w:t xml:space="preserve"> </w:t>
      </w:r>
      <w:r>
        <w:rPr>
          <w:color w:val="231F20"/>
          <w:sz w:val="20"/>
        </w:rPr>
        <w:t>PSIO</w:t>
      </w:r>
      <w:r>
        <w:rPr>
          <w:color w:val="231F20"/>
          <w:spacing w:val="-8"/>
          <w:sz w:val="20"/>
        </w:rPr>
        <w:t xml:space="preserve"> </w:t>
      </w:r>
      <w:r>
        <w:rPr>
          <w:color w:val="231F20"/>
          <w:sz w:val="20"/>
        </w:rPr>
        <w:t>matters</w:t>
      </w:r>
      <w:r>
        <w:rPr>
          <w:color w:val="231F20"/>
          <w:spacing w:val="-8"/>
          <w:sz w:val="20"/>
        </w:rPr>
        <w:t xml:space="preserve"> </w:t>
      </w:r>
      <w:r>
        <w:rPr>
          <w:color w:val="231F20"/>
          <w:sz w:val="20"/>
        </w:rPr>
        <w:t>and</w:t>
      </w:r>
      <w:r>
        <w:rPr>
          <w:color w:val="231F20"/>
          <w:spacing w:val="-8"/>
          <w:sz w:val="20"/>
        </w:rPr>
        <w:t xml:space="preserve"> </w:t>
      </w:r>
      <w:r>
        <w:rPr>
          <w:color w:val="231F20"/>
          <w:sz w:val="20"/>
        </w:rPr>
        <w:t>the</w:t>
      </w:r>
      <w:r>
        <w:rPr>
          <w:color w:val="231F20"/>
          <w:spacing w:val="-8"/>
          <w:sz w:val="20"/>
        </w:rPr>
        <w:t xml:space="preserve"> </w:t>
      </w:r>
      <w:r>
        <w:rPr>
          <w:color w:val="231F20"/>
          <w:sz w:val="20"/>
        </w:rPr>
        <w:t>‘blurring</w:t>
      </w:r>
      <w:r>
        <w:rPr>
          <w:color w:val="231F20"/>
          <w:spacing w:val="-8"/>
          <w:sz w:val="20"/>
        </w:rPr>
        <w:t xml:space="preserve"> </w:t>
      </w:r>
      <w:r>
        <w:rPr>
          <w:color w:val="231F20"/>
          <w:sz w:val="20"/>
        </w:rPr>
        <w:t xml:space="preserve">of </w:t>
      </w:r>
      <w:r>
        <w:rPr>
          <w:color w:val="231F20"/>
          <w:spacing w:val="-3"/>
          <w:sz w:val="20"/>
        </w:rPr>
        <w:t xml:space="preserve">low-risk </w:t>
      </w:r>
      <w:r>
        <w:rPr>
          <w:color w:val="231F20"/>
          <w:sz w:val="20"/>
        </w:rPr>
        <w:t xml:space="preserve">matters with those that </w:t>
      </w:r>
      <w:r>
        <w:rPr>
          <w:color w:val="231F20"/>
          <w:spacing w:val="-3"/>
          <w:sz w:val="20"/>
        </w:rPr>
        <w:t xml:space="preserve">are potentially </w:t>
      </w:r>
      <w:r>
        <w:rPr>
          <w:color w:val="231F20"/>
          <w:sz w:val="20"/>
        </w:rPr>
        <w:t>high</w:t>
      </w:r>
      <w:r>
        <w:rPr>
          <w:color w:val="231F20"/>
          <w:spacing w:val="-25"/>
          <w:sz w:val="20"/>
        </w:rPr>
        <w:t xml:space="preserve"> </w:t>
      </w:r>
      <w:r>
        <w:rPr>
          <w:color w:val="231F20"/>
          <w:spacing w:val="-3"/>
          <w:sz w:val="20"/>
        </w:rPr>
        <w:t>risk’.</w:t>
      </w:r>
      <w:r>
        <w:rPr>
          <w:color w:val="231F20"/>
          <w:spacing w:val="-3"/>
          <w:position w:val="7"/>
          <w:sz w:val="11"/>
        </w:rPr>
        <w:t>170</w:t>
      </w:r>
    </w:p>
    <w:p w14:paraId="3CFF1D94" w14:textId="77777777" w:rsidR="00894070" w:rsidRDefault="009B7AFD">
      <w:pPr>
        <w:pStyle w:val="ListParagraph"/>
        <w:numPr>
          <w:ilvl w:val="1"/>
          <w:numId w:val="102"/>
        </w:numPr>
        <w:tabs>
          <w:tab w:val="left" w:pos="1801"/>
          <w:tab w:val="left" w:pos="1802"/>
        </w:tabs>
        <w:spacing w:before="127" w:line="206" w:lineRule="auto"/>
        <w:ind w:right="1431"/>
        <w:rPr>
          <w:sz w:val="11"/>
        </w:rPr>
      </w:pPr>
      <w:r>
        <w:rPr>
          <w:color w:val="231F20"/>
          <w:spacing w:val="-6"/>
          <w:sz w:val="20"/>
        </w:rPr>
        <w:t xml:space="preserve">We </w:t>
      </w:r>
      <w:r>
        <w:rPr>
          <w:color w:val="231F20"/>
          <w:spacing w:val="-3"/>
          <w:sz w:val="20"/>
        </w:rPr>
        <w:t xml:space="preserve">note </w:t>
      </w:r>
      <w:r>
        <w:rPr>
          <w:color w:val="231F20"/>
          <w:sz w:val="20"/>
        </w:rPr>
        <w:t xml:space="preserve">that Victoria Legal Aid </w:t>
      </w:r>
      <w:r>
        <w:rPr>
          <w:color w:val="231F20"/>
          <w:spacing w:val="-3"/>
          <w:sz w:val="20"/>
        </w:rPr>
        <w:t xml:space="preserve">provides information </w:t>
      </w:r>
      <w:r>
        <w:rPr>
          <w:color w:val="231F20"/>
          <w:sz w:val="20"/>
        </w:rPr>
        <w:t xml:space="preserve">about the PSIO process on its </w:t>
      </w:r>
      <w:proofErr w:type="gramStart"/>
      <w:r>
        <w:rPr>
          <w:color w:val="231F20"/>
          <w:spacing w:val="-3"/>
          <w:sz w:val="20"/>
        </w:rPr>
        <w:t>website,</w:t>
      </w:r>
      <w:r>
        <w:rPr>
          <w:color w:val="231F20"/>
          <w:spacing w:val="-10"/>
          <w:sz w:val="20"/>
        </w:rPr>
        <w:t xml:space="preserve"> </w:t>
      </w:r>
      <w:r>
        <w:rPr>
          <w:color w:val="231F20"/>
          <w:sz w:val="20"/>
        </w:rPr>
        <w:t>and</w:t>
      </w:r>
      <w:proofErr w:type="gramEnd"/>
      <w:r>
        <w:rPr>
          <w:color w:val="231F20"/>
          <w:spacing w:val="-10"/>
          <w:sz w:val="20"/>
        </w:rPr>
        <w:t xml:space="preserve"> </w:t>
      </w:r>
      <w:r>
        <w:rPr>
          <w:color w:val="231F20"/>
          <w:sz w:val="20"/>
        </w:rPr>
        <w:t>has</w:t>
      </w:r>
      <w:r>
        <w:rPr>
          <w:color w:val="231F20"/>
          <w:spacing w:val="-10"/>
          <w:sz w:val="20"/>
        </w:rPr>
        <w:t xml:space="preserve"> </w:t>
      </w:r>
      <w:r>
        <w:rPr>
          <w:color w:val="231F20"/>
          <w:sz w:val="20"/>
        </w:rPr>
        <w:t>produced</w:t>
      </w:r>
      <w:r>
        <w:rPr>
          <w:color w:val="231F20"/>
          <w:spacing w:val="-10"/>
          <w:sz w:val="20"/>
        </w:rPr>
        <w:t xml:space="preserve"> </w:t>
      </w:r>
      <w:r>
        <w:rPr>
          <w:color w:val="231F20"/>
          <w:sz w:val="20"/>
        </w:rPr>
        <w:t>legal</w:t>
      </w:r>
      <w:r>
        <w:rPr>
          <w:color w:val="231F20"/>
          <w:spacing w:val="-9"/>
          <w:sz w:val="20"/>
        </w:rPr>
        <w:t xml:space="preserve"> </w:t>
      </w:r>
      <w:r>
        <w:rPr>
          <w:color w:val="231F20"/>
          <w:sz w:val="20"/>
        </w:rPr>
        <w:t>information</w:t>
      </w:r>
      <w:r>
        <w:rPr>
          <w:color w:val="231F20"/>
          <w:spacing w:val="-10"/>
          <w:sz w:val="20"/>
        </w:rPr>
        <w:t xml:space="preserve"> </w:t>
      </w:r>
      <w:r>
        <w:rPr>
          <w:color w:val="231F20"/>
          <w:spacing w:val="-3"/>
          <w:sz w:val="20"/>
        </w:rPr>
        <w:t>‘self-help’</w:t>
      </w:r>
      <w:r>
        <w:rPr>
          <w:color w:val="231F20"/>
          <w:spacing w:val="-11"/>
          <w:sz w:val="20"/>
        </w:rPr>
        <w:t xml:space="preserve"> </w:t>
      </w:r>
      <w:r>
        <w:rPr>
          <w:color w:val="231F20"/>
          <w:sz w:val="20"/>
        </w:rPr>
        <w:t>packages</w:t>
      </w:r>
      <w:r>
        <w:rPr>
          <w:color w:val="231F20"/>
          <w:spacing w:val="-10"/>
          <w:sz w:val="20"/>
        </w:rPr>
        <w:t xml:space="preserve"> </w:t>
      </w:r>
      <w:r>
        <w:rPr>
          <w:color w:val="231F20"/>
          <w:spacing w:val="-3"/>
          <w:sz w:val="20"/>
        </w:rPr>
        <w:t>for</w:t>
      </w:r>
      <w:r>
        <w:rPr>
          <w:color w:val="231F20"/>
          <w:spacing w:val="-9"/>
          <w:sz w:val="20"/>
        </w:rPr>
        <w:t xml:space="preserve"> </w:t>
      </w:r>
      <w:r>
        <w:rPr>
          <w:color w:val="231F20"/>
          <w:sz w:val="20"/>
        </w:rPr>
        <w:t>both</w:t>
      </w:r>
      <w:r>
        <w:rPr>
          <w:color w:val="231F20"/>
          <w:spacing w:val="-10"/>
          <w:sz w:val="20"/>
        </w:rPr>
        <w:t xml:space="preserve"> </w:t>
      </w:r>
      <w:r>
        <w:rPr>
          <w:color w:val="231F20"/>
          <w:sz w:val="20"/>
        </w:rPr>
        <w:t>applicants and respondents to</w:t>
      </w:r>
      <w:r>
        <w:rPr>
          <w:color w:val="231F20"/>
          <w:spacing w:val="-13"/>
          <w:sz w:val="20"/>
        </w:rPr>
        <w:t xml:space="preserve"> </w:t>
      </w:r>
      <w:r>
        <w:rPr>
          <w:color w:val="231F20"/>
          <w:sz w:val="20"/>
        </w:rPr>
        <w:t>PSIOs.</w:t>
      </w:r>
      <w:r>
        <w:rPr>
          <w:color w:val="231F20"/>
          <w:position w:val="7"/>
          <w:sz w:val="11"/>
        </w:rPr>
        <w:t>171</w:t>
      </w:r>
    </w:p>
    <w:p w14:paraId="221E9CF8" w14:textId="77777777" w:rsidR="00894070" w:rsidRDefault="00894070">
      <w:pPr>
        <w:pStyle w:val="BodyText"/>
        <w:spacing w:before="10"/>
        <w:rPr>
          <w:sz w:val="15"/>
        </w:rPr>
      </w:pPr>
    </w:p>
    <w:p w14:paraId="0B78A6A5" w14:textId="77777777" w:rsidR="00894070" w:rsidRDefault="009B7AFD">
      <w:pPr>
        <w:pStyle w:val="Heading8"/>
        <w:ind w:left="1007"/>
      </w:pPr>
      <w:r>
        <w:rPr>
          <w:color w:val="231F20"/>
        </w:rPr>
        <w:t>The need for legal advice and representation</w:t>
      </w:r>
    </w:p>
    <w:p w14:paraId="2E9DC589" w14:textId="77777777" w:rsidR="00894070" w:rsidRDefault="009B7AFD">
      <w:pPr>
        <w:pStyle w:val="ListParagraph"/>
        <w:numPr>
          <w:ilvl w:val="1"/>
          <w:numId w:val="102"/>
        </w:numPr>
        <w:tabs>
          <w:tab w:val="left" w:pos="1801"/>
          <w:tab w:val="left" w:pos="1802"/>
        </w:tabs>
        <w:spacing w:before="127" w:line="206" w:lineRule="auto"/>
        <w:ind w:right="1188"/>
        <w:rPr>
          <w:sz w:val="20"/>
        </w:rPr>
      </w:pPr>
      <w:r>
        <w:rPr>
          <w:color w:val="231F20"/>
          <w:sz w:val="20"/>
        </w:rPr>
        <w:t>Springvale</w:t>
      </w:r>
      <w:r>
        <w:rPr>
          <w:color w:val="231F20"/>
          <w:spacing w:val="-10"/>
          <w:sz w:val="20"/>
        </w:rPr>
        <w:t xml:space="preserve"> </w:t>
      </w:r>
      <w:r>
        <w:rPr>
          <w:color w:val="231F20"/>
          <w:sz w:val="20"/>
        </w:rPr>
        <w:t>Monash</w:t>
      </w:r>
      <w:r>
        <w:rPr>
          <w:color w:val="231F20"/>
          <w:spacing w:val="-9"/>
          <w:sz w:val="20"/>
        </w:rPr>
        <w:t xml:space="preserve"> </w:t>
      </w:r>
      <w:r>
        <w:rPr>
          <w:color w:val="231F20"/>
          <w:sz w:val="20"/>
        </w:rPr>
        <w:t>Community</w:t>
      </w:r>
      <w:r>
        <w:rPr>
          <w:color w:val="231F20"/>
          <w:spacing w:val="-9"/>
          <w:sz w:val="20"/>
        </w:rPr>
        <w:t xml:space="preserve"> </w:t>
      </w:r>
      <w:r>
        <w:rPr>
          <w:color w:val="231F20"/>
          <w:sz w:val="20"/>
        </w:rPr>
        <w:t>Legal</w:t>
      </w:r>
      <w:r>
        <w:rPr>
          <w:color w:val="231F20"/>
          <w:spacing w:val="-9"/>
          <w:sz w:val="20"/>
        </w:rPr>
        <w:t xml:space="preserve"> </w:t>
      </w:r>
      <w:r>
        <w:rPr>
          <w:color w:val="231F20"/>
          <w:spacing w:val="-3"/>
          <w:sz w:val="20"/>
        </w:rPr>
        <w:t>Centre</w:t>
      </w:r>
      <w:r>
        <w:rPr>
          <w:color w:val="231F20"/>
          <w:spacing w:val="-9"/>
          <w:sz w:val="20"/>
        </w:rPr>
        <w:t xml:space="preserve"> </w:t>
      </w:r>
      <w:r>
        <w:rPr>
          <w:color w:val="231F20"/>
          <w:sz w:val="20"/>
        </w:rPr>
        <w:t>described</w:t>
      </w:r>
      <w:r>
        <w:rPr>
          <w:color w:val="231F20"/>
          <w:spacing w:val="-9"/>
          <w:sz w:val="20"/>
        </w:rPr>
        <w:t xml:space="preserve"> </w:t>
      </w:r>
      <w:r>
        <w:rPr>
          <w:color w:val="231F20"/>
          <w:sz w:val="20"/>
        </w:rPr>
        <w:t>an</w:t>
      </w:r>
      <w:r>
        <w:rPr>
          <w:color w:val="231F20"/>
          <w:spacing w:val="-9"/>
          <w:sz w:val="20"/>
        </w:rPr>
        <w:t xml:space="preserve"> </w:t>
      </w:r>
      <w:r>
        <w:rPr>
          <w:color w:val="231F20"/>
          <w:spacing w:val="-3"/>
          <w:sz w:val="20"/>
        </w:rPr>
        <w:t>‘urgent</w:t>
      </w:r>
      <w:r>
        <w:rPr>
          <w:color w:val="231F20"/>
          <w:spacing w:val="-9"/>
          <w:sz w:val="20"/>
        </w:rPr>
        <w:t xml:space="preserve"> </w:t>
      </w:r>
      <w:r>
        <w:rPr>
          <w:color w:val="231F20"/>
          <w:sz w:val="20"/>
        </w:rPr>
        <w:t>and</w:t>
      </w:r>
      <w:r>
        <w:rPr>
          <w:color w:val="231F20"/>
          <w:spacing w:val="-9"/>
          <w:sz w:val="20"/>
        </w:rPr>
        <w:t xml:space="preserve"> </w:t>
      </w:r>
      <w:r>
        <w:rPr>
          <w:color w:val="231F20"/>
          <w:sz w:val="20"/>
        </w:rPr>
        <w:t>critical</w:t>
      </w:r>
      <w:r>
        <w:rPr>
          <w:color w:val="231F20"/>
          <w:spacing w:val="-9"/>
          <w:sz w:val="20"/>
        </w:rPr>
        <w:t xml:space="preserve"> </w:t>
      </w:r>
      <w:r>
        <w:rPr>
          <w:color w:val="231F20"/>
          <w:sz w:val="20"/>
        </w:rPr>
        <w:t>need’</w:t>
      </w:r>
      <w:r>
        <w:rPr>
          <w:color w:val="231F20"/>
          <w:spacing w:val="-9"/>
          <w:sz w:val="20"/>
        </w:rPr>
        <w:t xml:space="preserve"> </w:t>
      </w:r>
      <w:r>
        <w:rPr>
          <w:color w:val="231F20"/>
          <w:spacing w:val="-3"/>
          <w:sz w:val="20"/>
        </w:rPr>
        <w:t xml:space="preserve">for </w:t>
      </w:r>
      <w:r>
        <w:rPr>
          <w:color w:val="231F20"/>
          <w:sz w:val="20"/>
        </w:rPr>
        <w:t xml:space="preserve">legal advice and </w:t>
      </w:r>
      <w:r>
        <w:rPr>
          <w:color w:val="231F20"/>
          <w:spacing w:val="-3"/>
          <w:sz w:val="20"/>
        </w:rPr>
        <w:t xml:space="preserve">representation for </w:t>
      </w:r>
      <w:r>
        <w:rPr>
          <w:color w:val="231F20"/>
          <w:sz w:val="20"/>
        </w:rPr>
        <w:t>parties to PSIOs.</w:t>
      </w:r>
      <w:r>
        <w:rPr>
          <w:color w:val="231F20"/>
          <w:position w:val="7"/>
          <w:sz w:val="11"/>
        </w:rPr>
        <w:t xml:space="preserve">172 </w:t>
      </w:r>
      <w:r>
        <w:rPr>
          <w:color w:val="231F20"/>
          <w:spacing w:val="-6"/>
          <w:sz w:val="20"/>
        </w:rPr>
        <w:t xml:space="preserve">We </w:t>
      </w:r>
      <w:r>
        <w:rPr>
          <w:color w:val="231F20"/>
          <w:sz w:val="20"/>
        </w:rPr>
        <w:t xml:space="preserve">heard about problems that </w:t>
      </w:r>
      <w:r>
        <w:rPr>
          <w:color w:val="231F20"/>
          <w:spacing w:val="-3"/>
          <w:sz w:val="20"/>
        </w:rPr>
        <w:t>may</w:t>
      </w:r>
      <w:r>
        <w:rPr>
          <w:color w:val="231F20"/>
          <w:spacing w:val="-6"/>
          <w:sz w:val="20"/>
        </w:rPr>
        <w:t xml:space="preserve"> </w:t>
      </w:r>
      <w:r>
        <w:rPr>
          <w:color w:val="231F20"/>
          <w:sz w:val="20"/>
        </w:rPr>
        <w:t>be</w:t>
      </w:r>
      <w:r>
        <w:rPr>
          <w:color w:val="231F20"/>
          <w:spacing w:val="-5"/>
          <w:sz w:val="20"/>
        </w:rPr>
        <w:t xml:space="preserve"> </w:t>
      </w:r>
      <w:r>
        <w:rPr>
          <w:color w:val="231F20"/>
          <w:spacing w:val="-3"/>
          <w:sz w:val="20"/>
        </w:rPr>
        <w:t>created</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the</w:t>
      </w:r>
      <w:r>
        <w:rPr>
          <w:color w:val="231F20"/>
          <w:spacing w:val="-5"/>
          <w:sz w:val="20"/>
        </w:rPr>
        <w:t xml:space="preserve"> </w:t>
      </w:r>
      <w:r>
        <w:rPr>
          <w:color w:val="231F20"/>
          <w:sz w:val="20"/>
        </w:rPr>
        <w:t>gap</w:t>
      </w:r>
      <w:r>
        <w:rPr>
          <w:color w:val="231F20"/>
          <w:spacing w:val="-6"/>
          <w:sz w:val="20"/>
        </w:rPr>
        <w:t xml:space="preserve"> </w:t>
      </w:r>
      <w:r>
        <w:rPr>
          <w:color w:val="231F20"/>
          <w:sz w:val="20"/>
        </w:rPr>
        <w:t>in</w:t>
      </w:r>
      <w:r>
        <w:rPr>
          <w:color w:val="231F20"/>
          <w:spacing w:val="-5"/>
          <w:sz w:val="20"/>
        </w:rPr>
        <w:t xml:space="preserve"> </w:t>
      </w:r>
      <w:r>
        <w:rPr>
          <w:color w:val="231F20"/>
          <w:sz w:val="20"/>
        </w:rPr>
        <w:t>legal</w:t>
      </w:r>
      <w:r>
        <w:rPr>
          <w:color w:val="231F20"/>
          <w:spacing w:val="-5"/>
          <w:sz w:val="20"/>
        </w:rPr>
        <w:t xml:space="preserve"> </w:t>
      </w:r>
      <w:r>
        <w:rPr>
          <w:color w:val="231F20"/>
          <w:sz w:val="20"/>
        </w:rPr>
        <w:t>support</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applicants</w:t>
      </w:r>
      <w:r>
        <w:rPr>
          <w:color w:val="231F20"/>
          <w:spacing w:val="-5"/>
          <w:sz w:val="20"/>
        </w:rPr>
        <w:t xml:space="preserve"> </w:t>
      </w:r>
      <w:r>
        <w:rPr>
          <w:color w:val="231F20"/>
          <w:sz w:val="20"/>
        </w:rPr>
        <w:t>and</w:t>
      </w:r>
      <w:r>
        <w:rPr>
          <w:color w:val="231F20"/>
          <w:spacing w:val="-6"/>
          <w:sz w:val="20"/>
        </w:rPr>
        <w:t xml:space="preserve"> </w:t>
      </w:r>
      <w:r>
        <w:rPr>
          <w:color w:val="231F20"/>
          <w:sz w:val="20"/>
        </w:rPr>
        <w:t>respondents:</w:t>
      </w:r>
    </w:p>
    <w:p w14:paraId="75AFD815" w14:textId="77777777" w:rsidR="00894070" w:rsidRDefault="009B7AFD">
      <w:pPr>
        <w:pStyle w:val="ListParagraph"/>
        <w:numPr>
          <w:ilvl w:val="2"/>
          <w:numId w:val="102"/>
        </w:numPr>
        <w:tabs>
          <w:tab w:val="left" w:pos="2141"/>
          <w:tab w:val="left" w:pos="2142"/>
        </w:tabs>
        <w:spacing w:before="124" w:line="206" w:lineRule="auto"/>
        <w:ind w:right="1543" w:hanging="340"/>
        <w:rPr>
          <w:sz w:val="11"/>
        </w:rPr>
      </w:pPr>
      <w:r>
        <w:rPr>
          <w:color w:val="231F20"/>
          <w:sz w:val="20"/>
        </w:rPr>
        <w:t>It</w:t>
      </w:r>
      <w:r>
        <w:rPr>
          <w:color w:val="231F20"/>
          <w:spacing w:val="-10"/>
          <w:sz w:val="20"/>
        </w:rPr>
        <w:t xml:space="preserve"> </w:t>
      </w:r>
      <w:r>
        <w:rPr>
          <w:color w:val="231F20"/>
          <w:sz w:val="20"/>
        </w:rPr>
        <w:t>could</w:t>
      </w:r>
      <w:r>
        <w:rPr>
          <w:color w:val="231F20"/>
          <w:spacing w:val="-10"/>
          <w:sz w:val="20"/>
        </w:rPr>
        <w:t xml:space="preserve"> </w:t>
      </w:r>
      <w:r>
        <w:rPr>
          <w:color w:val="231F20"/>
          <w:sz w:val="20"/>
        </w:rPr>
        <w:t>be</w:t>
      </w:r>
      <w:r>
        <w:rPr>
          <w:color w:val="231F20"/>
          <w:spacing w:val="-9"/>
          <w:sz w:val="20"/>
        </w:rPr>
        <w:t xml:space="preserve"> </w:t>
      </w:r>
      <w:r>
        <w:rPr>
          <w:color w:val="231F20"/>
          <w:sz w:val="20"/>
        </w:rPr>
        <w:t>a</w:t>
      </w:r>
      <w:r>
        <w:rPr>
          <w:color w:val="231F20"/>
          <w:spacing w:val="-10"/>
          <w:sz w:val="20"/>
        </w:rPr>
        <w:t xml:space="preserve"> </w:t>
      </w:r>
      <w:r>
        <w:rPr>
          <w:color w:val="231F20"/>
          <w:sz w:val="20"/>
        </w:rPr>
        <w:t>barrier</w:t>
      </w:r>
      <w:r>
        <w:rPr>
          <w:color w:val="231F20"/>
          <w:spacing w:val="-9"/>
          <w:sz w:val="20"/>
        </w:rPr>
        <w:t xml:space="preserve"> </w:t>
      </w:r>
      <w:r>
        <w:rPr>
          <w:color w:val="231F20"/>
          <w:sz w:val="20"/>
        </w:rPr>
        <w:t>to</w:t>
      </w:r>
      <w:r>
        <w:rPr>
          <w:color w:val="231F20"/>
          <w:spacing w:val="-10"/>
          <w:sz w:val="20"/>
        </w:rPr>
        <w:t xml:space="preserve"> </w:t>
      </w:r>
      <w:r>
        <w:rPr>
          <w:color w:val="231F20"/>
          <w:sz w:val="20"/>
        </w:rPr>
        <w:t>victim</w:t>
      </w:r>
      <w:r>
        <w:rPr>
          <w:color w:val="231F20"/>
          <w:spacing w:val="-10"/>
          <w:sz w:val="20"/>
        </w:rPr>
        <w:t xml:space="preserve"> </w:t>
      </w:r>
      <w:r>
        <w:rPr>
          <w:color w:val="231F20"/>
          <w:sz w:val="20"/>
        </w:rPr>
        <w:t>survivors</w:t>
      </w:r>
      <w:r>
        <w:rPr>
          <w:color w:val="231F20"/>
          <w:spacing w:val="-9"/>
          <w:sz w:val="20"/>
        </w:rPr>
        <w:t xml:space="preserve"> </w:t>
      </w:r>
      <w:r>
        <w:rPr>
          <w:color w:val="231F20"/>
          <w:sz w:val="20"/>
        </w:rPr>
        <w:t>pursuing</w:t>
      </w:r>
      <w:r>
        <w:rPr>
          <w:color w:val="231F20"/>
          <w:spacing w:val="-10"/>
          <w:sz w:val="20"/>
        </w:rPr>
        <w:t xml:space="preserve"> </w:t>
      </w:r>
      <w:r>
        <w:rPr>
          <w:color w:val="231F20"/>
          <w:sz w:val="20"/>
        </w:rPr>
        <w:t>a</w:t>
      </w:r>
      <w:r>
        <w:rPr>
          <w:color w:val="231F20"/>
          <w:spacing w:val="-9"/>
          <w:sz w:val="20"/>
        </w:rPr>
        <w:t xml:space="preserve"> </w:t>
      </w:r>
      <w:r>
        <w:rPr>
          <w:color w:val="231F20"/>
          <w:sz w:val="20"/>
        </w:rPr>
        <w:t>PSIO</w:t>
      </w:r>
      <w:r>
        <w:rPr>
          <w:color w:val="231F20"/>
          <w:spacing w:val="-10"/>
          <w:sz w:val="20"/>
        </w:rPr>
        <w:t xml:space="preserve"> </w:t>
      </w:r>
      <w:r>
        <w:rPr>
          <w:color w:val="231F20"/>
          <w:sz w:val="20"/>
        </w:rPr>
        <w:t>application</w:t>
      </w:r>
      <w:r>
        <w:rPr>
          <w:color w:val="231F20"/>
          <w:spacing w:val="-10"/>
          <w:sz w:val="20"/>
        </w:rPr>
        <w:t xml:space="preserve"> </w:t>
      </w:r>
      <w:r>
        <w:rPr>
          <w:color w:val="231F20"/>
          <w:spacing w:val="-3"/>
          <w:sz w:val="20"/>
        </w:rPr>
        <w:t>—they</w:t>
      </w:r>
      <w:r>
        <w:rPr>
          <w:color w:val="231F20"/>
          <w:spacing w:val="-9"/>
          <w:sz w:val="20"/>
        </w:rPr>
        <w:t xml:space="preserve"> </w:t>
      </w:r>
      <w:r>
        <w:rPr>
          <w:color w:val="231F20"/>
          <w:sz w:val="20"/>
        </w:rPr>
        <w:t>might feel overwhelmed and</w:t>
      </w:r>
      <w:r>
        <w:rPr>
          <w:color w:val="231F20"/>
          <w:spacing w:val="-13"/>
          <w:sz w:val="20"/>
        </w:rPr>
        <w:t xml:space="preserve"> </w:t>
      </w:r>
      <w:r>
        <w:rPr>
          <w:color w:val="231F20"/>
          <w:spacing w:val="-3"/>
          <w:sz w:val="20"/>
        </w:rPr>
        <w:t>withdraw.</w:t>
      </w:r>
      <w:r>
        <w:rPr>
          <w:color w:val="231F20"/>
          <w:spacing w:val="-3"/>
          <w:position w:val="7"/>
          <w:sz w:val="11"/>
        </w:rPr>
        <w:t>173</w:t>
      </w:r>
    </w:p>
    <w:p w14:paraId="76018A1F" w14:textId="77777777" w:rsidR="00894070" w:rsidRDefault="009B7AFD">
      <w:pPr>
        <w:pStyle w:val="ListParagraph"/>
        <w:numPr>
          <w:ilvl w:val="2"/>
          <w:numId w:val="102"/>
        </w:numPr>
        <w:tabs>
          <w:tab w:val="left" w:pos="2141"/>
          <w:tab w:val="left" w:pos="2142"/>
        </w:tabs>
        <w:spacing w:before="88" w:line="206" w:lineRule="auto"/>
        <w:ind w:right="1199" w:hanging="340"/>
        <w:rPr>
          <w:sz w:val="11"/>
        </w:rPr>
      </w:pPr>
      <w:r>
        <w:rPr>
          <w:color w:val="231F20"/>
          <w:spacing w:val="-3"/>
          <w:sz w:val="20"/>
        </w:rPr>
        <w:t>Navigating</w:t>
      </w:r>
      <w:r>
        <w:rPr>
          <w:color w:val="231F20"/>
          <w:spacing w:val="-8"/>
          <w:sz w:val="20"/>
        </w:rPr>
        <w:t xml:space="preserve"> </w:t>
      </w:r>
      <w:r>
        <w:rPr>
          <w:color w:val="231F20"/>
          <w:sz w:val="20"/>
        </w:rPr>
        <w:t>the</w:t>
      </w:r>
      <w:r>
        <w:rPr>
          <w:color w:val="231F20"/>
          <w:spacing w:val="-7"/>
          <w:sz w:val="20"/>
        </w:rPr>
        <w:t xml:space="preserve"> </w:t>
      </w:r>
      <w:r>
        <w:rPr>
          <w:color w:val="231F20"/>
          <w:sz w:val="20"/>
        </w:rPr>
        <w:t>legal</w:t>
      </w:r>
      <w:r>
        <w:rPr>
          <w:color w:val="231F20"/>
          <w:spacing w:val="-7"/>
          <w:sz w:val="20"/>
        </w:rPr>
        <w:t xml:space="preserve"> </w:t>
      </w:r>
      <w:r>
        <w:rPr>
          <w:color w:val="231F20"/>
          <w:spacing w:val="-2"/>
          <w:sz w:val="20"/>
        </w:rPr>
        <w:t>system</w:t>
      </w:r>
      <w:r>
        <w:rPr>
          <w:color w:val="231F20"/>
          <w:spacing w:val="-7"/>
          <w:sz w:val="20"/>
        </w:rPr>
        <w:t xml:space="preserve"> </w:t>
      </w:r>
      <w:r>
        <w:rPr>
          <w:color w:val="231F20"/>
          <w:sz w:val="20"/>
        </w:rPr>
        <w:t>can</w:t>
      </w:r>
      <w:r>
        <w:rPr>
          <w:color w:val="231F20"/>
          <w:spacing w:val="-8"/>
          <w:sz w:val="20"/>
        </w:rPr>
        <w:t xml:space="preserve"> </w:t>
      </w:r>
      <w:r>
        <w:rPr>
          <w:color w:val="231F20"/>
          <w:sz w:val="20"/>
        </w:rPr>
        <w:t>be</w:t>
      </w:r>
      <w:r>
        <w:rPr>
          <w:color w:val="231F20"/>
          <w:spacing w:val="-7"/>
          <w:sz w:val="20"/>
        </w:rPr>
        <w:t xml:space="preserve"> </w:t>
      </w:r>
      <w:r>
        <w:rPr>
          <w:color w:val="231F20"/>
          <w:sz w:val="20"/>
        </w:rPr>
        <w:t>a</w:t>
      </w:r>
      <w:r>
        <w:rPr>
          <w:color w:val="231F20"/>
          <w:spacing w:val="-7"/>
          <w:sz w:val="20"/>
        </w:rPr>
        <w:t xml:space="preserve"> </w:t>
      </w:r>
      <w:r>
        <w:rPr>
          <w:color w:val="231F20"/>
          <w:sz w:val="20"/>
        </w:rPr>
        <w:t>complicated</w:t>
      </w:r>
      <w:r>
        <w:rPr>
          <w:color w:val="231F20"/>
          <w:spacing w:val="-7"/>
          <w:sz w:val="20"/>
        </w:rPr>
        <w:t xml:space="preserve"> </w:t>
      </w:r>
      <w:r>
        <w:rPr>
          <w:color w:val="231F20"/>
          <w:sz w:val="20"/>
        </w:rPr>
        <w:t>and</w:t>
      </w:r>
      <w:r>
        <w:rPr>
          <w:color w:val="231F20"/>
          <w:spacing w:val="-8"/>
          <w:sz w:val="20"/>
        </w:rPr>
        <w:t xml:space="preserve"> </w:t>
      </w:r>
      <w:r>
        <w:rPr>
          <w:color w:val="231F20"/>
          <w:sz w:val="20"/>
        </w:rPr>
        <w:t>traumatic</w:t>
      </w:r>
      <w:r>
        <w:rPr>
          <w:color w:val="231F20"/>
          <w:spacing w:val="-7"/>
          <w:sz w:val="20"/>
        </w:rPr>
        <w:t xml:space="preserve"> </w:t>
      </w:r>
      <w:r>
        <w:rPr>
          <w:color w:val="231F20"/>
          <w:spacing w:val="-3"/>
          <w:sz w:val="20"/>
        </w:rPr>
        <w:t>exercise</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 xml:space="preserve">victim </w:t>
      </w:r>
      <w:r>
        <w:rPr>
          <w:color w:val="231F20"/>
          <w:spacing w:val="-3"/>
          <w:sz w:val="20"/>
        </w:rPr>
        <w:t>survivors.</w:t>
      </w:r>
      <w:r>
        <w:rPr>
          <w:color w:val="231F20"/>
          <w:spacing w:val="-3"/>
          <w:position w:val="7"/>
          <w:sz w:val="11"/>
        </w:rPr>
        <w:t>174</w:t>
      </w:r>
    </w:p>
    <w:p w14:paraId="341CC811" w14:textId="77777777" w:rsidR="00894070" w:rsidRDefault="009B7AFD">
      <w:pPr>
        <w:pStyle w:val="ListParagraph"/>
        <w:numPr>
          <w:ilvl w:val="2"/>
          <w:numId w:val="102"/>
        </w:numPr>
        <w:tabs>
          <w:tab w:val="left" w:pos="2141"/>
          <w:tab w:val="left" w:pos="2142"/>
        </w:tabs>
        <w:spacing w:before="87" w:line="206" w:lineRule="auto"/>
        <w:ind w:right="1227" w:hanging="340"/>
        <w:rPr>
          <w:sz w:val="11"/>
        </w:rPr>
      </w:pPr>
      <w:r>
        <w:rPr>
          <w:color w:val="231F20"/>
          <w:sz w:val="20"/>
        </w:rPr>
        <w:t xml:space="preserve">People experiencing </w:t>
      </w:r>
      <w:r>
        <w:rPr>
          <w:color w:val="231F20"/>
          <w:spacing w:val="-3"/>
          <w:sz w:val="20"/>
        </w:rPr>
        <w:t xml:space="preserve">‘disadvantage’ </w:t>
      </w:r>
      <w:r>
        <w:rPr>
          <w:color w:val="231F20"/>
          <w:sz w:val="20"/>
        </w:rPr>
        <w:t xml:space="preserve">or ‘vulnerability’ might be </w:t>
      </w:r>
      <w:r>
        <w:rPr>
          <w:color w:val="231F20"/>
          <w:spacing w:val="-3"/>
          <w:sz w:val="20"/>
        </w:rPr>
        <w:t xml:space="preserve">even </w:t>
      </w:r>
      <w:r>
        <w:rPr>
          <w:color w:val="231F20"/>
          <w:sz w:val="20"/>
        </w:rPr>
        <w:t xml:space="preserve">more </w:t>
      </w:r>
      <w:r>
        <w:rPr>
          <w:color w:val="231F20"/>
          <w:spacing w:val="-4"/>
          <w:sz w:val="20"/>
        </w:rPr>
        <w:t xml:space="preserve">‘at </w:t>
      </w:r>
      <w:r>
        <w:rPr>
          <w:color w:val="231F20"/>
          <w:sz w:val="20"/>
        </w:rPr>
        <w:t xml:space="preserve">risk of </w:t>
      </w:r>
      <w:r>
        <w:rPr>
          <w:color w:val="231F20"/>
          <w:spacing w:val="-3"/>
          <w:sz w:val="20"/>
        </w:rPr>
        <w:t>exposure</w:t>
      </w:r>
      <w:r>
        <w:rPr>
          <w:color w:val="231F20"/>
          <w:spacing w:val="-9"/>
          <w:sz w:val="20"/>
        </w:rPr>
        <w:t xml:space="preserve"> </w:t>
      </w:r>
      <w:r>
        <w:rPr>
          <w:color w:val="231F20"/>
          <w:sz w:val="20"/>
        </w:rPr>
        <w:t>to</w:t>
      </w:r>
      <w:r>
        <w:rPr>
          <w:color w:val="231F20"/>
          <w:spacing w:val="-9"/>
          <w:sz w:val="20"/>
        </w:rPr>
        <w:t xml:space="preserve"> </w:t>
      </w:r>
      <w:r>
        <w:rPr>
          <w:color w:val="231F20"/>
          <w:sz w:val="20"/>
        </w:rPr>
        <w:t>the</w:t>
      </w:r>
      <w:r>
        <w:rPr>
          <w:color w:val="231F20"/>
          <w:spacing w:val="-8"/>
          <w:sz w:val="20"/>
        </w:rPr>
        <w:t xml:space="preserve"> </w:t>
      </w:r>
      <w:r>
        <w:rPr>
          <w:color w:val="231F20"/>
          <w:sz w:val="20"/>
        </w:rPr>
        <w:t>criminal</w:t>
      </w:r>
      <w:r>
        <w:rPr>
          <w:color w:val="231F20"/>
          <w:spacing w:val="-9"/>
          <w:sz w:val="20"/>
        </w:rPr>
        <w:t xml:space="preserve"> </w:t>
      </w:r>
      <w:r>
        <w:rPr>
          <w:color w:val="231F20"/>
          <w:sz w:val="20"/>
        </w:rPr>
        <w:t>justice</w:t>
      </w:r>
      <w:r>
        <w:rPr>
          <w:color w:val="231F20"/>
          <w:spacing w:val="-9"/>
          <w:sz w:val="20"/>
        </w:rPr>
        <w:t xml:space="preserve"> </w:t>
      </w:r>
      <w:r>
        <w:rPr>
          <w:color w:val="231F20"/>
          <w:spacing w:val="-3"/>
          <w:sz w:val="20"/>
        </w:rPr>
        <w:t>system’</w:t>
      </w:r>
      <w:r>
        <w:rPr>
          <w:color w:val="231F20"/>
          <w:spacing w:val="-8"/>
          <w:sz w:val="20"/>
        </w:rPr>
        <w:t xml:space="preserve"> </w:t>
      </w:r>
      <w:r>
        <w:rPr>
          <w:color w:val="231F20"/>
          <w:sz w:val="20"/>
        </w:rPr>
        <w:t>without</w:t>
      </w:r>
      <w:r>
        <w:rPr>
          <w:color w:val="231F20"/>
          <w:spacing w:val="-9"/>
          <w:sz w:val="20"/>
        </w:rPr>
        <w:t xml:space="preserve"> </w:t>
      </w:r>
      <w:r>
        <w:rPr>
          <w:color w:val="231F20"/>
          <w:sz w:val="20"/>
        </w:rPr>
        <w:t>lawyers</w:t>
      </w:r>
      <w:r>
        <w:rPr>
          <w:color w:val="231F20"/>
          <w:spacing w:val="-9"/>
          <w:sz w:val="20"/>
        </w:rPr>
        <w:t xml:space="preserve"> </w:t>
      </w:r>
      <w:r>
        <w:rPr>
          <w:color w:val="231F20"/>
          <w:sz w:val="20"/>
        </w:rPr>
        <w:t>to</w:t>
      </w:r>
      <w:r>
        <w:rPr>
          <w:color w:val="231F20"/>
          <w:spacing w:val="-8"/>
          <w:sz w:val="20"/>
        </w:rPr>
        <w:t xml:space="preserve"> </w:t>
      </w:r>
      <w:r>
        <w:rPr>
          <w:color w:val="231F20"/>
          <w:spacing w:val="-3"/>
          <w:sz w:val="20"/>
        </w:rPr>
        <w:t>adequately</w:t>
      </w:r>
      <w:r>
        <w:rPr>
          <w:color w:val="231F20"/>
          <w:spacing w:val="-9"/>
          <w:sz w:val="20"/>
        </w:rPr>
        <w:t xml:space="preserve"> </w:t>
      </w:r>
      <w:r>
        <w:rPr>
          <w:color w:val="231F20"/>
          <w:sz w:val="20"/>
        </w:rPr>
        <w:t>explain</w:t>
      </w:r>
      <w:r>
        <w:rPr>
          <w:color w:val="231F20"/>
          <w:spacing w:val="-9"/>
          <w:sz w:val="20"/>
        </w:rPr>
        <w:t xml:space="preserve"> </w:t>
      </w:r>
      <w:r>
        <w:rPr>
          <w:color w:val="231F20"/>
          <w:sz w:val="20"/>
        </w:rPr>
        <w:t>their rights and</w:t>
      </w:r>
      <w:r>
        <w:rPr>
          <w:color w:val="231F20"/>
          <w:spacing w:val="-9"/>
          <w:sz w:val="20"/>
        </w:rPr>
        <w:t xml:space="preserve"> </w:t>
      </w:r>
      <w:r>
        <w:rPr>
          <w:color w:val="231F20"/>
          <w:sz w:val="20"/>
        </w:rPr>
        <w:t>obligations.</w:t>
      </w:r>
      <w:r>
        <w:rPr>
          <w:color w:val="231F20"/>
          <w:position w:val="7"/>
          <w:sz w:val="11"/>
        </w:rPr>
        <w:t>175</w:t>
      </w:r>
    </w:p>
    <w:p w14:paraId="4F33F0F1" w14:textId="77777777" w:rsidR="00894070" w:rsidRDefault="009B7AFD">
      <w:pPr>
        <w:pStyle w:val="ListParagraph"/>
        <w:numPr>
          <w:ilvl w:val="2"/>
          <w:numId w:val="102"/>
        </w:numPr>
        <w:tabs>
          <w:tab w:val="left" w:pos="2141"/>
          <w:tab w:val="left" w:pos="2142"/>
        </w:tabs>
        <w:spacing w:before="57" w:line="259" w:lineRule="exact"/>
        <w:ind w:hanging="340"/>
        <w:rPr>
          <w:sz w:val="20"/>
        </w:rPr>
      </w:pPr>
      <w:r>
        <w:rPr>
          <w:color w:val="231F20"/>
          <w:spacing w:val="-3"/>
          <w:sz w:val="20"/>
        </w:rPr>
        <w:t>Unrepresented</w:t>
      </w:r>
      <w:r>
        <w:rPr>
          <w:color w:val="231F20"/>
          <w:spacing w:val="-6"/>
          <w:sz w:val="20"/>
        </w:rPr>
        <w:t xml:space="preserve"> </w:t>
      </w:r>
      <w:r>
        <w:rPr>
          <w:color w:val="231F20"/>
          <w:sz w:val="20"/>
        </w:rPr>
        <w:t>respondents</w:t>
      </w:r>
      <w:r>
        <w:rPr>
          <w:color w:val="231F20"/>
          <w:spacing w:val="-5"/>
          <w:sz w:val="20"/>
        </w:rPr>
        <w:t xml:space="preserve"> </w:t>
      </w:r>
      <w:r>
        <w:rPr>
          <w:color w:val="231F20"/>
          <w:spacing w:val="-3"/>
          <w:sz w:val="20"/>
        </w:rPr>
        <w:t>are</w:t>
      </w:r>
      <w:r>
        <w:rPr>
          <w:color w:val="231F20"/>
          <w:spacing w:val="-5"/>
          <w:sz w:val="20"/>
        </w:rPr>
        <w:t xml:space="preserve"> </w:t>
      </w:r>
      <w:r>
        <w:rPr>
          <w:color w:val="231F20"/>
          <w:spacing w:val="-3"/>
          <w:sz w:val="20"/>
        </w:rPr>
        <w:t>likely</w:t>
      </w:r>
      <w:r>
        <w:rPr>
          <w:color w:val="231F20"/>
          <w:spacing w:val="-6"/>
          <w:sz w:val="20"/>
        </w:rPr>
        <w:t xml:space="preserve"> </w:t>
      </w:r>
      <w:r>
        <w:rPr>
          <w:color w:val="231F20"/>
          <w:sz w:val="20"/>
        </w:rPr>
        <w:t>to</w:t>
      </w:r>
      <w:r>
        <w:rPr>
          <w:color w:val="231F20"/>
          <w:spacing w:val="-5"/>
          <w:sz w:val="20"/>
        </w:rPr>
        <w:t xml:space="preserve"> </w:t>
      </w:r>
      <w:r>
        <w:rPr>
          <w:color w:val="231F20"/>
          <w:sz w:val="20"/>
        </w:rPr>
        <w:t>increase</w:t>
      </w:r>
      <w:r>
        <w:rPr>
          <w:color w:val="231F20"/>
          <w:spacing w:val="-5"/>
          <w:sz w:val="20"/>
        </w:rPr>
        <w:t xml:space="preserve"> </w:t>
      </w:r>
      <w:r>
        <w:rPr>
          <w:color w:val="231F20"/>
          <w:sz w:val="20"/>
        </w:rPr>
        <w:t>delay</w:t>
      </w:r>
      <w:r>
        <w:rPr>
          <w:color w:val="231F20"/>
          <w:spacing w:val="-5"/>
          <w:sz w:val="20"/>
        </w:rPr>
        <w:t xml:space="preserve"> </w:t>
      </w:r>
      <w:r>
        <w:rPr>
          <w:color w:val="231F20"/>
          <w:sz w:val="20"/>
        </w:rPr>
        <w:t>in</w:t>
      </w:r>
      <w:r>
        <w:rPr>
          <w:color w:val="231F20"/>
          <w:spacing w:val="-6"/>
          <w:sz w:val="20"/>
        </w:rPr>
        <w:t xml:space="preserve"> </w:t>
      </w:r>
      <w:r>
        <w:rPr>
          <w:color w:val="231F20"/>
          <w:sz w:val="20"/>
        </w:rPr>
        <w:t>proceedings</w:t>
      </w:r>
      <w:r>
        <w:rPr>
          <w:color w:val="231F20"/>
          <w:spacing w:val="-5"/>
          <w:sz w:val="20"/>
        </w:rPr>
        <w:t xml:space="preserve"> </w:t>
      </w:r>
      <w:r>
        <w:rPr>
          <w:color w:val="231F20"/>
          <w:sz w:val="20"/>
        </w:rPr>
        <w:t>because</w:t>
      </w:r>
    </w:p>
    <w:p w14:paraId="16AF334E" w14:textId="77777777" w:rsidR="00894070" w:rsidRDefault="009B7AFD">
      <w:pPr>
        <w:pStyle w:val="BodyText"/>
        <w:spacing w:line="259" w:lineRule="exact"/>
        <w:ind w:left="2141"/>
        <w:rPr>
          <w:sz w:val="11"/>
        </w:rPr>
      </w:pPr>
      <w:r>
        <w:rPr>
          <w:color w:val="231F20"/>
        </w:rPr>
        <w:t>courts have additional responsibilities to ensure that the proceedings are fair.</w:t>
      </w:r>
      <w:r>
        <w:rPr>
          <w:color w:val="231F20"/>
          <w:position w:val="7"/>
          <w:sz w:val="11"/>
        </w:rPr>
        <w:t>176</w:t>
      </w:r>
    </w:p>
    <w:p w14:paraId="5A500470" w14:textId="77777777" w:rsidR="00894070" w:rsidRDefault="009B7AFD">
      <w:pPr>
        <w:pStyle w:val="ListParagraph"/>
        <w:numPr>
          <w:ilvl w:val="2"/>
          <w:numId w:val="102"/>
        </w:numPr>
        <w:tabs>
          <w:tab w:val="left" w:pos="2141"/>
          <w:tab w:val="left" w:pos="2142"/>
        </w:tabs>
        <w:spacing w:before="79" w:line="206" w:lineRule="auto"/>
        <w:ind w:right="1241" w:hanging="340"/>
        <w:rPr>
          <w:sz w:val="20"/>
        </w:rPr>
      </w:pPr>
      <w:r>
        <w:rPr>
          <w:color w:val="231F20"/>
          <w:sz w:val="20"/>
        </w:rPr>
        <w:t xml:space="preserve">Lawyers </w:t>
      </w:r>
      <w:r>
        <w:rPr>
          <w:color w:val="231F20"/>
          <w:spacing w:val="-3"/>
          <w:sz w:val="20"/>
        </w:rPr>
        <w:t xml:space="preserve">for </w:t>
      </w:r>
      <w:r>
        <w:rPr>
          <w:color w:val="231F20"/>
          <w:sz w:val="20"/>
        </w:rPr>
        <w:t xml:space="preserve">respondents can connect their clients to </w:t>
      </w:r>
      <w:r>
        <w:rPr>
          <w:color w:val="231F20"/>
          <w:spacing w:val="-3"/>
          <w:sz w:val="20"/>
        </w:rPr>
        <w:t xml:space="preserve">appropriate </w:t>
      </w:r>
      <w:r>
        <w:rPr>
          <w:color w:val="231F20"/>
          <w:sz w:val="20"/>
        </w:rPr>
        <w:t>services and programs,</w:t>
      </w:r>
      <w:r>
        <w:rPr>
          <w:color w:val="231F20"/>
          <w:spacing w:val="-11"/>
          <w:sz w:val="20"/>
        </w:rPr>
        <w:t xml:space="preserve"> </w:t>
      </w:r>
      <w:r>
        <w:rPr>
          <w:color w:val="231F20"/>
          <w:sz w:val="20"/>
        </w:rPr>
        <w:t>which</w:t>
      </w:r>
      <w:r>
        <w:rPr>
          <w:color w:val="231F20"/>
          <w:spacing w:val="-10"/>
          <w:sz w:val="20"/>
        </w:rPr>
        <w:t xml:space="preserve"> </w:t>
      </w:r>
      <w:r>
        <w:rPr>
          <w:color w:val="231F20"/>
          <w:spacing w:val="-3"/>
          <w:sz w:val="20"/>
        </w:rPr>
        <w:t>may</w:t>
      </w:r>
      <w:r>
        <w:rPr>
          <w:color w:val="231F20"/>
          <w:spacing w:val="-11"/>
          <w:sz w:val="20"/>
        </w:rPr>
        <w:t xml:space="preserve"> </w:t>
      </w:r>
      <w:r>
        <w:rPr>
          <w:color w:val="231F20"/>
          <w:sz w:val="20"/>
        </w:rPr>
        <w:t>assist</w:t>
      </w:r>
      <w:r>
        <w:rPr>
          <w:color w:val="231F20"/>
          <w:spacing w:val="-10"/>
          <w:sz w:val="20"/>
        </w:rPr>
        <w:t xml:space="preserve"> </w:t>
      </w:r>
      <w:r>
        <w:rPr>
          <w:color w:val="231F20"/>
          <w:sz w:val="20"/>
        </w:rPr>
        <w:t>in</w:t>
      </w:r>
      <w:r>
        <w:rPr>
          <w:color w:val="231F20"/>
          <w:spacing w:val="-11"/>
          <w:sz w:val="20"/>
        </w:rPr>
        <w:t xml:space="preserve"> </w:t>
      </w:r>
      <w:r>
        <w:rPr>
          <w:color w:val="231F20"/>
          <w:sz w:val="20"/>
        </w:rPr>
        <w:t>addressing</w:t>
      </w:r>
      <w:r>
        <w:rPr>
          <w:color w:val="231F20"/>
          <w:spacing w:val="-10"/>
          <w:sz w:val="20"/>
        </w:rPr>
        <w:t xml:space="preserve"> </w:t>
      </w:r>
      <w:r>
        <w:rPr>
          <w:color w:val="231F20"/>
          <w:sz w:val="20"/>
        </w:rPr>
        <w:t>the</w:t>
      </w:r>
      <w:r>
        <w:rPr>
          <w:color w:val="231F20"/>
          <w:spacing w:val="-10"/>
          <w:sz w:val="20"/>
        </w:rPr>
        <w:t xml:space="preserve"> </w:t>
      </w:r>
      <w:r>
        <w:rPr>
          <w:color w:val="231F20"/>
          <w:sz w:val="20"/>
        </w:rPr>
        <w:t>underlying</w:t>
      </w:r>
      <w:r>
        <w:rPr>
          <w:color w:val="231F20"/>
          <w:spacing w:val="-11"/>
          <w:sz w:val="20"/>
        </w:rPr>
        <w:t xml:space="preserve"> </w:t>
      </w:r>
      <w:r>
        <w:rPr>
          <w:color w:val="231F20"/>
          <w:sz w:val="20"/>
        </w:rPr>
        <w:t>causes</w:t>
      </w:r>
      <w:r>
        <w:rPr>
          <w:color w:val="231F20"/>
          <w:spacing w:val="-10"/>
          <w:sz w:val="20"/>
        </w:rPr>
        <w:t xml:space="preserve"> </w:t>
      </w:r>
      <w:r>
        <w:rPr>
          <w:color w:val="231F20"/>
          <w:sz w:val="20"/>
        </w:rPr>
        <w:t>of</w:t>
      </w:r>
      <w:r>
        <w:rPr>
          <w:color w:val="231F20"/>
          <w:spacing w:val="-11"/>
          <w:sz w:val="20"/>
        </w:rPr>
        <w:t xml:space="preserve"> </w:t>
      </w:r>
      <w:r>
        <w:rPr>
          <w:color w:val="231F20"/>
          <w:sz w:val="20"/>
        </w:rPr>
        <w:t>their</w:t>
      </w:r>
      <w:r>
        <w:rPr>
          <w:color w:val="231F20"/>
          <w:spacing w:val="-10"/>
          <w:sz w:val="20"/>
        </w:rPr>
        <w:t xml:space="preserve"> </w:t>
      </w:r>
      <w:r>
        <w:rPr>
          <w:color w:val="231F20"/>
          <w:spacing w:val="-3"/>
          <w:sz w:val="20"/>
        </w:rPr>
        <w:t>behaviour.</w:t>
      </w:r>
    </w:p>
    <w:p w14:paraId="4AC71301" w14:textId="77777777" w:rsidR="00894070" w:rsidRDefault="009B7AFD">
      <w:pPr>
        <w:pStyle w:val="ListParagraph"/>
        <w:numPr>
          <w:ilvl w:val="1"/>
          <w:numId w:val="102"/>
        </w:numPr>
        <w:tabs>
          <w:tab w:val="left" w:pos="1801"/>
          <w:tab w:val="left" w:pos="1802"/>
        </w:tabs>
        <w:spacing w:before="56"/>
        <w:rPr>
          <w:sz w:val="20"/>
        </w:rPr>
      </w:pPr>
      <w:r>
        <w:rPr>
          <w:color w:val="231F20"/>
          <w:sz w:val="20"/>
        </w:rPr>
        <w:t xml:space="preserve">There </w:t>
      </w:r>
      <w:r>
        <w:rPr>
          <w:color w:val="231F20"/>
          <w:spacing w:val="-3"/>
          <w:sz w:val="20"/>
        </w:rPr>
        <w:t xml:space="preserve">are </w:t>
      </w:r>
      <w:r>
        <w:rPr>
          <w:color w:val="231F20"/>
          <w:sz w:val="20"/>
        </w:rPr>
        <w:t>clear benefits of more legal support.</w:t>
      </w:r>
      <w:r>
        <w:rPr>
          <w:color w:val="231F20"/>
          <w:spacing w:val="-35"/>
          <w:sz w:val="20"/>
        </w:rPr>
        <w:t xml:space="preserve"> </w:t>
      </w:r>
      <w:r>
        <w:rPr>
          <w:color w:val="231F20"/>
          <w:spacing w:val="-3"/>
          <w:sz w:val="20"/>
        </w:rPr>
        <w:t>For example:</w:t>
      </w:r>
    </w:p>
    <w:p w14:paraId="5230F0CB" w14:textId="77777777" w:rsidR="00894070" w:rsidRDefault="009B7AFD">
      <w:pPr>
        <w:pStyle w:val="ListParagraph"/>
        <w:numPr>
          <w:ilvl w:val="2"/>
          <w:numId w:val="102"/>
        </w:numPr>
        <w:tabs>
          <w:tab w:val="left" w:pos="2141"/>
          <w:tab w:val="left" w:pos="2142"/>
        </w:tabs>
        <w:spacing w:before="114" w:line="206" w:lineRule="auto"/>
        <w:ind w:right="2043" w:hanging="340"/>
        <w:rPr>
          <w:sz w:val="11"/>
        </w:rPr>
      </w:pPr>
      <w:r>
        <w:rPr>
          <w:color w:val="231F20"/>
          <w:sz w:val="20"/>
        </w:rPr>
        <w:t>Neighbourhood</w:t>
      </w:r>
      <w:r>
        <w:rPr>
          <w:color w:val="231F20"/>
          <w:spacing w:val="-16"/>
          <w:sz w:val="20"/>
        </w:rPr>
        <w:t xml:space="preserve"> </w:t>
      </w:r>
      <w:r>
        <w:rPr>
          <w:color w:val="231F20"/>
          <w:sz w:val="20"/>
        </w:rPr>
        <w:t>disputes</w:t>
      </w:r>
      <w:r>
        <w:rPr>
          <w:color w:val="231F20"/>
          <w:spacing w:val="-16"/>
          <w:sz w:val="20"/>
        </w:rPr>
        <w:t xml:space="preserve"> </w:t>
      </w:r>
      <w:r>
        <w:rPr>
          <w:color w:val="231F20"/>
          <w:sz w:val="20"/>
        </w:rPr>
        <w:t>could</w:t>
      </w:r>
      <w:r>
        <w:rPr>
          <w:color w:val="231F20"/>
          <w:spacing w:val="-16"/>
          <w:sz w:val="20"/>
        </w:rPr>
        <w:t xml:space="preserve"> </w:t>
      </w:r>
      <w:r>
        <w:rPr>
          <w:color w:val="231F20"/>
          <w:sz w:val="20"/>
        </w:rPr>
        <w:t>be</w:t>
      </w:r>
      <w:r>
        <w:rPr>
          <w:color w:val="231F20"/>
          <w:spacing w:val="-16"/>
          <w:sz w:val="20"/>
        </w:rPr>
        <w:t xml:space="preserve"> </w:t>
      </w:r>
      <w:r>
        <w:rPr>
          <w:color w:val="231F20"/>
          <w:sz w:val="20"/>
        </w:rPr>
        <w:t>more</w:t>
      </w:r>
      <w:r>
        <w:rPr>
          <w:color w:val="231F20"/>
          <w:spacing w:val="-16"/>
          <w:sz w:val="20"/>
        </w:rPr>
        <w:t xml:space="preserve"> </w:t>
      </w:r>
      <w:r>
        <w:rPr>
          <w:color w:val="231F20"/>
          <w:sz w:val="20"/>
        </w:rPr>
        <w:t>efficiently</w:t>
      </w:r>
      <w:r>
        <w:rPr>
          <w:color w:val="231F20"/>
          <w:spacing w:val="-16"/>
          <w:sz w:val="20"/>
        </w:rPr>
        <w:t xml:space="preserve"> </w:t>
      </w:r>
      <w:r>
        <w:rPr>
          <w:color w:val="231F20"/>
          <w:sz w:val="20"/>
        </w:rPr>
        <w:t>diverted</w:t>
      </w:r>
      <w:r>
        <w:rPr>
          <w:color w:val="231F20"/>
          <w:spacing w:val="-16"/>
          <w:sz w:val="20"/>
        </w:rPr>
        <w:t xml:space="preserve"> </w:t>
      </w:r>
      <w:r>
        <w:rPr>
          <w:color w:val="231F20"/>
          <w:sz w:val="20"/>
        </w:rPr>
        <w:t>to</w:t>
      </w:r>
      <w:r>
        <w:rPr>
          <w:color w:val="231F20"/>
          <w:spacing w:val="-16"/>
          <w:sz w:val="20"/>
        </w:rPr>
        <w:t xml:space="preserve"> </w:t>
      </w:r>
      <w:r>
        <w:rPr>
          <w:color w:val="231F20"/>
          <w:spacing w:val="-3"/>
          <w:sz w:val="20"/>
        </w:rPr>
        <w:t>appropriate alternative</w:t>
      </w:r>
      <w:r>
        <w:rPr>
          <w:color w:val="231F20"/>
          <w:spacing w:val="-4"/>
          <w:sz w:val="20"/>
        </w:rPr>
        <w:t xml:space="preserve"> </w:t>
      </w:r>
      <w:r>
        <w:rPr>
          <w:color w:val="231F20"/>
          <w:spacing w:val="-3"/>
          <w:sz w:val="20"/>
        </w:rPr>
        <w:t>pathways.</w:t>
      </w:r>
      <w:r>
        <w:rPr>
          <w:color w:val="231F20"/>
          <w:spacing w:val="-3"/>
          <w:position w:val="7"/>
          <w:sz w:val="11"/>
        </w:rPr>
        <w:t>177</w:t>
      </w:r>
    </w:p>
    <w:p w14:paraId="3A927702" w14:textId="77777777" w:rsidR="00894070" w:rsidRDefault="009B7AFD">
      <w:pPr>
        <w:pStyle w:val="ListParagraph"/>
        <w:numPr>
          <w:ilvl w:val="2"/>
          <w:numId w:val="102"/>
        </w:numPr>
        <w:tabs>
          <w:tab w:val="left" w:pos="2141"/>
          <w:tab w:val="left" w:pos="2142"/>
        </w:tabs>
        <w:spacing w:before="56"/>
        <w:ind w:hanging="340"/>
        <w:rPr>
          <w:sz w:val="11"/>
        </w:rPr>
      </w:pPr>
      <w:r>
        <w:rPr>
          <w:color w:val="231F20"/>
          <w:sz w:val="20"/>
        </w:rPr>
        <w:t>Courts</w:t>
      </w:r>
      <w:r>
        <w:rPr>
          <w:color w:val="231F20"/>
          <w:spacing w:val="-5"/>
          <w:sz w:val="20"/>
        </w:rPr>
        <w:t xml:space="preserve"> </w:t>
      </w:r>
      <w:r>
        <w:rPr>
          <w:color w:val="231F20"/>
          <w:spacing w:val="-3"/>
          <w:sz w:val="20"/>
        </w:rPr>
        <w:t>would</w:t>
      </w:r>
      <w:r>
        <w:rPr>
          <w:color w:val="231F20"/>
          <w:spacing w:val="-4"/>
          <w:sz w:val="20"/>
        </w:rPr>
        <w:t xml:space="preserve"> </w:t>
      </w:r>
      <w:r>
        <w:rPr>
          <w:color w:val="231F20"/>
          <w:sz w:val="20"/>
        </w:rPr>
        <w:t>be</w:t>
      </w:r>
      <w:r>
        <w:rPr>
          <w:color w:val="231F20"/>
          <w:spacing w:val="-4"/>
          <w:sz w:val="20"/>
        </w:rPr>
        <w:t xml:space="preserve"> </w:t>
      </w:r>
      <w:r>
        <w:rPr>
          <w:color w:val="231F20"/>
          <w:spacing w:val="-3"/>
          <w:sz w:val="20"/>
        </w:rPr>
        <w:t>properly</w:t>
      </w:r>
      <w:r>
        <w:rPr>
          <w:color w:val="231F20"/>
          <w:spacing w:val="-5"/>
          <w:sz w:val="20"/>
        </w:rPr>
        <w:t xml:space="preserve"> </w:t>
      </w:r>
      <w:r>
        <w:rPr>
          <w:color w:val="231F20"/>
          <w:sz w:val="20"/>
        </w:rPr>
        <w:t>assisted</w:t>
      </w:r>
      <w:r>
        <w:rPr>
          <w:color w:val="231F20"/>
          <w:spacing w:val="-4"/>
          <w:sz w:val="20"/>
        </w:rPr>
        <w:t xml:space="preserve"> </w:t>
      </w:r>
      <w:r>
        <w:rPr>
          <w:color w:val="231F20"/>
          <w:sz w:val="20"/>
        </w:rPr>
        <w:t>so</w:t>
      </w:r>
      <w:r>
        <w:rPr>
          <w:color w:val="231F20"/>
          <w:spacing w:val="-4"/>
          <w:sz w:val="20"/>
        </w:rPr>
        <w:t xml:space="preserve"> </w:t>
      </w:r>
      <w:r>
        <w:rPr>
          <w:color w:val="231F20"/>
          <w:sz w:val="20"/>
        </w:rPr>
        <w:t>that</w:t>
      </w:r>
      <w:r>
        <w:rPr>
          <w:color w:val="231F20"/>
          <w:spacing w:val="-5"/>
          <w:sz w:val="20"/>
        </w:rPr>
        <w:t xml:space="preserve"> </w:t>
      </w:r>
      <w:r>
        <w:rPr>
          <w:color w:val="231F20"/>
          <w:sz w:val="20"/>
        </w:rPr>
        <w:t>PSIO</w:t>
      </w:r>
      <w:r>
        <w:rPr>
          <w:color w:val="231F20"/>
          <w:spacing w:val="-4"/>
          <w:sz w:val="20"/>
        </w:rPr>
        <w:t xml:space="preserve"> </w:t>
      </w:r>
      <w:r>
        <w:rPr>
          <w:color w:val="231F20"/>
          <w:sz w:val="20"/>
        </w:rPr>
        <w:t>proceedings</w:t>
      </w:r>
      <w:r>
        <w:rPr>
          <w:color w:val="231F20"/>
          <w:spacing w:val="-4"/>
          <w:sz w:val="20"/>
        </w:rPr>
        <w:t xml:space="preserve"> </w:t>
      </w:r>
      <w:r>
        <w:rPr>
          <w:color w:val="231F20"/>
          <w:sz w:val="20"/>
        </w:rPr>
        <w:t>run</w:t>
      </w:r>
      <w:r>
        <w:rPr>
          <w:color w:val="231F20"/>
          <w:spacing w:val="-5"/>
          <w:sz w:val="20"/>
        </w:rPr>
        <w:t xml:space="preserve"> </w:t>
      </w:r>
      <w:r>
        <w:rPr>
          <w:color w:val="231F20"/>
          <w:spacing w:val="-3"/>
          <w:sz w:val="20"/>
        </w:rPr>
        <w:t>smoothly.</w:t>
      </w:r>
      <w:r>
        <w:rPr>
          <w:color w:val="231F20"/>
          <w:spacing w:val="-3"/>
          <w:position w:val="7"/>
          <w:sz w:val="11"/>
        </w:rPr>
        <w:t>178</w:t>
      </w:r>
    </w:p>
    <w:p w14:paraId="1FEC6AB6" w14:textId="77777777" w:rsidR="00894070" w:rsidRDefault="009B7AFD">
      <w:pPr>
        <w:pStyle w:val="ListParagraph"/>
        <w:numPr>
          <w:ilvl w:val="2"/>
          <w:numId w:val="102"/>
        </w:numPr>
        <w:tabs>
          <w:tab w:val="left" w:pos="2141"/>
          <w:tab w:val="left" w:pos="2142"/>
        </w:tabs>
        <w:spacing w:before="79" w:line="206" w:lineRule="auto"/>
        <w:ind w:right="1578" w:hanging="340"/>
        <w:rPr>
          <w:sz w:val="20"/>
        </w:rPr>
      </w:pPr>
      <w:r>
        <w:rPr>
          <w:color w:val="231F20"/>
          <w:sz w:val="20"/>
        </w:rPr>
        <w:t>It</w:t>
      </w:r>
      <w:r>
        <w:rPr>
          <w:color w:val="231F20"/>
          <w:spacing w:val="-6"/>
          <w:sz w:val="20"/>
        </w:rPr>
        <w:t xml:space="preserve"> </w:t>
      </w:r>
      <w:r>
        <w:rPr>
          <w:color w:val="231F20"/>
          <w:spacing w:val="-3"/>
          <w:sz w:val="20"/>
        </w:rPr>
        <w:t>would</w:t>
      </w:r>
      <w:r>
        <w:rPr>
          <w:color w:val="231F20"/>
          <w:spacing w:val="-6"/>
          <w:sz w:val="20"/>
        </w:rPr>
        <w:t xml:space="preserve"> </w:t>
      </w:r>
      <w:r>
        <w:rPr>
          <w:color w:val="231F20"/>
          <w:sz w:val="20"/>
        </w:rPr>
        <w:t>help</w:t>
      </w:r>
      <w:r>
        <w:rPr>
          <w:color w:val="231F20"/>
          <w:spacing w:val="-6"/>
          <w:sz w:val="20"/>
        </w:rPr>
        <w:t xml:space="preserve"> </w:t>
      </w:r>
      <w:r>
        <w:rPr>
          <w:color w:val="231F20"/>
          <w:sz w:val="20"/>
        </w:rPr>
        <w:t>meet</w:t>
      </w:r>
      <w:r>
        <w:rPr>
          <w:color w:val="231F20"/>
          <w:spacing w:val="-5"/>
          <w:sz w:val="20"/>
        </w:rPr>
        <w:t xml:space="preserve"> </w:t>
      </w:r>
      <w:r>
        <w:rPr>
          <w:color w:val="231F20"/>
          <w:sz w:val="20"/>
        </w:rPr>
        <w:t>the</w:t>
      </w:r>
      <w:r>
        <w:rPr>
          <w:color w:val="231F20"/>
          <w:spacing w:val="-6"/>
          <w:sz w:val="20"/>
        </w:rPr>
        <w:t xml:space="preserve"> </w:t>
      </w:r>
      <w:r>
        <w:rPr>
          <w:color w:val="231F20"/>
          <w:sz w:val="20"/>
        </w:rPr>
        <w:t>justice</w:t>
      </w:r>
      <w:r>
        <w:rPr>
          <w:color w:val="231F20"/>
          <w:spacing w:val="-6"/>
          <w:sz w:val="20"/>
        </w:rPr>
        <w:t xml:space="preserve"> </w:t>
      </w:r>
      <w:r>
        <w:rPr>
          <w:color w:val="231F20"/>
          <w:sz w:val="20"/>
        </w:rPr>
        <w:t>needs</w:t>
      </w:r>
      <w:r>
        <w:rPr>
          <w:color w:val="231F20"/>
          <w:spacing w:val="-6"/>
          <w:sz w:val="20"/>
        </w:rPr>
        <w:t xml:space="preserve"> </w:t>
      </w:r>
      <w:r>
        <w:rPr>
          <w:color w:val="231F20"/>
          <w:sz w:val="20"/>
        </w:rPr>
        <w:t>of</w:t>
      </w:r>
      <w:r>
        <w:rPr>
          <w:color w:val="231F20"/>
          <w:spacing w:val="-5"/>
          <w:sz w:val="20"/>
        </w:rPr>
        <w:t xml:space="preserve"> </w:t>
      </w:r>
      <w:r>
        <w:rPr>
          <w:color w:val="231F20"/>
          <w:sz w:val="20"/>
        </w:rPr>
        <w:t>victim</w:t>
      </w:r>
      <w:r>
        <w:rPr>
          <w:color w:val="231F20"/>
          <w:spacing w:val="-6"/>
          <w:sz w:val="20"/>
        </w:rPr>
        <w:t xml:space="preserve"> </w:t>
      </w:r>
      <w:r>
        <w:rPr>
          <w:color w:val="231F20"/>
          <w:spacing w:val="-3"/>
          <w:sz w:val="20"/>
        </w:rPr>
        <w:t>survivors—for</w:t>
      </w:r>
      <w:r>
        <w:rPr>
          <w:color w:val="231F20"/>
          <w:spacing w:val="-6"/>
          <w:sz w:val="20"/>
        </w:rPr>
        <w:t xml:space="preserve"> </w:t>
      </w:r>
      <w:r>
        <w:rPr>
          <w:color w:val="231F20"/>
          <w:spacing w:val="-3"/>
          <w:sz w:val="20"/>
        </w:rPr>
        <w:t>example,</w:t>
      </w:r>
      <w:r>
        <w:rPr>
          <w:color w:val="231F20"/>
          <w:spacing w:val="-5"/>
          <w:sz w:val="20"/>
        </w:rPr>
        <w:t xml:space="preserve"> </w:t>
      </w:r>
      <w:r>
        <w:rPr>
          <w:color w:val="231F20"/>
          <w:sz w:val="20"/>
        </w:rPr>
        <w:t>the</w:t>
      </w:r>
      <w:r>
        <w:rPr>
          <w:color w:val="231F20"/>
          <w:spacing w:val="-6"/>
          <w:sz w:val="20"/>
        </w:rPr>
        <w:t xml:space="preserve"> </w:t>
      </w:r>
      <w:r>
        <w:rPr>
          <w:color w:val="231F20"/>
          <w:sz w:val="20"/>
        </w:rPr>
        <w:t xml:space="preserve">need </w:t>
      </w:r>
      <w:r>
        <w:rPr>
          <w:color w:val="231F20"/>
          <w:spacing w:val="-3"/>
          <w:sz w:val="20"/>
        </w:rPr>
        <w:t xml:space="preserve">for information </w:t>
      </w:r>
      <w:r>
        <w:rPr>
          <w:color w:val="231F20"/>
          <w:sz w:val="20"/>
        </w:rPr>
        <w:t xml:space="preserve">and support (see </w:t>
      </w:r>
      <w:r>
        <w:rPr>
          <w:color w:val="231F20"/>
          <w:spacing w:val="-3"/>
          <w:sz w:val="20"/>
        </w:rPr>
        <w:t xml:space="preserve">Chapter </w:t>
      </w:r>
      <w:r>
        <w:rPr>
          <w:color w:val="231F20"/>
          <w:sz w:val="20"/>
        </w:rPr>
        <w:t xml:space="preserve">1). They could be </w:t>
      </w:r>
      <w:r>
        <w:rPr>
          <w:color w:val="231F20"/>
          <w:spacing w:val="-3"/>
          <w:sz w:val="20"/>
        </w:rPr>
        <w:t xml:space="preserve">protected </w:t>
      </w:r>
      <w:r>
        <w:rPr>
          <w:color w:val="231F20"/>
          <w:sz w:val="20"/>
        </w:rPr>
        <w:t>against inappropriate questions in</w:t>
      </w:r>
      <w:r>
        <w:rPr>
          <w:color w:val="231F20"/>
          <w:spacing w:val="-14"/>
          <w:sz w:val="20"/>
        </w:rPr>
        <w:t xml:space="preserve"> </w:t>
      </w:r>
      <w:r>
        <w:rPr>
          <w:color w:val="231F20"/>
          <w:sz w:val="20"/>
        </w:rPr>
        <w:t>court.</w:t>
      </w:r>
    </w:p>
    <w:p w14:paraId="4BC67992" w14:textId="77777777" w:rsidR="00894070" w:rsidRDefault="009B7AFD">
      <w:pPr>
        <w:pStyle w:val="ListParagraph"/>
        <w:numPr>
          <w:ilvl w:val="2"/>
          <w:numId w:val="102"/>
        </w:numPr>
        <w:tabs>
          <w:tab w:val="left" w:pos="2141"/>
          <w:tab w:val="left" w:pos="2142"/>
        </w:tabs>
        <w:spacing w:before="89" w:line="206" w:lineRule="auto"/>
        <w:ind w:right="1505" w:hanging="340"/>
        <w:rPr>
          <w:sz w:val="20"/>
        </w:rPr>
      </w:pPr>
      <w:r>
        <w:rPr>
          <w:color w:val="231F20"/>
          <w:sz w:val="20"/>
        </w:rPr>
        <w:t xml:space="preserve">With </w:t>
      </w:r>
      <w:r>
        <w:rPr>
          <w:color w:val="231F20"/>
          <w:spacing w:val="-3"/>
          <w:sz w:val="20"/>
        </w:rPr>
        <w:t xml:space="preserve">family </w:t>
      </w:r>
      <w:r>
        <w:rPr>
          <w:color w:val="231F20"/>
          <w:sz w:val="20"/>
        </w:rPr>
        <w:t xml:space="preserve">violence </w:t>
      </w:r>
      <w:r>
        <w:rPr>
          <w:color w:val="231F20"/>
          <w:spacing w:val="-2"/>
          <w:sz w:val="20"/>
        </w:rPr>
        <w:t xml:space="preserve">intervention </w:t>
      </w:r>
      <w:r>
        <w:rPr>
          <w:color w:val="231F20"/>
          <w:sz w:val="20"/>
        </w:rPr>
        <w:t xml:space="preserve">orders, respondents </w:t>
      </w:r>
      <w:r>
        <w:rPr>
          <w:color w:val="231F20"/>
          <w:spacing w:val="-3"/>
          <w:sz w:val="20"/>
        </w:rPr>
        <w:t xml:space="preserve">are </w:t>
      </w:r>
      <w:r>
        <w:rPr>
          <w:color w:val="231F20"/>
          <w:sz w:val="20"/>
        </w:rPr>
        <w:t xml:space="preserve">more </w:t>
      </w:r>
      <w:r>
        <w:rPr>
          <w:color w:val="231F20"/>
          <w:spacing w:val="-3"/>
          <w:sz w:val="20"/>
        </w:rPr>
        <w:t xml:space="preserve">likely </w:t>
      </w:r>
      <w:r>
        <w:rPr>
          <w:color w:val="231F20"/>
          <w:sz w:val="20"/>
        </w:rPr>
        <w:t xml:space="preserve">to </w:t>
      </w:r>
      <w:r>
        <w:rPr>
          <w:color w:val="231F20"/>
          <w:spacing w:val="-4"/>
          <w:sz w:val="20"/>
        </w:rPr>
        <w:t xml:space="preserve">follow </w:t>
      </w:r>
      <w:r>
        <w:rPr>
          <w:color w:val="231F20"/>
          <w:sz w:val="20"/>
        </w:rPr>
        <w:t>those</w:t>
      </w:r>
      <w:r>
        <w:rPr>
          <w:color w:val="231F20"/>
          <w:spacing w:val="-9"/>
          <w:sz w:val="20"/>
        </w:rPr>
        <w:t xml:space="preserve"> </w:t>
      </w:r>
      <w:r>
        <w:rPr>
          <w:color w:val="231F20"/>
          <w:sz w:val="20"/>
        </w:rPr>
        <w:t>orders</w:t>
      </w:r>
      <w:r>
        <w:rPr>
          <w:color w:val="231F20"/>
          <w:spacing w:val="-9"/>
          <w:sz w:val="20"/>
        </w:rPr>
        <w:t xml:space="preserve"> </w:t>
      </w:r>
      <w:r>
        <w:rPr>
          <w:color w:val="231F20"/>
          <w:sz w:val="20"/>
        </w:rPr>
        <w:t>if</w:t>
      </w:r>
      <w:r>
        <w:rPr>
          <w:color w:val="231F20"/>
          <w:spacing w:val="-9"/>
          <w:sz w:val="20"/>
        </w:rPr>
        <w:t xml:space="preserve"> </w:t>
      </w:r>
      <w:r>
        <w:rPr>
          <w:color w:val="231F20"/>
          <w:sz w:val="20"/>
        </w:rPr>
        <w:t>they</w:t>
      </w:r>
      <w:r>
        <w:rPr>
          <w:color w:val="231F20"/>
          <w:spacing w:val="-9"/>
          <w:sz w:val="20"/>
        </w:rPr>
        <w:t xml:space="preserve"> </w:t>
      </w:r>
      <w:r>
        <w:rPr>
          <w:color w:val="231F20"/>
          <w:sz w:val="20"/>
        </w:rPr>
        <w:t>feel</w:t>
      </w:r>
      <w:r>
        <w:rPr>
          <w:color w:val="231F20"/>
          <w:spacing w:val="-9"/>
          <w:sz w:val="20"/>
        </w:rPr>
        <w:t xml:space="preserve"> </w:t>
      </w:r>
      <w:r>
        <w:rPr>
          <w:color w:val="231F20"/>
          <w:sz w:val="20"/>
        </w:rPr>
        <w:t>that</w:t>
      </w:r>
      <w:r>
        <w:rPr>
          <w:color w:val="231F20"/>
          <w:spacing w:val="-9"/>
          <w:sz w:val="20"/>
        </w:rPr>
        <w:t xml:space="preserve"> </w:t>
      </w:r>
      <w:r>
        <w:rPr>
          <w:color w:val="231F20"/>
          <w:sz w:val="20"/>
        </w:rPr>
        <w:t>they</w:t>
      </w:r>
      <w:r>
        <w:rPr>
          <w:color w:val="231F20"/>
          <w:spacing w:val="-9"/>
          <w:sz w:val="20"/>
        </w:rPr>
        <w:t xml:space="preserve"> </w:t>
      </w:r>
      <w:r>
        <w:rPr>
          <w:color w:val="231F20"/>
          <w:spacing w:val="-4"/>
          <w:sz w:val="20"/>
        </w:rPr>
        <w:t>have</w:t>
      </w:r>
      <w:r>
        <w:rPr>
          <w:color w:val="231F20"/>
          <w:spacing w:val="-9"/>
          <w:sz w:val="20"/>
        </w:rPr>
        <w:t xml:space="preserve"> </w:t>
      </w:r>
      <w:r>
        <w:rPr>
          <w:color w:val="231F20"/>
          <w:sz w:val="20"/>
        </w:rPr>
        <w:t>been</w:t>
      </w:r>
      <w:r>
        <w:rPr>
          <w:color w:val="231F20"/>
          <w:spacing w:val="-9"/>
          <w:sz w:val="20"/>
        </w:rPr>
        <w:t xml:space="preserve"> </w:t>
      </w:r>
      <w:r>
        <w:rPr>
          <w:color w:val="231F20"/>
          <w:spacing w:val="-3"/>
          <w:sz w:val="20"/>
        </w:rPr>
        <w:t>treated</w:t>
      </w:r>
      <w:r>
        <w:rPr>
          <w:color w:val="231F20"/>
          <w:spacing w:val="-9"/>
          <w:sz w:val="20"/>
        </w:rPr>
        <w:t xml:space="preserve"> </w:t>
      </w:r>
      <w:r>
        <w:rPr>
          <w:color w:val="231F20"/>
          <w:sz w:val="20"/>
        </w:rPr>
        <w:t>with</w:t>
      </w:r>
      <w:r>
        <w:rPr>
          <w:color w:val="231F20"/>
          <w:spacing w:val="-9"/>
          <w:sz w:val="20"/>
        </w:rPr>
        <w:t xml:space="preserve"> </w:t>
      </w:r>
      <w:r>
        <w:rPr>
          <w:color w:val="231F20"/>
          <w:sz w:val="20"/>
        </w:rPr>
        <w:t>fairness</w:t>
      </w:r>
      <w:r>
        <w:rPr>
          <w:color w:val="231F20"/>
          <w:spacing w:val="-9"/>
          <w:sz w:val="20"/>
        </w:rPr>
        <w:t xml:space="preserve"> </w:t>
      </w:r>
      <w:r>
        <w:rPr>
          <w:color w:val="231F20"/>
          <w:sz w:val="20"/>
        </w:rPr>
        <w:t>and</w:t>
      </w:r>
      <w:r>
        <w:rPr>
          <w:color w:val="231F20"/>
          <w:spacing w:val="-9"/>
          <w:sz w:val="20"/>
        </w:rPr>
        <w:t xml:space="preserve"> </w:t>
      </w:r>
      <w:r>
        <w:rPr>
          <w:color w:val="231F20"/>
          <w:sz w:val="20"/>
        </w:rPr>
        <w:t>respect.</w:t>
      </w:r>
      <w:r>
        <w:rPr>
          <w:color w:val="231F20"/>
          <w:position w:val="7"/>
          <w:sz w:val="11"/>
        </w:rPr>
        <w:t>179</w:t>
      </w:r>
      <w:r>
        <w:rPr>
          <w:color w:val="231F20"/>
          <w:sz w:val="11"/>
        </w:rPr>
        <w:t xml:space="preserve"> </w:t>
      </w:r>
      <w:r>
        <w:rPr>
          <w:color w:val="231F20"/>
          <w:sz w:val="20"/>
        </w:rPr>
        <w:t xml:space="preserve">The same </w:t>
      </w:r>
      <w:r>
        <w:rPr>
          <w:color w:val="231F20"/>
          <w:spacing w:val="-3"/>
          <w:sz w:val="20"/>
        </w:rPr>
        <w:t xml:space="preserve">may </w:t>
      </w:r>
      <w:r>
        <w:rPr>
          <w:color w:val="231F20"/>
          <w:sz w:val="20"/>
        </w:rPr>
        <w:t xml:space="preserve">be true </w:t>
      </w:r>
      <w:r>
        <w:rPr>
          <w:color w:val="231F20"/>
          <w:spacing w:val="-3"/>
          <w:sz w:val="20"/>
        </w:rPr>
        <w:t>for</w:t>
      </w:r>
      <w:r>
        <w:rPr>
          <w:color w:val="231F20"/>
          <w:spacing w:val="-22"/>
          <w:sz w:val="20"/>
        </w:rPr>
        <w:t xml:space="preserve"> </w:t>
      </w:r>
      <w:r>
        <w:rPr>
          <w:color w:val="231F20"/>
          <w:sz w:val="20"/>
        </w:rPr>
        <w:t>PSIOs.</w:t>
      </w:r>
    </w:p>
    <w:p w14:paraId="1832AB63" w14:textId="77777777" w:rsidR="00894070" w:rsidRDefault="009B7AFD">
      <w:pPr>
        <w:pStyle w:val="ListParagraph"/>
        <w:numPr>
          <w:ilvl w:val="1"/>
          <w:numId w:val="102"/>
        </w:numPr>
        <w:tabs>
          <w:tab w:val="left" w:pos="1801"/>
          <w:tab w:val="left" w:pos="1802"/>
        </w:tabs>
        <w:spacing w:before="57"/>
        <w:rPr>
          <w:sz w:val="11"/>
        </w:rPr>
      </w:pPr>
      <w:r>
        <w:rPr>
          <w:color w:val="231F20"/>
          <w:sz w:val="20"/>
        </w:rPr>
        <w:t xml:space="preserve">The Federation of Community Legal </w:t>
      </w:r>
      <w:r>
        <w:rPr>
          <w:color w:val="231F20"/>
          <w:spacing w:val="-3"/>
          <w:sz w:val="20"/>
        </w:rPr>
        <w:t>Centres</w:t>
      </w:r>
      <w:r>
        <w:rPr>
          <w:color w:val="231F20"/>
          <w:spacing w:val="-27"/>
          <w:sz w:val="20"/>
        </w:rPr>
        <w:t xml:space="preserve"> </w:t>
      </w:r>
      <w:r>
        <w:rPr>
          <w:color w:val="231F20"/>
          <w:sz w:val="20"/>
        </w:rPr>
        <w:t>stated:</w:t>
      </w:r>
      <w:r>
        <w:rPr>
          <w:color w:val="231F20"/>
          <w:position w:val="7"/>
          <w:sz w:val="11"/>
        </w:rPr>
        <w:t>180</w:t>
      </w:r>
    </w:p>
    <w:p w14:paraId="6AE5A42B" w14:textId="77777777" w:rsidR="00894070" w:rsidRDefault="009B7AFD">
      <w:pPr>
        <w:spacing w:before="112" w:line="208" w:lineRule="auto"/>
        <w:ind w:left="2254" w:right="1162"/>
        <w:rPr>
          <w:sz w:val="19"/>
        </w:rPr>
      </w:pPr>
      <w:r>
        <w:rPr>
          <w:color w:val="231F20"/>
          <w:sz w:val="19"/>
        </w:rPr>
        <w:t>Where both parties are legally represented, this can promote early resolution of matters. This is because both parties are advised by their lawyers about the most appropriate course of action in their matter; and are assisted with reaching an agreed outcome (where possible and appropriate). Early resolution avoids a drawn out and stressful court process (which can fuel conflict and heighten safety risks) while also reducing pressure on an already overburdened court system.</w:t>
      </w:r>
    </w:p>
    <w:p w14:paraId="06D7F019" w14:textId="77777777" w:rsidR="00894070" w:rsidRDefault="00894070">
      <w:pPr>
        <w:pStyle w:val="BodyText"/>
      </w:pPr>
    </w:p>
    <w:p w14:paraId="2522A6E8" w14:textId="77777777" w:rsidR="00894070" w:rsidRDefault="00894070">
      <w:pPr>
        <w:pStyle w:val="BodyText"/>
      </w:pPr>
    </w:p>
    <w:p w14:paraId="3D69D21F" w14:textId="77777777" w:rsidR="00894070" w:rsidRDefault="00894070">
      <w:pPr>
        <w:pStyle w:val="BodyText"/>
      </w:pPr>
    </w:p>
    <w:p w14:paraId="1FAEBFD0" w14:textId="77777777" w:rsidR="00894070" w:rsidRDefault="009F6793">
      <w:pPr>
        <w:pStyle w:val="BodyText"/>
        <w:spacing w:before="8"/>
        <w:rPr>
          <w:sz w:val="11"/>
        </w:rPr>
      </w:pPr>
      <w:r>
        <w:pict w14:anchorId="76E79D66">
          <v:line id="_x0000_s1292" style="position:absolute;z-index:251689984;mso-wrap-distance-left:0;mso-wrap-distance-right:0;mso-position-horizontal-relative:page" from="79.35pt,10.5pt" to="515.9pt,10.5pt" strokecolor="#f8cabc" strokeweight="1pt">
            <w10:wrap type="topAndBottom" anchorx="page"/>
          </v:line>
        </w:pict>
      </w:r>
    </w:p>
    <w:p w14:paraId="0E014C28" w14:textId="77777777" w:rsidR="00894070" w:rsidRDefault="00894070">
      <w:pPr>
        <w:pStyle w:val="BodyText"/>
        <w:rPr>
          <w:sz w:val="5"/>
        </w:rPr>
      </w:pPr>
    </w:p>
    <w:p w14:paraId="62D359D8" w14:textId="77777777" w:rsidR="00894070" w:rsidRDefault="00894070">
      <w:pPr>
        <w:rPr>
          <w:sz w:val="5"/>
        </w:rPr>
        <w:sectPr w:rsidR="00894070">
          <w:pgSz w:w="11910" w:h="16840"/>
          <w:pgMar w:top="860" w:right="420" w:bottom="280" w:left="580" w:header="567" w:footer="0" w:gutter="0"/>
          <w:cols w:space="720"/>
        </w:sectPr>
      </w:pPr>
    </w:p>
    <w:p w14:paraId="612A9FF7" w14:textId="77777777" w:rsidR="00894070" w:rsidRDefault="00894070">
      <w:pPr>
        <w:pStyle w:val="BodyText"/>
        <w:rPr>
          <w:sz w:val="28"/>
        </w:rPr>
      </w:pPr>
    </w:p>
    <w:p w14:paraId="3B47A12B" w14:textId="77777777" w:rsidR="00894070" w:rsidRDefault="00894070">
      <w:pPr>
        <w:pStyle w:val="BodyText"/>
        <w:rPr>
          <w:sz w:val="28"/>
        </w:rPr>
      </w:pPr>
    </w:p>
    <w:p w14:paraId="45FED1AD" w14:textId="77777777" w:rsidR="00894070" w:rsidRDefault="00894070">
      <w:pPr>
        <w:pStyle w:val="BodyText"/>
        <w:rPr>
          <w:sz w:val="28"/>
        </w:rPr>
      </w:pPr>
    </w:p>
    <w:p w14:paraId="5BBEB8A1" w14:textId="77777777" w:rsidR="00894070" w:rsidRDefault="00894070">
      <w:pPr>
        <w:pStyle w:val="BodyText"/>
        <w:spacing w:before="2"/>
        <w:rPr>
          <w:sz w:val="35"/>
        </w:rPr>
      </w:pPr>
    </w:p>
    <w:p w14:paraId="3EBDF013" w14:textId="77777777" w:rsidR="00894070" w:rsidRDefault="009B7AFD">
      <w:pPr>
        <w:pStyle w:val="Heading8"/>
        <w:spacing w:before="1"/>
        <w:ind w:left="140"/>
      </w:pPr>
      <w:r>
        <w:rPr>
          <w:color w:val="EA5B50"/>
        </w:rPr>
        <w:t>118</w:t>
      </w:r>
    </w:p>
    <w:p w14:paraId="17AFDED9" w14:textId="77777777" w:rsidR="00894070" w:rsidRDefault="009B7AFD">
      <w:pPr>
        <w:pStyle w:val="ListParagraph"/>
        <w:numPr>
          <w:ilvl w:val="0"/>
          <w:numId w:val="82"/>
        </w:numPr>
        <w:tabs>
          <w:tab w:val="left" w:pos="933"/>
          <w:tab w:val="left" w:pos="934"/>
        </w:tabs>
        <w:spacing w:before="21" w:line="170" w:lineRule="exact"/>
        <w:ind w:left="933" w:hanging="793"/>
        <w:jc w:val="left"/>
        <w:rPr>
          <w:sz w:val="13"/>
        </w:rPr>
      </w:pPr>
      <w:r>
        <w:rPr>
          <w:color w:val="231F20"/>
          <w:spacing w:val="3"/>
          <w:sz w:val="13"/>
        </w:rPr>
        <w:br w:type="column"/>
      </w:r>
      <w:r>
        <w:rPr>
          <w:color w:val="231F20"/>
          <w:sz w:val="13"/>
        </w:rPr>
        <w:t>Consultation 13 (Victoria Legal</w:t>
      </w:r>
      <w:r>
        <w:rPr>
          <w:color w:val="231F20"/>
          <w:spacing w:val="1"/>
          <w:sz w:val="13"/>
        </w:rPr>
        <w:t xml:space="preserve"> </w:t>
      </w:r>
      <w:r>
        <w:rPr>
          <w:color w:val="231F20"/>
          <w:sz w:val="13"/>
        </w:rPr>
        <w:t>Aid).</w:t>
      </w:r>
    </w:p>
    <w:p w14:paraId="5104EB6B" w14:textId="77777777" w:rsidR="00894070" w:rsidRDefault="009B7AFD">
      <w:pPr>
        <w:pStyle w:val="ListParagraph"/>
        <w:numPr>
          <w:ilvl w:val="0"/>
          <w:numId w:val="82"/>
        </w:numPr>
        <w:tabs>
          <w:tab w:val="left" w:pos="933"/>
          <w:tab w:val="left" w:pos="934"/>
        </w:tabs>
        <w:spacing w:line="160" w:lineRule="exact"/>
        <w:ind w:left="933" w:hanging="793"/>
        <w:jc w:val="left"/>
        <w:rPr>
          <w:sz w:val="13"/>
        </w:rPr>
      </w:pPr>
      <w:r>
        <w:rPr>
          <w:color w:val="231F20"/>
          <w:sz w:val="13"/>
        </w:rPr>
        <w:t xml:space="preserve">Victoria Legal Aid, </w:t>
      </w:r>
      <w:r>
        <w:rPr>
          <w:i/>
          <w:color w:val="231F20"/>
          <w:sz w:val="13"/>
        </w:rPr>
        <w:t xml:space="preserve">Personal Safety Intervention Orders: Mention Hearing </w:t>
      </w:r>
      <w:r>
        <w:rPr>
          <w:color w:val="231F20"/>
          <w:sz w:val="13"/>
        </w:rPr>
        <w:t xml:space="preserve">(Self-Help Guide for </w:t>
      </w:r>
      <w:r>
        <w:rPr>
          <w:color w:val="231F20"/>
          <w:spacing w:val="2"/>
          <w:sz w:val="13"/>
        </w:rPr>
        <w:t xml:space="preserve">Applicants, </w:t>
      </w:r>
      <w:r>
        <w:rPr>
          <w:color w:val="231F20"/>
          <w:sz w:val="13"/>
        </w:rPr>
        <w:t>July</w:t>
      </w:r>
      <w:r>
        <w:rPr>
          <w:color w:val="231F20"/>
          <w:spacing w:val="20"/>
          <w:sz w:val="13"/>
        </w:rPr>
        <w:t xml:space="preserve"> </w:t>
      </w:r>
      <w:r>
        <w:rPr>
          <w:color w:val="231F20"/>
          <w:sz w:val="13"/>
        </w:rPr>
        <w:t>2020).</w:t>
      </w:r>
    </w:p>
    <w:p w14:paraId="44C857BD" w14:textId="77777777" w:rsidR="00894070" w:rsidRDefault="009B7AFD">
      <w:pPr>
        <w:pStyle w:val="ListParagraph"/>
        <w:numPr>
          <w:ilvl w:val="0"/>
          <w:numId w:val="82"/>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95 (Springvale Monash Legal</w:t>
      </w:r>
      <w:r>
        <w:rPr>
          <w:color w:val="231F20"/>
          <w:spacing w:val="-1"/>
          <w:sz w:val="13"/>
        </w:rPr>
        <w:t xml:space="preserve"> </w:t>
      </w:r>
      <w:r>
        <w:rPr>
          <w:color w:val="231F20"/>
          <w:sz w:val="13"/>
        </w:rPr>
        <w:t>Service).</w:t>
      </w:r>
    </w:p>
    <w:p w14:paraId="54DACEC4" w14:textId="77777777" w:rsidR="00894070" w:rsidRDefault="009B7AFD">
      <w:pPr>
        <w:pStyle w:val="ListParagraph"/>
        <w:numPr>
          <w:ilvl w:val="0"/>
          <w:numId w:val="82"/>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4"/>
          <w:sz w:val="13"/>
        </w:rPr>
        <w:t xml:space="preserve"> </w:t>
      </w:r>
      <w:r>
        <w:rPr>
          <w:color w:val="231F20"/>
          <w:sz w:val="13"/>
        </w:rPr>
        <w:t>Centres).</w:t>
      </w:r>
    </w:p>
    <w:p w14:paraId="693B1EA0" w14:textId="77777777" w:rsidR="00894070" w:rsidRDefault="009B7AFD">
      <w:pPr>
        <w:pStyle w:val="ListParagraph"/>
        <w:numPr>
          <w:ilvl w:val="0"/>
          <w:numId w:val="82"/>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4"/>
          <w:sz w:val="13"/>
        </w:rPr>
        <w:t xml:space="preserve"> </w:t>
      </w:r>
      <w:r>
        <w:rPr>
          <w:color w:val="231F20"/>
          <w:sz w:val="13"/>
        </w:rPr>
        <w:t>Party).</w:t>
      </w:r>
    </w:p>
    <w:p w14:paraId="1C12CFC5" w14:textId="77777777" w:rsidR="00894070" w:rsidRDefault="009B7AFD">
      <w:pPr>
        <w:pStyle w:val="ListParagraph"/>
        <w:numPr>
          <w:ilvl w:val="0"/>
          <w:numId w:val="82"/>
        </w:numPr>
        <w:tabs>
          <w:tab w:val="left" w:pos="933"/>
          <w:tab w:val="left" w:pos="934"/>
        </w:tabs>
        <w:spacing w:before="7" w:line="213" w:lineRule="auto"/>
        <w:ind w:left="933" w:right="1524" w:hanging="793"/>
        <w:jc w:val="left"/>
        <w:rPr>
          <w:sz w:val="13"/>
        </w:rPr>
      </w:pPr>
      <w:r>
        <w:rPr>
          <w:color w:val="231F20"/>
          <w:spacing w:val="2"/>
          <w:sz w:val="13"/>
        </w:rPr>
        <w:t xml:space="preserve">Submission </w:t>
      </w:r>
      <w:r>
        <w:rPr>
          <w:color w:val="231F20"/>
          <w:sz w:val="13"/>
        </w:rPr>
        <w:t xml:space="preserve">95 (Springvale Monash Legal Service). For </w:t>
      </w:r>
      <w:proofErr w:type="gramStart"/>
      <w:r>
        <w:rPr>
          <w:color w:val="231F20"/>
          <w:sz w:val="13"/>
        </w:rPr>
        <w:t>example</w:t>
      </w:r>
      <w:proofErr w:type="gramEnd"/>
      <w:r>
        <w:rPr>
          <w:color w:val="231F20"/>
          <w:sz w:val="13"/>
        </w:rPr>
        <w:t xml:space="preserve"> ‘clients living with a mental </w:t>
      </w:r>
      <w:r>
        <w:rPr>
          <w:color w:val="231F20"/>
          <w:spacing w:val="2"/>
          <w:sz w:val="13"/>
        </w:rPr>
        <w:t xml:space="preserve">illness </w:t>
      </w:r>
      <w:r>
        <w:rPr>
          <w:color w:val="231F20"/>
          <w:sz w:val="13"/>
        </w:rPr>
        <w:t xml:space="preserve">or a learning </w:t>
      </w:r>
      <w:r>
        <w:rPr>
          <w:color w:val="231F20"/>
          <w:spacing w:val="2"/>
          <w:sz w:val="13"/>
        </w:rPr>
        <w:t xml:space="preserve">disability </w:t>
      </w:r>
      <w:r>
        <w:rPr>
          <w:color w:val="231F20"/>
          <w:sz w:val="13"/>
        </w:rPr>
        <w:t xml:space="preserve">or </w:t>
      </w:r>
      <w:r>
        <w:rPr>
          <w:color w:val="231F20"/>
          <w:spacing w:val="2"/>
          <w:sz w:val="13"/>
        </w:rPr>
        <w:t xml:space="preserve">clients </w:t>
      </w:r>
      <w:r>
        <w:rPr>
          <w:color w:val="231F20"/>
          <w:sz w:val="13"/>
        </w:rPr>
        <w:t>from [culturally and linguistically diverse]</w:t>
      </w:r>
      <w:r>
        <w:rPr>
          <w:color w:val="231F20"/>
          <w:spacing w:val="1"/>
          <w:sz w:val="13"/>
        </w:rPr>
        <w:t xml:space="preserve"> </w:t>
      </w:r>
      <w:r>
        <w:rPr>
          <w:color w:val="231F20"/>
          <w:sz w:val="13"/>
        </w:rPr>
        <w:t>backgrounds.’</w:t>
      </w:r>
    </w:p>
    <w:p w14:paraId="18B984C5" w14:textId="77777777" w:rsidR="00894070" w:rsidRDefault="009B7AFD">
      <w:pPr>
        <w:pStyle w:val="ListParagraph"/>
        <w:numPr>
          <w:ilvl w:val="0"/>
          <w:numId w:val="82"/>
        </w:numPr>
        <w:tabs>
          <w:tab w:val="left" w:pos="933"/>
          <w:tab w:val="left" w:pos="934"/>
        </w:tabs>
        <w:spacing w:line="153" w:lineRule="exact"/>
        <w:ind w:left="933" w:hanging="793"/>
        <w:jc w:val="left"/>
        <w:rPr>
          <w:sz w:val="13"/>
        </w:rPr>
      </w:pPr>
      <w:r>
        <w:rPr>
          <w:color w:val="231F20"/>
          <w:spacing w:val="2"/>
          <w:sz w:val="13"/>
        </w:rPr>
        <w:t xml:space="preserve">Submission </w:t>
      </w:r>
      <w:r>
        <w:rPr>
          <w:color w:val="231F20"/>
          <w:sz w:val="13"/>
        </w:rPr>
        <w:t xml:space="preserve">47 </w:t>
      </w:r>
      <w:r>
        <w:rPr>
          <w:color w:val="231F20"/>
          <w:spacing w:val="2"/>
          <w:sz w:val="13"/>
        </w:rPr>
        <w:t>(Liberty</w:t>
      </w:r>
      <w:r>
        <w:rPr>
          <w:color w:val="231F20"/>
          <w:spacing w:val="-3"/>
          <w:sz w:val="13"/>
        </w:rPr>
        <w:t xml:space="preserve"> </w:t>
      </w:r>
      <w:r>
        <w:rPr>
          <w:color w:val="231F20"/>
          <w:sz w:val="13"/>
        </w:rPr>
        <w:t>Victoria).</w:t>
      </w:r>
    </w:p>
    <w:p w14:paraId="202748FE" w14:textId="77777777" w:rsidR="00894070" w:rsidRDefault="009B7AFD">
      <w:pPr>
        <w:pStyle w:val="ListParagraph"/>
        <w:numPr>
          <w:ilvl w:val="0"/>
          <w:numId w:val="82"/>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95 (Springvale Monash Legal</w:t>
      </w:r>
      <w:r>
        <w:rPr>
          <w:color w:val="231F20"/>
          <w:spacing w:val="-1"/>
          <w:sz w:val="13"/>
        </w:rPr>
        <w:t xml:space="preserve"> </w:t>
      </w:r>
      <w:r>
        <w:rPr>
          <w:color w:val="231F20"/>
          <w:sz w:val="13"/>
        </w:rPr>
        <w:t>Service).</w:t>
      </w:r>
    </w:p>
    <w:p w14:paraId="1E28006F" w14:textId="77777777" w:rsidR="00894070" w:rsidRDefault="009B7AFD">
      <w:pPr>
        <w:pStyle w:val="ListParagraph"/>
        <w:numPr>
          <w:ilvl w:val="0"/>
          <w:numId w:val="82"/>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 xml:space="preserve">47 </w:t>
      </w:r>
      <w:r>
        <w:rPr>
          <w:color w:val="231F20"/>
          <w:spacing w:val="2"/>
          <w:sz w:val="13"/>
        </w:rPr>
        <w:t>(Liberty</w:t>
      </w:r>
      <w:r>
        <w:rPr>
          <w:color w:val="231F20"/>
          <w:spacing w:val="-3"/>
          <w:sz w:val="13"/>
        </w:rPr>
        <w:t xml:space="preserve"> </w:t>
      </w:r>
      <w:r>
        <w:rPr>
          <w:color w:val="231F20"/>
          <w:sz w:val="13"/>
        </w:rPr>
        <w:t>Victoria).</w:t>
      </w:r>
    </w:p>
    <w:p w14:paraId="7FA552B9" w14:textId="77777777" w:rsidR="00894070" w:rsidRDefault="009B7AFD">
      <w:pPr>
        <w:pStyle w:val="ListParagraph"/>
        <w:numPr>
          <w:ilvl w:val="0"/>
          <w:numId w:val="82"/>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04639073" w14:textId="77777777" w:rsidR="00894070" w:rsidRDefault="009B7AFD">
      <w:pPr>
        <w:pStyle w:val="ListParagraph"/>
        <w:numPr>
          <w:ilvl w:val="0"/>
          <w:numId w:val="82"/>
        </w:numPr>
        <w:tabs>
          <w:tab w:val="left" w:pos="933"/>
          <w:tab w:val="left" w:pos="934"/>
        </w:tabs>
        <w:spacing w:line="170" w:lineRule="exact"/>
        <w:ind w:left="933" w:hanging="793"/>
        <w:jc w:val="lef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5"/>
          <w:sz w:val="13"/>
        </w:rPr>
        <w:t xml:space="preserve"> </w:t>
      </w:r>
      <w:r>
        <w:rPr>
          <w:color w:val="231F20"/>
          <w:sz w:val="13"/>
        </w:rPr>
        <w:t>Centres).</w:t>
      </w:r>
    </w:p>
    <w:p w14:paraId="7AA94E63"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56" w:space="311"/>
            <w:col w:w="10043"/>
          </w:cols>
        </w:sectPr>
      </w:pPr>
    </w:p>
    <w:p w14:paraId="4C311829" w14:textId="77777777" w:rsidR="00894070" w:rsidRDefault="00894070">
      <w:pPr>
        <w:pStyle w:val="BodyText"/>
      </w:pPr>
    </w:p>
    <w:p w14:paraId="1278C1D3" w14:textId="77777777" w:rsidR="00894070" w:rsidRDefault="00894070">
      <w:pPr>
        <w:pStyle w:val="BodyText"/>
      </w:pPr>
    </w:p>
    <w:p w14:paraId="3DB088D4" w14:textId="77777777" w:rsidR="00894070" w:rsidRDefault="00894070">
      <w:pPr>
        <w:pStyle w:val="BodyText"/>
      </w:pPr>
    </w:p>
    <w:p w14:paraId="387E0A4D" w14:textId="77777777" w:rsidR="00894070" w:rsidRDefault="00894070">
      <w:pPr>
        <w:pStyle w:val="BodyText"/>
        <w:spacing w:before="6"/>
        <w:rPr>
          <w:sz w:val="14"/>
        </w:rPr>
      </w:pPr>
    </w:p>
    <w:p w14:paraId="565E0B48" w14:textId="77777777" w:rsidR="00894070" w:rsidRDefault="009B7AFD">
      <w:pPr>
        <w:pStyle w:val="ListParagraph"/>
        <w:numPr>
          <w:ilvl w:val="1"/>
          <w:numId w:val="102"/>
        </w:numPr>
        <w:tabs>
          <w:tab w:val="left" w:pos="1801"/>
          <w:tab w:val="left" w:pos="1802"/>
        </w:tabs>
        <w:spacing w:before="90" w:line="206" w:lineRule="auto"/>
        <w:ind w:right="1179"/>
        <w:rPr>
          <w:sz w:val="11"/>
        </w:rPr>
      </w:pPr>
      <w:r>
        <w:rPr>
          <w:color w:val="231F20"/>
          <w:spacing w:val="-6"/>
          <w:sz w:val="20"/>
        </w:rPr>
        <w:t>We</w:t>
      </w:r>
      <w:r>
        <w:rPr>
          <w:color w:val="231F20"/>
          <w:spacing w:val="-8"/>
          <w:sz w:val="20"/>
        </w:rPr>
        <w:t xml:space="preserve"> </w:t>
      </w:r>
      <w:r>
        <w:rPr>
          <w:color w:val="231F20"/>
          <w:sz w:val="20"/>
        </w:rPr>
        <w:t>heard</w:t>
      </w:r>
      <w:r>
        <w:rPr>
          <w:color w:val="231F20"/>
          <w:spacing w:val="-7"/>
          <w:sz w:val="20"/>
        </w:rPr>
        <w:t xml:space="preserve"> </w:t>
      </w:r>
      <w:r>
        <w:rPr>
          <w:color w:val="231F20"/>
          <w:sz w:val="20"/>
        </w:rPr>
        <w:t>support</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access</w:t>
      </w:r>
      <w:r>
        <w:rPr>
          <w:color w:val="231F20"/>
          <w:spacing w:val="-7"/>
          <w:sz w:val="20"/>
        </w:rPr>
        <w:t xml:space="preserve"> </w:t>
      </w:r>
      <w:r>
        <w:rPr>
          <w:color w:val="231F20"/>
          <w:sz w:val="20"/>
        </w:rPr>
        <w:t>to</w:t>
      </w:r>
      <w:r>
        <w:rPr>
          <w:color w:val="231F20"/>
          <w:spacing w:val="-7"/>
          <w:sz w:val="20"/>
        </w:rPr>
        <w:t xml:space="preserve"> </w:t>
      </w:r>
      <w:r>
        <w:rPr>
          <w:color w:val="231F20"/>
          <w:sz w:val="20"/>
        </w:rPr>
        <w:t>legal</w:t>
      </w:r>
      <w:r>
        <w:rPr>
          <w:color w:val="231F20"/>
          <w:spacing w:val="-7"/>
          <w:sz w:val="20"/>
        </w:rPr>
        <w:t xml:space="preserve"> </w:t>
      </w:r>
      <w:r>
        <w:rPr>
          <w:color w:val="231F20"/>
          <w:sz w:val="20"/>
        </w:rPr>
        <w:t>advice</w:t>
      </w:r>
      <w:r>
        <w:rPr>
          <w:color w:val="231F20"/>
          <w:spacing w:val="-7"/>
          <w:sz w:val="20"/>
        </w:rPr>
        <w:t xml:space="preserve"> </w:t>
      </w:r>
      <w:r>
        <w:rPr>
          <w:color w:val="231F20"/>
          <w:sz w:val="20"/>
        </w:rPr>
        <w:t>and</w:t>
      </w:r>
      <w:r>
        <w:rPr>
          <w:color w:val="231F20"/>
          <w:spacing w:val="-7"/>
          <w:sz w:val="20"/>
        </w:rPr>
        <w:t xml:space="preserve"> </w:t>
      </w:r>
      <w:r>
        <w:rPr>
          <w:color w:val="231F20"/>
          <w:spacing w:val="-3"/>
          <w:sz w:val="20"/>
        </w:rPr>
        <w:t>representation</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both</w:t>
      </w:r>
      <w:r>
        <w:rPr>
          <w:color w:val="231F20"/>
          <w:spacing w:val="-7"/>
          <w:sz w:val="20"/>
        </w:rPr>
        <w:t xml:space="preserve"> </w:t>
      </w:r>
      <w:r>
        <w:rPr>
          <w:color w:val="231F20"/>
          <w:sz w:val="20"/>
        </w:rPr>
        <w:t>respondents</w:t>
      </w:r>
      <w:r>
        <w:rPr>
          <w:color w:val="231F20"/>
          <w:position w:val="7"/>
          <w:sz w:val="11"/>
        </w:rPr>
        <w:t>181</w:t>
      </w:r>
      <w:r>
        <w:rPr>
          <w:color w:val="231F20"/>
          <w:sz w:val="11"/>
        </w:rPr>
        <w:t xml:space="preserve"> </w:t>
      </w:r>
      <w:r>
        <w:rPr>
          <w:color w:val="231F20"/>
          <w:sz w:val="20"/>
        </w:rPr>
        <w:t>and affected persons in PSIO</w:t>
      </w:r>
      <w:r>
        <w:rPr>
          <w:color w:val="231F20"/>
          <w:spacing w:val="-23"/>
          <w:sz w:val="20"/>
        </w:rPr>
        <w:t xml:space="preserve"> </w:t>
      </w:r>
      <w:r>
        <w:rPr>
          <w:color w:val="231F20"/>
          <w:sz w:val="20"/>
        </w:rPr>
        <w:t>matters.</w:t>
      </w:r>
      <w:r>
        <w:rPr>
          <w:color w:val="231F20"/>
          <w:position w:val="7"/>
          <w:sz w:val="11"/>
        </w:rPr>
        <w:t>182</w:t>
      </w:r>
    </w:p>
    <w:p w14:paraId="70E3A4CA" w14:textId="77777777" w:rsidR="00894070" w:rsidRDefault="009B7AFD">
      <w:pPr>
        <w:pStyle w:val="ListParagraph"/>
        <w:numPr>
          <w:ilvl w:val="1"/>
          <w:numId w:val="102"/>
        </w:numPr>
        <w:tabs>
          <w:tab w:val="left" w:pos="1801"/>
          <w:tab w:val="left" w:pos="1802"/>
        </w:tabs>
        <w:spacing w:before="90"/>
        <w:rPr>
          <w:sz w:val="20"/>
        </w:rPr>
      </w:pPr>
      <w:r>
        <w:rPr>
          <w:color w:val="231F20"/>
          <w:sz w:val="20"/>
        </w:rPr>
        <w:t>Suggestions</w:t>
      </w:r>
      <w:r>
        <w:rPr>
          <w:color w:val="231F20"/>
          <w:spacing w:val="-5"/>
          <w:sz w:val="20"/>
        </w:rPr>
        <w:t xml:space="preserve"> </w:t>
      </w:r>
      <w:r>
        <w:rPr>
          <w:color w:val="231F20"/>
          <w:sz w:val="20"/>
        </w:rPr>
        <w:t>included:</w:t>
      </w:r>
    </w:p>
    <w:p w14:paraId="6835DF34" w14:textId="77777777" w:rsidR="00894070" w:rsidRDefault="009B7AFD">
      <w:pPr>
        <w:pStyle w:val="ListParagraph"/>
        <w:numPr>
          <w:ilvl w:val="2"/>
          <w:numId w:val="102"/>
        </w:numPr>
        <w:tabs>
          <w:tab w:val="left" w:pos="2141"/>
          <w:tab w:val="left" w:pos="2142"/>
        </w:tabs>
        <w:spacing w:before="115" w:line="206" w:lineRule="auto"/>
        <w:ind w:right="1305" w:hanging="340"/>
        <w:rPr>
          <w:sz w:val="11"/>
        </w:rPr>
      </w:pPr>
      <w:r>
        <w:rPr>
          <w:color w:val="231F20"/>
          <w:sz w:val="20"/>
        </w:rPr>
        <w:t>funding</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Aboriginal</w:t>
      </w:r>
      <w:r>
        <w:rPr>
          <w:color w:val="231F20"/>
          <w:spacing w:val="-11"/>
          <w:sz w:val="20"/>
        </w:rPr>
        <w:t xml:space="preserve"> </w:t>
      </w:r>
      <w:r>
        <w:rPr>
          <w:color w:val="231F20"/>
          <w:spacing w:val="-2"/>
          <w:sz w:val="20"/>
        </w:rPr>
        <w:t>community-controlled</w:t>
      </w:r>
      <w:r>
        <w:rPr>
          <w:color w:val="231F20"/>
          <w:spacing w:val="-11"/>
          <w:sz w:val="20"/>
        </w:rPr>
        <w:t xml:space="preserve"> </w:t>
      </w:r>
      <w:r>
        <w:rPr>
          <w:color w:val="231F20"/>
          <w:sz w:val="20"/>
        </w:rPr>
        <w:t>organisations</w:t>
      </w:r>
      <w:r>
        <w:rPr>
          <w:color w:val="231F20"/>
          <w:spacing w:val="-10"/>
          <w:sz w:val="20"/>
        </w:rPr>
        <w:t xml:space="preserve"> </w:t>
      </w:r>
      <w:r>
        <w:rPr>
          <w:color w:val="231F20"/>
          <w:sz w:val="20"/>
        </w:rPr>
        <w:t>to</w:t>
      </w:r>
      <w:r>
        <w:rPr>
          <w:color w:val="231F20"/>
          <w:spacing w:val="-11"/>
          <w:sz w:val="20"/>
        </w:rPr>
        <w:t xml:space="preserve"> </w:t>
      </w:r>
      <w:r>
        <w:rPr>
          <w:color w:val="231F20"/>
          <w:spacing w:val="-3"/>
          <w:sz w:val="20"/>
        </w:rPr>
        <w:t>provide</w:t>
      </w:r>
      <w:r>
        <w:rPr>
          <w:color w:val="231F20"/>
          <w:spacing w:val="-11"/>
          <w:sz w:val="20"/>
        </w:rPr>
        <w:t xml:space="preserve"> </w:t>
      </w:r>
      <w:r>
        <w:rPr>
          <w:color w:val="231F20"/>
          <w:sz w:val="20"/>
        </w:rPr>
        <w:t>legal</w:t>
      </w:r>
      <w:r>
        <w:rPr>
          <w:color w:val="231F20"/>
          <w:spacing w:val="-11"/>
          <w:sz w:val="20"/>
        </w:rPr>
        <w:t xml:space="preserve"> </w:t>
      </w:r>
      <w:r>
        <w:rPr>
          <w:color w:val="231F20"/>
          <w:sz w:val="20"/>
        </w:rPr>
        <w:t xml:space="preserve">advice and </w:t>
      </w:r>
      <w:r>
        <w:rPr>
          <w:color w:val="231F20"/>
          <w:spacing w:val="-3"/>
          <w:sz w:val="20"/>
        </w:rPr>
        <w:t xml:space="preserve">representation </w:t>
      </w:r>
      <w:r>
        <w:rPr>
          <w:color w:val="231F20"/>
          <w:sz w:val="20"/>
        </w:rPr>
        <w:t xml:space="preserve">to Aboriginal and </w:t>
      </w:r>
      <w:r>
        <w:rPr>
          <w:color w:val="231F20"/>
          <w:spacing w:val="-5"/>
          <w:sz w:val="20"/>
        </w:rPr>
        <w:t xml:space="preserve">Torres </w:t>
      </w:r>
      <w:r>
        <w:rPr>
          <w:color w:val="231F20"/>
          <w:sz w:val="20"/>
        </w:rPr>
        <w:t xml:space="preserve">Strait Islander women and </w:t>
      </w:r>
      <w:r>
        <w:rPr>
          <w:color w:val="231F20"/>
          <w:spacing w:val="-3"/>
          <w:sz w:val="20"/>
        </w:rPr>
        <w:t xml:space="preserve">children </w:t>
      </w:r>
      <w:r>
        <w:rPr>
          <w:color w:val="231F20"/>
          <w:sz w:val="20"/>
        </w:rPr>
        <w:t>experiencing non-family violence</w:t>
      </w:r>
      <w:r>
        <w:rPr>
          <w:color w:val="231F20"/>
          <w:spacing w:val="-15"/>
          <w:sz w:val="20"/>
        </w:rPr>
        <w:t xml:space="preserve"> </w:t>
      </w:r>
      <w:r>
        <w:rPr>
          <w:color w:val="231F20"/>
          <w:sz w:val="20"/>
        </w:rPr>
        <w:t>stalking</w:t>
      </w:r>
      <w:r>
        <w:rPr>
          <w:color w:val="231F20"/>
          <w:position w:val="7"/>
          <w:sz w:val="11"/>
        </w:rPr>
        <w:t>183</w:t>
      </w:r>
    </w:p>
    <w:p w14:paraId="75C0B79D" w14:textId="77777777" w:rsidR="00894070" w:rsidRDefault="009B7AFD">
      <w:pPr>
        <w:pStyle w:val="ListParagraph"/>
        <w:numPr>
          <w:ilvl w:val="2"/>
          <w:numId w:val="102"/>
        </w:numPr>
        <w:tabs>
          <w:tab w:val="left" w:pos="2141"/>
          <w:tab w:val="left" w:pos="2142"/>
        </w:tabs>
        <w:spacing w:before="56" w:line="259" w:lineRule="exact"/>
        <w:ind w:hanging="340"/>
        <w:rPr>
          <w:sz w:val="20"/>
        </w:rPr>
      </w:pPr>
      <w:r>
        <w:rPr>
          <w:color w:val="231F20"/>
          <w:sz w:val="20"/>
        </w:rPr>
        <w:t>funding</w:t>
      </w:r>
      <w:r>
        <w:rPr>
          <w:color w:val="231F20"/>
          <w:spacing w:val="-6"/>
          <w:sz w:val="20"/>
        </w:rPr>
        <w:t xml:space="preserve"> </w:t>
      </w:r>
      <w:r>
        <w:rPr>
          <w:color w:val="231F20"/>
          <w:sz w:val="20"/>
        </w:rPr>
        <w:t>to</w:t>
      </w:r>
      <w:r>
        <w:rPr>
          <w:color w:val="231F20"/>
          <w:spacing w:val="-6"/>
          <w:sz w:val="20"/>
        </w:rPr>
        <w:t xml:space="preserve"> </w:t>
      </w:r>
      <w:r>
        <w:rPr>
          <w:color w:val="231F20"/>
          <w:sz w:val="20"/>
        </w:rPr>
        <w:t>Victoria</w:t>
      </w:r>
      <w:r>
        <w:rPr>
          <w:color w:val="231F20"/>
          <w:spacing w:val="-5"/>
          <w:sz w:val="20"/>
        </w:rPr>
        <w:t xml:space="preserve"> </w:t>
      </w:r>
      <w:r>
        <w:rPr>
          <w:color w:val="231F20"/>
          <w:sz w:val="20"/>
        </w:rPr>
        <w:t>Legal</w:t>
      </w:r>
      <w:r>
        <w:rPr>
          <w:color w:val="231F20"/>
          <w:spacing w:val="-6"/>
          <w:sz w:val="20"/>
        </w:rPr>
        <w:t xml:space="preserve"> </w:t>
      </w:r>
      <w:r>
        <w:rPr>
          <w:color w:val="231F20"/>
          <w:sz w:val="20"/>
        </w:rPr>
        <w:t>Aid</w:t>
      </w:r>
      <w:r>
        <w:rPr>
          <w:color w:val="231F20"/>
          <w:spacing w:val="-5"/>
          <w:sz w:val="20"/>
        </w:rPr>
        <w:t xml:space="preserve"> </w:t>
      </w:r>
      <w:r>
        <w:rPr>
          <w:color w:val="231F20"/>
          <w:sz w:val="20"/>
        </w:rPr>
        <w:t>and</w:t>
      </w:r>
      <w:r>
        <w:rPr>
          <w:color w:val="231F20"/>
          <w:spacing w:val="-6"/>
          <w:sz w:val="20"/>
        </w:rPr>
        <w:t xml:space="preserve"> </w:t>
      </w:r>
      <w:r>
        <w:rPr>
          <w:color w:val="231F20"/>
          <w:sz w:val="20"/>
        </w:rPr>
        <w:t>community</w:t>
      </w:r>
      <w:r>
        <w:rPr>
          <w:color w:val="231F20"/>
          <w:spacing w:val="-5"/>
          <w:sz w:val="20"/>
        </w:rPr>
        <w:t xml:space="preserve"> </w:t>
      </w:r>
      <w:r>
        <w:rPr>
          <w:color w:val="231F20"/>
          <w:sz w:val="20"/>
        </w:rPr>
        <w:t>legal</w:t>
      </w:r>
      <w:r>
        <w:rPr>
          <w:color w:val="231F20"/>
          <w:spacing w:val="-6"/>
          <w:sz w:val="20"/>
        </w:rPr>
        <w:t xml:space="preserve"> </w:t>
      </w:r>
      <w:r>
        <w:rPr>
          <w:color w:val="231F20"/>
          <w:spacing w:val="-3"/>
          <w:sz w:val="20"/>
        </w:rPr>
        <w:t>centres</w:t>
      </w:r>
      <w:r>
        <w:rPr>
          <w:color w:val="231F20"/>
          <w:spacing w:val="-5"/>
          <w:sz w:val="20"/>
        </w:rPr>
        <w:t xml:space="preserve"> </w:t>
      </w:r>
      <w:r>
        <w:rPr>
          <w:color w:val="231F20"/>
          <w:sz w:val="20"/>
        </w:rPr>
        <w:t>to</w:t>
      </w:r>
      <w:r>
        <w:rPr>
          <w:color w:val="231F20"/>
          <w:spacing w:val="-6"/>
          <w:sz w:val="20"/>
        </w:rPr>
        <w:t xml:space="preserve"> </w:t>
      </w:r>
      <w:r>
        <w:rPr>
          <w:color w:val="231F20"/>
          <w:spacing w:val="-3"/>
          <w:sz w:val="20"/>
        </w:rPr>
        <w:t>provide</w:t>
      </w:r>
      <w:r>
        <w:rPr>
          <w:color w:val="231F20"/>
          <w:spacing w:val="-5"/>
          <w:sz w:val="20"/>
        </w:rPr>
        <w:t xml:space="preserve"> </w:t>
      </w:r>
      <w:r>
        <w:rPr>
          <w:color w:val="231F20"/>
          <w:sz w:val="20"/>
        </w:rPr>
        <w:t>advice</w:t>
      </w:r>
      <w:r>
        <w:rPr>
          <w:color w:val="231F20"/>
          <w:spacing w:val="-6"/>
          <w:sz w:val="20"/>
        </w:rPr>
        <w:t xml:space="preserve"> </w:t>
      </w:r>
      <w:r>
        <w:rPr>
          <w:color w:val="231F20"/>
          <w:sz w:val="20"/>
        </w:rPr>
        <w:t>and</w:t>
      </w:r>
    </w:p>
    <w:p w14:paraId="7D50E72F" w14:textId="77777777" w:rsidR="00894070" w:rsidRDefault="009B7AFD">
      <w:pPr>
        <w:pStyle w:val="BodyText"/>
        <w:spacing w:line="259" w:lineRule="exact"/>
        <w:ind w:left="2141"/>
        <w:rPr>
          <w:sz w:val="11"/>
        </w:rPr>
      </w:pPr>
      <w:r>
        <w:rPr>
          <w:color w:val="231F20"/>
        </w:rPr>
        <w:t>representation</w:t>
      </w:r>
      <w:r>
        <w:rPr>
          <w:color w:val="231F20"/>
          <w:position w:val="7"/>
          <w:sz w:val="11"/>
        </w:rPr>
        <w:t>184</w:t>
      </w:r>
    </w:p>
    <w:p w14:paraId="23C1FEAC" w14:textId="77777777" w:rsidR="00894070" w:rsidRDefault="009B7AFD">
      <w:pPr>
        <w:pStyle w:val="ListParagraph"/>
        <w:numPr>
          <w:ilvl w:val="2"/>
          <w:numId w:val="102"/>
        </w:numPr>
        <w:tabs>
          <w:tab w:val="left" w:pos="2141"/>
          <w:tab w:val="left" w:pos="2142"/>
        </w:tabs>
        <w:spacing w:before="48"/>
        <w:ind w:hanging="340"/>
        <w:rPr>
          <w:sz w:val="11"/>
        </w:rPr>
      </w:pPr>
      <w:r>
        <w:rPr>
          <w:color w:val="231F20"/>
          <w:sz w:val="20"/>
        </w:rPr>
        <w:t xml:space="preserve">expanding </w:t>
      </w:r>
      <w:r>
        <w:rPr>
          <w:color w:val="231F20"/>
          <w:spacing w:val="-3"/>
          <w:sz w:val="20"/>
        </w:rPr>
        <w:t xml:space="preserve">Victoria’s victims’ </w:t>
      </w:r>
      <w:r>
        <w:rPr>
          <w:color w:val="231F20"/>
          <w:sz w:val="20"/>
        </w:rPr>
        <w:t>legal</w:t>
      </w:r>
      <w:r>
        <w:rPr>
          <w:color w:val="231F20"/>
          <w:spacing w:val="-11"/>
          <w:sz w:val="20"/>
        </w:rPr>
        <w:t xml:space="preserve"> </w:t>
      </w:r>
      <w:r>
        <w:rPr>
          <w:color w:val="231F20"/>
          <w:sz w:val="20"/>
        </w:rPr>
        <w:t>service.</w:t>
      </w:r>
      <w:r>
        <w:rPr>
          <w:color w:val="231F20"/>
          <w:position w:val="7"/>
          <w:sz w:val="11"/>
        </w:rPr>
        <w:t>185</w:t>
      </w:r>
    </w:p>
    <w:p w14:paraId="6453C50E" w14:textId="77777777" w:rsidR="00894070" w:rsidRDefault="009B7AFD">
      <w:pPr>
        <w:pStyle w:val="ListParagraph"/>
        <w:numPr>
          <w:ilvl w:val="1"/>
          <w:numId w:val="102"/>
        </w:numPr>
        <w:tabs>
          <w:tab w:val="left" w:pos="1801"/>
          <w:tab w:val="left" w:pos="1802"/>
        </w:tabs>
        <w:spacing w:before="80" w:line="206" w:lineRule="auto"/>
        <w:ind w:right="1630"/>
        <w:rPr>
          <w:sz w:val="20"/>
        </w:rPr>
      </w:pPr>
      <w:r>
        <w:rPr>
          <w:color w:val="231F20"/>
          <w:sz w:val="20"/>
        </w:rPr>
        <w:t xml:space="preserve">The Victims of Crime Commissioner </w:t>
      </w:r>
      <w:r>
        <w:rPr>
          <w:color w:val="231F20"/>
          <w:spacing w:val="-3"/>
          <w:sz w:val="20"/>
        </w:rPr>
        <w:t xml:space="preserve">advocated for </w:t>
      </w:r>
      <w:r>
        <w:rPr>
          <w:color w:val="231F20"/>
          <w:sz w:val="20"/>
        </w:rPr>
        <w:t xml:space="preserve">victims to </w:t>
      </w:r>
      <w:r>
        <w:rPr>
          <w:color w:val="231F20"/>
          <w:spacing w:val="-4"/>
          <w:sz w:val="20"/>
        </w:rPr>
        <w:t xml:space="preserve">have </w:t>
      </w:r>
      <w:r>
        <w:rPr>
          <w:color w:val="231F20"/>
          <w:sz w:val="20"/>
        </w:rPr>
        <w:t xml:space="preserve">access to a </w:t>
      </w:r>
      <w:r>
        <w:rPr>
          <w:color w:val="231F20"/>
          <w:spacing w:val="-3"/>
          <w:sz w:val="20"/>
        </w:rPr>
        <w:t>government-funded</w:t>
      </w:r>
      <w:r>
        <w:rPr>
          <w:color w:val="231F20"/>
          <w:spacing w:val="-8"/>
          <w:sz w:val="20"/>
        </w:rPr>
        <w:t xml:space="preserve"> </w:t>
      </w:r>
      <w:r>
        <w:rPr>
          <w:color w:val="231F20"/>
          <w:sz w:val="20"/>
        </w:rPr>
        <w:t>legal</w:t>
      </w:r>
      <w:r>
        <w:rPr>
          <w:color w:val="231F20"/>
          <w:spacing w:val="-7"/>
          <w:sz w:val="20"/>
        </w:rPr>
        <w:t xml:space="preserve"> </w:t>
      </w:r>
      <w:r>
        <w:rPr>
          <w:color w:val="231F20"/>
          <w:sz w:val="20"/>
        </w:rPr>
        <w:t>service.</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context</w:t>
      </w:r>
      <w:r>
        <w:rPr>
          <w:color w:val="231F20"/>
          <w:spacing w:val="-7"/>
          <w:sz w:val="20"/>
        </w:rPr>
        <w:t xml:space="preserve"> </w:t>
      </w:r>
      <w:r>
        <w:rPr>
          <w:color w:val="231F20"/>
          <w:sz w:val="20"/>
        </w:rPr>
        <w:t>of</w:t>
      </w:r>
      <w:r>
        <w:rPr>
          <w:color w:val="231F20"/>
          <w:spacing w:val="-7"/>
          <w:sz w:val="20"/>
        </w:rPr>
        <w:t xml:space="preserve"> </w:t>
      </w:r>
      <w:r>
        <w:rPr>
          <w:color w:val="231F20"/>
          <w:sz w:val="20"/>
        </w:rPr>
        <w:t>stalking,</w:t>
      </w:r>
      <w:r>
        <w:rPr>
          <w:color w:val="231F20"/>
          <w:spacing w:val="-7"/>
          <w:sz w:val="20"/>
        </w:rPr>
        <w:t xml:space="preserve"> </w:t>
      </w:r>
      <w:r>
        <w:rPr>
          <w:color w:val="231F20"/>
          <w:sz w:val="20"/>
        </w:rPr>
        <w:t>it</w:t>
      </w:r>
      <w:r>
        <w:rPr>
          <w:color w:val="231F20"/>
          <w:spacing w:val="-8"/>
          <w:sz w:val="20"/>
        </w:rPr>
        <w:t xml:space="preserve"> </w:t>
      </w:r>
      <w:r>
        <w:rPr>
          <w:color w:val="231F20"/>
          <w:spacing w:val="-3"/>
          <w:sz w:val="20"/>
        </w:rPr>
        <w:t>would</w:t>
      </w:r>
      <w:r>
        <w:rPr>
          <w:color w:val="231F20"/>
          <w:spacing w:val="-7"/>
          <w:sz w:val="20"/>
        </w:rPr>
        <w:t xml:space="preserve"> </w:t>
      </w:r>
      <w:r>
        <w:rPr>
          <w:color w:val="231F20"/>
          <w:sz w:val="20"/>
        </w:rPr>
        <w:t>assist</w:t>
      </w:r>
      <w:r>
        <w:rPr>
          <w:color w:val="231F20"/>
          <w:spacing w:val="-7"/>
          <w:sz w:val="20"/>
        </w:rPr>
        <w:t xml:space="preserve"> </w:t>
      </w:r>
      <w:r>
        <w:rPr>
          <w:color w:val="231F20"/>
          <w:sz w:val="20"/>
        </w:rPr>
        <w:t>victims:</w:t>
      </w:r>
    </w:p>
    <w:p w14:paraId="7CBB893E" w14:textId="77777777" w:rsidR="00894070" w:rsidRDefault="009B7AFD">
      <w:pPr>
        <w:pStyle w:val="ListParagraph"/>
        <w:numPr>
          <w:ilvl w:val="2"/>
          <w:numId w:val="102"/>
        </w:numPr>
        <w:tabs>
          <w:tab w:val="left" w:pos="2141"/>
          <w:tab w:val="left" w:pos="2142"/>
        </w:tabs>
        <w:spacing w:before="90"/>
        <w:ind w:hanging="340"/>
        <w:rPr>
          <w:sz w:val="20"/>
        </w:rPr>
      </w:pPr>
      <w:r>
        <w:rPr>
          <w:color w:val="231F20"/>
          <w:sz w:val="20"/>
        </w:rPr>
        <w:t>to identify the options available to address</w:t>
      </w:r>
      <w:r>
        <w:rPr>
          <w:color w:val="231F20"/>
          <w:spacing w:val="-34"/>
          <w:sz w:val="20"/>
        </w:rPr>
        <w:t xml:space="preserve"> </w:t>
      </w:r>
      <w:r>
        <w:rPr>
          <w:color w:val="231F20"/>
          <w:sz w:val="20"/>
        </w:rPr>
        <w:t>stalking</w:t>
      </w:r>
    </w:p>
    <w:p w14:paraId="418D0396" w14:textId="77777777" w:rsidR="00894070" w:rsidRDefault="009B7AFD">
      <w:pPr>
        <w:pStyle w:val="ListParagraph"/>
        <w:numPr>
          <w:ilvl w:val="2"/>
          <w:numId w:val="102"/>
        </w:numPr>
        <w:tabs>
          <w:tab w:val="left" w:pos="2141"/>
          <w:tab w:val="left" w:pos="2142"/>
        </w:tabs>
        <w:spacing w:before="47"/>
        <w:ind w:hanging="340"/>
        <w:rPr>
          <w:sz w:val="11"/>
        </w:rPr>
      </w:pPr>
      <w:r>
        <w:rPr>
          <w:color w:val="231F20"/>
          <w:sz w:val="20"/>
        </w:rPr>
        <w:t xml:space="preserve">to </w:t>
      </w:r>
      <w:r>
        <w:rPr>
          <w:color w:val="231F20"/>
          <w:spacing w:val="-3"/>
          <w:sz w:val="20"/>
        </w:rPr>
        <w:t xml:space="preserve">advocate for appropriate </w:t>
      </w:r>
      <w:r>
        <w:rPr>
          <w:color w:val="231F20"/>
          <w:sz w:val="20"/>
        </w:rPr>
        <w:t xml:space="preserve">interventions, including applying </w:t>
      </w:r>
      <w:r>
        <w:rPr>
          <w:color w:val="231F20"/>
          <w:spacing w:val="-3"/>
          <w:sz w:val="20"/>
        </w:rPr>
        <w:t>for</w:t>
      </w:r>
      <w:r>
        <w:rPr>
          <w:color w:val="231F20"/>
          <w:spacing w:val="-28"/>
          <w:sz w:val="20"/>
        </w:rPr>
        <w:t xml:space="preserve"> </w:t>
      </w:r>
      <w:r>
        <w:rPr>
          <w:color w:val="231F20"/>
          <w:sz w:val="20"/>
        </w:rPr>
        <w:t>PSIOs.</w:t>
      </w:r>
      <w:r>
        <w:rPr>
          <w:color w:val="231F20"/>
          <w:position w:val="7"/>
          <w:sz w:val="11"/>
        </w:rPr>
        <w:t>186</w:t>
      </w:r>
    </w:p>
    <w:p w14:paraId="59CF7944" w14:textId="77777777" w:rsidR="00894070" w:rsidRDefault="009B7AFD">
      <w:pPr>
        <w:pStyle w:val="ListParagraph"/>
        <w:numPr>
          <w:ilvl w:val="1"/>
          <w:numId w:val="102"/>
        </w:numPr>
        <w:tabs>
          <w:tab w:val="left" w:pos="1801"/>
          <w:tab w:val="left" w:pos="1802"/>
        </w:tabs>
        <w:spacing w:before="80" w:line="206" w:lineRule="auto"/>
        <w:ind w:right="1367"/>
        <w:rPr>
          <w:sz w:val="11"/>
        </w:rPr>
      </w:pPr>
      <w:r>
        <w:rPr>
          <w:color w:val="231F20"/>
          <w:spacing w:val="-6"/>
          <w:sz w:val="20"/>
        </w:rPr>
        <w:t xml:space="preserve">We </w:t>
      </w:r>
      <w:r>
        <w:rPr>
          <w:color w:val="231F20"/>
          <w:spacing w:val="-3"/>
          <w:sz w:val="20"/>
        </w:rPr>
        <w:t xml:space="preserve">note </w:t>
      </w:r>
      <w:r>
        <w:rPr>
          <w:color w:val="231F20"/>
          <w:sz w:val="20"/>
        </w:rPr>
        <w:t xml:space="preserve">that the scope of the </w:t>
      </w:r>
      <w:r>
        <w:rPr>
          <w:color w:val="231F20"/>
          <w:spacing w:val="-3"/>
          <w:sz w:val="20"/>
        </w:rPr>
        <w:t xml:space="preserve">victims’ </w:t>
      </w:r>
      <w:r>
        <w:rPr>
          <w:color w:val="231F20"/>
          <w:sz w:val="20"/>
        </w:rPr>
        <w:t xml:space="preserve">legal service announced </w:t>
      </w:r>
      <w:r>
        <w:rPr>
          <w:color w:val="231F20"/>
          <w:spacing w:val="-3"/>
          <w:sz w:val="20"/>
        </w:rPr>
        <w:t xml:space="preserve">by </w:t>
      </w:r>
      <w:r>
        <w:rPr>
          <w:color w:val="231F20"/>
          <w:sz w:val="20"/>
        </w:rPr>
        <w:t xml:space="preserve">the Victorian </w:t>
      </w:r>
      <w:r>
        <w:rPr>
          <w:color w:val="231F20"/>
          <w:spacing w:val="-3"/>
          <w:sz w:val="20"/>
        </w:rPr>
        <w:t>Government</w:t>
      </w:r>
      <w:r>
        <w:rPr>
          <w:color w:val="231F20"/>
          <w:spacing w:val="-9"/>
          <w:sz w:val="20"/>
        </w:rPr>
        <w:t xml:space="preserve"> </w:t>
      </w:r>
      <w:r>
        <w:rPr>
          <w:color w:val="231F20"/>
          <w:sz w:val="20"/>
        </w:rPr>
        <w:t>is</w:t>
      </w:r>
      <w:r>
        <w:rPr>
          <w:color w:val="231F20"/>
          <w:spacing w:val="-8"/>
          <w:sz w:val="20"/>
        </w:rPr>
        <w:t xml:space="preserve"> </w:t>
      </w:r>
      <w:r>
        <w:rPr>
          <w:color w:val="231F20"/>
          <w:sz w:val="20"/>
        </w:rPr>
        <w:t>limited</w:t>
      </w:r>
      <w:r>
        <w:rPr>
          <w:color w:val="231F20"/>
          <w:spacing w:val="-9"/>
          <w:sz w:val="20"/>
        </w:rPr>
        <w:t xml:space="preserve"> </w:t>
      </w:r>
      <w:r>
        <w:rPr>
          <w:color w:val="231F20"/>
          <w:sz w:val="20"/>
        </w:rPr>
        <w:t>to</w:t>
      </w:r>
      <w:r>
        <w:rPr>
          <w:color w:val="231F20"/>
          <w:spacing w:val="-8"/>
          <w:sz w:val="20"/>
        </w:rPr>
        <w:t xml:space="preserve"> </w:t>
      </w:r>
      <w:r>
        <w:rPr>
          <w:color w:val="231F20"/>
          <w:spacing w:val="-3"/>
          <w:sz w:val="20"/>
        </w:rPr>
        <w:t>providing</w:t>
      </w:r>
      <w:r>
        <w:rPr>
          <w:color w:val="231F20"/>
          <w:spacing w:val="-9"/>
          <w:sz w:val="20"/>
        </w:rPr>
        <w:t xml:space="preserve"> </w:t>
      </w:r>
      <w:r>
        <w:rPr>
          <w:color w:val="231F20"/>
          <w:sz w:val="20"/>
        </w:rPr>
        <w:t>legal</w:t>
      </w:r>
      <w:r>
        <w:rPr>
          <w:color w:val="231F20"/>
          <w:spacing w:val="-8"/>
          <w:sz w:val="20"/>
        </w:rPr>
        <w:t xml:space="preserve"> </w:t>
      </w:r>
      <w:r>
        <w:rPr>
          <w:color w:val="231F20"/>
          <w:sz w:val="20"/>
        </w:rPr>
        <w:t>advice</w:t>
      </w:r>
      <w:r>
        <w:rPr>
          <w:color w:val="231F20"/>
          <w:spacing w:val="-9"/>
          <w:sz w:val="20"/>
        </w:rPr>
        <w:t xml:space="preserve"> </w:t>
      </w:r>
      <w:r>
        <w:rPr>
          <w:color w:val="231F20"/>
          <w:sz w:val="20"/>
        </w:rPr>
        <w:t>and</w:t>
      </w:r>
      <w:r>
        <w:rPr>
          <w:color w:val="231F20"/>
          <w:spacing w:val="-8"/>
          <w:sz w:val="20"/>
        </w:rPr>
        <w:t xml:space="preserve"> </w:t>
      </w:r>
      <w:r>
        <w:rPr>
          <w:color w:val="231F20"/>
          <w:sz w:val="20"/>
        </w:rPr>
        <w:t>assistance</w:t>
      </w:r>
      <w:r>
        <w:rPr>
          <w:color w:val="231F20"/>
          <w:spacing w:val="-9"/>
          <w:sz w:val="20"/>
        </w:rPr>
        <w:t xml:space="preserve"> </w:t>
      </w:r>
      <w:r>
        <w:rPr>
          <w:color w:val="231F20"/>
          <w:sz w:val="20"/>
        </w:rPr>
        <w:t>to</w:t>
      </w:r>
      <w:r>
        <w:rPr>
          <w:color w:val="231F20"/>
          <w:spacing w:val="-8"/>
          <w:sz w:val="20"/>
        </w:rPr>
        <w:t xml:space="preserve"> </w:t>
      </w:r>
      <w:r>
        <w:rPr>
          <w:color w:val="231F20"/>
          <w:sz w:val="20"/>
        </w:rPr>
        <w:t>victims</w:t>
      </w:r>
      <w:r>
        <w:rPr>
          <w:color w:val="231F20"/>
          <w:spacing w:val="-9"/>
          <w:sz w:val="20"/>
        </w:rPr>
        <w:t xml:space="preserve"> </w:t>
      </w:r>
      <w:r>
        <w:rPr>
          <w:color w:val="231F20"/>
          <w:sz w:val="20"/>
        </w:rPr>
        <w:t>applying</w:t>
      </w:r>
      <w:r>
        <w:rPr>
          <w:color w:val="231F20"/>
          <w:spacing w:val="-8"/>
          <w:sz w:val="20"/>
        </w:rPr>
        <w:t xml:space="preserve"> </w:t>
      </w:r>
      <w:r>
        <w:rPr>
          <w:color w:val="231F20"/>
          <w:spacing w:val="-3"/>
          <w:sz w:val="20"/>
        </w:rPr>
        <w:t xml:space="preserve">for </w:t>
      </w:r>
      <w:r>
        <w:rPr>
          <w:color w:val="231F20"/>
          <w:sz w:val="20"/>
        </w:rPr>
        <w:t xml:space="preserve">financial assistance and </w:t>
      </w:r>
      <w:r>
        <w:rPr>
          <w:color w:val="231F20"/>
          <w:spacing w:val="-3"/>
          <w:sz w:val="20"/>
        </w:rPr>
        <w:t xml:space="preserve">restitution </w:t>
      </w:r>
      <w:r>
        <w:rPr>
          <w:color w:val="231F20"/>
          <w:sz w:val="20"/>
        </w:rPr>
        <w:t>and compensation</w:t>
      </w:r>
      <w:r>
        <w:rPr>
          <w:color w:val="231F20"/>
          <w:spacing w:val="-26"/>
          <w:sz w:val="20"/>
        </w:rPr>
        <w:t xml:space="preserve"> </w:t>
      </w:r>
      <w:r>
        <w:rPr>
          <w:color w:val="231F20"/>
          <w:sz w:val="20"/>
        </w:rPr>
        <w:t>orders.</w:t>
      </w:r>
      <w:r>
        <w:rPr>
          <w:color w:val="231F20"/>
          <w:position w:val="7"/>
          <w:sz w:val="11"/>
        </w:rPr>
        <w:t>187</w:t>
      </w:r>
    </w:p>
    <w:p w14:paraId="076C1580" w14:textId="77777777" w:rsidR="00894070" w:rsidRDefault="009B7AFD">
      <w:pPr>
        <w:pStyle w:val="ListParagraph"/>
        <w:numPr>
          <w:ilvl w:val="1"/>
          <w:numId w:val="102"/>
        </w:numPr>
        <w:tabs>
          <w:tab w:val="left" w:pos="1801"/>
          <w:tab w:val="left" w:pos="1802"/>
        </w:tabs>
        <w:spacing w:before="91"/>
        <w:rPr>
          <w:sz w:val="20"/>
        </w:rPr>
      </w:pPr>
      <w:r>
        <w:rPr>
          <w:color w:val="231F20"/>
          <w:sz w:val="20"/>
        </w:rPr>
        <w:t xml:space="preserve">Legal </w:t>
      </w:r>
      <w:r>
        <w:rPr>
          <w:color w:val="231F20"/>
          <w:spacing w:val="-3"/>
          <w:sz w:val="20"/>
        </w:rPr>
        <w:t xml:space="preserve">representation for children </w:t>
      </w:r>
      <w:r>
        <w:rPr>
          <w:color w:val="231F20"/>
          <w:sz w:val="20"/>
        </w:rPr>
        <w:t>is discussed</w:t>
      </w:r>
      <w:r>
        <w:rPr>
          <w:color w:val="231F20"/>
          <w:spacing w:val="-16"/>
          <w:sz w:val="20"/>
        </w:rPr>
        <w:t xml:space="preserve"> </w:t>
      </w:r>
      <w:r>
        <w:rPr>
          <w:color w:val="231F20"/>
          <w:spacing w:val="-5"/>
          <w:sz w:val="20"/>
        </w:rPr>
        <w:t>below.</w:t>
      </w:r>
    </w:p>
    <w:p w14:paraId="58818346" w14:textId="77777777" w:rsidR="00894070" w:rsidRDefault="009B7AFD">
      <w:pPr>
        <w:pStyle w:val="ListParagraph"/>
        <w:numPr>
          <w:ilvl w:val="1"/>
          <w:numId w:val="102"/>
        </w:numPr>
        <w:tabs>
          <w:tab w:val="left" w:pos="1801"/>
          <w:tab w:val="left" w:pos="1802"/>
        </w:tabs>
        <w:spacing w:before="115" w:line="206" w:lineRule="auto"/>
        <w:ind w:right="1461"/>
        <w:rPr>
          <w:sz w:val="20"/>
        </w:rPr>
      </w:pPr>
      <w:r>
        <w:rPr>
          <w:color w:val="231F20"/>
          <w:spacing w:val="-6"/>
          <w:sz w:val="20"/>
        </w:rPr>
        <w:t xml:space="preserve">We </w:t>
      </w:r>
      <w:r>
        <w:rPr>
          <w:color w:val="231F20"/>
          <w:sz w:val="20"/>
        </w:rPr>
        <w:t xml:space="preserve">agree that legal support and </w:t>
      </w:r>
      <w:r>
        <w:rPr>
          <w:color w:val="231F20"/>
          <w:spacing w:val="-3"/>
          <w:sz w:val="20"/>
        </w:rPr>
        <w:t xml:space="preserve">representation </w:t>
      </w:r>
      <w:r>
        <w:rPr>
          <w:color w:val="231F20"/>
          <w:sz w:val="20"/>
        </w:rPr>
        <w:t xml:space="preserve">needs to be strengthened </w:t>
      </w:r>
      <w:r>
        <w:rPr>
          <w:color w:val="231F20"/>
          <w:spacing w:val="-3"/>
          <w:sz w:val="20"/>
        </w:rPr>
        <w:t xml:space="preserve">for </w:t>
      </w:r>
      <w:r>
        <w:rPr>
          <w:color w:val="231F20"/>
          <w:sz w:val="20"/>
        </w:rPr>
        <w:t xml:space="preserve">both applicants and respondents to PSIOs in matters that </w:t>
      </w:r>
      <w:r>
        <w:rPr>
          <w:color w:val="231F20"/>
          <w:spacing w:val="-5"/>
          <w:sz w:val="20"/>
        </w:rPr>
        <w:t xml:space="preserve">involve </w:t>
      </w:r>
      <w:r>
        <w:rPr>
          <w:color w:val="231F20"/>
          <w:sz w:val="20"/>
        </w:rPr>
        <w:t>non-family violence stalking.</w:t>
      </w:r>
      <w:r>
        <w:rPr>
          <w:color w:val="231F20"/>
          <w:spacing w:val="-14"/>
          <w:sz w:val="20"/>
        </w:rPr>
        <w:t xml:space="preserve"> </w:t>
      </w:r>
      <w:r>
        <w:rPr>
          <w:color w:val="231F20"/>
          <w:sz w:val="20"/>
        </w:rPr>
        <w:t>This</w:t>
      </w:r>
      <w:r>
        <w:rPr>
          <w:color w:val="231F20"/>
          <w:spacing w:val="-13"/>
          <w:sz w:val="20"/>
        </w:rPr>
        <w:t xml:space="preserve"> </w:t>
      </w:r>
      <w:r>
        <w:rPr>
          <w:color w:val="231F20"/>
          <w:spacing w:val="-3"/>
          <w:sz w:val="20"/>
        </w:rPr>
        <w:t>would</w:t>
      </w:r>
      <w:r>
        <w:rPr>
          <w:color w:val="231F20"/>
          <w:spacing w:val="-13"/>
          <w:sz w:val="20"/>
        </w:rPr>
        <w:t xml:space="preserve"> </w:t>
      </w:r>
      <w:r>
        <w:rPr>
          <w:color w:val="231F20"/>
          <w:sz w:val="20"/>
        </w:rPr>
        <w:t>lead</w:t>
      </w:r>
      <w:r>
        <w:rPr>
          <w:color w:val="231F20"/>
          <w:spacing w:val="-13"/>
          <w:sz w:val="20"/>
        </w:rPr>
        <w:t xml:space="preserve"> </w:t>
      </w:r>
      <w:r>
        <w:rPr>
          <w:color w:val="231F20"/>
          <w:sz w:val="20"/>
        </w:rPr>
        <w:t>to</w:t>
      </w:r>
      <w:r>
        <w:rPr>
          <w:color w:val="231F20"/>
          <w:spacing w:val="-13"/>
          <w:sz w:val="20"/>
        </w:rPr>
        <w:t xml:space="preserve"> </w:t>
      </w:r>
      <w:r>
        <w:rPr>
          <w:color w:val="231F20"/>
          <w:sz w:val="20"/>
        </w:rPr>
        <w:t>smoother</w:t>
      </w:r>
      <w:r>
        <w:rPr>
          <w:color w:val="231F20"/>
          <w:spacing w:val="-13"/>
          <w:sz w:val="20"/>
        </w:rPr>
        <w:t xml:space="preserve"> </w:t>
      </w:r>
      <w:r>
        <w:rPr>
          <w:color w:val="231F20"/>
          <w:sz w:val="20"/>
        </w:rPr>
        <w:t>proceedings,</w:t>
      </w:r>
      <w:r>
        <w:rPr>
          <w:color w:val="231F20"/>
          <w:spacing w:val="-13"/>
          <w:sz w:val="20"/>
        </w:rPr>
        <w:t xml:space="preserve"> </w:t>
      </w:r>
      <w:r>
        <w:rPr>
          <w:color w:val="231F20"/>
          <w:sz w:val="20"/>
        </w:rPr>
        <w:t>reduced</w:t>
      </w:r>
      <w:r>
        <w:rPr>
          <w:color w:val="231F20"/>
          <w:spacing w:val="-13"/>
          <w:sz w:val="20"/>
        </w:rPr>
        <w:t xml:space="preserve"> </w:t>
      </w:r>
      <w:r>
        <w:rPr>
          <w:color w:val="231F20"/>
          <w:sz w:val="20"/>
        </w:rPr>
        <w:t>delays,</w:t>
      </w:r>
      <w:r>
        <w:rPr>
          <w:color w:val="231F20"/>
          <w:spacing w:val="-13"/>
          <w:sz w:val="20"/>
        </w:rPr>
        <w:t xml:space="preserve"> </w:t>
      </w:r>
      <w:r>
        <w:rPr>
          <w:color w:val="231F20"/>
          <w:sz w:val="20"/>
        </w:rPr>
        <w:t>better</w:t>
      </w:r>
      <w:r>
        <w:rPr>
          <w:color w:val="231F20"/>
          <w:spacing w:val="-13"/>
          <w:sz w:val="20"/>
        </w:rPr>
        <w:t xml:space="preserve"> </w:t>
      </w:r>
      <w:proofErr w:type="gramStart"/>
      <w:r>
        <w:rPr>
          <w:color w:val="231F20"/>
          <w:sz w:val="20"/>
        </w:rPr>
        <w:t>evidence</w:t>
      </w:r>
      <w:proofErr w:type="gramEnd"/>
      <w:r>
        <w:rPr>
          <w:color w:val="231F20"/>
          <w:sz w:val="20"/>
        </w:rPr>
        <w:t xml:space="preserve"> and a higher </w:t>
      </w:r>
      <w:r>
        <w:rPr>
          <w:color w:val="231F20"/>
          <w:spacing w:val="-3"/>
          <w:sz w:val="20"/>
        </w:rPr>
        <w:t xml:space="preserve">rate </w:t>
      </w:r>
      <w:r>
        <w:rPr>
          <w:color w:val="231F20"/>
          <w:sz w:val="20"/>
        </w:rPr>
        <w:t xml:space="preserve">of resolution. It </w:t>
      </w:r>
      <w:r>
        <w:rPr>
          <w:color w:val="231F20"/>
          <w:spacing w:val="-3"/>
          <w:sz w:val="20"/>
        </w:rPr>
        <w:t xml:space="preserve">would probably represent </w:t>
      </w:r>
      <w:r>
        <w:rPr>
          <w:color w:val="231F20"/>
          <w:sz w:val="20"/>
        </w:rPr>
        <w:t xml:space="preserve">an </w:t>
      </w:r>
      <w:r>
        <w:rPr>
          <w:color w:val="231F20"/>
          <w:spacing w:val="-3"/>
          <w:sz w:val="20"/>
        </w:rPr>
        <w:t xml:space="preserve">overall </w:t>
      </w:r>
      <w:r>
        <w:rPr>
          <w:color w:val="231F20"/>
          <w:sz w:val="20"/>
        </w:rPr>
        <w:t>saving to the justice</w:t>
      </w:r>
      <w:r>
        <w:rPr>
          <w:color w:val="231F20"/>
          <w:spacing w:val="-5"/>
          <w:sz w:val="20"/>
        </w:rPr>
        <w:t xml:space="preserve"> </w:t>
      </w:r>
      <w:r>
        <w:rPr>
          <w:color w:val="231F20"/>
          <w:sz w:val="20"/>
        </w:rPr>
        <w:t>system.</w:t>
      </w:r>
    </w:p>
    <w:p w14:paraId="7B9601F9" w14:textId="77777777" w:rsidR="00894070" w:rsidRDefault="009B7AFD">
      <w:pPr>
        <w:pStyle w:val="ListParagraph"/>
        <w:numPr>
          <w:ilvl w:val="1"/>
          <w:numId w:val="102"/>
        </w:numPr>
        <w:tabs>
          <w:tab w:val="left" w:pos="1801"/>
          <w:tab w:val="left" w:pos="1802"/>
        </w:tabs>
        <w:spacing w:before="127" w:line="206" w:lineRule="auto"/>
        <w:ind w:right="1400"/>
        <w:rPr>
          <w:sz w:val="20"/>
        </w:rPr>
      </w:pPr>
      <w:r>
        <w:rPr>
          <w:color w:val="231F20"/>
          <w:sz w:val="20"/>
        </w:rPr>
        <w:t>The</w:t>
      </w:r>
      <w:r>
        <w:rPr>
          <w:color w:val="231F20"/>
          <w:spacing w:val="-14"/>
          <w:sz w:val="20"/>
        </w:rPr>
        <w:t xml:space="preserve"> </w:t>
      </w:r>
      <w:r>
        <w:rPr>
          <w:color w:val="231F20"/>
          <w:sz w:val="20"/>
        </w:rPr>
        <w:t>services</w:t>
      </w:r>
      <w:r>
        <w:rPr>
          <w:color w:val="231F20"/>
          <w:spacing w:val="-14"/>
          <w:sz w:val="20"/>
        </w:rPr>
        <w:t xml:space="preserve"> </w:t>
      </w:r>
      <w:r>
        <w:rPr>
          <w:color w:val="231F20"/>
          <w:sz w:val="20"/>
        </w:rPr>
        <w:t>identified</w:t>
      </w:r>
      <w:r>
        <w:rPr>
          <w:color w:val="231F20"/>
          <w:spacing w:val="-13"/>
          <w:sz w:val="20"/>
        </w:rPr>
        <w:t xml:space="preserve"> </w:t>
      </w:r>
      <w:r>
        <w:rPr>
          <w:color w:val="231F20"/>
          <w:sz w:val="20"/>
        </w:rPr>
        <w:t>in</w:t>
      </w:r>
      <w:r>
        <w:rPr>
          <w:color w:val="231F20"/>
          <w:spacing w:val="-14"/>
          <w:sz w:val="20"/>
        </w:rPr>
        <w:t xml:space="preserve"> </w:t>
      </w:r>
      <w:r>
        <w:rPr>
          <w:color w:val="231F20"/>
          <w:sz w:val="20"/>
        </w:rPr>
        <w:t>this</w:t>
      </w:r>
      <w:r>
        <w:rPr>
          <w:color w:val="231F20"/>
          <w:spacing w:val="-14"/>
          <w:sz w:val="20"/>
        </w:rPr>
        <w:t xml:space="preserve"> </w:t>
      </w:r>
      <w:r>
        <w:rPr>
          <w:color w:val="231F20"/>
          <w:sz w:val="20"/>
        </w:rPr>
        <w:t>inquiry—mainly</w:t>
      </w:r>
      <w:r>
        <w:rPr>
          <w:color w:val="231F20"/>
          <w:spacing w:val="-13"/>
          <w:sz w:val="20"/>
        </w:rPr>
        <w:t xml:space="preserve"> </w:t>
      </w:r>
      <w:r>
        <w:rPr>
          <w:color w:val="231F20"/>
          <w:sz w:val="20"/>
        </w:rPr>
        <w:t>community</w:t>
      </w:r>
      <w:r>
        <w:rPr>
          <w:color w:val="231F20"/>
          <w:spacing w:val="-14"/>
          <w:sz w:val="20"/>
        </w:rPr>
        <w:t xml:space="preserve"> </w:t>
      </w:r>
      <w:r>
        <w:rPr>
          <w:color w:val="231F20"/>
          <w:sz w:val="20"/>
        </w:rPr>
        <w:t>organisations,</w:t>
      </w:r>
      <w:r>
        <w:rPr>
          <w:color w:val="231F20"/>
          <w:spacing w:val="-14"/>
          <w:sz w:val="20"/>
        </w:rPr>
        <w:t xml:space="preserve"> </w:t>
      </w:r>
      <w:r>
        <w:rPr>
          <w:color w:val="231F20"/>
          <w:sz w:val="20"/>
        </w:rPr>
        <w:t>legal</w:t>
      </w:r>
      <w:r>
        <w:rPr>
          <w:color w:val="231F20"/>
          <w:spacing w:val="-13"/>
          <w:sz w:val="20"/>
        </w:rPr>
        <w:t xml:space="preserve"> </w:t>
      </w:r>
      <w:proofErr w:type="gramStart"/>
      <w:r>
        <w:rPr>
          <w:color w:val="231F20"/>
          <w:spacing w:val="-3"/>
          <w:sz w:val="20"/>
        </w:rPr>
        <w:t>centres</w:t>
      </w:r>
      <w:proofErr w:type="gramEnd"/>
      <w:r>
        <w:rPr>
          <w:color w:val="231F20"/>
          <w:spacing w:val="-3"/>
          <w:sz w:val="20"/>
        </w:rPr>
        <w:t xml:space="preserve"> </w:t>
      </w:r>
      <w:r>
        <w:rPr>
          <w:color w:val="231F20"/>
          <w:sz w:val="20"/>
        </w:rPr>
        <w:t xml:space="preserve">and Victoria Legal Aid—must be </w:t>
      </w:r>
      <w:r>
        <w:rPr>
          <w:color w:val="231F20"/>
          <w:spacing w:val="-3"/>
          <w:sz w:val="20"/>
        </w:rPr>
        <w:t xml:space="preserve">adequately </w:t>
      </w:r>
      <w:r>
        <w:rPr>
          <w:color w:val="231F20"/>
          <w:sz w:val="20"/>
        </w:rPr>
        <w:t xml:space="preserve">funded to deliver </w:t>
      </w:r>
      <w:r>
        <w:rPr>
          <w:color w:val="231F20"/>
          <w:spacing w:val="-3"/>
          <w:sz w:val="20"/>
        </w:rPr>
        <w:t xml:space="preserve">comprehensive </w:t>
      </w:r>
      <w:r>
        <w:rPr>
          <w:color w:val="231F20"/>
          <w:sz w:val="20"/>
        </w:rPr>
        <w:t>legal support and</w:t>
      </w:r>
      <w:r>
        <w:rPr>
          <w:color w:val="231F20"/>
          <w:spacing w:val="-9"/>
          <w:sz w:val="20"/>
        </w:rPr>
        <w:t xml:space="preserve"> </w:t>
      </w:r>
      <w:r>
        <w:rPr>
          <w:color w:val="231F20"/>
          <w:sz w:val="20"/>
        </w:rPr>
        <w:t>representation.</w:t>
      </w:r>
    </w:p>
    <w:p w14:paraId="44D69CBA" w14:textId="77777777" w:rsidR="00894070" w:rsidRDefault="009B7AFD">
      <w:pPr>
        <w:pStyle w:val="ListParagraph"/>
        <w:numPr>
          <w:ilvl w:val="1"/>
          <w:numId w:val="102"/>
        </w:numPr>
        <w:tabs>
          <w:tab w:val="left" w:pos="1801"/>
          <w:tab w:val="left" w:pos="1802"/>
        </w:tabs>
        <w:spacing w:before="91"/>
        <w:rPr>
          <w:sz w:val="20"/>
        </w:rPr>
      </w:pPr>
      <w:r>
        <w:rPr>
          <w:color w:val="231F20"/>
          <w:sz w:val="20"/>
        </w:rPr>
        <w:t xml:space="preserve">Comprehensive legal advice and </w:t>
      </w:r>
      <w:r>
        <w:rPr>
          <w:color w:val="231F20"/>
          <w:spacing w:val="-3"/>
          <w:sz w:val="20"/>
        </w:rPr>
        <w:t>representation would likely</w:t>
      </w:r>
      <w:r>
        <w:rPr>
          <w:color w:val="231F20"/>
          <w:spacing w:val="-25"/>
          <w:sz w:val="20"/>
        </w:rPr>
        <w:t xml:space="preserve"> </w:t>
      </w:r>
      <w:r>
        <w:rPr>
          <w:color w:val="231F20"/>
          <w:spacing w:val="-3"/>
          <w:sz w:val="20"/>
        </w:rPr>
        <w:t>include:</w:t>
      </w:r>
    </w:p>
    <w:p w14:paraId="78475B5E" w14:textId="77777777" w:rsidR="00894070" w:rsidRDefault="009B7AFD">
      <w:pPr>
        <w:pStyle w:val="ListParagraph"/>
        <w:numPr>
          <w:ilvl w:val="2"/>
          <w:numId w:val="102"/>
        </w:numPr>
        <w:tabs>
          <w:tab w:val="left" w:pos="2141"/>
          <w:tab w:val="left" w:pos="2142"/>
        </w:tabs>
        <w:spacing w:before="82"/>
        <w:ind w:hanging="340"/>
        <w:rPr>
          <w:sz w:val="20"/>
        </w:rPr>
      </w:pPr>
      <w:r>
        <w:rPr>
          <w:color w:val="231F20"/>
          <w:sz w:val="20"/>
        </w:rPr>
        <w:t>advice on legal options and prospects of</w:t>
      </w:r>
      <w:r>
        <w:rPr>
          <w:color w:val="231F20"/>
          <w:spacing w:val="-33"/>
          <w:sz w:val="20"/>
        </w:rPr>
        <w:t xml:space="preserve"> </w:t>
      </w:r>
      <w:r>
        <w:rPr>
          <w:color w:val="231F20"/>
          <w:sz w:val="20"/>
        </w:rPr>
        <w:t>success</w:t>
      </w:r>
    </w:p>
    <w:p w14:paraId="64891025"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 xml:space="preserve">referrals to mediation </w:t>
      </w:r>
      <w:r>
        <w:rPr>
          <w:color w:val="231F20"/>
          <w:spacing w:val="-3"/>
          <w:sz w:val="20"/>
        </w:rPr>
        <w:t>(where</w:t>
      </w:r>
      <w:r>
        <w:rPr>
          <w:color w:val="231F20"/>
          <w:spacing w:val="-17"/>
          <w:sz w:val="20"/>
        </w:rPr>
        <w:t xml:space="preserve"> </w:t>
      </w:r>
      <w:r>
        <w:rPr>
          <w:color w:val="231F20"/>
          <w:spacing w:val="-3"/>
          <w:sz w:val="20"/>
        </w:rPr>
        <w:t>appropriate)</w:t>
      </w:r>
    </w:p>
    <w:p w14:paraId="793D43F7" w14:textId="77777777" w:rsidR="00894070" w:rsidRDefault="009B7AFD">
      <w:pPr>
        <w:pStyle w:val="ListParagraph"/>
        <w:numPr>
          <w:ilvl w:val="2"/>
          <w:numId w:val="102"/>
        </w:numPr>
        <w:tabs>
          <w:tab w:val="left" w:pos="2141"/>
          <w:tab w:val="left" w:pos="2142"/>
        </w:tabs>
        <w:spacing w:before="47"/>
        <w:ind w:hanging="340"/>
        <w:rPr>
          <w:sz w:val="20"/>
        </w:rPr>
      </w:pPr>
      <w:r>
        <w:rPr>
          <w:color w:val="231F20"/>
          <w:sz w:val="20"/>
        </w:rPr>
        <w:t>assistance with</w:t>
      </w:r>
      <w:r>
        <w:rPr>
          <w:color w:val="231F20"/>
          <w:spacing w:val="-9"/>
          <w:sz w:val="20"/>
        </w:rPr>
        <w:t xml:space="preserve"> </w:t>
      </w:r>
      <w:r>
        <w:rPr>
          <w:color w:val="231F20"/>
          <w:sz w:val="20"/>
        </w:rPr>
        <w:t>applications</w:t>
      </w:r>
    </w:p>
    <w:p w14:paraId="3E65437B"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lawyers</w:t>
      </w:r>
      <w:r>
        <w:rPr>
          <w:color w:val="231F20"/>
          <w:spacing w:val="-5"/>
          <w:sz w:val="20"/>
        </w:rPr>
        <w:t xml:space="preserve"> </w:t>
      </w:r>
      <w:r>
        <w:rPr>
          <w:color w:val="231F20"/>
          <w:sz w:val="20"/>
        </w:rPr>
        <w:t>to</w:t>
      </w:r>
      <w:r>
        <w:rPr>
          <w:color w:val="231F20"/>
          <w:spacing w:val="-4"/>
          <w:sz w:val="20"/>
        </w:rPr>
        <w:t xml:space="preserve"> </w:t>
      </w:r>
      <w:r>
        <w:rPr>
          <w:color w:val="231F20"/>
          <w:spacing w:val="-3"/>
          <w:sz w:val="20"/>
        </w:rPr>
        <w:t>represent</w:t>
      </w:r>
      <w:r>
        <w:rPr>
          <w:color w:val="231F20"/>
          <w:spacing w:val="-5"/>
          <w:sz w:val="20"/>
        </w:rPr>
        <w:t xml:space="preserve"> </w:t>
      </w:r>
      <w:r>
        <w:rPr>
          <w:color w:val="231F20"/>
          <w:sz w:val="20"/>
        </w:rPr>
        <w:t>people</w:t>
      </w:r>
      <w:r>
        <w:rPr>
          <w:color w:val="231F20"/>
          <w:spacing w:val="-4"/>
          <w:sz w:val="20"/>
        </w:rPr>
        <w:t xml:space="preserve"> </w:t>
      </w:r>
      <w:r>
        <w:rPr>
          <w:color w:val="231F20"/>
          <w:sz w:val="20"/>
        </w:rPr>
        <w:t>in</w:t>
      </w:r>
      <w:r>
        <w:rPr>
          <w:color w:val="231F20"/>
          <w:spacing w:val="-5"/>
          <w:sz w:val="20"/>
        </w:rPr>
        <w:t xml:space="preserve"> </w:t>
      </w:r>
      <w:r>
        <w:rPr>
          <w:color w:val="231F20"/>
          <w:sz w:val="20"/>
        </w:rPr>
        <w:t>PSIO</w:t>
      </w:r>
      <w:r>
        <w:rPr>
          <w:color w:val="231F20"/>
          <w:spacing w:val="-4"/>
          <w:sz w:val="20"/>
        </w:rPr>
        <w:t xml:space="preserve"> </w:t>
      </w:r>
      <w:r>
        <w:rPr>
          <w:color w:val="231F20"/>
          <w:sz w:val="20"/>
        </w:rPr>
        <w:t>matters</w:t>
      </w:r>
      <w:r>
        <w:rPr>
          <w:color w:val="231F20"/>
          <w:spacing w:val="-5"/>
          <w:sz w:val="20"/>
        </w:rPr>
        <w:t xml:space="preserve"> </w:t>
      </w:r>
      <w:r>
        <w:rPr>
          <w:color w:val="231F20"/>
          <w:spacing w:val="-3"/>
          <w:sz w:val="20"/>
        </w:rPr>
        <w:t>(or</w:t>
      </w:r>
      <w:r>
        <w:rPr>
          <w:color w:val="231F20"/>
          <w:spacing w:val="-4"/>
          <w:sz w:val="20"/>
        </w:rPr>
        <w:t xml:space="preserve"> </w:t>
      </w:r>
      <w:r>
        <w:rPr>
          <w:color w:val="231F20"/>
          <w:sz w:val="20"/>
        </w:rPr>
        <w:t>support</w:t>
      </w:r>
      <w:r>
        <w:rPr>
          <w:color w:val="231F20"/>
          <w:spacing w:val="-5"/>
          <w:sz w:val="20"/>
        </w:rPr>
        <w:t xml:space="preserve"> </w:t>
      </w:r>
      <w:r>
        <w:rPr>
          <w:color w:val="231F20"/>
          <w:sz w:val="20"/>
        </w:rPr>
        <w:t>to</w:t>
      </w:r>
      <w:r>
        <w:rPr>
          <w:color w:val="231F20"/>
          <w:spacing w:val="-4"/>
          <w:sz w:val="20"/>
        </w:rPr>
        <w:t xml:space="preserve"> </w:t>
      </w:r>
      <w:r>
        <w:rPr>
          <w:color w:val="231F20"/>
          <w:spacing w:val="-3"/>
          <w:sz w:val="20"/>
        </w:rPr>
        <w:t>self-represent)</w:t>
      </w:r>
    </w:p>
    <w:p w14:paraId="4DDA9D20" w14:textId="77777777" w:rsidR="00894070" w:rsidRDefault="009B7AFD">
      <w:pPr>
        <w:pStyle w:val="ListParagraph"/>
        <w:numPr>
          <w:ilvl w:val="2"/>
          <w:numId w:val="102"/>
        </w:numPr>
        <w:tabs>
          <w:tab w:val="left" w:pos="2141"/>
          <w:tab w:val="left" w:pos="2142"/>
        </w:tabs>
        <w:spacing w:before="47"/>
        <w:ind w:hanging="340"/>
        <w:rPr>
          <w:sz w:val="20"/>
        </w:rPr>
      </w:pPr>
      <w:r>
        <w:rPr>
          <w:color w:val="231F20"/>
          <w:sz w:val="20"/>
        </w:rPr>
        <w:t xml:space="preserve">advice on </w:t>
      </w:r>
      <w:r>
        <w:rPr>
          <w:color w:val="231F20"/>
          <w:spacing w:val="-3"/>
          <w:sz w:val="20"/>
        </w:rPr>
        <w:t xml:space="preserve">protections </w:t>
      </w:r>
      <w:r>
        <w:rPr>
          <w:color w:val="231F20"/>
          <w:sz w:val="20"/>
        </w:rPr>
        <w:t xml:space="preserve">such as </w:t>
      </w:r>
      <w:r>
        <w:rPr>
          <w:color w:val="231F20"/>
          <w:spacing w:val="-3"/>
          <w:sz w:val="20"/>
        </w:rPr>
        <w:t xml:space="preserve">alternative </w:t>
      </w:r>
      <w:r>
        <w:rPr>
          <w:color w:val="231F20"/>
          <w:sz w:val="20"/>
        </w:rPr>
        <w:t xml:space="preserve">arrangements or </w:t>
      </w:r>
      <w:r>
        <w:rPr>
          <w:color w:val="231F20"/>
          <w:spacing w:val="-3"/>
          <w:sz w:val="20"/>
        </w:rPr>
        <w:t xml:space="preserve">protections </w:t>
      </w:r>
      <w:r>
        <w:rPr>
          <w:color w:val="231F20"/>
          <w:sz w:val="20"/>
        </w:rPr>
        <w:t>of</w:t>
      </w:r>
      <w:r>
        <w:rPr>
          <w:color w:val="231F20"/>
          <w:spacing w:val="-34"/>
          <w:sz w:val="20"/>
        </w:rPr>
        <w:t xml:space="preserve"> </w:t>
      </w:r>
      <w:r>
        <w:rPr>
          <w:color w:val="231F20"/>
          <w:spacing w:val="-3"/>
          <w:sz w:val="20"/>
        </w:rPr>
        <w:t>privacy.</w:t>
      </w:r>
    </w:p>
    <w:p w14:paraId="56CAAD7D" w14:textId="77777777" w:rsidR="00894070" w:rsidRDefault="009B7AFD">
      <w:pPr>
        <w:pStyle w:val="ListParagraph"/>
        <w:numPr>
          <w:ilvl w:val="1"/>
          <w:numId w:val="102"/>
        </w:numPr>
        <w:tabs>
          <w:tab w:val="left" w:pos="1801"/>
          <w:tab w:val="left" w:pos="1802"/>
        </w:tabs>
        <w:spacing w:before="80" w:line="206" w:lineRule="auto"/>
        <w:ind w:right="1287"/>
        <w:rPr>
          <w:sz w:val="11"/>
        </w:rPr>
      </w:pPr>
      <w:r>
        <w:rPr>
          <w:color w:val="231F20"/>
          <w:sz w:val="20"/>
        </w:rPr>
        <w:t xml:space="preserve">One person who had experienced stalking supported free legal </w:t>
      </w:r>
      <w:r>
        <w:rPr>
          <w:color w:val="231F20"/>
          <w:spacing w:val="-3"/>
          <w:sz w:val="20"/>
        </w:rPr>
        <w:t xml:space="preserve">representation </w:t>
      </w:r>
      <w:r>
        <w:rPr>
          <w:color w:val="231F20"/>
          <w:sz w:val="20"/>
        </w:rPr>
        <w:t>in some</w:t>
      </w:r>
      <w:r>
        <w:rPr>
          <w:color w:val="231F20"/>
          <w:spacing w:val="-10"/>
          <w:sz w:val="20"/>
        </w:rPr>
        <w:t xml:space="preserve"> </w:t>
      </w:r>
      <w:r>
        <w:rPr>
          <w:color w:val="231F20"/>
          <w:sz w:val="20"/>
        </w:rPr>
        <w:t>PSIO</w:t>
      </w:r>
      <w:r>
        <w:rPr>
          <w:color w:val="231F20"/>
          <w:spacing w:val="-9"/>
          <w:sz w:val="20"/>
        </w:rPr>
        <w:t xml:space="preserve"> </w:t>
      </w:r>
      <w:r>
        <w:rPr>
          <w:color w:val="231F20"/>
          <w:sz w:val="20"/>
        </w:rPr>
        <w:t>matters,</w:t>
      </w:r>
      <w:r>
        <w:rPr>
          <w:color w:val="231F20"/>
          <w:spacing w:val="-9"/>
          <w:sz w:val="20"/>
        </w:rPr>
        <w:t xml:space="preserve"> </w:t>
      </w:r>
      <w:r>
        <w:rPr>
          <w:color w:val="231F20"/>
          <w:sz w:val="20"/>
        </w:rPr>
        <w:t>especially</w:t>
      </w:r>
      <w:r>
        <w:rPr>
          <w:color w:val="231F20"/>
          <w:spacing w:val="-10"/>
          <w:sz w:val="20"/>
        </w:rPr>
        <w:t xml:space="preserve"> </w:t>
      </w:r>
      <w:r>
        <w:rPr>
          <w:color w:val="231F20"/>
          <w:spacing w:val="-3"/>
          <w:sz w:val="20"/>
        </w:rPr>
        <w:t>for</w:t>
      </w:r>
      <w:r>
        <w:rPr>
          <w:color w:val="231F20"/>
          <w:spacing w:val="-9"/>
          <w:sz w:val="20"/>
        </w:rPr>
        <w:t xml:space="preserve"> </w:t>
      </w:r>
      <w:r>
        <w:rPr>
          <w:color w:val="231F20"/>
          <w:spacing w:val="-3"/>
          <w:sz w:val="20"/>
        </w:rPr>
        <w:t>‘new</w:t>
      </w:r>
      <w:r>
        <w:rPr>
          <w:color w:val="231F20"/>
          <w:spacing w:val="-9"/>
          <w:sz w:val="20"/>
        </w:rPr>
        <w:t xml:space="preserve"> </w:t>
      </w:r>
      <w:r>
        <w:rPr>
          <w:color w:val="231F20"/>
          <w:sz w:val="20"/>
        </w:rPr>
        <w:t>arrivals</w:t>
      </w:r>
      <w:r>
        <w:rPr>
          <w:color w:val="231F20"/>
          <w:spacing w:val="-10"/>
          <w:sz w:val="20"/>
        </w:rPr>
        <w:t xml:space="preserve"> </w:t>
      </w:r>
      <w:r>
        <w:rPr>
          <w:color w:val="231F20"/>
          <w:sz w:val="20"/>
        </w:rPr>
        <w:t>to</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country’,</w:t>
      </w:r>
      <w:r>
        <w:rPr>
          <w:color w:val="231F20"/>
          <w:spacing w:val="-10"/>
          <w:sz w:val="20"/>
        </w:rPr>
        <w:t xml:space="preserve"> </w:t>
      </w:r>
      <w:r>
        <w:rPr>
          <w:color w:val="231F20"/>
          <w:sz w:val="20"/>
        </w:rPr>
        <w:t>people</w:t>
      </w:r>
      <w:r>
        <w:rPr>
          <w:color w:val="231F20"/>
          <w:spacing w:val="-9"/>
          <w:sz w:val="20"/>
        </w:rPr>
        <w:t xml:space="preserve"> </w:t>
      </w:r>
      <w:r>
        <w:rPr>
          <w:color w:val="231F20"/>
          <w:sz w:val="20"/>
        </w:rPr>
        <w:t>with</w:t>
      </w:r>
      <w:r>
        <w:rPr>
          <w:color w:val="231F20"/>
          <w:spacing w:val="-9"/>
          <w:sz w:val="20"/>
        </w:rPr>
        <w:t xml:space="preserve"> </w:t>
      </w:r>
      <w:r>
        <w:rPr>
          <w:color w:val="231F20"/>
          <w:sz w:val="20"/>
        </w:rPr>
        <w:t xml:space="preserve">disabilities, Aboriginal people and people who </w:t>
      </w:r>
      <w:r>
        <w:rPr>
          <w:color w:val="231F20"/>
          <w:spacing w:val="-4"/>
          <w:sz w:val="20"/>
        </w:rPr>
        <w:t>were</w:t>
      </w:r>
      <w:r>
        <w:rPr>
          <w:color w:val="231F20"/>
          <w:spacing w:val="-25"/>
          <w:sz w:val="20"/>
        </w:rPr>
        <w:t xml:space="preserve"> </w:t>
      </w:r>
      <w:r>
        <w:rPr>
          <w:color w:val="231F20"/>
          <w:spacing w:val="-3"/>
          <w:sz w:val="20"/>
        </w:rPr>
        <w:t>‘disadvantaged’.</w:t>
      </w:r>
      <w:r>
        <w:rPr>
          <w:color w:val="231F20"/>
          <w:spacing w:val="-3"/>
          <w:position w:val="7"/>
          <w:sz w:val="11"/>
        </w:rPr>
        <w:t>188</w:t>
      </w:r>
    </w:p>
    <w:p w14:paraId="386E7E96" w14:textId="77777777" w:rsidR="00894070" w:rsidRDefault="009B7AFD">
      <w:pPr>
        <w:pStyle w:val="ListParagraph"/>
        <w:numPr>
          <w:ilvl w:val="1"/>
          <w:numId w:val="102"/>
        </w:numPr>
        <w:tabs>
          <w:tab w:val="left" w:pos="1801"/>
          <w:tab w:val="left" w:pos="1802"/>
        </w:tabs>
        <w:spacing w:before="124" w:line="206" w:lineRule="auto"/>
        <w:ind w:right="1430"/>
        <w:rPr>
          <w:sz w:val="11"/>
        </w:rPr>
      </w:pPr>
      <w:r>
        <w:rPr>
          <w:color w:val="231F20"/>
          <w:sz w:val="20"/>
        </w:rPr>
        <w:t>Derryn</w:t>
      </w:r>
      <w:r>
        <w:rPr>
          <w:color w:val="231F20"/>
          <w:spacing w:val="-8"/>
          <w:sz w:val="20"/>
        </w:rPr>
        <w:t xml:space="preserve"> </w:t>
      </w:r>
      <w:r>
        <w:rPr>
          <w:color w:val="231F20"/>
          <w:spacing w:val="-4"/>
          <w:sz w:val="20"/>
        </w:rPr>
        <w:t>Hinch’s</w:t>
      </w:r>
      <w:r>
        <w:rPr>
          <w:color w:val="231F20"/>
          <w:spacing w:val="-8"/>
          <w:sz w:val="20"/>
        </w:rPr>
        <w:t xml:space="preserve"> </w:t>
      </w:r>
      <w:r>
        <w:rPr>
          <w:color w:val="231F20"/>
          <w:sz w:val="20"/>
        </w:rPr>
        <w:t>Justice</w:t>
      </w:r>
      <w:r>
        <w:rPr>
          <w:color w:val="231F20"/>
          <w:spacing w:val="-7"/>
          <w:sz w:val="20"/>
        </w:rPr>
        <w:t xml:space="preserve"> </w:t>
      </w:r>
      <w:r>
        <w:rPr>
          <w:color w:val="231F20"/>
          <w:sz w:val="20"/>
        </w:rPr>
        <w:t>Party</w:t>
      </w:r>
      <w:r>
        <w:rPr>
          <w:color w:val="231F20"/>
          <w:spacing w:val="-8"/>
          <w:sz w:val="20"/>
        </w:rPr>
        <w:t xml:space="preserve"> </w:t>
      </w:r>
      <w:r>
        <w:rPr>
          <w:color w:val="231F20"/>
          <w:sz w:val="20"/>
        </w:rPr>
        <w:t>suggested</w:t>
      </w:r>
      <w:r>
        <w:rPr>
          <w:color w:val="231F20"/>
          <w:spacing w:val="-8"/>
          <w:sz w:val="20"/>
        </w:rPr>
        <w:t xml:space="preserve"> </w:t>
      </w:r>
      <w:r>
        <w:rPr>
          <w:color w:val="231F20"/>
          <w:sz w:val="20"/>
        </w:rPr>
        <w:t>that</w:t>
      </w:r>
      <w:r>
        <w:rPr>
          <w:color w:val="231F20"/>
          <w:spacing w:val="-7"/>
          <w:sz w:val="20"/>
        </w:rPr>
        <w:t xml:space="preserve"> </w:t>
      </w:r>
      <w:r>
        <w:rPr>
          <w:color w:val="231F20"/>
          <w:sz w:val="20"/>
        </w:rPr>
        <w:t>eligibility</w:t>
      </w:r>
      <w:r>
        <w:rPr>
          <w:color w:val="231F20"/>
          <w:spacing w:val="-8"/>
          <w:sz w:val="20"/>
        </w:rPr>
        <w:t xml:space="preserve"> </w:t>
      </w:r>
      <w:r>
        <w:rPr>
          <w:color w:val="231F20"/>
          <w:spacing w:val="-3"/>
          <w:sz w:val="20"/>
        </w:rPr>
        <w:t>for</w:t>
      </w:r>
      <w:r>
        <w:rPr>
          <w:color w:val="231F20"/>
          <w:spacing w:val="-7"/>
          <w:sz w:val="20"/>
        </w:rPr>
        <w:t xml:space="preserve"> </w:t>
      </w:r>
      <w:r>
        <w:rPr>
          <w:color w:val="231F20"/>
          <w:sz w:val="20"/>
        </w:rPr>
        <w:t>legal</w:t>
      </w:r>
      <w:r>
        <w:rPr>
          <w:color w:val="231F20"/>
          <w:spacing w:val="-8"/>
          <w:sz w:val="20"/>
        </w:rPr>
        <w:t xml:space="preserve"> </w:t>
      </w:r>
      <w:r>
        <w:rPr>
          <w:color w:val="231F20"/>
          <w:spacing w:val="-3"/>
          <w:sz w:val="20"/>
        </w:rPr>
        <w:t>representation</w:t>
      </w:r>
      <w:r>
        <w:rPr>
          <w:color w:val="231F20"/>
          <w:spacing w:val="-8"/>
          <w:sz w:val="20"/>
        </w:rPr>
        <w:t xml:space="preserve"> </w:t>
      </w:r>
      <w:r>
        <w:rPr>
          <w:color w:val="231F20"/>
          <w:sz w:val="20"/>
        </w:rPr>
        <w:t xml:space="preserve">should </w:t>
      </w:r>
      <w:r>
        <w:rPr>
          <w:color w:val="231F20"/>
          <w:spacing w:val="-3"/>
          <w:sz w:val="20"/>
        </w:rPr>
        <w:t xml:space="preserve">give </w:t>
      </w:r>
      <w:r>
        <w:rPr>
          <w:color w:val="231F20"/>
          <w:sz w:val="20"/>
        </w:rPr>
        <w:t>priority to the cases that carry the highest</w:t>
      </w:r>
      <w:r>
        <w:rPr>
          <w:color w:val="231F20"/>
          <w:spacing w:val="-37"/>
          <w:sz w:val="20"/>
        </w:rPr>
        <w:t xml:space="preserve"> </w:t>
      </w:r>
      <w:r>
        <w:rPr>
          <w:color w:val="231F20"/>
          <w:sz w:val="20"/>
        </w:rPr>
        <w:t>risk.</w:t>
      </w:r>
      <w:r>
        <w:rPr>
          <w:color w:val="231F20"/>
          <w:position w:val="7"/>
          <w:sz w:val="11"/>
        </w:rPr>
        <w:t>189</w:t>
      </w:r>
    </w:p>
    <w:p w14:paraId="01FB02BC" w14:textId="77777777" w:rsidR="00894070" w:rsidRDefault="009B7AFD">
      <w:pPr>
        <w:pStyle w:val="ListParagraph"/>
        <w:numPr>
          <w:ilvl w:val="1"/>
          <w:numId w:val="102"/>
        </w:numPr>
        <w:tabs>
          <w:tab w:val="left" w:pos="1801"/>
          <w:tab w:val="left" w:pos="1802"/>
        </w:tabs>
        <w:spacing w:before="122" w:line="206" w:lineRule="auto"/>
        <w:ind w:right="1794"/>
        <w:rPr>
          <w:sz w:val="20"/>
        </w:rPr>
      </w:pPr>
      <w:r>
        <w:rPr>
          <w:color w:val="231F20"/>
          <w:sz w:val="20"/>
        </w:rPr>
        <w:t xml:space="preserve">If guidance </w:t>
      </w:r>
      <w:r>
        <w:rPr>
          <w:color w:val="231F20"/>
          <w:spacing w:val="-3"/>
          <w:sz w:val="20"/>
        </w:rPr>
        <w:t xml:space="preserve">for </w:t>
      </w:r>
      <w:r>
        <w:rPr>
          <w:color w:val="231F20"/>
          <w:sz w:val="20"/>
        </w:rPr>
        <w:t xml:space="preserve">sorting stalking matters </w:t>
      </w:r>
      <w:r>
        <w:rPr>
          <w:color w:val="231F20"/>
          <w:spacing w:val="-3"/>
          <w:sz w:val="20"/>
        </w:rPr>
        <w:t xml:space="preserve">from </w:t>
      </w:r>
      <w:r>
        <w:rPr>
          <w:color w:val="231F20"/>
          <w:sz w:val="20"/>
        </w:rPr>
        <w:t xml:space="preserve">other PSIO matters was </w:t>
      </w:r>
      <w:r>
        <w:rPr>
          <w:color w:val="231F20"/>
          <w:spacing w:val="-3"/>
          <w:sz w:val="20"/>
        </w:rPr>
        <w:t xml:space="preserve">developed </w:t>
      </w:r>
      <w:r>
        <w:rPr>
          <w:color w:val="231F20"/>
          <w:sz w:val="20"/>
        </w:rPr>
        <w:t xml:space="preserve">(discussed </w:t>
      </w:r>
      <w:r>
        <w:rPr>
          <w:color w:val="231F20"/>
          <w:spacing w:val="-4"/>
          <w:sz w:val="20"/>
        </w:rPr>
        <w:t xml:space="preserve">above), </w:t>
      </w:r>
      <w:r>
        <w:rPr>
          <w:color w:val="231F20"/>
          <w:sz w:val="20"/>
        </w:rPr>
        <w:t xml:space="preserve">these criteria could be used </w:t>
      </w:r>
      <w:r>
        <w:rPr>
          <w:color w:val="231F20"/>
          <w:spacing w:val="-3"/>
          <w:sz w:val="20"/>
        </w:rPr>
        <w:t xml:space="preserve">by </w:t>
      </w:r>
      <w:r>
        <w:rPr>
          <w:color w:val="231F20"/>
          <w:sz w:val="20"/>
        </w:rPr>
        <w:t xml:space="preserve">legal services </w:t>
      </w:r>
      <w:r>
        <w:rPr>
          <w:color w:val="231F20"/>
          <w:spacing w:val="-3"/>
          <w:sz w:val="20"/>
        </w:rPr>
        <w:t xml:space="preserve">providers </w:t>
      </w:r>
      <w:r>
        <w:rPr>
          <w:color w:val="231F20"/>
          <w:sz w:val="20"/>
        </w:rPr>
        <w:t>to determine</w:t>
      </w:r>
      <w:r>
        <w:rPr>
          <w:color w:val="231F20"/>
          <w:spacing w:val="-12"/>
          <w:sz w:val="20"/>
        </w:rPr>
        <w:t xml:space="preserve"> </w:t>
      </w:r>
      <w:r>
        <w:rPr>
          <w:color w:val="231F20"/>
          <w:sz w:val="20"/>
        </w:rPr>
        <w:t>who</w:t>
      </w:r>
      <w:r>
        <w:rPr>
          <w:color w:val="231F20"/>
          <w:spacing w:val="-11"/>
          <w:sz w:val="20"/>
        </w:rPr>
        <w:t xml:space="preserve"> </w:t>
      </w:r>
      <w:r>
        <w:rPr>
          <w:color w:val="231F20"/>
          <w:sz w:val="20"/>
        </w:rPr>
        <w:t>was</w:t>
      </w:r>
      <w:r>
        <w:rPr>
          <w:color w:val="231F20"/>
          <w:spacing w:val="-11"/>
          <w:sz w:val="20"/>
        </w:rPr>
        <w:t xml:space="preserve"> </w:t>
      </w:r>
      <w:r>
        <w:rPr>
          <w:color w:val="231F20"/>
          <w:sz w:val="20"/>
        </w:rPr>
        <w:t>eligible.</w:t>
      </w:r>
      <w:r>
        <w:rPr>
          <w:color w:val="231F20"/>
          <w:spacing w:val="-11"/>
          <w:sz w:val="20"/>
        </w:rPr>
        <w:t xml:space="preserve"> </w:t>
      </w:r>
      <w:r>
        <w:rPr>
          <w:color w:val="231F20"/>
          <w:sz w:val="20"/>
        </w:rPr>
        <w:t>In</w:t>
      </w:r>
      <w:r>
        <w:rPr>
          <w:color w:val="231F20"/>
          <w:spacing w:val="-12"/>
          <w:sz w:val="20"/>
        </w:rPr>
        <w:t xml:space="preserve"> </w:t>
      </w:r>
      <w:r>
        <w:rPr>
          <w:color w:val="231F20"/>
          <w:sz w:val="20"/>
        </w:rPr>
        <w:t>the</w:t>
      </w:r>
      <w:r>
        <w:rPr>
          <w:color w:val="231F20"/>
          <w:spacing w:val="-11"/>
          <w:sz w:val="20"/>
        </w:rPr>
        <w:t xml:space="preserve"> </w:t>
      </w:r>
      <w:r>
        <w:rPr>
          <w:color w:val="231F20"/>
          <w:sz w:val="20"/>
        </w:rPr>
        <w:t>meantime,</w:t>
      </w:r>
      <w:r>
        <w:rPr>
          <w:color w:val="231F20"/>
          <w:spacing w:val="-11"/>
          <w:sz w:val="20"/>
        </w:rPr>
        <w:t xml:space="preserve"> </w:t>
      </w:r>
      <w:r>
        <w:rPr>
          <w:color w:val="231F20"/>
          <w:sz w:val="20"/>
        </w:rPr>
        <w:t>eligibility</w:t>
      </w:r>
      <w:r>
        <w:rPr>
          <w:color w:val="231F20"/>
          <w:spacing w:val="-11"/>
          <w:sz w:val="20"/>
        </w:rPr>
        <w:t xml:space="preserve"> </w:t>
      </w:r>
      <w:r>
        <w:rPr>
          <w:color w:val="231F20"/>
          <w:sz w:val="20"/>
        </w:rPr>
        <w:t>should</w:t>
      </w:r>
      <w:r>
        <w:rPr>
          <w:color w:val="231F20"/>
          <w:spacing w:val="-12"/>
          <w:sz w:val="20"/>
        </w:rPr>
        <w:t xml:space="preserve"> </w:t>
      </w:r>
      <w:r>
        <w:rPr>
          <w:color w:val="231F20"/>
          <w:sz w:val="20"/>
        </w:rPr>
        <w:t>be</w:t>
      </w:r>
      <w:r>
        <w:rPr>
          <w:color w:val="231F20"/>
          <w:spacing w:val="-11"/>
          <w:sz w:val="20"/>
        </w:rPr>
        <w:t xml:space="preserve"> </w:t>
      </w:r>
      <w:r>
        <w:rPr>
          <w:color w:val="231F20"/>
          <w:sz w:val="20"/>
        </w:rPr>
        <w:t>based</w:t>
      </w:r>
      <w:r>
        <w:rPr>
          <w:color w:val="231F20"/>
          <w:spacing w:val="-11"/>
          <w:sz w:val="20"/>
        </w:rPr>
        <w:t xml:space="preserve"> </w:t>
      </w:r>
      <w:r>
        <w:rPr>
          <w:color w:val="231F20"/>
          <w:sz w:val="20"/>
        </w:rPr>
        <w:t>on</w:t>
      </w:r>
      <w:r>
        <w:rPr>
          <w:color w:val="231F20"/>
          <w:spacing w:val="-11"/>
          <w:sz w:val="20"/>
        </w:rPr>
        <w:t xml:space="preserve"> </w:t>
      </w:r>
      <w:r>
        <w:rPr>
          <w:color w:val="231F20"/>
          <w:sz w:val="20"/>
        </w:rPr>
        <w:t xml:space="preserve">their </w:t>
      </w:r>
      <w:r>
        <w:rPr>
          <w:color w:val="231F20"/>
          <w:spacing w:val="-3"/>
          <w:sz w:val="20"/>
        </w:rPr>
        <w:t xml:space="preserve">internal </w:t>
      </w:r>
      <w:r>
        <w:rPr>
          <w:color w:val="231F20"/>
          <w:sz w:val="20"/>
        </w:rPr>
        <w:t>assessment of</w:t>
      </w:r>
      <w:r>
        <w:rPr>
          <w:color w:val="231F20"/>
          <w:spacing w:val="-10"/>
          <w:sz w:val="20"/>
        </w:rPr>
        <w:t xml:space="preserve"> </w:t>
      </w:r>
      <w:r>
        <w:rPr>
          <w:color w:val="231F20"/>
          <w:sz w:val="20"/>
        </w:rPr>
        <w:t>need.</w:t>
      </w:r>
    </w:p>
    <w:p w14:paraId="15A4894B" w14:textId="77777777" w:rsidR="00894070" w:rsidRDefault="00894070">
      <w:pPr>
        <w:pStyle w:val="BodyText"/>
      </w:pPr>
    </w:p>
    <w:p w14:paraId="6433AF0E" w14:textId="77777777" w:rsidR="00894070" w:rsidRDefault="00894070">
      <w:pPr>
        <w:pStyle w:val="BodyText"/>
      </w:pPr>
    </w:p>
    <w:p w14:paraId="2DCF8E65" w14:textId="77777777" w:rsidR="00894070" w:rsidRDefault="00894070">
      <w:pPr>
        <w:pStyle w:val="BodyText"/>
      </w:pPr>
    </w:p>
    <w:p w14:paraId="0E967829" w14:textId="77777777" w:rsidR="00894070" w:rsidRDefault="009F6793">
      <w:pPr>
        <w:pStyle w:val="BodyText"/>
        <w:spacing w:before="2"/>
        <w:rPr>
          <w:sz w:val="15"/>
        </w:rPr>
      </w:pPr>
      <w:r>
        <w:pict w14:anchorId="2E8E43CC">
          <v:line id="_x0000_s1291" style="position:absolute;z-index:251692032;mso-wrap-distance-left:0;mso-wrap-distance-right:0;mso-position-horizontal-relative:page" from="79.35pt,12.95pt" to="515.9pt,12.95pt" strokecolor="#f8cabc" strokeweight="1pt">
            <w10:wrap type="topAndBottom" anchorx="page"/>
          </v:line>
        </w:pict>
      </w:r>
    </w:p>
    <w:p w14:paraId="3D8C6A9A" w14:textId="77777777" w:rsidR="00894070" w:rsidRDefault="00894070">
      <w:pPr>
        <w:pStyle w:val="BodyText"/>
        <w:rPr>
          <w:sz w:val="5"/>
        </w:rPr>
      </w:pPr>
    </w:p>
    <w:p w14:paraId="4EE26824" w14:textId="77777777" w:rsidR="00894070" w:rsidRDefault="00894070">
      <w:pPr>
        <w:rPr>
          <w:sz w:val="5"/>
        </w:rPr>
        <w:sectPr w:rsidR="00894070">
          <w:pgSz w:w="11910" w:h="16840"/>
          <w:pgMar w:top="840" w:right="420" w:bottom="280" w:left="580" w:header="0" w:footer="0" w:gutter="0"/>
          <w:cols w:space="720"/>
        </w:sectPr>
      </w:pPr>
    </w:p>
    <w:p w14:paraId="5EC210E2" w14:textId="77777777" w:rsidR="00894070" w:rsidRDefault="009B7AFD">
      <w:pPr>
        <w:pStyle w:val="ListParagraph"/>
        <w:numPr>
          <w:ilvl w:val="0"/>
          <w:numId w:val="81"/>
        </w:numPr>
        <w:tabs>
          <w:tab w:val="left" w:pos="1801"/>
          <w:tab w:val="left" w:pos="1802"/>
        </w:tabs>
        <w:spacing w:before="21" w:line="170" w:lineRule="exact"/>
        <w:jc w:val="left"/>
        <w:rPr>
          <w:sz w:val="13"/>
        </w:rPr>
      </w:pPr>
      <w:r>
        <w:rPr>
          <w:color w:val="231F20"/>
          <w:spacing w:val="2"/>
          <w:sz w:val="13"/>
        </w:rPr>
        <w:t xml:space="preserve">Submissions </w:t>
      </w:r>
      <w:r>
        <w:rPr>
          <w:color w:val="231F20"/>
          <w:sz w:val="13"/>
        </w:rPr>
        <w:t xml:space="preserve">47 </w:t>
      </w:r>
      <w:r>
        <w:rPr>
          <w:color w:val="231F20"/>
          <w:spacing w:val="2"/>
          <w:sz w:val="13"/>
        </w:rPr>
        <w:t xml:space="preserve">(Liberty </w:t>
      </w:r>
      <w:r>
        <w:rPr>
          <w:color w:val="231F20"/>
          <w:sz w:val="13"/>
        </w:rPr>
        <w:t>Victoria), 95 (Springvale Monash Legal</w:t>
      </w:r>
      <w:r>
        <w:rPr>
          <w:color w:val="231F20"/>
          <w:spacing w:val="4"/>
          <w:sz w:val="13"/>
        </w:rPr>
        <w:t xml:space="preserve"> </w:t>
      </w:r>
      <w:r>
        <w:rPr>
          <w:color w:val="231F20"/>
          <w:sz w:val="13"/>
        </w:rPr>
        <w:t>Service).</w:t>
      </w:r>
    </w:p>
    <w:p w14:paraId="560E85D7" w14:textId="77777777" w:rsidR="00894070" w:rsidRDefault="009B7AFD">
      <w:pPr>
        <w:pStyle w:val="ListParagraph"/>
        <w:numPr>
          <w:ilvl w:val="0"/>
          <w:numId w:val="81"/>
        </w:numPr>
        <w:tabs>
          <w:tab w:val="left" w:pos="1800"/>
          <w:tab w:val="left" w:pos="1802"/>
        </w:tabs>
        <w:spacing w:line="160" w:lineRule="exact"/>
        <w:jc w:val="left"/>
        <w:rPr>
          <w:sz w:val="13"/>
        </w:rPr>
      </w:pPr>
      <w:r>
        <w:rPr>
          <w:color w:val="231F20"/>
          <w:spacing w:val="2"/>
          <w:sz w:val="13"/>
        </w:rPr>
        <w:t>Submissions</w:t>
      </w:r>
      <w:r>
        <w:rPr>
          <w:color w:val="231F20"/>
          <w:spacing w:val="7"/>
          <w:sz w:val="13"/>
        </w:rPr>
        <w:t xml:space="preserve"> </w:t>
      </w:r>
      <w:r>
        <w:rPr>
          <w:color w:val="231F20"/>
          <w:sz w:val="13"/>
        </w:rPr>
        <w:t>47</w:t>
      </w:r>
      <w:r>
        <w:rPr>
          <w:color w:val="231F20"/>
          <w:spacing w:val="7"/>
          <w:sz w:val="13"/>
        </w:rPr>
        <w:t xml:space="preserve"> </w:t>
      </w:r>
      <w:r>
        <w:rPr>
          <w:color w:val="231F20"/>
          <w:spacing w:val="2"/>
          <w:sz w:val="13"/>
        </w:rPr>
        <w:t>(Liberty</w:t>
      </w:r>
      <w:r>
        <w:rPr>
          <w:color w:val="231F20"/>
          <w:spacing w:val="7"/>
          <w:sz w:val="13"/>
        </w:rPr>
        <w:t xml:space="preserve"> </w:t>
      </w:r>
      <w:r>
        <w:rPr>
          <w:color w:val="231F20"/>
          <w:sz w:val="13"/>
        </w:rPr>
        <w:t>Victoria),</w:t>
      </w:r>
      <w:r>
        <w:rPr>
          <w:color w:val="231F20"/>
          <w:spacing w:val="7"/>
          <w:sz w:val="13"/>
        </w:rPr>
        <w:t xml:space="preserve"> </w:t>
      </w:r>
      <w:r>
        <w:rPr>
          <w:color w:val="231F20"/>
          <w:sz w:val="13"/>
        </w:rPr>
        <w:t>56</w:t>
      </w:r>
      <w:r>
        <w:rPr>
          <w:color w:val="231F20"/>
          <w:spacing w:val="7"/>
          <w:sz w:val="13"/>
        </w:rPr>
        <w:t xml:space="preserve"> </w:t>
      </w:r>
      <w:r>
        <w:rPr>
          <w:color w:val="231F20"/>
          <w:spacing w:val="2"/>
          <w:sz w:val="13"/>
        </w:rPr>
        <w:t>(Derryn</w:t>
      </w:r>
      <w:r>
        <w:rPr>
          <w:color w:val="231F20"/>
          <w:spacing w:val="7"/>
          <w:sz w:val="13"/>
        </w:rPr>
        <w:t xml:space="preserve"> </w:t>
      </w:r>
      <w:r>
        <w:rPr>
          <w:color w:val="231F20"/>
          <w:sz w:val="13"/>
        </w:rPr>
        <w:t>Hinch’s</w:t>
      </w:r>
      <w:r>
        <w:rPr>
          <w:color w:val="231F20"/>
          <w:spacing w:val="7"/>
          <w:sz w:val="13"/>
        </w:rPr>
        <w:t xml:space="preserve"> </w:t>
      </w:r>
      <w:r>
        <w:rPr>
          <w:color w:val="231F20"/>
          <w:sz w:val="13"/>
        </w:rPr>
        <w:t>Justice</w:t>
      </w:r>
      <w:r>
        <w:rPr>
          <w:color w:val="231F20"/>
          <w:spacing w:val="7"/>
          <w:sz w:val="13"/>
        </w:rPr>
        <w:t xml:space="preserve"> </w:t>
      </w:r>
      <w:r>
        <w:rPr>
          <w:color w:val="231F20"/>
          <w:sz w:val="13"/>
        </w:rPr>
        <w:t>Party),</w:t>
      </w:r>
      <w:r>
        <w:rPr>
          <w:color w:val="231F20"/>
          <w:spacing w:val="7"/>
          <w:sz w:val="13"/>
        </w:rPr>
        <w:t xml:space="preserve"> </w:t>
      </w:r>
      <w:r>
        <w:rPr>
          <w:color w:val="231F20"/>
          <w:sz w:val="13"/>
        </w:rPr>
        <w:t>95</w:t>
      </w:r>
      <w:r>
        <w:rPr>
          <w:color w:val="231F20"/>
          <w:spacing w:val="7"/>
          <w:sz w:val="13"/>
        </w:rPr>
        <w:t xml:space="preserve"> </w:t>
      </w:r>
      <w:r>
        <w:rPr>
          <w:color w:val="231F20"/>
          <w:sz w:val="13"/>
        </w:rPr>
        <w:t>(Springvale</w:t>
      </w:r>
      <w:r>
        <w:rPr>
          <w:color w:val="231F20"/>
          <w:spacing w:val="7"/>
          <w:sz w:val="13"/>
        </w:rPr>
        <w:t xml:space="preserve"> </w:t>
      </w:r>
      <w:r>
        <w:rPr>
          <w:color w:val="231F20"/>
          <w:sz w:val="13"/>
        </w:rPr>
        <w:t>Monash</w:t>
      </w:r>
      <w:r>
        <w:rPr>
          <w:color w:val="231F20"/>
          <w:spacing w:val="7"/>
          <w:sz w:val="13"/>
        </w:rPr>
        <w:t xml:space="preserve"> </w:t>
      </w:r>
      <w:r>
        <w:rPr>
          <w:color w:val="231F20"/>
          <w:sz w:val="13"/>
        </w:rPr>
        <w:t>Legal</w:t>
      </w:r>
      <w:r>
        <w:rPr>
          <w:color w:val="231F20"/>
          <w:spacing w:val="7"/>
          <w:sz w:val="13"/>
        </w:rPr>
        <w:t xml:space="preserve"> </w:t>
      </w:r>
      <w:r>
        <w:rPr>
          <w:color w:val="231F20"/>
          <w:sz w:val="13"/>
        </w:rPr>
        <w:t>Service).</w:t>
      </w:r>
    </w:p>
    <w:p w14:paraId="06317DD9" w14:textId="77777777" w:rsidR="00894070" w:rsidRDefault="009B7AFD">
      <w:pPr>
        <w:pStyle w:val="ListParagraph"/>
        <w:numPr>
          <w:ilvl w:val="0"/>
          <w:numId w:val="81"/>
        </w:numPr>
        <w:tabs>
          <w:tab w:val="left" w:pos="1800"/>
          <w:tab w:val="left" w:pos="1802"/>
        </w:tabs>
        <w:spacing w:line="160" w:lineRule="exact"/>
        <w:jc w:val="left"/>
        <w:rPr>
          <w:sz w:val="13"/>
        </w:rPr>
      </w:pPr>
      <w:r>
        <w:rPr>
          <w:color w:val="231F20"/>
          <w:spacing w:val="2"/>
          <w:sz w:val="13"/>
        </w:rPr>
        <w:t xml:space="preserve">Submissions </w:t>
      </w:r>
      <w:r>
        <w:rPr>
          <w:color w:val="231F20"/>
          <w:sz w:val="13"/>
        </w:rPr>
        <w:t xml:space="preserve">41 (Djirra), 47 </w:t>
      </w:r>
      <w:r>
        <w:rPr>
          <w:color w:val="231F20"/>
          <w:spacing w:val="2"/>
          <w:sz w:val="13"/>
        </w:rPr>
        <w:t>(Liberty</w:t>
      </w:r>
      <w:r>
        <w:rPr>
          <w:color w:val="231F20"/>
          <w:spacing w:val="-1"/>
          <w:sz w:val="13"/>
        </w:rPr>
        <w:t xml:space="preserve"> </w:t>
      </w:r>
      <w:r>
        <w:rPr>
          <w:color w:val="231F20"/>
          <w:sz w:val="13"/>
        </w:rPr>
        <w:t>Victoria).</w:t>
      </w:r>
    </w:p>
    <w:p w14:paraId="33B5A129" w14:textId="77777777" w:rsidR="00894070" w:rsidRDefault="009B7AFD">
      <w:pPr>
        <w:pStyle w:val="ListParagraph"/>
        <w:numPr>
          <w:ilvl w:val="0"/>
          <w:numId w:val="81"/>
        </w:numPr>
        <w:tabs>
          <w:tab w:val="left" w:pos="1801"/>
          <w:tab w:val="left" w:pos="1802"/>
        </w:tabs>
        <w:spacing w:line="160" w:lineRule="exact"/>
        <w:jc w:val="left"/>
        <w:rPr>
          <w:sz w:val="13"/>
        </w:rPr>
      </w:pPr>
      <w:r>
        <w:rPr>
          <w:color w:val="231F20"/>
          <w:spacing w:val="2"/>
          <w:sz w:val="13"/>
        </w:rPr>
        <w:t xml:space="preserve">Submission </w:t>
      </w:r>
      <w:r>
        <w:rPr>
          <w:color w:val="231F20"/>
          <w:sz w:val="13"/>
        </w:rPr>
        <w:t xml:space="preserve">47 </w:t>
      </w:r>
      <w:r>
        <w:rPr>
          <w:color w:val="231F20"/>
          <w:spacing w:val="2"/>
          <w:sz w:val="13"/>
        </w:rPr>
        <w:t>(Liberty</w:t>
      </w:r>
      <w:r>
        <w:rPr>
          <w:color w:val="231F20"/>
          <w:spacing w:val="-3"/>
          <w:sz w:val="13"/>
        </w:rPr>
        <w:t xml:space="preserve"> </w:t>
      </w:r>
      <w:r>
        <w:rPr>
          <w:color w:val="231F20"/>
          <w:sz w:val="13"/>
        </w:rPr>
        <w:t>Victoria).</w:t>
      </w:r>
    </w:p>
    <w:p w14:paraId="59F465A1" w14:textId="77777777" w:rsidR="00894070" w:rsidRDefault="009B7AFD">
      <w:pPr>
        <w:pStyle w:val="ListParagraph"/>
        <w:numPr>
          <w:ilvl w:val="0"/>
          <w:numId w:val="81"/>
        </w:numPr>
        <w:tabs>
          <w:tab w:val="left" w:pos="1800"/>
          <w:tab w:val="left" w:pos="1802"/>
        </w:tabs>
        <w:spacing w:line="160" w:lineRule="exact"/>
        <w:jc w:val="left"/>
        <w:rPr>
          <w:sz w:val="13"/>
        </w:rPr>
      </w:pPr>
      <w:r>
        <w:rPr>
          <w:color w:val="231F20"/>
          <w:spacing w:val="2"/>
          <w:sz w:val="13"/>
        </w:rPr>
        <w:t xml:space="preserve">Submissions </w:t>
      </w:r>
      <w:r>
        <w:rPr>
          <w:color w:val="231F20"/>
          <w:sz w:val="13"/>
        </w:rPr>
        <w:t xml:space="preserve">49 </w:t>
      </w:r>
      <w:r>
        <w:rPr>
          <w:color w:val="231F20"/>
          <w:spacing w:val="2"/>
          <w:sz w:val="13"/>
        </w:rPr>
        <w:t xml:space="preserve">(Victims </w:t>
      </w:r>
      <w:r>
        <w:rPr>
          <w:color w:val="231F20"/>
          <w:sz w:val="13"/>
        </w:rPr>
        <w:t xml:space="preserve">of Crime Commissioner), 56 </w:t>
      </w:r>
      <w:r>
        <w:rPr>
          <w:color w:val="231F20"/>
          <w:spacing w:val="2"/>
          <w:sz w:val="13"/>
        </w:rPr>
        <w:t xml:space="preserve">(Derryn </w:t>
      </w:r>
      <w:r>
        <w:rPr>
          <w:color w:val="231F20"/>
          <w:sz w:val="13"/>
        </w:rPr>
        <w:t>Hinch’s Justice</w:t>
      </w:r>
      <w:r>
        <w:rPr>
          <w:color w:val="231F20"/>
          <w:spacing w:val="8"/>
          <w:sz w:val="13"/>
        </w:rPr>
        <w:t xml:space="preserve"> </w:t>
      </w:r>
      <w:r>
        <w:rPr>
          <w:color w:val="231F20"/>
          <w:sz w:val="13"/>
        </w:rPr>
        <w:t>Party).</w:t>
      </w:r>
    </w:p>
    <w:p w14:paraId="0FEBB320" w14:textId="77777777" w:rsidR="00894070" w:rsidRDefault="009B7AFD">
      <w:pPr>
        <w:pStyle w:val="ListParagraph"/>
        <w:numPr>
          <w:ilvl w:val="0"/>
          <w:numId w:val="81"/>
        </w:numPr>
        <w:tabs>
          <w:tab w:val="left" w:pos="1801"/>
          <w:tab w:val="left" w:pos="1802"/>
        </w:tabs>
        <w:spacing w:line="160" w:lineRule="exact"/>
        <w:jc w:val="lef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604379BC" w14:textId="77777777" w:rsidR="00894070" w:rsidRDefault="009B7AFD">
      <w:pPr>
        <w:pStyle w:val="ListParagraph"/>
        <w:numPr>
          <w:ilvl w:val="0"/>
          <w:numId w:val="81"/>
        </w:numPr>
        <w:tabs>
          <w:tab w:val="left" w:pos="1800"/>
          <w:tab w:val="left" w:pos="1802"/>
        </w:tabs>
        <w:spacing w:line="160" w:lineRule="exact"/>
        <w:jc w:val="left"/>
        <w:rPr>
          <w:sz w:val="13"/>
        </w:rPr>
      </w:pPr>
      <w:r>
        <w:rPr>
          <w:color w:val="231F20"/>
          <w:spacing w:val="2"/>
          <w:sz w:val="13"/>
        </w:rPr>
        <w:t>Department</w:t>
      </w:r>
      <w:r>
        <w:rPr>
          <w:color w:val="231F20"/>
          <w:spacing w:val="4"/>
          <w:sz w:val="13"/>
        </w:rPr>
        <w:t xml:space="preserve"> </w:t>
      </w:r>
      <w:r>
        <w:rPr>
          <w:color w:val="231F20"/>
          <w:sz w:val="13"/>
        </w:rPr>
        <w:t>of</w:t>
      </w:r>
      <w:r>
        <w:rPr>
          <w:color w:val="231F20"/>
          <w:spacing w:val="5"/>
          <w:sz w:val="13"/>
        </w:rPr>
        <w:t xml:space="preserve"> </w:t>
      </w:r>
      <w:r>
        <w:rPr>
          <w:color w:val="231F20"/>
          <w:sz w:val="13"/>
        </w:rPr>
        <w:t>Justice</w:t>
      </w:r>
      <w:r>
        <w:rPr>
          <w:color w:val="231F20"/>
          <w:spacing w:val="4"/>
          <w:sz w:val="13"/>
        </w:rPr>
        <w:t xml:space="preserve"> </w:t>
      </w:r>
      <w:r>
        <w:rPr>
          <w:color w:val="231F20"/>
          <w:sz w:val="13"/>
        </w:rPr>
        <w:t>and</w:t>
      </w:r>
      <w:r>
        <w:rPr>
          <w:color w:val="231F20"/>
          <w:spacing w:val="5"/>
          <w:sz w:val="13"/>
        </w:rPr>
        <w:t xml:space="preserve"> </w:t>
      </w:r>
      <w:r>
        <w:rPr>
          <w:color w:val="231F20"/>
          <w:sz w:val="13"/>
        </w:rPr>
        <w:t>Community</w:t>
      </w:r>
      <w:r>
        <w:rPr>
          <w:color w:val="231F20"/>
          <w:spacing w:val="4"/>
          <w:sz w:val="13"/>
        </w:rPr>
        <w:t xml:space="preserve"> </w:t>
      </w:r>
      <w:r>
        <w:rPr>
          <w:color w:val="231F20"/>
          <w:sz w:val="13"/>
        </w:rPr>
        <w:t>Safety</w:t>
      </w:r>
      <w:r>
        <w:rPr>
          <w:color w:val="231F20"/>
          <w:spacing w:val="5"/>
          <w:sz w:val="13"/>
        </w:rPr>
        <w:t xml:space="preserve"> </w:t>
      </w:r>
      <w:r>
        <w:rPr>
          <w:color w:val="231F20"/>
          <w:sz w:val="13"/>
        </w:rPr>
        <w:t>(Vic),</w:t>
      </w:r>
      <w:r>
        <w:rPr>
          <w:color w:val="231F20"/>
          <w:spacing w:val="3"/>
          <w:sz w:val="13"/>
        </w:rPr>
        <w:t xml:space="preserve"> </w:t>
      </w:r>
      <w:r>
        <w:rPr>
          <w:i/>
          <w:color w:val="231F20"/>
          <w:sz w:val="13"/>
        </w:rPr>
        <w:t>Victim</w:t>
      </w:r>
      <w:r>
        <w:rPr>
          <w:i/>
          <w:color w:val="231F20"/>
          <w:spacing w:val="5"/>
          <w:sz w:val="13"/>
        </w:rPr>
        <w:t xml:space="preserve"> </w:t>
      </w:r>
      <w:r>
        <w:rPr>
          <w:i/>
          <w:color w:val="231F20"/>
          <w:spacing w:val="2"/>
          <w:sz w:val="13"/>
        </w:rPr>
        <w:t>Support</w:t>
      </w:r>
      <w:r>
        <w:rPr>
          <w:i/>
          <w:color w:val="231F20"/>
          <w:spacing w:val="4"/>
          <w:sz w:val="13"/>
        </w:rPr>
        <w:t xml:space="preserve"> </w:t>
      </w:r>
      <w:r>
        <w:rPr>
          <w:i/>
          <w:color w:val="231F20"/>
          <w:sz w:val="13"/>
        </w:rPr>
        <w:t>Update</w:t>
      </w:r>
      <w:r>
        <w:rPr>
          <w:i/>
          <w:color w:val="231F20"/>
          <w:spacing w:val="5"/>
          <w:sz w:val="13"/>
        </w:rPr>
        <w:t xml:space="preserve"> </w:t>
      </w:r>
      <w:r>
        <w:rPr>
          <w:color w:val="231F20"/>
          <w:spacing w:val="2"/>
          <w:sz w:val="13"/>
        </w:rPr>
        <w:t>(Report,</w:t>
      </w:r>
      <w:r>
        <w:rPr>
          <w:color w:val="231F20"/>
          <w:spacing w:val="4"/>
          <w:sz w:val="13"/>
        </w:rPr>
        <w:t xml:space="preserve"> </w:t>
      </w:r>
      <w:r>
        <w:rPr>
          <w:color w:val="231F20"/>
          <w:spacing w:val="2"/>
          <w:sz w:val="13"/>
        </w:rPr>
        <w:t>December</w:t>
      </w:r>
      <w:r>
        <w:rPr>
          <w:color w:val="231F20"/>
          <w:spacing w:val="5"/>
          <w:sz w:val="13"/>
        </w:rPr>
        <w:t xml:space="preserve"> </w:t>
      </w:r>
      <w:r>
        <w:rPr>
          <w:color w:val="231F20"/>
          <w:sz w:val="13"/>
        </w:rPr>
        <w:t>2021)</w:t>
      </w:r>
      <w:r>
        <w:rPr>
          <w:color w:val="231F20"/>
          <w:spacing w:val="4"/>
          <w:sz w:val="13"/>
        </w:rPr>
        <w:t xml:space="preserve"> </w:t>
      </w:r>
      <w:r>
        <w:rPr>
          <w:color w:val="231F20"/>
          <w:spacing w:val="2"/>
          <w:sz w:val="13"/>
        </w:rPr>
        <w:t>23.</w:t>
      </w:r>
    </w:p>
    <w:p w14:paraId="17A21A75" w14:textId="77777777" w:rsidR="00894070" w:rsidRDefault="009B7AFD">
      <w:pPr>
        <w:pStyle w:val="ListParagraph"/>
        <w:numPr>
          <w:ilvl w:val="0"/>
          <w:numId w:val="81"/>
        </w:numPr>
        <w:tabs>
          <w:tab w:val="left" w:pos="1800"/>
          <w:tab w:val="left" w:pos="1802"/>
        </w:tabs>
        <w:spacing w:line="160" w:lineRule="exact"/>
        <w:jc w:val="left"/>
        <w:rPr>
          <w:sz w:val="13"/>
        </w:rPr>
      </w:pPr>
      <w:r>
        <w:rPr>
          <w:color w:val="231F20"/>
          <w:spacing w:val="2"/>
          <w:sz w:val="13"/>
        </w:rPr>
        <w:t xml:space="preserve">Submission </w:t>
      </w:r>
      <w:r>
        <w:rPr>
          <w:color w:val="231F20"/>
          <w:sz w:val="13"/>
        </w:rPr>
        <w:t xml:space="preserve">36 </w:t>
      </w:r>
      <w:r>
        <w:rPr>
          <w:color w:val="231F20"/>
          <w:spacing w:val="2"/>
          <w:sz w:val="13"/>
        </w:rPr>
        <w:t>(Ahmad</w:t>
      </w:r>
      <w:r>
        <w:rPr>
          <w:color w:val="231F20"/>
          <w:spacing w:val="-2"/>
          <w:sz w:val="13"/>
        </w:rPr>
        <w:t xml:space="preserve"> </w:t>
      </w:r>
      <w:r>
        <w:rPr>
          <w:color w:val="231F20"/>
          <w:sz w:val="13"/>
        </w:rPr>
        <w:t>Masri).</w:t>
      </w:r>
    </w:p>
    <w:p w14:paraId="40DDC954" w14:textId="77777777" w:rsidR="00894070" w:rsidRDefault="009B7AFD">
      <w:pPr>
        <w:pStyle w:val="ListParagraph"/>
        <w:numPr>
          <w:ilvl w:val="0"/>
          <w:numId w:val="81"/>
        </w:numPr>
        <w:tabs>
          <w:tab w:val="left" w:pos="1800"/>
          <w:tab w:val="left" w:pos="1802"/>
        </w:tabs>
        <w:spacing w:line="170" w:lineRule="exact"/>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3"/>
          <w:sz w:val="13"/>
        </w:rPr>
        <w:t xml:space="preserve"> </w:t>
      </w:r>
      <w:r>
        <w:rPr>
          <w:color w:val="231F20"/>
          <w:sz w:val="13"/>
        </w:rPr>
        <w:t>Party).</w:t>
      </w:r>
    </w:p>
    <w:p w14:paraId="178178A7" w14:textId="77777777" w:rsidR="00894070" w:rsidRDefault="009B7AFD">
      <w:pPr>
        <w:pStyle w:val="BodyText"/>
        <w:rPr>
          <w:sz w:val="28"/>
        </w:rPr>
      </w:pPr>
      <w:r>
        <w:br w:type="column"/>
      </w:r>
    </w:p>
    <w:p w14:paraId="5CFE700A" w14:textId="77777777" w:rsidR="00894070" w:rsidRDefault="00894070">
      <w:pPr>
        <w:pStyle w:val="BodyText"/>
        <w:rPr>
          <w:sz w:val="28"/>
        </w:rPr>
      </w:pPr>
    </w:p>
    <w:p w14:paraId="281D1384" w14:textId="77777777" w:rsidR="00894070" w:rsidRDefault="00894070">
      <w:pPr>
        <w:pStyle w:val="BodyText"/>
        <w:spacing w:before="8"/>
        <w:rPr>
          <w:sz w:val="28"/>
        </w:rPr>
      </w:pPr>
    </w:p>
    <w:p w14:paraId="7E82674C" w14:textId="77777777" w:rsidR="00894070" w:rsidRDefault="009B7AFD">
      <w:pPr>
        <w:pStyle w:val="Heading8"/>
        <w:ind w:left="1007"/>
      </w:pPr>
      <w:r>
        <w:rPr>
          <w:color w:val="EA5B50"/>
        </w:rPr>
        <w:t>119</w:t>
      </w:r>
    </w:p>
    <w:p w14:paraId="6BC1BF39" w14:textId="77777777" w:rsidR="00894070" w:rsidRDefault="00894070">
      <w:pPr>
        <w:sectPr w:rsidR="00894070">
          <w:type w:val="continuous"/>
          <w:pgSz w:w="11910" w:h="16840"/>
          <w:pgMar w:top="560" w:right="420" w:bottom="280" w:left="580" w:header="720" w:footer="720" w:gutter="0"/>
          <w:cols w:num="2" w:space="720" w:equalWidth="0">
            <w:col w:w="8306" w:space="1032"/>
            <w:col w:w="1572"/>
          </w:cols>
        </w:sectPr>
      </w:pPr>
    </w:p>
    <w:p w14:paraId="02D1EE37" w14:textId="77777777" w:rsidR="00894070" w:rsidRDefault="00894070">
      <w:pPr>
        <w:pStyle w:val="BodyText"/>
        <w:rPr>
          <w:b/>
        </w:rPr>
      </w:pPr>
    </w:p>
    <w:p w14:paraId="4AAC54E0" w14:textId="77777777" w:rsidR="00894070" w:rsidRDefault="00894070">
      <w:pPr>
        <w:pStyle w:val="BodyText"/>
        <w:rPr>
          <w:b/>
        </w:rPr>
      </w:pPr>
    </w:p>
    <w:p w14:paraId="5040E540" w14:textId="77777777" w:rsidR="00894070" w:rsidRDefault="00894070">
      <w:pPr>
        <w:pStyle w:val="BodyText"/>
        <w:rPr>
          <w:b/>
        </w:rPr>
      </w:pPr>
    </w:p>
    <w:p w14:paraId="64A7AADB" w14:textId="77777777" w:rsidR="00894070" w:rsidRDefault="00894070">
      <w:pPr>
        <w:pStyle w:val="BodyText"/>
        <w:spacing w:before="8"/>
        <w:rPr>
          <w:b/>
          <w:sz w:val="19"/>
        </w:rPr>
      </w:pPr>
    </w:p>
    <w:p w14:paraId="0F526EE6" w14:textId="77777777" w:rsidR="00894070" w:rsidRDefault="009F6793">
      <w:pPr>
        <w:pStyle w:val="BodyText"/>
        <w:ind w:left="642"/>
      </w:pPr>
      <w:r>
        <w:pict w14:anchorId="7C7BC789">
          <v:group id="_x0000_s1285" style="width:479.1pt;height:160.65pt;mso-position-horizontal-relative:char;mso-position-vertical-relative:line" coordsize="9582,3213">
            <v:rect id="_x0000_s1290" style="position:absolute;left:340;width:8731;height:3213" fillcolor="#fee7de" stroked="f"/>
            <v:line id="_x0000_s1289" style="position:absolute" from="0,808" to="9581,808" strokecolor="white" strokeweight="2.5pt"/>
            <v:shape id="_x0000_s1288" type="#_x0000_t202" style="position:absolute;left:1133;top:1033;width:7552;height:2000" filled="f" stroked="f">
              <v:textbox inset="0,0,0,0">
                <w:txbxContent>
                  <w:p w14:paraId="7CA2F9E1" w14:textId="77777777" w:rsidR="00894070" w:rsidRDefault="009B7AFD">
                    <w:pPr>
                      <w:spacing w:line="247" w:lineRule="auto"/>
                      <w:ind w:right="18"/>
                      <w:rPr>
                        <w:rFonts w:ascii="Trebuchet MS"/>
                        <w:sz w:val="20"/>
                      </w:rPr>
                    </w:pPr>
                    <w:bookmarkStart w:id="134" w:name="Efficient_protections_and_procedural_fix"/>
                    <w:bookmarkStart w:id="135" w:name="_bookmark79"/>
                    <w:bookmarkEnd w:id="134"/>
                    <w:bookmarkEnd w:id="135"/>
                    <w:r>
                      <w:rPr>
                        <w:rFonts w:ascii="Trebuchet MS"/>
                        <w:color w:val="231F20"/>
                        <w:spacing w:val="-2"/>
                        <w:w w:val="105"/>
                        <w:sz w:val="20"/>
                      </w:rPr>
                      <w:t>T</w:t>
                    </w:r>
                    <w:r>
                      <w:rPr>
                        <w:rFonts w:ascii="Trebuchet MS"/>
                        <w:color w:val="231F20"/>
                        <w:spacing w:val="-1"/>
                        <w:w w:val="108"/>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96"/>
                        <w:sz w:val="20"/>
                      </w:rPr>
                      <w:t>i</w:t>
                    </w:r>
                    <w:r>
                      <w:rPr>
                        <w:rFonts w:ascii="Trebuchet MS"/>
                        <w:color w:val="231F20"/>
                        <w:spacing w:val="-2"/>
                        <w:w w:val="96"/>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7"/>
                        <w:sz w:val="20"/>
                      </w:rPr>
                      <w:t>n</w:t>
                    </w:r>
                    <w:r>
                      <w:rPr>
                        <w:rFonts w:ascii="Trebuchet MS"/>
                        <w:color w:val="231F20"/>
                        <w:spacing w:val="-1"/>
                        <w:w w:val="110"/>
                        <w:sz w:val="20"/>
                      </w:rPr>
                      <w:t>me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ho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04"/>
                        <w:sz w:val="20"/>
                      </w:rPr>
                      <w:t>p</w:t>
                    </w:r>
                    <w:r>
                      <w:rPr>
                        <w:rFonts w:ascii="Trebuchet MS"/>
                        <w:color w:val="231F20"/>
                        <w:spacing w:val="-4"/>
                        <w:w w:val="104"/>
                        <w:sz w:val="20"/>
                      </w:rPr>
                      <w:t>r</w:t>
                    </w:r>
                    <w:r>
                      <w:rPr>
                        <w:rFonts w:ascii="Trebuchet MS"/>
                        <w:color w:val="231F20"/>
                        <w:spacing w:val="-6"/>
                        <w:w w:val="111"/>
                        <w:sz w:val="20"/>
                      </w:rPr>
                      <w:t>o</w:t>
                    </w:r>
                    <w:r>
                      <w:rPr>
                        <w:rFonts w:ascii="Trebuchet MS"/>
                        <w:color w:val="231F20"/>
                        <w:spacing w:val="-2"/>
                        <w:w w:val="109"/>
                        <w:sz w:val="20"/>
                      </w:rPr>
                      <w:t>v</w:t>
                    </w:r>
                    <w:r>
                      <w:rPr>
                        <w:rFonts w:ascii="Trebuchet MS"/>
                        <w:color w:val="231F20"/>
                        <w:spacing w:val="-1"/>
                        <w:w w:val="101"/>
                        <w:sz w:val="20"/>
                      </w:rPr>
                      <w:t>i</w:t>
                    </w:r>
                    <w:r>
                      <w:rPr>
                        <w:rFonts w:ascii="Trebuchet MS"/>
                        <w:color w:val="231F20"/>
                        <w:spacing w:val="-2"/>
                        <w:w w:val="101"/>
                        <w:sz w:val="20"/>
                      </w:rPr>
                      <w:t>d</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92"/>
                        <w:sz w:val="20"/>
                      </w:rPr>
                      <w:t>f</w:t>
                    </w:r>
                    <w:r>
                      <w:rPr>
                        <w:rFonts w:ascii="Trebuchet MS"/>
                        <w:color w:val="231F20"/>
                        <w:spacing w:val="-1"/>
                        <w:w w:val="105"/>
                        <w:sz w:val="20"/>
                      </w:rPr>
                      <w:t>und</w:t>
                    </w:r>
                    <w:r>
                      <w:rPr>
                        <w:rFonts w:ascii="Trebuchet MS"/>
                        <w:color w:val="231F20"/>
                        <w:spacing w:val="-2"/>
                        <w:w w:val="105"/>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11"/>
                        <w:sz w:val="20"/>
                      </w:rPr>
                      <w:t>mm</w:t>
                    </w:r>
                    <w:r>
                      <w:rPr>
                        <w:rFonts w:ascii="Trebuchet MS"/>
                        <w:color w:val="231F20"/>
                        <w:spacing w:val="-1"/>
                        <w:w w:val="108"/>
                        <w:sz w:val="20"/>
                      </w:rPr>
                      <w:t>u</w:t>
                    </w:r>
                    <w:r>
                      <w:rPr>
                        <w:rFonts w:ascii="Trebuchet MS"/>
                        <w:color w:val="231F20"/>
                        <w:spacing w:val="-2"/>
                        <w:w w:val="108"/>
                        <w:sz w:val="20"/>
                      </w:rPr>
                      <w:t>n</w:t>
                    </w:r>
                    <w:r>
                      <w:rPr>
                        <w:rFonts w:ascii="Trebuchet MS"/>
                        <w:color w:val="231F20"/>
                        <w:spacing w:val="-3"/>
                        <w:w w:val="80"/>
                        <w:sz w:val="20"/>
                      </w:rPr>
                      <w:t>i</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3"/>
                        <w:w w:val="96"/>
                        <w:sz w:val="20"/>
                      </w:rPr>
                      <w:t>l</w:t>
                    </w:r>
                    <w:r>
                      <w:rPr>
                        <w:rFonts w:ascii="Trebuchet MS"/>
                        <w:color w:val="231F20"/>
                        <w:w w:val="108"/>
                        <w:sz w:val="20"/>
                      </w:rPr>
                      <w:t>e</w:t>
                    </w:r>
                    <w:r>
                      <w:rPr>
                        <w:rFonts w:ascii="Trebuchet MS"/>
                        <w:color w:val="231F20"/>
                        <w:spacing w:val="-1"/>
                        <w:w w:val="124"/>
                        <w:sz w:val="20"/>
                      </w:rPr>
                      <w:t>g</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w w:val="57"/>
                        <w:sz w:val="20"/>
                      </w:rPr>
                      <w:t xml:space="preserve">, </w:t>
                    </w:r>
                    <w:r>
                      <w:rPr>
                        <w:rFonts w:ascii="Trebuchet MS"/>
                        <w:color w:val="231F20"/>
                        <w:w w:val="105"/>
                        <w:sz w:val="20"/>
                      </w:rPr>
                      <w:t>Aboriginal-controlled legal services and Victoria Legal Aid to expand access to legal</w:t>
                    </w:r>
                    <w:r>
                      <w:rPr>
                        <w:rFonts w:ascii="Trebuchet MS"/>
                        <w:color w:val="231F20"/>
                        <w:spacing w:val="-21"/>
                        <w:w w:val="105"/>
                        <w:sz w:val="20"/>
                      </w:rPr>
                      <w:t xml:space="preserve"> </w:t>
                    </w:r>
                    <w:r>
                      <w:rPr>
                        <w:rFonts w:ascii="Trebuchet MS"/>
                        <w:color w:val="231F20"/>
                        <w:w w:val="105"/>
                        <w:sz w:val="20"/>
                      </w:rPr>
                      <w:t>advice</w:t>
                    </w:r>
                    <w:r>
                      <w:rPr>
                        <w:rFonts w:ascii="Trebuchet MS"/>
                        <w:color w:val="231F20"/>
                        <w:spacing w:val="-21"/>
                        <w:w w:val="105"/>
                        <w:sz w:val="20"/>
                      </w:rPr>
                      <w:t xml:space="preserve"> </w:t>
                    </w:r>
                    <w:r>
                      <w:rPr>
                        <w:rFonts w:ascii="Trebuchet MS"/>
                        <w:color w:val="231F20"/>
                        <w:w w:val="105"/>
                        <w:sz w:val="20"/>
                      </w:rPr>
                      <w:t>and</w:t>
                    </w:r>
                    <w:r>
                      <w:rPr>
                        <w:rFonts w:ascii="Trebuchet MS"/>
                        <w:color w:val="231F20"/>
                        <w:spacing w:val="-21"/>
                        <w:w w:val="105"/>
                        <w:sz w:val="20"/>
                      </w:rPr>
                      <w:t xml:space="preserve"> </w:t>
                    </w:r>
                    <w:r>
                      <w:rPr>
                        <w:rFonts w:ascii="Trebuchet MS"/>
                        <w:color w:val="231F20"/>
                        <w:w w:val="105"/>
                        <w:sz w:val="20"/>
                      </w:rPr>
                      <w:t>representation</w:t>
                    </w:r>
                    <w:r>
                      <w:rPr>
                        <w:rFonts w:ascii="Trebuchet MS"/>
                        <w:color w:val="231F20"/>
                        <w:spacing w:val="-21"/>
                        <w:w w:val="105"/>
                        <w:sz w:val="20"/>
                      </w:rPr>
                      <w:t xml:space="preserve"> </w:t>
                    </w:r>
                    <w:r>
                      <w:rPr>
                        <w:rFonts w:ascii="Trebuchet MS"/>
                        <w:color w:val="231F20"/>
                        <w:w w:val="105"/>
                        <w:sz w:val="20"/>
                      </w:rPr>
                      <w:t>for</w:t>
                    </w:r>
                    <w:r>
                      <w:rPr>
                        <w:rFonts w:ascii="Trebuchet MS"/>
                        <w:color w:val="231F20"/>
                        <w:spacing w:val="-21"/>
                        <w:w w:val="105"/>
                        <w:sz w:val="20"/>
                      </w:rPr>
                      <w:t xml:space="preserve"> </w:t>
                    </w:r>
                    <w:r>
                      <w:rPr>
                        <w:rFonts w:ascii="Trebuchet MS"/>
                        <w:color w:val="231F20"/>
                        <w:w w:val="105"/>
                        <w:sz w:val="20"/>
                      </w:rPr>
                      <w:t>applicants</w:t>
                    </w:r>
                    <w:r>
                      <w:rPr>
                        <w:rFonts w:ascii="Trebuchet MS"/>
                        <w:color w:val="231F20"/>
                        <w:spacing w:val="-21"/>
                        <w:w w:val="105"/>
                        <w:sz w:val="20"/>
                      </w:rPr>
                      <w:t xml:space="preserve"> </w:t>
                    </w:r>
                    <w:r>
                      <w:rPr>
                        <w:rFonts w:ascii="Trebuchet MS"/>
                        <w:color w:val="231F20"/>
                        <w:w w:val="105"/>
                        <w:sz w:val="20"/>
                      </w:rPr>
                      <w:t>and</w:t>
                    </w:r>
                    <w:r>
                      <w:rPr>
                        <w:rFonts w:ascii="Trebuchet MS"/>
                        <w:color w:val="231F20"/>
                        <w:spacing w:val="-21"/>
                        <w:w w:val="105"/>
                        <w:sz w:val="20"/>
                      </w:rPr>
                      <w:t xml:space="preserve"> </w:t>
                    </w:r>
                    <w:r>
                      <w:rPr>
                        <w:rFonts w:ascii="Trebuchet MS"/>
                        <w:color w:val="231F20"/>
                        <w:w w:val="105"/>
                        <w:sz w:val="20"/>
                      </w:rPr>
                      <w:t>respondents</w:t>
                    </w:r>
                    <w:r>
                      <w:rPr>
                        <w:rFonts w:ascii="Trebuchet MS"/>
                        <w:color w:val="231F20"/>
                        <w:spacing w:val="-20"/>
                        <w:w w:val="105"/>
                        <w:sz w:val="20"/>
                      </w:rPr>
                      <w:t xml:space="preserve"> </w:t>
                    </w:r>
                    <w:r>
                      <w:rPr>
                        <w:rFonts w:ascii="Trebuchet MS"/>
                        <w:color w:val="231F20"/>
                        <w:w w:val="105"/>
                        <w:sz w:val="20"/>
                      </w:rPr>
                      <w:t>in</w:t>
                    </w:r>
                    <w:r>
                      <w:rPr>
                        <w:rFonts w:ascii="Trebuchet MS"/>
                        <w:color w:val="231F20"/>
                        <w:spacing w:val="-21"/>
                        <w:w w:val="105"/>
                        <w:sz w:val="20"/>
                      </w:rPr>
                      <w:t xml:space="preserve"> </w:t>
                    </w:r>
                    <w:r>
                      <w:rPr>
                        <w:rFonts w:ascii="Trebuchet MS"/>
                        <w:color w:val="231F20"/>
                        <w:w w:val="105"/>
                        <w:sz w:val="20"/>
                      </w:rPr>
                      <w:t>relation</w:t>
                    </w:r>
                    <w:r>
                      <w:rPr>
                        <w:rFonts w:ascii="Trebuchet MS"/>
                        <w:color w:val="231F20"/>
                        <w:spacing w:val="-21"/>
                        <w:w w:val="105"/>
                        <w:sz w:val="20"/>
                      </w:rPr>
                      <w:t xml:space="preserve"> </w:t>
                    </w:r>
                    <w:r>
                      <w:rPr>
                        <w:rFonts w:ascii="Trebuchet MS"/>
                        <w:color w:val="231F20"/>
                        <w:w w:val="105"/>
                        <w:sz w:val="20"/>
                      </w:rPr>
                      <w:t>to</w:t>
                    </w:r>
                    <w:r>
                      <w:rPr>
                        <w:rFonts w:ascii="Trebuchet MS"/>
                        <w:color w:val="231F20"/>
                        <w:spacing w:val="-21"/>
                        <w:w w:val="105"/>
                        <w:sz w:val="20"/>
                      </w:rPr>
                      <w:t xml:space="preserve"> </w:t>
                    </w:r>
                    <w:r>
                      <w:rPr>
                        <w:rFonts w:ascii="Trebuchet MS"/>
                        <w:color w:val="231F20"/>
                        <w:w w:val="105"/>
                        <w:sz w:val="20"/>
                      </w:rPr>
                      <w:t xml:space="preserve">non- </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5"/>
                        <w:sz w:val="20"/>
                      </w:rPr>
                      <w:t>.</w:t>
                    </w:r>
                  </w:p>
                  <w:p w14:paraId="13593988" w14:textId="77777777" w:rsidR="00894070" w:rsidRDefault="009B7AFD">
                    <w:pPr>
                      <w:spacing w:before="88" w:line="247" w:lineRule="auto"/>
                      <w:ind w:right="659"/>
                      <w:rPr>
                        <w:rFonts w:ascii="Trebuchet MS"/>
                        <w:sz w:val="20"/>
                      </w:rPr>
                    </w:pPr>
                    <w:r>
                      <w:rPr>
                        <w:rFonts w:ascii="Trebuchet MS"/>
                        <w:color w:val="231F20"/>
                        <w:w w:val="105"/>
                        <w:sz w:val="20"/>
                      </w:rPr>
                      <w:t>Eligibility for access to legal advice or representation for applicants and respondents in non-family violence stalking personal safety intervention order matters should be determined based on the guidance developed in Recommendation 10.</w:t>
                    </w:r>
                  </w:p>
                </w:txbxContent>
              </v:textbox>
            </v:shape>
            <v:shape id="_x0000_s1287" type="#_x0000_t202" style="position:absolute;left:566;top:1033;width:285;height:1280" filled="f" stroked="f">
              <v:textbox inset="0,0,0,0">
                <w:txbxContent>
                  <w:p w14:paraId="780E2098" w14:textId="77777777" w:rsidR="00894070" w:rsidRDefault="009B7AFD">
                    <w:pPr>
                      <w:rPr>
                        <w:rFonts w:ascii="Trebuchet MS"/>
                        <w:sz w:val="20"/>
                      </w:rPr>
                    </w:pPr>
                    <w:r>
                      <w:rPr>
                        <w:rFonts w:ascii="Trebuchet MS"/>
                        <w:color w:val="231F20"/>
                        <w:w w:val="95"/>
                        <w:sz w:val="20"/>
                      </w:rPr>
                      <w:t>23.</w:t>
                    </w:r>
                  </w:p>
                  <w:p w14:paraId="51057043" w14:textId="77777777" w:rsidR="00894070" w:rsidRDefault="00894070">
                    <w:pPr>
                      <w:rPr>
                        <w:b/>
                      </w:rPr>
                    </w:pPr>
                  </w:p>
                  <w:p w14:paraId="58B09CB8" w14:textId="77777777" w:rsidR="00894070" w:rsidRDefault="00894070">
                    <w:pPr>
                      <w:rPr>
                        <w:b/>
                      </w:rPr>
                    </w:pPr>
                  </w:p>
                  <w:p w14:paraId="0A792BA5" w14:textId="77777777" w:rsidR="00894070" w:rsidRDefault="00894070">
                    <w:pPr>
                      <w:spacing w:before="7"/>
                      <w:rPr>
                        <w:b/>
                        <w:sz w:val="14"/>
                      </w:rPr>
                    </w:pPr>
                  </w:p>
                  <w:p w14:paraId="658C0286" w14:textId="77777777" w:rsidR="00894070" w:rsidRDefault="009B7AFD">
                    <w:pPr>
                      <w:spacing w:before="1"/>
                      <w:rPr>
                        <w:rFonts w:ascii="Trebuchet MS"/>
                        <w:sz w:val="20"/>
                      </w:rPr>
                    </w:pPr>
                    <w:r>
                      <w:rPr>
                        <w:rFonts w:ascii="Trebuchet MS"/>
                        <w:color w:val="231F20"/>
                        <w:w w:val="95"/>
                        <w:sz w:val="20"/>
                      </w:rPr>
                      <w:t>24.</w:t>
                    </w:r>
                  </w:p>
                </w:txbxContent>
              </v:textbox>
            </v:shape>
            <v:shape id="_x0000_s1286" type="#_x0000_t202" style="position:absolute;left:340;width:8731;height:783" fillcolor="#fee7de" stroked="f">
              <v:textbox inset="0,0,0,0">
                <w:txbxContent>
                  <w:p w14:paraId="747BB251" w14:textId="77777777" w:rsidR="00894070" w:rsidRDefault="009B7AFD">
                    <w:pPr>
                      <w:spacing w:before="158"/>
                      <w:ind w:left="226"/>
                      <w:rPr>
                        <w:rFonts w:ascii="Raleway ExtraBold"/>
                        <w:b/>
                        <w:sz w:val="32"/>
                      </w:rPr>
                    </w:pPr>
                    <w:r>
                      <w:rPr>
                        <w:rFonts w:ascii="Raleway ExtraBold"/>
                        <w:b/>
                        <w:color w:val="EA5B50"/>
                        <w:sz w:val="32"/>
                      </w:rPr>
                      <w:t>Recommendations</w:t>
                    </w:r>
                  </w:p>
                </w:txbxContent>
              </v:textbox>
            </v:shape>
            <w10:anchorlock/>
          </v:group>
        </w:pict>
      </w:r>
    </w:p>
    <w:p w14:paraId="68753123" w14:textId="77777777" w:rsidR="00894070" w:rsidRDefault="00894070">
      <w:pPr>
        <w:pStyle w:val="BodyText"/>
        <w:rPr>
          <w:b/>
        </w:rPr>
      </w:pPr>
    </w:p>
    <w:p w14:paraId="72EB05C5" w14:textId="77777777" w:rsidR="00894070" w:rsidRDefault="009B7AFD">
      <w:pPr>
        <w:spacing w:before="189"/>
        <w:ind w:left="1007"/>
        <w:rPr>
          <w:rFonts w:ascii="Raleway ExtraBold"/>
          <w:b/>
          <w:sz w:val="28"/>
        </w:rPr>
      </w:pPr>
      <w:r>
        <w:rPr>
          <w:rFonts w:ascii="Raleway ExtraBold"/>
          <w:b/>
          <w:color w:val="EA5B50"/>
          <w:sz w:val="28"/>
        </w:rPr>
        <w:t>Efficient protections and procedural fixes should be introduced</w:t>
      </w:r>
    </w:p>
    <w:p w14:paraId="3D4952A6" w14:textId="77777777" w:rsidR="00894070" w:rsidRDefault="009B7AFD">
      <w:pPr>
        <w:spacing w:before="241"/>
        <w:ind w:left="1007"/>
        <w:rPr>
          <w:b/>
          <w:sz w:val="24"/>
        </w:rPr>
      </w:pPr>
      <w:r>
        <w:rPr>
          <w:b/>
          <w:color w:val="231F20"/>
          <w:sz w:val="24"/>
        </w:rPr>
        <w:t>Online applications are available for individuals</w:t>
      </w:r>
    </w:p>
    <w:p w14:paraId="40F47C5A" w14:textId="77777777" w:rsidR="00894070" w:rsidRDefault="009B7AFD">
      <w:pPr>
        <w:pStyle w:val="ListParagraph"/>
        <w:numPr>
          <w:ilvl w:val="1"/>
          <w:numId w:val="102"/>
        </w:numPr>
        <w:tabs>
          <w:tab w:val="left" w:pos="1802"/>
        </w:tabs>
        <w:spacing w:before="127" w:line="206" w:lineRule="auto"/>
        <w:ind w:right="1702"/>
        <w:jc w:val="both"/>
        <w:rPr>
          <w:sz w:val="20"/>
        </w:rPr>
      </w:pPr>
      <w:r>
        <w:rPr>
          <w:color w:val="231F20"/>
          <w:sz w:val="20"/>
        </w:rPr>
        <w:t>In</w:t>
      </w:r>
      <w:r>
        <w:rPr>
          <w:color w:val="231F20"/>
          <w:spacing w:val="-10"/>
          <w:sz w:val="20"/>
        </w:rPr>
        <w:t xml:space="preserve"> </w:t>
      </w:r>
      <w:r>
        <w:rPr>
          <w:color w:val="231F20"/>
          <w:sz w:val="20"/>
        </w:rPr>
        <w:t>our</w:t>
      </w:r>
      <w:r>
        <w:rPr>
          <w:color w:val="231F20"/>
          <w:spacing w:val="-9"/>
          <w:sz w:val="20"/>
        </w:rPr>
        <w:t xml:space="preserve"> </w:t>
      </w:r>
      <w:r>
        <w:rPr>
          <w:color w:val="231F20"/>
          <w:sz w:val="20"/>
        </w:rPr>
        <w:t>consultation</w:t>
      </w:r>
      <w:r>
        <w:rPr>
          <w:color w:val="231F20"/>
          <w:spacing w:val="-10"/>
          <w:sz w:val="20"/>
        </w:rPr>
        <w:t xml:space="preserve"> </w:t>
      </w:r>
      <w:r>
        <w:rPr>
          <w:color w:val="231F20"/>
          <w:sz w:val="20"/>
        </w:rPr>
        <w:t>paper</w:t>
      </w:r>
      <w:r>
        <w:rPr>
          <w:color w:val="231F20"/>
          <w:spacing w:val="-9"/>
          <w:sz w:val="20"/>
        </w:rPr>
        <w:t xml:space="preserve"> </w:t>
      </w:r>
      <w:r>
        <w:rPr>
          <w:color w:val="231F20"/>
          <w:spacing w:val="-3"/>
          <w:sz w:val="20"/>
        </w:rPr>
        <w:t>we</w:t>
      </w:r>
      <w:r>
        <w:rPr>
          <w:color w:val="231F20"/>
          <w:spacing w:val="-9"/>
          <w:sz w:val="20"/>
        </w:rPr>
        <w:t xml:space="preserve"> </w:t>
      </w:r>
      <w:r>
        <w:rPr>
          <w:color w:val="231F20"/>
          <w:sz w:val="20"/>
        </w:rPr>
        <w:t>asked</w:t>
      </w:r>
      <w:r>
        <w:rPr>
          <w:color w:val="231F20"/>
          <w:spacing w:val="-10"/>
          <w:sz w:val="20"/>
        </w:rPr>
        <w:t xml:space="preserve"> </w:t>
      </w:r>
      <w:r>
        <w:rPr>
          <w:color w:val="231F20"/>
          <w:spacing w:val="-4"/>
          <w:sz w:val="20"/>
        </w:rPr>
        <w:t>whether,</w:t>
      </w:r>
      <w:r>
        <w:rPr>
          <w:color w:val="231F20"/>
          <w:spacing w:val="-9"/>
          <w:sz w:val="20"/>
        </w:rPr>
        <w:t xml:space="preserve"> </w:t>
      </w:r>
      <w:r>
        <w:rPr>
          <w:color w:val="231F20"/>
          <w:sz w:val="20"/>
        </w:rPr>
        <w:t>and</w:t>
      </w:r>
      <w:r>
        <w:rPr>
          <w:color w:val="231F20"/>
          <w:spacing w:val="-10"/>
          <w:sz w:val="20"/>
        </w:rPr>
        <w:t xml:space="preserve"> </w:t>
      </w:r>
      <w:r>
        <w:rPr>
          <w:color w:val="231F20"/>
          <w:sz w:val="20"/>
        </w:rPr>
        <w:t>in</w:t>
      </w:r>
      <w:r>
        <w:rPr>
          <w:color w:val="231F20"/>
          <w:spacing w:val="-9"/>
          <w:sz w:val="20"/>
        </w:rPr>
        <w:t xml:space="preserve"> </w:t>
      </w:r>
      <w:r>
        <w:rPr>
          <w:color w:val="231F20"/>
          <w:sz w:val="20"/>
        </w:rPr>
        <w:t>what</w:t>
      </w:r>
      <w:r>
        <w:rPr>
          <w:color w:val="231F20"/>
          <w:spacing w:val="-9"/>
          <w:sz w:val="20"/>
        </w:rPr>
        <w:t xml:space="preserve"> </w:t>
      </w:r>
      <w:r>
        <w:rPr>
          <w:color w:val="231F20"/>
          <w:sz w:val="20"/>
        </w:rPr>
        <w:t>circumstances,</w:t>
      </w:r>
      <w:r>
        <w:rPr>
          <w:color w:val="231F20"/>
          <w:spacing w:val="-10"/>
          <w:sz w:val="20"/>
        </w:rPr>
        <w:t xml:space="preserve"> </w:t>
      </w:r>
      <w:r>
        <w:rPr>
          <w:color w:val="231F20"/>
          <w:sz w:val="20"/>
        </w:rPr>
        <w:t>a</w:t>
      </w:r>
      <w:r>
        <w:rPr>
          <w:color w:val="231F20"/>
          <w:spacing w:val="-9"/>
          <w:sz w:val="20"/>
        </w:rPr>
        <w:t xml:space="preserve"> </w:t>
      </w:r>
      <w:r>
        <w:rPr>
          <w:color w:val="231F20"/>
          <w:sz w:val="20"/>
        </w:rPr>
        <w:t>person making</w:t>
      </w:r>
      <w:r>
        <w:rPr>
          <w:color w:val="231F20"/>
          <w:spacing w:val="-9"/>
          <w:sz w:val="20"/>
        </w:rPr>
        <w:t xml:space="preserve"> </w:t>
      </w:r>
      <w:r>
        <w:rPr>
          <w:color w:val="231F20"/>
          <w:sz w:val="20"/>
        </w:rPr>
        <w:t>an</w:t>
      </w:r>
      <w:r>
        <w:rPr>
          <w:color w:val="231F20"/>
          <w:spacing w:val="-8"/>
          <w:sz w:val="20"/>
        </w:rPr>
        <w:t xml:space="preserve"> </w:t>
      </w:r>
      <w:r>
        <w:rPr>
          <w:color w:val="231F20"/>
          <w:sz w:val="20"/>
        </w:rPr>
        <w:t>application</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a</w:t>
      </w:r>
      <w:r>
        <w:rPr>
          <w:color w:val="231F20"/>
          <w:spacing w:val="-8"/>
          <w:sz w:val="20"/>
        </w:rPr>
        <w:t xml:space="preserve"> </w:t>
      </w:r>
      <w:r>
        <w:rPr>
          <w:color w:val="231F20"/>
          <w:sz w:val="20"/>
        </w:rPr>
        <w:t>PSIO</w:t>
      </w:r>
      <w:r>
        <w:rPr>
          <w:color w:val="231F20"/>
          <w:spacing w:val="-8"/>
          <w:sz w:val="20"/>
        </w:rPr>
        <w:t xml:space="preserve"> </w:t>
      </w:r>
      <w:r>
        <w:rPr>
          <w:color w:val="231F20"/>
          <w:sz w:val="20"/>
        </w:rPr>
        <w:t>should</w:t>
      </w:r>
      <w:r>
        <w:rPr>
          <w:color w:val="231F20"/>
          <w:spacing w:val="-8"/>
          <w:sz w:val="20"/>
        </w:rPr>
        <w:t xml:space="preserve"> </w:t>
      </w:r>
      <w:r>
        <w:rPr>
          <w:color w:val="231F20"/>
          <w:sz w:val="20"/>
        </w:rPr>
        <w:t>be</w:t>
      </w:r>
      <w:r>
        <w:rPr>
          <w:color w:val="231F20"/>
          <w:spacing w:val="-8"/>
          <w:sz w:val="20"/>
        </w:rPr>
        <w:t xml:space="preserve"> </w:t>
      </w:r>
      <w:r>
        <w:rPr>
          <w:color w:val="231F20"/>
          <w:sz w:val="20"/>
        </w:rPr>
        <w:t>able</w:t>
      </w:r>
      <w:r>
        <w:rPr>
          <w:color w:val="231F20"/>
          <w:spacing w:val="-9"/>
          <w:sz w:val="20"/>
        </w:rPr>
        <w:t xml:space="preserve"> </w:t>
      </w:r>
      <w:r>
        <w:rPr>
          <w:color w:val="231F20"/>
          <w:sz w:val="20"/>
        </w:rPr>
        <w:t>to</w:t>
      </w:r>
      <w:r>
        <w:rPr>
          <w:color w:val="231F20"/>
          <w:spacing w:val="-8"/>
          <w:sz w:val="20"/>
        </w:rPr>
        <w:t xml:space="preserve"> </w:t>
      </w:r>
      <w:r>
        <w:rPr>
          <w:color w:val="231F20"/>
          <w:sz w:val="20"/>
        </w:rPr>
        <w:t>do</w:t>
      </w:r>
      <w:r>
        <w:rPr>
          <w:color w:val="231F20"/>
          <w:spacing w:val="-8"/>
          <w:sz w:val="20"/>
        </w:rPr>
        <w:t xml:space="preserve"> </w:t>
      </w:r>
      <w:r>
        <w:rPr>
          <w:color w:val="231F20"/>
          <w:sz w:val="20"/>
        </w:rPr>
        <w:t>so</w:t>
      </w:r>
      <w:r>
        <w:rPr>
          <w:color w:val="231F20"/>
          <w:spacing w:val="-8"/>
          <w:sz w:val="20"/>
        </w:rPr>
        <w:t xml:space="preserve"> </w:t>
      </w:r>
      <w:r>
        <w:rPr>
          <w:color w:val="231F20"/>
          <w:sz w:val="20"/>
        </w:rPr>
        <w:t>online.</w:t>
      </w:r>
      <w:r>
        <w:rPr>
          <w:color w:val="231F20"/>
          <w:spacing w:val="-8"/>
          <w:sz w:val="20"/>
        </w:rPr>
        <w:t xml:space="preserve"> </w:t>
      </w:r>
      <w:r>
        <w:rPr>
          <w:color w:val="231F20"/>
          <w:sz w:val="20"/>
        </w:rPr>
        <w:t>FVIOs</w:t>
      </w:r>
      <w:r>
        <w:rPr>
          <w:color w:val="231F20"/>
          <w:spacing w:val="-8"/>
          <w:sz w:val="20"/>
        </w:rPr>
        <w:t xml:space="preserve"> </w:t>
      </w:r>
      <w:r>
        <w:rPr>
          <w:color w:val="231F20"/>
          <w:sz w:val="20"/>
        </w:rPr>
        <w:t>at</w:t>
      </w:r>
      <w:r>
        <w:rPr>
          <w:color w:val="231F20"/>
          <w:spacing w:val="-8"/>
          <w:sz w:val="20"/>
        </w:rPr>
        <w:t xml:space="preserve"> </w:t>
      </w:r>
      <w:r>
        <w:rPr>
          <w:color w:val="231F20"/>
          <w:sz w:val="20"/>
        </w:rPr>
        <w:t>the</w:t>
      </w:r>
      <w:r>
        <w:rPr>
          <w:color w:val="231F20"/>
          <w:spacing w:val="-8"/>
          <w:sz w:val="20"/>
        </w:rPr>
        <w:t xml:space="preserve"> </w:t>
      </w:r>
      <w:r>
        <w:rPr>
          <w:color w:val="231F20"/>
          <w:sz w:val="20"/>
        </w:rPr>
        <w:t>time could be made</w:t>
      </w:r>
      <w:r>
        <w:rPr>
          <w:color w:val="231F20"/>
          <w:spacing w:val="-13"/>
          <w:sz w:val="20"/>
        </w:rPr>
        <w:t xml:space="preserve"> </w:t>
      </w:r>
      <w:r>
        <w:rPr>
          <w:color w:val="231F20"/>
          <w:sz w:val="20"/>
        </w:rPr>
        <w:t>online.</w:t>
      </w:r>
    </w:p>
    <w:p w14:paraId="7E535E8F" w14:textId="77777777" w:rsidR="00894070" w:rsidRDefault="009B7AFD">
      <w:pPr>
        <w:pStyle w:val="ListParagraph"/>
        <w:numPr>
          <w:ilvl w:val="1"/>
          <w:numId w:val="102"/>
        </w:numPr>
        <w:tabs>
          <w:tab w:val="left" w:pos="1801"/>
          <w:tab w:val="left" w:pos="1802"/>
        </w:tabs>
        <w:spacing w:before="91" w:line="259" w:lineRule="exact"/>
        <w:rPr>
          <w:sz w:val="20"/>
        </w:rPr>
      </w:pPr>
      <w:r>
        <w:rPr>
          <w:color w:val="231F20"/>
          <w:spacing w:val="-6"/>
          <w:sz w:val="20"/>
        </w:rPr>
        <w:t xml:space="preserve">We </w:t>
      </w:r>
      <w:r>
        <w:rPr>
          <w:color w:val="231F20"/>
          <w:sz w:val="20"/>
        </w:rPr>
        <w:t>heard</w:t>
      </w:r>
      <w:r>
        <w:rPr>
          <w:color w:val="231F20"/>
          <w:spacing w:val="-5"/>
          <w:sz w:val="20"/>
        </w:rPr>
        <w:t xml:space="preserve"> </w:t>
      </w:r>
      <w:r>
        <w:rPr>
          <w:color w:val="231F20"/>
          <w:sz w:val="20"/>
        </w:rPr>
        <w:t>support</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online</w:t>
      </w:r>
      <w:r>
        <w:rPr>
          <w:color w:val="231F20"/>
          <w:spacing w:val="-5"/>
          <w:sz w:val="20"/>
        </w:rPr>
        <w:t xml:space="preserve"> </w:t>
      </w:r>
      <w:proofErr w:type="gramStart"/>
      <w:r>
        <w:rPr>
          <w:color w:val="231F20"/>
          <w:sz w:val="20"/>
        </w:rPr>
        <w:t>applications</w:t>
      </w:r>
      <w:proofErr w:type="gramEnd"/>
      <w:r>
        <w:rPr>
          <w:color w:val="231F20"/>
          <w:spacing w:val="-5"/>
          <w:sz w:val="20"/>
        </w:rPr>
        <w:t xml:space="preserve"> </w:t>
      </w:r>
      <w:r>
        <w:rPr>
          <w:color w:val="231F20"/>
          <w:sz w:val="20"/>
        </w:rPr>
        <w:t>but</w:t>
      </w:r>
      <w:r>
        <w:rPr>
          <w:color w:val="231F20"/>
          <w:spacing w:val="-5"/>
          <w:sz w:val="20"/>
        </w:rPr>
        <w:t xml:space="preserve"> </w:t>
      </w:r>
      <w:r>
        <w:rPr>
          <w:color w:val="231F20"/>
          <w:sz w:val="20"/>
        </w:rPr>
        <w:t>this</w:t>
      </w:r>
      <w:r>
        <w:rPr>
          <w:color w:val="231F20"/>
          <w:spacing w:val="-5"/>
          <w:sz w:val="20"/>
        </w:rPr>
        <w:t xml:space="preserve"> </w:t>
      </w:r>
      <w:r>
        <w:rPr>
          <w:color w:val="231F20"/>
          <w:sz w:val="20"/>
        </w:rPr>
        <w:t>was</w:t>
      </w:r>
      <w:r>
        <w:rPr>
          <w:color w:val="231F20"/>
          <w:spacing w:val="-5"/>
          <w:sz w:val="20"/>
        </w:rPr>
        <w:t xml:space="preserve"> </w:t>
      </w:r>
      <w:r>
        <w:rPr>
          <w:color w:val="231F20"/>
          <w:spacing w:val="-3"/>
          <w:sz w:val="20"/>
        </w:rPr>
        <w:t>mostly</w:t>
      </w:r>
      <w:r>
        <w:rPr>
          <w:color w:val="231F20"/>
          <w:spacing w:val="-5"/>
          <w:sz w:val="20"/>
        </w:rPr>
        <w:t xml:space="preserve"> </w:t>
      </w:r>
      <w:r>
        <w:rPr>
          <w:color w:val="231F20"/>
          <w:sz w:val="20"/>
        </w:rPr>
        <w:t>qualified</w:t>
      </w:r>
      <w:r>
        <w:rPr>
          <w:color w:val="231F20"/>
          <w:spacing w:val="-5"/>
          <w:sz w:val="20"/>
        </w:rPr>
        <w:t xml:space="preserve"> </w:t>
      </w:r>
      <w:r>
        <w:rPr>
          <w:color w:val="231F20"/>
          <w:sz w:val="20"/>
        </w:rPr>
        <w:t>support,</w:t>
      </w:r>
    </w:p>
    <w:p w14:paraId="5F5F9A4B" w14:textId="77777777" w:rsidR="00894070" w:rsidRDefault="009B7AFD">
      <w:pPr>
        <w:pStyle w:val="BodyText"/>
        <w:spacing w:line="259" w:lineRule="exact"/>
        <w:ind w:left="1801"/>
        <w:rPr>
          <w:sz w:val="11"/>
        </w:rPr>
      </w:pPr>
      <w:r>
        <w:rPr>
          <w:color w:val="231F20"/>
        </w:rPr>
        <w:t>emphasising the need for safeguards.</w:t>
      </w:r>
      <w:r>
        <w:rPr>
          <w:color w:val="231F20"/>
          <w:position w:val="7"/>
          <w:sz w:val="11"/>
        </w:rPr>
        <w:t>190</w:t>
      </w:r>
    </w:p>
    <w:p w14:paraId="71AF234F" w14:textId="77777777" w:rsidR="00894070" w:rsidRDefault="009B7AFD">
      <w:pPr>
        <w:pStyle w:val="ListParagraph"/>
        <w:numPr>
          <w:ilvl w:val="1"/>
          <w:numId w:val="102"/>
        </w:numPr>
        <w:tabs>
          <w:tab w:val="left" w:pos="1801"/>
          <w:tab w:val="left" w:pos="1802"/>
        </w:tabs>
        <w:spacing w:before="83"/>
        <w:rPr>
          <w:sz w:val="20"/>
        </w:rPr>
      </w:pPr>
      <w:r>
        <w:rPr>
          <w:color w:val="231F20"/>
          <w:spacing w:val="-6"/>
          <w:sz w:val="20"/>
        </w:rPr>
        <w:t xml:space="preserve">We </w:t>
      </w:r>
      <w:r>
        <w:rPr>
          <w:color w:val="231F20"/>
          <w:sz w:val="20"/>
        </w:rPr>
        <w:t>heard concerns that online applications</w:t>
      </w:r>
      <w:r>
        <w:rPr>
          <w:color w:val="231F20"/>
          <w:spacing w:val="-21"/>
          <w:sz w:val="20"/>
        </w:rPr>
        <w:t xml:space="preserve"> </w:t>
      </w:r>
      <w:r>
        <w:rPr>
          <w:color w:val="231F20"/>
          <w:spacing w:val="-3"/>
          <w:sz w:val="20"/>
        </w:rPr>
        <w:t>could:</w:t>
      </w:r>
    </w:p>
    <w:p w14:paraId="66EA7566" w14:textId="77777777" w:rsidR="00894070" w:rsidRDefault="009B7AFD">
      <w:pPr>
        <w:pStyle w:val="ListParagraph"/>
        <w:numPr>
          <w:ilvl w:val="2"/>
          <w:numId w:val="102"/>
        </w:numPr>
        <w:tabs>
          <w:tab w:val="left" w:pos="2141"/>
          <w:tab w:val="left" w:pos="2142"/>
        </w:tabs>
        <w:spacing w:before="82"/>
        <w:ind w:hanging="340"/>
        <w:rPr>
          <w:sz w:val="11"/>
        </w:rPr>
      </w:pPr>
      <w:r>
        <w:rPr>
          <w:color w:val="231F20"/>
          <w:sz w:val="20"/>
        </w:rPr>
        <w:t xml:space="preserve">increase the number of </w:t>
      </w:r>
      <w:r>
        <w:rPr>
          <w:color w:val="231F20"/>
          <w:spacing w:val="-3"/>
          <w:sz w:val="20"/>
        </w:rPr>
        <w:t xml:space="preserve">vexatious </w:t>
      </w:r>
      <w:r>
        <w:rPr>
          <w:color w:val="231F20"/>
          <w:sz w:val="20"/>
        </w:rPr>
        <w:t xml:space="preserve">or </w:t>
      </w:r>
      <w:r>
        <w:rPr>
          <w:color w:val="231F20"/>
          <w:spacing w:val="-3"/>
          <w:sz w:val="20"/>
        </w:rPr>
        <w:t>inappropriate</w:t>
      </w:r>
      <w:r>
        <w:rPr>
          <w:color w:val="231F20"/>
          <w:spacing w:val="-27"/>
          <w:sz w:val="20"/>
        </w:rPr>
        <w:t xml:space="preserve"> </w:t>
      </w:r>
      <w:r>
        <w:rPr>
          <w:color w:val="231F20"/>
          <w:sz w:val="20"/>
        </w:rPr>
        <w:t>applications</w:t>
      </w:r>
      <w:r>
        <w:rPr>
          <w:color w:val="231F20"/>
          <w:position w:val="7"/>
          <w:sz w:val="11"/>
        </w:rPr>
        <w:t>191</w:t>
      </w:r>
    </w:p>
    <w:p w14:paraId="4BA6B2E1" w14:textId="77777777" w:rsidR="00894070" w:rsidRDefault="009B7AFD">
      <w:pPr>
        <w:pStyle w:val="ListParagraph"/>
        <w:numPr>
          <w:ilvl w:val="2"/>
          <w:numId w:val="102"/>
        </w:numPr>
        <w:tabs>
          <w:tab w:val="left" w:pos="2141"/>
          <w:tab w:val="left" w:pos="2142"/>
        </w:tabs>
        <w:spacing w:before="48"/>
        <w:ind w:hanging="340"/>
        <w:rPr>
          <w:sz w:val="11"/>
        </w:rPr>
      </w:pPr>
      <w:r>
        <w:rPr>
          <w:color w:val="231F20"/>
          <w:spacing w:val="-3"/>
          <w:sz w:val="20"/>
        </w:rPr>
        <w:t xml:space="preserve">reduce </w:t>
      </w:r>
      <w:r>
        <w:rPr>
          <w:color w:val="231F20"/>
          <w:sz w:val="20"/>
        </w:rPr>
        <w:t xml:space="preserve">the capacity of the court to </w:t>
      </w:r>
      <w:r>
        <w:rPr>
          <w:color w:val="231F20"/>
          <w:spacing w:val="-2"/>
          <w:sz w:val="20"/>
        </w:rPr>
        <w:t xml:space="preserve">filter </w:t>
      </w:r>
      <w:r>
        <w:rPr>
          <w:color w:val="231F20"/>
          <w:sz w:val="20"/>
        </w:rPr>
        <w:t>PSIO</w:t>
      </w:r>
      <w:r>
        <w:rPr>
          <w:color w:val="231F20"/>
          <w:spacing w:val="-35"/>
          <w:sz w:val="20"/>
        </w:rPr>
        <w:t xml:space="preserve"> </w:t>
      </w:r>
      <w:r>
        <w:rPr>
          <w:color w:val="231F20"/>
          <w:sz w:val="20"/>
        </w:rPr>
        <w:t>applications</w:t>
      </w:r>
      <w:r>
        <w:rPr>
          <w:color w:val="231F20"/>
          <w:position w:val="7"/>
          <w:sz w:val="11"/>
        </w:rPr>
        <w:t>192</w:t>
      </w:r>
    </w:p>
    <w:p w14:paraId="55293FFF" w14:textId="77777777" w:rsidR="00894070" w:rsidRDefault="009B7AFD">
      <w:pPr>
        <w:pStyle w:val="ListParagraph"/>
        <w:numPr>
          <w:ilvl w:val="2"/>
          <w:numId w:val="102"/>
        </w:numPr>
        <w:tabs>
          <w:tab w:val="left" w:pos="2141"/>
          <w:tab w:val="left" w:pos="2142"/>
        </w:tabs>
        <w:spacing w:before="79" w:line="206" w:lineRule="auto"/>
        <w:ind w:right="1512" w:hanging="340"/>
        <w:rPr>
          <w:sz w:val="11"/>
        </w:rPr>
      </w:pPr>
      <w:r>
        <w:rPr>
          <w:color w:val="231F20"/>
          <w:sz w:val="20"/>
        </w:rPr>
        <w:t>risk</w:t>
      </w:r>
      <w:r>
        <w:rPr>
          <w:color w:val="231F20"/>
          <w:spacing w:val="-11"/>
          <w:sz w:val="20"/>
        </w:rPr>
        <w:t xml:space="preserve"> </w:t>
      </w:r>
      <w:r>
        <w:rPr>
          <w:color w:val="231F20"/>
          <w:sz w:val="20"/>
        </w:rPr>
        <w:t>the</w:t>
      </w:r>
      <w:r>
        <w:rPr>
          <w:color w:val="231F20"/>
          <w:spacing w:val="-11"/>
          <w:sz w:val="20"/>
        </w:rPr>
        <w:t xml:space="preserve"> </w:t>
      </w:r>
      <w:r>
        <w:rPr>
          <w:color w:val="231F20"/>
          <w:sz w:val="20"/>
        </w:rPr>
        <w:t>person</w:t>
      </w:r>
      <w:r>
        <w:rPr>
          <w:color w:val="231F20"/>
          <w:spacing w:val="-10"/>
          <w:sz w:val="20"/>
        </w:rPr>
        <w:t xml:space="preserve"> </w:t>
      </w:r>
      <w:r>
        <w:rPr>
          <w:color w:val="231F20"/>
          <w:sz w:val="20"/>
        </w:rPr>
        <w:t>stalking</w:t>
      </w:r>
      <w:r>
        <w:rPr>
          <w:color w:val="231F20"/>
          <w:spacing w:val="-11"/>
          <w:sz w:val="20"/>
        </w:rPr>
        <w:t xml:space="preserve"> </w:t>
      </w:r>
      <w:r>
        <w:rPr>
          <w:color w:val="231F20"/>
          <w:sz w:val="20"/>
        </w:rPr>
        <w:t>gaining</w:t>
      </w:r>
      <w:r>
        <w:rPr>
          <w:color w:val="231F20"/>
          <w:spacing w:val="-10"/>
          <w:sz w:val="20"/>
        </w:rPr>
        <w:t xml:space="preserve"> </w:t>
      </w:r>
      <w:r>
        <w:rPr>
          <w:color w:val="231F20"/>
          <w:sz w:val="20"/>
        </w:rPr>
        <w:t>knowledge</w:t>
      </w:r>
      <w:r>
        <w:rPr>
          <w:color w:val="231F20"/>
          <w:spacing w:val="-11"/>
          <w:sz w:val="20"/>
        </w:rPr>
        <w:t xml:space="preserve"> </w:t>
      </w:r>
      <w:r>
        <w:rPr>
          <w:color w:val="231F20"/>
          <w:sz w:val="20"/>
        </w:rPr>
        <w:t>of</w:t>
      </w:r>
      <w:r>
        <w:rPr>
          <w:color w:val="231F20"/>
          <w:spacing w:val="-10"/>
          <w:sz w:val="20"/>
        </w:rPr>
        <w:t xml:space="preserve"> </w:t>
      </w:r>
      <w:r>
        <w:rPr>
          <w:color w:val="231F20"/>
          <w:sz w:val="20"/>
        </w:rPr>
        <w:t>the</w:t>
      </w:r>
      <w:r>
        <w:rPr>
          <w:color w:val="231F20"/>
          <w:spacing w:val="-11"/>
          <w:sz w:val="20"/>
        </w:rPr>
        <w:t xml:space="preserve"> </w:t>
      </w:r>
      <w:r>
        <w:rPr>
          <w:color w:val="231F20"/>
          <w:sz w:val="20"/>
        </w:rPr>
        <w:t>online</w:t>
      </w:r>
      <w:r>
        <w:rPr>
          <w:color w:val="231F20"/>
          <w:spacing w:val="-10"/>
          <w:sz w:val="20"/>
        </w:rPr>
        <w:t xml:space="preserve"> </w:t>
      </w:r>
      <w:r>
        <w:rPr>
          <w:color w:val="231F20"/>
          <w:sz w:val="20"/>
        </w:rPr>
        <w:t>application</w:t>
      </w:r>
      <w:r>
        <w:rPr>
          <w:color w:val="231F20"/>
          <w:spacing w:val="-11"/>
          <w:sz w:val="20"/>
        </w:rPr>
        <w:t xml:space="preserve"> </w:t>
      </w:r>
      <w:r>
        <w:rPr>
          <w:color w:val="231F20"/>
          <w:sz w:val="20"/>
        </w:rPr>
        <w:t>if</w:t>
      </w:r>
      <w:r>
        <w:rPr>
          <w:color w:val="231F20"/>
          <w:spacing w:val="-10"/>
          <w:sz w:val="20"/>
        </w:rPr>
        <w:t xml:space="preserve"> </w:t>
      </w:r>
      <w:r>
        <w:rPr>
          <w:color w:val="231F20"/>
          <w:sz w:val="20"/>
        </w:rPr>
        <w:t>they</w:t>
      </w:r>
      <w:r>
        <w:rPr>
          <w:color w:val="231F20"/>
          <w:spacing w:val="-11"/>
          <w:sz w:val="20"/>
        </w:rPr>
        <w:t xml:space="preserve"> </w:t>
      </w:r>
      <w:r>
        <w:rPr>
          <w:color w:val="231F20"/>
          <w:spacing w:val="-4"/>
          <w:sz w:val="20"/>
        </w:rPr>
        <w:t xml:space="preserve">were </w:t>
      </w:r>
      <w:r>
        <w:rPr>
          <w:color w:val="231F20"/>
          <w:sz w:val="20"/>
        </w:rPr>
        <w:t>monitoring the victim survivor online, which could cause their behaviour to escalate.</w:t>
      </w:r>
      <w:r>
        <w:rPr>
          <w:color w:val="231F20"/>
          <w:position w:val="7"/>
          <w:sz w:val="11"/>
        </w:rPr>
        <w:t>193</w:t>
      </w:r>
    </w:p>
    <w:p w14:paraId="2A8906CF" w14:textId="77777777" w:rsidR="00894070" w:rsidRDefault="009B7AFD">
      <w:pPr>
        <w:pStyle w:val="ListParagraph"/>
        <w:numPr>
          <w:ilvl w:val="1"/>
          <w:numId w:val="102"/>
        </w:numPr>
        <w:tabs>
          <w:tab w:val="left" w:pos="1801"/>
          <w:tab w:val="left" w:pos="1802"/>
        </w:tabs>
        <w:spacing w:before="89" w:line="206" w:lineRule="auto"/>
        <w:ind w:right="1189"/>
        <w:rPr>
          <w:sz w:val="11"/>
        </w:rPr>
      </w:pPr>
      <w:r>
        <w:rPr>
          <w:color w:val="231F20"/>
          <w:sz w:val="20"/>
        </w:rPr>
        <w:t xml:space="preserve">The Law </w:t>
      </w:r>
      <w:r>
        <w:rPr>
          <w:color w:val="231F20"/>
          <w:spacing w:val="-3"/>
          <w:sz w:val="20"/>
        </w:rPr>
        <w:t xml:space="preserve">Institute </w:t>
      </w:r>
      <w:r>
        <w:rPr>
          <w:color w:val="231F20"/>
          <w:sz w:val="20"/>
        </w:rPr>
        <w:t xml:space="preserve">of Victoria raised concerns about online applications </w:t>
      </w:r>
      <w:r>
        <w:rPr>
          <w:color w:val="231F20"/>
          <w:spacing w:val="-3"/>
          <w:sz w:val="20"/>
        </w:rPr>
        <w:t xml:space="preserve">potentially </w:t>
      </w:r>
      <w:r>
        <w:rPr>
          <w:color w:val="231F20"/>
          <w:sz w:val="20"/>
        </w:rPr>
        <w:t>adding</w:t>
      </w:r>
      <w:r>
        <w:rPr>
          <w:color w:val="231F20"/>
          <w:spacing w:val="-8"/>
          <w:sz w:val="20"/>
        </w:rPr>
        <w:t xml:space="preserve"> </w:t>
      </w:r>
      <w:r>
        <w:rPr>
          <w:color w:val="231F20"/>
          <w:sz w:val="20"/>
        </w:rPr>
        <w:t>to</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overuse</w:t>
      </w:r>
      <w:r>
        <w:rPr>
          <w:color w:val="231F20"/>
          <w:spacing w:val="-7"/>
          <w:sz w:val="20"/>
        </w:rPr>
        <w:t xml:space="preserve"> </w:t>
      </w:r>
      <w:r>
        <w:rPr>
          <w:color w:val="231F20"/>
          <w:sz w:val="20"/>
        </w:rPr>
        <w:t>of</w:t>
      </w:r>
      <w:r>
        <w:rPr>
          <w:color w:val="231F20"/>
          <w:spacing w:val="-8"/>
          <w:sz w:val="20"/>
        </w:rPr>
        <w:t xml:space="preserve"> </w:t>
      </w:r>
      <w:proofErr w:type="gramStart"/>
      <w:r>
        <w:rPr>
          <w:color w:val="231F20"/>
          <w:sz w:val="20"/>
        </w:rPr>
        <w:t>PSIOs,</w:t>
      </w:r>
      <w:r>
        <w:rPr>
          <w:color w:val="231F20"/>
          <w:spacing w:val="-7"/>
          <w:sz w:val="20"/>
        </w:rPr>
        <w:t xml:space="preserve"> </w:t>
      </w:r>
      <w:r>
        <w:rPr>
          <w:color w:val="231F20"/>
          <w:sz w:val="20"/>
        </w:rPr>
        <w:t>but</w:t>
      </w:r>
      <w:proofErr w:type="gramEnd"/>
      <w:r>
        <w:rPr>
          <w:color w:val="231F20"/>
          <w:spacing w:val="-8"/>
          <w:sz w:val="20"/>
        </w:rPr>
        <w:t xml:space="preserve"> </w:t>
      </w:r>
      <w:r>
        <w:rPr>
          <w:color w:val="231F20"/>
          <w:sz w:val="20"/>
        </w:rPr>
        <w:t>said</w:t>
      </w:r>
      <w:r>
        <w:rPr>
          <w:color w:val="231F20"/>
          <w:spacing w:val="-7"/>
          <w:sz w:val="20"/>
        </w:rPr>
        <w:t xml:space="preserve"> </w:t>
      </w:r>
      <w:r>
        <w:rPr>
          <w:color w:val="231F20"/>
          <w:sz w:val="20"/>
        </w:rPr>
        <w:t>it</w:t>
      </w:r>
      <w:r>
        <w:rPr>
          <w:color w:val="231F20"/>
          <w:spacing w:val="-8"/>
          <w:sz w:val="20"/>
        </w:rPr>
        <w:t xml:space="preserve"> </w:t>
      </w:r>
      <w:r>
        <w:rPr>
          <w:color w:val="231F20"/>
          <w:spacing w:val="-3"/>
          <w:sz w:val="20"/>
        </w:rPr>
        <w:t>would</w:t>
      </w:r>
      <w:r>
        <w:rPr>
          <w:color w:val="231F20"/>
          <w:spacing w:val="-7"/>
          <w:sz w:val="20"/>
        </w:rPr>
        <w:t xml:space="preserve"> </w:t>
      </w:r>
      <w:r>
        <w:rPr>
          <w:color w:val="231F20"/>
          <w:sz w:val="20"/>
        </w:rPr>
        <w:t>support</w:t>
      </w:r>
      <w:r>
        <w:rPr>
          <w:color w:val="231F20"/>
          <w:spacing w:val="-8"/>
          <w:sz w:val="20"/>
        </w:rPr>
        <w:t xml:space="preserve"> </w:t>
      </w:r>
      <w:r>
        <w:rPr>
          <w:color w:val="231F20"/>
          <w:sz w:val="20"/>
        </w:rPr>
        <w:t>them</w:t>
      </w:r>
      <w:r>
        <w:rPr>
          <w:color w:val="231F20"/>
          <w:spacing w:val="-7"/>
          <w:sz w:val="20"/>
        </w:rPr>
        <w:t xml:space="preserve"> </w:t>
      </w:r>
      <w:r>
        <w:rPr>
          <w:color w:val="231F20"/>
          <w:sz w:val="20"/>
        </w:rPr>
        <w:t>if</w:t>
      </w:r>
      <w:r>
        <w:rPr>
          <w:color w:val="231F20"/>
          <w:spacing w:val="-8"/>
          <w:sz w:val="20"/>
        </w:rPr>
        <w:t xml:space="preserve"> </w:t>
      </w:r>
      <w:r>
        <w:rPr>
          <w:color w:val="231F20"/>
          <w:sz w:val="20"/>
        </w:rPr>
        <w:t>a</w:t>
      </w:r>
      <w:r>
        <w:rPr>
          <w:color w:val="231F20"/>
          <w:spacing w:val="-7"/>
          <w:sz w:val="20"/>
        </w:rPr>
        <w:t xml:space="preserve"> </w:t>
      </w:r>
      <w:r>
        <w:rPr>
          <w:color w:val="231F20"/>
          <w:sz w:val="20"/>
        </w:rPr>
        <w:t>process</w:t>
      </w:r>
      <w:r>
        <w:rPr>
          <w:color w:val="231F20"/>
          <w:spacing w:val="-8"/>
          <w:sz w:val="20"/>
        </w:rPr>
        <w:t xml:space="preserve"> </w:t>
      </w:r>
      <w:r>
        <w:rPr>
          <w:color w:val="231F20"/>
          <w:spacing w:val="-3"/>
          <w:sz w:val="20"/>
        </w:rPr>
        <w:t>for</w:t>
      </w:r>
      <w:r>
        <w:rPr>
          <w:color w:val="231F20"/>
          <w:spacing w:val="-7"/>
          <w:sz w:val="20"/>
        </w:rPr>
        <w:t xml:space="preserve"> </w:t>
      </w:r>
      <w:r>
        <w:rPr>
          <w:color w:val="231F20"/>
          <w:sz w:val="20"/>
        </w:rPr>
        <w:t xml:space="preserve">attesting to the truth of the application </w:t>
      </w:r>
      <w:r>
        <w:rPr>
          <w:color w:val="231F20"/>
          <w:spacing w:val="-4"/>
          <w:sz w:val="20"/>
        </w:rPr>
        <w:t xml:space="preserve">were </w:t>
      </w:r>
      <w:r>
        <w:rPr>
          <w:color w:val="231F20"/>
          <w:sz w:val="20"/>
        </w:rPr>
        <w:t>included.</w:t>
      </w:r>
      <w:r>
        <w:rPr>
          <w:color w:val="231F20"/>
          <w:position w:val="7"/>
          <w:sz w:val="11"/>
        </w:rPr>
        <w:t xml:space="preserve">194 </w:t>
      </w:r>
      <w:r>
        <w:rPr>
          <w:color w:val="231F20"/>
          <w:sz w:val="20"/>
        </w:rPr>
        <w:t xml:space="preserve">Victoria Legal Aid said a </w:t>
      </w:r>
      <w:r>
        <w:rPr>
          <w:color w:val="231F20"/>
          <w:spacing w:val="-2"/>
          <w:sz w:val="20"/>
        </w:rPr>
        <w:t xml:space="preserve">system </w:t>
      </w:r>
      <w:r>
        <w:rPr>
          <w:color w:val="231F20"/>
          <w:sz w:val="20"/>
        </w:rPr>
        <w:t xml:space="preserve">was needed to </w:t>
      </w:r>
      <w:r>
        <w:rPr>
          <w:color w:val="231F20"/>
          <w:spacing w:val="-3"/>
          <w:sz w:val="20"/>
        </w:rPr>
        <w:t xml:space="preserve">vet </w:t>
      </w:r>
      <w:r>
        <w:rPr>
          <w:color w:val="231F20"/>
          <w:sz w:val="20"/>
        </w:rPr>
        <w:t xml:space="preserve">applications to ensure there was minimal risk to the people using the system, otherwise it </w:t>
      </w:r>
      <w:r>
        <w:rPr>
          <w:color w:val="231F20"/>
          <w:spacing w:val="-3"/>
          <w:sz w:val="20"/>
        </w:rPr>
        <w:t xml:space="preserve">would </w:t>
      </w:r>
      <w:r>
        <w:rPr>
          <w:color w:val="231F20"/>
          <w:sz w:val="20"/>
        </w:rPr>
        <w:t>not support online</w:t>
      </w:r>
      <w:r>
        <w:rPr>
          <w:color w:val="231F20"/>
          <w:spacing w:val="-29"/>
          <w:sz w:val="20"/>
        </w:rPr>
        <w:t xml:space="preserve"> </w:t>
      </w:r>
      <w:r>
        <w:rPr>
          <w:color w:val="231F20"/>
          <w:sz w:val="20"/>
        </w:rPr>
        <w:t>applications.</w:t>
      </w:r>
      <w:r>
        <w:rPr>
          <w:color w:val="231F20"/>
          <w:position w:val="7"/>
          <w:sz w:val="11"/>
        </w:rPr>
        <w:t>195</w:t>
      </w:r>
    </w:p>
    <w:p w14:paraId="65D6FFA0" w14:textId="77777777" w:rsidR="00894070" w:rsidRDefault="009B7AFD">
      <w:pPr>
        <w:pStyle w:val="ListParagraph"/>
        <w:numPr>
          <w:ilvl w:val="1"/>
          <w:numId w:val="102"/>
        </w:numPr>
        <w:tabs>
          <w:tab w:val="left" w:pos="1801"/>
          <w:tab w:val="left" w:pos="1802"/>
        </w:tabs>
        <w:spacing w:before="126" w:line="206" w:lineRule="auto"/>
        <w:ind w:right="1255"/>
        <w:rPr>
          <w:sz w:val="11"/>
        </w:rPr>
      </w:pPr>
      <w:r>
        <w:rPr>
          <w:color w:val="231F20"/>
          <w:sz w:val="20"/>
        </w:rPr>
        <w:t xml:space="preserve">Since our consultation </w:t>
      </w:r>
      <w:r>
        <w:rPr>
          <w:color w:val="231F20"/>
          <w:spacing w:val="-4"/>
          <w:sz w:val="20"/>
        </w:rPr>
        <w:t xml:space="preserve">paper, </w:t>
      </w:r>
      <w:r>
        <w:rPr>
          <w:color w:val="231F20"/>
          <w:sz w:val="20"/>
        </w:rPr>
        <w:t xml:space="preserve">the </w:t>
      </w:r>
      <w:r>
        <w:rPr>
          <w:i/>
          <w:color w:val="231F20"/>
          <w:sz w:val="20"/>
        </w:rPr>
        <w:t xml:space="preserve">Justice </w:t>
      </w:r>
      <w:r>
        <w:rPr>
          <w:i/>
          <w:color w:val="231F20"/>
          <w:spacing w:val="-3"/>
          <w:sz w:val="20"/>
        </w:rPr>
        <w:t xml:space="preserve">Legislation </w:t>
      </w:r>
      <w:r>
        <w:rPr>
          <w:i/>
          <w:color w:val="231F20"/>
          <w:sz w:val="20"/>
        </w:rPr>
        <w:t xml:space="preserve">Amendment (Criminal </w:t>
      </w:r>
      <w:r>
        <w:rPr>
          <w:i/>
          <w:color w:val="231F20"/>
          <w:spacing w:val="-3"/>
          <w:sz w:val="20"/>
        </w:rPr>
        <w:t xml:space="preserve">Procedure Disclosure </w:t>
      </w:r>
      <w:r>
        <w:rPr>
          <w:i/>
          <w:color w:val="231F20"/>
          <w:sz w:val="20"/>
        </w:rPr>
        <w:t xml:space="preserve">and Other Matters Act) </w:t>
      </w:r>
      <w:r>
        <w:rPr>
          <w:i/>
          <w:color w:val="231F20"/>
          <w:spacing w:val="-3"/>
          <w:sz w:val="20"/>
        </w:rPr>
        <w:t xml:space="preserve">2022 </w:t>
      </w:r>
      <w:r>
        <w:rPr>
          <w:color w:val="231F20"/>
          <w:sz w:val="20"/>
        </w:rPr>
        <w:t xml:space="preserve">(Vic) has passed. It amended the PSIO </w:t>
      </w:r>
      <w:r>
        <w:rPr>
          <w:color w:val="231F20"/>
          <w:spacing w:val="-2"/>
          <w:sz w:val="20"/>
        </w:rPr>
        <w:t xml:space="preserve">Act </w:t>
      </w:r>
      <w:r>
        <w:rPr>
          <w:color w:val="231F20"/>
          <w:sz w:val="20"/>
        </w:rPr>
        <w:t xml:space="preserve">to </w:t>
      </w:r>
      <w:r>
        <w:rPr>
          <w:color w:val="231F20"/>
          <w:spacing w:val="-3"/>
          <w:sz w:val="20"/>
        </w:rPr>
        <w:t>allow</w:t>
      </w:r>
      <w:r>
        <w:rPr>
          <w:color w:val="231F20"/>
          <w:spacing w:val="-11"/>
          <w:sz w:val="20"/>
        </w:rPr>
        <w:t xml:space="preserve"> </w:t>
      </w:r>
      <w:r>
        <w:rPr>
          <w:color w:val="231F20"/>
          <w:sz w:val="20"/>
        </w:rPr>
        <w:t>applications</w:t>
      </w:r>
      <w:r>
        <w:rPr>
          <w:color w:val="231F20"/>
          <w:spacing w:val="-11"/>
          <w:sz w:val="20"/>
        </w:rPr>
        <w:t xml:space="preserve"> </w:t>
      </w:r>
      <w:r>
        <w:rPr>
          <w:color w:val="231F20"/>
          <w:sz w:val="20"/>
        </w:rPr>
        <w:t>to</w:t>
      </w:r>
      <w:r>
        <w:rPr>
          <w:color w:val="231F20"/>
          <w:spacing w:val="-11"/>
          <w:sz w:val="20"/>
        </w:rPr>
        <w:t xml:space="preserve"> </w:t>
      </w:r>
      <w:r>
        <w:rPr>
          <w:color w:val="231F20"/>
          <w:sz w:val="20"/>
        </w:rPr>
        <w:t>be</w:t>
      </w:r>
      <w:r>
        <w:rPr>
          <w:color w:val="231F20"/>
          <w:spacing w:val="-10"/>
          <w:sz w:val="20"/>
        </w:rPr>
        <w:t xml:space="preserve"> </w:t>
      </w:r>
      <w:r>
        <w:rPr>
          <w:color w:val="231F20"/>
          <w:sz w:val="20"/>
        </w:rPr>
        <w:t>made</w:t>
      </w:r>
      <w:r>
        <w:rPr>
          <w:color w:val="231F20"/>
          <w:spacing w:val="-11"/>
          <w:sz w:val="20"/>
        </w:rPr>
        <w:t xml:space="preserve"> </w:t>
      </w:r>
      <w:r>
        <w:rPr>
          <w:color w:val="231F20"/>
          <w:spacing w:val="-3"/>
          <w:sz w:val="20"/>
        </w:rPr>
        <w:t>by</w:t>
      </w:r>
      <w:r>
        <w:rPr>
          <w:color w:val="231F20"/>
          <w:spacing w:val="-11"/>
          <w:sz w:val="20"/>
        </w:rPr>
        <w:t xml:space="preserve"> </w:t>
      </w:r>
      <w:r>
        <w:rPr>
          <w:color w:val="231F20"/>
          <w:sz w:val="20"/>
        </w:rPr>
        <w:t>phone,</w:t>
      </w:r>
      <w:r>
        <w:rPr>
          <w:color w:val="231F20"/>
          <w:spacing w:val="-10"/>
          <w:sz w:val="20"/>
        </w:rPr>
        <w:t xml:space="preserve"> </w:t>
      </w:r>
      <w:proofErr w:type="gramStart"/>
      <w:r>
        <w:rPr>
          <w:color w:val="231F20"/>
          <w:sz w:val="20"/>
        </w:rPr>
        <w:t>fax</w:t>
      </w:r>
      <w:proofErr w:type="gramEnd"/>
      <w:r>
        <w:rPr>
          <w:color w:val="231F20"/>
          <w:spacing w:val="-11"/>
          <w:sz w:val="20"/>
        </w:rPr>
        <w:t xml:space="preserve"> </w:t>
      </w:r>
      <w:r>
        <w:rPr>
          <w:color w:val="231F20"/>
          <w:sz w:val="20"/>
        </w:rPr>
        <w:t>or</w:t>
      </w:r>
      <w:r>
        <w:rPr>
          <w:color w:val="231F20"/>
          <w:spacing w:val="-11"/>
          <w:sz w:val="20"/>
        </w:rPr>
        <w:t xml:space="preserve"> </w:t>
      </w:r>
      <w:r>
        <w:rPr>
          <w:color w:val="231F20"/>
          <w:sz w:val="20"/>
        </w:rPr>
        <w:t>other</w:t>
      </w:r>
      <w:r>
        <w:rPr>
          <w:color w:val="231F20"/>
          <w:spacing w:val="-10"/>
          <w:sz w:val="20"/>
        </w:rPr>
        <w:t xml:space="preserve"> </w:t>
      </w:r>
      <w:r>
        <w:rPr>
          <w:color w:val="231F20"/>
          <w:sz w:val="20"/>
        </w:rPr>
        <w:t>electronic</w:t>
      </w:r>
      <w:r>
        <w:rPr>
          <w:color w:val="231F20"/>
          <w:spacing w:val="-11"/>
          <w:sz w:val="20"/>
        </w:rPr>
        <w:t xml:space="preserve"> </w:t>
      </w:r>
      <w:r>
        <w:rPr>
          <w:color w:val="231F20"/>
          <w:sz w:val="20"/>
        </w:rPr>
        <w:t>communication,</w:t>
      </w:r>
      <w:r>
        <w:rPr>
          <w:color w:val="231F20"/>
          <w:spacing w:val="-11"/>
          <w:sz w:val="20"/>
        </w:rPr>
        <w:t xml:space="preserve"> </w:t>
      </w:r>
      <w:r>
        <w:rPr>
          <w:color w:val="231F20"/>
          <w:sz w:val="20"/>
        </w:rPr>
        <w:t xml:space="preserve">which </w:t>
      </w:r>
      <w:r>
        <w:rPr>
          <w:color w:val="231F20"/>
          <w:spacing w:val="-3"/>
          <w:sz w:val="20"/>
        </w:rPr>
        <w:t xml:space="preserve">would </w:t>
      </w:r>
      <w:r>
        <w:rPr>
          <w:color w:val="231F20"/>
          <w:sz w:val="20"/>
        </w:rPr>
        <w:t>enable the making of online</w:t>
      </w:r>
      <w:r>
        <w:rPr>
          <w:color w:val="231F20"/>
          <w:spacing w:val="-23"/>
          <w:sz w:val="20"/>
        </w:rPr>
        <w:t xml:space="preserve"> </w:t>
      </w:r>
      <w:r>
        <w:rPr>
          <w:color w:val="231F20"/>
          <w:sz w:val="20"/>
        </w:rPr>
        <w:t>applications.</w:t>
      </w:r>
      <w:r>
        <w:rPr>
          <w:color w:val="231F20"/>
          <w:position w:val="7"/>
          <w:sz w:val="11"/>
        </w:rPr>
        <w:t>196</w:t>
      </w:r>
    </w:p>
    <w:p w14:paraId="04198175" w14:textId="77777777" w:rsidR="00894070" w:rsidRDefault="009B7AFD">
      <w:pPr>
        <w:pStyle w:val="ListParagraph"/>
        <w:numPr>
          <w:ilvl w:val="1"/>
          <w:numId w:val="102"/>
        </w:numPr>
        <w:tabs>
          <w:tab w:val="left" w:pos="1801"/>
          <w:tab w:val="left" w:pos="1802"/>
        </w:tabs>
        <w:spacing w:before="125" w:line="206" w:lineRule="auto"/>
        <w:ind w:right="1273"/>
        <w:rPr>
          <w:sz w:val="11"/>
        </w:rPr>
      </w:pPr>
      <w:r>
        <w:rPr>
          <w:color w:val="231F20"/>
          <w:sz w:val="20"/>
        </w:rPr>
        <w:t xml:space="preserve">The </w:t>
      </w:r>
      <w:r>
        <w:rPr>
          <w:color w:val="231F20"/>
          <w:spacing w:val="-3"/>
          <w:sz w:val="20"/>
        </w:rPr>
        <w:t xml:space="preserve">Magistrates’ </w:t>
      </w:r>
      <w:r>
        <w:rPr>
          <w:color w:val="231F20"/>
          <w:sz w:val="20"/>
        </w:rPr>
        <w:t xml:space="preserve">Court has informed us that the online application </w:t>
      </w:r>
      <w:r>
        <w:rPr>
          <w:color w:val="231F20"/>
          <w:spacing w:val="-3"/>
          <w:sz w:val="20"/>
        </w:rPr>
        <w:t xml:space="preserve">form </w:t>
      </w:r>
      <w:r>
        <w:rPr>
          <w:color w:val="231F20"/>
          <w:sz w:val="20"/>
        </w:rPr>
        <w:t xml:space="preserve">was </w:t>
      </w:r>
      <w:r>
        <w:rPr>
          <w:color w:val="231F20"/>
          <w:spacing w:val="-3"/>
          <w:sz w:val="20"/>
        </w:rPr>
        <w:t xml:space="preserve">carefully </w:t>
      </w:r>
      <w:r>
        <w:rPr>
          <w:color w:val="231F20"/>
          <w:sz w:val="20"/>
        </w:rPr>
        <w:t>designed.</w:t>
      </w:r>
      <w:r>
        <w:rPr>
          <w:color w:val="231F20"/>
          <w:position w:val="7"/>
          <w:sz w:val="11"/>
        </w:rPr>
        <w:t xml:space="preserve">197 </w:t>
      </w:r>
      <w:r>
        <w:rPr>
          <w:color w:val="231F20"/>
          <w:spacing w:val="-3"/>
          <w:sz w:val="20"/>
        </w:rPr>
        <w:t xml:space="preserve">For example, </w:t>
      </w:r>
      <w:r>
        <w:rPr>
          <w:color w:val="231F20"/>
          <w:sz w:val="20"/>
        </w:rPr>
        <w:t xml:space="preserve">it has </w:t>
      </w:r>
      <w:r>
        <w:rPr>
          <w:color w:val="231F20"/>
          <w:spacing w:val="-3"/>
          <w:sz w:val="20"/>
        </w:rPr>
        <w:t xml:space="preserve">built-in </w:t>
      </w:r>
      <w:r>
        <w:rPr>
          <w:color w:val="231F20"/>
          <w:sz w:val="20"/>
        </w:rPr>
        <w:t>flags that will help prioritise matters according to</w:t>
      </w:r>
      <w:r>
        <w:rPr>
          <w:color w:val="231F20"/>
          <w:spacing w:val="-8"/>
          <w:sz w:val="20"/>
        </w:rPr>
        <w:t xml:space="preserve"> </w:t>
      </w:r>
      <w:r>
        <w:rPr>
          <w:color w:val="231F20"/>
          <w:sz w:val="20"/>
        </w:rPr>
        <w:t>risk</w:t>
      </w:r>
      <w:r>
        <w:rPr>
          <w:color w:val="231F20"/>
          <w:spacing w:val="-8"/>
          <w:sz w:val="20"/>
        </w:rPr>
        <w:t xml:space="preserve"> </w:t>
      </w:r>
      <w:r>
        <w:rPr>
          <w:color w:val="231F20"/>
          <w:spacing w:val="-3"/>
          <w:sz w:val="20"/>
        </w:rPr>
        <w:t>level.</w:t>
      </w:r>
      <w:r>
        <w:rPr>
          <w:color w:val="231F20"/>
          <w:spacing w:val="-7"/>
          <w:sz w:val="20"/>
        </w:rPr>
        <w:t xml:space="preserve"> </w:t>
      </w:r>
      <w:r>
        <w:rPr>
          <w:color w:val="231F20"/>
          <w:sz w:val="20"/>
        </w:rPr>
        <w:t>Those</w:t>
      </w:r>
      <w:r>
        <w:rPr>
          <w:color w:val="231F20"/>
          <w:spacing w:val="-8"/>
          <w:sz w:val="20"/>
        </w:rPr>
        <w:t xml:space="preserve"> </w:t>
      </w:r>
      <w:r>
        <w:rPr>
          <w:color w:val="231F20"/>
          <w:sz w:val="20"/>
        </w:rPr>
        <w:t>applications</w:t>
      </w:r>
      <w:r>
        <w:rPr>
          <w:color w:val="231F20"/>
          <w:spacing w:val="-7"/>
          <w:sz w:val="20"/>
        </w:rPr>
        <w:t xml:space="preserve"> </w:t>
      </w:r>
      <w:r>
        <w:rPr>
          <w:color w:val="231F20"/>
          <w:sz w:val="20"/>
        </w:rPr>
        <w:t>will</w:t>
      </w:r>
      <w:r>
        <w:rPr>
          <w:color w:val="231F20"/>
          <w:spacing w:val="-8"/>
          <w:sz w:val="20"/>
        </w:rPr>
        <w:t xml:space="preserve"> </w:t>
      </w:r>
      <w:r>
        <w:rPr>
          <w:color w:val="231F20"/>
          <w:sz w:val="20"/>
        </w:rPr>
        <w:t>be</w:t>
      </w:r>
      <w:r>
        <w:rPr>
          <w:color w:val="231F20"/>
          <w:spacing w:val="-7"/>
          <w:sz w:val="20"/>
        </w:rPr>
        <w:t xml:space="preserve"> </w:t>
      </w:r>
      <w:r>
        <w:rPr>
          <w:color w:val="231F20"/>
          <w:spacing w:val="-3"/>
          <w:sz w:val="20"/>
        </w:rPr>
        <w:t>vetted</w:t>
      </w:r>
      <w:r>
        <w:rPr>
          <w:color w:val="231F20"/>
          <w:spacing w:val="-8"/>
          <w:sz w:val="20"/>
        </w:rPr>
        <w:t xml:space="preserve"> </w:t>
      </w:r>
      <w:r>
        <w:rPr>
          <w:color w:val="231F20"/>
          <w:spacing w:val="-3"/>
          <w:sz w:val="20"/>
        </w:rPr>
        <w:t>by</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registrar.</w:t>
      </w:r>
      <w:r>
        <w:rPr>
          <w:color w:val="231F20"/>
          <w:spacing w:val="-7"/>
          <w:sz w:val="20"/>
        </w:rPr>
        <w:t xml:space="preserve"> </w:t>
      </w:r>
      <w:r>
        <w:rPr>
          <w:color w:val="231F20"/>
          <w:sz w:val="20"/>
        </w:rPr>
        <w:t>They</w:t>
      </w:r>
      <w:r>
        <w:rPr>
          <w:color w:val="231F20"/>
          <w:spacing w:val="-8"/>
          <w:sz w:val="20"/>
        </w:rPr>
        <w:t xml:space="preserve"> </w:t>
      </w:r>
      <w:r>
        <w:rPr>
          <w:color w:val="231F20"/>
          <w:sz w:val="20"/>
        </w:rPr>
        <w:t>also</w:t>
      </w:r>
      <w:r>
        <w:rPr>
          <w:color w:val="231F20"/>
          <w:spacing w:val="-7"/>
          <w:sz w:val="20"/>
        </w:rPr>
        <w:t xml:space="preserve"> </w:t>
      </w:r>
      <w:r>
        <w:rPr>
          <w:color w:val="231F20"/>
          <w:sz w:val="20"/>
        </w:rPr>
        <w:t>noted</w:t>
      </w:r>
      <w:r>
        <w:rPr>
          <w:color w:val="231F20"/>
          <w:spacing w:val="-8"/>
          <w:sz w:val="20"/>
        </w:rPr>
        <w:t xml:space="preserve"> </w:t>
      </w:r>
      <w:r>
        <w:rPr>
          <w:color w:val="231F20"/>
          <w:sz w:val="20"/>
        </w:rPr>
        <w:t>that</w:t>
      </w:r>
      <w:r>
        <w:rPr>
          <w:color w:val="231F20"/>
          <w:spacing w:val="-8"/>
          <w:sz w:val="20"/>
        </w:rPr>
        <w:t xml:space="preserve"> </w:t>
      </w:r>
      <w:r>
        <w:rPr>
          <w:color w:val="231F20"/>
          <w:sz w:val="20"/>
        </w:rPr>
        <w:t xml:space="preserve">the </w:t>
      </w:r>
      <w:r>
        <w:rPr>
          <w:color w:val="231F20"/>
          <w:spacing w:val="-3"/>
          <w:sz w:val="20"/>
        </w:rPr>
        <w:t xml:space="preserve">form requires </w:t>
      </w:r>
      <w:r>
        <w:rPr>
          <w:color w:val="231F20"/>
          <w:sz w:val="20"/>
        </w:rPr>
        <w:t>the applicant to sign a declaration of</w:t>
      </w:r>
      <w:r>
        <w:rPr>
          <w:color w:val="231F20"/>
          <w:spacing w:val="-34"/>
          <w:sz w:val="20"/>
        </w:rPr>
        <w:t xml:space="preserve"> </w:t>
      </w:r>
      <w:r>
        <w:rPr>
          <w:color w:val="231F20"/>
          <w:sz w:val="20"/>
        </w:rPr>
        <w:t>truth.</w:t>
      </w:r>
      <w:r>
        <w:rPr>
          <w:color w:val="231F20"/>
          <w:position w:val="7"/>
          <w:sz w:val="11"/>
        </w:rPr>
        <w:t>198</w:t>
      </w:r>
    </w:p>
    <w:p w14:paraId="6188214C" w14:textId="77777777" w:rsidR="00894070" w:rsidRDefault="009B7AFD">
      <w:pPr>
        <w:pStyle w:val="ListParagraph"/>
        <w:numPr>
          <w:ilvl w:val="1"/>
          <w:numId w:val="102"/>
        </w:numPr>
        <w:tabs>
          <w:tab w:val="left" w:pos="1801"/>
          <w:tab w:val="left" w:pos="1802"/>
        </w:tabs>
        <w:spacing w:before="126" w:line="206" w:lineRule="auto"/>
        <w:ind w:right="1203"/>
        <w:rPr>
          <w:sz w:val="20"/>
        </w:rPr>
      </w:pPr>
      <w:r>
        <w:rPr>
          <w:color w:val="231F20"/>
          <w:sz w:val="20"/>
        </w:rPr>
        <w:t>It</w:t>
      </w:r>
      <w:r>
        <w:rPr>
          <w:color w:val="231F20"/>
          <w:spacing w:val="-10"/>
          <w:sz w:val="20"/>
        </w:rPr>
        <w:t xml:space="preserve"> </w:t>
      </w:r>
      <w:r>
        <w:rPr>
          <w:color w:val="231F20"/>
          <w:sz w:val="20"/>
        </w:rPr>
        <w:t>is</w:t>
      </w:r>
      <w:r>
        <w:rPr>
          <w:color w:val="231F20"/>
          <w:spacing w:val="-9"/>
          <w:sz w:val="20"/>
        </w:rPr>
        <w:t xml:space="preserve"> </w:t>
      </w:r>
      <w:r>
        <w:rPr>
          <w:color w:val="231F20"/>
          <w:sz w:val="20"/>
        </w:rPr>
        <w:t>unclear</w:t>
      </w:r>
      <w:r>
        <w:rPr>
          <w:color w:val="231F20"/>
          <w:spacing w:val="-9"/>
          <w:sz w:val="20"/>
        </w:rPr>
        <w:t xml:space="preserve"> </w:t>
      </w:r>
      <w:r>
        <w:rPr>
          <w:color w:val="231F20"/>
          <w:sz w:val="20"/>
        </w:rPr>
        <w:t>whether</w:t>
      </w:r>
      <w:r>
        <w:rPr>
          <w:color w:val="231F20"/>
          <w:spacing w:val="-10"/>
          <w:sz w:val="20"/>
        </w:rPr>
        <w:t xml:space="preserve"> </w:t>
      </w:r>
      <w:r>
        <w:rPr>
          <w:color w:val="231F20"/>
          <w:sz w:val="20"/>
        </w:rPr>
        <w:t>monitoring</w:t>
      </w:r>
      <w:r>
        <w:rPr>
          <w:color w:val="231F20"/>
          <w:spacing w:val="-9"/>
          <w:sz w:val="20"/>
        </w:rPr>
        <w:t xml:space="preserve"> </w:t>
      </w:r>
      <w:r>
        <w:rPr>
          <w:color w:val="231F20"/>
          <w:sz w:val="20"/>
        </w:rPr>
        <w:t>or</w:t>
      </w:r>
      <w:r>
        <w:rPr>
          <w:color w:val="231F20"/>
          <w:spacing w:val="-9"/>
          <w:sz w:val="20"/>
        </w:rPr>
        <w:t xml:space="preserve"> </w:t>
      </w:r>
      <w:r>
        <w:rPr>
          <w:color w:val="231F20"/>
          <w:spacing w:val="-3"/>
          <w:sz w:val="20"/>
        </w:rPr>
        <w:t>evaluation</w:t>
      </w:r>
      <w:r>
        <w:rPr>
          <w:color w:val="231F20"/>
          <w:spacing w:val="-9"/>
          <w:sz w:val="20"/>
        </w:rPr>
        <w:t xml:space="preserve"> </w:t>
      </w:r>
      <w:r>
        <w:rPr>
          <w:color w:val="231F20"/>
          <w:sz w:val="20"/>
        </w:rPr>
        <w:t>has</w:t>
      </w:r>
      <w:r>
        <w:rPr>
          <w:color w:val="231F20"/>
          <w:spacing w:val="-10"/>
          <w:sz w:val="20"/>
        </w:rPr>
        <w:t xml:space="preserve"> </w:t>
      </w:r>
      <w:r>
        <w:rPr>
          <w:color w:val="231F20"/>
          <w:sz w:val="20"/>
        </w:rPr>
        <w:t>been</w:t>
      </w:r>
      <w:r>
        <w:rPr>
          <w:color w:val="231F20"/>
          <w:spacing w:val="-9"/>
          <w:sz w:val="20"/>
        </w:rPr>
        <w:t xml:space="preserve"> </w:t>
      </w:r>
      <w:r>
        <w:rPr>
          <w:color w:val="231F20"/>
          <w:sz w:val="20"/>
        </w:rPr>
        <w:t>built</w:t>
      </w:r>
      <w:r>
        <w:rPr>
          <w:color w:val="231F20"/>
          <w:spacing w:val="-9"/>
          <w:sz w:val="20"/>
        </w:rPr>
        <w:t xml:space="preserve"> </w:t>
      </w:r>
      <w:r>
        <w:rPr>
          <w:color w:val="231F20"/>
          <w:spacing w:val="-3"/>
          <w:sz w:val="20"/>
        </w:rPr>
        <w:t>into</w:t>
      </w:r>
      <w:r>
        <w:rPr>
          <w:color w:val="231F20"/>
          <w:spacing w:val="-9"/>
          <w:sz w:val="20"/>
        </w:rPr>
        <w:t xml:space="preserve"> </w:t>
      </w:r>
      <w:r>
        <w:rPr>
          <w:color w:val="231F20"/>
          <w:sz w:val="20"/>
        </w:rPr>
        <w:t>the</w:t>
      </w:r>
      <w:r>
        <w:rPr>
          <w:color w:val="231F20"/>
          <w:spacing w:val="-10"/>
          <w:sz w:val="20"/>
        </w:rPr>
        <w:t xml:space="preserve"> </w:t>
      </w:r>
      <w:r>
        <w:rPr>
          <w:color w:val="231F20"/>
          <w:sz w:val="20"/>
        </w:rPr>
        <w:t>implementation</w:t>
      </w:r>
      <w:r>
        <w:rPr>
          <w:color w:val="231F20"/>
          <w:spacing w:val="-9"/>
          <w:sz w:val="20"/>
        </w:rPr>
        <w:t xml:space="preserve"> </w:t>
      </w:r>
      <w:r>
        <w:rPr>
          <w:color w:val="231F20"/>
          <w:sz w:val="20"/>
        </w:rPr>
        <w:t xml:space="preserve">of the process. </w:t>
      </w:r>
      <w:r>
        <w:rPr>
          <w:color w:val="231F20"/>
          <w:spacing w:val="-6"/>
          <w:sz w:val="20"/>
        </w:rPr>
        <w:t xml:space="preserve">We </w:t>
      </w:r>
      <w:r>
        <w:rPr>
          <w:color w:val="231F20"/>
          <w:sz w:val="20"/>
        </w:rPr>
        <w:t xml:space="preserve">consider the </w:t>
      </w:r>
      <w:r>
        <w:rPr>
          <w:color w:val="231F20"/>
          <w:spacing w:val="-3"/>
          <w:sz w:val="20"/>
        </w:rPr>
        <w:t xml:space="preserve">reforms </w:t>
      </w:r>
      <w:r>
        <w:rPr>
          <w:color w:val="231F20"/>
          <w:sz w:val="20"/>
        </w:rPr>
        <w:t>should be monitored to ensure that the process is</w:t>
      </w:r>
      <w:r>
        <w:rPr>
          <w:color w:val="231F20"/>
          <w:spacing w:val="-7"/>
          <w:sz w:val="20"/>
        </w:rPr>
        <w:t xml:space="preserve"> </w:t>
      </w:r>
      <w:r>
        <w:rPr>
          <w:color w:val="231F20"/>
          <w:spacing w:val="-3"/>
          <w:sz w:val="20"/>
        </w:rPr>
        <w:t>safe</w:t>
      </w:r>
      <w:r>
        <w:rPr>
          <w:color w:val="231F20"/>
          <w:spacing w:val="-6"/>
          <w:sz w:val="20"/>
        </w:rPr>
        <w:t xml:space="preserve"> </w:t>
      </w:r>
      <w:r>
        <w:rPr>
          <w:color w:val="231F20"/>
          <w:spacing w:val="-3"/>
          <w:sz w:val="20"/>
        </w:rPr>
        <w:t>for</w:t>
      </w:r>
      <w:r>
        <w:rPr>
          <w:color w:val="231F20"/>
          <w:spacing w:val="-7"/>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7"/>
          <w:sz w:val="20"/>
        </w:rPr>
        <w:t xml:space="preserve"> </w:t>
      </w:r>
      <w:r>
        <w:rPr>
          <w:color w:val="231F20"/>
          <w:sz w:val="20"/>
        </w:rPr>
        <w:t>and</w:t>
      </w:r>
      <w:r>
        <w:rPr>
          <w:color w:val="231F20"/>
          <w:spacing w:val="-6"/>
          <w:sz w:val="20"/>
        </w:rPr>
        <w:t xml:space="preserve"> </w:t>
      </w:r>
      <w:r>
        <w:rPr>
          <w:color w:val="231F20"/>
          <w:sz w:val="20"/>
        </w:rPr>
        <w:t>that</w:t>
      </w:r>
      <w:r>
        <w:rPr>
          <w:color w:val="231F20"/>
          <w:spacing w:val="-7"/>
          <w:sz w:val="20"/>
        </w:rPr>
        <w:t xml:space="preserve"> </w:t>
      </w:r>
      <w:r>
        <w:rPr>
          <w:color w:val="231F20"/>
          <w:sz w:val="20"/>
        </w:rPr>
        <w:t>online</w:t>
      </w:r>
      <w:r>
        <w:rPr>
          <w:color w:val="231F20"/>
          <w:spacing w:val="-6"/>
          <w:sz w:val="20"/>
        </w:rPr>
        <w:t xml:space="preserve"> </w:t>
      </w:r>
      <w:r>
        <w:rPr>
          <w:color w:val="231F20"/>
          <w:sz w:val="20"/>
        </w:rPr>
        <w:t>applications</w:t>
      </w:r>
      <w:r>
        <w:rPr>
          <w:color w:val="231F20"/>
          <w:spacing w:val="-7"/>
          <w:sz w:val="20"/>
        </w:rPr>
        <w:t xml:space="preserve"> </w:t>
      </w:r>
      <w:r>
        <w:rPr>
          <w:color w:val="231F20"/>
          <w:sz w:val="20"/>
        </w:rPr>
        <w:t>do</w:t>
      </w:r>
      <w:r>
        <w:rPr>
          <w:color w:val="231F20"/>
          <w:spacing w:val="-6"/>
          <w:sz w:val="20"/>
        </w:rPr>
        <w:t xml:space="preserve"> </w:t>
      </w:r>
      <w:r>
        <w:rPr>
          <w:color w:val="231F20"/>
          <w:sz w:val="20"/>
        </w:rPr>
        <w:t>not</w:t>
      </w:r>
      <w:r>
        <w:rPr>
          <w:color w:val="231F20"/>
          <w:spacing w:val="-7"/>
          <w:sz w:val="20"/>
        </w:rPr>
        <w:t xml:space="preserve"> </w:t>
      </w:r>
      <w:r>
        <w:rPr>
          <w:color w:val="231F20"/>
          <w:sz w:val="20"/>
        </w:rPr>
        <w:t>put</w:t>
      </w:r>
      <w:r>
        <w:rPr>
          <w:color w:val="231F20"/>
          <w:spacing w:val="-6"/>
          <w:sz w:val="20"/>
        </w:rPr>
        <w:t xml:space="preserve"> </w:t>
      </w:r>
      <w:r>
        <w:rPr>
          <w:color w:val="231F20"/>
          <w:sz w:val="20"/>
        </w:rPr>
        <w:t>the</w:t>
      </w:r>
      <w:r>
        <w:rPr>
          <w:color w:val="231F20"/>
          <w:spacing w:val="-7"/>
          <w:sz w:val="20"/>
        </w:rPr>
        <w:t xml:space="preserve"> </w:t>
      </w:r>
      <w:r>
        <w:rPr>
          <w:color w:val="231F20"/>
          <w:sz w:val="20"/>
        </w:rPr>
        <w:t>PSIO</w:t>
      </w:r>
      <w:r>
        <w:rPr>
          <w:color w:val="231F20"/>
          <w:spacing w:val="-6"/>
          <w:sz w:val="20"/>
        </w:rPr>
        <w:t xml:space="preserve"> </w:t>
      </w:r>
      <w:r>
        <w:rPr>
          <w:color w:val="231F20"/>
          <w:spacing w:val="-2"/>
          <w:sz w:val="20"/>
        </w:rPr>
        <w:t>system</w:t>
      </w:r>
    </w:p>
    <w:p w14:paraId="3E723880" w14:textId="77777777" w:rsidR="00894070" w:rsidRDefault="009F6793">
      <w:pPr>
        <w:pStyle w:val="BodyText"/>
        <w:spacing w:before="5"/>
        <w:rPr>
          <w:sz w:val="19"/>
        </w:rPr>
      </w:pPr>
      <w:r>
        <w:pict w14:anchorId="33A2C38A">
          <v:line id="_x0000_s1284" style="position:absolute;z-index:251694080;mso-wrap-distance-left:0;mso-wrap-distance-right:0;mso-position-horizontal-relative:page" from="79.35pt,15.95pt" to="515.9pt,15.95pt" strokecolor="#f8cabc" strokeweight="1pt">
            <w10:wrap type="topAndBottom" anchorx="page"/>
          </v:line>
        </w:pict>
      </w:r>
    </w:p>
    <w:p w14:paraId="3EEE62D0" w14:textId="77777777" w:rsidR="00894070" w:rsidRDefault="00894070">
      <w:pPr>
        <w:pStyle w:val="BodyText"/>
        <w:rPr>
          <w:sz w:val="5"/>
        </w:rPr>
      </w:pPr>
    </w:p>
    <w:p w14:paraId="5A519702" w14:textId="77777777" w:rsidR="00894070" w:rsidRDefault="00894070">
      <w:pPr>
        <w:rPr>
          <w:sz w:val="5"/>
        </w:rPr>
        <w:sectPr w:rsidR="00894070">
          <w:pgSz w:w="11910" w:h="16840"/>
          <w:pgMar w:top="860" w:right="420" w:bottom="280" w:left="580" w:header="567" w:footer="0" w:gutter="0"/>
          <w:cols w:space="720"/>
        </w:sectPr>
      </w:pPr>
    </w:p>
    <w:p w14:paraId="071B1294" w14:textId="77777777" w:rsidR="00894070" w:rsidRDefault="00894070">
      <w:pPr>
        <w:pStyle w:val="BodyText"/>
        <w:rPr>
          <w:sz w:val="28"/>
        </w:rPr>
      </w:pPr>
    </w:p>
    <w:p w14:paraId="34A46BFE" w14:textId="77777777" w:rsidR="00894070" w:rsidRDefault="00894070">
      <w:pPr>
        <w:pStyle w:val="BodyText"/>
        <w:rPr>
          <w:sz w:val="28"/>
        </w:rPr>
      </w:pPr>
    </w:p>
    <w:p w14:paraId="22CFB9E7" w14:textId="77777777" w:rsidR="00894070" w:rsidRDefault="00894070">
      <w:pPr>
        <w:pStyle w:val="BodyText"/>
        <w:spacing w:before="2"/>
        <w:rPr>
          <w:sz w:val="40"/>
        </w:rPr>
      </w:pPr>
    </w:p>
    <w:p w14:paraId="161BA977" w14:textId="77777777" w:rsidR="00894070" w:rsidRDefault="009B7AFD">
      <w:pPr>
        <w:pStyle w:val="Heading8"/>
        <w:ind w:left="140"/>
      </w:pPr>
      <w:r>
        <w:rPr>
          <w:color w:val="EA5B50"/>
        </w:rPr>
        <w:t>120</w:t>
      </w:r>
    </w:p>
    <w:p w14:paraId="3E40E5D7" w14:textId="77777777" w:rsidR="00894070" w:rsidRDefault="009B7AFD">
      <w:pPr>
        <w:pStyle w:val="ListParagraph"/>
        <w:numPr>
          <w:ilvl w:val="0"/>
          <w:numId w:val="81"/>
        </w:numPr>
        <w:tabs>
          <w:tab w:val="left" w:pos="933"/>
          <w:tab w:val="left" w:pos="934"/>
        </w:tabs>
        <w:spacing w:before="21" w:line="170" w:lineRule="exact"/>
        <w:ind w:left="933" w:hanging="793"/>
        <w:jc w:val="left"/>
        <w:rPr>
          <w:sz w:val="13"/>
        </w:rPr>
      </w:pPr>
      <w:r>
        <w:rPr>
          <w:color w:val="231F20"/>
          <w:spacing w:val="2"/>
          <w:sz w:val="13"/>
        </w:rPr>
        <w:br w:type="column"/>
      </w:r>
      <w:proofErr w:type="gramStart"/>
      <w:r>
        <w:rPr>
          <w:color w:val="231F20"/>
          <w:sz w:val="13"/>
        </w:rPr>
        <w:t>Ibid;</w:t>
      </w:r>
      <w:proofErr w:type="gramEnd"/>
      <w:r>
        <w:rPr>
          <w:color w:val="231F20"/>
          <w:sz w:val="13"/>
        </w:rPr>
        <w:t xml:space="preserve"> </w:t>
      </w:r>
      <w:r>
        <w:rPr>
          <w:color w:val="231F20"/>
          <w:spacing w:val="2"/>
          <w:sz w:val="13"/>
        </w:rPr>
        <w:t xml:space="preserve">Submissions </w:t>
      </w:r>
      <w:r>
        <w:rPr>
          <w:color w:val="231F20"/>
          <w:sz w:val="13"/>
        </w:rPr>
        <w:t xml:space="preserve">97 (Federation of Community Legal Centres), </w:t>
      </w:r>
      <w:r>
        <w:rPr>
          <w:color w:val="231F20"/>
          <w:spacing w:val="2"/>
          <w:sz w:val="13"/>
        </w:rPr>
        <w:t xml:space="preserve">115 </w:t>
      </w:r>
      <w:r>
        <w:rPr>
          <w:color w:val="231F20"/>
          <w:sz w:val="13"/>
        </w:rPr>
        <w:t>(Victoria</w:t>
      </w:r>
      <w:r>
        <w:rPr>
          <w:color w:val="231F20"/>
          <w:spacing w:val="2"/>
          <w:sz w:val="13"/>
        </w:rPr>
        <w:t xml:space="preserve"> </w:t>
      </w:r>
      <w:r>
        <w:rPr>
          <w:color w:val="231F20"/>
          <w:sz w:val="13"/>
        </w:rPr>
        <w:t>Police).</w:t>
      </w:r>
    </w:p>
    <w:p w14:paraId="5ABE3801" w14:textId="77777777" w:rsidR="00894070" w:rsidRDefault="009B7AFD">
      <w:pPr>
        <w:pStyle w:val="ListParagraph"/>
        <w:numPr>
          <w:ilvl w:val="0"/>
          <w:numId w:val="81"/>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 Centres); Consultation 13 (Victoria Legal</w:t>
      </w:r>
      <w:r>
        <w:rPr>
          <w:color w:val="231F20"/>
          <w:spacing w:val="1"/>
          <w:sz w:val="13"/>
        </w:rPr>
        <w:t xml:space="preserve"> </w:t>
      </w:r>
      <w:r>
        <w:rPr>
          <w:color w:val="231F20"/>
          <w:sz w:val="13"/>
        </w:rPr>
        <w:t>Aid).</w:t>
      </w:r>
    </w:p>
    <w:p w14:paraId="4E776278" w14:textId="77777777" w:rsidR="00894070" w:rsidRDefault="009B7AFD">
      <w:pPr>
        <w:pStyle w:val="ListParagraph"/>
        <w:numPr>
          <w:ilvl w:val="0"/>
          <w:numId w:val="81"/>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97 (Federation of Community Legal Centres). The Federation of Community Legal Centres explained that</w:t>
      </w:r>
      <w:r>
        <w:rPr>
          <w:color w:val="231F20"/>
          <w:spacing w:val="1"/>
          <w:sz w:val="13"/>
        </w:rPr>
        <w:t xml:space="preserve"> </w:t>
      </w:r>
      <w:r>
        <w:rPr>
          <w:color w:val="231F20"/>
          <w:sz w:val="13"/>
        </w:rPr>
        <w:t>filtering</w:t>
      </w:r>
    </w:p>
    <w:p w14:paraId="550962D8" w14:textId="77777777" w:rsidR="00894070" w:rsidRDefault="009B7AFD">
      <w:pPr>
        <w:spacing w:line="160" w:lineRule="exact"/>
        <w:ind w:left="933"/>
        <w:rPr>
          <w:sz w:val="13"/>
        </w:rPr>
      </w:pPr>
      <w:r>
        <w:rPr>
          <w:color w:val="231F20"/>
          <w:sz w:val="13"/>
        </w:rPr>
        <w:t>‘</w:t>
      </w:r>
      <w:proofErr w:type="gramStart"/>
      <w:r>
        <w:rPr>
          <w:color w:val="231F20"/>
          <w:sz w:val="13"/>
        </w:rPr>
        <w:t>occurs</w:t>
      </w:r>
      <w:proofErr w:type="gramEnd"/>
      <w:r>
        <w:rPr>
          <w:color w:val="231F20"/>
          <w:sz w:val="13"/>
        </w:rPr>
        <w:t xml:space="preserve"> through the in-person application process.’</w:t>
      </w:r>
    </w:p>
    <w:p w14:paraId="6421DCB9" w14:textId="77777777" w:rsidR="00894070" w:rsidRDefault="009B7AFD">
      <w:pPr>
        <w:pStyle w:val="ListParagraph"/>
        <w:numPr>
          <w:ilvl w:val="0"/>
          <w:numId w:val="81"/>
        </w:numPr>
        <w:tabs>
          <w:tab w:val="left" w:pos="933"/>
          <w:tab w:val="left" w:pos="934"/>
        </w:tabs>
        <w:spacing w:line="160" w:lineRule="exact"/>
        <w:ind w:left="933" w:hanging="793"/>
        <w:jc w:val="left"/>
        <w:rPr>
          <w:sz w:val="13"/>
        </w:rPr>
      </w:pPr>
      <w:r>
        <w:rPr>
          <w:color w:val="231F20"/>
          <w:spacing w:val="2"/>
          <w:sz w:val="13"/>
        </w:rPr>
        <w:t xml:space="preserve">Submissions </w:t>
      </w:r>
      <w:r>
        <w:rPr>
          <w:color w:val="231F20"/>
          <w:sz w:val="13"/>
        </w:rPr>
        <w:t xml:space="preserve">56 </w:t>
      </w:r>
      <w:r>
        <w:rPr>
          <w:color w:val="231F20"/>
          <w:spacing w:val="2"/>
          <w:sz w:val="13"/>
        </w:rPr>
        <w:t xml:space="preserve">(Derryn </w:t>
      </w:r>
      <w:r>
        <w:rPr>
          <w:color w:val="231F20"/>
          <w:sz w:val="13"/>
        </w:rPr>
        <w:t xml:space="preserve">Hinch’s Justice Party), </w:t>
      </w:r>
      <w:r>
        <w:rPr>
          <w:color w:val="231F20"/>
          <w:spacing w:val="2"/>
          <w:sz w:val="13"/>
        </w:rPr>
        <w:t xml:space="preserve">115 </w:t>
      </w:r>
      <w:r>
        <w:rPr>
          <w:color w:val="231F20"/>
          <w:sz w:val="13"/>
        </w:rPr>
        <w:t>(Victoria</w:t>
      </w:r>
      <w:r>
        <w:rPr>
          <w:color w:val="231F20"/>
          <w:spacing w:val="-3"/>
          <w:sz w:val="13"/>
        </w:rPr>
        <w:t xml:space="preserve"> </w:t>
      </w:r>
      <w:r>
        <w:rPr>
          <w:color w:val="231F20"/>
          <w:sz w:val="13"/>
        </w:rPr>
        <w:t>Police).</w:t>
      </w:r>
    </w:p>
    <w:p w14:paraId="021D8066" w14:textId="77777777" w:rsidR="00894070" w:rsidRDefault="009B7AFD">
      <w:pPr>
        <w:pStyle w:val="ListParagraph"/>
        <w:numPr>
          <w:ilvl w:val="0"/>
          <w:numId w:val="81"/>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98 (Law Institute of</w:t>
      </w:r>
      <w:r>
        <w:rPr>
          <w:color w:val="231F20"/>
          <w:spacing w:val="-2"/>
          <w:sz w:val="13"/>
        </w:rPr>
        <w:t xml:space="preserve"> </w:t>
      </w:r>
      <w:r>
        <w:rPr>
          <w:color w:val="231F20"/>
          <w:sz w:val="13"/>
        </w:rPr>
        <w:t>Victoria).</w:t>
      </w:r>
    </w:p>
    <w:p w14:paraId="40D37EB4" w14:textId="77777777" w:rsidR="00894070" w:rsidRDefault="009B7AFD">
      <w:pPr>
        <w:pStyle w:val="ListParagraph"/>
        <w:numPr>
          <w:ilvl w:val="0"/>
          <w:numId w:val="81"/>
        </w:numPr>
        <w:tabs>
          <w:tab w:val="left" w:pos="933"/>
          <w:tab w:val="left" w:pos="934"/>
        </w:tabs>
        <w:spacing w:line="160" w:lineRule="exact"/>
        <w:ind w:left="933" w:hanging="793"/>
        <w:jc w:val="left"/>
        <w:rPr>
          <w:sz w:val="13"/>
        </w:rPr>
      </w:pPr>
      <w:r>
        <w:rPr>
          <w:color w:val="231F20"/>
          <w:sz w:val="13"/>
        </w:rPr>
        <w:t>Consultation 13 (Victoria Legal</w:t>
      </w:r>
      <w:r>
        <w:rPr>
          <w:color w:val="231F20"/>
          <w:spacing w:val="1"/>
          <w:sz w:val="13"/>
        </w:rPr>
        <w:t xml:space="preserve"> </w:t>
      </w:r>
      <w:r>
        <w:rPr>
          <w:color w:val="231F20"/>
          <w:sz w:val="13"/>
        </w:rPr>
        <w:t>Aid).</w:t>
      </w:r>
    </w:p>
    <w:p w14:paraId="0CB09B55" w14:textId="77777777" w:rsidR="00894070" w:rsidRDefault="009B7AFD">
      <w:pPr>
        <w:pStyle w:val="ListParagraph"/>
        <w:numPr>
          <w:ilvl w:val="0"/>
          <w:numId w:val="81"/>
        </w:numPr>
        <w:tabs>
          <w:tab w:val="left" w:pos="933"/>
          <w:tab w:val="left" w:pos="934"/>
        </w:tabs>
        <w:spacing w:line="160" w:lineRule="exact"/>
        <w:ind w:left="933" w:hanging="793"/>
        <w:jc w:val="left"/>
        <w:rPr>
          <w:sz w:val="13"/>
        </w:rPr>
      </w:pPr>
      <w:r>
        <w:rPr>
          <w:i/>
          <w:color w:val="231F20"/>
          <w:sz w:val="13"/>
        </w:rPr>
        <w:t xml:space="preserve">Justice Legislation Amendment (Criminal Procedure Disclosure and Other Matters) Act 2022 </w:t>
      </w:r>
      <w:r>
        <w:rPr>
          <w:color w:val="231F20"/>
          <w:sz w:val="13"/>
        </w:rPr>
        <w:t>(Vic) s</w:t>
      </w:r>
      <w:r>
        <w:rPr>
          <w:color w:val="231F20"/>
          <w:spacing w:val="14"/>
          <w:sz w:val="13"/>
        </w:rPr>
        <w:t xml:space="preserve"> </w:t>
      </w:r>
      <w:r>
        <w:rPr>
          <w:color w:val="231F20"/>
          <w:spacing w:val="2"/>
          <w:sz w:val="13"/>
        </w:rPr>
        <w:t>119.</w:t>
      </w:r>
    </w:p>
    <w:p w14:paraId="6E43D17C" w14:textId="77777777" w:rsidR="00894070" w:rsidRDefault="009B7AFD">
      <w:pPr>
        <w:pStyle w:val="ListParagraph"/>
        <w:numPr>
          <w:ilvl w:val="0"/>
          <w:numId w:val="81"/>
        </w:numPr>
        <w:tabs>
          <w:tab w:val="left" w:pos="933"/>
          <w:tab w:val="left" w:pos="934"/>
        </w:tabs>
        <w:spacing w:line="160" w:lineRule="exact"/>
        <w:ind w:left="933" w:hanging="793"/>
        <w:jc w:val="left"/>
        <w:rPr>
          <w:sz w:val="13"/>
        </w:rPr>
      </w:pPr>
      <w:r>
        <w:rPr>
          <w:color w:val="231F20"/>
          <w:sz w:val="13"/>
        </w:rPr>
        <w:t xml:space="preserve">Consultation 34 (Magistrates’ </w:t>
      </w:r>
      <w:r>
        <w:rPr>
          <w:color w:val="231F20"/>
          <w:spacing w:val="2"/>
          <w:sz w:val="13"/>
        </w:rPr>
        <w:t xml:space="preserve">Court </w:t>
      </w:r>
      <w:r>
        <w:rPr>
          <w:color w:val="231F20"/>
          <w:sz w:val="13"/>
        </w:rPr>
        <w:t>of Victoria (No 2)).</w:t>
      </w:r>
    </w:p>
    <w:p w14:paraId="3AC8786F" w14:textId="77777777" w:rsidR="00894070" w:rsidRDefault="009B7AFD">
      <w:pPr>
        <w:pStyle w:val="ListParagraph"/>
        <w:numPr>
          <w:ilvl w:val="0"/>
          <w:numId w:val="81"/>
        </w:numPr>
        <w:tabs>
          <w:tab w:val="left" w:pos="933"/>
          <w:tab w:val="left" w:pos="934"/>
        </w:tabs>
        <w:spacing w:line="170" w:lineRule="exact"/>
        <w:ind w:left="933" w:hanging="793"/>
        <w:jc w:val="left"/>
        <w:rPr>
          <w:sz w:val="13"/>
        </w:rPr>
      </w:pPr>
      <w:r>
        <w:rPr>
          <w:color w:val="231F20"/>
          <w:sz w:val="13"/>
        </w:rPr>
        <w:t xml:space="preserve">Consultation 6 (Magistrates’ </w:t>
      </w:r>
      <w:r>
        <w:rPr>
          <w:color w:val="231F20"/>
          <w:spacing w:val="2"/>
          <w:sz w:val="13"/>
        </w:rPr>
        <w:t xml:space="preserve">Court </w:t>
      </w:r>
      <w:r>
        <w:rPr>
          <w:color w:val="231F20"/>
          <w:sz w:val="13"/>
        </w:rPr>
        <w:t>of Victoria (No 1)).</w:t>
      </w:r>
    </w:p>
    <w:p w14:paraId="37C113DD"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80" w:space="287"/>
            <w:col w:w="10043"/>
          </w:cols>
        </w:sectPr>
      </w:pPr>
    </w:p>
    <w:p w14:paraId="0523E173" w14:textId="77777777" w:rsidR="00894070" w:rsidRDefault="00894070">
      <w:pPr>
        <w:pStyle w:val="BodyText"/>
      </w:pPr>
    </w:p>
    <w:p w14:paraId="4C8CBC4A" w14:textId="77777777" w:rsidR="00894070" w:rsidRDefault="00894070">
      <w:pPr>
        <w:pStyle w:val="BodyText"/>
      </w:pPr>
    </w:p>
    <w:p w14:paraId="4E202F9C" w14:textId="77777777" w:rsidR="00894070" w:rsidRDefault="00894070">
      <w:pPr>
        <w:pStyle w:val="BodyText"/>
      </w:pPr>
    </w:p>
    <w:p w14:paraId="43CF4D83" w14:textId="77777777" w:rsidR="00894070" w:rsidRDefault="00894070">
      <w:pPr>
        <w:pStyle w:val="BodyText"/>
        <w:spacing w:before="6"/>
        <w:rPr>
          <w:sz w:val="14"/>
        </w:rPr>
      </w:pPr>
    </w:p>
    <w:p w14:paraId="02DD6C44" w14:textId="77777777" w:rsidR="00894070" w:rsidRDefault="009B7AFD">
      <w:pPr>
        <w:pStyle w:val="BodyText"/>
        <w:spacing w:before="58" w:line="259" w:lineRule="exact"/>
        <w:ind w:left="1801"/>
      </w:pPr>
      <w:bookmarkStart w:id="136" w:name="_bookmark80"/>
      <w:bookmarkEnd w:id="136"/>
      <w:r>
        <w:rPr>
          <w:color w:val="231F20"/>
        </w:rPr>
        <w:t>under further stress. A glut of online applications could result in even less time and</w:t>
      </w:r>
    </w:p>
    <w:p w14:paraId="038F1FBC" w14:textId="77777777" w:rsidR="00894070" w:rsidRDefault="009B7AFD">
      <w:pPr>
        <w:pStyle w:val="BodyText"/>
        <w:spacing w:line="259" w:lineRule="exact"/>
        <w:ind w:left="1801"/>
      </w:pPr>
      <w:r>
        <w:rPr>
          <w:color w:val="231F20"/>
        </w:rPr>
        <w:t>resourcing to identify and deal with stalking PSIOs.</w:t>
      </w:r>
    </w:p>
    <w:p w14:paraId="24C1172A" w14:textId="77777777" w:rsidR="00894070" w:rsidRDefault="009F6793">
      <w:pPr>
        <w:pStyle w:val="BodyText"/>
        <w:spacing w:before="11"/>
        <w:rPr>
          <w:sz w:val="18"/>
        </w:rPr>
      </w:pPr>
      <w:r>
        <w:pict w14:anchorId="063446D9">
          <v:group id="_x0000_s1278" style="position:absolute;margin-left:62.35pt;margin-top:15pt;width:479.1pt;height:120.4pt;z-index:251696128;mso-wrap-distance-left:0;mso-wrap-distance-right:0;mso-position-horizontal-relative:page" coordorigin="1247,300" coordsize="9582,2408">
            <v:rect id="_x0000_s1283" style="position:absolute;left:1587;top:299;width:8731;height:2408" fillcolor="#fee7de" stroked="f"/>
            <v:line id="_x0000_s1282" style="position:absolute" from="1247,1108" to="10828,1108" strokecolor="white" strokeweight="2.5pt"/>
            <v:shape id="_x0000_s1281" type="#_x0000_t202" style="position:absolute;left:2381;top:1333;width:7590;height:1195" filled="f" stroked="f">
              <v:textbox inset="0,0,0,0">
                <w:txbxContent>
                  <w:p w14:paraId="409A7259" w14:textId="77777777" w:rsidR="00894070" w:rsidRDefault="009B7AFD">
                    <w:pPr>
                      <w:spacing w:line="247" w:lineRule="auto"/>
                      <w:ind w:right="18"/>
                      <w:rPr>
                        <w:rFonts w:ascii="Trebuchet MS"/>
                        <w:sz w:val="20"/>
                      </w:rPr>
                    </w:pPr>
                    <w:r>
                      <w:rPr>
                        <w:rFonts w:ascii="Trebuchet MS"/>
                        <w:color w:val="231F20"/>
                        <w:sz w:val="20"/>
                      </w:rPr>
                      <w:t xml:space="preserve">The Victorian </w:t>
                    </w:r>
                    <w:r>
                      <w:rPr>
                        <w:rFonts w:ascii="Trebuchet MS"/>
                        <w:color w:val="231F20"/>
                        <w:spacing w:val="-3"/>
                        <w:sz w:val="20"/>
                      </w:rPr>
                      <w:t xml:space="preserve">Government </w:t>
                    </w:r>
                    <w:r>
                      <w:rPr>
                        <w:rFonts w:ascii="Trebuchet MS"/>
                        <w:color w:val="231F20"/>
                        <w:sz w:val="20"/>
                      </w:rPr>
                      <w:t xml:space="preserve">should monitor and </w:t>
                    </w:r>
                    <w:r>
                      <w:rPr>
                        <w:rFonts w:ascii="Trebuchet MS"/>
                        <w:color w:val="231F20"/>
                        <w:spacing w:val="-3"/>
                        <w:sz w:val="20"/>
                      </w:rPr>
                      <w:t xml:space="preserve">evaluate </w:t>
                    </w:r>
                    <w:r>
                      <w:rPr>
                        <w:rFonts w:ascii="Trebuchet MS"/>
                        <w:color w:val="231F20"/>
                        <w:sz w:val="20"/>
                      </w:rPr>
                      <w:t xml:space="preserve">the implementation of </w:t>
                    </w:r>
                    <w:r>
                      <w:rPr>
                        <w:rFonts w:ascii="Trebuchet MS"/>
                        <w:color w:val="231F20"/>
                        <w:spacing w:val="-1"/>
                        <w:w w:val="111"/>
                        <w:sz w:val="20"/>
                      </w:rPr>
                      <w:t>o</w:t>
                    </w:r>
                    <w:r>
                      <w:rPr>
                        <w:rFonts w:ascii="Trebuchet MS"/>
                        <w:color w:val="231F20"/>
                        <w:spacing w:val="-2"/>
                        <w:w w:val="107"/>
                        <w:sz w:val="20"/>
                      </w:rPr>
                      <w:t>n</w:t>
                    </w:r>
                    <w:r>
                      <w:rPr>
                        <w:rFonts w:ascii="Trebuchet MS"/>
                        <w:color w:val="231F20"/>
                        <w:w w:val="96"/>
                        <w:sz w:val="20"/>
                      </w:rPr>
                      <w:t>l</w:t>
                    </w:r>
                    <w:r>
                      <w:rPr>
                        <w:rFonts w:ascii="Trebuchet MS"/>
                        <w:color w:val="231F20"/>
                        <w:spacing w:val="-2"/>
                        <w:w w:val="80"/>
                        <w:sz w:val="20"/>
                      </w:rPr>
                      <w:t>i</w:t>
                    </w:r>
                    <w:r>
                      <w:rPr>
                        <w:rFonts w:ascii="Trebuchet MS"/>
                        <w:color w:val="231F20"/>
                        <w:spacing w:val="-1"/>
                        <w:w w:val="108"/>
                        <w:sz w:val="20"/>
                      </w:rPr>
                      <w:t>n</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05"/>
                        <w:sz w:val="20"/>
                      </w:rPr>
                      <w:t>a</w:t>
                    </w:r>
                    <w:r>
                      <w:rPr>
                        <w:rFonts w:ascii="Trebuchet MS"/>
                        <w:color w:val="231F20"/>
                        <w:spacing w:val="-1"/>
                        <w:w w:val="111"/>
                        <w:sz w:val="20"/>
                      </w:rPr>
                      <w:t>p</w:t>
                    </w:r>
                    <w:r>
                      <w:rPr>
                        <w:rFonts w:ascii="Trebuchet MS"/>
                        <w:color w:val="231F20"/>
                        <w:spacing w:val="-2"/>
                        <w:w w:val="111"/>
                        <w:sz w:val="20"/>
                      </w:rPr>
                      <w:t>p</w:t>
                    </w:r>
                    <w:r>
                      <w:rPr>
                        <w:rFonts w:ascii="Trebuchet MS"/>
                        <w:color w:val="231F20"/>
                        <w:w w:val="96"/>
                        <w:sz w:val="20"/>
                      </w:rPr>
                      <w:t>l</w:t>
                    </w:r>
                    <w:r>
                      <w:rPr>
                        <w:rFonts w:ascii="Trebuchet MS"/>
                        <w:color w:val="231F20"/>
                        <w:spacing w:val="-1"/>
                        <w:w w:val="80"/>
                        <w:sz w:val="20"/>
                      </w:rPr>
                      <w:t>i</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spacing w:val="-2"/>
                        <w:w w:val="107"/>
                        <w:sz w:val="20"/>
                      </w:rPr>
                      <w:t>n</w:t>
                    </w:r>
                    <w:r>
                      <w:rPr>
                        <w:rFonts w:ascii="Trebuchet MS"/>
                        <w:color w:val="231F20"/>
                        <w:w w:val="122"/>
                        <w:sz w:val="20"/>
                      </w:rPr>
                      <w:t>s</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ers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er</w:t>
                    </w:r>
                    <w:r>
                      <w:rPr>
                        <w:rFonts w:ascii="Trebuchet MS"/>
                        <w:color w:val="231F20"/>
                        <w:spacing w:val="1"/>
                        <w:w w:val="108"/>
                        <w:sz w:val="20"/>
                      </w:rPr>
                      <w:t>s</w:t>
                    </w:r>
                    <w:r>
                      <w:rPr>
                        <w:rFonts w:ascii="Trebuchet MS"/>
                        <w:color w:val="231F20"/>
                        <w:w w:val="55"/>
                        <w:sz w:val="20"/>
                      </w:rPr>
                      <w:t>.</w:t>
                    </w:r>
                    <w:r>
                      <w:rPr>
                        <w:rFonts w:ascii="Trebuchet MS"/>
                        <w:color w:val="231F20"/>
                        <w:spacing w:val="-14"/>
                        <w:sz w:val="20"/>
                      </w:rPr>
                      <w:t xml:space="preserve"> </w:t>
                    </w:r>
                    <w:r>
                      <w:rPr>
                        <w:rFonts w:ascii="Trebuchet MS"/>
                        <w:color w:val="231F20"/>
                        <w:spacing w:val="-3"/>
                        <w:w w:val="111"/>
                        <w:sz w:val="20"/>
                      </w:rPr>
                      <w:t>F</w:t>
                    </w:r>
                    <w:r>
                      <w:rPr>
                        <w:rFonts w:ascii="Trebuchet MS"/>
                        <w:color w:val="231F20"/>
                        <w:spacing w:val="-2"/>
                        <w:w w:val="80"/>
                        <w:sz w:val="20"/>
                      </w:rPr>
                      <w:t>i</w:t>
                    </w:r>
                    <w:r>
                      <w:rPr>
                        <w:rFonts w:ascii="Trebuchet MS"/>
                        <w:color w:val="231F20"/>
                        <w:spacing w:val="-1"/>
                        <w:w w:val="104"/>
                        <w:sz w:val="20"/>
                      </w:rPr>
                      <w:t>nd</w:t>
                    </w:r>
                    <w:r>
                      <w:rPr>
                        <w:rFonts w:ascii="Trebuchet MS"/>
                        <w:color w:val="231F20"/>
                        <w:spacing w:val="-2"/>
                        <w:w w:val="104"/>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ho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 xml:space="preserve">d </w:t>
                    </w:r>
                    <w:r>
                      <w:rPr>
                        <w:rFonts w:ascii="Trebuchet MS"/>
                        <w:color w:val="231F20"/>
                        <w:spacing w:val="-3"/>
                        <w:sz w:val="20"/>
                      </w:rPr>
                      <w:t xml:space="preserve">inform </w:t>
                    </w:r>
                    <w:r>
                      <w:rPr>
                        <w:rFonts w:ascii="Trebuchet MS"/>
                        <w:color w:val="231F20"/>
                        <w:sz w:val="20"/>
                      </w:rPr>
                      <w:t xml:space="preserve">the use of online applications to ensure it is </w:t>
                    </w:r>
                    <w:r>
                      <w:rPr>
                        <w:rFonts w:ascii="Trebuchet MS"/>
                        <w:color w:val="231F20"/>
                        <w:spacing w:val="-3"/>
                        <w:sz w:val="20"/>
                      </w:rPr>
                      <w:t xml:space="preserve">safe </w:t>
                    </w:r>
                    <w:r>
                      <w:rPr>
                        <w:rFonts w:ascii="Trebuchet MS"/>
                        <w:color w:val="231F20"/>
                        <w:sz w:val="20"/>
                      </w:rPr>
                      <w:t xml:space="preserve">for use in </w:t>
                    </w:r>
                    <w:r>
                      <w:rPr>
                        <w:rFonts w:ascii="Trebuchet MS"/>
                        <w:color w:val="231F20"/>
                        <w:spacing w:val="-3"/>
                        <w:sz w:val="20"/>
                      </w:rPr>
                      <w:t xml:space="preserve">non-family </w:t>
                    </w:r>
                    <w:r>
                      <w:rPr>
                        <w:rFonts w:ascii="Trebuchet MS"/>
                        <w:color w:val="231F20"/>
                        <w:sz w:val="20"/>
                      </w:rPr>
                      <w:t xml:space="preserve">violence stalking matters and does not reduce the capacity of the court to </w:t>
                    </w:r>
                    <w:r>
                      <w:rPr>
                        <w:rFonts w:ascii="Trebuchet MS"/>
                        <w:color w:val="231F20"/>
                        <w:spacing w:val="-3"/>
                        <w:sz w:val="20"/>
                      </w:rPr>
                      <w:t xml:space="preserve">provide </w:t>
                    </w:r>
                    <w:r>
                      <w:rPr>
                        <w:rFonts w:ascii="Trebuchet MS"/>
                        <w:color w:val="231F20"/>
                        <w:spacing w:val="-2"/>
                        <w:w w:val="105"/>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3"/>
                        <w:w w:val="108"/>
                        <w:sz w:val="20"/>
                      </w:rPr>
                      <w:t>e</w:t>
                    </w:r>
                    <w:r>
                      <w:rPr>
                        <w:rFonts w:ascii="Trebuchet MS"/>
                        <w:color w:val="231F20"/>
                        <w:w w:val="81"/>
                        <w:sz w:val="20"/>
                      </w:rPr>
                      <w:t>f</w:t>
                    </w:r>
                    <w:r>
                      <w:rPr>
                        <w:rFonts w:ascii="Trebuchet MS"/>
                        <w:color w:val="231F20"/>
                        <w:spacing w:val="-5"/>
                        <w:w w:val="81"/>
                        <w:sz w:val="20"/>
                      </w:rPr>
                      <w:t>f</w:t>
                    </w:r>
                    <w:r>
                      <w:rPr>
                        <w:rFonts w:ascii="Trebuchet MS"/>
                        <w:color w:val="231F20"/>
                        <w:w w:val="108"/>
                        <w:sz w:val="20"/>
                      </w:rPr>
                      <w:t>e</w:t>
                    </w:r>
                    <w:r>
                      <w:rPr>
                        <w:rFonts w:ascii="Trebuchet MS"/>
                        <w:color w:val="231F20"/>
                        <w:spacing w:val="-2"/>
                        <w:w w:val="111"/>
                        <w:sz w:val="20"/>
                      </w:rPr>
                      <w:t>c</w:t>
                    </w:r>
                    <w:r>
                      <w:rPr>
                        <w:rFonts w:ascii="Trebuchet MS"/>
                        <w:color w:val="231F20"/>
                        <w:spacing w:val="-2"/>
                        <w:w w:val="88"/>
                        <w:sz w:val="20"/>
                      </w:rPr>
                      <w:t>t</w:t>
                    </w:r>
                    <w:r>
                      <w:rPr>
                        <w:rFonts w:ascii="Trebuchet MS"/>
                        <w:color w:val="231F20"/>
                        <w:spacing w:val="-2"/>
                        <w:w w:val="80"/>
                        <w:sz w:val="20"/>
                      </w:rPr>
                      <w:t>i</w:t>
                    </w:r>
                    <w:r>
                      <w:rPr>
                        <w:rFonts w:ascii="Trebuchet MS"/>
                        <w:color w:val="231F20"/>
                        <w:spacing w:val="-6"/>
                        <w:w w:val="109"/>
                        <w:sz w:val="20"/>
                      </w:rPr>
                      <w:t>v</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2"/>
                        <w:w w:val="107"/>
                        <w:sz w:val="20"/>
                      </w:rPr>
                      <w:t>n</w:t>
                    </w:r>
                    <w:r>
                      <w:rPr>
                        <w:rFonts w:ascii="Trebuchet MS"/>
                        <w:color w:val="231F20"/>
                        <w:spacing w:val="-1"/>
                        <w:w w:val="122"/>
                        <w:sz w:val="20"/>
                      </w:rPr>
                      <w:t>s</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2"/>
                        <w:w w:val="108"/>
                        <w:sz w:val="20"/>
                      </w:rPr>
                      <w:t>e</w:t>
                    </w:r>
                    <w:r>
                      <w:rPr>
                        <w:rFonts w:ascii="Trebuchet MS"/>
                        <w:color w:val="231F20"/>
                        <w:spacing w:val="-1"/>
                        <w:w w:val="122"/>
                        <w:sz w:val="20"/>
                      </w:rPr>
                      <w:t>s</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5"/>
                        <w:sz w:val="20"/>
                      </w:rPr>
                      <w:t>.</w:t>
                    </w:r>
                  </w:p>
                </w:txbxContent>
              </v:textbox>
            </v:shape>
            <v:shape id="_x0000_s1280" type="#_x0000_t202" style="position:absolute;left:1814;top:1333;width:281;height:235" filled="f" stroked="f">
              <v:textbox inset="0,0,0,0">
                <w:txbxContent>
                  <w:p w14:paraId="217B1A4F" w14:textId="77777777" w:rsidR="00894070" w:rsidRDefault="009B7AFD">
                    <w:pPr>
                      <w:rPr>
                        <w:rFonts w:ascii="Trebuchet MS"/>
                        <w:sz w:val="20"/>
                      </w:rPr>
                    </w:pPr>
                    <w:r>
                      <w:rPr>
                        <w:rFonts w:ascii="Trebuchet MS"/>
                        <w:color w:val="231F20"/>
                        <w:w w:val="95"/>
                        <w:sz w:val="20"/>
                      </w:rPr>
                      <w:t>25.</w:t>
                    </w:r>
                  </w:p>
                </w:txbxContent>
              </v:textbox>
            </v:shape>
            <v:shape id="_x0000_s1279" type="#_x0000_t202" style="position:absolute;left:1587;top:299;width:8731;height:783" fillcolor="#fee7de" stroked="f">
              <v:textbox inset="0,0,0,0">
                <w:txbxContent>
                  <w:p w14:paraId="2BE56CCB"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wrap type="topAndBottom" anchorx="page"/>
          </v:group>
        </w:pict>
      </w:r>
    </w:p>
    <w:p w14:paraId="1EA262A5" w14:textId="77777777" w:rsidR="00894070" w:rsidRDefault="00894070">
      <w:pPr>
        <w:pStyle w:val="BodyText"/>
        <w:spacing w:before="3"/>
        <w:rPr>
          <w:sz w:val="29"/>
        </w:rPr>
      </w:pPr>
    </w:p>
    <w:p w14:paraId="56AF079A" w14:textId="77777777" w:rsidR="00894070" w:rsidRDefault="009B7AFD">
      <w:pPr>
        <w:pStyle w:val="Heading8"/>
        <w:spacing w:before="48"/>
        <w:ind w:left="1007"/>
      </w:pPr>
      <w:r>
        <w:rPr>
          <w:color w:val="231F20"/>
        </w:rPr>
        <w:t>Allowing interim orders on the Court’s own motion</w:t>
      </w:r>
    </w:p>
    <w:p w14:paraId="13C39539" w14:textId="77777777" w:rsidR="00894070" w:rsidRDefault="009B7AFD">
      <w:pPr>
        <w:pStyle w:val="ListParagraph"/>
        <w:numPr>
          <w:ilvl w:val="1"/>
          <w:numId w:val="102"/>
        </w:numPr>
        <w:tabs>
          <w:tab w:val="left" w:pos="1802"/>
        </w:tabs>
        <w:spacing w:before="127" w:line="206" w:lineRule="auto"/>
        <w:ind w:right="1261"/>
        <w:jc w:val="both"/>
        <w:rPr>
          <w:sz w:val="20"/>
        </w:rPr>
      </w:pPr>
      <w:r>
        <w:rPr>
          <w:color w:val="231F20"/>
          <w:sz w:val="20"/>
        </w:rPr>
        <w:t xml:space="preserve">Under the </w:t>
      </w:r>
      <w:r>
        <w:rPr>
          <w:color w:val="231F20"/>
          <w:spacing w:val="-4"/>
          <w:sz w:val="20"/>
        </w:rPr>
        <w:t xml:space="preserve">Family </w:t>
      </w:r>
      <w:r>
        <w:rPr>
          <w:color w:val="231F20"/>
          <w:sz w:val="20"/>
        </w:rPr>
        <w:t xml:space="preserve">Violence </w:t>
      </w:r>
      <w:r>
        <w:rPr>
          <w:color w:val="231F20"/>
          <w:spacing w:val="-3"/>
          <w:sz w:val="20"/>
        </w:rPr>
        <w:t xml:space="preserve">Protection </w:t>
      </w:r>
      <w:r>
        <w:rPr>
          <w:color w:val="231F20"/>
          <w:sz w:val="20"/>
        </w:rPr>
        <w:t xml:space="preserve">Act, the court </w:t>
      </w:r>
      <w:r>
        <w:rPr>
          <w:color w:val="231F20"/>
          <w:spacing w:val="-3"/>
          <w:sz w:val="20"/>
        </w:rPr>
        <w:t xml:space="preserve">may </w:t>
      </w:r>
      <w:r>
        <w:rPr>
          <w:color w:val="231F20"/>
          <w:sz w:val="20"/>
        </w:rPr>
        <w:t xml:space="preserve">make an </w:t>
      </w:r>
      <w:r>
        <w:rPr>
          <w:color w:val="231F20"/>
          <w:spacing w:val="-3"/>
          <w:sz w:val="20"/>
        </w:rPr>
        <w:t xml:space="preserve">interim </w:t>
      </w:r>
      <w:r>
        <w:rPr>
          <w:color w:val="231F20"/>
          <w:spacing w:val="-2"/>
          <w:sz w:val="20"/>
        </w:rPr>
        <w:t xml:space="preserve">intervention </w:t>
      </w:r>
      <w:r>
        <w:rPr>
          <w:color w:val="231F20"/>
          <w:sz w:val="20"/>
        </w:rPr>
        <w:t>order</w:t>
      </w:r>
      <w:r>
        <w:rPr>
          <w:color w:val="231F20"/>
          <w:spacing w:val="-10"/>
          <w:sz w:val="20"/>
        </w:rPr>
        <w:t xml:space="preserve"> </w:t>
      </w:r>
      <w:r>
        <w:rPr>
          <w:color w:val="231F20"/>
          <w:sz w:val="20"/>
        </w:rPr>
        <w:t>on</w:t>
      </w:r>
      <w:r>
        <w:rPr>
          <w:color w:val="231F20"/>
          <w:spacing w:val="-9"/>
          <w:sz w:val="20"/>
        </w:rPr>
        <w:t xml:space="preserve"> </w:t>
      </w:r>
      <w:r>
        <w:rPr>
          <w:color w:val="231F20"/>
          <w:sz w:val="20"/>
        </w:rPr>
        <w:t>its</w:t>
      </w:r>
      <w:r>
        <w:rPr>
          <w:color w:val="231F20"/>
          <w:spacing w:val="-10"/>
          <w:sz w:val="20"/>
        </w:rPr>
        <w:t xml:space="preserve"> </w:t>
      </w:r>
      <w:r>
        <w:rPr>
          <w:color w:val="231F20"/>
          <w:spacing w:val="-3"/>
          <w:sz w:val="20"/>
        </w:rPr>
        <w:t>own</w:t>
      </w:r>
      <w:r>
        <w:rPr>
          <w:color w:val="231F20"/>
          <w:spacing w:val="-9"/>
          <w:sz w:val="20"/>
        </w:rPr>
        <w:t xml:space="preserve"> </w:t>
      </w:r>
      <w:r>
        <w:rPr>
          <w:color w:val="231F20"/>
          <w:sz w:val="20"/>
        </w:rPr>
        <w:t>motion</w:t>
      </w:r>
      <w:r>
        <w:rPr>
          <w:color w:val="231F20"/>
          <w:spacing w:val="-9"/>
          <w:sz w:val="20"/>
        </w:rPr>
        <w:t xml:space="preserve"> </w:t>
      </w:r>
      <w:r>
        <w:rPr>
          <w:color w:val="231F20"/>
          <w:sz w:val="20"/>
        </w:rPr>
        <w:t>where</w:t>
      </w:r>
      <w:r>
        <w:rPr>
          <w:color w:val="231F20"/>
          <w:spacing w:val="-10"/>
          <w:sz w:val="20"/>
        </w:rPr>
        <w:t xml:space="preserve"> </w:t>
      </w:r>
      <w:r>
        <w:rPr>
          <w:color w:val="231F20"/>
          <w:sz w:val="20"/>
        </w:rPr>
        <w:t>neither</w:t>
      </w:r>
      <w:r>
        <w:rPr>
          <w:color w:val="231F20"/>
          <w:spacing w:val="-9"/>
          <w:sz w:val="20"/>
        </w:rPr>
        <w:t xml:space="preserve"> </w:t>
      </w:r>
      <w:r>
        <w:rPr>
          <w:color w:val="231F20"/>
          <w:sz w:val="20"/>
        </w:rPr>
        <w:t>the</w:t>
      </w:r>
      <w:r>
        <w:rPr>
          <w:color w:val="231F20"/>
          <w:spacing w:val="-10"/>
          <w:sz w:val="20"/>
        </w:rPr>
        <w:t xml:space="preserve"> </w:t>
      </w:r>
      <w:r>
        <w:rPr>
          <w:color w:val="231F20"/>
          <w:sz w:val="20"/>
        </w:rPr>
        <w:t>affected</w:t>
      </w:r>
      <w:r>
        <w:rPr>
          <w:color w:val="231F20"/>
          <w:spacing w:val="-9"/>
          <w:sz w:val="20"/>
        </w:rPr>
        <w:t xml:space="preserve"> </w:t>
      </w:r>
      <w:r>
        <w:rPr>
          <w:color w:val="231F20"/>
          <w:sz w:val="20"/>
        </w:rPr>
        <w:t>person</w:t>
      </w:r>
      <w:r>
        <w:rPr>
          <w:color w:val="231F20"/>
          <w:spacing w:val="-9"/>
          <w:sz w:val="20"/>
        </w:rPr>
        <w:t xml:space="preserve"> </w:t>
      </w:r>
      <w:r>
        <w:rPr>
          <w:color w:val="231F20"/>
          <w:sz w:val="20"/>
        </w:rPr>
        <w:t>nor</w:t>
      </w:r>
      <w:r>
        <w:rPr>
          <w:color w:val="231F20"/>
          <w:spacing w:val="-10"/>
          <w:sz w:val="20"/>
        </w:rPr>
        <w:t xml:space="preserve"> </w:t>
      </w:r>
      <w:r>
        <w:rPr>
          <w:color w:val="231F20"/>
          <w:sz w:val="20"/>
        </w:rPr>
        <w:t>police</w:t>
      </w:r>
      <w:r>
        <w:rPr>
          <w:color w:val="231F20"/>
          <w:spacing w:val="-9"/>
          <w:sz w:val="20"/>
        </w:rPr>
        <w:t xml:space="preserve"> </w:t>
      </w:r>
      <w:r>
        <w:rPr>
          <w:color w:val="231F20"/>
          <w:spacing w:val="-4"/>
          <w:sz w:val="20"/>
        </w:rPr>
        <w:t>have</w:t>
      </w:r>
      <w:r>
        <w:rPr>
          <w:color w:val="231F20"/>
          <w:spacing w:val="-10"/>
          <w:sz w:val="20"/>
        </w:rPr>
        <w:t xml:space="preserve"> </w:t>
      </w:r>
      <w:r>
        <w:rPr>
          <w:color w:val="231F20"/>
          <w:sz w:val="20"/>
        </w:rPr>
        <w:t>applied</w:t>
      </w:r>
      <w:r>
        <w:rPr>
          <w:color w:val="231F20"/>
          <w:spacing w:val="-9"/>
          <w:sz w:val="20"/>
        </w:rPr>
        <w:t xml:space="preserve"> </w:t>
      </w:r>
      <w:r>
        <w:rPr>
          <w:color w:val="231F20"/>
          <w:spacing w:val="-3"/>
          <w:sz w:val="20"/>
        </w:rPr>
        <w:t xml:space="preserve">for </w:t>
      </w:r>
      <w:r>
        <w:rPr>
          <w:color w:val="231F20"/>
          <w:sz w:val="20"/>
        </w:rPr>
        <w:t>it.</w:t>
      </w:r>
      <w:r>
        <w:rPr>
          <w:color w:val="231F20"/>
          <w:spacing w:val="-10"/>
          <w:sz w:val="20"/>
        </w:rPr>
        <w:t xml:space="preserve"> </w:t>
      </w:r>
      <w:r>
        <w:rPr>
          <w:color w:val="231F20"/>
          <w:sz w:val="20"/>
        </w:rPr>
        <w:t>It</w:t>
      </w:r>
      <w:r>
        <w:rPr>
          <w:color w:val="231F20"/>
          <w:spacing w:val="-10"/>
          <w:sz w:val="20"/>
        </w:rPr>
        <w:t xml:space="preserve"> </w:t>
      </w:r>
      <w:r>
        <w:rPr>
          <w:color w:val="231F20"/>
          <w:sz w:val="20"/>
        </w:rPr>
        <w:t>can</w:t>
      </w:r>
      <w:r>
        <w:rPr>
          <w:color w:val="231F20"/>
          <w:spacing w:val="-9"/>
          <w:sz w:val="20"/>
        </w:rPr>
        <w:t xml:space="preserve"> </w:t>
      </w:r>
      <w:r>
        <w:rPr>
          <w:color w:val="231F20"/>
          <w:sz w:val="20"/>
        </w:rPr>
        <w:t>do</w:t>
      </w:r>
      <w:r>
        <w:rPr>
          <w:color w:val="231F20"/>
          <w:spacing w:val="-10"/>
          <w:sz w:val="20"/>
        </w:rPr>
        <w:t xml:space="preserve"> </w:t>
      </w:r>
      <w:r>
        <w:rPr>
          <w:color w:val="231F20"/>
          <w:sz w:val="20"/>
        </w:rPr>
        <w:t>this</w:t>
      </w:r>
      <w:r>
        <w:rPr>
          <w:color w:val="231F20"/>
          <w:spacing w:val="-9"/>
          <w:sz w:val="20"/>
        </w:rPr>
        <w:t xml:space="preserve"> </w:t>
      </w:r>
      <w:r>
        <w:rPr>
          <w:color w:val="231F20"/>
          <w:sz w:val="20"/>
        </w:rPr>
        <w:t>where</w:t>
      </w:r>
      <w:r>
        <w:rPr>
          <w:color w:val="231F20"/>
          <w:spacing w:val="-10"/>
          <w:sz w:val="20"/>
        </w:rPr>
        <w:t xml:space="preserve"> </w:t>
      </w:r>
      <w:r>
        <w:rPr>
          <w:color w:val="231F20"/>
          <w:sz w:val="20"/>
        </w:rPr>
        <w:t>satisfied</w:t>
      </w:r>
      <w:r>
        <w:rPr>
          <w:color w:val="231F20"/>
          <w:spacing w:val="-10"/>
          <w:sz w:val="20"/>
        </w:rPr>
        <w:t xml:space="preserve"> </w:t>
      </w:r>
      <w:r>
        <w:rPr>
          <w:color w:val="231F20"/>
          <w:spacing w:val="-3"/>
          <w:sz w:val="20"/>
        </w:rPr>
        <w:t>(on</w:t>
      </w:r>
      <w:r>
        <w:rPr>
          <w:color w:val="231F20"/>
          <w:spacing w:val="-9"/>
          <w:sz w:val="20"/>
        </w:rPr>
        <w:t xml:space="preserve"> </w:t>
      </w:r>
      <w:r>
        <w:rPr>
          <w:color w:val="231F20"/>
          <w:sz w:val="20"/>
        </w:rPr>
        <w:t>the</w:t>
      </w:r>
      <w:r>
        <w:rPr>
          <w:color w:val="231F20"/>
          <w:spacing w:val="-10"/>
          <w:sz w:val="20"/>
        </w:rPr>
        <w:t xml:space="preserve"> </w:t>
      </w:r>
      <w:r>
        <w:rPr>
          <w:color w:val="231F20"/>
          <w:sz w:val="20"/>
        </w:rPr>
        <w:t>balance</w:t>
      </w:r>
      <w:r>
        <w:rPr>
          <w:color w:val="231F20"/>
          <w:spacing w:val="-9"/>
          <w:sz w:val="20"/>
        </w:rPr>
        <w:t xml:space="preserve"> </w:t>
      </w:r>
      <w:r>
        <w:rPr>
          <w:color w:val="231F20"/>
          <w:sz w:val="20"/>
        </w:rPr>
        <w:t>of</w:t>
      </w:r>
      <w:r>
        <w:rPr>
          <w:color w:val="231F20"/>
          <w:spacing w:val="-10"/>
          <w:sz w:val="20"/>
        </w:rPr>
        <w:t xml:space="preserve"> </w:t>
      </w:r>
      <w:r>
        <w:rPr>
          <w:color w:val="231F20"/>
          <w:sz w:val="20"/>
        </w:rPr>
        <w:t>probabilities)</w:t>
      </w:r>
      <w:r>
        <w:rPr>
          <w:color w:val="231F20"/>
          <w:spacing w:val="-10"/>
          <w:sz w:val="20"/>
        </w:rPr>
        <w:t xml:space="preserve"> </w:t>
      </w:r>
      <w:r>
        <w:rPr>
          <w:color w:val="231F20"/>
          <w:sz w:val="20"/>
        </w:rPr>
        <w:t>that</w:t>
      </w:r>
      <w:r>
        <w:rPr>
          <w:color w:val="231F20"/>
          <w:spacing w:val="-9"/>
          <w:sz w:val="20"/>
        </w:rPr>
        <w:t xml:space="preserve"> </w:t>
      </w:r>
      <w:r>
        <w:rPr>
          <w:color w:val="231F20"/>
          <w:sz w:val="20"/>
        </w:rPr>
        <w:t>an</w:t>
      </w:r>
      <w:r>
        <w:rPr>
          <w:color w:val="231F20"/>
          <w:spacing w:val="-10"/>
          <w:sz w:val="20"/>
        </w:rPr>
        <w:t xml:space="preserve"> </w:t>
      </w:r>
      <w:r>
        <w:rPr>
          <w:color w:val="231F20"/>
          <w:sz w:val="20"/>
        </w:rPr>
        <w:t>order</w:t>
      </w:r>
      <w:r>
        <w:rPr>
          <w:color w:val="231F20"/>
          <w:spacing w:val="-9"/>
          <w:sz w:val="20"/>
        </w:rPr>
        <w:t xml:space="preserve"> </w:t>
      </w:r>
      <w:r>
        <w:rPr>
          <w:color w:val="231F20"/>
          <w:sz w:val="20"/>
        </w:rPr>
        <w:t>is</w:t>
      </w:r>
      <w:r>
        <w:rPr>
          <w:color w:val="231F20"/>
          <w:spacing w:val="-10"/>
          <w:sz w:val="20"/>
        </w:rPr>
        <w:t xml:space="preserve"> </w:t>
      </w:r>
      <w:r>
        <w:rPr>
          <w:color w:val="231F20"/>
          <w:sz w:val="20"/>
        </w:rPr>
        <w:t xml:space="preserve">needed </w:t>
      </w:r>
      <w:r>
        <w:rPr>
          <w:color w:val="231F20"/>
          <w:spacing w:val="-3"/>
          <w:sz w:val="20"/>
        </w:rPr>
        <w:t>to:</w:t>
      </w:r>
    </w:p>
    <w:p w14:paraId="514067A6" w14:textId="77777777" w:rsidR="00894070" w:rsidRDefault="009B7AFD">
      <w:pPr>
        <w:pStyle w:val="ListParagraph"/>
        <w:numPr>
          <w:ilvl w:val="2"/>
          <w:numId w:val="102"/>
        </w:numPr>
        <w:tabs>
          <w:tab w:val="left" w:pos="2141"/>
          <w:tab w:val="left" w:pos="2142"/>
        </w:tabs>
        <w:spacing w:before="93"/>
        <w:ind w:hanging="340"/>
        <w:rPr>
          <w:sz w:val="20"/>
        </w:rPr>
      </w:pPr>
      <w:r>
        <w:rPr>
          <w:color w:val="231F20"/>
          <w:sz w:val="20"/>
        </w:rPr>
        <w:t xml:space="preserve">ensure the safety of the affected </w:t>
      </w:r>
      <w:r>
        <w:rPr>
          <w:color w:val="231F20"/>
          <w:spacing w:val="-3"/>
          <w:sz w:val="20"/>
        </w:rPr>
        <w:t>family</w:t>
      </w:r>
      <w:r>
        <w:rPr>
          <w:color w:val="231F20"/>
          <w:spacing w:val="-33"/>
          <w:sz w:val="20"/>
        </w:rPr>
        <w:t xml:space="preserve"> </w:t>
      </w:r>
      <w:r>
        <w:rPr>
          <w:color w:val="231F20"/>
          <w:sz w:val="20"/>
        </w:rPr>
        <w:t>member</w:t>
      </w:r>
    </w:p>
    <w:p w14:paraId="2ED53122"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preserve</w:t>
      </w:r>
      <w:r>
        <w:rPr>
          <w:color w:val="231F20"/>
          <w:spacing w:val="-5"/>
          <w:sz w:val="20"/>
        </w:rPr>
        <w:t xml:space="preserve"> </w:t>
      </w:r>
      <w:r>
        <w:rPr>
          <w:color w:val="231F20"/>
          <w:sz w:val="20"/>
        </w:rPr>
        <w:t>property</w:t>
      </w:r>
    </w:p>
    <w:p w14:paraId="43CAB96C" w14:textId="77777777" w:rsidR="00894070" w:rsidRDefault="009B7AFD">
      <w:pPr>
        <w:pStyle w:val="ListParagraph"/>
        <w:numPr>
          <w:ilvl w:val="2"/>
          <w:numId w:val="102"/>
        </w:numPr>
        <w:tabs>
          <w:tab w:val="left" w:pos="2141"/>
          <w:tab w:val="left" w:pos="2142"/>
        </w:tabs>
        <w:spacing w:before="47"/>
        <w:ind w:hanging="340"/>
        <w:rPr>
          <w:sz w:val="11"/>
        </w:rPr>
      </w:pPr>
      <w:r>
        <w:rPr>
          <w:color w:val="231F20"/>
          <w:spacing w:val="-3"/>
          <w:sz w:val="20"/>
        </w:rPr>
        <w:t xml:space="preserve">protect </w:t>
      </w:r>
      <w:r>
        <w:rPr>
          <w:color w:val="231F20"/>
          <w:sz w:val="20"/>
        </w:rPr>
        <w:t xml:space="preserve">an affected </w:t>
      </w:r>
      <w:r>
        <w:rPr>
          <w:color w:val="231F20"/>
          <w:spacing w:val="-3"/>
          <w:sz w:val="20"/>
        </w:rPr>
        <w:t xml:space="preserve">family </w:t>
      </w:r>
      <w:r>
        <w:rPr>
          <w:color w:val="231F20"/>
          <w:sz w:val="20"/>
        </w:rPr>
        <w:t>member who is a</w:t>
      </w:r>
      <w:r>
        <w:rPr>
          <w:color w:val="231F20"/>
          <w:spacing w:val="-29"/>
          <w:sz w:val="20"/>
        </w:rPr>
        <w:t xml:space="preserve"> </w:t>
      </w:r>
      <w:r>
        <w:rPr>
          <w:color w:val="231F20"/>
          <w:sz w:val="20"/>
        </w:rPr>
        <w:t>child.</w:t>
      </w:r>
      <w:r>
        <w:rPr>
          <w:color w:val="231F20"/>
          <w:position w:val="7"/>
          <w:sz w:val="11"/>
        </w:rPr>
        <w:t>199</w:t>
      </w:r>
    </w:p>
    <w:p w14:paraId="5338366E" w14:textId="77777777" w:rsidR="00894070" w:rsidRDefault="009B7AFD">
      <w:pPr>
        <w:pStyle w:val="ListParagraph"/>
        <w:numPr>
          <w:ilvl w:val="1"/>
          <w:numId w:val="102"/>
        </w:numPr>
        <w:tabs>
          <w:tab w:val="left" w:pos="1801"/>
          <w:tab w:val="left" w:pos="1802"/>
        </w:tabs>
        <w:spacing w:before="48" w:line="259" w:lineRule="exact"/>
        <w:rPr>
          <w:sz w:val="20"/>
        </w:rPr>
      </w:pPr>
      <w:r>
        <w:rPr>
          <w:color w:val="231F20"/>
          <w:sz w:val="20"/>
        </w:rPr>
        <w:t>The</w:t>
      </w:r>
      <w:r>
        <w:rPr>
          <w:color w:val="231F20"/>
          <w:spacing w:val="-6"/>
          <w:sz w:val="20"/>
        </w:rPr>
        <w:t xml:space="preserve"> </w:t>
      </w:r>
      <w:r>
        <w:rPr>
          <w:color w:val="231F20"/>
          <w:sz w:val="20"/>
        </w:rPr>
        <w:t>court</w:t>
      </w:r>
      <w:r>
        <w:rPr>
          <w:color w:val="231F20"/>
          <w:spacing w:val="-5"/>
          <w:sz w:val="20"/>
        </w:rPr>
        <w:t xml:space="preserve"> </w:t>
      </w:r>
      <w:r>
        <w:rPr>
          <w:color w:val="231F20"/>
          <w:spacing w:val="-3"/>
          <w:sz w:val="20"/>
        </w:rPr>
        <w:t>may</w:t>
      </w:r>
      <w:r>
        <w:rPr>
          <w:color w:val="231F20"/>
          <w:spacing w:val="-5"/>
          <w:sz w:val="20"/>
        </w:rPr>
        <w:t xml:space="preserve"> </w:t>
      </w:r>
      <w:r>
        <w:rPr>
          <w:color w:val="231F20"/>
          <w:sz w:val="20"/>
        </w:rPr>
        <w:t>also</w:t>
      </w:r>
      <w:r>
        <w:rPr>
          <w:color w:val="231F20"/>
          <w:spacing w:val="-6"/>
          <w:sz w:val="20"/>
        </w:rPr>
        <w:t xml:space="preserve"> </w:t>
      </w:r>
      <w:r>
        <w:rPr>
          <w:color w:val="231F20"/>
          <w:sz w:val="20"/>
        </w:rPr>
        <w:t>make</w:t>
      </w:r>
      <w:r>
        <w:rPr>
          <w:color w:val="231F20"/>
          <w:spacing w:val="-5"/>
          <w:sz w:val="20"/>
        </w:rPr>
        <w:t xml:space="preserve"> </w:t>
      </w:r>
      <w:r>
        <w:rPr>
          <w:color w:val="231F20"/>
          <w:sz w:val="20"/>
        </w:rPr>
        <w:t>an</w:t>
      </w:r>
      <w:r>
        <w:rPr>
          <w:color w:val="231F20"/>
          <w:spacing w:val="-5"/>
          <w:sz w:val="20"/>
        </w:rPr>
        <w:t xml:space="preserve"> </w:t>
      </w:r>
      <w:r>
        <w:rPr>
          <w:color w:val="231F20"/>
          <w:spacing w:val="-3"/>
          <w:sz w:val="20"/>
        </w:rPr>
        <w:t>interim</w:t>
      </w:r>
      <w:r>
        <w:rPr>
          <w:color w:val="231F20"/>
          <w:spacing w:val="-6"/>
          <w:sz w:val="20"/>
        </w:rPr>
        <w:t xml:space="preserve"> </w:t>
      </w:r>
      <w:r>
        <w:rPr>
          <w:color w:val="231F20"/>
          <w:sz w:val="20"/>
        </w:rPr>
        <w:t>order</w:t>
      </w:r>
      <w:r>
        <w:rPr>
          <w:color w:val="231F20"/>
          <w:spacing w:val="-5"/>
          <w:sz w:val="20"/>
        </w:rPr>
        <w:t xml:space="preserve"> </w:t>
      </w:r>
      <w:r>
        <w:rPr>
          <w:color w:val="231F20"/>
          <w:sz w:val="20"/>
        </w:rPr>
        <w:t>in</w:t>
      </w:r>
      <w:r>
        <w:rPr>
          <w:color w:val="231F20"/>
          <w:spacing w:val="-5"/>
          <w:sz w:val="20"/>
        </w:rPr>
        <w:t xml:space="preserve"> </w:t>
      </w:r>
      <w:r>
        <w:rPr>
          <w:color w:val="231F20"/>
          <w:sz w:val="20"/>
        </w:rPr>
        <w:t>some</w:t>
      </w:r>
      <w:r>
        <w:rPr>
          <w:color w:val="231F20"/>
          <w:spacing w:val="-6"/>
          <w:sz w:val="20"/>
        </w:rPr>
        <w:t xml:space="preserve"> </w:t>
      </w:r>
      <w:r>
        <w:rPr>
          <w:color w:val="231F20"/>
          <w:sz w:val="20"/>
        </w:rPr>
        <w:t>situations,</w:t>
      </w:r>
      <w:r>
        <w:rPr>
          <w:color w:val="231F20"/>
          <w:spacing w:val="-5"/>
          <w:sz w:val="20"/>
        </w:rPr>
        <w:t xml:space="preserve"> </w:t>
      </w:r>
      <w:r>
        <w:rPr>
          <w:color w:val="231F20"/>
          <w:sz w:val="20"/>
        </w:rPr>
        <w:t>including</w:t>
      </w:r>
      <w:r>
        <w:rPr>
          <w:color w:val="231F20"/>
          <w:spacing w:val="-5"/>
          <w:sz w:val="20"/>
        </w:rPr>
        <w:t xml:space="preserve"> </w:t>
      </w:r>
      <w:proofErr w:type="gramStart"/>
      <w:r>
        <w:rPr>
          <w:color w:val="231F20"/>
          <w:sz w:val="20"/>
        </w:rPr>
        <w:t>where</w:t>
      </w:r>
      <w:proofErr w:type="gramEnd"/>
      <w:r>
        <w:rPr>
          <w:color w:val="231F20"/>
          <w:spacing w:val="-6"/>
          <w:sz w:val="20"/>
        </w:rPr>
        <w:t xml:space="preserve"> </w:t>
      </w:r>
      <w:r>
        <w:rPr>
          <w:color w:val="231F20"/>
          <w:sz w:val="20"/>
        </w:rPr>
        <w:t>the</w:t>
      </w:r>
    </w:p>
    <w:p w14:paraId="2E8CFDC4" w14:textId="77777777" w:rsidR="00894070" w:rsidRDefault="009B7AFD">
      <w:pPr>
        <w:pStyle w:val="BodyText"/>
        <w:spacing w:line="259" w:lineRule="exact"/>
        <w:ind w:left="1801"/>
        <w:rPr>
          <w:sz w:val="11"/>
        </w:rPr>
      </w:pPr>
      <w:r>
        <w:rPr>
          <w:color w:val="231F20"/>
        </w:rPr>
        <w:t>parties to the FVIO application have consented to it or do not oppose it.</w:t>
      </w:r>
      <w:r>
        <w:rPr>
          <w:color w:val="231F20"/>
          <w:position w:val="7"/>
          <w:sz w:val="11"/>
        </w:rPr>
        <w:t>200</w:t>
      </w:r>
    </w:p>
    <w:p w14:paraId="71F01FF1" w14:textId="77777777" w:rsidR="00894070" w:rsidRDefault="009B7AFD">
      <w:pPr>
        <w:pStyle w:val="ListParagraph"/>
        <w:numPr>
          <w:ilvl w:val="1"/>
          <w:numId w:val="102"/>
        </w:numPr>
        <w:tabs>
          <w:tab w:val="left" w:pos="1801"/>
          <w:tab w:val="left" w:pos="1802"/>
        </w:tabs>
        <w:spacing w:before="114" w:line="206" w:lineRule="auto"/>
        <w:ind w:right="1241"/>
        <w:rPr>
          <w:sz w:val="11"/>
        </w:rPr>
      </w:pPr>
      <w:r>
        <w:rPr>
          <w:color w:val="231F20"/>
          <w:sz w:val="20"/>
        </w:rPr>
        <w:t xml:space="preserve">The </w:t>
      </w:r>
      <w:r>
        <w:rPr>
          <w:color w:val="231F20"/>
          <w:spacing w:val="-3"/>
          <w:sz w:val="20"/>
        </w:rPr>
        <w:t xml:space="preserve">Magistrates’ </w:t>
      </w:r>
      <w:r>
        <w:rPr>
          <w:color w:val="231F20"/>
          <w:sz w:val="20"/>
        </w:rPr>
        <w:t xml:space="preserve">Court </w:t>
      </w:r>
      <w:r>
        <w:rPr>
          <w:color w:val="231F20"/>
          <w:spacing w:val="-3"/>
          <w:sz w:val="20"/>
        </w:rPr>
        <w:t xml:space="preserve">told </w:t>
      </w:r>
      <w:r>
        <w:rPr>
          <w:color w:val="231F20"/>
          <w:sz w:val="20"/>
        </w:rPr>
        <w:t xml:space="preserve">us that it </w:t>
      </w:r>
      <w:r>
        <w:rPr>
          <w:color w:val="231F20"/>
          <w:spacing w:val="-3"/>
          <w:sz w:val="20"/>
        </w:rPr>
        <w:t xml:space="preserve">would </w:t>
      </w:r>
      <w:r>
        <w:rPr>
          <w:color w:val="231F20"/>
          <w:sz w:val="20"/>
        </w:rPr>
        <w:t xml:space="preserve">be desirable to </w:t>
      </w:r>
      <w:r>
        <w:rPr>
          <w:color w:val="231F20"/>
          <w:spacing w:val="-4"/>
          <w:sz w:val="20"/>
        </w:rPr>
        <w:t xml:space="preserve">have </w:t>
      </w:r>
      <w:r>
        <w:rPr>
          <w:color w:val="231F20"/>
          <w:sz w:val="20"/>
        </w:rPr>
        <w:t xml:space="preserve">a similar </w:t>
      </w:r>
      <w:r>
        <w:rPr>
          <w:color w:val="231F20"/>
          <w:spacing w:val="-3"/>
          <w:sz w:val="20"/>
        </w:rPr>
        <w:t xml:space="preserve">power </w:t>
      </w:r>
      <w:r>
        <w:rPr>
          <w:color w:val="231F20"/>
          <w:sz w:val="20"/>
        </w:rPr>
        <w:t>in the PSIO</w:t>
      </w:r>
      <w:r>
        <w:rPr>
          <w:color w:val="231F20"/>
          <w:spacing w:val="-5"/>
          <w:sz w:val="20"/>
        </w:rPr>
        <w:t xml:space="preserve"> </w:t>
      </w:r>
      <w:r>
        <w:rPr>
          <w:color w:val="231F20"/>
          <w:spacing w:val="-2"/>
          <w:sz w:val="20"/>
        </w:rPr>
        <w:t>Act</w:t>
      </w:r>
      <w:r>
        <w:rPr>
          <w:color w:val="231F20"/>
          <w:spacing w:val="-5"/>
          <w:sz w:val="20"/>
        </w:rPr>
        <w:t xml:space="preserve"> </w:t>
      </w:r>
      <w:r>
        <w:rPr>
          <w:color w:val="231F20"/>
          <w:sz w:val="20"/>
        </w:rPr>
        <w:t>as</w:t>
      </w:r>
      <w:r>
        <w:rPr>
          <w:color w:val="231F20"/>
          <w:spacing w:val="-5"/>
          <w:sz w:val="20"/>
        </w:rPr>
        <w:t xml:space="preserve"> </w:t>
      </w:r>
      <w:r>
        <w:rPr>
          <w:color w:val="231F20"/>
          <w:sz w:val="20"/>
        </w:rPr>
        <w:t>part</w:t>
      </w:r>
      <w:r>
        <w:rPr>
          <w:color w:val="231F20"/>
          <w:spacing w:val="-5"/>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z w:val="20"/>
        </w:rPr>
        <w:t>bail</w:t>
      </w:r>
      <w:r>
        <w:rPr>
          <w:color w:val="231F20"/>
          <w:spacing w:val="-5"/>
          <w:sz w:val="20"/>
        </w:rPr>
        <w:t xml:space="preserve"> </w:t>
      </w:r>
      <w:r>
        <w:rPr>
          <w:color w:val="231F20"/>
          <w:sz w:val="20"/>
        </w:rPr>
        <w:t>application.</w:t>
      </w:r>
      <w:r>
        <w:rPr>
          <w:color w:val="231F20"/>
          <w:position w:val="7"/>
          <w:sz w:val="11"/>
        </w:rPr>
        <w:t>201</w:t>
      </w:r>
      <w:r>
        <w:rPr>
          <w:color w:val="231F20"/>
          <w:spacing w:val="19"/>
          <w:position w:val="7"/>
          <w:sz w:val="11"/>
        </w:rPr>
        <w:t xml:space="preserve"> </w:t>
      </w:r>
      <w:r>
        <w:rPr>
          <w:color w:val="231F20"/>
          <w:sz w:val="20"/>
        </w:rPr>
        <w:t>The</w:t>
      </w:r>
      <w:r>
        <w:rPr>
          <w:color w:val="231F20"/>
          <w:spacing w:val="-4"/>
          <w:sz w:val="20"/>
        </w:rPr>
        <w:t xml:space="preserve"> </w:t>
      </w:r>
      <w:r>
        <w:rPr>
          <w:color w:val="231F20"/>
          <w:spacing w:val="-3"/>
          <w:sz w:val="20"/>
        </w:rPr>
        <w:t>Children’s</w:t>
      </w:r>
      <w:r>
        <w:rPr>
          <w:color w:val="231F20"/>
          <w:spacing w:val="-5"/>
          <w:sz w:val="20"/>
        </w:rPr>
        <w:t xml:space="preserve"> </w:t>
      </w:r>
      <w:r>
        <w:rPr>
          <w:color w:val="231F20"/>
          <w:sz w:val="20"/>
        </w:rPr>
        <w:t>Court</w:t>
      </w:r>
      <w:r>
        <w:rPr>
          <w:color w:val="231F20"/>
          <w:spacing w:val="-5"/>
          <w:sz w:val="20"/>
        </w:rPr>
        <w:t xml:space="preserve"> </w:t>
      </w:r>
      <w:r>
        <w:rPr>
          <w:color w:val="231F20"/>
          <w:sz w:val="20"/>
        </w:rPr>
        <w:t>did</w:t>
      </w:r>
      <w:r>
        <w:rPr>
          <w:color w:val="231F20"/>
          <w:spacing w:val="-5"/>
          <w:sz w:val="20"/>
        </w:rPr>
        <w:t xml:space="preserve"> </w:t>
      </w:r>
      <w:r>
        <w:rPr>
          <w:color w:val="231F20"/>
          <w:sz w:val="20"/>
        </w:rPr>
        <w:t>not</w:t>
      </w:r>
      <w:r>
        <w:rPr>
          <w:color w:val="231F20"/>
          <w:spacing w:val="-5"/>
          <w:sz w:val="20"/>
        </w:rPr>
        <w:t xml:space="preserve"> </w:t>
      </w:r>
      <w:r>
        <w:rPr>
          <w:color w:val="231F20"/>
          <w:sz w:val="20"/>
        </w:rPr>
        <w:t>see</w:t>
      </w:r>
      <w:r>
        <w:rPr>
          <w:color w:val="231F20"/>
          <w:spacing w:val="-5"/>
          <w:sz w:val="20"/>
        </w:rPr>
        <w:t xml:space="preserve"> </w:t>
      </w:r>
      <w:r>
        <w:rPr>
          <w:color w:val="231F20"/>
          <w:sz w:val="20"/>
        </w:rPr>
        <w:t>a</w:t>
      </w:r>
      <w:r>
        <w:rPr>
          <w:color w:val="231F20"/>
          <w:spacing w:val="-5"/>
          <w:sz w:val="20"/>
        </w:rPr>
        <w:t xml:space="preserve"> </w:t>
      </w:r>
      <w:r>
        <w:rPr>
          <w:color w:val="231F20"/>
          <w:sz w:val="20"/>
        </w:rPr>
        <w:t>need</w:t>
      </w:r>
      <w:r>
        <w:rPr>
          <w:color w:val="231F20"/>
          <w:spacing w:val="-5"/>
          <w:sz w:val="20"/>
        </w:rPr>
        <w:t xml:space="preserve"> </w:t>
      </w:r>
      <w:r>
        <w:rPr>
          <w:color w:val="231F20"/>
          <w:spacing w:val="-3"/>
          <w:sz w:val="20"/>
        </w:rPr>
        <w:t>for</w:t>
      </w:r>
      <w:r>
        <w:rPr>
          <w:color w:val="231F20"/>
          <w:spacing w:val="-4"/>
          <w:sz w:val="20"/>
        </w:rPr>
        <w:t xml:space="preserve"> </w:t>
      </w:r>
      <w:r>
        <w:rPr>
          <w:color w:val="231F20"/>
          <w:sz w:val="20"/>
        </w:rPr>
        <w:t>it</w:t>
      </w:r>
      <w:r>
        <w:rPr>
          <w:color w:val="231F20"/>
          <w:spacing w:val="-5"/>
          <w:sz w:val="20"/>
        </w:rPr>
        <w:t xml:space="preserve"> </w:t>
      </w:r>
      <w:r>
        <w:rPr>
          <w:color w:val="231F20"/>
          <w:sz w:val="20"/>
        </w:rPr>
        <w:t>as it</w:t>
      </w:r>
      <w:r>
        <w:rPr>
          <w:color w:val="231F20"/>
          <w:spacing w:val="-7"/>
          <w:sz w:val="20"/>
        </w:rPr>
        <w:t xml:space="preserve"> </w:t>
      </w:r>
      <w:r>
        <w:rPr>
          <w:color w:val="231F20"/>
          <w:sz w:val="20"/>
        </w:rPr>
        <w:t>was</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view</w:t>
      </w:r>
      <w:r>
        <w:rPr>
          <w:color w:val="231F20"/>
          <w:spacing w:val="-6"/>
          <w:sz w:val="20"/>
        </w:rPr>
        <w:t xml:space="preserve"> </w:t>
      </w:r>
      <w:r>
        <w:rPr>
          <w:color w:val="231F20"/>
          <w:sz w:val="20"/>
        </w:rPr>
        <w:t>that</w:t>
      </w:r>
      <w:r>
        <w:rPr>
          <w:color w:val="231F20"/>
          <w:spacing w:val="-7"/>
          <w:sz w:val="20"/>
        </w:rPr>
        <w:t xml:space="preserve"> </w:t>
      </w:r>
      <w:r>
        <w:rPr>
          <w:color w:val="231F20"/>
          <w:sz w:val="20"/>
        </w:rPr>
        <w:t>police</w:t>
      </w:r>
      <w:r>
        <w:rPr>
          <w:color w:val="231F20"/>
          <w:spacing w:val="-6"/>
          <w:sz w:val="20"/>
        </w:rPr>
        <w:t xml:space="preserve"> </w:t>
      </w:r>
      <w:r>
        <w:rPr>
          <w:color w:val="231F20"/>
          <w:spacing w:val="-3"/>
          <w:sz w:val="20"/>
        </w:rPr>
        <w:t>would</w:t>
      </w:r>
      <w:r>
        <w:rPr>
          <w:color w:val="231F20"/>
          <w:spacing w:val="-6"/>
          <w:sz w:val="20"/>
        </w:rPr>
        <w:t xml:space="preserve"> </w:t>
      </w:r>
      <w:r>
        <w:rPr>
          <w:color w:val="231F20"/>
          <w:spacing w:val="-3"/>
          <w:sz w:val="20"/>
        </w:rPr>
        <w:t>apply</w:t>
      </w:r>
      <w:r>
        <w:rPr>
          <w:color w:val="231F20"/>
          <w:spacing w:val="-7"/>
          <w:sz w:val="20"/>
        </w:rPr>
        <w:t xml:space="preserve"> </w:t>
      </w:r>
      <w:r>
        <w:rPr>
          <w:color w:val="231F20"/>
          <w:spacing w:val="-3"/>
          <w:sz w:val="20"/>
        </w:rPr>
        <w:t>for</w:t>
      </w:r>
      <w:r>
        <w:rPr>
          <w:color w:val="231F20"/>
          <w:spacing w:val="-6"/>
          <w:sz w:val="20"/>
        </w:rPr>
        <w:t xml:space="preserve"> </w:t>
      </w:r>
      <w:r>
        <w:rPr>
          <w:color w:val="231F20"/>
          <w:sz w:val="20"/>
        </w:rPr>
        <w:t>the</w:t>
      </w:r>
      <w:r>
        <w:rPr>
          <w:color w:val="231F20"/>
          <w:spacing w:val="-6"/>
          <w:sz w:val="20"/>
        </w:rPr>
        <w:t xml:space="preserve"> </w:t>
      </w:r>
      <w:r>
        <w:rPr>
          <w:color w:val="231F20"/>
          <w:sz w:val="20"/>
        </w:rPr>
        <w:t>order</w:t>
      </w:r>
      <w:r>
        <w:rPr>
          <w:color w:val="231F20"/>
          <w:spacing w:val="-7"/>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provision</w:t>
      </w:r>
      <w:r>
        <w:rPr>
          <w:color w:val="231F20"/>
          <w:spacing w:val="-7"/>
          <w:sz w:val="20"/>
        </w:rPr>
        <w:t xml:space="preserve"> </w:t>
      </w:r>
      <w:r>
        <w:rPr>
          <w:color w:val="231F20"/>
          <w:sz w:val="20"/>
        </w:rPr>
        <w:t>was</w:t>
      </w:r>
      <w:r>
        <w:rPr>
          <w:color w:val="231F20"/>
          <w:spacing w:val="-6"/>
          <w:sz w:val="20"/>
        </w:rPr>
        <w:t xml:space="preserve"> </w:t>
      </w:r>
      <w:r>
        <w:rPr>
          <w:color w:val="231F20"/>
          <w:sz w:val="20"/>
        </w:rPr>
        <w:t>not</w:t>
      </w:r>
      <w:r>
        <w:rPr>
          <w:color w:val="231F20"/>
          <w:spacing w:val="-6"/>
          <w:sz w:val="20"/>
        </w:rPr>
        <w:t xml:space="preserve"> </w:t>
      </w:r>
      <w:r>
        <w:rPr>
          <w:color w:val="231F20"/>
          <w:spacing w:val="-3"/>
          <w:sz w:val="20"/>
        </w:rPr>
        <w:t xml:space="preserve">likely </w:t>
      </w:r>
      <w:r>
        <w:rPr>
          <w:color w:val="231F20"/>
          <w:sz w:val="20"/>
        </w:rPr>
        <w:t xml:space="preserve">to be used </w:t>
      </w:r>
      <w:r>
        <w:rPr>
          <w:color w:val="231F20"/>
          <w:spacing w:val="-3"/>
          <w:sz w:val="20"/>
        </w:rPr>
        <w:t xml:space="preserve">by </w:t>
      </w:r>
      <w:r>
        <w:rPr>
          <w:color w:val="231F20"/>
          <w:sz w:val="20"/>
        </w:rPr>
        <w:t>the</w:t>
      </w:r>
      <w:r>
        <w:rPr>
          <w:color w:val="231F20"/>
          <w:spacing w:val="-17"/>
          <w:sz w:val="20"/>
        </w:rPr>
        <w:t xml:space="preserve"> </w:t>
      </w:r>
      <w:r>
        <w:rPr>
          <w:color w:val="231F20"/>
          <w:sz w:val="20"/>
        </w:rPr>
        <w:t>court.</w:t>
      </w:r>
      <w:r>
        <w:rPr>
          <w:color w:val="231F20"/>
          <w:position w:val="7"/>
          <w:sz w:val="11"/>
        </w:rPr>
        <w:t>202</w:t>
      </w:r>
    </w:p>
    <w:p w14:paraId="2406554B" w14:textId="77777777" w:rsidR="00894070" w:rsidRDefault="009B7AFD">
      <w:pPr>
        <w:pStyle w:val="ListParagraph"/>
        <w:numPr>
          <w:ilvl w:val="1"/>
          <w:numId w:val="102"/>
        </w:numPr>
        <w:tabs>
          <w:tab w:val="left" w:pos="1801"/>
          <w:tab w:val="left" w:pos="1802"/>
        </w:tabs>
        <w:spacing w:before="125" w:line="206" w:lineRule="auto"/>
        <w:ind w:right="1313"/>
        <w:rPr>
          <w:sz w:val="20"/>
        </w:rPr>
      </w:pPr>
      <w:r>
        <w:rPr>
          <w:color w:val="231F20"/>
          <w:spacing w:val="-6"/>
          <w:sz w:val="20"/>
        </w:rPr>
        <w:t xml:space="preserve">We </w:t>
      </w:r>
      <w:r>
        <w:rPr>
          <w:color w:val="231F20"/>
          <w:sz w:val="20"/>
        </w:rPr>
        <w:t xml:space="preserve">see no reason </w:t>
      </w:r>
      <w:r>
        <w:rPr>
          <w:color w:val="231F20"/>
          <w:spacing w:val="-3"/>
          <w:sz w:val="20"/>
        </w:rPr>
        <w:t xml:space="preserve">why </w:t>
      </w:r>
      <w:r>
        <w:rPr>
          <w:color w:val="231F20"/>
          <w:sz w:val="20"/>
        </w:rPr>
        <w:t xml:space="preserve">the </w:t>
      </w:r>
      <w:r>
        <w:rPr>
          <w:color w:val="231F20"/>
          <w:spacing w:val="-3"/>
          <w:sz w:val="20"/>
        </w:rPr>
        <w:t xml:space="preserve">FVPA provision </w:t>
      </w:r>
      <w:r>
        <w:rPr>
          <w:color w:val="231F20"/>
          <w:sz w:val="20"/>
        </w:rPr>
        <w:t xml:space="preserve">should not also be replicated in the PSIO Act, </w:t>
      </w:r>
      <w:r>
        <w:rPr>
          <w:color w:val="231F20"/>
          <w:spacing w:val="-3"/>
          <w:sz w:val="20"/>
        </w:rPr>
        <w:t xml:space="preserve">given </w:t>
      </w:r>
      <w:r>
        <w:rPr>
          <w:color w:val="231F20"/>
          <w:sz w:val="20"/>
        </w:rPr>
        <w:t xml:space="preserve">the </w:t>
      </w:r>
      <w:r>
        <w:rPr>
          <w:color w:val="231F20"/>
          <w:spacing w:val="-3"/>
          <w:sz w:val="20"/>
        </w:rPr>
        <w:t xml:space="preserve">Magistrates’ </w:t>
      </w:r>
      <w:r>
        <w:rPr>
          <w:color w:val="231F20"/>
          <w:sz w:val="20"/>
        </w:rPr>
        <w:t xml:space="preserve">Court has identified the need </w:t>
      </w:r>
      <w:r>
        <w:rPr>
          <w:color w:val="231F20"/>
          <w:spacing w:val="-3"/>
          <w:sz w:val="20"/>
        </w:rPr>
        <w:t xml:space="preserve">for </w:t>
      </w:r>
      <w:r>
        <w:rPr>
          <w:color w:val="231F20"/>
          <w:sz w:val="20"/>
        </w:rPr>
        <w:t>it in some cases. Such a change</w:t>
      </w:r>
      <w:r>
        <w:rPr>
          <w:color w:val="231F20"/>
          <w:spacing w:val="-8"/>
          <w:sz w:val="20"/>
        </w:rPr>
        <w:t xml:space="preserve"> </w:t>
      </w:r>
      <w:r>
        <w:rPr>
          <w:color w:val="231F20"/>
          <w:sz w:val="20"/>
        </w:rPr>
        <w:t>is</w:t>
      </w:r>
      <w:r>
        <w:rPr>
          <w:color w:val="231F20"/>
          <w:spacing w:val="-8"/>
          <w:sz w:val="20"/>
        </w:rPr>
        <w:t xml:space="preserve"> </w:t>
      </w:r>
      <w:r>
        <w:rPr>
          <w:color w:val="231F20"/>
          <w:spacing w:val="-3"/>
          <w:sz w:val="20"/>
        </w:rPr>
        <w:t>likely</w:t>
      </w:r>
      <w:r>
        <w:rPr>
          <w:color w:val="231F20"/>
          <w:spacing w:val="-8"/>
          <w:sz w:val="20"/>
        </w:rPr>
        <w:t xml:space="preserve"> </w:t>
      </w:r>
      <w:r>
        <w:rPr>
          <w:color w:val="231F20"/>
          <w:sz w:val="20"/>
        </w:rPr>
        <w:t>to</w:t>
      </w:r>
      <w:r>
        <w:rPr>
          <w:color w:val="231F20"/>
          <w:spacing w:val="-8"/>
          <w:sz w:val="20"/>
        </w:rPr>
        <w:t xml:space="preserve"> </w:t>
      </w:r>
      <w:r>
        <w:rPr>
          <w:color w:val="231F20"/>
          <w:spacing w:val="-3"/>
          <w:sz w:val="20"/>
        </w:rPr>
        <w:t>promote</w:t>
      </w:r>
      <w:r>
        <w:rPr>
          <w:color w:val="231F20"/>
          <w:spacing w:val="-8"/>
          <w:sz w:val="20"/>
        </w:rPr>
        <w:t xml:space="preserve"> </w:t>
      </w:r>
      <w:r>
        <w:rPr>
          <w:color w:val="231F20"/>
          <w:sz w:val="20"/>
        </w:rPr>
        <w:t>the</w:t>
      </w:r>
      <w:r>
        <w:rPr>
          <w:color w:val="231F20"/>
          <w:spacing w:val="-8"/>
          <w:sz w:val="20"/>
        </w:rPr>
        <w:t xml:space="preserve"> </w:t>
      </w:r>
      <w:r>
        <w:rPr>
          <w:color w:val="231F20"/>
          <w:sz w:val="20"/>
        </w:rPr>
        <w:t>safety</w:t>
      </w:r>
      <w:r>
        <w:rPr>
          <w:color w:val="231F20"/>
          <w:spacing w:val="-8"/>
          <w:sz w:val="20"/>
        </w:rPr>
        <w:t xml:space="preserve"> </w:t>
      </w:r>
      <w:r>
        <w:rPr>
          <w:color w:val="231F20"/>
          <w:sz w:val="20"/>
        </w:rPr>
        <w:t>of</w:t>
      </w:r>
      <w:r>
        <w:rPr>
          <w:color w:val="231F20"/>
          <w:spacing w:val="-8"/>
          <w:sz w:val="20"/>
        </w:rPr>
        <w:t xml:space="preserve"> </w:t>
      </w: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z w:val="20"/>
        </w:rPr>
        <w:t>experience</w:t>
      </w:r>
      <w:r>
        <w:rPr>
          <w:color w:val="231F20"/>
          <w:spacing w:val="-8"/>
          <w:sz w:val="20"/>
        </w:rPr>
        <w:t xml:space="preserve"> </w:t>
      </w:r>
      <w:r>
        <w:rPr>
          <w:color w:val="231F20"/>
          <w:sz w:val="20"/>
        </w:rPr>
        <w:t>stalking.</w:t>
      </w:r>
      <w:r>
        <w:rPr>
          <w:color w:val="231F20"/>
          <w:spacing w:val="-7"/>
          <w:sz w:val="20"/>
        </w:rPr>
        <w:t xml:space="preserve"> </w:t>
      </w:r>
      <w:r>
        <w:rPr>
          <w:color w:val="231F20"/>
          <w:sz w:val="20"/>
        </w:rPr>
        <w:t>It</w:t>
      </w:r>
      <w:r>
        <w:rPr>
          <w:color w:val="231F20"/>
          <w:spacing w:val="-8"/>
          <w:sz w:val="20"/>
        </w:rPr>
        <w:t xml:space="preserve"> </w:t>
      </w:r>
      <w:r>
        <w:rPr>
          <w:color w:val="231F20"/>
          <w:spacing w:val="-3"/>
          <w:sz w:val="20"/>
        </w:rPr>
        <w:t>provides</w:t>
      </w:r>
      <w:r>
        <w:rPr>
          <w:color w:val="231F20"/>
          <w:spacing w:val="-8"/>
          <w:sz w:val="20"/>
        </w:rPr>
        <w:t xml:space="preserve"> </w:t>
      </w:r>
      <w:r>
        <w:rPr>
          <w:color w:val="231F20"/>
          <w:sz w:val="20"/>
        </w:rPr>
        <w:t>a safeguard,</w:t>
      </w:r>
      <w:r>
        <w:rPr>
          <w:color w:val="231F20"/>
          <w:spacing w:val="-5"/>
          <w:sz w:val="20"/>
        </w:rPr>
        <w:t xml:space="preserve"> </w:t>
      </w:r>
      <w:r>
        <w:rPr>
          <w:color w:val="231F20"/>
          <w:spacing w:val="-3"/>
          <w:sz w:val="20"/>
        </w:rPr>
        <w:t>allowing</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a</w:t>
      </w:r>
      <w:r>
        <w:rPr>
          <w:color w:val="231F20"/>
          <w:spacing w:val="-5"/>
          <w:sz w:val="20"/>
        </w:rPr>
        <w:t xml:space="preserve"> </w:t>
      </w:r>
      <w:r>
        <w:rPr>
          <w:color w:val="231F20"/>
          <w:sz w:val="20"/>
        </w:rPr>
        <w:t>PSIO</w:t>
      </w:r>
      <w:r>
        <w:rPr>
          <w:color w:val="231F20"/>
          <w:spacing w:val="-5"/>
          <w:sz w:val="20"/>
        </w:rPr>
        <w:t xml:space="preserve"> </w:t>
      </w:r>
      <w:r>
        <w:rPr>
          <w:color w:val="231F20"/>
          <w:sz w:val="20"/>
        </w:rPr>
        <w:t>to</w:t>
      </w:r>
      <w:r>
        <w:rPr>
          <w:color w:val="231F20"/>
          <w:spacing w:val="-4"/>
          <w:sz w:val="20"/>
        </w:rPr>
        <w:t xml:space="preserve"> </w:t>
      </w:r>
      <w:r>
        <w:rPr>
          <w:color w:val="231F20"/>
          <w:sz w:val="20"/>
        </w:rPr>
        <w:t>be</w:t>
      </w:r>
      <w:r>
        <w:rPr>
          <w:color w:val="231F20"/>
          <w:spacing w:val="-5"/>
          <w:sz w:val="20"/>
        </w:rPr>
        <w:t xml:space="preserve"> </w:t>
      </w:r>
      <w:r>
        <w:rPr>
          <w:color w:val="231F20"/>
          <w:sz w:val="20"/>
        </w:rPr>
        <w:t>made</w:t>
      </w:r>
      <w:r>
        <w:rPr>
          <w:color w:val="231F20"/>
          <w:spacing w:val="-5"/>
          <w:sz w:val="20"/>
        </w:rPr>
        <w:t xml:space="preserve"> </w:t>
      </w:r>
      <w:r>
        <w:rPr>
          <w:color w:val="231F20"/>
          <w:sz w:val="20"/>
        </w:rPr>
        <w:t>when</w:t>
      </w:r>
      <w:r>
        <w:rPr>
          <w:color w:val="231F20"/>
          <w:spacing w:val="-5"/>
          <w:sz w:val="20"/>
        </w:rPr>
        <w:t xml:space="preserve"> </w:t>
      </w:r>
      <w:r>
        <w:rPr>
          <w:color w:val="231F20"/>
          <w:sz w:val="20"/>
        </w:rPr>
        <w:t>no</w:t>
      </w:r>
      <w:r>
        <w:rPr>
          <w:color w:val="231F20"/>
          <w:spacing w:val="-5"/>
          <w:sz w:val="20"/>
        </w:rPr>
        <w:t xml:space="preserve"> </w:t>
      </w:r>
      <w:r>
        <w:rPr>
          <w:color w:val="231F20"/>
          <w:sz w:val="20"/>
        </w:rPr>
        <w:t>one</w:t>
      </w:r>
      <w:r>
        <w:rPr>
          <w:color w:val="231F20"/>
          <w:spacing w:val="-5"/>
          <w:sz w:val="20"/>
        </w:rPr>
        <w:t xml:space="preserve"> </w:t>
      </w:r>
      <w:r>
        <w:rPr>
          <w:color w:val="231F20"/>
          <w:sz w:val="20"/>
        </w:rPr>
        <w:t>applies</w:t>
      </w:r>
      <w:r>
        <w:rPr>
          <w:color w:val="231F20"/>
          <w:spacing w:val="-4"/>
          <w:sz w:val="20"/>
        </w:rPr>
        <w:t xml:space="preserve"> </w:t>
      </w:r>
      <w:r>
        <w:rPr>
          <w:color w:val="231F20"/>
          <w:spacing w:val="-3"/>
          <w:sz w:val="20"/>
        </w:rPr>
        <w:t>for</w:t>
      </w:r>
      <w:r>
        <w:rPr>
          <w:color w:val="231F20"/>
          <w:spacing w:val="-5"/>
          <w:sz w:val="20"/>
        </w:rPr>
        <w:t xml:space="preserve"> </w:t>
      </w:r>
      <w:r>
        <w:rPr>
          <w:color w:val="231F20"/>
          <w:sz w:val="20"/>
        </w:rPr>
        <w:t>it.</w:t>
      </w:r>
    </w:p>
    <w:p w14:paraId="2202D1B9" w14:textId="77777777" w:rsidR="00894070" w:rsidRDefault="009B7AFD">
      <w:pPr>
        <w:pStyle w:val="ListParagraph"/>
        <w:numPr>
          <w:ilvl w:val="1"/>
          <w:numId w:val="102"/>
        </w:numPr>
        <w:tabs>
          <w:tab w:val="left" w:pos="1801"/>
          <w:tab w:val="left" w:pos="1802"/>
        </w:tabs>
        <w:spacing w:before="125" w:line="206" w:lineRule="auto"/>
        <w:ind w:right="1347"/>
        <w:rPr>
          <w:sz w:val="20"/>
        </w:rPr>
      </w:pPr>
      <w:r>
        <w:rPr>
          <w:color w:val="231F20"/>
          <w:sz w:val="20"/>
        </w:rPr>
        <w:t xml:space="preserve">Notwithstanding the </w:t>
      </w:r>
      <w:r>
        <w:rPr>
          <w:color w:val="231F20"/>
          <w:spacing w:val="-3"/>
          <w:sz w:val="20"/>
        </w:rPr>
        <w:t xml:space="preserve">information provided by </w:t>
      </w:r>
      <w:r>
        <w:rPr>
          <w:color w:val="231F20"/>
          <w:sz w:val="20"/>
        </w:rPr>
        <w:t xml:space="preserve">the </w:t>
      </w:r>
      <w:r>
        <w:rPr>
          <w:color w:val="231F20"/>
          <w:spacing w:val="-3"/>
          <w:sz w:val="20"/>
        </w:rPr>
        <w:t xml:space="preserve">Children’s </w:t>
      </w:r>
      <w:r>
        <w:rPr>
          <w:color w:val="231F20"/>
          <w:sz w:val="20"/>
        </w:rPr>
        <w:t xml:space="preserve">Court, </w:t>
      </w:r>
      <w:r>
        <w:rPr>
          <w:color w:val="231F20"/>
          <w:spacing w:val="-3"/>
          <w:sz w:val="20"/>
        </w:rPr>
        <w:t xml:space="preserve">we anticipate </w:t>
      </w:r>
      <w:r>
        <w:rPr>
          <w:color w:val="231F20"/>
          <w:sz w:val="20"/>
        </w:rPr>
        <w:t xml:space="preserve">there </w:t>
      </w:r>
      <w:r>
        <w:rPr>
          <w:color w:val="231F20"/>
          <w:spacing w:val="-3"/>
          <w:sz w:val="20"/>
        </w:rPr>
        <w:t xml:space="preserve">may </w:t>
      </w:r>
      <w:r>
        <w:rPr>
          <w:color w:val="231F20"/>
          <w:sz w:val="20"/>
        </w:rPr>
        <w:t xml:space="preserve">be situations where police </w:t>
      </w:r>
      <w:r>
        <w:rPr>
          <w:color w:val="231F20"/>
          <w:spacing w:val="-4"/>
          <w:sz w:val="20"/>
        </w:rPr>
        <w:t xml:space="preserve">have </w:t>
      </w:r>
      <w:r>
        <w:rPr>
          <w:color w:val="231F20"/>
          <w:sz w:val="20"/>
        </w:rPr>
        <w:t xml:space="preserve">not applied </w:t>
      </w:r>
      <w:r>
        <w:rPr>
          <w:color w:val="231F20"/>
          <w:spacing w:val="-3"/>
          <w:sz w:val="20"/>
        </w:rPr>
        <w:t xml:space="preserve">for </w:t>
      </w:r>
      <w:r>
        <w:rPr>
          <w:color w:val="231F20"/>
          <w:sz w:val="20"/>
        </w:rPr>
        <w:t xml:space="preserve">an </w:t>
      </w:r>
      <w:r>
        <w:rPr>
          <w:color w:val="231F20"/>
          <w:spacing w:val="-3"/>
          <w:sz w:val="20"/>
        </w:rPr>
        <w:t xml:space="preserve">interim </w:t>
      </w:r>
      <w:r>
        <w:rPr>
          <w:color w:val="231F20"/>
          <w:sz w:val="20"/>
        </w:rPr>
        <w:t xml:space="preserve">PSIO, but the Court considers it </w:t>
      </w:r>
      <w:r>
        <w:rPr>
          <w:color w:val="231F20"/>
          <w:spacing w:val="-3"/>
          <w:sz w:val="20"/>
        </w:rPr>
        <w:t xml:space="preserve">appropriate </w:t>
      </w:r>
      <w:r>
        <w:rPr>
          <w:color w:val="231F20"/>
          <w:sz w:val="20"/>
        </w:rPr>
        <w:t>to put an order in</w:t>
      </w:r>
      <w:r>
        <w:rPr>
          <w:color w:val="231F20"/>
          <w:spacing w:val="-33"/>
          <w:sz w:val="20"/>
        </w:rPr>
        <w:t xml:space="preserve"> </w:t>
      </w:r>
      <w:r>
        <w:rPr>
          <w:color w:val="231F20"/>
          <w:sz w:val="20"/>
        </w:rPr>
        <w:t>place.</w:t>
      </w:r>
    </w:p>
    <w:p w14:paraId="613477E1" w14:textId="77777777" w:rsidR="00894070" w:rsidRDefault="009F6793">
      <w:pPr>
        <w:pStyle w:val="BodyText"/>
        <w:spacing w:before="6"/>
        <w:rPr>
          <w:sz w:val="19"/>
        </w:rPr>
      </w:pPr>
      <w:r>
        <w:pict w14:anchorId="1E8EB1C6">
          <v:group id="_x0000_s1272" style="position:absolute;margin-left:62.35pt;margin-top:15.5pt;width:479.1pt;height:96.4pt;z-index:251698176;mso-wrap-distance-left:0;mso-wrap-distance-right:0;mso-position-horizontal-relative:page" coordorigin="1247,310" coordsize="9582,1928">
            <v:rect id="_x0000_s1277" style="position:absolute;left:1587;top:309;width:8731;height:1928" fillcolor="#fee7de" stroked="f"/>
            <v:line id="_x0000_s1276" style="position:absolute" from="1247,1117" to="10828,1117" strokecolor="white" strokeweight="2.5pt"/>
            <v:shape id="_x0000_s1275" type="#_x0000_t202" style="position:absolute;left:2381;top:1342;width:7730;height:715" filled="f" stroked="f">
              <v:textbox inset="0,0,0,0">
                <w:txbxContent>
                  <w:p w14:paraId="4DBB79EB" w14:textId="77777777" w:rsidR="00894070" w:rsidRDefault="009B7AFD">
                    <w:pPr>
                      <w:spacing w:line="247" w:lineRule="auto"/>
                      <w:rPr>
                        <w:rFonts w:ascii="Trebuchet MS" w:hAnsi="Trebuchet MS"/>
                        <w:sz w:val="20"/>
                      </w:rPr>
                    </w:pPr>
                    <w:r>
                      <w:rPr>
                        <w:rFonts w:ascii="Trebuchet MS" w:hAnsi="Trebuchet MS"/>
                        <w:color w:val="231F20"/>
                        <w:w w:val="105"/>
                        <w:sz w:val="20"/>
                      </w:rPr>
                      <w:t>The</w:t>
                    </w:r>
                    <w:r>
                      <w:rPr>
                        <w:rFonts w:ascii="Trebuchet MS" w:hAnsi="Trebuchet MS"/>
                        <w:color w:val="231F20"/>
                        <w:spacing w:val="-29"/>
                        <w:w w:val="105"/>
                        <w:sz w:val="20"/>
                      </w:rPr>
                      <w:t xml:space="preserve"> </w:t>
                    </w:r>
                    <w:r>
                      <w:rPr>
                        <w:rFonts w:ascii="Trebuchet MS" w:hAnsi="Trebuchet MS"/>
                        <w:color w:val="231F20"/>
                        <w:w w:val="105"/>
                        <w:sz w:val="20"/>
                      </w:rPr>
                      <w:t>Victorian</w:t>
                    </w:r>
                    <w:r>
                      <w:rPr>
                        <w:rFonts w:ascii="Trebuchet MS" w:hAnsi="Trebuchet MS"/>
                        <w:color w:val="231F20"/>
                        <w:spacing w:val="-28"/>
                        <w:w w:val="105"/>
                        <w:sz w:val="20"/>
                      </w:rPr>
                      <w:t xml:space="preserve"> </w:t>
                    </w:r>
                    <w:r>
                      <w:rPr>
                        <w:rFonts w:ascii="Trebuchet MS" w:hAnsi="Trebuchet MS"/>
                        <w:color w:val="231F20"/>
                        <w:spacing w:val="-3"/>
                        <w:w w:val="105"/>
                        <w:sz w:val="20"/>
                      </w:rPr>
                      <w:t>Government</w:t>
                    </w:r>
                    <w:r>
                      <w:rPr>
                        <w:rFonts w:ascii="Trebuchet MS" w:hAnsi="Trebuchet MS"/>
                        <w:color w:val="231F20"/>
                        <w:spacing w:val="-28"/>
                        <w:w w:val="105"/>
                        <w:sz w:val="20"/>
                      </w:rPr>
                      <w:t xml:space="preserve"> </w:t>
                    </w:r>
                    <w:r>
                      <w:rPr>
                        <w:rFonts w:ascii="Trebuchet MS" w:hAnsi="Trebuchet MS"/>
                        <w:color w:val="231F20"/>
                        <w:w w:val="105"/>
                        <w:sz w:val="20"/>
                      </w:rPr>
                      <w:t>should</w:t>
                    </w:r>
                    <w:r>
                      <w:rPr>
                        <w:rFonts w:ascii="Trebuchet MS" w:hAnsi="Trebuchet MS"/>
                        <w:color w:val="231F20"/>
                        <w:spacing w:val="-28"/>
                        <w:w w:val="105"/>
                        <w:sz w:val="20"/>
                      </w:rPr>
                      <w:t xml:space="preserve"> </w:t>
                    </w:r>
                    <w:r>
                      <w:rPr>
                        <w:rFonts w:ascii="Trebuchet MS" w:hAnsi="Trebuchet MS"/>
                        <w:color w:val="231F20"/>
                        <w:w w:val="105"/>
                        <w:sz w:val="20"/>
                      </w:rPr>
                      <w:t>amend</w:t>
                    </w:r>
                    <w:r>
                      <w:rPr>
                        <w:rFonts w:ascii="Trebuchet MS" w:hAnsi="Trebuchet MS"/>
                        <w:color w:val="231F20"/>
                        <w:spacing w:val="-28"/>
                        <w:w w:val="105"/>
                        <w:sz w:val="20"/>
                      </w:rPr>
                      <w:t xml:space="preserve"> </w:t>
                    </w:r>
                    <w:r>
                      <w:rPr>
                        <w:rFonts w:ascii="Trebuchet MS" w:hAnsi="Trebuchet MS"/>
                        <w:color w:val="231F20"/>
                        <w:w w:val="105"/>
                        <w:sz w:val="20"/>
                      </w:rPr>
                      <w:t>the</w:t>
                    </w:r>
                    <w:r>
                      <w:rPr>
                        <w:rFonts w:ascii="Trebuchet MS" w:hAnsi="Trebuchet MS"/>
                        <w:color w:val="231F20"/>
                        <w:spacing w:val="-28"/>
                        <w:w w:val="105"/>
                        <w:sz w:val="20"/>
                      </w:rPr>
                      <w:t xml:space="preserve"> </w:t>
                    </w:r>
                    <w:r>
                      <w:rPr>
                        <w:rFonts w:ascii="Arial" w:hAnsi="Arial"/>
                        <w:i/>
                        <w:color w:val="231F20"/>
                        <w:w w:val="105"/>
                        <w:sz w:val="20"/>
                      </w:rPr>
                      <w:t>Personal</w:t>
                    </w:r>
                    <w:r>
                      <w:rPr>
                        <w:rFonts w:ascii="Arial" w:hAnsi="Arial"/>
                        <w:i/>
                        <w:color w:val="231F20"/>
                        <w:spacing w:val="-25"/>
                        <w:w w:val="105"/>
                        <w:sz w:val="20"/>
                      </w:rPr>
                      <w:t xml:space="preserve"> </w:t>
                    </w:r>
                    <w:r>
                      <w:rPr>
                        <w:rFonts w:ascii="Arial" w:hAnsi="Arial"/>
                        <w:i/>
                        <w:color w:val="231F20"/>
                        <w:w w:val="105"/>
                        <w:sz w:val="20"/>
                      </w:rPr>
                      <w:t>Safety</w:t>
                    </w:r>
                    <w:r>
                      <w:rPr>
                        <w:rFonts w:ascii="Arial" w:hAnsi="Arial"/>
                        <w:i/>
                        <w:color w:val="231F20"/>
                        <w:spacing w:val="-24"/>
                        <w:w w:val="105"/>
                        <w:sz w:val="20"/>
                      </w:rPr>
                      <w:t xml:space="preserve"> </w:t>
                    </w:r>
                    <w:r>
                      <w:rPr>
                        <w:rFonts w:ascii="Arial" w:hAnsi="Arial"/>
                        <w:i/>
                        <w:color w:val="231F20"/>
                        <w:w w:val="105"/>
                        <w:sz w:val="20"/>
                      </w:rPr>
                      <w:t>Intervention</w:t>
                    </w:r>
                    <w:r>
                      <w:rPr>
                        <w:rFonts w:ascii="Arial" w:hAnsi="Arial"/>
                        <w:i/>
                        <w:color w:val="231F20"/>
                        <w:spacing w:val="-25"/>
                        <w:w w:val="105"/>
                        <w:sz w:val="20"/>
                      </w:rPr>
                      <w:t xml:space="preserve"> </w:t>
                    </w:r>
                    <w:r>
                      <w:rPr>
                        <w:rFonts w:ascii="Arial" w:hAnsi="Arial"/>
                        <w:i/>
                        <w:color w:val="231F20"/>
                        <w:w w:val="105"/>
                        <w:sz w:val="20"/>
                      </w:rPr>
                      <w:t>Orders</w:t>
                    </w:r>
                    <w:r>
                      <w:rPr>
                        <w:rFonts w:ascii="Arial" w:hAnsi="Arial"/>
                        <w:i/>
                        <w:color w:val="231F20"/>
                        <w:spacing w:val="-24"/>
                        <w:w w:val="105"/>
                        <w:sz w:val="20"/>
                      </w:rPr>
                      <w:t xml:space="preserve"> </w:t>
                    </w:r>
                    <w:r>
                      <w:rPr>
                        <w:rFonts w:ascii="Arial" w:hAnsi="Arial"/>
                        <w:i/>
                        <w:color w:val="231F20"/>
                        <w:w w:val="105"/>
                        <w:sz w:val="20"/>
                      </w:rPr>
                      <w:t xml:space="preserve">Act </w:t>
                    </w:r>
                    <w:r>
                      <w:rPr>
                        <w:rFonts w:ascii="Arial" w:hAnsi="Arial"/>
                        <w:i/>
                        <w:color w:val="231F20"/>
                        <w:spacing w:val="-2"/>
                        <w:w w:val="92"/>
                        <w:sz w:val="20"/>
                      </w:rPr>
                      <w:t>2</w:t>
                    </w:r>
                    <w:r>
                      <w:rPr>
                        <w:rFonts w:ascii="Arial" w:hAnsi="Arial"/>
                        <w:i/>
                        <w:color w:val="231F20"/>
                        <w:spacing w:val="-4"/>
                        <w:w w:val="106"/>
                        <w:sz w:val="20"/>
                      </w:rPr>
                      <w:t>0</w:t>
                    </w:r>
                    <w:r>
                      <w:rPr>
                        <w:rFonts w:ascii="Arial" w:hAnsi="Arial"/>
                        <w:i/>
                        <w:color w:val="231F20"/>
                        <w:spacing w:val="-5"/>
                        <w:w w:val="92"/>
                        <w:sz w:val="20"/>
                      </w:rPr>
                      <w:t>1</w:t>
                    </w:r>
                    <w:r>
                      <w:rPr>
                        <w:rFonts w:ascii="Arial" w:hAnsi="Arial"/>
                        <w:i/>
                        <w:color w:val="231F20"/>
                        <w:w w:val="92"/>
                        <w:sz w:val="20"/>
                      </w:rPr>
                      <w:t>0</w:t>
                    </w:r>
                    <w:r>
                      <w:rPr>
                        <w:rFonts w:ascii="Arial" w:hAnsi="Arial"/>
                        <w:i/>
                        <w:color w:val="231F20"/>
                        <w:spacing w:val="-9"/>
                        <w:sz w:val="20"/>
                      </w:rPr>
                      <w:t xml:space="preserve"> </w:t>
                    </w:r>
                    <w:r>
                      <w:rPr>
                        <w:rFonts w:ascii="Trebuchet MS" w:hAnsi="Trebuchet MS"/>
                        <w:color w:val="231F20"/>
                        <w:spacing w:val="3"/>
                        <w:w w:val="77"/>
                        <w:sz w:val="20"/>
                      </w:rPr>
                      <w:t>(</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5"/>
                        <w:w w:val="111"/>
                        <w:sz w:val="20"/>
                      </w:rPr>
                      <w:t>c</w:t>
                    </w:r>
                    <w:r>
                      <w:rPr>
                        <w:rFonts w:ascii="Trebuchet MS" w:hAnsi="Trebuchet MS"/>
                        <w:color w:val="231F20"/>
                        <w:w w:val="77"/>
                        <w:sz w:val="20"/>
                      </w:rPr>
                      <w: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3"/>
                        <w:w w:val="105"/>
                        <w:sz w:val="20"/>
                      </w:rPr>
                      <w:t>a</w:t>
                    </w:r>
                    <w:r>
                      <w:rPr>
                        <w:rFonts w:ascii="Trebuchet MS" w:hAnsi="Trebuchet MS"/>
                        <w:color w:val="231F20"/>
                        <w:spacing w:val="-2"/>
                        <w:w w:val="96"/>
                        <w:sz w:val="20"/>
                      </w:rPr>
                      <w:t>l</w:t>
                    </w:r>
                    <w:r>
                      <w:rPr>
                        <w:rFonts w:ascii="Trebuchet MS" w:hAnsi="Trebuchet MS"/>
                        <w:color w:val="231F20"/>
                        <w:spacing w:val="-3"/>
                        <w:w w:val="96"/>
                        <w:sz w:val="20"/>
                      </w:rPr>
                      <w:t>l</w:t>
                    </w:r>
                    <w:r>
                      <w:rPr>
                        <w:rFonts w:ascii="Trebuchet MS" w:hAnsi="Trebuchet MS"/>
                        <w:color w:val="231F20"/>
                        <w:spacing w:val="-6"/>
                        <w:w w:val="111"/>
                        <w:sz w:val="20"/>
                      </w:rPr>
                      <w:t>o</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4"/>
                        <w:w w:val="107"/>
                        <w:sz w:val="20"/>
                      </w:rPr>
                      <w:t>n</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2"/>
                        <w:w w:val="93"/>
                        <w:sz w:val="20"/>
                      </w:rPr>
                      <w:t>r</w:t>
                    </w:r>
                    <w:r>
                      <w:rPr>
                        <w:rFonts w:ascii="Trebuchet MS" w:hAnsi="Trebuchet MS"/>
                        <w:color w:val="231F20"/>
                        <w:spacing w:val="-2"/>
                        <w:w w:val="80"/>
                        <w:sz w:val="20"/>
                      </w:rPr>
                      <w:t>i</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1"/>
                        <w:w w:val="111"/>
                        <w:sz w:val="20"/>
                      </w:rPr>
                      <w:t>b</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2"/>
                        <w:w w:val="105"/>
                        <w:sz w:val="20"/>
                      </w:rPr>
                      <w:t>a</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1"/>
                        <w:w w:val="109"/>
                        <w:sz w:val="20"/>
                      </w:rPr>
                      <w:t>u</w:t>
                    </w:r>
                    <w:r>
                      <w:rPr>
                        <w:rFonts w:ascii="Trebuchet MS" w:hAnsi="Trebuchet MS"/>
                        <w:color w:val="231F20"/>
                        <w:spacing w:val="2"/>
                        <w:w w:val="93"/>
                        <w:sz w:val="20"/>
                      </w:rPr>
                      <w:t>r</w:t>
                    </w:r>
                    <w:r>
                      <w:rPr>
                        <w:rFonts w:ascii="Trebuchet MS" w:hAnsi="Trebuchet MS"/>
                        <w:color w:val="231F20"/>
                        <w:w w:val="88"/>
                        <w:sz w:val="20"/>
                      </w:rPr>
                      <w:t>t</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6"/>
                        <w:w w:val="111"/>
                        <w:sz w:val="20"/>
                      </w:rPr>
                      <w:t>o</w:t>
                    </w:r>
                    <w:r>
                      <w:rPr>
                        <w:rFonts w:ascii="Trebuchet MS" w:hAnsi="Trebuchet MS"/>
                        <w:color w:val="231F20"/>
                        <w:spacing w:val="-2"/>
                        <w:w w:val="110"/>
                        <w:sz w:val="20"/>
                      </w:rPr>
                      <w:t>w</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4"/>
                        <w:w w:val="111"/>
                        <w:sz w:val="20"/>
                      </w:rPr>
                      <w:t>o</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1"/>
                        <w:w w:val="80"/>
                        <w:sz w:val="20"/>
                      </w:rPr>
                      <w:t>i</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 xml:space="preserve">e </w:t>
                    </w:r>
                    <w:r>
                      <w:rPr>
                        <w:rFonts w:ascii="Trebuchet MS" w:hAnsi="Trebuchet MS"/>
                        <w:color w:val="231F20"/>
                        <w:w w:val="105"/>
                        <w:sz w:val="20"/>
                      </w:rPr>
                      <w:t>case</w:t>
                    </w:r>
                    <w:r>
                      <w:rPr>
                        <w:rFonts w:ascii="Trebuchet MS" w:hAnsi="Trebuchet MS"/>
                        <w:color w:val="231F20"/>
                        <w:spacing w:val="-19"/>
                        <w:w w:val="105"/>
                        <w:sz w:val="20"/>
                      </w:rPr>
                      <w:t xml:space="preserve"> </w:t>
                    </w:r>
                    <w:r>
                      <w:rPr>
                        <w:rFonts w:ascii="Trebuchet MS" w:hAnsi="Trebuchet MS"/>
                        <w:color w:val="231F20"/>
                        <w:w w:val="105"/>
                        <w:sz w:val="20"/>
                      </w:rPr>
                      <w:t>in</w:t>
                    </w:r>
                    <w:r>
                      <w:rPr>
                        <w:rFonts w:ascii="Trebuchet MS" w:hAnsi="Trebuchet MS"/>
                        <w:color w:val="231F20"/>
                        <w:spacing w:val="-19"/>
                        <w:w w:val="105"/>
                        <w:sz w:val="20"/>
                      </w:rPr>
                      <w:t xml:space="preserve"> </w:t>
                    </w:r>
                    <w:r>
                      <w:rPr>
                        <w:rFonts w:ascii="Trebuchet MS" w:hAnsi="Trebuchet MS"/>
                        <w:color w:val="231F20"/>
                        <w:w w:val="105"/>
                        <w:sz w:val="20"/>
                      </w:rPr>
                      <w:t>the</w:t>
                    </w:r>
                    <w:r>
                      <w:rPr>
                        <w:rFonts w:ascii="Trebuchet MS" w:hAnsi="Trebuchet MS"/>
                        <w:color w:val="231F20"/>
                        <w:spacing w:val="-19"/>
                        <w:w w:val="105"/>
                        <w:sz w:val="20"/>
                      </w:rPr>
                      <w:t xml:space="preserve"> </w:t>
                    </w:r>
                    <w:r>
                      <w:rPr>
                        <w:rFonts w:ascii="Arial" w:hAnsi="Arial"/>
                        <w:i/>
                        <w:color w:val="231F20"/>
                        <w:spacing w:val="-3"/>
                        <w:w w:val="105"/>
                        <w:sz w:val="20"/>
                      </w:rPr>
                      <w:t>Family</w:t>
                    </w:r>
                    <w:r>
                      <w:rPr>
                        <w:rFonts w:ascii="Arial" w:hAnsi="Arial"/>
                        <w:i/>
                        <w:color w:val="231F20"/>
                        <w:spacing w:val="-16"/>
                        <w:w w:val="105"/>
                        <w:sz w:val="20"/>
                      </w:rPr>
                      <w:t xml:space="preserve"> </w:t>
                    </w:r>
                    <w:r>
                      <w:rPr>
                        <w:rFonts w:ascii="Arial" w:hAnsi="Arial"/>
                        <w:i/>
                        <w:color w:val="231F20"/>
                        <w:w w:val="105"/>
                        <w:sz w:val="20"/>
                      </w:rPr>
                      <w:t>Violence</w:t>
                    </w:r>
                    <w:r>
                      <w:rPr>
                        <w:rFonts w:ascii="Arial" w:hAnsi="Arial"/>
                        <w:i/>
                        <w:color w:val="231F20"/>
                        <w:spacing w:val="-16"/>
                        <w:w w:val="105"/>
                        <w:sz w:val="20"/>
                      </w:rPr>
                      <w:t xml:space="preserve"> </w:t>
                    </w:r>
                    <w:r>
                      <w:rPr>
                        <w:rFonts w:ascii="Arial" w:hAnsi="Arial"/>
                        <w:i/>
                        <w:color w:val="231F20"/>
                        <w:spacing w:val="-3"/>
                        <w:w w:val="105"/>
                        <w:sz w:val="20"/>
                      </w:rPr>
                      <w:t>Protection</w:t>
                    </w:r>
                    <w:r>
                      <w:rPr>
                        <w:rFonts w:ascii="Arial" w:hAnsi="Arial"/>
                        <w:i/>
                        <w:color w:val="231F20"/>
                        <w:spacing w:val="-16"/>
                        <w:w w:val="105"/>
                        <w:sz w:val="20"/>
                      </w:rPr>
                      <w:t xml:space="preserve"> </w:t>
                    </w:r>
                    <w:r>
                      <w:rPr>
                        <w:rFonts w:ascii="Arial" w:hAnsi="Arial"/>
                        <w:i/>
                        <w:color w:val="231F20"/>
                        <w:w w:val="105"/>
                        <w:sz w:val="20"/>
                      </w:rPr>
                      <w:t>Act</w:t>
                    </w:r>
                    <w:r>
                      <w:rPr>
                        <w:rFonts w:ascii="Arial" w:hAnsi="Arial"/>
                        <w:i/>
                        <w:color w:val="231F20"/>
                        <w:spacing w:val="-15"/>
                        <w:w w:val="105"/>
                        <w:sz w:val="20"/>
                      </w:rPr>
                      <w:t xml:space="preserve"> </w:t>
                    </w:r>
                    <w:r>
                      <w:rPr>
                        <w:rFonts w:ascii="Arial" w:hAnsi="Arial"/>
                        <w:i/>
                        <w:color w:val="231F20"/>
                        <w:w w:val="105"/>
                        <w:sz w:val="20"/>
                      </w:rPr>
                      <w:t>2008</w:t>
                    </w:r>
                    <w:r>
                      <w:rPr>
                        <w:rFonts w:ascii="Arial" w:hAnsi="Arial"/>
                        <w:i/>
                        <w:color w:val="231F20"/>
                        <w:spacing w:val="-14"/>
                        <w:w w:val="105"/>
                        <w:sz w:val="20"/>
                      </w:rPr>
                      <w:t xml:space="preserve"> </w:t>
                    </w:r>
                    <w:r>
                      <w:rPr>
                        <w:rFonts w:ascii="Trebuchet MS" w:hAnsi="Trebuchet MS"/>
                        <w:color w:val="231F20"/>
                        <w:spacing w:val="-3"/>
                        <w:w w:val="105"/>
                        <w:sz w:val="20"/>
                      </w:rPr>
                      <w:t>(Vic).</w:t>
                    </w:r>
                  </w:p>
                </w:txbxContent>
              </v:textbox>
            </v:shape>
            <v:shape id="_x0000_s1274" type="#_x0000_t202" style="position:absolute;left:1814;top:1342;width:287;height:235" filled="f" stroked="f">
              <v:textbox inset="0,0,0,0">
                <w:txbxContent>
                  <w:p w14:paraId="5863D716" w14:textId="77777777" w:rsidR="00894070" w:rsidRDefault="009B7AFD">
                    <w:pPr>
                      <w:rPr>
                        <w:rFonts w:ascii="Trebuchet MS"/>
                        <w:sz w:val="20"/>
                      </w:rPr>
                    </w:pPr>
                    <w:r>
                      <w:rPr>
                        <w:rFonts w:ascii="Trebuchet MS"/>
                        <w:color w:val="231F20"/>
                        <w:spacing w:val="-2"/>
                        <w:w w:val="102"/>
                        <w:sz w:val="20"/>
                      </w:rPr>
                      <w:t>2</w:t>
                    </w:r>
                    <w:r>
                      <w:rPr>
                        <w:rFonts w:ascii="Trebuchet MS"/>
                        <w:color w:val="231F20"/>
                        <w:spacing w:val="-1"/>
                        <w:w w:val="115"/>
                        <w:sz w:val="20"/>
                      </w:rPr>
                      <w:t>6</w:t>
                    </w:r>
                    <w:r>
                      <w:rPr>
                        <w:rFonts w:ascii="Trebuchet MS"/>
                        <w:color w:val="231F20"/>
                        <w:w w:val="55"/>
                        <w:sz w:val="20"/>
                      </w:rPr>
                      <w:t>.</w:t>
                    </w:r>
                  </w:p>
                </w:txbxContent>
              </v:textbox>
            </v:shape>
            <v:shape id="_x0000_s1273" type="#_x0000_t202" style="position:absolute;left:1587;top:309;width:8731;height:783" fillcolor="#fee7de" stroked="f">
              <v:textbox inset="0,0,0,0">
                <w:txbxContent>
                  <w:p w14:paraId="5C088D24"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wrap type="topAndBottom" anchorx="page"/>
          </v:group>
        </w:pict>
      </w:r>
    </w:p>
    <w:p w14:paraId="34E7CC21" w14:textId="77777777" w:rsidR="00894070" w:rsidRDefault="00894070">
      <w:pPr>
        <w:pStyle w:val="BodyText"/>
      </w:pPr>
    </w:p>
    <w:p w14:paraId="3B8EDC37" w14:textId="77777777" w:rsidR="00894070" w:rsidRDefault="00894070">
      <w:pPr>
        <w:pStyle w:val="BodyText"/>
      </w:pPr>
    </w:p>
    <w:p w14:paraId="72A2F5BB" w14:textId="77777777" w:rsidR="00894070" w:rsidRDefault="00894070">
      <w:pPr>
        <w:pStyle w:val="BodyText"/>
      </w:pPr>
    </w:p>
    <w:p w14:paraId="70B9F946" w14:textId="77777777" w:rsidR="00894070" w:rsidRDefault="00894070">
      <w:pPr>
        <w:pStyle w:val="BodyText"/>
      </w:pPr>
    </w:p>
    <w:p w14:paraId="299CD377" w14:textId="77777777" w:rsidR="00894070" w:rsidRDefault="009F6793">
      <w:pPr>
        <w:pStyle w:val="BodyText"/>
        <w:spacing w:before="6"/>
      </w:pPr>
      <w:r>
        <w:pict w14:anchorId="6346C295">
          <v:line id="_x0000_s1271" style="position:absolute;z-index:251700224;mso-wrap-distance-left:0;mso-wrap-distance-right:0;mso-position-horizontal-relative:page" from="79.35pt,16.65pt" to="515.9pt,16.65pt" strokecolor="#f8cabc" strokeweight="1pt">
            <w10:wrap type="topAndBottom" anchorx="page"/>
          </v:line>
        </w:pict>
      </w:r>
    </w:p>
    <w:p w14:paraId="00693867" w14:textId="77777777" w:rsidR="00894070" w:rsidRDefault="00894070">
      <w:pPr>
        <w:pStyle w:val="BodyText"/>
        <w:rPr>
          <w:sz w:val="5"/>
        </w:rPr>
      </w:pPr>
    </w:p>
    <w:p w14:paraId="5FA5756C" w14:textId="77777777" w:rsidR="00894070" w:rsidRDefault="00894070">
      <w:pPr>
        <w:rPr>
          <w:sz w:val="5"/>
        </w:rPr>
        <w:sectPr w:rsidR="00894070">
          <w:pgSz w:w="11910" w:h="16840"/>
          <w:pgMar w:top="840" w:right="420" w:bottom="280" w:left="580" w:header="0" w:footer="0" w:gutter="0"/>
          <w:cols w:space="720"/>
        </w:sectPr>
      </w:pPr>
    </w:p>
    <w:p w14:paraId="69969E4E" w14:textId="77777777" w:rsidR="00894070" w:rsidRDefault="009B7AFD">
      <w:pPr>
        <w:tabs>
          <w:tab w:val="left" w:pos="1801"/>
        </w:tabs>
        <w:spacing w:before="21" w:line="170" w:lineRule="exact"/>
        <w:ind w:left="1007"/>
        <w:rPr>
          <w:sz w:val="13"/>
        </w:rPr>
      </w:pPr>
      <w:r>
        <w:rPr>
          <w:color w:val="231F20"/>
          <w:sz w:val="13"/>
        </w:rPr>
        <w:t>199</w:t>
      </w:r>
      <w:r>
        <w:rPr>
          <w:color w:val="231F20"/>
          <w:sz w:val="13"/>
        </w:rPr>
        <w:tab/>
      </w:r>
      <w:r>
        <w:rPr>
          <w:i/>
          <w:color w:val="231F20"/>
          <w:sz w:val="13"/>
        </w:rPr>
        <w:t xml:space="preserve">Family Violence Protection Act 2008 </w:t>
      </w:r>
      <w:r>
        <w:rPr>
          <w:color w:val="231F20"/>
          <w:sz w:val="13"/>
        </w:rPr>
        <w:t>(Vic) s 53(1),</w:t>
      </w:r>
      <w:r>
        <w:rPr>
          <w:color w:val="231F20"/>
          <w:spacing w:val="3"/>
          <w:sz w:val="13"/>
        </w:rPr>
        <w:t xml:space="preserve"> </w:t>
      </w:r>
      <w:r>
        <w:rPr>
          <w:color w:val="231F20"/>
          <w:sz w:val="13"/>
        </w:rPr>
        <w:t>(1C).</w:t>
      </w:r>
    </w:p>
    <w:p w14:paraId="5243F80B" w14:textId="77777777" w:rsidR="00894070" w:rsidRDefault="009B7AFD">
      <w:pPr>
        <w:tabs>
          <w:tab w:val="left" w:pos="1800"/>
        </w:tabs>
        <w:spacing w:line="160" w:lineRule="exact"/>
        <w:ind w:left="1007"/>
        <w:rPr>
          <w:sz w:val="13"/>
        </w:rPr>
      </w:pPr>
      <w:r>
        <w:rPr>
          <w:color w:val="231F20"/>
          <w:sz w:val="13"/>
        </w:rPr>
        <w:t>200</w:t>
      </w:r>
      <w:r>
        <w:rPr>
          <w:color w:val="231F20"/>
          <w:sz w:val="13"/>
        </w:rPr>
        <w:tab/>
        <w:t>Ibid s 53(1)(b).</w:t>
      </w:r>
    </w:p>
    <w:p w14:paraId="148F9271" w14:textId="77777777" w:rsidR="00894070" w:rsidRDefault="009B7AFD">
      <w:pPr>
        <w:tabs>
          <w:tab w:val="left" w:pos="1801"/>
        </w:tabs>
        <w:spacing w:before="7" w:line="213" w:lineRule="auto"/>
        <w:ind w:left="1801" w:hanging="794"/>
        <w:rPr>
          <w:sz w:val="13"/>
        </w:rPr>
      </w:pPr>
      <w:r>
        <w:rPr>
          <w:color w:val="231F20"/>
          <w:sz w:val="13"/>
        </w:rPr>
        <w:t>201</w:t>
      </w:r>
      <w:r>
        <w:rPr>
          <w:color w:val="231F20"/>
          <w:sz w:val="13"/>
        </w:rPr>
        <w:tab/>
        <w:t xml:space="preserve">Consultation 34 (Magistrates’ </w:t>
      </w:r>
      <w:r>
        <w:rPr>
          <w:color w:val="231F20"/>
          <w:spacing w:val="2"/>
          <w:sz w:val="13"/>
        </w:rPr>
        <w:t xml:space="preserve">Court </w:t>
      </w:r>
      <w:r>
        <w:rPr>
          <w:color w:val="231F20"/>
          <w:sz w:val="13"/>
        </w:rPr>
        <w:t xml:space="preserve">of Victoria (No 2)). For </w:t>
      </w:r>
      <w:proofErr w:type="gramStart"/>
      <w:r>
        <w:rPr>
          <w:color w:val="231F20"/>
          <w:sz w:val="13"/>
        </w:rPr>
        <w:t>example</w:t>
      </w:r>
      <w:proofErr w:type="gramEnd"/>
      <w:r>
        <w:rPr>
          <w:color w:val="231F20"/>
          <w:sz w:val="13"/>
        </w:rPr>
        <w:t xml:space="preserve"> where the bail conditions may not adequately protect a person from the </w:t>
      </w:r>
      <w:r>
        <w:rPr>
          <w:color w:val="231F20"/>
          <w:spacing w:val="2"/>
          <w:sz w:val="13"/>
        </w:rPr>
        <w:t>stalking</w:t>
      </w:r>
      <w:r>
        <w:rPr>
          <w:color w:val="231F20"/>
          <w:sz w:val="13"/>
        </w:rPr>
        <w:t xml:space="preserve"> behaviour.</w:t>
      </w:r>
    </w:p>
    <w:p w14:paraId="62F1C7B9" w14:textId="77777777" w:rsidR="00894070" w:rsidRDefault="009B7AFD">
      <w:pPr>
        <w:tabs>
          <w:tab w:val="left" w:pos="1800"/>
        </w:tabs>
        <w:spacing w:line="163" w:lineRule="exact"/>
        <w:ind w:left="1007"/>
        <w:rPr>
          <w:sz w:val="13"/>
        </w:rPr>
      </w:pPr>
      <w:r>
        <w:rPr>
          <w:color w:val="231F20"/>
          <w:sz w:val="13"/>
        </w:rPr>
        <w:t>202</w:t>
      </w:r>
      <w:r>
        <w:rPr>
          <w:color w:val="231F20"/>
          <w:sz w:val="13"/>
        </w:rPr>
        <w:tab/>
        <w:t xml:space="preserve">Consultation 35 (Children’s </w:t>
      </w:r>
      <w:r>
        <w:rPr>
          <w:color w:val="231F20"/>
          <w:spacing w:val="2"/>
          <w:sz w:val="13"/>
        </w:rPr>
        <w:t xml:space="preserve">Court </w:t>
      </w:r>
      <w:r>
        <w:rPr>
          <w:color w:val="231F20"/>
          <w:sz w:val="13"/>
        </w:rPr>
        <w:t>of Victoria (No 2)).</w:t>
      </w:r>
    </w:p>
    <w:p w14:paraId="7087F9C4" w14:textId="77777777" w:rsidR="00894070" w:rsidRDefault="009B7AFD">
      <w:pPr>
        <w:pStyle w:val="BodyText"/>
        <w:spacing w:before="7"/>
        <w:rPr>
          <w:sz w:val="38"/>
        </w:rPr>
      </w:pPr>
      <w:r>
        <w:br w:type="column"/>
      </w:r>
    </w:p>
    <w:p w14:paraId="2B85D42F" w14:textId="77777777" w:rsidR="00894070" w:rsidRDefault="009B7AFD">
      <w:pPr>
        <w:pStyle w:val="Heading8"/>
        <w:ind w:left="990"/>
      </w:pPr>
      <w:r>
        <w:rPr>
          <w:color w:val="EA5B50"/>
        </w:rPr>
        <w:t>121</w:t>
      </w:r>
    </w:p>
    <w:p w14:paraId="4829CBD7" w14:textId="77777777" w:rsidR="00894070" w:rsidRDefault="00894070">
      <w:pPr>
        <w:sectPr w:rsidR="00894070">
          <w:type w:val="continuous"/>
          <w:pgSz w:w="11910" w:h="16840"/>
          <w:pgMar w:top="560" w:right="420" w:bottom="280" w:left="580" w:header="720" w:footer="720" w:gutter="0"/>
          <w:cols w:num="2" w:space="720" w:equalWidth="0">
            <w:col w:w="9315" w:space="40"/>
            <w:col w:w="1555"/>
          </w:cols>
        </w:sectPr>
      </w:pPr>
    </w:p>
    <w:p w14:paraId="067DDCDD" w14:textId="77777777" w:rsidR="00894070" w:rsidRDefault="00894070">
      <w:pPr>
        <w:pStyle w:val="BodyText"/>
        <w:rPr>
          <w:b/>
        </w:rPr>
      </w:pPr>
    </w:p>
    <w:p w14:paraId="258EB106" w14:textId="77777777" w:rsidR="00894070" w:rsidRDefault="00894070">
      <w:pPr>
        <w:pStyle w:val="BodyText"/>
        <w:rPr>
          <w:b/>
        </w:rPr>
      </w:pPr>
    </w:p>
    <w:p w14:paraId="6E2A097F" w14:textId="77777777" w:rsidR="00894070" w:rsidRDefault="00894070">
      <w:pPr>
        <w:pStyle w:val="BodyText"/>
        <w:rPr>
          <w:b/>
        </w:rPr>
      </w:pPr>
    </w:p>
    <w:p w14:paraId="5DBB3091" w14:textId="77777777" w:rsidR="00894070" w:rsidRDefault="009B7AFD">
      <w:pPr>
        <w:spacing w:before="220"/>
        <w:ind w:left="1007"/>
        <w:rPr>
          <w:b/>
          <w:i/>
          <w:sz w:val="24"/>
        </w:rPr>
      </w:pPr>
      <w:bookmarkStart w:id="137" w:name="_bookmark81"/>
      <w:bookmarkEnd w:id="137"/>
      <w:r>
        <w:rPr>
          <w:b/>
          <w:color w:val="231F20"/>
          <w:sz w:val="24"/>
        </w:rPr>
        <w:t xml:space="preserve">Appeals </w:t>
      </w:r>
      <w:r>
        <w:rPr>
          <w:b/>
          <w:i/>
          <w:color w:val="231F20"/>
          <w:sz w:val="24"/>
        </w:rPr>
        <w:t>de novo</w:t>
      </w:r>
    </w:p>
    <w:p w14:paraId="71430603" w14:textId="77777777" w:rsidR="00894070" w:rsidRDefault="009B7AFD">
      <w:pPr>
        <w:pStyle w:val="ListParagraph"/>
        <w:numPr>
          <w:ilvl w:val="1"/>
          <w:numId w:val="102"/>
        </w:numPr>
        <w:tabs>
          <w:tab w:val="left" w:pos="1801"/>
          <w:tab w:val="left" w:pos="1802"/>
        </w:tabs>
        <w:spacing w:before="95" w:line="259" w:lineRule="exact"/>
        <w:rPr>
          <w:sz w:val="20"/>
        </w:rPr>
      </w:pPr>
      <w:r>
        <w:rPr>
          <w:color w:val="231F20"/>
          <w:sz w:val="20"/>
        </w:rPr>
        <w:t>A</w:t>
      </w:r>
      <w:r>
        <w:rPr>
          <w:color w:val="231F20"/>
          <w:spacing w:val="-5"/>
          <w:sz w:val="20"/>
        </w:rPr>
        <w:t xml:space="preserve"> </w:t>
      </w:r>
      <w:r>
        <w:rPr>
          <w:color w:val="231F20"/>
          <w:sz w:val="20"/>
        </w:rPr>
        <w:t>decision</w:t>
      </w:r>
      <w:r>
        <w:rPr>
          <w:color w:val="231F20"/>
          <w:spacing w:val="-5"/>
          <w:sz w:val="20"/>
        </w:rPr>
        <w:t xml:space="preserve"> </w:t>
      </w:r>
      <w:r>
        <w:rPr>
          <w:color w:val="231F20"/>
          <w:sz w:val="20"/>
        </w:rPr>
        <w:t>to</w:t>
      </w:r>
      <w:r>
        <w:rPr>
          <w:color w:val="231F20"/>
          <w:spacing w:val="-5"/>
          <w:sz w:val="20"/>
        </w:rPr>
        <w:t xml:space="preserve"> </w:t>
      </w:r>
      <w:r>
        <w:rPr>
          <w:color w:val="231F20"/>
          <w:sz w:val="20"/>
        </w:rPr>
        <w:t>make</w:t>
      </w:r>
      <w:r>
        <w:rPr>
          <w:color w:val="231F20"/>
          <w:spacing w:val="-5"/>
          <w:sz w:val="20"/>
        </w:rPr>
        <w:t xml:space="preserve"> </w:t>
      </w:r>
      <w:r>
        <w:rPr>
          <w:color w:val="231F20"/>
          <w:sz w:val="20"/>
        </w:rPr>
        <w:t>a</w:t>
      </w:r>
      <w:r>
        <w:rPr>
          <w:color w:val="231F20"/>
          <w:spacing w:val="-5"/>
          <w:sz w:val="20"/>
        </w:rPr>
        <w:t xml:space="preserve"> </w:t>
      </w:r>
      <w:r>
        <w:rPr>
          <w:color w:val="231F20"/>
          <w:sz w:val="20"/>
        </w:rPr>
        <w:t>final</w:t>
      </w:r>
      <w:r>
        <w:rPr>
          <w:color w:val="231F20"/>
          <w:spacing w:val="-5"/>
          <w:sz w:val="20"/>
        </w:rPr>
        <w:t xml:space="preserve"> </w:t>
      </w:r>
      <w:r>
        <w:rPr>
          <w:color w:val="231F20"/>
          <w:sz w:val="20"/>
        </w:rPr>
        <w:t>PSIO</w:t>
      </w:r>
      <w:r>
        <w:rPr>
          <w:color w:val="231F20"/>
          <w:spacing w:val="-5"/>
          <w:sz w:val="20"/>
        </w:rPr>
        <w:t xml:space="preserve"> </w:t>
      </w:r>
      <w:r>
        <w:rPr>
          <w:color w:val="231F20"/>
          <w:sz w:val="20"/>
        </w:rPr>
        <w:t>can</w:t>
      </w:r>
      <w:r>
        <w:rPr>
          <w:color w:val="231F20"/>
          <w:spacing w:val="-5"/>
          <w:sz w:val="20"/>
        </w:rPr>
        <w:t xml:space="preserve"> </w:t>
      </w:r>
      <w:r>
        <w:rPr>
          <w:color w:val="231F20"/>
          <w:sz w:val="20"/>
        </w:rPr>
        <w:t>be</w:t>
      </w:r>
      <w:r>
        <w:rPr>
          <w:color w:val="231F20"/>
          <w:spacing w:val="-5"/>
          <w:sz w:val="20"/>
        </w:rPr>
        <w:t xml:space="preserve"> </w:t>
      </w:r>
      <w:r>
        <w:rPr>
          <w:color w:val="231F20"/>
          <w:sz w:val="20"/>
        </w:rPr>
        <w:t>appealed</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5"/>
          <w:sz w:val="20"/>
        </w:rPr>
        <w:t xml:space="preserve"> </w:t>
      </w:r>
      <w:r>
        <w:rPr>
          <w:color w:val="231F20"/>
          <w:sz w:val="20"/>
        </w:rPr>
        <w:t>County</w:t>
      </w:r>
      <w:r>
        <w:rPr>
          <w:color w:val="231F20"/>
          <w:spacing w:val="-5"/>
          <w:sz w:val="20"/>
        </w:rPr>
        <w:t xml:space="preserve"> </w:t>
      </w:r>
      <w:r>
        <w:rPr>
          <w:color w:val="231F20"/>
          <w:sz w:val="20"/>
        </w:rPr>
        <w:t>Court.</w:t>
      </w:r>
      <w:r>
        <w:rPr>
          <w:color w:val="231F20"/>
          <w:spacing w:val="-5"/>
          <w:sz w:val="20"/>
        </w:rPr>
        <w:t xml:space="preserve"> </w:t>
      </w:r>
      <w:r>
        <w:rPr>
          <w:color w:val="231F20"/>
          <w:spacing w:val="-3"/>
          <w:sz w:val="20"/>
        </w:rPr>
        <w:t>At</w:t>
      </w:r>
      <w:r>
        <w:rPr>
          <w:color w:val="231F20"/>
          <w:spacing w:val="-5"/>
          <w:sz w:val="20"/>
        </w:rPr>
        <w:t xml:space="preserve"> </w:t>
      </w:r>
      <w:r>
        <w:rPr>
          <w:color w:val="231F20"/>
          <w:spacing w:val="-3"/>
          <w:sz w:val="20"/>
        </w:rPr>
        <w:t>present</w:t>
      </w:r>
    </w:p>
    <w:p w14:paraId="334A8B0A" w14:textId="77777777" w:rsidR="00894070" w:rsidRDefault="009B7AFD">
      <w:pPr>
        <w:pStyle w:val="BodyText"/>
        <w:spacing w:before="13" w:line="206" w:lineRule="auto"/>
        <w:ind w:left="1801" w:right="1176"/>
        <w:rPr>
          <w:sz w:val="11"/>
        </w:rPr>
      </w:pPr>
      <w:r>
        <w:rPr>
          <w:color w:val="231F20"/>
        </w:rPr>
        <w:t xml:space="preserve">the appeals are heard </w:t>
      </w:r>
      <w:r>
        <w:rPr>
          <w:i/>
          <w:color w:val="231F20"/>
        </w:rPr>
        <w:t>de novo</w:t>
      </w:r>
      <w:r>
        <w:rPr>
          <w:color w:val="231F20"/>
        </w:rPr>
        <w:t>, that is, the appeal court hears the matter from the beginning.</w:t>
      </w:r>
      <w:r>
        <w:rPr>
          <w:color w:val="231F20"/>
          <w:position w:val="7"/>
          <w:sz w:val="11"/>
        </w:rPr>
        <w:t xml:space="preserve">203 </w:t>
      </w:r>
      <w:r>
        <w:rPr>
          <w:color w:val="231F20"/>
        </w:rPr>
        <w:t>The original applicant must present and prove their case, and the original respondent is not required to prove that the decision was wrong.</w:t>
      </w:r>
      <w:r>
        <w:rPr>
          <w:color w:val="231F20"/>
          <w:position w:val="7"/>
          <w:sz w:val="11"/>
        </w:rPr>
        <w:t xml:space="preserve">204 </w:t>
      </w:r>
      <w:r>
        <w:rPr>
          <w:color w:val="231F20"/>
        </w:rPr>
        <w:t>The appeal court can uphold the decision, set the decision aside, or vary the decision.</w:t>
      </w:r>
      <w:r>
        <w:rPr>
          <w:color w:val="231F20"/>
          <w:position w:val="7"/>
          <w:sz w:val="11"/>
        </w:rPr>
        <w:t xml:space="preserve">205 </w:t>
      </w:r>
      <w:r>
        <w:rPr>
          <w:color w:val="231F20"/>
        </w:rPr>
        <w:t>The new decision is final.</w:t>
      </w:r>
      <w:r>
        <w:rPr>
          <w:color w:val="231F20"/>
          <w:position w:val="7"/>
          <w:sz w:val="11"/>
        </w:rPr>
        <w:t>206</w:t>
      </w:r>
    </w:p>
    <w:p w14:paraId="4DC4D27A" w14:textId="77777777" w:rsidR="00894070" w:rsidRDefault="009B7AFD">
      <w:pPr>
        <w:pStyle w:val="ListParagraph"/>
        <w:numPr>
          <w:ilvl w:val="1"/>
          <w:numId w:val="102"/>
        </w:numPr>
        <w:tabs>
          <w:tab w:val="left" w:pos="1801"/>
          <w:tab w:val="left" w:pos="1802"/>
        </w:tabs>
        <w:spacing w:before="95"/>
        <w:rPr>
          <w:sz w:val="20"/>
        </w:rPr>
      </w:pPr>
      <w:r>
        <w:rPr>
          <w:color w:val="231F20"/>
          <w:sz w:val="20"/>
        </w:rPr>
        <w:t>In</w:t>
      </w:r>
      <w:r>
        <w:rPr>
          <w:color w:val="231F20"/>
          <w:spacing w:val="-5"/>
          <w:sz w:val="20"/>
        </w:rPr>
        <w:t xml:space="preserve"> </w:t>
      </w:r>
      <w:r>
        <w:rPr>
          <w:color w:val="231F20"/>
          <w:sz w:val="20"/>
        </w:rPr>
        <w:t>this</w:t>
      </w:r>
      <w:r>
        <w:rPr>
          <w:color w:val="231F20"/>
          <w:spacing w:val="-5"/>
          <w:sz w:val="20"/>
        </w:rPr>
        <w:t xml:space="preserve"> </w:t>
      </w:r>
      <w:r>
        <w:rPr>
          <w:color w:val="231F20"/>
          <w:sz w:val="20"/>
        </w:rPr>
        <w:t>type</w:t>
      </w:r>
      <w:r>
        <w:rPr>
          <w:color w:val="231F20"/>
          <w:spacing w:val="-5"/>
          <w:sz w:val="20"/>
        </w:rPr>
        <w:t xml:space="preserve"> </w:t>
      </w:r>
      <w:r>
        <w:rPr>
          <w:color w:val="231F20"/>
          <w:sz w:val="20"/>
        </w:rPr>
        <w:t>of</w:t>
      </w:r>
      <w:r>
        <w:rPr>
          <w:color w:val="231F20"/>
          <w:spacing w:val="-5"/>
          <w:sz w:val="20"/>
        </w:rPr>
        <w:t xml:space="preserve"> </w:t>
      </w:r>
      <w:r>
        <w:rPr>
          <w:color w:val="231F20"/>
          <w:sz w:val="20"/>
        </w:rPr>
        <w:t>appeal,</w:t>
      </w:r>
      <w:r>
        <w:rPr>
          <w:color w:val="231F20"/>
          <w:spacing w:val="-4"/>
          <w:sz w:val="20"/>
        </w:rPr>
        <w:t xml:space="preserve"> </w:t>
      </w:r>
      <w:r>
        <w:rPr>
          <w:color w:val="231F20"/>
          <w:sz w:val="20"/>
        </w:rPr>
        <w:t>the</w:t>
      </w:r>
      <w:r>
        <w:rPr>
          <w:color w:val="231F20"/>
          <w:spacing w:val="-5"/>
          <w:sz w:val="20"/>
        </w:rPr>
        <w:t xml:space="preserve"> </w:t>
      </w:r>
      <w:r>
        <w:rPr>
          <w:color w:val="231F20"/>
          <w:sz w:val="20"/>
        </w:rPr>
        <w:t>person</w:t>
      </w:r>
      <w:r>
        <w:rPr>
          <w:color w:val="231F20"/>
          <w:spacing w:val="-5"/>
          <w:sz w:val="20"/>
        </w:rPr>
        <w:t xml:space="preserve"> </w:t>
      </w:r>
      <w:r>
        <w:rPr>
          <w:color w:val="231F20"/>
          <w:sz w:val="20"/>
        </w:rPr>
        <w:t>who</w:t>
      </w:r>
      <w:r>
        <w:rPr>
          <w:color w:val="231F20"/>
          <w:spacing w:val="-5"/>
          <w:sz w:val="20"/>
        </w:rPr>
        <w:t xml:space="preserve"> </w:t>
      </w:r>
      <w:r>
        <w:rPr>
          <w:color w:val="231F20"/>
          <w:sz w:val="20"/>
        </w:rPr>
        <w:t>experienced</w:t>
      </w:r>
      <w:r>
        <w:rPr>
          <w:color w:val="231F20"/>
          <w:spacing w:val="-4"/>
          <w:sz w:val="20"/>
        </w:rPr>
        <w:t xml:space="preserve"> </w:t>
      </w:r>
      <w:r>
        <w:rPr>
          <w:color w:val="231F20"/>
          <w:sz w:val="20"/>
        </w:rPr>
        <w:t>stalking</w:t>
      </w:r>
      <w:r>
        <w:rPr>
          <w:color w:val="231F20"/>
          <w:spacing w:val="-5"/>
          <w:sz w:val="20"/>
        </w:rPr>
        <w:t xml:space="preserve"> </w:t>
      </w:r>
      <w:r>
        <w:rPr>
          <w:color w:val="231F20"/>
          <w:sz w:val="20"/>
        </w:rPr>
        <w:t>may:</w:t>
      </w:r>
    </w:p>
    <w:p w14:paraId="12CB75FA" w14:textId="77777777" w:rsidR="00894070" w:rsidRDefault="009B7AFD">
      <w:pPr>
        <w:pStyle w:val="ListParagraph"/>
        <w:numPr>
          <w:ilvl w:val="2"/>
          <w:numId w:val="102"/>
        </w:numPr>
        <w:tabs>
          <w:tab w:val="left" w:pos="2141"/>
          <w:tab w:val="left" w:pos="2142"/>
        </w:tabs>
        <w:spacing w:before="82"/>
        <w:ind w:hanging="340"/>
        <w:rPr>
          <w:sz w:val="20"/>
        </w:rPr>
      </w:pPr>
      <w:r>
        <w:rPr>
          <w:color w:val="231F20"/>
          <w:sz w:val="20"/>
        </w:rPr>
        <w:t xml:space="preserve">be </w:t>
      </w:r>
      <w:r>
        <w:rPr>
          <w:color w:val="231F20"/>
          <w:spacing w:val="-3"/>
          <w:sz w:val="20"/>
        </w:rPr>
        <w:t xml:space="preserve">required </w:t>
      </w:r>
      <w:r>
        <w:rPr>
          <w:color w:val="231F20"/>
          <w:sz w:val="20"/>
        </w:rPr>
        <w:t xml:space="preserve">to appear as a witness </w:t>
      </w:r>
      <w:r>
        <w:rPr>
          <w:color w:val="231F20"/>
          <w:spacing w:val="-3"/>
          <w:sz w:val="20"/>
        </w:rPr>
        <w:t xml:space="preserve">for </w:t>
      </w:r>
      <w:r>
        <w:rPr>
          <w:color w:val="231F20"/>
          <w:sz w:val="20"/>
        </w:rPr>
        <w:t>a second</w:t>
      </w:r>
      <w:r>
        <w:rPr>
          <w:color w:val="231F20"/>
          <w:spacing w:val="-37"/>
          <w:sz w:val="20"/>
        </w:rPr>
        <w:t xml:space="preserve"> </w:t>
      </w:r>
      <w:r>
        <w:rPr>
          <w:color w:val="231F20"/>
          <w:sz w:val="20"/>
        </w:rPr>
        <w:t>time</w:t>
      </w:r>
    </w:p>
    <w:p w14:paraId="2279C1A0" w14:textId="77777777" w:rsidR="00894070" w:rsidRDefault="009B7AFD">
      <w:pPr>
        <w:pStyle w:val="ListParagraph"/>
        <w:numPr>
          <w:ilvl w:val="2"/>
          <w:numId w:val="102"/>
        </w:numPr>
        <w:tabs>
          <w:tab w:val="left" w:pos="2141"/>
          <w:tab w:val="left" w:pos="2142"/>
        </w:tabs>
        <w:spacing w:before="47"/>
        <w:ind w:hanging="340"/>
        <w:rPr>
          <w:sz w:val="20"/>
        </w:rPr>
      </w:pPr>
      <w:r>
        <w:rPr>
          <w:color w:val="231F20"/>
          <w:sz w:val="20"/>
        </w:rPr>
        <w:t>be cross-examined</w:t>
      </w:r>
      <w:r>
        <w:rPr>
          <w:color w:val="231F20"/>
          <w:spacing w:val="-9"/>
          <w:sz w:val="20"/>
        </w:rPr>
        <w:t xml:space="preserve"> </w:t>
      </w:r>
      <w:r>
        <w:rPr>
          <w:color w:val="231F20"/>
          <w:sz w:val="20"/>
        </w:rPr>
        <w:t>again.</w:t>
      </w:r>
    </w:p>
    <w:p w14:paraId="3405EDBE" w14:textId="77777777" w:rsidR="00894070" w:rsidRDefault="009B7AFD">
      <w:pPr>
        <w:pStyle w:val="ListParagraph"/>
        <w:numPr>
          <w:ilvl w:val="1"/>
          <w:numId w:val="102"/>
        </w:numPr>
        <w:tabs>
          <w:tab w:val="left" w:pos="1801"/>
          <w:tab w:val="left" w:pos="1802"/>
        </w:tabs>
        <w:spacing w:before="80" w:line="206" w:lineRule="auto"/>
        <w:ind w:right="1202"/>
        <w:rPr>
          <w:sz w:val="11"/>
        </w:rPr>
      </w:pPr>
      <w:r>
        <w:rPr>
          <w:color w:val="231F20"/>
          <w:sz w:val="20"/>
        </w:rPr>
        <w:t xml:space="preserve">Experts </w:t>
      </w:r>
      <w:r>
        <w:rPr>
          <w:color w:val="231F20"/>
          <w:spacing w:val="-4"/>
          <w:sz w:val="20"/>
        </w:rPr>
        <w:t xml:space="preserve">have </w:t>
      </w:r>
      <w:r>
        <w:rPr>
          <w:color w:val="231F20"/>
          <w:sz w:val="20"/>
        </w:rPr>
        <w:t xml:space="preserve">long discussed the risk of </w:t>
      </w:r>
      <w:r>
        <w:rPr>
          <w:i/>
          <w:color w:val="231F20"/>
          <w:sz w:val="20"/>
        </w:rPr>
        <w:t xml:space="preserve">de </w:t>
      </w:r>
      <w:r>
        <w:rPr>
          <w:i/>
          <w:color w:val="231F20"/>
          <w:spacing w:val="-3"/>
          <w:sz w:val="20"/>
        </w:rPr>
        <w:t xml:space="preserve">novo </w:t>
      </w:r>
      <w:r>
        <w:rPr>
          <w:color w:val="231F20"/>
          <w:sz w:val="20"/>
        </w:rPr>
        <w:t>appeals re-traumatising victims. In 2006,</w:t>
      </w:r>
      <w:r>
        <w:rPr>
          <w:color w:val="231F20"/>
          <w:spacing w:val="-8"/>
          <w:sz w:val="20"/>
        </w:rPr>
        <w:t xml:space="preserve"> </w:t>
      </w:r>
      <w:r>
        <w:rPr>
          <w:color w:val="231F20"/>
          <w:spacing w:val="-3"/>
          <w:sz w:val="20"/>
        </w:rPr>
        <w:t>for</w:t>
      </w:r>
      <w:r>
        <w:rPr>
          <w:color w:val="231F20"/>
          <w:spacing w:val="-7"/>
          <w:sz w:val="20"/>
        </w:rPr>
        <w:t xml:space="preserve"> </w:t>
      </w:r>
      <w:r>
        <w:rPr>
          <w:color w:val="231F20"/>
          <w:spacing w:val="-3"/>
          <w:sz w:val="20"/>
        </w:rPr>
        <w:t>example,</w:t>
      </w:r>
      <w:r>
        <w:rPr>
          <w:color w:val="231F20"/>
          <w:spacing w:val="-8"/>
          <w:sz w:val="20"/>
        </w:rPr>
        <w:t xml:space="preserve"> </w:t>
      </w:r>
      <w:r>
        <w:rPr>
          <w:color w:val="231F20"/>
          <w:sz w:val="20"/>
        </w:rPr>
        <w:t>the</w:t>
      </w:r>
      <w:r>
        <w:rPr>
          <w:color w:val="231F20"/>
          <w:spacing w:val="-7"/>
          <w:sz w:val="20"/>
        </w:rPr>
        <w:t xml:space="preserve"> </w:t>
      </w:r>
      <w:r>
        <w:rPr>
          <w:color w:val="231F20"/>
          <w:sz w:val="20"/>
        </w:rPr>
        <w:t>Victorian</w:t>
      </w:r>
      <w:r>
        <w:rPr>
          <w:color w:val="231F20"/>
          <w:spacing w:val="-7"/>
          <w:sz w:val="20"/>
        </w:rPr>
        <w:t xml:space="preserve"> </w:t>
      </w:r>
      <w:r>
        <w:rPr>
          <w:color w:val="231F20"/>
          <w:sz w:val="20"/>
        </w:rPr>
        <w:t>Parliamentary</w:t>
      </w:r>
      <w:r>
        <w:rPr>
          <w:color w:val="231F20"/>
          <w:spacing w:val="-8"/>
          <w:sz w:val="20"/>
        </w:rPr>
        <w:t xml:space="preserve"> </w:t>
      </w:r>
      <w:r>
        <w:rPr>
          <w:color w:val="231F20"/>
          <w:sz w:val="20"/>
        </w:rPr>
        <w:t>Law</w:t>
      </w:r>
      <w:r>
        <w:rPr>
          <w:color w:val="231F20"/>
          <w:spacing w:val="-7"/>
          <w:sz w:val="20"/>
        </w:rPr>
        <w:t xml:space="preserve"> </w:t>
      </w:r>
      <w:r>
        <w:rPr>
          <w:color w:val="231F20"/>
          <w:spacing w:val="-3"/>
          <w:sz w:val="20"/>
        </w:rPr>
        <w:t>Reform</w:t>
      </w:r>
      <w:r>
        <w:rPr>
          <w:color w:val="231F20"/>
          <w:spacing w:val="-7"/>
          <w:sz w:val="20"/>
        </w:rPr>
        <w:t xml:space="preserve"> </w:t>
      </w:r>
      <w:r>
        <w:rPr>
          <w:color w:val="231F20"/>
          <w:sz w:val="20"/>
        </w:rPr>
        <w:t>Committee</w:t>
      </w:r>
      <w:r>
        <w:rPr>
          <w:color w:val="231F20"/>
          <w:spacing w:val="-8"/>
          <w:sz w:val="20"/>
        </w:rPr>
        <w:t xml:space="preserve"> </w:t>
      </w:r>
      <w:r>
        <w:rPr>
          <w:color w:val="231F20"/>
          <w:spacing w:val="-3"/>
          <w:sz w:val="20"/>
        </w:rPr>
        <w:t>(focused</w:t>
      </w:r>
      <w:r>
        <w:rPr>
          <w:color w:val="231F20"/>
          <w:spacing w:val="-7"/>
          <w:sz w:val="20"/>
        </w:rPr>
        <w:t xml:space="preserve"> </w:t>
      </w:r>
      <w:r>
        <w:rPr>
          <w:color w:val="231F20"/>
          <w:sz w:val="20"/>
        </w:rPr>
        <w:t>on</w:t>
      </w:r>
      <w:r>
        <w:rPr>
          <w:color w:val="231F20"/>
          <w:spacing w:val="-7"/>
          <w:sz w:val="20"/>
        </w:rPr>
        <w:t xml:space="preserve"> </w:t>
      </w:r>
      <w:r>
        <w:rPr>
          <w:color w:val="231F20"/>
          <w:sz w:val="20"/>
        </w:rPr>
        <w:t xml:space="preserve">the criminal context) </w:t>
      </w:r>
      <w:r>
        <w:rPr>
          <w:color w:val="231F20"/>
          <w:spacing w:val="-3"/>
          <w:sz w:val="20"/>
        </w:rPr>
        <w:t xml:space="preserve">recounted </w:t>
      </w:r>
      <w:r>
        <w:rPr>
          <w:color w:val="231F20"/>
          <w:sz w:val="20"/>
        </w:rPr>
        <w:t>strong arguments to this</w:t>
      </w:r>
      <w:r>
        <w:rPr>
          <w:color w:val="231F20"/>
          <w:spacing w:val="-33"/>
          <w:sz w:val="20"/>
        </w:rPr>
        <w:t xml:space="preserve"> </w:t>
      </w:r>
      <w:r>
        <w:rPr>
          <w:color w:val="231F20"/>
          <w:sz w:val="20"/>
        </w:rPr>
        <w:t>effect.</w:t>
      </w:r>
      <w:r>
        <w:rPr>
          <w:color w:val="231F20"/>
          <w:position w:val="7"/>
          <w:sz w:val="11"/>
        </w:rPr>
        <w:t>207</w:t>
      </w:r>
    </w:p>
    <w:p w14:paraId="627E6AF6" w14:textId="77777777" w:rsidR="00894070" w:rsidRDefault="009B7AFD">
      <w:pPr>
        <w:pStyle w:val="ListParagraph"/>
        <w:numPr>
          <w:ilvl w:val="1"/>
          <w:numId w:val="102"/>
        </w:numPr>
        <w:tabs>
          <w:tab w:val="left" w:pos="1801"/>
          <w:tab w:val="left" w:pos="1802"/>
        </w:tabs>
        <w:spacing w:before="124" w:line="206" w:lineRule="auto"/>
        <w:ind w:right="1369"/>
        <w:rPr>
          <w:sz w:val="11"/>
        </w:rPr>
      </w:pPr>
      <w:r>
        <w:rPr>
          <w:color w:val="231F20"/>
          <w:spacing w:val="-3"/>
          <w:sz w:val="20"/>
        </w:rPr>
        <w:t>Recently</w:t>
      </w:r>
      <w:r>
        <w:rPr>
          <w:color w:val="231F20"/>
          <w:spacing w:val="-9"/>
          <w:sz w:val="20"/>
        </w:rPr>
        <w:t xml:space="preserve"> </w:t>
      </w:r>
      <w:r>
        <w:rPr>
          <w:color w:val="231F20"/>
          <w:sz w:val="20"/>
        </w:rPr>
        <w:t>the</w:t>
      </w:r>
      <w:r>
        <w:rPr>
          <w:color w:val="231F20"/>
          <w:spacing w:val="-11"/>
          <w:sz w:val="20"/>
        </w:rPr>
        <w:t xml:space="preserve"> </w:t>
      </w:r>
      <w:r>
        <w:rPr>
          <w:i/>
          <w:color w:val="231F20"/>
          <w:sz w:val="20"/>
        </w:rPr>
        <w:t>Justice</w:t>
      </w:r>
      <w:r>
        <w:rPr>
          <w:i/>
          <w:color w:val="231F20"/>
          <w:spacing w:val="-8"/>
          <w:sz w:val="20"/>
        </w:rPr>
        <w:t xml:space="preserve"> </w:t>
      </w:r>
      <w:r>
        <w:rPr>
          <w:i/>
          <w:color w:val="231F20"/>
          <w:spacing w:val="-3"/>
          <w:sz w:val="20"/>
        </w:rPr>
        <w:t>Legislation</w:t>
      </w:r>
      <w:r>
        <w:rPr>
          <w:i/>
          <w:color w:val="231F20"/>
          <w:spacing w:val="-9"/>
          <w:sz w:val="20"/>
        </w:rPr>
        <w:t xml:space="preserve"> </w:t>
      </w:r>
      <w:r>
        <w:rPr>
          <w:i/>
          <w:color w:val="231F20"/>
          <w:sz w:val="20"/>
        </w:rPr>
        <w:t>Amendment</w:t>
      </w:r>
      <w:r>
        <w:rPr>
          <w:i/>
          <w:color w:val="231F20"/>
          <w:spacing w:val="-8"/>
          <w:sz w:val="20"/>
        </w:rPr>
        <w:t xml:space="preserve"> </w:t>
      </w:r>
      <w:r>
        <w:rPr>
          <w:i/>
          <w:color w:val="231F20"/>
          <w:sz w:val="20"/>
        </w:rPr>
        <w:t>(Criminal</w:t>
      </w:r>
      <w:r>
        <w:rPr>
          <w:i/>
          <w:color w:val="231F20"/>
          <w:spacing w:val="-9"/>
          <w:sz w:val="20"/>
        </w:rPr>
        <w:t xml:space="preserve"> </w:t>
      </w:r>
      <w:r>
        <w:rPr>
          <w:i/>
          <w:color w:val="231F20"/>
          <w:sz w:val="20"/>
        </w:rPr>
        <w:t>Appeals)</w:t>
      </w:r>
      <w:r>
        <w:rPr>
          <w:i/>
          <w:color w:val="231F20"/>
          <w:spacing w:val="-8"/>
          <w:sz w:val="20"/>
        </w:rPr>
        <w:t xml:space="preserve"> </w:t>
      </w:r>
      <w:r>
        <w:rPr>
          <w:i/>
          <w:color w:val="231F20"/>
          <w:sz w:val="20"/>
        </w:rPr>
        <w:t>Act</w:t>
      </w:r>
      <w:r>
        <w:rPr>
          <w:i/>
          <w:color w:val="231F20"/>
          <w:spacing w:val="-9"/>
          <w:sz w:val="20"/>
        </w:rPr>
        <w:t xml:space="preserve"> </w:t>
      </w:r>
      <w:r>
        <w:rPr>
          <w:i/>
          <w:color w:val="231F20"/>
          <w:spacing w:val="-3"/>
          <w:sz w:val="20"/>
        </w:rPr>
        <w:t>2019</w:t>
      </w:r>
      <w:r>
        <w:rPr>
          <w:i/>
          <w:color w:val="231F20"/>
          <w:spacing w:val="-7"/>
          <w:sz w:val="20"/>
        </w:rPr>
        <w:t xml:space="preserve"> </w:t>
      </w:r>
      <w:r>
        <w:rPr>
          <w:color w:val="231F20"/>
          <w:sz w:val="20"/>
        </w:rPr>
        <w:t>(Vic)</w:t>
      </w:r>
      <w:r>
        <w:rPr>
          <w:color w:val="231F20"/>
          <w:spacing w:val="-9"/>
          <w:sz w:val="20"/>
        </w:rPr>
        <w:t xml:space="preserve"> </w:t>
      </w:r>
      <w:r>
        <w:rPr>
          <w:color w:val="231F20"/>
          <w:sz w:val="20"/>
        </w:rPr>
        <w:t>changed the</w:t>
      </w:r>
      <w:r>
        <w:rPr>
          <w:color w:val="231F20"/>
          <w:spacing w:val="-9"/>
          <w:sz w:val="20"/>
        </w:rPr>
        <w:t xml:space="preserve"> </w:t>
      </w:r>
      <w:r>
        <w:rPr>
          <w:color w:val="231F20"/>
          <w:spacing w:val="-3"/>
          <w:sz w:val="20"/>
        </w:rPr>
        <w:t>way</w:t>
      </w:r>
      <w:r>
        <w:rPr>
          <w:color w:val="231F20"/>
          <w:spacing w:val="-9"/>
          <w:sz w:val="20"/>
        </w:rPr>
        <w:t xml:space="preserve"> </w:t>
      </w:r>
      <w:r>
        <w:rPr>
          <w:color w:val="231F20"/>
          <w:sz w:val="20"/>
        </w:rPr>
        <w:t>that</w:t>
      </w:r>
      <w:r>
        <w:rPr>
          <w:color w:val="231F20"/>
          <w:spacing w:val="-9"/>
          <w:sz w:val="20"/>
        </w:rPr>
        <w:t xml:space="preserve"> </w:t>
      </w:r>
      <w:r>
        <w:rPr>
          <w:color w:val="231F20"/>
          <w:sz w:val="20"/>
        </w:rPr>
        <w:t>appeals</w:t>
      </w:r>
      <w:r>
        <w:rPr>
          <w:color w:val="231F20"/>
          <w:spacing w:val="-8"/>
          <w:sz w:val="20"/>
        </w:rPr>
        <w:t xml:space="preserve"> </w:t>
      </w:r>
      <w:r>
        <w:rPr>
          <w:color w:val="231F20"/>
          <w:sz w:val="20"/>
        </w:rPr>
        <w:t>of</w:t>
      </w:r>
      <w:r>
        <w:rPr>
          <w:color w:val="231F20"/>
          <w:spacing w:val="-9"/>
          <w:sz w:val="20"/>
        </w:rPr>
        <w:t xml:space="preserve"> </w:t>
      </w:r>
      <w:r>
        <w:rPr>
          <w:color w:val="231F20"/>
          <w:sz w:val="20"/>
        </w:rPr>
        <w:t>criminal</w:t>
      </w:r>
      <w:r>
        <w:rPr>
          <w:color w:val="231F20"/>
          <w:spacing w:val="-9"/>
          <w:sz w:val="20"/>
        </w:rPr>
        <w:t xml:space="preserve"> </w:t>
      </w:r>
      <w:r>
        <w:rPr>
          <w:color w:val="231F20"/>
          <w:sz w:val="20"/>
        </w:rPr>
        <w:t>cases</w:t>
      </w:r>
      <w:r>
        <w:rPr>
          <w:color w:val="231F20"/>
          <w:spacing w:val="-8"/>
          <w:sz w:val="20"/>
        </w:rPr>
        <w:t xml:space="preserve"> </w:t>
      </w:r>
      <w:r>
        <w:rPr>
          <w:color w:val="231F20"/>
          <w:sz w:val="20"/>
        </w:rPr>
        <w:t>will</w:t>
      </w:r>
      <w:r>
        <w:rPr>
          <w:color w:val="231F20"/>
          <w:spacing w:val="-9"/>
          <w:sz w:val="20"/>
        </w:rPr>
        <w:t xml:space="preserve"> </w:t>
      </w:r>
      <w:r>
        <w:rPr>
          <w:color w:val="231F20"/>
          <w:sz w:val="20"/>
        </w:rPr>
        <w:t>be</w:t>
      </w:r>
      <w:r>
        <w:rPr>
          <w:color w:val="231F20"/>
          <w:spacing w:val="-9"/>
          <w:sz w:val="20"/>
        </w:rPr>
        <w:t xml:space="preserve"> </w:t>
      </w:r>
      <w:r>
        <w:rPr>
          <w:color w:val="231F20"/>
          <w:sz w:val="20"/>
        </w:rPr>
        <w:t>decided</w:t>
      </w:r>
      <w:r>
        <w:rPr>
          <w:color w:val="231F20"/>
          <w:spacing w:val="-8"/>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County</w:t>
      </w:r>
      <w:r>
        <w:rPr>
          <w:color w:val="231F20"/>
          <w:spacing w:val="-8"/>
          <w:sz w:val="20"/>
        </w:rPr>
        <w:t xml:space="preserve"> </w:t>
      </w:r>
      <w:r>
        <w:rPr>
          <w:color w:val="231F20"/>
          <w:sz w:val="20"/>
        </w:rPr>
        <w:t>Court.</w:t>
      </w:r>
      <w:r>
        <w:rPr>
          <w:color w:val="231F20"/>
          <w:spacing w:val="-9"/>
          <w:sz w:val="20"/>
        </w:rPr>
        <w:t xml:space="preserve"> </w:t>
      </w:r>
      <w:r>
        <w:rPr>
          <w:color w:val="231F20"/>
          <w:sz w:val="20"/>
        </w:rPr>
        <w:t>Instead</w:t>
      </w:r>
      <w:r>
        <w:rPr>
          <w:color w:val="231F20"/>
          <w:spacing w:val="-9"/>
          <w:sz w:val="20"/>
        </w:rPr>
        <w:t xml:space="preserve"> </w:t>
      </w:r>
      <w:r>
        <w:rPr>
          <w:color w:val="231F20"/>
          <w:sz w:val="20"/>
        </w:rPr>
        <w:t xml:space="preserve">of a </w:t>
      </w:r>
      <w:r>
        <w:rPr>
          <w:color w:val="231F20"/>
          <w:spacing w:val="-3"/>
          <w:sz w:val="20"/>
        </w:rPr>
        <w:t xml:space="preserve">fresh </w:t>
      </w:r>
      <w:r>
        <w:rPr>
          <w:color w:val="231F20"/>
          <w:sz w:val="20"/>
        </w:rPr>
        <w:t xml:space="preserve">hearing, appeals will be decided using a transcript of the evidence </w:t>
      </w:r>
      <w:r>
        <w:rPr>
          <w:color w:val="231F20"/>
          <w:spacing w:val="-3"/>
          <w:sz w:val="20"/>
        </w:rPr>
        <w:t xml:space="preserve">from </w:t>
      </w:r>
      <w:r>
        <w:rPr>
          <w:color w:val="231F20"/>
          <w:sz w:val="20"/>
        </w:rPr>
        <w:t xml:space="preserve">the original hearing in the </w:t>
      </w:r>
      <w:r>
        <w:rPr>
          <w:color w:val="231F20"/>
          <w:spacing w:val="-3"/>
          <w:sz w:val="20"/>
        </w:rPr>
        <w:t xml:space="preserve">Magistrates’ </w:t>
      </w:r>
      <w:r>
        <w:rPr>
          <w:color w:val="231F20"/>
          <w:sz w:val="20"/>
        </w:rPr>
        <w:t xml:space="preserve">Court. The County Court will </w:t>
      </w:r>
      <w:r>
        <w:rPr>
          <w:color w:val="231F20"/>
          <w:spacing w:val="-3"/>
          <w:sz w:val="20"/>
        </w:rPr>
        <w:t xml:space="preserve">only </w:t>
      </w:r>
      <w:r>
        <w:rPr>
          <w:color w:val="231F20"/>
          <w:sz w:val="20"/>
        </w:rPr>
        <w:t>hear additional evidence</w:t>
      </w:r>
      <w:r>
        <w:rPr>
          <w:color w:val="231F20"/>
          <w:spacing w:val="-5"/>
          <w:sz w:val="20"/>
        </w:rPr>
        <w:t xml:space="preserve"> </w:t>
      </w:r>
      <w:r>
        <w:rPr>
          <w:color w:val="231F20"/>
          <w:sz w:val="20"/>
        </w:rPr>
        <w:t>if</w:t>
      </w:r>
      <w:r>
        <w:rPr>
          <w:color w:val="231F20"/>
          <w:spacing w:val="-5"/>
          <w:sz w:val="20"/>
        </w:rPr>
        <w:t xml:space="preserve"> </w:t>
      </w:r>
      <w:r>
        <w:rPr>
          <w:color w:val="231F20"/>
          <w:sz w:val="20"/>
        </w:rPr>
        <w:t>it</w:t>
      </w:r>
      <w:r>
        <w:rPr>
          <w:color w:val="231F20"/>
          <w:spacing w:val="-4"/>
          <w:sz w:val="20"/>
        </w:rPr>
        <w:t xml:space="preserve"> </w:t>
      </w:r>
      <w:r>
        <w:rPr>
          <w:color w:val="231F20"/>
          <w:sz w:val="20"/>
        </w:rPr>
        <w:t>considers</w:t>
      </w:r>
      <w:r>
        <w:rPr>
          <w:color w:val="231F20"/>
          <w:spacing w:val="-5"/>
          <w:sz w:val="20"/>
        </w:rPr>
        <w:t xml:space="preserve"> </w:t>
      </w:r>
      <w:r>
        <w:rPr>
          <w:color w:val="231F20"/>
          <w:sz w:val="20"/>
        </w:rPr>
        <w:t>this</w:t>
      </w:r>
      <w:r>
        <w:rPr>
          <w:color w:val="231F20"/>
          <w:spacing w:val="-4"/>
          <w:sz w:val="20"/>
        </w:rPr>
        <w:t xml:space="preserve"> </w:t>
      </w:r>
      <w:r>
        <w:rPr>
          <w:color w:val="231F20"/>
          <w:sz w:val="20"/>
        </w:rPr>
        <w:t>to</w:t>
      </w:r>
      <w:r>
        <w:rPr>
          <w:color w:val="231F20"/>
          <w:spacing w:val="-5"/>
          <w:sz w:val="20"/>
        </w:rPr>
        <w:t xml:space="preserve"> </w:t>
      </w:r>
      <w:r>
        <w:rPr>
          <w:color w:val="231F20"/>
          <w:sz w:val="20"/>
        </w:rPr>
        <w:t>be</w:t>
      </w:r>
      <w:r>
        <w:rPr>
          <w:color w:val="231F20"/>
          <w:spacing w:val="-4"/>
          <w:sz w:val="20"/>
        </w:rPr>
        <w:t xml:space="preserve"> </w:t>
      </w:r>
      <w:r>
        <w:rPr>
          <w:color w:val="231F20"/>
          <w:sz w:val="20"/>
        </w:rPr>
        <w:t>in</w:t>
      </w:r>
      <w:r>
        <w:rPr>
          <w:color w:val="231F20"/>
          <w:spacing w:val="-5"/>
          <w:sz w:val="20"/>
        </w:rPr>
        <w:t xml:space="preserve"> </w:t>
      </w:r>
      <w:r>
        <w:rPr>
          <w:color w:val="231F20"/>
          <w:sz w:val="20"/>
        </w:rPr>
        <w:t>the</w:t>
      </w:r>
      <w:r>
        <w:rPr>
          <w:color w:val="231F20"/>
          <w:spacing w:val="-4"/>
          <w:sz w:val="20"/>
        </w:rPr>
        <w:t xml:space="preserve"> </w:t>
      </w:r>
      <w:r>
        <w:rPr>
          <w:color w:val="231F20"/>
          <w:spacing w:val="-3"/>
          <w:sz w:val="20"/>
        </w:rPr>
        <w:t>interests</w:t>
      </w:r>
      <w:r>
        <w:rPr>
          <w:color w:val="231F20"/>
          <w:spacing w:val="-5"/>
          <w:sz w:val="20"/>
        </w:rPr>
        <w:t xml:space="preserve"> </w:t>
      </w:r>
      <w:r>
        <w:rPr>
          <w:color w:val="231F20"/>
          <w:sz w:val="20"/>
        </w:rPr>
        <w:t>of</w:t>
      </w:r>
      <w:r>
        <w:rPr>
          <w:color w:val="231F20"/>
          <w:spacing w:val="-4"/>
          <w:sz w:val="20"/>
        </w:rPr>
        <w:t xml:space="preserve"> </w:t>
      </w:r>
      <w:r>
        <w:rPr>
          <w:color w:val="231F20"/>
          <w:sz w:val="20"/>
        </w:rPr>
        <w:t>justice.</w:t>
      </w:r>
      <w:r>
        <w:rPr>
          <w:color w:val="231F20"/>
          <w:position w:val="7"/>
          <w:sz w:val="11"/>
        </w:rPr>
        <w:t>208</w:t>
      </w:r>
    </w:p>
    <w:p w14:paraId="26DA5083" w14:textId="77777777" w:rsidR="00894070" w:rsidRDefault="009B7AFD">
      <w:pPr>
        <w:pStyle w:val="ListParagraph"/>
        <w:numPr>
          <w:ilvl w:val="1"/>
          <w:numId w:val="102"/>
        </w:numPr>
        <w:tabs>
          <w:tab w:val="left" w:pos="1801"/>
          <w:tab w:val="left" w:pos="1802"/>
        </w:tabs>
        <w:spacing w:before="94" w:line="259" w:lineRule="exact"/>
        <w:rPr>
          <w:sz w:val="20"/>
        </w:rPr>
      </w:pPr>
      <w:r>
        <w:rPr>
          <w:color w:val="231F20"/>
          <w:spacing w:val="-4"/>
          <w:sz w:val="20"/>
        </w:rPr>
        <w:t>Future</w:t>
      </w:r>
      <w:r>
        <w:rPr>
          <w:color w:val="231F20"/>
          <w:spacing w:val="-5"/>
          <w:sz w:val="20"/>
        </w:rPr>
        <w:t xml:space="preserve"> </w:t>
      </w:r>
      <w:r>
        <w:rPr>
          <w:color w:val="231F20"/>
          <w:sz w:val="20"/>
        </w:rPr>
        <w:t>appeals</w:t>
      </w:r>
      <w:r>
        <w:rPr>
          <w:color w:val="231F20"/>
          <w:spacing w:val="-4"/>
          <w:sz w:val="20"/>
        </w:rPr>
        <w:t xml:space="preserve"> </w:t>
      </w:r>
      <w:r>
        <w:rPr>
          <w:color w:val="231F20"/>
          <w:spacing w:val="-3"/>
          <w:sz w:val="20"/>
        </w:rPr>
        <w:t>from</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Magistrates’</w:t>
      </w:r>
      <w:r>
        <w:rPr>
          <w:color w:val="231F20"/>
          <w:spacing w:val="-4"/>
          <w:sz w:val="20"/>
        </w:rPr>
        <w:t xml:space="preserve"> </w:t>
      </w:r>
      <w:r>
        <w:rPr>
          <w:color w:val="231F20"/>
          <w:sz w:val="20"/>
        </w:rPr>
        <w:t>Court</w:t>
      </w:r>
      <w:r>
        <w:rPr>
          <w:color w:val="231F20"/>
          <w:spacing w:val="-4"/>
          <w:sz w:val="20"/>
        </w:rPr>
        <w:t xml:space="preserve"> </w:t>
      </w:r>
      <w:r>
        <w:rPr>
          <w:color w:val="231F20"/>
          <w:sz w:val="20"/>
        </w:rPr>
        <w:t>to</w:t>
      </w:r>
      <w:r>
        <w:rPr>
          <w:color w:val="231F20"/>
          <w:spacing w:val="-5"/>
          <w:sz w:val="20"/>
        </w:rPr>
        <w:t xml:space="preserve"> </w:t>
      </w:r>
      <w:r>
        <w:rPr>
          <w:color w:val="231F20"/>
          <w:sz w:val="20"/>
        </w:rPr>
        <w:t>the</w:t>
      </w:r>
      <w:r>
        <w:rPr>
          <w:color w:val="231F20"/>
          <w:spacing w:val="-4"/>
          <w:sz w:val="20"/>
        </w:rPr>
        <w:t xml:space="preserve"> </w:t>
      </w:r>
      <w:r>
        <w:rPr>
          <w:color w:val="231F20"/>
          <w:sz w:val="20"/>
        </w:rPr>
        <w:t>County</w:t>
      </w:r>
      <w:r>
        <w:rPr>
          <w:color w:val="231F20"/>
          <w:spacing w:val="-4"/>
          <w:sz w:val="20"/>
        </w:rPr>
        <w:t xml:space="preserve"> </w:t>
      </w:r>
      <w:r>
        <w:rPr>
          <w:color w:val="231F20"/>
          <w:sz w:val="20"/>
        </w:rPr>
        <w:t>Court</w:t>
      </w:r>
      <w:r>
        <w:rPr>
          <w:color w:val="231F20"/>
          <w:spacing w:val="-5"/>
          <w:sz w:val="20"/>
        </w:rPr>
        <w:t xml:space="preserve"> </w:t>
      </w:r>
      <w:r>
        <w:rPr>
          <w:color w:val="231F20"/>
          <w:spacing w:val="-3"/>
          <w:sz w:val="20"/>
        </w:rPr>
        <w:t>from</w:t>
      </w:r>
      <w:r>
        <w:rPr>
          <w:color w:val="231F20"/>
          <w:spacing w:val="-4"/>
          <w:sz w:val="20"/>
        </w:rPr>
        <w:t xml:space="preserve"> </w:t>
      </w:r>
      <w:r>
        <w:rPr>
          <w:color w:val="231F20"/>
          <w:sz w:val="20"/>
        </w:rPr>
        <w:t>summary</w:t>
      </w:r>
      <w:r>
        <w:rPr>
          <w:color w:val="231F20"/>
          <w:spacing w:val="-4"/>
          <w:sz w:val="20"/>
        </w:rPr>
        <w:t xml:space="preserve"> </w:t>
      </w:r>
      <w:r>
        <w:rPr>
          <w:color w:val="231F20"/>
          <w:sz w:val="20"/>
        </w:rPr>
        <w:t>criminal</w:t>
      </w:r>
    </w:p>
    <w:p w14:paraId="204F6FB5" w14:textId="77777777" w:rsidR="00894070" w:rsidRDefault="009B7AFD">
      <w:pPr>
        <w:pStyle w:val="BodyText"/>
        <w:spacing w:line="259" w:lineRule="exact"/>
        <w:ind w:left="1801"/>
      </w:pPr>
      <w:r>
        <w:rPr>
          <w:color w:val="231F20"/>
        </w:rPr>
        <w:t>convictions for stalking will be heard under the new scheme.</w:t>
      </w:r>
    </w:p>
    <w:p w14:paraId="227D3C7C" w14:textId="77777777" w:rsidR="00894070" w:rsidRDefault="009B7AFD">
      <w:pPr>
        <w:pStyle w:val="ListParagraph"/>
        <w:numPr>
          <w:ilvl w:val="1"/>
          <w:numId w:val="102"/>
        </w:numPr>
        <w:tabs>
          <w:tab w:val="left" w:pos="1801"/>
          <w:tab w:val="left" w:pos="1802"/>
        </w:tabs>
        <w:spacing w:before="115" w:line="206" w:lineRule="auto"/>
        <w:ind w:right="1164"/>
        <w:rPr>
          <w:sz w:val="11"/>
        </w:rPr>
      </w:pPr>
      <w:r>
        <w:rPr>
          <w:color w:val="231F20"/>
          <w:sz w:val="20"/>
        </w:rPr>
        <w:t>As</w:t>
      </w:r>
      <w:r>
        <w:rPr>
          <w:color w:val="231F20"/>
          <w:spacing w:val="-8"/>
          <w:sz w:val="20"/>
        </w:rPr>
        <w:t xml:space="preserve"> </w:t>
      </w:r>
      <w:r>
        <w:rPr>
          <w:color w:val="231F20"/>
          <w:sz w:val="20"/>
        </w:rPr>
        <w:t>set</w:t>
      </w:r>
      <w:r>
        <w:rPr>
          <w:color w:val="231F20"/>
          <w:spacing w:val="-7"/>
          <w:sz w:val="20"/>
        </w:rPr>
        <w:t xml:space="preserve"> </w:t>
      </w:r>
      <w:r>
        <w:rPr>
          <w:color w:val="231F20"/>
          <w:sz w:val="20"/>
        </w:rPr>
        <w:t>out</w:t>
      </w:r>
      <w:r>
        <w:rPr>
          <w:color w:val="231F20"/>
          <w:spacing w:val="-8"/>
          <w:sz w:val="20"/>
        </w:rPr>
        <w:t xml:space="preserve"> </w:t>
      </w:r>
      <w:r>
        <w:rPr>
          <w:color w:val="231F20"/>
          <w:spacing w:val="-3"/>
          <w:sz w:val="20"/>
        </w:rPr>
        <w:t>by</w:t>
      </w:r>
      <w:r>
        <w:rPr>
          <w:color w:val="231F20"/>
          <w:spacing w:val="-7"/>
          <w:sz w:val="20"/>
        </w:rPr>
        <w:t xml:space="preserve"> </w:t>
      </w:r>
      <w:r>
        <w:rPr>
          <w:color w:val="231F20"/>
          <w:sz w:val="20"/>
        </w:rPr>
        <w:t>Dr</w:t>
      </w:r>
      <w:r>
        <w:rPr>
          <w:color w:val="231F20"/>
          <w:spacing w:val="-8"/>
          <w:sz w:val="20"/>
        </w:rPr>
        <w:t xml:space="preserve"> </w:t>
      </w:r>
      <w:r>
        <w:rPr>
          <w:color w:val="231F20"/>
          <w:spacing w:val="-4"/>
          <w:sz w:val="20"/>
        </w:rPr>
        <w:t>Steven</w:t>
      </w:r>
      <w:r>
        <w:rPr>
          <w:color w:val="231F20"/>
          <w:spacing w:val="-7"/>
          <w:sz w:val="20"/>
        </w:rPr>
        <w:t xml:space="preserve"> </w:t>
      </w:r>
      <w:r>
        <w:rPr>
          <w:color w:val="231F20"/>
          <w:spacing w:val="-5"/>
          <w:sz w:val="20"/>
        </w:rPr>
        <w:t>Tudor</w:t>
      </w:r>
      <w:r>
        <w:rPr>
          <w:color w:val="231F20"/>
          <w:spacing w:val="-7"/>
          <w:sz w:val="20"/>
        </w:rPr>
        <w:t xml:space="preserve"> </w:t>
      </w:r>
      <w:r>
        <w:rPr>
          <w:color w:val="231F20"/>
          <w:sz w:val="20"/>
        </w:rPr>
        <w:t>and</w:t>
      </w:r>
      <w:r>
        <w:rPr>
          <w:color w:val="231F20"/>
          <w:spacing w:val="-8"/>
          <w:sz w:val="20"/>
        </w:rPr>
        <w:t xml:space="preserve"> </w:t>
      </w:r>
      <w:r>
        <w:rPr>
          <w:color w:val="231F20"/>
          <w:sz w:val="20"/>
        </w:rPr>
        <w:t>Greg</w:t>
      </w:r>
      <w:r>
        <w:rPr>
          <w:color w:val="231F20"/>
          <w:spacing w:val="-7"/>
          <w:sz w:val="20"/>
        </w:rPr>
        <w:t xml:space="preserve"> </w:t>
      </w:r>
      <w:r>
        <w:rPr>
          <w:color w:val="231F20"/>
          <w:sz w:val="20"/>
        </w:rPr>
        <w:t>Byrne,</w:t>
      </w:r>
      <w:r>
        <w:rPr>
          <w:color w:val="231F20"/>
          <w:spacing w:val="-8"/>
          <w:sz w:val="20"/>
        </w:rPr>
        <w:t xml:space="preserve"> </w:t>
      </w:r>
      <w:r>
        <w:rPr>
          <w:color w:val="231F20"/>
          <w:sz w:val="20"/>
        </w:rPr>
        <w:t>the</w:t>
      </w:r>
      <w:r>
        <w:rPr>
          <w:color w:val="231F20"/>
          <w:spacing w:val="-7"/>
          <w:sz w:val="20"/>
        </w:rPr>
        <w:t xml:space="preserve"> </w:t>
      </w:r>
      <w:r>
        <w:rPr>
          <w:color w:val="231F20"/>
          <w:sz w:val="20"/>
        </w:rPr>
        <w:t>policy</w:t>
      </w:r>
      <w:r>
        <w:rPr>
          <w:color w:val="231F20"/>
          <w:spacing w:val="-7"/>
          <w:sz w:val="20"/>
        </w:rPr>
        <w:t xml:space="preserve"> </w:t>
      </w:r>
      <w:r>
        <w:rPr>
          <w:color w:val="231F20"/>
          <w:spacing w:val="-3"/>
          <w:sz w:val="20"/>
        </w:rPr>
        <w:t>framework</w:t>
      </w:r>
      <w:r>
        <w:rPr>
          <w:color w:val="231F20"/>
          <w:spacing w:val="-8"/>
          <w:sz w:val="20"/>
        </w:rPr>
        <w:t xml:space="preserve"> </w:t>
      </w:r>
      <w:r>
        <w:rPr>
          <w:color w:val="231F20"/>
          <w:sz w:val="20"/>
        </w:rPr>
        <w:t>outlined</w:t>
      </w:r>
      <w:r>
        <w:rPr>
          <w:color w:val="231F20"/>
          <w:spacing w:val="-7"/>
          <w:sz w:val="20"/>
        </w:rPr>
        <w:t xml:space="preserve"> </w:t>
      </w:r>
      <w:r>
        <w:rPr>
          <w:color w:val="231F20"/>
          <w:sz w:val="20"/>
        </w:rPr>
        <w:t>a</w:t>
      </w:r>
      <w:r>
        <w:rPr>
          <w:color w:val="231F20"/>
          <w:spacing w:val="-8"/>
          <w:sz w:val="20"/>
        </w:rPr>
        <w:t xml:space="preserve"> </w:t>
      </w:r>
      <w:r>
        <w:rPr>
          <w:color w:val="231F20"/>
          <w:sz w:val="20"/>
        </w:rPr>
        <w:t xml:space="preserve">balance between the importance of an appeal, the modernisation of the courts, and </w:t>
      </w:r>
      <w:r>
        <w:rPr>
          <w:color w:val="231F20"/>
          <w:spacing w:val="-3"/>
          <w:sz w:val="20"/>
        </w:rPr>
        <w:t xml:space="preserve">‘avoiding </w:t>
      </w:r>
      <w:r>
        <w:rPr>
          <w:color w:val="231F20"/>
          <w:sz w:val="20"/>
        </w:rPr>
        <w:t>unnecessary re-traumatisation of victims and witnesses’.</w:t>
      </w:r>
      <w:r>
        <w:rPr>
          <w:color w:val="231F20"/>
          <w:position w:val="7"/>
          <w:sz w:val="11"/>
        </w:rPr>
        <w:t xml:space="preserve">209 </w:t>
      </w:r>
      <w:r>
        <w:rPr>
          <w:color w:val="231F20"/>
          <w:sz w:val="20"/>
        </w:rPr>
        <w:t xml:space="preserve">These considerations </w:t>
      </w:r>
      <w:r>
        <w:rPr>
          <w:color w:val="231F20"/>
          <w:spacing w:val="-3"/>
          <w:sz w:val="20"/>
        </w:rPr>
        <w:t xml:space="preserve">are equally relevant </w:t>
      </w:r>
      <w:r>
        <w:rPr>
          <w:color w:val="231F20"/>
          <w:sz w:val="20"/>
        </w:rPr>
        <w:t>to the PSIO</w:t>
      </w:r>
      <w:r>
        <w:rPr>
          <w:color w:val="231F20"/>
          <w:spacing w:val="-14"/>
          <w:sz w:val="20"/>
        </w:rPr>
        <w:t xml:space="preserve"> </w:t>
      </w:r>
      <w:r>
        <w:rPr>
          <w:color w:val="231F20"/>
          <w:sz w:val="20"/>
        </w:rPr>
        <w:t>system.</w:t>
      </w:r>
      <w:r>
        <w:rPr>
          <w:color w:val="231F20"/>
          <w:position w:val="7"/>
          <w:sz w:val="11"/>
        </w:rPr>
        <w:t>210</w:t>
      </w:r>
    </w:p>
    <w:p w14:paraId="398630B2" w14:textId="77777777" w:rsidR="00894070" w:rsidRDefault="009B7AFD">
      <w:pPr>
        <w:pStyle w:val="ListParagraph"/>
        <w:numPr>
          <w:ilvl w:val="1"/>
          <w:numId w:val="102"/>
        </w:numPr>
        <w:tabs>
          <w:tab w:val="left" w:pos="1801"/>
          <w:tab w:val="left" w:pos="1802"/>
        </w:tabs>
        <w:spacing w:before="125" w:line="206" w:lineRule="auto"/>
        <w:ind w:right="1321"/>
        <w:rPr>
          <w:sz w:val="11"/>
        </w:rPr>
      </w:pPr>
      <w:r>
        <w:rPr>
          <w:color w:val="231F20"/>
          <w:spacing w:val="-5"/>
          <w:sz w:val="20"/>
        </w:rPr>
        <w:t>However,</w:t>
      </w:r>
      <w:r>
        <w:rPr>
          <w:color w:val="231F20"/>
          <w:spacing w:val="-8"/>
          <w:sz w:val="20"/>
        </w:rPr>
        <w:t xml:space="preserve"> </w:t>
      </w:r>
      <w:r>
        <w:rPr>
          <w:color w:val="231F20"/>
          <w:sz w:val="20"/>
        </w:rPr>
        <w:t>not</w:t>
      </w:r>
      <w:r>
        <w:rPr>
          <w:color w:val="231F20"/>
          <w:spacing w:val="-8"/>
          <w:sz w:val="20"/>
        </w:rPr>
        <w:t xml:space="preserve"> </w:t>
      </w:r>
      <w:r>
        <w:rPr>
          <w:color w:val="231F20"/>
          <w:spacing w:val="-2"/>
          <w:sz w:val="20"/>
        </w:rPr>
        <w:t>everyone</w:t>
      </w:r>
      <w:r>
        <w:rPr>
          <w:color w:val="231F20"/>
          <w:spacing w:val="-8"/>
          <w:sz w:val="20"/>
        </w:rPr>
        <w:t xml:space="preserve"> </w:t>
      </w:r>
      <w:r>
        <w:rPr>
          <w:color w:val="231F20"/>
          <w:sz w:val="20"/>
        </w:rPr>
        <w:t>supports</w:t>
      </w:r>
      <w:r>
        <w:rPr>
          <w:color w:val="231F20"/>
          <w:spacing w:val="-8"/>
          <w:sz w:val="20"/>
        </w:rPr>
        <w:t xml:space="preserve"> </w:t>
      </w:r>
      <w:r>
        <w:rPr>
          <w:color w:val="231F20"/>
          <w:sz w:val="20"/>
        </w:rPr>
        <w:t>abolishing</w:t>
      </w:r>
      <w:r>
        <w:rPr>
          <w:color w:val="231F20"/>
          <w:spacing w:val="-8"/>
          <w:sz w:val="20"/>
        </w:rPr>
        <w:t xml:space="preserve"> </w:t>
      </w:r>
      <w:r>
        <w:rPr>
          <w:i/>
          <w:color w:val="231F20"/>
          <w:sz w:val="20"/>
        </w:rPr>
        <w:t>de</w:t>
      </w:r>
      <w:r>
        <w:rPr>
          <w:i/>
          <w:color w:val="231F20"/>
          <w:spacing w:val="-8"/>
          <w:sz w:val="20"/>
        </w:rPr>
        <w:t xml:space="preserve"> </w:t>
      </w:r>
      <w:r>
        <w:rPr>
          <w:i/>
          <w:color w:val="231F20"/>
          <w:spacing w:val="-3"/>
          <w:sz w:val="20"/>
        </w:rPr>
        <w:t>novo</w:t>
      </w:r>
      <w:r>
        <w:rPr>
          <w:i/>
          <w:color w:val="231F20"/>
          <w:spacing w:val="-6"/>
          <w:sz w:val="20"/>
        </w:rPr>
        <w:t xml:space="preserve"> </w:t>
      </w:r>
      <w:r>
        <w:rPr>
          <w:color w:val="231F20"/>
          <w:sz w:val="20"/>
        </w:rPr>
        <w:t>appeals.</w:t>
      </w:r>
      <w:r>
        <w:rPr>
          <w:color w:val="231F20"/>
          <w:spacing w:val="-8"/>
          <w:sz w:val="20"/>
        </w:rPr>
        <w:t xml:space="preserve"> </w:t>
      </w:r>
      <w:r>
        <w:rPr>
          <w:color w:val="231F20"/>
          <w:sz w:val="20"/>
        </w:rPr>
        <w:t>Some</w:t>
      </w:r>
      <w:r>
        <w:rPr>
          <w:color w:val="231F20"/>
          <w:spacing w:val="-8"/>
          <w:sz w:val="20"/>
        </w:rPr>
        <w:t xml:space="preserve"> </w:t>
      </w:r>
      <w:r>
        <w:rPr>
          <w:color w:val="231F20"/>
          <w:sz w:val="20"/>
        </w:rPr>
        <w:t>argue</w:t>
      </w:r>
      <w:r>
        <w:rPr>
          <w:color w:val="231F20"/>
          <w:spacing w:val="-8"/>
          <w:sz w:val="20"/>
        </w:rPr>
        <w:t xml:space="preserve"> </w:t>
      </w:r>
      <w:r>
        <w:rPr>
          <w:color w:val="231F20"/>
          <w:sz w:val="20"/>
        </w:rPr>
        <w:t>that</w:t>
      </w:r>
      <w:r>
        <w:rPr>
          <w:color w:val="231F20"/>
          <w:spacing w:val="-8"/>
          <w:sz w:val="20"/>
        </w:rPr>
        <w:t xml:space="preserve"> </w:t>
      </w:r>
      <w:r>
        <w:rPr>
          <w:color w:val="231F20"/>
          <w:sz w:val="20"/>
        </w:rPr>
        <w:t xml:space="preserve">victims already </w:t>
      </w:r>
      <w:r>
        <w:rPr>
          <w:color w:val="231F20"/>
          <w:spacing w:val="-4"/>
          <w:sz w:val="20"/>
        </w:rPr>
        <w:t xml:space="preserve">have </w:t>
      </w:r>
      <w:r>
        <w:rPr>
          <w:color w:val="231F20"/>
          <w:spacing w:val="-3"/>
          <w:sz w:val="20"/>
        </w:rPr>
        <w:t xml:space="preserve">appropriate protections </w:t>
      </w:r>
      <w:r>
        <w:rPr>
          <w:color w:val="231F20"/>
          <w:sz w:val="20"/>
        </w:rPr>
        <w:t>while giving evidence on</w:t>
      </w:r>
      <w:r>
        <w:rPr>
          <w:color w:val="231F20"/>
          <w:spacing w:val="-25"/>
          <w:sz w:val="20"/>
        </w:rPr>
        <w:t xml:space="preserve"> </w:t>
      </w:r>
      <w:r>
        <w:rPr>
          <w:color w:val="231F20"/>
          <w:sz w:val="20"/>
        </w:rPr>
        <w:t>appeal.</w:t>
      </w:r>
      <w:r>
        <w:rPr>
          <w:color w:val="231F20"/>
          <w:position w:val="7"/>
          <w:sz w:val="11"/>
        </w:rPr>
        <w:t>211</w:t>
      </w:r>
    </w:p>
    <w:p w14:paraId="6C06F9B9" w14:textId="77777777" w:rsidR="00894070" w:rsidRDefault="009B7AFD">
      <w:pPr>
        <w:pStyle w:val="ListParagraph"/>
        <w:numPr>
          <w:ilvl w:val="1"/>
          <w:numId w:val="102"/>
        </w:numPr>
        <w:tabs>
          <w:tab w:val="left" w:pos="1801"/>
          <w:tab w:val="left" w:pos="1802"/>
        </w:tabs>
        <w:spacing w:before="122" w:line="206" w:lineRule="auto"/>
        <w:ind w:right="1492"/>
        <w:rPr>
          <w:sz w:val="20"/>
        </w:rPr>
      </w:pPr>
      <w:r>
        <w:rPr>
          <w:color w:val="231F20"/>
          <w:sz w:val="20"/>
        </w:rPr>
        <w:t xml:space="preserve">In the </w:t>
      </w:r>
      <w:r>
        <w:rPr>
          <w:color w:val="231F20"/>
          <w:spacing w:val="-3"/>
          <w:sz w:val="20"/>
        </w:rPr>
        <w:t xml:space="preserve">context </w:t>
      </w:r>
      <w:r>
        <w:rPr>
          <w:color w:val="231F20"/>
          <w:sz w:val="20"/>
        </w:rPr>
        <w:t xml:space="preserve">of stalking, </w:t>
      </w:r>
      <w:r>
        <w:rPr>
          <w:color w:val="231F20"/>
          <w:spacing w:val="-5"/>
          <w:sz w:val="20"/>
        </w:rPr>
        <w:t xml:space="preserve">however, </w:t>
      </w:r>
      <w:r>
        <w:rPr>
          <w:color w:val="231F20"/>
          <w:sz w:val="20"/>
        </w:rPr>
        <w:t xml:space="preserve">the experience of the victim and importance of limiting contact is critical. Concerns about re-traumatisation </w:t>
      </w:r>
      <w:r>
        <w:rPr>
          <w:color w:val="231F20"/>
          <w:spacing w:val="-3"/>
          <w:sz w:val="20"/>
        </w:rPr>
        <w:t xml:space="preserve">are </w:t>
      </w:r>
      <w:r>
        <w:rPr>
          <w:color w:val="231F20"/>
          <w:sz w:val="20"/>
        </w:rPr>
        <w:t>especially serious in</w:t>
      </w:r>
      <w:r>
        <w:rPr>
          <w:color w:val="231F20"/>
          <w:spacing w:val="-12"/>
          <w:sz w:val="20"/>
        </w:rPr>
        <w:t xml:space="preserve"> </w:t>
      </w:r>
      <w:r>
        <w:rPr>
          <w:color w:val="231F20"/>
          <w:sz w:val="20"/>
        </w:rPr>
        <w:t>situations</w:t>
      </w:r>
      <w:r>
        <w:rPr>
          <w:color w:val="231F20"/>
          <w:spacing w:val="-12"/>
          <w:sz w:val="20"/>
        </w:rPr>
        <w:t xml:space="preserve"> </w:t>
      </w:r>
      <w:r>
        <w:rPr>
          <w:color w:val="231F20"/>
          <w:sz w:val="20"/>
        </w:rPr>
        <w:t>where</w:t>
      </w:r>
      <w:r>
        <w:rPr>
          <w:color w:val="231F20"/>
          <w:spacing w:val="-12"/>
          <w:sz w:val="20"/>
        </w:rPr>
        <w:t xml:space="preserve"> </w:t>
      </w:r>
      <w:r>
        <w:rPr>
          <w:color w:val="231F20"/>
          <w:sz w:val="20"/>
        </w:rPr>
        <w:t>victims</w:t>
      </w:r>
      <w:r>
        <w:rPr>
          <w:color w:val="231F20"/>
          <w:spacing w:val="-11"/>
          <w:sz w:val="20"/>
        </w:rPr>
        <w:t xml:space="preserve"> </w:t>
      </w:r>
      <w:r>
        <w:rPr>
          <w:color w:val="231F20"/>
          <w:spacing w:val="-3"/>
          <w:sz w:val="20"/>
        </w:rPr>
        <w:t>may</w:t>
      </w:r>
      <w:r>
        <w:rPr>
          <w:color w:val="231F20"/>
          <w:spacing w:val="-12"/>
          <w:sz w:val="20"/>
        </w:rPr>
        <w:t xml:space="preserve"> </w:t>
      </w:r>
      <w:r>
        <w:rPr>
          <w:color w:val="231F20"/>
          <w:sz w:val="20"/>
        </w:rPr>
        <w:t>be</w:t>
      </w:r>
      <w:r>
        <w:rPr>
          <w:color w:val="231F20"/>
          <w:spacing w:val="-12"/>
          <w:sz w:val="20"/>
        </w:rPr>
        <w:t xml:space="preserve"> </w:t>
      </w:r>
      <w:r>
        <w:rPr>
          <w:color w:val="231F20"/>
          <w:sz w:val="20"/>
        </w:rPr>
        <w:t>experiencing</w:t>
      </w:r>
      <w:r>
        <w:rPr>
          <w:color w:val="231F20"/>
          <w:spacing w:val="-12"/>
          <w:sz w:val="20"/>
        </w:rPr>
        <w:t xml:space="preserve"> </w:t>
      </w:r>
      <w:r>
        <w:rPr>
          <w:color w:val="231F20"/>
          <w:sz w:val="20"/>
        </w:rPr>
        <w:t>long</w:t>
      </w:r>
      <w:r>
        <w:rPr>
          <w:color w:val="231F20"/>
          <w:spacing w:val="-11"/>
          <w:sz w:val="20"/>
        </w:rPr>
        <w:t xml:space="preserve"> </w:t>
      </w:r>
      <w:r>
        <w:rPr>
          <w:color w:val="231F20"/>
          <w:sz w:val="20"/>
        </w:rPr>
        <w:t>campaigns</w:t>
      </w:r>
      <w:r>
        <w:rPr>
          <w:color w:val="231F20"/>
          <w:spacing w:val="-12"/>
          <w:sz w:val="20"/>
        </w:rPr>
        <w:t xml:space="preserve"> </w:t>
      </w:r>
      <w:r>
        <w:rPr>
          <w:color w:val="231F20"/>
          <w:sz w:val="20"/>
        </w:rPr>
        <w:t>of</w:t>
      </w:r>
      <w:r>
        <w:rPr>
          <w:color w:val="231F20"/>
          <w:spacing w:val="-12"/>
          <w:sz w:val="20"/>
        </w:rPr>
        <w:t xml:space="preserve"> </w:t>
      </w:r>
      <w:r>
        <w:rPr>
          <w:color w:val="231F20"/>
          <w:sz w:val="20"/>
        </w:rPr>
        <w:t>harassment</w:t>
      </w:r>
      <w:r>
        <w:rPr>
          <w:color w:val="231F20"/>
          <w:spacing w:val="-11"/>
          <w:sz w:val="20"/>
        </w:rPr>
        <w:t xml:space="preserve"> </w:t>
      </w:r>
      <w:r>
        <w:rPr>
          <w:color w:val="231F20"/>
          <w:sz w:val="20"/>
        </w:rPr>
        <w:t xml:space="preserve">and intimidation. </w:t>
      </w:r>
      <w:r>
        <w:rPr>
          <w:color w:val="231F20"/>
          <w:spacing w:val="-3"/>
          <w:sz w:val="20"/>
        </w:rPr>
        <w:t xml:space="preserve">Alternative </w:t>
      </w:r>
      <w:r>
        <w:rPr>
          <w:color w:val="231F20"/>
          <w:sz w:val="20"/>
        </w:rPr>
        <w:t xml:space="preserve">arrangements </w:t>
      </w:r>
      <w:r>
        <w:rPr>
          <w:color w:val="231F20"/>
          <w:spacing w:val="-3"/>
          <w:sz w:val="20"/>
        </w:rPr>
        <w:t xml:space="preserve">for </w:t>
      </w:r>
      <w:r>
        <w:rPr>
          <w:color w:val="231F20"/>
          <w:sz w:val="20"/>
        </w:rPr>
        <w:t>giving evidence,</w:t>
      </w:r>
      <w:r>
        <w:rPr>
          <w:color w:val="231F20"/>
          <w:position w:val="7"/>
          <w:sz w:val="11"/>
        </w:rPr>
        <w:t xml:space="preserve">212 </w:t>
      </w:r>
      <w:r>
        <w:rPr>
          <w:color w:val="231F20"/>
          <w:sz w:val="20"/>
        </w:rPr>
        <w:t xml:space="preserve">while </w:t>
      </w:r>
      <w:r>
        <w:rPr>
          <w:color w:val="231F20"/>
          <w:spacing w:val="-3"/>
          <w:sz w:val="20"/>
        </w:rPr>
        <w:t xml:space="preserve">valuable, are </w:t>
      </w:r>
      <w:r>
        <w:rPr>
          <w:color w:val="231F20"/>
          <w:sz w:val="20"/>
        </w:rPr>
        <w:t>not enough</w:t>
      </w:r>
      <w:r>
        <w:rPr>
          <w:color w:val="231F20"/>
          <w:spacing w:val="-6"/>
          <w:sz w:val="20"/>
        </w:rPr>
        <w:t xml:space="preserve"> </w:t>
      </w:r>
      <w:r>
        <w:rPr>
          <w:color w:val="231F20"/>
          <w:sz w:val="20"/>
        </w:rPr>
        <w:t>to</w:t>
      </w:r>
      <w:r>
        <w:rPr>
          <w:color w:val="231F20"/>
          <w:spacing w:val="-5"/>
          <w:sz w:val="20"/>
        </w:rPr>
        <w:t xml:space="preserve"> </w:t>
      </w:r>
      <w:r>
        <w:rPr>
          <w:color w:val="231F20"/>
          <w:spacing w:val="-3"/>
          <w:sz w:val="20"/>
        </w:rPr>
        <w:t>override</w:t>
      </w:r>
      <w:r>
        <w:rPr>
          <w:color w:val="231F20"/>
          <w:spacing w:val="-5"/>
          <w:sz w:val="20"/>
        </w:rPr>
        <w:t xml:space="preserve"> </w:t>
      </w:r>
      <w:r>
        <w:rPr>
          <w:color w:val="231F20"/>
          <w:sz w:val="20"/>
        </w:rPr>
        <w:t>the</w:t>
      </w:r>
      <w:r>
        <w:rPr>
          <w:color w:val="231F20"/>
          <w:spacing w:val="-5"/>
          <w:sz w:val="20"/>
        </w:rPr>
        <w:t xml:space="preserve"> </w:t>
      </w:r>
      <w:r>
        <w:rPr>
          <w:color w:val="231F20"/>
          <w:sz w:val="20"/>
        </w:rPr>
        <w:t>harm</w:t>
      </w:r>
      <w:r>
        <w:rPr>
          <w:color w:val="231F20"/>
          <w:spacing w:val="-5"/>
          <w:sz w:val="20"/>
        </w:rPr>
        <w:t xml:space="preserve"> </w:t>
      </w:r>
      <w:r>
        <w:rPr>
          <w:color w:val="231F20"/>
          <w:sz w:val="20"/>
        </w:rPr>
        <w:t>that</w:t>
      </w:r>
      <w:r>
        <w:rPr>
          <w:color w:val="231F20"/>
          <w:spacing w:val="-5"/>
          <w:sz w:val="20"/>
        </w:rPr>
        <w:t xml:space="preserve"> </w:t>
      </w:r>
      <w:r>
        <w:rPr>
          <w:color w:val="231F20"/>
          <w:sz w:val="20"/>
        </w:rPr>
        <w:t>might</w:t>
      </w:r>
      <w:r>
        <w:rPr>
          <w:color w:val="231F20"/>
          <w:spacing w:val="-5"/>
          <w:sz w:val="20"/>
        </w:rPr>
        <w:t xml:space="preserve"> </w:t>
      </w:r>
      <w:r>
        <w:rPr>
          <w:color w:val="231F20"/>
          <w:sz w:val="20"/>
        </w:rPr>
        <w:t>be</w:t>
      </w:r>
      <w:r>
        <w:rPr>
          <w:color w:val="231F20"/>
          <w:spacing w:val="-5"/>
          <w:sz w:val="20"/>
        </w:rPr>
        <w:t xml:space="preserve"> </w:t>
      </w:r>
      <w:r>
        <w:rPr>
          <w:color w:val="231F20"/>
          <w:sz w:val="20"/>
        </w:rPr>
        <w:t>caused</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5"/>
          <w:sz w:val="20"/>
        </w:rPr>
        <w:t xml:space="preserve"> </w:t>
      </w:r>
      <w:r>
        <w:rPr>
          <w:color w:val="231F20"/>
          <w:sz w:val="20"/>
        </w:rPr>
        <w:t>victim.</w:t>
      </w:r>
    </w:p>
    <w:p w14:paraId="62A71EF9" w14:textId="77777777" w:rsidR="00894070" w:rsidRDefault="009B7AFD">
      <w:pPr>
        <w:pStyle w:val="ListParagraph"/>
        <w:numPr>
          <w:ilvl w:val="1"/>
          <w:numId w:val="102"/>
        </w:numPr>
        <w:tabs>
          <w:tab w:val="left" w:pos="1801"/>
          <w:tab w:val="left" w:pos="1802"/>
        </w:tabs>
        <w:spacing w:before="127" w:line="206" w:lineRule="auto"/>
        <w:ind w:right="1279"/>
        <w:rPr>
          <w:sz w:val="20"/>
        </w:rPr>
      </w:pPr>
      <w:r>
        <w:rPr>
          <w:color w:val="231F20"/>
          <w:sz w:val="20"/>
        </w:rPr>
        <w:t xml:space="preserve">Given that a criminal stalking charge </w:t>
      </w:r>
      <w:r>
        <w:rPr>
          <w:color w:val="231F20"/>
          <w:spacing w:val="-3"/>
          <w:sz w:val="20"/>
        </w:rPr>
        <w:t xml:space="preserve">would likely </w:t>
      </w:r>
      <w:r>
        <w:rPr>
          <w:color w:val="231F20"/>
          <w:sz w:val="20"/>
        </w:rPr>
        <w:t xml:space="preserve">be dealing with substantially similar conduct as a stalking PSIO (including the similar issues relating to victim </w:t>
      </w:r>
      <w:r>
        <w:rPr>
          <w:color w:val="231F20"/>
          <w:spacing w:val="-3"/>
          <w:sz w:val="20"/>
        </w:rPr>
        <w:t xml:space="preserve">welfare </w:t>
      </w:r>
      <w:r>
        <w:rPr>
          <w:color w:val="231F20"/>
          <w:sz w:val="20"/>
        </w:rPr>
        <w:t>and trauma),</w:t>
      </w:r>
      <w:r>
        <w:rPr>
          <w:color w:val="231F20"/>
          <w:spacing w:val="-10"/>
          <w:sz w:val="20"/>
        </w:rPr>
        <w:t xml:space="preserve"> </w:t>
      </w:r>
      <w:r>
        <w:rPr>
          <w:color w:val="231F20"/>
          <w:spacing w:val="-3"/>
          <w:sz w:val="20"/>
        </w:rPr>
        <w:t>we</w:t>
      </w:r>
      <w:r>
        <w:rPr>
          <w:color w:val="231F20"/>
          <w:spacing w:val="-10"/>
          <w:sz w:val="20"/>
        </w:rPr>
        <w:t xml:space="preserve"> </w:t>
      </w:r>
      <w:r>
        <w:rPr>
          <w:color w:val="231F20"/>
          <w:sz w:val="20"/>
        </w:rPr>
        <w:t>consider</w:t>
      </w:r>
      <w:r>
        <w:rPr>
          <w:color w:val="231F20"/>
          <w:spacing w:val="-10"/>
          <w:sz w:val="20"/>
        </w:rPr>
        <w:t xml:space="preserve"> </w:t>
      </w:r>
      <w:r>
        <w:rPr>
          <w:color w:val="231F20"/>
          <w:sz w:val="20"/>
        </w:rPr>
        <w:t>that</w:t>
      </w:r>
      <w:r>
        <w:rPr>
          <w:color w:val="231F20"/>
          <w:spacing w:val="-10"/>
          <w:sz w:val="20"/>
        </w:rPr>
        <w:t xml:space="preserve"> </w:t>
      </w:r>
      <w:r>
        <w:rPr>
          <w:color w:val="231F20"/>
          <w:spacing w:val="-3"/>
          <w:sz w:val="20"/>
        </w:rPr>
        <w:t>different</w:t>
      </w:r>
      <w:r>
        <w:rPr>
          <w:color w:val="231F20"/>
          <w:spacing w:val="-10"/>
          <w:sz w:val="20"/>
        </w:rPr>
        <w:t xml:space="preserve"> </w:t>
      </w:r>
      <w:r>
        <w:rPr>
          <w:color w:val="231F20"/>
          <w:sz w:val="20"/>
        </w:rPr>
        <w:t>appeal</w:t>
      </w:r>
      <w:r>
        <w:rPr>
          <w:color w:val="231F20"/>
          <w:spacing w:val="-10"/>
          <w:sz w:val="20"/>
        </w:rPr>
        <w:t xml:space="preserve"> </w:t>
      </w:r>
      <w:r>
        <w:rPr>
          <w:color w:val="231F20"/>
          <w:sz w:val="20"/>
        </w:rPr>
        <w:t>regimes</w:t>
      </w:r>
      <w:r>
        <w:rPr>
          <w:color w:val="231F20"/>
          <w:spacing w:val="-10"/>
          <w:sz w:val="20"/>
        </w:rPr>
        <w:t xml:space="preserve"> </w:t>
      </w:r>
      <w:r>
        <w:rPr>
          <w:color w:val="231F20"/>
          <w:sz w:val="20"/>
        </w:rPr>
        <w:t>should</w:t>
      </w:r>
      <w:r>
        <w:rPr>
          <w:color w:val="231F20"/>
          <w:spacing w:val="-10"/>
          <w:sz w:val="20"/>
        </w:rPr>
        <w:t xml:space="preserve"> </w:t>
      </w:r>
      <w:r>
        <w:rPr>
          <w:color w:val="231F20"/>
          <w:sz w:val="20"/>
        </w:rPr>
        <w:t>not</w:t>
      </w:r>
      <w:r>
        <w:rPr>
          <w:color w:val="231F20"/>
          <w:spacing w:val="-10"/>
          <w:sz w:val="20"/>
        </w:rPr>
        <w:t xml:space="preserve"> </w:t>
      </w:r>
      <w:r>
        <w:rPr>
          <w:color w:val="231F20"/>
          <w:spacing w:val="-3"/>
          <w:sz w:val="20"/>
        </w:rPr>
        <w:t>apply</w:t>
      </w:r>
      <w:r>
        <w:rPr>
          <w:color w:val="231F20"/>
          <w:spacing w:val="-10"/>
          <w:sz w:val="20"/>
        </w:rPr>
        <w:t xml:space="preserve"> </w:t>
      </w:r>
      <w:r>
        <w:rPr>
          <w:color w:val="231F20"/>
          <w:spacing w:val="-3"/>
          <w:sz w:val="20"/>
        </w:rPr>
        <w:t>only</w:t>
      </w:r>
      <w:r>
        <w:rPr>
          <w:color w:val="231F20"/>
          <w:spacing w:val="-10"/>
          <w:sz w:val="20"/>
        </w:rPr>
        <w:t xml:space="preserve"> </w:t>
      </w:r>
      <w:r>
        <w:rPr>
          <w:color w:val="231F20"/>
          <w:sz w:val="20"/>
        </w:rPr>
        <w:t>because</w:t>
      </w:r>
      <w:r>
        <w:rPr>
          <w:color w:val="231F20"/>
          <w:spacing w:val="-10"/>
          <w:sz w:val="20"/>
        </w:rPr>
        <w:t xml:space="preserve"> </w:t>
      </w:r>
      <w:r>
        <w:rPr>
          <w:color w:val="231F20"/>
          <w:sz w:val="20"/>
        </w:rPr>
        <w:t xml:space="preserve">one </w:t>
      </w:r>
      <w:r>
        <w:rPr>
          <w:color w:val="231F20"/>
          <w:spacing w:val="-2"/>
          <w:sz w:val="20"/>
        </w:rPr>
        <w:t xml:space="preserve">matter </w:t>
      </w:r>
      <w:r>
        <w:rPr>
          <w:color w:val="231F20"/>
          <w:sz w:val="20"/>
        </w:rPr>
        <w:t xml:space="preserve">is </w:t>
      </w:r>
      <w:proofErr w:type="gramStart"/>
      <w:r>
        <w:rPr>
          <w:color w:val="231F20"/>
          <w:sz w:val="20"/>
        </w:rPr>
        <w:t>criminal</w:t>
      </w:r>
      <w:proofErr w:type="gramEnd"/>
      <w:r>
        <w:rPr>
          <w:color w:val="231F20"/>
          <w:sz w:val="20"/>
        </w:rPr>
        <w:t xml:space="preserve"> and the other is</w:t>
      </w:r>
      <w:r>
        <w:rPr>
          <w:color w:val="231F20"/>
          <w:spacing w:val="-29"/>
          <w:sz w:val="20"/>
        </w:rPr>
        <w:t xml:space="preserve"> </w:t>
      </w:r>
      <w:r>
        <w:rPr>
          <w:color w:val="231F20"/>
          <w:sz w:val="20"/>
        </w:rPr>
        <w:t>civil.</w:t>
      </w:r>
    </w:p>
    <w:p w14:paraId="405C1E88" w14:textId="77777777" w:rsidR="00894070" w:rsidRDefault="009F6793">
      <w:pPr>
        <w:pStyle w:val="ListParagraph"/>
        <w:numPr>
          <w:ilvl w:val="1"/>
          <w:numId w:val="102"/>
        </w:numPr>
        <w:tabs>
          <w:tab w:val="left" w:pos="1801"/>
          <w:tab w:val="left" w:pos="1802"/>
        </w:tabs>
        <w:spacing w:before="125" w:line="206" w:lineRule="auto"/>
        <w:ind w:right="1353"/>
        <w:rPr>
          <w:sz w:val="20"/>
        </w:rPr>
      </w:pPr>
      <w:r>
        <w:pict w14:anchorId="2CA3BD2D">
          <v:line id="_x0000_s1270" style="position:absolute;left:0;text-align:left;z-index:251701248;mso-wrap-distance-left:0;mso-wrap-distance-right:0;mso-position-horizontal-relative:page" from="79.35pt,71.65pt" to="515.9pt,71.65pt" strokecolor="#f8cabc" strokeweight="1pt">
            <w10:wrap type="topAndBottom" anchorx="page"/>
          </v:line>
        </w:pict>
      </w:r>
      <w:r w:rsidR="009B7AFD">
        <w:rPr>
          <w:color w:val="231F20"/>
          <w:sz w:val="20"/>
        </w:rPr>
        <w:t xml:space="preserve">The appeals </w:t>
      </w:r>
      <w:r w:rsidR="009B7AFD">
        <w:rPr>
          <w:color w:val="231F20"/>
          <w:spacing w:val="-3"/>
          <w:sz w:val="20"/>
        </w:rPr>
        <w:t xml:space="preserve">provisions </w:t>
      </w:r>
      <w:r w:rsidR="009B7AFD">
        <w:rPr>
          <w:color w:val="231F20"/>
          <w:sz w:val="20"/>
        </w:rPr>
        <w:t xml:space="preserve">in the PSIO </w:t>
      </w:r>
      <w:r w:rsidR="009B7AFD">
        <w:rPr>
          <w:color w:val="231F20"/>
          <w:spacing w:val="-2"/>
          <w:sz w:val="20"/>
        </w:rPr>
        <w:t xml:space="preserve">Act </w:t>
      </w:r>
      <w:r w:rsidR="009B7AFD">
        <w:rPr>
          <w:color w:val="231F20"/>
          <w:sz w:val="20"/>
        </w:rPr>
        <w:t xml:space="preserve">should be amended to align with the new </w:t>
      </w:r>
      <w:r w:rsidR="009B7AFD">
        <w:rPr>
          <w:color w:val="231F20"/>
          <w:spacing w:val="-3"/>
          <w:sz w:val="20"/>
        </w:rPr>
        <w:t>provisions</w:t>
      </w:r>
      <w:r w:rsidR="009B7AFD">
        <w:rPr>
          <w:color w:val="231F20"/>
          <w:spacing w:val="-9"/>
          <w:sz w:val="20"/>
        </w:rPr>
        <w:t xml:space="preserve"> </w:t>
      </w:r>
      <w:r w:rsidR="009B7AFD">
        <w:rPr>
          <w:color w:val="231F20"/>
          <w:sz w:val="20"/>
        </w:rPr>
        <w:t>on</w:t>
      </w:r>
      <w:r w:rsidR="009B7AFD">
        <w:rPr>
          <w:color w:val="231F20"/>
          <w:spacing w:val="-8"/>
          <w:sz w:val="20"/>
        </w:rPr>
        <w:t xml:space="preserve"> </w:t>
      </w:r>
      <w:r w:rsidR="009B7AFD">
        <w:rPr>
          <w:color w:val="231F20"/>
          <w:sz w:val="20"/>
        </w:rPr>
        <w:t>criminal</w:t>
      </w:r>
      <w:r w:rsidR="009B7AFD">
        <w:rPr>
          <w:color w:val="231F20"/>
          <w:spacing w:val="-9"/>
          <w:sz w:val="20"/>
        </w:rPr>
        <w:t xml:space="preserve"> </w:t>
      </w:r>
      <w:r w:rsidR="009B7AFD">
        <w:rPr>
          <w:color w:val="231F20"/>
          <w:sz w:val="20"/>
        </w:rPr>
        <w:t>appeals.</w:t>
      </w:r>
      <w:r w:rsidR="009B7AFD">
        <w:rPr>
          <w:color w:val="231F20"/>
          <w:spacing w:val="-8"/>
          <w:sz w:val="20"/>
        </w:rPr>
        <w:t xml:space="preserve"> </w:t>
      </w:r>
      <w:r w:rsidR="009B7AFD">
        <w:rPr>
          <w:color w:val="231F20"/>
          <w:spacing w:val="-3"/>
          <w:sz w:val="20"/>
        </w:rPr>
        <w:t>Specifically,</w:t>
      </w:r>
      <w:r w:rsidR="009B7AFD">
        <w:rPr>
          <w:color w:val="231F20"/>
          <w:spacing w:val="-9"/>
          <w:sz w:val="20"/>
        </w:rPr>
        <w:t xml:space="preserve"> </w:t>
      </w:r>
      <w:r w:rsidR="009B7AFD">
        <w:rPr>
          <w:color w:val="231F20"/>
          <w:sz w:val="20"/>
        </w:rPr>
        <w:t>when</w:t>
      </w:r>
      <w:r w:rsidR="009B7AFD">
        <w:rPr>
          <w:color w:val="231F20"/>
          <w:spacing w:val="-8"/>
          <w:sz w:val="20"/>
        </w:rPr>
        <w:t xml:space="preserve"> </w:t>
      </w:r>
      <w:r w:rsidR="009B7AFD">
        <w:rPr>
          <w:color w:val="231F20"/>
          <w:sz w:val="20"/>
        </w:rPr>
        <w:t>hearing</w:t>
      </w:r>
      <w:r w:rsidR="009B7AFD">
        <w:rPr>
          <w:color w:val="231F20"/>
          <w:spacing w:val="-8"/>
          <w:sz w:val="20"/>
        </w:rPr>
        <w:t xml:space="preserve"> </w:t>
      </w:r>
      <w:r w:rsidR="009B7AFD">
        <w:rPr>
          <w:color w:val="231F20"/>
          <w:sz w:val="20"/>
        </w:rPr>
        <w:t>appeals</w:t>
      </w:r>
      <w:r w:rsidR="009B7AFD">
        <w:rPr>
          <w:color w:val="231F20"/>
          <w:spacing w:val="-9"/>
          <w:sz w:val="20"/>
        </w:rPr>
        <w:t xml:space="preserve"> </w:t>
      </w:r>
      <w:r w:rsidR="009B7AFD">
        <w:rPr>
          <w:color w:val="231F20"/>
          <w:sz w:val="20"/>
        </w:rPr>
        <w:t>against</w:t>
      </w:r>
      <w:r w:rsidR="009B7AFD">
        <w:rPr>
          <w:color w:val="231F20"/>
          <w:spacing w:val="-8"/>
          <w:sz w:val="20"/>
        </w:rPr>
        <w:t xml:space="preserve"> </w:t>
      </w:r>
      <w:r w:rsidR="009B7AFD">
        <w:rPr>
          <w:color w:val="231F20"/>
          <w:sz w:val="20"/>
        </w:rPr>
        <w:t>final</w:t>
      </w:r>
      <w:r w:rsidR="009B7AFD">
        <w:rPr>
          <w:color w:val="231F20"/>
          <w:spacing w:val="-9"/>
          <w:sz w:val="20"/>
        </w:rPr>
        <w:t xml:space="preserve"> </w:t>
      </w:r>
      <w:r w:rsidR="009B7AFD">
        <w:rPr>
          <w:color w:val="231F20"/>
          <w:sz w:val="20"/>
        </w:rPr>
        <w:t xml:space="preserve">PSIOs, the court should </w:t>
      </w:r>
      <w:r w:rsidR="009B7AFD">
        <w:rPr>
          <w:color w:val="231F20"/>
          <w:spacing w:val="-4"/>
          <w:sz w:val="20"/>
        </w:rPr>
        <w:t xml:space="preserve">rely </w:t>
      </w:r>
      <w:r w:rsidR="009B7AFD">
        <w:rPr>
          <w:color w:val="231F20"/>
          <w:sz w:val="20"/>
        </w:rPr>
        <w:t xml:space="preserve">on the original transcript of evidence instead of hearing the matters </w:t>
      </w:r>
      <w:r w:rsidR="009B7AFD">
        <w:rPr>
          <w:i/>
          <w:color w:val="231F20"/>
          <w:sz w:val="20"/>
        </w:rPr>
        <w:t xml:space="preserve">de novo. </w:t>
      </w:r>
      <w:r w:rsidR="009B7AFD">
        <w:rPr>
          <w:color w:val="231F20"/>
          <w:sz w:val="20"/>
        </w:rPr>
        <w:t xml:space="preserve">Aligning PSIO appeals with the new criminal appeals </w:t>
      </w:r>
      <w:r w:rsidR="009B7AFD">
        <w:rPr>
          <w:color w:val="231F20"/>
          <w:spacing w:val="-2"/>
          <w:sz w:val="20"/>
        </w:rPr>
        <w:t xml:space="preserve">system </w:t>
      </w:r>
      <w:r w:rsidR="009B7AFD">
        <w:rPr>
          <w:color w:val="231F20"/>
          <w:sz w:val="20"/>
        </w:rPr>
        <w:t xml:space="preserve">will </w:t>
      </w:r>
      <w:r w:rsidR="009B7AFD">
        <w:rPr>
          <w:color w:val="231F20"/>
          <w:spacing w:val="-3"/>
          <w:sz w:val="20"/>
        </w:rPr>
        <w:t xml:space="preserve">promote </w:t>
      </w:r>
      <w:r w:rsidR="009B7AFD">
        <w:rPr>
          <w:color w:val="231F20"/>
          <w:sz w:val="20"/>
        </w:rPr>
        <w:t xml:space="preserve">consistency </w:t>
      </w:r>
      <w:r w:rsidR="009B7AFD">
        <w:rPr>
          <w:color w:val="231F20"/>
          <w:spacing w:val="-3"/>
          <w:sz w:val="20"/>
        </w:rPr>
        <w:t xml:space="preserve">across </w:t>
      </w:r>
      <w:r w:rsidR="009B7AFD">
        <w:rPr>
          <w:color w:val="231F20"/>
          <w:sz w:val="20"/>
        </w:rPr>
        <w:t>the justice</w:t>
      </w:r>
      <w:r w:rsidR="009B7AFD">
        <w:rPr>
          <w:color w:val="231F20"/>
          <w:spacing w:val="-16"/>
          <w:sz w:val="20"/>
        </w:rPr>
        <w:t xml:space="preserve"> </w:t>
      </w:r>
      <w:r w:rsidR="009B7AFD">
        <w:rPr>
          <w:color w:val="231F20"/>
          <w:sz w:val="20"/>
        </w:rPr>
        <w:t>system.</w:t>
      </w:r>
    </w:p>
    <w:p w14:paraId="290C2CB6" w14:textId="77777777" w:rsidR="00894070" w:rsidRDefault="00894070">
      <w:pPr>
        <w:pStyle w:val="BodyText"/>
        <w:rPr>
          <w:sz w:val="5"/>
        </w:rPr>
      </w:pPr>
    </w:p>
    <w:p w14:paraId="531C0BC5" w14:textId="77777777" w:rsidR="00894070" w:rsidRDefault="00894070">
      <w:pPr>
        <w:rPr>
          <w:sz w:val="5"/>
        </w:rPr>
        <w:sectPr w:rsidR="00894070">
          <w:pgSz w:w="11910" w:h="16840"/>
          <w:pgMar w:top="860" w:right="420" w:bottom="280" w:left="580" w:header="567" w:footer="0" w:gutter="0"/>
          <w:cols w:space="720"/>
        </w:sectPr>
      </w:pPr>
    </w:p>
    <w:p w14:paraId="75FC739B" w14:textId="77777777" w:rsidR="00894070" w:rsidRDefault="00894070">
      <w:pPr>
        <w:pStyle w:val="BodyText"/>
        <w:rPr>
          <w:sz w:val="28"/>
        </w:rPr>
      </w:pPr>
    </w:p>
    <w:p w14:paraId="70EC08DA" w14:textId="77777777" w:rsidR="00894070" w:rsidRDefault="00894070">
      <w:pPr>
        <w:pStyle w:val="BodyText"/>
        <w:rPr>
          <w:sz w:val="28"/>
        </w:rPr>
      </w:pPr>
    </w:p>
    <w:p w14:paraId="2A1C83AA" w14:textId="77777777" w:rsidR="00894070" w:rsidRDefault="00894070">
      <w:pPr>
        <w:pStyle w:val="BodyText"/>
        <w:rPr>
          <w:sz w:val="28"/>
        </w:rPr>
      </w:pPr>
    </w:p>
    <w:p w14:paraId="22F3DCF6" w14:textId="77777777" w:rsidR="00894070" w:rsidRDefault="00894070">
      <w:pPr>
        <w:pStyle w:val="BodyText"/>
        <w:rPr>
          <w:sz w:val="28"/>
        </w:rPr>
      </w:pPr>
    </w:p>
    <w:p w14:paraId="007098CC" w14:textId="77777777" w:rsidR="00894070" w:rsidRDefault="00894070">
      <w:pPr>
        <w:pStyle w:val="BodyText"/>
        <w:rPr>
          <w:sz w:val="28"/>
        </w:rPr>
      </w:pPr>
    </w:p>
    <w:p w14:paraId="7AA26BE6" w14:textId="77777777" w:rsidR="00894070" w:rsidRDefault="00894070">
      <w:pPr>
        <w:pStyle w:val="BodyText"/>
        <w:rPr>
          <w:sz w:val="28"/>
        </w:rPr>
      </w:pPr>
    </w:p>
    <w:p w14:paraId="441253B0" w14:textId="77777777" w:rsidR="00894070" w:rsidRDefault="00894070">
      <w:pPr>
        <w:pStyle w:val="BodyText"/>
        <w:spacing w:before="12"/>
        <w:rPr>
          <w:sz w:val="31"/>
        </w:rPr>
      </w:pPr>
    </w:p>
    <w:p w14:paraId="0E2152FE" w14:textId="77777777" w:rsidR="00894070" w:rsidRDefault="009B7AFD">
      <w:pPr>
        <w:pStyle w:val="Heading8"/>
        <w:ind w:left="140"/>
      </w:pPr>
      <w:r>
        <w:rPr>
          <w:color w:val="EA5B50"/>
        </w:rPr>
        <w:t>122</w:t>
      </w:r>
    </w:p>
    <w:p w14:paraId="2F799BC3" w14:textId="77777777" w:rsidR="00894070" w:rsidRDefault="009B7AFD">
      <w:pPr>
        <w:pStyle w:val="ListParagraph"/>
        <w:numPr>
          <w:ilvl w:val="0"/>
          <w:numId w:val="80"/>
        </w:numPr>
        <w:tabs>
          <w:tab w:val="left" w:pos="933"/>
          <w:tab w:val="left" w:pos="934"/>
        </w:tabs>
        <w:spacing w:before="38" w:line="213" w:lineRule="auto"/>
        <w:ind w:right="1176" w:hanging="793"/>
        <w:rPr>
          <w:sz w:val="13"/>
        </w:rPr>
      </w:pPr>
      <w:r>
        <w:rPr>
          <w:color w:val="231F20"/>
          <w:spacing w:val="4"/>
          <w:sz w:val="13"/>
        </w:rPr>
        <w:br w:type="column"/>
      </w:r>
      <w:r>
        <w:rPr>
          <w:color w:val="231F20"/>
          <w:sz w:val="13"/>
        </w:rPr>
        <w:t xml:space="preserve">Law Reform Committee, </w:t>
      </w:r>
      <w:r>
        <w:rPr>
          <w:color w:val="231F20"/>
          <w:spacing w:val="2"/>
          <w:sz w:val="13"/>
        </w:rPr>
        <w:t xml:space="preserve">Parliament </w:t>
      </w:r>
      <w:r>
        <w:rPr>
          <w:color w:val="231F20"/>
          <w:sz w:val="13"/>
        </w:rPr>
        <w:t xml:space="preserve">of Victoria, </w:t>
      </w:r>
      <w:r>
        <w:rPr>
          <w:i/>
          <w:color w:val="231F20"/>
          <w:sz w:val="13"/>
        </w:rPr>
        <w:t xml:space="preserve">De Novo </w:t>
      </w:r>
      <w:r>
        <w:rPr>
          <w:i/>
          <w:color w:val="231F20"/>
          <w:spacing w:val="2"/>
          <w:sz w:val="13"/>
        </w:rPr>
        <w:t xml:space="preserve">Appeals </w:t>
      </w:r>
      <w:r>
        <w:rPr>
          <w:i/>
          <w:color w:val="231F20"/>
          <w:sz w:val="13"/>
        </w:rPr>
        <w:t xml:space="preserve">to the County Court </w:t>
      </w:r>
      <w:r>
        <w:rPr>
          <w:color w:val="231F20"/>
          <w:spacing w:val="2"/>
          <w:sz w:val="13"/>
        </w:rPr>
        <w:t xml:space="preserve">(Parliamentary </w:t>
      </w:r>
      <w:r>
        <w:rPr>
          <w:color w:val="231F20"/>
          <w:sz w:val="13"/>
        </w:rPr>
        <w:t>Paper No 230, October 2006) 7–8.</w:t>
      </w:r>
    </w:p>
    <w:p w14:paraId="6759583C" w14:textId="77777777" w:rsidR="00894070" w:rsidRDefault="009B7AFD">
      <w:pPr>
        <w:pStyle w:val="ListParagraph"/>
        <w:numPr>
          <w:ilvl w:val="0"/>
          <w:numId w:val="80"/>
        </w:numPr>
        <w:tabs>
          <w:tab w:val="left" w:pos="933"/>
          <w:tab w:val="left" w:pos="934"/>
        </w:tabs>
        <w:spacing w:line="213" w:lineRule="auto"/>
        <w:ind w:right="1425" w:hanging="793"/>
        <w:rPr>
          <w:sz w:val="13"/>
        </w:rPr>
      </w:pPr>
      <w:r>
        <w:rPr>
          <w:color w:val="231F20"/>
          <w:sz w:val="13"/>
        </w:rPr>
        <w:t xml:space="preserve">Judicial College of Victoria, </w:t>
      </w:r>
      <w:r>
        <w:rPr>
          <w:i/>
          <w:color w:val="231F20"/>
          <w:sz w:val="13"/>
        </w:rPr>
        <w:t xml:space="preserve">Personal Safety Intervention Orders Bench Book </w:t>
      </w:r>
      <w:r>
        <w:rPr>
          <w:color w:val="231F20"/>
          <w:sz w:val="13"/>
        </w:rPr>
        <w:t>(Online Manual, 1 September 2011</w:t>
      </w:r>
      <w:hyperlink r:id="rId164">
        <w:r>
          <w:rPr>
            <w:color w:val="231F20"/>
            <w:sz w:val="13"/>
          </w:rPr>
          <w:t>) &lt;https://www.</w:t>
        </w:r>
      </w:hyperlink>
      <w:hyperlink r:id="rId165">
        <w:r>
          <w:rPr>
            <w:color w:val="231F20"/>
            <w:sz w:val="13"/>
          </w:rPr>
          <w:t xml:space="preserve"> judicialcollege.vic.edu.au/eManuals/PSIO</w:t>
        </w:r>
      </w:hyperlink>
      <w:r>
        <w:rPr>
          <w:color w:val="231F20"/>
          <w:sz w:val="13"/>
        </w:rPr>
        <w:t>&gt;.</w:t>
      </w:r>
    </w:p>
    <w:p w14:paraId="699AF22D" w14:textId="77777777" w:rsidR="00894070" w:rsidRDefault="009B7AFD">
      <w:pPr>
        <w:pStyle w:val="ListParagraph"/>
        <w:numPr>
          <w:ilvl w:val="0"/>
          <w:numId w:val="80"/>
        </w:numPr>
        <w:tabs>
          <w:tab w:val="left" w:pos="933"/>
          <w:tab w:val="left" w:pos="934"/>
        </w:tabs>
        <w:spacing w:line="213" w:lineRule="auto"/>
        <w:ind w:right="1704" w:hanging="793"/>
        <w:rPr>
          <w:sz w:val="13"/>
        </w:rPr>
      </w:pPr>
      <w:r>
        <w:rPr>
          <w:i/>
          <w:color w:val="231F20"/>
          <w:sz w:val="13"/>
        </w:rPr>
        <w:t xml:space="preserve">Personal Safety Intervention Orders Act 2010 </w:t>
      </w:r>
      <w:r>
        <w:rPr>
          <w:color w:val="231F20"/>
          <w:sz w:val="13"/>
        </w:rPr>
        <w:t xml:space="preserve">(Vic) s </w:t>
      </w:r>
      <w:r>
        <w:rPr>
          <w:color w:val="231F20"/>
          <w:spacing w:val="2"/>
          <w:sz w:val="13"/>
        </w:rPr>
        <w:t xml:space="preserve">96(2)(a)–(c) </w:t>
      </w:r>
      <w:r>
        <w:rPr>
          <w:color w:val="231F20"/>
          <w:sz w:val="13"/>
        </w:rPr>
        <w:t xml:space="preserve">The court can </w:t>
      </w:r>
      <w:r>
        <w:rPr>
          <w:color w:val="231F20"/>
          <w:spacing w:val="2"/>
          <w:sz w:val="13"/>
        </w:rPr>
        <w:t xml:space="preserve">also </w:t>
      </w:r>
      <w:proofErr w:type="gramStart"/>
      <w:r>
        <w:rPr>
          <w:color w:val="231F20"/>
          <w:sz w:val="13"/>
        </w:rPr>
        <w:t>make a determination</w:t>
      </w:r>
      <w:proofErr w:type="gramEnd"/>
      <w:r>
        <w:rPr>
          <w:color w:val="231F20"/>
          <w:sz w:val="13"/>
        </w:rPr>
        <w:t xml:space="preserve"> under the </w:t>
      </w:r>
      <w:r>
        <w:rPr>
          <w:i/>
          <w:color w:val="231F20"/>
          <w:sz w:val="13"/>
        </w:rPr>
        <w:t xml:space="preserve">Family Violence Protection Act 2008 </w:t>
      </w:r>
      <w:r>
        <w:rPr>
          <w:color w:val="231F20"/>
          <w:sz w:val="13"/>
        </w:rPr>
        <w:t>(Vic), or order mediation: s</w:t>
      </w:r>
      <w:r>
        <w:rPr>
          <w:color w:val="231F20"/>
          <w:spacing w:val="7"/>
          <w:sz w:val="13"/>
        </w:rPr>
        <w:t xml:space="preserve"> </w:t>
      </w:r>
      <w:r>
        <w:rPr>
          <w:color w:val="231F20"/>
          <w:sz w:val="13"/>
        </w:rPr>
        <w:t>96(2)(d)–(e).</w:t>
      </w:r>
    </w:p>
    <w:p w14:paraId="78499644" w14:textId="77777777" w:rsidR="00894070" w:rsidRDefault="009B7AFD">
      <w:pPr>
        <w:tabs>
          <w:tab w:val="left" w:pos="933"/>
        </w:tabs>
        <w:spacing w:line="153" w:lineRule="exact"/>
        <w:ind w:left="140"/>
        <w:rPr>
          <w:sz w:val="13"/>
        </w:rPr>
      </w:pPr>
      <w:r>
        <w:rPr>
          <w:color w:val="231F20"/>
          <w:sz w:val="13"/>
        </w:rPr>
        <w:t>206</w:t>
      </w:r>
      <w:r>
        <w:rPr>
          <w:color w:val="231F20"/>
          <w:sz w:val="13"/>
        </w:rPr>
        <w:tab/>
        <w:t>Ibid s 97(1).</w:t>
      </w:r>
    </w:p>
    <w:p w14:paraId="3A169A73" w14:textId="77777777" w:rsidR="00894070" w:rsidRDefault="009B7AFD">
      <w:pPr>
        <w:pStyle w:val="ListParagraph"/>
        <w:numPr>
          <w:ilvl w:val="0"/>
          <w:numId w:val="79"/>
        </w:numPr>
        <w:tabs>
          <w:tab w:val="left" w:pos="933"/>
          <w:tab w:val="left" w:pos="934"/>
        </w:tabs>
        <w:spacing w:before="4" w:line="213" w:lineRule="auto"/>
        <w:ind w:right="1182" w:hanging="793"/>
        <w:rPr>
          <w:sz w:val="13"/>
        </w:rPr>
      </w:pPr>
      <w:r>
        <w:rPr>
          <w:color w:val="231F20"/>
          <w:sz w:val="13"/>
        </w:rPr>
        <w:t xml:space="preserve">Law Reform Committee, </w:t>
      </w:r>
      <w:r>
        <w:rPr>
          <w:color w:val="231F20"/>
          <w:spacing w:val="2"/>
          <w:sz w:val="13"/>
        </w:rPr>
        <w:t xml:space="preserve">Parliament </w:t>
      </w:r>
      <w:r>
        <w:rPr>
          <w:color w:val="231F20"/>
          <w:sz w:val="13"/>
        </w:rPr>
        <w:t xml:space="preserve">of Victoria, </w:t>
      </w:r>
      <w:r>
        <w:rPr>
          <w:i/>
          <w:color w:val="231F20"/>
          <w:sz w:val="13"/>
        </w:rPr>
        <w:t xml:space="preserve">De Novo </w:t>
      </w:r>
      <w:r>
        <w:rPr>
          <w:i/>
          <w:color w:val="231F20"/>
          <w:spacing w:val="2"/>
          <w:sz w:val="13"/>
        </w:rPr>
        <w:t xml:space="preserve">Appeals </w:t>
      </w:r>
      <w:r>
        <w:rPr>
          <w:i/>
          <w:color w:val="231F20"/>
          <w:sz w:val="13"/>
        </w:rPr>
        <w:t xml:space="preserve">to the </w:t>
      </w:r>
      <w:proofErr w:type="gramStart"/>
      <w:r>
        <w:rPr>
          <w:i/>
          <w:color w:val="231F20"/>
          <w:sz w:val="13"/>
        </w:rPr>
        <w:t>County  Court</w:t>
      </w:r>
      <w:proofErr w:type="gramEnd"/>
      <w:r>
        <w:rPr>
          <w:i/>
          <w:color w:val="231F20"/>
          <w:sz w:val="13"/>
        </w:rPr>
        <w:t xml:space="preserve">  </w:t>
      </w:r>
      <w:r>
        <w:rPr>
          <w:color w:val="231F20"/>
          <w:spacing w:val="2"/>
          <w:sz w:val="13"/>
        </w:rPr>
        <w:t xml:space="preserve">(Parliamentary </w:t>
      </w:r>
      <w:r>
        <w:rPr>
          <w:color w:val="231F20"/>
          <w:sz w:val="13"/>
        </w:rPr>
        <w:t xml:space="preserve">Paper  No  230,  October 2006) </w:t>
      </w:r>
      <w:r>
        <w:rPr>
          <w:color w:val="231F20"/>
          <w:spacing w:val="2"/>
          <w:sz w:val="13"/>
        </w:rPr>
        <w:t xml:space="preserve">4, </w:t>
      </w:r>
      <w:r>
        <w:rPr>
          <w:color w:val="231F20"/>
          <w:sz w:val="13"/>
        </w:rPr>
        <w:t xml:space="preserve">191–92. Despite recognising these concerns, the Committee ultimately found that ‘de novo </w:t>
      </w:r>
      <w:r>
        <w:rPr>
          <w:color w:val="231F20"/>
          <w:spacing w:val="2"/>
          <w:sz w:val="13"/>
        </w:rPr>
        <w:t xml:space="preserve">appeals </w:t>
      </w:r>
      <w:r>
        <w:rPr>
          <w:color w:val="231F20"/>
          <w:sz w:val="13"/>
        </w:rPr>
        <w:t xml:space="preserve">do not disadvantage victims of crime to the extent that would </w:t>
      </w:r>
      <w:r>
        <w:rPr>
          <w:color w:val="231F20"/>
          <w:spacing w:val="2"/>
          <w:sz w:val="13"/>
        </w:rPr>
        <w:t xml:space="preserve">justify </w:t>
      </w:r>
      <w:r>
        <w:rPr>
          <w:color w:val="231F20"/>
          <w:sz w:val="13"/>
        </w:rPr>
        <w:t xml:space="preserve">a restriction of existing appeal rights’, ‘primarily’ </w:t>
      </w:r>
      <w:r>
        <w:rPr>
          <w:color w:val="231F20"/>
          <w:spacing w:val="2"/>
          <w:sz w:val="13"/>
        </w:rPr>
        <w:t xml:space="preserve">because </w:t>
      </w:r>
      <w:r>
        <w:rPr>
          <w:color w:val="231F20"/>
          <w:sz w:val="13"/>
        </w:rPr>
        <w:t>‘serious matters     involving victims of crime are largely not determined in the Magistrates’ Court’: at</w:t>
      </w:r>
      <w:r>
        <w:rPr>
          <w:color w:val="231F20"/>
          <w:spacing w:val="14"/>
          <w:sz w:val="13"/>
        </w:rPr>
        <w:t xml:space="preserve"> </w:t>
      </w:r>
      <w:r>
        <w:rPr>
          <w:color w:val="231F20"/>
          <w:spacing w:val="2"/>
          <w:sz w:val="13"/>
        </w:rPr>
        <w:t>194.</w:t>
      </w:r>
    </w:p>
    <w:p w14:paraId="10300F6A" w14:textId="77777777" w:rsidR="00894070" w:rsidRDefault="009B7AFD">
      <w:pPr>
        <w:pStyle w:val="ListParagraph"/>
        <w:numPr>
          <w:ilvl w:val="0"/>
          <w:numId w:val="79"/>
        </w:numPr>
        <w:tabs>
          <w:tab w:val="left" w:pos="933"/>
          <w:tab w:val="left" w:pos="934"/>
        </w:tabs>
        <w:spacing w:line="213" w:lineRule="auto"/>
        <w:ind w:right="1331" w:hanging="793"/>
        <w:rPr>
          <w:sz w:val="13"/>
        </w:rPr>
      </w:pPr>
      <w:r>
        <w:rPr>
          <w:i/>
          <w:color w:val="231F20"/>
          <w:sz w:val="13"/>
        </w:rPr>
        <w:t xml:space="preserve">Justice Legislation Amendment (Criminal Appeals) Act 2019 </w:t>
      </w:r>
      <w:r>
        <w:rPr>
          <w:color w:val="231F20"/>
          <w:sz w:val="13"/>
        </w:rPr>
        <w:t xml:space="preserve">(Vic) s </w:t>
      </w:r>
      <w:proofErr w:type="gramStart"/>
      <w:r>
        <w:rPr>
          <w:color w:val="231F20"/>
          <w:sz w:val="13"/>
        </w:rPr>
        <w:t>24 :</w:t>
      </w:r>
      <w:proofErr w:type="gramEnd"/>
      <w:r>
        <w:rPr>
          <w:color w:val="231F20"/>
          <w:sz w:val="13"/>
        </w:rPr>
        <w:t xml:space="preserve"> see ss </w:t>
      </w:r>
      <w:r>
        <w:rPr>
          <w:color w:val="231F20"/>
          <w:spacing w:val="2"/>
          <w:sz w:val="13"/>
        </w:rPr>
        <w:t xml:space="preserve">265A, </w:t>
      </w:r>
      <w:r>
        <w:rPr>
          <w:color w:val="231F20"/>
          <w:sz w:val="13"/>
        </w:rPr>
        <w:t xml:space="preserve">265E to be </w:t>
      </w:r>
      <w:r>
        <w:rPr>
          <w:color w:val="231F20"/>
          <w:spacing w:val="2"/>
          <w:sz w:val="13"/>
        </w:rPr>
        <w:t xml:space="preserve">inserted </w:t>
      </w:r>
      <w:r>
        <w:rPr>
          <w:color w:val="231F20"/>
          <w:sz w:val="13"/>
        </w:rPr>
        <w:t xml:space="preserve">in the </w:t>
      </w:r>
      <w:r>
        <w:rPr>
          <w:i/>
          <w:color w:val="231F20"/>
          <w:sz w:val="13"/>
        </w:rPr>
        <w:t>Criminal Procedure Act</w:t>
      </w:r>
      <w:r>
        <w:rPr>
          <w:i/>
          <w:color w:val="231F20"/>
          <w:spacing w:val="4"/>
          <w:sz w:val="13"/>
        </w:rPr>
        <w:t xml:space="preserve"> </w:t>
      </w:r>
      <w:r>
        <w:rPr>
          <w:i/>
          <w:color w:val="231F20"/>
          <w:sz w:val="13"/>
        </w:rPr>
        <w:t>2009</w:t>
      </w:r>
      <w:r>
        <w:rPr>
          <w:i/>
          <w:color w:val="231F20"/>
          <w:spacing w:val="4"/>
          <w:sz w:val="13"/>
        </w:rPr>
        <w:t xml:space="preserve"> </w:t>
      </w:r>
      <w:r>
        <w:rPr>
          <w:color w:val="231F20"/>
          <w:sz w:val="13"/>
        </w:rPr>
        <w:t>(Vic).</w:t>
      </w:r>
      <w:r>
        <w:rPr>
          <w:color w:val="231F20"/>
          <w:spacing w:val="4"/>
          <w:sz w:val="13"/>
        </w:rPr>
        <w:t xml:space="preserve"> </w:t>
      </w:r>
      <w:r>
        <w:rPr>
          <w:color w:val="231F20"/>
          <w:sz w:val="13"/>
        </w:rPr>
        <w:t>See</w:t>
      </w:r>
      <w:r>
        <w:rPr>
          <w:color w:val="231F20"/>
          <w:spacing w:val="5"/>
          <w:sz w:val="13"/>
        </w:rPr>
        <w:t xml:space="preserve"> </w:t>
      </w:r>
      <w:r>
        <w:rPr>
          <w:color w:val="231F20"/>
          <w:spacing w:val="2"/>
          <w:sz w:val="13"/>
        </w:rPr>
        <w:t>also</w:t>
      </w:r>
      <w:r>
        <w:rPr>
          <w:color w:val="231F20"/>
          <w:spacing w:val="4"/>
          <w:sz w:val="13"/>
        </w:rPr>
        <w:t xml:space="preserve"> </w:t>
      </w:r>
      <w:r>
        <w:rPr>
          <w:color w:val="231F20"/>
          <w:sz w:val="13"/>
        </w:rPr>
        <w:t>Victorian</w:t>
      </w:r>
      <w:r>
        <w:rPr>
          <w:color w:val="231F20"/>
          <w:spacing w:val="4"/>
          <w:sz w:val="13"/>
        </w:rPr>
        <w:t xml:space="preserve"> </w:t>
      </w:r>
      <w:r>
        <w:rPr>
          <w:color w:val="231F20"/>
          <w:sz w:val="13"/>
        </w:rPr>
        <w:t>Government,</w:t>
      </w:r>
      <w:r>
        <w:rPr>
          <w:color w:val="231F20"/>
          <w:spacing w:val="5"/>
          <w:sz w:val="13"/>
        </w:rPr>
        <w:t xml:space="preserve"> </w:t>
      </w:r>
      <w:r>
        <w:rPr>
          <w:color w:val="231F20"/>
          <w:spacing w:val="2"/>
          <w:sz w:val="13"/>
        </w:rPr>
        <w:t>‘Modernising</w:t>
      </w:r>
      <w:r>
        <w:rPr>
          <w:color w:val="231F20"/>
          <w:spacing w:val="4"/>
          <w:sz w:val="13"/>
        </w:rPr>
        <w:t xml:space="preserve"> </w:t>
      </w:r>
      <w:r>
        <w:rPr>
          <w:color w:val="231F20"/>
          <w:sz w:val="13"/>
        </w:rPr>
        <w:t>Victoria’s</w:t>
      </w:r>
      <w:r>
        <w:rPr>
          <w:color w:val="231F20"/>
          <w:spacing w:val="4"/>
          <w:sz w:val="13"/>
        </w:rPr>
        <w:t xml:space="preserve"> </w:t>
      </w:r>
      <w:r>
        <w:rPr>
          <w:color w:val="231F20"/>
          <w:spacing w:val="2"/>
          <w:sz w:val="13"/>
        </w:rPr>
        <w:t>Appeals</w:t>
      </w:r>
      <w:r>
        <w:rPr>
          <w:color w:val="231F20"/>
          <w:spacing w:val="4"/>
          <w:sz w:val="13"/>
        </w:rPr>
        <w:t xml:space="preserve"> </w:t>
      </w:r>
      <w:r>
        <w:rPr>
          <w:color w:val="231F20"/>
          <w:sz w:val="13"/>
        </w:rPr>
        <w:t>System’</w:t>
      </w:r>
      <w:r>
        <w:rPr>
          <w:color w:val="231F20"/>
          <w:spacing w:val="5"/>
          <w:sz w:val="13"/>
        </w:rPr>
        <w:t xml:space="preserve"> </w:t>
      </w:r>
      <w:r>
        <w:rPr>
          <w:color w:val="231F20"/>
          <w:sz w:val="13"/>
        </w:rPr>
        <w:t>(Press</w:t>
      </w:r>
      <w:r>
        <w:rPr>
          <w:color w:val="231F20"/>
          <w:spacing w:val="4"/>
          <w:sz w:val="13"/>
        </w:rPr>
        <w:t xml:space="preserve"> </w:t>
      </w:r>
      <w:r>
        <w:rPr>
          <w:color w:val="231F20"/>
          <w:sz w:val="13"/>
        </w:rPr>
        <w:t>Release,</w:t>
      </w:r>
      <w:r>
        <w:rPr>
          <w:color w:val="231F20"/>
          <w:spacing w:val="4"/>
          <w:sz w:val="13"/>
        </w:rPr>
        <w:t xml:space="preserve"> </w:t>
      </w:r>
      <w:r>
        <w:rPr>
          <w:color w:val="231F20"/>
          <w:sz w:val="13"/>
        </w:rPr>
        <w:t>16</w:t>
      </w:r>
      <w:r>
        <w:rPr>
          <w:color w:val="231F20"/>
          <w:spacing w:val="5"/>
          <w:sz w:val="13"/>
        </w:rPr>
        <w:t xml:space="preserve"> </w:t>
      </w:r>
      <w:r>
        <w:rPr>
          <w:color w:val="231F20"/>
          <w:sz w:val="13"/>
        </w:rPr>
        <w:t>October</w:t>
      </w:r>
      <w:r>
        <w:rPr>
          <w:color w:val="231F20"/>
          <w:spacing w:val="4"/>
          <w:sz w:val="13"/>
        </w:rPr>
        <w:t xml:space="preserve"> </w:t>
      </w:r>
      <w:r>
        <w:rPr>
          <w:color w:val="231F20"/>
          <w:sz w:val="13"/>
        </w:rPr>
        <w:t>2019).</w:t>
      </w:r>
    </w:p>
    <w:p w14:paraId="1ECBFC9F" w14:textId="77777777" w:rsidR="00894070" w:rsidRDefault="009B7AFD">
      <w:pPr>
        <w:pStyle w:val="ListParagraph"/>
        <w:numPr>
          <w:ilvl w:val="0"/>
          <w:numId w:val="79"/>
        </w:numPr>
        <w:tabs>
          <w:tab w:val="left" w:pos="933"/>
          <w:tab w:val="left" w:pos="934"/>
        </w:tabs>
        <w:spacing w:line="152" w:lineRule="exact"/>
        <w:ind w:hanging="793"/>
        <w:rPr>
          <w:sz w:val="13"/>
        </w:rPr>
      </w:pPr>
      <w:r>
        <w:rPr>
          <w:color w:val="231F20"/>
          <w:sz w:val="13"/>
        </w:rPr>
        <w:t xml:space="preserve">Victoria, </w:t>
      </w:r>
      <w:r>
        <w:rPr>
          <w:i/>
          <w:color w:val="231F20"/>
          <w:sz w:val="13"/>
        </w:rPr>
        <w:t>Parliamentary Debates</w:t>
      </w:r>
      <w:r>
        <w:rPr>
          <w:color w:val="231F20"/>
          <w:sz w:val="13"/>
        </w:rPr>
        <w:t xml:space="preserve">, Legislative Assembly, 17 October 2019, </w:t>
      </w:r>
      <w:r>
        <w:rPr>
          <w:color w:val="231F20"/>
          <w:spacing w:val="2"/>
          <w:sz w:val="13"/>
        </w:rPr>
        <w:t xml:space="preserve">3686 </w:t>
      </w:r>
      <w:r>
        <w:rPr>
          <w:color w:val="231F20"/>
          <w:sz w:val="13"/>
        </w:rPr>
        <w:t>(Jill Hennessy,</w:t>
      </w:r>
      <w:r>
        <w:rPr>
          <w:color w:val="231F20"/>
          <w:spacing w:val="19"/>
          <w:sz w:val="13"/>
        </w:rPr>
        <w:t xml:space="preserve"> </w:t>
      </w:r>
      <w:r>
        <w:rPr>
          <w:color w:val="231F20"/>
          <w:sz w:val="13"/>
        </w:rPr>
        <w:t>Attorney-General).</w:t>
      </w:r>
    </w:p>
    <w:p w14:paraId="12A73290" w14:textId="77777777" w:rsidR="00894070" w:rsidRDefault="009B7AFD">
      <w:pPr>
        <w:pStyle w:val="ListParagraph"/>
        <w:numPr>
          <w:ilvl w:val="0"/>
          <w:numId w:val="79"/>
        </w:numPr>
        <w:tabs>
          <w:tab w:val="left" w:pos="933"/>
          <w:tab w:val="left" w:pos="934"/>
        </w:tabs>
        <w:spacing w:line="160" w:lineRule="exact"/>
        <w:ind w:hanging="793"/>
        <w:rPr>
          <w:sz w:val="13"/>
        </w:rPr>
      </w:pPr>
      <w:r>
        <w:rPr>
          <w:color w:val="231F20"/>
          <w:spacing w:val="2"/>
          <w:sz w:val="13"/>
        </w:rPr>
        <w:t xml:space="preserve">Submission </w:t>
      </w:r>
      <w:r>
        <w:rPr>
          <w:color w:val="231F20"/>
          <w:sz w:val="13"/>
        </w:rPr>
        <w:t>106 (Dr Steven Tudor &amp; Greg Byrne</w:t>
      </w:r>
      <w:r>
        <w:rPr>
          <w:color w:val="231F20"/>
          <w:spacing w:val="-1"/>
          <w:sz w:val="13"/>
        </w:rPr>
        <w:t xml:space="preserve"> </w:t>
      </w:r>
      <w:r>
        <w:rPr>
          <w:color w:val="231F20"/>
          <w:sz w:val="13"/>
        </w:rPr>
        <w:t>PSM).</w:t>
      </w:r>
    </w:p>
    <w:p w14:paraId="334B66C6" w14:textId="77777777" w:rsidR="00894070" w:rsidRDefault="009B7AFD">
      <w:pPr>
        <w:pStyle w:val="ListParagraph"/>
        <w:numPr>
          <w:ilvl w:val="0"/>
          <w:numId w:val="79"/>
        </w:numPr>
        <w:tabs>
          <w:tab w:val="left" w:pos="933"/>
          <w:tab w:val="left" w:pos="934"/>
        </w:tabs>
        <w:spacing w:before="4" w:line="213" w:lineRule="auto"/>
        <w:ind w:right="1232" w:hanging="793"/>
        <w:rPr>
          <w:sz w:val="13"/>
        </w:rPr>
      </w:pPr>
      <w:r>
        <w:rPr>
          <w:color w:val="231F20"/>
          <w:sz w:val="13"/>
        </w:rPr>
        <w:t xml:space="preserve">They cite the </w:t>
      </w:r>
      <w:r>
        <w:rPr>
          <w:i/>
          <w:color w:val="231F20"/>
          <w:sz w:val="13"/>
        </w:rPr>
        <w:t xml:space="preserve">Criminal Procedure Act 2009 </w:t>
      </w:r>
      <w:r>
        <w:rPr>
          <w:color w:val="231F20"/>
          <w:sz w:val="13"/>
        </w:rPr>
        <w:t xml:space="preserve">(Vic) and </w:t>
      </w:r>
      <w:r>
        <w:rPr>
          <w:i/>
          <w:color w:val="231F20"/>
          <w:sz w:val="13"/>
        </w:rPr>
        <w:t xml:space="preserve">Evidence Act 2008 </w:t>
      </w:r>
      <w:r>
        <w:rPr>
          <w:color w:val="231F20"/>
          <w:sz w:val="13"/>
        </w:rPr>
        <w:t xml:space="preserve">(Vic) in highlighting the </w:t>
      </w:r>
      <w:r>
        <w:rPr>
          <w:color w:val="231F20"/>
          <w:spacing w:val="2"/>
          <w:sz w:val="13"/>
        </w:rPr>
        <w:t xml:space="preserve">admissibility </w:t>
      </w:r>
      <w:r>
        <w:rPr>
          <w:color w:val="231F20"/>
          <w:sz w:val="13"/>
        </w:rPr>
        <w:t xml:space="preserve">of recorded evidence and prohibition on inappropriate cross-examining: see Michael Stanton and Paul Smallwood, ‘Pause for Thought? The </w:t>
      </w:r>
      <w:r>
        <w:rPr>
          <w:color w:val="231F20"/>
          <w:spacing w:val="2"/>
          <w:sz w:val="13"/>
        </w:rPr>
        <w:t xml:space="preserve">Case </w:t>
      </w:r>
      <w:r>
        <w:rPr>
          <w:color w:val="231F20"/>
          <w:sz w:val="13"/>
        </w:rPr>
        <w:t xml:space="preserve">for Reversing the </w:t>
      </w:r>
      <w:r>
        <w:rPr>
          <w:color w:val="231F20"/>
          <w:spacing w:val="2"/>
          <w:sz w:val="13"/>
        </w:rPr>
        <w:t xml:space="preserve">Abolition </w:t>
      </w:r>
      <w:r>
        <w:rPr>
          <w:color w:val="231F20"/>
          <w:sz w:val="13"/>
        </w:rPr>
        <w:t xml:space="preserve">of De Novo Criminal Appeals’ (2021) 169 </w:t>
      </w:r>
      <w:r>
        <w:rPr>
          <w:i/>
          <w:color w:val="231F20"/>
          <w:sz w:val="13"/>
        </w:rPr>
        <w:t xml:space="preserve">Victorian Bar News </w:t>
      </w:r>
      <w:r>
        <w:rPr>
          <w:color w:val="231F20"/>
          <w:sz w:val="13"/>
        </w:rPr>
        <w:t>46,</w:t>
      </w:r>
      <w:r>
        <w:rPr>
          <w:color w:val="231F20"/>
          <w:spacing w:val="12"/>
          <w:sz w:val="13"/>
        </w:rPr>
        <w:t xml:space="preserve"> </w:t>
      </w:r>
      <w:r>
        <w:rPr>
          <w:color w:val="231F20"/>
          <w:spacing w:val="2"/>
          <w:sz w:val="13"/>
        </w:rPr>
        <w:t>48.</w:t>
      </w:r>
    </w:p>
    <w:p w14:paraId="6EB29710" w14:textId="77777777" w:rsidR="00894070" w:rsidRDefault="009B7AFD">
      <w:pPr>
        <w:pStyle w:val="ListParagraph"/>
        <w:numPr>
          <w:ilvl w:val="0"/>
          <w:numId w:val="79"/>
        </w:numPr>
        <w:tabs>
          <w:tab w:val="left" w:pos="933"/>
          <w:tab w:val="left" w:pos="934"/>
        </w:tabs>
        <w:spacing w:line="162" w:lineRule="exact"/>
        <w:ind w:hanging="793"/>
        <w:rPr>
          <w:sz w:val="13"/>
        </w:rPr>
      </w:pPr>
      <w:r>
        <w:rPr>
          <w:i/>
          <w:color w:val="231F20"/>
          <w:sz w:val="13"/>
        </w:rPr>
        <w:t xml:space="preserve">Criminal Procedure Act 2009 </w:t>
      </w:r>
      <w:r>
        <w:rPr>
          <w:color w:val="231F20"/>
          <w:sz w:val="13"/>
        </w:rPr>
        <w:t>(Vic) s</w:t>
      </w:r>
      <w:r>
        <w:rPr>
          <w:color w:val="231F20"/>
          <w:spacing w:val="1"/>
          <w:sz w:val="13"/>
        </w:rPr>
        <w:t xml:space="preserve"> </w:t>
      </w:r>
      <w:r>
        <w:rPr>
          <w:color w:val="231F20"/>
          <w:spacing w:val="2"/>
          <w:sz w:val="13"/>
        </w:rPr>
        <w:t>360.</w:t>
      </w:r>
    </w:p>
    <w:p w14:paraId="545A388C" w14:textId="77777777" w:rsidR="00894070" w:rsidRDefault="00894070">
      <w:pPr>
        <w:spacing w:line="162" w:lineRule="exact"/>
        <w:rPr>
          <w:sz w:val="13"/>
        </w:rPr>
        <w:sectPr w:rsidR="00894070">
          <w:type w:val="continuous"/>
          <w:pgSz w:w="11910" w:h="16840"/>
          <w:pgMar w:top="560" w:right="420" w:bottom="280" w:left="580" w:header="720" w:footer="720" w:gutter="0"/>
          <w:cols w:num="2" w:space="720" w:equalWidth="0">
            <w:col w:w="569" w:space="298"/>
            <w:col w:w="10043"/>
          </w:cols>
        </w:sectPr>
      </w:pPr>
    </w:p>
    <w:p w14:paraId="243836E4" w14:textId="77777777" w:rsidR="00894070" w:rsidRDefault="00894070">
      <w:pPr>
        <w:pStyle w:val="BodyText"/>
      </w:pPr>
    </w:p>
    <w:p w14:paraId="1B9E8F1D" w14:textId="77777777" w:rsidR="00894070" w:rsidRDefault="00894070">
      <w:pPr>
        <w:pStyle w:val="BodyText"/>
      </w:pPr>
    </w:p>
    <w:p w14:paraId="2CE50D8C" w14:textId="77777777" w:rsidR="00894070" w:rsidRDefault="00894070">
      <w:pPr>
        <w:pStyle w:val="BodyText"/>
      </w:pPr>
    </w:p>
    <w:p w14:paraId="6A458EAC" w14:textId="77777777" w:rsidR="00894070" w:rsidRDefault="00894070">
      <w:pPr>
        <w:pStyle w:val="BodyText"/>
        <w:spacing w:before="9"/>
        <w:rPr>
          <w:sz w:val="21"/>
        </w:rPr>
      </w:pPr>
    </w:p>
    <w:p w14:paraId="097F3C06" w14:textId="77777777" w:rsidR="00894070" w:rsidRDefault="009F6793">
      <w:pPr>
        <w:pStyle w:val="BodyText"/>
        <w:ind w:left="642"/>
      </w:pPr>
      <w:r>
        <w:pict w14:anchorId="473495A6">
          <v:group id="_x0000_s1264" style="width:479.1pt;height:108.4pt;mso-position-horizontal-relative:char;mso-position-vertical-relative:line" coordsize="9582,2168">
            <v:rect id="_x0000_s1269" style="position:absolute;left:340;width:8731;height:2168" fillcolor="#fee7de" stroked="f"/>
            <v:line id="_x0000_s1268" style="position:absolute" from="0,808" to="9581,808" strokecolor="white" strokeweight="2.5pt"/>
            <v:shape id="_x0000_s1267" type="#_x0000_t202" style="position:absolute;left:1133;top:1033;width:7403;height:955" filled="f" stroked="f">
              <v:textbox inset="0,0,0,0">
                <w:txbxContent>
                  <w:p w14:paraId="704970B3" w14:textId="77777777" w:rsidR="00894070" w:rsidRDefault="009B7AFD">
                    <w:pPr>
                      <w:spacing w:line="247" w:lineRule="auto"/>
                      <w:rPr>
                        <w:rFonts w:ascii="Trebuchet MS"/>
                        <w:sz w:val="20"/>
                      </w:rPr>
                    </w:pPr>
                    <w:bookmarkStart w:id="138" w:name="The_need_for_a_different_approach_for_ch"/>
                    <w:bookmarkStart w:id="139" w:name="_bookmark82"/>
                    <w:bookmarkEnd w:id="138"/>
                    <w:bookmarkEnd w:id="139"/>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should amend the appeals process that applies to personal</w:t>
                    </w:r>
                    <w:r>
                      <w:rPr>
                        <w:rFonts w:ascii="Trebuchet MS"/>
                        <w:color w:val="231F20"/>
                        <w:spacing w:val="-25"/>
                        <w:w w:val="105"/>
                        <w:sz w:val="20"/>
                      </w:rPr>
                      <w:t xml:space="preserve"> </w:t>
                    </w:r>
                    <w:r>
                      <w:rPr>
                        <w:rFonts w:ascii="Trebuchet MS"/>
                        <w:color w:val="231F20"/>
                        <w:w w:val="105"/>
                        <w:sz w:val="20"/>
                      </w:rPr>
                      <w:t>safety</w:t>
                    </w:r>
                    <w:r>
                      <w:rPr>
                        <w:rFonts w:ascii="Trebuchet MS"/>
                        <w:color w:val="231F20"/>
                        <w:spacing w:val="-25"/>
                        <w:w w:val="105"/>
                        <w:sz w:val="20"/>
                      </w:rPr>
                      <w:t xml:space="preserve"> </w:t>
                    </w:r>
                    <w:r>
                      <w:rPr>
                        <w:rFonts w:ascii="Trebuchet MS"/>
                        <w:color w:val="231F20"/>
                        <w:w w:val="105"/>
                        <w:sz w:val="20"/>
                      </w:rPr>
                      <w:t>intervention</w:t>
                    </w:r>
                    <w:r>
                      <w:rPr>
                        <w:rFonts w:ascii="Trebuchet MS"/>
                        <w:color w:val="231F20"/>
                        <w:spacing w:val="-25"/>
                        <w:w w:val="105"/>
                        <w:sz w:val="20"/>
                      </w:rPr>
                      <w:t xml:space="preserve"> </w:t>
                    </w:r>
                    <w:r>
                      <w:rPr>
                        <w:rFonts w:ascii="Trebuchet MS"/>
                        <w:color w:val="231F20"/>
                        <w:w w:val="105"/>
                        <w:sz w:val="20"/>
                      </w:rPr>
                      <w:t>orders</w:t>
                    </w:r>
                    <w:r>
                      <w:rPr>
                        <w:rFonts w:ascii="Trebuchet MS"/>
                        <w:color w:val="231F20"/>
                        <w:spacing w:val="-24"/>
                        <w:w w:val="105"/>
                        <w:sz w:val="20"/>
                      </w:rPr>
                      <w:t xml:space="preserve"> </w:t>
                    </w:r>
                    <w:r>
                      <w:rPr>
                        <w:rFonts w:ascii="Trebuchet MS"/>
                        <w:color w:val="231F20"/>
                        <w:w w:val="105"/>
                        <w:sz w:val="20"/>
                      </w:rPr>
                      <w:t>to</w:t>
                    </w:r>
                    <w:r>
                      <w:rPr>
                        <w:rFonts w:ascii="Trebuchet MS"/>
                        <w:color w:val="231F20"/>
                        <w:spacing w:val="-25"/>
                        <w:w w:val="105"/>
                        <w:sz w:val="20"/>
                      </w:rPr>
                      <w:t xml:space="preserve"> </w:t>
                    </w:r>
                    <w:r>
                      <w:rPr>
                        <w:rFonts w:ascii="Trebuchet MS"/>
                        <w:color w:val="231F20"/>
                        <w:w w:val="105"/>
                        <w:sz w:val="20"/>
                      </w:rPr>
                      <w:t>align</w:t>
                    </w:r>
                    <w:r>
                      <w:rPr>
                        <w:rFonts w:ascii="Trebuchet MS"/>
                        <w:color w:val="231F20"/>
                        <w:spacing w:val="-25"/>
                        <w:w w:val="105"/>
                        <w:sz w:val="20"/>
                      </w:rPr>
                      <w:t xml:space="preserve"> </w:t>
                    </w:r>
                    <w:r>
                      <w:rPr>
                        <w:rFonts w:ascii="Trebuchet MS"/>
                        <w:color w:val="231F20"/>
                        <w:w w:val="105"/>
                        <w:sz w:val="20"/>
                      </w:rPr>
                      <w:t>with</w:t>
                    </w:r>
                    <w:r>
                      <w:rPr>
                        <w:rFonts w:ascii="Trebuchet MS"/>
                        <w:color w:val="231F20"/>
                        <w:spacing w:val="-24"/>
                        <w:w w:val="105"/>
                        <w:sz w:val="20"/>
                      </w:rPr>
                      <w:t xml:space="preserve"> </w:t>
                    </w:r>
                    <w:r>
                      <w:rPr>
                        <w:rFonts w:ascii="Trebuchet MS"/>
                        <w:color w:val="231F20"/>
                        <w:w w:val="105"/>
                        <w:sz w:val="20"/>
                      </w:rPr>
                      <w:t>the</w:t>
                    </w:r>
                    <w:r>
                      <w:rPr>
                        <w:rFonts w:ascii="Trebuchet MS"/>
                        <w:color w:val="231F20"/>
                        <w:spacing w:val="-25"/>
                        <w:w w:val="105"/>
                        <w:sz w:val="20"/>
                      </w:rPr>
                      <w:t xml:space="preserve"> </w:t>
                    </w:r>
                    <w:r>
                      <w:rPr>
                        <w:rFonts w:ascii="Trebuchet MS"/>
                        <w:color w:val="231F20"/>
                        <w:w w:val="105"/>
                        <w:sz w:val="20"/>
                      </w:rPr>
                      <w:t>amendments</w:t>
                    </w:r>
                    <w:r>
                      <w:rPr>
                        <w:rFonts w:ascii="Trebuchet MS"/>
                        <w:color w:val="231F20"/>
                        <w:spacing w:val="-25"/>
                        <w:w w:val="105"/>
                        <w:sz w:val="20"/>
                      </w:rPr>
                      <w:t xml:space="preserve"> </w:t>
                    </w:r>
                    <w:r>
                      <w:rPr>
                        <w:rFonts w:ascii="Trebuchet MS"/>
                        <w:color w:val="231F20"/>
                        <w:w w:val="105"/>
                        <w:sz w:val="20"/>
                      </w:rPr>
                      <w:t>in</w:t>
                    </w:r>
                    <w:r>
                      <w:rPr>
                        <w:rFonts w:ascii="Trebuchet MS"/>
                        <w:color w:val="231F20"/>
                        <w:spacing w:val="-25"/>
                        <w:w w:val="105"/>
                        <w:sz w:val="20"/>
                      </w:rPr>
                      <w:t xml:space="preserve"> </w:t>
                    </w:r>
                    <w:r>
                      <w:rPr>
                        <w:rFonts w:ascii="Trebuchet MS"/>
                        <w:color w:val="231F20"/>
                        <w:w w:val="105"/>
                        <w:sz w:val="20"/>
                      </w:rPr>
                      <w:t>the</w:t>
                    </w:r>
                    <w:r>
                      <w:rPr>
                        <w:rFonts w:ascii="Trebuchet MS"/>
                        <w:color w:val="231F20"/>
                        <w:spacing w:val="-24"/>
                        <w:w w:val="105"/>
                        <w:sz w:val="20"/>
                      </w:rPr>
                      <w:t xml:space="preserve"> </w:t>
                    </w:r>
                    <w:r>
                      <w:rPr>
                        <w:rFonts w:ascii="Arial"/>
                        <w:i/>
                        <w:color w:val="231F20"/>
                        <w:w w:val="105"/>
                        <w:sz w:val="20"/>
                      </w:rPr>
                      <w:t>Justice Legislation</w:t>
                    </w:r>
                    <w:r>
                      <w:rPr>
                        <w:rFonts w:ascii="Arial"/>
                        <w:i/>
                        <w:color w:val="231F20"/>
                        <w:spacing w:val="-28"/>
                        <w:w w:val="105"/>
                        <w:sz w:val="20"/>
                      </w:rPr>
                      <w:t xml:space="preserve"> </w:t>
                    </w:r>
                    <w:r>
                      <w:rPr>
                        <w:rFonts w:ascii="Arial"/>
                        <w:i/>
                        <w:color w:val="231F20"/>
                        <w:w w:val="105"/>
                        <w:sz w:val="20"/>
                      </w:rPr>
                      <w:t>Amendment</w:t>
                    </w:r>
                    <w:r>
                      <w:rPr>
                        <w:rFonts w:ascii="Arial"/>
                        <w:i/>
                        <w:color w:val="231F20"/>
                        <w:spacing w:val="-28"/>
                        <w:w w:val="105"/>
                        <w:sz w:val="20"/>
                      </w:rPr>
                      <w:t xml:space="preserve"> </w:t>
                    </w:r>
                    <w:r>
                      <w:rPr>
                        <w:rFonts w:ascii="Arial"/>
                        <w:i/>
                        <w:color w:val="231F20"/>
                        <w:w w:val="105"/>
                        <w:sz w:val="20"/>
                      </w:rPr>
                      <w:t>(Criminal</w:t>
                    </w:r>
                    <w:r>
                      <w:rPr>
                        <w:rFonts w:ascii="Arial"/>
                        <w:i/>
                        <w:color w:val="231F20"/>
                        <w:spacing w:val="-28"/>
                        <w:w w:val="105"/>
                        <w:sz w:val="20"/>
                      </w:rPr>
                      <w:t xml:space="preserve"> </w:t>
                    </w:r>
                    <w:r>
                      <w:rPr>
                        <w:rFonts w:ascii="Arial"/>
                        <w:i/>
                        <w:color w:val="231F20"/>
                        <w:w w:val="105"/>
                        <w:sz w:val="20"/>
                      </w:rPr>
                      <w:t>Appeals)</w:t>
                    </w:r>
                    <w:r>
                      <w:rPr>
                        <w:rFonts w:ascii="Arial"/>
                        <w:i/>
                        <w:color w:val="231F20"/>
                        <w:spacing w:val="-28"/>
                        <w:w w:val="105"/>
                        <w:sz w:val="20"/>
                      </w:rPr>
                      <w:t xml:space="preserve"> </w:t>
                    </w:r>
                    <w:r>
                      <w:rPr>
                        <w:rFonts w:ascii="Arial"/>
                        <w:i/>
                        <w:color w:val="231F20"/>
                        <w:w w:val="105"/>
                        <w:sz w:val="20"/>
                      </w:rPr>
                      <w:t>Act</w:t>
                    </w:r>
                    <w:r>
                      <w:rPr>
                        <w:rFonts w:ascii="Arial"/>
                        <w:i/>
                        <w:color w:val="231F20"/>
                        <w:spacing w:val="-28"/>
                        <w:w w:val="105"/>
                        <w:sz w:val="20"/>
                      </w:rPr>
                      <w:t xml:space="preserve"> </w:t>
                    </w:r>
                    <w:r>
                      <w:rPr>
                        <w:rFonts w:ascii="Arial"/>
                        <w:i/>
                        <w:color w:val="231F20"/>
                        <w:spacing w:val="-3"/>
                        <w:w w:val="105"/>
                        <w:sz w:val="20"/>
                      </w:rPr>
                      <w:t>2019</w:t>
                    </w:r>
                    <w:r>
                      <w:rPr>
                        <w:rFonts w:ascii="Arial"/>
                        <w:i/>
                        <w:color w:val="231F20"/>
                        <w:spacing w:val="-27"/>
                        <w:w w:val="105"/>
                        <w:sz w:val="20"/>
                      </w:rPr>
                      <w:t xml:space="preserve"> </w:t>
                    </w:r>
                    <w:r>
                      <w:rPr>
                        <w:rFonts w:ascii="Trebuchet MS"/>
                        <w:color w:val="231F20"/>
                        <w:w w:val="105"/>
                        <w:sz w:val="20"/>
                      </w:rPr>
                      <w:t>(Vic)</w:t>
                    </w:r>
                    <w:r>
                      <w:rPr>
                        <w:rFonts w:ascii="Trebuchet MS"/>
                        <w:color w:val="231F20"/>
                        <w:spacing w:val="-32"/>
                        <w:w w:val="105"/>
                        <w:sz w:val="20"/>
                      </w:rPr>
                      <w:t xml:space="preserve"> </w:t>
                    </w:r>
                    <w:r>
                      <w:rPr>
                        <w:rFonts w:ascii="Trebuchet MS"/>
                        <w:color w:val="231F20"/>
                        <w:w w:val="105"/>
                        <w:sz w:val="20"/>
                      </w:rPr>
                      <w:t>to</w:t>
                    </w:r>
                    <w:r>
                      <w:rPr>
                        <w:rFonts w:ascii="Trebuchet MS"/>
                        <w:color w:val="231F20"/>
                        <w:spacing w:val="-31"/>
                        <w:w w:val="105"/>
                        <w:sz w:val="20"/>
                      </w:rPr>
                      <w:t xml:space="preserve"> </w:t>
                    </w:r>
                    <w:r>
                      <w:rPr>
                        <w:rFonts w:ascii="Trebuchet MS"/>
                        <w:color w:val="231F20"/>
                        <w:w w:val="105"/>
                        <w:sz w:val="20"/>
                      </w:rPr>
                      <w:t>de</w:t>
                    </w:r>
                    <w:r>
                      <w:rPr>
                        <w:rFonts w:ascii="Trebuchet MS"/>
                        <w:color w:val="231F20"/>
                        <w:spacing w:val="-32"/>
                        <w:w w:val="105"/>
                        <w:sz w:val="20"/>
                      </w:rPr>
                      <w:t xml:space="preserve"> </w:t>
                    </w:r>
                    <w:r>
                      <w:rPr>
                        <w:rFonts w:ascii="Trebuchet MS"/>
                        <w:color w:val="231F20"/>
                        <w:spacing w:val="-4"/>
                        <w:w w:val="105"/>
                        <w:sz w:val="20"/>
                      </w:rPr>
                      <w:t>novo</w:t>
                    </w:r>
                    <w:r>
                      <w:rPr>
                        <w:rFonts w:ascii="Trebuchet MS"/>
                        <w:color w:val="231F20"/>
                        <w:spacing w:val="-32"/>
                        <w:w w:val="105"/>
                        <w:sz w:val="20"/>
                      </w:rPr>
                      <w:t xml:space="preserve"> </w:t>
                    </w:r>
                    <w:r>
                      <w:rPr>
                        <w:rFonts w:ascii="Trebuchet MS"/>
                        <w:color w:val="231F20"/>
                        <w:w w:val="105"/>
                        <w:sz w:val="20"/>
                      </w:rPr>
                      <w:t>appeals</w:t>
                    </w:r>
                    <w:r>
                      <w:rPr>
                        <w:rFonts w:ascii="Trebuchet MS"/>
                        <w:color w:val="231F20"/>
                        <w:spacing w:val="-32"/>
                        <w:w w:val="105"/>
                        <w:sz w:val="20"/>
                      </w:rPr>
                      <w:t xml:space="preserve"> </w:t>
                    </w:r>
                    <w:r>
                      <w:rPr>
                        <w:rFonts w:ascii="Trebuchet MS"/>
                        <w:color w:val="231F20"/>
                        <w:w w:val="105"/>
                        <w:sz w:val="20"/>
                      </w:rPr>
                      <w:t xml:space="preserve">from </w:t>
                    </w:r>
                    <w:r>
                      <w:rPr>
                        <w:rFonts w:ascii="Trebuchet MS"/>
                        <w:color w:val="231F20"/>
                        <w:spacing w:val="-2"/>
                        <w:w w:val="99"/>
                        <w:sz w:val="20"/>
                      </w:rPr>
                      <w:t>t</w:t>
                    </w:r>
                    <w:r>
                      <w:rPr>
                        <w:rFonts w:ascii="Trebuchet MS"/>
                        <w:color w:val="231F20"/>
                        <w:spacing w:val="-1"/>
                        <w:w w:val="99"/>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2"/>
                        <w:w w:val="111"/>
                        <w:sz w:val="20"/>
                      </w:rPr>
                      <w:t>m</w:t>
                    </w:r>
                    <w:r>
                      <w:rPr>
                        <w:rFonts w:ascii="Trebuchet MS"/>
                        <w:color w:val="231F20"/>
                        <w:spacing w:val="-1"/>
                        <w:w w:val="111"/>
                        <w:sz w:val="20"/>
                      </w:rPr>
                      <w:t>m</w:t>
                    </w:r>
                    <w:r>
                      <w:rPr>
                        <w:rFonts w:ascii="Trebuchet MS"/>
                        <w:color w:val="231F20"/>
                        <w:spacing w:val="-2"/>
                        <w:sz w:val="20"/>
                      </w:rPr>
                      <w:t>a</w:t>
                    </w:r>
                    <w:r>
                      <w:rPr>
                        <w:rFonts w:ascii="Trebuchet MS"/>
                        <w:color w:val="231F20"/>
                        <w:spacing w:val="3"/>
                        <w:sz w:val="20"/>
                      </w:rPr>
                      <w:t>r</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91"/>
                        <w:sz w:val="20"/>
                      </w:rPr>
                      <w:t>j</w:t>
                    </w:r>
                    <w:r>
                      <w:rPr>
                        <w:rFonts w:ascii="Trebuchet MS"/>
                        <w:color w:val="231F20"/>
                        <w:spacing w:val="-1"/>
                        <w:w w:val="91"/>
                        <w:sz w:val="20"/>
                      </w:rPr>
                      <w:t>u</w:t>
                    </w:r>
                    <w:r>
                      <w:rPr>
                        <w:rFonts w:ascii="Trebuchet MS"/>
                        <w:color w:val="231F20"/>
                        <w:spacing w:val="-2"/>
                        <w:w w:val="93"/>
                        <w:sz w:val="20"/>
                      </w:rPr>
                      <w:t>r</w:t>
                    </w:r>
                    <w:r>
                      <w:rPr>
                        <w:rFonts w:ascii="Trebuchet MS"/>
                        <w:color w:val="231F20"/>
                        <w:spacing w:val="-2"/>
                        <w:w w:val="80"/>
                        <w:sz w:val="20"/>
                      </w:rPr>
                      <w:t>i</w:t>
                    </w:r>
                    <w:r>
                      <w:rPr>
                        <w:rFonts w:ascii="Trebuchet MS"/>
                        <w:color w:val="231F20"/>
                        <w:spacing w:val="-2"/>
                        <w:w w:val="122"/>
                        <w:sz w:val="20"/>
                      </w:rPr>
                      <w:t>s</w:t>
                    </w:r>
                    <w:r>
                      <w:rPr>
                        <w:rFonts w:ascii="Trebuchet MS"/>
                        <w:color w:val="231F20"/>
                        <w:spacing w:val="-1"/>
                        <w:w w:val="112"/>
                        <w:sz w:val="20"/>
                      </w:rPr>
                      <w:t>d</w:t>
                    </w:r>
                    <w:r>
                      <w:rPr>
                        <w:rFonts w:ascii="Trebuchet MS"/>
                        <w:color w:val="231F20"/>
                        <w:spacing w:val="-1"/>
                        <w:w w:val="80"/>
                        <w:sz w:val="20"/>
                      </w:rPr>
                      <w:t>i</w:t>
                    </w:r>
                    <w:r>
                      <w:rPr>
                        <w:rFonts w:ascii="Trebuchet MS"/>
                        <w:color w:val="231F20"/>
                        <w:spacing w:val="-2"/>
                        <w:w w:val="96"/>
                        <w:sz w:val="20"/>
                      </w:rPr>
                      <w:t>ct</w:t>
                    </w:r>
                    <w:r>
                      <w:rPr>
                        <w:rFonts w:ascii="Trebuchet MS"/>
                        <w:color w:val="231F20"/>
                        <w:spacing w:val="-1"/>
                        <w:w w:val="96"/>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w w:val="55"/>
                        <w:sz w:val="20"/>
                      </w:rPr>
                      <w:t>.</w:t>
                    </w:r>
                  </w:p>
                </w:txbxContent>
              </v:textbox>
            </v:shape>
            <v:shape id="_x0000_s1266" type="#_x0000_t202" style="position:absolute;left:566;top:1033;width:244;height:235" filled="f" stroked="f">
              <v:textbox inset="0,0,0,0">
                <w:txbxContent>
                  <w:p w14:paraId="4F6F8BD6" w14:textId="77777777" w:rsidR="00894070" w:rsidRDefault="009B7AFD">
                    <w:pPr>
                      <w:rPr>
                        <w:rFonts w:ascii="Trebuchet MS"/>
                        <w:sz w:val="20"/>
                      </w:rPr>
                    </w:pPr>
                    <w:r>
                      <w:rPr>
                        <w:rFonts w:ascii="Trebuchet MS"/>
                        <w:color w:val="231F20"/>
                        <w:spacing w:val="-11"/>
                        <w:w w:val="95"/>
                        <w:sz w:val="20"/>
                      </w:rPr>
                      <w:t>27.</w:t>
                    </w:r>
                  </w:p>
                </w:txbxContent>
              </v:textbox>
            </v:shape>
            <v:shape id="_x0000_s1265" type="#_x0000_t202" style="position:absolute;left:340;width:8731;height:783" fillcolor="#fee7de" stroked="f">
              <v:textbox inset="0,0,0,0">
                <w:txbxContent>
                  <w:p w14:paraId="15B72334"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anchorlock/>
          </v:group>
        </w:pict>
      </w:r>
    </w:p>
    <w:p w14:paraId="712E55FE" w14:textId="77777777" w:rsidR="00894070" w:rsidRDefault="00894070">
      <w:pPr>
        <w:pStyle w:val="BodyText"/>
      </w:pPr>
    </w:p>
    <w:p w14:paraId="19A5EABC" w14:textId="77777777" w:rsidR="00894070" w:rsidRDefault="009B7AFD">
      <w:pPr>
        <w:pStyle w:val="Heading7"/>
        <w:spacing w:before="194"/>
      </w:pPr>
      <w:r>
        <w:rPr>
          <w:color w:val="EA5B50"/>
        </w:rPr>
        <w:t>The need for a different approach for children and young people</w:t>
      </w:r>
    </w:p>
    <w:p w14:paraId="0D2AF2B6" w14:textId="77777777" w:rsidR="00894070" w:rsidRDefault="009B7AFD">
      <w:pPr>
        <w:pStyle w:val="ListParagraph"/>
        <w:numPr>
          <w:ilvl w:val="1"/>
          <w:numId w:val="102"/>
        </w:numPr>
        <w:tabs>
          <w:tab w:val="left" w:pos="1801"/>
          <w:tab w:val="left" w:pos="1802"/>
        </w:tabs>
        <w:spacing w:before="113" w:line="259" w:lineRule="exact"/>
        <w:rPr>
          <w:sz w:val="20"/>
        </w:rPr>
      </w:pPr>
      <w:r>
        <w:rPr>
          <w:color w:val="231F20"/>
          <w:sz w:val="20"/>
        </w:rPr>
        <w:t>The</w:t>
      </w:r>
      <w:r>
        <w:rPr>
          <w:color w:val="231F20"/>
          <w:spacing w:val="-6"/>
          <w:sz w:val="20"/>
        </w:rPr>
        <w:t xml:space="preserve"> </w:t>
      </w:r>
      <w:r>
        <w:rPr>
          <w:color w:val="231F20"/>
          <w:sz w:val="20"/>
        </w:rPr>
        <w:t>PSIO</w:t>
      </w:r>
      <w:r>
        <w:rPr>
          <w:color w:val="231F20"/>
          <w:spacing w:val="-5"/>
          <w:sz w:val="20"/>
        </w:rPr>
        <w:t xml:space="preserve"> </w:t>
      </w:r>
      <w:r>
        <w:rPr>
          <w:color w:val="231F20"/>
          <w:spacing w:val="-2"/>
          <w:sz w:val="20"/>
        </w:rPr>
        <w:t>Act</w:t>
      </w:r>
      <w:r>
        <w:rPr>
          <w:color w:val="231F20"/>
          <w:spacing w:val="-5"/>
          <w:sz w:val="20"/>
        </w:rPr>
        <w:t xml:space="preserve"> </w:t>
      </w:r>
      <w:r>
        <w:rPr>
          <w:color w:val="231F20"/>
          <w:sz w:val="20"/>
        </w:rPr>
        <w:t>permits</w:t>
      </w:r>
      <w:r>
        <w:rPr>
          <w:color w:val="231F20"/>
          <w:spacing w:val="-5"/>
          <w:sz w:val="20"/>
        </w:rPr>
        <w:t xml:space="preserve"> </w:t>
      </w:r>
      <w:r>
        <w:rPr>
          <w:color w:val="231F20"/>
          <w:sz w:val="20"/>
        </w:rPr>
        <w:t>an</w:t>
      </w:r>
      <w:r>
        <w:rPr>
          <w:color w:val="231F20"/>
          <w:spacing w:val="-5"/>
          <w:sz w:val="20"/>
        </w:rPr>
        <w:t xml:space="preserve"> </w:t>
      </w:r>
      <w:r>
        <w:rPr>
          <w:color w:val="231F20"/>
          <w:spacing w:val="-2"/>
          <w:sz w:val="20"/>
        </w:rPr>
        <w:t>intervention</w:t>
      </w:r>
      <w:r>
        <w:rPr>
          <w:color w:val="231F20"/>
          <w:spacing w:val="-5"/>
          <w:sz w:val="20"/>
        </w:rPr>
        <w:t xml:space="preserve"> </w:t>
      </w:r>
      <w:r>
        <w:rPr>
          <w:color w:val="231F20"/>
          <w:sz w:val="20"/>
        </w:rPr>
        <w:t>order</w:t>
      </w:r>
      <w:r>
        <w:rPr>
          <w:color w:val="231F20"/>
          <w:spacing w:val="-5"/>
          <w:sz w:val="20"/>
        </w:rPr>
        <w:t xml:space="preserve"> </w:t>
      </w:r>
      <w:r>
        <w:rPr>
          <w:color w:val="231F20"/>
          <w:sz w:val="20"/>
        </w:rPr>
        <w:t>to</w:t>
      </w:r>
      <w:r>
        <w:rPr>
          <w:color w:val="231F20"/>
          <w:spacing w:val="-6"/>
          <w:sz w:val="20"/>
        </w:rPr>
        <w:t xml:space="preserve"> </w:t>
      </w:r>
      <w:r>
        <w:rPr>
          <w:color w:val="231F20"/>
          <w:sz w:val="20"/>
        </w:rPr>
        <w:t>be</w:t>
      </w:r>
      <w:r>
        <w:rPr>
          <w:color w:val="231F20"/>
          <w:spacing w:val="-5"/>
          <w:sz w:val="20"/>
        </w:rPr>
        <w:t xml:space="preserve"> </w:t>
      </w:r>
      <w:r>
        <w:rPr>
          <w:color w:val="231F20"/>
          <w:sz w:val="20"/>
        </w:rPr>
        <w:t>made</w:t>
      </w:r>
      <w:r>
        <w:rPr>
          <w:color w:val="231F20"/>
          <w:spacing w:val="-5"/>
          <w:sz w:val="20"/>
        </w:rPr>
        <w:t xml:space="preserve"> </w:t>
      </w:r>
      <w:r>
        <w:rPr>
          <w:color w:val="231F20"/>
          <w:sz w:val="20"/>
        </w:rPr>
        <w:t>against</w:t>
      </w:r>
      <w:r>
        <w:rPr>
          <w:color w:val="231F20"/>
          <w:spacing w:val="-5"/>
          <w:sz w:val="20"/>
        </w:rPr>
        <w:t xml:space="preserve"> </w:t>
      </w:r>
      <w:r>
        <w:rPr>
          <w:color w:val="231F20"/>
          <w:sz w:val="20"/>
        </w:rPr>
        <w:t>a</w:t>
      </w:r>
      <w:r>
        <w:rPr>
          <w:color w:val="231F20"/>
          <w:spacing w:val="-5"/>
          <w:sz w:val="20"/>
        </w:rPr>
        <w:t xml:space="preserve"> </w:t>
      </w:r>
      <w:r>
        <w:rPr>
          <w:color w:val="231F20"/>
          <w:sz w:val="20"/>
        </w:rPr>
        <w:t>child</w:t>
      </w:r>
      <w:r>
        <w:rPr>
          <w:color w:val="231F20"/>
          <w:spacing w:val="-5"/>
          <w:sz w:val="20"/>
        </w:rPr>
        <w:t xml:space="preserve"> </w:t>
      </w:r>
      <w:r>
        <w:rPr>
          <w:color w:val="231F20"/>
          <w:sz w:val="20"/>
        </w:rPr>
        <w:t>aged</w:t>
      </w:r>
      <w:r>
        <w:rPr>
          <w:color w:val="231F20"/>
          <w:spacing w:val="-5"/>
          <w:sz w:val="20"/>
        </w:rPr>
        <w:t xml:space="preserve"> </w:t>
      </w:r>
      <w:r>
        <w:rPr>
          <w:color w:val="231F20"/>
          <w:sz w:val="20"/>
        </w:rPr>
        <w:t>ten</w:t>
      </w:r>
      <w:r>
        <w:rPr>
          <w:color w:val="231F20"/>
          <w:spacing w:val="-6"/>
          <w:sz w:val="20"/>
        </w:rPr>
        <w:t xml:space="preserve"> </w:t>
      </w:r>
      <w:r>
        <w:rPr>
          <w:color w:val="231F20"/>
          <w:sz w:val="20"/>
        </w:rPr>
        <w:t>or</w:t>
      </w:r>
    </w:p>
    <w:p w14:paraId="43ADDD60" w14:textId="77777777" w:rsidR="00894070" w:rsidRDefault="009B7AFD">
      <w:pPr>
        <w:spacing w:line="259" w:lineRule="exact"/>
        <w:ind w:left="1801"/>
        <w:rPr>
          <w:sz w:val="11"/>
        </w:rPr>
      </w:pPr>
      <w:r>
        <w:rPr>
          <w:color w:val="231F20"/>
          <w:sz w:val="20"/>
        </w:rPr>
        <w:t>older.</w:t>
      </w:r>
      <w:r>
        <w:rPr>
          <w:color w:val="231F20"/>
          <w:position w:val="7"/>
          <w:sz w:val="11"/>
        </w:rPr>
        <w:t>213</w:t>
      </w:r>
    </w:p>
    <w:p w14:paraId="00127AA1" w14:textId="77777777" w:rsidR="00894070" w:rsidRDefault="009B7AFD">
      <w:pPr>
        <w:pStyle w:val="ListParagraph"/>
        <w:numPr>
          <w:ilvl w:val="1"/>
          <w:numId w:val="102"/>
        </w:numPr>
        <w:tabs>
          <w:tab w:val="left" w:pos="1801"/>
          <w:tab w:val="left" w:pos="1802"/>
        </w:tabs>
        <w:spacing w:before="83" w:line="259" w:lineRule="exact"/>
        <w:rPr>
          <w:sz w:val="20"/>
        </w:rPr>
      </w:pPr>
      <w:r>
        <w:rPr>
          <w:color w:val="231F20"/>
          <w:sz w:val="20"/>
        </w:rPr>
        <w:t>A</w:t>
      </w:r>
      <w:r>
        <w:rPr>
          <w:color w:val="231F20"/>
          <w:spacing w:val="-8"/>
          <w:sz w:val="20"/>
        </w:rPr>
        <w:t xml:space="preserve"> </w:t>
      </w:r>
      <w:r>
        <w:rPr>
          <w:color w:val="231F20"/>
          <w:sz w:val="20"/>
        </w:rPr>
        <w:t>significant</w:t>
      </w:r>
      <w:r>
        <w:rPr>
          <w:color w:val="231F20"/>
          <w:spacing w:val="-8"/>
          <w:sz w:val="20"/>
        </w:rPr>
        <w:t xml:space="preserve"> </w:t>
      </w:r>
      <w:r>
        <w:rPr>
          <w:color w:val="231F20"/>
          <w:sz w:val="20"/>
        </w:rPr>
        <w:t>number</w:t>
      </w:r>
      <w:r>
        <w:rPr>
          <w:color w:val="231F20"/>
          <w:spacing w:val="-8"/>
          <w:sz w:val="20"/>
        </w:rPr>
        <w:t xml:space="preserve"> </w:t>
      </w:r>
      <w:r>
        <w:rPr>
          <w:color w:val="231F20"/>
          <w:sz w:val="20"/>
        </w:rPr>
        <w:t>of</w:t>
      </w:r>
      <w:r>
        <w:rPr>
          <w:color w:val="231F20"/>
          <w:spacing w:val="-7"/>
          <w:sz w:val="20"/>
        </w:rPr>
        <w:t xml:space="preserve"> </w:t>
      </w:r>
      <w:r>
        <w:rPr>
          <w:color w:val="231F20"/>
          <w:sz w:val="20"/>
        </w:rPr>
        <w:t>PSIOs</w:t>
      </w:r>
      <w:r>
        <w:rPr>
          <w:color w:val="231F20"/>
          <w:spacing w:val="-8"/>
          <w:sz w:val="20"/>
        </w:rPr>
        <w:t xml:space="preserve"> </w:t>
      </w:r>
      <w:r>
        <w:rPr>
          <w:color w:val="231F20"/>
          <w:spacing w:val="-5"/>
          <w:sz w:val="20"/>
        </w:rPr>
        <w:t>involve</w:t>
      </w:r>
      <w:r>
        <w:rPr>
          <w:color w:val="231F20"/>
          <w:spacing w:val="-8"/>
          <w:sz w:val="20"/>
        </w:rPr>
        <w:t xml:space="preserve"> </w:t>
      </w:r>
      <w:r>
        <w:rPr>
          <w:color w:val="231F20"/>
          <w:spacing w:val="-3"/>
          <w:sz w:val="20"/>
        </w:rPr>
        <w:t>children,</w:t>
      </w:r>
      <w:r>
        <w:rPr>
          <w:color w:val="231F20"/>
          <w:spacing w:val="-8"/>
          <w:sz w:val="20"/>
        </w:rPr>
        <w:t xml:space="preserve"> </w:t>
      </w:r>
      <w:r>
        <w:rPr>
          <w:color w:val="231F20"/>
          <w:sz w:val="20"/>
        </w:rPr>
        <w:t>with</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Children’s</w:t>
      </w:r>
      <w:r>
        <w:rPr>
          <w:color w:val="231F20"/>
          <w:spacing w:val="-8"/>
          <w:sz w:val="20"/>
        </w:rPr>
        <w:t xml:space="preserve"> </w:t>
      </w:r>
      <w:r>
        <w:rPr>
          <w:color w:val="231F20"/>
          <w:sz w:val="20"/>
        </w:rPr>
        <w:t>Court</w:t>
      </w:r>
      <w:r>
        <w:rPr>
          <w:color w:val="231F20"/>
          <w:spacing w:val="-8"/>
          <w:sz w:val="20"/>
        </w:rPr>
        <w:t xml:space="preserve"> </w:t>
      </w:r>
      <w:r>
        <w:rPr>
          <w:color w:val="231F20"/>
          <w:sz w:val="20"/>
        </w:rPr>
        <w:t>issuing</w:t>
      </w:r>
      <w:r>
        <w:rPr>
          <w:color w:val="231F20"/>
          <w:spacing w:val="-7"/>
          <w:sz w:val="20"/>
        </w:rPr>
        <w:t xml:space="preserve"> </w:t>
      </w:r>
      <w:r>
        <w:rPr>
          <w:color w:val="231F20"/>
          <w:sz w:val="20"/>
        </w:rPr>
        <w:t>around</w:t>
      </w:r>
    </w:p>
    <w:p w14:paraId="5FF7224A" w14:textId="77777777" w:rsidR="00894070" w:rsidRDefault="009B7AFD">
      <w:pPr>
        <w:pStyle w:val="BodyText"/>
        <w:spacing w:line="259" w:lineRule="exact"/>
        <w:ind w:left="1801"/>
        <w:rPr>
          <w:sz w:val="11"/>
        </w:rPr>
      </w:pPr>
      <w:r>
        <w:rPr>
          <w:color w:val="231F20"/>
        </w:rPr>
        <w:t>8 per cent of PSIOs.</w:t>
      </w:r>
      <w:r>
        <w:rPr>
          <w:color w:val="231F20"/>
          <w:position w:val="7"/>
          <w:sz w:val="11"/>
        </w:rPr>
        <w:t>214</w:t>
      </w:r>
    </w:p>
    <w:p w14:paraId="26EB6CBE" w14:textId="77777777" w:rsidR="00894070" w:rsidRDefault="009B7AFD">
      <w:pPr>
        <w:pStyle w:val="ListParagraph"/>
        <w:numPr>
          <w:ilvl w:val="1"/>
          <w:numId w:val="102"/>
        </w:numPr>
        <w:tabs>
          <w:tab w:val="left" w:pos="1801"/>
          <w:tab w:val="left" w:pos="1802"/>
        </w:tabs>
        <w:spacing w:before="115" w:line="206" w:lineRule="auto"/>
        <w:ind w:right="1513"/>
        <w:rPr>
          <w:sz w:val="11"/>
        </w:rPr>
      </w:pPr>
      <w:r>
        <w:rPr>
          <w:color w:val="231F20"/>
          <w:spacing w:val="-3"/>
          <w:sz w:val="20"/>
        </w:rPr>
        <w:t>At</w:t>
      </w:r>
      <w:r>
        <w:rPr>
          <w:color w:val="231F20"/>
          <w:spacing w:val="-8"/>
          <w:sz w:val="20"/>
        </w:rPr>
        <w:t xml:space="preserve"> </w:t>
      </w:r>
      <w:r>
        <w:rPr>
          <w:color w:val="231F20"/>
          <w:sz w:val="20"/>
        </w:rPr>
        <w:t>least</w:t>
      </w:r>
      <w:r>
        <w:rPr>
          <w:color w:val="231F20"/>
          <w:spacing w:val="-8"/>
          <w:sz w:val="20"/>
        </w:rPr>
        <w:t xml:space="preserve"> </w:t>
      </w:r>
      <w:r>
        <w:rPr>
          <w:color w:val="231F20"/>
          <w:sz w:val="20"/>
        </w:rPr>
        <w:t>27</w:t>
      </w:r>
      <w:r>
        <w:rPr>
          <w:color w:val="231F20"/>
          <w:spacing w:val="-8"/>
          <w:sz w:val="20"/>
        </w:rPr>
        <w:t xml:space="preserve"> </w:t>
      </w:r>
      <w:r>
        <w:rPr>
          <w:color w:val="231F20"/>
          <w:sz w:val="20"/>
        </w:rPr>
        <w:t>per</w:t>
      </w:r>
      <w:r>
        <w:rPr>
          <w:color w:val="231F20"/>
          <w:spacing w:val="-7"/>
          <w:sz w:val="20"/>
        </w:rPr>
        <w:t xml:space="preserve"> </w:t>
      </w:r>
      <w:r>
        <w:rPr>
          <w:color w:val="231F20"/>
          <w:sz w:val="20"/>
        </w:rPr>
        <w:t>cent</w:t>
      </w:r>
      <w:r>
        <w:rPr>
          <w:color w:val="231F20"/>
          <w:spacing w:val="-8"/>
          <w:sz w:val="20"/>
        </w:rPr>
        <w:t xml:space="preserve"> </w:t>
      </w:r>
      <w:r>
        <w:rPr>
          <w:color w:val="231F20"/>
          <w:sz w:val="20"/>
        </w:rPr>
        <w:t>of</w:t>
      </w:r>
      <w:r>
        <w:rPr>
          <w:color w:val="231F20"/>
          <w:spacing w:val="-8"/>
          <w:sz w:val="20"/>
        </w:rPr>
        <w:t xml:space="preserve"> </w:t>
      </w:r>
      <w:r>
        <w:rPr>
          <w:color w:val="231F20"/>
          <w:spacing w:val="-3"/>
          <w:sz w:val="20"/>
        </w:rPr>
        <w:t>protected</w:t>
      </w:r>
      <w:r>
        <w:rPr>
          <w:color w:val="231F20"/>
          <w:spacing w:val="-8"/>
          <w:sz w:val="20"/>
        </w:rPr>
        <w:t xml:space="preserve"> </w:t>
      </w:r>
      <w:r>
        <w:rPr>
          <w:color w:val="231F20"/>
          <w:sz w:val="20"/>
        </w:rPr>
        <w:t>persons</w:t>
      </w:r>
      <w:r>
        <w:rPr>
          <w:color w:val="231F20"/>
          <w:spacing w:val="-7"/>
          <w:sz w:val="20"/>
        </w:rPr>
        <w:t xml:space="preserve"> </w:t>
      </w:r>
      <w:r>
        <w:rPr>
          <w:color w:val="231F20"/>
          <w:sz w:val="20"/>
        </w:rPr>
        <w:t>had</w:t>
      </w:r>
      <w:r>
        <w:rPr>
          <w:color w:val="231F20"/>
          <w:spacing w:val="-8"/>
          <w:sz w:val="20"/>
        </w:rPr>
        <w:t xml:space="preserve"> </w:t>
      </w:r>
      <w:r>
        <w:rPr>
          <w:color w:val="231F20"/>
          <w:spacing w:val="-3"/>
          <w:sz w:val="20"/>
        </w:rPr>
        <w:t>school-related</w:t>
      </w:r>
      <w:r>
        <w:rPr>
          <w:color w:val="231F20"/>
          <w:spacing w:val="-8"/>
          <w:sz w:val="20"/>
        </w:rPr>
        <w:t xml:space="preserve"> </w:t>
      </w:r>
      <w:r>
        <w:rPr>
          <w:color w:val="231F20"/>
          <w:sz w:val="20"/>
        </w:rPr>
        <w:t>relationships,</w:t>
      </w:r>
      <w:r>
        <w:rPr>
          <w:color w:val="231F20"/>
          <w:spacing w:val="-8"/>
          <w:sz w:val="20"/>
        </w:rPr>
        <w:t xml:space="preserve"> </w:t>
      </w:r>
      <w:r>
        <w:rPr>
          <w:color w:val="231F20"/>
          <w:sz w:val="20"/>
        </w:rPr>
        <w:t>meaning the</w:t>
      </w:r>
      <w:r>
        <w:rPr>
          <w:color w:val="231F20"/>
          <w:spacing w:val="-9"/>
          <w:sz w:val="20"/>
        </w:rPr>
        <w:t xml:space="preserve"> </w:t>
      </w:r>
      <w:r>
        <w:rPr>
          <w:color w:val="231F20"/>
          <w:sz w:val="20"/>
        </w:rPr>
        <w:t>PSIOs</w:t>
      </w:r>
      <w:r>
        <w:rPr>
          <w:color w:val="231F20"/>
          <w:spacing w:val="-9"/>
          <w:sz w:val="20"/>
        </w:rPr>
        <w:t xml:space="preserve"> </w:t>
      </w:r>
      <w:r>
        <w:rPr>
          <w:color w:val="231F20"/>
          <w:spacing w:val="-4"/>
          <w:sz w:val="20"/>
        </w:rPr>
        <w:t>were</w:t>
      </w:r>
      <w:r>
        <w:rPr>
          <w:color w:val="231F20"/>
          <w:spacing w:val="-8"/>
          <w:sz w:val="20"/>
        </w:rPr>
        <w:t xml:space="preserve"> </w:t>
      </w:r>
      <w:r>
        <w:rPr>
          <w:color w:val="231F20"/>
          <w:sz w:val="20"/>
        </w:rPr>
        <w:t>against</w:t>
      </w:r>
      <w:r>
        <w:rPr>
          <w:color w:val="231F20"/>
          <w:spacing w:val="-9"/>
          <w:sz w:val="20"/>
        </w:rPr>
        <w:t xml:space="preserve"> </w:t>
      </w:r>
      <w:r>
        <w:rPr>
          <w:color w:val="231F20"/>
          <w:sz w:val="20"/>
        </w:rPr>
        <w:t>a</w:t>
      </w:r>
      <w:r>
        <w:rPr>
          <w:color w:val="231F20"/>
          <w:spacing w:val="-9"/>
          <w:sz w:val="20"/>
        </w:rPr>
        <w:t xml:space="preserve"> </w:t>
      </w:r>
      <w:r>
        <w:rPr>
          <w:color w:val="231F20"/>
          <w:sz w:val="20"/>
        </w:rPr>
        <w:t>schoolmate,</w:t>
      </w:r>
      <w:r>
        <w:rPr>
          <w:color w:val="231F20"/>
          <w:spacing w:val="-8"/>
          <w:sz w:val="20"/>
        </w:rPr>
        <w:t xml:space="preserve"> </w:t>
      </w:r>
      <w:r>
        <w:rPr>
          <w:color w:val="231F20"/>
          <w:sz w:val="20"/>
        </w:rPr>
        <w:t>a</w:t>
      </w:r>
      <w:r>
        <w:rPr>
          <w:color w:val="231F20"/>
          <w:spacing w:val="-9"/>
          <w:sz w:val="20"/>
        </w:rPr>
        <w:t xml:space="preserve"> </w:t>
      </w:r>
      <w:proofErr w:type="gramStart"/>
      <w:r>
        <w:rPr>
          <w:color w:val="231F20"/>
          <w:sz w:val="20"/>
        </w:rPr>
        <w:t>student</w:t>
      </w:r>
      <w:proofErr w:type="gramEnd"/>
      <w:r>
        <w:rPr>
          <w:color w:val="231F20"/>
          <w:spacing w:val="-8"/>
          <w:sz w:val="20"/>
        </w:rPr>
        <w:t xml:space="preserve"> </w:t>
      </w:r>
      <w:r>
        <w:rPr>
          <w:color w:val="231F20"/>
          <w:sz w:val="20"/>
        </w:rPr>
        <w:t>or</w:t>
      </w:r>
      <w:r>
        <w:rPr>
          <w:color w:val="231F20"/>
          <w:spacing w:val="-9"/>
          <w:sz w:val="20"/>
        </w:rPr>
        <w:t xml:space="preserve"> </w:t>
      </w:r>
      <w:r>
        <w:rPr>
          <w:color w:val="231F20"/>
          <w:sz w:val="20"/>
        </w:rPr>
        <w:t>a</w:t>
      </w:r>
      <w:r>
        <w:rPr>
          <w:color w:val="231F20"/>
          <w:spacing w:val="-9"/>
          <w:sz w:val="20"/>
        </w:rPr>
        <w:t xml:space="preserve"> </w:t>
      </w:r>
      <w:r>
        <w:rPr>
          <w:color w:val="231F20"/>
          <w:sz w:val="20"/>
        </w:rPr>
        <w:t>teacher.</w:t>
      </w:r>
      <w:r>
        <w:rPr>
          <w:color w:val="231F20"/>
          <w:position w:val="7"/>
          <w:sz w:val="11"/>
        </w:rPr>
        <w:t>215</w:t>
      </w:r>
      <w:r>
        <w:rPr>
          <w:color w:val="231F20"/>
          <w:spacing w:val="16"/>
          <w:position w:val="7"/>
          <w:sz w:val="11"/>
        </w:rPr>
        <w:t xml:space="preserve"> </w:t>
      </w:r>
      <w:r>
        <w:rPr>
          <w:color w:val="231F20"/>
          <w:sz w:val="20"/>
        </w:rPr>
        <w:t>Another</w:t>
      </w:r>
      <w:r>
        <w:rPr>
          <w:color w:val="231F20"/>
          <w:spacing w:val="-9"/>
          <w:sz w:val="20"/>
        </w:rPr>
        <w:t xml:space="preserve"> </w:t>
      </w:r>
      <w:r>
        <w:rPr>
          <w:color w:val="231F20"/>
          <w:sz w:val="20"/>
        </w:rPr>
        <w:t>25</w:t>
      </w:r>
      <w:r>
        <w:rPr>
          <w:color w:val="231F20"/>
          <w:spacing w:val="-9"/>
          <w:sz w:val="20"/>
        </w:rPr>
        <w:t xml:space="preserve"> </w:t>
      </w:r>
      <w:r>
        <w:rPr>
          <w:color w:val="231F20"/>
          <w:sz w:val="20"/>
        </w:rPr>
        <w:t>per</w:t>
      </w:r>
      <w:r>
        <w:rPr>
          <w:color w:val="231F20"/>
          <w:spacing w:val="-8"/>
          <w:sz w:val="20"/>
        </w:rPr>
        <w:t xml:space="preserve"> </w:t>
      </w:r>
      <w:r>
        <w:rPr>
          <w:color w:val="231F20"/>
          <w:sz w:val="20"/>
        </w:rPr>
        <w:t xml:space="preserve">cent </w:t>
      </w:r>
      <w:r>
        <w:rPr>
          <w:color w:val="231F20"/>
          <w:spacing w:val="-4"/>
          <w:sz w:val="20"/>
        </w:rPr>
        <w:t xml:space="preserve">were </w:t>
      </w:r>
      <w:r>
        <w:rPr>
          <w:color w:val="231F20"/>
          <w:sz w:val="20"/>
        </w:rPr>
        <w:t xml:space="preserve">friends or former friends, some of whom </w:t>
      </w:r>
      <w:r>
        <w:rPr>
          <w:color w:val="231F20"/>
          <w:spacing w:val="-3"/>
          <w:sz w:val="20"/>
        </w:rPr>
        <w:t xml:space="preserve">may </w:t>
      </w:r>
      <w:r>
        <w:rPr>
          <w:color w:val="231F20"/>
          <w:sz w:val="20"/>
        </w:rPr>
        <w:t xml:space="preserve">also </w:t>
      </w:r>
      <w:r>
        <w:rPr>
          <w:color w:val="231F20"/>
          <w:spacing w:val="-4"/>
          <w:sz w:val="20"/>
        </w:rPr>
        <w:t xml:space="preserve">have </w:t>
      </w:r>
      <w:r>
        <w:rPr>
          <w:color w:val="231F20"/>
          <w:sz w:val="20"/>
        </w:rPr>
        <w:t xml:space="preserve">had </w:t>
      </w:r>
      <w:r>
        <w:rPr>
          <w:color w:val="231F20"/>
          <w:spacing w:val="-3"/>
          <w:sz w:val="20"/>
        </w:rPr>
        <w:t xml:space="preserve">school-related </w:t>
      </w:r>
      <w:r>
        <w:rPr>
          <w:color w:val="231F20"/>
          <w:sz w:val="20"/>
        </w:rPr>
        <w:t>relationships.</w:t>
      </w:r>
      <w:r>
        <w:rPr>
          <w:color w:val="231F20"/>
          <w:position w:val="7"/>
          <w:sz w:val="11"/>
        </w:rPr>
        <w:t>216</w:t>
      </w:r>
    </w:p>
    <w:p w14:paraId="30B77FCE" w14:textId="77777777" w:rsidR="00894070" w:rsidRDefault="009B7AFD">
      <w:pPr>
        <w:pStyle w:val="ListParagraph"/>
        <w:numPr>
          <w:ilvl w:val="1"/>
          <w:numId w:val="102"/>
        </w:numPr>
        <w:tabs>
          <w:tab w:val="left" w:pos="1801"/>
          <w:tab w:val="left" w:pos="1802"/>
        </w:tabs>
        <w:spacing w:before="125" w:line="206" w:lineRule="auto"/>
        <w:ind w:right="1226"/>
        <w:rPr>
          <w:sz w:val="20"/>
        </w:rPr>
      </w:pPr>
      <w:r>
        <w:rPr>
          <w:color w:val="231F20"/>
          <w:sz w:val="20"/>
        </w:rPr>
        <w:t xml:space="preserve">The PSIO legislation recognises that </w:t>
      </w:r>
      <w:r>
        <w:rPr>
          <w:color w:val="231F20"/>
          <w:spacing w:val="-3"/>
          <w:sz w:val="20"/>
        </w:rPr>
        <w:t xml:space="preserve">children </w:t>
      </w:r>
      <w:r>
        <w:rPr>
          <w:color w:val="231F20"/>
          <w:sz w:val="20"/>
        </w:rPr>
        <w:t xml:space="preserve">should be </w:t>
      </w:r>
      <w:r>
        <w:rPr>
          <w:color w:val="231F20"/>
          <w:spacing w:val="-3"/>
          <w:sz w:val="20"/>
        </w:rPr>
        <w:t xml:space="preserve">treated differently </w:t>
      </w:r>
      <w:r>
        <w:rPr>
          <w:color w:val="231F20"/>
          <w:sz w:val="20"/>
        </w:rPr>
        <w:t>to adults.</w:t>
      </w:r>
      <w:r>
        <w:rPr>
          <w:color w:val="231F20"/>
          <w:position w:val="7"/>
          <w:sz w:val="11"/>
        </w:rPr>
        <w:t>217</w:t>
      </w:r>
      <w:r>
        <w:rPr>
          <w:color w:val="231F20"/>
          <w:sz w:val="11"/>
        </w:rPr>
        <w:t xml:space="preserve"> </w:t>
      </w:r>
      <w:r>
        <w:rPr>
          <w:color w:val="231F20"/>
          <w:sz w:val="20"/>
        </w:rPr>
        <w:t>But</w:t>
      </w:r>
      <w:r>
        <w:rPr>
          <w:color w:val="231F20"/>
          <w:spacing w:val="-9"/>
          <w:sz w:val="20"/>
        </w:rPr>
        <w:t xml:space="preserve"> </w:t>
      </w:r>
      <w:r>
        <w:rPr>
          <w:color w:val="231F20"/>
          <w:sz w:val="20"/>
        </w:rPr>
        <w:t>the</w:t>
      </w:r>
      <w:r>
        <w:rPr>
          <w:color w:val="231F20"/>
          <w:spacing w:val="-9"/>
          <w:sz w:val="20"/>
        </w:rPr>
        <w:t xml:space="preserve"> </w:t>
      </w:r>
      <w:r>
        <w:rPr>
          <w:color w:val="231F20"/>
          <w:sz w:val="20"/>
        </w:rPr>
        <w:t>approach</w:t>
      </w:r>
      <w:r>
        <w:rPr>
          <w:color w:val="231F20"/>
          <w:spacing w:val="-8"/>
          <w:sz w:val="20"/>
        </w:rPr>
        <w:t xml:space="preserve"> </w:t>
      </w:r>
      <w:r>
        <w:rPr>
          <w:color w:val="231F20"/>
          <w:sz w:val="20"/>
        </w:rPr>
        <w:t>does</w:t>
      </w:r>
      <w:r>
        <w:rPr>
          <w:color w:val="231F20"/>
          <w:spacing w:val="-9"/>
          <w:sz w:val="20"/>
        </w:rPr>
        <w:t xml:space="preserve"> </w:t>
      </w:r>
      <w:r>
        <w:rPr>
          <w:color w:val="231F20"/>
          <w:sz w:val="20"/>
        </w:rPr>
        <w:t>not</w:t>
      </w:r>
      <w:r>
        <w:rPr>
          <w:color w:val="231F20"/>
          <w:spacing w:val="-8"/>
          <w:sz w:val="20"/>
        </w:rPr>
        <w:t xml:space="preserve"> </w:t>
      </w:r>
      <w:r>
        <w:rPr>
          <w:color w:val="231F20"/>
          <w:sz w:val="20"/>
        </w:rPr>
        <w:t>go</w:t>
      </w:r>
      <w:r>
        <w:rPr>
          <w:color w:val="231F20"/>
          <w:spacing w:val="-9"/>
          <w:sz w:val="20"/>
        </w:rPr>
        <w:t xml:space="preserve"> </w:t>
      </w:r>
      <w:r>
        <w:rPr>
          <w:color w:val="231F20"/>
          <w:sz w:val="20"/>
        </w:rPr>
        <w:t>far</w:t>
      </w:r>
      <w:r>
        <w:rPr>
          <w:color w:val="231F20"/>
          <w:spacing w:val="-8"/>
          <w:sz w:val="20"/>
        </w:rPr>
        <w:t xml:space="preserve"> </w:t>
      </w:r>
      <w:r>
        <w:rPr>
          <w:color w:val="231F20"/>
          <w:sz w:val="20"/>
        </w:rPr>
        <w:t>enough</w:t>
      </w:r>
      <w:r>
        <w:rPr>
          <w:color w:val="231F20"/>
          <w:spacing w:val="-9"/>
          <w:sz w:val="20"/>
        </w:rPr>
        <w:t xml:space="preserve"> </w:t>
      </w:r>
      <w:r>
        <w:rPr>
          <w:color w:val="231F20"/>
          <w:sz w:val="20"/>
        </w:rPr>
        <w:t>in</w:t>
      </w:r>
      <w:r>
        <w:rPr>
          <w:color w:val="231F20"/>
          <w:spacing w:val="-8"/>
          <w:sz w:val="20"/>
        </w:rPr>
        <w:t xml:space="preserve"> </w:t>
      </w:r>
      <w:r>
        <w:rPr>
          <w:color w:val="231F20"/>
          <w:sz w:val="20"/>
        </w:rPr>
        <w:t>emphasising</w:t>
      </w:r>
      <w:r>
        <w:rPr>
          <w:color w:val="231F20"/>
          <w:spacing w:val="-9"/>
          <w:sz w:val="20"/>
        </w:rPr>
        <w:t xml:space="preserve"> </w:t>
      </w:r>
      <w:r>
        <w:rPr>
          <w:color w:val="231F20"/>
          <w:sz w:val="20"/>
        </w:rPr>
        <w:t>their</w:t>
      </w:r>
      <w:r>
        <w:rPr>
          <w:color w:val="231F20"/>
          <w:spacing w:val="-8"/>
          <w:sz w:val="20"/>
        </w:rPr>
        <w:t xml:space="preserve"> </w:t>
      </w:r>
      <w:r>
        <w:rPr>
          <w:color w:val="231F20"/>
          <w:spacing w:val="-3"/>
          <w:sz w:val="20"/>
        </w:rPr>
        <w:t>different</w:t>
      </w:r>
      <w:r>
        <w:rPr>
          <w:color w:val="231F20"/>
          <w:spacing w:val="-9"/>
          <w:sz w:val="20"/>
        </w:rPr>
        <w:t xml:space="preserve"> </w:t>
      </w:r>
      <w:r>
        <w:rPr>
          <w:color w:val="231F20"/>
          <w:spacing w:val="-3"/>
          <w:sz w:val="20"/>
        </w:rPr>
        <w:t xml:space="preserve">developmental </w:t>
      </w:r>
      <w:r>
        <w:rPr>
          <w:color w:val="231F20"/>
          <w:sz w:val="20"/>
        </w:rPr>
        <w:t xml:space="preserve">stage and the value of </w:t>
      </w:r>
      <w:r>
        <w:rPr>
          <w:color w:val="231F20"/>
          <w:spacing w:val="-3"/>
          <w:sz w:val="20"/>
        </w:rPr>
        <w:t xml:space="preserve">early </w:t>
      </w:r>
      <w:r>
        <w:rPr>
          <w:color w:val="231F20"/>
          <w:spacing w:val="-2"/>
          <w:sz w:val="20"/>
        </w:rPr>
        <w:t xml:space="preserve">intervention </w:t>
      </w:r>
      <w:r>
        <w:rPr>
          <w:color w:val="231F20"/>
          <w:sz w:val="20"/>
        </w:rPr>
        <w:t>and therapeutic</w:t>
      </w:r>
      <w:r>
        <w:rPr>
          <w:color w:val="231F20"/>
          <w:spacing w:val="-37"/>
          <w:sz w:val="20"/>
        </w:rPr>
        <w:t xml:space="preserve"> </w:t>
      </w:r>
      <w:r>
        <w:rPr>
          <w:color w:val="231F20"/>
          <w:spacing w:val="-3"/>
          <w:sz w:val="20"/>
        </w:rPr>
        <w:t>pathways.</w:t>
      </w:r>
    </w:p>
    <w:p w14:paraId="0AAEBFF4" w14:textId="77777777" w:rsidR="00894070" w:rsidRDefault="009B7AFD">
      <w:pPr>
        <w:pStyle w:val="ListParagraph"/>
        <w:numPr>
          <w:ilvl w:val="1"/>
          <w:numId w:val="102"/>
        </w:numPr>
        <w:tabs>
          <w:tab w:val="left" w:pos="1801"/>
          <w:tab w:val="left" w:pos="1802"/>
        </w:tabs>
        <w:spacing w:before="123" w:line="206" w:lineRule="auto"/>
        <w:ind w:right="1218"/>
        <w:rPr>
          <w:sz w:val="20"/>
        </w:rPr>
      </w:pPr>
      <w:r>
        <w:rPr>
          <w:color w:val="231F20"/>
          <w:sz w:val="20"/>
        </w:rPr>
        <w:t xml:space="preserve">The criminal justice </w:t>
      </w:r>
      <w:r>
        <w:rPr>
          <w:color w:val="231F20"/>
          <w:spacing w:val="-2"/>
          <w:sz w:val="20"/>
        </w:rPr>
        <w:t xml:space="preserve">system </w:t>
      </w:r>
      <w:r>
        <w:rPr>
          <w:color w:val="231F20"/>
          <w:sz w:val="20"/>
        </w:rPr>
        <w:t xml:space="preserve">has long recognised the reduced culpability of </w:t>
      </w:r>
      <w:r>
        <w:rPr>
          <w:color w:val="231F20"/>
          <w:spacing w:val="-3"/>
          <w:sz w:val="20"/>
        </w:rPr>
        <w:t xml:space="preserve">children </w:t>
      </w:r>
      <w:r>
        <w:rPr>
          <w:color w:val="231F20"/>
          <w:sz w:val="20"/>
        </w:rPr>
        <w:t xml:space="preserve">compared to adults, and the important </w:t>
      </w:r>
      <w:r>
        <w:rPr>
          <w:color w:val="231F20"/>
          <w:spacing w:val="-3"/>
          <w:sz w:val="20"/>
        </w:rPr>
        <w:t xml:space="preserve">role </w:t>
      </w:r>
      <w:r>
        <w:rPr>
          <w:color w:val="231F20"/>
          <w:sz w:val="20"/>
        </w:rPr>
        <w:t xml:space="preserve">of </w:t>
      </w:r>
      <w:r>
        <w:rPr>
          <w:color w:val="231F20"/>
          <w:spacing w:val="-3"/>
          <w:sz w:val="20"/>
        </w:rPr>
        <w:t xml:space="preserve">early </w:t>
      </w:r>
      <w:r>
        <w:rPr>
          <w:color w:val="231F20"/>
          <w:sz w:val="20"/>
        </w:rPr>
        <w:t>and therapeutic interventions.</w:t>
      </w:r>
      <w:r>
        <w:rPr>
          <w:color w:val="231F20"/>
          <w:position w:val="7"/>
          <w:sz w:val="11"/>
        </w:rPr>
        <w:t>218</w:t>
      </w:r>
      <w:r>
        <w:rPr>
          <w:color w:val="231F20"/>
          <w:sz w:val="11"/>
        </w:rPr>
        <w:t xml:space="preserve"> </w:t>
      </w:r>
      <w:r>
        <w:rPr>
          <w:color w:val="231F20"/>
          <w:spacing w:val="-6"/>
          <w:sz w:val="20"/>
        </w:rPr>
        <w:t>We</w:t>
      </w:r>
      <w:r>
        <w:rPr>
          <w:color w:val="231F20"/>
          <w:spacing w:val="-9"/>
          <w:sz w:val="20"/>
        </w:rPr>
        <w:t xml:space="preserve"> </w:t>
      </w:r>
      <w:r>
        <w:rPr>
          <w:color w:val="231F20"/>
          <w:sz w:val="20"/>
        </w:rPr>
        <w:t>consider</w:t>
      </w:r>
      <w:r>
        <w:rPr>
          <w:color w:val="231F20"/>
          <w:spacing w:val="-9"/>
          <w:sz w:val="20"/>
        </w:rPr>
        <w:t xml:space="preserve"> </w:t>
      </w:r>
      <w:r>
        <w:rPr>
          <w:color w:val="231F20"/>
          <w:sz w:val="20"/>
        </w:rPr>
        <w:t>a</w:t>
      </w:r>
      <w:r>
        <w:rPr>
          <w:color w:val="231F20"/>
          <w:spacing w:val="-8"/>
          <w:sz w:val="20"/>
        </w:rPr>
        <w:t xml:space="preserve"> </w:t>
      </w:r>
      <w:r>
        <w:rPr>
          <w:color w:val="231F20"/>
          <w:sz w:val="20"/>
        </w:rPr>
        <w:t>similar</w:t>
      </w:r>
      <w:r>
        <w:rPr>
          <w:color w:val="231F20"/>
          <w:spacing w:val="-9"/>
          <w:sz w:val="20"/>
        </w:rPr>
        <w:t xml:space="preserve"> </w:t>
      </w:r>
      <w:r>
        <w:rPr>
          <w:color w:val="231F20"/>
          <w:sz w:val="20"/>
        </w:rPr>
        <w:t>approach</w:t>
      </w:r>
      <w:r>
        <w:rPr>
          <w:color w:val="231F20"/>
          <w:spacing w:val="-8"/>
          <w:sz w:val="20"/>
        </w:rPr>
        <w:t xml:space="preserve"> </w:t>
      </w:r>
      <w:r>
        <w:rPr>
          <w:color w:val="231F20"/>
          <w:sz w:val="20"/>
        </w:rPr>
        <w:t>to</w:t>
      </w:r>
      <w:r>
        <w:rPr>
          <w:color w:val="231F20"/>
          <w:spacing w:val="-9"/>
          <w:sz w:val="20"/>
        </w:rPr>
        <w:t xml:space="preserve"> </w:t>
      </w:r>
      <w:r>
        <w:rPr>
          <w:color w:val="231F20"/>
          <w:sz w:val="20"/>
        </w:rPr>
        <w:t>be</w:t>
      </w:r>
      <w:r>
        <w:rPr>
          <w:color w:val="231F20"/>
          <w:spacing w:val="-9"/>
          <w:sz w:val="20"/>
        </w:rPr>
        <w:t xml:space="preserve"> </w:t>
      </w:r>
      <w:r>
        <w:rPr>
          <w:color w:val="231F20"/>
          <w:spacing w:val="-3"/>
          <w:sz w:val="20"/>
        </w:rPr>
        <w:t>appropriate</w:t>
      </w:r>
      <w:r>
        <w:rPr>
          <w:color w:val="231F20"/>
          <w:spacing w:val="-8"/>
          <w:sz w:val="20"/>
        </w:rPr>
        <w:t xml:space="preserve"> </w:t>
      </w:r>
      <w:r>
        <w:rPr>
          <w:color w:val="231F20"/>
          <w:spacing w:val="-3"/>
          <w:sz w:val="20"/>
        </w:rPr>
        <w:t>for</w:t>
      </w:r>
      <w:r>
        <w:rPr>
          <w:color w:val="231F20"/>
          <w:spacing w:val="-9"/>
          <w:sz w:val="20"/>
        </w:rPr>
        <w:t xml:space="preserve"> </w:t>
      </w:r>
      <w:r>
        <w:rPr>
          <w:color w:val="231F20"/>
          <w:sz w:val="20"/>
        </w:rPr>
        <w:t>stalking</w:t>
      </w:r>
      <w:r>
        <w:rPr>
          <w:color w:val="231F20"/>
          <w:spacing w:val="-8"/>
          <w:sz w:val="20"/>
        </w:rPr>
        <w:t xml:space="preserve"> </w:t>
      </w:r>
      <w:r>
        <w:rPr>
          <w:color w:val="231F20"/>
          <w:sz w:val="20"/>
        </w:rPr>
        <w:t>matters</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8"/>
          <w:sz w:val="20"/>
        </w:rPr>
        <w:t xml:space="preserve"> </w:t>
      </w:r>
      <w:r>
        <w:rPr>
          <w:color w:val="231F20"/>
          <w:sz w:val="20"/>
        </w:rPr>
        <w:t>civil</w:t>
      </w:r>
      <w:r>
        <w:rPr>
          <w:color w:val="231F20"/>
          <w:spacing w:val="-9"/>
          <w:sz w:val="20"/>
        </w:rPr>
        <w:t xml:space="preserve"> </w:t>
      </w:r>
      <w:r>
        <w:rPr>
          <w:color w:val="231F20"/>
          <w:sz w:val="20"/>
        </w:rPr>
        <w:t>justice system.</w:t>
      </w:r>
    </w:p>
    <w:p w14:paraId="6D06BD5E" w14:textId="77777777" w:rsidR="00894070" w:rsidRDefault="009B7AFD">
      <w:pPr>
        <w:pStyle w:val="ListParagraph"/>
        <w:numPr>
          <w:ilvl w:val="1"/>
          <w:numId w:val="102"/>
        </w:numPr>
        <w:tabs>
          <w:tab w:val="left" w:pos="1801"/>
          <w:tab w:val="left" w:pos="1802"/>
        </w:tabs>
        <w:spacing w:before="125" w:line="206" w:lineRule="auto"/>
        <w:ind w:right="1286"/>
        <w:rPr>
          <w:sz w:val="20"/>
        </w:rPr>
      </w:pPr>
      <w:r>
        <w:rPr>
          <w:color w:val="231F20"/>
          <w:sz w:val="20"/>
        </w:rPr>
        <w:t xml:space="preserve">There </w:t>
      </w:r>
      <w:r>
        <w:rPr>
          <w:color w:val="231F20"/>
          <w:spacing w:val="-3"/>
          <w:sz w:val="20"/>
        </w:rPr>
        <w:t xml:space="preserve">are </w:t>
      </w:r>
      <w:r>
        <w:rPr>
          <w:color w:val="231F20"/>
          <w:sz w:val="20"/>
        </w:rPr>
        <w:t xml:space="preserve">evidence-based, </w:t>
      </w:r>
      <w:r>
        <w:rPr>
          <w:color w:val="231F20"/>
          <w:spacing w:val="-3"/>
          <w:sz w:val="20"/>
        </w:rPr>
        <w:t xml:space="preserve">developmental </w:t>
      </w:r>
      <w:r>
        <w:rPr>
          <w:color w:val="231F20"/>
          <w:sz w:val="20"/>
        </w:rPr>
        <w:t xml:space="preserve">reasons </w:t>
      </w:r>
      <w:r>
        <w:rPr>
          <w:color w:val="231F20"/>
          <w:spacing w:val="-3"/>
          <w:sz w:val="20"/>
        </w:rPr>
        <w:t xml:space="preserve">for </w:t>
      </w:r>
      <w:r>
        <w:rPr>
          <w:color w:val="231F20"/>
          <w:sz w:val="20"/>
        </w:rPr>
        <w:t xml:space="preserve">a </w:t>
      </w:r>
      <w:r>
        <w:rPr>
          <w:color w:val="231F20"/>
          <w:spacing w:val="-3"/>
          <w:sz w:val="20"/>
        </w:rPr>
        <w:t xml:space="preserve">different </w:t>
      </w:r>
      <w:r>
        <w:rPr>
          <w:color w:val="231F20"/>
          <w:sz w:val="20"/>
        </w:rPr>
        <w:t xml:space="preserve">response to children. </w:t>
      </w:r>
      <w:r>
        <w:rPr>
          <w:color w:val="231F20"/>
          <w:spacing w:val="-3"/>
          <w:sz w:val="20"/>
        </w:rPr>
        <w:t xml:space="preserve">Children </w:t>
      </w:r>
      <w:r>
        <w:rPr>
          <w:color w:val="231F20"/>
          <w:sz w:val="20"/>
        </w:rPr>
        <w:t>might not understand what stalking behaviour is or the risks of doing</w:t>
      </w:r>
      <w:r>
        <w:rPr>
          <w:color w:val="231F20"/>
          <w:spacing w:val="-7"/>
          <w:sz w:val="20"/>
        </w:rPr>
        <w:t xml:space="preserve"> </w:t>
      </w:r>
      <w:r>
        <w:rPr>
          <w:color w:val="231F20"/>
          <w:sz w:val="20"/>
        </w:rPr>
        <w:t>it.</w:t>
      </w:r>
      <w:r>
        <w:rPr>
          <w:color w:val="231F20"/>
          <w:position w:val="7"/>
          <w:sz w:val="11"/>
        </w:rPr>
        <w:t xml:space="preserve">219 </w:t>
      </w:r>
      <w:r>
        <w:rPr>
          <w:color w:val="231F20"/>
          <w:sz w:val="20"/>
        </w:rPr>
        <w:t>Because</w:t>
      </w:r>
      <w:r>
        <w:rPr>
          <w:color w:val="231F20"/>
          <w:spacing w:val="-7"/>
          <w:sz w:val="20"/>
        </w:rPr>
        <w:t xml:space="preserve"> </w:t>
      </w:r>
      <w:r>
        <w:rPr>
          <w:color w:val="231F20"/>
          <w:spacing w:val="-3"/>
          <w:sz w:val="20"/>
        </w:rPr>
        <w:t>children’s</w:t>
      </w:r>
      <w:r>
        <w:rPr>
          <w:color w:val="231F20"/>
          <w:spacing w:val="-6"/>
          <w:sz w:val="20"/>
        </w:rPr>
        <w:t xml:space="preserve"> </w:t>
      </w:r>
      <w:r>
        <w:rPr>
          <w:color w:val="231F20"/>
          <w:sz w:val="20"/>
        </w:rPr>
        <w:t>capacity</w:t>
      </w:r>
      <w:r>
        <w:rPr>
          <w:color w:val="231F20"/>
          <w:spacing w:val="-7"/>
          <w:sz w:val="20"/>
        </w:rPr>
        <w:t xml:space="preserve"> </w:t>
      </w:r>
      <w:r>
        <w:rPr>
          <w:color w:val="231F20"/>
          <w:spacing w:val="-3"/>
          <w:sz w:val="20"/>
        </w:rPr>
        <w:t>for</w:t>
      </w:r>
      <w:r>
        <w:rPr>
          <w:color w:val="231F20"/>
          <w:spacing w:val="-6"/>
          <w:sz w:val="20"/>
        </w:rPr>
        <w:t xml:space="preserve"> </w:t>
      </w:r>
      <w:r>
        <w:rPr>
          <w:color w:val="231F20"/>
          <w:sz w:val="20"/>
        </w:rPr>
        <w:t>consequential</w:t>
      </w:r>
      <w:r>
        <w:rPr>
          <w:color w:val="231F20"/>
          <w:spacing w:val="-7"/>
          <w:sz w:val="20"/>
        </w:rPr>
        <w:t xml:space="preserve"> </w:t>
      </w:r>
      <w:r>
        <w:rPr>
          <w:color w:val="231F20"/>
          <w:sz w:val="20"/>
        </w:rPr>
        <w:t>thinking</w:t>
      </w:r>
      <w:r>
        <w:rPr>
          <w:color w:val="231F20"/>
          <w:spacing w:val="-6"/>
          <w:sz w:val="20"/>
        </w:rPr>
        <w:t xml:space="preserve"> </w:t>
      </w:r>
      <w:r>
        <w:rPr>
          <w:color w:val="231F20"/>
          <w:sz w:val="20"/>
        </w:rPr>
        <w:t>is</w:t>
      </w:r>
      <w:r>
        <w:rPr>
          <w:color w:val="231F20"/>
          <w:spacing w:val="-7"/>
          <w:sz w:val="20"/>
        </w:rPr>
        <w:t xml:space="preserve"> </w:t>
      </w:r>
      <w:r>
        <w:rPr>
          <w:color w:val="231F20"/>
          <w:sz w:val="20"/>
        </w:rPr>
        <w:t>still</w:t>
      </w:r>
      <w:r>
        <w:rPr>
          <w:color w:val="231F20"/>
          <w:spacing w:val="-6"/>
          <w:sz w:val="20"/>
        </w:rPr>
        <w:t xml:space="preserve"> </w:t>
      </w:r>
      <w:r>
        <w:rPr>
          <w:color w:val="231F20"/>
          <w:spacing w:val="-3"/>
          <w:sz w:val="20"/>
        </w:rPr>
        <w:t>developing,</w:t>
      </w:r>
      <w:r>
        <w:rPr>
          <w:color w:val="231F20"/>
          <w:spacing w:val="-6"/>
          <w:sz w:val="20"/>
        </w:rPr>
        <w:t xml:space="preserve"> </w:t>
      </w:r>
      <w:r>
        <w:rPr>
          <w:color w:val="231F20"/>
          <w:sz w:val="20"/>
        </w:rPr>
        <w:t xml:space="preserve">an </w:t>
      </w:r>
      <w:r>
        <w:rPr>
          <w:color w:val="231F20"/>
          <w:spacing w:val="-2"/>
          <w:sz w:val="20"/>
        </w:rPr>
        <w:t xml:space="preserve">intervention </w:t>
      </w:r>
      <w:r>
        <w:rPr>
          <w:color w:val="231F20"/>
          <w:sz w:val="20"/>
        </w:rPr>
        <w:t xml:space="preserve">order is </w:t>
      </w:r>
      <w:r>
        <w:rPr>
          <w:color w:val="231F20"/>
          <w:spacing w:val="-3"/>
          <w:sz w:val="20"/>
        </w:rPr>
        <w:t xml:space="preserve">likely </w:t>
      </w:r>
      <w:r>
        <w:rPr>
          <w:color w:val="231F20"/>
          <w:sz w:val="20"/>
        </w:rPr>
        <w:t xml:space="preserve">to be less </w:t>
      </w:r>
      <w:r>
        <w:rPr>
          <w:color w:val="231F20"/>
          <w:spacing w:val="-3"/>
          <w:sz w:val="20"/>
        </w:rPr>
        <w:t xml:space="preserve">effective. </w:t>
      </w:r>
      <w:r>
        <w:rPr>
          <w:color w:val="231F20"/>
          <w:sz w:val="20"/>
        </w:rPr>
        <w:t xml:space="preserve">This is a major reason to </w:t>
      </w:r>
      <w:r>
        <w:rPr>
          <w:color w:val="231F20"/>
          <w:spacing w:val="-3"/>
          <w:sz w:val="20"/>
        </w:rPr>
        <w:t xml:space="preserve">avoid </w:t>
      </w:r>
      <w:r>
        <w:rPr>
          <w:color w:val="231F20"/>
          <w:sz w:val="20"/>
        </w:rPr>
        <w:t xml:space="preserve">bringing </w:t>
      </w:r>
      <w:r>
        <w:rPr>
          <w:color w:val="231F20"/>
          <w:spacing w:val="-3"/>
          <w:sz w:val="20"/>
        </w:rPr>
        <w:t xml:space="preserve">children into </w:t>
      </w:r>
      <w:r>
        <w:rPr>
          <w:color w:val="231F20"/>
          <w:sz w:val="20"/>
        </w:rPr>
        <w:t xml:space="preserve">the justice </w:t>
      </w:r>
      <w:r>
        <w:rPr>
          <w:color w:val="231F20"/>
          <w:spacing w:val="-2"/>
          <w:sz w:val="20"/>
        </w:rPr>
        <w:t xml:space="preserve">system </w:t>
      </w:r>
      <w:r>
        <w:rPr>
          <w:color w:val="231F20"/>
          <w:spacing w:val="-3"/>
          <w:sz w:val="20"/>
        </w:rPr>
        <w:t>through</w:t>
      </w:r>
      <w:r>
        <w:rPr>
          <w:color w:val="231F20"/>
          <w:spacing w:val="-16"/>
          <w:sz w:val="20"/>
        </w:rPr>
        <w:t xml:space="preserve"> </w:t>
      </w:r>
      <w:r>
        <w:rPr>
          <w:color w:val="231F20"/>
          <w:sz w:val="20"/>
        </w:rPr>
        <w:t>PSIOs.</w:t>
      </w:r>
    </w:p>
    <w:p w14:paraId="369BB529" w14:textId="77777777" w:rsidR="00894070" w:rsidRDefault="009B7AFD">
      <w:pPr>
        <w:pStyle w:val="ListParagraph"/>
        <w:numPr>
          <w:ilvl w:val="1"/>
          <w:numId w:val="102"/>
        </w:numPr>
        <w:tabs>
          <w:tab w:val="left" w:pos="1801"/>
          <w:tab w:val="left" w:pos="1802"/>
        </w:tabs>
        <w:spacing w:before="127" w:line="206" w:lineRule="auto"/>
        <w:ind w:right="1384"/>
        <w:rPr>
          <w:sz w:val="11"/>
        </w:rPr>
      </w:pPr>
      <w:r>
        <w:rPr>
          <w:color w:val="231F20"/>
          <w:sz w:val="20"/>
        </w:rPr>
        <w:t xml:space="preserve">Some </w:t>
      </w:r>
      <w:r>
        <w:rPr>
          <w:color w:val="231F20"/>
          <w:spacing w:val="-3"/>
          <w:sz w:val="20"/>
        </w:rPr>
        <w:t xml:space="preserve">children </w:t>
      </w:r>
      <w:r>
        <w:rPr>
          <w:color w:val="231F20"/>
          <w:sz w:val="20"/>
        </w:rPr>
        <w:t xml:space="preserve">and young people </w:t>
      </w:r>
      <w:r>
        <w:rPr>
          <w:color w:val="231F20"/>
          <w:spacing w:val="-4"/>
          <w:sz w:val="20"/>
        </w:rPr>
        <w:t xml:space="preserve">have </w:t>
      </w:r>
      <w:r>
        <w:rPr>
          <w:color w:val="231F20"/>
          <w:spacing w:val="-3"/>
          <w:sz w:val="20"/>
        </w:rPr>
        <w:t xml:space="preserve">complex </w:t>
      </w:r>
      <w:r>
        <w:rPr>
          <w:color w:val="231F20"/>
          <w:sz w:val="20"/>
        </w:rPr>
        <w:t xml:space="preserve">needs. They </w:t>
      </w:r>
      <w:r>
        <w:rPr>
          <w:color w:val="231F20"/>
          <w:spacing w:val="-3"/>
          <w:sz w:val="20"/>
        </w:rPr>
        <w:t xml:space="preserve">may </w:t>
      </w:r>
      <w:r>
        <w:rPr>
          <w:color w:val="231F20"/>
          <w:spacing w:val="-4"/>
          <w:sz w:val="20"/>
        </w:rPr>
        <w:t xml:space="preserve">have </w:t>
      </w:r>
      <w:r>
        <w:rPr>
          <w:color w:val="231F20"/>
          <w:spacing w:val="-3"/>
          <w:sz w:val="20"/>
        </w:rPr>
        <w:t xml:space="preserve">cognitive </w:t>
      </w:r>
      <w:r>
        <w:rPr>
          <w:color w:val="231F20"/>
          <w:sz w:val="20"/>
        </w:rPr>
        <w:t>issues,</w:t>
      </w:r>
      <w:r>
        <w:rPr>
          <w:color w:val="231F20"/>
          <w:spacing w:val="-8"/>
          <w:sz w:val="20"/>
        </w:rPr>
        <w:t xml:space="preserve"> </w:t>
      </w:r>
      <w:r>
        <w:rPr>
          <w:color w:val="231F20"/>
          <w:sz w:val="20"/>
        </w:rPr>
        <w:t>acquired</w:t>
      </w:r>
      <w:r>
        <w:rPr>
          <w:color w:val="231F20"/>
          <w:spacing w:val="-7"/>
          <w:sz w:val="20"/>
        </w:rPr>
        <w:t xml:space="preserve"> </w:t>
      </w:r>
      <w:r>
        <w:rPr>
          <w:color w:val="231F20"/>
          <w:sz w:val="20"/>
        </w:rPr>
        <w:t>brain</w:t>
      </w:r>
      <w:r>
        <w:rPr>
          <w:color w:val="231F20"/>
          <w:spacing w:val="-7"/>
          <w:sz w:val="20"/>
        </w:rPr>
        <w:t xml:space="preserve"> </w:t>
      </w:r>
      <w:r>
        <w:rPr>
          <w:color w:val="231F20"/>
          <w:sz w:val="20"/>
        </w:rPr>
        <w:t>injuries</w:t>
      </w:r>
      <w:r>
        <w:rPr>
          <w:color w:val="231F20"/>
          <w:spacing w:val="-8"/>
          <w:sz w:val="20"/>
        </w:rPr>
        <w:t xml:space="preserve"> </w:t>
      </w:r>
      <w:r>
        <w:rPr>
          <w:color w:val="231F20"/>
          <w:sz w:val="20"/>
        </w:rPr>
        <w:t>or</w:t>
      </w:r>
      <w:r>
        <w:rPr>
          <w:color w:val="231F20"/>
          <w:spacing w:val="-7"/>
          <w:sz w:val="20"/>
        </w:rPr>
        <w:t xml:space="preserve"> </w:t>
      </w:r>
      <w:r>
        <w:rPr>
          <w:color w:val="231F20"/>
          <w:spacing w:val="-3"/>
          <w:sz w:val="20"/>
        </w:rPr>
        <w:t>intellectual</w:t>
      </w:r>
      <w:r>
        <w:rPr>
          <w:color w:val="231F20"/>
          <w:spacing w:val="-7"/>
          <w:sz w:val="20"/>
        </w:rPr>
        <w:t xml:space="preserve"> </w:t>
      </w:r>
      <w:r>
        <w:rPr>
          <w:color w:val="231F20"/>
          <w:sz w:val="20"/>
        </w:rPr>
        <w:t>or</w:t>
      </w:r>
      <w:r>
        <w:rPr>
          <w:color w:val="231F20"/>
          <w:spacing w:val="-7"/>
          <w:sz w:val="20"/>
        </w:rPr>
        <w:t xml:space="preserve"> </w:t>
      </w:r>
      <w:r>
        <w:rPr>
          <w:color w:val="231F20"/>
          <w:spacing w:val="-3"/>
          <w:sz w:val="20"/>
        </w:rPr>
        <w:t>developmental</w:t>
      </w:r>
      <w:r>
        <w:rPr>
          <w:color w:val="231F20"/>
          <w:spacing w:val="-8"/>
          <w:sz w:val="20"/>
        </w:rPr>
        <w:t xml:space="preserve"> </w:t>
      </w:r>
      <w:r>
        <w:rPr>
          <w:color w:val="231F20"/>
          <w:sz w:val="20"/>
        </w:rPr>
        <w:t>disabilities.</w:t>
      </w:r>
      <w:r>
        <w:rPr>
          <w:color w:val="231F20"/>
          <w:spacing w:val="-7"/>
          <w:sz w:val="20"/>
        </w:rPr>
        <w:t xml:space="preserve"> </w:t>
      </w:r>
      <w:r>
        <w:rPr>
          <w:color w:val="231F20"/>
          <w:sz w:val="20"/>
        </w:rPr>
        <w:t>These</w:t>
      </w:r>
      <w:r>
        <w:rPr>
          <w:color w:val="231F20"/>
          <w:spacing w:val="-7"/>
          <w:sz w:val="20"/>
        </w:rPr>
        <w:t xml:space="preserve"> </w:t>
      </w:r>
      <w:r>
        <w:rPr>
          <w:color w:val="231F20"/>
          <w:spacing w:val="-3"/>
          <w:sz w:val="20"/>
        </w:rPr>
        <w:t xml:space="preserve">may </w:t>
      </w:r>
      <w:r>
        <w:rPr>
          <w:color w:val="231F20"/>
          <w:sz w:val="20"/>
        </w:rPr>
        <w:t>sometimes</w:t>
      </w:r>
      <w:r>
        <w:rPr>
          <w:color w:val="231F20"/>
          <w:spacing w:val="-12"/>
          <w:sz w:val="20"/>
        </w:rPr>
        <w:t xml:space="preserve"> </w:t>
      </w:r>
      <w:r>
        <w:rPr>
          <w:color w:val="231F20"/>
          <w:sz w:val="20"/>
        </w:rPr>
        <w:t>make</w:t>
      </w:r>
      <w:r>
        <w:rPr>
          <w:color w:val="231F20"/>
          <w:spacing w:val="-11"/>
          <w:sz w:val="20"/>
        </w:rPr>
        <w:t xml:space="preserve"> </w:t>
      </w:r>
      <w:r>
        <w:rPr>
          <w:color w:val="231F20"/>
          <w:sz w:val="20"/>
        </w:rPr>
        <w:t>it</w:t>
      </w:r>
      <w:r>
        <w:rPr>
          <w:color w:val="231F20"/>
          <w:spacing w:val="-11"/>
          <w:sz w:val="20"/>
        </w:rPr>
        <w:t xml:space="preserve"> </w:t>
      </w:r>
      <w:r>
        <w:rPr>
          <w:color w:val="231F20"/>
          <w:sz w:val="20"/>
        </w:rPr>
        <w:t>difficult</w:t>
      </w:r>
      <w:r>
        <w:rPr>
          <w:color w:val="231F20"/>
          <w:spacing w:val="-11"/>
          <w:sz w:val="20"/>
        </w:rPr>
        <w:t xml:space="preserve"> </w:t>
      </w:r>
      <w:r>
        <w:rPr>
          <w:color w:val="231F20"/>
          <w:sz w:val="20"/>
        </w:rPr>
        <w:t>to</w:t>
      </w:r>
      <w:r>
        <w:rPr>
          <w:color w:val="231F20"/>
          <w:spacing w:val="-11"/>
          <w:sz w:val="20"/>
        </w:rPr>
        <w:t xml:space="preserve"> </w:t>
      </w:r>
      <w:r>
        <w:rPr>
          <w:color w:val="231F20"/>
          <w:sz w:val="20"/>
        </w:rPr>
        <w:t>be</w:t>
      </w:r>
      <w:r>
        <w:rPr>
          <w:color w:val="231F20"/>
          <w:spacing w:val="-11"/>
          <w:sz w:val="20"/>
        </w:rPr>
        <w:t xml:space="preserve"> </w:t>
      </w:r>
      <w:r>
        <w:rPr>
          <w:color w:val="231F20"/>
          <w:spacing w:val="-4"/>
          <w:sz w:val="20"/>
        </w:rPr>
        <w:t>aware</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impact</w:t>
      </w:r>
      <w:r>
        <w:rPr>
          <w:color w:val="231F20"/>
          <w:spacing w:val="-11"/>
          <w:sz w:val="20"/>
        </w:rPr>
        <w:t xml:space="preserve"> </w:t>
      </w:r>
      <w:r>
        <w:rPr>
          <w:color w:val="231F20"/>
          <w:sz w:val="20"/>
        </w:rPr>
        <w:t>of</w:t>
      </w:r>
      <w:r>
        <w:rPr>
          <w:color w:val="231F20"/>
          <w:spacing w:val="-11"/>
          <w:sz w:val="20"/>
        </w:rPr>
        <w:t xml:space="preserve"> </w:t>
      </w:r>
      <w:r>
        <w:rPr>
          <w:color w:val="231F20"/>
          <w:sz w:val="20"/>
        </w:rPr>
        <w:t>their</w:t>
      </w:r>
      <w:r>
        <w:rPr>
          <w:color w:val="231F20"/>
          <w:spacing w:val="-11"/>
          <w:sz w:val="20"/>
        </w:rPr>
        <w:t xml:space="preserve"> </w:t>
      </w:r>
      <w:r>
        <w:rPr>
          <w:color w:val="231F20"/>
          <w:sz w:val="20"/>
        </w:rPr>
        <w:t>behaviour</w:t>
      </w:r>
      <w:r>
        <w:rPr>
          <w:color w:val="231F20"/>
          <w:spacing w:val="-11"/>
          <w:sz w:val="20"/>
        </w:rPr>
        <w:t xml:space="preserve"> </w:t>
      </w:r>
      <w:r>
        <w:rPr>
          <w:color w:val="231F20"/>
          <w:sz w:val="20"/>
        </w:rPr>
        <w:t>on</w:t>
      </w:r>
      <w:r>
        <w:rPr>
          <w:color w:val="231F20"/>
          <w:spacing w:val="-11"/>
          <w:sz w:val="20"/>
        </w:rPr>
        <w:t xml:space="preserve"> </w:t>
      </w:r>
      <w:r>
        <w:rPr>
          <w:color w:val="231F20"/>
          <w:sz w:val="20"/>
        </w:rPr>
        <w:t>the</w:t>
      </w:r>
      <w:r>
        <w:rPr>
          <w:color w:val="231F20"/>
          <w:spacing w:val="-11"/>
          <w:sz w:val="20"/>
        </w:rPr>
        <w:t xml:space="preserve"> </w:t>
      </w:r>
      <w:r>
        <w:rPr>
          <w:color w:val="231F20"/>
          <w:sz w:val="20"/>
        </w:rPr>
        <w:t>victim survivor.</w:t>
      </w:r>
      <w:r>
        <w:rPr>
          <w:color w:val="231F20"/>
          <w:position w:val="7"/>
          <w:sz w:val="11"/>
        </w:rPr>
        <w:t>220</w:t>
      </w:r>
    </w:p>
    <w:p w14:paraId="0E81C309" w14:textId="77777777" w:rsidR="00894070" w:rsidRDefault="009B7AFD">
      <w:pPr>
        <w:pStyle w:val="ListParagraph"/>
        <w:numPr>
          <w:ilvl w:val="1"/>
          <w:numId w:val="102"/>
        </w:numPr>
        <w:tabs>
          <w:tab w:val="left" w:pos="1801"/>
          <w:tab w:val="left" w:pos="1802"/>
        </w:tabs>
        <w:spacing w:before="125" w:line="206" w:lineRule="auto"/>
        <w:ind w:right="1291"/>
        <w:rPr>
          <w:sz w:val="20"/>
        </w:rPr>
      </w:pPr>
      <w:r>
        <w:rPr>
          <w:color w:val="231F20"/>
          <w:spacing w:val="-3"/>
          <w:sz w:val="20"/>
        </w:rPr>
        <w:t>Forensicare</w:t>
      </w:r>
      <w:r>
        <w:rPr>
          <w:color w:val="231F20"/>
          <w:spacing w:val="-9"/>
          <w:sz w:val="20"/>
        </w:rPr>
        <w:t xml:space="preserve"> </w:t>
      </w:r>
      <w:r>
        <w:rPr>
          <w:color w:val="231F20"/>
          <w:sz w:val="20"/>
        </w:rPr>
        <w:t>noted</w:t>
      </w:r>
      <w:r>
        <w:rPr>
          <w:color w:val="231F20"/>
          <w:spacing w:val="-8"/>
          <w:sz w:val="20"/>
        </w:rPr>
        <w:t xml:space="preserve"> </w:t>
      </w:r>
      <w:r>
        <w:rPr>
          <w:color w:val="231F20"/>
          <w:sz w:val="20"/>
        </w:rPr>
        <w:t>that</w:t>
      </w:r>
      <w:r>
        <w:rPr>
          <w:color w:val="231F20"/>
          <w:spacing w:val="-8"/>
          <w:sz w:val="20"/>
        </w:rPr>
        <w:t xml:space="preserve"> </w:t>
      </w:r>
      <w:r>
        <w:rPr>
          <w:color w:val="231F20"/>
          <w:sz w:val="20"/>
        </w:rPr>
        <w:t>people</w:t>
      </w:r>
      <w:r>
        <w:rPr>
          <w:color w:val="231F20"/>
          <w:spacing w:val="-8"/>
          <w:sz w:val="20"/>
        </w:rPr>
        <w:t xml:space="preserve"> </w:t>
      </w:r>
      <w:r>
        <w:rPr>
          <w:color w:val="231F20"/>
          <w:sz w:val="20"/>
        </w:rPr>
        <w:t>with</w:t>
      </w:r>
      <w:r>
        <w:rPr>
          <w:color w:val="231F20"/>
          <w:spacing w:val="-8"/>
          <w:sz w:val="20"/>
        </w:rPr>
        <w:t xml:space="preserve"> </w:t>
      </w:r>
      <w:r>
        <w:rPr>
          <w:color w:val="231F20"/>
          <w:sz w:val="20"/>
        </w:rPr>
        <w:t>autism</w:t>
      </w:r>
      <w:r>
        <w:rPr>
          <w:color w:val="231F20"/>
          <w:spacing w:val="-9"/>
          <w:sz w:val="20"/>
        </w:rPr>
        <w:t xml:space="preserve"> </w:t>
      </w:r>
      <w:r>
        <w:rPr>
          <w:color w:val="231F20"/>
          <w:sz w:val="20"/>
        </w:rPr>
        <w:t>spectrum</w:t>
      </w:r>
      <w:r>
        <w:rPr>
          <w:color w:val="231F20"/>
          <w:spacing w:val="-8"/>
          <w:sz w:val="20"/>
        </w:rPr>
        <w:t xml:space="preserve"> </w:t>
      </w:r>
      <w:r>
        <w:rPr>
          <w:color w:val="231F20"/>
          <w:sz w:val="20"/>
        </w:rPr>
        <w:t>disorders</w:t>
      </w:r>
      <w:r>
        <w:rPr>
          <w:color w:val="231F20"/>
          <w:spacing w:val="-8"/>
          <w:sz w:val="20"/>
        </w:rPr>
        <w:t xml:space="preserve"> </w:t>
      </w:r>
      <w:r>
        <w:rPr>
          <w:color w:val="231F20"/>
          <w:spacing w:val="-4"/>
          <w:sz w:val="20"/>
        </w:rPr>
        <w:t>were</w:t>
      </w:r>
      <w:r>
        <w:rPr>
          <w:color w:val="231F20"/>
          <w:spacing w:val="-8"/>
          <w:sz w:val="20"/>
        </w:rPr>
        <w:t xml:space="preserve"> </w:t>
      </w:r>
      <w:r>
        <w:rPr>
          <w:color w:val="231F20"/>
          <w:spacing w:val="-4"/>
          <w:sz w:val="20"/>
        </w:rPr>
        <w:t xml:space="preserve">over-represented </w:t>
      </w:r>
      <w:r>
        <w:rPr>
          <w:color w:val="231F20"/>
          <w:sz w:val="20"/>
        </w:rPr>
        <w:t xml:space="preserve">among those under 18 who </w:t>
      </w:r>
      <w:r>
        <w:rPr>
          <w:color w:val="231F20"/>
          <w:spacing w:val="-3"/>
          <w:sz w:val="20"/>
        </w:rPr>
        <w:t xml:space="preserve">are </w:t>
      </w:r>
      <w:r>
        <w:rPr>
          <w:color w:val="231F20"/>
          <w:spacing w:val="-4"/>
          <w:sz w:val="20"/>
        </w:rPr>
        <w:t xml:space="preserve">involved </w:t>
      </w:r>
      <w:r>
        <w:rPr>
          <w:color w:val="231F20"/>
          <w:sz w:val="20"/>
        </w:rPr>
        <w:t>in stalking.</w:t>
      </w:r>
      <w:r>
        <w:rPr>
          <w:color w:val="231F20"/>
          <w:position w:val="7"/>
          <w:sz w:val="11"/>
        </w:rPr>
        <w:t xml:space="preserve">221 </w:t>
      </w:r>
      <w:r>
        <w:rPr>
          <w:color w:val="231F20"/>
          <w:sz w:val="20"/>
        </w:rPr>
        <w:t xml:space="preserve">Victoria Legal Aid </w:t>
      </w:r>
      <w:r>
        <w:rPr>
          <w:color w:val="231F20"/>
          <w:spacing w:val="-3"/>
          <w:sz w:val="20"/>
        </w:rPr>
        <w:t xml:space="preserve">told </w:t>
      </w:r>
      <w:r>
        <w:rPr>
          <w:color w:val="231F20"/>
          <w:sz w:val="20"/>
        </w:rPr>
        <w:t xml:space="preserve">us about PSIOs being used </w:t>
      </w:r>
      <w:r>
        <w:rPr>
          <w:color w:val="231F20"/>
          <w:spacing w:val="-3"/>
          <w:sz w:val="20"/>
        </w:rPr>
        <w:t xml:space="preserve">by </w:t>
      </w:r>
      <w:r>
        <w:rPr>
          <w:color w:val="231F20"/>
          <w:sz w:val="20"/>
        </w:rPr>
        <w:t xml:space="preserve">institutions to manage challenging behaviours in </w:t>
      </w:r>
      <w:r>
        <w:rPr>
          <w:color w:val="231F20"/>
          <w:spacing w:val="-3"/>
          <w:sz w:val="20"/>
        </w:rPr>
        <w:t xml:space="preserve">children, </w:t>
      </w:r>
      <w:r>
        <w:rPr>
          <w:color w:val="231F20"/>
          <w:sz w:val="20"/>
        </w:rPr>
        <w:t>including those in state care.</w:t>
      </w:r>
      <w:r>
        <w:rPr>
          <w:color w:val="231F20"/>
          <w:position w:val="7"/>
          <w:sz w:val="11"/>
        </w:rPr>
        <w:t xml:space="preserve">222 </w:t>
      </w:r>
      <w:r>
        <w:rPr>
          <w:color w:val="231F20"/>
          <w:spacing w:val="-3"/>
          <w:sz w:val="20"/>
        </w:rPr>
        <w:t xml:space="preserve">For </w:t>
      </w:r>
      <w:r>
        <w:rPr>
          <w:color w:val="231F20"/>
          <w:sz w:val="20"/>
        </w:rPr>
        <w:t xml:space="preserve">these </w:t>
      </w:r>
      <w:r>
        <w:rPr>
          <w:color w:val="231F20"/>
          <w:spacing w:val="-3"/>
          <w:sz w:val="20"/>
        </w:rPr>
        <w:t xml:space="preserve">children, </w:t>
      </w:r>
      <w:r>
        <w:rPr>
          <w:color w:val="231F20"/>
          <w:sz w:val="20"/>
        </w:rPr>
        <w:t xml:space="preserve">managing their behaviour is best </w:t>
      </w:r>
      <w:r>
        <w:rPr>
          <w:color w:val="231F20"/>
          <w:spacing w:val="-3"/>
          <w:sz w:val="20"/>
        </w:rPr>
        <w:t xml:space="preserve">achieved </w:t>
      </w:r>
      <w:r>
        <w:rPr>
          <w:color w:val="231F20"/>
          <w:sz w:val="20"/>
        </w:rPr>
        <w:t>outside the justice</w:t>
      </w:r>
      <w:r>
        <w:rPr>
          <w:color w:val="231F20"/>
          <w:spacing w:val="-14"/>
          <w:sz w:val="20"/>
        </w:rPr>
        <w:t xml:space="preserve"> </w:t>
      </w:r>
      <w:r>
        <w:rPr>
          <w:color w:val="231F20"/>
          <w:sz w:val="20"/>
        </w:rPr>
        <w:t>system.</w:t>
      </w:r>
    </w:p>
    <w:p w14:paraId="2323DB48" w14:textId="77777777" w:rsidR="00894070" w:rsidRDefault="00894070">
      <w:pPr>
        <w:pStyle w:val="BodyText"/>
      </w:pPr>
    </w:p>
    <w:p w14:paraId="31A016AC" w14:textId="77777777" w:rsidR="00894070" w:rsidRDefault="009F6793">
      <w:pPr>
        <w:pStyle w:val="BodyText"/>
        <w:spacing w:before="12"/>
      </w:pPr>
      <w:r>
        <w:pict w14:anchorId="475DECD4">
          <v:line id="_x0000_s1263" style="position:absolute;z-index:251703296;mso-wrap-distance-left:0;mso-wrap-distance-right:0;mso-position-horizontal-relative:page" from="79.35pt,16.95pt" to="515.9pt,16.95pt" strokecolor="#f8cabc" strokeweight="1pt">
            <w10:wrap type="topAndBottom" anchorx="page"/>
          </v:line>
        </w:pict>
      </w:r>
    </w:p>
    <w:p w14:paraId="6592A331" w14:textId="77777777" w:rsidR="00894070" w:rsidRDefault="00894070">
      <w:pPr>
        <w:pStyle w:val="BodyText"/>
        <w:rPr>
          <w:sz w:val="5"/>
        </w:rPr>
      </w:pPr>
    </w:p>
    <w:p w14:paraId="458B7F6B" w14:textId="77777777" w:rsidR="00894070" w:rsidRDefault="00894070">
      <w:pPr>
        <w:rPr>
          <w:sz w:val="5"/>
        </w:rPr>
        <w:sectPr w:rsidR="00894070">
          <w:pgSz w:w="11910" w:h="16840"/>
          <w:pgMar w:top="840" w:right="420" w:bottom="280" w:left="580" w:header="0" w:footer="0" w:gutter="0"/>
          <w:cols w:space="720"/>
        </w:sectPr>
      </w:pPr>
    </w:p>
    <w:p w14:paraId="13A405F0" w14:textId="77777777" w:rsidR="00894070" w:rsidRDefault="009B7AFD">
      <w:pPr>
        <w:pStyle w:val="ListParagraph"/>
        <w:numPr>
          <w:ilvl w:val="0"/>
          <w:numId w:val="78"/>
        </w:numPr>
        <w:tabs>
          <w:tab w:val="left" w:pos="1801"/>
          <w:tab w:val="left" w:pos="1802"/>
        </w:tabs>
        <w:spacing w:before="21" w:line="170" w:lineRule="exact"/>
        <w:jc w:val="left"/>
        <w:rPr>
          <w:sz w:val="13"/>
        </w:rPr>
      </w:pPr>
      <w:r>
        <w:rPr>
          <w:i/>
          <w:color w:val="231F20"/>
          <w:sz w:val="13"/>
        </w:rPr>
        <w:t xml:space="preserve">Personal Safety Intervention Orders Act 2010 </w:t>
      </w:r>
      <w:r>
        <w:rPr>
          <w:color w:val="231F20"/>
          <w:sz w:val="13"/>
        </w:rPr>
        <w:t>(Vic) s</w:t>
      </w:r>
      <w:r>
        <w:rPr>
          <w:color w:val="231F20"/>
          <w:spacing w:val="3"/>
          <w:sz w:val="13"/>
        </w:rPr>
        <w:t xml:space="preserve"> </w:t>
      </w:r>
      <w:r>
        <w:rPr>
          <w:color w:val="231F20"/>
          <w:sz w:val="13"/>
        </w:rPr>
        <w:t>18.</w:t>
      </w:r>
    </w:p>
    <w:p w14:paraId="16848867" w14:textId="77777777" w:rsidR="00894070" w:rsidRDefault="009B7AFD">
      <w:pPr>
        <w:pStyle w:val="ListParagraph"/>
        <w:numPr>
          <w:ilvl w:val="0"/>
          <w:numId w:val="78"/>
        </w:numPr>
        <w:tabs>
          <w:tab w:val="left" w:pos="1800"/>
          <w:tab w:val="left" w:pos="1802"/>
        </w:tabs>
        <w:spacing w:before="7" w:line="213" w:lineRule="auto"/>
        <w:ind w:right="34"/>
        <w:jc w:val="left"/>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w:t>
      </w:r>
      <w:r>
        <w:rPr>
          <w:color w:val="231F20"/>
          <w:spacing w:val="2"/>
          <w:sz w:val="13"/>
        </w:rPr>
        <w:t>[3.1].</w:t>
      </w:r>
    </w:p>
    <w:p w14:paraId="7571A471" w14:textId="77777777" w:rsidR="00894070" w:rsidRDefault="009B7AFD">
      <w:pPr>
        <w:pStyle w:val="ListParagraph"/>
        <w:numPr>
          <w:ilvl w:val="0"/>
          <w:numId w:val="78"/>
        </w:numPr>
        <w:tabs>
          <w:tab w:val="left" w:pos="1800"/>
          <w:tab w:val="left" w:pos="1802"/>
        </w:tabs>
        <w:spacing w:line="153" w:lineRule="exact"/>
        <w:jc w:val="left"/>
        <w:rPr>
          <w:sz w:val="13"/>
        </w:rPr>
      </w:pPr>
      <w:r>
        <w:rPr>
          <w:color w:val="231F20"/>
          <w:sz w:val="13"/>
        </w:rPr>
        <w:t xml:space="preserve">Relating to </w:t>
      </w:r>
      <w:r>
        <w:rPr>
          <w:color w:val="231F20"/>
          <w:spacing w:val="2"/>
          <w:sz w:val="13"/>
        </w:rPr>
        <w:t xml:space="preserve">PSIO applications </w:t>
      </w:r>
      <w:r>
        <w:rPr>
          <w:color w:val="231F20"/>
          <w:sz w:val="13"/>
        </w:rPr>
        <w:t>heard in the Children’s</w:t>
      </w:r>
      <w:r>
        <w:rPr>
          <w:color w:val="231F20"/>
          <w:spacing w:val="-2"/>
          <w:sz w:val="13"/>
        </w:rPr>
        <w:t xml:space="preserve"> </w:t>
      </w:r>
      <w:r>
        <w:rPr>
          <w:color w:val="231F20"/>
          <w:spacing w:val="2"/>
          <w:sz w:val="13"/>
        </w:rPr>
        <w:t>Court.</w:t>
      </w:r>
    </w:p>
    <w:p w14:paraId="23BE78C4" w14:textId="77777777" w:rsidR="00894070" w:rsidRDefault="009B7AFD">
      <w:pPr>
        <w:pStyle w:val="ListParagraph"/>
        <w:numPr>
          <w:ilvl w:val="0"/>
          <w:numId w:val="78"/>
        </w:numPr>
        <w:tabs>
          <w:tab w:val="left" w:pos="1800"/>
          <w:tab w:val="left" w:pos="1802"/>
        </w:tabs>
        <w:spacing w:before="6" w:line="213" w:lineRule="auto"/>
        <w:ind w:right="34"/>
        <w:jc w:val="left"/>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w:t>
      </w:r>
      <w:r>
        <w:rPr>
          <w:color w:val="231F20"/>
          <w:spacing w:val="2"/>
          <w:sz w:val="13"/>
        </w:rPr>
        <w:t>[3.8].</w:t>
      </w:r>
    </w:p>
    <w:p w14:paraId="5D2BB877" w14:textId="77777777" w:rsidR="00894070" w:rsidRDefault="009B7AFD">
      <w:pPr>
        <w:pStyle w:val="ListParagraph"/>
        <w:numPr>
          <w:ilvl w:val="0"/>
          <w:numId w:val="78"/>
        </w:numPr>
        <w:tabs>
          <w:tab w:val="left" w:pos="1801"/>
          <w:tab w:val="left" w:pos="1802"/>
        </w:tabs>
        <w:spacing w:line="213" w:lineRule="auto"/>
        <w:jc w:val="left"/>
        <w:rPr>
          <w:sz w:val="13"/>
        </w:rPr>
      </w:pPr>
      <w:r>
        <w:rPr>
          <w:color w:val="231F20"/>
          <w:sz w:val="13"/>
        </w:rPr>
        <w:t xml:space="preserve">Including in limiting the duration of final orders to 12 months, and requiring the </w:t>
      </w:r>
      <w:r>
        <w:rPr>
          <w:color w:val="231F20"/>
          <w:spacing w:val="2"/>
          <w:sz w:val="13"/>
        </w:rPr>
        <w:t xml:space="preserve">Court </w:t>
      </w:r>
      <w:r>
        <w:rPr>
          <w:color w:val="231F20"/>
          <w:sz w:val="13"/>
        </w:rPr>
        <w:t xml:space="preserve">to have regard to all the circumstances of   the case before including a condition that would exclude them from their residence: </w:t>
      </w:r>
      <w:r>
        <w:rPr>
          <w:i/>
          <w:color w:val="231F20"/>
          <w:sz w:val="13"/>
        </w:rPr>
        <w:t xml:space="preserve">Personal Safety Intervention Orders Act 2010 </w:t>
      </w:r>
      <w:r>
        <w:rPr>
          <w:color w:val="231F20"/>
          <w:sz w:val="13"/>
        </w:rPr>
        <w:t xml:space="preserve">(Vic) ss </w:t>
      </w:r>
      <w:r>
        <w:rPr>
          <w:color w:val="231F20"/>
          <w:spacing w:val="2"/>
          <w:sz w:val="13"/>
        </w:rPr>
        <w:t xml:space="preserve">71, 78. </w:t>
      </w:r>
      <w:r>
        <w:rPr>
          <w:color w:val="231F20"/>
          <w:sz w:val="13"/>
        </w:rPr>
        <w:t xml:space="preserve">Although the Children’s </w:t>
      </w:r>
      <w:r>
        <w:rPr>
          <w:color w:val="231F20"/>
          <w:spacing w:val="2"/>
          <w:sz w:val="13"/>
        </w:rPr>
        <w:t xml:space="preserve">Court </w:t>
      </w:r>
      <w:r>
        <w:rPr>
          <w:color w:val="231F20"/>
          <w:sz w:val="13"/>
        </w:rPr>
        <w:t xml:space="preserve">told us that it would be very rare to have a condition excluding a child from their residence: Consultation 2 (Children’s </w:t>
      </w:r>
      <w:r>
        <w:rPr>
          <w:color w:val="231F20"/>
          <w:spacing w:val="2"/>
          <w:sz w:val="13"/>
        </w:rPr>
        <w:t xml:space="preserve">Court </w:t>
      </w:r>
      <w:r>
        <w:rPr>
          <w:color w:val="231F20"/>
          <w:sz w:val="13"/>
        </w:rPr>
        <w:t>of Victoria (No</w:t>
      </w:r>
      <w:r>
        <w:rPr>
          <w:color w:val="231F20"/>
          <w:spacing w:val="2"/>
          <w:sz w:val="13"/>
        </w:rPr>
        <w:t xml:space="preserve"> </w:t>
      </w:r>
      <w:r>
        <w:rPr>
          <w:color w:val="231F20"/>
          <w:sz w:val="13"/>
        </w:rPr>
        <w:t>1)).</w:t>
      </w:r>
    </w:p>
    <w:p w14:paraId="71508F16" w14:textId="77777777" w:rsidR="00894070" w:rsidRDefault="009B7AFD">
      <w:pPr>
        <w:pStyle w:val="ListParagraph"/>
        <w:numPr>
          <w:ilvl w:val="0"/>
          <w:numId w:val="78"/>
        </w:numPr>
        <w:tabs>
          <w:tab w:val="left" w:pos="1800"/>
          <w:tab w:val="left" w:pos="1802"/>
        </w:tabs>
        <w:spacing w:line="213" w:lineRule="auto"/>
        <w:ind w:right="267"/>
        <w:jc w:val="left"/>
        <w:rPr>
          <w:sz w:val="13"/>
        </w:rPr>
      </w:pPr>
      <w:r>
        <w:rPr>
          <w:color w:val="231F20"/>
          <w:sz w:val="13"/>
        </w:rPr>
        <w:t xml:space="preserve">See, eg, </w:t>
      </w:r>
      <w:r>
        <w:rPr>
          <w:i/>
          <w:color w:val="231F20"/>
          <w:sz w:val="13"/>
        </w:rPr>
        <w:t xml:space="preserve">Royal Commission into the Protection and Detention of Children in the Northern Territory </w:t>
      </w:r>
      <w:r>
        <w:rPr>
          <w:color w:val="231F20"/>
          <w:spacing w:val="2"/>
          <w:sz w:val="13"/>
        </w:rPr>
        <w:t xml:space="preserve">(Report </w:t>
      </w:r>
      <w:r>
        <w:rPr>
          <w:color w:val="231F20"/>
          <w:sz w:val="13"/>
        </w:rPr>
        <w:t>Overview, November 2017).</w:t>
      </w:r>
    </w:p>
    <w:p w14:paraId="3A8E2160" w14:textId="77777777" w:rsidR="00894070" w:rsidRDefault="009B7AFD">
      <w:pPr>
        <w:pStyle w:val="ListParagraph"/>
        <w:numPr>
          <w:ilvl w:val="0"/>
          <w:numId w:val="78"/>
        </w:numPr>
        <w:tabs>
          <w:tab w:val="left" w:pos="1800"/>
          <w:tab w:val="left" w:pos="1802"/>
        </w:tabs>
        <w:spacing w:line="152" w:lineRule="exact"/>
        <w:jc w:val="left"/>
        <w:rPr>
          <w:sz w:val="13"/>
        </w:rPr>
      </w:pPr>
      <w:r>
        <w:rPr>
          <w:color w:val="231F20"/>
          <w:sz w:val="13"/>
        </w:rPr>
        <w:t>Consultation 5 (Harmful Sexual Behaviours</w:t>
      </w:r>
      <w:r>
        <w:rPr>
          <w:color w:val="231F20"/>
          <w:spacing w:val="2"/>
          <w:sz w:val="13"/>
        </w:rPr>
        <w:t xml:space="preserve"> </w:t>
      </w:r>
      <w:r>
        <w:rPr>
          <w:color w:val="231F20"/>
          <w:sz w:val="13"/>
        </w:rPr>
        <w:t>Network).</w:t>
      </w:r>
    </w:p>
    <w:p w14:paraId="79A32661" w14:textId="77777777" w:rsidR="00894070" w:rsidRDefault="009B7AFD">
      <w:pPr>
        <w:pStyle w:val="ListParagraph"/>
        <w:numPr>
          <w:ilvl w:val="0"/>
          <w:numId w:val="78"/>
        </w:numPr>
        <w:tabs>
          <w:tab w:val="left" w:pos="1801"/>
          <w:tab w:val="left" w:pos="1802"/>
        </w:tabs>
        <w:spacing w:line="160" w:lineRule="exact"/>
        <w:jc w:val="left"/>
        <w:rPr>
          <w:sz w:val="13"/>
        </w:rPr>
      </w:pPr>
      <w:r>
        <w:rPr>
          <w:color w:val="231F20"/>
          <w:sz w:val="13"/>
        </w:rPr>
        <w:t xml:space="preserve">Consultation 17 (Small group meeting on </w:t>
      </w:r>
      <w:r>
        <w:rPr>
          <w:color w:val="231F20"/>
          <w:spacing w:val="2"/>
          <w:sz w:val="13"/>
        </w:rPr>
        <w:t xml:space="preserve">stalking </w:t>
      </w:r>
      <w:r>
        <w:rPr>
          <w:color w:val="231F20"/>
          <w:sz w:val="13"/>
        </w:rPr>
        <w:t>and young</w:t>
      </w:r>
      <w:r>
        <w:rPr>
          <w:color w:val="231F20"/>
          <w:spacing w:val="3"/>
          <w:sz w:val="13"/>
        </w:rPr>
        <w:t xml:space="preserve"> </w:t>
      </w:r>
      <w:r>
        <w:rPr>
          <w:color w:val="231F20"/>
          <w:sz w:val="13"/>
        </w:rPr>
        <w:t>people).</w:t>
      </w:r>
    </w:p>
    <w:p w14:paraId="03045486" w14:textId="77777777" w:rsidR="00894070" w:rsidRDefault="009B7AFD">
      <w:pPr>
        <w:pStyle w:val="ListParagraph"/>
        <w:numPr>
          <w:ilvl w:val="0"/>
          <w:numId w:val="78"/>
        </w:numPr>
        <w:tabs>
          <w:tab w:val="left" w:pos="1801"/>
          <w:tab w:val="left" w:pos="1802"/>
        </w:tabs>
        <w:spacing w:line="160" w:lineRule="exact"/>
        <w:jc w:val="left"/>
        <w:rPr>
          <w:sz w:val="13"/>
        </w:rPr>
      </w:pPr>
      <w:r>
        <w:rPr>
          <w:color w:val="231F20"/>
          <w:sz w:val="13"/>
        </w:rPr>
        <w:t>Consultation 36 (Forensicare (No</w:t>
      </w:r>
      <w:r>
        <w:rPr>
          <w:color w:val="231F20"/>
          <w:spacing w:val="1"/>
          <w:sz w:val="13"/>
        </w:rPr>
        <w:t xml:space="preserve"> </w:t>
      </w:r>
      <w:r>
        <w:rPr>
          <w:color w:val="231F20"/>
          <w:sz w:val="13"/>
        </w:rPr>
        <w:t>2)).</w:t>
      </w:r>
    </w:p>
    <w:p w14:paraId="582B40C4" w14:textId="77777777" w:rsidR="00894070" w:rsidRDefault="009B7AFD">
      <w:pPr>
        <w:pStyle w:val="ListParagraph"/>
        <w:numPr>
          <w:ilvl w:val="0"/>
          <w:numId w:val="78"/>
        </w:numPr>
        <w:tabs>
          <w:tab w:val="left" w:pos="1800"/>
          <w:tab w:val="left" w:pos="1802"/>
        </w:tabs>
        <w:spacing w:line="170" w:lineRule="exact"/>
        <w:jc w:val="left"/>
        <w:rPr>
          <w:sz w:val="13"/>
        </w:rPr>
      </w:pPr>
      <w:r>
        <w:rPr>
          <w:color w:val="231F20"/>
          <w:sz w:val="13"/>
        </w:rPr>
        <w:t>Consultation 13 (Victoria Legal</w:t>
      </w:r>
      <w:r>
        <w:rPr>
          <w:color w:val="231F20"/>
          <w:spacing w:val="1"/>
          <w:sz w:val="13"/>
        </w:rPr>
        <w:t xml:space="preserve"> </w:t>
      </w:r>
      <w:r>
        <w:rPr>
          <w:color w:val="231F20"/>
          <w:sz w:val="13"/>
        </w:rPr>
        <w:t>Aid).</w:t>
      </w:r>
    </w:p>
    <w:p w14:paraId="0E607FDE" w14:textId="77777777" w:rsidR="00894070" w:rsidRDefault="009B7AFD">
      <w:pPr>
        <w:pStyle w:val="BodyText"/>
        <w:rPr>
          <w:sz w:val="28"/>
        </w:rPr>
      </w:pPr>
      <w:r>
        <w:br w:type="column"/>
      </w:r>
    </w:p>
    <w:p w14:paraId="271617E7" w14:textId="77777777" w:rsidR="00894070" w:rsidRDefault="00894070">
      <w:pPr>
        <w:pStyle w:val="BodyText"/>
        <w:rPr>
          <w:sz w:val="28"/>
        </w:rPr>
      </w:pPr>
    </w:p>
    <w:p w14:paraId="159FD1DC" w14:textId="77777777" w:rsidR="00894070" w:rsidRDefault="00894070">
      <w:pPr>
        <w:pStyle w:val="BodyText"/>
        <w:rPr>
          <w:sz w:val="28"/>
        </w:rPr>
      </w:pPr>
    </w:p>
    <w:p w14:paraId="2F42AFB4" w14:textId="77777777" w:rsidR="00894070" w:rsidRDefault="00894070">
      <w:pPr>
        <w:pStyle w:val="BodyText"/>
        <w:rPr>
          <w:sz w:val="28"/>
        </w:rPr>
      </w:pPr>
    </w:p>
    <w:p w14:paraId="2C5B4A82" w14:textId="77777777" w:rsidR="00894070" w:rsidRDefault="00894070">
      <w:pPr>
        <w:pStyle w:val="BodyText"/>
        <w:rPr>
          <w:sz w:val="28"/>
        </w:rPr>
      </w:pPr>
    </w:p>
    <w:p w14:paraId="454626F5" w14:textId="77777777" w:rsidR="00894070" w:rsidRDefault="00894070">
      <w:pPr>
        <w:pStyle w:val="BodyText"/>
        <w:spacing w:before="4"/>
        <w:rPr>
          <w:sz w:val="25"/>
        </w:rPr>
      </w:pPr>
    </w:p>
    <w:p w14:paraId="2F5154A7" w14:textId="77777777" w:rsidR="00894070" w:rsidRDefault="009B7AFD">
      <w:pPr>
        <w:pStyle w:val="Heading8"/>
        <w:ind w:left="636"/>
      </w:pPr>
      <w:r>
        <w:rPr>
          <w:color w:val="EA5B50"/>
        </w:rPr>
        <w:t>123</w:t>
      </w:r>
    </w:p>
    <w:p w14:paraId="5E2967BA" w14:textId="77777777" w:rsidR="00894070" w:rsidRDefault="00894070">
      <w:pPr>
        <w:sectPr w:rsidR="00894070">
          <w:type w:val="continuous"/>
          <w:pgSz w:w="11910" w:h="16840"/>
          <w:pgMar w:top="560" w:right="420" w:bottom="280" w:left="580" w:header="720" w:footer="720" w:gutter="0"/>
          <w:cols w:num="2" w:space="720" w:equalWidth="0">
            <w:col w:w="9664" w:space="40"/>
            <w:col w:w="1206"/>
          </w:cols>
        </w:sectPr>
      </w:pPr>
    </w:p>
    <w:p w14:paraId="757D3B56" w14:textId="77777777" w:rsidR="00894070" w:rsidRDefault="00894070">
      <w:pPr>
        <w:pStyle w:val="BodyText"/>
        <w:rPr>
          <w:b/>
        </w:rPr>
      </w:pPr>
    </w:p>
    <w:p w14:paraId="605A3A3E" w14:textId="77777777" w:rsidR="00894070" w:rsidRDefault="00894070">
      <w:pPr>
        <w:pStyle w:val="BodyText"/>
        <w:rPr>
          <w:b/>
        </w:rPr>
      </w:pPr>
    </w:p>
    <w:p w14:paraId="00793ADD" w14:textId="77777777" w:rsidR="00894070" w:rsidRDefault="00894070">
      <w:pPr>
        <w:pStyle w:val="BodyText"/>
        <w:rPr>
          <w:b/>
        </w:rPr>
      </w:pPr>
    </w:p>
    <w:p w14:paraId="45D3D7B3" w14:textId="77777777" w:rsidR="00894070" w:rsidRDefault="00894070">
      <w:pPr>
        <w:pStyle w:val="BodyText"/>
        <w:spacing w:before="11"/>
        <w:rPr>
          <w:b/>
          <w:sz w:val="18"/>
        </w:rPr>
      </w:pPr>
    </w:p>
    <w:p w14:paraId="6B06B655" w14:textId="77777777" w:rsidR="00894070" w:rsidRDefault="009B7AFD">
      <w:pPr>
        <w:pStyle w:val="ListParagraph"/>
        <w:numPr>
          <w:ilvl w:val="1"/>
          <w:numId w:val="102"/>
        </w:numPr>
        <w:tabs>
          <w:tab w:val="left" w:pos="1801"/>
          <w:tab w:val="left" w:pos="1802"/>
        </w:tabs>
        <w:spacing w:line="206" w:lineRule="auto"/>
        <w:ind w:right="1249"/>
        <w:rPr>
          <w:sz w:val="11"/>
        </w:rPr>
      </w:pPr>
      <w:bookmarkStart w:id="140" w:name="_bookmark83"/>
      <w:bookmarkEnd w:id="140"/>
      <w:r>
        <w:rPr>
          <w:color w:val="231F20"/>
          <w:spacing w:val="-5"/>
          <w:sz w:val="20"/>
        </w:rPr>
        <w:t xml:space="preserve">However, </w:t>
      </w:r>
      <w:r>
        <w:rPr>
          <w:color w:val="231F20"/>
          <w:sz w:val="20"/>
        </w:rPr>
        <w:t xml:space="preserve">stalking behaviour in </w:t>
      </w:r>
      <w:r>
        <w:rPr>
          <w:color w:val="231F20"/>
          <w:spacing w:val="-3"/>
          <w:sz w:val="20"/>
        </w:rPr>
        <w:t xml:space="preserve">children </w:t>
      </w:r>
      <w:r>
        <w:rPr>
          <w:color w:val="231F20"/>
          <w:sz w:val="20"/>
        </w:rPr>
        <w:t xml:space="preserve">must still be taken </w:t>
      </w:r>
      <w:r>
        <w:rPr>
          <w:color w:val="231F20"/>
          <w:spacing w:val="-3"/>
          <w:sz w:val="20"/>
        </w:rPr>
        <w:t xml:space="preserve">seriously. </w:t>
      </w:r>
      <w:r>
        <w:rPr>
          <w:color w:val="231F20"/>
          <w:sz w:val="20"/>
        </w:rPr>
        <w:t xml:space="preserve">The approach to child respondents must of course include a </w:t>
      </w:r>
      <w:r>
        <w:rPr>
          <w:color w:val="231F20"/>
          <w:spacing w:val="-3"/>
          <w:sz w:val="20"/>
        </w:rPr>
        <w:t xml:space="preserve">focus </w:t>
      </w:r>
      <w:r>
        <w:rPr>
          <w:color w:val="231F20"/>
          <w:sz w:val="20"/>
        </w:rPr>
        <w:t xml:space="preserve">on ensuring the </w:t>
      </w:r>
      <w:r>
        <w:rPr>
          <w:color w:val="231F20"/>
          <w:spacing w:val="-3"/>
          <w:sz w:val="20"/>
        </w:rPr>
        <w:t xml:space="preserve">victim’s </w:t>
      </w:r>
      <w:r>
        <w:rPr>
          <w:color w:val="231F20"/>
          <w:spacing w:val="-4"/>
          <w:sz w:val="20"/>
        </w:rPr>
        <w:t xml:space="preserve">safety. </w:t>
      </w:r>
      <w:r>
        <w:rPr>
          <w:color w:val="231F20"/>
          <w:spacing w:val="-6"/>
          <w:sz w:val="20"/>
        </w:rPr>
        <w:t xml:space="preserve">We </w:t>
      </w:r>
      <w:r>
        <w:rPr>
          <w:color w:val="231F20"/>
          <w:spacing w:val="-4"/>
          <w:sz w:val="20"/>
        </w:rPr>
        <w:t xml:space="preserve">have </w:t>
      </w:r>
      <w:r>
        <w:rPr>
          <w:color w:val="231F20"/>
          <w:sz w:val="20"/>
        </w:rPr>
        <w:t>heard about the serious risk of violence in this context.</w:t>
      </w:r>
      <w:r>
        <w:rPr>
          <w:color w:val="231F20"/>
          <w:position w:val="7"/>
          <w:sz w:val="11"/>
        </w:rPr>
        <w:t xml:space="preserve">223 </w:t>
      </w:r>
      <w:r>
        <w:rPr>
          <w:color w:val="231F20"/>
          <w:sz w:val="20"/>
        </w:rPr>
        <w:t>As one study argues, child</w:t>
      </w:r>
      <w:r>
        <w:rPr>
          <w:color w:val="231F20"/>
          <w:spacing w:val="-10"/>
          <w:sz w:val="20"/>
        </w:rPr>
        <w:t xml:space="preserve"> </w:t>
      </w:r>
      <w:r>
        <w:rPr>
          <w:color w:val="231F20"/>
          <w:sz w:val="20"/>
        </w:rPr>
        <w:t>stalking</w:t>
      </w:r>
      <w:r>
        <w:rPr>
          <w:color w:val="231F20"/>
          <w:spacing w:val="-9"/>
          <w:sz w:val="20"/>
        </w:rPr>
        <w:t xml:space="preserve"> </w:t>
      </w:r>
      <w:r>
        <w:rPr>
          <w:color w:val="231F20"/>
          <w:sz w:val="20"/>
        </w:rPr>
        <w:t>is</w:t>
      </w:r>
      <w:r>
        <w:rPr>
          <w:color w:val="231F20"/>
          <w:spacing w:val="-10"/>
          <w:sz w:val="20"/>
        </w:rPr>
        <w:t xml:space="preserve"> </w:t>
      </w:r>
      <w:r>
        <w:rPr>
          <w:color w:val="231F20"/>
          <w:sz w:val="20"/>
        </w:rPr>
        <w:t>‘too</w:t>
      </w:r>
      <w:r>
        <w:rPr>
          <w:color w:val="231F20"/>
          <w:spacing w:val="-9"/>
          <w:sz w:val="20"/>
        </w:rPr>
        <w:t xml:space="preserve"> </w:t>
      </w:r>
      <w:r>
        <w:rPr>
          <w:color w:val="231F20"/>
          <w:sz w:val="20"/>
        </w:rPr>
        <w:t>commonly</w:t>
      </w:r>
      <w:r>
        <w:rPr>
          <w:color w:val="231F20"/>
          <w:spacing w:val="-9"/>
          <w:sz w:val="20"/>
        </w:rPr>
        <w:t xml:space="preserve"> </w:t>
      </w:r>
      <w:r>
        <w:rPr>
          <w:color w:val="231F20"/>
          <w:sz w:val="20"/>
        </w:rPr>
        <w:t>trivialised</w:t>
      </w:r>
      <w:r>
        <w:rPr>
          <w:color w:val="231F20"/>
          <w:spacing w:val="-10"/>
          <w:sz w:val="20"/>
        </w:rPr>
        <w:t xml:space="preserve"> </w:t>
      </w:r>
      <w:r>
        <w:rPr>
          <w:color w:val="231F20"/>
          <w:sz w:val="20"/>
        </w:rPr>
        <w:t>as</w:t>
      </w:r>
      <w:r>
        <w:rPr>
          <w:color w:val="231F20"/>
          <w:spacing w:val="-9"/>
          <w:sz w:val="20"/>
        </w:rPr>
        <w:t xml:space="preserve"> </w:t>
      </w:r>
      <w:r>
        <w:rPr>
          <w:color w:val="231F20"/>
          <w:sz w:val="20"/>
        </w:rPr>
        <w:t>harmless</w:t>
      </w:r>
      <w:r>
        <w:rPr>
          <w:color w:val="231F20"/>
          <w:spacing w:val="-9"/>
          <w:sz w:val="20"/>
        </w:rPr>
        <w:t xml:space="preserve"> </w:t>
      </w:r>
      <w:r>
        <w:rPr>
          <w:color w:val="231F20"/>
          <w:sz w:val="20"/>
        </w:rPr>
        <w:t>or</w:t>
      </w:r>
      <w:r>
        <w:rPr>
          <w:color w:val="231F20"/>
          <w:spacing w:val="-10"/>
          <w:sz w:val="20"/>
        </w:rPr>
        <w:t xml:space="preserve"> </w:t>
      </w:r>
      <w:r>
        <w:rPr>
          <w:color w:val="231F20"/>
          <w:spacing w:val="-4"/>
          <w:sz w:val="20"/>
        </w:rPr>
        <w:t>inoffensive’,</w:t>
      </w:r>
      <w:r>
        <w:rPr>
          <w:color w:val="231F20"/>
          <w:spacing w:val="-9"/>
          <w:sz w:val="20"/>
        </w:rPr>
        <w:t xml:space="preserve"> </w:t>
      </w:r>
      <w:r>
        <w:rPr>
          <w:color w:val="231F20"/>
          <w:sz w:val="20"/>
        </w:rPr>
        <w:t>when</w:t>
      </w:r>
      <w:r>
        <w:rPr>
          <w:color w:val="231F20"/>
          <w:spacing w:val="-10"/>
          <w:sz w:val="20"/>
        </w:rPr>
        <w:t xml:space="preserve"> </w:t>
      </w:r>
      <w:r>
        <w:rPr>
          <w:color w:val="231F20"/>
          <w:sz w:val="20"/>
        </w:rPr>
        <w:t>‘the</w:t>
      </w:r>
      <w:r>
        <w:rPr>
          <w:color w:val="231F20"/>
          <w:spacing w:val="-9"/>
          <w:sz w:val="20"/>
        </w:rPr>
        <w:t xml:space="preserve"> </w:t>
      </w:r>
      <w:r>
        <w:rPr>
          <w:color w:val="231F20"/>
          <w:spacing w:val="-3"/>
          <w:sz w:val="20"/>
        </w:rPr>
        <w:t>rates</w:t>
      </w:r>
      <w:r>
        <w:rPr>
          <w:color w:val="231F20"/>
          <w:spacing w:val="-9"/>
          <w:sz w:val="20"/>
        </w:rPr>
        <w:t xml:space="preserve"> </w:t>
      </w:r>
      <w:r>
        <w:rPr>
          <w:color w:val="231F20"/>
          <w:sz w:val="20"/>
        </w:rPr>
        <w:t>of threats</w:t>
      </w:r>
      <w:r>
        <w:rPr>
          <w:color w:val="231F20"/>
          <w:spacing w:val="-7"/>
          <w:sz w:val="20"/>
        </w:rPr>
        <w:t xml:space="preserve"> </w:t>
      </w:r>
      <w:r>
        <w:rPr>
          <w:color w:val="231F20"/>
          <w:sz w:val="20"/>
        </w:rPr>
        <w:t>…</w:t>
      </w:r>
      <w:r>
        <w:rPr>
          <w:color w:val="231F20"/>
          <w:spacing w:val="-7"/>
          <w:sz w:val="20"/>
        </w:rPr>
        <w:t xml:space="preserve"> </w:t>
      </w:r>
      <w:r>
        <w:rPr>
          <w:color w:val="231F20"/>
          <w:sz w:val="20"/>
        </w:rPr>
        <w:t>and</w:t>
      </w:r>
      <w:r>
        <w:rPr>
          <w:color w:val="231F20"/>
          <w:spacing w:val="-6"/>
          <w:sz w:val="20"/>
        </w:rPr>
        <w:t xml:space="preserve"> </w:t>
      </w:r>
      <w:r>
        <w:rPr>
          <w:color w:val="231F20"/>
          <w:sz w:val="20"/>
        </w:rPr>
        <w:t>assault</w:t>
      </w:r>
      <w:r>
        <w:rPr>
          <w:color w:val="231F20"/>
          <w:spacing w:val="-7"/>
          <w:sz w:val="20"/>
        </w:rPr>
        <w:t xml:space="preserve"> </w:t>
      </w:r>
      <w:r>
        <w:rPr>
          <w:color w:val="231F20"/>
          <w:sz w:val="20"/>
        </w:rPr>
        <w:t>…</w:t>
      </w:r>
      <w:r>
        <w:rPr>
          <w:color w:val="231F20"/>
          <w:spacing w:val="-6"/>
          <w:sz w:val="20"/>
        </w:rPr>
        <w:t xml:space="preserve"> </w:t>
      </w:r>
      <w:r>
        <w:rPr>
          <w:color w:val="231F20"/>
          <w:sz w:val="20"/>
        </w:rPr>
        <w:t>[can</w:t>
      </w:r>
      <w:r>
        <w:rPr>
          <w:color w:val="231F20"/>
          <w:spacing w:val="-7"/>
          <w:sz w:val="20"/>
        </w:rPr>
        <w:t xml:space="preserve"> </w:t>
      </w:r>
      <w:r>
        <w:rPr>
          <w:color w:val="231F20"/>
          <w:sz w:val="20"/>
        </w:rPr>
        <w:t>be]</w:t>
      </w:r>
      <w:r>
        <w:rPr>
          <w:color w:val="231F20"/>
          <w:spacing w:val="-7"/>
          <w:sz w:val="20"/>
        </w:rPr>
        <w:t xml:space="preserve"> </w:t>
      </w:r>
      <w:r>
        <w:rPr>
          <w:color w:val="231F20"/>
          <w:sz w:val="20"/>
        </w:rPr>
        <w:t>higher</w:t>
      </w:r>
      <w:r>
        <w:rPr>
          <w:color w:val="231F20"/>
          <w:spacing w:val="-6"/>
          <w:sz w:val="20"/>
        </w:rPr>
        <w:t xml:space="preserve"> </w:t>
      </w:r>
      <w:r>
        <w:rPr>
          <w:color w:val="231F20"/>
          <w:sz w:val="20"/>
        </w:rPr>
        <w:t>than</w:t>
      </w:r>
      <w:r>
        <w:rPr>
          <w:color w:val="231F20"/>
          <w:spacing w:val="-7"/>
          <w:sz w:val="20"/>
        </w:rPr>
        <w:t xml:space="preserve"> </w:t>
      </w:r>
      <w:r>
        <w:rPr>
          <w:color w:val="231F20"/>
          <w:sz w:val="20"/>
        </w:rPr>
        <w:t>those</w:t>
      </w:r>
      <w:r>
        <w:rPr>
          <w:color w:val="231F20"/>
          <w:spacing w:val="-6"/>
          <w:sz w:val="20"/>
        </w:rPr>
        <w:t xml:space="preserve"> </w:t>
      </w:r>
      <w:r>
        <w:rPr>
          <w:color w:val="231F20"/>
          <w:sz w:val="20"/>
        </w:rPr>
        <w:t>reported</w:t>
      </w:r>
      <w:r>
        <w:rPr>
          <w:color w:val="231F20"/>
          <w:spacing w:val="-7"/>
          <w:sz w:val="20"/>
        </w:rPr>
        <w:t xml:space="preserve"> </w:t>
      </w:r>
      <w:r>
        <w:rPr>
          <w:color w:val="231F20"/>
          <w:sz w:val="20"/>
        </w:rPr>
        <w:t>in</w:t>
      </w:r>
      <w:r>
        <w:rPr>
          <w:color w:val="231F20"/>
          <w:spacing w:val="-7"/>
          <w:sz w:val="20"/>
        </w:rPr>
        <w:t xml:space="preserve"> </w:t>
      </w:r>
      <w:r>
        <w:rPr>
          <w:color w:val="231F20"/>
          <w:sz w:val="20"/>
        </w:rPr>
        <w:t>adult</w:t>
      </w:r>
      <w:r>
        <w:rPr>
          <w:color w:val="231F20"/>
          <w:spacing w:val="-6"/>
          <w:sz w:val="20"/>
        </w:rPr>
        <w:t xml:space="preserve"> </w:t>
      </w:r>
      <w:r>
        <w:rPr>
          <w:color w:val="231F20"/>
          <w:sz w:val="20"/>
        </w:rPr>
        <w:t>samples’.</w:t>
      </w:r>
      <w:r>
        <w:rPr>
          <w:color w:val="231F20"/>
          <w:position w:val="7"/>
          <w:sz w:val="11"/>
        </w:rPr>
        <w:t>224</w:t>
      </w:r>
    </w:p>
    <w:p w14:paraId="7B8DCB0B" w14:textId="77777777" w:rsidR="00894070" w:rsidRDefault="009B7AFD">
      <w:pPr>
        <w:pStyle w:val="BodyText"/>
        <w:spacing w:line="252" w:lineRule="exact"/>
        <w:ind w:left="1801"/>
        <w:rPr>
          <w:sz w:val="11"/>
        </w:rPr>
      </w:pPr>
      <w:r>
        <w:rPr>
          <w:color w:val="231F20"/>
        </w:rPr>
        <w:t>The potential negative impacts on child victims can be lasting and severe.</w:t>
      </w:r>
      <w:r>
        <w:rPr>
          <w:color w:val="231F20"/>
          <w:position w:val="7"/>
          <w:sz w:val="11"/>
        </w:rPr>
        <w:t>225</w:t>
      </w:r>
    </w:p>
    <w:p w14:paraId="09B3620E" w14:textId="77777777" w:rsidR="00894070" w:rsidRDefault="00894070">
      <w:pPr>
        <w:pStyle w:val="BodyText"/>
        <w:spacing w:before="1"/>
        <w:rPr>
          <w:sz w:val="15"/>
        </w:rPr>
      </w:pPr>
    </w:p>
    <w:p w14:paraId="41C56CB5" w14:textId="77777777" w:rsidR="00894070" w:rsidRDefault="009B7AFD">
      <w:pPr>
        <w:pStyle w:val="Heading8"/>
        <w:spacing w:before="1"/>
        <w:ind w:left="1007"/>
      </w:pPr>
      <w:r>
        <w:rPr>
          <w:color w:val="231F20"/>
        </w:rPr>
        <w:t>PSIOs should be prohibited for those under 14</w:t>
      </w:r>
    </w:p>
    <w:p w14:paraId="4DE82961" w14:textId="77777777" w:rsidR="00894070" w:rsidRDefault="009B7AFD">
      <w:pPr>
        <w:pStyle w:val="ListParagraph"/>
        <w:numPr>
          <w:ilvl w:val="1"/>
          <w:numId w:val="102"/>
        </w:numPr>
        <w:tabs>
          <w:tab w:val="left" w:pos="1801"/>
          <w:tab w:val="left" w:pos="1802"/>
        </w:tabs>
        <w:spacing w:before="127" w:line="206" w:lineRule="auto"/>
        <w:ind w:right="1586"/>
        <w:rPr>
          <w:sz w:val="11"/>
        </w:rPr>
      </w:pPr>
      <w:r>
        <w:rPr>
          <w:color w:val="231F20"/>
          <w:sz w:val="20"/>
        </w:rPr>
        <w:t xml:space="preserve">In the </w:t>
      </w:r>
      <w:r>
        <w:rPr>
          <w:color w:val="231F20"/>
          <w:spacing w:val="-3"/>
          <w:sz w:val="20"/>
        </w:rPr>
        <w:t xml:space="preserve">context </w:t>
      </w:r>
      <w:r>
        <w:rPr>
          <w:color w:val="231F20"/>
          <w:sz w:val="20"/>
        </w:rPr>
        <w:t xml:space="preserve">of the discussion to raise the age of criminal responsibility and the principle of </w:t>
      </w:r>
      <w:r>
        <w:rPr>
          <w:i/>
          <w:color w:val="231F20"/>
          <w:sz w:val="20"/>
        </w:rPr>
        <w:t xml:space="preserve">doli incapax </w:t>
      </w:r>
      <w:r>
        <w:rPr>
          <w:color w:val="231F20"/>
          <w:sz w:val="20"/>
        </w:rPr>
        <w:t>(‘incapable of crime’</w:t>
      </w:r>
      <w:r>
        <w:rPr>
          <w:color w:val="231F20"/>
          <w:position w:val="7"/>
          <w:sz w:val="11"/>
        </w:rPr>
        <w:t>226</w:t>
      </w:r>
      <w:r>
        <w:rPr>
          <w:color w:val="231F20"/>
          <w:sz w:val="20"/>
        </w:rPr>
        <w:t xml:space="preserve">) </w:t>
      </w:r>
      <w:r>
        <w:rPr>
          <w:color w:val="231F20"/>
          <w:spacing w:val="-3"/>
          <w:sz w:val="20"/>
        </w:rPr>
        <w:t xml:space="preserve">we </w:t>
      </w:r>
      <w:r>
        <w:rPr>
          <w:color w:val="231F20"/>
          <w:sz w:val="20"/>
        </w:rPr>
        <w:t xml:space="preserve">heard support </w:t>
      </w:r>
      <w:r>
        <w:rPr>
          <w:color w:val="231F20"/>
          <w:spacing w:val="-3"/>
          <w:sz w:val="20"/>
        </w:rPr>
        <w:t xml:space="preserve">for </w:t>
      </w:r>
      <w:r>
        <w:rPr>
          <w:color w:val="231F20"/>
          <w:sz w:val="20"/>
        </w:rPr>
        <w:t xml:space="preserve">a ban on </w:t>
      </w:r>
      <w:r>
        <w:rPr>
          <w:color w:val="231F20"/>
          <w:spacing w:val="-3"/>
          <w:sz w:val="20"/>
        </w:rPr>
        <w:t xml:space="preserve">(or </w:t>
      </w:r>
      <w:r>
        <w:rPr>
          <w:color w:val="231F20"/>
          <w:sz w:val="20"/>
        </w:rPr>
        <w:t>at</w:t>
      </w:r>
      <w:r>
        <w:rPr>
          <w:color w:val="231F20"/>
          <w:spacing w:val="-10"/>
          <w:sz w:val="20"/>
        </w:rPr>
        <w:t xml:space="preserve"> </w:t>
      </w:r>
      <w:r>
        <w:rPr>
          <w:color w:val="231F20"/>
          <w:sz w:val="20"/>
        </w:rPr>
        <w:t>least</w:t>
      </w:r>
      <w:r>
        <w:rPr>
          <w:color w:val="231F20"/>
          <w:spacing w:val="-9"/>
          <w:sz w:val="20"/>
        </w:rPr>
        <w:t xml:space="preserve"> </w:t>
      </w:r>
      <w:r>
        <w:rPr>
          <w:color w:val="231F20"/>
          <w:sz w:val="20"/>
        </w:rPr>
        <w:t>a</w:t>
      </w:r>
      <w:r>
        <w:rPr>
          <w:color w:val="231F20"/>
          <w:spacing w:val="-9"/>
          <w:sz w:val="20"/>
        </w:rPr>
        <w:t xml:space="preserve"> </w:t>
      </w:r>
      <w:r>
        <w:rPr>
          <w:color w:val="231F20"/>
          <w:sz w:val="20"/>
        </w:rPr>
        <w:t>presumption</w:t>
      </w:r>
      <w:r>
        <w:rPr>
          <w:color w:val="231F20"/>
          <w:spacing w:val="-9"/>
          <w:sz w:val="20"/>
        </w:rPr>
        <w:t xml:space="preserve"> </w:t>
      </w:r>
      <w:r>
        <w:rPr>
          <w:color w:val="231F20"/>
          <w:sz w:val="20"/>
        </w:rPr>
        <w:t>against)</w:t>
      </w:r>
      <w:r>
        <w:rPr>
          <w:color w:val="231F20"/>
          <w:spacing w:val="-10"/>
          <w:sz w:val="20"/>
        </w:rPr>
        <w:t xml:space="preserve"> </w:t>
      </w:r>
      <w:r>
        <w:rPr>
          <w:color w:val="231F20"/>
          <w:sz w:val="20"/>
        </w:rPr>
        <w:t>PSIOs</w:t>
      </w:r>
      <w:r>
        <w:rPr>
          <w:color w:val="231F20"/>
          <w:spacing w:val="-9"/>
          <w:sz w:val="20"/>
        </w:rPr>
        <w:t xml:space="preserve"> </w:t>
      </w:r>
      <w:r>
        <w:rPr>
          <w:color w:val="231F20"/>
          <w:sz w:val="20"/>
        </w:rPr>
        <w:t>being</w:t>
      </w:r>
      <w:r>
        <w:rPr>
          <w:color w:val="231F20"/>
          <w:spacing w:val="-9"/>
          <w:sz w:val="20"/>
        </w:rPr>
        <w:t xml:space="preserve"> </w:t>
      </w:r>
      <w:r>
        <w:rPr>
          <w:color w:val="231F20"/>
          <w:sz w:val="20"/>
        </w:rPr>
        <w:t>made</w:t>
      </w:r>
      <w:r>
        <w:rPr>
          <w:color w:val="231F20"/>
          <w:spacing w:val="-9"/>
          <w:sz w:val="20"/>
        </w:rPr>
        <w:t xml:space="preserve"> </w:t>
      </w:r>
      <w:r>
        <w:rPr>
          <w:color w:val="231F20"/>
          <w:sz w:val="20"/>
        </w:rPr>
        <w:t>against</w:t>
      </w:r>
      <w:r>
        <w:rPr>
          <w:color w:val="231F20"/>
          <w:spacing w:val="-10"/>
          <w:sz w:val="20"/>
        </w:rPr>
        <w:t xml:space="preserve"> </w:t>
      </w:r>
      <w:r>
        <w:rPr>
          <w:color w:val="231F20"/>
          <w:spacing w:val="-3"/>
          <w:sz w:val="20"/>
        </w:rPr>
        <w:t>anyone</w:t>
      </w:r>
      <w:r>
        <w:rPr>
          <w:color w:val="231F20"/>
          <w:spacing w:val="-9"/>
          <w:sz w:val="20"/>
        </w:rPr>
        <w:t xml:space="preserve"> </w:t>
      </w:r>
      <w:r>
        <w:rPr>
          <w:color w:val="231F20"/>
          <w:sz w:val="20"/>
        </w:rPr>
        <w:t>under</w:t>
      </w:r>
      <w:r>
        <w:rPr>
          <w:color w:val="231F20"/>
          <w:spacing w:val="-9"/>
          <w:sz w:val="20"/>
        </w:rPr>
        <w:t xml:space="preserve"> </w:t>
      </w:r>
      <w:r>
        <w:rPr>
          <w:color w:val="231F20"/>
          <w:sz w:val="20"/>
        </w:rPr>
        <w:t>the</w:t>
      </w:r>
      <w:r>
        <w:rPr>
          <w:color w:val="231F20"/>
          <w:spacing w:val="-9"/>
          <w:sz w:val="20"/>
        </w:rPr>
        <w:t xml:space="preserve"> </w:t>
      </w:r>
      <w:r>
        <w:rPr>
          <w:color w:val="231F20"/>
          <w:sz w:val="20"/>
        </w:rPr>
        <w:t>age</w:t>
      </w:r>
      <w:r>
        <w:rPr>
          <w:color w:val="231F20"/>
          <w:spacing w:val="-9"/>
          <w:sz w:val="20"/>
        </w:rPr>
        <w:t xml:space="preserve"> </w:t>
      </w:r>
      <w:r>
        <w:rPr>
          <w:color w:val="231F20"/>
          <w:sz w:val="20"/>
        </w:rPr>
        <w:t xml:space="preserve">of 14 years. </w:t>
      </w:r>
      <w:r>
        <w:rPr>
          <w:color w:val="231F20"/>
          <w:spacing w:val="-6"/>
          <w:sz w:val="20"/>
        </w:rPr>
        <w:t xml:space="preserve">We </w:t>
      </w:r>
      <w:r>
        <w:rPr>
          <w:color w:val="231F20"/>
          <w:sz w:val="20"/>
        </w:rPr>
        <w:t xml:space="preserve">also heard a therapeutic response should be </w:t>
      </w:r>
      <w:r>
        <w:rPr>
          <w:color w:val="231F20"/>
          <w:spacing w:val="-3"/>
          <w:sz w:val="20"/>
        </w:rPr>
        <w:t xml:space="preserve">preferred </w:t>
      </w:r>
      <w:r>
        <w:rPr>
          <w:color w:val="231F20"/>
          <w:spacing w:val="-4"/>
          <w:sz w:val="20"/>
        </w:rPr>
        <w:t xml:space="preserve">over </w:t>
      </w:r>
      <w:r>
        <w:rPr>
          <w:color w:val="231F20"/>
          <w:sz w:val="20"/>
        </w:rPr>
        <w:t>a justice response.</w:t>
      </w:r>
      <w:r>
        <w:rPr>
          <w:color w:val="231F20"/>
          <w:position w:val="7"/>
          <w:sz w:val="11"/>
        </w:rPr>
        <w:t>227</w:t>
      </w:r>
    </w:p>
    <w:p w14:paraId="5E884EF8" w14:textId="77777777" w:rsidR="00894070" w:rsidRDefault="009B7AFD">
      <w:pPr>
        <w:pStyle w:val="ListParagraph"/>
        <w:numPr>
          <w:ilvl w:val="1"/>
          <w:numId w:val="102"/>
        </w:numPr>
        <w:tabs>
          <w:tab w:val="left" w:pos="1801"/>
          <w:tab w:val="left" w:pos="1802"/>
        </w:tabs>
        <w:spacing w:before="94" w:line="259" w:lineRule="exact"/>
        <w:rPr>
          <w:sz w:val="20"/>
        </w:rPr>
      </w:pPr>
      <w:r>
        <w:rPr>
          <w:color w:val="231F20"/>
          <w:spacing w:val="-6"/>
          <w:sz w:val="20"/>
        </w:rPr>
        <w:t xml:space="preserve">We </w:t>
      </w:r>
      <w:r>
        <w:rPr>
          <w:color w:val="231F20"/>
          <w:sz w:val="20"/>
        </w:rPr>
        <w:t>recommend</w:t>
      </w:r>
      <w:r>
        <w:rPr>
          <w:color w:val="231F20"/>
          <w:spacing w:val="-6"/>
          <w:sz w:val="20"/>
        </w:rPr>
        <w:t xml:space="preserve"> </w:t>
      </w:r>
      <w:r>
        <w:rPr>
          <w:color w:val="231F20"/>
          <w:sz w:val="20"/>
        </w:rPr>
        <w:t>that</w:t>
      </w:r>
      <w:r>
        <w:rPr>
          <w:color w:val="231F20"/>
          <w:spacing w:val="-6"/>
          <w:sz w:val="20"/>
        </w:rPr>
        <w:t xml:space="preserve"> </w:t>
      </w:r>
      <w:r>
        <w:rPr>
          <w:color w:val="231F20"/>
          <w:sz w:val="20"/>
        </w:rPr>
        <w:t>the</w:t>
      </w:r>
      <w:r>
        <w:rPr>
          <w:color w:val="231F20"/>
          <w:spacing w:val="-6"/>
          <w:sz w:val="20"/>
        </w:rPr>
        <w:t xml:space="preserve"> </w:t>
      </w:r>
      <w:r>
        <w:rPr>
          <w:color w:val="231F20"/>
          <w:sz w:val="20"/>
        </w:rPr>
        <w:t>PSIO</w:t>
      </w:r>
      <w:r>
        <w:rPr>
          <w:color w:val="231F20"/>
          <w:spacing w:val="-5"/>
          <w:sz w:val="20"/>
        </w:rPr>
        <w:t xml:space="preserve"> </w:t>
      </w:r>
      <w:r>
        <w:rPr>
          <w:color w:val="231F20"/>
          <w:spacing w:val="-2"/>
          <w:sz w:val="20"/>
        </w:rPr>
        <w:t>Act</w:t>
      </w:r>
      <w:r>
        <w:rPr>
          <w:color w:val="231F20"/>
          <w:spacing w:val="-6"/>
          <w:sz w:val="20"/>
        </w:rPr>
        <w:t xml:space="preserve"> </w:t>
      </w:r>
      <w:r>
        <w:rPr>
          <w:color w:val="231F20"/>
          <w:sz w:val="20"/>
        </w:rPr>
        <w:t>be</w:t>
      </w:r>
      <w:r>
        <w:rPr>
          <w:color w:val="231F20"/>
          <w:spacing w:val="-6"/>
          <w:sz w:val="20"/>
        </w:rPr>
        <w:t xml:space="preserve"> </w:t>
      </w:r>
      <w:r>
        <w:rPr>
          <w:color w:val="231F20"/>
          <w:sz w:val="20"/>
        </w:rPr>
        <w:t>amended</w:t>
      </w:r>
      <w:r>
        <w:rPr>
          <w:color w:val="231F20"/>
          <w:spacing w:val="-6"/>
          <w:sz w:val="20"/>
        </w:rPr>
        <w:t xml:space="preserve"> </w:t>
      </w:r>
      <w:r>
        <w:rPr>
          <w:color w:val="231F20"/>
          <w:sz w:val="20"/>
        </w:rPr>
        <w:t>to</w:t>
      </w:r>
      <w:r>
        <w:rPr>
          <w:color w:val="231F20"/>
          <w:spacing w:val="-5"/>
          <w:sz w:val="20"/>
        </w:rPr>
        <w:t xml:space="preserve"> </w:t>
      </w:r>
      <w:r>
        <w:rPr>
          <w:color w:val="231F20"/>
          <w:sz w:val="20"/>
        </w:rPr>
        <w:t>prohibit</w:t>
      </w:r>
      <w:r>
        <w:rPr>
          <w:color w:val="231F20"/>
          <w:spacing w:val="-6"/>
          <w:sz w:val="20"/>
        </w:rPr>
        <w:t xml:space="preserve"> </w:t>
      </w:r>
      <w:r>
        <w:rPr>
          <w:color w:val="231F20"/>
          <w:sz w:val="20"/>
        </w:rPr>
        <w:t>a</w:t>
      </w:r>
      <w:r>
        <w:rPr>
          <w:color w:val="231F20"/>
          <w:spacing w:val="-6"/>
          <w:sz w:val="20"/>
        </w:rPr>
        <w:t xml:space="preserve"> </w:t>
      </w:r>
      <w:r>
        <w:rPr>
          <w:color w:val="231F20"/>
          <w:sz w:val="20"/>
        </w:rPr>
        <w:t>PSIO</w:t>
      </w:r>
      <w:r>
        <w:rPr>
          <w:color w:val="231F20"/>
          <w:spacing w:val="-6"/>
          <w:sz w:val="20"/>
        </w:rPr>
        <w:t xml:space="preserve"> </w:t>
      </w:r>
      <w:r>
        <w:rPr>
          <w:color w:val="231F20"/>
          <w:sz w:val="20"/>
        </w:rPr>
        <w:t>being</w:t>
      </w:r>
      <w:r>
        <w:rPr>
          <w:color w:val="231F20"/>
          <w:spacing w:val="-5"/>
          <w:sz w:val="20"/>
        </w:rPr>
        <w:t xml:space="preserve"> </w:t>
      </w:r>
      <w:r>
        <w:rPr>
          <w:color w:val="231F20"/>
          <w:sz w:val="20"/>
        </w:rPr>
        <w:t>made</w:t>
      </w:r>
      <w:r>
        <w:rPr>
          <w:color w:val="231F20"/>
          <w:spacing w:val="-6"/>
          <w:sz w:val="20"/>
        </w:rPr>
        <w:t xml:space="preserve"> </w:t>
      </w:r>
      <w:r>
        <w:rPr>
          <w:color w:val="231F20"/>
          <w:sz w:val="20"/>
        </w:rPr>
        <w:t>against</w:t>
      </w:r>
    </w:p>
    <w:p w14:paraId="2E4A6D0A" w14:textId="77777777" w:rsidR="00894070" w:rsidRDefault="009B7AFD">
      <w:pPr>
        <w:pStyle w:val="BodyText"/>
        <w:spacing w:line="259" w:lineRule="exact"/>
        <w:ind w:left="1801"/>
      </w:pPr>
      <w:r>
        <w:rPr>
          <w:color w:val="231F20"/>
        </w:rPr>
        <w:t>a person under the age of 14, for reasons outlined in the next section.</w:t>
      </w:r>
    </w:p>
    <w:p w14:paraId="7845F684" w14:textId="77777777" w:rsidR="00894070" w:rsidRDefault="009B7AFD">
      <w:pPr>
        <w:pStyle w:val="Heading9"/>
        <w:rPr>
          <w:b/>
        </w:rPr>
      </w:pPr>
      <w:r>
        <w:rPr>
          <w:b/>
          <w:color w:val="231F20"/>
        </w:rPr>
        <w:t>PSIOs are not an effective safety measure for those under 14</w:t>
      </w:r>
    </w:p>
    <w:p w14:paraId="2F0F16A6" w14:textId="77777777" w:rsidR="00894070" w:rsidRDefault="009B7AFD">
      <w:pPr>
        <w:pStyle w:val="ListParagraph"/>
        <w:numPr>
          <w:ilvl w:val="1"/>
          <w:numId w:val="102"/>
        </w:numPr>
        <w:tabs>
          <w:tab w:val="left" w:pos="1801"/>
          <w:tab w:val="left" w:pos="1802"/>
        </w:tabs>
        <w:spacing w:before="132" w:line="206" w:lineRule="auto"/>
        <w:ind w:right="1240"/>
        <w:rPr>
          <w:sz w:val="11"/>
        </w:rPr>
      </w:pPr>
      <w:r>
        <w:rPr>
          <w:color w:val="231F20"/>
          <w:sz w:val="20"/>
        </w:rPr>
        <w:t xml:space="preserve">The Law </w:t>
      </w:r>
      <w:r>
        <w:rPr>
          <w:color w:val="231F20"/>
          <w:spacing w:val="-3"/>
          <w:sz w:val="20"/>
        </w:rPr>
        <w:t xml:space="preserve">Institute </w:t>
      </w:r>
      <w:r>
        <w:rPr>
          <w:color w:val="231F20"/>
          <w:sz w:val="20"/>
        </w:rPr>
        <w:t xml:space="preserve">of Victoria (LIV) noted the presumption of </w:t>
      </w:r>
      <w:r>
        <w:rPr>
          <w:i/>
          <w:color w:val="231F20"/>
          <w:sz w:val="20"/>
        </w:rPr>
        <w:t>doli incapax</w:t>
      </w:r>
      <w:r>
        <w:rPr>
          <w:color w:val="231F20"/>
          <w:sz w:val="20"/>
        </w:rPr>
        <w:t xml:space="preserve">, arguing that </w:t>
      </w:r>
      <w:r>
        <w:rPr>
          <w:color w:val="231F20"/>
          <w:spacing w:val="-3"/>
          <w:sz w:val="20"/>
        </w:rPr>
        <w:t xml:space="preserve">‘children </w:t>
      </w:r>
      <w:r>
        <w:rPr>
          <w:color w:val="231F20"/>
          <w:sz w:val="20"/>
        </w:rPr>
        <w:t xml:space="preserve">do not sufficiently understand the consequences of their actions </w:t>
      </w:r>
      <w:r>
        <w:rPr>
          <w:color w:val="231F20"/>
          <w:spacing w:val="-3"/>
          <w:sz w:val="20"/>
        </w:rPr>
        <w:t xml:space="preserve">[below] </w:t>
      </w:r>
      <w:r>
        <w:rPr>
          <w:color w:val="231F20"/>
          <w:sz w:val="20"/>
        </w:rPr>
        <w:t>this age’.</w:t>
      </w:r>
      <w:r>
        <w:rPr>
          <w:color w:val="231F20"/>
          <w:position w:val="7"/>
          <w:sz w:val="11"/>
        </w:rPr>
        <w:t>228</w:t>
      </w:r>
      <w:r>
        <w:rPr>
          <w:color w:val="231F20"/>
          <w:spacing w:val="12"/>
          <w:position w:val="7"/>
          <w:sz w:val="11"/>
        </w:rPr>
        <w:t xml:space="preserve"> </w:t>
      </w:r>
      <w:r>
        <w:rPr>
          <w:color w:val="231F20"/>
          <w:sz w:val="20"/>
        </w:rPr>
        <w:t>The</w:t>
      </w:r>
      <w:r>
        <w:rPr>
          <w:color w:val="231F20"/>
          <w:spacing w:val="-12"/>
          <w:sz w:val="20"/>
        </w:rPr>
        <w:t xml:space="preserve"> </w:t>
      </w:r>
      <w:r>
        <w:rPr>
          <w:color w:val="231F20"/>
          <w:sz w:val="20"/>
        </w:rPr>
        <w:t>Victorian</w:t>
      </w:r>
      <w:r>
        <w:rPr>
          <w:color w:val="231F20"/>
          <w:spacing w:val="-11"/>
          <w:sz w:val="20"/>
        </w:rPr>
        <w:t xml:space="preserve"> </w:t>
      </w:r>
      <w:r>
        <w:rPr>
          <w:color w:val="231F20"/>
          <w:sz w:val="20"/>
        </w:rPr>
        <w:t>Aboriginal</w:t>
      </w:r>
      <w:r>
        <w:rPr>
          <w:color w:val="231F20"/>
          <w:spacing w:val="-12"/>
          <w:sz w:val="20"/>
        </w:rPr>
        <w:t xml:space="preserve"> </w:t>
      </w:r>
      <w:r>
        <w:rPr>
          <w:color w:val="231F20"/>
          <w:sz w:val="20"/>
        </w:rPr>
        <w:t>Legal</w:t>
      </w:r>
      <w:r>
        <w:rPr>
          <w:color w:val="231F20"/>
          <w:spacing w:val="-12"/>
          <w:sz w:val="20"/>
        </w:rPr>
        <w:t xml:space="preserve"> </w:t>
      </w:r>
      <w:r>
        <w:rPr>
          <w:color w:val="231F20"/>
          <w:sz w:val="20"/>
        </w:rPr>
        <w:t>Service</w:t>
      </w:r>
      <w:r>
        <w:rPr>
          <w:color w:val="231F20"/>
          <w:spacing w:val="-11"/>
          <w:sz w:val="20"/>
        </w:rPr>
        <w:t xml:space="preserve"> </w:t>
      </w:r>
      <w:r>
        <w:rPr>
          <w:color w:val="231F20"/>
          <w:sz w:val="20"/>
        </w:rPr>
        <w:t>shared</w:t>
      </w:r>
      <w:r>
        <w:rPr>
          <w:color w:val="231F20"/>
          <w:spacing w:val="-12"/>
          <w:sz w:val="20"/>
        </w:rPr>
        <w:t xml:space="preserve"> </w:t>
      </w:r>
      <w:r>
        <w:rPr>
          <w:color w:val="231F20"/>
          <w:sz w:val="20"/>
        </w:rPr>
        <w:t>this</w:t>
      </w:r>
      <w:r>
        <w:rPr>
          <w:color w:val="231F20"/>
          <w:spacing w:val="-11"/>
          <w:sz w:val="20"/>
        </w:rPr>
        <w:t xml:space="preserve"> </w:t>
      </w:r>
      <w:r>
        <w:rPr>
          <w:color w:val="231F20"/>
          <w:sz w:val="20"/>
        </w:rPr>
        <w:t>concern,</w:t>
      </w:r>
      <w:r>
        <w:rPr>
          <w:color w:val="231F20"/>
          <w:spacing w:val="-12"/>
          <w:sz w:val="20"/>
        </w:rPr>
        <w:t xml:space="preserve"> </w:t>
      </w:r>
      <w:r>
        <w:rPr>
          <w:color w:val="231F20"/>
          <w:sz w:val="20"/>
        </w:rPr>
        <w:t>describing</w:t>
      </w:r>
      <w:r>
        <w:rPr>
          <w:color w:val="231F20"/>
          <w:spacing w:val="-12"/>
          <w:sz w:val="20"/>
        </w:rPr>
        <w:t xml:space="preserve"> </w:t>
      </w:r>
      <w:r>
        <w:rPr>
          <w:color w:val="231F20"/>
          <w:sz w:val="20"/>
        </w:rPr>
        <w:t>PSIOs</w:t>
      </w:r>
      <w:r>
        <w:rPr>
          <w:color w:val="231F20"/>
          <w:spacing w:val="-11"/>
          <w:sz w:val="20"/>
        </w:rPr>
        <w:t xml:space="preserve"> </w:t>
      </w:r>
      <w:r>
        <w:rPr>
          <w:color w:val="231F20"/>
          <w:sz w:val="20"/>
        </w:rPr>
        <w:t xml:space="preserve">as an unsuitable and </w:t>
      </w:r>
      <w:r>
        <w:rPr>
          <w:color w:val="231F20"/>
          <w:spacing w:val="-3"/>
          <w:sz w:val="20"/>
        </w:rPr>
        <w:t xml:space="preserve">overused </w:t>
      </w:r>
      <w:r>
        <w:rPr>
          <w:color w:val="231F20"/>
          <w:sz w:val="20"/>
        </w:rPr>
        <w:t xml:space="preserve">response </w:t>
      </w:r>
      <w:r>
        <w:rPr>
          <w:color w:val="231F20"/>
          <w:spacing w:val="-3"/>
          <w:sz w:val="20"/>
        </w:rPr>
        <w:t xml:space="preserve">for </w:t>
      </w:r>
      <w:r>
        <w:rPr>
          <w:color w:val="231F20"/>
          <w:sz w:val="20"/>
        </w:rPr>
        <w:t>young</w:t>
      </w:r>
      <w:r>
        <w:rPr>
          <w:color w:val="231F20"/>
          <w:spacing w:val="-25"/>
          <w:sz w:val="20"/>
        </w:rPr>
        <w:t xml:space="preserve"> </w:t>
      </w:r>
      <w:r>
        <w:rPr>
          <w:color w:val="231F20"/>
          <w:sz w:val="20"/>
        </w:rPr>
        <w:t>people.</w:t>
      </w:r>
      <w:r>
        <w:rPr>
          <w:color w:val="231F20"/>
          <w:position w:val="7"/>
          <w:sz w:val="11"/>
        </w:rPr>
        <w:t>229</w:t>
      </w:r>
    </w:p>
    <w:p w14:paraId="70E498F9" w14:textId="77777777" w:rsidR="00894070" w:rsidRDefault="009B7AFD">
      <w:pPr>
        <w:pStyle w:val="ListParagraph"/>
        <w:numPr>
          <w:ilvl w:val="1"/>
          <w:numId w:val="102"/>
        </w:numPr>
        <w:tabs>
          <w:tab w:val="left" w:pos="1801"/>
          <w:tab w:val="left" w:pos="1802"/>
        </w:tabs>
        <w:spacing w:before="125" w:line="206" w:lineRule="auto"/>
        <w:ind w:right="1343"/>
        <w:rPr>
          <w:sz w:val="20"/>
        </w:rPr>
      </w:pPr>
      <w:r>
        <w:rPr>
          <w:color w:val="231F20"/>
          <w:sz w:val="20"/>
        </w:rPr>
        <w:t xml:space="preserve">The underlying principle of </w:t>
      </w:r>
      <w:r>
        <w:rPr>
          <w:i/>
          <w:color w:val="231F20"/>
          <w:sz w:val="20"/>
        </w:rPr>
        <w:t xml:space="preserve">doli incapax </w:t>
      </w:r>
      <w:r>
        <w:rPr>
          <w:color w:val="231F20"/>
          <w:sz w:val="20"/>
        </w:rPr>
        <w:t xml:space="preserve">is that a child </w:t>
      </w:r>
      <w:r>
        <w:rPr>
          <w:color w:val="231F20"/>
          <w:spacing w:val="-3"/>
          <w:sz w:val="20"/>
        </w:rPr>
        <w:t xml:space="preserve">below </w:t>
      </w:r>
      <w:r>
        <w:rPr>
          <w:color w:val="231F20"/>
          <w:sz w:val="20"/>
        </w:rPr>
        <w:t>14 years of age is ‘not sufficiently</w:t>
      </w:r>
      <w:r>
        <w:rPr>
          <w:color w:val="231F20"/>
          <w:spacing w:val="-12"/>
          <w:sz w:val="20"/>
        </w:rPr>
        <w:t xml:space="preserve"> </w:t>
      </w:r>
      <w:r>
        <w:rPr>
          <w:color w:val="231F20"/>
          <w:spacing w:val="-3"/>
          <w:sz w:val="20"/>
        </w:rPr>
        <w:t>intellectually</w:t>
      </w:r>
      <w:r>
        <w:rPr>
          <w:color w:val="231F20"/>
          <w:spacing w:val="-11"/>
          <w:sz w:val="20"/>
        </w:rPr>
        <w:t xml:space="preserve"> </w:t>
      </w:r>
      <w:r>
        <w:rPr>
          <w:color w:val="231F20"/>
          <w:sz w:val="20"/>
        </w:rPr>
        <w:t>and</w:t>
      </w:r>
      <w:r>
        <w:rPr>
          <w:color w:val="231F20"/>
          <w:spacing w:val="-11"/>
          <w:sz w:val="20"/>
        </w:rPr>
        <w:t xml:space="preserve"> </w:t>
      </w:r>
      <w:r>
        <w:rPr>
          <w:color w:val="231F20"/>
          <w:sz w:val="20"/>
        </w:rPr>
        <w:t>morally</w:t>
      </w:r>
      <w:r>
        <w:rPr>
          <w:color w:val="231F20"/>
          <w:spacing w:val="-11"/>
          <w:sz w:val="20"/>
        </w:rPr>
        <w:t xml:space="preserve"> </w:t>
      </w:r>
      <w:r>
        <w:rPr>
          <w:color w:val="231F20"/>
          <w:spacing w:val="-3"/>
          <w:sz w:val="20"/>
        </w:rPr>
        <w:t>developed</w:t>
      </w:r>
      <w:r>
        <w:rPr>
          <w:color w:val="231F20"/>
          <w:spacing w:val="-11"/>
          <w:sz w:val="20"/>
        </w:rPr>
        <w:t xml:space="preserve"> </w:t>
      </w:r>
      <w:r>
        <w:rPr>
          <w:color w:val="231F20"/>
          <w:sz w:val="20"/>
        </w:rPr>
        <w:t>to</w:t>
      </w:r>
      <w:r>
        <w:rPr>
          <w:color w:val="231F20"/>
          <w:spacing w:val="-11"/>
          <w:sz w:val="20"/>
        </w:rPr>
        <w:t xml:space="preserve"> </w:t>
      </w:r>
      <w:r>
        <w:rPr>
          <w:color w:val="231F20"/>
          <w:spacing w:val="-3"/>
          <w:sz w:val="20"/>
        </w:rPr>
        <w:t>appreciate</w:t>
      </w:r>
      <w:r>
        <w:rPr>
          <w:color w:val="231F20"/>
          <w:spacing w:val="-12"/>
          <w:sz w:val="20"/>
        </w:rPr>
        <w:t xml:space="preserve"> </w:t>
      </w:r>
      <w:r>
        <w:rPr>
          <w:color w:val="231F20"/>
          <w:sz w:val="20"/>
        </w:rPr>
        <w:t>the</w:t>
      </w:r>
      <w:r>
        <w:rPr>
          <w:color w:val="231F20"/>
          <w:spacing w:val="-11"/>
          <w:sz w:val="20"/>
        </w:rPr>
        <w:t xml:space="preserve"> </w:t>
      </w:r>
      <w:r>
        <w:rPr>
          <w:color w:val="231F20"/>
          <w:spacing w:val="-3"/>
          <w:sz w:val="20"/>
        </w:rPr>
        <w:t>difference</w:t>
      </w:r>
      <w:r>
        <w:rPr>
          <w:color w:val="231F20"/>
          <w:spacing w:val="-11"/>
          <w:sz w:val="20"/>
        </w:rPr>
        <w:t xml:space="preserve"> </w:t>
      </w:r>
      <w:r>
        <w:rPr>
          <w:color w:val="231F20"/>
          <w:sz w:val="20"/>
        </w:rPr>
        <w:t>between right and wrong’.</w:t>
      </w:r>
      <w:r>
        <w:rPr>
          <w:color w:val="231F20"/>
          <w:position w:val="7"/>
          <w:sz w:val="11"/>
        </w:rPr>
        <w:t xml:space="preserve">230 </w:t>
      </w:r>
      <w:r>
        <w:rPr>
          <w:color w:val="231F20"/>
          <w:sz w:val="20"/>
        </w:rPr>
        <w:t xml:space="preserve">The </w:t>
      </w:r>
      <w:r>
        <w:rPr>
          <w:i/>
          <w:color w:val="231F20"/>
          <w:sz w:val="20"/>
        </w:rPr>
        <w:t xml:space="preserve">doli incapax </w:t>
      </w:r>
      <w:r>
        <w:rPr>
          <w:color w:val="231F20"/>
          <w:sz w:val="20"/>
        </w:rPr>
        <w:t>presumption generally applies in the criminal context.</w:t>
      </w:r>
    </w:p>
    <w:p w14:paraId="0CCD6AEB" w14:textId="77777777" w:rsidR="00894070" w:rsidRDefault="009B7AFD">
      <w:pPr>
        <w:pStyle w:val="ListParagraph"/>
        <w:numPr>
          <w:ilvl w:val="1"/>
          <w:numId w:val="102"/>
        </w:numPr>
        <w:tabs>
          <w:tab w:val="left" w:pos="1801"/>
          <w:tab w:val="left" w:pos="1802"/>
        </w:tabs>
        <w:spacing w:before="125" w:line="206" w:lineRule="auto"/>
        <w:ind w:right="1213"/>
        <w:rPr>
          <w:sz w:val="20"/>
        </w:rPr>
      </w:pPr>
      <w:r>
        <w:rPr>
          <w:color w:val="231F20"/>
          <w:spacing w:val="-5"/>
          <w:sz w:val="20"/>
        </w:rPr>
        <w:t xml:space="preserve">However, </w:t>
      </w:r>
      <w:r>
        <w:rPr>
          <w:color w:val="231F20"/>
          <w:sz w:val="20"/>
        </w:rPr>
        <w:t xml:space="preserve">emerging neuroscience </w:t>
      </w:r>
      <w:r>
        <w:rPr>
          <w:color w:val="231F20"/>
          <w:spacing w:val="-3"/>
          <w:sz w:val="20"/>
        </w:rPr>
        <w:t xml:space="preserve">research </w:t>
      </w:r>
      <w:r>
        <w:rPr>
          <w:color w:val="231F20"/>
          <w:sz w:val="20"/>
        </w:rPr>
        <w:t>has supported its central premise about child</w:t>
      </w:r>
      <w:r>
        <w:rPr>
          <w:color w:val="231F20"/>
          <w:spacing w:val="-6"/>
          <w:sz w:val="20"/>
        </w:rPr>
        <w:t xml:space="preserve"> </w:t>
      </w:r>
      <w:r>
        <w:rPr>
          <w:color w:val="231F20"/>
          <w:spacing w:val="-3"/>
          <w:sz w:val="20"/>
        </w:rPr>
        <w:t>development,</w:t>
      </w:r>
      <w:r>
        <w:rPr>
          <w:color w:val="231F20"/>
          <w:spacing w:val="-5"/>
          <w:sz w:val="20"/>
        </w:rPr>
        <w:t xml:space="preserve"> </w:t>
      </w: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context</w:t>
      </w:r>
      <w:r>
        <w:rPr>
          <w:color w:val="231F20"/>
          <w:spacing w:val="-5"/>
          <w:sz w:val="20"/>
        </w:rPr>
        <w:t xml:space="preserve"> </w:t>
      </w:r>
      <w:r>
        <w:rPr>
          <w:color w:val="231F20"/>
          <w:sz w:val="20"/>
        </w:rPr>
        <w:t>of</w:t>
      </w:r>
      <w:r>
        <w:rPr>
          <w:color w:val="231F20"/>
          <w:spacing w:val="-6"/>
          <w:sz w:val="20"/>
        </w:rPr>
        <w:t xml:space="preserve"> </w:t>
      </w:r>
      <w:r>
        <w:rPr>
          <w:color w:val="231F20"/>
          <w:sz w:val="20"/>
        </w:rPr>
        <w:t>public</w:t>
      </w:r>
      <w:r>
        <w:rPr>
          <w:color w:val="231F20"/>
          <w:spacing w:val="-5"/>
          <w:sz w:val="20"/>
        </w:rPr>
        <w:t xml:space="preserve"> </w:t>
      </w:r>
      <w:r>
        <w:rPr>
          <w:color w:val="231F20"/>
          <w:spacing w:val="-3"/>
          <w:sz w:val="20"/>
        </w:rPr>
        <w:t>debate</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age</w:t>
      </w:r>
      <w:r>
        <w:rPr>
          <w:color w:val="231F20"/>
          <w:spacing w:val="-6"/>
          <w:sz w:val="20"/>
        </w:rPr>
        <w:t xml:space="preserve"> </w:t>
      </w:r>
      <w:r>
        <w:rPr>
          <w:color w:val="231F20"/>
          <w:sz w:val="20"/>
        </w:rPr>
        <w:t>of</w:t>
      </w:r>
      <w:r>
        <w:rPr>
          <w:color w:val="231F20"/>
          <w:spacing w:val="-5"/>
          <w:sz w:val="20"/>
        </w:rPr>
        <w:t xml:space="preserve"> </w:t>
      </w:r>
      <w:r>
        <w:rPr>
          <w:color w:val="231F20"/>
          <w:sz w:val="20"/>
        </w:rPr>
        <w:t>criminal</w:t>
      </w:r>
      <w:r>
        <w:rPr>
          <w:color w:val="231F20"/>
          <w:spacing w:val="-5"/>
          <w:sz w:val="20"/>
        </w:rPr>
        <w:t xml:space="preserve"> </w:t>
      </w:r>
      <w:r>
        <w:rPr>
          <w:color w:val="231F20"/>
          <w:spacing w:val="-3"/>
          <w:sz w:val="20"/>
        </w:rPr>
        <w:t>responsibility.</w:t>
      </w:r>
    </w:p>
    <w:p w14:paraId="3F8B608F" w14:textId="77777777" w:rsidR="00894070" w:rsidRDefault="009B7AFD">
      <w:pPr>
        <w:pStyle w:val="ListParagraph"/>
        <w:numPr>
          <w:ilvl w:val="1"/>
          <w:numId w:val="102"/>
        </w:numPr>
        <w:tabs>
          <w:tab w:val="left" w:pos="1801"/>
          <w:tab w:val="left" w:pos="1802"/>
        </w:tabs>
        <w:spacing w:before="122" w:line="206" w:lineRule="auto"/>
        <w:ind w:right="1254"/>
        <w:rPr>
          <w:sz w:val="11"/>
        </w:rPr>
      </w:pPr>
      <w:r>
        <w:rPr>
          <w:color w:val="231F20"/>
          <w:sz w:val="20"/>
        </w:rPr>
        <w:t xml:space="preserve">Dr </w:t>
      </w:r>
      <w:r>
        <w:rPr>
          <w:color w:val="231F20"/>
          <w:spacing w:val="-4"/>
          <w:sz w:val="20"/>
        </w:rPr>
        <w:t xml:space="preserve">Enys </w:t>
      </w:r>
      <w:r>
        <w:rPr>
          <w:color w:val="231F20"/>
          <w:sz w:val="20"/>
        </w:rPr>
        <w:t xml:space="preserve">Delmage </w:t>
      </w:r>
      <w:r>
        <w:rPr>
          <w:color w:val="231F20"/>
          <w:spacing w:val="-3"/>
          <w:sz w:val="20"/>
        </w:rPr>
        <w:t xml:space="preserve">notes </w:t>
      </w:r>
      <w:r>
        <w:rPr>
          <w:color w:val="231F20"/>
          <w:sz w:val="20"/>
        </w:rPr>
        <w:t xml:space="preserve">that ‘there is a strong base of emerging evidence highlighting consistent and universal </w:t>
      </w:r>
      <w:r>
        <w:rPr>
          <w:color w:val="231F20"/>
          <w:spacing w:val="-3"/>
          <w:sz w:val="20"/>
        </w:rPr>
        <w:t xml:space="preserve">differences </w:t>
      </w:r>
      <w:r>
        <w:rPr>
          <w:color w:val="231F20"/>
          <w:sz w:val="20"/>
        </w:rPr>
        <w:t>in the judgment and consequential thinking processes</w:t>
      </w:r>
      <w:r>
        <w:rPr>
          <w:color w:val="231F20"/>
          <w:spacing w:val="-10"/>
          <w:sz w:val="20"/>
        </w:rPr>
        <w:t xml:space="preserve"> </w:t>
      </w:r>
      <w:r>
        <w:rPr>
          <w:color w:val="231F20"/>
          <w:sz w:val="20"/>
        </w:rPr>
        <w:t>between</w:t>
      </w:r>
      <w:r>
        <w:rPr>
          <w:color w:val="231F20"/>
          <w:spacing w:val="-9"/>
          <w:sz w:val="20"/>
        </w:rPr>
        <w:t xml:space="preserve"> </w:t>
      </w:r>
      <w:r>
        <w:rPr>
          <w:color w:val="231F20"/>
          <w:spacing w:val="-3"/>
          <w:sz w:val="20"/>
        </w:rPr>
        <w:t>children</w:t>
      </w:r>
      <w:r>
        <w:rPr>
          <w:color w:val="231F20"/>
          <w:spacing w:val="-10"/>
          <w:sz w:val="20"/>
        </w:rPr>
        <w:t xml:space="preserve"> </w:t>
      </w:r>
      <w:r>
        <w:rPr>
          <w:color w:val="231F20"/>
          <w:sz w:val="20"/>
        </w:rPr>
        <w:t>and</w:t>
      </w:r>
      <w:r>
        <w:rPr>
          <w:color w:val="231F20"/>
          <w:spacing w:val="-9"/>
          <w:sz w:val="20"/>
        </w:rPr>
        <w:t xml:space="preserve"> </w:t>
      </w:r>
      <w:r>
        <w:rPr>
          <w:color w:val="231F20"/>
          <w:sz w:val="20"/>
        </w:rPr>
        <w:t>young</w:t>
      </w:r>
      <w:r>
        <w:rPr>
          <w:color w:val="231F20"/>
          <w:spacing w:val="-10"/>
          <w:sz w:val="20"/>
        </w:rPr>
        <w:t xml:space="preserve"> </w:t>
      </w:r>
      <w:r>
        <w:rPr>
          <w:color w:val="231F20"/>
          <w:sz w:val="20"/>
        </w:rPr>
        <w:t>people</w:t>
      </w:r>
      <w:r>
        <w:rPr>
          <w:color w:val="231F20"/>
          <w:spacing w:val="-9"/>
          <w:sz w:val="20"/>
        </w:rPr>
        <w:t xml:space="preserve"> </w:t>
      </w:r>
      <w:r>
        <w:rPr>
          <w:color w:val="231F20"/>
          <w:sz w:val="20"/>
        </w:rPr>
        <w:t>and</w:t>
      </w:r>
      <w:r>
        <w:rPr>
          <w:color w:val="231F20"/>
          <w:spacing w:val="-9"/>
          <w:sz w:val="20"/>
        </w:rPr>
        <w:t xml:space="preserve"> </w:t>
      </w:r>
      <w:r>
        <w:rPr>
          <w:color w:val="231F20"/>
          <w:sz w:val="20"/>
        </w:rPr>
        <w:t>adults.’</w:t>
      </w:r>
      <w:r>
        <w:rPr>
          <w:color w:val="231F20"/>
          <w:position w:val="7"/>
          <w:sz w:val="11"/>
        </w:rPr>
        <w:t>231</w:t>
      </w:r>
      <w:r>
        <w:rPr>
          <w:color w:val="231F20"/>
          <w:spacing w:val="14"/>
          <w:position w:val="7"/>
          <w:sz w:val="11"/>
        </w:rPr>
        <w:t xml:space="preserve"> </w:t>
      </w:r>
      <w:r>
        <w:rPr>
          <w:color w:val="231F20"/>
          <w:spacing w:val="-3"/>
          <w:sz w:val="20"/>
        </w:rPr>
        <w:t>Professor</w:t>
      </w:r>
      <w:r>
        <w:rPr>
          <w:color w:val="231F20"/>
          <w:spacing w:val="-9"/>
          <w:sz w:val="20"/>
        </w:rPr>
        <w:t xml:space="preserve"> </w:t>
      </w:r>
      <w:r>
        <w:rPr>
          <w:color w:val="231F20"/>
          <w:sz w:val="20"/>
        </w:rPr>
        <w:t>Chris</w:t>
      </w:r>
      <w:r>
        <w:rPr>
          <w:color w:val="231F20"/>
          <w:spacing w:val="-10"/>
          <w:sz w:val="20"/>
        </w:rPr>
        <w:t xml:space="preserve"> </w:t>
      </w:r>
      <w:r>
        <w:rPr>
          <w:color w:val="231F20"/>
          <w:sz w:val="20"/>
        </w:rPr>
        <w:t xml:space="preserve">Cunneen asserts that </w:t>
      </w:r>
      <w:r>
        <w:rPr>
          <w:color w:val="231F20"/>
          <w:spacing w:val="-3"/>
          <w:sz w:val="20"/>
        </w:rPr>
        <w:t xml:space="preserve">children </w:t>
      </w:r>
      <w:r>
        <w:rPr>
          <w:color w:val="231F20"/>
          <w:sz w:val="20"/>
        </w:rPr>
        <w:t xml:space="preserve">and young people lack the maturity of </w:t>
      </w:r>
      <w:proofErr w:type="gramStart"/>
      <w:r>
        <w:rPr>
          <w:color w:val="231F20"/>
          <w:sz w:val="20"/>
        </w:rPr>
        <w:t>adults</w:t>
      </w:r>
      <w:proofErr w:type="gramEnd"/>
      <w:r>
        <w:rPr>
          <w:color w:val="231F20"/>
          <w:sz w:val="20"/>
        </w:rPr>
        <w:t xml:space="preserve"> and this </w:t>
      </w:r>
      <w:r>
        <w:rPr>
          <w:color w:val="231F20"/>
          <w:spacing w:val="-3"/>
          <w:sz w:val="20"/>
        </w:rPr>
        <w:t xml:space="preserve">reduces </w:t>
      </w:r>
      <w:r>
        <w:rPr>
          <w:color w:val="231F20"/>
          <w:sz w:val="20"/>
        </w:rPr>
        <w:t xml:space="preserve">their ability to make </w:t>
      </w:r>
      <w:r>
        <w:rPr>
          <w:color w:val="231F20"/>
          <w:spacing w:val="-3"/>
          <w:sz w:val="20"/>
        </w:rPr>
        <w:t>appropriate</w:t>
      </w:r>
      <w:r>
        <w:rPr>
          <w:color w:val="231F20"/>
          <w:spacing w:val="-22"/>
          <w:sz w:val="20"/>
        </w:rPr>
        <w:t xml:space="preserve"> </w:t>
      </w:r>
      <w:r>
        <w:rPr>
          <w:color w:val="231F20"/>
          <w:sz w:val="20"/>
        </w:rPr>
        <w:t>decisions.</w:t>
      </w:r>
      <w:r>
        <w:rPr>
          <w:color w:val="231F20"/>
          <w:position w:val="7"/>
          <w:sz w:val="11"/>
        </w:rPr>
        <w:t>232</w:t>
      </w:r>
    </w:p>
    <w:p w14:paraId="610427B6" w14:textId="77777777" w:rsidR="00894070" w:rsidRDefault="009F6793">
      <w:pPr>
        <w:pStyle w:val="BodyText"/>
        <w:spacing w:before="8"/>
        <w:rPr>
          <w:sz w:val="18"/>
        </w:rPr>
      </w:pPr>
      <w:r>
        <w:pict w14:anchorId="79534D97">
          <v:line id="_x0000_s1262" style="position:absolute;z-index:251704320;mso-wrap-distance-left:0;mso-wrap-distance-right:0;mso-position-horizontal-relative:page" from="79.35pt,15.35pt" to="515.9pt,15.35pt" strokecolor="#f8cabc" strokeweight="1pt">
            <w10:wrap type="topAndBottom" anchorx="page"/>
          </v:line>
        </w:pict>
      </w:r>
    </w:p>
    <w:p w14:paraId="7774622E" w14:textId="77777777" w:rsidR="00894070" w:rsidRDefault="00894070">
      <w:pPr>
        <w:pStyle w:val="BodyText"/>
        <w:rPr>
          <w:sz w:val="5"/>
        </w:rPr>
      </w:pPr>
    </w:p>
    <w:p w14:paraId="46E78296" w14:textId="77777777" w:rsidR="00894070" w:rsidRDefault="00894070">
      <w:pPr>
        <w:rPr>
          <w:sz w:val="5"/>
        </w:rPr>
        <w:sectPr w:rsidR="00894070">
          <w:pgSz w:w="11910" w:h="16840"/>
          <w:pgMar w:top="860" w:right="420" w:bottom="280" w:left="580" w:header="567" w:footer="0" w:gutter="0"/>
          <w:cols w:space="720"/>
        </w:sectPr>
      </w:pPr>
    </w:p>
    <w:p w14:paraId="3A898258" w14:textId="77777777" w:rsidR="00894070" w:rsidRDefault="00894070">
      <w:pPr>
        <w:pStyle w:val="BodyText"/>
        <w:rPr>
          <w:sz w:val="28"/>
        </w:rPr>
      </w:pPr>
    </w:p>
    <w:p w14:paraId="485A393E" w14:textId="77777777" w:rsidR="00894070" w:rsidRDefault="00894070">
      <w:pPr>
        <w:pStyle w:val="BodyText"/>
        <w:rPr>
          <w:sz w:val="28"/>
        </w:rPr>
      </w:pPr>
    </w:p>
    <w:p w14:paraId="4852E01B" w14:textId="77777777" w:rsidR="00894070" w:rsidRDefault="00894070">
      <w:pPr>
        <w:pStyle w:val="BodyText"/>
        <w:rPr>
          <w:sz w:val="28"/>
        </w:rPr>
      </w:pPr>
    </w:p>
    <w:p w14:paraId="2E6C4AD2" w14:textId="77777777" w:rsidR="00894070" w:rsidRDefault="00894070">
      <w:pPr>
        <w:pStyle w:val="BodyText"/>
        <w:rPr>
          <w:sz w:val="28"/>
        </w:rPr>
      </w:pPr>
    </w:p>
    <w:p w14:paraId="0B7F1A0E" w14:textId="77777777" w:rsidR="00894070" w:rsidRDefault="00894070">
      <w:pPr>
        <w:pStyle w:val="BodyText"/>
        <w:rPr>
          <w:sz w:val="28"/>
        </w:rPr>
      </w:pPr>
    </w:p>
    <w:p w14:paraId="261754AB" w14:textId="77777777" w:rsidR="00894070" w:rsidRDefault="00894070">
      <w:pPr>
        <w:pStyle w:val="BodyText"/>
        <w:rPr>
          <w:sz w:val="28"/>
        </w:rPr>
      </w:pPr>
    </w:p>
    <w:p w14:paraId="6817E5D5" w14:textId="77777777" w:rsidR="00894070" w:rsidRDefault="00894070">
      <w:pPr>
        <w:pStyle w:val="BodyText"/>
        <w:rPr>
          <w:sz w:val="28"/>
        </w:rPr>
      </w:pPr>
    </w:p>
    <w:p w14:paraId="77D901AE" w14:textId="77777777" w:rsidR="00894070" w:rsidRDefault="00894070">
      <w:pPr>
        <w:pStyle w:val="BodyText"/>
        <w:rPr>
          <w:sz w:val="28"/>
        </w:rPr>
      </w:pPr>
    </w:p>
    <w:p w14:paraId="5B22603A" w14:textId="77777777" w:rsidR="00894070" w:rsidRDefault="00894070">
      <w:pPr>
        <w:pStyle w:val="BodyText"/>
        <w:rPr>
          <w:sz w:val="28"/>
        </w:rPr>
      </w:pPr>
    </w:p>
    <w:p w14:paraId="50D28030" w14:textId="77777777" w:rsidR="00894070" w:rsidRDefault="00894070">
      <w:pPr>
        <w:pStyle w:val="BodyText"/>
        <w:rPr>
          <w:sz w:val="28"/>
        </w:rPr>
      </w:pPr>
    </w:p>
    <w:p w14:paraId="368C9997" w14:textId="77777777" w:rsidR="00894070" w:rsidRDefault="00894070">
      <w:pPr>
        <w:pStyle w:val="BodyText"/>
        <w:rPr>
          <w:sz w:val="28"/>
        </w:rPr>
      </w:pPr>
    </w:p>
    <w:p w14:paraId="4AECFBC3" w14:textId="77777777" w:rsidR="00894070" w:rsidRDefault="00894070">
      <w:pPr>
        <w:pStyle w:val="BodyText"/>
        <w:rPr>
          <w:sz w:val="28"/>
        </w:rPr>
      </w:pPr>
    </w:p>
    <w:p w14:paraId="008353BE" w14:textId="77777777" w:rsidR="00894070" w:rsidRDefault="00894070">
      <w:pPr>
        <w:pStyle w:val="BodyText"/>
        <w:spacing w:before="11"/>
        <w:rPr>
          <w:sz w:val="36"/>
        </w:rPr>
      </w:pPr>
    </w:p>
    <w:p w14:paraId="493042B7" w14:textId="77777777" w:rsidR="00894070" w:rsidRDefault="009B7AFD">
      <w:pPr>
        <w:pStyle w:val="Heading8"/>
        <w:ind w:left="140"/>
      </w:pPr>
      <w:r>
        <w:rPr>
          <w:color w:val="EA5B50"/>
        </w:rPr>
        <w:t>124</w:t>
      </w:r>
    </w:p>
    <w:p w14:paraId="5B7C4424" w14:textId="77777777" w:rsidR="00894070" w:rsidRDefault="009B7AFD">
      <w:pPr>
        <w:pStyle w:val="ListParagraph"/>
        <w:numPr>
          <w:ilvl w:val="0"/>
          <w:numId w:val="78"/>
        </w:numPr>
        <w:tabs>
          <w:tab w:val="left" w:pos="933"/>
          <w:tab w:val="left" w:pos="934"/>
        </w:tabs>
        <w:spacing w:before="38" w:line="213" w:lineRule="auto"/>
        <w:ind w:left="933" w:right="1242" w:hanging="793"/>
        <w:jc w:val="left"/>
        <w:rPr>
          <w:sz w:val="13"/>
        </w:rPr>
      </w:pPr>
      <w:r>
        <w:rPr>
          <w:color w:val="231F20"/>
          <w:spacing w:val="-1"/>
          <w:sz w:val="13"/>
        </w:rPr>
        <w:br w:type="column"/>
      </w:r>
      <w:r>
        <w:rPr>
          <w:color w:val="231F20"/>
          <w:sz w:val="13"/>
        </w:rPr>
        <w:t xml:space="preserve">For example, the Children’s </w:t>
      </w:r>
      <w:r>
        <w:rPr>
          <w:color w:val="231F20"/>
          <w:spacing w:val="2"/>
          <w:sz w:val="13"/>
        </w:rPr>
        <w:t xml:space="preserve">Court </w:t>
      </w:r>
      <w:r>
        <w:rPr>
          <w:color w:val="231F20"/>
          <w:sz w:val="13"/>
        </w:rPr>
        <w:t xml:space="preserve">provided us with a case study that detailed ongoing behaviours between two 13-year-old     boys, which was of sufficient </w:t>
      </w:r>
      <w:r>
        <w:rPr>
          <w:color w:val="231F20"/>
          <w:spacing w:val="2"/>
          <w:sz w:val="13"/>
        </w:rPr>
        <w:t xml:space="preserve">seriousness </w:t>
      </w:r>
      <w:r>
        <w:rPr>
          <w:color w:val="231F20"/>
          <w:sz w:val="13"/>
        </w:rPr>
        <w:t xml:space="preserve">to warrant an urgent interim </w:t>
      </w:r>
      <w:r>
        <w:rPr>
          <w:color w:val="231F20"/>
          <w:spacing w:val="2"/>
          <w:sz w:val="13"/>
        </w:rPr>
        <w:t xml:space="preserve">PSIO </w:t>
      </w:r>
      <w:r>
        <w:rPr>
          <w:color w:val="231F20"/>
          <w:sz w:val="13"/>
        </w:rPr>
        <w:t>being made ex parte. It included physical and verbal abuse,</w:t>
      </w:r>
      <w:r>
        <w:rPr>
          <w:color w:val="231F20"/>
          <w:spacing w:val="7"/>
          <w:sz w:val="13"/>
        </w:rPr>
        <w:t xml:space="preserve"> </w:t>
      </w:r>
      <w:r>
        <w:rPr>
          <w:color w:val="231F20"/>
          <w:sz w:val="13"/>
        </w:rPr>
        <w:t>racial</w:t>
      </w:r>
      <w:r>
        <w:rPr>
          <w:color w:val="231F20"/>
          <w:spacing w:val="8"/>
          <w:sz w:val="13"/>
        </w:rPr>
        <w:t xml:space="preserve"> </w:t>
      </w:r>
      <w:r>
        <w:rPr>
          <w:color w:val="231F20"/>
          <w:sz w:val="13"/>
        </w:rPr>
        <w:t>slurs,</w:t>
      </w:r>
      <w:r>
        <w:rPr>
          <w:color w:val="231F20"/>
          <w:spacing w:val="8"/>
          <w:sz w:val="13"/>
        </w:rPr>
        <w:t xml:space="preserve"> </w:t>
      </w:r>
      <w:r>
        <w:rPr>
          <w:color w:val="231F20"/>
          <w:sz w:val="13"/>
        </w:rPr>
        <w:t>publishing</w:t>
      </w:r>
      <w:r>
        <w:rPr>
          <w:color w:val="231F20"/>
          <w:spacing w:val="8"/>
          <w:sz w:val="13"/>
        </w:rPr>
        <w:t xml:space="preserve"> </w:t>
      </w:r>
      <w:r>
        <w:rPr>
          <w:color w:val="231F20"/>
          <w:sz w:val="13"/>
        </w:rPr>
        <w:t>personal</w:t>
      </w:r>
      <w:r>
        <w:rPr>
          <w:color w:val="231F20"/>
          <w:spacing w:val="8"/>
          <w:sz w:val="13"/>
        </w:rPr>
        <w:t xml:space="preserve"> </w:t>
      </w:r>
      <w:r>
        <w:rPr>
          <w:color w:val="231F20"/>
          <w:spacing w:val="2"/>
          <w:sz w:val="13"/>
        </w:rPr>
        <w:t>details</w:t>
      </w:r>
      <w:r>
        <w:rPr>
          <w:color w:val="231F20"/>
          <w:spacing w:val="8"/>
          <w:sz w:val="13"/>
        </w:rPr>
        <w:t xml:space="preserve"> </w:t>
      </w:r>
      <w:r>
        <w:rPr>
          <w:color w:val="231F20"/>
          <w:sz w:val="13"/>
        </w:rPr>
        <w:t>and</w:t>
      </w:r>
      <w:r>
        <w:rPr>
          <w:color w:val="231F20"/>
          <w:spacing w:val="8"/>
          <w:sz w:val="13"/>
        </w:rPr>
        <w:t xml:space="preserve"> </w:t>
      </w:r>
      <w:r>
        <w:rPr>
          <w:color w:val="231F20"/>
          <w:sz w:val="13"/>
        </w:rPr>
        <w:t>the</w:t>
      </w:r>
      <w:r>
        <w:rPr>
          <w:color w:val="231F20"/>
          <w:spacing w:val="8"/>
          <w:sz w:val="13"/>
        </w:rPr>
        <w:t xml:space="preserve"> </w:t>
      </w:r>
      <w:r>
        <w:rPr>
          <w:color w:val="231F20"/>
          <w:sz w:val="13"/>
        </w:rPr>
        <w:t>address</w:t>
      </w:r>
      <w:r>
        <w:rPr>
          <w:color w:val="231F20"/>
          <w:spacing w:val="8"/>
          <w:sz w:val="13"/>
        </w:rPr>
        <w:t xml:space="preserve"> </w:t>
      </w:r>
      <w:r>
        <w:rPr>
          <w:color w:val="231F20"/>
          <w:sz w:val="13"/>
        </w:rPr>
        <w:t>of</w:t>
      </w:r>
      <w:r>
        <w:rPr>
          <w:color w:val="231F20"/>
          <w:spacing w:val="8"/>
          <w:sz w:val="13"/>
        </w:rPr>
        <w:t xml:space="preserve"> </w:t>
      </w:r>
      <w:r>
        <w:rPr>
          <w:color w:val="231F20"/>
          <w:sz w:val="13"/>
        </w:rPr>
        <w:t>the</w:t>
      </w:r>
      <w:r>
        <w:rPr>
          <w:color w:val="231F20"/>
          <w:spacing w:val="8"/>
          <w:sz w:val="13"/>
        </w:rPr>
        <w:t xml:space="preserve"> </w:t>
      </w:r>
      <w:r>
        <w:rPr>
          <w:color w:val="231F20"/>
          <w:sz w:val="13"/>
        </w:rPr>
        <w:t>victim:</w:t>
      </w:r>
      <w:r>
        <w:rPr>
          <w:color w:val="231F20"/>
          <w:spacing w:val="8"/>
          <w:sz w:val="13"/>
        </w:rPr>
        <w:t xml:space="preserve"> </w:t>
      </w:r>
      <w:r>
        <w:rPr>
          <w:color w:val="231F20"/>
          <w:sz w:val="13"/>
        </w:rPr>
        <w:t>Consultation</w:t>
      </w:r>
      <w:r>
        <w:rPr>
          <w:color w:val="231F20"/>
          <w:spacing w:val="8"/>
          <w:sz w:val="13"/>
        </w:rPr>
        <w:t xml:space="preserve"> </w:t>
      </w:r>
      <w:r>
        <w:rPr>
          <w:color w:val="231F20"/>
          <w:sz w:val="13"/>
        </w:rPr>
        <w:t>35</w:t>
      </w:r>
      <w:r>
        <w:rPr>
          <w:color w:val="231F20"/>
          <w:spacing w:val="8"/>
          <w:sz w:val="13"/>
        </w:rPr>
        <w:t xml:space="preserve"> </w:t>
      </w:r>
      <w:r>
        <w:rPr>
          <w:color w:val="231F20"/>
          <w:sz w:val="13"/>
        </w:rPr>
        <w:t>(Children’s</w:t>
      </w:r>
      <w:r>
        <w:rPr>
          <w:color w:val="231F20"/>
          <w:spacing w:val="8"/>
          <w:sz w:val="13"/>
        </w:rPr>
        <w:t xml:space="preserve"> </w:t>
      </w:r>
      <w:r>
        <w:rPr>
          <w:color w:val="231F20"/>
          <w:spacing w:val="2"/>
          <w:sz w:val="13"/>
        </w:rPr>
        <w:t>Court</w:t>
      </w:r>
      <w:r>
        <w:rPr>
          <w:color w:val="231F20"/>
          <w:spacing w:val="8"/>
          <w:sz w:val="13"/>
        </w:rPr>
        <w:t xml:space="preserve"> </w:t>
      </w:r>
      <w:r>
        <w:rPr>
          <w:color w:val="231F20"/>
          <w:sz w:val="13"/>
        </w:rPr>
        <w:t>of</w:t>
      </w:r>
      <w:r>
        <w:rPr>
          <w:color w:val="231F20"/>
          <w:spacing w:val="8"/>
          <w:sz w:val="13"/>
        </w:rPr>
        <w:t xml:space="preserve"> </w:t>
      </w:r>
      <w:r>
        <w:rPr>
          <w:color w:val="231F20"/>
          <w:sz w:val="13"/>
        </w:rPr>
        <w:t>Victoria</w:t>
      </w:r>
      <w:r>
        <w:rPr>
          <w:color w:val="231F20"/>
          <w:spacing w:val="8"/>
          <w:sz w:val="13"/>
        </w:rPr>
        <w:t xml:space="preserve"> </w:t>
      </w:r>
      <w:r>
        <w:rPr>
          <w:color w:val="231F20"/>
          <w:sz w:val="13"/>
        </w:rPr>
        <w:t>(No</w:t>
      </w:r>
      <w:r>
        <w:rPr>
          <w:color w:val="231F20"/>
          <w:spacing w:val="8"/>
          <w:sz w:val="13"/>
        </w:rPr>
        <w:t xml:space="preserve"> </w:t>
      </w:r>
      <w:r>
        <w:rPr>
          <w:color w:val="231F20"/>
          <w:sz w:val="13"/>
        </w:rPr>
        <w:t>2)).</w:t>
      </w:r>
    </w:p>
    <w:p w14:paraId="494F0054" w14:textId="77777777" w:rsidR="00894070" w:rsidRDefault="009B7AFD">
      <w:pPr>
        <w:pStyle w:val="ListParagraph"/>
        <w:numPr>
          <w:ilvl w:val="0"/>
          <w:numId w:val="78"/>
        </w:numPr>
        <w:tabs>
          <w:tab w:val="left" w:pos="933"/>
          <w:tab w:val="left" w:pos="934"/>
        </w:tabs>
        <w:spacing w:line="213" w:lineRule="auto"/>
        <w:ind w:left="933" w:right="1266" w:hanging="793"/>
        <w:jc w:val="left"/>
        <w:rPr>
          <w:sz w:val="13"/>
        </w:rPr>
      </w:pPr>
      <w:r>
        <w:rPr>
          <w:color w:val="231F20"/>
          <w:spacing w:val="2"/>
          <w:sz w:val="13"/>
        </w:rPr>
        <w:t xml:space="preserve">Rosemary </w:t>
      </w:r>
      <w:r>
        <w:rPr>
          <w:color w:val="231F20"/>
          <w:sz w:val="13"/>
        </w:rPr>
        <w:t xml:space="preserve">Purcell, Teresa Flower and Paul E Mullen, </w:t>
      </w:r>
      <w:r>
        <w:rPr>
          <w:i/>
          <w:color w:val="231F20"/>
          <w:sz w:val="13"/>
        </w:rPr>
        <w:t xml:space="preserve">Adolescent Stalking: Offence Characteristics and Effectiveness of Criminal Justice Interventions </w:t>
      </w:r>
      <w:r>
        <w:rPr>
          <w:color w:val="231F20"/>
          <w:sz w:val="13"/>
        </w:rPr>
        <w:t xml:space="preserve">(Final </w:t>
      </w:r>
      <w:r>
        <w:rPr>
          <w:color w:val="231F20"/>
          <w:spacing w:val="2"/>
          <w:sz w:val="13"/>
        </w:rPr>
        <w:t xml:space="preserve">Report </w:t>
      </w:r>
      <w:r>
        <w:rPr>
          <w:color w:val="231F20"/>
          <w:sz w:val="13"/>
        </w:rPr>
        <w:t xml:space="preserve">to Criminology Research </w:t>
      </w:r>
      <w:r>
        <w:rPr>
          <w:color w:val="231F20"/>
          <w:spacing w:val="2"/>
          <w:sz w:val="13"/>
        </w:rPr>
        <w:t xml:space="preserve">Council, </w:t>
      </w:r>
      <w:r>
        <w:rPr>
          <w:color w:val="231F20"/>
          <w:sz w:val="13"/>
        </w:rPr>
        <w:t xml:space="preserve">November 2008) </w:t>
      </w:r>
      <w:r>
        <w:rPr>
          <w:color w:val="231F20"/>
          <w:spacing w:val="3"/>
          <w:sz w:val="13"/>
        </w:rPr>
        <w:t xml:space="preserve">24. </w:t>
      </w:r>
      <w:r>
        <w:rPr>
          <w:color w:val="231F20"/>
          <w:sz w:val="13"/>
        </w:rPr>
        <w:t xml:space="preserve">For a discussion on this study and </w:t>
      </w:r>
      <w:r>
        <w:rPr>
          <w:color w:val="231F20"/>
          <w:spacing w:val="2"/>
          <w:sz w:val="13"/>
        </w:rPr>
        <w:t xml:space="preserve">its </w:t>
      </w:r>
      <w:r>
        <w:rPr>
          <w:color w:val="231F20"/>
          <w:sz w:val="13"/>
        </w:rPr>
        <w:t xml:space="preserve">findings: see Karl </w:t>
      </w:r>
      <w:r>
        <w:rPr>
          <w:color w:val="231F20"/>
          <w:spacing w:val="2"/>
          <w:sz w:val="13"/>
        </w:rPr>
        <w:t xml:space="preserve">Roberts, </w:t>
      </w:r>
      <w:r>
        <w:rPr>
          <w:color w:val="231F20"/>
          <w:sz w:val="13"/>
        </w:rPr>
        <w:t>Marina Tolou-</w:t>
      </w:r>
      <w:proofErr w:type="gramStart"/>
      <w:r>
        <w:rPr>
          <w:color w:val="231F20"/>
          <w:sz w:val="13"/>
        </w:rPr>
        <w:t>Shams</w:t>
      </w:r>
      <w:proofErr w:type="gramEnd"/>
      <w:r>
        <w:rPr>
          <w:color w:val="231F20"/>
          <w:sz w:val="13"/>
        </w:rPr>
        <w:t xml:space="preserve"> and Kaila Madera, ‘Adolescent versus Adult Stalking: A Brief Review’ (2016) 16(4) </w:t>
      </w:r>
      <w:r>
        <w:rPr>
          <w:i/>
          <w:color w:val="231F20"/>
          <w:sz w:val="13"/>
        </w:rPr>
        <w:t xml:space="preserve">Journal of Forensic Psychology Practice </w:t>
      </w:r>
      <w:r>
        <w:rPr>
          <w:color w:val="231F20"/>
          <w:sz w:val="13"/>
        </w:rPr>
        <w:t>236,</w:t>
      </w:r>
      <w:r>
        <w:rPr>
          <w:color w:val="231F20"/>
          <w:spacing w:val="2"/>
          <w:sz w:val="13"/>
        </w:rPr>
        <w:t xml:space="preserve"> </w:t>
      </w:r>
      <w:r>
        <w:rPr>
          <w:color w:val="231F20"/>
          <w:spacing w:val="-3"/>
          <w:sz w:val="13"/>
        </w:rPr>
        <w:t>247.</w:t>
      </w:r>
    </w:p>
    <w:p w14:paraId="76CC7BE4" w14:textId="77777777" w:rsidR="00894070" w:rsidRDefault="009B7AFD">
      <w:pPr>
        <w:pStyle w:val="ListParagraph"/>
        <w:numPr>
          <w:ilvl w:val="0"/>
          <w:numId w:val="78"/>
        </w:numPr>
        <w:tabs>
          <w:tab w:val="left" w:pos="933"/>
          <w:tab w:val="left" w:pos="934"/>
        </w:tabs>
        <w:spacing w:line="213" w:lineRule="auto"/>
        <w:ind w:left="933" w:right="1266" w:hanging="793"/>
        <w:jc w:val="left"/>
        <w:rPr>
          <w:sz w:val="13"/>
        </w:rPr>
      </w:pPr>
      <w:r>
        <w:rPr>
          <w:color w:val="231F20"/>
          <w:spacing w:val="2"/>
          <w:sz w:val="13"/>
        </w:rPr>
        <w:t xml:space="preserve">Rosemary </w:t>
      </w:r>
      <w:r>
        <w:rPr>
          <w:color w:val="231F20"/>
          <w:sz w:val="13"/>
        </w:rPr>
        <w:t xml:space="preserve">Purcell, Teresa Flower and Paul E Mullen, </w:t>
      </w:r>
      <w:r>
        <w:rPr>
          <w:i/>
          <w:color w:val="231F20"/>
          <w:sz w:val="13"/>
        </w:rPr>
        <w:t xml:space="preserve">Adolescent Stalking: Offence Characteristics and Effectiveness of Criminal Justice Interventions </w:t>
      </w:r>
      <w:r>
        <w:rPr>
          <w:color w:val="231F20"/>
          <w:sz w:val="13"/>
        </w:rPr>
        <w:t xml:space="preserve">(Final </w:t>
      </w:r>
      <w:r>
        <w:rPr>
          <w:color w:val="231F20"/>
          <w:spacing w:val="2"/>
          <w:sz w:val="13"/>
        </w:rPr>
        <w:t xml:space="preserve">Report </w:t>
      </w:r>
      <w:r>
        <w:rPr>
          <w:color w:val="231F20"/>
          <w:sz w:val="13"/>
        </w:rPr>
        <w:t xml:space="preserve">to Criminology Research </w:t>
      </w:r>
      <w:r>
        <w:rPr>
          <w:color w:val="231F20"/>
          <w:spacing w:val="2"/>
          <w:sz w:val="13"/>
        </w:rPr>
        <w:t xml:space="preserve">Council, </w:t>
      </w:r>
      <w:r>
        <w:rPr>
          <w:color w:val="231F20"/>
          <w:sz w:val="13"/>
        </w:rPr>
        <w:t xml:space="preserve">November 2008) </w:t>
      </w:r>
      <w:r>
        <w:rPr>
          <w:color w:val="231F20"/>
          <w:spacing w:val="2"/>
          <w:sz w:val="13"/>
        </w:rPr>
        <w:t xml:space="preserve">25. </w:t>
      </w:r>
      <w:r>
        <w:rPr>
          <w:color w:val="231F20"/>
          <w:sz w:val="13"/>
        </w:rPr>
        <w:t xml:space="preserve">For a discussion on this study and </w:t>
      </w:r>
      <w:r>
        <w:rPr>
          <w:color w:val="231F20"/>
          <w:spacing w:val="2"/>
          <w:sz w:val="13"/>
        </w:rPr>
        <w:t xml:space="preserve">its </w:t>
      </w:r>
      <w:r>
        <w:rPr>
          <w:color w:val="231F20"/>
          <w:sz w:val="13"/>
        </w:rPr>
        <w:t xml:space="preserve">findings: see Karl </w:t>
      </w:r>
      <w:r>
        <w:rPr>
          <w:color w:val="231F20"/>
          <w:spacing w:val="2"/>
          <w:sz w:val="13"/>
        </w:rPr>
        <w:t xml:space="preserve">Roberts, </w:t>
      </w:r>
      <w:r>
        <w:rPr>
          <w:color w:val="231F20"/>
          <w:sz w:val="13"/>
        </w:rPr>
        <w:t>Marina Tolou-</w:t>
      </w:r>
      <w:proofErr w:type="gramStart"/>
      <w:r>
        <w:rPr>
          <w:color w:val="231F20"/>
          <w:sz w:val="13"/>
        </w:rPr>
        <w:t>Shams</w:t>
      </w:r>
      <w:proofErr w:type="gramEnd"/>
      <w:r>
        <w:rPr>
          <w:color w:val="231F20"/>
          <w:sz w:val="13"/>
        </w:rPr>
        <w:t xml:space="preserve"> and Kaila Madera, ‘Adolescent versus Adult Stalking: A Brief Review’ (2016) 16(4) </w:t>
      </w:r>
      <w:r>
        <w:rPr>
          <w:i/>
          <w:color w:val="231F20"/>
          <w:sz w:val="13"/>
        </w:rPr>
        <w:t xml:space="preserve">Journal of Forensic Psychology Practice </w:t>
      </w:r>
      <w:r>
        <w:rPr>
          <w:color w:val="231F20"/>
          <w:sz w:val="13"/>
        </w:rPr>
        <w:t>236,</w:t>
      </w:r>
      <w:r>
        <w:rPr>
          <w:color w:val="231F20"/>
          <w:spacing w:val="2"/>
          <w:sz w:val="13"/>
        </w:rPr>
        <w:t xml:space="preserve"> 248.</w:t>
      </w:r>
    </w:p>
    <w:p w14:paraId="1DB9D0D1" w14:textId="77777777" w:rsidR="00894070" w:rsidRDefault="009B7AFD">
      <w:pPr>
        <w:tabs>
          <w:tab w:val="left" w:pos="933"/>
        </w:tabs>
        <w:spacing w:line="151" w:lineRule="exact"/>
        <w:ind w:left="140"/>
        <w:rPr>
          <w:sz w:val="13"/>
        </w:rPr>
      </w:pPr>
      <w:r>
        <w:rPr>
          <w:color w:val="231F20"/>
          <w:sz w:val="13"/>
        </w:rPr>
        <w:t>226</w:t>
      </w:r>
      <w:r>
        <w:rPr>
          <w:color w:val="231F20"/>
          <w:sz w:val="13"/>
        </w:rPr>
        <w:tab/>
      </w:r>
      <w:r>
        <w:rPr>
          <w:i/>
          <w:color w:val="231F20"/>
          <w:sz w:val="13"/>
        </w:rPr>
        <w:t xml:space="preserve">R v ALH </w:t>
      </w:r>
      <w:r>
        <w:rPr>
          <w:color w:val="231F20"/>
          <w:sz w:val="13"/>
        </w:rPr>
        <w:t xml:space="preserve">[2003] VSCA </w:t>
      </w:r>
      <w:r>
        <w:rPr>
          <w:color w:val="231F20"/>
          <w:spacing w:val="2"/>
          <w:sz w:val="13"/>
        </w:rPr>
        <w:t xml:space="preserve">129, </w:t>
      </w:r>
      <w:r>
        <w:rPr>
          <w:color w:val="231F20"/>
          <w:sz w:val="13"/>
        </w:rPr>
        <w:t>(2003) 6 VR 276,</w:t>
      </w:r>
      <w:r>
        <w:rPr>
          <w:color w:val="231F20"/>
          <w:spacing w:val="-1"/>
          <w:sz w:val="13"/>
        </w:rPr>
        <w:t xml:space="preserve"> </w:t>
      </w:r>
      <w:r>
        <w:rPr>
          <w:color w:val="231F20"/>
          <w:sz w:val="13"/>
        </w:rPr>
        <w:t>[75].</w:t>
      </w:r>
    </w:p>
    <w:p w14:paraId="7C8CA67B" w14:textId="77777777" w:rsidR="00894070" w:rsidRDefault="009B7AFD">
      <w:pPr>
        <w:pStyle w:val="ListParagraph"/>
        <w:numPr>
          <w:ilvl w:val="0"/>
          <w:numId w:val="77"/>
        </w:numPr>
        <w:tabs>
          <w:tab w:val="left" w:pos="933"/>
          <w:tab w:val="left" w:pos="934"/>
        </w:tabs>
        <w:spacing w:line="160" w:lineRule="exact"/>
        <w:ind w:hanging="793"/>
        <w:rPr>
          <w:sz w:val="13"/>
        </w:rPr>
      </w:pPr>
      <w:r>
        <w:rPr>
          <w:color w:val="231F20"/>
          <w:sz w:val="13"/>
        </w:rPr>
        <w:t>Consultation 13 (Victoria Legal</w:t>
      </w:r>
      <w:r>
        <w:rPr>
          <w:color w:val="231F20"/>
          <w:spacing w:val="1"/>
          <w:sz w:val="13"/>
        </w:rPr>
        <w:t xml:space="preserve"> </w:t>
      </w:r>
      <w:r>
        <w:rPr>
          <w:color w:val="231F20"/>
          <w:sz w:val="13"/>
        </w:rPr>
        <w:t>Aid).</w:t>
      </w:r>
    </w:p>
    <w:p w14:paraId="3ADBC49B" w14:textId="77777777" w:rsidR="00894070" w:rsidRDefault="009B7AFD">
      <w:pPr>
        <w:pStyle w:val="ListParagraph"/>
        <w:numPr>
          <w:ilvl w:val="0"/>
          <w:numId w:val="77"/>
        </w:numPr>
        <w:tabs>
          <w:tab w:val="left" w:pos="933"/>
          <w:tab w:val="left" w:pos="934"/>
        </w:tabs>
        <w:spacing w:line="160" w:lineRule="exact"/>
        <w:ind w:hanging="793"/>
        <w:rPr>
          <w:sz w:val="13"/>
        </w:rPr>
      </w:pPr>
      <w:r>
        <w:rPr>
          <w:color w:val="231F20"/>
          <w:spacing w:val="2"/>
          <w:sz w:val="13"/>
        </w:rPr>
        <w:t xml:space="preserve">Submission </w:t>
      </w:r>
      <w:r>
        <w:rPr>
          <w:color w:val="231F20"/>
          <w:sz w:val="13"/>
        </w:rPr>
        <w:t>98 (Law Institute of</w:t>
      </w:r>
      <w:r>
        <w:rPr>
          <w:color w:val="231F20"/>
          <w:spacing w:val="-2"/>
          <w:sz w:val="13"/>
        </w:rPr>
        <w:t xml:space="preserve"> </w:t>
      </w:r>
      <w:r>
        <w:rPr>
          <w:color w:val="231F20"/>
          <w:sz w:val="13"/>
        </w:rPr>
        <w:t>Victoria).</w:t>
      </w:r>
    </w:p>
    <w:p w14:paraId="1C1234F8" w14:textId="77777777" w:rsidR="00894070" w:rsidRDefault="009B7AFD">
      <w:pPr>
        <w:pStyle w:val="ListParagraph"/>
        <w:numPr>
          <w:ilvl w:val="0"/>
          <w:numId w:val="77"/>
        </w:numPr>
        <w:tabs>
          <w:tab w:val="left" w:pos="933"/>
          <w:tab w:val="left" w:pos="934"/>
        </w:tabs>
        <w:spacing w:line="160" w:lineRule="exact"/>
        <w:ind w:hanging="793"/>
        <w:rPr>
          <w:sz w:val="13"/>
        </w:rPr>
      </w:pPr>
      <w:r>
        <w:rPr>
          <w:color w:val="231F20"/>
          <w:sz w:val="13"/>
        </w:rPr>
        <w:t>Consultation 10 (Victorian Aboriginal Legal</w:t>
      </w:r>
      <w:r>
        <w:rPr>
          <w:color w:val="231F20"/>
          <w:spacing w:val="2"/>
          <w:sz w:val="13"/>
        </w:rPr>
        <w:t xml:space="preserve"> </w:t>
      </w:r>
      <w:r>
        <w:rPr>
          <w:color w:val="231F20"/>
          <w:sz w:val="13"/>
        </w:rPr>
        <w:t>Service).</w:t>
      </w:r>
    </w:p>
    <w:p w14:paraId="0186CC97" w14:textId="77777777" w:rsidR="00894070" w:rsidRDefault="009B7AFD">
      <w:pPr>
        <w:tabs>
          <w:tab w:val="left" w:pos="933"/>
        </w:tabs>
        <w:spacing w:line="160" w:lineRule="exact"/>
        <w:ind w:left="140"/>
        <w:rPr>
          <w:sz w:val="13"/>
        </w:rPr>
      </w:pPr>
      <w:r>
        <w:rPr>
          <w:color w:val="231F20"/>
          <w:sz w:val="13"/>
        </w:rPr>
        <w:t>230</w:t>
      </w:r>
      <w:r>
        <w:rPr>
          <w:color w:val="231F20"/>
          <w:sz w:val="13"/>
        </w:rPr>
        <w:tab/>
      </w:r>
      <w:r>
        <w:rPr>
          <w:i/>
          <w:color w:val="231F20"/>
          <w:sz w:val="13"/>
        </w:rPr>
        <w:t xml:space="preserve">RP v The </w:t>
      </w:r>
      <w:r>
        <w:rPr>
          <w:i/>
          <w:color w:val="231F20"/>
          <w:spacing w:val="2"/>
          <w:sz w:val="13"/>
        </w:rPr>
        <w:t xml:space="preserve">Queen </w:t>
      </w:r>
      <w:r>
        <w:rPr>
          <w:color w:val="231F20"/>
          <w:sz w:val="13"/>
        </w:rPr>
        <w:t xml:space="preserve">[2016] HCA </w:t>
      </w:r>
      <w:r>
        <w:rPr>
          <w:color w:val="231F20"/>
          <w:spacing w:val="2"/>
          <w:sz w:val="13"/>
        </w:rPr>
        <w:t xml:space="preserve">53, </w:t>
      </w:r>
      <w:r>
        <w:rPr>
          <w:color w:val="231F20"/>
          <w:sz w:val="13"/>
        </w:rPr>
        <w:t>(2016) 259 CLR 641,</w:t>
      </w:r>
      <w:r>
        <w:rPr>
          <w:color w:val="231F20"/>
          <w:spacing w:val="-2"/>
          <w:sz w:val="13"/>
        </w:rPr>
        <w:t xml:space="preserve"> </w:t>
      </w:r>
      <w:r>
        <w:rPr>
          <w:color w:val="231F20"/>
          <w:sz w:val="13"/>
        </w:rPr>
        <w:t>[8].</w:t>
      </w:r>
    </w:p>
    <w:p w14:paraId="2B635CB4" w14:textId="77777777" w:rsidR="00894070" w:rsidRDefault="009B7AFD">
      <w:pPr>
        <w:tabs>
          <w:tab w:val="left" w:pos="933"/>
        </w:tabs>
        <w:spacing w:before="2" w:line="213" w:lineRule="auto"/>
        <w:ind w:left="933" w:right="1312" w:hanging="794"/>
        <w:rPr>
          <w:sz w:val="13"/>
        </w:rPr>
      </w:pPr>
      <w:r>
        <w:rPr>
          <w:color w:val="231F20"/>
          <w:sz w:val="13"/>
        </w:rPr>
        <w:t>231</w:t>
      </w:r>
      <w:r>
        <w:rPr>
          <w:color w:val="231F20"/>
          <w:sz w:val="13"/>
        </w:rPr>
        <w:tab/>
        <w:t xml:space="preserve">Enys Delmage, ‘The Minimum Age of Criminal Responsibility: A </w:t>
      </w:r>
      <w:r>
        <w:rPr>
          <w:color w:val="231F20"/>
          <w:spacing w:val="2"/>
          <w:sz w:val="13"/>
        </w:rPr>
        <w:t xml:space="preserve">Medico-Legal </w:t>
      </w:r>
      <w:r>
        <w:rPr>
          <w:color w:val="231F20"/>
          <w:sz w:val="13"/>
        </w:rPr>
        <w:t xml:space="preserve">Perspective’ (2013) </w:t>
      </w:r>
      <w:r>
        <w:rPr>
          <w:color w:val="231F20"/>
          <w:spacing w:val="2"/>
          <w:sz w:val="13"/>
        </w:rPr>
        <w:t xml:space="preserve">13(2) </w:t>
      </w:r>
      <w:r>
        <w:rPr>
          <w:i/>
          <w:color w:val="231F20"/>
          <w:sz w:val="13"/>
        </w:rPr>
        <w:t xml:space="preserve">Youth Justice </w:t>
      </w:r>
      <w:r>
        <w:rPr>
          <w:color w:val="231F20"/>
          <w:sz w:val="13"/>
        </w:rPr>
        <w:t xml:space="preserve">102, 108. For her review of this evidence, tracing the evolution of neuroscience, </w:t>
      </w:r>
      <w:r>
        <w:rPr>
          <w:color w:val="231F20"/>
          <w:spacing w:val="2"/>
          <w:sz w:val="13"/>
        </w:rPr>
        <w:t xml:space="preserve">particularly </w:t>
      </w:r>
      <w:r>
        <w:rPr>
          <w:color w:val="231F20"/>
          <w:sz w:val="13"/>
        </w:rPr>
        <w:t xml:space="preserve">child brain development in the </w:t>
      </w:r>
      <w:r>
        <w:rPr>
          <w:color w:val="231F20"/>
          <w:spacing w:val="2"/>
          <w:sz w:val="13"/>
        </w:rPr>
        <w:t xml:space="preserve">last </w:t>
      </w:r>
      <w:r>
        <w:rPr>
          <w:color w:val="231F20"/>
          <w:sz w:val="13"/>
        </w:rPr>
        <w:t>few decades: see ibid 105–7.</w:t>
      </w:r>
    </w:p>
    <w:p w14:paraId="1DE82070" w14:textId="77777777" w:rsidR="00894070" w:rsidRDefault="009B7AFD">
      <w:pPr>
        <w:tabs>
          <w:tab w:val="left" w:pos="933"/>
        </w:tabs>
        <w:spacing w:line="213" w:lineRule="auto"/>
        <w:ind w:left="933" w:right="1312" w:hanging="794"/>
        <w:rPr>
          <w:sz w:val="13"/>
        </w:rPr>
      </w:pPr>
      <w:r>
        <w:rPr>
          <w:color w:val="231F20"/>
          <w:sz w:val="13"/>
        </w:rPr>
        <w:t>232</w:t>
      </w:r>
      <w:r>
        <w:rPr>
          <w:color w:val="231F20"/>
          <w:sz w:val="13"/>
        </w:rPr>
        <w:tab/>
        <w:t xml:space="preserve">Chris Cunneen, </w:t>
      </w:r>
      <w:r>
        <w:rPr>
          <w:i/>
          <w:color w:val="231F20"/>
          <w:sz w:val="13"/>
        </w:rPr>
        <w:t xml:space="preserve">Arguments for Raising the Minimum Age of Criminal Responsibility </w:t>
      </w:r>
      <w:r>
        <w:rPr>
          <w:color w:val="231F20"/>
          <w:sz w:val="13"/>
        </w:rPr>
        <w:t xml:space="preserve">(Research </w:t>
      </w:r>
      <w:r>
        <w:rPr>
          <w:color w:val="231F20"/>
          <w:spacing w:val="2"/>
          <w:sz w:val="13"/>
        </w:rPr>
        <w:t xml:space="preserve">Report, </w:t>
      </w:r>
      <w:r>
        <w:rPr>
          <w:color w:val="231F20"/>
          <w:sz w:val="13"/>
        </w:rPr>
        <w:t xml:space="preserve">Comparative Youth Penalty Project, Jumbunna Institute for Indigenous Education and Research, University of Technology Sydney, February 2020) </w:t>
      </w:r>
      <w:r>
        <w:rPr>
          <w:color w:val="231F20"/>
          <w:spacing w:val="2"/>
          <w:sz w:val="13"/>
        </w:rPr>
        <w:t xml:space="preserve">12. </w:t>
      </w:r>
      <w:r>
        <w:rPr>
          <w:color w:val="231F20"/>
          <w:sz w:val="13"/>
        </w:rPr>
        <w:t xml:space="preserve">For similar conclusions: see </w:t>
      </w:r>
      <w:r>
        <w:rPr>
          <w:color w:val="231F20"/>
          <w:spacing w:val="2"/>
          <w:sz w:val="13"/>
        </w:rPr>
        <w:t xml:space="preserve">Nicholas </w:t>
      </w:r>
      <w:r>
        <w:rPr>
          <w:color w:val="231F20"/>
          <w:sz w:val="13"/>
        </w:rPr>
        <w:t xml:space="preserve">J Lennings and Chris J Lennings, ‘Assessing </w:t>
      </w:r>
      <w:r>
        <w:rPr>
          <w:color w:val="231F20"/>
          <w:spacing w:val="2"/>
          <w:sz w:val="13"/>
        </w:rPr>
        <w:t xml:space="preserve">Serious </w:t>
      </w:r>
      <w:r>
        <w:rPr>
          <w:color w:val="231F20"/>
          <w:sz w:val="13"/>
        </w:rPr>
        <w:t xml:space="preserve">Harm under the </w:t>
      </w:r>
      <w:r>
        <w:rPr>
          <w:color w:val="231F20"/>
          <w:spacing w:val="2"/>
          <w:sz w:val="13"/>
        </w:rPr>
        <w:t xml:space="preserve">Doctrine </w:t>
      </w:r>
      <w:r>
        <w:rPr>
          <w:color w:val="231F20"/>
          <w:sz w:val="13"/>
        </w:rPr>
        <w:t xml:space="preserve">of </w:t>
      </w:r>
      <w:r>
        <w:rPr>
          <w:i/>
          <w:color w:val="231F20"/>
          <w:sz w:val="13"/>
        </w:rPr>
        <w:t xml:space="preserve">Doli </w:t>
      </w:r>
      <w:r>
        <w:rPr>
          <w:i/>
          <w:color w:val="231F20"/>
          <w:spacing w:val="2"/>
          <w:sz w:val="13"/>
        </w:rPr>
        <w:t>Incapax</w:t>
      </w:r>
      <w:r>
        <w:rPr>
          <w:color w:val="231F20"/>
          <w:spacing w:val="2"/>
          <w:sz w:val="13"/>
        </w:rPr>
        <w:t xml:space="preserve">:   </w:t>
      </w:r>
      <w:r>
        <w:rPr>
          <w:color w:val="231F20"/>
          <w:sz w:val="13"/>
        </w:rPr>
        <w:t>A</w:t>
      </w:r>
      <w:r>
        <w:rPr>
          <w:color w:val="231F20"/>
          <w:spacing w:val="4"/>
          <w:sz w:val="13"/>
        </w:rPr>
        <w:t xml:space="preserve"> </w:t>
      </w:r>
      <w:r>
        <w:rPr>
          <w:color w:val="231F20"/>
          <w:spacing w:val="2"/>
          <w:sz w:val="13"/>
        </w:rPr>
        <w:t>Case</w:t>
      </w:r>
      <w:r>
        <w:rPr>
          <w:color w:val="231F20"/>
          <w:spacing w:val="4"/>
          <w:sz w:val="13"/>
        </w:rPr>
        <w:t xml:space="preserve"> </w:t>
      </w:r>
      <w:r>
        <w:rPr>
          <w:color w:val="231F20"/>
          <w:sz w:val="13"/>
        </w:rPr>
        <w:t>Study’</w:t>
      </w:r>
      <w:r>
        <w:rPr>
          <w:color w:val="231F20"/>
          <w:spacing w:val="5"/>
          <w:sz w:val="13"/>
        </w:rPr>
        <w:t xml:space="preserve"> </w:t>
      </w:r>
      <w:r>
        <w:rPr>
          <w:color w:val="231F20"/>
          <w:sz w:val="13"/>
        </w:rPr>
        <w:t>(2014)</w:t>
      </w:r>
      <w:r>
        <w:rPr>
          <w:color w:val="231F20"/>
          <w:spacing w:val="4"/>
          <w:sz w:val="13"/>
        </w:rPr>
        <w:t xml:space="preserve"> </w:t>
      </w:r>
      <w:r>
        <w:rPr>
          <w:color w:val="231F20"/>
          <w:sz w:val="13"/>
        </w:rPr>
        <w:t>21(5)</w:t>
      </w:r>
      <w:r>
        <w:rPr>
          <w:color w:val="231F20"/>
          <w:spacing w:val="5"/>
          <w:sz w:val="13"/>
        </w:rPr>
        <w:t xml:space="preserve"> </w:t>
      </w:r>
      <w:r>
        <w:rPr>
          <w:i/>
          <w:color w:val="231F20"/>
          <w:sz w:val="13"/>
        </w:rPr>
        <w:t>Psychiatry,</w:t>
      </w:r>
      <w:r>
        <w:rPr>
          <w:i/>
          <w:color w:val="231F20"/>
          <w:spacing w:val="4"/>
          <w:sz w:val="13"/>
        </w:rPr>
        <w:t xml:space="preserve"> </w:t>
      </w:r>
      <w:r>
        <w:rPr>
          <w:i/>
          <w:color w:val="231F20"/>
          <w:sz w:val="13"/>
        </w:rPr>
        <w:t>Psychology</w:t>
      </w:r>
      <w:r>
        <w:rPr>
          <w:i/>
          <w:color w:val="231F20"/>
          <w:spacing w:val="5"/>
          <w:sz w:val="13"/>
        </w:rPr>
        <w:t xml:space="preserve"> </w:t>
      </w:r>
      <w:r>
        <w:rPr>
          <w:i/>
          <w:color w:val="231F20"/>
          <w:sz w:val="13"/>
        </w:rPr>
        <w:t>and</w:t>
      </w:r>
      <w:r>
        <w:rPr>
          <w:i/>
          <w:color w:val="231F20"/>
          <w:spacing w:val="4"/>
          <w:sz w:val="13"/>
        </w:rPr>
        <w:t xml:space="preserve"> </w:t>
      </w:r>
      <w:r>
        <w:rPr>
          <w:i/>
          <w:color w:val="231F20"/>
          <w:sz w:val="13"/>
        </w:rPr>
        <w:t>Law</w:t>
      </w:r>
      <w:r>
        <w:rPr>
          <w:i/>
          <w:color w:val="231F20"/>
          <w:spacing w:val="4"/>
          <w:sz w:val="13"/>
        </w:rPr>
        <w:t xml:space="preserve"> </w:t>
      </w:r>
      <w:r>
        <w:rPr>
          <w:color w:val="231F20"/>
          <w:sz w:val="13"/>
        </w:rPr>
        <w:t>791,</w:t>
      </w:r>
      <w:r>
        <w:rPr>
          <w:color w:val="231F20"/>
          <w:spacing w:val="5"/>
          <w:sz w:val="13"/>
        </w:rPr>
        <w:t xml:space="preserve"> </w:t>
      </w:r>
      <w:r>
        <w:rPr>
          <w:color w:val="231F20"/>
          <w:sz w:val="13"/>
        </w:rPr>
        <w:t>794;</w:t>
      </w:r>
      <w:r>
        <w:rPr>
          <w:color w:val="231F20"/>
          <w:spacing w:val="4"/>
          <w:sz w:val="13"/>
        </w:rPr>
        <w:t xml:space="preserve"> </w:t>
      </w:r>
      <w:r>
        <w:rPr>
          <w:color w:val="231F20"/>
          <w:spacing w:val="2"/>
          <w:sz w:val="13"/>
        </w:rPr>
        <w:t>Nicola</w:t>
      </w:r>
      <w:r>
        <w:rPr>
          <w:color w:val="231F20"/>
          <w:spacing w:val="5"/>
          <w:sz w:val="13"/>
        </w:rPr>
        <w:t xml:space="preserve"> </w:t>
      </w:r>
      <w:r>
        <w:rPr>
          <w:color w:val="231F20"/>
          <w:sz w:val="13"/>
        </w:rPr>
        <w:t>C</w:t>
      </w:r>
      <w:r>
        <w:rPr>
          <w:color w:val="231F20"/>
          <w:spacing w:val="4"/>
          <w:sz w:val="13"/>
        </w:rPr>
        <w:t xml:space="preserve"> </w:t>
      </w:r>
      <w:r>
        <w:rPr>
          <w:color w:val="231F20"/>
          <w:sz w:val="13"/>
        </w:rPr>
        <w:t>Newton</w:t>
      </w:r>
      <w:r>
        <w:rPr>
          <w:color w:val="231F20"/>
          <w:spacing w:val="5"/>
          <w:sz w:val="13"/>
        </w:rPr>
        <w:t xml:space="preserve"> </w:t>
      </w:r>
      <w:r>
        <w:rPr>
          <w:color w:val="231F20"/>
          <w:sz w:val="13"/>
        </w:rPr>
        <w:t>and</w:t>
      </w:r>
      <w:r>
        <w:rPr>
          <w:color w:val="231F20"/>
          <w:spacing w:val="4"/>
          <w:sz w:val="13"/>
        </w:rPr>
        <w:t xml:space="preserve"> </w:t>
      </w:r>
      <w:r>
        <w:rPr>
          <w:color w:val="231F20"/>
          <w:sz w:val="13"/>
        </w:rPr>
        <w:t>Kay</w:t>
      </w:r>
      <w:r>
        <w:rPr>
          <w:color w:val="231F20"/>
          <w:spacing w:val="5"/>
          <w:sz w:val="13"/>
        </w:rPr>
        <w:t xml:space="preserve"> </w:t>
      </w:r>
      <w:r>
        <w:rPr>
          <w:color w:val="231F20"/>
          <w:sz w:val="13"/>
        </w:rPr>
        <w:t>Bussey,</w:t>
      </w:r>
      <w:r>
        <w:rPr>
          <w:color w:val="231F20"/>
          <w:spacing w:val="4"/>
          <w:sz w:val="13"/>
        </w:rPr>
        <w:t xml:space="preserve"> </w:t>
      </w:r>
      <w:r>
        <w:rPr>
          <w:color w:val="231F20"/>
          <w:sz w:val="13"/>
        </w:rPr>
        <w:t>‘The</w:t>
      </w:r>
      <w:r>
        <w:rPr>
          <w:color w:val="231F20"/>
          <w:spacing w:val="5"/>
          <w:sz w:val="13"/>
        </w:rPr>
        <w:t xml:space="preserve"> </w:t>
      </w:r>
      <w:r>
        <w:rPr>
          <w:color w:val="231F20"/>
          <w:sz w:val="13"/>
        </w:rPr>
        <w:t>Age</w:t>
      </w:r>
      <w:r>
        <w:rPr>
          <w:color w:val="231F20"/>
          <w:spacing w:val="4"/>
          <w:sz w:val="13"/>
        </w:rPr>
        <w:t xml:space="preserve"> </w:t>
      </w:r>
      <w:r>
        <w:rPr>
          <w:color w:val="231F20"/>
          <w:sz w:val="13"/>
        </w:rPr>
        <w:t>of</w:t>
      </w:r>
      <w:r>
        <w:rPr>
          <w:color w:val="231F20"/>
          <w:spacing w:val="5"/>
          <w:sz w:val="13"/>
        </w:rPr>
        <w:t xml:space="preserve"> </w:t>
      </w:r>
      <w:r>
        <w:rPr>
          <w:color w:val="231F20"/>
          <w:sz w:val="13"/>
        </w:rPr>
        <w:t>Reason:</w:t>
      </w:r>
      <w:r>
        <w:rPr>
          <w:color w:val="231F20"/>
          <w:spacing w:val="4"/>
          <w:sz w:val="13"/>
        </w:rPr>
        <w:t xml:space="preserve"> </w:t>
      </w:r>
      <w:r>
        <w:rPr>
          <w:color w:val="231F20"/>
          <w:sz w:val="13"/>
        </w:rPr>
        <w:t>An</w:t>
      </w:r>
    </w:p>
    <w:p w14:paraId="6D312CC2" w14:textId="77777777" w:rsidR="00894070" w:rsidRDefault="009B7AFD">
      <w:pPr>
        <w:spacing w:line="213" w:lineRule="auto"/>
        <w:ind w:left="933" w:right="1175"/>
        <w:rPr>
          <w:sz w:val="13"/>
        </w:rPr>
      </w:pPr>
      <w:r>
        <w:rPr>
          <w:color w:val="231F20"/>
          <w:sz w:val="13"/>
        </w:rPr>
        <w:t xml:space="preserve">Examination of Psychosocial Factors Involved in Delinquent Behaviour’ (2012) 17(1) </w:t>
      </w:r>
      <w:r>
        <w:rPr>
          <w:i/>
          <w:color w:val="231F20"/>
          <w:sz w:val="13"/>
        </w:rPr>
        <w:t xml:space="preserve">Legal and Criminological Psychology </w:t>
      </w:r>
      <w:r>
        <w:rPr>
          <w:color w:val="231F20"/>
          <w:sz w:val="13"/>
        </w:rPr>
        <w:t xml:space="preserve">75, </w:t>
      </w:r>
      <w:r>
        <w:rPr>
          <w:color w:val="231F20"/>
          <w:spacing w:val="2"/>
          <w:sz w:val="13"/>
        </w:rPr>
        <w:t xml:space="preserve">86–87 </w:t>
      </w:r>
      <w:r>
        <w:rPr>
          <w:color w:val="231F20"/>
          <w:sz w:val="13"/>
        </w:rPr>
        <w:t xml:space="preserve">(this study found that a large majority of children ‘demonstrated sophisticated knowledge of what is right versus wrong involving criminal transgressions’, but that even with this knowledge ‘children and adolescents … can be hindered from making intelligent </w:t>
      </w:r>
      <w:r>
        <w:rPr>
          <w:color w:val="231F20"/>
          <w:spacing w:val="2"/>
          <w:sz w:val="13"/>
        </w:rPr>
        <w:t xml:space="preserve">decisions </w:t>
      </w:r>
      <w:r>
        <w:rPr>
          <w:color w:val="231F20"/>
          <w:sz w:val="13"/>
        </w:rPr>
        <w:t xml:space="preserve">through the influence of psychosocial factors involved in criminal decision-making’); </w:t>
      </w:r>
      <w:r>
        <w:rPr>
          <w:color w:val="231F20"/>
          <w:spacing w:val="2"/>
          <w:sz w:val="13"/>
        </w:rPr>
        <w:t xml:space="preserve">Barry </w:t>
      </w:r>
      <w:r>
        <w:rPr>
          <w:color w:val="231F20"/>
          <w:sz w:val="13"/>
        </w:rPr>
        <w:t xml:space="preserve">Goldson, ‘“Unsafe, Unjust     and Harmful to Wider Society”: Grounds for Raising the Minimum Age of Criminal Responsibility in England and Wales’ (2013)       </w:t>
      </w:r>
      <w:r>
        <w:rPr>
          <w:color w:val="231F20"/>
          <w:spacing w:val="2"/>
          <w:sz w:val="13"/>
        </w:rPr>
        <w:t xml:space="preserve">13(2) </w:t>
      </w:r>
      <w:r>
        <w:rPr>
          <w:i/>
          <w:color w:val="231F20"/>
          <w:sz w:val="13"/>
        </w:rPr>
        <w:t xml:space="preserve">Youth Justice </w:t>
      </w:r>
      <w:r>
        <w:rPr>
          <w:color w:val="231F20"/>
          <w:spacing w:val="2"/>
          <w:sz w:val="13"/>
        </w:rPr>
        <w:t xml:space="preserve">111, </w:t>
      </w:r>
      <w:r>
        <w:rPr>
          <w:color w:val="231F20"/>
          <w:sz w:val="13"/>
        </w:rPr>
        <w:t xml:space="preserve">117 (broadly making the point about the development of scientific literature that enables us to see the complex influences on child development, and the troubling </w:t>
      </w:r>
      <w:r>
        <w:rPr>
          <w:color w:val="231F20"/>
          <w:spacing w:val="2"/>
          <w:sz w:val="13"/>
        </w:rPr>
        <w:t xml:space="preserve">implications </w:t>
      </w:r>
      <w:r>
        <w:rPr>
          <w:color w:val="231F20"/>
          <w:sz w:val="13"/>
        </w:rPr>
        <w:t xml:space="preserve">for a low age of criminal responsibility); Wendy </w:t>
      </w:r>
      <w:r>
        <w:rPr>
          <w:color w:val="231F20"/>
          <w:spacing w:val="2"/>
          <w:sz w:val="13"/>
        </w:rPr>
        <w:t xml:space="preserve">O’Brien </w:t>
      </w:r>
      <w:r>
        <w:rPr>
          <w:color w:val="231F20"/>
          <w:sz w:val="13"/>
        </w:rPr>
        <w:t>and</w:t>
      </w:r>
      <w:r>
        <w:rPr>
          <w:color w:val="231F20"/>
          <w:spacing w:val="5"/>
          <w:sz w:val="13"/>
        </w:rPr>
        <w:t xml:space="preserve"> </w:t>
      </w:r>
      <w:r>
        <w:rPr>
          <w:color w:val="231F20"/>
          <w:sz w:val="13"/>
        </w:rPr>
        <w:t>Kate</w:t>
      </w:r>
      <w:r>
        <w:rPr>
          <w:color w:val="231F20"/>
          <w:spacing w:val="6"/>
          <w:sz w:val="13"/>
        </w:rPr>
        <w:t xml:space="preserve"> </w:t>
      </w:r>
      <w:r>
        <w:rPr>
          <w:color w:val="231F20"/>
          <w:spacing w:val="2"/>
          <w:sz w:val="13"/>
        </w:rPr>
        <w:t>Fitz-Gibbon,</w:t>
      </w:r>
      <w:r>
        <w:rPr>
          <w:color w:val="231F20"/>
          <w:spacing w:val="6"/>
          <w:sz w:val="13"/>
        </w:rPr>
        <w:t xml:space="preserve"> </w:t>
      </w:r>
      <w:r>
        <w:rPr>
          <w:color w:val="231F20"/>
          <w:sz w:val="13"/>
        </w:rPr>
        <w:t>‘The</w:t>
      </w:r>
      <w:r>
        <w:rPr>
          <w:color w:val="231F20"/>
          <w:spacing w:val="6"/>
          <w:sz w:val="13"/>
        </w:rPr>
        <w:t xml:space="preserve"> </w:t>
      </w:r>
      <w:r>
        <w:rPr>
          <w:color w:val="231F20"/>
          <w:sz w:val="13"/>
        </w:rPr>
        <w:t>Minimum</w:t>
      </w:r>
      <w:r>
        <w:rPr>
          <w:color w:val="231F20"/>
          <w:spacing w:val="6"/>
          <w:sz w:val="13"/>
        </w:rPr>
        <w:t xml:space="preserve"> </w:t>
      </w:r>
      <w:r>
        <w:rPr>
          <w:color w:val="231F20"/>
          <w:sz w:val="13"/>
        </w:rPr>
        <w:t>Age</w:t>
      </w:r>
      <w:r>
        <w:rPr>
          <w:color w:val="231F20"/>
          <w:spacing w:val="6"/>
          <w:sz w:val="13"/>
        </w:rPr>
        <w:t xml:space="preserve"> </w:t>
      </w:r>
      <w:r>
        <w:rPr>
          <w:color w:val="231F20"/>
          <w:sz w:val="13"/>
        </w:rPr>
        <w:t>of</w:t>
      </w:r>
      <w:r>
        <w:rPr>
          <w:color w:val="231F20"/>
          <w:spacing w:val="6"/>
          <w:sz w:val="13"/>
        </w:rPr>
        <w:t xml:space="preserve"> </w:t>
      </w:r>
      <w:r>
        <w:rPr>
          <w:color w:val="231F20"/>
          <w:sz w:val="13"/>
        </w:rPr>
        <w:t>Criminal</w:t>
      </w:r>
      <w:r>
        <w:rPr>
          <w:color w:val="231F20"/>
          <w:spacing w:val="6"/>
          <w:sz w:val="13"/>
        </w:rPr>
        <w:t xml:space="preserve"> </w:t>
      </w:r>
      <w:r>
        <w:rPr>
          <w:color w:val="231F20"/>
          <w:sz w:val="13"/>
        </w:rPr>
        <w:t>Responsibility</w:t>
      </w:r>
      <w:r>
        <w:rPr>
          <w:color w:val="231F20"/>
          <w:spacing w:val="6"/>
          <w:sz w:val="13"/>
        </w:rPr>
        <w:t xml:space="preserve"> </w:t>
      </w:r>
      <w:r>
        <w:rPr>
          <w:color w:val="231F20"/>
          <w:sz w:val="13"/>
        </w:rPr>
        <w:t>in</w:t>
      </w:r>
      <w:r>
        <w:rPr>
          <w:color w:val="231F20"/>
          <w:spacing w:val="6"/>
          <w:sz w:val="13"/>
        </w:rPr>
        <w:t xml:space="preserve"> </w:t>
      </w:r>
      <w:r>
        <w:rPr>
          <w:color w:val="231F20"/>
          <w:sz w:val="13"/>
        </w:rPr>
        <w:t>Victoria</w:t>
      </w:r>
      <w:r>
        <w:rPr>
          <w:color w:val="231F20"/>
          <w:spacing w:val="5"/>
          <w:sz w:val="13"/>
        </w:rPr>
        <w:t xml:space="preserve"> </w:t>
      </w:r>
      <w:r>
        <w:rPr>
          <w:color w:val="231F20"/>
          <w:spacing w:val="2"/>
          <w:sz w:val="13"/>
        </w:rPr>
        <w:t>(Australia):</w:t>
      </w:r>
      <w:r>
        <w:rPr>
          <w:color w:val="231F20"/>
          <w:spacing w:val="6"/>
          <w:sz w:val="13"/>
        </w:rPr>
        <w:t xml:space="preserve"> </w:t>
      </w:r>
      <w:r>
        <w:rPr>
          <w:color w:val="231F20"/>
          <w:sz w:val="13"/>
        </w:rPr>
        <w:t>Examining</w:t>
      </w:r>
      <w:r>
        <w:rPr>
          <w:color w:val="231F20"/>
          <w:spacing w:val="6"/>
          <w:sz w:val="13"/>
        </w:rPr>
        <w:t xml:space="preserve"> </w:t>
      </w:r>
      <w:r>
        <w:rPr>
          <w:color w:val="231F20"/>
          <w:sz w:val="13"/>
        </w:rPr>
        <w:t>Stakeholders’</w:t>
      </w:r>
      <w:r>
        <w:rPr>
          <w:color w:val="231F20"/>
          <w:spacing w:val="6"/>
          <w:sz w:val="13"/>
        </w:rPr>
        <w:t xml:space="preserve"> </w:t>
      </w:r>
      <w:r>
        <w:rPr>
          <w:color w:val="231F20"/>
          <w:sz w:val="13"/>
        </w:rPr>
        <w:t>Views</w:t>
      </w:r>
      <w:r>
        <w:rPr>
          <w:color w:val="231F20"/>
          <w:spacing w:val="6"/>
          <w:sz w:val="13"/>
        </w:rPr>
        <w:t xml:space="preserve"> </w:t>
      </w:r>
      <w:r>
        <w:rPr>
          <w:color w:val="231F20"/>
          <w:sz w:val="13"/>
        </w:rPr>
        <w:t>and</w:t>
      </w:r>
    </w:p>
    <w:p w14:paraId="128EFC49" w14:textId="77777777" w:rsidR="00894070" w:rsidRDefault="009B7AFD">
      <w:pPr>
        <w:spacing w:line="213" w:lineRule="auto"/>
        <w:ind w:left="933" w:right="1199"/>
        <w:jc w:val="both"/>
        <w:rPr>
          <w:sz w:val="13"/>
        </w:rPr>
      </w:pPr>
      <w:r>
        <w:rPr>
          <w:color w:val="231F20"/>
          <w:sz w:val="13"/>
        </w:rPr>
        <w:t xml:space="preserve">the </w:t>
      </w:r>
      <w:r>
        <w:rPr>
          <w:color w:val="231F20"/>
          <w:spacing w:val="2"/>
          <w:sz w:val="13"/>
        </w:rPr>
        <w:t xml:space="preserve">Need </w:t>
      </w:r>
      <w:r>
        <w:rPr>
          <w:color w:val="231F20"/>
          <w:sz w:val="13"/>
        </w:rPr>
        <w:t xml:space="preserve">for Principled Reform’ (2017) 17(2) </w:t>
      </w:r>
      <w:r>
        <w:rPr>
          <w:i/>
          <w:color w:val="231F20"/>
          <w:sz w:val="13"/>
        </w:rPr>
        <w:t xml:space="preserve">Youth Justice </w:t>
      </w:r>
      <w:r>
        <w:rPr>
          <w:color w:val="231F20"/>
          <w:spacing w:val="2"/>
          <w:sz w:val="13"/>
        </w:rPr>
        <w:t xml:space="preserve">134, </w:t>
      </w:r>
      <w:r>
        <w:rPr>
          <w:color w:val="231F20"/>
          <w:sz w:val="13"/>
        </w:rPr>
        <w:t xml:space="preserve">138–40, 143; Thomas Crofts, </w:t>
      </w:r>
      <w:r>
        <w:rPr>
          <w:color w:val="231F20"/>
          <w:spacing w:val="-4"/>
          <w:sz w:val="13"/>
        </w:rPr>
        <w:t xml:space="preserve">‘A </w:t>
      </w:r>
      <w:r>
        <w:rPr>
          <w:color w:val="231F20"/>
          <w:sz w:val="13"/>
        </w:rPr>
        <w:t xml:space="preserve">Brighter Tomorrow: Raise the Age of Criminal Responsibility’ (2015) 27(1) </w:t>
      </w:r>
      <w:r>
        <w:rPr>
          <w:i/>
          <w:color w:val="231F20"/>
          <w:sz w:val="13"/>
        </w:rPr>
        <w:t xml:space="preserve">Current </w:t>
      </w:r>
      <w:r>
        <w:rPr>
          <w:i/>
          <w:color w:val="231F20"/>
          <w:spacing w:val="2"/>
          <w:sz w:val="13"/>
        </w:rPr>
        <w:t xml:space="preserve">Issues </w:t>
      </w:r>
      <w:r>
        <w:rPr>
          <w:i/>
          <w:color w:val="231F20"/>
          <w:sz w:val="13"/>
        </w:rPr>
        <w:t xml:space="preserve">in Criminal Justice </w:t>
      </w:r>
      <w:r>
        <w:rPr>
          <w:color w:val="231F20"/>
          <w:spacing w:val="2"/>
          <w:sz w:val="13"/>
        </w:rPr>
        <w:t xml:space="preserve">123, </w:t>
      </w:r>
      <w:r>
        <w:rPr>
          <w:color w:val="231F20"/>
          <w:sz w:val="13"/>
        </w:rPr>
        <w:t xml:space="preserve">127–8; National Legal Aid, </w:t>
      </w:r>
      <w:r>
        <w:rPr>
          <w:i/>
          <w:color w:val="231F20"/>
          <w:sz w:val="13"/>
        </w:rPr>
        <w:t xml:space="preserve">Council of Attorneys-General— Age of Criminal Responsibility Working Group Review </w:t>
      </w:r>
      <w:r>
        <w:rPr>
          <w:color w:val="231F20"/>
          <w:sz w:val="13"/>
        </w:rPr>
        <w:t>(Submission, 28 February 2020)</w:t>
      </w:r>
      <w:r>
        <w:rPr>
          <w:color w:val="231F20"/>
          <w:spacing w:val="11"/>
          <w:sz w:val="13"/>
        </w:rPr>
        <w:t xml:space="preserve"> </w:t>
      </w:r>
      <w:r>
        <w:rPr>
          <w:color w:val="231F20"/>
          <w:spacing w:val="-4"/>
          <w:sz w:val="13"/>
        </w:rPr>
        <w:t>5–7.</w:t>
      </w:r>
    </w:p>
    <w:p w14:paraId="12714AAC" w14:textId="77777777" w:rsidR="00894070" w:rsidRDefault="00894070">
      <w:pPr>
        <w:spacing w:line="213" w:lineRule="auto"/>
        <w:jc w:val="both"/>
        <w:rPr>
          <w:sz w:val="13"/>
        </w:rPr>
        <w:sectPr w:rsidR="00894070">
          <w:type w:val="continuous"/>
          <w:pgSz w:w="11910" w:h="16840"/>
          <w:pgMar w:top="560" w:right="420" w:bottom="280" w:left="580" w:header="720" w:footer="720" w:gutter="0"/>
          <w:cols w:num="2" w:space="720" w:equalWidth="0">
            <w:col w:w="571" w:space="296"/>
            <w:col w:w="10043"/>
          </w:cols>
        </w:sectPr>
      </w:pPr>
    </w:p>
    <w:p w14:paraId="1F4A6D45" w14:textId="77777777" w:rsidR="00894070" w:rsidRDefault="00894070">
      <w:pPr>
        <w:pStyle w:val="BodyText"/>
      </w:pPr>
    </w:p>
    <w:p w14:paraId="054EC02B" w14:textId="77777777" w:rsidR="00894070" w:rsidRDefault="00894070">
      <w:pPr>
        <w:pStyle w:val="BodyText"/>
      </w:pPr>
    </w:p>
    <w:p w14:paraId="392EEBC4" w14:textId="77777777" w:rsidR="00894070" w:rsidRDefault="00894070">
      <w:pPr>
        <w:pStyle w:val="BodyText"/>
      </w:pPr>
    </w:p>
    <w:p w14:paraId="5817963E" w14:textId="77777777" w:rsidR="00894070" w:rsidRDefault="00894070">
      <w:pPr>
        <w:pStyle w:val="BodyText"/>
        <w:spacing w:before="6"/>
        <w:rPr>
          <w:sz w:val="14"/>
        </w:rPr>
      </w:pPr>
    </w:p>
    <w:p w14:paraId="1BEBB2C6" w14:textId="77777777" w:rsidR="00894070" w:rsidRDefault="009B7AFD">
      <w:pPr>
        <w:pStyle w:val="ListParagraph"/>
        <w:numPr>
          <w:ilvl w:val="1"/>
          <w:numId w:val="102"/>
        </w:numPr>
        <w:tabs>
          <w:tab w:val="left" w:pos="1801"/>
          <w:tab w:val="left" w:pos="1802"/>
        </w:tabs>
        <w:spacing w:before="90" w:line="206" w:lineRule="auto"/>
        <w:ind w:right="1244"/>
        <w:rPr>
          <w:sz w:val="11"/>
        </w:rPr>
      </w:pPr>
      <w:r>
        <w:rPr>
          <w:color w:val="231F20"/>
          <w:sz w:val="20"/>
        </w:rPr>
        <w:t>The Sentencing Advisory Council highlights evidence suggesting that the natural process</w:t>
      </w:r>
      <w:r>
        <w:rPr>
          <w:color w:val="231F20"/>
          <w:spacing w:val="-9"/>
          <w:sz w:val="20"/>
        </w:rPr>
        <w:t xml:space="preserve"> </w:t>
      </w:r>
      <w:r>
        <w:rPr>
          <w:color w:val="231F20"/>
          <w:sz w:val="20"/>
        </w:rPr>
        <w:t>of</w:t>
      </w:r>
      <w:r>
        <w:rPr>
          <w:color w:val="231F20"/>
          <w:spacing w:val="-9"/>
          <w:sz w:val="20"/>
        </w:rPr>
        <w:t xml:space="preserve"> </w:t>
      </w:r>
      <w:r>
        <w:rPr>
          <w:color w:val="231F20"/>
          <w:sz w:val="20"/>
        </w:rPr>
        <w:t>child</w:t>
      </w:r>
      <w:r>
        <w:rPr>
          <w:color w:val="231F20"/>
          <w:spacing w:val="-8"/>
          <w:sz w:val="20"/>
        </w:rPr>
        <w:t xml:space="preserve"> </w:t>
      </w:r>
      <w:r>
        <w:rPr>
          <w:color w:val="231F20"/>
          <w:sz w:val="20"/>
        </w:rPr>
        <w:t>brain</w:t>
      </w:r>
      <w:r>
        <w:rPr>
          <w:color w:val="231F20"/>
          <w:spacing w:val="-9"/>
          <w:sz w:val="20"/>
        </w:rPr>
        <w:t xml:space="preserve"> </w:t>
      </w:r>
      <w:r>
        <w:rPr>
          <w:color w:val="231F20"/>
          <w:spacing w:val="-3"/>
          <w:sz w:val="20"/>
        </w:rPr>
        <w:t>development</w:t>
      </w:r>
      <w:r>
        <w:rPr>
          <w:color w:val="231F20"/>
          <w:spacing w:val="-8"/>
          <w:sz w:val="20"/>
        </w:rPr>
        <w:t xml:space="preserve"> </w:t>
      </w:r>
      <w:r>
        <w:rPr>
          <w:color w:val="231F20"/>
          <w:sz w:val="20"/>
        </w:rPr>
        <w:t>is</w:t>
      </w:r>
      <w:r>
        <w:rPr>
          <w:color w:val="231F20"/>
          <w:spacing w:val="-9"/>
          <w:sz w:val="20"/>
        </w:rPr>
        <w:t xml:space="preserve"> </w:t>
      </w:r>
      <w:r>
        <w:rPr>
          <w:color w:val="231F20"/>
          <w:sz w:val="20"/>
        </w:rPr>
        <w:t>associated</w:t>
      </w:r>
      <w:r>
        <w:rPr>
          <w:color w:val="231F20"/>
          <w:spacing w:val="-8"/>
          <w:sz w:val="20"/>
        </w:rPr>
        <w:t xml:space="preserve"> </w:t>
      </w:r>
      <w:r>
        <w:rPr>
          <w:color w:val="231F20"/>
          <w:sz w:val="20"/>
        </w:rPr>
        <w:t>with</w:t>
      </w:r>
      <w:r>
        <w:rPr>
          <w:color w:val="231F20"/>
          <w:spacing w:val="-9"/>
          <w:sz w:val="20"/>
        </w:rPr>
        <w:t xml:space="preserve"> </w:t>
      </w:r>
      <w:r>
        <w:rPr>
          <w:color w:val="231F20"/>
          <w:spacing w:val="-4"/>
          <w:sz w:val="20"/>
        </w:rPr>
        <w:t>lower</w:t>
      </w:r>
      <w:r>
        <w:rPr>
          <w:color w:val="231F20"/>
          <w:spacing w:val="-8"/>
          <w:sz w:val="20"/>
        </w:rPr>
        <w:t xml:space="preserve"> </w:t>
      </w:r>
      <w:r>
        <w:rPr>
          <w:color w:val="231F20"/>
          <w:sz w:val="20"/>
        </w:rPr>
        <w:t>impulse</w:t>
      </w:r>
      <w:r>
        <w:rPr>
          <w:color w:val="231F20"/>
          <w:spacing w:val="-9"/>
          <w:sz w:val="20"/>
        </w:rPr>
        <w:t xml:space="preserve"> </w:t>
      </w:r>
      <w:r>
        <w:rPr>
          <w:color w:val="231F20"/>
          <w:spacing w:val="-3"/>
          <w:sz w:val="20"/>
        </w:rPr>
        <w:t>control,</w:t>
      </w:r>
      <w:r>
        <w:rPr>
          <w:color w:val="231F20"/>
          <w:spacing w:val="-8"/>
          <w:sz w:val="20"/>
        </w:rPr>
        <w:t xml:space="preserve"> </w:t>
      </w:r>
      <w:r>
        <w:rPr>
          <w:color w:val="231F20"/>
          <w:sz w:val="20"/>
        </w:rPr>
        <w:t xml:space="preserve">attraction to risk, and </w:t>
      </w:r>
      <w:r>
        <w:rPr>
          <w:color w:val="231F20"/>
          <w:spacing w:val="-3"/>
          <w:sz w:val="20"/>
        </w:rPr>
        <w:t xml:space="preserve">greater </w:t>
      </w:r>
      <w:r>
        <w:rPr>
          <w:color w:val="231F20"/>
          <w:sz w:val="20"/>
        </w:rPr>
        <w:t>vulnerability to peer</w:t>
      </w:r>
      <w:r>
        <w:rPr>
          <w:color w:val="231F20"/>
          <w:spacing w:val="-29"/>
          <w:sz w:val="20"/>
        </w:rPr>
        <w:t xml:space="preserve"> </w:t>
      </w:r>
      <w:r>
        <w:rPr>
          <w:color w:val="231F20"/>
          <w:sz w:val="20"/>
        </w:rPr>
        <w:t>pressure.</w:t>
      </w:r>
      <w:r>
        <w:rPr>
          <w:color w:val="231F20"/>
          <w:position w:val="7"/>
          <w:sz w:val="11"/>
        </w:rPr>
        <w:t>233</w:t>
      </w:r>
    </w:p>
    <w:p w14:paraId="3C361F23" w14:textId="77777777" w:rsidR="00894070" w:rsidRDefault="009B7AFD">
      <w:pPr>
        <w:pStyle w:val="ListParagraph"/>
        <w:numPr>
          <w:ilvl w:val="1"/>
          <w:numId w:val="102"/>
        </w:numPr>
        <w:tabs>
          <w:tab w:val="left" w:pos="1801"/>
          <w:tab w:val="left" w:pos="1802"/>
        </w:tabs>
        <w:spacing w:before="91" w:line="259" w:lineRule="exact"/>
        <w:rPr>
          <w:sz w:val="20"/>
        </w:rPr>
      </w:pPr>
      <w:proofErr w:type="gramStart"/>
      <w:r>
        <w:rPr>
          <w:color w:val="231F20"/>
          <w:sz w:val="20"/>
        </w:rPr>
        <w:t>Overall</w:t>
      </w:r>
      <w:proofErr w:type="gramEnd"/>
      <w:r>
        <w:rPr>
          <w:color w:val="231F20"/>
          <w:spacing w:val="-6"/>
          <w:sz w:val="20"/>
        </w:rPr>
        <w:t xml:space="preserve"> </w:t>
      </w:r>
      <w:r>
        <w:rPr>
          <w:color w:val="231F20"/>
          <w:sz w:val="20"/>
        </w:rPr>
        <w:t>the</w:t>
      </w:r>
      <w:r>
        <w:rPr>
          <w:color w:val="231F20"/>
          <w:spacing w:val="-5"/>
          <w:sz w:val="20"/>
        </w:rPr>
        <w:t xml:space="preserve"> </w:t>
      </w:r>
      <w:r>
        <w:rPr>
          <w:color w:val="231F20"/>
          <w:sz w:val="20"/>
        </w:rPr>
        <w:t>evidence</w:t>
      </w:r>
      <w:r>
        <w:rPr>
          <w:color w:val="231F20"/>
          <w:spacing w:val="-5"/>
          <w:sz w:val="20"/>
        </w:rPr>
        <w:t xml:space="preserve"> </w:t>
      </w:r>
      <w:r>
        <w:rPr>
          <w:color w:val="231F20"/>
          <w:sz w:val="20"/>
        </w:rPr>
        <w:t>indicates</w:t>
      </w:r>
      <w:r>
        <w:rPr>
          <w:color w:val="231F20"/>
          <w:spacing w:val="-6"/>
          <w:sz w:val="20"/>
        </w:rPr>
        <w:t xml:space="preserve"> </w:t>
      </w:r>
      <w:r>
        <w:rPr>
          <w:color w:val="231F20"/>
          <w:sz w:val="20"/>
        </w:rPr>
        <w:t>that</w:t>
      </w:r>
      <w:r>
        <w:rPr>
          <w:color w:val="231F20"/>
          <w:spacing w:val="-5"/>
          <w:sz w:val="20"/>
        </w:rPr>
        <w:t xml:space="preserve"> </w:t>
      </w:r>
      <w:r>
        <w:rPr>
          <w:color w:val="231F20"/>
          <w:sz w:val="20"/>
        </w:rPr>
        <w:t>it</w:t>
      </w:r>
      <w:r>
        <w:rPr>
          <w:color w:val="231F20"/>
          <w:spacing w:val="-5"/>
          <w:sz w:val="20"/>
        </w:rPr>
        <w:t xml:space="preserve"> </w:t>
      </w:r>
      <w:r>
        <w:rPr>
          <w:color w:val="231F20"/>
          <w:sz w:val="20"/>
        </w:rPr>
        <w:t>is</w:t>
      </w:r>
      <w:r>
        <w:rPr>
          <w:color w:val="231F20"/>
          <w:spacing w:val="-5"/>
          <w:sz w:val="20"/>
        </w:rPr>
        <w:t xml:space="preserve"> </w:t>
      </w:r>
      <w:r>
        <w:rPr>
          <w:color w:val="231F20"/>
          <w:spacing w:val="-3"/>
          <w:sz w:val="20"/>
        </w:rPr>
        <w:t>inappropriate</w:t>
      </w:r>
      <w:r>
        <w:rPr>
          <w:color w:val="231F20"/>
          <w:spacing w:val="-6"/>
          <w:sz w:val="20"/>
        </w:rPr>
        <w:t xml:space="preserve"> </w:t>
      </w:r>
      <w:r>
        <w:rPr>
          <w:color w:val="231F20"/>
          <w:sz w:val="20"/>
        </w:rPr>
        <w:t>to</w:t>
      </w:r>
      <w:r>
        <w:rPr>
          <w:color w:val="231F20"/>
          <w:spacing w:val="-5"/>
          <w:sz w:val="20"/>
        </w:rPr>
        <w:t xml:space="preserve"> </w:t>
      </w:r>
      <w:r>
        <w:rPr>
          <w:color w:val="231F20"/>
          <w:sz w:val="20"/>
        </w:rPr>
        <w:t>sanction</w:t>
      </w:r>
      <w:r>
        <w:rPr>
          <w:color w:val="231F20"/>
          <w:spacing w:val="-5"/>
          <w:sz w:val="20"/>
        </w:rPr>
        <w:t xml:space="preserve"> </w:t>
      </w:r>
      <w:r>
        <w:rPr>
          <w:color w:val="231F20"/>
          <w:spacing w:val="-3"/>
          <w:sz w:val="20"/>
        </w:rPr>
        <w:t>children</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actions</w:t>
      </w:r>
    </w:p>
    <w:p w14:paraId="035546F4" w14:textId="77777777" w:rsidR="00894070" w:rsidRDefault="009B7AFD">
      <w:pPr>
        <w:pStyle w:val="BodyText"/>
        <w:spacing w:line="259" w:lineRule="exact"/>
        <w:ind w:left="1801"/>
      </w:pPr>
      <w:r>
        <w:rPr>
          <w:color w:val="231F20"/>
        </w:rPr>
        <w:t>that they are unable to fully understand.</w:t>
      </w:r>
    </w:p>
    <w:p w14:paraId="798FABD2" w14:textId="77777777" w:rsidR="00894070" w:rsidRDefault="009B7AFD">
      <w:pPr>
        <w:pStyle w:val="ListParagraph"/>
        <w:numPr>
          <w:ilvl w:val="1"/>
          <w:numId w:val="102"/>
        </w:numPr>
        <w:tabs>
          <w:tab w:val="left" w:pos="1801"/>
          <w:tab w:val="left" w:pos="1802"/>
        </w:tabs>
        <w:spacing w:before="115" w:line="206" w:lineRule="auto"/>
        <w:ind w:right="1199"/>
        <w:rPr>
          <w:sz w:val="20"/>
        </w:rPr>
      </w:pPr>
      <w:r>
        <w:rPr>
          <w:color w:val="231F20"/>
          <w:spacing w:val="-4"/>
          <w:sz w:val="20"/>
        </w:rPr>
        <w:t xml:space="preserve">Crucially, </w:t>
      </w:r>
      <w:r>
        <w:rPr>
          <w:color w:val="231F20"/>
          <w:sz w:val="20"/>
        </w:rPr>
        <w:t xml:space="preserve">a </w:t>
      </w:r>
      <w:r>
        <w:rPr>
          <w:color w:val="231F20"/>
          <w:spacing w:val="-3"/>
          <w:sz w:val="20"/>
        </w:rPr>
        <w:t xml:space="preserve">child’s </w:t>
      </w:r>
      <w:r>
        <w:rPr>
          <w:color w:val="231F20"/>
          <w:sz w:val="20"/>
        </w:rPr>
        <w:t xml:space="preserve">lessened ability to understand the consequences of their decisions also suggests that the </w:t>
      </w:r>
      <w:r>
        <w:rPr>
          <w:color w:val="231F20"/>
          <w:spacing w:val="-3"/>
          <w:sz w:val="20"/>
        </w:rPr>
        <w:t xml:space="preserve">deterrent </w:t>
      </w:r>
      <w:r>
        <w:rPr>
          <w:color w:val="231F20"/>
          <w:sz w:val="20"/>
        </w:rPr>
        <w:t xml:space="preserve">effect of PSIOs is </w:t>
      </w:r>
      <w:r>
        <w:rPr>
          <w:color w:val="231F20"/>
          <w:spacing w:val="-3"/>
          <w:sz w:val="20"/>
        </w:rPr>
        <w:t xml:space="preserve">likely </w:t>
      </w:r>
      <w:r>
        <w:rPr>
          <w:color w:val="231F20"/>
          <w:sz w:val="20"/>
        </w:rPr>
        <w:t>to be limited.</w:t>
      </w:r>
      <w:r>
        <w:rPr>
          <w:color w:val="231F20"/>
          <w:position w:val="7"/>
          <w:sz w:val="11"/>
        </w:rPr>
        <w:t xml:space="preserve">234 </w:t>
      </w:r>
      <w:r>
        <w:rPr>
          <w:color w:val="231F20"/>
          <w:sz w:val="20"/>
        </w:rPr>
        <w:t xml:space="preserve">When the </w:t>
      </w:r>
      <w:r>
        <w:rPr>
          <w:color w:val="231F20"/>
          <w:spacing w:val="-3"/>
          <w:sz w:val="20"/>
        </w:rPr>
        <w:t>respondent’s</w:t>
      </w:r>
      <w:r>
        <w:rPr>
          <w:color w:val="231F20"/>
          <w:spacing w:val="-9"/>
          <w:sz w:val="20"/>
        </w:rPr>
        <w:t xml:space="preserve"> </w:t>
      </w:r>
      <w:r>
        <w:rPr>
          <w:color w:val="231F20"/>
          <w:sz w:val="20"/>
        </w:rPr>
        <w:t>compliance</w:t>
      </w:r>
      <w:r>
        <w:rPr>
          <w:color w:val="231F20"/>
          <w:spacing w:val="-8"/>
          <w:sz w:val="20"/>
        </w:rPr>
        <w:t xml:space="preserve"> </w:t>
      </w:r>
      <w:r>
        <w:rPr>
          <w:color w:val="231F20"/>
          <w:sz w:val="20"/>
        </w:rPr>
        <w:t>with</w:t>
      </w:r>
      <w:r>
        <w:rPr>
          <w:color w:val="231F20"/>
          <w:spacing w:val="-9"/>
          <w:sz w:val="20"/>
        </w:rPr>
        <w:t xml:space="preserve"> </w:t>
      </w:r>
      <w:r>
        <w:rPr>
          <w:color w:val="231F20"/>
          <w:sz w:val="20"/>
        </w:rPr>
        <w:t>the</w:t>
      </w:r>
      <w:r>
        <w:rPr>
          <w:color w:val="231F20"/>
          <w:spacing w:val="-8"/>
          <w:sz w:val="20"/>
        </w:rPr>
        <w:t xml:space="preserve"> </w:t>
      </w:r>
      <w:r>
        <w:rPr>
          <w:color w:val="231F20"/>
          <w:sz w:val="20"/>
        </w:rPr>
        <w:t>conditions</w:t>
      </w:r>
      <w:r>
        <w:rPr>
          <w:color w:val="231F20"/>
          <w:spacing w:val="-9"/>
          <w:sz w:val="20"/>
        </w:rPr>
        <w:t xml:space="preserve"> </w:t>
      </w:r>
      <w:r>
        <w:rPr>
          <w:color w:val="231F20"/>
          <w:sz w:val="20"/>
        </w:rPr>
        <w:t>of</w:t>
      </w:r>
      <w:r>
        <w:rPr>
          <w:color w:val="231F20"/>
          <w:spacing w:val="-8"/>
          <w:sz w:val="20"/>
        </w:rPr>
        <w:t xml:space="preserve"> </w:t>
      </w:r>
      <w:r>
        <w:rPr>
          <w:color w:val="231F20"/>
          <w:sz w:val="20"/>
        </w:rPr>
        <w:t>a</w:t>
      </w:r>
      <w:r>
        <w:rPr>
          <w:color w:val="231F20"/>
          <w:spacing w:val="-9"/>
          <w:sz w:val="20"/>
        </w:rPr>
        <w:t xml:space="preserve"> </w:t>
      </w:r>
      <w:r>
        <w:rPr>
          <w:color w:val="231F20"/>
          <w:sz w:val="20"/>
        </w:rPr>
        <w:t>PSIO</w:t>
      </w:r>
      <w:r>
        <w:rPr>
          <w:color w:val="231F20"/>
          <w:spacing w:val="-8"/>
          <w:sz w:val="20"/>
        </w:rPr>
        <w:t xml:space="preserve"> </w:t>
      </w:r>
      <w:r>
        <w:rPr>
          <w:color w:val="231F20"/>
          <w:sz w:val="20"/>
        </w:rPr>
        <w:t>is</w:t>
      </w:r>
      <w:r>
        <w:rPr>
          <w:color w:val="231F20"/>
          <w:spacing w:val="-9"/>
          <w:sz w:val="20"/>
        </w:rPr>
        <w:t xml:space="preserve"> </w:t>
      </w:r>
      <w:r>
        <w:rPr>
          <w:color w:val="231F20"/>
          <w:sz w:val="20"/>
        </w:rPr>
        <w:t>the</w:t>
      </w:r>
      <w:r>
        <w:rPr>
          <w:color w:val="231F20"/>
          <w:spacing w:val="-8"/>
          <w:sz w:val="20"/>
        </w:rPr>
        <w:t xml:space="preserve"> </w:t>
      </w:r>
      <w:r>
        <w:rPr>
          <w:color w:val="231F20"/>
          <w:sz w:val="20"/>
        </w:rPr>
        <w:t>very</w:t>
      </w:r>
      <w:r>
        <w:rPr>
          <w:color w:val="231F20"/>
          <w:spacing w:val="-8"/>
          <w:sz w:val="20"/>
        </w:rPr>
        <w:t xml:space="preserve"> </w:t>
      </w:r>
      <w:r>
        <w:rPr>
          <w:color w:val="231F20"/>
          <w:sz w:val="20"/>
        </w:rPr>
        <w:t>thing</w:t>
      </w:r>
      <w:r>
        <w:rPr>
          <w:color w:val="231F20"/>
          <w:spacing w:val="-9"/>
          <w:sz w:val="20"/>
        </w:rPr>
        <w:t xml:space="preserve"> </w:t>
      </w:r>
      <w:r>
        <w:rPr>
          <w:color w:val="231F20"/>
          <w:sz w:val="20"/>
        </w:rPr>
        <w:t>that</w:t>
      </w:r>
      <w:r>
        <w:rPr>
          <w:color w:val="231F20"/>
          <w:spacing w:val="-8"/>
          <w:sz w:val="20"/>
        </w:rPr>
        <w:t xml:space="preserve"> </w:t>
      </w:r>
      <w:r>
        <w:rPr>
          <w:color w:val="231F20"/>
          <w:sz w:val="20"/>
        </w:rPr>
        <w:t>is</w:t>
      </w:r>
      <w:r>
        <w:rPr>
          <w:color w:val="231F20"/>
          <w:spacing w:val="-9"/>
          <w:sz w:val="20"/>
        </w:rPr>
        <w:t xml:space="preserve"> </w:t>
      </w:r>
      <w:r>
        <w:rPr>
          <w:color w:val="231F20"/>
          <w:sz w:val="20"/>
        </w:rPr>
        <w:t xml:space="preserve">intended to </w:t>
      </w:r>
      <w:r>
        <w:rPr>
          <w:color w:val="231F20"/>
          <w:spacing w:val="-3"/>
          <w:sz w:val="20"/>
        </w:rPr>
        <w:t xml:space="preserve">afford protection </w:t>
      </w:r>
      <w:r>
        <w:rPr>
          <w:color w:val="231F20"/>
          <w:sz w:val="20"/>
        </w:rPr>
        <w:t xml:space="preserve">to the victim survivor </w:t>
      </w:r>
      <w:r>
        <w:rPr>
          <w:color w:val="231F20"/>
          <w:spacing w:val="-3"/>
          <w:sz w:val="20"/>
        </w:rPr>
        <w:t xml:space="preserve">(by </w:t>
      </w:r>
      <w:r>
        <w:rPr>
          <w:color w:val="231F20"/>
          <w:sz w:val="20"/>
        </w:rPr>
        <w:t xml:space="preserve">putting a stop to the </w:t>
      </w:r>
      <w:r>
        <w:rPr>
          <w:color w:val="231F20"/>
          <w:spacing w:val="-3"/>
          <w:sz w:val="20"/>
        </w:rPr>
        <w:t xml:space="preserve">behaviour), </w:t>
      </w:r>
      <w:r>
        <w:rPr>
          <w:color w:val="231F20"/>
          <w:sz w:val="20"/>
        </w:rPr>
        <w:t>this is a serious</w:t>
      </w:r>
      <w:r>
        <w:rPr>
          <w:color w:val="231F20"/>
          <w:spacing w:val="-5"/>
          <w:sz w:val="20"/>
        </w:rPr>
        <w:t xml:space="preserve"> </w:t>
      </w:r>
      <w:r>
        <w:rPr>
          <w:color w:val="231F20"/>
          <w:sz w:val="20"/>
        </w:rPr>
        <w:t>concern.</w:t>
      </w:r>
    </w:p>
    <w:p w14:paraId="17BF8570" w14:textId="77777777" w:rsidR="00894070" w:rsidRDefault="009B7AFD">
      <w:pPr>
        <w:pStyle w:val="Heading9"/>
        <w:spacing w:before="131"/>
        <w:rPr>
          <w:b/>
        </w:rPr>
      </w:pPr>
      <w:r>
        <w:rPr>
          <w:b/>
          <w:color w:val="231F20"/>
        </w:rPr>
        <w:t>PSIOs risk further contact with the justice</w:t>
      </w:r>
      <w:r>
        <w:rPr>
          <w:b/>
          <w:color w:val="231F20"/>
          <w:spacing w:val="-13"/>
        </w:rPr>
        <w:t xml:space="preserve"> </w:t>
      </w:r>
      <w:r>
        <w:rPr>
          <w:b/>
          <w:color w:val="231F20"/>
        </w:rPr>
        <w:t>system</w:t>
      </w:r>
    </w:p>
    <w:p w14:paraId="296EE4B1" w14:textId="77777777" w:rsidR="00894070" w:rsidRDefault="009B7AFD">
      <w:pPr>
        <w:pStyle w:val="ListParagraph"/>
        <w:numPr>
          <w:ilvl w:val="1"/>
          <w:numId w:val="102"/>
        </w:numPr>
        <w:tabs>
          <w:tab w:val="left" w:pos="1802"/>
        </w:tabs>
        <w:spacing w:before="132" w:line="206" w:lineRule="auto"/>
        <w:ind w:right="1202"/>
        <w:jc w:val="both"/>
        <w:rPr>
          <w:sz w:val="11"/>
        </w:rPr>
      </w:pPr>
      <w:r>
        <w:rPr>
          <w:color w:val="231F20"/>
          <w:sz w:val="20"/>
        </w:rPr>
        <w:t>The</w:t>
      </w:r>
      <w:r>
        <w:rPr>
          <w:color w:val="231F20"/>
          <w:spacing w:val="-9"/>
          <w:sz w:val="20"/>
        </w:rPr>
        <w:t xml:space="preserve"> </w:t>
      </w:r>
      <w:r>
        <w:rPr>
          <w:color w:val="231F20"/>
          <w:sz w:val="20"/>
        </w:rPr>
        <w:t>Sentencing</w:t>
      </w:r>
      <w:r>
        <w:rPr>
          <w:color w:val="231F20"/>
          <w:spacing w:val="-9"/>
          <w:sz w:val="20"/>
        </w:rPr>
        <w:t xml:space="preserve"> </w:t>
      </w:r>
      <w:r>
        <w:rPr>
          <w:color w:val="231F20"/>
          <w:sz w:val="20"/>
        </w:rPr>
        <w:t>Advisory</w:t>
      </w:r>
      <w:r>
        <w:rPr>
          <w:color w:val="231F20"/>
          <w:spacing w:val="-9"/>
          <w:sz w:val="20"/>
        </w:rPr>
        <w:t xml:space="preserve"> </w:t>
      </w:r>
      <w:r>
        <w:rPr>
          <w:color w:val="231F20"/>
          <w:sz w:val="20"/>
        </w:rPr>
        <w:t>Council</w:t>
      </w:r>
      <w:r>
        <w:rPr>
          <w:color w:val="231F20"/>
          <w:spacing w:val="-9"/>
          <w:sz w:val="20"/>
        </w:rPr>
        <w:t xml:space="preserve"> </w:t>
      </w:r>
      <w:r>
        <w:rPr>
          <w:color w:val="231F20"/>
          <w:sz w:val="20"/>
        </w:rPr>
        <w:t>found</w:t>
      </w:r>
      <w:r>
        <w:rPr>
          <w:color w:val="231F20"/>
          <w:spacing w:val="-9"/>
          <w:sz w:val="20"/>
        </w:rPr>
        <w:t xml:space="preserve"> </w:t>
      </w:r>
      <w:r>
        <w:rPr>
          <w:color w:val="231F20"/>
          <w:sz w:val="20"/>
        </w:rPr>
        <w:t>that</w:t>
      </w:r>
      <w:r>
        <w:rPr>
          <w:color w:val="231F20"/>
          <w:spacing w:val="-9"/>
          <w:sz w:val="20"/>
        </w:rPr>
        <w:t xml:space="preserve"> </w:t>
      </w:r>
      <w:r>
        <w:rPr>
          <w:color w:val="231F20"/>
          <w:spacing w:val="-4"/>
          <w:sz w:val="20"/>
        </w:rPr>
        <w:t>over</w:t>
      </w:r>
      <w:r>
        <w:rPr>
          <w:color w:val="231F20"/>
          <w:spacing w:val="-9"/>
          <w:sz w:val="20"/>
        </w:rPr>
        <w:t xml:space="preserve"> </w:t>
      </w:r>
      <w:r>
        <w:rPr>
          <w:color w:val="231F20"/>
          <w:sz w:val="20"/>
        </w:rPr>
        <w:t>the</w:t>
      </w:r>
      <w:r>
        <w:rPr>
          <w:color w:val="231F20"/>
          <w:spacing w:val="-8"/>
          <w:sz w:val="20"/>
        </w:rPr>
        <w:t xml:space="preserve"> </w:t>
      </w:r>
      <w:r>
        <w:rPr>
          <w:color w:val="231F20"/>
          <w:sz w:val="20"/>
        </w:rPr>
        <w:t>period</w:t>
      </w:r>
      <w:r>
        <w:rPr>
          <w:color w:val="231F20"/>
          <w:spacing w:val="-9"/>
          <w:sz w:val="20"/>
        </w:rPr>
        <w:t xml:space="preserve"> </w:t>
      </w:r>
      <w:r>
        <w:rPr>
          <w:color w:val="231F20"/>
          <w:spacing w:val="-5"/>
          <w:sz w:val="20"/>
        </w:rPr>
        <w:t>2011–2020</w:t>
      </w:r>
      <w:r>
        <w:rPr>
          <w:color w:val="231F20"/>
          <w:spacing w:val="-9"/>
          <w:sz w:val="20"/>
        </w:rPr>
        <w:t xml:space="preserve"> </w:t>
      </w:r>
      <w:r>
        <w:rPr>
          <w:color w:val="231F20"/>
          <w:sz w:val="20"/>
        </w:rPr>
        <w:t>there</w:t>
      </w:r>
      <w:r>
        <w:rPr>
          <w:color w:val="231F20"/>
          <w:spacing w:val="-9"/>
          <w:sz w:val="20"/>
        </w:rPr>
        <w:t xml:space="preserve"> </w:t>
      </w:r>
      <w:r>
        <w:rPr>
          <w:color w:val="231F20"/>
          <w:spacing w:val="-4"/>
          <w:sz w:val="20"/>
        </w:rPr>
        <w:t>were</w:t>
      </w:r>
      <w:r>
        <w:rPr>
          <w:color w:val="231F20"/>
          <w:spacing w:val="-9"/>
          <w:sz w:val="20"/>
        </w:rPr>
        <w:t xml:space="preserve"> </w:t>
      </w:r>
      <w:r>
        <w:rPr>
          <w:color w:val="231F20"/>
          <w:sz w:val="20"/>
        </w:rPr>
        <w:t xml:space="preserve">8115 PSIO applications to the </w:t>
      </w:r>
      <w:r>
        <w:rPr>
          <w:color w:val="231F20"/>
          <w:spacing w:val="-3"/>
          <w:sz w:val="20"/>
        </w:rPr>
        <w:t xml:space="preserve">Children’s </w:t>
      </w:r>
      <w:r>
        <w:rPr>
          <w:color w:val="231F20"/>
          <w:sz w:val="20"/>
        </w:rPr>
        <w:t xml:space="preserve">Court of Victoria, </w:t>
      </w:r>
      <w:r>
        <w:rPr>
          <w:color w:val="231F20"/>
          <w:spacing w:val="-3"/>
          <w:sz w:val="20"/>
        </w:rPr>
        <w:t xml:space="preserve">resulting </w:t>
      </w:r>
      <w:r>
        <w:rPr>
          <w:color w:val="231F20"/>
          <w:sz w:val="20"/>
        </w:rPr>
        <w:t xml:space="preserve">in </w:t>
      </w:r>
      <w:r>
        <w:rPr>
          <w:color w:val="231F20"/>
          <w:spacing w:val="-6"/>
          <w:sz w:val="20"/>
        </w:rPr>
        <w:t xml:space="preserve">6379 </w:t>
      </w:r>
      <w:r>
        <w:rPr>
          <w:color w:val="231F20"/>
          <w:spacing w:val="-3"/>
          <w:sz w:val="20"/>
        </w:rPr>
        <w:t xml:space="preserve">interim </w:t>
      </w:r>
      <w:r>
        <w:rPr>
          <w:color w:val="231F20"/>
          <w:sz w:val="20"/>
        </w:rPr>
        <w:t>PSIOs and 4399 final</w:t>
      </w:r>
      <w:r>
        <w:rPr>
          <w:color w:val="231F20"/>
          <w:spacing w:val="-9"/>
          <w:sz w:val="20"/>
        </w:rPr>
        <w:t xml:space="preserve"> </w:t>
      </w:r>
      <w:r>
        <w:rPr>
          <w:color w:val="231F20"/>
          <w:sz w:val="20"/>
        </w:rPr>
        <w:t>PSIOs.</w:t>
      </w:r>
      <w:r>
        <w:rPr>
          <w:color w:val="231F20"/>
          <w:position w:val="7"/>
          <w:sz w:val="11"/>
        </w:rPr>
        <w:t>235</w:t>
      </w:r>
    </w:p>
    <w:p w14:paraId="1E482D53" w14:textId="77777777" w:rsidR="00894070" w:rsidRDefault="009B7AFD">
      <w:pPr>
        <w:pStyle w:val="ListParagraph"/>
        <w:numPr>
          <w:ilvl w:val="1"/>
          <w:numId w:val="102"/>
        </w:numPr>
        <w:tabs>
          <w:tab w:val="left" w:pos="1801"/>
          <w:tab w:val="left" w:pos="1802"/>
        </w:tabs>
        <w:spacing w:before="124" w:line="206" w:lineRule="auto"/>
        <w:ind w:right="1178"/>
        <w:rPr>
          <w:sz w:val="11"/>
        </w:rPr>
      </w:pPr>
      <w:r>
        <w:rPr>
          <w:color w:val="231F20"/>
          <w:sz w:val="20"/>
        </w:rPr>
        <w:t xml:space="preserve">PSIOs carry serious consequences </w:t>
      </w:r>
      <w:r>
        <w:rPr>
          <w:color w:val="231F20"/>
          <w:spacing w:val="-3"/>
          <w:sz w:val="20"/>
        </w:rPr>
        <w:t xml:space="preserve">for </w:t>
      </w:r>
      <w:r>
        <w:rPr>
          <w:color w:val="231F20"/>
          <w:sz w:val="20"/>
        </w:rPr>
        <w:t>child respondents, such as restrictions to their freedom</w:t>
      </w:r>
      <w:r>
        <w:rPr>
          <w:color w:val="231F20"/>
          <w:spacing w:val="-9"/>
          <w:sz w:val="20"/>
        </w:rPr>
        <w:t xml:space="preserve"> </w:t>
      </w:r>
      <w:r>
        <w:rPr>
          <w:color w:val="231F20"/>
          <w:sz w:val="20"/>
        </w:rPr>
        <w:t>of</w:t>
      </w:r>
      <w:r>
        <w:rPr>
          <w:color w:val="231F20"/>
          <w:spacing w:val="-9"/>
          <w:sz w:val="20"/>
        </w:rPr>
        <w:t xml:space="preserve"> </w:t>
      </w:r>
      <w:r>
        <w:rPr>
          <w:color w:val="231F20"/>
          <w:sz w:val="20"/>
        </w:rPr>
        <w:t>movement.</w:t>
      </w:r>
      <w:r>
        <w:rPr>
          <w:color w:val="231F20"/>
          <w:position w:val="7"/>
          <w:sz w:val="11"/>
        </w:rPr>
        <w:t>236</w:t>
      </w:r>
      <w:r>
        <w:rPr>
          <w:color w:val="231F20"/>
          <w:spacing w:val="15"/>
          <w:position w:val="7"/>
          <w:sz w:val="11"/>
        </w:rPr>
        <w:t xml:space="preserve"> </w:t>
      </w:r>
      <w:r>
        <w:rPr>
          <w:color w:val="231F20"/>
          <w:sz w:val="20"/>
        </w:rPr>
        <w:t>The</w:t>
      </w:r>
      <w:r>
        <w:rPr>
          <w:color w:val="231F20"/>
          <w:spacing w:val="-9"/>
          <w:sz w:val="20"/>
        </w:rPr>
        <w:t xml:space="preserve"> </w:t>
      </w:r>
      <w:r>
        <w:rPr>
          <w:color w:val="231F20"/>
          <w:sz w:val="20"/>
        </w:rPr>
        <w:t>Victorian</w:t>
      </w:r>
      <w:r>
        <w:rPr>
          <w:color w:val="231F20"/>
          <w:spacing w:val="-9"/>
          <w:sz w:val="20"/>
        </w:rPr>
        <w:t xml:space="preserve"> </w:t>
      </w:r>
      <w:r>
        <w:rPr>
          <w:color w:val="231F20"/>
          <w:sz w:val="20"/>
        </w:rPr>
        <w:t>Aboriginal</w:t>
      </w:r>
      <w:r>
        <w:rPr>
          <w:color w:val="231F20"/>
          <w:spacing w:val="-9"/>
          <w:sz w:val="20"/>
        </w:rPr>
        <w:t xml:space="preserve"> </w:t>
      </w:r>
      <w:r>
        <w:rPr>
          <w:color w:val="231F20"/>
          <w:sz w:val="20"/>
        </w:rPr>
        <w:t>Legal</w:t>
      </w:r>
      <w:r>
        <w:rPr>
          <w:color w:val="231F20"/>
          <w:spacing w:val="-9"/>
          <w:sz w:val="20"/>
        </w:rPr>
        <w:t xml:space="preserve"> </w:t>
      </w:r>
      <w:r>
        <w:rPr>
          <w:color w:val="231F20"/>
          <w:sz w:val="20"/>
        </w:rPr>
        <w:t>Service</w:t>
      </w:r>
      <w:r>
        <w:rPr>
          <w:color w:val="231F20"/>
          <w:spacing w:val="-9"/>
          <w:sz w:val="20"/>
        </w:rPr>
        <w:t xml:space="preserve"> </w:t>
      </w:r>
      <w:r>
        <w:rPr>
          <w:color w:val="231F20"/>
          <w:spacing w:val="-3"/>
          <w:sz w:val="20"/>
        </w:rPr>
        <w:t>told</w:t>
      </w:r>
      <w:r>
        <w:rPr>
          <w:color w:val="231F20"/>
          <w:spacing w:val="-9"/>
          <w:sz w:val="20"/>
        </w:rPr>
        <w:t xml:space="preserve"> </w:t>
      </w:r>
      <w:r>
        <w:rPr>
          <w:color w:val="231F20"/>
          <w:sz w:val="20"/>
        </w:rPr>
        <w:t>us</w:t>
      </w:r>
      <w:r>
        <w:rPr>
          <w:color w:val="231F20"/>
          <w:spacing w:val="-9"/>
          <w:sz w:val="20"/>
        </w:rPr>
        <w:t xml:space="preserve"> </w:t>
      </w:r>
      <w:r>
        <w:rPr>
          <w:color w:val="231F20"/>
          <w:sz w:val="20"/>
        </w:rPr>
        <w:t>that</w:t>
      </w:r>
      <w:r>
        <w:rPr>
          <w:color w:val="231F20"/>
          <w:spacing w:val="-9"/>
          <w:sz w:val="20"/>
        </w:rPr>
        <w:t xml:space="preserve"> </w:t>
      </w:r>
      <w:r>
        <w:rPr>
          <w:color w:val="231F20"/>
          <w:sz w:val="20"/>
        </w:rPr>
        <w:t>PSIOs</w:t>
      </w:r>
      <w:r>
        <w:rPr>
          <w:color w:val="231F20"/>
          <w:spacing w:val="-9"/>
          <w:sz w:val="20"/>
        </w:rPr>
        <w:t xml:space="preserve"> </w:t>
      </w:r>
      <w:r>
        <w:rPr>
          <w:color w:val="231F20"/>
          <w:spacing w:val="-3"/>
          <w:sz w:val="20"/>
        </w:rPr>
        <w:t xml:space="preserve">may even </w:t>
      </w:r>
      <w:r>
        <w:rPr>
          <w:color w:val="231F20"/>
          <w:spacing w:val="-4"/>
          <w:sz w:val="20"/>
        </w:rPr>
        <w:t xml:space="preserve">force </w:t>
      </w:r>
      <w:r>
        <w:rPr>
          <w:color w:val="231F20"/>
          <w:sz w:val="20"/>
        </w:rPr>
        <w:t xml:space="preserve">a child to withdraw </w:t>
      </w:r>
      <w:r>
        <w:rPr>
          <w:color w:val="231F20"/>
          <w:spacing w:val="-3"/>
          <w:sz w:val="20"/>
        </w:rPr>
        <w:t xml:space="preserve">from </w:t>
      </w:r>
      <w:r>
        <w:rPr>
          <w:color w:val="231F20"/>
          <w:sz w:val="20"/>
        </w:rPr>
        <w:t xml:space="preserve">school due to </w:t>
      </w:r>
      <w:r>
        <w:rPr>
          <w:color w:val="231F20"/>
          <w:spacing w:val="-3"/>
          <w:sz w:val="20"/>
        </w:rPr>
        <w:t xml:space="preserve">bullying </w:t>
      </w:r>
      <w:r>
        <w:rPr>
          <w:color w:val="231F20"/>
          <w:sz w:val="20"/>
        </w:rPr>
        <w:t xml:space="preserve">and the </w:t>
      </w:r>
      <w:r>
        <w:rPr>
          <w:color w:val="231F20"/>
          <w:spacing w:val="-3"/>
          <w:sz w:val="20"/>
        </w:rPr>
        <w:t xml:space="preserve">weight </w:t>
      </w:r>
      <w:r>
        <w:rPr>
          <w:color w:val="231F20"/>
          <w:sz w:val="20"/>
        </w:rPr>
        <w:t>of the legal process.</w:t>
      </w:r>
      <w:r>
        <w:rPr>
          <w:color w:val="231F20"/>
          <w:position w:val="7"/>
          <w:sz w:val="11"/>
        </w:rPr>
        <w:t>237</w:t>
      </w:r>
    </w:p>
    <w:p w14:paraId="51FF8685" w14:textId="77777777" w:rsidR="00894070" w:rsidRDefault="009B7AFD">
      <w:pPr>
        <w:pStyle w:val="ListParagraph"/>
        <w:numPr>
          <w:ilvl w:val="1"/>
          <w:numId w:val="102"/>
        </w:numPr>
        <w:tabs>
          <w:tab w:val="left" w:pos="1802"/>
        </w:tabs>
        <w:spacing w:before="125" w:line="206" w:lineRule="auto"/>
        <w:ind w:right="1357"/>
        <w:jc w:val="both"/>
        <w:rPr>
          <w:sz w:val="11"/>
        </w:rPr>
      </w:pPr>
      <w:r>
        <w:rPr>
          <w:color w:val="231F20"/>
          <w:sz w:val="20"/>
        </w:rPr>
        <w:t>Breaching</w:t>
      </w:r>
      <w:r>
        <w:rPr>
          <w:color w:val="231F20"/>
          <w:spacing w:val="-9"/>
          <w:sz w:val="20"/>
        </w:rPr>
        <w:t xml:space="preserve"> </w:t>
      </w:r>
      <w:r>
        <w:rPr>
          <w:color w:val="231F20"/>
          <w:sz w:val="20"/>
        </w:rPr>
        <w:t>a</w:t>
      </w:r>
      <w:r>
        <w:rPr>
          <w:color w:val="231F20"/>
          <w:spacing w:val="-9"/>
          <w:sz w:val="20"/>
        </w:rPr>
        <w:t xml:space="preserve"> </w:t>
      </w:r>
      <w:r>
        <w:rPr>
          <w:color w:val="231F20"/>
          <w:sz w:val="20"/>
        </w:rPr>
        <w:t>PSIO</w:t>
      </w:r>
      <w:r>
        <w:rPr>
          <w:color w:val="231F20"/>
          <w:spacing w:val="-9"/>
          <w:sz w:val="20"/>
        </w:rPr>
        <w:t xml:space="preserve"> </w:t>
      </w:r>
      <w:r>
        <w:rPr>
          <w:color w:val="231F20"/>
          <w:sz w:val="20"/>
        </w:rPr>
        <w:t>is</w:t>
      </w:r>
      <w:r>
        <w:rPr>
          <w:color w:val="231F20"/>
          <w:spacing w:val="-9"/>
          <w:sz w:val="20"/>
        </w:rPr>
        <w:t xml:space="preserve"> </w:t>
      </w:r>
      <w:r>
        <w:rPr>
          <w:color w:val="231F20"/>
          <w:sz w:val="20"/>
        </w:rPr>
        <w:t>a</w:t>
      </w:r>
      <w:r>
        <w:rPr>
          <w:color w:val="231F20"/>
          <w:spacing w:val="-9"/>
          <w:sz w:val="20"/>
        </w:rPr>
        <w:t xml:space="preserve"> </w:t>
      </w:r>
      <w:r>
        <w:rPr>
          <w:color w:val="231F20"/>
          <w:sz w:val="20"/>
        </w:rPr>
        <w:t>criminal</w:t>
      </w:r>
      <w:r>
        <w:rPr>
          <w:color w:val="231F20"/>
          <w:spacing w:val="-9"/>
          <w:sz w:val="20"/>
        </w:rPr>
        <w:t xml:space="preserve"> </w:t>
      </w:r>
      <w:r>
        <w:rPr>
          <w:color w:val="231F20"/>
          <w:sz w:val="20"/>
        </w:rPr>
        <w:t>offence</w:t>
      </w:r>
      <w:r>
        <w:rPr>
          <w:color w:val="231F20"/>
          <w:spacing w:val="-9"/>
          <w:sz w:val="20"/>
        </w:rPr>
        <w:t xml:space="preserve"> </w:t>
      </w:r>
      <w:r>
        <w:rPr>
          <w:color w:val="231F20"/>
          <w:sz w:val="20"/>
        </w:rPr>
        <w:t>(see</w:t>
      </w:r>
      <w:r>
        <w:rPr>
          <w:color w:val="231F20"/>
          <w:spacing w:val="-9"/>
          <w:sz w:val="20"/>
        </w:rPr>
        <w:t xml:space="preserve"> </w:t>
      </w:r>
      <w:r>
        <w:rPr>
          <w:color w:val="231F20"/>
          <w:spacing w:val="-3"/>
          <w:sz w:val="20"/>
        </w:rPr>
        <w:t>Chapter</w:t>
      </w:r>
      <w:r>
        <w:rPr>
          <w:color w:val="231F20"/>
          <w:spacing w:val="-9"/>
          <w:sz w:val="20"/>
        </w:rPr>
        <w:t xml:space="preserve"> </w:t>
      </w:r>
      <w:r>
        <w:rPr>
          <w:color w:val="231F20"/>
          <w:spacing w:val="-4"/>
          <w:sz w:val="20"/>
        </w:rPr>
        <w:t>7).</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that</w:t>
      </w:r>
      <w:r>
        <w:rPr>
          <w:color w:val="231F20"/>
          <w:spacing w:val="-9"/>
          <w:sz w:val="20"/>
        </w:rPr>
        <w:t xml:space="preserve"> </w:t>
      </w:r>
      <w:r>
        <w:rPr>
          <w:color w:val="231F20"/>
          <w:sz w:val="20"/>
        </w:rPr>
        <w:t>reason,</w:t>
      </w:r>
      <w:r>
        <w:rPr>
          <w:color w:val="231F20"/>
          <w:spacing w:val="-9"/>
          <w:sz w:val="20"/>
        </w:rPr>
        <w:t xml:space="preserve"> </w:t>
      </w:r>
      <w:r>
        <w:rPr>
          <w:color w:val="231F20"/>
          <w:sz w:val="20"/>
        </w:rPr>
        <w:t>a</w:t>
      </w:r>
      <w:r>
        <w:rPr>
          <w:color w:val="231F20"/>
          <w:spacing w:val="-9"/>
          <w:sz w:val="20"/>
        </w:rPr>
        <w:t xml:space="preserve"> </w:t>
      </w:r>
      <w:r>
        <w:rPr>
          <w:color w:val="231F20"/>
          <w:sz w:val="20"/>
        </w:rPr>
        <w:t>PSIO</w:t>
      </w:r>
      <w:r>
        <w:rPr>
          <w:color w:val="231F20"/>
          <w:spacing w:val="-9"/>
          <w:sz w:val="20"/>
        </w:rPr>
        <w:t xml:space="preserve"> </w:t>
      </w:r>
      <w:r>
        <w:rPr>
          <w:color w:val="231F20"/>
          <w:sz w:val="20"/>
        </w:rPr>
        <w:t xml:space="preserve">against a child </w:t>
      </w:r>
      <w:r>
        <w:rPr>
          <w:color w:val="231F20"/>
          <w:spacing w:val="-3"/>
          <w:sz w:val="20"/>
        </w:rPr>
        <w:t xml:space="preserve">may </w:t>
      </w:r>
      <w:r>
        <w:rPr>
          <w:color w:val="231F20"/>
          <w:sz w:val="20"/>
        </w:rPr>
        <w:t xml:space="preserve">act as a </w:t>
      </w:r>
      <w:r>
        <w:rPr>
          <w:color w:val="231F20"/>
          <w:spacing w:val="-4"/>
          <w:sz w:val="20"/>
        </w:rPr>
        <w:t xml:space="preserve">gateway </w:t>
      </w:r>
      <w:r>
        <w:rPr>
          <w:color w:val="231F20"/>
          <w:spacing w:val="-3"/>
          <w:sz w:val="20"/>
        </w:rPr>
        <w:t xml:space="preserve">into </w:t>
      </w:r>
      <w:r>
        <w:rPr>
          <w:color w:val="231F20"/>
          <w:sz w:val="20"/>
        </w:rPr>
        <w:t xml:space="preserve">the criminal justice </w:t>
      </w:r>
      <w:r>
        <w:rPr>
          <w:color w:val="231F20"/>
          <w:spacing w:val="-2"/>
          <w:sz w:val="20"/>
        </w:rPr>
        <w:t xml:space="preserve">system </w:t>
      </w:r>
      <w:r>
        <w:rPr>
          <w:color w:val="231F20"/>
          <w:sz w:val="20"/>
        </w:rPr>
        <w:t xml:space="preserve">and its </w:t>
      </w:r>
      <w:r>
        <w:rPr>
          <w:color w:val="231F20"/>
          <w:spacing w:val="-3"/>
          <w:sz w:val="20"/>
        </w:rPr>
        <w:t>related negative outcomes:</w:t>
      </w:r>
      <w:r>
        <w:rPr>
          <w:color w:val="231F20"/>
          <w:spacing w:val="-10"/>
          <w:sz w:val="20"/>
        </w:rPr>
        <w:t xml:space="preserve"> </w:t>
      </w:r>
      <w:r>
        <w:rPr>
          <w:color w:val="231F20"/>
          <w:spacing w:val="-3"/>
          <w:sz w:val="20"/>
        </w:rPr>
        <w:t>greater</w:t>
      </w:r>
      <w:r>
        <w:rPr>
          <w:color w:val="231F20"/>
          <w:spacing w:val="-9"/>
          <w:sz w:val="20"/>
        </w:rPr>
        <w:t xml:space="preserve"> </w:t>
      </w:r>
      <w:r>
        <w:rPr>
          <w:color w:val="231F20"/>
          <w:sz w:val="20"/>
        </w:rPr>
        <w:t>risk</w:t>
      </w:r>
      <w:r>
        <w:rPr>
          <w:color w:val="231F20"/>
          <w:spacing w:val="-10"/>
          <w:sz w:val="20"/>
        </w:rPr>
        <w:t xml:space="preserve"> </w:t>
      </w:r>
      <w:r>
        <w:rPr>
          <w:color w:val="231F20"/>
          <w:sz w:val="20"/>
        </w:rPr>
        <w:t>of</w:t>
      </w:r>
      <w:r>
        <w:rPr>
          <w:color w:val="231F20"/>
          <w:spacing w:val="-9"/>
          <w:sz w:val="20"/>
        </w:rPr>
        <w:t xml:space="preserve"> </w:t>
      </w:r>
      <w:r>
        <w:rPr>
          <w:color w:val="231F20"/>
          <w:sz w:val="20"/>
        </w:rPr>
        <w:t>reoffending</w:t>
      </w:r>
      <w:r>
        <w:rPr>
          <w:color w:val="231F20"/>
          <w:spacing w:val="-9"/>
          <w:sz w:val="20"/>
        </w:rPr>
        <w:t xml:space="preserve"> </w:t>
      </w:r>
      <w:r>
        <w:rPr>
          <w:color w:val="231F20"/>
          <w:sz w:val="20"/>
        </w:rPr>
        <w:t>and</w:t>
      </w:r>
      <w:r>
        <w:rPr>
          <w:color w:val="231F20"/>
          <w:spacing w:val="-10"/>
          <w:sz w:val="20"/>
        </w:rPr>
        <w:t xml:space="preserve"> </w:t>
      </w:r>
      <w:r>
        <w:rPr>
          <w:color w:val="231F20"/>
          <w:sz w:val="20"/>
        </w:rPr>
        <w:t>ongoing</w:t>
      </w:r>
      <w:r>
        <w:rPr>
          <w:color w:val="231F20"/>
          <w:spacing w:val="-9"/>
          <w:sz w:val="20"/>
        </w:rPr>
        <w:t xml:space="preserve"> </w:t>
      </w:r>
      <w:r>
        <w:rPr>
          <w:color w:val="231F20"/>
          <w:sz w:val="20"/>
        </w:rPr>
        <w:t>justice</w:t>
      </w:r>
      <w:r>
        <w:rPr>
          <w:color w:val="231F20"/>
          <w:spacing w:val="-10"/>
          <w:sz w:val="20"/>
        </w:rPr>
        <w:t xml:space="preserve"> </w:t>
      </w:r>
      <w:r>
        <w:rPr>
          <w:color w:val="231F20"/>
          <w:spacing w:val="-2"/>
          <w:sz w:val="20"/>
        </w:rPr>
        <w:t>system</w:t>
      </w:r>
      <w:r>
        <w:rPr>
          <w:color w:val="231F20"/>
          <w:spacing w:val="-9"/>
          <w:sz w:val="20"/>
        </w:rPr>
        <w:t xml:space="preserve"> </w:t>
      </w:r>
      <w:r>
        <w:rPr>
          <w:color w:val="231F20"/>
          <w:sz w:val="20"/>
        </w:rPr>
        <w:t>contact,</w:t>
      </w:r>
      <w:r>
        <w:rPr>
          <w:color w:val="231F20"/>
          <w:spacing w:val="-9"/>
          <w:sz w:val="20"/>
        </w:rPr>
        <w:t xml:space="preserve"> </w:t>
      </w:r>
      <w:r>
        <w:rPr>
          <w:color w:val="231F20"/>
          <w:sz w:val="20"/>
        </w:rPr>
        <w:t>poor</w:t>
      </w:r>
      <w:r>
        <w:rPr>
          <w:color w:val="231F20"/>
          <w:spacing w:val="-10"/>
          <w:sz w:val="20"/>
        </w:rPr>
        <w:t xml:space="preserve"> </w:t>
      </w:r>
      <w:r>
        <w:rPr>
          <w:color w:val="231F20"/>
          <w:spacing w:val="-3"/>
          <w:sz w:val="20"/>
        </w:rPr>
        <w:t xml:space="preserve">future </w:t>
      </w:r>
      <w:r>
        <w:rPr>
          <w:color w:val="231F20"/>
          <w:sz w:val="20"/>
        </w:rPr>
        <w:t>health and educational outcomes, and other</w:t>
      </w:r>
      <w:r>
        <w:rPr>
          <w:color w:val="231F20"/>
          <w:spacing w:val="-35"/>
          <w:sz w:val="20"/>
        </w:rPr>
        <w:t xml:space="preserve"> </w:t>
      </w:r>
      <w:r>
        <w:rPr>
          <w:color w:val="231F20"/>
          <w:spacing w:val="-3"/>
          <w:sz w:val="20"/>
        </w:rPr>
        <w:t xml:space="preserve">long-term </w:t>
      </w:r>
      <w:r>
        <w:rPr>
          <w:color w:val="231F20"/>
          <w:sz w:val="20"/>
        </w:rPr>
        <w:t>disadvantages.</w:t>
      </w:r>
      <w:r>
        <w:rPr>
          <w:color w:val="231F20"/>
          <w:position w:val="7"/>
          <w:sz w:val="11"/>
        </w:rPr>
        <w:t>238</w:t>
      </w:r>
    </w:p>
    <w:p w14:paraId="52D86D17" w14:textId="77777777" w:rsidR="00894070" w:rsidRDefault="009B7AFD">
      <w:pPr>
        <w:pStyle w:val="ListParagraph"/>
        <w:numPr>
          <w:ilvl w:val="1"/>
          <w:numId w:val="102"/>
        </w:numPr>
        <w:tabs>
          <w:tab w:val="left" w:pos="1801"/>
          <w:tab w:val="left" w:pos="1802"/>
        </w:tabs>
        <w:spacing w:before="125" w:line="206" w:lineRule="auto"/>
        <w:ind w:right="1345"/>
        <w:rPr>
          <w:sz w:val="20"/>
        </w:rPr>
      </w:pPr>
      <w:r>
        <w:rPr>
          <w:color w:val="231F20"/>
          <w:sz w:val="20"/>
        </w:rPr>
        <w:t>With</w:t>
      </w:r>
      <w:r>
        <w:rPr>
          <w:color w:val="231F20"/>
          <w:spacing w:val="-14"/>
          <w:sz w:val="20"/>
        </w:rPr>
        <w:t xml:space="preserve"> </w:t>
      </w:r>
      <w:r>
        <w:rPr>
          <w:color w:val="231F20"/>
          <w:sz w:val="20"/>
        </w:rPr>
        <w:t>the</w:t>
      </w:r>
      <w:r>
        <w:rPr>
          <w:color w:val="231F20"/>
          <w:spacing w:val="-13"/>
          <w:sz w:val="20"/>
        </w:rPr>
        <w:t xml:space="preserve"> </w:t>
      </w:r>
      <w:r>
        <w:rPr>
          <w:color w:val="231F20"/>
          <w:sz w:val="20"/>
        </w:rPr>
        <w:t>legal</w:t>
      </w:r>
      <w:r>
        <w:rPr>
          <w:color w:val="231F20"/>
          <w:spacing w:val="-13"/>
          <w:sz w:val="20"/>
        </w:rPr>
        <w:t xml:space="preserve"> </w:t>
      </w:r>
      <w:r>
        <w:rPr>
          <w:color w:val="231F20"/>
          <w:sz w:val="20"/>
        </w:rPr>
        <w:t>responses</w:t>
      </w:r>
      <w:r>
        <w:rPr>
          <w:color w:val="231F20"/>
          <w:spacing w:val="-13"/>
          <w:sz w:val="20"/>
        </w:rPr>
        <w:t xml:space="preserve"> </w:t>
      </w:r>
      <w:r>
        <w:rPr>
          <w:color w:val="231F20"/>
          <w:sz w:val="20"/>
        </w:rPr>
        <w:t>to</w:t>
      </w:r>
      <w:r>
        <w:rPr>
          <w:color w:val="231F20"/>
          <w:spacing w:val="-14"/>
          <w:sz w:val="20"/>
        </w:rPr>
        <w:t xml:space="preserve"> </w:t>
      </w:r>
      <w:r>
        <w:rPr>
          <w:color w:val="231F20"/>
          <w:sz w:val="20"/>
        </w:rPr>
        <w:t>stalking</w:t>
      </w:r>
      <w:r>
        <w:rPr>
          <w:color w:val="231F20"/>
          <w:spacing w:val="-13"/>
          <w:sz w:val="20"/>
        </w:rPr>
        <w:t xml:space="preserve"> </w:t>
      </w:r>
      <w:r>
        <w:rPr>
          <w:color w:val="231F20"/>
          <w:sz w:val="20"/>
        </w:rPr>
        <w:t>producing</w:t>
      </w:r>
      <w:r>
        <w:rPr>
          <w:color w:val="231F20"/>
          <w:spacing w:val="-13"/>
          <w:sz w:val="20"/>
        </w:rPr>
        <w:t xml:space="preserve"> </w:t>
      </w:r>
      <w:r>
        <w:rPr>
          <w:color w:val="231F20"/>
          <w:spacing w:val="-3"/>
          <w:sz w:val="20"/>
        </w:rPr>
        <w:t>potentially</w:t>
      </w:r>
      <w:r>
        <w:rPr>
          <w:color w:val="231F20"/>
          <w:spacing w:val="-13"/>
          <w:sz w:val="20"/>
        </w:rPr>
        <w:t xml:space="preserve"> </w:t>
      </w:r>
      <w:r>
        <w:rPr>
          <w:color w:val="231F20"/>
          <w:sz w:val="20"/>
        </w:rPr>
        <w:t>devastating</w:t>
      </w:r>
      <w:r>
        <w:rPr>
          <w:color w:val="231F20"/>
          <w:spacing w:val="-13"/>
          <w:sz w:val="20"/>
        </w:rPr>
        <w:t xml:space="preserve"> </w:t>
      </w:r>
      <w:r>
        <w:rPr>
          <w:color w:val="231F20"/>
          <w:sz w:val="20"/>
        </w:rPr>
        <w:t xml:space="preserve">consequences </w:t>
      </w:r>
      <w:r>
        <w:rPr>
          <w:color w:val="231F20"/>
          <w:spacing w:val="-3"/>
          <w:sz w:val="20"/>
        </w:rPr>
        <w:t xml:space="preserve">for </w:t>
      </w:r>
      <w:r>
        <w:rPr>
          <w:color w:val="231F20"/>
          <w:sz w:val="20"/>
        </w:rPr>
        <w:t xml:space="preserve">many child respondents, </w:t>
      </w:r>
      <w:r>
        <w:rPr>
          <w:color w:val="231F20"/>
          <w:spacing w:val="-3"/>
          <w:sz w:val="20"/>
        </w:rPr>
        <w:t xml:space="preserve">we </w:t>
      </w:r>
      <w:r>
        <w:rPr>
          <w:color w:val="231F20"/>
          <w:sz w:val="20"/>
        </w:rPr>
        <w:t xml:space="preserve">consider there is a public </w:t>
      </w:r>
      <w:r>
        <w:rPr>
          <w:color w:val="231F20"/>
          <w:spacing w:val="-3"/>
          <w:sz w:val="20"/>
        </w:rPr>
        <w:t xml:space="preserve">interest </w:t>
      </w:r>
      <w:r>
        <w:rPr>
          <w:color w:val="231F20"/>
          <w:sz w:val="20"/>
        </w:rPr>
        <w:t xml:space="preserve">to consider less punitive (and </w:t>
      </w:r>
      <w:r>
        <w:rPr>
          <w:color w:val="231F20"/>
          <w:spacing w:val="-3"/>
          <w:sz w:val="20"/>
        </w:rPr>
        <w:t xml:space="preserve">arguably </w:t>
      </w:r>
      <w:r>
        <w:rPr>
          <w:color w:val="231F20"/>
          <w:sz w:val="20"/>
        </w:rPr>
        <w:t xml:space="preserve">more </w:t>
      </w:r>
      <w:r>
        <w:rPr>
          <w:color w:val="231F20"/>
          <w:spacing w:val="-3"/>
          <w:sz w:val="20"/>
        </w:rPr>
        <w:t xml:space="preserve">effective) </w:t>
      </w:r>
      <w:r>
        <w:rPr>
          <w:color w:val="231F20"/>
          <w:spacing w:val="-4"/>
          <w:sz w:val="20"/>
        </w:rPr>
        <w:t xml:space="preserve">pathways </w:t>
      </w:r>
      <w:r>
        <w:rPr>
          <w:color w:val="231F20"/>
          <w:spacing w:val="-3"/>
          <w:sz w:val="20"/>
        </w:rPr>
        <w:t xml:space="preserve">for children </w:t>
      </w:r>
      <w:r>
        <w:rPr>
          <w:color w:val="231F20"/>
          <w:sz w:val="20"/>
        </w:rPr>
        <w:t>under 14 years who engage in stalking</w:t>
      </w:r>
      <w:r>
        <w:rPr>
          <w:color w:val="231F20"/>
          <w:spacing w:val="-13"/>
          <w:sz w:val="20"/>
        </w:rPr>
        <w:t xml:space="preserve"> </w:t>
      </w:r>
      <w:r>
        <w:rPr>
          <w:color w:val="231F20"/>
          <w:sz w:val="20"/>
        </w:rPr>
        <w:t>behaviours.</w:t>
      </w:r>
    </w:p>
    <w:p w14:paraId="53DDDDDA" w14:textId="77777777" w:rsidR="00894070" w:rsidRDefault="009B7AFD">
      <w:pPr>
        <w:pStyle w:val="Heading9"/>
        <w:spacing w:before="129"/>
        <w:rPr>
          <w:b/>
        </w:rPr>
      </w:pPr>
      <w:r>
        <w:rPr>
          <w:b/>
          <w:color w:val="4C4D4F"/>
        </w:rPr>
        <w:t>Some concerns were raised about changing the age limit</w:t>
      </w:r>
    </w:p>
    <w:p w14:paraId="0194CD84" w14:textId="77777777" w:rsidR="00894070" w:rsidRDefault="009B7AFD">
      <w:pPr>
        <w:pStyle w:val="ListParagraph"/>
        <w:numPr>
          <w:ilvl w:val="1"/>
          <w:numId w:val="102"/>
        </w:numPr>
        <w:tabs>
          <w:tab w:val="left" w:pos="1801"/>
          <w:tab w:val="left" w:pos="1802"/>
        </w:tabs>
        <w:spacing w:before="132" w:line="206" w:lineRule="auto"/>
        <w:ind w:right="1639"/>
        <w:rPr>
          <w:sz w:val="20"/>
        </w:rPr>
      </w:pPr>
      <w:r>
        <w:rPr>
          <w:color w:val="231F20"/>
          <w:spacing w:val="-6"/>
          <w:sz w:val="20"/>
        </w:rPr>
        <w:t>We</w:t>
      </w:r>
      <w:r>
        <w:rPr>
          <w:color w:val="231F20"/>
          <w:spacing w:val="-8"/>
          <w:sz w:val="20"/>
        </w:rPr>
        <w:t xml:space="preserve"> </w:t>
      </w:r>
      <w:r>
        <w:rPr>
          <w:color w:val="231F20"/>
          <w:spacing w:val="-3"/>
          <w:sz w:val="20"/>
        </w:rPr>
        <w:t>note</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Children’s</w:t>
      </w:r>
      <w:r>
        <w:rPr>
          <w:color w:val="231F20"/>
          <w:spacing w:val="-8"/>
          <w:sz w:val="20"/>
        </w:rPr>
        <w:t xml:space="preserve"> </w:t>
      </w:r>
      <w:r>
        <w:rPr>
          <w:color w:val="231F20"/>
          <w:sz w:val="20"/>
        </w:rPr>
        <w:t>Court’s</w:t>
      </w:r>
      <w:r>
        <w:rPr>
          <w:color w:val="231F20"/>
          <w:spacing w:val="-8"/>
          <w:sz w:val="20"/>
        </w:rPr>
        <w:t xml:space="preserve"> </w:t>
      </w:r>
      <w:r>
        <w:rPr>
          <w:color w:val="231F20"/>
          <w:sz w:val="20"/>
        </w:rPr>
        <w:t>position</w:t>
      </w:r>
      <w:r>
        <w:rPr>
          <w:color w:val="231F20"/>
          <w:spacing w:val="-8"/>
          <w:sz w:val="20"/>
        </w:rPr>
        <w:t xml:space="preserve"> </w:t>
      </w:r>
      <w:r>
        <w:rPr>
          <w:color w:val="231F20"/>
          <w:sz w:val="20"/>
        </w:rPr>
        <w:t>that</w:t>
      </w:r>
      <w:r>
        <w:rPr>
          <w:color w:val="231F20"/>
          <w:spacing w:val="-9"/>
          <w:sz w:val="20"/>
        </w:rPr>
        <w:t xml:space="preserve"> </w:t>
      </w:r>
      <w:r>
        <w:rPr>
          <w:color w:val="231F20"/>
          <w:sz w:val="20"/>
        </w:rPr>
        <w:t>it</w:t>
      </w:r>
      <w:r>
        <w:rPr>
          <w:color w:val="231F20"/>
          <w:spacing w:val="-8"/>
          <w:sz w:val="20"/>
        </w:rPr>
        <w:t xml:space="preserve"> </w:t>
      </w:r>
      <w:r>
        <w:rPr>
          <w:color w:val="231F20"/>
          <w:sz w:val="20"/>
        </w:rPr>
        <w:t>does</w:t>
      </w:r>
      <w:r>
        <w:rPr>
          <w:color w:val="231F20"/>
          <w:spacing w:val="-8"/>
          <w:sz w:val="20"/>
        </w:rPr>
        <w:t xml:space="preserve"> </w:t>
      </w:r>
      <w:r>
        <w:rPr>
          <w:color w:val="231F20"/>
          <w:sz w:val="20"/>
        </w:rPr>
        <w:t>not</w:t>
      </w:r>
      <w:r>
        <w:rPr>
          <w:color w:val="231F20"/>
          <w:spacing w:val="-8"/>
          <w:sz w:val="20"/>
        </w:rPr>
        <w:t xml:space="preserve"> </w:t>
      </w:r>
      <w:r>
        <w:rPr>
          <w:color w:val="231F20"/>
          <w:sz w:val="20"/>
        </w:rPr>
        <w:t>see</w:t>
      </w:r>
      <w:r>
        <w:rPr>
          <w:color w:val="231F20"/>
          <w:spacing w:val="-8"/>
          <w:sz w:val="20"/>
        </w:rPr>
        <w:t xml:space="preserve"> </w:t>
      </w:r>
      <w:r>
        <w:rPr>
          <w:color w:val="231F20"/>
          <w:sz w:val="20"/>
        </w:rPr>
        <w:t>the</w:t>
      </w:r>
      <w:r>
        <w:rPr>
          <w:color w:val="231F20"/>
          <w:spacing w:val="-7"/>
          <w:sz w:val="20"/>
        </w:rPr>
        <w:t xml:space="preserve"> </w:t>
      </w:r>
      <w:r>
        <w:rPr>
          <w:color w:val="231F20"/>
          <w:sz w:val="20"/>
        </w:rPr>
        <w:t>presumption</w:t>
      </w:r>
      <w:r>
        <w:rPr>
          <w:color w:val="231F20"/>
          <w:spacing w:val="-8"/>
          <w:sz w:val="20"/>
        </w:rPr>
        <w:t xml:space="preserve"> </w:t>
      </w:r>
      <w:r>
        <w:rPr>
          <w:color w:val="231F20"/>
          <w:sz w:val="20"/>
        </w:rPr>
        <w:t>of</w:t>
      </w:r>
      <w:r>
        <w:rPr>
          <w:color w:val="231F20"/>
          <w:spacing w:val="-8"/>
          <w:sz w:val="20"/>
        </w:rPr>
        <w:t xml:space="preserve"> </w:t>
      </w:r>
      <w:r>
        <w:rPr>
          <w:i/>
          <w:color w:val="231F20"/>
          <w:sz w:val="20"/>
        </w:rPr>
        <w:t xml:space="preserve">doli incapax </w:t>
      </w:r>
      <w:r>
        <w:rPr>
          <w:color w:val="231F20"/>
          <w:sz w:val="20"/>
        </w:rPr>
        <w:t xml:space="preserve">as </w:t>
      </w:r>
      <w:r>
        <w:rPr>
          <w:color w:val="231F20"/>
          <w:spacing w:val="-3"/>
          <w:sz w:val="20"/>
        </w:rPr>
        <w:t xml:space="preserve">preventing </w:t>
      </w:r>
      <w:r>
        <w:rPr>
          <w:color w:val="231F20"/>
          <w:sz w:val="20"/>
        </w:rPr>
        <w:t xml:space="preserve">the court </w:t>
      </w:r>
      <w:r>
        <w:rPr>
          <w:color w:val="231F20"/>
          <w:spacing w:val="-3"/>
          <w:sz w:val="20"/>
        </w:rPr>
        <w:t xml:space="preserve">from </w:t>
      </w:r>
      <w:r>
        <w:rPr>
          <w:color w:val="231F20"/>
          <w:sz w:val="20"/>
        </w:rPr>
        <w:t xml:space="preserve">considering PSIO applications against those under 14 years. One magistrate </w:t>
      </w:r>
      <w:r>
        <w:rPr>
          <w:color w:val="231F20"/>
          <w:spacing w:val="-3"/>
          <w:sz w:val="20"/>
        </w:rPr>
        <w:t>told</w:t>
      </w:r>
      <w:r>
        <w:rPr>
          <w:color w:val="231F20"/>
          <w:spacing w:val="-27"/>
          <w:sz w:val="20"/>
        </w:rPr>
        <w:t xml:space="preserve"> </w:t>
      </w:r>
      <w:r>
        <w:rPr>
          <w:color w:val="231F20"/>
          <w:sz w:val="20"/>
        </w:rPr>
        <w:t>us:</w:t>
      </w:r>
    </w:p>
    <w:p w14:paraId="449CE1D9" w14:textId="77777777" w:rsidR="00894070" w:rsidRDefault="009B7AFD">
      <w:pPr>
        <w:spacing w:before="122" w:line="208" w:lineRule="auto"/>
        <w:ind w:left="2254" w:right="1261"/>
        <w:rPr>
          <w:sz w:val="11"/>
        </w:rPr>
      </w:pPr>
      <w:r>
        <w:rPr>
          <w:color w:val="231F20"/>
          <w:sz w:val="19"/>
        </w:rPr>
        <w:t>I don’t think I’ve met a child that doesn’t know what an intervention order is—they have a very easy, accessible lens of what an intervention order is—they’ve heard the terms and they do seem to know.</w:t>
      </w:r>
      <w:r>
        <w:rPr>
          <w:color w:val="231F20"/>
          <w:position w:val="6"/>
          <w:sz w:val="11"/>
        </w:rPr>
        <w:t>239</w:t>
      </w:r>
    </w:p>
    <w:p w14:paraId="519111B5" w14:textId="77777777" w:rsidR="00894070" w:rsidRDefault="009B7AFD">
      <w:pPr>
        <w:pStyle w:val="ListParagraph"/>
        <w:numPr>
          <w:ilvl w:val="1"/>
          <w:numId w:val="102"/>
        </w:numPr>
        <w:tabs>
          <w:tab w:val="left" w:pos="1801"/>
          <w:tab w:val="left" w:pos="1802"/>
        </w:tabs>
        <w:spacing w:before="124" w:line="206" w:lineRule="auto"/>
        <w:ind w:right="1207"/>
        <w:rPr>
          <w:sz w:val="11"/>
        </w:rPr>
      </w:pPr>
      <w:r>
        <w:rPr>
          <w:color w:val="231F20"/>
          <w:sz w:val="20"/>
        </w:rPr>
        <w:t>The</w:t>
      </w:r>
      <w:r>
        <w:rPr>
          <w:color w:val="231F20"/>
          <w:spacing w:val="-7"/>
          <w:sz w:val="20"/>
        </w:rPr>
        <w:t xml:space="preserve"> </w:t>
      </w:r>
      <w:r>
        <w:rPr>
          <w:color w:val="231F20"/>
          <w:spacing w:val="-3"/>
          <w:sz w:val="20"/>
        </w:rPr>
        <w:t>Children’s</w:t>
      </w:r>
      <w:r>
        <w:rPr>
          <w:color w:val="231F20"/>
          <w:spacing w:val="-7"/>
          <w:sz w:val="20"/>
        </w:rPr>
        <w:t xml:space="preserve"> </w:t>
      </w:r>
      <w:r>
        <w:rPr>
          <w:color w:val="231F20"/>
          <w:sz w:val="20"/>
        </w:rPr>
        <w:t>Court</w:t>
      </w:r>
      <w:r>
        <w:rPr>
          <w:color w:val="231F20"/>
          <w:spacing w:val="-7"/>
          <w:sz w:val="20"/>
        </w:rPr>
        <w:t xml:space="preserve"> </w:t>
      </w:r>
      <w:r>
        <w:rPr>
          <w:color w:val="231F20"/>
          <w:sz w:val="20"/>
        </w:rPr>
        <w:t>does</w:t>
      </w:r>
      <w:r>
        <w:rPr>
          <w:color w:val="231F20"/>
          <w:spacing w:val="-7"/>
          <w:sz w:val="20"/>
        </w:rPr>
        <w:t xml:space="preserve"> </w:t>
      </w:r>
      <w:r>
        <w:rPr>
          <w:color w:val="231F20"/>
          <w:sz w:val="20"/>
        </w:rPr>
        <w:t>not</w:t>
      </w:r>
      <w:r>
        <w:rPr>
          <w:color w:val="231F20"/>
          <w:spacing w:val="-7"/>
          <w:sz w:val="20"/>
        </w:rPr>
        <w:t xml:space="preserve"> </w:t>
      </w:r>
      <w:r>
        <w:rPr>
          <w:color w:val="231F20"/>
          <w:sz w:val="20"/>
        </w:rPr>
        <w:t>support</w:t>
      </w:r>
      <w:r>
        <w:rPr>
          <w:color w:val="231F20"/>
          <w:spacing w:val="-7"/>
          <w:sz w:val="20"/>
        </w:rPr>
        <w:t xml:space="preserve"> </w:t>
      </w:r>
      <w:r>
        <w:rPr>
          <w:color w:val="231F20"/>
          <w:sz w:val="20"/>
        </w:rPr>
        <w:t>prohibiting</w:t>
      </w:r>
      <w:r>
        <w:rPr>
          <w:color w:val="231F20"/>
          <w:spacing w:val="-7"/>
          <w:sz w:val="20"/>
        </w:rPr>
        <w:t xml:space="preserve"> </w:t>
      </w:r>
      <w:r>
        <w:rPr>
          <w:color w:val="231F20"/>
          <w:sz w:val="20"/>
        </w:rPr>
        <w:t>PSIOs</w:t>
      </w:r>
      <w:r>
        <w:rPr>
          <w:color w:val="231F20"/>
          <w:spacing w:val="-6"/>
          <w:sz w:val="20"/>
        </w:rPr>
        <w:t xml:space="preserve"> </w:t>
      </w:r>
      <w:r>
        <w:rPr>
          <w:color w:val="231F20"/>
          <w:sz w:val="20"/>
        </w:rPr>
        <w:t>under</w:t>
      </w:r>
      <w:r>
        <w:rPr>
          <w:color w:val="231F20"/>
          <w:spacing w:val="-7"/>
          <w:sz w:val="20"/>
        </w:rPr>
        <w:t xml:space="preserve"> </w:t>
      </w:r>
      <w:r>
        <w:rPr>
          <w:color w:val="231F20"/>
          <w:sz w:val="20"/>
        </w:rPr>
        <w:t>the</w:t>
      </w:r>
      <w:r>
        <w:rPr>
          <w:color w:val="231F20"/>
          <w:spacing w:val="-7"/>
          <w:sz w:val="20"/>
        </w:rPr>
        <w:t xml:space="preserve"> </w:t>
      </w:r>
      <w:r>
        <w:rPr>
          <w:color w:val="231F20"/>
          <w:sz w:val="20"/>
        </w:rPr>
        <w:t>age</w:t>
      </w:r>
      <w:r>
        <w:rPr>
          <w:color w:val="231F20"/>
          <w:spacing w:val="-7"/>
          <w:sz w:val="20"/>
        </w:rPr>
        <w:t xml:space="preserve"> </w:t>
      </w:r>
      <w:r>
        <w:rPr>
          <w:color w:val="231F20"/>
          <w:sz w:val="20"/>
        </w:rPr>
        <w:t>of</w:t>
      </w:r>
      <w:r>
        <w:rPr>
          <w:color w:val="231F20"/>
          <w:spacing w:val="-7"/>
          <w:sz w:val="20"/>
        </w:rPr>
        <w:t xml:space="preserve"> </w:t>
      </w:r>
      <w:r>
        <w:rPr>
          <w:color w:val="231F20"/>
          <w:spacing w:val="2"/>
          <w:sz w:val="20"/>
        </w:rPr>
        <w:t>14.</w:t>
      </w:r>
      <w:r>
        <w:rPr>
          <w:color w:val="231F20"/>
          <w:spacing w:val="-7"/>
          <w:sz w:val="20"/>
        </w:rPr>
        <w:t xml:space="preserve"> </w:t>
      </w:r>
      <w:r>
        <w:rPr>
          <w:color w:val="231F20"/>
          <w:sz w:val="20"/>
        </w:rPr>
        <w:t>In</w:t>
      </w:r>
      <w:r>
        <w:rPr>
          <w:color w:val="231F20"/>
          <w:spacing w:val="-7"/>
          <w:sz w:val="20"/>
        </w:rPr>
        <w:t xml:space="preserve"> </w:t>
      </w:r>
      <w:r>
        <w:rPr>
          <w:color w:val="231F20"/>
          <w:sz w:val="20"/>
        </w:rPr>
        <w:t>its</w:t>
      </w:r>
      <w:r>
        <w:rPr>
          <w:color w:val="231F20"/>
          <w:spacing w:val="-7"/>
          <w:sz w:val="20"/>
        </w:rPr>
        <w:t xml:space="preserve"> </w:t>
      </w:r>
      <w:r>
        <w:rPr>
          <w:color w:val="231F20"/>
          <w:spacing w:val="-5"/>
          <w:sz w:val="20"/>
        </w:rPr>
        <w:t xml:space="preserve">view, </w:t>
      </w:r>
      <w:r>
        <w:rPr>
          <w:color w:val="231F20"/>
          <w:sz w:val="20"/>
        </w:rPr>
        <w:t>serious</w:t>
      </w:r>
      <w:r>
        <w:rPr>
          <w:color w:val="231F20"/>
          <w:spacing w:val="-7"/>
          <w:sz w:val="20"/>
        </w:rPr>
        <w:t xml:space="preserve"> </w:t>
      </w:r>
      <w:r>
        <w:rPr>
          <w:color w:val="231F20"/>
          <w:sz w:val="20"/>
        </w:rPr>
        <w:t>questions</w:t>
      </w:r>
      <w:r>
        <w:rPr>
          <w:color w:val="231F20"/>
          <w:spacing w:val="-7"/>
          <w:sz w:val="20"/>
        </w:rPr>
        <w:t xml:space="preserve"> </w:t>
      </w:r>
      <w:r>
        <w:rPr>
          <w:color w:val="231F20"/>
          <w:sz w:val="20"/>
        </w:rPr>
        <w:t>of</w:t>
      </w:r>
      <w:r>
        <w:rPr>
          <w:color w:val="231F20"/>
          <w:spacing w:val="-7"/>
          <w:sz w:val="20"/>
        </w:rPr>
        <w:t xml:space="preserve"> </w:t>
      </w:r>
      <w:r>
        <w:rPr>
          <w:color w:val="231F20"/>
          <w:sz w:val="20"/>
        </w:rPr>
        <w:t>safety</w:t>
      </w:r>
      <w:r>
        <w:rPr>
          <w:color w:val="231F20"/>
          <w:spacing w:val="-7"/>
          <w:sz w:val="20"/>
        </w:rPr>
        <w:t xml:space="preserve"> </w:t>
      </w:r>
      <w:r>
        <w:rPr>
          <w:color w:val="231F20"/>
          <w:sz w:val="20"/>
        </w:rPr>
        <w:t>do</w:t>
      </w:r>
      <w:r>
        <w:rPr>
          <w:color w:val="231F20"/>
          <w:spacing w:val="-7"/>
          <w:sz w:val="20"/>
        </w:rPr>
        <w:t xml:space="preserve"> </w:t>
      </w:r>
      <w:r>
        <w:rPr>
          <w:color w:val="231F20"/>
          <w:sz w:val="20"/>
        </w:rPr>
        <w:t>arise</w:t>
      </w:r>
      <w:r>
        <w:rPr>
          <w:color w:val="231F20"/>
          <w:spacing w:val="-7"/>
          <w:sz w:val="20"/>
        </w:rPr>
        <w:t xml:space="preserve"> </w:t>
      </w:r>
      <w:r>
        <w:rPr>
          <w:color w:val="231F20"/>
          <w:sz w:val="20"/>
        </w:rPr>
        <w:t>in</w:t>
      </w:r>
      <w:r>
        <w:rPr>
          <w:color w:val="231F20"/>
          <w:spacing w:val="-7"/>
          <w:sz w:val="20"/>
        </w:rPr>
        <w:t xml:space="preserve"> </w:t>
      </w:r>
      <w:r>
        <w:rPr>
          <w:color w:val="231F20"/>
          <w:sz w:val="20"/>
        </w:rPr>
        <w:t>this</w:t>
      </w:r>
      <w:r>
        <w:rPr>
          <w:color w:val="231F20"/>
          <w:spacing w:val="-7"/>
          <w:sz w:val="20"/>
        </w:rPr>
        <w:t xml:space="preserve"> </w:t>
      </w:r>
      <w:r>
        <w:rPr>
          <w:color w:val="231F20"/>
          <w:sz w:val="20"/>
        </w:rPr>
        <w:t>cohort,</w:t>
      </w:r>
      <w:r>
        <w:rPr>
          <w:color w:val="231F20"/>
          <w:spacing w:val="-6"/>
          <w:sz w:val="20"/>
        </w:rPr>
        <w:t xml:space="preserve"> </w:t>
      </w:r>
      <w:r>
        <w:rPr>
          <w:color w:val="231F20"/>
          <w:sz w:val="20"/>
        </w:rPr>
        <w:t>and</w:t>
      </w:r>
      <w:r>
        <w:rPr>
          <w:color w:val="231F20"/>
          <w:spacing w:val="-7"/>
          <w:sz w:val="20"/>
        </w:rPr>
        <w:t xml:space="preserve"> </w:t>
      </w:r>
      <w:r>
        <w:rPr>
          <w:color w:val="231F20"/>
          <w:spacing w:val="-3"/>
          <w:sz w:val="20"/>
        </w:rPr>
        <w:t>interim</w:t>
      </w:r>
      <w:r>
        <w:rPr>
          <w:color w:val="231F20"/>
          <w:spacing w:val="-7"/>
          <w:sz w:val="20"/>
        </w:rPr>
        <w:t xml:space="preserve"> </w:t>
      </w:r>
      <w:r>
        <w:rPr>
          <w:color w:val="231F20"/>
          <w:sz w:val="20"/>
        </w:rPr>
        <w:t>PSIOs</w:t>
      </w:r>
      <w:r>
        <w:rPr>
          <w:color w:val="231F20"/>
          <w:spacing w:val="-7"/>
          <w:sz w:val="20"/>
        </w:rPr>
        <w:t xml:space="preserve"> </w:t>
      </w:r>
      <w:r>
        <w:rPr>
          <w:color w:val="231F20"/>
          <w:spacing w:val="-3"/>
          <w:sz w:val="20"/>
        </w:rPr>
        <w:t>are</w:t>
      </w:r>
      <w:r>
        <w:rPr>
          <w:color w:val="231F20"/>
          <w:spacing w:val="-7"/>
          <w:sz w:val="20"/>
        </w:rPr>
        <w:t xml:space="preserve"> </w:t>
      </w:r>
      <w:r>
        <w:rPr>
          <w:color w:val="231F20"/>
          <w:sz w:val="20"/>
        </w:rPr>
        <w:t>one</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pacing w:val="-4"/>
          <w:sz w:val="20"/>
        </w:rPr>
        <w:t xml:space="preserve">few </w:t>
      </w:r>
      <w:r>
        <w:rPr>
          <w:color w:val="231F20"/>
          <w:sz w:val="20"/>
        </w:rPr>
        <w:t xml:space="preserve">tools available to </w:t>
      </w:r>
      <w:r>
        <w:rPr>
          <w:color w:val="231F20"/>
          <w:spacing w:val="-3"/>
          <w:sz w:val="20"/>
        </w:rPr>
        <w:t xml:space="preserve">protect </w:t>
      </w:r>
      <w:r>
        <w:rPr>
          <w:color w:val="231F20"/>
          <w:sz w:val="20"/>
        </w:rPr>
        <w:t>those who might be at</w:t>
      </w:r>
      <w:r>
        <w:rPr>
          <w:color w:val="231F20"/>
          <w:spacing w:val="-36"/>
          <w:sz w:val="20"/>
        </w:rPr>
        <w:t xml:space="preserve"> </w:t>
      </w:r>
      <w:r>
        <w:rPr>
          <w:color w:val="231F20"/>
          <w:sz w:val="20"/>
        </w:rPr>
        <w:t>risk.</w:t>
      </w:r>
      <w:r>
        <w:rPr>
          <w:color w:val="231F20"/>
          <w:position w:val="7"/>
          <w:sz w:val="11"/>
        </w:rPr>
        <w:t>240</w:t>
      </w:r>
    </w:p>
    <w:p w14:paraId="456123D2" w14:textId="77777777" w:rsidR="00894070" w:rsidRDefault="00894070">
      <w:pPr>
        <w:pStyle w:val="BodyText"/>
      </w:pPr>
    </w:p>
    <w:p w14:paraId="3AA80BAD" w14:textId="77777777" w:rsidR="00894070" w:rsidRDefault="009F6793">
      <w:pPr>
        <w:pStyle w:val="BodyText"/>
        <w:spacing w:before="12"/>
        <w:rPr>
          <w:sz w:val="28"/>
        </w:rPr>
      </w:pPr>
      <w:r>
        <w:pict w14:anchorId="0BD48C20">
          <v:line id="_x0000_s1261" style="position:absolute;z-index:251705344;mso-wrap-distance-left:0;mso-wrap-distance-right:0;mso-position-horizontal-relative:page" from="79.35pt,22.5pt" to="515.9pt,22.5pt" strokecolor="#f8cabc" strokeweight="1pt">
            <w10:wrap type="topAndBottom" anchorx="page"/>
          </v:line>
        </w:pict>
      </w:r>
    </w:p>
    <w:p w14:paraId="5BD4C443" w14:textId="77777777" w:rsidR="00894070" w:rsidRDefault="00894070">
      <w:pPr>
        <w:pStyle w:val="BodyText"/>
        <w:rPr>
          <w:sz w:val="5"/>
        </w:rPr>
      </w:pPr>
    </w:p>
    <w:p w14:paraId="0C7A2512" w14:textId="77777777" w:rsidR="00894070" w:rsidRDefault="00894070">
      <w:pPr>
        <w:rPr>
          <w:sz w:val="5"/>
        </w:rPr>
        <w:sectPr w:rsidR="00894070">
          <w:pgSz w:w="11910" w:h="16840"/>
          <w:pgMar w:top="840" w:right="420" w:bottom="280" w:left="580" w:header="0" w:footer="0" w:gutter="0"/>
          <w:cols w:space="720"/>
        </w:sectPr>
      </w:pPr>
    </w:p>
    <w:p w14:paraId="44ECD824" w14:textId="77777777" w:rsidR="00894070" w:rsidRDefault="009B7AFD">
      <w:pPr>
        <w:pStyle w:val="ListParagraph"/>
        <w:numPr>
          <w:ilvl w:val="0"/>
          <w:numId w:val="76"/>
        </w:numPr>
        <w:tabs>
          <w:tab w:val="left" w:pos="1801"/>
          <w:tab w:val="left" w:pos="1802"/>
        </w:tabs>
        <w:spacing w:before="21" w:line="170" w:lineRule="exact"/>
        <w:rPr>
          <w:sz w:val="13"/>
        </w:rPr>
      </w:pPr>
      <w:r>
        <w:rPr>
          <w:color w:val="231F20"/>
          <w:sz w:val="13"/>
        </w:rPr>
        <w:t xml:space="preserve">Sentencing Advisory Council (Vic), </w:t>
      </w:r>
      <w:r>
        <w:rPr>
          <w:i/>
          <w:color w:val="231F20"/>
          <w:sz w:val="13"/>
        </w:rPr>
        <w:t xml:space="preserve">Sentencing Children and Young People in Victoria </w:t>
      </w:r>
      <w:r>
        <w:rPr>
          <w:color w:val="231F20"/>
          <w:spacing w:val="2"/>
          <w:sz w:val="13"/>
        </w:rPr>
        <w:t xml:space="preserve">(Report, </w:t>
      </w:r>
      <w:r>
        <w:rPr>
          <w:color w:val="231F20"/>
          <w:sz w:val="13"/>
        </w:rPr>
        <w:t>April 2012)</w:t>
      </w:r>
      <w:r>
        <w:rPr>
          <w:color w:val="231F20"/>
          <w:spacing w:val="26"/>
          <w:sz w:val="13"/>
        </w:rPr>
        <w:t xml:space="preserve"> </w:t>
      </w:r>
      <w:r>
        <w:rPr>
          <w:color w:val="231F20"/>
          <w:spacing w:val="2"/>
          <w:sz w:val="13"/>
        </w:rPr>
        <w:t>11.</w:t>
      </w:r>
    </w:p>
    <w:p w14:paraId="4D2CA42F" w14:textId="77777777" w:rsidR="00894070" w:rsidRDefault="009B7AFD">
      <w:pPr>
        <w:pStyle w:val="ListParagraph"/>
        <w:numPr>
          <w:ilvl w:val="0"/>
          <w:numId w:val="76"/>
        </w:numPr>
        <w:tabs>
          <w:tab w:val="left" w:pos="1801"/>
          <w:tab w:val="left" w:pos="1802"/>
        </w:tabs>
        <w:spacing w:before="7" w:line="213" w:lineRule="auto"/>
        <w:rPr>
          <w:sz w:val="13"/>
        </w:rPr>
      </w:pPr>
      <w:r>
        <w:rPr>
          <w:color w:val="231F20"/>
          <w:sz w:val="13"/>
        </w:rPr>
        <w:t xml:space="preserve">The Sentencing Advisory Council explains that ‘ultimately, the assumption [underlying the concept of deterrence] that child offenders make a rational choice to engage in a </w:t>
      </w:r>
      <w:r>
        <w:rPr>
          <w:color w:val="231F20"/>
          <w:spacing w:val="2"/>
          <w:sz w:val="13"/>
        </w:rPr>
        <w:t xml:space="preserve">particular </w:t>
      </w:r>
      <w:r>
        <w:rPr>
          <w:color w:val="231F20"/>
          <w:sz w:val="13"/>
        </w:rPr>
        <w:t xml:space="preserve">course of conduct does not sit well with … the research on adolescent brain development … Children are </w:t>
      </w:r>
      <w:r>
        <w:rPr>
          <w:color w:val="231F20"/>
          <w:spacing w:val="2"/>
          <w:sz w:val="13"/>
        </w:rPr>
        <w:t xml:space="preserve">assumed </w:t>
      </w:r>
      <w:r>
        <w:rPr>
          <w:color w:val="231F20"/>
          <w:sz w:val="13"/>
        </w:rPr>
        <w:t xml:space="preserve">to “lack the degree of insight, </w:t>
      </w:r>
      <w:r>
        <w:rPr>
          <w:color w:val="231F20"/>
          <w:spacing w:val="2"/>
          <w:sz w:val="13"/>
        </w:rPr>
        <w:t xml:space="preserve">judgement </w:t>
      </w:r>
      <w:r>
        <w:rPr>
          <w:color w:val="231F20"/>
          <w:sz w:val="13"/>
        </w:rPr>
        <w:t xml:space="preserve">and self-control that is </w:t>
      </w:r>
      <w:r>
        <w:rPr>
          <w:color w:val="231F20"/>
          <w:spacing w:val="2"/>
          <w:sz w:val="13"/>
        </w:rPr>
        <w:t xml:space="preserve">possessed” </w:t>
      </w:r>
      <w:r>
        <w:rPr>
          <w:color w:val="231F20"/>
          <w:sz w:val="13"/>
        </w:rPr>
        <w:t xml:space="preserve">by     adult (rational) persons and may act impulsively “on the ‘spur of the </w:t>
      </w:r>
      <w:r>
        <w:rPr>
          <w:color w:val="231F20"/>
          <w:spacing w:val="2"/>
          <w:sz w:val="13"/>
        </w:rPr>
        <w:t xml:space="preserve">moment’” </w:t>
      </w:r>
      <w:r>
        <w:rPr>
          <w:color w:val="231F20"/>
          <w:sz w:val="13"/>
        </w:rPr>
        <w:t>without weighing up the consequences of their actions’:</w:t>
      </w:r>
      <w:r>
        <w:rPr>
          <w:color w:val="231F20"/>
          <w:spacing w:val="5"/>
          <w:sz w:val="13"/>
        </w:rPr>
        <w:t xml:space="preserve"> </w:t>
      </w:r>
      <w:r>
        <w:rPr>
          <w:color w:val="231F20"/>
          <w:sz w:val="13"/>
        </w:rPr>
        <w:t>ibid</w:t>
      </w:r>
      <w:r>
        <w:rPr>
          <w:color w:val="231F20"/>
          <w:spacing w:val="5"/>
          <w:sz w:val="13"/>
        </w:rPr>
        <w:t xml:space="preserve"> </w:t>
      </w:r>
      <w:r>
        <w:rPr>
          <w:color w:val="231F20"/>
          <w:sz w:val="13"/>
        </w:rPr>
        <w:t>60–1</w:t>
      </w:r>
      <w:r>
        <w:rPr>
          <w:color w:val="231F20"/>
          <w:spacing w:val="6"/>
          <w:sz w:val="13"/>
        </w:rPr>
        <w:t xml:space="preserve"> </w:t>
      </w:r>
      <w:r>
        <w:rPr>
          <w:color w:val="231F20"/>
          <w:sz w:val="13"/>
        </w:rPr>
        <w:t>(citations</w:t>
      </w:r>
      <w:r>
        <w:rPr>
          <w:color w:val="231F20"/>
          <w:spacing w:val="5"/>
          <w:sz w:val="13"/>
        </w:rPr>
        <w:t xml:space="preserve"> </w:t>
      </w:r>
      <w:r>
        <w:rPr>
          <w:color w:val="231F20"/>
          <w:sz w:val="13"/>
        </w:rPr>
        <w:t>omitted).</w:t>
      </w:r>
      <w:r>
        <w:rPr>
          <w:color w:val="231F20"/>
          <w:spacing w:val="6"/>
          <w:sz w:val="13"/>
        </w:rPr>
        <w:t xml:space="preserve"> </w:t>
      </w:r>
      <w:r>
        <w:rPr>
          <w:color w:val="231F20"/>
          <w:sz w:val="13"/>
        </w:rPr>
        <w:t>See</w:t>
      </w:r>
      <w:r>
        <w:rPr>
          <w:color w:val="231F20"/>
          <w:spacing w:val="5"/>
          <w:sz w:val="13"/>
        </w:rPr>
        <w:t xml:space="preserve"> </w:t>
      </w:r>
      <w:r>
        <w:rPr>
          <w:color w:val="231F20"/>
          <w:spacing w:val="2"/>
          <w:sz w:val="13"/>
        </w:rPr>
        <w:t>also</w:t>
      </w:r>
      <w:r>
        <w:rPr>
          <w:color w:val="231F20"/>
          <w:spacing w:val="5"/>
          <w:sz w:val="13"/>
        </w:rPr>
        <w:t xml:space="preserve"> </w:t>
      </w:r>
      <w:r>
        <w:rPr>
          <w:color w:val="231F20"/>
          <w:sz w:val="13"/>
        </w:rPr>
        <w:t>Andrew</w:t>
      </w:r>
      <w:r>
        <w:rPr>
          <w:color w:val="231F20"/>
          <w:spacing w:val="6"/>
          <w:sz w:val="13"/>
        </w:rPr>
        <w:t xml:space="preserve"> </w:t>
      </w:r>
      <w:r>
        <w:rPr>
          <w:color w:val="231F20"/>
          <w:spacing w:val="2"/>
          <w:sz w:val="13"/>
        </w:rPr>
        <w:t>McGrath,</w:t>
      </w:r>
      <w:r>
        <w:rPr>
          <w:color w:val="231F20"/>
          <w:spacing w:val="5"/>
          <w:sz w:val="13"/>
        </w:rPr>
        <w:t xml:space="preserve"> </w:t>
      </w:r>
      <w:r>
        <w:rPr>
          <w:color w:val="231F20"/>
          <w:sz w:val="13"/>
        </w:rPr>
        <w:t>‘Offenders’</w:t>
      </w:r>
      <w:r>
        <w:rPr>
          <w:color w:val="231F20"/>
          <w:spacing w:val="6"/>
          <w:sz w:val="13"/>
        </w:rPr>
        <w:t xml:space="preserve"> </w:t>
      </w:r>
      <w:r>
        <w:rPr>
          <w:color w:val="231F20"/>
          <w:sz w:val="13"/>
        </w:rPr>
        <w:t>Perceptions</w:t>
      </w:r>
      <w:r>
        <w:rPr>
          <w:color w:val="231F20"/>
          <w:spacing w:val="5"/>
          <w:sz w:val="13"/>
        </w:rPr>
        <w:t xml:space="preserve"> </w:t>
      </w:r>
      <w:r>
        <w:rPr>
          <w:color w:val="231F20"/>
          <w:sz w:val="13"/>
        </w:rPr>
        <w:t>of</w:t>
      </w:r>
      <w:r>
        <w:rPr>
          <w:color w:val="231F20"/>
          <w:spacing w:val="5"/>
          <w:sz w:val="13"/>
        </w:rPr>
        <w:t xml:space="preserve"> </w:t>
      </w:r>
      <w:r>
        <w:rPr>
          <w:color w:val="231F20"/>
          <w:sz w:val="13"/>
        </w:rPr>
        <w:t>the</w:t>
      </w:r>
      <w:r>
        <w:rPr>
          <w:color w:val="231F20"/>
          <w:spacing w:val="6"/>
          <w:sz w:val="13"/>
        </w:rPr>
        <w:t xml:space="preserve"> </w:t>
      </w:r>
      <w:r>
        <w:rPr>
          <w:color w:val="231F20"/>
          <w:sz w:val="13"/>
        </w:rPr>
        <w:t>Sentencing</w:t>
      </w:r>
      <w:r>
        <w:rPr>
          <w:color w:val="231F20"/>
          <w:spacing w:val="5"/>
          <w:sz w:val="13"/>
        </w:rPr>
        <w:t xml:space="preserve"> </w:t>
      </w:r>
      <w:r>
        <w:rPr>
          <w:color w:val="231F20"/>
          <w:sz w:val="13"/>
        </w:rPr>
        <w:t>Process:</w:t>
      </w:r>
      <w:r>
        <w:rPr>
          <w:color w:val="231F20"/>
          <w:spacing w:val="6"/>
          <w:sz w:val="13"/>
        </w:rPr>
        <w:t xml:space="preserve"> </w:t>
      </w:r>
      <w:r>
        <w:rPr>
          <w:color w:val="231F20"/>
          <w:sz w:val="13"/>
        </w:rPr>
        <w:t>A</w:t>
      </w:r>
      <w:r>
        <w:rPr>
          <w:color w:val="231F20"/>
          <w:spacing w:val="5"/>
          <w:sz w:val="13"/>
        </w:rPr>
        <w:t xml:space="preserve"> </w:t>
      </w:r>
      <w:r>
        <w:rPr>
          <w:color w:val="231F20"/>
          <w:sz w:val="13"/>
        </w:rPr>
        <w:t>Study</w:t>
      </w:r>
    </w:p>
    <w:p w14:paraId="44A38760" w14:textId="77777777" w:rsidR="00894070" w:rsidRDefault="009B7AFD">
      <w:pPr>
        <w:spacing w:line="213" w:lineRule="auto"/>
        <w:ind w:left="1801"/>
        <w:rPr>
          <w:sz w:val="13"/>
        </w:rPr>
      </w:pPr>
      <w:r>
        <w:rPr>
          <w:color w:val="231F20"/>
          <w:sz w:val="13"/>
        </w:rPr>
        <w:t xml:space="preserve">of Deterrence and Stigmatisation in the New South Wales Children’s Court’ (2009) 42(1) </w:t>
      </w:r>
      <w:r>
        <w:rPr>
          <w:i/>
          <w:color w:val="231F20"/>
          <w:sz w:val="13"/>
        </w:rPr>
        <w:t xml:space="preserve">Australian and New Zealand Journal of Criminology </w:t>
      </w:r>
      <w:r>
        <w:rPr>
          <w:color w:val="231F20"/>
          <w:sz w:val="13"/>
        </w:rPr>
        <w:t>24, 42 (‘while a court appearance does appear to have some deterrent effect [on youth offenders], it also has the potential to exacerbate subsequent offending by stigmatising individual offenders’).</w:t>
      </w:r>
    </w:p>
    <w:p w14:paraId="508D41B8" w14:textId="77777777" w:rsidR="00894070" w:rsidRDefault="009B7AFD">
      <w:pPr>
        <w:pStyle w:val="ListParagraph"/>
        <w:numPr>
          <w:ilvl w:val="0"/>
          <w:numId w:val="76"/>
        </w:numPr>
        <w:tabs>
          <w:tab w:val="left" w:pos="1800"/>
          <w:tab w:val="left" w:pos="1802"/>
        </w:tabs>
        <w:spacing w:line="152" w:lineRule="exact"/>
        <w:rPr>
          <w:sz w:val="13"/>
        </w:rPr>
      </w:pPr>
      <w:r>
        <w:rPr>
          <w:color w:val="231F20"/>
          <w:sz w:val="13"/>
        </w:rPr>
        <w:t>Sentencing</w:t>
      </w:r>
      <w:r>
        <w:rPr>
          <w:color w:val="231F20"/>
          <w:spacing w:val="10"/>
          <w:sz w:val="13"/>
        </w:rPr>
        <w:t xml:space="preserve"> </w:t>
      </w:r>
      <w:r>
        <w:rPr>
          <w:color w:val="231F20"/>
          <w:sz w:val="13"/>
        </w:rPr>
        <w:t>Advisory</w:t>
      </w:r>
      <w:r>
        <w:rPr>
          <w:color w:val="231F20"/>
          <w:spacing w:val="10"/>
          <w:sz w:val="13"/>
        </w:rPr>
        <w:t xml:space="preserve"> </w:t>
      </w:r>
      <w:r>
        <w:rPr>
          <w:color w:val="231F20"/>
          <w:sz w:val="13"/>
        </w:rPr>
        <w:t>Council</w:t>
      </w:r>
      <w:r>
        <w:rPr>
          <w:color w:val="231F20"/>
          <w:spacing w:val="10"/>
          <w:sz w:val="13"/>
        </w:rPr>
        <w:t xml:space="preserve"> </w:t>
      </w:r>
      <w:r>
        <w:rPr>
          <w:color w:val="231F20"/>
          <w:sz w:val="13"/>
        </w:rPr>
        <w:t>(Vic),</w:t>
      </w:r>
      <w:r>
        <w:rPr>
          <w:color w:val="231F20"/>
          <w:spacing w:val="9"/>
          <w:sz w:val="13"/>
        </w:rPr>
        <w:t xml:space="preserve"> </w:t>
      </w:r>
      <w:r>
        <w:rPr>
          <w:i/>
          <w:color w:val="231F20"/>
          <w:sz w:val="13"/>
        </w:rPr>
        <w:t>Sentencing</w:t>
      </w:r>
      <w:r>
        <w:rPr>
          <w:i/>
          <w:color w:val="231F20"/>
          <w:spacing w:val="10"/>
          <w:sz w:val="13"/>
        </w:rPr>
        <w:t xml:space="preserve"> </w:t>
      </w:r>
      <w:r>
        <w:rPr>
          <w:i/>
          <w:color w:val="231F20"/>
          <w:sz w:val="13"/>
        </w:rPr>
        <w:t>Breaches</w:t>
      </w:r>
      <w:r>
        <w:rPr>
          <w:i/>
          <w:color w:val="231F20"/>
          <w:spacing w:val="9"/>
          <w:sz w:val="13"/>
        </w:rPr>
        <w:t xml:space="preserve"> </w:t>
      </w:r>
      <w:r>
        <w:rPr>
          <w:i/>
          <w:color w:val="231F20"/>
          <w:sz w:val="13"/>
        </w:rPr>
        <w:t>of</w:t>
      </w:r>
      <w:r>
        <w:rPr>
          <w:i/>
          <w:color w:val="231F20"/>
          <w:spacing w:val="10"/>
          <w:sz w:val="13"/>
        </w:rPr>
        <w:t xml:space="preserve"> </w:t>
      </w:r>
      <w:r>
        <w:rPr>
          <w:i/>
          <w:color w:val="231F20"/>
          <w:sz w:val="13"/>
        </w:rPr>
        <w:t>Personal</w:t>
      </w:r>
      <w:r>
        <w:rPr>
          <w:i/>
          <w:color w:val="231F20"/>
          <w:spacing w:val="10"/>
          <w:sz w:val="13"/>
        </w:rPr>
        <w:t xml:space="preserve"> </w:t>
      </w:r>
      <w:r>
        <w:rPr>
          <w:i/>
          <w:color w:val="231F20"/>
          <w:sz w:val="13"/>
        </w:rPr>
        <w:t>Safety</w:t>
      </w:r>
      <w:r>
        <w:rPr>
          <w:i/>
          <w:color w:val="231F20"/>
          <w:spacing w:val="10"/>
          <w:sz w:val="13"/>
        </w:rPr>
        <w:t xml:space="preserve"> </w:t>
      </w:r>
      <w:r>
        <w:rPr>
          <w:i/>
          <w:color w:val="231F20"/>
          <w:sz w:val="13"/>
        </w:rPr>
        <w:t>Intervention</w:t>
      </w:r>
      <w:r>
        <w:rPr>
          <w:i/>
          <w:color w:val="231F20"/>
          <w:spacing w:val="10"/>
          <w:sz w:val="13"/>
        </w:rPr>
        <w:t xml:space="preserve"> </w:t>
      </w:r>
      <w:r>
        <w:rPr>
          <w:i/>
          <w:color w:val="231F20"/>
          <w:sz w:val="13"/>
        </w:rPr>
        <w:t>Orders</w:t>
      </w:r>
      <w:r>
        <w:rPr>
          <w:i/>
          <w:color w:val="231F20"/>
          <w:spacing w:val="10"/>
          <w:sz w:val="13"/>
        </w:rPr>
        <w:t xml:space="preserve"> </w:t>
      </w:r>
      <w:r>
        <w:rPr>
          <w:i/>
          <w:color w:val="231F20"/>
          <w:sz w:val="13"/>
        </w:rPr>
        <w:t>in</w:t>
      </w:r>
      <w:r>
        <w:rPr>
          <w:i/>
          <w:color w:val="231F20"/>
          <w:spacing w:val="10"/>
          <w:sz w:val="13"/>
        </w:rPr>
        <w:t xml:space="preserve"> </w:t>
      </w:r>
      <w:r>
        <w:rPr>
          <w:i/>
          <w:color w:val="231F20"/>
          <w:sz w:val="13"/>
        </w:rPr>
        <w:t>Victoria</w:t>
      </w:r>
      <w:r>
        <w:rPr>
          <w:i/>
          <w:color w:val="231F20"/>
          <w:spacing w:val="10"/>
          <w:sz w:val="13"/>
        </w:rPr>
        <w:t xml:space="preserve"> </w:t>
      </w:r>
      <w:r>
        <w:rPr>
          <w:color w:val="231F20"/>
          <w:spacing w:val="2"/>
          <w:sz w:val="13"/>
        </w:rPr>
        <w:t>(Report,</w:t>
      </w:r>
      <w:r>
        <w:rPr>
          <w:color w:val="231F20"/>
          <w:spacing w:val="10"/>
          <w:sz w:val="13"/>
        </w:rPr>
        <w:t xml:space="preserve"> </w:t>
      </w:r>
      <w:r>
        <w:rPr>
          <w:color w:val="231F20"/>
          <w:sz w:val="13"/>
        </w:rPr>
        <w:t>February</w:t>
      </w:r>
      <w:r>
        <w:rPr>
          <w:color w:val="231F20"/>
          <w:spacing w:val="10"/>
          <w:sz w:val="13"/>
        </w:rPr>
        <w:t xml:space="preserve"> </w:t>
      </w:r>
      <w:r>
        <w:rPr>
          <w:color w:val="231F20"/>
          <w:sz w:val="13"/>
        </w:rPr>
        <w:t>2022)</w:t>
      </w:r>
    </w:p>
    <w:p w14:paraId="561F137F" w14:textId="77777777" w:rsidR="00894070" w:rsidRDefault="009B7AFD">
      <w:pPr>
        <w:spacing w:line="160" w:lineRule="exact"/>
        <w:ind w:left="1801"/>
        <w:rPr>
          <w:sz w:val="13"/>
        </w:rPr>
      </w:pPr>
      <w:r>
        <w:rPr>
          <w:color w:val="231F20"/>
          <w:sz w:val="13"/>
        </w:rPr>
        <w:t>15.</w:t>
      </w:r>
    </w:p>
    <w:p w14:paraId="013BDF4F" w14:textId="77777777" w:rsidR="00894070" w:rsidRDefault="009B7AFD">
      <w:pPr>
        <w:pStyle w:val="ListParagraph"/>
        <w:numPr>
          <w:ilvl w:val="0"/>
          <w:numId w:val="75"/>
        </w:numPr>
        <w:tabs>
          <w:tab w:val="left" w:pos="1801"/>
          <w:tab w:val="left" w:pos="1802"/>
        </w:tabs>
        <w:spacing w:line="160" w:lineRule="exact"/>
        <w:jc w:val="left"/>
        <w:rPr>
          <w:sz w:val="13"/>
        </w:rPr>
      </w:pPr>
      <w:r>
        <w:rPr>
          <w:i/>
          <w:color w:val="231F20"/>
          <w:sz w:val="13"/>
        </w:rPr>
        <w:t xml:space="preserve">Personal Safety Intervention Orders Act 2010 </w:t>
      </w:r>
      <w:r>
        <w:rPr>
          <w:color w:val="231F20"/>
          <w:sz w:val="13"/>
        </w:rPr>
        <w:t>(Vic) s</w:t>
      </w:r>
      <w:r>
        <w:rPr>
          <w:color w:val="231F20"/>
          <w:spacing w:val="3"/>
          <w:sz w:val="13"/>
        </w:rPr>
        <w:t xml:space="preserve"> </w:t>
      </w:r>
      <w:r>
        <w:rPr>
          <w:color w:val="231F20"/>
          <w:sz w:val="13"/>
        </w:rPr>
        <w:t>67.</w:t>
      </w:r>
    </w:p>
    <w:p w14:paraId="70F289F3" w14:textId="77777777" w:rsidR="00894070" w:rsidRDefault="009B7AFD">
      <w:pPr>
        <w:pStyle w:val="ListParagraph"/>
        <w:numPr>
          <w:ilvl w:val="0"/>
          <w:numId w:val="75"/>
        </w:numPr>
        <w:tabs>
          <w:tab w:val="left" w:pos="1801"/>
          <w:tab w:val="left" w:pos="1802"/>
        </w:tabs>
        <w:spacing w:line="160" w:lineRule="exact"/>
        <w:jc w:val="left"/>
        <w:rPr>
          <w:sz w:val="13"/>
        </w:rPr>
      </w:pPr>
      <w:r>
        <w:rPr>
          <w:color w:val="231F20"/>
          <w:sz w:val="13"/>
        </w:rPr>
        <w:t>Consultation 10 (Victorian Aboriginal Legal</w:t>
      </w:r>
      <w:r>
        <w:rPr>
          <w:color w:val="231F20"/>
          <w:spacing w:val="2"/>
          <w:sz w:val="13"/>
        </w:rPr>
        <w:t xml:space="preserve"> </w:t>
      </w:r>
      <w:r>
        <w:rPr>
          <w:color w:val="231F20"/>
          <w:sz w:val="13"/>
        </w:rPr>
        <w:t>Service).</w:t>
      </w:r>
    </w:p>
    <w:p w14:paraId="23A32E95" w14:textId="77777777" w:rsidR="00894070" w:rsidRDefault="009B7AFD">
      <w:pPr>
        <w:pStyle w:val="ListParagraph"/>
        <w:numPr>
          <w:ilvl w:val="0"/>
          <w:numId w:val="75"/>
        </w:numPr>
        <w:tabs>
          <w:tab w:val="left" w:pos="1800"/>
          <w:tab w:val="left" w:pos="1802"/>
        </w:tabs>
        <w:spacing w:before="3" w:line="213" w:lineRule="auto"/>
        <w:ind w:right="44"/>
        <w:jc w:val="left"/>
        <w:rPr>
          <w:sz w:val="13"/>
        </w:rPr>
      </w:pPr>
      <w:r>
        <w:rPr>
          <w:color w:val="231F20"/>
          <w:sz w:val="13"/>
        </w:rPr>
        <w:t xml:space="preserve">Sentencing Advisory Council (Vic), </w:t>
      </w:r>
      <w:r>
        <w:rPr>
          <w:i/>
          <w:color w:val="231F20"/>
          <w:sz w:val="13"/>
        </w:rPr>
        <w:t xml:space="preserve">Reoffending by Children and Young People in Victoria </w:t>
      </w:r>
      <w:r>
        <w:rPr>
          <w:color w:val="231F20"/>
          <w:spacing w:val="2"/>
          <w:sz w:val="13"/>
        </w:rPr>
        <w:t xml:space="preserve">(Report, December </w:t>
      </w:r>
      <w:r>
        <w:rPr>
          <w:color w:val="231F20"/>
          <w:sz w:val="13"/>
        </w:rPr>
        <w:t xml:space="preserve">2016) 30–1; National Legal Aid, </w:t>
      </w:r>
      <w:r>
        <w:rPr>
          <w:color w:val="231F20"/>
          <w:spacing w:val="2"/>
          <w:sz w:val="13"/>
        </w:rPr>
        <w:t xml:space="preserve">Submission </w:t>
      </w:r>
      <w:r>
        <w:rPr>
          <w:color w:val="231F20"/>
          <w:sz w:val="13"/>
        </w:rPr>
        <w:t xml:space="preserve">to Council of </w:t>
      </w:r>
      <w:r>
        <w:rPr>
          <w:color w:val="231F20"/>
          <w:spacing w:val="2"/>
          <w:sz w:val="13"/>
        </w:rPr>
        <w:t xml:space="preserve">Attorneys-General, </w:t>
      </w:r>
      <w:r>
        <w:rPr>
          <w:i/>
          <w:color w:val="231F20"/>
          <w:sz w:val="13"/>
        </w:rPr>
        <w:t xml:space="preserve">Age of Criminal Responsibility Working Group Review </w:t>
      </w:r>
      <w:r>
        <w:rPr>
          <w:color w:val="231F20"/>
          <w:sz w:val="13"/>
        </w:rPr>
        <w:t xml:space="preserve">(28 February 2020) 10–11; Chris Cunneen, </w:t>
      </w:r>
      <w:r>
        <w:rPr>
          <w:i/>
          <w:color w:val="231F20"/>
          <w:sz w:val="13"/>
        </w:rPr>
        <w:t xml:space="preserve">Arguments for Raising the Minimum Age of Criminal Responsibility </w:t>
      </w:r>
      <w:r>
        <w:rPr>
          <w:color w:val="231F20"/>
          <w:sz w:val="13"/>
        </w:rPr>
        <w:t xml:space="preserve">(Research </w:t>
      </w:r>
      <w:r>
        <w:rPr>
          <w:color w:val="231F20"/>
          <w:spacing w:val="2"/>
          <w:sz w:val="13"/>
        </w:rPr>
        <w:t xml:space="preserve">Report, </w:t>
      </w:r>
      <w:r>
        <w:rPr>
          <w:color w:val="231F20"/>
          <w:sz w:val="13"/>
        </w:rPr>
        <w:t xml:space="preserve">Comparative Youth Penalty Project, Jumbunna Institute for Indigenous Education and Research, University of Technology Sydney, February 2020) 19–21, 26; Wendy </w:t>
      </w:r>
      <w:r>
        <w:rPr>
          <w:color w:val="231F20"/>
          <w:spacing w:val="2"/>
          <w:sz w:val="13"/>
        </w:rPr>
        <w:t xml:space="preserve">O’Brien </w:t>
      </w:r>
      <w:r>
        <w:rPr>
          <w:color w:val="231F20"/>
          <w:sz w:val="13"/>
        </w:rPr>
        <w:t xml:space="preserve">and Kate </w:t>
      </w:r>
      <w:r>
        <w:rPr>
          <w:color w:val="231F20"/>
          <w:spacing w:val="2"/>
          <w:sz w:val="13"/>
        </w:rPr>
        <w:t xml:space="preserve">Fitz-Gibbon, </w:t>
      </w:r>
      <w:r>
        <w:rPr>
          <w:color w:val="231F20"/>
          <w:sz w:val="13"/>
        </w:rPr>
        <w:t xml:space="preserve">‘The Minimum Age of Criminal Responsibility in Victoria </w:t>
      </w:r>
      <w:r>
        <w:rPr>
          <w:color w:val="231F20"/>
          <w:spacing w:val="2"/>
          <w:sz w:val="13"/>
        </w:rPr>
        <w:t xml:space="preserve">(Australia): </w:t>
      </w:r>
      <w:r>
        <w:rPr>
          <w:color w:val="231F20"/>
          <w:sz w:val="13"/>
        </w:rPr>
        <w:t xml:space="preserve">Examining Stakeholders’ Views and the </w:t>
      </w:r>
      <w:r>
        <w:rPr>
          <w:color w:val="231F20"/>
          <w:spacing w:val="2"/>
          <w:sz w:val="13"/>
        </w:rPr>
        <w:t xml:space="preserve">Need </w:t>
      </w:r>
      <w:r>
        <w:rPr>
          <w:color w:val="231F20"/>
          <w:sz w:val="13"/>
        </w:rPr>
        <w:t xml:space="preserve">for Principled Reform’ (2017) 17(2) </w:t>
      </w:r>
      <w:r>
        <w:rPr>
          <w:i/>
          <w:color w:val="231F20"/>
          <w:sz w:val="13"/>
        </w:rPr>
        <w:t xml:space="preserve">Youth Justice </w:t>
      </w:r>
      <w:r>
        <w:rPr>
          <w:color w:val="231F20"/>
          <w:spacing w:val="2"/>
          <w:sz w:val="13"/>
        </w:rPr>
        <w:t>134,</w:t>
      </w:r>
      <w:r>
        <w:rPr>
          <w:color w:val="231F20"/>
          <w:spacing w:val="9"/>
          <w:sz w:val="13"/>
        </w:rPr>
        <w:t xml:space="preserve"> </w:t>
      </w:r>
      <w:r>
        <w:rPr>
          <w:color w:val="231F20"/>
          <w:spacing w:val="2"/>
          <w:sz w:val="13"/>
        </w:rPr>
        <w:t>135.</w:t>
      </w:r>
    </w:p>
    <w:p w14:paraId="463EE085" w14:textId="77777777" w:rsidR="00894070" w:rsidRDefault="009B7AFD">
      <w:pPr>
        <w:pStyle w:val="ListParagraph"/>
        <w:numPr>
          <w:ilvl w:val="0"/>
          <w:numId w:val="75"/>
        </w:numPr>
        <w:tabs>
          <w:tab w:val="left" w:pos="1801"/>
          <w:tab w:val="left" w:pos="1802"/>
        </w:tabs>
        <w:spacing w:line="150" w:lineRule="exact"/>
        <w:jc w:val="left"/>
        <w:rPr>
          <w:sz w:val="13"/>
        </w:rPr>
      </w:pPr>
      <w:r>
        <w:rPr>
          <w:color w:val="231F20"/>
          <w:sz w:val="13"/>
        </w:rPr>
        <w:t xml:space="preserve">Consultation 35 (Children’s </w:t>
      </w:r>
      <w:r>
        <w:rPr>
          <w:color w:val="231F20"/>
          <w:spacing w:val="2"/>
          <w:sz w:val="13"/>
        </w:rPr>
        <w:t xml:space="preserve">Court </w:t>
      </w:r>
      <w:r>
        <w:rPr>
          <w:color w:val="231F20"/>
          <w:sz w:val="13"/>
        </w:rPr>
        <w:t>of Victoria (No 2)).</w:t>
      </w:r>
    </w:p>
    <w:p w14:paraId="753838B6" w14:textId="77777777" w:rsidR="00894070" w:rsidRDefault="009B7AFD">
      <w:pPr>
        <w:pStyle w:val="ListParagraph"/>
        <w:numPr>
          <w:ilvl w:val="0"/>
          <w:numId w:val="75"/>
        </w:numPr>
        <w:tabs>
          <w:tab w:val="left" w:pos="1801"/>
          <w:tab w:val="left" w:pos="1802"/>
        </w:tabs>
        <w:spacing w:line="170" w:lineRule="exact"/>
        <w:jc w:val="left"/>
        <w:rPr>
          <w:sz w:val="13"/>
        </w:rPr>
      </w:pPr>
      <w:r>
        <w:rPr>
          <w:color w:val="231F20"/>
          <w:sz w:val="13"/>
        </w:rPr>
        <w:t>Ibid.</w:t>
      </w:r>
    </w:p>
    <w:p w14:paraId="08E49BA0" w14:textId="77777777" w:rsidR="00894070" w:rsidRDefault="009B7AFD">
      <w:pPr>
        <w:pStyle w:val="BodyText"/>
        <w:rPr>
          <w:sz w:val="28"/>
        </w:rPr>
      </w:pPr>
      <w:r>
        <w:br w:type="column"/>
      </w:r>
    </w:p>
    <w:p w14:paraId="45330631" w14:textId="77777777" w:rsidR="00894070" w:rsidRDefault="00894070">
      <w:pPr>
        <w:pStyle w:val="BodyText"/>
        <w:rPr>
          <w:sz w:val="28"/>
        </w:rPr>
      </w:pPr>
    </w:p>
    <w:p w14:paraId="51816110" w14:textId="77777777" w:rsidR="00894070" w:rsidRDefault="00894070">
      <w:pPr>
        <w:pStyle w:val="BodyText"/>
        <w:rPr>
          <w:sz w:val="28"/>
        </w:rPr>
      </w:pPr>
    </w:p>
    <w:p w14:paraId="6B7585CA" w14:textId="77777777" w:rsidR="00894070" w:rsidRDefault="00894070">
      <w:pPr>
        <w:pStyle w:val="BodyText"/>
        <w:rPr>
          <w:sz w:val="28"/>
        </w:rPr>
      </w:pPr>
    </w:p>
    <w:p w14:paraId="169A9491" w14:textId="77777777" w:rsidR="00894070" w:rsidRDefault="00894070">
      <w:pPr>
        <w:pStyle w:val="BodyText"/>
        <w:rPr>
          <w:sz w:val="28"/>
        </w:rPr>
      </w:pPr>
    </w:p>
    <w:p w14:paraId="43422DA8" w14:textId="77777777" w:rsidR="00894070" w:rsidRDefault="00894070">
      <w:pPr>
        <w:pStyle w:val="BodyText"/>
        <w:rPr>
          <w:sz w:val="28"/>
        </w:rPr>
      </w:pPr>
    </w:p>
    <w:p w14:paraId="5CDE5B99" w14:textId="77777777" w:rsidR="00894070" w:rsidRDefault="00894070">
      <w:pPr>
        <w:pStyle w:val="BodyText"/>
        <w:rPr>
          <w:sz w:val="28"/>
        </w:rPr>
      </w:pPr>
    </w:p>
    <w:p w14:paraId="596CE70E" w14:textId="77777777" w:rsidR="00894070" w:rsidRDefault="00894070">
      <w:pPr>
        <w:pStyle w:val="BodyText"/>
        <w:spacing w:before="13"/>
        <w:rPr>
          <w:sz w:val="26"/>
        </w:rPr>
      </w:pPr>
    </w:p>
    <w:p w14:paraId="41E8E232" w14:textId="77777777" w:rsidR="00894070" w:rsidRDefault="009B7AFD">
      <w:pPr>
        <w:pStyle w:val="Heading8"/>
        <w:ind w:left="648"/>
      </w:pPr>
      <w:r>
        <w:rPr>
          <w:color w:val="EA5B50"/>
        </w:rPr>
        <w:t>125</w:t>
      </w:r>
    </w:p>
    <w:p w14:paraId="1E3A7766" w14:textId="77777777" w:rsidR="00894070" w:rsidRDefault="00894070">
      <w:pPr>
        <w:sectPr w:rsidR="00894070">
          <w:type w:val="continuous"/>
          <w:pgSz w:w="11910" w:h="16840"/>
          <w:pgMar w:top="560" w:right="420" w:bottom="280" w:left="580" w:header="720" w:footer="720" w:gutter="0"/>
          <w:cols w:num="2" w:space="720" w:equalWidth="0">
            <w:col w:w="9650" w:space="39"/>
            <w:col w:w="1221"/>
          </w:cols>
        </w:sectPr>
      </w:pPr>
    </w:p>
    <w:p w14:paraId="440358B9" w14:textId="77777777" w:rsidR="00894070" w:rsidRDefault="00894070">
      <w:pPr>
        <w:pStyle w:val="BodyText"/>
        <w:rPr>
          <w:b/>
        </w:rPr>
      </w:pPr>
    </w:p>
    <w:p w14:paraId="4F6F94C9" w14:textId="77777777" w:rsidR="00894070" w:rsidRDefault="00894070">
      <w:pPr>
        <w:pStyle w:val="BodyText"/>
        <w:rPr>
          <w:b/>
        </w:rPr>
      </w:pPr>
    </w:p>
    <w:p w14:paraId="06ABCC39" w14:textId="77777777" w:rsidR="00894070" w:rsidRDefault="00894070">
      <w:pPr>
        <w:pStyle w:val="BodyText"/>
        <w:rPr>
          <w:b/>
        </w:rPr>
      </w:pPr>
    </w:p>
    <w:p w14:paraId="07C65B16" w14:textId="77777777" w:rsidR="00894070" w:rsidRDefault="00894070">
      <w:pPr>
        <w:pStyle w:val="BodyText"/>
        <w:spacing w:before="11"/>
        <w:rPr>
          <w:b/>
          <w:sz w:val="18"/>
        </w:rPr>
      </w:pPr>
    </w:p>
    <w:p w14:paraId="5FA10D31" w14:textId="77777777" w:rsidR="00894070" w:rsidRDefault="009B7AFD">
      <w:pPr>
        <w:pStyle w:val="ListParagraph"/>
        <w:numPr>
          <w:ilvl w:val="1"/>
          <w:numId w:val="102"/>
        </w:numPr>
        <w:tabs>
          <w:tab w:val="left" w:pos="1802"/>
        </w:tabs>
        <w:spacing w:line="206" w:lineRule="auto"/>
        <w:ind w:right="1699"/>
        <w:jc w:val="both"/>
        <w:rPr>
          <w:sz w:val="11"/>
        </w:rPr>
      </w:pPr>
      <w:bookmarkStart w:id="141" w:name="_bookmark84"/>
      <w:bookmarkEnd w:id="141"/>
      <w:r>
        <w:rPr>
          <w:color w:val="231F20"/>
          <w:sz w:val="20"/>
        </w:rPr>
        <w:t>The</w:t>
      </w:r>
      <w:r>
        <w:rPr>
          <w:color w:val="231F20"/>
          <w:spacing w:val="-11"/>
          <w:sz w:val="20"/>
        </w:rPr>
        <w:t xml:space="preserve"> </w:t>
      </w:r>
      <w:r>
        <w:rPr>
          <w:color w:val="231F20"/>
          <w:sz w:val="20"/>
        </w:rPr>
        <w:t>Court</w:t>
      </w:r>
      <w:r>
        <w:rPr>
          <w:color w:val="231F20"/>
          <w:spacing w:val="-11"/>
          <w:sz w:val="20"/>
        </w:rPr>
        <w:t xml:space="preserve"> </w:t>
      </w:r>
      <w:r>
        <w:rPr>
          <w:color w:val="231F20"/>
          <w:sz w:val="20"/>
        </w:rPr>
        <w:t>explained</w:t>
      </w:r>
      <w:r>
        <w:rPr>
          <w:color w:val="231F20"/>
          <w:spacing w:val="-11"/>
          <w:sz w:val="20"/>
        </w:rPr>
        <w:t xml:space="preserve"> </w:t>
      </w:r>
      <w:r>
        <w:rPr>
          <w:color w:val="231F20"/>
          <w:sz w:val="20"/>
        </w:rPr>
        <w:t>the</w:t>
      </w:r>
      <w:r>
        <w:rPr>
          <w:color w:val="231F20"/>
          <w:spacing w:val="-11"/>
          <w:sz w:val="20"/>
        </w:rPr>
        <w:t xml:space="preserve"> </w:t>
      </w:r>
      <w:r>
        <w:rPr>
          <w:color w:val="231F20"/>
          <w:sz w:val="20"/>
        </w:rPr>
        <w:t>approach</w:t>
      </w:r>
      <w:r>
        <w:rPr>
          <w:color w:val="231F20"/>
          <w:spacing w:val="-11"/>
          <w:sz w:val="20"/>
        </w:rPr>
        <w:t xml:space="preserve"> </w:t>
      </w:r>
      <w:r>
        <w:rPr>
          <w:color w:val="231F20"/>
          <w:sz w:val="20"/>
        </w:rPr>
        <w:t>that</w:t>
      </w:r>
      <w:r>
        <w:rPr>
          <w:color w:val="231F20"/>
          <w:spacing w:val="-11"/>
          <w:sz w:val="20"/>
        </w:rPr>
        <w:t xml:space="preserve"> </w:t>
      </w:r>
      <w:r>
        <w:rPr>
          <w:color w:val="231F20"/>
          <w:sz w:val="20"/>
        </w:rPr>
        <w:t>it</w:t>
      </w:r>
      <w:r>
        <w:rPr>
          <w:color w:val="231F20"/>
          <w:spacing w:val="-11"/>
          <w:sz w:val="20"/>
        </w:rPr>
        <w:t xml:space="preserve"> </w:t>
      </w:r>
      <w:r>
        <w:rPr>
          <w:color w:val="231F20"/>
          <w:sz w:val="20"/>
        </w:rPr>
        <w:t>takes,</w:t>
      </w:r>
      <w:r>
        <w:rPr>
          <w:color w:val="231F20"/>
          <w:spacing w:val="-10"/>
          <w:sz w:val="20"/>
        </w:rPr>
        <w:t xml:space="preserve"> </w:t>
      </w:r>
      <w:r>
        <w:rPr>
          <w:color w:val="231F20"/>
          <w:sz w:val="20"/>
        </w:rPr>
        <w:t>which</w:t>
      </w:r>
      <w:r>
        <w:rPr>
          <w:color w:val="231F20"/>
          <w:spacing w:val="-11"/>
          <w:sz w:val="20"/>
        </w:rPr>
        <w:t xml:space="preserve"> </w:t>
      </w:r>
      <w:r>
        <w:rPr>
          <w:color w:val="231F20"/>
          <w:sz w:val="20"/>
        </w:rPr>
        <w:t>includes</w:t>
      </w:r>
      <w:r>
        <w:rPr>
          <w:color w:val="231F20"/>
          <w:spacing w:val="-11"/>
          <w:sz w:val="20"/>
        </w:rPr>
        <w:t xml:space="preserve"> </w:t>
      </w:r>
      <w:r>
        <w:rPr>
          <w:color w:val="231F20"/>
          <w:sz w:val="20"/>
        </w:rPr>
        <w:t>asking</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detailed reports,</w:t>
      </w:r>
      <w:r>
        <w:rPr>
          <w:color w:val="231F20"/>
          <w:spacing w:val="-9"/>
          <w:sz w:val="20"/>
        </w:rPr>
        <w:t xml:space="preserve"> </w:t>
      </w:r>
      <w:proofErr w:type="gramStart"/>
      <w:r>
        <w:rPr>
          <w:color w:val="231F20"/>
          <w:sz w:val="20"/>
        </w:rPr>
        <w:t>services</w:t>
      </w:r>
      <w:proofErr w:type="gramEnd"/>
      <w:r>
        <w:rPr>
          <w:color w:val="231F20"/>
          <w:spacing w:val="-8"/>
          <w:sz w:val="20"/>
        </w:rPr>
        <w:t xml:space="preserve"> </w:t>
      </w:r>
      <w:r>
        <w:rPr>
          <w:color w:val="231F20"/>
          <w:sz w:val="20"/>
        </w:rPr>
        <w:t>and</w:t>
      </w:r>
      <w:r>
        <w:rPr>
          <w:color w:val="231F20"/>
          <w:spacing w:val="-8"/>
          <w:sz w:val="20"/>
        </w:rPr>
        <w:t xml:space="preserve"> </w:t>
      </w:r>
      <w:r>
        <w:rPr>
          <w:color w:val="231F20"/>
          <w:sz w:val="20"/>
        </w:rPr>
        <w:t>legal</w:t>
      </w:r>
      <w:r>
        <w:rPr>
          <w:color w:val="231F20"/>
          <w:spacing w:val="-8"/>
          <w:sz w:val="20"/>
        </w:rPr>
        <w:t xml:space="preserve"> </w:t>
      </w:r>
      <w:r>
        <w:rPr>
          <w:color w:val="231F20"/>
          <w:spacing w:val="-2"/>
          <w:sz w:val="20"/>
        </w:rPr>
        <w:t>representation.</w:t>
      </w:r>
      <w:r>
        <w:rPr>
          <w:color w:val="231F20"/>
          <w:spacing w:val="-9"/>
          <w:sz w:val="20"/>
        </w:rPr>
        <w:t xml:space="preserve"> </w:t>
      </w:r>
      <w:r>
        <w:rPr>
          <w:color w:val="231F20"/>
          <w:sz w:val="20"/>
        </w:rPr>
        <w:t>It</w:t>
      </w:r>
      <w:r>
        <w:rPr>
          <w:color w:val="231F20"/>
          <w:spacing w:val="-8"/>
          <w:sz w:val="20"/>
        </w:rPr>
        <w:t xml:space="preserve"> </w:t>
      </w:r>
      <w:r>
        <w:rPr>
          <w:color w:val="231F20"/>
          <w:sz w:val="20"/>
        </w:rPr>
        <w:t>stressed</w:t>
      </w:r>
      <w:r>
        <w:rPr>
          <w:color w:val="231F20"/>
          <w:spacing w:val="-8"/>
          <w:sz w:val="20"/>
        </w:rPr>
        <w:t xml:space="preserve"> </w:t>
      </w:r>
      <w:r>
        <w:rPr>
          <w:color w:val="231F20"/>
          <w:sz w:val="20"/>
        </w:rPr>
        <w:t>that</w:t>
      </w:r>
      <w:r>
        <w:rPr>
          <w:color w:val="231F20"/>
          <w:spacing w:val="-8"/>
          <w:sz w:val="20"/>
        </w:rPr>
        <w:t xml:space="preserve"> </w:t>
      </w:r>
      <w:r>
        <w:rPr>
          <w:color w:val="231F20"/>
          <w:sz w:val="20"/>
        </w:rPr>
        <w:t>while</w:t>
      </w:r>
      <w:r>
        <w:rPr>
          <w:color w:val="231F20"/>
          <w:spacing w:val="-9"/>
          <w:sz w:val="20"/>
        </w:rPr>
        <w:t xml:space="preserve"> </w:t>
      </w:r>
      <w:r>
        <w:rPr>
          <w:color w:val="231F20"/>
          <w:spacing w:val="-3"/>
          <w:sz w:val="20"/>
        </w:rPr>
        <w:t>interim</w:t>
      </w:r>
      <w:r>
        <w:rPr>
          <w:color w:val="231F20"/>
          <w:spacing w:val="-8"/>
          <w:sz w:val="20"/>
        </w:rPr>
        <w:t xml:space="preserve"> </w:t>
      </w:r>
      <w:r>
        <w:rPr>
          <w:color w:val="231F20"/>
          <w:sz w:val="20"/>
        </w:rPr>
        <w:t>orders</w:t>
      </w:r>
      <w:r>
        <w:rPr>
          <w:color w:val="231F20"/>
          <w:spacing w:val="-8"/>
          <w:sz w:val="20"/>
        </w:rPr>
        <w:t xml:space="preserve"> </w:t>
      </w:r>
      <w:r>
        <w:rPr>
          <w:color w:val="231F20"/>
          <w:spacing w:val="-3"/>
          <w:sz w:val="20"/>
        </w:rPr>
        <w:t xml:space="preserve">are </w:t>
      </w:r>
      <w:r>
        <w:rPr>
          <w:color w:val="231F20"/>
          <w:sz w:val="20"/>
        </w:rPr>
        <w:t>a</w:t>
      </w:r>
      <w:r>
        <w:rPr>
          <w:color w:val="231F20"/>
          <w:spacing w:val="-11"/>
          <w:sz w:val="20"/>
        </w:rPr>
        <w:t xml:space="preserve"> </w:t>
      </w:r>
      <w:r>
        <w:rPr>
          <w:color w:val="231F20"/>
          <w:sz w:val="20"/>
        </w:rPr>
        <w:t>necessary</w:t>
      </w:r>
      <w:r>
        <w:rPr>
          <w:color w:val="231F20"/>
          <w:spacing w:val="-10"/>
          <w:sz w:val="20"/>
        </w:rPr>
        <w:t xml:space="preserve"> </w:t>
      </w:r>
      <w:r>
        <w:rPr>
          <w:color w:val="231F20"/>
          <w:sz w:val="20"/>
        </w:rPr>
        <w:t>safety</w:t>
      </w:r>
      <w:r>
        <w:rPr>
          <w:color w:val="231F20"/>
          <w:spacing w:val="-11"/>
          <w:sz w:val="20"/>
        </w:rPr>
        <w:t xml:space="preserve"> </w:t>
      </w:r>
      <w:r>
        <w:rPr>
          <w:color w:val="231F20"/>
          <w:sz w:val="20"/>
        </w:rPr>
        <w:t>tool,</w:t>
      </w:r>
      <w:r>
        <w:rPr>
          <w:color w:val="231F20"/>
          <w:spacing w:val="-10"/>
          <w:sz w:val="20"/>
        </w:rPr>
        <w:t xml:space="preserve"> </w:t>
      </w:r>
      <w:r>
        <w:rPr>
          <w:color w:val="231F20"/>
          <w:sz w:val="20"/>
        </w:rPr>
        <w:t>it</w:t>
      </w:r>
      <w:r>
        <w:rPr>
          <w:color w:val="231F20"/>
          <w:spacing w:val="-11"/>
          <w:sz w:val="20"/>
        </w:rPr>
        <w:t xml:space="preserve"> </w:t>
      </w:r>
      <w:r>
        <w:rPr>
          <w:color w:val="231F20"/>
          <w:spacing w:val="-3"/>
          <w:sz w:val="20"/>
        </w:rPr>
        <w:t>avoids</w:t>
      </w:r>
      <w:r>
        <w:rPr>
          <w:color w:val="231F20"/>
          <w:spacing w:val="-10"/>
          <w:sz w:val="20"/>
        </w:rPr>
        <w:t xml:space="preserve"> </w:t>
      </w:r>
      <w:r>
        <w:rPr>
          <w:color w:val="231F20"/>
          <w:sz w:val="20"/>
        </w:rPr>
        <w:t>making</w:t>
      </w:r>
      <w:r>
        <w:rPr>
          <w:color w:val="231F20"/>
          <w:spacing w:val="-10"/>
          <w:sz w:val="20"/>
        </w:rPr>
        <w:t xml:space="preserve"> </w:t>
      </w:r>
      <w:r>
        <w:rPr>
          <w:color w:val="231F20"/>
          <w:sz w:val="20"/>
        </w:rPr>
        <w:t>final</w:t>
      </w:r>
      <w:r>
        <w:rPr>
          <w:color w:val="231F20"/>
          <w:spacing w:val="-11"/>
          <w:sz w:val="20"/>
        </w:rPr>
        <w:t xml:space="preserve"> </w:t>
      </w:r>
      <w:r>
        <w:rPr>
          <w:color w:val="231F20"/>
          <w:sz w:val="20"/>
        </w:rPr>
        <w:t>orders</w:t>
      </w:r>
      <w:r>
        <w:rPr>
          <w:color w:val="231F20"/>
          <w:spacing w:val="-10"/>
          <w:sz w:val="20"/>
        </w:rPr>
        <w:t xml:space="preserve"> </w:t>
      </w:r>
      <w:r>
        <w:rPr>
          <w:color w:val="231F20"/>
          <w:sz w:val="20"/>
        </w:rPr>
        <w:t>against</w:t>
      </w:r>
      <w:r>
        <w:rPr>
          <w:color w:val="231F20"/>
          <w:spacing w:val="-11"/>
          <w:sz w:val="20"/>
        </w:rPr>
        <w:t xml:space="preserve"> </w:t>
      </w:r>
      <w:r>
        <w:rPr>
          <w:color w:val="231F20"/>
          <w:sz w:val="20"/>
        </w:rPr>
        <w:t>young</w:t>
      </w:r>
      <w:r>
        <w:rPr>
          <w:color w:val="231F20"/>
          <w:spacing w:val="-10"/>
          <w:sz w:val="20"/>
        </w:rPr>
        <w:t xml:space="preserve"> </w:t>
      </w:r>
      <w:r>
        <w:rPr>
          <w:color w:val="231F20"/>
          <w:sz w:val="20"/>
        </w:rPr>
        <w:t>people</w:t>
      </w:r>
      <w:r>
        <w:rPr>
          <w:color w:val="231F20"/>
          <w:spacing w:val="-11"/>
          <w:sz w:val="20"/>
        </w:rPr>
        <w:t xml:space="preserve"> </w:t>
      </w:r>
      <w:r>
        <w:rPr>
          <w:color w:val="231F20"/>
          <w:sz w:val="20"/>
        </w:rPr>
        <w:t>where possible.</w:t>
      </w:r>
      <w:r>
        <w:rPr>
          <w:color w:val="231F20"/>
          <w:position w:val="7"/>
          <w:sz w:val="11"/>
        </w:rPr>
        <w:t>241</w:t>
      </w:r>
    </w:p>
    <w:p w14:paraId="40840577" w14:textId="77777777" w:rsidR="00894070" w:rsidRDefault="009B7AFD">
      <w:pPr>
        <w:pStyle w:val="ListParagraph"/>
        <w:numPr>
          <w:ilvl w:val="1"/>
          <w:numId w:val="102"/>
        </w:numPr>
        <w:tabs>
          <w:tab w:val="left" w:pos="1801"/>
          <w:tab w:val="left" w:pos="1802"/>
        </w:tabs>
        <w:spacing w:before="93"/>
        <w:rPr>
          <w:sz w:val="20"/>
        </w:rPr>
      </w:pPr>
      <w:r>
        <w:rPr>
          <w:color w:val="231F20"/>
          <w:sz w:val="20"/>
        </w:rPr>
        <w:t xml:space="preserve">The Court </w:t>
      </w:r>
      <w:r>
        <w:rPr>
          <w:color w:val="231F20"/>
          <w:spacing w:val="-3"/>
          <w:sz w:val="20"/>
        </w:rPr>
        <w:t>told</w:t>
      </w:r>
      <w:r>
        <w:rPr>
          <w:color w:val="231F20"/>
          <w:spacing w:val="-13"/>
          <w:sz w:val="20"/>
        </w:rPr>
        <w:t xml:space="preserve"> </w:t>
      </w:r>
      <w:r>
        <w:rPr>
          <w:color w:val="231F20"/>
          <w:sz w:val="20"/>
        </w:rPr>
        <w:t>us:</w:t>
      </w:r>
    </w:p>
    <w:p w14:paraId="23D278F4" w14:textId="77777777" w:rsidR="00894070" w:rsidRDefault="009B7AFD">
      <w:pPr>
        <w:spacing w:before="112" w:line="208" w:lineRule="auto"/>
        <w:ind w:left="2254" w:right="1459"/>
        <w:rPr>
          <w:sz w:val="11"/>
        </w:rPr>
      </w:pPr>
      <w:r>
        <w:rPr>
          <w:color w:val="231F20"/>
          <w:sz w:val="19"/>
        </w:rPr>
        <w:t xml:space="preserve">We have interim [orders] in place while we explore other mechanisms—that is </w:t>
      </w:r>
      <w:proofErr w:type="gramStart"/>
      <w:r>
        <w:rPr>
          <w:color w:val="231F20"/>
          <w:sz w:val="19"/>
        </w:rPr>
        <w:t>really important</w:t>
      </w:r>
      <w:proofErr w:type="gramEnd"/>
      <w:r>
        <w:rPr>
          <w:color w:val="231F20"/>
          <w:sz w:val="19"/>
        </w:rPr>
        <w:t xml:space="preserve">—interim orders are made urgently </w:t>
      </w:r>
      <w:r>
        <w:rPr>
          <w:i/>
          <w:color w:val="231F20"/>
          <w:sz w:val="19"/>
        </w:rPr>
        <w:t xml:space="preserve">ex parte </w:t>
      </w:r>
      <w:r>
        <w:rPr>
          <w:color w:val="231F20"/>
          <w:sz w:val="19"/>
        </w:rPr>
        <w:t>in the absence of the respondent for the protection of the person.</w:t>
      </w:r>
      <w:r>
        <w:rPr>
          <w:color w:val="231F20"/>
          <w:position w:val="6"/>
          <w:sz w:val="11"/>
        </w:rPr>
        <w:t>242</w:t>
      </w:r>
    </w:p>
    <w:p w14:paraId="5C76F07F" w14:textId="77777777" w:rsidR="00894070" w:rsidRDefault="009B7AFD">
      <w:pPr>
        <w:pStyle w:val="ListParagraph"/>
        <w:numPr>
          <w:ilvl w:val="1"/>
          <w:numId w:val="102"/>
        </w:numPr>
        <w:tabs>
          <w:tab w:val="left" w:pos="1801"/>
          <w:tab w:val="left" w:pos="1802"/>
        </w:tabs>
        <w:spacing w:before="124" w:line="206" w:lineRule="auto"/>
        <w:ind w:right="1414"/>
        <w:rPr>
          <w:sz w:val="20"/>
        </w:rPr>
      </w:pPr>
      <w:r>
        <w:rPr>
          <w:color w:val="231F20"/>
          <w:spacing w:val="-6"/>
          <w:sz w:val="20"/>
        </w:rPr>
        <w:t>We</w:t>
      </w:r>
      <w:r>
        <w:rPr>
          <w:color w:val="231F20"/>
          <w:spacing w:val="-9"/>
          <w:sz w:val="20"/>
        </w:rPr>
        <w:t xml:space="preserve"> </w:t>
      </w:r>
      <w:r>
        <w:rPr>
          <w:color w:val="231F20"/>
          <w:sz w:val="20"/>
        </w:rPr>
        <w:t>understand</w:t>
      </w:r>
      <w:r>
        <w:rPr>
          <w:color w:val="231F20"/>
          <w:spacing w:val="-9"/>
          <w:sz w:val="20"/>
        </w:rPr>
        <w:t xml:space="preserve"> </w:t>
      </w:r>
      <w:r>
        <w:rPr>
          <w:color w:val="231F20"/>
          <w:sz w:val="20"/>
        </w:rPr>
        <w:t>these</w:t>
      </w:r>
      <w:r>
        <w:rPr>
          <w:color w:val="231F20"/>
          <w:spacing w:val="-9"/>
          <w:sz w:val="20"/>
        </w:rPr>
        <w:t xml:space="preserve"> </w:t>
      </w:r>
      <w:r>
        <w:rPr>
          <w:color w:val="231F20"/>
          <w:sz w:val="20"/>
        </w:rPr>
        <w:t>concerns,</w:t>
      </w:r>
      <w:r>
        <w:rPr>
          <w:color w:val="231F20"/>
          <w:spacing w:val="-9"/>
          <w:sz w:val="20"/>
        </w:rPr>
        <w:t xml:space="preserve"> </w:t>
      </w:r>
      <w:r>
        <w:rPr>
          <w:color w:val="231F20"/>
          <w:sz w:val="20"/>
        </w:rPr>
        <w:t>and</w:t>
      </w:r>
      <w:r>
        <w:rPr>
          <w:color w:val="231F20"/>
          <w:spacing w:val="-9"/>
          <w:sz w:val="20"/>
        </w:rPr>
        <w:t xml:space="preserve"> </w:t>
      </w:r>
      <w:r>
        <w:rPr>
          <w:color w:val="231F20"/>
          <w:sz w:val="20"/>
        </w:rPr>
        <w:t>that</w:t>
      </w:r>
      <w:r>
        <w:rPr>
          <w:color w:val="231F20"/>
          <w:spacing w:val="-9"/>
          <w:sz w:val="20"/>
        </w:rPr>
        <w:t xml:space="preserve"> </w:t>
      </w:r>
      <w:r>
        <w:rPr>
          <w:color w:val="231F20"/>
          <w:sz w:val="20"/>
        </w:rPr>
        <w:t>the</w:t>
      </w:r>
      <w:r>
        <w:rPr>
          <w:color w:val="231F20"/>
          <w:spacing w:val="-9"/>
          <w:sz w:val="20"/>
        </w:rPr>
        <w:t xml:space="preserve"> </w:t>
      </w:r>
      <w:r>
        <w:rPr>
          <w:color w:val="231F20"/>
          <w:sz w:val="20"/>
        </w:rPr>
        <w:t>Court</w:t>
      </w:r>
      <w:r>
        <w:rPr>
          <w:color w:val="231F20"/>
          <w:spacing w:val="-8"/>
          <w:sz w:val="20"/>
        </w:rPr>
        <w:t xml:space="preserve"> </w:t>
      </w:r>
      <w:r>
        <w:rPr>
          <w:color w:val="231F20"/>
          <w:sz w:val="20"/>
        </w:rPr>
        <w:t>wishes</w:t>
      </w:r>
      <w:r>
        <w:rPr>
          <w:color w:val="231F20"/>
          <w:spacing w:val="-9"/>
          <w:sz w:val="20"/>
        </w:rPr>
        <w:t xml:space="preserve"> </w:t>
      </w:r>
      <w:r>
        <w:rPr>
          <w:color w:val="231F20"/>
          <w:sz w:val="20"/>
        </w:rPr>
        <w:t>to</w:t>
      </w:r>
      <w:r>
        <w:rPr>
          <w:color w:val="231F20"/>
          <w:spacing w:val="-9"/>
          <w:sz w:val="20"/>
        </w:rPr>
        <w:t xml:space="preserve"> </w:t>
      </w:r>
      <w:r>
        <w:rPr>
          <w:color w:val="231F20"/>
          <w:sz w:val="20"/>
        </w:rPr>
        <w:t>retain</w:t>
      </w:r>
      <w:r>
        <w:rPr>
          <w:color w:val="231F20"/>
          <w:spacing w:val="-9"/>
          <w:sz w:val="20"/>
        </w:rPr>
        <w:t xml:space="preserve"> </w:t>
      </w:r>
      <w:r>
        <w:rPr>
          <w:color w:val="231F20"/>
          <w:sz w:val="20"/>
        </w:rPr>
        <w:t>the</w:t>
      </w:r>
      <w:r>
        <w:rPr>
          <w:color w:val="231F20"/>
          <w:spacing w:val="-9"/>
          <w:sz w:val="20"/>
        </w:rPr>
        <w:t xml:space="preserve"> </w:t>
      </w:r>
      <w:r>
        <w:rPr>
          <w:color w:val="231F20"/>
          <w:sz w:val="20"/>
        </w:rPr>
        <w:t>tools</w:t>
      </w:r>
      <w:r>
        <w:rPr>
          <w:color w:val="231F20"/>
          <w:spacing w:val="-9"/>
          <w:sz w:val="20"/>
        </w:rPr>
        <w:t xml:space="preserve"> </w:t>
      </w:r>
      <w:r>
        <w:rPr>
          <w:color w:val="231F20"/>
          <w:sz w:val="20"/>
        </w:rPr>
        <w:t>it</w:t>
      </w:r>
      <w:r>
        <w:rPr>
          <w:color w:val="231F20"/>
          <w:spacing w:val="-9"/>
          <w:sz w:val="20"/>
        </w:rPr>
        <w:t xml:space="preserve"> </w:t>
      </w:r>
      <w:r>
        <w:rPr>
          <w:color w:val="231F20"/>
          <w:sz w:val="20"/>
        </w:rPr>
        <w:t>has</w:t>
      </w:r>
      <w:r>
        <w:rPr>
          <w:color w:val="231F20"/>
          <w:spacing w:val="-8"/>
          <w:sz w:val="20"/>
        </w:rPr>
        <w:t xml:space="preserve"> </w:t>
      </w:r>
      <w:r>
        <w:rPr>
          <w:color w:val="231F20"/>
          <w:sz w:val="20"/>
        </w:rPr>
        <w:t xml:space="preserve">to </w:t>
      </w:r>
      <w:r>
        <w:rPr>
          <w:color w:val="231F20"/>
          <w:spacing w:val="-3"/>
          <w:sz w:val="20"/>
        </w:rPr>
        <w:t xml:space="preserve">protect victims’ </w:t>
      </w:r>
      <w:r>
        <w:rPr>
          <w:color w:val="231F20"/>
          <w:spacing w:val="-4"/>
          <w:sz w:val="20"/>
        </w:rPr>
        <w:t xml:space="preserve">safety. </w:t>
      </w:r>
      <w:r>
        <w:rPr>
          <w:color w:val="231F20"/>
          <w:spacing w:val="-5"/>
          <w:sz w:val="20"/>
        </w:rPr>
        <w:t xml:space="preserve">However, </w:t>
      </w:r>
      <w:r>
        <w:rPr>
          <w:color w:val="231F20"/>
          <w:spacing w:val="-3"/>
          <w:sz w:val="20"/>
        </w:rPr>
        <w:t xml:space="preserve">we note </w:t>
      </w:r>
      <w:r>
        <w:rPr>
          <w:color w:val="231F20"/>
          <w:sz w:val="20"/>
        </w:rPr>
        <w:t xml:space="preserve">again that it is questionable </w:t>
      </w:r>
      <w:r>
        <w:rPr>
          <w:color w:val="231F20"/>
          <w:spacing w:val="-3"/>
          <w:sz w:val="20"/>
        </w:rPr>
        <w:t xml:space="preserve">how effective </w:t>
      </w:r>
      <w:r>
        <w:rPr>
          <w:color w:val="231F20"/>
          <w:sz w:val="20"/>
        </w:rPr>
        <w:t>PSIOs</w:t>
      </w:r>
      <w:r>
        <w:rPr>
          <w:color w:val="231F20"/>
          <w:spacing w:val="-6"/>
          <w:sz w:val="20"/>
        </w:rPr>
        <w:t xml:space="preserve"> </w:t>
      </w:r>
      <w:r>
        <w:rPr>
          <w:color w:val="231F20"/>
          <w:spacing w:val="-3"/>
          <w:sz w:val="20"/>
        </w:rPr>
        <w:t>are</w:t>
      </w:r>
      <w:r>
        <w:rPr>
          <w:color w:val="231F20"/>
          <w:spacing w:val="-5"/>
          <w:sz w:val="20"/>
        </w:rPr>
        <w:t xml:space="preserve"> </w:t>
      </w:r>
      <w:r>
        <w:rPr>
          <w:color w:val="231F20"/>
          <w:sz w:val="20"/>
        </w:rPr>
        <w:t>in</w:t>
      </w:r>
      <w:r>
        <w:rPr>
          <w:color w:val="231F20"/>
          <w:spacing w:val="-6"/>
          <w:sz w:val="20"/>
        </w:rPr>
        <w:t xml:space="preserve"> </w:t>
      </w:r>
      <w:r>
        <w:rPr>
          <w:color w:val="231F20"/>
          <w:sz w:val="20"/>
        </w:rPr>
        <w:t>deterring</w:t>
      </w:r>
      <w:r>
        <w:rPr>
          <w:color w:val="231F20"/>
          <w:spacing w:val="-5"/>
          <w:sz w:val="20"/>
        </w:rPr>
        <w:t xml:space="preserve"> </w:t>
      </w:r>
      <w:r>
        <w:rPr>
          <w:color w:val="231F20"/>
          <w:spacing w:val="-3"/>
          <w:sz w:val="20"/>
        </w:rPr>
        <w:t>children</w:t>
      </w:r>
      <w:r>
        <w:rPr>
          <w:color w:val="231F20"/>
          <w:spacing w:val="-5"/>
          <w:sz w:val="20"/>
        </w:rPr>
        <w:t xml:space="preserve"> </w:t>
      </w:r>
      <w:r>
        <w:rPr>
          <w:color w:val="231F20"/>
          <w:spacing w:val="-3"/>
          <w:sz w:val="20"/>
        </w:rPr>
        <w:t>from</w:t>
      </w:r>
      <w:r>
        <w:rPr>
          <w:color w:val="231F20"/>
          <w:spacing w:val="-6"/>
          <w:sz w:val="20"/>
        </w:rPr>
        <w:t xml:space="preserve"> </w:t>
      </w:r>
      <w:r>
        <w:rPr>
          <w:color w:val="231F20"/>
          <w:sz w:val="20"/>
        </w:rPr>
        <w:t>the</w:t>
      </w:r>
      <w:r>
        <w:rPr>
          <w:color w:val="231F20"/>
          <w:spacing w:val="-5"/>
          <w:sz w:val="20"/>
        </w:rPr>
        <w:t xml:space="preserve"> </w:t>
      </w:r>
      <w:r>
        <w:rPr>
          <w:color w:val="231F20"/>
          <w:sz w:val="20"/>
        </w:rPr>
        <w:t>behaviour</w:t>
      </w:r>
      <w:r>
        <w:rPr>
          <w:color w:val="231F20"/>
          <w:spacing w:val="-6"/>
          <w:sz w:val="20"/>
        </w:rPr>
        <w:t xml:space="preserve"> </w:t>
      </w:r>
      <w:r>
        <w:rPr>
          <w:color w:val="231F20"/>
          <w:sz w:val="20"/>
        </w:rPr>
        <w:t>the</w:t>
      </w:r>
      <w:r>
        <w:rPr>
          <w:color w:val="231F20"/>
          <w:spacing w:val="-5"/>
          <w:sz w:val="20"/>
        </w:rPr>
        <w:t xml:space="preserve"> </w:t>
      </w:r>
      <w:r>
        <w:rPr>
          <w:color w:val="231F20"/>
          <w:sz w:val="20"/>
        </w:rPr>
        <w:t>subject</w:t>
      </w:r>
      <w:r>
        <w:rPr>
          <w:color w:val="231F20"/>
          <w:spacing w:val="-5"/>
          <w:sz w:val="20"/>
        </w:rPr>
        <w:t xml:space="preserve"> </w:t>
      </w:r>
      <w:r>
        <w:rPr>
          <w:color w:val="231F20"/>
          <w:sz w:val="20"/>
        </w:rPr>
        <w:t>of</w:t>
      </w:r>
      <w:r>
        <w:rPr>
          <w:color w:val="231F20"/>
          <w:spacing w:val="-6"/>
          <w:sz w:val="20"/>
        </w:rPr>
        <w:t xml:space="preserve"> </w:t>
      </w:r>
      <w:r>
        <w:rPr>
          <w:color w:val="231F20"/>
          <w:sz w:val="20"/>
        </w:rPr>
        <w:t>the</w:t>
      </w:r>
      <w:r>
        <w:rPr>
          <w:color w:val="231F20"/>
          <w:spacing w:val="-5"/>
          <w:sz w:val="20"/>
        </w:rPr>
        <w:t xml:space="preserve"> </w:t>
      </w:r>
      <w:r>
        <w:rPr>
          <w:color w:val="231F20"/>
          <w:spacing w:val="-4"/>
          <w:sz w:val="20"/>
        </w:rPr>
        <w:t>order.</w:t>
      </w:r>
    </w:p>
    <w:p w14:paraId="59F51964" w14:textId="77777777" w:rsidR="00894070" w:rsidRDefault="009B7AFD">
      <w:pPr>
        <w:pStyle w:val="ListParagraph"/>
        <w:numPr>
          <w:ilvl w:val="1"/>
          <w:numId w:val="102"/>
        </w:numPr>
        <w:tabs>
          <w:tab w:val="left" w:pos="1801"/>
          <w:tab w:val="left" w:pos="1802"/>
        </w:tabs>
        <w:spacing w:before="124" w:line="206" w:lineRule="auto"/>
        <w:ind w:right="1196"/>
        <w:rPr>
          <w:sz w:val="11"/>
        </w:rPr>
      </w:pPr>
      <w:r>
        <w:rPr>
          <w:color w:val="231F20"/>
          <w:sz w:val="20"/>
        </w:rPr>
        <w:t xml:space="preserve">While </w:t>
      </w:r>
      <w:r>
        <w:rPr>
          <w:color w:val="231F20"/>
          <w:spacing w:val="-3"/>
          <w:sz w:val="20"/>
        </w:rPr>
        <w:t xml:space="preserve">we </w:t>
      </w:r>
      <w:r>
        <w:rPr>
          <w:color w:val="231F20"/>
          <w:sz w:val="20"/>
        </w:rPr>
        <w:t xml:space="preserve">acknowledge the </w:t>
      </w:r>
      <w:r>
        <w:rPr>
          <w:color w:val="231F20"/>
          <w:spacing w:val="-3"/>
          <w:sz w:val="20"/>
        </w:rPr>
        <w:t xml:space="preserve">proactive </w:t>
      </w:r>
      <w:r>
        <w:rPr>
          <w:color w:val="231F20"/>
          <w:sz w:val="20"/>
        </w:rPr>
        <w:t xml:space="preserve">approach taken </w:t>
      </w:r>
      <w:r>
        <w:rPr>
          <w:color w:val="231F20"/>
          <w:spacing w:val="-3"/>
          <w:sz w:val="20"/>
        </w:rPr>
        <w:t xml:space="preserve">by </w:t>
      </w:r>
      <w:r>
        <w:rPr>
          <w:color w:val="231F20"/>
          <w:sz w:val="20"/>
        </w:rPr>
        <w:t xml:space="preserve">the Court in seeking to </w:t>
      </w:r>
      <w:r>
        <w:rPr>
          <w:color w:val="231F20"/>
          <w:spacing w:val="-3"/>
          <w:sz w:val="20"/>
        </w:rPr>
        <w:t xml:space="preserve">avoid </w:t>
      </w:r>
      <w:r>
        <w:rPr>
          <w:color w:val="231F20"/>
          <w:sz w:val="20"/>
        </w:rPr>
        <w:t>making</w:t>
      </w:r>
      <w:r>
        <w:rPr>
          <w:color w:val="231F20"/>
          <w:spacing w:val="-9"/>
          <w:sz w:val="20"/>
        </w:rPr>
        <w:t xml:space="preserve"> </w:t>
      </w:r>
      <w:r>
        <w:rPr>
          <w:color w:val="231F20"/>
          <w:sz w:val="20"/>
        </w:rPr>
        <w:t>final</w:t>
      </w:r>
      <w:r>
        <w:rPr>
          <w:color w:val="231F20"/>
          <w:spacing w:val="-9"/>
          <w:sz w:val="20"/>
        </w:rPr>
        <w:t xml:space="preserve"> </w:t>
      </w:r>
      <w:r>
        <w:rPr>
          <w:color w:val="231F20"/>
          <w:sz w:val="20"/>
        </w:rPr>
        <w:t>orders,</w:t>
      </w:r>
      <w:r>
        <w:rPr>
          <w:color w:val="231F20"/>
          <w:spacing w:val="-9"/>
          <w:sz w:val="20"/>
        </w:rPr>
        <w:t xml:space="preserve"> </w:t>
      </w:r>
      <w:r>
        <w:rPr>
          <w:color w:val="231F20"/>
          <w:spacing w:val="-4"/>
          <w:sz w:val="20"/>
        </w:rPr>
        <w:t>over</w:t>
      </w:r>
      <w:r>
        <w:rPr>
          <w:color w:val="231F20"/>
          <w:spacing w:val="-9"/>
          <w:sz w:val="20"/>
        </w:rPr>
        <w:t xml:space="preserve"> </w:t>
      </w:r>
      <w:r>
        <w:rPr>
          <w:color w:val="231F20"/>
          <w:sz w:val="20"/>
        </w:rPr>
        <w:t>half</w:t>
      </w:r>
      <w:r>
        <w:rPr>
          <w:color w:val="231F20"/>
          <w:spacing w:val="-9"/>
          <w:sz w:val="20"/>
        </w:rPr>
        <w:t xml:space="preserve"> </w:t>
      </w:r>
      <w:r>
        <w:rPr>
          <w:color w:val="231F20"/>
          <w:sz w:val="20"/>
        </w:rPr>
        <w:t>the</w:t>
      </w:r>
      <w:r>
        <w:rPr>
          <w:color w:val="231F20"/>
          <w:spacing w:val="-8"/>
          <w:sz w:val="20"/>
        </w:rPr>
        <w:t xml:space="preserve"> </w:t>
      </w:r>
      <w:r>
        <w:rPr>
          <w:color w:val="231F20"/>
          <w:sz w:val="20"/>
        </w:rPr>
        <w:t>applications</w:t>
      </w:r>
      <w:r>
        <w:rPr>
          <w:color w:val="231F20"/>
          <w:spacing w:val="-9"/>
          <w:sz w:val="20"/>
        </w:rPr>
        <w:t xml:space="preserve"> </w:t>
      </w:r>
      <w:r>
        <w:rPr>
          <w:color w:val="231F20"/>
          <w:sz w:val="20"/>
        </w:rPr>
        <w:t>made</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last</w:t>
      </w:r>
      <w:r>
        <w:rPr>
          <w:color w:val="231F20"/>
          <w:spacing w:val="-8"/>
          <w:sz w:val="20"/>
        </w:rPr>
        <w:t xml:space="preserve"> </w:t>
      </w:r>
      <w:r>
        <w:rPr>
          <w:color w:val="231F20"/>
          <w:spacing w:val="-3"/>
          <w:sz w:val="20"/>
        </w:rPr>
        <w:t>10</w:t>
      </w:r>
      <w:r>
        <w:rPr>
          <w:color w:val="231F20"/>
          <w:spacing w:val="-9"/>
          <w:sz w:val="20"/>
        </w:rPr>
        <w:t xml:space="preserve"> </w:t>
      </w:r>
      <w:r>
        <w:rPr>
          <w:color w:val="231F20"/>
          <w:sz w:val="20"/>
        </w:rPr>
        <w:t>years</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 xml:space="preserve">Children’s </w:t>
      </w:r>
      <w:r>
        <w:rPr>
          <w:color w:val="231F20"/>
          <w:sz w:val="20"/>
        </w:rPr>
        <w:t xml:space="preserve">Court </w:t>
      </w:r>
      <w:r>
        <w:rPr>
          <w:color w:val="231F20"/>
          <w:spacing w:val="-3"/>
          <w:sz w:val="20"/>
        </w:rPr>
        <w:t xml:space="preserve">resulted </w:t>
      </w:r>
      <w:r>
        <w:rPr>
          <w:color w:val="231F20"/>
          <w:sz w:val="20"/>
        </w:rPr>
        <w:t xml:space="preserve">in final orders, which risk extending contact with the justice system. </w:t>
      </w:r>
      <w:r>
        <w:rPr>
          <w:color w:val="231F20"/>
          <w:spacing w:val="-3"/>
          <w:sz w:val="20"/>
        </w:rPr>
        <w:t xml:space="preserve">Importantly, </w:t>
      </w:r>
      <w:r>
        <w:rPr>
          <w:color w:val="231F20"/>
          <w:sz w:val="20"/>
        </w:rPr>
        <w:t xml:space="preserve">both </w:t>
      </w:r>
      <w:r>
        <w:rPr>
          <w:color w:val="231F20"/>
          <w:spacing w:val="-3"/>
          <w:sz w:val="20"/>
        </w:rPr>
        <w:t xml:space="preserve">interim </w:t>
      </w:r>
      <w:r>
        <w:rPr>
          <w:color w:val="231F20"/>
          <w:sz w:val="20"/>
        </w:rPr>
        <w:t xml:space="preserve">and final orders </w:t>
      </w:r>
      <w:r>
        <w:rPr>
          <w:color w:val="231F20"/>
          <w:spacing w:val="-3"/>
          <w:sz w:val="20"/>
        </w:rPr>
        <w:t xml:space="preserve">are </w:t>
      </w:r>
      <w:r>
        <w:rPr>
          <w:color w:val="231F20"/>
          <w:sz w:val="20"/>
        </w:rPr>
        <w:t>subject to the criminal offence of breach of</w:t>
      </w:r>
      <w:r>
        <w:rPr>
          <w:color w:val="231F20"/>
          <w:spacing w:val="-7"/>
          <w:sz w:val="20"/>
        </w:rPr>
        <w:t xml:space="preserve"> </w:t>
      </w:r>
      <w:r>
        <w:rPr>
          <w:color w:val="231F20"/>
          <w:sz w:val="20"/>
        </w:rPr>
        <w:t>a</w:t>
      </w:r>
      <w:r>
        <w:rPr>
          <w:color w:val="231F20"/>
          <w:spacing w:val="-6"/>
          <w:sz w:val="20"/>
        </w:rPr>
        <w:t xml:space="preserve"> </w:t>
      </w:r>
      <w:r>
        <w:rPr>
          <w:color w:val="231F20"/>
          <w:sz w:val="20"/>
        </w:rPr>
        <w:t>PSIO,</w:t>
      </w:r>
      <w:r>
        <w:rPr>
          <w:color w:val="231F20"/>
          <w:spacing w:val="-7"/>
          <w:sz w:val="20"/>
        </w:rPr>
        <w:t xml:space="preserve"> </w:t>
      </w:r>
      <w:r>
        <w:rPr>
          <w:color w:val="231F20"/>
          <w:sz w:val="20"/>
        </w:rPr>
        <w:t>so</w:t>
      </w:r>
      <w:r>
        <w:rPr>
          <w:color w:val="231F20"/>
          <w:spacing w:val="-6"/>
          <w:sz w:val="20"/>
        </w:rPr>
        <w:t xml:space="preserve"> </w:t>
      </w:r>
      <w:r>
        <w:rPr>
          <w:color w:val="231F20"/>
          <w:sz w:val="20"/>
        </w:rPr>
        <w:t>both</w:t>
      </w:r>
      <w:r>
        <w:rPr>
          <w:color w:val="231F20"/>
          <w:spacing w:val="-7"/>
          <w:sz w:val="20"/>
        </w:rPr>
        <w:t xml:space="preserve"> </w:t>
      </w:r>
      <w:r>
        <w:rPr>
          <w:color w:val="231F20"/>
          <w:sz w:val="20"/>
        </w:rPr>
        <w:t>options</w:t>
      </w:r>
      <w:r>
        <w:rPr>
          <w:color w:val="231F20"/>
          <w:spacing w:val="-6"/>
          <w:sz w:val="20"/>
        </w:rPr>
        <w:t xml:space="preserve"> </w:t>
      </w:r>
      <w:r>
        <w:rPr>
          <w:color w:val="231F20"/>
          <w:sz w:val="20"/>
        </w:rPr>
        <w:t>can</w:t>
      </w:r>
      <w:r>
        <w:rPr>
          <w:color w:val="231F20"/>
          <w:spacing w:val="-7"/>
          <w:sz w:val="20"/>
        </w:rPr>
        <w:t xml:space="preserve"> </w:t>
      </w:r>
      <w:r>
        <w:rPr>
          <w:color w:val="231F20"/>
          <w:spacing w:val="-3"/>
          <w:sz w:val="20"/>
        </w:rPr>
        <w:t>result</w:t>
      </w:r>
      <w:r>
        <w:rPr>
          <w:color w:val="231F20"/>
          <w:spacing w:val="-6"/>
          <w:sz w:val="20"/>
        </w:rPr>
        <w:t xml:space="preserve"> </w:t>
      </w:r>
      <w:r>
        <w:rPr>
          <w:color w:val="231F20"/>
          <w:sz w:val="20"/>
        </w:rPr>
        <w:t>in</w:t>
      </w:r>
      <w:r>
        <w:rPr>
          <w:color w:val="231F20"/>
          <w:spacing w:val="-7"/>
          <w:sz w:val="20"/>
        </w:rPr>
        <w:t xml:space="preserve"> </w:t>
      </w:r>
      <w:r>
        <w:rPr>
          <w:color w:val="231F20"/>
          <w:sz w:val="20"/>
        </w:rPr>
        <w:t>contact</w:t>
      </w:r>
      <w:r>
        <w:rPr>
          <w:color w:val="231F20"/>
          <w:spacing w:val="-6"/>
          <w:sz w:val="20"/>
        </w:rPr>
        <w:t xml:space="preserve"> </w:t>
      </w:r>
      <w:r>
        <w:rPr>
          <w:color w:val="231F20"/>
          <w:sz w:val="20"/>
        </w:rPr>
        <w:t>with</w:t>
      </w:r>
      <w:r>
        <w:rPr>
          <w:color w:val="231F20"/>
          <w:spacing w:val="-7"/>
          <w:sz w:val="20"/>
        </w:rPr>
        <w:t xml:space="preserve"> </w:t>
      </w:r>
      <w:r>
        <w:rPr>
          <w:color w:val="231F20"/>
          <w:sz w:val="20"/>
        </w:rPr>
        <w:t>the</w:t>
      </w:r>
      <w:r>
        <w:rPr>
          <w:color w:val="231F20"/>
          <w:spacing w:val="-6"/>
          <w:sz w:val="20"/>
        </w:rPr>
        <w:t xml:space="preserve"> </w:t>
      </w:r>
      <w:r>
        <w:rPr>
          <w:color w:val="231F20"/>
          <w:sz w:val="20"/>
        </w:rPr>
        <w:t>criminal</w:t>
      </w:r>
      <w:r>
        <w:rPr>
          <w:color w:val="231F20"/>
          <w:spacing w:val="-7"/>
          <w:sz w:val="20"/>
        </w:rPr>
        <w:t xml:space="preserve"> </w:t>
      </w:r>
      <w:r>
        <w:rPr>
          <w:color w:val="231F20"/>
          <w:sz w:val="20"/>
        </w:rPr>
        <w:t>justice</w:t>
      </w:r>
      <w:r>
        <w:rPr>
          <w:color w:val="231F20"/>
          <w:spacing w:val="-6"/>
          <w:sz w:val="20"/>
        </w:rPr>
        <w:t xml:space="preserve"> </w:t>
      </w:r>
      <w:r>
        <w:rPr>
          <w:color w:val="231F20"/>
          <w:sz w:val="20"/>
        </w:rPr>
        <w:t>system.</w:t>
      </w:r>
      <w:r>
        <w:rPr>
          <w:color w:val="231F20"/>
          <w:position w:val="7"/>
          <w:sz w:val="11"/>
        </w:rPr>
        <w:t>243</w:t>
      </w:r>
    </w:p>
    <w:p w14:paraId="2ADC08B1" w14:textId="77777777" w:rsidR="00894070" w:rsidRDefault="009B7AFD">
      <w:pPr>
        <w:pStyle w:val="ListParagraph"/>
        <w:numPr>
          <w:ilvl w:val="1"/>
          <w:numId w:val="102"/>
        </w:numPr>
        <w:tabs>
          <w:tab w:val="left" w:pos="1801"/>
          <w:tab w:val="left" w:pos="1802"/>
        </w:tabs>
        <w:spacing w:before="127" w:line="206" w:lineRule="auto"/>
        <w:ind w:right="1754"/>
        <w:rPr>
          <w:sz w:val="20"/>
        </w:rPr>
      </w:pPr>
      <w:r>
        <w:rPr>
          <w:color w:val="231F20"/>
          <w:spacing w:val="-6"/>
          <w:sz w:val="20"/>
        </w:rPr>
        <w:t>We</w:t>
      </w:r>
      <w:r>
        <w:rPr>
          <w:color w:val="231F20"/>
          <w:spacing w:val="-7"/>
          <w:sz w:val="20"/>
        </w:rPr>
        <w:t xml:space="preserve"> </w:t>
      </w:r>
      <w:r>
        <w:rPr>
          <w:color w:val="231F20"/>
          <w:spacing w:val="-3"/>
          <w:sz w:val="20"/>
        </w:rPr>
        <w:t>appreciate</w:t>
      </w:r>
      <w:r>
        <w:rPr>
          <w:color w:val="231F20"/>
          <w:spacing w:val="-7"/>
          <w:sz w:val="20"/>
        </w:rPr>
        <w:t xml:space="preserve"> </w:t>
      </w:r>
      <w:r>
        <w:rPr>
          <w:color w:val="231F20"/>
          <w:sz w:val="20"/>
        </w:rPr>
        <w:t>the</w:t>
      </w:r>
      <w:r>
        <w:rPr>
          <w:color w:val="231F20"/>
          <w:spacing w:val="-7"/>
          <w:sz w:val="20"/>
        </w:rPr>
        <w:t xml:space="preserve"> </w:t>
      </w:r>
      <w:r>
        <w:rPr>
          <w:color w:val="231F20"/>
          <w:sz w:val="20"/>
        </w:rPr>
        <w:t>need</w:t>
      </w:r>
      <w:r>
        <w:rPr>
          <w:color w:val="231F20"/>
          <w:spacing w:val="-7"/>
          <w:sz w:val="20"/>
        </w:rPr>
        <w:t xml:space="preserve"> </w:t>
      </w:r>
      <w:r>
        <w:rPr>
          <w:color w:val="231F20"/>
          <w:sz w:val="20"/>
        </w:rPr>
        <w:t>to</w:t>
      </w:r>
      <w:r>
        <w:rPr>
          <w:color w:val="231F20"/>
          <w:spacing w:val="-7"/>
          <w:sz w:val="20"/>
        </w:rPr>
        <w:t xml:space="preserve"> </w:t>
      </w:r>
      <w:r>
        <w:rPr>
          <w:color w:val="231F20"/>
          <w:sz w:val="20"/>
        </w:rPr>
        <w:t>manage</w:t>
      </w:r>
      <w:r>
        <w:rPr>
          <w:color w:val="231F20"/>
          <w:spacing w:val="-7"/>
          <w:sz w:val="20"/>
        </w:rPr>
        <w:t xml:space="preserve"> </w:t>
      </w:r>
      <w:r>
        <w:rPr>
          <w:color w:val="231F20"/>
          <w:sz w:val="20"/>
        </w:rPr>
        <w:t>serious</w:t>
      </w:r>
      <w:r>
        <w:rPr>
          <w:color w:val="231F20"/>
          <w:spacing w:val="-7"/>
          <w:sz w:val="20"/>
        </w:rPr>
        <w:t xml:space="preserve"> </w:t>
      </w:r>
      <w:r>
        <w:rPr>
          <w:color w:val="231F20"/>
          <w:sz w:val="20"/>
        </w:rPr>
        <w:t>behaviour</w:t>
      </w:r>
      <w:r>
        <w:rPr>
          <w:color w:val="231F20"/>
          <w:spacing w:val="-7"/>
          <w:sz w:val="20"/>
        </w:rPr>
        <w:t xml:space="preserve"> </w:t>
      </w:r>
      <w:r>
        <w:rPr>
          <w:color w:val="231F20"/>
          <w:spacing w:val="-4"/>
          <w:sz w:val="20"/>
        </w:rPr>
        <w:t>quickly,</w:t>
      </w:r>
      <w:r>
        <w:rPr>
          <w:color w:val="231F20"/>
          <w:spacing w:val="-7"/>
          <w:sz w:val="20"/>
        </w:rPr>
        <w:t xml:space="preserve"> </w:t>
      </w:r>
      <w:r>
        <w:rPr>
          <w:color w:val="231F20"/>
          <w:sz w:val="20"/>
        </w:rPr>
        <w:t>but</w:t>
      </w:r>
      <w:r>
        <w:rPr>
          <w:color w:val="231F20"/>
          <w:spacing w:val="-7"/>
          <w:sz w:val="20"/>
        </w:rPr>
        <w:t xml:space="preserve"> </w:t>
      </w:r>
      <w:r>
        <w:rPr>
          <w:color w:val="231F20"/>
          <w:sz w:val="20"/>
        </w:rPr>
        <w:t>this</w:t>
      </w:r>
      <w:r>
        <w:rPr>
          <w:color w:val="231F20"/>
          <w:spacing w:val="-7"/>
          <w:sz w:val="20"/>
        </w:rPr>
        <w:t xml:space="preserve"> </w:t>
      </w:r>
      <w:r>
        <w:rPr>
          <w:color w:val="231F20"/>
          <w:sz w:val="20"/>
        </w:rPr>
        <w:t>cannot</w:t>
      </w:r>
      <w:r>
        <w:rPr>
          <w:color w:val="231F20"/>
          <w:spacing w:val="-7"/>
          <w:sz w:val="20"/>
        </w:rPr>
        <w:t xml:space="preserve"> </w:t>
      </w:r>
      <w:r>
        <w:rPr>
          <w:color w:val="231F20"/>
          <w:sz w:val="20"/>
        </w:rPr>
        <w:t>be a</w:t>
      </w:r>
      <w:r>
        <w:rPr>
          <w:color w:val="231F20"/>
          <w:spacing w:val="-10"/>
          <w:sz w:val="20"/>
        </w:rPr>
        <w:t xml:space="preserve"> </w:t>
      </w:r>
      <w:r>
        <w:rPr>
          <w:color w:val="231F20"/>
          <w:sz w:val="20"/>
        </w:rPr>
        <w:t>reason</w:t>
      </w:r>
      <w:r>
        <w:rPr>
          <w:color w:val="231F20"/>
          <w:spacing w:val="-9"/>
          <w:sz w:val="20"/>
        </w:rPr>
        <w:t xml:space="preserve"> </w:t>
      </w:r>
      <w:r>
        <w:rPr>
          <w:color w:val="231F20"/>
          <w:sz w:val="20"/>
        </w:rPr>
        <w:t>to</w:t>
      </w:r>
      <w:r>
        <w:rPr>
          <w:color w:val="231F20"/>
          <w:spacing w:val="-10"/>
          <w:sz w:val="20"/>
        </w:rPr>
        <w:t xml:space="preserve"> </w:t>
      </w:r>
      <w:r>
        <w:rPr>
          <w:color w:val="231F20"/>
          <w:sz w:val="20"/>
        </w:rPr>
        <w:t>maintain</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current</w:t>
      </w:r>
      <w:r>
        <w:rPr>
          <w:color w:val="231F20"/>
          <w:spacing w:val="-10"/>
          <w:sz w:val="20"/>
        </w:rPr>
        <w:t xml:space="preserve"> </w:t>
      </w:r>
      <w:r>
        <w:rPr>
          <w:color w:val="231F20"/>
          <w:sz w:val="20"/>
        </w:rPr>
        <w:t>age</w:t>
      </w:r>
      <w:r>
        <w:rPr>
          <w:color w:val="231F20"/>
          <w:spacing w:val="-9"/>
          <w:sz w:val="20"/>
        </w:rPr>
        <w:t xml:space="preserve"> </w:t>
      </w:r>
      <w:r>
        <w:rPr>
          <w:color w:val="231F20"/>
          <w:sz w:val="20"/>
        </w:rPr>
        <w:t>minimum.</w:t>
      </w:r>
      <w:r>
        <w:rPr>
          <w:color w:val="231F20"/>
          <w:spacing w:val="-10"/>
          <w:sz w:val="20"/>
        </w:rPr>
        <w:t xml:space="preserve"> </w:t>
      </w:r>
      <w:proofErr w:type="gramStart"/>
      <w:r>
        <w:rPr>
          <w:color w:val="231F20"/>
          <w:sz w:val="20"/>
        </w:rPr>
        <w:t>Instead</w:t>
      </w:r>
      <w:proofErr w:type="gramEnd"/>
      <w:r>
        <w:rPr>
          <w:color w:val="231F20"/>
          <w:spacing w:val="-9"/>
          <w:sz w:val="20"/>
        </w:rPr>
        <w:t xml:space="preserve"> </w:t>
      </w:r>
      <w:r>
        <w:rPr>
          <w:color w:val="231F20"/>
          <w:spacing w:val="-3"/>
          <w:sz w:val="20"/>
        </w:rPr>
        <w:t>we</w:t>
      </w:r>
      <w:r>
        <w:rPr>
          <w:color w:val="231F20"/>
          <w:spacing w:val="-9"/>
          <w:sz w:val="20"/>
        </w:rPr>
        <w:t xml:space="preserve"> </w:t>
      </w:r>
      <w:r>
        <w:rPr>
          <w:color w:val="231F20"/>
          <w:sz w:val="20"/>
        </w:rPr>
        <w:t>should</w:t>
      </w:r>
      <w:r>
        <w:rPr>
          <w:color w:val="231F20"/>
          <w:spacing w:val="-10"/>
          <w:sz w:val="20"/>
        </w:rPr>
        <w:t xml:space="preserve"> </w:t>
      </w:r>
      <w:r>
        <w:rPr>
          <w:color w:val="231F20"/>
          <w:sz w:val="20"/>
        </w:rPr>
        <w:t>look</w:t>
      </w:r>
      <w:r>
        <w:rPr>
          <w:color w:val="231F20"/>
          <w:spacing w:val="-9"/>
          <w:sz w:val="20"/>
        </w:rPr>
        <w:t xml:space="preserve"> </w:t>
      </w:r>
      <w:r>
        <w:rPr>
          <w:color w:val="231F20"/>
          <w:sz w:val="20"/>
        </w:rPr>
        <w:t>to</w:t>
      </w:r>
      <w:r>
        <w:rPr>
          <w:color w:val="231F20"/>
          <w:spacing w:val="-10"/>
          <w:sz w:val="20"/>
        </w:rPr>
        <w:t xml:space="preserve"> </w:t>
      </w:r>
      <w:r>
        <w:rPr>
          <w:color w:val="231F20"/>
          <w:sz w:val="20"/>
        </w:rPr>
        <w:t xml:space="preserve">change a </w:t>
      </w:r>
      <w:r>
        <w:rPr>
          <w:color w:val="231F20"/>
          <w:spacing w:val="-2"/>
          <w:sz w:val="20"/>
        </w:rPr>
        <w:t xml:space="preserve">system </w:t>
      </w:r>
      <w:r>
        <w:rPr>
          <w:color w:val="231F20"/>
          <w:sz w:val="20"/>
        </w:rPr>
        <w:t xml:space="preserve">where </w:t>
      </w:r>
      <w:r>
        <w:rPr>
          <w:color w:val="231F20"/>
          <w:spacing w:val="-3"/>
          <w:sz w:val="20"/>
        </w:rPr>
        <w:t xml:space="preserve">interim </w:t>
      </w:r>
      <w:r>
        <w:rPr>
          <w:color w:val="231F20"/>
          <w:sz w:val="20"/>
        </w:rPr>
        <w:t xml:space="preserve">orders </w:t>
      </w:r>
      <w:r>
        <w:rPr>
          <w:color w:val="231F20"/>
          <w:spacing w:val="-3"/>
          <w:sz w:val="20"/>
        </w:rPr>
        <w:t xml:space="preserve">are </w:t>
      </w:r>
      <w:r>
        <w:rPr>
          <w:color w:val="231F20"/>
          <w:sz w:val="20"/>
        </w:rPr>
        <w:t xml:space="preserve">the </w:t>
      </w:r>
      <w:r>
        <w:rPr>
          <w:color w:val="231F20"/>
          <w:spacing w:val="-3"/>
          <w:sz w:val="20"/>
        </w:rPr>
        <w:t xml:space="preserve">only </w:t>
      </w:r>
      <w:r>
        <w:rPr>
          <w:color w:val="231F20"/>
          <w:sz w:val="20"/>
        </w:rPr>
        <w:t>thing courts can do to address these behaviours.</w:t>
      </w:r>
      <w:r>
        <w:rPr>
          <w:color w:val="231F20"/>
          <w:position w:val="7"/>
          <w:sz w:val="11"/>
        </w:rPr>
        <w:t xml:space="preserve">244 </w:t>
      </w:r>
      <w:r>
        <w:rPr>
          <w:color w:val="231F20"/>
          <w:spacing w:val="-6"/>
          <w:sz w:val="20"/>
        </w:rPr>
        <w:t xml:space="preserve">We </w:t>
      </w:r>
      <w:r>
        <w:rPr>
          <w:color w:val="231F20"/>
          <w:sz w:val="20"/>
        </w:rPr>
        <w:t xml:space="preserve">propose an </w:t>
      </w:r>
      <w:r>
        <w:rPr>
          <w:color w:val="231F20"/>
          <w:spacing w:val="-3"/>
          <w:sz w:val="20"/>
        </w:rPr>
        <w:t xml:space="preserve">alternative, </w:t>
      </w:r>
      <w:r>
        <w:rPr>
          <w:color w:val="231F20"/>
          <w:sz w:val="20"/>
        </w:rPr>
        <w:t xml:space="preserve">more </w:t>
      </w:r>
      <w:r>
        <w:rPr>
          <w:color w:val="231F20"/>
          <w:spacing w:val="-3"/>
          <w:sz w:val="20"/>
        </w:rPr>
        <w:t xml:space="preserve">effective </w:t>
      </w:r>
      <w:r>
        <w:rPr>
          <w:color w:val="231F20"/>
          <w:sz w:val="20"/>
        </w:rPr>
        <w:t xml:space="preserve">response which does not increase the risks of young </w:t>
      </w:r>
      <w:r>
        <w:rPr>
          <w:color w:val="231F20"/>
          <w:spacing w:val="-3"/>
          <w:sz w:val="20"/>
        </w:rPr>
        <w:t xml:space="preserve">children </w:t>
      </w:r>
      <w:r>
        <w:rPr>
          <w:color w:val="231F20"/>
          <w:sz w:val="20"/>
        </w:rPr>
        <w:t xml:space="preserve">becoming criminalised. </w:t>
      </w:r>
      <w:r>
        <w:rPr>
          <w:color w:val="231F20"/>
          <w:spacing w:val="-6"/>
          <w:sz w:val="20"/>
        </w:rPr>
        <w:t xml:space="preserve">We </w:t>
      </w:r>
      <w:r>
        <w:rPr>
          <w:color w:val="231F20"/>
          <w:sz w:val="20"/>
        </w:rPr>
        <w:t>discuss our recommendation</w:t>
      </w:r>
      <w:r>
        <w:rPr>
          <w:color w:val="231F20"/>
          <w:spacing w:val="-8"/>
          <w:sz w:val="20"/>
        </w:rPr>
        <w:t xml:space="preserve"> </w:t>
      </w:r>
      <w:r>
        <w:rPr>
          <w:color w:val="231F20"/>
          <w:spacing w:val="-3"/>
          <w:sz w:val="20"/>
        </w:rPr>
        <w:t>for</w:t>
      </w:r>
      <w:r>
        <w:rPr>
          <w:color w:val="231F20"/>
          <w:spacing w:val="-7"/>
          <w:sz w:val="20"/>
        </w:rPr>
        <w:t xml:space="preserve"> </w:t>
      </w:r>
      <w:r>
        <w:rPr>
          <w:color w:val="231F20"/>
          <w:sz w:val="20"/>
        </w:rPr>
        <w:t>a</w:t>
      </w:r>
      <w:r>
        <w:rPr>
          <w:color w:val="231F20"/>
          <w:spacing w:val="-8"/>
          <w:sz w:val="20"/>
        </w:rPr>
        <w:t xml:space="preserve"> </w:t>
      </w:r>
      <w:r>
        <w:rPr>
          <w:color w:val="231F20"/>
          <w:spacing w:val="-4"/>
          <w:sz w:val="20"/>
        </w:rPr>
        <w:t>pathway</w:t>
      </w:r>
      <w:r>
        <w:rPr>
          <w:color w:val="231F20"/>
          <w:spacing w:val="-7"/>
          <w:sz w:val="20"/>
        </w:rPr>
        <w:t xml:space="preserve"> </w:t>
      </w:r>
      <w:r>
        <w:rPr>
          <w:color w:val="231F20"/>
          <w:sz w:val="20"/>
        </w:rPr>
        <w:t>to</w:t>
      </w:r>
      <w:r>
        <w:rPr>
          <w:color w:val="231F20"/>
          <w:spacing w:val="-7"/>
          <w:sz w:val="20"/>
        </w:rPr>
        <w:t xml:space="preserve"> </w:t>
      </w:r>
      <w:r>
        <w:rPr>
          <w:color w:val="231F20"/>
          <w:sz w:val="20"/>
        </w:rPr>
        <w:t>address</w:t>
      </w:r>
      <w:r>
        <w:rPr>
          <w:color w:val="231F20"/>
          <w:spacing w:val="-8"/>
          <w:sz w:val="20"/>
        </w:rPr>
        <w:t xml:space="preserve"> </w:t>
      </w:r>
      <w:r>
        <w:rPr>
          <w:color w:val="231F20"/>
          <w:sz w:val="20"/>
        </w:rPr>
        <w:t>stalking</w:t>
      </w:r>
      <w:r>
        <w:rPr>
          <w:color w:val="231F20"/>
          <w:spacing w:val="-7"/>
          <w:sz w:val="20"/>
        </w:rPr>
        <w:t xml:space="preserve"> </w:t>
      </w:r>
      <w:r>
        <w:rPr>
          <w:color w:val="231F20"/>
          <w:sz w:val="20"/>
        </w:rPr>
        <w:t>behaviour</w:t>
      </w:r>
      <w:r>
        <w:rPr>
          <w:color w:val="231F20"/>
          <w:spacing w:val="-7"/>
          <w:sz w:val="20"/>
        </w:rPr>
        <w:t xml:space="preserve"> </w:t>
      </w:r>
      <w:r>
        <w:rPr>
          <w:color w:val="231F20"/>
          <w:sz w:val="20"/>
        </w:rPr>
        <w:t>in</w:t>
      </w:r>
      <w:r>
        <w:rPr>
          <w:color w:val="231F20"/>
          <w:spacing w:val="-8"/>
          <w:sz w:val="20"/>
        </w:rPr>
        <w:t xml:space="preserve"> </w:t>
      </w:r>
      <w:r>
        <w:rPr>
          <w:color w:val="231F20"/>
          <w:spacing w:val="-3"/>
          <w:sz w:val="20"/>
        </w:rPr>
        <w:t>children</w:t>
      </w:r>
      <w:r>
        <w:rPr>
          <w:color w:val="231F20"/>
          <w:spacing w:val="-7"/>
          <w:sz w:val="20"/>
        </w:rPr>
        <w:t xml:space="preserve"> </w:t>
      </w:r>
      <w:r>
        <w:rPr>
          <w:color w:val="231F20"/>
          <w:spacing w:val="-5"/>
          <w:sz w:val="20"/>
        </w:rPr>
        <w:t>below.</w:t>
      </w:r>
    </w:p>
    <w:p w14:paraId="56462F56" w14:textId="77777777" w:rsidR="00894070" w:rsidRDefault="009F6793">
      <w:pPr>
        <w:pStyle w:val="BodyText"/>
        <w:spacing w:before="9"/>
        <w:rPr>
          <w:sz w:val="19"/>
        </w:rPr>
      </w:pPr>
      <w:r>
        <w:pict w14:anchorId="74105B3F">
          <v:group id="_x0000_s1255" style="position:absolute;margin-left:62.35pt;margin-top:15.65pt;width:479.1pt;height:96.4pt;z-index:251706368;mso-wrap-distance-left:0;mso-wrap-distance-right:0;mso-position-horizontal-relative:page" coordorigin="1247,313" coordsize="9582,1928">
            <v:rect id="_x0000_s1260" style="position:absolute;left:1587;top:312;width:8731;height:1928" fillcolor="#fee7de" stroked="f"/>
            <v:line id="_x0000_s1259" style="position:absolute" from="1247,1120" to="10828,1120" strokecolor="white" strokeweight="2.5pt"/>
            <v:shape id="_x0000_s1258" type="#_x0000_t202" style="position:absolute;left:2381;top:1345;width:7388;height:715" filled="f" stroked="f">
              <v:textbox inset="0,0,0,0">
                <w:txbxContent>
                  <w:p w14:paraId="5E4361E4" w14:textId="77777777" w:rsidR="00894070" w:rsidRDefault="009B7AFD">
                    <w:pPr>
                      <w:spacing w:line="247" w:lineRule="auto"/>
                      <w:ind w:right="18"/>
                      <w:jc w:val="both"/>
                      <w:rPr>
                        <w:rFonts w:ascii="Trebuchet MS"/>
                        <w:sz w:val="20"/>
                      </w:rPr>
                    </w:pPr>
                    <w:r>
                      <w:rPr>
                        <w:rFonts w:ascii="Trebuchet MS"/>
                        <w:color w:val="231F20"/>
                        <w:w w:val="105"/>
                        <w:sz w:val="20"/>
                      </w:rPr>
                      <w:t>The</w:t>
                    </w:r>
                    <w:r>
                      <w:rPr>
                        <w:rFonts w:ascii="Trebuchet MS"/>
                        <w:color w:val="231F20"/>
                        <w:spacing w:val="-29"/>
                        <w:w w:val="105"/>
                        <w:sz w:val="20"/>
                      </w:rPr>
                      <w:t xml:space="preserve"> </w:t>
                    </w:r>
                    <w:r>
                      <w:rPr>
                        <w:rFonts w:ascii="Trebuchet MS"/>
                        <w:color w:val="231F20"/>
                        <w:w w:val="105"/>
                        <w:sz w:val="20"/>
                      </w:rPr>
                      <w:t>Victorian</w:t>
                    </w:r>
                    <w:r>
                      <w:rPr>
                        <w:rFonts w:ascii="Trebuchet MS"/>
                        <w:color w:val="231F20"/>
                        <w:spacing w:val="-29"/>
                        <w:w w:val="105"/>
                        <w:sz w:val="20"/>
                      </w:rPr>
                      <w:t xml:space="preserve"> </w:t>
                    </w:r>
                    <w:r>
                      <w:rPr>
                        <w:rFonts w:ascii="Trebuchet MS"/>
                        <w:color w:val="231F20"/>
                        <w:spacing w:val="-3"/>
                        <w:w w:val="105"/>
                        <w:sz w:val="20"/>
                      </w:rPr>
                      <w:t>Government</w:t>
                    </w:r>
                    <w:r>
                      <w:rPr>
                        <w:rFonts w:ascii="Trebuchet MS"/>
                        <w:color w:val="231F20"/>
                        <w:spacing w:val="-29"/>
                        <w:w w:val="105"/>
                        <w:sz w:val="20"/>
                      </w:rPr>
                      <w:t xml:space="preserve"> </w:t>
                    </w:r>
                    <w:r>
                      <w:rPr>
                        <w:rFonts w:ascii="Trebuchet MS"/>
                        <w:color w:val="231F20"/>
                        <w:w w:val="105"/>
                        <w:sz w:val="20"/>
                      </w:rPr>
                      <w:t>should</w:t>
                    </w:r>
                    <w:r>
                      <w:rPr>
                        <w:rFonts w:ascii="Trebuchet MS"/>
                        <w:color w:val="231F20"/>
                        <w:spacing w:val="-28"/>
                        <w:w w:val="105"/>
                        <w:sz w:val="20"/>
                      </w:rPr>
                      <w:t xml:space="preserve"> </w:t>
                    </w:r>
                    <w:r>
                      <w:rPr>
                        <w:rFonts w:ascii="Trebuchet MS"/>
                        <w:color w:val="231F20"/>
                        <w:w w:val="105"/>
                        <w:sz w:val="20"/>
                      </w:rPr>
                      <w:t>amend</w:t>
                    </w:r>
                    <w:r>
                      <w:rPr>
                        <w:rFonts w:ascii="Trebuchet MS"/>
                        <w:color w:val="231F20"/>
                        <w:spacing w:val="-29"/>
                        <w:w w:val="105"/>
                        <w:sz w:val="20"/>
                      </w:rPr>
                      <w:t xml:space="preserve"> </w:t>
                    </w:r>
                    <w:r>
                      <w:rPr>
                        <w:rFonts w:ascii="Trebuchet MS"/>
                        <w:color w:val="231F20"/>
                        <w:w w:val="105"/>
                        <w:sz w:val="20"/>
                      </w:rPr>
                      <w:t>the</w:t>
                    </w:r>
                    <w:r>
                      <w:rPr>
                        <w:rFonts w:ascii="Trebuchet MS"/>
                        <w:color w:val="231F20"/>
                        <w:spacing w:val="-29"/>
                        <w:w w:val="105"/>
                        <w:sz w:val="20"/>
                      </w:rPr>
                      <w:t xml:space="preserve"> </w:t>
                    </w:r>
                    <w:r>
                      <w:rPr>
                        <w:rFonts w:ascii="Arial"/>
                        <w:i/>
                        <w:color w:val="231F20"/>
                        <w:w w:val="105"/>
                        <w:sz w:val="20"/>
                      </w:rPr>
                      <w:t>Personal</w:t>
                    </w:r>
                    <w:r>
                      <w:rPr>
                        <w:rFonts w:ascii="Arial"/>
                        <w:i/>
                        <w:color w:val="231F20"/>
                        <w:spacing w:val="-25"/>
                        <w:w w:val="105"/>
                        <w:sz w:val="20"/>
                      </w:rPr>
                      <w:t xml:space="preserve"> </w:t>
                    </w:r>
                    <w:r>
                      <w:rPr>
                        <w:rFonts w:ascii="Arial"/>
                        <w:i/>
                        <w:color w:val="231F20"/>
                        <w:w w:val="105"/>
                        <w:sz w:val="20"/>
                      </w:rPr>
                      <w:t>Safety</w:t>
                    </w:r>
                    <w:r>
                      <w:rPr>
                        <w:rFonts w:ascii="Arial"/>
                        <w:i/>
                        <w:color w:val="231F20"/>
                        <w:spacing w:val="-25"/>
                        <w:w w:val="105"/>
                        <w:sz w:val="20"/>
                      </w:rPr>
                      <w:t xml:space="preserve"> </w:t>
                    </w:r>
                    <w:r>
                      <w:rPr>
                        <w:rFonts w:ascii="Arial"/>
                        <w:i/>
                        <w:color w:val="231F20"/>
                        <w:w w:val="105"/>
                        <w:sz w:val="20"/>
                      </w:rPr>
                      <w:t>Intervention</w:t>
                    </w:r>
                    <w:r>
                      <w:rPr>
                        <w:rFonts w:ascii="Arial"/>
                        <w:i/>
                        <w:color w:val="231F20"/>
                        <w:spacing w:val="-25"/>
                        <w:w w:val="105"/>
                        <w:sz w:val="20"/>
                      </w:rPr>
                      <w:t xml:space="preserve"> </w:t>
                    </w:r>
                    <w:r>
                      <w:rPr>
                        <w:rFonts w:ascii="Arial"/>
                        <w:i/>
                        <w:color w:val="231F20"/>
                        <w:w w:val="105"/>
                        <w:sz w:val="20"/>
                      </w:rPr>
                      <w:t>Orders Act</w:t>
                    </w:r>
                    <w:r>
                      <w:rPr>
                        <w:rFonts w:ascii="Arial"/>
                        <w:i/>
                        <w:color w:val="231F20"/>
                        <w:spacing w:val="-23"/>
                        <w:w w:val="105"/>
                        <w:sz w:val="20"/>
                      </w:rPr>
                      <w:t xml:space="preserve"> </w:t>
                    </w:r>
                    <w:r>
                      <w:rPr>
                        <w:rFonts w:ascii="Arial"/>
                        <w:i/>
                        <w:color w:val="231F20"/>
                        <w:spacing w:val="-3"/>
                        <w:w w:val="105"/>
                        <w:sz w:val="20"/>
                      </w:rPr>
                      <w:t>2010</w:t>
                    </w:r>
                    <w:r>
                      <w:rPr>
                        <w:rFonts w:ascii="Arial"/>
                        <w:i/>
                        <w:color w:val="231F20"/>
                        <w:spacing w:val="-20"/>
                        <w:w w:val="105"/>
                        <w:sz w:val="20"/>
                      </w:rPr>
                      <w:t xml:space="preserve"> </w:t>
                    </w:r>
                    <w:r>
                      <w:rPr>
                        <w:rFonts w:ascii="Trebuchet MS"/>
                        <w:color w:val="231F20"/>
                        <w:w w:val="105"/>
                        <w:sz w:val="20"/>
                      </w:rPr>
                      <w:t>(Vic)</w:t>
                    </w:r>
                    <w:r>
                      <w:rPr>
                        <w:rFonts w:ascii="Trebuchet MS"/>
                        <w:color w:val="231F20"/>
                        <w:spacing w:val="-26"/>
                        <w:w w:val="105"/>
                        <w:sz w:val="20"/>
                      </w:rPr>
                      <w:t xml:space="preserve"> </w:t>
                    </w:r>
                    <w:r>
                      <w:rPr>
                        <w:rFonts w:ascii="Trebuchet MS"/>
                        <w:color w:val="231F20"/>
                        <w:w w:val="105"/>
                        <w:sz w:val="20"/>
                      </w:rPr>
                      <w:t>to</w:t>
                    </w:r>
                    <w:r>
                      <w:rPr>
                        <w:rFonts w:ascii="Trebuchet MS"/>
                        <w:color w:val="231F20"/>
                        <w:spacing w:val="-26"/>
                        <w:w w:val="105"/>
                        <w:sz w:val="20"/>
                      </w:rPr>
                      <w:t xml:space="preserve"> </w:t>
                    </w:r>
                    <w:r>
                      <w:rPr>
                        <w:rFonts w:ascii="Trebuchet MS"/>
                        <w:color w:val="231F20"/>
                        <w:spacing w:val="-3"/>
                        <w:w w:val="105"/>
                        <w:sz w:val="20"/>
                      </w:rPr>
                      <w:t>prevent</w:t>
                    </w:r>
                    <w:r>
                      <w:rPr>
                        <w:rFonts w:ascii="Trebuchet MS"/>
                        <w:color w:val="231F20"/>
                        <w:spacing w:val="-26"/>
                        <w:w w:val="105"/>
                        <w:sz w:val="20"/>
                      </w:rPr>
                      <w:t xml:space="preserve"> </w:t>
                    </w:r>
                    <w:r>
                      <w:rPr>
                        <w:rFonts w:ascii="Trebuchet MS"/>
                        <w:color w:val="231F20"/>
                        <w:w w:val="105"/>
                        <w:sz w:val="20"/>
                      </w:rPr>
                      <w:t>personal</w:t>
                    </w:r>
                    <w:r>
                      <w:rPr>
                        <w:rFonts w:ascii="Trebuchet MS"/>
                        <w:color w:val="231F20"/>
                        <w:spacing w:val="-26"/>
                        <w:w w:val="105"/>
                        <w:sz w:val="20"/>
                      </w:rPr>
                      <w:t xml:space="preserve"> </w:t>
                    </w:r>
                    <w:r>
                      <w:rPr>
                        <w:rFonts w:ascii="Trebuchet MS"/>
                        <w:color w:val="231F20"/>
                        <w:w w:val="105"/>
                        <w:sz w:val="20"/>
                      </w:rPr>
                      <w:t>safety</w:t>
                    </w:r>
                    <w:r>
                      <w:rPr>
                        <w:rFonts w:ascii="Trebuchet MS"/>
                        <w:color w:val="231F20"/>
                        <w:spacing w:val="-26"/>
                        <w:w w:val="105"/>
                        <w:sz w:val="20"/>
                      </w:rPr>
                      <w:t xml:space="preserve"> </w:t>
                    </w:r>
                    <w:r>
                      <w:rPr>
                        <w:rFonts w:ascii="Trebuchet MS"/>
                        <w:color w:val="231F20"/>
                        <w:w w:val="105"/>
                        <w:sz w:val="20"/>
                      </w:rPr>
                      <w:t>intervention</w:t>
                    </w:r>
                    <w:r>
                      <w:rPr>
                        <w:rFonts w:ascii="Trebuchet MS"/>
                        <w:color w:val="231F20"/>
                        <w:spacing w:val="-26"/>
                        <w:w w:val="105"/>
                        <w:sz w:val="20"/>
                      </w:rPr>
                      <w:t xml:space="preserve"> </w:t>
                    </w:r>
                    <w:r>
                      <w:rPr>
                        <w:rFonts w:ascii="Trebuchet MS"/>
                        <w:color w:val="231F20"/>
                        <w:w w:val="105"/>
                        <w:sz w:val="20"/>
                      </w:rPr>
                      <w:t>orders</w:t>
                    </w:r>
                    <w:r>
                      <w:rPr>
                        <w:rFonts w:ascii="Trebuchet MS"/>
                        <w:color w:val="231F20"/>
                        <w:spacing w:val="-25"/>
                        <w:w w:val="105"/>
                        <w:sz w:val="20"/>
                      </w:rPr>
                      <w:t xml:space="preserve"> </w:t>
                    </w:r>
                    <w:r>
                      <w:rPr>
                        <w:rFonts w:ascii="Trebuchet MS"/>
                        <w:color w:val="231F20"/>
                        <w:w w:val="105"/>
                        <w:sz w:val="20"/>
                      </w:rPr>
                      <w:t>being</w:t>
                    </w:r>
                    <w:r>
                      <w:rPr>
                        <w:rFonts w:ascii="Trebuchet MS"/>
                        <w:color w:val="231F20"/>
                        <w:spacing w:val="-26"/>
                        <w:w w:val="105"/>
                        <w:sz w:val="20"/>
                      </w:rPr>
                      <w:t xml:space="preserve"> </w:t>
                    </w:r>
                    <w:r>
                      <w:rPr>
                        <w:rFonts w:ascii="Trebuchet MS"/>
                        <w:color w:val="231F20"/>
                        <w:w w:val="105"/>
                        <w:sz w:val="20"/>
                      </w:rPr>
                      <w:t>made</w:t>
                    </w:r>
                    <w:r>
                      <w:rPr>
                        <w:rFonts w:ascii="Trebuchet MS"/>
                        <w:color w:val="231F20"/>
                        <w:spacing w:val="-26"/>
                        <w:w w:val="105"/>
                        <w:sz w:val="20"/>
                      </w:rPr>
                      <w:t xml:space="preserve"> </w:t>
                    </w:r>
                    <w:r>
                      <w:rPr>
                        <w:rFonts w:ascii="Trebuchet MS"/>
                        <w:color w:val="231F20"/>
                        <w:w w:val="105"/>
                        <w:sz w:val="20"/>
                      </w:rPr>
                      <w:t xml:space="preserve">against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09"/>
                        <w:sz w:val="20"/>
                      </w:rPr>
                      <w:t>u</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24"/>
                        <w:sz w:val="20"/>
                      </w:rPr>
                      <w:t>g</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5"/>
                        <w:sz w:val="20"/>
                      </w:rPr>
                      <w:t>1</w:t>
                    </w:r>
                    <w:r>
                      <w:rPr>
                        <w:rFonts w:ascii="Trebuchet MS"/>
                        <w:color w:val="231F20"/>
                        <w:w w:val="106"/>
                        <w:sz w:val="20"/>
                      </w:rPr>
                      <w:t>4</w:t>
                    </w:r>
                    <w:r>
                      <w:rPr>
                        <w:rFonts w:ascii="Trebuchet MS"/>
                        <w:color w:val="231F20"/>
                        <w:spacing w:val="-14"/>
                        <w:sz w:val="20"/>
                      </w:rPr>
                      <w:t xml:space="preserve"> </w:t>
                    </w:r>
                    <w:r>
                      <w:rPr>
                        <w:rFonts w:ascii="Trebuchet MS"/>
                        <w:color w:val="231F20"/>
                        <w:spacing w:val="-6"/>
                        <w:w w:val="110"/>
                        <w:sz w:val="20"/>
                      </w:rPr>
                      <w:t>y</w:t>
                    </w:r>
                    <w:r>
                      <w:rPr>
                        <w:rFonts w:ascii="Trebuchet MS"/>
                        <w:color w:val="231F20"/>
                        <w:spacing w:val="-1"/>
                        <w:w w:val="108"/>
                        <w:sz w:val="20"/>
                      </w:rPr>
                      <w:t>e</w:t>
                    </w:r>
                    <w:r>
                      <w:rPr>
                        <w:rFonts w:ascii="Trebuchet MS"/>
                        <w:color w:val="231F20"/>
                        <w:spacing w:val="-2"/>
                        <w:w w:val="105"/>
                        <w:sz w:val="20"/>
                      </w:rPr>
                      <w:t>a</w:t>
                    </w:r>
                    <w:r>
                      <w:rPr>
                        <w:rFonts w:ascii="Trebuchet MS"/>
                        <w:color w:val="231F20"/>
                        <w:spacing w:val="-1"/>
                        <w:w w:val="93"/>
                        <w:sz w:val="20"/>
                      </w:rPr>
                      <w:t>r</w:t>
                    </w:r>
                    <w:r>
                      <w:rPr>
                        <w:rFonts w:ascii="Trebuchet MS"/>
                        <w:color w:val="231F20"/>
                        <w:spacing w:val="1"/>
                        <w:w w:val="122"/>
                        <w:sz w:val="20"/>
                      </w:rPr>
                      <w:t>s</w:t>
                    </w:r>
                    <w:r>
                      <w:rPr>
                        <w:rFonts w:ascii="Trebuchet MS"/>
                        <w:color w:val="231F20"/>
                        <w:w w:val="55"/>
                        <w:sz w:val="20"/>
                      </w:rPr>
                      <w:t>.</w:t>
                    </w:r>
                  </w:p>
                </w:txbxContent>
              </v:textbox>
            </v:shape>
            <v:shape id="_x0000_s1257" type="#_x0000_t202" style="position:absolute;left:1814;top:1345;width:285;height:235" filled="f" stroked="f">
              <v:textbox inset="0,0,0,0">
                <w:txbxContent>
                  <w:p w14:paraId="1A1A0379" w14:textId="77777777" w:rsidR="00894070" w:rsidRDefault="009B7AFD">
                    <w:pPr>
                      <w:rPr>
                        <w:rFonts w:ascii="Trebuchet MS"/>
                        <w:sz w:val="20"/>
                      </w:rPr>
                    </w:pPr>
                    <w:r>
                      <w:rPr>
                        <w:rFonts w:ascii="Trebuchet MS"/>
                        <w:color w:val="231F20"/>
                        <w:w w:val="95"/>
                        <w:sz w:val="20"/>
                      </w:rPr>
                      <w:t>28.</w:t>
                    </w:r>
                  </w:p>
                </w:txbxContent>
              </v:textbox>
            </v:shape>
            <v:shape id="_x0000_s1256" type="#_x0000_t202" style="position:absolute;left:1587;top:312;width:8731;height:783" fillcolor="#fee7de" stroked="f">
              <v:textbox inset="0,0,0,0">
                <w:txbxContent>
                  <w:p w14:paraId="78950FDD"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wrap type="topAndBottom" anchorx="page"/>
          </v:group>
        </w:pict>
      </w:r>
    </w:p>
    <w:p w14:paraId="5D92E98E" w14:textId="77777777" w:rsidR="00894070" w:rsidRDefault="00894070">
      <w:pPr>
        <w:pStyle w:val="BodyText"/>
        <w:spacing w:before="3"/>
        <w:rPr>
          <w:sz w:val="29"/>
        </w:rPr>
      </w:pPr>
    </w:p>
    <w:p w14:paraId="6816DB54" w14:textId="77777777" w:rsidR="00894070" w:rsidRDefault="009B7AFD">
      <w:pPr>
        <w:pStyle w:val="Heading8"/>
        <w:spacing w:before="48"/>
        <w:ind w:left="1007"/>
      </w:pPr>
      <w:r>
        <w:rPr>
          <w:color w:val="231F20"/>
        </w:rPr>
        <w:t>Alternative pathways are needed</w:t>
      </w:r>
    </w:p>
    <w:p w14:paraId="4FE91130" w14:textId="77777777" w:rsidR="00894070" w:rsidRDefault="009B7AFD">
      <w:pPr>
        <w:pStyle w:val="ListParagraph"/>
        <w:numPr>
          <w:ilvl w:val="1"/>
          <w:numId w:val="102"/>
        </w:numPr>
        <w:tabs>
          <w:tab w:val="left" w:pos="1801"/>
          <w:tab w:val="left" w:pos="1802"/>
        </w:tabs>
        <w:spacing w:before="95"/>
        <w:rPr>
          <w:sz w:val="11"/>
        </w:rPr>
      </w:pPr>
      <w:r>
        <w:rPr>
          <w:color w:val="231F20"/>
          <w:sz w:val="20"/>
        </w:rPr>
        <w:t xml:space="preserve">There </w:t>
      </w:r>
      <w:r>
        <w:rPr>
          <w:color w:val="231F20"/>
          <w:spacing w:val="-3"/>
          <w:sz w:val="20"/>
        </w:rPr>
        <w:t xml:space="preserve">are </w:t>
      </w:r>
      <w:r>
        <w:rPr>
          <w:color w:val="231F20"/>
          <w:sz w:val="20"/>
        </w:rPr>
        <w:t xml:space="preserve">no formal </w:t>
      </w:r>
      <w:r>
        <w:rPr>
          <w:color w:val="231F20"/>
          <w:spacing w:val="-4"/>
          <w:sz w:val="20"/>
        </w:rPr>
        <w:t xml:space="preserve">pathways </w:t>
      </w:r>
      <w:r>
        <w:rPr>
          <w:color w:val="231F20"/>
          <w:spacing w:val="-3"/>
          <w:sz w:val="20"/>
        </w:rPr>
        <w:t xml:space="preserve">for </w:t>
      </w:r>
      <w:r>
        <w:rPr>
          <w:color w:val="231F20"/>
          <w:sz w:val="20"/>
        </w:rPr>
        <w:t>child respondents in stalking</w:t>
      </w:r>
      <w:r>
        <w:rPr>
          <w:color w:val="231F20"/>
          <w:spacing w:val="-35"/>
          <w:sz w:val="20"/>
        </w:rPr>
        <w:t xml:space="preserve"> </w:t>
      </w:r>
      <w:r>
        <w:rPr>
          <w:color w:val="231F20"/>
          <w:sz w:val="20"/>
        </w:rPr>
        <w:t>cases.</w:t>
      </w:r>
      <w:r>
        <w:rPr>
          <w:color w:val="231F20"/>
          <w:position w:val="7"/>
          <w:sz w:val="11"/>
        </w:rPr>
        <w:t>245</w:t>
      </w:r>
    </w:p>
    <w:p w14:paraId="3B4538F4" w14:textId="77777777" w:rsidR="00894070" w:rsidRDefault="009B7AFD">
      <w:pPr>
        <w:pStyle w:val="ListParagraph"/>
        <w:numPr>
          <w:ilvl w:val="1"/>
          <w:numId w:val="102"/>
        </w:numPr>
        <w:tabs>
          <w:tab w:val="left" w:pos="1801"/>
          <w:tab w:val="left" w:pos="1802"/>
        </w:tabs>
        <w:spacing w:before="115" w:line="206" w:lineRule="auto"/>
        <w:ind w:right="1265"/>
        <w:rPr>
          <w:sz w:val="11"/>
        </w:rPr>
      </w:pPr>
      <w:r>
        <w:rPr>
          <w:color w:val="231F20"/>
          <w:sz w:val="20"/>
        </w:rPr>
        <w:t xml:space="preserve">While there </w:t>
      </w:r>
      <w:r>
        <w:rPr>
          <w:color w:val="231F20"/>
          <w:spacing w:val="-3"/>
          <w:sz w:val="20"/>
        </w:rPr>
        <w:t xml:space="preserve">are youth </w:t>
      </w:r>
      <w:r>
        <w:rPr>
          <w:color w:val="231F20"/>
          <w:sz w:val="20"/>
        </w:rPr>
        <w:t xml:space="preserve">community </w:t>
      </w:r>
      <w:r>
        <w:rPr>
          <w:color w:val="231F20"/>
          <w:spacing w:val="-3"/>
          <w:sz w:val="20"/>
        </w:rPr>
        <w:t xml:space="preserve">forensic </w:t>
      </w:r>
      <w:r>
        <w:rPr>
          <w:color w:val="231F20"/>
          <w:sz w:val="20"/>
        </w:rPr>
        <w:t xml:space="preserve">services, these </w:t>
      </w:r>
      <w:r>
        <w:rPr>
          <w:color w:val="231F20"/>
          <w:spacing w:val="-4"/>
          <w:sz w:val="20"/>
        </w:rPr>
        <w:t xml:space="preserve">cover </w:t>
      </w:r>
      <w:r>
        <w:rPr>
          <w:color w:val="231F20"/>
          <w:sz w:val="20"/>
        </w:rPr>
        <w:t xml:space="preserve">a range of </w:t>
      </w:r>
      <w:r>
        <w:rPr>
          <w:color w:val="231F20"/>
          <w:spacing w:val="-3"/>
          <w:sz w:val="20"/>
        </w:rPr>
        <w:t xml:space="preserve">problem </w:t>
      </w:r>
      <w:r>
        <w:rPr>
          <w:color w:val="231F20"/>
          <w:sz w:val="20"/>
        </w:rPr>
        <w:t xml:space="preserve">behaviours and do not </w:t>
      </w:r>
      <w:r>
        <w:rPr>
          <w:color w:val="231F20"/>
          <w:spacing w:val="-4"/>
          <w:sz w:val="20"/>
        </w:rPr>
        <w:t xml:space="preserve">have </w:t>
      </w:r>
      <w:r>
        <w:rPr>
          <w:color w:val="231F20"/>
          <w:sz w:val="20"/>
        </w:rPr>
        <w:t xml:space="preserve">enough </w:t>
      </w:r>
      <w:r>
        <w:rPr>
          <w:color w:val="231F20"/>
          <w:spacing w:val="-3"/>
          <w:sz w:val="20"/>
        </w:rPr>
        <w:t xml:space="preserve">resources </w:t>
      </w:r>
      <w:r>
        <w:rPr>
          <w:color w:val="231F20"/>
          <w:sz w:val="20"/>
        </w:rPr>
        <w:t>to meet demand.</w:t>
      </w:r>
      <w:r>
        <w:rPr>
          <w:color w:val="231F20"/>
          <w:position w:val="7"/>
          <w:sz w:val="11"/>
        </w:rPr>
        <w:t xml:space="preserve">246 </w:t>
      </w:r>
      <w:r>
        <w:rPr>
          <w:color w:val="231F20"/>
          <w:sz w:val="20"/>
        </w:rPr>
        <w:t xml:space="preserve">They also tend to </w:t>
      </w:r>
      <w:r>
        <w:rPr>
          <w:color w:val="231F20"/>
          <w:spacing w:val="-3"/>
          <w:sz w:val="20"/>
        </w:rPr>
        <w:t>provide</w:t>
      </w:r>
      <w:r>
        <w:rPr>
          <w:color w:val="231F20"/>
          <w:spacing w:val="-9"/>
          <w:sz w:val="20"/>
        </w:rPr>
        <w:t xml:space="preserve"> </w:t>
      </w:r>
      <w:r>
        <w:rPr>
          <w:color w:val="231F20"/>
          <w:sz w:val="20"/>
        </w:rPr>
        <w:t>services</w:t>
      </w:r>
      <w:r>
        <w:rPr>
          <w:color w:val="231F20"/>
          <w:spacing w:val="-8"/>
          <w:sz w:val="20"/>
        </w:rPr>
        <w:t xml:space="preserve"> </w:t>
      </w:r>
      <w:r>
        <w:rPr>
          <w:color w:val="231F20"/>
          <w:sz w:val="20"/>
        </w:rPr>
        <w:t>based</w:t>
      </w:r>
      <w:r>
        <w:rPr>
          <w:color w:val="231F20"/>
          <w:spacing w:val="-8"/>
          <w:sz w:val="20"/>
        </w:rPr>
        <w:t xml:space="preserve"> </w:t>
      </w:r>
      <w:r>
        <w:rPr>
          <w:color w:val="231F20"/>
          <w:sz w:val="20"/>
        </w:rPr>
        <w:t>on</w:t>
      </w:r>
      <w:r>
        <w:rPr>
          <w:color w:val="231F20"/>
          <w:spacing w:val="-9"/>
          <w:sz w:val="20"/>
        </w:rPr>
        <w:t xml:space="preserve"> </w:t>
      </w:r>
      <w:r>
        <w:rPr>
          <w:color w:val="231F20"/>
          <w:sz w:val="20"/>
        </w:rPr>
        <w:t>a</w:t>
      </w:r>
      <w:r>
        <w:rPr>
          <w:color w:val="231F20"/>
          <w:spacing w:val="-8"/>
          <w:sz w:val="20"/>
        </w:rPr>
        <w:t xml:space="preserve"> </w:t>
      </w:r>
      <w:r>
        <w:rPr>
          <w:color w:val="231F20"/>
          <w:sz w:val="20"/>
        </w:rPr>
        <w:t>young</w:t>
      </w:r>
      <w:r>
        <w:rPr>
          <w:color w:val="231F20"/>
          <w:spacing w:val="-8"/>
          <w:sz w:val="20"/>
        </w:rPr>
        <w:t xml:space="preserve"> </w:t>
      </w:r>
      <w:r>
        <w:rPr>
          <w:color w:val="231F20"/>
          <w:sz w:val="20"/>
        </w:rPr>
        <w:t>person</w:t>
      </w:r>
      <w:r>
        <w:rPr>
          <w:color w:val="231F20"/>
          <w:spacing w:val="-9"/>
          <w:sz w:val="20"/>
        </w:rPr>
        <w:t xml:space="preserve"> </w:t>
      </w:r>
      <w:r>
        <w:rPr>
          <w:color w:val="231F20"/>
          <w:spacing w:val="-3"/>
          <w:sz w:val="20"/>
        </w:rPr>
        <w:t>having</w:t>
      </w:r>
      <w:r>
        <w:rPr>
          <w:color w:val="231F20"/>
          <w:spacing w:val="-8"/>
          <w:sz w:val="20"/>
        </w:rPr>
        <w:t xml:space="preserve"> </w:t>
      </w:r>
      <w:r>
        <w:rPr>
          <w:color w:val="231F20"/>
          <w:sz w:val="20"/>
        </w:rPr>
        <w:t>had</w:t>
      </w:r>
      <w:r>
        <w:rPr>
          <w:color w:val="231F20"/>
          <w:spacing w:val="-8"/>
          <w:sz w:val="20"/>
        </w:rPr>
        <w:t xml:space="preserve"> </w:t>
      </w:r>
      <w:r>
        <w:rPr>
          <w:color w:val="231F20"/>
          <w:sz w:val="20"/>
        </w:rPr>
        <w:t>existing</w:t>
      </w:r>
      <w:r>
        <w:rPr>
          <w:color w:val="231F20"/>
          <w:spacing w:val="-9"/>
          <w:sz w:val="20"/>
        </w:rPr>
        <w:t xml:space="preserve"> </w:t>
      </w:r>
      <w:r>
        <w:rPr>
          <w:color w:val="231F20"/>
          <w:sz w:val="20"/>
        </w:rPr>
        <w:t>contact</w:t>
      </w:r>
      <w:r>
        <w:rPr>
          <w:color w:val="231F20"/>
          <w:spacing w:val="-8"/>
          <w:sz w:val="20"/>
        </w:rPr>
        <w:t xml:space="preserve"> </w:t>
      </w:r>
      <w:r>
        <w:rPr>
          <w:color w:val="231F20"/>
          <w:sz w:val="20"/>
        </w:rPr>
        <w:t>with</w:t>
      </w:r>
      <w:r>
        <w:rPr>
          <w:color w:val="231F20"/>
          <w:spacing w:val="-8"/>
          <w:sz w:val="20"/>
        </w:rPr>
        <w:t xml:space="preserve"> </w:t>
      </w:r>
      <w:r>
        <w:rPr>
          <w:color w:val="231F20"/>
          <w:sz w:val="20"/>
        </w:rPr>
        <w:t>the</w:t>
      </w:r>
      <w:r>
        <w:rPr>
          <w:color w:val="231F20"/>
          <w:spacing w:val="-9"/>
          <w:sz w:val="20"/>
        </w:rPr>
        <w:t xml:space="preserve"> </w:t>
      </w:r>
      <w:r>
        <w:rPr>
          <w:color w:val="231F20"/>
          <w:sz w:val="20"/>
        </w:rPr>
        <w:t>justice system.</w:t>
      </w:r>
      <w:r>
        <w:rPr>
          <w:color w:val="231F20"/>
          <w:position w:val="7"/>
          <w:sz w:val="11"/>
        </w:rPr>
        <w:t>247</w:t>
      </w:r>
      <w:r>
        <w:rPr>
          <w:color w:val="231F20"/>
          <w:spacing w:val="14"/>
          <w:position w:val="7"/>
          <w:sz w:val="11"/>
        </w:rPr>
        <w:t xml:space="preserve"> </w:t>
      </w:r>
      <w:r>
        <w:rPr>
          <w:color w:val="231F20"/>
          <w:sz w:val="20"/>
        </w:rPr>
        <w:t>There</w:t>
      </w:r>
      <w:r>
        <w:rPr>
          <w:color w:val="231F20"/>
          <w:spacing w:val="-10"/>
          <w:sz w:val="20"/>
        </w:rPr>
        <w:t xml:space="preserve"> </w:t>
      </w:r>
      <w:r>
        <w:rPr>
          <w:color w:val="231F20"/>
          <w:spacing w:val="-3"/>
          <w:sz w:val="20"/>
        </w:rPr>
        <w:t>are</w:t>
      </w:r>
      <w:r>
        <w:rPr>
          <w:color w:val="231F20"/>
          <w:spacing w:val="-10"/>
          <w:sz w:val="20"/>
        </w:rPr>
        <w:t xml:space="preserve"> </w:t>
      </w:r>
      <w:r>
        <w:rPr>
          <w:color w:val="231F20"/>
          <w:sz w:val="20"/>
        </w:rPr>
        <w:t>no</w:t>
      </w:r>
      <w:r>
        <w:rPr>
          <w:color w:val="231F20"/>
          <w:spacing w:val="-10"/>
          <w:sz w:val="20"/>
        </w:rPr>
        <w:t xml:space="preserve"> </w:t>
      </w:r>
      <w:r>
        <w:rPr>
          <w:color w:val="231F20"/>
          <w:sz w:val="20"/>
        </w:rPr>
        <w:t>specific</w:t>
      </w:r>
      <w:r>
        <w:rPr>
          <w:color w:val="231F20"/>
          <w:spacing w:val="-10"/>
          <w:sz w:val="20"/>
        </w:rPr>
        <w:t xml:space="preserve"> </w:t>
      </w:r>
      <w:r>
        <w:rPr>
          <w:color w:val="231F20"/>
          <w:sz w:val="20"/>
        </w:rPr>
        <w:t>programs</w:t>
      </w:r>
      <w:r>
        <w:rPr>
          <w:color w:val="231F20"/>
          <w:spacing w:val="-10"/>
          <w:sz w:val="20"/>
        </w:rPr>
        <w:t xml:space="preserve"> </w:t>
      </w:r>
      <w:r>
        <w:rPr>
          <w:color w:val="231F20"/>
          <w:sz w:val="20"/>
        </w:rPr>
        <w:t>to</w:t>
      </w:r>
      <w:r>
        <w:rPr>
          <w:color w:val="231F20"/>
          <w:spacing w:val="-10"/>
          <w:sz w:val="20"/>
        </w:rPr>
        <w:t xml:space="preserve"> </w:t>
      </w:r>
      <w:r>
        <w:rPr>
          <w:color w:val="231F20"/>
          <w:sz w:val="20"/>
        </w:rPr>
        <w:t>address</w:t>
      </w:r>
      <w:r>
        <w:rPr>
          <w:color w:val="231F20"/>
          <w:spacing w:val="-9"/>
          <w:sz w:val="20"/>
        </w:rPr>
        <w:t xml:space="preserve"> </w:t>
      </w:r>
      <w:r>
        <w:rPr>
          <w:color w:val="231F20"/>
          <w:sz w:val="20"/>
        </w:rPr>
        <w:t>stalking</w:t>
      </w:r>
      <w:r>
        <w:rPr>
          <w:color w:val="231F20"/>
          <w:spacing w:val="-10"/>
          <w:sz w:val="20"/>
        </w:rPr>
        <w:t xml:space="preserve"> </w:t>
      </w:r>
      <w:r>
        <w:rPr>
          <w:color w:val="231F20"/>
          <w:sz w:val="20"/>
        </w:rPr>
        <w:t>behaviours</w:t>
      </w:r>
      <w:r>
        <w:rPr>
          <w:color w:val="231F20"/>
          <w:spacing w:val="-10"/>
          <w:sz w:val="20"/>
        </w:rPr>
        <w:t xml:space="preserve"> </w:t>
      </w:r>
      <w:r>
        <w:rPr>
          <w:color w:val="231F20"/>
          <w:sz w:val="20"/>
        </w:rPr>
        <w:t>in</w:t>
      </w:r>
      <w:r>
        <w:rPr>
          <w:color w:val="231F20"/>
          <w:spacing w:val="-10"/>
          <w:sz w:val="20"/>
        </w:rPr>
        <w:t xml:space="preserve"> </w:t>
      </w:r>
      <w:r>
        <w:rPr>
          <w:color w:val="231F20"/>
          <w:sz w:val="20"/>
        </w:rPr>
        <w:t>children.</w:t>
      </w:r>
      <w:r>
        <w:rPr>
          <w:color w:val="231F20"/>
          <w:position w:val="7"/>
          <w:sz w:val="11"/>
        </w:rPr>
        <w:t>248</w:t>
      </w:r>
    </w:p>
    <w:p w14:paraId="69A6AC4C" w14:textId="77777777" w:rsidR="00894070" w:rsidRDefault="009B7AFD">
      <w:pPr>
        <w:pStyle w:val="ListParagraph"/>
        <w:numPr>
          <w:ilvl w:val="1"/>
          <w:numId w:val="102"/>
        </w:numPr>
        <w:tabs>
          <w:tab w:val="left" w:pos="1801"/>
          <w:tab w:val="left" w:pos="1802"/>
        </w:tabs>
        <w:spacing w:before="93" w:line="259" w:lineRule="exact"/>
        <w:rPr>
          <w:sz w:val="20"/>
        </w:rPr>
      </w:pPr>
      <w:r>
        <w:rPr>
          <w:color w:val="231F20"/>
          <w:spacing w:val="-3"/>
          <w:sz w:val="20"/>
        </w:rPr>
        <w:t>Forensicare</w:t>
      </w:r>
      <w:r>
        <w:rPr>
          <w:color w:val="231F20"/>
          <w:spacing w:val="-5"/>
          <w:sz w:val="20"/>
        </w:rPr>
        <w:t xml:space="preserve"> </w:t>
      </w:r>
      <w:r>
        <w:rPr>
          <w:color w:val="231F20"/>
          <w:sz w:val="20"/>
        </w:rPr>
        <w:t>noted</w:t>
      </w:r>
      <w:r>
        <w:rPr>
          <w:color w:val="231F20"/>
          <w:spacing w:val="-5"/>
          <w:sz w:val="20"/>
        </w:rPr>
        <w:t xml:space="preserve"> </w:t>
      </w:r>
      <w:r>
        <w:rPr>
          <w:color w:val="231F20"/>
          <w:sz w:val="20"/>
        </w:rPr>
        <w:t>that</w:t>
      </w:r>
      <w:r>
        <w:rPr>
          <w:color w:val="231F20"/>
          <w:spacing w:val="-5"/>
          <w:sz w:val="20"/>
        </w:rPr>
        <w:t xml:space="preserve"> </w:t>
      </w:r>
      <w:r>
        <w:rPr>
          <w:color w:val="231F20"/>
          <w:sz w:val="20"/>
        </w:rPr>
        <w:t>it</w:t>
      </w:r>
      <w:r>
        <w:rPr>
          <w:color w:val="231F20"/>
          <w:spacing w:val="-5"/>
          <w:sz w:val="20"/>
        </w:rPr>
        <w:t xml:space="preserve"> </w:t>
      </w:r>
      <w:r>
        <w:rPr>
          <w:color w:val="231F20"/>
          <w:spacing w:val="-3"/>
          <w:sz w:val="20"/>
        </w:rPr>
        <w:t>receives</w:t>
      </w:r>
      <w:r>
        <w:rPr>
          <w:color w:val="231F20"/>
          <w:spacing w:val="-5"/>
          <w:sz w:val="20"/>
        </w:rPr>
        <w:t xml:space="preserve"> </w:t>
      </w:r>
      <w:r>
        <w:rPr>
          <w:color w:val="231F20"/>
          <w:sz w:val="20"/>
        </w:rPr>
        <w:t>many</w:t>
      </w:r>
      <w:r>
        <w:rPr>
          <w:color w:val="231F20"/>
          <w:spacing w:val="-5"/>
          <w:sz w:val="20"/>
        </w:rPr>
        <w:t xml:space="preserve"> </w:t>
      </w:r>
      <w:r>
        <w:rPr>
          <w:color w:val="231F20"/>
          <w:sz w:val="20"/>
        </w:rPr>
        <w:t>requests</w:t>
      </w:r>
      <w:r>
        <w:rPr>
          <w:color w:val="231F20"/>
          <w:spacing w:val="-5"/>
          <w:sz w:val="20"/>
        </w:rPr>
        <w:t xml:space="preserve"> </w:t>
      </w:r>
      <w:r>
        <w:rPr>
          <w:color w:val="231F20"/>
          <w:spacing w:val="-3"/>
          <w:sz w:val="20"/>
        </w:rPr>
        <w:t>for</w:t>
      </w:r>
      <w:r>
        <w:rPr>
          <w:color w:val="231F20"/>
          <w:spacing w:val="-4"/>
          <w:sz w:val="20"/>
        </w:rPr>
        <w:t xml:space="preserve"> </w:t>
      </w:r>
      <w:r>
        <w:rPr>
          <w:color w:val="231F20"/>
          <w:spacing w:val="-3"/>
          <w:sz w:val="20"/>
        </w:rPr>
        <w:t>treatment</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people</w:t>
      </w:r>
      <w:r>
        <w:rPr>
          <w:color w:val="231F20"/>
          <w:spacing w:val="-5"/>
          <w:sz w:val="20"/>
        </w:rPr>
        <w:t xml:space="preserve"> </w:t>
      </w:r>
      <w:r>
        <w:rPr>
          <w:color w:val="231F20"/>
          <w:sz w:val="20"/>
        </w:rPr>
        <w:t>under</w:t>
      </w:r>
      <w:r>
        <w:rPr>
          <w:color w:val="231F20"/>
          <w:spacing w:val="-5"/>
          <w:sz w:val="20"/>
        </w:rPr>
        <w:t xml:space="preserve"> </w:t>
      </w:r>
      <w:r>
        <w:rPr>
          <w:color w:val="231F20"/>
          <w:sz w:val="20"/>
        </w:rPr>
        <w:t>18</w:t>
      </w:r>
      <w:r>
        <w:rPr>
          <w:color w:val="231F20"/>
          <w:spacing w:val="-5"/>
          <w:sz w:val="20"/>
        </w:rPr>
        <w:t xml:space="preserve"> </w:t>
      </w:r>
      <w:r>
        <w:rPr>
          <w:color w:val="231F20"/>
          <w:sz w:val="20"/>
        </w:rPr>
        <w:t>but</w:t>
      </w:r>
    </w:p>
    <w:p w14:paraId="3A2CE0A3" w14:textId="77777777" w:rsidR="00894070" w:rsidRDefault="009B7AFD">
      <w:pPr>
        <w:pStyle w:val="BodyText"/>
        <w:spacing w:line="259" w:lineRule="exact"/>
        <w:ind w:left="1801"/>
        <w:rPr>
          <w:sz w:val="11"/>
        </w:rPr>
      </w:pPr>
      <w:r>
        <w:rPr>
          <w:color w:val="231F20"/>
        </w:rPr>
        <w:t>is not funded to treat them.</w:t>
      </w:r>
      <w:r>
        <w:rPr>
          <w:color w:val="231F20"/>
          <w:position w:val="7"/>
          <w:sz w:val="11"/>
        </w:rPr>
        <w:t>249</w:t>
      </w:r>
    </w:p>
    <w:p w14:paraId="66B29ECF" w14:textId="77777777" w:rsidR="00894070" w:rsidRDefault="009B7AFD">
      <w:pPr>
        <w:pStyle w:val="ListParagraph"/>
        <w:numPr>
          <w:ilvl w:val="1"/>
          <w:numId w:val="102"/>
        </w:numPr>
        <w:tabs>
          <w:tab w:val="left" w:pos="1802"/>
        </w:tabs>
        <w:spacing w:before="114" w:line="206" w:lineRule="auto"/>
        <w:ind w:right="1440"/>
        <w:jc w:val="both"/>
        <w:rPr>
          <w:sz w:val="11"/>
        </w:rPr>
      </w:pPr>
      <w:r>
        <w:rPr>
          <w:color w:val="231F20"/>
          <w:sz w:val="20"/>
        </w:rPr>
        <w:t>Victoria</w:t>
      </w:r>
      <w:r>
        <w:rPr>
          <w:color w:val="231F20"/>
          <w:spacing w:val="-9"/>
          <w:sz w:val="20"/>
        </w:rPr>
        <w:t xml:space="preserve"> </w:t>
      </w:r>
      <w:r>
        <w:rPr>
          <w:color w:val="231F20"/>
          <w:sz w:val="20"/>
        </w:rPr>
        <w:t>Legal</w:t>
      </w:r>
      <w:r>
        <w:rPr>
          <w:color w:val="231F20"/>
          <w:spacing w:val="-9"/>
          <w:sz w:val="20"/>
        </w:rPr>
        <w:t xml:space="preserve"> </w:t>
      </w:r>
      <w:r>
        <w:rPr>
          <w:color w:val="231F20"/>
          <w:sz w:val="20"/>
        </w:rPr>
        <w:t>Aid</w:t>
      </w:r>
      <w:r>
        <w:rPr>
          <w:color w:val="231F20"/>
          <w:spacing w:val="-9"/>
          <w:sz w:val="20"/>
        </w:rPr>
        <w:t xml:space="preserve"> </w:t>
      </w:r>
      <w:r>
        <w:rPr>
          <w:color w:val="231F20"/>
          <w:sz w:val="20"/>
        </w:rPr>
        <w:t>submitted</w:t>
      </w:r>
      <w:r>
        <w:rPr>
          <w:color w:val="231F20"/>
          <w:spacing w:val="-9"/>
          <w:sz w:val="20"/>
        </w:rPr>
        <w:t xml:space="preserve"> </w:t>
      </w:r>
      <w:r>
        <w:rPr>
          <w:color w:val="231F20"/>
          <w:sz w:val="20"/>
        </w:rPr>
        <w:t>that</w:t>
      </w:r>
      <w:r>
        <w:rPr>
          <w:color w:val="231F20"/>
          <w:spacing w:val="-9"/>
          <w:sz w:val="20"/>
        </w:rPr>
        <w:t xml:space="preserve"> </w:t>
      </w:r>
      <w:r>
        <w:rPr>
          <w:color w:val="231F20"/>
          <w:sz w:val="20"/>
        </w:rPr>
        <w:t>there</w:t>
      </w:r>
      <w:r>
        <w:rPr>
          <w:color w:val="231F20"/>
          <w:spacing w:val="-9"/>
          <w:sz w:val="20"/>
        </w:rPr>
        <w:t xml:space="preserve"> </w:t>
      </w:r>
      <w:r>
        <w:rPr>
          <w:color w:val="231F20"/>
          <w:sz w:val="20"/>
        </w:rPr>
        <w:t>needs</w:t>
      </w:r>
      <w:r>
        <w:rPr>
          <w:color w:val="231F20"/>
          <w:spacing w:val="-9"/>
          <w:sz w:val="20"/>
        </w:rPr>
        <w:t xml:space="preserve"> </w:t>
      </w:r>
      <w:r>
        <w:rPr>
          <w:color w:val="231F20"/>
          <w:sz w:val="20"/>
        </w:rPr>
        <w:t>to</w:t>
      </w:r>
      <w:r>
        <w:rPr>
          <w:color w:val="231F20"/>
          <w:spacing w:val="-9"/>
          <w:sz w:val="20"/>
        </w:rPr>
        <w:t xml:space="preserve"> </w:t>
      </w:r>
      <w:r>
        <w:rPr>
          <w:color w:val="231F20"/>
          <w:sz w:val="20"/>
        </w:rPr>
        <w:t>be</w:t>
      </w:r>
      <w:r>
        <w:rPr>
          <w:color w:val="231F20"/>
          <w:spacing w:val="-9"/>
          <w:sz w:val="20"/>
        </w:rPr>
        <w:t xml:space="preserve"> </w:t>
      </w:r>
      <w:r>
        <w:rPr>
          <w:color w:val="231F20"/>
          <w:sz w:val="20"/>
        </w:rPr>
        <w:t>a</w:t>
      </w:r>
      <w:r>
        <w:rPr>
          <w:color w:val="231F20"/>
          <w:spacing w:val="-8"/>
          <w:sz w:val="20"/>
        </w:rPr>
        <w:t xml:space="preserve"> </w:t>
      </w:r>
      <w:r>
        <w:rPr>
          <w:color w:val="231F20"/>
          <w:spacing w:val="-3"/>
          <w:sz w:val="20"/>
        </w:rPr>
        <w:t>greater</w:t>
      </w:r>
      <w:r>
        <w:rPr>
          <w:color w:val="231F20"/>
          <w:spacing w:val="-9"/>
          <w:sz w:val="20"/>
        </w:rPr>
        <w:t xml:space="preserve"> </w:t>
      </w:r>
      <w:r>
        <w:rPr>
          <w:color w:val="231F20"/>
          <w:spacing w:val="-3"/>
          <w:sz w:val="20"/>
        </w:rPr>
        <w:t>focus</w:t>
      </w:r>
      <w:r>
        <w:rPr>
          <w:color w:val="231F20"/>
          <w:spacing w:val="-9"/>
          <w:sz w:val="20"/>
        </w:rPr>
        <w:t xml:space="preserve"> </w:t>
      </w:r>
      <w:r>
        <w:rPr>
          <w:color w:val="231F20"/>
          <w:sz w:val="20"/>
        </w:rPr>
        <w:t>on</w:t>
      </w:r>
      <w:r>
        <w:rPr>
          <w:color w:val="231F20"/>
          <w:spacing w:val="-9"/>
          <w:sz w:val="20"/>
        </w:rPr>
        <w:t xml:space="preserve"> </w:t>
      </w:r>
      <w:r>
        <w:rPr>
          <w:color w:val="231F20"/>
          <w:sz w:val="20"/>
        </w:rPr>
        <w:t>responding</w:t>
      </w:r>
      <w:r>
        <w:rPr>
          <w:color w:val="231F20"/>
          <w:spacing w:val="-9"/>
          <w:sz w:val="20"/>
        </w:rPr>
        <w:t xml:space="preserve"> </w:t>
      </w:r>
      <w:r>
        <w:rPr>
          <w:color w:val="231F20"/>
          <w:sz w:val="20"/>
        </w:rPr>
        <w:t xml:space="preserve">to </w:t>
      </w:r>
      <w:r>
        <w:rPr>
          <w:color w:val="231F20"/>
          <w:spacing w:val="-3"/>
          <w:sz w:val="20"/>
        </w:rPr>
        <w:t>problem</w:t>
      </w:r>
      <w:r>
        <w:rPr>
          <w:color w:val="231F20"/>
          <w:spacing w:val="-8"/>
          <w:sz w:val="20"/>
        </w:rPr>
        <w:t xml:space="preserve"> </w:t>
      </w:r>
      <w:r>
        <w:rPr>
          <w:color w:val="231F20"/>
          <w:sz w:val="20"/>
        </w:rPr>
        <w:t>behaviour</w:t>
      </w:r>
      <w:r>
        <w:rPr>
          <w:color w:val="231F20"/>
          <w:spacing w:val="-7"/>
          <w:sz w:val="20"/>
        </w:rPr>
        <w:t xml:space="preserve"> </w:t>
      </w:r>
      <w:r>
        <w:rPr>
          <w:color w:val="231F20"/>
          <w:sz w:val="20"/>
        </w:rPr>
        <w:t>at</w:t>
      </w:r>
      <w:r>
        <w:rPr>
          <w:color w:val="231F20"/>
          <w:spacing w:val="-8"/>
          <w:sz w:val="20"/>
        </w:rPr>
        <w:t xml:space="preserve"> </w:t>
      </w:r>
      <w:r>
        <w:rPr>
          <w:color w:val="231F20"/>
          <w:sz w:val="20"/>
        </w:rPr>
        <w:t>an</w:t>
      </w:r>
      <w:r>
        <w:rPr>
          <w:color w:val="231F20"/>
          <w:spacing w:val="-7"/>
          <w:sz w:val="20"/>
        </w:rPr>
        <w:t xml:space="preserve"> </w:t>
      </w:r>
      <w:r>
        <w:rPr>
          <w:color w:val="231F20"/>
          <w:sz w:val="20"/>
        </w:rPr>
        <w:t>earlier</w:t>
      </w:r>
      <w:r>
        <w:rPr>
          <w:color w:val="231F20"/>
          <w:spacing w:val="-8"/>
          <w:sz w:val="20"/>
        </w:rPr>
        <w:t xml:space="preserve"> </w:t>
      </w:r>
      <w:r>
        <w:rPr>
          <w:color w:val="231F20"/>
          <w:sz w:val="20"/>
        </w:rPr>
        <w:t>stage</w:t>
      </w:r>
      <w:r>
        <w:rPr>
          <w:color w:val="231F20"/>
          <w:spacing w:val="-7"/>
          <w:sz w:val="20"/>
        </w:rPr>
        <w:t xml:space="preserve"> </w:t>
      </w:r>
      <w:r>
        <w:rPr>
          <w:color w:val="231F20"/>
          <w:spacing w:val="-3"/>
          <w:sz w:val="20"/>
        </w:rPr>
        <w:t>through</w:t>
      </w:r>
      <w:r>
        <w:rPr>
          <w:color w:val="231F20"/>
          <w:spacing w:val="-7"/>
          <w:sz w:val="20"/>
        </w:rPr>
        <w:t xml:space="preserve"> </w:t>
      </w:r>
      <w:r>
        <w:rPr>
          <w:color w:val="231F20"/>
          <w:sz w:val="20"/>
        </w:rPr>
        <w:t>supports</w:t>
      </w:r>
      <w:r>
        <w:rPr>
          <w:color w:val="231F20"/>
          <w:spacing w:val="-8"/>
          <w:sz w:val="20"/>
        </w:rPr>
        <w:t xml:space="preserve"> </w:t>
      </w:r>
      <w:r>
        <w:rPr>
          <w:color w:val="231F20"/>
          <w:sz w:val="20"/>
        </w:rPr>
        <w:t>that</w:t>
      </w:r>
      <w:r>
        <w:rPr>
          <w:color w:val="231F20"/>
          <w:spacing w:val="-7"/>
          <w:sz w:val="20"/>
        </w:rPr>
        <w:t xml:space="preserve"> </w:t>
      </w:r>
      <w:r>
        <w:rPr>
          <w:color w:val="231F20"/>
          <w:spacing w:val="-3"/>
          <w:sz w:val="20"/>
        </w:rPr>
        <w:t>‘address</w:t>
      </w:r>
      <w:r>
        <w:rPr>
          <w:color w:val="231F20"/>
          <w:spacing w:val="-8"/>
          <w:sz w:val="20"/>
        </w:rPr>
        <w:t xml:space="preserve"> </w:t>
      </w:r>
      <w:r>
        <w:rPr>
          <w:color w:val="231F20"/>
          <w:sz w:val="20"/>
        </w:rPr>
        <w:t>the</w:t>
      </w:r>
      <w:r>
        <w:rPr>
          <w:color w:val="231F20"/>
          <w:spacing w:val="-7"/>
          <w:sz w:val="20"/>
        </w:rPr>
        <w:t xml:space="preserve"> </w:t>
      </w:r>
      <w:r>
        <w:rPr>
          <w:color w:val="231F20"/>
          <w:sz w:val="20"/>
        </w:rPr>
        <w:t>behaviours and underlying</w:t>
      </w:r>
      <w:r>
        <w:rPr>
          <w:color w:val="231F20"/>
          <w:spacing w:val="-9"/>
          <w:sz w:val="20"/>
        </w:rPr>
        <w:t xml:space="preserve"> </w:t>
      </w:r>
      <w:r>
        <w:rPr>
          <w:color w:val="231F20"/>
          <w:sz w:val="20"/>
        </w:rPr>
        <w:t>causes’.</w:t>
      </w:r>
      <w:r>
        <w:rPr>
          <w:color w:val="231F20"/>
          <w:position w:val="7"/>
          <w:sz w:val="11"/>
        </w:rPr>
        <w:t>250</w:t>
      </w:r>
    </w:p>
    <w:p w14:paraId="6D8363FB" w14:textId="77777777" w:rsidR="00894070" w:rsidRDefault="00894070">
      <w:pPr>
        <w:pStyle w:val="BodyText"/>
      </w:pPr>
    </w:p>
    <w:p w14:paraId="649F8CE4" w14:textId="77777777" w:rsidR="00894070" w:rsidRDefault="009F6793">
      <w:pPr>
        <w:pStyle w:val="BodyText"/>
        <w:spacing w:before="2"/>
        <w:rPr>
          <w:sz w:val="22"/>
        </w:rPr>
      </w:pPr>
      <w:r>
        <w:pict w14:anchorId="328985DC">
          <v:line id="_x0000_s1254" style="position:absolute;z-index:251707392;mso-wrap-distance-left:0;mso-wrap-distance-right:0;mso-position-horizontal-relative:page" from="79.35pt,17.85pt" to="515.9pt,17.85pt" strokecolor="#f8cabc" strokeweight="1pt">
            <w10:wrap type="topAndBottom" anchorx="page"/>
          </v:line>
        </w:pict>
      </w:r>
    </w:p>
    <w:p w14:paraId="57ECF8A5" w14:textId="77777777" w:rsidR="00894070" w:rsidRDefault="00894070">
      <w:pPr>
        <w:pStyle w:val="BodyText"/>
        <w:rPr>
          <w:sz w:val="5"/>
        </w:rPr>
      </w:pPr>
    </w:p>
    <w:p w14:paraId="390BA869" w14:textId="77777777" w:rsidR="00894070" w:rsidRDefault="00894070">
      <w:pPr>
        <w:rPr>
          <w:sz w:val="5"/>
        </w:rPr>
        <w:sectPr w:rsidR="00894070">
          <w:pgSz w:w="11910" w:h="16840"/>
          <w:pgMar w:top="860" w:right="420" w:bottom="280" w:left="580" w:header="567" w:footer="0" w:gutter="0"/>
          <w:cols w:space="720"/>
        </w:sectPr>
      </w:pPr>
    </w:p>
    <w:p w14:paraId="0F488F27" w14:textId="77777777" w:rsidR="00894070" w:rsidRDefault="00894070">
      <w:pPr>
        <w:pStyle w:val="BodyText"/>
        <w:rPr>
          <w:sz w:val="28"/>
        </w:rPr>
      </w:pPr>
    </w:p>
    <w:p w14:paraId="6DA877D3" w14:textId="77777777" w:rsidR="00894070" w:rsidRDefault="00894070">
      <w:pPr>
        <w:pStyle w:val="BodyText"/>
        <w:rPr>
          <w:sz w:val="28"/>
        </w:rPr>
      </w:pPr>
    </w:p>
    <w:p w14:paraId="7309BD61" w14:textId="77777777" w:rsidR="00894070" w:rsidRDefault="00894070">
      <w:pPr>
        <w:pStyle w:val="BodyText"/>
        <w:rPr>
          <w:sz w:val="28"/>
        </w:rPr>
      </w:pPr>
    </w:p>
    <w:p w14:paraId="57B32973" w14:textId="77777777" w:rsidR="00894070" w:rsidRDefault="00894070">
      <w:pPr>
        <w:pStyle w:val="BodyText"/>
        <w:spacing w:before="9"/>
        <w:rPr>
          <w:sz w:val="23"/>
        </w:rPr>
      </w:pPr>
    </w:p>
    <w:p w14:paraId="0F49FA52" w14:textId="77777777" w:rsidR="00894070" w:rsidRDefault="009B7AFD">
      <w:pPr>
        <w:pStyle w:val="Heading8"/>
        <w:ind w:left="140"/>
      </w:pPr>
      <w:r>
        <w:rPr>
          <w:color w:val="EA5B50"/>
        </w:rPr>
        <w:t>126</w:t>
      </w:r>
    </w:p>
    <w:p w14:paraId="2414D197" w14:textId="77777777" w:rsidR="00894070" w:rsidRDefault="009B7AFD">
      <w:pPr>
        <w:pStyle w:val="ListParagraph"/>
        <w:numPr>
          <w:ilvl w:val="0"/>
          <w:numId w:val="75"/>
        </w:numPr>
        <w:tabs>
          <w:tab w:val="left" w:pos="933"/>
          <w:tab w:val="left" w:pos="934"/>
        </w:tabs>
        <w:spacing w:before="38" w:line="213" w:lineRule="auto"/>
        <w:ind w:left="933" w:right="1309" w:hanging="793"/>
        <w:jc w:val="left"/>
        <w:rPr>
          <w:sz w:val="13"/>
        </w:rPr>
      </w:pPr>
      <w:r>
        <w:rPr>
          <w:color w:val="231F20"/>
          <w:spacing w:val="2"/>
          <w:sz w:val="13"/>
        </w:rPr>
        <w:br w:type="column"/>
        <w:t xml:space="preserve">Ibid. </w:t>
      </w:r>
      <w:r>
        <w:rPr>
          <w:color w:val="231F20"/>
          <w:sz w:val="13"/>
        </w:rPr>
        <w:t xml:space="preserve">For the </w:t>
      </w:r>
      <w:r>
        <w:rPr>
          <w:color w:val="231F20"/>
          <w:spacing w:val="2"/>
          <w:sz w:val="13"/>
        </w:rPr>
        <w:t xml:space="preserve">number </w:t>
      </w:r>
      <w:r>
        <w:rPr>
          <w:color w:val="231F20"/>
          <w:sz w:val="13"/>
        </w:rPr>
        <w:t xml:space="preserve">of interim and final </w:t>
      </w:r>
      <w:r>
        <w:rPr>
          <w:color w:val="231F20"/>
          <w:spacing w:val="2"/>
          <w:sz w:val="13"/>
        </w:rPr>
        <w:t xml:space="preserve">PSIOs </w:t>
      </w:r>
      <w:r>
        <w:rPr>
          <w:color w:val="231F20"/>
          <w:sz w:val="13"/>
        </w:rPr>
        <w:t xml:space="preserve">issued in the Children’s </w:t>
      </w:r>
      <w:r>
        <w:rPr>
          <w:color w:val="231F20"/>
          <w:spacing w:val="2"/>
          <w:sz w:val="13"/>
        </w:rPr>
        <w:t xml:space="preserve">Court: </w:t>
      </w:r>
      <w:r>
        <w:rPr>
          <w:color w:val="231F20"/>
          <w:sz w:val="13"/>
        </w:rPr>
        <w:t xml:space="preserve">see 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 16, Figure</w:t>
      </w:r>
      <w:r>
        <w:rPr>
          <w:color w:val="231F20"/>
          <w:spacing w:val="16"/>
          <w:sz w:val="13"/>
        </w:rPr>
        <w:t xml:space="preserve"> </w:t>
      </w:r>
      <w:r>
        <w:rPr>
          <w:color w:val="231F20"/>
          <w:spacing w:val="3"/>
          <w:sz w:val="13"/>
        </w:rPr>
        <w:t>3.</w:t>
      </w:r>
    </w:p>
    <w:p w14:paraId="4DB9515E" w14:textId="77777777" w:rsidR="00894070" w:rsidRDefault="009B7AFD">
      <w:pPr>
        <w:pStyle w:val="ListParagraph"/>
        <w:numPr>
          <w:ilvl w:val="0"/>
          <w:numId w:val="75"/>
        </w:numPr>
        <w:tabs>
          <w:tab w:val="left" w:pos="933"/>
          <w:tab w:val="left" w:pos="934"/>
        </w:tabs>
        <w:spacing w:line="153" w:lineRule="exact"/>
        <w:ind w:left="933" w:hanging="793"/>
        <w:jc w:val="left"/>
        <w:rPr>
          <w:sz w:val="13"/>
        </w:rPr>
      </w:pPr>
      <w:r>
        <w:rPr>
          <w:color w:val="231F20"/>
          <w:sz w:val="13"/>
        </w:rPr>
        <w:t xml:space="preserve">Consultation 35 (Children’s </w:t>
      </w:r>
      <w:r>
        <w:rPr>
          <w:color w:val="231F20"/>
          <w:spacing w:val="2"/>
          <w:sz w:val="13"/>
        </w:rPr>
        <w:t xml:space="preserve">Court </w:t>
      </w:r>
      <w:r>
        <w:rPr>
          <w:color w:val="231F20"/>
          <w:sz w:val="13"/>
        </w:rPr>
        <w:t>of Victoria (No 2)).</w:t>
      </w:r>
    </w:p>
    <w:p w14:paraId="59734FE0" w14:textId="77777777" w:rsidR="00894070" w:rsidRDefault="009B7AFD">
      <w:pPr>
        <w:pStyle w:val="ListParagraph"/>
        <w:numPr>
          <w:ilvl w:val="0"/>
          <w:numId w:val="75"/>
        </w:numPr>
        <w:tabs>
          <w:tab w:val="left" w:pos="933"/>
          <w:tab w:val="left" w:pos="934"/>
        </w:tabs>
        <w:spacing w:line="160" w:lineRule="exact"/>
        <w:ind w:left="933" w:hanging="793"/>
        <w:jc w:val="left"/>
        <w:rPr>
          <w:sz w:val="13"/>
        </w:rPr>
      </w:pPr>
      <w:r>
        <w:rPr>
          <w:i/>
          <w:color w:val="231F20"/>
          <w:sz w:val="13"/>
        </w:rPr>
        <w:t xml:space="preserve">Personal Safety Intervention Orders Act 2010 </w:t>
      </w:r>
      <w:r>
        <w:rPr>
          <w:color w:val="231F20"/>
          <w:sz w:val="13"/>
        </w:rPr>
        <w:t>(Vic) s</w:t>
      </w:r>
      <w:r>
        <w:rPr>
          <w:color w:val="231F20"/>
          <w:spacing w:val="3"/>
          <w:sz w:val="13"/>
        </w:rPr>
        <w:t xml:space="preserve"> </w:t>
      </w:r>
      <w:r>
        <w:rPr>
          <w:color w:val="231F20"/>
          <w:sz w:val="13"/>
        </w:rPr>
        <w:t>100.</w:t>
      </w:r>
    </w:p>
    <w:p w14:paraId="37CC1E37" w14:textId="77777777" w:rsidR="00894070" w:rsidRDefault="009B7AFD">
      <w:pPr>
        <w:pStyle w:val="ListParagraph"/>
        <w:numPr>
          <w:ilvl w:val="0"/>
          <w:numId w:val="75"/>
        </w:numPr>
        <w:tabs>
          <w:tab w:val="left" w:pos="933"/>
          <w:tab w:val="left" w:pos="934"/>
        </w:tabs>
        <w:spacing w:line="160" w:lineRule="exact"/>
        <w:ind w:left="933" w:hanging="793"/>
        <w:jc w:val="left"/>
        <w:rPr>
          <w:sz w:val="13"/>
        </w:rPr>
      </w:pPr>
      <w:r>
        <w:rPr>
          <w:color w:val="231F20"/>
          <w:sz w:val="13"/>
        </w:rPr>
        <w:t xml:space="preserve">As is the approach in the Children’s </w:t>
      </w:r>
      <w:r>
        <w:rPr>
          <w:color w:val="231F20"/>
          <w:spacing w:val="2"/>
          <w:sz w:val="13"/>
        </w:rPr>
        <w:t xml:space="preserve">Court: </w:t>
      </w:r>
      <w:r>
        <w:rPr>
          <w:color w:val="231F20"/>
          <w:sz w:val="13"/>
        </w:rPr>
        <w:t xml:space="preserve">Consultation 35 (Children’s </w:t>
      </w:r>
      <w:r>
        <w:rPr>
          <w:color w:val="231F20"/>
          <w:spacing w:val="2"/>
          <w:sz w:val="13"/>
        </w:rPr>
        <w:t xml:space="preserve">Court </w:t>
      </w:r>
      <w:r>
        <w:rPr>
          <w:color w:val="231F20"/>
          <w:sz w:val="13"/>
        </w:rPr>
        <w:t>of Victoria (No</w:t>
      </w:r>
      <w:r>
        <w:rPr>
          <w:color w:val="231F20"/>
          <w:spacing w:val="9"/>
          <w:sz w:val="13"/>
        </w:rPr>
        <w:t xml:space="preserve"> </w:t>
      </w:r>
      <w:r>
        <w:rPr>
          <w:color w:val="231F20"/>
          <w:sz w:val="13"/>
        </w:rPr>
        <w:t>2)).</w:t>
      </w:r>
    </w:p>
    <w:p w14:paraId="2CAFF5A7" w14:textId="77777777" w:rsidR="00894070" w:rsidRDefault="009B7AFD">
      <w:pPr>
        <w:pStyle w:val="ListParagraph"/>
        <w:numPr>
          <w:ilvl w:val="0"/>
          <w:numId w:val="75"/>
        </w:numPr>
        <w:tabs>
          <w:tab w:val="left" w:pos="933"/>
          <w:tab w:val="left" w:pos="934"/>
        </w:tabs>
        <w:spacing w:line="160" w:lineRule="exact"/>
        <w:ind w:left="933" w:hanging="793"/>
        <w:jc w:val="left"/>
        <w:rPr>
          <w:sz w:val="13"/>
        </w:rPr>
      </w:pPr>
      <w:proofErr w:type="gramStart"/>
      <w:r>
        <w:rPr>
          <w:color w:val="231F20"/>
          <w:sz w:val="13"/>
        </w:rPr>
        <w:t>Ibid;</w:t>
      </w:r>
      <w:proofErr w:type="gramEnd"/>
      <w:r>
        <w:rPr>
          <w:color w:val="231F20"/>
          <w:sz w:val="13"/>
        </w:rPr>
        <w:t xml:space="preserve"> Consultation 36 (Forensicare (No</w:t>
      </w:r>
      <w:r>
        <w:rPr>
          <w:color w:val="231F20"/>
          <w:spacing w:val="1"/>
          <w:sz w:val="13"/>
        </w:rPr>
        <w:t xml:space="preserve"> </w:t>
      </w:r>
      <w:r>
        <w:rPr>
          <w:color w:val="231F20"/>
          <w:sz w:val="13"/>
        </w:rPr>
        <w:t>2)).</w:t>
      </w:r>
    </w:p>
    <w:p w14:paraId="756FE10E" w14:textId="77777777" w:rsidR="00894070" w:rsidRDefault="009B7AFD">
      <w:pPr>
        <w:pStyle w:val="ListParagraph"/>
        <w:numPr>
          <w:ilvl w:val="0"/>
          <w:numId w:val="75"/>
        </w:numPr>
        <w:tabs>
          <w:tab w:val="left" w:pos="933"/>
          <w:tab w:val="left" w:pos="934"/>
        </w:tabs>
        <w:spacing w:line="160" w:lineRule="exact"/>
        <w:ind w:left="933" w:hanging="793"/>
        <w:jc w:val="left"/>
        <w:rPr>
          <w:sz w:val="13"/>
        </w:rPr>
      </w:pPr>
      <w:r>
        <w:rPr>
          <w:color w:val="231F20"/>
          <w:sz w:val="13"/>
        </w:rPr>
        <w:t>Consultation 36 (Forensicare (No 2)).</w:t>
      </w:r>
    </w:p>
    <w:p w14:paraId="6019CAAC" w14:textId="77777777" w:rsidR="00894070" w:rsidRDefault="009B7AFD">
      <w:pPr>
        <w:pStyle w:val="ListParagraph"/>
        <w:numPr>
          <w:ilvl w:val="0"/>
          <w:numId w:val="75"/>
        </w:numPr>
        <w:tabs>
          <w:tab w:val="left" w:pos="933"/>
          <w:tab w:val="left" w:pos="934"/>
        </w:tabs>
        <w:spacing w:line="160" w:lineRule="exact"/>
        <w:ind w:left="933" w:hanging="793"/>
        <w:jc w:val="left"/>
        <w:rPr>
          <w:sz w:val="13"/>
        </w:rPr>
      </w:pPr>
      <w:r>
        <w:rPr>
          <w:color w:val="231F20"/>
          <w:sz w:val="13"/>
        </w:rPr>
        <w:t>Ibid.</w:t>
      </w:r>
    </w:p>
    <w:p w14:paraId="58811A99" w14:textId="77777777" w:rsidR="00894070" w:rsidRDefault="009B7AFD">
      <w:pPr>
        <w:pStyle w:val="ListParagraph"/>
        <w:numPr>
          <w:ilvl w:val="0"/>
          <w:numId w:val="75"/>
        </w:numPr>
        <w:tabs>
          <w:tab w:val="left" w:pos="933"/>
          <w:tab w:val="left" w:pos="934"/>
        </w:tabs>
        <w:spacing w:line="160" w:lineRule="exact"/>
        <w:ind w:left="933" w:hanging="793"/>
        <w:jc w:val="left"/>
        <w:rPr>
          <w:sz w:val="13"/>
        </w:rPr>
      </w:pPr>
      <w:r>
        <w:rPr>
          <w:color w:val="231F20"/>
          <w:sz w:val="13"/>
        </w:rPr>
        <w:t>Ibid.</w:t>
      </w:r>
    </w:p>
    <w:p w14:paraId="6BE651EC" w14:textId="77777777" w:rsidR="00894070" w:rsidRDefault="009B7AFD">
      <w:pPr>
        <w:pStyle w:val="ListParagraph"/>
        <w:numPr>
          <w:ilvl w:val="0"/>
          <w:numId w:val="75"/>
        </w:numPr>
        <w:tabs>
          <w:tab w:val="left" w:pos="933"/>
          <w:tab w:val="left" w:pos="934"/>
        </w:tabs>
        <w:spacing w:line="160" w:lineRule="exact"/>
        <w:ind w:left="933" w:hanging="793"/>
        <w:jc w:val="left"/>
        <w:rPr>
          <w:sz w:val="13"/>
        </w:rPr>
      </w:pPr>
      <w:r>
        <w:rPr>
          <w:color w:val="231F20"/>
          <w:sz w:val="13"/>
        </w:rPr>
        <w:t>Ibid.</w:t>
      </w:r>
    </w:p>
    <w:p w14:paraId="7DE1AB9D" w14:textId="77777777" w:rsidR="00894070" w:rsidRDefault="009B7AFD">
      <w:pPr>
        <w:pStyle w:val="ListParagraph"/>
        <w:numPr>
          <w:ilvl w:val="0"/>
          <w:numId w:val="75"/>
        </w:numPr>
        <w:tabs>
          <w:tab w:val="left" w:pos="933"/>
          <w:tab w:val="left" w:pos="934"/>
        </w:tabs>
        <w:spacing w:line="170" w:lineRule="exact"/>
        <w:ind w:left="933" w:hanging="793"/>
        <w:jc w:val="left"/>
        <w:rPr>
          <w:sz w:val="13"/>
        </w:rPr>
      </w:pPr>
      <w:r>
        <w:rPr>
          <w:color w:val="231F20"/>
          <w:sz w:val="13"/>
        </w:rPr>
        <w:t>Consultation 13 (Victoria Legal</w:t>
      </w:r>
      <w:r>
        <w:rPr>
          <w:color w:val="231F20"/>
          <w:spacing w:val="1"/>
          <w:sz w:val="13"/>
        </w:rPr>
        <w:t xml:space="preserve"> </w:t>
      </w:r>
      <w:r>
        <w:rPr>
          <w:color w:val="231F20"/>
          <w:sz w:val="13"/>
        </w:rPr>
        <w:t>Aid).</w:t>
      </w:r>
    </w:p>
    <w:p w14:paraId="5581A0FE"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81" w:space="287"/>
            <w:col w:w="10042"/>
          </w:cols>
        </w:sectPr>
      </w:pPr>
    </w:p>
    <w:p w14:paraId="690A0CF5" w14:textId="77777777" w:rsidR="00894070" w:rsidRDefault="00894070">
      <w:pPr>
        <w:pStyle w:val="BodyText"/>
      </w:pPr>
    </w:p>
    <w:p w14:paraId="41A0074B" w14:textId="77777777" w:rsidR="00894070" w:rsidRDefault="00894070">
      <w:pPr>
        <w:pStyle w:val="BodyText"/>
      </w:pPr>
    </w:p>
    <w:p w14:paraId="33449E7D" w14:textId="77777777" w:rsidR="00894070" w:rsidRDefault="00894070">
      <w:pPr>
        <w:pStyle w:val="BodyText"/>
      </w:pPr>
    </w:p>
    <w:p w14:paraId="6A80FDDF" w14:textId="77777777" w:rsidR="00894070" w:rsidRDefault="00894070">
      <w:pPr>
        <w:pStyle w:val="BodyText"/>
        <w:spacing w:before="6"/>
        <w:rPr>
          <w:sz w:val="14"/>
        </w:rPr>
      </w:pPr>
    </w:p>
    <w:p w14:paraId="71983365" w14:textId="77777777" w:rsidR="00894070" w:rsidRDefault="009B7AFD">
      <w:pPr>
        <w:pStyle w:val="ListParagraph"/>
        <w:numPr>
          <w:ilvl w:val="1"/>
          <w:numId w:val="102"/>
        </w:numPr>
        <w:tabs>
          <w:tab w:val="left" w:pos="1801"/>
          <w:tab w:val="left" w:pos="1802"/>
        </w:tabs>
        <w:spacing w:before="90" w:line="206" w:lineRule="auto"/>
        <w:ind w:right="1364"/>
        <w:rPr>
          <w:sz w:val="11"/>
        </w:rPr>
      </w:pPr>
      <w:r>
        <w:rPr>
          <w:color w:val="231F20"/>
          <w:sz w:val="20"/>
        </w:rPr>
        <w:t xml:space="preserve">This was also the view expressed at a meeting on </w:t>
      </w:r>
      <w:r>
        <w:rPr>
          <w:color w:val="231F20"/>
          <w:spacing w:val="-3"/>
          <w:sz w:val="20"/>
        </w:rPr>
        <w:t xml:space="preserve">children </w:t>
      </w:r>
      <w:r>
        <w:rPr>
          <w:color w:val="231F20"/>
          <w:sz w:val="20"/>
        </w:rPr>
        <w:t>and young people. The meeting</w:t>
      </w:r>
      <w:r>
        <w:rPr>
          <w:color w:val="231F20"/>
          <w:spacing w:val="-11"/>
          <w:sz w:val="20"/>
        </w:rPr>
        <w:t xml:space="preserve"> </w:t>
      </w:r>
      <w:r>
        <w:rPr>
          <w:color w:val="231F20"/>
          <w:sz w:val="20"/>
        </w:rPr>
        <w:t>expressed</w:t>
      </w:r>
      <w:r>
        <w:rPr>
          <w:color w:val="231F20"/>
          <w:spacing w:val="-11"/>
          <w:sz w:val="20"/>
        </w:rPr>
        <w:t xml:space="preserve"> </w:t>
      </w:r>
      <w:r>
        <w:rPr>
          <w:color w:val="231F20"/>
          <w:sz w:val="20"/>
        </w:rPr>
        <w:t>support</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civil</w:t>
      </w:r>
      <w:r>
        <w:rPr>
          <w:color w:val="231F20"/>
          <w:spacing w:val="-10"/>
          <w:sz w:val="20"/>
        </w:rPr>
        <w:t xml:space="preserve"> </w:t>
      </w:r>
      <w:r>
        <w:rPr>
          <w:color w:val="231F20"/>
          <w:sz w:val="20"/>
        </w:rPr>
        <w:t>diversionary</w:t>
      </w:r>
      <w:r>
        <w:rPr>
          <w:color w:val="231F20"/>
          <w:spacing w:val="-11"/>
          <w:sz w:val="20"/>
        </w:rPr>
        <w:t xml:space="preserve"> </w:t>
      </w:r>
      <w:r>
        <w:rPr>
          <w:color w:val="231F20"/>
          <w:sz w:val="20"/>
        </w:rPr>
        <w:t>options</w:t>
      </w:r>
      <w:r>
        <w:rPr>
          <w:color w:val="231F20"/>
          <w:spacing w:val="-11"/>
          <w:sz w:val="20"/>
        </w:rPr>
        <w:t xml:space="preserve"> </w:t>
      </w:r>
      <w:r>
        <w:rPr>
          <w:color w:val="231F20"/>
          <w:spacing w:val="-3"/>
          <w:sz w:val="20"/>
        </w:rPr>
        <w:t>before</w:t>
      </w:r>
      <w:r>
        <w:rPr>
          <w:color w:val="231F20"/>
          <w:spacing w:val="-11"/>
          <w:sz w:val="20"/>
        </w:rPr>
        <w:t xml:space="preserve"> </w:t>
      </w:r>
      <w:r>
        <w:rPr>
          <w:color w:val="231F20"/>
          <w:sz w:val="20"/>
        </w:rPr>
        <w:t>PSIO</w:t>
      </w:r>
      <w:r>
        <w:rPr>
          <w:color w:val="231F20"/>
          <w:spacing w:val="-11"/>
          <w:sz w:val="20"/>
        </w:rPr>
        <w:t xml:space="preserve"> </w:t>
      </w:r>
      <w:r>
        <w:rPr>
          <w:color w:val="231F20"/>
          <w:sz w:val="20"/>
        </w:rPr>
        <w:t>applications</w:t>
      </w:r>
      <w:r>
        <w:rPr>
          <w:color w:val="231F20"/>
          <w:spacing w:val="-10"/>
          <w:sz w:val="20"/>
        </w:rPr>
        <w:t xml:space="preserve"> </w:t>
      </w:r>
      <w:r>
        <w:rPr>
          <w:color w:val="231F20"/>
          <w:spacing w:val="-3"/>
          <w:sz w:val="20"/>
        </w:rPr>
        <w:t xml:space="preserve">are </w:t>
      </w:r>
      <w:r>
        <w:rPr>
          <w:color w:val="231F20"/>
          <w:sz w:val="20"/>
        </w:rPr>
        <w:t>issued against a young</w:t>
      </w:r>
      <w:r>
        <w:rPr>
          <w:color w:val="231F20"/>
          <w:spacing w:val="-17"/>
          <w:sz w:val="20"/>
        </w:rPr>
        <w:t xml:space="preserve"> </w:t>
      </w:r>
      <w:r>
        <w:rPr>
          <w:color w:val="231F20"/>
          <w:sz w:val="20"/>
        </w:rPr>
        <w:t>person.</w:t>
      </w:r>
      <w:r>
        <w:rPr>
          <w:color w:val="231F20"/>
          <w:position w:val="7"/>
          <w:sz w:val="11"/>
        </w:rPr>
        <w:t>251</w:t>
      </w:r>
    </w:p>
    <w:p w14:paraId="76F88C4B" w14:textId="77777777" w:rsidR="00894070" w:rsidRDefault="009B7AFD">
      <w:pPr>
        <w:pStyle w:val="ListParagraph"/>
        <w:numPr>
          <w:ilvl w:val="1"/>
          <w:numId w:val="102"/>
        </w:numPr>
        <w:tabs>
          <w:tab w:val="left" w:pos="1801"/>
          <w:tab w:val="left" w:pos="1802"/>
        </w:tabs>
        <w:spacing w:before="124" w:line="206" w:lineRule="auto"/>
        <w:ind w:right="1476"/>
        <w:rPr>
          <w:sz w:val="11"/>
        </w:rPr>
      </w:pPr>
      <w:r>
        <w:rPr>
          <w:color w:val="231F20"/>
          <w:sz w:val="20"/>
        </w:rPr>
        <w:t>As</w:t>
      </w:r>
      <w:r>
        <w:rPr>
          <w:color w:val="231F20"/>
          <w:spacing w:val="-10"/>
          <w:sz w:val="20"/>
        </w:rPr>
        <w:t xml:space="preserve"> </w:t>
      </w:r>
      <w:r>
        <w:rPr>
          <w:color w:val="231F20"/>
          <w:sz w:val="20"/>
        </w:rPr>
        <w:t>there</w:t>
      </w:r>
      <w:r>
        <w:rPr>
          <w:color w:val="231F20"/>
          <w:spacing w:val="-10"/>
          <w:sz w:val="20"/>
        </w:rPr>
        <w:t xml:space="preserve"> </w:t>
      </w:r>
      <w:r>
        <w:rPr>
          <w:color w:val="231F20"/>
          <w:sz w:val="20"/>
        </w:rPr>
        <w:t>is</w:t>
      </w:r>
      <w:r>
        <w:rPr>
          <w:color w:val="231F20"/>
          <w:spacing w:val="-10"/>
          <w:sz w:val="20"/>
        </w:rPr>
        <w:t xml:space="preserve"> </w:t>
      </w:r>
      <w:r>
        <w:rPr>
          <w:color w:val="231F20"/>
          <w:sz w:val="20"/>
        </w:rPr>
        <w:t>a</w:t>
      </w:r>
      <w:r>
        <w:rPr>
          <w:color w:val="231F20"/>
          <w:spacing w:val="-10"/>
          <w:sz w:val="20"/>
        </w:rPr>
        <w:t xml:space="preserve"> </w:t>
      </w:r>
      <w:r>
        <w:rPr>
          <w:color w:val="231F20"/>
          <w:sz w:val="20"/>
        </w:rPr>
        <w:t>‘scarcity</w:t>
      </w:r>
      <w:r>
        <w:rPr>
          <w:color w:val="231F20"/>
          <w:spacing w:val="-10"/>
          <w:sz w:val="20"/>
        </w:rPr>
        <w:t xml:space="preserve"> </w:t>
      </w:r>
      <w:r>
        <w:rPr>
          <w:color w:val="231F20"/>
          <w:sz w:val="20"/>
        </w:rPr>
        <w:t>of</w:t>
      </w:r>
      <w:r>
        <w:rPr>
          <w:color w:val="231F20"/>
          <w:spacing w:val="-9"/>
          <w:sz w:val="20"/>
        </w:rPr>
        <w:t xml:space="preserve"> </w:t>
      </w:r>
      <w:r>
        <w:rPr>
          <w:color w:val="231F20"/>
          <w:sz w:val="20"/>
        </w:rPr>
        <w:t>programs</w:t>
      </w:r>
      <w:r>
        <w:rPr>
          <w:color w:val="231F20"/>
          <w:spacing w:val="-10"/>
          <w:sz w:val="20"/>
        </w:rPr>
        <w:t xml:space="preserve"> </w:t>
      </w:r>
      <w:r>
        <w:rPr>
          <w:color w:val="231F20"/>
          <w:sz w:val="20"/>
        </w:rPr>
        <w:t>and</w:t>
      </w:r>
      <w:r>
        <w:rPr>
          <w:color w:val="231F20"/>
          <w:spacing w:val="-10"/>
          <w:sz w:val="20"/>
        </w:rPr>
        <w:t xml:space="preserve"> </w:t>
      </w:r>
      <w:r>
        <w:rPr>
          <w:color w:val="231F20"/>
          <w:sz w:val="20"/>
        </w:rPr>
        <w:t>options</w:t>
      </w:r>
      <w:r>
        <w:rPr>
          <w:color w:val="231F20"/>
          <w:spacing w:val="-10"/>
          <w:sz w:val="20"/>
        </w:rPr>
        <w:t xml:space="preserve"> </w:t>
      </w:r>
      <w:r>
        <w:rPr>
          <w:color w:val="231F20"/>
          <w:sz w:val="20"/>
        </w:rPr>
        <w:t>to</w:t>
      </w:r>
      <w:r>
        <w:rPr>
          <w:color w:val="231F20"/>
          <w:spacing w:val="-10"/>
          <w:sz w:val="20"/>
        </w:rPr>
        <w:t xml:space="preserve"> </w:t>
      </w:r>
      <w:r>
        <w:rPr>
          <w:color w:val="231F20"/>
          <w:sz w:val="20"/>
        </w:rPr>
        <w:t>help</w:t>
      </w:r>
      <w:r>
        <w:rPr>
          <w:color w:val="231F20"/>
          <w:spacing w:val="-9"/>
          <w:sz w:val="20"/>
        </w:rPr>
        <w:t xml:space="preserve"> </w:t>
      </w:r>
      <w:r>
        <w:rPr>
          <w:color w:val="231F20"/>
          <w:sz w:val="20"/>
        </w:rPr>
        <w:t>the</w:t>
      </w:r>
      <w:r>
        <w:rPr>
          <w:color w:val="231F20"/>
          <w:spacing w:val="-10"/>
          <w:sz w:val="20"/>
        </w:rPr>
        <w:t xml:space="preserve"> </w:t>
      </w:r>
      <w:r>
        <w:rPr>
          <w:color w:val="231F20"/>
          <w:sz w:val="20"/>
        </w:rPr>
        <w:t>young</w:t>
      </w:r>
      <w:r>
        <w:rPr>
          <w:color w:val="231F20"/>
          <w:spacing w:val="-10"/>
          <w:sz w:val="20"/>
        </w:rPr>
        <w:t xml:space="preserve"> </w:t>
      </w:r>
      <w:r>
        <w:rPr>
          <w:color w:val="231F20"/>
          <w:sz w:val="20"/>
        </w:rPr>
        <w:t>person</w:t>
      </w:r>
      <w:r>
        <w:rPr>
          <w:color w:val="231F20"/>
          <w:spacing w:val="-10"/>
          <w:sz w:val="20"/>
        </w:rPr>
        <w:t xml:space="preserve"> </w:t>
      </w:r>
      <w:r>
        <w:rPr>
          <w:color w:val="231F20"/>
          <w:sz w:val="20"/>
        </w:rPr>
        <w:t xml:space="preserve">understand the impact of their </w:t>
      </w:r>
      <w:r>
        <w:rPr>
          <w:color w:val="231F20"/>
          <w:spacing w:val="-3"/>
          <w:sz w:val="20"/>
        </w:rPr>
        <w:t xml:space="preserve">behaviours’, we </w:t>
      </w:r>
      <w:r>
        <w:rPr>
          <w:color w:val="231F20"/>
          <w:sz w:val="20"/>
        </w:rPr>
        <w:t>heard that schools could be a good place to implement diversionary</w:t>
      </w:r>
      <w:r>
        <w:rPr>
          <w:color w:val="231F20"/>
          <w:spacing w:val="-9"/>
          <w:sz w:val="20"/>
        </w:rPr>
        <w:t xml:space="preserve"> </w:t>
      </w:r>
      <w:r>
        <w:rPr>
          <w:color w:val="231F20"/>
          <w:sz w:val="20"/>
        </w:rPr>
        <w:t>options.</w:t>
      </w:r>
      <w:r>
        <w:rPr>
          <w:color w:val="231F20"/>
          <w:position w:val="7"/>
          <w:sz w:val="11"/>
        </w:rPr>
        <w:t>252</w:t>
      </w:r>
    </w:p>
    <w:p w14:paraId="382B1AF3" w14:textId="77777777" w:rsidR="00894070" w:rsidRDefault="009B7AFD">
      <w:pPr>
        <w:pStyle w:val="ListParagraph"/>
        <w:numPr>
          <w:ilvl w:val="1"/>
          <w:numId w:val="102"/>
        </w:numPr>
        <w:tabs>
          <w:tab w:val="left" w:pos="1801"/>
          <w:tab w:val="left" w:pos="1802"/>
        </w:tabs>
        <w:spacing w:before="124" w:line="206" w:lineRule="auto"/>
        <w:ind w:right="1477"/>
        <w:rPr>
          <w:sz w:val="20"/>
        </w:rPr>
      </w:pPr>
      <w:r>
        <w:rPr>
          <w:color w:val="231F20"/>
          <w:spacing w:val="-6"/>
          <w:sz w:val="20"/>
        </w:rPr>
        <w:t xml:space="preserve">We </w:t>
      </w:r>
      <w:r>
        <w:rPr>
          <w:color w:val="231F20"/>
          <w:sz w:val="20"/>
        </w:rPr>
        <w:t xml:space="preserve">agree with these </w:t>
      </w:r>
      <w:r>
        <w:rPr>
          <w:color w:val="231F20"/>
          <w:spacing w:val="-3"/>
          <w:sz w:val="20"/>
        </w:rPr>
        <w:t xml:space="preserve">views </w:t>
      </w:r>
      <w:r>
        <w:rPr>
          <w:color w:val="231F20"/>
          <w:sz w:val="20"/>
        </w:rPr>
        <w:t xml:space="preserve">and recommend a therapeutic program be </w:t>
      </w:r>
      <w:r>
        <w:rPr>
          <w:color w:val="231F20"/>
          <w:spacing w:val="-3"/>
          <w:sz w:val="20"/>
        </w:rPr>
        <w:t xml:space="preserve">developed </w:t>
      </w:r>
      <w:r>
        <w:rPr>
          <w:color w:val="231F20"/>
          <w:sz w:val="20"/>
        </w:rPr>
        <w:t>to</w:t>
      </w:r>
      <w:r>
        <w:rPr>
          <w:color w:val="231F20"/>
          <w:spacing w:val="-11"/>
          <w:sz w:val="20"/>
        </w:rPr>
        <w:t xml:space="preserve"> </w:t>
      </w:r>
      <w:r>
        <w:rPr>
          <w:color w:val="231F20"/>
          <w:sz w:val="20"/>
        </w:rPr>
        <w:t>address</w:t>
      </w:r>
      <w:r>
        <w:rPr>
          <w:color w:val="231F20"/>
          <w:spacing w:val="-11"/>
          <w:sz w:val="20"/>
        </w:rPr>
        <w:t xml:space="preserve"> </w:t>
      </w:r>
      <w:r>
        <w:rPr>
          <w:color w:val="231F20"/>
          <w:sz w:val="20"/>
        </w:rPr>
        <w:t>stalking</w:t>
      </w:r>
      <w:r>
        <w:rPr>
          <w:color w:val="231F20"/>
          <w:spacing w:val="-10"/>
          <w:sz w:val="20"/>
        </w:rPr>
        <w:t xml:space="preserve"> </w:t>
      </w:r>
      <w:r>
        <w:rPr>
          <w:color w:val="231F20"/>
          <w:sz w:val="20"/>
        </w:rPr>
        <w:t>behaviour</w:t>
      </w:r>
      <w:r>
        <w:rPr>
          <w:color w:val="231F20"/>
          <w:spacing w:val="-11"/>
          <w:sz w:val="20"/>
        </w:rPr>
        <w:t xml:space="preserve"> </w:t>
      </w:r>
      <w:r>
        <w:rPr>
          <w:color w:val="231F20"/>
          <w:sz w:val="20"/>
        </w:rPr>
        <w:t>in</w:t>
      </w:r>
      <w:r>
        <w:rPr>
          <w:color w:val="231F20"/>
          <w:spacing w:val="-11"/>
          <w:sz w:val="20"/>
        </w:rPr>
        <w:t xml:space="preserve"> </w:t>
      </w:r>
      <w:r>
        <w:rPr>
          <w:color w:val="231F20"/>
          <w:sz w:val="20"/>
        </w:rPr>
        <w:t>children.</w:t>
      </w:r>
      <w:r>
        <w:rPr>
          <w:color w:val="231F20"/>
          <w:spacing w:val="-10"/>
          <w:sz w:val="20"/>
        </w:rPr>
        <w:t xml:space="preserve"> </w:t>
      </w:r>
      <w:r>
        <w:rPr>
          <w:color w:val="231F20"/>
          <w:sz w:val="20"/>
        </w:rPr>
        <w:t>The</w:t>
      </w:r>
      <w:r>
        <w:rPr>
          <w:color w:val="231F20"/>
          <w:spacing w:val="-11"/>
          <w:sz w:val="20"/>
        </w:rPr>
        <w:t xml:space="preserve"> </w:t>
      </w:r>
      <w:r>
        <w:rPr>
          <w:color w:val="231F20"/>
          <w:sz w:val="20"/>
        </w:rPr>
        <w:t>program</w:t>
      </w:r>
      <w:r>
        <w:rPr>
          <w:color w:val="231F20"/>
          <w:spacing w:val="-10"/>
          <w:sz w:val="20"/>
        </w:rPr>
        <w:t xml:space="preserve"> </w:t>
      </w:r>
      <w:r>
        <w:rPr>
          <w:color w:val="231F20"/>
          <w:sz w:val="20"/>
        </w:rPr>
        <w:t>should</w:t>
      </w:r>
      <w:r>
        <w:rPr>
          <w:color w:val="231F20"/>
          <w:spacing w:val="-11"/>
          <w:sz w:val="20"/>
        </w:rPr>
        <w:t xml:space="preserve"> </w:t>
      </w:r>
      <w:r>
        <w:rPr>
          <w:color w:val="231F20"/>
          <w:spacing w:val="-3"/>
          <w:sz w:val="20"/>
        </w:rPr>
        <w:t>provide</w:t>
      </w:r>
      <w:r>
        <w:rPr>
          <w:color w:val="231F20"/>
          <w:spacing w:val="-11"/>
          <w:sz w:val="20"/>
        </w:rPr>
        <w:t xml:space="preserve"> </w:t>
      </w:r>
      <w:r>
        <w:rPr>
          <w:color w:val="231F20"/>
          <w:sz w:val="20"/>
        </w:rPr>
        <w:t>an</w:t>
      </w:r>
      <w:r>
        <w:rPr>
          <w:color w:val="231F20"/>
          <w:spacing w:val="-10"/>
          <w:sz w:val="20"/>
        </w:rPr>
        <w:t xml:space="preserve"> </w:t>
      </w:r>
      <w:r>
        <w:rPr>
          <w:color w:val="231F20"/>
          <w:spacing w:val="-3"/>
          <w:sz w:val="20"/>
        </w:rPr>
        <w:t xml:space="preserve">alternative </w:t>
      </w:r>
      <w:r>
        <w:rPr>
          <w:color w:val="231F20"/>
          <w:spacing w:val="-4"/>
          <w:sz w:val="20"/>
        </w:rPr>
        <w:t>pathway</w:t>
      </w:r>
      <w:r>
        <w:rPr>
          <w:color w:val="231F20"/>
          <w:spacing w:val="-5"/>
          <w:sz w:val="20"/>
        </w:rPr>
        <w:t xml:space="preserve"> </w:t>
      </w:r>
      <w:r>
        <w:rPr>
          <w:color w:val="231F20"/>
          <w:sz w:val="20"/>
        </w:rPr>
        <w:t>instead</w:t>
      </w:r>
      <w:r>
        <w:rPr>
          <w:color w:val="231F20"/>
          <w:spacing w:val="-5"/>
          <w:sz w:val="20"/>
        </w:rPr>
        <w:t xml:space="preserve"> </w:t>
      </w:r>
      <w:r>
        <w:rPr>
          <w:color w:val="231F20"/>
          <w:sz w:val="20"/>
        </w:rPr>
        <w:t>of</w:t>
      </w:r>
      <w:r>
        <w:rPr>
          <w:color w:val="231F20"/>
          <w:spacing w:val="-5"/>
          <w:sz w:val="20"/>
        </w:rPr>
        <w:t xml:space="preserve"> </w:t>
      </w:r>
      <w:r>
        <w:rPr>
          <w:color w:val="231F20"/>
          <w:sz w:val="20"/>
        </w:rPr>
        <w:t>an</w:t>
      </w:r>
      <w:r>
        <w:rPr>
          <w:color w:val="231F20"/>
          <w:spacing w:val="-5"/>
          <w:sz w:val="20"/>
        </w:rPr>
        <w:t xml:space="preserve"> </w:t>
      </w:r>
      <w:r>
        <w:rPr>
          <w:color w:val="231F20"/>
          <w:spacing w:val="-3"/>
          <w:sz w:val="20"/>
        </w:rPr>
        <w:t>interim</w:t>
      </w:r>
      <w:r>
        <w:rPr>
          <w:color w:val="231F20"/>
          <w:spacing w:val="-4"/>
          <w:sz w:val="20"/>
        </w:rPr>
        <w:t xml:space="preserve"> </w:t>
      </w:r>
      <w:r>
        <w:rPr>
          <w:color w:val="231F20"/>
          <w:sz w:val="20"/>
        </w:rPr>
        <w:t>or</w:t>
      </w:r>
      <w:r>
        <w:rPr>
          <w:color w:val="231F20"/>
          <w:spacing w:val="-5"/>
          <w:sz w:val="20"/>
        </w:rPr>
        <w:t xml:space="preserve"> </w:t>
      </w:r>
      <w:r>
        <w:rPr>
          <w:color w:val="231F20"/>
          <w:sz w:val="20"/>
        </w:rPr>
        <w:t>final</w:t>
      </w:r>
      <w:r>
        <w:rPr>
          <w:color w:val="231F20"/>
          <w:spacing w:val="-5"/>
          <w:sz w:val="20"/>
        </w:rPr>
        <w:t xml:space="preserve"> </w:t>
      </w:r>
      <w:r>
        <w:rPr>
          <w:color w:val="231F20"/>
          <w:sz w:val="20"/>
        </w:rPr>
        <w:t>PSIO</w:t>
      </w:r>
      <w:r>
        <w:rPr>
          <w:color w:val="231F20"/>
          <w:spacing w:val="-5"/>
          <w:sz w:val="20"/>
        </w:rPr>
        <w:t xml:space="preserve"> </w:t>
      </w:r>
      <w:r>
        <w:rPr>
          <w:color w:val="231F20"/>
          <w:sz w:val="20"/>
        </w:rPr>
        <w:t>against</w:t>
      </w:r>
      <w:r>
        <w:rPr>
          <w:color w:val="231F20"/>
          <w:spacing w:val="-5"/>
          <w:sz w:val="20"/>
        </w:rPr>
        <w:t xml:space="preserve"> </w:t>
      </w:r>
      <w:r>
        <w:rPr>
          <w:color w:val="231F20"/>
          <w:sz w:val="20"/>
        </w:rPr>
        <w:t>the</w:t>
      </w:r>
      <w:r>
        <w:rPr>
          <w:color w:val="231F20"/>
          <w:spacing w:val="-4"/>
          <w:sz w:val="20"/>
        </w:rPr>
        <w:t xml:space="preserve"> </w:t>
      </w:r>
      <w:r>
        <w:rPr>
          <w:color w:val="231F20"/>
          <w:sz w:val="20"/>
        </w:rPr>
        <w:t>child.</w:t>
      </w:r>
    </w:p>
    <w:p w14:paraId="68B59FEF" w14:textId="77777777" w:rsidR="00894070" w:rsidRDefault="009B7AFD">
      <w:pPr>
        <w:pStyle w:val="ListParagraph"/>
        <w:numPr>
          <w:ilvl w:val="1"/>
          <w:numId w:val="102"/>
        </w:numPr>
        <w:tabs>
          <w:tab w:val="left" w:pos="1801"/>
          <w:tab w:val="left" w:pos="1802"/>
        </w:tabs>
        <w:spacing w:before="91"/>
        <w:rPr>
          <w:sz w:val="20"/>
        </w:rPr>
      </w:pPr>
      <w:r>
        <w:rPr>
          <w:color w:val="231F20"/>
          <w:spacing w:val="-3"/>
          <w:sz w:val="20"/>
        </w:rPr>
        <w:t>Early</w:t>
      </w:r>
      <w:r>
        <w:rPr>
          <w:color w:val="231F20"/>
          <w:spacing w:val="-6"/>
          <w:sz w:val="20"/>
        </w:rPr>
        <w:t xml:space="preserve"> </w:t>
      </w:r>
      <w:r>
        <w:rPr>
          <w:color w:val="231F20"/>
          <w:spacing w:val="-2"/>
          <w:sz w:val="20"/>
        </w:rPr>
        <w:t>intervention</w:t>
      </w:r>
      <w:r>
        <w:rPr>
          <w:color w:val="231F20"/>
          <w:spacing w:val="-5"/>
          <w:sz w:val="20"/>
        </w:rPr>
        <w:t xml:space="preserve"> </w:t>
      </w:r>
      <w:r>
        <w:rPr>
          <w:color w:val="231F20"/>
          <w:sz w:val="20"/>
        </w:rPr>
        <w:t>with</w:t>
      </w:r>
      <w:r>
        <w:rPr>
          <w:color w:val="231F20"/>
          <w:spacing w:val="-5"/>
          <w:sz w:val="20"/>
        </w:rPr>
        <w:t xml:space="preserve"> </w:t>
      </w:r>
      <w:r>
        <w:rPr>
          <w:color w:val="231F20"/>
          <w:sz w:val="20"/>
        </w:rPr>
        <w:t>this</w:t>
      </w:r>
      <w:r>
        <w:rPr>
          <w:color w:val="231F20"/>
          <w:spacing w:val="-5"/>
          <w:sz w:val="20"/>
        </w:rPr>
        <w:t xml:space="preserve"> </w:t>
      </w:r>
      <w:r>
        <w:rPr>
          <w:color w:val="231F20"/>
          <w:sz w:val="20"/>
        </w:rPr>
        <w:t>group</w:t>
      </w:r>
      <w:r>
        <w:rPr>
          <w:color w:val="231F20"/>
          <w:spacing w:val="-5"/>
          <w:sz w:val="20"/>
        </w:rPr>
        <w:t xml:space="preserve"> </w:t>
      </w:r>
      <w:r>
        <w:rPr>
          <w:color w:val="231F20"/>
          <w:sz w:val="20"/>
        </w:rPr>
        <w:t>is</w:t>
      </w:r>
      <w:r>
        <w:rPr>
          <w:color w:val="231F20"/>
          <w:spacing w:val="-6"/>
          <w:sz w:val="20"/>
        </w:rPr>
        <w:t xml:space="preserve"> </w:t>
      </w:r>
      <w:r>
        <w:rPr>
          <w:color w:val="231F20"/>
          <w:sz w:val="20"/>
        </w:rPr>
        <w:t>an</w:t>
      </w:r>
      <w:r>
        <w:rPr>
          <w:color w:val="231F20"/>
          <w:spacing w:val="-5"/>
          <w:sz w:val="20"/>
        </w:rPr>
        <w:t xml:space="preserve"> </w:t>
      </w:r>
      <w:r>
        <w:rPr>
          <w:color w:val="231F20"/>
          <w:sz w:val="20"/>
        </w:rPr>
        <w:t>area</w:t>
      </w:r>
      <w:r>
        <w:rPr>
          <w:color w:val="231F20"/>
          <w:spacing w:val="-5"/>
          <w:sz w:val="20"/>
        </w:rPr>
        <w:t xml:space="preserve"> </w:t>
      </w:r>
      <w:r>
        <w:rPr>
          <w:color w:val="231F20"/>
          <w:sz w:val="20"/>
        </w:rPr>
        <w:t>of</w:t>
      </w:r>
      <w:r>
        <w:rPr>
          <w:color w:val="231F20"/>
          <w:spacing w:val="-5"/>
          <w:sz w:val="20"/>
        </w:rPr>
        <w:t xml:space="preserve"> </w:t>
      </w:r>
      <w:r>
        <w:rPr>
          <w:color w:val="231F20"/>
          <w:sz w:val="20"/>
        </w:rPr>
        <w:t>opportunity.</w:t>
      </w:r>
      <w:r>
        <w:rPr>
          <w:color w:val="231F20"/>
          <w:spacing w:val="-5"/>
          <w:sz w:val="20"/>
        </w:rPr>
        <w:t xml:space="preserve"> </w:t>
      </w:r>
      <w:r>
        <w:rPr>
          <w:color w:val="231F20"/>
          <w:sz w:val="20"/>
        </w:rPr>
        <w:t>As</w:t>
      </w:r>
      <w:r>
        <w:rPr>
          <w:color w:val="231F20"/>
          <w:spacing w:val="-6"/>
          <w:sz w:val="20"/>
        </w:rPr>
        <w:t xml:space="preserve"> </w:t>
      </w:r>
      <w:r>
        <w:rPr>
          <w:color w:val="231F20"/>
          <w:spacing w:val="-3"/>
          <w:sz w:val="20"/>
        </w:rPr>
        <w:t>Purcell</w:t>
      </w:r>
      <w:r>
        <w:rPr>
          <w:color w:val="231F20"/>
          <w:spacing w:val="-5"/>
          <w:sz w:val="20"/>
        </w:rPr>
        <w:t xml:space="preserve"> </w:t>
      </w:r>
      <w:r>
        <w:rPr>
          <w:color w:val="231F20"/>
          <w:sz w:val="20"/>
        </w:rPr>
        <w:t>et</w:t>
      </w:r>
      <w:r>
        <w:rPr>
          <w:color w:val="231F20"/>
          <w:spacing w:val="-5"/>
          <w:sz w:val="20"/>
        </w:rPr>
        <w:t xml:space="preserve"> </w:t>
      </w:r>
      <w:r>
        <w:rPr>
          <w:color w:val="231F20"/>
          <w:sz w:val="20"/>
        </w:rPr>
        <w:t>al</w:t>
      </w:r>
      <w:r>
        <w:rPr>
          <w:color w:val="231F20"/>
          <w:spacing w:val="-5"/>
          <w:sz w:val="20"/>
        </w:rPr>
        <w:t xml:space="preserve"> </w:t>
      </w:r>
      <w:r>
        <w:rPr>
          <w:color w:val="231F20"/>
          <w:sz w:val="20"/>
        </w:rPr>
        <w:t>observe:</w:t>
      </w:r>
    </w:p>
    <w:p w14:paraId="1AC594DA" w14:textId="77777777" w:rsidR="00894070" w:rsidRDefault="009B7AFD">
      <w:pPr>
        <w:spacing w:before="112" w:line="208" w:lineRule="auto"/>
        <w:ind w:left="2254" w:right="1162"/>
        <w:rPr>
          <w:sz w:val="11"/>
        </w:rPr>
      </w:pPr>
      <w:r>
        <w:rPr>
          <w:color w:val="231F20"/>
          <w:sz w:val="19"/>
        </w:rPr>
        <w:t>Intervening at the first signs of stalking behaviours offers the best chance to reduce stalking recidivism in the perpetrator, and arguably to stem any progression to more entrenched or serious forms of interpersonal violence in later life, including domestic abuse or sexual assault.</w:t>
      </w:r>
      <w:r>
        <w:rPr>
          <w:color w:val="231F20"/>
          <w:position w:val="6"/>
          <w:sz w:val="11"/>
        </w:rPr>
        <w:t>253</w:t>
      </w:r>
    </w:p>
    <w:p w14:paraId="28EC40CB" w14:textId="77777777" w:rsidR="00894070" w:rsidRDefault="009B7AFD">
      <w:pPr>
        <w:pStyle w:val="ListParagraph"/>
        <w:numPr>
          <w:ilvl w:val="1"/>
          <w:numId w:val="102"/>
        </w:numPr>
        <w:tabs>
          <w:tab w:val="left" w:pos="1801"/>
          <w:tab w:val="left" w:pos="1802"/>
        </w:tabs>
        <w:spacing w:before="93"/>
        <w:rPr>
          <w:sz w:val="20"/>
        </w:rPr>
      </w:pPr>
      <w:r>
        <w:rPr>
          <w:color w:val="231F20"/>
          <w:spacing w:val="-3"/>
          <w:sz w:val="20"/>
        </w:rPr>
        <w:t xml:space="preserve">Appropriate </w:t>
      </w:r>
      <w:r>
        <w:rPr>
          <w:color w:val="231F20"/>
          <w:sz w:val="20"/>
        </w:rPr>
        <w:t xml:space="preserve">and </w:t>
      </w:r>
      <w:r>
        <w:rPr>
          <w:color w:val="231F20"/>
          <w:spacing w:val="-3"/>
          <w:sz w:val="20"/>
        </w:rPr>
        <w:t xml:space="preserve">effective </w:t>
      </w:r>
      <w:r>
        <w:rPr>
          <w:color w:val="231F20"/>
          <w:spacing w:val="-2"/>
          <w:sz w:val="20"/>
        </w:rPr>
        <w:t>interventions</w:t>
      </w:r>
      <w:r>
        <w:rPr>
          <w:color w:val="231F20"/>
          <w:spacing w:val="-10"/>
          <w:sz w:val="20"/>
        </w:rPr>
        <w:t xml:space="preserve"> </w:t>
      </w:r>
      <w:r>
        <w:rPr>
          <w:color w:val="231F20"/>
          <w:spacing w:val="-3"/>
          <w:sz w:val="20"/>
        </w:rPr>
        <w:t>could:</w:t>
      </w:r>
    </w:p>
    <w:p w14:paraId="0A7E7E2C" w14:textId="77777777" w:rsidR="00894070" w:rsidRDefault="009B7AFD">
      <w:pPr>
        <w:pStyle w:val="ListParagraph"/>
        <w:numPr>
          <w:ilvl w:val="2"/>
          <w:numId w:val="102"/>
        </w:numPr>
        <w:tabs>
          <w:tab w:val="left" w:pos="2141"/>
          <w:tab w:val="left" w:pos="2142"/>
        </w:tabs>
        <w:spacing w:before="82"/>
        <w:ind w:hanging="340"/>
        <w:rPr>
          <w:sz w:val="20"/>
        </w:rPr>
      </w:pPr>
      <w:r>
        <w:rPr>
          <w:color w:val="231F20"/>
          <w:spacing w:val="-3"/>
          <w:sz w:val="20"/>
        </w:rPr>
        <w:t xml:space="preserve">reduce </w:t>
      </w:r>
      <w:r>
        <w:rPr>
          <w:color w:val="231F20"/>
          <w:sz w:val="20"/>
        </w:rPr>
        <w:t xml:space="preserve">the impact of </w:t>
      </w:r>
      <w:r>
        <w:rPr>
          <w:color w:val="231F20"/>
          <w:spacing w:val="-3"/>
          <w:sz w:val="20"/>
        </w:rPr>
        <w:t>adolescent</w:t>
      </w:r>
      <w:r>
        <w:rPr>
          <w:color w:val="231F20"/>
          <w:spacing w:val="-18"/>
          <w:sz w:val="20"/>
        </w:rPr>
        <w:t xml:space="preserve"> </w:t>
      </w:r>
      <w:r>
        <w:rPr>
          <w:color w:val="231F20"/>
          <w:sz w:val="20"/>
        </w:rPr>
        <w:t>stalking</w:t>
      </w:r>
    </w:p>
    <w:p w14:paraId="31BB09F8" w14:textId="77777777" w:rsidR="00894070" w:rsidRDefault="009B7AFD">
      <w:pPr>
        <w:pStyle w:val="ListParagraph"/>
        <w:numPr>
          <w:ilvl w:val="2"/>
          <w:numId w:val="102"/>
        </w:numPr>
        <w:tabs>
          <w:tab w:val="left" w:pos="2141"/>
          <w:tab w:val="left" w:pos="2142"/>
        </w:tabs>
        <w:spacing w:before="48"/>
        <w:ind w:hanging="340"/>
        <w:rPr>
          <w:sz w:val="11"/>
        </w:rPr>
      </w:pPr>
      <w:r>
        <w:rPr>
          <w:color w:val="231F20"/>
          <w:spacing w:val="-4"/>
          <w:sz w:val="20"/>
        </w:rPr>
        <w:t xml:space="preserve">prevent </w:t>
      </w:r>
      <w:r>
        <w:rPr>
          <w:color w:val="231F20"/>
          <w:sz w:val="20"/>
        </w:rPr>
        <w:t xml:space="preserve">young people </w:t>
      </w:r>
      <w:r>
        <w:rPr>
          <w:color w:val="231F20"/>
          <w:spacing w:val="-3"/>
          <w:sz w:val="20"/>
        </w:rPr>
        <w:t xml:space="preserve">from </w:t>
      </w:r>
      <w:r>
        <w:rPr>
          <w:color w:val="231F20"/>
          <w:sz w:val="20"/>
        </w:rPr>
        <w:t>continuing to stalk as</w:t>
      </w:r>
      <w:r>
        <w:rPr>
          <w:color w:val="231F20"/>
          <w:spacing w:val="-28"/>
          <w:sz w:val="20"/>
        </w:rPr>
        <w:t xml:space="preserve"> </w:t>
      </w:r>
      <w:r>
        <w:rPr>
          <w:color w:val="231F20"/>
          <w:sz w:val="20"/>
        </w:rPr>
        <w:t>adults</w:t>
      </w:r>
      <w:r>
        <w:rPr>
          <w:color w:val="231F20"/>
          <w:position w:val="7"/>
          <w:sz w:val="11"/>
        </w:rPr>
        <w:t>254</w:t>
      </w:r>
    </w:p>
    <w:p w14:paraId="6F7A3A78" w14:textId="77777777" w:rsidR="00894070" w:rsidRDefault="009B7AFD">
      <w:pPr>
        <w:pStyle w:val="ListParagraph"/>
        <w:numPr>
          <w:ilvl w:val="2"/>
          <w:numId w:val="102"/>
        </w:numPr>
        <w:tabs>
          <w:tab w:val="left" w:pos="2141"/>
          <w:tab w:val="left" w:pos="2142"/>
        </w:tabs>
        <w:spacing w:before="47"/>
        <w:ind w:hanging="340"/>
        <w:rPr>
          <w:sz w:val="20"/>
        </w:rPr>
      </w:pPr>
      <w:r>
        <w:rPr>
          <w:color w:val="231F20"/>
          <w:spacing w:val="-3"/>
          <w:sz w:val="20"/>
        </w:rPr>
        <w:t>avoid</w:t>
      </w:r>
      <w:r>
        <w:rPr>
          <w:color w:val="231F20"/>
          <w:spacing w:val="-6"/>
          <w:sz w:val="20"/>
        </w:rPr>
        <w:t xml:space="preserve"> </w:t>
      </w:r>
      <w:r>
        <w:rPr>
          <w:color w:val="231F20"/>
          <w:sz w:val="20"/>
        </w:rPr>
        <w:t>the</w:t>
      </w:r>
      <w:r>
        <w:rPr>
          <w:color w:val="231F20"/>
          <w:spacing w:val="-5"/>
          <w:sz w:val="20"/>
        </w:rPr>
        <w:t xml:space="preserve"> </w:t>
      </w:r>
      <w:r>
        <w:rPr>
          <w:color w:val="231F20"/>
          <w:sz w:val="20"/>
        </w:rPr>
        <w:t>risk</w:t>
      </w:r>
      <w:r>
        <w:rPr>
          <w:color w:val="231F20"/>
          <w:spacing w:val="-5"/>
          <w:sz w:val="20"/>
        </w:rPr>
        <w:t xml:space="preserve"> </w:t>
      </w:r>
      <w:r>
        <w:rPr>
          <w:color w:val="231F20"/>
          <w:sz w:val="20"/>
        </w:rPr>
        <w:t>of</w:t>
      </w:r>
      <w:r>
        <w:rPr>
          <w:color w:val="231F20"/>
          <w:spacing w:val="-5"/>
          <w:sz w:val="20"/>
        </w:rPr>
        <w:t xml:space="preserve"> </w:t>
      </w:r>
      <w:r>
        <w:rPr>
          <w:color w:val="231F20"/>
          <w:sz w:val="20"/>
        </w:rPr>
        <w:t>PSIOs</w:t>
      </w:r>
      <w:r>
        <w:rPr>
          <w:color w:val="231F20"/>
          <w:spacing w:val="-5"/>
          <w:sz w:val="20"/>
        </w:rPr>
        <w:t xml:space="preserve"> </w:t>
      </w:r>
      <w:r>
        <w:rPr>
          <w:color w:val="231F20"/>
          <w:sz w:val="20"/>
        </w:rPr>
        <w:t>extending</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child’s</w:t>
      </w:r>
      <w:r>
        <w:rPr>
          <w:color w:val="231F20"/>
          <w:spacing w:val="-5"/>
          <w:sz w:val="20"/>
        </w:rPr>
        <w:t xml:space="preserve"> </w:t>
      </w:r>
      <w:r>
        <w:rPr>
          <w:color w:val="231F20"/>
          <w:sz w:val="20"/>
        </w:rPr>
        <w:t>contact</w:t>
      </w:r>
      <w:r>
        <w:rPr>
          <w:color w:val="231F20"/>
          <w:spacing w:val="-5"/>
          <w:sz w:val="20"/>
        </w:rPr>
        <w:t xml:space="preserve"> </w:t>
      </w:r>
      <w:r>
        <w:rPr>
          <w:color w:val="231F20"/>
          <w:sz w:val="20"/>
        </w:rPr>
        <w:t>with</w:t>
      </w:r>
      <w:r>
        <w:rPr>
          <w:color w:val="231F20"/>
          <w:spacing w:val="-5"/>
          <w:sz w:val="20"/>
        </w:rPr>
        <w:t xml:space="preserve"> </w:t>
      </w:r>
      <w:r>
        <w:rPr>
          <w:color w:val="231F20"/>
          <w:sz w:val="20"/>
        </w:rPr>
        <w:t>the</w:t>
      </w:r>
      <w:r>
        <w:rPr>
          <w:color w:val="231F20"/>
          <w:spacing w:val="-5"/>
          <w:sz w:val="20"/>
        </w:rPr>
        <w:t xml:space="preserve"> </w:t>
      </w:r>
      <w:r>
        <w:rPr>
          <w:color w:val="231F20"/>
          <w:sz w:val="20"/>
        </w:rPr>
        <w:t>justice</w:t>
      </w:r>
      <w:r>
        <w:rPr>
          <w:color w:val="231F20"/>
          <w:spacing w:val="-5"/>
          <w:sz w:val="20"/>
        </w:rPr>
        <w:t xml:space="preserve"> </w:t>
      </w:r>
      <w:r>
        <w:rPr>
          <w:color w:val="231F20"/>
          <w:sz w:val="20"/>
        </w:rPr>
        <w:t>system.</w:t>
      </w:r>
    </w:p>
    <w:p w14:paraId="3F220375" w14:textId="77777777" w:rsidR="00894070" w:rsidRDefault="009B7AFD">
      <w:pPr>
        <w:pStyle w:val="ListParagraph"/>
        <w:numPr>
          <w:ilvl w:val="1"/>
          <w:numId w:val="102"/>
        </w:numPr>
        <w:tabs>
          <w:tab w:val="left" w:pos="1802"/>
        </w:tabs>
        <w:spacing w:before="80" w:line="206" w:lineRule="auto"/>
        <w:ind w:right="1298"/>
        <w:jc w:val="both"/>
        <w:rPr>
          <w:sz w:val="20"/>
        </w:rPr>
      </w:pPr>
      <w:r>
        <w:rPr>
          <w:color w:val="231F20"/>
          <w:spacing w:val="-3"/>
          <w:sz w:val="20"/>
        </w:rPr>
        <w:t xml:space="preserve">Developing </w:t>
      </w:r>
      <w:r>
        <w:rPr>
          <w:color w:val="231F20"/>
          <w:sz w:val="20"/>
        </w:rPr>
        <w:t xml:space="preserve">an </w:t>
      </w:r>
      <w:r>
        <w:rPr>
          <w:color w:val="231F20"/>
          <w:spacing w:val="-3"/>
          <w:sz w:val="20"/>
        </w:rPr>
        <w:t xml:space="preserve">alternative </w:t>
      </w:r>
      <w:r>
        <w:rPr>
          <w:color w:val="231F20"/>
          <w:spacing w:val="-4"/>
          <w:sz w:val="20"/>
        </w:rPr>
        <w:t xml:space="preserve">pathway </w:t>
      </w:r>
      <w:r>
        <w:rPr>
          <w:color w:val="231F20"/>
          <w:sz w:val="20"/>
        </w:rPr>
        <w:t xml:space="preserve">will be challenging. Further </w:t>
      </w:r>
      <w:r>
        <w:rPr>
          <w:color w:val="231F20"/>
          <w:spacing w:val="-3"/>
          <w:sz w:val="20"/>
        </w:rPr>
        <w:t xml:space="preserve">research </w:t>
      </w:r>
      <w:r>
        <w:rPr>
          <w:color w:val="231F20"/>
          <w:sz w:val="20"/>
        </w:rPr>
        <w:t xml:space="preserve">is needed on </w:t>
      </w:r>
      <w:r>
        <w:rPr>
          <w:color w:val="231F20"/>
          <w:spacing w:val="-3"/>
          <w:sz w:val="20"/>
        </w:rPr>
        <w:t xml:space="preserve">adolescent </w:t>
      </w:r>
      <w:r>
        <w:rPr>
          <w:color w:val="231F20"/>
          <w:sz w:val="20"/>
        </w:rPr>
        <w:t xml:space="preserve">stalking, especially outside the </w:t>
      </w:r>
      <w:r>
        <w:rPr>
          <w:color w:val="231F20"/>
          <w:spacing w:val="-3"/>
          <w:sz w:val="20"/>
        </w:rPr>
        <w:t xml:space="preserve">context </w:t>
      </w:r>
      <w:r>
        <w:rPr>
          <w:color w:val="231F20"/>
          <w:sz w:val="20"/>
        </w:rPr>
        <w:t xml:space="preserve">of an </w:t>
      </w:r>
      <w:r>
        <w:rPr>
          <w:color w:val="231F20"/>
          <w:spacing w:val="-3"/>
          <w:sz w:val="20"/>
        </w:rPr>
        <w:t xml:space="preserve">intimate </w:t>
      </w:r>
      <w:r>
        <w:rPr>
          <w:color w:val="231F20"/>
          <w:sz w:val="20"/>
        </w:rPr>
        <w:t>relationship.</w:t>
      </w:r>
      <w:r>
        <w:rPr>
          <w:color w:val="231F20"/>
          <w:position w:val="7"/>
          <w:sz w:val="11"/>
        </w:rPr>
        <w:t xml:space="preserve">255 </w:t>
      </w:r>
      <w:r>
        <w:rPr>
          <w:color w:val="231F20"/>
          <w:spacing w:val="-4"/>
          <w:sz w:val="20"/>
        </w:rPr>
        <w:t xml:space="preserve">There </w:t>
      </w:r>
      <w:r>
        <w:rPr>
          <w:color w:val="231F20"/>
          <w:sz w:val="20"/>
        </w:rPr>
        <w:t>is</w:t>
      </w:r>
      <w:r>
        <w:rPr>
          <w:color w:val="231F20"/>
          <w:spacing w:val="-6"/>
          <w:sz w:val="20"/>
        </w:rPr>
        <w:t xml:space="preserve"> </w:t>
      </w:r>
      <w:r>
        <w:rPr>
          <w:color w:val="231F20"/>
          <w:sz w:val="20"/>
        </w:rPr>
        <w:t>an</w:t>
      </w:r>
      <w:r>
        <w:rPr>
          <w:color w:val="231F20"/>
          <w:spacing w:val="-5"/>
          <w:sz w:val="20"/>
        </w:rPr>
        <w:t xml:space="preserve"> </w:t>
      </w:r>
      <w:r>
        <w:rPr>
          <w:color w:val="231F20"/>
          <w:sz w:val="20"/>
        </w:rPr>
        <w:t>especially</w:t>
      </w:r>
      <w:r>
        <w:rPr>
          <w:color w:val="231F20"/>
          <w:spacing w:val="-5"/>
          <w:sz w:val="20"/>
        </w:rPr>
        <w:t xml:space="preserve"> </w:t>
      </w:r>
      <w:r>
        <w:rPr>
          <w:color w:val="231F20"/>
          <w:sz w:val="20"/>
        </w:rPr>
        <w:t>small</w:t>
      </w:r>
      <w:r>
        <w:rPr>
          <w:color w:val="231F20"/>
          <w:spacing w:val="-5"/>
          <w:sz w:val="20"/>
        </w:rPr>
        <w:t xml:space="preserve"> </w:t>
      </w:r>
      <w:r>
        <w:rPr>
          <w:color w:val="231F20"/>
          <w:sz w:val="20"/>
        </w:rPr>
        <w:t>amount</w:t>
      </w:r>
      <w:r>
        <w:rPr>
          <w:color w:val="231F20"/>
          <w:spacing w:val="-5"/>
          <w:sz w:val="20"/>
        </w:rPr>
        <w:t xml:space="preserve"> </w:t>
      </w:r>
      <w:r>
        <w:rPr>
          <w:color w:val="231F20"/>
          <w:sz w:val="20"/>
        </w:rPr>
        <w:t>of</w:t>
      </w:r>
      <w:r>
        <w:rPr>
          <w:color w:val="231F20"/>
          <w:spacing w:val="-6"/>
          <w:sz w:val="20"/>
        </w:rPr>
        <w:t xml:space="preserve"> </w:t>
      </w:r>
      <w:r>
        <w:rPr>
          <w:color w:val="231F20"/>
          <w:spacing w:val="-3"/>
          <w:sz w:val="20"/>
        </w:rPr>
        <w:t>research</w:t>
      </w:r>
      <w:r>
        <w:rPr>
          <w:color w:val="231F20"/>
          <w:spacing w:val="-5"/>
          <w:sz w:val="20"/>
        </w:rPr>
        <w:t xml:space="preserve"> </w:t>
      </w:r>
      <w:r>
        <w:rPr>
          <w:color w:val="231F20"/>
          <w:sz w:val="20"/>
        </w:rPr>
        <w:t>on</w:t>
      </w:r>
      <w:r>
        <w:rPr>
          <w:color w:val="231F20"/>
          <w:spacing w:val="-5"/>
          <w:sz w:val="20"/>
        </w:rPr>
        <w:t xml:space="preserve"> </w:t>
      </w:r>
      <w:r>
        <w:rPr>
          <w:color w:val="231F20"/>
          <w:spacing w:val="-2"/>
          <w:sz w:val="20"/>
        </w:rPr>
        <w:t>interventions</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this</w:t>
      </w:r>
      <w:r>
        <w:rPr>
          <w:color w:val="231F20"/>
          <w:spacing w:val="-5"/>
          <w:sz w:val="20"/>
        </w:rPr>
        <w:t xml:space="preserve"> </w:t>
      </w:r>
      <w:r>
        <w:rPr>
          <w:color w:val="231F20"/>
          <w:sz w:val="20"/>
        </w:rPr>
        <w:t>group.</w:t>
      </w:r>
    </w:p>
    <w:p w14:paraId="16EB6EB5" w14:textId="77777777" w:rsidR="00894070" w:rsidRDefault="009B7AFD">
      <w:pPr>
        <w:pStyle w:val="ListParagraph"/>
        <w:numPr>
          <w:ilvl w:val="1"/>
          <w:numId w:val="102"/>
        </w:numPr>
        <w:tabs>
          <w:tab w:val="left" w:pos="1801"/>
          <w:tab w:val="left" w:pos="1802"/>
        </w:tabs>
        <w:spacing w:before="91" w:line="259" w:lineRule="exact"/>
        <w:rPr>
          <w:sz w:val="20"/>
        </w:rPr>
      </w:pPr>
      <w:r>
        <w:rPr>
          <w:color w:val="231F20"/>
          <w:spacing w:val="-5"/>
          <w:sz w:val="20"/>
        </w:rPr>
        <w:t>However,</w:t>
      </w:r>
      <w:r>
        <w:rPr>
          <w:color w:val="231F20"/>
          <w:spacing w:val="-7"/>
          <w:sz w:val="20"/>
        </w:rPr>
        <w:t xml:space="preserve"> </w:t>
      </w:r>
      <w:r>
        <w:rPr>
          <w:color w:val="231F20"/>
          <w:sz w:val="20"/>
        </w:rPr>
        <w:t>the</w:t>
      </w:r>
      <w:r>
        <w:rPr>
          <w:color w:val="231F20"/>
          <w:spacing w:val="-6"/>
          <w:sz w:val="20"/>
        </w:rPr>
        <w:t xml:space="preserve"> </w:t>
      </w:r>
      <w:r>
        <w:rPr>
          <w:color w:val="231F20"/>
          <w:sz w:val="20"/>
        </w:rPr>
        <w:t>clinical</w:t>
      </w:r>
      <w:r>
        <w:rPr>
          <w:color w:val="231F20"/>
          <w:spacing w:val="-6"/>
          <w:sz w:val="20"/>
        </w:rPr>
        <w:t xml:space="preserve"> </w:t>
      </w:r>
      <w:r>
        <w:rPr>
          <w:color w:val="231F20"/>
          <w:sz w:val="20"/>
        </w:rPr>
        <w:t>management</w:t>
      </w:r>
      <w:r>
        <w:rPr>
          <w:color w:val="231F20"/>
          <w:spacing w:val="-6"/>
          <w:sz w:val="20"/>
        </w:rPr>
        <w:t xml:space="preserve"> </w:t>
      </w:r>
      <w:r>
        <w:rPr>
          <w:color w:val="231F20"/>
          <w:sz w:val="20"/>
        </w:rPr>
        <w:t>strategies</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adult</w:t>
      </w:r>
      <w:r>
        <w:rPr>
          <w:color w:val="231F20"/>
          <w:spacing w:val="-6"/>
          <w:sz w:val="20"/>
        </w:rPr>
        <w:t xml:space="preserve"> </w:t>
      </w:r>
      <w:r>
        <w:rPr>
          <w:color w:val="231F20"/>
          <w:sz w:val="20"/>
        </w:rPr>
        <w:t>offenders</w:t>
      </w:r>
      <w:r>
        <w:rPr>
          <w:color w:val="231F20"/>
          <w:spacing w:val="-6"/>
          <w:sz w:val="20"/>
        </w:rPr>
        <w:t xml:space="preserve"> </w:t>
      </w:r>
      <w:r>
        <w:rPr>
          <w:color w:val="231F20"/>
          <w:sz w:val="20"/>
        </w:rPr>
        <w:t>could</w:t>
      </w:r>
      <w:r>
        <w:rPr>
          <w:color w:val="231F20"/>
          <w:spacing w:val="-6"/>
          <w:sz w:val="20"/>
        </w:rPr>
        <w:t xml:space="preserve"> </w:t>
      </w:r>
      <w:r>
        <w:rPr>
          <w:color w:val="231F20"/>
          <w:sz w:val="20"/>
        </w:rPr>
        <w:t>be</w:t>
      </w:r>
      <w:r>
        <w:rPr>
          <w:color w:val="231F20"/>
          <w:spacing w:val="-7"/>
          <w:sz w:val="20"/>
        </w:rPr>
        <w:t xml:space="preserve"> </w:t>
      </w:r>
      <w:r>
        <w:rPr>
          <w:color w:val="231F20"/>
          <w:sz w:val="20"/>
        </w:rPr>
        <w:t>used</w:t>
      </w:r>
      <w:r>
        <w:rPr>
          <w:color w:val="231F20"/>
          <w:spacing w:val="-6"/>
          <w:sz w:val="20"/>
        </w:rPr>
        <w:t xml:space="preserve"> </w:t>
      </w:r>
      <w:r>
        <w:rPr>
          <w:color w:val="231F20"/>
          <w:sz w:val="20"/>
        </w:rPr>
        <w:t>as</w:t>
      </w:r>
      <w:r>
        <w:rPr>
          <w:color w:val="231F20"/>
          <w:spacing w:val="-6"/>
          <w:sz w:val="20"/>
        </w:rPr>
        <w:t xml:space="preserve"> </w:t>
      </w:r>
      <w:r>
        <w:rPr>
          <w:color w:val="231F20"/>
          <w:sz w:val="20"/>
        </w:rPr>
        <w:t>a</w:t>
      </w:r>
    </w:p>
    <w:p w14:paraId="6102C901" w14:textId="77777777" w:rsidR="00894070" w:rsidRDefault="009B7AFD">
      <w:pPr>
        <w:pStyle w:val="BodyText"/>
        <w:spacing w:line="259" w:lineRule="exact"/>
        <w:ind w:left="1801"/>
        <w:rPr>
          <w:sz w:val="11"/>
        </w:rPr>
      </w:pPr>
      <w:r>
        <w:rPr>
          <w:color w:val="231F20"/>
        </w:rPr>
        <w:t>guide for responding to young people who stalk.</w:t>
      </w:r>
      <w:r>
        <w:rPr>
          <w:color w:val="231F20"/>
          <w:position w:val="7"/>
          <w:sz w:val="11"/>
        </w:rPr>
        <w:t>256</w:t>
      </w:r>
    </w:p>
    <w:p w14:paraId="42E60E7E" w14:textId="77777777" w:rsidR="00894070" w:rsidRDefault="009B7AFD">
      <w:pPr>
        <w:pStyle w:val="ListParagraph"/>
        <w:numPr>
          <w:ilvl w:val="1"/>
          <w:numId w:val="102"/>
        </w:numPr>
        <w:tabs>
          <w:tab w:val="left" w:pos="1801"/>
          <w:tab w:val="left" w:pos="1802"/>
        </w:tabs>
        <w:spacing w:before="83" w:line="259" w:lineRule="exact"/>
        <w:rPr>
          <w:sz w:val="20"/>
        </w:rPr>
      </w:pPr>
      <w:r>
        <w:rPr>
          <w:color w:val="231F20"/>
          <w:spacing w:val="-3"/>
          <w:sz w:val="20"/>
        </w:rPr>
        <w:t>Forensicare</w:t>
      </w:r>
      <w:r>
        <w:rPr>
          <w:color w:val="231F20"/>
          <w:spacing w:val="-6"/>
          <w:sz w:val="20"/>
        </w:rPr>
        <w:t xml:space="preserve"> </w:t>
      </w:r>
      <w:r>
        <w:rPr>
          <w:color w:val="231F20"/>
          <w:sz w:val="20"/>
        </w:rPr>
        <w:t>noted</w:t>
      </w:r>
      <w:r>
        <w:rPr>
          <w:color w:val="231F20"/>
          <w:spacing w:val="-5"/>
          <w:sz w:val="20"/>
        </w:rPr>
        <w:t xml:space="preserve"> </w:t>
      </w:r>
      <w:r>
        <w:rPr>
          <w:color w:val="231F20"/>
          <w:sz w:val="20"/>
        </w:rPr>
        <w:t>that</w:t>
      </w:r>
      <w:r>
        <w:rPr>
          <w:color w:val="231F20"/>
          <w:spacing w:val="-5"/>
          <w:sz w:val="20"/>
        </w:rPr>
        <w:t xml:space="preserve"> </w:t>
      </w:r>
      <w:r>
        <w:rPr>
          <w:color w:val="231F20"/>
          <w:sz w:val="20"/>
        </w:rPr>
        <w:t>the</w:t>
      </w:r>
      <w:r>
        <w:rPr>
          <w:color w:val="231F20"/>
          <w:spacing w:val="-5"/>
          <w:sz w:val="20"/>
        </w:rPr>
        <w:t xml:space="preserve"> </w:t>
      </w:r>
      <w:r>
        <w:rPr>
          <w:color w:val="231F20"/>
          <w:sz w:val="20"/>
        </w:rPr>
        <w:t>therapeutic</w:t>
      </w:r>
      <w:r>
        <w:rPr>
          <w:color w:val="231F20"/>
          <w:spacing w:val="-6"/>
          <w:sz w:val="20"/>
        </w:rPr>
        <w:t xml:space="preserve"> </w:t>
      </w:r>
      <w:r>
        <w:rPr>
          <w:color w:val="231F20"/>
          <w:spacing w:val="-3"/>
          <w:sz w:val="20"/>
        </w:rPr>
        <w:t>treatment</w:t>
      </w:r>
      <w:r>
        <w:rPr>
          <w:color w:val="231F20"/>
          <w:spacing w:val="-5"/>
          <w:sz w:val="20"/>
        </w:rPr>
        <w:t xml:space="preserve"> </w:t>
      </w:r>
      <w:r>
        <w:rPr>
          <w:color w:val="231F20"/>
          <w:sz w:val="20"/>
        </w:rPr>
        <w:t>order</w:t>
      </w:r>
      <w:r>
        <w:rPr>
          <w:color w:val="231F20"/>
          <w:spacing w:val="-5"/>
          <w:sz w:val="20"/>
        </w:rPr>
        <w:t xml:space="preserve"> </w:t>
      </w:r>
      <w:r>
        <w:rPr>
          <w:color w:val="231F20"/>
          <w:sz w:val="20"/>
        </w:rPr>
        <w:t>model</w:t>
      </w:r>
      <w:r>
        <w:rPr>
          <w:color w:val="231F20"/>
          <w:spacing w:val="-5"/>
          <w:sz w:val="20"/>
        </w:rPr>
        <w:t xml:space="preserve"> </w:t>
      </w:r>
      <w:r>
        <w:rPr>
          <w:color w:val="231F20"/>
          <w:sz w:val="20"/>
        </w:rPr>
        <w:t>was</w:t>
      </w:r>
      <w:r>
        <w:rPr>
          <w:color w:val="231F20"/>
          <w:spacing w:val="-6"/>
          <w:sz w:val="20"/>
        </w:rPr>
        <w:t xml:space="preserve"> </w:t>
      </w:r>
      <w:r>
        <w:rPr>
          <w:color w:val="231F20"/>
          <w:sz w:val="20"/>
        </w:rPr>
        <w:t>very</w:t>
      </w:r>
      <w:r>
        <w:rPr>
          <w:color w:val="231F20"/>
          <w:spacing w:val="-5"/>
          <w:sz w:val="20"/>
        </w:rPr>
        <w:t xml:space="preserve"> </w:t>
      </w:r>
      <w:r>
        <w:rPr>
          <w:color w:val="231F20"/>
          <w:spacing w:val="-3"/>
          <w:sz w:val="20"/>
        </w:rPr>
        <w:t>effective</w:t>
      </w:r>
      <w:r>
        <w:rPr>
          <w:color w:val="231F20"/>
          <w:spacing w:val="-5"/>
          <w:sz w:val="20"/>
        </w:rPr>
        <w:t xml:space="preserve"> </w:t>
      </w:r>
      <w:r>
        <w:rPr>
          <w:color w:val="231F20"/>
          <w:sz w:val="20"/>
        </w:rPr>
        <w:t>and</w:t>
      </w:r>
    </w:p>
    <w:p w14:paraId="0EC6DD88" w14:textId="77777777" w:rsidR="00894070" w:rsidRDefault="009B7AFD">
      <w:pPr>
        <w:pStyle w:val="BodyText"/>
        <w:spacing w:line="259" w:lineRule="exact"/>
        <w:ind w:left="1801"/>
        <w:rPr>
          <w:sz w:val="11"/>
        </w:rPr>
      </w:pPr>
      <w:r>
        <w:rPr>
          <w:color w:val="231F20"/>
        </w:rPr>
        <w:t>could be adapted for stalking matters.</w:t>
      </w:r>
      <w:r>
        <w:rPr>
          <w:color w:val="231F20"/>
          <w:position w:val="7"/>
          <w:sz w:val="11"/>
        </w:rPr>
        <w:t>257</w:t>
      </w:r>
    </w:p>
    <w:p w14:paraId="7E2D5124" w14:textId="77777777" w:rsidR="00894070" w:rsidRDefault="009B7AFD">
      <w:pPr>
        <w:pStyle w:val="ListParagraph"/>
        <w:numPr>
          <w:ilvl w:val="1"/>
          <w:numId w:val="102"/>
        </w:numPr>
        <w:tabs>
          <w:tab w:val="left" w:pos="1801"/>
          <w:tab w:val="left" w:pos="1802"/>
        </w:tabs>
        <w:spacing w:before="114" w:line="206" w:lineRule="auto"/>
        <w:ind w:right="1626"/>
        <w:rPr>
          <w:sz w:val="11"/>
        </w:rPr>
      </w:pPr>
      <w:r>
        <w:rPr>
          <w:color w:val="231F20"/>
          <w:sz w:val="20"/>
        </w:rPr>
        <w:t>The</w:t>
      </w:r>
      <w:r>
        <w:rPr>
          <w:color w:val="231F20"/>
          <w:spacing w:val="-6"/>
          <w:sz w:val="20"/>
        </w:rPr>
        <w:t xml:space="preserve"> </w:t>
      </w:r>
      <w:r>
        <w:rPr>
          <w:color w:val="231F20"/>
          <w:spacing w:val="-3"/>
          <w:sz w:val="20"/>
        </w:rPr>
        <w:t>Children’s</w:t>
      </w:r>
      <w:r>
        <w:rPr>
          <w:color w:val="231F20"/>
          <w:spacing w:val="-5"/>
          <w:sz w:val="20"/>
        </w:rPr>
        <w:t xml:space="preserve"> </w:t>
      </w:r>
      <w:r>
        <w:rPr>
          <w:color w:val="231F20"/>
          <w:sz w:val="20"/>
        </w:rPr>
        <w:t>Court</w:t>
      </w:r>
      <w:r>
        <w:rPr>
          <w:color w:val="231F20"/>
          <w:spacing w:val="-5"/>
          <w:sz w:val="20"/>
        </w:rPr>
        <w:t xml:space="preserve"> </w:t>
      </w:r>
      <w:r>
        <w:rPr>
          <w:color w:val="231F20"/>
          <w:sz w:val="20"/>
        </w:rPr>
        <w:t>said</w:t>
      </w:r>
      <w:r>
        <w:rPr>
          <w:color w:val="231F20"/>
          <w:spacing w:val="-5"/>
          <w:sz w:val="20"/>
        </w:rPr>
        <w:t xml:space="preserve"> </w:t>
      </w:r>
      <w:r>
        <w:rPr>
          <w:color w:val="231F20"/>
          <w:sz w:val="20"/>
        </w:rPr>
        <w:t>that</w:t>
      </w:r>
      <w:r>
        <w:rPr>
          <w:color w:val="231F20"/>
          <w:spacing w:val="-5"/>
          <w:sz w:val="20"/>
        </w:rPr>
        <w:t xml:space="preserve"> </w:t>
      </w:r>
      <w:r>
        <w:rPr>
          <w:color w:val="231F20"/>
          <w:sz w:val="20"/>
        </w:rPr>
        <w:t>it</w:t>
      </w:r>
      <w:r>
        <w:rPr>
          <w:color w:val="231F20"/>
          <w:spacing w:val="-5"/>
          <w:sz w:val="20"/>
        </w:rPr>
        <w:t xml:space="preserve"> </w:t>
      </w:r>
      <w:r>
        <w:rPr>
          <w:color w:val="231F20"/>
          <w:spacing w:val="-3"/>
          <w:sz w:val="20"/>
        </w:rPr>
        <w:t>would</w:t>
      </w:r>
      <w:r>
        <w:rPr>
          <w:color w:val="231F20"/>
          <w:spacing w:val="-5"/>
          <w:sz w:val="20"/>
        </w:rPr>
        <w:t xml:space="preserve"> </w:t>
      </w:r>
      <w:r>
        <w:rPr>
          <w:color w:val="231F20"/>
          <w:spacing w:val="-3"/>
          <w:sz w:val="20"/>
        </w:rPr>
        <w:t>appreciate</w:t>
      </w:r>
      <w:r>
        <w:rPr>
          <w:color w:val="231F20"/>
          <w:spacing w:val="-5"/>
          <w:sz w:val="20"/>
        </w:rPr>
        <w:t xml:space="preserve"> </w:t>
      </w:r>
      <w:r>
        <w:rPr>
          <w:color w:val="231F20"/>
          <w:spacing w:val="-3"/>
          <w:sz w:val="20"/>
        </w:rPr>
        <w:t>any</w:t>
      </w:r>
      <w:r>
        <w:rPr>
          <w:color w:val="231F20"/>
          <w:spacing w:val="-5"/>
          <w:sz w:val="20"/>
        </w:rPr>
        <w:t xml:space="preserve"> </w:t>
      </w:r>
      <w:proofErr w:type="gramStart"/>
      <w:r>
        <w:rPr>
          <w:color w:val="231F20"/>
          <w:spacing w:val="-3"/>
          <w:sz w:val="20"/>
        </w:rPr>
        <w:t>alternatives,</w:t>
      </w:r>
      <w:r>
        <w:rPr>
          <w:color w:val="231F20"/>
          <w:spacing w:val="-5"/>
          <w:sz w:val="20"/>
        </w:rPr>
        <w:t xml:space="preserve"> </w:t>
      </w:r>
      <w:r>
        <w:rPr>
          <w:color w:val="231F20"/>
          <w:sz w:val="20"/>
        </w:rPr>
        <w:t>but</w:t>
      </w:r>
      <w:proofErr w:type="gramEnd"/>
      <w:r>
        <w:rPr>
          <w:color w:val="231F20"/>
          <w:spacing w:val="-5"/>
          <w:sz w:val="20"/>
        </w:rPr>
        <w:t xml:space="preserve"> </w:t>
      </w:r>
      <w:r>
        <w:rPr>
          <w:color w:val="231F20"/>
          <w:sz w:val="20"/>
        </w:rPr>
        <w:t>noted</w:t>
      </w:r>
      <w:r>
        <w:rPr>
          <w:color w:val="231F20"/>
          <w:spacing w:val="-5"/>
          <w:sz w:val="20"/>
        </w:rPr>
        <w:t xml:space="preserve"> </w:t>
      </w:r>
      <w:r>
        <w:rPr>
          <w:color w:val="231F20"/>
          <w:sz w:val="20"/>
        </w:rPr>
        <w:t>that</w:t>
      </w:r>
      <w:r>
        <w:rPr>
          <w:color w:val="231F20"/>
          <w:spacing w:val="-5"/>
          <w:sz w:val="20"/>
        </w:rPr>
        <w:t xml:space="preserve"> </w:t>
      </w:r>
      <w:r>
        <w:rPr>
          <w:color w:val="231F20"/>
          <w:sz w:val="20"/>
        </w:rPr>
        <w:t xml:space="preserve">it </w:t>
      </w:r>
      <w:r>
        <w:rPr>
          <w:color w:val="231F20"/>
          <w:spacing w:val="-3"/>
          <w:sz w:val="20"/>
        </w:rPr>
        <w:t xml:space="preserve">would </w:t>
      </w:r>
      <w:r>
        <w:rPr>
          <w:color w:val="231F20"/>
          <w:sz w:val="20"/>
        </w:rPr>
        <w:t xml:space="preserve">not order </w:t>
      </w:r>
      <w:r>
        <w:rPr>
          <w:color w:val="231F20"/>
          <w:spacing w:val="-3"/>
          <w:sz w:val="20"/>
        </w:rPr>
        <w:t xml:space="preserve">alternatives </w:t>
      </w:r>
      <w:r>
        <w:rPr>
          <w:color w:val="231F20"/>
          <w:sz w:val="20"/>
        </w:rPr>
        <w:t xml:space="preserve">that criminalise a </w:t>
      </w:r>
      <w:r>
        <w:rPr>
          <w:color w:val="231F20"/>
          <w:spacing w:val="-3"/>
          <w:sz w:val="20"/>
        </w:rPr>
        <w:t xml:space="preserve">child’s </w:t>
      </w:r>
      <w:r>
        <w:rPr>
          <w:color w:val="231F20"/>
          <w:sz w:val="20"/>
        </w:rPr>
        <w:t xml:space="preserve">non-attendance or </w:t>
      </w:r>
      <w:r>
        <w:rPr>
          <w:color w:val="231F20"/>
          <w:spacing w:val="-3"/>
          <w:sz w:val="20"/>
        </w:rPr>
        <w:t xml:space="preserve">failure </w:t>
      </w:r>
      <w:r>
        <w:rPr>
          <w:color w:val="231F20"/>
          <w:sz w:val="20"/>
        </w:rPr>
        <w:t>to participate.</w:t>
      </w:r>
      <w:r>
        <w:rPr>
          <w:color w:val="231F20"/>
          <w:position w:val="7"/>
          <w:sz w:val="11"/>
        </w:rPr>
        <w:t>258</w:t>
      </w:r>
    </w:p>
    <w:p w14:paraId="2B8ECEC3" w14:textId="77777777" w:rsidR="00894070" w:rsidRDefault="009F6793">
      <w:pPr>
        <w:pStyle w:val="BodyText"/>
        <w:spacing w:before="6"/>
        <w:rPr>
          <w:sz w:val="19"/>
        </w:rPr>
      </w:pPr>
      <w:r>
        <w:pict w14:anchorId="60E11A11">
          <v:group id="_x0000_s1246" style="position:absolute;margin-left:62.35pt;margin-top:15.5pt;width:479.1pt;height:152.9pt;z-index:251710464;mso-wrap-distance-left:0;mso-wrap-distance-right:0;mso-position-horizontal-relative:page" coordorigin="1247,310" coordsize="9582,3058">
            <v:rect id="_x0000_s1253" style="position:absolute;left:1587;top:309;width:8731;height:3058" fillcolor="#fee7de" stroked="f"/>
            <v:line id="_x0000_s1252" style="position:absolute" from="1247,1117" to="10828,1117" strokecolor="white" strokeweight="2.5pt"/>
            <v:shape id="_x0000_s1251" type="#_x0000_t202" style="position:absolute;left:2947;top:1342;width:7030;height:1845" filled="f" stroked="f">
              <v:textbox inset="0,0,0,0">
                <w:txbxContent>
                  <w:p w14:paraId="3CC3C1EB" w14:textId="77777777" w:rsidR="00894070" w:rsidRDefault="009B7AFD">
                    <w:pPr>
                      <w:spacing w:line="247" w:lineRule="auto"/>
                      <w:ind w:right="18"/>
                      <w:jc w:val="both"/>
                      <w:rPr>
                        <w:rFonts w:ascii="Trebuchet MS"/>
                        <w:sz w:val="20"/>
                      </w:rPr>
                    </w:pPr>
                    <w:r>
                      <w:rPr>
                        <w:rFonts w:ascii="Trebuchet MS"/>
                        <w:color w:val="231F20"/>
                        <w:w w:val="105"/>
                        <w:sz w:val="20"/>
                      </w:rPr>
                      <w:t>The</w:t>
                    </w:r>
                    <w:r>
                      <w:rPr>
                        <w:rFonts w:ascii="Trebuchet MS"/>
                        <w:color w:val="231F20"/>
                        <w:spacing w:val="-14"/>
                        <w:w w:val="105"/>
                        <w:sz w:val="20"/>
                      </w:rPr>
                      <w:t xml:space="preserve"> </w:t>
                    </w:r>
                    <w:r>
                      <w:rPr>
                        <w:rFonts w:ascii="Trebuchet MS"/>
                        <w:color w:val="231F20"/>
                        <w:w w:val="105"/>
                        <w:sz w:val="20"/>
                      </w:rPr>
                      <w:t>Victorian</w:t>
                    </w:r>
                    <w:r>
                      <w:rPr>
                        <w:rFonts w:ascii="Trebuchet MS"/>
                        <w:color w:val="231F20"/>
                        <w:spacing w:val="-13"/>
                        <w:w w:val="105"/>
                        <w:sz w:val="20"/>
                      </w:rPr>
                      <w:t xml:space="preserve"> </w:t>
                    </w:r>
                    <w:r>
                      <w:rPr>
                        <w:rFonts w:ascii="Trebuchet MS"/>
                        <w:color w:val="231F20"/>
                        <w:spacing w:val="-3"/>
                        <w:w w:val="105"/>
                        <w:sz w:val="20"/>
                      </w:rPr>
                      <w:t>Government</w:t>
                    </w:r>
                    <w:r>
                      <w:rPr>
                        <w:rFonts w:ascii="Trebuchet MS"/>
                        <w:color w:val="231F20"/>
                        <w:spacing w:val="-14"/>
                        <w:w w:val="105"/>
                        <w:sz w:val="20"/>
                      </w:rPr>
                      <w:t xml:space="preserve"> </w:t>
                    </w:r>
                    <w:r>
                      <w:rPr>
                        <w:rFonts w:ascii="Trebuchet MS"/>
                        <w:color w:val="231F20"/>
                        <w:w w:val="105"/>
                        <w:sz w:val="20"/>
                      </w:rPr>
                      <w:t>should</w:t>
                    </w:r>
                    <w:r>
                      <w:rPr>
                        <w:rFonts w:ascii="Trebuchet MS"/>
                        <w:color w:val="231F20"/>
                        <w:spacing w:val="-13"/>
                        <w:w w:val="105"/>
                        <w:sz w:val="20"/>
                      </w:rPr>
                      <w:t xml:space="preserve"> </w:t>
                    </w:r>
                    <w:r>
                      <w:rPr>
                        <w:rFonts w:ascii="Trebuchet MS"/>
                        <w:color w:val="231F20"/>
                        <w:w w:val="105"/>
                        <w:sz w:val="20"/>
                      </w:rPr>
                      <w:t>establish</w:t>
                    </w:r>
                    <w:r>
                      <w:rPr>
                        <w:rFonts w:ascii="Trebuchet MS"/>
                        <w:color w:val="231F20"/>
                        <w:spacing w:val="-14"/>
                        <w:w w:val="105"/>
                        <w:sz w:val="20"/>
                      </w:rPr>
                      <w:t xml:space="preserve"> </w:t>
                    </w:r>
                    <w:r>
                      <w:rPr>
                        <w:rFonts w:ascii="Trebuchet MS"/>
                        <w:color w:val="231F20"/>
                        <w:w w:val="105"/>
                        <w:sz w:val="20"/>
                      </w:rPr>
                      <w:t>and</w:t>
                    </w:r>
                    <w:r>
                      <w:rPr>
                        <w:rFonts w:ascii="Trebuchet MS"/>
                        <w:color w:val="231F20"/>
                        <w:spacing w:val="-13"/>
                        <w:w w:val="105"/>
                        <w:sz w:val="20"/>
                      </w:rPr>
                      <w:t xml:space="preserve"> </w:t>
                    </w:r>
                    <w:r>
                      <w:rPr>
                        <w:rFonts w:ascii="Trebuchet MS"/>
                        <w:color w:val="231F20"/>
                        <w:w w:val="105"/>
                        <w:sz w:val="20"/>
                      </w:rPr>
                      <w:t>fund</w:t>
                    </w:r>
                    <w:r>
                      <w:rPr>
                        <w:rFonts w:ascii="Trebuchet MS"/>
                        <w:color w:val="231F20"/>
                        <w:spacing w:val="-14"/>
                        <w:w w:val="105"/>
                        <w:sz w:val="20"/>
                      </w:rPr>
                      <w:t xml:space="preserve"> </w:t>
                    </w:r>
                    <w:r>
                      <w:rPr>
                        <w:rFonts w:ascii="Trebuchet MS"/>
                        <w:color w:val="231F20"/>
                        <w:w w:val="105"/>
                        <w:sz w:val="20"/>
                      </w:rPr>
                      <w:t>an</w:t>
                    </w:r>
                    <w:r>
                      <w:rPr>
                        <w:rFonts w:ascii="Trebuchet MS"/>
                        <w:color w:val="231F20"/>
                        <w:spacing w:val="-13"/>
                        <w:w w:val="105"/>
                        <w:sz w:val="20"/>
                      </w:rPr>
                      <w:t xml:space="preserve"> </w:t>
                    </w:r>
                    <w:r>
                      <w:rPr>
                        <w:rFonts w:ascii="Trebuchet MS"/>
                        <w:color w:val="231F20"/>
                        <w:w w:val="105"/>
                        <w:sz w:val="20"/>
                      </w:rPr>
                      <w:t>evidence-informed therapeutic</w:t>
                    </w:r>
                    <w:r>
                      <w:rPr>
                        <w:rFonts w:ascii="Trebuchet MS"/>
                        <w:color w:val="231F20"/>
                        <w:spacing w:val="-16"/>
                        <w:w w:val="105"/>
                        <w:sz w:val="20"/>
                      </w:rPr>
                      <w:t xml:space="preserve"> </w:t>
                    </w:r>
                    <w:r>
                      <w:rPr>
                        <w:rFonts w:ascii="Trebuchet MS"/>
                        <w:color w:val="231F20"/>
                        <w:w w:val="105"/>
                        <w:sz w:val="20"/>
                      </w:rPr>
                      <w:t>program</w:t>
                    </w:r>
                    <w:r>
                      <w:rPr>
                        <w:rFonts w:ascii="Trebuchet MS"/>
                        <w:color w:val="231F20"/>
                        <w:spacing w:val="-15"/>
                        <w:w w:val="105"/>
                        <w:sz w:val="20"/>
                      </w:rPr>
                      <w:t xml:space="preserve"> </w:t>
                    </w:r>
                    <w:r>
                      <w:rPr>
                        <w:rFonts w:ascii="Trebuchet MS"/>
                        <w:color w:val="231F20"/>
                        <w:w w:val="105"/>
                        <w:sz w:val="20"/>
                      </w:rPr>
                      <w:t>to</w:t>
                    </w:r>
                    <w:r>
                      <w:rPr>
                        <w:rFonts w:ascii="Trebuchet MS"/>
                        <w:color w:val="231F20"/>
                        <w:spacing w:val="-15"/>
                        <w:w w:val="105"/>
                        <w:sz w:val="20"/>
                      </w:rPr>
                      <w:t xml:space="preserve"> </w:t>
                    </w:r>
                    <w:r>
                      <w:rPr>
                        <w:rFonts w:ascii="Trebuchet MS"/>
                        <w:color w:val="231F20"/>
                        <w:w w:val="105"/>
                        <w:sz w:val="20"/>
                      </w:rPr>
                      <w:t>respond</w:t>
                    </w:r>
                    <w:r>
                      <w:rPr>
                        <w:rFonts w:ascii="Trebuchet MS"/>
                        <w:color w:val="231F20"/>
                        <w:spacing w:val="-15"/>
                        <w:w w:val="105"/>
                        <w:sz w:val="20"/>
                      </w:rPr>
                      <w:t xml:space="preserve"> </w:t>
                    </w:r>
                    <w:r>
                      <w:rPr>
                        <w:rFonts w:ascii="Trebuchet MS"/>
                        <w:color w:val="231F20"/>
                        <w:w w:val="105"/>
                        <w:sz w:val="20"/>
                      </w:rPr>
                      <w:t>to</w:t>
                    </w:r>
                    <w:r>
                      <w:rPr>
                        <w:rFonts w:ascii="Trebuchet MS"/>
                        <w:color w:val="231F20"/>
                        <w:spacing w:val="-16"/>
                        <w:w w:val="105"/>
                        <w:sz w:val="20"/>
                      </w:rPr>
                      <w:t xml:space="preserve"> </w:t>
                    </w:r>
                    <w:r>
                      <w:rPr>
                        <w:rFonts w:ascii="Trebuchet MS"/>
                        <w:color w:val="231F20"/>
                        <w:w w:val="105"/>
                        <w:sz w:val="20"/>
                      </w:rPr>
                      <w:t>children</w:t>
                    </w:r>
                    <w:r>
                      <w:rPr>
                        <w:rFonts w:ascii="Trebuchet MS"/>
                        <w:color w:val="231F20"/>
                        <w:spacing w:val="-15"/>
                        <w:w w:val="105"/>
                        <w:sz w:val="20"/>
                      </w:rPr>
                      <w:t xml:space="preserve"> </w:t>
                    </w:r>
                    <w:r>
                      <w:rPr>
                        <w:rFonts w:ascii="Trebuchet MS"/>
                        <w:color w:val="231F20"/>
                        <w:w w:val="105"/>
                        <w:sz w:val="20"/>
                      </w:rPr>
                      <w:t>engaging</w:t>
                    </w:r>
                    <w:r>
                      <w:rPr>
                        <w:rFonts w:ascii="Trebuchet MS"/>
                        <w:color w:val="231F20"/>
                        <w:spacing w:val="-15"/>
                        <w:w w:val="105"/>
                        <w:sz w:val="20"/>
                      </w:rPr>
                      <w:t xml:space="preserve"> </w:t>
                    </w:r>
                    <w:r>
                      <w:rPr>
                        <w:rFonts w:ascii="Trebuchet MS"/>
                        <w:color w:val="231F20"/>
                        <w:w w:val="105"/>
                        <w:sz w:val="20"/>
                      </w:rPr>
                      <w:t>in</w:t>
                    </w:r>
                    <w:r>
                      <w:rPr>
                        <w:rFonts w:ascii="Trebuchet MS"/>
                        <w:color w:val="231F20"/>
                        <w:spacing w:val="-15"/>
                        <w:w w:val="105"/>
                        <w:sz w:val="20"/>
                      </w:rPr>
                      <w:t xml:space="preserve"> </w:t>
                    </w:r>
                    <w:r>
                      <w:rPr>
                        <w:rFonts w:ascii="Trebuchet MS"/>
                        <w:color w:val="231F20"/>
                        <w:spacing w:val="-3"/>
                        <w:w w:val="105"/>
                        <w:sz w:val="20"/>
                      </w:rPr>
                      <w:t>non-family</w:t>
                    </w:r>
                    <w:r>
                      <w:rPr>
                        <w:rFonts w:ascii="Trebuchet MS"/>
                        <w:color w:val="231F20"/>
                        <w:spacing w:val="-16"/>
                        <w:w w:val="105"/>
                        <w:sz w:val="20"/>
                      </w:rPr>
                      <w:t xml:space="preserve"> </w:t>
                    </w:r>
                    <w:r>
                      <w:rPr>
                        <w:rFonts w:ascii="Trebuchet MS"/>
                        <w:color w:val="231F20"/>
                        <w:w w:val="105"/>
                        <w:sz w:val="20"/>
                      </w:rPr>
                      <w:t xml:space="preserve">violence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1"/>
                        <w:w w:val="111"/>
                        <w:sz w:val="20"/>
                      </w:rPr>
                      <w:t>b</w:t>
                    </w:r>
                    <w:r>
                      <w:rPr>
                        <w:rFonts w:ascii="Trebuchet MS"/>
                        <w:color w:val="231F20"/>
                        <w:spacing w:val="-1"/>
                        <w:w w:val="108"/>
                        <w:sz w:val="20"/>
                      </w:rPr>
                      <w:t>e</w:t>
                    </w:r>
                    <w:r>
                      <w:rPr>
                        <w:rFonts w:ascii="Trebuchet MS"/>
                        <w:color w:val="231F20"/>
                        <w:spacing w:val="-1"/>
                        <w:w w:val="107"/>
                        <w:sz w:val="20"/>
                      </w:rPr>
                      <w:t>h</w:t>
                    </w:r>
                    <w:r>
                      <w:rPr>
                        <w:rFonts w:ascii="Trebuchet MS"/>
                        <w:color w:val="231F20"/>
                        <w:spacing w:val="-6"/>
                        <w:w w:val="105"/>
                        <w:sz w:val="20"/>
                      </w:rPr>
                      <w:t>a</w:t>
                    </w:r>
                    <w:r>
                      <w:rPr>
                        <w:rFonts w:ascii="Trebuchet MS"/>
                        <w:color w:val="231F20"/>
                        <w:spacing w:val="-2"/>
                        <w:w w:val="109"/>
                        <w:sz w:val="20"/>
                      </w:rPr>
                      <w:t>v</w:t>
                    </w:r>
                    <w:r>
                      <w:rPr>
                        <w:rFonts w:ascii="Trebuchet MS"/>
                        <w:color w:val="231F20"/>
                        <w:spacing w:val="-1"/>
                        <w:w w:val="80"/>
                        <w:sz w:val="20"/>
                      </w:rPr>
                      <w:t>i</w:t>
                    </w:r>
                    <w:r>
                      <w:rPr>
                        <w:rFonts w:ascii="Trebuchet MS"/>
                        <w:color w:val="231F20"/>
                        <w:spacing w:val="-1"/>
                        <w:w w:val="106"/>
                        <w:sz w:val="20"/>
                      </w:rPr>
                      <w:t>ou</w:t>
                    </w:r>
                    <w:r>
                      <w:rPr>
                        <w:rFonts w:ascii="Trebuchet MS"/>
                        <w:color w:val="231F20"/>
                        <w:spacing w:val="-14"/>
                        <w:w w:val="106"/>
                        <w:sz w:val="20"/>
                      </w:rPr>
                      <w:t>r</w:t>
                    </w:r>
                    <w:r>
                      <w:rPr>
                        <w:rFonts w:ascii="Trebuchet MS"/>
                        <w:color w:val="231F20"/>
                        <w:w w:val="55"/>
                        <w:sz w:val="20"/>
                      </w:rPr>
                      <w:t>.</w:t>
                    </w:r>
                  </w:p>
                  <w:p w14:paraId="3CF31F73" w14:textId="77777777" w:rsidR="00894070" w:rsidRDefault="009B7AFD">
                    <w:pPr>
                      <w:spacing w:before="87" w:line="247" w:lineRule="auto"/>
                      <w:ind w:right="88" w:hanging="1"/>
                      <w:jc w:val="both"/>
                      <w:rPr>
                        <w:rFonts w:ascii="Trebuchet MS"/>
                        <w:sz w:val="20"/>
                      </w:rPr>
                    </w:pPr>
                    <w:r>
                      <w:rPr>
                        <w:rFonts w:ascii="Trebuchet MS"/>
                        <w:color w:val="231F20"/>
                        <w:sz w:val="20"/>
                      </w:rPr>
                      <w:t xml:space="preserve">A purpose of the program should be to avoid the need for a personal safety </w:t>
                    </w:r>
                    <w:r>
                      <w:rPr>
                        <w:rFonts w:ascii="Trebuchet MS"/>
                        <w:color w:val="231F20"/>
                        <w:w w:val="98"/>
                        <w:sz w:val="20"/>
                      </w:rPr>
                      <w:t>in</w:t>
                    </w:r>
                    <w:r>
                      <w:rPr>
                        <w:rFonts w:ascii="Trebuchet MS"/>
                        <w:color w:val="231F20"/>
                        <w:w w:val="88"/>
                        <w:sz w:val="20"/>
                      </w:rPr>
                      <w:t>t</w:t>
                    </w:r>
                    <w:r>
                      <w:rPr>
                        <w:rFonts w:ascii="Trebuchet MS"/>
                        <w:color w:val="231F20"/>
                        <w:w w:val="108"/>
                        <w:sz w:val="20"/>
                      </w:rPr>
                      <w:t>e</w:t>
                    </w:r>
                    <w:r>
                      <w:rPr>
                        <w:rFonts w:ascii="Trebuchet MS"/>
                        <w:color w:val="231F20"/>
                        <w:w w:val="93"/>
                        <w:sz w:val="20"/>
                      </w:rPr>
                      <w:t>r</w:t>
                    </w:r>
                    <w:r>
                      <w:rPr>
                        <w:rFonts w:ascii="Trebuchet MS"/>
                        <w:color w:val="231F20"/>
                        <w:w w:val="109"/>
                        <w:sz w:val="20"/>
                      </w:rPr>
                      <w:t>v</w:t>
                    </w:r>
                    <w:r>
                      <w:rPr>
                        <w:rFonts w:ascii="Trebuchet MS"/>
                        <w:color w:val="231F20"/>
                        <w:w w:val="108"/>
                        <w:sz w:val="20"/>
                      </w:rPr>
                      <w:t>e</w:t>
                    </w:r>
                    <w:r>
                      <w:rPr>
                        <w:rFonts w:ascii="Trebuchet MS"/>
                        <w:color w:val="231F20"/>
                        <w:w w:val="107"/>
                        <w:sz w:val="20"/>
                      </w:rPr>
                      <w:t>n</w:t>
                    </w:r>
                    <w:r>
                      <w:rPr>
                        <w:rFonts w:ascii="Trebuchet MS"/>
                        <w:color w:val="231F20"/>
                        <w:w w:val="88"/>
                        <w:sz w:val="20"/>
                      </w:rPr>
                      <w:t>t</w:t>
                    </w:r>
                    <w:r>
                      <w:rPr>
                        <w:rFonts w:ascii="Trebuchet MS"/>
                        <w:color w:val="231F20"/>
                        <w:w w:val="80"/>
                        <w:sz w:val="20"/>
                      </w:rPr>
                      <w:t>i</w:t>
                    </w:r>
                    <w:r>
                      <w:rPr>
                        <w:rFonts w:ascii="Trebuchet MS"/>
                        <w:color w:val="231F20"/>
                        <w:w w:val="111"/>
                        <w:sz w:val="20"/>
                      </w:rPr>
                      <w:t>o</w:t>
                    </w:r>
                    <w:r>
                      <w:rPr>
                        <w:rFonts w:ascii="Trebuchet MS"/>
                        <w:color w:val="231F20"/>
                        <w:w w:val="107"/>
                        <w:sz w:val="20"/>
                      </w:rPr>
                      <w:t>n</w:t>
                    </w:r>
                    <w:r>
                      <w:rPr>
                        <w:rFonts w:ascii="Trebuchet MS"/>
                        <w:color w:val="231F20"/>
                        <w:sz w:val="20"/>
                      </w:rPr>
                      <w:t xml:space="preserve"> </w:t>
                    </w:r>
                    <w:r>
                      <w:rPr>
                        <w:rFonts w:ascii="Trebuchet MS"/>
                        <w:color w:val="231F20"/>
                        <w:w w:val="111"/>
                        <w:sz w:val="20"/>
                      </w:rPr>
                      <w:t>o</w:t>
                    </w:r>
                    <w:r>
                      <w:rPr>
                        <w:rFonts w:ascii="Trebuchet MS"/>
                        <w:color w:val="231F20"/>
                        <w:w w:val="93"/>
                        <w:sz w:val="20"/>
                      </w:rPr>
                      <w:t>r</w:t>
                    </w:r>
                    <w:r>
                      <w:rPr>
                        <w:rFonts w:ascii="Trebuchet MS"/>
                        <w:color w:val="231F20"/>
                        <w:w w:val="110"/>
                        <w:sz w:val="20"/>
                      </w:rPr>
                      <w:t>de</w:t>
                    </w:r>
                    <w:r>
                      <w:rPr>
                        <w:rFonts w:ascii="Trebuchet MS"/>
                        <w:color w:val="231F20"/>
                        <w:w w:val="93"/>
                        <w:sz w:val="20"/>
                      </w:rPr>
                      <w:t>r</w:t>
                    </w:r>
                    <w:r>
                      <w:rPr>
                        <w:rFonts w:ascii="Trebuchet MS"/>
                        <w:color w:val="231F20"/>
                        <w:sz w:val="20"/>
                      </w:rPr>
                      <w:t xml:space="preserve"> </w:t>
                    </w:r>
                    <w:r>
                      <w:rPr>
                        <w:rFonts w:ascii="Trebuchet MS"/>
                        <w:color w:val="231F20"/>
                        <w:w w:val="111"/>
                        <w:sz w:val="20"/>
                      </w:rPr>
                      <w:t>b</w:t>
                    </w:r>
                    <w:r>
                      <w:rPr>
                        <w:rFonts w:ascii="Trebuchet MS"/>
                        <w:color w:val="231F20"/>
                        <w:w w:val="108"/>
                        <w:sz w:val="20"/>
                      </w:rPr>
                      <w:t>e</w:t>
                    </w:r>
                    <w:r>
                      <w:rPr>
                        <w:rFonts w:ascii="Trebuchet MS"/>
                        <w:color w:val="231F20"/>
                        <w:w w:val="98"/>
                        <w:sz w:val="20"/>
                      </w:rPr>
                      <w:t>in</w:t>
                    </w:r>
                    <w:r>
                      <w:rPr>
                        <w:rFonts w:ascii="Trebuchet MS"/>
                        <w:color w:val="231F20"/>
                        <w:w w:val="124"/>
                        <w:sz w:val="20"/>
                      </w:rPr>
                      <w:t>g</w:t>
                    </w:r>
                    <w:r>
                      <w:rPr>
                        <w:rFonts w:ascii="Trebuchet MS"/>
                        <w:color w:val="231F20"/>
                        <w:sz w:val="20"/>
                      </w:rPr>
                      <w:t xml:space="preserve"> </w:t>
                    </w:r>
                    <w:r>
                      <w:rPr>
                        <w:rFonts w:ascii="Trebuchet MS"/>
                        <w:color w:val="231F20"/>
                        <w:w w:val="111"/>
                        <w:sz w:val="20"/>
                      </w:rPr>
                      <w:t>m</w:t>
                    </w:r>
                    <w:r>
                      <w:rPr>
                        <w:rFonts w:ascii="Trebuchet MS"/>
                        <w:color w:val="231F20"/>
                        <w:w w:val="108"/>
                        <w:sz w:val="20"/>
                      </w:rPr>
                      <w:t>ade</w:t>
                    </w:r>
                    <w:r>
                      <w:rPr>
                        <w:rFonts w:ascii="Trebuchet MS"/>
                        <w:color w:val="231F20"/>
                        <w:sz w:val="20"/>
                      </w:rPr>
                      <w:t xml:space="preserve"> </w:t>
                    </w:r>
                    <w:r>
                      <w:rPr>
                        <w:rFonts w:ascii="Trebuchet MS"/>
                        <w:color w:val="231F20"/>
                        <w:w w:val="114"/>
                        <w:sz w:val="20"/>
                      </w:rPr>
                      <w:t>ag</w:t>
                    </w:r>
                    <w:r>
                      <w:rPr>
                        <w:rFonts w:ascii="Trebuchet MS"/>
                        <w:color w:val="231F20"/>
                        <w:w w:val="105"/>
                        <w:sz w:val="20"/>
                      </w:rPr>
                      <w:t>a</w:t>
                    </w:r>
                    <w:r>
                      <w:rPr>
                        <w:rFonts w:ascii="Trebuchet MS"/>
                        <w:color w:val="231F20"/>
                        <w:w w:val="98"/>
                        <w:sz w:val="20"/>
                      </w:rPr>
                      <w:t>in</w:t>
                    </w:r>
                    <w:r>
                      <w:rPr>
                        <w:rFonts w:ascii="Trebuchet MS"/>
                        <w:color w:val="231F20"/>
                        <w:w w:val="122"/>
                        <w:sz w:val="20"/>
                      </w:rPr>
                      <w:t>s</w:t>
                    </w:r>
                    <w:r>
                      <w:rPr>
                        <w:rFonts w:ascii="Trebuchet MS"/>
                        <w:color w:val="231F20"/>
                        <w:w w:val="88"/>
                        <w:sz w:val="20"/>
                      </w:rPr>
                      <w:t>t</w:t>
                    </w:r>
                    <w:r>
                      <w:rPr>
                        <w:rFonts w:ascii="Trebuchet MS"/>
                        <w:color w:val="231F20"/>
                        <w:sz w:val="20"/>
                      </w:rPr>
                      <w:t xml:space="preserve"> </w:t>
                    </w:r>
                    <w:r>
                      <w:rPr>
                        <w:rFonts w:ascii="Trebuchet MS"/>
                        <w:color w:val="231F20"/>
                        <w:w w:val="105"/>
                        <w:sz w:val="20"/>
                      </w:rPr>
                      <w:t>a</w:t>
                    </w:r>
                    <w:r>
                      <w:rPr>
                        <w:rFonts w:ascii="Trebuchet MS"/>
                        <w:color w:val="231F20"/>
                        <w:sz w:val="20"/>
                      </w:rPr>
                      <w:t xml:space="preserve"> </w:t>
                    </w:r>
                    <w:r>
                      <w:rPr>
                        <w:rFonts w:ascii="Trebuchet MS"/>
                        <w:color w:val="231F20"/>
                        <w:w w:val="109"/>
                        <w:sz w:val="20"/>
                      </w:rPr>
                      <w:t>ch</w:t>
                    </w:r>
                    <w:r>
                      <w:rPr>
                        <w:rFonts w:ascii="Trebuchet MS"/>
                        <w:color w:val="231F20"/>
                        <w:w w:val="80"/>
                        <w:sz w:val="20"/>
                      </w:rPr>
                      <w:t>i</w:t>
                    </w:r>
                    <w:r>
                      <w:rPr>
                        <w:rFonts w:ascii="Trebuchet MS"/>
                        <w:color w:val="231F20"/>
                        <w:w w:val="96"/>
                        <w:sz w:val="20"/>
                      </w:rPr>
                      <w:t>l</w:t>
                    </w:r>
                    <w:r>
                      <w:rPr>
                        <w:rFonts w:ascii="Trebuchet MS"/>
                        <w:color w:val="231F20"/>
                        <w:w w:val="112"/>
                        <w:sz w:val="20"/>
                      </w:rPr>
                      <w:t>d</w:t>
                    </w:r>
                    <w:r>
                      <w:rPr>
                        <w:rFonts w:ascii="Trebuchet MS"/>
                        <w:color w:val="231F20"/>
                        <w:sz w:val="20"/>
                      </w:rPr>
                      <w:t xml:space="preserve"> </w:t>
                    </w:r>
                    <w:r>
                      <w:rPr>
                        <w:rFonts w:ascii="Trebuchet MS"/>
                        <w:color w:val="231F20"/>
                        <w:w w:val="93"/>
                        <w:sz w:val="20"/>
                      </w:rPr>
                      <w:t>r</w:t>
                    </w:r>
                    <w:r>
                      <w:rPr>
                        <w:rFonts w:ascii="Trebuchet MS"/>
                        <w:color w:val="231F20"/>
                        <w:w w:val="114"/>
                        <w:sz w:val="20"/>
                      </w:rPr>
                      <w:t>es</w:t>
                    </w:r>
                    <w:r>
                      <w:rPr>
                        <w:rFonts w:ascii="Trebuchet MS"/>
                        <w:color w:val="231F20"/>
                        <w:w w:val="111"/>
                        <w:sz w:val="20"/>
                      </w:rPr>
                      <w:t>po</w:t>
                    </w:r>
                    <w:r>
                      <w:rPr>
                        <w:rFonts w:ascii="Trebuchet MS"/>
                        <w:color w:val="231F20"/>
                        <w:w w:val="107"/>
                        <w:sz w:val="20"/>
                      </w:rPr>
                      <w:t>n</w:t>
                    </w:r>
                    <w:r>
                      <w:rPr>
                        <w:rFonts w:ascii="Trebuchet MS"/>
                        <w:color w:val="231F20"/>
                        <w:w w:val="110"/>
                        <w:sz w:val="20"/>
                      </w:rPr>
                      <w:t>de</w:t>
                    </w:r>
                    <w:r>
                      <w:rPr>
                        <w:rFonts w:ascii="Trebuchet MS"/>
                        <w:color w:val="231F20"/>
                        <w:w w:val="107"/>
                        <w:sz w:val="20"/>
                      </w:rPr>
                      <w:t>n</w:t>
                    </w:r>
                    <w:r>
                      <w:rPr>
                        <w:rFonts w:ascii="Trebuchet MS"/>
                        <w:color w:val="231F20"/>
                        <w:w w:val="88"/>
                        <w:sz w:val="20"/>
                      </w:rPr>
                      <w:t>t</w:t>
                    </w:r>
                    <w:r>
                      <w:rPr>
                        <w:rFonts w:ascii="Trebuchet MS"/>
                        <w:color w:val="231F20"/>
                        <w:w w:val="55"/>
                        <w:sz w:val="20"/>
                      </w:rPr>
                      <w:t>.</w:t>
                    </w:r>
                  </w:p>
                  <w:p w14:paraId="560A58C4" w14:textId="77777777" w:rsidR="00894070" w:rsidRDefault="009B7AFD">
                    <w:pPr>
                      <w:spacing w:before="87" w:line="247" w:lineRule="auto"/>
                      <w:ind w:right="33" w:hanging="1"/>
                      <w:jc w:val="both"/>
                      <w:rPr>
                        <w:rFonts w:ascii="Trebuchet MS"/>
                        <w:sz w:val="20"/>
                      </w:rPr>
                    </w:pP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Victorian</w:t>
                    </w:r>
                    <w:r>
                      <w:rPr>
                        <w:rFonts w:ascii="Trebuchet MS"/>
                        <w:color w:val="231F20"/>
                        <w:spacing w:val="-19"/>
                        <w:w w:val="105"/>
                        <w:sz w:val="20"/>
                      </w:rPr>
                      <w:t xml:space="preserve"> </w:t>
                    </w:r>
                    <w:r>
                      <w:rPr>
                        <w:rFonts w:ascii="Trebuchet MS"/>
                        <w:color w:val="231F20"/>
                        <w:spacing w:val="-3"/>
                        <w:w w:val="105"/>
                        <w:sz w:val="20"/>
                      </w:rPr>
                      <w:t>Government</w:t>
                    </w:r>
                    <w:r>
                      <w:rPr>
                        <w:rFonts w:ascii="Trebuchet MS"/>
                        <w:color w:val="231F20"/>
                        <w:spacing w:val="-19"/>
                        <w:w w:val="105"/>
                        <w:sz w:val="20"/>
                      </w:rPr>
                      <w:t xml:space="preserve"> </w:t>
                    </w:r>
                    <w:r>
                      <w:rPr>
                        <w:rFonts w:ascii="Trebuchet MS"/>
                        <w:color w:val="231F20"/>
                        <w:w w:val="105"/>
                        <w:sz w:val="20"/>
                      </w:rPr>
                      <w:t>should</w:t>
                    </w:r>
                    <w:r>
                      <w:rPr>
                        <w:rFonts w:ascii="Trebuchet MS"/>
                        <w:color w:val="231F20"/>
                        <w:spacing w:val="-19"/>
                        <w:w w:val="105"/>
                        <w:sz w:val="20"/>
                      </w:rPr>
                      <w:t xml:space="preserve"> </w:t>
                    </w:r>
                    <w:r>
                      <w:rPr>
                        <w:rFonts w:ascii="Trebuchet MS"/>
                        <w:color w:val="231F20"/>
                        <w:spacing w:val="-3"/>
                        <w:w w:val="105"/>
                        <w:sz w:val="20"/>
                      </w:rPr>
                      <w:t>evaluate</w:t>
                    </w:r>
                    <w:r>
                      <w:rPr>
                        <w:rFonts w:ascii="Trebuchet MS"/>
                        <w:color w:val="231F20"/>
                        <w:spacing w:val="-19"/>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effectiveness</w:t>
                    </w:r>
                    <w:r>
                      <w:rPr>
                        <w:rFonts w:ascii="Trebuchet MS"/>
                        <w:color w:val="231F20"/>
                        <w:spacing w:val="-19"/>
                        <w:w w:val="105"/>
                        <w:sz w:val="20"/>
                      </w:rPr>
                      <w:t xml:space="preserve"> </w:t>
                    </w:r>
                    <w:r>
                      <w:rPr>
                        <w:rFonts w:ascii="Trebuchet MS"/>
                        <w:color w:val="231F20"/>
                        <w:w w:val="105"/>
                        <w:sz w:val="20"/>
                      </w:rPr>
                      <w:t>of</w:t>
                    </w:r>
                    <w:r>
                      <w:rPr>
                        <w:rFonts w:ascii="Trebuchet MS"/>
                        <w:color w:val="231F20"/>
                        <w:spacing w:val="-19"/>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 xml:space="preserve">program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2"/>
                        <w:w w:val="111"/>
                        <w:sz w:val="20"/>
                      </w:rPr>
                      <w:t>m</w:t>
                    </w:r>
                    <w:r>
                      <w:rPr>
                        <w:rFonts w:ascii="Trebuchet MS"/>
                        <w:color w:val="231F20"/>
                        <w:spacing w:val="-1"/>
                        <w:w w:val="111"/>
                        <w:sz w:val="20"/>
                      </w:rPr>
                      <w:t>p</w:t>
                    </w:r>
                    <w:r>
                      <w:rPr>
                        <w:rFonts w:ascii="Trebuchet MS"/>
                        <w:color w:val="231F20"/>
                        <w:spacing w:val="-4"/>
                        <w:w w:val="93"/>
                        <w:sz w:val="20"/>
                      </w:rPr>
                      <w:t>r</w:t>
                    </w:r>
                    <w:r>
                      <w:rPr>
                        <w:rFonts w:ascii="Trebuchet MS"/>
                        <w:color w:val="231F20"/>
                        <w:spacing w:val="-6"/>
                        <w:w w:val="111"/>
                        <w:sz w:val="20"/>
                      </w:rPr>
                      <w:t>o</w:t>
                    </w:r>
                    <w:r>
                      <w:rPr>
                        <w:rFonts w:ascii="Trebuchet MS"/>
                        <w:color w:val="231F20"/>
                        <w:spacing w:val="-6"/>
                        <w:w w:val="109"/>
                        <w:sz w:val="20"/>
                      </w:rPr>
                      <w:t>v</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1"/>
                        <w:w w:val="111"/>
                        <w:sz w:val="20"/>
                      </w:rPr>
                      <w:t>o</w:t>
                    </w:r>
                    <w:r>
                      <w:rPr>
                        <w:rFonts w:ascii="Trebuchet MS"/>
                        <w:color w:val="231F20"/>
                        <w:spacing w:val="-2"/>
                        <w:w w:val="124"/>
                        <w:sz w:val="20"/>
                      </w:rPr>
                      <w:t>g</w:t>
                    </w:r>
                    <w:r>
                      <w:rPr>
                        <w:rFonts w:ascii="Trebuchet MS"/>
                        <w:color w:val="231F20"/>
                        <w:spacing w:val="-2"/>
                        <w:w w:val="93"/>
                        <w:sz w:val="20"/>
                      </w:rPr>
                      <w:t>r</w:t>
                    </w:r>
                    <w:r>
                      <w:rPr>
                        <w:rFonts w:ascii="Trebuchet MS"/>
                        <w:color w:val="231F20"/>
                        <w:spacing w:val="-2"/>
                        <w:w w:val="105"/>
                        <w:sz w:val="20"/>
                      </w:rPr>
                      <w:t>a</w:t>
                    </w:r>
                    <w:r>
                      <w:rPr>
                        <w:rFonts w:ascii="Trebuchet MS"/>
                        <w:color w:val="231F20"/>
                        <w:w w:val="111"/>
                        <w:sz w:val="20"/>
                      </w:rPr>
                      <w:t>m</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5"/>
                        <w:sz w:val="20"/>
                      </w:rPr>
                      <w:t>a</w:t>
                    </w:r>
                    <w:r>
                      <w:rPr>
                        <w:rFonts w:ascii="Trebuchet MS"/>
                        <w:color w:val="231F20"/>
                        <w:spacing w:val="-1"/>
                        <w:w w:val="122"/>
                        <w:sz w:val="20"/>
                      </w:rPr>
                      <w:t>s</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w w:val="80"/>
                        <w:sz w:val="20"/>
                      </w:rPr>
                      <w:t>f</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12"/>
                        <w:sz w:val="20"/>
                      </w:rPr>
                      <w:t>d</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5"/>
                        <w:w w:val="108"/>
                        <w:sz w:val="20"/>
                      </w:rPr>
                      <w:t>e</w:t>
                    </w:r>
                    <w:r>
                      <w:rPr>
                        <w:rFonts w:ascii="Trebuchet MS"/>
                        <w:color w:val="231F20"/>
                        <w:spacing w:val="-3"/>
                        <w:w w:val="109"/>
                        <w:sz w:val="20"/>
                      </w:rPr>
                      <w:t>v</w:t>
                    </w:r>
                    <w:r>
                      <w:rPr>
                        <w:rFonts w:ascii="Trebuchet MS"/>
                        <w:color w:val="231F20"/>
                        <w:spacing w:val="-3"/>
                        <w:w w:val="105"/>
                        <w:sz w:val="20"/>
                      </w:rPr>
                      <w:t>a</w:t>
                    </w:r>
                    <w:r>
                      <w:rPr>
                        <w:rFonts w:ascii="Trebuchet MS"/>
                        <w:color w:val="231F20"/>
                        <w:spacing w:val="-3"/>
                        <w:w w:val="96"/>
                        <w:sz w:val="20"/>
                      </w:rPr>
                      <w:t>l</w:t>
                    </w:r>
                    <w:r>
                      <w:rPr>
                        <w:rFonts w:ascii="Trebuchet MS"/>
                        <w:color w:val="231F20"/>
                        <w:spacing w:val="-2"/>
                        <w:w w:val="109"/>
                        <w:sz w:val="20"/>
                      </w:rPr>
                      <w:t>u</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w w:val="55"/>
                        <w:sz w:val="20"/>
                      </w:rPr>
                      <w:t>.</w:t>
                    </w:r>
                  </w:p>
                </w:txbxContent>
              </v:textbox>
            </v:shape>
            <v:shape id="_x0000_s1250" type="#_x0000_t202" style="position:absolute;left:2394;top:2147;width:183;height:800" filled="f" stroked="f">
              <v:textbox inset="0,0,0,0">
                <w:txbxContent>
                  <w:p w14:paraId="17CF9AB6" w14:textId="77777777" w:rsidR="00894070" w:rsidRDefault="009B7AFD">
                    <w:pPr>
                      <w:rPr>
                        <w:rFonts w:ascii="Trebuchet MS"/>
                        <w:sz w:val="20"/>
                      </w:rPr>
                    </w:pPr>
                    <w:r>
                      <w:rPr>
                        <w:rFonts w:ascii="Trebuchet MS"/>
                        <w:color w:val="231F20"/>
                        <w:spacing w:val="-3"/>
                        <w:w w:val="111"/>
                        <w:sz w:val="20"/>
                      </w:rPr>
                      <w:t>b</w:t>
                    </w:r>
                    <w:r>
                      <w:rPr>
                        <w:rFonts w:ascii="Trebuchet MS"/>
                        <w:color w:val="231F20"/>
                        <w:w w:val="55"/>
                        <w:sz w:val="20"/>
                      </w:rPr>
                      <w:t>.</w:t>
                    </w:r>
                  </w:p>
                  <w:p w14:paraId="126F0718" w14:textId="77777777" w:rsidR="00894070" w:rsidRDefault="00894070">
                    <w:pPr>
                      <w:spacing w:before="13"/>
                      <w:rPr>
                        <w:sz w:val="23"/>
                      </w:rPr>
                    </w:pPr>
                  </w:p>
                  <w:p w14:paraId="486FE86E" w14:textId="77777777" w:rsidR="00894070" w:rsidRDefault="009B7AFD">
                    <w:pPr>
                      <w:rPr>
                        <w:rFonts w:ascii="Trebuchet MS"/>
                        <w:sz w:val="20"/>
                      </w:rPr>
                    </w:pPr>
                    <w:r>
                      <w:rPr>
                        <w:rFonts w:ascii="Trebuchet MS"/>
                        <w:color w:val="231F20"/>
                        <w:w w:val="111"/>
                        <w:sz w:val="20"/>
                      </w:rPr>
                      <w:t>c</w:t>
                    </w:r>
                    <w:r>
                      <w:rPr>
                        <w:rFonts w:ascii="Trebuchet MS"/>
                        <w:color w:val="231F20"/>
                        <w:w w:val="55"/>
                        <w:sz w:val="20"/>
                      </w:rPr>
                      <w:t>.</w:t>
                    </w:r>
                  </w:p>
                </w:txbxContent>
              </v:textbox>
            </v:shape>
            <v:shape id="_x0000_s1249" type="#_x0000_t202" style="position:absolute;left:2381;top:1342;width:173;height:235" filled="f" stroked="f">
              <v:textbox inset="0,0,0,0">
                <w:txbxContent>
                  <w:p w14:paraId="63158FFB" w14:textId="77777777" w:rsidR="00894070" w:rsidRDefault="009B7AFD">
                    <w:pPr>
                      <w:rPr>
                        <w:rFonts w:ascii="Trebuchet MS"/>
                        <w:sz w:val="20"/>
                      </w:rPr>
                    </w:pPr>
                    <w:r>
                      <w:rPr>
                        <w:rFonts w:ascii="Trebuchet MS"/>
                        <w:color w:val="231F20"/>
                        <w:w w:val="90"/>
                        <w:sz w:val="20"/>
                      </w:rPr>
                      <w:t>a.</w:t>
                    </w:r>
                  </w:p>
                </w:txbxContent>
              </v:textbox>
            </v:shape>
            <v:shape id="_x0000_s1248" type="#_x0000_t202" style="position:absolute;left:1814;top:1342;width:287;height:235" filled="f" stroked="f">
              <v:textbox inset="0,0,0,0">
                <w:txbxContent>
                  <w:p w14:paraId="66F99B63" w14:textId="77777777" w:rsidR="00894070" w:rsidRDefault="009B7AFD">
                    <w:pPr>
                      <w:rPr>
                        <w:rFonts w:ascii="Trebuchet MS"/>
                        <w:sz w:val="20"/>
                      </w:rPr>
                    </w:pPr>
                    <w:r>
                      <w:rPr>
                        <w:rFonts w:ascii="Trebuchet MS"/>
                        <w:color w:val="231F20"/>
                        <w:w w:val="95"/>
                        <w:sz w:val="20"/>
                      </w:rPr>
                      <w:t>29.</w:t>
                    </w:r>
                  </w:p>
                </w:txbxContent>
              </v:textbox>
            </v:shape>
            <v:shape id="_x0000_s1247" type="#_x0000_t202" style="position:absolute;left:1587;top:309;width:8731;height:783" fillcolor="#fee7de" stroked="f">
              <v:textbox inset="0,0,0,0">
                <w:txbxContent>
                  <w:p w14:paraId="57364FA7"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wrap type="topAndBottom" anchorx="page"/>
          </v:group>
        </w:pict>
      </w:r>
    </w:p>
    <w:p w14:paraId="209ECBE9" w14:textId="77777777" w:rsidR="00894070" w:rsidRDefault="00894070">
      <w:pPr>
        <w:pStyle w:val="BodyText"/>
      </w:pPr>
    </w:p>
    <w:p w14:paraId="07015E8C" w14:textId="77777777" w:rsidR="00894070" w:rsidRDefault="009F6793">
      <w:pPr>
        <w:pStyle w:val="BodyText"/>
        <w:spacing w:before="8"/>
        <w:rPr>
          <w:sz w:val="14"/>
        </w:rPr>
      </w:pPr>
      <w:r>
        <w:pict w14:anchorId="36B1F384">
          <v:line id="_x0000_s1245" style="position:absolute;z-index:251712512;mso-wrap-distance-left:0;mso-wrap-distance-right:0;mso-position-horizontal-relative:page" from="79.35pt,12.6pt" to="515.9pt,12.6pt" strokecolor="#f8cabc" strokeweight="1pt">
            <w10:wrap type="topAndBottom" anchorx="page"/>
          </v:line>
        </w:pict>
      </w:r>
    </w:p>
    <w:p w14:paraId="5A94DD7A" w14:textId="77777777" w:rsidR="00894070" w:rsidRDefault="00894070">
      <w:pPr>
        <w:pStyle w:val="BodyText"/>
        <w:rPr>
          <w:sz w:val="5"/>
        </w:rPr>
      </w:pPr>
    </w:p>
    <w:p w14:paraId="1C016924" w14:textId="77777777" w:rsidR="00894070" w:rsidRDefault="00894070">
      <w:pPr>
        <w:rPr>
          <w:sz w:val="5"/>
        </w:rPr>
        <w:sectPr w:rsidR="00894070">
          <w:pgSz w:w="11910" w:h="16840"/>
          <w:pgMar w:top="840" w:right="420" w:bottom="280" w:left="580" w:header="0" w:footer="0" w:gutter="0"/>
          <w:cols w:space="720"/>
        </w:sectPr>
      </w:pPr>
    </w:p>
    <w:p w14:paraId="7D2B390E" w14:textId="77777777" w:rsidR="00894070" w:rsidRDefault="009B7AFD">
      <w:pPr>
        <w:pStyle w:val="ListParagraph"/>
        <w:numPr>
          <w:ilvl w:val="0"/>
          <w:numId w:val="74"/>
        </w:numPr>
        <w:tabs>
          <w:tab w:val="left" w:pos="1800"/>
          <w:tab w:val="left" w:pos="1802"/>
        </w:tabs>
        <w:spacing w:before="21" w:line="170" w:lineRule="exact"/>
        <w:jc w:val="left"/>
        <w:rPr>
          <w:sz w:val="13"/>
        </w:rPr>
      </w:pPr>
      <w:r>
        <w:rPr>
          <w:color w:val="231F20"/>
          <w:sz w:val="13"/>
        </w:rPr>
        <w:t xml:space="preserve">Consultation 17 (Small group meeting on </w:t>
      </w:r>
      <w:r>
        <w:rPr>
          <w:color w:val="231F20"/>
          <w:spacing w:val="2"/>
          <w:sz w:val="13"/>
        </w:rPr>
        <w:t xml:space="preserve">stalking </w:t>
      </w:r>
      <w:r>
        <w:rPr>
          <w:color w:val="231F20"/>
          <w:sz w:val="13"/>
        </w:rPr>
        <w:t>and young</w:t>
      </w:r>
      <w:r>
        <w:rPr>
          <w:color w:val="231F20"/>
          <w:spacing w:val="3"/>
          <w:sz w:val="13"/>
        </w:rPr>
        <w:t xml:space="preserve"> </w:t>
      </w:r>
      <w:r>
        <w:rPr>
          <w:color w:val="231F20"/>
          <w:sz w:val="13"/>
        </w:rPr>
        <w:t>people).</w:t>
      </w:r>
    </w:p>
    <w:p w14:paraId="7E38CA04" w14:textId="77777777" w:rsidR="00894070" w:rsidRDefault="009B7AFD">
      <w:pPr>
        <w:pStyle w:val="ListParagraph"/>
        <w:numPr>
          <w:ilvl w:val="0"/>
          <w:numId w:val="74"/>
        </w:numPr>
        <w:tabs>
          <w:tab w:val="left" w:pos="1800"/>
          <w:tab w:val="left" w:pos="1802"/>
        </w:tabs>
        <w:spacing w:line="160" w:lineRule="exact"/>
        <w:jc w:val="left"/>
        <w:rPr>
          <w:sz w:val="13"/>
        </w:rPr>
      </w:pPr>
      <w:r>
        <w:rPr>
          <w:color w:val="231F20"/>
          <w:sz w:val="13"/>
        </w:rPr>
        <w:t>Ibid.</w:t>
      </w:r>
    </w:p>
    <w:p w14:paraId="63AAE613" w14:textId="77777777" w:rsidR="00894070" w:rsidRDefault="009B7AFD">
      <w:pPr>
        <w:pStyle w:val="ListParagraph"/>
        <w:numPr>
          <w:ilvl w:val="0"/>
          <w:numId w:val="74"/>
        </w:numPr>
        <w:tabs>
          <w:tab w:val="left" w:pos="1800"/>
          <w:tab w:val="left" w:pos="1802"/>
        </w:tabs>
        <w:spacing w:before="7" w:line="213" w:lineRule="auto"/>
        <w:ind w:right="221"/>
        <w:jc w:val="left"/>
        <w:rPr>
          <w:sz w:val="13"/>
        </w:rPr>
      </w:pPr>
      <w:r>
        <w:rPr>
          <w:color w:val="231F20"/>
          <w:spacing w:val="2"/>
          <w:sz w:val="13"/>
        </w:rPr>
        <w:t xml:space="preserve">Rosemary </w:t>
      </w:r>
      <w:r>
        <w:rPr>
          <w:color w:val="231F20"/>
          <w:sz w:val="13"/>
        </w:rPr>
        <w:t xml:space="preserve">Purcell, Teresa Flower and Paul E Mullen, </w:t>
      </w:r>
      <w:r>
        <w:rPr>
          <w:i/>
          <w:color w:val="231F20"/>
          <w:sz w:val="13"/>
        </w:rPr>
        <w:t xml:space="preserve">Adolescent Stalking: Offence Characteristics and Effectiveness of Criminal Justice Interventions </w:t>
      </w:r>
      <w:r>
        <w:rPr>
          <w:color w:val="231F20"/>
          <w:sz w:val="13"/>
        </w:rPr>
        <w:t xml:space="preserve">(Final </w:t>
      </w:r>
      <w:r>
        <w:rPr>
          <w:color w:val="231F20"/>
          <w:spacing w:val="2"/>
          <w:sz w:val="13"/>
        </w:rPr>
        <w:t xml:space="preserve">Report </w:t>
      </w:r>
      <w:r>
        <w:rPr>
          <w:color w:val="231F20"/>
          <w:sz w:val="13"/>
        </w:rPr>
        <w:t xml:space="preserve">to Criminology Research </w:t>
      </w:r>
      <w:r>
        <w:rPr>
          <w:color w:val="231F20"/>
          <w:spacing w:val="2"/>
          <w:sz w:val="13"/>
        </w:rPr>
        <w:t xml:space="preserve">Council, </w:t>
      </w:r>
      <w:r>
        <w:rPr>
          <w:color w:val="231F20"/>
          <w:sz w:val="13"/>
        </w:rPr>
        <w:t>November 2008)</w:t>
      </w:r>
      <w:r>
        <w:rPr>
          <w:color w:val="231F20"/>
          <w:spacing w:val="8"/>
          <w:sz w:val="13"/>
        </w:rPr>
        <w:t xml:space="preserve"> </w:t>
      </w:r>
      <w:r>
        <w:rPr>
          <w:color w:val="231F20"/>
          <w:spacing w:val="2"/>
          <w:sz w:val="13"/>
        </w:rPr>
        <w:t>29.</w:t>
      </w:r>
    </w:p>
    <w:p w14:paraId="2E495306" w14:textId="77777777" w:rsidR="00894070" w:rsidRDefault="009B7AFD">
      <w:pPr>
        <w:pStyle w:val="ListParagraph"/>
        <w:numPr>
          <w:ilvl w:val="0"/>
          <w:numId w:val="74"/>
        </w:numPr>
        <w:tabs>
          <w:tab w:val="left" w:pos="1800"/>
          <w:tab w:val="left" w:pos="1802"/>
        </w:tabs>
        <w:spacing w:line="213" w:lineRule="auto"/>
        <w:ind w:right="384"/>
        <w:jc w:val="left"/>
        <w:rPr>
          <w:sz w:val="13"/>
        </w:rPr>
      </w:pPr>
      <w:r>
        <w:rPr>
          <w:color w:val="231F20"/>
          <w:sz w:val="13"/>
        </w:rPr>
        <w:t xml:space="preserve">Sinead Cloonan-Thomas, Elizabeth S </w:t>
      </w:r>
      <w:proofErr w:type="gramStart"/>
      <w:r>
        <w:rPr>
          <w:color w:val="231F20"/>
          <w:sz w:val="13"/>
        </w:rPr>
        <w:t>Daff</w:t>
      </w:r>
      <w:proofErr w:type="gramEnd"/>
      <w:r>
        <w:rPr>
          <w:color w:val="231F20"/>
          <w:sz w:val="13"/>
        </w:rPr>
        <w:t xml:space="preserve"> and </w:t>
      </w:r>
      <w:r>
        <w:rPr>
          <w:color w:val="231F20"/>
          <w:spacing w:val="-3"/>
          <w:sz w:val="13"/>
        </w:rPr>
        <w:t xml:space="preserve">Troy </w:t>
      </w:r>
      <w:r>
        <w:rPr>
          <w:color w:val="231F20"/>
          <w:sz w:val="13"/>
        </w:rPr>
        <w:t xml:space="preserve">E McEwan, ‘Post-Relationship Stalking and Intimate </w:t>
      </w:r>
      <w:r>
        <w:rPr>
          <w:color w:val="231F20"/>
          <w:spacing w:val="2"/>
          <w:sz w:val="13"/>
        </w:rPr>
        <w:t xml:space="preserve">Partner </w:t>
      </w:r>
      <w:r>
        <w:rPr>
          <w:color w:val="231F20"/>
          <w:sz w:val="13"/>
        </w:rPr>
        <w:t xml:space="preserve">Abuse in a Sample of Australian Adolescents’ [2021] </w:t>
      </w:r>
      <w:r>
        <w:rPr>
          <w:i/>
          <w:color w:val="231F20"/>
          <w:sz w:val="13"/>
        </w:rPr>
        <w:t xml:space="preserve">Legal and Criminological Psychology </w:t>
      </w:r>
      <w:r>
        <w:rPr>
          <w:color w:val="231F20"/>
          <w:sz w:val="13"/>
        </w:rPr>
        <w:t>10.1111/lcrp.12206:1–22,</w:t>
      </w:r>
      <w:r>
        <w:rPr>
          <w:color w:val="231F20"/>
          <w:spacing w:val="32"/>
          <w:sz w:val="13"/>
        </w:rPr>
        <w:t xml:space="preserve"> </w:t>
      </w:r>
      <w:r>
        <w:rPr>
          <w:color w:val="231F20"/>
          <w:sz w:val="13"/>
        </w:rPr>
        <w:t>20.</w:t>
      </w:r>
    </w:p>
    <w:p w14:paraId="4E02EB24" w14:textId="77777777" w:rsidR="00894070" w:rsidRDefault="009B7AFD">
      <w:pPr>
        <w:pStyle w:val="ListParagraph"/>
        <w:numPr>
          <w:ilvl w:val="0"/>
          <w:numId w:val="74"/>
        </w:numPr>
        <w:tabs>
          <w:tab w:val="left" w:pos="1801"/>
          <w:tab w:val="left" w:pos="1802"/>
        </w:tabs>
        <w:spacing w:line="152" w:lineRule="exact"/>
        <w:jc w:val="left"/>
        <w:rPr>
          <w:sz w:val="13"/>
        </w:rPr>
      </w:pPr>
      <w:r>
        <w:rPr>
          <w:color w:val="231F20"/>
          <w:sz w:val="13"/>
        </w:rPr>
        <w:t>See ibid.</w:t>
      </w:r>
    </w:p>
    <w:p w14:paraId="61039560" w14:textId="77777777" w:rsidR="00894070" w:rsidRDefault="009B7AFD">
      <w:pPr>
        <w:pStyle w:val="ListParagraph"/>
        <w:numPr>
          <w:ilvl w:val="0"/>
          <w:numId w:val="74"/>
        </w:numPr>
        <w:tabs>
          <w:tab w:val="left" w:pos="1800"/>
          <w:tab w:val="left" w:pos="1802"/>
        </w:tabs>
        <w:spacing w:line="160" w:lineRule="exact"/>
        <w:jc w:val="left"/>
        <w:rPr>
          <w:sz w:val="13"/>
        </w:rPr>
      </w:pPr>
      <w:r>
        <w:rPr>
          <w:color w:val="231F20"/>
          <w:spacing w:val="2"/>
          <w:sz w:val="13"/>
        </w:rPr>
        <w:t>Rosemary</w:t>
      </w:r>
      <w:r>
        <w:rPr>
          <w:color w:val="231F20"/>
          <w:spacing w:val="6"/>
          <w:sz w:val="13"/>
        </w:rPr>
        <w:t xml:space="preserve"> </w:t>
      </w:r>
      <w:r>
        <w:rPr>
          <w:color w:val="231F20"/>
          <w:sz w:val="13"/>
        </w:rPr>
        <w:t>Purcell</w:t>
      </w:r>
      <w:r>
        <w:rPr>
          <w:color w:val="231F20"/>
          <w:spacing w:val="7"/>
          <w:sz w:val="13"/>
        </w:rPr>
        <w:t xml:space="preserve"> </w:t>
      </w:r>
      <w:r>
        <w:rPr>
          <w:color w:val="231F20"/>
          <w:sz w:val="13"/>
        </w:rPr>
        <w:t>and</w:t>
      </w:r>
      <w:r>
        <w:rPr>
          <w:color w:val="231F20"/>
          <w:spacing w:val="6"/>
          <w:sz w:val="13"/>
        </w:rPr>
        <w:t xml:space="preserve"> </w:t>
      </w:r>
      <w:r>
        <w:rPr>
          <w:color w:val="231F20"/>
          <w:spacing w:val="-3"/>
          <w:sz w:val="13"/>
        </w:rPr>
        <w:t>Troy</w:t>
      </w:r>
      <w:r>
        <w:rPr>
          <w:color w:val="231F20"/>
          <w:spacing w:val="7"/>
          <w:sz w:val="13"/>
        </w:rPr>
        <w:t xml:space="preserve"> </w:t>
      </w:r>
      <w:r>
        <w:rPr>
          <w:color w:val="231F20"/>
          <w:sz w:val="13"/>
        </w:rPr>
        <w:t>McEwan,</w:t>
      </w:r>
      <w:r>
        <w:rPr>
          <w:color w:val="231F20"/>
          <w:spacing w:val="6"/>
          <w:sz w:val="13"/>
        </w:rPr>
        <w:t xml:space="preserve"> </w:t>
      </w:r>
      <w:r>
        <w:rPr>
          <w:color w:val="231F20"/>
          <w:sz w:val="13"/>
        </w:rPr>
        <w:t>‘Treatment</w:t>
      </w:r>
      <w:r>
        <w:rPr>
          <w:color w:val="231F20"/>
          <w:spacing w:val="7"/>
          <w:sz w:val="13"/>
        </w:rPr>
        <w:t xml:space="preserve"> </w:t>
      </w:r>
      <w:r>
        <w:rPr>
          <w:color w:val="231F20"/>
          <w:sz w:val="13"/>
        </w:rPr>
        <w:t>Approaches</w:t>
      </w:r>
      <w:r>
        <w:rPr>
          <w:color w:val="231F20"/>
          <w:spacing w:val="6"/>
          <w:sz w:val="13"/>
        </w:rPr>
        <w:t xml:space="preserve"> </w:t>
      </w:r>
      <w:r>
        <w:rPr>
          <w:color w:val="231F20"/>
          <w:sz w:val="13"/>
        </w:rPr>
        <w:t>for</w:t>
      </w:r>
      <w:r>
        <w:rPr>
          <w:color w:val="231F20"/>
          <w:spacing w:val="7"/>
          <w:sz w:val="13"/>
        </w:rPr>
        <w:t xml:space="preserve"> </w:t>
      </w:r>
      <w:r>
        <w:rPr>
          <w:color w:val="231F20"/>
          <w:sz w:val="13"/>
        </w:rPr>
        <w:t>Stalking’</w:t>
      </w:r>
      <w:r>
        <w:rPr>
          <w:color w:val="231F20"/>
          <w:spacing w:val="6"/>
          <w:sz w:val="13"/>
        </w:rPr>
        <w:t xml:space="preserve"> </w:t>
      </w:r>
      <w:r>
        <w:rPr>
          <w:color w:val="231F20"/>
          <w:sz w:val="13"/>
        </w:rPr>
        <w:t>in</w:t>
      </w:r>
      <w:r>
        <w:rPr>
          <w:color w:val="231F20"/>
          <w:spacing w:val="7"/>
          <w:sz w:val="13"/>
        </w:rPr>
        <w:t xml:space="preserve"> </w:t>
      </w:r>
      <w:r>
        <w:rPr>
          <w:color w:val="231F20"/>
          <w:sz w:val="13"/>
        </w:rPr>
        <w:t>Jane</w:t>
      </w:r>
      <w:r>
        <w:rPr>
          <w:color w:val="231F20"/>
          <w:spacing w:val="6"/>
          <w:sz w:val="13"/>
        </w:rPr>
        <w:t xml:space="preserve"> </w:t>
      </w:r>
      <w:r>
        <w:rPr>
          <w:color w:val="231F20"/>
          <w:sz w:val="13"/>
        </w:rPr>
        <w:t>L</w:t>
      </w:r>
      <w:r>
        <w:rPr>
          <w:color w:val="231F20"/>
          <w:spacing w:val="7"/>
          <w:sz w:val="13"/>
        </w:rPr>
        <w:t xml:space="preserve"> </w:t>
      </w:r>
      <w:r>
        <w:rPr>
          <w:color w:val="231F20"/>
          <w:sz w:val="13"/>
        </w:rPr>
        <w:t>Ireland,</w:t>
      </w:r>
      <w:r>
        <w:rPr>
          <w:color w:val="231F20"/>
          <w:spacing w:val="6"/>
          <w:sz w:val="13"/>
        </w:rPr>
        <w:t xml:space="preserve"> </w:t>
      </w:r>
      <w:r>
        <w:rPr>
          <w:color w:val="231F20"/>
          <w:sz w:val="13"/>
        </w:rPr>
        <w:t>Carol</w:t>
      </w:r>
      <w:r>
        <w:rPr>
          <w:color w:val="231F20"/>
          <w:spacing w:val="7"/>
          <w:sz w:val="13"/>
        </w:rPr>
        <w:t xml:space="preserve"> </w:t>
      </w:r>
      <w:proofErr w:type="gramStart"/>
      <w:r>
        <w:rPr>
          <w:color w:val="231F20"/>
          <w:sz w:val="13"/>
        </w:rPr>
        <w:t>A</w:t>
      </w:r>
      <w:proofErr w:type="gramEnd"/>
      <w:r>
        <w:rPr>
          <w:color w:val="231F20"/>
          <w:spacing w:val="6"/>
          <w:sz w:val="13"/>
        </w:rPr>
        <w:t xml:space="preserve"> </w:t>
      </w:r>
      <w:r>
        <w:rPr>
          <w:color w:val="231F20"/>
          <w:sz w:val="13"/>
        </w:rPr>
        <w:t>Ireland</w:t>
      </w:r>
      <w:r>
        <w:rPr>
          <w:color w:val="231F20"/>
          <w:spacing w:val="7"/>
          <w:sz w:val="13"/>
        </w:rPr>
        <w:t xml:space="preserve"> </w:t>
      </w:r>
      <w:r>
        <w:rPr>
          <w:color w:val="231F20"/>
          <w:sz w:val="13"/>
        </w:rPr>
        <w:t>and</w:t>
      </w:r>
      <w:r>
        <w:rPr>
          <w:color w:val="231F20"/>
          <w:spacing w:val="7"/>
          <w:sz w:val="13"/>
        </w:rPr>
        <w:t xml:space="preserve"> </w:t>
      </w:r>
      <w:r>
        <w:rPr>
          <w:color w:val="231F20"/>
          <w:sz w:val="13"/>
        </w:rPr>
        <w:t>Philip</w:t>
      </w:r>
      <w:r>
        <w:rPr>
          <w:color w:val="231F20"/>
          <w:spacing w:val="6"/>
          <w:sz w:val="13"/>
        </w:rPr>
        <w:t xml:space="preserve"> </w:t>
      </w:r>
      <w:r>
        <w:rPr>
          <w:color w:val="231F20"/>
          <w:sz w:val="13"/>
        </w:rPr>
        <w:t>Birch</w:t>
      </w:r>
      <w:r>
        <w:rPr>
          <w:color w:val="231F20"/>
          <w:spacing w:val="7"/>
          <w:sz w:val="13"/>
        </w:rPr>
        <w:t xml:space="preserve"> </w:t>
      </w:r>
      <w:r>
        <w:rPr>
          <w:color w:val="231F20"/>
          <w:sz w:val="13"/>
        </w:rPr>
        <w:t>(eds),</w:t>
      </w:r>
    </w:p>
    <w:p w14:paraId="618660C9" w14:textId="77777777" w:rsidR="00894070" w:rsidRDefault="009B7AFD">
      <w:pPr>
        <w:spacing w:line="160" w:lineRule="exact"/>
        <w:ind w:left="1801"/>
        <w:rPr>
          <w:sz w:val="13"/>
        </w:rPr>
      </w:pPr>
      <w:r>
        <w:rPr>
          <w:i/>
          <w:color w:val="231F20"/>
          <w:sz w:val="13"/>
        </w:rPr>
        <w:t xml:space="preserve">Violent and Sexual Offenders: Assessment, Treatment and Management </w:t>
      </w:r>
      <w:r>
        <w:rPr>
          <w:color w:val="231F20"/>
          <w:sz w:val="13"/>
        </w:rPr>
        <w:t>(Routledge, 2nd ed, 2018) 400, 411.</w:t>
      </w:r>
    </w:p>
    <w:p w14:paraId="7B3BE1D9" w14:textId="77777777" w:rsidR="00894070" w:rsidRDefault="009B7AFD">
      <w:pPr>
        <w:pStyle w:val="ListParagraph"/>
        <w:numPr>
          <w:ilvl w:val="0"/>
          <w:numId w:val="74"/>
        </w:numPr>
        <w:tabs>
          <w:tab w:val="left" w:pos="1801"/>
          <w:tab w:val="left" w:pos="1802"/>
        </w:tabs>
        <w:spacing w:before="5" w:line="213" w:lineRule="auto"/>
        <w:ind w:right="173"/>
        <w:jc w:val="left"/>
        <w:rPr>
          <w:sz w:val="13"/>
        </w:rPr>
      </w:pPr>
      <w:r>
        <w:rPr>
          <w:color w:val="231F20"/>
          <w:sz w:val="13"/>
        </w:rPr>
        <w:t xml:space="preserve">Consultation 36 (Forensicare (No 2)). A </w:t>
      </w:r>
      <w:r>
        <w:rPr>
          <w:color w:val="231F20"/>
          <w:spacing w:val="2"/>
          <w:sz w:val="13"/>
        </w:rPr>
        <w:t xml:space="preserve">therapeutic </w:t>
      </w:r>
      <w:r>
        <w:rPr>
          <w:color w:val="231F20"/>
          <w:sz w:val="13"/>
        </w:rPr>
        <w:t xml:space="preserve">treatment order is an order issued by the family division of the Children’s </w:t>
      </w:r>
      <w:r>
        <w:rPr>
          <w:color w:val="231F20"/>
          <w:spacing w:val="2"/>
          <w:sz w:val="13"/>
        </w:rPr>
        <w:t xml:space="preserve">Court </w:t>
      </w:r>
      <w:r>
        <w:rPr>
          <w:color w:val="231F20"/>
          <w:sz w:val="13"/>
        </w:rPr>
        <w:t xml:space="preserve">of Victoria. It requires a child aged at least 10 years and under 15 years of age to attend community-based treatment      for problem sexual behaviours. The child does not </w:t>
      </w:r>
      <w:r>
        <w:rPr>
          <w:color w:val="231F20"/>
          <w:spacing w:val="2"/>
          <w:sz w:val="13"/>
        </w:rPr>
        <w:t xml:space="preserve">need </w:t>
      </w:r>
      <w:r>
        <w:rPr>
          <w:color w:val="231F20"/>
          <w:sz w:val="13"/>
        </w:rPr>
        <w:t xml:space="preserve">to be charged or found guilty of a sexual offence: </w:t>
      </w:r>
      <w:r>
        <w:rPr>
          <w:i/>
          <w:color w:val="231F20"/>
          <w:sz w:val="13"/>
        </w:rPr>
        <w:t xml:space="preserve">Children, Youth and Families Act 2005 </w:t>
      </w:r>
      <w:r>
        <w:rPr>
          <w:color w:val="231F20"/>
          <w:sz w:val="13"/>
        </w:rPr>
        <w:t xml:space="preserve">(Vic) ss </w:t>
      </w:r>
      <w:r>
        <w:rPr>
          <w:color w:val="231F20"/>
          <w:spacing w:val="2"/>
          <w:sz w:val="13"/>
        </w:rPr>
        <w:t>248</w:t>
      </w:r>
      <w:r>
        <w:rPr>
          <w:color w:val="231F20"/>
          <w:spacing w:val="1"/>
          <w:sz w:val="13"/>
        </w:rPr>
        <w:t xml:space="preserve"> </w:t>
      </w:r>
      <w:r>
        <w:rPr>
          <w:color w:val="231F20"/>
          <w:spacing w:val="3"/>
          <w:sz w:val="13"/>
        </w:rPr>
        <w:t>–9.</w:t>
      </w:r>
    </w:p>
    <w:p w14:paraId="43543213" w14:textId="77777777" w:rsidR="00894070" w:rsidRDefault="009B7AFD">
      <w:pPr>
        <w:pStyle w:val="ListParagraph"/>
        <w:numPr>
          <w:ilvl w:val="0"/>
          <w:numId w:val="74"/>
        </w:numPr>
        <w:tabs>
          <w:tab w:val="left" w:pos="1801"/>
          <w:tab w:val="left" w:pos="1802"/>
        </w:tabs>
        <w:spacing w:line="162" w:lineRule="exact"/>
        <w:jc w:val="left"/>
        <w:rPr>
          <w:sz w:val="13"/>
        </w:rPr>
      </w:pPr>
      <w:r>
        <w:rPr>
          <w:color w:val="231F20"/>
          <w:sz w:val="13"/>
        </w:rPr>
        <w:t xml:space="preserve">Consultation 35 (Children’s </w:t>
      </w:r>
      <w:r>
        <w:rPr>
          <w:color w:val="231F20"/>
          <w:spacing w:val="2"/>
          <w:sz w:val="13"/>
        </w:rPr>
        <w:t xml:space="preserve">Court </w:t>
      </w:r>
      <w:r>
        <w:rPr>
          <w:color w:val="231F20"/>
          <w:sz w:val="13"/>
        </w:rPr>
        <w:t>of Victoria (No 2)).</w:t>
      </w:r>
    </w:p>
    <w:p w14:paraId="1011E0A4" w14:textId="77777777" w:rsidR="00894070" w:rsidRDefault="009B7AFD">
      <w:pPr>
        <w:pStyle w:val="BodyText"/>
        <w:rPr>
          <w:sz w:val="28"/>
        </w:rPr>
      </w:pPr>
      <w:r>
        <w:br w:type="column"/>
      </w:r>
    </w:p>
    <w:p w14:paraId="18E3AFF9" w14:textId="77777777" w:rsidR="00894070" w:rsidRDefault="00894070">
      <w:pPr>
        <w:pStyle w:val="BodyText"/>
        <w:rPr>
          <w:sz w:val="28"/>
        </w:rPr>
      </w:pPr>
    </w:p>
    <w:p w14:paraId="71E2A65E" w14:textId="77777777" w:rsidR="00894070" w:rsidRDefault="00894070">
      <w:pPr>
        <w:pStyle w:val="BodyText"/>
        <w:rPr>
          <w:sz w:val="28"/>
        </w:rPr>
      </w:pPr>
    </w:p>
    <w:p w14:paraId="1F1545DB" w14:textId="77777777" w:rsidR="00894070" w:rsidRDefault="00894070">
      <w:pPr>
        <w:pStyle w:val="BodyText"/>
        <w:rPr>
          <w:sz w:val="28"/>
        </w:rPr>
      </w:pPr>
    </w:p>
    <w:p w14:paraId="0E25B702" w14:textId="77777777" w:rsidR="00894070" w:rsidRDefault="00894070">
      <w:pPr>
        <w:pStyle w:val="BodyText"/>
        <w:spacing w:before="3"/>
        <w:rPr>
          <w:sz w:val="30"/>
        </w:rPr>
      </w:pPr>
    </w:p>
    <w:p w14:paraId="57EA7009" w14:textId="77777777" w:rsidR="00894070" w:rsidRDefault="009B7AFD">
      <w:pPr>
        <w:pStyle w:val="Heading8"/>
        <w:ind w:left="631"/>
      </w:pPr>
      <w:r>
        <w:rPr>
          <w:color w:val="EA5B50"/>
        </w:rPr>
        <w:t>127</w:t>
      </w:r>
    </w:p>
    <w:p w14:paraId="57D8FED5" w14:textId="77777777" w:rsidR="00894070" w:rsidRDefault="00894070">
      <w:pPr>
        <w:sectPr w:rsidR="00894070">
          <w:type w:val="continuous"/>
          <w:pgSz w:w="11910" w:h="16840"/>
          <w:pgMar w:top="560" w:right="420" w:bottom="280" w:left="580" w:header="720" w:footer="720" w:gutter="0"/>
          <w:cols w:num="2" w:space="720" w:equalWidth="0">
            <w:col w:w="9668" w:space="40"/>
            <w:col w:w="1202"/>
          </w:cols>
        </w:sectPr>
      </w:pPr>
    </w:p>
    <w:p w14:paraId="3AB50AFE" w14:textId="77777777" w:rsidR="00894070" w:rsidRDefault="00894070">
      <w:pPr>
        <w:pStyle w:val="BodyText"/>
        <w:rPr>
          <w:b/>
        </w:rPr>
      </w:pPr>
    </w:p>
    <w:p w14:paraId="4E739567" w14:textId="77777777" w:rsidR="00894070" w:rsidRDefault="00894070">
      <w:pPr>
        <w:pStyle w:val="BodyText"/>
        <w:rPr>
          <w:b/>
        </w:rPr>
      </w:pPr>
    </w:p>
    <w:p w14:paraId="4337762C" w14:textId="77777777" w:rsidR="00894070" w:rsidRDefault="00894070">
      <w:pPr>
        <w:pStyle w:val="BodyText"/>
        <w:rPr>
          <w:b/>
        </w:rPr>
      </w:pPr>
    </w:p>
    <w:p w14:paraId="41BD4316" w14:textId="77777777" w:rsidR="00894070" w:rsidRDefault="009B7AFD">
      <w:pPr>
        <w:spacing w:before="220"/>
        <w:ind w:left="1007"/>
        <w:rPr>
          <w:b/>
          <w:sz w:val="24"/>
        </w:rPr>
      </w:pPr>
      <w:bookmarkStart w:id="142" w:name="_bookmark85"/>
      <w:bookmarkEnd w:id="142"/>
      <w:r>
        <w:rPr>
          <w:b/>
          <w:color w:val="231F20"/>
          <w:sz w:val="24"/>
        </w:rPr>
        <w:t>Other protections may be necessary</w:t>
      </w:r>
    </w:p>
    <w:p w14:paraId="14C37950" w14:textId="77777777" w:rsidR="00894070" w:rsidRDefault="009B7AFD">
      <w:pPr>
        <w:pStyle w:val="ListParagraph"/>
        <w:numPr>
          <w:ilvl w:val="1"/>
          <w:numId w:val="102"/>
        </w:numPr>
        <w:tabs>
          <w:tab w:val="left" w:pos="1801"/>
          <w:tab w:val="left" w:pos="1802"/>
        </w:tabs>
        <w:spacing w:before="95"/>
        <w:rPr>
          <w:sz w:val="20"/>
        </w:rPr>
      </w:pPr>
      <w:r>
        <w:rPr>
          <w:color w:val="231F20"/>
          <w:sz w:val="20"/>
        </w:rPr>
        <w:t>The</w:t>
      </w:r>
      <w:r>
        <w:rPr>
          <w:color w:val="231F20"/>
          <w:spacing w:val="-5"/>
          <w:sz w:val="20"/>
        </w:rPr>
        <w:t xml:space="preserve"> </w:t>
      </w:r>
      <w:r>
        <w:rPr>
          <w:color w:val="231F20"/>
          <w:sz w:val="20"/>
        </w:rPr>
        <w:t>PSIO</w:t>
      </w:r>
      <w:r>
        <w:rPr>
          <w:color w:val="231F20"/>
          <w:spacing w:val="-5"/>
          <w:sz w:val="20"/>
        </w:rPr>
        <w:t xml:space="preserve"> </w:t>
      </w:r>
      <w:r>
        <w:rPr>
          <w:color w:val="231F20"/>
          <w:spacing w:val="-2"/>
          <w:sz w:val="20"/>
        </w:rPr>
        <w:t>Act</w:t>
      </w:r>
      <w:r>
        <w:rPr>
          <w:color w:val="231F20"/>
          <w:spacing w:val="-5"/>
          <w:sz w:val="20"/>
        </w:rPr>
        <w:t xml:space="preserve"> </w:t>
      </w:r>
      <w:r>
        <w:rPr>
          <w:color w:val="231F20"/>
          <w:sz w:val="20"/>
        </w:rPr>
        <w:t>contains</w:t>
      </w:r>
      <w:r>
        <w:rPr>
          <w:color w:val="231F20"/>
          <w:spacing w:val="-5"/>
          <w:sz w:val="20"/>
        </w:rPr>
        <w:t xml:space="preserve"> </w:t>
      </w:r>
      <w:proofErr w:type="gramStart"/>
      <w:r>
        <w:rPr>
          <w:color w:val="231F20"/>
          <w:sz w:val="20"/>
        </w:rPr>
        <w:t>a</w:t>
      </w:r>
      <w:r>
        <w:rPr>
          <w:color w:val="231F20"/>
          <w:spacing w:val="-5"/>
          <w:sz w:val="20"/>
        </w:rPr>
        <w:t xml:space="preserve"> </w:t>
      </w:r>
      <w:r>
        <w:rPr>
          <w:color w:val="231F20"/>
          <w:sz w:val="20"/>
        </w:rPr>
        <w:t>number</w:t>
      </w:r>
      <w:r>
        <w:rPr>
          <w:color w:val="231F20"/>
          <w:spacing w:val="-5"/>
          <w:sz w:val="20"/>
        </w:rPr>
        <w:t xml:space="preserve"> </w:t>
      </w:r>
      <w:r>
        <w:rPr>
          <w:color w:val="231F20"/>
          <w:sz w:val="20"/>
        </w:rPr>
        <w:t>of</w:t>
      </w:r>
      <w:proofErr w:type="gramEnd"/>
      <w:r>
        <w:rPr>
          <w:color w:val="231F20"/>
          <w:spacing w:val="-5"/>
          <w:sz w:val="20"/>
        </w:rPr>
        <w:t xml:space="preserve"> </w:t>
      </w:r>
      <w:r>
        <w:rPr>
          <w:color w:val="231F20"/>
          <w:sz w:val="20"/>
        </w:rPr>
        <w:t>specific</w:t>
      </w:r>
      <w:r>
        <w:rPr>
          <w:color w:val="231F20"/>
          <w:spacing w:val="-5"/>
          <w:sz w:val="20"/>
        </w:rPr>
        <w:t xml:space="preserve"> </w:t>
      </w:r>
      <w:r>
        <w:rPr>
          <w:color w:val="231F20"/>
          <w:spacing w:val="-3"/>
          <w:sz w:val="20"/>
        </w:rPr>
        <w:t>protections</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child</w:t>
      </w:r>
      <w:r>
        <w:rPr>
          <w:color w:val="231F20"/>
          <w:spacing w:val="-5"/>
          <w:sz w:val="20"/>
        </w:rPr>
        <w:t xml:space="preserve"> </w:t>
      </w:r>
      <w:r>
        <w:rPr>
          <w:color w:val="231F20"/>
          <w:sz w:val="20"/>
        </w:rPr>
        <w:t>respondents.</w:t>
      </w:r>
    </w:p>
    <w:p w14:paraId="2A11AF21" w14:textId="77777777" w:rsidR="00894070" w:rsidRDefault="009B7AFD">
      <w:pPr>
        <w:pStyle w:val="ListParagraph"/>
        <w:numPr>
          <w:ilvl w:val="1"/>
          <w:numId w:val="102"/>
        </w:numPr>
        <w:tabs>
          <w:tab w:val="left" w:pos="1801"/>
          <w:tab w:val="left" w:pos="1802"/>
        </w:tabs>
        <w:spacing w:before="115" w:line="206" w:lineRule="auto"/>
        <w:ind w:right="1288"/>
        <w:rPr>
          <w:sz w:val="11"/>
        </w:rPr>
      </w:pPr>
      <w:r>
        <w:rPr>
          <w:color w:val="231F20"/>
          <w:spacing w:val="-10"/>
          <w:sz w:val="20"/>
        </w:rPr>
        <w:t xml:space="preserve">To </w:t>
      </w:r>
      <w:r>
        <w:rPr>
          <w:color w:val="231F20"/>
          <w:sz w:val="20"/>
        </w:rPr>
        <w:t xml:space="preserve">make a final </w:t>
      </w:r>
      <w:r>
        <w:rPr>
          <w:color w:val="231F20"/>
          <w:spacing w:val="-4"/>
          <w:sz w:val="20"/>
        </w:rPr>
        <w:t xml:space="preserve">order, </w:t>
      </w:r>
      <w:r>
        <w:rPr>
          <w:color w:val="231F20"/>
          <w:sz w:val="20"/>
        </w:rPr>
        <w:t xml:space="preserve">the court must be satisfied that it is </w:t>
      </w:r>
      <w:r>
        <w:rPr>
          <w:color w:val="231F20"/>
          <w:spacing w:val="-3"/>
          <w:sz w:val="20"/>
        </w:rPr>
        <w:t xml:space="preserve">‘appropriate </w:t>
      </w:r>
      <w:r>
        <w:rPr>
          <w:color w:val="231F20"/>
          <w:sz w:val="20"/>
        </w:rPr>
        <w:t>in all the circumstances’.</w:t>
      </w:r>
      <w:r>
        <w:rPr>
          <w:color w:val="231F20"/>
          <w:position w:val="7"/>
          <w:sz w:val="11"/>
        </w:rPr>
        <w:t>259</w:t>
      </w:r>
      <w:r>
        <w:rPr>
          <w:color w:val="231F20"/>
          <w:spacing w:val="16"/>
          <w:position w:val="7"/>
          <w:sz w:val="11"/>
        </w:rPr>
        <w:t xml:space="preserve"> </w:t>
      </w:r>
      <w:r>
        <w:rPr>
          <w:color w:val="231F20"/>
          <w:spacing w:val="-3"/>
          <w:sz w:val="20"/>
        </w:rPr>
        <w:t>For</w:t>
      </w:r>
      <w:r>
        <w:rPr>
          <w:color w:val="231F20"/>
          <w:spacing w:val="-8"/>
          <w:sz w:val="20"/>
        </w:rPr>
        <w:t xml:space="preserve"> </w:t>
      </w:r>
      <w:r>
        <w:rPr>
          <w:color w:val="231F20"/>
          <w:spacing w:val="-3"/>
          <w:sz w:val="20"/>
        </w:rPr>
        <w:t>children,</w:t>
      </w:r>
      <w:r>
        <w:rPr>
          <w:color w:val="231F20"/>
          <w:spacing w:val="-7"/>
          <w:sz w:val="20"/>
        </w:rPr>
        <w:t xml:space="preserve"> </w:t>
      </w:r>
      <w:r>
        <w:rPr>
          <w:color w:val="231F20"/>
          <w:sz w:val="20"/>
        </w:rPr>
        <w:t>the</w:t>
      </w:r>
      <w:r>
        <w:rPr>
          <w:color w:val="231F20"/>
          <w:spacing w:val="-9"/>
          <w:sz w:val="20"/>
        </w:rPr>
        <w:t xml:space="preserve"> </w:t>
      </w:r>
      <w:r>
        <w:rPr>
          <w:color w:val="231F20"/>
          <w:sz w:val="20"/>
        </w:rPr>
        <w:t>court</w:t>
      </w:r>
      <w:r>
        <w:rPr>
          <w:color w:val="231F20"/>
          <w:spacing w:val="-7"/>
          <w:sz w:val="20"/>
        </w:rPr>
        <w:t xml:space="preserve"> </w:t>
      </w:r>
      <w:r>
        <w:rPr>
          <w:color w:val="231F20"/>
          <w:spacing w:val="-3"/>
          <w:sz w:val="20"/>
        </w:rPr>
        <w:t>may</w:t>
      </w:r>
      <w:r>
        <w:rPr>
          <w:color w:val="231F20"/>
          <w:spacing w:val="-8"/>
          <w:sz w:val="20"/>
        </w:rPr>
        <w:t xml:space="preserve"> </w:t>
      </w:r>
      <w:r>
        <w:rPr>
          <w:color w:val="231F20"/>
          <w:sz w:val="20"/>
        </w:rPr>
        <w:t>consider</w:t>
      </w:r>
      <w:r>
        <w:rPr>
          <w:color w:val="231F20"/>
          <w:spacing w:val="-8"/>
          <w:sz w:val="20"/>
        </w:rPr>
        <w:t xml:space="preserve"> </w:t>
      </w:r>
      <w:r>
        <w:rPr>
          <w:color w:val="231F20"/>
          <w:sz w:val="20"/>
        </w:rPr>
        <w:t>the</w:t>
      </w:r>
      <w:r>
        <w:rPr>
          <w:color w:val="231F20"/>
          <w:spacing w:val="-7"/>
          <w:sz w:val="20"/>
        </w:rPr>
        <w:t xml:space="preserve"> </w:t>
      </w:r>
      <w:r>
        <w:rPr>
          <w:color w:val="231F20"/>
          <w:spacing w:val="-3"/>
          <w:sz w:val="20"/>
        </w:rPr>
        <w:t>child’s</w:t>
      </w:r>
      <w:r>
        <w:rPr>
          <w:color w:val="231F20"/>
          <w:spacing w:val="-8"/>
          <w:sz w:val="20"/>
        </w:rPr>
        <w:t xml:space="preserve"> </w:t>
      </w:r>
      <w:r>
        <w:rPr>
          <w:color w:val="231F20"/>
          <w:sz w:val="20"/>
        </w:rPr>
        <w:t>ability</w:t>
      </w:r>
      <w:r>
        <w:rPr>
          <w:color w:val="231F20"/>
          <w:spacing w:val="-8"/>
          <w:sz w:val="20"/>
        </w:rPr>
        <w:t xml:space="preserve"> </w:t>
      </w:r>
      <w:r>
        <w:rPr>
          <w:color w:val="231F20"/>
          <w:sz w:val="20"/>
        </w:rPr>
        <w:t>to</w:t>
      </w:r>
      <w:r>
        <w:rPr>
          <w:color w:val="231F20"/>
          <w:spacing w:val="-9"/>
          <w:sz w:val="20"/>
        </w:rPr>
        <w:t xml:space="preserve"> </w:t>
      </w:r>
      <w:r>
        <w:rPr>
          <w:color w:val="231F20"/>
          <w:sz w:val="20"/>
        </w:rPr>
        <w:t xml:space="preserve">understand the </w:t>
      </w:r>
      <w:r>
        <w:rPr>
          <w:color w:val="231F20"/>
          <w:spacing w:val="-3"/>
          <w:sz w:val="20"/>
        </w:rPr>
        <w:t xml:space="preserve">nature </w:t>
      </w:r>
      <w:r>
        <w:rPr>
          <w:color w:val="231F20"/>
          <w:sz w:val="20"/>
        </w:rPr>
        <w:t xml:space="preserve">and effect of a final </w:t>
      </w:r>
      <w:r>
        <w:rPr>
          <w:color w:val="231F20"/>
          <w:spacing w:val="-4"/>
          <w:sz w:val="20"/>
        </w:rPr>
        <w:t xml:space="preserve">order, </w:t>
      </w:r>
      <w:r>
        <w:rPr>
          <w:color w:val="231F20"/>
          <w:sz w:val="20"/>
        </w:rPr>
        <w:t xml:space="preserve">and to </w:t>
      </w:r>
      <w:r>
        <w:rPr>
          <w:color w:val="231F20"/>
          <w:spacing w:val="-3"/>
          <w:sz w:val="20"/>
        </w:rPr>
        <w:t xml:space="preserve">comply </w:t>
      </w:r>
      <w:r>
        <w:rPr>
          <w:color w:val="231F20"/>
          <w:sz w:val="20"/>
        </w:rPr>
        <w:t>with its conditions. The court considers</w:t>
      </w:r>
      <w:r>
        <w:rPr>
          <w:color w:val="231F20"/>
          <w:spacing w:val="-5"/>
          <w:sz w:val="20"/>
        </w:rPr>
        <w:t xml:space="preserve"> </w:t>
      </w:r>
      <w:r>
        <w:rPr>
          <w:color w:val="231F20"/>
          <w:sz w:val="20"/>
        </w:rPr>
        <w:t>this</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5"/>
          <w:sz w:val="20"/>
        </w:rPr>
        <w:t xml:space="preserve"> </w:t>
      </w:r>
      <w:r>
        <w:rPr>
          <w:color w:val="231F20"/>
          <w:spacing w:val="-3"/>
          <w:sz w:val="20"/>
        </w:rPr>
        <w:t>context</w:t>
      </w:r>
      <w:r>
        <w:rPr>
          <w:color w:val="231F20"/>
          <w:spacing w:val="-4"/>
          <w:sz w:val="20"/>
        </w:rPr>
        <w:t xml:space="preserve"> </w:t>
      </w:r>
      <w:r>
        <w:rPr>
          <w:color w:val="231F20"/>
          <w:sz w:val="20"/>
        </w:rPr>
        <w:t>of</w:t>
      </w:r>
      <w:r>
        <w:rPr>
          <w:color w:val="231F20"/>
          <w:spacing w:val="-5"/>
          <w:sz w:val="20"/>
        </w:rPr>
        <w:t xml:space="preserve"> </w:t>
      </w:r>
      <w:r>
        <w:rPr>
          <w:color w:val="231F20"/>
          <w:sz w:val="20"/>
        </w:rPr>
        <w:t>their</w:t>
      </w:r>
      <w:r>
        <w:rPr>
          <w:color w:val="231F20"/>
          <w:spacing w:val="-4"/>
          <w:sz w:val="20"/>
        </w:rPr>
        <w:t xml:space="preserve"> </w:t>
      </w:r>
      <w:r>
        <w:rPr>
          <w:color w:val="231F20"/>
          <w:sz w:val="20"/>
        </w:rPr>
        <w:t>age</w:t>
      </w:r>
      <w:r>
        <w:rPr>
          <w:color w:val="231F20"/>
          <w:spacing w:val="-5"/>
          <w:sz w:val="20"/>
        </w:rPr>
        <w:t xml:space="preserve"> </w:t>
      </w:r>
      <w:r>
        <w:rPr>
          <w:color w:val="231F20"/>
          <w:sz w:val="20"/>
        </w:rPr>
        <w:t>and</w:t>
      </w:r>
      <w:r>
        <w:rPr>
          <w:color w:val="231F20"/>
          <w:spacing w:val="-4"/>
          <w:sz w:val="20"/>
        </w:rPr>
        <w:t xml:space="preserve"> </w:t>
      </w:r>
      <w:r>
        <w:rPr>
          <w:color w:val="231F20"/>
          <w:sz w:val="20"/>
        </w:rPr>
        <w:t>maturity.</w:t>
      </w:r>
      <w:r>
        <w:rPr>
          <w:color w:val="231F20"/>
          <w:position w:val="7"/>
          <w:sz w:val="11"/>
        </w:rPr>
        <w:t>260</w:t>
      </w:r>
    </w:p>
    <w:p w14:paraId="03786041" w14:textId="77777777" w:rsidR="00894070" w:rsidRDefault="009B7AFD">
      <w:pPr>
        <w:pStyle w:val="ListParagraph"/>
        <w:numPr>
          <w:ilvl w:val="1"/>
          <w:numId w:val="102"/>
        </w:numPr>
        <w:tabs>
          <w:tab w:val="left" w:pos="1802"/>
        </w:tabs>
        <w:spacing w:before="125" w:line="206" w:lineRule="auto"/>
        <w:ind w:right="1194"/>
        <w:jc w:val="both"/>
        <w:rPr>
          <w:sz w:val="11"/>
        </w:rPr>
      </w:pPr>
      <w:r>
        <w:rPr>
          <w:color w:val="231F20"/>
          <w:sz w:val="20"/>
        </w:rPr>
        <w:t>In</w:t>
      </w:r>
      <w:r>
        <w:rPr>
          <w:color w:val="231F20"/>
          <w:spacing w:val="-11"/>
          <w:sz w:val="20"/>
        </w:rPr>
        <w:t xml:space="preserve"> </w:t>
      </w:r>
      <w:r>
        <w:rPr>
          <w:color w:val="231F20"/>
          <w:sz w:val="20"/>
        </w:rPr>
        <w:t>considering</w:t>
      </w:r>
      <w:r>
        <w:rPr>
          <w:color w:val="231F20"/>
          <w:spacing w:val="-10"/>
          <w:sz w:val="20"/>
        </w:rPr>
        <w:t xml:space="preserve"> </w:t>
      </w:r>
      <w:r>
        <w:rPr>
          <w:color w:val="231F20"/>
          <w:sz w:val="20"/>
        </w:rPr>
        <w:t>whether</w:t>
      </w:r>
      <w:r>
        <w:rPr>
          <w:color w:val="231F20"/>
          <w:spacing w:val="-10"/>
          <w:sz w:val="20"/>
        </w:rPr>
        <w:t xml:space="preserve"> </w:t>
      </w:r>
      <w:r>
        <w:rPr>
          <w:color w:val="231F20"/>
          <w:sz w:val="20"/>
        </w:rPr>
        <w:t>to</w:t>
      </w:r>
      <w:r>
        <w:rPr>
          <w:color w:val="231F20"/>
          <w:spacing w:val="-10"/>
          <w:sz w:val="20"/>
        </w:rPr>
        <w:t xml:space="preserve"> </w:t>
      </w:r>
      <w:r>
        <w:rPr>
          <w:color w:val="231F20"/>
          <w:sz w:val="20"/>
        </w:rPr>
        <w:t>make</w:t>
      </w:r>
      <w:r>
        <w:rPr>
          <w:color w:val="231F20"/>
          <w:spacing w:val="-10"/>
          <w:sz w:val="20"/>
        </w:rPr>
        <w:t xml:space="preserve"> </w:t>
      </w:r>
      <w:r>
        <w:rPr>
          <w:color w:val="231F20"/>
          <w:sz w:val="20"/>
        </w:rPr>
        <w:t>a</w:t>
      </w:r>
      <w:r>
        <w:rPr>
          <w:color w:val="231F20"/>
          <w:spacing w:val="-10"/>
          <w:sz w:val="20"/>
        </w:rPr>
        <w:t xml:space="preserve"> </w:t>
      </w:r>
      <w:r>
        <w:rPr>
          <w:color w:val="231F20"/>
          <w:sz w:val="20"/>
        </w:rPr>
        <w:t>final</w:t>
      </w:r>
      <w:r>
        <w:rPr>
          <w:color w:val="231F20"/>
          <w:spacing w:val="-10"/>
          <w:sz w:val="20"/>
        </w:rPr>
        <w:t xml:space="preserve"> </w:t>
      </w:r>
      <w:r>
        <w:rPr>
          <w:color w:val="231F20"/>
          <w:sz w:val="20"/>
        </w:rPr>
        <w:t>PSIO,</w:t>
      </w:r>
      <w:r>
        <w:rPr>
          <w:color w:val="231F20"/>
          <w:spacing w:val="-10"/>
          <w:sz w:val="20"/>
        </w:rPr>
        <w:t xml:space="preserve"> </w:t>
      </w:r>
      <w:r>
        <w:rPr>
          <w:color w:val="231F20"/>
          <w:sz w:val="20"/>
        </w:rPr>
        <w:t>the</w:t>
      </w:r>
      <w:r>
        <w:rPr>
          <w:color w:val="231F20"/>
          <w:spacing w:val="-10"/>
          <w:sz w:val="20"/>
        </w:rPr>
        <w:t xml:space="preserve"> </w:t>
      </w:r>
      <w:r>
        <w:rPr>
          <w:color w:val="231F20"/>
          <w:sz w:val="20"/>
        </w:rPr>
        <w:t>court</w:t>
      </w:r>
      <w:r>
        <w:rPr>
          <w:color w:val="231F20"/>
          <w:spacing w:val="-10"/>
          <w:sz w:val="20"/>
        </w:rPr>
        <w:t xml:space="preserve"> </w:t>
      </w:r>
      <w:r>
        <w:rPr>
          <w:color w:val="231F20"/>
          <w:spacing w:val="-3"/>
          <w:sz w:val="20"/>
        </w:rPr>
        <w:t>may</w:t>
      </w:r>
      <w:r>
        <w:rPr>
          <w:color w:val="231F20"/>
          <w:spacing w:val="-10"/>
          <w:sz w:val="20"/>
        </w:rPr>
        <w:t xml:space="preserve"> </w:t>
      </w:r>
      <w:r>
        <w:rPr>
          <w:color w:val="231F20"/>
          <w:sz w:val="20"/>
        </w:rPr>
        <w:t>order</w:t>
      </w:r>
      <w:r>
        <w:rPr>
          <w:color w:val="231F20"/>
          <w:spacing w:val="-10"/>
          <w:sz w:val="20"/>
        </w:rPr>
        <w:t xml:space="preserve"> </w:t>
      </w:r>
      <w:r>
        <w:rPr>
          <w:color w:val="231F20"/>
          <w:sz w:val="20"/>
        </w:rPr>
        <w:t>an</w:t>
      </w:r>
      <w:r>
        <w:rPr>
          <w:color w:val="231F20"/>
          <w:spacing w:val="-10"/>
          <w:sz w:val="20"/>
        </w:rPr>
        <w:t xml:space="preserve"> </w:t>
      </w:r>
      <w:r>
        <w:rPr>
          <w:color w:val="231F20"/>
          <w:sz w:val="20"/>
        </w:rPr>
        <w:t>assessment</w:t>
      </w:r>
      <w:r>
        <w:rPr>
          <w:color w:val="231F20"/>
          <w:spacing w:val="-11"/>
          <w:sz w:val="20"/>
        </w:rPr>
        <w:t xml:space="preserve"> </w:t>
      </w:r>
      <w:r>
        <w:rPr>
          <w:color w:val="231F20"/>
          <w:sz w:val="20"/>
        </w:rPr>
        <w:t>report about</w:t>
      </w:r>
      <w:r>
        <w:rPr>
          <w:color w:val="231F20"/>
          <w:spacing w:val="-11"/>
          <w:sz w:val="20"/>
        </w:rPr>
        <w:t xml:space="preserve"> </w:t>
      </w:r>
      <w:r>
        <w:rPr>
          <w:color w:val="231F20"/>
          <w:sz w:val="20"/>
        </w:rPr>
        <w:t>the</w:t>
      </w:r>
      <w:r>
        <w:rPr>
          <w:color w:val="231F20"/>
          <w:spacing w:val="-10"/>
          <w:sz w:val="20"/>
        </w:rPr>
        <w:t xml:space="preserve"> </w:t>
      </w:r>
      <w:r>
        <w:rPr>
          <w:color w:val="231F20"/>
          <w:sz w:val="20"/>
        </w:rPr>
        <w:t>child</w:t>
      </w:r>
      <w:r>
        <w:rPr>
          <w:color w:val="231F20"/>
          <w:spacing w:val="-11"/>
          <w:sz w:val="20"/>
        </w:rPr>
        <w:t xml:space="preserve"> </w:t>
      </w:r>
      <w:r>
        <w:rPr>
          <w:color w:val="231F20"/>
          <w:sz w:val="20"/>
        </w:rPr>
        <w:t>respondent.</w:t>
      </w:r>
      <w:r>
        <w:rPr>
          <w:color w:val="231F20"/>
          <w:position w:val="7"/>
          <w:sz w:val="11"/>
        </w:rPr>
        <w:t>261</w:t>
      </w:r>
      <w:r>
        <w:rPr>
          <w:color w:val="231F20"/>
          <w:spacing w:val="-3"/>
          <w:position w:val="7"/>
          <w:sz w:val="11"/>
        </w:rPr>
        <w:t xml:space="preserve"> </w:t>
      </w:r>
      <w:r>
        <w:rPr>
          <w:color w:val="231F20"/>
          <w:sz w:val="20"/>
        </w:rPr>
        <w:t>This</w:t>
      </w:r>
      <w:r>
        <w:rPr>
          <w:color w:val="231F20"/>
          <w:spacing w:val="-10"/>
          <w:sz w:val="20"/>
        </w:rPr>
        <w:t xml:space="preserve"> </w:t>
      </w:r>
      <w:r>
        <w:rPr>
          <w:color w:val="231F20"/>
          <w:sz w:val="20"/>
        </w:rPr>
        <w:t>report</w:t>
      </w:r>
      <w:r>
        <w:rPr>
          <w:color w:val="231F20"/>
          <w:spacing w:val="-10"/>
          <w:sz w:val="20"/>
        </w:rPr>
        <w:t xml:space="preserve"> </w:t>
      </w:r>
      <w:r>
        <w:rPr>
          <w:color w:val="231F20"/>
          <w:sz w:val="20"/>
        </w:rPr>
        <w:t>must</w:t>
      </w:r>
      <w:r>
        <w:rPr>
          <w:color w:val="231F20"/>
          <w:spacing w:val="-11"/>
          <w:sz w:val="20"/>
        </w:rPr>
        <w:t xml:space="preserve"> </w:t>
      </w:r>
      <w:r>
        <w:rPr>
          <w:color w:val="231F20"/>
          <w:sz w:val="20"/>
        </w:rPr>
        <w:t>include</w:t>
      </w:r>
      <w:r>
        <w:rPr>
          <w:color w:val="231F20"/>
          <w:spacing w:val="-10"/>
          <w:sz w:val="20"/>
        </w:rPr>
        <w:t xml:space="preserve"> </w:t>
      </w:r>
      <w:r>
        <w:rPr>
          <w:color w:val="231F20"/>
          <w:sz w:val="20"/>
        </w:rPr>
        <w:t>matters</w:t>
      </w:r>
      <w:r>
        <w:rPr>
          <w:color w:val="231F20"/>
          <w:spacing w:val="-10"/>
          <w:sz w:val="20"/>
        </w:rPr>
        <w:t xml:space="preserve"> </w:t>
      </w:r>
      <w:r>
        <w:rPr>
          <w:color w:val="231F20"/>
          <w:sz w:val="20"/>
        </w:rPr>
        <w:t>that</w:t>
      </w:r>
      <w:r>
        <w:rPr>
          <w:color w:val="231F20"/>
          <w:spacing w:val="-11"/>
          <w:sz w:val="20"/>
        </w:rPr>
        <w:t xml:space="preserve"> </w:t>
      </w:r>
      <w:r>
        <w:rPr>
          <w:color w:val="231F20"/>
          <w:sz w:val="20"/>
        </w:rPr>
        <w:t>the</w:t>
      </w:r>
      <w:r>
        <w:rPr>
          <w:color w:val="231F20"/>
          <w:spacing w:val="-10"/>
          <w:sz w:val="20"/>
        </w:rPr>
        <w:t xml:space="preserve"> </w:t>
      </w:r>
      <w:r>
        <w:rPr>
          <w:color w:val="231F20"/>
          <w:sz w:val="20"/>
        </w:rPr>
        <w:t>court</w:t>
      </w:r>
      <w:r>
        <w:rPr>
          <w:color w:val="231F20"/>
          <w:spacing w:val="-11"/>
          <w:sz w:val="20"/>
        </w:rPr>
        <w:t xml:space="preserve"> </w:t>
      </w:r>
      <w:r>
        <w:rPr>
          <w:color w:val="231F20"/>
          <w:sz w:val="20"/>
        </w:rPr>
        <w:t xml:space="preserve">considers </w:t>
      </w:r>
      <w:r>
        <w:rPr>
          <w:color w:val="231F20"/>
          <w:spacing w:val="-3"/>
          <w:sz w:val="20"/>
        </w:rPr>
        <w:t xml:space="preserve">relevant, </w:t>
      </w:r>
      <w:r>
        <w:rPr>
          <w:color w:val="231F20"/>
          <w:sz w:val="20"/>
        </w:rPr>
        <w:t xml:space="preserve">including </w:t>
      </w:r>
      <w:r>
        <w:rPr>
          <w:color w:val="231F20"/>
          <w:spacing w:val="-3"/>
          <w:sz w:val="20"/>
        </w:rPr>
        <w:t xml:space="preserve">any </w:t>
      </w:r>
      <w:r>
        <w:rPr>
          <w:color w:val="231F20"/>
          <w:sz w:val="20"/>
        </w:rPr>
        <w:t>psychological or psychiatric</w:t>
      </w:r>
      <w:r>
        <w:rPr>
          <w:color w:val="231F20"/>
          <w:spacing w:val="-25"/>
          <w:sz w:val="20"/>
        </w:rPr>
        <w:t xml:space="preserve"> </w:t>
      </w:r>
      <w:r>
        <w:rPr>
          <w:color w:val="231F20"/>
          <w:sz w:val="20"/>
        </w:rPr>
        <w:t>assessment.</w:t>
      </w:r>
      <w:r>
        <w:rPr>
          <w:color w:val="231F20"/>
          <w:position w:val="7"/>
          <w:sz w:val="11"/>
        </w:rPr>
        <w:t>262</w:t>
      </w:r>
    </w:p>
    <w:p w14:paraId="3C115A3B" w14:textId="77777777" w:rsidR="00894070" w:rsidRDefault="009B7AFD">
      <w:pPr>
        <w:pStyle w:val="ListParagraph"/>
        <w:numPr>
          <w:ilvl w:val="1"/>
          <w:numId w:val="102"/>
        </w:numPr>
        <w:tabs>
          <w:tab w:val="left" w:pos="1801"/>
          <w:tab w:val="left" w:pos="1802"/>
        </w:tabs>
        <w:spacing w:before="124" w:line="206" w:lineRule="auto"/>
        <w:ind w:right="1387"/>
        <w:rPr>
          <w:sz w:val="11"/>
        </w:rPr>
      </w:pPr>
      <w:r>
        <w:rPr>
          <w:color w:val="231F20"/>
          <w:spacing w:val="-3"/>
          <w:sz w:val="20"/>
        </w:rPr>
        <w:t>For</w:t>
      </w:r>
      <w:r>
        <w:rPr>
          <w:color w:val="231F20"/>
          <w:spacing w:val="-8"/>
          <w:sz w:val="20"/>
        </w:rPr>
        <w:t xml:space="preserve"> </w:t>
      </w:r>
      <w:r>
        <w:rPr>
          <w:color w:val="231F20"/>
          <w:sz w:val="20"/>
        </w:rPr>
        <w:t>child</w:t>
      </w:r>
      <w:r>
        <w:rPr>
          <w:color w:val="231F20"/>
          <w:spacing w:val="-8"/>
          <w:sz w:val="20"/>
        </w:rPr>
        <w:t xml:space="preserve"> </w:t>
      </w:r>
      <w:r>
        <w:rPr>
          <w:color w:val="231F20"/>
          <w:sz w:val="20"/>
        </w:rPr>
        <w:t>respondents,</w:t>
      </w:r>
      <w:r>
        <w:rPr>
          <w:color w:val="231F20"/>
          <w:spacing w:val="-7"/>
          <w:sz w:val="20"/>
        </w:rPr>
        <w:t xml:space="preserve"> </w:t>
      </w:r>
      <w:r>
        <w:rPr>
          <w:color w:val="231F20"/>
          <w:sz w:val="20"/>
        </w:rPr>
        <w:t>and</w:t>
      </w:r>
      <w:r>
        <w:rPr>
          <w:color w:val="231F20"/>
          <w:spacing w:val="-8"/>
          <w:sz w:val="20"/>
        </w:rPr>
        <w:t xml:space="preserve"> </w:t>
      </w:r>
      <w:r>
        <w:rPr>
          <w:color w:val="231F20"/>
          <w:spacing w:val="-2"/>
          <w:sz w:val="20"/>
        </w:rPr>
        <w:t>unlike</w:t>
      </w:r>
      <w:r>
        <w:rPr>
          <w:color w:val="231F20"/>
          <w:spacing w:val="-7"/>
          <w:sz w:val="20"/>
        </w:rPr>
        <w:t xml:space="preserve"> </w:t>
      </w:r>
      <w:r>
        <w:rPr>
          <w:color w:val="231F20"/>
          <w:sz w:val="20"/>
        </w:rPr>
        <w:t>the</w:t>
      </w:r>
      <w:r>
        <w:rPr>
          <w:color w:val="231F20"/>
          <w:spacing w:val="-8"/>
          <w:sz w:val="20"/>
        </w:rPr>
        <w:t xml:space="preserve"> </w:t>
      </w:r>
      <w:r>
        <w:rPr>
          <w:color w:val="231F20"/>
          <w:sz w:val="20"/>
        </w:rPr>
        <w:t>case</w:t>
      </w:r>
      <w:r>
        <w:rPr>
          <w:color w:val="231F20"/>
          <w:spacing w:val="-8"/>
          <w:sz w:val="20"/>
        </w:rPr>
        <w:t xml:space="preserve"> </w:t>
      </w:r>
      <w:r>
        <w:rPr>
          <w:color w:val="231F20"/>
          <w:spacing w:val="-3"/>
          <w:sz w:val="20"/>
        </w:rPr>
        <w:t>for</w:t>
      </w:r>
      <w:r>
        <w:rPr>
          <w:color w:val="231F20"/>
          <w:spacing w:val="-7"/>
          <w:sz w:val="20"/>
        </w:rPr>
        <w:t xml:space="preserve"> </w:t>
      </w:r>
      <w:r>
        <w:rPr>
          <w:color w:val="231F20"/>
          <w:sz w:val="20"/>
        </w:rPr>
        <w:t>adults,</w:t>
      </w:r>
      <w:r>
        <w:rPr>
          <w:color w:val="231F20"/>
          <w:spacing w:val="-8"/>
          <w:sz w:val="20"/>
        </w:rPr>
        <w:t xml:space="preserve"> </w:t>
      </w:r>
      <w:r>
        <w:rPr>
          <w:color w:val="231F20"/>
          <w:sz w:val="20"/>
        </w:rPr>
        <w:t>orders</w:t>
      </w:r>
      <w:r>
        <w:rPr>
          <w:color w:val="231F20"/>
          <w:spacing w:val="-7"/>
          <w:sz w:val="20"/>
        </w:rPr>
        <w:t xml:space="preserve"> </w:t>
      </w:r>
      <w:r>
        <w:rPr>
          <w:color w:val="231F20"/>
          <w:spacing w:val="-3"/>
          <w:sz w:val="20"/>
        </w:rPr>
        <w:t>may</w:t>
      </w:r>
      <w:r>
        <w:rPr>
          <w:color w:val="231F20"/>
          <w:spacing w:val="-8"/>
          <w:sz w:val="20"/>
        </w:rPr>
        <w:t xml:space="preserve"> </w:t>
      </w:r>
      <w:r>
        <w:rPr>
          <w:color w:val="231F20"/>
          <w:sz w:val="20"/>
        </w:rPr>
        <w:t>not</w:t>
      </w:r>
      <w:r>
        <w:rPr>
          <w:color w:val="231F20"/>
          <w:spacing w:val="-7"/>
          <w:sz w:val="20"/>
        </w:rPr>
        <w:t xml:space="preserve"> </w:t>
      </w:r>
      <w:r>
        <w:rPr>
          <w:color w:val="231F20"/>
          <w:sz w:val="20"/>
        </w:rPr>
        <w:t>be</w:t>
      </w:r>
      <w:r>
        <w:rPr>
          <w:color w:val="231F20"/>
          <w:spacing w:val="-8"/>
          <w:sz w:val="20"/>
        </w:rPr>
        <w:t xml:space="preserve"> </w:t>
      </w:r>
      <w:r>
        <w:rPr>
          <w:color w:val="231F20"/>
          <w:sz w:val="20"/>
        </w:rPr>
        <w:t>made</w:t>
      </w:r>
      <w:r>
        <w:rPr>
          <w:color w:val="231F20"/>
          <w:spacing w:val="-8"/>
          <w:sz w:val="20"/>
        </w:rPr>
        <w:t xml:space="preserve"> </w:t>
      </w:r>
      <w:r>
        <w:rPr>
          <w:color w:val="231F20"/>
          <w:spacing w:val="-3"/>
          <w:sz w:val="20"/>
        </w:rPr>
        <w:t>by</w:t>
      </w:r>
      <w:r>
        <w:rPr>
          <w:color w:val="231F20"/>
          <w:spacing w:val="-7"/>
          <w:sz w:val="20"/>
        </w:rPr>
        <w:t xml:space="preserve"> </w:t>
      </w:r>
      <w:r>
        <w:rPr>
          <w:color w:val="231F20"/>
          <w:sz w:val="20"/>
        </w:rPr>
        <w:t>the consent of the parties</w:t>
      </w:r>
      <w:r>
        <w:rPr>
          <w:color w:val="231F20"/>
          <w:spacing w:val="-17"/>
          <w:sz w:val="20"/>
        </w:rPr>
        <w:t xml:space="preserve"> </w:t>
      </w:r>
      <w:r>
        <w:rPr>
          <w:color w:val="231F20"/>
          <w:spacing w:val="-3"/>
          <w:sz w:val="20"/>
        </w:rPr>
        <w:t>only.</w:t>
      </w:r>
      <w:r>
        <w:rPr>
          <w:color w:val="231F20"/>
          <w:spacing w:val="-3"/>
          <w:position w:val="7"/>
          <w:sz w:val="11"/>
        </w:rPr>
        <w:t>263</w:t>
      </w:r>
    </w:p>
    <w:p w14:paraId="00BF6141" w14:textId="77777777" w:rsidR="00894070" w:rsidRDefault="009B7AFD">
      <w:pPr>
        <w:pStyle w:val="ListParagraph"/>
        <w:numPr>
          <w:ilvl w:val="1"/>
          <w:numId w:val="102"/>
        </w:numPr>
        <w:tabs>
          <w:tab w:val="left" w:pos="1801"/>
          <w:tab w:val="left" w:pos="1802"/>
        </w:tabs>
        <w:spacing w:before="122" w:line="206" w:lineRule="auto"/>
        <w:ind w:right="1217"/>
        <w:rPr>
          <w:sz w:val="20"/>
        </w:rPr>
      </w:pPr>
      <w:r>
        <w:rPr>
          <w:color w:val="231F20"/>
          <w:sz w:val="20"/>
        </w:rPr>
        <w:t xml:space="preserve">The PSIO </w:t>
      </w:r>
      <w:r>
        <w:rPr>
          <w:color w:val="231F20"/>
          <w:spacing w:val="-2"/>
          <w:sz w:val="20"/>
        </w:rPr>
        <w:t xml:space="preserve">Act </w:t>
      </w:r>
      <w:r>
        <w:rPr>
          <w:color w:val="231F20"/>
          <w:sz w:val="20"/>
        </w:rPr>
        <w:t xml:space="preserve">also places limits on conditions that affect a child </w:t>
      </w:r>
      <w:r>
        <w:rPr>
          <w:color w:val="231F20"/>
          <w:spacing w:val="-3"/>
          <w:sz w:val="20"/>
        </w:rPr>
        <w:t xml:space="preserve">respondent’s </w:t>
      </w:r>
      <w:r>
        <w:rPr>
          <w:color w:val="231F20"/>
          <w:sz w:val="20"/>
        </w:rPr>
        <w:t>housing, and</w:t>
      </w:r>
      <w:r>
        <w:rPr>
          <w:color w:val="231F20"/>
          <w:spacing w:val="-10"/>
          <w:sz w:val="20"/>
        </w:rPr>
        <w:t xml:space="preserve"> </w:t>
      </w:r>
      <w:r>
        <w:rPr>
          <w:color w:val="231F20"/>
          <w:sz w:val="20"/>
        </w:rPr>
        <w:t>outlines</w:t>
      </w:r>
      <w:r>
        <w:rPr>
          <w:color w:val="231F20"/>
          <w:spacing w:val="-9"/>
          <w:sz w:val="20"/>
        </w:rPr>
        <w:t xml:space="preserve"> </w:t>
      </w:r>
      <w:r>
        <w:rPr>
          <w:color w:val="231F20"/>
          <w:sz w:val="20"/>
        </w:rPr>
        <w:t>factors</w:t>
      </w:r>
      <w:r>
        <w:rPr>
          <w:color w:val="231F20"/>
          <w:spacing w:val="-9"/>
          <w:sz w:val="20"/>
        </w:rPr>
        <w:t xml:space="preserve"> </w:t>
      </w:r>
      <w:r>
        <w:rPr>
          <w:color w:val="231F20"/>
          <w:sz w:val="20"/>
        </w:rPr>
        <w:t>that</w:t>
      </w:r>
      <w:r>
        <w:rPr>
          <w:color w:val="231F20"/>
          <w:spacing w:val="-10"/>
          <w:sz w:val="20"/>
        </w:rPr>
        <w:t xml:space="preserve"> </w:t>
      </w:r>
      <w:r>
        <w:rPr>
          <w:color w:val="231F20"/>
          <w:sz w:val="20"/>
        </w:rPr>
        <w:t>a</w:t>
      </w:r>
      <w:r>
        <w:rPr>
          <w:color w:val="231F20"/>
          <w:spacing w:val="-9"/>
          <w:sz w:val="20"/>
        </w:rPr>
        <w:t xml:space="preserve"> </w:t>
      </w:r>
      <w:r>
        <w:rPr>
          <w:color w:val="231F20"/>
          <w:sz w:val="20"/>
        </w:rPr>
        <w:t>court</w:t>
      </w:r>
      <w:r>
        <w:rPr>
          <w:color w:val="231F20"/>
          <w:spacing w:val="-9"/>
          <w:sz w:val="20"/>
        </w:rPr>
        <w:t xml:space="preserve"> </w:t>
      </w:r>
      <w:r>
        <w:rPr>
          <w:color w:val="231F20"/>
          <w:sz w:val="20"/>
        </w:rPr>
        <w:t>must</w:t>
      </w:r>
      <w:r>
        <w:rPr>
          <w:color w:val="231F20"/>
          <w:spacing w:val="-10"/>
          <w:sz w:val="20"/>
        </w:rPr>
        <w:t xml:space="preserve"> </w:t>
      </w:r>
      <w:r>
        <w:rPr>
          <w:color w:val="231F20"/>
          <w:sz w:val="20"/>
        </w:rPr>
        <w:t>consider</w:t>
      </w:r>
      <w:r>
        <w:rPr>
          <w:color w:val="231F20"/>
          <w:spacing w:val="-9"/>
          <w:sz w:val="20"/>
        </w:rPr>
        <w:t xml:space="preserve"> </w:t>
      </w:r>
      <w:r>
        <w:rPr>
          <w:color w:val="231F20"/>
          <w:spacing w:val="-3"/>
          <w:sz w:val="20"/>
        </w:rPr>
        <w:t>before</w:t>
      </w:r>
      <w:r>
        <w:rPr>
          <w:color w:val="231F20"/>
          <w:spacing w:val="-9"/>
          <w:sz w:val="20"/>
        </w:rPr>
        <w:t xml:space="preserve"> </w:t>
      </w:r>
      <w:r>
        <w:rPr>
          <w:color w:val="231F20"/>
          <w:sz w:val="20"/>
        </w:rPr>
        <w:t>granting</w:t>
      </w:r>
      <w:r>
        <w:rPr>
          <w:color w:val="231F20"/>
          <w:spacing w:val="-9"/>
          <w:sz w:val="20"/>
        </w:rPr>
        <w:t xml:space="preserve"> </w:t>
      </w:r>
      <w:r>
        <w:rPr>
          <w:color w:val="231F20"/>
          <w:sz w:val="20"/>
        </w:rPr>
        <w:t>an</w:t>
      </w:r>
      <w:r>
        <w:rPr>
          <w:color w:val="231F20"/>
          <w:spacing w:val="-9"/>
          <w:sz w:val="20"/>
        </w:rPr>
        <w:t xml:space="preserve"> </w:t>
      </w:r>
      <w:r>
        <w:rPr>
          <w:color w:val="231F20"/>
          <w:spacing w:val="-3"/>
          <w:sz w:val="20"/>
        </w:rPr>
        <w:t>interim</w:t>
      </w:r>
      <w:r>
        <w:rPr>
          <w:color w:val="231F20"/>
          <w:spacing w:val="-9"/>
          <w:sz w:val="20"/>
        </w:rPr>
        <w:t xml:space="preserve"> </w:t>
      </w:r>
      <w:r>
        <w:rPr>
          <w:color w:val="231F20"/>
          <w:sz w:val="20"/>
        </w:rPr>
        <w:t>order</w:t>
      </w:r>
      <w:r>
        <w:rPr>
          <w:color w:val="231F20"/>
          <w:spacing w:val="-10"/>
          <w:sz w:val="20"/>
        </w:rPr>
        <w:t xml:space="preserve"> </w:t>
      </w:r>
      <w:r>
        <w:rPr>
          <w:color w:val="231F20"/>
          <w:sz w:val="20"/>
        </w:rPr>
        <w:t>against a child respondent.</w:t>
      </w:r>
      <w:r>
        <w:rPr>
          <w:color w:val="231F20"/>
          <w:position w:val="7"/>
          <w:sz w:val="11"/>
        </w:rPr>
        <w:t xml:space="preserve">264 </w:t>
      </w:r>
      <w:r>
        <w:rPr>
          <w:color w:val="231F20"/>
          <w:spacing w:val="-3"/>
          <w:sz w:val="20"/>
        </w:rPr>
        <w:t xml:space="preserve">Before </w:t>
      </w:r>
      <w:r>
        <w:rPr>
          <w:color w:val="231F20"/>
          <w:sz w:val="20"/>
        </w:rPr>
        <w:t xml:space="preserve">including a condition that </w:t>
      </w:r>
      <w:r>
        <w:rPr>
          <w:color w:val="231F20"/>
          <w:spacing w:val="-3"/>
          <w:sz w:val="20"/>
        </w:rPr>
        <w:t xml:space="preserve">excludes </w:t>
      </w:r>
      <w:r>
        <w:rPr>
          <w:color w:val="231F20"/>
          <w:sz w:val="20"/>
        </w:rPr>
        <w:t xml:space="preserve">the child </w:t>
      </w:r>
      <w:r>
        <w:rPr>
          <w:color w:val="231F20"/>
          <w:spacing w:val="-2"/>
          <w:sz w:val="20"/>
        </w:rPr>
        <w:t xml:space="preserve">respondent </w:t>
      </w:r>
      <w:r>
        <w:rPr>
          <w:color w:val="231F20"/>
          <w:spacing w:val="-3"/>
          <w:sz w:val="20"/>
        </w:rPr>
        <w:t>from</w:t>
      </w:r>
      <w:r>
        <w:rPr>
          <w:color w:val="231F20"/>
          <w:spacing w:val="-8"/>
          <w:sz w:val="20"/>
        </w:rPr>
        <w:t xml:space="preserve"> </w:t>
      </w:r>
      <w:r>
        <w:rPr>
          <w:color w:val="231F20"/>
          <w:sz w:val="20"/>
        </w:rPr>
        <w:t>a</w:t>
      </w:r>
      <w:r>
        <w:rPr>
          <w:color w:val="231F20"/>
          <w:spacing w:val="-7"/>
          <w:sz w:val="20"/>
        </w:rPr>
        <w:t xml:space="preserve"> </w:t>
      </w:r>
      <w:r>
        <w:rPr>
          <w:color w:val="231F20"/>
          <w:spacing w:val="-3"/>
          <w:sz w:val="20"/>
        </w:rPr>
        <w:t>residence,</w:t>
      </w:r>
      <w:r>
        <w:rPr>
          <w:color w:val="231F20"/>
          <w:spacing w:val="-8"/>
          <w:sz w:val="20"/>
        </w:rPr>
        <w:t xml:space="preserve"> </w:t>
      </w:r>
      <w:r>
        <w:rPr>
          <w:color w:val="231F20"/>
          <w:sz w:val="20"/>
        </w:rPr>
        <w:t>the</w:t>
      </w:r>
      <w:r>
        <w:rPr>
          <w:color w:val="231F20"/>
          <w:spacing w:val="-7"/>
          <w:sz w:val="20"/>
        </w:rPr>
        <w:t xml:space="preserve"> </w:t>
      </w:r>
      <w:r>
        <w:rPr>
          <w:color w:val="231F20"/>
          <w:sz w:val="20"/>
        </w:rPr>
        <w:t>court</w:t>
      </w:r>
      <w:r>
        <w:rPr>
          <w:color w:val="231F20"/>
          <w:spacing w:val="-7"/>
          <w:sz w:val="20"/>
        </w:rPr>
        <w:t xml:space="preserve"> </w:t>
      </w:r>
      <w:r>
        <w:rPr>
          <w:color w:val="231F20"/>
          <w:sz w:val="20"/>
        </w:rPr>
        <w:t>must</w:t>
      </w:r>
      <w:r>
        <w:rPr>
          <w:color w:val="231F20"/>
          <w:spacing w:val="-8"/>
          <w:sz w:val="20"/>
        </w:rPr>
        <w:t xml:space="preserve"> </w:t>
      </w:r>
      <w:r>
        <w:rPr>
          <w:color w:val="231F20"/>
          <w:sz w:val="20"/>
        </w:rPr>
        <w:t>consider</w:t>
      </w:r>
      <w:r>
        <w:rPr>
          <w:color w:val="231F20"/>
          <w:spacing w:val="-7"/>
          <w:sz w:val="20"/>
        </w:rPr>
        <w:t xml:space="preserve"> </w:t>
      </w:r>
      <w:r>
        <w:rPr>
          <w:color w:val="231F20"/>
          <w:sz w:val="20"/>
        </w:rPr>
        <w:t>all</w:t>
      </w:r>
      <w:r>
        <w:rPr>
          <w:color w:val="231F20"/>
          <w:spacing w:val="-7"/>
          <w:sz w:val="20"/>
        </w:rPr>
        <w:t xml:space="preserve"> </w:t>
      </w:r>
      <w:r>
        <w:rPr>
          <w:color w:val="231F20"/>
          <w:sz w:val="20"/>
        </w:rPr>
        <w:t>the</w:t>
      </w:r>
      <w:r>
        <w:rPr>
          <w:color w:val="231F20"/>
          <w:spacing w:val="-8"/>
          <w:sz w:val="20"/>
        </w:rPr>
        <w:t xml:space="preserve"> </w:t>
      </w:r>
      <w:r>
        <w:rPr>
          <w:color w:val="231F20"/>
          <w:sz w:val="20"/>
        </w:rPr>
        <w:t>circumstances</w:t>
      </w:r>
      <w:r>
        <w:rPr>
          <w:color w:val="231F20"/>
          <w:spacing w:val="-7"/>
          <w:sz w:val="20"/>
        </w:rPr>
        <w:t xml:space="preserve"> </w:t>
      </w:r>
      <w:r>
        <w:rPr>
          <w:color w:val="231F20"/>
          <w:sz w:val="20"/>
        </w:rPr>
        <w:t>of</w:t>
      </w:r>
      <w:r>
        <w:rPr>
          <w:color w:val="231F20"/>
          <w:spacing w:val="-8"/>
          <w:sz w:val="20"/>
        </w:rPr>
        <w:t xml:space="preserve"> </w:t>
      </w:r>
      <w:r>
        <w:rPr>
          <w:color w:val="231F20"/>
          <w:sz w:val="20"/>
        </w:rPr>
        <w:t>the</w:t>
      </w:r>
      <w:r>
        <w:rPr>
          <w:color w:val="231F20"/>
          <w:spacing w:val="-7"/>
          <w:sz w:val="20"/>
        </w:rPr>
        <w:t xml:space="preserve"> </w:t>
      </w:r>
      <w:r>
        <w:rPr>
          <w:color w:val="231F20"/>
          <w:sz w:val="20"/>
        </w:rPr>
        <w:t>case</w:t>
      </w:r>
      <w:r>
        <w:rPr>
          <w:color w:val="231F20"/>
          <w:spacing w:val="-7"/>
          <w:sz w:val="20"/>
        </w:rPr>
        <w:t xml:space="preserve"> </w:t>
      </w:r>
      <w:r>
        <w:rPr>
          <w:color w:val="231F20"/>
          <w:sz w:val="20"/>
        </w:rPr>
        <w:t>and</w:t>
      </w:r>
      <w:r>
        <w:rPr>
          <w:color w:val="231F20"/>
          <w:spacing w:val="-8"/>
          <w:sz w:val="20"/>
        </w:rPr>
        <w:t xml:space="preserve"> </w:t>
      </w:r>
      <w:r>
        <w:rPr>
          <w:color w:val="231F20"/>
          <w:sz w:val="20"/>
        </w:rPr>
        <w:t>issues such</w:t>
      </w:r>
      <w:r>
        <w:rPr>
          <w:color w:val="231F20"/>
          <w:spacing w:val="-5"/>
          <w:sz w:val="20"/>
        </w:rPr>
        <w:t xml:space="preserve"> </w:t>
      </w:r>
      <w:r>
        <w:rPr>
          <w:color w:val="231F20"/>
          <w:sz w:val="20"/>
        </w:rPr>
        <w:t>as:</w:t>
      </w:r>
    </w:p>
    <w:p w14:paraId="4902A998" w14:textId="77777777" w:rsidR="00894070" w:rsidRDefault="009B7AFD">
      <w:pPr>
        <w:pStyle w:val="ListParagraph"/>
        <w:numPr>
          <w:ilvl w:val="2"/>
          <w:numId w:val="102"/>
        </w:numPr>
        <w:tabs>
          <w:tab w:val="left" w:pos="2141"/>
          <w:tab w:val="left" w:pos="2142"/>
        </w:tabs>
        <w:spacing w:before="94" w:line="259" w:lineRule="exact"/>
        <w:ind w:hanging="340"/>
        <w:rPr>
          <w:sz w:val="20"/>
        </w:rPr>
      </w:pPr>
      <w:r>
        <w:rPr>
          <w:color w:val="231F20"/>
          <w:sz w:val="20"/>
        </w:rPr>
        <w:t>the</w:t>
      </w:r>
      <w:r>
        <w:rPr>
          <w:color w:val="231F20"/>
          <w:spacing w:val="-5"/>
          <w:sz w:val="20"/>
        </w:rPr>
        <w:t xml:space="preserve"> </w:t>
      </w:r>
      <w:r>
        <w:rPr>
          <w:color w:val="231F20"/>
          <w:spacing w:val="-2"/>
          <w:sz w:val="20"/>
        </w:rPr>
        <w:t>respondent</w:t>
      </w:r>
      <w:r>
        <w:rPr>
          <w:color w:val="231F20"/>
          <w:spacing w:val="-6"/>
          <w:sz w:val="20"/>
        </w:rPr>
        <w:t xml:space="preserve"> </w:t>
      </w:r>
      <w:r>
        <w:rPr>
          <w:color w:val="231F20"/>
          <w:sz w:val="20"/>
        </w:rPr>
        <w:t>being</w:t>
      </w:r>
      <w:r>
        <w:rPr>
          <w:color w:val="231F20"/>
          <w:spacing w:val="-5"/>
          <w:sz w:val="20"/>
        </w:rPr>
        <w:t xml:space="preserve"> </w:t>
      </w:r>
      <w:r>
        <w:rPr>
          <w:color w:val="231F20"/>
          <w:sz w:val="20"/>
        </w:rPr>
        <w:t>supported</w:t>
      </w:r>
      <w:r>
        <w:rPr>
          <w:color w:val="231F20"/>
          <w:spacing w:val="-5"/>
          <w:sz w:val="20"/>
        </w:rPr>
        <w:t xml:space="preserve"> </w:t>
      </w:r>
      <w:r>
        <w:rPr>
          <w:color w:val="231F20"/>
          <w:sz w:val="20"/>
        </w:rPr>
        <w:t>to</w:t>
      </w:r>
      <w:r>
        <w:rPr>
          <w:color w:val="231F20"/>
          <w:spacing w:val="-5"/>
          <w:sz w:val="20"/>
        </w:rPr>
        <w:t xml:space="preserve"> </w:t>
      </w:r>
      <w:r>
        <w:rPr>
          <w:color w:val="231F20"/>
          <w:sz w:val="20"/>
        </w:rPr>
        <w:t>gain</w:t>
      </w:r>
      <w:r>
        <w:rPr>
          <w:color w:val="231F20"/>
          <w:spacing w:val="-5"/>
          <w:sz w:val="20"/>
        </w:rPr>
        <w:t xml:space="preserve"> </w:t>
      </w:r>
      <w:r>
        <w:rPr>
          <w:color w:val="231F20"/>
          <w:sz w:val="20"/>
        </w:rPr>
        <w:t>access</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appropriate</w:t>
      </w:r>
      <w:r>
        <w:rPr>
          <w:color w:val="231F20"/>
          <w:spacing w:val="-5"/>
          <w:sz w:val="20"/>
        </w:rPr>
        <w:t xml:space="preserve"> </w:t>
      </w:r>
      <w:r>
        <w:rPr>
          <w:color w:val="231F20"/>
          <w:sz w:val="20"/>
        </w:rPr>
        <w:t>educational</w:t>
      </w:r>
      <w:r>
        <w:rPr>
          <w:color w:val="231F20"/>
          <w:spacing w:val="-5"/>
          <w:sz w:val="20"/>
        </w:rPr>
        <w:t xml:space="preserve"> </w:t>
      </w:r>
      <w:r>
        <w:rPr>
          <w:color w:val="231F20"/>
          <w:sz w:val="20"/>
        </w:rPr>
        <w:t>and</w:t>
      </w:r>
    </w:p>
    <w:p w14:paraId="063101CB" w14:textId="77777777" w:rsidR="00894070" w:rsidRDefault="009B7AFD">
      <w:pPr>
        <w:pStyle w:val="BodyText"/>
        <w:spacing w:line="259" w:lineRule="exact"/>
        <w:ind w:left="2141"/>
      </w:pPr>
      <w:r>
        <w:rPr>
          <w:color w:val="231F20"/>
        </w:rPr>
        <w:t>health services</w:t>
      </w:r>
    </w:p>
    <w:p w14:paraId="211E71F5" w14:textId="77777777" w:rsidR="00894070" w:rsidRDefault="009B7AFD">
      <w:pPr>
        <w:pStyle w:val="ListParagraph"/>
        <w:numPr>
          <w:ilvl w:val="2"/>
          <w:numId w:val="102"/>
        </w:numPr>
        <w:tabs>
          <w:tab w:val="left" w:pos="2141"/>
          <w:tab w:val="left" w:pos="2142"/>
        </w:tabs>
        <w:spacing w:before="80" w:line="206" w:lineRule="auto"/>
        <w:ind w:right="1702" w:hanging="340"/>
        <w:rPr>
          <w:sz w:val="20"/>
        </w:rPr>
      </w:pPr>
      <w:r>
        <w:rPr>
          <w:color w:val="231F20"/>
          <w:spacing w:val="-3"/>
          <w:sz w:val="20"/>
        </w:rPr>
        <w:t>allowing</w:t>
      </w:r>
      <w:r>
        <w:rPr>
          <w:color w:val="231F20"/>
          <w:spacing w:val="-10"/>
          <w:sz w:val="20"/>
        </w:rPr>
        <w:t xml:space="preserve"> </w:t>
      </w:r>
      <w:r>
        <w:rPr>
          <w:color w:val="231F20"/>
          <w:sz w:val="20"/>
        </w:rPr>
        <w:t>the</w:t>
      </w:r>
      <w:r>
        <w:rPr>
          <w:color w:val="231F20"/>
          <w:spacing w:val="-9"/>
          <w:sz w:val="20"/>
        </w:rPr>
        <w:t xml:space="preserve"> </w:t>
      </w:r>
      <w:r>
        <w:rPr>
          <w:color w:val="231F20"/>
          <w:sz w:val="20"/>
        </w:rPr>
        <w:t>education,</w:t>
      </w:r>
      <w:r>
        <w:rPr>
          <w:color w:val="231F20"/>
          <w:spacing w:val="-9"/>
          <w:sz w:val="20"/>
        </w:rPr>
        <w:t xml:space="preserve"> </w:t>
      </w:r>
      <w:proofErr w:type="gramStart"/>
      <w:r>
        <w:rPr>
          <w:color w:val="231F20"/>
          <w:sz w:val="20"/>
        </w:rPr>
        <w:t>training</w:t>
      </w:r>
      <w:proofErr w:type="gramEnd"/>
      <w:r>
        <w:rPr>
          <w:color w:val="231F20"/>
          <w:spacing w:val="-9"/>
          <w:sz w:val="20"/>
        </w:rPr>
        <w:t xml:space="preserve"> </w:t>
      </w:r>
      <w:r>
        <w:rPr>
          <w:color w:val="231F20"/>
          <w:sz w:val="20"/>
        </w:rPr>
        <w:t>or</w:t>
      </w:r>
      <w:r>
        <w:rPr>
          <w:color w:val="231F20"/>
          <w:spacing w:val="-9"/>
          <w:sz w:val="20"/>
        </w:rPr>
        <w:t xml:space="preserve"> </w:t>
      </w:r>
      <w:r>
        <w:rPr>
          <w:color w:val="231F20"/>
          <w:spacing w:val="-3"/>
          <w:sz w:val="20"/>
        </w:rPr>
        <w:t>employment</w:t>
      </w:r>
      <w:r>
        <w:rPr>
          <w:color w:val="231F20"/>
          <w:spacing w:val="-10"/>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respondent</w:t>
      </w:r>
      <w:r>
        <w:rPr>
          <w:color w:val="231F20"/>
          <w:spacing w:val="-9"/>
          <w:sz w:val="20"/>
        </w:rPr>
        <w:t xml:space="preserve"> </w:t>
      </w:r>
      <w:r>
        <w:rPr>
          <w:color w:val="231F20"/>
          <w:sz w:val="20"/>
        </w:rPr>
        <w:t>to</w:t>
      </w:r>
      <w:r>
        <w:rPr>
          <w:color w:val="231F20"/>
          <w:spacing w:val="-9"/>
          <w:sz w:val="20"/>
        </w:rPr>
        <w:t xml:space="preserve"> </w:t>
      </w:r>
      <w:r>
        <w:rPr>
          <w:color w:val="231F20"/>
          <w:sz w:val="20"/>
        </w:rPr>
        <w:t>continue without</w:t>
      </w:r>
      <w:r>
        <w:rPr>
          <w:color w:val="231F20"/>
          <w:spacing w:val="-5"/>
          <w:sz w:val="20"/>
        </w:rPr>
        <w:t xml:space="preserve"> </w:t>
      </w:r>
      <w:r>
        <w:rPr>
          <w:color w:val="231F20"/>
          <w:sz w:val="20"/>
        </w:rPr>
        <w:t>interruption.</w:t>
      </w:r>
    </w:p>
    <w:p w14:paraId="28069A19" w14:textId="77777777" w:rsidR="00894070" w:rsidRDefault="009B7AFD">
      <w:pPr>
        <w:pStyle w:val="ListParagraph"/>
        <w:numPr>
          <w:ilvl w:val="1"/>
          <w:numId w:val="102"/>
        </w:numPr>
        <w:tabs>
          <w:tab w:val="left" w:pos="1801"/>
          <w:tab w:val="left" w:pos="1802"/>
        </w:tabs>
        <w:spacing w:before="87" w:line="206" w:lineRule="auto"/>
        <w:ind w:right="1460"/>
        <w:rPr>
          <w:sz w:val="20"/>
        </w:rPr>
      </w:pPr>
      <w:r>
        <w:rPr>
          <w:color w:val="231F20"/>
          <w:sz w:val="20"/>
        </w:rPr>
        <w:t>The</w:t>
      </w:r>
      <w:r>
        <w:rPr>
          <w:color w:val="231F20"/>
          <w:spacing w:val="-10"/>
          <w:sz w:val="20"/>
        </w:rPr>
        <w:t xml:space="preserve"> </w:t>
      </w:r>
      <w:r>
        <w:rPr>
          <w:color w:val="231F20"/>
          <w:sz w:val="20"/>
        </w:rPr>
        <w:t>PSIO</w:t>
      </w:r>
      <w:r>
        <w:rPr>
          <w:color w:val="231F20"/>
          <w:spacing w:val="-9"/>
          <w:sz w:val="20"/>
        </w:rPr>
        <w:t xml:space="preserve"> </w:t>
      </w:r>
      <w:r>
        <w:rPr>
          <w:color w:val="231F20"/>
          <w:spacing w:val="-2"/>
          <w:sz w:val="20"/>
        </w:rPr>
        <w:t>Act</w:t>
      </w:r>
      <w:r>
        <w:rPr>
          <w:color w:val="231F20"/>
          <w:spacing w:val="-10"/>
          <w:sz w:val="20"/>
        </w:rPr>
        <w:t xml:space="preserve"> </w:t>
      </w:r>
      <w:r>
        <w:rPr>
          <w:color w:val="231F20"/>
          <w:sz w:val="20"/>
        </w:rPr>
        <w:t>limits</w:t>
      </w:r>
      <w:r>
        <w:rPr>
          <w:color w:val="231F20"/>
          <w:spacing w:val="-9"/>
          <w:sz w:val="20"/>
        </w:rPr>
        <w:t xml:space="preserve"> </w:t>
      </w:r>
      <w:r>
        <w:rPr>
          <w:color w:val="231F20"/>
          <w:sz w:val="20"/>
        </w:rPr>
        <w:t>conditions</w:t>
      </w:r>
      <w:r>
        <w:rPr>
          <w:color w:val="231F20"/>
          <w:spacing w:val="-9"/>
          <w:sz w:val="20"/>
        </w:rPr>
        <w:t xml:space="preserve"> </w:t>
      </w:r>
      <w:r>
        <w:rPr>
          <w:color w:val="231F20"/>
          <w:sz w:val="20"/>
        </w:rPr>
        <w:t>that</w:t>
      </w:r>
      <w:r>
        <w:rPr>
          <w:color w:val="231F20"/>
          <w:spacing w:val="-10"/>
          <w:sz w:val="20"/>
        </w:rPr>
        <w:t xml:space="preserve"> </w:t>
      </w:r>
      <w:r>
        <w:rPr>
          <w:color w:val="231F20"/>
          <w:spacing w:val="-3"/>
          <w:sz w:val="20"/>
        </w:rPr>
        <w:t>would</w:t>
      </w:r>
      <w:r>
        <w:rPr>
          <w:color w:val="231F20"/>
          <w:spacing w:val="-9"/>
          <w:sz w:val="20"/>
        </w:rPr>
        <w:t xml:space="preserve"> </w:t>
      </w:r>
      <w:r>
        <w:rPr>
          <w:color w:val="231F20"/>
          <w:sz w:val="20"/>
        </w:rPr>
        <w:t>affect</w:t>
      </w:r>
      <w:r>
        <w:rPr>
          <w:color w:val="231F20"/>
          <w:spacing w:val="-9"/>
          <w:sz w:val="20"/>
        </w:rPr>
        <w:t xml:space="preserve"> </w:t>
      </w:r>
      <w:r>
        <w:rPr>
          <w:color w:val="231F20"/>
          <w:sz w:val="20"/>
        </w:rPr>
        <w:t>a</w:t>
      </w:r>
      <w:r>
        <w:rPr>
          <w:color w:val="231F20"/>
          <w:spacing w:val="-10"/>
          <w:sz w:val="20"/>
        </w:rPr>
        <w:t xml:space="preserve"> </w:t>
      </w:r>
      <w:r>
        <w:rPr>
          <w:color w:val="231F20"/>
          <w:spacing w:val="-3"/>
          <w:sz w:val="20"/>
        </w:rPr>
        <w:t>child’s</w:t>
      </w:r>
      <w:r>
        <w:rPr>
          <w:color w:val="231F20"/>
          <w:spacing w:val="-9"/>
          <w:sz w:val="20"/>
        </w:rPr>
        <w:t xml:space="preserve"> </w:t>
      </w:r>
      <w:r>
        <w:rPr>
          <w:color w:val="231F20"/>
          <w:sz w:val="20"/>
        </w:rPr>
        <w:t>access</w:t>
      </w:r>
      <w:r>
        <w:rPr>
          <w:color w:val="231F20"/>
          <w:spacing w:val="-9"/>
          <w:sz w:val="20"/>
        </w:rPr>
        <w:t xml:space="preserve"> </w:t>
      </w:r>
      <w:r>
        <w:rPr>
          <w:color w:val="231F20"/>
          <w:sz w:val="20"/>
        </w:rPr>
        <w:t>to</w:t>
      </w:r>
      <w:r>
        <w:rPr>
          <w:color w:val="231F20"/>
          <w:spacing w:val="-10"/>
          <w:sz w:val="20"/>
        </w:rPr>
        <w:t xml:space="preserve"> </w:t>
      </w:r>
      <w:r>
        <w:rPr>
          <w:color w:val="231F20"/>
          <w:sz w:val="20"/>
        </w:rPr>
        <w:t>education.</w:t>
      </w:r>
      <w:r>
        <w:rPr>
          <w:color w:val="231F20"/>
          <w:spacing w:val="-9"/>
          <w:sz w:val="20"/>
        </w:rPr>
        <w:t xml:space="preserve"> </w:t>
      </w:r>
      <w:r>
        <w:rPr>
          <w:color w:val="231F20"/>
          <w:spacing w:val="-3"/>
          <w:sz w:val="20"/>
        </w:rPr>
        <w:t xml:space="preserve">Before </w:t>
      </w:r>
      <w:r>
        <w:rPr>
          <w:color w:val="231F20"/>
          <w:sz w:val="20"/>
        </w:rPr>
        <w:t>including</w:t>
      </w:r>
      <w:r>
        <w:rPr>
          <w:color w:val="231F20"/>
          <w:spacing w:val="-7"/>
          <w:sz w:val="20"/>
        </w:rPr>
        <w:t xml:space="preserve"> </w:t>
      </w:r>
      <w:r>
        <w:rPr>
          <w:color w:val="231F20"/>
          <w:spacing w:val="-3"/>
          <w:sz w:val="20"/>
        </w:rPr>
        <w:t>any</w:t>
      </w:r>
      <w:r>
        <w:rPr>
          <w:color w:val="231F20"/>
          <w:spacing w:val="-7"/>
          <w:sz w:val="20"/>
        </w:rPr>
        <w:t xml:space="preserve"> </w:t>
      </w:r>
      <w:r>
        <w:rPr>
          <w:color w:val="231F20"/>
          <w:sz w:val="20"/>
        </w:rPr>
        <w:t>condition</w:t>
      </w:r>
      <w:r>
        <w:rPr>
          <w:color w:val="231F20"/>
          <w:spacing w:val="-7"/>
          <w:sz w:val="20"/>
        </w:rPr>
        <w:t xml:space="preserve"> </w:t>
      </w:r>
      <w:r>
        <w:rPr>
          <w:color w:val="231F20"/>
          <w:sz w:val="20"/>
        </w:rPr>
        <w:t>that</w:t>
      </w:r>
      <w:r>
        <w:rPr>
          <w:color w:val="231F20"/>
          <w:spacing w:val="-7"/>
          <w:sz w:val="20"/>
        </w:rPr>
        <w:t xml:space="preserve"> </w:t>
      </w:r>
      <w:r>
        <w:rPr>
          <w:color w:val="231F20"/>
          <w:spacing w:val="-3"/>
          <w:sz w:val="20"/>
        </w:rPr>
        <w:t>would</w:t>
      </w:r>
      <w:r>
        <w:rPr>
          <w:color w:val="231F20"/>
          <w:spacing w:val="-6"/>
          <w:sz w:val="20"/>
        </w:rPr>
        <w:t xml:space="preserve"> </w:t>
      </w:r>
      <w:r>
        <w:rPr>
          <w:color w:val="231F20"/>
          <w:spacing w:val="-4"/>
          <w:sz w:val="20"/>
        </w:rPr>
        <w:t>prevent</w:t>
      </w:r>
      <w:r>
        <w:rPr>
          <w:color w:val="231F20"/>
          <w:spacing w:val="-7"/>
          <w:sz w:val="20"/>
        </w:rPr>
        <w:t xml:space="preserve"> </w:t>
      </w:r>
      <w:r>
        <w:rPr>
          <w:color w:val="231F20"/>
          <w:sz w:val="20"/>
        </w:rPr>
        <w:t>a</w:t>
      </w:r>
      <w:r>
        <w:rPr>
          <w:color w:val="231F20"/>
          <w:spacing w:val="-7"/>
          <w:sz w:val="20"/>
        </w:rPr>
        <w:t xml:space="preserve"> </w:t>
      </w:r>
      <w:r>
        <w:rPr>
          <w:color w:val="231F20"/>
          <w:sz w:val="20"/>
        </w:rPr>
        <w:t>child</w:t>
      </w:r>
      <w:r>
        <w:rPr>
          <w:color w:val="231F20"/>
          <w:spacing w:val="-7"/>
          <w:sz w:val="20"/>
        </w:rPr>
        <w:t xml:space="preserve"> </w:t>
      </w:r>
      <w:r>
        <w:rPr>
          <w:color w:val="231F20"/>
          <w:spacing w:val="-2"/>
          <w:sz w:val="20"/>
        </w:rPr>
        <w:t>respondent</w:t>
      </w:r>
      <w:r>
        <w:rPr>
          <w:color w:val="231F20"/>
          <w:spacing w:val="-6"/>
          <w:sz w:val="20"/>
        </w:rPr>
        <w:t xml:space="preserve"> </w:t>
      </w:r>
      <w:r>
        <w:rPr>
          <w:color w:val="231F20"/>
          <w:spacing w:val="-3"/>
          <w:sz w:val="20"/>
        </w:rPr>
        <w:t>from</w:t>
      </w:r>
      <w:r>
        <w:rPr>
          <w:color w:val="231F20"/>
          <w:spacing w:val="-7"/>
          <w:sz w:val="20"/>
        </w:rPr>
        <w:t xml:space="preserve"> </w:t>
      </w:r>
      <w:r>
        <w:rPr>
          <w:color w:val="231F20"/>
          <w:sz w:val="20"/>
        </w:rPr>
        <w:t>approaching</w:t>
      </w:r>
    </w:p>
    <w:p w14:paraId="20527F9C" w14:textId="77777777" w:rsidR="00894070" w:rsidRDefault="009B7AFD">
      <w:pPr>
        <w:pStyle w:val="BodyText"/>
        <w:spacing w:before="3" w:line="206" w:lineRule="auto"/>
        <w:ind w:left="1801" w:right="1194"/>
        <w:rPr>
          <w:sz w:val="11"/>
        </w:rPr>
      </w:pPr>
      <w:r>
        <w:rPr>
          <w:color w:val="231F20"/>
        </w:rPr>
        <w:t xml:space="preserve">an affected person or attending a school premises, the court must consider if that condition </w:t>
      </w:r>
      <w:r>
        <w:rPr>
          <w:color w:val="231F20"/>
          <w:spacing w:val="-3"/>
        </w:rPr>
        <w:t xml:space="preserve">may </w:t>
      </w:r>
      <w:r>
        <w:rPr>
          <w:color w:val="231F20"/>
          <w:spacing w:val="-4"/>
        </w:rPr>
        <w:t xml:space="preserve">prevent </w:t>
      </w:r>
      <w:r>
        <w:rPr>
          <w:color w:val="231F20"/>
        </w:rPr>
        <w:t xml:space="preserve">the respondent attending their </w:t>
      </w:r>
      <w:r>
        <w:rPr>
          <w:color w:val="231F20"/>
          <w:spacing w:val="-3"/>
        </w:rPr>
        <w:t xml:space="preserve">current </w:t>
      </w:r>
      <w:r>
        <w:rPr>
          <w:color w:val="231F20"/>
        </w:rPr>
        <w:t>school, or one they wish to attend.</w:t>
      </w:r>
      <w:r>
        <w:rPr>
          <w:color w:val="231F20"/>
          <w:position w:val="7"/>
          <w:sz w:val="11"/>
        </w:rPr>
        <w:t>265</w:t>
      </w:r>
    </w:p>
    <w:p w14:paraId="17F644F0" w14:textId="77777777" w:rsidR="00894070" w:rsidRDefault="009B7AFD">
      <w:pPr>
        <w:pStyle w:val="ListParagraph"/>
        <w:numPr>
          <w:ilvl w:val="1"/>
          <w:numId w:val="102"/>
        </w:numPr>
        <w:tabs>
          <w:tab w:val="left" w:pos="1801"/>
          <w:tab w:val="left" w:pos="1802"/>
        </w:tabs>
        <w:spacing w:before="124" w:line="206" w:lineRule="auto"/>
        <w:ind w:right="1673"/>
        <w:rPr>
          <w:sz w:val="20"/>
        </w:rPr>
      </w:pPr>
      <w:r>
        <w:rPr>
          <w:color w:val="231F20"/>
          <w:sz w:val="20"/>
        </w:rPr>
        <w:t>Some</w:t>
      </w:r>
      <w:r>
        <w:rPr>
          <w:color w:val="231F20"/>
          <w:spacing w:val="-9"/>
          <w:sz w:val="20"/>
        </w:rPr>
        <w:t xml:space="preserve"> </w:t>
      </w:r>
      <w:r>
        <w:rPr>
          <w:color w:val="231F20"/>
          <w:sz w:val="20"/>
        </w:rPr>
        <w:t>stakeholders</w:t>
      </w:r>
      <w:r>
        <w:rPr>
          <w:color w:val="231F20"/>
          <w:spacing w:val="-9"/>
          <w:sz w:val="20"/>
        </w:rPr>
        <w:t xml:space="preserve"> </w:t>
      </w:r>
      <w:r>
        <w:rPr>
          <w:color w:val="231F20"/>
          <w:sz w:val="20"/>
        </w:rPr>
        <w:t>suggested</w:t>
      </w:r>
      <w:r>
        <w:rPr>
          <w:color w:val="231F20"/>
          <w:spacing w:val="-9"/>
          <w:sz w:val="20"/>
        </w:rPr>
        <w:t xml:space="preserve"> </w:t>
      </w:r>
      <w:r>
        <w:rPr>
          <w:color w:val="231F20"/>
          <w:sz w:val="20"/>
        </w:rPr>
        <w:t>that</w:t>
      </w:r>
      <w:r>
        <w:rPr>
          <w:color w:val="231F20"/>
          <w:spacing w:val="-9"/>
          <w:sz w:val="20"/>
        </w:rPr>
        <w:t xml:space="preserve"> </w:t>
      </w:r>
      <w:r>
        <w:rPr>
          <w:color w:val="231F20"/>
          <w:sz w:val="20"/>
        </w:rPr>
        <w:t>these</w:t>
      </w:r>
      <w:r>
        <w:rPr>
          <w:color w:val="231F20"/>
          <w:spacing w:val="-8"/>
          <w:sz w:val="20"/>
        </w:rPr>
        <w:t xml:space="preserve"> </w:t>
      </w:r>
      <w:r>
        <w:rPr>
          <w:color w:val="231F20"/>
          <w:spacing w:val="-3"/>
          <w:sz w:val="20"/>
        </w:rPr>
        <w:t>provisions</w:t>
      </w:r>
      <w:r>
        <w:rPr>
          <w:color w:val="231F20"/>
          <w:spacing w:val="-9"/>
          <w:sz w:val="20"/>
        </w:rPr>
        <w:t xml:space="preserve"> </w:t>
      </w:r>
      <w:r>
        <w:rPr>
          <w:color w:val="231F20"/>
          <w:sz w:val="20"/>
        </w:rPr>
        <w:t>could</w:t>
      </w:r>
      <w:r>
        <w:rPr>
          <w:color w:val="231F20"/>
          <w:spacing w:val="-9"/>
          <w:sz w:val="20"/>
        </w:rPr>
        <w:t xml:space="preserve"> </w:t>
      </w:r>
      <w:r>
        <w:rPr>
          <w:color w:val="231F20"/>
          <w:sz w:val="20"/>
        </w:rPr>
        <w:t>be</w:t>
      </w:r>
      <w:r>
        <w:rPr>
          <w:color w:val="231F20"/>
          <w:spacing w:val="-9"/>
          <w:sz w:val="20"/>
        </w:rPr>
        <w:t xml:space="preserve"> </w:t>
      </w:r>
      <w:r>
        <w:rPr>
          <w:color w:val="231F20"/>
          <w:sz w:val="20"/>
        </w:rPr>
        <w:t>taken</w:t>
      </w:r>
      <w:r>
        <w:rPr>
          <w:color w:val="231F20"/>
          <w:spacing w:val="-9"/>
          <w:sz w:val="20"/>
        </w:rPr>
        <w:t xml:space="preserve"> </w:t>
      </w:r>
      <w:r>
        <w:rPr>
          <w:color w:val="231F20"/>
          <w:sz w:val="20"/>
        </w:rPr>
        <w:t>a</w:t>
      </w:r>
      <w:r>
        <w:rPr>
          <w:color w:val="231F20"/>
          <w:spacing w:val="-8"/>
          <w:sz w:val="20"/>
        </w:rPr>
        <w:t xml:space="preserve"> </w:t>
      </w:r>
      <w:r>
        <w:rPr>
          <w:color w:val="231F20"/>
          <w:sz w:val="20"/>
        </w:rPr>
        <w:t>step</w:t>
      </w:r>
      <w:r>
        <w:rPr>
          <w:color w:val="231F20"/>
          <w:spacing w:val="-9"/>
          <w:sz w:val="20"/>
        </w:rPr>
        <w:t xml:space="preserve"> </w:t>
      </w:r>
      <w:r>
        <w:rPr>
          <w:color w:val="231F20"/>
          <w:spacing w:val="-3"/>
          <w:sz w:val="20"/>
        </w:rPr>
        <w:t xml:space="preserve">further. </w:t>
      </w:r>
      <w:r>
        <w:rPr>
          <w:color w:val="231F20"/>
          <w:sz w:val="20"/>
        </w:rPr>
        <w:t xml:space="preserve">Suggestions </w:t>
      </w:r>
      <w:r>
        <w:rPr>
          <w:color w:val="231F20"/>
          <w:spacing w:val="-3"/>
          <w:sz w:val="20"/>
        </w:rPr>
        <w:t xml:space="preserve">we </w:t>
      </w:r>
      <w:r>
        <w:rPr>
          <w:color w:val="231F20"/>
          <w:sz w:val="20"/>
        </w:rPr>
        <w:t>heard</w:t>
      </w:r>
      <w:r>
        <w:rPr>
          <w:color w:val="231F20"/>
          <w:spacing w:val="-11"/>
          <w:sz w:val="20"/>
        </w:rPr>
        <w:t xml:space="preserve"> </w:t>
      </w:r>
      <w:r>
        <w:rPr>
          <w:color w:val="231F20"/>
          <w:sz w:val="20"/>
        </w:rPr>
        <w:t>included:</w:t>
      </w:r>
    </w:p>
    <w:p w14:paraId="5DBF66AE" w14:textId="77777777" w:rsidR="00894070" w:rsidRDefault="009B7AFD">
      <w:pPr>
        <w:pStyle w:val="ListParagraph"/>
        <w:numPr>
          <w:ilvl w:val="2"/>
          <w:numId w:val="102"/>
        </w:numPr>
        <w:tabs>
          <w:tab w:val="left" w:pos="2141"/>
          <w:tab w:val="left" w:pos="2142"/>
        </w:tabs>
        <w:spacing w:before="90"/>
        <w:ind w:hanging="340"/>
        <w:rPr>
          <w:sz w:val="11"/>
        </w:rPr>
      </w:pPr>
      <w:r>
        <w:rPr>
          <w:color w:val="231F20"/>
          <w:sz w:val="20"/>
        </w:rPr>
        <w:t xml:space="preserve">a legislative presumption against </w:t>
      </w:r>
      <w:r>
        <w:rPr>
          <w:color w:val="231F20"/>
          <w:spacing w:val="-3"/>
          <w:sz w:val="20"/>
        </w:rPr>
        <w:t xml:space="preserve">interim </w:t>
      </w:r>
      <w:r>
        <w:rPr>
          <w:color w:val="231F20"/>
          <w:sz w:val="20"/>
        </w:rPr>
        <w:t xml:space="preserve">orders </w:t>
      </w:r>
      <w:r>
        <w:rPr>
          <w:color w:val="231F20"/>
          <w:spacing w:val="-3"/>
          <w:sz w:val="20"/>
        </w:rPr>
        <w:t>for</w:t>
      </w:r>
      <w:r>
        <w:rPr>
          <w:color w:val="231F20"/>
          <w:spacing w:val="-30"/>
          <w:sz w:val="20"/>
        </w:rPr>
        <w:t xml:space="preserve"> </w:t>
      </w:r>
      <w:r>
        <w:rPr>
          <w:color w:val="231F20"/>
          <w:sz w:val="20"/>
        </w:rPr>
        <w:t>children.</w:t>
      </w:r>
      <w:r>
        <w:rPr>
          <w:color w:val="231F20"/>
          <w:position w:val="7"/>
          <w:sz w:val="11"/>
        </w:rPr>
        <w:t>266</w:t>
      </w:r>
    </w:p>
    <w:p w14:paraId="12D30398" w14:textId="77777777" w:rsidR="00894070" w:rsidRDefault="009B7AFD">
      <w:pPr>
        <w:pStyle w:val="ListParagraph"/>
        <w:numPr>
          <w:ilvl w:val="2"/>
          <w:numId w:val="102"/>
        </w:numPr>
        <w:tabs>
          <w:tab w:val="left" w:pos="2141"/>
          <w:tab w:val="left" w:pos="2142"/>
        </w:tabs>
        <w:spacing w:before="47"/>
        <w:ind w:hanging="340"/>
        <w:rPr>
          <w:sz w:val="11"/>
        </w:rPr>
      </w:pPr>
      <w:r>
        <w:rPr>
          <w:color w:val="231F20"/>
          <w:sz w:val="20"/>
        </w:rPr>
        <w:t>a</w:t>
      </w:r>
      <w:r>
        <w:rPr>
          <w:color w:val="231F20"/>
          <w:spacing w:val="-5"/>
          <w:sz w:val="20"/>
        </w:rPr>
        <w:t xml:space="preserve"> </w:t>
      </w:r>
      <w:r>
        <w:rPr>
          <w:color w:val="231F20"/>
          <w:sz w:val="20"/>
        </w:rPr>
        <w:t>ban</w:t>
      </w:r>
      <w:r>
        <w:rPr>
          <w:color w:val="231F20"/>
          <w:spacing w:val="-4"/>
          <w:sz w:val="20"/>
        </w:rPr>
        <w:t xml:space="preserve"> </w:t>
      </w:r>
      <w:r>
        <w:rPr>
          <w:color w:val="231F20"/>
          <w:sz w:val="20"/>
        </w:rPr>
        <w:t>on</w:t>
      </w:r>
      <w:r>
        <w:rPr>
          <w:color w:val="231F20"/>
          <w:spacing w:val="-4"/>
          <w:sz w:val="20"/>
        </w:rPr>
        <w:t xml:space="preserve"> </w:t>
      </w:r>
      <w:r>
        <w:rPr>
          <w:color w:val="231F20"/>
          <w:spacing w:val="-3"/>
          <w:sz w:val="20"/>
        </w:rPr>
        <w:t>interim</w:t>
      </w:r>
      <w:r>
        <w:rPr>
          <w:color w:val="231F20"/>
          <w:spacing w:val="-5"/>
          <w:sz w:val="20"/>
        </w:rPr>
        <w:t xml:space="preserve"> </w:t>
      </w:r>
      <w:r>
        <w:rPr>
          <w:color w:val="231F20"/>
          <w:sz w:val="20"/>
        </w:rPr>
        <w:t>orders</w:t>
      </w:r>
      <w:r>
        <w:rPr>
          <w:color w:val="231F20"/>
          <w:spacing w:val="-4"/>
          <w:sz w:val="20"/>
        </w:rPr>
        <w:t xml:space="preserve"> </w:t>
      </w:r>
      <w:r>
        <w:rPr>
          <w:color w:val="231F20"/>
          <w:sz w:val="20"/>
        </w:rPr>
        <w:t>made</w:t>
      </w:r>
      <w:r>
        <w:rPr>
          <w:color w:val="231F20"/>
          <w:spacing w:val="-4"/>
          <w:sz w:val="20"/>
        </w:rPr>
        <w:t xml:space="preserve"> </w:t>
      </w:r>
      <w:r>
        <w:rPr>
          <w:color w:val="231F20"/>
          <w:sz w:val="20"/>
        </w:rPr>
        <w:t>against</w:t>
      </w:r>
      <w:r>
        <w:rPr>
          <w:color w:val="231F20"/>
          <w:spacing w:val="-5"/>
          <w:sz w:val="20"/>
        </w:rPr>
        <w:t xml:space="preserve"> </w:t>
      </w:r>
      <w:r>
        <w:rPr>
          <w:color w:val="231F20"/>
          <w:spacing w:val="-3"/>
          <w:sz w:val="20"/>
        </w:rPr>
        <w:t>children</w:t>
      </w:r>
      <w:r>
        <w:rPr>
          <w:color w:val="231F20"/>
          <w:spacing w:val="-4"/>
          <w:sz w:val="20"/>
        </w:rPr>
        <w:t xml:space="preserve"> </w:t>
      </w:r>
      <w:r>
        <w:rPr>
          <w:color w:val="231F20"/>
          <w:sz w:val="20"/>
        </w:rPr>
        <w:t>in</w:t>
      </w:r>
      <w:r>
        <w:rPr>
          <w:color w:val="231F20"/>
          <w:spacing w:val="-4"/>
          <w:sz w:val="20"/>
        </w:rPr>
        <w:t xml:space="preserve"> </w:t>
      </w:r>
      <w:r>
        <w:rPr>
          <w:color w:val="231F20"/>
          <w:sz w:val="20"/>
        </w:rPr>
        <w:t>their</w:t>
      </w:r>
      <w:r>
        <w:rPr>
          <w:color w:val="231F20"/>
          <w:spacing w:val="-4"/>
          <w:sz w:val="20"/>
        </w:rPr>
        <w:t xml:space="preserve"> </w:t>
      </w:r>
      <w:r>
        <w:rPr>
          <w:color w:val="231F20"/>
          <w:sz w:val="20"/>
        </w:rPr>
        <w:t>absence</w:t>
      </w:r>
      <w:r>
        <w:rPr>
          <w:color w:val="231F20"/>
          <w:position w:val="7"/>
          <w:sz w:val="11"/>
        </w:rPr>
        <w:t>267</w:t>
      </w:r>
    </w:p>
    <w:p w14:paraId="443DA4A7" w14:textId="77777777" w:rsidR="00894070" w:rsidRDefault="009B7AFD">
      <w:pPr>
        <w:pStyle w:val="ListParagraph"/>
        <w:numPr>
          <w:ilvl w:val="2"/>
          <w:numId w:val="102"/>
        </w:numPr>
        <w:tabs>
          <w:tab w:val="left" w:pos="2141"/>
          <w:tab w:val="left" w:pos="2142"/>
        </w:tabs>
        <w:spacing w:before="80" w:line="206" w:lineRule="auto"/>
        <w:ind w:right="1710" w:hanging="340"/>
        <w:rPr>
          <w:sz w:val="11"/>
        </w:rPr>
      </w:pPr>
      <w:r>
        <w:rPr>
          <w:color w:val="231F20"/>
          <w:sz w:val="20"/>
        </w:rPr>
        <w:t>stronger</w:t>
      </w:r>
      <w:r>
        <w:rPr>
          <w:color w:val="231F20"/>
          <w:spacing w:val="-11"/>
          <w:sz w:val="20"/>
        </w:rPr>
        <w:t xml:space="preserve"> </w:t>
      </w:r>
      <w:r>
        <w:rPr>
          <w:color w:val="231F20"/>
          <w:sz w:val="20"/>
        </w:rPr>
        <w:t>legislative</w:t>
      </w:r>
      <w:r>
        <w:rPr>
          <w:color w:val="231F20"/>
          <w:spacing w:val="-11"/>
          <w:sz w:val="20"/>
        </w:rPr>
        <w:t xml:space="preserve"> </w:t>
      </w:r>
      <w:r>
        <w:rPr>
          <w:color w:val="231F20"/>
          <w:sz w:val="20"/>
        </w:rPr>
        <w:t>presumptions</w:t>
      </w:r>
      <w:r>
        <w:rPr>
          <w:color w:val="231F20"/>
          <w:spacing w:val="-10"/>
          <w:sz w:val="20"/>
        </w:rPr>
        <w:t xml:space="preserve"> </w:t>
      </w:r>
      <w:r>
        <w:rPr>
          <w:color w:val="231F20"/>
          <w:sz w:val="20"/>
        </w:rPr>
        <w:t>against</w:t>
      </w:r>
      <w:r>
        <w:rPr>
          <w:color w:val="231F20"/>
          <w:spacing w:val="-11"/>
          <w:sz w:val="20"/>
        </w:rPr>
        <w:t xml:space="preserve"> </w:t>
      </w:r>
      <w:r>
        <w:rPr>
          <w:color w:val="231F20"/>
          <w:spacing w:val="-3"/>
          <w:sz w:val="20"/>
        </w:rPr>
        <w:t>excluding</w:t>
      </w:r>
      <w:r>
        <w:rPr>
          <w:color w:val="231F20"/>
          <w:spacing w:val="-10"/>
          <w:sz w:val="20"/>
        </w:rPr>
        <w:t xml:space="preserve"> </w:t>
      </w:r>
      <w:r>
        <w:rPr>
          <w:color w:val="231F20"/>
          <w:spacing w:val="-3"/>
          <w:sz w:val="20"/>
        </w:rPr>
        <w:t>children</w:t>
      </w:r>
      <w:r>
        <w:rPr>
          <w:color w:val="231F20"/>
          <w:spacing w:val="-11"/>
          <w:sz w:val="20"/>
        </w:rPr>
        <w:t xml:space="preserve"> </w:t>
      </w:r>
      <w:r>
        <w:rPr>
          <w:color w:val="231F20"/>
          <w:spacing w:val="-3"/>
          <w:sz w:val="20"/>
        </w:rPr>
        <w:t>from</w:t>
      </w:r>
      <w:r>
        <w:rPr>
          <w:color w:val="231F20"/>
          <w:spacing w:val="-10"/>
          <w:sz w:val="20"/>
        </w:rPr>
        <w:t xml:space="preserve"> </w:t>
      </w:r>
      <w:r>
        <w:rPr>
          <w:color w:val="231F20"/>
          <w:sz w:val="20"/>
        </w:rPr>
        <w:t>school,</w:t>
      </w:r>
      <w:r>
        <w:rPr>
          <w:color w:val="231F20"/>
          <w:spacing w:val="-11"/>
          <w:sz w:val="20"/>
        </w:rPr>
        <w:t xml:space="preserve"> </w:t>
      </w:r>
      <w:r>
        <w:rPr>
          <w:color w:val="231F20"/>
          <w:sz w:val="20"/>
        </w:rPr>
        <w:t xml:space="preserve">and ‘genuine and meaningful management </w:t>
      </w:r>
      <w:r>
        <w:rPr>
          <w:color w:val="231F20"/>
          <w:spacing w:val="-3"/>
          <w:sz w:val="20"/>
        </w:rPr>
        <w:t xml:space="preserve">by </w:t>
      </w:r>
      <w:r>
        <w:rPr>
          <w:color w:val="231F20"/>
          <w:sz w:val="20"/>
        </w:rPr>
        <w:t xml:space="preserve">the [Department of </w:t>
      </w:r>
      <w:r>
        <w:rPr>
          <w:color w:val="231F20"/>
          <w:spacing w:val="-3"/>
          <w:sz w:val="20"/>
        </w:rPr>
        <w:t xml:space="preserve">Education </w:t>
      </w:r>
      <w:r>
        <w:rPr>
          <w:color w:val="231F20"/>
          <w:sz w:val="20"/>
        </w:rPr>
        <w:t xml:space="preserve">and </w:t>
      </w:r>
      <w:r>
        <w:rPr>
          <w:color w:val="231F20"/>
          <w:spacing w:val="-4"/>
          <w:sz w:val="20"/>
        </w:rPr>
        <w:t xml:space="preserve">Training]’ </w:t>
      </w:r>
      <w:r>
        <w:rPr>
          <w:color w:val="231F20"/>
          <w:sz w:val="20"/>
        </w:rPr>
        <w:t xml:space="preserve">where </w:t>
      </w:r>
      <w:r>
        <w:rPr>
          <w:color w:val="231F20"/>
          <w:spacing w:val="-3"/>
          <w:sz w:val="20"/>
        </w:rPr>
        <w:t xml:space="preserve">exclusion </w:t>
      </w:r>
      <w:r>
        <w:rPr>
          <w:color w:val="231F20"/>
          <w:sz w:val="20"/>
        </w:rPr>
        <w:t>is</w:t>
      </w:r>
      <w:r>
        <w:rPr>
          <w:color w:val="231F20"/>
          <w:spacing w:val="-9"/>
          <w:sz w:val="20"/>
        </w:rPr>
        <w:t xml:space="preserve"> </w:t>
      </w:r>
      <w:r>
        <w:rPr>
          <w:color w:val="231F20"/>
          <w:sz w:val="20"/>
        </w:rPr>
        <w:t>sought.</w:t>
      </w:r>
      <w:r>
        <w:rPr>
          <w:color w:val="231F20"/>
          <w:position w:val="7"/>
          <w:sz w:val="11"/>
        </w:rPr>
        <w:t>268</w:t>
      </w:r>
    </w:p>
    <w:p w14:paraId="0BE26A9F" w14:textId="77777777" w:rsidR="00894070" w:rsidRDefault="009B7AFD">
      <w:pPr>
        <w:pStyle w:val="ListParagraph"/>
        <w:numPr>
          <w:ilvl w:val="2"/>
          <w:numId w:val="102"/>
        </w:numPr>
        <w:tabs>
          <w:tab w:val="left" w:pos="2142"/>
        </w:tabs>
        <w:spacing w:before="89" w:line="206" w:lineRule="auto"/>
        <w:ind w:right="1493" w:hanging="340"/>
        <w:jc w:val="both"/>
        <w:rPr>
          <w:sz w:val="11"/>
        </w:rPr>
      </w:pPr>
      <w:r>
        <w:rPr>
          <w:color w:val="231F20"/>
          <w:sz w:val="20"/>
        </w:rPr>
        <w:t>a</w:t>
      </w:r>
      <w:r>
        <w:rPr>
          <w:color w:val="231F20"/>
          <w:spacing w:val="-9"/>
          <w:sz w:val="20"/>
        </w:rPr>
        <w:t xml:space="preserve"> </w:t>
      </w:r>
      <w:r>
        <w:rPr>
          <w:color w:val="231F20"/>
          <w:spacing w:val="-3"/>
          <w:sz w:val="20"/>
        </w:rPr>
        <w:t>requirement</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decision</w:t>
      </w:r>
      <w:r>
        <w:rPr>
          <w:color w:val="231F20"/>
          <w:spacing w:val="-9"/>
          <w:sz w:val="20"/>
        </w:rPr>
        <w:t xml:space="preserve"> </w:t>
      </w:r>
      <w:r>
        <w:rPr>
          <w:color w:val="231F20"/>
          <w:sz w:val="20"/>
        </w:rPr>
        <w:t>makers</w:t>
      </w:r>
      <w:r>
        <w:rPr>
          <w:color w:val="231F20"/>
          <w:spacing w:val="-9"/>
          <w:sz w:val="20"/>
        </w:rPr>
        <w:t xml:space="preserve"> </w:t>
      </w:r>
      <w:r>
        <w:rPr>
          <w:color w:val="231F20"/>
          <w:sz w:val="20"/>
        </w:rPr>
        <w:t>to</w:t>
      </w:r>
      <w:r>
        <w:rPr>
          <w:color w:val="231F20"/>
          <w:spacing w:val="-9"/>
          <w:sz w:val="20"/>
        </w:rPr>
        <w:t xml:space="preserve"> </w:t>
      </w:r>
      <w:r>
        <w:rPr>
          <w:color w:val="231F20"/>
          <w:sz w:val="20"/>
        </w:rPr>
        <w:t>consider</w:t>
      </w:r>
      <w:r>
        <w:rPr>
          <w:color w:val="231F20"/>
          <w:spacing w:val="-9"/>
          <w:sz w:val="20"/>
        </w:rPr>
        <w:t xml:space="preserve"> </w:t>
      </w:r>
      <w:r>
        <w:rPr>
          <w:color w:val="231F20"/>
          <w:sz w:val="20"/>
        </w:rPr>
        <w:t>the</w:t>
      </w:r>
      <w:r>
        <w:rPr>
          <w:color w:val="231F20"/>
          <w:spacing w:val="-9"/>
          <w:sz w:val="20"/>
        </w:rPr>
        <w:t xml:space="preserve"> </w:t>
      </w:r>
      <w:r>
        <w:rPr>
          <w:color w:val="231F20"/>
          <w:sz w:val="20"/>
        </w:rPr>
        <w:t>broader</w:t>
      </w:r>
      <w:r>
        <w:rPr>
          <w:color w:val="231F20"/>
          <w:spacing w:val="-9"/>
          <w:sz w:val="20"/>
        </w:rPr>
        <w:t xml:space="preserve"> </w:t>
      </w:r>
      <w:r>
        <w:rPr>
          <w:color w:val="231F20"/>
          <w:sz w:val="20"/>
        </w:rPr>
        <w:t>consequences</w:t>
      </w:r>
      <w:r>
        <w:rPr>
          <w:color w:val="231F20"/>
          <w:spacing w:val="-9"/>
          <w:sz w:val="20"/>
        </w:rPr>
        <w:t xml:space="preserve"> </w:t>
      </w:r>
      <w:r>
        <w:rPr>
          <w:color w:val="231F20"/>
          <w:sz w:val="20"/>
        </w:rPr>
        <w:t>of</w:t>
      </w:r>
      <w:r>
        <w:rPr>
          <w:color w:val="231F20"/>
          <w:spacing w:val="-9"/>
          <w:sz w:val="20"/>
        </w:rPr>
        <w:t xml:space="preserve"> </w:t>
      </w:r>
      <w:r>
        <w:rPr>
          <w:color w:val="231F20"/>
          <w:sz w:val="20"/>
        </w:rPr>
        <w:t>the impact</w:t>
      </w:r>
      <w:r>
        <w:rPr>
          <w:color w:val="231F20"/>
          <w:spacing w:val="-9"/>
          <w:sz w:val="20"/>
        </w:rPr>
        <w:t xml:space="preserve"> </w:t>
      </w:r>
      <w:r>
        <w:rPr>
          <w:color w:val="231F20"/>
          <w:sz w:val="20"/>
        </w:rPr>
        <w:t>of</w:t>
      </w:r>
      <w:r>
        <w:rPr>
          <w:color w:val="231F20"/>
          <w:spacing w:val="-8"/>
          <w:sz w:val="20"/>
        </w:rPr>
        <w:t xml:space="preserve"> </w:t>
      </w:r>
      <w:r>
        <w:rPr>
          <w:color w:val="231F20"/>
          <w:sz w:val="20"/>
        </w:rPr>
        <w:t>an</w:t>
      </w:r>
      <w:r>
        <w:rPr>
          <w:color w:val="231F20"/>
          <w:spacing w:val="-9"/>
          <w:sz w:val="20"/>
        </w:rPr>
        <w:t xml:space="preserve"> </w:t>
      </w:r>
      <w:r>
        <w:rPr>
          <w:color w:val="231F20"/>
          <w:sz w:val="20"/>
        </w:rPr>
        <w:t>order</w:t>
      </w:r>
      <w:r>
        <w:rPr>
          <w:color w:val="231F20"/>
          <w:spacing w:val="-8"/>
          <w:sz w:val="20"/>
        </w:rPr>
        <w:t xml:space="preserve"> </w:t>
      </w:r>
      <w:r>
        <w:rPr>
          <w:color w:val="231F20"/>
          <w:sz w:val="20"/>
        </w:rPr>
        <w:t>on</w:t>
      </w:r>
      <w:r>
        <w:rPr>
          <w:color w:val="231F20"/>
          <w:spacing w:val="-8"/>
          <w:sz w:val="20"/>
        </w:rPr>
        <w:t xml:space="preserve"> </w:t>
      </w:r>
      <w:r>
        <w:rPr>
          <w:color w:val="231F20"/>
          <w:sz w:val="20"/>
        </w:rPr>
        <w:t>where</w:t>
      </w:r>
      <w:r>
        <w:rPr>
          <w:color w:val="231F20"/>
          <w:spacing w:val="-9"/>
          <w:sz w:val="20"/>
        </w:rPr>
        <w:t xml:space="preserve"> </w:t>
      </w:r>
      <w:r>
        <w:rPr>
          <w:color w:val="231F20"/>
          <w:sz w:val="20"/>
        </w:rPr>
        <w:t>the</w:t>
      </w:r>
      <w:r>
        <w:rPr>
          <w:color w:val="231F20"/>
          <w:spacing w:val="-8"/>
          <w:sz w:val="20"/>
        </w:rPr>
        <w:t xml:space="preserve"> </w:t>
      </w:r>
      <w:r>
        <w:rPr>
          <w:color w:val="231F20"/>
          <w:sz w:val="20"/>
        </w:rPr>
        <w:t>child</w:t>
      </w:r>
      <w:r>
        <w:rPr>
          <w:color w:val="231F20"/>
          <w:spacing w:val="-9"/>
          <w:sz w:val="20"/>
        </w:rPr>
        <w:t xml:space="preserve"> </w:t>
      </w:r>
      <w:r>
        <w:rPr>
          <w:color w:val="231F20"/>
          <w:sz w:val="20"/>
        </w:rPr>
        <w:t>is</w:t>
      </w:r>
      <w:r>
        <w:rPr>
          <w:color w:val="231F20"/>
          <w:spacing w:val="-8"/>
          <w:sz w:val="20"/>
        </w:rPr>
        <w:t xml:space="preserve"> </w:t>
      </w:r>
      <w:r>
        <w:rPr>
          <w:color w:val="231F20"/>
          <w:sz w:val="20"/>
        </w:rPr>
        <w:t>living</w:t>
      </w:r>
      <w:r>
        <w:rPr>
          <w:color w:val="231F20"/>
          <w:spacing w:val="-8"/>
          <w:sz w:val="20"/>
        </w:rPr>
        <w:t xml:space="preserve"> </w:t>
      </w:r>
      <w:r>
        <w:rPr>
          <w:color w:val="231F20"/>
          <w:sz w:val="20"/>
        </w:rPr>
        <w:t>or</w:t>
      </w:r>
      <w:r>
        <w:rPr>
          <w:color w:val="231F20"/>
          <w:spacing w:val="-9"/>
          <w:sz w:val="20"/>
        </w:rPr>
        <w:t xml:space="preserve"> </w:t>
      </w:r>
      <w:r>
        <w:rPr>
          <w:color w:val="231F20"/>
          <w:sz w:val="20"/>
        </w:rPr>
        <w:t>whether</w:t>
      </w:r>
      <w:r>
        <w:rPr>
          <w:color w:val="231F20"/>
          <w:spacing w:val="-8"/>
          <w:sz w:val="20"/>
        </w:rPr>
        <w:t xml:space="preserve"> </w:t>
      </w:r>
      <w:r>
        <w:rPr>
          <w:color w:val="231F20"/>
          <w:sz w:val="20"/>
        </w:rPr>
        <w:t>an</w:t>
      </w:r>
      <w:r>
        <w:rPr>
          <w:color w:val="231F20"/>
          <w:spacing w:val="-8"/>
          <w:sz w:val="20"/>
        </w:rPr>
        <w:t xml:space="preserve"> </w:t>
      </w:r>
      <w:r>
        <w:rPr>
          <w:color w:val="231F20"/>
          <w:sz w:val="20"/>
        </w:rPr>
        <w:t>order</w:t>
      </w:r>
      <w:r>
        <w:rPr>
          <w:color w:val="231F20"/>
          <w:spacing w:val="-9"/>
          <w:sz w:val="20"/>
        </w:rPr>
        <w:t xml:space="preserve"> </w:t>
      </w:r>
      <w:r>
        <w:rPr>
          <w:color w:val="231F20"/>
          <w:sz w:val="20"/>
        </w:rPr>
        <w:t>will</w:t>
      </w:r>
      <w:r>
        <w:rPr>
          <w:color w:val="231F20"/>
          <w:spacing w:val="-8"/>
          <w:sz w:val="20"/>
        </w:rPr>
        <w:t xml:space="preserve"> </w:t>
      </w:r>
      <w:r>
        <w:rPr>
          <w:color w:val="231F20"/>
          <w:spacing w:val="-4"/>
          <w:sz w:val="20"/>
        </w:rPr>
        <w:t>prevent</w:t>
      </w:r>
      <w:r>
        <w:rPr>
          <w:color w:val="231F20"/>
          <w:spacing w:val="-9"/>
          <w:sz w:val="20"/>
        </w:rPr>
        <w:t xml:space="preserve"> </w:t>
      </w:r>
      <w:r>
        <w:rPr>
          <w:color w:val="231F20"/>
          <w:sz w:val="20"/>
        </w:rPr>
        <w:t xml:space="preserve">a child </w:t>
      </w:r>
      <w:r>
        <w:rPr>
          <w:color w:val="231F20"/>
          <w:spacing w:val="-3"/>
          <w:sz w:val="20"/>
        </w:rPr>
        <w:t xml:space="preserve">from </w:t>
      </w:r>
      <w:r>
        <w:rPr>
          <w:color w:val="231F20"/>
          <w:sz w:val="20"/>
        </w:rPr>
        <w:t>attending</w:t>
      </w:r>
      <w:r>
        <w:rPr>
          <w:color w:val="231F20"/>
          <w:spacing w:val="-10"/>
          <w:sz w:val="20"/>
        </w:rPr>
        <w:t xml:space="preserve"> </w:t>
      </w:r>
      <w:r>
        <w:rPr>
          <w:color w:val="231F20"/>
          <w:sz w:val="20"/>
        </w:rPr>
        <w:t>school.</w:t>
      </w:r>
      <w:r>
        <w:rPr>
          <w:color w:val="231F20"/>
          <w:position w:val="7"/>
          <w:sz w:val="11"/>
        </w:rPr>
        <w:t>269</w:t>
      </w:r>
    </w:p>
    <w:p w14:paraId="082101F9" w14:textId="77777777" w:rsidR="00894070" w:rsidRDefault="009B7AFD">
      <w:pPr>
        <w:pStyle w:val="ListParagraph"/>
        <w:numPr>
          <w:ilvl w:val="1"/>
          <w:numId w:val="102"/>
        </w:numPr>
        <w:tabs>
          <w:tab w:val="left" w:pos="1801"/>
          <w:tab w:val="left" w:pos="1802"/>
        </w:tabs>
        <w:spacing w:before="89" w:line="206" w:lineRule="auto"/>
        <w:ind w:right="1350"/>
        <w:rPr>
          <w:sz w:val="11"/>
        </w:rPr>
      </w:pPr>
      <w:r>
        <w:rPr>
          <w:color w:val="231F20"/>
          <w:spacing w:val="-6"/>
          <w:sz w:val="20"/>
        </w:rPr>
        <w:t xml:space="preserve">We </w:t>
      </w:r>
      <w:r>
        <w:rPr>
          <w:color w:val="231F20"/>
          <w:sz w:val="20"/>
        </w:rPr>
        <w:t xml:space="preserve">do not propose to recommend restricting the use of </w:t>
      </w:r>
      <w:r>
        <w:rPr>
          <w:color w:val="231F20"/>
          <w:spacing w:val="-3"/>
          <w:sz w:val="20"/>
        </w:rPr>
        <w:t xml:space="preserve">interim </w:t>
      </w:r>
      <w:r>
        <w:rPr>
          <w:color w:val="231F20"/>
          <w:sz w:val="20"/>
        </w:rPr>
        <w:t xml:space="preserve">orders </w:t>
      </w:r>
      <w:proofErr w:type="gramStart"/>
      <w:r>
        <w:rPr>
          <w:color w:val="231F20"/>
          <w:sz w:val="20"/>
        </w:rPr>
        <w:t>in light of</w:t>
      </w:r>
      <w:proofErr w:type="gramEnd"/>
      <w:r>
        <w:rPr>
          <w:color w:val="231F20"/>
          <w:sz w:val="20"/>
        </w:rPr>
        <w:t xml:space="preserve"> the </w:t>
      </w:r>
      <w:r>
        <w:rPr>
          <w:color w:val="231F20"/>
          <w:spacing w:val="-3"/>
          <w:sz w:val="20"/>
        </w:rPr>
        <w:t>Children’s</w:t>
      </w:r>
      <w:r>
        <w:rPr>
          <w:color w:val="231F20"/>
          <w:spacing w:val="-8"/>
          <w:sz w:val="20"/>
        </w:rPr>
        <w:t xml:space="preserve"> </w:t>
      </w:r>
      <w:r>
        <w:rPr>
          <w:color w:val="231F20"/>
          <w:sz w:val="20"/>
        </w:rPr>
        <w:t>Court’s</w:t>
      </w:r>
      <w:r>
        <w:rPr>
          <w:color w:val="231F20"/>
          <w:spacing w:val="-8"/>
          <w:sz w:val="20"/>
        </w:rPr>
        <w:t xml:space="preserve"> </w:t>
      </w:r>
      <w:r>
        <w:rPr>
          <w:color w:val="231F20"/>
          <w:sz w:val="20"/>
        </w:rPr>
        <w:t>comments</w:t>
      </w:r>
      <w:r>
        <w:rPr>
          <w:color w:val="231F20"/>
          <w:spacing w:val="-8"/>
          <w:sz w:val="20"/>
        </w:rPr>
        <w:t xml:space="preserve"> </w:t>
      </w:r>
      <w:r>
        <w:rPr>
          <w:color w:val="231F20"/>
          <w:sz w:val="20"/>
        </w:rPr>
        <w:t>about</w:t>
      </w:r>
      <w:r>
        <w:rPr>
          <w:color w:val="231F20"/>
          <w:spacing w:val="-7"/>
          <w:sz w:val="20"/>
        </w:rPr>
        <w:t xml:space="preserve"> </w:t>
      </w:r>
      <w:r>
        <w:rPr>
          <w:color w:val="231F20"/>
          <w:sz w:val="20"/>
        </w:rPr>
        <w:t>the</w:t>
      </w:r>
      <w:r>
        <w:rPr>
          <w:color w:val="231F20"/>
          <w:spacing w:val="-8"/>
          <w:sz w:val="20"/>
        </w:rPr>
        <w:t xml:space="preserve"> </w:t>
      </w:r>
      <w:r>
        <w:rPr>
          <w:color w:val="231F20"/>
          <w:sz w:val="20"/>
        </w:rPr>
        <w:t>need</w:t>
      </w:r>
      <w:r>
        <w:rPr>
          <w:color w:val="231F20"/>
          <w:spacing w:val="-8"/>
          <w:sz w:val="20"/>
        </w:rPr>
        <w:t xml:space="preserve"> </w:t>
      </w:r>
      <w:r>
        <w:rPr>
          <w:color w:val="231F20"/>
          <w:sz w:val="20"/>
        </w:rPr>
        <w:t>to</w:t>
      </w:r>
      <w:r>
        <w:rPr>
          <w:color w:val="231F20"/>
          <w:spacing w:val="-8"/>
          <w:sz w:val="20"/>
        </w:rPr>
        <w:t xml:space="preserve"> </w:t>
      </w:r>
      <w:r>
        <w:rPr>
          <w:color w:val="231F20"/>
          <w:sz w:val="20"/>
        </w:rPr>
        <w:t>act</w:t>
      </w:r>
      <w:r>
        <w:rPr>
          <w:color w:val="231F20"/>
          <w:spacing w:val="-7"/>
          <w:sz w:val="20"/>
        </w:rPr>
        <w:t xml:space="preserve"> </w:t>
      </w:r>
      <w:r>
        <w:rPr>
          <w:color w:val="231F20"/>
          <w:spacing w:val="-3"/>
          <w:sz w:val="20"/>
        </w:rPr>
        <w:t>quickly</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safety</w:t>
      </w:r>
      <w:r>
        <w:rPr>
          <w:color w:val="231F20"/>
          <w:spacing w:val="-8"/>
          <w:sz w:val="20"/>
        </w:rPr>
        <w:t xml:space="preserve"> </w:t>
      </w:r>
      <w:r>
        <w:rPr>
          <w:color w:val="231F20"/>
          <w:sz w:val="20"/>
        </w:rPr>
        <w:t>reasons</w:t>
      </w:r>
      <w:r>
        <w:rPr>
          <w:color w:val="231F20"/>
          <w:spacing w:val="-7"/>
          <w:sz w:val="20"/>
        </w:rPr>
        <w:t xml:space="preserve"> </w:t>
      </w:r>
      <w:r>
        <w:rPr>
          <w:color w:val="231F20"/>
          <w:sz w:val="20"/>
        </w:rPr>
        <w:t>in</w:t>
      </w:r>
      <w:r>
        <w:rPr>
          <w:color w:val="231F20"/>
          <w:spacing w:val="-8"/>
          <w:sz w:val="20"/>
        </w:rPr>
        <w:t xml:space="preserve"> </w:t>
      </w:r>
      <w:r>
        <w:rPr>
          <w:color w:val="231F20"/>
          <w:sz w:val="20"/>
        </w:rPr>
        <w:t>these matters.</w:t>
      </w:r>
      <w:r>
        <w:rPr>
          <w:color w:val="231F20"/>
          <w:position w:val="7"/>
          <w:sz w:val="11"/>
        </w:rPr>
        <w:t>270</w:t>
      </w:r>
    </w:p>
    <w:p w14:paraId="75556760" w14:textId="77777777" w:rsidR="00894070" w:rsidRDefault="009B7AFD">
      <w:pPr>
        <w:pStyle w:val="ListParagraph"/>
        <w:numPr>
          <w:ilvl w:val="1"/>
          <w:numId w:val="102"/>
        </w:numPr>
        <w:tabs>
          <w:tab w:val="left" w:pos="1801"/>
          <w:tab w:val="left" w:pos="1802"/>
        </w:tabs>
        <w:spacing w:before="124" w:line="206" w:lineRule="auto"/>
        <w:ind w:right="1661"/>
        <w:rPr>
          <w:sz w:val="11"/>
        </w:rPr>
      </w:pPr>
      <w:r>
        <w:rPr>
          <w:color w:val="231F20"/>
          <w:spacing w:val="-3"/>
          <w:sz w:val="20"/>
        </w:rPr>
        <w:t>Similarly,</w:t>
      </w:r>
      <w:r>
        <w:rPr>
          <w:color w:val="231F20"/>
          <w:spacing w:val="-8"/>
          <w:sz w:val="20"/>
        </w:rPr>
        <w:t xml:space="preserve"> </w:t>
      </w:r>
      <w:r>
        <w:rPr>
          <w:color w:val="231F20"/>
          <w:spacing w:val="-3"/>
          <w:sz w:val="20"/>
        </w:rPr>
        <w:t>we</w:t>
      </w:r>
      <w:r>
        <w:rPr>
          <w:color w:val="231F20"/>
          <w:spacing w:val="-8"/>
          <w:sz w:val="20"/>
        </w:rPr>
        <w:t xml:space="preserve"> </w:t>
      </w:r>
      <w:r>
        <w:rPr>
          <w:color w:val="231F20"/>
          <w:sz w:val="20"/>
        </w:rPr>
        <w:t>heard</w:t>
      </w:r>
      <w:r>
        <w:rPr>
          <w:color w:val="231F20"/>
          <w:spacing w:val="-7"/>
          <w:sz w:val="20"/>
        </w:rPr>
        <w:t xml:space="preserve"> </w:t>
      </w:r>
      <w:r>
        <w:rPr>
          <w:color w:val="231F20"/>
          <w:spacing w:val="-3"/>
          <w:sz w:val="20"/>
        </w:rPr>
        <w:t>from</w:t>
      </w:r>
      <w:r>
        <w:rPr>
          <w:color w:val="231F20"/>
          <w:spacing w:val="-8"/>
          <w:sz w:val="20"/>
        </w:rPr>
        <w:t xml:space="preserve"> </w:t>
      </w:r>
      <w:r>
        <w:rPr>
          <w:color w:val="231F20"/>
          <w:sz w:val="20"/>
        </w:rPr>
        <w:t>the</w:t>
      </w:r>
      <w:r>
        <w:rPr>
          <w:color w:val="231F20"/>
          <w:spacing w:val="-7"/>
          <w:sz w:val="20"/>
        </w:rPr>
        <w:t xml:space="preserve"> </w:t>
      </w:r>
      <w:r>
        <w:rPr>
          <w:color w:val="231F20"/>
          <w:spacing w:val="-3"/>
          <w:sz w:val="20"/>
        </w:rPr>
        <w:t>Children’s</w:t>
      </w:r>
      <w:r>
        <w:rPr>
          <w:color w:val="231F20"/>
          <w:spacing w:val="-8"/>
          <w:sz w:val="20"/>
        </w:rPr>
        <w:t xml:space="preserve"> </w:t>
      </w:r>
      <w:r>
        <w:rPr>
          <w:color w:val="231F20"/>
          <w:sz w:val="20"/>
        </w:rPr>
        <w:t>Court</w:t>
      </w:r>
      <w:r>
        <w:rPr>
          <w:color w:val="231F20"/>
          <w:spacing w:val="-8"/>
          <w:sz w:val="20"/>
        </w:rPr>
        <w:t xml:space="preserve"> </w:t>
      </w:r>
      <w:r>
        <w:rPr>
          <w:color w:val="231F20"/>
          <w:sz w:val="20"/>
        </w:rPr>
        <w:t>that</w:t>
      </w:r>
      <w:r>
        <w:rPr>
          <w:color w:val="231F20"/>
          <w:spacing w:val="-7"/>
          <w:sz w:val="20"/>
        </w:rPr>
        <w:t xml:space="preserve"> </w:t>
      </w:r>
      <w:r>
        <w:rPr>
          <w:color w:val="231F20"/>
          <w:sz w:val="20"/>
        </w:rPr>
        <w:t>bringing</w:t>
      </w:r>
      <w:r>
        <w:rPr>
          <w:color w:val="231F20"/>
          <w:spacing w:val="-8"/>
          <w:sz w:val="20"/>
        </w:rPr>
        <w:t xml:space="preserve"> </w:t>
      </w:r>
      <w:r>
        <w:rPr>
          <w:color w:val="231F20"/>
          <w:sz w:val="20"/>
        </w:rPr>
        <w:t>matters</w:t>
      </w:r>
      <w:r>
        <w:rPr>
          <w:color w:val="231F20"/>
          <w:spacing w:val="-7"/>
          <w:sz w:val="20"/>
        </w:rPr>
        <w:t xml:space="preserve"> </w:t>
      </w:r>
      <w:r>
        <w:rPr>
          <w:color w:val="231F20"/>
          <w:sz w:val="20"/>
        </w:rPr>
        <w:t>on</w:t>
      </w:r>
      <w:r>
        <w:rPr>
          <w:color w:val="231F20"/>
          <w:spacing w:val="-8"/>
          <w:sz w:val="20"/>
        </w:rPr>
        <w:t xml:space="preserve"> </w:t>
      </w:r>
      <w:r>
        <w:rPr>
          <w:i/>
          <w:color w:val="231F20"/>
          <w:sz w:val="20"/>
        </w:rPr>
        <w:t>ex</w:t>
      </w:r>
      <w:r>
        <w:rPr>
          <w:i/>
          <w:color w:val="231F20"/>
          <w:spacing w:val="-8"/>
          <w:sz w:val="20"/>
        </w:rPr>
        <w:t xml:space="preserve"> </w:t>
      </w:r>
      <w:r>
        <w:rPr>
          <w:i/>
          <w:color w:val="231F20"/>
          <w:sz w:val="20"/>
        </w:rPr>
        <w:t>parte</w:t>
      </w:r>
      <w:r>
        <w:rPr>
          <w:i/>
          <w:color w:val="231F20"/>
          <w:spacing w:val="-6"/>
          <w:sz w:val="20"/>
        </w:rPr>
        <w:t xml:space="preserve"> </w:t>
      </w:r>
      <w:r>
        <w:rPr>
          <w:color w:val="231F20"/>
          <w:sz w:val="20"/>
        </w:rPr>
        <w:t xml:space="preserve">was often </w:t>
      </w:r>
      <w:proofErr w:type="gramStart"/>
      <w:r>
        <w:rPr>
          <w:color w:val="231F20"/>
          <w:spacing w:val="-3"/>
          <w:sz w:val="20"/>
        </w:rPr>
        <w:t xml:space="preserve">unavoidable, </w:t>
      </w:r>
      <w:r>
        <w:rPr>
          <w:color w:val="231F20"/>
          <w:sz w:val="20"/>
        </w:rPr>
        <w:t>and</w:t>
      </w:r>
      <w:proofErr w:type="gramEnd"/>
      <w:r>
        <w:rPr>
          <w:color w:val="231F20"/>
          <w:sz w:val="20"/>
        </w:rPr>
        <w:t xml:space="preserve"> formed part of its ability to hear </w:t>
      </w:r>
      <w:r>
        <w:rPr>
          <w:color w:val="231F20"/>
          <w:spacing w:val="-3"/>
          <w:sz w:val="20"/>
        </w:rPr>
        <w:t xml:space="preserve">interim </w:t>
      </w:r>
      <w:r>
        <w:rPr>
          <w:color w:val="231F20"/>
          <w:sz w:val="20"/>
        </w:rPr>
        <w:t xml:space="preserve">orders </w:t>
      </w:r>
      <w:r>
        <w:rPr>
          <w:color w:val="231F20"/>
          <w:spacing w:val="-3"/>
          <w:sz w:val="20"/>
        </w:rPr>
        <w:t xml:space="preserve">quickly </w:t>
      </w:r>
      <w:r>
        <w:rPr>
          <w:color w:val="231F20"/>
          <w:sz w:val="20"/>
        </w:rPr>
        <w:t>in matters where serious safety issues</w:t>
      </w:r>
      <w:r>
        <w:rPr>
          <w:color w:val="231F20"/>
          <w:spacing w:val="-23"/>
          <w:sz w:val="20"/>
        </w:rPr>
        <w:t xml:space="preserve"> </w:t>
      </w:r>
      <w:r>
        <w:rPr>
          <w:color w:val="231F20"/>
          <w:sz w:val="20"/>
        </w:rPr>
        <w:t>existed.</w:t>
      </w:r>
      <w:r>
        <w:rPr>
          <w:color w:val="231F20"/>
          <w:position w:val="7"/>
          <w:sz w:val="11"/>
        </w:rPr>
        <w:t>271</w:t>
      </w:r>
    </w:p>
    <w:p w14:paraId="686BB75F" w14:textId="77777777" w:rsidR="00894070" w:rsidRDefault="00894070">
      <w:pPr>
        <w:pStyle w:val="BodyText"/>
      </w:pPr>
    </w:p>
    <w:p w14:paraId="0766AE21" w14:textId="77777777" w:rsidR="00894070" w:rsidRDefault="009F6793">
      <w:pPr>
        <w:pStyle w:val="BodyText"/>
        <w:spacing w:before="6"/>
      </w:pPr>
      <w:r>
        <w:pict w14:anchorId="63D7D3A9">
          <v:line id="_x0000_s1244" style="position:absolute;z-index:251713536;mso-wrap-distance-left:0;mso-wrap-distance-right:0;mso-position-horizontal-relative:page" from="79.35pt,16.7pt" to="515.9pt,16.7pt" strokecolor="#f8cabc" strokeweight="1pt">
            <w10:wrap type="topAndBottom" anchorx="page"/>
          </v:line>
        </w:pict>
      </w:r>
    </w:p>
    <w:p w14:paraId="0932C9B6" w14:textId="77777777" w:rsidR="00894070" w:rsidRDefault="00894070">
      <w:pPr>
        <w:pStyle w:val="BodyText"/>
        <w:rPr>
          <w:sz w:val="5"/>
        </w:rPr>
      </w:pPr>
    </w:p>
    <w:p w14:paraId="7C70F48D" w14:textId="77777777" w:rsidR="00894070" w:rsidRDefault="00894070">
      <w:pPr>
        <w:rPr>
          <w:sz w:val="5"/>
        </w:rPr>
        <w:sectPr w:rsidR="00894070">
          <w:pgSz w:w="11910" w:h="16840"/>
          <w:pgMar w:top="860" w:right="420" w:bottom="280" w:left="580" w:header="567" w:footer="0" w:gutter="0"/>
          <w:cols w:space="720"/>
        </w:sectPr>
      </w:pPr>
    </w:p>
    <w:p w14:paraId="1462B039" w14:textId="77777777" w:rsidR="00894070" w:rsidRDefault="00894070">
      <w:pPr>
        <w:pStyle w:val="BodyText"/>
        <w:rPr>
          <w:sz w:val="28"/>
        </w:rPr>
      </w:pPr>
    </w:p>
    <w:p w14:paraId="290F3CDF" w14:textId="77777777" w:rsidR="00894070" w:rsidRDefault="00894070">
      <w:pPr>
        <w:pStyle w:val="BodyText"/>
        <w:rPr>
          <w:sz w:val="28"/>
        </w:rPr>
      </w:pPr>
    </w:p>
    <w:p w14:paraId="489EF966" w14:textId="77777777" w:rsidR="00894070" w:rsidRDefault="00894070">
      <w:pPr>
        <w:pStyle w:val="BodyText"/>
        <w:rPr>
          <w:sz w:val="28"/>
        </w:rPr>
      </w:pPr>
    </w:p>
    <w:p w14:paraId="15D29559" w14:textId="77777777" w:rsidR="00894070" w:rsidRDefault="00894070">
      <w:pPr>
        <w:pStyle w:val="BodyText"/>
        <w:rPr>
          <w:sz w:val="28"/>
        </w:rPr>
      </w:pPr>
    </w:p>
    <w:p w14:paraId="4AB84243" w14:textId="77777777" w:rsidR="00894070" w:rsidRDefault="00894070">
      <w:pPr>
        <w:pStyle w:val="BodyText"/>
        <w:spacing w:before="10"/>
        <w:rPr>
          <w:sz w:val="18"/>
        </w:rPr>
      </w:pPr>
    </w:p>
    <w:p w14:paraId="19D2D065" w14:textId="77777777" w:rsidR="00894070" w:rsidRDefault="009B7AFD">
      <w:pPr>
        <w:pStyle w:val="Heading8"/>
        <w:ind w:left="140"/>
      </w:pPr>
      <w:r>
        <w:rPr>
          <w:color w:val="EA5B50"/>
        </w:rPr>
        <w:t>128</w:t>
      </w:r>
    </w:p>
    <w:p w14:paraId="4791742E" w14:textId="77777777" w:rsidR="00894070" w:rsidRDefault="009B7AFD">
      <w:pPr>
        <w:pStyle w:val="ListParagraph"/>
        <w:numPr>
          <w:ilvl w:val="0"/>
          <w:numId w:val="74"/>
        </w:numPr>
        <w:tabs>
          <w:tab w:val="left" w:pos="933"/>
          <w:tab w:val="left" w:pos="934"/>
        </w:tabs>
        <w:spacing w:before="21" w:line="170" w:lineRule="exact"/>
        <w:ind w:left="933" w:hanging="793"/>
        <w:jc w:val="left"/>
        <w:rPr>
          <w:sz w:val="13"/>
        </w:rPr>
      </w:pPr>
      <w:r>
        <w:rPr>
          <w:i/>
          <w:color w:val="231F20"/>
          <w:spacing w:val="1"/>
          <w:sz w:val="13"/>
        </w:rPr>
        <w:br w:type="column"/>
      </w:r>
      <w:r>
        <w:rPr>
          <w:i/>
          <w:color w:val="231F20"/>
          <w:sz w:val="13"/>
        </w:rPr>
        <w:t xml:space="preserve">Personal Safety Intervention Orders Act 2010 </w:t>
      </w:r>
      <w:r>
        <w:rPr>
          <w:color w:val="231F20"/>
          <w:sz w:val="13"/>
        </w:rPr>
        <w:t>(Vic) s</w:t>
      </w:r>
      <w:r>
        <w:rPr>
          <w:color w:val="231F20"/>
          <w:spacing w:val="3"/>
          <w:sz w:val="13"/>
        </w:rPr>
        <w:t xml:space="preserve"> </w:t>
      </w:r>
      <w:r>
        <w:rPr>
          <w:color w:val="231F20"/>
          <w:sz w:val="13"/>
        </w:rPr>
        <w:t>61(1)(c).</w:t>
      </w:r>
    </w:p>
    <w:p w14:paraId="3222D91C" w14:textId="77777777" w:rsidR="00894070" w:rsidRDefault="009B7AFD">
      <w:pPr>
        <w:tabs>
          <w:tab w:val="left" w:pos="933"/>
        </w:tabs>
        <w:spacing w:line="160" w:lineRule="exact"/>
        <w:ind w:left="140"/>
        <w:rPr>
          <w:sz w:val="13"/>
        </w:rPr>
      </w:pPr>
      <w:r>
        <w:rPr>
          <w:color w:val="231F20"/>
          <w:sz w:val="13"/>
        </w:rPr>
        <w:t>260</w:t>
      </w:r>
      <w:r>
        <w:rPr>
          <w:color w:val="231F20"/>
          <w:sz w:val="13"/>
        </w:rPr>
        <w:tab/>
        <w:t>Ibid s 61(2).</w:t>
      </w:r>
    </w:p>
    <w:p w14:paraId="7DEFDD30" w14:textId="77777777" w:rsidR="00894070" w:rsidRDefault="009B7AFD">
      <w:pPr>
        <w:tabs>
          <w:tab w:val="left" w:pos="933"/>
        </w:tabs>
        <w:spacing w:line="160" w:lineRule="exact"/>
        <w:ind w:left="140"/>
        <w:rPr>
          <w:sz w:val="13"/>
        </w:rPr>
      </w:pPr>
      <w:r>
        <w:rPr>
          <w:color w:val="231F20"/>
          <w:sz w:val="13"/>
        </w:rPr>
        <w:t>261</w:t>
      </w:r>
      <w:r>
        <w:rPr>
          <w:color w:val="231F20"/>
          <w:sz w:val="13"/>
        </w:rPr>
        <w:tab/>
        <w:t>Ibid s</w:t>
      </w:r>
      <w:r>
        <w:rPr>
          <w:color w:val="231F20"/>
          <w:spacing w:val="8"/>
          <w:sz w:val="13"/>
        </w:rPr>
        <w:t xml:space="preserve"> </w:t>
      </w:r>
      <w:r>
        <w:rPr>
          <w:color w:val="231F20"/>
          <w:spacing w:val="2"/>
          <w:sz w:val="13"/>
        </w:rPr>
        <w:t>53.</w:t>
      </w:r>
    </w:p>
    <w:p w14:paraId="7605685B" w14:textId="77777777" w:rsidR="00894070" w:rsidRDefault="009B7AFD">
      <w:pPr>
        <w:tabs>
          <w:tab w:val="left" w:pos="933"/>
        </w:tabs>
        <w:spacing w:line="160" w:lineRule="exact"/>
        <w:ind w:left="140"/>
        <w:rPr>
          <w:sz w:val="13"/>
        </w:rPr>
      </w:pPr>
      <w:r>
        <w:rPr>
          <w:color w:val="231F20"/>
          <w:sz w:val="13"/>
        </w:rPr>
        <w:t>262</w:t>
      </w:r>
      <w:r>
        <w:rPr>
          <w:color w:val="231F20"/>
          <w:sz w:val="13"/>
        </w:rPr>
        <w:tab/>
        <w:t>Ibid s</w:t>
      </w:r>
      <w:r>
        <w:rPr>
          <w:color w:val="231F20"/>
          <w:spacing w:val="1"/>
          <w:sz w:val="13"/>
        </w:rPr>
        <w:t xml:space="preserve"> </w:t>
      </w:r>
      <w:r>
        <w:rPr>
          <w:color w:val="231F20"/>
          <w:sz w:val="13"/>
        </w:rPr>
        <w:t>57.</w:t>
      </w:r>
    </w:p>
    <w:p w14:paraId="488156E1" w14:textId="77777777" w:rsidR="00894070" w:rsidRDefault="009B7AFD">
      <w:pPr>
        <w:tabs>
          <w:tab w:val="left" w:pos="933"/>
        </w:tabs>
        <w:spacing w:line="160" w:lineRule="exact"/>
        <w:ind w:left="140"/>
        <w:rPr>
          <w:sz w:val="13"/>
        </w:rPr>
      </w:pPr>
      <w:r>
        <w:rPr>
          <w:color w:val="231F20"/>
          <w:sz w:val="13"/>
        </w:rPr>
        <w:t>263</w:t>
      </w:r>
      <w:r>
        <w:rPr>
          <w:color w:val="231F20"/>
          <w:sz w:val="13"/>
        </w:rPr>
        <w:tab/>
        <w:t>Ibid s 64(2).</w:t>
      </w:r>
    </w:p>
    <w:p w14:paraId="24EEDE44" w14:textId="77777777" w:rsidR="00894070" w:rsidRDefault="009B7AFD">
      <w:pPr>
        <w:pStyle w:val="ListParagraph"/>
        <w:numPr>
          <w:ilvl w:val="0"/>
          <w:numId w:val="73"/>
        </w:numPr>
        <w:tabs>
          <w:tab w:val="left" w:pos="933"/>
          <w:tab w:val="left" w:pos="934"/>
        </w:tabs>
        <w:spacing w:line="160" w:lineRule="exact"/>
        <w:ind w:hanging="793"/>
        <w:rPr>
          <w:sz w:val="13"/>
        </w:rPr>
      </w:pPr>
      <w:r>
        <w:rPr>
          <w:color w:val="231F20"/>
          <w:sz w:val="13"/>
        </w:rPr>
        <w:t xml:space="preserve">Ibid s </w:t>
      </w:r>
      <w:r>
        <w:rPr>
          <w:color w:val="231F20"/>
          <w:spacing w:val="2"/>
          <w:sz w:val="13"/>
        </w:rPr>
        <w:t>71.</w:t>
      </w:r>
    </w:p>
    <w:p w14:paraId="7AD19916" w14:textId="77777777" w:rsidR="00894070" w:rsidRDefault="009B7AFD">
      <w:pPr>
        <w:pStyle w:val="ListParagraph"/>
        <w:numPr>
          <w:ilvl w:val="0"/>
          <w:numId w:val="73"/>
        </w:numPr>
        <w:tabs>
          <w:tab w:val="left" w:pos="933"/>
          <w:tab w:val="left" w:pos="934"/>
        </w:tabs>
        <w:spacing w:line="160" w:lineRule="exact"/>
        <w:ind w:hanging="793"/>
        <w:rPr>
          <w:sz w:val="13"/>
        </w:rPr>
      </w:pPr>
      <w:r>
        <w:rPr>
          <w:color w:val="231F20"/>
          <w:sz w:val="13"/>
        </w:rPr>
        <w:t>Ibid ss 74–5.</w:t>
      </w:r>
    </w:p>
    <w:p w14:paraId="55EADEA5" w14:textId="77777777" w:rsidR="00894070" w:rsidRDefault="009B7AFD">
      <w:pPr>
        <w:pStyle w:val="ListParagraph"/>
        <w:numPr>
          <w:ilvl w:val="0"/>
          <w:numId w:val="73"/>
        </w:numPr>
        <w:tabs>
          <w:tab w:val="left" w:pos="933"/>
          <w:tab w:val="left" w:pos="934"/>
        </w:tabs>
        <w:spacing w:line="160" w:lineRule="exact"/>
        <w:ind w:hanging="793"/>
        <w:rPr>
          <w:sz w:val="13"/>
        </w:rPr>
      </w:pPr>
      <w:r>
        <w:rPr>
          <w:color w:val="231F20"/>
          <w:sz w:val="13"/>
        </w:rPr>
        <w:t>Consultation 13 (Victoria Legal</w:t>
      </w:r>
      <w:r>
        <w:rPr>
          <w:color w:val="231F20"/>
          <w:spacing w:val="1"/>
          <w:sz w:val="13"/>
        </w:rPr>
        <w:t xml:space="preserve"> </w:t>
      </w:r>
      <w:r>
        <w:rPr>
          <w:color w:val="231F20"/>
          <w:sz w:val="13"/>
        </w:rPr>
        <w:t>Aid).</w:t>
      </w:r>
    </w:p>
    <w:p w14:paraId="2E6C514F" w14:textId="77777777" w:rsidR="00894070" w:rsidRDefault="009B7AFD">
      <w:pPr>
        <w:pStyle w:val="ListParagraph"/>
        <w:numPr>
          <w:ilvl w:val="0"/>
          <w:numId w:val="73"/>
        </w:numPr>
        <w:tabs>
          <w:tab w:val="left" w:pos="933"/>
          <w:tab w:val="left" w:pos="934"/>
        </w:tabs>
        <w:spacing w:line="160" w:lineRule="exact"/>
        <w:ind w:hanging="793"/>
        <w:rPr>
          <w:sz w:val="13"/>
        </w:rPr>
      </w:pPr>
      <w:r>
        <w:rPr>
          <w:color w:val="231F20"/>
          <w:sz w:val="13"/>
        </w:rPr>
        <w:t>Ibid.</w:t>
      </w:r>
    </w:p>
    <w:p w14:paraId="0C7816B9" w14:textId="77777777" w:rsidR="00894070" w:rsidRDefault="009B7AFD">
      <w:pPr>
        <w:pStyle w:val="ListParagraph"/>
        <w:numPr>
          <w:ilvl w:val="0"/>
          <w:numId w:val="73"/>
        </w:numPr>
        <w:tabs>
          <w:tab w:val="left" w:pos="933"/>
          <w:tab w:val="left" w:pos="934"/>
        </w:tabs>
        <w:spacing w:line="160" w:lineRule="exact"/>
        <w:ind w:hanging="793"/>
        <w:rPr>
          <w:sz w:val="13"/>
        </w:rPr>
      </w:pPr>
      <w:r>
        <w:rPr>
          <w:color w:val="231F20"/>
          <w:sz w:val="13"/>
        </w:rPr>
        <w:t>Ibid.</w:t>
      </w:r>
    </w:p>
    <w:p w14:paraId="760C7492" w14:textId="77777777" w:rsidR="00894070" w:rsidRDefault="009B7AFD">
      <w:pPr>
        <w:pStyle w:val="ListParagraph"/>
        <w:numPr>
          <w:ilvl w:val="0"/>
          <w:numId w:val="73"/>
        </w:numPr>
        <w:tabs>
          <w:tab w:val="left" w:pos="933"/>
          <w:tab w:val="left" w:pos="934"/>
        </w:tabs>
        <w:spacing w:line="160" w:lineRule="exact"/>
        <w:ind w:hanging="793"/>
        <w:rPr>
          <w:sz w:val="13"/>
        </w:rPr>
      </w:pPr>
      <w:r>
        <w:rPr>
          <w:color w:val="231F20"/>
          <w:spacing w:val="2"/>
          <w:sz w:val="13"/>
        </w:rPr>
        <w:t xml:space="preserve">Submission </w:t>
      </w:r>
      <w:r>
        <w:rPr>
          <w:color w:val="231F20"/>
          <w:sz w:val="13"/>
        </w:rPr>
        <w:t>98 (Law Institute of</w:t>
      </w:r>
      <w:r>
        <w:rPr>
          <w:color w:val="231F20"/>
          <w:spacing w:val="-2"/>
          <w:sz w:val="13"/>
        </w:rPr>
        <w:t xml:space="preserve"> </w:t>
      </w:r>
      <w:r>
        <w:rPr>
          <w:color w:val="231F20"/>
          <w:sz w:val="13"/>
        </w:rPr>
        <w:t>Victoria).</w:t>
      </w:r>
    </w:p>
    <w:p w14:paraId="56E0FC2D" w14:textId="77777777" w:rsidR="00894070" w:rsidRDefault="009B7AFD">
      <w:pPr>
        <w:pStyle w:val="ListParagraph"/>
        <w:numPr>
          <w:ilvl w:val="0"/>
          <w:numId w:val="73"/>
        </w:numPr>
        <w:tabs>
          <w:tab w:val="left" w:pos="933"/>
          <w:tab w:val="left" w:pos="934"/>
        </w:tabs>
        <w:spacing w:line="160" w:lineRule="exact"/>
        <w:ind w:hanging="793"/>
        <w:rPr>
          <w:sz w:val="13"/>
        </w:rPr>
      </w:pPr>
      <w:r>
        <w:rPr>
          <w:color w:val="231F20"/>
          <w:sz w:val="13"/>
        </w:rPr>
        <w:t xml:space="preserve">Consultation 35 (Children’s </w:t>
      </w:r>
      <w:r>
        <w:rPr>
          <w:color w:val="231F20"/>
          <w:spacing w:val="2"/>
          <w:sz w:val="13"/>
        </w:rPr>
        <w:t xml:space="preserve">Court </w:t>
      </w:r>
      <w:r>
        <w:rPr>
          <w:color w:val="231F20"/>
          <w:sz w:val="13"/>
        </w:rPr>
        <w:t>of Victoria (No 2)).</w:t>
      </w:r>
    </w:p>
    <w:p w14:paraId="10371CFF" w14:textId="77777777" w:rsidR="00894070" w:rsidRDefault="009B7AFD">
      <w:pPr>
        <w:pStyle w:val="ListParagraph"/>
        <w:numPr>
          <w:ilvl w:val="0"/>
          <w:numId w:val="73"/>
        </w:numPr>
        <w:tabs>
          <w:tab w:val="left" w:pos="933"/>
          <w:tab w:val="left" w:pos="934"/>
        </w:tabs>
        <w:spacing w:line="170" w:lineRule="exact"/>
        <w:ind w:hanging="793"/>
        <w:rPr>
          <w:sz w:val="13"/>
        </w:rPr>
      </w:pPr>
      <w:r>
        <w:rPr>
          <w:color w:val="231F20"/>
          <w:sz w:val="13"/>
        </w:rPr>
        <w:t>Ibid.</w:t>
      </w:r>
    </w:p>
    <w:p w14:paraId="2D602387"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79" w:space="288"/>
            <w:col w:w="10043"/>
          </w:cols>
        </w:sectPr>
      </w:pPr>
    </w:p>
    <w:p w14:paraId="5C3FB10E" w14:textId="77777777" w:rsidR="00894070" w:rsidRDefault="00894070">
      <w:pPr>
        <w:pStyle w:val="BodyText"/>
      </w:pPr>
    </w:p>
    <w:p w14:paraId="12785D13" w14:textId="77777777" w:rsidR="00894070" w:rsidRDefault="00894070">
      <w:pPr>
        <w:pStyle w:val="BodyText"/>
      </w:pPr>
    </w:p>
    <w:p w14:paraId="2E976677" w14:textId="77777777" w:rsidR="00894070" w:rsidRDefault="00894070">
      <w:pPr>
        <w:pStyle w:val="BodyText"/>
      </w:pPr>
    </w:p>
    <w:p w14:paraId="01429E6E" w14:textId="77777777" w:rsidR="00894070" w:rsidRDefault="00894070">
      <w:pPr>
        <w:pStyle w:val="BodyText"/>
        <w:spacing w:before="6"/>
        <w:rPr>
          <w:sz w:val="14"/>
        </w:rPr>
      </w:pPr>
    </w:p>
    <w:p w14:paraId="73C4821A" w14:textId="77777777" w:rsidR="00894070" w:rsidRDefault="009B7AFD">
      <w:pPr>
        <w:pStyle w:val="ListParagraph"/>
        <w:numPr>
          <w:ilvl w:val="1"/>
          <w:numId w:val="102"/>
        </w:numPr>
        <w:tabs>
          <w:tab w:val="left" w:pos="1802"/>
        </w:tabs>
        <w:spacing w:before="90" w:line="206" w:lineRule="auto"/>
        <w:ind w:right="1583"/>
        <w:jc w:val="both"/>
        <w:rPr>
          <w:sz w:val="11"/>
        </w:rPr>
      </w:pPr>
      <w:bookmarkStart w:id="143" w:name="_bookmark86"/>
      <w:bookmarkEnd w:id="143"/>
      <w:r>
        <w:rPr>
          <w:color w:val="231F20"/>
          <w:spacing w:val="-6"/>
          <w:sz w:val="20"/>
        </w:rPr>
        <w:t>We</w:t>
      </w:r>
      <w:r>
        <w:rPr>
          <w:color w:val="231F20"/>
          <w:spacing w:val="-9"/>
          <w:sz w:val="20"/>
        </w:rPr>
        <w:t xml:space="preserve"> </w:t>
      </w:r>
      <w:r>
        <w:rPr>
          <w:color w:val="231F20"/>
          <w:sz w:val="20"/>
        </w:rPr>
        <w:t>consider</w:t>
      </w:r>
      <w:r>
        <w:rPr>
          <w:color w:val="231F20"/>
          <w:spacing w:val="-8"/>
          <w:sz w:val="20"/>
        </w:rPr>
        <w:t xml:space="preserve"> </w:t>
      </w:r>
      <w:r>
        <w:rPr>
          <w:color w:val="231F20"/>
          <w:sz w:val="20"/>
        </w:rPr>
        <w:t>that</w:t>
      </w:r>
      <w:r>
        <w:rPr>
          <w:color w:val="231F20"/>
          <w:spacing w:val="-9"/>
          <w:sz w:val="20"/>
        </w:rPr>
        <w:t xml:space="preserve"> </w:t>
      </w:r>
      <w:r>
        <w:rPr>
          <w:color w:val="231F20"/>
          <w:sz w:val="20"/>
        </w:rPr>
        <w:t>the</w:t>
      </w:r>
      <w:r>
        <w:rPr>
          <w:color w:val="231F20"/>
          <w:spacing w:val="-8"/>
          <w:sz w:val="20"/>
        </w:rPr>
        <w:t xml:space="preserve"> </w:t>
      </w:r>
      <w:r>
        <w:rPr>
          <w:color w:val="231F20"/>
          <w:spacing w:val="-3"/>
          <w:sz w:val="20"/>
        </w:rPr>
        <w:t>provisions</w:t>
      </w:r>
      <w:r>
        <w:rPr>
          <w:color w:val="231F20"/>
          <w:spacing w:val="-8"/>
          <w:sz w:val="20"/>
        </w:rPr>
        <w:t xml:space="preserve"> </w:t>
      </w:r>
      <w:r>
        <w:rPr>
          <w:color w:val="231F20"/>
          <w:sz w:val="20"/>
        </w:rPr>
        <w:t>to</w:t>
      </w:r>
      <w:r>
        <w:rPr>
          <w:color w:val="231F20"/>
          <w:spacing w:val="-9"/>
          <w:sz w:val="20"/>
        </w:rPr>
        <w:t xml:space="preserve"> </w:t>
      </w:r>
      <w:r>
        <w:rPr>
          <w:color w:val="231F20"/>
          <w:sz w:val="20"/>
        </w:rPr>
        <w:t>guide</w:t>
      </w:r>
      <w:r>
        <w:rPr>
          <w:color w:val="231F20"/>
          <w:spacing w:val="-8"/>
          <w:sz w:val="20"/>
        </w:rPr>
        <w:t xml:space="preserve"> </w:t>
      </w:r>
      <w:r>
        <w:rPr>
          <w:color w:val="231F20"/>
          <w:sz w:val="20"/>
        </w:rPr>
        <w:t>decision</w:t>
      </w:r>
      <w:r>
        <w:rPr>
          <w:color w:val="231F20"/>
          <w:spacing w:val="-8"/>
          <w:sz w:val="20"/>
        </w:rPr>
        <w:t xml:space="preserve"> </w:t>
      </w:r>
      <w:r>
        <w:rPr>
          <w:color w:val="231F20"/>
          <w:sz w:val="20"/>
        </w:rPr>
        <w:t>making</w:t>
      </w:r>
      <w:r>
        <w:rPr>
          <w:color w:val="231F20"/>
          <w:spacing w:val="-9"/>
          <w:sz w:val="20"/>
        </w:rPr>
        <w:t xml:space="preserve"> </w:t>
      </w:r>
      <w:r>
        <w:rPr>
          <w:color w:val="231F20"/>
          <w:sz w:val="20"/>
        </w:rPr>
        <w:t>in</w:t>
      </w:r>
      <w:r>
        <w:rPr>
          <w:color w:val="231F20"/>
          <w:spacing w:val="-8"/>
          <w:sz w:val="20"/>
        </w:rPr>
        <w:t xml:space="preserve"> </w:t>
      </w:r>
      <w:r>
        <w:rPr>
          <w:color w:val="231F20"/>
          <w:sz w:val="20"/>
        </w:rPr>
        <w:t>relation</w:t>
      </w:r>
      <w:r>
        <w:rPr>
          <w:color w:val="231F20"/>
          <w:spacing w:val="-8"/>
          <w:sz w:val="20"/>
        </w:rPr>
        <w:t xml:space="preserve"> </w:t>
      </w:r>
      <w:r>
        <w:rPr>
          <w:color w:val="231F20"/>
          <w:sz w:val="20"/>
        </w:rPr>
        <w:t>to</w:t>
      </w:r>
      <w:r>
        <w:rPr>
          <w:color w:val="231F20"/>
          <w:spacing w:val="-9"/>
          <w:sz w:val="20"/>
        </w:rPr>
        <w:t xml:space="preserve"> </w:t>
      </w:r>
      <w:r>
        <w:rPr>
          <w:color w:val="231F20"/>
          <w:sz w:val="20"/>
        </w:rPr>
        <w:t>impact</w:t>
      </w:r>
      <w:r>
        <w:rPr>
          <w:color w:val="231F20"/>
          <w:spacing w:val="-8"/>
          <w:sz w:val="20"/>
        </w:rPr>
        <w:t xml:space="preserve"> </w:t>
      </w:r>
      <w:r>
        <w:rPr>
          <w:color w:val="231F20"/>
          <w:sz w:val="20"/>
        </w:rPr>
        <w:t>on</w:t>
      </w:r>
      <w:r>
        <w:rPr>
          <w:color w:val="231F20"/>
          <w:spacing w:val="-8"/>
          <w:sz w:val="20"/>
        </w:rPr>
        <w:t xml:space="preserve"> </w:t>
      </w:r>
      <w:r>
        <w:rPr>
          <w:color w:val="231F20"/>
          <w:sz w:val="20"/>
        </w:rPr>
        <w:t xml:space="preserve">a </w:t>
      </w:r>
      <w:r>
        <w:rPr>
          <w:color w:val="231F20"/>
          <w:spacing w:val="-3"/>
          <w:sz w:val="20"/>
        </w:rPr>
        <w:t>child’s</w:t>
      </w:r>
      <w:r>
        <w:rPr>
          <w:color w:val="231F20"/>
          <w:spacing w:val="-8"/>
          <w:sz w:val="20"/>
        </w:rPr>
        <w:t xml:space="preserve"> </w:t>
      </w:r>
      <w:r>
        <w:rPr>
          <w:color w:val="231F20"/>
          <w:sz w:val="20"/>
        </w:rPr>
        <w:t>housing</w:t>
      </w:r>
      <w:r>
        <w:rPr>
          <w:color w:val="231F20"/>
          <w:spacing w:val="-8"/>
          <w:sz w:val="20"/>
        </w:rPr>
        <w:t xml:space="preserve"> </w:t>
      </w:r>
      <w:r>
        <w:rPr>
          <w:color w:val="231F20"/>
          <w:sz w:val="20"/>
        </w:rPr>
        <w:t>or</w:t>
      </w:r>
      <w:r>
        <w:rPr>
          <w:color w:val="231F20"/>
          <w:spacing w:val="-8"/>
          <w:sz w:val="20"/>
        </w:rPr>
        <w:t xml:space="preserve"> </w:t>
      </w:r>
      <w:r>
        <w:rPr>
          <w:color w:val="231F20"/>
          <w:sz w:val="20"/>
        </w:rPr>
        <w:t>education</w:t>
      </w:r>
      <w:r>
        <w:rPr>
          <w:color w:val="231F20"/>
          <w:spacing w:val="-8"/>
          <w:sz w:val="20"/>
        </w:rPr>
        <w:t xml:space="preserve"> </w:t>
      </w:r>
      <w:r>
        <w:rPr>
          <w:color w:val="231F20"/>
          <w:spacing w:val="-3"/>
          <w:sz w:val="20"/>
        </w:rPr>
        <w:t>are</w:t>
      </w:r>
      <w:r>
        <w:rPr>
          <w:color w:val="231F20"/>
          <w:spacing w:val="-7"/>
          <w:sz w:val="20"/>
        </w:rPr>
        <w:t xml:space="preserve"> </w:t>
      </w:r>
      <w:r>
        <w:rPr>
          <w:color w:val="231F20"/>
          <w:sz w:val="20"/>
        </w:rPr>
        <w:t>already</w:t>
      </w:r>
      <w:r>
        <w:rPr>
          <w:color w:val="231F20"/>
          <w:spacing w:val="-8"/>
          <w:sz w:val="20"/>
        </w:rPr>
        <w:t xml:space="preserve"> </w:t>
      </w:r>
      <w:r>
        <w:rPr>
          <w:color w:val="231F20"/>
          <w:sz w:val="20"/>
        </w:rPr>
        <w:t>quite</w:t>
      </w:r>
      <w:r>
        <w:rPr>
          <w:color w:val="231F20"/>
          <w:spacing w:val="-8"/>
          <w:sz w:val="20"/>
        </w:rPr>
        <w:t xml:space="preserve"> </w:t>
      </w:r>
      <w:r>
        <w:rPr>
          <w:color w:val="231F20"/>
          <w:sz w:val="20"/>
        </w:rPr>
        <w:t>strong.</w:t>
      </w:r>
      <w:r>
        <w:rPr>
          <w:color w:val="231F20"/>
          <w:spacing w:val="-8"/>
          <w:sz w:val="20"/>
        </w:rPr>
        <w:t xml:space="preserve"> </w:t>
      </w:r>
      <w:r>
        <w:rPr>
          <w:color w:val="231F20"/>
          <w:sz w:val="20"/>
        </w:rPr>
        <w:t>The</w:t>
      </w:r>
      <w:r>
        <w:rPr>
          <w:color w:val="231F20"/>
          <w:spacing w:val="-7"/>
          <w:sz w:val="20"/>
        </w:rPr>
        <w:t xml:space="preserve"> </w:t>
      </w:r>
      <w:r>
        <w:rPr>
          <w:color w:val="231F20"/>
          <w:spacing w:val="-3"/>
          <w:sz w:val="20"/>
        </w:rPr>
        <w:t>relevant</w:t>
      </w:r>
      <w:r>
        <w:rPr>
          <w:color w:val="231F20"/>
          <w:spacing w:val="-8"/>
          <w:sz w:val="20"/>
        </w:rPr>
        <w:t xml:space="preserve"> </w:t>
      </w:r>
      <w:r>
        <w:rPr>
          <w:color w:val="231F20"/>
          <w:spacing w:val="-3"/>
          <w:sz w:val="20"/>
        </w:rPr>
        <w:t>provisions</w:t>
      </w:r>
      <w:r>
        <w:rPr>
          <w:color w:val="231F20"/>
          <w:spacing w:val="-8"/>
          <w:sz w:val="20"/>
        </w:rPr>
        <w:t xml:space="preserve"> </w:t>
      </w:r>
      <w:r>
        <w:rPr>
          <w:color w:val="231F20"/>
          <w:sz w:val="20"/>
        </w:rPr>
        <w:t>of</w:t>
      </w:r>
      <w:r>
        <w:rPr>
          <w:color w:val="231F20"/>
          <w:spacing w:val="-8"/>
          <w:sz w:val="20"/>
        </w:rPr>
        <w:t xml:space="preserve"> </w:t>
      </w:r>
      <w:r>
        <w:rPr>
          <w:color w:val="231F20"/>
          <w:sz w:val="20"/>
        </w:rPr>
        <w:t xml:space="preserve">the </w:t>
      </w:r>
      <w:r>
        <w:rPr>
          <w:i/>
          <w:color w:val="231F20"/>
          <w:spacing w:val="-3"/>
          <w:sz w:val="20"/>
        </w:rPr>
        <w:t xml:space="preserve">Family </w:t>
      </w:r>
      <w:r>
        <w:rPr>
          <w:i/>
          <w:color w:val="231F20"/>
          <w:sz w:val="20"/>
        </w:rPr>
        <w:t xml:space="preserve">Violence </w:t>
      </w:r>
      <w:r>
        <w:rPr>
          <w:i/>
          <w:color w:val="231F20"/>
          <w:spacing w:val="-3"/>
          <w:sz w:val="20"/>
        </w:rPr>
        <w:t xml:space="preserve">Protection </w:t>
      </w:r>
      <w:r>
        <w:rPr>
          <w:i/>
          <w:color w:val="231F20"/>
          <w:sz w:val="20"/>
        </w:rPr>
        <w:t xml:space="preserve">Act 2008 </w:t>
      </w:r>
      <w:r>
        <w:rPr>
          <w:color w:val="231F20"/>
          <w:sz w:val="20"/>
        </w:rPr>
        <w:t xml:space="preserve">(Vic) </w:t>
      </w:r>
      <w:r>
        <w:rPr>
          <w:color w:val="231F20"/>
          <w:spacing w:val="-3"/>
          <w:sz w:val="20"/>
        </w:rPr>
        <w:t xml:space="preserve">are </w:t>
      </w:r>
      <w:r>
        <w:rPr>
          <w:color w:val="231F20"/>
          <w:sz w:val="20"/>
        </w:rPr>
        <w:t>quite</w:t>
      </w:r>
      <w:r>
        <w:rPr>
          <w:color w:val="231F20"/>
          <w:spacing w:val="-27"/>
          <w:sz w:val="20"/>
        </w:rPr>
        <w:t xml:space="preserve"> </w:t>
      </w:r>
      <w:r>
        <w:rPr>
          <w:color w:val="231F20"/>
          <w:sz w:val="20"/>
        </w:rPr>
        <w:t>similar.</w:t>
      </w:r>
      <w:r>
        <w:rPr>
          <w:color w:val="231F20"/>
          <w:position w:val="7"/>
          <w:sz w:val="11"/>
        </w:rPr>
        <w:t>272</w:t>
      </w:r>
    </w:p>
    <w:p w14:paraId="54C01CBA" w14:textId="77777777" w:rsidR="00894070" w:rsidRDefault="009B7AFD">
      <w:pPr>
        <w:pStyle w:val="ListParagraph"/>
        <w:numPr>
          <w:ilvl w:val="1"/>
          <w:numId w:val="102"/>
        </w:numPr>
        <w:tabs>
          <w:tab w:val="left" w:pos="1801"/>
          <w:tab w:val="left" w:pos="1802"/>
        </w:tabs>
        <w:spacing w:before="91" w:line="259" w:lineRule="exact"/>
        <w:rPr>
          <w:sz w:val="20"/>
        </w:rPr>
      </w:pPr>
      <w:r>
        <w:rPr>
          <w:color w:val="231F20"/>
          <w:spacing w:val="-5"/>
          <w:sz w:val="20"/>
        </w:rPr>
        <w:t>However,</w:t>
      </w:r>
      <w:r>
        <w:rPr>
          <w:color w:val="231F20"/>
          <w:spacing w:val="-6"/>
          <w:sz w:val="20"/>
        </w:rPr>
        <w:t xml:space="preserve"> </w:t>
      </w:r>
      <w:r>
        <w:rPr>
          <w:color w:val="231F20"/>
          <w:spacing w:val="-3"/>
          <w:sz w:val="20"/>
        </w:rPr>
        <w:t>we</w:t>
      </w:r>
      <w:r>
        <w:rPr>
          <w:color w:val="231F20"/>
          <w:spacing w:val="-5"/>
          <w:sz w:val="20"/>
        </w:rPr>
        <w:t xml:space="preserve"> </w:t>
      </w:r>
      <w:r>
        <w:rPr>
          <w:color w:val="231F20"/>
          <w:sz w:val="20"/>
        </w:rPr>
        <w:t>consider</w:t>
      </w:r>
      <w:r>
        <w:rPr>
          <w:color w:val="231F20"/>
          <w:spacing w:val="-5"/>
          <w:sz w:val="20"/>
        </w:rPr>
        <w:t xml:space="preserve"> </w:t>
      </w:r>
      <w:r>
        <w:rPr>
          <w:color w:val="231F20"/>
          <w:sz w:val="20"/>
        </w:rPr>
        <w:t>that</w:t>
      </w:r>
      <w:r>
        <w:rPr>
          <w:color w:val="231F20"/>
          <w:spacing w:val="-6"/>
          <w:sz w:val="20"/>
        </w:rPr>
        <w:t xml:space="preserve"> </w:t>
      </w:r>
      <w:r>
        <w:rPr>
          <w:color w:val="231F20"/>
          <w:sz w:val="20"/>
        </w:rPr>
        <w:t>final</w:t>
      </w:r>
      <w:r>
        <w:rPr>
          <w:color w:val="231F20"/>
          <w:spacing w:val="-5"/>
          <w:sz w:val="20"/>
        </w:rPr>
        <w:t xml:space="preserve"> </w:t>
      </w:r>
      <w:r>
        <w:rPr>
          <w:color w:val="231F20"/>
          <w:sz w:val="20"/>
        </w:rPr>
        <w:t>PSIOs</w:t>
      </w:r>
      <w:r>
        <w:rPr>
          <w:color w:val="231F20"/>
          <w:spacing w:val="-5"/>
          <w:sz w:val="20"/>
        </w:rPr>
        <w:t xml:space="preserve"> </w:t>
      </w:r>
      <w:r>
        <w:rPr>
          <w:color w:val="231F20"/>
          <w:sz w:val="20"/>
        </w:rPr>
        <w:t>against</w:t>
      </w:r>
      <w:r>
        <w:rPr>
          <w:color w:val="231F20"/>
          <w:spacing w:val="-5"/>
          <w:sz w:val="20"/>
        </w:rPr>
        <w:t xml:space="preserve"> </w:t>
      </w:r>
      <w:r>
        <w:rPr>
          <w:color w:val="231F20"/>
          <w:spacing w:val="-3"/>
          <w:sz w:val="20"/>
        </w:rPr>
        <w:t>children</w:t>
      </w:r>
      <w:r>
        <w:rPr>
          <w:color w:val="231F20"/>
          <w:spacing w:val="-6"/>
          <w:sz w:val="20"/>
        </w:rPr>
        <w:t xml:space="preserve"> </w:t>
      </w:r>
      <w:r>
        <w:rPr>
          <w:color w:val="231F20"/>
          <w:sz w:val="20"/>
        </w:rPr>
        <w:t>14</w:t>
      </w:r>
      <w:r>
        <w:rPr>
          <w:color w:val="231F20"/>
          <w:spacing w:val="-5"/>
          <w:sz w:val="20"/>
        </w:rPr>
        <w:t xml:space="preserve"> </w:t>
      </w:r>
      <w:r>
        <w:rPr>
          <w:color w:val="231F20"/>
          <w:sz w:val="20"/>
        </w:rPr>
        <w:t>and</w:t>
      </w:r>
      <w:r>
        <w:rPr>
          <w:color w:val="231F20"/>
          <w:spacing w:val="-5"/>
          <w:sz w:val="20"/>
        </w:rPr>
        <w:t xml:space="preserve"> </w:t>
      </w:r>
      <w:r>
        <w:rPr>
          <w:color w:val="231F20"/>
          <w:spacing w:val="-4"/>
          <w:sz w:val="20"/>
        </w:rPr>
        <w:t>over</w:t>
      </w:r>
      <w:r>
        <w:rPr>
          <w:color w:val="231F20"/>
          <w:spacing w:val="-5"/>
          <w:sz w:val="20"/>
        </w:rPr>
        <w:t xml:space="preserve"> </w:t>
      </w:r>
      <w:r>
        <w:rPr>
          <w:color w:val="231F20"/>
          <w:sz w:val="20"/>
        </w:rPr>
        <w:t>should</w:t>
      </w:r>
      <w:r>
        <w:rPr>
          <w:color w:val="231F20"/>
          <w:spacing w:val="-6"/>
          <w:sz w:val="20"/>
        </w:rPr>
        <w:t xml:space="preserve"> </w:t>
      </w:r>
      <w:r>
        <w:rPr>
          <w:color w:val="231F20"/>
          <w:sz w:val="20"/>
        </w:rPr>
        <w:t>be</w:t>
      </w:r>
      <w:r>
        <w:rPr>
          <w:color w:val="231F20"/>
          <w:spacing w:val="-5"/>
          <w:sz w:val="20"/>
        </w:rPr>
        <w:t xml:space="preserve"> </w:t>
      </w:r>
      <w:r>
        <w:rPr>
          <w:color w:val="231F20"/>
          <w:sz w:val="20"/>
        </w:rPr>
        <w:t>an</w:t>
      </w:r>
      <w:r>
        <w:rPr>
          <w:color w:val="231F20"/>
          <w:spacing w:val="-5"/>
          <w:sz w:val="20"/>
        </w:rPr>
        <w:t xml:space="preserve"> </w:t>
      </w:r>
      <w:r>
        <w:rPr>
          <w:color w:val="231F20"/>
          <w:sz w:val="20"/>
        </w:rPr>
        <w:t>order</w:t>
      </w:r>
    </w:p>
    <w:p w14:paraId="691AE58F" w14:textId="77777777" w:rsidR="00894070" w:rsidRDefault="009B7AFD">
      <w:pPr>
        <w:pStyle w:val="BodyText"/>
        <w:spacing w:line="259" w:lineRule="exact"/>
        <w:ind w:left="1801"/>
      </w:pPr>
      <w:r>
        <w:rPr>
          <w:color w:val="231F20"/>
        </w:rPr>
        <w:t>of last resort.</w:t>
      </w:r>
    </w:p>
    <w:p w14:paraId="47E57E8F" w14:textId="77777777" w:rsidR="00894070" w:rsidRDefault="009B7AFD">
      <w:pPr>
        <w:pStyle w:val="ListParagraph"/>
        <w:numPr>
          <w:ilvl w:val="1"/>
          <w:numId w:val="102"/>
        </w:numPr>
        <w:tabs>
          <w:tab w:val="left" w:pos="1801"/>
          <w:tab w:val="left" w:pos="1802"/>
        </w:tabs>
        <w:spacing w:before="115" w:line="206" w:lineRule="auto"/>
        <w:ind w:right="1307"/>
        <w:rPr>
          <w:sz w:val="20"/>
        </w:rPr>
      </w:pPr>
      <w:r>
        <w:rPr>
          <w:color w:val="231F20"/>
          <w:sz w:val="20"/>
        </w:rPr>
        <w:t xml:space="preserve">There is no </w:t>
      </w:r>
      <w:r>
        <w:rPr>
          <w:color w:val="231F20"/>
          <w:spacing w:val="-3"/>
          <w:sz w:val="20"/>
        </w:rPr>
        <w:t xml:space="preserve">requirement </w:t>
      </w:r>
      <w:r>
        <w:rPr>
          <w:color w:val="231F20"/>
          <w:sz w:val="20"/>
        </w:rPr>
        <w:t>to consider an</w:t>
      </w:r>
      <w:r>
        <w:rPr>
          <w:color w:val="231F20"/>
          <w:spacing w:val="-36"/>
          <w:sz w:val="20"/>
        </w:rPr>
        <w:t xml:space="preserve"> </w:t>
      </w:r>
      <w:r>
        <w:rPr>
          <w:color w:val="231F20"/>
          <w:spacing w:val="-3"/>
          <w:sz w:val="20"/>
        </w:rPr>
        <w:t xml:space="preserve">alternative </w:t>
      </w:r>
      <w:r>
        <w:rPr>
          <w:color w:val="231F20"/>
          <w:spacing w:val="-4"/>
          <w:sz w:val="20"/>
        </w:rPr>
        <w:t xml:space="preserve">pathway </w:t>
      </w:r>
      <w:r>
        <w:rPr>
          <w:color w:val="231F20"/>
          <w:spacing w:val="-3"/>
          <w:sz w:val="20"/>
        </w:rPr>
        <w:t xml:space="preserve">for children before </w:t>
      </w:r>
      <w:r>
        <w:rPr>
          <w:color w:val="231F20"/>
          <w:sz w:val="20"/>
        </w:rPr>
        <w:t xml:space="preserve">making an order in the PSIO </w:t>
      </w:r>
      <w:r>
        <w:rPr>
          <w:color w:val="231F20"/>
          <w:spacing w:val="-2"/>
          <w:sz w:val="20"/>
        </w:rPr>
        <w:t xml:space="preserve">Act </w:t>
      </w:r>
      <w:r>
        <w:rPr>
          <w:color w:val="231F20"/>
          <w:spacing w:val="-3"/>
          <w:sz w:val="20"/>
        </w:rPr>
        <w:t xml:space="preserve">(or for </w:t>
      </w:r>
      <w:r>
        <w:rPr>
          <w:color w:val="231F20"/>
          <w:sz w:val="20"/>
        </w:rPr>
        <w:t xml:space="preserve">that </w:t>
      </w:r>
      <w:r>
        <w:rPr>
          <w:color w:val="231F20"/>
          <w:spacing w:val="-4"/>
          <w:sz w:val="20"/>
        </w:rPr>
        <w:t xml:space="preserve">matter, </w:t>
      </w:r>
      <w:r>
        <w:rPr>
          <w:color w:val="231F20"/>
          <w:sz w:val="20"/>
        </w:rPr>
        <w:t xml:space="preserve">under the </w:t>
      </w:r>
      <w:r>
        <w:rPr>
          <w:color w:val="231F20"/>
          <w:spacing w:val="-3"/>
          <w:sz w:val="20"/>
        </w:rPr>
        <w:t xml:space="preserve">FVPA). </w:t>
      </w:r>
      <w:r>
        <w:rPr>
          <w:color w:val="231F20"/>
          <w:sz w:val="20"/>
        </w:rPr>
        <w:t>There is no presumption against an order being</w:t>
      </w:r>
      <w:r>
        <w:rPr>
          <w:color w:val="231F20"/>
          <w:spacing w:val="-18"/>
          <w:sz w:val="20"/>
        </w:rPr>
        <w:t xml:space="preserve"> </w:t>
      </w:r>
      <w:r>
        <w:rPr>
          <w:color w:val="231F20"/>
          <w:sz w:val="20"/>
        </w:rPr>
        <w:t>made.</w:t>
      </w:r>
    </w:p>
    <w:p w14:paraId="4A350519" w14:textId="77777777" w:rsidR="00894070" w:rsidRDefault="009B7AFD">
      <w:pPr>
        <w:pStyle w:val="ListParagraph"/>
        <w:numPr>
          <w:ilvl w:val="1"/>
          <w:numId w:val="102"/>
        </w:numPr>
        <w:tabs>
          <w:tab w:val="left" w:pos="1801"/>
          <w:tab w:val="left" w:pos="1802"/>
        </w:tabs>
        <w:spacing w:before="92" w:line="259" w:lineRule="exact"/>
        <w:rPr>
          <w:sz w:val="20"/>
        </w:rPr>
      </w:pPr>
      <w:r>
        <w:rPr>
          <w:color w:val="231F20"/>
          <w:sz w:val="20"/>
        </w:rPr>
        <w:t>Victoria</w:t>
      </w:r>
      <w:r>
        <w:rPr>
          <w:color w:val="231F20"/>
          <w:spacing w:val="-6"/>
          <w:sz w:val="20"/>
        </w:rPr>
        <w:t xml:space="preserve"> </w:t>
      </w:r>
      <w:r>
        <w:rPr>
          <w:color w:val="231F20"/>
          <w:sz w:val="20"/>
        </w:rPr>
        <w:t>Legal</w:t>
      </w:r>
      <w:r>
        <w:rPr>
          <w:color w:val="231F20"/>
          <w:spacing w:val="-6"/>
          <w:sz w:val="20"/>
        </w:rPr>
        <w:t xml:space="preserve"> </w:t>
      </w:r>
      <w:r>
        <w:rPr>
          <w:color w:val="231F20"/>
          <w:sz w:val="20"/>
        </w:rPr>
        <w:t>Aid</w:t>
      </w:r>
      <w:r>
        <w:rPr>
          <w:color w:val="231F20"/>
          <w:spacing w:val="-5"/>
          <w:sz w:val="20"/>
        </w:rPr>
        <w:t xml:space="preserve"> </w:t>
      </w:r>
      <w:r>
        <w:rPr>
          <w:color w:val="231F20"/>
          <w:sz w:val="20"/>
        </w:rPr>
        <w:t>said</w:t>
      </w:r>
      <w:r>
        <w:rPr>
          <w:color w:val="231F20"/>
          <w:spacing w:val="-6"/>
          <w:sz w:val="20"/>
        </w:rPr>
        <w:t xml:space="preserve"> </w:t>
      </w:r>
      <w:r>
        <w:rPr>
          <w:color w:val="231F20"/>
          <w:sz w:val="20"/>
        </w:rPr>
        <w:t>a</w:t>
      </w:r>
      <w:r>
        <w:rPr>
          <w:color w:val="231F20"/>
          <w:spacing w:val="-5"/>
          <w:sz w:val="20"/>
        </w:rPr>
        <w:t xml:space="preserve"> </w:t>
      </w:r>
      <w:r>
        <w:rPr>
          <w:color w:val="231F20"/>
          <w:sz w:val="20"/>
        </w:rPr>
        <w:t>justice</w:t>
      </w:r>
      <w:r>
        <w:rPr>
          <w:color w:val="231F20"/>
          <w:spacing w:val="-6"/>
          <w:sz w:val="20"/>
        </w:rPr>
        <w:t xml:space="preserve"> </w:t>
      </w:r>
      <w:r>
        <w:rPr>
          <w:color w:val="231F20"/>
          <w:sz w:val="20"/>
        </w:rPr>
        <w:t>response</w:t>
      </w:r>
      <w:r>
        <w:rPr>
          <w:color w:val="231F20"/>
          <w:spacing w:val="-6"/>
          <w:sz w:val="20"/>
        </w:rPr>
        <w:t xml:space="preserve"> </w:t>
      </w:r>
      <w:r>
        <w:rPr>
          <w:color w:val="231F20"/>
          <w:sz w:val="20"/>
        </w:rPr>
        <w:t>should</w:t>
      </w:r>
      <w:r>
        <w:rPr>
          <w:color w:val="231F20"/>
          <w:spacing w:val="-5"/>
          <w:sz w:val="20"/>
        </w:rPr>
        <w:t xml:space="preserve"> </w:t>
      </w:r>
      <w:r>
        <w:rPr>
          <w:color w:val="231F20"/>
          <w:sz w:val="20"/>
        </w:rPr>
        <w:t>be</w:t>
      </w:r>
      <w:r>
        <w:rPr>
          <w:color w:val="231F20"/>
          <w:spacing w:val="-6"/>
          <w:sz w:val="20"/>
        </w:rPr>
        <w:t xml:space="preserve"> </w:t>
      </w:r>
      <w:r>
        <w:rPr>
          <w:color w:val="231F20"/>
          <w:spacing w:val="-3"/>
          <w:sz w:val="20"/>
        </w:rPr>
        <w:t>avoided</w:t>
      </w:r>
      <w:r>
        <w:rPr>
          <w:color w:val="231F20"/>
          <w:spacing w:val="-5"/>
          <w:sz w:val="20"/>
        </w:rPr>
        <w:t xml:space="preserve"> </w:t>
      </w:r>
      <w:r>
        <w:rPr>
          <w:color w:val="231F20"/>
          <w:sz w:val="20"/>
        </w:rPr>
        <w:t>when</w:t>
      </w:r>
      <w:r>
        <w:rPr>
          <w:color w:val="231F20"/>
          <w:spacing w:val="-6"/>
          <w:sz w:val="20"/>
        </w:rPr>
        <w:t xml:space="preserve"> </w:t>
      </w:r>
      <w:r>
        <w:rPr>
          <w:color w:val="231F20"/>
          <w:sz w:val="20"/>
        </w:rPr>
        <w:t>there</w:t>
      </w:r>
      <w:r>
        <w:rPr>
          <w:color w:val="231F20"/>
          <w:spacing w:val="-6"/>
          <w:sz w:val="20"/>
        </w:rPr>
        <w:t xml:space="preserve"> </w:t>
      </w:r>
      <w:r>
        <w:rPr>
          <w:color w:val="231F20"/>
          <w:sz w:val="20"/>
        </w:rPr>
        <w:t>could</w:t>
      </w:r>
      <w:r>
        <w:rPr>
          <w:color w:val="231F20"/>
          <w:spacing w:val="-5"/>
          <w:sz w:val="20"/>
        </w:rPr>
        <w:t xml:space="preserve"> </w:t>
      </w:r>
      <w:r>
        <w:rPr>
          <w:color w:val="231F20"/>
          <w:sz w:val="20"/>
        </w:rPr>
        <w:t>be</w:t>
      </w:r>
      <w:r>
        <w:rPr>
          <w:color w:val="231F20"/>
          <w:spacing w:val="-6"/>
          <w:sz w:val="20"/>
        </w:rPr>
        <w:t xml:space="preserve"> </w:t>
      </w:r>
      <w:r>
        <w:rPr>
          <w:color w:val="231F20"/>
          <w:sz w:val="20"/>
        </w:rPr>
        <w:t>a</w:t>
      </w:r>
    </w:p>
    <w:p w14:paraId="6F115F0E" w14:textId="77777777" w:rsidR="00894070" w:rsidRDefault="009B7AFD">
      <w:pPr>
        <w:pStyle w:val="BodyText"/>
        <w:spacing w:line="259" w:lineRule="exact"/>
        <w:ind w:left="1801"/>
        <w:rPr>
          <w:sz w:val="11"/>
        </w:rPr>
      </w:pPr>
      <w:r>
        <w:rPr>
          <w:color w:val="231F20"/>
        </w:rPr>
        <w:t>therapeutic response.</w:t>
      </w:r>
      <w:r>
        <w:rPr>
          <w:color w:val="231F20"/>
          <w:position w:val="7"/>
          <w:sz w:val="11"/>
        </w:rPr>
        <w:t>273</w:t>
      </w:r>
    </w:p>
    <w:p w14:paraId="0878872A" w14:textId="77777777" w:rsidR="00894070" w:rsidRDefault="009B7AFD">
      <w:pPr>
        <w:pStyle w:val="ListParagraph"/>
        <w:numPr>
          <w:ilvl w:val="1"/>
          <w:numId w:val="102"/>
        </w:numPr>
        <w:tabs>
          <w:tab w:val="left" w:pos="1801"/>
          <w:tab w:val="left" w:pos="1802"/>
        </w:tabs>
        <w:spacing w:before="114" w:line="206" w:lineRule="auto"/>
        <w:ind w:right="1165"/>
        <w:rPr>
          <w:sz w:val="20"/>
        </w:rPr>
      </w:pPr>
      <w:r>
        <w:rPr>
          <w:color w:val="231F20"/>
          <w:spacing w:val="-6"/>
          <w:sz w:val="20"/>
        </w:rPr>
        <w:t xml:space="preserve">We </w:t>
      </w:r>
      <w:r>
        <w:rPr>
          <w:color w:val="231F20"/>
          <w:sz w:val="20"/>
        </w:rPr>
        <w:t xml:space="preserve">agree that therapeutic </w:t>
      </w:r>
      <w:r>
        <w:rPr>
          <w:color w:val="231F20"/>
          <w:spacing w:val="-4"/>
          <w:sz w:val="20"/>
        </w:rPr>
        <w:t xml:space="preserve">pathways </w:t>
      </w:r>
      <w:r>
        <w:rPr>
          <w:color w:val="231F20"/>
          <w:spacing w:val="-3"/>
          <w:sz w:val="20"/>
        </w:rPr>
        <w:t xml:space="preserve">for children </w:t>
      </w:r>
      <w:r>
        <w:rPr>
          <w:color w:val="231F20"/>
          <w:sz w:val="20"/>
        </w:rPr>
        <w:t xml:space="preserve">should be </w:t>
      </w:r>
      <w:r>
        <w:rPr>
          <w:color w:val="231F20"/>
          <w:spacing w:val="-3"/>
          <w:sz w:val="20"/>
        </w:rPr>
        <w:t xml:space="preserve">preferred. </w:t>
      </w:r>
      <w:r>
        <w:rPr>
          <w:color w:val="231F20"/>
          <w:sz w:val="20"/>
        </w:rPr>
        <w:t xml:space="preserve">The response to </w:t>
      </w:r>
      <w:r>
        <w:rPr>
          <w:color w:val="231F20"/>
          <w:spacing w:val="-3"/>
          <w:sz w:val="20"/>
        </w:rPr>
        <w:t xml:space="preserve">children </w:t>
      </w:r>
      <w:r>
        <w:rPr>
          <w:color w:val="231F20"/>
          <w:sz w:val="20"/>
        </w:rPr>
        <w:t xml:space="preserve">needs to </w:t>
      </w:r>
      <w:r>
        <w:rPr>
          <w:color w:val="231F20"/>
          <w:spacing w:val="-5"/>
          <w:sz w:val="20"/>
        </w:rPr>
        <w:t xml:space="preserve">evolve </w:t>
      </w:r>
      <w:r>
        <w:rPr>
          <w:color w:val="231F20"/>
          <w:sz w:val="20"/>
        </w:rPr>
        <w:t xml:space="preserve">to recognise evidence about their </w:t>
      </w:r>
      <w:r>
        <w:rPr>
          <w:color w:val="231F20"/>
          <w:spacing w:val="-3"/>
          <w:sz w:val="20"/>
        </w:rPr>
        <w:t xml:space="preserve">development </w:t>
      </w:r>
      <w:r>
        <w:rPr>
          <w:color w:val="231F20"/>
          <w:sz w:val="20"/>
        </w:rPr>
        <w:t xml:space="preserve">and </w:t>
      </w:r>
      <w:r>
        <w:rPr>
          <w:color w:val="231F20"/>
          <w:spacing w:val="-4"/>
          <w:sz w:val="20"/>
        </w:rPr>
        <w:t xml:space="preserve">prevent </w:t>
      </w:r>
      <w:r>
        <w:rPr>
          <w:color w:val="231F20"/>
          <w:spacing w:val="-3"/>
          <w:sz w:val="20"/>
        </w:rPr>
        <w:t>long-term</w:t>
      </w:r>
      <w:r>
        <w:rPr>
          <w:color w:val="231F20"/>
          <w:spacing w:val="-9"/>
          <w:sz w:val="20"/>
        </w:rPr>
        <w:t xml:space="preserve"> </w:t>
      </w:r>
      <w:r>
        <w:rPr>
          <w:color w:val="231F20"/>
          <w:sz w:val="20"/>
        </w:rPr>
        <w:t>contact</w:t>
      </w:r>
      <w:r>
        <w:rPr>
          <w:color w:val="231F20"/>
          <w:spacing w:val="-9"/>
          <w:sz w:val="20"/>
        </w:rPr>
        <w:t xml:space="preserve"> </w:t>
      </w:r>
      <w:r>
        <w:rPr>
          <w:color w:val="231F20"/>
          <w:sz w:val="20"/>
        </w:rPr>
        <w:t>with</w:t>
      </w:r>
      <w:r>
        <w:rPr>
          <w:color w:val="231F20"/>
          <w:spacing w:val="-9"/>
          <w:sz w:val="20"/>
        </w:rPr>
        <w:t xml:space="preserve"> </w:t>
      </w:r>
      <w:r>
        <w:rPr>
          <w:color w:val="231F20"/>
          <w:sz w:val="20"/>
        </w:rPr>
        <w:t>the</w:t>
      </w:r>
      <w:r>
        <w:rPr>
          <w:color w:val="231F20"/>
          <w:spacing w:val="-9"/>
          <w:sz w:val="20"/>
        </w:rPr>
        <w:t xml:space="preserve"> </w:t>
      </w:r>
      <w:r>
        <w:rPr>
          <w:color w:val="231F20"/>
          <w:sz w:val="20"/>
        </w:rPr>
        <w:t>justice</w:t>
      </w:r>
      <w:r>
        <w:rPr>
          <w:color w:val="231F20"/>
          <w:spacing w:val="-8"/>
          <w:sz w:val="20"/>
        </w:rPr>
        <w:t xml:space="preserve"> </w:t>
      </w:r>
      <w:r>
        <w:rPr>
          <w:color w:val="231F20"/>
          <w:sz w:val="20"/>
        </w:rPr>
        <w:t>system.</w:t>
      </w:r>
      <w:r>
        <w:rPr>
          <w:color w:val="231F20"/>
          <w:spacing w:val="-9"/>
          <w:sz w:val="20"/>
        </w:rPr>
        <w:t xml:space="preserve"> </w:t>
      </w:r>
      <w:r>
        <w:rPr>
          <w:color w:val="231F20"/>
          <w:spacing w:val="-3"/>
          <w:sz w:val="20"/>
        </w:rPr>
        <w:t>Early</w:t>
      </w:r>
      <w:r>
        <w:rPr>
          <w:color w:val="231F20"/>
          <w:spacing w:val="-9"/>
          <w:sz w:val="20"/>
        </w:rPr>
        <w:t xml:space="preserve"> </w:t>
      </w:r>
      <w:r>
        <w:rPr>
          <w:color w:val="231F20"/>
          <w:spacing w:val="-2"/>
          <w:sz w:val="20"/>
        </w:rPr>
        <w:t>intervention</w:t>
      </w:r>
      <w:r>
        <w:rPr>
          <w:color w:val="231F20"/>
          <w:spacing w:val="-9"/>
          <w:sz w:val="20"/>
        </w:rPr>
        <w:t xml:space="preserve"> </w:t>
      </w:r>
      <w:r>
        <w:rPr>
          <w:color w:val="231F20"/>
          <w:sz w:val="20"/>
        </w:rPr>
        <w:t>should</w:t>
      </w:r>
      <w:r>
        <w:rPr>
          <w:color w:val="231F20"/>
          <w:spacing w:val="-9"/>
          <w:sz w:val="20"/>
        </w:rPr>
        <w:t xml:space="preserve"> </w:t>
      </w:r>
      <w:r>
        <w:rPr>
          <w:color w:val="231F20"/>
          <w:sz w:val="20"/>
        </w:rPr>
        <w:t>be</w:t>
      </w:r>
      <w:r>
        <w:rPr>
          <w:color w:val="231F20"/>
          <w:spacing w:val="-8"/>
          <w:sz w:val="20"/>
        </w:rPr>
        <w:t xml:space="preserve"> </w:t>
      </w:r>
      <w:r>
        <w:rPr>
          <w:color w:val="231F20"/>
          <w:sz w:val="20"/>
        </w:rPr>
        <w:t>used</w:t>
      </w:r>
      <w:r>
        <w:rPr>
          <w:color w:val="231F20"/>
          <w:spacing w:val="-9"/>
          <w:sz w:val="20"/>
        </w:rPr>
        <w:t xml:space="preserve"> </w:t>
      </w:r>
      <w:r>
        <w:rPr>
          <w:color w:val="231F20"/>
          <w:sz w:val="20"/>
        </w:rPr>
        <w:t>to</w:t>
      </w:r>
      <w:r>
        <w:rPr>
          <w:color w:val="231F20"/>
          <w:spacing w:val="-9"/>
          <w:sz w:val="20"/>
        </w:rPr>
        <w:t xml:space="preserve"> </w:t>
      </w:r>
      <w:r>
        <w:rPr>
          <w:color w:val="231F20"/>
          <w:sz w:val="20"/>
        </w:rPr>
        <w:t>stop</w:t>
      </w:r>
      <w:r>
        <w:rPr>
          <w:color w:val="231F20"/>
          <w:spacing w:val="-9"/>
          <w:sz w:val="20"/>
        </w:rPr>
        <w:t xml:space="preserve"> </w:t>
      </w:r>
      <w:r>
        <w:rPr>
          <w:color w:val="231F20"/>
          <w:sz w:val="20"/>
        </w:rPr>
        <w:t>the stalking</w:t>
      </w:r>
      <w:r>
        <w:rPr>
          <w:color w:val="231F20"/>
          <w:spacing w:val="-7"/>
          <w:sz w:val="20"/>
        </w:rPr>
        <w:t xml:space="preserve"> </w:t>
      </w:r>
      <w:r>
        <w:rPr>
          <w:color w:val="231F20"/>
          <w:spacing w:val="-3"/>
          <w:sz w:val="20"/>
        </w:rPr>
        <w:t>behaviour,</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the</w:t>
      </w:r>
      <w:r>
        <w:rPr>
          <w:color w:val="231F20"/>
          <w:spacing w:val="-6"/>
          <w:sz w:val="20"/>
        </w:rPr>
        <w:t xml:space="preserve"> </w:t>
      </w:r>
      <w:r>
        <w:rPr>
          <w:color w:val="231F20"/>
          <w:sz w:val="20"/>
        </w:rPr>
        <w:t>benefit</w:t>
      </w:r>
      <w:r>
        <w:rPr>
          <w:color w:val="231F20"/>
          <w:spacing w:val="-6"/>
          <w:sz w:val="20"/>
        </w:rPr>
        <w:t xml:space="preserve"> </w:t>
      </w:r>
      <w:r>
        <w:rPr>
          <w:color w:val="231F20"/>
          <w:sz w:val="20"/>
        </w:rPr>
        <w:t>of</w:t>
      </w:r>
      <w:r>
        <w:rPr>
          <w:color w:val="231F20"/>
          <w:spacing w:val="-6"/>
          <w:sz w:val="20"/>
        </w:rPr>
        <w:t xml:space="preserve"> </w:t>
      </w:r>
      <w:r>
        <w:rPr>
          <w:color w:val="231F20"/>
          <w:sz w:val="20"/>
        </w:rPr>
        <w:t>both</w:t>
      </w:r>
      <w:r>
        <w:rPr>
          <w:color w:val="231F20"/>
          <w:spacing w:val="-6"/>
          <w:sz w:val="20"/>
        </w:rPr>
        <w:t xml:space="preserve"> </w:t>
      </w:r>
      <w:r>
        <w:rPr>
          <w:color w:val="231F20"/>
          <w:sz w:val="20"/>
        </w:rPr>
        <w:t>the</w:t>
      </w:r>
      <w:r>
        <w:rPr>
          <w:color w:val="231F20"/>
          <w:spacing w:val="-7"/>
          <w:sz w:val="20"/>
        </w:rPr>
        <w:t xml:space="preserve"> </w:t>
      </w:r>
      <w:r>
        <w:rPr>
          <w:color w:val="231F20"/>
          <w:sz w:val="20"/>
        </w:rPr>
        <w:t>child</w:t>
      </w:r>
      <w:r>
        <w:rPr>
          <w:color w:val="231F20"/>
          <w:spacing w:val="-6"/>
          <w:sz w:val="20"/>
        </w:rPr>
        <w:t xml:space="preserve"> </w:t>
      </w:r>
      <w:r>
        <w:rPr>
          <w:color w:val="231F20"/>
          <w:spacing w:val="-2"/>
          <w:sz w:val="20"/>
        </w:rPr>
        <w:t>respondent</w:t>
      </w:r>
      <w:r>
        <w:rPr>
          <w:color w:val="231F20"/>
          <w:spacing w:val="-6"/>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community.</w:t>
      </w:r>
    </w:p>
    <w:p w14:paraId="12E5F91A" w14:textId="77777777" w:rsidR="00894070" w:rsidRDefault="009B7AFD">
      <w:pPr>
        <w:pStyle w:val="ListParagraph"/>
        <w:numPr>
          <w:ilvl w:val="1"/>
          <w:numId w:val="102"/>
        </w:numPr>
        <w:tabs>
          <w:tab w:val="left" w:pos="1801"/>
          <w:tab w:val="left" w:pos="1802"/>
        </w:tabs>
        <w:spacing w:before="125" w:line="206" w:lineRule="auto"/>
        <w:ind w:right="1290"/>
        <w:rPr>
          <w:sz w:val="11"/>
        </w:rPr>
      </w:pPr>
      <w:r>
        <w:rPr>
          <w:color w:val="231F20"/>
          <w:sz w:val="20"/>
        </w:rPr>
        <w:t>Stalking</w:t>
      </w:r>
      <w:r>
        <w:rPr>
          <w:color w:val="231F20"/>
          <w:spacing w:val="-11"/>
          <w:sz w:val="20"/>
        </w:rPr>
        <w:t xml:space="preserve"> </w:t>
      </w:r>
      <w:r>
        <w:rPr>
          <w:color w:val="231F20"/>
          <w:sz w:val="20"/>
        </w:rPr>
        <w:t>among</w:t>
      </w:r>
      <w:r>
        <w:rPr>
          <w:color w:val="231F20"/>
          <w:spacing w:val="-10"/>
          <w:sz w:val="20"/>
        </w:rPr>
        <w:t xml:space="preserve"> </w:t>
      </w:r>
      <w:r>
        <w:rPr>
          <w:color w:val="231F20"/>
          <w:sz w:val="20"/>
        </w:rPr>
        <w:t>adolescents</w:t>
      </w:r>
      <w:r>
        <w:rPr>
          <w:color w:val="231F20"/>
          <w:spacing w:val="-10"/>
          <w:sz w:val="20"/>
        </w:rPr>
        <w:t xml:space="preserve"> </w:t>
      </w:r>
      <w:r>
        <w:rPr>
          <w:color w:val="231F20"/>
          <w:sz w:val="20"/>
        </w:rPr>
        <w:t>can</w:t>
      </w:r>
      <w:r>
        <w:rPr>
          <w:color w:val="231F20"/>
          <w:spacing w:val="-10"/>
          <w:sz w:val="20"/>
        </w:rPr>
        <w:t xml:space="preserve"> </w:t>
      </w:r>
      <w:r>
        <w:rPr>
          <w:color w:val="231F20"/>
          <w:sz w:val="20"/>
        </w:rPr>
        <w:t>be</w:t>
      </w:r>
      <w:r>
        <w:rPr>
          <w:color w:val="231F20"/>
          <w:spacing w:val="-10"/>
          <w:sz w:val="20"/>
        </w:rPr>
        <w:t xml:space="preserve"> </w:t>
      </w:r>
      <w:r>
        <w:rPr>
          <w:color w:val="231F20"/>
          <w:sz w:val="20"/>
        </w:rPr>
        <w:t>serious</w:t>
      </w:r>
      <w:r>
        <w:rPr>
          <w:color w:val="231F20"/>
          <w:spacing w:val="-10"/>
          <w:sz w:val="20"/>
        </w:rPr>
        <w:t xml:space="preserve"> </w:t>
      </w:r>
      <w:r>
        <w:rPr>
          <w:color w:val="231F20"/>
          <w:sz w:val="20"/>
        </w:rPr>
        <w:t>and</w:t>
      </w:r>
      <w:r>
        <w:rPr>
          <w:color w:val="231F20"/>
          <w:spacing w:val="-10"/>
          <w:sz w:val="20"/>
        </w:rPr>
        <w:t xml:space="preserve"> </w:t>
      </w:r>
      <w:r>
        <w:rPr>
          <w:color w:val="231F20"/>
          <w:sz w:val="20"/>
        </w:rPr>
        <w:t>include</w:t>
      </w:r>
      <w:r>
        <w:rPr>
          <w:color w:val="231F20"/>
          <w:spacing w:val="-10"/>
          <w:sz w:val="20"/>
        </w:rPr>
        <w:t xml:space="preserve"> </w:t>
      </w:r>
      <w:r>
        <w:rPr>
          <w:color w:val="231F20"/>
          <w:spacing w:val="-3"/>
          <w:sz w:val="20"/>
        </w:rPr>
        <w:t>threatening</w:t>
      </w:r>
      <w:r>
        <w:rPr>
          <w:color w:val="231F20"/>
          <w:spacing w:val="-11"/>
          <w:sz w:val="20"/>
        </w:rPr>
        <w:t xml:space="preserve"> </w:t>
      </w:r>
      <w:r>
        <w:rPr>
          <w:color w:val="231F20"/>
          <w:sz w:val="20"/>
        </w:rPr>
        <w:t>and</w:t>
      </w:r>
      <w:r>
        <w:rPr>
          <w:color w:val="231F20"/>
          <w:spacing w:val="-10"/>
          <w:sz w:val="20"/>
        </w:rPr>
        <w:t xml:space="preserve"> </w:t>
      </w:r>
      <w:r>
        <w:rPr>
          <w:color w:val="231F20"/>
          <w:sz w:val="20"/>
        </w:rPr>
        <w:t>violent</w:t>
      </w:r>
      <w:r>
        <w:rPr>
          <w:color w:val="231F20"/>
          <w:spacing w:val="-10"/>
          <w:sz w:val="20"/>
        </w:rPr>
        <w:t xml:space="preserve"> </w:t>
      </w:r>
      <w:r>
        <w:rPr>
          <w:color w:val="231F20"/>
          <w:sz w:val="20"/>
        </w:rPr>
        <w:t xml:space="preserve">forms of pursuit. </w:t>
      </w:r>
      <w:r>
        <w:rPr>
          <w:color w:val="231F20"/>
          <w:spacing w:val="-3"/>
          <w:sz w:val="20"/>
        </w:rPr>
        <w:t xml:space="preserve">Adolescent </w:t>
      </w:r>
      <w:r>
        <w:rPr>
          <w:color w:val="231F20"/>
          <w:sz w:val="20"/>
        </w:rPr>
        <w:t xml:space="preserve">stalking should be taken </w:t>
      </w:r>
      <w:r>
        <w:rPr>
          <w:color w:val="231F20"/>
          <w:spacing w:val="-3"/>
          <w:sz w:val="20"/>
        </w:rPr>
        <w:t xml:space="preserve">seriously, given </w:t>
      </w:r>
      <w:r>
        <w:rPr>
          <w:color w:val="231F20"/>
          <w:sz w:val="20"/>
        </w:rPr>
        <w:t xml:space="preserve">the </w:t>
      </w:r>
      <w:r>
        <w:rPr>
          <w:color w:val="231F20"/>
          <w:spacing w:val="-4"/>
          <w:sz w:val="20"/>
        </w:rPr>
        <w:t xml:space="preserve">‘even </w:t>
      </w:r>
      <w:r>
        <w:rPr>
          <w:color w:val="231F20"/>
          <w:spacing w:val="-3"/>
          <w:sz w:val="20"/>
        </w:rPr>
        <w:t>greater potential</w:t>
      </w:r>
      <w:r>
        <w:rPr>
          <w:color w:val="231F20"/>
          <w:spacing w:val="-5"/>
          <w:sz w:val="20"/>
        </w:rPr>
        <w:t xml:space="preserve"> </w:t>
      </w:r>
      <w:r>
        <w:rPr>
          <w:color w:val="231F20"/>
          <w:spacing w:val="-3"/>
          <w:sz w:val="20"/>
        </w:rPr>
        <w:t>for</w:t>
      </w:r>
      <w:r>
        <w:rPr>
          <w:color w:val="231F20"/>
          <w:spacing w:val="-4"/>
          <w:sz w:val="20"/>
        </w:rPr>
        <w:t xml:space="preserve"> </w:t>
      </w:r>
      <w:r>
        <w:rPr>
          <w:color w:val="231F20"/>
          <w:sz w:val="20"/>
        </w:rPr>
        <w:t>disruption</w:t>
      </w:r>
      <w:r>
        <w:rPr>
          <w:color w:val="231F20"/>
          <w:spacing w:val="-4"/>
          <w:sz w:val="20"/>
        </w:rPr>
        <w:t xml:space="preserve"> </w:t>
      </w:r>
      <w:r>
        <w:rPr>
          <w:color w:val="231F20"/>
          <w:sz w:val="20"/>
        </w:rPr>
        <w:t>to</w:t>
      </w:r>
      <w:r>
        <w:rPr>
          <w:color w:val="231F20"/>
          <w:spacing w:val="-5"/>
          <w:sz w:val="20"/>
        </w:rPr>
        <w:t xml:space="preserve"> </w:t>
      </w:r>
      <w:r>
        <w:rPr>
          <w:color w:val="231F20"/>
          <w:sz w:val="20"/>
        </w:rPr>
        <w:t>the</w:t>
      </w:r>
      <w:r>
        <w:rPr>
          <w:color w:val="231F20"/>
          <w:spacing w:val="-4"/>
          <w:sz w:val="20"/>
        </w:rPr>
        <w:t xml:space="preserve"> </w:t>
      </w:r>
      <w:r>
        <w:rPr>
          <w:color w:val="231F20"/>
          <w:spacing w:val="-3"/>
          <w:sz w:val="20"/>
        </w:rPr>
        <w:t>victim’s</w:t>
      </w:r>
      <w:r>
        <w:rPr>
          <w:color w:val="231F20"/>
          <w:spacing w:val="-4"/>
          <w:sz w:val="20"/>
        </w:rPr>
        <w:t xml:space="preserve"> </w:t>
      </w:r>
      <w:r>
        <w:rPr>
          <w:color w:val="231F20"/>
          <w:spacing w:val="-3"/>
          <w:sz w:val="20"/>
        </w:rPr>
        <w:t>life</w:t>
      </w:r>
      <w:r>
        <w:rPr>
          <w:color w:val="231F20"/>
          <w:spacing w:val="-5"/>
          <w:sz w:val="20"/>
        </w:rPr>
        <w:t xml:space="preserve"> </w:t>
      </w:r>
      <w:r>
        <w:rPr>
          <w:color w:val="231F20"/>
          <w:sz w:val="20"/>
        </w:rPr>
        <w:t>and</w:t>
      </w:r>
      <w:r>
        <w:rPr>
          <w:color w:val="231F20"/>
          <w:spacing w:val="-4"/>
          <w:sz w:val="20"/>
        </w:rPr>
        <w:t xml:space="preserve"> </w:t>
      </w:r>
      <w:r>
        <w:rPr>
          <w:color w:val="231F20"/>
          <w:sz w:val="20"/>
        </w:rPr>
        <w:t>the</w:t>
      </w:r>
      <w:r>
        <w:rPr>
          <w:color w:val="231F20"/>
          <w:spacing w:val="-4"/>
          <w:sz w:val="20"/>
        </w:rPr>
        <w:t xml:space="preserve"> </w:t>
      </w:r>
      <w:r>
        <w:rPr>
          <w:color w:val="231F20"/>
          <w:sz w:val="20"/>
        </w:rPr>
        <w:t>risks</w:t>
      </w:r>
      <w:r>
        <w:rPr>
          <w:color w:val="231F20"/>
          <w:spacing w:val="-4"/>
          <w:sz w:val="20"/>
        </w:rPr>
        <w:t xml:space="preserve"> </w:t>
      </w:r>
      <w:r>
        <w:rPr>
          <w:color w:val="231F20"/>
          <w:sz w:val="20"/>
        </w:rPr>
        <w:t>of</w:t>
      </w:r>
      <w:r>
        <w:rPr>
          <w:color w:val="231F20"/>
          <w:spacing w:val="-5"/>
          <w:sz w:val="20"/>
        </w:rPr>
        <w:t xml:space="preserve"> </w:t>
      </w:r>
      <w:r>
        <w:rPr>
          <w:color w:val="231F20"/>
          <w:sz w:val="20"/>
        </w:rPr>
        <w:t>being</w:t>
      </w:r>
      <w:r>
        <w:rPr>
          <w:color w:val="231F20"/>
          <w:spacing w:val="-4"/>
          <w:sz w:val="20"/>
        </w:rPr>
        <w:t xml:space="preserve"> </w:t>
      </w:r>
      <w:r>
        <w:rPr>
          <w:color w:val="231F20"/>
          <w:spacing w:val="-3"/>
          <w:sz w:val="20"/>
        </w:rPr>
        <w:t>attacked.’</w:t>
      </w:r>
      <w:r>
        <w:rPr>
          <w:color w:val="231F20"/>
          <w:spacing w:val="-3"/>
          <w:position w:val="7"/>
          <w:sz w:val="11"/>
        </w:rPr>
        <w:t>274</w:t>
      </w:r>
    </w:p>
    <w:p w14:paraId="1B921FAE" w14:textId="77777777" w:rsidR="00894070" w:rsidRDefault="009B7AFD">
      <w:pPr>
        <w:pStyle w:val="ListParagraph"/>
        <w:numPr>
          <w:ilvl w:val="1"/>
          <w:numId w:val="102"/>
        </w:numPr>
        <w:tabs>
          <w:tab w:val="left" w:pos="1801"/>
          <w:tab w:val="left" w:pos="1802"/>
        </w:tabs>
        <w:spacing w:before="92" w:line="259" w:lineRule="exact"/>
        <w:rPr>
          <w:sz w:val="20"/>
        </w:rPr>
      </w:pPr>
      <w:r>
        <w:rPr>
          <w:color w:val="231F20"/>
          <w:spacing w:val="-10"/>
          <w:sz w:val="20"/>
        </w:rPr>
        <w:t>To</w:t>
      </w:r>
      <w:r>
        <w:rPr>
          <w:color w:val="231F20"/>
          <w:spacing w:val="-6"/>
          <w:sz w:val="20"/>
        </w:rPr>
        <w:t xml:space="preserve"> </w:t>
      </w:r>
      <w:r>
        <w:rPr>
          <w:color w:val="231F20"/>
          <w:sz w:val="20"/>
        </w:rPr>
        <w:t>acknowledge</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potentially</w:t>
      </w:r>
      <w:r>
        <w:rPr>
          <w:color w:val="231F20"/>
          <w:spacing w:val="-5"/>
          <w:sz w:val="20"/>
        </w:rPr>
        <w:t xml:space="preserve"> </w:t>
      </w:r>
      <w:r>
        <w:rPr>
          <w:color w:val="231F20"/>
          <w:sz w:val="20"/>
        </w:rPr>
        <w:t>serious</w:t>
      </w:r>
      <w:r>
        <w:rPr>
          <w:color w:val="231F20"/>
          <w:spacing w:val="-6"/>
          <w:sz w:val="20"/>
        </w:rPr>
        <w:t xml:space="preserve"> </w:t>
      </w:r>
      <w:r>
        <w:rPr>
          <w:color w:val="231F20"/>
          <w:sz w:val="20"/>
        </w:rPr>
        <w:t>impacts</w:t>
      </w:r>
      <w:r>
        <w:rPr>
          <w:color w:val="231F20"/>
          <w:spacing w:val="-5"/>
          <w:sz w:val="20"/>
        </w:rPr>
        <w:t xml:space="preserve"> </w:t>
      </w:r>
      <w:r>
        <w:rPr>
          <w:color w:val="231F20"/>
          <w:sz w:val="20"/>
        </w:rPr>
        <w:t>of</w:t>
      </w:r>
      <w:r>
        <w:rPr>
          <w:color w:val="231F20"/>
          <w:spacing w:val="-5"/>
          <w:sz w:val="20"/>
        </w:rPr>
        <w:t xml:space="preserve"> </w:t>
      </w:r>
      <w:r>
        <w:rPr>
          <w:color w:val="231F20"/>
          <w:spacing w:val="-3"/>
          <w:sz w:val="20"/>
        </w:rPr>
        <w:t>adolescent</w:t>
      </w:r>
      <w:r>
        <w:rPr>
          <w:color w:val="231F20"/>
          <w:spacing w:val="-5"/>
          <w:sz w:val="20"/>
        </w:rPr>
        <w:t xml:space="preserve"> </w:t>
      </w:r>
      <w:r>
        <w:rPr>
          <w:color w:val="231F20"/>
          <w:sz w:val="20"/>
        </w:rPr>
        <w:t>stalking</w:t>
      </w:r>
      <w:r>
        <w:rPr>
          <w:color w:val="231F20"/>
          <w:spacing w:val="-6"/>
          <w:sz w:val="20"/>
        </w:rPr>
        <w:t xml:space="preserve"> </w:t>
      </w:r>
      <w:r>
        <w:rPr>
          <w:color w:val="231F20"/>
          <w:spacing w:val="-3"/>
          <w:sz w:val="20"/>
        </w:rPr>
        <w:t>we</w:t>
      </w:r>
      <w:r>
        <w:rPr>
          <w:color w:val="231F20"/>
          <w:spacing w:val="-5"/>
          <w:sz w:val="20"/>
        </w:rPr>
        <w:t xml:space="preserve"> </w:t>
      </w:r>
      <w:r>
        <w:rPr>
          <w:color w:val="231F20"/>
          <w:sz w:val="20"/>
        </w:rPr>
        <w:t>propose</w:t>
      </w:r>
      <w:r>
        <w:rPr>
          <w:color w:val="231F20"/>
          <w:spacing w:val="-5"/>
          <w:sz w:val="20"/>
        </w:rPr>
        <w:t xml:space="preserve"> </w:t>
      </w:r>
      <w:r>
        <w:rPr>
          <w:color w:val="231F20"/>
          <w:sz w:val="20"/>
        </w:rPr>
        <w:t>that</w:t>
      </w:r>
    </w:p>
    <w:p w14:paraId="4FD629C1" w14:textId="77777777" w:rsidR="00894070" w:rsidRDefault="009B7AFD">
      <w:pPr>
        <w:pStyle w:val="BodyText"/>
        <w:spacing w:line="259" w:lineRule="exact"/>
        <w:ind w:left="1801"/>
      </w:pPr>
      <w:r>
        <w:rPr>
          <w:color w:val="231F20"/>
        </w:rPr>
        <w:t>there is a legislative presumption against making a final PSIO unless:</w:t>
      </w:r>
    </w:p>
    <w:p w14:paraId="660CBF42" w14:textId="77777777" w:rsidR="00894070" w:rsidRDefault="009B7AFD">
      <w:pPr>
        <w:pStyle w:val="ListParagraph"/>
        <w:numPr>
          <w:ilvl w:val="2"/>
          <w:numId w:val="102"/>
        </w:numPr>
        <w:tabs>
          <w:tab w:val="left" w:pos="2141"/>
          <w:tab w:val="left" w:pos="2142"/>
        </w:tabs>
        <w:spacing w:before="82"/>
        <w:ind w:hanging="340"/>
        <w:rPr>
          <w:sz w:val="20"/>
        </w:rPr>
      </w:pPr>
      <w:r>
        <w:rPr>
          <w:color w:val="231F20"/>
          <w:sz w:val="20"/>
        </w:rPr>
        <w:t xml:space="preserve">a therapeutic process was </w:t>
      </w:r>
      <w:r>
        <w:rPr>
          <w:color w:val="231F20"/>
          <w:spacing w:val="-3"/>
          <w:sz w:val="20"/>
        </w:rPr>
        <w:t xml:space="preserve">attempted </w:t>
      </w:r>
      <w:r>
        <w:rPr>
          <w:color w:val="231F20"/>
          <w:sz w:val="20"/>
        </w:rPr>
        <w:t>and was</w:t>
      </w:r>
      <w:r>
        <w:rPr>
          <w:color w:val="231F20"/>
          <w:spacing w:val="-30"/>
          <w:sz w:val="20"/>
        </w:rPr>
        <w:t xml:space="preserve"> </w:t>
      </w:r>
      <w:r>
        <w:rPr>
          <w:color w:val="231F20"/>
          <w:sz w:val="20"/>
        </w:rPr>
        <w:t>unsuccessful</w:t>
      </w:r>
    </w:p>
    <w:p w14:paraId="12122145" w14:textId="77777777" w:rsidR="00894070" w:rsidRDefault="009B7AFD">
      <w:pPr>
        <w:pStyle w:val="ListParagraph"/>
        <w:numPr>
          <w:ilvl w:val="2"/>
          <w:numId w:val="102"/>
        </w:numPr>
        <w:tabs>
          <w:tab w:val="left" w:pos="2141"/>
          <w:tab w:val="left" w:pos="2142"/>
        </w:tabs>
        <w:spacing w:before="48"/>
        <w:ind w:hanging="340"/>
        <w:rPr>
          <w:sz w:val="20"/>
        </w:rPr>
      </w:pPr>
      <w:r>
        <w:rPr>
          <w:color w:val="231F20"/>
          <w:sz w:val="20"/>
        </w:rPr>
        <w:t>the</w:t>
      </w:r>
      <w:r>
        <w:rPr>
          <w:color w:val="231F20"/>
          <w:spacing w:val="-6"/>
          <w:sz w:val="20"/>
        </w:rPr>
        <w:t xml:space="preserve"> </w:t>
      </w:r>
      <w:r>
        <w:rPr>
          <w:color w:val="231F20"/>
          <w:sz w:val="20"/>
        </w:rPr>
        <w:t>therapeutic</w:t>
      </w:r>
      <w:r>
        <w:rPr>
          <w:color w:val="231F20"/>
          <w:spacing w:val="-5"/>
          <w:sz w:val="20"/>
        </w:rPr>
        <w:t xml:space="preserve"> </w:t>
      </w:r>
      <w:r>
        <w:rPr>
          <w:color w:val="231F20"/>
          <w:sz w:val="20"/>
        </w:rPr>
        <w:t>process</w:t>
      </w:r>
      <w:r>
        <w:rPr>
          <w:color w:val="231F20"/>
          <w:spacing w:val="-5"/>
          <w:sz w:val="20"/>
        </w:rPr>
        <w:t xml:space="preserve"> </w:t>
      </w:r>
      <w:r>
        <w:rPr>
          <w:color w:val="231F20"/>
          <w:sz w:val="20"/>
        </w:rPr>
        <w:t>is</w:t>
      </w:r>
      <w:r>
        <w:rPr>
          <w:color w:val="231F20"/>
          <w:spacing w:val="-5"/>
          <w:sz w:val="20"/>
        </w:rPr>
        <w:t xml:space="preserve"> </w:t>
      </w:r>
      <w:r>
        <w:rPr>
          <w:color w:val="231F20"/>
          <w:spacing w:val="-3"/>
          <w:sz w:val="20"/>
        </w:rPr>
        <w:t>inappropriate</w:t>
      </w:r>
      <w:r>
        <w:rPr>
          <w:color w:val="231F20"/>
          <w:spacing w:val="-5"/>
          <w:sz w:val="20"/>
        </w:rPr>
        <w:t xml:space="preserve"> </w:t>
      </w:r>
      <w:r>
        <w:rPr>
          <w:color w:val="231F20"/>
          <w:sz w:val="20"/>
        </w:rPr>
        <w:t>in</w:t>
      </w:r>
      <w:r>
        <w:rPr>
          <w:color w:val="231F20"/>
          <w:spacing w:val="-5"/>
          <w:sz w:val="20"/>
        </w:rPr>
        <w:t xml:space="preserve"> </w:t>
      </w:r>
      <w:r>
        <w:rPr>
          <w:color w:val="231F20"/>
          <w:sz w:val="20"/>
        </w:rPr>
        <w:t>all</w:t>
      </w:r>
      <w:r>
        <w:rPr>
          <w:color w:val="231F20"/>
          <w:spacing w:val="-6"/>
          <w:sz w:val="20"/>
        </w:rPr>
        <w:t xml:space="preserve"> </w:t>
      </w:r>
      <w:r>
        <w:rPr>
          <w:color w:val="231F20"/>
          <w:sz w:val="20"/>
        </w:rPr>
        <w:t>the</w:t>
      </w:r>
      <w:r>
        <w:rPr>
          <w:color w:val="231F20"/>
          <w:spacing w:val="-5"/>
          <w:sz w:val="20"/>
        </w:rPr>
        <w:t xml:space="preserve"> </w:t>
      </w:r>
      <w:r>
        <w:rPr>
          <w:color w:val="231F20"/>
          <w:sz w:val="20"/>
        </w:rPr>
        <w:t>circumstances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case.</w:t>
      </w:r>
    </w:p>
    <w:p w14:paraId="5C9302D2" w14:textId="77777777" w:rsidR="00894070" w:rsidRDefault="009B7AFD">
      <w:pPr>
        <w:pStyle w:val="ListParagraph"/>
        <w:numPr>
          <w:ilvl w:val="1"/>
          <w:numId w:val="102"/>
        </w:numPr>
        <w:tabs>
          <w:tab w:val="left" w:pos="1801"/>
          <w:tab w:val="left" w:pos="1802"/>
        </w:tabs>
        <w:spacing w:before="47" w:line="259" w:lineRule="exact"/>
        <w:rPr>
          <w:sz w:val="20"/>
        </w:rPr>
      </w:pPr>
      <w:r>
        <w:rPr>
          <w:color w:val="231F20"/>
          <w:sz w:val="20"/>
        </w:rPr>
        <w:t>Such</w:t>
      </w:r>
      <w:r>
        <w:rPr>
          <w:color w:val="231F20"/>
          <w:spacing w:val="-6"/>
          <w:sz w:val="20"/>
        </w:rPr>
        <w:t xml:space="preserve"> </w:t>
      </w:r>
      <w:r>
        <w:rPr>
          <w:color w:val="231F20"/>
          <w:sz w:val="20"/>
        </w:rPr>
        <w:t>a</w:t>
      </w:r>
      <w:r>
        <w:rPr>
          <w:color w:val="231F20"/>
          <w:spacing w:val="-6"/>
          <w:sz w:val="20"/>
        </w:rPr>
        <w:t xml:space="preserve"> </w:t>
      </w:r>
      <w:r>
        <w:rPr>
          <w:color w:val="231F20"/>
          <w:sz w:val="20"/>
        </w:rPr>
        <w:t>legislative</w:t>
      </w:r>
      <w:r>
        <w:rPr>
          <w:color w:val="231F20"/>
          <w:spacing w:val="-6"/>
          <w:sz w:val="20"/>
        </w:rPr>
        <w:t xml:space="preserve"> </w:t>
      </w:r>
      <w:r>
        <w:rPr>
          <w:color w:val="231F20"/>
          <w:sz w:val="20"/>
        </w:rPr>
        <w:t>presumption</w:t>
      </w:r>
      <w:r>
        <w:rPr>
          <w:color w:val="231F20"/>
          <w:spacing w:val="-6"/>
          <w:sz w:val="20"/>
        </w:rPr>
        <w:t xml:space="preserve"> </w:t>
      </w:r>
      <w:r>
        <w:rPr>
          <w:color w:val="231F20"/>
          <w:spacing w:val="-3"/>
          <w:sz w:val="20"/>
        </w:rPr>
        <w:t>would</w:t>
      </w:r>
      <w:r>
        <w:rPr>
          <w:color w:val="231F20"/>
          <w:spacing w:val="-6"/>
          <w:sz w:val="20"/>
        </w:rPr>
        <w:t xml:space="preserve"> </w:t>
      </w:r>
      <w:r>
        <w:rPr>
          <w:color w:val="231F20"/>
          <w:spacing w:val="-3"/>
          <w:sz w:val="20"/>
        </w:rPr>
        <w:t>effectively</w:t>
      </w:r>
      <w:r>
        <w:rPr>
          <w:color w:val="231F20"/>
          <w:spacing w:val="-6"/>
          <w:sz w:val="20"/>
        </w:rPr>
        <w:t xml:space="preserve"> </w:t>
      </w:r>
      <w:r>
        <w:rPr>
          <w:color w:val="231F20"/>
          <w:sz w:val="20"/>
        </w:rPr>
        <w:t>strengthen</w:t>
      </w:r>
      <w:r>
        <w:rPr>
          <w:color w:val="231F20"/>
          <w:spacing w:val="-6"/>
          <w:sz w:val="20"/>
        </w:rPr>
        <w:t xml:space="preserve"> </w:t>
      </w:r>
      <w:r>
        <w:rPr>
          <w:color w:val="231F20"/>
          <w:spacing w:val="-3"/>
          <w:sz w:val="20"/>
        </w:rPr>
        <w:t>protections</w:t>
      </w:r>
      <w:r>
        <w:rPr>
          <w:color w:val="231F20"/>
          <w:spacing w:val="-6"/>
          <w:sz w:val="20"/>
        </w:rPr>
        <w:t xml:space="preserve"> </w:t>
      </w:r>
      <w:r>
        <w:rPr>
          <w:color w:val="231F20"/>
          <w:sz w:val="20"/>
        </w:rPr>
        <w:t>on</w:t>
      </w:r>
      <w:r>
        <w:rPr>
          <w:color w:val="231F20"/>
          <w:spacing w:val="-6"/>
          <w:sz w:val="20"/>
        </w:rPr>
        <w:t xml:space="preserve"> </w:t>
      </w:r>
      <w:r>
        <w:rPr>
          <w:color w:val="231F20"/>
          <w:sz w:val="20"/>
        </w:rPr>
        <w:t>education</w:t>
      </w:r>
    </w:p>
    <w:p w14:paraId="0EE01952" w14:textId="77777777" w:rsidR="00894070" w:rsidRDefault="009B7AFD">
      <w:pPr>
        <w:pStyle w:val="BodyText"/>
        <w:spacing w:line="259" w:lineRule="exact"/>
        <w:ind w:left="1801"/>
      </w:pPr>
      <w:r>
        <w:rPr>
          <w:color w:val="231F20"/>
        </w:rPr>
        <w:t>and housing issues as well.</w:t>
      </w:r>
    </w:p>
    <w:p w14:paraId="463808E6" w14:textId="77777777" w:rsidR="00894070" w:rsidRDefault="009B7AFD">
      <w:pPr>
        <w:pStyle w:val="ListParagraph"/>
        <w:numPr>
          <w:ilvl w:val="1"/>
          <w:numId w:val="102"/>
        </w:numPr>
        <w:tabs>
          <w:tab w:val="left" w:pos="1801"/>
          <w:tab w:val="left" w:pos="1802"/>
        </w:tabs>
        <w:spacing w:before="115" w:line="206" w:lineRule="auto"/>
        <w:ind w:right="1224"/>
        <w:rPr>
          <w:sz w:val="20"/>
        </w:rPr>
      </w:pPr>
      <w:r>
        <w:rPr>
          <w:color w:val="231F20"/>
          <w:spacing w:val="-10"/>
          <w:sz w:val="20"/>
        </w:rPr>
        <w:t xml:space="preserve">To </w:t>
      </w:r>
      <w:r>
        <w:rPr>
          <w:color w:val="231F20"/>
          <w:sz w:val="20"/>
        </w:rPr>
        <w:t xml:space="preserve">support a therapeutic approach to </w:t>
      </w:r>
      <w:r>
        <w:rPr>
          <w:color w:val="231F20"/>
          <w:spacing w:val="-3"/>
          <w:sz w:val="20"/>
        </w:rPr>
        <w:t xml:space="preserve">children, we </w:t>
      </w:r>
      <w:r>
        <w:rPr>
          <w:color w:val="231F20"/>
          <w:sz w:val="20"/>
        </w:rPr>
        <w:t xml:space="preserve">recommend education </w:t>
      </w:r>
      <w:r>
        <w:rPr>
          <w:color w:val="231F20"/>
          <w:spacing w:val="-3"/>
          <w:sz w:val="20"/>
        </w:rPr>
        <w:t xml:space="preserve">for </w:t>
      </w:r>
      <w:r>
        <w:rPr>
          <w:color w:val="231F20"/>
          <w:sz w:val="20"/>
        </w:rPr>
        <w:t>judicial officers,</w:t>
      </w:r>
      <w:r>
        <w:rPr>
          <w:color w:val="231F20"/>
          <w:spacing w:val="-11"/>
          <w:sz w:val="20"/>
        </w:rPr>
        <w:t xml:space="preserve"> </w:t>
      </w:r>
      <w:r>
        <w:rPr>
          <w:color w:val="231F20"/>
          <w:sz w:val="20"/>
        </w:rPr>
        <w:t>judicial</w:t>
      </w:r>
      <w:r>
        <w:rPr>
          <w:color w:val="231F20"/>
          <w:spacing w:val="-11"/>
          <w:sz w:val="20"/>
        </w:rPr>
        <w:t xml:space="preserve"> </w:t>
      </w:r>
      <w:proofErr w:type="gramStart"/>
      <w:r>
        <w:rPr>
          <w:color w:val="231F20"/>
          <w:sz w:val="20"/>
        </w:rPr>
        <w:t>registrars</w:t>
      </w:r>
      <w:proofErr w:type="gramEnd"/>
      <w:r>
        <w:rPr>
          <w:color w:val="231F20"/>
          <w:spacing w:val="-11"/>
          <w:sz w:val="20"/>
        </w:rPr>
        <w:t xml:space="preserve"> </w:t>
      </w:r>
      <w:r>
        <w:rPr>
          <w:color w:val="231F20"/>
          <w:sz w:val="20"/>
        </w:rPr>
        <w:t>and</w:t>
      </w:r>
      <w:r>
        <w:rPr>
          <w:color w:val="231F20"/>
          <w:spacing w:val="-11"/>
          <w:sz w:val="20"/>
        </w:rPr>
        <w:t xml:space="preserve"> </w:t>
      </w:r>
      <w:r>
        <w:rPr>
          <w:color w:val="231F20"/>
          <w:sz w:val="20"/>
        </w:rPr>
        <w:t>court</w:t>
      </w:r>
      <w:r>
        <w:rPr>
          <w:color w:val="231F20"/>
          <w:spacing w:val="-11"/>
          <w:sz w:val="20"/>
        </w:rPr>
        <w:t xml:space="preserve"> </w:t>
      </w:r>
      <w:r>
        <w:rPr>
          <w:color w:val="231F20"/>
          <w:sz w:val="20"/>
        </w:rPr>
        <w:t>staff</w:t>
      </w:r>
      <w:r>
        <w:rPr>
          <w:color w:val="231F20"/>
          <w:spacing w:val="-11"/>
          <w:sz w:val="20"/>
        </w:rPr>
        <w:t xml:space="preserve"> </w:t>
      </w:r>
      <w:r>
        <w:rPr>
          <w:color w:val="231F20"/>
          <w:sz w:val="20"/>
        </w:rPr>
        <w:t>on</w:t>
      </w:r>
      <w:r>
        <w:rPr>
          <w:color w:val="231F20"/>
          <w:spacing w:val="-11"/>
          <w:sz w:val="20"/>
        </w:rPr>
        <w:t xml:space="preserve"> </w:t>
      </w:r>
      <w:r>
        <w:rPr>
          <w:color w:val="231F20"/>
          <w:sz w:val="20"/>
        </w:rPr>
        <w:t>the</w:t>
      </w:r>
      <w:r>
        <w:rPr>
          <w:color w:val="231F20"/>
          <w:spacing w:val="-11"/>
          <w:sz w:val="20"/>
        </w:rPr>
        <w:t xml:space="preserve"> </w:t>
      </w:r>
      <w:r>
        <w:rPr>
          <w:color w:val="231F20"/>
          <w:sz w:val="20"/>
        </w:rPr>
        <w:t>impact</w:t>
      </w:r>
      <w:r>
        <w:rPr>
          <w:color w:val="231F20"/>
          <w:spacing w:val="-11"/>
          <w:sz w:val="20"/>
        </w:rPr>
        <w:t xml:space="preserve"> </w:t>
      </w:r>
      <w:r>
        <w:rPr>
          <w:color w:val="231F20"/>
          <w:sz w:val="20"/>
        </w:rPr>
        <w:t>of</w:t>
      </w:r>
      <w:r>
        <w:rPr>
          <w:color w:val="231F20"/>
          <w:spacing w:val="-11"/>
          <w:sz w:val="20"/>
        </w:rPr>
        <w:t xml:space="preserve"> </w:t>
      </w:r>
      <w:r>
        <w:rPr>
          <w:color w:val="231F20"/>
          <w:sz w:val="20"/>
        </w:rPr>
        <w:t>PSIOs</w:t>
      </w:r>
      <w:r>
        <w:rPr>
          <w:color w:val="231F20"/>
          <w:spacing w:val="-11"/>
          <w:sz w:val="20"/>
        </w:rPr>
        <w:t xml:space="preserve"> </w:t>
      </w:r>
      <w:r>
        <w:rPr>
          <w:color w:val="231F20"/>
          <w:sz w:val="20"/>
        </w:rPr>
        <w:t>on</w:t>
      </w:r>
      <w:r>
        <w:rPr>
          <w:color w:val="231F20"/>
          <w:spacing w:val="-11"/>
          <w:sz w:val="20"/>
        </w:rPr>
        <w:t xml:space="preserve"> </w:t>
      </w:r>
      <w:r>
        <w:rPr>
          <w:color w:val="231F20"/>
          <w:spacing w:val="-3"/>
          <w:sz w:val="20"/>
        </w:rPr>
        <w:t>children,</w:t>
      </w:r>
      <w:r>
        <w:rPr>
          <w:color w:val="231F20"/>
          <w:spacing w:val="-11"/>
          <w:sz w:val="20"/>
        </w:rPr>
        <w:t xml:space="preserve"> </w:t>
      </w:r>
      <w:r>
        <w:rPr>
          <w:color w:val="231F20"/>
          <w:sz w:val="20"/>
        </w:rPr>
        <w:t>taking</w:t>
      </w:r>
      <w:r>
        <w:rPr>
          <w:color w:val="231F20"/>
          <w:spacing w:val="-11"/>
          <w:sz w:val="20"/>
        </w:rPr>
        <w:t xml:space="preserve"> </w:t>
      </w:r>
      <w:r>
        <w:rPr>
          <w:color w:val="231F20"/>
          <w:spacing w:val="-3"/>
          <w:sz w:val="20"/>
        </w:rPr>
        <w:t xml:space="preserve">into </w:t>
      </w:r>
      <w:r>
        <w:rPr>
          <w:color w:val="231F20"/>
          <w:sz w:val="20"/>
        </w:rPr>
        <w:t xml:space="preserve">account their </w:t>
      </w:r>
      <w:r>
        <w:rPr>
          <w:color w:val="231F20"/>
          <w:spacing w:val="-3"/>
          <w:sz w:val="20"/>
        </w:rPr>
        <w:t>developmental</w:t>
      </w:r>
      <w:r>
        <w:rPr>
          <w:color w:val="231F20"/>
          <w:spacing w:val="-13"/>
          <w:sz w:val="20"/>
        </w:rPr>
        <w:t xml:space="preserve"> </w:t>
      </w:r>
      <w:r>
        <w:rPr>
          <w:color w:val="231F20"/>
          <w:sz w:val="20"/>
        </w:rPr>
        <w:t>needs.</w:t>
      </w:r>
    </w:p>
    <w:p w14:paraId="6EBA3C8A" w14:textId="77777777" w:rsidR="00894070" w:rsidRDefault="009F6793">
      <w:pPr>
        <w:pStyle w:val="BodyText"/>
        <w:spacing w:before="6"/>
        <w:rPr>
          <w:sz w:val="19"/>
        </w:rPr>
      </w:pPr>
      <w:r>
        <w:pict w14:anchorId="69DFE9E3">
          <v:group id="_x0000_s1237" style="position:absolute;margin-left:62.35pt;margin-top:15.45pt;width:479.1pt;height:169.15pt;z-index:251716608;mso-wrap-distance-left:0;mso-wrap-distance-right:0;mso-position-horizontal-relative:page" coordorigin="1247,309" coordsize="9582,3383">
            <v:rect id="_x0000_s1243" style="position:absolute;left:1587;top:309;width:8731;height:3383" fillcolor="#fee7de" stroked="f"/>
            <v:line id="_x0000_s1242" style="position:absolute" from="1247,1117" to="10828,1117" strokecolor="white" strokeweight="2.5pt"/>
            <v:shape id="_x0000_s1241" type="#_x0000_t202" style="position:absolute;left:2394;top:2472;width:7486;height:1040" filled="f" stroked="f">
              <v:textbox inset="0,0,0,0">
                <w:txbxContent>
                  <w:p w14:paraId="1BCBC05F" w14:textId="77777777" w:rsidR="00894070" w:rsidRDefault="009B7AFD">
                    <w:pPr>
                      <w:numPr>
                        <w:ilvl w:val="0"/>
                        <w:numId w:val="72"/>
                      </w:numPr>
                      <w:tabs>
                        <w:tab w:val="left" w:pos="553"/>
                        <w:tab w:val="left" w:pos="554"/>
                      </w:tabs>
                      <w:ind w:hanging="553"/>
                      <w:rPr>
                        <w:rFonts w:ascii="Trebuchet MS"/>
                        <w:sz w:val="20"/>
                      </w:rPr>
                    </w:pPr>
                    <w:r>
                      <w:rPr>
                        <w:rFonts w:ascii="Trebuchet MS"/>
                        <w:color w:val="231F20"/>
                        <w:w w:val="105"/>
                        <w:sz w:val="20"/>
                      </w:rPr>
                      <w:t>a</w:t>
                    </w:r>
                    <w:r>
                      <w:rPr>
                        <w:rFonts w:ascii="Trebuchet MS"/>
                        <w:color w:val="231F20"/>
                        <w:spacing w:val="-7"/>
                        <w:w w:val="105"/>
                        <w:sz w:val="20"/>
                      </w:rPr>
                      <w:t xml:space="preserve"> </w:t>
                    </w:r>
                    <w:r>
                      <w:rPr>
                        <w:rFonts w:ascii="Trebuchet MS"/>
                        <w:color w:val="231F20"/>
                        <w:w w:val="105"/>
                        <w:sz w:val="20"/>
                      </w:rPr>
                      <w:t>therapeutic</w:t>
                    </w:r>
                    <w:r>
                      <w:rPr>
                        <w:rFonts w:ascii="Trebuchet MS"/>
                        <w:color w:val="231F20"/>
                        <w:spacing w:val="-7"/>
                        <w:w w:val="105"/>
                        <w:sz w:val="20"/>
                      </w:rPr>
                      <w:t xml:space="preserve"> </w:t>
                    </w:r>
                    <w:r>
                      <w:rPr>
                        <w:rFonts w:ascii="Trebuchet MS"/>
                        <w:color w:val="231F20"/>
                        <w:w w:val="105"/>
                        <w:sz w:val="20"/>
                      </w:rPr>
                      <w:t>process</w:t>
                    </w:r>
                    <w:r>
                      <w:rPr>
                        <w:rFonts w:ascii="Trebuchet MS"/>
                        <w:color w:val="231F20"/>
                        <w:spacing w:val="-7"/>
                        <w:w w:val="105"/>
                        <w:sz w:val="20"/>
                      </w:rPr>
                      <w:t xml:space="preserve"> </w:t>
                    </w:r>
                    <w:r>
                      <w:rPr>
                        <w:rFonts w:ascii="Trebuchet MS"/>
                        <w:color w:val="231F20"/>
                        <w:w w:val="105"/>
                        <w:sz w:val="20"/>
                      </w:rPr>
                      <w:t>(such</w:t>
                    </w:r>
                    <w:r>
                      <w:rPr>
                        <w:rFonts w:ascii="Trebuchet MS"/>
                        <w:color w:val="231F20"/>
                        <w:spacing w:val="-7"/>
                        <w:w w:val="105"/>
                        <w:sz w:val="20"/>
                      </w:rPr>
                      <w:t xml:space="preserve"> </w:t>
                    </w:r>
                    <w:r>
                      <w:rPr>
                        <w:rFonts w:ascii="Trebuchet MS"/>
                        <w:color w:val="231F20"/>
                        <w:w w:val="105"/>
                        <w:sz w:val="20"/>
                      </w:rPr>
                      <w:t>as</w:t>
                    </w:r>
                    <w:r>
                      <w:rPr>
                        <w:rFonts w:ascii="Trebuchet MS"/>
                        <w:color w:val="231F20"/>
                        <w:spacing w:val="-6"/>
                        <w:w w:val="105"/>
                        <w:sz w:val="20"/>
                      </w:rPr>
                      <w:t xml:space="preserve"> </w:t>
                    </w:r>
                    <w:r>
                      <w:rPr>
                        <w:rFonts w:ascii="Trebuchet MS"/>
                        <w:color w:val="231F20"/>
                        <w:w w:val="105"/>
                        <w:sz w:val="20"/>
                      </w:rPr>
                      <w:t>the</w:t>
                    </w:r>
                    <w:r>
                      <w:rPr>
                        <w:rFonts w:ascii="Trebuchet MS"/>
                        <w:color w:val="231F20"/>
                        <w:spacing w:val="-7"/>
                        <w:w w:val="105"/>
                        <w:sz w:val="20"/>
                      </w:rPr>
                      <w:t xml:space="preserve"> </w:t>
                    </w:r>
                    <w:r>
                      <w:rPr>
                        <w:rFonts w:ascii="Trebuchet MS"/>
                        <w:color w:val="231F20"/>
                        <w:w w:val="105"/>
                        <w:sz w:val="20"/>
                      </w:rPr>
                      <w:t>one</w:t>
                    </w:r>
                    <w:r>
                      <w:rPr>
                        <w:rFonts w:ascii="Trebuchet MS"/>
                        <w:color w:val="231F20"/>
                        <w:spacing w:val="-7"/>
                        <w:w w:val="105"/>
                        <w:sz w:val="20"/>
                      </w:rPr>
                      <w:t xml:space="preserve"> </w:t>
                    </w:r>
                    <w:r>
                      <w:rPr>
                        <w:rFonts w:ascii="Trebuchet MS"/>
                        <w:color w:val="231F20"/>
                        <w:spacing w:val="-3"/>
                        <w:w w:val="105"/>
                        <w:sz w:val="20"/>
                      </w:rPr>
                      <w:t>developed</w:t>
                    </w:r>
                    <w:r>
                      <w:rPr>
                        <w:rFonts w:ascii="Trebuchet MS"/>
                        <w:color w:val="231F20"/>
                        <w:spacing w:val="-7"/>
                        <w:w w:val="105"/>
                        <w:sz w:val="20"/>
                      </w:rPr>
                      <w:t xml:space="preserve"> </w:t>
                    </w:r>
                    <w:r>
                      <w:rPr>
                        <w:rFonts w:ascii="Trebuchet MS"/>
                        <w:color w:val="231F20"/>
                        <w:w w:val="105"/>
                        <w:sz w:val="20"/>
                      </w:rPr>
                      <w:t>under</w:t>
                    </w:r>
                    <w:r>
                      <w:rPr>
                        <w:rFonts w:ascii="Trebuchet MS"/>
                        <w:color w:val="231F20"/>
                        <w:spacing w:val="-7"/>
                        <w:w w:val="105"/>
                        <w:sz w:val="20"/>
                      </w:rPr>
                      <w:t xml:space="preserve"> </w:t>
                    </w:r>
                    <w:r>
                      <w:rPr>
                        <w:rFonts w:ascii="Trebuchet MS"/>
                        <w:color w:val="231F20"/>
                        <w:w w:val="105"/>
                        <w:sz w:val="20"/>
                      </w:rPr>
                      <w:t>Recommendation</w:t>
                    </w:r>
                  </w:p>
                  <w:p w14:paraId="729FCD6E" w14:textId="77777777" w:rsidR="00894070" w:rsidRDefault="009B7AFD">
                    <w:pPr>
                      <w:spacing w:before="8"/>
                      <w:ind w:left="553"/>
                      <w:rPr>
                        <w:rFonts w:ascii="Trebuchet MS"/>
                        <w:sz w:val="20"/>
                      </w:rPr>
                    </w:pPr>
                    <w:r>
                      <w:rPr>
                        <w:rFonts w:ascii="Trebuchet MS"/>
                        <w:color w:val="231F20"/>
                        <w:spacing w:val="-3"/>
                        <w:w w:val="102"/>
                        <w:sz w:val="20"/>
                      </w:rPr>
                      <w:t>2</w:t>
                    </w:r>
                    <w:r>
                      <w:rPr>
                        <w:rFonts w:ascii="Trebuchet MS"/>
                        <w:color w:val="231F20"/>
                        <w:spacing w:val="-3"/>
                        <w:w w:val="112"/>
                        <w:sz w:val="20"/>
                      </w:rPr>
                      <w:t>9</w:t>
                    </w:r>
                    <w:r>
                      <w:rPr>
                        <w:rFonts w:ascii="Trebuchet MS"/>
                        <w:color w:val="231F20"/>
                        <w:w w:val="77"/>
                        <w:sz w:val="20"/>
                      </w:rPr>
                      <w:t>)</w:t>
                    </w:r>
                    <w:r>
                      <w:rPr>
                        <w:rFonts w:ascii="Trebuchet MS"/>
                        <w:color w:val="231F20"/>
                        <w:spacing w:val="-14"/>
                        <w:sz w:val="20"/>
                      </w:rPr>
                      <w:t xml:space="preserve"> </w:t>
                    </w:r>
                    <w:r>
                      <w:rPr>
                        <w:rFonts w:ascii="Trebuchet MS"/>
                        <w:color w:val="231F20"/>
                        <w:spacing w:val="-1"/>
                        <w:w w:val="107"/>
                        <w:sz w:val="20"/>
                      </w:rPr>
                      <w:t>h</w:t>
                    </w:r>
                    <w:r>
                      <w:rPr>
                        <w:rFonts w:ascii="Trebuchet MS"/>
                        <w:color w:val="231F20"/>
                        <w:w w:val="105"/>
                        <w:sz w:val="20"/>
                      </w:rPr>
                      <w:t>a</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8"/>
                        <w:sz w:val="20"/>
                      </w:rPr>
                      <w:t>e</w:t>
                    </w:r>
                    <w:r>
                      <w:rPr>
                        <w:rFonts w:ascii="Trebuchet MS"/>
                        <w:color w:val="231F20"/>
                        <w:spacing w:val="-1"/>
                        <w:w w:val="108"/>
                        <w:sz w:val="20"/>
                      </w:rPr>
                      <w:t>e</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9"/>
                        <w:sz w:val="20"/>
                      </w:rPr>
                      <w:t>u</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2"/>
                        <w:w w:val="93"/>
                        <w:sz w:val="20"/>
                      </w:rPr>
                      <w:t>r</w:t>
                    </w:r>
                    <w:r>
                      <w:rPr>
                        <w:rFonts w:ascii="Trebuchet MS"/>
                        <w:color w:val="231F20"/>
                        <w:w w:val="88"/>
                        <w:sz w:val="20"/>
                      </w:rPr>
                      <w:t>t</w:t>
                    </w:r>
                    <w:r>
                      <w:rPr>
                        <w:rFonts w:ascii="Trebuchet MS"/>
                        <w:color w:val="231F20"/>
                        <w:spacing w:val="-2"/>
                        <w:w w:val="105"/>
                        <w:sz w:val="20"/>
                      </w:rPr>
                      <w:t>a</w:t>
                    </w:r>
                    <w:r>
                      <w:rPr>
                        <w:rFonts w:ascii="Trebuchet MS"/>
                        <w:color w:val="231F20"/>
                        <w:spacing w:val="-6"/>
                        <w:w w:val="106"/>
                        <w:sz w:val="20"/>
                      </w:rPr>
                      <w:t>k</w:t>
                    </w:r>
                    <w:r>
                      <w:rPr>
                        <w:rFonts w:ascii="Trebuchet MS"/>
                        <w:color w:val="231F20"/>
                        <w:spacing w:val="-1"/>
                        <w:w w:val="108"/>
                        <w:sz w:val="20"/>
                      </w:rPr>
                      <w:t>e</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b</w:t>
                    </w:r>
                    <w:r>
                      <w:rPr>
                        <w:rFonts w:ascii="Trebuchet MS"/>
                        <w:color w:val="231F20"/>
                        <w:spacing w:val="-3"/>
                        <w:w w:val="109"/>
                        <w:sz w:val="20"/>
                      </w:rPr>
                      <w:t>u</w:t>
                    </w:r>
                    <w:r>
                      <w:rPr>
                        <w:rFonts w:ascii="Trebuchet MS"/>
                        <w:color w:val="231F20"/>
                        <w:w w:val="88"/>
                        <w:sz w:val="20"/>
                      </w:rPr>
                      <w:t>t</w:t>
                    </w:r>
                    <w:r>
                      <w:rPr>
                        <w:rFonts w:ascii="Trebuchet MS"/>
                        <w:color w:val="231F20"/>
                        <w:spacing w:val="-14"/>
                        <w:sz w:val="20"/>
                      </w:rPr>
                      <w:t xml:space="preserve"> </w:t>
                    </w:r>
                    <w:r>
                      <w:rPr>
                        <w:rFonts w:ascii="Trebuchet MS"/>
                        <w:color w:val="231F20"/>
                        <w:spacing w:val="-3"/>
                        <w:w w:val="110"/>
                        <w:sz w:val="20"/>
                      </w:rPr>
                      <w:t>w</w:t>
                    </w:r>
                    <w:r>
                      <w:rPr>
                        <w:rFonts w:ascii="Trebuchet MS"/>
                        <w:color w:val="231F20"/>
                        <w:w w:val="105"/>
                        <w:sz w:val="20"/>
                      </w:rPr>
                      <w:t>a</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09"/>
                        <w:sz w:val="20"/>
                      </w:rPr>
                      <w:t>u</w:t>
                    </w:r>
                    <w:r>
                      <w:rPr>
                        <w:rFonts w:ascii="Trebuchet MS"/>
                        <w:color w:val="231F20"/>
                        <w:spacing w:val="-2"/>
                        <w:w w:val="107"/>
                        <w:sz w:val="20"/>
                      </w:rPr>
                      <w:t>n</w:t>
                    </w:r>
                    <w:r>
                      <w:rPr>
                        <w:rFonts w:ascii="Trebuchet MS"/>
                        <w:color w:val="231F20"/>
                        <w:spacing w:val="-2"/>
                        <w:w w:val="122"/>
                        <w:sz w:val="20"/>
                      </w:rPr>
                      <w:t>s</w:t>
                    </w:r>
                    <w:r>
                      <w:rPr>
                        <w:rFonts w:ascii="Trebuchet MS"/>
                        <w:color w:val="231F20"/>
                        <w:spacing w:val="-2"/>
                        <w:w w:val="109"/>
                        <w:sz w:val="20"/>
                      </w:rPr>
                      <w:t>u</w:t>
                    </w:r>
                    <w:r>
                      <w:rPr>
                        <w:rFonts w:ascii="Trebuchet MS"/>
                        <w:color w:val="231F20"/>
                        <w:spacing w:val="-3"/>
                        <w:w w:val="111"/>
                        <w:sz w:val="20"/>
                      </w:rPr>
                      <w:t>cc</w:t>
                    </w:r>
                    <w:r>
                      <w:rPr>
                        <w:rFonts w:ascii="Trebuchet MS"/>
                        <w:color w:val="231F20"/>
                        <w:spacing w:val="-2"/>
                        <w:w w:val="108"/>
                        <w:sz w:val="20"/>
                      </w:rPr>
                      <w:t>e</w:t>
                    </w:r>
                    <w:r>
                      <w:rPr>
                        <w:rFonts w:ascii="Trebuchet MS"/>
                        <w:color w:val="231F20"/>
                        <w:spacing w:val="-1"/>
                        <w:w w:val="122"/>
                        <w:sz w:val="20"/>
                      </w:rPr>
                      <w:t>ss</w:t>
                    </w:r>
                    <w:r>
                      <w:rPr>
                        <w:rFonts w:ascii="Trebuchet MS"/>
                        <w:color w:val="231F20"/>
                        <w:spacing w:val="-2"/>
                        <w:w w:val="92"/>
                        <w:sz w:val="20"/>
                      </w:rPr>
                      <w:t>f</w:t>
                    </w:r>
                    <w:r>
                      <w:rPr>
                        <w:rFonts w:ascii="Trebuchet MS"/>
                        <w:color w:val="231F20"/>
                        <w:spacing w:val="-2"/>
                        <w:w w:val="109"/>
                        <w:sz w:val="20"/>
                      </w:rPr>
                      <w:t>u</w:t>
                    </w:r>
                    <w:r>
                      <w:rPr>
                        <w:rFonts w:ascii="Trebuchet MS"/>
                        <w:color w:val="231F20"/>
                        <w:spacing w:val="2"/>
                        <w:w w:val="96"/>
                        <w:sz w:val="20"/>
                      </w:rPr>
                      <w:t>l</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11"/>
                        <w:sz w:val="20"/>
                      </w:rPr>
                      <w:t>o</w:t>
                    </w:r>
                    <w:r>
                      <w:rPr>
                        <w:rFonts w:ascii="Trebuchet MS"/>
                        <w:color w:val="231F20"/>
                        <w:w w:val="93"/>
                        <w:sz w:val="20"/>
                      </w:rPr>
                      <w:t>r</w:t>
                    </w:r>
                  </w:p>
                  <w:p w14:paraId="7798FBC1" w14:textId="77777777" w:rsidR="00894070" w:rsidRDefault="009B7AFD">
                    <w:pPr>
                      <w:numPr>
                        <w:ilvl w:val="0"/>
                        <w:numId w:val="72"/>
                      </w:numPr>
                      <w:tabs>
                        <w:tab w:val="left" w:pos="553"/>
                        <w:tab w:val="left" w:pos="554"/>
                      </w:tabs>
                      <w:spacing w:before="92" w:line="247" w:lineRule="auto"/>
                      <w:ind w:right="1000" w:hanging="553"/>
                      <w:rPr>
                        <w:rFonts w:ascii="Trebuchet MS"/>
                        <w:sz w:val="20"/>
                      </w:rPr>
                    </w:pPr>
                    <w:r>
                      <w:rPr>
                        <w:rFonts w:ascii="Trebuchet MS"/>
                        <w:color w:val="231F20"/>
                        <w:sz w:val="20"/>
                      </w:rPr>
                      <w:t xml:space="preserve">in cases where the therapeutic process is inappropriate in all the </w:t>
                    </w:r>
                    <w:r>
                      <w:rPr>
                        <w:rFonts w:ascii="Trebuchet MS"/>
                        <w:color w:val="231F20"/>
                        <w:spacing w:val="-2"/>
                        <w:w w:val="111"/>
                        <w:sz w:val="20"/>
                      </w:rPr>
                      <w:t>c</w:t>
                    </w:r>
                    <w:r>
                      <w:rPr>
                        <w:rFonts w:ascii="Trebuchet MS"/>
                        <w:color w:val="231F20"/>
                        <w:spacing w:val="-2"/>
                        <w:w w:val="80"/>
                        <w:sz w:val="20"/>
                      </w:rPr>
                      <w:t>i</w:t>
                    </w:r>
                    <w:r>
                      <w:rPr>
                        <w:rFonts w:ascii="Trebuchet MS"/>
                        <w:color w:val="231F20"/>
                        <w:spacing w:val="-4"/>
                        <w:w w:val="93"/>
                        <w:sz w:val="20"/>
                      </w:rPr>
                      <w:t>r</w:t>
                    </w:r>
                    <w:r>
                      <w:rPr>
                        <w:rFonts w:ascii="Trebuchet MS"/>
                        <w:color w:val="231F20"/>
                        <w:spacing w:val="-2"/>
                        <w:w w:val="110"/>
                        <w:sz w:val="20"/>
                      </w:rPr>
                      <w:t>c</w:t>
                    </w:r>
                    <w:r>
                      <w:rPr>
                        <w:rFonts w:ascii="Trebuchet MS"/>
                        <w:color w:val="231F20"/>
                        <w:spacing w:val="-1"/>
                        <w:w w:val="110"/>
                        <w:sz w:val="20"/>
                      </w:rPr>
                      <w:t>u</w:t>
                    </w:r>
                    <w:r>
                      <w:rPr>
                        <w:rFonts w:ascii="Trebuchet MS"/>
                        <w:color w:val="231F20"/>
                        <w:spacing w:val="-2"/>
                        <w:w w:val="111"/>
                        <w:sz w:val="20"/>
                      </w:rPr>
                      <w:t>m</w:t>
                    </w:r>
                    <w:r>
                      <w:rPr>
                        <w:rFonts w:ascii="Trebuchet MS"/>
                        <w:color w:val="231F20"/>
                        <w:spacing w:val="-1"/>
                        <w:w w:val="122"/>
                        <w:sz w:val="20"/>
                      </w:rPr>
                      <w:t>s</w:t>
                    </w:r>
                    <w:r>
                      <w:rPr>
                        <w:rFonts w:ascii="Trebuchet MS"/>
                        <w:color w:val="231F20"/>
                        <w:w w:val="88"/>
                        <w:sz w:val="20"/>
                      </w:rPr>
                      <w:t>t</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3"/>
                        <w:w w:val="111"/>
                        <w:sz w:val="20"/>
                      </w:rPr>
                      <w:t>c</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w w:val="111"/>
                        <w:sz w:val="20"/>
                      </w:rPr>
                      <w:t>c</w:t>
                    </w:r>
                    <w:r>
                      <w:rPr>
                        <w:rFonts w:ascii="Trebuchet MS"/>
                        <w:color w:val="231F20"/>
                        <w:w w:val="105"/>
                        <w:sz w:val="20"/>
                      </w:rPr>
                      <w:t>a</w:t>
                    </w:r>
                    <w:r>
                      <w:rPr>
                        <w:rFonts w:ascii="Trebuchet MS"/>
                        <w:color w:val="231F20"/>
                        <w:spacing w:val="-1"/>
                        <w:w w:val="122"/>
                        <w:sz w:val="20"/>
                      </w:rPr>
                      <w:t>s</w:t>
                    </w:r>
                    <w:r>
                      <w:rPr>
                        <w:rFonts w:ascii="Trebuchet MS"/>
                        <w:color w:val="231F20"/>
                        <w:spacing w:val="-3"/>
                        <w:w w:val="108"/>
                        <w:sz w:val="20"/>
                      </w:rPr>
                      <w:t>e</w:t>
                    </w:r>
                    <w:r>
                      <w:rPr>
                        <w:rFonts w:ascii="Trebuchet MS"/>
                        <w:color w:val="231F20"/>
                        <w:w w:val="55"/>
                        <w:sz w:val="20"/>
                      </w:rPr>
                      <w:t>.</w:t>
                    </w:r>
                  </w:p>
                </w:txbxContent>
              </v:textbox>
            </v:shape>
            <v:shape id="_x0000_s1240" type="#_x0000_t202" style="position:absolute;left:2381;top:1342;width:7296;height:1040" filled="f" stroked="f">
              <v:textbox inset="0,0,0,0">
                <w:txbxContent>
                  <w:p w14:paraId="4E7A532C" w14:textId="77777777" w:rsidR="00894070" w:rsidRDefault="009B7AFD">
                    <w:pPr>
                      <w:spacing w:line="247" w:lineRule="auto"/>
                      <w:rPr>
                        <w:rFonts w:ascii="Trebuchet MS"/>
                        <w:sz w:val="20"/>
                      </w:rPr>
                    </w:pP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Victorian</w:t>
                    </w:r>
                    <w:r>
                      <w:rPr>
                        <w:rFonts w:ascii="Trebuchet MS"/>
                        <w:color w:val="231F20"/>
                        <w:spacing w:val="-18"/>
                        <w:w w:val="105"/>
                        <w:sz w:val="20"/>
                      </w:rPr>
                      <w:t xml:space="preserve"> </w:t>
                    </w:r>
                    <w:r>
                      <w:rPr>
                        <w:rFonts w:ascii="Trebuchet MS"/>
                        <w:color w:val="231F20"/>
                        <w:spacing w:val="-3"/>
                        <w:w w:val="105"/>
                        <w:sz w:val="20"/>
                      </w:rPr>
                      <w:t>Government</w:t>
                    </w:r>
                    <w:r>
                      <w:rPr>
                        <w:rFonts w:ascii="Trebuchet MS"/>
                        <w:color w:val="231F20"/>
                        <w:spacing w:val="-19"/>
                        <w:w w:val="105"/>
                        <w:sz w:val="20"/>
                      </w:rPr>
                      <w:t xml:space="preserve"> </w:t>
                    </w:r>
                    <w:r>
                      <w:rPr>
                        <w:rFonts w:ascii="Trebuchet MS"/>
                        <w:color w:val="231F20"/>
                        <w:w w:val="105"/>
                        <w:sz w:val="20"/>
                      </w:rPr>
                      <w:t>should</w:t>
                    </w:r>
                    <w:r>
                      <w:rPr>
                        <w:rFonts w:ascii="Trebuchet MS"/>
                        <w:color w:val="231F20"/>
                        <w:spacing w:val="-18"/>
                        <w:w w:val="105"/>
                        <w:sz w:val="20"/>
                      </w:rPr>
                      <w:t xml:space="preserve"> </w:t>
                    </w:r>
                    <w:r>
                      <w:rPr>
                        <w:rFonts w:ascii="Trebuchet MS"/>
                        <w:color w:val="231F20"/>
                        <w:w w:val="105"/>
                        <w:sz w:val="20"/>
                      </w:rPr>
                      <w:t>include</w:t>
                    </w:r>
                    <w:r>
                      <w:rPr>
                        <w:rFonts w:ascii="Trebuchet MS"/>
                        <w:color w:val="231F20"/>
                        <w:spacing w:val="-19"/>
                        <w:w w:val="105"/>
                        <w:sz w:val="20"/>
                      </w:rPr>
                      <w:t xml:space="preserve"> </w:t>
                    </w:r>
                    <w:r>
                      <w:rPr>
                        <w:rFonts w:ascii="Trebuchet MS"/>
                        <w:color w:val="231F20"/>
                        <w:w w:val="105"/>
                        <w:sz w:val="20"/>
                      </w:rPr>
                      <w:t>a</w:t>
                    </w:r>
                    <w:r>
                      <w:rPr>
                        <w:rFonts w:ascii="Trebuchet MS"/>
                        <w:color w:val="231F20"/>
                        <w:spacing w:val="-18"/>
                        <w:w w:val="105"/>
                        <w:sz w:val="20"/>
                      </w:rPr>
                      <w:t xml:space="preserve"> </w:t>
                    </w:r>
                    <w:r>
                      <w:rPr>
                        <w:rFonts w:ascii="Trebuchet MS"/>
                        <w:color w:val="231F20"/>
                        <w:w w:val="105"/>
                        <w:sz w:val="20"/>
                      </w:rPr>
                      <w:t>legislative</w:t>
                    </w:r>
                    <w:r>
                      <w:rPr>
                        <w:rFonts w:ascii="Trebuchet MS"/>
                        <w:color w:val="231F20"/>
                        <w:spacing w:val="-19"/>
                        <w:w w:val="105"/>
                        <w:sz w:val="20"/>
                      </w:rPr>
                      <w:t xml:space="preserve"> </w:t>
                    </w:r>
                    <w:r>
                      <w:rPr>
                        <w:rFonts w:ascii="Trebuchet MS"/>
                        <w:color w:val="231F20"/>
                        <w:w w:val="105"/>
                        <w:sz w:val="20"/>
                      </w:rPr>
                      <w:t>presumption</w:t>
                    </w:r>
                    <w:r>
                      <w:rPr>
                        <w:rFonts w:ascii="Trebuchet MS"/>
                        <w:color w:val="231F20"/>
                        <w:spacing w:val="-18"/>
                        <w:w w:val="105"/>
                        <w:sz w:val="20"/>
                      </w:rPr>
                      <w:t xml:space="preserve"> </w:t>
                    </w:r>
                    <w:r>
                      <w:rPr>
                        <w:rFonts w:ascii="Trebuchet MS"/>
                        <w:color w:val="231F20"/>
                        <w:w w:val="105"/>
                        <w:sz w:val="20"/>
                      </w:rPr>
                      <w:t>against</w:t>
                    </w:r>
                    <w:r>
                      <w:rPr>
                        <w:rFonts w:ascii="Trebuchet MS"/>
                        <w:color w:val="231F20"/>
                        <w:spacing w:val="-19"/>
                        <w:w w:val="105"/>
                        <w:sz w:val="20"/>
                      </w:rPr>
                      <w:t xml:space="preserve"> </w:t>
                    </w:r>
                    <w:r>
                      <w:rPr>
                        <w:rFonts w:ascii="Trebuchet MS"/>
                        <w:color w:val="231F20"/>
                        <w:w w:val="105"/>
                        <w:sz w:val="20"/>
                      </w:rPr>
                      <w:t>the making</w:t>
                    </w:r>
                    <w:r>
                      <w:rPr>
                        <w:rFonts w:ascii="Trebuchet MS"/>
                        <w:color w:val="231F20"/>
                        <w:spacing w:val="-23"/>
                        <w:w w:val="105"/>
                        <w:sz w:val="20"/>
                      </w:rPr>
                      <w:t xml:space="preserve"> </w:t>
                    </w:r>
                    <w:r>
                      <w:rPr>
                        <w:rFonts w:ascii="Trebuchet MS"/>
                        <w:color w:val="231F20"/>
                        <w:w w:val="105"/>
                        <w:sz w:val="20"/>
                      </w:rPr>
                      <w:t>of</w:t>
                    </w:r>
                    <w:r>
                      <w:rPr>
                        <w:rFonts w:ascii="Trebuchet MS"/>
                        <w:color w:val="231F20"/>
                        <w:spacing w:val="-22"/>
                        <w:w w:val="105"/>
                        <w:sz w:val="20"/>
                      </w:rPr>
                      <w:t xml:space="preserve"> </w:t>
                    </w:r>
                    <w:r>
                      <w:rPr>
                        <w:rFonts w:ascii="Trebuchet MS"/>
                        <w:color w:val="231F20"/>
                        <w:w w:val="105"/>
                        <w:sz w:val="20"/>
                      </w:rPr>
                      <w:t>a</w:t>
                    </w:r>
                    <w:r>
                      <w:rPr>
                        <w:rFonts w:ascii="Trebuchet MS"/>
                        <w:color w:val="231F20"/>
                        <w:spacing w:val="-22"/>
                        <w:w w:val="105"/>
                        <w:sz w:val="20"/>
                      </w:rPr>
                      <w:t xml:space="preserve"> </w:t>
                    </w:r>
                    <w:r>
                      <w:rPr>
                        <w:rFonts w:ascii="Trebuchet MS"/>
                        <w:color w:val="231F20"/>
                        <w:w w:val="105"/>
                        <w:sz w:val="20"/>
                      </w:rPr>
                      <w:t>final</w:t>
                    </w:r>
                    <w:r>
                      <w:rPr>
                        <w:rFonts w:ascii="Trebuchet MS"/>
                        <w:color w:val="231F20"/>
                        <w:spacing w:val="-22"/>
                        <w:w w:val="105"/>
                        <w:sz w:val="20"/>
                      </w:rPr>
                      <w:t xml:space="preserve"> </w:t>
                    </w:r>
                    <w:r>
                      <w:rPr>
                        <w:rFonts w:ascii="Trebuchet MS"/>
                        <w:color w:val="231F20"/>
                        <w:w w:val="105"/>
                        <w:sz w:val="20"/>
                      </w:rPr>
                      <w:t>personal</w:t>
                    </w:r>
                    <w:r>
                      <w:rPr>
                        <w:rFonts w:ascii="Trebuchet MS"/>
                        <w:color w:val="231F20"/>
                        <w:spacing w:val="-22"/>
                        <w:w w:val="105"/>
                        <w:sz w:val="20"/>
                      </w:rPr>
                      <w:t xml:space="preserve"> </w:t>
                    </w:r>
                    <w:r>
                      <w:rPr>
                        <w:rFonts w:ascii="Trebuchet MS"/>
                        <w:color w:val="231F20"/>
                        <w:w w:val="105"/>
                        <w:sz w:val="20"/>
                      </w:rPr>
                      <w:t>safety</w:t>
                    </w:r>
                    <w:r>
                      <w:rPr>
                        <w:rFonts w:ascii="Trebuchet MS"/>
                        <w:color w:val="231F20"/>
                        <w:spacing w:val="-22"/>
                        <w:w w:val="105"/>
                        <w:sz w:val="20"/>
                      </w:rPr>
                      <w:t xml:space="preserve"> </w:t>
                    </w:r>
                    <w:r>
                      <w:rPr>
                        <w:rFonts w:ascii="Trebuchet MS"/>
                        <w:color w:val="231F20"/>
                        <w:w w:val="105"/>
                        <w:sz w:val="20"/>
                      </w:rPr>
                      <w:t>intervention</w:t>
                    </w:r>
                    <w:r>
                      <w:rPr>
                        <w:rFonts w:ascii="Trebuchet MS"/>
                        <w:color w:val="231F20"/>
                        <w:spacing w:val="-22"/>
                        <w:w w:val="105"/>
                        <w:sz w:val="20"/>
                      </w:rPr>
                      <w:t xml:space="preserve"> </w:t>
                    </w:r>
                    <w:r>
                      <w:rPr>
                        <w:rFonts w:ascii="Trebuchet MS"/>
                        <w:color w:val="231F20"/>
                        <w:w w:val="105"/>
                        <w:sz w:val="20"/>
                      </w:rPr>
                      <w:t>order</w:t>
                    </w:r>
                    <w:r>
                      <w:rPr>
                        <w:rFonts w:ascii="Trebuchet MS"/>
                        <w:color w:val="231F20"/>
                        <w:spacing w:val="-22"/>
                        <w:w w:val="105"/>
                        <w:sz w:val="20"/>
                      </w:rPr>
                      <w:t xml:space="preserve"> </w:t>
                    </w:r>
                    <w:r>
                      <w:rPr>
                        <w:rFonts w:ascii="Trebuchet MS"/>
                        <w:color w:val="231F20"/>
                        <w:w w:val="105"/>
                        <w:sz w:val="20"/>
                      </w:rPr>
                      <w:t>against</w:t>
                    </w:r>
                    <w:r>
                      <w:rPr>
                        <w:rFonts w:ascii="Trebuchet MS"/>
                        <w:color w:val="231F20"/>
                        <w:spacing w:val="-23"/>
                        <w:w w:val="105"/>
                        <w:sz w:val="20"/>
                      </w:rPr>
                      <w:t xml:space="preserve"> </w:t>
                    </w:r>
                    <w:r>
                      <w:rPr>
                        <w:rFonts w:ascii="Trebuchet MS"/>
                        <w:color w:val="231F20"/>
                        <w:w w:val="105"/>
                        <w:sz w:val="20"/>
                      </w:rPr>
                      <w:t>child</w:t>
                    </w:r>
                    <w:r>
                      <w:rPr>
                        <w:rFonts w:ascii="Trebuchet MS"/>
                        <w:color w:val="231F20"/>
                        <w:spacing w:val="-22"/>
                        <w:w w:val="105"/>
                        <w:sz w:val="20"/>
                      </w:rPr>
                      <w:t xml:space="preserve"> </w:t>
                    </w:r>
                    <w:r>
                      <w:rPr>
                        <w:rFonts w:ascii="Trebuchet MS"/>
                        <w:color w:val="231F20"/>
                        <w:w w:val="105"/>
                        <w:sz w:val="20"/>
                      </w:rPr>
                      <w:t>respondents 14</w:t>
                    </w:r>
                    <w:r>
                      <w:rPr>
                        <w:rFonts w:ascii="Trebuchet MS"/>
                        <w:color w:val="231F20"/>
                        <w:spacing w:val="-28"/>
                        <w:w w:val="105"/>
                        <w:sz w:val="20"/>
                      </w:rPr>
                      <w:t xml:space="preserve"> </w:t>
                    </w:r>
                    <w:r>
                      <w:rPr>
                        <w:rFonts w:ascii="Trebuchet MS"/>
                        <w:color w:val="231F20"/>
                        <w:w w:val="105"/>
                        <w:sz w:val="20"/>
                      </w:rPr>
                      <w:t>years</w:t>
                    </w:r>
                    <w:r>
                      <w:rPr>
                        <w:rFonts w:ascii="Trebuchet MS"/>
                        <w:color w:val="231F20"/>
                        <w:spacing w:val="-28"/>
                        <w:w w:val="105"/>
                        <w:sz w:val="20"/>
                      </w:rPr>
                      <w:t xml:space="preserve"> </w:t>
                    </w:r>
                    <w:r>
                      <w:rPr>
                        <w:rFonts w:ascii="Trebuchet MS"/>
                        <w:color w:val="231F20"/>
                        <w:w w:val="105"/>
                        <w:sz w:val="20"/>
                      </w:rPr>
                      <w:t>and</w:t>
                    </w:r>
                    <w:r>
                      <w:rPr>
                        <w:rFonts w:ascii="Trebuchet MS"/>
                        <w:color w:val="231F20"/>
                        <w:spacing w:val="-28"/>
                        <w:w w:val="105"/>
                        <w:sz w:val="20"/>
                      </w:rPr>
                      <w:t xml:space="preserve"> </w:t>
                    </w:r>
                    <w:r>
                      <w:rPr>
                        <w:rFonts w:ascii="Trebuchet MS"/>
                        <w:color w:val="231F20"/>
                        <w:spacing w:val="-4"/>
                        <w:w w:val="105"/>
                        <w:sz w:val="20"/>
                      </w:rPr>
                      <w:t>over</w:t>
                    </w:r>
                    <w:r>
                      <w:rPr>
                        <w:rFonts w:ascii="Trebuchet MS"/>
                        <w:color w:val="231F20"/>
                        <w:spacing w:val="-27"/>
                        <w:w w:val="105"/>
                        <w:sz w:val="20"/>
                      </w:rPr>
                      <w:t xml:space="preserve"> </w:t>
                    </w:r>
                    <w:r>
                      <w:rPr>
                        <w:rFonts w:ascii="Trebuchet MS"/>
                        <w:color w:val="231F20"/>
                        <w:w w:val="105"/>
                        <w:sz w:val="20"/>
                      </w:rPr>
                      <w:t>in</w:t>
                    </w:r>
                    <w:r>
                      <w:rPr>
                        <w:rFonts w:ascii="Trebuchet MS"/>
                        <w:color w:val="231F20"/>
                        <w:spacing w:val="-28"/>
                        <w:w w:val="105"/>
                        <w:sz w:val="20"/>
                      </w:rPr>
                      <w:t xml:space="preserve"> </w:t>
                    </w:r>
                    <w:r>
                      <w:rPr>
                        <w:rFonts w:ascii="Trebuchet MS"/>
                        <w:color w:val="231F20"/>
                        <w:w w:val="105"/>
                        <w:sz w:val="20"/>
                      </w:rPr>
                      <w:t>the</w:t>
                    </w:r>
                    <w:r>
                      <w:rPr>
                        <w:rFonts w:ascii="Trebuchet MS"/>
                        <w:color w:val="231F20"/>
                        <w:spacing w:val="-28"/>
                        <w:w w:val="105"/>
                        <w:sz w:val="20"/>
                      </w:rPr>
                      <w:t xml:space="preserve"> </w:t>
                    </w:r>
                    <w:r>
                      <w:rPr>
                        <w:rFonts w:ascii="Arial"/>
                        <w:i/>
                        <w:color w:val="231F20"/>
                        <w:w w:val="105"/>
                        <w:sz w:val="20"/>
                      </w:rPr>
                      <w:t>Personal</w:t>
                    </w:r>
                    <w:r>
                      <w:rPr>
                        <w:rFonts w:ascii="Arial"/>
                        <w:i/>
                        <w:color w:val="231F20"/>
                        <w:spacing w:val="-24"/>
                        <w:w w:val="105"/>
                        <w:sz w:val="20"/>
                      </w:rPr>
                      <w:t xml:space="preserve"> </w:t>
                    </w:r>
                    <w:r>
                      <w:rPr>
                        <w:rFonts w:ascii="Arial"/>
                        <w:i/>
                        <w:color w:val="231F20"/>
                        <w:w w:val="105"/>
                        <w:sz w:val="20"/>
                      </w:rPr>
                      <w:t>Safety</w:t>
                    </w:r>
                    <w:r>
                      <w:rPr>
                        <w:rFonts w:ascii="Arial"/>
                        <w:i/>
                        <w:color w:val="231F20"/>
                        <w:spacing w:val="-24"/>
                        <w:w w:val="105"/>
                        <w:sz w:val="20"/>
                      </w:rPr>
                      <w:t xml:space="preserve"> </w:t>
                    </w:r>
                    <w:r>
                      <w:rPr>
                        <w:rFonts w:ascii="Arial"/>
                        <w:i/>
                        <w:color w:val="231F20"/>
                        <w:w w:val="105"/>
                        <w:sz w:val="20"/>
                      </w:rPr>
                      <w:t>Intervention</w:t>
                    </w:r>
                    <w:r>
                      <w:rPr>
                        <w:rFonts w:ascii="Arial"/>
                        <w:i/>
                        <w:color w:val="231F20"/>
                        <w:spacing w:val="-24"/>
                        <w:w w:val="105"/>
                        <w:sz w:val="20"/>
                      </w:rPr>
                      <w:t xml:space="preserve"> </w:t>
                    </w:r>
                    <w:r>
                      <w:rPr>
                        <w:rFonts w:ascii="Arial"/>
                        <w:i/>
                        <w:color w:val="231F20"/>
                        <w:w w:val="105"/>
                        <w:sz w:val="20"/>
                      </w:rPr>
                      <w:t>Orders</w:t>
                    </w:r>
                    <w:r>
                      <w:rPr>
                        <w:rFonts w:ascii="Arial"/>
                        <w:i/>
                        <w:color w:val="231F20"/>
                        <w:spacing w:val="-24"/>
                        <w:w w:val="105"/>
                        <w:sz w:val="20"/>
                      </w:rPr>
                      <w:t xml:space="preserve"> </w:t>
                    </w:r>
                    <w:r>
                      <w:rPr>
                        <w:rFonts w:ascii="Arial"/>
                        <w:i/>
                        <w:color w:val="231F20"/>
                        <w:w w:val="105"/>
                        <w:sz w:val="20"/>
                      </w:rPr>
                      <w:t>Act</w:t>
                    </w:r>
                    <w:r>
                      <w:rPr>
                        <w:rFonts w:ascii="Arial"/>
                        <w:i/>
                        <w:color w:val="231F20"/>
                        <w:spacing w:val="-24"/>
                        <w:w w:val="105"/>
                        <w:sz w:val="20"/>
                      </w:rPr>
                      <w:t xml:space="preserve"> </w:t>
                    </w:r>
                    <w:r>
                      <w:rPr>
                        <w:rFonts w:ascii="Arial"/>
                        <w:i/>
                        <w:color w:val="231F20"/>
                        <w:spacing w:val="-3"/>
                        <w:w w:val="105"/>
                        <w:sz w:val="20"/>
                      </w:rPr>
                      <w:t>2010</w:t>
                    </w:r>
                    <w:r>
                      <w:rPr>
                        <w:rFonts w:ascii="Arial"/>
                        <w:i/>
                        <w:color w:val="231F20"/>
                        <w:spacing w:val="-26"/>
                        <w:w w:val="105"/>
                        <w:sz w:val="20"/>
                      </w:rPr>
                      <w:t xml:space="preserve"> </w:t>
                    </w:r>
                    <w:r>
                      <w:rPr>
                        <w:rFonts w:ascii="Trebuchet MS"/>
                        <w:color w:val="231F20"/>
                        <w:spacing w:val="-3"/>
                        <w:w w:val="105"/>
                        <w:sz w:val="20"/>
                      </w:rPr>
                      <w:t>(Vic).</w:t>
                    </w:r>
                  </w:p>
                  <w:p w14:paraId="45D5B106" w14:textId="77777777" w:rsidR="00894070" w:rsidRDefault="009B7AFD">
                    <w:pPr>
                      <w:spacing w:before="87"/>
                      <w:ind w:left="13"/>
                      <w:rPr>
                        <w:rFonts w:ascii="Trebuchet MS"/>
                        <w:sz w:val="20"/>
                      </w:rPr>
                    </w:pPr>
                    <w:r>
                      <w:rPr>
                        <w:rFonts w:ascii="Trebuchet MS"/>
                        <w:color w:val="231F20"/>
                        <w:spacing w:val="-1"/>
                        <w:w w:val="111"/>
                        <w:sz w:val="20"/>
                      </w:rPr>
                      <w:t>P</w:t>
                    </w:r>
                    <w:r>
                      <w:rPr>
                        <w:rFonts w:ascii="Trebuchet MS"/>
                        <w:color w:val="231F20"/>
                        <w:spacing w:val="-1"/>
                        <w:w w:val="126"/>
                        <w:sz w:val="20"/>
                      </w:rPr>
                      <w:t>S</w:t>
                    </w:r>
                    <w:r>
                      <w:rPr>
                        <w:rFonts w:ascii="Trebuchet MS"/>
                        <w:color w:val="231F20"/>
                        <w:spacing w:val="-1"/>
                        <w:w w:val="93"/>
                        <w:sz w:val="20"/>
                      </w:rPr>
                      <w:t>I</w:t>
                    </w:r>
                    <w:r>
                      <w:rPr>
                        <w:rFonts w:ascii="Trebuchet MS"/>
                        <w:color w:val="231F20"/>
                        <w:spacing w:val="-1"/>
                        <w:w w:val="111"/>
                        <w:sz w:val="20"/>
                      </w:rPr>
                      <w:t>O</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2"/>
                        <w:w w:val="107"/>
                        <w:sz w:val="20"/>
                      </w:rPr>
                      <w:t>n</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8"/>
                        <w:sz w:val="20"/>
                      </w:rPr>
                      <w:t>e</w:t>
                    </w:r>
                    <w:r>
                      <w:rPr>
                        <w:rFonts w:ascii="Trebuchet MS"/>
                        <w:color w:val="231F20"/>
                        <w:spacing w:val="-14"/>
                        <w:sz w:val="20"/>
                      </w:rPr>
                      <w:t xml:space="preserve"> </w:t>
                    </w:r>
                    <w:r>
                      <w:rPr>
                        <w:rFonts w:ascii="Trebuchet MS"/>
                        <w:color w:val="231F20"/>
                        <w:spacing w:val="-6"/>
                        <w:w w:val="105"/>
                        <w:sz w:val="20"/>
                      </w:rPr>
                      <w:t>a</w:t>
                    </w:r>
                    <w:r>
                      <w:rPr>
                        <w:rFonts w:ascii="Trebuchet MS"/>
                        <w:color w:val="231F20"/>
                        <w:spacing w:val="-3"/>
                        <w:w w:val="109"/>
                        <w:sz w:val="20"/>
                      </w:rPr>
                      <w:t>v</w:t>
                    </w:r>
                    <w:r>
                      <w:rPr>
                        <w:rFonts w:ascii="Trebuchet MS"/>
                        <w:color w:val="231F20"/>
                        <w:spacing w:val="-2"/>
                        <w:w w:val="105"/>
                        <w:sz w:val="20"/>
                      </w:rPr>
                      <w:t>a</w:t>
                    </w:r>
                    <w:r>
                      <w:rPr>
                        <w:rFonts w:ascii="Trebuchet MS"/>
                        <w:color w:val="231F20"/>
                        <w:spacing w:val="-2"/>
                        <w:w w:val="80"/>
                        <w:sz w:val="20"/>
                      </w:rPr>
                      <w:t>i</w:t>
                    </w:r>
                    <w:r>
                      <w:rPr>
                        <w:rFonts w:ascii="Trebuchet MS"/>
                        <w:color w:val="231F20"/>
                        <w:spacing w:val="1"/>
                        <w:w w:val="96"/>
                        <w:sz w:val="20"/>
                      </w:rPr>
                      <w:t>l</w:t>
                    </w:r>
                    <w:r>
                      <w:rPr>
                        <w:rFonts w:ascii="Trebuchet MS"/>
                        <w:color w:val="231F20"/>
                        <w:spacing w:val="-2"/>
                        <w:w w:val="105"/>
                        <w:sz w:val="20"/>
                      </w:rPr>
                      <w:t>a</w:t>
                    </w:r>
                    <w:r>
                      <w:rPr>
                        <w:rFonts w:ascii="Trebuchet MS"/>
                        <w:color w:val="231F20"/>
                        <w:spacing w:val="-2"/>
                        <w:w w:val="111"/>
                        <w:sz w:val="20"/>
                      </w:rPr>
                      <w:t>b</w:t>
                    </w:r>
                    <w:r>
                      <w:rPr>
                        <w:rFonts w:ascii="Trebuchet MS"/>
                        <w:color w:val="231F20"/>
                        <w:spacing w:val="-3"/>
                        <w:w w:val="96"/>
                        <w:sz w:val="20"/>
                      </w:rPr>
                      <w:t>l</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2"/>
                        <w:w w:val="124"/>
                        <w:sz w:val="20"/>
                      </w:rPr>
                      <w:t>g</w:t>
                    </w:r>
                    <w:r>
                      <w:rPr>
                        <w:rFonts w:ascii="Trebuchet MS"/>
                        <w:color w:val="231F20"/>
                        <w:spacing w:val="-2"/>
                        <w:w w:val="105"/>
                        <w:sz w:val="20"/>
                      </w:rPr>
                      <w:t>a</w:t>
                    </w:r>
                    <w:r>
                      <w:rPr>
                        <w:rFonts w:ascii="Trebuchet MS"/>
                        <w:color w:val="231F20"/>
                        <w:spacing w:val="-2"/>
                        <w:w w:val="80"/>
                        <w:sz w:val="20"/>
                      </w:rPr>
                      <w:t>i</w:t>
                    </w:r>
                    <w:r>
                      <w:rPr>
                        <w:rFonts w:ascii="Trebuchet MS"/>
                        <w:color w:val="231F20"/>
                        <w:spacing w:val="-2"/>
                        <w:w w:val="107"/>
                        <w:sz w:val="20"/>
                      </w:rPr>
                      <w:t>n</w:t>
                    </w:r>
                    <w:r>
                      <w:rPr>
                        <w:rFonts w:ascii="Trebuchet MS"/>
                        <w:color w:val="231F20"/>
                        <w:spacing w:val="-1"/>
                        <w:w w:val="122"/>
                        <w:sz w:val="20"/>
                      </w:rPr>
                      <w:t>s</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2"/>
                        <w:w w:val="107"/>
                        <w:sz w:val="20"/>
                      </w:rPr>
                      <w:t>h</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24"/>
                        <w:sz w:val="20"/>
                      </w:rPr>
                      <w:t>g</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0"/>
                        <w:sz w:val="20"/>
                      </w:rPr>
                      <w:t>w</w:t>
                    </w:r>
                    <w:r>
                      <w:rPr>
                        <w:rFonts w:ascii="Trebuchet MS"/>
                        <w:color w:val="231F20"/>
                        <w:spacing w:val="-1"/>
                        <w:w w:val="107"/>
                        <w:sz w:val="20"/>
                      </w:rPr>
                      <w:t>h</w:t>
                    </w:r>
                    <w:r>
                      <w:rPr>
                        <w:rFonts w:ascii="Trebuchet MS"/>
                        <w:color w:val="231F20"/>
                        <w:spacing w:val="-1"/>
                        <w:w w:val="108"/>
                        <w:sz w:val="20"/>
                      </w:rPr>
                      <w:t>e</w:t>
                    </w:r>
                    <w:r>
                      <w:rPr>
                        <w:rFonts w:ascii="Trebuchet MS"/>
                        <w:color w:val="231F20"/>
                        <w:spacing w:val="-4"/>
                        <w:w w:val="93"/>
                        <w:sz w:val="20"/>
                      </w:rPr>
                      <w:t>r</w:t>
                    </w:r>
                    <w:r>
                      <w:rPr>
                        <w:rFonts w:ascii="Trebuchet MS"/>
                        <w:color w:val="231F20"/>
                        <w:spacing w:val="-4"/>
                        <w:w w:val="108"/>
                        <w:sz w:val="20"/>
                      </w:rPr>
                      <w:t>e</w:t>
                    </w:r>
                    <w:r>
                      <w:rPr>
                        <w:rFonts w:ascii="Trebuchet MS"/>
                        <w:color w:val="231F20"/>
                        <w:w w:val="54"/>
                        <w:sz w:val="20"/>
                      </w:rPr>
                      <w:t>:</w:t>
                    </w:r>
                  </w:p>
                </w:txbxContent>
              </v:textbox>
            </v:shape>
            <v:shape id="_x0000_s1239" type="#_x0000_t202" style="position:absolute;left:1814;top:1342;width:287;height:235" filled="f" stroked="f">
              <v:textbox inset="0,0,0,0">
                <w:txbxContent>
                  <w:p w14:paraId="23A1EC3A" w14:textId="77777777" w:rsidR="00894070" w:rsidRDefault="009B7AFD">
                    <w:pPr>
                      <w:rPr>
                        <w:rFonts w:ascii="Trebuchet MS"/>
                        <w:sz w:val="20"/>
                      </w:rPr>
                    </w:pPr>
                    <w:r>
                      <w:rPr>
                        <w:rFonts w:ascii="Trebuchet MS"/>
                        <w:color w:val="231F20"/>
                        <w:w w:val="95"/>
                        <w:sz w:val="20"/>
                      </w:rPr>
                      <w:t>30.</w:t>
                    </w:r>
                  </w:p>
                </w:txbxContent>
              </v:textbox>
            </v:shape>
            <v:shape id="_x0000_s1238" type="#_x0000_t202" style="position:absolute;left:1587;top:309;width:8731;height:783" fillcolor="#fee7de" stroked="f">
              <v:textbox inset="0,0,0,0">
                <w:txbxContent>
                  <w:p w14:paraId="3D02B425"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wrap type="topAndBottom" anchorx="page"/>
          </v:group>
        </w:pict>
      </w:r>
    </w:p>
    <w:p w14:paraId="79B163EE" w14:textId="77777777" w:rsidR="00894070" w:rsidRDefault="00894070">
      <w:pPr>
        <w:pStyle w:val="BodyText"/>
        <w:spacing w:before="3"/>
        <w:rPr>
          <w:sz w:val="29"/>
        </w:rPr>
      </w:pPr>
    </w:p>
    <w:p w14:paraId="25538D96" w14:textId="77777777" w:rsidR="00894070" w:rsidRDefault="009B7AFD">
      <w:pPr>
        <w:pStyle w:val="Heading8"/>
        <w:spacing w:before="48"/>
        <w:ind w:left="1007"/>
      </w:pPr>
      <w:r>
        <w:rPr>
          <w:color w:val="231F20"/>
        </w:rPr>
        <w:t>Legal assistance for children is a priority</w:t>
      </w:r>
    </w:p>
    <w:p w14:paraId="116B6B2B" w14:textId="77777777" w:rsidR="00894070" w:rsidRDefault="009B7AFD">
      <w:pPr>
        <w:pStyle w:val="ListParagraph"/>
        <w:numPr>
          <w:ilvl w:val="1"/>
          <w:numId w:val="102"/>
        </w:numPr>
        <w:tabs>
          <w:tab w:val="left" w:pos="1801"/>
          <w:tab w:val="left" w:pos="1802"/>
        </w:tabs>
        <w:spacing w:before="127" w:line="206" w:lineRule="auto"/>
        <w:ind w:right="1212"/>
        <w:rPr>
          <w:sz w:val="11"/>
        </w:rPr>
      </w:pPr>
      <w:r>
        <w:rPr>
          <w:color w:val="231F20"/>
          <w:sz w:val="20"/>
        </w:rPr>
        <w:t xml:space="preserve">As discussed </w:t>
      </w:r>
      <w:r>
        <w:rPr>
          <w:color w:val="231F20"/>
          <w:spacing w:val="-3"/>
          <w:sz w:val="20"/>
        </w:rPr>
        <w:t xml:space="preserve">earlier, </w:t>
      </w:r>
      <w:r>
        <w:rPr>
          <w:color w:val="231F20"/>
          <w:sz w:val="20"/>
        </w:rPr>
        <w:t xml:space="preserve">legal support </w:t>
      </w:r>
      <w:r>
        <w:rPr>
          <w:color w:val="231F20"/>
          <w:spacing w:val="-3"/>
          <w:sz w:val="20"/>
        </w:rPr>
        <w:t xml:space="preserve">for </w:t>
      </w:r>
      <w:r>
        <w:rPr>
          <w:color w:val="231F20"/>
          <w:sz w:val="20"/>
        </w:rPr>
        <w:t xml:space="preserve">both applicants and respondents in the PSIO </w:t>
      </w:r>
      <w:r>
        <w:rPr>
          <w:color w:val="231F20"/>
          <w:spacing w:val="-2"/>
          <w:sz w:val="20"/>
        </w:rPr>
        <w:t>system</w:t>
      </w:r>
      <w:r>
        <w:rPr>
          <w:color w:val="231F20"/>
          <w:spacing w:val="-9"/>
          <w:sz w:val="20"/>
        </w:rPr>
        <w:t xml:space="preserve"> </w:t>
      </w:r>
      <w:r>
        <w:rPr>
          <w:color w:val="231F20"/>
          <w:sz w:val="20"/>
        </w:rPr>
        <w:t>is</w:t>
      </w:r>
      <w:r>
        <w:rPr>
          <w:color w:val="231F20"/>
          <w:spacing w:val="-8"/>
          <w:sz w:val="20"/>
        </w:rPr>
        <w:t xml:space="preserve"> </w:t>
      </w:r>
      <w:r>
        <w:rPr>
          <w:color w:val="231F20"/>
          <w:sz w:val="20"/>
        </w:rPr>
        <w:t>important.</w:t>
      </w:r>
      <w:r>
        <w:rPr>
          <w:color w:val="231F20"/>
          <w:spacing w:val="-8"/>
          <w:sz w:val="20"/>
        </w:rPr>
        <w:t xml:space="preserve"> </w:t>
      </w:r>
      <w:r>
        <w:rPr>
          <w:color w:val="231F20"/>
          <w:sz w:val="20"/>
        </w:rPr>
        <w:t>It</w:t>
      </w:r>
      <w:r>
        <w:rPr>
          <w:color w:val="231F20"/>
          <w:spacing w:val="-8"/>
          <w:sz w:val="20"/>
        </w:rPr>
        <w:t xml:space="preserve"> </w:t>
      </w:r>
      <w:r>
        <w:rPr>
          <w:color w:val="231F20"/>
          <w:sz w:val="20"/>
        </w:rPr>
        <w:t>is</w:t>
      </w:r>
      <w:r>
        <w:rPr>
          <w:color w:val="231F20"/>
          <w:spacing w:val="-8"/>
          <w:sz w:val="20"/>
        </w:rPr>
        <w:t xml:space="preserve"> </w:t>
      </w:r>
      <w:r>
        <w:rPr>
          <w:color w:val="231F20"/>
          <w:sz w:val="20"/>
        </w:rPr>
        <w:t>especially</w:t>
      </w:r>
      <w:r>
        <w:rPr>
          <w:color w:val="231F20"/>
          <w:spacing w:val="-8"/>
          <w:sz w:val="20"/>
        </w:rPr>
        <w:t xml:space="preserve"> </w:t>
      </w:r>
      <w:r>
        <w:rPr>
          <w:color w:val="231F20"/>
          <w:sz w:val="20"/>
        </w:rPr>
        <w:t>important</w:t>
      </w:r>
      <w:r>
        <w:rPr>
          <w:color w:val="231F20"/>
          <w:spacing w:val="-8"/>
          <w:sz w:val="20"/>
        </w:rPr>
        <w:t xml:space="preserve"> </w:t>
      </w:r>
      <w:r>
        <w:rPr>
          <w:color w:val="231F20"/>
          <w:spacing w:val="-3"/>
          <w:sz w:val="20"/>
        </w:rPr>
        <w:t>for</w:t>
      </w:r>
      <w:r>
        <w:rPr>
          <w:color w:val="231F20"/>
          <w:spacing w:val="-9"/>
          <w:sz w:val="20"/>
        </w:rPr>
        <w:t xml:space="preserve"> </w:t>
      </w:r>
      <w:r>
        <w:rPr>
          <w:color w:val="231F20"/>
          <w:spacing w:val="-3"/>
          <w:sz w:val="20"/>
        </w:rPr>
        <w:t>children,</w:t>
      </w:r>
      <w:r>
        <w:rPr>
          <w:color w:val="231F20"/>
          <w:spacing w:val="-8"/>
          <w:sz w:val="20"/>
        </w:rPr>
        <w:t xml:space="preserve"> </w:t>
      </w:r>
      <w:r>
        <w:rPr>
          <w:color w:val="231F20"/>
          <w:sz w:val="20"/>
        </w:rPr>
        <w:t>who</w:t>
      </w:r>
      <w:r>
        <w:rPr>
          <w:color w:val="231F20"/>
          <w:spacing w:val="-8"/>
          <w:sz w:val="20"/>
        </w:rPr>
        <w:t xml:space="preserve"> </w:t>
      </w:r>
      <w:r>
        <w:rPr>
          <w:color w:val="231F20"/>
          <w:spacing w:val="-4"/>
          <w:sz w:val="20"/>
        </w:rPr>
        <w:t>have</w:t>
      </w:r>
      <w:r>
        <w:rPr>
          <w:color w:val="231F20"/>
          <w:spacing w:val="-8"/>
          <w:sz w:val="20"/>
        </w:rPr>
        <w:t xml:space="preserve"> </w:t>
      </w:r>
      <w:r>
        <w:rPr>
          <w:color w:val="231F20"/>
          <w:sz w:val="20"/>
        </w:rPr>
        <w:t>little</w:t>
      </w:r>
      <w:r>
        <w:rPr>
          <w:color w:val="231F20"/>
          <w:spacing w:val="-8"/>
          <w:sz w:val="20"/>
        </w:rPr>
        <w:t xml:space="preserve"> </w:t>
      </w:r>
      <w:r>
        <w:rPr>
          <w:color w:val="231F20"/>
          <w:sz w:val="20"/>
        </w:rPr>
        <w:t>knowledge</w:t>
      </w:r>
      <w:r>
        <w:rPr>
          <w:color w:val="231F20"/>
          <w:spacing w:val="-8"/>
          <w:sz w:val="20"/>
        </w:rPr>
        <w:t xml:space="preserve"> </w:t>
      </w:r>
      <w:r>
        <w:rPr>
          <w:color w:val="231F20"/>
          <w:sz w:val="20"/>
        </w:rPr>
        <w:t xml:space="preserve">of their legal rights or available </w:t>
      </w:r>
      <w:r>
        <w:rPr>
          <w:color w:val="231F20"/>
          <w:spacing w:val="-3"/>
          <w:sz w:val="20"/>
        </w:rPr>
        <w:t xml:space="preserve">avenues </w:t>
      </w:r>
      <w:r>
        <w:rPr>
          <w:color w:val="231F20"/>
          <w:sz w:val="20"/>
        </w:rPr>
        <w:t>or</w:t>
      </w:r>
      <w:r>
        <w:rPr>
          <w:color w:val="231F20"/>
          <w:spacing w:val="-29"/>
          <w:sz w:val="20"/>
        </w:rPr>
        <w:t xml:space="preserve"> </w:t>
      </w:r>
      <w:r>
        <w:rPr>
          <w:color w:val="231F20"/>
          <w:sz w:val="20"/>
        </w:rPr>
        <w:t>remedies.</w:t>
      </w:r>
      <w:r>
        <w:rPr>
          <w:color w:val="231F20"/>
          <w:position w:val="7"/>
          <w:sz w:val="11"/>
        </w:rPr>
        <w:t>275</w:t>
      </w:r>
    </w:p>
    <w:p w14:paraId="60FB0286" w14:textId="77777777" w:rsidR="00894070" w:rsidRDefault="00894070">
      <w:pPr>
        <w:pStyle w:val="BodyText"/>
      </w:pPr>
    </w:p>
    <w:p w14:paraId="189CA779" w14:textId="77777777" w:rsidR="00894070" w:rsidRDefault="009F6793">
      <w:pPr>
        <w:pStyle w:val="BodyText"/>
        <w:rPr>
          <w:sz w:val="24"/>
        </w:rPr>
      </w:pPr>
      <w:r>
        <w:pict w14:anchorId="4E1C8E18">
          <v:line id="_x0000_s1236" style="position:absolute;z-index:251717632;mso-wrap-distance-left:0;mso-wrap-distance-right:0;mso-position-horizontal-relative:page" from="79.35pt,19.1pt" to="515.9pt,19.1pt" strokecolor="#f8cabc" strokeweight="1pt">
            <w10:wrap type="topAndBottom" anchorx="page"/>
          </v:line>
        </w:pict>
      </w:r>
    </w:p>
    <w:p w14:paraId="4CD189CC" w14:textId="77777777" w:rsidR="00894070" w:rsidRDefault="00894070">
      <w:pPr>
        <w:pStyle w:val="BodyText"/>
        <w:rPr>
          <w:sz w:val="5"/>
        </w:rPr>
      </w:pPr>
    </w:p>
    <w:p w14:paraId="1DA043D5" w14:textId="77777777" w:rsidR="00894070" w:rsidRDefault="00894070">
      <w:pPr>
        <w:rPr>
          <w:sz w:val="5"/>
        </w:rPr>
        <w:sectPr w:rsidR="00894070">
          <w:pgSz w:w="11910" w:h="16840"/>
          <w:pgMar w:top="840" w:right="420" w:bottom="280" w:left="580" w:header="0" w:footer="0" w:gutter="0"/>
          <w:cols w:space="720"/>
        </w:sectPr>
      </w:pPr>
    </w:p>
    <w:p w14:paraId="28570B5C" w14:textId="77777777" w:rsidR="00894070" w:rsidRDefault="009B7AFD">
      <w:pPr>
        <w:pStyle w:val="ListParagraph"/>
        <w:numPr>
          <w:ilvl w:val="0"/>
          <w:numId w:val="71"/>
        </w:numPr>
        <w:tabs>
          <w:tab w:val="left" w:pos="1801"/>
          <w:tab w:val="left" w:pos="1802"/>
        </w:tabs>
        <w:spacing w:before="21" w:line="170" w:lineRule="exact"/>
        <w:jc w:val="left"/>
        <w:rPr>
          <w:sz w:val="13"/>
        </w:rPr>
      </w:pPr>
      <w:r>
        <w:rPr>
          <w:i/>
          <w:color w:val="231F20"/>
          <w:sz w:val="13"/>
        </w:rPr>
        <w:t xml:space="preserve">Family Violence Protection Act 2008 </w:t>
      </w:r>
      <w:r>
        <w:rPr>
          <w:color w:val="231F20"/>
          <w:sz w:val="13"/>
        </w:rPr>
        <w:t>(Vic) ss</w:t>
      </w:r>
      <w:r>
        <w:rPr>
          <w:color w:val="231F20"/>
          <w:spacing w:val="2"/>
          <w:sz w:val="13"/>
        </w:rPr>
        <w:t xml:space="preserve"> </w:t>
      </w:r>
      <w:r>
        <w:rPr>
          <w:color w:val="231F20"/>
          <w:sz w:val="13"/>
        </w:rPr>
        <w:t>82–4.</w:t>
      </w:r>
    </w:p>
    <w:p w14:paraId="2E5B9F1E" w14:textId="77777777" w:rsidR="00894070" w:rsidRDefault="009B7AFD">
      <w:pPr>
        <w:pStyle w:val="ListParagraph"/>
        <w:numPr>
          <w:ilvl w:val="0"/>
          <w:numId w:val="71"/>
        </w:numPr>
        <w:tabs>
          <w:tab w:val="left" w:pos="1800"/>
          <w:tab w:val="left" w:pos="1802"/>
        </w:tabs>
        <w:spacing w:line="160" w:lineRule="exact"/>
        <w:jc w:val="left"/>
        <w:rPr>
          <w:sz w:val="13"/>
        </w:rPr>
      </w:pPr>
      <w:r>
        <w:rPr>
          <w:color w:val="231F20"/>
          <w:sz w:val="13"/>
        </w:rPr>
        <w:t>Consultation 13 (Victoria Legal</w:t>
      </w:r>
      <w:r>
        <w:rPr>
          <w:color w:val="231F20"/>
          <w:spacing w:val="1"/>
          <w:sz w:val="13"/>
        </w:rPr>
        <w:t xml:space="preserve"> </w:t>
      </w:r>
      <w:r>
        <w:rPr>
          <w:color w:val="231F20"/>
          <w:sz w:val="13"/>
        </w:rPr>
        <w:t>Aid).</w:t>
      </w:r>
    </w:p>
    <w:p w14:paraId="0BF3FB72" w14:textId="77777777" w:rsidR="00894070" w:rsidRDefault="009B7AFD">
      <w:pPr>
        <w:pStyle w:val="ListParagraph"/>
        <w:numPr>
          <w:ilvl w:val="0"/>
          <w:numId w:val="71"/>
        </w:numPr>
        <w:tabs>
          <w:tab w:val="left" w:pos="1801"/>
          <w:tab w:val="left" w:pos="1802"/>
        </w:tabs>
        <w:spacing w:before="7" w:line="213" w:lineRule="auto"/>
        <w:jc w:val="left"/>
        <w:rPr>
          <w:sz w:val="13"/>
        </w:rPr>
      </w:pPr>
      <w:r>
        <w:rPr>
          <w:color w:val="231F20"/>
          <w:spacing w:val="2"/>
          <w:sz w:val="13"/>
        </w:rPr>
        <w:t xml:space="preserve">Rosemary </w:t>
      </w:r>
      <w:r>
        <w:rPr>
          <w:color w:val="231F20"/>
          <w:sz w:val="13"/>
        </w:rPr>
        <w:t xml:space="preserve">Purcell, Teresa Flower and Paul E Mullen, </w:t>
      </w:r>
      <w:r>
        <w:rPr>
          <w:i/>
          <w:color w:val="231F20"/>
          <w:sz w:val="13"/>
        </w:rPr>
        <w:t xml:space="preserve">Adolescent Stalking: Offence Characteristics and Effectiveness of Criminal Justice Interventions </w:t>
      </w:r>
      <w:r>
        <w:rPr>
          <w:color w:val="231F20"/>
          <w:sz w:val="13"/>
        </w:rPr>
        <w:t xml:space="preserve">(Final </w:t>
      </w:r>
      <w:r>
        <w:rPr>
          <w:color w:val="231F20"/>
          <w:spacing w:val="2"/>
          <w:sz w:val="13"/>
        </w:rPr>
        <w:t xml:space="preserve">Report </w:t>
      </w:r>
      <w:r>
        <w:rPr>
          <w:color w:val="231F20"/>
          <w:sz w:val="13"/>
        </w:rPr>
        <w:t xml:space="preserve">to Criminology Research </w:t>
      </w:r>
      <w:r>
        <w:rPr>
          <w:color w:val="231F20"/>
          <w:spacing w:val="2"/>
          <w:sz w:val="13"/>
        </w:rPr>
        <w:t xml:space="preserve">Council, </w:t>
      </w:r>
      <w:r>
        <w:rPr>
          <w:color w:val="231F20"/>
          <w:sz w:val="13"/>
        </w:rPr>
        <w:t>November 2008)</w:t>
      </w:r>
      <w:r>
        <w:rPr>
          <w:color w:val="231F20"/>
          <w:spacing w:val="8"/>
          <w:sz w:val="13"/>
        </w:rPr>
        <w:t xml:space="preserve"> </w:t>
      </w:r>
      <w:r>
        <w:rPr>
          <w:color w:val="231F20"/>
          <w:sz w:val="13"/>
        </w:rPr>
        <w:t>6.</w:t>
      </w:r>
    </w:p>
    <w:p w14:paraId="2A020B13" w14:textId="77777777" w:rsidR="00894070" w:rsidRDefault="009B7AFD">
      <w:pPr>
        <w:pStyle w:val="ListParagraph"/>
        <w:numPr>
          <w:ilvl w:val="0"/>
          <w:numId w:val="71"/>
        </w:numPr>
        <w:tabs>
          <w:tab w:val="left" w:pos="1801"/>
          <w:tab w:val="left" w:pos="1802"/>
        </w:tabs>
        <w:spacing w:line="163" w:lineRule="exact"/>
        <w:jc w:val="lef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2B6F9665" w14:textId="77777777" w:rsidR="00894070" w:rsidRDefault="009B7AFD">
      <w:pPr>
        <w:pStyle w:val="BodyText"/>
        <w:spacing w:before="7"/>
        <w:rPr>
          <w:sz w:val="38"/>
        </w:rPr>
      </w:pPr>
      <w:r>
        <w:br w:type="column"/>
      </w:r>
    </w:p>
    <w:p w14:paraId="72E966E5" w14:textId="77777777" w:rsidR="00894070" w:rsidRDefault="009B7AFD">
      <w:pPr>
        <w:pStyle w:val="Heading8"/>
        <w:ind w:left="850"/>
      </w:pPr>
      <w:r>
        <w:rPr>
          <w:color w:val="EA5B50"/>
        </w:rPr>
        <w:t>129</w:t>
      </w:r>
    </w:p>
    <w:p w14:paraId="7F1D66F5" w14:textId="77777777" w:rsidR="00894070" w:rsidRDefault="00894070">
      <w:pPr>
        <w:sectPr w:rsidR="00894070">
          <w:type w:val="continuous"/>
          <w:pgSz w:w="11910" w:h="16840"/>
          <w:pgMar w:top="560" w:right="420" w:bottom="280" w:left="580" w:header="720" w:footer="720" w:gutter="0"/>
          <w:cols w:num="2" w:space="720" w:equalWidth="0">
            <w:col w:w="9444" w:space="40"/>
            <w:col w:w="1426"/>
          </w:cols>
        </w:sectPr>
      </w:pPr>
    </w:p>
    <w:p w14:paraId="2603CA4E" w14:textId="77777777" w:rsidR="00894070" w:rsidRDefault="00894070">
      <w:pPr>
        <w:pStyle w:val="BodyText"/>
        <w:rPr>
          <w:b/>
        </w:rPr>
      </w:pPr>
    </w:p>
    <w:p w14:paraId="7A74CB34" w14:textId="77777777" w:rsidR="00894070" w:rsidRDefault="00894070">
      <w:pPr>
        <w:pStyle w:val="BodyText"/>
        <w:rPr>
          <w:b/>
        </w:rPr>
      </w:pPr>
    </w:p>
    <w:p w14:paraId="6DA484EC" w14:textId="77777777" w:rsidR="00894070" w:rsidRDefault="00894070">
      <w:pPr>
        <w:pStyle w:val="BodyText"/>
        <w:rPr>
          <w:b/>
        </w:rPr>
      </w:pPr>
    </w:p>
    <w:p w14:paraId="5B8C3576" w14:textId="77777777" w:rsidR="00894070" w:rsidRDefault="00894070">
      <w:pPr>
        <w:pStyle w:val="BodyText"/>
        <w:spacing w:before="10"/>
        <w:rPr>
          <w:b/>
          <w:sz w:val="13"/>
        </w:rPr>
      </w:pPr>
    </w:p>
    <w:p w14:paraId="2CEBE714" w14:textId="77777777" w:rsidR="00894070" w:rsidRDefault="009B7AFD">
      <w:pPr>
        <w:pStyle w:val="ListParagraph"/>
        <w:numPr>
          <w:ilvl w:val="1"/>
          <w:numId w:val="102"/>
        </w:numPr>
        <w:tabs>
          <w:tab w:val="left" w:pos="1801"/>
          <w:tab w:val="left" w:pos="1802"/>
        </w:tabs>
        <w:spacing w:before="90" w:line="206" w:lineRule="auto"/>
        <w:ind w:right="1196"/>
        <w:rPr>
          <w:sz w:val="20"/>
        </w:rPr>
      </w:pPr>
      <w:r>
        <w:rPr>
          <w:color w:val="231F20"/>
          <w:sz w:val="20"/>
        </w:rPr>
        <w:t>The</w:t>
      </w:r>
      <w:r>
        <w:rPr>
          <w:color w:val="231F20"/>
          <w:spacing w:val="-9"/>
          <w:sz w:val="20"/>
        </w:rPr>
        <w:t xml:space="preserve"> </w:t>
      </w:r>
      <w:r>
        <w:rPr>
          <w:color w:val="231F20"/>
          <w:spacing w:val="-3"/>
          <w:sz w:val="20"/>
        </w:rPr>
        <w:t>Children’s</w:t>
      </w:r>
      <w:r>
        <w:rPr>
          <w:color w:val="231F20"/>
          <w:spacing w:val="-8"/>
          <w:sz w:val="20"/>
        </w:rPr>
        <w:t xml:space="preserve"> </w:t>
      </w:r>
      <w:r>
        <w:rPr>
          <w:color w:val="231F20"/>
          <w:sz w:val="20"/>
        </w:rPr>
        <w:t>Court</w:t>
      </w:r>
      <w:r>
        <w:rPr>
          <w:color w:val="231F20"/>
          <w:spacing w:val="-9"/>
          <w:sz w:val="20"/>
        </w:rPr>
        <w:t xml:space="preserve"> </w:t>
      </w:r>
      <w:r>
        <w:rPr>
          <w:color w:val="231F20"/>
          <w:spacing w:val="-3"/>
          <w:sz w:val="20"/>
        </w:rPr>
        <w:t>told</w:t>
      </w:r>
      <w:r>
        <w:rPr>
          <w:color w:val="231F20"/>
          <w:spacing w:val="-8"/>
          <w:sz w:val="20"/>
        </w:rPr>
        <w:t xml:space="preserve"> </w:t>
      </w:r>
      <w:r>
        <w:rPr>
          <w:color w:val="231F20"/>
          <w:sz w:val="20"/>
        </w:rPr>
        <w:t>us</w:t>
      </w:r>
      <w:r>
        <w:rPr>
          <w:color w:val="231F20"/>
          <w:spacing w:val="-9"/>
          <w:sz w:val="20"/>
        </w:rPr>
        <w:t xml:space="preserve"> </w:t>
      </w:r>
      <w:r>
        <w:rPr>
          <w:color w:val="231F20"/>
          <w:sz w:val="20"/>
        </w:rPr>
        <w:t>that</w:t>
      </w:r>
      <w:r>
        <w:rPr>
          <w:color w:val="231F20"/>
          <w:spacing w:val="-8"/>
          <w:sz w:val="20"/>
        </w:rPr>
        <w:t xml:space="preserve"> </w:t>
      </w:r>
      <w:r>
        <w:rPr>
          <w:color w:val="231F20"/>
          <w:sz w:val="20"/>
        </w:rPr>
        <w:t>child</w:t>
      </w:r>
      <w:r>
        <w:rPr>
          <w:color w:val="231F20"/>
          <w:spacing w:val="-8"/>
          <w:sz w:val="20"/>
        </w:rPr>
        <w:t xml:space="preserve"> </w:t>
      </w:r>
      <w:r>
        <w:rPr>
          <w:color w:val="231F20"/>
          <w:sz w:val="20"/>
        </w:rPr>
        <w:t>respondents</w:t>
      </w:r>
      <w:r>
        <w:rPr>
          <w:color w:val="231F20"/>
          <w:spacing w:val="-9"/>
          <w:sz w:val="20"/>
        </w:rPr>
        <w:t xml:space="preserve"> </w:t>
      </w:r>
      <w:r>
        <w:rPr>
          <w:color w:val="231F20"/>
          <w:spacing w:val="-3"/>
          <w:sz w:val="20"/>
        </w:rPr>
        <w:t>are</w:t>
      </w:r>
      <w:r>
        <w:rPr>
          <w:color w:val="231F20"/>
          <w:spacing w:val="-8"/>
          <w:sz w:val="20"/>
        </w:rPr>
        <w:t xml:space="preserve"> </w:t>
      </w:r>
      <w:r>
        <w:rPr>
          <w:color w:val="231F20"/>
          <w:spacing w:val="-4"/>
          <w:sz w:val="20"/>
        </w:rPr>
        <w:t>always</w:t>
      </w:r>
      <w:r>
        <w:rPr>
          <w:color w:val="231F20"/>
          <w:spacing w:val="-9"/>
          <w:sz w:val="20"/>
        </w:rPr>
        <w:t xml:space="preserve"> </w:t>
      </w:r>
      <w:r>
        <w:rPr>
          <w:color w:val="231F20"/>
          <w:sz w:val="20"/>
        </w:rPr>
        <w:t>represented.</w:t>
      </w:r>
      <w:r>
        <w:rPr>
          <w:color w:val="231F20"/>
          <w:position w:val="7"/>
          <w:sz w:val="11"/>
        </w:rPr>
        <w:t>276</w:t>
      </w:r>
      <w:r>
        <w:rPr>
          <w:color w:val="231F20"/>
          <w:spacing w:val="16"/>
          <w:position w:val="7"/>
          <w:sz w:val="11"/>
        </w:rPr>
        <w:t xml:space="preserve"> </w:t>
      </w:r>
      <w:r>
        <w:rPr>
          <w:color w:val="231F20"/>
          <w:sz w:val="20"/>
        </w:rPr>
        <w:t xml:space="preserve">Although eligibility </w:t>
      </w:r>
      <w:r>
        <w:rPr>
          <w:color w:val="231F20"/>
          <w:spacing w:val="-3"/>
          <w:sz w:val="20"/>
        </w:rPr>
        <w:t xml:space="preserve">for </w:t>
      </w:r>
      <w:r>
        <w:rPr>
          <w:color w:val="231F20"/>
          <w:sz w:val="20"/>
        </w:rPr>
        <w:t xml:space="preserve">grants of legal aid to adults in PSIO matters was reduced in </w:t>
      </w:r>
      <w:r>
        <w:rPr>
          <w:color w:val="231F20"/>
          <w:spacing w:val="-4"/>
          <w:sz w:val="20"/>
        </w:rPr>
        <w:t xml:space="preserve">2020, </w:t>
      </w:r>
      <w:r>
        <w:rPr>
          <w:color w:val="231F20"/>
          <w:sz w:val="20"/>
        </w:rPr>
        <w:t xml:space="preserve">Victoria Legal Aid did not cut eligibility </w:t>
      </w:r>
      <w:r>
        <w:rPr>
          <w:color w:val="231F20"/>
          <w:spacing w:val="-3"/>
          <w:sz w:val="20"/>
        </w:rPr>
        <w:t xml:space="preserve">for children, </w:t>
      </w:r>
      <w:r>
        <w:rPr>
          <w:color w:val="231F20"/>
          <w:sz w:val="20"/>
        </w:rPr>
        <w:t xml:space="preserve">who continue to be eligible </w:t>
      </w:r>
      <w:r>
        <w:rPr>
          <w:color w:val="231F20"/>
          <w:spacing w:val="-3"/>
          <w:sz w:val="20"/>
        </w:rPr>
        <w:t xml:space="preserve">for </w:t>
      </w:r>
      <w:r>
        <w:rPr>
          <w:color w:val="231F20"/>
          <w:sz w:val="20"/>
        </w:rPr>
        <w:t xml:space="preserve">legal </w:t>
      </w:r>
      <w:r>
        <w:rPr>
          <w:color w:val="231F20"/>
          <w:spacing w:val="-3"/>
          <w:sz w:val="20"/>
        </w:rPr>
        <w:t xml:space="preserve">representation </w:t>
      </w:r>
      <w:r>
        <w:rPr>
          <w:color w:val="231F20"/>
          <w:spacing w:val="-4"/>
          <w:sz w:val="20"/>
        </w:rPr>
        <w:t xml:space="preserve">‘at </w:t>
      </w:r>
      <w:r>
        <w:rPr>
          <w:color w:val="231F20"/>
          <w:sz w:val="20"/>
        </w:rPr>
        <w:t>all stages of</w:t>
      </w:r>
      <w:r>
        <w:rPr>
          <w:color w:val="231F20"/>
          <w:spacing w:val="-13"/>
          <w:sz w:val="20"/>
        </w:rPr>
        <w:t xml:space="preserve"> </w:t>
      </w:r>
      <w:r>
        <w:rPr>
          <w:color w:val="231F20"/>
          <w:spacing w:val="-3"/>
          <w:sz w:val="20"/>
        </w:rPr>
        <w:t>proceedings’:</w:t>
      </w:r>
    </w:p>
    <w:p w14:paraId="710CC3BA" w14:textId="77777777" w:rsidR="00894070" w:rsidRDefault="009B7AFD">
      <w:pPr>
        <w:spacing w:before="122" w:line="208" w:lineRule="auto"/>
        <w:ind w:left="2254" w:right="1459"/>
        <w:rPr>
          <w:sz w:val="11"/>
        </w:rPr>
      </w:pPr>
      <w:r>
        <w:rPr>
          <w:color w:val="231F20"/>
          <w:sz w:val="19"/>
        </w:rPr>
        <w:t>Changes to our guidelines for legal assistance will help to ensure that children, both applying for orders and responding to applications, understand the process, and are supported to achieve safe and appropriate outcomes for their individual circumstances.</w:t>
      </w:r>
      <w:r>
        <w:rPr>
          <w:color w:val="231F20"/>
          <w:position w:val="6"/>
          <w:sz w:val="11"/>
        </w:rPr>
        <w:t>277</w:t>
      </w:r>
    </w:p>
    <w:p w14:paraId="11BDB221" w14:textId="77777777" w:rsidR="00894070" w:rsidRDefault="009B7AFD">
      <w:pPr>
        <w:pStyle w:val="ListParagraph"/>
        <w:numPr>
          <w:ilvl w:val="1"/>
          <w:numId w:val="102"/>
        </w:numPr>
        <w:tabs>
          <w:tab w:val="left" w:pos="1801"/>
          <w:tab w:val="left" w:pos="1802"/>
        </w:tabs>
        <w:spacing w:before="125" w:line="206" w:lineRule="auto"/>
        <w:ind w:right="1426"/>
        <w:rPr>
          <w:sz w:val="20"/>
        </w:rPr>
      </w:pPr>
      <w:r>
        <w:rPr>
          <w:color w:val="231F20"/>
          <w:sz w:val="20"/>
        </w:rPr>
        <w:t>It</w:t>
      </w:r>
      <w:r>
        <w:rPr>
          <w:color w:val="231F20"/>
          <w:spacing w:val="-7"/>
          <w:sz w:val="20"/>
        </w:rPr>
        <w:t xml:space="preserve"> </w:t>
      </w:r>
      <w:r>
        <w:rPr>
          <w:color w:val="231F20"/>
          <w:sz w:val="20"/>
        </w:rPr>
        <w:t>is</w:t>
      </w:r>
      <w:r>
        <w:rPr>
          <w:color w:val="231F20"/>
          <w:spacing w:val="-7"/>
          <w:sz w:val="20"/>
        </w:rPr>
        <w:t xml:space="preserve"> </w:t>
      </w:r>
      <w:r>
        <w:rPr>
          <w:color w:val="231F20"/>
          <w:sz w:val="20"/>
        </w:rPr>
        <w:t>encouraging</w:t>
      </w:r>
      <w:r>
        <w:rPr>
          <w:color w:val="231F20"/>
          <w:spacing w:val="-6"/>
          <w:sz w:val="20"/>
        </w:rPr>
        <w:t xml:space="preserve"> </w:t>
      </w:r>
      <w:r>
        <w:rPr>
          <w:color w:val="231F20"/>
          <w:sz w:val="20"/>
        </w:rPr>
        <w:t>to</w:t>
      </w:r>
      <w:r>
        <w:rPr>
          <w:color w:val="231F20"/>
          <w:spacing w:val="-7"/>
          <w:sz w:val="20"/>
        </w:rPr>
        <w:t xml:space="preserve"> </w:t>
      </w:r>
      <w:r>
        <w:rPr>
          <w:color w:val="231F20"/>
          <w:sz w:val="20"/>
        </w:rPr>
        <w:t>see</w:t>
      </w:r>
      <w:r>
        <w:rPr>
          <w:color w:val="231F20"/>
          <w:spacing w:val="-7"/>
          <w:sz w:val="20"/>
        </w:rPr>
        <w:t xml:space="preserve"> </w:t>
      </w:r>
      <w:r>
        <w:rPr>
          <w:color w:val="231F20"/>
          <w:sz w:val="20"/>
        </w:rPr>
        <w:t>that</w:t>
      </w:r>
      <w:r>
        <w:rPr>
          <w:color w:val="231F20"/>
          <w:spacing w:val="-6"/>
          <w:sz w:val="20"/>
        </w:rPr>
        <w:t xml:space="preserve"> </w:t>
      </w:r>
      <w:r>
        <w:rPr>
          <w:color w:val="231F20"/>
          <w:sz w:val="20"/>
        </w:rPr>
        <w:t>legal</w:t>
      </w:r>
      <w:r>
        <w:rPr>
          <w:color w:val="231F20"/>
          <w:spacing w:val="-7"/>
          <w:sz w:val="20"/>
        </w:rPr>
        <w:t xml:space="preserve"> </w:t>
      </w:r>
      <w:r>
        <w:rPr>
          <w:color w:val="231F20"/>
          <w:spacing w:val="-3"/>
          <w:sz w:val="20"/>
        </w:rPr>
        <w:t>representation</w:t>
      </w:r>
      <w:r>
        <w:rPr>
          <w:color w:val="231F20"/>
          <w:spacing w:val="-7"/>
          <w:sz w:val="20"/>
        </w:rPr>
        <w:t xml:space="preserve"> </w:t>
      </w:r>
      <w:r>
        <w:rPr>
          <w:color w:val="231F20"/>
          <w:spacing w:val="-3"/>
          <w:sz w:val="20"/>
        </w:rPr>
        <w:t>for</w:t>
      </w:r>
      <w:r>
        <w:rPr>
          <w:color w:val="231F20"/>
          <w:spacing w:val="-6"/>
          <w:sz w:val="20"/>
        </w:rPr>
        <w:t xml:space="preserve"> </w:t>
      </w:r>
      <w:r>
        <w:rPr>
          <w:color w:val="231F20"/>
          <w:spacing w:val="-3"/>
          <w:sz w:val="20"/>
        </w:rPr>
        <w:t>children</w:t>
      </w:r>
      <w:r>
        <w:rPr>
          <w:color w:val="231F20"/>
          <w:spacing w:val="-7"/>
          <w:sz w:val="20"/>
        </w:rPr>
        <w:t xml:space="preserve"> </w:t>
      </w:r>
      <w:r>
        <w:rPr>
          <w:color w:val="231F20"/>
          <w:sz w:val="20"/>
        </w:rPr>
        <w:t>in</w:t>
      </w:r>
      <w:r>
        <w:rPr>
          <w:color w:val="231F20"/>
          <w:spacing w:val="-7"/>
          <w:sz w:val="20"/>
        </w:rPr>
        <w:t xml:space="preserve"> </w:t>
      </w:r>
      <w:r>
        <w:rPr>
          <w:color w:val="231F20"/>
          <w:sz w:val="20"/>
        </w:rPr>
        <w:t>PSIO</w:t>
      </w:r>
      <w:r>
        <w:rPr>
          <w:color w:val="231F20"/>
          <w:spacing w:val="-6"/>
          <w:sz w:val="20"/>
        </w:rPr>
        <w:t xml:space="preserve"> </w:t>
      </w:r>
      <w:r>
        <w:rPr>
          <w:color w:val="231F20"/>
          <w:sz w:val="20"/>
        </w:rPr>
        <w:t>matters</w:t>
      </w:r>
      <w:r>
        <w:rPr>
          <w:color w:val="231F20"/>
          <w:spacing w:val="-7"/>
          <w:sz w:val="20"/>
        </w:rPr>
        <w:t xml:space="preserve"> </w:t>
      </w:r>
      <w:r>
        <w:rPr>
          <w:color w:val="231F20"/>
          <w:sz w:val="20"/>
        </w:rPr>
        <w:t>is</w:t>
      </w:r>
      <w:r>
        <w:rPr>
          <w:color w:val="231F20"/>
          <w:spacing w:val="-6"/>
          <w:sz w:val="20"/>
        </w:rPr>
        <w:t xml:space="preserve"> </w:t>
      </w:r>
      <w:r>
        <w:rPr>
          <w:color w:val="231F20"/>
          <w:sz w:val="20"/>
        </w:rPr>
        <w:t>being prioritised.</w:t>
      </w:r>
    </w:p>
    <w:p w14:paraId="356763B2" w14:textId="77777777" w:rsidR="00894070" w:rsidRDefault="009B7AFD">
      <w:pPr>
        <w:pStyle w:val="ListParagraph"/>
        <w:numPr>
          <w:ilvl w:val="1"/>
          <w:numId w:val="102"/>
        </w:numPr>
        <w:tabs>
          <w:tab w:val="left" w:pos="1801"/>
          <w:tab w:val="left" w:pos="1802"/>
        </w:tabs>
        <w:spacing w:before="122" w:line="206" w:lineRule="auto"/>
        <w:ind w:right="1248"/>
        <w:rPr>
          <w:sz w:val="20"/>
        </w:rPr>
      </w:pPr>
      <w:r>
        <w:rPr>
          <w:color w:val="231F20"/>
          <w:sz w:val="20"/>
        </w:rPr>
        <w:t xml:space="preserve">The </w:t>
      </w:r>
      <w:r>
        <w:rPr>
          <w:color w:val="231F20"/>
          <w:spacing w:val="-3"/>
          <w:sz w:val="20"/>
        </w:rPr>
        <w:t xml:space="preserve">Children’s </w:t>
      </w:r>
      <w:r>
        <w:rPr>
          <w:color w:val="231F20"/>
          <w:sz w:val="20"/>
        </w:rPr>
        <w:t xml:space="preserve">Court, </w:t>
      </w:r>
      <w:r>
        <w:rPr>
          <w:color w:val="231F20"/>
          <w:spacing w:val="-5"/>
          <w:sz w:val="20"/>
        </w:rPr>
        <w:t xml:space="preserve">however, </w:t>
      </w:r>
      <w:r>
        <w:rPr>
          <w:color w:val="231F20"/>
          <w:sz w:val="20"/>
        </w:rPr>
        <w:t xml:space="preserve">noted that under the FVPA, the Court can </w:t>
      </w:r>
      <w:r>
        <w:rPr>
          <w:color w:val="231F20"/>
          <w:spacing w:val="-3"/>
          <w:sz w:val="20"/>
        </w:rPr>
        <w:t xml:space="preserve">allow </w:t>
      </w:r>
      <w:r>
        <w:rPr>
          <w:color w:val="231F20"/>
          <w:sz w:val="20"/>
        </w:rPr>
        <w:t>that a child</w:t>
      </w:r>
      <w:r>
        <w:rPr>
          <w:color w:val="231F20"/>
          <w:spacing w:val="-7"/>
          <w:sz w:val="20"/>
        </w:rPr>
        <w:t xml:space="preserve"> </w:t>
      </w:r>
      <w:r>
        <w:rPr>
          <w:color w:val="231F20"/>
          <w:spacing w:val="-3"/>
          <w:sz w:val="20"/>
        </w:rPr>
        <w:t>(who</w:t>
      </w:r>
      <w:r>
        <w:rPr>
          <w:color w:val="231F20"/>
          <w:spacing w:val="-7"/>
          <w:sz w:val="20"/>
        </w:rPr>
        <w:t xml:space="preserve"> </w:t>
      </w:r>
      <w:r>
        <w:rPr>
          <w:color w:val="231F20"/>
          <w:sz w:val="20"/>
        </w:rPr>
        <w:t>is</w:t>
      </w:r>
      <w:r>
        <w:rPr>
          <w:color w:val="231F20"/>
          <w:spacing w:val="-6"/>
          <w:sz w:val="20"/>
        </w:rPr>
        <w:t xml:space="preserve"> </w:t>
      </w:r>
      <w:r>
        <w:rPr>
          <w:color w:val="231F20"/>
          <w:sz w:val="20"/>
        </w:rPr>
        <w:t>not</w:t>
      </w:r>
      <w:r>
        <w:rPr>
          <w:color w:val="231F20"/>
          <w:spacing w:val="-7"/>
          <w:sz w:val="20"/>
        </w:rPr>
        <w:t xml:space="preserve"> </w:t>
      </w:r>
      <w:r>
        <w:rPr>
          <w:color w:val="231F20"/>
          <w:sz w:val="20"/>
        </w:rPr>
        <w:t>the</w:t>
      </w:r>
      <w:r>
        <w:rPr>
          <w:color w:val="231F20"/>
          <w:spacing w:val="-6"/>
          <w:sz w:val="20"/>
        </w:rPr>
        <w:t xml:space="preserve"> </w:t>
      </w:r>
      <w:r>
        <w:rPr>
          <w:color w:val="231F20"/>
          <w:sz w:val="20"/>
        </w:rPr>
        <w:t>applicant)</w:t>
      </w:r>
      <w:r>
        <w:rPr>
          <w:color w:val="231F20"/>
          <w:spacing w:val="-7"/>
          <w:sz w:val="20"/>
        </w:rPr>
        <w:t xml:space="preserve"> </w:t>
      </w:r>
      <w:r>
        <w:rPr>
          <w:color w:val="231F20"/>
          <w:sz w:val="20"/>
        </w:rPr>
        <w:t>be</w:t>
      </w:r>
      <w:r>
        <w:rPr>
          <w:color w:val="231F20"/>
          <w:spacing w:val="-6"/>
          <w:sz w:val="20"/>
        </w:rPr>
        <w:t xml:space="preserve"> </w:t>
      </w:r>
      <w:r>
        <w:rPr>
          <w:color w:val="231F20"/>
          <w:spacing w:val="-3"/>
          <w:sz w:val="20"/>
        </w:rPr>
        <w:t>separately</w:t>
      </w:r>
      <w:r>
        <w:rPr>
          <w:color w:val="231F20"/>
          <w:spacing w:val="-7"/>
          <w:sz w:val="20"/>
        </w:rPr>
        <w:t xml:space="preserve"> </w:t>
      </w:r>
      <w:r>
        <w:rPr>
          <w:color w:val="231F20"/>
          <w:spacing w:val="-3"/>
          <w:sz w:val="20"/>
        </w:rPr>
        <w:t>represented,</w:t>
      </w:r>
      <w:r>
        <w:rPr>
          <w:color w:val="231F20"/>
          <w:spacing w:val="-6"/>
          <w:sz w:val="20"/>
        </w:rPr>
        <w:t xml:space="preserve"> </w:t>
      </w:r>
      <w:r>
        <w:rPr>
          <w:color w:val="231F20"/>
          <w:sz w:val="20"/>
        </w:rPr>
        <w:t>where</w:t>
      </w:r>
      <w:r>
        <w:rPr>
          <w:color w:val="231F20"/>
          <w:spacing w:val="-7"/>
          <w:sz w:val="20"/>
        </w:rPr>
        <w:t xml:space="preserve"> </w:t>
      </w:r>
      <w:r>
        <w:rPr>
          <w:color w:val="231F20"/>
          <w:sz w:val="20"/>
        </w:rPr>
        <w:t>the</w:t>
      </w:r>
      <w:r>
        <w:rPr>
          <w:color w:val="231F20"/>
          <w:spacing w:val="-6"/>
          <w:sz w:val="20"/>
        </w:rPr>
        <w:t xml:space="preserve"> </w:t>
      </w:r>
      <w:r>
        <w:rPr>
          <w:color w:val="231F20"/>
          <w:sz w:val="20"/>
        </w:rPr>
        <w:t>court</w:t>
      </w:r>
      <w:r>
        <w:rPr>
          <w:color w:val="231F20"/>
          <w:spacing w:val="-7"/>
          <w:sz w:val="20"/>
        </w:rPr>
        <w:t xml:space="preserve"> </w:t>
      </w:r>
      <w:r>
        <w:rPr>
          <w:color w:val="231F20"/>
          <w:sz w:val="20"/>
        </w:rPr>
        <w:t>considers</w:t>
      </w:r>
      <w:r>
        <w:rPr>
          <w:color w:val="231F20"/>
          <w:spacing w:val="-6"/>
          <w:sz w:val="20"/>
        </w:rPr>
        <w:t xml:space="preserve"> </w:t>
      </w:r>
      <w:r>
        <w:rPr>
          <w:color w:val="231F20"/>
          <w:sz w:val="20"/>
        </w:rPr>
        <w:t>it appropriate.</w:t>
      </w:r>
      <w:r>
        <w:rPr>
          <w:color w:val="231F20"/>
          <w:position w:val="7"/>
          <w:sz w:val="11"/>
        </w:rPr>
        <w:t xml:space="preserve">278 </w:t>
      </w:r>
      <w:r>
        <w:rPr>
          <w:color w:val="231F20"/>
          <w:sz w:val="20"/>
        </w:rPr>
        <w:t xml:space="preserve">A similar </w:t>
      </w:r>
      <w:r>
        <w:rPr>
          <w:color w:val="231F20"/>
          <w:spacing w:val="-3"/>
          <w:sz w:val="20"/>
        </w:rPr>
        <w:t xml:space="preserve">provision </w:t>
      </w:r>
      <w:r>
        <w:rPr>
          <w:color w:val="231F20"/>
          <w:sz w:val="20"/>
        </w:rPr>
        <w:t>does not exist in the PSIO</w:t>
      </w:r>
      <w:r>
        <w:rPr>
          <w:color w:val="231F20"/>
          <w:spacing w:val="-20"/>
          <w:sz w:val="20"/>
        </w:rPr>
        <w:t xml:space="preserve"> </w:t>
      </w:r>
      <w:r>
        <w:rPr>
          <w:color w:val="231F20"/>
          <w:sz w:val="20"/>
        </w:rPr>
        <w:t>Act.</w:t>
      </w:r>
    </w:p>
    <w:p w14:paraId="5A6876FC" w14:textId="77777777" w:rsidR="00894070" w:rsidRDefault="009B7AFD">
      <w:pPr>
        <w:pStyle w:val="ListParagraph"/>
        <w:numPr>
          <w:ilvl w:val="1"/>
          <w:numId w:val="102"/>
        </w:numPr>
        <w:tabs>
          <w:tab w:val="left" w:pos="1801"/>
          <w:tab w:val="left" w:pos="1802"/>
        </w:tabs>
        <w:spacing w:before="124" w:line="206" w:lineRule="auto"/>
        <w:ind w:right="1484"/>
        <w:rPr>
          <w:sz w:val="20"/>
        </w:rPr>
      </w:pPr>
      <w:r>
        <w:rPr>
          <w:color w:val="231F20"/>
          <w:sz w:val="20"/>
        </w:rPr>
        <w:t>The</w:t>
      </w:r>
      <w:r>
        <w:rPr>
          <w:color w:val="231F20"/>
          <w:spacing w:val="-7"/>
          <w:sz w:val="20"/>
        </w:rPr>
        <w:t xml:space="preserve"> </w:t>
      </w:r>
      <w:r>
        <w:rPr>
          <w:color w:val="231F20"/>
          <w:sz w:val="20"/>
        </w:rPr>
        <w:t>LIV</w:t>
      </w:r>
      <w:r>
        <w:rPr>
          <w:color w:val="231F20"/>
          <w:spacing w:val="-7"/>
          <w:sz w:val="20"/>
        </w:rPr>
        <w:t xml:space="preserve"> </w:t>
      </w:r>
      <w:r>
        <w:rPr>
          <w:color w:val="231F20"/>
          <w:sz w:val="20"/>
        </w:rPr>
        <w:t>raised</w:t>
      </w:r>
      <w:r>
        <w:rPr>
          <w:color w:val="231F20"/>
          <w:spacing w:val="-7"/>
          <w:sz w:val="20"/>
        </w:rPr>
        <w:t xml:space="preserve"> </w:t>
      </w:r>
      <w:r>
        <w:rPr>
          <w:color w:val="231F20"/>
          <w:sz w:val="20"/>
        </w:rPr>
        <w:t>a</w:t>
      </w:r>
      <w:r>
        <w:rPr>
          <w:color w:val="231F20"/>
          <w:spacing w:val="-6"/>
          <w:sz w:val="20"/>
        </w:rPr>
        <w:t xml:space="preserve"> </w:t>
      </w:r>
      <w:r>
        <w:rPr>
          <w:color w:val="231F20"/>
          <w:sz w:val="20"/>
        </w:rPr>
        <w:t>concern</w:t>
      </w:r>
      <w:r>
        <w:rPr>
          <w:color w:val="231F20"/>
          <w:spacing w:val="-7"/>
          <w:sz w:val="20"/>
        </w:rPr>
        <w:t xml:space="preserve"> </w:t>
      </w:r>
      <w:r>
        <w:rPr>
          <w:color w:val="231F20"/>
          <w:sz w:val="20"/>
        </w:rPr>
        <w:t>about</w:t>
      </w:r>
      <w:r>
        <w:rPr>
          <w:color w:val="231F20"/>
          <w:spacing w:val="-7"/>
          <w:sz w:val="20"/>
        </w:rPr>
        <w:t xml:space="preserve"> </w:t>
      </w:r>
      <w:r>
        <w:rPr>
          <w:color w:val="231F20"/>
          <w:sz w:val="20"/>
        </w:rPr>
        <w:t>a</w:t>
      </w:r>
      <w:r>
        <w:rPr>
          <w:color w:val="231F20"/>
          <w:spacing w:val="-7"/>
          <w:sz w:val="20"/>
        </w:rPr>
        <w:t xml:space="preserve"> </w:t>
      </w:r>
      <w:r>
        <w:rPr>
          <w:color w:val="231F20"/>
          <w:sz w:val="20"/>
        </w:rPr>
        <w:t>lack</w:t>
      </w:r>
      <w:r>
        <w:rPr>
          <w:color w:val="231F20"/>
          <w:spacing w:val="-6"/>
          <w:sz w:val="20"/>
        </w:rPr>
        <w:t xml:space="preserve"> </w:t>
      </w:r>
      <w:r>
        <w:rPr>
          <w:color w:val="231F20"/>
          <w:sz w:val="20"/>
        </w:rPr>
        <w:t>of</w:t>
      </w:r>
      <w:r>
        <w:rPr>
          <w:color w:val="231F20"/>
          <w:spacing w:val="-7"/>
          <w:sz w:val="20"/>
        </w:rPr>
        <w:t xml:space="preserve"> </w:t>
      </w:r>
      <w:r>
        <w:rPr>
          <w:color w:val="231F20"/>
          <w:sz w:val="20"/>
        </w:rPr>
        <w:t>legal</w:t>
      </w:r>
      <w:r>
        <w:rPr>
          <w:color w:val="231F20"/>
          <w:spacing w:val="-7"/>
          <w:sz w:val="20"/>
        </w:rPr>
        <w:t xml:space="preserve"> </w:t>
      </w:r>
      <w:r>
        <w:rPr>
          <w:color w:val="231F20"/>
          <w:spacing w:val="-3"/>
          <w:sz w:val="20"/>
        </w:rPr>
        <w:t>representation</w:t>
      </w:r>
      <w:r>
        <w:rPr>
          <w:color w:val="231F20"/>
          <w:spacing w:val="-7"/>
          <w:sz w:val="20"/>
        </w:rPr>
        <w:t xml:space="preserve"> </w:t>
      </w:r>
      <w:r>
        <w:rPr>
          <w:color w:val="231F20"/>
          <w:spacing w:val="-3"/>
          <w:sz w:val="20"/>
        </w:rPr>
        <w:t>for</w:t>
      </w:r>
      <w:r>
        <w:rPr>
          <w:color w:val="231F20"/>
          <w:spacing w:val="-6"/>
          <w:sz w:val="20"/>
        </w:rPr>
        <w:t xml:space="preserve"> </w:t>
      </w:r>
      <w:r>
        <w:rPr>
          <w:color w:val="231F20"/>
          <w:spacing w:val="-3"/>
          <w:sz w:val="20"/>
        </w:rPr>
        <w:t>children,</w:t>
      </w:r>
      <w:r>
        <w:rPr>
          <w:color w:val="231F20"/>
          <w:spacing w:val="-7"/>
          <w:sz w:val="20"/>
        </w:rPr>
        <w:t xml:space="preserve"> </w:t>
      </w:r>
      <w:r>
        <w:rPr>
          <w:color w:val="231F20"/>
          <w:sz w:val="20"/>
        </w:rPr>
        <w:t>especially at regional and metropolitan courts.</w:t>
      </w:r>
      <w:r>
        <w:rPr>
          <w:color w:val="231F20"/>
          <w:position w:val="7"/>
          <w:sz w:val="11"/>
        </w:rPr>
        <w:t xml:space="preserve">279 </w:t>
      </w:r>
      <w:r>
        <w:rPr>
          <w:color w:val="231F20"/>
          <w:sz w:val="20"/>
        </w:rPr>
        <w:t xml:space="preserve">Given the importance of </w:t>
      </w:r>
      <w:r>
        <w:rPr>
          <w:color w:val="231F20"/>
          <w:spacing w:val="-3"/>
          <w:sz w:val="20"/>
        </w:rPr>
        <w:t xml:space="preserve">having </w:t>
      </w:r>
      <w:r>
        <w:rPr>
          <w:color w:val="231F20"/>
          <w:sz w:val="20"/>
        </w:rPr>
        <w:t>a</w:t>
      </w:r>
      <w:r>
        <w:rPr>
          <w:color w:val="231F20"/>
          <w:spacing w:val="-35"/>
          <w:sz w:val="20"/>
        </w:rPr>
        <w:t xml:space="preserve"> </w:t>
      </w:r>
      <w:r>
        <w:rPr>
          <w:color w:val="231F20"/>
          <w:spacing w:val="-4"/>
          <w:sz w:val="20"/>
        </w:rPr>
        <w:t>lawyer,</w:t>
      </w:r>
    </w:p>
    <w:p w14:paraId="74A97AC9" w14:textId="77777777" w:rsidR="00894070" w:rsidRDefault="009B7AFD">
      <w:pPr>
        <w:pStyle w:val="BodyText"/>
        <w:spacing w:before="3" w:line="206" w:lineRule="auto"/>
        <w:ind w:left="1801" w:right="1236"/>
      </w:pPr>
      <w:r>
        <w:rPr>
          <w:color w:val="231F20"/>
          <w:spacing w:val="-3"/>
        </w:rPr>
        <w:t xml:space="preserve">we </w:t>
      </w:r>
      <w:r>
        <w:rPr>
          <w:color w:val="231F20"/>
        </w:rPr>
        <w:t xml:space="preserve">recommend that </w:t>
      </w:r>
      <w:r>
        <w:rPr>
          <w:color w:val="231F20"/>
          <w:spacing w:val="-3"/>
        </w:rPr>
        <w:t xml:space="preserve">any </w:t>
      </w:r>
      <w:r>
        <w:rPr>
          <w:color w:val="231F20"/>
        </w:rPr>
        <w:t xml:space="preserve">gaps in legal </w:t>
      </w:r>
      <w:r>
        <w:rPr>
          <w:color w:val="231F20"/>
          <w:spacing w:val="-3"/>
        </w:rPr>
        <w:t xml:space="preserve">representation for </w:t>
      </w:r>
      <w:r>
        <w:rPr>
          <w:color w:val="231F20"/>
        </w:rPr>
        <w:t xml:space="preserve">applicant and respondent </w:t>
      </w:r>
      <w:r>
        <w:rPr>
          <w:color w:val="231F20"/>
          <w:spacing w:val="-3"/>
        </w:rPr>
        <w:t xml:space="preserve">children </w:t>
      </w:r>
      <w:r>
        <w:rPr>
          <w:color w:val="231F20"/>
        </w:rPr>
        <w:t xml:space="preserve">be mapped and addressed. This includes amending the PSIO </w:t>
      </w:r>
      <w:r>
        <w:rPr>
          <w:color w:val="231F20"/>
          <w:spacing w:val="-2"/>
        </w:rPr>
        <w:t xml:space="preserve">Act </w:t>
      </w:r>
      <w:r>
        <w:rPr>
          <w:color w:val="231F20"/>
        </w:rPr>
        <w:t>to enable the court to order that a child who is neither the applicant nor respondent (another child party) be represented.</w:t>
      </w:r>
      <w:r>
        <w:rPr>
          <w:color w:val="231F20"/>
          <w:position w:val="7"/>
          <w:sz w:val="11"/>
        </w:rPr>
        <w:t xml:space="preserve">280 </w:t>
      </w:r>
      <w:r>
        <w:rPr>
          <w:color w:val="231F20"/>
          <w:spacing w:val="-6"/>
        </w:rPr>
        <w:t xml:space="preserve">We </w:t>
      </w:r>
      <w:r>
        <w:rPr>
          <w:color w:val="231F20"/>
        </w:rPr>
        <w:t xml:space="preserve">consider that in cases where the child is not the applicant </w:t>
      </w:r>
      <w:r>
        <w:rPr>
          <w:color w:val="231F20"/>
          <w:spacing w:val="-4"/>
        </w:rPr>
        <w:t xml:space="preserve">(for </w:t>
      </w:r>
      <w:r>
        <w:rPr>
          <w:color w:val="231F20"/>
          <w:spacing w:val="-3"/>
        </w:rPr>
        <w:t xml:space="preserve">example, </w:t>
      </w:r>
      <w:r>
        <w:rPr>
          <w:color w:val="231F20"/>
        </w:rPr>
        <w:t xml:space="preserve">where a </w:t>
      </w:r>
      <w:r>
        <w:rPr>
          <w:color w:val="231F20"/>
          <w:spacing w:val="-3"/>
        </w:rPr>
        <w:t xml:space="preserve">parent </w:t>
      </w:r>
      <w:r>
        <w:rPr>
          <w:color w:val="231F20"/>
        </w:rPr>
        <w:t xml:space="preserve">or police officer has applied </w:t>
      </w:r>
      <w:r>
        <w:rPr>
          <w:color w:val="231F20"/>
          <w:spacing w:val="-3"/>
        </w:rPr>
        <w:t xml:space="preserve">for </w:t>
      </w:r>
      <w:r>
        <w:rPr>
          <w:color w:val="231F20"/>
        </w:rPr>
        <w:t xml:space="preserve">a PSIO on their behalf), that child should still be </w:t>
      </w:r>
      <w:r>
        <w:rPr>
          <w:color w:val="231F20"/>
          <w:spacing w:val="-3"/>
        </w:rPr>
        <w:t xml:space="preserve">afforded </w:t>
      </w:r>
      <w:r>
        <w:rPr>
          <w:color w:val="231F20"/>
        </w:rPr>
        <w:t xml:space="preserve">the benefits of legal </w:t>
      </w:r>
      <w:r>
        <w:rPr>
          <w:color w:val="231F20"/>
          <w:spacing w:val="-3"/>
        </w:rPr>
        <w:t xml:space="preserve">representation, </w:t>
      </w:r>
      <w:r>
        <w:rPr>
          <w:color w:val="231F20"/>
        </w:rPr>
        <w:t xml:space="preserve">which include </w:t>
      </w:r>
      <w:r>
        <w:rPr>
          <w:color w:val="231F20"/>
          <w:spacing w:val="-3"/>
        </w:rPr>
        <w:t xml:space="preserve">having </w:t>
      </w:r>
      <w:r>
        <w:rPr>
          <w:color w:val="231F20"/>
        </w:rPr>
        <w:t xml:space="preserve">a </w:t>
      </w:r>
      <w:r>
        <w:rPr>
          <w:color w:val="231F20"/>
          <w:spacing w:val="-3"/>
        </w:rPr>
        <w:t xml:space="preserve">voice </w:t>
      </w:r>
      <w:r>
        <w:rPr>
          <w:color w:val="231F20"/>
        </w:rPr>
        <w:t xml:space="preserve">in the proceedings, and </w:t>
      </w:r>
      <w:r>
        <w:rPr>
          <w:color w:val="231F20"/>
          <w:spacing w:val="-3"/>
        </w:rPr>
        <w:t xml:space="preserve">having </w:t>
      </w:r>
      <w:r>
        <w:rPr>
          <w:color w:val="231F20"/>
        </w:rPr>
        <w:t xml:space="preserve">the outcomes and ramifications of </w:t>
      </w:r>
      <w:r>
        <w:rPr>
          <w:color w:val="231F20"/>
          <w:spacing w:val="-3"/>
        </w:rPr>
        <w:t xml:space="preserve">any </w:t>
      </w:r>
      <w:r>
        <w:rPr>
          <w:color w:val="231F20"/>
        </w:rPr>
        <w:t xml:space="preserve">order and conditions made clear to them </w:t>
      </w:r>
      <w:r>
        <w:rPr>
          <w:color w:val="231F20"/>
          <w:spacing w:val="-3"/>
        </w:rPr>
        <w:t xml:space="preserve">by </w:t>
      </w:r>
      <w:r>
        <w:rPr>
          <w:color w:val="231F20"/>
        </w:rPr>
        <w:t xml:space="preserve">their </w:t>
      </w:r>
      <w:r>
        <w:rPr>
          <w:color w:val="231F20"/>
          <w:spacing w:val="-4"/>
        </w:rPr>
        <w:t>lawyer.</w:t>
      </w:r>
    </w:p>
    <w:p w14:paraId="24D857AC" w14:textId="77777777" w:rsidR="00894070" w:rsidRDefault="009B7AFD">
      <w:pPr>
        <w:pStyle w:val="ListParagraph"/>
        <w:numPr>
          <w:ilvl w:val="1"/>
          <w:numId w:val="102"/>
        </w:numPr>
        <w:tabs>
          <w:tab w:val="left" w:pos="1801"/>
          <w:tab w:val="left" w:pos="1802"/>
        </w:tabs>
        <w:spacing w:before="130" w:line="206" w:lineRule="auto"/>
        <w:ind w:right="1173"/>
        <w:rPr>
          <w:sz w:val="20"/>
        </w:rPr>
      </w:pPr>
      <w:r>
        <w:rPr>
          <w:color w:val="231F20"/>
          <w:sz w:val="20"/>
        </w:rPr>
        <w:t>The</w:t>
      </w:r>
      <w:r>
        <w:rPr>
          <w:color w:val="231F20"/>
          <w:spacing w:val="-7"/>
          <w:sz w:val="20"/>
        </w:rPr>
        <w:t xml:space="preserve"> </w:t>
      </w:r>
      <w:r>
        <w:rPr>
          <w:color w:val="231F20"/>
          <w:sz w:val="20"/>
        </w:rPr>
        <w:t>increase</w:t>
      </w:r>
      <w:r>
        <w:rPr>
          <w:color w:val="231F20"/>
          <w:spacing w:val="-7"/>
          <w:sz w:val="20"/>
        </w:rPr>
        <w:t xml:space="preserve"> </w:t>
      </w:r>
      <w:r>
        <w:rPr>
          <w:color w:val="231F20"/>
          <w:sz w:val="20"/>
        </w:rPr>
        <w:t>in</w:t>
      </w:r>
      <w:r>
        <w:rPr>
          <w:color w:val="231F20"/>
          <w:spacing w:val="-6"/>
          <w:sz w:val="20"/>
        </w:rPr>
        <w:t xml:space="preserve"> </w:t>
      </w:r>
      <w:r>
        <w:rPr>
          <w:color w:val="231F20"/>
          <w:sz w:val="20"/>
        </w:rPr>
        <w:t>demand</w:t>
      </w:r>
      <w:r>
        <w:rPr>
          <w:color w:val="231F20"/>
          <w:spacing w:val="-7"/>
          <w:sz w:val="20"/>
        </w:rPr>
        <w:t xml:space="preserve"> </w:t>
      </w:r>
      <w:r>
        <w:rPr>
          <w:color w:val="231F20"/>
          <w:spacing w:val="-3"/>
          <w:sz w:val="20"/>
        </w:rPr>
        <w:t>for</w:t>
      </w:r>
      <w:r>
        <w:rPr>
          <w:color w:val="231F20"/>
          <w:spacing w:val="-7"/>
          <w:sz w:val="20"/>
        </w:rPr>
        <w:t xml:space="preserve"> </w:t>
      </w:r>
      <w:r>
        <w:rPr>
          <w:color w:val="231F20"/>
          <w:spacing w:val="-3"/>
          <w:sz w:val="20"/>
        </w:rPr>
        <w:t>providers</w:t>
      </w:r>
      <w:r>
        <w:rPr>
          <w:color w:val="231F20"/>
          <w:spacing w:val="-6"/>
          <w:sz w:val="20"/>
        </w:rPr>
        <w:t xml:space="preserve"> </w:t>
      </w:r>
      <w:r>
        <w:rPr>
          <w:color w:val="231F20"/>
          <w:sz w:val="20"/>
        </w:rPr>
        <w:t>such</w:t>
      </w:r>
      <w:r>
        <w:rPr>
          <w:color w:val="231F20"/>
          <w:spacing w:val="-7"/>
          <w:sz w:val="20"/>
        </w:rPr>
        <w:t xml:space="preserve"> </w:t>
      </w:r>
      <w:r>
        <w:rPr>
          <w:color w:val="231F20"/>
          <w:sz w:val="20"/>
        </w:rPr>
        <w:t>as</w:t>
      </w:r>
      <w:r>
        <w:rPr>
          <w:color w:val="231F20"/>
          <w:spacing w:val="-6"/>
          <w:sz w:val="20"/>
        </w:rPr>
        <w:t xml:space="preserve"> </w:t>
      </w:r>
      <w:r>
        <w:rPr>
          <w:color w:val="231F20"/>
          <w:spacing w:val="-3"/>
          <w:sz w:val="20"/>
        </w:rPr>
        <w:t>Aboriginal-controlled</w:t>
      </w:r>
      <w:r>
        <w:rPr>
          <w:color w:val="231F20"/>
          <w:spacing w:val="-7"/>
          <w:sz w:val="20"/>
        </w:rPr>
        <w:t xml:space="preserve"> </w:t>
      </w:r>
      <w:r>
        <w:rPr>
          <w:color w:val="231F20"/>
          <w:sz w:val="20"/>
        </w:rPr>
        <w:t>legal</w:t>
      </w:r>
      <w:r>
        <w:rPr>
          <w:color w:val="231F20"/>
          <w:spacing w:val="-7"/>
          <w:sz w:val="20"/>
        </w:rPr>
        <w:t xml:space="preserve"> </w:t>
      </w:r>
      <w:r>
        <w:rPr>
          <w:color w:val="231F20"/>
          <w:sz w:val="20"/>
        </w:rPr>
        <w:t xml:space="preserve">organisations, community legal </w:t>
      </w:r>
      <w:r>
        <w:rPr>
          <w:color w:val="231F20"/>
          <w:spacing w:val="-3"/>
          <w:sz w:val="20"/>
        </w:rPr>
        <w:t xml:space="preserve">centres </w:t>
      </w:r>
      <w:r>
        <w:rPr>
          <w:color w:val="231F20"/>
          <w:sz w:val="20"/>
        </w:rPr>
        <w:t xml:space="preserve">and Victoria Legal Aid should be </w:t>
      </w:r>
      <w:proofErr w:type="gramStart"/>
      <w:r>
        <w:rPr>
          <w:color w:val="231F20"/>
          <w:sz w:val="20"/>
        </w:rPr>
        <w:t>assessed</w:t>
      </w:r>
      <w:proofErr w:type="gramEnd"/>
      <w:r>
        <w:rPr>
          <w:color w:val="231F20"/>
          <w:sz w:val="20"/>
        </w:rPr>
        <w:t xml:space="preserve"> and funding should be </w:t>
      </w:r>
      <w:r>
        <w:rPr>
          <w:color w:val="231F20"/>
          <w:spacing w:val="-3"/>
          <w:sz w:val="20"/>
        </w:rPr>
        <w:t>delivered</w:t>
      </w:r>
      <w:r>
        <w:rPr>
          <w:color w:val="231F20"/>
          <w:spacing w:val="-12"/>
          <w:sz w:val="20"/>
        </w:rPr>
        <w:t xml:space="preserve"> </w:t>
      </w:r>
      <w:r>
        <w:rPr>
          <w:color w:val="231F20"/>
          <w:spacing w:val="-4"/>
          <w:sz w:val="20"/>
        </w:rPr>
        <w:t>accordingly.</w:t>
      </w:r>
    </w:p>
    <w:p w14:paraId="1AA835A2" w14:textId="77777777" w:rsidR="00894070" w:rsidRDefault="009F6793">
      <w:pPr>
        <w:pStyle w:val="BodyText"/>
        <w:spacing w:before="6"/>
        <w:rPr>
          <w:sz w:val="19"/>
        </w:rPr>
      </w:pPr>
      <w:r>
        <w:pict w14:anchorId="38840663">
          <v:group id="_x0000_s1230" style="position:absolute;margin-left:62.35pt;margin-top:15.45pt;width:479.1pt;height:160.65pt;z-index:251718656;mso-wrap-distance-left:0;mso-wrap-distance-right:0;mso-position-horizontal-relative:page" coordorigin="1247,309" coordsize="9582,3213">
            <v:rect id="_x0000_s1235" style="position:absolute;left:1587;top:309;width:8731;height:3213" fillcolor="#fee7de" stroked="f"/>
            <v:line id="_x0000_s1234" style="position:absolute" from="1247,1117" to="10828,1117" strokecolor="white" strokeweight="2.5pt"/>
            <v:shape id="_x0000_s1233" type="#_x0000_t202" style="position:absolute;left:2381;top:1342;width:7564;height:2000" filled="f" stroked="f">
              <v:textbox inset="0,0,0,0">
                <w:txbxContent>
                  <w:p w14:paraId="5EA7D6BD" w14:textId="77777777" w:rsidR="00894070" w:rsidRDefault="009B7AFD">
                    <w:pPr>
                      <w:spacing w:line="247" w:lineRule="auto"/>
                      <w:ind w:right="27"/>
                      <w:rPr>
                        <w:rFonts w:ascii="Trebuchet MS"/>
                        <w:sz w:val="20"/>
                      </w:rPr>
                    </w:pPr>
                    <w:r>
                      <w:rPr>
                        <w:rFonts w:ascii="Trebuchet MS"/>
                        <w:color w:val="231F20"/>
                        <w:sz w:val="20"/>
                      </w:rPr>
                      <w:t xml:space="preserve">The Victorian </w:t>
                    </w:r>
                    <w:r>
                      <w:rPr>
                        <w:rFonts w:ascii="Trebuchet MS"/>
                        <w:color w:val="231F20"/>
                        <w:spacing w:val="-3"/>
                        <w:sz w:val="20"/>
                      </w:rPr>
                      <w:t xml:space="preserve">Government </w:t>
                    </w:r>
                    <w:r>
                      <w:rPr>
                        <w:rFonts w:ascii="Trebuchet MS"/>
                        <w:color w:val="231F20"/>
                        <w:sz w:val="20"/>
                      </w:rPr>
                      <w:t xml:space="preserve">should amend the </w:t>
                    </w:r>
                    <w:r>
                      <w:rPr>
                        <w:rFonts w:ascii="Arial"/>
                        <w:i/>
                        <w:color w:val="231F20"/>
                        <w:sz w:val="20"/>
                      </w:rPr>
                      <w:t xml:space="preserve">Personal Safety Intervention Orders Act </w:t>
                    </w:r>
                    <w:r>
                      <w:rPr>
                        <w:rFonts w:ascii="Arial"/>
                        <w:i/>
                        <w:color w:val="231F20"/>
                        <w:spacing w:val="-3"/>
                        <w:sz w:val="20"/>
                      </w:rPr>
                      <w:t xml:space="preserve">2010 </w:t>
                    </w:r>
                    <w:r>
                      <w:rPr>
                        <w:rFonts w:ascii="Trebuchet MS"/>
                        <w:color w:val="231F20"/>
                        <w:sz w:val="20"/>
                      </w:rPr>
                      <w:t xml:space="preserve">(Vic) to include a </w:t>
                    </w:r>
                    <w:r>
                      <w:rPr>
                        <w:rFonts w:ascii="Trebuchet MS"/>
                        <w:color w:val="231F20"/>
                        <w:spacing w:val="-2"/>
                        <w:sz w:val="20"/>
                      </w:rPr>
                      <w:t xml:space="preserve">provision </w:t>
                    </w:r>
                    <w:r>
                      <w:rPr>
                        <w:rFonts w:ascii="Trebuchet MS"/>
                        <w:color w:val="231F20"/>
                        <w:sz w:val="20"/>
                      </w:rPr>
                      <w:t xml:space="preserve">similar to section </w:t>
                    </w:r>
                    <w:r>
                      <w:rPr>
                        <w:rFonts w:ascii="Trebuchet MS"/>
                        <w:color w:val="231F20"/>
                        <w:spacing w:val="-3"/>
                        <w:sz w:val="20"/>
                      </w:rPr>
                      <w:t xml:space="preserve">62 </w:t>
                    </w:r>
                    <w:r>
                      <w:rPr>
                        <w:rFonts w:ascii="Trebuchet MS"/>
                        <w:color w:val="231F20"/>
                        <w:sz w:val="20"/>
                      </w:rPr>
                      <w:t xml:space="preserve">of the </w:t>
                    </w:r>
                    <w:r>
                      <w:rPr>
                        <w:rFonts w:ascii="Arial"/>
                        <w:i/>
                        <w:color w:val="231F20"/>
                        <w:spacing w:val="-3"/>
                        <w:sz w:val="20"/>
                      </w:rPr>
                      <w:t xml:space="preserve">Family </w:t>
                    </w:r>
                    <w:r>
                      <w:rPr>
                        <w:rFonts w:ascii="Arial"/>
                        <w:i/>
                        <w:color w:val="231F20"/>
                        <w:sz w:val="20"/>
                      </w:rPr>
                      <w:t xml:space="preserve">Violence </w:t>
                    </w:r>
                    <w:r>
                      <w:rPr>
                        <w:rFonts w:ascii="Arial"/>
                        <w:i/>
                        <w:color w:val="231F20"/>
                        <w:spacing w:val="-3"/>
                        <w:w w:val="90"/>
                        <w:sz w:val="20"/>
                      </w:rPr>
                      <w:t>P</w:t>
                    </w:r>
                    <w:r>
                      <w:rPr>
                        <w:rFonts w:ascii="Arial"/>
                        <w:i/>
                        <w:color w:val="231F20"/>
                        <w:spacing w:val="-5"/>
                        <w:w w:val="106"/>
                        <w:sz w:val="20"/>
                      </w:rPr>
                      <w:t>r</w:t>
                    </w:r>
                    <w:r>
                      <w:rPr>
                        <w:rFonts w:ascii="Arial"/>
                        <w:i/>
                        <w:color w:val="231F20"/>
                        <w:spacing w:val="-3"/>
                        <w:w w:val="109"/>
                        <w:sz w:val="20"/>
                      </w:rPr>
                      <w:t>o</w:t>
                    </w:r>
                    <w:r>
                      <w:rPr>
                        <w:rFonts w:ascii="Arial"/>
                        <w:i/>
                        <w:color w:val="231F20"/>
                        <w:spacing w:val="-6"/>
                        <w:w w:val="109"/>
                        <w:sz w:val="20"/>
                      </w:rPr>
                      <w:t>t</w:t>
                    </w:r>
                    <w:r>
                      <w:rPr>
                        <w:rFonts w:ascii="Arial"/>
                        <w:i/>
                        <w:color w:val="231F20"/>
                        <w:spacing w:val="-1"/>
                        <w:w w:val="96"/>
                        <w:sz w:val="20"/>
                      </w:rPr>
                      <w:t>e</w:t>
                    </w:r>
                    <w:r>
                      <w:rPr>
                        <w:rFonts w:ascii="Arial"/>
                        <w:i/>
                        <w:color w:val="231F20"/>
                        <w:spacing w:val="-3"/>
                        <w:w w:val="111"/>
                        <w:sz w:val="20"/>
                      </w:rPr>
                      <w:t>c</w:t>
                    </w:r>
                    <w:r>
                      <w:rPr>
                        <w:rFonts w:ascii="Arial"/>
                        <w:i/>
                        <w:color w:val="231F20"/>
                        <w:spacing w:val="-2"/>
                        <w:w w:val="111"/>
                        <w:sz w:val="20"/>
                      </w:rPr>
                      <w:t>t</w:t>
                    </w:r>
                    <w:r>
                      <w:rPr>
                        <w:rFonts w:ascii="Arial"/>
                        <w:i/>
                        <w:color w:val="231F20"/>
                        <w:spacing w:val="-1"/>
                        <w:w w:val="101"/>
                        <w:sz w:val="20"/>
                      </w:rPr>
                      <w:t>i</w:t>
                    </w:r>
                    <w:r>
                      <w:rPr>
                        <w:rFonts w:ascii="Arial"/>
                        <w:i/>
                        <w:color w:val="231F20"/>
                        <w:spacing w:val="-1"/>
                        <w:w w:val="103"/>
                        <w:sz w:val="20"/>
                      </w:rPr>
                      <w:t>o</w:t>
                    </w:r>
                    <w:r>
                      <w:rPr>
                        <w:rFonts w:ascii="Arial"/>
                        <w:i/>
                        <w:color w:val="231F20"/>
                        <w:w w:val="101"/>
                        <w:sz w:val="20"/>
                      </w:rPr>
                      <w:t>n</w:t>
                    </w:r>
                    <w:r>
                      <w:rPr>
                        <w:rFonts w:ascii="Arial"/>
                        <w:i/>
                        <w:color w:val="231F20"/>
                        <w:spacing w:val="-11"/>
                        <w:sz w:val="20"/>
                      </w:rPr>
                      <w:t xml:space="preserve"> </w:t>
                    </w:r>
                    <w:r>
                      <w:rPr>
                        <w:rFonts w:ascii="Arial"/>
                        <w:i/>
                        <w:color w:val="231F20"/>
                        <w:spacing w:val="-3"/>
                        <w:w w:val="97"/>
                        <w:sz w:val="20"/>
                      </w:rPr>
                      <w:t>A</w:t>
                    </w:r>
                    <w:r>
                      <w:rPr>
                        <w:rFonts w:ascii="Arial"/>
                        <w:i/>
                        <w:color w:val="231F20"/>
                        <w:spacing w:val="-3"/>
                        <w:w w:val="111"/>
                        <w:sz w:val="20"/>
                      </w:rPr>
                      <w:t>c</w:t>
                    </w:r>
                    <w:r>
                      <w:rPr>
                        <w:rFonts w:ascii="Arial"/>
                        <w:i/>
                        <w:color w:val="231F20"/>
                        <w:w w:val="111"/>
                        <w:sz w:val="20"/>
                      </w:rPr>
                      <w:t>t</w:t>
                    </w:r>
                    <w:r>
                      <w:rPr>
                        <w:rFonts w:ascii="Arial"/>
                        <w:i/>
                        <w:color w:val="231F20"/>
                        <w:spacing w:val="-11"/>
                        <w:sz w:val="20"/>
                      </w:rPr>
                      <w:t xml:space="preserve"> </w:t>
                    </w:r>
                    <w:r>
                      <w:rPr>
                        <w:rFonts w:ascii="Arial"/>
                        <w:i/>
                        <w:color w:val="231F20"/>
                        <w:spacing w:val="-2"/>
                        <w:w w:val="92"/>
                        <w:sz w:val="20"/>
                      </w:rPr>
                      <w:t>2</w:t>
                    </w:r>
                    <w:r>
                      <w:rPr>
                        <w:rFonts w:ascii="Arial"/>
                        <w:i/>
                        <w:color w:val="231F20"/>
                        <w:spacing w:val="-1"/>
                        <w:w w:val="106"/>
                        <w:sz w:val="20"/>
                      </w:rPr>
                      <w:t>00</w:t>
                    </w:r>
                    <w:r>
                      <w:rPr>
                        <w:rFonts w:ascii="Arial"/>
                        <w:i/>
                        <w:color w:val="231F20"/>
                        <w:w w:val="103"/>
                        <w:sz w:val="20"/>
                      </w:rPr>
                      <w:t>8</w:t>
                    </w:r>
                    <w:r>
                      <w:rPr>
                        <w:rFonts w:ascii="Arial"/>
                        <w:i/>
                        <w:color w:val="231F20"/>
                        <w:spacing w:val="-9"/>
                        <w:sz w:val="20"/>
                      </w:rPr>
                      <w:t xml:space="preserve"> </w:t>
                    </w:r>
                    <w:r>
                      <w:rPr>
                        <w:rFonts w:ascii="Trebuchet MS"/>
                        <w:color w:val="231F20"/>
                        <w:spacing w:val="3"/>
                        <w:w w:val="77"/>
                        <w:sz w:val="20"/>
                      </w:rPr>
                      <w:t>(</w:t>
                    </w:r>
                    <w:r>
                      <w:rPr>
                        <w:rFonts w:ascii="Trebuchet MS"/>
                        <w:color w:val="231F20"/>
                        <w:spacing w:val="-1"/>
                        <w:w w:val="115"/>
                        <w:sz w:val="20"/>
                      </w:rPr>
                      <w:t>V</w:t>
                    </w:r>
                    <w:r>
                      <w:rPr>
                        <w:rFonts w:ascii="Trebuchet MS"/>
                        <w:color w:val="231F20"/>
                        <w:spacing w:val="-1"/>
                        <w:w w:val="80"/>
                        <w:sz w:val="20"/>
                      </w:rPr>
                      <w:t>i</w:t>
                    </w:r>
                    <w:r>
                      <w:rPr>
                        <w:rFonts w:ascii="Trebuchet MS"/>
                        <w:color w:val="231F20"/>
                        <w:spacing w:val="-5"/>
                        <w:w w:val="111"/>
                        <w:sz w:val="20"/>
                      </w:rPr>
                      <w:t>c</w:t>
                    </w:r>
                    <w:r>
                      <w:rPr>
                        <w:rFonts w:ascii="Trebuchet MS"/>
                        <w:color w:val="231F20"/>
                        <w:spacing w:val="-7"/>
                        <w:w w:val="77"/>
                        <w:sz w:val="20"/>
                      </w:rPr>
                      <w:t>)</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08"/>
                        <w:sz w:val="20"/>
                      </w:rPr>
                      <w:t>e</w:t>
                    </w:r>
                    <w:r>
                      <w:rPr>
                        <w:rFonts w:ascii="Trebuchet MS"/>
                        <w:color w:val="231F20"/>
                        <w:spacing w:val="-2"/>
                        <w:w w:val="111"/>
                        <w:sz w:val="20"/>
                      </w:rPr>
                      <w:t>m</w:t>
                    </w:r>
                    <w:r>
                      <w:rPr>
                        <w:rFonts w:ascii="Trebuchet MS"/>
                        <w:color w:val="231F20"/>
                        <w:spacing w:val="-1"/>
                        <w:w w:val="111"/>
                        <w:sz w:val="20"/>
                      </w:rPr>
                      <w:t>p</w:t>
                    </w:r>
                    <w:r>
                      <w:rPr>
                        <w:rFonts w:ascii="Trebuchet MS"/>
                        <w:color w:val="231F20"/>
                        <w:spacing w:val="-6"/>
                        <w:w w:val="111"/>
                        <w:sz w:val="20"/>
                      </w:rPr>
                      <w:t>o</w:t>
                    </w:r>
                    <w:r>
                      <w:rPr>
                        <w:rFonts w:ascii="Trebuchet MS"/>
                        <w:color w:val="231F20"/>
                        <w:spacing w:val="-6"/>
                        <w:w w:val="110"/>
                        <w:sz w:val="20"/>
                      </w:rPr>
                      <w:t>w</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1"/>
                        <w:w w:val="109"/>
                        <w:sz w:val="20"/>
                      </w:rPr>
                      <w:t>u</w:t>
                    </w:r>
                    <w:r>
                      <w:rPr>
                        <w:rFonts w:ascii="Trebuchet MS"/>
                        <w:color w:val="231F20"/>
                        <w:spacing w:val="2"/>
                        <w:w w:val="93"/>
                        <w:sz w:val="20"/>
                      </w:rPr>
                      <w:t>r</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4"/>
                        <w:w w:val="105"/>
                        <w:sz w:val="20"/>
                      </w:rPr>
                      <w:t>a</w:t>
                    </w:r>
                    <w:r>
                      <w:rPr>
                        <w:rFonts w:ascii="Trebuchet MS"/>
                        <w:color w:val="231F20"/>
                        <w:w w:val="88"/>
                        <w:sz w:val="20"/>
                      </w:rPr>
                      <w:t>t</w:t>
                    </w:r>
                    <w:r>
                      <w:rPr>
                        <w:rFonts w:ascii="Trebuchet MS"/>
                        <w:color w:val="231F20"/>
                        <w:spacing w:val="-14"/>
                        <w:sz w:val="20"/>
                      </w:rPr>
                      <w:t xml:space="preserve"> </w:t>
                    </w:r>
                    <w:r>
                      <w:rPr>
                        <w:rFonts w:ascii="Trebuchet MS"/>
                        <w:color w:val="231F20"/>
                        <w:w w:val="105"/>
                        <w:sz w:val="20"/>
                      </w:rPr>
                      <w:t>a</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2"/>
                        <w:w w:val="107"/>
                        <w:sz w:val="20"/>
                      </w:rPr>
                      <w:t>h</w:t>
                    </w:r>
                    <w:r>
                      <w:rPr>
                        <w:rFonts w:ascii="Trebuchet MS"/>
                        <w:color w:val="231F20"/>
                        <w:spacing w:val="-2"/>
                        <w:w w:val="80"/>
                        <w:sz w:val="20"/>
                      </w:rPr>
                      <w:t>i</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10"/>
                        <w:sz w:val="20"/>
                      </w:rPr>
                      <w:t>w</w:t>
                    </w:r>
                    <w:r>
                      <w:rPr>
                        <w:rFonts w:ascii="Trebuchet MS"/>
                        <w:color w:val="231F20"/>
                        <w:spacing w:val="-1"/>
                        <w:w w:val="107"/>
                        <w:sz w:val="20"/>
                      </w:rPr>
                      <w:t>h</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08"/>
                        <w:sz w:val="20"/>
                      </w:rPr>
                      <w:t>e</w:t>
                    </w:r>
                    <w:r>
                      <w:rPr>
                        <w:rFonts w:ascii="Trebuchet MS"/>
                        <w:color w:val="231F20"/>
                        <w:spacing w:val="-3"/>
                        <w:w w:val="80"/>
                        <w:sz w:val="20"/>
                      </w:rPr>
                      <w:t>i</w:t>
                    </w:r>
                    <w:r>
                      <w:rPr>
                        <w:rFonts w:ascii="Trebuchet MS"/>
                        <w:color w:val="231F20"/>
                        <w:spacing w:val="-2"/>
                        <w:w w:val="88"/>
                        <w:sz w:val="20"/>
                      </w:rPr>
                      <w:t>t</w:t>
                    </w:r>
                    <w:r>
                      <w:rPr>
                        <w:rFonts w:ascii="Trebuchet MS"/>
                        <w:color w:val="231F20"/>
                        <w:spacing w:val="-1"/>
                        <w:w w:val="107"/>
                        <w:sz w:val="20"/>
                      </w:rPr>
                      <w:t>h</w:t>
                    </w:r>
                    <w:r>
                      <w:rPr>
                        <w:rFonts w:ascii="Trebuchet MS"/>
                        <w:color w:val="231F20"/>
                        <w:spacing w:val="-1"/>
                        <w:w w:val="108"/>
                        <w:sz w:val="20"/>
                      </w:rPr>
                      <w:t>e</w:t>
                    </w:r>
                    <w:r>
                      <w:rPr>
                        <w:rFonts w:ascii="Trebuchet MS"/>
                        <w:color w:val="231F20"/>
                        <w:w w:val="93"/>
                        <w:sz w:val="20"/>
                      </w:rPr>
                      <w:t xml:space="preserve">r </w:t>
                    </w:r>
                    <w:r>
                      <w:rPr>
                        <w:rFonts w:ascii="Trebuchet MS"/>
                        <w:color w:val="231F20"/>
                        <w:spacing w:val="-2"/>
                        <w:w w:val="105"/>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a</w:t>
                    </w:r>
                    <w:r>
                      <w:rPr>
                        <w:rFonts w:ascii="Trebuchet MS"/>
                        <w:color w:val="231F20"/>
                        <w:spacing w:val="-1"/>
                        <w:w w:val="111"/>
                        <w:sz w:val="20"/>
                      </w:rPr>
                      <w:t>p</w:t>
                    </w:r>
                    <w:r>
                      <w:rPr>
                        <w:rFonts w:ascii="Trebuchet MS"/>
                        <w:color w:val="231F20"/>
                        <w:spacing w:val="-2"/>
                        <w:w w:val="111"/>
                        <w:sz w:val="20"/>
                      </w:rPr>
                      <w:t>p</w:t>
                    </w:r>
                    <w:r>
                      <w:rPr>
                        <w:rFonts w:ascii="Trebuchet MS"/>
                        <w:color w:val="231F20"/>
                        <w:w w:val="96"/>
                        <w:sz w:val="20"/>
                      </w:rPr>
                      <w:t>l</w:t>
                    </w:r>
                    <w:r>
                      <w:rPr>
                        <w:rFonts w:ascii="Trebuchet MS"/>
                        <w:color w:val="231F20"/>
                        <w:spacing w:val="-1"/>
                        <w:w w:val="80"/>
                        <w:sz w:val="20"/>
                      </w:rPr>
                      <w:t>i</w:t>
                    </w:r>
                    <w:r>
                      <w:rPr>
                        <w:rFonts w:ascii="Trebuchet MS"/>
                        <w:color w:val="231F20"/>
                        <w:w w:val="111"/>
                        <w:sz w:val="20"/>
                      </w:rPr>
                      <w:t>c</w:t>
                    </w:r>
                    <w:r>
                      <w:rPr>
                        <w:rFonts w:ascii="Trebuchet MS"/>
                        <w:color w:val="231F20"/>
                        <w:spacing w:val="-2"/>
                        <w:w w:val="105"/>
                        <w:sz w:val="20"/>
                      </w:rPr>
                      <w:t>a</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1"/>
                        <w:w w:val="107"/>
                        <w:sz w:val="20"/>
                      </w:rPr>
                      <w:t>n</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8"/>
                        <w:sz w:val="20"/>
                      </w:rPr>
                      <w:t>e</w:t>
                    </w:r>
                    <w:r>
                      <w:rPr>
                        <w:rFonts w:ascii="Trebuchet MS"/>
                        <w:color w:val="231F20"/>
                        <w:spacing w:val="-14"/>
                        <w:sz w:val="20"/>
                      </w:rPr>
                      <w:t xml:space="preserve"> </w:t>
                    </w:r>
                    <w:r>
                      <w:rPr>
                        <w:rFonts w:ascii="Trebuchet MS"/>
                        <w:color w:val="231F20"/>
                        <w:spacing w:val="-3"/>
                        <w:w w:val="96"/>
                        <w:sz w:val="20"/>
                      </w:rPr>
                      <w:t>l</w:t>
                    </w:r>
                    <w:r>
                      <w:rPr>
                        <w:rFonts w:ascii="Trebuchet MS"/>
                        <w:color w:val="231F20"/>
                        <w:w w:val="108"/>
                        <w:sz w:val="20"/>
                      </w:rPr>
                      <w:t>e</w:t>
                    </w:r>
                    <w:r>
                      <w:rPr>
                        <w:rFonts w:ascii="Trebuchet MS"/>
                        <w:color w:val="231F20"/>
                        <w:spacing w:val="-1"/>
                        <w:w w:val="124"/>
                        <w:sz w:val="20"/>
                      </w:rPr>
                      <w:t>g</w:t>
                    </w:r>
                    <w:r>
                      <w:rPr>
                        <w:rFonts w:ascii="Trebuchet MS"/>
                        <w:color w:val="231F20"/>
                        <w:spacing w:val="-3"/>
                        <w:w w:val="105"/>
                        <w:sz w:val="20"/>
                      </w:rPr>
                      <w:t>a</w:t>
                    </w:r>
                    <w:r>
                      <w:rPr>
                        <w:rFonts w:ascii="Trebuchet MS"/>
                        <w:color w:val="231F20"/>
                        <w:spacing w:val="-2"/>
                        <w:w w:val="96"/>
                        <w:sz w:val="20"/>
                      </w:rPr>
                      <w:t>l</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1"/>
                        <w:w w:val="108"/>
                        <w:sz w:val="20"/>
                      </w:rPr>
                      <w:t>e</w:t>
                    </w:r>
                    <w:r>
                      <w:rPr>
                        <w:rFonts w:ascii="Trebuchet MS"/>
                        <w:color w:val="231F20"/>
                        <w:spacing w:val="-1"/>
                        <w:w w:val="111"/>
                        <w:sz w:val="20"/>
                      </w:rPr>
                      <w:t>p</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w w:val="55"/>
                        <w:sz w:val="20"/>
                      </w:rPr>
                      <w:t>.</w:t>
                    </w:r>
                  </w:p>
                  <w:p w14:paraId="67E601E0" w14:textId="77777777" w:rsidR="00894070" w:rsidRDefault="009B7AFD">
                    <w:pPr>
                      <w:spacing w:before="88" w:line="247" w:lineRule="auto"/>
                      <w:ind w:right="18"/>
                      <w:rPr>
                        <w:rFonts w:ascii="Trebuchet MS"/>
                        <w:sz w:val="20"/>
                      </w:rPr>
                    </w:pPr>
                    <w:r>
                      <w:rPr>
                        <w:rFonts w:ascii="Trebuchet MS"/>
                        <w:color w:val="231F20"/>
                        <w:spacing w:val="-2"/>
                        <w:w w:val="105"/>
                        <w:sz w:val="20"/>
                      </w:rPr>
                      <w:t>T</w:t>
                    </w:r>
                    <w:r>
                      <w:rPr>
                        <w:rFonts w:ascii="Trebuchet MS"/>
                        <w:color w:val="231F20"/>
                        <w:spacing w:val="-1"/>
                        <w:w w:val="108"/>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96"/>
                        <w:sz w:val="20"/>
                      </w:rPr>
                      <w:t>i</w:t>
                    </w:r>
                    <w:r>
                      <w:rPr>
                        <w:rFonts w:ascii="Trebuchet MS"/>
                        <w:color w:val="231F20"/>
                        <w:spacing w:val="-2"/>
                        <w:w w:val="96"/>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7"/>
                        <w:sz w:val="20"/>
                      </w:rPr>
                      <w:t>n</w:t>
                    </w:r>
                    <w:r>
                      <w:rPr>
                        <w:rFonts w:ascii="Trebuchet MS"/>
                        <w:color w:val="231F20"/>
                        <w:spacing w:val="-1"/>
                        <w:w w:val="110"/>
                        <w:sz w:val="20"/>
                      </w:rPr>
                      <w:t>me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ho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04"/>
                        <w:sz w:val="20"/>
                      </w:rPr>
                      <w:t>p</w:t>
                    </w:r>
                    <w:r>
                      <w:rPr>
                        <w:rFonts w:ascii="Trebuchet MS"/>
                        <w:color w:val="231F20"/>
                        <w:spacing w:val="-4"/>
                        <w:w w:val="104"/>
                        <w:sz w:val="20"/>
                      </w:rPr>
                      <w:t>r</w:t>
                    </w:r>
                    <w:r>
                      <w:rPr>
                        <w:rFonts w:ascii="Trebuchet MS"/>
                        <w:color w:val="231F20"/>
                        <w:spacing w:val="-6"/>
                        <w:w w:val="111"/>
                        <w:sz w:val="20"/>
                      </w:rPr>
                      <w:t>o</w:t>
                    </w:r>
                    <w:r>
                      <w:rPr>
                        <w:rFonts w:ascii="Trebuchet MS"/>
                        <w:color w:val="231F20"/>
                        <w:spacing w:val="-2"/>
                        <w:w w:val="109"/>
                        <w:sz w:val="20"/>
                      </w:rPr>
                      <w:t>v</w:t>
                    </w:r>
                    <w:r>
                      <w:rPr>
                        <w:rFonts w:ascii="Trebuchet MS"/>
                        <w:color w:val="231F20"/>
                        <w:spacing w:val="-1"/>
                        <w:w w:val="101"/>
                        <w:sz w:val="20"/>
                      </w:rPr>
                      <w:t>i</w:t>
                    </w:r>
                    <w:r>
                      <w:rPr>
                        <w:rFonts w:ascii="Trebuchet MS"/>
                        <w:color w:val="231F20"/>
                        <w:spacing w:val="-2"/>
                        <w:w w:val="101"/>
                        <w:sz w:val="20"/>
                      </w:rPr>
                      <w:t>d</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92"/>
                        <w:sz w:val="20"/>
                      </w:rPr>
                      <w:t>f</w:t>
                    </w:r>
                    <w:r>
                      <w:rPr>
                        <w:rFonts w:ascii="Trebuchet MS"/>
                        <w:color w:val="231F20"/>
                        <w:spacing w:val="-1"/>
                        <w:w w:val="105"/>
                        <w:sz w:val="20"/>
                      </w:rPr>
                      <w:t>und</w:t>
                    </w:r>
                    <w:r>
                      <w:rPr>
                        <w:rFonts w:ascii="Trebuchet MS"/>
                        <w:color w:val="231F20"/>
                        <w:spacing w:val="-2"/>
                        <w:w w:val="105"/>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w:t>
                    </w:r>
                    <w:r>
                      <w:rPr>
                        <w:rFonts w:ascii="Trebuchet MS"/>
                        <w:color w:val="231F20"/>
                        <w:spacing w:val="-2"/>
                        <w:w w:val="111"/>
                        <w:sz w:val="20"/>
                      </w:rPr>
                      <w:t>mm</w:t>
                    </w:r>
                    <w:r>
                      <w:rPr>
                        <w:rFonts w:ascii="Trebuchet MS"/>
                        <w:color w:val="231F20"/>
                        <w:spacing w:val="-1"/>
                        <w:w w:val="108"/>
                        <w:sz w:val="20"/>
                      </w:rPr>
                      <w:t>u</w:t>
                    </w:r>
                    <w:r>
                      <w:rPr>
                        <w:rFonts w:ascii="Trebuchet MS"/>
                        <w:color w:val="231F20"/>
                        <w:spacing w:val="-2"/>
                        <w:w w:val="108"/>
                        <w:sz w:val="20"/>
                      </w:rPr>
                      <w:t>n</w:t>
                    </w:r>
                    <w:r>
                      <w:rPr>
                        <w:rFonts w:ascii="Trebuchet MS"/>
                        <w:color w:val="231F20"/>
                        <w:spacing w:val="-3"/>
                        <w:w w:val="80"/>
                        <w:sz w:val="20"/>
                      </w:rPr>
                      <w:t>i</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3"/>
                        <w:w w:val="96"/>
                        <w:sz w:val="20"/>
                      </w:rPr>
                      <w:t>l</w:t>
                    </w:r>
                    <w:r>
                      <w:rPr>
                        <w:rFonts w:ascii="Trebuchet MS"/>
                        <w:color w:val="231F20"/>
                        <w:w w:val="108"/>
                        <w:sz w:val="20"/>
                      </w:rPr>
                      <w:t>e</w:t>
                    </w:r>
                    <w:r>
                      <w:rPr>
                        <w:rFonts w:ascii="Trebuchet MS"/>
                        <w:color w:val="231F20"/>
                        <w:spacing w:val="-1"/>
                        <w:w w:val="124"/>
                        <w:sz w:val="20"/>
                      </w:rPr>
                      <w:t>g</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4"/>
                        <w:w w:val="93"/>
                        <w:sz w:val="20"/>
                      </w:rPr>
                      <w:t>r</w:t>
                    </w:r>
                    <w:r>
                      <w:rPr>
                        <w:rFonts w:ascii="Trebuchet MS"/>
                        <w:color w:val="231F20"/>
                        <w:spacing w:val="-2"/>
                        <w:w w:val="108"/>
                        <w:sz w:val="20"/>
                      </w:rPr>
                      <w:t>e</w:t>
                    </w:r>
                    <w:r>
                      <w:rPr>
                        <w:rFonts w:ascii="Trebuchet MS"/>
                        <w:color w:val="231F20"/>
                        <w:spacing w:val="1"/>
                        <w:w w:val="122"/>
                        <w:sz w:val="20"/>
                      </w:rPr>
                      <w:t>s</w:t>
                    </w:r>
                    <w:r>
                      <w:rPr>
                        <w:rFonts w:ascii="Trebuchet MS"/>
                        <w:color w:val="231F20"/>
                        <w:w w:val="57"/>
                        <w:sz w:val="20"/>
                      </w:rPr>
                      <w:t xml:space="preserve">, </w:t>
                    </w:r>
                    <w:r>
                      <w:rPr>
                        <w:rFonts w:ascii="Trebuchet MS"/>
                        <w:color w:val="231F20"/>
                        <w:w w:val="105"/>
                        <w:sz w:val="20"/>
                      </w:rPr>
                      <w:t>Aboriginal-controlled legal services and Victoria Legal Aid to expand access to legal</w:t>
                    </w:r>
                    <w:r>
                      <w:rPr>
                        <w:rFonts w:ascii="Trebuchet MS"/>
                        <w:color w:val="231F20"/>
                        <w:spacing w:val="-24"/>
                        <w:w w:val="105"/>
                        <w:sz w:val="20"/>
                      </w:rPr>
                      <w:t xml:space="preserve"> </w:t>
                    </w:r>
                    <w:r>
                      <w:rPr>
                        <w:rFonts w:ascii="Trebuchet MS"/>
                        <w:color w:val="231F20"/>
                        <w:w w:val="105"/>
                        <w:sz w:val="20"/>
                      </w:rPr>
                      <w:t>advice</w:t>
                    </w:r>
                    <w:r>
                      <w:rPr>
                        <w:rFonts w:ascii="Trebuchet MS"/>
                        <w:color w:val="231F20"/>
                        <w:spacing w:val="-23"/>
                        <w:w w:val="105"/>
                        <w:sz w:val="20"/>
                      </w:rPr>
                      <w:t xml:space="preserve"> </w:t>
                    </w:r>
                    <w:r>
                      <w:rPr>
                        <w:rFonts w:ascii="Trebuchet MS"/>
                        <w:color w:val="231F20"/>
                        <w:w w:val="105"/>
                        <w:sz w:val="20"/>
                      </w:rPr>
                      <w:t>and</w:t>
                    </w:r>
                    <w:r>
                      <w:rPr>
                        <w:rFonts w:ascii="Trebuchet MS"/>
                        <w:color w:val="231F20"/>
                        <w:spacing w:val="-23"/>
                        <w:w w:val="105"/>
                        <w:sz w:val="20"/>
                      </w:rPr>
                      <w:t xml:space="preserve"> </w:t>
                    </w:r>
                    <w:r>
                      <w:rPr>
                        <w:rFonts w:ascii="Trebuchet MS"/>
                        <w:color w:val="231F20"/>
                        <w:w w:val="105"/>
                        <w:sz w:val="20"/>
                      </w:rPr>
                      <w:t>representation</w:t>
                    </w:r>
                    <w:r>
                      <w:rPr>
                        <w:rFonts w:ascii="Trebuchet MS"/>
                        <w:color w:val="231F20"/>
                        <w:spacing w:val="-23"/>
                        <w:w w:val="105"/>
                        <w:sz w:val="20"/>
                      </w:rPr>
                      <w:t xml:space="preserve"> </w:t>
                    </w:r>
                    <w:r>
                      <w:rPr>
                        <w:rFonts w:ascii="Trebuchet MS"/>
                        <w:color w:val="231F20"/>
                        <w:w w:val="105"/>
                        <w:sz w:val="20"/>
                      </w:rPr>
                      <w:t>for</w:t>
                    </w:r>
                    <w:r>
                      <w:rPr>
                        <w:rFonts w:ascii="Trebuchet MS"/>
                        <w:color w:val="231F20"/>
                        <w:spacing w:val="-23"/>
                        <w:w w:val="105"/>
                        <w:sz w:val="20"/>
                      </w:rPr>
                      <w:t xml:space="preserve"> </w:t>
                    </w:r>
                    <w:r>
                      <w:rPr>
                        <w:rFonts w:ascii="Trebuchet MS"/>
                        <w:color w:val="231F20"/>
                        <w:w w:val="105"/>
                        <w:sz w:val="20"/>
                      </w:rPr>
                      <w:t>child</w:t>
                    </w:r>
                    <w:r>
                      <w:rPr>
                        <w:rFonts w:ascii="Trebuchet MS"/>
                        <w:color w:val="231F20"/>
                        <w:spacing w:val="-23"/>
                        <w:w w:val="105"/>
                        <w:sz w:val="20"/>
                      </w:rPr>
                      <w:t xml:space="preserve"> </w:t>
                    </w:r>
                    <w:r>
                      <w:rPr>
                        <w:rFonts w:ascii="Trebuchet MS"/>
                        <w:color w:val="231F20"/>
                        <w:w w:val="105"/>
                        <w:sz w:val="20"/>
                      </w:rPr>
                      <w:t>applicants</w:t>
                    </w:r>
                    <w:r>
                      <w:rPr>
                        <w:rFonts w:ascii="Trebuchet MS"/>
                        <w:color w:val="231F20"/>
                        <w:spacing w:val="-23"/>
                        <w:w w:val="105"/>
                        <w:sz w:val="20"/>
                      </w:rPr>
                      <w:t xml:space="preserve"> </w:t>
                    </w:r>
                    <w:r>
                      <w:rPr>
                        <w:rFonts w:ascii="Trebuchet MS"/>
                        <w:color w:val="231F20"/>
                        <w:w w:val="105"/>
                        <w:sz w:val="20"/>
                      </w:rPr>
                      <w:t>and</w:t>
                    </w:r>
                    <w:r>
                      <w:rPr>
                        <w:rFonts w:ascii="Trebuchet MS"/>
                        <w:color w:val="231F20"/>
                        <w:spacing w:val="-23"/>
                        <w:w w:val="105"/>
                        <w:sz w:val="20"/>
                      </w:rPr>
                      <w:t xml:space="preserve"> </w:t>
                    </w:r>
                    <w:r>
                      <w:rPr>
                        <w:rFonts w:ascii="Trebuchet MS"/>
                        <w:color w:val="231F20"/>
                        <w:w w:val="105"/>
                        <w:sz w:val="20"/>
                      </w:rPr>
                      <w:t>respondents</w:t>
                    </w:r>
                    <w:r>
                      <w:rPr>
                        <w:rFonts w:ascii="Trebuchet MS"/>
                        <w:color w:val="231F20"/>
                        <w:spacing w:val="-23"/>
                        <w:w w:val="105"/>
                        <w:sz w:val="20"/>
                      </w:rPr>
                      <w:t xml:space="preserve"> </w:t>
                    </w:r>
                    <w:r>
                      <w:rPr>
                        <w:rFonts w:ascii="Trebuchet MS"/>
                        <w:color w:val="231F20"/>
                        <w:w w:val="105"/>
                        <w:sz w:val="20"/>
                      </w:rPr>
                      <w:t>in</w:t>
                    </w:r>
                    <w:r>
                      <w:rPr>
                        <w:rFonts w:ascii="Trebuchet MS"/>
                        <w:color w:val="231F20"/>
                        <w:spacing w:val="-23"/>
                        <w:w w:val="105"/>
                        <w:sz w:val="20"/>
                      </w:rPr>
                      <w:t xml:space="preserve"> </w:t>
                    </w:r>
                    <w:r>
                      <w:rPr>
                        <w:rFonts w:ascii="Trebuchet MS"/>
                        <w:color w:val="231F20"/>
                        <w:w w:val="105"/>
                        <w:sz w:val="20"/>
                      </w:rPr>
                      <w:t>relation</w:t>
                    </w:r>
                    <w:r>
                      <w:rPr>
                        <w:rFonts w:ascii="Trebuchet MS"/>
                        <w:color w:val="231F20"/>
                        <w:spacing w:val="-23"/>
                        <w:w w:val="105"/>
                        <w:sz w:val="20"/>
                      </w:rPr>
                      <w:t xml:space="preserve"> </w:t>
                    </w:r>
                    <w:r>
                      <w:rPr>
                        <w:rFonts w:ascii="Trebuchet MS"/>
                        <w:color w:val="231F20"/>
                        <w:w w:val="105"/>
                        <w:sz w:val="20"/>
                      </w:rPr>
                      <w:t xml:space="preserve">to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11"/>
                        <w:sz w:val="20"/>
                      </w:rPr>
                      <w:t>m</w:t>
                    </w:r>
                    <w:r>
                      <w:rPr>
                        <w:rFonts w:ascii="Trebuchet MS"/>
                        <w:color w:val="231F20"/>
                        <w:spacing w:val="-4"/>
                        <w:w w:val="105"/>
                        <w:sz w:val="20"/>
                      </w:rPr>
                      <w:t>a</w:t>
                    </w:r>
                    <w:r>
                      <w:rPr>
                        <w:rFonts w:ascii="Trebuchet MS"/>
                        <w:color w:val="231F20"/>
                        <w:spacing w:val="-1"/>
                        <w:w w:val="88"/>
                        <w:sz w:val="20"/>
                      </w:rPr>
                      <w:t>t</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5"/>
                        <w:sz w:val="20"/>
                      </w:rPr>
                      <w:t>.</w:t>
                    </w:r>
                  </w:p>
                </w:txbxContent>
              </v:textbox>
            </v:shape>
            <v:shape id="_x0000_s1232" type="#_x0000_t202" style="position:absolute;left:1814;top:1342;width:277;height:1280" filled="f" stroked="f">
              <v:textbox inset="0,0,0,0">
                <w:txbxContent>
                  <w:p w14:paraId="02CB3944" w14:textId="77777777" w:rsidR="00894070" w:rsidRDefault="009B7AFD">
                    <w:pPr>
                      <w:rPr>
                        <w:rFonts w:ascii="Trebuchet MS"/>
                        <w:sz w:val="20"/>
                      </w:rPr>
                    </w:pPr>
                    <w:r>
                      <w:rPr>
                        <w:rFonts w:ascii="Trebuchet MS"/>
                        <w:color w:val="231F20"/>
                        <w:w w:val="90"/>
                        <w:sz w:val="20"/>
                      </w:rPr>
                      <w:t>31.</w:t>
                    </w:r>
                  </w:p>
                  <w:p w14:paraId="49608F70" w14:textId="77777777" w:rsidR="00894070" w:rsidRDefault="00894070"/>
                  <w:p w14:paraId="186B9C33" w14:textId="77777777" w:rsidR="00894070" w:rsidRDefault="00894070"/>
                  <w:p w14:paraId="73541934" w14:textId="77777777" w:rsidR="00894070" w:rsidRDefault="00894070">
                    <w:pPr>
                      <w:spacing w:before="7"/>
                      <w:rPr>
                        <w:sz w:val="14"/>
                      </w:rPr>
                    </w:pPr>
                  </w:p>
                  <w:p w14:paraId="7C57E76F" w14:textId="77777777" w:rsidR="00894070" w:rsidRDefault="009B7AFD">
                    <w:pPr>
                      <w:spacing w:before="1"/>
                      <w:rPr>
                        <w:rFonts w:ascii="Trebuchet MS"/>
                        <w:sz w:val="20"/>
                      </w:rPr>
                    </w:pPr>
                    <w:r>
                      <w:rPr>
                        <w:rFonts w:ascii="Trebuchet MS"/>
                        <w:color w:val="231F20"/>
                        <w:w w:val="95"/>
                        <w:sz w:val="20"/>
                      </w:rPr>
                      <w:t>32.</w:t>
                    </w:r>
                  </w:p>
                </w:txbxContent>
              </v:textbox>
            </v:shape>
            <v:shape id="_x0000_s1231" type="#_x0000_t202" style="position:absolute;left:1587;top:309;width:8731;height:783" fillcolor="#fee7de" stroked="f">
              <v:textbox inset="0,0,0,0">
                <w:txbxContent>
                  <w:p w14:paraId="3824A0F3" w14:textId="77777777" w:rsidR="00894070" w:rsidRDefault="009B7AFD">
                    <w:pPr>
                      <w:spacing w:before="158"/>
                      <w:ind w:left="226"/>
                      <w:rPr>
                        <w:rFonts w:ascii="Raleway ExtraBold"/>
                        <w:b/>
                        <w:sz w:val="32"/>
                      </w:rPr>
                    </w:pPr>
                    <w:r>
                      <w:rPr>
                        <w:rFonts w:ascii="Raleway ExtraBold"/>
                        <w:b/>
                        <w:color w:val="EA5B50"/>
                        <w:sz w:val="32"/>
                      </w:rPr>
                      <w:t>Recommendations</w:t>
                    </w:r>
                  </w:p>
                </w:txbxContent>
              </v:textbox>
            </v:shape>
            <w10:wrap type="topAndBottom" anchorx="page"/>
          </v:group>
        </w:pict>
      </w:r>
    </w:p>
    <w:p w14:paraId="421E3AA7" w14:textId="77777777" w:rsidR="00894070" w:rsidRDefault="00894070">
      <w:pPr>
        <w:pStyle w:val="BodyText"/>
      </w:pPr>
    </w:p>
    <w:p w14:paraId="1CBCF85B" w14:textId="77777777" w:rsidR="00894070" w:rsidRDefault="00894070">
      <w:pPr>
        <w:pStyle w:val="BodyText"/>
      </w:pPr>
    </w:p>
    <w:p w14:paraId="18906CD0" w14:textId="77777777" w:rsidR="00894070" w:rsidRDefault="00894070">
      <w:pPr>
        <w:pStyle w:val="BodyText"/>
      </w:pPr>
    </w:p>
    <w:p w14:paraId="77AB326A" w14:textId="77777777" w:rsidR="00894070" w:rsidRDefault="00894070">
      <w:pPr>
        <w:pStyle w:val="BodyText"/>
      </w:pPr>
    </w:p>
    <w:p w14:paraId="7DB9F7F4" w14:textId="77777777" w:rsidR="00894070" w:rsidRDefault="00894070">
      <w:pPr>
        <w:pStyle w:val="BodyText"/>
      </w:pPr>
    </w:p>
    <w:p w14:paraId="626A37C3" w14:textId="77777777" w:rsidR="00894070" w:rsidRDefault="00894070">
      <w:pPr>
        <w:pStyle w:val="BodyText"/>
      </w:pPr>
    </w:p>
    <w:p w14:paraId="1FEA11E1" w14:textId="77777777" w:rsidR="00894070" w:rsidRDefault="00894070">
      <w:pPr>
        <w:pStyle w:val="BodyText"/>
      </w:pPr>
    </w:p>
    <w:p w14:paraId="71BC96A3" w14:textId="77777777" w:rsidR="00894070" w:rsidRDefault="00894070">
      <w:pPr>
        <w:pStyle w:val="BodyText"/>
      </w:pPr>
    </w:p>
    <w:p w14:paraId="6AEBEA5E" w14:textId="77777777" w:rsidR="00894070" w:rsidRDefault="00894070">
      <w:pPr>
        <w:pStyle w:val="BodyText"/>
      </w:pPr>
    </w:p>
    <w:p w14:paraId="778AFB6D" w14:textId="77777777" w:rsidR="00894070" w:rsidRDefault="009F6793">
      <w:pPr>
        <w:pStyle w:val="BodyText"/>
        <w:spacing w:before="4"/>
        <w:rPr>
          <w:sz w:val="10"/>
        </w:rPr>
      </w:pPr>
      <w:r>
        <w:pict w14:anchorId="3BF5CB5F">
          <v:line id="_x0000_s1229" style="position:absolute;z-index:251719680;mso-wrap-distance-left:0;mso-wrap-distance-right:0;mso-position-horizontal-relative:page" from="79.35pt,9.65pt" to="515.9pt,9.65pt" strokecolor="#f8cabc" strokeweight="1pt">
            <w10:wrap type="topAndBottom" anchorx="page"/>
          </v:line>
        </w:pict>
      </w:r>
    </w:p>
    <w:p w14:paraId="29DC785D" w14:textId="77777777" w:rsidR="00894070" w:rsidRDefault="00894070">
      <w:pPr>
        <w:pStyle w:val="BodyText"/>
        <w:rPr>
          <w:sz w:val="5"/>
        </w:rPr>
      </w:pPr>
    </w:p>
    <w:p w14:paraId="0A0253B1" w14:textId="77777777" w:rsidR="00894070" w:rsidRDefault="00894070">
      <w:pPr>
        <w:rPr>
          <w:sz w:val="5"/>
        </w:rPr>
        <w:sectPr w:rsidR="00894070">
          <w:pgSz w:w="11910" w:h="16840"/>
          <w:pgMar w:top="860" w:right="420" w:bottom="280" w:left="580" w:header="567" w:footer="0" w:gutter="0"/>
          <w:cols w:space="720"/>
        </w:sectPr>
      </w:pPr>
    </w:p>
    <w:p w14:paraId="165160DB" w14:textId="77777777" w:rsidR="00894070" w:rsidRDefault="00894070">
      <w:pPr>
        <w:pStyle w:val="BodyText"/>
        <w:rPr>
          <w:sz w:val="28"/>
        </w:rPr>
      </w:pPr>
    </w:p>
    <w:p w14:paraId="4AFD63D6" w14:textId="77777777" w:rsidR="00894070" w:rsidRDefault="00894070">
      <w:pPr>
        <w:pStyle w:val="BodyText"/>
        <w:spacing w:before="8"/>
        <w:rPr>
          <w:sz w:val="33"/>
        </w:rPr>
      </w:pPr>
    </w:p>
    <w:p w14:paraId="75EBDE02" w14:textId="77777777" w:rsidR="00894070" w:rsidRDefault="009B7AFD">
      <w:pPr>
        <w:pStyle w:val="Heading8"/>
        <w:ind w:left="140"/>
      </w:pPr>
      <w:r>
        <w:rPr>
          <w:color w:val="EA5B50"/>
        </w:rPr>
        <w:t>130</w:t>
      </w:r>
    </w:p>
    <w:p w14:paraId="74B0E7B0" w14:textId="77777777" w:rsidR="00894070" w:rsidRDefault="009B7AFD">
      <w:pPr>
        <w:pStyle w:val="ListParagraph"/>
        <w:numPr>
          <w:ilvl w:val="0"/>
          <w:numId w:val="71"/>
        </w:numPr>
        <w:tabs>
          <w:tab w:val="left" w:pos="933"/>
          <w:tab w:val="left" w:pos="934"/>
        </w:tabs>
        <w:spacing w:before="21" w:line="170" w:lineRule="exact"/>
        <w:ind w:left="933" w:hanging="793"/>
        <w:jc w:val="left"/>
        <w:rPr>
          <w:sz w:val="13"/>
        </w:rPr>
      </w:pPr>
      <w:r>
        <w:rPr>
          <w:color w:val="231F20"/>
          <w:spacing w:val="3"/>
          <w:sz w:val="13"/>
        </w:rPr>
        <w:br w:type="column"/>
      </w:r>
      <w:r>
        <w:rPr>
          <w:color w:val="231F20"/>
          <w:sz w:val="13"/>
        </w:rPr>
        <w:t xml:space="preserve">Consultation 35 (Children’s </w:t>
      </w:r>
      <w:r>
        <w:rPr>
          <w:color w:val="231F20"/>
          <w:spacing w:val="2"/>
          <w:sz w:val="13"/>
        </w:rPr>
        <w:t xml:space="preserve">Court </w:t>
      </w:r>
      <w:r>
        <w:rPr>
          <w:color w:val="231F20"/>
          <w:sz w:val="13"/>
        </w:rPr>
        <w:t>of Victoria (No 2)).</w:t>
      </w:r>
    </w:p>
    <w:p w14:paraId="41B5399B" w14:textId="77777777" w:rsidR="00894070" w:rsidRDefault="009B7AFD">
      <w:pPr>
        <w:pStyle w:val="ListParagraph"/>
        <w:numPr>
          <w:ilvl w:val="0"/>
          <w:numId w:val="71"/>
        </w:numPr>
        <w:tabs>
          <w:tab w:val="left" w:pos="933"/>
          <w:tab w:val="left" w:pos="934"/>
        </w:tabs>
        <w:spacing w:line="160" w:lineRule="exact"/>
        <w:ind w:left="933" w:hanging="793"/>
        <w:jc w:val="left"/>
        <w:rPr>
          <w:sz w:val="13"/>
        </w:rPr>
      </w:pPr>
      <w:r>
        <w:rPr>
          <w:color w:val="231F20"/>
          <w:sz w:val="13"/>
        </w:rPr>
        <w:t xml:space="preserve">Victoria Legal Aid, </w:t>
      </w:r>
      <w:r>
        <w:rPr>
          <w:i/>
          <w:color w:val="231F20"/>
          <w:sz w:val="13"/>
        </w:rPr>
        <w:t xml:space="preserve">Prioritising Help for Children in Personal Safety Intervention Order Matters </w:t>
      </w:r>
      <w:r>
        <w:rPr>
          <w:color w:val="231F20"/>
          <w:sz w:val="13"/>
        </w:rPr>
        <w:t>(Web Page, 21 July</w:t>
      </w:r>
      <w:r>
        <w:rPr>
          <w:color w:val="231F20"/>
          <w:spacing w:val="30"/>
          <w:sz w:val="13"/>
        </w:rPr>
        <w:t xml:space="preserve"> </w:t>
      </w:r>
      <w:r>
        <w:rPr>
          <w:color w:val="231F20"/>
          <w:sz w:val="13"/>
        </w:rPr>
        <w:t>2020)</w:t>
      </w:r>
    </w:p>
    <w:p w14:paraId="606FD416" w14:textId="77777777" w:rsidR="00894070" w:rsidRDefault="009F6793">
      <w:pPr>
        <w:spacing w:line="160" w:lineRule="exact"/>
        <w:ind w:left="933"/>
        <w:rPr>
          <w:sz w:val="13"/>
        </w:rPr>
      </w:pPr>
      <w:hyperlink r:id="rId166">
        <w:r w:rsidR="009B7AFD">
          <w:rPr>
            <w:color w:val="231F20"/>
            <w:sz w:val="13"/>
          </w:rPr>
          <w:t>&lt;https://www.legalaid.vic.gov.au/prioritising-help-children-personal-safety-intervention-order-matters</w:t>
        </w:r>
      </w:hyperlink>
      <w:r w:rsidR="009B7AFD">
        <w:rPr>
          <w:color w:val="231F20"/>
          <w:sz w:val="13"/>
        </w:rPr>
        <w:t>&gt;.</w:t>
      </w:r>
    </w:p>
    <w:p w14:paraId="3D283598" w14:textId="77777777" w:rsidR="00894070" w:rsidRDefault="009B7AFD">
      <w:pPr>
        <w:pStyle w:val="ListParagraph"/>
        <w:numPr>
          <w:ilvl w:val="0"/>
          <w:numId w:val="71"/>
        </w:numPr>
        <w:tabs>
          <w:tab w:val="left" w:pos="933"/>
          <w:tab w:val="left" w:pos="934"/>
        </w:tabs>
        <w:spacing w:line="160" w:lineRule="exact"/>
        <w:ind w:left="933" w:hanging="793"/>
        <w:jc w:val="left"/>
        <w:rPr>
          <w:sz w:val="13"/>
        </w:rPr>
      </w:pPr>
      <w:r>
        <w:rPr>
          <w:color w:val="231F20"/>
          <w:sz w:val="13"/>
        </w:rPr>
        <w:t xml:space="preserve">Consultation 35 (Children’s </w:t>
      </w:r>
      <w:r>
        <w:rPr>
          <w:color w:val="231F20"/>
          <w:spacing w:val="2"/>
          <w:sz w:val="13"/>
        </w:rPr>
        <w:t xml:space="preserve">Court </w:t>
      </w:r>
      <w:r>
        <w:rPr>
          <w:color w:val="231F20"/>
          <w:sz w:val="13"/>
        </w:rPr>
        <w:t xml:space="preserve">of Victoria (No 2)). See </w:t>
      </w:r>
      <w:r>
        <w:rPr>
          <w:i/>
          <w:color w:val="231F20"/>
          <w:sz w:val="13"/>
        </w:rPr>
        <w:t xml:space="preserve">Family Violence Protection Act 2008 </w:t>
      </w:r>
      <w:r>
        <w:rPr>
          <w:color w:val="231F20"/>
          <w:sz w:val="13"/>
        </w:rPr>
        <w:t>(Vic) s</w:t>
      </w:r>
      <w:r>
        <w:rPr>
          <w:color w:val="231F20"/>
          <w:spacing w:val="15"/>
          <w:sz w:val="13"/>
        </w:rPr>
        <w:t xml:space="preserve"> </w:t>
      </w:r>
      <w:r>
        <w:rPr>
          <w:color w:val="231F20"/>
          <w:sz w:val="13"/>
        </w:rPr>
        <w:t>62.</w:t>
      </w:r>
    </w:p>
    <w:p w14:paraId="4A9CEDBF" w14:textId="77777777" w:rsidR="00894070" w:rsidRDefault="009B7AFD">
      <w:pPr>
        <w:pStyle w:val="ListParagraph"/>
        <w:numPr>
          <w:ilvl w:val="0"/>
          <w:numId w:val="71"/>
        </w:numPr>
        <w:tabs>
          <w:tab w:val="left" w:pos="933"/>
          <w:tab w:val="left" w:pos="934"/>
        </w:tabs>
        <w:spacing w:line="160" w:lineRule="exact"/>
        <w:ind w:left="933" w:hanging="793"/>
        <w:jc w:val="left"/>
        <w:rPr>
          <w:sz w:val="13"/>
        </w:rPr>
      </w:pPr>
      <w:r>
        <w:rPr>
          <w:color w:val="231F20"/>
          <w:sz w:val="13"/>
        </w:rPr>
        <w:t>Consultation 20 (Law Institute of</w:t>
      </w:r>
      <w:r>
        <w:rPr>
          <w:color w:val="231F20"/>
          <w:spacing w:val="1"/>
          <w:sz w:val="13"/>
        </w:rPr>
        <w:t xml:space="preserve"> </w:t>
      </w:r>
      <w:r>
        <w:rPr>
          <w:color w:val="231F20"/>
          <w:sz w:val="13"/>
        </w:rPr>
        <w:t>Victoria).</w:t>
      </w:r>
    </w:p>
    <w:p w14:paraId="015996F3" w14:textId="77777777" w:rsidR="00894070" w:rsidRDefault="009B7AFD">
      <w:pPr>
        <w:pStyle w:val="ListParagraph"/>
        <w:numPr>
          <w:ilvl w:val="0"/>
          <w:numId w:val="71"/>
        </w:numPr>
        <w:tabs>
          <w:tab w:val="left" w:pos="933"/>
          <w:tab w:val="left" w:pos="934"/>
        </w:tabs>
        <w:spacing w:before="7" w:line="213" w:lineRule="auto"/>
        <w:ind w:left="933" w:right="1468" w:hanging="793"/>
        <w:jc w:val="left"/>
        <w:rPr>
          <w:sz w:val="13"/>
        </w:rPr>
      </w:pPr>
      <w:r>
        <w:rPr>
          <w:color w:val="231F20"/>
          <w:sz w:val="13"/>
        </w:rPr>
        <w:t xml:space="preserve">The equivalent provision in the family violence context is </w:t>
      </w:r>
      <w:r>
        <w:rPr>
          <w:i/>
          <w:color w:val="231F20"/>
          <w:sz w:val="13"/>
        </w:rPr>
        <w:t xml:space="preserve">Family Violence Protection Act 2008 </w:t>
      </w:r>
      <w:r>
        <w:rPr>
          <w:color w:val="231F20"/>
          <w:sz w:val="13"/>
        </w:rPr>
        <w:t>(Vic) s 62. In the family violence terminology, the child is an affected family</w:t>
      </w:r>
      <w:r>
        <w:rPr>
          <w:color w:val="231F20"/>
          <w:spacing w:val="2"/>
          <w:sz w:val="13"/>
        </w:rPr>
        <w:t xml:space="preserve"> </w:t>
      </w:r>
      <w:r>
        <w:rPr>
          <w:color w:val="231F20"/>
          <w:sz w:val="13"/>
        </w:rPr>
        <w:t>member.</w:t>
      </w:r>
    </w:p>
    <w:p w14:paraId="6500A498" w14:textId="77777777" w:rsidR="00894070" w:rsidRDefault="00894070">
      <w:pPr>
        <w:spacing w:line="213" w:lineRule="auto"/>
        <w:rPr>
          <w:sz w:val="13"/>
        </w:rPr>
        <w:sectPr w:rsidR="00894070">
          <w:type w:val="continuous"/>
          <w:pgSz w:w="11910" w:h="16840"/>
          <w:pgMar w:top="560" w:right="420" w:bottom="280" w:left="580" w:header="720" w:footer="720" w:gutter="0"/>
          <w:cols w:num="2" w:space="720" w:equalWidth="0">
            <w:col w:w="577" w:space="291"/>
            <w:col w:w="10042"/>
          </w:cols>
        </w:sectPr>
      </w:pPr>
    </w:p>
    <w:p w14:paraId="64B73D86" w14:textId="77777777" w:rsidR="00894070" w:rsidRDefault="009F6793">
      <w:pPr>
        <w:pStyle w:val="BodyText"/>
        <w:rPr>
          <w:sz w:val="11"/>
        </w:rPr>
      </w:pPr>
      <w:r>
        <w:lastRenderedPageBreak/>
        <w:pict w14:anchorId="5F87D952">
          <v:rect id="_x0000_s1228" style="position:absolute;margin-left:0;margin-top:0;width:595.3pt;height:841.9pt;z-index:-251492352;mso-position-horizontal-relative:page;mso-position-vertical-relative:page" fillcolor="#ea5b50" stroked="f">
            <w10:wrap anchorx="page" anchory="page"/>
          </v:rect>
        </w:pict>
      </w:r>
    </w:p>
    <w:p w14:paraId="64C02EF8" w14:textId="77777777" w:rsidR="00894070" w:rsidRDefault="009F6793">
      <w:pPr>
        <w:pStyle w:val="Heading4"/>
        <w:rPr>
          <w:b/>
        </w:rPr>
      </w:pPr>
      <w:r>
        <w:pict w14:anchorId="79A90882">
          <v:shape id="_x0000_s1227" type="#_x0000_t202" style="position:absolute;left:0;text-align:left;margin-left:411.55pt;margin-top:-3.3pt;width:132.5pt;height:152.65pt;z-index:-251491328;mso-position-horizontal-relative:page" filled="f" stroked="f">
            <v:textbox inset="0,0,0,0">
              <w:txbxContent>
                <w:p w14:paraId="4961168C" w14:textId="77777777" w:rsidR="00894070" w:rsidRDefault="009B7AFD">
                  <w:pPr>
                    <w:spacing w:line="3052" w:lineRule="exact"/>
                    <w:rPr>
                      <w:b/>
                      <w:sz w:val="260"/>
                    </w:rPr>
                  </w:pPr>
                  <w:r>
                    <w:rPr>
                      <w:b/>
                      <w:color w:val="FFFFFF"/>
                      <w:spacing w:val="-203"/>
                      <w:sz w:val="260"/>
                    </w:rPr>
                    <w:t>07</w:t>
                  </w:r>
                </w:p>
              </w:txbxContent>
            </v:textbox>
            <w10:wrap anchorx="page"/>
          </v:shape>
        </w:pict>
      </w:r>
      <w:r w:rsidR="009B7AFD">
        <w:rPr>
          <w:b/>
          <w:color w:val="FFFFFF"/>
        </w:rPr>
        <w:t>CHAPTER</w:t>
      </w:r>
    </w:p>
    <w:p w14:paraId="3BD6D283" w14:textId="77777777" w:rsidR="00894070" w:rsidRDefault="00894070">
      <w:pPr>
        <w:pStyle w:val="BodyText"/>
        <w:rPr>
          <w:rFonts w:ascii="Raleway SemiBold"/>
          <w:b/>
        </w:rPr>
      </w:pPr>
    </w:p>
    <w:p w14:paraId="3B56AD14" w14:textId="77777777" w:rsidR="00894070" w:rsidRDefault="00894070">
      <w:pPr>
        <w:pStyle w:val="BodyText"/>
        <w:rPr>
          <w:rFonts w:ascii="Raleway SemiBold"/>
          <w:b/>
        </w:rPr>
      </w:pPr>
    </w:p>
    <w:p w14:paraId="073AA8AB" w14:textId="77777777" w:rsidR="00894070" w:rsidRDefault="00894070">
      <w:pPr>
        <w:pStyle w:val="BodyText"/>
        <w:rPr>
          <w:rFonts w:ascii="Raleway SemiBold"/>
          <w:b/>
        </w:rPr>
      </w:pPr>
    </w:p>
    <w:p w14:paraId="706557C6" w14:textId="77777777" w:rsidR="00894070" w:rsidRDefault="00894070">
      <w:pPr>
        <w:pStyle w:val="BodyText"/>
        <w:rPr>
          <w:rFonts w:ascii="Raleway SemiBold"/>
          <w:b/>
        </w:rPr>
      </w:pPr>
    </w:p>
    <w:p w14:paraId="7AE534D9" w14:textId="77777777" w:rsidR="00894070" w:rsidRDefault="00894070">
      <w:pPr>
        <w:pStyle w:val="BodyText"/>
        <w:rPr>
          <w:rFonts w:ascii="Raleway SemiBold"/>
          <w:b/>
        </w:rPr>
      </w:pPr>
    </w:p>
    <w:p w14:paraId="462954A7" w14:textId="77777777" w:rsidR="00894070" w:rsidRDefault="00894070">
      <w:pPr>
        <w:pStyle w:val="BodyText"/>
        <w:rPr>
          <w:rFonts w:ascii="Raleway SemiBold"/>
          <w:b/>
        </w:rPr>
      </w:pPr>
    </w:p>
    <w:p w14:paraId="3AA17332" w14:textId="77777777" w:rsidR="00894070" w:rsidRDefault="00894070">
      <w:pPr>
        <w:pStyle w:val="BodyText"/>
        <w:rPr>
          <w:rFonts w:ascii="Raleway SemiBold"/>
          <w:b/>
        </w:rPr>
      </w:pPr>
    </w:p>
    <w:p w14:paraId="5ECD078D" w14:textId="77777777" w:rsidR="00894070" w:rsidRDefault="00894070">
      <w:pPr>
        <w:pStyle w:val="BodyText"/>
        <w:rPr>
          <w:rFonts w:ascii="Raleway SemiBold"/>
          <w:b/>
        </w:rPr>
      </w:pPr>
    </w:p>
    <w:p w14:paraId="7AA78383" w14:textId="77777777" w:rsidR="00894070" w:rsidRDefault="00894070">
      <w:pPr>
        <w:pStyle w:val="BodyText"/>
        <w:rPr>
          <w:rFonts w:ascii="Raleway SemiBold"/>
          <w:b/>
        </w:rPr>
      </w:pPr>
    </w:p>
    <w:p w14:paraId="076D29E3" w14:textId="77777777" w:rsidR="00894070" w:rsidRDefault="00894070">
      <w:pPr>
        <w:pStyle w:val="BodyText"/>
        <w:rPr>
          <w:rFonts w:ascii="Raleway SemiBold"/>
          <w:b/>
        </w:rPr>
      </w:pPr>
    </w:p>
    <w:p w14:paraId="01EC8F28" w14:textId="77777777" w:rsidR="00894070" w:rsidRDefault="00894070">
      <w:pPr>
        <w:pStyle w:val="BodyText"/>
        <w:rPr>
          <w:rFonts w:ascii="Raleway SemiBold"/>
          <w:b/>
        </w:rPr>
      </w:pPr>
    </w:p>
    <w:p w14:paraId="6B3CB304" w14:textId="77777777" w:rsidR="00894070" w:rsidRDefault="00894070">
      <w:pPr>
        <w:pStyle w:val="BodyText"/>
        <w:rPr>
          <w:rFonts w:ascii="Raleway SemiBold"/>
          <w:b/>
        </w:rPr>
      </w:pPr>
    </w:p>
    <w:p w14:paraId="12AC9738" w14:textId="77777777" w:rsidR="00894070" w:rsidRDefault="00894070">
      <w:pPr>
        <w:pStyle w:val="BodyText"/>
        <w:rPr>
          <w:rFonts w:ascii="Raleway SemiBold"/>
          <w:b/>
        </w:rPr>
      </w:pPr>
    </w:p>
    <w:p w14:paraId="02320601" w14:textId="77777777" w:rsidR="00894070" w:rsidRDefault="00894070">
      <w:pPr>
        <w:pStyle w:val="BodyText"/>
        <w:spacing w:before="5"/>
        <w:rPr>
          <w:rFonts w:ascii="Raleway SemiBold"/>
          <w:b/>
          <w:sz w:val="17"/>
        </w:rPr>
      </w:pPr>
    </w:p>
    <w:p w14:paraId="541D12DA" w14:textId="77777777" w:rsidR="00894070" w:rsidRDefault="009B7AFD">
      <w:pPr>
        <w:spacing w:before="166" w:line="180" w:lineRule="auto"/>
        <w:ind w:left="1007" w:right="1162"/>
        <w:rPr>
          <w:rFonts w:ascii="Raleway ExtraBold"/>
          <w:b/>
          <w:sz w:val="88"/>
        </w:rPr>
      </w:pPr>
      <w:r>
        <w:rPr>
          <w:rFonts w:ascii="Raleway ExtraBold"/>
          <w:b/>
          <w:color w:val="FFFFFF"/>
          <w:spacing w:val="-22"/>
          <w:sz w:val="88"/>
        </w:rPr>
        <w:t xml:space="preserve">Criminal </w:t>
      </w:r>
      <w:r>
        <w:rPr>
          <w:rFonts w:ascii="Raleway ExtraBold"/>
          <w:b/>
          <w:color w:val="FFFFFF"/>
          <w:spacing w:val="-21"/>
          <w:sz w:val="88"/>
        </w:rPr>
        <w:t xml:space="preserve">law </w:t>
      </w:r>
      <w:r>
        <w:rPr>
          <w:rFonts w:ascii="Raleway ExtraBold"/>
          <w:b/>
          <w:color w:val="FFFFFF"/>
          <w:spacing w:val="-20"/>
          <w:sz w:val="88"/>
        </w:rPr>
        <w:t xml:space="preserve">responses </w:t>
      </w:r>
      <w:r>
        <w:rPr>
          <w:rFonts w:ascii="Raleway ExtraBold"/>
          <w:b/>
          <w:color w:val="FFFFFF"/>
          <w:spacing w:val="-16"/>
          <w:sz w:val="88"/>
        </w:rPr>
        <w:t xml:space="preserve">to </w:t>
      </w:r>
      <w:r>
        <w:rPr>
          <w:rFonts w:ascii="Raleway ExtraBold"/>
          <w:b/>
          <w:color w:val="FFFFFF"/>
          <w:spacing w:val="-23"/>
          <w:sz w:val="88"/>
        </w:rPr>
        <w:t>stalking</w:t>
      </w:r>
    </w:p>
    <w:p w14:paraId="7A6921C4" w14:textId="77777777" w:rsidR="00894070" w:rsidRDefault="00894070">
      <w:pPr>
        <w:pStyle w:val="BodyText"/>
        <w:rPr>
          <w:rFonts w:ascii="Raleway ExtraBold"/>
          <w:b/>
        </w:rPr>
      </w:pPr>
    </w:p>
    <w:p w14:paraId="2E41549D" w14:textId="77777777" w:rsidR="00894070" w:rsidRDefault="00894070">
      <w:pPr>
        <w:pStyle w:val="BodyText"/>
        <w:rPr>
          <w:rFonts w:ascii="Raleway ExtraBold"/>
          <w:b/>
        </w:rPr>
      </w:pPr>
    </w:p>
    <w:p w14:paraId="1B57E0FB" w14:textId="77777777" w:rsidR="00894070" w:rsidRDefault="00894070">
      <w:pPr>
        <w:pStyle w:val="BodyText"/>
        <w:rPr>
          <w:rFonts w:ascii="Raleway ExtraBold"/>
          <w:b/>
        </w:rPr>
      </w:pPr>
    </w:p>
    <w:p w14:paraId="155EBDC6" w14:textId="77777777" w:rsidR="00894070" w:rsidRDefault="00894070">
      <w:pPr>
        <w:pStyle w:val="BodyText"/>
        <w:spacing w:before="7"/>
        <w:rPr>
          <w:rFonts w:ascii="Raleway ExtraBold"/>
          <w:b/>
          <w:sz w:val="14"/>
        </w:rPr>
      </w:pPr>
    </w:p>
    <w:tbl>
      <w:tblPr>
        <w:tblW w:w="0" w:type="auto"/>
        <w:tblInd w:w="986" w:type="dxa"/>
        <w:tblLayout w:type="fixed"/>
        <w:tblCellMar>
          <w:left w:w="0" w:type="dxa"/>
          <w:right w:w="0" w:type="dxa"/>
        </w:tblCellMar>
        <w:tblLook w:val="01E0" w:firstRow="1" w:lastRow="1" w:firstColumn="1" w:lastColumn="1" w:noHBand="0" w:noVBand="0"/>
      </w:tblPr>
      <w:tblGrid>
        <w:gridCol w:w="510"/>
        <w:gridCol w:w="8540"/>
      </w:tblGrid>
      <w:tr w:rsidR="00894070" w14:paraId="03808A64" w14:textId="77777777">
        <w:trPr>
          <w:trHeight w:val="336"/>
        </w:trPr>
        <w:tc>
          <w:tcPr>
            <w:tcW w:w="510" w:type="dxa"/>
            <w:tcBorders>
              <w:bottom w:val="single" w:sz="18" w:space="0" w:color="F4A997"/>
            </w:tcBorders>
            <w:shd w:val="clear" w:color="auto" w:fill="EA5B50"/>
          </w:tcPr>
          <w:p w14:paraId="6EA31E6F" w14:textId="77777777" w:rsidR="00894070" w:rsidRDefault="009F6793">
            <w:pPr>
              <w:pStyle w:val="TableParagraph"/>
              <w:spacing w:line="282" w:lineRule="exact"/>
              <w:ind w:left="0"/>
              <w:rPr>
                <w:b/>
                <w:sz w:val="24"/>
              </w:rPr>
            </w:pPr>
            <w:hyperlink w:anchor="_bookmark87" w:history="1">
              <w:r w:rsidR="009B7AFD">
                <w:rPr>
                  <w:b/>
                  <w:color w:val="FFFFFF"/>
                  <w:sz w:val="24"/>
                </w:rPr>
                <w:t>132</w:t>
              </w:r>
            </w:hyperlink>
          </w:p>
        </w:tc>
        <w:tc>
          <w:tcPr>
            <w:tcW w:w="8540" w:type="dxa"/>
            <w:shd w:val="clear" w:color="auto" w:fill="EA5B50"/>
          </w:tcPr>
          <w:p w14:paraId="02D3696F" w14:textId="77777777" w:rsidR="00894070" w:rsidRDefault="009F6793">
            <w:pPr>
              <w:pStyle w:val="TableParagraph"/>
              <w:spacing w:line="282" w:lineRule="exact"/>
              <w:ind w:left="57"/>
              <w:rPr>
                <w:b/>
                <w:sz w:val="24"/>
              </w:rPr>
            </w:pPr>
            <w:hyperlink w:anchor="_bookmark87" w:history="1">
              <w:r w:rsidR="009B7AFD">
                <w:rPr>
                  <w:b/>
                  <w:color w:val="FFFFFF"/>
                  <w:sz w:val="24"/>
                </w:rPr>
                <w:t>Overview</w:t>
              </w:r>
            </w:hyperlink>
          </w:p>
        </w:tc>
      </w:tr>
      <w:tr w:rsidR="00894070" w14:paraId="4C0A1037" w14:textId="77777777">
        <w:trPr>
          <w:trHeight w:val="428"/>
        </w:trPr>
        <w:tc>
          <w:tcPr>
            <w:tcW w:w="510" w:type="dxa"/>
            <w:tcBorders>
              <w:top w:val="single" w:sz="18" w:space="0" w:color="F4A997"/>
              <w:bottom w:val="single" w:sz="18" w:space="0" w:color="F4A997"/>
            </w:tcBorders>
            <w:shd w:val="clear" w:color="auto" w:fill="EA5B50"/>
          </w:tcPr>
          <w:p w14:paraId="7549C13E" w14:textId="77777777" w:rsidR="00894070" w:rsidRDefault="009F6793">
            <w:pPr>
              <w:pStyle w:val="TableParagraph"/>
              <w:spacing w:before="40"/>
              <w:ind w:left="0"/>
              <w:rPr>
                <w:b/>
                <w:sz w:val="24"/>
              </w:rPr>
            </w:pPr>
            <w:hyperlink w:anchor="_bookmark87" w:history="1">
              <w:r w:rsidR="009B7AFD">
                <w:rPr>
                  <w:b/>
                  <w:color w:val="FFFFFF"/>
                  <w:sz w:val="24"/>
                </w:rPr>
                <w:t>132</w:t>
              </w:r>
            </w:hyperlink>
          </w:p>
        </w:tc>
        <w:tc>
          <w:tcPr>
            <w:tcW w:w="8540" w:type="dxa"/>
            <w:shd w:val="clear" w:color="auto" w:fill="EA5B50"/>
          </w:tcPr>
          <w:p w14:paraId="29877116" w14:textId="77777777" w:rsidR="00894070" w:rsidRDefault="009F6793">
            <w:pPr>
              <w:pStyle w:val="TableParagraph"/>
              <w:spacing w:before="40"/>
              <w:ind w:left="56"/>
              <w:rPr>
                <w:b/>
                <w:sz w:val="24"/>
              </w:rPr>
            </w:pPr>
            <w:hyperlink w:anchor="_bookmark87" w:history="1">
              <w:r w:rsidR="009B7AFD">
                <w:rPr>
                  <w:b/>
                  <w:color w:val="FFFFFF"/>
                  <w:sz w:val="24"/>
                </w:rPr>
                <w:t>Stalking is a crime and should be treated as such</w:t>
              </w:r>
            </w:hyperlink>
          </w:p>
        </w:tc>
      </w:tr>
      <w:tr w:rsidR="00894070" w14:paraId="37ECE415" w14:textId="77777777">
        <w:trPr>
          <w:trHeight w:val="428"/>
        </w:trPr>
        <w:tc>
          <w:tcPr>
            <w:tcW w:w="510" w:type="dxa"/>
            <w:tcBorders>
              <w:top w:val="single" w:sz="18" w:space="0" w:color="F4A997"/>
              <w:bottom w:val="single" w:sz="18" w:space="0" w:color="F4A997"/>
            </w:tcBorders>
            <w:shd w:val="clear" w:color="auto" w:fill="EA5B50"/>
          </w:tcPr>
          <w:p w14:paraId="391CE2CD" w14:textId="77777777" w:rsidR="00894070" w:rsidRDefault="009F6793">
            <w:pPr>
              <w:pStyle w:val="TableParagraph"/>
              <w:spacing w:before="40"/>
              <w:ind w:left="0"/>
              <w:rPr>
                <w:b/>
                <w:sz w:val="24"/>
              </w:rPr>
            </w:pPr>
            <w:hyperlink w:anchor="_bookmark88" w:history="1">
              <w:r w:rsidR="009B7AFD">
                <w:rPr>
                  <w:b/>
                  <w:color w:val="FFFFFF"/>
                  <w:sz w:val="24"/>
                </w:rPr>
                <w:t>133</w:t>
              </w:r>
            </w:hyperlink>
          </w:p>
        </w:tc>
        <w:tc>
          <w:tcPr>
            <w:tcW w:w="8540" w:type="dxa"/>
            <w:shd w:val="clear" w:color="auto" w:fill="EA5B50"/>
          </w:tcPr>
          <w:p w14:paraId="24359DA1" w14:textId="77777777" w:rsidR="00894070" w:rsidRDefault="009F6793">
            <w:pPr>
              <w:pStyle w:val="TableParagraph"/>
              <w:spacing w:before="40"/>
              <w:ind w:left="56"/>
              <w:rPr>
                <w:b/>
                <w:sz w:val="24"/>
              </w:rPr>
            </w:pPr>
            <w:hyperlink w:anchor="_bookmark88" w:history="1">
              <w:r w:rsidR="009B7AFD">
                <w:rPr>
                  <w:b/>
                  <w:color w:val="FFFFFF"/>
                  <w:sz w:val="24"/>
                </w:rPr>
                <w:t>The criminal offence of stalking</w:t>
              </w:r>
            </w:hyperlink>
          </w:p>
        </w:tc>
      </w:tr>
      <w:tr w:rsidR="00894070" w14:paraId="675547AF" w14:textId="77777777">
        <w:trPr>
          <w:trHeight w:val="428"/>
        </w:trPr>
        <w:tc>
          <w:tcPr>
            <w:tcW w:w="510" w:type="dxa"/>
            <w:tcBorders>
              <w:top w:val="single" w:sz="18" w:space="0" w:color="F4A997"/>
              <w:bottom w:val="single" w:sz="18" w:space="0" w:color="F4A997"/>
            </w:tcBorders>
            <w:shd w:val="clear" w:color="auto" w:fill="EA5B50"/>
          </w:tcPr>
          <w:p w14:paraId="15F6D51F" w14:textId="77777777" w:rsidR="00894070" w:rsidRDefault="009F6793">
            <w:pPr>
              <w:pStyle w:val="TableParagraph"/>
              <w:spacing w:before="40"/>
              <w:ind w:left="0"/>
              <w:rPr>
                <w:b/>
                <w:sz w:val="24"/>
              </w:rPr>
            </w:pPr>
            <w:hyperlink w:anchor="_bookmark89" w:history="1">
              <w:r w:rsidR="009B7AFD">
                <w:rPr>
                  <w:b/>
                  <w:color w:val="FFFFFF"/>
                  <w:sz w:val="24"/>
                </w:rPr>
                <w:t>135</w:t>
              </w:r>
            </w:hyperlink>
          </w:p>
        </w:tc>
        <w:tc>
          <w:tcPr>
            <w:tcW w:w="8540" w:type="dxa"/>
            <w:shd w:val="clear" w:color="auto" w:fill="EA5B50"/>
          </w:tcPr>
          <w:p w14:paraId="395AB16C" w14:textId="77777777" w:rsidR="00894070" w:rsidRDefault="009F6793">
            <w:pPr>
              <w:pStyle w:val="TableParagraph"/>
              <w:spacing w:before="40"/>
              <w:ind w:left="56"/>
              <w:rPr>
                <w:b/>
                <w:sz w:val="24"/>
              </w:rPr>
            </w:pPr>
            <w:hyperlink w:anchor="_bookmark89" w:history="1">
              <w:r w:rsidR="009B7AFD">
                <w:rPr>
                  <w:b/>
                  <w:color w:val="FFFFFF"/>
                  <w:sz w:val="24"/>
                </w:rPr>
                <w:t>How well is the stalking offence working?</w:t>
              </w:r>
            </w:hyperlink>
          </w:p>
        </w:tc>
      </w:tr>
      <w:tr w:rsidR="00894070" w14:paraId="62839B0A" w14:textId="77777777">
        <w:trPr>
          <w:trHeight w:val="428"/>
        </w:trPr>
        <w:tc>
          <w:tcPr>
            <w:tcW w:w="510" w:type="dxa"/>
            <w:tcBorders>
              <w:top w:val="single" w:sz="18" w:space="0" w:color="F4A997"/>
              <w:bottom w:val="single" w:sz="18" w:space="0" w:color="F4A997"/>
            </w:tcBorders>
            <w:shd w:val="clear" w:color="auto" w:fill="EA5B50"/>
          </w:tcPr>
          <w:p w14:paraId="4DAC0167" w14:textId="77777777" w:rsidR="00894070" w:rsidRDefault="009F6793">
            <w:pPr>
              <w:pStyle w:val="TableParagraph"/>
              <w:spacing w:before="40"/>
              <w:ind w:left="0"/>
              <w:rPr>
                <w:b/>
                <w:sz w:val="24"/>
              </w:rPr>
            </w:pPr>
            <w:hyperlink w:anchor="_bookmark90" w:history="1">
              <w:r w:rsidR="009B7AFD">
                <w:rPr>
                  <w:b/>
                  <w:color w:val="FFFFFF"/>
                  <w:sz w:val="24"/>
                </w:rPr>
                <w:t>136</w:t>
              </w:r>
            </w:hyperlink>
          </w:p>
        </w:tc>
        <w:tc>
          <w:tcPr>
            <w:tcW w:w="8540" w:type="dxa"/>
            <w:shd w:val="clear" w:color="auto" w:fill="EA5B50"/>
          </w:tcPr>
          <w:p w14:paraId="5ABEBDC8" w14:textId="77777777" w:rsidR="00894070" w:rsidRDefault="009F6793">
            <w:pPr>
              <w:pStyle w:val="TableParagraph"/>
              <w:spacing w:before="40"/>
              <w:ind w:left="56"/>
              <w:rPr>
                <w:b/>
                <w:sz w:val="24"/>
              </w:rPr>
            </w:pPr>
            <w:hyperlink w:anchor="_bookmark90" w:history="1">
              <w:r w:rsidR="009B7AFD">
                <w:rPr>
                  <w:b/>
                  <w:color w:val="FFFFFF"/>
                  <w:sz w:val="24"/>
                </w:rPr>
                <w:t>The stalking offence should be redrafted</w:t>
              </w:r>
            </w:hyperlink>
          </w:p>
        </w:tc>
      </w:tr>
      <w:tr w:rsidR="00894070" w14:paraId="2566C299" w14:textId="77777777">
        <w:trPr>
          <w:trHeight w:val="428"/>
        </w:trPr>
        <w:tc>
          <w:tcPr>
            <w:tcW w:w="510" w:type="dxa"/>
            <w:tcBorders>
              <w:top w:val="single" w:sz="18" w:space="0" w:color="F4A997"/>
              <w:bottom w:val="single" w:sz="18" w:space="0" w:color="F4A997"/>
            </w:tcBorders>
            <w:shd w:val="clear" w:color="auto" w:fill="EA5B50"/>
          </w:tcPr>
          <w:p w14:paraId="6DDFB25C" w14:textId="77777777" w:rsidR="00894070" w:rsidRDefault="009F6793">
            <w:pPr>
              <w:pStyle w:val="TableParagraph"/>
              <w:spacing w:before="40"/>
              <w:ind w:left="0"/>
              <w:rPr>
                <w:b/>
                <w:sz w:val="24"/>
              </w:rPr>
            </w:pPr>
            <w:hyperlink w:anchor="_bookmark92" w:history="1">
              <w:r w:rsidR="009B7AFD">
                <w:rPr>
                  <w:b/>
                  <w:color w:val="FFFFFF"/>
                  <w:sz w:val="24"/>
                </w:rPr>
                <w:t>139</w:t>
              </w:r>
            </w:hyperlink>
          </w:p>
        </w:tc>
        <w:tc>
          <w:tcPr>
            <w:tcW w:w="8540" w:type="dxa"/>
            <w:shd w:val="clear" w:color="auto" w:fill="EA5B50"/>
          </w:tcPr>
          <w:p w14:paraId="39CA6A8F" w14:textId="77777777" w:rsidR="00894070" w:rsidRDefault="009F6793">
            <w:pPr>
              <w:pStyle w:val="TableParagraph"/>
              <w:spacing w:before="40"/>
              <w:ind w:left="56"/>
              <w:rPr>
                <w:b/>
                <w:sz w:val="24"/>
              </w:rPr>
            </w:pPr>
            <w:hyperlink w:anchor="_bookmark92" w:history="1">
              <w:r w:rsidR="009B7AFD">
                <w:rPr>
                  <w:b/>
                  <w:color w:val="FFFFFF"/>
                  <w:sz w:val="24"/>
                </w:rPr>
                <w:t>Other suggestions about the stalking offence</w:t>
              </w:r>
            </w:hyperlink>
          </w:p>
        </w:tc>
      </w:tr>
      <w:tr w:rsidR="00894070" w14:paraId="6BB4E927" w14:textId="77777777">
        <w:trPr>
          <w:trHeight w:val="428"/>
        </w:trPr>
        <w:tc>
          <w:tcPr>
            <w:tcW w:w="510" w:type="dxa"/>
            <w:tcBorders>
              <w:top w:val="single" w:sz="18" w:space="0" w:color="F4A997"/>
              <w:bottom w:val="single" w:sz="18" w:space="0" w:color="F4A997"/>
            </w:tcBorders>
            <w:shd w:val="clear" w:color="auto" w:fill="EA5B50"/>
          </w:tcPr>
          <w:p w14:paraId="72442878" w14:textId="77777777" w:rsidR="00894070" w:rsidRDefault="009F6793">
            <w:pPr>
              <w:pStyle w:val="TableParagraph"/>
              <w:spacing w:before="40"/>
              <w:ind w:left="0"/>
              <w:rPr>
                <w:b/>
                <w:sz w:val="24"/>
              </w:rPr>
            </w:pPr>
            <w:hyperlink w:anchor="_bookmark93" w:history="1">
              <w:r w:rsidR="009B7AFD">
                <w:rPr>
                  <w:b/>
                  <w:color w:val="FFFFFF"/>
                  <w:sz w:val="24"/>
                </w:rPr>
                <w:t>140</w:t>
              </w:r>
            </w:hyperlink>
          </w:p>
        </w:tc>
        <w:tc>
          <w:tcPr>
            <w:tcW w:w="8540" w:type="dxa"/>
            <w:shd w:val="clear" w:color="auto" w:fill="EA5B50"/>
          </w:tcPr>
          <w:p w14:paraId="3BD168F9" w14:textId="77777777" w:rsidR="00894070" w:rsidRDefault="009F6793">
            <w:pPr>
              <w:pStyle w:val="TableParagraph"/>
              <w:spacing w:before="40"/>
              <w:ind w:left="56"/>
              <w:rPr>
                <w:b/>
                <w:sz w:val="24"/>
              </w:rPr>
            </w:pPr>
            <w:hyperlink w:anchor="_bookmark93" w:history="1">
              <w:r w:rsidR="009B7AFD">
                <w:rPr>
                  <w:b/>
                  <w:color w:val="FFFFFF"/>
                  <w:sz w:val="24"/>
                </w:rPr>
                <w:t>The stalking offence is not applied well in practice</w:t>
              </w:r>
            </w:hyperlink>
          </w:p>
        </w:tc>
      </w:tr>
      <w:tr w:rsidR="00894070" w14:paraId="00471E5A" w14:textId="77777777">
        <w:trPr>
          <w:trHeight w:val="428"/>
        </w:trPr>
        <w:tc>
          <w:tcPr>
            <w:tcW w:w="510" w:type="dxa"/>
            <w:tcBorders>
              <w:top w:val="single" w:sz="18" w:space="0" w:color="F4A997"/>
              <w:bottom w:val="single" w:sz="18" w:space="0" w:color="F4A997"/>
            </w:tcBorders>
            <w:shd w:val="clear" w:color="auto" w:fill="EA5B50"/>
          </w:tcPr>
          <w:p w14:paraId="16616F10" w14:textId="77777777" w:rsidR="00894070" w:rsidRDefault="009F6793">
            <w:pPr>
              <w:pStyle w:val="TableParagraph"/>
              <w:spacing w:before="40"/>
              <w:ind w:left="0"/>
              <w:rPr>
                <w:b/>
                <w:sz w:val="24"/>
              </w:rPr>
            </w:pPr>
            <w:hyperlink w:anchor="_bookmark95" w:history="1">
              <w:r w:rsidR="009B7AFD">
                <w:rPr>
                  <w:b/>
                  <w:color w:val="FFFFFF"/>
                  <w:sz w:val="24"/>
                </w:rPr>
                <w:t>142</w:t>
              </w:r>
            </w:hyperlink>
          </w:p>
        </w:tc>
        <w:tc>
          <w:tcPr>
            <w:tcW w:w="8540" w:type="dxa"/>
            <w:shd w:val="clear" w:color="auto" w:fill="EA5B50"/>
          </w:tcPr>
          <w:p w14:paraId="32EE6FE3" w14:textId="77777777" w:rsidR="00894070" w:rsidRDefault="009F6793">
            <w:pPr>
              <w:pStyle w:val="TableParagraph"/>
              <w:spacing w:before="40"/>
              <w:ind w:left="56"/>
              <w:rPr>
                <w:b/>
                <w:sz w:val="24"/>
              </w:rPr>
            </w:pPr>
            <w:hyperlink w:anchor="_bookmark95" w:history="1">
              <w:r w:rsidR="009B7AFD">
                <w:rPr>
                  <w:b/>
                  <w:color w:val="FFFFFF"/>
                  <w:sz w:val="24"/>
                </w:rPr>
                <w:t>Application of the stalking offence must improve</w:t>
              </w:r>
            </w:hyperlink>
          </w:p>
        </w:tc>
      </w:tr>
      <w:tr w:rsidR="00894070" w14:paraId="153D0045" w14:textId="77777777">
        <w:trPr>
          <w:trHeight w:val="788"/>
        </w:trPr>
        <w:tc>
          <w:tcPr>
            <w:tcW w:w="510" w:type="dxa"/>
            <w:tcBorders>
              <w:top w:val="single" w:sz="18" w:space="0" w:color="F4A997"/>
              <w:bottom w:val="single" w:sz="18" w:space="0" w:color="F4A997"/>
            </w:tcBorders>
            <w:shd w:val="clear" w:color="auto" w:fill="EA5B50"/>
          </w:tcPr>
          <w:p w14:paraId="43640FBA" w14:textId="77777777" w:rsidR="00894070" w:rsidRDefault="009F6793">
            <w:pPr>
              <w:pStyle w:val="TableParagraph"/>
              <w:spacing w:before="40"/>
              <w:ind w:left="0"/>
              <w:rPr>
                <w:b/>
                <w:sz w:val="24"/>
              </w:rPr>
            </w:pPr>
            <w:hyperlink w:anchor="_bookmark97" w:history="1">
              <w:r w:rsidR="009B7AFD">
                <w:rPr>
                  <w:b/>
                  <w:color w:val="FFFFFF"/>
                  <w:sz w:val="24"/>
                </w:rPr>
                <w:t>144</w:t>
              </w:r>
            </w:hyperlink>
          </w:p>
        </w:tc>
        <w:tc>
          <w:tcPr>
            <w:tcW w:w="8540" w:type="dxa"/>
            <w:shd w:val="clear" w:color="auto" w:fill="EA5B50"/>
          </w:tcPr>
          <w:p w14:paraId="70BC32C7" w14:textId="77777777" w:rsidR="00894070" w:rsidRDefault="009F6793">
            <w:pPr>
              <w:pStyle w:val="TableParagraph"/>
              <w:spacing w:before="40"/>
              <w:ind w:left="56"/>
              <w:rPr>
                <w:b/>
                <w:sz w:val="24"/>
              </w:rPr>
            </w:pPr>
            <w:hyperlink w:anchor="_bookmark97" w:history="1">
              <w:r w:rsidR="009B7AFD">
                <w:rPr>
                  <w:b/>
                  <w:color w:val="FFFFFF"/>
                  <w:sz w:val="24"/>
                </w:rPr>
                <w:t>What are other barriers to stalking offences progressing in the justice</w:t>
              </w:r>
            </w:hyperlink>
          </w:p>
          <w:p w14:paraId="7EF4ED35" w14:textId="77777777" w:rsidR="00894070" w:rsidRDefault="009F6793">
            <w:pPr>
              <w:pStyle w:val="TableParagraph"/>
              <w:spacing w:before="27"/>
              <w:ind w:left="56"/>
              <w:rPr>
                <w:b/>
                <w:sz w:val="24"/>
              </w:rPr>
            </w:pPr>
            <w:hyperlink w:anchor="_bookmark97" w:history="1">
              <w:r w:rsidR="009B7AFD">
                <w:rPr>
                  <w:b/>
                  <w:color w:val="FFFFFF"/>
                  <w:sz w:val="24"/>
                </w:rPr>
                <w:t>system?</w:t>
              </w:r>
            </w:hyperlink>
          </w:p>
        </w:tc>
      </w:tr>
      <w:tr w:rsidR="00894070" w14:paraId="38B4A633" w14:textId="77777777">
        <w:trPr>
          <w:trHeight w:val="428"/>
        </w:trPr>
        <w:tc>
          <w:tcPr>
            <w:tcW w:w="510" w:type="dxa"/>
            <w:tcBorders>
              <w:top w:val="single" w:sz="18" w:space="0" w:color="F4A997"/>
              <w:bottom w:val="single" w:sz="18" w:space="0" w:color="F4A997"/>
            </w:tcBorders>
            <w:shd w:val="clear" w:color="auto" w:fill="EA5B50"/>
          </w:tcPr>
          <w:p w14:paraId="60400DD6" w14:textId="77777777" w:rsidR="00894070" w:rsidRDefault="009F6793">
            <w:pPr>
              <w:pStyle w:val="TableParagraph"/>
              <w:spacing w:before="40"/>
              <w:ind w:left="0"/>
              <w:rPr>
                <w:b/>
                <w:sz w:val="24"/>
              </w:rPr>
            </w:pPr>
            <w:hyperlink w:anchor="_bookmark99" w:history="1">
              <w:r w:rsidR="009B7AFD">
                <w:rPr>
                  <w:b/>
                  <w:color w:val="FFFFFF"/>
                  <w:sz w:val="24"/>
                </w:rPr>
                <w:t>146</w:t>
              </w:r>
            </w:hyperlink>
          </w:p>
        </w:tc>
        <w:tc>
          <w:tcPr>
            <w:tcW w:w="8540" w:type="dxa"/>
            <w:shd w:val="clear" w:color="auto" w:fill="EA5B50"/>
          </w:tcPr>
          <w:p w14:paraId="145FC27B" w14:textId="77777777" w:rsidR="00894070" w:rsidRDefault="009F6793">
            <w:pPr>
              <w:pStyle w:val="TableParagraph"/>
              <w:spacing w:before="40"/>
              <w:ind w:left="56"/>
              <w:rPr>
                <w:b/>
                <w:sz w:val="24"/>
              </w:rPr>
            </w:pPr>
            <w:hyperlink w:anchor="_bookmark99" w:history="1">
              <w:r w:rsidR="009B7AFD">
                <w:rPr>
                  <w:b/>
                  <w:color w:val="FFFFFF"/>
                  <w:sz w:val="24"/>
                </w:rPr>
                <w:t>Breaching intervention orders: are new offences needed?</w:t>
              </w:r>
            </w:hyperlink>
          </w:p>
        </w:tc>
      </w:tr>
      <w:tr w:rsidR="00894070" w14:paraId="67714B92" w14:textId="77777777">
        <w:trPr>
          <w:trHeight w:val="428"/>
        </w:trPr>
        <w:tc>
          <w:tcPr>
            <w:tcW w:w="510" w:type="dxa"/>
            <w:tcBorders>
              <w:top w:val="single" w:sz="18" w:space="0" w:color="F4A997"/>
              <w:bottom w:val="single" w:sz="18" w:space="0" w:color="F4A997"/>
            </w:tcBorders>
            <w:shd w:val="clear" w:color="auto" w:fill="EA5B50"/>
          </w:tcPr>
          <w:p w14:paraId="0558D13E" w14:textId="77777777" w:rsidR="00894070" w:rsidRDefault="009F6793">
            <w:pPr>
              <w:pStyle w:val="TableParagraph"/>
              <w:spacing w:before="40"/>
              <w:ind w:left="0"/>
              <w:rPr>
                <w:b/>
                <w:sz w:val="24"/>
              </w:rPr>
            </w:pPr>
            <w:hyperlink w:anchor="_bookmark101" w:history="1">
              <w:r w:rsidR="009B7AFD">
                <w:rPr>
                  <w:b/>
                  <w:color w:val="FFFFFF"/>
                  <w:sz w:val="24"/>
                </w:rPr>
                <w:t>149</w:t>
              </w:r>
            </w:hyperlink>
          </w:p>
        </w:tc>
        <w:tc>
          <w:tcPr>
            <w:tcW w:w="8540" w:type="dxa"/>
            <w:shd w:val="clear" w:color="auto" w:fill="EA5B50"/>
          </w:tcPr>
          <w:p w14:paraId="3B5FDB6A" w14:textId="77777777" w:rsidR="00894070" w:rsidRDefault="009F6793">
            <w:pPr>
              <w:pStyle w:val="TableParagraph"/>
              <w:spacing w:before="40"/>
              <w:ind w:left="56"/>
              <w:rPr>
                <w:b/>
                <w:sz w:val="24"/>
              </w:rPr>
            </w:pPr>
            <w:hyperlink w:anchor="_bookmark101" w:history="1">
              <w:r w:rsidR="009B7AFD">
                <w:rPr>
                  <w:b/>
                  <w:color w:val="FFFFFF"/>
                  <w:sz w:val="24"/>
                </w:rPr>
                <w:t>Improving police responses to PSIO breaches</w:t>
              </w:r>
            </w:hyperlink>
          </w:p>
        </w:tc>
      </w:tr>
      <w:tr w:rsidR="00894070" w14:paraId="2E812CF3" w14:textId="77777777">
        <w:trPr>
          <w:trHeight w:val="428"/>
        </w:trPr>
        <w:tc>
          <w:tcPr>
            <w:tcW w:w="510" w:type="dxa"/>
            <w:tcBorders>
              <w:top w:val="single" w:sz="18" w:space="0" w:color="F4A997"/>
              <w:bottom w:val="single" w:sz="18" w:space="0" w:color="F4A997"/>
            </w:tcBorders>
            <w:shd w:val="clear" w:color="auto" w:fill="EA5B50"/>
          </w:tcPr>
          <w:p w14:paraId="006D069F" w14:textId="77777777" w:rsidR="00894070" w:rsidRDefault="009F6793">
            <w:pPr>
              <w:pStyle w:val="TableParagraph"/>
              <w:spacing w:before="40"/>
              <w:ind w:left="0"/>
              <w:rPr>
                <w:b/>
                <w:sz w:val="24"/>
              </w:rPr>
            </w:pPr>
            <w:hyperlink w:anchor="_bookmark102" w:history="1">
              <w:r w:rsidR="009B7AFD">
                <w:rPr>
                  <w:b/>
                  <w:color w:val="FFFFFF"/>
                  <w:sz w:val="24"/>
                </w:rPr>
                <w:t>153</w:t>
              </w:r>
            </w:hyperlink>
          </w:p>
        </w:tc>
        <w:tc>
          <w:tcPr>
            <w:tcW w:w="8540" w:type="dxa"/>
            <w:shd w:val="clear" w:color="auto" w:fill="EA5B50"/>
          </w:tcPr>
          <w:p w14:paraId="71A3A86C" w14:textId="77777777" w:rsidR="00894070" w:rsidRDefault="009F6793">
            <w:pPr>
              <w:pStyle w:val="TableParagraph"/>
              <w:spacing w:before="40"/>
              <w:ind w:left="56"/>
              <w:rPr>
                <w:b/>
                <w:sz w:val="24"/>
              </w:rPr>
            </w:pPr>
            <w:hyperlink w:anchor="_bookmark102" w:history="1">
              <w:r w:rsidR="009B7AFD">
                <w:rPr>
                  <w:b/>
                  <w:color w:val="FFFFFF"/>
                  <w:sz w:val="24"/>
                </w:rPr>
                <w:t xml:space="preserve">The criminal trial process should be </w:t>
              </w:r>
              <w:r w:rsidR="009B7AFD">
                <w:rPr>
                  <w:b/>
                  <w:color w:val="FFFFFF"/>
                  <w:spacing w:val="-3"/>
                  <w:sz w:val="24"/>
                </w:rPr>
                <w:t xml:space="preserve">improved </w:t>
              </w:r>
              <w:r w:rsidR="009B7AFD">
                <w:rPr>
                  <w:b/>
                  <w:color w:val="FFFFFF"/>
                  <w:sz w:val="24"/>
                </w:rPr>
                <w:t>for stalking victim survivors</w:t>
              </w:r>
            </w:hyperlink>
          </w:p>
        </w:tc>
      </w:tr>
    </w:tbl>
    <w:p w14:paraId="2CA63315" w14:textId="77777777" w:rsidR="00894070" w:rsidRDefault="00894070">
      <w:pPr>
        <w:rPr>
          <w:sz w:val="24"/>
        </w:rPr>
        <w:sectPr w:rsidR="00894070">
          <w:headerReference w:type="even" r:id="rId167"/>
          <w:headerReference w:type="default" r:id="rId168"/>
          <w:pgSz w:w="11910" w:h="16840"/>
          <w:pgMar w:top="480" w:right="420" w:bottom="280" w:left="580" w:header="0" w:footer="0" w:gutter="0"/>
          <w:cols w:space="720"/>
        </w:sectPr>
      </w:pPr>
    </w:p>
    <w:p w14:paraId="7F026712" w14:textId="77777777" w:rsidR="00894070" w:rsidRDefault="00894070">
      <w:pPr>
        <w:pStyle w:val="BodyText"/>
        <w:rPr>
          <w:rFonts w:ascii="Raleway ExtraBold"/>
          <w:b/>
        </w:rPr>
      </w:pPr>
    </w:p>
    <w:p w14:paraId="1A391175" w14:textId="77777777" w:rsidR="00894070" w:rsidRDefault="00894070">
      <w:pPr>
        <w:pStyle w:val="BodyText"/>
        <w:rPr>
          <w:rFonts w:ascii="Raleway ExtraBold"/>
          <w:b/>
        </w:rPr>
      </w:pPr>
    </w:p>
    <w:p w14:paraId="1A5F68FB" w14:textId="77777777" w:rsidR="00894070" w:rsidRDefault="00894070">
      <w:pPr>
        <w:pStyle w:val="BodyText"/>
        <w:rPr>
          <w:rFonts w:ascii="Raleway ExtraBold"/>
          <w:b/>
        </w:rPr>
      </w:pPr>
    </w:p>
    <w:p w14:paraId="594B36DB" w14:textId="77777777" w:rsidR="00894070" w:rsidRDefault="009B7AFD">
      <w:pPr>
        <w:pStyle w:val="ListParagraph"/>
        <w:numPr>
          <w:ilvl w:val="0"/>
          <w:numId w:val="103"/>
        </w:numPr>
        <w:tabs>
          <w:tab w:val="left" w:pos="813"/>
        </w:tabs>
        <w:spacing w:before="300" w:line="184" w:lineRule="auto"/>
        <w:ind w:right="3842" w:firstLine="0"/>
        <w:rPr>
          <w:rFonts w:ascii="Raleway ExtraBold"/>
          <w:b/>
          <w:sz w:val="56"/>
        </w:rPr>
      </w:pPr>
      <w:bookmarkStart w:id="144" w:name="7._Criminal_law_responses_to_stalking"/>
      <w:bookmarkStart w:id="145" w:name="Stalking_is_a_crime_and_should_be_treate"/>
      <w:bookmarkStart w:id="146" w:name="_bookmark87"/>
      <w:bookmarkEnd w:id="144"/>
      <w:bookmarkEnd w:id="145"/>
      <w:bookmarkEnd w:id="146"/>
      <w:r>
        <w:rPr>
          <w:rFonts w:ascii="Raleway ExtraBold"/>
          <w:b/>
          <w:color w:val="EA5B50"/>
          <w:spacing w:val="-5"/>
          <w:sz w:val="56"/>
        </w:rPr>
        <w:t xml:space="preserve">Criminal </w:t>
      </w:r>
      <w:r>
        <w:rPr>
          <w:rFonts w:ascii="Raleway ExtraBold"/>
          <w:b/>
          <w:color w:val="EA5B50"/>
          <w:spacing w:val="-6"/>
          <w:sz w:val="56"/>
        </w:rPr>
        <w:t xml:space="preserve">law </w:t>
      </w:r>
      <w:r>
        <w:rPr>
          <w:rFonts w:ascii="Raleway ExtraBold"/>
          <w:b/>
          <w:color w:val="EA5B50"/>
          <w:spacing w:val="-4"/>
          <w:sz w:val="56"/>
        </w:rPr>
        <w:t xml:space="preserve">responses </w:t>
      </w:r>
      <w:r>
        <w:rPr>
          <w:rFonts w:ascii="Raleway ExtraBold"/>
          <w:b/>
          <w:color w:val="EA5B50"/>
          <w:spacing w:val="-5"/>
          <w:sz w:val="56"/>
        </w:rPr>
        <w:t>to</w:t>
      </w:r>
      <w:r>
        <w:rPr>
          <w:rFonts w:ascii="Raleway ExtraBold"/>
          <w:b/>
          <w:color w:val="EA5B50"/>
          <w:sz w:val="56"/>
        </w:rPr>
        <w:t xml:space="preserve"> </w:t>
      </w:r>
      <w:r>
        <w:rPr>
          <w:rFonts w:ascii="Raleway ExtraBold"/>
          <w:b/>
          <w:color w:val="EA5B50"/>
          <w:spacing w:val="-4"/>
          <w:sz w:val="56"/>
        </w:rPr>
        <w:t>stalking</w:t>
      </w:r>
    </w:p>
    <w:p w14:paraId="358448F3" w14:textId="77777777" w:rsidR="00894070" w:rsidRDefault="00894070">
      <w:pPr>
        <w:pStyle w:val="BodyText"/>
        <w:rPr>
          <w:rFonts w:ascii="Raleway ExtraBold"/>
          <w:b/>
          <w:sz w:val="66"/>
        </w:rPr>
      </w:pPr>
    </w:p>
    <w:p w14:paraId="2EEF6081" w14:textId="77777777" w:rsidR="00894070" w:rsidRDefault="00894070">
      <w:pPr>
        <w:pStyle w:val="BodyText"/>
        <w:rPr>
          <w:rFonts w:ascii="Raleway ExtraBold"/>
          <w:b/>
          <w:sz w:val="66"/>
        </w:rPr>
      </w:pPr>
    </w:p>
    <w:p w14:paraId="3056009E" w14:textId="77777777" w:rsidR="00894070" w:rsidRDefault="009B7AFD">
      <w:pPr>
        <w:pStyle w:val="Heading7"/>
        <w:spacing w:before="511"/>
      </w:pPr>
      <w:r>
        <w:rPr>
          <w:color w:val="EA5B50"/>
        </w:rPr>
        <w:t>Overview</w:t>
      </w:r>
    </w:p>
    <w:p w14:paraId="6E627960" w14:textId="77777777" w:rsidR="00894070" w:rsidRDefault="009B7AFD">
      <w:pPr>
        <w:pStyle w:val="ListParagraph"/>
        <w:numPr>
          <w:ilvl w:val="1"/>
          <w:numId w:val="103"/>
        </w:numPr>
        <w:tabs>
          <w:tab w:val="left" w:pos="2141"/>
          <w:tab w:val="left" w:pos="2142"/>
        </w:tabs>
        <w:spacing w:before="146" w:line="206" w:lineRule="auto"/>
        <w:ind w:right="1794" w:hanging="340"/>
        <w:rPr>
          <w:sz w:val="20"/>
        </w:rPr>
      </w:pPr>
      <w:r>
        <w:rPr>
          <w:color w:val="231F20"/>
          <w:sz w:val="20"/>
        </w:rPr>
        <w:t>The</w:t>
      </w:r>
      <w:r>
        <w:rPr>
          <w:color w:val="231F20"/>
          <w:spacing w:val="-12"/>
          <w:sz w:val="20"/>
        </w:rPr>
        <w:t xml:space="preserve"> </w:t>
      </w:r>
      <w:r>
        <w:rPr>
          <w:color w:val="231F20"/>
          <w:sz w:val="20"/>
        </w:rPr>
        <w:t>criminal</w:t>
      </w:r>
      <w:r>
        <w:rPr>
          <w:color w:val="231F20"/>
          <w:spacing w:val="-12"/>
          <w:sz w:val="20"/>
        </w:rPr>
        <w:t xml:space="preserve"> </w:t>
      </w:r>
      <w:r>
        <w:rPr>
          <w:color w:val="231F20"/>
          <w:sz w:val="20"/>
        </w:rPr>
        <w:t>justice</w:t>
      </w:r>
      <w:r>
        <w:rPr>
          <w:color w:val="231F20"/>
          <w:spacing w:val="-11"/>
          <w:sz w:val="20"/>
        </w:rPr>
        <w:t xml:space="preserve"> </w:t>
      </w:r>
      <w:r>
        <w:rPr>
          <w:color w:val="231F20"/>
          <w:sz w:val="20"/>
        </w:rPr>
        <w:t>response</w:t>
      </w:r>
      <w:r>
        <w:rPr>
          <w:color w:val="231F20"/>
          <w:spacing w:val="-12"/>
          <w:sz w:val="20"/>
        </w:rPr>
        <w:t xml:space="preserve"> </w:t>
      </w:r>
      <w:r>
        <w:rPr>
          <w:color w:val="231F20"/>
          <w:sz w:val="20"/>
        </w:rPr>
        <w:t>to</w:t>
      </w:r>
      <w:r>
        <w:rPr>
          <w:color w:val="231F20"/>
          <w:spacing w:val="-11"/>
          <w:sz w:val="20"/>
        </w:rPr>
        <w:t xml:space="preserve"> </w:t>
      </w:r>
      <w:r>
        <w:rPr>
          <w:color w:val="231F20"/>
          <w:sz w:val="20"/>
        </w:rPr>
        <w:t>stalking</w:t>
      </w:r>
      <w:r>
        <w:rPr>
          <w:color w:val="231F20"/>
          <w:spacing w:val="-12"/>
          <w:sz w:val="20"/>
        </w:rPr>
        <w:t xml:space="preserve"> </w:t>
      </w:r>
      <w:r>
        <w:rPr>
          <w:color w:val="231F20"/>
          <w:sz w:val="20"/>
        </w:rPr>
        <w:t>is</w:t>
      </w:r>
      <w:r>
        <w:rPr>
          <w:color w:val="231F20"/>
          <w:spacing w:val="-12"/>
          <w:sz w:val="20"/>
        </w:rPr>
        <w:t xml:space="preserve"> </w:t>
      </w:r>
      <w:r>
        <w:rPr>
          <w:color w:val="231F20"/>
          <w:sz w:val="20"/>
        </w:rPr>
        <w:t>based</w:t>
      </w:r>
      <w:r>
        <w:rPr>
          <w:color w:val="231F20"/>
          <w:spacing w:val="-11"/>
          <w:sz w:val="20"/>
        </w:rPr>
        <w:t xml:space="preserve"> </w:t>
      </w:r>
      <w:r>
        <w:rPr>
          <w:color w:val="231F20"/>
          <w:sz w:val="20"/>
        </w:rPr>
        <w:t>on</w:t>
      </w:r>
      <w:r>
        <w:rPr>
          <w:color w:val="231F20"/>
          <w:spacing w:val="-12"/>
          <w:sz w:val="20"/>
        </w:rPr>
        <w:t xml:space="preserve"> </w:t>
      </w:r>
      <w:r>
        <w:rPr>
          <w:color w:val="231F20"/>
          <w:sz w:val="20"/>
        </w:rPr>
        <w:t>the</w:t>
      </w:r>
      <w:r>
        <w:rPr>
          <w:color w:val="231F20"/>
          <w:spacing w:val="-11"/>
          <w:sz w:val="20"/>
        </w:rPr>
        <w:t xml:space="preserve"> </w:t>
      </w:r>
      <w:r>
        <w:rPr>
          <w:color w:val="231F20"/>
          <w:sz w:val="20"/>
        </w:rPr>
        <w:t>stalking</w:t>
      </w:r>
      <w:r>
        <w:rPr>
          <w:color w:val="231F20"/>
          <w:spacing w:val="-12"/>
          <w:sz w:val="20"/>
        </w:rPr>
        <w:t xml:space="preserve"> </w:t>
      </w:r>
      <w:r>
        <w:rPr>
          <w:color w:val="231F20"/>
          <w:sz w:val="20"/>
        </w:rPr>
        <w:t>offence</w:t>
      </w:r>
      <w:r>
        <w:rPr>
          <w:color w:val="231F20"/>
          <w:spacing w:val="-12"/>
          <w:sz w:val="20"/>
        </w:rPr>
        <w:t xml:space="preserve"> </w:t>
      </w:r>
      <w:r>
        <w:rPr>
          <w:color w:val="231F20"/>
          <w:sz w:val="20"/>
        </w:rPr>
        <w:t>and offences</w:t>
      </w:r>
      <w:r>
        <w:rPr>
          <w:color w:val="231F20"/>
          <w:spacing w:val="-12"/>
          <w:sz w:val="20"/>
        </w:rPr>
        <w:t xml:space="preserve"> </w:t>
      </w:r>
      <w:r>
        <w:rPr>
          <w:color w:val="231F20"/>
          <w:sz w:val="20"/>
        </w:rPr>
        <w:t>relating</w:t>
      </w:r>
      <w:r>
        <w:rPr>
          <w:color w:val="231F20"/>
          <w:spacing w:val="-11"/>
          <w:sz w:val="20"/>
        </w:rPr>
        <w:t xml:space="preserve"> </w:t>
      </w:r>
      <w:r>
        <w:rPr>
          <w:color w:val="231F20"/>
          <w:sz w:val="20"/>
        </w:rPr>
        <w:t>to</w:t>
      </w:r>
      <w:r>
        <w:rPr>
          <w:color w:val="231F20"/>
          <w:spacing w:val="-11"/>
          <w:sz w:val="20"/>
        </w:rPr>
        <w:t xml:space="preserve"> </w:t>
      </w:r>
      <w:r>
        <w:rPr>
          <w:color w:val="231F20"/>
          <w:sz w:val="20"/>
        </w:rPr>
        <w:t>breaches</w:t>
      </w:r>
      <w:r>
        <w:rPr>
          <w:color w:val="231F20"/>
          <w:spacing w:val="-11"/>
          <w:sz w:val="20"/>
        </w:rPr>
        <w:t xml:space="preserve"> </w:t>
      </w:r>
      <w:r>
        <w:rPr>
          <w:color w:val="231F20"/>
          <w:sz w:val="20"/>
        </w:rPr>
        <w:t>of</w:t>
      </w:r>
      <w:r>
        <w:rPr>
          <w:color w:val="231F20"/>
          <w:spacing w:val="-11"/>
          <w:sz w:val="20"/>
        </w:rPr>
        <w:t xml:space="preserve"> </w:t>
      </w:r>
      <w:r>
        <w:rPr>
          <w:color w:val="231F20"/>
          <w:sz w:val="20"/>
        </w:rPr>
        <w:t>personal</w:t>
      </w:r>
      <w:r>
        <w:rPr>
          <w:color w:val="231F20"/>
          <w:spacing w:val="-11"/>
          <w:sz w:val="20"/>
        </w:rPr>
        <w:t xml:space="preserve"> </w:t>
      </w:r>
      <w:r>
        <w:rPr>
          <w:color w:val="231F20"/>
          <w:sz w:val="20"/>
        </w:rPr>
        <w:t>safety</w:t>
      </w:r>
      <w:r>
        <w:rPr>
          <w:color w:val="231F20"/>
          <w:spacing w:val="-11"/>
          <w:sz w:val="20"/>
        </w:rPr>
        <w:t xml:space="preserve"> </w:t>
      </w:r>
      <w:r>
        <w:rPr>
          <w:color w:val="231F20"/>
          <w:spacing w:val="-2"/>
          <w:sz w:val="20"/>
        </w:rPr>
        <w:t>intervention</w:t>
      </w:r>
      <w:r>
        <w:rPr>
          <w:color w:val="231F20"/>
          <w:spacing w:val="-11"/>
          <w:sz w:val="20"/>
        </w:rPr>
        <w:t xml:space="preserve"> </w:t>
      </w:r>
      <w:r>
        <w:rPr>
          <w:color w:val="231F20"/>
          <w:sz w:val="20"/>
        </w:rPr>
        <w:t>orders</w:t>
      </w:r>
      <w:r>
        <w:rPr>
          <w:color w:val="231F20"/>
          <w:spacing w:val="-11"/>
          <w:sz w:val="20"/>
        </w:rPr>
        <w:t xml:space="preserve"> </w:t>
      </w:r>
      <w:r>
        <w:rPr>
          <w:color w:val="231F20"/>
          <w:spacing w:val="-3"/>
          <w:sz w:val="20"/>
        </w:rPr>
        <w:t>(PSIOs).</w:t>
      </w:r>
    </w:p>
    <w:p w14:paraId="52D738C2" w14:textId="77777777" w:rsidR="00894070" w:rsidRDefault="009B7AFD">
      <w:pPr>
        <w:pStyle w:val="ListParagraph"/>
        <w:numPr>
          <w:ilvl w:val="1"/>
          <w:numId w:val="103"/>
        </w:numPr>
        <w:tabs>
          <w:tab w:val="left" w:pos="2141"/>
          <w:tab w:val="left" w:pos="2142"/>
        </w:tabs>
        <w:spacing w:before="55" w:line="259" w:lineRule="exact"/>
        <w:ind w:hanging="340"/>
        <w:rPr>
          <w:sz w:val="20"/>
        </w:rPr>
      </w:pPr>
      <w:r>
        <w:rPr>
          <w:color w:val="231F20"/>
          <w:sz w:val="20"/>
        </w:rPr>
        <w:t>The</w:t>
      </w:r>
      <w:r>
        <w:rPr>
          <w:color w:val="231F20"/>
          <w:spacing w:val="-6"/>
          <w:sz w:val="20"/>
        </w:rPr>
        <w:t xml:space="preserve"> </w:t>
      </w:r>
      <w:r>
        <w:rPr>
          <w:color w:val="231F20"/>
          <w:spacing w:val="-3"/>
          <w:sz w:val="20"/>
        </w:rPr>
        <w:t>core</w:t>
      </w:r>
      <w:r>
        <w:rPr>
          <w:color w:val="231F20"/>
          <w:spacing w:val="-5"/>
          <w:sz w:val="20"/>
        </w:rPr>
        <w:t xml:space="preserve"> </w:t>
      </w:r>
      <w:r>
        <w:rPr>
          <w:color w:val="231F20"/>
          <w:sz w:val="20"/>
        </w:rPr>
        <w:t>elements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stalking</w:t>
      </w:r>
      <w:r>
        <w:rPr>
          <w:color w:val="231F20"/>
          <w:spacing w:val="-5"/>
          <w:sz w:val="20"/>
        </w:rPr>
        <w:t xml:space="preserve"> </w:t>
      </w:r>
      <w:r>
        <w:rPr>
          <w:color w:val="231F20"/>
          <w:sz w:val="20"/>
        </w:rPr>
        <w:t>offence</w:t>
      </w:r>
      <w:r>
        <w:rPr>
          <w:color w:val="231F20"/>
          <w:spacing w:val="-5"/>
          <w:sz w:val="20"/>
        </w:rPr>
        <w:t xml:space="preserve"> </w:t>
      </w:r>
      <w:r>
        <w:rPr>
          <w:color w:val="231F20"/>
          <w:spacing w:val="-3"/>
          <w:sz w:val="20"/>
        </w:rPr>
        <w:t>are</w:t>
      </w:r>
      <w:r>
        <w:rPr>
          <w:color w:val="231F20"/>
          <w:spacing w:val="-5"/>
          <w:sz w:val="20"/>
        </w:rPr>
        <w:t xml:space="preserve"> </w:t>
      </w:r>
      <w:r>
        <w:rPr>
          <w:color w:val="231F20"/>
          <w:spacing w:val="-3"/>
          <w:sz w:val="20"/>
        </w:rPr>
        <w:t>appropriate</w:t>
      </w:r>
      <w:r>
        <w:rPr>
          <w:color w:val="231F20"/>
          <w:spacing w:val="-5"/>
          <w:sz w:val="20"/>
        </w:rPr>
        <w:t xml:space="preserve"> </w:t>
      </w:r>
      <w:r>
        <w:rPr>
          <w:color w:val="231F20"/>
          <w:sz w:val="20"/>
        </w:rPr>
        <w:t>and</w:t>
      </w:r>
      <w:r>
        <w:rPr>
          <w:color w:val="231F20"/>
          <w:spacing w:val="-5"/>
          <w:sz w:val="20"/>
        </w:rPr>
        <w:t xml:space="preserve"> </w:t>
      </w:r>
      <w:r>
        <w:rPr>
          <w:color w:val="231F20"/>
          <w:sz w:val="20"/>
        </w:rPr>
        <w:t>do</w:t>
      </w:r>
      <w:r>
        <w:rPr>
          <w:color w:val="231F20"/>
          <w:spacing w:val="-6"/>
          <w:sz w:val="20"/>
        </w:rPr>
        <w:t xml:space="preserve"> </w:t>
      </w:r>
      <w:r>
        <w:rPr>
          <w:color w:val="231F20"/>
          <w:sz w:val="20"/>
        </w:rPr>
        <w:t>not</w:t>
      </w:r>
      <w:r>
        <w:rPr>
          <w:color w:val="231F20"/>
          <w:spacing w:val="-5"/>
          <w:sz w:val="20"/>
        </w:rPr>
        <w:t xml:space="preserve"> </w:t>
      </w:r>
      <w:r>
        <w:rPr>
          <w:color w:val="231F20"/>
          <w:sz w:val="20"/>
        </w:rPr>
        <w:t>need</w:t>
      </w:r>
      <w:r>
        <w:rPr>
          <w:color w:val="231F20"/>
          <w:spacing w:val="-5"/>
          <w:sz w:val="20"/>
        </w:rPr>
        <w:t xml:space="preserve"> </w:t>
      </w:r>
      <w:r>
        <w:rPr>
          <w:color w:val="231F20"/>
          <w:sz w:val="20"/>
        </w:rPr>
        <w:t>to</w:t>
      </w:r>
    </w:p>
    <w:p w14:paraId="25A93F13" w14:textId="77777777" w:rsidR="00894070" w:rsidRDefault="009B7AFD">
      <w:pPr>
        <w:pStyle w:val="BodyText"/>
        <w:spacing w:line="259" w:lineRule="exact"/>
        <w:ind w:left="2141"/>
      </w:pPr>
      <w:r>
        <w:rPr>
          <w:color w:val="231F20"/>
        </w:rPr>
        <w:t>fundamentally change.</w:t>
      </w:r>
    </w:p>
    <w:p w14:paraId="68E57226" w14:textId="77777777" w:rsidR="00894070" w:rsidRDefault="009B7AFD">
      <w:pPr>
        <w:pStyle w:val="ListParagraph"/>
        <w:numPr>
          <w:ilvl w:val="1"/>
          <w:numId w:val="103"/>
        </w:numPr>
        <w:tabs>
          <w:tab w:val="left" w:pos="2141"/>
          <w:tab w:val="left" w:pos="2142"/>
        </w:tabs>
        <w:spacing w:before="48" w:line="259" w:lineRule="exact"/>
        <w:ind w:hanging="340"/>
        <w:rPr>
          <w:sz w:val="20"/>
        </w:rPr>
      </w:pPr>
      <w:r>
        <w:rPr>
          <w:color w:val="231F20"/>
          <w:spacing w:val="-5"/>
          <w:sz w:val="20"/>
        </w:rPr>
        <w:t>However,</w:t>
      </w:r>
      <w:r>
        <w:rPr>
          <w:color w:val="231F20"/>
          <w:spacing w:val="-6"/>
          <w:sz w:val="20"/>
        </w:rPr>
        <w:t xml:space="preserve"> </w:t>
      </w:r>
      <w:r>
        <w:rPr>
          <w:color w:val="231F20"/>
          <w:sz w:val="20"/>
        </w:rPr>
        <w:t>the</w:t>
      </w:r>
      <w:r>
        <w:rPr>
          <w:color w:val="231F20"/>
          <w:spacing w:val="-5"/>
          <w:sz w:val="20"/>
        </w:rPr>
        <w:t xml:space="preserve"> </w:t>
      </w:r>
      <w:r>
        <w:rPr>
          <w:color w:val="231F20"/>
          <w:sz w:val="20"/>
        </w:rPr>
        <w:t>offence</w:t>
      </w:r>
      <w:r>
        <w:rPr>
          <w:color w:val="231F20"/>
          <w:spacing w:val="-6"/>
          <w:sz w:val="20"/>
        </w:rPr>
        <w:t xml:space="preserve"> </w:t>
      </w:r>
      <w:r>
        <w:rPr>
          <w:color w:val="231F20"/>
          <w:sz w:val="20"/>
        </w:rPr>
        <w:t>should</w:t>
      </w:r>
      <w:r>
        <w:rPr>
          <w:color w:val="231F20"/>
          <w:spacing w:val="-5"/>
          <w:sz w:val="20"/>
        </w:rPr>
        <w:t xml:space="preserve"> </w:t>
      </w:r>
      <w:r>
        <w:rPr>
          <w:color w:val="231F20"/>
          <w:sz w:val="20"/>
        </w:rPr>
        <w:t>be</w:t>
      </w:r>
      <w:r>
        <w:rPr>
          <w:color w:val="231F20"/>
          <w:spacing w:val="-6"/>
          <w:sz w:val="20"/>
        </w:rPr>
        <w:t xml:space="preserve"> </w:t>
      </w:r>
      <w:r>
        <w:rPr>
          <w:color w:val="231F20"/>
          <w:sz w:val="20"/>
        </w:rPr>
        <w:t>amended</w:t>
      </w:r>
      <w:r>
        <w:rPr>
          <w:color w:val="231F20"/>
          <w:spacing w:val="-5"/>
          <w:sz w:val="20"/>
        </w:rPr>
        <w:t xml:space="preserve"> </w:t>
      </w:r>
      <w:r>
        <w:rPr>
          <w:color w:val="231F20"/>
          <w:sz w:val="20"/>
        </w:rPr>
        <w:t>to</w:t>
      </w:r>
      <w:r>
        <w:rPr>
          <w:color w:val="231F20"/>
          <w:spacing w:val="-6"/>
          <w:sz w:val="20"/>
        </w:rPr>
        <w:t xml:space="preserve"> </w:t>
      </w:r>
      <w:r>
        <w:rPr>
          <w:color w:val="231F20"/>
          <w:sz w:val="20"/>
        </w:rPr>
        <w:t>make</w:t>
      </w:r>
      <w:r>
        <w:rPr>
          <w:color w:val="231F20"/>
          <w:spacing w:val="-5"/>
          <w:sz w:val="20"/>
        </w:rPr>
        <w:t xml:space="preserve"> </w:t>
      </w:r>
      <w:r>
        <w:rPr>
          <w:color w:val="231F20"/>
          <w:sz w:val="20"/>
        </w:rPr>
        <w:t>it</w:t>
      </w:r>
      <w:r>
        <w:rPr>
          <w:color w:val="231F20"/>
          <w:spacing w:val="-6"/>
          <w:sz w:val="20"/>
        </w:rPr>
        <w:t xml:space="preserve"> </w:t>
      </w:r>
      <w:r>
        <w:rPr>
          <w:color w:val="231F20"/>
          <w:sz w:val="20"/>
        </w:rPr>
        <w:t>clear</w:t>
      </w:r>
      <w:r>
        <w:rPr>
          <w:color w:val="231F20"/>
          <w:spacing w:val="-5"/>
          <w:sz w:val="20"/>
        </w:rPr>
        <w:t xml:space="preserve"> </w:t>
      </w:r>
      <w:r>
        <w:rPr>
          <w:color w:val="231F20"/>
          <w:sz w:val="20"/>
        </w:rPr>
        <w:t>and</w:t>
      </w:r>
      <w:r>
        <w:rPr>
          <w:color w:val="231F20"/>
          <w:spacing w:val="-6"/>
          <w:sz w:val="20"/>
        </w:rPr>
        <w:t xml:space="preserve"> </w:t>
      </w:r>
      <w:r>
        <w:rPr>
          <w:color w:val="231F20"/>
          <w:sz w:val="20"/>
        </w:rPr>
        <w:t>more</w:t>
      </w:r>
      <w:r>
        <w:rPr>
          <w:color w:val="231F20"/>
          <w:spacing w:val="-5"/>
          <w:sz w:val="20"/>
        </w:rPr>
        <w:t xml:space="preserve"> </w:t>
      </w:r>
      <w:r>
        <w:rPr>
          <w:color w:val="231F20"/>
          <w:spacing w:val="-3"/>
          <w:sz w:val="20"/>
        </w:rPr>
        <w:t>readily</w:t>
      </w:r>
    </w:p>
    <w:p w14:paraId="45590920" w14:textId="77777777" w:rsidR="00894070" w:rsidRDefault="009B7AFD">
      <w:pPr>
        <w:pStyle w:val="BodyText"/>
        <w:spacing w:line="259" w:lineRule="exact"/>
        <w:ind w:left="2141"/>
      </w:pPr>
      <w:r>
        <w:rPr>
          <w:color w:val="231F20"/>
        </w:rPr>
        <w:t>understood.</w:t>
      </w:r>
    </w:p>
    <w:p w14:paraId="03BFEAFE" w14:textId="77777777" w:rsidR="00894070" w:rsidRDefault="009B7AFD">
      <w:pPr>
        <w:pStyle w:val="ListParagraph"/>
        <w:numPr>
          <w:ilvl w:val="1"/>
          <w:numId w:val="103"/>
        </w:numPr>
        <w:tabs>
          <w:tab w:val="left" w:pos="2141"/>
          <w:tab w:val="left" w:pos="2142"/>
        </w:tabs>
        <w:spacing w:before="47"/>
        <w:ind w:hanging="340"/>
        <w:rPr>
          <w:sz w:val="20"/>
        </w:rPr>
      </w:pPr>
      <w:r>
        <w:rPr>
          <w:color w:val="231F20"/>
          <w:sz w:val="20"/>
        </w:rPr>
        <w:t>There</w:t>
      </w:r>
      <w:r>
        <w:rPr>
          <w:color w:val="231F20"/>
          <w:spacing w:val="-6"/>
          <w:sz w:val="20"/>
        </w:rPr>
        <w:t xml:space="preserve"> </w:t>
      </w:r>
      <w:r>
        <w:rPr>
          <w:color w:val="231F20"/>
          <w:spacing w:val="-3"/>
          <w:sz w:val="20"/>
        </w:rPr>
        <w:t>are</w:t>
      </w:r>
      <w:r>
        <w:rPr>
          <w:color w:val="231F20"/>
          <w:spacing w:val="-5"/>
          <w:sz w:val="20"/>
        </w:rPr>
        <w:t xml:space="preserve"> </w:t>
      </w:r>
      <w:r>
        <w:rPr>
          <w:color w:val="231F20"/>
          <w:sz w:val="20"/>
        </w:rPr>
        <w:t>problems</w:t>
      </w:r>
      <w:r>
        <w:rPr>
          <w:color w:val="231F20"/>
          <w:spacing w:val="-5"/>
          <w:sz w:val="20"/>
        </w:rPr>
        <w:t xml:space="preserve"> </w:t>
      </w:r>
      <w:r>
        <w:rPr>
          <w:color w:val="231F20"/>
          <w:sz w:val="20"/>
        </w:rPr>
        <w:t>with</w:t>
      </w:r>
      <w:r>
        <w:rPr>
          <w:color w:val="231F20"/>
          <w:spacing w:val="-5"/>
          <w:sz w:val="20"/>
        </w:rPr>
        <w:t xml:space="preserve"> </w:t>
      </w:r>
      <w:r>
        <w:rPr>
          <w:color w:val="231F20"/>
          <w:spacing w:val="-3"/>
          <w:sz w:val="20"/>
        </w:rPr>
        <w:t>how</w:t>
      </w:r>
      <w:r>
        <w:rPr>
          <w:color w:val="231F20"/>
          <w:spacing w:val="-5"/>
          <w:sz w:val="20"/>
        </w:rPr>
        <w:t xml:space="preserve"> </w:t>
      </w:r>
      <w:r>
        <w:rPr>
          <w:color w:val="231F20"/>
          <w:sz w:val="20"/>
        </w:rPr>
        <w:t>the</w:t>
      </w:r>
      <w:r>
        <w:rPr>
          <w:color w:val="231F20"/>
          <w:spacing w:val="-5"/>
          <w:sz w:val="20"/>
        </w:rPr>
        <w:t xml:space="preserve"> </w:t>
      </w:r>
      <w:r>
        <w:rPr>
          <w:color w:val="231F20"/>
          <w:sz w:val="20"/>
        </w:rPr>
        <w:t>offence</w:t>
      </w:r>
      <w:r>
        <w:rPr>
          <w:color w:val="231F20"/>
          <w:spacing w:val="-5"/>
          <w:sz w:val="20"/>
        </w:rPr>
        <w:t xml:space="preserve"> </w:t>
      </w:r>
      <w:r>
        <w:rPr>
          <w:color w:val="231F20"/>
          <w:sz w:val="20"/>
        </w:rPr>
        <w:t>is</w:t>
      </w:r>
      <w:r>
        <w:rPr>
          <w:color w:val="231F20"/>
          <w:spacing w:val="-5"/>
          <w:sz w:val="20"/>
        </w:rPr>
        <w:t xml:space="preserve"> </w:t>
      </w:r>
      <w:r>
        <w:rPr>
          <w:color w:val="231F20"/>
          <w:sz w:val="20"/>
        </w:rPr>
        <w:t>applied</w:t>
      </w:r>
      <w:r>
        <w:rPr>
          <w:color w:val="231F20"/>
          <w:spacing w:val="-5"/>
          <w:sz w:val="20"/>
        </w:rPr>
        <w:t xml:space="preserve"> </w:t>
      </w:r>
      <w:r>
        <w:rPr>
          <w:color w:val="231F20"/>
          <w:sz w:val="20"/>
        </w:rPr>
        <w:t>in</w:t>
      </w:r>
      <w:r>
        <w:rPr>
          <w:color w:val="231F20"/>
          <w:spacing w:val="-5"/>
          <w:sz w:val="20"/>
        </w:rPr>
        <w:t xml:space="preserve"> </w:t>
      </w:r>
      <w:r>
        <w:rPr>
          <w:color w:val="231F20"/>
          <w:sz w:val="20"/>
        </w:rPr>
        <w:t>practice.</w:t>
      </w:r>
    </w:p>
    <w:p w14:paraId="74A6C7FE" w14:textId="77777777" w:rsidR="00894070" w:rsidRDefault="009B7AFD">
      <w:pPr>
        <w:pStyle w:val="ListParagraph"/>
        <w:numPr>
          <w:ilvl w:val="1"/>
          <w:numId w:val="103"/>
        </w:numPr>
        <w:tabs>
          <w:tab w:val="left" w:pos="2141"/>
          <w:tab w:val="left" w:pos="2142"/>
        </w:tabs>
        <w:spacing w:before="47"/>
        <w:ind w:hanging="340"/>
        <w:rPr>
          <w:sz w:val="20"/>
        </w:rPr>
      </w:pPr>
      <w:r>
        <w:rPr>
          <w:color w:val="231F20"/>
          <w:sz w:val="20"/>
        </w:rPr>
        <w:t xml:space="preserve">Police need guidance on </w:t>
      </w:r>
      <w:r>
        <w:rPr>
          <w:color w:val="231F20"/>
          <w:spacing w:val="-3"/>
          <w:sz w:val="20"/>
        </w:rPr>
        <w:t xml:space="preserve">how </w:t>
      </w:r>
      <w:r>
        <w:rPr>
          <w:color w:val="231F20"/>
          <w:sz w:val="20"/>
        </w:rPr>
        <w:t xml:space="preserve">to </w:t>
      </w:r>
      <w:r>
        <w:rPr>
          <w:color w:val="231F20"/>
          <w:spacing w:val="-3"/>
          <w:sz w:val="20"/>
        </w:rPr>
        <w:t xml:space="preserve">apply </w:t>
      </w:r>
      <w:r>
        <w:rPr>
          <w:color w:val="231F20"/>
          <w:sz w:val="20"/>
        </w:rPr>
        <w:t>the</w:t>
      </w:r>
      <w:r>
        <w:rPr>
          <w:color w:val="231F20"/>
          <w:spacing w:val="-29"/>
          <w:sz w:val="20"/>
        </w:rPr>
        <w:t xml:space="preserve"> </w:t>
      </w:r>
      <w:r>
        <w:rPr>
          <w:color w:val="231F20"/>
          <w:spacing w:val="-3"/>
          <w:sz w:val="20"/>
        </w:rPr>
        <w:t>offence.</w:t>
      </w:r>
    </w:p>
    <w:p w14:paraId="3D53648B" w14:textId="77777777" w:rsidR="00894070" w:rsidRDefault="009B7AFD">
      <w:pPr>
        <w:pStyle w:val="ListParagraph"/>
        <w:numPr>
          <w:ilvl w:val="1"/>
          <w:numId w:val="103"/>
        </w:numPr>
        <w:tabs>
          <w:tab w:val="left" w:pos="2141"/>
          <w:tab w:val="left" w:pos="2142"/>
        </w:tabs>
        <w:spacing w:before="48" w:line="259" w:lineRule="exact"/>
        <w:ind w:hanging="340"/>
        <w:rPr>
          <w:sz w:val="20"/>
        </w:rPr>
      </w:pPr>
      <w:r>
        <w:rPr>
          <w:color w:val="231F20"/>
          <w:sz w:val="20"/>
        </w:rPr>
        <w:t>Further</w:t>
      </w:r>
      <w:r>
        <w:rPr>
          <w:color w:val="231F20"/>
          <w:spacing w:val="-5"/>
          <w:sz w:val="20"/>
        </w:rPr>
        <w:t xml:space="preserve"> </w:t>
      </w:r>
      <w:r>
        <w:rPr>
          <w:color w:val="231F20"/>
          <w:spacing w:val="-3"/>
          <w:sz w:val="20"/>
        </w:rPr>
        <w:t>research</w:t>
      </w:r>
      <w:r>
        <w:rPr>
          <w:color w:val="231F20"/>
          <w:spacing w:val="-5"/>
          <w:sz w:val="20"/>
        </w:rPr>
        <w:t xml:space="preserve"> </w:t>
      </w:r>
      <w:r>
        <w:rPr>
          <w:color w:val="231F20"/>
          <w:sz w:val="20"/>
        </w:rPr>
        <w:t>is</w:t>
      </w:r>
      <w:r>
        <w:rPr>
          <w:color w:val="231F20"/>
          <w:spacing w:val="-5"/>
          <w:sz w:val="20"/>
        </w:rPr>
        <w:t xml:space="preserve"> </w:t>
      </w:r>
      <w:r>
        <w:rPr>
          <w:color w:val="231F20"/>
          <w:sz w:val="20"/>
        </w:rPr>
        <w:t>needed</w:t>
      </w:r>
      <w:r>
        <w:rPr>
          <w:color w:val="231F20"/>
          <w:spacing w:val="-4"/>
          <w:sz w:val="20"/>
        </w:rPr>
        <w:t xml:space="preserve"> </w:t>
      </w:r>
      <w:r>
        <w:rPr>
          <w:color w:val="231F20"/>
          <w:sz w:val="20"/>
        </w:rPr>
        <w:t>to</w:t>
      </w:r>
      <w:r>
        <w:rPr>
          <w:color w:val="231F20"/>
          <w:spacing w:val="-5"/>
          <w:sz w:val="20"/>
        </w:rPr>
        <w:t xml:space="preserve"> </w:t>
      </w:r>
      <w:r>
        <w:rPr>
          <w:color w:val="231F20"/>
          <w:sz w:val="20"/>
        </w:rPr>
        <w:t>understand</w:t>
      </w:r>
      <w:r>
        <w:rPr>
          <w:color w:val="231F20"/>
          <w:spacing w:val="-5"/>
          <w:sz w:val="20"/>
        </w:rPr>
        <w:t xml:space="preserve"> </w:t>
      </w:r>
      <w:r>
        <w:rPr>
          <w:color w:val="231F20"/>
          <w:spacing w:val="-3"/>
          <w:sz w:val="20"/>
        </w:rPr>
        <w:t>why</w:t>
      </w:r>
      <w:r>
        <w:rPr>
          <w:color w:val="231F20"/>
          <w:spacing w:val="-4"/>
          <w:sz w:val="20"/>
        </w:rPr>
        <w:t xml:space="preserve"> </w:t>
      </w:r>
      <w:r>
        <w:rPr>
          <w:color w:val="231F20"/>
          <w:sz w:val="20"/>
        </w:rPr>
        <w:t>stalking</w:t>
      </w:r>
      <w:r>
        <w:rPr>
          <w:color w:val="231F20"/>
          <w:spacing w:val="-5"/>
          <w:sz w:val="20"/>
        </w:rPr>
        <w:t xml:space="preserve"> </w:t>
      </w:r>
      <w:r>
        <w:rPr>
          <w:color w:val="231F20"/>
          <w:sz w:val="20"/>
        </w:rPr>
        <w:t>cases</w:t>
      </w:r>
      <w:r>
        <w:rPr>
          <w:color w:val="231F20"/>
          <w:spacing w:val="-5"/>
          <w:sz w:val="20"/>
        </w:rPr>
        <w:t xml:space="preserve"> </w:t>
      </w:r>
      <w:r>
        <w:rPr>
          <w:color w:val="231F20"/>
          <w:sz w:val="20"/>
        </w:rPr>
        <w:t>do</w:t>
      </w:r>
      <w:r>
        <w:rPr>
          <w:color w:val="231F20"/>
          <w:spacing w:val="-5"/>
          <w:sz w:val="20"/>
        </w:rPr>
        <w:t xml:space="preserve"> </w:t>
      </w:r>
      <w:r>
        <w:rPr>
          <w:color w:val="231F20"/>
          <w:sz w:val="20"/>
        </w:rPr>
        <w:t>not</w:t>
      </w:r>
      <w:r>
        <w:rPr>
          <w:color w:val="231F20"/>
          <w:spacing w:val="-4"/>
          <w:sz w:val="20"/>
        </w:rPr>
        <w:t xml:space="preserve"> </w:t>
      </w:r>
      <w:r>
        <w:rPr>
          <w:color w:val="231F20"/>
          <w:spacing w:val="-3"/>
          <w:sz w:val="20"/>
        </w:rPr>
        <w:t>progress</w:t>
      </w:r>
      <w:r>
        <w:rPr>
          <w:color w:val="231F20"/>
          <w:spacing w:val="-5"/>
          <w:sz w:val="20"/>
        </w:rPr>
        <w:t xml:space="preserve"> </w:t>
      </w:r>
      <w:r>
        <w:rPr>
          <w:color w:val="231F20"/>
          <w:spacing w:val="-3"/>
          <w:sz w:val="20"/>
        </w:rPr>
        <w:t>from</w:t>
      </w:r>
    </w:p>
    <w:p w14:paraId="4344F958" w14:textId="77777777" w:rsidR="00894070" w:rsidRDefault="009B7AFD">
      <w:pPr>
        <w:pStyle w:val="BodyText"/>
        <w:spacing w:line="259" w:lineRule="exact"/>
        <w:ind w:left="2141"/>
      </w:pPr>
      <w:r>
        <w:rPr>
          <w:color w:val="231F20"/>
        </w:rPr>
        <w:t>when they are reported and through other stages of the criminal justice system.</w:t>
      </w:r>
    </w:p>
    <w:p w14:paraId="481E7E6F" w14:textId="77777777" w:rsidR="00894070" w:rsidRDefault="009B7AFD">
      <w:pPr>
        <w:pStyle w:val="ListParagraph"/>
        <w:numPr>
          <w:ilvl w:val="1"/>
          <w:numId w:val="103"/>
        </w:numPr>
        <w:tabs>
          <w:tab w:val="left" w:pos="2141"/>
          <w:tab w:val="left" w:pos="2142"/>
        </w:tabs>
        <w:spacing w:before="80" w:line="206" w:lineRule="auto"/>
        <w:ind w:right="1535" w:hanging="340"/>
        <w:rPr>
          <w:sz w:val="20"/>
        </w:rPr>
      </w:pPr>
      <w:r>
        <w:rPr>
          <w:color w:val="231F20"/>
          <w:sz w:val="20"/>
        </w:rPr>
        <w:t>There</w:t>
      </w:r>
      <w:r>
        <w:rPr>
          <w:color w:val="231F20"/>
          <w:spacing w:val="-13"/>
          <w:sz w:val="20"/>
        </w:rPr>
        <w:t xml:space="preserve"> </w:t>
      </w:r>
      <w:r>
        <w:rPr>
          <w:color w:val="231F20"/>
          <w:sz w:val="20"/>
        </w:rPr>
        <w:t>is</w:t>
      </w:r>
      <w:r>
        <w:rPr>
          <w:color w:val="231F20"/>
          <w:spacing w:val="-13"/>
          <w:sz w:val="20"/>
        </w:rPr>
        <w:t xml:space="preserve"> </w:t>
      </w:r>
      <w:r>
        <w:rPr>
          <w:color w:val="231F20"/>
          <w:sz w:val="20"/>
        </w:rPr>
        <w:t>no</w:t>
      </w:r>
      <w:r>
        <w:rPr>
          <w:color w:val="231F20"/>
          <w:spacing w:val="-13"/>
          <w:sz w:val="20"/>
        </w:rPr>
        <w:t xml:space="preserve"> </w:t>
      </w:r>
      <w:r>
        <w:rPr>
          <w:color w:val="231F20"/>
          <w:sz w:val="20"/>
        </w:rPr>
        <w:t>need</w:t>
      </w:r>
      <w:r>
        <w:rPr>
          <w:color w:val="231F20"/>
          <w:spacing w:val="-12"/>
          <w:sz w:val="20"/>
        </w:rPr>
        <w:t xml:space="preserve"> </w:t>
      </w:r>
      <w:r>
        <w:rPr>
          <w:color w:val="231F20"/>
          <w:spacing w:val="-3"/>
          <w:sz w:val="20"/>
        </w:rPr>
        <w:t>for</w:t>
      </w:r>
      <w:r>
        <w:rPr>
          <w:color w:val="231F20"/>
          <w:spacing w:val="-13"/>
          <w:sz w:val="20"/>
        </w:rPr>
        <w:t xml:space="preserve"> </w:t>
      </w:r>
      <w:r>
        <w:rPr>
          <w:color w:val="231F20"/>
          <w:sz w:val="20"/>
        </w:rPr>
        <w:t>new</w:t>
      </w:r>
      <w:r>
        <w:rPr>
          <w:color w:val="231F20"/>
          <w:spacing w:val="-13"/>
          <w:sz w:val="20"/>
        </w:rPr>
        <w:t xml:space="preserve"> </w:t>
      </w:r>
      <w:r>
        <w:rPr>
          <w:color w:val="231F20"/>
          <w:sz w:val="20"/>
        </w:rPr>
        <w:t>breach</w:t>
      </w:r>
      <w:r>
        <w:rPr>
          <w:color w:val="231F20"/>
          <w:spacing w:val="-12"/>
          <w:sz w:val="20"/>
        </w:rPr>
        <w:t xml:space="preserve"> </w:t>
      </w:r>
      <w:r>
        <w:rPr>
          <w:color w:val="231F20"/>
          <w:sz w:val="20"/>
        </w:rPr>
        <w:t>offences</w:t>
      </w:r>
      <w:r>
        <w:rPr>
          <w:color w:val="231F20"/>
          <w:spacing w:val="-13"/>
          <w:sz w:val="20"/>
        </w:rPr>
        <w:t xml:space="preserve"> </w:t>
      </w:r>
      <w:r>
        <w:rPr>
          <w:color w:val="231F20"/>
          <w:sz w:val="20"/>
        </w:rPr>
        <w:t>under</w:t>
      </w:r>
      <w:r>
        <w:rPr>
          <w:color w:val="231F20"/>
          <w:spacing w:val="-13"/>
          <w:sz w:val="20"/>
        </w:rPr>
        <w:t xml:space="preserve"> </w:t>
      </w:r>
      <w:r>
        <w:rPr>
          <w:color w:val="231F20"/>
          <w:sz w:val="20"/>
        </w:rPr>
        <w:t>the</w:t>
      </w:r>
      <w:r>
        <w:rPr>
          <w:color w:val="231F20"/>
          <w:spacing w:val="-12"/>
          <w:sz w:val="20"/>
        </w:rPr>
        <w:t xml:space="preserve"> </w:t>
      </w:r>
      <w:r>
        <w:rPr>
          <w:i/>
          <w:color w:val="231F20"/>
          <w:sz w:val="20"/>
        </w:rPr>
        <w:t>Personal</w:t>
      </w:r>
      <w:r>
        <w:rPr>
          <w:i/>
          <w:color w:val="231F20"/>
          <w:spacing w:val="-13"/>
          <w:sz w:val="20"/>
        </w:rPr>
        <w:t xml:space="preserve"> </w:t>
      </w:r>
      <w:r>
        <w:rPr>
          <w:i/>
          <w:color w:val="231F20"/>
          <w:sz w:val="20"/>
        </w:rPr>
        <w:t>Safety</w:t>
      </w:r>
      <w:r>
        <w:rPr>
          <w:i/>
          <w:color w:val="231F20"/>
          <w:spacing w:val="-12"/>
          <w:sz w:val="20"/>
        </w:rPr>
        <w:t xml:space="preserve"> </w:t>
      </w:r>
      <w:r>
        <w:rPr>
          <w:i/>
          <w:color w:val="231F20"/>
          <w:sz w:val="20"/>
        </w:rPr>
        <w:t xml:space="preserve">Intervention Orders Act </w:t>
      </w:r>
      <w:r>
        <w:rPr>
          <w:i/>
          <w:color w:val="231F20"/>
          <w:spacing w:val="-3"/>
          <w:sz w:val="20"/>
        </w:rPr>
        <w:t xml:space="preserve">2010 </w:t>
      </w:r>
      <w:r>
        <w:rPr>
          <w:color w:val="231F20"/>
          <w:sz w:val="20"/>
        </w:rPr>
        <w:t xml:space="preserve">(Vic). But Victoria Police should </w:t>
      </w:r>
      <w:r>
        <w:rPr>
          <w:color w:val="231F20"/>
          <w:spacing w:val="-4"/>
          <w:sz w:val="20"/>
        </w:rPr>
        <w:t xml:space="preserve">improve </w:t>
      </w:r>
      <w:r>
        <w:rPr>
          <w:color w:val="231F20"/>
          <w:spacing w:val="-3"/>
          <w:sz w:val="20"/>
        </w:rPr>
        <w:t xml:space="preserve">how </w:t>
      </w:r>
      <w:r>
        <w:rPr>
          <w:color w:val="231F20"/>
          <w:sz w:val="20"/>
        </w:rPr>
        <w:t xml:space="preserve">they respond to breaches. This should include explaining to victim survivors </w:t>
      </w:r>
      <w:r>
        <w:rPr>
          <w:color w:val="231F20"/>
          <w:spacing w:val="-3"/>
          <w:sz w:val="20"/>
        </w:rPr>
        <w:t xml:space="preserve">why </w:t>
      </w:r>
      <w:r>
        <w:rPr>
          <w:color w:val="231F20"/>
          <w:sz w:val="20"/>
        </w:rPr>
        <w:t xml:space="preserve">they </w:t>
      </w:r>
      <w:r>
        <w:rPr>
          <w:color w:val="231F20"/>
          <w:spacing w:val="-4"/>
          <w:sz w:val="20"/>
        </w:rPr>
        <w:t xml:space="preserve">have </w:t>
      </w:r>
      <w:r>
        <w:rPr>
          <w:color w:val="231F20"/>
          <w:sz w:val="20"/>
        </w:rPr>
        <w:t>not responded to an alleged</w:t>
      </w:r>
      <w:r>
        <w:rPr>
          <w:color w:val="231F20"/>
          <w:spacing w:val="-18"/>
          <w:sz w:val="20"/>
        </w:rPr>
        <w:t xml:space="preserve"> </w:t>
      </w:r>
      <w:r>
        <w:rPr>
          <w:color w:val="231F20"/>
          <w:sz w:val="20"/>
        </w:rPr>
        <w:t>breach.</w:t>
      </w:r>
    </w:p>
    <w:p w14:paraId="54E53D84" w14:textId="77777777" w:rsidR="00894070" w:rsidRDefault="009B7AFD">
      <w:pPr>
        <w:pStyle w:val="ListParagraph"/>
        <w:numPr>
          <w:ilvl w:val="1"/>
          <w:numId w:val="103"/>
        </w:numPr>
        <w:tabs>
          <w:tab w:val="left" w:pos="2141"/>
          <w:tab w:val="left" w:pos="2142"/>
        </w:tabs>
        <w:spacing w:before="57" w:line="259" w:lineRule="exact"/>
        <w:ind w:hanging="340"/>
        <w:rPr>
          <w:sz w:val="20"/>
        </w:rPr>
      </w:pPr>
      <w:r>
        <w:rPr>
          <w:color w:val="231F20"/>
          <w:sz w:val="20"/>
        </w:rPr>
        <w:t>People</w:t>
      </w:r>
      <w:r>
        <w:rPr>
          <w:color w:val="231F20"/>
          <w:spacing w:val="-5"/>
          <w:sz w:val="20"/>
        </w:rPr>
        <w:t xml:space="preserve"> </w:t>
      </w:r>
      <w:r>
        <w:rPr>
          <w:color w:val="231F20"/>
          <w:sz w:val="20"/>
        </w:rPr>
        <w:t>who</w:t>
      </w:r>
      <w:r>
        <w:rPr>
          <w:color w:val="231F20"/>
          <w:spacing w:val="-5"/>
          <w:sz w:val="20"/>
        </w:rPr>
        <w:t xml:space="preserve"> </w:t>
      </w:r>
      <w:r>
        <w:rPr>
          <w:color w:val="231F20"/>
          <w:sz w:val="20"/>
        </w:rPr>
        <w:t>experience</w:t>
      </w:r>
      <w:r>
        <w:rPr>
          <w:color w:val="231F20"/>
          <w:spacing w:val="-5"/>
          <w:sz w:val="20"/>
        </w:rPr>
        <w:t xml:space="preserve"> </w:t>
      </w:r>
      <w:r>
        <w:rPr>
          <w:color w:val="231F20"/>
          <w:sz w:val="20"/>
        </w:rPr>
        <w:t>stalking</w:t>
      </w:r>
      <w:r>
        <w:rPr>
          <w:color w:val="231F20"/>
          <w:spacing w:val="-5"/>
          <w:sz w:val="20"/>
        </w:rPr>
        <w:t xml:space="preserve"> </w:t>
      </w:r>
      <w:r>
        <w:rPr>
          <w:color w:val="231F20"/>
          <w:sz w:val="20"/>
        </w:rPr>
        <w:t>should</w:t>
      </w:r>
      <w:r>
        <w:rPr>
          <w:color w:val="231F20"/>
          <w:spacing w:val="-5"/>
          <w:sz w:val="20"/>
        </w:rPr>
        <w:t xml:space="preserve"> </w:t>
      </w:r>
      <w:r>
        <w:rPr>
          <w:color w:val="231F20"/>
          <w:sz w:val="20"/>
        </w:rPr>
        <w:t>be</w:t>
      </w:r>
      <w:r>
        <w:rPr>
          <w:color w:val="231F20"/>
          <w:spacing w:val="-5"/>
          <w:sz w:val="20"/>
        </w:rPr>
        <w:t xml:space="preserve"> </w:t>
      </w:r>
      <w:r>
        <w:rPr>
          <w:color w:val="231F20"/>
          <w:spacing w:val="-3"/>
          <w:sz w:val="20"/>
        </w:rPr>
        <w:t>provided</w:t>
      </w:r>
      <w:r>
        <w:rPr>
          <w:color w:val="231F20"/>
          <w:spacing w:val="-5"/>
          <w:sz w:val="20"/>
        </w:rPr>
        <w:t xml:space="preserve"> </w:t>
      </w:r>
      <w:r>
        <w:rPr>
          <w:color w:val="231F20"/>
          <w:sz w:val="20"/>
        </w:rPr>
        <w:t>with</w:t>
      </w:r>
      <w:r>
        <w:rPr>
          <w:color w:val="231F20"/>
          <w:spacing w:val="-5"/>
          <w:sz w:val="20"/>
        </w:rPr>
        <w:t xml:space="preserve"> </w:t>
      </w:r>
      <w:r>
        <w:rPr>
          <w:color w:val="231F20"/>
          <w:sz w:val="20"/>
        </w:rPr>
        <w:t>more</w:t>
      </w:r>
      <w:r>
        <w:rPr>
          <w:color w:val="231F20"/>
          <w:spacing w:val="-5"/>
          <w:sz w:val="20"/>
        </w:rPr>
        <w:t xml:space="preserve"> </w:t>
      </w:r>
      <w:r>
        <w:rPr>
          <w:color w:val="231F20"/>
          <w:spacing w:val="-3"/>
          <w:sz w:val="20"/>
        </w:rPr>
        <w:t>protections</w:t>
      </w:r>
      <w:r>
        <w:rPr>
          <w:color w:val="231F20"/>
          <w:spacing w:val="-5"/>
          <w:sz w:val="20"/>
        </w:rPr>
        <w:t xml:space="preserve"> </w:t>
      </w:r>
      <w:r>
        <w:rPr>
          <w:color w:val="231F20"/>
          <w:sz w:val="20"/>
        </w:rPr>
        <w:t>in</w:t>
      </w:r>
    </w:p>
    <w:p w14:paraId="7975DEF2" w14:textId="77777777" w:rsidR="00894070" w:rsidRDefault="009B7AFD">
      <w:pPr>
        <w:pStyle w:val="BodyText"/>
        <w:spacing w:line="259" w:lineRule="exact"/>
        <w:ind w:left="2141"/>
      </w:pPr>
      <w:r>
        <w:rPr>
          <w:color w:val="231F20"/>
        </w:rPr>
        <w:t>criminal proceedings.</w:t>
      </w:r>
    </w:p>
    <w:p w14:paraId="39F6DCA1" w14:textId="77777777" w:rsidR="00894070" w:rsidRDefault="009B7AFD">
      <w:pPr>
        <w:pStyle w:val="ListParagraph"/>
        <w:numPr>
          <w:ilvl w:val="1"/>
          <w:numId w:val="103"/>
        </w:numPr>
        <w:tabs>
          <w:tab w:val="left" w:pos="2141"/>
          <w:tab w:val="left" w:pos="2142"/>
        </w:tabs>
        <w:spacing w:before="80" w:line="206" w:lineRule="auto"/>
        <w:ind w:right="1385" w:hanging="340"/>
        <w:rPr>
          <w:sz w:val="20"/>
        </w:rPr>
      </w:pPr>
      <w:r>
        <w:rPr>
          <w:color w:val="231F20"/>
          <w:sz w:val="20"/>
        </w:rPr>
        <w:t>They</w:t>
      </w:r>
      <w:r>
        <w:rPr>
          <w:color w:val="231F20"/>
          <w:spacing w:val="-10"/>
          <w:sz w:val="20"/>
        </w:rPr>
        <w:t xml:space="preserve"> </w:t>
      </w:r>
      <w:r>
        <w:rPr>
          <w:color w:val="231F20"/>
          <w:sz w:val="20"/>
        </w:rPr>
        <w:t>should</w:t>
      </w:r>
      <w:r>
        <w:rPr>
          <w:color w:val="231F20"/>
          <w:spacing w:val="-9"/>
          <w:sz w:val="20"/>
        </w:rPr>
        <w:t xml:space="preserve"> </w:t>
      </w:r>
      <w:r>
        <w:rPr>
          <w:color w:val="231F20"/>
          <w:spacing w:val="-4"/>
          <w:sz w:val="20"/>
        </w:rPr>
        <w:t>have</w:t>
      </w:r>
      <w:r>
        <w:rPr>
          <w:color w:val="231F20"/>
          <w:spacing w:val="-9"/>
          <w:sz w:val="20"/>
        </w:rPr>
        <w:t xml:space="preserve"> </w:t>
      </w:r>
      <w:r>
        <w:rPr>
          <w:color w:val="231F20"/>
          <w:sz w:val="20"/>
        </w:rPr>
        <w:t>access</w:t>
      </w:r>
      <w:r>
        <w:rPr>
          <w:color w:val="231F20"/>
          <w:spacing w:val="-10"/>
          <w:sz w:val="20"/>
        </w:rPr>
        <w:t xml:space="preserve"> </w:t>
      </w:r>
      <w:r>
        <w:rPr>
          <w:color w:val="231F20"/>
          <w:sz w:val="20"/>
        </w:rPr>
        <w:t>to</w:t>
      </w:r>
      <w:r>
        <w:rPr>
          <w:color w:val="231F20"/>
          <w:spacing w:val="-9"/>
          <w:sz w:val="20"/>
        </w:rPr>
        <w:t xml:space="preserve"> </w:t>
      </w:r>
      <w:r>
        <w:rPr>
          <w:color w:val="231F20"/>
          <w:spacing w:val="-3"/>
          <w:sz w:val="20"/>
        </w:rPr>
        <w:t>alternative</w:t>
      </w:r>
      <w:r>
        <w:rPr>
          <w:color w:val="231F20"/>
          <w:spacing w:val="-9"/>
          <w:sz w:val="20"/>
        </w:rPr>
        <w:t xml:space="preserve"> </w:t>
      </w:r>
      <w:r>
        <w:rPr>
          <w:color w:val="231F20"/>
          <w:sz w:val="20"/>
        </w:rPr>
        <w:t>arrangements</w:t>
      </w:r>
      <w:r>
        <w:rPr>
          <w:color w:val="231F20"/>
          <w:spacing w:val="-9"/>
          <w:sz w:val="20"/>
        </w:rPr>
        <w:t xml:space="preserve"> </w:t>
      </w:r>
      <w:r>
        <w:rPr>
          <w:color w:val="231F20"/>
          <w:sz w:val="20"/>
        </w:rPr>
        <w:t>that</w:t>
      </w:r>
      <w:r>
        <w:rPr>
          <w:color w:val="231F20"/>
          <w:spacing w:val="-10"/>
          <w:sz w:val="20"/>
        </w:rPr>
        <w:t xml:space="preserve"> </w:t>
      </w:r>
      <w:r>
        <w:rPr>
          <w:color w:val="231F20"/>
          <w:sz w:val="20"/>
        </w:rPr>
        <w:t>make</w:t>
      </w:r>
      <w:r>
        <w:rPr>
          <w:color w:val="231F20"/>
          <w:spacing w:val="-9"/>
          <w:sz w:val="20"/>
        </w:rPr>
        <w:t xml:space="preserve"> </w:t>
      </w:r>
      <w:r>
        <w:rPr>
          <w:color w:val="231F20"/>
          <w:sz w:val="20"/>
        </w:rPr>
        <w:t>it</w:t>
      </w:r>
      <w:r>
        <w:rPr>
          <w:color w:val="231F20"/>
          <w:spacing w:val="-9"/>
          <w:sz w:val="20"/>
        </w:rPr>
        <w:t xml:space="preserve"> </w:t>
      </w:r>
      <w:r>
        <w:rPr>
          <w:color w:val="231F20"/>
          <w:sz w:val="20"/>
        </w:rPr>
        <w:t>easier</w:t>
      </w:r>
      <w:r>
        <w:rPr>
          <w:color w:val="231F20"/>
          <w:spacing w:val="-10"/>
          <w:sz w:val="20"/>
        </w:rPr>
        <w:t xml:space="preserve"> </w:t>
      </w:r>
      <w:r>
        <w:rPr>
          <w:color w:val="231F20"/>
          <w:sz w:val="20"/>
        </w:rPr>
        <w:t>and</w:t>
      </w:r>
      <w:r>
        <w:rPr>
          <w:color w:val="231F20"/>
          <w:spacing w:val="-9"/>
          <w:sz w:val="20"/>
        </w:rPr>
        <w:t xml:space="preserve"> </w:t>
      </w:r>
      <w:r>
        <w:rPr>
          <w:color w:val="231F20"/>
          <w:sz w:val="20"/>
        </w:rPr>
        <w:t>less traumatic</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give</w:t>
      </w:r>
      <w:r>
        <w:rPr>
          <w:color w:val="231F20"/>
          <w:spacing w:val="-5"/>
          <w:sz w:val="20"/>
        </w:rPr>
        <w:t xml:space="preserve"> </w:t>
      </w:r>
      <w:r>
        <w:rPr>
          <w:color w:val="231F20"/>
          <w:sz w:val="20"/>
        </w:rPr>
        <w:t>their</w:t>
      </w:r>
      <w:r>
        <w:rPr>
          <w:color w:val="231F20"/>
          <w:spacing w:val="-5"/>
          <w:sz w:val="20"/>
        </w:rPr>
        <w:t xml:space="preserve"> </w:t>
      </w:r>
      <w:r>
        <w:rPr>
          <w:color w:val="231F20"/>
          <w:sz w:val="20"/>
        </w:rPr>
        <w:t>evidence</w:t>
      </w:r>
      <w:r>
        <w:rPr>
          <w:color w:val="231F20"/>
          <w:spacing w:val="-5"/>
          <w:sz w:val="20"/>
        </w:rPr>
        <w:t xml:space="preserve"> </w:t>
      </w:r>
      <w:r>
        <w:rPr>
          <w:color w:val="231F20"/>
          <w:sz w:val="20"/>
        </w:rPr>
        <w:t>than</w:t>
      </w:r>
      <w:r>
        <w:rPr>
          <w:color w:val="231F20"/>
          <w:spacing w:val="-5"/>
          <w:sz w:val="20"/>
        </w:rPr>
        <w:t xml:space="preserve"> </w:t>
      </w:r>
      <w:r>
        <w:rPr>
          <w:color w:val="231F20"/>
          <w:sz w:val="20"/>
        </w:rPr>
        <w:t>is</w:t>
      </w:r>
      <w:r>
        <w:rPr>
          <w:color w:val="231F20"/>
          <w:spacing w:val="-5"/>
          <w:sz w:val="20"/>
        </w:rPr>
        <w:t xml:space="preserve"> </w:t>
      </w:r>
      <w:r>
        <w:rPr>
          <w:color w:val="231F20"/>
          <w:spacing w:val="-3"/>
          <w:sz w:val="20"/>
        </w:rPr>
        <w:t>currently</w:t>
      </w:r>
      <w:r>
        <w:rPr>
          <w:color w:val="231F20"/>
          <w:spacing w:val="-5"/>
          <w:sz w:val="20"/>
        </w:rPr>
        <w:t xml:space="preserve"> </w:t>
      </w:r>
      <w:r>
        <w:rPr>
          <w:color w:val="231F20"/>
          <w:sz w:val="20"/>
        </w:rPr>
        <w:t>the</w:t>
      </w:r>
      <w:r>
        <w:rPr>
          <w:color w:val="231F20"/>
          <w:spacing w:val="-5"/>
          <w:sz w:val="20"/>
        </w:rPr>
        <w:t xml:space="preserve"> </w:t>
      </w:r>
      <w:r>
        <w:rPr>
          <w:color w:val="231F20"/>
          <w:sz w:val="20"/>
        </w:rPr>
        <w:t>case.</w:t>
      </w:r>
    </w:p>
    <w:p w14:paraId="4E7AE9EC" w14:textId="77777777" w:rsidR="00894070" w:rsidRDefault="009B7AFD">
      <w:pPr>
        <w:pStyle w:val="ListParagraph"/>
        <w:numPr>
          <w:ilvl w:val="1"/>
          <w:numId w:val="103"/>
        </w:numPr>
        <w:tabs>
          <w:tab w:val="left" w:pos="2141"/>
          <w:tab w:val="left" w:pos="2142"/>
        </w:tabs>
        <w:spacing w:before="55"/>
        <w:ind w:hanging="340"/>
        <w:rPr>
          <w:sz w:val="20"/>
        </w:rPr>
      </w:pPr>
      <w:r>
        <w:rPr>
          <w:color w:val="231F20"/>
          <w:sz w:val="20"/>
        </w:rPr>
        <w:t>Court</w:t>
      </w:r>
      <w:r>
        <w:rPr>
          <w:color w:val="231F20"/>
          <w:spacing w:val="-5"/>
          <w:sz w:val="20"/>
        </w:rPr>
        <w:t xml:space="preserve"> </w:t>
      </w:r>
      <w:r>
        <w:rPr>
          <w:color w:val="231F20"/>
          <w:spacing w:val="-3"/>
          <w:sz w:val="20"/>
        </w:rPr>
        <w:t>infrastructure</w:t>
      </w:r>
      <w:r>
        <w:rPr>
          <w:color w:val="231F20"/>
          <w:spacing w:val="-5"/>
          <w:sz w:val="20"/>
        </w:rPr>
        <w:t xml:space="preserve"> </w:t>
      </w:r>
      <w:r>
        <w:rPr>
          <w:color w:val="231F20"/>
          <w:sz w:val="20"/>
        </w:rPr>
        <w:t>and</w:t>
      </w:r>
      <w:r>
        <w:rPr>
          <w:color w:val="231F20"/>
          <w:spacing w:val="-5"/>
          <w:sz w:val="20"/>
        </w:rPr>
        <w:t xml:space="preserve"> </w:t>
      </w:r>
      <w:r>
        <w:rPr>
          <w:color w:val="231F20"/>
          <w:sz w:val="20"/>
        </w:rPr>
        <w:t>facilities</w:t>
      </w:r>
      <w:r>
        <w:rPr>
          <w:color w:val="231F20"/>
          <w:spacing w:val="-5"/>
          <w:sz w:val="20"/>
        </w:rPr>
        <w:t xml:space="preserve"> </w:t>
      </w:r>
      <w:r>
        <w:rPr>
          <w:color w:val="231F20"/>
          <w:sz w:val="20"/>
        </w:rPr>
        <w:t>should</w:t>
      </w:r>
      <w:r>
        <w:rPr>
          <w:color w:val="231F20"/>
          <w:spacing w:val="-5"/>
          <w:sz w:val="20"/>
        </w:rPr>
        <w:t xml:space="preserve"> </w:t>
      </w:r>
      <w:r>
        <w:rPr>
          <w:color w:val="231F20"/>
          <w:sz w:val="20"/>
        </w:rPr>
        <w:t>be</w:t>
      </w:r>
      <w:r>
        <w:rPr>
          <w:color w:val="231F20"/>
          <w:spacing w:val="-5"/>
          <w:sz w:val="20"/>
        </w:rPr>
        <w:t xml:space="preserve"> </w:t>
      </w:r>
      <w:r>
        <w:rPr>
          <w:color w:val="231F20"/>
          <w:sz w:val="20"/>
        </w:rPr>
        <w:t>designed</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protect</w:t>
      </w:r>
      <w:r>
        <w:rPr>
          <w:color w:val="231F20"/>
          <w:spacing w:val="-5"/>
          <w:sz w:val="20"/>
        </w:rPr>
        <w:t xml:space="preserve"> </w:t>
      </w:r>
      <w:r>
        <w:rPr>
          <w:color w:val="231F20"/>
          <w:sz w:val="20"/>
        </w:rPr>
        <w:t>victim</w:t>
      </w:r>
      <w:r>
        <w:rPr>
          <w:color w:val="231F20"/>
          <w:spacing w:val="-5"/>
          <w:sz w:val="20"/>
        </w:rPr>
        <w:t xml:space="preserve"> </w:t>
      </w:r>
      <w:r>
        <w:rPr>
          <w:color w:val="231F20"/>
          <w:sz w:val="20"/>
        </w:rPr>
        <w:t>survivors.</w:t>
      </w:r>
    </w:p>
    <w:p w14:paraId="5C6CEFFA" w14:textId="77777777" w:rsidR="00894070" w:rsidRDefault="009B7AFD">
      <w:pPr>
        <w:pStyle w:val="ListParagraph"/>
        <w:numPr>
          <w:ilvl w:val="1"/>
          <w:numId w:val="103"/>
        </w:numPr>
        <w:tabs>
          <w:tab w:val="left" w:pos="2141"/>
          <w:tab w:val="left" w:pos="2142"/>
        </w:tabs>
        <w:spacing w:before="48"/>
        <w:ind w:hanging="340"/>
        <w:rPr>
          <w:sz w:val="20"/>
        </w:rPr>
      </w:pPr>
      <w:r>
        <w:rPr>
          <w:color w:val="231F20"/>
          <w:sz w:val="20"/>
        </w:rPr>
        <w:t>The</w:t>
      </w:r>
      <w:r>
        <w:rPr>
          <w:color w:val="231F20"/>
          <w:spacing w:val="-5"/>
          <w:sz w:val="20"/>
        </w:rPr>
        <w:t xml:space="preserve"> </w:t>
      </w:r>
      <w:r>
        <w:rPr>
          <w:color w:val="231F20"/>
          <w:sz w:val="20"/>
        </w:rPr>
        <w:t>accused</w:t>
      </w:r>
      <w:r>
        <w:rPr>
          <w:color w:val="231F20"/>
          <w:spacing w:val="-5"/>
          <w:sz w:val="20"/>
        </w:rPr>
        <w:t xml:space="preserve"> </w:t>
      </w:r>
      <w:r>
        <w:rPr>
          <w:color w:val="231F20"/>
          <w:sz w:val="20"/>
        </w:rPr>
        <w:t>should</w:t>
      </w:r>
      <w:r>
        <w:rPr>
          <w:color w:val="231F20"/>
          <w:spacing w:val="-5"/>
          <w:sz w:val="20"/>
        </w:rPr>
        <w:t xml:space="preserve"> </w:t>
      </w:r>
      <w:r>
        <w:rPr>
          <w:color w:val="231F20"/>
          <w:sz w:val="20"/>
        </w:rPr>
        <w:t>not</w:t>
      </w:r>
      <w:r>
        <w:rPr>
          <w:color w:val="231F20"/>
          <w:spacing w:val="-5"/>
          <w:sz w:val="20"/>
        </w:rPr>
        <w:t xml:space="preserve"> </w:t>
      </w:r>
      <w:r>
        <w:rPr>
          <w:color w:val="231F20"/>
          <w:sz w:val="20"/>
        </w:rPr>
        <w:t>be</w:t>
      </w:r>
      <w:r>
        <w:rPr>
          <w:color w:val="231F20"/>
          <w:spacing w:val="-5"/>
          <w:sz w:val="20"/>
        </w:rPr>
        <w:t xml:space="preserve"> </w:t>
      </w:r>
      <w:r>
        <w:rPr>
          <w:color w:val="231F20"/>
          <w:spacing w:val="-3"/>
          <w:sz w:val="20"/>
        </w:rPr>
        <w:t>allowed</w:t>
      </w:r>
      <w:r>
        <w:rPr>
          <w:color w:val="231F20"/>
          <w:spacing w:val="-5"/>
          <w:sz w:val="20"/>
        </w:rPr>
        <w:t xml:space="preserve"> </w:t>
      </w:r>
      <w:r>
        <w:rPr>
          <w:color w:val="231F20"/>
          <w:sz w:val="20"/>
        </w:rPr>
        <w:t>to</w:t>
      </w:r>
      <w:r>
        <w:rPr>
          <w:color w:val="231F20"/>
          <w:spacing w:val="-4"/>
          <w:sz w:val="20"/>
        </w:rPr>
        <w:t xml:space="preserve"> </w:t>
      </w:r>
      <w:r>
        <w:rPr>
          <w:color w:val="231F20"/>
          <w:spacing w:val="-3"/>
          <w:sz w:val="20"/>
        </w:rPr>
        <w:t>cross-examine</w:t>
      </w:r>
      <w:r>
        <w:rPr>
          <w:color w:val="231F20"/>
          <w:spacing w:val="-5"/>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5"/>
          <w:sz w:val="20"/>
        </w:rPr>
        <w:t xml:space="preserve"> </w:t>
      </w:r>
      <w:r>
        <w:rPr>
          <w:color w:val="231F20"/>
          <w:spacing w:val="-3"/>
          <w:sz w:val="20"/>
        </w:rPr>
        <w:t>personally.</w:t>
      </w:r>
    </w:p>
    <w:p w14:paraId="5A3F4394" w14:textId="77777777" w:rsidR="00894070" w:rsidRDefault="009B7AFD">
      <w:pPr>
        <w:pStyle w:val="Heading7"/>
        <w:spacing w:before="185"/>
      </w:pPr>
      <w:r>
        <w:rPr>
          <w:color w:val="EA5B50"/>
        </w:rPr>
        <w:t>Stalking is a crime and should be treated as such</w:t>
      </w:r>
    </w:p>
    <w:p w14:paraId="481064F9" w14:textId="77777777" w:rsidR="00894070" w:rsidRDefault="009B7AFD">
      <w:pPr>
        <w:pStyle w:val="ListParagraph"/>
        <w:numPr>
          <w:ilvl w:val="1"/>
          <w:numId w:val="70"/>
        </w:numPr>
        <w:tabs>
          <w:tab w:val="left" w:pos="1801"/>
          <w:tab w:val="left" w:pos="1802"/>
        </w:tabs>
        <w:spacing w:before="114" w:line="259" w:lineRule="exact"/>
        <w:rPr>
          <w:sz w:val="20"/>
        </w:rPr>
      </w:pPr>
      <w:r>
        <w:rPr>
          <w:color w:val="231F20"/>
          <w:sz w:val="20"/>
        </w:rPr>
        <w:t>Stalking</w:t>
      </w:r>
      <w:r>
        <w:rPr>
          <w:color w:val="231F20"/>
          <w:spacing w:val="-7"/>
          <w:sz w:val="20"/>
        </w:rPr>
        <w:t xml:space="preserve"> </w:t>
      </w:r>
      <w:r>
        <w:rPr>
          <w:color w:val="231F20"/>
          <w:sz w:val="20"/>
        </w:rPr>
        <w:t>is</w:t>
      </w:r>
      <w:r>
        <w:rPr>
          <w:color w:val="231F20"/>
          <w:spacing w:val="-6"/>
          <w:sz w:val="20"/>
        </w:rPr>
        <w:t xml:space="preserve"> </w:t>
      </w:r>
      <w:r>
        <w:rPr>
          <w:color w:val="231F20"/>
          <w:sz w:val="20"/>
        </w:rPr>
        <w:t>a</w:t>
      </w:r>
      <w:r>
        <w:rPr>
          <w:color w:val="231F20"/>
          <w:spacing w:val="-6"/>
          <w:sz w:val="20"/>
        </w:rPr>
        <w:t xml:space="preserve"> </w:t>
      </w:r>
      <w:r>
        <w:rPr>
          <w:color w:val="231F20"/>
          <w:sz w:val="20"/>
        </w:rPr>
        <w:t>serious</w:t>
      </w:r>
      <w:r>
        <w:rPr>
          <w:color w:val="231F20"/>
          <w:spacing w:val="-7"/>
          <w:sz w:val="20"/>
        </w:rPr>
        <w:t xml:space="preserve"> </w:t>
      </w:r>
      <w:r>
        <w:rPr>
          <w:color w:val="231F20"/>
          <w:sz w:val="20"/>
        </w:rPr>
        <w:t>criminal</w:t>
      </w:r>
      <w:r>
        <w:rPr>
          <w:color w:val="231F20"/>
          <w:spacing w:val="-6"/>
          <w:sz w:val="20"/>
        </w:rPr>
        <w:t xml:space="preserve"> </w:t>
      </w:r>
      <w:r>
        <w:rPr>
          <w:color w:val="231F20"/>
          <w:sz w:val="20"/>
        </w:rPr>
        <w:t>offence</w:t>
      </w:r>
      <w:r>
        <w:rPr>
          <w:color w:val="231F20"/>
          <w:spacing w:val="-6"/>
          <w:sz w:val="20"/>
        </w:rPr>
        <w:t xml:space="preserve"> </w:t>
      </w:r>
      <w:r>
        <w:rPr>
          <w:color w:val="231F20"/>
          <w:sz w:val="20"/>
        </w:rPr>
        <w:t>in</w:t>
      </w:r>
      <w:r>
        <w:rPr>
          <w:color w:val="231F20"/>
          <w:spacing w:val="-6"/>
          <w:sz w:val="20"/>
        </w:rPr>
        <w:t xml:space="preserve"> </w:t>
      </w:r>
      <w:r>
        <w:rPr>
          <w:color w:val="231F20"/>
          <w:sz w:val="20"/>
        </w:rPr>
        <w:t>Victoria</w:t>
      </w:r>
      <w:r>
        <w:rPr>
          <w:color w:val="231F20"/>
          <w:spacing w:val="-7"/>
          <w:sz w:val="20"/>
        </w:rPr>
        <w:t xml:space="preserve"> </w:t>
      </w:r>
      <w:r>
        <w:rPr>
          <w:color w:val="231F20"/>
          <w:sz w:val="20"/>
        </w:rPr>
        <w:t>with</w:t>
      </w:r>
      <w:r>
        <w:rPr>
          <w:color w:val="231F20"/>
          <w:spacing w:val="-6"/>
          <w:sz w:val="20"/>
        </w:rPr>
        <w:t xml:space="preserve"> </w:t>
      </w:r>
      <w:r>
        <w:rPr>
          <w:color w:val="231F20"/>
          <w:sz w:val="20"/>
        </w:rPr>
        <w:t>a</w:t>
      </w:r>
      <w:r>
        <w:rPr>
          <w:color w:val="231F20"/>
          <w:spacing w:val="-6"/>
          <w:sz w:val="20"/>
        </w:rPr>
        <w:t xml:space="preserve"> </w:t>
      </w:r>
      <w:r>
        <w:rPr>
          <w:color w:val="231F20"/>
          <w:sz w:val="20"/>
        </w:rPr>
        <w:t>maximum</w:t>
      </w:r>
      <w:r>
        <w:rPr>
          <w:color w:val="231F20"/>
          <w:spacing w:val="-7"/>
          <w:sz w:val="20"/>
        </w:rPr>
        <w:t xml:space="preserve"> </w:t>
      </w:r>
      <w:r>
        <w:rPr>
          <w:color w:val="231F20"/>
          <w:sz w:val="20"/>
        </w:rPr>
        <w:t>penalty</w:t>
      </w:r>
      <w:r>
        <w:rPr>
          <w:color w:val="231F20"/>
          <w:spacing w:val="-6"/>
          <w:sz w:val="20"/>
        </w:rPr>
        <w:t xml:space="preserve"> </w:t>
      </w:r>
      <w:r>
        <w:rPr>
          <w:color w:val="231F20"/>
          <w:sz w:val="20"/>
        </w:rPr>
        <w:t>of</w:t>
      </w:r>
      <w:r>
        <w:rPr>
          <w:color w:val="231F20"/>
          <w:spacing w:val="-6"/>
          <w:sz w:val="20"/>
        </w:rPr>
        <w:t xml:space="preserve"> </w:t>
      </w:r>
      <w:r>
        <w:rPr>
          <w:color w:val="231F20"/>
          <w:spacing w:val="-3"/>
          <w:sz w:val="20"/>
        </w:rPr>
        <w:t>10</w:t>
      </w:r>
      <w:r>
        <w:rPr>
          <w:color w:val="231F20"/>
          <w:spacing w:val="-6"/>
          <w:sz w:val="20"/>
        </w:rPr>
        <w:t xml:space="preserve"> </w:t>
      </w:r>
      <w:r>
        <w:rPr>
          <w:color w:val="231F20"/>
          <w:sz w:val="20"/>
        </w:rPr>
        <w:t>years</w:t>
      </w:r>
    </w:p>
    <w:p w14:paraId="37FE86FD" w14:textId="77777777" w:rsidR="00894070" w:rsidRDefault="009B7AFD">
      <w:pPr>
        <w:pStyle w:val="BodyText"/>
        <w:spacing w:line="259" w:lineRule="exact"/>
        <w:ind w:left="1801"/>
        <w:rPr>
          <w:sz w:val="11"/>
        </w:rPr>
      </w:pPr>
      <w:r>
        <w:rPr>
          <w:color w:val="231F20"/>
        </w:rPr>
        <w:t>imprisonment.</w:t>
      </w:r>
      <w:r>
        <w:rPr>
          <w:color w:val="231F20"/>
          <w:position w:val="7"/>
          <w:sz w:val="11"/>
        </w:rPr>
        <w:t>1</w:t>
      </w:r>
    </w:p>
    <w:p w14:paraId="3A8D6C48" w14:textId="77777777" w:rsidR="00894070" w:rsidRDefault="009B7AFD">
      <w:pPr>
        <w:pStyle w:val="ListParagraph"/>
        <w:numPr>
          <w:ilvl w:val="1"/>
          <w:numId w:val="70"/>
        </w:numPr>
        <w:tabs>
          <w:tab w:val="left" w:pos="1801"/>
          <w:tab w:val="left" w:pos="1802"/>
        </w:tabs>
        <w:spacing w:before="115" w:line="206" w:lineRule="auto"/>
        <w:ind w:right="2179"/>
        <w:rPr>
          <w:sz w:val="11"/>
        </w:rPr>
      </w:pPr>
      <w:r>
        <w:rPr>
          <w:color w:val="231F20"/>
          <w:sz w:val="20"/>
        </w:rPr>
        <w:t>The</w:t>
      </w:r>
      <w:r>
        <w:rPr>
          <w:color w:val="231F20"/>
          <w:spacing w:val="-10"/>
          <w:sz w:val="20"/>
        </w:rPr>
        <w:t xml:space="preserve"> </w:t>
      </w:r>
      <w:r>
        <w:rPr>
          <w:color w:val="231F20"/>
          <w:sz w:val="20"/>
        </w:rPr>
        <w:t>stalking</w:t>
      </w:r>
      <w:r>
        <w:rPr>
          <w:color w:val="231F20"/>
          <w:spacing w:val="-10"/>
          <w:sz w:val="20"/>
        </w:rPr>
        <w:t xml:space="preserve"> </w:t>
      </w:r>
      <w:r>
        <w:rPr>
          <w:color w:val="231F20"/>
          <w:sz w:val="20"/>
        </w:rPr>
        <w:t>offence</w:t>
      </w:r>
      <w:r>
        <w:rPr>
          <w:color w:val="231F20"/>
          <w:spacing w:val="-10"/>
          <w:sz w:val="20"/>
        </w:rPr>
        <w:t xml:space="preserve"> </w:t>
      </w:r>
      <w:r>
        <w:rPr>
          <w:color w:val="231F20"/>
          <w:sz w:val="20"/>
        </w:rPr>
        <w:t>makes</w:t>
      </w:r>
      <w:r>
        <w:rPr>
          <w:color w:val="231F20"/>
          <w:spacing w:val="-9"/>
          <w:sz w:val="20"/>
        </w:rPr>
        <w:t xml:space="preserve"> </w:t>
      </w:r>
      <w:r>
        <w:rPr>
          <w:color w:val="231F20"/>
          <w:sz w:val="20"/>
        </w:rPr>
        <w:t>it</w:t>
      </w:r>
      <w:r>
        <w:rPr>
          <w:color w:val="231F20"/>
          <w:spacing w:val="-10"/>
          <w:sz w:val="20"/>
        </w:rPr>
        <w:t xml:space="preserve"> </w:t>
      </w:r>
      <w:r>
        <w:rPr>
          <w:color w:val="231F20"/>
          <w:sz w:val="20"/>
        </w:rPr>
        <w:t>a</w:t>
      </w:r>
      <w:r>
        <w:rPr>
          <w:color w:val="231F20"/>
          <w:spacing w:val="-10"/>
          <w:sz w:val="20"/>
        </w:rPr>
        <w:t xml:space="preserve"> </w:t>
      </w:r>
      <w:r>
        <w:rPr>
          <w:color w:val="231F20"/>
          <w:sz w:val="20"/>
        </w:rPr>
        <w:t>crime</w:t>
      </w:r>
      <w:r>
        <w:rPr>
          <w:color w:val="231F20"/>
          <w:spacing w:val="-10"/>
          <w:sz w:val="20"/>
        </w:rPr>
        <w:t xml:space="preserve"> </w:t>
      </w:r>
      <w:r>
        <w:rPr>
          <w:color w:val="231F20"/>
          <w:sz w:val="20"/>
        </w:rPr>
        <w:t>to</w:t>
      </w:r>
      <w:r>
        <w:rPr>
          <w:color w:val="231F20"/>
          <w:spacing w:val="-9"/>
          <w:sz w:val="20"/>
        </w:rPr>
        <w:t xml:space="preserve"> </w:t>
      </w:r>
      <w:r>
        <w:rPr>
          <w:color w:val="231F20"/>
          <w:sz w:val="20"/>
        </w:rPr>
        <w:t>engage</w:t>
      </w:r>
      <w:r>
        <w:rPr>
          <w:color w:val="231F20"/>
          <w:spacing w:val="-10"/>
          <w:sz w:val="20"/>
        </w:rPr>
        <w:t xml:space="preserve"> </w:t>
      </w:r>
      <w:r>
        <w:rPr>
          <w:color w:val="231F20"/>
          <w:sz w:val="20"/>
        </w:rPr>
        <w:t>in</w:t>
      </w:r>
      <w:r>
        <w:rPr>
          <w:color w:val="231F20"/>
          <w:spacing w:val="-10"/>
          <w:sz w:val="20"/>
        </w:rPr>
        <w:t xml:space="preserve"> </w:t>
      </w:r>
      <w:r>
        <w:rPr>
          <w:color w:val="231F20"/>
          <w:sz w:val="20"/>
        </w:rPr>
        <w:t>one</w:t>
      </w:r>
      <w:r>
        <w:rPr>
          <w:color w:val="231F20"/>
          <w:spacing w:val="-9"/>
          <w:sz w:val="20"/>
        </w:rPr>
        <w:t xml:space="preserve"> </w:t>
      </w:r>
      <w:r>
        <w:rPr>
          <w:color w:val="231F20"/>
          <w:sz w:val="20"/>
        </w:rPr>
        <w:t>or</w:t>
      </w:r>
      <w:r>
        <w:rPr>
          <w:color w:val="231F20"/>
          <w:spacing w:val="-10"/>
          <w:sz w:val="20"/>
        </w:rPr>
        <w:t xml:space="preserve"> </w:t>
      </w:r>
      <w:r>
        <w:rPr>
          <w:color w:val="231F20"/>
          <w:sz w:val="20"/>
        </w:rPr>
        <w:t>more</w:t>
      </w:r>
      <w:r>
        <w:rPr>
          <w:color w:val="231F20"/>
          <w:spacing w:val="-10"/>
          <w:sz w:val="20"/>
        </w:rPr>
        <w:t xml:space="preserve"> </w:t>
      </w:r>
      <w:r>
        <w:rPr>
          <w:color w:val="231F20"/>
          <w:sz w:val="20"/>
        </w:rPr>
        <w:t>of</w:t>
      </w:r>
      <w:r>
        <w:rPr>
          <w:color w:val="231F20"/>
          <w:spacing w:val="-10"/>
          <w:sz w:val="20"/>
        </w:rPr>
        <w:t xml:space="preserve"> </w:t>
      </w:r>
      <w:r>
        <w:rPr>
          <w:color w:val="231F20"/>
          <w:sz w:val="20"/>
        </w:rPr>
        <w:t>a</w:t>
      </w:r>
      <w:r>
        <w:rPr>
          <w:color w:val="231F20"/>
          <w:spacing w:val="-9"/>
          <w:sz w:val="20"/>
        </w:rPr>
        <w:t xml:space="preserve"> </w:t>
      </w:r>
      <w:r>
        <w:rPr>
          <w:color w:val="231F20"/>
          <w:sz w:val="20"/>
        </w:rPr>
        <w:t>range</w:t>
      </w:r>
      <w:r>
        <w:rPr>
          <w:color w:val="231F20"/>
          <w:spacing w:val="-10"/>
          <w:sz w:val="20"/>
        </w:rPr>
        <w:t xml:space="preserve"> </w:t>
      </w:r>
      <w:r>
        <w:rPr>
          <w:color w:val="231F20"/>
          <w:sz w:val="20"/>
        </w:rPr>
        <w:t xml:space="preserve">of behaviours more than once, or </w:t>
      </w:r>
      <w:r>
        <w:rPr>
          <w:color w:val="231F20"/>
          <w:spacing w:val="-3"/>
          <w:sz w:val="20"/>
        </w:rPr>
        <w:t xml:space="preserve">for </w:t>
      </w:r>
      <w:r>
        <w:rPr>
          <w:color w:val="231F20"/>
          <w:sz w:val="20"/>
        </w:rPr>
        <w:t>an extended</w:t>
      </w:r>
      <w:r>
        <w:rPr>
          <w:color w:val="231F20"/>
          <w:spacing w:val="-37"/>
          <w:sz w:val="20"/>
        </w:rPr>
        <w:t xml:space="preserve"> </w:t>
      </w:r>
      <w:r>
        <w:rPr>
          <w:color w:val="231F20"/>
          <w:sz w:val="20"/>
        </w:rPr>
        <w:t>period.</w:t>
      </w:r>
      <w:r>
        <w:rPr>
          <w:color w:val="231F20"/>
          <w:position w:val="7"/>
          <w:sz w:val="11"/>
        </w:rPr>
        <w:t>2</w:t>
      </w:r>
    </w:p>
    <w:p w14:paraId="5E7FCDDC" w14:textId="77777777" w:rsidR="00894070" w:rsidRDefault="009B7AFD">
      <w:pPr>
        <w:pStyle w:val="ListParagraph"/>
        <w:numPr>
          <w:ilvl w:val="1"/>
          <w:numId w:val="70"/>
        </w:numPr>
        <w:tabs>
          <w:tab w:val="left" w:pos="1801"/>
          <w:tab w:val="left" w:pos="1802"/>
        </w:tabs>
        <w:spacing w:before="90" w:line="259" w:lineRule="exact"/>
        <w:rPr>
          <w:sz w:val="20"/>
        </w:rPr>
      </w:pPr>
      <w:r>
        <w:rPr>
          <w:color w:val="231F20"/>
          <w:sz w:val="20"/>
        </w:rPr>
        <w:t>A</w:t>
      </w:r>
      <w:r>
        <w:rPr>
          <w:color w:val="231F20"/>
          <w:spacing w:val="-6"/>
          <w:sz w:val="20"/>
        </w:rPr>
        <w:t xml:space="preserve"> </w:t>
      </w:r>
      <w:r>
        <w:rPr>
          <w:color w:val="231F20"/>
          <w:sz w:val="20"/>
        </w:rPr>
        <w:t>stalking</w:t>
      </w:r>
      <w:r>
        <w:rPr>
          <w:color w:val="231F20"/>
          <w:spacing w:val="-6"/>
          <w:sz w:val="20"/>
        </w:rPr>
        <w:t xml:space="preserve"> </w:t>
      </w:r>
      <w:r>
        <w:rPr>
          <w:color w:val="231F20"/>
          <w:sz w:val="20"/>
        </w:rPr>
        <w:t>case</w:t>
      </w:r>
      <w:r>
        <w:rPr>
          <w:color w:val="231F20"/>
          <w:spacing w:val="-6"/>
          <w:sz w:val="20"/>
        </w:rPr>
        <w:t xml:space="preserve"> </w:t>
      </w:r>
      <w:r>
        <w:rPr>
          <w:color w:val="231F20"/>
          <w:spacing w:val="-3"/>
          <w:sz w:val="20"/>
        </w:rPr>
        <w:t>enters</w:t>
      </w:r>
      <w:r>
        <w:rPr>
          <w:color w:val="231F20"/>
          <w:spacing w:val="-5"/>
          <w:sz w:val="20"/>
        </w:rPr>
        <w:t xml:space="preserve"> </w:t>
      </w:r>
      <w:r>
        <w:rPr>
          <w:color w:val="231F20"/>
          <w:sz w:val="20"/>
        </w:rPr>
        <w:t>the</w:t>
      </w:r>
      <w:r>
        <w:rPr>
          <w:color w:val="231F20"/>
          <w:spacing w:val="-6"/>
          <w:sz w:val="20"/>
        </w:rPr>
        <w:t xml:space="preserve"> </w:t>
      </w:r>
      <w:r>
        <w:rPr>
          <w:color w:val="231F20"/>
          <w:sz w:val="20"/>
        </w:rPr>
        <w:t>criminal</w:t>
      </w:r>
      <w:r>
        <w:rPr>
          <w:color w:val="231F20"/>
          <w:spacing w:val="-6"/>
          <w:sz w:val="20"/>
        </w:rPr>
        <w:t xml:space="preserve"> </w:t>
      </w:r>
      <w:r>
        <w:rPr>
          <w:color w:val="231F20"/>
          <w:sz w:val="20"/>
        </w:rPr>
        <w:t>justice</w:t>
      </w:r>
      <w:r>
        <w:rPr>
          <w:color w:val="231F20"/>
          <w:spacing w:val="-5"/>
          <w:sz w:val="20"/>
        </w:rPr>
        <w:t xml:space="preserve"> </w:t>
      </w:r>
      <w:r>
        <w:rPr>
          <w:color w:val="231F20"/>
          <w:spacing w:val="-2"/>
          <w:sz w:val="20"/>
        </w:rPr>
        <w:t>system</w:t>
      </w:r>
      <w:r>
        <w:rPr>
          <w:color w:val="231F20"/>
          <w:spacing w:val="-6"/>
          <w:sz w:val="20"/>
        </w:rPr>
        <w:t xml:space="preserve"> </w:t>
      </w:r>
      <w:r>
        <w:rPr>
          <w:color w:val="231F20"/>
          <w:sz w:val="20"/>
        </w:rPr>
        <w:t>if</w:t>
      </w:r>
      <w:r>
        <w:rPr>
          <w:color w:val="231F20"/>
          <w:spacing w:val="-6"/>
          <w:sz w:val="20"/>
        </w:rPr>
        <w:t xml:space="preserve"> </w:t>
      </w:r>
      <w:r>
        <w:rPr>
          <w:color w:val="231F20"/>
          <w:sz w:val="20"/>
        </w:rPr>
        <w:t>a</w:t>
      </w:r>
      <w:r>
        <w:rPr>
          <w:color w:val="231F20"/>
          <w:spacing w:val="-6"/>
          <w:sz w:val="20"/>
        </w:rPr>
        <w:t xml:space="preserve"> </w:t>
      </w:r>
      <w:r>
        <w:rPr>
          <w:color w:val="231F20"/>
          <w:sz w:val="20"/>
        </w:rPr>
        <w:t>stalking</w:t>
      </w:r>
      <w:r>
        <w:rPr>
          <w:color w:val="231F20"/>
          <w:spacing w:val="-5"/>
          <w:sz w:val="20"/>
        </w:rPr>
        <w:t xml:space="preserve"> </w:t>
      </w:r>
      <w:r>
        <w:rPr>
          <w:color w:val="231F20"/>
          <w:sz w:val="20"/>
        </w:rPr>
        <w:t>offence</w:t>
      </w:r>
      <w:r>
        <w:rPr>
          <w:color w:val="231F20"/>
          <w:spacing w:val="-6"/>
          <w:sz w:val="20"/>
        </w:rPr>
        <w:t xml:space="preserve"> </w:t>
      </w:r>
      <w:r>
        <w:rPr>
          <w:color w:val="231F20"/>
          <w:sz w:val="20"/>
        </w:rPr>
        <w:t>is</w:t>
      </w:r>
      <w:r>
        <w:rPr>
          <w:color w:val="231F20"/>
          <w:spacing w:val="-6"/>
          <w:sz w:val="20"/>
        </w:rPr>
        <w:t xml:space="preserve"> </w:t>
      </w:r>
      <w:r>
        <w:rPr>
          <w:color w:val="231F20"/>
          <w:sz w:val="20"/>
        </w:rPr>
        <w:t>reported</w:t>
      </w:r>
      <w:r>
        <w:rPr>
          <w:color w:val="231F20"/>
          <w:spacing w:val="-5"/>
          <w:sz w:val="20"/>
        </w:rPr>
        <w:t xml:space="preserve"> </w:t>
      </w:r>
      <w:r>
        <w:rPr>
          <w:color w:val="231F20"/>
          <w:sz w:val="20"/>
        </w:rPr>
        <w:t>to</w:t>
      </w:r>
    </w:p>
    <w:p w14:paraId="68096A9A" w14:textId="77777777" w:rsidR="00894070" w:rsidRDefault="009B7AFD">
      <w:pPr>
        <w:pStyle w:val="BodyText"/>
        <w:spacing w:line="259" w:lineRule="exact"/>
        <w:ind w:left="1801"/>
        <w:rPr>
          <w:sz w:val="11"/>
        </w:rPr>
      </w:pPr>
      <w:r>
        <w:rPr>
          <w:color w:val="231F20"/>
        </w:rPr>
        <w:t>police. Police may then charge the accused and the matter might go to court.</w:t>
      </w:r>
      <w:r>
        <w:rPr>
          <w:color w:val="231F20"/>
          <w:position w:val="7"/>
          <w:sz w:val="11"/>
        </w:rPr>
        <w:t>3</w:t>
      </w:r>
    </w:p>
    <w:p w14:paraId="4C4B958C" w14:textId="77777777" w:rsidR="00894070" w:rsidRDefault="00894070">
      <w:pPr>
        <w:pStyle w:val="BodyText"/>
      </w:pPr>
    </w:p>
    <w:p w14:paraId="0AB50284" w14:textId="77777777" w:rsidR="00894070" w:rsidRDefault="00894070">
      <w:pPr>
        <w:pStyle w:val="BodyText"/>
      </w:pPr>
    </w:p>
    <w:p w14:paraId="5D2E2F95" w14:textId="77777777" w:rsidR="00894070" w:rsidRDefault="009F6793">
      <w:pPr>
        <w:pStyle w:val="BodyText"/>
      </w:pPr>
      <w:r>
        <w:pict w14:anchorId="64B86EBE">
          <v:line id="_x0000_s1226" style="position:absolute;z-index:251720704;mso-wrap-distance-left:0;mso-wrap-distance-right:0;mso-position-horizontal-relative:page" from="79.35pt,16.35pt" to="515.9pt,16.35pt" strokecolor="#f8cabc" strokeweight="1pt">
            <w10:wrap type="topAndBottom" anchorx="page"/>
          </v:line>
        </w:pict>
      </w:r>
    </w:p>
    <w:p w14:paraId="4FE458B8" w14:textId="77777777" w:rsidR="00894070" w:rsidRDefault="00894070">
      <w:pPr>
        <w:pStyle w:val="BodyText"/>
        <w:rPr>
          <w:sz w:val="5"/>
        </w:rPr>
      </w:pPr>
    </w:p>
    <w:p w14:paraId="062C72C6" w14:textId="77777777" w:rsidR="00894070" w:rsidRDefault="00894070">
      <w:pPr>
        <w:rPr>
          <w:sz w:val="5"/>
        </w:rPr>
        <w:sectPr w:rsidR="00894070">
          <w:pgSz w:w="11910" w:h="16840"/>
          <w:pgMar w:top="860" w:right="420" w:bottom="280" w:left="580" w:header="567" w:footer="0" w:gutter="0"/>
          <w:cols w:space="720"/>
        </w:sectPr>
      </w:pPr>
    </w:p>
    <w:p w14:paraId="723BC6EE" w14:textId="77777777" w:rsidR="00894070" w:rsidRDefault="009F6793">
      <w:pPr>
        <w:pStyle w:val="BodyText"/>
        <w:rPr>
          <w:sz w:val="28"/>
        </w:rPr>
      </w:pPr>
      <w:r>
        <w:pict w14:anchorId="127D5142">
          <v:rect id="_x0000_s1225" style="position:absolute;margin-left:0;margin-top:99.2pt;width:14.15pt;height:85.75pt;z-index:251760640;mso-position-horizontal-relative:page;mso-position-vertical-relative:page" fillcolor="#ea5b50" stroked="f">
            <w10:wrap anchorx="page" anchory="page"/>
          </v:rect>
        </w:pict>
      </w:r>
    </w:p>
    <w:p w14:paraId="7A4B90B8" w14:textId="77777777" w:rsidR="00894070" w:rsidRDefault="00894070">
      <w:pPr>
        <w:pStyle w:val="BodyText"/>
        <w:spacing w:before="7"/>
        <w:rPr>
          <w:sz w:val="33"/>
        </w:rPr>
      </w:pPr>
    </w:p>
    <w:p w14:paraId="3FFBD137" w14:textId="77777777" w:rsidR="00894070" w:rsidRDefault="009B7AFD">
      <w:pPr>
        <w:pStyle w:val="Heading8"/>
        <w:spacing w:before="1"/>
        <w:ind w:left="140"/>
      </w:pPr>
      <w:r>
        <w:rPr>
          <w:color w:val="EA5B50"/>
        </w:rPr>
        <w:t>132</w:t>
      </w:r>
    </w:p>
    <w:p w14:paraId="3A95F3E3" w14:textId="77777777" w:rsidR="00894070" w:rsidRDefault="009B7AFD">
      <w:pPr>
        <w:pStyle w:val="ListParagraph"/>
        <w:numPr>
          <w:ilvl w:val="0"/>
          <w:numId w:val="69"/>
        </w:numPr>
        <w:tabs>
          <w:tab w:val="left" w:pos="933"/>
          <w:tab w:val="left" w:pos="934"/>
        </w:tabs>
        <w:spacing w:before="21" w:line="170" w:lineRule="exact"/>
        <w:ind w:hanging="793"/>
        <w:rPr>
          <w:sz w:val="13"/>
        </w:rPr>
      </w:pPr>
      <w:r>
        <w:rPr>
          <w:i/>
          <w:color w:val="231F20"/>
          <w:spacing w:val="2"/>
          <w:sz w:val="13"/>
        </w:rPr>
        <w:br w:type="column"/>
      </w:r>
      <w:r>
        <w:rPr>
          <w:i/>
          <w:color w:val="231F20"/>
          <w:sz w:val="13"/>
        </w:rPr>
        <w:t xml:space="preserve">Crimes Act 1958 </w:t>
      </w:r>
      <w:r>
        <w:rPr>
          <w:color w:val="231F20"/>
          <w:sz w:val="13"/>
        </w:rPr>
        <w:t>(Vic) s 21</w:t>
      </w:r>
      <w:proofErr w:type="gramStart"/>
      <w:r>
        <w:rPr>
          <w:color w:val="231F20"/>
          <w:sz w:val="13"/>
        </w:rPr>
        <w:t>A(</w:t>
      </w:r>
      <w:proofErr w:type="gramEnd"/>
      <w:r>
        <w:rPr>
          <w:color w:val="231F20"/>
          <w:sz w:val="13"/>
        </w:rPr>
        <w:t>1).</w:t>
      </w:r>
    </w:p>
    <w:p w14:paraId="25BA1B31" w14:textId="77777777" w:rsidR="00894070" w:rsidRDefault="009B7AFD">
      <w:pPr>
        <w:pStyle w:val="ListParagraph"/>
        <w:numPr>
          <w:ilvl w:val="0"/>
          <w:numId w:val="69"/>
        </w:numPr>
        <w:tabs>
          <w:tab w:val="left" w:pos="933"/>
          <w:tab w:val="left" w:pos="934"/>
        </w:tabs>
        <w:spacing w:before="7" w:line="213" w:lineRule="auto"/>
        <w:ind w:right="1524" w:hanging="793"/>
        <w:rPr>
          <w:sz w:val="13"/>
        </w:rPr>
      </w:pPr>
      <w:r>
        <w:rPr>
          <w:color w:val="231F20"/>
          <w:sz w:val="13"/>
        </w:rPr>
        <w:t xml:space="preserve">Ibid s </w:t>
      </w:r>
      <w:r>
        <w:rPr>
          <w:color w:val="231F20"/>
          <w:spacing w:val="2"/>
          <w:sz w:val="13"/>
        </w:rPr>
        <w:t>21</w:t>
      </w:r>
      <w:proofErr w:type="gramStart"/>
      <w:r>
        <w:rPr>
          <w:color w:val="231F20"/>
          <w:spacing w:val="2"/>
          <w:sz w:val="13"/>
        </w:rPr>
        <w:t>A(</w:t>
      </w:r>
      <w:proofErr w:type="gramEnd"/>
      <w:r>
        <w:rPr>
          <w:color w:val="231F20"/>
          <w:spacing w:val="2"/>
          <w:sz w:val="13"/>
        </w:rPr>
        <w:t xml:space="preserve">2); </w:t>
      </w: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 xml:space="preserve">March 2022) ix; 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 xml:space="preserve">2021) </w:t>
      </w:r>
      <w:r>
        <w:rPr>
          <w:color w:val="231F20"/>
          <w:spacing w:val="2"/>
          <w:sz w:val="13"/>
        </w:rPr>
        <w:t xml:space="preserve">[2.4]. </w:t>
      </w:r>
      <w:r>
        <w:rPr>
          <w:color w:val="231F20"/>
          <w:sz w:val="13"/>
        </w:rPr>
        <w:t xml:space="preserve">See </w:t>
      </w:r>
      <w:r>
        <w:rPr>
          <w:color w:val="231F20"/>
          <w:spacing w:val="2"/>
          <w:sz w:val="13"/>
        </w:rPr>
        <w:t xml:space="preserve">also </w:t>
      </w: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Anti-Stalking Legislation in Victoria, Australia’ (PhD Thesis, Monash University, 2018) 2,</w:t>
      </w:r>
      <w:r>
        <w:rPr>
          <w:color w:val="231F20"/>
          <w:spacing w:val="5"/>
          <w:sz w:val="13"/>
        </w:rPr>
        <w:t xml:space="preserve"> </w:t>
      </w:r>
      <w:r>
        <w:rPr>
          <w:color w:val="231F20"/>
          <w:sz w:val="13"/>
        </w:rPr>
        <w:t>75–6.</w:t>
      </w:r>
    </w:p>
    <w:p w14:paraId="6FB1E477" w14:textId="77777777" w:rsidR="00894070" w:rsidRDefault="009B7AFD">
      <w:pPr>
        <w:pStyle w:val="ListParagraph"/>
        <w:numPr>
          <w:ilvl w:val="0"/>
          <w:numId w:val="69"/>
        </w:numPr>
        <w:tabs>
          <w:tab w:val="left" w:pos="933"/>
          <w:tab w:val="left" w:pos="934"/>
        </w:tabs>
        <w:spacing w:line="213" w:lineRule="auto"/>
        <w:ind w:right="1170" w:hanging="793"/>
        <w:rPr>
          <w:sz w:val="13"/>
        </w:rPr>
      </w:pPr>
      <w:r>
        <w:rPr>
          <w:color w:val="231F20"/>
          <w:sz w:val="13"/>
        </w:rPr>
        <w:t xml:space="preserve">Under </w:t>
      </w:r>
      <w:r>
        <w:rPr>
          <w:i/>
          <w:color w:val="231F20"/>
          <w:sz w:val="13"/>
        </w:rPr>
        <w:t xml:space="preserve">Criminal Procedure Act 2009 </w:t>
      </w:r>
      <w:r>
        <w:rPr>
          <w:color w:val="231F20"/>
          <w:sz w:val="13"/>
        </w:rPr>
        <w:t xml:space="preserve">(Vic) s 28(1)(b), offences (such as stalking) that are punishable by Level 5 imprisonment </w:t>
      </w:r>
      <w:proofErr w:type="gramStart"/>
      <w:r>
        <w:rPr>
          <w:color w:val="231F20"/>
          <w:sz w:val="13"/>
        </w:rPr>
        <w:t>are,  under</w:t>
      </w:r>
      <w:proofErr w:type="gramEnd"/>
      <w:r>
        <w:rPr>
          <w:color w:val="231F20"/>
          <w:sz w:val="13"/>
        </w:rPr>
        <w:t xml:space="preserve"> </w:t>
      </w:r>
      <w:r>
        <w:rPr>
          <w:color w:val="231F20"/>
          <w:spacing w:val="2"/>
          <w:sz w:val="13"/>
        </w:rPr>
        <w:t xml:space="preserve">certain </w:t>
      </w:r>
      <w:r>
        <w:rPr>
          <w:color w:val="231F20"/>
          <w:sz w:val="13"/>
        </w:rPr>
        <w:t xml:space="preserve">conditions, able to be ‘heard and determined summarily’ by the Magistrates’ </w:t>
      </w:r>
      <w:r>
        <w:rPr>
          <w:color w:val="231F20"/>
          <w:spacing w:val="2"/>
          <w:sz w:val="13"/>
        </w:rPr>
        <w:t xml:space="preserve">Court </w:t>
      </w:r>
      <w:r>
        <w:rPr>
          <w:color w:val="231F20"/>
          <w:sz w:val="13"/>
        </w:rPr>
        <w:t xml:space="preserve">of Victoria. For this reason, most </w:t>
      </w:r>
      <w:r>
        <w:rPr>
          <w:color w:val="231F20"/>
          <w:spacing w:val="2"/>
          <w:sz w:val="13"/>
        </w:rPr>
        <w:t xml:space="preserve">stalking </w:t>
      </w:r>
      <w:r>
        <w:rPr>
          <w:color w:val="231F20"/>
          <w:sz w:val="13"/>
        </w:rPr>
        <w:t>cases that proceed to court are heard here.</w:t>
      </w:r>
    </w:p>
    <w:p w14:paraId="169695E1" w14:textId="77777777" w:rsidR="00894070" w:rsidRDefault="00894070">
      <w:pPr>
        <w:spacing w:line="213" w:lineRule="auto"/>
        <w:rPr>
          <w:sz w:val="13"/>
        </w:rPr>
        <w:sectPr w:rsidR="00894070">
          <w:type w:val="continuous"/>
          <w:pgSz w:w="11910" w:h="16840"/>
          <w:pgMar w:top="560" w:right="420" w:bottom="280" w:left="580" w:header="720" w:footer="720" w:gutter="0"/>
          <w:cols w:num="2" w:space="720" w:equalWidth="0">
            <w:col w:w="565" w:space="302"/>
            <w:col w:w="10043"/>
          </w:cols>
        </w:sectPr>
      </w:pPr>
    </w:p>
    <w:p w14:paraId="2A009AE7" w14:textId="77777777" w:rsidR="00894070" w:rsidRDefault="00894070">
      <w:pPr>
        <w:pStyle w:val="BodyText"/>
      </w:pPr>
    </w:p>
    <w:p w14:paraId="7443524D" w14:textId="77777777" w:rsidR="00894070" w:rsidRDefault="00894070">
      <w:pPr>
        <w:pStyle w:val="BodyText"/>
      </w:pPr>
    </w:p>
    <w:p w14:paraId="55B951A0" w14:textId="77777777" w:rsidR="00894070" w:rsidRDefault="00894070">
      <w:pPr>
        <w:pStyle w:val="BodyText"/>
      </w:pPr>
    </w:p>
    <w:p w14:paraId="417D587E" w14:textId="77777777" w:rsidR="00894070" w:rsidRDefault="00894070">
      <w:pPr>
        <w:pStyle w:val="BodyText"/>
        <w:spacing w:before="6"/>
        <w:rPr>
          <w:sz w:val="14"/>
        </w:rPr>
      </w:pPr>
    </w:p>
    <w:p w14:paraId="00B8ACCC" w14:textId="77777777" w:rsidR="00894070" w:rsidRDefault="009B7AFD">
      <w:pPr>
        <w:pStyle w:val="ListParagraph"/>
        <w:numPr>
          <w:ilvl w:val="1"/>
          <w:numId w:val="70"/>
        </w:numPr>
        <w:tabs>
          <w:tab w:val="left" w:pos="1801"/>
          <w:tab w:val="left" w:pos="1802"/>
        </w:tabs>
        <w:spacing w:before="90" w:line="206" w:lineRule="auto"/>
        <w:ind w:right="1377"/>
        <w:rPr>
          <w:sz w:val="20"/>
        </w:rPr>
      </w:pPr>
      <w:bookmarkStart w:id="147" w:name="The_criminal_offence_of_stalking"/>
      <w:bookmarkStart w:id="148" w:name="_bookmark88"/>
      <w:bookmarkEnd w:id="147"/>
      <w:bookmarkEnd w:id="148"/>
      <w:r>
        <w:rPr>
          <w:color w:val="231F20"/>
          <w:sz w:val="20"/>
        </w:rPr>
        <w:t>The</w:t>
      </w:r>
      <w:r>
        <w:rPr>
          <w:color w:val="231F20"/>
          <w:spacing w:val="-8"/>
          <w:sz w:val="20"/>
        </w:rPr>
        <w:t xml:space="preserve"> </w:t>
      </w:r>
      <w:r>
        <w:rPr>
          <w:color w:val="231F20"/>
          <w:sz w:val="20"/>
        </w:rPr>
        <w:t>criminal</w:t>
      </w:r>
      <w:r>
        <w:rPr>
          <w:color w:val="231F20"/>
          <w:spacing w:val="-8"/>
          <w:sz w:val="20"/>
        </w:rPr>
        <w:t xml:space="preserve"> </w:t>
      </w:r>
      <w:r>
        <w:rPr>
          <w:color w:val="231F20"/>
          <w:sz w:val="20"/>
        </w:rPr>
        <w:t>justice</w:t>
      </w:r>
      <w:r>
        <w:rPr>
          <w:color w:val="231F20"/>
          <w:spacing w:val="-7"/>
          <w:sz w:val="20"/>
        </w:rPr>
        <w:t xml:space="preserve"> </w:t>
      </w:r>
      <w:r>
        <w:rPr>
          <w:color w:val="231F20"/>
          <w:spacing w:val="-2"/>
          <w:sz w:val="20"/>
        </w:rPr>
        <w:t>system</w:t>
      </w:r>
      <w:r>
        <w:rPr>
          <w:color w:val="231F20"/>
          <w:spacing w:val="-8"/>
          <w:sz w:val="20"/>
        </w:rPr>
        <w:t xml:space="preserve"> </w:t>
      </w:r>
      <w:r>
        <w:rPr>
          <w:color w:val="231F20"/>
          <w:spacing w:val="-3"/>
          <w:sz w:val="20"/>
        </w:rPr>
        <w:t>provides</w:t>
      </w:r>
      <w:r>
        <w:rPr>
          <w:color w:val="231F20"/>
          <w:spacing w:val="-8"/>
          <w:sz w:val="20"/>
        </w:rPr>
        <w:t xml:space="preserve"> </w:t>
      </w:r>
      <w:r>
        <w:rPr>
          <w:color w:val="231F20"/>
          <w:sz w:val="20"/>
        </w:rPr>
        <w:t>a</w:t>
      </w:r>
      <w:r>
        <w:rPr>
          <w:color w:val="231F20"/>
          <w:spacing w:val="-7"/>
          <w:sz w:val="20"/>
        </w:rPr>
        <w:t xml:space="preserve"> </w:t>
      </w:r>
      <w:r>
        <w:rPr>
          <w:color w:val="231F20"/>
          <w:spacing w:val="-4"/>
          <w:sz w:val="20"/>
        </w:rPr>
        <w:t>way</w:t>
      </w:r>
      <w:r>
        <w:rPr>
          <w:color w:val="231F20"/>
          <w:spacing w:val="-8"/>
          <w:sz w:val="20"/>
        </w:rPr>
        <w:t xml:space="preserve"> </w:t>
      </w:r>
      <w:r>
        <w:rPr>
          <w:color w:val="231F20"/>
          <w:sz w:val="20"/>
        </w:rPr>
        <w:t>to</w:t>
      </w:r>
      <w:r>
        <w:rPr>
          <w:color w:val="231F20"/>
          <w:spacing w:val="-8"/>
          <w:sz w:val="20"/>
        </w:rPr>
        <w:t xml:space="preserve"> </w:t>
      </w:r>
      <w:r>
        <w:rPr>
          <w:color w:val="231F20"/>
          <w:sz w:val="20"/>
        </w:rPr>
        <w:t>stop</w:t>
      </w:r>
      <w:r>
        <w:rPr>
          <w:color w:val="231F20"/>
          <w:spacing w:val="-7"/>
          <w:sz w:val="20"/>
        </w:rPr>
        <w:t xml:space="preserve"> </w:t>
      </w:r>
      <w:r>
        <w:rPr>
          <w:color w:val="231F20"/>
          <w:sz w:val="20"/>
        </w:rPr>
        <w:t>the</w:t>
      </w:r>
      <w:r>
        <w:rPr>
          <w:color w:val="231F20"/>
          <w:spacing w:val="-8"/>
          <w:sz w:val="20"/>
        </w:rPr>
        <w:t xml:space="preserve"> </w:t>
      </w:r>
      <w:r>
        <w:rPr>
          <w:color w:val="231F20"/>
          <w:sz w:val="20"/>
        </w:rPr>
        <w:t>stalking</w:t>
      </w:r>
      <w:r>
        <w:rPr>
          <w:color w:val="231F20"/>
          <w:spacing w:val="-8"/>
          <w:sz w:val="20"/>
        </w:rPr>
        <w:t xml:space="preserve"> </w:t>
      </w:r>
      <w:r>
        <w:rPr>
          <w:color w:val="231F20"/>
          <w:sz w:val="20"/>
        </w:rPr>
        <w:t>behaviour</w:t>
      </w:r>
      <w:r>
        <w:rPr>
          <w:color w:val="231F20"/>
          <w:spacing w:val="-7"/>
          <w:sz w:val="20"/>
        </w:rPr>
        <w:t xml:space="preserve"> </w:t>
      </w:r>
      <w:r>
        <w:rPr>
          <w:color w:val="231F20"/>
          <w:sz w:val="20"/>
        </w:rPr>
        <w:t>and</w:t>
      </w:r>
      <w:r>
        <w:rPr>
          <w:color w:val="231F20"/>
          <w:spacing w:val="-8"/>
          <w:sz w:val="20"/>
        </w:rPr>
        <w:t xml:space="preserve"> </w:t>
      </w:r>
      <w:r>
        <w:rPr>
          <w:color w:val="231F20"/>
          <w:spacing w:val="-3"/>
          <w:sz w:val="20"/>
        </w:rPr>
        <w:t xml:space="preserve">protect </w:t>
      </w:r>
      <w:r>
        <w:rPr>
          <w:color w:val="231F20"/>
          <w:sz w:val="20"/>
        </w:rPr>
        <w:t xml:space="preserve">the person who is experiencing stalking. It enables stalking to be recognised as a harm in the </w:t>
      </w:r>
      <w:r>
        <w:rPr>
          <w:color w:val="231F20"/>
          <w:spacing w:val="-3"/>
          <w:sz w:val="20"/>
        </w:rPr>
        <w:t xml:space="preserve">community, providing </w:t>
      </w:r>
      <w:r>
        <w:rPr>
          <w:color w:val="231F20"/>
          <w:sz w:val="20"/>
        </w:rPr>
        <w:t xml:space="preserve">a public forum to test </w:t>
      </w:r>
      <w:r>
        <w:rPr>
          <w:color w:val="231F20"/>
          <w:spacing w:val="-3"/>
          <w:sz w:val="20"/>
        </w:rPr>
        <w:t xml:space="preserve">evidence, </w:t>
      </w:r>
      <w:r>
        <w:rPr>
          <w:color w:val="231F20"/>
          <w:sz w:val="20"/>
        </w:rPr>
        <w:t>hold an offender accountable and sanction the</w:t>
      </w:r>
      <w:r>
        <w:rPr>
          <w:color w:val="231F20"/>
          <w:spacing w:val="-19"/>
          <w:sz w:val="20"/>
        </w:rPr>
        <w:t xml:space="preserve"> </w:t>
      </w:r>
      <w:r>
        <w:rPr>
          <w:color w:val="231F20"/>
          <w:sz w:val="20"/>
        </w:rPr>
        <w:t>harm.</w:t>
      </w:r>
    </w:p>
    <w:p w14:paraId="47C9CB7A" w14:textId="77777777" w:rsidR="00894070" w:rsidRDefault="009B7AFD">
      <w:pPr>
        <w:pStyle w:val="ListParagraph"/>
        <w:numPr>
          <w:ilvl w:val="1"/>
          <w:numId w:val="70"/>
        </w:numPr>
        <w:tabs>
          <w:tab w:val="left" w:pos="1801"/>
          <w:tab w:val="left" w:pos="1802"/>
        </w:tabs>
        <w:spacing w:before="125" w:line="206" w:lineRule="auto"/>
        <w:ind w:right="1237"/>
        <w:rPr>
          <w:sz w:val="20"/>
        </w:rPr>
      </w:pPr>
      <w:r>
        <w:rPr>
          <w:color w:val="231F20"/>
          <w:spacing w:val="-5"/>
          <w:sz w:val="20"/>
        </w:rPr>
        <w:t>However,</w:t>
      </w:r>
      <w:r>
        <w:rPr>
          <w:color w:val="231F20"/>
          <w:spacing w:val="-10"/>
          <w:sz w:val="20"/>
        </w:rPr>
        <w:t xml:space="preserve"> </w:t>
      </w:r>
      <w:r>
        <w:rPr>
          <w:color w:val="231F20"/>
          <w:sz w:val="20"/>
        </w:rPr>
        <w:t>the</w:t>
      </w:r>
      <w:r>
        <w:rPr>
          <w:color w:val="231F20"/>
          <w:spacing w:val="-10"/>
          <w:sz w:val="20"/>
        </w:rPr>
        <w:t xml:space="preserve"> </w:t>
      </w:r>
      <w:r>
        <w:rPr>
          <w:color w:val="231F20"/>
          <w:sz w:val="20"/>
        </w:rPr>
        <w:t>criminal</w:t>
      </w:r>
      <w:r>
        <w:rPr>
          <w:color w:val="231F20"/>
          <w:spacing w:val="-10"/>
          <w:sz w:val="20"/>
        </w:rPr>
        <w:t xml:space="preserve"> </w:t>
      </w:r>
      <w:r>
        <w:rPr>
          <w:color w:val="231F20"/>
          <w:sz w:val="20"/>
        </w:rPr>
        <w:t>justice</w:t>
      </w:r>
      <w:r>
        <w:rPr>
          <w:color w:val="231F20"/>
          <w:spacing w:val="-9"/>
          <w:sz w:val="20"/>
        </w:rPr>
        <w:t xml:space="preserve"> </w:t>
      </w:r>
      <w:r>
        <w:rPr>
          <w:color w:val="231F20"/>
          <w:spacing w:val="-2"/>
          <w:sz w:val="20"/>
        </w:rPr>
        <w:t>system</w:t>
      </w:r>
      <w:r>
        <w:rPr>
          <w:color w:val="231F20"/>
          <w:spacing w:val="-10"/>
          <w:sz w:val="20"/>
        </w:rPr>
        <w:t xml:space="preserve"> </w:t>
      </w:r>
      <w:r>
        <w:rPr>
          <w:color w:val="231F20"/>
          <w:sz w:val="20"/>
        </w:rPr>
        <w:t>is</w:t>
      </w:r>
      <w:r>
        <w:rPr>
          <w:color w:val="231F20"/>
          <w:spacing w:val="-10"/>
          <w:sz w:val="20"/>
        </w:rPr>
        <w:t xml:space="preserve"> </w:t>
      </w:r>
      <w:r>
        <w:rPr>
          <w:color w:val="231F20"/>
          <w:sz w:val="20"/>
        </w:rPr>
        <w:t>not</w:t>
      </w:r>
      <w:r>
        <w:rPr>
          <w:color w:val="231F20"/>
          <w:spacing w:val="-9"/>
          <w:sz w:val="20"/>
        </w:rPr>
        <w:t xml:space="preserve"> </w:t>
      </w:r>
      <w:r>
        <w:rPr>
          <w:color w:val="231F20"/>
          <w:sz w:val="20"/>
        </w:rPr>
        <w:t>dealing</w:t>
      </w:r>
      <w:r>
        <w:rPr>
          <w:color w:val="231F20"/>
          <w:spacing w:val="-10"/>
          <w:sz w:val="20"/>
        </w:rPr>
        <w:t xml:space="preserve"> </w:t>
      </w:r>
      <w:r>
        <w:rPr>
          <w:color w:val="231F20"/>
          <w:spacing w:val="-3"/>
          <w:sz w:val="20"/>
        </w:rPr>
        <w:t>effectively</w:t>
      </w:r>
      <w:r>
        <w:rPr>
          <w:color w:val="231F20"/>
          <w:spacing w:val="-10"/>
          <w:sz w:val="20"/>
        </w:rPr>
        <w:t xml:space="preserve"> </w:t>
      </w:r>
      <w:r>
        <w:rPr>
          <w:color w:val="231F20"/>
          <w:sz w:val="20"/>
        </w:rPr>
        <w:t>with</w:t>
      </w:r>
      <w:r>
        <w:rPr>
          <w:color w:val="231F20"/>
          <w:spacing w:val="-9"/>
          <w:sz w:val="20"/>
        </w:rPr>
        <w:t xml:space="preserve"> </w:t>
      </w:r>
      <w:r>
        <w:rPr>
          <w:color w:val="231F20"/>
          <w:sz w:val="20"/>
        </w:rPr>
        <w:t>the</w:t>
      </w:r>
      <w:r>
        <w:rPr>
          <w:color w:val="231F20"/>
          <w:spacing w:val="-10"/>
          <w:sz w:val="20"/>
        </w:rPr>
        <w:t xml:space="preserve"> </w:t>
      </w:r>
      <w:r>
        <w:rPr>
          <w:color w:val="231F20"/>
          <w:sz w:val="20"/>
        </w:rPr>
        <w:t>stalking</w:t>
      </w:r>
      <w:r>
        <w:rPr>
          <w:color w:val="231F20"/>
          <w:spacing w:val="-10"/>
          <w:sz w:val="20"/>
        </w:rPr>
        <w:t xml:space="preserve"> </w:t>
      </w:r>
      <w:r>
        <w:rPr>
          <w:color w:val="231F20"/>
          <w:spacing w:val="-3"/>
          <w:sz w:val="20"/>
        </w:rPr>
        <w:t xml:space="preserve">offence. </w:t>
      </w:r>
      <w:r>
        <w:rPr>
          <w:color w:val="231F20"/>
          <w:sz w:val="20"/>
        </w:rPr>
        <w:t xml:space="preserve">There </w:t>
      </w:r>
      <w:r>
        <w:rPr>
          <w:color w:val="231F20"/>
          <w:spacing w:val="-3"/>
          <w:sz w:val="20"/>
        </w:rPr>
        <w:t xml:space="preserve">are </w:t>
      </w:r>
      <w:r>
        <w:rPr>
          <w:color w:val="231F20"/>
          <w:sz w:val="20"/>
        </w:rPr>
        <w:t xml:space="preserve">barriers that </w:t>
      </w:r>
      <w:r>
        <w:rPr>
          <w:color w:val="231F20"/>
          <w:spacing w:val="-4"/>
          <w:sz w:val="20"/>
        </w:rPr>
        <w:t xml:space="preserve">prevent </w:t>
      </w:r>
      <w:r>
        <w:rPr>
          <w:color w:val="231F20"/>
          <w:sz w:val="20"/>
        </w:rPr>
        <w:t xml:space="preserve">the offence </w:t>
      </w:r>
      <w:r>
        <w:rPr>
          <w:color w:val="231F20"/>
          <w:spacing w:val="-3"/>
          <w:sz w:val="20"/>
        </w:rPr>
        <w:t xml:space="preserve">progressing through </w:t>
      </w:r>
      <w:r>
        <w:rPr>
          <w:color w:val="231F20"/>
          <w:sz w:val="20"/>
        </w:rPr>
        <w:t>the criminal justice system.</w:t>
      </w:r>
    </w:p>
    <w:p w14:paraId="238FD819" w14:textId="77777777" w:rsidR="00894070" w:rsidRDefault="009B7AFD">
      <w:pPr>
        <w:pStyle w:val="ListParagraph"/>
        <w:numPr>
          <w:ilvl w:val="1"/>
          <w:numId w:val="70"/>
        </w:numPr>
        <w:tabs>
          <w:tab w:val="left" w:pos="1801"/>
          <w:tab w:val="left" w:pos="1802"/>
        </w:tabs>
        <w:spacing w:before="124" w:line="206" w:lineRule="auto"/>
        <w:ind w:right="1231"/>
        <w:rPr>
          <w:sz w:val="20"/>
        </w:rPr>
      </w:pPr>
      <w:r>
        <w:rPr>
          <w:color w:val="231F20"/>
          <w:sz w:val="20"/>
        </w:rPr>
        <w:t xml:space="preserve">Participating in the criminal justice </w:t>
      </w:r>
      <w:r>
        <w:rPr>
          <w:color w:val="231F20"/>
          <w:spacing w:val="-2"/>
          <w:sz w:val="20"/>
        </w:rPr>
        <w:t xml:space="preserve">system </w:t>
      </w:r>
      <w:r>
        <w:rPr>
          <w:color w:val="231F20"/>
          <w:sz w:val="20"/>
        </w:rPr>
        <w:t xml:space="preserve">can be a traumatic experience </w:t>
      </w:r>
      <w:r>
        <w:rPr>
          <w:color w:val="231F20"/>
          <w:spacing w:val="-3"/>
          <w:sz w:val="20"/>
        </w:rPr>
        <w:t xml:space="preserve">for </w:t>
      </w:r>
      <w:r>
        <w:rPr>
          <w:color w:val="231F20"/>
          <w:sz w:val="20"/>
        </w:rPr>
        <w:t>victim survivors,</w:t>
      </w:r>
      <w:r>
        <w:rPr>
          <w:color w:val="231F20"/>
          <w:spacing w:val="-9"/>
          <w:sz w:val="20"/>
        </w:rPr>
        <w:t xml:space="preserve"> </w:t>
      </w:r>
      <w:r>
        <w:rPr>
          <w:color w:val="231F20"/>
          <w:sz w:val="20"/>
        </w:rPr>
        <w:t>especially</w:t>
      </w:r>
      <w:r>
        <w:rPr>
          <w:color w:val="231F20"/>
          <w:spacing w:val="-9"/>
          <w:sz w:val="20"/>
        </w:rPr>
        <w:t xml:space="preserve"> </w:t>
      </w:r>
      <w:r>
        <w:rPr>
          <w:color w:val="231F20"/>
          <w:sz w:val="20"/>
        </w:rPr>
        <w:t>when</w:t>
      </w:r>
      <w:r>
        <w:rPr>
          <w:color w:val="231F20"/>
          <w:spacing w:val="-9"/>
          <w:sz w:val="20"/>
        </w:rPr>
        <w:t xml:space="preserve"> </w:t>
      </w:r>
      <w:r>
        <w:rPr>
          <w:color w:val="231F20"/>
          <w:sz w:val="20"/>
        </w:rPr>
        <w:t>giving</w:t>
      </w:r>
      <w:r>
        <w:rPr>
          <w:color w:val="231F20"/>
          <w:spacing w:val="-9"/>
          <w:sz w:val="20"/>
        </w:rPr>
        <w:t xml:space="preserve"> </w:t>
      </w:r>
      <w:r>
        <w:rPr>
          <w:color w:val="231F20"/>
          <w:spacing w:val="-2"/>
          <w:sz w:val="20"/>
        </w:rPr>
        <w:t>evidence.</w:t>
      </w:r>
      <w:r>
        <w:rPr>
          <w:color w:val="231F20"/>
          <w:spacing w:val="-9"/>
          <w:sz w:val="20"/>
        </w:rPr>
        <w:t xml:space="preserve"> </w:t>
      </w:r>
      <w:r>
        <w:rPr>
          <w:color w:val="231F20"/>
          <w:spacing w:val="-3"/>
          <w:sz w:val="20"/>
        </w:rPr>
        <w:t>Previous</w:t>
      </w:r>
      <w:r>
        <w:rPr>
          <w:color w:val="231F20"/>
          <w:spacing w:val="-8"/>
          <w:sz w:val="20"/>
        </w:rPr>
        <w:t xml:space="preserve"> </w:t>
      </w:r>
      <w:r>
        <w:rPr>
          <w:color w:val="231F20"/>
          <w:spacing w:val="-3"/>
          <w:sz w:val="20"/>
        </w:rPr>
        <w:t>reforms</w:t>
      </w:r>
      <w:r>
        <w:rPr>
          <w:color w:val="231F20"/>
          <w:spacing w:val="-9"/>
          <w:sz w:val="20"/>
        </w:rPr>
        <w:t xml:space="preserve"> </w:t>
      </w:r>
      <w:r>
        <w:rPr>
          <w:color w:val="231F20"/>
          <w:spacing w:val="-4"/>
          <w:sz w:val="20"/>
        </w:rPr>
        <w:t>have</w:t>
      </w:r>
      <w:r>
        <w:rPr>
          <w:color w:val="231F20"/>
          <w:spacing w:val="-9"/>
          <w:sz w:val="20"/>
        </w:rPr>
        <w:t xml:space="preserve"> </w:t>
      </w:r>
      <w:r>
        <w:rPr>
          <w:color w:val="231F20"/>
          <w:sz w:val="20"/>
        </w:rPr>
        <w:t>focussed</w:t>
      </w:r>
      <w:r>
        <w:rPr>
          <w:color w:val="231F20"/>
          <w:spacing w:val="-9"/>
          <w:sz w:val="20"/>
        </w:rPr>
        <w:t xml:space="preserve"> </w:t>
      </w:r>
      <w:r>
        <w:rPr>
          <w:color w:val="231F20"/>
          <w:sz w:val="20"/>
        </w:rPr>
        <w:t>on</w:t>
      </w:r>
      <w:r>
        <w:rPr>
          <w:color w:val="231F20"/>
          <w:spacing w:val="-9"/>
          <w:sz w:val="20"/>
        </w:rPr>
        <w:t xml:space="preserve"> </w:t>
      </w:r>
      <w:r>
        <w:rPr>
          <w:color w:val="231F20"/>
          <w:sz w:val="20"/>
        </w:rPr>
        <w:t>making criminal</w:t>
      </w:r>
      <w:r>
        <w:rPr>
          <w:color w:val="231F20"/>
          <w:spacing w:val="-11"/>
          <w:sz w:val="20"/>
        </w:rPr>
        <w:t xml:space="preserve"> </w:t>
      </w:r>
      <w:r>
        <w:rPr>
          <w:color w:val="231F20"/>
          <w:sz w:val="20"/>
        </w:rPr>
        <w:t>trials</w:t>
      </w:r>
      <w:r>
        <w:rPr>
          <w:color w:val="231F20"/>
          <w:spacing w:val="-10"/>
          <w:sz w:val="20"/>
        </w:rPr>
        <w:t xml:space="preserve"> </w:t>
      </w:r>
      <w:r>
        <w:rPr>
          <w:color w:val="231F20"/>
          <w:sz w:val="20"/>
        </w:rPr>
        <w:t>less</w:t>
      </w:r>
      <w:r>
        <w:rPr>
          <w:color w:val="231F20"/>
          <w:spacing w:val="-11"/>
          <w:sz w:val="20"/>
        </w:rPr>
        <w:t xml:space="preserve"> </w:t>
      </w:r>
      <w:r>
        <w:rPr>
          <w:color w:val="231F20"/>
          <w:sz w:val="20"/>
        </w:rPr>
        <w:t>traumatic</w:t>
      </w:r>
      <w:r>
        <w:rPr>
          <w:color w:val="231F20"/>
          <w:spacing w:val="-10"/>
          <w:sz w:val="20"/>
        </w:rPr>
        <w:t xml:space="preserve"> </w:t>
      </w:r>
      <w:r>
        <w:rPr>
          <w:color w:val="231F20"/>
          <w:sz w:val="20"/>
        </w:rPr>
        <w:t>and</w:t>
      </w:r>
      <w:r>
        <w:rPr>
          <w:color w:val="231F20"/>
          <w:spacing w:val="-11"/>
          <w:sz w:val="20"/>
        </w:rPr>
        <w:t xml:space="preserve"> </w:t>
      </w:r>
      <w:r>
        <w:rPr>
          <w:color w:val="231F20"/>
          <w:sz w:val="20"/>
        </w:rPr>
        <w:t>safer</w:t>
      </w:r>
      <w:r>
        <w:rPr>
          <w:color w:val="231F20"/>
          <w:spacing w:val="-10"/>
          <w:sz w:val="20"/>
        </w:rPr>
        <w:t xml:space="preserve"> </w:t>
      </w:r>
      <w:r>
        <w:rPr>
          <w:color w:val="231F20"/>
          <w:spacing w:val="-3"/>
          <w:sz w:val="20"/>
        </w:rPr>
        <w:t>for</w:t>
      </w:r>
      <w:r>
        <w:rPr>
          <w:color w:val="231F20"/>
          <w:spacing w:val="-11"/>
          <w:sz w:val="20"/>
        </w:rPr>
        <w:t xml:space="preserve"> </w:t>
      </w:r>
      <w:r>
        <w:rPr>
          <w:color w:val="231F20"/>
          <w:sz w:val="20"/>
        </w:rPr>
        <w:t>victim</w:t>
      </w:r>
      <w:r>
        <w:rPr>
          <w:color w:val="231F20"/>
          <w:spacing w:val="-10"/>
          <w:sz w:val="20"/>
        </w:rPr>
        <w:t xml:space="preserve"> </w:t>
      </w:r>
      <w:r>
        <w:rPr>
          <w:color w:val="231F20"/>
          <w:sz w:val="20"/>
        </w:rPr>
        <w:t>survivors</w:t>
      </w:r>
      <w:r>
        <w:rPr>
          <w:color w:val="231F20"/>
          <w:spacing w:val="-11"/>
          <w:sz w:val="20"/>
        </w:rPr>
        <w:t xml:space="preserve"> </w:t>
      </w:r>
      <w:r>
        <w:rPr>
          <w:color w:val="231F20"/>
          <w:sz w:val="20"/>
        </w:rPr>
        <w:t>in</w:t>
      </w:r>
      <w:r>
        <w:rPr>
          <w:color w:val="231F20"/>
          <w:spacing w:val="-10"/>
          <w:sz w:val="20"/>
        </w:rPr>
        <w:t xml:space="preserve"> </w:t>
      </w:r>
      <w:r>
        <w:rPr>
          <w:color w:val="231F20"/>
          <w:sz w:val="20"/>
        </w:rPr>
        <w:t>sexual</w:t>
      </w:r>
      <w:r>
        <w:rPr>
          <w:color w:val="231F20"/>
          <w:spacing w:val="-11"/>
          <w:sz w:val="20"/>
        </w:rPr>
        <w:t xml:space="preserve"> </w:t>
      </w:r>
      <w:r>
        <w:rPr>
          <w:color w:val="231F20"/>
          <w:sz w:val="20"/>
        </w:rPr>
        <w:t>offence</w:t>
      </w:r>
      <w:r>
        <w:rPr>
          <w:color w:val="231F20"/>
          <w:spacing w:val="-10"/>
          <w:sz w:val="20"/>
        </w:rPr>
        <w:t xml:space="preserve"> </w:t>
      </w:r>
      <w:r>
        <w:rPr>
          <w:color w:val="231F20"/>
          <w:sz w:val="20"/>
        </w:rPr>
        <w:t>and</w:t>
      </w:r>
      <w:r>
        <w:rPr>
          <w:color w:val="231F20"/>
          <w:spacing w:val="-11"/>
          <w:sz w:val="20"/>
        </w:rPr>
        <w:t xml:space="preserve"> </w:t>
      </w:r>
      <w:r>
        <w:rPr>
          <w:color w:val="231F20"/>
          <w:spacing w:val="-3"/>
          <w:sz w:val="20"/>
        </w:rPr>
        <w:t xml:space="preserve">family </w:t>
      </w:r>
      <w:r>
        <w:rPr>
          <w:color w:val="231F20"/>
          <w:sz w:val="20"/>
        </w:rPr>
        <w:t>violence</w:t>
      </w:r>
      <w:r>
        <w:rPr>
          <w:color w:val="231F20"/>
          <w:spacing w:val="-7"/>
          <w:sz w:val="20"/>
        </w:rPr>
        <w:t xml:space="preserve"> </w:t>
      </w:r>
      <w:r>
        <w:rPr>
          <w:color w:val="231F20"/>
          <w:sz w:val="20"/>
        </w:rPr>
        <w:t>matters.</w:t>
      </w:r>
      <w:r>
        <w:rPr>
          <w:color w:val="231F20"/>
          <w:spacing w:val="-7"/>
          <w:sz w:val="20"/>
        </w:rPr>
        <w:t xml:space="preserve"> </w:t>
      </w:r>
      <w:r>
        <w:rPr>
          <w:color w:val="231F20"/>
          <w:sz w:val="20"/>
        </w:rPr>
        <w:t>But</w:t>
      </w:r>
      <w:r>
        <w:rPr>
          <w:color w:val="231F20"/>
          <w:spacing w:val="-7"/>
          <w:sz w:val="20"/>
        </w:rPr>
        <w:t xml:space="preserve"> </w:t>
      </w:r>
      <w:r>
        <w:rPr>
          <w:color w:val="231F20"/>
          <w:sz w:val="20"/>
        </w:rPr>
        <w:t>people</w:t>
      </w:r>
      <w:r>
        <w:rPr>
          <w:color w:val="231F20"/>
          <w:spacing w:val="-7"/>
          <w:sz w:val="20"/>
        </w:rPr>
        <w:t xml:space="preserve"> </w:t>
      </w:r>
      <w:r>
        <w:rPr>
          <w:color w:val="231F20"/>
          <w:sz w:val="20"/>
        </w:rPr>
        <w:t>who</w:t>
      </w:r>
      <w:r>
        <w:rPr>
          <w:color w:val="231F20"/>
          <w:spacing w:val="-6"/>
          <w:sz w:val="20"/>
        </w:rPr>
        <w:t xml:space="preserve"> </w:t>
      </w:r>
      <w:r>
        <w:rPr>
          <w:color w:val="231F20"/>
          <w:sz w:val="20"/>
        </w:rPr>
        <w:t>experience</w:t>
      </w:r>
      <w:r>
        <w:rPr>
          <w:color w:val="231F20"/>
          <w:spacing w:val="-7"/>
          <w:sz w:val="20"/>
        </w:rPr>
        <w:t xml:space="preserve"> </w:t>
      </w:r>
      <w:r>
        <w:rPr>
          <w:color w:val="231F20"/>
          <w:sz w:val="20"/>
        </w:rPr>
        <w:t>stalking</w:t>
      </w:r>
      <w:r>
        <w:rPr>
          <w:color w:val="231F20"/>
          <w:spacing w:val="-7"/>
          <w:sz w:val="20"/>
        </w:rPr>
        <w:t xml:space="preserve"> </w:t>
      </w:r>
      <w:r>
        <w:rPr>
          <w:color w:val="231F20"/>
          <w:spacing w:val="-4"/>
          <w:sz w:val="20"/>
        </w:rPr>
        <w:t>have</w:t>
      </w:r>
      <w:r>
        <w:rPr>
          <w:color w:val="231F20"/>
          <w:spacing w:val="-7"/>
          <w:sz w:val="20"/>
        </w:rPr>
        <w:t xml:space="preserve"> </w:t>
      </w:r>
      <w:r>
        <w:rPr>
          <w:color w:val="231F20"/>
          <w:sz w:val="20"/>
        </w:rPr>
        <w:t>less</w:t>
      </w:r>
      <w:r>
        <w:rPr>
          <w:color w:val="231F20"/>
          <w:spacing w:val="-6"/>
          <w:sz w:val="20"/>
        </w:rPr>
        <w:t xml:space="preserve"> </w:t>
      </w:r>
      <w:r>
        <w:rPr>
          <w:color w:val="231F20"/>
          <w:sz w:val="20"/>
        </w:rPr>
        <w:t>protection.</w:t>
      </w:r>
    </w:p>
    <w:p w14:paraId="6061EEAD" w14:textId="77777777" w:rsidR="00894070" w:rsidRDefault="009B7AFD">
      <w:pPr>
        <w:pStyle w:val="ListParagraph"/>
        <w:numPr>
          <w:ilvl w:val="1"/>
          <w:numId w:val="70"/>
        </w:numPr>
        <w:tabs>
          <w:tab w:val="left" w:pos="1801"/>
          <w:tab w:val="left" w:pos="1802"/>
        </w:tabs>
        <w:spacing w:before="93"/>
        <w:rPr>
          <w:sz w:val="20"/>
        </w:rPr>
      </w:pPr>
      <w:r>
        <w:rPr>
          <w:color w:val="231F20"/>
          <w:sz w:val="20"/>
        </w:rPr>
        <w:t xml:space="preserve">This </w:t>
      </w:r>
      <w:r>
        <w:rPr>
          <w:color w:val="231F20"/>
          <w:spacing w:val="-3"/>
          <w:sz w:val="20"/>
        </w:rPr>
        <w:t xml:space="preserve">chapter </w:t>
      </w:r>
      <w:r>
        <w:rPr>
          <w:color w:val="231F20"/>
          <w:sz w:val="20"/>
        </w:rPr>
        <w:t>is</w:t>
      </w:r>
      <w:r>
        <w:rPr>
          <w:color w:val="231F20"/>
          <w:spacing w:val="-10"/>
          <w:sz w:val="20"/>
        </w:rPr>
        <w:t xml:space="preserve"> </w:t>
      </w:r>
      <w:r>
        <w:rPr>
          <w:color w:val="231F20"/>
          <w:sz w:val="20"/>
        </w:rPr>
        <w:t>about:</w:t>
      </w:r>
    </w:p>
    <w:p w14:paraId="280E5A83" w14:textId="77777777" w:rsidR="00894070" w:rsidRDefault="009B7AFD">
      <w:pPr>
        <w:pStyle w:val="ListParagraph"/>
        <w:numPr>
          <w:ilvl w:val="2"/>
          <w:numId w:val="70"/>
        </w:numPr>
        <w:tabs>
          <w:tab w:val="left" w:pos="2141"/>
          <w:tab w:val="left" w:pos="2142"/>
        </w:tabs>
        <w:spacing w:before="82" w:line="259" w:lineRule="exact"/>
        <w:ind w:hanging="340"/>
        <w:rPr>
          <w:sz w:val="20"/>
        </w:rPr>
      </w:pPr>
      <w:r>
        <w:rPr>
          <w:color w:val="231F20"/>
          <w:sz w:val="20"/>
        </w:rPr>
        <w:t>making</w:t>
      </w:r>
      <w:r>
        <w:rPr>
          <w:color w:val="231F20"/>
          <w:spacing w:val="-6"/>
          <w:sz w:val="20"/>
        </w:rPr>
        <w:t xml:space="preserve"> </w:t>
      </w:r>
      <w:r>
        <w:rPr>
          <w:color w:val="231F20"/>
          <w:sz w:val="20"/>
        </w:rPr>
        <w:t>the</w:t>
      </w:r>
      <w:r>
        <w:rPr>
          <w:color w:val="231F20"/>
          <w:spacing w:val="-6"/>
          <w:sz w:val="20"/>
        </w:rPr>
        <w:t xml:space="preserve"> </w:t>
      </w:r>
      <w:r>
        <w:rPr>
          <w:color w:val="231F20"/>
          <w:sz w:val="20"/>
        </w:rPr>
        <w:t>stalking</w:t>
      </w:r>
      <w:r>
        <w:rPr>
          <w:color w:val="231F20"/>
          <w:spacing w:val="-6"/>
          <w:sz w:val="20"/>
        </w:rPr>
        <w:t xml:space="preserve"> </w:t>
      </w:r>
      <w:r>
        <w:rPr>
          <w:color w:val="231F20"/>
          <w:sz w:val="20"/>
        </w:rPr>
        <w:t>offence</w:t>
      </w:r>
      <w:r>
        <w:rPr>
          <w:color w:val="231F20"/>
          <w:spacing w:val="-6"/>
          <w:sz w:val="20"/>
        </w:rPr>
        <w:t xml:space="preserve"> </w:t>
      </w:r>
      <w:r>
        <w:rPr>
          <w:color w:val="231F20"/>
          <w:sz w:val="20"/>
        </w:rPr>
        <w:t>clear</w:t>
      </w:r>
      <w:r>
        <w:rPr>
          <w:color w:val="231F20"/>
          <w:spacing w:val="-6"/>
          <w:sz w:val="20"/>
        </w:rPr>
        <w:t xml:space="preserve"> </w:t>
      </w:r>
      <w:r>
        <w:rPr>
          <w:color w:val="231F20"/>
          <w:sz w:val="20"/>
        </w:rPr>
        <w:t>and</w:t>
      </w:r>
      <w:r>
        <w:rPr>
          <w:color w:val="231F20"/>
          <w:spacing w:val="-6"/>
          <w:sz w:val="20"/>
        </w:rPr>
        <w:t xml:space="preserve"> </w:t>
      </w:r>
      <w:r>
        <w:rPr>
          <w:color w:val="231F20"/>
          <w:sz w:val="20"/>
        </w:rPr>
        <w:t>more</w:t>
      </w:r>
      <w:r>
        <w:rPr>
          <w:color w:val="231F20"/>
          <w:spacing w:val="-6"/>
          <w:sz w:val="20"/>
        </w:rPr>
        <w:t xml:space="preserve"> </w:t>
      </w:r>
      <w:r>
        <w:rPr>
          <w:color w:val="231F20"/>
          <w:spacing w:val="-3"/>
          <w:sz w:val="20"/>
        </w:rPr>
        <w:t>readily</w:t>
      </w:r>
      <w:r>
        <w:rPr>
          <w:color w:val="231F20"/>
          <w:spacing w:val="-6"/>
          <w:sz w:val="20"/>
        </w:rPr>
        <w:t xml:space="preserve"> </w:t>
      </w:r>
      <w:r>
        <w:rPr>
          <w:color w:val="231F20"/>
          <w:sz w:val="20"/>
        </w:rPr>
        <w:t>understood,</w:t>
      </w:r>
      <w:r>
        <w:rPr>
          <w:color w:val="231F20"/>
          <w:spacing w:val="-6"/>
          <w:sz w:val="20"/>
        </w:rPr>
        <w:t xml:space="preserve"> </w:t>
      </w:r>
      <w:r>
        <w:rPr>
          <w:color w:val="231F20"/>
          <w:sz w:val="20"/>
        </w:rPr>
        <w:t>and</w:t>
      </w:r>
      <w:r>
        <w:rPr>
          <w:color w:val="231F20"/>
          <w:spacing w:val="-6"/>
          <w:sz w:val="20"/>
        </w:rPr>
        <w:t xml:space="preserve"> </w:t>
      </w:r>
      <w:r>
        <w:rPr>
          <w:color w:val="231F20"/>
          <w:spacing w:val="-3"/>
          <w:sz w:val="20"/>
        </w:rPr>
        <w:t>improving</w:t>
      </w:r>
      <w:r>
        <w:rPr>
          <w:color w:val="231F20"/>
          <w:spacing w:val="-6"/>
          <w:sz w:val="20"/>
        </w:rPr>
        <w:t xml:space="preserve"> </w:t>
      </w:r>
      <w:r>
        <w:rPr>
          <w:color w:val="231F20"/>
          <w:sz w:val="20"/>
        </w:rPr>
        <w:t>the</w:t>
      </w:r>
    </w:p>
    <w:p w14:paraId="49B30A23" w14:textId="77777777" w:rsidR="00894070" w:rsidRDefault="009B7AFD">
      <w:pPr>
        <w:pStyle w:val="BodyText"/>
        <w:spacing w:line="259" w:lineRule="exact"/>
        <w:ind w:left="2141"/>
      </w:pPr>
      <w:r>
        <w:rPr>
          <w:color w:val="231F20"/>
        </w:rPr>
        <w:t>ways it is applied</w:t>
      </w:r>
    </w:p>
    <w:p w14:paraId="7498C38B" w14:textId="77777777" w:rsidR="00894070" w:rsidRDefault="009B7AFD">
      <w:pPr>
        <w:pStyle w:val="ListParagraph"/>
        <w:numPr>
          <w:ilvl w:val="2"/>
          <w:numId w:val="70"/>
        </w:numPr>
        <w:tabs>
          <w:tab w:val="left" w:pos="2141"/>
          <w:tab w:val="left" w:pos="2142"/>
        </w:tabs>
        <w:spacing w:before="47"/>
        <w:ind w:hanging="340"/>
        <w:rPr>
          <w:sz w:val="20"/>
        </w:rPr>
      </w:pPr>
      <w:r>
        <w:rPr>
          <w:color w:val="231F20"/>
          <w:sz w:val="20"/>
        </w:rPr>
        <w:t>prosecuting stalking cases more</w:t>
      </w:r>
      <w:r>
        <w:rPr>
          <w:color w:val="231F20"/>
          <w:spacing w:val="-18"/>
          <w:sz w:val="20"/>
        </w:rPr>
        <w:t xml:space="preserve"> </w:t>
      </w:r>
      <w:r>
        <w:rPr>
          <w:color w:val="231F20"/>
          <w:spacing w:val="-3"/>
          <w:sz w:val="20"/>
        </w:rPr>
        <w:t>effectively</w:t>
      </w:r>
    </w:p>
    <w:p w14:paraId="23929BBE" w14:textId="77777777" w:rsidR="00894070" w:rsidRDefault="009B7AFD">
      <w:pPr>
        <w:pStyle w:val="ListParagraph"/>
        <w:numPr>
          <w:ilvl w:val="2"/>
          <w:numId w:val="70"/>
        </w:numPr>
        <w:tabs>
          <w:tab w:val="left" w:pos="2141"/>
          <w:tab w:val="left" w:pos="2142"/>
        </w:tabs>
        <w:spacing w:before="48"/>
        <w:ind w:hanging="340"/>
        <w:rPr>
          <w:sz w:val="20"/>
        </w:rPr>
      </w:pPr>
      <w:r>
        <w:rPr>
          <w:color w:val="231F20"/>
          <w:sz w:val="20"/>
        </w:rPr>
        <w:t>police</w:t>
      </w:r>
      <w:r>
        <w:rPr>
          <w:color w:val="231F20"/>
          <w:spacing w:val="-7"/>
          <w:sz w:val="20"/>
        </w:rPr>
        <w:t xml:space="preserve"> </w:t>
      </w:r>
      <w:r>
        <w:rPr>
          <w:color w:val="231F20"/>
          <w:sz w:val="20"/>
        </w:rPr>
        <w:t>taking</w:t>
      </w:r>
      <w:r>
        <w:rPr>
          <w:color w:val="231F20"/>
          <w:spacing w:val="-7"/>
          <w:sz w:val="20"/>
        </w:rPr>
        <w:t xml:space="preserve"> </w:t>
      </w:r>
      <w:r>
        <w:rPr>
          <w:color w:val="231F20"/>
          <w:sz w:val="20"/>
        </w:rPr>
        <w:t>breaches</w:t>
      </w:r>
      <w:r>
        <w:rPr>
          <w:color w:val="231F20"/>
          <w:spacing w:val="-7"/>
          <w:sz w:val="20"/>
        </w:rPr>
        <w:t xml:space="preserve"> </w:t>
      </w:r>
      <w:r>
        <w:rPr>
          <w:color w:val="231F20"/>
          <w:sz w:val="20"/>
        </w:rPr>
        <w:t>of</w:t>
      </w:r>
      <w:r>
        <w:rPr>
          <w:color w:val="231F20"/>
          <w:spacing w:val="-6"/>
          <w:sz w:val="20"/>
        </w:rPr>
        <w:t xml:space="preserve"> </w:t>
      </w:r>
      <w:r>
        <w:rPr>
          <w:color w:val="231F20"/>
          <w:sz w:val="20"/>
        </w:rPr>
        <w:t>personal</w:t>
      </w:r>
      <w:r>
        <w:rPr>
          <w:color w:val="231F20"/>
          <w:spacing w:val="-7"/>
          <w:sz w:val="20"/>
        </w:rPr>
        <w:t xml:space="preserve"> </w:t>
      </w:r>
      <w:r>
        <w:rPr>
          <w:color w:val="231F20"/>
          <w:sz w:val="20"/>
        </w:rPr>
        <w:t>safety</w:t>
      </w:r>
      <w:r>
        <w:rPr>
          <w:color w:val="231F20"/>
          <w:spacing w:val="-7"/>
          <w:sz w:val="20"/>
        </w:rPr>
        <w:t xml:space="preserve"> </w:t>
      </w:r>
      <w:r>
        <w:rPr>
          <w:color w:val="231F20"/>
          <w:spacing w:val="-2"/>
          <w:sz w:val="20"/>
        </w:rPr>
        <w:t>intervention</w:t>
      </w:r>
      <w:r>
        <w:rPr>
          <w:color w:val="231F20"/>
          <w:spacing w:val="-6"/>
          <w:sz w:val="20"/>
        </w:rPr>
        <w:t xml:space="preserve"> </w:t>
      </w:r>
      <w:r>
        <w:rPr>
          <w:color w:val="231F20"/>
          <w:sz w:val="20"/>
        </w:rPr>
        <w:t>orders</w:t>
      </w:r>
      <w:r>
        <w:rPr>
          <w:color w:val="231F20"/>
          <w:spacing w:val="-7"/>
          <w:sz w:val="20"/>
        </w:rPr>
        <w:t xml:space="preserve"> </w:t>
      </w:r>
      <w:r>
        <w:rPr>
          <w:color w:val="231F20"/>
          <w:sz w:val="20"/>
        </w:rPr>
        <w:t>(PSIOs)</w:t>
      </w:r>
      <w:r>
        <w:rPr>
          <w:color w:val="231F20"/>
          <w:spacing w:val="-7"/>
          <w:sz w:val="20"/>
        </w:rPr>
        <w:t xml:space="preserve"> </w:t>
      </w:r>
      <w:r>
        <w:rPr>
          <w:color w:val="231F20"/>
          <w:sz w:val="20"/>
        </w:rPr>
        <w:t>more</w:t>
      </w:r>
      <w:r>
        <w:rPr>
          <w:color w:val="231F20"/>
          <w:spacing w:val="-6"/>
          <w:sz w:val="20"/>
        </w:rPr>
        <w:t xml:space="preserve"> </w:t>
      </w:r>
      <w:r>
        <w:rPr>
          <w:color w:val="231F20"/>
          <w:sz w:val="20"/>
        </w:rPr>
        <w:t>seriously</w:t>
      </w:r>
    </w:p>
    <w:p w14:paraId="4A6D7F65" w14:textId="77777777" w:rsidR="00894070" w:rsidRDefault="009B7AFD">
      <w:pPr>
        <w:pStyle w:val="ListParagraph"/>
        <w:numPr>
          <w:ilvl w:val="2"/>
          <w:numId w:val="70"/>
        </w:numPr>
        <w:tabs>
          <w:tab w:val="left" w:pos="2141"/>
          <w:tab w:val="left" w:pos="2142"/>
        </w:tabs>
        <w:spacing w:before="47"/>
        <w:ind w:hanging="340"/>
        <w:rPr>
          <w:sz w:val="20"/>
        </w:rPr>
      </w:pPr>
      <w:r>
        <w:rPr>
          <w:color w:val="231F20"/>
          <w:spacing w:val="-3"/>
          <w:sz w:val="20"/>
        </w:rPr>
        <w:t xml:space="preserve">protecting </w:t>
      </w:r>
      <w:r>
        <w:rPr>
          <w:color w:val="231F20"/>
          <w:sz w:val="20"/>
        </w:rPr>
        <w:t>victim survivors of stalking in criminal</w:t>
      </w:r>
      <w:r>
        <w:rPr>
          <w:color w:val="231F20"/>
          <w:spacing w:val="-31"/>
          <w:sz w:val="20"/>
        </w:rPr>
        <w:t xml:space="preserve"> </w:t>
      </w:r>
      <w:r>
        <w:rPr>
          <w:color w:val="231F20"/>
          <w:sz w:val="20"/>
        </w:rPr>
        <w:t>proceedings.</w:t>
      </w:r>
    </w:p>
    <w:p w14:paraId="65BD2872" w14:textId="77777777" w:rsidR="00894070" w:rsidRDefault="009B7AFD">
      <w:pPr>
        <w:pStyle w:val="Heading7"/>
        <w:spacing w:before="185"/>
      </w:pPr>
      <w:r>
        <w:rPr>
          <w:color w:val="EA5B50"/>
        </w:rPr>
        <w:t>The criminal offence of stalking</w:t>
      </w:r>
    </w:p>
    <w:p w14:paraId="24C586B1" w14:textId="77777777" w:rsidR="00894070" w:rsidRDefault="009B7AFD">
      <w:pPr>
        <w:pStyle w:val="ListParagraph"/>
        <w:numPr>
          <w:ilvl w:val="1"/>
          <w:numId w:val="70"/>
        </w:numPr>
        <w:tabs>
          <w:tab w:val="left" w:pos="1801"/>
          <w:tab w:val="left" w:pos="1802"/>
        </w:tabs>
        <w:spacing w:before="114"/>
        <w:rPr>
          <w:sz w:val="11"/>
        </w:rPr>
      </w:pPr>
      <w:r>
        <w:rPr>
          <w:color w:val="231F20"/>
          <w:sz w:val="20"/>
        </w:rPr>
        <w:t xml:space="preserve">Stalking was </w:t>
      </w:r>
      <w:r>
        <w:rPr>
          <w:color w:val="231F20"/>
          <w:spacing w:val="-3"/>
          <w:sz w:val="20"/>
        </w:rPr>
        <w:t xml:space="preserve">introduced </w:t>
      </w:r>
      <w:r>
        <w:rPr>
          <w:color w:val="231F20"/>
          <w:sz w:val="20"/>
        </w:rPr>
        <w:t>as an offence in Victoria in</w:t>
      </w:r>
      <w:r>
        <w:rPr>
          <w:color w:val="231F20"/>
          <w:spacing w:val="-37"/>
          <w:sz w:val="20"/>
        </w:rPr>
        <w:t xml:space="preserve"> </w:t>
      </w:r>
      <w:r>
        <w:rPr>
          <w:color w:val="231F20"/>
          <w:sz w:val="20"/>
        </w:rPr>
        <w:t>1994.</w:t>
      </w:r>
      <w:r>
        <w:rPr>
          <w:color w:val="231F20"/>
          <w:position w:val="7"/>
          <w:sz w:val="11"/>
        </w:rPr>
        <w:t>4</w:t>
      </w:r>
    </w:p>
    <w:p w14:paraId="48CCEFA5" w14:textId="77777777" w:rsidR="00894070" w:rsidRDefault="009B7AFD">
      <w:pPr>
        <w:pStyle w:val="ListParagraph"/>
        <w:numPr>
          <w:ilvl w:val="1"/>
          <w:numId w:val="70"/>
        </w:numPr>
        <w:tabs>
          <w:tab w:val="left" w:pos="1801"/>
          <w:tab w:val="left" w:pos="1802"/>
        </w:tabs>
        <w:spacing w:before="115" w:line="206" w:lineRule="auto"/>
        <w:ind w:right="1407"/>
        <w:rPr>
          <w:sz w:val="11"/>
        </w:rPr>
      </w:pPr>
      <w:r>
        <w:rPr>
          <w:color w:val="231F20"/>
          <w:sz w:val="20"/>
        </w:rPr>
        <w:t>The</w:t>
      </w:r>
      <w:r>
        <w:rPr>
          <w:color w:val="231F20"/>
          <w:spacing w:val="-8"/>
          <w:sz w:val="20"/>
        </w:rPr>
        <w:t xml:space="preserve"> </w:t>
      </w:r>
      <w:r>
        <w:rPr>
          <w:color w:val="231F20"/>
          <w:sz w:val="20"/>
        </w:rPr>
        <w:t>law</w:t>
      </w:r>
      <w:r>
        <w:rPr>
          <w:color w:val="231F20"/>
          <w:spacing w:val="-8"/>
          <w:sz w:val="20"/>
        </w:rPr>
        <w:t xml:space="preserve"> </w:t>
      </w:r>
      <w:r>
        <w:rPr>
          <w:color w:val="231F20"/>
          <w:sz w:val="20"/>
        </w:rPr>
        <w:t>has</w:t>
      </w:r>
      <w:r>
        <w:rPr>
          <w:color w:val="231F20"/>
          <w:spacing w:val="-8"/>
          <w:sz w:val="20"/>
        </w:rPr>
        <w:t xml:space="preserve"> </w:t>
      </w:r>
      <w:r>
        <w:rPr>
          <w:color w:val="231F20"/>
          <w:sz w:val="20"/>
        </w:rPr>
        <w:t>been</w:t>
      </w:r>
      <w:r>
        <w:rPr>
          <w:color w:val="231F20"/>
          <w:spacing w:val="-8"/>
          <w:sz w:val="20"/>
        </w:rPr>
        <w:t xml:space="preserve"> </w:t>
      </w:r>
      <w:r>
        <w:rPr>
          <w:color w:val="231F20"/>
          <w:sz w:val="20"/>
        </w:rPr>
        <w:t>amended</w:t>
      </w:r>
      <w:r>
        <w:rPr>
          <w:color w:val="231F20"/>
          <w:spacing w:val="-8"/>
          <w:sz w:val="20"/>
        </w:rPr>
        <w:t xml:space="preserve"> </w:t>
      </w:r>
      <w:r>
        <w:rPr>
          <w:color w:val="231F20"/>
          <w:spacing w:val="-3"/>
          <w:sz w:val="20"/>
        </w:rPr>
        <w:t>several</w:t>
      </w:r>
      <w:r>
        <w:rPr>
          <w:color w:val="231F20"/>
          <w:spacing w:val="-8"/>
          <w:sz w:val="20"/>
        </w:rPr>
        <w:t xml:space="preserve"> </w:t>
      </w:r>
      <w:r>
        <w:rPr>
          <w:color w:val="231F20"/>
          <w:sz w:val="20"/>
        </w:rPr>
        <w:t>times,</w:t>
      </w:r>
      <w:r>
        <w:rPr>
          <w:color w:val="231F20"/>
          <w:spacing w:val="-8"/>
          <w:sz w:val="20"/>
        </w:rPr>
        <w:t xml:space="preserve"> </w:t>
      </w:r>
      <w:r>
        <w:rPr>
          <w:color w:val="231F20"/>
          <w:spacing w:val="-3"/>
          <w:sz w:val="20"/>
        </w:rPr>
        <w:t>for</w:t>
      </w:r>
      <w:r>
        <w:rPr>
          <w:color w:val="231F20"/>
          <w:spacing w:val="-8"/>
          <w:sz w:val="20"/>
        </w:rPr>
        <w:t xml:space="preserve"> </w:t>
      </w:r>
      <w:r>
        <w:rPr>
          <w:color w:val="231F20"/>
          <w:spacing w:val="-3"/>
          <w:sz w:val="20"/>
        </w:rPr>
        <w:t>example,</w:t>
      </w:r>
      <w:r>
        <w:rPr>
          <w:color w:val="231F20"/>
          <w:spacing w:val="-8"/>
          <w:sz w:val="20"/>
        </w:rPr>
        <w:t xml:space="preserve"> </w:t>
      </w:r>
      <w:r>
        <w:rPr>
          <w:color w:val="231F20"/>
          <w:sz w:val="20"/>
        </w:rPr>
        <w:t>to</w:t>
      </w:r>
      <w:r>
        <w:rPr>
          <w:color w:val="231F20"/>
          <w:spacing w:val="-8"/>
          <w:sz w:val="20"/>
        </w:rPr>
        <w:t xml:space="preserve"> </w:t>
      </w:r>
      <w:r>
        <w:rPr>
          <w:color w:val="231F20"/>
          <w:sz w:val="20"/>
        </w:rPr>
        <w:t>include</w:t>
      </w:r>
      <w:r>
        <w:rPr>
          <w:color w:val="231F20"/>
          <w:spacing w:val="-8"/>
          <w:sz w:val="20"/>
        </w:rPr>
        <w:t xml:space="preserve"> </w:t>
      </w:r>
      <w:r>
        <w:rPr>
          <w:color w:val="231F20"/>
          <w:sz w:val="20"/>
        </w:rPr>
        <w:t>cyberstalking</w:t>
      </w:r>
      <w:r>
        <w:rPr>
          <w:color w:val="231F20"/>
          <w:spacing w:val="-7"/>
          <w:sz w:val="20"/>
        </w:rPr>
        <w:t xml:space="preserve"> </w:t>
      </w:r>
      <w:r>
        <w:rPr>
          <w:color w:val="231F20"/>
          <w:sz w:val="20"/>
        </w:rPr>
        <w:t xml:space="preserve">(see </w:t>
      </w:r>
      <w:r>
        <w:rPr>
          <w:color w:val="231F20"/>
          <w:spacing w:val="-3"/>
          <w:sz w:val="20"/>
        </w:rPr>
        <w:t xml:space="preserve">Chapter </w:t>
      </w:r>
      <w:r>
        <w:rPr>
          <w:color w:val="231F20"/>
          <w:sz w:val="20"/>
        </w:rPr>
        <w:t>3) and some types of</w:t>
      </w:r>
      <w:r>
        <w:rPr>
          <w:color w:val="231F20"/>
          <w:spacing w:val="-23"/>
          <w:sz w:val="20"/>
        </w:rPr>
        <w:t xml:space="preserve"> </w:t>
      </w:r>
      <w:r>
        <w:rPr>
          <w:color w:val="231F20"/>
          <w:sz w:val="20"/>
        </w:rPr>
        <w:t>bullying.</w:t>
      </w:r>
      <w:r>
        <w:rPr>
          <w:color w:val="231F20"/>
          <w:position w:val="7"/>
          <w:sz w:val="11"/>
        </w:rPr>
        <w:t>5</w:t>
      </w:r>
    </w:p>
    <w:p w14:paraId="79126162" w14:textId="77777777" w:rsidR="00894070" w:rsidRDefault="009B7AFD">
      <w:pPr>
        <w:spacing w:before="102"/>
        <w:ind w:left="1801"/>
        <w:rPr>
          <w:b/>
          <w:sz w:val="19"/>
        </w:rPr>
      </w:pPr>
      <w:r>
        <w:rPr>
          <w:b/>
          <w:color w:val="231F20"/>
          <w:sz w:val="19"/>
        </w:rPr>
        <w:t>Table 12: The stalking offence and what must be proved</w:t>
      </w:r>
    </w:p>
    <w:p w14:paraId="512EE1A4" w14:textId="77777777" w:rsidR="00894070" w:rsidRDefault="00894070">
      <w:pPr>
        <w:pStyle w:val="BodyText"/>
        <w:spacing w:before="8"/>
        <w:rPr>
          <w:b/>
          <w:sz w:val="13"/>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1410"/>
        <w:gridCol w:w="2693"/>
        <w:gridCol w:w="3824"/>
      </w:tblGrid>
      <w:tr w:rsidR="00894070" w14:paraId="44A5CB4D" w14:textId="77777777">
        <w:trPr>
          <w:trHeight w:val="518"/>
        </w:trPr>
        <w:tc>
          <w:tcPr>
            <w:tcW w:w="1410" w:type="dxa"/>
            <w:shd w:val="clear" w:color="auto" w:fill="F4BCAE"/>
          </w:tcPr>
          <w:p w14:paraId="0E931FEE" w14:textId="77777777" w:rsidR="00894070" w:rsidRDefault="009B7AFD">
            <w:pPr>
              <w:pStyle w:val="TableParagraph"/>
              <w:spacing w:before="122"/>
              <w:rPr>
                <w:b/>
                <w:sz w:val="20"/>
              </w:rPr>
            </w:pPr>
            <w:r>
              <w:rPr>
                <w:b/>
                <w:color w:val="231F20"/>
                <w:sz w:val="20"/>
              </w:rPr>
              <w:t>Element</w:t>
            </w:r>
          </w:p>
        </w:tc>
        <w:tc>
          <w:tcPr>
            <w:tcW w:w="2693" w:type="dxa"/>
            <w:shd w:val="clear" w:color="auto" w:fill="F4BCAE"/>
          </w:tcPr>
          <w:p w14:paraId="3D3CAEA6" w14:textId="77777777" w:rsidR="00894070" w:rsidRDefault="009B7AFD">
            <w:pPr>
              <w:pStyle w:val="TableParagraph"/>
              <w:spacing w:before="122"/>
              <w:rPr>
                <w:b/>
                <w:sz w:val="20"/>
              </w:rPr>
            </w:pPr>
            <w:r>
              <w:rPr>
                <w:b/>
                <w:color w:val="231F20"/>
                <w:sz w:val="20"/>
              </w:rPr>
              <w:t>What must be proved</w:t>
            </w:r>
          </w:p>
        </w:tc>
        <w:tc>
          <w:tcPr>
            <w:tcW w:w="3824" w:type="dxa"/>
            <w:shd w:val="clear" w:color="auto" w:fill="F4BCAE"/>
          </w:tcPr>
          <w:p w14:paraId="5C04F131" w14:textId="77777777" w:rsidR="00894070" w:rsidRDefault="009B7AFD">
            <w:pPr>
              <w:pStyle w:val="TableParagraph"/>
              <w:spacing w:before="122"/>
              <w:rPr>
                <w:b/>
                <w:sz w:val="20"/>
              </w:rPr>
            </w:pPr>
            <w:r>
              <w:rPr>
                <w:b/>
                <w:color w:val="231F20"/>
                <w:sz w:val="20"/>
              </w:rPr>
              <w:t>Description</w:t>
            </w:r>
          </w:p>
        </w:tc>
      </w:tr>
      <w:tr w:rsidR="00894070" w14:paraId="25C80E06" w14:textId="77777777">
        <w:trPr>
          <w:trHeight w:val="2204"/>
        </w:trPr>
        <w:tc>
          <w:tcPr>
            <w:tcW w:w="1410" w:type="dxa"/>
          </w:tcPr>
          <w:p w14:paraId="27753565" w14:textId="77777777" w:rsidR="00894070" w:rsidRDefault="009B7AFD">
            <w:pPr>
              <w:pStyle w:val="TableParagraph"/>
              <w:spacing w:before="98" w:line="206" w:lineRule="auto"/>
              <w:ind w:right="460"/>
              <w:rPr>
                <w:b/>
                <w:sz w:val="20"/>
              </w:rPr>
            </w:pPr>
            <w:r>
              <w:rPr>
                <w:b/>
                <w:color w:val="231F20"/>
                <w:sz w:val="20"/>
              </w:rPr>
              <w:t>Physical element</w:t>
            </w:r>
          </w:p>
        </w:tc>
        <w:tc>
          <w:tcPr>
            <w:tcW w:w="2693" w:type="dxa"/>
          </w:tcPr>
          <w:p w14:paraId="568E3729" w14:textId="77777777" w:rsidR="00894070" w:rsidRDefault="009B7AFD">
            <w:pPr>
              <w:pStyle w:val="TableParagraph"/>
              <w:spacing w:before="98" w:line="206" w:lineRule="auto"/>
              <w:rPr>
                <w:sz w:val="11"/>
              </w:rPr>
            </w:pPr>
            <w:r>
              <w:rPr>
                <w:color w:val="231F20"/>
                <w:sz w:val="20"/>
              </w:rPr>
              <w:t>The accused person engaged in a ‘course of conduct’</w:t>
            </w:r>
            <w:r>
              <w:rPr>
                <w:color w:val="231F20"/>
                <w:position w:val="7"/>
                <w:sz w:val="11"/>
              </w:rPr>
              <w:t>6</w:t>
            </w:r>
          </w:p>
        </w:tc>
        <w:tc>
          <w:tcPr>
            <w:tcW w:w="3824" w:type="dxa"/>
          </w:tcPr>
          <w:p w14:paraId="28E70713" w14:textId="77777777" w:rsidR="00894070" w:rsidRDefault="009B7AFD">
            <w:pPr>
              <w:pStyle w:val="TableParagraph"/>
              <w:spacing w:before="98" w:line="206" w:lineRule="auto"/>
              <w:rPr>
                <w:sz w:val="20"/>
              </w:rPr>
            </w:pPr>
            <w:r>
              <w:rPr>
                <w:color w:val="231F20"/>
                <w:sz w:val="20"/>
              </w:rPr>
              <w:t>A range of acts and behaviours that must be committed on more than one occasion.</w:t>
            </w:r>
          </w:p>
          <w:p w14:paraId="42071BF3" w14:textId="77777777" w:rsidR="00894070" w:rsidRDefault="009B7AFD">
            <w:pPr>
              <w:pStyle w:val="TableParagraph"/>
              <w:spacing w:before="123" w:line="206" w:lineRule="auto"/>
              <w:ind w:right="78"/>
              <w:rPr>
                <w:sz w:val="11"/>
              </w:rPr>
            </w:pPr>
            <w:r>
              <w:rPr>
                <w:color w:val="231F20"/>
                <w:sz w:val="20"/>
              </w:rPr>
              <w:t>For example, contacting the victim survivor, making threats, interfering with property, and entering or loitering outside a place of residence or business (see Appendix C for full list)</w:t>
            </w:r>
            <w:r>
              <w:rPr>
                <w:color w:val="231F20"/>
                <w:position w:val="7"/>
                <w:sz w:val="11"/>
              </w:rPr>
              <w:t>7</w:t>
            </w:r>
          </w:p>
        </w:tc>
      </w:tr>
    </w:tbl>
    <w:p w14:paraId="06CEC05E" w14:textId="77777777" w:rsidR="00894070" w:rsidRDefault="00894070">
      <w:pPr>
        <w:pStyle w:val="BodyText"/>
        <w:rPr>
          <w:b/>
        </w:rPr>
      </w:pPr>
    </w:p>
    <w:p w14:paraId="44B694DD" w14:textId="77777777" w:rsidR="00894070" w:rsidRDefault="00894070">
      <w:pPr>
        <w:pStyle w:val="BodyText"/>
        <w:rPr>
          <w:b/>
        </w:rPr>
      </w:pPr>
    </w:p>
    <w:p w14:paraId="2B79BD66" w14:textId="77777777" w:rsidR="00894070" w:rsidRDefault="00894070">
      <w:pPr>
        <w:pStyle w:val="BodyText"/>
        <w:rPr>
          <w:b/>
        </w:rPr>
      </w:pPr>
    </w:p>
    <w:p w14:paraId="7863C718" w14:textId="77777777" w:rsidR="00894070" w:rsidRDefault="00894070">
      <w:pPr>
        <w:pStyle w:val="BodyText"/>
        <w:rPr>
          <w:b/>
        </w:rPr>
      </w:pPr>
    </w:p>
    <w:p w14:paraId="26D9EA24" w14:textId="77777777" w:rsidR="00894070" w:rsidRDefault="00894070">
      <w:pPr>
        <w:pStyle w:val="BodyText"/>
        <w:rPr>
          <w:b/>
        </w:rPr>
      </w:pPr>
    </w:p>
    <w:p w14:paraId="10F83BD3" w14:textId="77777777" w:rsidR="00894070" w:rsidRDefault="00894070">
      <w:pPr>
        <w:pStyle w:val="BodyText"/>
        <w:rPr>
          <w:b/>
        </w:rPr>
      </w:pPr>
    </w:p>
    <w:p w14:paraId="1E1BD1D7" w14:textId="77777777" w:rsidR="00894070" w:rsidRDefault="00894070">
      <w:pPr>
        <w:pStyle w:val="BodyText"/>
        <w:rPr>
          <w:b/>
        </w:rPr>
      </w:pPr>
    </w:p>
    <w:p w14:paraId="2C4DE3D2" w14:textId="77777777" w:rsidR="00894070" w:rsidRDefault="00894070">
      <w:pPr>
        <w:pStyle w:val="BodyText"/>
        <w:rPr>
          <w:b/>
        </w:rPr>
      </w:pPr>
    </w:p>
    <w:p w14:paraId="4329CA67" w14:textId="77777777" w:rsidR="00894070" w:rsidRDefault="00894070">
      <w:pPr>
        <w:pStyle w:val="BodyText"/>
        <w:rPr>
          <w:b/>
        </w:rPr>
      </w:pPr>
    </w:p>
    <w:p w14:paraId="3546A676" w14:textId="77777777" w:rsidR="00894070" w:rsidRDefault="00894070">
      <w:pPr>
        <w:pStyle w:val="BodyText"/>
        <w:rPr>
          <w:b/>
        </w:rPr>
      </w:pPr>
    </w:p>
    <w:p w14:paraId="726CDCEC" w14:textId="77777777" w:rsidR="00894070" w:rsidRDefault="00894070">
      <w:pPr>
        <w:pStyle w:val="BodyText"/>
        <w:rPr>
          <w:b/>
        </w:rPr>
      </w:pPr>
    </w:p>
    <w:p w14:paraId="556444B1" w14:textId="77777777" w:rsidR="00894070" w:rsidRDefault="009F6793">
      <w:pPr>
        <w:pStyle w:val="BodyText"/>
        <w:spacing w:before="5"/>
        <w:rPr>
          <w:b/>
          <w:sz w:val="19"/>
        </w:rPr>
      </w:pPr>
      <w:r>
        <w:pict w14:anchorId="6CA30978">
          <v:line id="_x0000_s1224" style="position:absolute;z-index:251721728;mso-wrap-distance-left:0;mso-wrap-distance-right:0;mso-position-horizontal-relative:page" from="79.35pt,15.9pt" to="515.9pt,15.9pt" strokecolor="#f8cabc" strokeweight="1pt">
            <w10:wrap type="topAndBottom" anchorx="page"/>
          </v:line>
        </w:pict>
      </w:r>
    </w:p>
    <w:p w14:paraId="02AC16FE" w14:textId="77777777" w:rsidR="00894070" w:rsidRDefault="00894070">
      <w:pPr>
        <w:pStyle w:val="BodyText"/>
        <w:rPr>
          <w:b/>
          <w:sz w:val="5"/>
        </w:rPr>
      </w:pPr>
    </w:p>
    <w:p w14:paraId="1EFAB5D7" w14:textId="77777777" w:rsidR="00894070" w:rsidRDefault="00894070">
      <w:pPr>
        <w:rPr>
          <w:sz w:val="5"/>
        </w:rPr>
        <w:sectPr w:rsidR="00894070">
          <w:headerReference w:type="even" r:id="rId169"/>
          <w:headerReference w:type="default" r:id="rId170"/>
          <w:pgSz w:w="11910" w:h="16840"/>
          <w:pgMar w:top="840" w:right="420" w:bottom="280" w:left="580" w:header="0" w:footer="0" w:gutter="0"/>
          <w:cols w:space="720"/>
        </w:sectPr>
      </w:pPr>
    </w:p>
    <w:p w14:paraId="131EA8FD" w14:textId="77777777" w:rsidR="00894070" w:rsidRDefault="009B7AFD">
      <w:pPr>
        <w:pStyle w:val="ListParagraph"/>
        <w:numPr>
          <w:ilvl w:val="0"/>
          <w:numId w:val="68"/>
        </w:numPr>
        <w:tabs>
          <w:tab w:val="left" w:pos="1801"/>
          <w:tab w:val="left" w:pos="1802"/>
        </w:tabs>
        <w:spacing w:before="38" w:line="213" w:lineRule="auto"/>
        <w:ind w:right="152"/>
        <w:rPr>
          <w:sz w:val="13"/>
        </w:rPr>
      </w:pPr>
      <w:r>
        <w:rPr>
          <w:i/>
          <w:color w:val="231F20"/>
          <w:sz w:val="13"/>
        </w:rPr>
        <w:t xml:space="preserve">Crimes </w:t>
      </w:r>
      <w:r>
        <w:rPr>
          <w:i/>
          <w:color w:val="231F20"/>
          <w:spacing w:val="2"/>
          <w:sz w:val="13"/>
        </w:rPr>
        <w:t xml:space="preserve">(Amendment) </w:t>
      </w:r>
      <w:r>
        <w:rPr>
          <w:i/>
          <w:color w:val="231F20"/>
          <w:sz w:val="13"/>
        </w:rPr>
        <w:t xml:space="preserve">Act 1994 </w:t>
      </w:r>
      <w:r>
        <w:rPr>
          <w:color w:val="231F20"/>
          <w:sz w:val="13"/>
        </w:rPr>
        <w:t xml:space="preserve">(Vic) s </w:t>
      </w:r>
      <w:r>
        <w:rPr>
          <w:color w:val="231F20"/>
          <w:spacing w:val="3"/>
          <w:sz w:val="13"/>
        </w:rPr>
        <w:t xml:space="preserve">3. </w:t>
      </w:r>
      <w:r>
        <w:rPr>
          <w:color w:val="231F20"/>
          <w:sz w:val="13"/>
        </w:rPr>
        <w:t xml:space="preserve">See </w:t>
      </w:r>
      <w:r>
        <w:rPr>
          <w:color w:val="231F20"/>
          <w:spacing w:val="2"/>
          <w:sz w:val="13"/>
        </w:rPr>
        <w:t xml:space="preserve">also </w:t>
      </w:r>
      <w:r>
        <w:rPr>
          <w:color w:val="231F20"/>
          <w:sz w:val="13"/>
        </w:rPr>
        <w:t xml:space="preserve">Victoria, </w:t>
      </w:r>
      <w:r>
        <w:rPr>
          <w:i/>
          <w:color w:val="231F20"/>
          <w:sz w:val="13"/>
        </w:rPr>
        <w:t>Parliamentary Debates</w:t>
      </w:r>
      <w:r>
        <w:rPr>
          <w:color w:val="231F20"/>
          <w:sz w:val="13"/>
        </w:rPr>
        <w:t xml:space="preserve">, Legislative Assembly, 20 October </w:t>
      </w:r>
      <w:r>
        <w:rPr>
          <w:color w:val="231F20"/>
          <w:spacing w:val="2"/>
          <w:sz w:val="13"/>
        </w:rPr>
        <w:t xml:space="preserve">1994, </w:t>
      </w:r>
      <w:r>
        <w:rPr>
          <w:color w:val="231F20"/>
          <w:sz w:val="13"/>
        </w:rPr>
        <w:t>1383, 1384 (Geoffrey Coleman).</w:t>
      </w:r>
    </w:p>
    <w:p w14:paraId="1A45BF04" w14:textId="77777777" w:rsidR="00894070" w:rsidRDefault="009B7AFD">
      <w:pPr>
        <w:pStyle w:val="ListParagraph"/>
        <w:numPr>
          <w:ilvl w:val="0"/>
          <w:numId w:val="68"/>
        </w:numPr>
        <w:tabs>
          <w:tab w:val="left" w:pos="1801"/>
          <w:tab w:val="left" w:pos="1802"/>
        </w:tabs>
        <w:spacing w:line="213" w:lineRule="auto"/>
        <w:jc w:val="both"/>
        <w:rPr>
          <w:sz w:val="13"/>
        </w:rPr>
      </w:pPr>
      <w:r>
        <w:rPr>
          <w:i/>
          <w:color w:val="231F20"/>
          <w:sz w:val="13"/>
        </w:rPr>
        <w:t xml:space="preserve">Crimes (Stalking) Act 2003 </w:t>
      </w:r>
      <w:r>
        <w:rPr>
          <w:color w:val="231F20"/>
          <w:sz w:val="13"/>
        </w:rPr>
        <w:t xml:space="preserve">(Vic) s 3 (cyberstalking); </w:t>
      </w:r>
      <w:r>
        <w:rPr>
          <w:i/>
          <w:color w:val="231F20"/>
          <w:sz w:val="13"/>
        </w:rPr>
        <w:t xml:space="preserve">Crimes Amendment (Bullying) Act 2011 </w:t>
      </w:r>
      <w:r>
        <w:rPr>
          <w:color w:val="231F20"/>
          <w:sz w:val="13"/>
        </w:rPr>
        <w:t xml:space="preserve">(Vic) s 3 (bullying). See </w:t>
      </w:r>
      <w:r>
        <w:rPr>
          <w:color w:val="231F20"/>
          <w:spacing w:val="2"/>
          <w:sz w:val="13"/>
        </w:rPr>
        <w:t xml:space="preserve">also Department   </w:t>
      </w:r>
      <w:r>
        <w:rPr>
          <w:color w:val="231F20"/>
          <w:sz w:val="13"/>
        </w:rPr>
        <w:t xml:space="preserve">of Justice and Community Safety (Vic), </w:t>
      </w:r>
      <w:r>
        <w:rPr>
          <w:color w:val="231F20"/>
          <w:spacing w:val="2"/>
          <w:sz w:val="13"/>
        </w:rPr>
        <w:t xml:space="preserve">‘What </w:t>
      </w:r>
      <w:r>
        <w:rPr>
          <w:color w:val="231F20"/>
          <w:sz w:val="13"/>
        </w:rPr>
        <w:t xml:space="preserve">Is Brodie’s Law’, </w:t>
      </w:r>
      <w:r>
        <w:rPr>
          <w:i/>
          <w:color w:val="231F20"/>
          <w:sz w:val="13"/>
        </w:rPr>
        <w:t xml:space="preserve">Bullying—Brodie’s Law </w:t>
      </w:r>
      <w:r>
        <w:rPr>
          <w:color w:val="231F20"/>
          <w:sz w:val="13"/>
        </w:rPr>
        <w:t>(Web Page, 13 August 2021</w:t>
      </w:r>
      <w:hyperlink r:id="rId171">
        <w:r>
          <w:rPr>
            <w:color w:val="231F20"/>
            <w:sz w:val="13"/>
          </w:rPr>
          <w:t>) &lt;https://www.</w:t>
        </w:r>
      </w:hyperlink>
      <w:hyperlink r:id="rId172">
        <w:r>
          <w:rPr>
            <w:color w:val="231F20"/>
            <w:sz w:val="13"/>
          </w:rPr>
          <w:t xml:space="preserve"> justice.vic.gov.au/saynotobullying</w:t>
        </w:r>
      </w:hyperlink>
      <w:r>
        <w:rPr>
          <w:color w:val="231F20"/>
          <w:sz w:val="13"/>
        </w:rPr>
        <w:t>&gt;.</w:t>
      </w:r>
    </w:p>
    <w:p w14:paraId="00BDAC69" w14:textId="77777777" w:rsidR="00894070" w:rsidRDefault="009B7AFD">
      <w:pPr>
        <w:tabs>
          <w:tab w:val="left" w:pos="1801"/>
        </w:tabs>
        <w:spacing w:line="152" w:lineRule="exact"/>
        <w:ind w:left="1007"/>
        <w:rPr>
          <w:sz w:val="13"/>
        </w:rPr>
      </w:pPr>
      <w:r>
        <w:rPr>
          <w:color w:val="231F20"/>
          <w:sz w:val="13"/>
        </w:rPr>
        <w:t>6</w:t>
      </w:r>
      <w:r>
        <w:rPr>
          <w:color w:val="231F20"/>
          <w:sz w:val="13"/>
        </w:rPr>
        <w:tab/>
      </w:r>
      <w:r>
        <w:rPr>
          <w:i/>
          <w:color w:val="231F20"/>
          <w:sz w:val="13"/>
        </w:rPr>
        <w:t>Crimes Act 19</w:t>
      </w:r>
      <w:r>
        <w:rPr>
          <w:color w:val="231F20"/>
          <w:sz w:val="13"/>
        </w:rPr>
        <w:t xml:space="preserve">58 (Vic) s </w:t>
      </w:r>
      <w:r>
        <w:rPr>
          <w:color w:val="231F20"/>
          <w:spacing w:val="2"/>
          <w:sz w:val="13"/>
        </w:rPr>
        <w:t>21</w:t>
      </w:r>
      <w:proofErr w:type="gramStart"/>
      <w:r>
        <w:rPr>
          <w:color w:val="231F20"/>
          <w:spacing w:val="2"/>
          <w:sz w:val="13"/>
        </w:rPr>
        <w:t>A(</w:t>
      </w:r>
      <w:proofErr w:type="gramEnd"/>
      <w:r>
        <w:rPr>
          <w:color w:val="231F20"/>
          <w:spacing w:val="2"/>
          <w:sz w:val="13"/>
        </w:rPr>
        <w:t>2)–(3).</w:t>
      </w:r>
    </w:p>
    <w:p w14:paraId="078BF537" w14:textId="77777777" w:rsidR="00894070" w:rsidRDefault="009B7AFD">
      <w:pPr>
        <w:tabs>
          <w:tab w:val="left" w:pos="1800"/>
        </w:tabs>
        <w:spacing w:line="170" w:lineRule="exact"/>
        <w:ind w:left="1007"/>
        <w:rPr>
          <w:sz w:val="13"/>
        </w:rPr>
      </w:pPr>
      <w:r>
        <w:rPr>
          <w:color w:val="231F20"/>
          <w:sz w:val="13"/>
        </w:rPr>
        <w:t>7</w:t>
      </w:r>
      <w:r>
        <w:rPr>
          <w:color w:val="231F20"/>
          <w:sz w:val="13"/>
        </w:rPr>
        <w:tab/>
        <w:t>Ibid s 21</w:t>
      </w:r>
      <w:proofErr w:type="gramStart"/>
      <w:r>
        <w:rPr>
          <w:color w:val="231F20"/>
          <w:sz w:val="13"/>
        </w:rPr>
        <w:t>A(</w:t>
      </w:r>
      <w:proofErr w:type="gramEnd"/>
      <w:r>
        <w:rPr>
          <w:color w:val="231F20"/>
          <w:sz w:val="13"/>
        </w:rPr>
        <w:t>2).</w:t>
      </w:r>
    </w:p>
    <w:p w14:paraId="1F4AF3E2" w14:textId="77777777" w:rsidR="00894070" w:rsidRDefault="009B7AFD">
      <w:pPr>
        <w:pStyle w:val="BodyText"/>
        <w:rPr>
          <w:sz w:val="28"/>
        </w:rPr>
      </w:pPr>
      <w:r>
        <w:br w:type="column"/>
      </w:r>
    </w:p>
    <w:p w14:paraId="197AED39" w14:textId="77777777" w:rsidR="00894070" w:rsidRDefault="00894070">
      <w:pPr>
        <w:pStyle w:val="BodyText"/>
        <w:spacing w:before="7"/>
        <w:rPr>
          <w:sz w:val="33"/>
        </w:rPr>
      </w:pPr>
    </w:p>
    <w:p w14:paraId="1BEB63D0" w14:textId="77777777" w:rsidR="00894070" w:rsidRDefault="009B7AFD">
      <w:pPr>
        <w:pStyle w:val="Heading8"/>
        <w:spacing w:before="1"/>
        <w:ind w:left="659"/>
      </w:pPr>
      <w:r>
        <w:rPr>
          <w:color w:val="EA5B50"/>
        </w:rPr>
        <w:t>133</w:t>
      </w:r>
    </w:p>
    <w:p w14:paraId="3060D1F5" w14:textId="77777777" w:rsidR="00894070" w:rsidRDefault="00894070">
      <w:pPr>
        <w:sectPr w:rsidR="00894070">
          <w:type w:val="continuous"/>
          <w:pgSz w:w="11910" w:h="16840"/>
          <w:pgMar w:top="560" w:right="420" w:bottom="280" w:left="580" w:header="720" w:footer="720" w:gutter="0"/>
          <w:cols w:num="2" w:space="720" w:equalWidth="0">
            <w:col w:w="9643" w:space="40"/>
            <w:col w:w="1227"/>
          </w:cols>
        </w:sectPr>
      </w:pPr>
    </w:p>
    <w:p w14:paraId="0D63665B" w14:textId="77777777" w:rsidR="00894070" w:rsidRDefault="00894070">
      <w:pPr>
        <w:pStyle w:val="BodyText"/>
        <w:rPr>
          <w:b/>
        </w:rPr>
      </w:pPr>
    </w:p>
    <w:p w14:paraId="395A71AF" w14:textId="77777777" w:rsidR="00894070" w:rsidRDefault="00894070">
      <w:pPr>
        <w:pStyle w:val="BodyText"/>
        <w:rPr>
          <w:b/>
        </w:rPr>
      </w:pPr>
    </w:p>
    <w:p w14:paraId="5DC826BE" w14:textId="77777777" w:rsidR="00894070" w:rsidRDefault="00894070">
      <w:pPr>
        <w:pStyle w:val="BodyText"/>
        <w:rPr>
          <w:b/>
        </w:rPr>
      </w:pPr>
    </w:p>
    <w:p w14:paraId="62833936" w14:textId="77777777" w:rsidR="00894070" w:rsidRDefault="00894070">
      <w:pPr>
        <w:pStyle w:val="BodyText"/>
        <w:spacing w:before="8"/>
        <w:rPr>
          <w:b/>
          <w:sz w:val="19"/>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1410"/>
        <w:gridCol w:w="2693"/>
        <w:gridCol w:w="3824"/>
      </w:tblGrid>
      <w:tr w:rsidR="00894070" w14:paraId="7BEC790B" w14:textId="77777777">
        <w:trPr>
          <w:trHeight w:val="518"/>
        </w:trPr>
        <w:tc>
          <w:tcPr>
            <w:tcW w:w="1410" w:type="dxa"/>
            <w:shd w:val="clear" w:color="auto" w:fill="F4BCAE"/>
          </w:tcPr>
          <w:p w14:paraId="5F36C5ED" w14:textId="77777777" w:rsidR="00894070" w:rsidRDefault="009B7AFD">
            <w:pPr>
              <w:pStyle w:val="TableParagraph"/>
              <w:spacing w:before="122"/>
              <w:rPr>
                <w:b/>
                <w:sz w:val="20"/>
              </w:rPr>
            </w:pPr>
            <w:r>
              <w:rPr>
                <w:b/>
                <w:color w:val="231F20"/>
                <w:sz w:val="20"/>
              </w:rPr>
              <w:t>Element</w:t>
            </w:r>
          </w:p>
        </w:tc>
        <w:tc>
          <w:tcPr>
            <w:tcW w:w="2693" w:type="dxa"/>
            <w:shd w:val="clear" w:color="auto" w:fill="F4BCAE"/>
          </w:tcPr>
          <w:p w14:paraId="5353F1DC" w14:textId="77777777" w:rsidR="00894070" w:rsidRDefault="009B7AFD">
            <w:pPr>
              <w:pStyle w:val="TableParagraph"/>
              <w:spacing w:before="122"/>
              <w:rPr>
                <w:b/>
                <w:sz w:val="20"/>
              </w:rPr>
            </w:pPr>
            <w:r>
              <w:rPr>
                <w:b/>
                <w:color w:val="231F20"/>
                <w:sz w:val="20"/>
              </w:rPr>
              <w:t>What must be proved</w:t>
            </w:r>
          </w:p>
        </w:tc>
        <w:tc>
          <w:tcPr>
            <w:tcW w:w="3824" w:type="dxa"/>
            <w:shd w:val="clear" w:color="auto" w:fill="F4BCAE"/>
          </w:tcPr>
          <w:p w14:paraId="567259D1" w14:textId="77777777" w:rsidR="00894070" w:rsidRDefault="009B7AFD">
            <w:pPr>
              <w:pStyle w:val="TableParagraph"/>
              <w:spacing w:before="122"/>
              <w:rPr>
                <w:b/>
                <w:sz w:val="20"/>
              </w:rPr>
            </w:pPr>
            <w:r>
              <w:rPr>
                <w:b/>
                <w:color w:val="231F20"/>
                <w:sz w:val="20"/>
              </w:rPr>
              <w:t>Description</w:t>
            </w:r>
          </w:p>
        </w:tc>
      </w:tr>
      <w:tr w:rsidR="00894070" w14:paraId="1BCAE7D9" w14:textId="77777777">
        <w:trPr>
          <w:trHeight w:val="4054"/>
        </w:trPr>
        <w:tc>
          <w:tcPr>
            <w:tcW w:w="1410" w:type="dxa"/>
          </w:tcPr>
          <w:p w14:paraId="39EC9E32" w14:textId="77777777" w:rsidR="00894070" w:rsidRDefault="009B7AFD">
            <w:pPr>
              <w:pStyle w:val="TableParagraph"/>
              <w:spacing w:before="98" w:line="206" w:lineRule="auto"/>
              <w:ind w:right="460"/>
              <w:rPr>
                <w:b/>
                <w:sz w:val="20"/>
              </w:rPr>
            </w:pPr>
            <w:r>
              <w:rPr>
                <w:b/>
                <w:color w:val="231F20"/>
                <w:sz w:val="20"/>
              </w:rPr>
              <w:t>Fault element</w:t>
            </w:r>
          </w:p>
        </w:tc>
        <w:tc>
          <w:tcPr>
            <w:tcW w:w="2693" w:type="dxa"/>
          </w:tcPr>
          <w:p w14:paraId="457DC01A" w14:textId="77777777" w:rsidR="00894070" w:rsidRDefault="009B7AFD">
            <w:pPr>
              <w:pStyle w:val="TableParagraph"/>
              <w:spacing w:before="65" w:line="259" w:lineRule="exact"/>
              <w:rPr>
                <w:sz w:val="20"/>
              </w:rPr>
            </w:pPr>
            <w:r>
              <w:rPr>
                <w:color w:val="231F20"/>
                <w:sz w:val="20"/>
              </w:rPr>
              <w:t>The accused intended to</w:t>
            </w:r>
          </w:p>
          <w:p w14:paraId="043F7A6B" w14:textId="77777777" w:rsidR="00894070" w:rsidRDefault="009B7AFD">
            <w:pPr>
              <w:pStyle w:val="TableParagraph"/>
              <w:spacing w:line="259" w:lineRule="exact"/>
              <w:rPr>
                <w:sz w:val="20"/>
              </w:rPr>
            </w:pPr>
            <w:r>
              <w:rPr>
                <w:color w:val="231F20"/>
                <w:sz w:val="20"/>
              </w:rPr>
              <w:t>cause:</w:t>
            </w:r>
          </w:p>
          <w:p w14:paraId="12480D9A" w14:textId="77777777" w:rsidR="00894070" w:rsidRDefault="009B7AFD">
            <w:pPr>
              <w:pStyle w:val="TableParagraph"/>
              <w:numPr>
                <w:ilvl w:val="0"/>
                <w:numId w:val="67"/>
              </w:numPr>
              <w:tabs>
                <w:tab w:val="left" w:pos="453"/>
                <w:tab w:val="left" w:pos="454"/>
              </w:tabs>
              <w:spacing w:before="115" w:line="206" w:lineRule="auto"/>
              <w:ind w:right="551" w:hanging="340"/>
              <w:rPr>
                <w:sz w:val="20"/>
              </w:rPr>
            </w:pPr>
            <w:r>
              <w:rPr>
                <w:color w:val="231F20"/>
                <w:sz w:val="20"/>
              </w:rPr>
              <w:t>physical or</w:t>
            </w:r>
            <w:r>
              <w:rPr>
                <w:color w:val="231F20"/>
                <w:spacing w:val="-30"/>
                <w:sz w:val="20"/>
              </w:rPr>
              <w:t xml:space="preserve"> </w:t>
            </w:r>
            <w:r>
              <w:rPr>
                <w:color w:val="231F20"/>
                <w:sz w:val="20"/>
              </w:rPr>
              <w:t>mental harm,</w:t>
            </w:r>
            <w:r>
              <w:rPr>
                <w:color w:val="231F20"/>
                <w:spacing w:val="-5"/>
                <w:sz w:val="20"/>
              </w:rPr>
              <w:t xml:space="preserve"> </w:t>
            </w:r>
            <w:r>
              <w:rPr>
                <w:color w:val="231F20"/>
                <w:sz w:val="20"/>
              </w:rPr>
              <w:t>or</w:t>
            </w:r>
          </w:p>
          <w:p w14:paraId="713E7F4B" w14:textId="77777777" w:rsidR="00894070" w:rsidRDefault="009B7AFD">
            <w:pPr>
              <w:pStyle w:val="TableParagraph"/>
              <w:numPr>
                <w:ilvl w:val="0"/>
                <w:numId w:val="67"/>
              </w:numPr>
              <w:tabs>
                <w:tab w:val="left" w:pos="453"/>
                <w:tab w:val="left" w:pos="454"/>
              </w:tabs>
              <w:spacing w:before="88" w:line="206" w:lineRule="auto"/>
              <w:ind w:right="258" w:hanging="340"/>
              <w:rPr>
                <w:sz w:val="11"/>
              </w:rPr>
            </w:pPr>
            <w:r>
              <w:rPr>
                <w:color w:val="231F20"/>
                <w:sz w:val="20"/>
              </w:rPr>
              <w:t xml:space="preserve">to arouse fear in the victim </w:t>
            </w:r>
            <w:r>
              <w:rPr>
                <w:color w:val="231F20"/>
                <w:spacing w:val="-3"/>
                <w:sz w:val="20"/>
              </w:rPr>
              <w:t xml:space="preserve">for </w:t>
            </w:r>
            <w:r>
              <w:rPr>
                <w:color w:val="231F20"/>
                <w:sz w:val="20"/>
              </w:rPr>
              <w:t xml:space="preserve">their </w:t>
            </w:r>
            <w:r>
              <w:rPr>
                <w:color w:val="231F20"/>
                <w:spacing w:val="-3"/>
                <w:sz w:val="20"/>
              </w:rPr>
              <w:t xml:space="preserve">own </w:t>
            </w:r>
            <w:r>
              <w:rPr>
                <w:color w:val="231F20"/>
                <w:sz w:val="20"/>
              </w:rPr>
              <w:t>safety</w:t>
            </w:r>
            <w:r>
              <w:rPr>
                <w:color w:val="231F20"/>
                <w:spacing w:val="-12"/>
                <w:sz w:val="20"/>
              </w:rPr>
              <w:t xml:space="preserve"> </w:t>
            </w:r>
            <w:r>
              <w:rPr>
                <w:color w:val="231F20"/>
                <w:sz w:val="20"/>
              </w:rPr>
              <w:t>or</w:t>
            </w:r>
            <w:r>
              <w:rPr>
                <w:color w:val="231F20"/>
                <w:spacing w:val="-11"/>
                <w:sz w:val="20"/>
              </w:rPr>
              <w:t xml:space="preserve"> </w:t>
            </w:r>
            <w:r>
              <w:rPr>
                <w:color w:val="231F20"/>
                <w:sz w:val="20"/>
              </w:rPr>
              <w:t>the</w:t>
            </w:r>
            <w:r>
              <w:rPr>
                <w:color w:val="231F20"/>
                <w:spacing w:val="-11"/>
                <w:sz w:val="20"/>
              </w:rPr>
              <w:t xml:space="preserve"> </w:t>
            </w:r>
            <w:r>
              <w:rPr>
                <w:color w:val="231F20"/>
                <w:sz w:val="20"/>
              </w:rPr>
              <w:t>safety</w:t>
            </w:r>
            <w:r>
              <w:rPr>
                <w:color w:val="231F20"/>
                <w:spacing w:val="-11"/>
                <w:sz w:val="20"/>
              </w:rPr>
              <w:t xml:space="preserve"> </w:t>
            </w:r>
            <w:r>
              <w:rPr>
                <w:color w:val="231F20"/>
                <w:sz w:val="20"/>
              </w:rPr>
              <w:t>of another</w:t>
            </w:r>
            <w:r>
              <w:rPr>
                <w:color w:val="231F20"/>
                <w:position w:val="7"/>
                <w:sz w:val="11"/>
              </w:rPr>
              <w:t>8</w:t>
            </w:r>
          </w:p>
          <w:p w14:paraId="05A662DA" w14:textId="77777777" w:rsidR="00894070" w:rsidRDefault="009B7AFD">
            <w:pPr>
              <w:pStyle w:val="TableParagraph"/>
              <w:spacing w:before="90" w:line="206" w:lineRule="auto"/>
              <w:rPr>
                <w:sz w:val="11"/>
              </w:rPr>
            </w:pPr>
            <w:r>
              <w:rPr>
                <w:color w:val="231F20"/>
                <w:sz w:val="20"/>
              </w:rPr>
              <w:t>Mental harm includes psychological harm and suicidal thoughts.</w:t>
            </w:r>
            <w:r>
              <w:rPr>
                <w:color w:val="231F20"/>
                <w:position w:val="7"/>
                <w:sz w:val="11"/>
              </w:rPr>
              <w:t>9</w:t>
            </w:r>
          </w:p>
        </w:tc>
        <w:tc>
          <w:tcPr>
            <w:tcW w:w="3824" w:type="dxa"/>
          </w:tcPr>
          <w:p w14:paraId="5B2AE962" w14:textId="77777777" w:rsidR="00894070" w:rsidRDefault="009B7AFD">
            <w:pPr>
              <w:pStyle w:val="TableParagraph"/>
              <w:spacing w:before="98" w:line="206" w:lineRule="auto"/>
              <w:rPr>
                <w:sz w:val="20"/>
              </w:rPr>
            </w:pPr>
            <w:r>
              <w:rPr>
                <w:color w:val="231F20"/>
                <w:sz w:val="20"/>
              </w:rPr>
              <w:t>Intention may be proved in three ways. The accused:</w:t>
            </w:r>
          </w:p>
          <w:p w14:paraId="18484A8B" w14:textId="77777777" w:rsidR="00894070" w:rsidRDefault="009B7AFD">
            <w:pPr>
              <w:pStyle w:val="TableParagraph"/>
              <w:numPr>
                <w:ilvl w:val="0"/>
                <w:numId w:val="66"/>
              </w:numPr>
              <w:tabs>
                <w:tab w:val="left" w:pos="453"/>
                <w:tab w:val="left" w:pos="454"/>
              </w:tabs>
              <w:spacing w:before="122" w:line="206" w:lineRule="auto"/>
              <w:ind w:right="608" w:hanging="340"/>
              <w:rPr>
                <w:sz w:val="11"/>
              </w:rPr>
            </w:pPr>
            <w:proofErr w:type="gramStart"/>
            <w:r>
              <w:rPr>
                <w:color w:val="231F20"/>
                <w:spacing w:val="-3"/>
                <w:sz w:val="20"/>
              </w:rPr>
              <w:t>actually</w:t>
            </w:r>
            <w:proofErr w:type="gramEnd"/>
            <w:r>
              <w:rPr>
                <w:color w:val="231F20"/>
                <w:spacing w:val="-3"/>
                <w:sz w:val="20"/>
              </w:rPr>
              <w:t xml:space="preserve"> </w:t>
            </w:r>
            <w:r>
              <w:rPr>
                <w:color w:val="231F20"/>
                <w:sz w:val="20"/>
              </w:rPr>
              <w:t>intended to cause</w:t>
            </w:r>
            <w:r>
              <w:rPr>
                <w:color w:val="231F20"/>
                <w:spacing w:val="-34"/>
                <w:sz w:val="20"/>
              </w:rPr>
              <w:t xml:space="preserve"> </w:t>
            </w:r>
            <w:r>
              <w:rPr>
                <w:color w:val="231F20"/>
                <w:sz w:val="20"/>
              </w:rPr>
              <w:t xml:space="preserve">the harm </w:t>
            </w:r>
            <w:r>
              <w:rPr>
                <w:color w:val="231F20"/>
                <w:spacing w:val="-3"/>
                <w:sz w:val="20"/>
              </w:rPr>
              <w:t xml:space="preserve">(‘intention’), </w:t>
            </w:r>
            <w:r>
              <w:rPr>
                <w:color w:val="231F20"/>
                <w:sz w:val="20"/>
              </w:rPr>
              <w:t>or arouse apprehension or</w:t>
            </w:r>
            <w:r>
              <w:rPr>
                <w:color w:val="231F20"/>
                <w:spacing w:val="-11"/>
                <w:sz w:val="20"/>
              </w:rPr>
              <w:t xml:space="preserve"> </w:t>
            </w:r>
            <w:r>
              <w:rPr>
                <w:color w:val="231F20"/>
                <w:sz w:val="20"/>
              </w:rPr>
              <w:t>fear</w:t>
            </w:r>
            <w:r>
              <w:rPr>
                <w:color w:val="231F20"/>
                <w:position w:val="7"/>
                <w:sz w:val="11"/>
              </w:rPr>
              <w:t>10</w:t>
            </w:r>
          </w:p>
          <w:p w14:paraId="2860663A" w14:textId="77777777" w:rsidR="00894070" w:rsidRDefault="009B7AFD">
            <w:pPr>
              <w:pStyle w:val="TableParagraph"/>
              <w:numPr>
                <w:ilvl w:val="0"/>
                <w:numId w:val="66"/>
              </w:numPr>
              <w:tabs>
                <w:tab w:val="left" w:pos="453"/>
                <w:tab w:val="left" w:pos="454"/>
              </w:tabs>
              <w:spacing w:before="89" w:line="206" w:lineRule="auto"/>
              <w:ind w:right="793" w:hanging="340"/>
              <w:rPr>
                <w:sz w:val="11"/>
              </w:rPr>
            </w:pPr>
            <w:r>
              <w:rPr>
                <w:color w:val="231F20"/>
                <w:sz w:val="20"/>
              </w:rPr>
              <w:t>knew that their actions</w:t>
            </w:r>
            <w:r>
              <w:rPr>
                <w:color w:val="231F20"/>
                <w:spacing w:val="-38"/>
                <w:sz w:val="20"/>
              </w:rPr>
              <w:t xml:space="preserve"> </w:t>
            </w:r>
            <w:r>
              <w:rPr>
                <w:color w:val="231F20"/>
                <w:spacing w:val="-4"/>
                <w:sz w:val="20"/>
              </w:rPr>
              <w:t xml:space="preserve">were </w:t>
            </w:r>
            <w:r>
              <w:rPr>
                <w:color w:val="231F20"/>
                <w:spacing w:val="-3"/>
                <w:sz w:val="20"/>
              </w:rPr>
              <w:t xml:space="preserve">likely </w:t>
            </w:r>
            <w:r>
              <w:rPr>
                <w:color w:val="231F20"/>
                <w:sz w:val="20"/>
              </w:rPr>
              <w:t>to cause the harm, or arouse apprehension or</w:t>
            </w:r>
            <w:r>
              <w:rPr>
                <w:color w:val="231F20"/>
                <w:spacing w:val="-36"/>
                <w:sz w:val="20"/>
              </w:rPr>
              <w:t xml:space="preserve"> </w:t>
            </w:r>
            <w:r>
              <w:rPr>
                <w:color w:val="231F20"/>
                <w:spacing w:val="-3"/>
                <w:sz w:val="20"/>
              </w:rPr>
              <w:t xml:space="preserve">fear </w:t>
            </w:r>
            <w:r>
              <w:rPr>
                <w:color w:val="231F20"/>
                <w:sz w:val="20"/>
              </w:rPr>
              <w:t>(‘recklessness’)</w:t>
            </w:r>
            <w:r>
              <w:rPr>
                <w:color w:val="231F20"/>
                <w:position w:val="7"/>
                <w:sz w:val="11"/>
              </w:rPr>
              <w:t>11</w:t>
            </w:r>
          </w:p>
          <w:p w14:paraId="153E8D99" w14:textId="77777777" w:rsidR="00894070" w:rsidRDefault="009B7AFD">
            <w:pPr>
              <w:pStyle w:val="TableParagraph"/>
              <w:numPr>
                <w:ilvl w:val="0"/>
                <w:numId w:val="66"/>
              </w:numPr>
              <w:tabs>
                <w:tab w:val="left" w:pos="453"/>
                <w:tab w:val="left" w:pos="454"/>
              </w:tabs>
              <w:spacing w:before="90" w:line="206" w:lineRule="auto"/>
              <w:ind w:right="111" w:hanging="340"/>
              <w:rPr>
                <w:sz w:val="11"/>
              </w:rPr>
            </w:pPr>
            <w:r>
              <w:rPr>
                <w:color w:val="231F20"/>
                <w:sz w:val="20"/>
              </w:rPr>
              <w:t>ought</w:t>
            </w:r>
            <w:r>
              <w:rPr>
                <w:color w:val="231F20"/>
                <w:spacing w:val="-11"/>
                <w:sz w:val="20"/>
              </w:rPr>
              <w:t xml:space="preserve"> </w:t>
            </w:r>
            <w:r>
              <w:rPr>
                <w:color w:val="231F20"/>
                <w:sz w:val="20"/>
              </w:rPr>
              <w:t>to</w:t>
            </w:r>
            <w:r>
              <w:rPr>
                <w:color w:val="231F20"/>
                <w:spacing w:val="-11"/>
                <w:sz w:val="20"/>
              </w:rPr>
              <w:t xml:space="preserve"> </w:t>
            </w:r>
            <w:r>
              <w:rPr>
                <w:color w:val="231F20"/>
                <w:spacing w:val="-4"/>
                <w:sz w:val="20"/>
              </w:rPr>
              <w:t>have</w:t>
            </w:r>
            <w:r>
              <w:rPr>
                <w:color w:val="231F20"/>
                <w:spacing w:val="-10"/>
                <w:sz w:val="20"/>
              </w:rPr>
              <w:t xml:space="preserve"> </w:t>
            </w:r>
            <w:r>
              <w:rPr>
                <w:color w:val="231F20"/>
                <w:sz w:val="20"/>
              </w:rPr>
              <w:t>understood</w:t>
            </w:r>
            <w:r>
              <w:rPr>
                <w:color w:val="231F20"/>
                <w:spacing w:val="-11"/>
                <w:sz w:val="20"/>
              </w:rPr>
              <w:t xml:space="preserve"> </w:t>
            </w:r>
            <w:r>
              <w:rPr>
                <w:color w:val="231F20"/>
                <w:sz w:val="20"/>
              </w:rPr>
              <w:t>that</w:t>
            </w:r>
            <w:r>
              <w:rPr>
                <w:color w:val="231F20"/>
                <w:spacing w:val="-10"/>
                <w:sz w:val="20"/>
              </w:rPr>
              <w:t xml:space="preserve"> </w:t>
            </w:r>
            <w:r>
              <w:rPr>
                <w:color w:val="231F20"/>
                <w:sz w:val="20"/>
              </w:rPr>
              <w:t xml:space="preserve">their actions </w:t>
            </w:r>
            <w:r>
              <w:rPr>
                <w:color w:val="231F20"/>
                <w:spacing w:val="-3"/>
                <w:sz w:val="20"/>
              </w:rPr>
              <w:t xml:space="preserve">would </w:t>
            </w:r>
            <w:r>
              <w:rPr>
                <w:color w:val="231F20"/>
                <w:sz w:val="20"/>
              </w:rPr>
              <w:t xml:space="preserve">be </w:t>
            </w:r>
            <w:r>
              <w:rPr>
                <w:color w:val="231F20"/>
                <w:spacing w:val="-3"/>
                <w:sz w:val="20"/>
              </w:rPr>
              <w:t xml:space="preserve">likely </w:t>
            </w:r>
            <w:r>
              <w:rPr>
                <w:color w:val="231F20"/>
                <w:sz w:val="20"/>
              </w:rPr>
              <w:t>to cause</w:t>
            </w:r>
            <w:r>
              <w:rPr>
                <w:color w:val="231F20"/>
                <w:spacing w:val="-35"/>
                <w:sz w:val="20"/>
              </w:rPr>
              <w:t xml:space="preserve"> </w:t>
            </w:r>
            <w:r>
              <w:rPr>
                <w:color w:val="231F20"/>
                <w:sz w:val="20"/>
              </w:rPr>
              <w:t xml:space="preserve">the harm, or arouse apprehension or fear </w:t>
            </w:r>
            <w:r>
              <w:rPr>
                <w:color w:val="231F20"/>
                <w:spacing w:val="-3"/>
                <w:sz w:val="20"/>
              </w:rPr>
              <w:t xml:space="preserve">(‘objective </w:t>
            </w:r>
            <w:r>
              <w:rPr>
                <w:color w:val="231F20"/>
                <w:sz w:val="20"/>
              </w:rPr>
              <w:t xml:space="preserve">fault </w:t>
            </w:r>
            <w:r>
              <w:rPr>
                <w:color w:val="231F20"/>
                <w:spacing w:val="-3"/>
                <w:sz w:val="20"/>
              </w:rPr>
              <w:t xml:space="preserve">element’), </w:t>
            </w:r>
            <w:r>
              <w:rPr>
                <w:color w:val="231F20"/>
                <w:sz w:val="20"/>
              </w:rPr>
              <w:t xml:space="preserve">and their actions did </w:t>
            </w:r>
            <w:proofErr w:type="gramStart"/>
            <w:r>
              <w:rPr>
                <w:color w:val="231F20"/>
                <w:spacing w:val="-3"/>
                <w:sz w:val="20"/>
              </w:rPr>
              <w:t xml:space="preserve">actually </w:t>
            </w:r>
            <w:r>
              <w:rPr>
                <w:color w:val="231F20"/>
                <w:spacing w:val="-4"/>
                <w:sz w:val="20"/>
              </w:rPr>
              <w:t>have</w:t>
            </w:r>
            <w:proofErr w:type="gramEnd"/>
            <w:r>
              <w:rPr>
                <w:color w:val="231F20"/>
                <w:spacing w:val="-4"/>
                <w:sz w:val="20"/>
              </w:rPr>
              <w:t xml:space="preserve"> </w:t>
            </w:r>
            <w:r>
              <w:rPr>
                <w:color w:val="231F20"/>
                <w:sz w:val="20"/>
              </w:rPr>
              <w:t>that result</w:t>
            </w:r>
            <w:r>
              <w:rPr>
                <w:color w:val="231F20"/>
                <w:position w:val="7"/>
                <w:sz w:val="11"/>
              </w:rPr>
              <w:t>12</w:t>
            </w:r>
          </w:p>
        </w:tc>
      </w:tr>
    </w:tbl>
    <w:p w14:paraId="522D2B53" w14:textId="77777777" w:rsidR="00894070" w:rsidRDefault="00894070">
      <w:pPr>
        <w:pStyle w:val="BodyText"/>
        <w:spacing w:before="7"/>
        <w:rPr>
          <w:b/>
          <w:sz w:val="21"/>
        </w:rPr>
      </w:pPr>
    </w:p>
    <w:p w14:paraId="29E3F189" w14:textId="77777777" w:rsidR="00894070" w:rsidRDefault="009B7AFD">
      <w:pPr>
        <w:pStyle w:val="ListParagraph"/>
        <w:numPr>
          <w:ilvl w:val="1"/>
          <w:numId w:val="70"/>
        </w:numPr>
        <w:tabs>
          <w:tab w:val="left" w:pos="1801"/>
          <w:tab w:val="left" w:pos="1802"/>
        </w:tabs>
        <w:spacing w:before="90" w:line="206" w:lineRule="auto"/>
        <w:ind w:right="1242"/>
        <w:rPr>
          <w:sz w:val="11"/>
        </w:rPr>
      </w:pPr>
      <w:r>
        <w:rPr>
          <w:color w:val="231F20"/>
          <w:sz w:val="20"/>
        </w:rPr>
        <w:t>Establishing</w:t>
      </w:r>
      <w:r>
        <w:rPr>
          <w:color w:val="231F20"/>
          <w:spacing w:val="-10"/>
          <w:sz w:val="20"/>
        </w:rPr>
        <w:t xml:space="preserve"> </w:t>
      </w:r>
      <w:r>
        <w:rPr>
          <w:color w:val="231F20"/>
          <w:sz w:val="20"/>
        </w:rPr>
        <w:t>a</w:t>
      </w:r>
      <w:r>
        <w:rPr>
          <w:color w:val="231F20"/>
          <w:spacing w:val="-10"/>
          <w:sz w:val="20"/>
        </w:rPr>
        <w:t xml:space="preserve"> </w:t>
      </w:r>
      <w:r>
        <w:rPr>
          <w:color w:val="231F20"/>
          <w:sz w:val="20"/>
        </w:rPr>
        <w:t>‘course</w:t>
      </w:r>
      <w:r>
        <w:rPr>
          <w:color w:val="231F20"/>
          <w:spacing w:val="-10"/>
          <w:sz w:val="20"/>
        </w:rPr>
        <w:t xml:space="preserve"> </w:t>
      </w:r>
      <w:r>
        <w:rPr>
          <w:color w:val="231F20"/>
          <w:sz w:val="20"/>
        </w:rPr>
        <w:t>of</w:t>
      </w:r>
      <w:r>
        <w:rPr>
          <w:color w:val="231F20"/>
          <w:spacing w:val="-10"/>
          <w:sz w:val="20"/>
        </w:rPr>
        <w:t xml:space="preserve"> </w:t>
      </w:r>
      <w:r>
        <w:rPr>
          <w:color w:val="231F20"/>
          <w:sz w:val="20"/>
        </w:rPr>
        <w:t>conduct’</w:t>
      </w:r>
      <w:r>
        <w:rPr>
          <w:color w:val="231F20"/>
          <w:spacing w:val="-9"/>
          <w:sz w:val="20"/>
        </w:rPr>
        <w:t xml:space="preserve"> </w:t>
      </w:r>
      <w:r>
        <w:rPr>
          <w:color w:val="231F20"/>
          <w:sz w:val="20"/>
        </w:rPr>
        <w:t>is</w:t>
      </w:r>
      <w:r>
        <w:rPr>
          <w:color w:val="231F20"/>
          <w:spacing w:val="-10"/>
          <w:sz w:val="20"/>
        </w:rPr>
        <w:t xml:space="preserve"> </w:t>
      </w:r>
      <w:r>
        <w:rPr>
          <w:color w:val="231F20"/>
          <w:spacing w:val="-4"/>
          <w:sz w:val="20"/>
        </w:rPr>
        <w:t>key</w:t>
      </w:r>
      <w:r>
        <w:rPr>
          <w:color w:val="231F20"/>
          <w:spacing w:val="-10"/>
          <w:sz w:val="20"/>
        </w:rPr>
        <w:t xml:space="preserve"> </w:t>
      </w:r>
      <w:r>
        <w:rPr>
          <w:color w:val="231F20"/>
          <w:sz w:val="20"/>
        </w:rPr>
        <w:t>to</w:t>
      </w:r>
      <w:r>
        <w:rPr>
          <w:color w:val="231F20"/>
          <w:spacing w:val="-10"/>
          <w:sz w:val="20"/>
        </w:rPr>
        <w:t xml:space="preserve"> </w:t>
      </w:r>
      <w:r>
        <w:rPr>
          <w:color w:val="231F20"/>
          <w:spacing w:val="-3"/>
          <w:sz w:val="20"/>
        </w:rPr>
        <w:t>proving</w:t>
      </w:r>
      <w:r>
        <w:rPr>
          <w:color w:val="231F20"/>
          <w:spacing w:val="-10"/>
          <w:sz w:val="20"/>
        </w:rPr>
        <w:t xml:space="preserve"> </w:t>
      </w:r>
      <w:r>
        <w:rPr>
          <w:color w:val="231F20"/>
          <w:sz w:val="20"/>
        </w:rPr>
        <w:t>the</w:t>
      </w:r>
      <w:r>
        <w:rPr>
          <w:color w:val="231F20"/>
          <w:spacing w:val="-9"/>
          <w:sz w:val="20"/>
        </w:rPr>
        <w:t xml:space="preserve"> </w:t>
      </w:r>
      <w:r>
        <w:rPr>
          <w:color w:val="231F20"/>
          <w:sz w:val="20"/>
        </w:rPr>
        <w:t>physical</w:t>
      </w:r>
      <w:r>
        <w:rPr>
          <w:color w:val="231F20"/>
          <w:spacing w:val="-10"/>
          <w:sz w:val="20"/>
        </w:rPr>
        <w:t xml:space="preserve"> </w:t>
      </w:r>
      <w:r>
        <w:rPr>
          <w:color w:val="231F20"/>
          <w:sz w:val="20"/>
        </w:rPr>
        <w:t>element</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pacing w:val="-3"/>
          <w:sz w:val="20"/>
        </w:rPr>
        <w:t xml:space="preserve">offence. </w:t>
      </w:r>
      <w:r>
        <w:rPr>
          <w:color w:val="231F20"/>
          <w:sz w:val="20"/>
        </w:rPr>
        <w:t>The</w:t>
      </w:r>
      <w:r>
        <w:rPr>
          <w:color w:val="231F20"/>
          <w:spacing w:val="-10"/>
          <w:sz w:val="20"/>
        </w:rPr>
        <w:t xml:space="preserve"> </w:t>
      </w:r>
      <w:r>
        <w:rPr>
          <w:color w:val="231F20"/>
          <w:sz w:val="20"/>
        </w:rPr>
        <w:t>legislation</w:t>
      </w:r>
      <w:r>
        <w:rPr>
          <w:color w:val="231F20"/>
          <w:spacing w:val="-9"/>
          <w:sz w:val="20"/>
        </w:rPr>
        <w:t xml:space="preserve"> </w:t>
      </w:r>
      <w:r>
        <w:rPr>
          <w:color w:val="231F20"/>
          <w:sz w:val="20"/>
        </w:rPr>
        <w:t>has</w:t>
      </w:r>
      <w:r>
        <w:rPr>
          <w:color w:val="231F20"/>
          <w:spacing w:val="-10"/>
          <w:sz w:val="20"/>
        </w:rPr>
        <w:t xml:space="preserve"> </w:t>
      </w:r>
      <w:r>
        <w:rPr>
          <w:color w:val="231F20"/>
          <w:sz w:val="20"/>
        </w:rPr>
        <w:t>a</w:t>
      </w:r>
      <w:r>
        <w:rPr>
          <w:color w:val="231F20"/>
          <w:spacing w:val="-9"/>
          <w:sz w:val="20"/>
        </w:rPr>
        <w:t xml:space="preserve"> </w:t>
      </w:r>
      <w:r>
        <w:rPr>
          <w:color w:val="231F20"/>
          <w:sz w:val="20"/>
        </w:rPr>
        <w:t>detailed</w:t>
      </w:r>
      <w:r>
        <w:rPr>
          <w:color w:val="231F20"/>
          <w:spacing w:val="-10"/>
          <w:sz w:val="20"/>
        </w:rPr>
        <w:t xml:space="preserve"> </w:t>
      </w:r>
      <w:r>
        <w:rPr>
          <w:color w:val="231F20"/>
          <w:sz w:val="20"/>
        </w:rPr>
        <w:t>list</w:t>
      </w:r>
      <w:r>
        <w:rPr>
          <w:color w:val="231F20"/>
          <w:spacing w:val="-9"/>
          <w:sz w:val="20"/>
        </w:rPr>
        <w:t xml:space="preserve"> </w:t>
      </w:r>
      <w:r>
        <w:rPr>
          <w:color w:val="231F20"/>
          <w:sz w:val="20"/>
        </w:rPr>
        <w:t>of</w:t>
      </w:r>
      <w:r>
        <w:rPr>
          <w:color w:val="231F20"/>
          <w:spacing w:val="-9"/>
          <w:sz w:val="20"/>
        </w:rPr>
        <w:t xml:space="preserve"> </w:t>
      </w:r>
      <w:r>
        <w:rPr>
          <w:color w:val="231F20"/>
          <w:sz w:val="20"/>
        </w:rPr>
        <w:t>stalking</w:t>
      </w:r>
      <w:r>
        <w:rPr>
          <w:color w:val="231F20"/>
          <w:spacing w:val="-10"/>
          <w:sz w:val="20"/>
        </w:rPr>
        <w:t xml:space="preserve"> </w:t>
      </w:r>
      <w:r>
        <w:rPr>
          <w:color w:val="231F20"/>
          <w:sz w:val="20"/>
        </w:rPr>
        <w:t>behaviours</w:t>
      </w:r>
      <w:r>
        <w:rPr>
          <w:color w:val="231F20"/>
          <w:spacing w:val="-9"/>
          <w:sz w:val="20"/>
        </w:rPr>
        <w:t xml:space="preserve"> </w:t>
      </w:r>
      <w:r>
        <w:rPr>
          <w:color w:val="231F20"/>
          <w:sz w:val="20"/>
        </w:rPr>
        <w:t>that</w:t>
      </w:r>
      <w:r>
        <w:rPr>
          <w:color w:val="231F20"/>
          <w:spacing w:val="-10"/>
          <w:sz w:val="20"/>
        </w:rPr>
        <w:t xml:space="preserve"> </w:t>
      </w:r>
      <w:r>
        <w:rPr>
          <w:color w:val="231F20"/>
          <w:sz w:val="20"/>
        </w:rPr>
        <w:t>can</w:t>
      </w:r>
      <w:r>
        <w:rPr>
          <w:color w:val="231F20"/>
          <w:spacing w:val="-9"/>
          <w:sz w:val="20"/>
        </w:rPr>
        <w:t xml:space="preserve"> </w:t>
      </w:r>
      <w:r>
        <w:rPr>
          <w:color w:val="231F20"/>
          <w:sz w:val="20"/>
        </w:rPr>
        <w:t>comprise</w:t>
      </w:r>
      <w:r>
        <w:rPr>
          <w:color w:val="231F20"/>
          <w:spacing w:val="-10"/>
          <w:sz w:val="20"/>
        </w:rPr>
        <w:t xml:space="preserve"> </w:t>
      </w:r>
      <w:r>
        <w:rPr>
          <w:color w:val="231F20"/>
          <w:sz w:val="20"/>
        </w:rPr>
        <w:t>a</w:t>
      </w:r>
      <w:r>
        <w:rPr>
          <w:color w:val="231F20"/>
          <w:spacing w:val="-9"/>
          <w:sz w:val="20"/>
        </w:rPr>
        <w:t xml:space="preserve"> </w:t>
      </w:r>
      <w:r>
        <w:rPr>
          <w:color w:val="231F20"/>
          <w:sz w:val="20"/>
        </w:rPr>
        <w:t>course</w:t>
      </w:r>
      <w:r>
        <w:rPr>
          <w:color w:val="231F20"/>
          <w:spacing w:val="-9"/>
          <w:sz w:val="20"/>
        </w:rPr>
        <w:t xml:space="preserve"> </w:t>
      </w:r>
      <w:r>
        <w:rPr>
          <w:color w:val="231F20"/>
          <w:sz w:val="20"/>
        </w:rPr>
        <w:t xml:space="preserve">of conduct (see Appendix </w:t>
      </w:r>
      <w:r>
        <w:rPr>
          <w:color w:val="231F20"/>
          <w:spacing w:val="-4"/>
          <w:sz w:val="20"/>
        </w:rPr>
        <w:t xml:space="preserve">C). </w:t>
      </w:r>
      <w:r>
        <w:rPr>
          <w:color w:val="231F20"/>
          <w:sz w:val="20"/>
        </w:rPr>
        <w:t xml:space="preserve">The behaviours </w:t>
      </w:r>
      <w:r>
        <w:rPr>
          <w:color w:val="231F20"/>
          <w:spacing w:val="-3"/>
          <w:sz w:val="20"/>
        </w:rPr>
        <w:t xml:space="preserve">are </w:t>
      </w:r>
      <w:r>
        <w:rPr>
          <w:color w:val="231F20"/>
          <w:sz w:val="20"/>
        </w:rPr>
        <w:t xml:space="preserve">broad and ‘not </w:t>
      </w:r>
      <w:r>
        <w:rPr>
          <w:color w:val="231F20"/>
          <w:spacing w:val="-4"/>
          <w:sz w:val="20"/>
        </w:rPr>
        <w:t xml:space="preserve">always </w:t>
      </w:r>
      <w:r>
        <w:rPr>
          <w:color w:val="231F20"/>
          <w:sz w:val="20"/>
        </w:rPr>
        <w:t xml:space="preserve">the same as the behaviour patterns </w:t>
      </w:r>
      <w:r>
        <w:rPr>
          <w:color w:val="231F20"/>
          <w:spacing w:val="-3"/>
          <w:sz w:val="20"/>
        </w:rPr>
        <w:t xml:space="preserve">forensic </w:t>
      </w:r>
      <w:r>
        <w:rPr>
          <w:color w:val="231F20"/>
          <w:sz w:val="20"/>
        </w:rPr>
        <w:t>psychologists might define as</w:t>
      </w:r>
      <w:r>
        <w:rPr>
          <w:color w:val="231F20"/>
          <w:spacing w:val="-33"/>
          <w:sz w:val="20"/>
        </w:rPr>
        <w:t xml:space="preserve"> </w:t>
      </w:r>
      <w:r>
        <w:rPr>
          <w:color w:val="231F20"/>
          <w:spacing w:val="-3"/>
          <w:sz w:val="20"/>
        </w:rPr>
        <w:t>stalking’.</w:t>
      </w:r>
      <w:r>
        <w:rPr>
          <w:color w:val="231F20"/>
          <w:spacing w:val="-3"/>
          <w:position w:val="7"/>
          <w:sz w:val="11"/>
        </w:rPr>
        <w:t>13</w:t>
      </w:r>
    </w:p>
    <w:p w14:paraId="28B5DB34" w14:textId="77777777" w:rsidR="00894070" w:rsidRDefault="009B7AFD">
      <w:pPr>
        <w:pStyle w:val="ListParagraph"/>
        <w:numPr>
          <w:ilvl w:val="1"/>
          <w:numId w:val="70"/>
        </w:numPr>
        <w:tabs>
          <w:tab w:val="left" w:pos="1801"/>
          <w:tab w:val="left" w:pos="1802"/>
        </w:tabs>
        <w:spacing w:before="125" w:line="206" w:lineRule="auto"/>
        <w:ind w:right="1191"/>
        <w:rPr>
          <w:sz w:val="20"/>
        </w:rPr>
      </w:pPr>
      <w:r>
        <w:rPr>
          <w:color w:val="231F20"/>
          <w:sz w:val="20"/>
        </w:rPr>
        <w:t>The</w:t>
      </w:r>
      <w:r>
        <w:rPr>
          <w:color w:val="231F20"/>
          <w:spacing w:val="-8"/>
          <w:sz w:val="20"/>
        </w:rPr>
        <w:t xml:space="preserve"> </w:t>
      </w:r>
      <w:r>
        <w:rPr>
          <w:color w:val="231F20"/>
          <w:sz w:val="20"/>
        </w:rPr>
        <w:t>list</w:t>
      </w:r>
      <w:r>
        <w:rPr>
          <w:color w:val="231F20"/>
          <w:spacing w:val="-7"/>
          <w:sz w:val="20"/>
        </w:rPr>
        <w:t xml:space="preserve"> </w:t>
      </w:r>
      <w:r>
        <w:rPr>
          <w:color w:val="231F20"/>
          <w:sz w:val="20"/>
        </w:rPr>
        <w:t>also</w:t>
      </w:r>
      <w:r>
        <w:rPr>
          <w:color w:val="231F20"/>
          <w:spacing w:val="-7"/>
          <w:sz w:val="20"/>
        </w:rPr>
        <w:t xml:space="preserve"> </w:t>
      </w:r>
      <w:r>
        <w:rPr>
          <w:color w:val="231F20"/>
          <w:sz w:val="20"/>
        </w:rPr>
        <w:t>has</w:t>
      </w:r>
      <w:r>
        <w:rPr>
          <w:color w:val="231F20"/>
          <w:spacing w:val="-8"/>
          <w:sz w:val="20"/>
        </w:rPr>
        <w:t xml:space="preserve"> </w:t>
      </w:r>
      <w:r>
        <w:rPr>
          <w:color w:val="231F20"/>
          <w:sz w:val="20"/>
        </w:rPr>
        <w:t>a</w:t>
      </w:r>
      <w:r>
        <w:rPr>
          <w:color w:val="231F20"/>
          <w:spacing w:val="-7"/>
          <w:sz w:val="20"/>
        </w:rPr>
        <w:t xml:space="preserve"> </w:t>
      </w:r>
      <w:r>
        <w:rPr>
          <w:color w:val="231F20"/>
          <w:sz w:val="20"/>
        </w:rPr>
        <w:t>general</w:t>
      </w:r>
      <w:r>
        <w:rPr>
          <w:color w:val="231F20"/>
          <w:spacing w:val="-7"/>
          <w:sz w:val="20"/>
        </w:rPr>
        <w:t xml:space="preserve"> </w:t>
      </w:r>
      <w:r>
        <w:rPr>
          <w:color w:val="231F20"/>
          <w:spacing w:val="-3"/>
          <w:sz w:val="20"/>
        </w:rPr>
        <w:t>‘catch-all’</w:t>
      </w:r>
      <w:r>
        <w:rPr>
          <w:color w:val="231F20"/>
          <w:spacing w:val="-7"/>
          <w:sz w:val="20"/>
        </w:rPr>
        <w:t xml:space="preserve"> </w:t>
      </w:r>
      <w:r>
        <w:rPr>
          <w:color w:val="231F20"/>
          <w:spacing w:val="-3"/>
          <w:sz w:val="20"/>
        </w:rPr>
        <w:t>provision</w:t>
      </w:r>
      <w:r>
        <w:rPr>
          <w:color w:val="231F20"/>
          <w:spacing w:val="-8"/>
          <w:sz w:val="20"/>
        </w:rPr>
        <w:t xml:space="preserve"> </w:t>
      </w:r>
      <w:r>
        <w:rPr>
          <w:color w:val="231F20"/>
          <w:sz w:val="20"/>
        </w:rPr>
        <w:t>that</w:t>
      </w:r>
      <w:r>
        <w:rPr>
          <w:color w:val="231F20"/>
          <w:spacing w:val="-7"/>
          <w:sz w:val="20"/>
        </w:rPr>
        <w:t xml:space="preserve"> </w:t>
      </w:r>
      <w:r>
        <w:rPr>
          <w:color w:val="231F20"/>
          <w:sz w:val="20"/>
        </w:rPr>
        <w:t>includes</w:t>
      </w:r>
      <w:r>
        <w:rPr>
          <w:color w:val="231F20"/>
          <w:spacing w:val="-7"/>
          <w:sz w:val="20"/>
        </w:rPr>
        <w:t xml:space="preserve"> </w:t>
      </w:r>
      <w:r>
        <w:rPr>
          <w:color w:val="231F20"/>
          <w:sz w:val="20"/>
        </w:rPr>
        <w:t>acting</w:t>
      </w:r>
      <w:r>
        <w:rPr>
          <w:color w:val="231F20"/>
          <w:spacing w:val="-7"/>
          <w:sz w:val="20"/>
        </w:rPr>
        <w:t xml:space="preserve"> </w:t>
      </w:r>
      <w:r>
        <w:rPr>
          <w:color w:val="231F20"/>
          <w:sz w:val="20"/>
        </w:rPr>
        <w:t>in</w:t>
      </w:r>
      <w:r>
        <w:rPr>
          <w:color w:val="231F20"/>
          <w:spacing w:val="-8"/>
          <w:sz w:val="20"/>
        </w:rPr>
        <w:t xml:space="preserve"> </w:t>
      </w:r>
      <w:r>
        <w:rPr>
          <w:color w:val="231F20"/>
          <w:spacing w:val="-3"/>
          <w:sz w:val="20"/>
        </w:rPr>
        <w:t>any</w:t>
      </w:r>
      <w:r>
        <w:rPr>
          <w:color w:val="231F20"/>
          <w:spacing w:val="-7"/>
          <w:sz w:val="20"/>
        </w:rPr>
        <w:t xml:space="preserve"> </w:t>
      </w:r>
      <w:r>
        <w:rPr>
          <w:color w:val="231F20"/>
          <w:sz w:val="20"/>
        </w:rPr>
        <w:t>other</w:t>
      </w:r>
      <w:r>
        <w:rPr>
          <w:color w:val="231F20"/>
          <w:spacing w:val="-7"/>
          <w:sz w:val="20"/>
        </w:rPr>
        <w:t xml:space="preserve"> </w:t>
      </w:r>
      <w:r>
        <w:rPr>
          <w:color w:val="231F20"/>
          <w:spacing w:val="-3"/>
          <w:sz w:val="20"/>
        </w:rPr>
        <w:t>way</w:t>
      </w:r>
      <w:r>
        <w:rPr>
          <w:color w:val="231F20"/>
          <w:spacing w:val="-8"/>
          <w:sz w:val="20"/>
        </w:rPr>
        <w:t xml:space="preserve"> </w:t>
      </w:r>
      <w:r>
        <w:rPr>
          <w:color w:val="231F20"/>
          <w:sz w:val="20"/>
        </w:rPr>
        <w:t xml:space="preserve">that could </w:t>
      </w:r>
      <w:r>
        <w:rPr>
          <w:color w:val="231F20"/>
          <w:spacing w:val="-3"/>
          <w:sz w:val="20"/>
        </w:rPr>
        <w:t xml:space="preserve">reasonably </w:t>
      </w:r>
      <w:r>
        <w:rPr>
          <w:color w:val="231F20"/>
          <w:sz w:val="20"/>
        </w:rPr>
        <w:t>be expected</w:t>
      </w:r>
      <w:r>
        <w:rPr>
          <w:color w:val="231F20"/>
          <w:spacing w:val="-14"/>
          <w:sz w:val="20"/>
        </w:rPr>
        <w:t xml:space="preserve"> </w:t>
      </w:r>
      <w:r>
        <w:rPr>
          <w:color w:val="231F20"/>
          <w:spacing w:val="-3"/>
          <w:sz w:val="20"/>
        </w:rPr>
        <w:t>to:</w:t>
      </w:r>
    </w:p>
    <w:p w14:paraId="63A729D6" w14:textId="77777777" w:rsidR="00894070" w:rsidRDefault="009B7AFD">
      <w:pPr>
        <w:pStyle w:val="ListParagraph"/>
        <w:numPr>
          <w:ilvl w:val="2"/>
          <w:numId w:val="70"/>
        </w:numPr>
        <w:tabs>
          <w:tab w:val="left" w:pos="2141"/>
          <w:tab w:val="left" w:pos="2142"/>
        </w:tabs>
        <w:spacing w:before="90"/>
        <w:ind w:hanging="340"/>
        <w:rPr>
          <w:sz w:val="20"/>
        </w:rPr>
      </w:pPr>
      <w:r>
        <w:rPr>
          <w:color w:val="231F20"/>
          <w:sz w:val="20"/>
        </w:rPr>
        <w:t>cause</w:t>
      </w:r>
      <w:r>
        <w:rPr>
          <w:color w:val="231F20"/>
          <w:spacing w:val="-5"/>
          <w:sz w:val="20"/>
        </w:rPr>
        <w:t xml:space="preserve"> </w:t>
      </w:r>
      <w:r>
        <w:rPr>
          <w:color w:val="231F20"/>
          <w:sz w:val="20"/>
        </w:rPr>
        <w:t>physical</w:t>
      </w:r>
      <w:r>
        <w:rPr>
          <w:color w:val="231F20"/>
          <w:spacing w:val="-5"/>
          <w:sz w:val="20"/>
        </w:rPr>
        <w:t xml:space="preserve"> </w:t>
      </w:r>
      <w:r>
        <w:rPr>
          <w:color w:val="231F20"/>
          <w:sz w:val="20"/>
        </w:rPr>
        <w:t>or</w:t>
      </w:r>
      <w:r>
        <w:rPr>
          <w:color w:val="231F20"/>
          <w:spacing w:val="-5"/>
          <w:sz w:val="20"/>
        </w:rPr>
        <w:t xml:space="preserve"> </w:t>
      </w:r>
      <w:r>
        <w:rPr>
          <w:color w:val="231F20"/>
          <w:sz w:val="20"/>
        </w:rPr>
        <w:t>mental</w:t>
      </w:r>
      <w:r>
        <w:rPr>
          <w:color w:val="231F20"/>
          <w:spacing w:val="-5"/>
          <w:sz w:val="20"/>
        </w:rPr>
        <w:t xml:space="preserve"> </w:t>
      </w:r>
      <w:r>
        <w:rPr>
          <w:color w:val="231F20"/>
          <w:sz w:val="20"/>
        </w:rPr>
        <w:t>harm</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4"/>
          <w:sz w:val="20"/>
        </w:rPr>
        <w:t xml:space="preserve"> </w:t>
      </w:r>
      <w:r>
        <w:rPr>
          <w:color w:val="231F20"/>
          <w:sz w:val="20"/>
        </w:rPr>
        <w:t>victim,</w:t>
      </w:r>
      <w:r>
        <w:rPr>
          <w:color w:val="231F20"/>
          <w:spacing w:val="-5"/>
          <w:sz w:val="20"/>
        </w:rPr>
        <w:t xml:space="preserve"> </w:t>
      </w:r>
      <w:r>
        <w:rPr>
          <w:color w:val="231F20"/>
          <w:sz w:val="20"/>
        </w:rPr>
        <w:t>including</w:t>
      </w:r>
      <w:r>
        <w:rPr>
          <w:color w:val="231F20"/>
          <w:spacing w:val="-5"/>
          <w:sz w:val="20"/>
        </w:rPr>
        <w:t xml:space="preserve"> </w:t>
      </w:r>
      <w:r>
        <w:rPr>
          <w:color w:val="231F20"/>
          <w:spacing w:val="-3"/>
          <w:sz w:val="20"/>
        </w:rPr>
        <w:t>self-harm,</w:t>
      </w:r>
      <w:r>
        <w:rPr>
          <w:color w:val="231F20"/>
          <w:spacing w:val="-5"/>
          <w:sz w:val="20"/>
        </w:rPr>
        <w:t xml:space="preserve"> </w:t>
      </w:r>
      <w:r>
        <w:rPr>
          <w:color w:val="231F20"/>
          <w:sz w:val="20"/>
        </w:rPr>
        <w:t>or</w:t>
      </w:r>
    </w:p>
    <w:p w14:paraId="1EFCEFAE" w14:textId="77777777" w:rsidR="00894070" w:rsidRDefault="009B7AFD">
      <w:pPr>
        <w:pStyle w:val="ListParagraph"/>
        <w:numPr>
          <w:ilvl w:val="2"/>
          <w:numId w:val="70"/>
        </w:numPr>
        <w:tabs>
          <w:tab w:val="left" w:pos="2141"/>
          <w:tab w:val="left" w:pos="2142"/>
        </w:tabs>
        <w:spacing w:before="47" w:line="259" w:lineRule="exact"/>
        <w:ind w:hanging="340"/>
        <w:rPr>
          <w:sz w:val="20"/>
        </w:rPr>
      </w:pPr>
      <w:r>
        <w:rPr>
          <w:color w:val="231F20"/>
          <w:sz w:val="20"/>
        </w:rPr>
        <w:t>arouse</w:t>
      </w:r>
      <w:r>
        <w:rPr>
          <w:color w:val="231F20"/>
          <w:spacing w:val="-7"/>
          <w:sz w:val="20"/>
        </w:rPr>
        <w:t xml:space="preserve"> </w:t>
      </w:r>
      <w:r>
        <w:rPr>
          <w:color w:val="231F20"/>
          <w:sz w:val="20"/>
        </w:rPr>
        <w:t>apprehension</w:t>
      </w:r>
      <w:r>
        <w:rPr>
          <w:color w:val="231F20"/>
          <w:spacing w:val="-6"/>
          <w:sz w:val="20"/>
        </w:rPr>
        <w:t xml:space="preserve"> </w:t>
      </w:r>
      <w:r>
        <w:rPr>
          <w:color w:val="231F20"/>
          <w:sz w:val="20"/>
        </w:rPr>
        <w:t>or</w:t>
      </w:r>
      <w:r>
        <w:rPr>
          <w:color w:val="231F20"/>
          <w:spacing w:val="-6"/>
          <w:sz w:val="20"/>
        </w:rPr>
        <w:t xml:space="preserve"> </w:t>
      </w:r>
      <w:r>
        <w:rPr>
          <w:color w:val="231F20"/>
          <w:sz w:val="20"/>
        </w:rPr>
        <w:t>fear</w:t>
      </w:r>
      <w:r>
        <w:rPr>
          <w:color w:val="231F20"/>
          <w:spacing w:val="-6"/>
          <w:sz w:val="20"/>
        </w:rPr>
        <w:t xml:space="preserve"> </w:t>
      </w:r>
      <w:r>
        <w:rPr>
          <w:color w:val="231F20"/>
          <w:sz w:val="20"/>
        </w:rPr>
        <w:t>in</w:t>
      </w:r>
      <w:r>
        <w:rPr>
          <w:color w:val="231F20"/>
          <w:spacing w:val="-6"/>
          <w:sz w:val="20"/>
        </w:rPr>
        <w:t xml:space="preserve"> </w:t>
      </w:r>
      <w:r>
        <w:rPr>
          <w:color w:val="231F20"/>
          <w:sz w:val="20"/>
        </w:rPr>
        <w:t>the</w:t>
      </w:r>
      <w:r>
        <w:rPr>
          <w:color w:val="231F20"/>
          <w:spacing w:val="-6"/>
          <w:sz w:val="20"/>
        </w:rPr>
        <w:t xml:space="preserve"> </w:t>
      </w:r>
      <w:r>
        <w:rPr>
          <w:color w:val="231F20"/>
          <w:sz w:val="20"/>
        </w:rPr>
        <w:t>victim</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their</w:t>
      </w:r>
      <w:r>
        <w:rPr>
          <w:color w:val="231F20"/>
          <w:spacing w:val="-6"/>
          <w:sz w:val="20"/>
        </w:rPr>
        <w:t xml:space="preserve"> </w:t>
      </w:r>
      <w:r>
        <w:rPr>
          <w:color w:val="231F20"/>
          <w:sz w:val="20"/>
        </w:rPr>
        <w:t>safety</w:t>
      </w:r>
      <w:r>
        <w:rPr>
          <w:color w:val="231F20"/>
          <w:spacing w:val="-6"/>
          <w:sz w:val="20"/>
        </w:rPr>
        <w:t xml:space="preserve"> </w:t>
      </w:r>
      <w:r>
        <w:rPr>
          <w:color w:val="231F20"/>
          <w:sz w:val="20"/>
        </w:rPr>
        <w:t>or</w:t>
      </w:r>
      <w:r>
        <w:rPr>
          <w:color w:val="231F20"/>
          <w:spacing w:val="-6"/>
          <w:sz w:val="20"/>
        </w:rPr>
        <w:t xml:space="preserve"> </w:t>
      </w:r>
      <w:r>
        <w:rPr>
          <w:color w:val="231F20"/>
          <w:sz w:val="20"/>
        </w:rPr>
        <w:t>the</w:t>
      </w:r>
      <w:r>
        <w:rPr>
          <w:color w:val="231F20"/>
          <w:spacing w:val="-6"/>
          <w:sz w:val="20"/>
        </w:rPr>
        <w:t xml:space="preserve"> </w:t>
      </w:r>
      <w:r>
        <w:rPr>
          <w:color w:val="231F20"/>
          <w:sz w:val="20"/>
        </w:rPr>
        <w:t>safety</w:t>
      </w:r>
      <w:r>
        <w:rPr>
          <w:color w:val="231F20"/>
          <w:spacing w:val="-6"/>
          <w:sz w:val="20"/>
        </w:rPr>
        <w:t xml:space="preserve"> </w:t>
      </w:r>
      <w:r>
        <w:rPr>
          <w:color w:val="231F20"/>
          <w:sz w:val="20"/>
        </w:rPr>
        <w:t>of</w:t>
      </w:r>
      <w:r>
        <w:rPr>
          <w:color w:val="231F20"/>
          <w:spacing w:val="-6"/>
          <w:sz w:val="20"/>
        </w:rPr>
        <w:t xml:space="preserve"> </w:t>
      </w:r>
      <w:r>
        <w:rPr>
          <w:color w:val="231F20"/>
          <w:sz w:val="20"/>
        </w:rPr>
        <w:t>someone</w:t>
      </w:r>
    </w:p>
    <w:p w14:paraId="6883A021" w14:textId="77777777" w:rsidR="00894070" w:rsidRDefault="009B7AFD">
      <w:pPr>
        <w:spacing w:line="259" w:lineRule="exact"/>
        <w:ind w:left="2141"/>
        <w:rPr>
          <w:sz w:val="11"/>
        </w:rPr>
      </w:pPr>
      <w:r>
        <w:rPr>
          <w:color w:val="231F20"/>
          <w:sz w:val="20"/>
        </w:rPr>
        <w:t>else.</w:t>
      </w:r>
      <w:r>
        <w:rPr>
          <w:color w:val="231F20"/>
          <w:position w:val="7"/>
          <w:sz w:val="11"/>
        </w:rPr>
        <w:t>14</w:t>
      </w:r>
    </w:p>
    <w:p w14:paraId="1CA2FB7D" w14:textId="77777777" w:rsidR="00894070" w:rsidRDefault="009B7AFD">
      <w:pPr>
        <w:pStyle w:val="ListParagraph"/>
        <w:numPr>
          <w:ilvl w:val="1"/>
          <w:numId w:val="70"/>
        </w:numPr>
        <w:tabs>
          <w:tab w:val="left" w:pos="1801"/>
          <w:tab w:val="left" w:pos="1802"/>
        </w:tabs>
        <w:spacing w:before="80" w:line="206" w:lineRule="auto"/>
        <w:ind w:right="1252"/>
        <w:rPr>
          <w:sz w:val="20"/>
        </w:rPr>
      </w:pPr>
      <w:r>
        <w:rPr>
          <w:color w:val="231F20"/>
          <w:sz w:val="20"/>
        </w:rPr>
        <w:t>The</w:t>
      </w:r>
      <w:r>
        <w:rPr>
          <w:color w:val="231F20"/>
          <w:spacing w:val="-12"/>
          <w:sz w:val="20"/>
        </w:rPr>
        <w:t xml:space="preserve"> </w:t>
      </w:r>
      <w:r>
        <w:rPr>
          <w:color w:val="231F20"/>
          <w:sz w:val="20"/>
        </w:rPr>
        <w:t>behaviours</w:t>
      </w:r>
      <w:r>
        <w:rPr>
          <w:color w:val="231F20"/>
          <w:spacing w:val="-11"/>
          <w:sz w:val="20"/>
        </w:rPr>
        <w:t xml:space="preserve"> </w:t>
      </w:r>
      <w:r>
        <w:rPr>
          <w:color w:val="231F20"/>
          <w:sz w:val="20"/>
        </w:rPr>
        <w:t>listed</w:t>
      </w:r>
      <w:r>
        <w:rPr>
          <w:color w:val="231F20"/>
          <w:spacing w:val="-11"/>
          <w:sz w:val="20"/>
        </w:rPr>
        <w:t xml:space="preserve"> </w:t>
      </w:r>
      <w:r>
        <w:rPr>
          <w:color w:val="231F20"/>
          <w:spacing w:val="-3"/>
          <w:sz w:val="20"/>
        </w:rPr>
        <w:t>are</w:t>
      </w:r>
      <w:r>
        <w:rPr>
          <w:color w:val="231F20"/>
          <w:spacing w:val="-11"/>
          <w:sz w:val="20"/>
        </w:rPr>
        <w:t xml:space="preserve"> </w:t>
      </w:r>
      <w:r>
        <w:rPr>
          <w:color w:val="231F20"/>
          <w:sz w:val="20"/>
        </w:rPr>
        <w:t>not</w:t>
      </w:r>
      <w:r>
        <w:rPr>
          <w:color w:val="231F20"/>
          <w:spacing w:val="-11"/>
          <w:sz w:val="20"/>
        </w:rPr>
        <w:t xml:space="preserve"> </w:t>
      </w:r>
      <w:r>
        <w:rPr>
          <w:color w:val="231F20"/>
          <w:sz w:val="20"/>
        </w:rPr>
        <w:t>necessarily</w:t>
      </w:r>
      <w:r>
        <w:rPr>
          <w:color w:val="231F20"/>
          <w:spacing w:val="-12"/>
          <w:sz w:val="20"/>
        </w:rPr>
        <w:t xml:space="preserve"> </w:t>
      </w:r>
      <w:r>
        <w:rPr>
          <w:color w:val="231F20"/>
          <w:sz w:val="20"/>
        </w:rPr>
        <w:t>illegal</w:t>
      </w:r>
      <w:r>
        <w:rPr>
          <w:color w:val="231F20"/>
          <w:spacing w:val="-11"/>
          <w:sz w:val="20"/>
        </w:rPr>
        <w:t xml:space="preserve"> </w:t>
      </w:r>
      <w:r>
        <w:rPr>
          <w:color w:val="231F20"/>
          <w:sz w:val="20"/>
        </w:rPr>
        <w:t>on</w:t>
      </w:r>
      <w:r>
        <w:rPr>
          <w:color w:val="231F20"/>
          <w:spacing w:val="-11"/>
          <w:sz w:val="20"/>
        </w:rPr>
        <w:t xml:space="preserve"> </w:t>
      </w:r>
      <w:r>
        <w:rPr>
          <w:color w:val="231F20"/>
          <w:sz w:val="20"/>
        </w:rPr>
        <w:t>their</w:t>
      </w:r>
      <w:r>
        <w:rPr>
          <w:color w:val="231F20"/>
          <w:spacing w:val="-11"/>
          <w:sz w:val="20"/>
        </w:rPr>
        <w:t xml:space="preserve"> </w:t>
      </w:r>
      <w:r>
        <w:rPr>
          <w:color w:val="231F20"/>
          <w:sz w:val="20"/>
        </w:rPr>
        <w:t>own.</w:t>
      </w:r>
      <w:r>
        <w:rPr>
          <w:color w:val="231F20"/>
          <w:spacing w:val="-11"/>
          <w:sz w:val="20"/>
        </w:rPr>
        <w:t xml:space="preserve"> </w:t>
      </w:r>
      <w:r>
        <w:rPr>
          <w:color w:val="231F20"/>
          <w:sz w:val="20"/>
        </w:rPr>
        <w:t>But</w:t>
      </w:r>
      <w:r>
        <w:rPr>
          <w:color w:val="231F20"/>
          <w:spacing w:val="-12"/>
          <w:sz w:val="20"/>
        </w:rPr>
        <w:t xml:space="preserve"> </w:t>
      </w:r>
      <w:r>
        <w:rPr>
          <w:color w:val="231F20"/>
          <w:sz w:val="20"/>
        </w:rPr>
        <w:t>when</w:t>
      </w:r>
      <w:r>
        <w:rPr>
          <w:color w:val="231F20"/>
          <w:spacing w:val="-11"/>
          <w:sz w:val="20"/>
        </w:rPr>
        <w:t xml:space="preserve"> </w:t>
      </w:r>
      <w:r>
        <w:rPr>
          <w:color w:val="231F20"/>
          <w:sz w:val="20"/>
        </w:rPr>
        <w:t>the</w:t>
      </w:r>
      <w:r>
        <w:rPr>
          <w:color w:val="231F20"/>
          <w:spacing w:val="-11"/>
          <w:sz w:val="20"/>
        </w:rPr>
        <w:t xml:space="preserve"> </w:t>
      </w:r>
      <w:r>
        <w:rPr>
          <w:color w:val="231F20"/>
          <w:sz w:val="20"/>
        </w:rPr>
        <w:t xml:space="preserve">behaviours come together in a course of conduct directed at a victim </w:t>
      </w:r>
      <w:r>
        <w:rPr>
          <w:color w:val="231F20"/>
          <w:spacing w:val="-3"/>
          <w:sz w:val="20"/>
        </w:rPr>
        <w:t xml:space="preserve">survivor, </w:t>
      </w:r>
      <w:r>
        <w:rPr>
          <w:color w:val="231F20"/>
          <w:sz w:val="20"/>
        </w:rPr>
        <w:t xml:space="preserve">with a specific </w:t>
      </w:r>
      <w:r>
        <w:rPr>
          <w:color w:val="231F20"/>
          <w:spacing w:val="-3"/>
          <w:sz w:val="20"/>
        </w:rPr>
        <w:t xml:space="preserve">intent, </w:t>
      </w:r>
      <w:r>
        <w:rPr>
          <w:color w:val="231F20"/>
          <w:sz w:val="20"/>
        </w:rPr>
        <w:t>the behaviour becomes a</w:t>
      </w:r>
      <w:r>
        <w:rPr>
          <w:color w:val="231F20"/>
          <w:spacing w:val="-19"/>
          <w:sz w:val="20"/>
        </w:rPr>
        <w:t xml:space="preserve"> </w:t>
      </w:r>
      <w:r>
        <w:rPr>
          <w:color w:val="231F20"/>
          <w:sz w:val="20"/>
        </w:rPr>
        <w:t>crime.</w:t>
      </w:r>
    </w:p>
    <w:p w14:paraId="3396BAA9" w14:textId="77777777" w:rsidR="00894070" w:rsidRDefault="009B7AFD">
      <w:pPr>
        <w:pStyle w:val="ListParagraph"/>
        <w:numPr>
          <w:ilvl w:val="1"/>
          <w:numId w:val="70"/>
        </w:numPr>
        <w:tabs>
          <w:tab w:val="left" w:pos="1801"/>
          <w:tab w:val="left" w:pos="1802"/>
        </w:tabs>
        <w:spacing w:before="124" w:line="206" w:lineRule="auto"/>
        <w:ind w:right="1451"/>
        <w:rPr>
          <w:sz w:val="20"/>
        </w:rPr>
      </w:pPr>
      <w:r>
        <w:rPr>
          <w:color w:val="231F20"/>
          <w:sz w:val="20"/>
        </w:rPr>
        <w:t>It</w:t>
      </w:r>
      <w:r>
        <w:rPr>
          <w:color w:val="231F20"/>
          <w:spacing w:val="-9"/>
          <w:sz w:val="20"/>
        </w:rPr>
        <w:t xml:space="preserve"> </w:t>
      </w:r>
      <w:r>
        <w:rPr>
          <w:color w:val="231F20"/>
          <w:sz w:val="20"/>
        </w:rPr>
        <w:t>is</w:t>
      </w:r>
      <w:r>
        <w:rPr>
          <w:color w:val="231F20"/>
          <w:spacing w:val="-8"/>
          <w:sz w:val="20"/>
        </w:rPr>
        <w:t xml:space="preserve"> </w:t>
      </w:r>
      <w:r>
        <w:rPr>
          <w:color w:val="231F20"/>
          <w:sz w:val="20"/>
        </w:rPr>
        <w:t>the</w:t>
      </w:r>
      <w:r>
        <w:rPr>
          <w:color w:val="231F20"/>
          <w:spacing w:val="-8"/>
          <w:sz w:val="20"/>
        </w:rPr>
        <w:t xml:space="preserve"> </w:t>
      </w:r>
      <w:r>
        <w:rPr>
          <w:color w:val="231F20"/>
          <w:sz w:val="20"/>
        </w:rPr>
        <w:t>course</w:t>
      </w:r>
      <w:r>
        <w:rPr>
          <w:color w:val="231F20"/>
          <w:spacing w:val="-9"/>
          <w:sz w:val="20"/>
        </w:rPr>
        <w:t xml:space="preserve"> </w:t>
      </w:r>
      <w:r>
        <w:rPr>
          <w:color w:val="231F20"/>
          <w:sz w:val="20"/>
        </w:rPr>
        <w:t>of</w:t>
      </w:r>
      <w:r>
        <w:rPr>
          <w:color w:val="231F20"/>
          <w:spacing w:val="-8"/>
          <w:sz w:val="20"/>
        </w:rPr>
        <w:t xml:space="preserve"> </w:t>
      </w:r>
      <w:r>
        <w:rPr>
          <w:color w:val="231F20"/>
          <w:sz w:val="20"/>
        </w:rPr>
        <w:t>conduct</w:t>
      </w:r>
      <w:r>
        <w:rPr>
          <w:color w:val="231F20"/>
          <w:spacing w:val="-8"/>
          <w:sz w:val="20"/>
        </w:rPr>
        <w:t xml:space="preserve"> </w:t>
      </w:r>
      <w:r>
        <w:rPr>
          <w:color w:val="231F20"/>
          <w:sz w:val="20"/>
        </w:rPr>
        <w:t>that</w:t>
      </w:r>
      <w:r>
        <w:rPr>
          <w:color w:val="231F20"/>
          <w:spacing w:val="-9"/>
          <w:sz w:val="20"/>
        </w:rPr>
        <w:t xml:space="preserve"> </w:t>
      </w:r>
      <w:r>
        <w:rPr>
          <w:color w:val="231F20"/>
          <w:sz w:val="20"/>
        </w:rPr>
        <w:t>must</w:t>
      </w:r>
      <w:r>
        <w:rPr>
          <w:color w:val="231F20"/>
          <w:spacing w:val="-8"/>
          <w:sz w:val="20"/>
        </w:rPr>
        <w:t xml:space="preserve"> </w:t>
      </w:r>
      <w:r>
        <w:rPr>
          <w:color w:val="231F20"/>
          <w:spacing w:val="-4"/>
          <w:sz w:val="20"/>
        </w:rPr>
        <w:t>have</w:t>
      </w:r>
      <w:r>
        <w:rPr>
          <w:color w:val="231F20"/>
          <w:spacing w:val="-8"/>
          <w:sz w:val="20"/>
        </w:rPr>
        <w:t xml:space="preserve"> </w:t>
      </w:r>
      <w:r>
        <w:rPr>
          <w:color w:val="231F20"/>
          <w:sz w:val="20"/>
        </w:rPr>
        <w:t>been</w:t>
      </w:r>
      <w:r>
        <w:rPr>
          <w:color w:val="231F20"/>
          <w:spacing w:val="-8"/>
          <w:sz w:val="20"/>
        </w:rPr>
        <w:t xml:space="preserve"> </w:t>
      </w:r>
      <w:r>
        <w:rPr>
          <w:color w:val="231F20"/>
          <w:sz w:val="20"/>
        </w:rPr>
        <w:t>committed</w:t>
      </w:r>
      <w:r>
        <w:rPr>
          <w:color w:val="231F20"/>
          <w:spacing w:val="-9"/>
          <w:sz w:val="20"/>
        </w:rPr>
        <w:t xml:space="preserve"> </w:t>
      </w:r>
      <w:r>
        <w:rPr>
          <w:color w:val="231F20"/>
          <w:sz w:val="20"/>
        </w:rPr>
        <w:t>with</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required</w:t>
      </w:r>
      <w:r>
        <w:rPr>
          <w:color w:val="231F20"/>
          <w:spacing w:val="-9"/>
          <w:sz w:val="20"/>
        </w:rPr>
        <w:t xml:space="preserve"> </w:t>
      </w:r>
      <w:r>
        <w:rPr>
          <w:color w:val="231F20"/>
          <w:sz w:val="20"/>
        </w:rPr>
        <w:t>state</w:t>
      </w:r>
      <w:r>
        <w:rPr>
          <w:color w:val="231F20"/>
          <w:spacing w:val="-8"/>
          <w:sz w:val="20"/>
        </w:rPr>
        <w:t xml:space="preserve"> </w:t>
      </w:r>
      <w:r>
        <w:rPr>
          <w:color w:val="231F20"/>
          <w:sz w:val="20"/>
        </w:rPr>
        <w:t>of mind,</w:t>
      </w:r>
      <w:r>
        <w:rPr>
          <w:color w:val="231F20"/>
          <w:spacing w:val="-6"/>
          <w:sz w:val="20"/>
        </w:rPr>
        <w:t xml:space="preserve"> </w:t>
      </w:r>
      <w:r>
        <w:rPr>
          <w:color w:val="231F20"/>
          <w:sz w:val="20"/>
        </w:rPr>
        <w:t>not</w:t>
      </w:r>
      <w:r>
        <w:rPr>
          <w:color w:val="231F20"/>
          <w:spacing w:val="-6"/>
          <w:sz w:val="20"/>
        </w:rPr>
        <w:t xml:space="preserve"> </w:t>
      </w:r>
      <w:r>
        <w:rPr>
          <w:color w:val="231F20"/>
          <w:sz w:val="20"/>
        </w:rPr>
        <w:t>the</w:t>
      </w:r>
      <w:r>
        <w:rPr>
          <w:color w:val="231F20"/>
          <w:spacing w:val="-6"/>
          <w:sz w:val="20"/>
        </w:rPr>
        <w:t xml:space="preserve"> </w:t>
      </w:r>
      <w:r>
        <w:rPr>
          <w:color w:val="231F20"/>
          <w:sz w:val="20"/>
        </w:rPr>
        <w:t>individual</w:t>
      </w:r>
      <w:r>
        <w:rPr>
          <w:color w:val="231F20"/>
          <w:spacing w:val="-6"/>
          <w:sz w:val="20"/>
        </w:rPr>
        <w:t xml:space="preserve"> </w:t>
      </w:r>
      <w:r>
        <w:rPr>
          <w:color w:val="231F20"/>
          <w:sz w:val="20"/>
        </w:rPr>
        <w:t>behaviours</w:t>
      </w:r>
      <w:r>
        <w:rPr>
          <w:color w:val="231F20"/>
          <w:spacing w:val="-6"/>
          <w:sz w:val="20"/>
        </w:rPr>
        <w:t xml:space="preserve"> </w:t>
      </w:r>
      <w:r>
        <w:rPr>
          <w:color w:val="231F20"/>
          <w:sz w:val="20"/>
        </w:rPr>
        <w:t>making</w:t>
      </w:r>
      <w:r>
        <w:rPr>
          <w:color w:val="231F20"/>
          <w:spacing w:val="-6"/>
          <w:sz w:val="20"/>
        </w:rPr>
        <w:t xml:space="preserve"> </w:t>
      </w:r>
      <w:r>
        <w:rPr>
          <w:color w:val="231F20"/>
          <w:sz w:val="20"/>
        </w:rPr>
        <w:t>up</w:t>
      </w:r>
      <w:r>
        <w:rPr>
          <w:color w:val="231F20"/>
          <w:spacing w:val="-6"/>
          <w:sz w:val="20"/>
        </w:rPr>
        <w:t xml:space="preserve"> </w:t>
      </w:r>
      <w:r>
        <w:rPr>
          <w:color w:val="231F20"/>
          <w:sz w:val="20"/>
        </w:rPr>
        <w:t>the</w:t>
      </w:r>
      <w:r>
        <w:rPr>
          <w:color w:val="231F20"/>
          <w:spacing w:val="-6"/>
          <w:sz w:val="20"/>
        </w:rPr>
        <w:t xml:space="preserve"> </w:t>
      </w:r>
      <w:r>
        <w:rPr>
          <w:color w:val="231F20"/>
          <w:sz w:val="20"/>
        </w:rPr>
        <w:t>course</w:t>
      </w:r>
      <w:r>
        <w:rPr>
          <w:color w:val="231F20"/>
          <w:spacing w:val="-6"/>
          <w:sz w:val="20"/>
        </w:rPr>
        <w:t xml:space="preserve"> </w:t>
      </w:r>
      <w:r>
        <w:rPr>
          <w:color w:val="231F20"/>
          <w:sz w:val="20"/>
        </w:rPr>
        <w:t>of</w:t>
      </w:r>
      <w:r>
        <w:rPr>
          <w:color w:val="231F20"/>
          <w:spacing w:val="-5"/>
          <w:sz w:val="20"/>
        </w:rPr>
        <w:t xml:space="preserve"> </w:t>
      </w:r>
      <w:r>
        <w:rPr>
          <w:color w:val="231F20"/>
          <w:sz w:val="20"/>
        </w:rPr>
        <w:t>conduct.</w:t>
      </w:r>
    </w:p>
    <w:p w14:paraId="3883AD7A" w14:textId="77777777" w:rsidR="00894070" w:rsidRDefault="009B7AFD">
      <w:pPr>
        <w:pStyle w:val="ListParagraph"/>
        <w:numPr>
          <w:ilvl w:val="1"/>
          <w:numId w:val="70"/>
        </w:numPr>
        <w:tabs>
          <w:tab w:val="left" w:pos="1801"/>
          <w:tab w:val="left" w:pos="1802"/>
        </w:tabs>
        <w:spacing w:before="122" w:line="206" w:lineRule="auto"/>
        <w:ind w:right="1679"/>
        <w:rPr>
          <w:sz w:val="11"/>
        </w:rPr>
      </w:pPr>
      <w:r>
        <w:rPr>
          <w:color w:val="231F20"/>
          <w:spacing w:val="-3"/>
          <w:sz w:val="20"/>
        </w:rPr>
        <w:t>For</w:t>
      </w:r>
      <w:r>
        <w:rPr>
          <w:color w:val="231F20"/>
          <w:spacing w:val="-7"/>
          <w:sz w:val="20"/>
        </w:rPr>
        <w:t xml:space="preserve"> </w:t>
      </w:r>
      <w:r>
        <w:rPr>
          <w:color w:val="231F20"/>
          <w:sz w:val="20"/>
        </w:rPr>
        <w:t>the</w:t>
      </w:r>
      <w:r>
        <w:rPr>
          <w:color w:val="231F20"/>
          <w:spacing w:val="-6"/>
          <w:sz w:val="20"/>
        </w:rPr>
        <w:t xml:space="preserve"> </w:t>
      </w:r>
      <w:r>
        <w:rPr>
          <w:color w:val="231F20"/>
          <w:sz w:val="20"/>
        </w:rPr>
        <w:t>accused</w:t>
      </w:r>
      <w:r>
        <w:rPr>
          <w:color w:val="231F20"/>
          <w:spacing w:val="-6"/>
          <w:sz w:val="20"/>
        </w:rPr>
        <w:t xml:space="preserve"> </w:t>
      </w:r>
      <w:r>
        <w:rPr>
          <w:color w:val="231F20"/>
          <w:sz w:val="20"/>
        </w:rPr>
        <w:t>to</w:t>
      </w:r>
      <w:r>
        <w:rPr>
          <w:color w:val="231F20"/>
          <w:spacing w:val="-6"/>
          <w:sz w:val="20"/>
        </w:rPr>
        <w:t xml:space="preserve"> </w:t>
      </w:r>
      <w:r>
        <w:rPr>
          <w:color w:val="231F20"/>
          <w:spacing w:val="-4"/>
          <w:sz w:val="20"/>
        </w:rPr>
        <w:t>have</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required</w:t>
      </w:r>
      <w:r>
        <w:rPr>
          <w:color w:val="231F20"/>
          <w:spacing w:val="-6"/>
          <w:sz w:val="20"/>
        </w:rPr>
        <w:t xml:space="preserve"> </w:t>
      </w:r>
      <w:r>
        <w:rPr>
          <w:color w:val="231F20"/>
          <w:sz w:val="20"/>
        </w:rPr>
        <w:t>state</w:t>
      </w:r>
      <w:r>
        <w:rPr>
          <w:color w:val="231F20"/>
          <w:spacing w:val="-7"/>
          <w:sz w:val="20"/>
        </w:rPr>
        <w:t xml:space="preserve"> </w:t>
      </w:r>
      <w:r>
        <w:rPr>
          <w:color w:val="231F20"/>
          <w:sz w:val="20"/>
        </w:rPr>
        <w:t>of</w:t>
      </w:r>
      <w:r>
        <w:rPr>
          <w:color w:val="231F20"/>
          <w:spacing w:val="-6"/>
          <w:sz w:val="20"/>
        </w:rPr>
        <w:t xml:space="preserve"> </w:t>
      </w:r>
      <w:r>
        <w:rPr>
          <w:color w:val="231F20"/>
          <w:sz w:val="20"/>
        </w:rPr>
        <w:t>mind,</w:t>
      </w:r>
      <w:r>
        <w:rPr>
          <w:color w:val="231F20"/>
          <w:spacing w:val="-6"/>
          <w:sz w:val="20"/>
        </w:rPr>
        <w:t xml:space="preserve"> </w:t>
      </w:r>
      <w:r>
        <w:rPr>
          <w:color w:val="231F20"/>
          <w:sz w:val="20"/>
        </w:rPr>
        <w:t>they</w:t>
      </w:r>
      <w:r>
        <w:rPr>
          <w:color w:val="231F20"/>
          <w:spacing w:val="-6"/>
          <w:sz w:val="20"/>
        </w:rPr>
        <w:t xml:space="preserve"> </w:t>
      </w:r>
      <w:r>
        <w:rPr>
          <w:color w:val="231F20"/>
          <w:sz w:val="20"/>
        </w:rPr>
        <w:t>must</w:t>
      </w:r>
      <w:r>
        <w:rPr>
          <w:color w:val="231F20"/>
          <w:spacing w:val="-6"/>
          <w:sz w:val="20"/>
        </w:rPr>
        <w:t xml:space="preserve"> </w:t>
      </w:r>
      <w:r>
        <w:rPr>
          <w:color w:val="231F20"/>
          <w:spacing w:val="-4"/>
          <w:sz w:val="20"/>
        </w:rPr>
        <w:t>have</w:t>
      </w:r>
      <w:r>
        <w:rPr>
          <w:color w:val="231F20"/>
          <w:spacing w:val="-6"/>
          <w:sz w:val="20"/>
        </w:rPr>
        <w:t xml:space="preserve"> </w:t>
      </w:r>
      <w:r>
        <w:rPr>
          <w:color w:val="231F20"/>
          <w:sz w:val="20"/>
        </w:rPr>
        <w:t>an</w:t>
      </w:r>
      <w:r>
        <w:rPr>
          <w:color w:val="231F20"/>
          <w:spacing w:val="-6"/>
          <w:sz w:val="20"/>
        </w:rPr>
        <w:t xml:space="preserve"> </w:t>
      </w:r>
      <w:r>
        <w:rPr>
          <w:color w:val="231F20"/>
          <w:spacing w:val="-3"/>
          <w:sz w:val="20"/>
        </w:rPr>
        <w:t>intention</w:t>
      </w:r>
      <w:r>
        <w:rPr>
          <w:color w:val="231F20"/>
          <w:spacing w:val="-6"/>
          <w:sz w:val="20"/>
        </w:rPr>
        <w:t xml:space="preserve"> </w:t>
      </w:r>
      <w:r>
        <w:rPr>
          <w:color w:val="231F20"/>
          <w:sz w:val="20"/>
        </w:rPr>
        <w:t>to cause</w:t>
      </w:r>
      <w:r>
        <w:rPr>
          <w:color w:val="231F20"/>
          <w:spacing w:val="-6"/>
          <w:sz w:val="20"/>
        </w:rPr>
        <w:t xml:space="preserve"> </w:t>
      </w:r>
      <w:r>
        <w:rPr>
          <w:color w:val="231F20"/>
          <w:sz w:val="20"/>
        </w:rPr>
        <w:t>the</w:t>
      </w:r>
      <w:r>
        <w:rPr>
          <w:color w:val="231F20"/>
          <w:spacing w:val="-6"/>
          <w:sz w:val="20"/>
        </w:rPr>
        <w:t xml:space="preserve"> </w:t>
      </w:r>
      <w:r>
        <w:rPr>
          <w:color w:val="231F20"/>
          <w:sz w:val="20"/>
        </w:rPr>
        <w:t>harm</w:t>
      </w:r>
      <w:r>
        <w:rPr>
          <w:color w:val="231F20"/>
          <w:spacing w:val="-6"/>
          <w:sz w:val="20"/>
        </w:rPr>
        <w:t xml:space="preserve"> </w:t>
      </w:r>
      <w:r>
        <w:rPr>
          <w:color w:val="231F20"/>
          <w:sz w:val="20"/>
        </w:rPr>
        <w:t>that</w:t>
      </w:r>
      <w:r>
        <w:rPr>
          <w:color w:val="231F20"/>
          <w:spacing w:val="-6"/>
          <w:sz w:val="20"/>
        </w:rPr>
        <w:t xml:space="preserve"> </w:t>
      </w:r>
      <w:r>
        <w:rPr>
          <w:color w:val="231F20"/>
          <w:sz w:val="20"/>
        </w:rPr>
        <w:t>can</w:t>
      </w:r>
      <w:r>
        <w:rPr>
          <w:color w:val="231F20"/>
          <w:spacing w:val="-6"/>
          <w:sz w:val="20"/>
        </w:rPr>
        <w:t xml:space="preserve"> </w:t>
      </w:r>
      <w:r>
        <w:rPr>
          <w:color w:val="231F20"/>
          <w:sz w:val="20"/>
        </w:rPr>
        <w:t>be</w:t>
      </w:r>
      <w:r>
        <w:rPr>
          <w:color w:val="231F20"/>
          <w:spacing w:val="-6"/>
          <w:sz w:val="20"/>
        </w:rPr>
        <w:t xml:space="preserve"> </w:t>
      </w:r>
      <w:r>
        <w:rPr>
          <w:color w:val="231F20"/>
          <w:sz w:val="20"/>
        </w:rPr>
        <w:t>established</w:t>
      </w:r>
      <w:r>
        <w:rPr>
          <w:color w:val="231F20"/>
          <w:spacing w:val="-6"/>
          <w:sz w:val="20"/>
        </w:rPr>
        <w:t xml:space="preserve"> </w:t>
      </w:r>
      <w:r>
        <w:rPr>
          <w:color w:val="231F20"/>
          <w:sz w:val="20"/>
        </w:rPr>
        <w:t>in</w:t>
      </w:r>
      <w:r>
        <w:rPr>
          <w:color w:val="231F20"/>
          <w:spacing w:val="-6"/>
          <w:sz w:val="20"/>
        </w:rPr>
        <w:t xml:space="preserve"> </w:t>
      </w:r>
      <w:r>
        <w:rPr>
          <w:color w:val="231F20"/>
          <w:spacing w:val="-3"/>
          <w:sz w:val="20"/>
        </w:rPr>
        <w:t>any</w:t>
      </w:r>
      <w:r>
        <w:rPr>
          <w:color w:val="231F20"/>
          <w:spacing w:val="-6"/>
          <w:sz w:val="20"/>
        </w:rPr>
        <w:t xml:space="preserve"> </w:t>
      </w:r>
      <w:r>
        <w:rPr>
          <w:color w:val="231F20"/>
          <w:sz w:val="20"/>
        </w:rPr>
        <w:t>one</w:t>
      </w:r>
      <w:r>
        <w:rPr>
          <w:color w:val="231F20"/>
          <w:spacing w:val="-6"/>
          <w:sz w:val="20"/>
        </w:rPr>
        <w:t xml:space="preserve"> </w:t>
      </w:r>
      <w:r>
        <w:rPr>
          <w:color w:val="231F20"/>
          <w:sz w:val="20"/>
        </w:rPr>
        <w:t>of</w:t>
      </w:r>
      <w:r>
        <w:rPr>
          <w:color w:val="231F20"/>
          <w:spacing w:val="-6"/>
          <w:sz w:val="20"/>
        </w:rPr>
        <w:t xml:space="preserve"> </w:t>
      </w:r>
      <w:r>
        <w:rPr>
          <w:color w:val="231F20"/>
          <w:sz w:val="20"/>
        </w:rPr>
        <w:t>three</w:t>
      </w:r>
      <w:r>
        <w:rPr>
          <w:color w:val="231F20"/>
          <w:spacing w:val="-6"/>
          <w:sz w:val="20"/>
        </w:rPr>
        <w:t xml:space="preserve"> </w:t>
      </w:r>
      <w:r>
        <w:rPr>
          <w:color w:val="231F20"/>
          <w:spacing w:val="-4"/>
          <w:sz w:val="20"/>
        </w:rPr>
        <w:t>ways</w:t>
      </w:r>
      <w:r>
        <w:rPr>
          <w:color w:val="231F20"/>
          <w:spacing w:val="-6"/>
          <w:sz w:val="20"/>
        </w:rPr>
        <w:t xml:space="preserve"> </w:t>
      </w:r>
      <w:r>
        <w:rPr>
          <w:color w:val="231F20"/>
          <w:sz w:val="20"/>
        </w:rPr>
        <w:t>(see</w:t>
      </w:r>
      <w:r>
        <w:rPr>
          <w:color w:val="231F20"/>
          <w:spacing w:val="-6"/>
          <w:sz w:val="20"/>
        </w:rPr>
        <w:t xml:space="preserve"> Table </w:t>
      </w:r>
      <w:r>
        <w:rPr>
          <w:color w:val="231F20"/>
          <w:sz w:val="20"/>
        </w:rPr>
        <w:t>12).</w:t>
      </w:r>
      <w:r>
        <w:rPr>
          <w:color w:val="231F20"/>
          <w:position w:val="7"/>
          <w:sz w:val="11"/>
        </w:rPr>
        <w:t>15</w:t>
      </w:r>
    </w:p>
    <w:p w14:paraId="2EA2F11F" w14:textId="77777777" w:rsidR="00894070" w:rsidRDefault="009B7AFD">
      <w:pPr>
        <w:pStyle w:val="ListParagraph"/>
        <w:numPr>
          <w:ilvl w:val="1"/>
          <w:numId w:val="70"/>
        </w:numPr>
        <w:tabs>
          <w:tab w:val="left" w:pos="1801"/>
          <w:tab w:val="left" w:pos="1802"/>
        </w:tabs>
        <w:spacing w:before="91" w:line="259" w:lineRule="exact"/>
        <w:rPr>
          <w:sz w:val="20"/>
        </w:rPr>
      </w:pPr>
      <w:r>
        <w:rPr>
          <w:color w:val="231F20"/>
          <w:sz w:val="20"/>
        </w:rPr>
        <w:t>The</w:t>
      </w:r>
      <w:r>
        <w:rPr>
          <w:color w:val="231F20"/>
          <w:spacing w:val="-7"/>
          <w:sz w:val="20"/>
        </w:rPr>
        <w:t xml:space="preserve"> </w:t>
      </w:r>
      <w:r>
        <w:rPr>
          <w:color w:val="231F20"/>
          <w:sz w:val="20"/>
        </w:rPr>
        <w:t>stalking</w:t>
      </w:r>
      <w:r>
        <w:rPr>
          <w:color w:val="231F20"/>
          <w:spacing w:val="-6"/>
          <w:sz w:val="20"/>
        </w:rPr>
        <w:t xml:space="preserve"> </w:t>
      </w:r>
      <w:r>
        <w:rPr>
          <w:color w:val="231F20"/>
          <w:sz w:val="20"/>
        </w:rPr>
        <w:t>offence</w:t>
      </w:r>
      <w:r>
        <w:rPr>
          <w:color w:val="231F20"/>
          <w:spacing w:val="-7"/>
          <w:sz w:val="20"/>
        </w:rPr>
        <w:t xml:space="preserve"> </w:t>
      </w:r>
      <w:r>
        <w:rPr>
          <w:color w:val="231F20"/>
          <w:sz w:val="20"/>
        </w:rPr>
        <w:t>applies</w:t>
      </w:r>
      <w:r>
        <w:rPr>
          <w:color w:val="231F20"/>
          <w:spacing w:val="-6"/>
          <w:sz w:val="20"/>
        </w:rPr>
        <w:t xml:space="preserve"> </w:t>
      </w:r>
      <w:r>
        <w:rPr>
          <w:color w:val="231F20"/>
          <w:spacing w:val="-3"/>
          <w:sz w:val="20"/>
        </w:rPr>
        <w:t>even</w:t>
      </w:r>
      <w:r>
        <w:rPr>
          <w:color w:val="231F20"/>
          <w:spacing w:val="-6"/>
          <w:sz w:val="20"/>
        </w:rPr>
        <w:t xml:space="preserve"> </w:t>
      </w:r>
      <w:r>
        <w:rPr>
          <w:color w:val="231F20"/>
          <w:sz w:val="20"/>
        </w:rPr>
        <w:t>if</w:t>
      </w:r>
      <w:r>
        <w:rPr>
          <w:color w:val="231F20"/>
          <w:spacing w:val="-7"/>
          <w:sz w:val="20"/>
        </w:rPr>
        <w:t xml:space="preserve"> </w:t>
      </w:r>
      <w:r>
        <w:rPr>
          <w:color w:val="231F20"/>
          <w:sz w:val="20"/>
        </w:rPr>
        <w:t>the</w:t>
      </w:r>
      <w:r>
        <w:rPr>
          <w:color w:val="231F20"/>
          <w:spacing w:val="-6"/>
          <w:sz w:val="20"/>
        </w:rPr>
        <w:t xml:space="preserve"> </w:t>
      </w:r>
      <w:r>
        <w:rPr>
          <w:color w:val="231F20"/>
          <w:sz w:val="20"/>
        </w:rPr>
        <w:t>victim</w:t>
      </w:r>
      <w:r>
        <w:rPr>
          <w:color w:val="231F20"/>
          <w:spacing w:val="-6"/>
          <w:sz w:val="20"/>
        </w:rPr>
        <w:t xml:space="preserve"> </w:t>
      </w:r>
      <w:r>
        <w:rPr>
          <w:color w:val="231F20"/>
          <w:sz w:val="20"/>
        </w:rPr>
        <w:t>survivor</w:t>
      </w:r>
      <w:r>
        <w:rPr>
          <w:color w:val="231F20"/>
          <w:spacing w:val="-7"/>
          <w:sz w:val="20"/>
        </w:rPr>
        <w:t xml:space="preserve"> </w:t>
      </w:r>
      <w:r>
        <w:rPr>
          <w:color w:val="231F20"/>
          <w:sz w:val="20"/>
        </w:rPr>
        <w:t>was</w:t>
      </w:r>
      <w:r>
        <w:rPr>
          <w:color w:val="231F20"/>
          <w:spacing w:val="-6"/>
          <w:sz w:val="20"/>
        </w:rPr>
        <w:t xml:space="preserve"> </w:t>
      </w:r>
      <w:r>
        <w:rPr>
          <w:color w:val="231F20"/>
          <w:sz w:val="20"/>
        </w:rPr>
        <w:t>outside</w:t>
      </w:r>
      <w:r>
        <w:rPr>
          <w:color w:val="231F20"/>
          <w:spacing w:val="-6"/>
          <w:sz w:val="20"/>
        </w:rPr>
        <w:t xml:space="preserve"> </w:t>
      </w:r>
      <w:r>
        <w:rPr>
          <w:color w:val="231F20"/>
          <w:sz w:val="20"/>
        </w:rPr>
        <w:t>Victoria,</w:t>
      </w:r>
      <w:r>
        <w:rPr>
          <w:color w:val="231F20"/>
          <w:spacing w:val="-7"/>
          <w:sz w:val="20"/>
        </w:rPr>
        <w:t xml:space="preserve"> </w:t>
      </w:r>
      <w:proofErr w:type="gramStart"/>
      <w:r>
        <w:rPr>
          <w:color w:val="231F20"/>
          <w:sz w:val="20"/>
        </w:rPr>
        <w:t>as</w:t>
      </w:r>
      <w:r>
        <w:rPr>
          <w:color w:val="231F20"/>
          <w:spacing w:val="-6"/>
          <w:sz w:val="20"/>
        </w:rPr>
        <w:t xml:space="preserve"> </w:t>
      </w:r>
      <w:r>
        <w:rPr>
          <w:color w:val="231F20"/>
          <w:sz w:val="20"/>
        </w:rPr>
        <w:t>long</w:t>
      </w:r>
      <w:r>
        <w:rPr>
          <w:color w:val="231F20"/>
          <w:spacing w:val="-7"/>
          <w:sz w:val="20"/>
        </w:rPr>
        <w:t xml:space="preserve"> </w:t>
      </w:r>
      <w:r>
        <w:rPr>
          <w:color w:val="231F20"/>
          <w:sz w:val="20"/>
        </w:rPr>
        <w:t>as</w:t>
      </w:r>
      <w:proofErr w:type="gramEnd"/>
    </w:p>
    <w:p w14:paraId="3C08F6E6" w14:textId="77777777" w:rsidR="00894070" w:rsidRDefault="009B7AFD">
      <w:pPr>
        <w:pStyle w:val="BodyText"/>
        <w:spacing w:line="259" w:lineRule="exact"/>
        <w:ind w:left="1801"/>
        <w:rPr>
          <w:sz w:val="11"/>
        </w:rPr>
      </w:pPr>
      <w:r>
        <w:rPr>
          <w:color w:val="231F20"/>
        </w:rPr>
        <w:t>the course of conduct was in Victoria.</w:t>
      </w:r>
      <w:r>
        <w:rPr>
          <w:color w:val="231F20"/>
          <w:position w:val="7"/>
          <w:sz w:val="11"/>
        </w:rPr>
        <w:t>16</w:t>
      </w:r>
    </w:p>
    <w:p w14:paraId="3EF497B7" w14:textId="77777777" w:rsidR="00894070" w:rsidRDefault="00894070">
      <w:pPr>
        <w:pStyle w:val="BodyText"/>
      </w:pPr>
    </w:p>
    <w:p w14:paraId="486D303B" w14:textId="77777777" w:rsidR="00894070" w:rsidRDefault="00894070">
      <w:pPr>
        <w:pStyle w:val="BodyText"/>
      </w:pPr>
    </w:p>
    <w:p w14:paraId="1FE01EBA" w14:textId="77777777" w:rsidR="00894070" w:rsidRDefault="00894070">
      <w:pPr>
        <w:pStyle w:val="BodyText"/>
      </w:pPr>
    </w:p>
    <w:p w14:paraId="7407907F" w14:textId="77777777" w:rsidR="00894070" w:rsidRDefault="00894070">
      <w:pPr>
        <w:pStyle w:val="BodyText"/>
      </w:pPr>
    </w:p>
    <w:p w14:paraId="613F4A8D" w14:textId="77777777" w:rsidR="00894070" w:rsidRDefault="00894070">
      <w:pPr>
        <w:pStyle w:val="BodyText"/>
      </w:pPr>
    </w:p>
    <w:p w14:paraId="541BEB26" w14:textId="77777777" w:rsidR="00894070" w:rsidRDefault="00894070">
      <w:pPr>
        <w:pStyle w:val="BodyText"/>
      </w:pPr>
    </w:p>
    <w:p w14:paraId="4E18E82C" w14:textId="77777777" w:rsidR="00894070" w:rsidRDefault="009F6793">
      <w:pPr>
        <w:pStyle w:val="BodyText"/>
        <w:spacing w:before="7"/>
      </w:pPr>
      <w:r>
        <w:pict w14:anchorId="45AF3F26">
          <v:line id="_x0000_s1223" style="position:absolute;z-index:251722752;mso-wrap-distance-left:0;mso-wrap-distance-right:0;mso-position-horizontal-relative:page" from="79.35pt,16.7pt" to="515.9pt,16.7pt" strokecolor="#f8cabc" strokeweight="1pt">
            <w10:wrap type="topAndBottom" anchorx="page"/>
          </v:line>
        </w:pict>
      </w:r>
    </w:p>
    <w:p w14:paraId="2C8FB1E2" w14:textId="77777777" w:rsidR="00894070" w:rsidRDefault="00894070">
      <w:pPr>
        <w:pStyle w:val="BodyText"/>
        <w:rPr>
          <w:sz w:val="5"/>
        </w:rPr>
      </w:pPr>
    </w:p>
    <w:p w14:paraId="1FA7F309" w14:textId="77777777" w:rsidR="00894070" w:rsidRDefault="00894070">
      <w:pPr>
        <w:rPr>
          <w:sz w:val="5"/>
        </w:rPr>
        <w:sectPr w:rsidR="00894070">
          <w:pgSz w:w="11910" w:h="16840"/>
          <w:pgMar w:top="860" w:right="420" w:bottom="280" w:left="580" w:header="567" w:footer="0" w:gutter="0"/>
          <w:cols w:space="720"/>
        </w:sectPr>
      </w:pPr>
    </w:p>
    <w:p w14:paraId="09236223" w14:textId="77777777" w:rsidR="00894070" w:rsidRDefault="00894070">
      <w:pPr>
        <w:pStyle w:val="BodyText"/>
        <w:rPr>
          <w:sz w:val="28"/>
        </w:rPr>
      </w:pPr>
    </w:p>
    <w:p w14:paraId="2D787F3B" w14:textId="77777777" w:rsidR="00894070" w:rsidRDefault="00894070">
      <w:pPr>
        <w:pStyle w:val="BodyText"/>
        <w:rPr>
          <w:sz w:val="28"/>
        </w:rPr>
      </w:pPr>
    </w:p>
    <w:p w14:paraId="02B5BBDA" w14:textId="77777777" w:rsidR="00894070" w:rsidRDefault="00894070">
      <w:pPr>
        <w:pStyle w:val="BodyText"/>
        <w:rPr>
          <w:sz w:val="28"/>
        </w:rPr>
      </w:pPr>
    </w:p>
    <w:p w14:paraId="10F43D44" w14:textId="77777777" w:rsidR="00894070" w:rsidRDefault="00894070">
      <w:pPr>
        <w:pStyle w:val="BodyText"/>
        <w:rPr>
          <w:sz w:val="28"/>
        </w:rPr>
      </w:pPr>
    </w:p>
    <w:p w14:paraId="04DF0D7C" w14:textId="77777777" w:rsidR="00894070" w:rsidRDefault="00894070">
      <w:pPr>
        <w:pStyle w:val="BodyText"/>
        <w:spacing w:before="10"/>
        <w:rPr>
          <w:sz w:val="18"/>
        </w:rPr>
      </w:pPr>
    </w:p>
    <w:p w14:paraId="7C1505DD" w14:textId="77777777" w:rsidR="00894070" w:rsidRDefault="009B7AFD">
      <w:pPr>
        <w:pStyle w:val="Heading8"/>
        <w:ind w:left="140"/>
      </w:pPr>
      <w:r>
        <w:rPr>
          <w:color w:val="EA5B50"/>
        </w:rPr>
        <w:t>134</w:t>
      </w:r>
    </w:p>
    <w:p w14:paraId="4D8EFBDA" w14:textId="77777777" w:rsidR="00894070" w:rsidRDefault="009B7AFD">
      <w:pPr>
        <w:pStyle w:val="ListParagraph"/>
        <w:numPr>
          <w:ilvl w:val="0"/>
          <w:numId w:val="70"/>
        </w:numPr>
        <w:tabs>
          <w:tab w:val="left" w:pos="933"/>
          <w:tab w:val="left" w:pos="934"/>
        </w:tabs>
        <w:spacing w:before="21" w:line="170" w:lineRule="exact"/>
        <w:ind w:left="933" w:hanging="793"/>
        <w:jc w:val="left"/>
        <w:rPr>
          <w:color w:val="231F20"/>
          <w:sz w:val="13"/>
        </w:rPr>
      </w:pPr>
      <w:r>
        <w:rPr>
          <w:color w:val="231F20"/>
          <w:spacing w:val="2"/>
          <w:sz w:val="13"/>
        </w:rPr>
        <w:br w:type="column"/>
      </w:r>
      <w:r>
        <w:rPr>
          <w:color w:val="231F20"/>
          <w:sz w:val="13"/>
        </w:rPr>
        <w:t>Ibid.</w:t>
      </w:r>
    </w:p>
    <w:p w14:paraId="0160AABF" w14:textId="77777777" w:rsidR="00894070" w:rsidRDefault="009B7AFD">
      <w:pPr>
        <w:pStyle w:val="ListParagraph"/>
        <w:numPr>
          <w:ilvl w:val="0"/>
          <w:numId w:val="70"/>
        </w:numPr>
        <w:tabs>
          <w:tab w:val="left" w:pos="933"/>
          <w:tab w:val="left" w:pos="934"/>
        </w:tabs>
        <w:spacing w:line="160" w:lineRule="exact"/>
        <w:ind w:left="933" w:hanging="793"/>
        <w:jc w:val="left"/>
        <w:rPr>
          <w:color w:val="231F20"/>
          <w:sz w:val="13"/>
        </w:rPr>
      </w:pPr>
      <w:r>
        <w:rPr>
          <w:color w:val="231F20"/>
          <w:sz w:val="13"/>
        </w:rPr>
        <w:t>Ibid s 21</w:t>
      </w:r>
      <w:proofErr w:type="gramStart"/>
      <w:r>
        <w:rPr>
          <w:color w:val="231F20"/>
          <w:sz w:val="13"/>
        </w:rPr>
        <w:t>A(</w:t>
      </w:r>
      <w:proofErr w:type="gramEnd"/>
      <w:r>
        <w:rPr>
          <w:color w:val="231F20"/>
          <w:sz w:val="13"/>
        </w:rPr>
        <w:t>8).</w:t>
      </w:r>
    </w:p>
    <w:p w14:paraId="74831EFA" w14:textId="77777777" w:rsidR="00894070" w:rsidRDefault="009B7AFD">
      <w:pPr>
        <w:pStyle w:val="ListParagraph"/>
        <w:numPr>
          <w:ilvl w:val="0"/>
          <w:numId w:val="70"/>
        </w:numPr>
        <w:tabs>
          <w:tab w:val="left" w:pos="933"/>
          <w:tab w:val="left" w:pos="934"/>
        </w:tabs>
        <w:spacing w:line="160" w:lineRule="exact"/>
        <w:ind w:left="933" w:hanging="793"/>
        <w:jc w:val="left"/>
        <w:rPr>
          <w:color w:val="231F20"/>
          <w:sz w:val="13"/>
        </w:rPr>
      </w:pPr>
      <w:r>
        <w:rPr>
          <w:color w:val="231F20"/>
          <w:sz w:val="13"/>
        </w:rPr>
        <w:t>Ibid</w:t>
      </w:r>
      <w:r>
        <w:rPr>
          <w:color w:val="231F20"/>
          <w:spacing w:val="3"/>
          <w:sz w:val="13"/>
        </w:rPr>
        <w:t xml:space="preserve"> </w:t>
      </w:r>
      <w:r>
        <w:rPr>
          <w:color w:val="231F20"/>
          <w:sz w:val="13"/>
        </w:rPr>
        <w:t>s</w:t>
      </w:r>
      <w:r>
        <w:rPr>
          <w:color w:val="231F20"/>
          <w:spacing w:val="3"/>
          <w:sz w:val="13"/>
        </w:rPr>
        <w:t xml:space="preserve"> </w:t>
      </w:r>
      <w:r>
        <w:rPr>
          <w:color w:val="231F20"/>
          <w:spacing w:val="2"/>
          <w:sz w:val="13"/>
        </w:rPr>
        <w:t>21</w:t>
      </w:r>
      <w:proofErr w:type="gramStart"/>
      <w:r>
        <w:rPr>
          <w:color w:val="231F20"/>
          <w:spacing w:val="2"/>
          <w:sz w:val="13"/>
        </w:rPr>
        <w:t>A(</w:t>
      </w:r>
      <w:proofErr w:type="gramEnd"/>
      <w:r>
        <w:rPr>
          <w:color w:val="231F20"/>
          <w:spacing w:val="2"/>
          <w:sz w:val="13"/>
        </w:rPr>
        <w:t>2);</w:t>
      </w:r>
      <w:r>
        <w:rPr>
          <w:color w:val="231F20"/>
          <w:spacing w:val="3"/>
          <w:sz w:val="13"/>
        </w:rPr>
        <w:t xml:space="preserve"> </w:t>
      </w:r>
      <w:r>
        <w:rPr>
          <w:color w:val="231F20"/>
          <w:sz w:val="13"/>
        </w:rPr>
        <w:t>Judicial</w:t>
      </w:r>
      <w:r>
        <w:rPr>
          <w:color w:val="231F20"/>
          <w:spacing w:val="3"/>
          <w:sz w:val="13"/>
        </w:rPr>
        <w:t xml:space="preserve"> </w:t>
      </w:r>
      <w:r>
        <w:rPr>
          <w:color w:val="231F20"/>
          <w:sz w:val="13"/>
        </w:rPr>
        <w:t>College</w:t>
      </w:r>
      <w:r>
        <w:rPr>
          <w:color w:val="231F20"/>
          <w:spacing w:val="3"/>
          <w:sz w:val="13"/>
        </w:rPr>
        <w:t xml:space="preserve"> </w:t>
      </w:r>
      <w:r>
        <w:rPr>
          <w:color w:val="231F20"/>
          <w:sz w:val="13"/>
        </w:rPr>
        <w:t>of</w:t>
      </w:r>
      <w:r>
        <w:rPr>
          <w:color w:val="231F20"/>
          <w:spacing w:val="3"/>
          <w:sz w:val="13"/>
        </w:rPr>
        <w:t xml:space="preserve"> </w:t>
      </w:r>
      <w:r>
        <w:rPr>
          <w:color w:val="231F20"/>
          <w:sz w:val="13"/>
        </w:rPr>
        <w:t>Victoria,</w:t>
      </w:r>
      <w:r>
        <w:rPr>
          <w:color w:val="231F20"/>
          <w:spacing w:val="3"/>
          <w:sz w:val="13"/>
        </w:rPr>
        <w:t xml:space="preserve"> </w:t>
      </w:r>
      <w:r>
        <w:rPr>
          <w:color w:val="231F20"/>
          <w:sz w:val="13"/>
        </w:rPr>
        <w:t>‘7.4.12</w:t>
      </w:r>
      <w:r>
        <w:rPr>
          <w:color w:val="231F20"/>
          <w:spacing w:val="3"/>
          <w:sz w:val="13"/>
        </w:rPr>
        <w:t xml:space="preserve"> </w:t>
      </w:r>
      <w:r>
        <w:rPr>
          <w:color w:val="231F20"/>
          <w:sz w:val="13"/>
        </w:rPr>
        <w:t>Stalking’,</w:t>
      </w:r>
      <w:r>
        <w:rPr>
          <w:color w:val="231F20"/>
          <w:spacing w:val="2"/>
          <w:sz w:val="13"/>
        </w:rPr>
        <w:t xml:space="preserve"> </w:t>
      </w:r>
      <w:r>
        <w:rPr>
          <w:i/>
          <w:color w:val="231F20"/>
          <w:sz w:val="13"/>
        </w:rPr>
        <w:t>Victorian</w:t>
      </w:r>
      <w:r>
        <w:rPr>
          <w:i/>
          <w:color w:val="231F20"/>
          <w:spacing w:val="3"/>
          <w:sz w:val="13"/>
        </w:rPr>
        <w:t xml:space="preserve"> </w:t>
      </w:r>
      <w:r>
        <w:rPr>
          <w:i/>
          <w:color w:val="231F20"/>
          <w:sz w:val="13"/>
        </w:rPr>
        <w:t>Criminal</w:t>
      </w:r>
      <w:r>
        <w:rPr>
          <w:i/>
          <w:color w:val="231F20"/>
          <w:spacing w:val="3"/>
          <w:sz w:val="13"/>
        </w:rPr>
        <w:t xml:space="preserve"> </w:t>
      </w:r>
      <w:r>
        <w:rPr>
          <w:i/>
          <w:color w:val="231F20"/>
          <w:sz w:val="13"/>
        </w:rPr>
        <w:t>Charge</w:t>
      </w:r>
      <w:r>
        <w:rPr>
          <w:i/>
          <w:color w:val="231F20"/>
          <w:spacing w:val="3"/>
          <w:sz w:val="13"/>
        </w:rPr>
        <w:t xml:space="preserve"> </w:t>
      </w:r>
      <w:r>
        <w:rPr>
          <w:i/>
          <w:color w:val="231F20"/>
          <w:sz w:val="13"/>
        </w:rPr>
        <w:t>Book</w:t>
      </w:r>
      <w:r>
        <w:rPr>
          <w:i/>
          <w:color w:val="231F20"/>
          <w:spacing w:val="3"/>
          <w:sz w:val="13"/>
        </w:rPr>
        <w:t xml:space="preserve"> </w:t>
      </w:r>
      <w:r>
        <w:rPr>
          <w:color w:val="231F20"/>
          <w:sz w:val="13"/>
        </w:rPr>
        <w:t>(Online</w:t>
      </w:r>
      <w:r>
        <w:rPr>
          <w:color w:val="231F20"/>
          <w:spacing w:val="3"/>
          <w:sz w:val="13"/>
        </w:rPr>
        <w:t xml:space="preserve"> </w:t>
      </w:r>
      <w:r>
        <w:rPr>
          <w:color w:val="231F20"/>
          <w:sz w:val="13"/>
        </w:rPr>
        <w:t>Manual,</w:t>
      </w:r>
      <w:r>
        <w:rPr>
          <w:color w:val="231F20"/>
          <w:spacing w:val="3"/>
          <w:sz w:val="13"/>
        </w:rPr>
        <w:t xml:space="preserve"> </w:t>
      </w:r>
      <w:r>
        <w:rPr>
          <w:color w:val="231F20"/>
          <w:sz w:val="13"/>
        </w:rPr>
        <w:t>12</w:t>
      </w:r>
      <w:r>
        <w:rPr>
          <w:color w:val="231F20"/>
          <w:spacing w:val="3"/>
          <w:sz w:val="13"/>
        </w:rPr>
        <w:t xml:space="preserve"> </w:t>
      </w:r>
      <w:r>
        <w:rPr>
          <w:color w:val="231F20"/>
          <w:sz w:val="13"/>
        </w:rPr>
        <w:t>September</w:t>
      </w:r>
      <w:r>
        <w:rPr>
          <w:color w:val="231F20"/>
          <w:spacing w:val="3"/>
          <w:sz w:val="13"/>
        </w:rPr>
        <w:t xml:space="preserve"> </w:t>
      </w:r>
      <w:r>
        <w:rPr>
          <w:color w:val="231F20"/>
          <w:sz w:val="13"/>
        </w:rPr>
        <w:t>2013)</w:t>
      </w:r>
      <w:r>
        <w:rPr>
          <w:color w:val="231F20"/>
          <w:spacing w:val="3"/>
          <w:sz w:val="13"/>
        </w:rPr>
        <w:t xml:space="preserve"> </w:t>
      </w:r>
      <w:r>
        <w:rPr>
          <w:color w:val="231F20"/>
          <w:sz w:val="13"/>
        </w:rPr>
        <w:t>[41]</w:t>
      </w:r>
    </w:p>
    <w:p w14:paraId="6548427F" w14:textId="77777777" w:rsidR="00894070" w:rsidRDefault="009F6793">
      <w:pPr>
        <w:spacing w:line="160" w:lineRule="exact"/>
        <w:ind w:left="933"/>
        <w:rPr>
          <w:sz w:val="13"/>
        </w:rPr>
      </w:pPr>
      <w:hyperlink r:id="rId173">
        <w:r w:rsidR="009B7AFD">
          <w:rPr>
            <w:color w:val="231F20"/>
            <w:sz w:val="13"/>
          </w:rPr>
          <w:t>&lt;https://www.judicialcollege.vic.edu.au/eManuals/CCB</w:t>
        </w:r>
      </w:hyperlink>
      <w:r w:rsidR="009B7AFD">
        <w:rPr>
          <w:color w:val="231F20"/>
          <w:sz w:val="13"/>
        </w:rPr>
        <w:t>&gt;.</w:t>
      </w:r>
    </w:p>
    <w:p w14:paraId="202BFA40" w14:textId="77777777" w:rsidR="00894070" w:rsidRDefault="009B7AFD">
      <w:pPr>
        <w:pStyle w:val="ListParagraph"/>
        <w:numPr>
          <w:ilvl w:val="0"/>
          <w:numId w:val="70"/>
        </w:numPr>
        <w:tabs>
          <w:tab w:val="left" w:pos="933"/>
          <w:tab w:val="left" w:pos="934"/>
        </w:tabs>
        <w:spacing w:before="7" w:line="213" w:lineRule="auto"/>
        <w:ind w:left="933" w:right="1409" w:hanging="793"/>
        <w:jc w:val="left"/>
        <w:rPr>
          <w:color w:val="231F20"/>
          <w:sz w:val="13"/>
        </w:rPr>
      </w:pPr>
      <w:r>
        <w:rPr>
          <w:i/>
          <w:color w:val="231F20"/>
          <w:sz w:val="13"/>
        </w:rPr>
        <w:t xml:space="preserve">Crimes Act 1958 </w:t>
      </w:r>
      <w:r>
        <w:rPr>
          <w:color w:val="231F20"/>
          <w:sz w:val="13"/>
        </w:rPr>
        <w:t xml:space="preserve">(Vic) s </w:t>
      </w:r>
      <w:r>
        <w:rPr>
          <w:color w:val="231F20"/>
          <w:spacing w:val="2"/>
          <w:sz w:val="13"/>
        </w:rPr>
        <w:t xml:space="preserve">21A(3)(a); </w:t>
      </w:r>
      <w:r>
        <w:rPr>
          <w:color w:val="231F20"/>
          <w:sz w:val="13"/>
        </w:rPr>
        <w:t xml:space="preserve">Judicial College of Victoria, ‘7.4.12 Stalking’, </w:t>
      </w:r>
      <w:r>
        <w:rPr>
          <w:i/>
          <w:color w:val="231F20"/>
          <w:sz w:val="13"/>
        </w:rPr>
        <w:t xml:space="preserve">Victorian Criminal Charge Book </w:t>
      </w:r>
      <w:r>
        <w:rPr>
          <w:color w:val="231F20"/>
          <w:sz w:val="13"/>
        </w:rPr>
        <w:t>(Online Manual, 12 September 2013) [41</w:t>
      </w:r>
      <w:hyperlink r:id="rId174">
        <w:r>
          <w:rPr>
            <w:color w:val="231F20"/>
            <w:sz w:val="13"/>
          </w:rPr>
          <w:t>]</w:t>
        </w:r>
        <w:r>
          <w:rPr>
            <w:color w:val="231F20"/>
            <w:spacing w:val="2"/>
            <w:sz w:val="13"/>
          </w:rPr>
          <w:t xml:space="preserve"> </w:t>
        </w:r>
        <w:r>
          <w:rPr>
            <w:color w:val="231F20"/>
            <w:sz w:val="13"/>
          </w:rPr>
          <w:t>&lt;https://www.judicialcollege.vic.edu.au/eManuals/CCB</w:t>
        </w:r>
      </w:hyperlink>
      <w:r>
        <w:rPr>
          <w:color w:val="231F20"/>
          <w:sz w:val="13"/>
        </w:rPr>
        <w:t>&gt;.</w:t>
      </w:r>
    </w:p>
    <w:p w14:paraId="522C233E" w14:textId="77777777" w:rsidR="00894070" w:rsidRDefault="009B7AFD">
      <w:pPr>
        <w:pStyle w:val="ListParagraph"/>
        <w:numPr>
          <w:ilvl w:val="0"/>
          <w:numId w:val="70"/>
        </w:numPr>
        <w:tabs>
          <w:tab w:val="left" w:pos="933"/>
          <w:tab w:val="left" w:pos="934"/>
        </w:tabs>
        <w:spacing w:line="213" w:lineRule="auto"/>
        <w:ind w:left="933" w:right="1402" w:hanging="793"/>
        <w:jc w:val="left"/>
        <w:rPr>
          <w:color w:val="231F20"/>
          <w:sz w:val="13"/>
        </w:rPr>
      </w:pPr>
      <w:r>
        <w:rPr>
          <w:i/>
          <w:color w:val="231F20"/>
          <w:sz w:val="13"/>
        </w:rPr>
        <w:t xml:space="preserve">Crimes Act 1958 </w:t>
      </w:r>
      <w:r>
        <w:rPr>
          <w:color w:val="231F20"/>
          <w:sz w:val="13"/>
        </w:rPr>
        <w:t xml:space="preserve">(Vic) s 21A(3)(b); Judicial College of Victoria, ‘7.4.12 Stalking’, </w:t>
      </w:r>
      <w:r>
        <w:rPr>
          <w:i/>
          <w:color w:val="231F20"/>
          <w:sz w:val="13"/>
        </w:rPr>
        <w:t xml:space="preserve">Victorian Criminal Charge Book </w:t>
      </w:r>
      <w:r>
        <w:rPr>
          <w:color w:val="231F20"/>
          <w:sz w:val="13"/>
        </w:rPr>
        <w:t>(Online Manual, 12 September 2013) [41</w:t>
      </w:r>
      <w:hyperlink r:id="rId175">
        <w:r>
          <w:rPr>
            <w:color w:val="231F20"/>
            <w:sz w:val="13"/>
          </w:rPr>
          <w:t>]</w:t>
        </w:r>
        <w:r>
          <w:rPr>
            <w:color w:val="231F20"/>
            <w:spacing w:val="2"/>
            <w:sz w:val="13"/>
          </w:rPr>
          <w:t xml:space="preserve"> </w:t>
        </w:r>
        <w:r>
          <w:rPr>
            <w:color w:val="231F20"/>
            <w:sz w:val="13"/>
          </w:rPr>
          <w:t>&lt;https://www.judicialcollege.vic.edu.au/eManuals/CCB</w:t>
        </w:r>
      </w:hyperlink>
      <w:r>
        <w:rPr>
          <w:color w:val="231F20"/>
          <w:sz w:val="13"/>
        </w:rPr>
        <w:t>&gt;.</w:t>
      </w:r>
    </w:p>
    <w:p w14:paraId="0250F1FF" w14:textId="77777777" w:rsidR="00894070" w:rsidRDefault="009B7AFD">
      <w:pPr>
        <w:pStyle w:val="ListParagraph"/>
        <w:numPr>
          <w:ilvl w:val="0"/>
          <w:numId w:val="70"/>
        </w:numPr>
        <w:tabs>
          <w:tab w:val="left" w:pos="933"/>
          <w:tab w:val="left" w:pos="934"/>
        </w:tabs>
        <w:spacing w:line="153" w:lineRule="exact"/>
        <w:ind w:left="933" w:hanging="793"/>
        <w:jc w:val="left"/>
        <w:rPr>
          <w:color w:val="231F20"/>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 2022)</w:t>
      </w:r>
      <w:r>
        <w:rPr>
          <w:color w:val="231F20"/>
          <w:spacing w:val="7"/>
          <w:sz w:val="13"/>
        </w:rPr>
        <w:t xml:space="preserve"> </w:t>
      </w:r>
      <w:r>
        <w:rPr>
          <w:color w:val="231F20"/>
          <w:sz w:val="13"/>
        </w:rPr>
        <w:t>ix.</w:t>
      </w:r>
    </w:p>
    <w:p w14:paraId="76606966" w14:textId="77777777" w:rsidR="00894070" w:rsidRDefault="009B7AFD">
      <w:pPr>
        <w:pStyle w:val="ListParagraph"/>
        <w:numPr>
          <w:ilvl w:val="0"/>
          <w:numId w:val="70"/>
        </w:numPr>
        <w:tabs>
          <w:tab w:val="left" w:pos="933"/>
          <w:tab w:val="left" w:pos="934"/>
        </w:tabs>
        <w:spacing w:line="160" w:lineRule="exact"/>
        <w:ind w:left="933" w:hanging="793"/>
        <w:jc w:val="left"/>
        <w:rPr>
          <w:color w:val="231F20"/>
          <w:sz w:val="13"/>
        </w:rPr>
      </w:pPr>
      <w:r>
        <w:rPr>
          <w:i/>
          <w:color w:val="231F20"/>
          <w:sz w:val="13"/>
        </w:rPr>
        <w:t xml:space="preserve">Crimes Act 1958 </w:t>
      </w:r>
      <w:r>
        <w:rPr>
          <w:color w:val="231F20"/>
          <w:sz w:val="13"/>
        </w:rPr>
        <w:t>(Vic) s 21A(2)(g).</w:t>
      </w:r>
    </w:p>
    <w:p w14:paraId="6BB85CE0" w14:textId="77777777" w:rsidR="00894070" w:rsidRDefault="009B7AFD">
      <w:pPr>
        <w:pStyle w:val="ListParagraph"/>
        <w:numPr>
          <w:ilvl w:val="0"/>
          <w:numId w:val="70"/>
        </w:numPr>
        <w:tabs>
          <w:tab w:val="left" w:pos="933"/>
          <w:tab w:val="left" w:pos="934"/>
        </w:tabs>
        <w:spacing w:before="5" w:line="213" w:lineRule="auto"/>
        <w:ind w:left="933" w:right="1266" w:hanging="793"/>
        <w:jc w:val="left"/>
        <w:rPr>
          <w:color w:val="231F20"/>
          <w:sz w:val="13"/>
        </w:rPr>
      </w:pPr>
      <w:r>
        <w:rPr>
          <w:color w:val="231F20"/>
          <w:sz w:val="13"/>
        </w:rPr>
        <w:t>Ibid s 21</w:t>
      </w:r>
      <w:proofErr w:type="gramStart"/>
      <w:r>
        <w:rPr>
          <w:color w:val="231F20"/>
          <w:sz w:val="13"/>
        </w:rPr>
        <w:t>A(</w:t>
      </w:r>
      <w:proofErr w:type="gramEnd"/>
      <w:r>
        <w:rPr>
          <w:color w:val="231F20"/>
          <w:sz w:val="13"/>
        </w:rPr>
        <w:t xml:space="preserve">2), (3)(a)–(b); Judicial College of Victoria, ‘7.4.12 Stalking’, </w:t>
      </w:r>
      <w:r>
        <w:rPr>
          <w:i/>
          <w:color w:val="231F20"/>
          <w:sz w:val="13"/>
        </w:rPr>
        <w:t xml:space="preserve">Victorian Criminal Charge Book </w:t>
      </w:r>
      <w:r>
        <w:rPr>
          <w:color w:val="231F20"/>
          <w:sz w:val="13"/>
        </w:rPr>
        <w:t>(Online Manual, 12 September 2013) [41</w:t>
      </w:r>
      <w:hyperlink r:id="rId176">
        <w:r>
          <w:rPr>
            <w:color w:val="231F20"/>
            <w:sz w:val="13"/>
          </w:rPr>
          <w:t>]</w:t>
        </w:r>
        <w:r>
          <w:rPr>
            <w:color w:val="231F20"/>
            <w:spacing w:val="1"/>
            <w:sz w:val="13"/>
          </w:rPr>
          <w:t xml:space="preserve"> </w:t>
        </w:r>
        <w:r>
          <w:rPr>
            <w:color w:val="231F20"/>
            <w:sz w:val="13"/>
          </w:rPr>
          <w:t>&lt;https://www.judicialcollege.vic.edu.au/eManuals/CCB</w:t>
        </w:r>
      </w:hyperlink>
      <w:r>
        <w:rPr>
          <w:color w:val="231F20"/>
          <w:sz w:val="13"/>
        </w:rPr>
        <w:t>&gt;.</w:t>
      </w:r>
    </w:p>
    <w:p w14:paraId="1ACFE0A8" w14:textId="77777777" w:rsidR="00894070" w:rsidRDefault="009B7AFD">
      <w:pPr>
        <w:pStyle w:val="ListParagraph"/>
        <w:numPr>
          <w:ilvl w:val="0"/>
          <w:numId w:val="70"/>
        </w:numPr>
        <w:tabs>
          <w:tab w:val="left" w:pos="933"/>
          <w:tab w:val="left" w:pos="934"/>
        </w:tabs>
        <w:spacing w:line="163" w:lineRule="exact"/>
        <w:ind w:left="933" w:hanging="793"/>
        <w:jc w:val="left"/>
        <w:rPr>
          <w:color w:val="231F20"/>
          <w:sz w:val="13"/>
        </w:rPr>
      </w:pPr>
      <w:r>
        <w:rPr>
          <w:i/>
          <w:color w:val="231F20"/>
          <w:sz w:val="13"/>
        </w:rPr>
        <w:t xml:space="preserve">Crimes Act 1958 </w:t>
      </w:r>
      <w:r>
        <w:rPr>
          <w:color w:val="231F20"/>
          <w:sz w:val="13"/>
        </w:rPr>
        <w:t>(Vic) s 21</w:t>
      </w:r>
      <w:proofErr w:type="gramStart"/>
      <w:r>
        <w:rPr>
          <w:color w:val="231F20"/>
          <w:sz w:val="13"/>
        </w:rPr>
        <w:t>A(</w:t>
      </w:r>
      <w:proofErr w:type="gramEnd"/>
      <w:r>
        <w:rPr>
          <w:color w:val="231F20"/>
          <w:sz w:val="13"/>
        </w:rPr>
        <w:t>7).</w:t>
      </w:r>
    </w:p>
    <w:p w14:paraId="33EA5A6F" w14:textId="77777777" w:rsidR="00894070" w:rsidRDefault="00894070">
      <w:pPr>
        <w:spacing w:line="163" w:lineRule="exact"/>
        <w:rPr>
          <w:sz w:val="13"/>
        </w:rPr>
        <w:sectPr w:rsidR="00894070">
          <w:type w:val="continuous"/>
          <w:pgSz w:w="11910" w:h="16840"/>
          <w:pgMar w:top="560" w:right="420" w:bottom="280" w:left="580" w:header="720" w:footer="720" w:gutter="0"/>
          <w:cols w:num="2" w:space="720" w:equalWidth="0">
            <w:col w:w="567" w:space="300"/>
            <w:col w:w="10043"/>
          </w:cols>
        </w:sectPr>
      </w:pPr>
    </w:p>
    <w:p w14:paraId="409C2027" w14:textId="77777777" w:rsidR="00894070" w:rsidRDefault="00894070">
      <w:pPr>
        <w:pStyle w:val="BodyText"/>
      </w:pPr>
    </w:p>
    <w:p w14:paraId="408A4B1D" w14:textId="77777777" w:rsidR="00894070" w:rsidRDefault="00894070">
      <w:pPr>
        <w:pStyle w:val="BodyText"/>
      </w:pPr>
    </w:p>
    <w:p w14:paraId="1470744D" w14:textId="77777777" w:rsidR="00894070" w:rsidRDefault="00894070">
      <w:pPr>
        <w:pStyle w:val="BodyText"/>
      </w:pPr>
    </w:p>
    <w:p w14:paraId="392A5C81" w14:textId="77777777" w:rsidR="00894070" w:rsidRDefault="00894070">
      <w:pPr>
        <w:pStyle w:val="BodyText"/>
        <w:spacing w:before="6"/>
        <w:rPr>
          <w:sz w:val="14"/>
        </w:rPr>
      </w:pPr>
    </w:p>
    <w:p w14:paraId="292B92FD" w14:textId="77777777" w:rsidR="00894070" w:rsidRDefault="009B7AFD">
      <w:pPr>
        <w:pStyle w:val="Heading7"/>
        <w:spacing w:before="41"/>
      </w:pPr>
      <w:bookmarkStart w:id="149" w:name="How_well_is_the_stalking_offence_working"/>
      <w:bookmarkStart w:id="150" w:name="_bookmark89"/>
      <w:bookmarkEnd w:id="149"/>
      <w:bookmarkEnd w:id="150"/>
      <w:r>
        <w:rPr>
          <w:color w:val="EA5B50"/>
        </w:rPr>
        <w:t>How well is the stalking offence working?</w:t>
      </w:r>
    </w:p>
    <w:p w14:paraId="07B2AA63" w14:textId="77777777" w:rsidR="00894070" w:rsidRDefault="009B7AFD">
      <w:pPr>
        <w:pStyle w:val="ListParagraph"/>
        <w:numPr>
          <w:ilvl w:val="1"/>
          <w:numId w:val="65"/>
        </w:numPr>
        <w:tabs>
          <w:tab w:val="left" w:pos="1801"/>
          <w:tab w:val="left" w:pos="1802"/>
        </w:tabs>
        <w:spacing w:before="146" w:line="206" w:lineRule="auto"/>
        <w:ind w:right="1197"/>
        <w:rPr>
          <w:sz w:val="11"/>
        </w:rPr>
      </w:pPr>
      <w:r>
        <w:rPr>
          <w:color w:val="231F20"/>
          <w:sz w:val="20"/>
        </w:rPr>
        <w:t>Criminalising</w:t>
      </w:r>
      <w:r>
        <w:rPr>
          <w:color w:val="231F20"/>
          <w:spacing w:val="-11"/>
          <w:sz w:val="20"/>
        </w:rPr>
        <w:t xml:space="preserve"> </w:t>
      </w:r>
      <w:r>
        <w:rPr>
          <w:color w:val="231F20"/>
          <w:sz w:val="20"/>
        </w:rPr>
        <w:t>stalking</w:t>
      </w:r>
      <w:r>
        <w:rPr>
          <w:color w:val="231F20"/>
          <w:spacing w:val="-11"/>
          <w:sz w:val="20"/>
        </w:rPr>
        <w:t xml:space="preserve"> </w:t>
      </w:r>
      <w:r>
        <w:rPr>
          <w:color w:val="231F20"/>
          <w:sz w:val="20"/>
        </w:rPr>
        <w:t>has</w:t>
      </w:r>
      <w:r>
        <w:rPr>
          <w:color w:val="231F20"/>
          <w:spacing w:val="-11"/>
          <w:sz w:val="20"/>
        </w:rPr>
        <w:t xml:space="preserve"> </w:t>
      </w:r>
      <w:r>
        <w:rPr>
          <w:color w:val="231F20"/>
          <w:spacing w:val="-3"/>
          <w:sz w:val="20"/>
        </w:rPr>
        <w:t>inherent</w:t>
      </w:r>
      <w:r>
        <w:rPr>
          <w:color w:val="231F20"/>
          <w:spacing w:val="-11"/>
          <w:sz w:val="20"/>
        </w:rPr>
        <w:t xml:space="preserve"> </w:t>
      </w:r>
      <w:r>
        <w:rPr>
          <w:color w:val="231F20"/>
          <w:sz w:val="20"/>
        </w:rPr>
        <w:t>difficulties</w:t>
      </w:r>
      <w:r>
        <w:rPr>
          <w:color w:val="231F20"/>
          <w:spacing w:val="-11"/>
          <w:sz w:val="20"/>
        </w:rPr>
        <w:t xml:space="preserve"> </w:t>
      </w:r>
      <w:r>
        <w:rPr>
          <w:color w:val="231F20"/>
          <w:sz w:val="20"/>
        </w:rPr>
        <w:t>because</w:t>
      </w:r>
      <w:r>
        <w:rPr>
          <w:color w:val="231F20"/>
          <w:spacing w:val="-11"/>
          <w:sz w:val="20"/>
        </w:rPr>
        <w:t xml:space="preserve"> </w:t>
      </w:r>
      <w:r>
        <w:rPr>
          <w:color w:val="231F20"/>
          <w:sz w:val="20"/>
        </w:rPr>
        <w:t>it</w:t>
      </w:r>
      <w:r>
        <w:rPr>
          <w:color w:val="231F20"/>
          <w:spacing w:val="-11"/>
          <w:sz w:val="20"/>
        </w:rPr>
        <w:t xml:space="preserve"> </w:t>
      </w:r>
      <w:r>
        <w:rPr>
          <w:color w:val="231F20"/>
          <w:sz w:val="20"/>
        </w:rPr>
        <w:t>can</w:t>
      </w:r>
      <w:r>
        <w:rPr>
          <w:color w:val="231F20"/>
          <w:spacing w:val="-11"/>
          <w:sz w:val="20"/>
        </w:rPr>
        <w:t xml:space="preserve"> </w:t>
      </w:r>
      <w:r>
        <w:rPr>
          <w:color w:val="231F20"/>
          <w:spacing w:val="-5"/>
          <w:sz w:val="20"/>
        </w:rPr>
        <w:t>involve</w:t>
      </w:r>
      <w:r>
        <w:rPr>
          <w:color w:val="231F20"/>
          <w:spacing w:val="-11"/>
          <w:sz w:val="20"/>
        </w:rPr>
        <w:t xml:space="preserve"> </w:t>
      </w:r>
      <w:r>
        <w:rPr>
          <w:color w:val="231F20"/>
          <w:sz w:val="20"/>
        </w:rPr>
        <w:t>actions</w:t>
      </w:r>
      <w:r>
        <w:rPr>
          <w:color w:val="231F20"/>
          <w:spacing w:val="-11"/>
          <w:sz w:val="20"/>
        </w:rPr>
        <w:t xml:space="preserve"> </w:t>
      </w:r>
      <w:r>
        <w:rPr>
          <w:color w:val="231F20"/>
          <w:sz w:val="20"/>
        </w:rPr>
        <w:t>that</w:t>
      </w:r>
      <w:r>
        <w:rPr>
          <w:color w:val="231F20"/>
          <w:spacing w:val="-11"/>
          <w:sz w:val="20"/>
        </w:rPr>
        <w:t xml:space="preserve"> </w:t>
      </w:r>
      <w:r>
        <w:rPr>
          <w:color w:val="231F20"/>
          <w:spacing w:val="-3"/>
          <w:sz w:val="20"/>
        </w:rPr>
        <w:t>are</w:t>
      </w:r>
      <w:r>
        <w:rPr>
          <w:color w:val="231F20"/>
          <w:spacing w:val="-11"/>
          <w:sz w:val="20"/>
        </w:rPr>
        <w:t xml:space="preserve"> </w:t>
      </w:r>
      <w:r>
        <w:rPr>
          <w:color w:val="231F20"/>
          <w:sz w:val="20"/>
        </w:rPr>
        <w:t>not criminal</w:t>
      </w:r>
      <w:r>
        <w:rPr>
          <w:color w:val="231F20"/>
          <w:spacing w:val="-7"/>
          <w:sz w:val="20"/>
        </w:rPr>
        <w:t xml:space="preserve"> </w:t>
      </w:r>
      <w:r>
        <w:rPr>
          <w:color w:val="231F20"/>
          <w:spacing w:val="-3"/>
          <w:sz w:val="20"/>
        </w:rPr>
        <w:t>by</w:t>
      </w:r>
      <w:r>
        <w:rPr>
          <w:color w:val="231F20"/>
          <w:spacing w:val="-7"/>
          <w:sz w:val="20"/>
        </w:rPr>
        <w:t xml:space="preserve"> </w:t>
      </w:r>
      <w:r>
        <w:rPr>
          <w:color w:val="231F20"/>
          <w:sz w:val="20"/>
        </w:rPr>
        <w:t>themselves,</w:t>
      </w:r>
      <w:r>
        <w:rPr>
          <w:color w:val="231F20"/>
          <w:spacing w:val="-6"/>
          <w:sz w:val="20"/>
        </w:rPr>
        <w:t xml:space="preserve"> </w:t>
      </w:r>
      <w:r>
        <w:rPr>
          <w:color w:val="231F20"/>
          <w:sz w:val="20"/>
        </w:rPr>
        <w:t>such</w:t>
      </w:r>
      <w:r>
        <w:rPr>
          <w:color w:val="231F20"/>
          <w:spacing w:val="-7"/>
          <w:sz w:val="20"/>
        </w:rPr>
        <w:t xml:space="preserve"> </w:t>
      </w:r>
      <w:r>
        <w:rPr>
          <w:color w:val="231F20"/>
          <w:sz w:val="20"/>
        </w:rPr>
        <w:t>as</w:t>
      </w:r>
      <w:r>
        <w:rPr>
          <w:color w:val="231F20"/>
          <w:spacing w:val="-7"/>
          <w:sz w:val="20"/>
        </w:rPr>
        <w:t xml:space="preserve"> </w:t>
      </w:r>
      <w:r>
        <w:rPr>
          <w:color w:val="231F20"/>
          <w:sz w:val="20"/>
        </w:rPr>
        <w:t>calling</w:t>
      </w:r>
      <w:r>
        <w:rPr>
          <w:color w:val="231F20"/>
          <w:spacing w:val="-6"/>
          <w:sz w:val="20"/>
        </w:rPr>
        <w:t xml:space="preserve"> </w:t>
      </w:r>
      <w:r>
        <w:rPr>
          <w:color w:val="231F20"/>
          <w:sz w:val="20"/>
        </w:rPr>
        <w:t>someone</w:t>
      </w:r>
      <w:r>
        <w:rPr>
          <w:color w:val="231F20"/>
          <w:spacing w:val="-7"/>
          <w:sz w:val="20"/>
        </w:rPr>
        <w:t xml:space="preserve"> </w:t>
      </w:r>
      <w:r>
        <w:rPr>
          <w:color w:val="231F20"/>
          <w:sz w:val="20"/>
        </w:rPr>
        <w:t>on</w:t>
      </w:r>
      <w:r>
        <w:rPr>
          <w:color w:val="231F20"/>
          <w:spacing w:val="-6"/>
          <w:sz w:val="20"/>
        </w:rPr>
        <w:t xml:space="preserve"> </w:t>
      </w:r>
      <w:r>
        <w:rPr>
          <w:color w:val="231F20"/>
          <w:sz w:val="20"/>
        </w:rPr>
        <w:t>the</w:t>
      </w:r>
      <w:r>
        <w:rPr>
          <w:color w:val="231F20"/>
          <w:spacing w:val="-7"/>
          <w:sz w:val="20"/>
        </w:rPr>
        <w:t xml:space="preserve"> </w:t>
      </w:r>
      <w:r>
        <w:rPr>
          <w:color w:val="231F20"/>
          <w:sz w:val="20"/>
        </w:rPr>
        <w:t>phone</w:t>
      </w:r>
      <w:r>
        <w:rPr>
          <w:color w:val="231F20"/>
          <w:spacing w:val="-7"/>
          <w:sz w:val="20"/>
        </w:rPr>
        <w:t xml:space="preserve"> </w:t>
      </w:r>
      <w:r>
        <w:rPr>
          <w:color w:val="231F20"/>
          <w:sz w:val="20"/>
        </w:rPr>
        <w:t>or</w:t>
      </w:r>
      <w:r>
        <w:rPr>
          <w:color w:val="231F20"/>
          <w:spacing w:val="-6"/>
          <w:sz w:val="20"/>
        </w:rPr>
        <w:t xml:space="preserve"> </w:t>
      </w:r>
      <w:r>
        <w:rPr>
          <w:color w:val="231F20"/>
          <w:sz w:val="20"/>
        </w:rPr>
        <w:t>sending</w:t>
      </w:r>
      <w:r>
        <w:rPr>
          <w:color w:val="231F20"/>
          <w:spacing w:val="-7"/>
          <w:sz w:val="20"/>
        </w:rPr>
        <w:t xml:space="preserve"> </w:t>
      </w:r>
      <w:r>
        <w:rPr>
          <w:color w:val="231F20"/>
          <w:sz w:val="20"/>
        </w:rPr>
        <w:t>gifts.</w:t>
      </w:r>
      <w:r>
        <w:rPr>
          <w:color w:val="231F20"/>
          <w:position w:val="7"/>
          <w:sz w:val="11"/>
        </w:rPr>
        <w:t>17</w:t>
      </w:r>
    </w:p>
    <w:p w14:paraId="6C3F4D76" w14:textId="77777777" w:rsidR="00894070" w:rsidRDefault="009B7AFD">
      <w:pPr>
        <w:pStyle w:val="ListParagraph"/>
        <w:numPr>
          <w:ilvl w:val="1"/>
          <w:numId w:val="65"/>
        </w:numPr>
        <w:tabs>
          <w:tab w:val="left" w:pos="1801"/>
          <w:tab w:val="left" w:pos="1802"/>
        </w:tabs>
        <w:spacing w:before="122" w:line="206" w:lineRule="auto"/>
        <w:ind w:right="1393"/>
        <w:rPr>
          <w:sz w:val="11"/>
        </w:rPr>
      </w:pPr>
      <w:r>
        <w:rPr>
          <w:color w:val="231F20"/>
          <w:sz w:val="20"/>
        </w:rPr>
        <w:t>Stalking</w:t>
      </w:r>
      <w:r>
        <w:rPr>
          <w:color w:val="231F20"/>
          <w:spacing w:val="-14"/>
          <w:sz w:val="20"/>
        </w:rPr>
        <w:t xml:space="preserve"> </w:t>
      </w:r>
      <w:r>
        <w:rPr>
          <w:color w:val="231F20"/>
          <w:sz w:val="20"/>
        </w:rPr>
        <w:t>offences</w:t>
      </w:r>
      <w:r>
        <w:rPr>
          <w:color w:val="231F20"/>
          <w:spacing w:val="-14"/>
          <w:sz w:val="20"/>
        </w:rPr>
        <w:t xml:space="preserve"> </w:t>
      </w:r>
      <w:r>
        <w:rPr>
          <w:color w:val="231F20"/>
          <w:sz w:val="20"/>
        </w:rPr>
        <w:t>in</w:t>
      </w:r>
      <w:r>
        <w:rPr>
          <w:color w:val="231F20"/>
          <w:spacing w:val="-14"/>
          <w:sz w:val="20"/>
        </w:rPr>
        <w:t xml:space="preserve"> </w:t>
      </w:r>
      <w:r>
        <w:rPr>
          <w:color w:val="231F20"/>
          <w:sz w:val="20"/>
        </w:rPr>
        <w:t>other</w:t>
      </w:r>
      <w:r>
        <w:rPr>
          <w:color w:val="231F20"/>
          <w:spacing w:val="-14"/>
          <w:sz w:val="20"/>
        </w:rPr>
        <w:t xml:space="preserve"> </w:t>
      </w:r>
      <w:r>
        <w:rPr>
          <w:color w:val="231F20"/>
          <w:sz w:val="20"/>
        </w:rPr>
        <w:t>jurisdictions</w:t>
      </w:r>
      <w:r>
        <w:rPr>
          <w:color w:val="231F20"/>
          <w:spacing w:val="-14"/>
          <w:sz w:val="20"/>
        </w:rPr>
        <w:t xml:space="preserve"> </w:t>
      </w:r>
      <w:r>
        <w:rPr>
          <w:color w:val="231F20"/>
          <w:spacing w:val="-4"/>
          <w:sz w:val="20"/>
        </w:rPr>
        <w:t>have</w:t>
      </w:r>
      <w:r>
        <w:rPr>
          <w:color w:val="231F20"/>
          <w:spacing w:val="-14"/>
          <w:sz w:val="20"/>
        </w:rPr>
        <w:t xml:space="preserve"> </w:t>
      </w:r>
      <w:r>
        <w:rPr>
          <w:color w:val="231F20"/>
          <w:sz w:val="20"/>
        </w:rPr>
        <w:t>gaps</w:t>
      </w:r>
      <w:r>
        <w:rPr>
          <w:color w:val="231F20"/>
          <w:spacing w:val="-14"/>
          <w:sz w:val="20"/>
        </w:rPr>
        <w:t xml:space="preserve"> </w:t>
      </w:r>
      <w:r>
        <w:rPr>
          <w:color w:val="231F20"/>
          <w:sz w:val="20"/>
        </w:rPr>
        <w:t>that</w:t>
      </w:r>
      <w:r>
        <w:rPr>
          <w:color w:val="231F20"/>
          <w:spacing w:val="-14"/>
          <w:sz w:val="20"/>
        </w:rPr>
        <w:t xml:space="preserve"> </w:t>
      </w:r>
      <w:r>
        <w:rPr>
          <w:color w:val="231F20"/>
          <w:sz w:val="20"/>
        </w:rPr>
        <w:t>Victoria</w:t>
      </w:r>
      <w:r>
        <w:rPr>
          <w:color w:val="231F20"/>
          <w:spacing w:val="-13"/>
          <w:sz w:val="20"/>
        </w:rPr>
        <w:t xml:space="preserve"> </w:t>
      </w:r>
      <w:r>
        <w:rPr>
          <w:color w:val="231F20"/>
          <w:sz w:val="20"/>
        </w:rPr>
        <w:t>has</w:t>
      </w:r>
      <w:r>
        <w:rPr>
          <w:color w:val="231F20"/>
          <w:spacing w:val="-14"/>
          <w:sz w:val="20"/>
        </w:rPr>
        <w:t xml:space="preserve"> </w:t>
      </w:r>
      <w:r>
        <w:rPr>
          <w:color w:val="231F20"/>
          <w:sz w:val="20"/>
        </w:rPr>
        <w:t>already</w:t>
      </w:r>
      <w:r>
        <w:rPr>
          <w:color w:val="231F20"/>
          <w:spacing w:val="-14"/>
          <w:sz w:val="20"/>
        </w:rPr>
        <w:t xml:space="preserve"> </w:t>
      </w:r>
      <w:r>
        <w:rPr>
          <w:color w:val="231F20"/>
          <w:sz w:val="20"/>
        </w:rPr>
        <w:t xml:space="preserve">addressed. </w:t>
      </w:r>
      <w:r>
        <w:rPr>
          <w:color w:val="231F20"/>
          <w:spacing w:val="-3"/>
          <w:sz w:val="20"/>
        </w:rPr>
        <w:t xml:space="preserve">For example, </w:t>
      </w:r>
      <w:r>
        <w:rPr>
          <w:color w:val="231F20"/>
          <w:sz w:val="20"/>
        </w:rPr>
        <w:t xml:space="preserve">stalking offences elsewhere </w:t>
      </w:r>
      <w:r>
        <w:rPr>
          <w:color w:val="231F20"/>
          <w:spacing w:val="-4"/>
          <w:sz w:val="20"/>
        </w:rPr>
        <w:t xml:space="preserve">have </w:t>
      </w:r>
      <w:r>
        <w:rPr>
          <w:color w:val="231F20"/>
          <w:sz w:val="20"/>
        </w:rPr>
        <w:t xml:space="preserve">been criticised </w:t>
      </w:r>
      <w:r>
        <w:rPr>
          <w:color w:val="231F20"/>
          <w:spacing w:val="-3"/>
          <w:sz w:val="20"/>
        </w:rPr>
        <w:t xml:space="preserve">for </w:t>
      </w:r>
      <w:r>
        <w:rPr>
          <w:color w:val="231F20"/>
          <w:sz w:val="20"/>
        </w:rPr>
        <w:t xml:space="preserve">not </w:t>
      </w:r>
      <w:r>
        <w:rPr>
          <w:color w:val="231F20"/>
          <w:spacing w:val="-3"/>
          <w:sz w:val="20"/>
        </w:rPr>
        <w:t xml:space="preserve">covering </w:t>
      </w:r>
      <w:r>
        <w:rPr>
          <w:color w:val="231F20"/>
          <w:sz w:val="20"/>
        </w:rPr>
        <w:t>situations</w:t>
      </w:r>
      <w:r>
        <w:rPr>
          <w:color w:val="231F20"/>
          <w:spacing w:val="-10"/>
          <w:sz w:val="20"/>
        </w:rPr>
        <w:t xml:space="preserve"> </w:t>
      </w:r>
      <w:r>
        <w:rPr>
          <w:color w:val="231F20"/>
          <w:sz w:val="20"/>
        </w:rPr>
        <w:t>where</w:t>
      </w:r>
      <w:r>
        <w:rPr>
          <w:color w:val="231F20"/>
          <w:spacing w:val="-10"/>
          <w:sz w:val="20"/>
        </w:rPr>
        <w:t xml:space="preserve"> </w:t>
      </w:r>
      <w:r>
        <w:rPr>
          <w:color w:val="231F20"/>
          <w:sz w:val="20"/>
        </w:rPr>
        <w:t>the</w:t>
      </w:r>
      <w:r>
        <w:rPr>
          <w:color w:val="231F20"/>
          <w:spacing w:val="-10"/>
          <w:sz w:val="20"/>
        </w:rPr>
        <w:t xml:space="preserve"> </w:t>
      </w:r>
      <w:r>
        <w:rPr>
          <w:color w:val="231F20"/>
          <w:sz w:val="20"/>
        </w:rPr>
        <w:t>person</w:t>
      </w:r>
      <w:r>
        <w:rPr>
          <w:color w:val="231F20"/>
          <w:spacing w:val="-9"/>
          <w:sz w:val="20"/>
        </w:rPr>
        <w:t xml:space="preserve"> </w:t>
      </w:r>
      <w:r>
        <w:rPr>
          <w:color w:val="231F20"/>
          <w:sz w:val="20"/>
        </w:rPr>
        <w:t>stalked</w:t>
      </w:r>
      <w:r>
        <w:rPr>
          <w:color w:val="231F20"/>
          <w:spacing w:val="-10"/>
          <w:sz w:val="20"/>
        </w:rPr>
        <w:t xml:space="preserve"> </w:t>
      </w:r>
      <w:r>
        <w:rPr>
          <w:color w:val="231F20"/>
          <w:sz w:val="20"/>
        </w:rPr>
        <w:t>is</w:t>
      </w:r>
      <w:r>
        <w:rPr>
          <w:color w:val="231F20"/>
          <w:spacing w:val="-10"/>
          <w:sz w:val="20"/>
        </w:rPr>
        <w:t xml:space="preserve"> </w:t>
      </w:r>
      <w:r>
        <w:rPr>
          <w:color w:val="231F20"/>
          <w:sz w:val="20"/>
        </w:rPr>
        <w:t>not</w:t>
      </w:r>
      <w:r>
        <w:rPr>
          <w:color w:val="231F20"/>
          <w:spacing w:val="-9"/>
          <w:sz w:val="20"/>
        </w:rPr>
        <w:t xml:space="preserve"> </w:t>
      </w:r>
      <w:r>
        <w:rPr>
          <w:color w:val="231F20"/>
          <w:spacing w:val="-4"/>
          <w:sz w:val="20"/>
        </w:rPr>
        <w:t>aware</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stalking,</w:t>
      </w:r>
      <w:r>
        <w:rPr>
          <w:color w:val="231F20"/>
          <w:spacing w:val="-9"/>
          <w:sz w:val="20"/>
        </w:rPr>
        <w:t xml:space="preserve"> </w:t>
      </w:r>
      <w:r>
        <w:rPr>
          <w:color w:val="231F20"/>
          <w:sz w:val="20"/>
        </w:rPr>
        <w:t>or</w:t>
      </w:r>
      <w:r>
        <w:rPr>
          <w:color w:val="231F20"/>
          <w:spacing w:val="-10"/>
          <w:sz w:val="20"/>
        </w:rPr>
        <w:t xml:space="preserve"> </w:t>
      </w:r>
      <w:r>
        <w:rPr>
          <w:color w:val="231F20"/>
          <w:sz w:val="20"/>
        </w:rPr>
        <w:t>where</w:t>
      </w:r>
      <w:r>
        <w:rPr>
          <w:color w:val="231F20"/>
          <w:spacing w:val="-10"/>
          <w:sz w:val="20"/>
        </w:rPr>
        <w:t xml:space="preserve"> </w:t>
      </w:r>
      <w:r>
        <w:rPr>
          <w:color w:val="231F20"/>
          <w:sz w:val="20"/>
        </w:rPr>
        <w:t>an</w:t>
      </w:r>
      <w:r>
        <w:rPr>
          <w:color w:val="231F20"/>
          <w:spacing w:val="-9"/>
          <w:sz w:val="20"/>
        </w:rPr>
        <w:t xml:space="preserve"> </w:t>
      </w:r>
      <w:r>
        <w:rPr>
          <w:color w:val="231F20"/>
          <w:sz w:val="20"/>
        </w:rPr>
        <w:t xml:space="preserve">accused does not understand the effects of their conduct. These situations </w:t>
      </w:r>
      <w:r>
        <w:rPr>
          <w:color w:val="231F20"/>
          <w:spacing w:val="-3"/>
          <w:sz w:val="20"/>
        </w:rPr>
        <w:t xml:space="preserve">are </w:t>
      </w:r>
      <w:r>
        <w:rPr>
          <w:color w:val="231F20"/>
          <w:spacing w:val="-4"/>
          <w:sz w:val="20"/>
        </w:rPr>
        <w:t xml:space="preserve">covered </w:t>
      </w:r>
      <w:r>
        <w:rPr>
          <w:color w:val="231F20"/>
          <w:sz w:val="20"/>
        </w:rPr>
        <w:t>in Victoria.</w:t>
      </w:r>
      <w:r>
        <w:rPr>
          <w:color w:val="231F20"/>
          <w:position w:val="7"/>
          <w:sz w:val="11"/>
        </w:rPr>
        <w:t>18</w:t>
      </w:r>
    </w:p>
    <w:p w14:paraId="538B9C3B" w14:textId="77777777" w:rsidR="00894070" w:rsidRDefault="009B7AFD">
      <w:pPr>
        <w:pStyle w:val="ListParagraph"/>
        <w:numPr>
          <w:ilvl w:val="1"/>
          <w:numId w:val="65"/>
        </w:numPr>
        <w:tabs>
          <w:tab w:val="left" w:pos="1801"/>
          <w:tab w:val="left" w:pos="1802"/>
        </w:tabs>
        <w:spacing w:before="126" w:line="206" w:lineRule="auto"/>
        <w:ind w:right="1205"/>
        <w:rPr>
          <w:sz w:val="20"/>
        </w:rPr>
      </w:pPr>
      <w:r>
        <w:rPr>
          <w:color w:val="231F20"/>
          <w:sz w:val="20"/>
        </w:rPr>
        <w:t xml:space="preserve">In </w:t>
      </w:r>
      <w:r>
        <w:rPr>
          <w:color w:val="231F20"/>
          <w:spacing w:val="-3"/>
          <w:sz w:val="20"/>
        </w:rPr>
        <w:t xml:space="preserve">2003 </w:t>
      </w:r>
      <w:r>
        <w:rPr>
          <w:color w:val="231F20"/>
          <w:sz w:val="20"/>
        </w:rPr>
        <w:t xml:space="preserve">the Victorian </w:t>
      </w:r>
      <w:r>
        <w:rPr>
          <w:color w:val="231F20"/>
          <w:spacing w:val="-3"/>
          <w:sz w:val="20"/>
        </w:rPr>
        <w:t xml:space="preserve">Government introduced </w:t>
      </w:r>
      <w:r>
        <w:rPr>
          <w:color w:val="231F20"/>
          <w:sz w:val="20"/>
        </w:rPr>
        <w:t xml:space="preserve">technology-based stalking provisions. </w:t>
      </w:r>
      <w:r>
        <w:rPr>
          <w:color w:val="231F20"/>
          <w:spacing w:val="-3"/>
          <w:sz w:val="20"/>
        </w:rPr>
        <w:t xml:space="preserve">For example, </w:t>
      </w:r>
      <w:r>
        <w:rPr>
          <w:color w:val="231F20"/>
          <w:sz w:val="20"/>
        </w:rPr>
        <w:t xml:space="preserve">publishing </w:t>
      </w:r>
      <w:r>
        <w:rPr>
          <w:color w:val="231F20"/>
          <w:spacing w:val="-3"/>
          <w:sz w:val="20"/>
        </w:rPr>
        <w:t xml:space="preserve">information </w:t>
      </w:r>
      <w:r>
        <w:rPr>
          <w:color w:val="231F20"/>
          <w:sz w:val="20"/>
        </w:rPr>
        <w:t>about a person online is on the list of behaviours that</w:t>
      </w:r>
      <w:r>
        <w:rPr>
          <w:color w:val="231F20"/>
          <w:spacing w:val="-9"/>
          <w:sz w:val="20"/>
        </w:rPr>
        <w:t xml:space="preserve"> </w:t>
      </w:r>
      <w:r>
        <w:rPr>
          <w:color w:val="231F20"/>
          <w:sz w:val="20"/>
        </w:rPr>
        <w:t>can</w:t>
      </w:r>
      <w:r>
        <w:rPr>
          <w:color w:val="231F20"/>
          <w:spacing w:val="-8"/>
          <w:sz w:val="20"/>
        </w:rPr>
        <w:t xml:space="preserve"> </w:t>
      </w:r>
      <w:r>
        <w:rPr>
          <w:color w:val="231F20"/>
          <w:sz w:val="20"/>
        </w:rPr>
        <w:t>make</w:t>
      </w:r>
      <w:r>
        <w:rPr>
          <w:color w:val="231F20"/>
          <w:spacing w:val="-9"/>
          <w:sz w:val="20"/>
        </w:rPr>
        <w:t xml:space="preserve"> </w:t>
      </w:r>
      <w:r>
        <w:rPr>
          <w:color w:val="231F20"/>
          <w:sz w:val="20"/>
        </w:rPr>
        <w:t>up</w:t>
      </w:r>
      <w:r>
        <w:rPr>
          <w:color w:val="231F20"/>
          <w:spacing w:val="-8"/>
          <w:sz w:val="20"/>
        </w:rPr>
        <w:t xml:space="preserve"> </w:t>
      </w:r>
      <w:r>
        <w:rPr>
          <w:color w:val="231F20"/>
          <w:sz w:val="20"/>
        </w:rPr>
        <w:t>a</w:t>
      </w:r>
      <w:r>
        <w:rPr>
          <w:color w:val="231F20"/>
          <w:spacing w:val="-8"/>
          <w:sz w:val="20"/>
        </w:rPr>
        <w:t xml:space="preserve"> </w:t>
      </w:r>
      <w:r>
        <w:rPr>
          <w:color w:val="231F20"/>
          <w:sz w:val="20"/>
        </w:rPr>
        <w:t>course</w:t>
      </w:r>
      <w:r>
        <w:rPr>
          <w:color w:val="231F20"/>
          <w:spacing w:val="-9"/>
          <w:sz w:val="20"/>
        </w:rPr>
        <w:t xml:space="preserve"> </w:t>
      </w:r>
      <w:r>
        <w:rPr>
          <w:color w:val="231F20"/>
          <w:sz w:val="20"/>
        </w:rPr>
        <w:t>of</w:t>
      </w:r>
      <w:r>
        <w:rPr>
          <w:color w:val="231F20"/>
          <w:spacing w:val="-8"/>
          <w:sz w:val="20"/>
        </w:rPr>
        <w:t xml:space="preserve"> </w:t>
      </w:r>
      <w:r>
        <w:rPr>
          <w:color w:val="231F20"/>
          <w:sz w:val="20"/>
        </w:rPr>
        <w:t>conduct.</w:t>
      </w:r>
      <w:r>
        <w:rPr>
          <w:color w:val="231F20"/>
          <w:position w:val="7"/>
          <w:sz w:val="11"/>
        </w:rPr>
        <w:t>19</w:t>
      </w:r>
      <w:r>
        <w:rPr>
          <w:color w:val="231F20"/>
          <w:spacing w:val="16"/>
          <w:position w:val="7"/>
          <w:sz w:val="11"/>
        </w:rPr>
        <w:t xml:space="preserve"> </w:t>
      </w:r>
      <w:r>
        <w:rPr>
          <w:color w:val="231F20"/>
          <w:sz w:val="20"/>
        </w:rPr>
        <w:t>The</w:t>
      </w:r>
      <w:r>
        <w:rPr>
          <w:color w:val="231F20"/>
          <w:spacing w:val="-9"/>
          <w:sz w:val="20"/>
        </w:rPr>
        <w:t xml:space="preserve"> </w:t>
      </w:r>
      <w:r>
        <w:rPr>
          <w:color w:val="231F20"/>
          <w:spacing w:val="-3"/>
          <w:sz w:val="20"/>
        </w:rPr>
        <w:t>provisions</w:t>
      </w:r>
      <w:r>
        <w:rPr>
          <w:color w:val="231F20"/>
          <w:spacing w:val="-8"/>
          <w:sz w:val="20"/>
        </w:rPr>
        <w:t xml:space="preserve"> </w:t>
      </w:r>
      <w:r>
        <w:rPr>
          <w:color w:val="231F20"/>
          <w:sz w:val="20"/>
        </w:rPr>
        <w:t>do</w:t>
      </w:r>
      <w:r>
        <w:rPr>
          <w:color w:val="231F20"/>
          <w:spacing w:val="-8"/>
          <w:sz w:val="20"/>
        </w:rPr>
        <w:t xml:space="preserve"> </w:t>
      </w:r>
      <w:r>
        <w:rPr>
          <w:color w:val="231F20"/>
          <w:sz w:val="20"/>
        </w:rPr>
        <w:t>not</w:t>
      </w:r>
      <w:r>
        <w:rPr>
          <w:color w:val="231F20"/>
          <w:spacing w:val="-9"/>
          <w:sz w:val="20"/>
        </w:rPr>
        <w:t xml:space="preserve"> </w:t>
      </w:r>
      <w:r>
        <w:rPr>
          <w:color w:val="231F20"/>
          <w:sz w:val="20"/>
        </w:rPr>
        <w:t>specify</w:t>
      </w:r>
      <w:r>
        <w:rPr>
          <w:color w:val="231F20"/>
          <w:spacing w:val="-8"/>
          <w:sz w:val="20"/>
        </w:rPr>
        <w:t xml:space="preserve"> </w:t>
      </w:r>
      <w:r>
        <w:rPr>
          <w:color w:val="231F20"/>
          <w:sz w:val="20"/>
        </w:rPr>
        <w:t>what</w:t>
      </w:r>
      <w:r>
        <w:rPr>
          <w:color w:val="231F20"/>
          <w:spacing w:val="-8"/>
          <w:sz w:val="20"/>
        </w:rPr>
        <w:t xml:space="preserve"> </w:t>
      </w:r>
      <w:r>
        <w:rPr>
          <w:color w:val="231F20"/>
          <w:sz w:val="20"/>
        </w:rPr>
        <w:t>technology needs to be</w:t>
      </w:r>
      <w:r>
        <w:rPr>
          <w:color w:val="231F20"/>
          <w:spacing w:val="-13"/>
          <w:sz w:val="20"/>
        </w:rPr>
        <w:t xml:space="preserve"> </w:t>
      </w:r>
      <w:r>
        <w:rPr>
          <w:color w:val="231F20"/>
          <w:sz w:val="20"/>
        </w:rPr>
        <w:t>used.</w:t>
      </w:r>
    </w:p>
    <w:p w14:paraId="2DF560B9" w14:textId="77777777" w:rsidR="00894070" w:rsidRDefault="009B7AFD">
      <w:pPr>
        <w:pStyle w:val="ListParagraph"/>
        <w:numPr>
          <w:ilvl w:val="1"/>
          <w:numId w:val="65"/>
        </w:numPr>
        <w:tabs>
          <w:tab w:val="left" w:pos="1801"/>
          <w:tab w:val="left" w:pos="1802"/>
        </w:tabs>
        <w:spacing w:before="125" w:line="206" w:lineRule="auto"/>
        <w:ind w:right="1175"/>
        <w:rPr>
          <w:sz w:val="20"/>
        </w:rPr>
      </w:pPr>
      <w:r>
        <w:rPr>
          <w:color w:val="231F20"/>
          <w:sz w:val="20"/>
        </w:rPr>
        <w:t>In</w:t>
      </w:r>
      <w:r>
        <w:rPr>
          <w:color w:val="231F20"/>
          <w:spacing w:val="-8"/>
          <w:sz w:val="20"/>
        </w:rPr>
        <w:t xml:space="preserve"> </w:t>
      </w:r>
      <w:r>
        <w:rPr>
          <w:color w:val="231F20"/>
          <w:spacing w:val="-3"/>
          <w:sz w:val="20"/>
        </w:rPr>
        <w:t>Chapter</w:t>
      </w:r>
      <w:r>
        <w:rPr>
          <w:color w:val="231F20"/>
          <w:spacing w:val="-7"/>
          <w:sz w:val="20"/>
        </w:rPr>
        <w:t xml:space="preserve"> </w:t>
      </w:r>
      <w:r>
        <w:rPr>
          <w:color w:val="231F20"/>
          <w:sz w:val="20"/>
        </w:rPr>
        <w:t>3</w:t>
      </w:r>
      <w:r>
        <w:rPr>
          <w:color w:val="231F20"/>
          <w:spacing w:val="-7"/>
          <w:sz w:val="20"/>
        </w:rPr>
        <w:t xml:space="preserve"> </w:t>
      </w:r>
      <w:r>
        <w:rPr>
          <w:color w:val="231F20"/>
          <w:spacing w:val="-3"/>
          <w:sz w:val="20"/>
        </w:rPr>
        <w:t>we</w:t>
      </w:r>
      <w:r>
        <w:rPr>
          <w:color w:val="231F20"/>
          <w:spacing w:val="-7"/>
          <w:sz w:val="20"/>
        </w:rPr>
        <w:t xml:space="preserve"> </w:t>
      </w:r>
      <w:r>
        <w:rPr>
          <w:color w:val="231F20"/>
          <w:sz w:val="20"/>
        </w:rPr>
        <w:t>discuss</w:t>
      </w:r>
      <w:r>
        <w:rPr>
          <w:color w:val="231F20"/>
          <w:spacing w:val="-7"/>
          <w:sz w:val="20"/>
        </w:rPr>
        <w:t xml:space="preserve"> </w:t>
      </w:r>
      <w:r>
        <w:rPr>
          <w:color w:val="231F20"/>
          <w:sz w:val="20"/>
        </w:rPr>
        <w:t>responses</w:t>
      </w:r>
      <w:r>
        <w:rPr>
          <w:color w:val="231F20"/>
          <w:spacing w:val="-7"/>
          <w:sz w:val="20"/>
        </w:rPr>
        <w:t xml:space="preserve"> </w:t>
      </w:r>
      <w:r>
        <w:rPr>
          <w:color w:val="231F20"/>
          <w:sz w:val="20"/>
        </w:rPr>
        <w:t>to</w:t>
      </w:r>
      <w:r>
        <w:rPr>
          <w:color w:val="231F20"/>
          <w:spacing w:val="-8"/>
          <w:sz w:val="20"/>
        </w:rPr>
        <w:t xml:space="preserve"> </w:t>
      </w:r>
      <w:r>
        <w:rPr>
          <w:color w:val="231F20"/>
          <w:sz w:val="20"/>
        </w:rPr>
        <w:t>cyberstalking.</w:t>
      </w:r>
      <w:r>
        <w:rPr>
          <w:color w:val="231F20"/>
          <w:spacing w:val="-7"/>
          <w:sz w:val="20"/>
        </w:rPr>
        <w:t xml:space="preserve"> </w:t>
      </w:r>
      <w:r>
        <w:rPr>
          <w:color w:val="231F20"/>
          <w:spacing w:val="-6"/>
          <w:sz w:val="20"/>
        </w:rPr>
        <w:t>We</w:t>
      </w:r>
      <w:r>
        <w:rPr>
          <w:color w:val="231F20"/>
          <w:spacing w:val="-7"/>
          <w:sz w:val="20"/>
        </w:rPr>
        <w:t xml:space="preserve"> </w:t>
      </w:r>
      <w:r>
        <w:rPr>
          <w:color w:val="231F20"/>
          <w:spacing w:val="-3"/>
          <w:sz w:val="20"/>
        </w:rPr>
        <w:t>note</w:t>
      </w:r>
      <w:r>
        <w:rPr>
          <w:color w:val="231F20"/>
          <w:spacing w:val="-7"/>
          <w:sz w:val="20"/>
        </w:rPr>
        <w:t xml:space="preserve"> </w:t>
      </w:r>
      <w:r>
        <w:rPr>
          <w:color w:val="231F20"/>
          <w:sz w:val="20"/>
        </w:rPr>
        <w:t>the</w:t>
      </w:r>
      <w:r>
        <w:rPr>
          <w:color w:val="231F20"/>
          <w:spacing w:val="-7"/>
          <w:sz w:val="20"/>
        </w:rPr>
        <w:t xml:space="preserve"> </w:t>
      </w:r>
      <w:r>
        <w:rPr>
          <w:color w:val="231F20"/>
          <w:sz w:val="20"/>
        </w:rPr>
        <w:t>feedback</w:t>
      </w:r>
      <w:r>
        <w:rPr>
          <w:color w:val="231F20"/>
          <w:spacing w:val="-7"/>
          <w:sz w:val="20"/>
        </w:rPr>
        <w:t xml:space="preserve"> </w:t>
      </w:r>
      <w:r>
        <w:rPr>
          <w:color w:val="231F20"/>
          <w:spacing w:val="-3"/>
          <w:sz w:val="20"/>
        </w:rPr>
        <w:t>we</w:t>
      </w:r>
      <w:r>
        <w:rPr>
          <w:color w:val="231F20"/>
          <w:spacing w:val="-7"/>
          <w:sz w:val="20"/>
        </w:rPr>
        <w:t xml:space="preserve"> </w:t>
      </w:r>
      <w:r>
        <w:rPr>
          <w:color w:val="231F20"/>
          <w:spacing w:val="-3"/>
          <w:sz w:val="20"/>
        </w:rPr>
        <w:t xml:space="preserve">received </w:t>
      </w:r>
      <w:r>
        <w:rPr>
          <w:color w:val="231F20"/>
          <w:sz w:val="20"/>
        </w:rPr>
        <w:t>that</w:t>
      </w:r>
      <w:r>
        <w:rPr>
          <w:color w:val="231F20"/>
          <w:spacing w:val="-8"/>
          <w:sz w:val="20"/>
        </w:rPr>
        <w:t xml:space="preserve"> </w:t>
      </w:r>
      <w:r>
        <w:rPr>
          <w:color w:val="231F20"/>
          <w:sz w:val="20"/>
        </w:rPr>
        <w:t>the</w:t>
      </w:r>
      <w:r>
        <w:rPr>
          <w:color w:val="231F20"/>
          <w:spacing w:val="-7"/>
          <w:sz w:val="20"/>
        </w:rPr>
        <w:t xml:space="preserve"> </w:t>
      </w:r>
      <w:r>
        <w:rPr>
          <w:color w:val="231F20"/>
          <w:sz w:val="20"/>
        </w:rPr>
        <w:t>stalking</w:t>
      </w:r>
      <w:r>
        <w:rPr>
          <w:color w:val="231F20"/>
          <w:spacing w:val="-7"/>
          <w:sz w:val="20"/>
        </w:rPr>
        <w:t xml:space="preserve"> </w:t>
      </w:r>
      <w:r>
        <w:rPr>
          <w:color w:val="231F20"/>
          <w:sz w:val="20"/>
        </w:rPr>
        <w:t>offence</w:t>
      </w:r>
      <w:r>
        <w:rPr>
          <w:color w:val="231F20"/>
          <w:spacing w:val="-7"/>
          <w:sz w:val="20"/>
        </w:rPr>
        <w:t xml:space="preserve"> </w:t>
      </w:r>
      <w:r>
        <w:rPr>
          <w:color w:val="231F20"/>
          <w:sz w:val="20"/>
        </w:rPr>
        <w:t>is</w:t>
      </w:r>
      <w:r>
        <w:rPr>
          <w:color w:val="231F20"/>
          <w:spacing w:val="-7"/>
          <w:sz w:val="20"/>
        </w:rPr>
        <w:t xml:space="preserve"> </w:t>
      </w:r>
      <w:r>
        <w:rPr>
          <w:color w:val="231F20"/>
          <w:spacing w:val="-3"/>
          <w:sz w:val="20"/>
        </w:rPr>
        <w:t>technologically</w:t>
      </w:r>
      <w:r>
        <w:rPr>
          <w:color w:val="231F20"/>
          <w:spacing w:val="-7"/>
          <w:sz w:val="20"/>
        </w:rPr>
        <w:t xml:space="preserve"> </w:t>
      </w:r>
      <w:r>
        <w:rPr>
          <w:color w:val="231F20"/>
          <w:sz w:val="20"/>
        </w:rPr>
        <w:t>neutral</w:t>
      </w:r>
      <w:r>
        <w:rPr>
          <w:color w:val="231F20"/>
          <w:spacing w:val="-7"/>
          <w:sz w:val="20"/>
        </w:rPr>
        <w:t xml:space="preserve"> </w:t>
      </w:r>
      <w:r>
        <w:rPr>
          <w:color w:val="231F20"/>
          <w:sz w:val="20"/>
        </w:rPr>
        <w:t>enough</w:t>
      </w:r>
      <w:r>
        <w:rPr>
          <w:color w:val="231F20"/>
          <w:spacing w:val="-7"/>
          <w:sz w:val="20"/>
        </w:rPr>
        <w:t xml:space="preserve"> </w:t>
      </w:r>
      <w:r>
        <w:rPr>
          <w:color w:val="231F20"/>
          <w:sz w:val="20"/>
        </w:rPr>
        <w:t>to</w:t>
      </w:r>
      <w:r>
        <w:rPr>
          <w:color w:val="231F20"/>
          <w:spacing w:val="-7"/>
          <w:sz w:val="20"/>
        </w:rPr>
        <w:t xml:space="preserve"> </w:t>
      </w:r>
      <w:r>
        <w:rPr>
          <w:color w:val="231F20"/>
          <w:spacing w:val="-4"/>
          <w:sz w:val="20"/>
        </w:rPr>
        <w:t>cover</w:t>
      </w:r>
      <w:r>
        <w:rPr>
          <w:color w:val="231F20"/>
          <w:spacing w:val="-7"/>
          <w:sz w:val="20"/>
        </w:rPr>
        <w:t xml:space="preserve"> </w:t>
      </w:r>
      <w:r>
        <w:rPr>
          <w:color w:val="231F20"/>
          <w:sz w:val="20"/>
        </w:rPr>
        <w:t>cyberstalking.</w:t>
      </w:r>
    </w:p>
    <w:p w14:paraId="398C5227" w14:textId="77777777" w:rsidR="00894070" w:rsidRDefault="00894070">
      <w:pPr>
        <w:pStyle w:val="BodyText"/>
        <w:spacing w:before="10"/>
        <w:rPr>
          <w:sz w:val="15"/>
        </w:rPr>
      </w:pPr>
    </w:p>
    <w:p w14:paraId="57387DCE" w14:textId="77777777" w:rsidR="00894070" w:rsidRDefault="009B7AFD">
      <w:pPr>
        <w:pStyle w:val="Heading8"/>
        <w:ind w:left="1007"/>
      </w:pPr>
      <w:r>
        <w:rPr>
          <w:color w:val="231F20"/>
        </w:rPr>
        <w:t>The fault element is working well in practice</w:t>
      </w:r>
    </w:p>
    <w:p w14:paraId="2D3F274C" w14:textId="77777777" w:rsidR="00894070" w:rsidRDefault="009B7AFD">
      <w:pPr>
        <w:pStyle w:val="ListParagraph"/>
        <w:numPr>
          <w:ilvl w:val="1"/>
          <w:numId w:val="65"/>
        </w:numPr>
        <w:tabs>
          <w:tab w:val="left" w:pos="1801"/>
          <w:tab w:val="left" w:pos="1802"/>
        </w:tabs>
        <w:spacing w:before="127" w:line="206" w:lineRule="auto"/>
        <w:ind w:right="1386"/>
        <w:rPr>
          <w:sz w:val="11"/>
        </w:rPr>
      </w:pPr>
      <w:r>
        <w:rPr>
          <w:color w:val="231F20"/>
          <w:spacing w:val="-6"/>
          <w:sz w:val="20"/>
        </w:rPr>
        <w:t xml:space="preserve">We </w:t>
      </w:r>
      <w:r>
        <w:rPr>
          <w:color w:val="231F20"/>
          <w:sz w:val="20"/>
        </w:rPr>
        <w:t xml:space="preserve">heard that the fault element of the stalking offence (set out </w:t>
      </w:r>
      <w:r>
        <w:rPr>
          <w:color w:val="231F20"/>
          <w:spacing w:val="-3"/>
          <w:sz w:val="20"/>
        </w:rPr>
        <w:t xml:space="preserve">above </w:t>
      </w:r>
      <w:r>
        <w:rPr>
          <w:color w:val="231F20"/>
          <w:sz w:val="20"/>
        </w:rPr>
        <w:t xml:space="preserve">in </w:t>
      </w:r>
      <w:r>
        <w:rPr>
          <w:color w:val="231F20"/>
          <w:spacing w:val="-6"/>
          <w:sz w:val="20"/>
        </w:rPr>
        <w:t xml:space="preserve">Table </w:t>
      </w:r>
      <w:r>
        <w:rPr>
          <w:color w:val="231F20"/>
          <w:sz w:val="20"/>
        </w:rPr>
        <w:t>12) is working</w:t>
      </w:r>
      <w:r>
        <w:rPr>
          <w:color w:val="231F20"/>
          <w:spacing w:val="-8"/>
          <w:sz w:val="20"/>
        </w:rPr>
        <w:t xml:space="preserve"> </w:t>
      </w:r>
      <w:r>
        <w:rPr>
          <w:color w:val="231F20"/>
          <w:sz w:val="20"/>
        </w:rPr>
        <w:t>well.</w:t>
      </w:r>
      <w:r>
        <w:rPr>
          <w:color w:val="231F20"/>
          <w:position w:val="7"/>
          <w:sz w:val="11"/>
        </w:rPr>
        <w:t>20</w:t>
      </w:r>
      <w:r>
        <w:rPr>
          <w:color w:val="231F20"/>
          <w:spacing w:val="16"/>
          <w:position w:val="7"/>
          <w:sz w:val="11"/>
        </w:rPr>
        <w:t xml:space="preserve"> </w:t>
      </w:r>
      <w:r>
        <w:rPr>
          <w:color w:val="231F20"/>
          <w:sz w:val="20"/>
        </w:rPr>
        <w:t>Jim</w:t>
      </w:r>
      <w:r>
        <w:rPr>
          <w:color w:val="231F20"/>
          <w:spacing w:val="-7"/>
          <w:sz w:val="20"/>
        </w:rPr>
        <w:t xml:space="preserve"> </w:t>
      </w:r>
      <w:r>
        <w:rPr>
          <w:color w:val="231F20"/>
          <w:spacing w:val="-5"/>
          <w:sz w:val="20"/>
        </w:rPr>
        <w:t>Shaw,</w:t>
      </w:r>
      <w:r>
        <w:rPr>
          <w:color w:val="231F20"/>
          <w:spacing w:val="-8"/>
          <w:sz w:val="20"/>
        </w:rPr>
        <w:t xml:space="preserve"> </w:t>
      </w:r>
      <w:r>
        <w:rPr>
          <w:color w:val="231F20"/>
          <w:spacing w:val="-3"/>
          <w:sz w:val="20"/>
        </w:rPr>
        <w:t>from</w:t>
      </w:r>
      <w:r>
        <w:rPr>
          <w:color w:val="231F20"/>
          <w:spacing w:val="-7"/>
          <w:sz w:val="20"/>
        </w:rPr>
        <w:t xml:space="preserve"> </w:t>
      </w:r>
      <w:r>
        <w:rPr>
          <w:color w:val="231F20"/>
          <w:sz w:val="20"/>
        </w:rPr>
        <w:t>the</w:t>
      </w:r>
      <w:r>
        <w:rPr>
          <w:color w:val="231F20"/>
          <w:spacing w:val="-8"/>
          <w:sz w:val="20"/>
        </w:rPr>
        <w:t xml:space="preserve"> </w:t>
      </w:r>
      <w:r>
        <w:rPr>
          <w:color w:val="231F20"/>
          <w:sz w:val="20"/>
        </w:rPr>
        <w:t>Criminal</w:t>
      </w:r>
      <w:r>
        <w:rPr>
          <w:color w:val="231F20"/>
          <w:spacing w:val="-7"/>
          <w:sz w:val="20"/>
        </w:rPr>
        <w:t xml:space="preserve"> </w:t>
      </w:r>
      <w:r>
        <w:rPr>
          <w:color w:val="231F20"/>
          <w:sz w:val="20"/>
        </w:rPr>
        <w:t>Bar</w:t>
      </w:r>
      <w:r>
        <w:rPr>
          <w:color w:val="231F20"/>
          <w:spacing w:val="-8"/>
          <w:sz w:val="20"/>
        </w:rPr>
        <w:t xml:space="preserve"> </w:t>
      </w:r>
      <w:r>
        <w:rPr>
          <w:color w:val="231F20"/>
          <w:sz w:val="20"/>
        </w:rPr>
        <w:t>Association,</w:t>
      </w:r>
      <w:r>
        <w:rPr>
          <w:color w:val="231F20"/>
          <w:spacing w:val="-7"/>
          <w:sz w:val="20"/>
        </w:rPr>
        <w:t xml:space="preserve"> </w:t>
      </w:r>
      <w:r>
        <w:rPr>
          <w:color w:val="231F20"/>
          <w:spacing w:val="-3"/>
          <w:sz w:val="20"/>
        </w:rPr>
        <w:t>told</w:t>
      </w:r>
      <w:r>
        <w:rPr>
          <w:color w:val="231F20"/>
          <w:spacing w:val="-8"/>
          <w:sz w:val="20"/>
        </w:rPr>
        <w:t xml:space="preserve"> </w:t>
      </w:r>
      <w:r>
        <w:rPr>
          <w:color w:val="231F20"/>
          <w:sz w:val="20"/>
        </w:rPr>
        <w:t>us</w:t>
      </w:r>
      <w:r>
        <w:rPr>
          <w:color w:val="231F20"/>
          <w:spacing w:val="-8"/>
          <w:sz w:val="20"/>
        </w:rPr>
        <w:t xml:space="preserve"> </w:t>
      </w:r>
      <w:r>
        <w:rPr>
          <w:color w:val="231F20"/>
          <w:sz w:val="20"/>
        </w:rPr>
        <w:t>that</w:t>
      </w:r>
      <w:r>
        <w:rPr>
          <w:color w:val="231F20"/>
          <w:spacing w:val="-7"/>
          <w:sz w:val="20"/>
        </w:rPr>
        <w:t xml:space="preserve"> </w:t>
      </w:r>
      <w:r>
        <w:rPr>
          <w:color w:val="231F20"/>
          <w:sz w:val="20"/>
        </w:rPr>
        <w:t>if</w:t>
      </w:r>
      <w:r>
        <w:rPr>
          <w:color w:val="231F20"/>
          <w:spacing w:val="-8"/>
          <w:sz w:val="20"/>
        </w:rPr>
        <w:t xml:space="preserve"> </w:t>
      </w:r>
      <w:r>
        <w:rPr>
          <w:color w:val="231F20"/>
          <w:sz w:val="20"/>
        </w:rPr>
        <w:t>a</w:t>
      </w:r>
      <w:r>
        <w:rPr>
          <w:color w:val="231F20"/>
          <w:spacing w:val="-7"/>
          <w:sz w:val="20"/>
        </w:rPr>
        <w:t xml:space="preserve"> </w:t>
      </w:r>
      <w:r>
        <w:rPr>
          <w:color w:val="231F20"/>
          <w:sz w:val="20"/>
        </w:rPr>
        <w:t>course</w:t>
      </w:r>
      <w:r>
        <w:rPr>
          <w:color w:val="231F20"/>
          <w:spacing w:val="-8"/>
          <w:sz w:val="20"/>
        </w:rPr>
        <w:t xml:space="preserve"> </w:t>
      </w:r>
      <w:r>
        <w:rPr>
          <w:color w:val="231F20"/>
          <w:sz w:val="20"/>
        </w:rPr>
        <w:t>of conduct</w:t>
      </w:r>
      <w:r>
        <w:rPr>
          <w:color w:val="231F20"/>
          <w:spacing w:val="-9"/>
          <w:sz w:val="20"/>
        </w:rPr>
        <w:t xml:space="preserve"> </w:t>
      </w:r>
      <w:r>
        <w:rPr>
          <w:color w:val="231F20"/>
          <w:spacing w:val="-3"/>
          <w:sz w:val="20"/>
        </w:rPr>
        <w:t>(the</w:t>
      </w:r>
      <w:r>
        <w:rPr>
          <w:color w:val="231F20"/>
          <w:spacing w:val="-9"/>
          <w:sz w:val="20"/>
        </w:rPr>
        <w:t xml:space="preserve"> </w:t>
      </w:r>
      <w:r>
        <w:rPr>
          <w:color w:val="231F20"/>
          <w:sz w:val="20"/>
        </w:rPr>
        <w:t>physical</w:t>
      </w:r>
      <w:r>
        <w:rPr>
          <w:color w:val="231F20"/>
          <w:spacing w:val="-8"/>
          <w:sz w:val="20"/>
        </w:rPr>
        <w:t xml:space="preserve"> </w:t>
      </w:r>
      <w:r>
        <w:rPr>
          <w:color w:val="231F20"/>
          <w:sz w:val="20"/>
        </w:rPr>
        <w:t>element)</w:t>
      </w:r>
      <w:r>
        <w:rPr>
          <w:color w:val="231F20"/>
          <w:spacing w:val="-9"/>
          <w:sz w:val="20"/>
        </w:rPr>
        <w:t xml:space="preserve"> </w:t>
      </w:r>
      <w:r>
        <w:rPr>
          <w:color w:val="231F20"/>
          <w:sz w:val="20"/>
        </w:rPr>
        <w:t>can</w:t>
      </w:r>
      <w:r>
        <w:rPr>
          <w:color w:val="231F20"/>
          <w:spacing w:val="-8"/>
          <w:sz w:val="20"/>
        </w:rPr>
        <w:t xml:space="preserve"> </w:t>
      </w:r>
      <w:r>
        <w:rPr>
          <w:color w:val="231F20"/>
          <w:sz w:val="20"/>
        </w:rPr>
        <w:t>be</w:t>
      </w:r>
      <w:r>
        <w:rPr>
          <w:color w:val="231F20"/>
          <w:spacing w:val="-9"/>
          <w:sz w:val="20"/>
        </w:rPr>
        <w:t xml:space="preserve"> </w:t>
      </w:r>
      <w:r>
        <w:rPr>
          <w:color w:val="231F20"/>
          <w:spacing w:val="-3"/>
          <w:sz w:val="20"/>
        </w:rPr>
        <w:t>proved,</w:t>
      </w:r>
      <w:r>
        <w:rPr>
          <w:color w:val="231F20"/>
          <w:spacing w:val="-8"/>
          <w:sz w:val="20"/>
        </w:rPr>
        <w:t xml:space="preserve"> </w:t>
      </w:r>
      <w:r>
        <w:rPr>
          <w:color w:val="231F20"/>
          <w:sz w:val="20"/>
        </w:rPr>
        <w:t>‘there</w:t>
      </w:r>
      <w:r>
        <w:rPr>
          <w:color w:val="231F20"/>
          <w:spacing w:val="-9"/>
          <w:sz w:val="20"/>
        </w:rPr>
        <w:t xml:space="preserve"> </w:t>
      </w:r>
      <w:r>
        <w:rPr>
          <w:color w:val="231F20"/>
          <w:sz w:val="20"/>
        </w:rPr>
        <w:t>is</w:t>
      </w:r>
      <w:r>
        <w:rPr>
          <w:color w:val="231F20"/>
          <w:spacing w:val="-8"/>
          <w:sz w:val="20"/>
        </w:rPr>
        <w:t xml:space="preserve"> </w:t>
      </w:r>
      <w:r>
        <w:rPr>
          <w:color w:val="231F20"/>
          <w:sz w:val="20"/>
        </w:rPr>
        <w:t>normally</w:t>
      </w:r>
      <w:r>
        <w:rPr>
          <w:color w:val="231F20"/>
          <w:spacing w:val="-9"/>
          <w:sz w:val="20"/>
        </w:rPr>
        <w:t xml:space="preserve"> </w:t>
      </w:r>
      <w:r>
        <w:rPr>
          <w:color w:val="231F20"/>
          <w:sz w:val="20"/>
        </w:rPr>
        <w:t>no</w:t>
      </w:r>
      <w:r>
        <w:rPr>
          <w:color w:val="231F20"/>
          <w:spacing w:val="-8"/>
          <w:sz w:val="20"/>
        </w:rPr>
        <w:t xml:space="preserve"> </w:t>
      </w:r>
      <w:r>
        <w:rPr>
          <w:color w:val="231F20"/>
          <w:spacing w:val="-3"/>
          <w:sz w:val="20"/>
        </w:rPr>
        <w:t>problem</w:t>
      </w:r>
      <w:r>
        <w:rPr>
          <w:color w:val="231F20"/>
          <w:spacing w:val="-9"/>
          <w:sz w:val="20"/>
        </w:rPr>
        <w:t xml:space="preserve"> </w:t>
      </w:r>
      <w:r>
        <w:rPr>
          <w:color w:val="231F20"/>
          <w:sz w:val="20"/>
        </w:rPr>
        <w:t>with</w:t>
      </w:r>
      <w:r>
        <w:rPr>
          <w:color w:val="231F20"/>
          <w:spacing w:val="-9"/>
          <w:sz w:val="20"/>
        </w:rPr>
        <w:t xml:space="preserve"> </w:t>
      </w:r>
      <w:r>
        <w:rPr>
          <w:color w:val="231F20"/>
          <w:sz w:val="20"/>
        </w:rPr>
        <w:t>the mental state</w:t>
      </w:r>
      <w:r>
        <w:rPr>
          <w:color w:val="231F20"/>
          <w:spacing w:val="-10"/>
          <w:sz w:val="20"/>
        </w:rPr>
        <w:t xml:space="preserve"> </w:t>
      </w:r>
      <w:r>
        <w:rPr>
          <w:color w:val="231F20"/>
          <w:sz w:val="20"/>
        </w:rPr>
        <w:t>elements’.</w:t>
      </w:r>
      <w:r>
        <w:rPr>
          <w:color w:val="231F20"/>
          <w:position w:val="7"/>
          <w:sz w:val="11"/>
        </w:rPr>
        <w:t>21</w:t>
      </w:r>
    </w:p>
    <w:p w14:paraId="6AD351D1" w14:textId="77777777" w:rsidR="00894070" w:rsidRDefault="00894070">
      <w:pPr>
        <w:pStyle w:val="BodyText"/>
        <w:spacing w:before="11"/>
        <w:rPr>
          <w:sz w:val="15"/>
        </w:rPr>
      </w:pPr>
    </w:p>
    <w:p w14:paraId="47F6BC81" w14:textId="77777777" w:rsidR="00894070" w:rsidRDefault="009B7AFD">
      <w:pPr>
        <w:pStyle w:val="Heading8"/>
        <w:spacing w:before="1"/>
        <w:ind w:left="1007"/>
      </w:pPr>
      <w:r>
        <w:rPr>
          <w:color w:val="231F20"/>
        </w:rPr>
        <w:t>Course of conduct can be difficult to understand</w:t>
      </w:r>
    </w:p>
    <w:p w14:paraId="5FAA8B2F" w14:textId="77777777" w:rsidR="00894070" w:rsidRDefault="009B7AFD">
      <w:pPr>
        <w:pStyle w:val="ListParagraph"/>
        <w:numPr>
          <w:ilvl w:val="1"/>
          <w:numId w:val="65"/>
        </w:numPr>
        <w:tabs>
          <w:tab w:val="left" w:pos="1801"/>
          <w:tab w:val="left" w:pos="1802"/>
        </w:tabs>
        <w:spacing w:before="94" w:line="259" w:lineRule="exact"/>
        <w:rPr>
          <w:sz w:val="20"/>
        </w:rPr>
      </w:pPr>
      <w:r>
        <w:rPr>
          <w:color w:val="231F20"/>
          <w:spacing w:val="-6"/>
          <w:sz w:val="20"/>
        </w:rPr>
        <w:t>We</w:t>
      </w:r>
      <w:r>
        <w:rPr>
          <w:color w:val="231F20"/>
          <w:spacing w:val="-7"/>
          <w:sz w:val="20"/>
        </w:rPr>
        <w:t xml:space="preserve"> </w:t>
      </w:r>
      <w:r>
        <w:rPr>
          <w:color w:val="231F20"/>
          <w:sz w:val="20"/>
        </w:rPr>
        <w:t>heard</w:t>
      </w:r>
      <w:r>
        <w:rPr>
          <w:color w:val="231F20"/>
          <w:spacing w:val="-7"/>
          <w:sz w:val="20"/>
        </w:rPr>
        <w:t xml:space="preserve"> </w:t>
      </w:r>
      <w:r>
        <w:rPr>
          <w:color w:val="231F20"/>
          <w:sz w:val="20"/>
        </w:rPr>
        <w:t>that</w:t>
      </w:r>
      <w:r>
        <w:rPr>
          <w:color w:val="231F20"/>
          <w:spacing w:val="-7"/>
          <w:sz w:val="20"/>
        </w:rPr>
        <w:t xml:space="preserve"> </w:t>
      </w:r>
      <w:r>
        <w:rPr>
          <w:color w:val="231F20"/>
          <w:sz w:val="20"/>
        </w:rPr>
        <w:t>a</w:t>
      </w:r>
      <w:r>
        <w:rPr>
          <w:color w:val="231F20"/>
          <w:spacing w:val="-7"/>
          <w:sz w:val="20"/>
        </w:rPr>
        <w:t xml:space="preserve"> </w:t>
      </w:r>
      <w:r>
        <w:rPr>
          <w:color w:val="231F20"/>
          <w:sz w:val="20"/>
        </w:rPr>
        <w:t>major</w:t>
      </w:r>
      <w:r>
        <w:rPr>
          <w:color w:val="231F20"/>
          <w:spacing w:val="-7"/>
          <w:sz w:val="20"/>
        </w:rPr>
        <w:t xml:space="preserve"> </w:t>
      </w:r>
      <w:r>
        <w:rPr>
          <w:color w:val="231F20"/>
          <w:sz w:val="20"/>
        </w:rPr>
        <w:t>source</w:t>
      </w:r>
      <w:r>
        <w:rPr>
          <w:color w:val="231F20"/>
          <w:spacing w:val="-6"/>
          <w:sz w:val="20"/>
        </w:rPr>
        <w:t xml:space="preserve"> </w:t>
      </w:r>
      <w:r>
        <w:rPr>
          <w:color w:val="231F20"/>
          <w:sz w:val="20"/>
        </w:rPr>
        <w:t>of</w:t>
      </w:r>
      <w:r>
        <w:rPr>
          <w:color w:val="231F20"/>
          <w:spacing w:val="-7"/>
          <w:sz w:val="20"/>
        </w:rPr>
        <w:t xml:space="preserve"> </w:t>
      </w:r>
      <w:r>
        <w:rPr>
          <w:color w:val="231F20"/>
          <w:sz w:val="20"/>
        </w:rPr>
        <w:t>difficulty</w:t>
      </w:r>
      <w:r>
        <w:rPr>
          <w:color w:val="231F20"/>
          <w:spacing w:val="-7"/>
          <w:sz w:val="20"/>
        </w:rPr>
        <w:t xml:space="preserve"> </w:t>
      </w:r>
      <w:r>
        <w:rPr>
          <w:color w:val="231F20"/>
          <w:sz w:val="20"/>
        </w:rPr>
        <w:t>with</w:t>
      </w:r>
      <w:r>
        <w:rPr>
          <w:color w:val="231F20"/>
          <w:spacing w:val="-7"/>
          <w:sz w:val="20"/>
        </w:rPr>
        <w:t xml:space="preserve"> </w:t>
      </w:r>
      <w:r>
        <w:rPr>
          <w:color w:val="231F20"/>
          <w:sz w:val="20"/>
        </w:rPr>
        <w:t>the</w:t>
      </w:r>
      <w:r>
        <w:rPr>
          <w:color w:val="231F20"/>
          <w:spacing w:val="-7"/>
          <w:sz w:val="20"/>
        </w:rPr>
        <w:t xml:space="preserve"> </w:t>
      </w:r>
      <w:r>
        <w:rPr>
          <w:color w:val="231F20"/>
          <w:sz w:val="20"/>
        </w:rPr>
        <w:t>stalking</w:t>
      </w:r>
      <w:r>
        <w:rPr>
          <w:color w:val="231F20"/>
          <w:spacing w:val="-6"/>
          <w:sz w:val="20"/>
        </w:rPr>
        <w:t xml:space="preserve"> </w:t>
      </w:r>
      <w:r>
        <w:rPr>
          <w:color w:val="231F20"/>
          <w:sz w:val="20"/>
        </w:rPr>
        <w:t>offence</w:t>
      </w:r>
      <w:r>
        <w:rPr>
          <w:color w:val="231F20"/>
          <w:spacing w:val="-7"/>
          <w:sz w:val="20"/>
        </w:rPr>
        <w:t xml:space="preserve"> </w:t>
      </w:r>
      <w:r>
        <w:rPr>
          <w:color w:val="231F20"/>
          <w:sz w:val="20"/>
        </w:rPr>
        <w:t>is</w:t>
      </w:r>
      <w:r>
        <w:rPr>
          <w:color w:val="231F20"/>
          <w:spacing w:val="-7"/>
          <w:sz w:val="20"/>
        </w:rPr>
        <w:t xml:space="preserve"> </w:t>
      </w:r>
      <w:r>
        <w:rPr>
          <w:color w:val="231F20"/>
          <w:sz w:val="20"/>
        </w:rPr>
        <w:t>applying</w:t>
      </w:r>
      <w:r>
        <w:rPr>
          <w:color w:val="231F20"/>
          <w:spacing w:val="-7"/>
          <w:sz w:val="20"/>
        </w:rPr>
        <w:t xml:space="preserve"> </w:t>
      </w:r>
      <w:r>
        <w:rPr>
          <w:color w:val="231F20"/>
          <w:sz w:val="20"/>
        </w:rPr>
        <w:t>the</w:t>
      </w:r>
    </w:p>
    <w:p w14:paraId="2CAA809D" w14:textId="77777777" w:rsidR="00894070" w:rsidRDefault="009B7AFD">
      <w:pPr>
        <w:pStyle w:val="BodyText"/>
        <w:spacing w:line="259" w:lineRule="exact"/>
        <w:ind w:left="1801"/>
        <w:rPr>
          <w:sz w:val="11"/>
        </w:rPr>
      </w:pPr>
      <w:r>
        <w:rPr>
          <w:color w:val="231F20"/>
        </w:rPr>
        <w:t>course of conduct element to the case to establish stalking.</w:t>
      </w:r>
      <w:r>
        <w:rPr>
          <w:color w:val="231F20"/>
          <w:position w:val="7"/>
          <w:sz w:val="11"/>
        </w:rPr>
        <w:t>22</w:t>
      </w:r>
    </w:p>
    <w:p w14:paraId="2414C826" w14:textId="77777777" w:rsidR="00894070" w:rsidRDefault="009B7AFD">
      <w:pPr>
        <w:pStyle w:val="ListParagraph"/>
        <w:numPr>
          <w:ilvl w:val="1"/>
          <w:numId w:val="65"/>
        </w:numPr>
        <w:tabs>
          <w:tab w:val="left" w:pos="1801"/>
          <w:tab w:val="left" w:pos="1802"/>
        </w:tabs>
        <w:spacing w:before="115" w:line="206" w:lineRule="auto"/>
        <w:ind w:right="1546"/>
        <w:rPr>
          <w:sz w:val="20"/>
        </w:rPr>
      </w:pPr>
      <w:r>
        <w:rPr>
          <w:color w:val="231F20"/>
          <w:spacing w:val="-4"/>
          <w:sz w:val="20"/>
        </w:rPr>
        <w:t>Even</w:t>
      </w:r>
      <w:r>
        <w:rPr>
          <w:color w:val="231F20"/>
          <w:spacing w:val="-12"/>
          <w:sz w:val="20"/>
        </w:rPr>
        <w:t xml:space="preserve"> </w:t>
      </w:r>
      <w:r>
        <w:rPr>
          <w:color w:val="231F20"/>
          <w:sz w:val="20"/>
        </w:rPr>
        <w:t>those</w:t>
      </w:r>
      <w:r>
        <w:rPr>
          <w:color w:val="231F20"/>
          <w:spacing w:val="-12"/>
          <w:sz w:val="20"/>
        </w:rPr>
        <w:t xml:space="preserve"> </w:t>
      </w:r>
      <w:r>
        <w:rPr>
          <w:color w:val="231F20"/>
          <w:sz w:val="20"/>
        </w:rPr>
        <w:t>who</w:t>
      </w:r>
      <w:r>
        <w:rPr>
          <w:color w:val="231F20"/>
          <w:spacing w:val="-11"/>
          <w:sz w:val="20"/>
        </w:rPr>
        <w:t xml:space="preserve"> </w:t>
      </w:r>
      <w:r>
        <w:rPr>
          <w:color w:val="231F20"/>
          <w:sz w:val="20"/>
        </w:rPr>
        <w:t>thought</w:t>
      </w:r>
      <w:r>
        <w:rPr>
          <w:color w:val="231F20"/>
          <w:spacing w:val="-12"/>
          <w:sz w:val="20"/>
        </w:rPr>
        <w:t xml:space="preserve"> </w:t>
      </w:r>
      <w:r>
        <w:rPr>
          <w:color w:val="231F20"/>
          <w:sz w:val="20"/>
        </w:rPr>
        <w:t>the</w:t>
      </w:r>
      <w:r>
        <w:rPr>
          <w:color w:val="231F20"/>
          <w:spacing w:val="-12"/>
          <w:sz w:val="20"/>
        </w:rPr>
        <w:t xml:space="preserve"> </w:t>
      </w:r>
      <w:r>
        <w:rPr>
          <w:color w:val="231F20"/>
          <w:sz w:val="20"/>
        </w:rPr>
        <w:t>stalking</w:t>
      </w:r>
      <w:r>
        <w:rPr>
          <w:color w:val="231F20"/>
          <w:spacing w:val="-11"/>
          <w:sz w:val="20"/>
        </w:rPr>
        <w:t xml:space="preserve"> </w:t>
      </w:r>
      <w:r>
        <w:rPr>
          <w:color w:val="231F20"/>
          <w:sz w:val="20"/>
        </w:rPr>
        <w:t>offence</w:t>
      </w:r>
      <w:r>
        <w:rPr>
          <w:color w:val="231F20"/>
          <w:spacing w:val="-12"/>
          <w:sz w:val="20"/>
        </w:rPr>
        <w:t xml:space="preserve"> </w:t>
      </w:r>
      <w:r>
        <w:rPr>
          <w:color w:val="231F20"/>
          <w:sz w:val="20"/>
        </w:rPr>
        <w:t>was</w:t>
      </w:r>
      <w:r>
        <w:rPr>
          <w:color w:val="231F20"/>
          <w:spacing w:val="-11"/>
          <w:sz w:val="20"/>
        </w:rPr>
        <w:t xml:space="preserve"> </w:t>
      </w:r>
      <w:r>
        <w:rPr>
          <w:color w:val="231F20"/>
          <w:spacing w:val="-3"/>
          <w:sz w:val="20"/>
        </w:rPr>
        <w:t>adequate</w:t>
      </w:r>
      <w:r>
        <w:rPr>
          <w:color w:val="231F20"/>
          <w:spacing w:val="-12"/>
          <w:sz w:val="20"/>
        </w:rPr>
        <w:t xml:space="preserve"> </w:t>
      </w:r>
      <w:r>
        <w:rPr>
          <w:color w:val="231F20"/>
          <w:sz w:val="20"/>
        </w:rPr>
        <w:t>acknowledged</w:t>
      </w:r>
      <w:r>
        <w:rPr>
          <w:color w:val="231F20"/>
          <w:spacing w:val="-12"/>
          <w:sz w:val="20"/>
        </w:rPr>
        <w:t xml:space="preserve"> </w:t>
      </w:r>
      <w:r>
        <w:rPr>
          <w:color w:val="231F20"/>
          <w:sz w:val="20"/>
        </w:rPr>
        <w:t>that</w:t>
      </w:r>
      <w:r>
        <w:rPr>
          <w:color w:val="231F20"/>
          <w:spacing w:val="-11"/>
          <w:sz w:val="20"/>
        </w:rPr>
        <w:t xml:space="preserve"> </w:t>
      </w:r>
      <w:r>
        <w:rPr>
          <w:color w:val="231F20"/>
          <w:sz w:val="20"/>
        </w:rPr>
        <w:t xml:space="preserve">the course of conduct element was vague and could be </w:t>
      </w:r>
      <w:r>
        <w:rPr>
          <w:color w:val="231F20"/>
          <w:spacing w:val="-3"/>
          <w:sz w:val="20"/>
        </w:rPr>
        <w:t xml:space="preserve">clearer </w:t>
      </w:r>
      <w:r>
        <w:rPr>
          <w:color w:val="231F20"/>
          <w:sz w:val="20"/>
        </w:rPr>
        <w:t xml:space="preserve">in legislation than it is </w:t>
      </w:r>
      <w:r>
        <w:rPr>
          <w:color w:val="231F20"/>
          <w:spacing w:val="-3"/>
          <w:sz w:val="20"/>
        </w:rPr>
        <w:t>now.</w:t>
      </w:r>
      <w:r>
        <w:rPr>
          <w:color w:val="231F20"/>
          <w:spacing w:val="-3"/>
          <w:position w:val="7"/>
          <w:sz w:val="11"/>
        </w:rPr>
        <w:t xml:space="preserve">23 </w:t>
      </w:r>
      <w:r>
        <w:rPr>
          <w:color w:val="231F20"/>
          <w:sz w:val="20"/>
        </w:rPr>
        <w:t xml:space="preserve">It can be unclear what </w:t>
      </w:r>
      <w:r>
        <w:rPr>
          <w:color w:val="231F20"/>
          <w:spacing w:val="-4"/>
          <w:sz w:val="20"/>
        </w:rPr>
        <w:t xml:space="preserve">exactly </w:t>
      </w:r>
      <w:r>
        <w:rPr>
          <w:color w:val="231F20"/>
          <w:sz w:val="20"/>
        </w:rPr>
        <w:t xml:space="preserve">is needed </w:t>
      </w:r>
      <w:r>
        <w:rPr>
          <w:color w:val="231F20"/>
          <w:spacing w:val="-3"/>
          <w:sz w:val="20"/>
        </w:rPr>
        <w:t xml:space="preserve">for </w:t>
      </w:r>
      <w:r>
        <w:rPr>
          <w:color w:val="231F20"/>
          <w:sz w:val="20"/>
        </w:rPr>
        <w:t>a course of</w:t>
      </w:r>
      <w:r>
        <w:rPr>
          <w:color w:val="231F20"/>
          <w:spacing w:val="-29"/>
          <w:sz w:val="20"/>
        </w:rPr>
        <w:t xml:space="preserve"> </w:t>
      </w:r>
      <w:r>
        <w:rPr>
          <w:color w:val="231F20"/>
          <w:sz w:val="20"/>
        </w:rPr>
        <w:t>conduct.</w:t>
      </w:r>
    </w:p>
    <w:p w14:paraId="4C4F2DB9" w14:textId="77777777" w:rsidR="00894070" w:rsidRDefault="009B7AFD">
      <w:pPr>
        <w:pStyle w:val="ListParagraph"/>
        <w:numPr>
          <w:ilvl w:val="1"/>
          <w:numId w:val="65"/>
        </w:numPr>
        <w:tabs>
          <w:tab w:val="left" w:pos="1801"/>
          <w:tab w:val="left" w:pos="1802"/>
        </w:tabs>
        <w:spacing w:before="124" w:line="206" w:lineRule="auto"/>
        <w:ind w:right="1551"/>
        <w:rPr>
          <w:sz w:val="11"/>
        </w:rPr>
      </w:pPr>
      <w:r>
        <w:rPr>
          <w:color w:val="231F20"/>
          <w:spacing w:val="-6"/>
          <w:sz w:val="20"/>
        </w:rPr>
        <w:t>We</w:t>
      </w:r>
      <w:r>
        <w:rPr>
          <w:color w:val="231F20"/>
          <w:spacing w:val="-10"/>
          <w:sz w:val="20"/>
        </w:rPr>
        <w:t xml:space="preserve"> </w:t>
      </w:r>
      <w:r>
        <w:rPr>
          <w:color w:val="231F20"/>
          <w:spacing w:val="-4"/>
          <w:sz w:val="20"/>
        </w:rPr>
        <w:t>were</w:t>
      </w:r>
      <w:r>
        <w:rPr>
          <w:color w:val="231F20"/>
          <w:spacing w:val="-9"/>
          <w:sz w:val="20"/>
        </w:rPr>
        <w:t xml:space="preserve"> </w:t>
      </w:r>
      <w:r>
        <w:rPr>
          <w:color w:val="231F20"/>
          <w:sz w:val="20"/>
        </w:rPr>
        <w:t>also</w:t>
      </w:r>
      <w:r>
        <w:rPr>
          <w:color w:val="231F20"/>
          <w:spacing w:val="-9"/>
          <w:sz w:val="20"/>
        </w:rPr>
        <w:t xml:space="preserve"> </w:t>
      </w:r>
      <w:r>
        <w:rPr>
          <w:color w:val="231F20"/>
          <w:spacing w:val="-3"/>
          <w:sz w:val="20"/>
        </w:rPr>
        <w:t>told</w:t>
      </w:r>
      <w:r>
        <w:rPr>
          <w:color w:val="231F20"/>
          <w:spacing w:val="-9"/>
          <w:sz w:val="20"/>
        </w:rPr>
        <w:t xml:space="preserve"> </w:t>
      </w:r>
      <w:r>
        <w:rPr>
          <w:color w:val="231F20"/>
          <w:sz w:val="20"/>
        </w:rPr>
        <w:t>that</w:t>
      </w:r>
      <w:r>
        <w:rPr>
          <w:color w:val="231F20"/>
          <w:spacing w:val="-9"/>
          <w:sz w:val="20"/>
        </w:rPr>
        <w:t xml:space="preserve"> </w:t>
      </w:r>
      <w:r>
        <w:rPr>
          <w:color w:val="231F20"/>
          <w:sz w:val="20"/>
        </w:rPr>
        <w:t>people</w:t>
      </w:r>
      <w:r>
        <w:rPr>
          <w:color w:val="231F20"/>
          <w:spacing w:val="-9"/>
          <w:sz w:val="20"/>
        </w:rPr>
        <w:t xml:space="preserve"> </w:t>
      </w:r>
      <w:r>
        <w:rPr>
          <w:color w:val="231F20"/>
          <w:sz w:val="20"/>
        </w:rPr>
        <w:t>can</w:t>
      </w:r>
      <w:r>
        <w:rPr>
          <w:color w:val="231F20"/>
          <w:spacing w:val="-9"/>
          <w:sz w:val="20"/>
        </w:rPr>
        <w:t xml:space="preserve"> </w:t>
      </w:r>
      <w:r>
        <w:rPr>
          <w:color w:val="231F20"/>
          <w:sz w:val="20"/>
        </w:rPr>
        <w:t>be</w:t>
      </w:r>
      <w:r>
        <w:rPr>
          <w:color w:val="231F20"/>
          <w:spacing w:val="-9"/>
          <w:sz w:val="20"/>
        </w:rPr>
        <w:t xml:space="preserve"> </w:t>
      </w:r>
      <w:r>
        <w:rPr>
          <w:color w:val="231F20"/>
          <w:sz w:val="20"/>
        </w:rPr>
        <w:t>charged</w:t>
      </w:r>
      <w:r>
        <w:rPr>
          <w:color w:val="231F20"/>
          <w:spacing w:val="-9"/>
          <w:sz w:val="20"/>
        </w:rPr>
        <w:t xml:space="preserve"> </w:t>
      </w:r>
      <w:r>
        <w:rPr>
          <w:color w:val="231F20"/>
          <w:sz w:val="20"/>
        </w:rPr>
        <w:t>with</w:t>
      </w:r>
      <w:r>
        <w:rPr>
          <w:color w:val="231F20"/>
          <w:spacing w:val="-9"/>
          <w:sz w:val="20"/>
        </w:rPr>
        <w:t xml:space="preserve"> </w:t>
      </w:r>
      <w:r>
        <w:rPr>
          <w:color w:val="231F20"/>
          <w:sz w:val="20"/>
        </w:rPr>
        <w:t>the</w:t>
      </w:r>
      <w:r>
        <w:rPr>
          <w:color w:val="231F20"/>
          <w:spacing w:val="-9"/>
          <w:sz w:val="20"/>
        </w:rPr>
        <w:t xml:space="preserve"> </w:t>
      </w:r>
      <w:r>
        <w:rPr>
          <w:color w:val="231F20"/>
          <w:sz w:val="20"/>
        </w:rPr>
        <w:t>stalking</w:t>
      </w:r>
      <w:r>
        <w:rPr>
          <w:color w:val="231F20"/>
          <w:spacing w:val="-9"/>
          <w:sz w:val="20"/>
        </w:rPr>
        <w:t xml:space="preserve"> </w:t>
      </w:r>
      <w:r>
        <w:rPr>
          <w:color w:val="231F20"/>
          <w:sz w:val="20"/>
        </w:rPr>
        <w:t>offence</w:t>
      </w:r>
      <w:r>
        <w:rPr>
          <w:color w:val="231F20"/>
          <w:spacing w:val="-9"/>
          <w:sz w:val="20"/>
        </w:rPr>
        <w:t xml:space="preserve"> </w:t>
      </w:r>
      <w:r>
        <w:rPr>
          <w:color w:val="231F20"/>
          <w:spacing w:val="-3"/>
          <w:sz w:val="20"/>
        </w:rPr>
        <w:t>even</w:t>
      </w:r>
      <w:r>
        <w:rPr>
          <w:color w:val="231F20"/>
          <w:spacing w:val="-9"/>
          <w:sz w:val="20"/>
        </w:rPr>
        <w:t xml:space="preserve"> </w:t>
      </w:r>
      <w:r>
        <w:rPr>
          <w:color w:val="231F20"/>
          <w:sz w:val="20"/>
        </w:rPr>
        <w:t xml:space="preserve">when what they </w:t>
      </w:r>
      <w:r>
        <w:rPr>
          <w:color w:val="231F20"/>
          <w:spacing w:val="-4"/>
          <w:sz w:val="20"/>
        </w:rPr>
        <w:t xml:space="preserve">have </w:t>
      </w:r>
      <w:r>
        <w:rPr>
          <w:color w:val="231F20"/>
          <w:sz w:val="20"/>
        </w:rPr>
        <w:t xml:space="preserve">done is not </w:t>
      </w:r>
      <w:r>
        <w:rPr>
          <w:color w:val="231F20"/>
          <w:spacing w:val="-3"/>
          <w:sz w:val="20"/>
        </w:rPr>
        <w:t>really</w:t>
      </w:r>
      <w:r>
        <w:rPr>
          <w:color w:val="231F20"/>
          <w:spacing w:val="-26"/>
          <w:sz w:val="20"/>
        </w:rPr>
        <w:t xml:space="preserve"> </w:t>
      </w:r>
      <w:r>
        <w:rPr>
          <w:color w:val="231F20"/>
          <w:sz w:val="20"/>
        </w:rPr>
        <w:t>stalking.</w:t>
      </w:r>
      <w:r>
        <w:rPr>
          <w:color w:val="231F20"/>
          <w:position w:val="7"/>
          <w:sz w:val="11"/>
        </w:rPr>
        <w:t>24</w:t>
      </w:r>
    </w:p>
    <w:p w14:paraId="1499FCD5" w14:textId="77777777" w:rsidR="00894070" w:rsidRDefault="009B7AFD">
      <w:pPr>
        <w:pStyle w:val="ListParagraph"/>
        <w:numPr>
          <w:ilvl w:val="1"/>
          <w:numId w:val="65"/>
        </w:numPr>
        <w:tabs>
          <w:tab w:val="left" w:pos="1801"/>
          <w:tab w:val="left" w:pos="1802"/>
        </w:tabs>
        <w:spacing w:before="122" w:line="206" w:lineRule="auto"/>
        <w:ind w:right="1376"/>
        <w:rPr>
          <w:sz w:val="11"/>
        </w:rPr>
      </w:pPr>
      <w:r>
        <w:rPr>
          <w:color w:val="231F20"/>
          <w:sz w:val="20"/>
        </w:rPr>
        <w:t xml:space="preserve">It is challenging to get the balance right between legislation that is wide enough to </w:t>
      </w:r>
      <w:r>
        <w:rPr>
          <w:color w:val="231F20"/>
          <w:spacing w:val="-3"/>
          <w:sz w:val="20"/>
        </w:rPr>
        <w:t xml:space="preserve">capture </w:t>
      </w:r>
      <w:r>
        <w:rPr>
          <w:color w:val="231F20"/>
          <w:sz w:val="20"/>
        </w:rPr>
        <w:t xml:space="preserve">behaviour that is stalking but </w:t>
      </w:r>
      <w:r>
        <w:rPr>
          <w:color w:val="231F20"/>
          <w:spacing w:val="-3"/>
          <w:sz w:val="20"/>
        </w:rPr>
        <w:t xml:space="preserve">narrow </w:t>
      </w:r>
      <w:r>
        <w:rPr>
          <w:color w:val="231F20"/>
          <w:sz w:val="20"/>
        </w:rPr>
        <w:t xml:space="preserve">enough to </w:t>
      </w:r>
      <w:r>
        <w:rPr>
          <w:color w:val="231F20"/>
          <w:spacing w:val="-3"/>
          <w:sz w:val="20"/>
        </w:rPr>
        <w:t xml:space="preserve">exclude </w:t>
      </w:r>
      <w:r>
        <w:rPr>
          <w:color w:val="231F20"/>
          <w:sz w:val="20"/>
        </w:rPr>
        <w:t>behaviour that is not.</w:t>
      </w:r>
      <w:r>
        <w:rPr>
          <w:color w:val="231F20"/>
          <w:position w:val="7"/>
          <w:sz w:val="11"/>
        </w:rPr>
        <w:t>25</w:t>
      </w:r>
      <w:r>
        <w:rPr>
          <w:color w:val="231F20"/>
          <w:spacing w:val="15"/>
          <w:position w:val="7"/>
          <w:sz w:val="11"/>
        </w:rPr>
        <w:t xml:space="preserve"> </w:t>
      </w:r>
      <w:r>
        <w:rPr>
          <w:color w:val="231F20"/>
          <w:spacing w:val="-4"/>
          <w:sz w:val="20"/>
        </w:rPr>
        <w:t>Even</w:t>
      </w:r>
      <w:r>
        <w:rPr>
          <w:color w:val="231F20"/>
          <w:spacing w:val="-8"/>
          <w:sz w:val="20"/>
        </w:rPr>
        <w:t xml:space="preserve"> </w:t>
      </w:r>
      <w:r>
        <w:rPr>
          <w:color w:val="231F20"/>
          <w:sz w:val="20"/>
        </w:rPr>
        <w:t>though</w:t>
      </w:r>
      <w:r>
        <w:rPr>
          <w:color w:val="231F20"/>
          <w:spacing w:val="-8"/>
          <w:sz w:val="20"/>
        </w:rPr>
        <w:t xml:space="preserve"> </w:t>
      </w:r>
      <w:r>
        <w:rPr>
          <w:color w:val="231F20"/>
          <w:sz w:val="20"/>
        </w:rPr>
        <w:t>the</w:t>
      </w:r>
      <w:r>
        <w:rPr>
          <w:color w:val="231F20"/>
          <w:spacing w:val="-8"/>
          <w:sz w:val="20"/>
        </w:rPr>
        <w:t xml:space="preserve"> </w:t>
      </w:r>
      <w:r>
        <w:rPr>
          <w:color w:val="231F20"/>
          <w:sz w:val="20"/>
        </w:rPr>
        <w:t>course</w:t>
      </w:r>
      <w:r>
        <w:rPr>
          <w:color w:val="231F20"/>
          <w:spacing w:val="-8"/>
          <w:sz w:val="20"/>
        </w:rPr>
        <w:t xml:space="preserve"> </w:t>
      </w:r>
      <w:r>
        <w:rPr>
          <w:color w:val="231F20"/>
          <w:sz w:val="20"/>
        </w:rPr>
        <w:t>of</w:t>
      </w:r>
      <w:r>
        <w:rPr>
          <w:color w:val="231F20"/>
          <w:spacing w:val="-9"/>
          <w:sz w:val="20"/>
        </w:rPr>
        <w:t xml:space="preserve"> </w:t>
      </w:r>
      <w:r>
        <w:rPr>
          <w:color w:val="231F20"/>
          <w:sz w:val="20"/>
        </w:rPr>
        <w:t>conduct</w:t>
      </w:r>
      <w:r>
        <w:rPr>
          <w:color w:val="231F20"/>
          <w:spacing w:val="-8"/>
          <w:sz w:val="20"/>
        </w:rPr>
        <w:t xml:space="preserve"> </w:t>
      </w:r>
      <w:r>
        <w:rPr>
          <w:color w:val="231F20"/>
          <w:sz w:val="20"/>
        </w:rPr>
        <w:t>element</w:t>
      </w:r>
      <w:r>
        <w:rPr>
          <w:color w:val="231F20"/>
          <w:spacing w:val="-8"/>
          <w:sz w:val="20"/>
        </w:rPr>
        <w:t xml:space="preserve"> </w:t>
      </w:r>
      <w:r>
        <w:rPr>
          <w:color w:val="231F20"/>
          <w:sz w:val="20"/>
        </w:rPr>
        <w:t>is</w:t>
      </w:r>
      <w:r>
        <w:rPr>
          <w:color w:val="231F20"/>
          <w:spacing w:val="-8"/>
          <w:sz w:val="20"/>
        </w:rPr>
        <w:t xml:space="preserve"> </w:t>
      </w:r>
      <w:r>
        <w:rPr>
          <w:color w:val="231F20"/>
          <w:spacing w:val="-4"/>
          <w:sz w:val="20"/>
        </w:rPr>
        <w:t>‘a</w:t>
      </w:r>
      <w:r>
        <w:rPr>
          <w:color w:val="231F20"/>
          <w:spacing w:val="-8"/>
          <w:sz w:val="20"/>
        </w:rPr>
        <w:t xml:space="preserve"> </w:t>
      </w:r>
      <w:r>
        <w:rPr>
          <w:color w:val="231F20"/>
          <w:sz w:val="20"/>
        </w:rPr>
        <w:t>somewhat</w:t>
      </w:r>
      <w:r>
        <w:rPr>
          <w:color w:val="231F20"/>
          <w:spacing w:val="-9"/>
          <w:sz w:val="20"/>
        </w:rPr>
        <w:t xml:space="preserve"> </w:t>
      </w:r>
      <w:r>
        <w:rPr>
          <w:color w:val="231F20"/>
          <w:sz w:val="20"/>
        </w:rPr>
        <w:t>vague</w:t>
      </w:r>
      <w:r>
        <w:rPr>
          <w:color w:val="231F20"/>
          <w:spacing w:val="-8"/>
          <w:sz w:val="20"/>
        </w:rPr>
        <w:t xml:space="preserve"> </w:t>
      </w:r>
      <w:r>
        <w:rPr>
          <w:color w:val="231F20"/>
          <w:spacing w:val="-3"/>
          <w:sz w:val="20"/>
        </w:rPr>
        <w:t>concept’,</w:t>
      </w:r>
      <w:r>
        <w:rPr>
          <w:color w:val="231F20"/>
          <w:spacing w:val="-8"/>
          <w:sz w:val="20"/>
        </w:rPr>
        <w:t xml:space="preserve"> </w:t>
      </w:r>
      <w:r>
        <w:rPr>
          <w:color w:val="231F20"/>
          <w:spacing w:val="-3"/>
          <w:sz w:val="20"/>
        </w:rPr>
        <w:t xml:space="preserve">we </w:t>
      </w:r>
      <w:r>
        <w:rPr>
          <w:color w:val="231F20"/>
          <w:sz w:val="20"/>
        </w:rPr>
        <w:t xml:space="preserve">consider that its </w:t>
      </w:r>
      <w:r>
        <w:rPr>
          <w:color w:val="231F20"/>
          <w:spacing w:val="-3"/>
          <w:sz w:val="20"/>
        </w:rPr>
        <w:t xml:space="preserve">breadth </w:t>
      </w:r>
      <w:r>
        <w:rPr>
          <w:color w:val="231F20"/>
          <w:sz w:val="20"/>
        </w:rPr>
        <w:t xml:space="preserve">is needed to </w:t>
      </w:r>
      <w:r>
        <w:rPr>
          <w:color w:val="231F20"/>
          <w:spacing w:val="-4"/>
          <w:sz w:val="20"/>
        </w:rPr>
        <w:t xml:space="preserve">cover </w:t>
      </w:r>
      <w:r>
        <w:rPr>
          <w:color w:val="231F20"/>
          <w:sz w:val="20"/>
        </w:rPr>
        <w:t>the range of situations in which stalking arises.</w:t>
      </w:r>
      <w:r>
        <w:rPr>
          <w:color w:val="231F20"/>
          <w:position w:val="7"/>
          <w:sz w:val="11"/>
        </w:rPr>
        <w:t>26</w:t>
      </w:r>
    </w:p>
    <w:p w14:paraId="72853D0F" w14:textId="77777777" w:rsidR="00894070" w:rsidRDefault="009B7AFD">
      <w:pPr>
        <w:pStyle w:val="ListParagraph"/>
        <w:numPr>
          <w:ilvl w:val="1"/>
          <w:numId w:val="65"/>
        </w:numPr>
        <w:tabs>
          <w:tab w:val="left" w:pos="1801"/>
          <w:tab w:val="left" w:pos="1802"/>
        </w:tabs>
        <w:spacing w:before="94" w:line="259" w:lineRule="exact"/>
        <w:rPr>
          <w:sz w:val="20"/>
        </w:rPr>
      </w:pPr>
      <w:r>
        <w:rPr>
          <w:color w:val="231F20"/>
          <w:spacing w:val="-5"/>
          <w:sz w:val="20"/>
        </w:rPr>
        <w:t>However,</w:t>
      </w:r>
      <w:r>
        <w:rPr>
          <w:color w:val="231F20"/>
          <w:spacing w:val="-7"/>
          <w:sz w:val="20"/>
        </w:rPr>
        <w:t xml:space="preserve"> </w:t>
      </w:r>
      <w:r>
        <w:rPr>
          <w:color w:val="231F20"/>
          <w:spacing w:val="-3"/>
          <w:sz w:val="20"/>
        </w:rPr>
        <w:t>we</w:t>
      </w:r>
      <w:r>
        <w:rPr>
          <w:color w:val="231F20"/>
          <w:spacing w:val="-7"/>
          <w:sz w:val="20"/>
        </w:rPr>
        <w:t xml:space="preserve"> </w:t>
      </w:r>
      <w:r>
        <w:rPr>
          <w:color w:val="231F20"/>
          <w:sz w:val="20"/>
        </w:rPr>
        <w:t>acknowledge</w:t>
      </w:r>
      <w:r>
        <w:rPr>
          <w:color w:val="231F20"/>
          <w:spacing w:val="-7"/>
          <w:sz w:val="20"/>
        </w:rPr>
        <w:t xml:space="preserve"> </w:t>
      </w:r>
      <w:r>
        <w:rPr>
          <w:color w:val="231F20"/>
          <w:sz w:val="20"/>
        </w:rPr>
        <w:t>that</w:t>
      </w:r>
      <w:r>
        <w:rPr>
          <w:color w:val="231F20"/>
          <w:spacing w:val="-7"/>
          <w:sz w:val="20"/>
        </w:rPr>
        <w:t xml:space="preserve"> </w:t>
      </w:r>
      <w:r>
        <w:rPr>
          <w:color w:val="231F20"/>
          <w:sz w:val="20"/>
        </w:rPr>
        <w:t>this</w:t>
      </w:r>
      <w:r>
        <w:rPr>
          <w:color w:val="231F20"/>
          <w:spacing w:val="-7"/>
          <w:sz w:val="20"/>
        </w:rPr>
        <w:t xml:space="preserve"> </w:t>
      </w:r>
      <w:r>
        <w:rPr>
          <w:color w:val="231F20"/>
          <w:sz w:val="20"/>
        </w:rPr>
        <w:t>can</w:t>
      </w:r>
      <w:r>
        <w:rPr>
          <w:color w:val="231F20"/>
          <w:spacing w:val="-7"/>
          <w:sz w:val="20"/>
        </w:rPr>
        <w:t xml:space="preserve"> </w:t>
      </w:r>
      <w:r>
        <w:rPr>
          <w:color w:val="231F20"/>
          <w:sz w:val="20"/>
        </w:rPr>
        <w:t>make</w:t>
      </w:r>
      <w:r>
        <w:rPr>
          <w:color w:val="231F20"/>
          <w:spacing w:val="-7"/>
          <w:sz w:val="20"/>
        </w:rPr>
        <w:t xml:space="preserve"> </w:t>
      </w:r>
      <w:r>
        <w:rPr>
          <w:color w:val="231F20"/>
          <w:sz w:val="20"/>
        </w:rPr>
        <w:t>it</w:t>
      </w:r>
      <w:r>
        <w:rPr>
          <w:color w:val="231F20"/>
          <w:spacing w:val="-7"/>
          <w:sz w:val="20"/>
        </w:rPr>
        <w:t xml:space="preserve"> </w:t>
      </w:r>
      <w:r>
        <w:rPr>
          <w:color w:val="231F20"/>
          <w:sz w:val="20"/>
        </w:rPr>
        <w:t>difficult</w:t>
      </w:r>
      <w:r>
        <w:rPr>
          <w:color w:val="231F20"/>
          <w:spacing w:val="-7"/>
          <w:sz w:val="20"/>
        </w:rPr>
        <w:t xml:space="preserve"> </w:t>
      </w:r>
      <w:r>
        <w:rPr>
          <w:color w:val="231F20"/>
          <w:sz w:val="20"/>
        </w:rPr>
        <w:t>to</w:t>
      </w:r>
      <w:r>
        <w:rPr>
          <w:color w:val="231F20"/>
          <w:spacing w:val="-7"/>
          <w:sz w:val="20"/>
        </w:rPr>
        <w:t xml:space="preserve"> </w:t>
      </w:r>
      <w:r>
        <w:rPr>
          <w:color w:val="231F20"/>
          <w:sz w:val="20"/>
        </w:rPr>
        <w:t>understand</w:t>
      </w:r>
      <w:r>
        <w:rPr>
          <w:color w:val="231F20"/>
          <w:spacing w:val="-7"/>
          <w:sz w:val="20"/>
        </w:rPr>
        <w:t xml:space="preserve"> </w:t>
      </w:r>
      <w:r>
        <w:rPr>
          <w:color w:val="231F20"/>
          <w:sz w:val="20"/>
        </w:rPr>
        <w:t>what</w:t>
      </w:r>
      <w:r>
        <w:rPr>
          <w:color w:val="231F20"/>
          <w:spacing w:val="-7"/>
          <w:sz w:val="20"/>
        </w:rPr>
        <w:t xml:space="preserve"> </w:t>
      </w:r>
      <w:r>
        <w:rPr>
          <w:color w:val="231F20"/>
          <w:sz w:val="20"/>
        </w:rPr>
        <w:t>a</w:t>
      </w:r>
      <w:r>
        <w:rPr>
          <w:color w:val="231F20"/>
          <w:spacing w:val="-7"/>
          <w:sz w:val="20"/>
        </w:rPr>
        <w:t xml:space="preserve"> </w:t>
      </w:r>
      <w:r>
        <w:rPr>
          <w:color w:val="231F20"/>
          <w:sz w:val="20"/>
        </w:rPr>
        <w:t>course</w:t>
      </w:r>
      <w:r>
        <w:rPr>
          <w:color w:val="231F20"/>
          <w:spacing w:val="-7"/>
          <w:sz w:val="20"/>
        </w:rPr>
        <w:t xml:space="preserve"> </w:t>
      </w:r>
      <w:r>
        <w:rPr>
          <w:color w:val="231F20"/>
          <w:sz w:val="20"/>
        </w:rPr>
        <w:t>of</w:t>
      </w:r>
    </w:p>
    <w:p w14:paraId="7C8465CD" w14:textId="77777777" w:rsidR="00894070" w:rsidRDefault="009B7AFD">
      <w:pPr>
        <w:pStyle w:val="BodyText"/>
        <w:spacing w:line="259" w:lineRule="exact"/>
        <w:ind w:left="1801"/>
      </w:pPr>
      <w:r>
        <w:rPr>
          <w:color w:val="231F20"/>
        </w:rPr>
        <w:t>conduct is.</w:t>
      </w:r>
    </w:p>
    <w:p w14:paraId="7E426553" w14:textId="77777777" w:rsidR="00894070" w:rsidRDefault="00894070">
      <w:pPr>
        <w:pStyle w:val="BodyText"/>
      </w:pPr>
    </w:p>
    <w:p w14:paraId="54362B18" w14:textId="77777777" w:rsidR="00894070" w:rsidRDefault="00894070">
      <w:pPr>
        <w:pStyle w:val="BodyText"/>
      </w:pPr>
    </w:p>
    <w:p w14:paraId="3D2020FE" w14:textId="77777777" w:rsidR="00894070" w:rsidRDefault="00894070">
      <w:pPr>
        <w:pStyle w:val="BodyText"/>
      </w:pPr>
    </w:p>
    <w:p w14:paraId="149E91FC" w14:textId="77777777" w:rsidR="00894070" w:rsidRDefault="009F6793">
      <w:pPr>
        <w:pStyle w:val="BodyText"/>
        <w:spacing w:before="3"/>
        <w:rPr>
          <w:sz w:val="21"/>
        </w:rPr>
      </w:pPr>
      <w:r>
        <w:pict w14:anchorId="6F1666B3">
          <v:line id="_x0000_s1222" style="position:absolute;z-index:251723776;mso-wrap-distance-left:0;mso-wrap-distance-right:0;mso-position-horizontal-relative:page" from="79.35pt,17.2pt" to="515.9pt,17.2pt" strokecolor="#f8cabc" strokeweight="1pt">
            <w10:wrap type="topAndBottom" anchorx="page"/>
          </v:line>
        </w:pict>
      </w:r>
    </w:p>
    <w:p w14:paraId="22531EA1" w14:textId="77777777" w:rsidR="00894070" w:rsidRDefault="00894070">
      <w:pPr>
        <w:pStyle w:val="BodyText"/>
        <w:rPr>
          <w:sz w:val="5"/>
        </w:rPr>
      </w:pPr>
    </w:p>
    <w:p w14:paraId="69CAD529" w14:textId="77777777" w:rsidR="00894070" w:rsidRDefault="00894070">
      <w:pPr>
        <w:rPr>
          <w:sz w:val="5"/>
        </w:rPr>
        <w:sectPr w:rsidR="00894070">
          <w:pgSz w:w="11910" w:h="16840"/>
          <w:pgMar w:top="840" w:right="420" w:bottom="280" w:left="580" w:header="0" w:footer="0" w:gutter="0"/>
          <w:cols w:space="720"/>
        </w:sectPr>
      </w:pPr>
    </w:p>
    <w:p w14:paraId="25607B75" w14:textId="77777777" w:rsidR="00894070" w:rsidRDefault="009B7AFD">
      <w:pPr>
        <w:pStyle w:val="ListParagraph"/>
        <w:numPr>
          <w:ilvl w:val="0"/>
          <w:numId w:val="64"/>
        </w:numPr>
        <w:tabs>
          <w:tab w:val="left" w:pos="1801"/>
          <w:tab w:val="left" w:pos="1802"/>
        </w:tabs>
        <w:spacing w:before="38" w:line="213" w:lineRule="auto"/>
        <w:jc w:val="left"/>
        <w:rPr>
          <w:sz w:val="13"/>
        </w:rPr>
      </w:pPr>
      <w:r>
        <w:rPr>
          <w:color w:val="231F20"/>
          <w:spacing w:val="-3"/>
          <w:sz w:val="13"/>
        </w:rPr>
        <w:t xml:space="preserve">Troy </w:t>
      </w:r>
      <w:r>
        <w:rPr>
          <w:color w:val="231F20"/>
          <w:sz w:val="13"/>
        </w:rPr>
        <w:t xml:space="preserve">E McEwan, Paul E </w:t>
      </w:r>
      <w:proofErr w:type="gramStart"/>
      <w:r>
        <w:rPr>
          <w:color w:val="231F20"/>
          <w:sz w:val="13"/>
        </w:rPr>
        <w:t>Mullen</w:t>
      </w:r>
      <w:proofErr w:type="gramEnd"/>
      <w:r>
        <w:rPr>
          <w:color w:val="231F20"/>
          <w:sz w:val="13"/>
        </w:rPr>
        <w:t xml:space="preserve"> and Rachel Mackenzie, ‘Anti-Stalking Legislation in Practice: Are We Meeting Community Needs?’ (2007) </w:t>
      </w:r>
      <w:r>
        <w:rPr>
          <w:color w:val="231F20"/>
          <w:spacing w:val="2"/>
          <w:sz w:val="13"/>
        </w:rPr>
        <w:t xml:space="preserve">14(2) </w:t>
      </w:r>
      <w:r>
        <w:rPr>
          <w:i/>
          <w:color w:val="231F20"/>
          <w:sz w:val="13"/>
        </w:rPr>
        <w:t xml:space="preserve">Psychiatry, Psychology and Law </w:t>
      </w:r>
      <w:r>
        <w:rPr>
          <w:color w:val="231F20"/>
          <w:spacing w:val="-3"/>
          <w:sz w:val="13"/>
        </w:rPr>
        <w:t xml:space="preserve">207, </w:t>
      </w:r>
      <w:r>
        <w:rPr>
          <w:color w:val="231F20"/>
          <w:sz w:val="13"/>
        </w:rPr>
        <w:t xml:space="preserve">208; Emma Ogilvie, </w:t>
      </w:r>
      <w:r>
        <w:rPr>
          <w:i/>
          <w:color w:val="231F20"/>
          <w:sz w:val="13"/>
        </w:rPr>
        <w:t xml:space="preserve">Stalking: Legislation, Policing and Prosecution Patterns in Australia </w:t>
      </w:r>
      <w:r>
        <w:rPr>
          <w:color w:val="231F20"/>
          <w:sz w:val="13"/>
        </w:rPr>
        <w:t xml:space="preserve">(Research and </w:t>
      </w:r>
      <w:r>
        <w:rPr>
          <w:color w:val="231F20"/>
          <w:spacing w:val="2"/>
          <w:sz w:val="13"/>
        </w:rPr>
        <w:t xml:space="preserve">Public </w:t>
      </w:r>
      <w:r>
        <w:rPr>
          <w:color w:val="231F20"/>
          <w:sz w:val="13"/>
        </w:rPr>
        <w:t xml:space="preserve">Policy </w:t>
      </w:r>
      <w:r>
        <w:rPr>
          <w:color w:val="231F20"/>
          <w:spacing w:val="2"/>
          <w:sz w:val="13"/>
        </w:rPr>
        <w:t xml:space="preserve">Series Report </w:t>
      </w:r>
      <w:r>
        <w:rPr>
          <w:color w:val="231F20"/>
          <w:sz w:val="13"/>
        </w:rPr>
        <w:t xml:space="preserve">No </w:t>
      </w:r>
      <w:r>
        <w:rPr>
          <w:color w:val="231F20"/>
          <w:spacing w:val="3"/>
          <w:sz w:val="13"/>
        </w:rPr>
        <w:t xml:space="preserve">34, </w:t>
      </w:r>
      <w:r>
        <w:rPr>
          <w:color w:val="231F20"/>
          <w:sz w:val="13"/>
        </w:rPr>
        <w:t>Australian Institute of Criminology, 2000) xii,</w:t>
      </w:r>
      <w:r>
        <w:rPr>
          <w:color w:val="231F20"/>
          <w:spacing w:val="19"/>
          <w:sz w:val="13"/>
        </w:rPr>
        <w:t xml:space="preserve"> </w:t>
      </w:r>
      <w:r>
        <w:rPr>
          <w:color w:val="231F20"/>
          <w:sz w:val="13"/>
        </w:rPr>
        <w:t>1–2.</w:t>
      </w:r>
    </w:p>
    <w:p w14:paraId="016D111F" w14:textId="77777777" w:rsidR="00894070" w:rsidRDefault="009B7AFD">
      <w:pPr>
        <w:pStyle w:val="ListParagraph"/>
        <w:numPr>
          <w:ilvl w:val="0"/>
          <w:numId w:val="64"/>
        </w:numPr>
        <w:tabs>
          <w:tab w:val="left" w:pos="1801"/>
          <w:tab w:val="left" w:pos="1802"/>
        </w:tabs>
        <w:spacing w:line="213" w:lineRule="auto"/>
        <w:ind w:right="63"/>
        <w:jc w:val="left"/>
        <w:rPr>
          <w:sz w:val="13"/>
        </w:rPr>
      </w:pPr>
      <w:r>
        <w:rPr>
          <w:i/>
          <w:color w:val="231F20"/>
          <w:sz w:val="13"/>
        </w:rPr>
        <w:t xml:space="preserve">Crimes Act 1958 </w:t>
      </w:r>
      <w:r>
        <w:rPr>
          <w:color w:val="231F20"/>
          <w:sz w:val="13"/>
        </w:rPr>
        <w:t xml:space="preserve">(Vic) s </w:t>
      </w:r>
      <w:r>
        <w:rPr>
          <w:color w:val="231F20"/>
          <w:spacing w:val="2"/>
          <w:sz w:val="13"/>
        </w:rPr>
        <w:t>21</w:t>
      </w:r>
      <w:proofErr w:type="gramStart"/>
      <w:r>
        <w:rPr>
          <w:color w:val="231F20"/>
          <w:spacing w:val="2"/>
          <w:sz w:val="13"/>
        </w:rPr>
        <w:t>A(</w:t>
      </w:r>
      <w:proofErr w:type="gramEnd"/>
      <w:r>
        <w:rPr>
          <w:color w:val="231F20"/>
          <w:spacing w:val="2"/>
          <w:sz w:val="13"/>
        </w:rPr>
        <w:t xml:space="preserve">3); </w:t>
      </w:r>
      <w:r>
        <w:rPr>
          <w:color w:val="231F20"/>
          <w:spacing w:val="-3"/>
          <w:sz w:val="13"/>
        </w:rPr>
        <w:t xml:space="preserve">Troy  </w:t>
      </w:r>
      <w:r>
        <w:rPr>
          <w:color w:val="231F20"/>
          <w:sz w:val="13"/>
        </w:rPr>
        <w:t xml:space="preserve">E McEwan, Paul E Mullen and Rachel Mackenzie, ‘Anti-Stalking Legislation in Practice: Are     We Meeting Community Needs?’ (2007) </w:t>
      </w:r>
      <w:r>
        <w:rPr>
          <w:color w:val="231F20"/>
          <w:spacing w:val="2"/>
          <w:sz w:val="13"/>
        </w:rPr>
        <w:t xml:space="preserve">14(2) </w:t>
      </w:r>
      <w:r>
        <w:rPr>
          <w:i/>
          <w:color w:val="231F20"/>
          <w:sz w:val="13"/>
        </w:rPr>
        <w:t xml:space="preserve">Psychiatry, Psychology and Law </w:t>
      </w:r>
      <w:r>
        <w:rPr>
          <w:color w:val="231F20"/>
          <w:spacing w:val="-3"/>
          <w:sz w:val="13"/>
        </w:rPr>
        <w:t xml:space="preserve">207, </w:t>
      </w:r>
      <w:r>
        <w:rPr>
          <w:color w:val="231F20"/>
          <w:sz w:val="13"/>
        </w:rPr>
        <w:t xml:space="preserve">209–212. See </w:t>
      </w:r>
      <w:r>
        <w:rPr>
          <w:color w:val="231F20"/>
          <w:spacing w:val="2"/>
          <w:sz w:val="13"/>
        </w:rPr>
        <w:t xml:space="preserve">also </w:t>
      </w: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Critical Analysis</w:t>
      </w:r>
      <w:r>
        <w:rPr>
          <w:color w:val="231F20"/>
          <w:spacing w:val="8"/>
          <w:sz w:val="13"/>
        </w:rPr>
        <w:t xml:space="preserve"> </w:t>
      </w:r>
      <w:r>
        <w:rPr>
          <w:color w:val="231F20"/>
          <w:sz w:val="13"/>
        </w:rPr>
        <w:t>of</w:t>
      </w:r>
      <w:r>
        <w:rPr>
          <w:color w:val="231F20"/>
          <w:spacing w:val="8"/>
          <w:sz w:val="13"/>
        </w:rPr>
        <w:t xml:space="preserve"> </w:t>
      </w:r>
      <w:r>
        <w:rPr>
          <w:color w:val="231F20"/>
          <w:sz w:val="13"/>
        </w:rPr>
        <w:t>the</w:t>
      </w:r>
      <w:r>
        <w:rPr>
          <w:color w:val="231F20"/>
          <w:spacing w:val="8"/>
          <w:sz w:val="13"/>
        </w:rPr>
        <w:t xml:space="preserve"> </w:t>
      </w:r>
      <w:r>
        <w:rPr>
          <w:color w:val="231F20"/>
          <w:spacing w:val="2"/>
          <w:sz w:val="13"/>
        </w:rPr>
        <w:t>Applications</w:t>
      </w:r>
      <w:r>
        <w:rPr>
          <w:color w:val="231F20"/>
          <w:spacing w:val="8"/>
          <w:sz w:val="13"/>
        </w:rPr>
        <w:t xml:space="preserve"> </w:t>
      </w:r>
      <w:r>
        <w:rPr>
          <w:color w:val="231F20"/>
          <w:sz w:val="13"/>
        </w:rPr>
        <w:t>of</w:t>
      </w:r>
      <w:r>
        <w:rPr>
          <w:color w:val="231F20"/>
          <w:spacing w:val="8"/>
          <w:sz w:val="13"/>
        </w:rPr>
        <w:t xml:space="preserve"> </w:t>
      </w:r>
      <w:r>
        <w:rPr>
          <w:color w:val="231F20"/>
          <w:sz w:val="13"/>
        </w:rPr>
        <w:t>Anti-Stalking</w:t>
      </w:r>
      <w:r>
        <w:rPr>
          <w:color w:val="231F20"/>
          <w:spacing w:val="8"/>
          <w:sz w:val="13"/>
        </w:rPr>
        <w:t xml:space="preserve"> </w:t>
      </w:r>
      <w:r>
        <w:rPr>
          <w:color w:val="231F20"/>
          <w:sz w:val="13"/>
        </w:rPr>
        <w:t>Legislation</w:t>
      </w:r>
      <w:r>
        <w:rPr>
          <w:color w:val="231F20"/>
          <w:spacing w:val="8"/>
          <w:sz w:val="13"/>
        </w:rPr>
        <w:t xml:space="preserve"> </w:t>
      </w:r>
      <w:r>
        <w:rPr>
          <w:color w:val="231F20"/>
          <w:sz w:val="13"/>
        </w:rPr>
        <w:t>in</w:t>
      </w:r>
      <w:r>
        <w:rPr>
          <w:color w:val="231F20"/>
          <w:spacing w:val="8"/>
          <w:sz w:val="13"/>
        </w:rPr>
        <w:t xml:space="preserve"> </w:t>
      </w:r>
      <w:r>
        <w:rPr>
          <w:color w:val="231F20"/>
          <w:sz w:val="13"/>
        </w:rPr>
        <w:t>Victoria,</w:t>
      </w:r>
      <w:r>
        <w:rPr>
          <w:color w:val="231F20"/>
          <w:spacing w:val="8"/>
          <w:sz w:val="13"/>
        </w:rPr>
        <w:t xml:space="preserve"> </w:t>
      </w:r>
      <w:r>
        <w:rPr>
          <w:color w:val="231F20"/>
          <w:sz w:val="13"/>
        </w:rPr>
        <w:t>Australia’</w:t>
      </w:r>
      <w:r>
        <w:rPr>
          <w:color w:val="231F20"/>
          <w:spacing w:val="8"/>
          <w:sz w:val="13"/>
        </w:rPr>
        <w:t xml:space="preserve"> </w:t>
      </w:r>
      <w:r>
        <w:rPr>
          <w:color w:val="231F20"/>
          <w:sz w:val="13"/>
        </w:rPr>
        <w:t>(PhD</w:t>
      </w:r>
      <w:r>
        <w:rPr>
          <w:color w:val="231F20"/>
          <w:spacing w:val="9"/>
          <w:sz w:val="13"/>
        </w:rPr>
        <w:t xml:space="preserve"> </w:t>
      </w:r>
      <w:r>
        <w:rPr>
          <w:color w:val="231F20"/>
          <w:sz w:val="13"/>
        </w:rPr>
        <w:t>Thesis,</w:t>
      </w:r>
      <w:r>
        <w:rPr>
          <w:color w:val="231F20"/>
          <w:spacing w:val="8"/>
          <w:sz w:val="13"/>
        </w:rPr>
        <w:t xml:space="preserve"> </w:t>
      </w:r>
      <w:r>
        <w:rPr>
          <w:color w:val="231F20"/>
          <w:sz w:val="13"/>
        </w:rPr>
        <w:t>Monash</w:t>
      </w:r>
      <w:r>
        <w:rPr>
          <w:color w:val="231F20"/>
          <w:spacing w:val="8"/>
          <w:sz w:val="13"/>
        </w:rPr>
        <w:t xml:space="preserve"> </w:t>
      </w:r>
      <w:r>
        <w:rPr>
          <w:color w:val="231F20"/>
          <w:sz w:val="13"/>
        </w:rPr>
        <w:t>University,</w:t>
      </w:r>
      <w:r>
        <w:rPr>
          <w:color w:val="231F20"/>
          <w:spacing w:val="8"/>
          <w:sz w:val="13"/>
        </w:rPr>
        <w:t xml:space="preserve"> </w:t>
      </w:r>
      <w:r>
        <w:rPr>
          <w:color w:val="231F20"/>
          <w:sz w:val="13"/>
        </w:rPr>
        <w:t>2018)</w:t>
      </w:r>
      <w:r>
        <w:rPr>
          <w:color w:val="231F20"/>
          <w:spacing w:val="8"/>
          <w:sz w:val="13"/>
        </w:rPr>
        <w:t xml:space="preserve"> </w:t>
      </w:r>
      <w:r>
        <w:rPr>
          <w:color w:val="231F20"/>
          <w:spacing w:val="2"/>
          <w:sz w:val="13"/>
        </w:rPr>
        <w:t>190–191.</w:t>
      </w:r>
      <w:r>
        <w:rPr>
          <w:color w:val="231F20"/>
          <w:spacing w:val="8"/>
          <w:sz w:val="13"/>
        </w:rPr>
        <w:t xml:space="preserve"> </w:t>
      </w:r>
      <w:r>
        <w:rPr>
          <w:color w:val="231F20"/>
          <w:sz w:val="13"/>
        </w:rPr>
        <w:t>We</w:t>
      </w:r>
    </w:p>
    <w:p w14:paraId="50368F07" w14:textId="77777777" w:rsidR="00894070" w:rsidRDefault="009B7AFD">
      <w:pPr>
        <w:spacing w:line="213" w:lineRule="auto"/>
        <w:ind w:left="1801"/>
        <w:rPr>
          <w:sz w:val="13"/>
        </w:rPr>
      </w:pPr>
      <w:r>
        <w:rPr>
          <w:color w:val="231F20"/>
          <w:sz w:val="13"/>
        </w:rPr>
        <w:t>note Dr Steven Tudor and Greg Byrne’s suggestion ‘for the offence of stalking to more clearly make room for cases of intentional covert stalking’: Submission 106 (Dr Steven Tudor &amp; Greg Byrne PSM). We discuss this suggestion later in this chapter.</w:t>
      </w:r>
    </w:p>
    <w:p w14:paraId="5819E54C" w14:textId="77777777" w:rsidR="00894070" w:rsidRDefault="009B7AFD">
      <w:pPr>
        <w:pStyle w:val="ListParagraph"/>
        <w:numPr>
          <w:ilvl w:val="0"/>
          <w:numId w:val="64"/>
        </w:numPr>
        <w:tabs>
          <w:tab w:val="left" w:pos="1801"/>
          <w:tab w:val="left" w:pos="1802"/>
        </w:tabs>
        <w:spacing w:line="153" w:lineRule="exact"/>
        <w:jc w:val="left"/>
        <w:rPr>
          <w:sz w:val="13"/>
        </w:rPr>
      </w:pPr>
      <w:r>
        <w:rPr>
          <w:i/>
          <w:color w:val="231F20"/>
          <w:sz w:val="13"/>
        </w:rPr>
        <w:t xml:space="preserve">Crimes Act 1958 </w:t>
      </w:r>
      <w:r>
        <w:rPr>
          <w:color w:val="231F20"/>
          <w:sz w:val="13"/>
        </w:rPr>
        <w:t>(Vic) s</w:t>
      </w:r>
      <w:r>
        <w:rPr>
          <w:color w:val="231F20"/>
          <w:spacing w:val="1"/>
          <w:sz w:val="13"/>
        </w:rPr>
        <w:t xml:space="preserve"> </w:t>
      </w:r>
      <w:r>
        <w:rPr>
          <w:color w:val="231F20"/>
          <w:sz w:val="13"/>
        </w:rPr>
        <w:t>21A(ba)–(bc).</w:t>
      </w:r>
    </w:p>
    <w:p w14:paraId="747E6D2C" w14:textId="77777777" w:rsidR="00894070" w:rsidRDefault="009B7AFD">
      <w:pPr>
        <w:pStyle w:val="ListParagraph"/>
        <w:numPr>
          <w:ilvl w:val="0"/>
          <w:numId w:val="64"/>
        </w:numPr>
        <w:tabs>
          <w:tab w:val="left" w:pos="1801"/>
          <w:tab w:val="left" w:pos="1802"/>
        </w:tabs>
        <w:spacing w:line="160" w:lineRule="exact"/>
        <w:jc w:val="left"/>
        <w:rPr>
          <w:sz w:val="13"/>
        </w:rPr>
      </w:pPr>
      <w:r>
        <w:rPr>
          <w:color w:val="231F20"/>
          <w:sz w:val="13"/>
        </w:rPr>
        <w:t>Consultations</w:t>
      </w:r>
      <w:r>
        <w:rPr>
          <w:color w:val="231F20"/>
          <w:spacing w:val="3"/>
          <w:sz w:val="13"/>
        </w:rPr>
        <w:t xml:space="preserve"> </w:t>
      </w:r>
      <w:r>
        <w:rPr>
          <w:color w:val="231F20"/>
          <w:sz w:val="13"/>
        </w:rPr>
        <w:t>18</w:t>
      </w:r>
      <w:r>
        <w:rPr>
          <w:color w:val="231F20"/>
          <w:spacing w:val="3"/>
          <w:sz w:val="13"/>
        </w:rPr>
        <w:t xml:space="preserve"> </w:t>
      </w:r>
      <w:r>
        <w:rPr>
          <w:color w:val="231F20"/>
          <w:sz w:val="13"/>
        </w:rPr>
        <w:t>(County</w:t>
      </w:r>
      <w:r>
        <w:rPr>
          <w:color w:val="231F20"/>
          <w:spacing w:val="3"/>
          <w:sz w:val="13"/>
        </w:rPr>
        <w:t xml:space="preserve"> </w:t>
      </w:r>
      <w:r>
        <w:rPr>
          <w:color w:val="231F20"/>
          <w:spacing w:val="2"/>
          <w:sz w:val="13"/>
        </w:rPr>
        <w:t>Court</w:t>
      </w:r>
      <w:r>
        <w:rPr>
          <w:color w:val="231F20"/>
          <w:spacing w:val="4"/>
          <w:sz w:val="13"/>
        </w:rPr>
        <w:t xml:space="preserve"> </w:t>
      </w:r>
      <w:r>
        <w:rPr>
          <w:color w:val="231F20"/>
          <w:sz w:val="13"/>
        </w:rPr>
        <w:t>of</w:t>
      </w:r>
      <w:r>
        <w:rPr>
          <w:color w:val="231F20"/>
          <w:spacing w:val="3"/>
          <w:sz w:val="13"/>
        </w:rPr>
        <w:t xml:space="preserve"> </w:t>
      </w:r>
      <w:r>
        <w:rPr>
          <w:color w:val="231F20"/>
          <w:sz w:val="13"/>
        </w:rPr>
        <w:t>Victoria),</w:t>
      </w:r>
      <w:r>
        <w:rPr>
          <w:color w:val="231F20"/>
          <w:spacing w:val="3"/>
          <w:sz w:val="13"/>
        </w:rPr>
        <w:t xml:space="preserve"> </w:t>
      </w:r>
      <w:r>
        <w:rPr>
          <w:color w:val="231F20"/>
          <w:sz w:val="13"/>
        </w:rPr>
        <w:t>24</w:t>
      </w:r>
      <w:r>
        <w:rPr>
          <w:color w:val="231F20"/>
          <w:spacing w:val="3"/>
          <w:sz w:val="13"/>
        </w:rPr>
        <w:t xml:space="preserve"> </w:t>
      </w:r>
      <w:r>
        <w:rPr>
          <w:color w:val="231F20"/>
          <w:sz w:val="13"/>
        </w:rPr>
        <w:t>(Criminal</w:t>
      </w:r>
      <w:r>
        <w:rPr>
          <w:color w:val="231F20"/>
          <w:spacing w:val="4"/>
          <w:sz w:val="13"/>
        </w:rPr>
        <w:t xml:space="preserve"> </w:t>
      </w:r>
      <w:r>
        <w:rPr>
          <w:color w:val="231F20"/>
          <w:sz w:val="13"/>
        </w:rPr>
        <w:t>Bar</w:t>
      </w:r>
      <w:r>
        <w:rPr>
          <w:color w:val="231F20"/>
          <w:spacing w:val="3"/>
          <w:sz w:val="13"/>
        </w:rPr>
        <w:t xml:space="preserve"> </w:t>
      </w:r>
      <w:r>
        <w:rPr>
          <w:color w:val="231F20"/>
          <w:sz w:val="13"/>
        </w:rPr>
        <w:t>Association);</w:t>
      </w:r>
      <w:r>
        <w:rPr>
          <w:color w:val="231F20"/>
          <w:spacing w:val="3"/>
          <w:sz w:val="13"/>
        </w:rPr>
        <w:t xml:space="preserve"> </w:t>
      </w:r>
      <w:r>
        <w:rPr>
          <w:color w:val="231F20"/>
          <w:spacing w:val="2"/>
          <w:sz w:val="13"/>
        </w:rPr>
        <w:t>Submission</w:t>
      </w:r>
      <w:r>
        <w:rPr>
          <w:color w:val="231F20"/>
          <w:spacing w:val="3"/>
          <w:sz w:val="13"/>
        </w:rPr>
        <w:t xml:space="preserve"> </w:t>
      </w:r>
      <w:r>
        <w:rPr>
          <w:color w:val="231F20"/>
          <w:sz w:val="13"/>
        </w:rPr>
        <w:t>98</w:t>
      </w:r>
      <w:r>
        <w:rPr>
          <w:color w:val="231F20"/>
          <w:spacing w:val="4"/>
          <w:sz w:val="13"/>
        </w:rPr>
        <w:t xml:space="preserve"> </w:t>
      </w:r>
      <w:r>
        <w:rPr>
          <w:color w:val="231F20"/>
          <w:sz w:val="13"/>
        </w:rPr>
        <w:t>(Law</w:t>
      </w:r>
      <w:r>
        <w:rPr>
          <w:color w:val="231F20"/>
          <w:spacing w:val="3"/>
          <w:sz w:val="13"/>
        </w:rPr>
        <w:t xml:space="preserve"> </w:t>
      </w:r>
      <w:r>
        <w:rPr>
          <w:color w:val="231F20"/>
          <w:sz w:val="13"/>
        </w:rPr>
        <w:t>Institute</w:t>
      </w:r>
      <w:r>
        <w:rPr>
          <w:color w:val="231F20"/>
          <w:spacing w:val="3"/>
          <w:sz w:val="13"/>
        </w:rPr>
        <w:t xml:space="preserve"> </w:t>
      </w:r>
      <w:r>
        <w:rPr>
          <w:color w:val="231F20"/>
          <w:sz w:val="13"/>
        </w:rPr>
        <w:t>of</w:t>
      </w:r>
      <w:r>
        <w:rPr>
          <w:color w:val="231F20"/>
          <w:spacing w:val="3"/>
          <w:sz w:val="13"/>
        </w:rPr>
        <w:t xml:space="preserve"> </w:t>
      </w:r>
      <w:r>
        <w:rPr>
          <w:color w:val="231F20"/>
          <w:sz w:val="13"/>
        </w:rPr>
        <w:t>Victoria).</w:t>
      </w:r>
    </w:p>
    <w:p w14:paraId="312F25A6" w14:textId="77777777" w:rsidR="00894070" w:rsidRDefault="009B7AFD">
      <w:pPr>
        <w:pStyle w:val="ListParagraph"/>
        <w:numPr>
          <w:ilvl w:val="0"/>
          <w:numId w:val="64"/>
        </w:numPr>
        <w:tabs>
          <w:tab w:val="left" w:pos="1801"/>
          <w:tab w:val="left" w:pos="1802"/>
        </w:tabs>
        <w:spacing w:line="160" w:lineRule="exact"/>
        <w:jc w:val="left"/>
        <w:rPr>
          <w:sz w:val="13"/>
        </w:rPr>
      </w:pPr>
      <w:r>
        <w:rPr>
          <w:color w:val="231F20"/>
          <w:sz w:val="13"/>
        </w:rPr>
        <w:t>Consultation 24 (Criminal Bar</w:t>
      </w:r>
      <w:r>
        <w:rPr>
          <w:color w:val="231F20"/>
          <w:spacing w:val="1"/>
          <w:sz w:val="13"/>
        </w:rPr>
        <w:t xml:space="preserve"> </w:t>
      </w:r>
      <w:r>
        <w:rPr>
          <w:color w:val="231F20"/>
          <w:sz w:val="13"/>
        </w:rPr>
        <w:t>Association).</w:t>
      </w:r>
    </w:p>
    <w:p w14:paraId="78C42419" w14:textId="77777777" w:rsidR="00894070" w:rsidRDefault="009B7AFD">
      <w:pPr>
        <w:pStyle w:val="ListParagraph"/>
        <w:numPr>
          <w:ilvl w:val="0"/>
          <w:numId w:val="64"/>
        </w:numPr>
        <w:tabs>
          <w:tab w:val="left" w:pos="1800"/>
          <w:tab w:val="left" w:pos="1802"/>
        </w:tabs>
        <w:spacing w:line="160" w:lineRule="exact"/>
        <w:jc w:val="left"/>
        <w:rPr>
          <w:sz w:val="13"/>
        </w:rPr>
      </w:pPr>
      <w:r>
        <w:rPr>
          <w:color w:val="231F20"/>
          <w:sz w:val="13"/>
        </w:rPr>
        <w:t xml:space="preserve">Consultations 2 (Children’s </w:t>
      </w:r>
      <w:r>
        <w:rPr>
          <w:color w:val="231F20"/>
          <w:spacing w:val="2"/>
          <w:sz w:val="13"/>
        </w:rPr>
        <w:t xml:space="preserve">Court </w:t>
      </w:r>
      <w:r>
        <w:rPr>
          <w:color w:val="231F20"/>
          <w:sz w:val="13"/>
        </w:rPr>
        <w:t>of Victoria (No 1)), 19 (Community legal sector</w:t>
      </w:r>
      <w:r>
        <w:rPr>
          <w:color w:val="231F20"/>
          <w:spacing w:val="13"/>
          <w:sz w:val="13"/>
        </w:rPr>
        <w:t xml:space="preserve"> </w:t>
      </w:r>
      <w:r>
        <w:rPr>
          <w:color w:val="231F20"/>
          <w:sz w:val="13"/>
        </w:rPr>
        <w:t>roundtable).</w:t>
      </w:r>
    </w:p>
    <w:p w14:paraId="17A9C846" w14:textId="77777777" w:rsidR="00894070" w:rsidRDefault="009B7AFD">
      <w:pPr>
        <w:pStyle w:val="ListParagraph"/>
        <w:numPr>
          <w:ilvl w:val="0"/>
          <w:numId w:val="64"/>
        </w:numPr>
        <w:tabs>
          <w:tab w:val="left" w:pos="1800"/>
          <w:tab w:val="left" w:pos="1802"/>
        </w:tabs>
        <w:spacing w:before="3" w:line="213" w:lineRule="auto"/>
        <w:ind w:right="121"/>
        <w:jc w:val="left"/>
        <w:rPr>
          <w:sz w:val="13"/>
        </w:rPr>
      </w:pPr>
      <w:r>
        <w:rPr>
          <w:color w:val="231F20"/>
          <w:sz w:val="13"/>
        </w:rPr>
        <w:t xml:space="preserve">Consultations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 Victoria), 13 (Victoria Legal Aid), 20 (Law Institute of Victoria).</w:t>
      </w:r>
    </w:p>
    <w:p w14:paraId="6774DC33" w14:textId="77777777" w:rsidR="00894070" w:rsidRDefault="009B7AFD">
      <w:pPr>
        <w:pStyle w:val="ListParagraph"/>
        <w:numPr>
          <w:ilvl w:val="0"/>
          <w:numId w:val="64"/>
        </w:numPr>
        <w:tabs>
          <w:tab w:val="left" w:pos="1801"/>
          <w:tab w:val="left" w:pos="1802"/>
        </w:tabs>
        <w:spacing w:line="153" w:lineRule="exact"/>
        <w:jc w:val="left"/>
        <w:rPr>
          <w:sz w:val="13"/>
        </w:rPr>
      </w:pPr>
      <w:r>
        <w:rPr>
          <w:color w:val="231F20"/>
          <w:sz w:val="13"/>
        </w:rPr>
        <w:t>Consultation 13 (Victoria Legal</w:t>
      </w:r>
      <w:r>
        <w:rPr>
          <w:color w:val="231F20"/>
          <w:spacing w:val="1"/>
          <w:sz w:val="13"/>
        </w:rPr>
        <w:t xml:space="preserve"> </w:t>
      </w:r>
      <w:r>
        <w:rPr>
          <w:color w:val="231F20"/>
          <w:sz w:val="13"/>
        </w:rPr>
        <w:t>Aid).</w:t>
      </w:r>
    </w:p>
    <w:p w14:paraId="09308844" w14:textId="77777777" w:rsidR="00894070" w:rsidRDefault="009B7AFD">
      <w:pPr>
        <w:pStyle w:val="ListParagraph"/>
        <w:numPr>
          <w:ilvl w:val="0"/>
          <w:numId w:val="64"/>
        </w:numPr>
        <w:tabs>
          <w:tab w:val="left" w:pos="1801"/>
          <w:tab w:val="left" w:pos="1802"/>
        </w:tabs>
        <w:spacing w:before="6" w:line="213" w:lineRule="auto"/>
        <w:ind w:right="199"/>
        <w:jc w:val="left"/>
        <w:rPr>
          <w:sz w:val="13"/>
        </w:rPr>
      </w:pP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Anti-Stalking Legislation in Victoria, Australia’ (PhD Thesis, Monash University, 2018) 76–7.</w:t>
      </w:r>
    </w:p>
    <w:p w14:paraId="25E85639" w14:textId="77777777" w:rsidR="00894070" w:rsidRDefault="009B7AFD">
      <w:pPr>
        <w:pStyle w:val="ListParagraph"/>
        <w:numPr>
          <w:ilvl w:val="0"/>
          <w:numId w:val="64"/>
        </w:numPr>
        <w:tabs>
          <w:tab w:val="left" w:pos="1801"/>
          <w:tab w:val="left" w:pos="1802"/>
        </w:tabs>
        <w:spacing w:line="163" w:lineRule="exact"/>
        <w:jc w:val="left"/>
        <w:rPr>
          <w:sz w:val="13"/>
        </w:rPr>
      </w:pPr>
      <w:r>
        <w:rPr>
          <w:color w:val="231F20"/>
          <w:spacing w:val="2"/>
          <w:sz w:val="13"/>
        </w:rPr>
        <w:t xml:space="preserve">Submission </w:t>
      </w:r>
      <w:r>
        <w:rPr>
          <w:color w:val="231F20"/>
          <w:sz w:val="13"/>
        </w:rPr>
        <w:t>106 (Dr Steven Tudor &amp; Greg Byrne</w:t>
      </w:r>
      <w:r>
        <w:rPr>
          <w:color w:val="231F20"/>
          <w:spacing w:val="-1"/>
          <w:sz w:val="13"/>
        </w:rPr>
        <w:t xml:space="preserve"> </w:t>
      </w:r>
      <w:r>
        <w:rPr>
          <w:color w:val="231F20"/>
          <w:sz w:val="13"/>
        </w:rPr>
        <w:t>PSM).</w:t>
      </w:r>
    </w:p>
    <w:p w14:paraId="5D40810D" w14:textId="77777777" w:rsidR="00894070" w:rsidRDefault="009B7AFD">
      <w:pPr>
        <w:pStyle w:val="BodyText"/>
        <w:rPr>
          <w:sz w:val="28"/>
        </w:rPr>
      </w:pPr>
      <w:r>
        <w:br w:type="column"/>
      </w:r>
    </w:p>
    <w:p w14:paraId="0EA3C058" w14:textId="77777777" w:rsidR="00894070" w:rsidRDefault="00894070">
      <w:pPr>
        <w:pStyle w:val="BodyText"/>
        <w:rPr>
          <w:sz w:val="28"/>
        </w:rPr>
      </w:pPr>
    </w:p>
    <w:p w14:paraId="3B16A3AB" w14:textId="77777777" w:rsidR="00894070" w:rsidRDefault="00894070">
      <w:pPr>
        <w:pStyle w:val="BodyText"/>
        <w:rPr>
          <w:sz w:val="28"/>
        </w:rPr>
      </w:pPr>
    </w:p>
    <w:p w14:paraId="6E91BDB2" w14:textId="77777777" w:rsidR="00894070" w:rsidRDefault="00894070">
      <w:pPr>
        <w:pStyle w:val="BodyText"/>
        <w:rPr>
          <w:sz w:val="28"/>
        </w:rPr>
      </w:pPr>
    </w:p>
    <w:p w14:paraId="6827490D" w14:textId="77777777" w:rsidR="00894070" w:rsidRDefault="00894070">
      <w:pPr>
        <w:pStyle w:val="BodyText"/>
        <w:rPr>
          <w:sz w:val="28"/>
        </w:rPr>
      </w:pPr>
    </w:p>
    <w:p w14:paraId="462A6D6F" w14:textId="77777777" w:rsidR="00894070" w:rsidRDefault="00894070">
      <w:pPr>
        <w:pStyle w:val="BodyText"/>
        <w:rPr>
          <w:sz w:val="28"/>
        </w:rPr>
      </w:pPr>
    </w:p>
    <w:p w14:paraId="64B522E0" w14:textId="77777777" w:rsidR="00894070" w:rsidRDefault="00894070">
      <w:pPr>
        <w:pStyle w:val="BodyText"/>
        <w:spacing w:before="5"/>
      </w:pPr>
    </w:p>
    <w:p w14:paraId="1407C644" w14:textId="77777777" w:rsidR="00894070" w:rsidRDefault="009B7AFD">
      <w:pPr>
        <w:pStyle w:val="Heading8"/>
        <w:ind w:left="607"/>
      </w:pPr>
      <w:r>
        <w:rPr>
          <w:color w:val="EA5B50"/>
        </w:rPr>
        <w:t>135</w:t>
      </w:r>
    </w:p>
    <w:p w14:paraId="094DDED8" w14:textId="77777777" w:rsidR="00894070" w:rsidRDefault="00894070">
      <w:pPr>
        <w:sectPr w:rsidR="00894070">
          <w:type w:val="continuous"/>
          <w:pgSz w:w="11910" w:h="16840"/>
          <w:pgMar w:top="560" w:right="420" w:bottom="280" w:left="580" w:header="720" w:footer="720" w:gutter="0"/>
          <w:cols w:num="2" w:space="720" w:equalWidth="0">
            <w:col w:w="9693" w:space="40"/>
            <w:col w:w="1177"/>
          </w:cols>
        </w:sectPr>
      </w:pPr>
    </w:p>
    <w:p w14:paraId="0B6ACA88" w14:textId="77777777" w:rsidR="00894070" w:rsidRDefault="00894070">
      <w:pPr>
        <w:pStyle w:val="BodyText"/>
        <w:rPr>
          <w:b/>
        </w:rPr>
      </w:pPr>
    </w:p>
    <w:p w14:paraId="1AE87084" w14:textId="77777777" w:rsidR="00894070" w:rsidRDefault="00894070">
      <w:pPr>
        <w:pStyle w:val="BodyText"/>
        <w:rPr>
          <w:b/>
        </w:rPr>
      </w:pPr>
    </w:p>
    <w:p w14:paraId="623138C4" w14:textId="77777777" w:rsidR="00894070" w:rsidRDefault="00894070">
      <w:pPr>
        <w:pStyle w:val="BodyText"/>
        <w:rPr>
          <w:b/>
        </w:rPr>
      </w:pPr>
    </w:p>
    <w:p w14:paraId="155B959E" w14:textId="77777777" w:rsidR="00894070" w:rsidRDefault="009B7AFD">
      <w:pPr>
        <w:spacing w:before="212"/>
        <w:ind w:left="1007"/>
        <w:rPr>
          <w:rFonts w:ascii="Raleway ExtraBold"/>
          <w:b/>
          <w:sz w:val="28"/>
        </w:rPr>
      </w:pPr>
      <w:bookmarkStart w:id="151" w:name="The_stalking_offence_should_be_redrafted"/>
      <w:bookmarkStart w:id="152" w:name="_bookmark90"/>
      <w:bookmarkEnd w:id="151"/>
      <w:bookmarkEnd w:id="152"/>
      <w:r>
        <w:rPr>
          <w:rFonts w:ascii="Raleway ExtraBold"/>
          <w:b/>
          <w:color w:val="EA5B50"/>
          <w:sz w:val="28"/>
        </w:rPr>
        <w:t>The stalking offence should be redrafted</w:t>
      </w:r>
    </w:p>
    <w:p w14:paraId="75877CC7" w14:textId="77777777" w:rsidR="00894070" w:rsidRDefault="009B7AFD">
      <w:pPr>
        <w:pStyle w:val="ListParagraph"/>
        <w:numPr>
          <w:ilvl w:val="1"/>
          <w:numId w:val="65"/>
        </w:numPr>
        <w:tabs>
          <w:tab w:val="left" w:pos="1801"/>
          <w:tab w:val="left" w:pos="1802"/>
        </w:tabs>
        <w:spacing w:before="146" w:line="206" w:lineRule="auto"/>
        <w:ind w:right="1245"/>
        <w:rPr>
          <w:sz w:val="20"/>
        </w:rPr>
      </w:pPr>
      <w:r>
        <w:rPr>
          <w:color w:val="231F20"/>
          <w:sz w:val="20"/>
        </w:rPr>
        <w:t xml:space="preserve">The </w:t>
      </w:r>
      <w:r>
        <w:rPr>
          <w:color w:val="231F20"/>
          <w:spacing w:val="-3"/>
          <w:sz w:val="20"/>
        </w:rPr>
        <w:t xml:space="preserve">core </w:t>
      </w:r>
      <w:r>
        <w:rPr>
          <w:color w:val="231F20"/>
          <w:sz w:val="20"/>
        </w:rPr>
        <w:t xml:space="preserve">elements of the stalking offence </w:t>
      </w:r>
      <w:r>
        <w:rPr>
          <w:color w:val="231F20"/>
          <w:spacing w:val="-3"/>
          <w:sz w:val="20"/>
        </w:rPr>
        <w:t xml:space="preserve">are appropriate </w:t>
      </w:r>
      <w:r>
        <w:rPr>
          <w:color w:val="231F20"/>
          <w:sz w:val="20"/>
        </w:rPr>
        <w:t xml:space="preserve">and do not need to fundamentally change. </w:t>
      </w:r>
      <w:r>
        <w:rPr>
          <w:color w:val="231F20"/>
          <w:spacing w:val="-5"/>
          <w:sz w:val="20"/>
        </w:rPr>
        <w:t xml:space="preserve">However, </w:t>
      </w:r>
      <w:r>
        <w:rPr>
          <w:color w:val="231F20"/>
          <w:spacing w:val="-3"/>
          <w:sz w:val="20"/>
        </w:rPr>
        <w:t xml:space="preserve">we </w:t>
      </w:r>
      <w:r>
        <w:rPr>
          <w:color w:val="231F20"/>
          <w:sz w:val="20"/>
        </w:rPr>
        <w:t>consider that the definition of stalking in the law could</w:t>
      </w:r>
      <w:r>
        <w:rPr>
          <w:color w:val="231F20"/>
          <w:spacing w:val="-10"/>
          <w:sz w:val="20"/>
        </w:rPr>
        <w:t xml:space="preserve"> </w:t>
      </w:r>
      <w:r>
        <w:rPr>
          <w:color w:val="231F20"/>
          <w:sz w:val="20"/>
        </w:rPr>
        <w:t>be</w:t>
      </w:r>
      <w:r>
        <w:rPr>
          <w:color w:val="231F20"/>
          <w:spacing w:val="-9"/>
          <w:sz w:val="20"/>
        </w:rPr>
        <w:t xml:space="preserve"> </w:t>
      </w:r>
      <w:r>
        <w:rPr>
          <w:color w:val="231F20"/>
          <w:spacing w:val="-4"/>
          <w:sz w:val="20"/>
        </w:rPr>
        <w:t>clearer,</w:t>
      </w:r>
      <w:r>
        <w:rPr>
          <w:color w:val="231F20"/>
          <w:spacing w:val="-9"/>
          <w:sz w:val="20"/>
        </w:rPr>
        <w:t xml:space="preserve"> </w:t>
      </w:r>
      <w:r>
        <w:rPr>
          <w:color w:val="231F20"/>
          <w:sz w:val="20"/>
        </w:rPr>
        <w:t>especially</w:t>
      </w:r>
      <w:r>
        <w:rPr>
          <w:color w:val="231F20"/>
          <w:spacing w:val="-9"/>
          <w:sz w:val="20"/>
        </w:rPr>
        <w:t xml:space="preserve"> </w:t>
      </w:r>
      <w:r>
        <w:rPr>
          <w:color w:val="231F20"/>
          <w:sz w:val="20"/>
        </w:rPr>
        <w:t>the</w:t>
      </w:r>
      <w:r>
        <w:rPr>
          <w:color w:val="231F20"/>
          <w:spacing w:val="-9"/>
          <w:sz w:val="20"/>
        </w:rPr>
        <w:t xml:space="preserve"> </w:t>
      </w:r>
      <w:r>
        <w:rPr>
          <w:color w:val="231F20"/>
          <w:sz w:val="20"/>
        </w:rPr>
        <w:t>course</w:t>
      </w:r>
      <w:r>
        <w:rPr>
          <w:color w:val="231F20"/>
          <w:spacing w:val="-9"/>
          <w:sz w:val="20"/>
        </w:rPr>
        <w:t xml:space="preserve"> </w:t>
      </w:r>
      <w:r>
        <w:rPr>
          <w:color w:val="231F20"/>
          <w:sz w:val="20"/>
        </w:rPr>
        <w:t>of</w:t>
      </w:r>
      <w:r>
        <w:rPr>
          <w:color w:val="231F20"/>
          <w:spacing w:val="-9"/>
          <w:sz w:val="20"/>
        </w:rPr>
        <w:t xml:space="preserve"> </w:t>
      </w:r>
      <w:r>
        <w:rPr>
          <w:color w:val="231F20"/>
          <w:sz w:val="20"/>
        </w:rPr>
        <w:t>conduct</w:t>
      </w:r>
      <w:r>
        <w:rPr>
          <w:color w:val="231F20"/>
          <w:spacing w:val="-10"/>
          <w:sz w:val="20"/>
        </w:rPr>
        <w:t xml:space="preserve"> </w:t>
      </w:r>
      <w:r>
        <w:rPr>
          <w:color w:val="231F20"/>
          <w:sz w:val="20"/>
        </w:rPr>
        <w:t>element.</w:t>
      </w:r>
      <w:r>
        <w:rPr>
          <w:color w:val="231F20"/>
          <w:spacing w:val="-9"/>
          <w:sz w:val="20"/>
        </w:rPr>
        <w:t xml:space="preserve"> </w:t>
      </w:r>
      <w:r>
        <w:rPr>
          <w:color w:val="231F20"/>
          <w:sz w:val="20"/>
        </w:rPr>
        <w:t>If</w:t>
      </w:r>
      <w:r>
        <w:rPr>
          <w:color w:val="231F20"/>
          <w:spacing w:val="-9"/>
          <w:sz w:val="20"/>
        </w:rPr>
        <w:t xml:space="preserve"> </w:t>
      </w:r>
      <w:r>
        <w:rPr>
          <w:color w:val="231F20"/>
          <w:sz w:val="20"/>
        </w:rPr>
        <w:t>the</w:t>
      </w:r>
      <w:r>
        <w:rPr>
          <w:color w:val="231F20"/>
          <w:spacing w:val="-9"/>
          <w:sz w:val="20"/>
        </w:rPr>
        <w:t xml:space="preserve"> </w:t>
      </w:r>
      <w:r>
        <w:rPr>
          <w:color w:val="231F20"/>
          <w:sz w:val="20"/>
        </w:rPr>
        <w:t>law</w:t>
      </w:r>
      <w:r>
        <w:rPr>
          <w:color w:val="231F20"/>
          <w:spacing w:val="-9"/>
          <w:sz w:val="20"/>
        </w:rPr>
        <w:t xml:space="preserve"> </w:t>
      </w:r>
      <w:r>
        <w:rPr>
          <w:color w:val="231F20"/>
          <w:sz w:val="20"/>
        </w:rPr>
        <w:t>is</w:t>
      </w:r>
      <w:r>
        <w:rPr>
          <w:color w:val="231F20"/>
          <w:spacing w:val="-9"/>
          <w:sz w:val="20"/>
        </w:rPr>
        <w:t xml:space="preserve"> </w:t>
      </w:r>
      <w:r>
        <w:rPr>
          <w:color w:val="231F20"/>
          <w:spacing w:val="-4"/>
          <w:sz w:val="20"/>
        </w:rPr>
        <w:t>clear,</w:t>
      </w:r>
      <w:r>
        <w:rPr>
          <w:color w:val="231F20"/>
          <w:spacing w:val="-9"/>
          <w:sz w:val="20"/>
        </w:rPr>
        <w:t xml:space="preserve"> </w:t>
      </w:r>
      <w:r>
        <w:rPr>
          <w:color w:val="231F20"/>
          <w:sz w:val="20"/>
        </w:rPr>
        <w:t>it</w:t>
      </w:r>
      <w:r>
        <w:rPr>
          <w:color w:val="231F20"/>
          <w:spacing w:val="-9"/>
          <w:sz w:val="20"/>
        </w:rPr>
        <w:t xml:space="preserve"> </w:t>
      </w:r>
      <w:r>
        <w:rPr>
          <w:color w:val="231F20"/>
          <w:sz w:val="20"/>
        </w:rPr>
        <w:t>is</w:t>
      </w:r>
      <w:r>
        <w:rPr>
          <w:color w:val="231F20"/>
          <w:spacing w:val="-10"/>
          <w:sz w:val="20"/>
        </w:rPr>
        <w:t xml:space="preserve"> </w:t>
      </w:r>
      <w:r>
        <w:rPr>
          <w:color w:val="231F20"/>
          <w:sz w:val="20"/>
        </w:rPr>
        <w:t xml:space="preserve">more </w:t>
      </w:r>
      <w:r>
        <w:rPr>
          <w:color w:val="231F20"/>
          <w:spacing w:val="-3"/>
          <w:sz w:val="20"/>
        </w:rPr>
        <w:t xml:space="preserve">likely </w:t>
      </w:r>
      <w:r>
        <w:rPr>
          <w:color w:val="231F20"/>
          <w:sz w:val="20"/>
        </w:rPr>
        <w:t xml:space="preserve">that people will understand it and be able to use it </w:t>
      </w:r>
      <w:r>
        <w:rPr>
          <w:color w:val="231F20"/>
          <w:spacing w:val="-4"/>
          <w:sz w:val="20"/>
        </w:rPr>
        <w:t xml:space="preserve">effectively. </w:t>
      </w:r>
      <w:r>
        <w:rPr>
          <w:color w:val="231F20"/>
          <w:sz w:val="20"/>
        </w:rPr>
        <w:t xml:space="preserve">It will also </w:t>
      </w:r>
      <w:r>
        <w:rPr>
          <w:color w:val="231F20"/>
          <w:spacing w:val="-3"/>
          <w:sz w:val="20"/>
        </w:rPr>
        <w:t xml:space="preserve">avoid </w:t>
      </w:r>
      <w:r>
        <w:rPr>
          <w:color w:val="231F20"/>
          <w:sz w:val="20"/>
        </w:rPr>
        <w:t>some</w:t>
      </w:r>
      <w:r>
        <w:rPr>
          <w:color w:val="231F20"/>
          <w:spacing w:val="-9"/>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problems</w:t>
      </w:r>
      <w:r>
        <w:rPr>
          <w:color w:val="231F20"/>
          <w:spacing w:val="-8"/>
          <w:sz w:val="20"/>
        </w:rPr>
        <w:t xml:space="preserve"> </w:t>
      </w:r>
      <w:r>
        <w:rPr>
          <w:color w:val="231F20"/>
          <w:spacing w:val="-3"/>
          <w:sz w:val="20"/>
        </w:rPr>
        <w:t>we</w:t>
      </w:r>
      <w:r>
        <w:rPr>
          <w:color w:val="231F20"/>
          <w:spacing w:val="-9"/>
          <w:sz w:val="20"/>
        </w:rPr>
        <w:t xml:space="preserve"> </w:t>
      </w:r>
      <w:r>
        <w:rPr>
          <w:color w:val="231F20"/>
          <w:sz w:val="20"/>
        </w:rPr>
        <w:t>discuss</w:t>
      </w:r>
      <w:r>
        <w:rPr>
          <w:color w:val="231F20"/>
          <w:spacing w:val="-8"/>
          <w:sz w:val="20"/>
        </w:rPr>
        <w:t xml:space="preserve"> </w:t>
      </w:r>
      <w:r>
        <w:rPr>
          <w:color w:val="231F20"/>
          <w:spacing w:val="-4"/>
          <w:sz w:val="20"/>
        </w:rPr>
        <w:t>later,</w:t>
      </w:r>
      <w:r>
        <w:rPr>
          <w:color w:val="231F20"/>
          <w:spacing w:val="-8"/>
          <w:sz w:val="20"/>
        </w:rPr>
        <w:t xml:space="preserve"> </w:t>
      </w:r>
      <w:r>
        <w:rPr>
          <w:color w:val="231F20"/>
          <w:sz w:val="20"/>
        </w:rPr>
        <w:t>such</w:t>
      </w:r>
      <w:r>
        <w:rPr>
          <w:color w:val="231F20"/>
          <w:spacing w:val="-8"/>
          <w:sz w:val="20"/>
        </w:rPr>
        <w:t xml:space="preserve"> </w:t>
      </w:r>
      <w:r>
        <w:rPr>
          <w:color w:val="231F20"/>
          <w:sz w:val="20"/>
        </w:rPr>
        <w:t>as</w:t>
      </w:r>
      <w:r>
        <w:rPr>
          <w:color w:val="231F20"/>
          <w:spacing w:val="-8"/>
          <w:sz w:val="20"/>
        </w:rPr>
        <w:t xml:space="preserve"> </w:t>
      </w:r>
      <w:r>
        <w:rPr>
          <w:color w:val="231F20"/>
          <w:sz w:val="20"/>
        </w:rPr>
        <w:t>missed</w:t>
      </w:r>
      <w:r>
        <w:rPr>
          <w:color w:val="231F20"/>
          <w:spacing w:val="-9"/>
          <w:sz w:val="20"/>
        </w:rPr>
        <w:t xml:space="preserve"> </w:t>
      </w:r>
      <w:r>
        <w:rPr>
          <w:color w:val="231F20"/>
          <w:sz w:val="20"/>
        </w:rPr>
        <w:t>opportunities</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prosecution.</w:t>
      </w:r>
    </w:p>
    <w:p w14:paraId="69CAC8D7" w14:textId="77777777" w:rsidR="00894070" w:rsidRDefault="009B7AFD">
      <w:pPr>
        <w:pStyle w:val="ListParagraph"/>
        <w:numPr>
          <w:ilvl w:val="1"/>
          <w:numId w:val="65"/>
        </w:numPr>
        <w:tabs>
          <w:tab w:val="left" w:pos="1801"/>
          <w:tab w:val="left" w:pos="1802"/>
        </w:tabs>
        <w:spacing w:before="126" w:line="206" w:lineRule="auto"/>
        <w:ind w:right="1262"/>
        <w:rPr>
          <w:sz w:val="20"/>
        </w:rPr>
      </w:pPr>
      <w:r>
        <w:rPr>
          <w:color w:val="231F20"/>
          <w:sz w:val="20"/>
        </w:rPr>
        <w:t>Many</w:t>
      </w:r>
      <w:r>
        <w:rPr>
          <w:color w:val="231F20"/>
          <w:spacing w:val="-11"/>
          <w:sz w:val="20"/>
        </w:rPr>
        <w:t xml:space="preserve"> </w:t>
      </w:r>
      <w:r>
        <w:rPr>
          <w:color w:val="231F20"/>
          <w:sz w:val="20"/>
        </w:rPr>
        <w:t>people</w:t>
      </w:r>
      <w:r>
        <w:rPr>
          <w:color w:val="231F20"/>
          <w:spacing w:val="-10"/>
          <w:sz w:val="20"/>
        </w:rPr>
        <w:t xml:space="preserve"> </w:t>
      </w:r>
      <w:r>
        <w:rPr>
          <w:color w:val="231F20"/>
          <w:spacing w:val="-3"/>
          <w:sz w:val="20"/>
        </w:rPr>
        <w:t>told</w:t>
      </w:r>
      <w:r>
        <w:rPr>
          <w:color w:val="231F20"/>
          <w:spacing w:val="-10"/>
          <w:sz w:val="20"/>
        </w:rPr>
        <w:t xml:space="preserve"> </w:t>
      </w:r>
      <w:r>
        <w:rPr>
          <w:color w:val="231F20"/>
          <w:sz w:val="20"/>
        </w:rPr>
        <w:t>us</w:t>
      </w:r>
      <w:r>
        <w:rPr>
          <w:color w:val="231F20"/>
          <w:spacing w:val="-10"/>
          <w:sz w:val="20"/>
        </w:rPr>
        <w:t xml:space="preserve"> </w:t>
      </w:r>
      <w:r>
        <w:rPr>
          <w:color w:val="231F20"/>
          <w:sz w:val="20"/>
        </w:rPr>
        <w:t>that</w:t>
      </w:r>
      <w:r>
        <w:rPr>
          <w:color w:val="231F20"/>
          <w:spacing w:val="-10"/>
          <w:sz w:val="20"/>
        </w:rPr>
        <w:t xml:space="preserve"> </w:t>
      </w:r>
      <w:r>
        <w:rPr>
          <w:color w:val="231F20"/>
          <w:sz w:val="20"/>
        </w:rPr>
        <w:t>the</w:t>
      </w:r>
      <w:r>
        <w:rPr>
          <w:color w:val="231F20"/>
          <w:spacing w:val="-10"/>
          <w:sz w:val="20"/>
        </w:rPr>
        <w:t xml:space="preserve"> </w:t>
      </w:r>
      <w:r>
        <w:rPr>
          <w:color w:val="231F20"/>
          <w:spacing w:val="-3"/>
          <w:sz w:val="20"/>
        </w:rPr>
        <w:t>way</w:t>
      </w:r>
      <w:r>
        <w:rPr>
          <w:color w:val="231F20"/>
          <w:spacing w:val="-10"/>
          <w:sz w:val="20"/>
        </w:rPr>
        <w:t xml:space="preserve"> </w:t>
      </w:r>
      <w:r>
        <w:rPr>
          <w:color w:val="231F20"/>
          <w:sz w:val="20"/>
        </w:rPr>
        <w:t>the</w:t>
      </w:r>
      <w:r>
        <w:rPr>
          <w:color w:val="231F20"/>
          <w:spacing w:val="-10"/>
          <w:sz w:val="20"/>
        </w:rPr>
        <w:t xml:space="preserve"> </w:t>
      </w:r>
      <w:r>
        <w:rPr>
          <w:color w:val="231F20"/>
          <w:sz w:val="20"/>
        </w:rPr>
        <w:t>stalking</w:t>
      </w:r>
      <w:r>
        <w:rPr>
          <w:color w:val="231F20"/>
          <w:spacing w:val="-11"/>
          <w:sz w:val="20"/>
        </w:rPr>
        <w:t xml:space="preserve"> </w:t>
      </w:r>
      <w:r>
        <w:rPr>
          <w:color w:val="231F20"/>
          <w:sz w:val="20"/>
        </w:rPr>
        <w:t>offence</w:t>
      </w:r>
      <w:r>
        <w:rPr>
          <w:color w:val="231F20"/>
          <w:spacing w:val="-10"/>
          <w:sz w:val="20"/>
        </w:rPr>
        <w:t xml:space="preserve"> </w:t>
      </w:r>
      <w:r>
        <w:rPr>
          <w:color w:val="231F20"/>
          <w:sz w:val="20"/>
        </w:rPr>
        <w:t>is</w:t>
      </w:r>
      <w:r>
        <w:rPr>
          <w:color w:val="231F20"/>
          <w:spacing w:val="-10"/>
          <w:sz w:val="20"/>
        </w:rPr>
        <w:t xml:space="preserve"> </w:t>
      </w:r>
      <w:r>
        <w:rPr>
          <w:color w:val="231F20"/>
          <w:sz w:val="20"/>
        </w:rPr>
        <w:t>applied</w:t>
      </w:r>
      <w:r>
        <w:rPr>
          <w:color w:val="231F20"/>
          <w:spacing w:val="-10"/>
          <w:sz w:val="20"/>
        </w:rPr>
        <w:t xml:space="preserve"> </w:t>
      </w:r>
      <w:r>
        <w:rPr>
          <w:color w:val="231F20"/>
          <w:sz w:val="20"/>
        </w:rPr>
        <w:t>should</w:t>
      </w:r>
      <w:r>
        <w:rPr>
          <w:color w:val="231F20"/>
          <w:spacing w:val="-10"/>
          <w:sz w:val="20"/>
        </w:rPr>
        <w:t xml:space="preserve"> </w:t>
      </w:r>
      <w:r>
        <w:rPr>
          <w:color w:val="231F20"/>
          <w:sz w:val="20"/>
        </w:rPr>
        <w:t>be</w:t>
      </w:r>
      <w:r>
        <w:rPr>
          <w:color w:val="231F20"/>
          <w:spacing w:val="-10"/>
          <w:sz w:val="20"/>
        </w:rPr>
        <w:t xml:space="preserve"> </w:t>
      </w:r>
      <w:r>
        <w:rPr>
          <w:color w:val="231F20"/>
          <w:sz w:val="20"/>
        </w:rPr>
        <w:t>improved.</w:t>
      </w:r>
      <w:r>
        <w:rPr>
          <w:color w:val="231F20"/>
          <w:position w:val="7"/>
          <w:sz w:val="11"/>
        </w:rPr>
        <w:t>27</w:t>
      </w:r>
      <w:r>
        <w:rPr>
          <w:color w:val="231F20"/>
          <w:sz w:val="11"/>
        </w:rPr>
        <w:t xml:space="preserve"> </w:t>
      </w:r>
      <w:r>
        <w:rPr>
          <w:color w:val="231F20"/>
          <w:sz w:val="20"/>
        </w:rPr>
        <w:t xml:space="preserve">This can be </w:t>
      </w:r>
      <w:r>
        <w:rPr>
          <w:color w:val="231F20"/>
          <w:spacing w:val="-3"/>
          <w:sz w:val="20"/>
        </w:rPr>
        <w:t xml:space="preserve">mostly achieved through </w:t>
      </w:r>
      <w:r>
        <w:rPr>
          <w:color w:val="231F20"/>
          <w:sz w:val="20"/>
        </w:rPr>
        <w:t>changes in practice (discussed</w:t>
      </w:r>
      <w:r>
        <w:rPr>
          <w:color w:val="231F20"/>
          <w:spacing w:val="-36"/>
          <w:sz w:val="20"/>
        </w:rPr>
        <w:t xml:space="preserve"> </w:t>
      </w:r>
      <w:r>
        <w:rPr>
          <w:color w:val="231F20"/>
          <w:spacing w:val="-4"/>
          <w:sz w:val="20"/>
        </w:rPr>
        <w:t>later).</w:t>
      </w:r>
    </w:p>
    <w:p w14:paraId="2387C556" w14:textId="77777777" w:rsidR="00894070" w:rsidRDefault="00894070">
      <w:pPr>
        <w:pStyle w:val="BodyText"/>
        <w:spacing w:before="9"/>
        <w:rPr>
          <w:sz w:val="15"/>
        </w:rPr>
      </w:pPr>
    </w:p>
    <w:p w14:paraId="2AAA36EE" w14:textId="77777777" w:rsidR="00894070" w:rsidRDefault="009B7AFD">
      <w:pPr>
        <w:pStyle w:val="Heading8"/>
        <w:ind w:left="1007"/>
      </w:pPr>
      <w:r>
        <w:rPr>
          <w:color w:val="231F20"/>
        </w:rPr>
        <w:t>Improving the course of conduct element</w:t>
      </w:r>
    </w:p>
    <w:p w14:paraId="5F0A1543" w14:textId="77777777" w:rsidR="00894070" w:rsidRDefault="009B7AFD">
      <w:pPr>
        <w:pStyle w:val="ListParagraph"/>
        <w:numPr>
          <w:ilvl w:val="1"/>
          <w:numId w:val="65"/>
        </w:numPr>
        <w:tabs>
          <w:tab w:val="left" w:pos="1801"/>
          <w:tab w:val="left" w:pos="1802"/>
        </w:tabs>
        <w:spacing w:before="127" w:line="206" w:lineRule="auto"/>
        <w:ind w:right="1347"/>
        <w:rPr>
          <w:sz w:val="20"/>
        </w:rPr>
      </w:pPr>
      <w:r>
        <w:rPr>
          <w:color w:val="231F20"/>
          <w:sz w:val="20"/>
        </w:rPr>
        <w:t xml:space="preserve">A course of conduct is not defined in the Victorian legislation. Instead, it is </w:t>
      </w:r>
      <w:r>
        <w:rPr>
          <w:color w:val="231F20"/>
          <w:spacing w:val="-3"/>
          <w:sz w:val="20"/>
        </w:rPr>
        <w:t xml:space="preserve">indirectly </w:t>
      </w:r>
      <w:r>
        <w:rPr>
          <w:color w:val="231F20"/>
          <w:sz w:val="20"/>
        </w:rPr>
        <w:t>explained</w:t>
      </w:r>
      <w:r>
        <w:rPr>
          <w:color w:val="231F20"/>
          <w:spacing w:val="-10"/>
          <w:sz w:val="20"/>
        </w:rPr>
        <w:t xml:space="preserve"> </w:t>
      </w:r>
      <w:r>
        <w:rPr>
          <w:color w:val="231F20"/>
          <w:spacing w:val="-3"/>
          <w:sz w:val="20"/>
        </w:rPr>
        <w:t>through</w:t>
      </w:r>
      <w:r>
        <w:rPr>
          <w:color w:val="231F20"/>
          <w:spacing w:val="-10"/>
          <w:sz w:val="20"/>
        </w:rPr>
        <w:t xml:space="preserve"> </w:t>
      </w:r>
      <w:r>
        <w:rPr>
          <w:color w:val="231F20"/>
          <w:sz w:val="20"/>
        </w:rPr>
        <w:t>the</w:t>
      </w:r>
      <w:r>
        <w:rPr>
          <w:color w:val="231F20"/>
          <w:spacing w:val="-10"/>
          <w:sz w:val="20"/>
        </w:rPr>
        <w:t xml:space="preserve"> </w:t>
      </w:r>
      <w:r>
        <w:rPr>
          <w:color w:val="231F20"/>
          <w:sz w:val="20"/>
        </w:rPr>
        <w:t>behaviours</w:t>
      </w:r>
      <w:r>
        <w:rPr>
          <w:color w:val="231F20"/>
          <w:spacing w:val="-9"/>
          <w:sz w:val="20"/>
        </w:rPr>
        <w:t xml:space="preserve"> </w:t>
      </w:r>
      <w:r>
        <w:rPr>
          <w:color w:val="231F20"/>
          <w:sz w:val="20"/>
        </w:rPr>
        <w:t>listed</w:t>
      </w:r>
      <w:r>
        <w:rPr>
          <w:color w:val="231F20"/>
          <w:spacing w:val="-10"/>
          <w:sz w:val="20"/>
        </w:rPr>
        <w:t xml:space="preserve"> </w:t>
      </w:r>
      <w:r>
        <w:rPr>
          <w:color w:val="231F20"/>
          <w:sz w:val="20"/>
        </w:rPr>
        <w:t>(Appendix</w:t>
      </w:r>
      <w:r>
        <w:rPr>
          <w:color w:val="231F20"/>
          <w:spacing w:val="-10"/>
          <w:sz w:val="20"/>
        </w:rPr>
        <w:t xml:space="preserve"> </w:t>
      </w:r>
      <w:r>
        <w:rPr>
          <w:color w:val="231F20"/>
          <w:sz w:val="20"/>
        </w:rPr>
        <w:t>C).</w:t>
      </w:r>
      <w:r>
        <w:rPr>
          <w:color w:val="231F20"/>
          <w:position w:val="7"/>
          <w:sz w:val="11"/>
        </w:rPr>
        <w:t>28</w:t>
      </w:r>
      <w:r>
        <w:rPr>
          <w:color w:val="231F20"/>
          <w:spacing w:val="14"/>
          <w:position w:val="7"/>
          <w:sz w:val="11"/>
        </w:rPr>
        <w:t xml:space="preserve"> </w:t>
      </w:r>
      <w:r>
        <w:rPr>
          <w:color w:val="231F20"/>
          <w:sz w:val="20"/>
        </w:rPr>
        <w:t>But</w:t>
      </w:r>
      <w:r>
        <w:rPr>
          <w:color w:val="231F20"/>
          <w:spacing w:val="-9"/>
          <w:sz w:val="20"/>
        </w:rPr>
        <w:t xml:space="preserve"> </w:t>
      </w:r>
      <w:r>
        <w:rPr>
          <w:color w:val="231F20"/>
          <w:sz w:val="20"/>
        </w:rPr>
        <w:t>case</w:t>
      </w:r>
      <w:r>
        <w:rPr>
          <w:color w:val="231F20"/>
          <w:spacing w:val="-10"/>
          <w:sz w:val="20"/>
        </w:rPr>
        <w:t xml:space="preserve"> </w:t>
      </w:r>
      <w:r>
        <w:rPr>
          <w:color w:val="231F20"/>
          <w:sz w:val="20"/>
        </w:rPr>
        <w:t>law</w:t>
      </w:r>
      <w:r>
        <w:rPr>
          <w:color w:val="231F20"/>
          <w:spacing w:val="-10"/>
          <w:sz w:val="20"/>
        </w:rPr>
        <w:t xml:space="preserve"> </w:t>
      </w:r>
      <w:r>
        <w:rPr>
          <w:color w:val="231F20"/>
          <w:sz w:val="20"/>
        </w:rPr>
        <w:t>defines</w:t>
      </w:r>
      <w:r>
        <w:rPr>
          <w:color w:val="231F20"/>
          <w:spacing w:val="-9"/>
          <w:sz w:val="20"/>
        </w:rPr>
        <w:t xml:space="preserve"> </w:t>
      </w:r>
      <w:r>
        <w:rPr>
          <w:color w:val="231F20"/>
          <w:sz w:val="20"/>
        </w:rPr>
        <w:t>the</w:t>
      </w:r>
      <w:r>
        <w:rPr>
          <w:color w:val="231F20"/>
          <w:spacing w:val="-10"/>
          <w:sz w:val="20"/>
        </w:rPr>
        <w:t xml:space="preserve"> </w:t>
      </w:r>
      <w:r>
        <w:rPr>
          <w:color w:val="231F20"/>
          <w:sz w:val="20"/>
        </w:rPr>
        <w:t>term ‘course of conduct’ to</w:t>
      </w:r>
      <w:r>
        <w:rPr>
          <w:color w:val="231F20"/>
          <w:spacing w:val="-18"/>
          <w:sz w:val="20"/>
        </w:rPr>
        <w:t xml:space="preserve"> </w:t>
      </w:r>
      <w:r>
        <w:rPr>
          <w:color w:val="231F20"/>
          <w:sz w:val="20"/>
        </w:rPr>
        <w:t>mean:</w:t>
      </w:r>
    </w:p>
    <w:p w14:paraId="20DE8C26" w14:textId="77777777" w:rsidR="00894070" w:rsidRDefault="009B7AFD">
      <w:pPr>
        <w:pStyle w:val="ListParagraph"/>
        <w:numPr>
          <w:ilvl w:val="2"/>
          <w:numId w:val="65"/>
        </w:numPr>
        <w:tabs>
          <w:tab w:val="left" w:pos="2141"/>
          <w:tab w:val="left" w:pos="2142"/>
        </w:tabs>
        <w:spacing w:before="124" w:line="206" w:lineRule="auto"/>
        <w:ind w:right="1802" w:hanging="340"/>
        <w:rPr>
          <w:sz w:val="11"/>
        </w:rPr>
      </w:pPr>
      <w:r>
        <w:rPr>
          <w:color w:val="231F20"/>
          <w:sz w:val="20"/>
        </w:rPr>
        <w:t>acts</w:t>
      </w:r>
      <w:r>
        <w:rPr>
          <w:color w:val="231F20"/>
          <w:spacing w:val="-9"/>
          <w:sz w:val="20"/>
        </w:rPr>
        <w:t xml:space="preserve"> </w:t>
      </w:r>
      <w:r>
        <w:rPr>
          <w:color w:val="231F20"/>
          <w:sz w:val="20"/>
        </w:rPr>
        <w:t>committed</w:t>
      </w:r>
      <w:r>
        <w:rPr>
          <w:color w:val="231F20"/>
          <w:spacing w:val="-8"/>
          <w:sz w:val="20"/>
        </w:rPr>
        <w:t xml:space="preserve"> </w:t>
      </w:r>
      <w:r>
        <w:rPr>
          <w:color w:val="231F20"/>
          <w:sz w:val="20"/>
        </w:rPr>
        <w:t>on</w:t>
      </w:r>
      <w:r>
        <w:rPr>
          <w:color w:val="231F20"/>
          <w:spacing w:val="-9"/>
          <w:sz w:val="20"/>
        </w:rPr>
        <w:t xml:space="preserve"> </w:t>
      </w:r>
      <w:r>
        <w:rPr>
          <w:color w:val="231F20"/>
          <w:sz w:val="20"/>
        </w:rPr>
        <w:t>at</w:t>
      </w:r>
      <w:r>
        <w:rPr>
          <w:color w:val="231F20"/>
          <w:spacing w:val="-8"/>
          <w:sz w:val="20"/>
        </w:rPr>
        <w:t xml:space="preserve"> </w:t>
      </w:r>
      <w:r>
        <w:rPr>
          <w:color w:val="231F20"/>
          <w:sz w:val="20"/>
        </w:rPr>
        <w:t>least</w:t>
      </w:r>
      <w:r>
        <w:rPr>
          <w:color w:val="231F20"/>
          <w:spacing w:val="-8"/>
          <w:sz w:val="20"/>
        </w:rPr>
        <w:t xml:space="preserve"> </w:t>
      </w:r>
      <w:r>
        <w:rPr>
          <w:color w:val="231F20"/>
          <w:sz w:val="20"/>
        </w:rPr>
        <w:t>two</w:t>
      </w:r>
      <w:r>
        <w:rPr>
          <w:color w:val="231F20"/>
          <w:spacing w:val="-9"/>
          <w:sz w:val="20"/>
        </w:rPr>
        <w:t xml:space="preserve"> </w:t>
      </w:r>
      <w:r>
        <w:rPr>
          <w:color w:val="231F20"/>
          <w:sz w:val="20"/>
        </w:rPr>
        <w:t>occasions</w:t>
      </w:r>
      <w:r>
        <w:rPr>
          <w:color w:val="231F20"/>
          <w:spacing w:val="-8"/>
          <w:sz w:val="20"/>
        </w:rPr>
        <w:t xml:space="preserve"> </w:t>
      </w:r>
      <w:r>
        <w:rPr>
          <w:color w:val="231F20"/>
          <w:sz w:val="20"/>
        </w:rPr>
        <w:t>or</w:t>
      </w:r>
      <w:r>
        <w:rPr>
          <w:color w:val="231F20"/>
          <w:spacing w:val="-9"/>
          <w:sz w:val="20"/>
        </w:rPr>
        <w:t xml:space="preserve"> </w:t>
      </w:r>
      <w:r>
        <w:rPr>
          <w:color w:val="231F20"/>
          <w:sz w:val="20"/>
        </w:rPr>
        <w:t>a</w:t>
      </w:r>
      <w:r>
        <w:rPr>
          <w:color w:val="231F20"/>
          <w:spacing w:val="-8"/>
          <w:sz w:val="20"/>
        </w:rPr>
        <w:t xml:space="preserve"> </w:t>
      </w:r>
      <w:r>
        <w:rPr>
          <w:color w:val="231F20"/>
          <w:sz w:val="20"/>
        </w:rPr>
        <w:t>single</w:t>
      </w:r>
      <w:r>
        <w:rPr>
          <w:color w:val="231F20"/>
          <w:spacing w:val="-8"/>
          <w:sz w:val="20"/>
        </w:rPr>
        <w:t xml:space="preserve"> </w:t>
      </w:r>
      <w:r>
        <w:rPr>
          <w:color w:val="231F20"/>
          <w:spacing w:val="-3"/>
          <w:sz w:val="20"/>
        </w:rPr>
        <w:t>‘protracted’</w:t>
      </w:r>
      <w:r>
        <w:rPr>
          <w:color w:val="231F20"/>
          <w:spacing w:val="-9"/>
          <w:sz w:val="20"/>
        </w:rPr>
        <w:t xml:space="preserve"> </w:t>
      </w:r>
      <w:r>
        <w:rPr>
          <w:color w:val="231F20"/>
          <w:sz w:val="20"/>
        </w:rPr>
        <w:t>incident</w:t>
      </w:r>
      <w:r>
        <w:rPr>
          <w:color w:val="231F20"/>
          <w:spacing w:val="-8"/>
          <w:sz w:val="20"/>
        </w:rPr>
        <w:t xml:space="preserve"> </w:t>
      </w:r>
      <w:r>
        <w:rPr>
          <w:color w:val="231F20"/>
          <w:spacing w:val="-4"/>
          <w:sz w:val="20"/>
        </w:rPr>
        <w:t xml:space="preserve">(for </w:t>
      </w:r>
      <w:r>
        <w:rPr>
          <w:color w:val="231F20"/>
          <w:spacing w:val="-3"/>
          <w:sz w:val="20"/>
        </w:rPr>
        <w:t xml:space="preserve">example, </w:t>
      </w:r>
      <w:r>
        <w:rPr>
          <w:color w:val="231F20"/>
          <w:sz w:val="20"/>
        </w:rPr>
        <w:t>an extended act of</w:t>
      </w:r>
      <w:r>
        <w:rPr>
          <w:color w:val="231F20"/>
          <w:spacing w:val="-20"/>
          <w:sz w:val="20"/>
        </w:rPr>
        <w:t xml:space="preserve"> </w:t>
      </w:r>
      <w:r>
        <w:rPr>
          <w:color w:val="231F20"/>
          <w:sz w:val="20"/>
        </w:rPr>
        <w:t>surveillance)</w:t>
      </w:r>
      <w:r>
        <w:rPr>
          <w:color w:val="231F20"/>
          <w:position w:val="7"/>
          <w:sz w:val="11"/>
        </w:rPr>
        <w:t>29</w:t>
      </w:r>
    </w:p>
    <w:p w14:paraId="14B35B5C" w14:textId="77777777" w:rsidR="00894070" w:rsidRDefault="009B7AFD">
      <w:pPr>
        <w:pStyle w:val="ListParagraph"/>
        <w:numPr>
          <w:ilvl w:val="2"/>
          <w:numId w:val="65"/>
        </w:numPr>
        <w:tabs>
          <w:tab w:val="left" w:pos="2141"/>
          <w:tab w:val="left" w:pos="2142"/>
        </w:tabs>
        <w:spacing w:before="88" w:line="206" w:lineRule="auto"/>
        <w:ind w:right="1779" w:hanging="340"/>
        <w:rPr>
          <w:sz w:val="11"/>
        </w:rPr>
      </w:pPr>
      <w:r>
        <w:rPr>
          <w:color w:val="231F20"/>
          <w:sz w:val="20"/>
        </w:rPr>
        <w:t>a</w:t>
      </w:r>
      <w:r>
        <w:rPr>
          <w:color w:val="231F20"/>
          <w:spacing w:val="-10"/>
          <w:sz w:val="20"/>
        </w:rPr>
        <w:t xml:space="preserve"> </w:t>
      </w:r>
      <w:r>
        <w:rPr>
          <w:color w:val="231F20"/>
          <w:sz w:val="20"/>
        </w:rPr>
        <w:t>pattern</w:t>
      </w:r>
      <w:r>
        <w:rPr>
          <w:color w:val="231F20"/>
          <w:spacing w:val="-10"/>
          <w:sz w:val="20"/>
        </w:rPr>
        <w:t xml:space="preserve"> </w:t>
      </w:r>
      <w:r>
        <w:rPr>
          <w:color w:val="231F20"/>
          <w:sz w:val="20"/>
        </w:rPr>
        <w:t>of</w:t>
      </w:r>
      <w:r>
        <w:rPr>
          <w:color w:val="231F20"/>
          <w:spacing w:val="-10"/>
          <w:sz w:val="20"/>
        </w:rPr>
        <w:t xml:space="preserve"> </w:t>
      </w:r>
      <w:r>
        <w:rPr>
          <w:color w:val="231F20"/>
          <w:sz w:val="20"/>
        </w:rPr>
        <w:t>conduct</w:t>
      </w:r>
      <w:r>
        <w:rPr>
          <w:color w:val="231F20"/>
          <w:spacing w:val="-10"/>
          <w:sz w:val="20"/>
        </w:rPr>
        <w:t xml:space="preserve"> </w:t>
      </w:r>
      <w:r>
        <w:rPr>
          <w:color w:val="231F20"/>
          <w:sz w:val="20"/>
        </w:rPr>
        <w:t>showing</w:t>
      </w:r>
      <w:r>
        <w:rPr>
          <w:color w:val="231F20"/>
          <w:spacing w:val="-10"/>
          <w:sz w:val="20"/>
        </w:rPr>
        <w:t xml:space="preserve"> </w:t>
      </w:r>
      <w:r>
        <w:rPr>
          <w:color w:val="231F20"/>
          <w:sz w:val="20"/>
        </w:rPr>
        <w:t>a</w:t>
      </w:r>
      <w:r>
        <w:rPr>
          <w:color w:val="231F20"/>
          <w:spacing w:val="-10"/>
          <w:sz w:val="20"/>
        </w:rPr>
        <w:t xml:space="preserve"> </w:t>
      </w:r>
      <w:r>
        <w:rPr>
          <w:color w:val="231F20"/>
          <w:spacing w:val="-3"/>
          <w:sz w:val="20"/>
        </w:rPr>
        <w:t>‘continuity</w:t>
      </w:r>
      <w:r>
        <w:rPr>
          <w:color w:val="231F20"/>
          <w:spacing w:val="-10"/>
          <w:sz w:val="20"/>
        </w:rPr>
        <w:t xml:space="preserve"> </w:t>
      </w:r>
      <w:r>
        <w:rPr>
          <w:color w:val="231F20"/>
          <w:sz w:val="20"/>
        </w:rPr>
        <w:t>of</w:t>
      </w:r>
      <w:r>
        <w:rPr>
          <w:color w:val="231F20"/>
          <w:spacing w:val="-10"/>
          <w:sz w:val="20"/>
        </w:rPr>
        <w:t xml:space="preserve"> </w:t>
      </w:r>
      <w:r>
        <w:rPr>
          <w:color w:val="231F20"/>
          <w:sz w:val="20"/>
        </w:rPr>
        <w:t>purpose’</w:t>
      </w:r>
      <w:r>
        <w:rPr>
          <w:color w:val="231F20"/>
          <w:spacing w:val="-10"/>
          <w:sz w:val="20"/>
        </w:rPr>
        <w:t xml:space="preserve"> </w:t>
      </w:r>
      <w:r>
        <w:rPr>
          <w:color w:val="231F20"/>
          <w:sz w:val="20"/>
        </w:rPr>
        <w:t>in</w:t>
      </w:r>
      <w:r>
        <w:rPr>
          <w:color w:val="231F20"/>
          <w:spacing w:val="-10"/>
          <w:sz w:val="20"/>
        </w:rPr>
        <w:t xml:space="preserve"> </w:t>
      </w:r>
      <w:r>
        <w:rPr>
          <w:color w:val="231F20"/>
          <w:sz w:val="20"/>
        </w:rPr>
        <w:t>relation</w:t>
      </w:r>
      <w:r>
        <w:rPr>
          <w:color w:val="231F20"/>
          <w:spacing w:val="-10"/>
          <w:sz w:val="20"/>
        </w:rPr>
        <w:t xml:space="preserve"> </w:t>
      </w:r>
      <w:r>
        <w:rPr>
          <w:color w:val="231F20"/>
          <w:sz w:val="20"/>
        </w:rPr>
        <w:t>to</w:t>
      </w:r>
      <w:r>
        <w:rPr>
          <w:color w:val="231F20"/>
          <w:spacing w:val="-9"/>
          <w:sz w:val="20"/>
        </w:rPr>
        <w:t xml:space="preserve"> </w:t>
      </w:r>
      <w:r>
        <w:rPr>
          <w:color w:val="231F20"/>
          <w:sz w:val="20"/>
        </w:rPr>
        <w:t>the</w:t>
      </w:r>
      <w:r>
        <w:rPr>
          <w:color w:val="231F20"/>
          <w:spacing w:val="-10"/>
          <w:sz w:val="20"/>
        </w:rPr>
        <w:t xml:space="preserve"> </w:t>
      </w:r>
      <w:r>
        <w:rPr>
          <w:color w:val="231F20"/>
          <w:sz w:val="20"/>
        </w:rPr>
        <w:t xml:space="preserve">victim </w:t>
      </w:r>
      <w:r>
        <w:rPr>
          <w:color w:val="231F20"/>
          <w:spacing w:val="-3"/>
          <w:sz w:val="20"/>
        </w:rPr>
        <w:t>survivor.</w:t>
      </w:r>
      <w:r>
        <w:rPr>
          <w:color w:val="231F20"/>
          <w:spacing w:val="-3"/>
          <w:position w:val="7"/>
          <w:sz w:val="11"/>
        </w:rPr>
        <w:t>30</w:t>
      </w:r>
    </w:p>
    <w:p w14:paraId="3FC48BD3" w14:textId="77777777" w:rsidR="00894070" w:rsidRDefault="009B7AFD">
      <w:pPr>
        <w:pStyle w:val="ListParagraph"/>
        <w:numPr>
          <w:ilvl w:val="1"/>
          <w:numId w:val="65"/>
        </w:numPr>
        <w:tabs>
          <w:tab w:val="left" w:pos="1801"/>
          <w:tab w:val="left" w:pos="1802"/>
        </w:tabs>
        <w:spacing w:before="87" w:line="206" w:lineRule="auto"/>
        <w:ind w:right="1230"/>
        <w:rPr>
          <w:sz w:val="11"/>
        </w:rPr>
      </w:pPr>
      <w:r>
        <w:rPr>
          <w:color w:val="231F20"/>
          <w:spacing w:val="-6"/>
          <w:sz w:val="20"/>
        </w:rPr>
        <w:t>We</w:t>
      </w:r>
      <w:r>
        <w:rPr>
          <w:color w:val="231F20"/>
          <w:spacing w:val="-10"/>
          <w:sz w:val="20"/>
        </w:rPr>
        <w:t xml:space="preserve"> </w:t>
      </w:r>
      <w:r>
        <w:rPr>
          <w:color w:val="231F20"/>
          <w:sz w:val="20"/>
        </w:rPr>
        <w:t>recommend</w:t>
      </w:r>
      <w:r>
        <w:rPr>
          <w:color w:val="231F20"/>
          <w:spacing w:val="-10"/>
          <w:sz w:val="20"/>
        </w:rPr>
        <w:t xml:space="preserve"> </w:t>
      </w:r>
      <w:r>
        <w:rPr>
          <w:color w:val="231F20"/>
          <w:sz w:val="20"/>
        </w:rPr>
        <w:t>adding</w:t>
      </w:r>
      <w:r>
        <w:rPr>
          <w:color w:val="231F20"/>
          <w:spacing w:val="-10"/>
          <w:sz w:val="20"/>
        </w:rPr>
        <w:t xml:space="preserve"> </w:t>
      </w:r>
      <w:r>
        <w:rPr>
          <w:color w:val="231F20"/>
          <w:sz w:val="20"/>
        </w:rPr>
        <w:t>these</w:t>
      </w:r>
      <w:r>
        <w:rPr>
          <w:color w:val="231F20"/>
          <w:spacing w:val="-10"/>
          <w:sz w:val="20"/>
        </w:rPr>
        <w:t xml:space="preserve"> </w:t>
      </w:r>
      <w:r>
        <w:rPr>
          <w:color w:val="231F20"/>
          <w:sz w:val="20"/>
        </w:rPr>
        <w:t>case</w:t>
      </w:r>
      <w:r>
        <w:rPr>
          <w:color w:val="231F20"/>
          <w:spacing w:val="-10"/>
          <w:sz w:val="20"/>
        </w:rPr>
        <w:t xml:space="preserve"> </w:t>
      </w:r>
      <w:r>
        <w:rPr>
          <w:color w:val="231F20"/>
          <w:sz w:val="20"/>
        </w:rPr>
        <w:t>law</w:t>
      </w:r>
      <w:r>
        <w:rPr>
          <w:color w:val="231F20"/>
          <w:spacing w:val="-10"/>
          <w:sz w:val="20"/>
        </w:rPr>
        <w:t xml:space="preserve"> </w:t>
      </w:r>
      <w:r>
        <w:rPr>
          <w:color w:val="231F20"/>
          <w:sz w:val="20"/>
        </w:rPr>
        <w:t>principles</w:t>
      </w:r>
      <w:r>
        <w:rPr>
          <w:color w:val="231F20"/>
          <w:spacing w:val="-10"/>
          <w:sz w:val="20"/>
        </w:rPr>
        <w:t xml:space="preserve"> </w:t>
      </w:r>
      <w:r>
        <w:rPr>
          <w:color w:val="231F20"/>
          <w:spacing w:val="-3"/>
          <w:sz w:val="20"/>
        </w:rPr>
        <w:t>into</w:t>
      </w:r>
      <w:r>
        <w:rPr>
          <w:color w:val="231F20"/>
          <w:spacing w:val="-9"/>
          <w:sz w:val="20"/>
        </w:rPr>
        <w:t xml:space="preserve"> </w:t>
      </w:r>
      <w:r>
        <w:rPr>
          <w:color w:val="231F20"/>
          <w:sz w:val="20"/>
        </w:rPr>
        <w:t>the</w:t>
      </w:r>
      <w:r>
        <w:rPr>
          <w:color w:val="231F20"/>
          <w:spacing w:val="-10"/>
          <w:sz w:val="20"/>
        </w:rPr>
        <w:t xml:space="preserve"> </w:t>
      </w:r>
      <w:r>
        <w:rPr>
          <w:color w:val="231F20"/>
          <w:sz w:val="20"/>
        </w:rPr>
        <w:t>legislation</w:t>
      </w:r>
      <w:r>
        <w:rPr>
          <w:color w:val="231F20"/>
          <w:spacing w:val="-10"/>
          <w:sz w:val="20"/>
        </w:rPr>
        <w:t xml:space="preserve"> </w:t>
      </w:r>
      <w:r>
        <w:rPr>
          <w:color w:val="231F20"/>
          <w:sz w:val="20"/>
        </w:rPr>
        <w:t>to</w:t>
      </w:r>
      <w:r>
        <w:rPr>
          <w:color w:val="231F20"/>
          <w:spacing w:val="-10"/>
          <w:sz w:val="20"/>
        </w:rPr>
        <w:t xml:space="preserve"> </w:t>
      </w:r>
      <w:r>
        <w:rPr>
          <w:color w:val="231F20"/>
          <w:sz w:val="20"/>
        </w:rPr>
        <w:t>help</w:t>
      </w:r>
      <w:r>
        <w:rPr>
          <w:color w:val="231F20"/>
          <w:spacing w:val="-10"/>
          <w:sz w:val="20"/>
        </w:rPr>
        <w:t xml:space="preserve"> </w:t>
      </w:r>
      <w:r>
        <w:rPr>
          <w:color w:val="231F20"/>
          <w:sz w:val="20"/>
        </w:rPr>
        <w:t>clarify</w:t>
      </w:r>
      <w:r>
        <w:rPr>
          <w:color w:val="231F20"/>
          <w:spacing w:val="-10"/>
          <w:sz w:val="20"/>
        </w:rPr>
        <w:t xml:space="preserve"> </w:t>
      </w:r>
      <w:r>
        <w:rPr>
          <w:color w:val="231F20"/>
          <w:sz w:val="20"/>
        </w:rPr>
        <w:t>the course</w:t>
      </w:r>
      <w:r>
        <w:rPr>
          <w:color w:val="231F20"/>
          <w:spacing w:val="-9"/>
          <w:sz w:val="20"/>
        </w:rPr>
        <w:t xml:space="preserve"> </w:t>
      </w:r>
      <w:r>
        <w:rPr>
          <w:color w:val="231F20"/>
          <w:sz w:val="20"/>
        </w:rPr>
        <w:t>of</w:t>
      </w:r>
      <w:r>
        <w:rPr>
          <w:color w:val="231F20"/>
          <w:spacing w:val="-8"/>
          <w:sz w:val="20"/>
        </w:rPr>
        <w:t xml:space="preserve"> </w:t>
      </w:r>
      <w:r>
        <w:rPr>
          <w:color w:val="231F20"/>
          <w:sz w:val="20"/>
        </w:rPr>
        <w:t>conduct</w:t>
      </w:r>
      <w:r>
        <w:rPr>
          <w:color w:val="231F20"/>
          <w:spacing w:val="-8"/>
          <w:sz w:val="20"/>
        </w:rPr>
        <w:t xml:space="preserve"> </w:t>
      </w:r>
      <w:r>
        <w:rPr>
          <w:color w:val="231F20"/>
          <w:sz w:val="20"/>
        </w:rPr>
        <w:t>element.</w:t>
      </w:r>
      <w:r>
        <w:rPr>
          <w:color w:val="231F20"/>
          <w:spacing w:val="-8"/>
          <w:sz w:val="20"/>
        </w:rPr>
        <w:t xml:space="preserve"> </w:t>
      </w:r>
      <w:r>
        <w:rPr>
          <w:color w:val="231F20"/>
          <w:sz w:val="20"/>
        </w:rPr>
        <w:t>As</w:t>
      </w:r>
      <w:r>
        <w:rPr>
          <w:color w:val="231F20"/>
          <w:spacing w:val="-8"/>
          <w:sz w:val="20"/>
        </w:rPr>
        <w:t xml:space="preserve"> </w:t>
      </w:r>
      <w:r>
        <w:rPr>
          <w:color w:val="231F20"/>
          <w:sz w:val="20"/>
        </w:rPr>
        <w:t>Victoria</w:t>
      </w:r>
      <w:r>
        <w:rPr>
          <w:color w:val="231F20"/>
          <w:spacing w:val="-8"/>
          <w:sz w:val="20"/>
        </w:rPr>
        <w:t xml:space="preserve"> </w:t>
      </w:r>
      <w:r>
        <w:rPr>
          <w:color w:val="231F20"/>
          <w:sz w:val="20"/>
        </w:rPr>
        <w:t>Legal</w:t>
      </w:r>
      <w:r>
        <w:rPr>
          <w:color w:val="231F20"/>
          <w:spacing w:val="-8"/>
          <w:sz w:val="20"/>
        </w:rPr>
        <w:t xml:space="preserve"> </w:t>
      </w:r>
      <w:r>
        <w:rPr>
          <w:color w:val="231F20"/>
          <w:sz w:val="20"/>
        </w:rPr>
        <w:t>Aid</w:t>
      </w:r>
      <w:r>
        <w:rPr>
          <w:color w:val="231F20"/>
          <w:spacing w:val="-8"/>
          <w:sz w:val="20"/>
        </w:rPr>
        <w:t xml:space="preserve"> </w:t>
      </w:r>
      <w:r>
        <w:rPr>
          <w:color w:val="231F20"/>
          <w:spacing w:val="-3"/>
          <w:sz w:val="20"/>
        </w:rPr>
        <w:t>told</w:t>
      </w:r>
      <w:r>
        <w:rPr>
          <w:color w:val="231F20"/>
          <w:spacing w:val="-8"/>
          <w:sz w:val="20"/>
        </w:rPr>
        <w:t xml:space="preserve"> </w:t>
      </w:r>
      <w:r>
        <w:rPr>
          <w:color w:val="231F20"/>
          <w:sz w:val="20"/>
        </w:rPr>
        <w:t>us</w:t>
      </w:r>
      <w:r>
        <w:rPr>
          <w:color w:val="231F20"/>
          <w:spacing w:val="-8"/>
          <w:sz w:val="20"/>
        </w:rPr>
        <w:t xml:space="preserve"> </w:t>
      </w:r>
      <w:r>
        <w:rPr>
          <w:color w:val="231F20"/>
          <w:sz w:val="20"/>
        </w:rPr>
        <w:t>in</w:t>
      </w:r>
      <w:r>
        <w:rPr>
          <w:color w:val="231F20"/>
          <w:spacing w:val="-8"/>
          <w:sz w:val="20"/>
        </w:rPr>
        <w:t xml:space="preserve"> </w:t>
      </w:r>
      <w:r>
        <w:rPr>
          <w:color w:val="231F20"/>
          <w:sz w:val="20"/>
        </w:rPr>
        <w:t>relation</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requirement for</w:t>
      </w:r>
      <w:r>
        <w:rPr>
          <w:color w:val="231F20"/>
          <w:spacing w:val="-7"/>
          <w:sz w:val="20"/>
        </w:rPr>
        <w:t xml:space="preserve"> </w:t>
      </w:r>
      <w:r>
        <w:rPr>
          <w:color w:val="231F20"/>
          <w:spacing w:val="-3"/>
          <w:sz w:val="20"/>
        </w:rPr>
        <w:t>repeated</w:t>
      </w:r>
      <w:r>
        <w:rPr>
          <w:color w:val="231F20"/>
          <w:spacing w:val="-7"/>
          <w:sz w:val="20"/>
        </w:rPr>
        <w:t xml:space="preserve"> </w:t>
      </w:r>
      <w:r>
        <w:rPr>
          <w:color w:val="231F20"/>
          <w:sz w:val="20"/>
        </w:rPr>
        <w:t>acts,</w:t>
      </w:r>
      <w:r>
        <w:rPr>
          <w:color w:val="231F20"/>
          <w:spacing w:val="-7"/>
          <w:sz w:val="20"/>
        </w:rPr>
        <w:t xml:space="preserve"> </w:t>
      </w:r>
      <w:r>
        <w:rPr>
          <w:color w:val="231F20"/>
          <w:sz w:val="20"/>
        </w:rPr>
        <w:t>‘it</w:t>
      </w:r>
      <w:r>
        <w:rPr>
          <w:color w:val="231F20"/>
          <w:spacing w:val="-6"/>
          <w:sz w:val="20"/>
        </w:rPr>
        <w:t xml:space="preserve"> </w:t>
      </w:r>
      <w:r>
        <w:rPr>
          <w:color w:val="231F20"/>
          <w:spacing w:val="-3"/>
          <w:sz w:val="20"/>
        </w:rPr>
        <w:t>may</w:t>
      </w:r>
      <w:r>
        <w:rPr>
          <w:color w:val="231F20"/>
          <w:spacing w:val="-7"/>
          <w:sz w:val="20"/>
        </w:rPr>
        <w:t xml:space="preserve"> </w:t>
      </w:r>
      <w:r>
        <w:rPr>
          <w:color w:val="231F20"/>
          <w:sz w:val="20"/>
        </w:rPr>
        <w:t>be</w:t>
      </w:r>
      <w:r>
        <w:rPr>
          <w:color w:val="231F20"/>
          <w:spacing w:val="-7"/>
          <w:sz w:val="20"/>
        </w:rPr>
        <w:t xml:space="preserve"> </w:t>
      </w:r>
      <w:r>
        <w:rPr>
          <w:color w:val="231F20"/>
          <w:sz w:val="20"/>
        </w:rPr>
        <w:t>helpful</w:t>
      </w:r>
      <w:r>
        <w:rPr>
          <w:color w:val="231F20"/>
          <w:spacing w:val="-7"/>
          <w:sz w:val="20"/>
        </w:rPr>
        <w:t xml:space="preserve"> </w:t>
      </w:r>
      <w:r>
        <w:rPr>
          <w:color w:val="231F20"/>
          <w:sz w:val="20"/>
        </w:rPr>
        <w:t>to</w:t>
      </w:r>
      <w:r>
        <w:rPr>
          <w:color w:val="231F20"/>
          <w:spacing w:val="-6"/>
          <w:sz w:val="20"/>
        </w:rPr>
        <w:t xml:space="preserve"> </w:t>
      </w:r>
      <w:r>
        <w:rPr>
          <w:color w:val="231F20"/>
          <w:sz w:val="20"/>
        </w:rPr>
        <w:t>make</w:t>
      </w:r>
      <w:r>
        <w:rPr>
          <w:color w:val="231F20"/>
          <w:spacing w:val="-7"/>
          <w:sz w:val="20"/>
        </w:rPr>
        <w:t xml:space="preserve"> </w:t>
      </w:r>
      <w:r>
        <w:rPr>
          <w:color w:val="231F20"/>
          <w:sz w:val="20"/>
        </w:rPr>
        <w:t>this</w:t>
      </w:r>
      <w:r>
        <w:rPr>
          <w:color w:val="231F20"/>
          <w:spacing w:val="-7"/>
          <w:sz w:val="20"/>
        </w:rPr>
        <w:t xml:space="preserve"> </w:t>
      </w:r>
      <w:r>
        <w:rPr>
          <w:color w:val="231F20"/>
          <w:sz w:val="20"/>
        </w:rPr>
        <w:t>more</w:t>
      </w:r>
      <w:r>
        <w:rPr>
          <w:color w:val="231F20"/>
          <w:spacing w:val="-7"/>
          <w:sz w:val="20"/>
        </w:rPr>
        <w:t xml:space="preserve"> </w:t>
      </w:r>
      <w:r>
        <w:rPr>
          <w:color w:val="231F20"/>
          <w:sz w:val="20"/>
        </w:rPr>
        <w:t>explicit</w:t>
      </w:r>
      <w:r>
        <w:rPr>
          <w:color w:val="231F20"/>
          <w:spacing w:val="-6"/>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legislation.’</w:t>
      </w:r>
      <w:r>
        <w:rPr>
          <w:color w:val="231F20"/>
          <w:position w:val="7"/>
          <w:sz w:val="11"/>
        </w:rPr>
        <w:t>31</w:t>
      </w:r>
    </w:p>
    <w:p w14:paraId="7234E85A" w14:textId="77777777" w:rsidR="00894070" w:rsidRDefault="009B7AFD">
      <w:pPr>
        <w:pStyle w:val="ListParagraph"/>
        <w:numPr>
          <w:ilvl w:val="1"/>
          <w:numId w:val="65"/>
        </w:numPr>
        <w:tabs>
          <w:tab w:val="left" w:pos="1801"/>
          <w:tab w:val="left" w:pos="1802"/>
        </w:tabs>
        <w:spacing w:before="92"/>
        <w:rPr>
          <w:sz w:val="20"/>
        </w:rPr>
      </w:pPr>
      <w:r>
        <w:rPr>
          <w:color w:val="231F20"/>
          <w:sz w:val="20"/>
        </w:rPr>
        <w:t>Domestic Violence Victoria</w:t>
      </w:r>
      <w:r>
        <w:rPr>
          <w:color w:val="231F20"/>
          <w:spacing w:val="-14"/>
          <w:sz w:val="20"/>
        </w:rPr>
        <w:t xml:space="preserve"> </w:t>
      </w:r>
      <w:r>
        <w:rPr>
          <w:color w:val="231F20"/>
          <w:sz w:val="20"/>
        </w:rPr>
        <w:t>suggested:</w:t>
      </w:r>
    </w:p>
    <w:p w14:paraId="72C2C891" w14:textId="77777777" w:rsidR="00894070" w:rsidRDefault="009B7AFD">
      <w:pPr>
        <w:spacing w:before="112" w:line="208" w:lineRule="auto"/>
        <w:ind w:left="2254" w:right="1110"/>
        <w:rPr>
          <w:sz w:val="11"/>
        </w:rPr>
      </w:pPr>
      <w:r>
        <w:rPr>
          <w:color w:val="231F20"/>
          <w:sz w:val="19"/>
        </w:rPr>
        <w:t>It may be useful to bring the case law principles that sit behind the law into the legislation to improve police responses through clearer understanding of the purpose of the legislation. The law is a blunt instrument and will not work for everyone, but the easier it can be made for those enforcing the law, the greater the benefit.</w:t>
      </w:r>
      <w:r>
        <w:rPr>
          <w:color w:val="231F20"/>
          <w:position w:val="6"/>
          <w:sz w:val="11"/>
        </w:rPr>
        <w:t>32</w:t>
      </w:r>
    </w:p>
    <w:p w14:paraId="359556E4" w14:textId="77777777" w:rsidR="00894070" w:rsidRDefault="009B7AFD">
      <w:pPr>
        <w:pStyle w:val="ListParagraph"/>
        <w:numPr>
          <w:ilvl w:val="1"/>
          <w:numId w:val="65"/>
        </w:numPr>
        <w:tabs>
          <w:tab w:val="left" w:pos="1801"/>
          <w:tab w:val="left" w:pos="1802"/>
        </w:tabs>
        <w:spacing w:before="125" w:line="206" w:lineRule="auto"/>
        <w:ind w:right="1351"/>
        <w:rPr>
          <w:sz w:val="11"/>
        </w:rPr>
      </w:pPr>
      <w:r>
        <w:rPr>
          <w:color w:val="231F20"/>
          <w:spacing w:val="-3"/>
          <w:sz w:val="20"/>
        </w:rPr>
        <w:t xml:space="preserve">At </w:t>
      </w:r>
      <w:r>
        <w:rPr>
          <w:color w:val="231F20"/>
          <w:sz w:val="20"/>
        </w:rPr>
        <w:t xml:space="preserve">this stage </w:t>
      </w:r>
      <w:r>
        <w:rPr>
          <w:color w:val="231F20"/>
          <w:spacing w:val="-3"/>
          <w:sz w:val="20"/>
        </w:rPr>
        <w:t xml:space="preserve">we </w:t>
      </w:r>
      <w:r>
        <w:rPr>
          <w:color w:val="231F20"/>
          <w:sz w:val="20"/>
        </w:rPr>
        <w:t>do not recommend changing the scope of the course of conduct element.</w:t>
      </w:r>
      <w:r>
        <w:rPr>
          <w:color w:val="231F20"/>
          <w:spacing w:val="-9"/>
          <w:sz w:val="20"/>
        </w:rPr>
        <w:t xml:space="preserve"> </w:t>
      </w:r>
      <w:r>
        <w:rPr>
          <w:color w:val="231F20"/>
          <w:sz w:val="20"/>
        </w:rPr>
        <w:t>As</w:t>
      </w:r>
      <w:r>
        <w:rPr>
          <w:color w:val="231F20"/>
          <w:spacing w:val="-9"/>
          <w:sz w:val="20"/>
        </w:rPr>
        <w:t xml:space="preserve"> </w:t>
      </w:r>
      <w:r>
        <w:rPr>
          <w:color w:val="231F20"/>
          <w:sz w:val="20"/>
        </w:rPr>
        <w:t>the</w:t>
      </w:r>
      <w:r>
        <w:rPr>
          <w:color w:val="231F20"/>
          <w:spacing w:val="-8"/>
          <w:sz w:val="20"/>
        </w:rPr>
        <w:t xml:space="preserve"> </w:t>
      </w:r>
      <w:r>
        <w:rPr>
          <w:color w:val="231F20"/>
          <w:sz w:val="20"/>
        </w:rPr>
        <w:t>County</w:t>
      </w:r>
      <w:r>
        <w:rPr>
          <w:color w:val="231F20"/>
          <w:spacing w:val="-9"/>
          <w:sz w:val="20"/>
        </w:rPr>
        <w:t xml:space="preserve"> </w:t>
      </w:r>
      <w:r>
        <w:rPr>
          <w:color w:val="231F20"/>
          <w:sz w:val="20"/>
        </w:rPr>
        <w:t>Court</w:t>
      </w:r>
      <w:r>
        <w:rPr>
          <w:color w:val="231F20"/>
          <w:spacing w:val="-8"/>
          <w:sz w:val="20"/>
        </w:rPr>
        <w:t xml:space="preserve"> </w:t>
      </w:r>
      <w:r>
        <w:rPr>
          <w:color w:val="231F20"/>
          <w:sz w:val="20"/>
        </w:rPr>
        <w:t>cautioned,</w:t>
      </w:r>
      <w:r>
        <w:rPr>
          <w:color w:val="231F20"/>
          <w:spacing w:val="-9"/>
          <w:sz w:val="20"/>
        </w:rPr>
        <w:t xml:space="preserve"> </w:t>
      </w:r>
      <w:r>
        <w:rPr>
          <w:color w:val="231F20"/>
          <w:spacing w:val="-3"/>
          <w:sz w:val="20"/>
        </w:rPr>
        <w:t>‘care</w:t>
      </w:r>
      <w:r>
        <w:rPr>
          <w:color w:val="231F20"/>
          <w:spacing w:val="-8"/>
          <w:sz w:val="20"/>
        </w:rPr>
        <w:t xml:space="preserve"> </w:t>
      </w:r>
      <w:r>
        <w:rPr>
          <w:color w:val="231F20"/>
          <w:sz w:val="20"/>
        </w:rPr>
        <w:t>needs</w:t>
      </w:r>
      <w:r>
        <w:rPr>
          <w:color w:val="231F20"/>
          <w:spacing w:val="-9"/>
          <w:sz w:val="20"/>
        </w:rPr>
        <w:t xml:space="preserve"> </w:t>
      </w:r>
      <w:r>
        <w:rPr>
          <w:color w:val="231F20"/>
          <w:sz w:val="20"/>
        </w:rPr>
        <w:t>to</w:t>
      </w:r>
      <w:r>
        <w:rPr>
          <w:color w:val="231F20"/>
          <w:spacing w:val="-8"/>
          <w:sz w:val="20"/>
        </w:rPr>
        <w:t xml:space="preserve"> </w:t>
      </w:r>
      <w:r>
        <w:rPr>
          <w:color w:val="231F20"/>
          <w:sz w:val="20"/>
        </w:rPr>
        <w:t>be</w:t>
      </w:r>
      <w:r>
        <w:rPr>
          <w:color w:val="231F20"/>
          <w:spacing w:val="-9"/>
          <w:sz w:val="20"/>
        </w:rPr>
        <w:t xml:space="preserve"> </w:t>
      </w:r>
      <w:r>
        <w:rPr>
          <w:color w:val="231F20"/>
          <w:sz w:val="20"/>
        </w:rPr>
        <w:t>taken</w:t>
      </w:r>
      <w:r>
        <w:rPr>
          <w:color w:val="231F20"/>
          <w:spacing w:val="-9"/>
          <w:sz w:val="20"/>
        </w:rPr>
        <w:t xml:space="preserve"> </w:t>
      </w:r>
      <w:r>
        <w:rPr>
          <w:color w:val="231F20"/>
          <w:sz w:val="20"/>
        </w:rPr>
        <w:t>to</w:t>
      </w:r>
      <w:r>
        <w:rPr>
          <w:color w:val="231F20"/>
          <w:spacing w:val="-8"/>
          <w:sz w:val="20"/>
        </w:rPr>
        <w:t xml:space="preserve"> </w:t>
      </w:r>
      <w:r>
        <w:rPr>
          <w:color w:val="231F20"/>
          <w:spacing w:val="-3"/>
          <w:sz w:val="20"/>
        </w:rPr>
        <w:t>avoid</w:t>
      </w:r>
      <w:r>
        <w:rPr>
          <w:color w:val="231F20"/>
          <w:spacing w:val="-9"/>
          <w:sz w:val="20"/>
        </w:rPr>
        <w:t xml:space="preserve"> </w:t>
      </w:r>
      <w:r>
        <w:rPr>
          <w:color w:val="231F20"/>
          <w:sz w:val="20"/>
        </w:rPr>
        <w:t xml:space="preserve">unintended consequences such as capturing behaviours within too short </w:t>
      </w:r>
      <w:proofErr w:type="gramStart"/>
      <w:r>
        <w:rPr>
          <w:color w:val="231F20"/>
          <w:sz w:val="20"/>
        </w:rPr>
        <w:t>a period of time</w:t>
      </w:r>
      <w:proofErr w:type="gramEnd"/>
      <w:r>
        <w:rPr>
          <w:color w:val="231F20"/>
          <w:sz w:val="20"/>
        </w:rPr>
        <w:t xml:space="preserve"> </w:t>
      </w:r>
      <w:r>
        <w:rPr>
          <w:color w:val="231F20"/>
          <w:spacing w:val="-4"/>
          <w:sz w:val="20"/>
        </w:rPr>
        <w:t xml:space="preserve">(for </w:t>
      </w:r>
      <w:r>
        <w:rPr>
          <w:color w:val="231F20"/>
          <w:spacing w:val="-3"/>
          <w:sz w:val="20"/>
        </w:rPr>
        <w:t>example,</w:t>
      </w:r>
      <w:r>
        <w:rPr>
          <w:color w:val="231F20"/>
          <w:spacing w:val="-8"/>
          <w:sz w:val="20"/>
        </w:rPr>
        <w:t xml:space="preserve"> </w:t>
      </w:r>
      <w:r>
        <w:rPr>
          <w:color w:val="231F20"/>
          <w:sz w:val="20"/>
        </w:rPr>
        <w:t>three</w:t>
      </w:r>
      <w:r>
        <w:rPr>
          <w:color w:val="231F20"/>
          <w:spacing w:val="-7"/>
          <w:sz w:val="20"/>
        </w:rPr>
        <w:t xml:space="preserve"> </w:t>
      </w:r>
      <w:r>
        <w:rPr>
          <w:color w:val="231F20"/>
          <w:sz w:val="20"/>
        </w:rPr>
        <w:t>calls</w:t>
      </w:r>
      <w:r>
        <w:rPr>
          <w:color w:val="231F20"/>
          <w:spacing w:val="-7"/>
          <w:sz w:val="20"/>
        </w:rPr>
        <w:t xml:space="preserve"> </w:t>
      </w:r>
      <w:r>
        <w:rPr>
          <w:color w:val="231F20"/>
          <w:sz w:val="20"/>
        </w:rPr>
        <w:t>within</w:t>
      </w:r>
      <w:r>
        <w:rPr>
          <w:color w:val="231F20"/>
          <w:spacing w:val="-7"/>
          <w:sz w:val="20"/>
        </w:rPr>
        <w:t xml:space="preserve"> </w:t>
      </w:r>
      <w:r>
        <w:rPr>
          <w:color w:val="231F20"/>
          <w:sz w:val="20"/>
        </w:rPr>
        <w:t>an</w:t>
      </w:r>
      <w:r>
        <w:rPr>
          <w:color w:val="231F20"/>
          <w:spacing w:val="-8"/>
          <w:sz w:val="20"/>
        </w:rPr>
        <w:t xml:space="preserve"> </w:t>
      </w:r>
      <w:r>
        <w:rPr>
          <w:color w:val="231F20"/>
          <w:spacing w:val="-3"/>
          <w:sz w:val="20"/>
        </w:rPr>
        <w:t>hour),</w:t>
      </w:r>
      <w:r>
        <w:rPr>
          <w:color w:val="231F20"/>
          <w:spacing w:val="-7"/>
          <w:sz w:val="20"/>
        </w:rPr>
        <w:t xml:space="preserve"> </w:t>
      </w:r>
      <w:r>
        <w:rPr>
          <w:color w:val="231F20"/>
          <w:sz w:val="20"/>
        </w:rPr>
        <w:t>or</w:t>
      </w:r>
      <w:r>
        <w:rPr>
          <w:color w:val="231F20"/>
          <w:spacing w:val="-7"/>
          <w:sz w:val="20"/>
        </w:rPr>
        <w:t xml:space="preserve"> </w:t>
      </w:r>
      <w:r>
        <w:rPr>
          <w:color w:val="231F20"/>
          <w:sz w:val="20"/>
        </w:rPr>
        <w:t>too</w:t>
      </w:r>
      <w:r>
        <w:rPr>
          <w:color w:val="231F20"/>
          <w:spacing w:val="-7"/>
          <w:sz w:val="20"/>
        </w:rPr>
        <w:t xml:space="preserve"> </w:t>
      </w:r>
      <w:r>
        <w:rPr>
          <w:color w:val="231F20"/>
          <w:sz w:val="20"/>
        </w:rPr>
        <w:t>far</w:t>
      </w:r>
      <w:r>
        <w:rPr>
          <w:color w:val="231F20"/>
          <w:spacing w:val="-8"/>
          <w:sz w:val="20"/>
        </w:rPr>
        <w:t xml:space="preserve"> </w:t>
      </w:r>
      <w:r>
        <w:rPr>
          <w:color w:val="231F20"/>
          <w:sz w:val="20"/>
        </w:rPr>
        <w:t>apart</w:t>
      </w:r>
      <w:r>
        <w:rPr>
          <w:color w:val="231F20"/>
          <w:spacing w:val="-7"/>
          <w:sz w:val="20"/>
        </w:rPr>
        <w:t xml:space="preserve"> </w:t>
      </w:r>
      <w:r>
        <w:rPr>
          <w:color w:val="231F20"/>
          <w:spacing w:val="-4"/>
          <w:sz w:val="20"/>
        </w:rPr>
        <w:t>(for</w:t>
      </w:r>
      <w:r>
        <w:rPr>
          <w:color w:val="231F20"/>
          <w:spacing w:val="-7"/>
          <w:sz w:val="20"/>
        </w:rPr>
        <w:t xml:space="preserve"> </w:t>
      </w:r>
      <w:r>
        <w:rPr>
          <w:color w:val="231F20"/>
          <w:spacing w:val="-3"/>
          <w:sz w:val="20"/>
        </w:rPr>
        <w:t>example,</w:t>
      </w:r>
      <w:r>
        <w:rPr>
          <w:color w:val="231F20"/>
          <w:spacing w:val="-7"/>
          <w:sz w:val="20"/>
        </w:rPr>
        <w:t xml:space="preserve"> </w:t>
      </w:r>
      <w:r>
        <w:rPr>
          <w:color w:val="231F20"/>
          <w:sz w:val="20"/>
        </w:rPr>
        <w:t>three</w:t>
      </w:r>
      <w:r>
        <w:rPr>
          <w:color w:val="231F20"/>
          <w:spacing w:val="-7"/>
          <w:sz w:val="20"/>
        </w:rPr>
        <w:t xml:space="preserve"> </w:t>
      </w:r>
      <w:r>
        <w:rPr>
          <w:color w:val="231F20"/>
          <w:sz w:val="20"/>
        </w:rPr>
        <w:t>years</w:t>
      </w:r>
      <w:r>
        <w:rPr>
          <w:color w:val="231F20"/>
          <w:spacing w:val="-8"/>
          <w:sz w:val="20"/>
        </w:rPr>
        <w:t xml:space="preserve"> </w:t>
      </w:r>
      <w:r>
        <w:rPr>
          <w:color w:val="231F20"/>
          <w:sz w:val="20"/>
        </w:rPr>
        <w:t>apart).’</w:t>
      </w:r>
      <w:r>
        <w:rPr>
          <w:color w:val="231F20"/>
          <w:position w:val="7"/>
          <w:sz w:val="11"/>
        </w:rPr>
        <w:t>33</w:t>
      </w:r>
    </w:p>
    <w:p w14:paraId="3D33382D" w14:textId="77777777" w:rsidR="00894070" w:rsidRDefault="009B7AFD">
      <w:pPr>
        <w:pStyle w:val="ListParagraph"/>
        <w:numPr>
          <w:ilvl w:val="1"/>
          <w:numId w:val="65"/>
        </w:numPr>
        <w:tabs>
          <w:tab w:val="left" w:pos="1801"/>
          <w:tab w:val="left" w:pos="1802"/>
        </w:tabs>
        <w:spacing w:before="125" w:line="206" w:lineRule="auto"/>
        <w:ind w:right="1397"/>
        <w:rPr>
          <w:sz w:val="20"/>
        </w:rPr>
      </w:pPr>
      <w:r>
        <w:rPr>
          <w:color w:val="231F20"/>
          <w:spacing w:val="-6"/>
          <w:sz w:val="20"/>
        </w:rPr>
        <w:t xml:space="preserve">We </w:t>
      </w:r>
      <w:r>
        <w:rPr>
          <w:color w:val="231F20"/>
          <w:sz w:val="20"/>
        </w:rPr>
        <w:t xml:space="preserve">agree with this </w:t>
      </w:r>
      <w:r>
        <w:rPr>
          <w:color w:val="231F20"/>
          <w:spacing w:val="-5"/>
          <w:sz w:val="20"/>
        </w:rPr>
        <w:t xml:space="preserve">view. </w:t>
      </w:r>
      <w:r>
        <w:rPr>
          <w:color w:val="231F20"/>
          <w:sz w:val="20"/>
        </w:rPr>
        <w:t xml:space="preserve">Bringing the case law definition </w:t>
      </w:r>
      <w:r>
        <w:rPr>
          <w:color w:val="231F20"/>
          <w:spacing w:val="-3"/>
          <w:sz w:val="20"/>
        </w:rPr>
        <w:t xml:space="preserve">into </w:t>
      </w:r>
      <w:r>
        <w:rPr>
          <w:color w:val="231F20"/>
          <w:sz w:val="20"/>
        </w:rPr>
        <w:t xml:space="preserve">legislation </w:t>
      </w:r>
      <w:r>
        <w:rPr>
          <w:color w:val="231F20"/>
          <w:spacing w:val="-3"/>
          <w:sz w:val="20"/>
        </w:rPr>
        <w:t xml:space="preserve">would </w:t>
      </w:r>
      <w:r>
        <w:rPr>
          <w:color w:val="231F20"/>
          <w:sz w:val="20"/>
        </w:rPr>
        <w:t>consolidate</w:t>
      </w:r>
      <w:r>
        <w:rPr>
          <w:color w:val="231F20"/>
          <w:spacing w:val="-12"/>
          <w:sz w:val="20"/>
        </w:rPr>
        <w:t xml:space="preserve"> </w:t>
      </w:r>
      <w:r>
        <w:rPr>
          <w:color w:val="231F20"/>
          <w:sz w:val="20"/>
        </w:rPr>
        <w:t>the</w:t>
      </w:r>
      <w:r>
        <w:rPr>
          <w:color w:val="231F20"/>
          <w:spacing w:val="-12"/>
          <w:sz w:val="20"/>
        </w:rPr>
        <w:t xml:space="preserve"> </w:t>
      </w:r>
      <w:r>
        <w:rPr>
          <w:color w:val="231F20"/>
          <w:sz w:val="20"/>
        </w:rPr>
        <w:t>law</w:t>
      </w:r>
      <w:r>
        <w:rPr>
          <w:color w:val="231F20"/>
          <w:spacing w:val="-12"/>
          <w:sz w:val="20"/>
        </w:rPr>
        <w:t xml:space="preserve"> </w:t>
      </w:r>
      <w:r>
        <w:rPr>
          <w:color w:val="231F20"/>
          <w:sz w:val="20"/>
        </w:rPr>
        <w:t>in</w:t>
      </w:r>
      <w:r>
        <w:rPr>
          <w:color w:val="231F20"/>
          <w:spacing w:val="-12"/>
          <w:sz w:val="20"/>
        </w:rPr>
        <w:t xml:space="preserve"> </w:t>
      </w:r>
      <w:r>
        <w:rPr>
          <w:color w:val="231F20"/>
          <w:sz w:val="20"/>
        </w:rPr>
        <w:t>one</w:t>
      </w:r>
      <w:r>
        <w:rPr>
          <w:color w:val="231F20"/>
          <w:spacing w:val="-12"/>
          <w:sz w:val="20"/>
        </w:rPr>
        <w:t xml:space="preserve"> </w:t>
      </w:r>
      <w:r>
        <w:rPr>
          <w:color w:val="231F20"/>
          <w:sz w:val="20"/>
        </w:rPr>
        <w:t>place</w:t>
      </w:r>
      <w:r>
        <w:rPr>
          <w:color w:val="231F20"/>
          <w:spacing w:val="-12"/>
          <w:sz w:val="20"/>
        </w:rPr>
        <w:t xml:space="preserve"> </w:t>
      </w:r>
      <w:r>
        <w:rPr>
          <w:color w:val="231F20"/>
          <w:sz w:val="20"/>
        </w:rPr>
        <w:t>but</w:t>
      </w:r>
      <w:r>
        <w:rPr>
          <w:color w:val="231F20"/>
          <w:spacing w:val="-12"/>
          <w:sz w:val="20"/>
        </w:rPr>
        <w:t xml:space="preserve"> </w:t>
      </w:r>
      <w:r>
        <w:rPr>
          <w:color w:val="231F20"/>
          <w:sz w:val="20"/>
        </w:rPr>
        <w:t>it</w:t>
      </w:r>
      <w:r>
        <w:rPr>
          <w:color w:val="231F20"/>
          <w:spacing w:val="-12"/>
          <w:sz w:val="20"/>
        </w:rPr>
        <w:t xml:space="preserve"> </w:t>
      </w:r>
      <w:r>
        <w:rPr>
          <w:color w:val="231F20"/>
          <w:spacing w:val="-3"/>
          <w:sz w:val="20"/>
        </w:rPr>
        <w:t>would</w:t>
      </w:r>
      <w:r>
        <w:rPr>
          <w:color w:val="231F20"/>
          <w:spacing w:val="-11"/>
          <w:sz w:val="20"/>
        </w:rPr>
        <w:t xml:space="preserve"> </w:t>
      </w:r>
      <w:r>
        <w:rPr>
          <w:color w:val="231F20"/>
          <w:sz w:val="20"/>
        </w:rPr>
        <w:t>not</w:t>
      </w:r>
      <w:r>
        <w:rPr>
          <w:color w:val="231F20"/>
          <w:spacing w:val="-12"/>
          <w:sz w:val="20"/>
        </w:rPr>
        <w:t xml:space="preserve"> </w:t>
      </w:r>
      <w:r>
        <w:rPr>
          <w:color w:val="231F20"/>
          <w:sz w:val="20"/>
        </w:rPr>
        <w:t>significantly</w:t>
      </w:r>
      <w:r>
        <w:rPr>
          <w:color w:val="231F20"/>
          <w:spacing w:val="-12"/>
          <w:sz w:val="20"/>
        </w:rPr>
        <w:t xml:space="preserve"> </w:t>
      </w:r>
      <w:r>
        <w:rPr>
          <w:color w:val="231F20"/>
          <w:sz w:val="20"/>
        </w:rPr>
        <w:t>change</w:t>
      </w:r>
      <w:r>
        <w:rPr>
          <w:color w:val="231F20"/>
          <w:spacing w:val="-12"/>
          <w:sz w:val="20"/>
        </w:rPr>
        <w:t xml:space="preserve"> </w:t>
      </w:r>
      <w:r>
        <w:rPr>
          <w:color w:val="231F20"/>
          <w:sz w:val="20"/>
        </w:rPr>
        <w:t>the</w:t>
      </w:r>
      <w:r>
        <w:rPr>
          <w:color w:val="231F20"/>
          <w:spacing w:val="-12"/>
          <w:sz w:val="20"/>
        </w:rPr>
        <w:t xml:space="preserve"> </w:t>
      </w:r>
      <w:r>
        <w:rPr>
          <w:color w:val="231F20"/>
          <w:sz w:val="20"/>
        </w:rPr>
        <w:t>substantive offence</w:t>
      </w:r>
      <w:r>
        <w:rPr>
          <w:color w:val="231F20"/>
          <w:spacing w:val="-6"/>
          <w:sz w:val="20"/>
        </w:rPr>
        <w:t xml:space="preserve"> </w:t>
      </w:r>
      <w:r>
        <w:rPr>
          <w:color w:val="231F20"/>
          <w:sz w:val="20"/>
        </w:rPr>
        <w:t>or</w:t>
      </w:r>
      <w:r>
        <w:rPr>
          <w:color w:val="231F20"/>
          <w:spacing w:val="-6"/>
          <w:sz w:val="20"/>
        </w:rPr>
        <w:t xml:space="preserve"> </w:t>
      </w:r>
      <w:r>
        <w:rPr>
          <w:color w:val="231F20"/>
          <w:spacing w:val="-3"/>
          <w:sz w:val="20"/>
        </w:rPr>
        <w:t>create</w:t>
      </w:r>
      <w:r>
        <w:rPr>
          <w:color w:val="231F20"/>
          <w:spacing w:val="-5"/>
          <w:sz w:val="20"/>
        </w:rPr>
        <w:t xml:space="preserve"> </w:t>
      </w:r>
      <w:r>
        <w:rPr>
          <w:color w:val="231F20"/>
          <w:sz w:val="20"/>
        </w:rPr>
        <w:t>additional</w:t>
      </w:r>
      <w:r>
        <w:rPr>
          <w:color w:val="231F20"/>
          <w:spacing w:val="-6"/>
          <w:sz w:val="20"/>
        </w:rPr>
        <w:t xml:space="preserve"> </w:t>
      </w:r>
      <w:r>
        <w:rPr>
          <w:color w:val="231F20"/>
          <w:sz w:val="20"/>
        </w:rPr>
        <w:t>issues</w:t>
      </w:r>
      <w:r>
        <w:rPr>
          <w:color w:val="231F20"/>
          <w:spacing w:val="-6"/>
          <w:sz w:val="20"/>
        </w:rPr>
        <w:t xml:space="preserve"> </w:t>
      </w:r>
      <w:r>
        <w:rPr>
          <w:color w:val="231F20"/>
          <w:sz w:val="20"/>
        </w:rPr>
        <w:t>with</w:t>
      </w:r>
      <w:r>
        <w:rPr>
          <w:color w:val="231F20"/>
          <w:spacing w:val="-5"/>
          <w:sz w:val="20"/>
        </w:rPr>
        <w:t xml:space="preserve"> </w:t>
      </w:r>
      <w:r>
        <w:rPr>
          <w:color w:val="231F20"/>
          <w:sz w:val="20"/>
        </w:rPr>
        <w:t>the</w:t>
      </w:r>
      <w:r>
        <w:rPr>
          <w:color w:val="231F20"/>
          <w:spacing w:val="-6"/>
          <w:sz w:val="20"/>
        </w:rPr>
        <w:t xml:space="preserve"> </w:t>
      </w:r>
      <w:r>
        <w:rPr>
          <w:color w:val="231F20"/>
          <w:sz w:val="20"/>
        </w:rPr>
        <w:t>scope</w:t>
      </w:r>
      <w:r>
        <w:rPr>
          <w:color w:val="231F20"/>
          <w:spacing w:val="-5"/>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offence.</w:t>
      </w:r>
    </w:p>
    <w:p w14:paraId="70FEFDE5" w14:textId="77777777" w:rsidR="00894070" w:rsidRDefault="009B7AFD">
      <w:pPr>
        <w:pStyle w:val="ListParagraph"/>
        <w:numPr>
          <w:ilvl w:val="1"/>
          <w:numId w:val="65"/>
        </w:numPr>
        <w:tabs>
          <w:tab w:val="left" w:pos="1801"/>
          <w:tab w:val="left" w:pos="1802"/>
        </w:tabs>
        <w:spacing w:before="124" w:line="206" w:lineRule="auto"/>
        <w:ind w:right="1337"/>
        <w:rPr>
          <w:sz w:val="20"/>
        </w:rPr>
      </w:pPr>
      <w:r>
        <w:rPr>
          <w:color w:val="231F20"/>
          <w:sz w:val="20"/>
        </w:rPr>
        <w:t>Dr</w:t>
      </w:r>
      <w:r>
        <w:rPr>
          <w:color w:val="231F20"/>
          <w:spacing w:val="-8"/>
          <w:sz w:val="20"/>
        </w:rPr>
        <w:t xml:space="preserve"> </w:t>
      </w:r>
      <w:r>
        <w:rPr>
          <w:color w:val="231F20"/>
          <w:spacing w:val="-4"/>
          <w:sz w:val="20"/>
        </w:rPr>
        <w:t>Steven</w:t>
      </w:r>
      <w:r>
        <w:rPr>
          <w:color w:val="231F20"/>
          <w:spacing w:val="-8"/>
          <w:sz w:val="20"/>
        </w:rPr>
        <w:t xml:space="preserve"> </w:t>
      </w:r>
      <w:r>
        <w:rPr>
          <w:color w:val="231F20"/>
          <w:spacing w:val="-5"/>
          <w:sz w:val="20"/>
        </w:rPr>
        <w:t>Tudor</w:t>
      </w:r>
      <w:r>
        <w:rPr>
          <w:color w:val="231F20"/>
          <w:spacing w:val="-7"/>
          <w:sz w:val="20"/>
        </w:rPr>
        <w:t xml:space="preserve"> </w:t>
      </w:r>
      <w:r>
        <w:rPr>
          <w:color w:val="231F20"/>
          <w:sz w:val="20"/>
        </w:rPr>
        <w:t>and</w:t>
      </w:r>
      <w:r>
        <w:rPr>
          <w:color w:val="231F20"/>
          <w:spacing w:val="-8"/>
          <w:sz w:val="20"/>
        </w:rPr>
        <w:t xml:space="preserve"> </w:t>
      </w:r>
      <w:r>
        <w:rPr>
          <w:color w:val="231F20"/>
          <w:sz w:val="20"/>
        </w:rPr>
        <w:t>Greg</w:t>
      </w:r>
      <w:r>
        <w:rPr>
          <w:color w:val="231F20"/>
          <w:spacing w:val="-7"/>
          <w:sz w:val="20"/>
        </w:rPr>
        <w:t xml:space="preserve"> </w:t>
      </w:r>
      <w:r>
        <w:rPr>
          <w:color w:val="231F20"/>
          <w:sz w:val="20"/>
        </w:rPr>
        <w:t>Byrne</w:t>
      </w:r>
      <w:r>
        <w:rPr>
          <w:color w:val="231F20"/>
          <w:spacing w:val="-8"/>
          <w:sz w:val="20"/>
        </w:rPr>
        <w:t xml:space="preserve"> </w:t>
      </w:r>
      <w:r>
        <w:rPr>
          <w:color w:val="231F20"/>
          <w:sz w:val="20"/>
        </w:rPr>
        <w:t>did</w:t>
      </w:r>
      <w:r>
        <w:rPr>
          <w:color w:val="231F20"/>
          <w:spacing w:val="-7"/>
          <w:sz w:val="20"/>
        </w:rPr>
        <w:t xml:space="preserve"> </w:t>
      </w:r>
      <w:r>
        <w:rPr>
          <w:color w:val="231F20"/>
          <w:sz w:val="20"/>
        </w:rPr>
        <w:t>not</w:t>
      </w:r>
      <w:r>
        <w:rPr>
          <w:color w:val="231F20"/>
          <w:spacing w:val="-8"/>
          <w:sz w:val="20"/>
        </w:rPr>
        <w:t xml:space="preserve"> </w:t>
      </w:r>
      <w:r>
        <w:rPr>
          <w:color w:val="231F20"/>
          <w:sz w:val="20"/>
        </w:rPr>
        <w:t>consider</w:t>
      </w:r>
      <w:r>
        <w:rPr>
          <w:color w:val="231F20"/>
          <w:spacing w:val="-8"/>
          <w:sz w:val="20"/>
        </w:rPr>
        <w:t xml:space="preserve"> </w:t>
      </w:r>
      <w:r>
        <w:rPr>
          <w:color w:val="231F20"/>
          <w:sz w:val="20"/>
        </w:rPr>
        <w:t>it</w:t>
      </w:r>
      <w:r>
        <w:rPr>
          <w:color w:val="231F20"/>
          <w:spacing w:val="-7"/>
          <w:sz w:val="20"/>
        </w:rPr>
        <w:t xml:space="preserve"> </w:t>
      </w:r>
      <w:r>
        <w:rPr>
          <w:color w:val="231F20"/>
          <w:sz w:val="20"/>
        </w:rPr>
        <w:t>necessary</w:t>
      </w:r>
      <w:r>
        <w:rPr>
          <w:color w:val="231F20"/>
          <w:spacing w:val="-8"/>
          <w:sz w:val="20"/>
        </w:rPr>
        <w:t xml:space="preserve"> </w:t>
      </w:r>
      <w:r>
        <w:rPr>
          <w:color w:val="231F20"/>
          <w:sz w:val="20"/>
        </w:rPr>
        <w:t>to</w:t>
      </w:r>
      <w:r>
        <w:rPr>
          <w:color w:val="231F20"/>
          <w:spacing w:val="-7"/>
          <w:sz w:val="20"/>
        </w:rPr>
        <w:t xml:space="preserve"> </w:t>
      </w:r>
      <w:r>
        <w:rPr>
          <w:color w:val="231F20"/>
          <w:sz w:val="20"/>
        </w:rPr>
        <w:t>include</w:t>
      </w:r>
      <w:r>
        <w:rPr>
          <w:color w:val="231F20"/>
          <w:spacing w:val="-8"/>
          <w:sz w:val="20"/>
        </w:rPr>
        <w:t xml:space="preserve"> </w:t>
      </w:r>
      <w:r>
        <w:rPr>
          <w:color w:val="231F20"/>
          <w:sz w:val="20"/>
        </w:rPr>
        <w:t>the</w:t>
      </w:r>
      <w:r>
        <w:rPr>
          <w:color w:val="231F20"/>
          <w:spacing w:val="-7"/>
          <w:sz w:val="20"/>
        </w:rPr>
        <w:t xml:space="preserve"> </w:t>
      </w:r>
      <w:r>
        <w:rPr>
          <w:color w:val="231F20"/>
          <w:sz w:val="20"/>
        </w:rPr>
        <w:t>case</w:t>
      </w:r>
      <w:r>
        <w:rPr>
          <w:color w:val="231F20"/>
          <w:spacing w:val="-8"/>
          <w:sz w:val="20"/>
        </w:rPr>
        <w:t xml:space="preserve"> </w:t>
      </w:r>
      <w:r>
        <w:rPr>
          <w:color w:val="231F20"/>
          <w:sz w:val="20"/>
        </w:rPr>
        <w:t xml:space="preserve">law principles in the legislation. But if there is an </w:t>
      </w:r>
      <w:r>
        <w:rPr>
          <w:color w:val="231F20"/>
          <w:spacing w:val="-3"/>
          <w:sz w:val="20"/>
        </w:rPr>
        <w:t xml:space="preserve">attempt </w:t>
      </w:r>
      <w:r>
        <w:rPr>
          <w:color w:val="231F20"/>
          <w:sz w:val="20"/>
        </w:rPr>
        <w:t xml:space="preserve">to do so, they suggested this legislative formulation, which </w:t>
      </w:r>
      <w:r>
        <w:rPr>
          <w:color w:val="231F20"/>
          <w:spacing w:val="-3"/>
          <w:sz w:val="20"/>
        </w:rPr>
        <w:t xml:space="preserve">we regard </w:t>
      </w:r>
      <w:r>
        <w:rPr>
          <w:color w:val="231F20"/>
          <w:sz w:val="20"/>
        </w:rPr>
        <w:t>as</w:t>
      </w:r>
      <w:r>
        <w:rPr>
          <w:color w:val="231F20"/>
          <w:spacing w:val="-23"/>
          <w:sz w:val="20"/>
        </w:rPr>
        <w:t xml:space="preserve"> </w:t>
      </w:r>
      <w:r>
        <w:rPr>
          <w:color w:val="231F20"/>
          <w:sz w:val="20"/>
        </w:rPr>
        <w:t>useful:</w:t>
      </w:r>
    </w:p>
    <w:p w14:paraId="015F3B72" w14:textId="77777777" w:rsidR="00894070" w:rsidRDefault="009B7AFD">
      <w:pPr>
        <w:spacing w:before="121" w:line="208" w:lineRule="auto"/>
        <w:ind w:left="2254" w:right="1459"/>
        <w:rPr>
          <w:sz w:val="19"/>
        </w:rPr>
      </w:pPr>
      <w:r>
        <w:rPr>
          <w:color w:val="231F20"/>
          <w:sz w:val="19"/>
        </w:rPr>
        <w:t>A person (A) engages in a course of conduct in relation to another person (B) if A’s acts are:</w:t>
      </w:r>
    </w:p>
    <w:p w14:paraId="3D7844A1" w14:textId="77777777" w:rsidR="00894070" w:rsidRDefault="009B7AFD">
      <w:pPr>
        <w:pStyle w:val="ListParagraph"/>
        <w:numPr>
          <w:ilvl w:val="0"/>
          <w:numId w:val="63"/>
        </w:numPr>
        <w:tabs>
          <w:tab w:val="left" w:pos="2595"/>
        </w:tabs>
        <w:spacing w:before="93"/>
        <w:ind w:hanging="340"/>
        <w:rPr>
          <w:sz w:val="19"/>
        </w:rPr>
      </w:pPr>
      <w:r>
        <w:rPr>
          <w:color w:val="231F20"/>
          <w:sz w:val="19"/>
        </w:rPr>
        <w:t xml:space="preserve">committed on more than one occasion or are protracted in </w:t>
      </w:r>
      <w:proofErr w:type="gramStart"/>
      <w:r>
        <w:rPr>
          <w:color w:val="231F20"/>
          <w:sz w:val="19"/>
        </w:rPr>
        <w:t>nature;</w:t>
      </w:r>
      <w:proofErr w:type="gramEnd"/>
      <w:r>
        <w:rPr>
          <w:color w:val="231F20"/>
          <w:spacing w:val="-28"/>
          <w:sz w:val="19"/>
        </w:rPr>
        <w:t xml:space="preserve"> </w:t>
      </w:r>
      <w:r>
        <w:rPr>
          <w:color w:val="231F20"/>
          <w:sz w:val="19"/>
        </w:rPr>
        <w:t>and</w:t>
      </w:r>
    </w:p>
    <w:p w14:paraId="49EDA184" w14:textId="77777777" w:rsidR="00894070" w:rsidRDefault="009B7AFD">
      <w:pPr>
        <w:pStyle w:val="ListParagraph"/>
        <w:numPr>
          <w:ilvl w:val="0"/>
          <w:numId w:val="63"/>
        </w:numPr>
        <w:tabs>
          <w:tab w:val="left" w:pos="2595"/>
        </w:tabs>
        <w:spacing w:before="86" w:line="247" w:lineRule="exact"/>
        <w:ind w:hanging="340"/>
        <w:rPr>
          <w:sz w:val="19"/>
        </w:rPr>
      </w:pPr>
      <w:r>
        <w:rPr>
          <w:color w:val="231F20"/>
          <w:sz w:val="19"/>
        </w:rPr>
        <w:t>amount to a pattern of conduct that shows a continuity of purpose in</w:t>
      </w:r>
      <w:r>
        <w:rPr>
          <w:color w:val="231F20"/>
          <w:spacing w:val="-34"/>
          <w:sz w:val="19"/>
        </w:rPr>
        <w:t xml:space="preserve"> </w:t>
      </w:r>
      <w:r>
        <w:rPr>
          <w:color w:val="231F20"/>
          <w:sz w:val="19"/>
        </w:rPr>
        <w:t>relation</w:t>
      </w:r>
    </w:p>
    <w:p w14:paraId="3C5A1FC4" w14:textId="77777777" w:rsidR="00894070" w:rsidRDefault="009B7AFD">
      <w:pPr>
        <w:spacing w:line="247" w:lineRule="exact"/>
        <w:ind w:left="2594"/>
        <w:rPr>
          <w:sz w:val="11"/>
        </w:rPr>
      </w:pPr>
      <w:r>
        <w:rPr>
          <w:color w:val="231F20"/>
          <w:sz w:val="19"/>
        </w:rPr>
        <w:t>to B.</w:t>
      </w:r>
      <w:r>
        <w:rPr>
          <w:color w:val="231F20"/>
          <w:position w:val="6"/>
          <w:sz w:val="11"/>
        </w:rPr>
        <w:t>34</w:t>
      </w:r>
    </w:p>
    <w:p w14:paraId="688181BC" w14:textId="77777777" w:rsidR="00894070" w:rsidRDefault="00894070">
      <w:pPr>
        <w:pStyle w:val="BodyText"/>
      </w:pPr>
    </w:p>
    <w:p w14:paraId="4B5AF9D7" w14:textId="77777777" w:rsidR="00894070" w:rsidRDefault="009F6793">
      <w:pPr>
        <w:pStyle w:val="BodyText"/>
        <w:spacing w:before="9"/>
      </w:pPr>
      <w:r>
        <w:pict w14:anchorId="496ECF52">
          <v:line id="_x0000_s1221" style="position:absolute;z-index:251724800;mso-wrap-distance-left:0;mso-wrap-distance-right:0;mso-position-horizontal-relative:page" from="79.35pt,16.8pt" to="515.9pt,16.8pt" strokecolor="#f8cabc" strokeweight="1pt">
            <w10:wrap type="topAndBottom" anchorx="page"/>
          </v:line>
        </w:pict>
      </w:r>
    </w:p>
    <w:p w14:paraId="7C2F8033" w14:textId="77777777" w:rsidR="00894070" w:rsidRDefault="00894070">
      <w:pPr>
        <w:pStyle w:val="BodyText"/>
        <w:rPr>
          <w:sz w:val="5"/>
        </w:rPr>
      </w:pPr>
    </w:p>
    <w:p w14:paraId="45560F3A" w14:textId="77777777" w:rsidR="00894070" w:rsidRDefault="00894070">
      <w:pPr>
        <w:rPr>
          <w:sz w:val="5"/>
        </w:rPr>
        <w:sectPr w:rsidR="00894070">
          <w:pgSz w:w="11910" w:h="16840"/>
          <w:pgMar w:top="860" w:right="420" w:bottom="280" w:left="580" w:header="567" w:footer="0" w:gutter="0"/>
          <w:cols w:space="720"/>
        </w:sectPr>
      </w:pPr>
    </w:p>
    <w:p w14:paraId="1192F0BA" w14:textId="77777777" w:rsidR="00894070" w:rsidRDefault="00894070">
      <w:pPr>
        <w:pStyle w:val="BodyText"/>
        <w:rPr>
          <w:sz w:val="28"/>
        </w:rPr>
      </w:pPr>
    </w:p>
    <w:p w14:paraId="4D29BC14" w14:textId="77777777" w:rsidR="00894070" w:rsidRDefault="00894070">
      <w:pPr>
        <w:pStyle w:val="BodyText"/>
        <w:rPr>
          <w:sz w:val="28"/>
        </w:rPr>
      </w:pPr>
    </w:p>
    <w:p w14:paraId="5521210F" w14:textId="77777777" w:rsidR="00894070" w:rsidRDefault="00894070">
      <w:pPr>
        <w:pStyle w:val="BodyText"/>
        <w:rPr>
          <w:sz w:val="28"/>
        </w:rPr>
      </w:pPr>
    </w:p>
    <w:p w14:paraId="72FE1576" w14:textId="77777777" w:rsidR="00894070" w:rsidRDefault="00894070">
      <w:pPr>
        <w:pStyle w:val="BodyText"/>
        <w:rPr>
          <w:sz w:val="28"/>
        </w:rPr>
      </w:pPr>
    </w:p>
    <w:p w14:paraId="188A47FB" w14:textId="77777777" w:rsidR="00894070" w:rsidRDefault="00894070">
      <w:pPr>
        <w:pStyle w:val="BodyText"/>
        <w:spacing w:before="3"/>
        <w:rPr>
          <w:sz w:val="30"/>
        </w:rPr>
      </w:pPr>
    </w:p>
    <w:p w14:paraId="0BF82242" w14:textId="77777777" w:rsidR="00894070" w:rsidRDefault="009B7AFD">
      <w:pPr>
        <w:pStyle w:val="Heading8"/>
        <w:ind w:left="140"/>
      </w:pPr>
      <w:r>
        <w:rPr>
          <w:color w:val="EA5B50"/>
        </w:rPr>
        <w:t>136</w:t>
      </w:r>
    </w:p>
    <w:p w14:paraId="4946E8AF" w14:textId="77777777" w:rsidR="00894070" w:rsidRDefault="009B7AFD">
      <w:pPr>
        <w:pStyle w:val="ListParagraph"/>
        <w:numPr>
          <w:ilvl w:val="0"/>
          <w:numId w:val="64"/>
        </w:numPr>
        <w:tabs>
          <w:tab w:val="left" w:pos="933"/>
          <w:tab w:val="left" w:pos="934"/>
        </w:tabs>
        <w:spacing w:before="38" w:line="213" w:lineRule="auto"/>
        <w:ind w:left="933" w:right="1285" w:hanging="793"/>
        <w:jc w:val="left"/>
        <w:rPr>
          <w:sz w:val="13"/>
        </w:rPr>
      </w:pPr>
      <w:r>
        <w:rPr>
          <w:color w:val="231F20"/>
          <w:spacing w:val="3"/>
          <w:sz w:val="13"/>
        </w:rPr>
        <w:br w:type="column"/>
      </w:r>
      <w:r>
        <w:rPr>
          <w:color w:val="231F20"/>
          <w:spacing w:val="2"/>
          <w:sz w:val="13"/>
        </w:rPr>
        <w:t xml:space="preserve">Submissions </w:t>
      </w:r>
      <w:r>
        <w:rPr>
          <w:color w:val="231F20"/>
          <w:sz w:val="13"/>
        </w:rPr>
        <w:t xml:space="preserve">32 (Centre for Forensic Behavioural Science), 56 </w:t>
      </w:r>
      <w:r>
        <w:rPr>
          <w:color w:val="231F20"/>
          <w:spacing w:val="2"/>
          <w:sz w:val="13"/>
        </w:rPr>
        <w:t xml:space="preserve">(Derryn </w:t>
      </w:r>
      <w:r>
        <w:rPr>
          <w:color w:val="231F20"/>
          <w:sz w:val="13"/>
        </w:rPr>
        <w:t xml:space="preserve">Hinch’s Justice Party); Consultations 2 (Children’s </w:t>
      </w:r>
      <w:r>
        <w:rPr>
          <w:color w:val="231F20"/>
          <w:spacing w:val="2"/>
          <w:sz w:val="13"/>
        </w:rPr>
        <w:t xml:space="preserve">Court </w:t>
      </w:r>
      <w:r>
        <w:rPr>
          <w:color w:val="231F20"/>
          <w:sz w:val="13"/>
        </w:rPr>
        <w:t xml:space="preserve">of Victoria (No 1)), 13 (Victoria Legal Aid), 18 (County </w:t>
      </w:r>
      <w:r>
        <w:rPr>
          <w:color w:val="231F20"/>
          <w:spacing w:val="2"/>
          <w:sz w:val="13"/>
        </w:rPr>
        <w:t xml:space="preserve">Court </w:t>
      </w:r>
      <w:r>
        <w:rPr>
          <w:color w:val="231F20"/>
          <w:sz w:val="13"/>
        </w:rPr>
        <w:t>of Victoria), 24 (Criminal Bar</w:t>
      </w:r>
      <w:r>
        <w:rPr>
          <w:color w:val="231F20"/>
          <w:spacing w:val="23"/>
          <w:sz w:val="13"/>
        </w:rPr>
        <w:t xml:space="preserve"> </w:t>
      </w:r>
      <w:r>
        <w:rPr>
          <w:color w:val="231F20"/>
          <w:sz w:val="13"/>
        </w:rPr>
        <w:t>Association).</w:t>
      </w:r>
    </w:p>
    <w:p w14:paraId="40596FF2" w14:textId="77777777" w:rsidR="00894070" w:rsidRDefault="009B7AFD">
      <w:pPr>
        <w:pStyle w:val="ListParagraph"/>
        <w:numPr>
          <w:ilvl w:val="0"/>
          <w:numId w:val="64"/>
        </w:numPr>
        <w:tabs>
          <w:tab w:val="left" w:pos="933"/>
          <w:tab w:val="left" w:pos="934"/>
        </w:tabs>
        <w:spacing w:line="213" w:lineRule="auto"/>
        <w:ind w:left="933" w:right="1412" w:hanging="793"/>
        <w:jc w:val="left"/>
        <w:rPr>
          <w:sz w:val="13"/>
        </w:rPr>
      </w:pP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Anti-Stalking Legislation in Victoria, Australia’ (PhD Thesis, Monash University, 2018) 75.</w:t>
      </w:r>
    </w:p>
    <w:p w14:paraId="42285FBF" w14:textId="77777777" w:rsidR="00894070" w:rsidRDefault="009B7AFD">
      <w:pPr>
        <w:pStyle w:val="ListParagraph"/>
        <w:numPr>
          <w:ilvl w:val="0"/>
          <w:numId w:val="64"/>
        </w:numPr>
        <w:tabs>
          <w:tab w:val="left" w:pos="933"/>
          <w:tab w:val="left" w:pos="934"/>
        </w:tabs>
        <w:spacing w:line="213" w:lineRule="auto"/>
        <w:ind w:left="933" w:right="1267" w:hanging="793"/>
        <w:jc w:val="left"/>
        <w:rPr>
          <w:sz w:val="13"/>
        </w:rPr>
      </w:pPr>
      <w:r>
        <w:rPr>
          <w:color w:val="231F20"/>
          <w:sz w:val="13"/>
        </w:rPr>
        <w:t xml:space="preserve">Expressed by McDonald J as ‘conduct which is protracted or conduct which is engaged in on more than one separate occasion’    in </w:t>
      </w:r>
      <w:r>
        <w:rPr>
          <w:i/>
          <w:color w:val="231F20"/>
          <w:spacing w:val="2"/>
          <w:sz w:val="13"/>
        </w:rPr>
        <w:t xml:space="preserve">Gunes </w:t>
      </w:r>
      <w:r>
        <w:rPr>
          <w:i/>
          <w:color w:val="231F20"/>
          <w:sz w:val="13"/>
        </w:rPr>
        <w:t xml:space="preserve">v Pearson </w:t>
      </w:r>
      <w:r>
        <w:rPr>
          <w:color w:val="231F20"/>
          <w:spacing w:val="2"/>
          <w:sz w:val="13"/>
        </w:rPr>
        <w:t xml:space="preserve">(1996) </w:t>
      </w:r>
      <w:r>
        <w:rPr>
          <w:color w:val="231F20"/>
          <w:sz w:val="13"/>
        </w:rPr>
        <w:t xml:space="preserve">A Crim R </w:t>
      </w:r>
      <w:r>
        <w:rPr>
          <w:color w:val="231F20"/>
          <w:spacing w:val="-3"/>
          <w:sz w:val="13"/>
        </w:rPr>
        <w:t xml:space="preserve">297, </w:t>
      </w:r>
      <w:r>
        <w:rPr>
          <w:color w:val="231F20"/>
          <w:spacing w:val="2"/>
          <w:sz w:val="13"/>
        </w:rPr>
        <w:t xml:space="preserve">306, </w:t>
      </w:r>
      <w:r>
        <w:rPr>
          <w:color w:val="231F20"/>
          <w:sz w:val="13"/>
        </w:rPr>
        <w:t xml:space="preserve">(Supreme </w:t>
      </w:r>
      <w:r>
        <w:rPr>
          <w:color w:val="231F20"/>
          <w:spacing w:val="2"/>
          <w:sz w:val="13"/>
        </w:rPr>
        <w:t xml:space="preserve">Court </w:t>
      </w:r>
      <w:r>
        <w:rPr>
          <w:color w:val="231F20"/>
          <w:sz w:val="13"/>
        </w:rPr>
        <w:t xml:space="preserve">of Victoria, McDonald J, 31 October </w:t>
      </w:r>
      <w:r>
        <w:rPr>
          <w:color w:val="231F20"/>
          <w:spacing w:val="2"/>
          <w:sz w:val="13"/>
        </w:rPr>
        <w:t xml:space="preserve">1996) </w:t>
      </w:r>
      <w:r>
        <w:rPr>
          <w:color w:val="231F20"/>
          <w:sz w:val="13"/>
        </w:rPr>
        <w:t xml:space="preserve">18; Judicial College of Victoria, ‘7.4.12 Stalking’, </w:t>
      </w:r>
      <w:r>
        <w:rPr>
          <w:i/>
          <w:color w:val="231F20"/>
          <w:sz w:val="13"/>
        </w:rPr>
        <w:t xml:space="preserve">Victorian Criminal Charge Book </w:t>
      </w:r>
      <w:r>
        <w:rPr>
          <w:color w:val="231F20"/>
          <w:sz w:val="13"/>
        </w:rPr>
        <w:t>(Online Manual, 12 September 2013) [10</w:t>
      </w:r>
      <w:hyperlink r:id="rId177">
        <w:r>
          <w:rPr>
            <w:color w:val="231F20"/>
            <w:sz w:val="13"/>
          </w:rPr>
          <w:t>] &lt;https://www.judicialcollege.</w:t>
        </w:r>
      </w:hyperlink>
      <w:hyperlink r:id="rId178">
        <w:r>
          <w:rPr>
            <w:color w:val="231F20"/>
            <w:sz w:val="13"/>
          </w:rPr>
          <w:t xml:space="preserve"> vic.edu.au/eManuals/CCB</w:t>
        </w:r>
      </w:hyperlink>
      <w:r>
        <w:rPr>
          <w:color w:val="231F20"/>
          <w:sz w:val="13"/>
        </w:rPr>
        <w:t>&gt;.</w:t>
      </w:r>
    </w:p>
    <w:p w14:paraId="21EDEB25" w14:textId="77777777" w:rsidR="00894070" w:rsidRDefault="009B7AFD">
      <w:pPr>
        <w:tabs>
          <w:tab w:val="left" w:pos="933"/>
        </w:tabs>
        <w:spacing w:line="151" w:lineRule="exact"/>
        <w:ind w:left="140"/>
        <w:rPr>
          <w:sz w:val="13"/>
        </w:rPr>
      </w:pPr>
      <w:r>
        <w:rPr>
          <w:color w:val="231F20"/>
          <w:sz w:val="13"/>
        </w:rPr>
        <w:t>30</w:t>
      </w:r>
      <w:r>
        <w:rPr>
          <w:color w:val="231F20"/>
          <w:sz w:val="13"/>
        </w:rPr>
        <w:tab/>
      </w:r>
      <w:r>
        <w:rPr>
          <w:i/>
          <w:color w:val="231F20"/>
          <w:sz w:val="13"/>
        </w:rPr>
        <w:t xml:space="preserve">Berlyn v Brouskos </w:t>
      </w:r>
      <w:r>
        <w:rPr>
          <w:color w:val="231F20"/>
          <w:sz w:val="13"/>
        </w:rPr>
        <w:t xml:space="preserve">[2002] VSC 377, (2002) </w:t>
      </w:r>
      <w:r>
        <w:rPr>
          <w:color w:val="231F20"/>
          <w:spacing w:val="2"/>
          <w:sz w:val="13"/>
        </w:rPr>
        <w:t xml:space="preserve">134 </w:t>
      </w:r>
      <w:r>
        <w:rPr>
          <w:color w:val="231F20"/>
          <w:sz w:val="13"/>
        </w:rPr>
        <w:t xml:space="preserve">A Crim R </w:t>
      </w:r>
      <w:r>
        <w:rPr>
          <w:color w:val="231F20"/>
          <w:spacing w:val="2"/>
          <w:sz w:val="13"/>
        </w:rPr>
        <w:t>111,</w:t>
      </w:r>
      <w:r>
        <w:rPr>
          <w:color w:val="231F20"/>
          <w:spacing w:val="1"/>
          <w:sz w:val="13"/>
        </w:rPr>
        <w:t xml:space="preserve"> </w:t>
      </w:r>
      <w:r>
        <w:rPr>
          <w:color w:val="231F20"/>
          <w:sz w:val="13"/>
        </w:rPr>
        <w:t>[24].</w:t>
      </w:r>
    </w:p>
    <w:p w14:paraId="3F62AC3B" w14:textId="77777777" w:rsidR="00894070" w:rsidRDefault="009B7AFD">
      <w:pPr>
        <w:pStyle w:val="ListParagraph"/>
        <w:numPr>
          <w:ilvl w:val="0"/>
          <w:numId w:val="62"/>
        </w:numPr>
        <w:tabs>
          <w:tab w:val="left" w:pos="933"/>
          <w:tab w:val="left" w:pos="934"/>
        </w:tabs>
        <w:spacing w:line="160" w:lineRule="exact"/>
        <w:ind w:hanging="793"/>
        <w:rPr>
          <w:sz w:val="13"/>
        </w:rPr>
      </w:pPr>
      <w:r>
        <w:rPr>
          <w:color w:val="231F20"/>
          <w:sz w:val="13"/>
        </w:rPr>
        <w:t>Consultation 13 (Victoria Legal</w:t>
      </w:r>
      <w:r>
        <w:rPr>
          <w:color w:val="231F20"/>
          <w:spacing w:val="1"/>
          <w:sz w:val="13"/>
        </w:rPr>
        <w:t xml:space="preserve"> </w:t>
      </w:r>
      <w:r>
        <w:rPr>
          <w:color w:val="231F20"/>
          <w:sz w:val="13"/>
        </w:rPr>
        <w:t>Aid).</w:t>
      </w:r>
    </w:p>
    <w:p w14:paraId="47761957" w14:textId="77777777" w:rsidR="00894070" w:rsidRDefault="009B7AFD">
      <w:pPr>
        <w:pStyle w:val="ListParagraph"/>
        <w:numPr>
          <w:ilvl w:val="0"/>
          <w:numId w:val="62"/>
        </w:numPr>
        <w:tabs>
          <w:tab w:val="left" w:pos="933"/>
          <w:tab w:val="left" w:pos="934"/>
        </w:tabs>
        <w:spacing w:line="160" w:lineRule="exact"/>
        <w:ind w:hanging="793"/>
        <w:rPr>
          <w:sz w:val="13"/>
        </w:rPr>
      </w:pPr>
      <w:r>
        <w:rPr>
          <w:color w:val="231F20"/>
          <w:sz w:val="13"/>
        </w:rPr>
        <w:t xml:space="preserve">Consultation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w:t>
      </w:r>
      <w:r>
        <w:rPr>
          <w:color w:val="231F20"/>
          <w:spacing w:val="6"/>
          <w:sz w:val="13"/>
        </w:rPr>
        <w:t xml:space="preserve"> </w:t>
      </w:r>
      <w:r>
        <w:rPr>
          <w:color w:val="231F20"/>
          <w:sz w:val="13"/>
        </w:rPr>
        <w:t>Victoria).</w:t>
      </w:r>
    </w:p>
    <w:p w14:paraId="18B70A81" w14:textId="77777777" w:rsidR="00894070" w:rsidRDefault="009B7AFD">
      <w:pPr>
        <w:pStyle w:val="ListParagraph"/>
        <w:numPr>
          <w:ilvl w:val="0"/>
          <w:numId w:val="62"/>
        </w:numPr>
        <w:tabs>
          <w:tab w:val="left" w:pos="933"/>
          <w:tab w:val="left" w:pos="934"/>
        </w:tabs>
        <w:spacing w:before="4" w:line="213" w:lineRule="auto"/>
        <w:ind w:right="1567" w:hanging="793"/>
        <w:rPr>
          <w:sz w:val="13"/>
        </w:rPr>
      </w:pPr>
      <w:r>
        <w:rPr>
          <w:color w:val="231F20"/>
          <w:sz w:val="13"/>
        </w:rPr>
        <w:t xml:space="preserve">Consultation 18 (County </w:t>
      </w:r>
      <w:r>
        <w:rPr>
          <w:color w:val="231F20"/>
          <w:spacing w:val="2"/>
          <w:sz w:val="13"/>
        </w:rPr>
        <w:t xml:space="preserve">Court </w:t>
      </w:r>
      <w:r>
        <w:rPr>
          <w:color w:val="231F20"/>
          <w:sz w:val="13"/>
        </w:rPr>
        <w:t xml:space="preserve">of Victoria): see </w:t>
      </w:r>
      <w:r>
        <w:rPr>
          <w:color w:val="231F20"/>
          <w:spacing w:val="2"/>
          <w:sz w:val="13"/>
        </w:rPr>
        <w:t xml:space="preserve">also </w:t>
      </w: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Anti-Stalking Legislation in Victoria, Australia’ (PhD Thesis, Monash University, 2018)</w:t>
      </w:r>
      <w:r>
        <w:rPr>
          <w:color w:val="231F20"/>
          <w:spacing w:val="9"/>
          <w:sz w:val="13"/>
        </w:rPr>
        <w:t xml:space="preserve"> </w:t>
      </w:r>
      <w:r>
        <w:rPr>
          <w:color w:val="231F20"/>
          <w:sz w:val="13"/>
        </w:rPr>
        <w:t>192.</w:t>
      </w:r>
    </w:p>
    <w:p w14:paraId="411ABFEB" w14:textId="77777777" w:rsidR="00894070" w:rsidRDefault="009B7AFD">
      <w:pPr>
        <w:pStyle w:val="ListParagraph"/>
        <w:numPr>
          <w:ilvl w:val="0"/>
          <w:numId w:val="62"/>
        </w:numPr>
        <w:tabs>
          <w:tab w:val="left" w:pos="933"/>
          <w:tab w:val="left" w:pos="934"/>
        </w:tabs>
        <w:spacing w:line="163" w:lineRule="exact"/>
        <w:ind w:hanging="793"/>
        <w:rPr>
          <w:sz w:val="13"/>
        </w:rPr>
      </w:pPr>
      <w:r>
        <w:rPr>
          <w:color w:val="231F20"/>
          <w:spacing w:val="2"/>
          <w:sz w:val="13"/>
        </w:rPr>
        <w:t xml:space="preserve">Submission </w:t>
      </w:r>
      <w:r>
        <w:rPr>
          <w:color w:val="231F20"/>
          <w:sz w:val="13"/>
        </w:rPr>
        <w:t>106 (Dr Steven Tudor &amp; Greg Byrne</w:t>
      </w:r>
      <w:r>
        <w:rPr>
          <w:color w:val="231F20"/>
          <w:spacing w:val="-1"/>
          <w:sz w:val="13"/>
        </w:rPr>
        <w:t xml:space="preserve"> </w:t>
      </w:r>
      <w:r>
        <w:rPr>
          <w:color w:val="231F20"/>
          <w:sz w:val="13"/>
        </w:rPr>
        <w:t>PSM).</w:t>
      </w:r>
    </w:p>
    <w:p w14:paraId="3A417808" w14:textId="77777777" w:rsidR="00894070" w:rsidRDefault="00894070">
      <w:pPr>
        <w:spacing w:line="163" w:lineRule="exact"/>
        <w:rPr>
          <w:sz w:val="13"/>
        </w:rPr>
        <w:sectPr w:rsidR="00894070">
          <w:type w:val="continuous"/>
          <w:pgSz w:w="11910" w:h="16840"/>
          <w:pgMar w:top="560" w:right="420" w:bottom="280" w:left="580" w:header="720" w:footer="720" w:gutter="0"/>
          <w:cols w:num="2" w:space="720" w:equalWidth="0">
            <w:col w:w="577" w:space="290"/>
            <w:col w:w="10043"/>
          </w:cols>
        </w:sectPr>
      </w:pPr>
    </w:p>
    <w:p w14:paraId="7CA6A6B1" w14:textId="77777777" w:rsidR="00894070" w:rsidRDefault="00894070">
      <w:pPr>
        <w:pStyle w:val="BodyText"/>
      </w:pPr>
    </w:p>
    <w:p w14:paraId="2055C1B3" w14:textId="77777777" w:rsidR="00894070" w:rsidRDefault="00894070">
      <w:pPr>
        <w:pStyle w:val="BodyText"/>
      </w:pPr>
    </w:p>
    <w:p w14:paraId="14F4AB00" w14:textId="77777777" w:rsidR="00894070" w:rsidRDefault="00894070">
      <w:pPr>
        <w:pStyle w:val="BodyText"/>
      </w:pPr>
    </w:p>
    <w:p w14:paraId="0950D09B" w14:textId="77777777" w:rsidR="00894070" w:rsidRDefault="00894070">
      <w:pPr>
        <w:pStyle w:val="BodyText"/>
        <w:spacing w:before="6"/>
        <w:rPr>
          <w:sz w:val="14"/>
        </w:rPr>
      </w:pPr>
    </w:p>
    <w:p w14:paraId="7C5F8739" w14:textId="77777777" w:rsidR="00894070" w:rsidRDefault="009B7AFD">
      <w:pPr>
        <w:pStyle w:val="ListParagraph"/>
        <w:numPr>
          <w:ilvl w:val="1"/>
          <w:numId w:val="65"/>
        </w:numPr>
        <w:tabs>
          <w:tab w:val="left" w:pos="1801"/>
          <w:tab w:val="left" w:pos="1802"/>
        </w:tabs>
        <w:spacing w:before="90" w:line="206" w:lineRule="auto"/>
        <w:ind w:right="1341"/>
        <w:rPr>
          <w:sz w:val="11"/>
        </w:rPr>
      </w:pPr>
      <w:bookmarkStart w:id="153" w:name="_bookmark91"/>
      <w:bookmarkEnd w:id="153"/>
      <w:r>
        <w:rPr>
          <w:color w:val="231F20"/>
          <w:spacing w:val="-6"/>
          <w:sz w:val="20"/>
        </w:rPr>
        <w:t xml:space="preserve">We </w:t>
      </w:r>
      <w:r>
        <w:rPr>
          <w:color w:val="231F20"/>
          <w:spacing w:val="-3"/>
          <w:sz w:val="20"/>
        </w:rPr>
        <w:t xml:space="preserve">note </w:t>
      </w:r>
      <w:r>
        <w:rPr>
          <w:color w:val="231F20"/>
          <w:sz w:val="20"/>
        </w:rPr>
        <w:t xml:space="preserve">the point made </w:t>
      </w:r>
      <w:r>
        <w:rPr>
          <w:color w:val="231F20"/>
          <w:spacing w:val="-3"/>
          <w:sz w:val="20"/>
        </w:rPr>
        <w:t xml:space="preserve">by </w:t>
      </w:r>
      <w:r>
        <w:rPr>
          <w:color w:val="231F20"/>
          <w:sz w:val="20"/>
        </w:rPr>
        <w:t xml:space="preserve">the Law </w:t>
      </w:r>
      <w:r>
        <w:rPr>
          <w:color w:val="231F20"/>
          <w:spacing w:val="-3"/>
          <w:sz w:val="20"/>
        </w:rPr>
        <w:t xml:space="preserve">Institute </w:t>
      </w:r>
      <w:r>
        <w:rPr>
          <w:color w:val="231F20"/>
          <w:sz w:val="20"/>
        </w:rPr>
        <w:t>of Victoria that while the case law clarifies</w:t>
      </w:r>
      <w:r>
        <w:rPr>
          <w:color w:val="231F20"/>
          <w:spacing w:val="-10"/>
          <w:sz w:val="20"/>
        </w:rPr>
        <w:t xml:space="preserve"> </w:t>
      </w:r>
      <w:r>
        <w:rPr>
          <w:color w:val="231F20"/>
          <w:sz w:val="20"/>
        </w:rPr>
        <w:t>what</w:t>
      </w:r>
      <w:r>
        <w:rPr>
          <w:color w:val="231F20"/>
          <w:spacing w:val="-10"/>
          <w:sz w:val="20"/>
        </w:rPr>
        <w:t xml:space="preserve"> </w:t>
      </w:r>
      <w:r>
        <w:rPr>
          <w:color w:val="231F20"/>
          <w:sz w:val="20"/>
        </w:rPr>
        <w:t>a</w:t>
      </w:r>
      <w:r>
        <w:rPr>
          <w:color w:val="231F20"/>
          <w:spacing w:val="-10"/>
          <w:sz w:val="20"/>
        </w:rPr>
        <w:t xml:space="preserve"> </w:t>
      </w:r>
      <w:r>
        <w:rPr>
          <w:color w:val="231F20"/>
          <w:sz w:val="20"/>
        </w:rPr>
        <w:t>course</w:t>
      </w:r>
      <w:r>
        <w:rPr>
          <w:color w:val="231F20"/>
          <w:spacing w:val="-9"/>
          <w:sz w:val="20"/>
        </w:rPr>
        <w:t xml:space="preserve"> </w:t>
      </w:r>
      <w:r>
        <w:rPr>
          <w:color w:val="231F20"/>
          <w:sz w:val="20"/>
        </w:rPr>
        <w:t>of</w:t>
      </w:r>
      <w:r>
        <w:rPr>
          <w:color w:val="231F20"/>
          <w:spacing w:val="-10"/>
          <w:sz w:val="20"/>
        </w:rPr>
        <w:t xml:space="preserve"> </w:t>
      </w:r>
      <w:r>
        <w:rPr>
          <w:color w:val="231F20"/>
          <w:sz w:val="20"/>
        </w:rPr>
        <w:t>conduct</w:t>
      </w:r>
      <w:r>
        <w:rPr>
          <w:color w:val="231F20"/>
          <w:spacing w:val="-10"/>
          <w:sz w:val="20"/>
        </w:rPr>
        <w:t xml:space="preserve"> </w:t>
      </w:r>
      <w:r>
        <w:rPr>
          <w:color w:val="231F20"/>
          <w:sz w:val="20"/>
        </w:rPr>
        <w:t>is,</w:t>
      </w:r>
      <w:r>
        <w:rPr>
          <w:color w:val="231F20"/>
          <w:spacing w:val="-9"/>
          <w:sz w:val="20"/>
        </w:rPr>
        <w:t xml:space="preserve"> </w:t>
      </w:r>
      <w:r>
        <w:rPr>
          <w:color w:val="231F20"/>
          <w:sz w:val="20"/>
        </w:rPr>
        <w:t>it</w:t>
      </w:r>
      <w:r>
        <w:rPr>
          <w:color w:val="231F20"/>
          <w:spacing w:val="-10"/>
          <w:sz w:val="20"/>
        </w:rPr>
        <w:t xml:space="preserve"> </w:t>
      </w:r>
      <w:r>
        <w:rPr>
          <w:color w:val="231F20"/>
          <w:sz w:val="20"/>
        </w:rPr>
        <w:t>‘is</w:t>
      </w:r>
      <w:r>
        <w:rPr>
          <w:color w:val="231F20"/>
          <w:spacing w:val="-10"/>
          <w:sz w:val="20"/>
        </w:rPr>
        <w:t xml:space="preserve"> </w:t>
      </w:r>
      <w:r>
        <w:rPr>
          <w:color w:val="231F20"/>
          <w:sz w:val="20"/>
        </w:rPr>
        <w:t>not</w:t>
      </w:r>
      <w:r>
        <w:rPr>
          <w:color w:val="231F20"/>
          <w:spacing w:val="-9"/>
          <w:sz w:val="20"/>
        </w:rPr>
        <w:t xml:space="preserve"> </w:t>
      </w:r>
      <w:r>
        <w:rPr>
          <w:color w:val="231F20"/>
          <w:sz w:val="20"/>
        </w:rPr>
        <w:t>necessarily</w:t>
      </w:r>
      <w:r>
        <w:rPr>
          <w:color w:val="231F20"/>
          <w:spacing w:val="-10"/>
          <w:sz w:val="20"/>
        </w:rPr>
        <w:t xml:space="preserve"> </w:t>
      </w:r>
      <w:r>
        <w:rPr>
          <w:color w:val="231F20"/>
          <w:sz w:val="20"/>
        </w:rPr>
        <w:t>helpful</w:t>
      </w:r>
      <w:r>
        <w:rPr>
          <w:color w:val="231F20"/>
          <w:spacing w:val="-10"/>
          <w:sz w:val="20"/>
        </w:rPr>
        <w:t xml:space="preserve"> </w:t>
      </w:r>
      <w:r>
        <w:rPr>
          <w:color w:val="231F20"/>
          <w:spacing w:val="-3"/>
          <w:sz w:val="20"/>
        </w:rPr>
        <w:t>for</w:t>
      </w:r>
      <w:r>
        <w:rPr>
          <w:color w:val="231F20"/>
          <w:spacing w:val="-9"/>
          <w:sz w:val="20"/>
        </w:rPr>
        <w:t xml:space="preserve"> </w:t>
      </w:r>
      <w:r>
        <w:rPr>
          <w:color w:val="231F20"/>
          <w:sz w:val="20"/>
        </w:rPr>
        <w:t>those</w:t>
      </w:r>
      <w:r>
        <w:rPr>
          <w:color w:val="231F20"/>
          <w:spacing w:val="-10"/>
          <w:sz w:val="20"/>
        </w:rPr>
        <w:t xml:space="preserve"> </w:t>
      </w:r>
      <w:r>
        <w:rPr>
          <w:color w:val="231F20"/>
          <w:sz w:val="20"/>
        </w:rPr>
        <w:t>who</w:t>
      </w:r>
      <w:r>
        <w:rPr>
          <w:color w:val="231F20"/>
          <w:spacing w:val="-10"/>
          <w:sz w:val="20"/>
        </w:rPr>
        <w:t xml:space="preserve"> </w:t>
      </w:r>
      <w:r>
        <w:rPr>
          <w:color w:val="231F20"/>
          <w:spacing w:val="-3"/>
          <w:sz w:val="20"/>
        </w:rPr>
        <w:t>are</w:t>
      </w:r>
      <w:r>
        <w:rPr>
          <w:color w:val="231F20"/>
          <w:spacing w:val="-10"/>
          <w:sz w:val="20"/>
        </w:rPr>
        <w:t xml:space="preserve"> </w:t>
      </w:r>
      <w:r>
        <w:rPr>
          <w:color w:val="231F20"/>
          <w:sz w:val="20"/>
        </w:rPr>
        <w:t xml:space="preserve">not </w:t>
      </w:r>
      <w:r>
        <w:rPr>
          <w:color w:val="231F20"/>
          <w:spacing w:val="-3"/>
          <w:sz w:val="20"/>
        </w:rPr>
        <w:t>lawyers’.</w:t>
      </w:r>
      <w:r>
        <w:rPr>
          <w:color w:val="231F20"/>
          <w:spacing w:val="-3"/>
          <w:position w:val="7"/>
          <w:sz w:val="11"/>
        </w:rPr>
        <w:t>35</w:t>
      </w:r>
    </w:p>
    <w:p w14:paraId="77D38965" w14:textId="77777777" w:rsidR="00894070" w:rsidRDefault="009B7AFD">
      <w:pPr>
        <w:pStyle w:val="ListParagraph"/>
        <w:numPr>
          <w:ilvl w:val="1"/>
          <w:numId w:val="65"/>
        </w:numPr>
        <w:tabs>
          <w:tab w:val="left" w:pos="1801"/>
          <w:tab w:val="left" w:pos="1802"/>
        </w:tabs>
        <w:spacing w:before="124" w:line="206" w:lineRule="auto"/>
        <w:ind w:right="1449"/>
        <w:rPr>
          <w:sz w:val="20"/>
        </w:rPr>
      </w:pPr>
      <w:r>
        <w:rPr>
          <w:color w:val="231F20"/>
          <w:sz w:val="20"/>
        </w:rPr>
        <w:t>When</w:t>
      </w:r>
      <w:r>
        <w:rPr>
          <w:color w:val="231F20"/>
          <w:spacing w:val="-11"/>
          <w:sz w:val="20"/>
        </w:rPr>
        <w:t xml:space="preserve"> </w:t>
      </w:r>
      <w:r>
        <w:rPr>
          <w:color w:val="231F20"/>
          <w:sz w:val="20"/>
        </w:rPr>
        <w:t>drafting</w:t>
      </w:r>
      <w:r>
        <w:rPr>
          <w:color w:val="231F20"/>
          <w:spacing w:val="-11"/>
          <w:sz w:val="20"/>
        </w:rPr>
        <w:t xml:space="preserve"> </w:t>
      </w:r>
      <w:r>
        <w:rPr>
          <w:color w:val="231F20"/>
          <w:sz w:val="20"/>
        </w:rPr>
        <w:t>the</w:t>
      </w:r>
      <w:r>
        <w:rPr>
          <w:color w:val="231F20"/>
          <w:spacing w:val="-10"/>
          <w:sz w:val="20"/>
        </w:rPr>
        <w:t xml:space="preserve"> </w:t>
      </w:r>
      <w:r>
        <w:rPr>
          <w:color w:val="231F20"/>
          <w:sz w:val="20"/>
        </w:rPr>
        <w:t>new</w:t>
      </w:r>
      <w:r>
        <w:rPr>
          <w:color w:val="231F20"/>
          <w:spacing w:val="-11"/>
          <w:sz w:val="20"/>
        </w:rPr>
        <w:t xml:space="preserve"> </w:t>
      </w:r>
      <w:r>
        <w:rPr>
          <w:color w:val="231F20"/>
          <w:sz w:val="20"/>
        </w:rPr>
        <w:t>provisions,</w:t>
      </w:r>
      <w:r>
        <w:rPr>
          <w:color w:val="231F20"/>
          <w:spacing w:val="-11"/>
          <w:sz w:val="20"/>
        </w:rPr>
        <w:t xml:space="preserve"> </w:t>
      </w:r>
      <w:r>
        <w:rPr>
          <w:color w:val="231F20"/>
          <w:sz w:val="20"/>
        </w:rPr>
        <w:t>the</w:t>
      </w:r>
      <w:r>
        <w:rPr>
          <w:color w:val="231F20"/>
          <w:spacing w:val="-10"/>
          <w:sz w:val="20"/>
        </w:rPr>
        <w:t xml:space="preserve"> </w:t>
      </w:r>
      <w:r>
        <w:rPr>
          <w:color w:val="231F20"/>
          <w:spacing w:val="-3"/>
          <w:sz w:val="20"/>
        </w:rPr>
        <w:t>government</w:t>
      </w:r>
      <w:r>
        <w:rPr>
          <w:color w:val="231F20"/>
          <w:spacing w:val="-11"/>
          <w:sz w:val="20"/>
        </w:rPr>
        <w:t xml:space="preserve"> </w:t>
      </w:r>
      <w:r>
        <w:rPr>
          <w:color w:val="231F20"/>
          <w:sz w:val="20"/>
        </w:rPr>
        <w:t>could</w:t>
      </w:r>
      <w:r>
        <w:rPr>
          <w:color w:val="231F20"/>
          <w:spacing w:val="-10"/>
          <w:sz w:val="20"/>
        </w:rPr>
        <w:t xml:space="preserve"> </w:t>
      </w:r>
      <w:r>
        <w:rPr>
          <w:color w:val="231F20"/>
          <w:sz w:val="20"/>
        </w:rPr>
        <w:t>also</w:t>
      </w:r>
      <w:r>
        <w:rPr>
          <w:color w:val="231F20"/>
          <w:spacing w:val="-11"/>
          <w:sz w:val="20"/>
        </w:rPr>
        <w:t xml:space="preserve"> </w:t>
      </w:r>
      <w:r>
        <w:rPr>
          <w:color w:val="231F20"/>
          <w:sz w:val="20"/>
        </w:rPr>
        <w:t>consider</w:t>
      </w:r>
      <w:r>
        <w:rPr>
          <w:color w:val="231F20"/>
          <w:spacing w:val="-11"/>
          <w:sz w:val="20"/>
        </w:rPr>
        <w:t xml:space="preserve"> </w:t>
      </w:r>
      <w:r>
        <w:rPr>
          <w:color w:val="231F20"/>
          <w:sz w:val="20"/>
        </w:rPr>
        <w:t>modernising the</w:t>
      </w:r>
      <w:r>
        <w:rPr>
          <w:color w:val="231F20"/>
          <w:spacing w:val="-11"/>
          <w:sz w:val="20"/>
        </w:rPr>
        <w:t xml:space="preserve"> </w:t>
      </w:r>
      <w:r>
        <w:rPr>
          <w:color w:val="231F20"/>
          <w:sz w:val="20"/>
        </w:rPr>
        <w:t>language</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offence</w:t>
      </w:r>
      <w:r>
        <w:rPr>
          <w:color w:val="231F20"/>
          <w:spacing w:val="-10"/>
          <w:sz w:val="20"/>
        </w:rPr>
        <w:t xml:space="preserve"> </w:t>
      </w:r>
      <w:r>
        <w:rPr>
          <w:color w:val="231F20"/>
          <w:sz w:val="20"/>
        </w:rPr>
        <w:t>and</w:t>
      </w:r>
      <w:r>
        <w:rPr>
          <w:color w:val="231F20"/>
          <w:spacing w:val="-10"/>
          <w:sz w:val="20"/>
        </w:rPr>
        <w:t xml:space="preserve"> </w:t>
      </w:r>
      <w:r>
        <w:rPr>
          <w:color w:val="231F20"/>
          <w:sz w:val="20"/>
        </w:rPr>
        <w:t>using</w:t>
      </w:r>
      <w:r>
        <w:rPr>
          <w:color w:val="231F20"/>
          <w:spacing w:val="-10"/>
          <w:sz w:val="20"/>
        </w:rPr>
        <w:t xml:space="preserve"> </w:t>
      </w:r>
      <w:r>
        <w:rPr>
          <w:color w:val="231F20"/>
          <w:sz w:val="20"/>
        </w:rPr>
        <w:t>definitions</w:t>
      </w:r>
      <w:r>
        <w:rPr>
          <w:color w:val="231F20"/>
          <w:spacing w:val="-10"/>
          <w:sz w:val="20"/>
        </w:rPr>
        <w:t xml:space="preserve"> </w:t>
      </w:r>
      <w:r>
        <w:rPr>
          <w:color w:val="231F20"/>
          <w:sz w:val="20"/>
        </w:rPr>
        <w:t>that</w:t>
      </w:r>
      <w:r>
        <w:rPr>
          <w:color w:val="231F20"/>
          <w:spacing w:val="-10"/>
          <w:sz w:val="20"/>
        </w:rPr>
        <w:t xml:space="preserve"> </w:t>
      </w:r>
      <w:r>
        <w:rPr>
          <w:color w:val="231F20"/>
          <w:spacing w:val="-3"/>
          <w:sz w:val="20"/>
        </w:rPr>
        <w:t>are</w:t>
      </w:r>
      <w:r>
        <w:rPr>
          <w:color w:val="231F20"/>
          <w:spacing w:val="-10"/>
          <w:sz w:val="20"/>
        </w:rPr>
        <w:t xml:space="preserve"> </w:t>
      </w:r>
      <w:r>
        <w:rPr>
          <w:color w:val="231F20"/>
          <w:sz w:val="20"/>
        </w:rPr>
        <w:t>plainer</w:t>
      </w:r>
      <w:r>
        <w:rPr>
          <w:color w:val="231F20"/>
          <w:spacing w:val="-10"/>
          <w:sz w:val="20"/>
        </w:rPr>
        <w:t xml:space="preserve"> </w:t>
      </w:r>
      <w:r>
        <w:rPr>
          <w:color w:val="231F20"/>
          <w:sz w:val="20"/>
        </w:rPr>
        <w:t>than</w:t>
      </w:r>
      <w:r>
        <w:rPr>
          <w:color w:val="231F20"/>
          <w:spacing w:val="-10"/>
          <w:sz w:val="20"/>
        </w:rPr>
        <w:t xml:space="preserve"> </w:t>
      </w:r>
      <w:r>
        <w:rPr>
          <w:color w:val="231F20"/>
          <w:sz w:val="20"/>
        </w:rPr>
        <w:t>they</w:t>
      </w:r>
      <w:r>
        <w:rPr>
          <w:color w:val="231F20"/>
          <w:spacing w:val="-10"/>
          <w:sz w:val="20"/>
        </w:rPr>
        <w:t xml:space="preserve"> </w:t>
      </w:r>
      <w:r>
        <w:rPr>
          <w:color w:val="231F20"/>
          <w:spacing w:val="-3"/>
          <w:sz w:val="20"/>
        </w:rPr>
        <w:t>are</w:t>
      </w:r>
      <w:r>
        <w:rPr>
          <w:color w:val="231F20"/>
          <w:spacing w:val="-10"/>
          <w:sz w:val="20"/>
        </w:rPr>
        <w:t xml:space="preserve"> </w:t>
      </w:r>
      <w:r>
        <w:rPr>
          <w:color w:val="231F20"/>
          <w:spacing w:val="-5"/>
          <w:sz w:val="20"/>
        </w:rPr>
        <w:t>now.</w:t>
      </w:r>
    </w:p>
    <w:p w14:paraId="094AD2EB" w14:textId="77777777" w:rsidR="00894070" w:rsidRDefault="009B7AFD">
      <w:pPr>
        <w:pStyle w:val="ListParagraph"/>
        <w:numPr>
          <w:ilvl w:val="1"/>
          <w:numId w:val="65"/>
        </w:numPr>
        <w:tabs>
          <w:tab w:val="left" w:pos="1801"/>
          <w:tab w:val="left" w:pos="1802"/>
        </w:tabs>
        <w:spacing w:before="122" w:line="206" w:lineRule="auto"/>
        <w:ind w:right="1963"/>
        <w:rPr>
          <w:sz w:val="11"/>
        </w:rPr>
      </w:pPr>
      <w:r>
        <w:rPr>
          <w:color w:val="231F20"/>
          <w:spacing w:val="-6"/>
          <w:sz w:val="20"/>
        </w:rPr>
        <w:t>We</w:t>
      </w:r>
      <w:r>
        <w:rPr>
          <w:color w:val="231F20"/>
          <w:spacing w:val="-10"/>
          <w:sz w:val="20"/>
        </w:rPr>
        <w:t xml:space="preserve"> </w:t>
      </w:r>
      <w:r>
        <w:rPr>
          <w:color w:val="231F20"/>
          <w:spacing w:val="-3"/>
          <w:sz w:val="20"/>
        </w:rPr>
        <w:t>note</w:t>
      </w:r>
      <w:r>
        <w:rPr>
          <w:color w:val="231F20"/>
          <w:spacing w:val="-10"/>
          <w:sz w:val="20"/>
        </w:rPr>
        <w:t xml:space="preserve"> </w:t>
      </w:r>
      <w:r>
        <w:rPr>
          <w:color w:val="231F20"/>
          <w:sz w:val="20"/>
        </w:rPr>
        <w:t>that</w:t>
      </w:r>
      <w:r>
        <w:rPr>
          <w:color w:val="231F20"/>
          <w:spacing w:val="-10"/>
          <w:sz w:val="20"/>
        </w:rPr>
        <w:t xml:space="preserve"> </w:t>
      </w:r>
      <w:r>
        <w:rPr>
          <w:color w:val="231F20"/>
          <w:sz w:val="20"/>
        </w:rPr>
        <w:t>some</w:t>
      </w:r>
      <w:r>
        <w:rPr>
          <w:color w:val="231F20"/>
          <w:spacing w:val="-10"/>
          <w:sz w:val="20"/>
        </w:rPr>
        <w:t xml:space="preserve"> </w:t>
      </w:r>
      <w:r>
        <w:rPr>
          <w:color w:val="231F20"/>
          <w:sz w:val="20"/>
        </w:rPr>
        <w:t>other</w:t>
      </w:r>
      <w:r>
        <w:rPr>
          <w:color w:val="231F20"/>
          <w:spacing w:val="-9"/>
          <w:sz w:val="20"/>
        </w:rPr>
        <w:t xml:space="preserve"> </w:t>
      </w:r>
      <w:r>
        <w:rPr>
          <w:color w:val="231F20"/>
          <w:sz w:val="20"/>
        </w:rPr>
        <w:t>Australian</w:t>
      </w:r>
      <w:r>
        <w:rPr>
          <w:color w:val="231F20"/>
          <w:spacing w:val="-10"/>
          <w:sz w:val="20"/>
        </w:rPr>
        <w:t xml:space="preserve"> </w:t>
      </w:r>
      <w:r>
        <w:rPr>
          <w:color w:val="231F20"/>
          <w:sz w:val="20"/>
        </w:rPr>
        <w:t>states</w:t>
      </w:r>
      <w:r>
        <w:rPr>
          <w:color w:val="231F20"/>
          <w:spacing w:val="-10"/>
          <w:sz w:val="20"/>
        </w:rPr>
        <w:t xml:space="preserve"> </w:t>
      </w:r>
      <w:r>
        <w:rPr>
          <w:color w:val="231F20"/>
          <w:sz w:val="20"/>
        </w:rPr>
        <w:t>and</w:t>
      </w:r>
      <w:r>
        <w:rPr>
          <w:color w:val="231F20"/>
          <w:spacing w:val="-10"/>
          <w:sz w:val="20"/>
        </w:rPr>
        <w:t xml:space="preserve"> </w:t>
      </w:r>
      <w:r>
        <w:rPr>
          <w:color w:val="231F20"/>
          <w:sz w:val="20"/>
        </w:rPr>
        <w:t>territories</w:t>
      </w:r>
      <w:r>
        <w:rPr>
          <w:color w:val="231F20"/>
          <w:spacing w:val="-10"/>
          <w:sz w:val="20"/>
        </w:rPr>
        <w:t xml:space="preserve"> </w:t>
      </w:r>
      <w:r>
        <w:rPr>
          <w:color w:val="231F20"/>
          <w:sz w:val="20"/>
        </w:rPr>
        <w:t>describe</w:t>
      </w:r>
      <w:r>
        <w:rPr>
          <w:color w:val="231F20"/>
          <w:spacing w:val="-9"/>
          <w:sz w:val="20"/>
        </w:rPr>
        <w:t xml:space="preserve"> </w:t>
      </w:r>
      <w:r>
        <w:rPr>
          <w:color w:val="231F20"/>
          <w:sz w:val="20"/>
        </w:rPr>
        <w:t>the</w:t>
      </w:r>
      <w:r>
        <w:rPr>
          <w:color w:val="231F20"/>
          <w:spacing w:val="-10"/>
          <w:sz w:val="20"/>
        </w:rPr>
        <w:t xml:space="preserve"> </w:t>
      </w:r>
      <w:r>
        <w:rPr>
          <w:color w:val="231F20"/>
          <w:spacing w:val="-3"/>
          <w:sz w:val="20"/>
        </w:rPr>
        <w:t xml:space="preserve">required frequency, </w:t>
      </w:r>
      <w:r>
        <w:rPr>
          <w:color w:val="231F20"/>
          <w:sz w:val="20"/>
        </w:rPr>
        <w:t>rather than requiring a ‘course of</w:t>
      </w:r>
      <w:r>
        <w:rPr>
          <w:color w:val="231F20"/>
          <w:spacing w:val="-33"/>
          <w:sz w:val="20"/>
        </w:rPr>
        <w:t xml:space="preserve"> </w:t>
      </w:r>
      <w:r>
        <w:rPr>
          <w:color w:val="231F20"/>
          <w:sz w:val="20"/>
        </w:rPr>
        <w:t>conduct’.</w:t>
      </w:r>
      <w:r>
        <w:rPr>
          <w:color w:val="231F20"/>
          <w:position w:val="7"/>
          <w:sz w:val="11"/>
        </w:rPr>
        <w:t>36</w:t>
      </w:r>
    </w:p>
    <w:p w14:paraId="168A3227" w14:textId="77777777" w:rsidR="00894070" w:rsidRDefault="009B7AFD">
      <w:pPr>
        <w:pStyle w:val="ListParagraph"/>
        <w:numPr>
          <w:ilvl w:val="1"/>
          <w:numId w:val="65"/>
        </w:numPr>
        <w:tabs>
          <w:tab w:val="left" w:pos="1801"/>
          <w:tab w:val="left" w:pos="1802"/>
        </w:tabs>
        <w:spacing w:before="90" w:line="259" w:lineRule="exact"/>
        <w:rPr>
          <w:sz w:val="20"/>
        </w:rPr>
      </w:pPr>
      <w:r>
        <w:rPr>
          <w:color w:val="231F20"/>
          <w:sz w:val="20"/>
        </w:rPr>
        <w:t xml:space="preserve">Some legislation uses </w:t>
      </w:r>
      <w:r>
        <w:rPr>
          <w:color w:val="231F20"/>
          <w:spacing w:val="-3"/>
          <w:sz w:val="20"/>
        </w:rPr>
        <w:t xml:space="preserve">examples </w:t>
      </w:r>
      <w:r>
        <w:rPr>
          <w:color w:val="231F20"/>
          <w:sz w:val="20"/>
        </w:rPr>
        <w:t xml:space="preserve">to explain </w:t>
      </w:r>
      <w:r>
        <w:rPr>
          <w:color w:val="231F20"/>
          <w:spacing w:val="-3"/>
          <w:sz w:val="20"/>
        </w:rPr>
        <w:t xml:space="preserve">how </w:t>
      </w:r>
      <w:r>
        <w:rPr>
          <w:color w:val="231F20"/>
          <w:sz w:val="20"/>
        </w:rPr>
        <w:t>the law applies.</w:t>
      </w:r>
      <w:r>
        <w:rPr>
          <w:color w:val="231F20"/>
          <w:spacing w:val="-36"/>
          <w:sz w:val="20"/>
        </w:rPr>
        <w:t xml:space="preserve"> </w:t>
      </w:r>
      <w:r>
        <w:rPr>
          <w:color w:val="231F20"/>
          <w:spacing w:val="-10"/>
          <w:sz w:val="20"/>
        </w:rPr>
        <w:t xml:space="preserve">To </w:t>
      </w:r>
      <w:r>
        <w:rPr>
          <w:color w:val="231F20"/>
          <w:spacing w:val="-3"/>
          <w:sz w:val="20"/>
        </w:rPr>
        <w:t>illustrate, ‘single</w:t>
      </w:r>
    </w:p>
    <w:p w14:paraId="4EB2BF29" w14:textId="77777777" w:rsidR="00894070" w:rsidRDefault="009B7AFD">
      <w:pPr>
        <w:pStyle w:val="BodyText"/>
        <w:spacing w:line="259" w:lineRule="exact"/>
        <w:ind w:left="1801"/>
      </w:pPr>
      <w:r>
        <w:rPr>
          <w:color w:val="231F20"/>
        </w:rPr>
        <w:t xml:space="preserve">punch’ manslaughter in the </w:t>
      </w:r>
      <w:r>
        <w:rPr>
          <w:i/>
          <w:color w:val="231F20"/>
        </w:rPr>
        <w:t xml:space="preserve">Crimes Act 1958 </w:t>
      </w:r>
      <w:r>
        <w:rPr>
          <w:color w:val="231F20"/>
        </w:rPr>
        <w:t>(Vic) includes the following example:</w:t>
      </w:r>
    </w:p>
    <w:p w14:paraId="3A5C5C31" w14:textId="77777777" w:rsidR="00894070" w:rsidRDefault="009B7AFD">
      <w:pPr>
        <w:spacing w:before="113" w:line="208" w:lineRule="auto"/>
        <w:ind w:left="2254" w:right="1228"/>
        <w:rPr>
          <w:sz w:val="11"/>
        </w:rPr>
      </w:pPr>
      <w:r>
        <w:rPr>
          <w:color w:val="231F20"/>
          <w:sz w:val="19"/>
        </w:rPr>
        <w:t>If a person punches another person to the head, and that other person falls, hits their head on the road, and dies from the injury resulting from their head hitting the road, the punch may be the cause of their death.</w:t>
      </w:r>
      <w:r>
        <w:rPr>
          <w:color w:val="231F20"/>
          <w:position w:val="6"/>
          <w:sz w:val="11"/>
        </w:rPr>
        <w:t>37</w:t>
      </w:r>
    </w:p>
    <w:p w14:paraId="0449848B" w14:textId="77777777" w:rsidR="00894070" w:rsidRDefault="009B7AFD">
      <w:pPr>
        <w:pStyle w:val="ListParagraph"/>
        <w:numPr>
          <w:ilvl w:val="1"/>
          <w:numId w:val="65"/>
        </w:numPr>
        <w:tabs>
          <w:tab w:val="left" w:pos="1801"/>
          <w:tab w:val="left" w:pos="1802"/>
        </w:tabs>
        <w:spacing w:before="92" w:line="259" w:lineRule="exact"/>
        <w:rPr>
          <w:sz w:val="20"/>
        </w:rPr>
      </w:pPr>
      <w:r>
        <w:rPr>
          <w:color w:val="231F20"/>
          <w:sz w:val="20"/>
        </w:rPr>
        <w:t>The</w:t>
      </w:r>
      <w:r>
        <w:rPr>
          <w:color w:val="231F20"/>
          <w:spacing w:val="-5"/>
          <w:sz w:val="20"/>
        </w:rPr>
        <w:t xml:space="preserve"> </w:t>
      </w:r>
      <w:r>
        <w:rPr>
          <w:color w:val="231F20"/>
          <w:spacing w:val="-3"/>
          <w:sz w:val="20"/>
        </w:rPr>
        <w:t>government</w:t>
      </w:r>
      <w:r>
        <w:rPr>
          <w:color w:val="231F20"/>
          <w:spacing w:val="-5"/>
          <w:sz w:val="20"/>
        </w:rPr>
        <w:t xml:space="preserve"> </w:t>
      </w:r>
      <w:r>
        <w:rPr>
          <w:color w:val="231F20"/>
          <w:sz w:val="20"/>
        </w:rPr>
        <w:t>could</w:t>
      </w:r>
      <w:r>
        <w:rPr>
          <w:color w:val="231F20"/>
          <w:spacing w:val="-5"/>
          <w:sz w:val="20"/>
        </w:rPr>
        <w:t xml:space="preserve"> </w:t>
      </w:r>
      <w:r>
        <w:rPr>
          <w:color w:val="231F20"/>
          <w:sz w:val="20"/>
        </w:rPr>
        <w:t>also</w:t>
      </w:r>
      <w:r>
        <w:rPr>
          <w:color w:val="231F20"/>
          <w:spacing w:val="-4"/>
          <w:sz w:val="20"/>
        </w:rPr>
        <w:t xml:space="preserve"> </w:t>
      </w:r>
      <w:r>
        <w:rPr>
          <w:color w:val="231F20"/>
          <w:sz w:val="20"/>
        </w:rPr>
        <w:t>consider</w:t>
      </w:r>
      <w:r>
        <w:rPr>
          <w:color w:val="231F20"/>
          <w:spacing w:val="-5"/>
          <w:sz w:val="20"/>
        </w:rPr>
        <w:t xml:space="preserve"> </w:t>
      </w:r>
      <w:r>
        <w:rPr>
          <w:color w:val="231F20"/>
          <w:sz w:val="20"/>
        </w:rPr>
        <w:t>if</w:t>
      </w:r>
      <w:r>
        <w:rPr>
          <w:color w:val="231F20"/>
          <w:spacing w:val="-5"/>
          <w:sz w:val="20"/>
        </w:rPr>
        <w:t xml:space="preserve"> </w:t>
      </w:r>
      <w:r>
        <w:rPr>
          <w:color w:val="231F20"/>
          <w:spacing w:val="-3"/>
          <w:sz w:val="20"/>
        </w:rPr>
        <w:t>examples</w:t>
      </w:r>
      <w:r>
        <w:rPr>
          <w:color w:val="231F20"/>
          <w:spacing w:val="-5"/>
          <w:sz w:val="20"/>
        </w:rPr>
        <w:t xml:space="preserve"> </w:t>
      </w:r>
      <w:r>
        <w:rPr>
          <w:color w:val="231F20"/>
          <w:spacing w:val="-3"/>
          <w:sz w:val="20"/>
        </w:rPr>
        <w:t>would</w:t>
      </w:r>
      <w:r>
        <w:rPr>
          <w:color w:val="231F20"/>
          <w:spacing w:val="-4"/>
          <w:sz w:val="20"/>
        </w:rPr>
        <w:t xml:space="preserve"> </w:t>
      </w:r>
      <w:r>
        <w:rPr>
          <w:color w:val="231F20"/>
          <w:sz w:val="20"/>
        </w:rPr>
        <w:t>help</w:t>
      </w:r>
      <w:r>
        <w:rPr>
          <w:color w:val="231F20"/>
          <w:spacing w:val="-5"/>
          <w:sz w:val="20"/>
        </w:rPr>
        <w:t xml:space="preserve"> </w:t>
      </w:r>
      <w:r>
        <w:rPr>
          <w:color w:val="231F20"/>
          <w:sz w:val="20"/>
        </w:rPr>
        <w:t>make</w:t>
      </w:r>
      <w:r>
        <w:rPr>
          <w:color w:val="231F20"/>
          <w:spacing w:val="-5"/>
          <w:sz w:val="20"/>
        </w:rPr>
        <w:t xml:space="preserve"> </w:t>
      </w:r>
      <w:r>
        <w:rPr>
          <w:color w:val="231F20"/>
          <w:sz w:val="20"/>
        </w:rPr>
        <w:t>the</w:t>
      </w:r>
      <w:r>
        <w:rPr>
          <w:color w:val="231F20"/>
          <w:spacing w:val="-4"/>
          <w:sz w:val="20"/>
        </w:rPr>
        <w:t xml:space="preserve"> </w:t>
      </w:r>
      <w:r>
        <w:rPr>
          <w:color w:val="231F20"/>
          <w:sz w:val="20"/>
        </w:rPr>
        <w:t>course</w:t>
      </w:r>
      <w:r>
        <w:rPr>
          <w:color w:val="231F20"/>
          <w:spacing w:val="-5"/>
          <w:sz w:val="20"/>
        </w:rPr>
        <w:t xml:space="preserve"> </w:t>
      </w:r>
      <w:r>
        <w:rPr>
          <w:color w:val="231F20"/>
          <w:sz w:val="20"/>
        </w:rPr>
        <w:t>of</w:t>
      </w:r>
    </w:p>
    <w:p w14:paraId="136E7994" w14:textId="77777777" w:rsidR="00894070" w:rsidRDefault="009B7AFD">
      <w:pPr>
        <w:pStyle w:val="BodyText"/>
        <w:spacing w:line="259" w:lineRule="exact"/>
        <w:ind w:left="1801"/>
      </w:pPr>
      <w:r>
        <w:rPr>
          <w:color w:val="231F20"/>
        </w:rPr>
        <w:t>conduct element clear.</w:t>
      </w:r>
    </w:p>
    <w:p w14:paraId="103AD545" w14:textId="77777777" w:rsidR="00894070" w:rsidRDefault="00894070">
      <w:pPr>
        <w:pStyle w:val="BodyText"/>
        <w:spacing w:before="1"/>
        <w:rPr>
          <w:sz w:val="15"/>
        </w:rPr>
      </w:pPr>
    </w:p>
    <w:p w14:paraId="3C147BE1" w14:textId="77777777" w:rsidR="00894070" w:rsidRDefault="009B7AFD">
      <w:pPr>
        <w:pStyle w:val="Heading8"/>
        <w:ind w:left="1007"/>
      </w:pPr>
      <w:r>
        <w:rPr>
          <w:color w:val="231F20"/>
        </w:rPr>
        <w:t>Redrafting the offence to make it clear</w:t>
      </w:r>
    </w:p>
    <w:p w14:paraId="78E128F9" w14:textId="77777777" w:rsidR="00894070" w:rsidRDefault="009B7AFD">
      <w:pPr>
        <w:pStyle w:val="ListParagraph"/>
        <w:numPr>
          <w:ilvl w:val="1"/>
          <w:numId w:val="65"/>
        </w:numPr>
        <w:tabs>
          <w:tab w:val="left" w:pos="1801"/>
          <w:tab w:val="left" w:pos="1802"/>
        </w:tabs>
        <w:spacing w:before="95" w:line="259" w:lineRule="exact"/>
        <w:rPr>
          <w:sz w:val="20"/>
        </w:rPr>
      </w:pPr>
      <w:r>
        <w:rPr>
          <w:color w:val="231F20"/>
          <w:sz w:val="20"/>
        </w:rPr>
        <w:t>More</w:t>
      </w:r>
      <w:r>
        <w:rPr>
          <w:color w:val="231F20"/>
          <w:spacing w:val="-6"/>
          <w:sz w:val="20"/>
        </w:rPr>
        <w:t xml:space="preserve"> </w:t>
      </w:r>
      <w:r>
        <w:rPr>
          <w:color w:val="231F20"/>
          <w:spacing w:val="-5"/>
          <w:sz w:val="20"/>
        </w:rPr>
        <w:t>broadly,</w:t>
      </w:r>
      <w:r>
        <w:rPr>
          <w:color w:val="231F20"/>
          <w:spacing w:val="-6"/>
          <w:sz w:val="20"/>
        </w:rPr>
        <w:t xml:space="preserve"> </w:t>
      </w:r>
      <w:r>
        <w:rPr>
          <w:color w:val="231F20"/>
          <w:sz w:val="20"/>
        </w:rPr>
        <w:t>the</w:t>
      </w:r>
      <w:r>
        <w:rPr>
          <w:color w:val="231F20"/>
          <w:spacing w:val="-6"/>
          <w:sz w:val="20"/>
        </w:rPr>
        <w:t xml:space="preserve"> </w:t>
      </w:r>
      <w:r>
        <w:rPr>
          <w:color w:val="231F20"/>
          <w:sz w:val="20"/>
        </w:rPr>
        <w:t>stalking</w:t>
      </w:r>
      <w:r>
        <w:rPr>
          <w:color w:val="231F20"/>
          <w:spacing w:val="-6"/>
          <w:sz w:val="20"/>
        </w:rPr>
        <w:t xml:space="preserve"> </w:t>
      </w:r>
      <w:r>
        <w:rPr>
          <w:color w:val="231F20"/>
          <w:sz w:val="20"/>
        </w:rPr>
        <w:t>offence</w:t>
      </w:r>
      <w:r>
        <w:rPr>
          <w:color w:val="231F20"/>
          <w:spacing w:val="-6"/>
          <w:sz w:val="20"/>
        </w:rPr>
        <w:t xml:space="preserve"> </w:t>
      </w:r>
      <w:r>
        <w:rPr>
          <w:color w:val="231F20"/>
          <w:sz w:val="20"/>
        </w:rPr>
        <w:t>should</w:t>
      </w:r>
      <w:r>
        <w:rPr>
          <w:color w:val="231F20"/>
          <w:spacing w:val="-5"/>
          <w:sz w:val="20"/>
        </w:rPr>
        <w:t xml:space="preserve"> </w:t>
      </w:r>
      <w:r>
        <w:rPr>
          <w:color w:val="231F20"/>
          <w:sz w:val="20"/>
        </w:rPr>
        <w:t>be</w:t>
      </w:r>
      <w:r>
        <w:rPr>
          <w:color w:val="231F20"/>
          <w:spacing w:val="-6"/>
          <w:sz w:val="20"/>
        </w:rPr>
        <w:t xml:space="preserve"> </w:t>
      </w:r>
      <w:r>
        <w:rPr>
          <w:color w:val="231F20"/>
          <w:sz w:val="20"/>
        </w:rPr>
        <w:t>redrafted</w:t>
      </w:r>
      <w:r>
        <w:rPr>
          <w:color w:val="231F20"/>
          <w:spacing w:val="-6"/>
          <w:sz w:val="20"/>
        </w:rPr>
        <w:t xml:space="preserve"> </w:t>
      </w:r>
      <w:r>
        <w:rPr>
          <w:color w:val="231F20"/>
          <w:sz w:val="20"/>
        </w:rPr>
        <w:t>to</w:t>
      </w:r>
      <w:r>
        <w:rPr>
          <w:color w:val="231F20"/>
          <w:spacing w:val="-6"/>
          <w:sz w:val="20"/>
        </w:rPr>
        <w:t xml:space="preserve"> </w:t>
      </w:r>
      <w:r>
        <w:rPr>
          <w:color w:val="231F20"/>
          <w:sz w:val="20"/>
        </w:rPr>
        <w:t>make</w:t>
      </w:r>
      <w:r>
        <w:rPr>
          <w:color w:val="231F20"/>
          <w:spacing w:val="-6"/>
          <w:sz w:val="20"/>
        </w:rPr>
        <w:t xml:space="preserve"> </w:t>
      </w:r>
      <w:r>
        <w:rPr>
          <w:color w:val="231F20"/>
          <w:sz w:val="20"/>
        </w:rPr>
        <w:t>it</w:t>
      </w:r>
      <w:r>
        <w:rPr>
          <w:color w:val="231F20"/>
          <w:spacing w:val="-5"/>
          <w:sz w:val="20"/>
        </w:rPr>
        <w:t xml:space="preserve"> </w:t>
      </w:r>
      <w:r>
        <w:rPr>
          <w:color w:val="231F20"/>
          <w:sz w:val="20"/>
        </w:rPr>
        <w:t>clear</w:t>
      </w:r>
      <w:r>
        <w:rPr>
          <w:color w:val="231F20"/>
          <w:spacing w:val="-6"/>
          <w:sz w:val="20"/>
        </w:rPr>
        <w:t xml:space="preserve"> </w:t>
      </w:r>
      <w:r>
        <w:rPr>
          <w:color w:val="231F20"/>
          <w:sz w:val="20"/>
        </w:rPr>
        <w:t>and</w:t>
      </w:r>
      <w:r>
        <w:rPr>
          <w:color w:val="231F20"/>
          <w:spacing w:val="-6"/>
          <w:sz w:val="20"/>
        </w:rPr>
        <w:t xml:space="preserve"> </w:t>
      </w:r>
      <w:r>
        <w:rPr>
          <w:color w:val="231F20"/>
          <w:spacing w:val="-3"/>
          <w:sz w:val="20"/>
        </w:rPr>
        <w:t>readily</w:t>
      </w:r>
    </w:p>
    <w:p w14:paraId="70EDC82C" w14:textId="77777777" w:rsidR="00894070" w:rsidRDefault="009B7AFD">
      <w:pPr>
        <w:pStyle w:val="BodyText"/>
        <w:spacing w:line="259" w:lineRule="exact"/>
        <w:ind w:left="1801"/>
      </w:pPr>
      <w:r>
        <w:rPr>
          <w:color w:val="231F20"/>
        </w:rPr>
        <w:t>understood.</w:t>
      </w:r>
    </w:p>
    <w:p w14:paraId="6D253997" w14:textId="77777777" w:rsidR="00894070" w:rsidRDefault="009B7AFD">
      <w:pPr>
        <w:pStyle w:val="ListParagraph"/>
        <w:numPr>
          <w:ilvl w:val="1"/>
          <w:numId w:val="65"/>
        </w:numPr>
        <w:tabs>
          <w:tab w:val="left" w:pos="1801"/>
          <w:tab w:val="left" w:pos="1802"/>
        </w:tabs>
        <w:spacing w:before="114" w:line="206" w:lineRule="auto"/>
        <w:ind w:right="1260"/>
        <w:rPr>
          <w:sz w:val="11"/>
        </w:rPr>
      </w:pPr>
      <w:r>
        <w:rPr>
          <w:color w:val="231F20"/>
          <w:spacing w:val="-5"/>
          <w:sz w:val="20"/>
        </w:rPr>
        <w:t>Tudor</w:t>
      </w:r>
      <w:r>
        <w:rPr>
          <w:color w:val="231F20"/>
          <w:spacing w:val="-11"/>
          <w:sz w:val="20"/>
        </w:rPr>
        <w:t xml:space="preserve"> </w:t>
      </w:r>
      <w:r>
        <w:rPr>
          <w:color w:val="231F20"/>
          <w:sz w:val="20"/>
        </w:rPr>
        <w:t>and</w:t>
      </w:r>
      <w:r>
        <w:rPr>
          <w:color w:val="231F20"/>
          <w:spacing w:val="-10"/>
          <w:sz w:val="20"/>
        </w:rPr>
        <w:t xml:space="preserve"> </w:t>
      </w:r>
      <w:r>
        <w:rPr>
          <w:color w:val="231F20"/>
          <w:sz w:val="20"/>
        </w:rPr>
        <w:t>Byrne</w:t>
      </w:r>
      <w:r>
        <w:rPr>
          <w:color w:val="231F20"/>
          <w:spacing w:val="-10"/>
          <w:sz w:val="20"/>
        </w:rPr>
        <w:t xml:space="preserve"> </w:t>
      </w:r>
      <w:r>
        <w:rPr>
          <w:color w:val="231F20"/>
          <w:sz w:val="20"/>
        </w:rPr>
        <w:t>identified</w:t>
      </w:r>
      <w:r>
        <w:rPr>
          <w:color w:val="231F20"/>
          <w:spacing w:val="-10"/>
          <w:sz w:val="20"/>
        </w:rPr>
        <w:t xml:space="preserve"> </w:t>
      </w:r>
      <w:r>
        <w:rPr>
          <w:color w:val="231F20"/>
          <w:sz w:val="20"/>
        </w:rPr>
        <w:t>problems</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0"/>
          <w:sz w:val="20"/>
        </w:rPr>
        <w:t xml:space="preserve"> </w:t>
      </w:r>
      <w:r>
        <w:rPr>
          <w:color w:val="231F20"/>
          <w:spacing w:val="-3"/>
          <w:sz w:val="20"/>
        </w:rPr>
        <w:t>overall</w:t>
      </w:r>
      <w:r>
        <w:rPr>
          <w:color w:val="231F20"/>
          <w:spacing w:val="-10"/>
          <w:sz w:val="20"/>
        </w:rPr>
        <w:t xml:space="preserve"> </w:t>
      </w:r>
      <w:r>
        <w:rPr>
          <w:color w:val="231F20"/>
          <w:sz w:val="20"/>
        </w:rPr>
        <w:t>drafting</w:t>
      </w:r>
      <w:r>
        <w:rPr>
          <w:color w:val="231F20"/>
          <w:spacing w:val="-11"/>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stalking</w:t>
      </w:r>
      <w:r>
        <w:rPr>
          <w:color w:val="231F20"/>
          <w:spacing w:val="-10"/>
          <w:sz w:val="20"/>
        </w:rPr>
        <w:t xml:space="preserve"> </w:t>
      </w:r>
      <w:r>
        <w:rPr>
          <w:color w:val="231F20"/>
          <w:spacing w:val="-3"/>
          <w:sz w:val="20"/>
        </w:rPr>
        <w:t>offence:</w:t>
      </w:r>
      <w:r>
        <w:rPr>
          <w:color w:val="231F20"/>
          <w:spacing w:val="-10"/>
          <w:sz w:val="20"/>
        </w:rPr>
        <w:t xml:space="preserve"> </w:t>
      </w:r>
      <w:r>
        <w:rPr>
          <w:color w:val="231F20"/>
          <w:sz w:val="20"/>
        </w:rPr>
        <w:t xml:space="preserve">‘It is commonly agreed that the </w:t>
      </w:r>
      <w:r>
        <w:rPr>
          <w:color w:val="231F20"/>
          <w:spacing w:val="-3"/>
          <w:sz w:val="20"/>
        </w:rPr>
        <w:t xml:space="preserve">current </w:t>
      </w:r>
      <w:r>
        <w:rPr>
          <w:color w:val="231F20"/>
          <w:sz w:val="20"/>
        </w:rPr>
        <w:t xml:space="preserve">drafting of s 21A, </w:t>
      </w:r>
      <w:r>
        <w:rPr>
          <w:i/>
          <w:color w:val="231F20"/>
          <w:sz w:val="20"/>
        </w:rPr>
        <w:t xml:space="preserve">Crimes Act 1958 </w:t>
      </w:r>
      <w:r>
        <w:rPr>
          <w:color w:val="231F20"/>
          <w:sz w:val="20"/>
        </w:rPr>
        <w:t xml:space="preserve">(Vic) is far </w:t>
      </w:r>
      <w:r>
        <w:rPr>
          <w:color w:val="231F20"/>
          <w:spacing w:val="-3"/>
          <w:sz w:val="20"/>
        </w:rPr>
        <w:t xml:space="preserve">from </w:t>
      </w:r>
      <w:r>
        <w:rPr>
          <w:color w:val="231F20"/>
          <w:spacing w:val="-4"/>
          <w:sz w:val="20"/>
        </w:rPr>
        <w:t xml:space="preserve">ideal’. </w:t>
      </w:r>
      <w:r>
        <w:rPr>
          <w:color w:val="231F20"/>
          <w:sz w:val="20"/>
        </w:rPr>
        <w:t xml:space="preserve">They described the </w:t>
      </w:r>
      <w:r>
        <w:rPr>
          <w:color w:val="231F20"/>
          <w:spacing w:val="-3"/>
          <w:sz w:val="20"/>
        </w:rPr>
        <w:t xml:space="preserve">current </w:t>
      </w:r>
      <w:r>
        <w:rPr>
          <w:color w:val="231F20"/>
          <w:sz w:val="20"/>
        </w:rPr>
        <w:t xml:space="preserve">drafting as </w:t>
      </w:r>
      <w:r>
        <w:rPr>
          <w:color w:val="231F20"/>
          <w:spacing w:val="-3"/>
          <w:sz w:val="20"/>
        </w:rPr>
        <w:t xml:space="preserve">‘conceptually </w:t>
      </w:r>
      <w:r>
        <w:rPr>
          <w:color w:val="231F20"/>
          <w:sz w:val="20"/>
        </w:rPr>
        <w:t>garbled and</w:t>
      </w:r>
      <w:r>
        <w:rPr>
          <w:color w:val="231F20"/>
          <w:spacing w:val="-37"/>
          <w:sz w:val="20"/>
        </w:rPr>
        <w:t xml:space="preserve"> </w:t>
      </w:r>
      <w:r>
        <w:rPr>
          <w:color w:val="231F20"/>
          <w:spacing w:val="-3"/>
          <w:sz w:val="20"/>
        </w:rPr>
        <w:t>confused’.</w:t>
      </w:r>
      <w:r>
        <w:rPr>
          <w:color w:val="231F20"/>
          <w:spacing w:val="-3"/>
          <w:position w:val="7"/>
          <w:sz w:val="11"/>
        </w:rPr>
        <w:t>38</w:t>
      </w:r>
    </w:p>
    <w:p w14:paraId="481F4E91" w14:textId="77777777" w:rsidR="00894070" w:rsidRDefault="009B7AFD">
      <w:pPr>
        <w:pStyle w:val="ListParagraph"/>
        <w:numPr>
          <w:ilvl w:val="1"/>
          <w:numId w:val="65"/>
        </w:numPr>
        <w:tabs>
          <w:tab w:val="left" w:pos="1801"/>
          <w:tab w:val="left" w:pos="1802"/>
        </w:tabs>
        <w:spacing w:before="124" w:line="206" w:lineRule="auto"/>
        <w:ind w:right="1541"/>
        <w:rPr>
          <w:sz w:val="11"/>
        </w:rPr>
      </w:pPr>
      <w:r>
        <w:rPr>
          <w:color w:val="231F20"/>
          <w:sz w:val="20"/>
        </w:rPr>
        <w:t xml:space="preserve">They made </w:t>
      </w:r>
      <w:proofErr w:type="gramStart"/>
      <w:r>
        <w:rPr>
          <w:color w:val="231F20"/>
          <w:sz w:val="20"/>
        </w:rPr>
        <w:t>a number of</w:t>
      </w:r>
      <w:proofErr w:type="gramEnd"/>
      <w:r>
        <w:rPr>
          <w:color w:val="231F20"/>
          <w:sz w:val="20"/>
        </w:rPr>
        <w:t xml:space="preserve"> suggestions including to redraft the offence </w:t>
      </w:r>
      <w:r>
        <w:rPr>
          <w:color w:val="231F20"/>
          <w:spacing w:val="-3"/>
          <w:sz w:val="20"/>
        </w:rPr>
        <w:t xml:space="preserve">into </w:t>
      </w:r>
      <w:r>
        <w:rPr>
          <w:color w:val="231F20"/>
          <w:sz w:val="20"/>
        </w:rPr>
        <w:t xml:space="preserve">three offences, based on intentional, </w:t>
      </w:r>
      <w:r>
        <w:rPr>
          <w:color w:val="231F20"/>
          <w:spacing w:val="-3"/>
          <w:sz w:val="20"/>
        </w:rPr>
        <w:t xml:space="preserve">reckless </w:t>
      </w:r>
      <w:r>
        <w:rPr>
          <w:color w:val="231F20"/>
          <w:sz w:val="20"/>
        </w:rPr>
        <w:t xml:space="preserve">and </w:t>
      </w:r>
      <w:r>
        <w:rPr>
          <w:color w:val="231F20"/>
          <w:spacing w:val="-3"/>
          <w:sz w:val="20"/>
        </w:rPr>
        <w:t xml:space="preserve">‘objective </w:t>
      </w:r>
      <w:r>
        <w:rPr>
          <w:color w:val="231F20"/>
          <w:sz w:val="20"/>
        </w:rPr>
        <w:t>fault’ forms of stalking, so that</w:t>
      </w:r>
      <w:r>
        <w:rPr>
          <w:color w:val="231F20"/>
          <w:spacing w:val="-9"/>
          <w:sz w:val="20"/>
        </w:rPr>
        <w:t xml:space="preserve"> </w:t>
      </w:r>
      <w:r>
        <w:rPr>
          <w:color w:val="231F20"/>
          <w:sz w:val="20"/>
        </w:rPr>
        <w:t>the</w:t>
      </w:r>
      <w:r>
        <w:rPr>
          <w:color w:val="231F20"/>
          <w:spacing w:val="-8"/>
          <w:sz w:val="20"/>
        </w:rPr>
        <w:t xml:space="preserve"> </w:t>
      </w:r>
      <w:r>
        <w:rPr>
          <w:color w:val="231F20"/>
          <w:sz w:val="20"/>
        </w:rPr>
        <w:t>elements</w:t>
      </w:r>
      <w:r>
        <w:rPr>
          <w:color w:val="231F20"/>
          <w:spacing w:val="-9"/>
          <w:sz w:val="20"/>
        </w:rPr>
        <w:t xml:space="preserve"> </w:t>
      </w:r>
      <w:r>
        <w:rPr>
          <w:color w:val="231F20"/>
          <w:spacing w:val="-3"/>
          <w:sz w:val="20"/>
        </w:rPr>
        <w:t>are</w:t>
      </w:r>
      <w:r>
        <w:rPr>
          <w:color w:val="231F20"/>
          <w:spacing w:val="-8"/>
          <w:sz w:val="20"/>
        </w:rPr>
        <w:t xml:space="preserve"> </w:t>
      </w:r>
      <w:r>
        <w:rPr>
          <w:color w:val="231F20"/>
          <w:spacing w:val="-3"/>
          <w:sz w:val="20"/>
        </w:rPr>
        <w:t>clearly</w:t>
      </w:r>
      <w:r>
        <w:rPr>
          <w:color w:val="231F20"/>
          <w:spacing w:val="-9"/>
          <w:sz w:val="20"/>
        </w:rPr>
        <w:t xml:space="preserve"> </w:t>
      </w:r>
      <w:r>
        <w:rPr>
          <w:color w:val="231F20"/>
          <w:sz w:val="20"/>
        </w:rPr>
        <w:t>laid</w:t>
      </w:r>
      <w:r>
        <w:rPr>
          <w:color w:val="231F20"/>
          <w:spacing w:val="-8"/>
          <w:sz w:val="20"/>
        </w:rPr>
        <w:t xml:space="preserve"> </w:t>
      </w:r>
      <w:r>
        <w:rPr>
          <w:color w:val="231F20"/>
          <w:sz w:val="20"/>
        </w:rPr>
        <w:t>out</w:t>
      </w:r>
      <w:r>
        <w:rPr>
          <w:color w:val="231F20"/>
          <w:spacing w:val="-8"/>
          <w:sz w:val="20"/>
        </w:rPr>
        <w:t xml:space="preserve"> </w:t>
      </w:r>
      <w:r>
        <w:rPr>
          <w:color w:val="231F20"/>
          <w:sz w:val="20"/>
        </w:rPr>
        <w:t>and</w:t>
      </w:r>
      <w:r>
        <w:rPr>
          <w:color w:val="231F20"/>
          <w:spacing w:val="-9"/>
          <w:sz w:val="20"/>
        </w:rPr>
        <w:t xml:space="preserve"> </w:t>
      </w:r>
      <w:r>
        <w:rPr>
          <w:color w:val="231F20"/>
          <w:sz w:val="20"/>
        </w:rPr>
        <w:t>the</w:t>
      </w:r>
      <w:r>
        <w:rPr>
          <w:color w:val="231F20"/>
          <w:spacing w:val="-8"/>
          <w:sz w:val="20"/>
        </w:rPr>
        <w:t xml:space="preserve"> </w:t>
      </w:r>
      <w:r>
        <w:rPr>
          <w:color w:val="231F20"/>
          <w:spacing w:val="-3"/>
          <w:sz w:val="20"/>
        </w:rPr>
        <w:t>different</w:t>
      </w:r>
      <w:r>
        <w:rPr>
          <w:color w:val="231F20"/>
          <w:spacing w:val="-9"/>
          <w:sz w:val="20"/>
        </w:rPr>
        <w:t xml:space="preserve"> </w:t>
      </w:r>
      <w:r>
        <w:rPr>
          <w:color w:val="231F20"/>
          <w:sz w:val="20"/>
        </w:rPr>
        <w:t>degrees</w:t>
      </w:r>
      <w:r>
        <w:rPr>
          <w:color w:val="231F20"/>
          <w:spacing w:val="-8"/>
          <w:sz w:val="20"/>
        </w:rPr>
        <w:t xml:space="preserve"> </w:t>
      </w:r>
      <w:r>
        <w:rPr>
          <w:color w:val="231F20"/>
          <w:sz w:val="20"/>
        </w:rPr>
        <w:t>of</w:t>
      </w:r>
      <w:r>
        <w:rPr>
          <w:color w:val="231F20"/>
          <w:spacing w:val="-9"/>
          <w:sz w:val="20"/>
        </w:rPr>
        <w:t xml:space="preserve"> </w:t>
      </w:r>
      <w:r>
        <w:rPr>
          <w:color w:val="231F20"/>
          <w:sz w:val="20"/>
        </w:rPr>
        <w:t>culpability</w:t>
      </w:r>
      <w:r>
        <w:rPr>
          <w:color w:val="231F20"/>
          <w:spacing w:val="-8"/>
          <w:sz w:val="20"/>
        </w:rPr>
        <w:t xml:space="preserve"> </w:t>
      </w:r>
      <w:r>
        <w:rPr>
          <w:color w:val="231F20"/>
          <w:spacing w:val="-3"/>
          <w:sz w:val="20"/>
        </w:rPr>
        <w:t xml:space="preserve">clearly </w:t>
      </w:r>
      <w:r>
        <w:rPr>
          <w:color w:val="231F20"/>
          <w:sz w:val="20"/>
        </w:rPr>
        <w:t>shown.</w:t>
      </w:r>
      <w:r>
        <w:rPr>
          <w:color w:val="231F20"/>
          <w:position w:val="7"/>
          <w:sz w:val="11"/>
        </w:rPr>
        <w:t>39</w:t>
      </w:r>
    </w:p>
    <w:p w14:paraId="7415DC20" w14:textId="77777777" w:rsidR="00894070" w:rsidRDefault="009B7AFD">
      <w:pPr>
        <w:pStyle w:val="ListParagraph"/>
        <w:numPr>
          <w:ilvl w:val="1"/>
          <w:numId w:val="65"/>
        </w:numPr>
        <w:tabs>
          <w:tab w:val="left" w:pos="1801"/>
          <w:tab w:val="left" w:pos="1802"/>
        </w:tabs>
        <w:spacing w:before="93" w:line="259" w:lineRule="exact"/>
        <w:rPr>
          <w:sz w:val="20"/>
        </w:rPr>
      </w:pPr>
      <w:r>
        <w:rPr>
          <w:color w:val="231F20"/>
          <w:sz w:val="20"/>
        </w:rPr>
        <w:t>The</w:t>
      </w:r>
      <w:r>
        <w:rPr>
          <w:color w:val="231F20"/>
          <w:spacing w:val="-5"/>
          <w:sz w:val="20"/>
        </w:rPr>
        <w:t xml:space="preserve"> </w:t>
      </w:r>
      <w:r>
        <w:rPr>
          <w:color w:val="231F20"/>
          <w:sz w:val="20"/>
        </w:rPr>
        <w:t>specific</w:t>
      </w:r>
      <w:r>
        <w:rPr>
          <w:color w:val="231F20"/>
          <w:spacing w:val="-5"/>
          <w:sz w:val="20"/>
        </w:rPr>
        <w:t xml:space="preserve"> </w:t>
      </w:r>
      <w:r>
        <w:rPr>
          <w:color w:val="231F20"/>
          <w:spacing w:val="-3"/>
          <w:sz w:val="20"/>
        </w:rPr>
        <w:t>revisions</w:t>
      </w:r>
      <w:r>
        <w:rPr>
          <w:color w:val="231F20"/>
          <w:spacing w:val="-6"/>
          <w:sz w:val="20"/>
        </w:rPr>
        <w:t xml:space="preserve"> </w:t>
      </w:r>
      <w:r>
        <w:rPr>
          <w:color w:val="231F20"/>
          <w:sz w:val="20"/>
        </w:rPr>
        <w:t>proposed</w:t>
      </w:r>
      <w:r>
        <w:rPr>
          <w:color w:val="231F20"/>
          <w:spacing w:val="-5"/>
          <w:sz w:val="20"/>
        </w:rPr>
        <w:t xml:space="preserve"> </w:t>
      </w:r>
      <w:r>
        <w:rPr>
          <w:color w:val="231F20"/>
          <w:spacing w:val="-3"/>
          <w:sz w:val="20"/>
        </w:rPr>
        <w:t>by</w:t>
      </w:r>
      <w:r>
        <w:rPr>
          <w:color w:val="231F20"/>
          <w:spacing w:val="-5"/>
          <w:sz w:val="20"/>
        </w:rPr>
        <w:t xml:space="preserve"> Tudor </w:t>
      </w:r>
      <w:r>
        <w:rPr>
          <w:color w:val="231F20"/>
          <w:sz w:val="20"/>
        </w:rPr>
        <w:t>and</w:t>
      </w:r>
      <w:r>
        <w:rPr>
          <w:color w:val="231F20"/>
          <w:spacing w:val="-5"/>
          <w:sz w:val="20"/>
        </w:rPr>
        <w:t xml:space="preserve"> </w:t>
      </w:r>
      <w:r>
        <w:rPr>
          <w:color w:val="231F20"/>
          <w:sz w:val="20"/>
        </w:rPr>
        <w:t>Byrne</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in</w:t>
      </w:r>
      <w:r>
        <w:rPr>
          <w:color w:val="231F20"/>
          <w:spacing w:val="-5"/>
          <w:sz w:val="20"/>
        </w:rPr>
        <w:t xml:space="preserve"> </w:t>
      </w:r>
      <w:r>
        <w:rPr>
          <w:color w:val="231F20"/>
          <w:spacing w:val="-6"/>
          <w:sz w:val="20"/>
        </w:rPr>
        <w:t>Table</w:t>
      </w:r>
      <w:r>
        <w:rPr>
          <w:color w:val="231F20"/>
          <w:spacing w:val="-5"/>
          <w:sz w:val="20"/>
        </w:rPr>
        <w:t xml:space="preserve"> </w:t>
      </w:r>
      <w:r>
        <w:rPr>
          <w:color w:val="231F20"/>
          <w:sz w:val="20"/>
        </w:rPr>
        <w:t>13.</w:t>
      </w:r>
      <w:r>
        <w:rPr>
          <w:color w:val="231F20"/>
          <w:spacing w:val="-5"/>
          <w:sz w:val="20"/>
        </w:rPr>
        <w:t xml:space="preserve"> </w:t>
      </w:r>
      <w:r>
        <w:rPr>
          <w:color w:val="231F20"/>
          <w:sz w:val="20"/>
        </w:rPr>
        <w:t>These</w:t>
      </w:r>
      <w:r>
        <w:rPr>
          <w:color w:val="231F20"/>
          <w:spacing w:val="-5"/>
          <w:sz w:val="20"/>
        </w:rPr>
        <w:t xml:space="preserve"> </w:t>
      </w:r>
      <w:r>
        <w:rPr>
          <w:color w:val="231F20"/>
          <w:sz w:val="20"/>
        </w:rPr>
        <w:t>suggestions</w:t>
      </w:r>
    </w:p>
    <w:p w14:paraId="05AAB476" w14:textId="77777777" w:rsidR="00894070" w:rsidRDefault="009B7AFD">
      <w:pPr>
        <w:pStyle w:val="BodyText"/>
        <w:spacing w:line="259" w:lineRule="exact"/>
        <w:ind w:left="1801"/>
      </w:pPr>
      <w:r>
        <w:rPr>
          <w:color w:val="231F20"/>
        </w:rPr>
        <w:t>should inform the redrafting.</w:t>
      </w:r>
    </w:p>
    <w:p w14:paraId="00D9B7A9" w14:textId="77777777" w:rsidR="00894070" w:rsidRDefault="009B7AFD">
      <w:pPr>
        <w:spacing w:before="94" w:line="252" w:lineRule="exact"/>
        <w:ind w:left="1801"/>
        <w:rPr>
          <w:b/>
          <w:sz w:val="19"/>
        </w:rPr>
      </w:pPr>
      <w:r>
        <w:rPr>
          <w:b/>
          <w:color w:val="231F20"/>
          <w:sz w:val="19"/>
        </w:rPr>
        <w:t>Table 13: Redrafting suggestions for the stalking offence under section 21A of the</w:t>
      </w:r>
    </w:p>
    <w:p w14:paraId="3B6788FD" w14:textId="77777777" w:rsidR="00894070" w:rsidRDefault="009B7AFD">
      <w:pPr>
        <w:spacing w:line="252" w:lineRule="exact"/>
        <w:ind w:left="1801"/>
        <w:rPr>
          <w:b/>
          <w:sz w:val="11"/>
        </w:rPr>
      </w:pPr>
      <w:r>
        <w:rPr>
          <w:b/>
          <w:i/>
          <w:color w:val="231F20"/>
          <w:sz w:val="19"/>
        </w:rPr>
        <w:t xml:space="preserve">Crimes Act 1958 </w:t>
      </w:r>
      <w:r>
        <w:rPr>
          <w:b/>
          <w:color w:val="231F20"/>
          <w:sz w:val="19"/>
        </w:rPr>
        <w:t>(Vic)</w:t>
      </w:r>
      <w:r>
        <w:rPr>
          <w:b/>
          <w:color w:val="231F20"/>
          <w:position w:val="6"/>
          <w:sz w:val="11"/>
        </w:rPr>
        <w:t>40</w:t>
      </w:r>
    </w:p>
    <w:p w14:paraId="0DFF2D67" w14:textId="77777777" w:rsidR="00894070" w:rsidRDefault="00894070">
      <w:pPr>
        <w:pStyle w:val="BodyText"/>
        <w:spacing w:before="3"/>
        <w:rPr>
          <w:b/>
          <w:sz w:val="11"/>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3119"/>
        <w:gridCol w:w="4808"/>
      </w:tblGrid>
      <w:tr w:rsidR="00894070" w14:paraId="6222ED27" w14:textId="77777777">
        <w:trPr>
          <w:trHeight w:val="758"/>
        </w:trPr>
        <w:tc>
          <w:tcPr>
            <w:tcW w:w="3119" w:type="dxa"/>
            <w:shd w:val="clear" w:color="auto" w:fill="F4BCAE"/>
          </w:tcPr>
          <w:p w14:paraId="117D7F0B" w14:textId="77777777" w:rsidR="00894070" w:rsidRDefault="009B7AFD">
            <w:pPr>
              <w:pStyle w:val="TableParagraph"/>
              <w:spacing w:before="122" w:line="259" w:lineRule="exact"/>
              <w:rPr>
                <w:b/>
                <w:sz w:val="20"/>
              </w:rPr>
            </w:pPr>
            <w:r>
              <w:rPr>
                <w:b/>
                <w:color w:val="231F20"/>
                <w:sz w:val="20"/>
              </w:rPr>
              <w:t>Element or provision to be</w:t>
            </w:r>
          </w:p>
          <w:p w14:paraId="167F8C6F" w14:textId="77777777" w:rsidR="00894070" w:rsidRDefault="009B7AFD">
            <w:pPr>
              <w:pStyle w:val="TableParagraph"/>
              <w:spacing w:line="259" w:lineRule="exact"/>
              <w:rPr>
                <w:b/>
                <w:sz w:val="20"/>
              </w:rPr>
            </w:pPr>
            <w:r>
              <w:rPr>
                <w:b/>
                <w:color w:val="231F20"/>
                <w:sz w:val="20"/>
              </w:rPr>
              <w:t>clarified through redrafting</w:t>
            </w:r>
          </w:p>
        </w:tc>
        <w:tc>
          <w:tcPr>
            <w:tcW w:w="4808" w:type="dxa"/>
            <w:shd w:val="clear" w:color="auto" w:fill="F4BCAE"/>
          </w:tcPr>
          <w:p w14:paraId="363B4415" w14:textId="77777777" w:rsidR="00894070" w:rsidRDefault="00894070">
            <w:pPr>
              <w:pStyle w:val="TableParagraph"/>
              <w:spacing w:before="6"/>
              <w:ind w:left="0"/>
              <w:rPr>
                <w:b/>
                <w:sz w:val="17"/>
              </w:rPr>
            </w:pPr>
          </w:p>
          <w:p w14:paraId="1AAFB797" w14:textId="77777777" w:rsidR="00894070" w:rsidRDefault="009B7AFD">
            <w:pPr>
              <w:pStyle w:val="TableParagraph"/>
              <w:rPr>
                <w:b/>
                <w:sz w:val="20"/>
              </w:rPr>
            </w:pPr>
            <w:r>
              <w:rPr>
                <w:b/>
                <w:color w:val="231F20"/>
                <w:sz w:val="20"/>
              </w:rPr>
              <w:t>Redrafting suggestion</w:t>
            </w:r>
          </w:p>
        </w:tc>
      </w:tr>
      <w:tr w:rsidR="00894070" w14:paraId="13D807BB" w14:textId="77777777">
        <w:trPr>
          <w:trHeight w:val="2324"/>
        </w:trPr>
        <w:tc>
          <w:tcPr>
            <w:tcW w:w="3119" w:type="dxa"/>
          </w:tcPr>
          <w:p w14:paraId="70F0CE14" w14:textId="77777777" w:rsidR="00894070" w:rsidRDefault="009B7AFD">
            <w:pPr>
              <w:pStyle w:val="TableParagraph"/>
              <w:spacing w:before="65"/>
              <w:rPr>
                <w:sz w:val="20"/>
              </w:rPr>
            </w:pPr>
            <w:r>
              <w:rPr>
                <w:color w:val="231F20"/>
                <w:sz w:val="20"/>
              </w:rPr>
              <w:t>Intentional or reckless stalking</w:t>
            </w:r>
          </w:p>
        </w:tc>
        <w:tc>
          <w:tcPr>
            <w:tcW w:w="4808" w:type="dxa"/>
          </w:tcPr>
          <w:p w14:paraId="611EB818" w14:textId="77777777" w:rsidR="00894070" w:rsidRDefault="009B7AFD">
            <w:pPr>
              <w:pStyle w:val="TableParagraph"/>
              <w:spacing w:before="65"/>
              <w:rPr>
                <w:sz w:val="20"/>
              </w:rPr>
            </w:pPr>
            <w:r>
              <w:rPr>
                <w:color w:val="231F20"/>
                <w:sz w:val="20"/>
              </w:rPr>
              <w:t>A person (A) commits an offence if:</w:t>
            </w:r>
          </w:p>
          <w:p w14:paraId="72896109" w14:textId="77777777" w:rsidR="00894070" w:rsidRDefault="009B7AFD">
            <w:pPr>
              <w:pStyle w:val="TableParagraph"/>
              <w:numPr>
                <w:ilvl w:val="0"/>
                <w:numId w:val="61"/>
              </w:numPr>
              <w:tabs>
                <w:tab w:val="left" w:pos="907"/>
                <w:tab w:val="left" w:pos="908"/>
              </w:tabs>
              <w:spacing w:before="83"/>
              <w:rPr>
                <w:sz w:val="20"/>
              </w:rPr>
            </w:pPr>
            <w:r>
              <w:rPr>
                <w:color w:val="231F20"/>
                <w:sz w:val="20"/>
              </w:rPr>
              <w:t xml:space="preserve">A </w:t>
            </w:r>
            <w:proofErr w:type="gramStart"/>
            <w:r>
              <w:rPr>
                <w:color w:val="231F20"/>
                <w:sz w:val="20"/>
              </w:rPr>
              <w:t>stalks</w:t>
            </w:r>
            <w:proofErr w:type="gramEnd"/>
            <w:r>
              <w:rPr>
                <w:color w:val="231F20"/>
                <w:sz w:val="20"/>
              </w:rPr>
              <w:t xml:space="preserve"> another person (B);</w:t>
            </w:r>
            <w:r>
              <w:rPr>
                <w:color w:val="231F20"/>
                <w:spacing w:val="-12"/>
                <w:sz w:val="20"/>
              </w:rPr>
              <w:t xml:space="preserve"> </w:t>
            </w:r>
            <w:r>
              <w:rPr>
                <w:color w:val="231F20"/>
                <w:sz w:val="20"/>
              </w:rPr>
              <w:t>and</w:t>
            </w:r>
          </w:p>
          <w:p w14:paraId="1B5C7AD3" w14:textId="77777777" w:rsidR="00894070" w:rsidRDefault="009B7AFD">
            <w:pPr>
              <w:pStyle w:val="TableParagraph"/>
              <w:numPr>
                <w:ilvl w:val="0"/>
                <w:numId w:val="61"/>
              </w:numPr>
              <w:tabs>
                <w:tab w:val="left" w:pos="907"/>
                <w:tab w:val="left" w:pos="908"/>
              </w:tabs>
              <w:spacing w:before="114" w:line="206" w:lineRule="auto"/>
              <w:ind w:right="261"/>
              <w:rPr>
                <w:sz w:val="20"/>
              </w:rPr>
            </w:pPr>
            <w:r>
              <w:rPr>
                <w:color w:val="231F20"/>
                <w:sz w:val="20"/>
              </w:rPr>
              <w:t>A</w:t>
            </w:r>
            <w:r>
              <w:rPr>
                <w:color w:val="231F20"/>
                <w:spacing w:val="-6"/>
                <w:sz w:val="20"/>
              </w:rPr>
              <w:t xml:space="preserve"> </w:t>
            </w:r>
            <w:r>
              <w:rPr>
                <w:color w:val="231F20"/>
                <w:sz w:val="20"/>
              </w:rPr>
              <w:t>intends</w:t>
            </w:r>
            <w:r>
              <w:rPr>
                <w:color w:val="231F20"/>
                <w:spacing w:val="-5"/>
                <w:sz w:val="20"/>
              </w:rPr>
              <w:t xml:space="preserve"> </w:t>
            </w:r>
            <w:r>
              <w:rPr>
                <w:color w:val="231F20"/>
                <w:sz w:val="20"/>
              </w:rPr>
              <w:t>to</w:t>
            </w:r>
            <w:r>
              <w:rPr>
                <w:color w:val="231F20"/>
                <w:spacing w:val="-6"/>
                <w:sz w:val="20"/>
              </w:rPr>
              <w:t xml:space="preserve"> </w:t>
            </w:r>
            <w:r>
              <w:rPr>
                <w:color w:val="231F20"/>
                <w:sz w:val="20"/>
              </w:rPr>
              <w:t>cause</w:t>
            </w:r>
            <w:r>
              <w:rPr>
                <w:color w:val="231F20"/>
                <w:spacing w:val="-5"/>
                <w:sz w:val="20"/>
              </w:rPr>
              <w:t xml:space="preserve"> </w:t>
            </w:r>
            <w:r>
              <w:rPr>
                <w:color w:val="231F20"/>
                <w:sz w:val="20"/>
              </w:rPr>
              <w:t>or</w:t>
            </w:r>
            <w:r>
              <w:rPr>
                <w:color w:val="231F20"/>
                <w:spacing w:val="-6"/>
                <w:sz w:val="20"/>
              </w:rPr>
              <w:t xml:space="preserve"> </w:t>
            </w:r>
            <w:r>
              <w:rPr>
                <w:color w:val="231F20"/>
                <w:sz w:val="20"/>
              </w:rPr>
              <w:t>believes</w:t>
            </w:r>
            <w:r>
              <w:rPr>
                <w:color w:val="231F20"/>
                <w:spacing w:val="-5"/>
                <w:sz w:val="20"/>
              </w:rPr>
              <w:t xml:space="preserve"> </w:t>
            </w:r>
            <w:r>
              <w:rPr>
                <w:color w:val="231F20"/>
                <w:sz w:val="20"/>
              </w:rPr>
              <w:t>that</w:t>
            </w:r>
            <w:r>
              <w:rPr>
                <w:color w:val="231F20"/>
                <w:spacing w:val="-6"/>
                <w:sz w:val="20"/>
              </w:rPr>
              <w:t xml:space="preserve"> </w:t>
            </w:r>
            <w:r>
              <w:rPr>
                <w:color w:val="231F20"/>
                <w:sz w:val="20"/>
              </w:rPr>
              <w:t>their conduct will probably</w:t>
            </w:r>
            <w:r>
              <w:rPr>
                <w:color w:val="231F20"/>
                <w:spacing w:val="-9"/>
                <w:sz w:val="20"/>
              </w:rPr>
              <w:t xml:space="preserve"> </w:t>
            </w:r>
            <w:r>
              <w:rPr>
                <w:color w:val="231F20"/>
                <w:sz w:val="20"/>
              </w:rPr>
              <w:t>cause:</w:t>
            </w:r>
          </w:p>
          <w:p w14:paraId="45E0C180" w14:textId="77777777" w:rsidR="00894070" w:rsidRDefault="009B7AFD">
            <w:pPr>
              <w:pStyle w:val="TableParagraph"/>
              <w:numPr>
                <w:ilvl w:val="1"/>
                <w:numId w:val="61"/>
              </w:numPr>
              <w:tabs>
                <w:tab w:val="left" w:pos="1303"/>
                <w:tab w:val="left" w:pos="1304"/>
              </w:tabs>
              <w:spacing w:before="91"/>
              <w:ind w:hanging="396"/>
              <w:rPr>
                <w:sz w:val="20"/>
              </w:rPr>
            </w:pPr>
            <w:r>
              <w:rPr>
                <w:color w:val="231F20"/>
                <w:sz w:val="20"/>
              </w:rPr>
              <w:t>physical or mental harm to B;</w:t>
            </w:r>
            <w:r>
              <w:rPr>
                <w:color w:val="231F20"/>
                <w:spacing w:val="-18"/>
                <w:sz w:val="20"/>
              </w:rPr>
              <w:t xml:space="preserve"> </w:t>
            </w:r>
            <w:r>
              <w:rPr>
                <w:color w:val="231F20"/>
                <w:sz w:val="20"/>
              </w:rPr>
              <w:t>or</w:t>
            </w:r>
          </w:p>
          <w:p w14:paraId="5A6C24F7" w14:textId="77777777" w:rsidR="00894070" w:rsidRDefault="009B7AFD">
            <w:pPr>
              <w:pStyle w:val="TableParagraph"/>
              <w:numPr>
                <w:ilvl w:val="1"/>
                <w:numId w:val="61"/>
              </w:numPr>
              <w:tabs>
                <w:tab w:val="left" w:pos="1303"/>
                <w:tab w:val="left" w:pos="1304"/>
              </w:tabs>
              <w:spacing w:before="82" w:line="259" w:lineRule="exact"/>
              <w:ind w:hanging="396"/>
              <w:rPr>
                <w:sz w:val="20"/>
              </w:rPr>
            </w:pPr>
            <w:r>
              <w:rPr>
                <w:color w:val="231F20"/>
                <w:sz w:val="20"/>
              </w:rPr>
              <w:t>B</w:t>
            </w:r>
            <w:r>
              <w:rPr>
                <w:color w:val="231F20"/>
                <w:spacing w:val="-5"/>
                <w:sz w:val="20"/>
              </w:rPr>
              <w:t xml:space="preserve"> </w:t>
            </w:r>
            <w:r>
              <w:rPr>
                <w:color w:val="231F20"/>
                <w:sz w:val="20"/>
              </w:rPr>
              <w:t>to</w:t>
            </w:r>
            <w:r>
              <w:rPr>
                <w:color w:val="231F20"/>
                <w:spacing w:val="-4"/>
                <w:sz w:val="20"/>
              </w:rPr>
              <w:t xml:space="preserve"> </w:t>
            </w:r>
            <w:r>
              <w:rPr>
                <w:color w:val="231F20"/>
                <w:sz w:val="20"/>
              </w:rPr>
              <w:t>believe</w:t>
            </w:r>
            <w:r>
              <w:rPr>
                <w:color w:val="231F20"/>
                <w:spacing w:val="-4"/>
                <w:sz w:val="20"/>
              </w:rPr>
              <w:t xml:space="preserve"> </w:t>
            </w:r>
            <w:r>
              <w:rPr>
                <w:color w:val="231F20"/>
                <w:sz w:val="20"/>
              </w:rPr>
              <w:t>that</w:t>
            </w:r>
            <w:r>
              <w:rPr>
                <w:color w:val="231F20"/>
                <w:spacing w:val="-4"/>
                <w:sz w:val="20"/>
              </w:rPr>
              <w:t xml:space="preserve"> </w:t>
            </w:r>
            <w:r>
              <w:rPr>
                <w:color w:val="231F20"/>
                <w:sz w:val="20"/>
              </w:rPr>
              <w:t>there</w:t>
            </w:r>
            <w:r>
              <w:rPr>
                <w:color w:val="231F20"/>
                <w:spacing w:val="-4"/>
                <w:sz w:val="20"/>
              </w:rPr>
              <w:t xml:space="preserve"> </w:t>
            </w:r>
            <w:r>
              <w:rPr>
                <w:color w:val="231F20"/>
                <w:sz w:val="20"/>
              </w:rPr>
              <w:t>is</w:t>
            </w:r>
            <w:r>
              <w:rPr>
                <w:color w:val="231F20"/>
                <w:spacing w:val="-4"/>
                <w:sz w:val="20"/>
              </w:rPr>
              <w:t xml:space="preserve"> </w:t>
            </w:r>
            <w:r>
              <w:rPr>
                <w:color w:val="231F20"/>
                <w:sz w:val="20"/>
              </w:rPr>
              <w:t>a</w:t>
            </w:r>
            <w:r>
              <w:rPr>
                <w:color w:val="231F20"/>
                <w:spacing w:val="-5"/>
                <w:sz w:val="20"/>
              </w:rPr>
              <w:t xml:space="preserve"> </w:t>
            </w:r>
            <w:r>
              <w:rPr>
                <w:color w:val="231F20"/>
                <w:sz w:val="20"/>
              </w:rPr>
              <w:t>risk</w:t>
            </w:r>
            <w:r>
              <w:rPr>
                <w:color w:val="231F20"/>
                <w:spacing w:val="-4"/>
                <w:sz w:val="20"/>
              </w:rPr>
              <w:t xml:space="preserve"> </w:t>
            </w:r>
            <w:r>
              <w:rPr>
                <w:color w:val="231F20"/>
                <w:sz w:val="20"/>
              </w:rPr>
              <w:t>to</w:t>
            </w:r>
            <w:r>
              <w:rPr>
                <w:color w:val="231F20"/>
                <w:spacing w:val="-4"/>
                <w:sz w:val="20"/>
              </w:rPr>
              <w:t xml:space="preserve"> </w:t>
            </w:r>
            <w:r>
              <w:rPr>
                <w:color w:val="231F20"/>
                <w:sz w:val="20"/>
              </w:rPr>
              <w:t>the</w:t>
            </w:r>
          </w:p>
          <w:p w14:paraId="01D2ECEE" w14:textId="77777777" w:rsidR="00894070" w:rsidRDefault="009B7AFD">
            <w:pPr>
              <w:pStyle w:val="TableParagraph"/>
              <w:spacing w:line="259" w:lineRule="exact"/>
              <w:ind w:left="1275" w:right="522"/>
              <w:jc w:val="center"/>
              <w:rPr>
                <w:sz w:val="20"/>
              </w:rPr>
            </w:pPr>
            <w:r>
              <w:rPr>
                <w:color w:val="231F20"/>
                <w:sz w:val="20"/>
              </w:rPr>
              <w:t>safety of B or of another person.</w:t>
            </w:r>
          </w:p>
        </w:tc>
      </w:tr>
    </w:tbl>
    <w:p w14:paraId="61AD5D49" w14:textId="77777777" w:rsidR="00894070" w:rsidRDefault="00894070">
      <w:pPr>
        <w:pStyle w:val="BodyText"/>
        <w:rPr>
          <w:b/>
        </w:rPr>
      </w:pPr>
    </w:p>
    <w:p w14:paraId="52E0ADE2" w14:textId="77777777" w:rsidR="00894070" w:rsidRDefault="00894070">
      <w:pPr>
        <w:pStyle w:val="BodyText"/>
        <w:rPr>
          <w:b/>
        </w:rPr>
      </w:pPr>
    </w:p>
    <w:p w14:paraId="107B9451" w14:textId="77777777" w:rsidR="00894070" w:rsidRDefault="00894070">
      <w:pPr>
        <w:pStyle w:val="BodyText"/>
        <w:rPr>
          <w:b/>
        </w:rPr>
      </w:pPr>
    </w:p>
    <w:p w14:paraId="6FF59966" w14:textId="77777777" w:rsidR="00894070" w:rsidRDefault="00894070">
      <w:pPr>
        <w:pStyle w:val="BodyText"/>
        <w:rPr>
          <w:b/>
        </w:rPr>
      </w:pPr>
    </w:p>
    <w:p w14:paraId="3C0AE42D" w14:textId="77777777" w:rsidR="00894070" w:rsidRDefault="00894070">
      <w:pPr>
        <w:pStyle w:val="BodyText"/>
        <w:rPr>
          <w:b/>
        </w:rPr>
      </w:pPr>
    </w:p>
    <w:p w14:paraId="08E07196" w14:textId="77777777" w:rsidR="00894070" w:rsidRDefault="009F6793">
      <w:pPr>
        <w:pStyle w:val="BodyText"/>
        <w:spacing w:before="4"/>
        <w:rPr>
          <w:b/>
          <w:sz w:val="10"/>
        </w:rPr>
      </w:pPr>
      <w:r>
        <w:pict w14:anchorId="3B146504">
          <v:line id="_x0000_s1220" style="position:absolute;z-index:251725824;mso-wrap-distance-left:0;mso-wrap-distance-right:0;mso-position-horizontal-relative:page" from="79.35pt,9.65pt" to="515.9pt,9.65pt" strokecolor="#f8cabc" strokeweight="1pt">
            <w10:wrap type="topAndBottom" anchorx="page"/>
          </v:line>
        </w:pict>
      </w:r>
    </w:p>
    <w:p w14:paraId="257235CD" w14:textId="77777777" w:rsidR="00894070" w:rsidRDefault="00894070">
      <w:pPr>
        <w:pStyle w:val="BodyText"/>
        <w:rPr>
          <w:b/>
          <w:sz w:val="5"/>
        </w:rPr>
      </w:pPr>
    </w:p>
    <w:p w14:paraId="2986B6B1" w14:textId="77777777" w:rsidR="00894070" w:rsidRDefault="00894070">
      <w:pPr>
        <w:rPr>
          <w:sz w:val="5"/>
        </w:rPr>
        <w:sectPr w:rsidR="00894070">
          <w:pgSz w:w="11910" w:h="16840"/>
          <w:pgMar w:top="840" w:right="420" w:bottom="280" w:left="580" w:header="0" w:footer="0" w:gutter="0"/>
          <w:cols w:space="720"/>
        </w:sectPr>
      </w:pPr>
    </w:p>
    <w:p w14:paraId="301B6723" w14:textId="77777777" w:rsidR="00894070" w:rsidRDefault="009B7AFD">
      <w:pPr>
        <w:pStyle w:val="ListParagraph"/>
        <w:numPr>
          <w:ilvl w:val="0"/>
          <w:numId w:val="60"/>
        </w:numPr>
        <w:tabs>
          <w:tab w:val="left" w:pos="1800"/>
          <w:tab w:val="left" w:pos="1802"/>
        </w:tabs>
        <w:spacing w:before="21" w:line="170" w:lineRule="exact"/>
        <w:jc w:val="left"/>
        <w:rPr>
          <w:sz w:val="13"/>
        </w:rPr>
      </w:pPr>
      <w:r>
        <w:rPr>
          <w:color w:val="231F20"/>
          <w:sz w:val="13"/>
        </w:rPr>
        <w:t>Consultation 20 (Law Institute of</w:t>
      </w:r>
      <w:r>
        <w:rPr>
          <w:color w:val="231F20"/>
          <w:spacing w:val="1"/>
          <w:sz w:val="13"/>
        </w:rPr>
        <w:t xml:space="preserve"> </w:t>
      </w:r>
      <w:r>
        <w:rPr>
          <w:color w:val="231F20"/>
          <w:sz w:val="13"/>
        </w:rPr>
        <w:t>Victoria).</w:t>
      </w:r>
    </w:p>
    <w:p w14:paraId="26508474" w14:textId="77777777" w:rsidR="00894070" w:rsidRDefault="009B7AFD">
      <w:pPr>
        <w:pStyle w:val="ListParagraph"/>
        <w:numPr>
          <w:ilvl w:val="0"/>
          <w:numId w:val="60"/>
        </w:numPr>
        <w:tabs>
          <w:tab w:val="left" w:pos="1801"/>
          <w:tab w:val="left" w:pos="1802"/>
        </w:tabs>
        <w:spacing w:line="160" w:lineRule="exact"/>
        <w:jc w:val="left"/>
        <w:rPr>
          <w:sz w:val="13"/>
        </w:rPr>
      </w:pPr>
      <w:r>
        <w:rPr>
          <w:i/>
          <w:color w:val="231F20"/>
          <w:sz w:val="13"/>
        </w:rPr>
        <w:t>Criminal</w:t>
      </w:r>
      <w:r>
        <w:rPr>
          <w:i/>
          <w:color w:val="231F20"/>
          <w:spacing w:val="6"/>
          <w:sz w:val="13"/>
        </w:rPr>
        <w:t xml:space="preserve"> </w:t>
      </w:r>
      <w:r>
        <w:rPr>
          <w:i/>
          <w:color w:val="231F20"/>
          <w:sz w:val="13"/>
        </w:rPr>
        <w:t>Law</w:t>
      </w:r>
      <w:r>
        <w:rPr>
          <w:i/>
          <w:color w:val="231F20"/>
          <w:spacing w:val="6"/>
          <w:sz w:val="13"/>
        </w:rPr>
        <w:t xml:space="preserve"> </w:t>
      </w:r>
      <w:r>
        <w:rPr>
          <w:i/>
          <w:color w:val="231F20"/>
          <w:sz w:val="13"/>
        </w:rPr>
        <w:t>Consolidation</w:t>
      </w:r>
      <w:r>
        <w:rPr>
          <w:i/>
          <w:color w:val="231F20"/>
          <w:spacing w:val="7"/>
          <w:sz w:val="13"/>
        </w:rPr>
        <w:t xml:space="preserve"> </w:t>
      </w:r>
      <w:r>
        <w:rPr>
          <w:i/>
          <w:color w:val="231F20"/>
          <w:sz w:val="13"/>
        </w:rPr>
        <w:t>Act</w:t>
      </w:r>
      <w:r>
        <w:rPr>
          <w:i/>
          <w:color w:val="231F20"/>
          <w:spacing w:val="6"/>
          <w:sz w:val="13"/>
        </w:rPr>
        <w:t xml:space="preserve"> </w:t>
      </w:r>
      <w:r>
        <w:rPr>
          <w:i/>
          <w:color w:val="231F20"/>
          <w:sz w:val="13"/>
        </w:rPr>
        <w:t>1935</w:t>
      </w:r>
      <w:r>
        <w:rPr>
          <w:i/>
          <w:color w:val="231F20"/>
          <w:spacing w:val="7"/>
          <w:sz w:val="13"/>
        </w:rPr>
        <w:t xml:space="preserve"> </w:t>
      </w:r>
      <w:r>
        <w:rPr>
          <w:color w:val="231F20"/>
          <w:sz w:val="13"/>
        </w:rPr>
        <w:t>(SA)</w:t>
      </w:r>
      <w:r>
        <w:rPr>
          <w:color w:val="231F20"/>
          <w:spacing w:val="6"/>
          <w:sz w:val="13"/>
        </w:rPr>
        <w:t xml:space="preserve"> </w:t>
      </w:r>
      <w:r>
        <w:rPr>
          <w:color w:val="231F20"/>
          <w:sz w:val="13"/>
        </w:rPr>
        <w:t>s</w:t>
      </w:r>
      <w:r>
        <w:rPr>
          <w:color w:val="231F20"/>
          <w:spacing w:val="7"/>
          <w:sz w:val="13"/>
        </w:rPr>
        <w:t xml:space="preserve"> </w:t>
      </w:r>
      <w:r>
        <w:rPr>
          <w:color w:val="231F20"/>
          <w:spacing w:val="2"/>
          <w:sz w:val="13"/>
        </w:rPr>
        <w:t>19AA;</w:t>
      </w:r>
      <w:r>
        <w:rPr>
          <w:color w:val="231F20"/>
          <w:spacing w:val="6"/>
          <w:sz w:val="13"/>
        </w:rPr>
        <w:t xml:space="preserve"> </w:t>
      </w:r>
      <w:r>
        <w:rPr>
          <w:i/>
          <w:color w:val="231F20"/>
          <w:sz w:val="13"/>
        </w:rPr>
        <w:t>Criminal</w:t>
      </w:r>
      <w:r>
        <w:rPr>
          <w:i/>
          <w:color w:val="231F20"/>
          <w:spacing w:val="7"/>
          <w:sz w:val="13"/>
        </w:rPr>
        <w:t xml:space="preserve"> </w:t>
      </w:r>
      <w:r>
        <w:rPr>
          <w:i/>
          <w:color w:val="231F20"/>
          <w:sz w:val="13"/>
        </w:rPr>
        <w:t>Code</w:t>
      </w:r>
      <w:r>
        <w:rPr>
          <w:i/>
          <w:color w:val="231F20"/>
          <w:spacing w:val="6"/>
          <w:sz w:val="13"/>
        </w:rPr>
        <w:t xml:space="preserve"> </w:t>
      </w:r>
      <w:r>
        <w:rPr>
          <w:i/>
          <w:color w:val="231F20"/>
          <w:sz w:val="13"/>
        </w:rPr>
        <w:t>Act</w:t>
      </w:r>
      <w:r>
        <w:rPr>
          <w:i/>
          <w:color w:val="231F20"/>
          <w:spacing w:val="7"/>
          <w:sz w:val="13"/>
        </w:rPr>
        <w:t xml:space="preserve"> </w:t>
      </w:r>
      <w:r>
        <w:rPr>
          <w:i/>
          <w:color w:val="231F20"/>
          <w:sz w:val="13"/>
        </w:rPr>
        <w:t>Compilation</w:t>
      </w:r>
      <w:r>
        <w:rPr>
          <w:i/>
          <w:color w:val="231F20"/>
          <w:spacing w:val="6"/>
          <w:sz w:val="13"/>
        </w:rPr>
        <w:t xml:space="preserve"> </w:t>
      </w:r>
      <w:r>
        <w:rPr>
          <w:i/>
          <w:color w:val="231F20"/>
          <w:sz w:val="13"/>
        </w:rPr>
        <w:t>Act</w:t>
      </w:r>
      <w:r>
        <w:rPr>
          <w:i/>
          <w:color w:val="231F20"/>
          <w:spacing w:val="7"/>
          <w:sz w:val="13"/>
        </w:rPr>
        <w:t xml:space="preserve"> </w:t>
      </w:r>
      <w:r>
        <w:rPr>
          <w:i/>
          <w:color w:val="231F20"/>
          <w:sz w:val="13"/>
        </w:rPr>
        <w:t>1913</w:t>
      </w:r>
      <w:r>
        <w:rPr>
          <w:i/>
          <w:color w:val="231F20"/>
          <w:spacing w:val="6"/>
          <w:sz w:val="13"/>
        </w:rPr>
        <w:t xml:space="preserve"> </w:t>
      </w:r>
      <w:r>
        <w:rPr>
          <w:color w:val="231F20"/>
          <w:sz w:val="13"/>
        </w:rPr>
        <w:t>(WA)</w:t>
      </w:r>
      <w:r>
        <w:rPr>
          <w:color w:val="231F20"/>
          <w:spacing w:val="7"/>
          <w:sz w:val="13"/>
        </w:rPr>
        <w:t xml:space="preserve"> </w:t>
      </w:r>
      <w:r>
        <w:rPr>
          <w:color w:val="231F20"/>
          <w:sz w:val="13"/>
        </w:rPr>
        <w:t>s</w:t>
      </w:r>
      <w:r>
        <w:rPr>
          <w:color w:val="231F20"/>
          <w:spacing w:val="6"/>
          <w:sz w:val="13"/>
        </w:rPr>
        <w:t xml:space="preserve"> </w:t>
      </w:r>
      <w:r>
        <w:rPr>
          <w:color w:val="231F20"/>
          <w:sz w:val="13"/>
        </w:rPr>
        <w:t>338E;</w:t>
      </w:r>
      <w:r>
        <w:rPr>
          <w:color w:val="231F20"/>
          <w:spacing w:val="7"/>
          <w:sz w:val="13"/>
        </w:rPr>
        <w:t xml:space="preserve"> </w:t>
      </w:r>
      <w:r>
        <w:rPr>
          <w:i/>
          <w:color w:val="231F20"/>
          <w:sz w:val="13"/>
        </w:rPr>
        <w:t>Criminal</w:t>
      </w:r>
      <w:r>
        <w:rPr>
          <w:i/>
          <w:color w:val="231F20"/>
          <w:spacing w:val="6"/>
          <w:sz w:val="13"/>
        </w:rPr>
        <w:t xml:space="preserve"> </w:t>
      </w:r>
      <w:r>
        <w:rPr>
          <w:i/>
          <w:color w:val="231F20"/>
          <w:sz w:val="13"/>
        </w:rPr>
        <w:t>Code</w:t>
      </w:r>
      <w:r>
        <w:rPr>
          <w:i/>
          <w:color w:val="231F20"/>
          <w:spacing w:val="7"/>
          <w:sz w:val="13"/>
        </w:rPr>
        <w:t xml:space="preserve"> </w:t>
      </w:r>
      <w:r>
        <w:rPr>
          <w:i/>
          <w:color w:val="231F20"/>
          <w:sz w:val="13"/>
        </w:rPr>
        <w:t>Act</w:t>
      </w:r>
      <w:r>
        <w:rPr>
          <w:i/>
          <w:color w:val="231F20"/>
          <w:spacing w:val="6"/>
          <w:sz w:val="13"/>
        </w:rPr>
        <w:t xml:space="preserve"> </w:t>
      </w:r>
      <w:r>
        <w:rPr>
          <w:i/>
          <w:color w:val="231F20"/>
          <w:sz w:val="13"/>
        </w:rPr>
        <w:t>1899</w:t>
      </w:r>
      <w:r>
        <w:rPr>
          <w:i/>
          <w:color w:val="231F20"/>
          <w:spacing w:val="7"/>
          <w:sz w:val="13"/>
        </w:rPr>
        <w:t xml:space="preserve"> </w:t>
      </w:r>
      <w:r>
        <w:rPr>
          <w:color w:val="231F20"/>
          <w:sz w:val="13"/>
        </w:rPr>
        <w:t>(Qld)</w:t>
      </w:r>
    </w:p>
    <w:p w14:paraId="79F62EB4" w14:textId="77777777" w:rsidR="00894070" w:rsidRDefault="009B7AFD">
      <w:pPr>
        <w:spacing w:line="160" w:lineRule="exact"/>
        <w:ind w:left="1801"/>
        <w:rPr>
          <w:sz w:val="13"/>
        </w:rPr>
      </w:pPr>
      <w:r>
        <w:rPr>
          <w:color w:val="231F20"/>
          <w:sz w:val="13"/>
        </w:rPr>
        <w:t>s 359B.</w:t>
      </w:r>
    </w:p>
    <w:p w14:paraId="746AA40D" w14:textId="77777777" w:rsidR="00894070" w:rsidRDefault="009B7AFD">
      <w:pPr>
        <w:pStyle w:val="ListParagraph"/>
        <w:numPr>
          <w:ilvl w:val="0"/>
          <w:numId w:val="60"/>
        </w:numPr>
        <w:tabs>
          <w:tab w:val="left" w:pos="1801"/>
          <w:tab w:val="left" w:pos="1802"/>
        </w:tabs>
        <w:spacing w:line="160" w:lineRule="exact"/>
        <w:jc w:val="left"/>
        <w:rPr>
          <w:sz w:val="13"/>
        </w:rPr>
      </w:pPr>
      <w:r>
        <w:rPr>
          <w:i/>
          <w:color w:val="231F20"/>
          <w:sz w:val="13"/>
        </w:rPr>
        <w:t xml:space="preserve">Crimes Act 1958 </w:t>
      </w:r>
      <w:r>
        <w:rPr>
          <w:color w:val="231F20"/>
          <w:sz w:val="13"/>
        </w:rPr>
        <w:t>(Vic) s 4</w:t>
      </w:r>
      <w:proofErr w:type="gramStart"/>
      <w:r>
        <w:rPr>
          <w:color w:val="231F20"/>
          <w:sz w:val="13"/>
        </w:rPr>
        <w:t>A(</w:t>
      </w:r>
      <w:proofErr w:type="gramEnd"/>
      <w:r>
        <w:rPr>
          <w:color w:val="231F20"/>
          <w:sz w:val="13"/>
        </w:rPr>
        <w:t>4).</w:t>
      </w:r>
    </w:p>
    <w:p w14:paraId="3A247FE2" w14:textId="77777777" w:rsidR="00894070" w:rsidRDefault="009B7AFD">
      <w:pPr>
        <w:pStyle w:val="ListParagraph"/>
        <w:numPr>
          <w:ilvl w:val="0"/>
          <w:numId w:val="60"/>
        </w:numPr>
        <w:tabs>
          <w:tab w:val="left" w:pos="1801"/>
          <w:tab w:val="left" w:pos="1802"/>
        </w:tabs>
        <w:spacing w:line="160" w:lineRule="exact"/>
        <w:jc w:val="left"/>
        <w:rPr>
          <w:sz w:val="13"/>
        </w:rPr>
      </w:pPr>
      <w:r>
        <w:rPr>
          <w:color w:val="231F20"/>
          <w:spacing w:val="2"/>
          <w:sz w:val="13"/>
        </w:rPr>
        <w:t xml:space="preserve">Submission </w:t>
      </w:r>
      <w:r>
        <w:rPr>
          <w:color w:val="231F20"/>
          <w:sz w:val="13"/>
        </w:rPr>
        <w:t>106 (Dr Steven Tudor &amp; Greg Byrne</w:t>
      </w:r>
      <w:r>
        <w:rPr>
          <w:color w:val="231F20"/>
          <w:spacing w:val="-1"/>
          <w:sz w:val="13"/>
        </w:rPr>
        <w:t xml:space="preserve"> </w:t>
      </w:r>
      <w:r>
        <w:rPr>
          <w:color w:val="231F20"/>
          <w:sz w:val="13"/>
        </w:rPr>
        <w:t>PSM).</w:t>
      </w:r>
    </w:p>
    <w:p w14:paraId="254AD001" w14:textId="77777777" w:rsidR="00894070" w:rsidRDefault="009B7AFD">
      <w:pPr>
        <w:pStyle w:val="ListParagraph"/>
        <w:numPr>
          <w:ilvl w:val="0"/>
          <w:numId w:val="60"/>
        </w:numPr>
        <w:tabs>
          <w:tab w:val="left" w:pos="1800"/>
          <w:tab w:val="left" w:pos="1802"/>
        </w:tabs>
        <w:spacing w:line="160" w:lineRule="exact"/>
        <w:jc w:val="left"/>
        <w:rPr>
          <w:sz w:val="13"/>
        </w:rPr>
      </w:pPr>
      <w:r>
        <w:rPr>
          <w:color w:val="231F20"/>
          <w:sz w:val="13"/>
        </w:rPr>
        <w:t>Ibid.</w:t>
      </w:r>
    </w:p>
    <w:p w14:paraId="421A741B" w14:textId="77777777" w:rsidR="00894070" w:rsidRDefault="009B7AFD">
      <w:pPr>
        <w:pStyle w:val="ListParagraph"/>
        <w:numPr>
          <w:ilvl w:val="0"/>
          <w:numId w:val="60"/>
        </w:numPr>
        <w:tabs>
          <w:tab w:val="left" w:pos="1801"/>
          <w:tab w:val="left" w:pos="1802"/>
        </w:tabs>
        <w:spacing w:line="170" w:lineRule="exact"/>
        <w:jc w:val="left"/>
        <w:rPr>
          <w:sz w:val="13"/>
        </w:rPr>
      </w:pPr>
      <w:r>
        <w:rPr>
          <w:color w:val="231F20"/>
          <w:sz w:val="13"/>
        </w:rPr>
        <w:t>Ibid (emphasis omitted).</w:t>
      </w:r>
    </w:p>
    <w:p w14:paraId="0BE4FD10" w14:textId="77777777" w:rsidR="00894070" w:rsidRDefault="009B7AFD">
      <w:pPr>
        <w:pStyle w:val="BodyText"/>
        <w:rPr>
          <w:sz w:val="28"/>
        </w:rPr>
      </w:pPr>
      <w:r>
        <w:br w:type="column"/>
      </w:r>
    </w:p>
    <w:p w14:paraId="6ACD0CB3" w14:textId="77777777" w:rsidR="00894070" w:rsidRDefault="00894070">
      <w:pPr>
        <w:pStyle w:val="BodyText"/>
        <w:spacing w:before="8"/>
        <w:rPr>
          <w:sz w:val="33"/>
        </w:rPr>
      </w:pPr>
    </w:p>
    <w:p w14:paraId="576D3094" w14:textId="77777777" w:rsidR="00894070" w:rsidRDefault="009B7AFD">
      <w:pPr>
        <w:pStyle w:val="Heading8"/>
        <w:ind w:left="622"/>
      </w:pPr>
      <w:r>
        <w:rPr>
          <w:color w:val="EA5B50"/>
        </w:rPr>
        <w:t>137</w:t>
      </w:r>
    </w:p>
    <w:p w14:paraId="12ED79DB" w14:textId="77777777" w:rsidR="00894070" w:rsidRDefault="00894070">
      <w:pPr>
        <w:sectPr w:rsidR="00894070">
          <w:type w:val="continuous"/>
          <w:pgSz w:w="11910" w:h="16840"/>
          <w:pgMar w:top="560" w:right="420" w:bottom="280" w:left="580" w:header="720" w:footer="720" w:gutter="0"/>
          <w:cols w:num="2" w:space="720" w:equalWidth="0">
            <w:col w:w="9679" w:space="40"/>
            <w:col w:w="1191"/>
          </w:cols>
        </w:sectPr>
      </w:pPr>
    </w:p>
    <w:p w14:paraId="3B68831A" w14:textId="77777777" w:rsidR="00894070" w:rsidRDefault="00894070">
      <w:pPr>
        <w:pStyle w:val="BodyText"/>
        <w:rPr>
          <w:b/>
        </w:rPr>
      </w:pPr>
    </w:p>
    <w:p w14:paraId="337A4D4B" w14:textId="77777777" w:rsidR="00894070" w:rsidRDefault="00894070">
      <w:pPr>
        <w:pStyle w:val="BodyText"/>
        <w:rPr>
          <w:b/>
        </w:rPr>
      </w:pPr>
    </w:p>
    <w:p w14:paraId="75F40FB5" w14:textId="77777777" w:rsidR="00894070" w:rsidRDefault="00894070">
      <w:pPr>
        <w:pStyle w:val="BodyText"/>
        <w:rPr>
          <w:b/>
        </w:rPr>
      </w:pPr>
    </w:p>
    <w:p w14:paraId="2F0B8E50" w14:textId="77777777" w:rsidR="00894070" w:rsidRDefault="00894070">
      <w:pPr>
        <w:pStyle w:val="BodyText"/>
        <w:spacing w:before="8"/>
        <w:rPr>
          <w:b/>
          <w:sz w:val="19"/>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3119"/>
        <w:gridCol w:w="4808"/>
      </w:tblGrid>
      <w:tr w:rsidR="00894070" w14:paraId="006190FF" w14:textId="77777777">
        <w:trPr>
          <w:trHeight w:val="758"/>
        </w:trPr>
        <w:tc>
          <w:tcPr>
            <w:tcW w:w="3119" w:type="dxa"/>
            <w:shd w:val="clear" w:color="auto" w:fill="F4BCAE"/>
          </w:tcPr>
          <w:p w14:paraId="695F5AC4" w14:textId="77777777" w:rsidR="00894070" w:rsidRDefault="009B7AFD">
            <w:pPr>
              <w:pStyle w:val="TableParagraph"/>
              <w:spacing w:before="122" w:line="259" w:lineRule="exact"/>
              <w:rPr>
                <w:b/>
                <w:sz w:val="20"/>
              </w:rPr>
            </w:pPr>
            <w:r>
              <w:rPr>
                <w:b/>
                <w:color w:val="231F20"/>
                <w:sz w:val="20"/>
              </w:rPr>
              <w:t>Element or provision to be</w:t>
            </w:r>
          </w:p>
          <w:p w14:paraId="0A2A0AE4" w14:textId="77777777" w:rsidR="00894070" w:rsidRDefault="009B7AFD">
            <w:pPr>
              <w:pStyle w:val="TableParagraph"/>
              <w:spacing w:line="259" w:lineRule="exact"/>
              <w:rPr>
                <w:b/>
                <w:sz w:val="20"/>
              </w:rPr>
            </w:pPr>
            <w:r>
              <w:rPr>
                <w:b/>
                <w:color w:val="231F20"/>
                <w:sz w:val="20"/>
              </w:rPr>
              <w:t>clarified through redrafting</w:t>
            </w:r>
          </w:p>
        </w:tc>
        <w:tc>
          <w:tcPr>
            <w:tcW w:w="4808" w:type="dxa"/>
            <w:shd w:val="clear" w:color="auto" w:fill="F4BCAE"/>
          </w:tcPr>
          <w:p w14:paraId="09F07FB5" w14:textId="77777777" w:rsidR="00894070" w:rsidRDefault="00894070">
            <w:pPr>
              <w:pStyle w:val="TableParagraph"/>
              <w:spacing w:before="6"/>
              <w:ind w:left="0"/>
              <w:rPr>
                <w:b/>
                <w:sz w:val="17"/>
              </w:rPr>
            </w:pPr>
          </w:p>
          <w:p w14:paraId="6A60030A" w14:textId="77777777" w:rsidR="00894070" w:rsidRDefault="009B7AFD">
            <w:pPr>
              <w:pStyle w:val="TableParagraph"/>
              <w:rPr>
                <w:b/>
                <w:sz w:val="20"/>
              </w:rPr>
            </w:pPr>
            <w:r>
              <w:rPr>
                <w:b/>
                <w:color w:val="231F20"/>
                <w:sz w:val="20"/>
              </w:rPr>
              <w:t>Redrafting suggestion</w:t>
            </w:r>
          </w:p>
        </w:tc>
      </w:tr>
      <w:tr w:rsidR="00894070" w14:paraId="7A3EB31C" w14:textId="77777777">
        <w:trPr>
          <w:trHeight w:val="2924"/>
        </w:trPr>
        <w:tc>
          <w:tcPr>
            <w:tcW w:w="3119" w:type="dxa"/>
          </w:tcPr>
          <w:p w14:paraId="3A042B81" w14:textId="77777777" w:rsidR="00894070" w:rsidRDefault="009B7AFD">
            <w:pPr>
              <w:pStyle w:val="TableParagraph"/>
              <w:spacing w:before="65"/>
              <w:rPr>
                <w:sz w:val="20"/>
              </w:rPr>
            </w:pPr>
            <w:r>
              <w:rPr>
                <w:color w:val="231F20"/>
                <w:sz w:val="20"/>
              </w:rPr>
              <w:t>‘Objective fault’ stalking</w:t>
            </w:r>
          </w:p>
        </w:tc>
        <w:tc>
          <w:tcPr>
            <w:tcW w:w="4808" w:type="dxa"/>
          </w:tcPr>
          <w:p w14:paraId="4D05B56D" w14:textId="77777777" w:rsidR="00894070" w:rsidRDefault="009B7AFD">
            <w:pPr>
              <w:pStyle w:val="TableParagraph"/>
              <w:spacing w:before="65"/>
              <w:rPr>
                <w:sz w:val="20"/>
              </w:rPr>
            </w:pPr>
            <w:r>
              <w:rPr>
                <w:color w:val="231F20"/>
                <w:sz w:val="20"/>
              </w:rPr>
              <w:t>A person (A) commits an offence if:</w:t>
            </w:r>
          </w:p>
          <w:p w14:paraId="6F0DFC59" w14:textId="77777777" w:rsidR="00894070" w:rsidRDefault="009B7AFD">
            <w:pPr>
              <w:pStyle w:val="TableParagraph"/>
              <w:numPr>
                <w:ilvl w:val="0"/>
                <w:numId w:val="59"/>
              </w:numPr>
              <w:tabs>
                <w:tab w:val="left" w:pos="907"/>
                <w:tab w:val="left" w:pos="908"/>
              </w:tabs>
              <w:spacing w:before="83"/>
              <w:rPr>
                <w:sz w:val="20"/>
              </w:rPr>
            </w:pPr>
            <w:r>
              <w:rPr>
                <w:color w:val="231F20"/>
                <w:sz w:val="20"/>
              </w:rPr>
              <w:t xml:space="preserve">A </w:t>
            </w:r>
            <w:proofErr w:type="gramStart"/>
            <w:r>
              <w:rPr>
                <w:color w:val="231F20"/>
                <w:sz w:val="20"/>
              </w:rPr>
              <w:t>stalks</w:t>
            </w:r>
            <w:proofErr w:type="gramEnd"/>
            <w:r>
              <w:rPr>
                <w:color w:val="231F20"/>
                <w:sz w:val="20"/>
              </w:rPr>
              <w:t xml:space="preserve"> another person (B);</w:t>
            </w:r>
            <w:r>
              <w:rPr>
                <w:color w:val="231F20"/>
                <w:spacing w:val="-12"/>
                <w:sz w:val="20"/>
              </w:rPr>
              <w:t xml:space="preserve"> </w:t>
            </w:r>
            <w:r>
              <w:rPr>
                <w:color w:val="231F20"/>
                <w:sz w:val="20"/>
              </w:rPr>
              <w:t>and</w:t>
            </w:r>
          </w:p>
          <w:p w14:paraId="0696D5CD" w14:textId="77777777" w:rsidR="00894070" w:rsidRDefault="009B7AFD">
            <w:pPr>
              <w:pStyle w:val="TableParagraph"/>
              <w:numPr>
                <w:ilvl w:val="0"/>
                <w:numId w:val="59"/>
              </w:numPr>
              <w:tabs>
                <w:tab w:val="left" w:pos="907"/>
                <w:tab w:val="left" w:pos="908"/>
              </w:tabs>
              <w:spacing w:before="82"/>
              <w:rPr>
                <w:sz w:val="20"/>
              </w:rPr>
            </w:pPr>
            <w:r>
              <w:rPr>
                <w:color w:val="231F20"/>
                <w:spacing w:val="-7"/>
                <w:sz w:val="20"/>
              </w:rPr>
              <w:t xml:space="preserve">A’s </w:t>
            </w:r>
            <w:r>
              <w:rPr>
                <w:color w:val="231F20"/>
                <w:sz w:val="20"/>
              </w:rPr>
              <w:t>conduct</w:t>
            </w:r>
            <w:r>
              <w:rPr>
                <w:color w:val="231F20"/>
                <w:spacing w:val="2"/>
                <w:sz w:val="20"/>
              </w:rPr>
              <w:t xml:space="preserve"> </w:t>
            </w:r>
            <w:r>
              <w:rPr>
                <w:color w:val="231F20"/>
                <w:sz w:val="20"/>
              </w:rPr>
              <w:t>causes:</w:t>
            </w:r>
          </w:p>
          <w:p w14:paraId="6394C980" w14:textId="77777777" w:rsidR="00894070" w:rsidRDefault="009B7AFD">
            <w:pPr>
              <w:pStyle w:val="TableParagraph"/>
              <w:numPr>
                <w:ilvl w:val="1"/>
                <w:numId w:val="59"/>
              </w:numPr>
              <w:tabs>
                <w:tab w:val="left" w:pos="1303"/>
                <w:tab w:val="left" w:pos="1304"/>
              </w:tabs>
              <w:spacing w:before="82"/>
              <w:ind w:hanging="396"/>
              <w:rPr>
                <w:sz w:val="20"/>
              </w:rPr>
            </w:pPr>
            <w:r>
              <w:rPr>
                <w:color w:val="231F20"/>
                <w:sz w:val="20"/>
              </w:rPr>
              <w:t>physical or mental harm to B;</w:t>
            </w:r>
            <w:r>
              <w:rPr>
                <w:color w:val="231F20"/>
                <w:spacing w:val="-18"/>
                <w:sz w:val="20"/>
              </w:rPr>
              <w:t xml:space="preserve"> </w:t>
            </w:r>
            <w:r>
              <w:rPr>
                <w:color w:val="231F20"/>
                <w:sz w:val="20"/>
              </w:rPr>
              <w:t>or</w:t>
            </w:r>
          </w:p>
          <w:p w14:paraId="5E031DE6" w14:textId="77777777" w:rsidR="00894070" w:rsidRDefault="009B7AFD">
            <w:pPr>
              <w:pStyle w:val="TableParagraph"/>
              <w:numPr>
                <w:ilvl w:val="1"/>
                <w:numId w:val="59"/>
              </w:numPr>
              <w:tabs>
                <w:tab w:val="left" w:pos="1303"/>
                <w:tab w:val="left" w:pos="1304"/>
              </w:tabs>
              <w:spacing w:before="83" w:line="259" w:lineRule="exact"/>
              <w:ind w:hanging="396"/>
              <w:rPr>
                <w:sz w:val="20"/>
              </w:rPr>
            </w:pPr>
            <w:r>
              <w:rPr>
                <w:color w:val="231F20"/>
                <w:sz w:val="20"/>
              </w:rPr>
              <w:t>B</w:t>
            </w:r>
            <w:r>
              <w:rPr>
                <w:color w:val="231F20"/>
                <w:spacing w:val="-5"/>
                <w:sz w:val="20"/>
              </w:rPr>
              <w:t xml:space="preserve"> </w:t>
            </w:r>
            <w:r>
              <w:rPr>
                <w:color w:val="231F20"/>
                <w:sz w:val="20"/>
              </w:rPr>
              <w:t>to</w:t>
            </w:r>
            <w:r>
              <w:rPr>
                <w:color w:val="231F20"/>
                <w:spacing w:val="-4"/>
                <w:sz w:val="20"/>
              </w:rPr>
              <w:t xml:space="preserve"> </w:t>
            </w:r>
            <w:r>
              <w:rPr>
                <w:color w:val="231F20"/>
                <w:sz w:val="20"/>
              </w:rPr>
              <w:t>believe</w:t>
            </w:r>
            <w:r>
              <w:rPr>
                <w:color w:val="231F20"/>
                <w:spacing w:val="-4"/>
                <w:sz w:val="20"/>
              </w:rPr>
              <w:t xml:space="preserve"> </w:t>
            </w:r>
            <w:r>
              <w:rPr>
                <w:color w:val="231F20"/>
                <w:sz w:val="20"/>
              </w:rPr>
              <w:t>that</w:t>
            </w:r>
            <w:r>
              <w:rPr>
                <w:color w:val="231F20"/>
                <w:spacing w:val="-4"/>
                <w:sz w:val="20"/>
              </w:rPr>
              <w:t xml:space="preserve"> </w:t>
            </w:r>
            <w:r>
              <w:rPr>
                <w:color w:val="231F20"/>
                <w:sz w:val="20"/>
              </w:rPr>
              <w:t>there</w:t>
            </w:r>
            <w:r>
              <w:rPr>
                <w:color w:val="231F20"/>
                <w:spacing w:val="-4"/>
                <w:sz w:val="20"/>
              </w:rPr>
              <w:t xml:space="preserve"> </w:t>
            </w:r>
            <w:r>
              <w:rPr>
                <w:color w:val="231F20"/>
                <w:sz w:val="20"/>
              </w:rPr>
              <w:t>is</w:t>
            </w:r>
            <w:r>
              <w:rPr>
                <w:color w:val="231F20"/>
                <w:spacing w:val="-4"/>
                <w:sz w:val="20"/>
              </w:rPr>
              <w:t xml:space="preserve"> </w:t>
            </w:r>
            <w:r>
              <w:rPr>
                <w:color w:val="231F20"/>
                <w:sz w:val="20"/>
              </w:rPr>
              <w:t>a</w:t>
            </w:r>
            <w:r>
              <w:rPr>
                <w:color w:val="231F20"/>
                <w:spacing w:val="-5"/>
                <w:sz w:val="20"/>
              </w:rPr>
              <w:t xml:space="preserve"> </w:t>
            </w:r>
            <w:r>
              <w:rPr>
                <w:color w:val="231F20"/>
                <w:sz w:val="20"/>
              </w:rPr>
              <w:t>risk</w:t>
            </w:r>
            <w:r>
              <w:rPr>
                <w:color w:val="231F20"/>
                <w:spacing w:val="-4"/>
                <w:sz w:val="20"/>
              </w:rPr>
              <w:t xml:space="preserve"> </w:t>
            </w:r>
            <w:r>
              <w:rPr>
                <w:color w:val="231F20"/>
                <w:sz w:val="20"/>
              </w:rPr>
              <w:t>to</w:t>
            </w:r>
            <w:r>
              <w:rPr>
                <w:color w:val="231F20"/>
                <w:spacing w:val="-4"/>
                <w:sz w:val="20"/>
              </w:rPr>
              <w:t xml:space="preserve"> </w:t>
            </w:r>
            <w:r>
              <w:rPr>
                <w:color w:val="231F20"/>
                <w:sz w:val="20"/>
              </w:rPr>
              <w:t>the</w:t>
            </w:r>
          </w:p>
          <w:p w14:paraId="389ED7B2" w14:textId="77777777" w:rsidR="00894070" w:rsidRDefault="009B7AFD">
            <w:pPr>
              <w:pStyle w:val="TableParagraph"/>
              <w:spacing w:line="259" w:lineRule="exact"/>
              <w:ind w:left="1303"/>
              <w:rPr>
                <w:sz w:val="20"/>
              </w:rPr>
            </w:pPr>
            <w:r>
              <w:rPr>
                <w:color w:val="231F20"/>
                <w:sz w:val="20"/>
              </w:rPr>
              <w:t>safety of B or of another person; and</w:t>
            </w:r>
          </w:p>
          <w:p w14:paraId="40C5AB05" w14:textId="77777777" w:rsidR="00894070" w:rsidRDefault="009B7AFD">
            <w:pPr>
              <w:pStyle w:val="TableParagraph"/>
              <w:numPr>
                <w:ilvl w:val="0"/>
                <w:numId w:val="59"/>
              </w:numPr>
              <w:tabs>
                <w:tab w:val="left" w:pos="907"/>
                <w:tab w:val="left" w:pos="908"/>
              </w:tabs>
              <w:spacing w:before="115" w:line="206" w:lineRule="auto"/>
              <w:ind w:right="101"/>
              <w:rPr>
                <w:sz w:val="11"/>
              </w:rPr>
            </w:pPr>
            <w:r>
              <w:rPr>
                <w:color w:val="231F20"/>
                <w:sz w:val="20"/>
              </w:rPr>
              <w:t xml:space="preserve">a reasonable person in </w:t>
            </w:r>
            <w:r>
              <w:rPr>
                <w:color w:val="231F20"/>
                <w:spacing w:val="-7"/>
                <w:sz w:val="20"/>
              </w:rPr>
              <w:t xml:space="preserve">A’s </w:t>
            </w:r>
            <w:r>
              <w:rPr>
                <w:color w:val="231F20"/>
                <w:sz w:val="20"/>
              </w:rPr>
              <w:t>position</w:t>
            </w:r>
            <w:r>
              <w:rPr>
                <w:color w:val="231F20"/>
                <w:spacing w:val="-26"/>
                <w:sz w:val="20"/>
              </w:rPr>
              <w:t xml:space="preserve"> </w:t>
            </w:r>
            <w:r>
              <w:rPr>
                <w:color w:val="231F20"/>
                <w:sz w:val="20"/>
              </w:rPr>
              <w:t>would know that their conduct would probably cause such a</w:t>
            </w:r>
            <w:r>
              <w:rPr>
                <w:color w:val="231F20"/>
                <w:spacing w:val="-6"/>
                <w:sz w:val="20"/>
              </w:rPr>
              <w:t xml:space="preserve"> </w:t>
            </w:r>
            <w:r>
              <w:rPr>
                <w:color w:val="231F20"/>
                <w:sz w:val="20"/>
              </w:rPr>
              <w:t>result.</w:t>
            </w:r>
            <w:r>
              <w:rPr>
                <w:color w:val="231F20"/>
                <w:position w:val="7"/>
                <w:sz w:val="11"/>
              </w:rPr>
              <w:t>41</w:t>
            </w:r>
          </w:p>
        </w:tc>
      </w:tr>
      <w:tr w:rsidR="00894070" w14:paraId="6856668C" w14:textId="77777777">
        <w:trPr>
          <w:trHeight w:val="1124"/>
        </w:trPr>
        <w:tc>
          <w:tcPr>
            <w:tcW w:w="3119" w:type="dxa"/>
          </w:tcPr>
          <w:p w14:paraId="526A2046" w14:textId="77777777" w:rsidR="00894070" w:rsidRDefault="009B7AFD">
            <w:pPr>
              <w:pStyle w:val="TableParagraph"/>
              <w:spacing w:before="65" w:line="259" w:lineRule="exact"/>
              <w:rPr>
                <w:sz w:val="20"/>
              </w:rPr>
            </w:pPr>
            <w:r>
              <w:rPr>
                <w:color w:val="231F20"/>
                <w:sz w:val="20"/>
              </w:rPr>
              <w:t>A separate definition of the</w:t>
            </w:r>
          </w:p>
          <w:p w14:paraId="4C64F4DF" w14:textId="77777777" w:rsidR="00894070" w:rsidRDefault="009B7AFD">
            <w:pPr>
              <w:pStyle w:val="TableParagraph"/>
              <w:spacing w:line="259" w:lineRule="exact"/>
              <w:rPr>
                <w:sz w:val="20"/>
              </w:rPr>
            </w:pPr>
            <w:r>
              <w:rPr>
                <w:color w:val="231F20"/>
                <w:sz w:val="20"/>
              </w:rPr>
              <w:t>physical element</w:t>
            </w:r>
          </w:p>
        </w:tc>
        <w:tc>
          <w:tcPr>
            <w:tcW w:w="4808" w:type="dxa"/>
          </w:tcPr>
          <w:p w14:paraId="5812E7E0" w14:textId="77777777" w:rsidR="00894070" w:rsidRDefault="009B7AFD">
            <w:pPr>
              <w:pStyle w:val="TableParagraph"/>
              <w:spacing w:before="98" w:line="206" w:lineRule="auto"/>
              <w:ind w:right="155"/>
              <w:rPr>
                <w:i/>
                <w:sz w:val="20"/>
              </w:rPr>
            </w:pPr>
            <w:r>
              <w:rPr>
                <w:color w:val="231F20"/>
                <w:sz w:val="20"/>
              </w:rPr>
              <w:t xml:space="preserve">A person (A) stalks another person (B) if A engages in a course of conduct which includes any of the following: </w:t>
            </w:r>
            <w:r>
              <w:rPr>
                <w:i/>
                <w:color w:val="231F20"/>
                <w:sz w:val="20"/>
              </w:rPr>
              <w:t>[then adopt the list found in s 21A(2)(a)–(g)]</w:t>
            </w:r>
          </w:p>
        </w:tc>
      </w:tr>
      <w:tr w:rsidR="00894070" w14:paraId="63797A27" w14:textId="77777777">
        <w:trPr>
          <w:trHeight w:val="1604"/>
        </w:trPr>
        <w:tc>
          <w:tcPr>
            <w:tcW w:w="3119" w:type="dxa"/>
          </w:tcPr>
          <w:p w14:paraId="55A8F175" w14:textId="77777777" w:rsidR="00894070" w:rsidRDefault="009B7AFD">
            <w:pPr>
              <w:pStyle w:val="TableParagraph"/>
              <w:spacing w:before="98" w:line="206" w:lineRule="auto"/>
              <w:rPr>
                <w:sz w:val="20"/>
              </w:rPr>
            </w:pPr>
            <w:r>
              <w:rPr>
                <w:color w:val="231F20"/>
                <w:sz w:val="20"/>
              </w:rPr>
              <w:t>The ‘catch-all’ provision in ‘course of conduct’ (s 21A(2)(g))</w:t>
            </w:r>
          </w:p>
        </w:tc>
        <w:tc>
          <w:tcPr>
            <w:tcW w:w="4808" w:type="dxa"/>
          </w:tcPr>
          <w:p w14:paraId="4D440539" w14:textId="77777777" w:rsidR="00894070" w:rsidRDefault="009B7AFD">
            <w:pPr>
              <w:pStyle w:val="TableParagraph"/>
              <w:spacing w:before="65" w:line="259" w:lineRule="exact"/>
              <w:rPr>
                <w:sz w:val="20"/>
              </w:rPr>
            </w:pPr>
            <w:r>
              <w:rPr>
                <w:color w:val="231F20"/>
                <w:sz w:val="20"/>
              </w:rPr>
              <w:t>Acting in any way that could reasonably be</w:t>
            </w:r>
          </w:p>
          <w:p w14:paraId="45892EE1" w14:textId="77777777" w:rsidR="00894070" w:rsidRDefault="009B7AFD">
            <w:pPr>
              <w:pStyle w:val="TableParagraph"/>
              <w:spacing w:line="259" w:lineRule="exact"/>
              <w:rPr>
                <w:sz w:val="20"/>
              </w:rPr>
            </w:pPr>
            <w:r>
              <w:rPr>
                <w:color w:val="231F20"/>
                <w:sz w:val="20"/>
              </w:rPr>
              <w:t>expected to cause:</w:t>
            </w:r>
          </w:p>
          <w:p w14:paraId="3AD8390B" w14:textId="77777777" w:rsidR="00894070" w:rsidRDefault="009B7AFD">
            <w:pPr>
              <w:pStyle w:val="TableParagraph"/>
              <w:numPr>
                <w:ilvl w:val="0"/>
                <w:numId w:val="58"/>
              </w:numPr>
              <w:tabs>
                <w:tab w:val="left" w:pos="907"/>
                <w:tab w:val="left" w:pos="908"/>
              </w:tabs>
              <w:spacing w:before="83"/>
              <w:rPr>
                <w:sz w:val="20"/>
              </w:rPr>
            </w:pPr>
            <w:r>
              <w:rPr>
                <w:color w:val="231F20"/>
                <w:sz w:val="20"/>
              </w:rPr>
              <w:t>physical or mental harm to B;</w:t>
            </w:r>
            <w:r>
              <w:rPr>
                <w:color w:val="231F20"/>
                <w:spacing w:val="-16"/>
                <w:sz w:val="20"/>
              </w:rPr>
              <w:t xml:space="preserve"> </w:t>
            </w:r>
            <w:r>
              <w:rPr>
                <w:color w:val="231F20"/>
                <w:sz w:val="20"/>
              </w:rPr>
              <w:t>or</w:t>
            </w:r>
          </w:p>
          <w:p w14:paraId="14112388" w14:textId="77777777" w:rsidR="00894070" w:rsidRDefault="009B7AFD">
            <w:pPr>
              <w:pStyle w:val="TableParagraph"/>
              <w:numPr>
                <w:ilvl w:val="0"/>
                <w:numId w:val="58"/>
              </w:numPr>
              <w:tabs>
                <w:tab w:val="left" w:pos="907"/>
                <w:tab w:val="left" w:pos="908"/>
              </w:tabs>
              <w:spacing w:before="82" w:line="259" w:lineRule="exact"/>
              <w:rPr>
                <w:sz w:val="20"/>
              </w:rPr>
            </w:pPr>
            <w:r>
              <w:rPr>
                <w:color w:val="231F20"/>
                <w:sz w:val="20"/>
              </w:rPr>
              <w:t>B to believe that there is a risk to</w:t>
            </w:r>
            <w:r>
              <w:rPr>
                <w:color w:val="231F20"/>
                <w:spacing w:val="-30"/>
                <w:sz w:val="20"/>
              </w:rPr>
              <w:t xml:space="preserve"> </w:t>
            </w:r>
            <w:r>
              <w:rPr>
                <w:color w:val="231F20"/>
                <w:sz w:val="20"/>
              </w:rPr>
              <w:t>the</w:t>
            </w:r>
          </w:p>
          <w:p w14:paraId="708CC549" w14:textId="77777777" w:rsidR="00894070" w:rsidRDefault="009B7AFD">
            <w:pPr>
              <w:pStyle w:val="TableParagraph"/>
              <w:spacing w:line="259" w:lineRule="exact"/>
              <w:ind w:left="907"/>
              <w:rPr>
                <w:sz w:val="20"/>
              </w:rPr>
            </w:pPr>
            <w:r>
              <w:rPr>
                <w:color w:val="231F20"/>
                <w:sz w:val="20"/>
              </w:rPr>
              <w:t>safety of B or of another person.</w:t>
            </w:r>
          </w:p>
        </w:tc>
      </w:tr>
      <w:tr w:rsidR="00894070" w14:paraId="0E7C4DE0" w14:textId="77777777">
        <w:trPr>
          <w:trHeight w:val="2084"/>
        </w:trPr>
        <w:tc>
          <w:tcPr>
            <w:tcW w:w="3119" w:type="dxa"/>
          </w:tcPr>
          <w:p w14:paraId="46501517" w14:textId="77777777" w:rsidR="00894070" w:rsidRDefault="009B7AFD">
            <w:pPr>
              <w:pStyle w:val="TableParagraph"/>
              <w:spacing w:before="98" w:line="206" w:lineRule="auto"/>
              <w:ind w:right="44"/>
              <w:rPr>
                <w:sz w:val="20"/>
              </w:rPr>
            </w:pPr>
            <w:r>
              <w:rPr>
                <w:color w:val="231F20"/>
                <w:sz w:val="20"/>
              </w:rPr>
              <w:t>Using the word ‘belief’ instead of ‘apprehension or fear’</w:t>
            </w:r>
          </w:p>
        </w:tc>
        <w:tc>
          <w:tcPr>
            <w:tcW w:w="4808" w:type="dxa"/>
          </w:tcPr>
          <w:p w14:paraId="0945F4EA" w14:textId="77777777" w:rsidR="00894070" w:rsidRDefault="009B7AFD">
            <w:pPr>
              <w:pStyle w:val="TableParagraph"/>
              <w:spacing w:before="98" w:line="206" w:lineRule="auto"/>
              <w:ind w:right="226"/>
              <w:rPr>
                <w:sz w:val="20"/>
              </w:rPr>
            </w:pPr>
            <w:r>
              <w:rPr>
                <w:color w:val="231F20"/>
                <w:sz w:val="20"/>
              </w:rPr>
              <w:t xml:space="preserve">‘The </w:t>
            </w:r>
            <w:r>
              <w:rPr>
                <w:color w:val="231F20"/>
                <w:spacing w:val="-3"/>
                <w:sz w:val="20"/>
              </w:rPr>
              <w:t xml:space="preserve">key </w:t>
            </w:r>
            <w:r>
              <w:rPr>
                <w:color w:val="231F20"/>
                <w:sz w:val="20"/>
              </w:rPr>
              <w:t xml:space="preserve">matter should be what the victim </w:t>
            </w:r>
            <w:r>
              <w:rPr>
                <w:i/>
                <w:color w:val="231F20"/>
                <w:sz w:val="20"/>
              </w:rPr>
              <w:t>believes</w:t>
            </w:r>
            <w:r>
              <w:rPr>
                <w:i/>
                <w:color w:val="231F20"/>
                <w:spacing w:val="-8"/>
                <w:sz w:val="20"/>
              </w:rPr>
              <w:t xml:space="preserve"> </w:t>
            </w:r>
            <w:r>
              <w:rPr>
                <w:color w:val="231F20"/>
                <w:sz w:val="20"/>
              </w:rPr>
              <w:t>about</w:t>
            </w:r>
            <w:r>
              <w:rPr>
                <w:color w:val="231F20"/>
                <w:spacing w:val="-7"/>
                <w:sz w:val="20"/>
              </w:rPr>
              <w:t xml:space="preserve"> </w:t>
            </w:r>
            <w:r>
              <w:rPr>
                <w:color w:val="231F20"/>
                <w:sz w:val="20"/>
              </w:rPr>
              <w:t>their</w:t>
            </w:r>
            <w:r>
              <w:rPr>
                <w:color w:val="231F20"/>
                <w:spacing w:val="-6"/>
                <w:sz w:val="20"/>
              </w:rPr>
              <w:t xml:space="preserve"> </w:t>
            </w:r>
            <w:r>
              <w:rPr>
                <w:color w:val="231F20"/>
                <w:sz w:val="20"/>
              </w:rPr>
              <w:t>safety</w:t>
            </w:r>
            <w:r>
              <w:rPr>
                <w:color w:val="231F20"/>
                <w:spacing w:val="-7"/>
                <w:sz w:val="20"/>
              </w:rPr>
              <w:t xml:space="preserve"> </w:t>
            </w:r>
            <w:r>
              <w:rPr>
                <w:color w:val="231F20"/>
                <w:sz w:val="20"/>
              </w:rPr>
              <w:t>or</w:t>
            </w:r>
            <w:r>
              <w:rPr>
                <w:color w:val="231F20"/>
                <w:spacing w:val="-7"/>
                <w:sz w:val="20"/>
              </w:rPr>
              <w:t xml:space="preserve"> </w:t>
            </w:r>
            <w:r>
              <w:rPr>
                <w:color w:val="231F20"/>
                <w:sz w:val="20"/>
              </w:rPr>
              <w:t>that</w:t>
            </w:r>
            <w:r>
              <w:rPr>
                <w:color w:val="231F20"/>
                <w:spacing w:val="-7"/>
                <w:sz w:val="20"/>
              </w:rPr>
              <w:t xml:space="preserve"> </w:t>
            </w:r>
            <w:r>
              <w:rPr>
                <w:color w:val="231F20"/>
                <w:sz w:val="20"/>
              </w:rPr>
              <w:t>of</w:t>
            </w:r>
            <w:r>
              <w:rPr>
                <w:color w:val="231F20"/>
                <w:spacing w:val="-6"/>
                <w:sz w:val="20"/>
              </w:rPr>
              <w:t xml:space="preserve"> </w:t>
            </w:r>
            <w:r>
              <w:rPr>
                <w:color w:val="231F20"/>
                <w:sz w:val="20"/>
              </w:rPr>
              <w:t>another.</w:t>
            </w:r>
            <w:r>
              <w:rPr>
                <w:color w:val="231F20"/>
                <w:spacing w:val="-7"/>
                <w:sz w:val="20"/>
              </w:rPr>
              <w:t xml:space="preserve"> </w:t>
            </w:r>
            <w:r>
              <w:rPr>
                <w:color w:val="231F20"/>
                <w:sz w:val="20"/>
              </w:rPr>
              <w:t xml:space="preserve">The person need not be experiencing the emotion of </w:t>
            </w:r>
            <w:r>
              <w:rPr>
                <w:color w:val="231F20"/>
                <w:spacing w:val="-4"/>
                <w:sz w:val="20"/>
              </w:rPr>
              <w:t xml:space="preserve">fear, </w:t>
            </w:r>
            <w:r>
              <w:rPr>
                <w:color w:val="231F20"/>
                <w:sz w:val="20"/>
              </w:rPr>
              <w:t>and “apprehension” is unhelpfully ambiguous—it can mean either belief or</w:t>
            </w:r>
            <w:r>
              <w:rPr>
                <w:color w:val="231F20"/>
                <w:spacing w:val="-15"/>
                <w:sz w:val="20"/>
              </w:rPr>
              <w:t xml:space="preserve"> </w:t>
            </w:r>
            <w:r>
              <w:rPr>
                <w:color w:val="231F20"/>
                <w:spacing w:val="-4"/>
                <w:sz w:val="20"/>
              </w:rPr>
              <w:t>fear.</w:t>
            </w:r>
          </w:p>
          <w:p w14:paraId="5BD17B84" w14:textId="77777777" w:rsidR="00894070" w:rsidRDefault="009B7AFD">
            <w:pPr>
              <w:pStyle w:val="TableParagraph"/>
              <w:spacing w:before="6" w:line="206" w:lineRule="auto"/>
              <w:ind w:right="297"/>
              <w:rPr>
                <w:sz w:val="20"/>
              </w:rPr>
            </w:pPr>
            <w:r>
              <w:rPr>
                <w:color w:val="231F20"/>
                <w:sz w:val="20"/>
              </w:rPr>
              <w:t xml:space="preserve">Casting the matter in terms of belief that there is a risk to the safety of </w:t>
            </w:r>
            <w:proofErr w:type="gramStart"/>
            <w:r>
              <w:rPr>
                <w:color w:val="231F20"/>
                <w:sz w:val="20"/>
              </w:rPr>
              <w:t>B</w:t>
            </w:r>
            <w:proofErr w:type="gramEnd"/>
            <w:r>
              <w:rPr>
                <w:color w:val="231F20"/>
                <w:sz w:val="20"/>
              </w:rPr>
              <w:t xml:space="preserve"> or another person is simpler and clearer.’</w:t>
            </w:r>
          </w:p>
        </w:tc>
      </w:tr>
      <w:tr w:rsidR="00894070" w14:paraId="7CB3221C" w14:textId="77777777">
        <w:trPr>
          <w:trHeight w:val="884"/>
        </w:trPr>
        <w:tc>
          <w:tcPr>
            <w:tcW w:w="3119" w:type="dxa"/>
          </w:tcPr>
          <w:p w14:paraId="51C43276" w14:textId="77777777" w:rsidR="00894070" w:rsidRDefault="009B7AFD">
            <w:pPr>
              <w:pStyle w:val="TableParagraph"/>
              <w:spacing w:before="98" w:line="206" w:lineRule="auto"/>
              <w:rPr>
                <w:sz w:val="20"/>
              </w:rPr>
            </w:pPr>
            <w:r>
              <w:rPr>
                <w:color w:val="231F20"/>
                <w:sz w:val="20"/>
              </w:rPr>
              <w:t>Additional clarification that physical harm includes self- harm</w:t>
            </w:r>
          </w:p>
        </w:tc>
        <w:tc>
          <w:tcPr>
            <w:tcW w:w="4808" w:type="dxa"/>
          </w:tcPr>
          <w:p w14:paraId="6ED0B986" w14:textId="77777777" w:rsidR="00894070" w:rsidRDefault="009B7AFD">
            <w:pPr>
              <w:pStyle w:val="TableParagraph"/>
              <w:spacing w:before="65" w:line="259" w:lineRule="exact"/>
              <w:rPr>
                <w:sz w:val="20"/>
              </w:rPr>
            </w:pPr>
            <w:r>
              <w:rPr>
                <w:color w:val="231F20"/>
                <w:sz w:val="20"/>
              </w:rPr>
              <w:t>Physical harm includes physical injury and self-</w:t>
            </w:r>
          </w:p>
          <w:p w14:paraId="586A2FA8" w14:textId="77777777" w:rsidR="00894070" w:rsidRDefault="009B7AFD">
            <w:pPr>
              <w:pStyle w:val="TableParagraph"/>
              <w:spacing w:line="259" w:lineRule="exact"/>
              <w:rPr>
                <w:sz w:val="20"/>
              </w:rPr>
            </w:pPr>
            <w:r>
              <w:rPr>
                <w:color w:val="231F20"/>
                <w:sz w:val="20"/>
              </w:rPr>
              <w:t>harm.</w:t>
            </w:r>
          </w:p>
        </w:tc>
      </w:tr>
    </w:tbl>
    <w:p w14:paraId="7F308374" w14:textId="77777777" w:rsidR="00894070" w:rsidRDefault="00894070">
      <w:pPr>
        <w:pStyle w:val="BodyText"/>
        <w:spacing w:before="5"/>
        <w:rPr>
          <w:b/>
          <w:sz w:val="25"/>
        </w:rPr>
      </w:pPr>
    </w:p>
    <w:p w14:paraId="032FFFF1" w14:textId="77777777" w:rsidR="00894070" w:rsidRDefault="009B7AFD">
      <w:pPr>
        <w:pStyle w:val="ListParagraph"/>
        <w:numPr>
          <w:ilvl w:val="1"/>
          <w:numId w:val="65"/>
        </w:numPr>
        <w:tabs>
          <w:tab w:val="left" w:pos="1801"/>
          <w:tab w:val="left" w:pos="1802"/>
        </w:tabs>
        <w:spacing w:before="57" w:line="259" w:lineRule="exact"/>
        <w:rPr>
          <w:sz w:val="20"/>
        </w:rPr>
      </w:pPr>
      <w:r>
        <w:rPr>
          <w:color w:val="231F20"/>
          <w:sz w:val="20"/>
        </w:rPr>
        <w:t>Redrafting</w:t>
      </w:r>
      <w:r>
        <w:rPr>
          <w:color w:val="231F20"/>
          <w:spacing w:val="-6"/>
          <w:sz w:val="20"/>
        </w:rPr>
        <w:t xml:space="preserve"> </w:t>
      </w:r>
      <w:r>
        <w:rPr>
          <w:color w:val="231F20"/>
          <w:sz w:val="20"/>
        </w:rPr>
        <w:t>the</w:t>
      </w:r>
      <w:r>
        <w:rPr>
          <w:color w:val="231F20"/>
          <w:spacing w:val="-6"/>
          <w:sz w:val="20"/>
        </w:rPr>
        <w:t xml:space="preserve"> </w:t>
      </w:r>
      <w:r>
        <w:rPr>
          <w:color w:val="231F20"/>
          <w:sz w:val="20"/>
        </w:rPr>
        <w:t>offence</w:t>
      </w:r>
      <w:r>
        <w:rPr>
          <w:color w:val="231F20"/>
          <w:spacing w:val="-6"/>
          <w:sz w:val="20"/>
        </w:rPr>
        <w:t xml:space="preserve"> </w:t>
      </w:r>
      <w:r>
        <w:rPr>
          <w:color w:val="231F20"/>
          <w:spacing w:val="-3"/>
          <w:sz w:val="20"/>
        </w:rPr>
        <w:t>would</w:t>
      </w:r>
      <w:r>
        <w:rPr>
          <w:color w:val="231F20"/>
          <w:spacing w:val="-6"/>
          <w:sz w:val="20"/>
        </w:rPr>
        <w:t xml:space="preserve"> </w:t>
      </w:r>
      <w:r>
        <w:rPr>
          <w:color w:val="231F20"/>
          <w:sz w:val="20"/>
        </w:rPr>
        <w:t>not</w:t>
      </w:r>
      <w:r>
        <w:rPr>
          <w:color w:val="231F20"/>
          <w:spacing w:val="-6"/>
          <w:sz w:val="20"/>
        </w:rPr>
        <w:t xml:space="preserve"> </w:t>
      </w:r>
      <w:r>
        <w:rPr>
          <w:color w:val="231F20"/>
          <w:spacing w:val="-3"/>
          <w:sz w:val="20"/>
        </w:rPr>
        <w:t>result</w:t>
      </w:r>
      <w:r>
        <w:rPr>
          <w:color w:val="231F20"/>
          <w:spacing w:val="-6"/>
          <w:sz w:val="20"/>
        </w:rPr>
        <w:t xml:space="preserve"> </w:t>
      </w:r>
      <w:r>
        <w:rPr>
          <w:color w:val="231F20"/>
          <w:sz w:val="20"/>
        </w:rPr>
        <w:t>in</w:t>
      </w:r>
      <w:r>
        <w:rPr>
          <w:color w:val="231F20"/>
          <w:spacing w:val="-6"/>
          <w:sz w:val="20"/>
        </w:rPr>
        <w:t xml:space="preserve"> </w:t>
      </w:r>
      <w:r>
        <w:rPr>
          <w:color w:val="231F20"/>
          <w:spacing w:val="-3"/>
          <w:sz w:val="20"/>
        </w:rPr>
        <w:t>any</w:t>
      </w:r>
      <w:r>
        <w:rPr>
          <w:color w:val="231F20"/>
          <w:spacing w:val="-6"/>
          <w:sz w:val="20"/>
        </w:rPr>
        <w:t xml:space="preserve"> </w:t>
      </w:r>
      <w:r>
        <w:rPr>
          <w:color w:val="231F20"/>
          <w:sz w:val="20"/>
        </w:rPr>
        <w:t>‘major</w:t>
      </w:r>
      <w:r>
        <w:rPr>
          <w:color w:val="231F20"/>
          <w:spacing w:val="-6"/>
          <w:sz w:val="20"/>
        </w:rPr>
        <w:t xml:space="preserve"> </w:t>
      </w:r>
      <w:r>
        <w:rPr>
          <w:color w:val="231F20"/>
          <w:sz w:val="20"/>
        </w:rPr>
        <w:t>changes</w:t>
      </w:r>
      <w:r>
        <w:rPr>
          <w:color w:val="231F20"/>
          <w:spacing w:val="-6"/>
          <w:sz w:val="20"/>
        </w:rPr>
        <w:t xml:space="preserve"> </w:t>
      </w:r>
      <w:r>
        <w:rPr>
          <w:color w:val="231F20"/>
          <w:sz w:val="20"/>
        </w:rPr>
        <w:t>to</w:t>
      </w:r>
      <w:r>
        <w:rPr>
          <w:color w:val="231F20"/>
          <w:spacing w:val="-6"/>
          <w:sz w:val="20"/>
        </w:rPr>
        <w:t xml:space="preserve"> </w:t>
      </w:r>
      <w:r>
        <w:rPr>
          <w:color w:val="231F20"/>
          <w:sz w:val="20"/>
        </w:rPr>
        <w:t>the</w:t>
      </w:r>
      <w:r>
        <w:rPr>
          <w:color w:val="231F20"/>
          <w:spacing w:val="-6"/>
          <w:sz w:val="20"/>
        </w:rPr>
        <w:t xml:space="preserve"> </w:t>
      </w:r>
      <w:r>
        <w:rPr>
          <w:color w:val="231F20"/>
          <w:sz w:val="20"/>
        </w:rPr>
        <w:t>basic</w:t>
      </w:r>
      <w:r>
        <w:rPr>
          <w:color w:val="231F20"/>
          <w:spacing w:val="-6"/>
          <w:sz w:val="20"/>
        </w:rPr>
        <w:t xml:space="preserve"> </w:t>
      </w:r>
      <w:r>
        <w:rPr>
          <w:color w:val="231F20"/>
          <w:sz w:val="20"/>
        </w:rPr>
        <w:t>meaning</w:t>
      </w:r>
      <w:r>
        <w:rPr>
          <w:color w:val="231F20"/>
          <w:spacing w:val="-5"/>
          <w:sz w:val="20"/>
        </w:rPr>
        <w:t xml:space="preserve"> </w:t>
      </w:r>
      <w:r>
        <w:rPr>
          <w:color w:val="231F20"/>
          <w:sz w:val="20"/>
        </w:rPr>
        <w:t>of</w:t>
      </w:r>
    </w:p>
    <w:p w14:paraId="637A6B55" w14:textId="77777777" w:rsidR="00894070" w:rsidRDefault="009B7AFD">
      <w:pPr>
        <w:pStyle w:val="BodyText"/>
        <w:spacing w:line="259" w:lineRule="exact"/>
        <w:ind w:left="1801"/>
        <w:rPr>
          <w:sz w:val="11"/>
        </w:rPr>
      </w:pPr>
      <w:r>
        <w:rPr>
          <w:color w:val="231F20"/>
        </w:rPr>
        <w:t>the elements.’ The point of redrafting is to make the legislation clear.</w:t>
      </w:r>
      <w:r>
        <w:rPr>
          <w:color w:val="231F20"/>
          <w:position w:val="7"/>
          <w:sz w:val="11"/>
        </w:rPr>
        <w:t>42</w:t>
      </w:r>
    </w:p>
    <w:p w14:paraId="6A749137" w14:textId="77777777" w:rsidR="00894070" w:rsidRDefault="009B7AFD">
      <w:pPr>
        <w:pStyle w:val="ListParagraph"/>
        <w:numPr>
          <w:ilvl w:val="1"/>
          <w:numId w:val="65"/>
        </w:numPr>
        <w:tabs>
          <w:tab w:val="left" w:pos="1801"/>
          <w:tab w:val="left" w:pos="1802"/>
        </w:tabs>
        <w:spacing w:before="115" w:line="206" w:lineRule="auto"/>
        <w:ind w:right="1368"/>
        <w:rPr>
          <w:sz w:val="20"/>
        </w:rPr>
      </w:pPr>
      <w:r>
        <w:rPr>
          <w:color w:val="231F20"/>
          <w:sz w:val="20"/>
        </w:rPr>
        <w:t xml:space="preserve">There </w:t>
      </w:r>
      <w:r>
        <w:rPr>
          <w:color w:val="231F20"/>
          <w:spacing w:val="-4"/>
          <w:sz w:val="20"/>
        </w:rPr>
        <w:t xml:space="preserve">have </w:t>
      </w:r>
      <w:r>
        <w:rPr>
          <w:color w:val="231F20"/>
          <w:sz w:val="20"/>
        </w:rPr>
        <w:t xml:space="preserve">been efforts </w:t>
      </w:r>
      <w:r>
        <w:rPr>
          <w:color w:val="231F20"/>
          <w:spacing w:val="-4"/>
          <w:sz w:val="20"/>
        </w:rPr>
        <w:t xml:space="preserve">over </w:t>
      </w:r>
      <w:r>
        <w:rPr>
          <w:color w:val="231F20"/>
          <w:spacing w:val="-3"/>
          <w:sz w:val="20"/>
        </w:rPr>
        <w:t xml:space="preserve">recent </w:t>
      </w:r>
      <w:r>
        <w:rPr>
          <w:color w:val="231F20"/>
          <w:sz w:val="20"/>
        </w:rPr>
        <w:t>years to redraft other offences, such as sexual offences,</w:t>
      </w:r>
      <w:r>
        <w:rPr>
          <w:color w:val="231F20"/>
          <w:spacing w:val="-12"/>
          <w:sz w:val="20"/>
        </w:rPr>
        <w:t xml:space="preserve"> </w:t>
      </w:r>
      <w:r>
        <w:rPr>
          <w:color w:val="231F20"/>
          <w:sz w:val="20"/>
        </w:rPr>
        <w:t>to</w:t>
      </w:r>
      <w:r>
        <w:rPr>
          <w:color w:val="231F20"/>
          <w:spacing w:val="-12"/>
          <w:sz w:val="20"/>
        </w:rPr>
        <w:t xml:space="preserve"> </w:t>
      </w:r>
      <w:r>
        <w:rPr>
          <w:color w:val="231F20"/>
          <w:spacing w:val="-4"/>
          <w:sz w:val="20"/>
        </w:rPr>
        <w:t>improve</w:t>
      </w:r>
      <w:r>
        <w:rPr>
          <w:color w:val="231F20"/>
          <w:spacing w:val="-12"/>
          <w:sz w:val="20"/>
        </w:rPr>
        <w:t xml:space="preserve"> </w:t>
      </w:r>
      <w:r>
        <w:rPr>
          <w:color w:val="231F20"/>
          <w:sz w:val="20"/>
        </w:rPr>
        <w:t>their</w:t>
      </w:r>
      <w:r>
        <w:rPr>
          <w:color w:val="231F20"/>
          <w:spacing w:val="-12"/>
          <w:sz w:val="20"/>
        </w:rPr>
        <w:t xml:space="preserve"> </w:t>
      </w:r>
      <w:r>
        <w:rPr>
          <w:color w:val="231F20"/>
          <w:spacing w:val="-3"/>
          <w:sz w:val="20"/>
        </w:rPr>
        <w:t>clarity.</w:t>
      </w:r>
      <w:r>
        <w:rPr>
          <w:color w:val="231F20"/>
          <w:spacing w:val="-12"/>
          <w:sz w:val="20"/>
        </w:rPr>
        <w:t xml:space="preserve"> </w:t>
      </w:r>
      <w:r>
        <w:rPr>
          <w:color w:val="231F20"/>
          <w:sz w:val="20"/>
        </w:rPr>
        <w:t>Sexual</w:t>
      </w:r>
      <w:r>
        <w:rPr>
          <w:color w:val="231F20"/>
          <w:spacing w:val="-12"/>
          <w:sz w:val="20"/>
        </w:rPr>
        <w:t xml:space="preserve"> </w:t>
      </w:r>
      <w:r>
        <w:rPr>
          <w:color w:val="231F20"/>
          <w:sz w:val="20"/>
        </w:rPr>
        <w:t>offences</w:t>
      </w:r>
      <w:r>
        <w:rPr>
          <w:color w:val="231F20"/>
          <w:spacing w:val="-12"/>
          <w:sz w:val="20"/>
        </w:rPr>
        <w:t xml:space="preserve"> </w:t>
      </w:r>
      <w:r>
        <w:rPr>
          <w:color w:val="231F20"/>
          <w:spacing w:val="-4"/>
          <w:sz w:val="20"/>
        </w:rPr>
        <w:t>were</w:t>
      </w:r>
      <w:r>
        <w:rPr>
          <w:color w:val="231F20"/>
          <w:spacing w:val="-12"/>
          <w:sz w:val="20"/>
        </w:rPr>
        <w:t xml:space="preserve"> </w:t>
      </w:r>
      <w:r>
        <w:rPr>
          <w:color w:val="231F20"/>
          <w:sz w:val="20"/>
        </w:rPr>
        <w:t>redrafted</w:t>
      </w:r>
      <w:r>
        <w:rPr>
          <w:color w:val="231F20"/>
          <w:spacing w:val="-12"/>
          <w:sz w:val="20"/>
        </w:rPr>
        <w:t xml:space="preserve"> </w:t>
      </w:r>
      <w:r>
        <w:rPr>
          <w:color w:val="231F20"/>
          <w:sz w:val="20"/>
        </w:rPr>
        <w:t>using</w:t>
      </w:r>
      <w:r>
        <w:rPr>
          <w:color w:val="231F20"/>
          <w:spacing w:val="-12"/>
          <w:sz w:val="20"/>
        </w:rPr>
        <w:t xml:space="preserve"> </w:t>
      </w:r>
      <w:r>
        <w:rPr>
          <w:color w:val="231F20"/>
          <w:sz w:val="20"/>
        </w:rPr>
        <w:t>a</w:t>
      </w:r>
      <w:r>
        <w:rPr>
          <w:color w:val="231F20"/>
          <w:spacing w:val="-12"/>
          <w:sz w:val="20"/>
        </w:rPr>
        <w:t xml:space="preserve"> </w:t>
      </w:r>
      <w:r>
        <w:rPr>
          <w:color w:val="231F20"/>
          <w:sz w:val="20"/>
        </w:rPr>
        <w:t>new</w:t>
      </w:r>
      <w:r>
        <w:rPr>
          <w:color w:val="231F20"/>
          <w:spacing w:val="-12"/>
          <w:sz w:val="20"/>
        </w:rPr>
        <w:t xml:space="preserve"> </w:t>
      </w:r>
      <w:r>
        <w:rPr>
          <w:color w:val="231F20"/>
          <w:sz w:val="20"/>
        </w:rPr>
        <w:t xml:space="preserve">drafting style with a </w:t>
      </w:r>
      <w:r>
        <w:rPr>
          <w:color w:val="231F20"/>
          <w:spacing w:val="-3"/>
          <w:sz w:val="20"/>
        </w:rPr>
        <w:t xml:space="preserve">focus </w:t>
      </w:r>
      <w:r>
        <w:rPr>
          <w:color w:val="231F20"/>
          <w:sz w:val="20"/>
        </w:rPr>
        <w:t xml:space="preserve">on </w:t>
      </w:r>
      <w:r>
        <w:rPr>
          <w:color w:val="231F20"/>
          <w:spacing w:val="-3"/>
          <w:sz w:val="20"/>
        </w:rPr>
        <w:t xml:space="preserve">‘clearly </w:t>
      </w:r>
      <w:r>
        <w:rPr>
          <w:color w:val="231F20"/>
          <w:sz w:val="20"/>
        </w:rPr>
        <w:t xml:space="preserve">defining the </w:t>
      </w:r>
      <w:r>
        <w:rPr>
          <w:color w:val="231F20"/>
          <w:spacing w:val="-3"/>
          <w:sz w:val="20"/>
        </w:rPr>
        <w:t xml:space="preserve">relevant </w:t>
      </w:r>
      <w:r>
        <w:rPr>
          <w:color w:val="231F20"/>
          <w:spacing w:val="-4"/>
          <w:sz w:val="20"/>
        </w:rPr>
        <w:t xml:space="preserve">offence’. </w:t>
      </w:r>
      <w:r>
        <w:rPr>
          <w:color w:val="231F20"/>
          <w:sz w:val="20"/>
        </w:rPr>
        <w:t xml:space="preserve">The benefits of the new style include making clear ‘the facts that the prosecution must </w:t>
      </w:r>
      <w:r>
        <w:rPr>
          <w:color w:val="231F20"/>
          <w:spacing w:val="-4"/>
          <w:sz w:val="20"/>
        </w:rPr>
        <w:t xml:space="preserve">prove </w:t>
      </w:r>
      <w:r>
        <w:rPr>
          <w:color w:val="231F20"/>
          <w:sz w:val="20"/>
        </w:rPr>
        <w:t xml:space="preserve">in a trial </w:t>
      </w:r>
      <w:r>
        <w:rPr>
          <w:color w:val="231F20"/>
          <w:spacing w:val="-3"/>
          <w:sz w:val="20"/>
        </w:rPr>
        <w:t xml:space="preserve">for </w:t>
      </w:r>
      <w:r>
        <w:rPr>
          <w:color w:val="231F20"/>
          <w:sz w:val="20"/>
        </w:rPr>
        <w:t xml:space="preserve">the </w:t>
      </w:r>
      <w:r>
        <w:rPr>
          <w:color w:val="231F20"/>
          <w:spacing w:val="-3"/>
          <w:sz w:val="20"/>
        </w:rPr>
        <w:t>offence’.</w:t>
      </w:r>
      <w:r>
        <w:rPr>
          <w:color w:val="231F20"/>
          <w:spacing w:val="-3"/>
          <w:position w:val="7"/>
          <w:sz w:val="11"/>
        </w:rPr>
        <w:t xml:space="preserve">43 </w:t>
      </w:r>
      <w:r>
        <w:rPr>
          <w:color w:val="231F20"/>
          <w:sz w:val="20"/>
        </w:rPr>
        <w:t>A similar approach should be taken to the stalking</w:t>
      </w:r>
      <w:r>
        <w:rPr>
          <w:color w:val="231F20"/>
          <w:spacing w:val="-28"/>
          <w:sz w:val="20"/>
        </w:rPr>
        <w:t xml:space="preserve"> </w:t>
      </w:r>
      <w:r>
        <w:rPr>
          <w:color w:val="231F20"/>
          <w:spacing w:val="-3"/>
          <w:sz w:val="20"/>
        </w:rPr>
        <w:t>offence.</w:t>
      </w:r>
    </w:p>
    <w:p w14:paraId="14F3ED0F" w14:textId="77777777" w:rsidR="00894070" w:rsidRDefault="00894070">
      <w:pPr>
        <w:pStyle w:val="BodyText"/>
      </w:pPr>
    </w:p>
    <w:p w14:paraId="6CDA1883" w14:textId="77777777" w:rsidR="00894070" w:rsidRDefault="00894070">
      <w:pPr>
        <w:pStyle w:val="BodyText"/>
      </w:pPr>
    </w:p>
    <w:p w14:paraId="05EB3F0C" w14:textId="77777777" w:rsidR="00894070" w:rsidRDefault="00894070">
      <w:pPr>
        <w:pStyle w:val="BodyText"/>
      </w:pPr>
    </w:p>
    <w:p w14:paraId="2CDE60BD" w14:textId="77777777" w:rsidR="00894070" w:rsidRDefault="009F6793">
      <w:pPr>
        <w:pStyle w:val="BodyText"/>
        <w:spacing w:before="12"/>
        <w:rPr>
          <w:sz w:val="22"/>
        </w:rPr>
      </w:pPr>
      <w:r>
        <w:pict w14:anchorId="18741755">
          <v:line id="_x0000_s1219" style="position:absolute;z-index:251726848;mso-wrap-distance-left:0;mso-wrap-distance-right:0;mso-position-horizontal-relative:page" from="79.35pt,18.35pt" to="515.9pt,18.35pt" strokecolor="#f8cabc" strokeweight="1pt">
            <w10:wrap type="topAndBottom" anchorx="page"/>
          </v:line>
        </w:pict>
      </w:r>
    </w:p>
    <w:p w14:paraId="6A320108" w14:textId="77777777" w:rsidR="00894070" w:rsidRDefault="00894070">
      <w:pPr>
        <w:pStyle w:val="BodyText"/>
        <w:rPr>
          <w:sz w:val="5"/>
        </w:rPr>
      </w:pPr>
    </w:p>
    <w:p w14:paraId="1B5E8FF6" w14:textId="77777777" w:rsidR="00894070" w:rsidRDefault="00894070">
      <w:pPr>
        <w:rPr>
          <w:sz w:val="5"/>
        </w:rPr>
        <w:sectPr w:rsidR="00894070">
          <w:pgSz w:w="11910" w:h="16840"/>
          <w:pgMar w:top="860" w:right="420" w:bottom="280" w:left="580" w:header="567" w:footer="0" w:gutter="0"/>
          <w:cols w:space="720"/>
        </w:sectPr>
      </w:pPr>
    </w:p>
    <w:p w14:paraId="15C5941B" w14:textId="77777777" w:rsidR="00894070" w:rsidRDefault="00894070">
      <w:pPr>
        <w:pStyle w:val="BodyText"/>
        <w:rPr>
          <w:sz w:val="28"/>
        </w:rPr>
      </w:pPr>
    </w:p>
    <w:p w14:paraId="57CF8B13" w14:textId="77777777" w:rsidR="00894070" w:rsidRDefault="00894070">
      <w:pPr>
        <w:pStyle w:val="BodyText"/>
        <w:rPr>
          <w:sz w:val="28"/>
        </w:rPr>
      </w:pPr>
    </w:p>
    <w:p w14:paraId="50174BBE" w14:textId="77777777" w:rsidR="00894070" w:rsidRDefault="009B7AFD">
      <w:pPr>
        <w:pStyle w:val="Heading8"/>
        <w:spacing w:before="237"/>
        <w:ind w:left="140"/>
      </w:pPr>
      <w:r>
        <w:rPr>
          <w:color w:val="EA5B50"/>
        </w:rPr>
        <w:t>138</w:t>
      </w:r>
    </w:p>
    <w:p w14:paraId="28C18AD2" w14:textId="77777777" w:rsidR="00894070" w:rsidRDefault="009B7AFD">
      <w:pPr>
        <w:pStyle w:val="ListParagraph"/>
        <w:numPr>
          <w:ilvl w:val="0"/>
          <w:numId w:val="60"/>
        </w:numPr>
        <w:tabs>
          <w:tab w:val="left" w:pos="933"/>
          <w:tab w:val="left" w:pos="934"/>
        </w:tabs>
        <w:spacing w:before="38" w:line="213" w:lineRule="auto"/>
        <w:ind w:left="933" w:right="1170" w:hanging="793"/>
        <w:jc w:val="left"/>
        <w:rPr>
          <w:sz w:val="13"/>
        </w:rPr>
      </w:pPr>
      <w:r>
        <w:rPr>
          <w:color w:val="231F20"/>
          <w:spacing w:val="-9"/>
          <w:sz w:val="13"/>
        </w:rPr>
        <w:br w:type="column"/>
      </w:r>
      <w:r>
        <w:rPr>
          <w:color w:val="231F20"/>
          <w:sz w:val="13"/>
        </w:rPr>
        <w:t xml:space="preserve">Tudor and Byrne explain: ‘The phrase currently used in s </w:t>
      </w:r>
      <w:r>
        <w:rPr>
          <w:color w:val="231F20"/>
          <w:spacing w:val="3"/>
          <w:sz w:val="13"/>
        </w:rPr>
        <w:t xml:space="preserve">21A, </w:t>
      </w:r>
      <w:r>
        <w:rPr>
          <w:color w:val="231F20"/>
          <w:sz w:val="13"/>
        </w:rPr>
        <w:t xml:space="preserve">“ought to have understood”, is relatively uncommon as an objective fault element. Usually, objective fault is defined in terms of some </w:t>
      </w:r>
      <w:r>
        <w:rPr>
          <w:color w:val="231F20"/>
          <w:spacing w:val="2"/>
          <w:sz w:val="13"/>
        </w:rPr>
        <w:t xml:space="preserve">sort </w:t>
      </w:r>
      <w:r>
        <w:rPr>
          <w:color w:val="231F20"/>
          <w:sz w:val="13"/>
        </w:rPr>
        <w:t xml:space="preserve">of reasonableness standard, rather than by use of the word “ought”. In this context, </w:t>
      </w:r>
      <w:proofErr w:type="gramStart"/>
      <w:r>
        <w:rPr>
          <w:color w:val="231F20"/>
          <w:sz w:val="13"/>
        </w:rPr>
        <w:t>“ought” is</w:t>
      </w:r>
      <w:proofErr w:type="gramEnd"/>
      <w:r>
        <w:rPr>
          <w:color w:val="231F20"/>
          <w:sz w:val="13"/>
        </w:rPr>
        <w:t xml:space="preserve"> somewhat </w:t>
      </w:r>
      <w:r>
        <w:rPr>
          <w:color w:val="231F20"/>
          <w:spacing w:val="2"/>
          <w:sz w:val="13"/>
        </w:rPr>
        <w:t xml:space="preserve">ambiguous... </w:t>
      </w:r>
      <w:r>
        <w:rPr>
          <w:color w:val="231F20"/>
          <w:sz w:val="13"/>
        </w:rPr>
        <w:t>[I]t seems much simpler and clearer to avoid the ambiguity of “</w:t>
      </w:r>
      <w:proofErr w:type="gramStart"/>
      <w:r>
        <w:rPr>
          <w:color w:val="231F20"/>
          <w:sz w:val="13"/>
        </w:rPr>
        <w:t xml:space="preserve">ought”   </w:t>
      </w:r>
      <w:proofErr w:type="gramEnd"/>
      <w:r>
        <w:rPr>
          <w:color w:val="231F20"/>
          <w:sz w:val="13"/>
        </w:rPr>
        <w:t xml:space="preserve"> and make the objective fault element a more straightforward reasonable person test, as proposed above. This would be </w:t>
      </w:r>
      <w:proofErr w:type="gramStart"/>
      <w:r>
        <w:rPr>
          <w:color w:val="231F20"/>
          <w:sz w:val="13"/>
        </w:rPr>
        <w:t>clearer  and</w:t>
      </w:r>
      <w:proofErr w:type="gramEnd"/>
      <w:r>
        <w:rPr>
          <w:color w:val="231F20"/>
          <w:sz w:val="13"/>
        </w:rPr>
        <w:t xml:space="preserve"> more consistent with other criminal offences.’:</w:t>
      </w:r>
      <w:r>
        <w:rPr>
          <w:color w:val="231F20"/>
          <w:spacing w:val="3"/>
          <w:sz w:val="13"/>
        </w:rPr>
        <w:t xml:space="preserve"> </w:t>
      </w:r>
      <w:r>
        <w:rPr>
          <w:color w:val="231F20"/>
          <w:sz w:val="13"/>
        </w:rPr>
        <w:t>Ibid.</w:t>
      </w:r>
    </w:p>
    <w:p w14:paraId="23F7691E" w14:textId="77777777" w:rsidR="00894070" w:rsidRDefault="009B7AFD">
      <w:pPr>
        <w:pStyle w:val="ListParagraph"/>
        <w:numPr>
          <w:ilvl w:val="0"/>
          <w:numId w:val="60"/>
        </w:numPr>
        <w:tabs>
          <w:tab w:val="left" w:pos="933"/>
          <w:tab w:val="left" w:pos="934"/>
        </w:tabs>
        <w:spacing w:line="151" w:lineRule="exact"/>
        <w:ind w:left="933" w:hanging="793"/>
        <w:jc w:val="left"/>
        <w:rPr>
          <w:sz w:val="13"/>
        </w:rPr>
      </w:pPr>
      <w:r>
        <w:rPr>
          <w:color w:val="231F20"/>
          <w:sz w:val="13"/>
        </w:rPr>
        <w:t>Ibid.</w:t>
      </w:r>
    </w:p>
    <w:p w14:paraId="65885AAB" w14:textId="77777777" w:rsidR="00894070" w:rsidRDefault="009B7AFD">
      <w:pPr>
        <w:pStyle w:val="ListParagraph"/>
        <w:numPr>
          <w:ilvl w:val="0"/>
          <w:numId w:val="60"/>
        </w:numPr>
        <w:tabs>
          <w:tab w:val="left" w:pos="933"/>
          <w:tab w:val="left" w:pos="934"/>
        </w:tabs>
        <w:spacing w:before="6" w:line="213" w:lineRule="auto"/>
        <w:ind w:left="933" w:right="1423" w:hanging="793"/>
        <w:jc w:val="left"/>
        <w:rPr>
          <w:sz w:val="13"/>
        </w:rPr>
      </w:pPr>
      <w:r>
        <w:rPr>
          <w:color w:val="231F20"/>
          <w:spacing w:val="2"/>
          <w:sz w:val="13"/>
        </w:rPr>
        <w:t xml:space="preserve">Department </w:t>
      </w:r>
      <w:r>
        <w:rPr>
          <w:color w:val="231F20"/>
          <w:sz w:val="13"/>
        </w:rPr>
        <w:t xml:space="preserve">of Justice and </w:t>
      </w:r>
      <w:r>
        <w:rPr>
          <w:color w:val="231F20"/>
          <w:spacing w:val="2"/>
          <w:sz w:val="13"/>
        </w:rPr>
        <w:t xml:space="preserve">Regulation </w:t>
      </w:r>
      <w:r>
        <w:rPr>
          <w:color w:val="231F20"/>
          <w:sz w:val="13"/>
        </w:rPr>
        <w:t xml:space="preserve">(Vic), </w:t>
      </w:r>
      <w:r>
        <w:rPr>
          <w:i/>
          <w:color w:val="231F20"/>
          <w:sz w:val="13"/>
        </w:rPr>
        <w:t xml:space="preserve">Victoria’s New Sexual Offence Laws: An Introduction </w:t>
      </w:r>
      <w:r>
        <w:rPr>
          <w:color w:val="231F20"/>
          <w:spacing w:val="2"/>
          <w:sz w:val="13"/>
        </w:rPr>
        <w:t xml:space="preserve">(Report, </w:t>
      </w:r>
      <w:r>
        <w:rPr>
          <w:color w:val="231F20"/>
          <w:sz w:val="13"/>
        </w:rPr>
        <w:t xml:space="preserve">Criminal Law Review, June 2015) 8. See </w:t>
      </w:r>
      <w:r>
        <w:rPr>
          <w:color w:val="231F20"/>
          <w:spacing w:val="2"/>
          <w:sz w:val="13"/>
        </w:rPr>
        <w:t xml:space="preserve">also </w:t>
      </w:r>
      <w:r>
        <w:rPr>
          <w:color w:val="231F20"/>
          <w:sz w:val="13"/>
        </w:rPr>
        <w:t>ch</w:t>
      </w:r>
      <w:r>
        <w:rPr>
          <w:color w:val="231F20"/>
          <w:spacing w:val="-2"/>
          <w:sz w:val="13"/>
        </w:rPr>
        <w:t xml:space="preserve"> </w:t>
      </w:r>
      <w:r>
        <w:rPr>
          <w:color w:val="231F20"/>
          <w:spacing w:val="3"/>
          <w:sz w:val="13"/>
        </w:rPr>
        <w:t>4.</w:t>
      </w:r>
    </w:p>
    <w:p w14:paraId="3B0B49DB" w14:textId="77777777" w:rsidR="00894070" w:rsidRDefault="00894070">
      <w:pPr>
        <w:spacing w:line="213" w:lineRule="auto"/>
        <w:rPr>
          <w:sz w:val="13"/>
        </w:rPr>
        <w:sectPr w:rsidR="00894070">
          <w:type w:val="continuous"/>
          <w:pgSz w:w="11910" w:h="16840"/>
          <w:pgMar w:top="560" w:right="420" w:bottom="280" w:left="580" w:header="720" w:footer="720" w:gutter="0"/>
          <w:cols w:num="2" w:space="720" w:equalWidth="0">
            <w:col w:w="575" w:space="292"/>
            <w:col w:w="10043"/>
          </w:cols>
        </w:sectPr>
      </w:pPr>
    </w:p>
    <w:p w14:paraId="3B1D3A70" w14:textId="77777777" w:rsidR="00894070" w:rsidRDefault="00894070">
      <w:pPr>
        <w:pStyle w:val="BodyText"/>
      </w:pPr>
    </w:p>
    <w:p w14:paraId="6B57B965" w14:textId="77777777" w:rsidR="00894070" w:rsidRDefault="00894070">
      <w:pPr>
        <w:pStyle w:val="BodyText"/>
      </w:pPr>
    </w:p>
    <w:p w14:paraId="1F704850" w14:textId="77777777" w:rsidR="00894070" w:rsidRDefault="00894070">
      <w:pPr>
        <w:pStyle w:val="BodyText"/>
      </w:pPr>
    </w:p>
    <w:p w14:paraId="3192D8D7" w14:textId="77777777" w:rsidR="00894070" w:rsidRDefault="00894070">
      <w:pPr>
        <w:pStyle w:val="BodyText"/>
        <w:spacing w:before="9"/>
        <w:rPr>
          <w:sz w:val="21"/>
        </w:rPr>
      </w:pPr>
    </w:p>
    <w:p w14:paraId="69957749" w14:textId="77777777" w:rsidR="00894070" w:rsidRDefault="009F6793">
      <w:pPr>
        <w:pStyle w:val="BodyText"/>
        <w:ind w:left="642"/>
      </w:pPr>
      <w:r>
        <w:pict w14:anchorId="4D2FDBAD">
          <v:group id="_x0000_s1212" style="width:479.1pt;height:169.15pt;mso-position-horizontal-relative:char;mso-position-vertical-relative:line" coordsize="9582,3383">
            <v:rect id="_x0000_s1218" style="position:absolute;left:340;width:8731;height:3383" fillcolor="#fee7de" stroked="f"/>
            <v:line id="_x0000_s1217" style="position:absolute" from="0,808" to="9581,808" strokecolor="white" strokeweight="2.5pt"/>
            <v:shape id="_x0000_s1216" type="#_x0000_t202" style="position:absolute;left:1146;top:1923;width:7603;height:1280" filled="f" stroked="f">
              <v:textbox inset="0,0,0,0">
                <w:txbxContent>
                  <w:p w14:paraId="2FEEF3E0" w14:textId="77777777" w:rsidR="00894070" w:rsidRDefault="009B7AFD">
                    <w:pPr>
                      <w:numPr>
                        <w:ilvl w:val="0"/>
                        <w:numId w:val="57"/>
                      </w:numPr>
                      <w:tabs>
                        <w:tab w:val="left" w:pos="553"/>
                        <w:tab w:val="left" w:pos="554"/>
                      </w:tabs>
                      <w:spacing w:line="247" w:lineRule="auto"/>
                      <w:ind w:right="18" w:hanging="553"/>
                      <w:rPr>
                        <w:rFonts w:ascii="Trebuchet MS" w:hAnsi="Trebuchet MS"/>
                        <w:sz w:val="20"/>
                      </w:rPr>
                    </w:pPr>
                    <w:bookmarkStart w:id="154" w:name="Other_suggestions_about_the_stalking_off"/>
                    <w:bookmarkStart w:id="155" w:name="_bookmark92"/>
                    <w:bookmarkEnd w:id="154"/>
                    <w:bookmarkEnd w:id="155"/>
                    <w:r>
                      <w:rPr>
                        <w:rFonts w:ascii="Trebuchet MS" w:hAnsi="Trebuchet MS"/>
                        <w:color w:val="231F20"/>
                        <w:spacing w:val="-3"/>
                        <w:w w:val="111"/>
                        <w:sz w:val="20"/>
                      </w:rPr>
                      <w:t>c</w:t>
                    </w:r>
                    <w:r>
                      <w:rPr>
                        <w:rFonts w:ascii="Trebuchet MS" w:hAnsi="Trebuchet MS"/>
                        <w:color w:val="231F20"/>
                        <w:spacing w:val="1"/>
                        <w:w w:val="96"/>
                        <w:sz w:val="20"/>
                      </w:rPr>
                      <w:t>l</w:t>
                    </w:r>
                    <w:r>
                      <w:rPr>
                        <w:rFonts w:ascii="Trebuchet MS" w:hAnsi="Trebuchet MS"/>
                        <w:color w:val="231F20"/>
                        <w:spacing w:val="-2"/>
                        <w:w w:val="105"/>
                        <w:sz w:val="20"/>
                      </w:rPr>
                      <w:t>a</w:t>
                    </w:r>
                    <w:r>
                      <w:rPr>
                        <w:rFonts w:ascii="Trebuchet MS" w:hAnsi="Trebuchet MS"/>
                        <w:color w:val="231F20"/>
                        <w:spacing w:val="-2"/>
                        <w:w w:val="93"/>
                        <w:sz w:val="20"/>
                      </w:rPr>
                      <w:t>r</w:t>
                    </w:r>
                    <w:r>
                      <w:rPr>
                        <w:rFonts w:ascii="Trebuchet MS" w:hAnsi="Trebuchet MS"/>
                        <w:color w:val="231F20"/>
                        <w:spacing w:val="-3"/>
                        <w:w w:val="80"/>
                        <w:sz w:val="20"/>
                      </w:rPr>
                      <w:t>i</w:t>
                    </w:r>
                    <w:r>
                      <w:rPr>
                        <w:rFonts w:ascii="Trebuchet MS" w:hAnsi="Trebuchet MS"/>
                        <w:color w:val="231F20"/>
                        <w:spacing w:val="3"/>
                        <w:w w:val="92"/>
                        <w:sz w:val="20"/>
                      </w:rPr>
                      <w:t>f</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2"/>
                        <w:w w:val="105"/>
                        <w:sz w:val="20"/>
                      </w:rPr>
                      <w:t>a</w:t>
                    </w:r>
                    <w:r>
                      <w:rPr>
                        <w:rFonts w:ascii="Trebuchet MS" w:hAnsi="Trebuchet MS"/>
                        <w:color w:val="231F20"/>
                        <w:spacing w:val="-2"/>
                        <w:w w:val="107"/>
                        <w:sz w:val="20"/>
                      </w:rPr>
                      <w:t>n</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6"/>
                        <w:w w:val="56"/>
                        <w:sz w:val="20"/>
                      </w:rPr>
                      <w:t>‘</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1"/>
                        <w:w w:val="109"/>
                        <w:sz w:val="20"/>
                      </w:rPr>
                      <w:t>u</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11"/>
                        <w:sz w:val="20"/>
                      </w:rPr>
                      <w:t>o</w:t>
                    </w:r>
                    <w:r>
                      <w:rPr>
                        <w:rFonts w:ascii="Trebuchet MS" w:hAnsi="Trebuchet MS"/>
                        <w:color w:val="231F20"/>
                        <w:spacing w:val="-1"/>
                        <w:w w:val="107"/>
                        <w:sz w:val="20"/>
                      </w:rPr>
                      <w:t>n</w:t>
                    </w:r>
                    <w:r>
                      <w:rPr>
                        <w:rFonts w:ascii="Trebuchet MS" w:hAnsi="Trebuchet MS"/>
                        <w:color w:val="231F20"/>
                        <w:spacing w:val="-2"/>
                        <w:w w:val="112"/>
                        <w:sz w:val="20"/>
                      </w:rPr>
                      <w:t>d</w:t>
                    </w:r>
                    <w:r>
                      <w:rPr>
                        <w:rFonts w:ascii="Trebuchet MS" w:hAnsi="Trebuchet MS"/>
                        <w:color w:val="231F20"/>
                        <w:spacing w:val="-2"/>
                        <w:w w:val="109"/>
                        <w:sz w:val="20"/>
                      </w:rPr>
                      <w:t>u</w:t>
                    </w:r>
                    <w:r>
                      <w:rPr>
                        <w:rFonts w:ascii="Trebuchet MS" w:hAnsi="Trebuchet MS"/>
                        <w:color w:val="231F20"/>
                        <w:spacing w:val="-2"/>
                        <w:w w:val="111"/>
                        <w:sz w:val="20"/>
                      </w:rPr>
                      <w:t>c</w:t>
                    </w:r>
                    <w:r>
                      <w:rPr>
                        <w:rFonts w:ascii="Trebuchet MS" w:hAnsi="Trebuchet MS"/>
                        <w:color w:val="231F20"/>
                        <w:w w:val="88"/>
                        <w:sz w:val="20"/>
                      </w:rPr>
                      <w:t>t</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08"/>
                        <w:sz w:val="20"/>
                      </w:rPr>
                      <w:t>e</w:t>
                    </w:r>
                    <w:r>
                      <w:rPr>
                        <w:rFonts w:ascii="Trebuchet MS" w:hAnsi="Trebuchet MS"/>
                        <w:color w:val="231F20"/>
                        <w:spacing w:val="-3"/>
                        <w:w w:val="96"/>
                        <w:sz w:val="20"/>
                      </w:rPr>
                      <w:t>l</w:t>
                    </w:r>
                    <w:r>
                      <w:rPr>
                        <w:rFonts w:ascii="Trebuchet MS" w:hAnsi="Trebuchet MS"/>
                        <w:color w:val="231F20"/>
                        <w:spacing w:val="-1"/>
                        <w:w w:val="108"/>
                        <w:sz w:val="20"/>
                      </w:rPr>
                      <w:t>e</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1"/>
                        <w:w w:val="111"/>
                        <w:sz w:val="20"/>
                      </w:rPr>
                      <w:t>b</w:t>
                    </w:r>
                    <w:r>
                      <w:rPr>
                        <w:rFonts w:ascii="Trebuchet MS" w:hAnsi="Trebuchet MS"/>
                        <w:color w:val="231F20"/>
                        <w:w w:val="105"/>
                        <w:sz w:val="20"/>
                      </w:rPr>
                      <w:t>a</w:t>
                    </w:r>
                    <w:r>
                      <w:rPr>
                        <w:rFonts w:ascii="Trebuchet MS" w:hAnsi="Trebuchet MS"/>
                        <w:color w:val="231F20"/>
                        <w:spacing w:val="-1"/>
                        <w:w w:val="122"/>
                        <w:sz w:val="20"/>
                      </w:rPr>
                      <w:t>s</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108"/>
                        <w:sz w:val="20"/>
                      </w:rPr>
                      <w:t>e</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2"/>
                        <w:w w:val="105"/>
                        <w:sz w:val="20"/>
                      </w:rPr>
                      <w:t>a</w:t>
                    </w:r>
                    <w:r>
                      <w:rPr>
                        <w:rFonts w:ascii="Trebuchet MS" w:hAnsi="Trebuchet MS"/>
                        <w:color w:val="231F20"/>
                        <w:spacing w:val="-2"/>
                        <w:w w:val="111"/>
                        <w:sz w:val="20"/>
                      </w:rPr>
                      <w:t>b</w:t>
                    </w:r>
                    <w:r>
                      <w:rPr>
                        <w:rFonts w:ascii="Trebuchet MS" w:hAnsi="Trebuchet MS"/>
                        <w:color w:val="231F20"/>
                        <w:w w:val="96"/>
                        <w:sz w:val="20"/>
                      </w:rPr>
                      <w:t>l</w:t>
                    </w:r>
                    <w:r>
                      <w:rPr>
                        <w:rFonts w:ascii="Trebuchet MS" w:hAnsi="Trebuchet MS"/>
                        <w:color w:val="231F20"/>
                        <w:spacing w:val="-1"/>
                        <w:w w:val="80"/>
                        <w:sz w:val="20"/>
                      </w:rPr>
                      <w:t>i</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w w:val="112"/>
                        <w:sz w:val="20"/>
                      </w:rPr>
                      <w:t xml:space="preserve">d </w:t>
                    </w:r>
                    <w:r>
                      <w:rPr>
                        <w:rFonts w:ascii="Trebuchet MS" w:hAnsi="Trebuchet MS"/>
                        <w:color w:val="231F20"/>
                        <w:w w:val="105"/>
                        <w:sz w:val="20"/>
                      </w:rPr>
                      <w:t>case law</w:t>
                    </w:r>
                    <w:r>
                      <w:rPr>
                        <w:rFonts w:ascii="Trebuchet MS" w:hAnsi="Trebuchet MS"/>
                        <w:color w:val="231F20"/>
                        <w:spacing w:val="-34"/>
                        <w:w w:val="105"/>
                        <w:sz w:val="20"/>
                      </w:rPr>
                      <w:t xml:space="preserve"> </w:t>
                    </w:r>
                    <w:r>
                      <w:rPr>
                        <w:rFonts w:ascii="Trebuchet MS" w:hAnsi="Trebuchet MS"/>
                        <w:color w:val="231F20"/>
                        <w:w w:val="105"/>
                        <w:sz w:val="20"/>
                      </w:rPr>
                      <w:t>principles</w:t>
                    </w:r>
                  </w:p>
                  <w:p w14:paraId="7D0E96C9" w14:textId="77777777" w:rsidR="00894070" w:rsidRDefault="009B7AFD">
                    <w:pPr>
                      <w:numPr>
                        <w:ilvl w:val="0"/>
                        <w:numId w:val="57"/>
                      </w:numPr>
                      <w:tabs>
                        <w:tab w:val="left" w:pos="553"/>
                        <w:tab w:val="left" w:pos="554"/>
                      </w:tabs>
                      <w:spacing w:before="87" w:line="247" w:lineRule="auto"/>
                      <w:ind w:right="103" w:hanging="553"/>
                      <w:rPr>
                        <w:rFonts w:ascii="Trebuchet MS" w:hAnsi="Trebuchet MS"/>
                        <w:sz w:val="20"/>
                      </w:rPr>
                    </w:pPr>
                    <w:r>
                      <w:rPr>
                        <w:rFonts w:ascii="Trebuchet MS" w:hAnsi="Trebuchet MS"/>
                        <w:color w:val="231F20"/>
                        <w:sz w:val="20"/>
                      </w:rPr>
                      <w:t xml:space="preserve">redraft the offence to </w:t>
                    </w:r>
                    <w:r>
                      <w:rPr>
                        <w:rFonts w:ascii="Trebuchet MS" w:hAnsi="Trebuchet MS"/>
                        <w:color w:val="231F20"/>
                        <w:spacing w:val="-3"/>
                        <w:sz w:val="20"/>
                      </w:rPr>
                      <w:t xml:space="preserve">create </w:t>
                    </w:r>
                    <w:r>
                      <w:rPr>
                        <w:rFonts w:ascii="Trebuchet MS" w:hAnsi="Trebuchet MS"/>
                        <w:color w:val="231F20"/>
                        <w:sz w:val="20"/>
                      </w:rPr>
                      <w:t xml:space="preserve">three offences based on intentional, reckless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6"/>
                        <w:w w:val="56"/>
                        <w:sz w:val="20"/>
                      </w:rPr>
                      <w:t>‘</w:t>
                    </w:r>
                    <w:r>
                      <w:rPr>
                        <w:rFonts w:ascii="Trebuchet MS" w:hAnsi="Trebuchet MS"/>
                        <w:color w:val="231F20"/>
                        <w:spacing w:val="-1"/>
                        <w:w w:val="111"/>
                        <w:sz w:val="20"/>
                      </w:rPr>
                      <w:t>o</w:t>
                    </w:r>
                    <w:r>
                      <w:rPr>
                        <w:rFonts w:ascii="Trebuchet MS" w:hAnsi="Trebuchet MS"/>
                        <w:color w:val="231F20"/>
                        <w:spacing w:val="-3"/>
                        <w:w w:val="111"/>
                        <w:sz w:val="20"/>
                      </w:rPr>
                      <w:t>b</w:t>
                    </w:r>
                    <w:r>
                      <w:rPr>
                        <w:rFonts w:ascii="Trebuchet MS" w:hAnsi="Trebuchet MS"/>
                        <w:color w:val="231F20"/>
                        <w:spacing w:val="-1"/>
                        <w:w w:val="64"/>
                        <w:sz w:val="20"/>
                      </w:rPr>
                      <w:t>j</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spacing w:val="-6"/>
                        <w:w w:val="109"/>
                        <w:sz w:val="20"/>
                      </w:rPr>
                      <w:t>v</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92"/>
                        <w:sz w:val="20"/>
                      </w:rPr>
                      <w:t>f</w:t>
                    </w:r>
                    <w:r>
                      <w:rPr>
                        <w:rFonts w:ascii="Trebuchet MS" w:hAnsi="Trebuchet MS"/>
                        <w:color w:val="231F20"/>
                        <w:spacing w:val="-2"/>
                        <w:w w:val="105"/>
                        <w:sz w:val="20"/>
                      </w:rPr>
                      <w:t>a</w:t>
                    </w:r>
                    <w:r>
                      <w:rPr>
                        <w:rFonts w:ascii="Trebuchet MS" w:hAnsi="Trebuchet MS"/>
                        <w:color w:val="231F20"/>
                        <w:spacing w:val="-2"/>
                        <w:w w:val="109"/>
                        <w:sz w:val="20"/>
                      </w:rPr>
                      <w:t>u</w:t>
                    </w:r>
                    <w:r>
                      <w:rPr>
                        <w:rFonts w:ascii="Trebuchet MS" w:hAnsi="Trebuchet MS"/>
                        <w:color w:val="231F20"/>
                        <w:spacing w:val="-4"/>
                        <w:w w:val="96"/>
                        <w:sz w:val="20"/>
                      </w:rPr>
                      <w:t>l</w:t>
                    </w:r>
                    <w:r>
                      <w:rPr>
                        <w:rFonts w:ascii="Trebuchet MS" w:hAnsi="Trebuchet MS"/>
                        <w:color w:val="231F20"/>
                        <w:w w:val="88"/>
                        <w:sz w:val="20"/>
                      </w:rPr>
                      <w:t>t</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2"/>
                        <w:w w:val="111"/>
                        <w:sz w:val="20"/>
                      </w:rPr>
                      <w:t>m</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22"/>
                        <w:sz w:val="20"/>
                      </w:rPr>
                      <w:t>s</w:t>
                    </w:r>
                    <w:r>
                      <w:rPr>
                        <w:rFonts w:ascii="Trebuchet MS" w:hAnsi="Trebuchet MS"/>
                        <w:color w:val="231F20"/>
                        <w:w w:val="88"/>
                        <w:sz w:val="20"/>
                      </w:rPr>
                      <w:t>t</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
                        <w:w w:val="106"/>
                        <w:sz w:val="20"/>
                      </w:rPr>
                      <w:t>k</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1"/>
                        <w:w w:val="124"/>
                        <w:sz w:val="20"/>
                      </w:rPr>
                      <w:t>g</w:t>
                    </w:r>
                    <w:r>
                      <w:rPr>
                        <w:rFonts w:ascii="Trebuchet MS" w:hAnsi="Trebuchet MS"/>
                        <w:color w:val="231F20"/>
                        <w:w w:val="57"/>
                        <w:sz w:val="20"/>
                      </w:rPr>
                      <w:t>,</w:t>
                    </w:r>
                    <w:r>
                      <w:rPr>
                        <w:rFonts w:ascii="Trebuchet MS" w:hAnsi="Trebuchet MS"/>
                        <w:color w:val="231F20"/>
                        <w:spacing w:val="-14"/>
                        <w:sz w:val="20"/>
                      </w:rPr>
                      <w:t xml:space="preserve"> </w:t>
                    </w:r>
                    <w:r>
                      <w:rPr>
                        <w:rFonts w:ascii="Trebuchet MS" w:hAnsi="Trebuchet MS"/>
                        <w:color w:val="231F20"/>
                        <w:spacing w:val="-2"/>
                        <w:w w:val="110"/>
                        <w:sz w:val="20"/>
                      </w:rPr>
                      <w:t>w</w:t>
                    </w:r>
                    <w:r>
                      <w:rPr>
                        <w:rFonts w:ascii="Trebuchet MS" w:hAnsi="Trebuchet MS"/>
                        <w:color w:val="231F20"/>
                        <w:spacing w:val="-3"/>
                        <w:w w:val="80"/>
                        <w:sz w:val="20"/>
                      </w:rPr>
                      <w:t>i</w:t>
                    </w:r>
                    <w:r>
                      <w:rPr>
                        <w:rFonts w:ascii="Trebuchet MS" w:hAnsi="Trebuchet MS"/>
                        <w:color w:val="231F20"/>
                        <w:spacing w:val="-2"/>
                        <w:w w:val="88"/>
                        <w:sz w:val="20"/>
                      </w:rPr>
                      <w:t>t</w:t>
                    </w:r>
                    <w:r>
                      <w:rPr>
                        <w:rFonts w:ascii="Trebuchet MS" w:hAnsi="Trebuchet MS"/>
                        <w:color w:val="231F20"/>
                        <w:w w:val="107"/>
                        <w:sz w:val="20"/>
                      </w:rPr>
                      <w:t>h</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08"/>
                        <w:sz w:val="20"/>
                      </w:rPr>
                      <w:t>e</w:t>
                    </w:r>
                    <w:r>
                      <w:rPr>
                        <w:rFonts w:ascii="Trebuchet MS" w:hAnsi="Trebuchet MS"/>
                        <w:color w:val="231F20"/>
                        <w:spacing w:val="-3"/>
                        <w:w w:val="96"/>
                        <w:sz w:val="20"/>
                      </w:rPr>
                      <w:t>l</w:t>
                    </w:r>
                    <w:r>
                      <w:rPr>
                        <w:rFonts w:ascii="Trebuchet MS" w:hAnsi="Trebuchet MS"/>
                        <w:color w:val="231F20"/>
                        <w:spacing w:val="-1"/>
                        <w:w w:val="108"/>
                        <w:sz w:val="20"/>
                      </w:rPr>
                      <w:t>e</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2"/>
                        <w:w w:val="88"/>
                        <w:sz w:val="20"/>
                      </w:rPr>
                      <w:t>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3"/>
                        <w:w w:val="96"/>
                        <w:sz w:val="20"/>
                      </w:rPr>
                      <w:t>l</w:t>
                    </w:r>
                    <w:r>
                      <w:rPr>
                        <w:rFonts w:ascii="Trebuchet MS" w:hAnsi="Trebuchet MS"/>
                        <w:color w:val="231F20"/>
                        <w:spacing w:val="-1"/>
                        <w:w w:val="108"/>
                        <w:sz w:val="20"/>
                      </w:rPr>
                      <w:t>e</w:t>
                    </w:r>
                    <w:r>
                      <w:rPr>
                        <w:rFonts w:ascii="Trebuchet MS" w:hAnsi="Trebuchet MS"/>
                        <w:color w:val="231F20"/>
                        <w:spacing w:val="-2"/>
                        <w:w w:val="105"/>
                        <w:sz w:val="20"/>
                      </w:rPr>
                      <w:t>a</w:t>
                    </w:r>
                    <w:r>
                      <w:rPr>
                        <w:rFonts w:ascii="Trebuchet MS" w:hAnsi="Trebuchet MS"/>
                        <w:color w:val="231F20"/>
                        <w:spacing w:val="-2"/>
                        <w:w w:val="94"/>
                        <w:sz w:val="20"/>
                      </w:rPr>
                      <w:t>r</w:t>
                    </w:r>
                    <w:r>
                      <w:rPr>
                        <w:rFonts w:ascii="Trebuchet MS" w:hAnsi="Trebuchet MS"/>
                        <w:color w:val="231F20"/>
                        <w:spacing w:val="-7"/>
                        <w:w w:val="94"/>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1"/>
                        <w:w w:val="96"/>
                        <w:sz w:val="20"/>
                      </w:rPr>
                      <w:t>l</w:t>
                    </w:r>
                    <w:r>
                      <w:rPr>
                        <w:rFonts w:ascii="Trebuchet MS" w:hAnsi="Trebuchet MS"/>
                        <w:color w:val="231F20"/>
                        <w:spacing w:val="-2"/>
                        <w:w w:val="105"/>
                        <w:sz w:val="20"/>
                      </w:rPr>
                      <w:t>a</w:t>
                    </w:r>
                    <w:r>
                      <w:rPr>
                        <w:rFonts w:ascii="Trebuchet MS" w:hAnsi="Trebuchet MS"/>
                        <w:color w:val="231F20"/>
                        <w:spacing w:val="-1"/>
                        <w:w w:val="80"/>
                        <w:sz w:val="20"/>
                      </w:rPr>
                      <w:t>i</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o</w:t>
                    </w:r>
                    <w:r>
                      <w:rPr>
                        <w:rFonts w:ascii="Trebuchet MS" w:hAnsi="Trebuchet MS"/>
                        <w:color w:val="231F20"/>
                        <w:spacing w:val="-3"/>
                        <w:w w:val="109"/>
                        <w:sz w:val="20"/>
                      </w:rPr>
                      <w:t>u</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 xml:space="preserve">d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w w:val="81"/>
                        <w:sz w:val="20"/>
                      </w:rPr>
                      <w:t>f</w:t>
                    </w:r>
                    <w:r>
                      <w:rPr>
                        <w:rFonts w:ascii="Trebuchet MS" w:hAnsi="Trebuchet MS"/>
                        <w:color w:val="231F20"/>
                        <w:spacing w:val="-5"/>
                        <w:w w:val="81"/>
                        <w:sz w:val="20"/>
                      </w:rPr>
                      <w:t>f</w:t>
                    </w:r>
                    <w:r>
                      <w:rPr>
                        <w:rFonts w:ascii="Trebuchet MS" w:hAnsi="Trebuchet MS"/>
                        <w:color w:val="231F20"/>
                        <w:spacing w:val="-1"/>
                        <w:w w:val="108"/>
                        <w:sz w:val="20"/>
                      </w:rPr>
                      <w:t>e</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spacing w:val="-2"/>
                        <w:w w:val="124"/>
                        <w:sz w:val="20"/>
                      </w:rPr>
                      <w:t>g</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2"/>
                        <w:w w:val="108"/>
                        <w:sz w:val="20"/>
                      </w:rPr>
                      <w:t>e</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2"/>
                        <w:w w:val="110"/>
                        <w:sz w:val="20"/>
                      </w:rPr>
                      <w:t>cu</w:t>
                    </w:r>
                    <w:r>
                      <w:rPr>
                        <w:rFonts w:ascii="Trebuchet MS" w:hAnsi="Trebuchet MS"/>
                        <w:color w:val="231F20"/>
                        <w:w w:val="96"/>
                        <w:sz w:val="20"/>
                      </w:rPr>
                      <w:t>l</w:t>
                    </w:r>
                    <w:r>
                      <w:rPr>
                        <w:rFonts w:ascii="Trebuchet MS" w:hAnsi="Trebuchet MS"/>
                        <w:color w:val="231F20"/>
                        <w:spacing w:val="-1"/>
                        <w:w w:val="111"/>
                        <w:sz w:val="20"/>
                      </w:rPr>
                      <w:t>p</w:t>
                    </w:r>
                    <w:r>
                      <w:rPr>
                        <w:rFonts w:ascii="Trebuchet MS" w:hAnsi="Trebuchet MS"/>
                        <w:color w:val="231F20"/>
                        <w:spacing w:val="-2"/>
                        <w:w w:val="105"/>
                        <w:sz w:val="20"/>
                      </w:rPr>
                      <w:t>a</w:t>
                    </w:r>
                    <w:r>
                      <w:rPr>
                        <w:rFonts w:ascii="Trebuchet MS" w:hAnsi="Trebuchet MS"/>
                        <w:color w:val="231F20"/>
                        <w:spacing w:val="-1"/>
                        <w:w w:val="111"/>
                        <w:sz w:val="20"/>
                      </w:rPr>
                      <w:t>b</w:t>
                    </w:r>
                    <w:r>
                      <w:rPr>
                        <w:rFonts w:ascii="Trebuchet MS" w:hAnsi="Trebuchet MS"/>
                        <w:color w:val="231F20"/>
                        <w:spacing w:val="-2"/>
                        <w:w w:val="80"/>
                        <w:sz w:val="20"/>
                      </w:rPr>
                      <w:t>i</w:t>
                    </w:r>
                    <w:r>
                      <w:rPr>
                        <w:rFonts w:ascii="Trebuchet MS" w:hAnsi="Trebuchet MS"/>
                        <w:color w:val="231F20"/>
                        <w:w w:val="96"/>
                        <w:sz w:val="20"/>
                      </w:rPr>
                      <w:t>l</w:t>
                    </w:r>
                    <w:r>
                      <w:rPr>
                        <w:rFonts w:ascii="Trebuchet MS" w:hAnsi="Trebuchet MS"/>
                        <w:color w:val="231F20"/>
                        <w:spacing w:val="-3"/>
                        <w:w w:val="80"/>
                        <w:sz w:val="20"/>
                      </w:rPr>
                      <w:t>i</w:t>
                    </w:r>
                    <w:r>
                      <w:rPr>
                        <w:rFonts w:ascii="Trebuchet MS" w:hAnsi="Trebuchet MS"/>
                        <w:color w:val="231F20"/>
                        <w:w w:val="88"/>
                        <w:sz w:val="20"/>
                      </w:rPr>
                      <w:t>t</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3"/>
                        <w:w w:val="96"/>
                        <w:sz w:val="20"/>
                      </w:rPr>
                      <w:t>l</w:t>
                    </w:r>
                    <w:r>
                      <w:rPr>
                        <w:rFonts w:ascii="Trebuchet MS" w:hAnsi="Trebuchet MS"/>
                        <w:color w:val="231F20"/>
                        <w:spacing w:val="-1"/>
                        <w:w w:val="108"/>
                        <w:sz w:val="20"/>
                      </w:rPr>
                      <w:t>e</w:t>
                    </w:r>
                    <w:r>
                      <w:rPr>
                        <w:rFonts w:ascii="Trebuchet MS" w:hAnsi="Trebuchet MS"/>
                        <w:color w:val="231F20"/>
                        <w:spacing w:val="-2"/>
                        <w:w w:val="105"/>
                        <w:sz w:val="20"/>
                      </w:rPr>
                      <w:t>a</w:t>
                    </w:r>
                    <w:r>
                      <w:rPr>
                        <w:rFonts w:ascii="Trebuchet MS" w:hAnsi="Trebuchet MS"/>
                        <w:color w:val="231F20"/>
                        <w:spacing w:val="-2"/>
                        <w:w w:val="94"/>
                        <w:sz w:val="20"/>
                      </w:rPr>
                      <w:t>r</w:t>
                    </w:r>
                    <w:r>
                      <w:rPr>
                        <w:rFonts w:ascii="Trebuchet MS" w:hAnsi="Trebuchet MS"/>
                        <w:color w:val="231F20"/>
                        <w:spacing w:val="-7"/>
                        <w:w w:val="94"/>
                        <w:sz w:val="20"/>
                      </w:rPr>
                      <w:t>l</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122"/>
                        <w:sz w:val="20"/>
                      </w:rPr>
                      <w:t>s</w:t>
                    </w:r>
                    <w:r>
                      <w:rPr>
                        <w:rFonts w:ascii="Trebuchet MS" w:hAnsi="Trebuchet MS"/>
                        <w:color w:val="231F20"/>
                        <w:spacing w:val="-1"/>
                        <w:w w:val="107"/>
                        <w:sz w:val="20"/>
                      </w:rPr>
                      <w:t>h</w:t>
                    </w:r>
                    <w:r>
                      <w:rPr>
                        <w:rFonts w:ascii="Trebuchet MS" w:hAnsi="Trebuchet MS"/>
                        <w:color w:val="231F20"/>
                        <w:spacing w:val="-6"/>
                        <w:w w:val="111"/>
                        <w:sz w:val="20"/>
                      </w:rPr>
                      <w:t>o</w:t>
                    </w:r>
                    <w:r>
                      <w:rPr>
                        <w:rFonts w:ascii="Trebuchet MS" w:hAnsi="Trebuchet MS"/>
                        <w:color w:val="231F20"/>
                        <w:spacing w:val="-2"/>
                        <w:w w:val="110"/>
                        <w:sz w:val="20"/>
                      </w:rPr>
                      <w:t>w</w:t>
                    </w:r>
                    <w:r>
                      <w:rPr>
                        <w:rFonts w:ascii="Trebuchet MS" w:hAnsi="Trebuchet MS"/>
                        <w:color w:val="231F20"/>
                        <w:spacing w:val="-1"/>
                        <w:w w:val="107"/>
                        <w:sz w:val="20"/>
                      </w:rPr>
                      <w:t>n</w:t>
                    </w:r>
                    <w:r>
                      <w:rPr>
                        <w:rFonts w:ascii="Trebuchet MS" w:hAnsi="Trebuchet MS"/>
                        <w:color w:val="231F20"/>
                        <w:w w:val="55"/>
                        <w:sz w:val="20"/>
                      </w:rPr>
                      <w:t>.</w:t>
                    </w:r>
                  </w:p>
                </w:txbxContent>
              </v:textbox>
            </v:shape>
            <v:shape id="_x0000_s1215" type="#_x0000_t202" style="position:absolute;left:1133;top:1033;width:7587;height:800" filled="f" stroked="f">
              <v:textbox inset="0,0,0,0">
                <w:txbxContent>
                  <w:p w14:paraId="414EB113" w14:textId="77777777" w:rsidR="00894070" w:rsidRDefault="009B7AFD">
                    <w:pPr>
                      <w:rPr>
                        <w:rFonts w:ascii="Trebuchet MS"/>
                        <w:sz w:val="20"/>
                      </w:rPr>
                    </w:pPr>
                    <w:r>
                      <w:rPr>
                        <w:rFonts w:ascii="Trebuchet MS"/>
                        <w:color w:val="231F20"/>
                        <w:w w:val="105"/>
                        <w:sz w:val="20"/>
                      </w:rPr>
                      <w:t>The</w:t>
                    </w:r>
                    <w:r>
                      <w:rPr>
                        <w:rFonts w:ascii="Trebuchet MS"/>
                        <w:color w:val="231F20"/>
                        <w:spacing w:val="-20"/>
                        <w:w w:val="105"/>
                        <w:sz w:val="20"/>
                      </w:rPr>
                      <w:t xml:space="preserve"> </w:t>
                    </w:r>
                    <w:r>
                      <w:rPr>
                        <w:rFonts w:ascii="Trebuchet MS"/>
                        <w:color w:val="231F20"/>
                        <w:w w:val="105"/>
                        <w:sz w:val="20"/>
                      </w:rPr>
                      <w:t>Victorian</w:t>
                    </w:r>
                    <w:r>
                      <w:rPr>
                        <w:rFonts w:ascii="Trebuchet MS"/>
                        <w:color w:val="231F20"/>
                        <w:spacing w:val="-19"/>
                        <w:w w:val="105"/>
                        <w:sz w:val="20"/>
                      </w:rPr>
                      <w:t xml:space="preserve"> </w:t>
                    </w:r>
                    <w:r>
                      <w:rPr>
                        <w:rFonts w:ascii="Trebuchet MS"/>
                        <w:color w:val="231F20"/>
                        <w:spacing w:val="-3"/>
                        <w:w w:val="105"/>
                        <w:sz w:val="20"/>
                      </w:rPr>
                      <w:t>Government</w:t>
                    </w:r>
                    <w:r>
                      <w:rPr>
                        <w:rFonts w:ascii="Trebuchet MS"/>
                        <w:color w:val="231F20"/>
                        <w:spacing w:val="-19"/>
                        <w:w w:val="105"/>
                        <w:sz w:val="20"/>
                      </w:rPr>
                      <w:t xml:space="preserve"> </w:t>
                    </w:r>
                    <w:r>
                      <w:rPr>
                        <w:rFonts w:ascii="Trebuchet MS"/>
                        <w:color w:val="231F20"/>
                        <w:w w:val="105"/>
                        <w:sz w:val="20"/>
                      </w:rPr>
                      <w:t>should</w:t>
                    </w:r>
                    <w:r>
                      <w:rPr>
                        <w:rFonts w:ascii="Trebuchet MS"/>
                        <w:color w:val="231F20"/>
                        <w:spacing w:val="-20"/>
                        <w:w w:val="105"/>
                        <w:sz w:val="20"/>
                      </w:rPr>
                      <w:t xml:space="preserve"> </w:t>
                    </w:r>
                    <w:r>
                      <w:rPr>
                        <w:rFonts w:ascii="Trebuchet MS"/>
                        <w:color w:val="231F20"/>
                        <w:w w:val="105"/>
                        <w:sz w:val="20"/>
                      </w:rPr>
                      <w:t>amend</w:t>
                    </w:r>
                    <w:r>
                      <w:rPr>
                        <w:rFonts w:ascii="Trebuchet MS"/>
                        <w:color w:val="231F20"/>
                        <w:spacing w:val="-19"/>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Trebuchet MS"/>
                        <w:color w:val="231F20"/>
                        <w:w w:val="105"/>
                        <w:sz w:val="20"/>
                      </w:rPr>
                      <w:t>stalking</w:t>
                    </w:r>
                    <w:r>
                      <w:rPr>
                        <w:rFonts w:ascii="Trebuchet MS"/>
                        <w:color w:val="231F20"/>
                        <w:spacing w:val="-19"/>
                        <w:w w:val="105"/>
                        <w:sz w:val="20"/>
                      </w:rPr>
                      <w:t xml:space="preserve"> </w:t>
                    </w:r>
                    <w:r>
                      <w:rPr>
                        <w:rFonts w:ascii="Trebuchet MS"/>
                        <w:color w:val="231F20"/>
                        <w:w w:val="105"/>
                        <w:sz w:val="20"/>
                      </w:rPr>
                      <w:t>offence</w:t>
                    </w:r>
                    <w:r>
                      <w:rPr>
                        <w:rFonts w:ascii="Trebuchet MS"/>
                        <w:color w:val="231F20"/>
                        <w:spacing w:val="-20"/>
                        <w:w w:val="105"/>
                        <w:sz w:val="20"/>
                      </w:rPr>
                      <w:t xml:space="preserve"> </w:t>
                    </w:r>
                    <w:r>
                      <w:rPr>
                        <w:rFonts w:ascii="Trebuchet MS"/>
                        <w:color w:val="231F20"/>
                        <w:w w:val="105"/>
                        <w:sz w:val="20"/>
                      </w:rPr>
                      <w:t>in</w:t>
                    </w:r>
                    <w:r>
                      <w:rPr>
                        <w:rFonts w:ascii="Trebuchet MS"/>
                        <w:color w:val="231F20"/>
                        <w:spacing w:val="-19"/>
                        <w:w w:val="105"/>
                        <w:sz w:val="20"/>
                      </w:rPr>
                      <w:t xml:space="preserve"> </w:t>
                    </w:r>
                    <w:r>
                      <w:rPr>
                        <w:rFonts w:ascii="Trebuchet MS"/>
                        <w:color w:val="231F20"/>
                        <w:w w:val="105"/>
                        <w:sz w:val="20"/>
                      </w:rPr>
                      <w:t>section</w:t>
                    </w:r>
                    <w:r>
                      <w:rPr>
                        <w:rFonts w:ascii="Trebuchet MS"/>
                        <w:color w:val="231F20"/>
                        <w:spacing w:val="-19"/>
                        <w:w w:val="105"/>
                        <w:sz w:val="20"/>
                      </w:rPr>
                      <w:t xml:space="preserve"> </w:t>
                    </w:r>
                    <w:r>
                      <w:rPr>
                        <w:rFonts w:ascii="Trebuchet MS"/>
                        <w:color w:val="231F20"/>
                        <w:w w:val="105"/>
                        <w:sz w:val="20"/>
                      </w:rPr>
                      <w:t>21A</w:t>
                    </w:r>
                    <w:r>
                      <w:rPr>
                        <w:rFonts w:ascii="Trebuchet MS"/>
                        <w:color w:val="231F20"/>
                        <w:spacing w:val="-20"/>
                        <w:w w:val="105"/>
                        <w:sz w:val="20"/>
                      </w:rPr>
                      <w:t xml:space="preserve"> </w:t>
                    </w:r>
                    <w:r>
                      <w:rPr>
                        <w:rFonts w:ascii="Trebuchet MS"/>
                        <w:color w:val="231F20"/>
                        <w:w w:val="105"/>
                        <w:sz w:val="20"/>
                      </w:rPr>
                      <w:t>of</w:t>
                    </w:r>
                    <w:r>
                      <w:rPr>
                        <w:rFonts w:ascii="Trebuchet MS"/>
                        <w:color w:val="231F20"/>
                        <w:spacing w:val="-19"/>
                        <w:w w:val="105"/>
                        <w:sz w:val="20"/>
                      </w:rPr>
                      <w:t xml:space="preserve"> </w:t>
                    </w:r>
                    <w:r>
                      <w:rPr>
                        <w:rFonts w:ascii="Trebuchet MS"/>
                        <w:color w:val="231F20"/>
                        <w:w w:val="105"/>
                        <w:sz w:val="20"/>
                      </w:rPr>
                      <w:t>the</w:t>
                    </w:r>
                  </w:p>
                  <w:p w14:paraId="02EC0477" w14:textId="77777777" w:rsidR="00894070" w:rsidRDefault="009B7AFD">
                    <w:pPr>
                      <w:spacing w:before="8"/>
                      <w:rPr>
                        <w:rFonts w:ascii="Trebuchet MS"/>
                        <w:sz w:val="20"/>
                      </w:rPr>
                    </w:pPr>
                    <w:r>
                      <w:rPr>
                        <w:rFonts w:ascii="Arial"/>
                        <w:i/>
                        <w:color w:val="231F20"/>
                        <w:spacing w:val="-2"/>
                        <w:w w:val="90"/>
                        <w:sz w:val="20"/>
                      </w:rPr>
                      <w:t>C</w:t>
                    </w:r>
                    <w:r>
                      <w:rPr>
                        <w:rFonts w:ascii="Arial"/>
                        <w:i/>
                        <w:color w:val="231F20"/>
                        <w:spacing w:val="-3"/>
                        <w:w w:val="106"/>
                        <w:sz w:val="20"/>
                      </w:rPr>
                      <w:t>r</w:t>
                    </w:r>
                    <w:r>
                      <w:rPr>
                        <w:rFonts w:ascii="Arial"/>
                        <w:i/>
                        <w:color w:val="231F20"/>
                        <w:spacing w:val="-1"/>
                        <w:w w:val="101"/>
                        <w:sz w:val="20"/>
                      </w:rPr>
                      <w:t>i</w:t>
                    </w:r>
                    <w:r>
                      <w:rPr>
                        <w:rFonts w:ascii="Arial"/>
                        <w:i/>
                        <w:color w:val="231F20"/>
                        <w:spacing w:val="-2"/>
                        <w:w w:val="106"/>
                        <w:sz w:val="20"/>
                      </w:rPr>
                      <w:t>m</w:t>
                    </w:r>
                    <w:r>
                      <w:rPr>
                        <w:rFonts w:ascii="Arial"/>
                        <w:i/>
                        <w:color w:val="231F20"/>
                        <w:spacing w:val="-1"/>
                        <w:w w:val="96"/>
                        <w:sz w:val="20"/>
                      </w:rPr>
                      <w:t>e</w:t>
                    </w:r>
                    <w:r>
                      <w:rPr>
                        <w:rFonts w:ascii="Arial"/>
                        <w:i/>
                        <w:color w:val="231F20"/>
                        <w:w w:val="95"/>
                        <w:sz w:val="20"/>
                      </w:rPr>
                      <w:t>s</w:t>
                    </w:r>
                    <w:r>
                      <w:rPr>
                        <w:rFonts w:ascii="Arial"/>
                        <w:i/>
                        <w:color w:val="231F20"/>
                        <w:spacing w:val="-11"/>
                        <w:sz w:val="20"/>
                      </w:rPr>
                      <w:t xml:space="preserve"> </w:t>
                    </w:r>
                    <w:r>
                      <w:rPr>
                        <w:rFonts w:ascii="Arial"/>
                        <w:i/>
                        <w:color w:val="231F20"/>
                        <w:spacing w:val="-3"/>
                        <w:w w:val="97"/>
                        <w:sz w:val="20"/>
                      </w:rPr>
                      <w:t>A</w:t>
                    </w:r>
                    <w:r>
                      <w:rPr>
                        <w:rFonts w:ascii="Arial"/>
                        <w:i/>
                        <w:color w:val="231F20"/>
                        <w:spacing w:val="-3"/>
                        <w:w w:val="106"/>
                        <w:sz w:val="20"/>
                      </w:rPr>
                      <w:t>c</w:t>
                    </w:r>
                    <w:r>
                      <w:rPr>
                        <w:rFonts w:ascii="Arial"/>
                        <w:i/>
                        <w:color w:val="231F20"/>
                        <w:w w:val="121"/>
                        <w:sz w:val="20"/>
                      </w:rPr>
                      <w:t>t</w:t>
                    </w:r>
                    <w:r>
                      <w:rPr>
                        <w:rFonts w:ascii="Arial"/>
                        <w:i/>
                        <w:color w:val="231F20"/>
                        <w:spacing w:val="-11"/>
                        <w:sz w:val="20"/>
                      </w:rPr>
                      <w:t xml:space="preserve"> </w:t>
                    </w:r>
                    <w:r>
                      <w:rPr>
                        <w:rFonts w:ascii="Arial"/>
                        <w:i/>
                        <w:color w:val="231F20"/>
                        <w:spacing w:val="-4"/>
                        <w:w w:val="78"/>
                        <w:sz w:val="20"/>
                      </w:rPr>
                      <w:t>1</w:t>
                    </w:r>
                    <w:r>
                      <w:rPr>
                        <w:rFonts w:ascii="Arial"/>
                        <w:i/>
                        <w:color w:val="231F20"/>
                        <w:spacing w:val="1"/>
                        <w:w w:val="103"/>
                        <w:sz w:val="20"/>
                      </w:rPr>
                      <w:t>9</w:t>
                    </w:r>
                    <w:r>
                      <w:rPr>
                        <w:rFonts w:ascii="Arial"/>
                        <w:i/>
                        <w:color w:val="231F20"/>
                        <w:spacing w:val="-2"/>
                        <w:w w:val="99"/>
                        <w:sz w:val="20"/>
                      </w:rPr>
                      <w:t>5</w:t>
                    </w:r>
                    <w:r>
                      <w:rPr>
                        <w:rFonts w:ascii="Arial"/>
                        <w:i/>
                        <w:color w:val="231F20"/>
                        <w:w w:val="99"/>
                        <w:sz w:val="20"/>
                      </w:rPr>
                      <w:t>8</w:t>
                    </w:r>
                    <w:r>
                      <w:rPr>
                        <w:rFonts w:ascii="Arial"/>
                        <w:i/>
                        <w:color w:val="231F20"/>
                        <w:spacing w:val="-13"/>
                        <w:sz w:val="20"/>
                      </w:rPr>
                      <w:t xml:space="preserve"> </w:t>
                    </w:r>
                    <w:r>
                      <w:rPr>
                        <w:rFonts w:ascii="Trebuchet MS"/>
                        <w:color w:val="231F20"/>
                        <w:spacing w:val="3"/>
                        <w:w w:val="77"/>
                        <w:sz w:val="20"/>
                      </w:rPr>
                      <w:t>(</w:t>
                    </w:r>
                    <w:r>
                      <w:rPr>
                        <w:rFonts w:ascii="Trebuchet MS"/>
                        <w:color w:val="231F20"/>
                        <w:spacing w:val="-1"/>
                        <w:w w:val="115"/>
                        <w:sz w:val="20"/>
                      </w:rPr>
                      <w:t>V</w:t>
                    </w:r>
                    <w:r>
                      <w:rPr>
                        <w:rFonts w:ascii="Trebuchet MS"/>
                        <w:color w:val="231F20"/>
                        <w:spacing w:val="-1"/>
                        <w:w w:val="80"/>
                        <w:sz w:val="20"/>
                      </w:rPr>
                      <w:t>i</w:t>
                    </w:r>
                    <w:r>
                      <w:rPr>
                        <w:rFonts w:ascii="Trebuchet MS"/>
                        <w:color w:val="231F20"/>
                        <w:spacing w:val="-5"/>
                        <w:w w:val="111"/>
                        <w:sz w:val="20"/>
                      </w:rPr>
                      <w:t>c</w:t>
                    </w:r>
                    <w:r>
                      <w:rPr>
                        <w:rFonts w:ascii="Trebuchet MS"/>
                        <w:color w:val="231F20"/>
                        <w:w w:val="77"/>
                        <w:sz w:val="20"/>
                      </w:rPr>
                      <w:t>)</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2"/>
                        <w:w w:val="111"/>
                        <w:sz w:val="20"/>
                      </w:rPr>
                      <w:t>m</w:t>
                    </w:r>
                    <w:r>
                      <w:rPr>
                        <w:rFonts w:ascii="Trebuchet MS"/>
                        <w:color w:val="231F20"/>
                        <w:spacing w:val="-1"/>
                        <w:w w:val="111"/>
                        <w:sz w:val="20"/>
                      </w:rPr>
                      <w:t>p</w:t>
                    </w:r>
                    <w:r>
                      <w:rPr>
                        <w:rFonts w:ascii="Trebuchet MS"/>
                        <w:color w:val="231F20"/>
                        <w:spacing w:val="-4"/>
                        <w:w w:val="93"/>
                        <w:sz w:val="20"/>
                      </w:rPr>
                      <w:t>r</w:t>
                    </w:r>
                    <w:r>
                      <w:rPr>
                        <w:rFonts w:ascii="Trebuchet MS"/>
                        <w:color w:val="231F20"/>
                        <w:spacing w:val="-6"/>
                        <w:w w:val="111"/>
                        <w:sz w:val="20"/>
                      </w:rPr>
                      <w:t>o</w:t>
                    </w:r>
                    <w:r>
                      <w:rPr>
                        <w:rFonts w:ascii="Trebuchet MS"/>
                        <w:color w:val="231F20"/>
                        <w:spacing w:val="-6"/>
                        <w:w w:val="109"/>
                        <w:sz w:val="20"/>
                      </w:rPr>
                      <w:t>v</w:t>
                    </w:r>
                    <w:r>
                      <w:rPr>
                        <w:rFonts w:ascii="Trebuchet MS"/>
                        <w:color w:val="231F20"/>
                        <w:w w:val="108"/>
                        <w:sz w:val="20"/>
                      </w:rPr>
                      <w:t>e</w:t>
                    </w:r>
                    <w:r>
                      <w:rPr>
                        <w:rFonts w:ascii="Trebuchet MS"/>
                        <w:color w:val="231F20"/>
                        <w:spacing w:val="-14"/>
                        <w:sz w:val="20"/>
                      </w:rPr>
                      <w:t xml:space="preserve"> </w:t>
                    </w:r>
                    <w:r>
                      <w:rPr>
                        <w:rFonts w:ascii="Trebuchet MS"/>
                        <w:color w:val="231F20"/>
                        <w:spacing w:val="-3"/>
                        <w:w w:val="80"/>
                        <w:sz w:val="20"/>
                      </w:rPr>
                      <w:t>i</w:t>
                    </w:r>
                    <w:r>
                      <w:rPr>
                        <w:rFonts w:ascii="Trebuchet MS"/>
                        <w:color w:val="231F20"/>
                        <w:spacing w:val="2"/>
                        <w:w w:val="88"/>
                        <w:sz w:val="20"/>
                      </w:rPr>
                      <w:t>t</w:t>
                    </w:r>
                    <w:r>
                      <w:rPr>
                        <w:rFonts w:ascii="Trebuchet MS"/>
                        <w:color w:val="231F20"/>
                        <w:w w:val="122"/>
                        <w:sz w:val="20"/>
                      </w:rPr>
                      <w:t>s</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96"/>
                        <w:sz w:val="20"/>
                      </w:rPr>
                      <w:t>l</w:t>
                    </w:r>
                    <w:r>
                      <w:rPr>
                        <w:rFonts w:ascii="Trebuchet MS"/>
                        <w:color w:val="231F20"/>
                        <w:spacing w:val="-2"/>
                        <w:w w:val="105"/>
                        <w:sz w:val="20"/>
                      </w:rPr>
                      <w:t>a</w:t>
                    </w:r>
                    <w:r>
                      <w:rPr>
                        <w:rFonts w:ascii="Trebuchet MS"/>
                        <w:color w:val="231F20"/>
                        <w:spacing w:val="-2"/>
                        <w:w w:val="93"/>
                        <w:sz w:val="20"/>
                      </w:rPr>
                      <w:t>r</w:t>
                    </w:r>
                    <w:r>
                      <w:rPr>
                        <w:rFonts w:ascii="Trebuchet MS"/>
                        <w:color w:val="231F20"/>
                        <w:spacing w:val="-3"/>
                        <w:w w:val="80"/>
                        <w:sz w:val="20"/>
                      </w:rPr>
                      <w:t>i</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2"/>
                        <w:w w:val="93"/>
                        <w:sz w:val="20"/>
                      </w:rPr>
                      <w:t>r</w:t>
                    </w:r>
                    <w:r>
                      <w:rPr>
                        <w:rFonts w:ascii="Trebuchet MS"/>
                        <w:color w:val="231F20"/>
                        <w:spacing w:val="-2"/>
                        <w:w w:val="108"/>
                        <w:sz w:val="20"/>
                      </w:rPr>
                      <w:t>ac</w:t>
                    </w:r>
                    <w:r>
                      <w:rPr>
                        <w:rFonts w:ascii="Trebuchet MS"/>
                        <w:color w:val="231F20"/>
                        <w:spacing w:val="-2"/>
                        <w:w w:val="88"/>
                        <w:sz w:val="20"/>
                      </w:rPr>
                      <w:t>t</w:t>
                    </w:r>
                    <w:r>
                      <w:rPr>
                        <w:rFonts w:ascii="Trebuchet MS"/>
                        <w:color w:val="231F20"/>
                        <w:spacing w:val="-1"/>
                        <w:w w:val="80"/>
                        <w:sz w:val="20"/>
                      </w:rPr>
                      <w:t>i</w:t>
                    </w:r>
                    <w:r>
                      <w:rPr>
                        <w:rFonts w:ascii="Trebuchet MS"/>
                        <w:color w:val="231F20"/>
                        <w:w w:val="111"/>
                        <w:sz w:val="20"/>
                      </w:rPr>
                      <w:t>c</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1"/>
                        <w:w w:val="105"/>
                        <w:sz w:val="20"/>
                      </w:rPr>
                      <w:t>a</w:t>
                    </w:r>
                    <w:r>
                      <w:rPr>
                        <w:rFonts w:ascii="Trebuchet MS"/>
                        <w:color w:val="231F20"/>
                        <w:spacing w:val="-1"/>
                        <w:w w:val="111"/>
                        <w:sz w:val="20"/>
                      </w:rPr>
                      <w:t>p</w:t>
                    </w:r>
                    <w:r>
                      <w:rPr>
                        <w:rFonts w:ascii="Trebuchet MS"/>
                        <w:color w:val="231F20"/>
                        <w:spacing w:val="-2"/>
                        <w:w w:val="111"/>
                        <w:sz w:val="20"/>
                      </w:rPr>
                      <w:t>p</w:t>
                    </w:r>
                    <w:r>
                      <w:rPr>
                        <w:rFonts w:ascii="Trebuchet MS"/>
                        <w:color w:val="231F20"/>
                        <w:w w:val="96"/>
                        <w:sz w:val="20"/>
                      </w:rPr>
                      <w:t>l</w:t>
                    </w:r>
                    <w:r>
                      <w:rPr>
                        <w:rFonts w:ascii="Trebuchet MS"/>
                        <w:color w:val="231F20"/>
                        <w:spacing w:val="-1"/>
                        <w:w w:val="80"/>
                        <w:sz w:val="20"/>
                      </w:rPr>
                      <w:t>i</w:t>
                    </w:r>
                    <w:r>
                      <w:rPr>
                        <w:rFonts w:ascii="Trebuchet MS"/>
                        <w:color w:val="231F20"/>
                        <w:w w:val="111"/>
                        <w:sz w:val="20"/>
                      </w:rPr>
                      <w:t>c</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w w:val="55"/>
                        <w:sz w:val="20"/>
                      </w:rPr>
                      <w:t>.</w:t>
                    </w:r>
                  </w:p>
                  <w:p w14:paraId="3374058D" w14:textId="77777777" w:rsidR="00894070" w:rsidRDefault="009B7AFD">
                    <w:pPr>
                      <w:spacing w:before="92"/>
                      <w:ind w:left="13"/>
                      <w:rPr>
                        <w:rFonts w:ascii="Trebuchet MS"/>
                        <w:sz w:val="20"/>
                      </w:rPr>
                    </w:pPr>
                    <w:r>
                      <w:rPr>
                        <w:rFonts w:ascii="Trebuchet MS"/>
                        <w:color w:val="231F20"/>
                        <w:spacing w:val="-2"/>
                        <w:w w:val="105"/>
                        <w:sz w:val="20"/>
                      </w:rPr>
                      <w:t>T</w:t>
                    </w:r>
                    <w:r>
                      <w:rPr>
                        <w:rFonts w:ascii="Trebuchet MS"/>
                        <w:color w:val="231F20"/>
                        <w:spacing w:val="-1"/>
                        <w:w w:val="108"/>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10"/>
                        <w:sz w:val="20"/>
                      </w:rPr>
                      <w:t>mendme</w:t>
                    </w:r>
                    <w:r>
                      <w:rPr>
                        <w:rFonts w:ascii="Trebuchet MS"/>
                        <w:color w:val="231F20"/>
                        <w:spacing w:val="-4"/>
                        <w:w w:val="107"/>
                        <w:sz w:val="20"/>
                      </w:rPr>
                      <w:t>n</w:t>
                    </w:r>
                    <w:r>
                      <w:rPr>
                        <w:rFonts w:ascii="Trebuchet MS"/>
                        <w:color w:val="231F20"/>
                        <w:spacing w:val="2"/>
                        <w:w w:val="88"/>
                        <w:sz w:val="20"/>
                      </w:rPr>
                      <w:t>t</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ho</w:t>
                    </w:r>
                    <w:r>
                      <w:rPr>
                        <w:rFonts w:ascii="Trebuchet MS"/>
                        <w:color w:val="231F20"/>
                        <w:spacing w:val="-2"/>
                        <w:w w:val="109"/>
                        <w:sz w:val="20"/>
                      </w:rPr>
                      <w:t>u</w:t>
                    </w:r>
                    <w:r>
                      <w:rPr>
                        <w:rFonts w:ascii="Trebuchet MS"/>
                        <w:color w:val="231F20"/>
                        <w:spacing w:val="-3"/>
                        <w:w w:val="96"/>
                        <w:sz w:val="20"/>
                      </w:rPr>
                      <w:t>l</w:t>
                    </w:r>
                    <w:r>
                      <w:rPr>
                        <w:rFonts w:ascii="Trebuchet MS"/>
                        <w:color w:val="231F20"/>
                        <w:spacing w:val="-3"/>
                        <w:w w:val="112"/>
                        <w:sz w:val="20"/>
                      </w:rPr>
                      <w:t>d</w:t>
                    </w:r>
                    <w:r>
                      <w:rPr>
                        <w:rFonts w:ascii="Trebuchet MS"/>
                        <w:color w:val="231F20"/>
                        <w:w w:val="54"/>
                        <w:sz w:val="20"/>
                      </w:rPr>
                      <w:t>:</w:t>
                    </w:r>
                  </w:p>
                </w:txbxContent>
              </v:textbox>
            </v:shape>
            <v:shape id="_x0000_s1214" type="#_x0000_t202" style="position:absolute;left:566;top:1033;width:280;height:235" filled="f" stroked="f">
              <v:textbox inset="0,0,0,0">
                <w:txbxContent>
                  <w:p w14:paraId="45F77E17" w14:textId="77777777" w:rsidR="00894070" w:rsidRDefault="009B7AFD">
                    <w:pPr>
                      <w:rPr>
                        <w:rFonts w:ascii="Trebuchet MS"/>
                        <w:sz w:val="20"/>
                      </w:rPr>
                    </w:pPr>
                    <w:r>
                      <w:rPr>
                        <w:rFonts w:ascii="Trebuchet MS"/>
                        <w:color w:val="231F20"/>
                        <w:w w:val="95"/>
                        <w:sz w:val="20"/>
                      </w:rPr>
                      <w:t>33.</w:t>
                    </w:r>
                  </w:p>
                </w:txbxContent>
              </v:textbox>
            </v:shape>
            <v:shape id="_x0000_s1213" type="#_x0000_t202" style="position:absolute;left:340;width:8731;height:783" fillcolor="#fee7de" stroked="f">
              <v:textbox inset="0,0,0,0">
                <w:txbxContent>
                  <w:p w14:paraId="0266B372"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anchorlock/>
          </v:group>
        </w:pict>
      </w:r>
    </w:p>
    <w:p w14:paraId="260E1ACA" w14:textId="77777777" w:rsidR="00894070" w:rsidRDefault="00894070">
      <w:pPr>
        <w:pStyle w:val="BodyText"/>
      </w:pPr>
    </w:p>
    <w:p w14:paraId="0626871C" w14:textId="77777777" w:rsidR="00894070" w:rsidRDefault="009B7AFD">
      <w:pPr>
        <w:pStyle w:val="Heading7"/>
        <w:spacing w:before="194"/>
      </w:pPr>
      <w:r>
        <w:rPr>
          <w:color w:val="EA5B50"/>
        </w:rPr>
        <w:t>Other suggestions about the stalking offence</w:t>
      </w:r>
    </w:p>
    <w:p w14:paraId="0F19FAD7" w14:textId="77777777" w:rsidR="00894070" w:rsidRDefault="009B7AFD">
      <w:pPr>
        <w:pStyle w:val="ListParagraph"/>
        <w:numPr>
          <w:ilvl w:val="1"/>
          <w:numId w:val="65"/>
        </w:numPr>
        <w:tabs>
          <w:tab w:val="left" w:pos="1801"/>
          <w:tab w:val="left" w:pos="1802"/>
        </w:tabs>
        <w:spacing w:before="146" w:line="206" w:lineRule="auto"/>
        <w:ind w:right="1236"/>
        <w:rPr>
          <w:sz w:val="20"/>
        </w:rPr>
      </w:pPr>
      <w:r>
        <w:rPr>
          <w:color w:val="231F20"/>
          <w:spacing w:val="-6"/>
          <w:sz w:val="20"/>
        </w:rPr>
        <w:t>We</w:t>
      </w:r>
      <w:r>
        <w:rPr>
          <w:color w:val="231F20"/>
          <w:spacing w:val="-9"/>
          <w:sz w:val="20"/>
        </w:rPr>
        <w:t xml:space="preserve"> </w:t>
      </w:r>
      <w:r>
        <w:rPr>
          <w:color w:val="231F20"/>
          <w:sz w:val="20"/>
        </w:rPr>
        <w:t>heard</w:t>
      </w:r>
      <w:r>
        <w:rPr>
          <w:color w:val="231F20"/>
          <w:spacing w:val="-9"/>
          <w:sz w:val="20"/>
        </w:rPr>
        <w:t xml:space="preserve"> </w:t>
      </w:r>
      <w:r>
        <w:rPr>
          <w:color w:val="231F20"/>
          <w:sz w:val="20"/>
        </w:rPr>
        <w:t>a</w:t>
      </w:r>
      <w:r>
        <w:rPr>
          <w:color w:val="231F20"/>
          <w:spacing w:val="-8"/>
          <w:sz w:val="20"/>
        </w:rPr>
        <w:t xml:space="preserve"> </w:t>
      </w:r>
      <w:r>
        <w:rPr>
          <w:color w:val="231F20"/>
          <w:sz w:val="20"/>
        </w:rPr>
        <w:t>range</w:t>
      </w:r>
      <w:r>
        <w:rPr>
          <w:color w:val="231F20"/>
          <w:spacing w:val="-9"/>
          <w:sz w:val="20"/>
        </w:rPr>
        <w:t xml:space="preserve"> </w:t>
      </w:r>
      <w:r>
        <w:rPr>
          <w:color w:val="231F20"/>
          <w:sz w:val="20"/>
        </w:rPr>
        <w:t>of</w:t>
      </w:r>
      <w:r>
        <w:rPr>
          <w:color w:val="231F20"/>
          <w:spacing w:val="-9"/>
          <w:sz w:val="20"/>
        </w:rPr>
        <w:t xml:space="preserve"> </w:t>
      </w:r>
      <w:r>
        <w:rPr>
          <w:color w:val="231F20"/>
          <w:sz w:val="20"/>
        </w:rPr>
        <w:t>other</w:t>
      </w:r>
      <w:r>
        <w:rPr>
          <w:color w:val="231F20"/>
          <w:spacing w:val="-8"/>
          <w:sz w:val="20"/>
        </w:rPr>
        <w:t xml:space="preserve"> </w:t>
      </w:r>
      <w:r>
        <w:rPr>
          <w:color w:val="231F20"/>
          <w:sz w:val="20"/>
        </w:rPr>
        <w:t>suggestions</w:t>
      </w:r>
      <w:r>
        <w:rPr>
          <w:color w:val="231F20"/>
          <w:spacing w:val="-9"/>
          <w:sz w:val="20"/>
        </w:rPr>
        <w:t xml:space="preserve"> </w:t>
      </w:r>
      <w:r>
        <w:rPr>
          <w:color w:val="231F20"/>
          <w:spacing w:val="-3"/>
          <w:sz w:val="20"/>
        </w:rPr>
        <w:t>for</w:t>
      </w:r>
      <w:r>
        <w:rPr>
          <w:color w:val="231F20"/>
          <w:spacing w:val="-9"/>
          <w:sz w:val="20"/>
        </w:rPr>
        <w:t xml:space="preserve"> </w:t>
      </w:r>
      <w:r>
        <w:rPr>
          <w:color w:val="231F20"/>
          <w:spacing w:val="-3"/>
          <w:sz w:val="20"/>
        </w:rPr>
        <w:t>improving</w:t>
      </w:r>
      <w:r>
        <w:rPr>
          <w:color w:val="231F20"/>
          <w:spacing w:val="-8"/>
          <w:sz w:val="20"/>
        </w:rPr>
        <w:t xml:space="preserve"> </w:t>
      </w:r>
      <w:r>
        <w:rPr>
          <w:color w:val="231F20"/>
          <w:sz w:val="20"/>
        </w:rPr>
        <w:t>the</w:t>
      </w:r>
      <w:r>
        <w:rPr>
          <w:color w:val="231F20"/>
          <w:spacing w:val="-9"/>
          <w:sz w:val="20"/>
        </w:rPr>
        <w:t xml:space="preserve"> </w:t>
      </w:r>
      <w:r>
        <w:rPr>
          <w:color w:val="231F20"/>
          <w:sz w:val="20"/>
        </w:rPr>
        <w:t>stalking</w:t>
      </w:r>
      <w:r>
        <w:rPr>
          <w:color w:val="231F20"/>
          <w:spacing w:val="-9"/>
          <w:sz w:val="20"/>
        </w:rPr>
        <w:t xml:space="preserve"> </w:t>
      </w:r>
      <w:r>
        <w:rPr>
          <w:color w:val="231F20"/>
          <w:spacing w:val="-3"/>
          <w:sz w:val="20"/>
        </w:rPr>
        <w:t>offence.</w:t>
      </w:r>
      <w:r>
        <w:rPr>
          <w:color w:val="231F20"/>
          <w:spacing w:val="-8"/>
          <w:sz w:val="20"/>
        </w:rPr>
        <w:t xml:space="preserve"> </w:t>
      </w:r>
      <w:r>
        <w:rPr>
          <w:color w:val="231F20"/>
          <w:sz w:val="20"/>
        </w:rPr>
        <w:t>Suggestions included:</w:t>
      </w:r>
    </w:p>
    <w:p w14:paraId="72B8D063" w14:textId="77777777" w:rsidR="00894070" w:rsidRDefault="009B7AFD">
      <w:pPr>
        <w:pStyle w:val="ListParagraph"/>
        <w:numPr>
          <w:ilvl w:val="2"/>
          <w:numId w:val="65"/>
        </w:numPr>
        <w:tabs>
          <w:tab w:val="left" w:pos="2141"/>
          <w:tab w:val="left" w:pos="2142"/>
        </w:tabs>
        <w:spacing w:before="90"/>
        <w:ind w:hanging="340"/>
        <w:rPr>
          <w:sz w:val="11"/>
        </w:rPr>
      </w:pPr>
      <w:r>
        <w:rPr>
          <w:color w:val="231F20"/>
          <w:sz w:val="20"/>
        </w:rPr>
        <w:t>clarifying</w:t>
      </w:r>
      <w:r>
        <w:rPr>
          <w:color w:val="231F20"/>
          <w:spacing w:val="-6"/>
          <w:sz w:val="20"/>
        </w:rPr>
        <w:t xml:space="preserve"> </w:t>
      </w:r>
      <w:r>
        <w:rPr>
          <w:color w:val="231F20"/>
          <w:sz w:val="20"/>
        </w:rPr>
        <w:t>that</w:t>
      </w:r>
      <w:r>
        <w:rPr>
          <w:color w:val="231F20"/>
          <w:spacing w:val="-6"/>
          <w:sz w:val="20"/>
        </w:rPr>
        <w:t xml:space="preserve"> </w:t>
      </w:r>
      <w:r>
        <w:rPr>
          <w:color w:val="231F20"/>
          <w:sz w:val="20"/>
        </w:rPr>
        <w:t>the</w:t>
      </w:r>
      <w:r>
        <w:rPr>
          <w:color w:val="231F20"/>
          <w:spacing w:val="-6"/>
          <w:sz w:val="20"/>
        </w:rPr>
        <w:t xml:space="preserve"> </w:t>
      </w:r>
      <w:r>
        <w:rPr>
          <w:color w:val="231F20"/>
          <w:sz w:val="20"/>
        </w:rPr>
        <w:t>list</w:t>
      </w:r>
      <w:r>
        <w:rPr>
          <w:color w:val="231F20"/>
          <w:spacing w:val="-5"/>
          <w:sz w:val="20"/>
        </w:rPr>
        <w:t xml:space="preserve"> </w:t>
      </w:r>
      <w:r>
        <w:rPr>
          <w:color w:val="231F20"/>
          <w:sz w:val="20"/>
        </w:rPr>
        <w:t>of</w:t>
      </w:r>
      <w:r>
        <w:rPr>
          <w:color w:val="231F20"/>
          <w:spacing w:val="-6"/>
          <w:sz w:val="20"/>
        </w:rPr>
        <w:t xml:space="preserve"> </w:t>
      </w:r>
      <w:r>
        <w:rPr>
          <w:color w:val="231F20"/>
          <w:sz w:val="20"/>
        </w:rPr>
        <w:t>stalking</w:t>
      </w:r>
      <w:r>
        <w:rPr>
          <w:color w:val="231F20"/>
          <w:spacing w:val="-6"/>
          <w:sz w:val="20"/>
        </w:rPr>
        <w:t xml:space="preserve"> </w:t>
      </w:r>
      <w:r>
        <w:rPr>
          <w:color w:val="231F20"/>
          <w:sz w:val="20"/>
        </w:rPr>
        <w:t>behaviours</w:t>
      </w:r>
      <w:r>
        <w:rPr>
          <w:color w:val="231F20"/>
          <w:spacing w:val="-5"/>
          <w:sz w:val="20"/>
        </w:rPr>
        <w:t xml:space="preserve"> </w:t>
      </w:r>
      <w:r>
        <w:rPr>
          <w:color w:val="231F20"/>
          <w:sz w:val="20"/>
        </w:rPr>
        <w:t>in</w:t>
      </w:r>
      <w:r>
        <w:rPr>
          <w:color w:val="231F20"/>
          <w:spacing w:val="-6"/>
          <w:sz w:val="20"/>
        </w:rPr>
        <w:t xml:space="preserve"> </w:t>
      </w:r>
      <w:r>
        <w:rPr>
          <w:color w:val="231F20"/>
          <w:sz w:val="20"/>
        </w:rPr>
        <w:t>the</w:t>
      </w:r>
      <w:r>
        <w:rPr>
          <w:color w:val="231F20"/>
          <w:spacing w:val="-6"/>
          <w:sz w:val="20"/>
        </w:rPr>
        <w:t xml:space="preserve"> </w:t>
      </w:r>
      <w:r>
        <w:rPr>
          <w:color w:val="231F20"/>
          <w:sz w:val="20"/>
        </w:rPr>
        <w:t>Crimes</w:t>
      </w:r>
      <w:r>
        <w:rPr>
          <w:color w:val="231F20"/>
          <w:spacing w:val="-5"/>
          <w:sz w:val="20"/>
        </w:rPr>
        <w:t xml:space="preserve"> </w:t>
      </w:r>
      <w:r>
        <w:rPr>
          <w:color w:val="231F20"/>
          <w:spacing w:val="-2"/>
          <w:sz w:val="20"/>
        </w:rPr>
        <w:t>Act</w:t>
      </w:r>
      <w:r>
        <w:rPr>
          <w:color w:val="231F20"/>
          <w:spacing w:val="-6"/>
          <w:sz w:val="20"/>
        </w:rPr>
        <w:t xml:space="preserve"> </w:t>
      </w:r>
      <w:r>
        <w:rPr>
          <w:color w:val="231F20"/>
          <w:sz w:val="20"/>
        </w:rPr>
        <w:t>is</w:t>
      </w:r>
      <w:r>
        <w:rPr>
          <w:color w:val="231F20"/>
          <w:spacing w:val="-6"/>
          <w:sz w:val="20"/>
        </w:rPr>
        <w:t xml:space="preserve"> </w:t>
      </w:r>
      <w:r>
        <w:rPr>
          <w:color w:val="231F20"/>
          <w:sz w:val="20"/>
        </w:rPr>
        <w:t>not</w:t>
      </w:r>
      <w:r>
        <w:rPr>
          <w:color w:val="231F20"/>
          <w:spacing w:val="-5"/>
          <w:sz w:val="20"/>
        </w:rPr>
        <w:t xml:space="preserve"> </w:t>
      </w:r>
      <w:r>
        <w:rPr>
          <w:color w:val="231F20"/>
          <w:sz w:val="20"/>
        </w:rPr>
        <w:t>exhaustive</w:t>
      </w:r>
      <w:r>
        <w:rPr>
          <w:color w:val="231F20"/>
          <w:position w:val="7"/>
          <w:sz w:val="11"/>
        </w:rPr>
        <w:t>44</w:t>
      </w:r>
    </w:p>
    <w:p w14:paraId="371F4E57" w14:textId="77777777" w:rsidR="00894070" w:rsidRDefault="009B7AFD">
      <w:pPr>
        <w:pStyle w:val="ListParagraph"/>
        <w:numPr>
          <w:ilvl w:val="2"/>
          <w:numId w:val="65"/>
        </w:numPr>
        <w:tabs>
          <w:tab w:val="left" w:pos="2141"/>
          <w:tab w:val="left" w:pos="2142"/>
        </w:tabs>
        <w:spacing w:before="48"/>
        <w:ind w:hanging="340"/>
        <w:rPr>
          <w:sz w:val="11"/>
        </w:rPr>
      </w:pPr>
      <w:r>
        <w:rPr>
          <w:color w:val="231F20"/>
          <w:sz w:val="20"/>
        </w:rPr>
        <w:t>adding ‘humiliation’ to the list of stalking</w:t>
      </w:r>
      <w:r>
        <w:rPr>
          <w:color w:val="231F20"/>
          <w:spacing w:val="-32"/>
          <w:sz w:val="20"/>
        </w:rPr>
        <w:t xml:space="preserve"> </w:t>
      </w:r>
      <w:r>
        <w:rPr>
          <w:color w:val="231F20"/>
          <w:sz w:val="20"/>
        </w:rPr>
        <w:t>behaviours.</w:t>
      </w:r>
      <w:r>
        <w:rPr>
          <w:color w:val="231F20"/>
          <w:position w:val="7"/>
          <w:sz w:val="11"/>
        </w:rPr>
        <w:t>45</w:t>
      </w:r>
    </w:p>
    <w:p w14:paraId="470D3A7E" w14:textId="77777777" w:rsidR="00894070" w:rsidRDefault="009B7AFD">
      <w:pPr>
        <w:pStyle w:val="ListParagraph"/>
        <w:numPr>
          <w:ilvl w:val="1"/>
          <w:numId w:val="65"/>
        </w:numPr>
        <w:tabs>
          <w:tab w:val="left" w:pos="1801"/>
          <w:tab w:val="left" w:pos="1802"/>
        </w:tabs>
        <w:spacing w:before="79" w:line="206" w:lineRule="auto"/>
        <w:ind w:right="1597"/>
        <w:rPr>
          <w:sz w:val="20"/>
        </w:rPr>
      </w:pPr>
      <w:r>
        <w:rPr>
          <w:color w:val="231F20"/>
          <w:spacing w:val="-5"/>
          <w:sz w:val="20"/>
        </w:rPr>
        <w:t xml:space="preserve">However, </w:t>
      </w:r>
      <w:r>
        <w:rPr>
          <w:color w:val="231F20"/>
          <w:sz w:val="20"/>
        </w:rPr>
        <w:t xml:space="preserve">there is already a </w:t>
      </w:r>
      <w:r>
        <w:rPr>
          <w:color w:val="231F20"/>
          <w:spacing w:val="-3"/>
          <w:sz w:val="20"/>
        </w:rPr>
        <w:t xml:space="preserve">‘catch-all’ provision </w:t>
      </w:r>
      <w:r>
        <w:rPr>
          <w:color w:val="231F20"/>
          <w:sz w:val="20"/>
        </w:rPr>
        <w:t>in the list of behaviours, and most stakeholders</w:t>
      </w:r>
      <w:r>
        <w:rPr>
          <w:color w:val="231F20"/>
          <w:spacing w:val="-8"/>
          <w:sz w:val="20"/>
        </w:rPr>
        <w:t xml:space="preserve"> </w:t>
      </w:r>
      <w:r>
        <w:rPr>
          <w:color w:val="231F20"/>
          <w:spacing w:val="-3"/>
          <w:sz w:val="20"/>
        </w:rPr>
        <w:t>told</w:t>
      </w:r>
      <w:r>
        <w:rPr>
          <w:color w:val="231F20"/>
          <w:spacing w:val="-8"/>
          <w:sz w:val="20"/>
        </w:rPr>
        <w:t xml:space="preserve"> </w:t>
      </w:r>
      <w:r>
        <w:rPr>
          <w:color w:val="231F20"/>
          <w:sz w:val="20"/>
        </w:rPr>
        <w:t>us</w:t>
      </w:r>
      <w:r>
        <w:rPr>
          <w:color w:val="231F20"/>
          <w:spacing w:val="-7"/>
          <w:sz w:val="20"/>
        </w:rPr>
        <w:t xml:space="preserve"> </w:t>
      </w:r>
      <w:r>
        <w:rPr>
          <w:color w:val="231F20"/>
          <w:sz w:val="20"/>
        </w:rPr>
        <w:t>that</w:t>
      </w:r>
      <w:r>
        <w:rPr>
          <w:color w:val="231F20"/>
          <w:spacing w:val="-8"/>
          <w:sz w:val="20"/>
        </w:rPr>
        <w:t xml:space="preserve"> </w:t>
      </w:r>
      <w:r>
        <w:rPr>
          <w:color w:val="231F20"/>
          <w:sz w:val="20"/>
        </w:rPr>
        <w:t>that</w:t>
      </w:r>
      <w:r>
        <w:rPr>
          <w:color w:val="231F20"/>
          <w:spacing w:val="-7"/>
          <w:sz w:val="20"/>
        </w:rPr>
        <w:t xml:space="preserve"> </w:t>
      </w:r>
      <w:r>
        <w:rPr>
          <w:color w:val="231F20"/>
          <w:sz w:val="20"/>
        </w:rPr>
        <w:t>the</w:t>
      </w:r>
      <w:r>
        <w:rPr>
          <w:color w:val="231F20"/>
          <w:spacing w:val="-8"/>
          <w:sz w:val="20"/>
        </w:rPr>
        <w:t xml:space="preserve"> </w:t>
      </w:r>
      <w:r>
        <w:rPr>
          <w:color w:val="231F20"/>
          <w:sz w:val="20"/>
        </w:rPr>
        <w:t>list</w:t>
      </w:r>
      <w:r>
        <w:rPr>
          <w:color w:val="231F20"/>
          <w:spacing w:val="-8"/>
          <w:sz w:val="20"/>
        </w:rPr>
        <w:t xml:space="preserve"> </w:t>
      </w:r>
      <w:r>
        <w:rPr>
          <w:color w:val="231F20"/>
          <w:sz w:val="20"/>
        </w:rPr>
        <w:t>is</w:t>
      </w:r>
      <w:r>
        <w:rPr>
          <w:color w:val="231F20"/>
          <w:spacing w:val="-7"/>
          <w:sz w:val="20"/>
        </w:rPr>
        <w:t xml:space="preserve"> </w:t>
      </w:r>
      <w:r>
        <w:rPr>
          <w:color w:val="231F20"/>
          <w:sz w:val="20"/>
        </w:rPr>
        <w:t>broad,</w:t>
      </w:r>
      <w:r>
        <w:rPr>
          <w:color w:val="231F20"/>
          <w:spacing w:val="-8"/>
          <w:sz w:val="20"/>
        </w:rPr>
        <w:t xml:space="preserve"> </w:t>
      </w:r>
      <w:r>
        <w:rPr>
          <w:color w:val="231F20"/>
          <w:spacing w:val="-3"/>
          <w:sz w:val="20"/>
        </w:rPr>
        <w:t>comprehensive,</w:t>
      </w:r>
      <w:r>
        <w:rPr>
          <w:color w:val="231F20"/>
          <w:spacing w:val="-7"/>
          <w:sz w:val="20"/>
        </w:rPr>
        <w:t xml:space="preserve"> </w:t>
      </w:r>
      <w:r>
        <w:rPr>
          <w:color w:val="231F20"/>
          <w:sz w:val="20"/>
        </w:rPr>
        <w:t>and</w:t>
      </w:r>
      <w:r>
        <w:rPr>
          <w:color w:val="231F20"/>
          <w:spacing w:val="-8"/>
          <w:sz w:val="20"/>
        </w:rPr>
        <w:t xml:space="preserve"> </w:t>
      </w:r>
      <w:r>
        <w:rPr>
          <w:color w:val="231F20"/>
          <w:sz w:val="20"/>
        </w:rPr>
        <w:t>not</w:t>
      </w:r>
      <w:r>
        <w:rPr>
          <w:color w:val="231F20"/>
          <w:spacing w:val="-7"/>
          <w:sz w:val="20"/>
        </w:rPr>
        <w:t xml:space="preserve"> </w:t>
      </w:r>
      <w:r>
        <w:rPr>
          <w:color w:val="231F20"/>
          <w:sz w:val="20"/>
        </w:rPr>
        <w:t>causing</w:t>
      </w:r>
      <w:r>
        <w:rPr>
          <w:color w:val="231F20"/>
          <w:spacing w:val="-8"/>
          <w:sz w:val="20"/>
        </w:rPr>
        <w:t xml:space="preserve"> </w:t>
      </w:r>
      <w:r>
        <w:rPr>
          <w:color w:val="231F20"/>
          <w:spacing w:val="-3"/>
          <w:sz w:val="20"/>
        </w:rPr>
        <w:t xml:space="preserve">any </w:t>
      </w:r>
      <w:r>
        <w:rPr>
          <w:color w:val="231F20"/>
          <w:sz w:val="20"/>
        </w:rPr>
        <w:t>major problems.</w:t>
      </w:r>
      <w:r>
        <w:rPr>
          <w:color w:val="231F20"/>
          <w:position w:val="7"/>
          <w:sz w:val="11"/>
        </w:rPr>
        <w:t xml:space="preserve">46 </w:t>
      </w:r>
      <w:r>
        <w:rPr>
          <w:color w:val="231F20"/>
          <w:spacing w:val="-3"/>
          <w:sz w:val="20"/>
        </w:rPr>
        <w:t xml:space="preserve">Therefore we </w:t>
      </w:r>
      <w:r>
        <w:rPr>
          <w:color w:val="231F20"/>
          <w:sz w:val="20"/>
        </w:rPr>
        <w:t>do not recommend changing the list of stalking behaviours.</w:t>
      </w:r>
    </w:p>
    <w:p w14:paraId="6189DA46" w14:textId="77777777" w:rsidR="00894070" w:rsidRDefault="009B7AFD">
      <w:pPr>
        <w:pStyle w:val="ListParagraph"/>
        <w:numPr>
          <w:ilvl w:val="1"/>
          <w:numId w:val="65"/>
        </w:numPr>
        <w:tabs>
          <w:tab w:val="left" w:pos="1801"/>
          <w:tab w:val="left" w:pos="1802"/>
        </w:tabs>
        <w:spacing w:before="125" w:line="206" w:lineRule="auto"/>
        <w:ind w:right="1180"/>
        <w:rPr>
          <w:sz w:val="20"/>
        </w:rPr>
      </w:pPr>
      <w:r>
        <w:rPr>
          <w:color w:val="231F20"/>
          <w:sz w:val="20"/>
        </w:rPr>
        <w:t xml:space="preserve">The </w:t>
      </w:r>
      <w:r>
        <w:rPr>
          <w:color w:val="231F20"/>
          <w:spacing w:val="-3"/>
          <w:sz w:val="20"/>
        </w:rPr>
        <w:t xml:space="preserve">Children’s </w:t>
      </w:r>
      <w:r>
        <w:rPr>
          <w:color w:val="231F20"/>
          <w:sz w:val="20"/>
        </w:rPr>
        <w:t xml:space="preserve">Court </w:t>
      </w:r>
      <w:r>
        <w:rPr>
          <w:color w:val="231F20"/>
          <w:spacing w:val="-3"/>
          <w:sz w:val="20"/>
        </w:rPr>
        <w:t xml:space="preserve">told </w:t>
      </w:r>
      <w:r>
        <w:rPr>
          <w:color w:val="231F20"/>
          <w:sz w:val="20"/>
        </w:rPr>
        <w:t>us about difficulties applying the stalking offence to children. They</w:t>
      </w:r>
      <w:r>
        <w:rPr>
          <w:color w:val="231F20"/>
          <w:spacing w:val="-10"/>
          <w:sz w:val="20"/>
        </w:rPr>
        <w:t xml:space="preserve"> </w:t>
      </w:r>
      <w:r>
        <w:rPr>
          <w:color w:val="231F20"/>
          <w:sz w:val="20"/>
        </w:rPr>
        <w:t>said</w:t>
      </w:r>
      <w:r>
        <w:rPr>
          <w:color w:val="231F20"/>
          <w:spacing w:val="-9"/>
          <w:sz w:val="20"/>
        </w:rPr>
        <w:t xml:space="preserve"> </w:t>
      </w:r>
      <w:r>
        <w:rPr>
          <w:color w:val="231F20"/>
          <w:sz w:val="20"/>
        </w:rPr>
        <w:t>that</w:t>
      </w:r>
      <w:r>
        <w:rPr>
          <w:color w:val="231F20"/>
          <w:spacing w:val="-10"/>
          <w:sz w:val="20"/>
        </w:rPr>
        <w:t xml:space="preserve"> </w:t>
      </w:r>
      <w:r>
        <w:rPr>
          <w:color w:val="231F20"/>
          <w:spacing w:val="-3"/>
          <w:sz w:val="20"/>
        </w:rPr>
        <w:t>children</w:t>
      </w:r>
      <w:r>
        <w:rPr>
          <w:color w:val="231F20"/>
          <w:spacing w:val="-9"/>
          <w:sz w:val="20"/>
        </w:rPr>
        <w:t xml:space="preserve"> </w:t>
      </w:r>
      <w:r>
        <w:rPr>
          <w:color w:val="231F20"/>
          <w:spacing w:val="-3"/>
          <w:sz w:val="20"/>
        </w:rPr>
        <w:t>may</w:t>
      </w:r>
      <w:r>
        <w:rPr>
          <w:color w:val="231F20"/>
          <w:spacing w:val="-10"/>
          <w:sz w:val="20"/>
        </w:rPr>
        <w:t xml:space="preserve"> </w:t>
      </w:r>
      <w:r>
        <w:rPr>
          <w:color w:val="231F20"/>
          <w:sz w:val="20"/>
        </w:rPr>
        <w:t>not</w:t>
      </w:r>
      <w:r>
        <w:rPr>
          <w:color w:val="231F20"/>
          <w:spacing w:val="-9"/>
          <w:sz w:val="20"/>
        </w:rPr>
        <w:t xml:space="preserve"> </w:t>
      </w:r>
      <w:r>
        <w:rPr>
          <w:color w:val="231F20"/>
          <w:sz w:val="20"/>
        </w:rPr>
        <w:t>realise</w:t>
      </w:r>
      <w:r>
        <w:rPr>
          <w:color w:val="231F20"/>
          <w:spacing w:val="-10"/>
          <w:sz w:val="20"/>
        </w:rPr>
        <w:t xml:space="preserve"> </w:t>
      </w:r>
      <w:r>
        <w:rPr>
          <w:color w:val="231F20"/>
          <w:sz w:val="20"/>
        </w:rPr>
        <w:t>the</w:t>
      </w:r>
      <w:r>
        <w:rPr>
          <w:color w:val="231F20"/>
          <w:spacing w:val="-9"/>
          <w:sz w:val="20"/>
        </w:rPr>
        <w:t xml:space="preserve"> </w:t>
      </w:r>
      <w:r>
        <w:rPr>
          <w:color w:val="231F20"/>
          <w:sz w:val="20"/>
        </w:rPr>
        <w:t>impact</w:t>
      </w:r>
      <w:r>
        <w:rPr>
          <w:color w:val="231F20"/>
          <w:spacing w:val="-10"/>
          <w:sz w:val="20"/>
        </w:rPr>
        <w:t xml:space="preserve"> </w:t>
      </w:r>
      <w:r>
        <w:rPr>
          <w:color w:val="231F20"/>
          <w:sz w:val="20"/>
        </w:rPr>
        <w:t>of</w:t>
      </w:r>
      <w:r>
        <w:rPr>
          <w:color w:val="231F20"/>
          <w:spacing w:val="-9"/>
          <w:sz w:val="20"/>
        </w:rPr>
        <w:t xml:space="preserve"> </w:t>
      </w:r>
      <w:r>
        <w:rPr>
          <w:color w:val="231F20"/>
          <w:sz w:val="20"/>
        </w:rPr>
        <w:t>their</w:t>
      </w:r>
      <w:r>
        <w:rPr>
          <w:color w:val="231F20"/>
          <w:spacing w:val="-10"/>
          <w:sz w:val="20"/>
        </w:rPr>
        <w:t xml:space="preserve"> </w:t>
      </w:r>
      <w:r>
        <w:rPr>
          <w:color w:val="231F20"/>
          <w:sz w:val="20"/>
        </w:rPr>
        <w:t>actions</w:t>
      </w:r>
      <w:r>
        <w:rPr>
          <w:color w:val="231F20"/>
          <w:spacing w:val="-9"/>
          <w:sz w:val="20"/>
        </w:rPr>
        <w:t xml:space="preserve"> </w:t>
      </w:r>
      <w:r>
        <w:rPr>
          <w:color w:val="231F20"/>
          <w:sz w:val="20"/>
        </w:rPr>
        <w:t>and</w:t>
      </w:r>
      <w:r>
        <w:rPr>
          <w:color w:val="231F20"/>
          <w:spacing w:val="-10"/>
          <w:sz w:val="20"/>
        </w:rPr>
        <w:t xml:space="preserve"> </w:t>
      </w:r>
      <w:r>
        <w:rPr>
          <w:color w:val="231F20"/>
          <w:sz w:val="20"/>
        </w:rPr>
        <w:t>it</w:t>
      </w:r>
      <w:r>
        <w:rPr>
          <w:color w:val="231F20"/>
          <w:spacing w:val="-9"/>
          <w:sz w:val="20"/>
        </w:rPr>
        <w:t xml:space="preserve"> </w:t>
      </w:r>
      <w:r>
        <w:rPr>
          <w:color w:val="231F20"/>
          <w:sz w:val="20"/>
        </w:rPr>
        <w:t>can</w:t>
      </w:r>
      <w:r>
        <w:rPr>
          <w:color w:val="231F20"/>
          <w:spacing w:val="-10"/>
          <w:sz w:val="20"/>
        </w:rPr>
        <w:t xml:space="preserve"> </w:t>
      </w:r>
      <w:r>
        <w:rPr>
          <w:color w:val="231F20"/>
          <w:sz w:val="20"/>
        </w:rPr>
        <w:t>be</w:t>
      </w:r>
      <w:r>
        <w:rPr>
          <w:color w:val="231F20"/>
          <w:spacing w:val="-9"/>
          <w:sz w:val="20"/>
        </w:rPr>
        <w:t xml:space="preserve"> </w:t>
      </w:r>
      <w:r>
        <w:rPr>
          <w:color w:val="231F20"/>
          <w:sz w:val="20"/>
        </w:rPr>
        <w:t xml:space="preserve">difficult to </w:t>
      </w:r>
      <w:r>
        <w:rPr>
          <w:color w:val="231F20"/>
          <w:spacing w:val="-4"/>
          <w:sz w:val="20"/>
        </w:rPr>
        <w:t xml:space="preserve">prove </w:t>
      </w:r>
      <w:r>
        <w:rPr>
          <w:color w:val="231F20"/>
          <w:sz w:val="20"/>
        </w:rPr>
        <w:t xml:space="preserve">the </w:t>
      </w:r>
      <w:r>
        <w:rPr>
          <w:color w:val="231F20"/>
          <w:spacing w:val="-3"/>
          <w:sz w:val="20"/>
        </w:rPr>
        <w:t xml:space="preserve">required </w:t>
      </w:r>
      <w:r>
        <w:rPr>
          <w:color w:val="231F20"/>
          <w:sz w:val="20"/>
        </w:rPr>
        <w:t>state of mind.</w:t>
      </w:r>
      <w:r>
        <w:rPr>
          <w:color w:val="231F20"/>
          <w:position w:val="7"/>
          <w:sz w:val="11"/>
        </w:rPr>
        <w:t xml:space="preserve">47 </w:t>
      </w:r>
      <w:r>
        <w:rPr>
          <w:color w:val="231F20"/>
          <w:spacing w:val="-6"/>
          <w:sz w:val="20"/>
        </w:rPr>
        <w:t xml:space="preserve">We </w:t>
      </w:r>
      <w:r>
        <w:rPr>
          <w:color w:val="231F20"/>
          <w:sz w:val="20"/>
        </w:rPr>
        <w:t xml:space="preserve">agree with these observations. </w:t>
      </w:r>
      <w:r>
        <w:rPr>
          <w:color w:val="231F20"/>
          <w:spacing w:val="-6"/>
          <w:sz w:val="20"/>
        </w:rPr>
        <w:t xml:space="preserve">We </w:t>
      </w:r>
      <w:r>
        <w:rPr>
          <w:color w:val="231F20"/>
          <w:sz w:val="20"/>
        </w:rPr>
        <w:t>do not consider</w:t>
      </w:r>
      <w:r>
        <w:rPr>
          <w:color w:val="231F20"/>
          <w:spacing w:val="-11"/>
          <w:sz w:val="20"/>
        </w:rPr>
        <w:t xml:space="preserve"> </w:t>
      </w:r>
      <w:r>
        <w:rPr>
          <w:color w:val="231F20"/>
          <w:sz w:val="20"/>
        </w:rPr>
        <w:t>this</w:t>
      </w:r>
      <w:r>
        <w:rPr>
          <w:color w:val="231F20"/>
          <w:spacing w:val="-10"/>
          <w:sz w:val="20"/>
        </w:rPr>
        <w:t xml:space="preserve"> </w:t>
      </w:r>
      <w:r>
        <w:rPr>
          <w:color w:val="231F20"/>
          <w:sz w:val="20"/>
        </w:rPr>
        <w:t>to</w:t>
      </w:r>
      <w:r>
        <w:rPr>
          <w:color w:val="231F20"/>
          <w:spacing w:val="-10"/>
          <w:sz w:val="20"/>
        </w:rPr>
        <w:t xml:space="preserve"> </w:t>
      </w:r>
      <w:r>
        <w:rPr>
          <w:color w:val="231F20"/>
          <w:sz w:val="20"/>
        </w:rPr>
        <w:t>be</w:t>
      </w:r>
      <w:r>
        <w:rPr>
          <w:color w:val="231F20"/>
          <w:spacing w:val="-11"/>
          <w:sz w:val="20"/>
        </w:rPr>
        <w:t xml:space="preserve"> </w:t>
      </w:r>
      <w:r>
        <w:rPr>
          <w:color w:val="231F20"/>
          <w:sz w:val="20"/>
        </w:rPr>
        <w:t>a</w:t>
      </w:r>
      <w:r>
        <w:rPr>
          <w:color w:val="231F20"/>
          <w:spacing w:val="-10"/>
          <w:sz w:val="20"/>
        </w:rPr>
        <w:t xml:space="preserve"> </w:t>
      </w:r>
      <w:r>
        <w:rPr>
          <w:color w:val="231F20"/>
          <w:sz w:val="20"/>
        </w:rPr>
        <w:t>difficulty</w:t>
      </w:r>
      <w:r>
        <w:rPr>
          <w:color w:val="231F20"/>
          <w:spacing w:val="-10"/>
          <w:sz w:val="20"/>
        </w:rPr>
        <w:t xml:space="preserve"> </w:t>
      </w:r>
      <w:r>
        <w:rPr>
          <w:color w:val="231F20"/>
          <w:sz w:val="20"/>
        </w:rPr>
        <w:t>with</w:t>
      </w:r>
      <w:r>
        <w:rPr>
          <w:color w:val="231F20"/>
          <w:spacing w:val="-11"/>
          <w:sz w:val="20"/>
        </w:rPr>
        <w:t xml:space="preserve"> </w:t>
      </w:r>
      <w:r>
        <w:rPr>
          <w:color w:val="231F20"/>
          <w:sz w:val="20"/>
        </w:rPr>
        <w:t>the</w:t>
      </w:r>
      <w:r>
        <w:rPr>
          <w:color w:val="231F20"/>
          <w:spacing w:val="-10"/>
          <w:sz w:val="20"/>
        </w:rPr>
        <w:t xml:space="preserve"> </w:t>
      </w:r>
      <w:r>
        <w:rPr>
          <w:color w:val="231F20"/>
          <w:spacing w:val="-5"/>
          <w:sz w:val="20"/>
        </w:rPr>
        <w:t>law,</w:t>
      </w:r>
      <w:r>
        <w:rPr>
          <w:color w:val="231F20"/>
          <w:spacing w:val="-10"/>
          <w:sz w:val="20"/>
        </w:rPr>
        <w:t xml:space="preserve"> </w:t>
      </w:r>
      <w:r>
        <w:rPr>
          <w:color w:val="231F20"/>
          <w:spacing w:val="-5"/>
          <w:sz w:val="20"/>
        </w:rPr>
        <w:t>however.</w:t>
      </w:r>
      <w:r>
        <w:rPr>
          <w:color w:val="231F20"/>
          <w:spacing w:val="-11"/>
          <w:sz w:val="20"/>
        </w:rPr>
        <w:t xml:space="preserve"> </w:t>
      </w:r>
      <w:r>
        <w:rPr>
          <w:color w:val="231F20"/>
          <w:sz w:val="20"/>
        </w:rPr>
        <w:t>It</w:t>
      </w:r>
      <w:r>
        <w:rPr>
          <w:color w:val="231F20"/>
          <w:spacing w:val="-10"/>
          <w:sz w:val="20"/>
        </w:rPr>
        <w:t xml:space="preserve"> </w:t>
      </w:r>
      <w:r>
        <w:rPr>
          <w:color w:val="231F20"/>
          <w:sz w:val="20"/>
        </w:rPr>
        <w:t>highlights</w:t>
      </w:r>
      <w:r>
        <w:rPr>
          <w:color w:val="231F20"/>
          <w:spacing w:val="-11"/>
          <w:sz w:val="20"/>
        </w:rPr>
        <w:t xml:space="preserve"> </w:t>
      </w:r>
      <w:r>
        <w:rPr>
          <w:color w:val="231F20"/>
          <w:sz w:val="20"/>
        </w:rPr>
        <w:t>the</w:t>
      </w:r>
      <w:r>
        <w:rPr>
          <w:color w:val="231F20"/>
          <w:spacing w:val="-10"/>
          <w:sz w:val="20"/>
        </w:rPr>
        <w:t xml:space="preserve"> </w:t>
      </w:r>
      <w:r>
        <w:rPr>
          <w:color w:val="231F20"/>
          <w:sz w:val="20"/>
        </w:rPr>
        <w:t>challenge</w:t>
      </w:r>
      <w:r>
        <w:rPr>
          <w:color w:val="231F20"/>
          <w:spacing w:val="-10"/>
          <w:sz w:val="20"/>
        </w:rPr>
        <w:t xml:space="preserve"> </w:t>
      </w:r>
      <w:r>
        <w:rPr>
          <w:color w:val="231F20"/>
          <w:sz w:val="20"/>
        </w:rPr>
        <w:t>of</w:t>
      </w:r>
      <w:r>
        <w:rPr>
          <w:color w:val="231F20"/>
          <w:spacing w:val="-11"/>
          <w:sz w:val="20"/>
        </w:rPr>
        <w:t xml:space="preserve"> </w:t>
      </w:r>
      <w:r>
        <w:rPr>
          <w:color w:val="231F20"/>
          <w:sz w:val="20"/>
        </w:rPr>
        <w:t xml:space="preserve">using sophisticated </w:t>
      </w:r>
      <w:r>
        <w:rPr>
          <w:color w:val="231F20"/>
          <w:spacing w:val="-3"/>
          <w:sz w:val="20"/>
        </w:rPr>
        <w:t xml:space="preserve">developmental </w:t>
      </w:r>
      <w:r>
        <w:rPr>
          <w:color w:val="231F20"/>
          <w:sz w:val="20"/>
        </w:rPr>
        <w:t xml:space="preserve">concepts in the criminal </w:t>
      </w:r>
      <w:r>
        <w:rPr>
          <w:color w:val="231F20"/>
          <w:spacing w:val="-5"/>
          <w:sz w:val="20"/>
        </w:rPr>
        <w:t xml:space="preserve">law, </w:t>
      </w:r>
      <w:r>
        <w:rPr>
          <w:color w:val="231F20"/>
          <w:sz w:val="20"/>
        </w:rPr>
        <w:t xml:space="preserve">which </w:t>
      </w:r>
      <w:r>
        <w:rPr>
          <w:color w:val="231F20"/>
          <w:spacing w:val="-3"/>
          <w:sz w:val="20"/>
        </w:rPr>
        <w:t xml:space="preserve">may </w:t>
      </w:r>
      <w:r>
        <w:rPr>
          <w:color w:val="231F20"/>
          <w:sz w:val="20"/>
        </w:rPr>
        <w:t xml:space="preserve">be </w:t>
      </w:r>
      <w:r>
        <w:rPr>
          <w:color w:val="231F20"/>
          <w:spacing w:val="-3"/>
          <w:sz w:val="20"/>
        </w:rPr>
        <w:t xml:space="preserve">beyond children </w:t>
      </w:r>
      <w:r>
        <w:rPr>
          <w:color w:val="231F20"/>
          <w:sz w:val="20"/>
        </w:rPr>
        <w:t xml:space="preserve">and young people at their stage of </w:t>
      </w:r>
      <w:r>
        <w:rPr>
          <w:color w:val="231F20"/>
          <w:spacing w:val="-3"/>
          <w:sz w:val="20"/>
        </w:rPr>
        <w:t xml:space="preserve">development. </w:t>
      </w:r>
      <w:r>
        <w:rPr>
          <w:color w:val="231F20"/>
          <w:sz w:val="20"/>
        </w:rPr>
        <w:t>If a court is satisfied in a particular</w:t>
      </w:r>
      <w:r>
        <w:rPr>
          <w:color w:val="231F20"/>
          <w:spacing w:val="-9"/>
          <w:sz w:val="20"/>
        </w:rPr>
        <w:t xml:space="preserve"> </w:t>
      </w:r>
      <w:r>
        <w:rPr>
          <w:color w:val="231F20"/>
          <w:sz w:val="20"/>
        </w:rPr>
        <w:t>case</w:t>
      </w:r>
      <w:r>
        <w:rPr>
          <w:color w:val="231F20"/>
          <w:spacing w:val="-8"/>
          <w:sz w:val="20"/>
        </w:rPr>
        <w:t xml:space="preserve"> </w:t>
      </w:r>
      <w:r>
        <w:rPr>
          <w:color w:val="231F20"/>
          <w:sz w:val="20"/>
        </w:rPr>
        <w:t>that</w:t>
      </w:r>
      <w:r>
        <w:rPr>
          <w:color w:val="231F20"/>
          <w:spacing w:val="-8"/>
          <w:sz w:val="20"/>
        </w:rPr>
        <w:t xml:space="preserve"> </w:t>
      </w:r>
      <w:r>
        <w:rPr>
          <w:color w:val="231F20"/>
          <w:sz w:val="20"/>
        </w:rPr>
        <w:t>a</w:t>
      </w:r>
      <w:r>
        <w:rPr>
          <w:color w:val="231F20"/>
          <w:spacing w:val="-8"/>
          <w:sz w:val="20"/>
        </w:rPr>
        <w:t xml:space="preserve"> </w:t>
      </w:r>
      <w:r>
        <w:rPr>
          <w:color w:val="231F20"/>
          <w:sz w:val="20"/>
        </w:rPr>
        <w:t>child</w:t>
      </w:r>
      <w:r>
        <w:rPr>
          <w:color w:val="231F20"/>
          <w:spacing w:val="-8"/>
          <w:sz w:val="20"/>
        </w:rPr>
        <w:t xml:space="preserve"> </w:t>
      </w:r>
      <w:r>
        <w:rPr>
          <w:color w:val="231F20"/>
          <w:sz w:val="20"/>
        </w:rPr>
        <w:t>does</w:t>
      </w:r>
      <w:r>
        <w:rPr>
          <w:color w:val="231F20"/>
          <w:spacing w:val="-8"/>
          <w:sz w:val="20"/>
        </w:rPr>
        <w:t xml:space="preserve"> </w:t>
      </w:r>
      <w:r>
        <w:rPr>
          <w:color w:val="231F20"/>
          <w:spacing w:val="-4"/>
          <w:sz w:val="20"/>
        </w:rPr>
        <w:t>have</w:t>
      </w:r>
      <w:r>
        <w:rPr>
          <w:color w:val="231F20"/>
          <w:spacing w:val="-8"/>
          <w:sz w:val="20"/>
        </w:rPr>
        <w:t xml:space="preserve"> </w:t>
      </w:r>
      <w:r>
        <w:rPr>
          <w:color w:val="231F20"/>
          <w:sz w:val="20"/>
        </w:rPr>
        <w:t>that</w:t>
      </w:r>
      <w:r>
        <w:rPr>
          <w:color w:val="231F20"/>
          <w:spacing w:val="-8"/>
          <w:sz w:val="20"/>
        </w:rPr>
        <w:t xml:space="preserve"> </w:t>
      </w:r>
      <w:r>
        <w:rPr>
          <w:color w:val="231F20"/>
          <w:spacing w:val="-3"/>
          <w:sz w:val="20"/>
        </w:rPr>
        <w:t>developmental</w:t>
      </w:r>
      <w:r>
        <w:rPr>
          <w:color w:val="231F20"/>
          <w:spacing w:val="-8"/>
          <w:sz w:val="20"/>
        </w:rPr>
        <w:t xml:space="preserve"> </w:t>
      </w:r>
      <w:r>
        <w:rPr>
          <w:color w:val="231F20"/>
          <w:sz w:val="20"/>
        </w:rPr>
        <w:t>understanding,</w:t>
      </w:r>
      <w:r>
        <w:rPr>
          <w:color w:val="231F20"/>
          <w:spacing w:val="-9"/>
          <w:sz w:val="20"/>
        </w:rPr>
        <w:t xml:space="preserve"> </w:t>
      </w:r>
      <w:r>
        <w:rPr>
          <w:color w:val="231F20"/>
          <w:sz w:val="20"/>
        </w:rPr>
        <w:t>and</w:t>
      </w:r>
      <w:r>
        <w:rPr>
          <w:color w:val="231F20"/>
          <w:spacing w:val="-8"/>
          <w:sz w:val="20"/>
        </w:rPr>
        <w:t xml:space="preserve"> </w:t>
      </w:r>
      <w:r>
        <w:rPr>
          <w:color w:val="231F20"/>
          <w:sz w:val="20"/>
        </w:rPr>
        <w:t>the</w:t>
      </w:r>
      <w:r>
        <w:rPr>
          <w:color w:val="231F20"/>
          <w:spacing w:val="-8"/>
          <w:sz w:val="20"/>
        </w:rPr>
        <w:t xml:space="preserve"> </w:t>
      </w:r>
      <w:r>
        <w:rPr>
          <w:color w:val="231F20"/>
          <w:sz w:val="20"/>
        </w:rPr>
        <w:t xml:space="preserve">other elements of the offence </w:t>
      </w:r>
      <w:r>
        <w:rPr>
          <w:color w:val="231F20"/>
          <w:spacing w:val="-3"/>
          <w:sz w:val="20"/>
        </w:rPr>
        <w:t xml:space="preserve">are </w:t>
      </w:r>
      <w:r>
        <w:rPr>
          <w:color w:val="231F20"/>
          <w:sz w:val="20"/>
        </w:rPr>
        <w:t xml:space="preserve">established, then the offence will be </w:t>
      </w:r>
      <w:r>
        <w:rPr>
          <w:color w:val="231F20"/>
          <w:spacing w:val="-3"/>
          <w:sz w:val="20"/>
        </w:rPr>
        <w:t xml:space="preserve">proved. </w:t>
      </w:r>
      <w:r>
        <w:rPr>
          <w:color w:val="231F20"/>
          <w:sz w:val="20"/>
        </w:rPr>
        <w:t>Otherwise, methods</w:t>
      </w:r>
      <w:r>
        <w:rPr>
          <w:color w:val="231F20"/>
          <w:spacing w:val="-6"/>
          <w:sz w:val="20"/>
        </w:rPr>
        <w:t xml:space="preserve"> </w:t>
      </w:r>
      <w:r>
        <w:rPr>
          <w:color w:val="231F20"/>
          <w:sz w:val="20"/>
        </w:rPr>
        <w:t>more</w:t>
      </w:r>
      <w:r>
        <w:rPr>
          <w:color w:val="231F20"/>
          <w:spacing w:val="-6"/>
          <w:sz w:val="20"/>
        </w:rPr>
        <w:t xml:space="preserve"> </w:t>
      </w:r>
      <w:r>
        <w:rPr>
          <w:color w:val="231F20"/>
          <w:spacing w:val="-3"/>
          <w:sz w:val="20"/>
        </w:rPr>
        <w:t>appropriate</w:t>
      </w:r>
      <w:r>
        <w:rPr>
          <w:color w:val="231F20"/>
          <w:spacing w:val="-6"/>
          <w:sz w:val="20"/>
        </w:rPr>
        <w:t xml:space="preserve"> </w:t>
      </w:r>
      <w:r>
        <w:rPr>
          <w:color w:val="231F20"/>
          <w:sz w:val="20"/>
        </w:rPr>
        <w:t>to</w:t>
      </w:r>
      <w:r>
        <w:rPr>
          <w:color w:val="231F20"/>
          <w:spacing w:val="-6"/>
          <w:sz w:val="20"/>
        </w:rPr>
        <w:t xml:space="preserve"> </w:t>
      </w:r>
      <w:r>
        <w:rPr>
          <w:color w:val="231F20"/>
          <w:sz w:val="20"/>
        </w:rPr>
        <w:t>address</w:t>
      </w:r>
      <w:r>
        <w:rPr>
          <w:color w:val="231F20"/>
          <w:spacing w:val="-6"/>
          <w:sz w:val="20"/>
        </w:rPr>
        <w:t xml:space="preserve"> </w:t>
      </w:r>
      <w:r>
        <w:rPr>
          <w:color w:val="231F20"/>
          <w:sz w:val="20"/>
        </w:rPr>
        <w:t>the</w:t>
      </w:r>
      <w:r>
        <w:rPr>
          <w:color w:val="231F20"/>
          <w:spacing w:val="-6"/>
          <w:sz w:val="20"/>
        </w:rPr>
        <w:t xml:space="preserve"> </w:t>
      </w:r>
      <w:r>
        <w:rPr>
          <w:color w:val="231F20"/>
          <w:sz w:val="20"/>
        </w:rPr>
        <w:t>behaviour</w:t>
      </w:r>
      <w:r>
        <w:rPr>
          <w:color w:val="231F20"/>
          <w:spacing w:val="-6"/>
          <w:sz w:val="20"/>
        </w:rPr>
        <w:t xml:space="preserve"> </w:t>
      </w:r>
      <w:r>
        <w:rPr>
          <w:color w:val="231F20"/>
          <w:sz w:val="20"/>
        </w:rPr>
        <w:t>of</w:t>
      </w:r>
      <w:r>
        <w:rPr>
          <w:color w:val="231F20"/>
          <w:spacing w:val="-6"/>
          <w:sz w:val="20"/>
        </w:rPr>
        <w:t xml:space="preserve"> </w:t>
      </w:r>
      <w:r>
        <w:rPr>
          <w:color w:val="231F20"/>
          <w:spacing w:val="-3"/>
          <w:sz w:val="20"/>
        </w:rPr>
        <w:t>children</w:t>
      </w:r>
      <w:r>
        <w:rPr>
          <w:color w:val="231F20"/>
          <w:spacing w:val="-6"/>
          <w:sz w:val="20"/>
        </w:rPr>
        <w:t xml:space="preserve"> </w:t>
      </w:r>
      <w:r>
        <w:rPr>
          <w:color w:val="231F20"/>
          <w:sz w:val="20"/>
        </w:rPr>
        <w:t>should</w:t>
      </w:r>
      <w:r>
        <w:rPr>
          <w:color w:val="231F20"/>
          <w:spacing w:val="-6"/>
          <w:sz w:val="20"/>
        </w:rPr>
        <w:t xml:space="preserve"> </w:t>
      </w:r>
      <w:r>
        <w:rPr>
          <w:color w:val="231F20"/>
          <w:sz w:val="20"/>
        </w:rPr>
        <w:t>be</w:t>
      </w:r>
      <w:r>
        <w:rPr>
          <w:color w:val="231F20"/>
          <w:spacing w:val="-6"/>
          <w:sz w:val="20"/>
        </w:rPr>
        <w:t xml:space="preserve"> </w:t>
      </w:r>
      <w:r>
        <w:rPr>
          <w:color w:val="231F20"/>
          <w:sz w:val="20"/>
        </w:rPr>
        <w:t>used,</w:t>
      </w:r>
    </w:p>
    <w:p w14:paraId="00879BDB" w14:textId="77777777" w:rsidR="00894070" w:rsidRDefault="009B7AFD">
      <w:pPr>
        <w:pStyle w:val="BodyText"/>
        <w:spacing w:line="238" w:lineRule="exact"/>
        <w:ind w:left="1801"/>
      </w:pPr>
      <w:r>
        <w:rPr>
          <w:color w:val="231F20"/>
        </w:rPr>
        <w:t>rather than the criminal law. In Chapter 6, we discussed the importance of therapeutic</w:t>
      </w:r>
    </w:p>
    <w:p w14:paraId="6D72CDAA" w14:textId="77777777" w:rsidR="00894070" w:rsidRDefault="009B7AFD">
      <w:pPr>
        <w:pStyle w:val="BodyText"/>
        <w:spacing w:line="259" w:lineRule="exact"/>
        <w:ind w:left="1801"/>
      </w:pPr>
      <w:r>
        <w:rPr>
          <w:color w:val="231F20"/>
        </w:rPr>
        <w:t>approaches for children who engage in stalking behaviour.</w:t>
      </w:r>
    </w:p>
    <w:p w14:paraId="6848D9EF" w14:textId="77777777" w:rsidR="00894070" w:rsidRDefault="009B7AFD">
      <w:pPr>
        <w:pStyle w:val="ListParagraph"/>
        <w:numPr>
          <w:ilvl w:val="1"/>
          <w:numId w:val="65"/>
        </w:numPr>
        <w:tabs>
          <w:tab w:val="left" w:pos="1801"/>
          <w:tab w:val="left" w:pos="1802"/>
        </w:tabs>
        <w:spacing w:before="115" w:line="206" w:lineRule="auto"/>
        <w:ind w:right="1278"/>
        <w:rPr>
          <w:sz w:val="11"/>
        </w:rPr>
      </w:pPr>
      <w:r>
        <w:rPr>
          <w:color w:val="231F20"/>
          <w:sz w:val="20"/>
        </w:rPr>
        <w:t xml:space="preserve">Victoria Legal Aid said there might be a need to </w:t>
      </w:r>
      <w:r>
        <w:rPr>
          <w:color w:val="231F20"/>
          <w:spacing w:val="-4"/>
          <w:sz w:val="20"/>
        </w:rPr>
        <w:t xml:space="preserve">‘elevate’ </w:t>
      </w:r>
      <w:r>
        <w:rPr>
          <w:color w:val="231F20"/>
          <w:sz w:val="20"/>
        </w:rPr>
        <w:t xml:space="preserve">the victim survivor’s apprehension or fear in the offence ‘so that it is clear that the victim needs to </w:t>
      </w:r>
      <w:r>
        <w:rPr>
          <w:color w:val="231F20"/>
          <w:spacing w:val="-4"/>
          <w:sz w:val="20"/>
        </w:rPr>
        <w:t xml:space="preserve">have </w:t>
      </w:r>
      <w:r>
        <w:rPr>
          <w:color w:val="231F20"/>
          <w:sz w:val="20"/>
        </w:rPr>
        <w:t>an apprehension or fear’.</w:t>
      </w:r>
      <w:r>
        <w:rPr>
          <w:color w:val="231F20"/>
          <w:position w:val="7"/>
          <w:sz w:val="11"/>
        </w:rPr>
        <w:t xml:space="preserve">48 </w:t>
      </w:r>
      <w:r>
        <w:rPr>
          <w:color w:val="231F20"/>
          <w:spacing w:val="-5"/>
          <w:sz w:val="20"/>
        </w:rPr>
        <w:t xml:space="preserve">However, </w:t>
      </w:r>
      <w:r>
        <w:rPr>
          <w:color w:val="231F20"/>
          <w:spacing w:val="-3"/>
          <w:sz w:val="20"/>
        </w:rPr>
        <w:t xml:space="preserve">we </w:t>
      </w:r>
      <w:r>
        <w:rPr>
          <w:color w:val="231F20"/>
          <w:sz w:val="20"/>
        </w:rPr>
        <w:t xml:space="preserve">do not consider this </w:t>
      </w:r>
      <w:r>
        <w:rPr>
          <w:color w:val="231F20"/>
          <w:spacing w:val="-3"/>
          <w:sz w:val="20"/>
        </w:rPr>
        <w:t xml:space="preserve">appropriate </w:t>
      </w:r>
      <w:r>
        <w:rPr>
          <w:color w:val="231F20"/>
          <w:sz w:val="20"/>
        </w:rPr>
        <w:t xml:space="preserve">because this </w:t>
      </w:r>
      <w:r>
        <w:rPr>
          <w:color w:val="231F20"/>
          <w:spacing w:val="-3"/>
          <w:sz w:val="20"/>
        </w:rPr>
        <w:t xml:space="preserve">‘may </w:t>
      </w:r>
      <w:r>
        <w:rPr>
          <w:color w:val="231F20"/>
          <w:sz w:val="20"/>
        </w:rPr>
        <w:t xml:space="preserve">disqualify victims who </w:t>
      </w:r>
      <w:r>
        <w:rPr>
          <w:color w:val="231F20"/>
          <w:spacing w:val="-3"/>
          <w:sz w:val="20"/>
        </w:rPr>
        <w:t xml:space="preserve">are </w:t>
      </w:r>
      <w:r>
        <w:rPr>
          <w:color w:val="231F20"/>
          <w:sz w:val="20"/>
        </w:rPr>
        <w:t xml:space="preserve">considered less </w:t>
      </w:r>
      <w:r>
        <w:rPr>
          <w:color w:val="231F20"/>
          <w:spacing w:val="-3"/>
          <w:sz w:val="20"/>
        </w:rPr>
        <w:t xml:space="preserve">likely </w:t>
      </w:r>
      <w:r>
        <w:rPr>
          <w:color w:val="231F20"/>
          <w:sz w:val="20"/>
        </w:rPr>
        <w:t>to be fearful’.</w:t>
      </w:r>
      <w:r>
        <w:rPr>
          <w:color w:val="231F20"/>
          <w:position w:val="7"/>
          <w:sz w:val="11"/>
        </w:rPr>
        <w:t xml:space="preserve">49 </w:t>
      </w:r>
      <w:r>
        <w:rPr>
          <w:color w:val="231F20"/>
          <w:sz w:val="20"/>
        </w:rPr>
        <w:t>Other serious crimes</w:t>
      </w:r>
      <w:r>
        <w:rPr>
          <w:color w:val="231F20"/>
          <w:spacing w:val="-9"/>
          <w:sz w:val="20"/>
        </w:rPr>
        <w:t xml:space="preserve"> </w:t>
      </w:r>
      <w:r>
        <w:rPr>
          <w:color w:val="231F20"/>
          <w:sz w:val="20"/>
        </w:rPr>
        <w:t>in</w:t>
      </w:r>
      <w:r>
        <w:rPr>
          <w:color w:val="231F20"/>
          <w:spacing w:val="-9"/>
          <w:sz w:val="20"/>
        </w:rPr>
        <w:t xml:space="preserve"> </w:t>
      </w:r>
      <w:r>
        <w:rPr>
          <w:color w:val="231F20"/>
          <w:sz w:val="20"/>
        </w:rPr>
        <w:t>which</w:t>
      </w:r>
      <w:r>
        <w:rPr>
          <w:color w:val="231F20"/>
          <w:spacing w:val="-9"/>
          <w:sz w:val="20"/>
        </w:rPr>
        <w:t xml:space="preserve"> </w:t>
      </w:r>
      <w:r>
        <w:rPr>
          <w:color w:val="231F20"/>
          <w:sz w:val="20"/>
        </w:rPr>
        <w:t>victims</w:t>
      </w:r>
      <w:r>
        <w:rPr>
          <w:color w:val="231F20"/>
          <w:spacing w:val="-9"/>
          <w:sz w:val="20"/>
        </w:rPr>
        <w:t xml:space="preserve"> </w:t>
      </w:r>
      <w:r>
        <w:rPr>
          <w:color w:val="231F20"/>
          <w:spacing w:val="-3"/>
          <w:sz w:val="20"/>
        </w:rPr>
        <w:t>likely</w:t>
      </w:r>
      <w:r>
        <w:rPr>
          <w:color w:val="231F20"/>
          <w:spacing w:val="-9"/>
          <w:sz w:val="20"/>
        </w:rPr>
        <w:t xml:space="preserve"> </w:t>
      </w:r>
      <w:r>
        <w:rPr>
          <w:color w:val="231F20"/>
          <w:sz w:val="20"/>
        </w:rPr>
        <w:t>experience</w:t>
      </w:r>
      <w:r>
        <w:rPr>
          <w:color w:val="231F20"/>
          <w:spacing w:val="-9"/>
          <w:sz w:val="20"/>
        </w:rPr>
        <w:t xml:space="preserve"> </w:t>
      </w:r>
      <w:r>
        <w:rPr>
          <w:color w:val="231F20"/>
          <w:sz w:val="20"/>
        </w:rPr>
        <w:t>fear</w:t>
      </w:r>
      <w:r>
        <w:rPr>
          <w:color w:val="231F20"/>
          <w:spacing w:val="-9"/>
          <w:sz w:val="20"/>
        </w:rPr>
        <w:t xml:space="preserve"> </w:t>
      </w:r>
      <w:r>
        <w:rPr>
          <w:color w:val="231F20"/>
          <w:sz w:val="20"/>
        </w:rPr>
        <w:t>do</w:t>
      </w:r>
      <w:r>
        <w:rPr>
          <w:color w:val="231F20"/>
          <w:spacing w:val="-9"/>
          <w:sz w:val="20"/>
        </w:rPr>
        <w:t xml:space="preserve"> </w:t>
      </w:r>
      <w:r>
        <w:rPr>
          <w:color w:val="231F20"/>
          <w:sz w:val="20"/>
        </w:rPr>
        <w:t>not</w:t>
      </w:r>
      <w:r>
        <w:rPr>
          <w:color w:val="231F20"/>
          <w:spacing w:val="-9"/>
          <w:sz w:val="20"/>
        </w:rPr>
        <w:t xml:space="preserve"> </w:t>
      </w:r>
      <w:r>
        <w:rPr>
          <w:color w:val="231F20"/>
          <w:spacing w:val="-3"/>
          <w:sz w:val="20"/>
        </w:rPr>
        <w:t>require</w:t>
      </w:r>
      <w:r>
        <w:rPr>
          <w:color w:val="231F20"/>
          <w:spacing w:val="-9"/>
          <w:sz w:val="20"/>
        </w:rPr>
        <w:t xml:space="preserve"> </w:t>
      </w:r>
      <w:r>
        <w:rPr>
          <w:color w:val="231F20"/>
          <w:sz w:val="20"/>
        </w:rPr>
        <w:t>an</w:t>
      </w:r>
      <w:r>
        <w:rPr>
          <w:color w:val="231F20"/>
          <w:spacing w:val="-9"/>
          <w:sz w:val="20"/>
        </w:rPr>
        <w:t xml:space="preserve"> </w:t>
      </w:r>
      <w:r>
        <w:rPr>
          <w:color w:val="231F20"/>
          <w:sz w:val="20"/>
        </w:rPr>
        <w:t>impact</w:t>
      </w:r>
      <w:r>
        <w:rPr>
          <w:color w:val="231F20"/>
          <w:spacing w:val="-9"/>
          <w:sz w:val="20"/>
        </w:rPr>
        <w:t xml:space="preserve"> </w:t>
      </w:r>
      <w:r>
        <w:rPr>
          <w:color w:val="231F20"/>
          <w:sz w:val="20"/>
        </w:rPr>
        <w:t>on</w:t>
      </w:r>
      <w:r>
        <w:rPr>
          <w:color w:val="231F20"/>
          <w:spacing w:val="-9"/>
          <w:sz w:val="20"/>
        </w:rPr>
        <w:t xml:space="preserve"> </w:t>
      </w:r>
      <w:r>
        <w:rPr>
          <w:color w:val="231F20"/>
          <w:sz w:val="20"/>
        </w:rPr>
        <w:t>the</w:t>
      </w:r>
      <w:r>
        <w:rPr>
          <w:color w:val="231F20"/>
          <w:spacing w:val="-8"/>
          <w:sz w:val="20"/>
        </w:rPr>
        <w:t xml:space="preserve"> </w:t>
      </w:r>
      <w:r>
        <w:rPr>
          <w:color w:val="231F20"/>
          <w:sz w:val="20"/>
        </w:rPr>
        <w:t>victim</w:t>
      </w:r>
      <w:r>
        <w:rPr>
          <w:color w:val="231F20"/>
          <w:spacing w:val="-9"/>
          <w:sz w:val="20"/>
        </w:rPr>
        <w:t xml:space="preserve"> </w:t>
      </w:r>
      <w:r>
        <w:rPr>
          <w:color w:val="231F20"/>
          <w:sz w:val="20"/>
        </w:rPr>
        <w:t>to be</w:t>
      </w:r>
      <w:r>
        <w:rPr>
          <w:color w:val="231F20"/>
          <w:spacing w:val="-5"/>
          <w:sz w:val="20"/>
        </w:rPr>
        <w:t xml:space="preserve"> </w:t>
      </w:r>
      <w:r>
        <w:rPr>
          <w:color w:val="231F20"/>
          <w:sz w:val="20"/>
        </w:rPr>
        <w:t>proved.</w:t>
      </w:r>
      <w:r>
        <w:rPr>
          <w:color w:val="231F20"/>
          <w:position w:val="7"/>
          <w:sz w:val="11"/>
        </w:rPr>
        <w:t>50</w:t>
      </w:r>
    </w:p>
    <w:p w14:paraId="4DDD8FD9" w14:textId="77777777" w:rsidR="00894070" w:rsidRDefault="009B7AFD">
      <w:pPr>
        <w:pStyle w:val="ListParagraph"/>
        <w:numPr>
          <w:ilvl w:val="1"/>
          <w:numId w:val="65"/>
        </w:numPr>
        <w:tabs>
          <w:tab w:val="left" w:pos="1801"/>
          <w:tab w:val="left" w:pos="1802"/>
        </w:tabs>
        <w:spacing w:before="128" w:line="206" w:lineRule="auto"/>
        <w:ind w:right="1305"/>
        <w:rPr>
          <w:sz w:val="20"/>
        </w:rPr>
      </w:pPr>
      <w:r>
        <w:rPr>
          <w:color w:val="231F20"/>
          <w:spacing w:val="-5"/>
          <w:sz w:val="20"/>
        </w:rPr>
        <w:t xml:space="preserve">Tudor </w:t>
      </w:r>
      <w:r>
        <w:rPr>
          <w:color w:val="231F20"/>
          <w:sz w:val="20"/>
        </w:rPr>
        <w:t xml:space="preserve">and Byrne proposed </w:t>
      </w:r>
      <w:r>
        <w:rPr>
          <w:color w:val="231F20"/>
          <w:spacing w:val="-3"/>
          <w:sz w:val="20"/>
        </w:rPr>
        <w:t xml:space="preserve">creating </w:t>
      </w:r>
      <w:r>
        <w:rPr>
          <w:color w:val="231F20"/>
          <w:sz w:val="20"/>
        </w:rPr>
        <w:t xml:space="preserve">a new offence of </w:t>
      </w:r>
      <w:r>
        <w:rPr>
          <w:color w:val="231F20"/>
          <w:spacing w:val="-3"/>
          <w:sz w:val="20"/>
        </w:rPr>
        <w:t xml:space="preserve">‘covert </w:t>
      </w:r>
      <w:r>
        <w:rPr>
          <w:color w:val="231F20"/>
          <w:sz w:val="20"/>
        </w:rPr>
        <w:t xml:space="preserve">stalking’ which </w:t>
      </w:r>
      <w:r>
        <w:rPr>
          <w:color w:val="231F20"/>
          <w:spacing w:val="-3"/>
          <w:sz w:val="20"/>
        </w:rPr>
        <w:t xml:space="preserve">would </w:t>
      </w:r>
      <w:r>
        <w:rPr>
          <w:color w:val="231F20"/>
          <w:sz w:val="20"/>
        </w:rPr>
        <w:t>more</w:t>
      </w:r>
      <w:r>
        <w:rPr>
          <w:color w:val="231F20"/>
          <w:spacing w:val="-10"/>
          <w:sz w:val="20"/>
        </w:rPr>
        <w:t xml:space="preserve"> </w:t>
      </w:r>
      <w:r>
        <w:rPr>
          <w:color w:val="231F20"/>
          <w:spacing w:val="-3"/>
          <w:sz w:val="20"/>
        </w:rPr>
        <w:t>clearly</w:t>
      </w:r>
      <w:r>
        <w:rPr>
          <w:color w:val="231F20"/>
          <w:spacing w:val="-9"/>
          <w:sz w:val="20"/>
        </w:rPr>
        <w:t xml:space="preserve"> </w:t>
      </w:r>
      <w:r>
        <w:rPr>
          <w:color w:val="231F20"/>
          <w:spacing w:val="-4"/>
          <w:sz w:val="20"/>
        </w:rPr>
        <w:t>cover</w:t>
      </w:r>
      <w:r>
        <w:rPr>
          <w:color w:val="231F20"/>
          <w:spacing w:val="-9"/>
          <w:sz w:val="20"/>
        </w:rPr>
        <w:t xml:space="preserve"> </w:t>
      </w:r>
      <w:r>
        <w:rPr>
          <w:color w:val="231F20"/>
          <w:sz w:val="20"/>
        </w:rPr>
        <w:t>cases</w:t>
      </w:r>
      <w:r>
        <w:rPr>
          <w:color w:val="231F20"/>
          <w:spacing w:val="-10"/>
          <w:sz w:val="20"/>
        </w:rPr>
        <w:t xml:space="preserve"> </w:t>
      </w:r>
      <w:r>
        <w:rPr>
          <w:color w:val="231F20"/>
          <w:sz w:val="20"/>
        </w:rPr>
        <w:t>where</w:t>
      </w:r>
      <w:r>
        <w:rPr>
          <w:color w:val="231F20"/>
          <w:spacing w:val="-9"/>
          <w:sz w:val="20"/>
        </w:rPr>
        <w:t xml:space="preserve"> </w:t>
      </w:r>
      <w:r>
        <w:rPr>
          <w:color w:val="231F20"/>
          <w:sz w:val="20"/>
        </w:rPr>
        <w:t>a</w:t>
      </w:r>
      <w:r>
        <w:rPr>
          <w:color w:val="231F20"/>
          <w:spacing w:val="-9"/>
          <w:sz w:val="20"/>
        </w:rPr>
        <w:t xml:space="preserve"> </w:t>
      </w:r>
      <w:r>
        <w:rPr>
          <w:color w:val="231F20"/>
          <w:sz w:val="20"/>
        </w:rPr>
        <w:t>person</w:t>
      </w:r>
      <w:r>
        <w:rPr>
          <w:color w:val="231F20"/>
          <w:spacing w:val="-9"/>
          <w:sz w:val="20"/>
        </w:rPr>
        <w:t xml:space="preserve"> </w:t>
      </w:r>
      <w:r>
        <w:rPr>
          <w:color w:val="231F20"/>
          <w:sz w:val="20"/>
        </w:rPr>
        <w:t>stalks</w:t>
      </w:r>
      <w:r>
        <w:rPr>
          <w:color w:val="231F20"/>
          <w:spacing w:val="-10"/>
          <w:sz w:val="20"/>
        </w:rPr>
        <w:t xml:space="preserve"> </w:t>
      </w:r>
      <w:r>
        <w:rPr>
          <w:color w:val="231F20"/>
          <w:sz w:val="20"/>
        </w:rPr>
        <w:t>someone</w:t>
      </w:r>
      <w:r>
        <w:rPr>
          <w:color w:val="231F20"/>
          <w:spacing w:val="-9"/>
          <w:sz w:val="20"/>
        </w:rPr>
        <w:t xml:space="preserve"> </w:t>
      </w:r>
      <w:r>
        <w:rPr>
          <w:color w:val="231F20"/>
          <w:sz w:val="20"/>
        </w:rPr>
        <w:t>intending</w:t>
      </w:r>
      <w:r>
        <w:rPr>
          <w:color w:val="231F20"/>
          <w:spacing w:val="-9"/>
          <w:sz w:val="20"/>
        </w:rPr>
        <w:t xml:space="preserve"> </w:t>
      </w:r>
      <w:r>
        <w:rPr>
          <w:color w:val="231F20"/>
          <w:sz w:val="20"/>
        </w:rPr>
        <w:t>that</w:t>
      </w:r>
      <w:r>
        <w:rPr>
          <w:color w:val="231F20"/>
          <w:spacing w:val="-9"/>
          <w:sz w:val="20"/>
        </w:rPr>
        <w:t xml:space="preserve"> </w:t>
      </w:r>
      <w:r>
        <w:rPr>
          <w:color w:val="231F20"/>
          <w:sz w:val="20"/>
        </w:rPr>
        <w:t>their</w:t>
      </w:r>
      <w:r>
        <w:rPr>
          <w:color w:val="231F20"/>
          <w:spacing w:val="-10"/>
          <w:sz w:val="20"/>
        </w:rPr>
        <w:t xml:space="preserve"> </w:t>
      </w:r>
      <w:r>
        <w:rPr>
          <w:color w:val="231F20"/>
          <w:sz w:val="20"/>
        </w:rPr>
        <w:t>conduct will not be discovered.</w:t>
      </w:r>
      <w:r>
        <w:rPr>
          <w:color w:val="231F20"/>
          <w:position w:val="7"/>
          <w:sz w:val="11"/>
        </w:rPr>
        <w:t xml:space="preserve">51 </w:t>
      </w:r>
      <w:r>
        <w:rPr>
          <w:color w:val="231F20"/>
          <w:sz w:val="20"/>
        </w:rPr>
        <w:t xml:space="preserve">They explained that there is a possible gap in the law where an accused person charged with </w:t>
      </w:r>
      <w:r>
        <w:rPr>
          <w:color w:val="231F20"/>
          <w:spacing w:val="-3"/>
          <w:sz w:val="20"/>
        </w:rPr>
        <w:t xml:space="preserve">‘reckless </w:t>
      </w:r>
      <w:r>
        <w:rPr>
          <w:color w:val="231F20"/>
          <w:sz w:val="20"/>
        </w:rPr>
        <w:t>stalking’ could argue that ‘because they took</w:t>
      </w:r>
      <w:r>
        <w:rPr>
          <w:color w:val="231F20"/>
          <w:spacing w:val="-9"/>
          <w:sz w:val="20"/>
        </w:rPr>
        <w:t xml:space="preserve"> </w:t>
      </w:r>
      <w:r>
        <w:rPr>
          <w:color w:val="231F20"/>
          <w:spacing w:val="-3"/>
          <w:sz w:val="20"/>
        </w:rPr>
        <w:t>great</w:t>
      </w:r>
      <w:r>
        <w:rPr>
          <w:color w:val="231F20"/>
          <w:spacing w:val="-9"/>
          <w:sz w:val="20"/>
        </w:rPr>
        <w:t xml:space="preserve"> </w:t>
      </w:r>
      <w:r>
        <w:rPr>
          <w:color w:val="231F20"/>
          <w:sz w:val="20"/>
        </w:rPr>
        <w:t>care</w:t>
      </w:r>
      <w:r>
        <w:rPr>
          <w:color w:val="231F20"/>
          <w:spacing w:val="-8"/>
          <w:sz w:val="20"/>
        </w:rPr>
        <w:t xml:space="preserve"> </w:t>
      </w:r>
      <w:r>
        <w:rPr>
          <w:color w:val="231F20"/>
          <w:sz w:val="20"/>
        </w:rPr>
        <w:t>not</w:t>
      </w:r>
      <w:r>
        <w:rPr>
          <w:color w:val="231F20"/>
          <w:spacing w:val="-9"/>
          <w:sz w:val="20"/>
        </w:rPr>
        <w:t xml:space="preserve"> </w:t>
      </w:r>
      <w:r>
        <w:rPr>
          <w:color w:val="231F20"/>
          <w:sz w:val="20"/>
        </w:rPr>
        <w:t>to</w:t>
      </w:r>
      <w:r>
        <w:rPr>
          <w:color w:val="231F20"/>
          <w:spacing w:val="-8"/>
          <w:sz w:val="20"/>
        </w:rPr>
        <w:t xml:space="preserve"> </w:t>
      </w:r>
      <w:r>
        <w:rPr>
          <w:color w:val="231F20"/>
          <w:sz w:val="20"/>
        </w:rPr>
        <w:t>be</w:t>
      </w:r>
      <w:r>
        <w:rPr>
          <w:color w:val="231F20"/>
          <w:spacing w:val="-9"/>
          <w:sz w:val="20"/>
        </w:rPr>
        <w:t xml:space="preserve"> </w:t>
      </w:r>
      <w:r>
        <w:rPr>
          <w:color w:val="231F20"/>
          <w:sz w:val="20"/>
        </w:rPr>
        <w:t>noticed</w:t>
      </w:r>
      <w:r>
        <w:rPr>
          <w:color w:val="231F20"/>
          <w:spacing w:val="-8"/>
          <w:sz w:val="20"/>
        </w:rPr>
        <w:t xml:space="preserve"> </w:t>
      </w:r>
      <w:r>
        <w:rPr>
          <w:color w:val="231F20"/>
          <w:spacing w:val="-3"/>
          <w:sz w:val="20"/>
        </w:rPr>
        <w:t>by</w:t>
      </w:r>
      <w:r>
        <w:rPr>
          <w:color w:val="231F20"/>
          <w:spacing w:val="-9"/>
          <w:sz w:val="20"/>
        </w:rPr>
        <w:t xml:space="preserve"> </w:t>
      </w:r>
      <w:r>
        <w:rPr>
          <w:color w:val="231F20"/>
          <w:sz w:val="20"/>
        </w:rPr>
        <w:t>the</w:t>
      </w:r>
      <w:r>
        <w:rPr>
          <w:color w:val="231F20"/>
          <w:spacing w:val="-8"/>
          <w:sz w:val="20"/>
        </w:rPr>
        <w:t xml:space="preserve"> </w:t>
      </w:r>
      <w:r>
        <w:rPr>
          <w:color w:val="231F20"/>
          <w:sz w:val="20"/>
        </w:rPr>
        <w:t>person</w:t>
      </w:r>
      <w:r>
        <w:rPr>
          <w:color w:val="231F20"/>
          <w:spacing w:val="-9"/>
          <w:sz w:val="20"/>
        </w:rPr>
        <w:t xml:space="preserve"> </w:t>
      </w:r>
      <w:r>
        <w:rPr>
          <w:color w:val="231F20"/>
          <w:sz w:val="20"/>
        </w:rPr>
        <w:t>they</w:t>
      </w:r>
      <w:r>
        <w:rPr>
          <w:color w:val="231F20"/>
          <w:spacing w:val="-8"/>
          <w:sz w:val="20"/>
        </w:rPr>
        <w:t xml:space="preserve"> </w:t>
      </w:r>
      <w:r>
        <w:rPr>
          <w:color w:val="231F20"/>
          <w:sz w:val="20"/>
        </w:rPr>
        <w:t>stalked,</w:t>
      </w:r>
      <w:r>
        <w:rPr>
          <w:color w:val="231F20"/>
          <w:spacing w:val="-9"/>
          <w:sz w:val="20"/>
        </w:rPr>
        <w:t xml:space="preserve"> </w:t>
      </w:r>
      <w:r>
        <w:rPr>
          <w:color w:val="231F20"/>
          <w:sz w:val="20"/>
        </w:rPr>
        <w:t>it</w:t>
      </w:r>
      <w:r>
        <w:rPr>
          <w:color w:val="231F20"/>
          <w:spacing w:val="-9"/>
          <w:sz w:val="20"/>
        </w:rPr>
        <w:t xml:space="preserve"> </w:t>
      </w:r>
      <w:r>
        <w:rPr>
          <w:color w:val="231F20"/>
          <w:sz w:val="20"/>
        </w:rPr>
        <w:t>was</w:t>
      </w:r>
      <w:r>
        <w:rPr>
          <w:color w:val="231F20"/>
          <w:spacing w:val="-9"/>
          <w:sz w:val="20"/>
        </w:rPr>
        <w:t xml:space="preserve"> </w:t>
      </w:r>
      <w:r>
        <w:rPr>
          <w:i/>
          <w:color w:val="231F20"/>
          <w:sz w:val="20"/>
        </w:rPr>
        <w:t>not</w:t>
      </w:r>
      <w:r>
        <w:rPr>
          <w:i/>
          <w:color w:val="231F20"/>
          <w:spacing w:val="-8"/>
          <w:sz w:val="20"/>
        </w:rPr>
        <w:t xml:space="preserve"> </w:t>
      </w:r>
      <w:r>
        <w:rPr>
          <w:color w:val="231F20"/>
          <w:sz w:val="20"/>
        </w:rPr>
        <w:t>probable</w:t>
      </w:r>
      <w:r>
        <w:rPr>
          <w:color w:val="231F20"/>
          <w:spacing w:val="-8"/>
          <w:sz w:val="20"/>
        </w:rPr>
        <w:t xml:space="preserve"> </w:t>
      </w:r>
      <w:r>
        <w:rPr>
          <w:color w:val="231F20"/>
          <w:sz w:val="20"/>
        </w:rPr>
        <w:t>that</w:t>
      </w:r>
    </w:p>
    <w:p w14:paraId="47E4527F" w14:textId="77777777" w:rsidR="00894070" w:rsidRDefault="009F6793">
      <w:pPr>
        <w:pStyle w:val="BodyText"/>
        <w:spacing w:before="12"/>
        <w:rPr>
          <w:sz w:val="18"/>
        </w:rPr>
      </w:pPr>
      <w:r>
        <w:pict w14:anchorId="400B55FD">
          <v:line id="_x0000_s1211" style="position:absolute;z-index:251727872;mso-wrap-distance-left:0;mso-wrap-distance-right:0;mso-position-horizontal-relative:page" from="79.35pt,15.55pt" to="515.9pt,15.55pt" strokecolor="#f8cabc" strokeweight="1pt">
            <w10:wrap type="topAndBottom" anchorx="page"/>
          </v:line>
        </w:pict>
      </w:r>
    </w:p>
    <w:p w14:paraId="1D3DA3BC" w14:textId="77777777" w:rsidR="00894070" w:rsidRDefault="00894070">
      <w:pPr>
        <w:pStyle w:val="BodyText"/>
        <w:rPr>
          <w:sz w:val="5"/>
        </w:rPr>
      </w:pPr>
    </w:p>
    <w:p w14:paraId="60BF35B7" w14:textId="77777777" w:rsidR="00894070" w:rsidRDefault="00894070">
      <w:pPr>
        <w:rPr>
          <w:sz w:val="5"/>
        </w:rPr>
        <w:sectPr w:rsidR="00894070">
          <w:pgSz w:w="11910" w:h="16840"/>
          <w:pgMar w:top="840" w:right="420" w:bottom="280" w:left="580" w:header="0" w:footer="0" w:gutter="0"/>
          <w:cols w:space="720"/>
        </w:sectPr>
      </w:pPr>
    </w:p>
    <w:p w14:paraId="227CA631" w14:textId="77777777" w:rsidR="00894070" w:rsidRDefault="009B7AFD">
      <w:pPr>
        <w:pStyle w:val="ListParagraph"/>
        <w:numPr>
          <w:ilvl w:val="0"/>
          <w:numId w:val="56"/>
        </w:numPr>
        <w:tabs>
          <w:tab w:val="left" w:pos="1801"/>
          <w:tab w:val="left" w:pos="1802"/>
        </w:tabs>
        <w:spacing w:before="21" w:line="170" w:lineRule="exact"/>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3"/>
          <w:sz w:val="13"/>
        </w:rPr>
        <w:t xml:space="preserve"> </w:t>
      </w:r>
      <w:r>
        <w:rPr>
          <w:color w:val="231F20"/>
          <w:sz w:val="13"/>
        </w:rPr>
        <w:t>Party).</w:t>
      </w:r>
    </w:p>
    <w:p w14:paraId="2300712E" w14:textId="77777777" w:rsidR="00894070" w:rsidRDefault="009B7AFD">
      <w:pPr>
        <w:pStyle w:val="ListParagraph"/>
        <w:numPr>
          <w:ilvl w:val="0"/>
          <w:numId w:val="56"/>
        </w:numPr>
        <w:tabs>
          <w:tab w:val="left" w:pos="1801"/>
          <w:tab w:val="left" w:pos="1802"/>
        </w:tabs>
        <w:spacing w:line="160" w:lineRule="exact"/>
        <w:jc w:val="left"/>
        <w:rPr>
          <w:sz w:val="13"/>
        </w:rPr>
      </w:pPr>
      <w:r>
        <w:rPr>
          <w:color w:val="231F20"/>
          <w:spacing w:val="2"/>
          <w:sz w:val="13"/>
        </w:rPr>
        <w:t xml:space="preserve">Submission </w:t>
      </w:r>
      <w:r>
        <w:rPr>
          <w:color w:val="231F20"/>
          <w:sz w:val="13"/>
        </w:rPr>
        <w:t>106 (Dr Steven Tudor &amp; Greg Byrne</w:t>
      </w:r>
      <w:r>
        <w:rPr>
          <w:color w:val="231F20"/>
          <w:spacing w:val="-1"/>
          <w:sz w:val="13"/>
        </w:rPr>
        <w:t xml:space="preserve"> </w:t>
      </w:r>
      <w:r>
        <w:rPr>
          <w:color w:val="231F20"/>
          <w:sz w:val="13"/>
        </w:rPr>
        <w:t>PSM).</w:t>
      </w:r>
    </w:p>
    <w:p w14:paraId="6302C135" w14:textId="77777777" w:rsidR="00894070" w:rsidRDefault="009B7AFD">
      <w:pPr>
        <w:pStyle w:val="ListParagraph"/>
        <w:numPr>
          <w:ilvl w:val="0"/>
          <w:numId w:val="56"/>
        </w:numPr>
        <w:tabs>
          <w:tab w:val="left" w:pos="1801"/>
          <w:tab w:val="left" w:pos="1802"/>
        </w:tabs>
        <w:spacing w:line="160" w:lineRule="exact"/>
        <w:jc w:val="left"/>
        <w:rPr>
          <w:sz w:val="13"/>
        </w:rPr>
      </w:pPr>
      <w:r>
        <w:rPr>
          <w:color w:val="231F20"/>
          <w:sz w:val="13"/>
        </w:rPr>
        <w:t xml:space="preserve">Consultations 18 (County </w:t>
      </w:r>
      <w:r>
        <w:rPr>
          <w:color w:val="231F20"/>
          <w:spacing w:val="2"/>
          <w:sz w:val="13"/>
        </w:rPr>
        <w:t xml:space="preserve">Court </w:t>
      </w:r>
      <w:r>
        <w:rPr>
          <w:color w:val="231F20"/>
          <w:sz w:val="13"/>
        </w:rPr>
        <w:t>of Victoria), 20 (Law Institute of Victoria), 24 (Criminal Bar</w:t>
      </w:r>
      <w:r>
        <w:rPr>
          <w:color w:val="231F20"/>
          <w:spacing w:val="28"/>
          <w:sz w:val="13"/>
        </w:rPr>
        <w:t xml:space="preserve"> </w:t>
      </w:r>
      <w:r>
        <w:rPr>
          <w:color w:val="231F20"/>
          <w:sz w:val="13"/>
        </w:rPr>
        <w:t>Association).</w:t>
      </w:r>
    </w:p>
    <w:p w14:paraId="7BBB03BD" w14:textId="77777777" w:rsidR="00894070" w:rsidRDefault="009B7AFD">
      <w:pPr>
        <w:pStyle w:val="ListParagraph"/>
        <w:numPr>
          <w:ilvl w:val="0"/>
          <w:numId w:val="56"/>
        </w:numPr>
        <w:tabs>
          <w:tab w:val="left" w:pos="1801"/>
          <w:tab w:val="left" w:pos="1802"/>
        </w:tabs>
        <w:spacing w:line="160" w:lineRule="exact"/>
        <w:jc w:val="left"/>
        <w:rPr>
          <w:sz w:val="13"/>
        </w:rPr>
      </w:pPr>
      <w:r>
        <w:rPr>
          <w:color w:val="231F20"/>
          <w:sz w:val="13"/>
        </w:rPr>
        <w:t xml:space="preserve">Consultation 2 (Children’s </w:t>
      </w:r>
      <w:r>
        <w:rPr>
          <w:color w:val="231F20"/>
          <w:spacing w:val="2"/>
          <w:sz w:val="13"/>
        </w:rPr>
        <w:t xml:space="preserve">Court </w:t>
      </w:r>
      <w:r>
        <w:rPr>
          <w:color w:val="231F20"/>
          <w:sz w:val="13"/>
        </w:rPr>
        <w:t>of Victoria (No 1)).</w:t>
      </w:r>
    </w:p>
    <w:p w14:paraId="508B62AB" w14:textId="77777777" w:rsidR="00894070" w:rsidRDefault="009B7AFD">
      <w:pPr>
        <w:pStyle w:val="ListParagraph"/>
        <w:numPr>
          <w:ilvl w:val="0"/>
          <w:numId w:val="56"/>
        </w:numPr>
        <w:tabs>
          <w:tab w:val="left" w:pos="1801"/>
          <w:tab w:val="left" w:pos="1802"/>
        </w:tabs>
        <w:spacing w:line="160" w:lineRule="exact"/>
        <w:jc w:val="left"/>
        <w:rPr>
          <w:sz w:val="13"/>
        </w:rPr>
      </w:pPr>
      <w:r>
        <w:rPr>
          <w:color w:val="231F20"/>
          <w:sz w:val="13"/>
        </w:rPr>
        <w:t>Consultation</w:t>
      </w:r>
      <w:r>
        <w:rPr>
          <w:color w:val="231F20"/>
          <w:spacing w:val="7"/>
          <w:sz w:val="13"/>
        </w:rPr>
        <w:t xml:space="preserve"> </w:t>
      </w:r>
      <w:r>
        <w:rPr>
          <w:color w:val="231F20"/>
          <w:sz w:val="13"/>
        </w:rPr>
        <w:t>13</w:t>
      </w:r>
      <w:r>
        <w:rPr>
          <w:color w:val="231F20"/>
          <w:spacing w:val="7"/>
          <w:sz w:val="13"/>
        </w:rPr>
        <w:t xml:space="preserve"> </w:t>
      </w:r>
      <w:r>
        <w:rPr>
          <w:color w:val="231F20"/>
          <w:sz w:val="13"/>
        </w:rPr>
        <w:t>(Victoria</w:t>
      </w:r>
      <w:r>
        <w:rPr>
          <w:color w:val="231F20"/>
          <w:spacing w:val="8"/>
          <w:sz w:val="13"/>
        </w:rPr>
        <w:t xml:space="preserve"> </w:t>
      </w:r>
      <w:r>
        <w:rPr>
          <w:color w:val="231F20"/>
          <w:sz w:val="13"/>
        </w:rPr>
        <w:t>Legal</w:t>
      </w:r>
      <w:r>
        <w:rPr>
          <w:color w:val="231F20"/>
          <w:spacing w:val="7"/>
          <w:sz w:val="13"/>
        </w:rPr>
        <w:t xml:space="preserve"> </w:t>
      </w:r>
      <w:r>
        <w:rPr>
          <w:color w:val="231F20"/>
          <w:sz w:val="13"/>
        </w:rPr>
        <w:t>Aid).</w:t>
      </w:r>
      <w:r>
        <w:rPr>
          <w:color w:val="231F20"/>
          <w:spacing w:val="7"/>
          <w:sz w:val="13"/>
        </w:rPr>
        <w:t xml:space="preserve"> </w:t>
      </w:r>
      <w:r>
        <w:rPr>
          <w:color w:val="231F20"/>
          <w:sz w:val="13"/>
        </w:rPr>
        <w:t>The</w:t>
      </w:r>
      <w:r>
        <w:rPr>
          <w:color w:val="231F20"/>
          <w:spacing w:val="8"/>
          <w:sz w:val="13"/>
        </w:rPr>
        <w:t xml:space="preserve"> </w:t>
      </w:r>
      <w:r>
        <w:rPr>
          <w:color w:val="231F20"/>
          <w:sz w:val="13"/>
        </w:rPr>
        <w:t>law</w:t>
      </w:r>
      <w:r>
        <w:rPr>
          <w:color w:val="231F20"/>
          <w:spacing w:val="7"/>
          <w:sz w:val="13"/>
        </w:rPr>
        <w:t xml:space="preserve"> </w:t>
      </w:r>
      <w:r>
        <w:rPr>
          <w:color w:val="231F20"/>
          <w:sz w:val="13"/>
        </w:rPr>
        <w:t>does</w:t>
      </w:r>
      <w:r>
        <w:rPr>
          <w:color w:val="231F20"/>
          <w:spacing w:val="8"/>
          <w:sz w:val="13"/>
        </w:rPr>
        <w:t xml:space="preserve"> </w:t>
      </w:r>
      <w:r>
        <w:rPr>
          <w:color w:val="231F20"/>
          <w:sz w:val="13"/>
        </w:rPr>
        <w:t>not</w:t>
      </w:r>
      <w:r>
        <w:rPr>
          <w:color w:val="231F20"/>
          <w:spacing w:val="7"/>
          <w:sz w:val="13"/>
        </w:rPr>
        <w:t xml:space="preserve"> </w:t>
      </w:r>
      <w:r>
        <w:rPr>
          <w:color w:val="231F20"/>
          <w:sz w:val="13"/>
        </w:rPr>
        <w:t>require</w:t>
      </w:r>
      <w:r>
        <w:rPr>
          <w:color w:val="231F20"/>
          <w:spacing w:val="7"/>
          <w:sz w:val="13"/>
        </w:rPr>
        <w:t xml:space="preserve"> </w:t>
      </w:r>
      <w:r>
        <w:rPr>
          <w:color w:val="231F20"/>
          <w:sz w:val="13"/>
        </w:rPr>
        <w:t>victim</w:t>
      </w:r>
      <w:r>
        <w:rPr>
          <w:color w:val="231F20"/>
          <w:spacing w:val="8"/>
          <w:sz w:val="13"/>
        </w:rPr>
        <w:t xml:space="preserve"> </w:t>
      </w:r>
      <w:r>
        <w:rPr>
          <w:color w:val="231F20"/>
          <w:sz w:val="13"/>
        </w:rPr>
        <w:t>impact</w:t>
      </w:r>
      <w:r>
        <w:rPr>
          <w:color w:val="231F20"/>
          <w:spacing w:val="7"/>
          <w:sz w:val="13"/>
        </w:rPr>
        <w:t xml:space="preserve"> </w:t>
      </w:r>
      <w:r>
        <w:rPr>
          <w:color w:val="231F20"/>
          <w:sz w:val="13"/>
        </w:rPr>
        <w:t>to</w:t>
      </w:r>
      <w:r>
        <w:rPr>
          <w:color w:val="231F20"/>
          <w:spacing w:val="8"/>
          <w:sz w:val="13"/>
        </w:rPr>
        <w:t xml:space="preserve"> </w:t>
      </w:r>
      <w:r>
        <w:rPr>
          <w:color w:val="231F20"/>
          <w:sz w:val="13"/>
        </w:rPr>
        <w:t>be</w:t>
      </w:r>
      <w:r>
        <w:rPr>
          <w:color w:val="231F20"/>
          <w:spacing w:val="7"/>
          <w:sz w:val="13"/>
        </w:rPr>
        <w:t xml:space="preserve"> </w:t>
      </w:r>
      <w:r>
        <w:rPr>
          <w:color w:val="231F20"/>
          <w:sz w:val="13"/>
        </w:rPr>
        <w:t>proven</w:t>
      </w:r>
      <w:r>
        <w:rPr>
          <w:color w:val="231F20"/>
          <w:spacing w:val="7"/>
          <w:sz w:val="13"/>
        </w:rPr>
        <w:t xml:space="preserve"> </w:t>
      </w:r>
      <w:r>
        <w:rPr>
          <w:color w:val="231F20"/>
          <w:sz w:val="13"/>
        </w:rPr>
        <w:t>where</w:t>
      </w:r>
      <w:r>
        <w:rPr>
          <w:color w:val="231F20"/>
          <w:spacing w:val="8"/>
          <w:sz w:val="13"/>
        </w:rPr>
        <w:t xml:space="preserve"> </w:t>
      </w:r>
      <w:r>
        <w:rPr>
          <w:color w:val="231F20"/>
          <w:sz w:val="13"/>
        </w:rPr>
        <w:t>the</w:t>
      </w:r>
      <w:r>
        <w:rPr>
          <w:color w:val="231F20"/>
          <w:spacing w:val="7"/>
          <w:sz w:val="13"/>
        </w:rPr>
        <w:t xml:space="preserve"> </w:t>
      </w:r>
      <w:r>
        <w:rPr>
          <w:color w:val="231F20"/>
          <w:sz w:val="13"/>
        </w:rPr>
        <w:t>accused</w:t>
      </w:r>
      <w:r>
        <w:rPr>
          <w:color w:val="231F20"/>
          <w:spacing w:val="8"/>
          <w:sz w:val="13"/>
        </w:rPr>
        <w:t xml:space="preserve"> </w:t>
      </w:r>
      <w:r>
        <w:rPr>
          <w:color w:val="231F20"/>
          <w:sz w:val="13"/>
        </w:rPr>
        <w:t>person</w:t>
      </w:r>
      <w:r>
        <w:rPr>
          <w:color w:val="231F20"/>
          <w:spacing w:val="7"/>
          <w:sz w:val="13"/>
        </w:rPr>
        <w:t xml:space="preserve"> </w:t>
      </w:r>
      <w:r>
        <w:rPr>
          <w:color w:val="231F20"/>
          <w:sz w:val="13"/>
        </w:rPr>
        <w:t>intends</w:t>
      </w:r>
      <w:r>
        <w:rPr>
          <w:color w:val="231F20"/>
          <w:spacing w:val="7"/>
          <w:sz w:val="13"/>
        </w:rPr>
        <w:t xml:space="preserve"> </w:t>
      </w:r>
      <w:r>
        <w:rPr>
          <w:color w:val="231F20"/>
          <w:sz w:val="13"/>
        </w:rPr>
        <w:t>to</w:t>
      </w:r>
    </w:p>
    <w:p w14:paraId="0E552173" w14:textId="77777777" w:rsidR="00894070" w:rsidRDefault="009B7AFD">
      <w:pPr>
        <w:spacing w:line="160" w:lineRule="exact"/>
        <w:ind w:left="1801"/>
        <w:rPr>
          <w:sz w:val="13"/>
        </w:rPr>
      </w:pPr>
      <w:r>
        <w:rPr>
          <w:color w:val="231F20"/>
          <w:sz w:val="13"/>
        </w:rPr>
        <w:t xml:space="preserve">raise fear or </w:t>
      </w:r>
      <w:proofErr w:type="gramStart"/>
      <w:r>
        <w:rPr>
          <w:color w:val="231F20"/>
          <w:sz w:val="13"/>
        </w:rPr>
        <w:t>apprehension, or</w:t>
      </w:r>
      <w:proofErr w:type="gramEnd"/>
      <w:r>
        <w:rPr>
          <w:color w:val="231F20"/>
          <w:sz w:val="13"/>
        </w:rPr>
        <w:t xml:space="preserve"> knew their conduct would likely raise fear or apprehension.</w:t>
      </w:r>
    </w:p>
    <w:p w14:paraId="72F0FEC2" w14:textId="77777777" w:rsidR="00894070" w:rsidRDefault="009B7AFD">
      <w:pPr>
        <w:pStyle w:val="ListParagraph"/>
        <w:numPr>
          <w:ilvl w:val="0"/>
          <w:numId w:val="56"/>
        </w:numPr>
        <w:tabs>
          <w:tab w:val="left" w:pos="1800"/>
          <w:tab w:val="left" w:pos="1802"/>
        </w:tabs>
        <w:spacing w:before="7" w:line="213" w:lineRule="auto"/>
        <w:ind w:right="49"/>
        <w:jc w:val="left"/>
        <w:rPr>
          <w:sz w:val="13"/>
        </w:rPr>
      </w:pP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Anti-Stalking Legislation in Victoria, Australia’ (PhD Thesis, Monash University, 2018) 82.</w:t>
      </w:r>
    </w:p>
    <w:p w14:paraId="226A4B58" w14:textId="77777777" w:rsidR="00894070" w:rsidRDefault="009B7AFD">
      <w:pPr>
        <w:pStyle w:val="ListParagraph"/>
        <w:numPr>
          <w:ilvl w:val="0"/>
          <w:numId w:val="56"/>
        </w:numPr>
        <w:tabs>
          <w:tab w:val="left" w:pos="1801"/>
          <w:tab w:val="left" w:pos="1802"/>
        </w:tabs>
        <w:spacing w:line="153" w:lineRule="exact"/>
        <w:jc w:val="left"/>
        <w:rPr>
          <w:sz w:val="13"/>
        </w:rPr>
      </w:pPr>
      <w:r>
        <w:rPr>
          <w:color w:val="231F20"/>
          <w:sz w:val="13"/>
        </w:rPr>
        <w:t xml:space="preserve">Crimes such as sexual offences and </w:t>
      </w:r>
      <w:r>
        <w:rPr>
          <w:color w:val="231F20"/>
          <w:spacing w:val="2"/>
          <w:sz w:val="13"/>
        </w:rPr>
        <w:t xml:space="preserve">assault: </w:t>
      </w:r>
      <w:r>
        <w:rPr>
          <w:color w:val="231F20"/>
          <w:sz w:val="13"/>
        </w:rPr>
        <w:t>Ibid.</w:t>
      </w:r>
    </w:p>
    <w:p w14:paraId="62D933FA" w14:textId="77777777" w:rsidR="00894070" w:rsidRDefault="009B7AFD">
      <w:pPr>
        <w:pStyle w:val="ListParagraph"/>
        <w:numPr>
          <w:ilvl w:val="0"/>
          <w:numId w:val="56"/>
        </w:numPr>
        <w:tabs>
          <w:tab w:val="left" w:pos="1801"/>
          <w:tab w:val="left" w:pos="1802"/>
        </w:tabs>
        <w:spacing w:line="170" w:lineRule="exact"/>
        <w:jc w:val="left"/>
        <w:rPr>
          <w:sz w:val="13"/>
        </w:rPr>
      </w:pPr>
      <w:r>
        <w:rPr>
          <w:color w:val="231F20"/>
          <w:spacing w:val="2"/>
          <w:sz w:val="13"/>
        </w:rPr>
        <w:t xml:space="preserve">Submission </w:t>
      </w:r>
      <w:r>
        <w:rPr>
          <w:color w:val="231F20"/>
          <w:sz w:val="13"/>
        </w:rPr>
        <w:t>106 (Dr Steven Tudor &amp; Greg Byrne</w:t>
      </w:r>
      <w:r>
        <w:rPr>
          <w:color w:val="231F20"/>
          <w:spacing w:val="-1"/>
          <w:sz w:val="13"/>
        </w:rPr>
        <w:t xml:space="preserve"> </w:t>
      </w:r>
      <w:r>
        <w:rPr>
          <w:color w:val="231F20"/>
          <w:sz w:val="13"/>
        </w:rPr>
        <w:t>PSM).</w:t>
      </w:r>
    </w:p>
    <w:p w14:paraId="41ABE2D3" w14:textId="77777777" w:rsidR="00894070" w:rsidRDefault="009B7AFD">
      <w:pPr>
        <w:pStyle w:val="BodyText"/>
        <w:rPr>
          <w:sz w:val="28"/>
        </w:rPr>
      </w:pPr>
      <w:r>
        <w:br w:type="column"/>
      </w:r>
    </w:p>
    <w:p w14:paraId="7A298CCB" w14:textId="77777777" w:rsidR="00894070" w:rsidRDefault="00894070">
      <w:pPr>
        <w:pStyle w:val="BodyText"/>
        <w:rPr>
          <w:sz w:val="28"/>
        </w:rPr>
      </w:pPr>
    </w:p>
    <w:p w14:paraId="270B4747" w14:textId="77777777" w:rsidR="00894070" w:rsidRDefault="00894070">
      <w:pPr>
        <w:pStyle w:val="BodyText"/>
        <w:spacing w:before="2"/>
        <w:rPr>
          <w:sz w:val="40"/>
        </w:rPr>
      </w:pPr>
    </w:p>
    <w:p w14:paraId="76BA2843" w14:textId="77777777" w:rsidR="00894070" w:rsidRDefault="009B7AFD">
      <w:pPr>
        <w:pStyle w:val="Heading8"/>
        <w:ind w:left="753"/>
      </w:pPr>
      <w:r>
        <w:rPr>
          <w:color w:val="EA5B50"/>
        </w:rPr>
        <w:t>139</w:t>
      </w:r>
    </w:p>
    <w:p w14:paraId="5EA77864" w14:textId="77777777" w:rsidR="00894070" w:rsidRDefault="00894070">
      <w:pPr>
        <w:sectPr w:rsidR="00894070">
          <w:type w:val="continuous"/>
          <w:pgSz w:w="11910" w:h="16840"/>
          <w:pgMar w:top="560" w:right="420" w:bottom="280" w:left="580" w:header="720" w:footer="720" w:gutter="0"/>
          <w:cols w:num="2" w:space="720" w:equalWidth="0">
            <w:col w:w="9543" w:space="40"/>
            <w:col w:w="1327"/>
          </w:cols>
        </w:sectPr>
      </w:pPr>
    </w:p>
    <w:p w14:paraId="59C27D74" w14:textId="77777777" w:rsidR="00894070" w:rsidRDefault="00894070">
      <w:pPr>
        <w:pStyle w:val="BodyText"/>
        <w:rPr>
          <w:b/>
        </w:rPr>
      </w:pPr>
    </w:p>
    <w:p w14:paraId="15539EEA" w14:textId="77777777" w:rsidR="00894070" w:rsidRDefault="00894070">
      <w:pPr>
        <w:pStyle w:val="BodyText"/>
        <w:rPr>
          <w:b/>
        </w:rPr>
      </w:pPr>
    </w:p>
    <w:p w14:paraId="44042D55" w14:textId="77777777" w:rsidR="00894070" w:rsidRDefault="00894070">
      <w:pPr>
        <w:pStyle w:val="BodyText"/>
        <w:rPr>
          <w:b/>
        </w:rPr>
      </w:pPr>
    </w:p>
    <w:p w14:paraId="6F4BE3CD" w14:textId="77777777" w:rsidR="00894070" w:rsidRDefault="00894070">
      <w:pPr>
        <w:pStyle w:val="BodyText"/>
        <w:spacing w:before="11"/>
        <w:rPr>
          <w:b/>
          <w:sz w:val="18"/>
        </w:rPr>
      </w:pPr>
    </w:p>
    <w:p w14:paraId="4D6F2C14" w14:textId="77777777" w:rsidR="00894070" w:rsidRDefault="009B7AFD">
      <w:pPr>
        <w:pStyle w:val="BodyText"/>
        <w:spacing w:line="206" w:lineRule="auto"/>
        <w:ind w:left="1801" w:right="1505" w:hanging="1"/>
        <w:jc w:val="both"/>
      </w:pPr>
      <w:bookmarkStart w:id="156" w:name="The_stalking_offence_is_not_applied_well"/>
      <w:bookmarkStart w:id="157" w:name="_bookmark93"/>
      <w:bookmarkEnd w:id="156"/>
      <w:bookmarkEnd w:id="157"/>
      <w:r>
        <w:rPr>
          <w:color w:val="231F20"/>
        </w:rPr>
        <w:t>the</w:t>
      </w:r>
      <w:r>
        <w:rPr>
          <w:color w:val="231F20"/>
          <w:spacing w:val="-5"/>
        </w:rPr>
        <w:t xml:space="preserve"> </w:t>
      </w:r>
      <w:r>
        <w:rPr>
          <w:color w:val="231F20"/>
        </w:rPr>
        <w:t>victim</w:t>
      </w:r>
      <w:r>
        <w:rPr>
          <w:color w:val="231F20"/>
          <w:spacing w:val="-5"/>
        </w:rPr>
        <w:t xml:space="preserve"> </w:t>
      </w:r>
      <w:r>
        <w:rPr>
          <w:color w:val="231F20"/>
          <w:spacing w:val="-3"/>
        </w:rPr>
        <w:t>would</w:t>
      </w:r>
      <w:r>
        <w:rPr>
          <w:color w:val="231F20"/>
          <w:spacing w:val="-5"/>
        </w:rPr>
        <w:t xml:space="preserve"> </w:t>
      </w:r>
      <w:r>
        <w:rPr>
          <w:color w:val="231F20"/>
        </w:rPr>
        <w:t>be</w:t>
      </w:r>
      <w:r>
        <w:rPr>
          <w:color w:val="231F20"/>
          <w:spacing w:val="-5"/>
        </w:rPr>
        <w:t xml:space="preserve"> </w:t>
      </w:r>
      <w:r>
        <w:rPr>
          <w:color w:val="231F20"/>
        </w:rPr>
        <w:t>caused</w:t>
      </w:r>
      <w:r>
        <w:rPr>
          <w:color w:val="231F20"/>
          <w:spacing w:val="-5"/>
        </w:rPr>
        <w:t xml:space="preserve"> </w:t>
      </w:r>
      <w:r>
        <w:rPr>
          <w:color w:val="231F20"/>
          <w:spacing w:val="-3"/>
        </w:rPr>
        <w:t>relevant</w:t>
      </w:r>
      <w:r>
        <w:rPr>
          <w:color w:val="231F20"/>
          <w:spacing w:val="-5"/>
        </w:rPr>
        <w:t xml:space="preserve"> </w:t>
      </w:r>
      <w:r>
        <w:rPr>
          <w:color w:val="231F20"/>
        </w:rPr>
        <w:t>harm</w:t>
      </w:r>
      <w:r>
        <w:rPr>
          <w:color w:val="231F20"/>
          <w:spacing w:val="-5"/>
        </w:rPr>
        <w:t xml:space="preserve"> </w:t>
      </w:r>
      <w:r>
        <w:rPr>
          <w:color w:val="231F20"/>
        </w:rPr>
        <w:t>or</w:t>
      </w:r>
      <w:r>
        <w:rPr>
          <w:color w:val="231F20"/>
          <w:spacing w:val="-5"/>
        </w:rPr>
        <w:t xml:space="preserve"> </w:t>
      </w:r>
      <w:r>
        <w:rPr>
          <w:color w:val="231F20"/>
          <w:spacing w:val="-3"/>
        </w:rPr>
        <w:t>fear’.</w:t>
      </w:r>
      <w:r>
        <w:rPr>
          <w:color w:val="231F20"/>
          <w:spacing w:val="-3"/>
          <w:position w:val="7"/>
          <w:sz w:val="11"/>
        </w:rPr>
        <w:t>52</w:t>
      </w:r>
      <w:r>
        <w:rPr>
          <w:color w:val="231F20"/>
          <w:spacing w:val="19"/>
          <w:position w:val="7"/>
          <w:sz w:val="11"/>
        </w:rPr>
        <w:t xml:space="preserve"> </w:t>
      </w:r>
      <w:r>
        <w:rPr>
          <w:color w:val="231F20"/>
        </w:rPr>
        <w:t>While</w:t>
      </w:r>
      <w:r>
        <w:rPr>
          <w:color w:val="231F20"/>
          <w:spacing w:val="-5"/>
        </w:rPr>
        <w:t xml:space="preserve"> </w:t>
      </w:r>
      <w:r>
        <w:rPr>
          <w:color w:val="231F20"/>
        </w:rPr>
        <w:t>this</w:t>
      </w:r>
      <w:r>
        <w:rPr>
          <w:color w:val="231F20"/>
          <w:spacing w:val="-5"/>
        </w:rPr>
        <w:t xml:space="preserve"> </w:t>
      </w:r>
      <w:r>
        <w:rPr>
          <w:color w:val="231F20"/>
          <w:spacing w:val="-3"/>
        </w:rPr>
        <w:t>may</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spacing w:val="-3"/>
        </w:rPr>
        <w:t>gap,</w:t>
      </w:r>
      <w:r>
        <w:rPr>
          <w:color w:val="231F20"/>
          <w:spacing w:val="-5"/>
        </w:rPr>
        <w:t xml:space="preserve"> </w:t>
      </w:r>
      <w:r>
        <w:rPr>
          <w:color w:val="231F20"/>
          <w:spacing w:val="-3"/>
        </w:rPr>
        <w:t>we</w:t>
      </w:r>
      <w:r>
        <w:rPr>
          <w:color w:val="231F20"/>
          <w:spacing w:val="-5"/>
        </w:rPr>
        <w:t xml:space="preserve"> </w:t>
      </w:r>
      <w:r>
        <w:rPr>
          <w:color w:val="231F20"/>
        </w:rPr>
        <w:t>did not</w:t>
      </w:r>
      <w:r>
        <w:rPr>
          <w:color w:val="231F20"/>
          <w:spacing w:val="-11"/>
        </w:rPr>
        <w:t xml:space="preserve"> </w:t>
      </w:r>
      <w:r>
        <w:rPr>
          <w:color w:val="231F20"/>
          <w:spacing w:val="-3"/>
        </w:rPr>
        <w:t>receive</w:t>
      </w:r>
      <w:r>
        <w:rPr>
          <w:color w:val="231F20"/>
          <w:spacing w:val="-10"/>
        </w:rPr>
        <w:t xml:space="preserve"> </w:t>
      </w:r>
      <w:r>
        <w:rPr>
          <w:color w:val="231F20"/>
          <w:spacing w:val="-3"/>
        </w:rPr>
        <w:t>any</w:t>
      </w:r>
      <w:r>
        <w:rPr>
          <w:color w:val="231F20"/>
          <w:spacing w:val="-10"/>
        </w:rPr>
        <w:t xml:space="preserve"> </w:t>
      </w:r>
      <w:r>
        <w:rPr>
          <w:color w:val="231F20"/>
        </w:rPr>
        <w:t>feedback</w:t>
      </w:r>
      <w:r>
        <w:rPr>
          <w:color w:val="231F20"/>
          <w:spacing w:val="-10"/>
        </w:rPr>
        <w:t xml:space="preserve"> </w:t>
      </w:r>
      <w:r>
        <w:rPr>
          <w:color w:val="231F20"/>
        </w:rPr>
        <w:t>that</w:t>
      </w:r>
      <w:r>
        <w:rPr>
          <w:color w:val="231F20"/>
          <w:spacing w:val="-10"/>
        </w:rPr>
        <w:t xml:space="preserve"> </w:t>
      </w:r>
      <w:r>
        <w:rPr>
          <w:color w:val="231F20"/>
        </w:rPr>
        <w:t>this</w:t>
      </w:r>
      <w:r>
        <w:rPr>
          <w:color w:val="231F20"/>
          <w:spacing w:val="-10"/>
        </w:rPr>
        <w:t xml:space="preserve"> </w:t>
      </w:r>
      <w:r>
        <w:rPr>
          <w:color w:val="231F20"/>
        </w:rPr>
        <w:t>was</w:t>
      </w:r>
      <w:r>
        <w:rPr>
          <w:color w:val="231F20"/>
          <w:spacing w:val="-10"/>
        </w:rPr>
        <w:t xml:space="preserve"> </w:t>
      </w:r>
      <w:r>
        <w:rPr>
          <w:color w:val="231F20"/>
        </w:rPr>
        <w:t>causing</w:t>
      </w:r>
      <w:r>
        <w:rPr>
          <w:color w:val="231F20"/>
          <w:spacing w:val="-10"/>
        </w:rPr>
        <w:t xml:space="preserve"> </w:t>
      </w:r>
      <w:r>
        <w:rPr>
          <w:color w:val="231F20"/>
          <w:spacing w:val="-3"/>
        </w:rPr>
        <w:t>any</w:t>
      </w:r>
      <w:r>
        <w:rPr>
          <w:color w:val="231F20"/>
          <w:spacing w:val="-10"/>
        </w:rPr>
        <w:t xml:space="preserve"> </w:t>
      </w:r>
      <w:r>
        <w:rPr>
          <w:color w:val="231F20"/>
        </w:rPr>
        <w:t>problems</w:t>
      </w:r>
      <w:r>
        <w:rPr>
          <w:color w:val="231F20"/>
          <w:spacing w:val="-10"/>
        </w:rPr>
        <w:t xml:space="preserve"> </w:t>
      </w:r>
      <w:r>
        <w:rPr>
          <w:color w:val="231F20"/>
        </w:rPr>
        <w:t>or</w:t>
      </w:r>
      <w:r>
        <w:rPr>
          <w:color w:val="231F20"/>
          <w:spacing w:val="-10"/>
        </w:rPr>
        <w:t xml:space="preserve"> </w:t>
      </w:r>
      <w:r>
        <w:rPr>
          <w:color w:val="231F20"/>
        </w:rPr>
        <w:t>that</w:t>
      </w:r>
      <w:r>
        <w:rPr>
          <w:color w:val="231F20"/>
          <w:spacing w:val="-10"/>
        </w:rPr>
        <w:t xml:space="preserve"> </w:t>
      </w:r>
      <w:r>
        <w:rPr>
          <w:color w:val="231F20"/>
        </w:rPr>
        <w:t>an</w:t>
      </w:r>
      <w:r>
        <w:rPr>
          <w:color w:val="231F20"/>
          <w:spacing w:val="-10"/>
        </w:rPr>
        <w:t xml:space="preserve"> </w:t>
      </w:r>
      <w:r>
        <w:rPr>
          <w:color w:val="231F20"/>
        </w:rPr>
        <w:t>offence</w:t>
      </w:r>
      <w:r>
        <w:rPr>
          <w:color w:val="231F20"/>
          <w:spacing w:val="-10"/>
        </w:rPr>
        <w:t xml:space="preserve"> </w:t>
      </w:r>
      <w:r>
        <w:rPr>
          <w:color w:val="231F20"/>
        </w:rPr>
        <w:t>was needed to recognise this type of</w:t>
      </w:r>
      <w:r>
        <w:rPr>
          <w:color w:val="231F20"/>
          <w:spacing w:val="-29"/>
        </w:rPr>
        <w:t xml:space="preserve"> </w:t>
      </w:r>
      <w:r>
        <w:rPr>
          <w:color w:val="231F20"/>
        </w:rPr>
        <w:t>offending.</w:t>
      </w:r>
    </w:p>
    <w:p w14:paraId="3CFAD7CD" w14:textId="77777777" w:rsidR="00894070" w:rsidRDefault="009B7AFD">
      <w:pPr>
        <w:pStyle w:val="ListParagraph"/>
        <w:numPr>
          <w:ilvl w:val="1"/>
          <w:numId w:val="65"/>
        </w:numPr>
        <w:tabs>
          <w:tab w:val="left" w:pos="1801"/>
          <w:tab w:val="left" w:pos="1802"/>
        </w:tabs>
        <w:spacing w:before="124" w:line="206" w:lineRule="auto"/>
        <w:ind w:right="1224"/>
        <w:rPr>
          <w:sz w:val="20"/>
        </w:rPr>
      </w:pPr>
      <w:r>
        <w:rPr>
          <w:color w:val="231F20"/>
          <w:sz w:val="20"/>
        </w:rPr>
        <w:t>A ‘harassment’ offence was also suggested.</w:t>
      </w:r>
      <w:r>
        <w:rPr>
          <w:color w:val="231F20"/>
          <w:position w:val="7"/>
          <w:sz w:val="11"/>
        </w:rPr>
        <w:t xml:space="preserve">53 </w:t>
      </w:r>
      <w:r>
        <w:rPr>
          <w:color w:val="231F20"/>
          <w:spacing w:val="-3"/>
          <w:sz w:val="20"/>
        </w:rPr>
        <w:t xml:space="preserve">Currently </w:t>
      </w:r>
      <w:r>
        <w:rPr>
          <w:color w:val="231F20"/>
          <w:sz w:val="20"/>
        </w:rPr>
        <w:t xml:space="preserve">harassing behaviour can be charged as stalking if it forms a ‘course of </w:t>
      </w:r>
      <w:r>
        <w:rPr>
          <w:color w:val="231F20"/>
          <w:spacing w:val="-3"/>
          <w:sz w:val="20"/>
        </w:rPr>
        <w:t xml:space="preserve">conduct’. </w:t>
      </w:r>
      <w:r>
        <w:rPr>
          <w:color w:val="231F20"/>
          <w:spacing w:val="-6"/>
          <w:sz w:val="20"/>
        </w:rPr>
        <w:t xml:space="preserve">We </w:t>
      </w:r>
      <w:r>
        <w:rPr>
          <w:color w:val="231F20"/>
          <w:sz w:val="20"/>
        </w:rPr>
        <w:t>consider that an additional offence</w:t>
      </w:r>
      <w:r>
        <w:rPr>
          <w:color w:val="231F20"/>
          <w:spacing w:val="-10"/>
          <w:sz w:val="20"/>
        </w:rPr>
        <w:t xml:space="preserve"> </w:t>
      </w:r>
      <w:r>
        <w:rPr>
          <w:color w:val="231F20"/>
          <w:sz w:val="20"/>
        </w:rPr>
        <w:t>of</w:t>
      </w:r>
      <w:r>
        <w:rPr>
          <w:color w:val="231F20"/>
          <w:spacing w:val="-9"/>
          <w:sz w:val="20"/>
        </w:rPr>
        <w:t xml:space="preserve"> </w:t>
      </w:r>
      <w:r>
        <w:rPr>
          <w:color w:val="231F20"/>
          <w:sz w:val="20"/>
        </w:rPr>
        <w:t>harassment</w:t>
      </w:r>
      <w:r>
        <w:rPr>
          <w:color w:val="231F20"/>
          <w:spacing w:val="-10"/>
          <w:sz w:val="20"/>
        </w:rPr>
        <w:t xml:space="preserve"> </w:t>
      </w:r>
      <w:r>
        <w:rPr>
          <w:color w:val="231F20"/>
          <w:spacing w:val="-3"/>
          <w:sz w:val="20"/>
        </w:rPr>
        <w:t>would</w:t>
      </w:r>
      <w:r>
        <w:rPr>
          <w:color w:val="231F20"/>
          <w:spacing w:val="-9"/>
          <w:sz w:val="20"/>
        </w:rPr>
        <w:t xml:space="preserve"> </w:t>
      </w:r>
      <w:r>
        <w:rPr>
          <w:color w:val="231F20"/>
          <w:sz w:val="20"/>
        </w:rPr>
        <w:t>not</w:t>
      </w:r>
      <w:r>
        <w:rPr>
          <w:color w:val="231F20"/>
          <w:spacing w:val="-10"/>
          <w:sz w:val="20"/>
        </w:rPr>
        <w:t xml:space="preserve"> </w:t>
      </w:r>
      <w:r>
        <w:rPr>
          <w:color w:val="231F20"/>
          <w:sz w:val="20"/>
        </w:rPr>
        <w:t>be</w:t>
      </w:r>
      <w:r>
        <w:rPr>
          <w:color w:val="231F20"/>
          <w:spacing w:val="-9"/>
          <w:sz w:val="20"/>
        </w:rPr>
        <w:t xml:space="preserve"> </w:t>
      </w:r>
      <w:r>
        <w:rPr>
          <w:color w:val="231F20"/>
          <w:spacing w:val="-3"/>
          <w:sz w:val="20"/>
        </w:rPr>
        <w:t>appropriate,</w:t>
      </w:r>
      <w:r>
        <w:rPr>
          <w:color w:val="231F20"/>
          <w:spacing w:val="-10"/>
          <w:sz w:val="20"/>
        </w:rPr>
        <w:t xml:space="preserve"> </w:t>
      </w:r>
      <w:r>
        <w:rPr>
          <w:color w:val="231F20"/>
          <w:spacing w:val="-3"/>
          <w:sz w:val="20"/>
        </w:rPr>
        <w:t>given</w:t>
      </w:r>
      <w:r>
        <w:rPr>
          <w:color w:val="231F20"/>
          <w:spacing w:val="-9"/>
          <w:sz w:val="20"/>
        </w:rPr>
        <w:t xml:space="preserve"> </w:t>
      </w:r>
      <w:r>
        <w:rPr>
          <w:color w:val="231F20"/>
          <w:sz w:val="20"/>
        </w:rPr>
        <w:t>the</w:t>
      </w:r>
      <w:r>
        <w:rPr>
          <w:color w:val="231F20"/>
          <w:spacing w:val="-10"/>
          <w:sz w:val="20"/>
        </w:rPr>
        <w:t xml:space="preserve"> </w:t>
      </w:r>
      <w:r>
        <w:rPr>
          <w:color w:val="231F20"/>
          <w:sz w:val="20"/>
        </w:rPr>
        <w:t>existing</w:t>
      </w:r>
      <w:r>
        <w:rPr>
          <w:color w:val="231F20"/>
          <w:spacing w:val="-9"/>
          <w:sz w:val="20"/>
        </w:rPr>
        <w:t xml:space="preserve"> </w:t>
      </w:r>
      <w:r>
        <w:rPr>
          <w:color w:val="231F20"/>
          <w:sz w:val="20"/>
        </w:rPr>
        <w:t>stalking</w:t>
      </w:r>
      <w:r>
        <w:rPr>
          <w:color w:val="231F20"/>
          <w:spacing w:val="-9"/>
          <w:sz w:val="20"/>
        </w:rPr>
        <w:t xml:space="preserve"> </w:t>
      </w:r>
      <w:r>
        <w:rPr>
          <w:color w:val="231F20"/>
          <w:spacing w:val="-3"/>
          <w:sz w:val="20"/>
        </w:rPr>
        <w:t>offence,</w:t>
      </w:r>
      <w:r>
        <w:rPr>
          <w:color w:val="231F20"/>
          <w:spacing w:val="-10"/>
          <w:sz w:val="20"/>
        </w:rPr>
        <w:t xml:space="preserve"> </w:t>
      </w:r>
      <w:r>
        <w:rPr>
          <w:color w:val="231F20"/>
          <w:spacing w:val="-3"/>
          <w:sz w:val="20"/>
        </w:rPr>
        <w:t xml:space="preserve">by itself, </w:t>
      </w:r>
      <w:r>
        <w:rPr>
          <w:color w:val="231F20"/>
          <w:sz w:val="20"/>
        </w:rPr>
        <w:t>is confusing and challenging to</w:t>
      </w:r>
      <w:r>
        <w:rPr>
          <w:color w:val="231F20"/>
          <w:spacing w:val="-24"/>
          <w:sz w:val="20"/>
        </w:rPr>
        <w:t xml:space="preserve"> </w:t>
      </w:r>
      <w:r>
        <w:rPr>
          <w:color w:val="231F20"/>
          <w:spacing w:val="-4"/>
          <w:sz w:val="20"/>
        </w:rPr>
        <w:t>apply.</w:t>
      </w:r>
    </w:p>
    <w:p w14:paraId="7E35B9D2" w14:textId="77777777" w:rsidR="00894070" w:rsidRDefault="009B7AFD">
      <w:pPr>
        <w:pStyle w:val="ListParagraph"/>
        <w:numPr>
          <w:ilvl w:val="1"/>
          <w:numId w:val="65"/>
        </w:numPr>
        <w:tabs>
          <w:tab w:val="left" w:pos="1802"/>
        </w:tabs>
        <w:spacing w:before="125" w:line="206" w:lineRule="auto"/>
        <w:ind w:right="1255"/>
        <w:jc w:val="both"/>
        <w:rPr>
          <w:sz w:val="20"/>
        </w:rPr>
      </w:pPr>
      <w:r>
        <w:rPr>
          <w:color w:val="231F20"/>
          <w:spacing w:val="-6"/>
          <w:sz w:val="20"/>
        </w:rPr>
        <w:t>We</w:t>
      </w:r>
      <w:r>
        <w:rPr>
          <w:color w:val="231F20"/>
          <w:spacing w:val="-10"/>
          <w:sz w:val="20"/>
        </w:rPr>
        <w:t xml:space="preserve"> </w:t>
      </w:r>
      <w:r>
        <w:rPr>
          <w:color w:val="231F20"/>
          <w:spacing w:val="-3"/>
          <w:sz w:val="20"/>
        </w:rPr>
        <w:t>note</w:t>
      </w:r>
      <w:r>
        <w:rPr>
          <w:color w:val="231F20"/>
          <w:spacing w:val="-9"/>
          <w:sz w:val="20"/>
        </w:rPr>
        <w:t xml:space="preserve"> </w:t>
      </w:r>
      <w:r>
        <w:rPr>
          <w:color w:val="231F20"/>
          <w:sz w:val="20"/>
        </w:rPr>
        <w:t>that</w:t>
      </w:r>
      <w:r>
        <w:rPr>
          <w:color w:val="231F20"/>
          <w:spacing w:val="-10"/>
          <w:sz w:val="20"/>
        </w:rPr>
        <w:t xml:space="preserve"> </w:t>
      </w:r>
      <w:r>
        <w:rPr>
          <w:color w:val="231F20"/>
          <w:sz w:val="20"/>
        </w:rPr>
        <w:t>in</w:t>
      </w:r>
      <w:r>
        <w:rPr>
          <w:color w:val="231F20"/>
          <w:spacing w:val="-9"/>
          <w:sz w:val="20"/>
        </w:rPr>
        <w:t xml:space="preserve"> </w:t>
      </w:r>
      <w:r>
        <w:rPr>
          <w:color w:val="231F20"/>
          <w:sz w:val="20"/>
        </w:rPr>
        <w:t>England</w:t>
      </w:r>
      <w:r>
        <w:rPr>
          <w:color w:val="231F20"/>
          <w:spacing w:val="-10"/>
          <w:sz w:val="20"/>
        </w:rPr>
        <w:t xml:space="preserve"> </w:t>
      </w:r>
      <w:r>
        <w:rPr>
          <w:color w:val="231F20"/>
          <w:sz w:val="20"/>
        </w:rPr>
        <w:t>and</w:t>
      </w:r>
      <w:r>
        <w:rPr>
          <w:color w:val="231F20"/>
          <w:spacing w:val="-9"/>
          <w:sz w:val="20"/>
        </w:rPr>
        <w:t xml:space="preserve"> </w:t>
      </w:r>
      <w:r>
        <w:rPr>
          <w:color w:val="231F20"/>
          <w:spacing w:val="-4"/>
          <w:sz w:val="20"/>
        </w:rPr>
        <w:t>Wales</w:t>
      </w:r>
      <w:r>
        <w:rPr>
          <w:color w:val="231F20"/>
          <w:spacing w:val="-10"/>
          <w:sz w:val="20"/>
        </w:rPr>
        <w:t xml:space="preserve"> </w:t>
      </w:r>
      <w:r>
        <w:rPr>
          <w:color w:val="231F20"/>
          <w:sz w:val="20"/>
        </w:rPr>
        <w:t>there</w:t>
      </w:r>
      <w:r>
        <w:rPr>
          <w:color w:val="231F20"/>
          <w:spacing w:val="-9"/>
          <w:sz w:val="20"/>
        </w:rPr>
        <w:t xml:space="preserve"> </w:t>
      </w:r>
      <w:r>
        <w:rPr>
          <w:color w:val="231F20"/>
          <w:sz w:val="20"/>
        </w:rPr>
        <w:t>is</w:t>
      </w:r>
      <w:r>
        <w:rPr>
          <w:color w:val="231F20"/>
          <w:spacing w:val="-10"/>
          <w:sz w:val="20"/>
        </w:rPr>
        <w:t xml:space="preserve"> </w:t>
      </w:r>
      <w:r>
        <w:rPr>
          <w:color w:val="231F20"/>
          <w:sz w:val="20"/>
        </w:rPr>
        <w:t>a</w:t>
      </w:r>
      <w:r>
        <w:rPr>
          <w:color w:val="231F20"/>
          <w:spacing w:val="-9"/>
          <w:sz w:val="20"/>
        </w:rPr>
        <w:t xml:space="preserve"> </w:t>
      </w:r>
      <w:r>
        <w:rPr>
          <w:color w:val="231F20"/>
          <w:sz w:val="20"/>
        </w:rPr>
        <w:t>harassment</w:t>
      </w:r>
      <w:r>
        <w:rPr>
          <w:color w:val="231F20"/>
          <w:spacing w:val="-10"/>
          <w:sz w:val="20"/>
        </w:rPr>
        <w:t xml:space="preserve"> </w:t>
      </w:r>
      <w:r>
        <w:rPr>
          <w:color w:val="231F20"/>
          <w:sz w:val="20"/>
        </w:rPr>
        <w:t>offence.</w:t>
      </w:r>
      <w:r>
        <w:rPr>
          <w:color w:val="231F20"/>
          <w:position w:val="7"/>
          <w:sz w:val="11"/>
        </w:rPr>
        <w:t>54</w:t>
      </w:r>
      <w:r>
        <w:rPr>
          <w:color w:val="231F20"/>
          <w:spacing w:val="14"/>
          <w:position w:val="7"/>
          <w:sz w:val="11"/>
        </w:rPr>
        <w:t xml:space="preserve"> </w:t>
      </w:r>
      <w:r>
        <w:rPr>
          <w:color w:val="231F20"/>
          <w:sz w:val="20"/>
        </w:rPr>
        <w:t>But</w:t>
      </w:r>
      <w:r>
        <w:rPr>
          <w:color w:val="231F20"/>
          <w:spacing w:val="-9"/>
          <w:sz w:val="20"/>
        </w:rPr>
        <w:t xml:space="preserve"> </w:t>
      </w:r>
      <w:r>
        <w:rPr>
          <w:color w:val="231F20"/>
          <w:sz w:val="20"/>
        </w:rPr>
        <w:t>that</w:t>
      </w:r>
      <w:r>
        <w:rPr>
          <w:color w:val="231F20"/>
          <w:spacing w:val="-10"/>
          <w:sz w:val="20"/>
        </w:rPr>
        <w:t xml:space="preserve"> </w:t>
      </w:r>
      <w:r>
        <w:rPr>
          <w:color w:val="231F20"/>
          <w:sz w:val="20"/>
        </w:rPr>
        <w:t>legislation has</w:t>
      </w:r>
      <w:r>
        <w:rPr>
          <w:color w:val="231F20"/>
          <w:spacing w:val="-9"/>
          <w:sz w:val="20"/>
        </w:rPr>
        <w:t xml:space="preserve"> </w:t>
      </w:r>
      <w:r>
        <w:rPr>
          <w:color w:val="231F20"/>
          <w:sz w:val="20"/>
        </w:rPr>
        <w:t>been</w:t>
      </w:r>
      <w:r>
        <w:rPr>
          <w:color w:val="231F20"/>
          <w:spacing w:val="-9"/>
          <w:sz w:val="20"/>
        </w:rPr>
        <w:t xml:space="preserve"> </w:t>
      </w:r>
      <w:r>
        <w:rPr>
          <w:color w:val="231F20"/>
          <w:sz w:val="20"/>
        </w:rPr>
        <w:t>criticised</w:t>
      </w:r>
      <w:r>
        <w:rPr>
          <w:color w:val="231F20"/>
          <w:spacing w:val="-9"/>
          <w:sz w:val="20"/>
        </w:rPr>
        <w:t xml:space="preserve"> </w:t>
      </w:r>
      <w:r>
        <w:rPr>
          <w:color w:val="231F20"/>
          <w:sz w:val="20"/>
        </w:rPr>
        <w:t>on</w:t>
      </w:r>
      <w:r>
        <w:rPr>
          <w:color w:val="231F20"/>
          <w:spacing w:val="-9"/>
          <w:sz w:val="20"/>
        </w:rPr>
        <w:t xml:space="preserve"> </w:t>
      </w:r>
      <w:proofErr w:type="gramStart"/>
      <w:r>
        <w:rPr>
          <w:color w:val="231F20"/>
          <w:sz w:val="20"/>
        </w:rPr>
        <w:t>a</w:t>
      </w:r>
      <w:r>
        <w:rPr>
          <w:color w:val="231F20"/>
          <w:spacing w:val="-9"/>
          <w:sz w:val="20"/>
        </w:rPr>
        <w:t xml:space="preserve"> </w:t>
      </w:r>
      <w:r>
        <w:rPr>
          <w:color w:val="231F20"/>
          <w:sz w:val="20"/>
        </w:rPr>
        <w:t>number</w:t>
      </w:r>
      <w:r>
        <w:rPr>
          <w:color w:val="231F20"/>
          <w:spacing w:val="-9"/>
          <w:sz w:val="20"/>
        </w:rPr>
        <w:t xml:space="preserve"> </w:t>
      </w:r>
      <w:r>
        <w:rPr>
          <w:color w:val="231F20"/>
          <w:sz w:val="20"/>
        </w:rPr>
        <w:t>of</w:t>
      </w:r>
      <w:proofErr w:type="gramEnd"/>
      <w:r>
        <w:rPr>
          <w:color w:val="231F20"/>
          <w:spacing w:val="-9"/>
          <w:sz w:val="20"/>
        </w:rPr>
        <w:t xml:space="preserve"> </w:t>
      </w:r>
      <w:r>
        <w:rPr>
          <w:color w:val="231F20"/>
          <w:sz w:val="20"/>
        </w:rPr>
        <w:t>bases,</w:t>
      </w:r>
      <w:r>
        <w:rPr>
          <w:color w:val="231F20"/>
          <w:spacing w:val="-9"/>
          <w:sz w:val="20"/>
        </w:rPr>
        <w:t xml:space="preserve"> </w:t>
      </w:r>
      <w:r>
        <w:rPr>
          <w:color w:val="231F20"/>
          <w:sz w:val="20"/>
        </w:rPr>
        <w:t>including</w:t>
      </w:r>
      <w:r>
        <w:rPr>
          <w:color w:val="231F20"/>
          <w:spacing w:val="-9"/>
          <w:sz w:val="20"/>
        </w:rPr>
        <w:t xml:space="preserve"> </w:t>
      </w:r>
      <w:r>
        <w:rPr>
          <w:color w:val="231F20"/>
          <w:sz w:val="20"/>
        </w:rPr>
        <w:t>that</w:t>
      </w:r>
      <w:r>
        <w:rPr>
          <w:color w:val="231F20"/>
          <w:spacing w:val="-9"/>
          <w:sz w:val="20"/>
        </w:rPr>
        <w:t xml:space="preserve"> </w:t>
      </w:r>
      <w:r>
        <w:rPr>
          <w:color w:val="231F20"/>
          <w:sz w:val="20"/>
        </w:rPr>
        <w:t>it</w:t>
      </w:r>
      <w:r>
        <w:rPr>
          <w:color w:val="231F20"/>
          <w:spacing w:val="-9"/>
          <w:sz w:val="20"/>
        </w:rPr>
        <w:t xml:space="preserve"> </w:t>
      </w:r>
      <w:r>
        <w:rPr>
          <w:color w:val="231F20"/>
          <w:sz w:val="20"/>
        </w:rPr>
        <w:t>has</w:t>
      </w:r>
      <w:r>
        <w:rPr>
          <w:color w:val="231F20"/>
          <w:spacing w:val="-9"/>
          <w:sz w:val="20"/>
        </w:rPr>
        <w:t xml:space="preserve"> </w:t>
      </w:r>
      <w:r>
        <w:rPr>
          <w:color w:val="231F20"/>
          <w:sz w:val="20"/>
        </w:rPr>
        <w:t>caused</w:t>
      </w:r>
      <w:r>
        <w:rPr>
          <w:color w:val="231F20"/>
          <w:spacing w:val="-9"/>
          <w:sz w:val="20"/>
        </w:rPr>
        <w:t xml:space="preserve"> </w:t>
      </w:r>
      <w:r>
        <w:rPr>
          <w:color w:val="231F20"/>
          <w:sz w:val="20"/>
        </w:rPr>
        <w:t>confusion</w:t>
      </w:r>
      <w:r>
        <w:rPr>
          <w:color w:val="231F20"/>
          <w:spacing w:val="-9"/>
          <w:sz w:val="20"/>
        </w:rPr>
        <w:t xml:space="preserve"> </w:t>
      </w:r>
      <w:r>
        <w:rPr>
          <w:color w:val="231F20"/>
          <w:sz w:val="20"/>
        </w:rPr>
        <w:t>about whether</w:t>
      </w:r>
      <w:r>
        <w:rPr>
          <w:color w:val="231F20"/>
          <w:spacing w:val="-10"/>
          <w:sz w:val="20"/>
        </w:rPr>
        <w:t xml:space="preserve"> </w:t>
      </w:r>
      <w:r>
        <w:rPr>
          <w:color w:val="231F20"/>
          <w:sz w:val="20"/>
        </w:rPr>
        <w:t>certain</w:t>
      </w:r>
      <w:r>
        <w:rPr>
          <w:color w:val="231F20"/>
          <w:spacing w:val="-9"/>
          <w:sz w:val="20"/>
        </w:rPr>
        <w:t xml:space="preserve"> </w:t>
      </w:r>
      <w:r>
        <w:rPr>
          <w:color w:val="231F20"/>
          <w:sz w:val="20"/>
        </w:rPr>
        <w:t>behaviour</w:t>
      </w:r>
      <w:r>
        <w:rPr>
          <w:color w:val="231F20"/>
          <w:spacing w:val="-9"/>
          <w:sz w:val="20"/>
        </w:rPr>
        <w:t xml:space="preserve"> </w:t>
      </w:r>
      <w:r>
        <w:rPr>
          <w:color w:val="231F20"/>
          <w:sz w:val="20"/>
        </w:rPr>
        <w:t>amounts</w:t>
      </w:r>
      <w:r>
        <w:rPr>
          <w:color w:val="231F20"/>
          <w:spacing w:val="-9"/>
          <w:sz w:val="20"/>
        </w:rPr>
        <w:t xml:space="preserve"> </w:t>
      </w:r>
      <w:r>
        <w:rPr>
          <w:color w:val="231F20"/>
          <w:sz w:val="20"/>
        </w:rPr>
        <w:t>to</w:t>
      </w:r>
      <w:r>
        <w:rPr>
          <w:color w:val="231F20"/>
          <w:spacing w:val="-9"/>
          <w:sz w:val="20"/>
        </w:rPr>
        <w:t xml:space="preserve"> </w:t>
      </w:r>
      <w:r>
        <w:rPr>
          <w:color w:val="231F20"/>
          <w:sz w:val="20"/>
        </w:rPr>
        <w:t>harassment</w:t>
      </w:r>
      <w:r>
        <w:rPr>
          <w:color w:val="231F20"/>
          <w:spacing w:val="-10"/>
          <w:sz w:val="20"/>
        </w:rPr>
        <w:t xml:space="preserve"> </w:t>
      </w:r>
      <w:r>
        <w:rPr>
          <w:color w:val="231F20"/>
          <w:sz w:val="20"/>
        </w:rPr>
        <w:t>or</w:t>
      </w:r>
      <w:r>
        <w:rPr>
          <w:color w:val="231F20"/>
          <w:spacing w:val="-9"/>
          <w:sz w:val="20"/>
        </w:rPr>
        <w:t xml:space="preserve"> </w:t>
      </w:r>
      <w:r>
        <w:rPr>
          <w:color w:val="231F20"/>
          <w:sz w:val="20"/>
        </w:rPr>
        <w:t>stalking.</w:t>
      </w:r>
      <w:r>
        <w:rPr>
          <w:color w:val="231F20"/>
          <w:position w:val="7"/>
          <w:sz w:val="11"/>
        </w:rPr>
        <w:t>55</w:t>
      </w:r>
      <w:r>
        <w:rPr>
          <w:color w:val="231F20"/>
          <w:spacing w:val="15"/>
          <w:position w:val="7"/>
          <w:sz w:val="11"/>
        </w:rPr>
        <w:t xml:space="preserve"> </w:t>
      </w:r>
      <w:r>
        <w:rPr>
          <w:color w:val="231F20"/>
          <w:spacing w:val="-6"/>
          <w:sz w:val="20"/>
        </w:rPr>
        <w:t>We</w:t>
      </w:r>
      <w:r>
        <w:rPr>
          <w:color w:val="231F20"/>
          <w:spacing w:val="-9"/>
          <w:sz w:val="20"/>
        </w:rPr>
        <w:t xml:space="preserve"> </w:t>
      </w:r>
      <w:r>
        <w:rPr>
          <w:color w:val="231F20"/>
          <w:sz w:val="20"/>
        </w:rPr>
        <w:t>do</w:t>
      </w:r>
      <w:r>
        <w:rPr>
          <w:color w:val="231F20"/>
          <w:spacing w:val="-10"/>
          <w:sz w:val="20"/>
        </w:rPr>
        <w:t xml:space="preserve"> </w:t>
      </w:r>
      <w:r>
        <w:rPr>
          <w:color w:val="231F20"/>
          <w:sz w:val="20"/>
        </w:rPr>
        <w:t>not</w:t>
      </w:r>
      <w:r>
        <w:rPr>
          <w:color w:val="231F20"/>
          <w:spacing w:val="-9"/>
          <w:sz w:val="20"/>
        </w:rPr>
        <w:t xml:space="preserve"> </w:t>
      </w:r>
      <w:r>
        <w:rPr>
          <w:color w:val="231F20"/>
          <w:sz w:val="20"/>
        </w:rPr>
        <w:t>propose</w:t>
      </w:r>
      <w:r>
        <w:rPr>
          <w:color w:val="231F20"/>
          <w:spacing w:val="-9"/>
          <w:sz w:val="20"/>
        </w:rPr>
        <w:t xml:space="preserve"> </w:t>
      </w:r>
      <w:r>
        <w:rPr>
          <w:color w:val="231F20"/>
          <w:sz w:val="20"/>
        </w:rPr>
        <w:t>to pursue this idea</w:t>
      </w:r>
      <w:r>
        <w:rPr>
          <w:color w:val="231F20"/>
          <w:spacing w:val="-13"/>
          <w:sz w:val="20"/>
        </w:rPr>
        <w:t xml:space="preserve"> </w:t>
      </w:r>
      <w:r>
        <w:rPr>
          <w:color w:val="231F20"/>
          <w:spacing w:val="-3"/>
          <w:sz w:val="20"/>
        </w:rPr>
        <w:t>further.</w:t>
      </w:r>
    </w:p>
    <w:p w14:paraId="6E26B222" w14:textId="77777777" w:rsidR="00894070" w:rsidRDefault="00894070">
      <w:pPr>
        <w:pStyle w:val="BodyText"/>
        <w:spacing w:before="8"/>
        <w:rPr>
          <w:sz w:val="16"/>
        </w:rPr>
      </w:pPr>
    </w:p>
    <w:p w14:paraId="5D8CC480" w14:textId="77777777" w:rsidR="00894070" w:rsidRDefault="009B7AFD">
      <w:pPr>
        <w:pStyle w:val="Heading7"/>
        <w:spacing w:before="1"/>
      </w:pPr>
      <w:r>
        <w:rPr>
          <w:color w:val="EA5B50"/>
        </w:rPr>
        <w:t>The stalking offence is not applied well in practice</w:t>
      </w:r>
    </w:p>
    <w:p w14:paraId="7C5B4FF8" w14:textId="77777777" w:rsidR="00894070" w:rsidRDefault="009B7AFD">
      <w:pPr>
        <w:pStyle w:val="ListParagraph"/>
        <w:numPr>
          <w:ilvl w:val="1"/>
          <w:numId w:val="65"/>
        </w:numPr>
        <w:tabs>
          <w:tab w:val="left" w:pos="1801"/>
          <w:tab w:val="left" w:pos="1802"/>
        </w:tabs>
        <w:spacing w:before="113" w:line="259" w:lineRule="exact"/>
        <w:rPr>
          <w:sz w:val="20"/>
        </w:rPr>
      </w:pPr>
      <w:r>
        <w:rPr>
          <w:color w:val="231F20"/>
          <w:sz w:val="20"/>
        </w:rPr>
        <w:t>A</w:t>
      </w:r>
      <w:r>
        <w:rPr>
          <w:color w:val="231F20"/>
          <w:spacing w:val="-7"/>
          <w:sz w:val="20"/>
        </w:rPr>
        <w:t xml:space="preserve"> </w:t>
      </w:r>
      <w:r>
        <w:rPr>
          <w:color w:val="231F20"/>
          <w:sz w:val="20"/>
        </w:rPr>
        <w:t>major</w:t>
      </w:r>
      <w:r>
        <w:rPr>
          <w:color w:val="231F20"/>
          <w:spacing w:val="-6"/>
          <w:sz w:val="20"/>
        </w:rPr>
        <w:t xml:space="preserve"> </w:t>
      </w:r>
      <w:r>
        <w:rPr>
          <w:color w:val="231F20"/>
          <w:sz w:val="20"/>
        </w:rPr>
        <w:t>theme</w:t>
      </w:r>
      <w:r>
        <w:rPr>
          <w:color w:val="231F20"/>
          <w:spacing w:val="-7"/>
          <w:sz w:val="20"/>
        </w:rPr>
        <w:t xml:space="preserve"> </w:t>
      </w:r>
      <w:r>
        <w:rPr>
          <w:color w:val="231F20"/>
          <w:sz w:val="20"/>
        </w:rPr>
        <w:t>in</w:t>
      </w:r>
      <w:r>
        <w:rPr>
          <w:color w:val="231F20"/>
          <w:spacing w:val="-6"/>
          <w:sz w:val="20"/>
        </w:rPr>
        <w:t xml:space="preserve"> </w:t>
      </w:r>
      <w:r>
        <w:rPr>
          <w:color w:val="231F20"/>
          <w:sz w:val="20"/>
        </w:rPr>
        <w:t>this</w:t>
      </w:r>
      <w:r>
        <w:rPr>
          <w:color w:val="231F20"/>
          <w:spacing w:val="-7"/>
          <w:sz w:val="20"/>
        </w:rPr>
        <w:t xml:space="preserve"> </w:t>
      </w:r>
      <w:r>
        <w:rPr>
          <w:color w:val="231F20"/>
          <w:sz w:val="20"/>
        </w:rPr>
        <w:t>inquiry</w:t>
      </w:r>
      <w:r>
        <w:rPr>
          <w:color w:val="231F20"/>
          <w:spacing w:val="-6"/>
          <w:sz w:val="20"/>
        </w:rPr>
        <w:t xml:space="preserve"> </w:t>
      </w:r>
      <w:r>
        <w:rPr>
          <w:color w:val="231F20"/>
          <w:sz w:val="20"/>
        </w:rPr>
        <w:t>was</w:t>
      </w:r>
      <w:r>
        <w:rPr>
          <w:color w:val="231F20"/>
          <w:spacing w:val="-6"/>
          <w:sz w:val="20"/>
        </w:rPr>
        <w:t xml:space="preserve"> </w:t>
      </w:r>
      <w:r>
        <w:rPr>
          <w:color w:val="231F20"/>
          <w:sz w:val="20"/>
        </w:rPr>
        <w:t>that</w:t>
      </w:r>
      <w:r>
        <w:rPr>
          <w:color w:val="231F20"/>
          <w:spacing w:val="-7"/>
          <w:sz w:val="20"/>
        </w:rPr>
        <w:t xml:space="preserve"> </w:t>
      </w:r>
      <w:r>
        <w:rPr>
          <w:color w:val="231F20"/>
          <w:sz w:val="20"/>
        </w:rPr>
        <w:t>there</w:t>
      </w:r>
      <w:r>
        <w:rPr>
          <w:color w:val="231F20"/>
          <w:spacing w:val="-6"/>
          <w:sz w:val="20"/>
        </w:rPr>
        <w:t xml:space="preserve"> </w:t>
      </w:r>
      <w:r>
        <w:rPr>
          <w:color w:val="231F20"/>
          <w:spacing w:val="-3"/>
          <w:sz w:val="20"/>
        </w:rPr>
        <w:t>are</w:t>
      </w:r>
      <w:r>
        <w:rPr>
          <w:color w:val="231F20"/>
          <w:spacing w:val="-7"/>
          <w:sz w:val="20"/>
        </w:rPr>
        <w:t xml:space="preserve"> </w:t>
      </w:r>
      <w:r>
        <w:rPr>
          <w:color w:val="231F20"/>
          <w:sz w:val="20"/>
        </w:rPr>
        <w:t>problems</w:t>
      </w:r>
      <w:r>
        <w:rPr>
          <w:color w:val="231F20"/>
          <w:spacing w:val="-6"/>
          <w:sz w:val="20"/>
        </w:rPr>
        <w:t xml:space="preserve"> </w:t>
      </w:r>
      <w:r>
        <w:rPr>
          <w:color w:val="231F20"/>
          <w:sz w:val="20"/>
        </w:rPr>
        <w:t>with</w:t>
      </w:r>
      <w:r>
        <w:rPr>
          <w:color w:val="231F20"/>
          <w:spacing w:val="-6"/>
          <w:sz w:val="20"/>
        </w:rPr>
        <w:t xml:space="preserve"> </w:t>
      </w:r>
      <w:r>
        <w:rPr>
          <w:color w:val="231F20"/>
          <w:spacing w:val="-3"/>
          <w:sz w:val="20"/>
        </w:rPr>
        <w:t>how</w:t>
      </w:r>
      <w:r>
        <w:rPr>
          <w:color w:val="231F20"/>
          <w:spacing w:val="-7"/>
          <w:sz w:val="20"/>
        </w:rPr>
        <w:t xml:space="preserve"> </w:t>
      </w:r>
      <w:r>
        <w:rPr>
          <w:color w:val="231F20"/>
          <w:sz w:val="20"/>
        </w:rPr>
        <w:t>the</w:t>
      </w:r>
      <w:r>
        <w:rPr>
          <w:color w:val="231F20"/>
          <w:spacing w:val="-6"/>
          <w:sz w:val="20"/>
        </w:rPr>
        <w:t xml:space="preserve"> </w:t>
      </w:r>
      <w:r>
        <w:rPr>
          <w:color w:val="231F20"/>
          <w:sz w:val="20"/>
        </w:rPr>
        <w:t>stalking</w:t>
      </w:r>
      <w:r>
        <w:rPr>
          <w:color w:val="231F20"/>
          <w:spacing w:val="-7"/>
          <w:sz w:val="20"/>
        </w:rPr>
        <w:t xml:space="preserve"> </w:t>
      </w:r>
      <w:r>
        <w:rPr>
          <w:color w:val="231F20"/>
          <w:sz w:val="20"/>
        </w:rPr>
        <w:t>offence</w:t>
      </w:r>
    </w:p>
    <w:p w14:paraId="5617C565" w14:textId="77777777" w:rsidR="00894070" w:rsidRDefault="009B7AFD">
      <w:pPr>
        <w:pStyle w:val="BodyText"/>
        <w:spacing w:line="259" w:lineRule="exact"/>
        <w:ind w:left="1801"/>
        <w:rPr>
          <w:sz w:val="11"/>
        </w:rPr>
      </w:pPr>
      <w:r>
        <w:rPr>
          <w:color w:val="231F20"/>
        </w:rPr>
        <w:t>is applied in practice.</w:t>
      </w:r>
      <w:r>
        <w:rPr>
          <w:color w:val="231F20"/>
          <w:position w:val="7"/>
          <w:sz w:val="11"/>
        </w:rPr>
        <w:t>56</w:t>
      </w:r>
    </w:p>
    <w:p w14:paraId="68FC8789" w14:textId="77777777" w:rsidR="00894070" w:rsidRDefault="009B7AFD">
      <w:pPr>
        <w:pStyle w:val="ListParagraph"/>
        <w:numPr>
          <w:ilvl w:val="1"/>
          <w:numId w:val="65"/>
        </w:numPr>
        <w:tabs>
          <w:tab w:val="left" w:pos="1801"/>
          <w:tab w:val="left" w:pos="1802"/>
        </w:tabs>
        <w:spacing w:before="115" w:line="206" w:lineRule="auto"/>
        <w:ind w:right="1322"/>
        <w:rPr>
          <w:sz w:val="11"/>
        </w:rPr>
      </w:pPr>
      <w:r>
        <w:rPr>
          <w:color w:val="231F20"/>
          <w:spacing w:val="-6"/>
          <w:sz w:val="20"/>
        </w:rPr>
        <w:t xml:space="preserve">We </w:t>
      </w:r>
      <w:r>
        <w:rPr>
          <w:color w:val="231F20"/>
          <w:sz w:val="20"/>
        </w:rPr>
        <w:t xml:space="preserve">heard that police </w:t>
      </w:r>
      <w:r>
        <w:rPr>
          <w:color w:val="231F20"/>
          <w:spacing w:val="-3"/>
          <w:sz w:val="20"/>
        </w:rPr>
        <w:t xml:space="preserve">may </w:t>
      </w:r>
      <w:r>
        <w:rPr>
          <w:color w:val="231F20"/>
          <w:sz w:val="20"/>
        </w:rPr>
        <w:t xml:space="preserve">be unfamiliar with the stalking offence or find it difficult to </w:t>
      </w:r>
      <w:r>
        <w:rPr>
          <w:color w:val="231F20"/>
          <w:spacing w:val="-3"/>
          <w:sz w:val="20"/>
        </w:rPr>
        <w:t>apply</w:t>
      </w:r>
      <w:r>
        <w:rPr>
          <w:color w:val="231F20"/>
          <w:spacing w:val="-10"/>
          <w:sz w:val="20"/>
        </w:rPr>
        <w:t xml:space="preserve"> </w:t>
      </w:r>
      <w:r>
        <w:rPr>
          <w:color w:val="231F20"/>
          <w:sz w:val="20"/>
        </w:rPr>
        <w:t>to</w:t>
      </w:r>
      <w:r>
        <w:rPr>
          <w:color w:val="231F20"/>
          <w:spacing w:val="-9"/>
          <w:sz w:val="20"/>
        </w:rPr>
        <w:t xml:space="preserve"> </w:t>
      </w:r>
      <w:r>
        <w:rPr>
          <w:color w:val="231F20"/>
          <w:sz w:val="20"/>
        </w:rPr>
        <w:t>the</w:t>
      </w:r>
      <w:r>
        <w:rPr>
          <w:color w:val="231F20"/>
          <w:spacing w:val="-9"/>
          <w:sz w:val="20"/>
        </w:rPr>
        <w:t xml:space="preserve"> </w:t>
      </w:r>
      <w:r>
        <w:rPr>
          <w:color w:val="231F20"/>
          <w:sz w:val="20"/>
        </w:rPr>
        <w:t>facts</w:t>
      </w:r>
      <w:r>
        <w:rPr>
          <w:color w:val="231F20"/>
          <w:spacing w:val="-10"/>
          <w:sz w:val="20"/>
        </w:rPr>
        <w:t xml:space="preserve"> </w:t>
      </w:r>
      <w:r>
        <w:rPr>
          <w:color w:val="231F20"/>
          <w:sz w:val="20"/>
        </w:rPr>
        <w:t>of</w:t>
      </w:r>
      <w:r>
        <w:rPr>
          <w:color w:val="231F20"/>
          <w:spacing w:val="-9"/>
          <w:sz w:val="20"/>
        </w:rPr>
        <w:t xml:space="preserve"> </w:t>
      </w:r>
      <w:r>
        <w:rPr>
          <w:color w:val="231F20"/>
          <w:sz w:val="20"/>
        </w:rPr>
        <w:t>a</w:t>
      </w:r>
      <w:r>
        <w:rPr>
          <w:color w:val="231F20"/>
          <w:spacing w:val="-9"/>
          <w:sz w:val="20"/>
        </w:rPr>
        <w:t xml:space="preserve"> </w:t>
      </w:r>
      <w:r>
        <w:rPr>
          <w:color w:val="231F20"/>
          <w:sz w:val="20"/>
        </w:rPr>
        <w:t>case.</w:t>
      </w:r>
      <w:r>
        <w:rPr>
          <w:color w:val="231F20"/>
          <w:position w:val="7"/>
          <w:sz w:val="11"/>
        </w:rPr>
        <w:t>57</w:t>
      </w:r>
      <w:r>
        <w:rPr>
          <w:color w:val="231F20"/>
          <w:spacing w:val="14"/>
          <w:position w:val="7"/>
          <w:sz w:val="11"/>
        </w:rPr>
        <w:t xml:space="preserve"> </w:t>
      </w:r>
      <w:r>
        <w:rPr>
          <w:color w:val="231F20"/>
          <w:sz w:val="20"/>
        </w:rPr>
        <w:t>This</w:t>
      </w:r>
      <w:r>
        <w:rPr>
          <w:color w:val="231F20"/>
          <w:spacing w:val="-9"/>
          <w:sz w:val="20"/>
        </w:rPr>
        <w:t xml:space="preserve"> </w:t>
      </w:r>
      <w:r>
        <w:rPr>
          <w:color w:val="231F20"/>
          <w:sz w:val="20"/>
        </w:rPr>
        <w:t>leads</w:t>
      </w:r>
      <w:r>
        <w:rPr>
          <w:color w:val="231F20"/>
          <w:spacing w:val="-9"/>
          <w:sz w:val="20"/>
        </w:rPr>
        <w:t xml:space="preserve"> </w:t>
      </w:r>
      <w:r>
        <w:rPr>
          <w:color w:val="231F20"/>
          <w:sz w:val="20"/>
        </w:rPr>
        <w:t>to</w:t>
      </w:r>
      <w:r>
        <w:rPr>
          <w:color w:val="231F20"/>
          <w:spacing w:val="-9"/>
          <w:sz w:val="20"/>
        </w:rPr>
        <w:t xml:space="preserve"> </w:t>
      </w:r>
      <w:r>
        <w:rPr>
          <w:color w:val="231F20"/>
          <w:sz w:val="20"/>
        </w:rPr>
        <w:t>a</w:t>
      </w:r>
      <w:r>
        <w:rPr>
          <w:color w:val="231F20"/>
          <w:spacing w:val="-10"/>
          <w:sz w:val="20"/>
        </w:rPr>
        <w:t xml:space="preserve"> </w:t>
      </w:r>
      <w:r>
        <w:rPr>
          <w:color w:val="231F20"/>
          <w:sz w:val="20"/>
        </w:rPr>
        <w:t>perception</w:t>
      </w:r>
      <w:r>
        <w:rPr>
          <w:color w:val="231F20"/>
          <w:spacing w:val="-9"/>
          <w:sz w:val="20"/>
        </w:rPr>
        <w:t xml:space="preserve"> </w:t>
      </w:r>
      <w:r>
        <w:rPr>
          <w:color w:val="231F20"/>
          <w:sz w:val="20"/>
        </w:rPr>
        <w:t>that</w:t>
      </w:r>
      <w:r>
        <w:rPr>
          <w:color w:val="231F20"/>
          <w:spacing w:val="-9"/>
          <w:sz w:val="20"/>
        </w:rPr>
        <w:t xml:space="preserve"> </w:t>
      </w:r>
      <w:r>
        <w:rPr>
          <w:color w:val="231F20"/>
          <w:sz w:val="20"/>
        </w:rPr>
        <w:t>the</w:t>
      </w:r>
      <w:r>
        <w:rPr>
          <w:color w:val="231F20"/>
          <w:spacing w:val="-10"/>
          <w:sz w:val="20"/>
        </w:rPr>
        <w:t xml:space="preserve"> </w:t>
      </w:r>
      <w:r>
        <w:rPr>
          <w:color w:val="231F20"/>
          <w:sz w:val="20"/>
        </w:rPr>
        <w:t>stalking</w:t>
      </w:r>
      <w:r>
        <w:rPr>
          <w:color w:val="231F20"/>
          <w:spacing w:val="-9"/>
          <w:sz w:val="20"/>
        </w:rPr>
        <w:t xml:space="preserve"> </w:t>
      </w:r>
      <w:r>
        <w:rPr>
          <w:color w:val="231F20"/>
          <w:sz w:val="20"/>
        </w:rPr>
        <w:t>offence</w:t>
      </w:r>
      <w:r>
        <w:rPr>
          <w:color w:val="231F20"/>
          <w:spacing w:val="-9"/>
          <w:sz w:val="20"/>
        </w:rPr>
        <w:t xml:space="preserve"> </w:t>
      </w:r>
      <w:r>
        <w:rPr>
          <w:color w:val="231F20"/>
          <w:sz w:val="20"/>
        </w:rPr>
        <w:t>is</w:t>
      </w:r>
      <w:r>
        <w:rPr>
          <w:color w:val="231F20"/>
          <w:spacing w:val="-10"/>
          <w:sz w:val="20"/>
        </w:rPr>
        <w:t xml:space="preserve"> </w:t>
      </w:r>
      <w:r>
        <w:rPr>
          <w:color w:val="231F20"/>
          <w:sz w:val="20"/>
        </w:rPr>
        <w:t>too difficult</w:t>
      </w:r>
      <w:r>
        <w:rPr>
          <w:color w:val="231F20"/>
          <w:spacing w:val="-11"/>
          <w:sz w:val="20"/>
        </w:rPr>
        <w:t xml:space="preserve"> </w:t>
      </w:r>
      <w:r>
        <w:rPr>
          <w:color w:val="231F20"/>
          <w:sz w:val="20"/>
        </w:rPr>
        <w:t>to</w:t>
      </w:r>
      <w:r>
        <w:rPr>
          <w:color w:val="231F20"/>
          <w:spacing w:val="-10"/>
          <w:sz w:val="20"/>
        </w:rPr>
        <w:t xml:space="preserve"> </w:t>
      </w:r>
      <w:r>
        <w:rPr>
          <w:color w:val="231F20"/>
          <w:spacing w:val="-4"/>
          <w:sz w:val="20"/>
        </w:rPr>
        <w:t>prove</w:t>
      </w:r>
      <w:r>
        <w:rPr>
          <w:color w:val="231F20"/>
          <w:spacing w:val="-10"/>
          <w:sz w:val="20"/>
        </w:rPr>
        <w:t xml:space="preserve"> </w:t>
      </w:r>
      <w:r>
        <w:rPr>
          <w:color w:val="231F20"/>
          <w:sz w:val="20"/>
        </w:rPr>
        <w:t>in</w:t>
      </w:r>
      <w:r>
        <w:rPr>
          <w:color w:val="231F20"/>
          <w:spacing w:val="-10"/>
          <w:sz w:val="20"/>
        </w:rPr>
        <w:t xml:space="preserve"> </w:t>
      </w:r>
      <w:r>
        <w:rPr>
          <w:color w:val="231F20"/>
          <w:sz w:val="20"/>
        </w:rPr>
        <w:t>court</w:t>
      </w:r>
      <w:r>
        <w:rPr>
          <w:color w:val="231F20"/>
          <w:spacing w:val="-10"/>
          <w:sz w:val="20"/>
        </w:rPr>
        <w:t xml:space="preserve"> </w:t>
      </w:r>
      <w:r>
        <w:rPr>
          <w:color w:val="231F20"/>
          <w:sz w:val="20"/>
        </w:rPr>
        <w:t>(discussed</w:t>
      </w:r>
      <w:r>
        <w:rPr>
          <w:color w:val="231F20"/>
          <w:spacing w:val="-10"/>
          <w:sz w:val="20"/>
        </w:rPr>
        <w:t xml:space="preserve"> </w:t>
      </w:r>
      <w:r>
        <w:rPr>
          <w:color w:val="231F20"/>
          <w:sz w:val="20"/>
        </w:rPr>
        <w:t>next).</w:t>
      </w:r>
      <w:r>
        <w:rPr>
          <w:color w:val="231F20"/>
          <w:spacing w:val="-10"/>
          <w:sz w:val="20"/>
        </w:rPr>
        <w:t xml:space="preserve"> </w:t>
      </w:r>
      <w:r>
        <w:rPr>
          <w:color w:val="231F20"/>
          <w:sz w:val="20"/>
        </w:rPr>
        <w:t>It</w:t>
      </w:r>
      <w:r>
        <w:rPr>
          <w:color w:val="231F20"/>
          <w:spacing w:val="-10"/>
          <w:sz w:val="20"/>
        </w:rPr>
        <w:t xml:space="preserve"> </w:t>
      </w:r>
      <w:r>
        <w:rPr>
          <w:color w:val="231F20"/>
          <w:sz w:val="20"/>
        </w:rPr>
        <w:t>also</w:t>
      </w:r>
      <w:r>
        <w:rPr>
          <w:color w:val="231F20"/>
          <w:spacing w:val="-10"/>
          <w:sz w:val="20"/>
        </w:rPr>
        <w:t xml:space="preserve"> </w:t>
      </w:r>
      <w:r>
        <w:rPr>
          <w:color w:val="231F20"/>
          <w:sz w:val="20"/>
        </w:rPr>
        <w:t>leads</w:t>
      </w:r>
      <w:r>
        <w:rPr>
          <w:color w:val="231F20"/>
          <w:spacing w:val="-10"/>
          <w:sz w:val="20"/>
        </w:rPr>
        <w:t xml:space="preserve"> </w:t>
      </w:r>
      <w:r>
        <w:rPr>
          <w:color w:val="231F20"/>
          <w:sz w:val="20"/>
        </w:rPr>
        <w:t>to</w:t>
      </w:r>
      <w:r>
        <w:rPr>
          <w:color w:val="231F20"/>
          <w:spacing w:val="-10"/>
          <w:sz w:val="20"/>
        </w:rPr>
        <w:t xml:space="preserve"> </w:t>
      </w:r>
      <w:r>
        <w:rPr>
          <w:color w:val="231F20"/>
          <w:sz w:val="20"/>
        </w:rPr>
        <w:t>variation</w:t>
      </w:r>
      <w:r>
        <w:rPr>
          <w:color w:val="231F20"/>
          <w:spacing w:val="-10"/>
          <w:sz w:val="20"/>
        </w:rPr>
        <w:t xml:space="preserve"> </w:t>
      </w:r>
      <w:r>
        <w:rPr>
          <w:color w:val="231F20"/>
          <w:sz w:val="20"/>
        </w:rPr>
        <w:t>in</w:t>
      </w:r>
      <w:r>
        <w:rPr>
          <w:color w:val="231F20"/>
          <w:spacing w:val="-10"/>
          <w:sz w:val="20"/>
        </w:rPr>
        <w:t xml:space="preserve"> </w:t>
      </w:r>
      <w:r>
        <w:rPr>
          <w:color w:val="231F20"/>
          <w:spacing w:val="-3"/>
          <w:sz w:val="20"/>
        </w:rPr>
        <w:t>how</w:t>
      </w:r>
      <w:r>
        <w:rPr>
          <w:color w:val="231F20"/>
          <w:spacing w:val="-10"/>
          <w:sz w:val="20"/>
        </w:rPr>
        <w:t xml:space="preserve"> </w:t>
      </w:r>
      <w:r>
        <w:rPr>
          <w:color w:val="231F20"/>
          <w:sz w:val="20"/>
        </w:rPr>
        <w:t>police</w:t>
      </w:r>
      <w:r>
        <w:rPr>
          <w:color w:val="231F20"/>
          <w:spacing w:val="-10"/>
          <w:sz w:val="20"/>
        </w:rPr>
        <w:t xml:space="preserve"> </w:t>
      </w:r>
      <w:r>
        <w:rPr>
          <w:color w:val="231F20"/>
          <w:spacing w:val="-3"/>
          <w:sz w:val="20"/>
        </w:rPr>
        <w:t xml:space="preserve">apply </w:t>
      </w:r>
      <w:r>
        <w:rPr>
          <w:color w:val="231F20"/>
          <w:sz w:val="20"/>
        </w:rPr>
        <w:t>the</w:t>
      </w:r>
      <w:r>
        <w:rPr>
          <w:color w:val="231F20"/>
          <w:spacing w:val="-5"/>
          <w:sz w:val="20"/>
        </w:rPr>
        <w:t xml:space="preserve"> </w:t>
      </w:r>
      <w:r>
        <w:rPr>
          <w:color w:val="231F20"/>
          <w:sz w:val="20"/>
        </w:rPr>
        <w:t>offence.</w:t>
      </w:r>
      <w:r>
        <w:rPr>
          <w:color w:val="231F20"/>
          <w:position w:val="7"/>
          <w:sz w:val="11"/>
        </w:rPr>
        <w:t>58</w:t>
      </w:r>
    </w:p>
    <w:p w14:paraId="3AE8766D" w14:textId="77777777" w:rsidR="00894070" w:rsidRDefault="009B7AFD">
      <w:pPr>
        <w:pStyle w:val="ListParagraph"/>
        <w:numPr>
          <w:ilvl w:val="1"/>
          <w:numId w:val="65"/>
        </w:numPr>
        <w:tabs>
          <w:tab w:val="left" w:pos="1801"/>
          <w:tab w:val="left" w:pos="1802"/>
        </w:tabs>
        <w:spacing w:before="125" w:line="206" w:lineRule="auto"/>
        <w:ind w:right="1339"/>
        <w:rPr>
          <w:sz w:val="11"/>
        </w:rPr>
      </w:pPr>
      <w:r>
        <w:rPr>
          <w:color w:val="231F20"/>
          <w:spacing w:val="-3"/>
          <w:sz w:val="20"/>
        </w:rPr>
        <w:t xml:space="preserve">For </w:t>
      </w:r>
      <w:r>
        <w:rPr>
          <w:color w:val="231F20"/>
          <w:sz w:val="20"/>
        </w:rPr>
        <w:t xml:space="preserve">its part, Victoria Police said that it saw </w:t>
      </w:r>
      <w:r>
        <w:rPr>
          <w:color w:val="231F20"/>
          <w:spacing w:val="-3"/>
          <w:sz w:val="20"/>
        </w:rPr>
        <w:t xml:space="preserve">‘[n]o </w:t>
      </w:r>
      <w:r>
        <w:rPr>
          <w:color w:val="231F20"/>
          <w:sz w:val="20"/>
        </w:rPr>
        <w:t xml:space="preserve">substantive issues … </w:t>
      </w:r>
      <w:r>
        <w:rPr>
          <w:color w:val="231F20"/>
          <w:spacing w:val="-3"/>
          <w:sz w:val="20"/>
        </w:rPr>
        <w:t xml:space="preserve">[with] </w:t>
      </w:r>
      <w:r>
        <w:rPr>
          <w:color w:val="231F20"/>
          <w:sz w:val="20"/>
        </w:rPr>
        <w:t xml:space="preserve">the construction of the stalking </w:t>
      </w:r>
      <w:r>
        <w:rPr>
          <w:color w:val="231F20"/>
          <w:spacing w:val="-3"/>
          <w:sz w:val="20"/>
        </w:rPr>
        <w:t>offence’.</w:t>
      </w:r>
      <w:r>
        <w:rPr>
          <w:color w:val="231F20"/>
          <w:spacing w:val="-3"/>
          <w:position w:val="7"/>
          <w:sz w:val="11"/>
        </w:rPr>
        <w:t xml:space="preserve">59 </w:t>
      </w:r>
      <w:r>
        <w:rPr>
          <w:color w:val="231F20"/>
          <w:sz w:val="20"/>
        </w:rPr>
        <w:t xml:space="preserve">It stated that ‘the most difficult aspect is gathering sufficient evidence to charge and then particularise and </w:t>
      </w:r>
      <w:r>
        <w:rPr>
          <w:color w:val="231F20"/>
          <w:spacing w:val="-4"/>
          <w:sz w:val="20"/>
        </w:rPr>
        <w:t xml:space="preserve">prove </w:t>
      </w:r>
      <w:r>
        <w:rPr>
          <w:color w:val="231F20"/>
          <w:sz w:val="20"/>
        </w:rPr>
        <w:t>the offence (including</w:t>
      </w:r>
      <w:r>
        <w:rPr>
          <w:color w:val="231F20"/>
          <w:spacing w:val="-11"/>
          <w:sz w:val="20"/>
        </w:rPr>
        <w:t xml:space="preserve"> </w:t>
      </w:r>
      <w:r>
        <w:rPr>
          <w:color w:val="231F20"/>
          <w:sz w:val="20"/>
        </w:rPr>
        <w:t>demonstrating</w:t>
      </w:r>
      <w:r>
        <w:rPr>
          <w:color w:val="231F20"/>
          <w:spacing w:val="-10"/>
          <w:sz w:val="20"/>
        </w:rPr>
        <w:t xml:space="preserve"> </w:t>
      </w:r>
      <w:r>
        <w:rPr>
          <w:color w:val="231F20"/>
          <w:sz w:val="20"/>
        </w:rPr>
        <w:t>a</w:t>
      </w:r>
      <w:r>
        <w:rPr>
          <w:color w:val="231F20"/>
          <w:spacing w:val="-10"/>
          <w:sz w:val="20"/>
        </w:rPr>
        <w:t xml:space="preserve"> </w:t>
      </w:r>
      <w:r>
        <w:rPr>
          <w:color w:val="231F20"/>
          <w:sz w:val="20"/>
        </w:rPr>
        <w:t>course</w:t>
      </w:r>
      <w:r>
        <w:rPr>
          <w:color w:val="231F20"/>
          <w:spacing w:val="-10"/>
          <w:sz w:val="20"/>
        </w:rPr>
        <w:t xml:space="preserve"> </w:t>
      </w:r>
      <w:r>
        <w:rPr>
          <w:color w:val="231F20"/>
          <w:sz w:val="20"/>
        </w:rPr>
        <w:t>of</w:t>
      </w:r>
      <w:r>
        <w:rPr>
          <w:color w:val="231F20"/>
          <w:spacing w:val="-10"/>
          <w:sz w:val="20"/>
        </w:rPr>
        <w:t xml:space="preserve"> </w:t>
      </w:r>
      <w:r>
        <w:rPr>
          <w:color w:val="231F20"/>
          <w:sz w:val="20"/>
        </w:rPr>
        <w:t>conduct)’.</w:t>
      </w:r>
      <w:r>
        <w:rPr>
          <w:color w:val="231F20"/>
          <w:position w:val="7"/>
          <w:sz w:val="11"/>
        </w:rPr>
        <w:t>60</w:t>
      </w:r>
      <w:r>
        <w:rPr>
          <w:color w:val="231F20"/>
          <w:spacing w:val="14"/>
          <w:position w:val="7"/>
          <w:sz w:val="11"/>
        </w:rPr>
        <w:t xml:space="preserve"> </w:t>
      </w:r>
      <w:r>
        <w:rPr>
          <w:color w:val="231F20"/>
          <w:spacing w:val="-6"/>
          <w:sz w:val="20"/>
        </w:rPr>
        <w:t>We</w:t>
      </w:r>
      <w:r>
        <w:rPr>
          <w:color w:val="231F20"/>
          <w:spacing w:val="-11"/>
          <w:sz w:val="20"/>
        </w:rPr>
        <w:t xml:space="preserve"> </w:t>
      </w:r>
      <w:r>
        <w:rPr>
          <w:color w:val="231F20"/>
          <w:sz w:val="20"/>
        </w:rPr>
        <w:t>heard</w:t>
      </w:r>
      <w:r>
        <w:rPr>
          <w:color w:val="231F20"/>
          <w:spacing w:val="-10"/>
          <w:sz w:val="20"/>
        </w:rPr>
        <w:t xml:space="preserve"> </w:t>
      </w:r>
      <w:r>
        <w:rPr>
          <w:color w:val="231F20"/>
          <w:spacing w:val="-3"/>
          <w:sz w:val="20"/>
        </w:rPr>
        <w:t>from</w:t>
      </w:r>
      <w:r>
        <w:rPr>
          <w:color w:val="231F20"/>
          <w:spacing w:val="-10"/>
          <w:sz w:val="20"/>
        </w:rPr>
        <w:t xml:space="preserve"> </w:t>
      </w:r>
      <w:r>
        <w:rPr>
          <w:color w:val="231F20"/>
          <w:sz w:val="20"/>
        </w:rPr>
        <w:t>them</w:t>
      </w:r>
      <w:r>
        <w:rPr>
          <w:color w:val="231F20"/>
          <w:spacing w:val="-10"/>
          <w:sz w:val="20"/>
        </w:rPr>
        <w:t xml:space="preserve"> </w:t>
      </w:r>
      <w:r>
        <w:rPr>
          <w:color w:val="231F20"/>
          <w:sz w:val="20"/>
        </w:rPr>
        <w:t>that</w:t>
      </w:r>
      <w:r>
        <w:rPr>
          <w:color w:val="231F20"/>
          <w:spacing w:val="-10"/>
          <w:sz w:val="20"/>
        </w:rPr>
        <w:t xml:space="preserve"> </w:t>
      </w:r>
      <w:r>
        <w:rPr>
          <w:color w:val="231F20"/>
          <w:spacing w:val="-3"/>
          <w:sz w:val="20"/>
        </w:rPr>
        <w:t>‘[i]t</w:t>
      </w:r>
      <w:r>
        <w:rPr>
          <w:color w:val="231F20"/>
          <w:spacing w:val="-10"/>
          <w:sz w:val="20"/>
        </w:rPr>
        <w:t xml:space="preserve"> </w:t>
      </w:r>
      <w:r>
        <w:rPr>
          <w:color w:val="231F20"/>
          <w:sz w:val="20"/>
        </w:rPr>
        <w:t>is</w:t>
      </w:r>
      <w:r>
        <w:rPr>
          <w:color w:val="231F20"/>
          <w:spacing w:val="-10"/>
          <w:sz w:val="20"/>
        </w:rPr>
        <w:t xml:space="preserve"> </w:t>
      </w:r>
      <w:r>
        <w:rPr>
          <w:color w:val="231F20"/>
          <w:sz w:val="20"/>
        </w:rPr>
        <w:t xml:space="preserve">more common </w:t>
      </w:r>
      <w:r>
        <w:rPr>
          <w:color w:val="231F20"/>
          <w:spacing w:val="-3"/>
          <w:sz w:val="20"/>
        </w:rPr>
        <w:t xml:space="preserve">for </w:t>
      </w:r>
      <w:r>
        <w:rPr>
          <w:color w:val="231F20"/>
          <w:sz w:val="20"/>
        </w:rPr>
        <w:t>police to charge the substantive offences that make up the stalking behaviour</w:t>
      </w:r>
      <w:r>
        <w:rPr>
          <w:color w:val="231F20"/>
          <w:spacing w:val="-5"/>
          <w:sz w:val="20"/>
        </w:rPr>
        <w:t xml:space="preserve"> </w:t>
      </w:r>
      <w:r>
        <w:rPr>
          <w:color w:val="231F20"/>
          <w:sz w:val="20"/>
        </w:rPr>
        <w:t>than</w:t>
      </w:r>
      <w:r>
        <w:rPr>
          <w:color w:val="231F20"/>
          <w:spacing w:val="-5"/>
          <w:sz w:val="20"/>
        </w:rPr>
        <w:t xml:space="preserve"> </w:t>
      </w:r>
      <w:r>
        <w:rPr>
          <w:color w:val="231F20"/>
          <w:sz w:val="20"/>
        </w:rPr>
        <w:t>to</w:t>
      </w:r>
      <w:r>
        <w:rPr>
          <w:color w:val="231F20"/>
          <w:spacing w:val="-5"/>
          <w:sz w:val="20"/>
        </w:rPr>
        <w:t xml:space="preserve"> </w:t>
      </w:r>
      <w:r>
        <w:rPr>
          <w:color w:val="231F20"/>
          <w:sz w:val="20"/>
        </w:rPr>
        <w:t>charge</w:t>
      </w:r>
      <w:r>
        <w:rPr>
          <w:color w:val="231F20"/>
          <w:spacing w:val="-5"/>
          <w:sz w:val="20"/>
        </w:rPr>
        <w:t xml:space="preserve"> </w:t>
      </w:r>
      <w:r>
        <w:rPr>
          <w:color w:val="231F20"/>
          <w:sz w:val="20"/>
        </w:rPr>
        <w:t>the</w:t>
      </w:r>
      <w:r>
        <w:rPr>
          <w:color w:val="231F20"/>
          <w:spacing w:val="-4"/>
          <w:sz w:val="20"/>
        </w:rPr>
        <w:t xml:space="preserve"> </w:t>
      </w:r>
      <w:r>
        <w:rPr>
          <w:color w:val="231F20"/>
          <w:sz w:val="20"/>
        </w:rPr>
        <w:t>course</w:t>
      </w:r>
      <w:r>
        <w:rPr>
          <w:color w:val="231F20"/>
          <w:spacing w:val="-5"/>
          <w:sz w:val="20"/>
        </w:rPr>
        <w:t xml:space="preserve"> </w:t>
      </w:r>
      <w:r>
        <w:rPr>
          <w:color w:val="231F20"/>
          <w:sz w:val="20"/>
        </w:rPr>
        <w:t>of</w:t>
      </w:r>
      <w:r>
        <w:rPr>
          <w:color w:val="231F20"/>
          <w:spacing w:val="-5"/>
          <w:sz w:val="20"/>
        </w:rPr>
        <w:t xml:space="preserve"> </w:t>
      </w:r>
      <w:r>
        <w:rPr>
          <w:color w:val="231F20"/>
          <w:sz w:val="20"/>
        </w:rPr>
        <w:t>conduct</w:t>
      </w:r>
      <w:r>
        <w:rPr>
          <w:color w:val="231F20"/>
          <w:spacing w:val="-5"/>
          <w:sz w:val="20"/>
        </w:rPr>
        <w:t xml:space="preserve"> </w:t>
      </w:r>
      <w:r>
        <w:rPr>
          <w:color w:val="231F20"/>
          <w:sz w:val="20"/>
        </w:rPr>
        <w:t>as</w:t>
      </w:r>
      <w:r>
        <w:rPr>
          <w:color w:val="231F20"/>
          <w:spacing w:val="-4"/>
          <w:sz w:val="20"/>
        </w:rPr>
        <w:t xml:space="preserve"> </w:t>
      </w:r>
      <w:r>
        <w:rPr>
          <w:color w:val="231F20"/>
          <w:spacing w:val="-3"/>
          <w:sz w:val="20"/>
        </w:rPr>
        <w:t>stalking’.</w:t>
      </w:r>
      <w:r>
        <w:rPr>
          <w:color w:val="231F20"/>
          <w:spacing w:val="-3"/>
          <w:position w:val="7"/>
          <w:sz w:val="11"/>
        </w:rPr>
        <w:t>61</w:t>
      </w:r>
    </w:p>
    <w:p w14:paraId="0313FD68" w14:textId="77777777" w:rsidR="00894070" w:rsidRDefault="00894070">
      <w:pPr>
        <w:pStyle w:val="BodyText"/>
        <w:rPr>
          <w:sz w:val="16"/>
        </w:rPr>
      </w:pPr>
    </w:p>
    <w:p w14:paraId="30ED2F09" w14:textId="77777777" w:rsidR="00894070" w:rsidRDefault="009B7AFD">
      <w:pPr>
        <w:pStyle w:val="Heading8"/>
        <w:ind w:left="1007"/>
      </w:pPr>
      <w:r>
        <w:rPr>
          <w:color w:val="231F20"/>
        </w:rPr>
        <w:t>There is a perception that the offence is hard to prove</w:t>
      </w:r>
    </w:p>
    <w:p w14:paraId="16324537" w14:textId="77777777" w:rsidR="00894070" w:rsidRDefault="009B7AFD">
      <w:pPr>
        <w:pStyle w:val="ListParagraph"/>
        <w:numPr>
          <w:ilvl w:val="1"/>
          <w:numId w:val="65"/>
        </w:numPr>
        <w:tabs>
          <w:tab w:val="left" w:pos="1801"/>
          <w:tab w:val="left" w:pos="1802"/>
        </w:tabs>
        <w:spacing w:before="128" w:line="206" w:lineRule="auto"/>
        <w:ind w:right="1300"/>
        <w:rPr>
          <w:sz w:val="11"/>
        </w:rPr>
      </w:pPr>
      <w:r>
        <w:rPr>
          <w:color w:val="231F20"/>
          <w:sz w:val="20"/>
        </w:rPr>
        <w:t xml:space="preserve">The </w:t>
      </w:r>
      <w:r>
        <w:rPr>
          <w:color w:val="231F20"/>
          <w:spacing w:val="-3"/>
          <w:sz w:val="20"/>
        </w:rPr>
        <w:t xml:space="preserve">Children’s </w:t>
      </w:r>
      <w:r>
        <w:rPr>
          <w:color w:val="231F20"/>
          <w:sz w:val="20"/>
        </w:rPr>
        <w:t xml:space="preserve">Court explained that it ‘is seen as quite </w:t>
      </w:r>
      <w:r>
        <w:rPr>
          <w:color w:val="231F20"/>
          <w:spacing w:val="-3"/>
          <w:sz w:val="20"/>
        </w:rPr>
        <w:t xml:space="preserve">prohibitive </w:t>
      </w:r>
      <w:r>
        <w:rPr>
          <w:color w:val="231F20"/>
          <w:sz w:val="20"/>
        </w:rPr>
        <w:t xml:space="preserve">on police to </w:t>
      </w:r>
      <w:r>
        <w:rPr>
          <w:color w:val="231F20"/>
          <w:spacing w:val="-4"/>
          <w:sz w:val="20"/>
        </w:rPr>
        <w:t xml:space="preserve">prove </w:t>
      </w:r>
      <w:r>
        <w:rPr>
          <w:color w:val="231F20"/>
          <w:sz w:val="20"/>
        </w:rPr>
        <w:t>a stalking</w:t>
      </w:r>
      <w:r>
        <w:rPr>
          <w:color w:val="231F20"/>
          <w:spacing w:val="-12"/>
          <w:sz w:val="20"/>
        </w:rPr>
        <w:t xml:space="preserve"> </w:t>
      </w:r>
      <w:r>
        <w:rPr>
          <w:color w:val="231F20"/>
          <w:spacing w:val="-4"/>
          <w:sz w:val="20"/>
        </w:rPr>
        <w:t>offence’.</w:t>
      </w:r>
      <w:r>
        <w:rPr>
          <w:color w:val="231F20"/>
          <w:spacing w:val="-11"/>
          <w:sz w:val="20"/>
        </w:rPr>
        <w:t xml:space="preserve"> </w:t>
      </w:r>
      <w:r>
        <w:rPr>
          <w:color w:val="231F20"/>
          <w:spacing w:val="-4"/>
          <w:sz w:val="20"/>
        </w:rPr>
        <w:t>Even</w:t>
      </w:r>
      <w:r>
        <w:rPr>
          <w:color w:val="231F20"/>
          <w:spacing w:val="-11"/>
          <w:sz w:val="20"/>
        </w:rPr>
        <w:t xml:space="preserve"> </w:t>
      </w:r>
      <w:r>
        <w:rPr>
          <w:color w:val="231F20"/>
          <w:sz w:val="20"/>
        </w:rPr>
        <w:t>with</w:t>
      </w:r>
      <w:r>
        <w:rPr>
          <w:color w:val="231F20"/>
          <w:spacing w:val="-11"/>
          <w:sz w:val="20"/>
        </w:rPr>
        <w:t xml:space="preserve"> </w:t>
      </w:r>
      <w:r>
        <w:rPr>
          <w:color w:val="231F20"/>
          <w:sz w:val="20"/>
        </w:rPr>
        <w:t>evidence</w:t>
      </w:r>
      <w:r>
        <w:rPr>
          <w:color w:val="231F20"/>
          <w:spacing w:val="-12"/>
          <w:sz w:val="20"/>
        </w:rPr>
        <w:t xml:space="preserve"> </w:t>
      </w:r>
      <w:r>
        <w:rPr>
          <w:color w:val="231F20"/>
          <w:sz w:val="20"/>
        </w:rPr>
        <w:t>which</w:t>
      </w:r>
      <w:r>
        <w:rPr>
          <w:color w:val="231F20"/>
          <w:spacing w:val="-11"/>
          <w:sz w:val="20"/>
        </w:rPr>
        <w:t xml:space="preserve"> </w:t>
      </w:r>
      <w:r>
        <w:rPr>
          <w:color w:val="231F20"/>
          <w:spacing w:val="-3"/>
          <w:sz w:val="20"/>
        </w:rPr>
        <w:t>corroborates</w:t>
      </w:r>
      <w:r>
        <w:rPr>
          <w:color w:val="231F20"/>
          <w:spacing w:val="-11"/>
          <w:sz w:val="20"/>
        </w:rPr>
        <w:t xml:space="preserve"> </w:t>
      </w:r>
      <w:r>
        <w:rPr>
          <w:color w:val="231F20"/>
          <w:sz w:val="20"/>
        </w:rPr>
        <w:t>the</w:t>
      </w:r>
      <w:r>
        <w:rPr>
          <w:color w:val="231F20"/>
          <w:spacing w:val="-11"/>
          <w:sz w:val="20"/>
        </w:rPr>
        <w:t xml:space="preserve"> </w:t>
      </w:r>
      <w:r>
        <w:rPr>
          <w:color w:val="231F20"/>
          <w:sz w:val="20"/>
        </w:rPr>
        <w:t>victim</w:t>
      </w:r>
      <w:r>
        <w:rPr>
          <w:color w:val="231F20"/>
          <w:spacing w:val="-12"/>
          <w:sz w:val="20"/>
        </w:rPr>
        <w:t xml:space="preserve"> </w:t>
      </w:r>
      <w:r>
        <w:rPr>
          <w:color w:val="231F20"/>
          <w:sz w:val="20"/>
        </w:rPr>
        <w:t>survivor’s</w:t>
      </w:r>
      <w:r>
        <w:rPr>
          <w:color w:val="231F20"/>
          <w:spacing w:val="-11"/>
          <w:sz w:val="20"/>
        </w:rPr>
        <w:t xml:space="preserve"> </w:t>
      </w:r>
      <w:r>
        <w:rPr>
          <w:color w:val="231F20"/>
          <w:sz w:val="20"/>
        </w:rPr>
        <w:t>account, the</w:t>
      </w:r>
      <w:r>
        <w:rPr>
          <w:color w:val="231F20"/>
          <w:spacing w:val="-8"/>
          <w:sz w:val="20"/>
        </w:rPr>
        <w:t xml:space="preserve"> </w:t>
      </w:r>
      <w:r>
        <w:rPr>
          <w:color w:val="231F20"/>
          <w:sz w:val="20"/>
        </w:rPr>
        <w:t>Court</w:t>
      </w:r>
      <w:r>
        <w:rPr>
          <w:color w:val="231F20"/>
          <w:spacing w:val="-8"/>
          <w:sz w:val="20"/>
        </w:rPr>
        <w:t xml:space="preserve"> </w:t>
      </w:r>
      <w:r>
        <w:rPr>
          <w:color w:val="231F20"/>
          <w:sz w:val="20"/>
        </w:rPr>
        <w:t>questioned</w:t>
      </w:r>
      <w:r>
        <w:rPr>
          <w:color w:val="231F20"/>
          <w:spacing w:val="-7"/>
          <w:sz w:val="20"/>
        </w:rPr>
        <w:t xml:space="preserve"> </w:t>
      </w:r>
      <w:r>
        <w:rPr>
          <w:color w:val="231F20"/>
          <w:sz w:val="20"/>
        </w:rPr>
        <w:t>whether</w:t>
      </w:r>
      <w:r>
        <w:rPr>
          <w:color w:val="231F20"/>
          <w:spacing w:val="-8"/>
          <w:sz w:val="20"/>
        </w:rPr>
        <w:t xml:space="preserve"> </w:t>
      </w:r>
      <w:r>
        <w:rPr>
          <w:color w:val="231F20"/>
          <w:sz w:val="20"/>
        </w:rPr>
        <w:t>police</w:t>
      </w:r>
      <w:r>
        <w:rPr>
          <w:color w:val="231F20"/>
          <w:spacing w:val="-7"/>
          <w:sz w:val="20"/>
        </w:rPr>
        <w:t xml:space="preserve"> </w:t>
      </w:r>
      <w:r>
        <w:rPr>
          <w:color w:val="231F20"/>
          <w:spacing w:val="-3"/>
          <w:sz w:val="20"/>
        </w:rPr>
        <w:t>felt</w:t>
      </w:r>
      <w:r>
        <w:rPr>
          <w:color w:val="231F20"/>
          <w:spacing w:val="-8"/>
          <w:sz w:val="20"/>
        </w:rPr>
        <w:t xml:space="preserve"> </w:t>
      </w:r>
      <w:r>
        <w:rPr>
          <w:color w:val="231F20"/>
          <w:sz w:val="20"/>
        </w:rPr>
        <w:t>confident</w:t>
      </w:r>
      <w:r>
        <w:rPr>
          <w:color w:val="231F20"/>
          <w:spacing w:val="-7"/>
          <w:sz w:val="20"/>
        </w:rPr>
        <w:t xml:space="preserve"> </w:t>
      </w:r>
      <w:r>
        <w:rPr>
          <w:color w:val="231F20"/>
          <w:sz w:val="20"/>
        </w:rPr>
        <w:t>about</w:t>
      </w:r>
      <w:r>
        <w:rPr>
          <w:color w:val="231F20"/>
          <w:spacing w:val="-8"/>
          <w:sz w:val="20"/>
        </w:rPr>
        <w:t xml:space="preserve"> </w:t>
      </w:r>
      <w:r>
        <w:rPr>
          <w:color w:val="231F20"/>
          <w:sz w:val="20"/>
        </w:rPr>
        <w:t>getting</w:t>
      </w:r>
      <w:r>
        <w:rPr>
          <w:color w:val="231F20"/>
          <w:spacing w:val="-7"/>
          <w:sz w:val="20"/>
        </w:rPr>
        <w:t xml:space="preserve"> </w:t>
      </w:r>
      <w:r>
        <w:rPr>
          <w:color w:val="231F20"/>
          <w:sz w:val="20"/>
        </w:rPr>
        <w:t>a</w:t>
      </w:r>
      <w:r>
        <w:rPr>
          <w:color w:val="231F20"/>
          <w:spacing w:val="-8"/>
          <w:sz w:val="20"/>
        </w:rPr>
        <w:t xml:space="preserve"> </w:t>
      </w:r>
      <w:r>
        <w:rPr>
          <w:color w:val="231F20"/>
          <w:sz w:val="20"/>
        </w:rPr>
        <w:t>conviction.</w:t>
      </w:r>
      <w:r>
        <w:rPr>
          <w:color w:val="231F20"/>
          <w:position w:val="7"/>
          <w:sz w:val="11"/>
        </w:rPr>
        <w:t>62</w:t>
      </w:r>
    </w:p>
    <w:p w14:paraId="21960A67" w14:textId="77777777" w:rsidR="00894070" w:rsidRDefault="00894070">
      <w:pPr>
        <w:pStyle w:val="BodyText"/>
      </w:pPr>
    </w:p>
    <w:p w14:paraId="1419C678" w14:textId="77777777" w:rsidR="00894070" w:rsidRDefault="00894070">
      <w:pPr>
        <w:pStyle w:val="BodyText"/>
      </w:pPr>
    </w:p>
    <w:p w14:paraId="3BDFB426" w14:textId="77777777" w:rsidR="00894070" w:rsidRDefault="009F6793">
      <w:pPr>
        <w:pStyle w:val="BodyText"/>
        <w:spacing w:before="9"/>
        <w:rPr>
          <w:sz w:val="21"/>
        </w:rPr>
      </w:pPr>
      <w:r>
        <w:pict w14:anchorId="0DEE9218">
          <v:line id="_x0000_s1210" style="position:absolute;z-index:251728896;mso-wrap-distance-left:0;mso-wrap-distance-right:0;mso-position-horizontal-relative:page" from="79.35pt,17.5pt" to="515.9pt,17.5pt" strokecolor="#f8cabc" strokeweight="1pt">
            <w10:wrap type="topAndBottom" anchorx="page"/>
          </v:line>
        </w:pict>
      </w:r>
    </w:p>
    <w:p w14:paraId="100EE562" w14:textId="77777777" w:rsidR="00894070" w:rsidRDefault="00894070">
      <w:pPr>
        <w:pStyle w:val="BodyText"/>
        <w:rPr>
          <w:sz w:val="5"/>
        </w:rPr>
      </w:pPr>
    </w:p>
    <w:p w14:paraId="26829055" w14:textId="77777777" w:rsidR="00894070" w:rsidRDefault="00894070">
      <w:pPr>
        <w:rPr>
          <w:sz w:val="5"/>
        </w:rPr>
        <w:sectPr w:rsidR="00894070">
          <w:pgSz w:w="11910" w:h="16840"/>
          <w:pgMar w:top="860" w:right="420" w:bottom="280" w:left="580" w:header="567" w:footer="0" w:gutter="0"/>
          <w:cols w:space="720"/>
        </w:sectPr>
      </w:pPr>
    </w:p>
    <w:p w14:paraId="79E7DB67" w14:textId="77777777" w:rsidR="00894070" w:rsidRDefault="00894070">
      <w:pPr>
        <w:pStyle w:val="BodyText"/>
        <w:rPr>
          <w:sz w:val="28"/>
        </w:rPr>
      </w:pPr>
    </w:p>
    <w:p w14:paraId="4ED8E60B" w14:textId="77777777" w:rsidR="00894070" w:rsidRDefault="00894070">
      <w:pPr>
        <w:pStyle w:val="BodyText"/>
        <w:rPr>
          <w:sz w:val="28"/>
        </w:rPr>
      </w:pPr>
    </w:p>
    <w:p w14:paraId="71FE15ED" w14:textId="77777777" w:rsidR="00894070" w:rsidRDefault="00894070">
      <w:pPr>
        <w:pStyle w:val="BodyText"/>
        <w:rPr>
          <w:sz w:val="28"/>
        </w:rPr>
      </w:pPr>
    </w:p>
    <w:p w14:paraId="3B9C0E73" w14:textId="77777777" w:rsidR="00894070" w:rsidRDefault="00894070">
      <w:pPr>
        <w:pStyle w:val="BodyText"/>
        <w:rPr>
          <w:sz w:val="28"/>
        </w:rPr>
      </w:pPr>
    </w:p>
    <w:p w14:paraId="6CE3143C" w14:textId="77777777" w:rsidR="00894070" w:rsidRDefault="00894070">
      <w:pPr>
        <w:pStyle w:val="BodyText"/>
        <w:rPr>
          <w:sz w:val="28"/>
        </w:rPr>
      </w:pPr>
    </w:p>
    <w:p w14:paraId="5E8C466B" w14:textId="77777777" w:rsidR="00894070" w:rsidRDefault="00894070">
      <w:pPr>
        <w:pStyle w:val="BodyText"/>
        <w:rPr>
          <w:sz w:val="28"/>
        </w:rPr>
      </w:pPr>
    </w:p>
    <w:p w14:paraId="46766431" w14:textId="77777777" w:rsidR="00894070" w:rsidRDefault="00894070">
      <w:pPr>
        <w:pStyle w:val="BodyText"/>
        <w:rPr>
          <w:sz w:val="28"/>
        </w:rPr>
      </w:pPr>
    </w:p>
    <w:p w14:paraId="46EE862A" w14:textId="77777777" w:rsidR="00894070" w:rsidRDefault="00894070">
      <w:pPr>
        <w:pStyle w:val="BodyText"/>
        <w:rPr>
          <w:sz w:val="28"/>
        </w:rPr>
      </w:pPr>
    </w:p>
    <w:p w14:paraId="479DD558" w14:textId="77777777" w:rsidR="00894070" w:rsidRDefault="00894070">
      <w:pPr>
        <w:pStyle w:val="BodyText"/>
        <w:rPr>
          <w:sz w:val="28"/>
        </w:rPr>
      </w:pPr>
    </w:p>
    <w:p w14:paraId="0D0E73E1" w14:textId="77777777" w:rsidR="00894070" w:rsidRDefault="00894070">
      <w:pPr>
        <w:pStyle w:val="BodyText"/>
        <w:rPr>
          <w:sz w:val="28"/>
        </w:rPr>
      </w:pPr>
    </w:p>
    <w:p w14:paraId="7E802938" w14:textId="77777777" w:rsidR="00894070" w:rsidRDefault="00894070">
      <w:pPr>
        <w:pStyle w:val="BodyText"/>
        <w:rPr>
          <w:sz w:val="28"/>
        </w:rPr>
      </w:pPr>
    </w:p>
    <w:p w14:paraId="15BA492D" w14:textId="77777777" w:rsidR="00894070" w:rsidRDefault="00894070">
      <w:pPr>
        <w:pStyle w:val="BodyText"/>
        <w:spacing w:before="10"/>
        <w:rPr>
          <w:sz w:val="41"/>
        </w:rPr>
      </w:pPr>
    </w:p>
    <w:p w14:paraId="2695F254" w14:textId="77777777" w:rsidR="00894070" w:rsidRDefault="009B7AFD">
      <w:pPr>
        <w:pStyle w:val="Heading8"/>
        <w:ind w:left="140"/>
      </w:pPr>
      <w:r>
        <w:rPr>
          <w:color w:val="EA5B50"/>
        </w:rPr>
        <w:t>140</w:t>
      </w:r>
    </w:p>
    <w:p w14:paraId="617E5615" w14:textId="77777777" w:rsidR="00894070" w:rsidRDefault="009B7AFD">
      <w:pPr>
        <w:pStyle w:val="ListParagraph"/>
        <w:numPr>
          <w:ilvl w:val="0"/>
          <w:numId w:val="56"/>
        </w:numPr>
        <w:tabs>
          <w:tab w:val="left" w:pos="933"/>
          <w:tab w:val="left" w:pos="934"/>
        </w:tabs>
        <w:spacing w:before="21" w:line="170" w:lineRule="exact"/>
        <w:ind w:left="933" w:hanging="793"/>
        <w:jc w:val="left"/>
        <w:rPr>
          <w:sz w:val="13"/>
        </w:rPr>
      </w:pPr>
      <w:r>
        <w:rPr>
          <w:color w:val="231F20"/>
          <w:spacing w:val="2"/>
          <w:sz w:val="13"/>
        </w:rPr>
        <w:br w:type="column"/>
      </w:r>
      <w:r>
        <w:rPr>
          <w:color w:val="231F20"/>
          <w:sz w:val="13"/>
        </w:rPr>
        <w:t>Ibid (emphasis in original).</w:t>
      </w:r>
    </w:p>
    <w:p w14:paraId="46B94E1A" w14:textId="77777777" w:rsidR="00894070" w:rsidRDefault="009B7AFD">
      <w:pPr>
        <w:pStyle w:val="ListParagraph"/>
        <w:numPr>
          <w:ilvl w:val="0"/>
          <w:numId w:val="56"/>
        </w:numPr>
        <w:tabs>
          <w:tab w:val="left" w:pos="933"/>
          <w:tab w:val="left" w:pos="934"/>
        </w:tabs>
        <w:spacing w:before="7" w:line="213" w:lineRule="auto"/>
        <w:ind w:left="933" w:right="1374" w:hanging="793"/>
        <w:jc w:val="left"/>
        <w:rPr>
          <w:sz w:val="13"/>
        </w:rPr>
      </w:pPr>
      <w:r>
        <w:rPr>
          <w:color w:val="231F20"/>
          <w:spacing w:val="2"/>
          <w:sz w:val="13"/>
        </w:rPr>
        <w:t xml:space="preserve">Submission </w:t>
      </w:r>
      <w:r>
        <w:rPr>
          <w:color w:val="231F20"/>
          <w:sz w:val="13"/>
        </w:rPr>
        <w:t xml:space="preserve">32 (Centre for Forensic Behavioural Science). </w:t>
      </w:r>
      <w:r>
        <w:rPr>
          <w:color w:val="231F20"/>
          <w:spacing w:val="2"/>
          <w:sz w:val="13"/>
        </w:rPr>
        <w:t xml:space="preserve">Derryn </w:t>
      </w:r>
      <w:r>
        <w:rPr>
          <w:color w:val="231F20"/>
          <w:sz w:val="13"/>
        </w:rPr>
        <w:t xml:space="preserve">Hinch’s Justice </w:t>
      </w:r>
      <w:r>
        <w:rPr>
          <w:color w:val="231F20"/>
          <w:spacing w:val="2"/>
          <w:sz w:val="13"/>
        </w:rPr>
        <w:t xml:space="preserve">Party </w:t>
      </w:r>
      <w:r>
        <w:rPr>
          <w:color w:val="231F20"/>
          <w:sz w:val="13"/>
        </w:rPr>
        <w:t xml:space="preserve">recommended building ‘on the recent work of the Australian Law Reform </w:t>
      </w:r>
      <w:r>
        <w:rPr>
          <w:color w:val="231F20"/>
          <w:spacing w:val="2"/>
          <w:sz w:val="13"/>
        </w:rPr>
        <w:t xml:space="preserve">Commission </w:t>
      </w:r>
      <w:r>
        <w:rPr>
          <w:color w:val="231F20"/>
          <w:sz w:val="13"/>
        </w:rPr>
        <w:t xml:space="preserve">in relation to the conception of a Federal (or State) </w:t>
      </w:r>
      <w:r>
        <w:rPr>
          <w:color w:val="231F20"/>
          <w:spacing w:val="2"/>
          <w:sz w:val="13"/>
        </w:rPr>
        <w:t xml:space="preserve">Harassment </w:t>
      </w:r>
      <w:r>
        <w:rPr>
          <w:color w:val="231F20"/>
          <w:sz w:val="13"/>
        </w:rPr>
        <w:t xml:space="preserve">Act that might consolidate and centralise all of the country’s (or relevant State’s) existing criminal laws in relation to harassment’: </w:t>
      </w:r>
      <w:r>
        <w:rPr>
          <w:color w:val="231F20"/>
          <w:spacing w:val="2"/>
          <w:sz w:val="13"/>
        </w:rPr>
        <w:t>Submission</w:t>
      </w:r>
      <w:r>
        <w:rPr>
          <w:color w:val="231F20"/>
          <w:spacing w:val="37"/>
          <w:sz w:val="13"/>
        </w:rPr>
        <w:t xml:space="preserve"> </w:t>
      </w:r>
      <w:r>
        <w:rPr>
          <w:color w:val="231F20"/>
          <w:sz w:val="13"/>
        </w:rPr>
        <w:t xml:space="preserve">56 </w:t>
      </w:r>
      <w:r>
        <w:rPr>
          <w:color w:val="231F20"/>
          <w:spacing w:val="2"/>
          <w:sz w:val="13"/>
        </w:rPr>
        <w:t xml:space="preserve">(Derryn </w:t>
      </w:r>
      <w:r>
        <w:rPr>
          <w:color w:val="231F20"/>
          <w:sz w:val="13"/>
        </w:rPr>
        <w:t xml:space="preserve">Hinch’s Justice Party), citing Australian Law Reform </w:t>
      </w:r>
      <w:r>
        <w:rPr>
          <w:color w:val="231F20"/>
          <w:spacing w:val="2"/>
          <w:sz w:val="13"/>
        </w:rPr>
        <w:t xml:space="preserve">Commission, </w:t>
      </w:r>
      <w:r>
        <w:rPr>
          <w:i/>
          <w:color w:val="231F20"/>
          <w:sz w:val="13"/>
        </w:rPr>
        <w:t xml:space="preserve">Serious Invasions </w:t>
      </w:r>
      <w:proofErr w:type="gramStart"/>
      <w:r>
        <w:rPr>
          <w:i/>
          <w:color w:val="231F20"/>
          <w:sz w:val="13"/>
        </w:rPr>
        <w:t>Of</w:t>
      </w:r>
      <w:proofErr w:type="gramEnd"/>
      <w:r>
        <w:rPr>
          <w:i/>
          <w:color w:val="231F20"/>
          <w:sz w:val="13"/>
        </w:rPr>
        <w:t xml:space="preserve"> Privacy In The Digital Era </w:t>
      </w:r>
      <w:r>
        <w:rPr>
          <w:color w:val="231F20"/>
          <w:sz w:val="13"/>
        </w:rPr>
        <w:t>(Discussion Paper No 80, 2014) Proposal</w:t>
      </w:r>
      <w:r>
        <w:rPr>
          <w:color w:val="231F20"/>
          <w:spacing w:val="2"/>
          <w:sz w:val="13"/>
        </w:rPr>
        <w:t xml:space="preserve"> </w:t>
      </w:r>
      <w:r>
        <w:rPr>
          <w:color w:val="231F20"/>
          <w:spacing w:val="3"/>
          <w:sz w:val="13"/>
        </w:rPr>
        <w:t>14.</w:t>
      </w:r>
    </w:p>
    <w:p w14:paraId="4DF6198E" w14:textId="77777777" w:rsidR="00894070" w:rsidRDefault="009B7AFD">
      <w:pPr>
        <w:pStyle w:val="ListParagraph"/>
        <w:numPr>
          <w:ilvl w:val="0"/>
          <w:numId w:val="56"/>
        </w:numPr>
        <w:tabs>
          <w:tab w:val="left" w:pos="933"/>
          <w:tab w:val="left" w:pos="934"/>
        </w:tabs>
        <w:spacing w:line="213" w:lineRule="auto"/>
        <w:ind w:left="933" w:right="1190" w:hanging="793"/>
        <w:jc w:val="left"/>
        <w:rPr>
          <w:sz w:val="13"/>
        </w:rPr>
      </w:pPr>
      <w:r>
        <w:rPr>
          <w:color w:val="231F20"/>
          <w:sz w:val="13"/>
        </w:rPr>
        <w:t xml:space="preserve">In England and Wales, </w:t>
      </w:r>
      <w:r>
        <w:rPr>
          <w:color w:val="231F20"/>
          <w:spacing w:val="2"/>
          <w:sz w:val="13"/>
        </w:rPr>
        <w:t xml:space="preserve">harassment </w:t>
      </w:r>
      <w:r>
        <w:rPr>
          <w:color w:val="231F20"/>
          <w:sz w:val="13"/>
        </w:rPr>
        <w:t xml:space="preserve">is ‘criminal conduct which causes alarm or distress or puts people in fear of violence’. It is an offence to intentionally pursue a course of conduct that amounts to </w:t>
      </w:r>
      <w:r>
        <w:rPr>
          <w:color w:val="231F20"/>
          <w:spacing w:val="2"/>
          <w:sz w:val="13"/>
        </w:rPr>
        <w:t xml:space="preserve">harassment. </w:t>
      </w:r>
      <w:r>
        <w:rPr>
          <w:color w:val="231F20"/>
          <w:sz w:val="13"/>
        </w:rPr>
        <w:t xml:space="preserve">A ‘course of conduct’ in the case of </w:t>
      </w:r>
      <w:r>
        <w:rPr>
          <w:color w:val="231F20"/>
          <w:spacing w:val="2"/>
          <w:sz w:val="13"/>
        </w:rPr>
        <w:t xml:space="preserve">harassment   </w:t>
      </w:r>
      <w:r>
        <w:rPr>
          <w:color w:val="231F20"/>
          <w:sz w:val="13"/>
        </w:rPr>
        <w:t xml:space="preserve">of a single person must involve conduct on at least two </w:t>
      </w:r>
      <w:r>
        <w:rPr>
          <w:color w:val="231F20"/>
          <w:spacing w:val="2"/>
          <w:sz w:val="13"/>
        </w:rPr>
        <w:t xml:space="preserve">occasions. </w:t>
      </w:r>
      <w:r>
        <w:rPr>
          <w:color w:val="231F20"/>
          <w:sz w:val="13"/>
        </w:rPr>
        <w:t xml:space="preserve">A course of conduct in relation to two or more persons means conduct on at least one </w:t>
      </w:r>
      <w:r>
        <w:rPr>
          <w:color w:val="231F20"/>
          <w:spacing w:val="2"/>
          <w:sz w:val="13"/>
        </w:rPr>
        <w:t xml:space="preserve">occasion </w:t>
      </w:r>
      <w:r>
        <w:rPr>
          <w:color w:val="231F20"/>
          <w:sz w:val="13"/>
        </w:rPr>
        <w:t xml:space="preserve">in relation to each of those persons: </w:t>
      </w:r>
      <w:r>
        <w:rPr>
          <w:i/>
          <w:color w:val="231F20"/>
          <w:sz w:val="13"/>
        </w:rPr>
        <w:t xml:space="preserve">Protection  from  Harassment  Act  1997  </w:t>
      </w:r>
      <w:r>
        <w:rPr>
          <w:color w:val="231F20"/>
          <w:sz w:val="13"/>
        </w:rPr>
        <w:t xml:space="preserve">(UK) ss 1–2, </w:t>
      </w:r>
      <w:r>
        <w:rPr>
          <w:color w:val="231F20"/>
          <w:spacing w:val="2"/>
          <w:sz w:val="13"/>
        </w:rPr>
        <w:t xml:space="preserve">4, 7(2)–  </w:t>
      </w:r>
      <w:r>
        <w:rPr>
          <w:color w:val="231F20"/>
          <w:sz w:val="13"/>
        </w:rPr>
        <w:t xml:space="preserve">(3); Her Majesty’s Inspectorate of </w:t>
      </w:r>
      <w:r>
        <w:rPr>
          <w:color w:val="231F20"/>
          <w:spacing w:val="2"/>
          <w:sz w:val="13"/>
        </w:rPr>
        <w:t xml:space="preserve">Constabulary </w:t>
      </w:r>
      <w:r>
        <w:rPr>
          <w:color w:val="231F20"/>
          <w:sz w:val="13"/>
        </w:rPr>
        <w:t xml:space="preserve">and Her Majesty’s Crown Prosecution </w:t>
      </w:r>
      <w:r>
        <w:rPr>
          <w:color w:val="231F20"/>
          <w:spacing w:val="2"/>
          <w:sz w:val="13"/>
        </w:rPr>
        <w:t xml:space="preserve">Service </w:t>
      </w:r>
      <w:r>
        <w:rPr>
          <w:color w:val="231F20"/>
          <w:sz w:val="13"/>
        </w:rPr>
        <w:t xml:space="preserve">Inspectorate, </w:t>
      </w:r>
      <w:r>
        <w:rPr>
          <w:i/>
          <w:color w:val="231F20"/>
          <w:sz w:val="13"/>
        </w:rPr>
        <w:t xml:space="preserve">Living in Fear: The   Police and CPS Response to Harassment and Stalking </w:t>
      </w:r>
      <w:r>
        <w:rPr>
          <w:color w:val="231F20"/>
          <w:spacing w:val="2"/>
          <w:sz w:val="13"/>
        </w:rPr>
        <w:t xml:space="preserve">(Report, </w:t>
      </w:r>
      <w:r>
        <w:rPr>
          <w:color w:val="231F20"/>
          <w:sz w:val="13"/>
        </w:rPr>
        <w:t xml:space="preserve">July 2017) 18–19, </w:t>
      </w:r>
      <w:r>
        <w:rPr>
          <w:color w:val="231F20"/>
          <w:spacing w:val="-3"/>
          <w:sz w:val="13"/>
        </w:rPr>
        <w:t xml:space="preserve">97. </w:t>
      </w:r>
      <w:r>
        <w:rPr>
          <w:color w:val="231F20"/>
          <w:sz w:val="13"/>
        </w:rPr>
        <w:t xml:space="preserve">See </w:t>
      </w:r>
      <w:r>
        <w:rPr>
          <w:color w:val="231F20"/>
          <w:spacing w:val="2"/>
          <w:sz w:val="13"/>
        </w:rPr>
        <w:t xml:space="preserve">also </w:t>
      </w:r>
      <w:r>
        <w:rPr>
          <w:color w:val="231F20"/>
          <w:sz w:val="13"/>
        </w:rPr>
        <w:t xml:space="preserve">Director of </w:t>
      </w:r>
      <w:r>
        <w:rPr>
          <w:color w:val="231F20"/>
          <w:spacing w:val="2"/>
          <w:sz w:val="13"/>
        </w:rPr>
        <w:t xml:space="preserve">Public </w:t>
      </w:r>
      <w:r>
        <w:rPr>
          <w:color w:val="231F20"/>
          <w:sz w:val="13"/>
        </w:rPr>
        <w:t xml:space="preserve">Prosecutions (UK), </w:t>
      </w:r>
      <w:r>
        <w:rPr>
          <w:color w:val="231F20"/>
          <w:spacing w:val="2"/>
          <w:sz w:val="13"/>
        </w:rPr>
        <w:t xml:space="preserve">‘Stalking </w:t>
      </w:r>
      <w:r>
        <w:rPr>
          <w:color w:val="231F20"/>
          <w:sz w:val="13"/>
        </w:rPr>
        <w:t xml:space="preserve">and Harassment’, </w:t>
      </w:r>
      <w:r>
        <w:rPr>
          <w:i/>
          <w:color w:val="231F20"/>
          <w:sz w:val="13"/>
        </w:rPr>
        <w:t xml:space="preserve">Prosecution Guidance </w:t>
      </w:r>
      <w:r>
        <w:rPr>
          <w:color w:val="231F20"/>
          <w:sz w:val="13"/>
        </w:rPr>
        <w:t>(Online, 23 May 2018</w:t>
      </w:r>
      <w:hyperlink r:id="rId179">
        <w:r>
          <w:rPr>
            <w:color w:val="231F20"/>
            <w:sz w:val="13"/>
          </w:rPr>
          <w:t>) &lt;https://www.cps.gov.uk/legal-guidance/stalking-and-</w:t>
        </w:r>
      </w:hyperlink>
      <w:hyperlink r:id="rId180">
        <w:r>
          <w:rPr>
            <w:color w:val="231F20"/>
            <w:sz w:val="13"/>
          </w:rPr>
          <w:t xml:space="preserve"> harassment</w:t>
        </w:r>
      </w:hyperlink>
      <w:r>
        <w:rPr>
          <w:color w:val="231F20"/>
          <w:sz w:val="13"/>
        </w:rPr>
        <w:t>&gt;.</w:t>
      </w:r>
    </w:p>
    <w:p w14:paraId="753F3BD1" w14:textId="77777777" w:rsidR="00894070" w:rsidRDefault="009B7AFD">
      <w:pPr>
        <w:pStyle w:val="ListParagraph"/>
        <w:numPr>
          <w:ilvl w:val="0"/>
          <w:numId w:val="56"/>
        </w:numPr>
        <w:tabs>
          <w:tab w:val="left" w:pos="933"/>
          <w:tab w:val="left" w:pos="934"/>
        </w:tabs>
        <w:spacing w:line="213" w:lineRule="auto"/>
        <w:ind w:left="933" w:right="1544" w:hanging="793"/>
        <w:jc w:val="left"/>
        <w:rPr>
          <w:sz w:val="13"/>
        </w:rPr>
      </w:pPr>
      <w:r>
        <w:rPr>
          <w:color w:val="231F20"/>
          <w:sz w:val="13"/>
        </w:rPr>
        <w:t xml:space="preserve">Her Majesty’s Inspectorate of </w:t>
      </w:r>
      <w:r>
        <w:rPr>
          <w:color w:val="231F20"/>
          <w:spacing w:val="2"/>
          <w:sz w:val="13"/>
        </w:rPr>
        <w:t xml:space="preserve">Constabulary </w:t>
      </w:r>
      <w:r>
        <w:rPr>
          <w:color w:val="231F20"/>
          <w:sz w:val="13"/>
        </w:rPr>
        <w:t xml:space="preserve">and Her Majesty’s Crown Prosecution </w:t>
      </w:r>
      <w:r>
        <w:rPr>
          <w:color w:val="231F20"/>
          <w:spacing w:val="2"/>
          <w:sz w:val="13"/>
        </w:rPr>
        <w:t xml:space="preserve">Service </w:t>
      </w:r>
      <w:r>
        <w:rPr>
          <w:color w:val="231F20"/>
          <w:sz w:val="13"/>
        </w:rPr>
        <w:t xml:space="preserve">Inspectorate, </w:t>
      </w:r>
      <w:r>
        <w:rPr>
          <w:i/>
          <w:color w:val="231F20"/>
          <w:sz w:val="13"/>
        </w:rPr>
        <w:t xml:space="preserve">Living in Fear: The Police and CPS Response to Harassment and Stalking </w:t>
      </w:r>
      <w:r>
        <w:rPr>
          <w:color w:val="231F20"/>
          <w:spacing w:val="2"/>
          <w:sz w:val="13"/>
        </w:rPr>
        <w:t xml:space="preserve">(Report, </w:t>
      </w:r>
      <w:r>
        <w:rPr>
          <w:color w:val="231F20"/>
          <w:sz w:val="13"/>
        </w:rPr>
        <w:t xml:space="preserve">July 2017) </w:t>
      </w:r>
      <w:r>
        <w:rPr>
          <w:color w:val="231F20"/>
          <w:spacing w:val="-5"/>
          <w:sz w:val="13"/>
        </w:rPr>
        <w:t xml:space="preserve">7, </w:t>
      </w:r>
      <w:r>
        <w:rPr>
          <w:color w:val="231F20"/>
          <w:spacing w:val="2"/>
          <w:sz w:val="13"/>
        </w:rPr>
        <w:t xml:space="preserve">24: </w:t>
      </w:r>
      <w:r>
        <w:rPr>
          <w:color w:val="231F20"/>
          <w:sz w:val="13"/>
        </w:rPr>
        <w:t xml:space="preserve">see </w:t>
      </w:r>
      <w:r>
        <w:rPr>
          <w:color w:val="231F20"/>
          <w:spacing w:val="2"/>
          <w:sz w:val="13"/>
        </w:rPr>
        <w:t xml:space="preserve">also </w:t>
      </w:r>
      <w:r>
        <w:rPr>
          <w:color w:val="231F20"/>
          <w:sz w:val="13"/>
        </w:rPr>
        <w:t xml:space="preserve">at 26, 89 (recommending that the UK Home Office </w:t>
      </w:r>
      <w:r>
        <w:rPr>
          <w:color w:val="231F20"/>
          <w:spacing w:val="2"/>
          <w:sz w:val="13"/>
        </w:rPr>
        <w:t xml:space="preserve">clarify </w:t>
      </w:r>
      <w:r>
        <w:rPr>
          <w:color w:val="231F20"/>
          <w:sz w:val="13"/>
        </w:rPr>
        <w:t xml:space="preserve">the definition of </w:t>
      </w:r>
      <w:r>
        <w:rPr>
          <w:color w:val="231F20"/>
          <w:spacing w:val="2"/>
          <w:sz w:val="13"/>
        </w:rPr>
        <w:t xml:space="preserve">stalking </w:t>
      </w:r>
      <w:r>
        <w:rPr>
          <w:color w:val="231F20"/>
          <w:sz w:val="13"/>
        </w:rPr>
        <w:t xml:space="preserve">to reduce this confusion). While the </w:t>
      </w:r>
      <w:r>
        <w:rPr>
          <w:i/>
          <w:color w:val="231F20"/>
          <w:sz w:val="13"/>
        </w:rPr>
        <w:t xml:space="preserve">Stalking Protection Act 2019 </w:t>
      </w:r>
      <w:r>
        <w:rPr>
          <w:color w:val="231F20"/>
          <w:sz w:val="13"/>
        </w:rPr>
        <w:t xml:space="preserve">(UK) has since </w:t>
      </w:r>
      <w:r>
        <w:rPr>
          <w:color w:val="231F20"/>
          <w:spacing w:val="2"/>
          <w:sz w:val="13"/>
        </w:rPr>
        <w:t>been</w:t>
      </w:r>
      <w:r>
        <w:rPr>
          <w:color w:val="231F20"/>
          <w:spacing w:val="6"/>
          <w:sz w:val="13"/>
        </w:rPr>
        <w:t xml:space="preserve"> </w:t>
      </w:r>
      <w:r>
        <w:rPr>
          <w:color w:val="231F20"/>
          <w:sz w:val="13"/>
        </w:rPr>
        <w:t>introduced,</w:t>
      </w:r>
      <w:r>
        <w:rPr>
          <w:color w:val="231F20"/>
          <w:spacing w:val="6"/>
          <w:sz w:val="13"/>
        </w:rPr>
        <w:t xml:space="preserve"> </w:t>
      </w:r>
      <w:r>
        <w:rPr>
          <w:color w:val="231F20"/>
          <w:sz w:val="13"/>
        </w:rPr>
        <w:t>note</w:t>
      </w:r>
      <w:r>
        <w:rPr>
          <w:color w:val="231F20"/>
          <w:spacing w:val="6"/>
          <w:sz w:val="13"/>
        </w:rPr>
        <w:t xml:space="preserve"> </w:t>
      </w:r>
      <w:r>
        <w:rPr>
          <w:color w:val="231F20"/>
          <w:sz w:val="13"/>
        </w:rPr>
        <w:t>that</w:t>
      </w:r>
      <w:r>
        <w:rPr>
          <w:color w:val="231F20"/>
          <w:spacing w:val="6"/>
          <w:sz w:val="13"/>
        </w:rPr>
        <w:t xml:space="preserve"> </w:t>
      </w:r>
      <w:r>
        <w:rPr>
          <w:color w:val="231F20"/>
          <w:sz w:val="13"/>
        </w:rPr>
        <w:t>‘[t]here</w:t>
      </w:r>
      <w:r>
        <w:rPr>
          <w:color w:val="231F20"/>
          <w:spacing w:val="7"/>
          <w:sz w:val="13"/>
        </w:rPr>
        <w:t xml:space="preserve"> </w:t>
      </w:r>
      <w:r>
        <w:rPr>
          <w:color w:val="231F20"/>
          <w:sz w:val="13"/>
        </w:rPr>
        <w:t>is</w:t>
      </w:r>
      <w:r>
        <w:rPr>
          <w:color w:val="231F20"/>
          <w:spacing w:val="6"/>
          <w:sz w:val="13"/>
        </w:rPr>
        <w:t xml:space="preserve"> </w:t>
      </w:r>
      <w:r>
        <w:rPr>
          <w:color w:val="231F20"/>
          <w:spacing w:val="2"/>
          <w:sz w:val="13"/>
        </w:rPr>
        <w:t>[still]</w:t>
      </w:r>
      <w:r>
        <w:rPr>
          <w:color w:val="231F20"/>
          <w:spacing w:val="6"/>
          <w:sz w:val="13"/>
        </w:rPr>
        <w:t xml:space="preserve"> </w:t>
      </w:r>
      <w:r>
        <w:rPr>
          <w:color w:val="231F20"/>
          <w:sz w:val="13"/>
        </w:rPr>
        <w:t>no</w:t>
      </w:r>
      <w:r>
        <w:rPr>
          <w:color w:val="231F20"/>
          <w:spacing w:val="6"/>
          <w:sz w:val="13"/>
        </w:rPr>
        <w:t xml:space="preserve"> </w:t>
      </w:r>
      <w:r>
        <w:rPr>
          <w:color w:val="231F20"/>
          <w:sz w:val="13"/>
        </w:rPr>
        <w:t>specific</w:t>
      </w:r>
      <w:r>
        <w:rPr>
          <w:color w:val="231F20"/>
          <w:spacing w:val="6"/>
          <w:sz w:val="13"/>
        </w:rPr>
        <w:t xml:space="preserve"> </w:t>
      </w:r>
      <w:r>
        <w:rPr>
          <w:color w:val="231F20"/>
          <w:sz w:val="13"/>
        </w:rPr>
        <w:t>legal</w:t>
      </w:r>
      <w:r>
        <w:rPr>
          <w:color w:val="231F20"/>
          <w:spacing w:val="7"/>
          <w:sz w:val="13"/>
        </w:rPr>
        <w:t xml:space="preserve"> </w:t>
      </w:r>
      <w:r>
        <w:rPr>
          <w:color w:val="231F20"/>
          <w:sz w:val="13"/>
        </w:rPr>
        <w:t>definition</w:t>
      </w:r>
      <w:r>
        <w:rPr>
          <w:color w:val="231F20"/>
          <w:spacing w:val="6"/>
          <w:sz w:val="13"/>
        </w:rPr>
        <w:t xml:space="preserve"> </w:t>
      </w:r>
      <w:r>
        <w:rPr>
          <w:color w:val="231F20"/>
          <w:sz w:val="13"/>
        </w:rPr>
        <w:t>of</w:t>
      </w:r>
      <w:r>
        <w:rPr>
          <w:color w:val="231F20"/>
          <w:spacing w:val="6"/>
          <w:sz w:val="13"/>
        </w:rPr>
        <w:t xml:space="preserve"> </w:t>
      </w:r>
      <w:r>
        <w:rPr>
          <w:color w:val="231F20"/>
          <w:sz w:val="13"/>
        </w:rPr>
        <w:t>stalking’</w:t>
      </w:r>
      <w:r>
        <w:rPr>
          <w:color w:val="231F20"/>
          <w:spacing w:val="6"/>
          <w:sz w:val="13"/>
        </w:rPr>
        <w:t xml:space="preserve"> </w:t>
      </w:r>
      <w:r>
        <w:rPr>
          <w:color w:val="231F20"/>
          <w:sz w:val="13"/>
        </w:rPr>
        <w:t>in</w:t>
      </w:r>
      <w:r>
        <w:rPr>
          <w:color w:val="231F20"/>
          <w:spacing w:val="6"/>
          <w:sz w:val="13"/>
        </w:rPr>
        <w:t xml:space="preserve"> </w:t>
      </w:r>
      <w:r>
        <w:rPr>
          <w:color w:val="231F20"/>
          <w:sz w:val="13"/>
        </w:rPr>
        <w:t>the</w:t>
      </w:r>
      <w:r>
        <w:rPr>
          <w:color w:val="231F20"/>
          <w:spacing w:val="7"/>
          <w:sz w:val="13"/>
        </w:rPr>
        <w:t xml:space="preserve"> </w:t>
      </w:r>
      <w:r>
        <w:rPr>
          <w:color w:val="231F20"/>
          <w:spacing w:val="2"/>
          <w:sz w:val="13"/>
        </w:rPr>
        <w:t>UK:</w:t>
      </w:r>
      <w:r>
        <w:rPr>
          <w:color w:val="231F20"/>
          <w:spacing w:val="6"/>
          <w:sz w:val="13"/>
        </w:rPr>
        <w:t xml:space="preserve"> </w:t>
      </w:r>
      <w:r>
        <w:rPr>
          <w:color w:val="231F20"/>
          <w:sz w:val="13"/>
        </w:rPr>
        <w:t>Director</w:t>
      </w:r>
      <w:r>
        <w:rPr>
          <w:color w:val="231F20"/>
          <w:spacing w:val="6"/>
          <w:sz w:val="13"/>
        </w:rPr>
        <w:t xml:space="preserve"> </w:t>
      </w:r>
      <w:r>
        <w:rPr>
          <w:color w:val="231F20"/>
          <w:sz w:val="13"/>
        </w:rPr>
        <w:t>of</w:t>
      </w:r>
      <w:r>
        <w:rPr>
          <w:color w:val="231F20"/>
          <w:spacing w:val="6"/>
          <w:sz w:val="13"/>
        </w:rPr>
        <w:t xml:space="preserve"> </w:t>
      </w:r>
      <w:r>
        <w:rPr>
          <w:color w:val="231F20"/>
          <w:spacing w:val="2"/>
          <w:sz w:val="13"/>
        </w:rPr>
        <w:t>Public</w:t>
      </w:r>
      <w:r>
        <w:rPr>
          <w:color w:val="231F20"/>
          <w:spacing w:val="6"/>
          <w:sz w:val="13"/>
        </w:rPr>
        <w:t xml:space="preserve"> </w:t>
      </w:r>
      <w:r>
        <w:rPr>
          <w:color w:val="231F20"/>
          <w:sz w:val="13"/>
        </w:rPr>
        <w:t>Prosecutions,</w:t>
      </w:r>
    </w:p>
    <w:p w14:paraId="15E6BBF6" w14:textId="77777777" w:rsidR="00894070" w:rsidRDefault="009B7AFD">
      <w:pPr>
        <w:spacing w:line="213" w:lineRule="auto"/>
        <w:ind w:left="933" w:right="1195"/>
        <w:rPr>
          <w:sz w:val="13"/>
        </w:rPr>
      </w:pPr>
      <w:r>
        <w:rPr>
          <w:color w:val="231F20"/>
          <w:sz w:val="13"/>
        </w:rPr>
        <w:t xml:space="preserve">‘Stalking Protection Orders’, </w:t>
      </w:r>
      <w:r>
        <w:rPr>
          <w:i/>
          <w:color w:val="231F20"/>
          <w:sz w:val="13"/>
        </w:rPr>
        <w:t xml:space="preserve">Prosecution Guidance </w:t>
      </w:r>
      <w:r>
        <w:rPr>
          <w:color w:val="231F20"/>
          <w:sz w:val="13"/>
        </w:rPr>
        <w:t>(Online, 20 January 202</w:t>
      </w:r>
      <w:hyperlink r:id="rId181">
        <w:r>
          <w:rPr>
            <w:color w:val="231F20"/>
            <w:sz w:val="13"/>
          </w:rPr>
          <w:t>0) &lt;https://www.cps.gov.uk/legal-guidance/stalking-</w:t>
        </w:r>
      </w:hyperlink>
      <w:r>
        <w:rPr>
          <w:color w:val="231F20"/>
          <w:sz w:val="13"/>
        </w:rPr>
        <w:t xml:space="preserve"> </w:t>
      </w:r>
      <w:hyperlink r:id="rId182">
        <w:r>
          <w:rPr>
            <w:color w:val="231F20"/>
            <w:sz w:val="13"/>
          </w:rPr>
          <w:t>protection-orders</w:t>
        </w:r>
      </w:hyperlink>
      <w:r>
        <w:rPr>
          <w:color w:val="231F20"/>
          <w:sz w:val="13"/>
        </w:rPr>
        <w:t>&gt;. See also Submission 32 (Centre for Forensic Behavioural Science), noting that ‘The bifurcation of harassment and stalking has led to problems in some jurisdictions, such as the United Kingdom, but this is because the two concepts and patterns of behaviour are not clearly distinguished in the relevant legislation’.</w:t>
      </w:r>
    </w:p>
    <w:p w14:paraId="4FC589BC" w14:textId="77777777" w:rsidR="00894070" w:rsidRDefault="009B7AFD">
      <w:pPr>
        <w:pStyle w:val="ListParagraph"/>
        <w:numPr>
          <w:ilvl w:val="0"/>
          <w:numId w:val="56"/>
        </w:numPr>
        <w:tabs>
          <w:tab w:val="left" w:pos="933"/>
          <w:tab w:val="left" w:pos="934"/>
        </w:tabs>
        <w:spacing w:line="213" w:lineRule="auto"/>
        <w:ind w:left="933" w:right="1220" w:hanging="793"/>
        <w:jc w:val="left"/>
        <w:rPr>
          <w:sz w:val="13"/>
        </w:rPr>
      </w:pPr>
      <w:r>
        <w:rPr>
          <w:color w:val="231F20"/>
          <w:sz w:val="13"/>
        </w:rPr>
        <w:t xml:space="preserve">Consultation 13 (Victoria Legal Aid). See </w:t>
      </w:r>
      <w:r>
        <w:rPr>
          <w:color w:val="231F20"/>
          <w:spacing w:val="2"/>
          <w:sz w:val="13"/>
        </w:rPr>
        <w:t xml:space="preserve">also Submission </w:t>
      </w:r>
      <w:r>
        <w:rPr>
          <w:color w:val="231F20"/>
          <w:sz w:val="13"/>
        </w:rPr>
        <w:t xml:space="preserve">56 </w:t>
      </w:r>
      <w:r>
        <w:rPr>
          <w:color w:val="231F20"/>
          <w:spacing w:val="2"/>
          <w:sz w:val="13"/>
        </w:rPr>
        <w:t xml:space="preserve">(Derryn </w:t>
      </w:r>
      <w:r>
        <w:rPr>
          <w:color w:val="231F20"/>
          <w:sz w:val="13"/>
        </w:rPr>
        <w:t xml:space="preserve">Hinch’s Justice Party); Consultations 6 (Magistrates’ </w:t>
      </w:r>
      <w:r>
        <w:rPr>
          <w:color w:val="231F20"/>
          <w:spacing w:val="2"/>
          <w:sz w:val="13"/>
        </w:rPr>
        <w:t xml:space="preserve">Court </w:t>
      </w:r>
      <w:r>
        <w:rPr>
          <w:color w:val="231F20"/>
          <w:sz w:val="13"/>
        </w:rPr>
        <w:t>of Victoria (No 1), 30 (Roundtable with multicultural and multifaith lawyers and legal</w:t>
      </w:r>
      <w:r>
        <w:rPr>
          <w:color w:val="231F20"/>
          <w:spacing w:val="21"/>
          <w:sz w:val="13"/>
        </w:rPr>
        <w:t xml:space="preserve"> </w:t>
      </w:r>
      <w:r>
        <w:rPr>
          <w:color w:val="231F20"/>
          <w:sz w:val="13"/>
        </w:rPr>
        <w:t>stakeholders).</w:t>
      </w:r>
    </w:p>
    <w:p w14:paraId="6841C211" w14:textId="77777777" w:rsidR="00894070" w:rsidRDefault="009B7AFD">
      <w:pPr>
        <w:pStyle w:val="ListParagraph"/>
        <w:numPr>
          <w:ilvl w:val="0"/>
          <w:numId w:val="56"/>
        </w:numPr>
        <w:tabs>
          <w:tab w:val="left" w:pos="933"/>
          <w:tab w:val="left" w:pos="934"/>
        </w:tabs>
        <w:spacing w:line="213" w:lineRule="auto"/>
        <w:ind w:left="933" w:right="1195" w:hanging="793"/>
        <w:jc w:val="left"/>
        <w:rPr>
          <w:sz w:val="13"/>
        </w:rPr>
      </w:pPr>
      <w:r>
        <w:rPr>
          <w:color w:val="231F20"/>
          <w:spacing w:val="2"/>
          <w:sz w:val="13"/>
        </w:rPr>
        <w:t xml:space="preserve">Submissions </w:t>
      </w:r>
      <w:r>
        <w:rPr>
          <w:color w:val="231F20"/>
          <w:sz w:val="13"/>
        </w:rPr>
        <w:t xml:space="preserve">32 (Centre for Forensic Behavioural Science), 56 </w:t>
      </w:r>
      <w:r>
        <w:rPr>
          <w:color w:val="231F20"/>
          <w:spacing w:val="2"/>
          <w:sz w:val="13"/>
        </w:rPr>
        <w:t xml:space="preserve">(Derryn </w:t>
      </w:r>
      <w:r>
        <w:rPr>
          <w:color w:val="231F20"/>
          <w:sz w:val="13"/>
        </w:rPr>
        <w:t xml:space="preserve">Hinch’s Justice Party); Consultations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 xml:space="preserve">Violence Resource Centre Victoria), 13 (Victoria Legal Aid), 18 (County </w:t>
      </w:r>
      <w:r>
        <w:rPr>
          <w:color w:val="231F20"/>
          <w:spacing w:val="2"/>
          <w:sz w:val="13"/>
        </w:rPr>
        <w:t xml:space="preserve">Court </w:t>
      </w:r>
      <w:r>
        <w:rPr>
          <w:color w:val="231F20"/>
          <w:sz w:val="13"/>
        </w:rPr>
        <w:t xml:space="preserve">of Victoria); Michelle </w:t>
      </w:r>
      <w:proofErr w:type="gramStart"/>
      <w:r>
        <w:rPr>
          <w:color w:val="231F20"/>
          <w:spacing w:val="2"/>
          <w:sz w:val="13"/>
        </w:rPr>
        <w:t xml:space="preserve">Sibenik,   </w:t>
      </w:r>
      <w:proofErr w:type="gramEnd"/>
      <w:r>
        <w:rPr>
          <w:color w:val="231F20"/>
          <w:spacing w:val="2"/>
          <w:sz w:val="13"/>
        </w:rPr>
        <w:t xml:space="preserve">  </w:t>
      </w:r>
      <w:r>
        <w:rPr>
          <w:color w:val="231F20"/>
          <w:spacing w:val="-4"/>
          <w:sz w:val="13"/>
        </w:rPr>
        <w:t>‘A</w:t>
      </w:r>
      <w:r>
        <w:rPr>
          <w:color w:val="231F20"/>
          <w:spacing w:val="8"/>
          <w:sz w:val="13"/>
        </w:rPr>
        <w:t xml:space="preserve"> </w:t>
      </w:r>
      <w:r>
        <w:rPr>
          <w:color w:val="231F20"/>
          <w:sz w:val="13"/>
        </w:rPr>
        <w:t>Critical</w:t>
      </w:r>
      <w:r>
        <w:rPr>
          <w:color w:val="231F20"/>
          <w:spacing w:val="8"/>
          <w:sz w:val="13"/>
        </w:rPr>
        <w:t xml:space="preserve"> </w:t>
      </w:r>
      <w:r>
        <w:rPr>
          <w:color w:val="231F20"/>
          <w:sz w:val="13"/>
        </w:rPr>
        <w:t>Analysis</w:t>
      </w:r>
      <w:r>
        <w:rPr>
          <w:color w:val="231F20"/>
          <w:spacing w:val="8"/>
          <w:sz w:val="13"/>
        </w:rPr>
        <w:t xml:space="preserve"> </w:t>
      </w:r>
      <w:r>
        <w:rPr>
          <w:color w:val="231F20"/>
          <w:sz w:val="13"/>
        </w:rPr>
        <w:t>of</w:t>
      </w:r>
      <w:r>
        <w:rPr>
          <w:color w:val="231F20"/>
          <w:spacing w:val="8"/>
          <w:sz w:val="13"/>
        </w:rPr>
        <w:t xml:space="preserve"> </w:t>
      </w:r>
      <w:r>
        <w:rPr>
          <w:color w:val="231F20"/>
          <w:sz w:val="13"/>
        </w:rPr>
        <w:t>the</w:t>
      </w:r>
      <w:r>
        <w:rPr>
          <w:color w:val="231F20"/>
          <w:spacing w:val="8"/>
          <w:sz w:val="13"/>
        </w:rPr>
        <w:t xml:space="preserve"> </w:t>
      </w:r>
      <w:r>
        <w:rPr>
          <w:color w:val="231F20"/>
          <w:spacing w:val="2"/>
          <w:sz w:val="13"/>
        </w:rPr>
        <w:t>Applications</w:t>
      </w:r>
      <w:r>
        <w:rPr>
          <w:color w:val="231F20"/>
          <w:spacing w:val="8"/>
          <w:sz w:val="13"/>
        </w:rPr>
        <w:t xml:space="preserve"> </w:t>
      </w:r>
      <w:r>
        <w:rPr>
          <w:color w:val="231F20"/>
          <w:sz w:val="13"/>
        </w:rPr>
        <w:t>of</w:t>
      </w:r>
      <w:r>
        <w:rPr>
          <w:color w:val="231F20"/>
          <w:spacing w:val="8"/>
          <w:sz w:val="13"/>
        </w:rPr>
        <w:t xml:space="preserve"> </w:t>
      </w:r>
      <w:r>
        <w:rPr>
          <w:color w:val="231F20"/>
          <w:sz w:val="13"/>
        </w:rPr>
        <w:t>Anti-Stalking</w:t>
      </w:r>
      <w:r>
        <w:rPr>
          <w:color w:val="231F20"/>
          <w:spacing w:val="8"/>
          <w:sz w:val="13"/>
        </w:rPr>
        <w:t xml:space="preserve"> </w:t>
      </w:r>
      <w:r>
        <w:rPr>
          <w:color w:val="231F20"/>
          <w:sz w:val="13"/>
        </w:rPr>
        <w:t>Legislation</w:t>
      </w:r>
      <w:r>
        <w:rPr>
          <w:color w:val="231F20"/>
          <w:spacing w:val="8"/>
          <w:sz w:val="13"/>
        </w:rPr>
        <w:t xml:space="preserve"> </w:t>
      </w:r>
      <w:r>
        <w:rPr>
          <w:color w:val="231F20"/>
          <w:sz w:val="13"/>
        </w:rPr>
        <w:t>in</w:t>
      </w:r>
      <w:r>
        <w:rPr>
          <w:color w:val="231F20"/>
          <w:spacing w:val="8"/>
          <w:sz w:val="13"/>
        </w:rPr>
        <w:t xml:space="preserve"> </w:t>
      </w:r>
      <w:r>
        <w:rPr>
          <w:color w:val="231F20"/>
          <w:sz w:val="13"/>
        </w:rPr>
        <w:t>Victoria,</w:t>
      </w:r>
      <w:r>
        <w:rPr>
          <w:color w:val="231F20"/>
          <w:spacing w:val="8"/>
          <w:sz w:val="13"/>
        </w:rPr>
        <w:t xml:space="preserve"> </w:t>
      </w:r>
      <w:r>
        <w:rPr>
          <w:color w:val="231F20"/>
          <w:sz w:val="13"/>
        </w:rPr>
        <w:t>Australia’</w:t>
      </w:r>
      <w:r>
        <w:rPr>
          <w:color w:val="231F20"/>
          <w:spacing w:val="8"/>
          <w:sz w:val="13"/>
        </w:rPr>
        <w:t xml:space="preserve"> </w:t>
      </w:r>
      <w:r>
        <w:rPr>
          <w:color w:val="231F20"/>
          <w:sz w:val="13"/>
        </w:rPr>
        <w:t>(PhD</w:t>
      </w:r>
      <w:r>
        <w:rPr>
          <w:color w:val="231F20"/>
          <w:spacing w:val="8"/>
          <w:sz w:val="13"/>
        </w:rPr>
        <w:t xml:space="preserve"> </w:t>
      </w:r>
      <w:r>
        <w:rPr>
          <w:color w:val="231F20"/>
          <w:sz w:val="13"/>
        </w:rPr>
        <w:t>Thesis,</w:t>
      </w:r>
      <w:r>
        <w:rPr>
          <w:color w:val="231F20"/>
          <w:spacing w:val="8"/>
          <w:sz w:val="13"/>
        </w:rPr>
        <w:t xml:space="preserve"> </w:t>
      </w:r>
      <w:r>
        <w:rPr>
          <w:color w:val="231F20"/>
          <w:sz w:val="13"/>
        </w:rPr>
        <w:t>Monash</w:t>
      </w:r>
      <w:r>
        <w:rPr>
          <w:color w:val="231F20"/>
          <w:spacing w:val="8"/>
          <w:sz w:val="13"/>
        </w:rPr>
        <w:t xml:space="preserve"> </w:t>
      </w:r>
      <w:r>
        <w:rPr>
          <w:color w:val="231F20"/>
          <w:sz w:val="13"/>
        </w:rPr>
        <w:t>University,</w:t>
      </w:r>
      <w:r>
        <w:rPr>
          <w:color w:val="231F20"/>
          <w:spacing w:val="8"/>
          <w:sz w:val="13"/>
        </w:rPr>
        <w:t xml:space="preserve"> </w:t>
      </w:r>
      <w:r>
        <w:rPr>
          <w:color w:val="231F20"/>
          <w:sz w:val="13"/>
        </w:rPr>
        <w:t>2018)</w:t>
      </w:r>
      <w:r>
        <w:rPr>
          <w:color w:val="231F20"/>
          <w:spacing w:val="9"/>
          <w:sz w:val="13"/>
        </w:rPr>
        <w:t xml:space="preserve"> </w:t>
      </w:r>
      <w:r>
        <w:rPr>
          <w:color w:val="231F20"/>
          <w:spacing w:val="2"/>
          <w:sz w:val="13"/>
        </w:rPr>
        <w:t>89.</w:t>
      </w:r>
    </w:p>
    <w:p w14:paraId="3DBEFF09" w14:textId="77777777" w:rsidR="00894070" w:rsidRDefault="009B7AFD">
      <w:pPr>
        <w:pStyle w:val="ListParagraph"/>
        <w:numPr>
          <w:ilvl w:val="0"/>
          <w:numId w:val="56"/>
        </w:numPr>
        <w:tabs>
          <w:tab w:val="left" w:pos="933"/>
          <w:tab w:val="left" w:pos="934"/>
        </w:tabs>
        <w:spacing w:line="152" w:lineRule="exact"/>
        <w:ind w:left="933" w:hanging="793"/>
        <w:jc w:val="left"/>
        <w:rPr>
          <w:sz w:val="13"/>
        </w:rPr>
      </w:pPr>
      <w:r>
        <w:rPr>
          <w:color w:val="231F20"/>
          <w:sz w:val="13"/>
        </w:rPr>
        <w:t>Consultation 13 (Victoria Legal</w:t>
      </w:r>
      <w:r>
        <w:rPr>
          <w:color w:val="231F20"/>
          <w:spacing w:val="1"/>
          <w:sz w:val="13"/>
        </w:rPr>
        <w:t xml:space="preserve"> </w:t>
      </w:r>
      <w:r>
        <w:rPr>
          <w:color w:val="231F20"/>
          <w:sz w:val="13"/>
        </w:rPr>
        <w:t>Aid).</w:t>
      </w:r>
    </w:p>
    <w:p w14:paraId="634AD595" w14:textId="77777777" w:rsidR="00894070" w:rsidRDefault="009B7AFD">
      <w:pPr>
        <w:pStyle w:val="ListParagraph"/>
        <w:numPr>
          <w:ilvl w:val="0"/>
          <w:numId w:val="56"/>
        </w:numPr>
        <w:tabs>
          <w:tab w:val="left" w:pos="933"/>
          <w:tab w:val="left" w:pos="934"/>
        </w:tabs>
        <w:spacing w:line="160" w:lineRule="exact"/>
        <w:ind w:left="933" w:hanging="793"/>
        <w:jc w:val="left"/>
        <w:rPr>
          <w:sz w:val="13"/>
        </w:rPr>
      </w:pPr>
      <w:r>
        <w:rPr>
          <w:color w:val="231F20"/>
          <w:spacing w:val="2"/>
          <w:sz w:val="13"/>
        </w:rPr>
        <w:t xml:space="preserve">Submission 115 </w:t>
      </w:r>
      <w:r>
        <w:rPr>
          <w:color w:val="231F20"/>
          <w:sz w:val="13"/>
        </w:rPr>
        <w:t>(Victoria</w:t>
      </w:r>
      <w:r>
        <w:rPr>
          <w:color w:val="231F20"/>
          <w:spacing w:val="-5"/>
          <w:sz w:val="13"/>
        </w:rPr>
        <w:t xml:space="preserve"> </w:t>
      </w:r>
      <w:r>
        <w:rPr>
          <w:color w:val="231F20"/>
          <w:sz w:val="13"/>
        </w:rPr>
        <w:t>Police).</w:t>
      </w:r>
    </w:p>
    <w:p w14:paraId="48F0A2C0" w14:textId="77777777" w:rsidR="00894070" w:rsidRDefault="009B7AFD">
      <w:pPr>
        <w:pStyle w:val="ListParagraph"/>
        <w:numPr>
          <w:ilvl w:val="0"/>
          <w:numId w:val="56"/>
        </w:numPr>
        <w:tabs>
          <w:tab w:val="left" w:pos="933"/>
          <w:tab w:val="left" w:pos="934"/>
        </w:tabs>
        <w:spacing w:line="160" w:lineRule="exact"/>
        <w:ind w:left="933" w:hanging="793"/>
        <w:jc w:val="left"/>
        <w:rPr>
          <w:sz w:val="13"/>
        </w:rPr>
      </w:pPr>
      <w:r>
        <w:rPr>
          <w:color w:val="231F20"/>
          <w:sz w:val="13"/>
        </w:rPr>
        <w:t>Ibid.</w:t>
      </w:r>
    </w:p>
    <w:p w14:paraId="52A06F9F" w14:textId="77777777" w:rsidR="00894070" w:rsidRDefault="009B7AFD">
      <w:pPr>
        <w:pStyle w:val="ListParagraph"/>
        <w:numPr>
          <w:ilvl w:val="0"/>
          <w:numId w:val="56"/>
        </w:numPr>
        <w:tabs>
          <w:tab w:val="left" w:pos="933"/>
          <w:tab w:val="left" w:pos="934"/>
        </w:tabs>
        <w:spacing w:line="160" w:lineRule="exact"/>
        <w:ind w:left="933" w:hanging="793"/>
        <w:jc w:val="left"/>
        <w:rPr>
          <w:sz w:val="13"/>
        </w:rPr>
      </w:pPr>
      <w:r>
        <w:rPr>
          <w:color w:val="231F20"/>
          <w:sz w:val="13"/>
        </w:rPr>
        <w:t>Consultation 25 (Victoria Police (No</w:t>
      </w:r>
      <w:r>
        <w:rPr>
          <w:color w:val="231F20"/>
          <w:spacing w:val="1"/>
          <w:sz w:val="13"/>
        </w:rPr>
        <w:t xml:space="preserve"> </w:t>
      </w:r>
      <w:r>
        <w:rPr>
          <w:color w:val="231F20"/>
          <w:sz w:val="13"/>
        </w:rPr>
        <w:t>2)).</w:t>
      </w:r>
    </w:p>
    <w:p w14:paraId="6FE718BA" w14:textId="77777777" w:rsidR="00894070" w:rsidRDefault="009B7AFD">
      <w:pPr>
        <w:pStyle w:val="ListParagraph"/>
        <w:numPr>
          <w:ilvl w:val="0"/>
          <w:numId w:val="56"/>
        </w:numPr>
        <w:tabs>
          <w:tab w:val="left" w:pos="933"/>
          <w:tab w:val="left" w:pos="934"/>
        </w:tabs>
        <w:spacing w:line="170" w:lineRule="exact"/>
        <w:ind w:left="933" w:hanging="793"/>
        <w:jc w:val="left"/>
        <w:rPr>
          <w:sz w:val="13"/>
        </w:rPr>
      </w:pPr>
      <w:r>
        <w:rPr>
          <w:color w:val="231F20"/>
          <w:sz w:val="13"/>
        </w:rPr>
        <w:t xml:space="preserve">Consultation 2 (Children’s </w:t>
      </w:r>
      <w:r>
        <w:rPr>
          <w:color w:val="231F20"/>
          <w:spacing w:val="2"/>
          <w:sz w:val="13"/>
        </w:rPr>
        <w:t xml:space="preserve">Court </w:t>
      </w:r>
      <w:r>
        <w:rPr>
          <w:color w:val="231F20"/>
          <w:sz w:val="13"/>
        </w:rPr>
        <w:t>of Victoria (No 1)).</w:t>
      </w:r>
    </w:p>
    <w:p w14:paraId="0FAC7BFA"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83" w:space="284"/>
            <w:col w:w="10043"/>
          </w:cols>
        </w:sectPr>
      </w:pPr>
    </w:p>
    <w:p w14:paraId="671CE894" w14:textId="77777777" w:rsidR="00894070" w:rsidRDefault="00894070">
      <w:pPr>
        <w:pStyle w:val="BodyText"/>
      </w:pPr>
    </w:p>
    <w:p w14:paraId="5B136FE6" w14:textId="77777777" w:rsidR="00894070" w:rsidRDefault="00894070">
      <w:pPr>
        <w:pStyle w:val="BodyText"/>
      </w:pPr>
    </w:p>
    <w:p w14:paraId="13B8A73E" w14:textId="77777777" w:rsidR="00894070" w:rsidRDefault="00894070">
      <w:pPr>
        <w:pStyle w:val="BodyText"/>
      </w:pPr>
    </w:p>
    <w:p w14:paraId="2DF4C373" w14:textId="77777777" w:rsidR="00894070" w:rsidRDefault="00894070">
      <w:pPr>
        <w:pStyle w:val="BodyText"/>
        <w:spacing w:before="6"/>
        <w:rPr>
          <w:sz w:val="14"/>
        </w:rPr>
      </w:pPr>
    </w:p>
    <w:p w14:paraId="21FAE906" w14:textId="77777777" w:rsidR="00894070" w:rsidRDefault="009B7AFD">
      <w:pPr>
        <w:pStyle w:val="ListParagraph"/>
        <w:numPr>
          <w:ilvl w:val="1"/>
          <w:numId w:val="65"/>
        </w:numPr>
        <w:tabs>
          <w:tab w:val="left" w:pos="1802"/>
        </w:tabs>
        <w:spacing w:before="90" w:line="206" w:lineRule="auto"/>
        <w:ind w:right="1773"/>
        <w:jc w:val="both"/>
        <w:rPr>
          <w:sz w:val="11"/>
        </w:rPr>
      </w:pPr>
      <w:bookmarkStart w:id="158" w:name="_bookmark94"/>
      <w:bookmarkEnd w:id="158"/>
      <w:r>
        <w:rPr>
          <w:color w:val="231F20"/>
          <w:sz w:val="20"/>
        </w:rPr>
        <w:t>Research</w:t>
      </w:r>
      <w:r>
        <w:rPr>
          <w:color w:val="231F20"/>
          <w:spacing w:val="-10"/>
          <w:sz w:val="20"/>
        </w:rPr>
        <w:t xml:space="preserve"> </w:t>
      </w:r>
      <w:r>
        <w:rPr>
          <w:color w:val="231F20"/>
          <w:sz w:val="20"/>
        </w:rPr>
        <w:t>suggests</w:t>
      </w:r>
      <w:r>
        <w:rPr>
          <w:color w:val="231F20"/>
          <w:spacing w:val="-9"/>
          <w:sz w:val="20"/>
        </w:rPr>
        <w:t xml:space="preserve"> </w:t>
      </w:r>
      <w:r>
        <w:rPr>
          <w:color w:val="231F20"/>
          <w:sz w:val="20"/>
        </w:rPr>
        <w:t>that</w:t>
      </w:r>
      <w:r>
        <w:rPr>
          <w:color w:val="231F20"/>
          <w:spacing w:val="-9"/>
          <w:sz w:val="20"/>
        </w:rPr>
        <w:t xml:space="preserve"> </w:t>
      </w:r>
      <w:r>
        <w:rPr>
          <w:color w:val="231F20"/>
          <w:sz w:val="20"/>
        </w:rPr>
        <w:t>stalking</w:t>
      </w:r>
      <w:r>
        <w:rPr>
          <w:color w:val="231F20"/>
          <w:spacing w:val="-9"/>
          <w:sz w:val="20"/>
        </w:rPr>
        <w:t xml:space="preserve"> </w:t>
      </w:r>
      <w:r>
        <w:rPr>
          <w:color w:val="231F20"/>
          <w:sz w:val="20"/>
        </w:rPr>
        <w:t>might</w:t>
      </w:r>
      <w:r>
        <w:rPr>
          <w:color w:val="231F20"/>
          <w:spacing w:val="-9"/>
          <w:sz w:val="20"/>
        </w:rPr>
        <w:t xml:space="preserve"> </w:t>
      </w:r>
      <w:r>
        <w:rPr>
          <w:color w:val="231F20"/>
          <w:sz w:val="20"/>
        </w:rPr>
        <w:t>need</w:t>
      </w:r>
      <w:r>
        <w:rPr>
          <w:color w:val="231F20"/>
          <w:spacing w:val="-10"/>
          <w:sz w:val="20"/>
        </w:rPr>
        <w:t xml:space="preserve"> </w:t>
      </w:r>
      <w:r>
        <w:rPr>
          <w:color w:val="231F20"/>
          <w:sz w:val="20"/>
        </w:rPr>
        <w:t>to</w:t>
      </w:r>
      <w:r>
        <w:rPr>
          <w:color w:val="231F20"/>
          <w:spacing w:val="-9"/>
          <w:sz w:val="20"/>
        </w:rPr>
        <w:t xml:space="preserve"> </w:t>
      </w:r>
      <w:r>
        <w:rPr>
          <w:color w:val="231F20"/>
          <w:sz w:val="20"/>
        </w:rPr>
        <w:t>escalate</w:t>
      </w:r>
      <w:r>
        <w:rPr>
          <w:color w:val="231F20"/>
          <w:spacing w:val="-9"/>
          <w:sz w:val="20"/>
        </w:rPr>
        <w:t xml:space="preserve"> </w:t>
      </w:r>
      <w:r>
        <w:rPr>
          <w:color w:val="231F20"/>
          <w:sz w:val="20"/>
        </w:rPr>
        <w:t>to</w:t>
      </w:r>
      <w:r>
        <w:rPr>
          <w:color w:val="231F20"/>
          <w:spacing w:val="-9"/>
          <w:sz w:val="20"/>
        </w:rPr>
        <w:t xml:space="preserve"> </w:t>
      </w:r>
      <w:r>
        <w:rPr>
          <w:color w:val="231F20"/>
          <w:spacing w:val="-4"/>
          <w:sz w:val="20"/>
        </w:rPr>
        <w:t>‘a</w:t>
      </w:r>
      <w:r>
        <w:rPr>
          <w:color w:val="231F20"/>
          <w:spacing w:val="-9"/>
          <w:sz w:val="20"/>
        </w:rPr>
        <w:t xml:space="preserve"> </w:t>
      </w:r>
      <w:r>
        <w:rPr>
          <w:color w:val="231F20"/>
          <w:spacing w:val="-3"/>
          <w:sz w:val="20"/>
        </w:rPr>
        <w:t>perceptible</w:t>
      </w:r>
      <w:r>
        <w:rPr>
          <w:color w:val="231F20"/>
          <w:spacing w:val="-9"/>
          <w:sz w:val="20"/>
        </w:rPr>
        <w:t xml:space="preserve"> </w:t>
      </w:r>
      <w:r>
        <w:rPr>
          <w:color w:val="231F20"/>
          <w:sz w:val="20"/>
        </w:rPr>
        <w:t>degree of</w:t>
      </w:r>
      <w:r>
        <w:rPr>
          <w:color w:val="231F20"/>
          <w:spacing w:val="-11"/>
          <w:sz w:val="20"/>
        </w:rPr>
        <w:t xml:space="preserve"> </w:t>
      </w:r>
      <w:r>
        <w:rPr>
          <w:color w:val="231F20"/>
          <w:sz w:val="20"/>
        </w:rPr>
        <w:t>seriousness’</w:t>
      </w:r>
      <w:r>
        <w:rPr>
          <w:color w:val="231F20"/>
          <w:spacing w:val="-10"/>
          <w:sz w:val="20"/>
        </w:rPr>
        <w:t xml:space="preserve"> </w:t>
      </w:r>
      <w:r>
        <w:rPr>
          <w:color w:val="231F20"/>
          <w:spacing w:val="-3"/>
          <w:sz w:val="20"/>
        </w:rPr>
        <w:t>before</w:t>
      </w:r>
      <w:r>
        <w:rPr>
          <w:color w:val="231F20"/>
          <w:spacing w:val="-10"/>
          <w:sz w:val="20"/>
        </w:rPr>
        <w:t xml:space="preserve"> </w:t>
      </w:r>
      <w:r>
        <w:rPr>
          <w:color w:val="231F20"/>
          <w:sz w:val="20"/>
        </w:rPr>
        <w:t>victims</w:t>
      </w:r>
      <w:r>
        <w:rPr>
          <w:color w:val="231F20"/>
          <w:spacing w:val="-10"/>
          <w:sz w:val="20"/>
        </w:rPr>
        <w:t xml:space="preserve"> </w:t>
      </w:r>
      <w:r>
        <w:rPr>
          <w:color w:val="231F20"/>
          <w:sz w:val="20"/>
        </w:rPr>
        <w:t>notify</w:t>
      </w:r>
      <w:r>
        <w:rPr>
          <w:color w:val="231F20"/>
          <w:spacing w:val="-10"/>
          <w:sz w:val="20"/>
        </w:rPr>
        <w:t xml:space="preserve"> </w:t>
      </w:r>
      <w:r>
        <w:rPr>
          <w:color w:val="231F20"/>
          <w:sz w:val="20"/>
        </w:rPr>
        <w:t>the</w:t>
      </w:r>
      <w:r>
        <w:rPr>
          <w:color w:val="231F20"/>
          <w:spacing w:val="-11"/>
          <w:sz w:val="20"/>
        </w:rPr>
        <w:t xml:space="preserve"> </w:t>
      </w:r>
      <w:r>
        <w:rPr>
          <w:color w:val="231F20"/>
          <w:sz w:val="20"/>
        </w:rPr>
        <w:t>police,</w:t>
      </w:r>
      <w:r>
        <w:rPr>
          <w:color w:val="231F20"/>
          <w:spacing w:val="-10"/>
          <w:sz w:val="20"/>
        </w:rPr>
        <w:t xml:space="preserve"> </w:t>
      </w:r>
      <w:r>
        <w:rPr>
          <w:color w:val="231F20"/>
          <w:sz w:val="20"/>
        </w:rPr>
        <w:t>or</w:t>
      </w:r>
      <w:r>
        <w:rPr>
          <w:color w:val="231F20"/>
          <w:spacing w:val="-10"/>
          <w:sz w:val="20"/>
        </w:rPr>
        <w:t xml:space="preserve"> </w:t>
      </w:r>
      <w:r>
        <w:rPr>
          <w:color w:val="231F20"/>
          <w:spacing w:val="-3"/>
          <w:sz w:val="20"/>
        </w:rPr>
        <w:t>before</w:t>
      </w:r>
      <w:r>
        <w:rPr>
          <w:color w:val="231F20"/>
          <w:spacing w:val="-10"/>
          <w:sz w:val="20"/>
        </w:rPr>
        <w:t xml:space="preserve"> </w:t>
      </w:r>
      <w:r>
        <w:rPr>
          <w:color w:val="231F20"/>
          <w:sz w:val="20"/>
        </w:rPr>
        <w:t>police</w:t>
      </w:r>
      <w:r>
        <w:rPr>
          <w:color w:val="231F20"/>
          <w:spacing w:val="-10"/>
          <w:sz w:val="20"/>
        </w:rPr>
        <w:t xml:space="preserve"> </w:t>
      </w:r>
      <w:r>
        <w:rPr>
          <w:color w:val="231F20"/>
          <w:sz w:val="20"/>
        </w:rPr>
        <w:t>decide</w:t>
      </w:r>
      <w:r>
        <w:rPr>
          <w:color w:val="231F20"/>
          <w:spacing w:val="-11"/>
          <w:sz w:val="20"/>
        </w:rPr>
        <w:t xml:space="preserve"> </w:t>
      </w:r>
      <w:r>
        <w:rPr>
          <w:color w:val="231F20"/>
          <w:sz w:val="20"/>
        </w:rPr>
        <w:t>to</w:t>
      </w:r>
      <w:r>
        <w:rPr>
          <w:color w:val="231F20"/>
          <w:spacing w:val="-10"/>
          <w:sz w:val="20"/>
        </w:rPr>
        <w:t xml:space="preserve"> </w:t>
      </w:r>
      <w:r>
        <w:rPr>
          <w:color w:val="231F20"/>
          <w:sz w:val="20"/>
        </w:rPr>
        <w:t>charge someone.</w:t>
      </w:r>
      <w:r>
        <w:rPr>
          <w:color w:val="231F20"/>
          <w:position w:val="7"/>
          <w:sz w:val="11"/>
        </w:rPr>
        <w:t>63</w:t>
      </w:r>
    </w:p>
    <w:p w14:paraId="31CA4147" w14:textId="77777777" w:rsidR="00894070" w:rsidRDefault="009B7AFD">
      <w:pPr>
        <w:pStyle w:val="ListParagraph"/>
        <w:numPr>
          <w:ilvl w:val="1"/>
          <w:numId w:val="65"/>
        </w:numPr>
        <w:tabs>
          <w:tab w:val="left" w:pos="1801"/>
          <w:tab w:val="left" w:pos="1802"/>
        </w:tabs>
        <w:spacing w:before="124" w:line="206" w:lineRule="auto"/>
        <w:ind w:right="1238"/>
        <w:rPr>
          <w:sz w:val="11"/>
        </w:rPr>
      </w:pPr>
      <w:r>
        <w:rPr>
          <w:color w:val="231F20"/>
          <w:sz w:val="20"/>
        </w:rPr>
        <w:t xml:space="preserve">Victoria Police acknowledged </w:t>
      </w:r>
      <w:r>
        <w:rPr>
          <w:color w:val="231F20"/>
          <w:spacing w:val="-3"/>
          <w:sz w:val="20"/>
        </w:rPr>
        <w:t xml:space="preserve">‘challenges </w:t>
      </w:r>
      <w:r>
        <w:rPr>
          <w:color w:val="231F20"/>
          <w:sz w:val="20"/>
        </w:rPr>
        <w:t xml:space="preserve">in translating [stalking] behaviours </w:t>
      </w:r>
      <w:r>
        <w:rPr>
          <w:color w:val="231F20"/>
          <w:spacing w:val="-3"/>
          <w:sz w:val="20"/>
        </w:rPr>
        <w:t xml:space="preserve">into </w:t>
      </w:r>
      <w:r>
        <w:rPr>
          <w:color w:val="231F20"/>
          <w:sz w:val="20"/>
        </w:rPr>
        <w:t>the brief</w:t>
      </w:r>
      <w:r>
        <w:rPr>
          <w:color w:val="231F20"/>
          <w:spacing w:val="-10"/>
          <w:sz w:val="20"/>
        </w:rPr>
        <w:t xml:space="preserve"> </w:t>
      </w:r>
      <w:r>
        <w:rPr>
          <w:color w:val="231F20"/>
          <w:sz w:val="20"/>
        </w:rPr>
        <w:t>and</w:t>
      </w:r>
      <w:r>
        <w:rPr>
          <w:color w:val="231F20"/>
          <w:spacing w:val="-10"/>
          <w:sz w:val="20"/>
        </w:rPr>
        <w:t xml:space="preserve"> </w:t>
      </w:r>
      <w:r>
        <w:rPr>
          <w:color w:val="231F20"/>
          <w:sz w:val="20"/>
        </w:rPr>
        <w:t>portraying</w:t>
      </w:r>
      <w:r>
        <w:rPr>
          <w:color w:val="231F20"/>
          <w:spacing w:val="-9"/>
          <w:sz w:val="20"/>
        </w:rPr>
        <w:t xml:space="preserve"> </w:t>
      </w:r>
      <w:r>
        <w:rPr>
          <w:color w:val="231F20"/>
          <w:sz w:val="20"/>
        </w:rPr>
        <w:t>the</w:t>
      </w:r>
      <w:r>
        <w:rPr>
          <w:color w:val="231F20"/>
          <w:spacing w:val="-10"/>
          <w:sz w:val="20"/>
        </w:rPr>
        <w:t xml:space="preserve"> </w:t>
      </w:r>
      <w:r>
        <w:rPr>
          <w:color w:val="231F20"/>
          <w:sz w:val="20"/>
        </w:rPr>
        <w:t>behaviours</w:t>
      </w:r>
      <w:r>
        <w:rPr>
          <w:color w:val="231F20"/>
          <w:spacing w:val="-9"/>
          <w:sz w:val="20"/>
        </w:rPr>
        <w:t xml:space="preserve"> </w:t>
      </w:r>
      <w:r>
        <w:rPr>
          <w:color w:val="231F20"/>
          <w:sz w:val="20"/>
        </w:rPr>
        <w:t>…</w:t>
      </w:r>
      <w:r>
        <w:rPr>
          <w:color w:val="231F20"/>
          <w:spacing w:val="-10"/>
          <w:sz w:val="20"/>
        </w:rPr>
        <w:t xml:space="preserve"> </w:t>
      </w:r>
      <w:r>
        <w:rPr>
          <w:color w:val="231F20"/>
          <w:sz w:val="20"/>
        </w:rPr>
        <w:t>within</w:t>
      </w:r>
      <w:r>
        <w:rPr>
          <w:color w:val="231F20"/>
          <w:spacing w:val="-9"/>
          <w:sz w:val="20"/>
        </w:rPr>
        <w:t xml:space="preserve"> </w:t>
      </w:r>
      <w:r>
        <w:rPr>
          <w:color w:val="231F20"/>
          <w:sz w:val="20"/>
        </w:rPr>
        <w:t>the</w:t>
      </w:r>
      <w:r>
        <w:rPr>
          <w:color w:val="231F20"/>
          <w:spacing w:val="-10"/>
          <w:sz w:val="20"/>
        </w:rPr>
        <w:t xml:space="preserve"> </w:t>
      </w:r>
      <w:r>
        <w:rPr>
          <w:color w:val="231F20"/>
          <w:sz w:val="20"/>
        </w:rPr>
        <w:t>parameters</w:t>
      </w:r>
      <w:r>
        <w:rPr>
          <w:color w:val="231F20"/>
          <w:spacing w:val="-9"/>
          <w:sz w:val="20"/>
        </w:rPr>
        <w:t xml:space="preserve"> </w:t>
      </w:r>
      <w:r>
        <w:rPr>
          <w:color w:val="231F20"/>
          <w:sz w:val="20"/>
        </w:rPr>
        <w:t>of</w:t>
      </w:r>
      <w:r>
        <w:rPr>
          <w:color w:val="231F20"/>
          <w:spacing w:val="-10"/>
          <w:sz w:val="20"/>
        </w:rPr>
        <w:t xml:space="preserve"> </w:t>
      </w:r>
      <w:r>
        <w:rPr>
          <w:color w:val="231F20"/>
          <w:sz w:val="20"/>
        </w:rPr>
        <w:t>the</w:t>
      </w:r>
      <w:r>
        <w:rPr>
          <w:color w:val="231F20"/>
          <w:spacing w:val="-9"/>
          <w:sz w:val="20"/>
        </w:rPr>
        <w:t xml:space="preserve"> </w:t>
      </w:r>
      <w:r>
        <w:rPr>
          <w:color w:val="231F20"/>
          <w:spacing w:val="-4"/>
          <w:sz w:val="20"/>
        </w:rPr>
        <w:t>crime’,</w:t>
      </w:r>
      <w:r>
        <w:rPr>
          <w:color w:val="231F20"/>
          <w:spacing w:val="-10"/>
          <w:sz w:val="20"/>
        </w:rPr>
        <w:t xml:space="preserve"> </w:t>
      </w:r>
      <w:r>
        <w:rPr>
          <w:color w:val="231F20"/>
          <w:sz w:val="20"/>
        </w:rPr>
        <w:t>and</w:t>
      </w:r>
      <w:r>
        <w:rPr>
          <w:color w:val="231F20"/>
          <w:spacing w:val="-9"/>
          <w:sz w:val="20"/>
        </w:rPr>
        <w:t xml:space="preserve"> </w:t>
      </w:r>
      <w:r>
        <w:rPr>
          <w:color w:val="231F20"/>
          <w:sz w:val="20"/>
        </w:rPr>
        <w:t>that</w:t>
      </w:r>
      <w:r>
        <w:rPr>
          <w:color w:val="231F20"/>
          <w:spacing w:val="-10"/>
          <w:sz w:val="20"/>
        </w:rPr>
        <w:t xml:space="preserve"> </w:t>
      </w:r>
      <w:r>
        <w:rPr>
          <w:color w:val="231F20"/>
          <w:sz w:val="20"/>
        </w:rPr>
        <w:t>‘The question</w:t>
      </w:r>
      <w:r>
        <w:rPr>
          <w:color w:val="231F20"/>
          <w:spacing w:val="-13"/>
          <w:sz w:val="20"/>
        </w:rPr>
        <w:t xml:space="preserve"> </w:t>
      </w:r>
      <w:r>
        <w:rPr>
          <w:color w:val="231F20"/>
          <w:sz w:val="20"/>
        </w:rPr>
        <w:t>of</w:t>
      </w:r>
      <w:r>
        <w:rPr>
          <w:color w:val="231F20"/>
          <w:spacing w:val="-12"/>
          <w:sz w:val="20"/>
        </w:rPr>
        <w:t xml:space="preserve"> </w:t>
      </w:r>
      <w:r>
        <w:rPr>
          <w:color w:val="231F20"/>
          <w:sz w:val="20"/>
        </w:rPr>
        <w:t>whether</w:t>
      </w:r>
      <w:r>
        <w:rPr>
          <w:color w:val="231F20"/>
          <w:spacing w:val="-12"/>
          <w:sz w:val="20"/>
        </w:rPr>
        <w:t xml:space="preserve"> </w:t>
      </w:r>
      <w:r>
        <w:rPr>
          <w:color w:val="231F20"/>
          <w:sz w:val="20"/>
        </w:rPr>
        <w:t>the</w:t>
      </w:r>
      <w:r>
        <w:rPr>
          <w:color w:val="231F20"/>
          <w:spacing w:val="-12"/>
          <w:sz w:val="20"/>
        </w:rPr>
        <w:t xml:space="preserve"> </w:t>
      </w:r>
      <w:r>
        <w:rPr>
          <w:color w:val="231F20"/>
          <w:sz w:val="20"/>
        </w:rPr>
        <w:t>evidence</w:t>
      </w:r>
      <w:r>
        <w:rPr>
          <w:color w:val="231F20"/>
          <w:spacing w:val="-12"/>
          <w:sz w:val="20"/>
        </w:rPr>
        <w:t xml:space="preserve"> </w:t>
      </w:r>
      <w:r>
        <w:rPr>
          <w:color w:val="231F20"/>
          <w:sz w:val="20"/>
        </w:rPr>
        <w:t>is</w:t>
      </w:r>
      <w:r>
        <w:rPr>
          <w:color w:val="231F20"/>
          <w:spacing w:val="-12"/>
          <w:sz w:val="20"/>
        </w:rPr>
        <w:t xml:space="preserve"> </w:t>
      </w:r>
      <w:r>
        <w:rPr>
          <w:color w:val="231F20"/>
          <w:sz w:val="20"/>
        </w:rPr>
        <w:t>insufficient</w:t>
      </w:r>
      <w:r>
        <w:rPr>
          <w:color w:val="231F20"/>
          <w:spacing w:val="-12"/>
          <w:sz w:val="20"/>
        </w:rPr>
        <w:t xml:space="preserve"> </w:t>
      </w:r>
      <w:r>
        <w:rPr>
          <w:color w:val="231F20"/>
          <w:sz w:val="20"/>
        </w:rPr>
        <w:t>to</w:t>
      </w:r>
      <w:r>
        <w:rPr>
          <w:color w:val="231F20"/>
          <w:spacing w:val="-13"/>
          <w:sz w:val="20"/>
        </w:rPr>
        <w:t xml:space="preserve"> </w:t>
      </w:r>
      <w:r>
        <w:rPr>
          <w:color w:val="231F20"/>
          <w:sz w:val="20"/>
        </w:rPr>
        <w:t>secure</w:t>
      </w:r>
      <w:r>
        <w:rPr>
          <w:color w:val="231F20"/>
          <w:spacing w:val="-12"/>
          <w:sz w:val="20"/>
        </w:rPr>
        <w:t xml:space="preserve"> </w:t>
      </w:r>
      <w:r>
        <w:rPr>
          <w:color w:val="231F20"/>
          <w:sz w:val="20"/>
        </w:rPr>
        <w:t>a</w:t>
      </w:r>
      <w:r>
        <w:rPr>
          <w:color w:val="231F20"/>
          <w:spacing w:val="-12"/>
          <w:sz w:val="20"/>
        </w:rPr>
        <w:t xml:space="preserve"> </w:t>
      </w:r>
      <w:r>
        <w:rPr>
          <w:color w:val="231F20"/>
          <w:sz w:val="20"/>
        </w:rPr>
        <w:t>conviction</w:t>
      </w:r>
      <w:r>
        <w:rPr>
          <w:color w:val="231F20"/>
          <w:spacing w:val="-12"/>
          <w:sz w:val="20"/>
        </w:rPr>
        <w:t xml:space="preserve"> </w:t>
      </w:r>
      <w:r>
        <w:rPr>
          <w:color w:val="231F20"/>
          <w:sz w:val="20"/>
        </w:rPr>
        <w:t>is</w:t>
      </w:r>
      <w:r>
        <w:rPr>
          <w:color w:val="231F20"/>
          <w:spacing w:val="-12"/>
          <w:sz w:val="20"/>
        </w:rPr>
        <w:t xml:space="preserve"> </w:t>
      </w:r>
      <w:r>
        <w:rPr>
          <w:color w:val="231F20"/>
          <w:spacing w:val="-4"/>
          <w:sz w:val="20"/>
        </w:rPr>
        <w:t>always</w:t>
      </w:r>
      <w:r>
        <w:rPr>
          <w:color w:val="231F20"/>
          <w:spacing w:val="-12"/>
          <w:sz w:val="20"/>
        </w:rPr>
        <w:t xml:space="preserve"> </w:t>
      </w:r>
      <w:r>
        <w:rPr>
          <w:color w:val="231F20"/>
          <w:spacing w:val="-3"/>
          <w:sz w:val="20"/>
        </w:rPr>
        <w:t>front</w:t>
      </w:r>
      <w:r>
        <w:rPr>
          <w:color w:val="231F20"/>
          <w:spacing w:val="-12"/>
          <w:sz w:val="20"/>
        </w:rPr>
        <w:t xml:space="preserve"> </w:t>
      </w:r>
      <w:r>
        <w:rPr>
          <w:color w:val="231F20"/>
          <w:sz w:val="20"/>
        </w:rPr>
        <w:t>of mind’.</w:t>
      </w:r>
      <w:r>
        <w:rPr>
          <w:color w:val="231F20"/>
          <w:position w:val="7"/>
          <w:sz w:val="11"/>
        </w:rPr>
        <w:t>64</w:t>
      </w:r>
    </w:p>
    <w:p w14:paraId="3737202D" w14:textId="77777777" w:rsidR="00894070" w:rsidRDefault="009B7AFD">
      <w:pPr>
        <w:pStyle w:val="ListParagraph"/>
        <w:numPr>
          <w:ilvl w:val="1"/>
          <w:numId w:val="65"/>
        </w:numPr>
        <w:tabs>
          <w:tab w:val="left" w:pos="1801"/>
          <w:tab w:val="left" w:pos="1802"/>
        </w:tabs>
        <w:spacing w:before="125" w:line="206" w:lineRule="auto"/>
        <w:ind w:right="1236"/>
        <w:rPr>
          <w:sz w:val="11"/>
        </w:rPr>
      </w:pPr>
      <w:r>
        <w:rPr>
          <w:color w:val="231F20"/>
          <w:spacing w:val="-3"/>
          <w:sz w:val="20"/>
        </w:rPr>
        <w:t xml:space="preserve">Forensicare told </w:t>
      </w:r>
      <w:r>
        <w:rPr>
          <w:color w:val="231F20"/>
          <w:sz w:val="20"/>
        </w:rPr>
        <w:t xml:space="preserve">us that ‘there is an issue around psychological harm and </w:t>
      </w:r>
      <w:r>
        <w:rPr>
          <w:color w:val="231F20"/>
          <w:spacing w:val="-3"/>
          <w:sz w:val="20"/>
        </w:rPr>
        <w:t xml:space="preserve">how </w:t>
      </w:r>
      <w:r>
        <w:rPr>
          <w:color w:val="231F20"/>
          <w:sz w:val="20"/>
        </w:rPr>
        <w:t xml:space="preserve">this is </w:t>
      </w:r>
      <w:r>
        <w:rPr>
          <w:color w:val="231F20"/>
          <w:spacing w:val="-4"/>
          <w:sz w:val="20"/>
        </w:rPr>
        <w:t>proven</w:t>
      </w:r>
      <w:r>
        <w:rPr>
          <w:color w:val="231F20"/>
          <w:spacing w:val="-9"/>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stalking</w:t>
      </w:r>
      <w:r>
        <w:rPr>
          <w:color w:val="231F20"/>
          <w:spacing w:val="-9"/>
          <w:sz w:val="20"/>
        </w:rPr>
        <w:t xml:space="preserve"> </w:t>
      </w:r>
      <w:r>
        <w:rPr>
          <w:color w:val="231F20"/>
          <w:spacing w:val="-3"/>
          <w:sz w:val="20"/>
        </w:rPr>
        <w:t>law’.</w:t>
      </w:r>
      <w:r>
        <w:rPr>
          <w:color w:val="231F20"/>
          <w:spacing w:val="-3"/>
          <w:position w:val="7"/>
          <w:sz w:val="11"/>
        </w:rPr>
        <w:t>65</w:t>
      </w:r>
      <w:r>
        <w:rPr>
          <w:color w:val="231F20"/>
          <w:spacing w:val="16"/>
          <w:position w:val="7"/>
          <w:sz w:val="11"/>
        </w:rPr>
        <w:t xml:space="preserve"> </w:t>
      </w:r>
      <w:r>
        <w:rPr>
          <w:color w:val="231F20"/>
          <w:sz w:val="20"/>
        </w:rPr>
        <w:t>Victoria</w:t>
      </w:r>
      <w:r>
        <w:rPr>
          <w:color w:val="231F20"/>
          <w:spacing w:val="-8"/>
          <w:sz w:val="20"/>
        </w:rPr>
        <w:t xml:space="preserve"> </w:t>
      </w:r>
      <w:r>
        <w:rPr>
          <w:color w:val="231F20"/>
          <w:sz w:val="20"/>
        </w:rPr>
        <w:t>Police</w:t>
      </w:r>
      <w:r>
        <w:rPr>
          <w:color w:val="231F20"/>
          <w:spacing w:val="-9"/>
          <w:sz w:val="20"/>
        </w:rPr>
        <w:t xml:space="preserve"> </w:t>
      </w:r>
      <w:r>
        <w:rPr>
          <w:color w:val="231F20"/>
          <w:sz w:val="20"/>
        </w:rPr>
        <w:t>similarly</w:t>
      </w:r>
      <w:r>
        <w:rPr>
          <w:color w:val="231F20"/>
          <w:spacing w:val="-8"/>
          <w:sz w:val="20"/>
        </w:rPr>
        <w:t xml:space="preserve"> </w:t>
      </w:r>
      <w:r>
        <w:rPr>
          <w:color w:val="231F20"/>
          <w:sz w:val="20"/>
        </w:rPr>
        <w:t>noted</w:t>
      </w:r>
      <w:r>
        <w:rPr>
          <w:color w:val="231F20"/>
          <w:spacing w:val="-8"/>
          <w:sz w:val="20"/>
        </w:rPr>
        <w:t xml:space="preserve"> </w:t>
      </w:r>
      <w:r>
        <w:rPr>
          <w:color w:val="231F20"/>
          <w:sz w:val="20"/>
        </w:rPr>
        <w:t>that</w:t>
      </w:r>
      <w:r>
        <w:rPr>
          <w:color w:val="231F20"/>
          <w:spacing w:val="-9"/>
          <w:sz w:val="20"/>
        </w:rPr>
        <w:t xml:space="preserve"> </w:t>
      </w:r>
      <w:r>
        <w:rPr>
          <w:color w:val="231F20"/>
          <w:sz w:val="20"/>
        </w:rPr>
        <w:t>‘Mental</w:t>
      </w:r>
      <w:r>
        <w:rPr>
          <w:color w:val="231F20"/>
          <w:spacing w:val="-8"/>
          <w:sz w:val="20"/>
        </w:rPr>
        <w:t xml:space="preserve"> </w:t>
      </w:r>
      <w:r>
        <w:rPr>
          <w:color w:val="231F20"/>
          <w:sz w:val="20"/>
        </w:rPr>
        <w:t>harm</w:t>
      </w:r>
      <w:r>
        <w:rPr>
          <w:color w:val="231F20"/>
          <w:spacing w:val="-8"/>
          <w:sz w:val="20"/>
        </w:rPr>
        <w:t xml:space="preserve"> </w:t>
      </w:r>
      <w:r>
        <w:rPr>
          <w:color w:val="231F20"/>
          <w:sz w:val="20"/>
        </w:rPr>
        <w:t>on</w:t>
      </w:r>
      <w:r>
        <w:rPr>
          <w:color w:val="231F20"/>
          <w:spacing w:val="-9"/>
          <w:sz w:val="20"/>
        </w:rPr>
        <w:t xml:space="preserve"> </w:t>
      </w:r>
      <w:r>
        <w:rPr>
          <w:color w:val="231F20"/>
          <w:sz w:val="20"/>
        </w:rPr>
        <w:t>its</w:t>
      </w:r>
      <w:r>
        <w:rPr>
          <w:color w:val="231F20"/>
          <w:spacing w:val="-8"/>
          <w:sz w:val="20"/>
        </w:rPr>
        <w:t xml:space="preserve"> </w:t>
      </w:r>
      <w:r>
        <w:rPr>
          <w:color w:val="231F20"/>
          <w:spacing w:val="-3"/>
          <w:sz w:val="20"/>
        </w:rPr>
        <w:t xml:space="preserve">own </w:t>
      </w:r>
      <w:r>
        <w:rPr>
          <w:color w:val="231F20"/>
          <w:sz w:val="20"/>
        </w:rPr>
        <w:t xml:space="preserve">can be difficult to </w:t>
      </w:r>
      <w:r>
        <w:rPr>
          <w:color w:val="231F20"/>
          <w:spacing w:val="-3"/>
          <w:sz w:val="20"/>
        </w:rPr>
        <w:t xml:space="preserve">present </w:t>
      </w:r>
      <w:r>
        <w:rPr>
          <w:color w:val="231F20"/>
          <w:sz w:val="20"/>
        </w:rPr>
        <w:t>to the courts’.</w:t>
      </w:r>
      <w:r>
        <w:rPr>
          <w:color w:val="231F20"/>
          <w:position w:val="7"/>
          <w:sz w:val="11"/>
        </w:rPr>
        <w:t xml:space="preserve">66 </w:t>
      </w:r>
      <w:r>
        <w:rPr>
          <w:color w:val="231F20"/>
          <w:sz w:val="20"/>
        </w:rPr>
        <w:t xml:space="preserve">The legislation </w:t>
      </w:r>
      <w:r>
        <w:rPr>
          <w:color w:val="231F20"/>
          <w:spacing w:val="-3"/>
          <w:sz w:val="20"/>
        </w:rPr>
        <w:t xml:space="preserve">clearly </w:t>
      </w:r>
      <w:r>
        <w:rPr>
          <w:color w:val="231F20"/>
          <w:sz w:val="20"/>
        </w:rPr>
        <w:t xml:space="preserve">recognises ‘mental </w:t>
      </w:r>
      <w:r>
        <w:rPr>
          <w:color w:val="231F20"/>
          <w:spacing w:val="-3"/>
          <w:sz w:val="20"/>
        </w:rPr>
        <w:t xml:space="preserve">harm’ </w:t>
      </w:r>
      <w:r>
        <w:rPr>
          <w:color w:val="231F20"/>
          <w:sz w:val="20"/>
        </w:rPr>
        <w:t xml:space="preserve">and further defines it to include </w:t>
      </w:r>
      <w:r>
        <w:rPr>
          <w:color w:val="231F20"/>
          <w:spacing w:val="-2"/>
          <w:sz w:val="20"/>
        </w:rPr>
        <w:t xml:space="preserve">‘psychological </w:t>
      </w:r>
      <w:r>
        <w:rPr>
          <w:color w:val="231F20"/>
          <w:spacing w:val="-3"/>
          <w:sz w:val="20"/>
        </w:rPr>
        <w:t xml:space="preserve">harm’ </w:t>
      </w:r>
      <w:r>
        <w:rPr>
          <w:color w:val="231F20"/>
          <w:sz w:val="20"/>
        </w:rPr>
        <w:t xml:space="preserve">or ‘suicidal </w:t>
      </w:r>
      <w:r>
        <w:rPr>
          <w:color w:val="231F20"/>
          <w:spacing w:val="-3"/>
          <w:sz w:val="20"/>
        </w:rPr>
        <w:t>thoughts’.</w:t>
      </w:r>
      <w:r>
        <w:rPr>
          <w:color w:val="231F20"/>
          <w:spacing w:val="-3"/>
          <w:position w:val="7"/>
          <w:sz w:val="11"/>
        </w:rPr>
        <w:t>67</w:t>
      </w:r>
      <w:r>
        <w:rPr>
          <w:color w:val="231F20"/>
          <w:spacing w:val="-3"/>
          <w:sz w:val="11"/>
        </w:rPr>
        <w:t xml:space="preserve"> </w:t>
      </w:r>
      <w:r>
        <w:rPr>
          <w:color w:val="231F20"/>
          <w:sz w:val="20"/>
        </w:rPr>
        <w:t>Courts</w:t>
      </w:r>
      <w:r>
        <w:rPr>
          <w:color w:val="231F20"/>
          <w:spacing w:val="-7"/>
          <w:sz w:val="20"/>
        </w:rPr>
        <w:t xml:space="preserve"> </w:t>
      </w:r>
      <w:r>
        <w:rPr>
          <w:color w:val="231F20"/>
          <w:spacing w:val="-4"/>
          <w:sz w:val="20"/>
        </w:rPr>
        <w:t>have</w:t>
      </w:r>
      <w:r>
        <w:rPr>
          <w:color w:val="231F20"/>
          <w:spacing w:val="-7"/>
          <w:sz w:val="20"/>
        </w:rPr>
        <w:t xml:space="preserve"> </w:t>
      </w:r>
      <w:r>
        <w:rPr>
          <w:color w:val="231F20"/>
          <w:sz w:val="20"/>
        </w:rPr>
        <w:t>also</w:t>
      </w:r>
      <w:r>
        <w:rPr>
          <w:color w:val="231F20"/>
          <w:spacing w:val="-7"/>
          <w:sz w:val="20"/>
        </w:rPr>
        <w:t xml:space="preserve"> </w:t>
      </w:r>
      <w:r>
        <w:rPr>
          <w:color w:val="231F20"/>
          <w:sz w:val="20"/>
        </w:rPr>
        <w:t>acknowledged</w:t>
      </w:r>
      <w:r>
        <w:rPr>
          <w:color w:val="231F20"/>
          <w:spacing w:val="-7"/>
          <w:sz w:val="20"/>
        </w:rPr>
        <w:t xml:space="preserve"> </w:t>
      </w:r>
      <w:r>
        <w:rPr>
          <w:color w:val="231F20"/>
          <w:sz w:val="20"/>
        </w:rPr>
        <w:t>the</w:t>
      </w:r>
      <w:r>
        <w:rPr>
          <w:color w:val="231F20"/>
          <w:spacing w:val="-7"/>
          <w:sz w:val="20"/>
        </w:rPr>
        <w:t xml:space="preserve"> </w:t>
      </w:r>
      <w:r>
        <w:rPr>
          <w:color w:val="231F20"/>
          <w:sz w:val="20"/>
        </w:rPr>
        <w:t>psychological</w:t>
      </w:r>
      <w:r>
        <w:rPr>
          <w:color w:val="231F20"/>
          <w:spacing w:val="-7"/>
          <w:sz w:val="20"/>
        </w:rPr>
        <w:t xml:space="preserve"> </w:t>
      </w:r>
      <w:r>
        <w:rPr>
          <w:color w:val="231F20"/>
          <w:sz w:val="20"/>
        </w:rPr>
        <w:t>impacts</w:t>
      </w:r>
      <w:r>
        <w:rPr>
          <w:color w:val="231F20"/>
          <w:spacing w:val="-7"/>
          <w:sz w:val="20"/>
        </w:rPr>
        <w:t xml:space="preserve"> </w:t>
      </w:r>
      <w:r>
        <w:rPr>
          <w:color w:val="231F20"/>
          <w:sz w:val="20"/>
        </w:rPr>
        <w:t>of</w:t>
      </w:r>
      <w:r>
        <w:rPr>
          <w:color w:val="231F20"/>
          <w:spacing w:val="-7"/>
          <w:sz w:val="20"/>
        </w:rPr>
        <w:t xml:space="preserve"> </w:t>
      </w:r>
      <w:r>
        <w:rPr>
          <w:color w:val="231F20"/>
          <w:sz w:val="20"/>
        </w:rPr>
        <w:t>stalking</w:t>
      </w:r>
      <w:r>
        <w:rPr>
          <w:color w:val="231F20"/>
          <w:spacing w:val="-7"/>
          <w:sz w:val="20"/>
        </w:rPr>
        <w:t xml:space="preserve"> </w:t>
      </w:r>
      <w:r>
        <w:rPr>
          <w:color w:val="231F20"/>
          <w:spacing w:val="-2"/>
          <w:sz w:val="20"/>
        </w:rPr>
        <w:t>behaviour.</w:t>
      </w:r>
      <w:r>
        <w:rPr>
          <w:color w:val="231F20"/>
          <w:spacing w:val="-2"/>
          <w:position w:val="7"/>
          <w:sz w:val="11"/>
        </w:rPr>
        <w:t>68</w:t>
      </w:r>
    </w:p>
    <w:p w14:paraId="58DA40F4" w14:textId="77777777" w:rsidR="00894070" w:rsidRDefault="009B7AFD">
      <w:pPr>
        <w:pStyle w:val="ListParagraph"/>
        <w:numPr>
          <w:ilvl w:val="1"/>
          <w:numId w:val="65"/>
        </w:numPr>
        <w:tabs>
          <w:tab w:val="left" w:pos="1801"/>
          <w:tab w:val="left" w:pos="1802"/>
        </w:tabs>
        <w:spacing w:before="126" w:line="206" w:lineRule="auto"/>
        <w:ind w:right="1170"/>
        <w:rPr>
          <w:sz w:val="11"/>
        </w:rPr>
      </w:pPr>
      <w:r>
        <w:rPr>
          <w:color w:val="231F20"/>
          <w:sz w:val="20"/>
        </w:rPr>
        <w:t xml:space="preserve">The </w:t>
      </w:r>
      <w:r>
        <w:rPr>
          <w:color w:val="231F20"/>
          <w:spacing w:val="-3"/>
          <w:sz w:val="20"/>
        </w:rPr>
        <w:t xml:space="preserve">Children’s </w:t>
      </w:r>
      <w:r>
        <w:rPr>
          <w:color w:val="231F20"/>
          <w:sz w:val="20"/>
        </w:rPr>
        <w:t xml:space="preserve">Court stated that police do not </w:t>
      </w:r>
      <w:r>
        <w:rPr>
          <w:color w:val="231F20"/>
          <w:spacing w:val="-4"/>
          <w:sz w:val="20"/>
        </w:rPr>
        <w:t xml:space="preserve">rely </w:t>
      </w:r>
      <w:r>
        <w:rPr>
          <w:color w:val="231F20"/>
          <w:sz w:val="20"/>
        </w:rPr>
        <w:t xml:space="preserve">on the psychological harm experienced </w:t>
      </w:r>
      <w:r>
        <w:rPr>
          <w:color w:val="231F20"/>
          <w:spacing w:val="-3"/>
          <w:sz w:val="20"/>
        </w:rPr>
        <w:t xml:space="preserve">by </w:t>
      </w:r>
      <w:r>
        <w:rPr>
          <w:color w:val="231F20"/>
          <w:sz w:val="20"/>
        </w:rPr>
        <w:t>the victim survivor to establish the stalking offence.</w:t>
      </w:r>
      <w:r>
        <w:rPr>
          <w:color w:val="231F20"/>
          <w:position w:val="7"/>
          <w:sz w:val="11"/>
        </w:rPr>
        <w:t xml:space="preserve">69 </w:t>
      </w:r>
      <w:r>
        <w:rPr>
          <w:color w:val="231F20"/>
          <w:spacing w:val="-6"/>
          <w:sz w:val="20"/>
        </w:rPr>
        <w:t xml:space="preserve">We </w:t>
      </w:r>
      <w:r>
        <w:rPr>
          <w:color w:val="231F20"/>
          <w:sz w:val="20"/>
        </w:rPr>
        <w:t>also heard that</w:t>
      </w:r>
      <w:r>
        <w:rPr>
          <w:color w:val="231F20"/>
          <w:spacing w:val="-10"/>
          <w:sz w:val="20"/>
        </w:rPr>
        <w:t xml:space="preserve"> </w:t>
      </w:r>
      <w:r>
        <w:rPr>
          <w:color w:val="231F20"/>
          <w:sz w:val="20"/>
        </w:rPr>
        <w:t>police</w:t>
      </w:r>
      <w:r>
        <w:rPr>
          <w:color w:val="231F20"/>
          <w:spacing w:val="-9"/>
          <w:sz w:val="20"/>
        </w:rPr>
        <w:t xml:space="preserve"> </w:t>
      </w:r>
      <w:r>
        <w:rPr>
          <w:color w:val="231F20"/>
          <w:spacing w:val="-3"/>
          <w:sz w:val="20"/>
        </w:rPr>
        <w:t>probably</w:t>
      </w:r>
      <w:r>
        <w:rPr>
          <w:color w:val="231F20"/>
          <w:spacing w:val="-9"/>
          <w:sz w:val="20"/>
        </w:rPr>
        <w:t xml:space="preserve"> </w:t>
      </w:r>
      <w:r>
        <w:rPr>
          <w:color w:val="231F20"/>
          <w:sz w:val="20"/>
        </w:rPr>
        <w:t>do</w:t>
      </w:r>
      <w:r>
        <w:rPr>
          <w:color w:val="231F20"/>
          <w:spacing w:val="-10"/>
          <w:sz w:val="20"/>
        </w:rPr>
        <w:t xml:space="preserve"> </w:t>
      </w:r>
      <w:r>
        <w:rPr>
          <w:color w:val="231F20"/>
          <w:sz w:val="20"/>
        </w:rPr>
        <w:t>not</w:t>
      </w:r>
      <w:r>
        <w:rPr>
          <w:color w:val="231F20"/>
          <w:spacing w:val="-9"/>
          <w:sz w:val="20"/>
        </w:rPr>
        <w:t xml:space="preserve"> </w:t>
      </w:r>
      <w:r>
        <w:rPr>
          <w:color w:val="231F20"/>
          <w:sz w:val="20"/>
        </w:rPr>
        <w:t>consider</w:t>
      </w:r>
      <w:r>
        <w:rPr>
          <w:color w:val="231F20"/>
          <w:spacing w:val="-9"/>
          <w:sz w:val="20"/>
        </w:rPr>
        <w:t xml:space="preserve"> </w:t>
      </w:r>
      <w:r>
        <w:rPr>
          <w:color w:val="231F20"/>
          <w:sz w:val="20"/>
        </w:rPr>
        <w:t>making</w:t>
      </w:r>
      <w:r>
        <w:rPr>
          <w:color w:val="231F20"/>
          <w:spacing w:val="-9"/>
          <w:sz w:val="20"/>
        </w:rPr>
        <w:t xml:space="preserve"> </w:t>
      </w:r>
      <w:r>
        <w:rPr>
          <w:color w:val="231F20"/>
          <w:sz w:val="20"/>
        </w:rPr>
        <w:t>use</w:t>
      </w:r>
      <w:r>
        <w:rPr>
          <w:color w:val="231F20"/>
          <w:spacing w:val="-10"/>
          <w:sz w:val="20"/>
        </w:rPr>
        <w:t xml:space="preserve"> </w:t>
      </w:r>
      <w:r>
        <w:rPr>
          <w:color w:val="231F20"/>
          <w:sz w:val="20"/>
        </w:rPr>
        <w:t>of</w:t>
      </w:r>
      <w:r>
        <w:rPr>
          <w:color w:val="231F20"/>
          <w:spacing w:val="-9"/>
          <w:sz w:val="20"/>
        </w:rPr>
        <w:t xml:space="preserve"> </w:t>
      </w:r>
      <w:r>
        <w:rPr>
          <w:color w:val="231F20"/>
          <w:sz w:val="20"/>
        </w:rPr>
        <w:t>expert</w:t>
      </w:r>
      <w:r>
        <w:rPr>
          <w:color w:val="231F20"/>
          <w:spacing w:val="-9"/>
          <w:sz w:val="20"/>
        </w:rPr>
        <w:t xml:space="preserve"> </w:t>
      </w:r>
      <w:r>
        <w:rPr>
          <w:color w:val="231F20"/>
          <w:sz w:val="20"/>
        </w:rPr>
        <w:t>evidence</w:t>
      </w:r>
      <w:r>
        <w:rPr>
          <w:color w:val="231F20"/>
          <w:spacing w:val="-9"/>
          <w:sz w:val="20"/>
        </w:rPr>
        <w:t xml:space="preserve"> </w:t>
      </w:r>
      <w:r>
        <w:rPr>
          <w:color w:val="231F20"/>
          <w:sz w:val="20"/>
        </w:rPr>
        <w:t>in</w:t>
      </w:r>
      <w:r>
        <w:rPr>
          <w:color w:val="231F20"/>
          <w:spacing w:val="-10"/>
          <w:sz w:val="20"/>
        </w:rPr>
        <w:t xml:space="preserve"> </w:t>
      </w:r>
      <w:r>
        <w:rPr>
          <w:color w:val="231F20"/>
          <w:sz w:val="20"/>
        </w:rPr>
        <w:t>stalking</w:t>
      </w:r>
      <w:r>
        <w:rPr>
          <w:color w:val="231F20"/>
          <w:spacing w:val="-9"/>
          <w:sz w:val="20"/>
        </w:rPr>
        <w:t xml:space="preserve"> </w:t>
      </w:r>
      <w:r>
        <w:rPr>
          <w:color w:val="231F20"/>
          <w:sz w:val="20"/>
        </w:rPr>
        <w:t>cases</w:t>
      </w:r>
      <w:r>
        <w:rPr>
          <w:color w:val="231F20"/>
          <w:spacing w:val="-9"/>
          <w:sz w:val="20"/>
        </w:rPr>
        <w:t xml:space="preserve"> </w:t>
      </w:r>
      <w:r>
        <w:rPr>
          <w:color w:val="231F20"/>
          <w:sz w:val="20"/>
        </w:rPr>
        <w:t>to establish psychological</w:t>
      </w:r>
      <w:r>
        <w:rPr>
          <w:color w:val="231F20"/>
          <w:spacing w:val="-9"/>
          <w:sz w:val="20"/>
        </w:rPr>
        <w:t xml:space="preserve"> </w:t>
      </w:r>
      <w:r>
        <w:rPr>
          <w:color w:val="231F20"/>
          <w:spacing w:val="-3"/>
          <w:sz w:val="20"/>
        </w:rPr>
        <w:t>harm.</w:t>
      </w:r>
      <w:r>
        <w:rPr>
          <w:color w:val="231F20"/>
          <w:spacing w:val="-3"/>
          <w:position w:val="7"/>
          <w:sz w:val="11"/>
        </w:rPr>
        <w:t>70</w:t>
      </w:r>
    </w:p>
    <w:p w14:paraId="47FAABFA" w14:textId="77777777" w:rsidR="00894070" w:rsidRDefault="00894070">
      <w:pPr>
        <w:pStyle w:val="BodyText"/>
        <w:spacing w:before="12"/>
        <w:rPr>
          <w:sz w:val="15"/>
        </w:rPr>
      </w:pPr>
    </w:p>
    <w:p w14:paraId="76A47FC4" w14:textId="77777777" w:rsidR="00894070" w:rsidRDefault="009B7AFD">
      <w:pPr>
        <w:pStyle w:val="Heading8"/>
        <w:ind w:left="1007"/>
      </w:pPr>
      <w:r>
        <w:rPr>
          <w:color w:val="231F20"/>
        </w:rPr>
        <w:t>There are challenges with collecting evidence</w:t>
      </w:r>
    </w:p>
    <w:p w14:paraId="1FC67C43" w14:textId="77777777" w:rsidR="00894070" w:rsidRDefault="009B7AFD">
      <w:pPr>
        <w:pStyle w:val="ListParagraph"/>
        <w:numPr>
          <w:ilvl w:val="1"/>
          <w:numId w:val="65"/>
        </w:numPr>
        <w:tabs>
          <w:tab w:val="left" w:pos="1801"/>
          <w:tab w:val="left" w:pos="1802"/>
        </w:tabs>
        <w:spacing w:before="127" w:line="206" w:lineRule="auto"/>
        <w:ind w:right="1332"/>
        <w:rPr>
          <w:sz w:val="20"/>
        </w:rPr>
      </w:pPr>
      <w:r>
        <w:rPr>
          <w:color w:val="231F20"/>
          <w:sz w:val="20"/>
        </w:rPr>
        <w:t xml:space="preserve">Police </w:t>
      </w:r>
      <w:r>
        <w:rPr>
          <w:color w:val="231F20"/>
          <w:spacing w:val="-3"/>
          <w:sz w:val="20"/>
        </w:rPr>
        <w:t xml:space="preserve">may focus </w:t>
      </w:r>
      <w:r>
        <w:rPr>
          <w:color w:val="231F20"/>
          <w:sz w:val="20"/>
        </w:rPr>
        <w:t xml:space="preserve">too much on collecting physical or digital evidence of the stalking </w:t>
      </w:r>
      <w:r>
        <w:rPr>
          <w:color w:val="231F20"/>
          <w:spacing w:val="-3"/>
          <w:sz w:val="20"/>
        </w:rPr>
        <w:t>behaviour,</w:t>
      </w:r>
      <w:r>
        <w:rPr>
          <w:color w:val="231F20"/>
          <w:spacing w:val="-10"/>
          <w:sz w:val="20"/>
        </w:rPr>
        <w:t xml:space="preserve"> </w:t>
      </w:r>
      <w:r>
        <w:rPr>
          <w:color w:val="231F20"/>
          <w:sz w:val="20"/>
        </w:rPr>
        <w:t>such</w:t>
      </w:r>
      <w:r>
        <w:rPr>
          <w:color w:val="231F20"/>
          <w:spacing w:val="-9"/>
          <w:sz w:val="20"/>
        </w:rPr>
        <w:t xml:space="preserve"> </w:t>
      </w:r>
      <w:r>
        <w:rPr>
          <w:color w:val="231F20"/>
          <w:sz w:val="20"/>
        </w:rPr>
        <w:t>as</w:t>
      </w:r>
      <w:r>
        <w:rPr>
          <w:color w:val="231F20"/>
          <w:spacing w:val="-9"/>
          <w:sz w:val="20"/>
        </w:rPr>
        <w:t xml:space="preserve"> </w:t>
      </w:r>
      <w:r>
        <w:rPr>
          <w:color w:val="231F20"/>
          <w:spacing w:val="-3"/>
          <w:sz w:val="20"/>
        </w:rPr>
        <w:t>records</w:t>
      </w:r>
      <w:r>
        <w:rPr>
          <w:color w:val="231F20"/>
          <w:spacing w:val="-10"/>
          <w:sz w:val="20"/>
        </w:rPr>
        <w:t xml:space="preserve"> </w:t>
      </w:r>
      <w:r>
        <w:rPr>
          <w:color w:val="231F20"/>
          <w:sz w:val="20"/>
        </w:rPr>
        <w:t>of</w:t>
      </w:r>
      <w:r>
        <w:rPr>
          <w:color w:val="231F20"/>
          <w:spacing w:val="-9"/>
          <w:sz w:val="20"/>
        </w:rPr>
        <w:t xml:space="preserve"> </w:t>
      </w:r>
      <w:r>
        <w:rPr>
          <w:color w:val="231F20"/>
          <w:sz w:val="20"/>
        </w:rPr>
        <w:t>text</w:t>
      </w:r>
      <w:r>
        <w:rPr>
          <w:color w:val="231F20"/>
          <w:spacing w:val="-9"/>
          <w:sz w:val="20"/>
        </w:rPr>
        <w:t xml:space="preserve"> </w:t>
      </w:r>
      <w:r>
        <w:rPr>
          <w:color w:val="231F20"/>
          <w:sz w:val="20"/>
        </w:rPr>
        <w:t>messages,</w:t>
      </w:r>
      <w:r>
        <w:rPr>
          <w:color w:val="231F20"/>
          <w:spacing w:val="-9"/>
          <w:sz w:val="20"/>
        </w:rPr>
        <w:t xml:space="preserve"> </w:t>
      </w:r>
      <w:r>
        <w:rPr>
          <w:color w:val="231F20"/>
          <w:sz w:val="20"/>
        </w:rPr>
        <w:t>online</w:t>
      </w:r>
      <w:r>
        <w:rPr>
          <w:color w:val="231F20"/>
          <w:spacing w:val="-10"/>
          <w:sz w:val="20"/>
        </w:rPr>
        <w:t xml:space="preserve"> </w:t>
      </w:r>
      <w:proofErr w:type="gramStart"/>
      <w:r>
        <w:rPr>
          <w:color w:val="231F20"/>
          <w:sz w:val="20"/>
        </w:rPr>
        <w:t>communication</w:t>
      </w:r>
      <w:proofErr w:type="gramEnd"/>
      <w:r>
        <w:rPr>
          <w:color w:val="231F20"/>
          <w:spacing w:val="-9"/>
          <w:sz w:val="20"/>
        </w:rPr>
        <w:t xml:space="preserve"> </w:t>
      </w:r>
      <w:r>
        <w:rPr>
          <w:color w:val="231F20"/>
          <w:sz w:val="20"/>
        </w:rPr>
        <w:t>or</w:t>
      </w:r>
      <w:r>
        <w:rPr>
          <w:color w:val="231F20"/>
          <w:spacing w:val="-9"/>
          <w:sz w:val="20"/>
        </w:rPr>
        <w:t xml:space="preserve"> </w:t>
      </w:r>
      <w:r>
        <w:rPr>
          <w:color w:val="231F20"/>
          <w:sz w:val="20"/>
        </w:rPr>
        <w:t>CCTV</w:t>
      </w:r>
      <w:r>
        <w:rPr>
          <w:color w:val="231F20"/>
          <w:spacing w:val="-10"/>
          <w:sz w:val="20"/>
        </w:rPr>
        <w:t xml:space="preserve"> </w:t>
      </w:r>
      <w:r>
        <w:rPr>
          <w:color w:val="231F20"/>
          <w:sz w:val="20"/>
        </w:rPr>
        <w:t>footage. Participants</w:t>
      </w:r>
      <w:r>
        <w:rPr>
          <w:color w:val="231F20"/>
          <w:spacing w:val="-6"/>
          <w:sz w:val="20"/>
        </w:rPr>
        <w:t xml:space="preserve"> </w:t>
      </w:r>
      <w:r>
        <w:rPr>
          <w:color w:val="231F20"/>
          <w:sz w:val="20"/>
        </w:rPr>
        <w:t>in</w:t>
      </w:r>
      <w:r>
        <w:rPr>
          <w:color w:val="231F20"/>
          <w:spacing w:val="-5"/>
          <w:sz w:val="20"/>
        </w:rPr>
        <w:t xml:space="preserve"> </w:t>
      </w:r>
      <w:r>
        <w:rPr>
          <w:color w:val="231F20"/>
          <w:sz w:val="20"/>
        </w:rPr>
        <w:t>a</w:t>
      </w:r>
      <w:r>
        <w:rPr>
          <w:color w:val="231F20"/>
          <w:spacing w:val="-6"/>
          <w:sz w:val="20"/>
        </w:rPr>
        <w:t xml:space="preserve"> </w:t>
      </w:r>
      <w:r>
        <w:rPr>
          <w:color w:val="231F20"/>
          <w:sz w:val="20"/>
        </w:rPr>
        <w:t>community</w:t>
      </w:r>
      <w:r>
        <w:rPr>
          <w:color w:val="231F20"/>
          <w:spacing w:val="-5"/>
          <w:sz w:val="20"/>
        </w:rPr>
        <w:t xml:space="preserve"> </w:t>
      </w:r>
      <w:r>
        <w:rPr>
          <w:color w:val="231F20"/>
          <w:sz w:val="20"/>
        </w:rPr>
        <w:t>legal</w:t>
      </w:r>
      <w:r>
        <w:rPr>
          <w:color w:val="231F20"/>
          <w:spacing w:val="-6"/>
          <w:sz w:val="20"/>
        </w:rPr>
        <w:t xml:space="preserve"> </w:t>
      </w:r>
      <w:r>
        <w:rPr>
          <w:color w:val="231F20"/>
          <w:sz w:val="20"/>
        </w:rPr>
        <w:t>sector</w:t>
      </w:r>
      <w:r>
        <w:rPr>
          <w:color w:val="231F20"/>
          <w:spacing w:val="-5"/>
          <w:sz w:val="20"/>
        </w:rPr>
        <w:t xml:space="preserve"> </w:t>
      </w:r>
      <w:r>
        <w:rPr>
          <w:color w:val="231F20"/>
          <w:sz w:val="20"/>
        </w:rPr>
        <w:t>roundtable</w:t>
      </w:r>
      <w:r>
        <w:rPr>
          <w:color w:val="231F20"/>
          <w:spacing w:val="-5"/>
          <w:sz w:val="20"/>
        </w:rPr>
        <w:t xml:space="preserve"> </w:t>
      </w:r>
      <w:r>
        <w:rPr>
          <w:color w:val="231F20"/>
          <w:sz w:val="20"/>
        </w:rPr>
        <w:t>explained:</w:t>
      </w:r>
    </w:p>
    <w:p w14:paraId="1C99EC23" w14:textId="77777777" w:rsidR="00894070" w:rsidRDefault="009B7AFD">
      <w:pPr>
        <w:spacing w:before="121" w:line="208" w:lineRule="auto"/>
        <w:ind w:left="2254" w:right="1598"/>
        <w:rPr>
          <w:sz w:val="11"/>
        </w:rPr>
      </w:pPr>
      <w:r>
        <w:rPr>
          <w:color w:val="231F20"/>
          <w:sz w:val="19"/>
        </w:rPr>
        <w:t>Drawing from experiences with clients where the matter has reached the courts, there appears to be a preference by police for ‘hard’ evidence.</w:t>
      </w:r>
      <w:r>
        <w:rPr>
          <w:color w:val="231F20"/>
          <w:position w:val="6"/>
          <w:sz w:val="11"/>
        </w:rPr>
        <w:t>71</w:t>
      </w:r>
    </w:p>
    <w:p w14:paraId="5804AD5D" w14:textId="77777777" w:rsidR="00894070" w:rsidRDefault="009B7AFD">
      <w:pPr>
        <w:pStyle w:val="ListParagraph"/>
        <w:numPr>
          <w:ilvl w:val="1"/>
          <w:numId w:val="65"/>
        </w:numPr>
        <w:tabs>
          <w:tab w:val="left" w:pos="1801"/>
          <w:tab w:val="left" w:pos="1802"/>
        </w:tabs>
        <w:spacing w:before="124" w:line="206" w:lineRule="auto"/>
        <w:ind w:right="1338"/>
        <w:rPr>
          <w:sz w:val="20"/>
        </w:rPr>
      </w:pPr>
      <w:r>
        <w:rPr>
          <w:color w:val="231F20"/>
          <w:spacing w:val="-5"/>
          <w:sz w:val="20"/>
        </w:rPr>
        <w:t>However,</w:t>
      </w:r>
      <w:r>
        <w:rPr>
          <w:color w:val="231F20"/>
          <w:spacing w:val="-10"/>
          <w:sz w:val="20"/>
        </w:rPr>
        <w:t xml:space="preserve"> </w:t>
      </w:r>
      <w:r>
        <w:rPr>
          <w:color w:val="231F20"/>
          <w:sz w:val="20"/>
        </w:rPr>
        <w:t>some</w:t>
      </w:r>
      <w:r>
        <w:rPr>
          <w:color w:val="231F20"/>
          <w:spacing w:val="-9"/>
          <w:sz w:val="20"/>
        </w:rPr>
        <w:t xml:space="preserve"> </w:t>
      </w:r>
      <w:r>
        <w:rPr>
          <w:color w:val="231F20"/>
          <w:sz w:val="20"/>
        </w:rPr>
        <w:t>stalking</w:t>
      </w:r>
      <w:r>
        <w:rPr>
          <w:color w:val="231F20"/>
          <w:spacing w:val="-9"/>
          <w:sz w:val="20"/>
        </w:rPr>
        <w:t xml:space="preserve"> </w:t>
      </w:r>
      <w:r>
        <w:rPr>
          <w:color w:val="231F20"/>
          <w:sz w:val="20"/>
        </w:rPr>
        <w:t>behaviours</w:t>
      </w:r>
      <w:r>
        <w:rPr>
          <w:color w:val="231F20"/>
          <w:spacing w:val="-10"/>
          <w:sz w:val="20"/>
        </w:rPr>
        <w:t xml:space="preserve"> </w:t>
      </w:r>
      <w:r>
        <w:rPr>
          <w:color w:val="231F20"/>
          <w:spacing w:val="-3"/>
          <w:sz w:val="20"/>
        </w:rPr>
        <w:t>may</w:t>
      </w:r>
      <w:r>
        <w:rPr>
          <w:color w:val="231F20"/>
          <w:spacing w:val="-9"/>
          <w:sz w:val="20"/>
        </w:rPr>
        <w:t xml:space="preserve"> </w:t>
      </w:r>
      <w:r>
        <w:rPr>
          <w:color w:val="231F20"/>
          <w:sz w:val="20"/>
        </w:rPr>
        <w:t>not</w:t>
      </w:r>
      <w:r>
        <w:rPr>
          <w:color w:val="231F20"/>
          <w:spacing w:val="-9"/>
          <w:sz w:val="20"/>
        </w:rPr>
        <w:t xml:space="preserve"> </w:t>
      </w:r>
      <w:r>
        <w:rPr>
          <w:color w:val="231F20"/>
          <w:spacing w:val="-4"/>
          <w:sz w:val="20"/>
        </w:rPr>
        <w:t>leave</w:t>
      </w:r>
      <w:r>
        <w:rPr>
          <w:color w:val="231F20"/>
          <w:spacing w:val="-9"/>
          <w:sz w:val="20"/>
        </w:rPr>
        <w:t xml:space="preserve"> </w:t>
      </w:r>
      <w:r>
        <w:rPr>
          <w:color w:val="231F20"/>
          <w:sz w:val="20"/>
        </w:rPr>
        <w:t>a</w:t>
      </w:r>
      <w:r>
        <w:rPr>
          <w:color w:val="231F20"/>
          <w:spacing w:val="-10"/>
          <w:sz w:val="20"/>
        </w:rPr>
        <w:t xml:space="preserve"> </w:t>
      </w:r>
      <w:r>
        <w:rPr>
          <w:color w:val="231F20"/>
          <w:sz w:val="20"/>
        </w:rPr>
        <w:t>trace</w:t>
      </w:r>
      <w:r>
        <w:rPr>
          <w:color w:val="231F20"/>
          <w:spacing w:val="-9"/>
          <w:sz w:val="20"/>
        </w:rPr>
        <w:t xml:space="preserve"> </w:t>
      </w:r>
      <w:r>
        <w:rPr>
          <w:color w:val="231F20"/>
          <w:sz w:val="20"/>
        </w:rPr>
        <w:t>and</w:t>
      </w:r>
      <w:r>
        <w:rPr>
          <w:color w:val="231F20"/>
          <w:spacing w:val="-9"/>
          <w:sz w:val="20"/>
        </w:rPr>
        <w:t xml:space="preserve"> </w:t>
      </w:r>
      <w:r>
        <w:rPr>
          <w:color w:val="231F20"/>
          <w:sz w:val="20"/>
        </w:rPr>
        <w:t>the</w:t>
      </w:r>
      <w:r>
        <w:rPr>
          <w:color w:val="231F20"/>
          <w:spacing w:val="-9"/>
          <w:sz w:val="20"/>
        </w:rPr>
        <w:t xml:space="preserve"> </w:t>
      </w:r>
      <w:r>
        <w:rPr>
          <w:color w:val="231F20"/>
          <w:sz w:val="20"/>
        </w:rPr>
        <w:t>strongest</w:t>
      </w:r>
      <w:r>
        <w:rPr>
          <w:color w:val="231F20"/>
          <w:spacing w:val="-10"/>
          <w:sz w:val="20"/>
        </w:rPr>
        <w:t xml:space="preserve"> </w:t>
      </w:r>
      <w:r>
        <w:rPr>
          <w:color w:val="231F20"/>
          <w:sz w:val="20"/>
        </w:rPr>
        <w:t xml:space="preserve">evidence </w:t>
      </w:r>
      <w:r>
        <w:rPr>
          <w:color w:val="231F20"/>
          <w:spacing w:val="-3"/>
          <w:sz w:val="20"/>
        </w:rPr>
        <w:t xml:space="preserve">may </w:t>
      </w:r>
      <w:r>
        <w:rPr>
          <w:color w:val="231F20"/>
          <w:sz w:val="20"/>
        </w:rPr>
        <w:t xml:space="preserve">come </w:t>
      </w:r>
      <w:r>
        <w:rPr>
          <w:color w:val="231F20"/>
          <w:spacing w:val="-3"/>
          <w:sz w:val="20"/>
        </w:rPr>
        <w:t xml:space="preserve">from </w:t>
      </w:r>
      <w:r>
        <w:rPr>
          <w:color w:val="231F20"/>
          <w:sz w:val="20"/>
        </w:rPr>
        <w:t>the victim survivor’s recounting of</w:t>
      </w:r>
      <w:r>
        <w:rPr>
          <w:color w:val="231F20"/>
          <w:spacing w:val="-35"/>
          <w:sz w:val="20"/>
        </w:rPr>
        <w:t xml:space="preserve"> </w:t>
      </w:r>
      <w:r>
        <w:rPr>
          <w:color w:val="231F20"/>
          <w:sz w:val="20"/>
        </w:rPr>
        <w:t>events.</w:t>
      </w:r>
    </w:p>
    <w:p w14:paraId="467BC0E5" w14:textId="77777777" w:rsidR="00894070" w:rsidRDefault="009B7AFD">
      <w:pPr>
        <w:pStyle w:val="ListParagraph"/>
        <w:numPr>
          <w:ilvl w:val="1"/>
          <w:numId w:val="65"/>
        </w:numPr>
        <w:tabs>
          <w:tab w:val="left" w:pos="1801"/>
          <w:tab w:val="left" w:pos="1802"/>
        </w:tabs>
        <w:spacing w:before="90"/>
        <w:rPr>
          <w:sz w:val="20"/>
        </w:rPr>
      </w:pPr>
      <w:r>
        <w:rPr>
          <w:color w:val="231F20"/>
          <w:sz w:val="20"/>
        </w:rPr>
        <w:t>One</w:t>
      </w:r>
      <w:r>
        <w:rPr>
          <w:color w:val="231F20"/>
          <w:spacing w:val="-6"/>
          <w:sz w:val="20"/>
        </w:rPr>
        <w:t xml:space="preserve"> </w:t>
      </w:r>
      <w:r>
        <w:rPr>
          <w:color w:val="231F20"/>
          <w:sz w:val="20"/>
        </w:rPr>
        <w:t>victim</w:t>
      </w:r>
      <w:r>
        <w:rPr>
          <w:color w:val="231F20"/>
          <w:spacing w:val="-5"/>
          <w:sz w:val="20"/>
        </w:rPr>
        <w:t xml:space="preserve"> </w:t>
      </w:r>
      <w:r>
        <w:rPr>
          <w:color w:val="231F20"/>
          <w:sz w:val="20"/>
        </w:rPr>
        <w:t>survivor</w:t>
      </w:r>
      <w:r>
        <w:rPr>
          <w:color w:val="231F20"/>
          <w:spacing w:val="-5"/>
          <w:sz w:val="20"/>
        </w:rPr>
        <w:t xml:space="preserve"> </w:t>
      </w:r>
      <w:r>
        <w:rPr>
          <w:color w:val="231F20"/>
          <w:sz w:val="20"/>
        </w:rPr>
        <w:t>reflecting</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6"/>
          <w:sz w:val="20"/>
        </w:rPr>
        <w:t xml:space="preserve"> </w:t>
      </w:r>
      <w:r>
        <w:rPr>
          <w:color w:val="231F20"/>
          <w:sz w:val="20"/>
        </w:rPr>
        <w:t>legal</w:t>
      </w:r>
      <w:r>
        <w:rPr>
          <w:color w:val="231F20"/>
          <w:spacing w:val="-5"/>
          <w:sz w:val="20"/>
        </w:rPr>
        <w:t xml:space="preserve"> </w:t>
      </w:r>
      <w:r>
        <w:rPr>
          <w:color w:val="231F20"/>
          <w:sz w:val="20"/>
        </w:rPr>
        <w:t>response</w:t>
      </w:r>
      <w:r>
        <w:rPr>
          <w:color w:val="231F20"/>
          <w:spacing w:val="-5"/>
          <w:sz w:val="20"/>
        </w:rPr>
        <w:t xml:space="preserve"> </w:t>
      </w:r>
      <w:r>
        <w:rPr>
          <w:color w:val="231F20"/>
          <w:sz w:val="20"/>
        </w:rPr>
        <w:t>to</w:t>
      </w:r>
      <w:r>
        <w:rPr>
          <w:color w:val="231F20"/>
          <w:spacing w:val="-5"/>
          <w:sz w:val="20"/>
        </w:rPr>
        <w:t xml:space="preserve"> </w:t>
      </w:r>
      <w:r>
        <w:rPr>
          <w:color w:val="231F20"/>
          <w:sz w:val="20"/>
        </w:rPr>
        <w:t>stalking</w:t>
      </w:r>
      <w:r>
        <w:rPr>
          <w:color w:val="231F20"/>
          <w:spacing w:val="-5"/>
          <w:sz w:val="20"/>
        </w:rPr>
        <w:t xml:space="preserve"> </w:t>
      </w:r>
      <w:r>
        <w:rPr>
          <w:color w:val="231F20"/>
          <w:spacing w:val="-3"/>
          <w:sz w:val="20"/>
        </w:rPr>
        <w:t>told</w:t>
      </w:r>
      <w:r>
        <w:rPr>
          <w:color w:val="231F20"/>
          <w:spacing w:val="-5"/>
          <w:sz w:val="20"/>
        </w:rPr>
        <w:t xml:space="preserve"> </w:t>
      </w:r>
      <w:r>
        <w:rPr>
          <w:color w:val="231F20"/>
          <w:sz w:val="20"/>
        </w:rPr>
        <w:t>us:</w:t>
      </w:r>
    </w:p>
    <w:p w14:paraId="14A3F18D" w14:textId="77777777" w:rsidR="00894070" w:rsidRDefault="009F6793">
      <w:pPr>
        <w:pStyle w:val="BodyText"/>
        <w:spacing w:before="12"/>
        <w:rPr>
          <w:sz w:val="22"/>
        </w:rPr>
      </w:pPr>
      <w:r>
        <w:pict w14:anchorId="14676BA1">
          <v:shape id="_x0000_s1209" type="#_x0000_t202" style="position:absolute;margin-left:119.3pt;margin-top:18.1pt;width:396.35pt;height:80.1pt;z-index:251729920;mso-wrap-distance-left:0;mso-wrap-distance-right:0;mso-position-horizontal-relative:page" fillcolor="#fee7de" strokecolor="#ea5b50" strokeweight=".5pt">
            <v:textbox inset="0,0,0,0">
              <w:txbxContent>
                <w:p w14:paraId="23F59E6F" w14:textId="77777777" w:rsidR="00894070" w:rsidRDefault="00894070">
                  <w:pPr>
                    <w:pStyle w:val="BodyText"/>
                    <w:spacing w:before="3"/>
                    <w:rPr>
                      <w:sz w:val="15"/>
                    </w:rPr>
                  </w:pPr>
                </w:p>
                <w:p w14:paraId="20CBCB76" w14:textId="77777777" w:rsidR="00894070" w:rsidRDefault="009B7AFD">
                  <w:pPr>
                    <w:pStyle w:val="BodyText"/>
                    <w:spacing w:line="206" w:lineRule="auto"/>
                    <w:ind w:left="221" w:right="325"/>
                    <w:rPr>
                      <w:sz w:val="11"/>
                    </w:rPr>
                  </w:pPr>
                  <w:r>
                    <w:rPr>
                      <w:color w:val="231F20"/>
                    </w:rPr>
                    <w:t>The legal system doesn’t understand how to deal with stalking. Because it is all about the ‘proof’ rather than the ‘truth’. How do you prove stalking? Most often the person hides away and threatens you from behind the scenes. For example, they call you with a blocked number several times and when you pick up it is them with heavy breathing but they know you can’t prove it is them.</w:t>
                  </w:r>
                  <w:r>
                    <w:rPr>
                      <w:color w:val="231F20"/>
                      <w:position w:val="7"/>
                      <w:sz w:val="11"/>
                    </w:rPr>
                    <w:t>72</w:t>
                  </w:r>
                </w:p>
              </w:txbxContent>
            </v:textbox>
            <w10:wrap type="topAndBottom" anchorx="page"/>
          </v:shape>
        </w:pict>
      </w:r>
    </w:p>
    <w:p w14:paraId="70767853" w14:textId="77777777" w:rsidR="00894070" w:rsidRDefault="00894070">
      <w:pPr>
        <w:pStyle w:val="BodyText"/>
        <w:spacing w:before="6"/>
        <w:rPr>
          <w:sz w:val="19"/>
        </w:rPr>
      </w:pPr>
    </w:p>
    <w:p w14:paraId="0BF2FAA5" w14:textId="77777777" w:rsidR="00894070" w:rsidRDefault="009B7AFD">
      <w:pPr>
        <w:pStyle w:val="ListParagraph"/>
        <w:numPr>
          <w:ilvl w:val="1"/>
          <w:numId w:val="65"/>
        </w:numPr>
        <w:tabs>
          <w:tab w:val="left" w:pos="1801"/>
          <w:tab w:val="left" w:pos="1802"/>
        </w:tabs>
        <w:spacing w:before="89" w:line="206" w:lineRule="auto"/>
        <w:ind w:right="1554"/>
        <w:rPr>
          <w:sz w:val="11"/>
        </w:rPr>
      </w:pPr>
      <w:r>
        <w:rPr>
          <w:color w:val="231F20"/>
          <w:sz w:val="20"/>
        </w:rPr>
        <w:t xml:space="preserve">The person being stalked might report </w:t>
      </w:r>
      <w:r>
        <w:rPr>
          <w:color w:val="231F20"/>
          <w:spacing w:val="-3"/>
          <w:sz w:val="20"/>
        </w:rPr>
        <w:t xml:space="preserve">only </w:t>
      </w:r>
      <w:r>
        <w:rPr>
          <w:color w:val="231F20"/>
          <w:sz w:val="20"/>
        </w:rPr>
        <w:t xml:space="preserve">one incident and police might not dig </w:t>
      </w:r>
      <w:r>
        <w:rPr>
          <w:color w:val="231F20"/>
          <w:spacing w:val="-3"/>
          <w:sz w:val="20"/>
        </w:rPr>
        <w:t>down</w:t>
      </w:r>
      <w:r>
        <w:rPr>
          <w:color w:val="231F20"/>
          <w:spacing w:val="-8"/>
          <w:sz w:val="20"/>
        </w:rPr>
        <w:t xml:space="preserve"> </w:t>
      </w:r>
      <w:r>
        <w:rPr>
          <w:color w:val="231F20"/>
          <w:sz w:val="20"/>
        </w:rPr>
        <w:t>to</w:t>
      </w:r>
      <w:r>
        <w:rPr>
          <w:color w:val="231F20"/>
          <w:spacing w:val="-7"/>
          <w:sz w:val="20"/>
        </w:rPr>
        <w:t xml:space="preserve"> </w:t>
      </w:r>
      <w:r>
        <w:rPr>
          <w:color w:val="231F20"/>
          <w:sz w:val="20"/>
        </w:rPr>
        <w:t>get</w:t>
      </w:r>
      <w:r>
        <w:rPr>
          <w:color w:val="231F20"/>
          <w:spacing w:val="-8"/>
          <w:sz w:val="20"/>
        </w:rPr>
        <w:t xml:space="preserve"> </w:t>
      </w:r>
      <w:r>
        <w:rPr>
          <w:color w:val="231F20"/>
          <w:sz w:val="20"/>
        </w:rPr>
        <w:t>the</w:t>
      </w:r>
      <w:r>
        <w:rPr>
          <w:color w:val="231F20"/>
          <w:spacing w:val="-7"/>
          <w:sz w:val="20"/>
        </w:rPr>
        <w:t xml:space="preserve"> </w:t>
      </w:r>
      <w:r>
        <w:rPr>
          <w:color w:val="231F20"/>
          <w:sz w:val="20"/>
        </w:rPr>
        <w:t>whole</w:t>
      </w:r>
      <w:r>
        <w:rPr>
          <w:color w:val="231F20"/>
          <w:spacing w:val="-8"/>
          <w:sz w:val="20"/>
        </w:rPr>
        <w:t xml:space="preserve"> </w:t>
      </w:r>
      <w:r>
        <w:rPr>
          <w:color w:val="231F20"/>
          <w:spacing w:val="-3"/>
          <w:sz w:val="20"/>
        </w:rPr>
        <w:t>story.</w:t>
      </w:r>
      <w:r>
        <w:rPr>
          <w:color w:val="231F20"/>
          <w:spacing w:val="-3"/>
          <w:position w:val="7"/>
          <w:sz w:val="11"/>
        </w:rPr>
        <w:t>73</w:t>
      </w:r>
      <w:r>
        <w:rPr>
          <w:color w:val="231F20"/>
          <w:spacing w:val="17"/>
          <w:position w:val="7"/>
          <w:sz w:val="11"/>
        </w:rPr>
        <w:t xml:space="preserve"> </w:t>
      </w:r>
      <w:r>
        <w:rPr>
          <w:color w:val="231F20"/>
          <w:sz w:val="20"/>
        </w:rPr>
        <w:t>The</w:t>
      </w:r>
      <w:r>
        <w:rPr>
          <w:color w:val="231F20"/>
          <w:spacing w:val="-8"/>
          <w:sz w:val="20"/>
        </w:rPr>
        <w:t xml:space="preserve"> </w:t>
      </w:r>
      <w:r>
        <w:rPr>
          <w:color w:val="231F20"/>
          <w:sz w:val="20"/>
        </w:rPr>
        <w:t>full</w:t>
      </w:r>
      <w:r>
        <w:rPr>
          <w:color w:val="231F20"/>
          <w:spacing w:val="-7"/>
          <w:sz w:val="20"/>
        </w:rPr>
        <w:t xml:space="preserve"> </w:t>
      </w:r>
      <w:r>
        <w:rPr>
          <w:color w:val="231F20"/>
          <w:spacing w:val="-3"/>
          <w:sz w:val="20"/>
        </w:rPr>
        <w:t>picture</w:t>
      </w:r>
      <w:r>
        <w:rPr>
          <w:color w:val="231F20"/>
          <w:spacing w:val="-8"/>
          <w:sz w:val="20"/>
        </w:rPr>
        <w:t xml:space="preserve"> </w:t>
      </w:r>
      <w:r>
        <w:rPr>
          <w:color w:val="231F20"/>
          <w:sz w:val="20"/>
        </w:rPr>
        <w:t>can</w:t>
      </w:r>
      <w:r>
        <w:rPr>
          <w:color w:val="231F20"/>
          <w:spacing w:val="-7"/>
          <w:sz w:val="20"/>
        </w:rPr>
        <w:t xml:space="preserve"> </w:t>
      </w:r>
      <w:r>
        <w:rPr>
          <w:color w:val="231F20"/>
          <w:sz w:val="20"/>
        </w:rPr>
        <w:t>be</w:t>
      </w:r>
      <w:r>
        <w:rPr>
          <w:color w:val="231F20"/>
          <w:spacing w:val="-7"/>
          <w:sz w:val="20"/>
        </w:rPr>
        <w:t xml:space="preserve"> </w:t>
      </w:r>
      <w:r>
        <w:rPr>
          <w:color w:val="231F20"/>
          <w:sz w:val="20"/>
        </w:rPr>
        <w:t>missed</w:t>
      </w:r>
      <w:r>
        <w:rPr>
          <w:color w:val="231F20"/>
          <w:spacing w:val="-8"/>
          <w:sz w:val="20"/>
        </w:rPr>
        <w:t xml:space="preserve"> </w:t>
      </w:r>
      <w:r>
        <w:rPr>
          <w:color w:val="231F20"/>
          <w:sz w:val="20"/>
        </w:rPr>
        <w:t>especially</w:t>
      </w:r>
      <w:r>
        <w:rPr>
          <w:color w:val="231F20"/>
          <w:spacing w:val="-7"/>
          <w:sz w:val="20"/>
        </w:rPr>
        <w:t xml:space="preserve"> </w:t>
      </w:r>
      <w:r>
        <w:rPr>
          <w:color w:val="231F20"/>
          <w:sz w:val="20"/>
        </w:rPr>
        <w:t>if</w:t>
      </w:r>
      <w:r>
        <w:rPr>
          <w:color w:val="231F20"/>
          <w:spacing w:val="-8"/>
          <w:sz w:val="20"/>
        </w:rPr>
        <w:t xml:space="preserve"> </w:t>
      </w:r>
      <w:r>
        <w:rPr>
          <w:color w:val="231F20"/>
          <w:sz w:val="20"/>
        </w:rPr>
        <w:t>individual acts</w:t>
      </w:r>
      <w:r>
        <w:rPr>
          <w:color w:val="231F20"/>
          <w:spacing w:val="-6"/>
          <w:sz w:val="20"/>
        </w:rPr>
        <w:t xml:space="preserve"> </w:t>
      </w:r>
      <w:r>
        <w:rPr>
          <w:color w:val="231F20"/>
          <w:spacing w:val="-3"/>
          <w:sz w:val="20"/>
        </w:rPr>
        <w:t>are</w:t>
      </w:r>
      <w:r>
        <w:rPr>
          <w:color w:val="231F20"/>
          <w:spacing w:val="-5"/>
          <w:sz w:val="20"/>
        </w:rPr>
        <w:t xml:space="preserve"> </w:t>
      </w:r>
      <w:r>
        <w:rPr>
          <w:color w:val="231F20"/>
          <w:sz w:val="20"/>
        </w:rPr>
        <w:t>reported</w:t>
      </w:r>
      <w:r>
        <w:rPr>
          <w:color w:val="231F20"/>
          <w:spacing w:val="-6"/>
          <w:sz w:val="20"/>
        </w:rPr>
        <w:t xml:space="preserve"> </w:t>
      </w:r>
      <w:r>
        <w:rPr>
          <w:color w:val="231F20"/>
          <w:sz w:val="20"/>
        </w:rPr>
        <w:t>at</w:t>
      </w:r>
      <w:r>
        <w:rPr>
          <w:color w:val="231F20"/>
          <w:spacing w:val="-5"/>
          <w:sz w:val="20"/>
        </w:rPr>
        <w:t xml:space="preserve"> </w:t>
      </w:r>
      <w:r>
        <w:rPr>
          <w:color w:val="231F20"/>
          <w:spacing w:val="-3"/>
          <w:sz w:val="20"/>
        </w:rPr>
        <w:t>different</w:t>
      </w:r>
      <w:r>
        <w:rPr>
          <w:color w:val="231F20"/>
          <w:spacing w:val="-6"/>
          <w:sz w:val="20"/>
        </w:rPr>
        <w:t xml:space="preserve"> </w:t>
      </w:r>
      <w:r>
        <w:rPr>
          <w:color w:val="231F20"/>
          <w:sz w:val="20"/>
        </w:rPr>
        <w:t>times</w:t>
      </w:r>
      <w:r>
        <w:rPr>
          <w:color w:val="231F20"/>
          <w:spacing w:val="-5"/>
          <w:sz w:val="20"/>
        </w:rPr>
        <w:t xml:space="preserve"> </w:t>
      </w:r>
      <w:r>
        <w:rPr>
          <w:color w:val="231F20"/>
          <w:sz w:val="20"/>
        </w:rPr>
        <w:t>or</w:t>
      </w:r>
      <w:r>
        <w:rPr>
          <w:color w:val="231F20"/>
          <w:spacing w:val="-6"/>
          <w:sz w:val="20"/>
        </w:rPr>
        <w:t xml:space="preserve"> </w:t>
      </w:r>
      <w:r>
        <w:rPr>
          <w:color w:val="231F20"/>
          <w:sz w:val="20"/>
        </w:rPr>
        <w:t>to</w:t>
      </w:r>
      <w:r>
        <w:rPr>
          <w:color w:val="231F20"/>
          <w:spacing w:val="-5"/>
          <w:sz w:val="20"/>
        </w:rPr>
        <w:t xml:space="preserve"> </w:t>
      </w:r>
      <w:r>
        <w:rPr>
          <w:color w:val="231F20"/>
          <w:spacing w:val="-3"/>
          <w:sz w:val="20"/>
        </w:rPr>
        <w:t>different</w:t>
      </w:r>
      <w:r>
        <w:rPr>
          <w:color w:val="231F20"/>
          <w:spacing w:val="-6"/>
          <w:sz w:val="20"/>
        </w:rPr>
        <w:t xml:space="preserve"> </w:t>
      </w:r>
      <w:r>
        <w:rPr>
          <w:color w:val="231F20"/>
          <w:sz w:val="20"/>
        </w:rPr>
        <w:t>police</w:t>
      </w:r>
      <w:r>
        <w:rPr>
          <w:color w:val="231F20"/>
          <w:spacing w:val="-5"/>
          <w:sz w:val="20"/>
        </w:rPr>
        <w:t xml:space="preserve"> </w:t>
      </w:r>
      <w:r>
        <w:rPr>
          <w:color w:val="231F20"/>
          <w:spacing w:val="-3"/>
          <w:sz w:val="20"/>
        </w:rPr>
        <w:t>officers.</w:t>
      </w:r>
      <w:r>
        <w:rPr>
          <w:color w:val="231F20"/>
          <w:spacing w:val="-3"/>
          <w:position w:val="7"/>
          <w:sz w:val="11"/>
        </w:rPr>
        <w:t>74</w:t>
      </w:r>
    </w:p>
    <w:p w14:paraId="03865467" w14:textId="77777777" w:rsidR="00894070" w:rsidRDefault="00894070">
      <w:pPr>
        <w:pStyle w:val="BodyText"/>
      </w:pPr>
    </w:p>
    <w:p w14:paraId="53609955" w14:textId="77777777" w:rsidR="00894070" w:rsidRDefault="00894070">
      <w:pPr>
        <w:pStyle w:val="BodyText"/>
      </w:pPr>
    </w:p>
    <w:p w14:paraId="3BE72846" w14:textId="77777777" w:rsidR="00894070" w:rsidRDefault="00894070">
      <w:pPr>
        <w:pStyle w:val="BodyText"/>
      </w:pPr>
    </w:p>
    <w:p w14:paraId="2E00C977" w14:textId="77777777" w:rsidR="00894070" w:rsidRDefault="00894070">
      <w:pPr>
        <w:pStyle w:val="BodyText"/>
      </w:pPr>
    </w:p>
    <w:p w14:paraId="6F3DB15F" w14:textId="77777777" w:rsidR="00894070" w:rsidRDefault="009F6793">
      <w:pPr>
        <w:pStyle w:val="BodyText"/>
        <w:spacing w:before="2"/>
        <w:rPr>
          <w:sz w:val="29"/>
        </w:rPr>
      </w:pPr>
      <w:r>
        <w:pict w14:anchorId="5E98A8D9">
          <v:line id="_x0000_s1208" style="position:absolute;z-index:251730944;mso-wrap-distance-left:0;mso-wrap-distance-right:0;mso-position-horizontal-relative:page" from="79.35pt,22.7pt" to="515.9pt,22.7pt" strokecolor="#f8cabc" strokeweight="1pt">
            <w10:wrap type="topAndBottom" anchorx="page"/>
          </v:line>
        </w:pict>
      </w:r>
    </w:p>
    <w:p w14:paraId="2CCA6CDE" w14:textId="77777777" w:rsidR="00894070" w:rsidRDefault="00894070">
      <w:pPr>
        <w:pStyle w:val="BodyText"/>
        <w:rPr>
          <w:sz w:val="5"/>
        </w:rPr>
      </w:pPr>
    </w:p>
    <w:p w14:paraId="6CBF5517" w14:textId="77777777" w:rsidR="00894070" w:rsidRDefault="00894070">
      <w:pPr>
        <w:rPr>
          <w:sz w:val="5"/>
        </w:rPr>
        <w:sectPr w:rsidR="00894070">
          <w:pgSz w:w="11910" w:h="16840"/>
          <w:pgMar w:top="840" w:right="420" w:bottom="280" w:left="580" w:header="0" w:footer="0" w:gutter="0"/>
          <w:cols w:space="720"/>
        </w:sectPr>
      </w:pPr>
    </w:p>
    <w:p w14:paraId="03304866" w14:textId="77777777" w:rsidR="00894070" w:rsidRDefault="009B7AFD">
      <w:pPr>
        <w:pStyle w:val="ListParagraph"/>
        <w:numPr>
          <w:ilvl w:val="0"/>
          <w:numId w:val="55"/>
        </w:numPr>
        <w:tabs>
          <w:tab w:val="left" w:pos="1800"/>
          <w:tab w:val="left" w:pos="1802"/>
        </w:tabs>
        <w:spacing w:before="38" w:line="213" w:lineRule="auto"/>
        <w:jc w:val="left"/>
        <w:rPr>
          <w:sz w:val="13"/>
        </w:rPr>
      </w:pP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 xml:space="preserve">of Anti-Stalking Legislation in Victoria, Australia’ (PhD Thesis, Monash University, 2018) </w:t>
      </w:r>
      <w:r>
        <w:rPr>
          <w:color w:val="231F20"/>
          <w:spacing w:val="-3"/>
          <w:sz w:val="13"/>
        </w:rPr>
        <w:t>97.</w:t>
      </w:r>
    </w:p>
    <w:p w14:paraId="6E561A0A" w14:textId="77777777" w:rsidR="00894070" w:rsidRDefault="009B7AFD">
      <w:pPr>
        <w:pStyle w:val="ListParagraph"/>
        <w:numPr>
          <w:ilvl w:val="0"/>
          <w:numId w:val="55"/>
        </w:numPr>
        <w:tabs>
          <w:tab w:val="left" w:pos="1801"/>
          <w:tab w:val="left" w:pos="1802"/>
        </w:tabs>
        <w:spacing w:line="153" w:lineRule="exact"/>
        <w:jc w:val="left"/>
        <w:rPr>
          <w:sz w:val="13"/>
        </w:rPr>
      </w:pPr>
      <w:r>
        <w:rPr>
          <w:color w:val="231F20"/>
          <w:sz w:val="13"/>
        </w:rPr>
        <w:t>Consultation 25 (Victoria Police (No</w:t>
      </w:r>
      <w:r>
        <w:rPr>
          <w:color w:val="231F20"/>
          <w:spacing w:val="1"/>
          <w:sz w:val="13"/>
        </w:rPr>
        <w:t xml:space="preserve"> </w:t>
      </w:r>
      <w:r>
        <w:rPr>
          <w:color w:val="231F20"/>
          <w:sz w:val="13"/>
        </w:rPr>
        <w:t>2)).</w:t>
      </w:r>
    </w:p>
    <w:p w14:paraId="7831D92F" w14:textId="77777777" w:rsidR="00894070" w:rsidRDefault="009B7AFD">
      <w:pPr>
        <w:pStyle w:val="ListParagraph"/>
        <w:numPr>
          <w:ilvl w:val="0"/>
          <w:numId w:val="55"/>
        </w:numPr>
        <w:tabs>
          <w:tab w:val="left" w:pos="1800"/>
          <w:tab w:val="left" w:pos="1802"/>
        </w:tabs>
        <w:spacing w:line="160" w:lineRule="exact"/>
        <w:jc w:val="left"/>
        <w:rPr>
          <w:sz w:val="13"/>
        </w:rPr>
      </w:pPr>
      <w:r>
        <w:rPr>
          <w:color w:val="231F20"/>
          <w:sz w:val="13"/>
        </w:rPr>
        <w:t>Consultation 36 (Forensicare (No</w:t>
      </w:r>
      <w:r>
        <w:rPr>
          <w:color w:val="231F20"/>
          <w:spacing w:val="1"/>
          <w:sz w:val="13"/>
        </w:rPr>
        <w:t xml:space="preserve"> </w:t>
      </w:r>
      <w:r>
        <w:rPr>
          <w:color w:val="231F20"/>
          <w:sz w:val="13"/>
        </w:rPr>
        <w:t>2)).</w:t>
      </w:r>
    </w:p>
    <w:p w14:paraId="2B65D20B" w14:textId="77777777" w:rsidR="00894070" w:rsidRDefault="009B7AFD">
      <w:pPr>
        <w:pStyle w:val="ListParagraph"/>
        <w:numPr>
          <w:ilvl w:val="0"/>
          <w:numId w:val="55"/>
        </w:numPr>
        <w:tabs>
          <w:tab w:val="left" w:pos="1801"/>
          <w:tab w:val="left" w:pos="1802"/>
        </w:tabs>
        <w:spacing w:line="160" w:lineRule="exact"/>
        <w:jc w:val="left"/>
        <w:rPr>
          <w:sz w:val="13"/>
        </w:rPr>
      </w:pPr>
      <w:r>
        <w:rPr>
          <w:color w:val="231F20"/>
          <w:sz w:val="13"/>
        </w:rPr>
        <w:t>Consultation 25 (Victoria Police (No</w:t>
      </w:r>
      <w:r>
        <w:rPr>
          <w:color w:val="231F20"/>
          <w:spacing w:val="1"/>
          <w:sz w:val="13"/>
        </w:rPr>
        <w:t xml:space="preserve"> </w:t>
      </w:r>
      <w:r>
        <w:rPr>
          <w:color w:val="231F20"/>
          <w:sz w:val="13"/>
        </w:rPr>
        <w:t>2)).</w:t>
      </w:r>
    </w:p>
    <w:p w14:paraId="7C37AE1C" w14:textId="77777777" w:rsidR="00894070" w:rsidRDefault="009B7AFD">
      <w:pPr>
        <w:pStyle w:val="ListParagraph"/>
        <w:numPr>
          <w:ilvl w:val="0"/>
          <w:numId w:val="55"/>
        </w:numPr>
        <w:tabs>
          <w:tab w:val="left" w:pos="1801"/>
          <w:tab w:val="left" w:pos="1802"/>
        </w:tabs>
        <w:spacing w:line="160" w:lineRule="exact"/>
        <w:jc w:val="left"/>
        <w:rPr>
          <w:sz w:val="13"/>
        </w:rPr>
      </w:pPr>
      <w:r>
        <w:rPr>
          <w:i/>
          <w:color w:val="231F20"/>
          <w:sz w:val="13"/>
        </w:rPr>
        <w:t xml:space="preserve">Crimes Act 1958 </w:t>
      </w:r>
      <w:r>
        <w:rPr>
          <w:color w:val="231F20"/>
          <w:sz w:val="13"/>
        </w:rPr>
        <w:t>(Vic) s 21</w:t>
      </w:r>
      <w:proofErr w:type="gramStart"/>
      <w:r>
        <w:rPr>
          <w:color w:val="231F20"/>
          <w:sz w:val="13"/>
        </w:rPr>
        <w:t>A(</w:t>
      </w:r>
      <w:proofErr w:type="gramEnd"/>
      <w:r>
        <w:rPr>
          <w:color w:val="231F20"/>
          <w:sz w:val="13"/>
        </w:rPr>
        <w:t>8).</w:t>
      </w:r>
    </w:p>
    <w:p w14:paraId="7F1F5843" w14:textId="77777777" w:rsidR="00894070" w:rsidRDefault="009B7AFD">
      <w:pPr>
        <w:pStyle w:val="ListParagraph"/>
        <w:numPr>
          <w:ilvl w:val="0"/>
          <w:numId w:val="55"/>
        </w:numPr>
        <w:tabs>
          <w:tab w:val="left" w:pos="1800"/>
          <w:tab w:val="left" w:pos="1802"/>
        </w:tabs>
        <w:spacing w:before="6" w:line="213" w:lineRule="auto"/>
        <w:ind w:right="69"/>
        <w:jc w:val="left"/>
        <w:rPr>
          <w:sz w:val="13"/>
        </w:rPr>
      </w:pPr>
      <w:r>
        <w:rPr>
          <w:color w:val="231F20"/>
          <w:sz w:val="13"/>
        </w:rPr>
        <w:t xml:space="preserve">See generally </w:t>
      </w:r>
      <w:r>
        <w:rPr>
          <w:i/>
          <w:color w:val="231F20"/>
          <w:sz w:val="13"/>
        </w:rPr>
        <w:t xml:space="preserve">DPP v Sutcliffe </w:t>
      </w:r>
      <w:r>
        <w:rPr>
          <w:color w:val="231F20"/>
          <w:sz w:val="13"/>
        </w:rPr>
        <w:t xml:space="preserve">[2001] VSC 43. See </w:t>
      </w:r>
      <w:r>
        <w:rPr>
          <w:color w:val="231F20"/>
          <w:spacing w:val="2"/>
          <w:sz w:val="13"/>
        </w:rPr>
        <w:t xml:space="preserve">also </w:t>
      </w: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Anti-Stalking Legislation in Victoria, Australia’ (PhD Thesis, Monash University, 2018)</w:t>
      </w:r>
      <w:r>
        <w:rPr>
          <w:color w:val="231F20"/>
          <w:spacing w:val="9"/>
          <w:sz w:val="13"/>
        </w:rPr>
        <w:t xml:space="preserve"> </w:t>
      </w:r>
      <w:r>
        <w:rPr>
          <w:color w:val="231F20"/>
          <w:sz w:val="13"/>
        </w:rPr>
        <w:t>82.</w:t>
      </w:r>
    </w:p>
    <w:p w14:paraId="7089F859" w14:textId="77777777" w:rsidR="00894070" w:rsidRDefault="009B7AFD">
      <w:pPr>
        <w:pStyle w:val="ListParagraph"/>
        <w:numPr>
          <w:ilvl w:val="0"/>
          <w:numId w:val="55"/>
        </w:numPr>
        <w:tabs>
          <w:tab w:val="left" w:pos="1800"/>
          <w:tab w:val="left" w:pos="1802"/>
        </w:tabs>
        <w:spacing w:line="153" w:lineRule="exact"/>
        <w:jc w:val="left"/>
        <w:rPr>
          <w:sz w:val="13"/>
        </w:rPr>
      </w:pPr>
      <w:r>
        <w:rPr>
          <w:color w:val="231F20"/>
          <w:sz w:val="13"/>
        </w:rPr>
        <w:t xml:space="preserve">Consultation 2 (Children’s </w:t>
      </w:r>
      <w:r>
        <w:rPr>
          <w:color w:val="231F20"/>
          <w:spacing w:val="2"/>
          <w:sz w:val="13"/>
        </w:rPr>
        <w:t xml:space="preserve">Court </w:t>
      </w:r>
      <w:r>
        <w:rPr>
          <w:color w:val="231F20"/>
          <w:sz w:val="13"/>
        </w:rPr>
        <w:t>of Victoria (No 1)).</w:t>
      </w:r>
    </w:p>
    <w:p w14:paraId="780971D4" w14:textId="77777777" w:rsidR="00894070" w:rsidRDefault="009B7AFD">
      <w:pPr>
        <w:pStyle w:val="ListParagraph"/>
        <w:numPr>
          <w:ilvl w:val="0"/>
          <w:numId w:val="55"/>
        </w:numPr>
        <w:tabs>
          <w:tab w:val="left" w:pos="1800"/>
          <w:tab w:val="left" w:pos="1802"/>
        </w:tabs>
        <w:spacing w:line="160" w:lineRule="exact"/>
        <w:jc w:val="left"/>
        <w:rPr>
          <w:sz w:val="13"/>
        </w:rPr>
      </w:pPr>
      <w:r>
        <w:rPr>
          <w:color w:val="231F20"/>
          <w:sz w:val="13"/>
        </w:rPr>
        <w:t>Ibid.</w:t>
      </w:r>
    </w:p>
    <w:p w14:paraId="1D60C9D4" w14:textId="77777777" w:rsidR="00894070" w:rsidRDefault="009B7AFD">
      <w:pPr>
        <w:pStyle w:val="ListParagraph"/>
        <w:numPr>
          <w:ilvl w:val="0"/>
          <w:numId w:val="55"/>
        </w:numPr>
        <w:tabs>
          <w:tab w:val="left" w:pos="1801"/>
          <w:tab w:val="left" w:pos="1802"/>
        </w:tabs>
        <w:spacing w:line="160" w:lineRule="exact"/>
        <w:jc w:val="left"/>
        <w:rPr>
          <w:sz w:val="13"/>
        </w:rPr>
      </w:pPr>
      <w:r>
        <w:rPr>
          <w:color w:val="231F20"/>
          <w:sz w:val="13"/>
        </w:rPr>
        <w:t>Consultation 19 (Community legal sector</w:t>
      </w:r>
      <w:r>
        <w:rPr>
          <w:color w:val="231F20"/>
          <w:spacing w:val="2"/>
          <w:sz w:val="13"/>
        </w:rPr>
        <w:t xml:space="preserve"> </w:t>
      </w:r>
      <w:r>
        <w:rPr>
          <w:color w:val="231F20"/>
          <w:sz w:val="13"/>
        </w:rPr>
        <w:t>roundtable).</w:t>
      </w:r>
    </w:p>
    <w:p w14:paraId="252B8E94" w14:textId="77777777" w:rsidR="00894070" w:rsidRDefault="009B7AFD">
      <w:pPr>
        <w:pStyle w:val="ListParagraph"/>
        <w:numPr>
          <w:ilvl w:val="0"/>
          <w:numId w:val="55"/>
        </w:numPr>
        <w:tabs>
          <w:tab w:val="left" w:pos="1801"/>
          <w:tab w:val="left" w:pos="1802"/>
        </w:tabs>
        <w:spacing w:before="6" w:line="213" w:lineRule="auto"/>
        <w:ind w:right="107"/>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13097EF6" w14:textId="77777777" w:rsidR="00894070" w:rsidRDefault="009B7AFD">
      <w:pPr>
        <w:pStyle w:val="ListParagraph"/>
        <w:numPr>
          <w:ilvl w:val="0"/>
          <w:numId w:val="55"/>
        </w:numPr>
        <w:tabs>
          <w:tab w:val="left" w:pos="1801"/>
          <w:tab w:val="left" w:pos="1802"/>
        </w:tabs>
        <w:spacing w:line="153" w:lineRule="exact"/>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3"/>
          <w:sz w:val="13"/>
        </w:rPr>
        <w:t xml:space="preserve"> </w:t>
      </w:r>
      <w:r>
        <w:rPr>
          <w:color w:val="231F20"/>
          <w:sz w:val="13"/>
        </w:rPr>
        <w:t>Party).</w:t>
      </w:r>
    </w:p>
    <w:p w14:paraId="6E5869DF" w14:textId="77777777" w:rsidR="00894070" w:rsidRDefault="009B7AFD">
      <w:pPr>
        <w:pStyle w:val="ListParagraph"/>
        <w:numPr>
          <w:ilvl w:val="0"/>
          <w:numId w:val="55"/>
        </w:numPr>
        <w:tabs>
          <w:tab w:val="left" w:pos="1801"/>
          <w:tab w:val="left" w:pos="1802"/>
        </w:tabs>
        <w:spacing w:line="170" w:lineRule="exact"/>
        <w:jc w:val="left"/>
        <w:rPr>
          <w:sz w:val="13"/>
        </w:rPr>
      </w:pPr>
      <w:r>
        <w:rPr>
          <w:color w:val="231F20"/>
          <w:sz w:val="13"/>
        </w:rPr>
        <w:t>Ibid.</w:t>
      </w:r>
    </w:p>
    <w:p w14:paraId="50E28D4B" w14:textId="77777777" w:rsidR="00894070" w:rsidRDefault="009B7AFD">
      <w:pPr>
        <w:pStyle w:val="BodyText"/>
        <w:rPr>
          <w:sz w:val="28"/>
        </w:rPr>
      </w:pPr>
      <w:r>
        <w:br w:type="column"/>
      </w:r>
    </w:p>
    <w:p w14:paraId="1E5344B3" w14:textId="77777777" w:rsidR="00894070" w:rsidRDefault="00894070">
      <w:pPr>
        <w:pStyle w:val="BodyText"/>
        <w:rPr>
          <w:sz w:val="28"/>
        </w:rPr>
      </w:pPr>
    </w:p>
    <w:p w14:paraId="7B7F4151" w14:textId="77777777" w:rsidR="00894070" w:rsidRDefault="00894070">
      <w:pPr>
        <w:pStyle w:val="BodyText"/>
        <w:rPr>
          <w:sz w:val="28"/>
        </w:rPr>
      </w:pPr>
    </w:p>
    <w:p w14:paraId="5BF9CCC4" w14:textId="77777777" w:rsidR="00894070" w:rsidRDefault="00894070">
      <w:pPr>
        <w:pStyle w:val="BodyText"/>
        <w:rPr>
          <w:sz w:val="28"/>
        </w:rPr>
      </w:pPr>
    </w:p>
    <w:p w14:paraId="19315D49" w14:textId="77777777" w:rsidR="00894070" w:rsidRDefault="00894070">
      <w:pPr>
        <w:pStyle w:val="BodyText"/>
        <w:spacing w:before="11"/>
        <w:rPr>
          <w:sz w:val="41"/>
        </w:rPr>
      </w:pPr>
    </w:p>
    <w:p w14:paraId="15D48A72" w14:textId="77777777" w:rsidR="00894070" w:rsidRDefault="009B7AFD">
      <w:pPr>
        <w:pStyle w:val="Heading8"/>
        <w:ind w:left="813"/>
      </w:pPr>
      <w:r>
        <w:rPr>
          <w:color w:val="EA5B50"/>
        </w:rPr>
        <w:t>141</w:t>
      </w:r>
    </w:p>
    <w:p w14:paraId="15CFF17D" w14:textId="77777777" w:rsidR="00894070" w:rsidRDefault="00894070">
      <w:pPr>
        <w:sectPr w:rsidR="00894070">
          <w:type w:val="continuous"/>
          <w:pgSz w:w="11910" w:h="16840"/>
          <w:pgMar w:top="560" w:right="420" w:bottom="280" w:left="580" w:header="720" w:footer="720" w:gutter="0"/>
          <w:cols w:num="2" w:space="720" w:equalWidth="0">
            <w:col w:w="9491" w:space="40"/>
            <w:col w:w="1379"/>
          </w:cols>
        </w:sectPr>
      </w:pPr>
    </w:p>
    <w:p w14:paraId="656FF31E" w14:textId="77777777" w:rsidR="00894070" w:rsidRDefault="00894070">
      <w:pPr>
        <w:pStyle w:val="BodyText"/>
        <w:rPr>
          <w:b/>
        </w:rPr>
      </w:pPr>
    </w:p>
    <w:p w14:paraId="12CEB445" w14:textId="77777777" w:rsidR="00894070" w:rsidRDefault="00894070">
      <w:pPr>
        <w:pStyle w:val="BodyText"/>
        <w:rPr>
          <w:b/>
        </w:rPr>
      </w:pPr>
    </w:p>
    <w:p w14:paraId="1EE683E6" w14:textId="77777777" w:rsidR="00894070" w:rsidRDefault="00894070">
      <w:pPr>
        <w:pStyle w:val="BodyText"/>
        <w:rPr>
          <w:b/>
        </w:rPr>
      </w:pPr>
    </w:p>
    <w:p w14:paraId="0C5ED750" w14:textId="77777777" w:rsidR="00894070" w:rsidRDefault="00894070">
      <w:pPr>
        <w:pStyle w:val="BodyText"/>
        <w:spacing w:before="11"/>
        <w:rPr>
          <w:b/>
          <w:sz w:val="18"/>
        </w:rPr>
      </w:pPr>
    </w:p>
    <w:p w14:paraId="2D76D9DA" w14:textId="77777777" w:rsidR="00894070" w:rsidRDefault="009B7AFD">
      <w:pPr>
        <w:pStyle w:val="ListParagraph"/>
        <w:numPr>
          <w:ilvl w:val="1"/>
          <w:numId w:val="65"/>
        </w:numPr>
        <w:tabs>
          <w:tab w:val="left" w:pos="1801"/>
          <w:tab w:val="left" w:pos="1802"/>
        </w:tabs>
        <w:spacing w:line="206" w:lineRule="auto"/>
        <w:ind w:right="1321"/>
        <w:rPr>
          <w:sz w:val="20"/>
        </w:rPr>
      </w:pPr>
      <w:bookmarkStart w:id="159" w:name="Application_of_the_stalking_offence_must"/>
      <w:bookmarkStart w:id="160" w:name="_bookmark95"/>
      <w:bookmarkEnd w:id="159"/>
      <w:bookmarkEnd w:id="160"/>
      <w:r>
        <w:rPr>
          <w:color w:val="231F20"/>
          <w:sz w:val="20"/>
        </w:rPr>
        <w:t>Victoria</w:t>
      </w:r>
      <w:r>
        <w:rPr>
          <w:color w:val="231F20"/>
          <w:spacing w:val="-14"/>
          <w:sz w:val="20"/>
        </w:rPr>
        <w:t xml:space="preserve"> </w:t>
      </w:r>
      <w:r>
        <w:rPr>
          <w:color w:val="231F20"/>
          <w:sz w:val="20"/>
        </w:rPr>
        <w:t>Police</w:t>
      </w:r>
      <w:r>
        <w:rPr>
          <w:color w:val="231F20"/>
          <w:spacing w:val="-14"/>
          <w:sz w:val="20"/>
        </w:rPr>
        <w:t xml:space="preserve"> </w:t>
      </w:r>
      <w:r>
        <w:rPr>
          <w:color w:val="231F20"/>
          <w:sz w:val="20"/>
        </w:rPr>
        <w:t>explained</w:t>
      </w:r>
      <w:r>
        <w:rPr>
          <w:color w:val="231F20"/>
          <w:spacing w:val="-14"/>
          <w:sz w:val="20"/>
        </w:rPr>
        <w:t xml:space="preserve"> </w:t>
      </w:r>
      <w:r>
        <w:rPr>
          <w:color w:val="231F20"/>
          <w:spacing w:val="-3"/>
          <w:sz w:val="20"/>
        </w:rPr>
        <w:t>how</w:t>
      </w:r>
      <w:r>
        <w:rPr>
          <w:color w:val="231F20"/>
          <w:spacing w:val="-13"/>
          <w:sz w:val="20"/>
        </w:rPr>
        <w:t xml:space="preserve"> </w:t>
      </w:r>
      <w:r>
        <w:rPr>
          <w:color w:val="231F20"/>
          <w:sz w:val="20"/>
        </w:rPr>
        <w:t>collecting</w:t>
      </w:r>
      <w:r>
        <w:rPr>
          <w:color w:val="231F20"/>
          <w:spacing w:val="-14"/>
          <w:sz w:val="20"/>
        </w:rPr>
        <w:t xml:space="preserve"> </w:t>
      </w:r>
      <w:r>
        <w:rPr>
          <w:color w:val="231F20"/>
          <w:sz w:val="20"/>
        </w:rPr>
        <w:t>evidence</w:t>
      </w:r>
      <w:r>
        <w:rPr>
          <w:color w:val="231F20"/>
          <w:spacing w:val="-14"/>
          <w:sz w:val="20"/>
        </w:rPr>
        <w:t xml:space="preserve"> </w:t>
      </w:r>
      <w:r>
        <w:rPr>
          <w:color w:val="231F20"/>
          <w:sz w:val="20"/>
        </w:rPr>
        <w:t>of</w:t>
      </w:r>
      <w:r>
        <w:rPr>
          <w:color w:val="231F20"/>
          <w:spacing w:val="-14"/>
          <w:sz w:val="20"/>
        </w:rPr>
        <w:t xml:space="preserve"> </w:t>
      </w:r>
      <w:r>
        <w:rPr>
          <w:color w:val="231F20"/>
          <w:sz w:val="20"/>
        </w:rPr>
        <w:t>stalking</w:t>
      </w:r>
      <w:r>
        <w:rPr>
          <w:color w:val="231F20"/>
          <w:spacing w:val="-14"/>
          <w:sz w:val="20"/>
        </w:rPr>
        <w:t xml:space="preserve"> </w:t>
      </w:r>
      <w:r>
        <w:rPr>
          <w:color w:val="231F20"/>
          <w:sz w:val="20"/>
        </w:rPr>
        <w:t>can</w:t>
      </w:r>
      <w:r>
        <w:rPr>
          <w:color w:val="231F20"/>
          <w:spacing w:val="-13"/>
          <w:sz w:val="20"/>
        </w:rPr>
        <w:t xml:space="preserve"> </w:t>
      </w:r>
      <w:r>
        <w:rPr>
          <w:color w:val="231F20"/>
          <w:sz w:val="20"/>
        </w:rPr>
        <w:t>be</w:t>
      </w:r>
      <w:r>
        <w:rPr>
          <w:color w:val="231F20"/>
          <w:spacing w:val="-14"/>
          <w:sz w:val="20"/>
        </w:rPr>
        <w:t xml:space="preserve"> </w:t>
      </w:r>
      <w:r>
        <w:rPr>
          <w:color w:val="231F20"/>
          <w:sz w:val="20"/>
        </w:rPr>
        <w:t>‘the</w:t>
      </w:r>
      <w:r>
        <w:rPr>
          <w:color w:val="231F20"/>
          <w:spacing w:val="-14"/>
          <w:sz w:val="20"/>
        </w:rPr>
        <w:t xml:space="preserve"> </w:t>
      </w:r>
      <w:r>
        <w:rPr>
          <w:color w:val="231F20"/>
          <w:sz w:val="20"/>
        </w:rPr>
        <w:t>most</w:t>
      </w:r>
      <w:r>
        <w:rPr>
          <w:color w:val="231F20"/>
          <w:spacing w:val="-14"/>
          <w:sz w:val="20"/>
        </w:rPr>
        <w:t xml:space="preserve"> </w:t>
      </w:r>
      <w:r>
        <w:rPr>
          <w:color w:val="231F20"/>
          <w:sz w:val="20"/>
        </w:rPr>
        <w:t xml:space="preserve">difficult aspect’ of </w:t>
      </w:r>
      <w:r>
        <w:rPr>
          <w:color w:val="231F20"/>
          <w:spacing w:val="-3"/>
          <w:sz w:val="20"/>
        </w:rPr>
        <w:t xml:space="preserve">investigating </w:t>
      </w:r>
      <w:r>
        <w:rPr>
          <w:color w:val="231F20"/>
          <w:sz w:val="20"/>
        </w:rPr>
        <w:t>the stalking</w:t>
      </w:r>
      <w:r>
        <w:rPr>
          <w:color w:val="231F20"/>
          <w:spacing w:val="-19"/>
          <w:sz w:val="20"/>
        </w:rPr>
        <w:t xml:space="preserve"> </w:t>
      </w:r>
      <w:r>
        <w:rPr>
          <w:color w:val="231F20"/>
          <w:spacing w:val="-3"/>
          <w:sz w:val="20"/>
        </w:rPr>
        <w:t>offence:</w:t>
      </w:r>
    </w:p>
    <w:p w14:paraId="4390461B" w14:textId="77777777" w:rsidR="00894070" w:rsidRDefault="009B7AFD">
      <w:pPr>
        <w:spacing w:before="121" w:line="208" w:lineRule="auto"/>
        <w:ind w:left="2254" w:right="1121"/>
        <w:rPr>
          <w:sz w:val="11"/>
        </w:rPr>
      </w:pPr>
      <w:r>
        <w:rPr>
          <w:color w:val="231F20"/>
          <w:sz w:val="19"/>
        </w:rPr>
        <w:t>This can be challenging due to difficulties for victims and others in identifying stalking behaviours, and difficulties in victims retaining evidence of interactions which, together, would demonstrate a course of conduct. Gathering evidence is also often a huge undertaking for police for stalking cases, particularly when it involves conduct online.</w:t>
      </w:r>
      <w:r>
        <w:rPr>
          <w:color w:val="231F20"/>
          <w:position w:val="6"/>
          <w:sz w:val="11"/>
        </w:rPr>
        <w:t>75</w:t>
      </w:r>
    </w:p>
    <w:p w14:paraId="10DE3F58" w14:textId="77777777" w:rsidR="00894070" w:rsidRDefault="00894070">
      <w:pPr>
        <w:pStyle w:val="BodyText"/>
        <w:spacing w:before="8"/>
        <w:rPr>
          <w:sz w:val="16"/>
        </w:rPr>
      </w:pPr>
    </w:p>
    <w:p w14:paraId="3930DC06" w14:textId="77777777" w:rsidR="00894070" w:rsidRDefault="009B7AFD">
      <w:pPr>
        <w:pStyle w:val="Heading7"/>
      </w:pPr>
      <w:r>
        <w:rPr>
          <w:color w:val="EA5B50"/>
        </w:rPr>
        <w:t>Application of the stalking offence must improve</w:t>
      </w:r>
    </w:p>
    <w:p w14:paraId="2275AFD8" w14:textId="77777777" w:rsidR="00894070" w:rsidRDefault="009B7AFD">
      <w:pPr>
        <w:pStyle w:val="ListParagraph"/>
        <w:numPr>
          <w:ilvl w:val="1"/>
          <w:numId w:val="65"/>
        </w:numPr>
        <w:tabs>
          <w:tab w:val="left" w:pos="1801"/>
          <w:tab w:val="left" w:pos="1802"/>
        </w:tabs>
        <w:spacing w:before="114"/>
        <w:rPr>
          <w:sz w:val="20"/>
        </w:rPr>
      </w:pPr>
      <w:r>
        <w:rPr>
          <w:color w:val="231F20"/>
          <w:sz w:val="20"/>
        </w:rPr>
        <w:t xml:space="preserve">The challenges described </w:t>
      </w:r>
      <w:r>
        <w:rPr>
          <w:color w:val="231F20"/>
          <w:spacing w:val="-3"/>
          <w:sz w:val="20"/>
        </w:rPr>
        <w:t xml:space="preserve">above result </w:t>
      </w:r>
      <w:r>
        <w:rPr>
          <w:color w:val="231F20"/>
          <w:sz w:val="20"/>
        </w:rPr>
        <w:t xml:space="preserve">in </w:t>
      </w:r>
      <w:r>
        <w:rPr>
          <w:color w:val="231F20"/>
          <w:spacing w:val="-3"/>
          <w:sz w:val="20"/>
        </w:rPr>
        <w:t xml:space="preserve">negative </w:t>
      </w:r>
      <w:r>
        <w:rPr>
          <w:color w:val="231F20"/>
          <w:sz w:val="20"/>
        </w:rPr>
        <w:t>outcomes,</w:t>
      </w:r>
      <w:r>
        <w:rPr>
          <w:color w:val="231F20"/>
          <w:spacing w:val="-30"/>
          <w:sz w:val="20"/>
        </w:rPr>
        <w:t xml:space="preserve"> </w:t>
      </w:r>
      <w:r>
        <w:rPr>
          <w:color w:val="231F20"/>
          <w:sz w:val="20"/>
        </w:rPr>
        <w:t>including:</w:t>
      </w:r>
    </w:p>
    <w:p w14:paraId="17E7A6E5" w14:textId="77777777" w:rsidR="00894070" w:rsidRDefault="009B7AFD">
      <w:pPr>
        <w:pStyle w:val="ListParagraph"/>
        <w:numPr>
          <w:ilvl w:val="2"/>
          <w:numId w:val="65"/>
        </w:numPr>
        <w:tabs>
          <w:tab w:val="left" w:pos="2141"/>
          <w:tab w:val="left" w:pos="2142"/>
        </w:tabs>
        <w:spacing w:before="114" w:line="206" w:lineRule="auto"/>
        <w:ind w:right="1217" w:hanging="340"/>
        <w:rPr>
          <w:sz w:val="11"/>
        </w:rPr>
      </w:pPr>
      <w:r>
        <w:rPr>
          <w:color w:val="231F20"/>
          <w:sz w:val="20"/>
        </w:rPr>
        <w:t xml:space="preserve">The behaviour </w:t>
      </w:r>
      <w:r>
        <w:rPr>
          <w:color w:val="231F20"/>
          <w:spacing w:val="-3"/>
          <w:sz w:val="20"/>
        </w:rPr>
        <w:t xml:space="preserve">may </w:t>
      </w:r>
      <w:r>
        <w:rPr>
          <w:color w:val="231F20"/>
          <w:sz w:val="20"/>
        </w:rPr>
        <w:t xml:space="preserve">be characterised as other </w:t>
      </w:r>
      <w:r>
        <w:rPr>
          <w:color w:val="231F20"/>
          <w:spacing w:val="-3"/>
          <w:sz w:val="20"/>
        </w:rPr>
        <w:t xml:space="preserve">offending—for example, </w:t>
      </w:r>
      <w:r>
        <w:rPr>
          <w:color w:val="231F20"/>
          <w:sz w:val="20"/>
        </w:rPr>
        <w:t>property or assault</w:t>
      </w:r>
      <w:r>
        <w:rPr>
          <w:color w:val="231F20"/>
          <w:spacing w:val="-8"/>
          <w:sz w:val="20"/>
        </w:rPr>
        <w:t xml:space="preserve"> </w:t>
      </w:r>
      <w:r>
        <w:rPr>
          <w:color w:val="231F20"/>
          <w:spacing w:val="-3"/>
          <w:sz w:val="20"/>
        </w:rPr>
        <w:t>offences—which</w:t>
      </w:r>
      <w:r>
        <w:rPr>
          <w:color w:val="231F20"/>
          <w:spacing w:val="-8"/>
          <w:sz w:val="20"/>
        </w:rPr>
        <w:t xml:space="preserve"> </w:t>
      </w:r>
      <w:r>
        <w:rPr>
          <w:color w:val="231F20"/>
          <w:sz w:val="20"/>
        </w:rPr>
        <w:t>police</w:t>
      </w:r>
      <w:r>
        <w:rPr>
          <w:color w:val="231F20"/>
          <w:spacing w:val="-8"/>
          <w:sz w:val="20"/>
        </w:rPr>
        <w:t xml:space="preserve"> </w:t>
      </w:r>
      <w:r>
        <w:rPr>
          <w:color w:val="231F20"/>
          <w:spacing w:val="-3"/>
          <w:sz w:val="20"/>
        </w:rPr>
        <w:t>believe</w:t>
      </w:r>
      <w:r>
        <w:rPr>
          <w:color w:val="231F20"/>
          <w:spacing w:val="-8"/>
          <w:sz w:val="20"/>
        </w:rPr>
        <w:t xml:space="preserve"> </w:t>
      </w:r>
      <w:r>
        <w:rPr>
          <w:color w:val="231F20"/>
          <w:sz w:val="20"/>
        </w:rPr>
        <w:t>is</w:t>
      </w:r>
      <w:r>
        <w:rPr>
          <w:color w:val="231F20"/>
          <w:spacing w:val="-8"/>
          <w:sz w:val="20"/>
        </w:rPr>
        <w:t xml:space="preserve"> </w:t>
      </w:r>
      <w:r>
        <w:rPr>
          <w:color w:val="231F20"/>
          <w:sz w:val="20"/>
        </w:rPr>
        <w:t>easier</w:t>
      </w:r>
      <w:r>
        <w:rPr>
          <w:color w:val="231F20"/>
          <w:spacing w:val="-7"/>
          <w:sz w:val="20"/>
        </w:rPr>
        <w:t xml:space="preserve"> </w:t>
      </w:r>
      <w:r>
        <w:rPr>
          <w:color w:val="231F20"/>
          <w:sz w:val="20"/>
        </w:rPr>
        <w:t>to</w:t>
      </w:r>
      <w:r>
        <w:rPr>
          <w:color w:val="231F20"/>
          <w:spacing w:val="-8"/>
          <w:sz w:val="20"/>
        </w:rPr>
        <w:t xml:space="preserve"> </w:t>
      </w:r>
      <w:r>
        <w:rPr>
          <w:color w:val="231F20"/>
          <w:spacing w:val="-4"/>
          <w:sz w:val="20"/>
        </w:rPr>
        <w:t>prove,</w:t>
      </w:r>
      <w:r>
        <w:rPr>
          <w:color w:val="231F20"/>
          <w:spacing w:val="-8"/>
          <w:sz w:val="20"/>
        </w:rPr>
        <w:t xml:space="preserve"> </w:t>
      </w:r>
      <w:r>
        <w:rPr>
          <w:color w:val="231F20"/>
          <w:sz w:val="20"/>
        </w:rPr>
        <w:t>rather</w:t>
      </w:r>
      <w:r>
        <w:rPr>
          <w:color w:val="231F20"/>
          <w:spacing w:val="-8"/>
          <w:sz w:val="20"/>
        </w:rPr>
        <w:t xml:space="preserve"> </w:t>
      </w:r>
      <w:r>
        <w:rPr>
          <w:color w:val="231F20"/>
          <w:sz w:val="20"/>
        </w:rPr>
        <w:t>than</w:t>
      </w:r>
      <w:r>
        <w:rPr>
          <w:color w:val="231F20"/>
          <w:spacing w:val="-8"/>
          <w:sz w:val="20"/>
        </w:rPr>
        <w:t xml:space="preserve"> </w:t>
      </w:r>
      <w:r>
        <w:rPr>
          <w:color w:val="231F20"/>
          <w:sz w:val="20"/>
        </w:rPr>
        <w:t>as</w:t>
      </w:r>
      <w:r>
        <w:rPr>
          <w:color w:val="231F20"/>
          <w:spacing w:val="-7"/>
          <w:sz w:val="20"/>
        </w:rPr>
        <w:t xml:space="preserve"> </w:t>
      </w:r>
      <w:r>
        <w:rPr>
          <w:color w:val="231F20"/>
          <w:sz w:val="20"/>
        </w:rPr>
        <w:t>the</w:t>
      </w:r>
      <w:r>
        <w:rPr>
          <w:color w:val="231F20"/>
          <w:spacing w:val="-8"/>
          <w:sz w:val="20"/>
        </w:rPr>
        <w:t xml:space="preserve"> </w:t>
      </w:r>
      <w:r>
        <w:rPr>
          <w:color w:val="231F20"/>
          <w:sz w:val="20"/>
        </w:rPr>
        <w:t xml:space="preserve">stalking </w:t>
      </w:r>
      <w:r>
        <w:rPr>
          <w:color w:val="231F20"/>
          <w:spacing w:val="-3"/>
          <w:sz w:val="20"/>
        </w:rPr>
        <w:t>offence.</w:t>
      </w:r>
      <w:r>
        <w:rPr>
          <w:color w:val="231F20"/>
          <w:spacing w:val="-3"/>
          <w:position w:val="7"/>
          <w:sz w:val="11"/>
        </w:rPr>
        <w:t>76</w:t>
      </w:r>
    </w:p>
    <w:p w14:paraId="2CFA663A" w14:textId="77777777" w:rsidR="00894070" w:rsidRDefault="009B7AFD">
      <w:pPr>
        <w:pStyle w:val="ListParagraph"/>
        <w:numPr>
          <w:ilvl w:val="2"/>
          <w:numId w:val="65"/>
        </w:numPr>
        <w:tabs>
          <w:tab w:val="left" w:pos="2141"/>
          <w:tab w:val="left" w:pos="2142"/>
        </w:tabs>
        <w:spacing w:before="89" w:line="206" w:lineRule="auto"/>
        <w:ind w:right="1227" w:hanging="340"/>
        <w:rPr>
          <w:sz w:val="20"/>
        </w:rPr>
      </w:pPr>
      <w:r>
        <w:rPr>
          <w:color w:val="231F20"/>
          <w:sz w:val="20"/>
        </w:rPr>
        <w:t xml:space="preserve">Police </w:t>
      </w:r>
      <w:r>
        <w:rPr>
          <w:color w:val="231F20"/>
          <w:spacing w:val="-3"/>
          <w:sz w:val="20"/>
        </w:rPr>
        <w:t xml:space="preserve">may </w:t>
      </w:r>
      <w:r>
        <w:rPr>
          <w:color w:val="231F20"/>
          <w:sz w:val="20"/>
        </w:rPr>
        <w:t xml:space="preserve">pursue a civil justice response when the behaviour should be charged as a criminal </w:t>
      </w:r>
      <w:r>
        <w:rPr>
          <w:color w:val="231F20"/>
          <w:spacing w:val="-3"/>
          <w:sz w:val="20"/>
        </w:rPr>
        <w:t>offence.</w:t>
      </w:r>
      <w:r>
        <w:rPr>
          <w:color w:val="231F20"/>
          <w:spacing w:val="-3"/>
          <w:position w:val="7"/>
          <w:sz w:val="11"/>
        </w:rPr>
        <w:t xml:space="preserve">77 </w:t>
      </w:r>
      <w:r>
        <w:rPr>
          <w:color w:val="231F20"/>
          <w:spacing w:val="-3"/>
          <w:sz w:val="20"/>
        </w:rPr>
        <w:t xml:space="preserve">For example, </w:t>
      </w:r>
      <w:r>
        <w:rPr>
          <w:color w:val="231F20"/>
          <w:sz w:val="20"/>
        </w:rPr>
        <w:t xml:space="preserve">police </w:t>
      </w:r>
      <w:r>
        <w:rPr>
          <w:color w:val="231F20"/>
          <w:spacing w:val="-3"/>
          <w:sz w:val="20"/>
        </w:rPr>
        <w:t xml:space="preserve">may </w:t>
      </w:r>
      <w:r>
        <w:rPr>
          <w:color w:val="231F20"/>
          <w:sz w:val="20"/>
        </w:rPr>
        <w:t xml:space="preserve">use the breach of an </w:t>
      </w:r>
      <w:r>
        <w:rPr>
          <w:color w:val="231F20"/>
          <w:spacing w:val="-2"/>
          <w:sz w:val="20"/>
        </w:rPr>
        <w:t xml:space="preserve">intervention </w:t>
      </w:r>
      <w:r>
        <w:rPr>
          <w:color w:val="231F20"/>
          <w:sz w:val="20"/>
        </w:rPr>
        <w:t>order</w:t>
      </w:r>
      <w:r>
        <w:rPr>
          <w:color w:val="231F20"/>
          <w:spacing w:val="-12"/>
          <w:sz w:val="20"/>
        </w:rPr>
        <w:t xml:space="preserve"> </w:t>
      </w:r>
      <w:r>
        <w:rPr>
          <w:color w:val="231F20"/>
          <w:sz w:val="20"/>
        </w:rPr>
        <w:t>to</w:t>
      </w:r>
      <w:r>
        <w:rPr>
          <w:color w:val="231F20"/>
          <w:spacing w:val="-11"/>
          <w:sz w:val="20"/>
        </w:rPr>
        <w:t xml:space="preserve"> </w:t>
      </w:r>
      <w:r>
        <w:rPr>
          <w:color w:val="231F20"/>
          <w:sz w:val="20"/>
        </w:rPr>
        <w:t>pursue</w:t>
      </w:r>
      <w:r>
        <w:rPr>
          <w:color w:val="231F20"/>
          <w:spacing w:val="-12"/>
          <w:sz w:val="20"/>
        </w:rPr>
        <w:t xml:space="preserve"> </w:t>
      </w:r>
      <w:r>
        <w:rPr>
          <w:color w:val="231F20"/>
          <w:sz w:val="20"/>
        </w:rPr>
        <w:t>criminal</w:t>
      </w:r>
      <w:r>
        <w:rPr>
          <w:color w:val="231F20"/>
          <w:spacing w:val="-12"/>
          <w:sz w:val="20"/>
        </w:rPr>
        <w:t xml:space="preserve"> </w:t>
      </w:r>
      <w:r>
        <w:rPr>
          <w:color w:val="231F20"/>
          <w:sz w:val="20"/>
        </w:rPr>
        <w:t>action.</w:t>
      </w:r>
      <w:r>
        <w:rPr>
          <w:color w:val="231F20"/>
          <w:position w:val="7"/>
          <w:sz w:val="11"/>
        </w:rPr>
        <w:t>78</w:t>
      </w:r>
      <w:r>
        <w:rPr>
          <w:color w:val="231F20"/>
          <w:spacing w:val="12"/>
          <w:position w:val="7"/>
          <w:sz w:val="11"/>
        </w:rPr>
        <w:t xml:space="preserve"> </w:t>
      </w:r>
      <w:r>
        <w:rPr>
          <w:color w:val="231F20"/>
          <w:sz w:val="20"/>
        </w:rPr>
        <w:t>This</w:t>
      </w:r>
      <w:r>
        <w:rPr>
          <w:color w:val="231F20"/>
          <w:spacing w:val="-11"/>
          <w:sz w:val="20"/>
        </w:rPr>
        <w:t xml:space="preserve"> </w:t>
      </w:r>
      <w:r>
        <w:rPr>
          <w:color w:val="231F20"/>
          <w:sz w:val="20"/>
        </w:rPr>
        <w:t>minimises</w:t>
      </w:r>
      <w:r>
        <w:rPr>
          <w:color w:val="231F20"/>
          <w:spacing w:val="-11"/>
          <w:sz w:val="20"/>
        </w:rPr>
        <w:t xml:space="preserve"> </w:t>
      </w:r>
      <w:r>
        <w:rPr>
          <w:color w:val="231F20"/>
          <w:sz w:val="20"/>
        </w:rPr>
        <w:t>the</w:t>
      </w:r>
      <w:r>
        <w:rPr>
          <w:color w:val="231F20"/>
          <w:spacing w:val="-12"/>
          <w:sz w:val="20"/>
        </w:rPr>
        <w:t xml:space="preserve"> </w:t>
      </w:r>
      <w:r>
        <w:rPr>
          <w:color w:val="231F20"/>
          <w:sz w:val="20"/>
        </w:rPr>
        <w:t>gravity</w:t>
      </w:r>
      <w:r>
        <w:rPr>
          <w:color w:val="231F20"/>
          <w:spacing w:val="-11"/>
          <w:sz w:val="20"/>
        </w:rPr>
        <w:t xml:space="preserve"> </w:t>
      </w:r>
      <w:r>
        <w:rPr>
          <w:color w:val="231F20"/>
          <w:sz w:val="20"/>
        </w:rPr>
        <w:t>of</w:t>
      </w:r>
      <w:r>
        <w:rPr>
          <w:color w:val="231F20"/>
          <w:spacing w:val="-12"/>
          <w:sz w:val="20"/>
        </w:rPr>
        <w:t xml:space="preserve"> </w:t>
      </w:r>
      <w:r>
        <w:rPr>
          <w:color w:val="231F20"/>
          <w:sz w:val="20"/>
        </w:rPr>
        <w:t>the</w:t>
      </w:r>
      <w:r>
        <w:rPr>
          <w:color w:val="231F20"/>
          <w:spacing w:val="-11"/>
          <w:sz w:val="20"/>
        </w:rPr>
        <w:t xml:space="preserve"> </w:t>
      </w:r>
      <w:r>
        <w:rPr>
          <w:color w:val="231F20"/>
          <w:sz w:val="20"/>
        </w:rPr>
        <w:t>stalking</w:t>
      </w:r>
      <w:r>
        <w:rPr>
          <w:color w:val="231F20"/>
          <w:spacing w:val="-11"/>
          <w:sz w:val="20"/>
        </w:rPr>
        <w:t xml:space="preserve"> </w:t>
      </w:r>
      <w:r>
        <w:rPr>
          <w:color w:val="231F20"/>
          <w:sz w:val="20"/>
        </w:rPr>
        <w:t xml:space="preserve">conduct, </w:t>
      </w:r>
      <w:r>
        <w:rPr>
          <w:color w:val="231F20"/>
          <w:spacing w:val="-3"/>
          <w:sz w:val="20"/>
        </w:rPr>
        <w:t xml:space="preserve">thereby </w:t>
      </w:r>
      <w:r>
        <w:rPr>
          <w:color w:val="231F20"/>
          <w:sz w:val="20"/>
        </w:rPr>
        <w:t xml:space="preserve">undermining the justice </w:t>
      </w:r>
      <w:r>
        <w:rPr>
          <w:color w:val="231F20"/>
          <w:spacing w:val="-3"/>
          <w:sz w:val="20"/>
        </w:rPr>
        <w:t xml:space="preserve">system’s </w:t>
      </w:r>
      <w:r>
        <w:rPr>
          <w:color w:val="231F20"/>
          <w:sz w:val="20"/>
        </w:rPr>
        <w:t xml:space="preserve">broader aim of </w:t>
      </w:r>
      <w:r>
        <w:rPr>
          <w:color w:val="231F20"/>
          <w:spacing w:val="-3"/>
          <w:sz w:val="20"/>
        </w:rPr>
        <w:t xml:space="preserve">preventing </w:t>
      </w:r>
      <w:r>
        <w:rPr>
          <w:color w:val="231F20"/>
          <w:sz w:val="20"/>
        </w:rPr>
        <w:t>this behaviour in the</w:t>
      </w:r>
      <w:r>
        <w:rPr>
          <w:color w:val="231F20"/>
          <w:spacing w:val="-8"/>
          <w:sz w:val="20"/>
        </w:rPr>
        <w:t xml:space="preserve"> </w:t>
      </w:r>
      <w:r>
        <w:rPr>
          <w:color w:val="231F20"/>
          <w:spacing w:val="-3"/>
          <w:sz w:val="20"/>
        </w:rPr>
        <w:t>community.</w:t>
      </w:r>
    </w:p>
    <w:p w14:paraId="1D307A0B" w14:textId="77777777" w:rsidR="00894070" w:rsidRDefault="009B7AFD">
      <w:pPr>
        <w:pStyle w:val="ListParagraph"/>
        <w:numPr>
          <w:ilvl w:val="1"/>
          <w:numId w:val="65"/>
        </w:numPr>
        <w:tabs>
          <w:tab w:val="left" w:pos="1801"/>
          <w:tab w:val="left" w:pos="1802"/>
        </w:tabs>
        <w:spacing w:before="92" w:line="206" w:lineRule="auto"/>
        <w:ind w:right="1467"/>
        <w:rPr>
          <w:sz w:val="20"/>
        </w:rPr>
      </w:pPr>
      <w:r>
        <w:rPr>
          <w:color w:val="231F20"/>
          <w:sz w:val="20"/>
        </w:rPr>
        <w:t xml:space="preserve">A similar approach </w:t>
      </w:r>
      <w:r>
        <w:rPr>
          <w:color w:val="231F20"/>
          <w:spacing w:val="-3"/>
          <w:sz w:val="20"/>
        </w:rPr>
        <w:t xml:space="preserve">may </w:t>
      </w:r>
      <w:r>
        <w:rPr>
          <w:color w:val="231F20"/>
          <w:sz w:val="20"/>
        </w:rPr>
        <w:t xml:space="preserve">be taken at the prosecution stage. </w:t>
      </w:r>
      <w:r>
        <w:rPr>
          <w:color w:val="231F20"/>
          <w:spacing w:val="-4"/>
          <w:sz w:val="20"/>
        </w:rPr>
        <w:t xml:space="preserve">Even </w:t>
      </w:r>
      <w:r>
        <w:rPr>
          <w:color w:val="231F20"/>
          <w:sz w:val="20"/>
        </w:rPr>
        <w:t xml:space="preserve">if stalking charges </w:t>
      </w:r>
      <w:r>
        <w:rPr>
          <w:color w:val="231F20"/>
          <w:spacing w:val="-3"/>
          <w:sz w:val="20"/>
        </w:rPr>
        <w:t>are</w:t>
      </w:r>
      <w:r>
        <w:rPr>
          <w:color w:val="231F20"/>
          <w:spacing w:val="-11"/>
          <w:sz w:val="20"/>
        </w:rPr>
        <w:t xml:space="preserve"> </w:t>
      </w:r>
      <w:r>
        <w:rPr>
          <w:color w:val="231F20"/>
          <w:sz w:val="20"/>
        </w:rPr>
        <w:t>laid</w:t>
      </w:r>
      <w:r>
        <w:rPr>
          <w:color w:val="231F20"/>
          <w:spacing w:val="-11"/>
          <w:sz w:val="20"/>
        </w:rPr>
        <w:t xml:space="preserve"> </w:t>
      </w:r>
      <w:r>
        <w:rPr>
          <w:color w:val="231F20"/>
          <w:spacing w:val="-3"/>
          <w:sz w:val="20"/>
        </w:rPr>
        <w:t>by</w:t>
      </w:r>
      <w:r>
        <w:rPr>
          <w:color w:val="231F20"/>
          <w:spacing w:val="-11"/>
          <w:sz w:val="20"/>
        </w:rPr>
        <w:t xml:space="preserve"> </w:t>
      </w:r>
      <w:r>
        <w:rPr>
          <w:color w:val="231F20"/>
          <w:sz w:val="20"/>
        </w:rPr>
        <w:t>police</w:t>
      </w:r>
      <w:r>
        <w:rPr>
          <w:color w:val="231F20"/>
          <w:spacing w:val="-10"/>
          <w:sz w:val="20"/>
        </w:rPr>
        <w:t xml:space="preserve"> </w:t>
      </w:r>
      <w:r>
        <w:rPr>
          <w:color w:val="231F20"/>
          <w:sz w:val="20"/>
        </w:rPr>
        <w:t>and</w:t>
      </w:r>
      <w:r>
        <w:rPr>
          <w:color w:val="231F20"/>
          <w:spacing w:val="-11"/>
          <w:sz w:val="20"/>
        </w:rPr>
        <w:t xml:space="preserve"> </w:t>
      </w:r>
      <w:r>
        <w:rPr>
          <w:color w:val="231F20"/>
          <w:sz w:val="20"/>
        </w:rPr>
        <w:t>prosecutors,</w:t>
      </w:r>
      <w:r>
        <w:rPr>
          <w:color w:val="231F20"/>
          <w:spacing w:val="-11"/>
          <w:sz w:val="20"/>
        </w:rPr>
        <w:t xml:space="preserve"> </w:t>
      </w:r>
      <w:r>
        <w:rPr>
          <w:color w:val="231F20"/>
          <w:sz w:val="20"/>
        </w:rPr>
        <w:t>those</w:t>
      </w:r>
      <w:r>
        <w:rPr>
          <w:color w:val="231F20"/>
          <w:spacing w:val="-10"/>
          <w:sz w:val="20"/>
        </w:rPr>
        <w:t xml:space="preserve"> </w:t>
      </w:r>
      <w:r>
        <w:rPr>
          <w:color w:val="231F20"/>
          <w:sz w:val="20"/>
        </w:rPr>
        <w:t>charges</w:t>
      </w:r>
      <w:r>
        <w:rPr>
          <w:color w:val="231F20"/>
          <w:spacing w:val="-11"/>
          <w:sz w:val="20"/>
        </w:rPr>
        <w:t xml:space="preserve"> </w:t>
      </w:r>
      <w:r>
        <w:rPr>
          <w:color w:val="231F20"/>
          <w:spacing w:val="-3"/>
          <w:sz w:val="20"/>
        </w:rPr>
        <w:t>are</w:t>
      </w:r>
      <w:r>
        <w:rPr>
          <w:color w:val="231F20"/>
          <w:spacing w:val="-11"/>
          <w:sz w:val="20"/>
        </w:rPr>
        <w:t xml:space="preserve"> </w:t>
      </w:r>
      <w:r>
        <w:rPr>
          <w:color w:val="231F20"/>
          <w:sz w:val="20"/>
        </w:rPr>
        <w:t>often</w:t>
      </w:r>
      <w:r>
        <w:rPr>
          <w:color w:val="231F20"/>
          <w:spacing w:val="-11"/>
          <w:sz w:val="20"/>
        </w:rPr>
        <w:t xml:space="preserve"> </w:t>
      </w:r>
      <w:r>
        <w:rPr>
          <w:color w:val="231F20"/>
          <w:sz w:val="20"/>
        </w:rPr>
        <w:t>dropped</w:t>
      </w:r>
      <w:r>
        <w:rPr>
          <w:color w:val="231F20"/>
          <w:spacing w:val="-10"/>
          <w:sz w:val="20"/>
        </w:rPr>
        <w:t xml:space="preserve"> </w:t>
      </w:r>
      <w:r>
        <w:rPr>
          <w:color w:val="231F20"/>
          <w:spacing w:val="-3"/>
          <w:sz w:val="20"/>
        </w:rPr>
        <w:t>by</w:t>
      </w:r>
      <w:r>
        <w:rPr>
          <w:color w:val="231F20"/>
          <w:spacing w:val="-11"/>
          <w:sz w:val="20"/>
        </w:rPr>
        <w:t xml:space="preserve"> </w:t>
      </w:r>
      <w:r>
        <w:rPr>
          <w:color w:val="231F20"/>
          <w:sz w:val="20"/>
        </w:rPr>
        <w:t xml:space="preserve">prosecutors, because it is easier to </w:t>
      </w:r>
      <w:r>
        <w:rPr>
          <w:color w:val="231F20"/>
          <w:spacing w:val="-4"/>
          <w:sz w:val="20"/>
        </w:rPr>
        <w:t xml:space="preserve">prove </w:t>
      </w:r>
      <w:r>
        <w:rPr>
          <w:color w:val="231F20"/>
          <w:spacing w:val="-2"/>
          <w:sz w:val="20"/>
        </w:rPr>
        <w:t xml:space="preserve">incident-based </w:t>
      </w:r>
      <w:r>
        <w:rPr>
          <w:color w:val="231F20"/>
          <w:sz w:val="20"/>
        </w:rPr>
        <w:t xml:space="preserve">offences or breaches of </w:t>
      </w:r>
      <w:r>
        <w:rPr>
          <w:color w:val="231F20"/>
          <w:spacing w:val="-2"/>
          <w:sz w:val="20"/>
        </w:rPr>
        <w:t xml:space="preserve">intervention </w:t>
      </w:r>
      <w:r>
        <w:rPr>
          <w:color w:val="231F20"/>
          <w:spacing w:val="-3"/>
          <w:sz w:val="20"/>
        </w:rPr>
        <w:t>orders.</w:t>
      </w:r>
      <w:r>
        <w:rPr>
          <w:color w:val="231F20"/>
          <w:spacing w:val="-3"/>
          <w:position w:val="7"/>
          <w:sz w:val="11"/>
        </w:rPr>
        <w:t xml:space="preserve">79 </w:t>
      </w:r>
      <w:r>
        <w:rPr>
          <w:color w:val="231F20"/>
          <w:spacing w:val="-6"/>
          <w:sz w:val="20"/>
        </w:rPr>
        <w:t xml:space="preserve">We </w:t>
      </w:r>
      <w:r>
        <w:rPr>
          <w:color w:val="231F20"/>
          <w:sz w:val="20"/>
        </w:rPr>
        <w:t xml:space="preserve">discuss education on plea negotiations in </w:t>
      </w:r>
      <w:r>
        <w:rPr>
          <w:color w:val="231F20"/>
          <w:spacing w:val="-3"/>
          <w:sz w:val="20"/>
        </w:rPr>
        <w:t>Chapter</w:t>
      </w:r>
      <w:r>
        <w:rPr>
          <w:color w:val="231F20"/>
          <w:spacing w:val="-32"/>
          <w:sz w:val="20"/>
        </w:rPr>
        <w:t xml:space="preserve"> </w:t>
      </w:r>
      <w:r>
        <w:rPr>
          <w:color w:val="231F20"/>
          <w:spacing w:val="2"/>
          <w:sz w:val="20"/>
        </w:rPr>
        <w:t>4.</w:t>
      </w:r>
    </w:p>
    <w:p w14:paraId="67C6A999" w14:textId="77777777" w:rsidR="00894070" w:rsidRDefault="009B7AFD">
      <w:pPr>
        <w:pStyle w:val="ListParagraph"/>
        <w:numPr>
          <w:ilvl w:val="1"/>
          <w:numId w:val="65"/>
        </w:numPr>
        <w:tabs>
          <w:tab w:val="left" w:pos="1801"/>
          <w:tab w:val="left" w:pos="1802"/>
        </w:tabs>
        <w:spacing w:before="125" w:line="206" w:lineRule="auto"/>
        <w:ind w:right="1316"/>
        <w:rPr>
          <w:sz w:val="20"/>
        </w:rPr>
      </w:pPr>
      <w:r>
        <w:rPr>
          <w:color w:val="231F20"/>
          <w:sz w:val="20"/>
        </w:rPr>
        <w:t xml:space="preserve">These outcomes fail to reflect the </w:t>
      </w:r>
      <w:r>
        <w:rPr>
          <w:color w:val="231F20"/>
          <w:spacing w:val="-3"/>
          <w:sz w:val="20"/>
        </w:rPr>
        <w:t xml:space="preserve">severity </w:t>
      </w:r>
      <w:r>
        <w:rPr>
          <w:color w:val="231F20"/>
          <w:sz w:val="20"/>
        </w:rPr>
        <w:t xml:space="preserve">of this criminal conduct. They can also </w:t>
      </w:r>
      <w:r>
        <w:rPr>
          <w:color w:val="231F20"/>
          <w:spacing w:val="-4"/>
          <w:sz w:val="20"/>
        </w:rPr>
        <w:t xml:space="preserve">have </w:t>
      </w:r>
      <w:r>
        <w:rPr>
          <w:color w:val="231F20"/>
          <w:spacing w:val="-3"/>
          <w:sz w:val="20"/>
        </w:rPr>
        <w:t xml:space="preserve">negative </w:t>
      </w:r>
      <w:r>
        <w:rPr>
          <w:color w:val="231F20"/>
          <w:sz w:val="20"/>
        </w:rPr>
        <w:t xml:space="preserve">consequences </w:t>
      </w:r>
      <w:r>
        <w:rPr>
          <w:color w:val="231F20"/>
          <w:spacing w:val="-3"/>
          <w:sz w:val="20"/>
        </w:rPr>
        <w:t xml:space="preserve">for </w:t>
      </w:r>
      <w:r>
        <w:rPr>
          <w:color w:val="231F20"/>
          <w:sz w:val="20"/>
        </w:rPr>
        <w:t xml:space="preserve">the safety of victim survivors, and </w:t>
      </w:r>
      <w:r>
        <w:rPr>
          <w:color w:val="231F20"/>
          <w:spacing w:val="-3"/>
          <w:sz w:val="20"/>
        </w:rPr>
        <w:t xml:space="preserve">for </w:t>
      </w:r>
      <w:r>
        <w:rPr>
          <w:color w:val="231F20"/>
          <w:sz w:val="20"/>
        </w:rPr>
        <w:t xml:space="preserve">their faith in the justice system. In some cases, the civil response </w:t>
      </w:r>
      <w:r>
        <w:rPr>
          <w:color w:val="231F20"/>
          <w:spacing w:val="-3"/>
          <w:sz w:val="20"/>
        </w:rPr>
        <w:t xml:space="preserve">may </w:t>
      </w:r>
      <w:r>
        <w:rPr>
          <w:color w:val="231F20"/>
          <w:sz w:val="20"/>
        </w:rPr>
        <w:t>not be enough to keep a victim</w:t>
      </w:r>
      <w:r>
        <w:rPr>
          <w:color w:val="231F20"/>
          <w:spacing w:val="-10"/>
          <w:sz w:val="20"/>
        </w:rPr>
        <w:t xml:space="preserve"> </w:t>
      </w:r>
      <w:r>
        <w:rPr>
          <w:color w:val="231F20"/>
          <w:sz w:val="20"/>
        </w:rPr>
        <w:t>survivor</w:t>
      </w:r>
      <w:r>
        <w:rPr>
          <w:color w:val="231F20"/>
          <w:spacing w:val="-9"/>
          <w:sz w:val="20"/>
        </w:rPr>
        <w:t xml:space="preserve"> </w:t>
      </w:r>
      <w:r>
        <w:rPr>
          <w:color w:val="231F20"/>
          <w:spacing w:val="-3"/>
          <w:sz w:val="20"/>
        </w:rPr>
        <w:t>safe.</w:t>
      </w:r>
      <w:r>
        <w:rPr>
          <w:color w:val="231F20"/>
          <w:spacing w:val="-10"/>
          <w:sz w:val="20"/>
        </w:rPr>
        <w:t xml:space="preserve"> </w:t>
      </w:r>
      <w:r>
        <w:rPr>
          <w:color w:val="231F20"/>
          <w:sz w:val="20"/>
        </w:rPr>
        <w:t>In</w:t>
      </w:r>
      <w:r>
        <w:rPr>
          <w:color w:val="231F20"/>
          <w:spacing w:val="-9"/>
          <w:sz w:val="20"/>
        </w:rPr>
        <w:t xml:space="preserve"> </w:t>
      </w:r>
      <w:r>
        <w:rPr>
          <w:color w:val="231F20"/>
          <w:sz w:val="20"/>
        </w:rPr>
        <w:t>addition,</w:t>
      </w:r>
      <w:r>
        <w:rPr>
          <w:color w:val="231F20"/>
          <w:spacing w:val="-10"/>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10"/>
          <w:sz w:val="20"/>
        </w:rPr>
        <w:t xml:space="preserve"> </w:t>
      </w:r>
      <w:r>
        <w:rPr>
          <w:color w:val="231F20"/>
          <w:spacing w:val="-3"/>
          <w:sz w:val="20"/>
        </w:rPr>
        <w:t>may</w:t>
      </w:r>
      <w:r>
        <w:rPr>
          <w:color w:val="231F20"/>
          <w:spacing w:val="-9"/>
          <w:sz w:val="20"/>
        </w:rPr>
        <w:t xml:space="preserve"> </w:t>
      </w:r>
      <w:r>
        <w:rPr>
          <w:color w:val="231F20"/>
          <w:sz w:val="20"/>
        </w:rPr>
        <w:t>be</w:t>
      </w:r>
      <w:r>
        <w:rPr>
          <w:color w:val="231F20"/>
          <w:spacing w:val="-9"/>
          <w:sz w:val="20"/>
        </w:rPr>
        <w:t xml:space="preserve"> </w:t>
      </w:r>
      <w:r>
        <w:rPr>
          <w:color w:val="231F20"/>
          <w:spacing w:val="-3"/>
          <w:sz w:val="20"/>
        </w:rPr>
        <w:t>extremely</w:t>
      </w:r>
      <w:r>
        <w:rPr>
          <w:color w:val="231F20"/>
          <w:spacing w:val="-10"/>
          <w:sz w:val="20"/>
        </w:rPr>
        <w:t xml:space="preserve"> </w:t>
      </w:r>
      <w:r>
        <w:rPr>
          <w:color w:val="231F20"/>
          <w:sz w:val="20"/>
        </w:rPr>
        <w:t>disappointed</w:t>
      </w:r>
      <w:r>
        <w:rPr>
          <w:color w:val="231F20"/>
          <w:spacing w:val="-9"/>
          <w:sz w:val="20"/>
        </w:rPr>
        <w:t xml:space="preserve"> </w:t>
      </w:r>
      <w:r>
        <w:rPr>
          <w:color w:val="231F20"/>
          <w:sz w:val="20"/>
        </w:rPr>
        <w:t xml:space="preserve">when stalking offences </w:t>
      </w:r>
      <w:r>
        <w:rPr>
          <w:color w:val="231F20"/>
          <w:spacing w:val="-3"/>
          <w:sz w:val="20"/>
        </w:rPr>
        <w:t xml:space="preserve">are </w:t>
      </w:r>
      <w:r>
        <w:rPr>
          <w:color w:val="231F20"/>
          <w:sz w:val="20"/>
        </w:rPr>
        <w:t>not charged or</w:t>
      </w:r>
      <w:r>
        <w:rPr>
          <w:color w:val="231F20"/>
          <w:spacing w:val="-27"/>
          <w:sz w:val="20"/>
        </w:rPr>
        <w:t xml:space="preserve"> </w:t>
      </w:r>
      <w:r>
        <w:rPr>
          <w:color w:val="231F20"/>
          <w:sz w:val="20"/>
        </w:rPr>
        <w:t>prosecuted.</w:t>
      </w:r>
    </w:p>
    <w:p w14:paraId="4B6535DD" w14:textId="77777777" w:rsidR="00894070" w:rsidRDefault="009B7AFD">
      <w:pPr>
        <w:pStyle w:val="ListParagraph"/>
        <w:numPr>
          <w:ilvl w:val="1"/>
          <w:numId w:val="65"/>
        </w:numPr>
        <w:tabs>
          <w:tab w:val="left" w:pos="1801"/>
          <w:tab w:val="left" w:pos="1802"/>
        </w:tabs>
        <w:spacing w:before="126" w:line="206" w:lineRule="auto"/>
        <w:ind w:right="1298"/>
        <w:rPr>
          <w:sz w:val="20"/>
        </w:rPr>
      </w:pPr>
      <w:r>
        <w:rPr>
          <w:color w:val="231F20"/>
          <w:sz w:val="20"/>
        </w:rPr>
        <w:t xml:space="preserve">Stalking is </w:t>
      </w:r>
      <w:r>
        <w:rPr>
          <w:color w:val="231F20"/>
          <w:spacing w:val="-3"/>
          <w:sz w:val="20"/>
        </w:rPr>
        <w:t xml:space="preserve">‘likely </w:t>
      </w:r>
      <w:r>
        <w:rPr>
          <w:color w:val="231F20"/>
          <w:sz w:val="20"/>
        </w:rPr>
        <w:t xml:space="preserve">to be concealed in the </w:t>
      </w:r>
      <w:r>
        <w:rPr>
          <w:color w:val="231F20"/>
          <w:spacing w:val="-3"/>
          <w:sz w:val="20"/>
        </w:rPr>
        <w:t xml:space="preserve">recording </w:t>
      </w:r>
      <w:r>
        <w:rPr>
          <w:color w:val="231F20"/>
          <w:sz w:val="20"/>
        </w:rPr>
        <w:t xml:space="preserve">of other </w:t>
      </w:r>
      <w:r>
        <w:rPr>
          <w:color w:val="231F20"/>
          <w:spacing w:val="-3"/>
          <w:sz w:val="20"/>
        </w:rPr>
        <w:t>crimes’.</w:t>
      </w:r>
      <w:r>
        <w:rPr>
          <w:color w:val="231F20"/>
          <w:spacing w:val="-3"/>
          <w:position w:val="7"/>
          <w:sz w:val="11"/>
        </w:rPr>
        <w:t xml:space="preserve">80 </w:t>
      </w:r>
      <w:r>
        <w:rPr>
          <w:color w:val="231F20"/>
          <w:sz w:val="20"/>
        </w:rPr>
        <w:t>This has implications</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the</w:t>
      </w:r>
      <w:r>
        <w:rPr>
          <w:color w:val="231F20"/>
          <w:spacing w:val="-8"/>
          <w:sz w:val="20"/>
        </w:rPr>
        <w:t xml:space="preserve"> </w:t>
      </w:r>
      <w:r>
        <w:rPr>
          <w:color w:val="231F20"/>
          <w:spacing w:val="-2"/>
          <w:sz w:val="20"/>
        </w:rPr>
        <w:t>interventions</w:t>
      </w:r>
      <w:r>
        <w:rPr>
          <w:color w:val="231F20"/>
          <w:spacing w:val="-9"/>
          <w:sz w:val="20"/>
        </w:rPr>
        <w:t xml:space="preserve"> </w:t>
      </w:r>
      <w:r>
        <w:rPr>
          <w:color w:val="231F20"/>
          <w:sz w:val="20"/>
        </w:rPr>
        <w:t>available</w:t>
      </w:r>
      <w:r>
        <w:rPr>
          <w:color w:val="231F20"/>
          <w:spacing w:val="-8"/>
          <w:sz w:val="20"/>
        </w:rPr>
        <w:t xml:space="preserve"> </w:t>
      </w:r>
      <w:r>
        <w:rPr>
          <w:color w:val="231F20"/>
          <w:spacing w:val="-3"/>
          <w:sz w:val="20"/>
        </w:rPr>
        <w:t>for</w:t>
      </w:r>
      <w:r>
        <w:rPr>
          <w:color w:val="231F20"/>
          <w:spacing w:val="-9"/>
          <w:sz w:val="20"/>
        </w:rPr>
        <w:t xml:space="preserve"> </w:t>
      </w:r>
      <w:r>
        <w:rPr>
          <w:color w:val="231F20"/>
          <w:sz w:val="20"/>
        </w:rPr>
        <w:t>the</w:t>
      </w:r>
      <w:r>
        <w:rPr>
          <w:color w:val="231F20"/>
          <w:spacing w:val="-8"/>
          <w:sz w:val="20"/>
        </w:rPr>
        <w:t xml:space="preserve"> </w:t>
      </w:r>
      <w:r>
        <w:rPr>
          <w:color w:val="231F20"/>
          <w:sz w:val="20"/>
        </w:rPr>
        <w:t>accused</w:t>
      </w:r>
      <w:r>
        <w:rPr>
          <w:color w:val="231F20"/>
          <w:spacing w:val="-9"/>
          <w:sz w:val="20"/>
        </w:rPr>
        <w:t xml:space="preserve"> </w:t>
      </w:r>
      <w:r>
        <w:rPr>
          <w:color w:val="231F20"/>
          <w:sz w:val="20"/>
        </w:rPr>
        <w:t>(see</w:t>
      </w:r>
      <w:r>
        <w:rPr>
          <w:color w:val="231F20"/>
          <w:spacing w:val="-9"/>
          <w:sz w:val="20"/>
        </w:rPr>
        <w:t xml:space="preserve"> </w:t>
      </w:r>
      <w:r>
        <w:rPr>
          <w:color w:val="231F20"/>
          <w:spacing w:val="-3"/>
          <w:sz w:val="20"/>
        </w:rPr>
        <w:t>Chapter</w:t>
      </w:r>
      <w:r>
        <w:rPr>
          <w:color w:val="231F20"/>
          <w:spacing w:val="-8"/>
          <w:sz w:val="20"/>
        </w:rPr>
        <w:t xml:space="preserve"> </w:t>
      </w:r>
      <w:r>
        <w:rPr>
          <w:color w:val="231F20"/>
          <w:sz w:val="20"/>
        </w:rPr>
        <w:t>8)</w:t>
      </w:r>
      <w:r>
        <w:rPr>
          <w:color w:val="231F20"/>
          <w:spacing w:val="-9"/>
          <w:sz w:val="20"/>
        </w:rPr>
        <w:t xml:space="preserve"> </w:t>
      </w:r>
      <w:r>
        <w:rPr>
          <w:color w:val="231F20"/>
          <w:sz w:val="20"/>
        </w:rPr>
        <w:t>and</w:t>
      </w:r>
      <w:r>
        <w:rPr>
          <w:color w:val="231F20"/>
          <w:spacing w:val="-8"/>
          <w:sz w:val="20"/>
        </w:rPr>
        <w:t xml:space="preserve"> </w:t>
      </w:r>
      <w:r>
        <w:rPr>
          <w:color w:val="231F20"/>
          <w:sz w:val="20"/>
        </w:rPr>
        <w:t xml:space="preserve">judicial decision making—for </w:t>
      </w:r>
      <w:r>
        <w:rPr>
          <w:color w:val="231F20"/>
          <w:spacing w:val="-3"/>
          <w:sz w:val="20"/>
        </w:rPr>
        <w:t xml:space="preserve">example, </w:t>
      </w:r>
      <w:r>
        <w:rPr>
          <w:color w:val="231F20"/>
          <w:sz w:val="20"/>
        </w:rPr>
        <w:t xml:space="preserve">bail decisions </w:t>
      </w:r>
      <w:r>
        <w:rPr>
          <w:color w:val="231F20"/>
          <w:spacing w:val="-3"/>
          <w:sz w:val="20"/>
        </w:rPr>
        <w:t xml:space="preserve">may </w:t>
      </w:r>
      <w:r>
        <w:rPr>
          <w:color w:val="231F20"/>
          <w:sz w:val="20"/>
        </w:rPr>
        <w:t xml:space="preserve">be based on an </w:t>
      </w:r>
      <w:r>
        <w:rPr>
          <w:color w:val="231F20"/>
          <w:spacing w:val="-3"/>
          <w:sz w:val="20"/>
        </w:rPr>
        <w:t xml:space="preserve">incomplete picture </w:t>
      </w:r>
      <w:r>
        <w:rPr>
          <w:color w:val="231F20"/>
          <w:sz w:val="20"/>
        </w:rPr>
        <w:t>of risk.</w:t>
      </w:r>
      <w:r>
        <w:rPr>
          <w:color w:val="231F20"/>
          <w:position w:val="7"/>
          <w:sz w:val="11"/>
        </w:rPr>
        <w:t xml:space="preserve">81 </w:t>
      </w:r>
      <w:r>
        <w:rPr>
          <w:color w:val="231F20"/>
          <w:sz w:val="20"/>
        </w:rPr>
        <w:t xml:space="preserve">It might also distort our understanding of the </w:t>
      </w:r>
      <w:r>
        <w:rPr>
          <w:color w:val="231F20"/>
          <w:spacing w:val="-3"/>
          <w:sz w:val="20"/>
        </w:rPr>
        <w:t xml:space="preserve">levels </w:t>
      </w:r>
      <w:r>
        <w:rPr>
          <w:color w:val="231F20"/>
          <w:sz w:val="20"/>
        </w:rPr>
        <w:t xml:space="preserve">of funding </w:t>
      </w:r>
      <w:r>
        <w:rPr>
          <w:color w:val="231F20"/>
          <w:spacing w:val="-3"/>
          <w:sz w:val="20"/>
        </w:rPr>
        <w:t xml:space="preserve">required for </w:t>
      </w:r>
      <w:r>
        <w:rPr>
          <w:color w:val="231F20"/>
          <w:sz w:val="20"/>
        </w:rPr>
        <w:t xml:space="preserve">stalking-related support services, or see victim survivors of stalking not meeting the eligibility criteria </w:t>
      </w:r>
      <w:r>
        <w:rPr>
          <w:color w:val="231F20"/>
          <w:spacing w:val="-3"/>
          <w:sz w:val="20"/>
        </w:rPr>
        <w:t xml:space="preserve">for </w:t>
      </w:r>
      <w:r>
        <w:rPr>
          <w:color w:val="231F20"/>
          <w:sz w:val="20"/>
        </w:rPr>
        <w:t>such</w:t>
      </w:r>
      <w:r>
        <w:rPr>
          <w:color w:val="231F20"/>
          <w:spacing w:val="-15"/>
          <w:sz w:val="20"/>
        </w:rPr>
        <w:t xml:space="preserve"> </w:t>
      </w:r>
      <w:r>
        <w:rPr>
          <w:color w:val="231F20"/>
          <w:sz w:val="20"/>
        </w:rPr>
        <w:t>supports.</w:t>
      </w:r>
    </w:p>
    <w:p w14:paraId="04D02C9D" w14:textId="77777777" w:rsidR="00894070" w:rsidRDefault="009B7AFD">
      <w:pPr>
        <w:pStyle w:val="ListParagraph"/>
        <w:numPr>
          <w:ilvl w:val="1"/>
          <w:numId w:val="65"/>
        </w:numPr>
        <w:tabs>
          <w:tab w:val="left" w:pos="1801"/>
          <w:tab w:val="left" w:pos="1802"/>
        </w:tabs>
        <w:spacing w:before="128" w:line="206" w:lineRule="auto"/>
        <w:ind w:right="1165"/>
        <w:rPr>
          <w:sz w:val="11"/>
        </w:rPr>
      </w:pPr>
      <w:r>
        <w:rPr>
          <w:color w:val="231F20"/>
          <w:sz w:val="20"/>
        </w:rPr>
        <w:t>As the Sentencing Advisory Council explained, this approach compromises the accuracy</w:t>
      </w:r>
      <w:r>
        <w:rPr>
          <w:color w:val="231F20"/>
          <w:spacing w:val="-9"/>
          <w:sz w:val="20"/>
        </w:rPr>
        <w:t xml:space="preserve"> </w:t>
      </w:r>
      <w:r>
        <w:rPr>
          <w:color w:val="231F20"/>
          <w:sz w:val="20"/>
        </w:rPr>
        <w:t>of</w:t>
      </w:r>
      <w:r>
        <w:rPr>
          <w:color w:val="231F20"/>
          <w:spacing w:val="-8"/>
          <w:sz w:val="20"/>
        </w:rPr>
        <w:t xml:space="preserve"> </w:t>
      </w:r>
      <w:r>
        <w:rPr>
          <w:color w:val="231F20"/>
          <w:sz w:val="20"/>
        </w:rPr>
        <w:t>criminal</w:t>
      </w:r>
      <w:r>
        <w:rPr>
          <w:color w:val="231F20"/>
          <w:spacing w:val="-8"/>
          <w:sz w:val="20"/>
        </w:rPr>
        <w:t xml:space="preserve"> </w:t>
      </w:r>
      <w:r>
        <w:rPr>
          <w:color w:val="231F20"/>
          <w:sz w:val="20"/>
        </w:rPr>
        <w:t>justice</w:t>
      </w:r>
      <w:r>
        <w:rPr>
          <w:color w:val="231F20"/>
          <w:spacing w:val="-8"/>
          <w:sz w:val="20"/>
        </w:rPr>
        <w:t xml:space="preserve"> </w:t>
      </w:r>
      <w:r>
        <w:rPr>
          <w:color w:val="231F20"/>
          <w:sz w:val="20"/>
        </w:rPr>
        <w:t>statistics</w:t>
      </w:r>
      <w:r>
        <w:rPr>
          <w:color w:val="231F20"/>
          <w:spacing w:val="-8"/>
          <w:sz w:val="20"/>
        </w:rPr>
        <w:t xml:space="preserve"> </w:t>
      </w:r>
      <w:r>
        <w:rPr>
          <w:color w:val="231F20"/>
          <w:sz w:val="20"/>
        </w:rPr>
        <w:t>in</w:t>
      </w:r>
      <w:r>
        <w:rPr>
          <w:color w:val="231F20"/>
          <w:spacing w:val="-9"/>
          <w:sz w:val="20"/>
        </w:rPr>
        <w:t xml:space="preserve"> </w:t>
      </w:r>
      <w:r>
        <w:rPr>
          <w:color w:val="231F20"/>
          <w:spacing w:val="-3"/>
          <w:sz w:val="20"/>
        </w:rPr>
        <w:t>‘presenting</w:t>
      </w:r>
      <w:r>
        <w:rPr>
          <w:color w:val="231F20"/>
          <w:spacing w:val="-8"/>
          <w:sz w:val="20"/>
        </w:rPr>
        <w:t xml:space="preserve"> </w:t>
      </w:r>
      <w:r>
        <w:rPr>
          <w:color w:val="231F20"/>
          <w:sz w:val="20"/>
        </w:rPr>
        <w:t>a</w:t>
      </w:r>
      <w:r>
        <w:rPr>
          <w:color w:val="231F20"/>
          <w:spacing w:val="-8"/>
          <w:sz w:val="20"/>
        </w:rPr>
        <w:t xml:space="preserve"> </w:t>
      </w:r>
      <w:r>
        <w:rPr>
          <w:color w:val="231F20"/>
          <w:sz w:val="20"/>
        </w:rPr>
        <w:t>reliable</w:t>
      </w:r>
      <w:r>
        <w:rPr>
          <w:color w:val="231F20"/>
          <w:spacing w:val="-8"/>
          <w:sz w:val="20"/>
        </w:rPr>
        <w:t xml:space="preserve"> </w:t>
      </w:r>
      <w:r>
        <w:rPr>
          <w:color w:val="231F20"/>
          <w:spacing w:val="-3"/>
          <w:sz w:val="20"/>
        </w:rPr>
        <w:t>estimate</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8"/>
          <w:sz w:val="20"/>
        </w:rPr>
        <w:t xml:space="preserve"> </w:t>
      </w:r>
      <w:r>
        <w:rPr>
          <w:color w:val="231F20"/>
          <w:spacing w:val="-3"/>
          <w:sz w:val="20"/>
        </w:rPr>
        <w:t xml:space="preserve">prevalence </w:t>
      </w:r>
      <w:r>
        <w:rPr>
          <w:color w:val="231F20"/>
          <w:sz w:val="20"/>
        </w:rPr>
        <w:t xml:space="preserve">of stalking in </w:t>
      </w:r>
      <w:r>
        <w:rPr>
          <w:color w:val="231F20"/>
          <w:spacing w:val="-3"/>
          <w:sz w:val="20"/>
        </w:rPr>
        <w:t xml:space="preserve">Victoria’s </w:t>
      </w:r>
      <w:r>
        <w:rPr>
          <w:color w:val="231F20"/>
          <w:sz w:val="20"/>
        </w:rPr>
        <w:t>criminal justice</w:t>
      </w:r>
      <w:r>
        <w:rPr>
          <w:color w:val="231F20"/>
          <w:spacing w:val="-23"/>
          <w:sz w:val="20"/>
        </w:rPr>
        <w:t xml:space="preserve"> </w:t>
      </w:r>
      <w:r>
        <w:rPr>
          <w:color w:val="231F20"/>
          <w:spacing w:val="-3"/>
          <w:sz w:val="20"/>
        </w:rPr>
        <w:t>system’.</w:t>
      </w:r>
      <w:r>
        <w:rPr>
          <w:color w:val="231F20"/>
          <w:spacing w:val="-3"/>
          <w:position w:val="7"/>
          <w:sz w:val="11"/>
        </w:rPr>
        <w:t>82</w:t>
      </w:r>
    </w:p>
    <w:p w14:paraId="414C47E5" w14:textId="77777777" w:rsidR="00894070" w:rsidRDefault="009B7AFD">
      <w:pPr>
        <w:pStyle w:val="ListParagraph"/>
        <w:numPr>
          <w:ilvl w:val="1"/>
          <w:numId w:val="65"/>
        </w:numPr>
        <w:tabs>
          <w:tab w:val="left" w:pos="1801"/>
          <w:tab w:val="left" w:pos="1802"/>
        </w:tabs>
        <w:spacing w:before="123" w:line="206" w:lineRule="auto"/>
        <w:ind w:right="1193"/>
        <w:rPr>
          <w:sz w:val="20"/>
        </w:rPr>
      </w:pPr>
      <w:r>
        <w:rPr>
          <w:color w:val="231F20"/>
          <w:spacing w:val="-4"/>
          <w:sz w:val="20"/>
        </w:rPr>
        <w:t xml:space="preserve">Finally, </w:t>
      </w:r>
      <w:r>
        <w:rPr>
          <w:color w:val="231F20"/>
          <w:sz w:val="20"/>
        </w:rPr>
        <w:t xml:space="preserve">not using the stalking offence could lead to </w:t>
      </w:r>
      <w:r>
        <w:rPr>
          <w:color w:val="231F20"/>
          <w:spacing w:val="-3"/>
          <w:sz w:val="20"/>
        </w:rPr>
        <w:t xml:space="preserve">failure </w:t>
      </w:r>
      <w:r>
        <w:rPr>
          <w:color w:val="231F20"/>
          <w:sz w:val="20"/>
        </w:rPr>
        <w:t xml:space="preserve">to recognise and </w:t>
      </w:r>
      <w:r>
        <w:rPr>
          <w:color w:val="231F20"/>
          <w:spacing w:val="-3"/>
          <w:sz w:val="20"/>
        </w:rPr>
        <w:t xml:space="preserve">prosecute </w:t>
      </w:r>
      <w:r>
        <w:rPr>
          <w:color w:val="231F20"/>
          <w:sz w:val="20"/>
        </w:rPr>
        <w:t>this</w:t>
      </w:r>
      <w:r>
        <w:rPr>
          <w:color w:val="231F20"/>
          <w:spacing w:val="-9"/>
          <w:sz w:val="20"/>
        </w:rPr>
        <w:t xml:space="preserve"> </w:t>
      </w:r>
      <w:r>
        <w:rPr>
          <w:color w:val="231F20"/>
          <w:sz w:val="20"/>
        </w:rPr>
        <w:t>harm.</w:t>
      </w:r>
      <w:r>
        <w:rPr>
          <w:color w:val="231F20"/>
          <w:spacing w:val="-9"/>
          <w:sz w:val="20"/>
        </w:rPr>
        <w:t xml:space="preserve"> </w:t>
      </w:r>
      <w:r>
        <w:rPr>
          <w:color w:val="231F20"/>
          <w:sz w:val="20"/>
        </w:rPr>
        <w:t>It</w:t>
      </w:r>
      <w:r>
        <w:rPr>
          <w:color w:val="231F20"/>
          <w:spacing w:val="-8"/>
          <w:sz w:val="20"/>
        </w:rPr>
        <w:t xml:space="preserve"> </w:t>
      </w:r>
      <w:r>
        <w:rPr>
          <w:color w:val="231F20"/>
          <w:sz w:val="20"/>
        </w:rPr>
        <w:t>is</w:t>
      </w:r>
      <w:r>
        <w:rPr>
          <w:color w:val="231F20"/>
          <w:spacing w:val="-9"/>
          <w:sz w:val="20"/>
        </w:rPr>
        <w:t xml:space="preserve"> </w:t>
      </w:r>
      <w:r>
        <w:rPr>
          <w:color w:val="231F20"/>
          <w:sz w:val="20"/>
        </w:rPr>
        <w:t>important</w:t>
      </w:r>
      <w:r>
        <w:rPr>
          <w:color w:val="231F20"/>
          <w:spacing w:val="-9"/>
          <w:sz w:val="20"/>
        </w:rPr>
        <w:t xml:space="preserve"> </w:t>
      </w:r>
      <w:r>
        <w:rPr>
          <w:color w:val="231F20"/>
          <w:sz w:val="20"/>
        </w:rPr>
        <w:t>that</w:t>
      </w:r>
      <w:r>
        <w:rPr>
          <w:color w:val="231F20"/>
          <w:spacing w:val="-8"/>
          <w:sz w:val="20"/>
        </w:rPr>
        <w:t xml:space="preserve"> </w:t>
      </w:r>
      <w:r>
        <w:rPr>
          <w:color w:val="231F20"/>
          <w:sz w:val="20"/>
        </w:rPr>
        <w:t>the</w:t>
      </w:r>
      <w:r>
        <w:rPr>
          <w:color w:val="231F20"/>
          <w:spacing w:val="-9"/>
          <w:sz w:val="20"/>
        </w:rPr>
        <w:t xml:space="preserve"> </w:t>
      </w:r>
      <w:r>
        <w:rPr>
          <w:color w:val="231F20"/>
          <w:sz w:val="20"/>
        </w:rPr>
        <w:t>criminal</w:t>
      </w:r>
      <w:r>
        <w:rPr>
          <w:color w:val="231F20"/>
          <w:spacing w:val="-9"/>
          <w:sz w:val="20"/>
        </w:rPr>
        <w:t xml:space="preserve"> </w:t>
      </w:r>
      <w:r>
        <w:rPr>
          <w:color w:val="231F20"/>
          <w:sz w:val="20"/>
        </w:rPr>
        <w:t>law</w:t>
      </w:r>
      <w:r>
        <w:rPr>
          <w:color w:val="231F20"/>
          <w:spacing w:val="-8"/>
          <w:sz w:val="20"/>
        </w:rPr>
        <w:t xml:space="preserve"> </w:t>
      </w:r>
      <w:r>
        <w:rPr>
          <w:color w:val="231F20"/>
          <w:sz w:val="20"/>
        </w:rPr>
        <w:t>perform</w:t>
      </w:r>
      <w:r>
        <w:rPr>
          <w:color w:val="231F20"/>
          <w:spacing w:val="-9"/>
          <w:sz w:val="20"/>
        </w:rPr>
        <w:t xml:space="preserve"> </w:t>
      </w:r>
      <w:r>
        <w:rPr>
          <w:color w:val="231F20"/>
          <w:sz w:val="20"/>
        </w:rPr>
        <w:t>its</w:t>
      </w:r>
      <w:r>
        <w:rPr>
          <w:color w:val="231F20"/>
          <w:spacing w:val="-9"/>
          <w:sz w:val="20"/>
        </w:rPr>
        <w:t xml:space="preserve"> </w:t>
      </w:r>
      <w:r>
        <w:rPr>
          <w:color w:val="231F20"/>
          <w:sz w:val="20"/>
        </w:rPr>
        <w:t>‘base</w:t>
      </w:r>
      <w:r>
        <w:rPr>
          <w:color w:val="231F20"/>
          <w:spacing w:val="-8"/>
          <w:sz w:val="20"/>
        </w:rPr>
        <w:t xml:space="preserve"> </w:t>
      </w:r>
      <w:r>
        <w:rPr>
          <w:color w:val="231F20"/>
          <w:spacing w:val="-3"/>
          <w:sz w:val="20"/>
        </w:rPr>
        <w:t>functions’,</w:t>
      </w:r>
      <w:r>
        <w:rPr>
          <w:color w:val="231F20"/>
          <w:spacing w:val="-9"/>
          <w:sz w:val="20"/>
        </w:rPr>
        <w:t xml:space="preserve"> </w:t>
      </w:r>
      <w:r>
        <w:rPr>
          <w:color w:val="231F20"/>
          <w:sz w:val="20"/>
        </w:rPr>
        <w:t>which</w:t>
      </w:r>
      <w:r>
        <w:rPr>
          <w:color w:val="231F20"/>
          <w:spacing w:val="-9"/>
          <w:sz w:val="20"/>
        </w:rPr>
        <w:t xml:space="preserve"> </w:t>
      </w:r>
      <w:r>
        <w:rPr>
          <w:color w:val="231F20"/>
          <w:sz w:val="20"/>
        </w:rPr>
        <w:t>include deterring</w:t>
      </w:r>
      <w:r>
        <w:rPr>
          <w:color w:val="231F20"/>
          <w:spacing w:val="-10"/>
          <w:sz w:val="20"/>
        </w:rPr>
        <w:t xml:space="preserve"> </w:t>
      </w:r>
      <w:r>
        <w:rPr>
          <w:color w:val="231F20"/>
          <w:sz w:val="20"/>
        </w:rPr>
        <w:t>crime,</w:t>
      </w:r>
      <w:r>
        <w:rPr>
          <w:color w:val="231F20"/>
          <w:spacing w:val="-10"/>
          <w:sz w:val="20"/>
        </w:rPr>
        <w:t xml:space="preserve"> </w:t>
      </w:r>
      <w:r>
        <w:rPr>
          <w:color w:val="231F20"/>
          <w:sz w:val="20"/>
        </w:rPr>
        <w:t>denouncing</w:t>
      </w:r>
      <w:r>
        <w:rPr>
          <w:color w:val="231F20"/>
          <w:spacing w:val="-10"/>
          <w:sz w:val="20"/>
        </w:rPr>
        <w:t xml:space="preserve"> </w:t>
      </w:r>
      <w:r>
        <w:rPr>
          <w:color w:val="231F20"/>
          <w:sz w:val="20"/>
        </w:rPr>
        <w:t>the</w:t>
      </w:r>
      <w:r>
        <w:rPr>
          <w:color w:val="231F20"/>
          <w:spacing w:val="-9"/>
          <w:sz w:val="20"/>
        </w:rPr>
        <w:t xml:space="preserve"> </w:t>
      </w:r>
      <w:proofErr w:type="gramStart"/>
      <w:r>
        <w:rPr>
          <w:color w:val="231F20"/>
          <w:sz w:val="20"/>
        </w:rPr>
        <w:t>harm</w:t>
      </w:r>
      <w:proofErr w:type="gramEnd"/>
      <w:r>
        <w:rPr>
          <w:color w:val="231F20"/>
          <w:spacing w:val="-10"/>
          <w:sz w:val="20"/>
        </w:rPr>
        <w:t xml:space="preserve"> </w:t>
      </w:r>
      <w:r>
        <w:rPr>
          <w:color w:val="231F20"/>
          <w:sz w:val="20"/>
        </w:rPr>
        <w:t>and</w:t>
      </w:r>
      <w:r>
        <w:rPr>
          <w:color w:val="231F20"/>
          <w:spacing w:val="-10"/>
          <w:sz w:val="20"/>
        </w:rPr>
        <w:t xml:space="preserve"> </w:t>
      </w:r>
      <w:r>
        <w:rPr>
          <w:color w:val="231F20"/>
          <w:spacing w:val="-3"/>
          <w:sz w:val="20"/>
        </w:rPr>
        <w:t>protecting</w:t>
      </w:r>
      <w:r>
        <w:rPr>
          <w:color w:val="231F20"/>
          <w:spacing w:val="-10"/>
          <w:sz w:val="20"/>
        </w:rPr>
        <w:t xml:space="preserve"> </w:t>
      </w:r>
      <w:r>
        <w:rPr>
          <w:color w:val="231F20"/>
          <w:sz w:val="20"/>
        </w:rPr>
        <w:t>the</w:t>
      </w:r>
      <w:r>
        <w:rPr>
          <w:color w:val="231F20"/>
          <w:spacing w:val="-9"/>
          <w:sz w:val="20"/>
        </w:rPr>
        <w:t xml:space="preserve"> </w:t>
      </w:r>
      <w:r>
        <w:rPr>
          <w:color w:val="231F20"/>
          <w:sz w:val="20"/>
        </w:rPr>
        <w:t>community.</w:t>
      </w:r>
      <w:r>
        <w:rPr>
          <w:color w:val="231F20"/>
          <w:position w:val="7"/>
          <w:sz w:val="11"/>
        </w:rPr>
        <w:t>83</w:t>
      </w:r>
      <w:r>
        <w:rPr>
          <w:color w:val="231F20"/>
          <w:spacing w:val="14"/>
          <w:position w:val="7"/>
          <w:sz w:val="11"/>
        </w:rPr>
        <w:t xml:space="preserve"> </w:t>
      </w:r>
      <w:r>
        <w:rPr>
          <w:color w:val="231F20"/>
          <w:spacing w:val="-3"/>
          <w:sz w:val="20"/>
        </w:rPr>
        <w:t>For</w:t>
      </w:r>
      <w:r>
        <w:rPr>
          <w:color w:val="231F20"/>
          <w:spacing w:val="-10"/>
          <w:sz w:val="20"/>
        </w:rPr>
        <w:t xml:space="preserve"> </w:t>
      </w:r>
      <w:r>
        <w:rPr>
          <w:color w:val="231F20"/>
          <w:sz w:val="20"/>
        </w:rPr>
        <w:t>the</w:t>
      </w:r>
      <w:r>
        <w:rPr>
          <w:color w:val="231F20"/>
          <w:spacing w:val="-9"/>
          <w:sz w:val="20"/>
        </w:rPr>
        <w:t xml:space="preserve"> </w:t>
      </w:r>
      <w:r>
        <w:rPr>
          <w:color w:val="231F20"/>
          <w:sz w:val="20"/>
        </w:rPr>
        <w:t>criminal law</w:t>
      </w:r>
      <w:r>
        <w:rPr>
          <w:color w:val="231F20"/>
          <w:spacing w:val="-5"/>
          <w:sz w:val="20"/>
        </w:rPr>
        <w:t xml:space="preserve"> </w:t>
      </w:r>
      <w:r>
        <w:rPr>
          <w:color w:val="231F20"/>
          <w:sz w:val="20"/>
        </w:rPr>
        <w:t>to</w:t>
      </w:r>
      <w:r>
        <w:rPr>
          <w:color w:val="231F20"/>
          <w:spacing w:val="-4"/>
          <w:sz w:val="20"/>
        </w:rPr>
        <w:t xml:space="preserve"> </w:t>
      </w:r>
      <w:r>
        <w:rPr>
          <w:color w:val="231F20"/>
          <w:sz w:val="20"/>
        </w:rPr>
        <w:t>succeed</w:t>
      </w:r>
      <w:r>
        <w:rPr>
          <w:color w:val="231F20"/>
          <w:spacing w:val="-5"/>
          <w:sz w:val="20"/>
        </w:rPr>
        <w:t xml:space="preserve"> </w:t>
      </w:r>
      <w:r>
        <w:rPr>
          <w:color w:val="231F20"/>
          <w:sz w:val="20"/>
        </w:rPr>
        <w:t>in</w:t>
      </w:r>
      <w:r>
        <w:rPr>
          <w:color w:val="231F20"/>
          <w:spacing w:val="-4"/>
          <w:sz w:val="20"/>
        </w:rPr>
        <w:t xml:space="preserve"> </w:t>
      </w:r>
      <w:r>
        <w:rPr>
          <w:color w:val="231F20"/>
          <w:sz w:val="20"/>
        </w:rPr>
        <w:t>this,</w:t>
      </w:r>
      <w:r>
        <w:rPr>
          <w:color w:val="231F20"/>
          <w:spacing w:val="-5"/>
          <w:sz w:val="20"/>
        </w:rPr>
        <w:t xml:space="preserve"> </w:t>
      </w:r>
      <w:r>
        <w:rPr>
          <w:color w:val="231F20"/>
          <w:sz w:val="20"/>
        </w:rPr>
        <w:t>it</w:t>
      </w:r>
      <w:r>
        <w:rPr>
          <w:color w:val="231F20"/>
          <w:spacing w:val="-4"/>
          <w:sz w:val="20"/>
        </w:rPr>
        <w:t xml:space="preserve"> </w:t>
      </w:r>
      <w:r>
        <w:rPr>
          <w:color w:val="231F20"/>
          <w:sz w:val="20"/>
        </w:rPr>
        <w:t>needs</w:t>
      </w:r>
      <w:r>
        <w:rPr>
          <w:color w:val="231F20"/>
          <w:spacing w:val="-5"/>
          <w:sz w:val="20"/>
        </w:rPr>
        <w:t xml:space="preserve"> </w:t>
      </w:r>
      <w:r>
        <w:rPr>
          <w:color w:val="231F20"/>
          <w:sz w:val="20"/>
        </w:rPr>
        <w:t>to</w:t>
      </w:r>
      <w:r>
        <w:rPr>
          <w:color w:val="231F20"/>
          <w:spacing w:val="-4"/>
          <w:sz w:val="20"/>
        </w:rPr>
        <w:t xml:space="preserve"> </w:t>
      </w:r>
      <w:r>
        <w:rPr>
          <w:color w:val="231F20"/>
          <w:sz w:val="20"/>
        </w:rPr>
        <w:t>be</w:t>
      </w:r>
      <w:r>
        <w:rPr>
          <w:color w:val="231F20"/>
          <w:spacing w:val="-5"/>
          <w:sz w:val="20"/>
        </w:rPr>
        <w:t xml:space="preserve"> </w:t>
      </w:r>
      <w:r>
        <w:rPr>
          <w:color w:val="231F20"/>
          <w:sz w:val="20"/>
        </w:rPr>
        <w:t>applied</w:t>
      </w:r>
      <w:r>
        <w:rPr>
          <w:color w:val="231F20"/>
          <w:spacing w:val="-4"/>
          <w:sz w:val="20"/>
        </w:rPr>
        <w:t xml:space="preserve"> </w:t>
      </w:r>
      <w:r>
        <w:rPr>
          <w:color w:val="231F20"/>
          <w:spacing w:val="-3"/>
          <w:sz w:val="20"/>
        </w:rPr>
        <w:t>predictably.</w:t>
      </w:r>
    </w:p>
    <w:p w14:paraId="266EF343" w14:textId="77777777" w:rsidR="00894070" w:rsidRDefault="00894070">
      <w:pPr>
        <w:pStyle w:val="BodyText"/>
      </w:pPr>
    </w:p>
    <w:p w14:paraId="0977075E" w14:textId="77777777" w:rsidR="00894070" w:rsidRDefault="00894070">
      <w:pPr>
        <w:pStyle w:val="BodyText"/>
      </w:pPr>
    </w:p>
    <w:p w14:paraId="36625334" w14:textId="77777777" w:rsidR="00894070" w:rsidRDefault="009F6793">
      <w:pPr>
        <w:pStyle w:val="BodyText"/>
        <w:spacing w:before="6"/>
        <w:rPr>
          <w:sz w:val="21"/>
        </w:rPr>
      </w:pPr>
      <w:r>
        <w:pict w14:anchorId="219270DD">
          <v:line id="_x0000_s1207" style="position:absolute;z-index:251731968;mso-wrap-distance-left:0;mso-wrap-distance-right:0;mso-position-horizontal-relative:page" from="79.35pt,17.35pt" to="515.9pt,17.35pt" strokecolor="#f8cabc" strokeweight="1pt">
            <w10:wrap type="topAndBottom" anchorx="page"/>
          </v:line>
        </w:pict>
      </w:r>
    </w:p>
    <w:p w14:paraId="751EB240" w14:textId="77777777" w:rsidR="00894070" w:rsidRDefault="00894070">
      <w:pPr>
        <w:pStyle w:val="BodyText"/>
        <w:rPr>
          <w:sz w:val="5"/>
        </w:rPr>
      </w:pPr>
    </w:p>
    <w:p w14:paraId="35A94294" w14:textId="77777777" w:rsidR="00894070" w:rsidRDefault="00894070">
      <w:pPr>
        <w:rPr>
          <w:sz w:val="5"/>
        </w:rPr>
        <w:sectPr w:rsidR="00894070">
          <w:pgSz w:w="11910" w:h="16840"/>
          <w:pgMar w:top="860" w:right="420" w:bottom="280" w:left="580" w:header="567" w:footer="0" w:gutter="0"/>
          <w:cols w:space="720"/>
        </w:sectPr>
      </w:pPr>
    </w:p>
    <w:p w14:paraId="396BEF06" w14:textId="77777777" w:rsidR="00894070" w:rsidRDefault="00894070">
      <w:pPr>
        <w:pStyle w:val="BodyText"/>
        <w:rPr>
          <w:sz w:val="28"/>
        </w:rPr>
      </w:pPr>
    </w:p>
    <w:p w14:paraId="7CBD890D" w14:textId="77777777" w:rsidR="00894070" w:rsidRDefault="00894070">
      <w:pPr>
        <w:pStyle w:val="BodyText"/>
        <w:rPr>
          <w:sz w:val="28"/>
        </w:rPr>
      </w:pPr>
    </w:p>
    <w:p w14:paraId="0E3FA9B1" w14:textId="77777777" w:rsidR="00894070" w:rsidRDefault="00894070">
      <w:pPr>
        <w:pStyle w:val="BodyText"/>
        <w:rPr>
          <w:sz w:val="28"/>
        </w:rPr>
      </w:pPr>
    </w:p>
    <w:p w14:paraId="3B5DA96B" w14:textId="77777777" w:rsidR="00894070" w:rsidRDefault="00894070">
      <w:pPr>
        <w:pStyle w:val="BodyText"/>
        <w:rPr>
          <w:sz w:val="28"/>
        </w:rPr>
      </w:pPr>
    </w:p>
    <w:p w14:paraId="1339379B" w14:textId="77777777" w:rsidR="00894070" w:rsidRDefault="00894070">
      <w:pPr>
        <w:pStyle w:val="BodyText"/>
        <w:rPr>
          <w:sz w:val="28"/>
        </w:rPr>
      </w:pPr>
    </w:p>
    <w:p w14:paraId="1516DE99" w14:textId="77777777" w:rsidR="00894070" w:rsidRDefault="00894070">
      <w:pPr>
        <w:pStyle w:val="BodyText"/>
        <w:spacing w:before="4"/>
        <w:rPr>
          <w:sz w:val="25"/>
        </w:rPr>
      </w:pPr>
    </w:p>
    <w:p w14:paraId="29664A48" w14:textId="77777777" w:rsidR="00894070" w:rsidRDefault="009B7AFD">
      <w:pPr>
        <w:pStyle w:val="Heading8"/>
        <w:ind w:left="140"/>
      </w:pPr>
      <w:r>
        <w:rPr>
          <w:color w:val="EA5B50"/>
        </w:rPr>
        <w:t>142</w:t>
      </w:r>
    </w:p>
    <w:p w14:paraId="543C768F" w14:textId="77777777" w:rsidR="00894070" w:rsidRDefault="009B7AFD">
      <w:pPr>
        <w:pStyle w:val="ListParagraph"/>
        <w:numPr>
          <w:ilvl w:val="0"/>
          <w:numId w:val="55"/>
        </w:numPr>
        <w:tabs>
          <w:tab w:val="left" w:pos="933"/>
          <w:tab w:val="left" w:pos="934"/>
        </w:tabs>
        <w:spacing w:before="21" w:line="170" w:lineRule="exact"/>
        <w:ind w:left="933" w:hanging="793"/>
        <w:jc w:val="left"/>
        <w:rPr>
          <w:sz w:val="13"/>
        </w:rPr>
      </w:pPr>
      <w:r>
        <w:rPr>
          <w:color w:val="231F20"/>
          <w:spacing w:val="3"/>
          <w:sz w:val="13"/>
        </w:rPr>
        <w:br w:type="column"/>
      </w:r>
      <w:r>
        <w:rPr>
          <w:color w:val="231F20"/>
          <w:spacing w:val="2"/>
          <w:sz w:val="13"/>
        </w:rPr>
        <w:t xml:space="preserve">Submission 115 </w:t>
      </w:r>
      <w:r>
        <w:rPr>
          <w:color w:val="231F20"/>
          <w:sz w:val="13"/>
        </w:rPr>
        <w:t>(Victoria</w:t>
      </w:r>
      <w:r>
        <w:rPr>
          <w:color w:val="231F20"/>
          <w:spacing w:val="-5"/>
          <w:sz w:val="13"/>
        </w:rPr>
        <w:t xml:space="preserve"> </w:t>
      </w:r>
      <w:r>
        <w:rPr>
          <w:color w:val="231F20"/>
          <w:sz w:val="13"/>
        </w:rPr>
        <w:t>Police).</w:t>
      </w:r>
    </w:p>
    <w:p w14:paraId="2E9D33F3" w14:textId="77777777" w:rsidR="00894070" w:rsidRDefault="009B7AFD">
      <w:pPr>
        <w:pStyle w:val="ListParagraph"/>
        <w:numPr>
          <w:ilvl w:val="0"/>
          <w:numId w:val="55"/>
        </w:numPr>
        <w:tabs>
          <w:tab w:val="left" w:pos="933"/>
          <w:tab w:val="left" w:pos="934"/>
        </w:tabs>
        <w:spacing w:before="7" w:line="213" w:lineRule="auto"/>
        <w:ind w:left="933" w:right="1385" w:hanging="793"/>
        <w:jc w:val="left"/>
        <w:rPr>
          <w:sz w:val="13"/>
        </w:rPr>
      </w:pPr>
      <w:r>
        <w:rPr>
          <w:color w:val="231F20"/>
          <w:sz w:val="13"/>
        </w:rPr>
        <w:t xml:space="preserve">Consultations 18 (County </w:t>
      </w:r>
      <w:r>
        <w:rPr>
          <w:color w:val="231F20"/>
          <w:spacing w:val="2"/>
          <w:sz w:val="13"/>
        </w:rPr>
        <w:t xml:space="preserve">Court </w:t>
      </w:r>
      <w:r>
        <w:rPr>
          <w:color w:val="231F20"/>
          <w:sz w:val="13"/>
        </w:rPr>
        <w:t xml:space="preserve">of Victoria), 28 (Victorian Pride Lobby); Leana A Bouffard et </w:t>
      </w:r>
      <w:r>
        <w:rPr>
          <w:color w:val="231F20"/>
          <w:spacing w:val="2"/>
          <w:sz w:val="13"/>
        </w:rPr>
        <w:t xml:space="preserve">al, </w:t>
      </w:r>
      <w:r>
        <w:rPr>
          <w:color w:val="231F20"/>
          <w:sz w:val="13"/>
        </w:rPr>
        <w:t xml:space="preserve">‘Still in the Shadows: The Unresponsiveness of Stalking Prosecution Rates to Increased Legislative Attention’ (2021) 73 </w:t>
      </w:r>
      <w:r>
        <w:rPr>
          <w:i/>
          <w:color w:val="231F20"/>
          <w:sz w:val="13"/>
        </w:rPr>
        <w:t xml:space="preserve">Journal of Criminal Justice </w:t>
      </w:r>
      <w:r>
        <w:rPr>
          <w:color w:val="231F20"/>
          <w:sz w:val="13"/>
        </w:rPr>
        <w:t xml:space="preserve">101794:1–10, 2; Sentencing Advisory Council (Vic), </w:t>
      </w:r>
      <w:r>
        <w:rPr>
          <w:i/>
          <w:color w:val="231F20"/>
          <w:sz w:val="13"/>
        </w:rPr>
        <w:t xml:space="preserve">Sentencing Stalking in Victoria </w:t>
      </w:r>
      <w:r>
        <w:rPr>
          <w:color w:val="231F20"/>
          <w:spacing w:val="2"/>
          <w:sz w:val="13"/>
        </w:rPr>
        <w:t xml:space="preserve">(Report, </w:t>
      </w:r>
      <w:r>
        <w:rPr>
          <w:color w:val="231F20"/>
          <w:sz w:val="13"/>
        </w:rPr>
        <w:t xml:space="preserve">March 2022) xiii; Michelle </w:t>
      </w:r>
      <w:r>
        <w:rPr>
          <w:color w:val="231F20"/>
          <w:spacing w:val="2"/>
          <w:sz w:val="13"/>
        </w:rPr>
        <w:t xml:space="preserve">Sibenik, </w:t>
      </w:r>
      <w:r>
        <w:rPr>
          <w:color w:val="231F20"/>
          <w:spacing w:val="-4"/>
          <w:sz w:val="13"/>
        </w:rPr>
        <w:t xml:space="preserve">‘A </w:t>
      </w:r>
      <w:r>
        <w:rPr>
          <w:color w:val="231F20"/>
          <w:sz w:val="13"/>
        </w:rPr>
        <w:t>Critical</w:t>
      </w:r>
      <w:r>
        <w:rPr>
          <w:color w:val="231F20"/>
          <w:spacing w:val="9"/>
          <w:sz w:val="13"/>
        </w:rPr>
        <w:t xml:space="preserve"> </w:t>
      </w:r>
      <w:r>
        <w:rPr>
          <w:color w:val="231F20"/>
          <w:sz w:val="13"/>
        </w:rPr>
        <w:t>Analysis</w:t>
      </w:r>
      <w:r>
        <w:rPr>
          <w:color w:val="231F20"/>
          <w:spacing w:val="9"/>
          <w:sz w:val="13"/>
        </w:rPr>
        <w:t xml:space="preserve"> </w:t>
      </w:r>
      <w:r>
        <w:rPr>
          <w:color w:val="231F20"/>
          <w:sz w:val="13"/>
        </w:rPr>
        <w:t>of</w:t>
      </w:r>
      <w:r>
        <w:rPr>
          <w:color w:val="231F20"/>
          <w:spacing w:val="9"/>
          <w:sz w:val="13"/>
        </w:rPr>
        <w:t xml:space="preserve"> </w:t>
      </w:r>
      <w:r>
        <w:rPr>
          <w:color w:val="231F20"/>
          <w:sz w:val="13"/>
        </w:rPr>
        <w:t>the</w:t>
      </w:r>
      <w:r>
        <w:rPr>
          <w:color w:val="231F20"/>
          <w:spacing w:val="9"/>
          <w:sz w:val="13"/>
        </w:rPr>
        <w:t xml:space="preserve"> </w:t>
      </w:r>
      <w:r>
        <w:rPr>
          <w:color w:val="231F20"/>
          <w:spacing w:val="2"/>
          <w:sz w:val="13"/>
        </w:rPr>
        <w:t>Applications</w:t>
      </w:r>
      <w:r>
        <w:rPr>
          <w:color w:val="231F20"/>
          <w:spacing w:val="9"/>
          <w:sz w:val="13"/>
        </w:rPr>
        <w:t xml:space="preserve"> </w:t>
      </w:r>
      <w:r>
        <w:rPr>
          <w:color w:val="231F20"/>
          <w:sz w:val="13"/>
        </w:rPr>
        <w:t>of</w:t>
      </w:r>
      <w:r>
        <w:rPr>
          <w:color w:val="231F20"/>
          <w:spacing w:val="9"/>
          <w:sz w:val="13"/>
        </w:rPr>
        <w:t xml:space="preserve"> </w:t>
      </w:r>
      <w:r>
        <w:rPr>
          <w:color w:val="231F20"/>
          <w:sz w:val="13"/>
        </w:rPr>
        <w:t>Anti-Stalking</w:t>
      </w:r>
      <w:r>
        <w:rPr>
          <w:color w:val="231F20"/>
          <w:spacing w:val="10"/>
          <w:sz w:val="13"/>
        </w:rPr>
        <w:t xml:space="preserve"> </w:t>
      </w:r>
      <w:r>
        <w:rPr>
          <w:color w:val="231F20"/>
          <w:sz w:val="13"/>
        </w:rPr>
        <w:t>Legislation</w:t>
      </w:r>
      <w:r>
        <w:rPr>
          <w:color w:val="231F20"/>
          <w:spacing w:val="9"/>
          <w:sz w:val="13"/>
        </w:rPr>
        <w:t xml:space="preserve"> </w:t>
      </w:r>
      <w:r>
        <w:rPr>
          <w:color w:val="231F20"/>
          <w:sz w:val="13"/>
        </w:rPr>
        <w:t>in</w:t>
      </w:r>
      <w:r>
        <w:rPr>
          <w:color w:val="231F20"/>
          <w:spacing w:val="9"/>
          <w:sz w:val="13"/>
        </w:rPr>
        <w:t xml:space="preserve"> </w:t>
      </w:r>
      <w:r>
        <w:rPr>
          <w:color w:val="231F20"/>
          <w:sz w:val="13"/>
        </w:rPr>
        <w:t>Victoria,</w:t>
      </w:r>
      <w:r>
        <w:rPr>
          <w:color w:val="231F20"/>
          <w:spacing w:val="9"/>
          <w:sz w:val="13"/>
        </w:rPr>
        <w:t xml:space="preserve"> </w:t>
      </w:r>
      <w:r>
        <w:rPr>
          <w:color w:val="231F20"/>
          <w:sz w:val="13"/>
        </w:rPr>
        <w:t>Australia’</w:t>
      </w:r>
      <w:r>
        <w:rPr>
          <w:color w:val="231F20"/>
          <w:spacing w:val="9"/>
          <w:sz w:val="13"/>
        </w:rPr>
        <w:t xml:space="preserve"> </w:t>
      </w:r>
      <w:r>
        <w:rPr>
          <w:color w:val="231F20"/>
          <w:sz w:val="13"/>
        </w:rPr>
        <w:t>(PhD</w:t>
      </w:r>
      <w:r>
        <w:rPr>
          <w:color w:val="231F20"/>
          <w:spacing w:val="9"/>
          <w:sz w:val="13"/>
        </w:rPr>
        <w:t xml:space="preserve"> </w:t>
      </w:r>
      <w:r>
        <w:rPr>
          <w:color w:val="231F20"/>
          <w:sz w:val="13"/>
        </w:rPr>
        <w:t>Thesis,</w:t>
      </w:r>
      <w:r>
        <w:rPr>
          <w:color w:val="231F20"/>
          <w:spacing w:val="9"/>
          <w:sz w:val="13"/>
        </w:rPr>
        <w:t xml:space="preserve"> </w:t>
      </w:r>
      <w:r>
        <w:rPr>
          <w:color w:val="231F20"/>
          <w:sz w:val="13"/>
        </w:rPr>
        <w:t>Monash</w:t>
      </w:r>
      <w:r>
        <w:rPr>
          <w:color w:val="231F20"/>
          <w:spacing w:val="10"/>
          <w:sz w:val="13"/>
        </w:rPr>
        <w:t xml:space="preserve"> </w:t>
      </w:r>
      <w:r>
        <w:rPr>
          <w:color w:val="231F20"/>
          <w:sz w:val="13"/>
        </w:rPr>
        <w:t>University,</w:t>
      </w:r>
      <w:r>
        <w:rPr>
          <w:color w:val="231F20"/>
          <w:spacing w:val="9"/>
          <w:sz w:val="13"/>
        </w:rPr>
        <w:t xml:space="preserve"> </w:t>
      </w:r>
      <w:r>
        <w:rPr>
          <w:color w:val="231F20"/>
          <w:sz w:val="13"/>
        </w:rPr>
        <w:t>2018)</w:t>
      </w:r>
      <w:r>
        <w:rPr>
          <w:color w:val="231F20"/>
          <w:spacing w:val="9"/>
          <w:sz w:val="13"/>
        </w:rPr>
        <w:t xml:space="preserve"> </w:t>
      </w:r>
      <w:r>
        <w:rPr>
          <w:color w:val="231F20"/>
          <w:spacing w:val="2"/>
          <w:sz w:val="13"/>
        </w:rPr>
        <w:t>89.</w:t>
      </w:r>
    </w:p>
    <w:p w14:paraId="5FDECF9C" w14:textId="77777777" w:rsidR="00894070" w:rsidRDefault="009B7AFD">
      <w:pPr>
        <w:pStyle w:val="ListParagraph"/>
        <w:numPr>
          <w:ilvl w:val="0"/>
          <w:numId w:val="55"/>
        </w:numPr>
        <w:tabs>
          <w:tab w:val="left" w:pos="933"/>
          <w:tab w:val="left" w:pos="934"/>
        </w:tabs>
        <w:spacing w:line="213" w:lineRule="auto"/>
        <w:ind w:left="933" w:right="1412" w:hanging="793"/>
        <w:jc w:val="left"/>
        <w:rPr>
          <w:sz w:val="13"/>
        </w:rPr>
      </w:pP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 xml:space="preserve">of Anti-Stalking Legislation in Victoria, Australia’ (PhD Thesis, Monash University, 2018) </w:t>
      </w:r>
      <w:r>
        <w:rPr>
          <w:color w:val="231F20"/>
          <w:spacing w:val="2"/>
          <w:sz w:val="13"/>
        </w:rPr>
        <w:t xml:space="preserve">89. </w:t>
      </w:r>
      <w:r>
        <w:rPr>
          <w:color w:val="231F20"/>
          <w:sz w:val="13"/>
        </w:rPr>
        <w:t xml:space="preserve">See </w:t>
      </w:r>
      <w:r>
        <w:rPr>
          <w:color w:val="231F20"/>
          <w:spacing w:val="2"/>
          <w:sz w:val="13"/>
        </w:rPr>
        <w:t xml:space="preserve">also </w:t>
      </w:r>
      <w:r>
        <w:rPr>
          <w:color w:val="231F20"/>
          <w:sz w:val="13"/>
        </w:rPr>
        <w:t xml:space="preserve">Consultation 2 (Children’s </w:t>
      </w:r>
      <w:r>
        <w:rPr>
          <w:color w:val="231F20"/>
          <w:spacing w:val="2"/>
          <w:sz w:val="13"/>
        </w:rPr>
        <w:t xml:space="preserve">Court </w:t>
      </w:r>
      <w:r>
        <w:rPr>
          <w:color w:val="231F20"/>
          <w:sz w:val="13"/>
        </w:rPr>
        <w:t>of Victoria (No</w:t>
      </w:r>
      <w:r>
        <w:rPr>
          <w:color w:val="231F20"/>
          <w:spacing w:val="3"/>
          <w:sz w:val="13"/>
        </w:rPr>
        <w:t xml:space="preserve"> </w:t>
      </w:r>
      <w:r>
        <w:rPr>
          <w:color w:val="231F20"/>
          <w:sz w:val="13"/>
        </w:rPr>
        <w:t>1)).</w:t>
      </w:r>
    </w:p>
    <w:p w14:paraId="01CF87D1" w14:textId="77777777" w:rsidR="00894070" w:rsidRDefault="009B7AFD">
      <w:pPr>
        <w:pStyle w:val="ListParagraph"/>
        <w:numPr>
          <w:ilvl w:val="0"/>
          <w:numId w:val="55"/>
        </w:numPr>
        <w:tabs>
          <w:tab w:val="left" w:pos="933"/>
          <w:tab w:val="left" w:pos="934"/>
        </w:tabs>
        <w:spacing w:line="152" w:lineRule="exact"/>
        <w:ind w:left="933" w:hanging="793"/>
        <w:jc w:val="left"/>
        <w:rPr>
          <w:sz w:val="13"/>
        </w:rPr>
      </w:pPr>
      <w:r>
        <w:rPr>
          <w:color w:val="231F20"/>
          <w:sz w:val="13"/>
        </w:rPr>
        <w:t xml:space="preserve">Consultations 2 (Children’s </w:t>
      </w:r>
      <w:r>
        <w:rPr>
          <w:color w:val="231F20"/>
          <w:spacing w:val="2"/>
          <w:sz w:val="13"/>
        </w:rPr>
        <w:t xml:space="preserve">Court </w:t>
      </w:r>
      <w:r>
        <w:rPr>
          <w:color w:val="231F20"/>
          <w:sz w:val="13"/>
        </w:rPr>
        <w:t>of Victoria (No 1)), 24 (Criminal Bar</w:t>
      </w:r>
      <w:r>
        <w:rPr>
          <w:color w:val="231F20"/>
          <w:spacing w:val="6"/>
          <w:sz w:val="13"/>
        </w:rPr>
        <w:t xml:space="preserve"> </w:t>
      </w:r>
      <w:r>
        <w:rPr>
          <w:color w:val="231F20"/>
          <w:sz w:val="13"/>
        </w:rPr>
        <w:t>Association).</w:t>
      </w:r>
    </w:p>
    <w:p w14:paraId="1199FEDF" w14:textId="77777777" w:rsidR="00894070" w:rsidRDefault="009B7AFD">
      <w:pPr>
        <w:pStyle w:val="ListParagraph"/>
        <w:numPr>
          <w:ilvl w:val="0"/>
          <w:numId w:val="55"/>
        </w:numPr>
        <w:tabs>
          <w:tab w:val="left" w:pos="933"/>
          <w:tab w:val="left" w:pos="934"/>
        </w:tabs>
        <w:spacing w:line="160" w:lineRule="exact"/>
        <w:ind w:left="933" w:hanging="793"/>
        <w:jc w:val="lef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 2022)</w:t>
      </w:r>
      <w:r>
        <w:rPr>
          <w:color w:val="231F20"/>
          <w:spacing w:val="7"/>
          <w:sz w:val="13"/>
        </w:rPr>
        <w:t xml:space="preserve"> </w:t>
      </w:r>
      <w:r>
        <w:rPr>
          <w:color w:val="231F20"/>
          <w:sz w:val="13"/>
        </w:rPr>
        <w:t>xiii.</w:t>
      </w:r>
    </w:p>
    <w:p w14:paraId="5BD36F5A" w14:textId="77777777" w:rsidR="00894070" w:rsidRDefault="009B7AFD">
      <w:pPr>
        <w:pStyle w:val="ListParagraph"/>
        <w:numPr>
          <w:ilvl w:val="0"/>
          <w:numId w:val="55"/>
        </w:numPr>
        <w:tabs>
          <w:tab w:val="left" w:pos="933"/>
          <w:tab w:val="left" w:pos="934"/>
        </w:tabs>
        <w:spacing w:before="4" w:line="213" w:lineRule="auto"/>
        <w:ind w:left="933" w:right="1412" w:hanging="793"/>
        <w:jc w:val="left"/>
        <w:rPr>
          <w:sz w:val="13"/>
        </w:rPr>
      </w:pPr>
      <w:r>
        <w:rPr>
          <w:color w:val="231F20"/>
          <w:sz w:val="13"/>
        </w:rPr>
        <w:t xml:space="preserve">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 xml:space="preserve">of Anti-Stalking Legislation in Victoria, Australia’ (PhD Thesis, Monash University, 2018) </w:t>
      </w:r>
      <w:r>
        <w:rPr>
          <w:color w:val="231F20"/>
          <w:spacing w:val="2"/>
          <w:sz w:val="13"/>
        </w:rPr>
        <w:t xml:space="preserve">90. </w:t>
      </w:r>
      <w:r>
        <w:rPr>
          <w:color w:val="231F20"/>
          <w:sz w:val="13"/>
        </w:rPr>
        <w:t xml:space="preserve">See </w:t>
      </w:r>
      <w:r>
        <w:rPr>
          <w:color w:val="231F20"/>
          <w:spacing w:val="2"/>
          <w:sz w:val="13"/>
        </w:rPr>
        <w:t xml:space="preserve">also </w:t>
      </w: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 xml:space="preserve">March 2022) xiii; Consultation 18 (County </w:t>
      </w:r>
      <w:r>
        <w:rPr>
          <w:color w:val="231F20"/>
          <w:spacing w:val="2"/>
          <w:sz w:val="13"/>
        </w:rPr>
        <w:t xml:space="preserve">Court </w:t>
      </w:r>
      <w:r>
        <w:rPr>
          <w:color w:val="231F20"/>
          <w:sz w:val="13"/>
        </w:rPr>
        <w:t>of</w:t>
      </w:r>
      <w:r>
        <w:rPr>
          <w:color w:val="231F20"/>
          <w:spacing w:val="-1"/>
          <w:sz w:val="13"/>
        </w:rPr>
        <w:t xml:space="preserve"> </w:t>
      </w:r>
      <w:r>
        <w:rPr>
          <w:color w:val="231F20"/>
          <w:sz w:val="13"/>
        </w:rPr>
        <w:t>Victoria).</w:t>
      </w:r>
    </w:p>
    <w:p w14:paraId="5963C555" w14:textId="77777777" w:rsidR="00894070" w:rsidRDefault="009B7AFD">
      <w:pPr>
        <w:pStyle w:val="ListParagraph"/>
        <w:numPr>
          <w:ilvl w:val="0"/>
          <w:numId w:val="55"/>
        </w:numPr>
        <w:tabs>
          <w:tab w:val="left" w:pos="933"/>
          <w:tab w:val="left" w:pos="934"/>
        </w:tabs>
        <w:spacing w:line="152" w:lineRule="exact"/>
        <w:ind w:left="933" w:hanging="793"/>
        <w:jc w:val="left"/>
        <w:rPr>
          <w:sz w:val="13"/>
        </w:rPr>
      </w:pPr>
      <w:r>
        <w:rPr>
          <w:color w:val="231F20"/>
          <w:sz w:val="13"/>
        </w:rPr>
        <w:t xml:space="preserve">Consultation 6 (Magistrates’ </w:t>
      </w:r>
      <w:r>
        <w:rPr>
          <w:color w:val="231F20"/>
          <w:spacing w:val="2"/>
          <w:sz w:val="13"/>
        </w:rPr>
        <w:t xml:space="preserve">Court </w:t>
      </w:r>
      <w:r>
        <w:rPr>
          <w:color w:val="231F20"/>
          <w:sz w:val="13"/>
        </w:rPr>
        <w:t>of Victoria (No 1)).</w:t>
      </w:r>
    </w:p>
    <w:p w14:paraId="63962E76" w14:textId="77777777" w:rsidR="00894070" w:rsidRDefault="009B7AFD">
      <w:pPr>
        <w:pStyle w:val="ListParagraph"/>
        <w:numPr>
          <w:ilvl w:val="0"/>
          <w:numId w:val="55"/>
        </w:numPr>
        <w:tabs>
          <w:tab w:val="left" w:pos="933"/>
          <w:tab w:val="left" w:pos="934"/>
        </w:tabs>
        <w:spacing w:line="160" w:lineRule="exact"/>
        <w:ind w:left="933" w:hanging="793"/>
        <w:jc w:val="lef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 2022)</w:t>
      </w:r>
      <w:r>
        <w:rPr>
          <w:color w:val="231F20"/>
          <w:spacing w:val="7"/>
          <w:sz w:val="13"/>
        </w:rPr>
        <w:t xml:space="preserve"> </w:t>
      </w:r>
      <w:r>
        <w:rPr>
          <w:color w:val="231F20"/>
          <w:sz w:val="13"/>
        </w:rPr>
        <w:t>xiii.</w:t>
      </w:r>
    </w:p>
    <w:p w14:paraId="138143E1" w14:textId="77777777" w:rsidR="00894070" w:rsidRDefault="009B7AFD">
      <w:pPr>
        <w:pStyle w:val="ListParagraph"/>
        <w:numPr>
          <w:ilvl w:val="0"/>
          <w:numId w:val="55"/>
        </w:numPr>
        <w:tabs>
          <w:tab w:val="left" w:pos="933"/>
          <w:tab w:val="left" w:pos="934"/>
        </w:tabs>
        <w:spacing w:before="6" w:line="213" w:lineRule="auto"/>
        <w:ind w:left="933" w:right="1252" w:hanging="793"/>
        <w:jc w:val="left"/>
        <w:rPr>
          <w:sz w:val="13"/>
        </w:rPr>
      </w:pPr>
      <w:r>
        <w:rPr>
          <w:color w:val="231F20"/>
          <w:sz w:val="13"/>
        </w:rPr>
        <w:t xml:space="preserve">Marilyn McMahon, Paul </w:t>
      </w:r>
      <w:proofErr w:type="gramStart"/>
      <w:r>
        <w:rPr>
          <w:color w:val="231F20"/>
          <w:spacing w:val="2"/>
          <w:sz w:val="13"/>
        </w:rPr>
        <w:t>McGorrery</w:t>
      </w:r>
      <w:proofErr w:type="gramEnd"/>
      <w:r>
        <w:rPr>
          <w:color w:val="231F20"/>
          <w:spacing w:val="2"/>
          <w:sz w:val="13"/>
        </w:rPr>
        <w:t xml:space="preserve"> </w:t>
      </w:r>
      <w:r>
        <w:rPr>
          <w:color w:val="231F20"/>
          <w:sz w:val="13"/>
        </w:rPr>
        <w:t xml:space="preserve">and Kelley Burton, ‘Prosecuting Non-Physical Abuse between Current Intimate </w:t>
      </w:r>
      <w:r>
        <w:rPr>
          <w:color w:val="231F20"/>
          <w:spacing w:val="2"/>
          <w:sz w:val="13"/>
        </w:rPr>
        <w:t xml:space="preserve">Partners: </w:t>
      </w:r>
      <w:r>
        <w:rPr>
          <w:color w:val="231F20"/>
          <w:sz w:val="13"/>
        </w:rPr>
        <w:t xml:space="preserve">Are Stalking Laws an Under-Utilised Resource?’ (2019) </w:t>
      </w:r>
      <w:r>
        <w:rPr>
          <w:color w:val="231F20"/>
          <w:spacing w:val="2"/>
          <w:sz w:val="13"/>
        </w:rPr>
        <w:t xml:space="preserve">42(2) </w:t>
      </w:r>
      <w:r>
        <w:rPr>
          <w:i/>
          <w:color w:val="231F20"/>
          <w:sz w:val="13"/>
        </w:rPr>
        <w:t xml:space="preserve">Melbourne University Law Review </w:t>
      </w:r>
      <w:r>
        <w:rPr>
          <w:color w:val="231F20"/>
          <w:spacing w:val="2"/>
          <w:sz w:val="13"/>
        </w:rPr>
        <w:t>551,</w:t>
      </w:r>
      <w:r>
        <w:rPr>
          <w:color w:val="231F20"/>
          <w:spacing w:val="16"/>
          <w:sz w:val="13"/>
        </w:rPr>
        <w:t xml:space="preserve"> </w:t>
      </w:r>
      <w:r>
        <w:rPr>
          <w:color w:val="231F20"/>
          <w:spacing w:val="2"/>
          <w:sz w:val="13"/>
        </w:rPr>
        <w:t>584.</w:t>
      </w:r>
    </w:p>
    <w:p w14:paraId="6115CE80" w14:textId="77777777" w:rsidR="00894070" w:rsidRDefault="00894070">
      <w:pPr>
        <w:spacing w:line="213" w:lineRule="auto"/>
        <w:rPr>
          <w:sz w:val="13"/>
        </w:rPr>
        <w:sectPr w:rsidR="00894070">
          <w:type w:val="continuous"/>
          <w:pgSz w:w="11910" w:h="16840"/>
          <w:pgMar w:top="560" w:right="420" w:bottom="280" w:left="580" w:header="720" w:footer="720" w:gutter="0"/>
          <w:cols w:num="2" w:space="720" w:equalWidth="0">
            <w:col w:w="571" w:space="296"/>
            <w:col w:w="10043"/>
          </w:cols>
        </w:sectPr>
      </w:pPr>
    </w:p>
    <w:p w14:paraId="1C9FF472" w14:textId="77777777" w:rsidR="00894070" w:rsidRDefault="00894070">
      <w:pPr>
        <w:pStyle w:val="BodyText"/>
      </w:pPr>
    </w:p>
    <w:p w14:paraId="3F717B20" w14:textId="77777777" w:rsidR="00894070" w:rsidRDefault="00894070">
      <w:pPr>
        <w:pStyle w:val="BodyText"/>
      </w:pPr>
    </w:p>
    <w:p w14:paraId="7F8D5FED" w14:textId="77777777" w:rsidR="00894070" w:rsidRDefault="00894070">
      <w:pPr>
        <w:pStyle w:val="BodyText"/>
      </w:pPr>
    </w:p>
    <w:p w14:paraId="6DA5F71D" w14:textId="77777777" w:rsidR="00894070" w:rsidRDefault="00894070">
      <w:pPr>
        <w:pStyle w:val="BodyText"/>
        <w:spacing w:before="6"/>
        <w:rPr>
          <w:sz w:val="14"/>
        </w:rPr>
      </w:pPr>
    </w:p>
    <w:p w14:paraId="130602A8" w14:textId="77777777" w:rsidR="00894070" w:rsidRDefault="009B7AFD">
      <w:pPr>
        <w:pStyle w:val="Heading8"/>
        <w:spacing w:before="49"/>
        <w:ind w:left="1007"/>
      </w:pPr>
      <w:bookmarkStart w:id="161" w:name="_bookmark96"/>
      <w:bookmarkEnd w:id="161"/>
      <w:r>
        <w:rPr>
          <w:color w:val="231F20"/>
        </w:rPr>
        <w:t>Police need improved guidance and training</w:t>
      </w:r>
    </w:p>
    <w:p w14:paraId="68A0A8E4" w14:textId="77777777" w:rsidR="00894070" w:rsidRDefault="009B7AFD">
      <w:pPr>
        <w:pStyle w:val="ListParagraph"/>
        <w:numPr>
          <w:ilvl w:val="1"/>
          <w:numId w:val="65"/>
        </w:numPr>
        <w:tabs>
          <w:tab w:val="left" w:pos="1802"/>
        </w:tabs>
        <w:spacing w:before="127" w:line="206" w:lineRule="auto"/>
        <w:ind w:right="1222"/>
        <w:jc w:val="both"/>
        <w:rPr>
          <w:sz w:val="11"/>
        </w:rPr>
      </w:pPr>
      <w:r>
        <w:rPr>
          <w:color w:val="231F20"/>
          <w:sz w:val="20"/>
        </w:rPr>
        <w:t>The</w:t>
      </w:r>
      <w:r>
        <w:rPr>
          <w:color w:val="231F20"/>
          <w:spacing w:val="-8"/>
          <w:sz w:val="20"/>
        </w:rPr>
        <w:t xml:space="preserve"> </w:t>
      </w:r>
      <w:r>
        <w:rPr>
          <w:color w:val="231F20"/>
          <w:sz w:val="20"/>
        </w:rPr>
        <w:t>County</w:t>
      </w:r>
      <w:r>
        <w:rPr>
          <w:color w:val="231F20"/>
          <w:spacing w:val="-8"/>
          <w:sz w:val="20"/>
        </w:rPr>
        <w:t xml:space="preserve"> </w:t>
      </w:r>
      <w:r>
        <w:rPr>
          <w:color w:val="231F20"/>
          <w:sz w:val="20"/>
        </w:rPr>
        <w:t>Court,</w:t>
      </w:r>
      <w:r>
        <w:rPr>
          <w:color w:val="231F20"/>
          <w:spacing w:val="-8"/>
          <w:sz w:val="20"/>
        </w:rPr>
        <w:t xml:space="preserve"> </w:t>
      </w:r>
      <w:r>
        <w:rPr>
          <w:color w:val="231F20"/>
          <w:spacing w:val="-3"/>
          <w:sz w:val="20"/>
        </w:rPr>
        <w:t>Magistrates’</w:t>
      </w:r>
      <w:r>
        <w:rPr>
          <w:color w:val="231F20"/>
          <w:spacing w:val="-8"/>
          <w:sz w:val="20"/>
        </w:rPr>
        <w:t xml:space="preserve"> </w:t>
      </w:r>
      <w:r>
        <w:rPr>
          <w:color w:val="231F20"/>
          <w:sz w:val="20"/>
        </w:rPr>
        <w:t>Court,</w:t>
      </w:r>
      <w:r>
        <w:rPr>
          <w:color w:val="231F20"/>
          <w:spacing w:val="-8"/>
          <w:sz w:val="20"/>
        </w:rPr>
        <w:t xml:space="preserve"> </w:t>
      </w:r>
      <w:r>
        <w:rPr>
          <w:color w:val="231F20"/>
          <w:sz w:val="20"/>
        </w:rPr>
        <w:t>Victoria</w:t>
      </w:r>
      <w:r>
        <w:rPr>
          <w:color w:val="231F20"/>
          <w:spacing w:val="-8"/>
          <w:sz w:val="20"/>
        </w:rPr>
        <w:t xml:space="preserve"> </w:t>
      </w:r>
      <w:r>
        <w:rPr>
          <w:color w:val="231F20"/>
          <w:sz w:val="20"/>
        </w:rPr>
        <w:t>Legal</w:t>
      </w:r>
      <w:r>
        <w:rPr>
          <w:color w:val="231F20"/>
          <w:spacing w:val="-8"/>
          <w:sz w:val="20"/>
        </w:rPr>
        <w:t xml:space="preserve"> </w:t>
      </w:r>
      <w:proofErr w:type="gramStart"/>
      <w:r>
        <w:rPr>
          <w:color w:val="231F20"/>
          <w:sz w:val="20"/>
        </w:rPr>
        <w:t>Aid</w:t>
      </w:r>
      <w:proofErr w:type="gramEnd"/>
      <w:r>
        <w:rPr>
          <w:color w:val="231F20"/>
          <w:spacing w:val="-8"/>
          <w:sz w:val="20"/>
        </w:rPr>
        <w:t xml:space="preserve"> </w:t>
      </w:r>
      <w:r>
        <w:rPr>
          <w:color w:val="231F20"/>
          <w:sz w:val="20"/>
        </w:rPr>
        <w:t>and</w:t>
      </w:r>
      <w:r>
        <w:rPr>
          <w:color w:val="231F20"/>
          <w:spacing w:val="-8"/>
          <w:sz w:val="20"/>
        </w:rPr>
        <w:t xml:space="preserve"> </w:t>
      </w:r>
      <w:r>
        <w:rPr>
          <w:color w:val="231F20"/>
          <w:sz w:val="20"/>
        </w:rPr>
        <w:t>others</w:t>
      </w:r>
      <w:r>
        <w:rPr>
          <w:color w:val="231F20"/>
          <w:spacing w:val="-8"/>
          <w:sz w:val="20"/>
        </w:rPr>
        <w:t xml:space="preserve"> </w:t>
      </w:r>
      <w:r>
        <w:rPr>
          <w:color w:val="231F20"/>
          <w:sz w:val="20"/>
        </w:rPr>
        <w:t>highlighted</w:t>
      </w:r>
      <w:r>
        <w:rPr>
          <w:color w:val="231F20"/>
          <w:spacing w:val="-7"/>
          <w:sz w:val="20"/>
        </w:rPr>
        <w:t xml:space="preserve"> </w:t>
      </w:r>
      <w:r>
        <w:rPr>
          <w:color w:val="231F20"/>
          <w:sz w:val="20"/>
        </w:rPr>
        <w:t>a</w:t>
      </w:r>
      <w:r>
        <w:rPr>
          <w:color w:val="231F20"/>
          <w:spacing w:val="-8"/>
          <w:sz w:val="20"/>
        </w:rPr>
        <w:t xml:space="preserve"> </w:t>
      </w:r>
      <w:r>
        <w:rPr>
          <w:color w:val="231F20"/>
          <w:sz w:val="20"/>
        </w:rPr>
        <w:t>need to</w:t>
      </w:r>
      <w:r>
        <w:rPr>
          <w:color w:val="231F20"/>
          <w:spacing w:val="-11"/>
          <w:sz w:val="20"/>
        </w:rPr>
        <w:t xml:space="preserve"> </w:t>
      </w:r>
      <w:r>
        <w:rPr>
          <w:color w:val="231F20"/>
          <w:spacing w:val="-4"/>
          <w:sz w:val="20"/>
        </w:rPr>
        <w:t>improve</w:t>
      </w:r>
      <w:r>
        <w:rPr>
          <w:color w:val="231F20"/>
          <w:spacing w:val="-11"/>
          <w:sz w:val="20"/>
        </w:rPr>
        <w:t xml:space="preserve"> </w:t>
      </w:r>
      <w:r>
        <w:rPr>
          <w:color w:val="231F20"/>
          <w:sz w:val="20"/>
        </w:rPr>
        <w:t>the</w:t>
      </w:r>
      <w:r>
        <w:rPr>
          <w:color w:val="231F20"/>
          <w:spacing w:val="-10"/>
          <w:sz w:val="20"/>
        </w:rPr>
        <w:t xml:space="preserve"> </w:t>
      </w:r>
      <w:r>
        <w:rPr>
          <w:color w:val="231F20"/>
          <w:sz w:val="20"/>
        </w:rPr>
        <w:t>practical</w:t>
      </w:r>
      <w:r>
        <w:rPr>
          <w:color w:val="231F20"/>
          <w:spacing w:val="-11"/>
          <w:sz w:val="20"/>
        </w:rPr>
        <w:t xml:space="preserve"> </w:t>
      </w:r>
      <w:r>
        <w:rPr>
          <w:color w:val="231F20"/>
          <w:sz w:val="20"/>
        </w:rPr>
        <w:t>application</w:t>
      </w:r>
      <w:r>
        <w:rPr>
          <w:color w:val="231F20"/>
          <w:spacing w:val="-11"/>
          <w:sz w:val="20"/>
        </w:rPr>
        <w:t xml:space="preserve"> </w:t>
      </w:r>
      <w:r>
        <w:rPr>
          <w:color w:val="231F20"/>
          <w:sz w:val="20"/>
        </w:rPr>
        <w:t>of</w:t>
      </w:r>
      <w:r>
        <w:rPr>
          <w:color w:val="231F20"/>
          <w:spacing w:val="-10"/>
          <w:sz w:val="20"/>
        </w:rPr>
        <w:t xml:space="preserve"> </w:t>
      </w:r>
      <w:r>
        <w:rPr>
          <w:color w:val="231F20"/>
          <w:sz w:val="20"/>
        </w:rPr>
        <w:t>the</w:t>
      </w:r>
      <w:r>
        <w:rPr>
          <w:color w:val="231F20"/>
          <w:spacing w:val="-11"/>
          <w:sz w:val="20"/>
        </w:rPr>
        <w:t xml:space="preserve"> </w:t>
      </w:r>
      <w:r>
        <w:rPr>
          <w:color w:val="231F20"/>
          <w:sz w:val="20"/>
        </w:rPr>
        <w:t>stalking</w:t>
      </w:r>
      <w:r>
        <w:rPr>
          <w:color w:val="231F20"/>
          <w:spacing w:val="-11"/>
          <w:sz w:val="20"/>
        </w:rPr>
        <w:t xml:space="preserve"> </w:t>
      </w:r>
      <w:r>
        <w:rPr>
          <w:color w:val="231F20"/>
          <w:sz w:val="20"/>
        </w:rPr>
        <w:t>offence</w:t>
      </w:r>
      <w:r>
        <w:rPr>
          <w:color w:val="231F20"/>
          <w:spacing w:val="-10"/>
          <w:sz w:val="20"/>
        </w:rPr>
        <w:t xml:space="preserve"> </w:t>
      </w:r>
      <w:r>
        <w:rPr>
          <w:color w:val="231F20"/>
          <w:spacing w:val="-3"/>
          <w:sz w:val="20"/>
        </w:rPr>
        <w:t>through</w:t>
      </w:r>
      <w:r>
        <w:rPr>
          <w:color w:val="231F20"/>
          <w:spacing w:val="-11"/>
          <w:sz w:val="20"/>
        </w:rPr>
        <w:t xml:space="preserve"> </w:t>
      </w:r>
      <w:r>
        <w:rPr>
          <w:color w:val="231F20"/>
          <w:sz w:val="20"/>
        </w:rPr>
        <w:t>more</w:t>
      </w:r>
      <w:r>
        <w:rPr>
          <w:color w:val="231F20"/>
          <w:spacing w:val="-11"/>
          <w:sz w:val="20"/>
        </w:rPr>
        <w:t xml:space="preserve"> </w:t>
      </w:r>
      <w:r>
        <w:rPr>
          <w:color w:val="231F20"/>
          <w:sz w:val="20"/>
        </w:rPr>
        <w:t>guidance</w:t>
      </w:r>
      <w:r>
        <w:rPr>
          <w:color w:val="231F20"/>
          <w:spacing w:val="-10"/>
          <w:sz w:val="20"/>
        </w:rPr>
        <w:t xml:space="preserve"> </w:t>
      </w:r>
      <w:r>
        <w:rPr>
          <w:color w:val="231F20"/>
          <w:sz w:val="20"/>
        </w:rPr>
        <w:t xml:space="preserve">and training </w:t>
      </w:r>
      <w:r>
        <w:rPr>
          <w:color w:val="231F20"/>
          <w:spacing w:val="-3"/>
          <w:sz w:val="20"/>
        </w:rPr>
        <w:t>for</w:t>
      </w:r>
      <w:r>
        <w:rPr>
          <w:color w:val="231F20"/>
          <w:spacing w:val="-9"/>
          <w:sz w:val="20"/>
        </w:rPr>
        <w:t xml:space="preserve"> </w:t>
      </w:r>
      <w:r>
        <w:rPr>
          <w:color w:val="231F20"/>
          <w:sz w:val="20"/>
        </w:rPr>
        <w:t>police.</w:t>
      </w:r>
      <w:r>
        <w:rPr>
          <w:color w:val="231F20"/>
          <w:position w:val="7"/>
          <w:sz w:val="11"/>
        </w:rPr>
        <w:t>84</w:t>
      </w:r>
    </w:p>
    <w:p w14:paraId="767C2611" w14:textId="77777777" w:rsidR="00894070" w:rsidRDefault="009B7AFD">
      <w:pPr>
        <w:pStyle w:val="ListParagraph"/>
        <w:numPr>
          <w:ilvl w:val="1"/>
          <w:numId w:val="65"/>
        </w:numPr>
        <w:tabs>
          <w:tab w:val="left" w:pos="1801"/>
          <w:tab w:val="left" w:pos="1802"/>
        </w:tabs>
        <w:spacing w:before="124" w:line="206" w:lineRule="auto"/>
        <w:ind w:right="1537"/>
        <w:rPr>
          <w:sz w:val="20"/>
        </w:rPr>
      </w:pPr>
      <w:r>
        <w:rPr>
          <w:color w:val="231F20"/>
          <w:spacing w:val="-6"/>
          <w:sz w:val="20"/>
        </w:rPr>
        <w:t>We</w:t>
      </w:r>
      <w:r>
        <w:rPr>
          <w:color w:val="231F20"/>
          <w:spacing w:val="-9"/>
          <w:sz w:val="20"/>
        </w:rPr>
        <w:t xml:space="preserve"> </w:t>
      </w:r>
      <w:r>
        <w:rPr>
          <w:color w:val="231F20"/>
          <w:sz w:val="20"/>
        </w:rPr>
        <w:t>consider</w:t>
      </w:r>
      <w:r>
        <w:rPr>
          <w:color w:val="231F20"/>
          <w:spacing w:val="-8"/>
          <w:sz w:val="20"/>
        </w:rPr>
        <w:t xml:space="preserve"> </w:t>
      </w:r>
      <w:r>
        <w:rPr>
          <w:color w:val="231F20"/>
          <w:sz w:val="20"/>
        </w:rPr>
        <w:t>this</w:t>
      </w:r>
      <w:r>
        <w:rPr>
          <w:color w:val="231F20"/>
          <w:spacing w:val="-9"/>
          <w:sz w:val="20"/>
        </w:rPr>
        <w:t xml:space="preserve"> </w:t>
      </w: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z w:val="20"/>
        </w:rPr>
        <w:t>the</w:t>
      </w:r>
      <w:r>
        <w:rPr>
          <w:color w:val="231F20"/>
          <w:spacing w:val="-9"/>
          <w:sz w:val="20"/>
        </w:rPr>
        <w:t xml:space="preserve"> </w:t>
      </w:r>
      <w:r>
        <w:rPr>
          <w:color w:val="231F20"/>
          <w:sz w:val="20"/>
        </w:rPr>
        <w:t>main</w:t>
      </w:r>
      <w:r>
        <w:rPr>
          <w:color w:val="231F20"/>
          <w:spacing w:val="-8"/>
          <w:sz w:val="20"/>
        </w:rPr>
        <w:t xml:space="preserve"> </w:t>
      </w:r>
      <w:r>
        <w:rPr>
          <w:color w:val="231F20"/>
          <w:spacing w:val="-3"/>
          <w:sz w:val="20"/>
        </w:rPr>
        <w:t>way</w:t>
      </w:r>
      <w:r>
        <w:rPr>
          <w:color w:val="231F20"/>
          <w:spacing w:val="-8"/>
          <w:sz w:val="20"/>
        </w:rPr>
        <w:t xml:space="preserve"> </w:t>
      </w:r>
      <w:r>
        <w:rPr>
          <w:color w:val="231F20"/>
          <w:sz w:val="20"/>
        </w:rPr>
        <w:t>to</w:t>
      </w:r>
      <w:r>
        <w:rPr>
          <w:color w:val="231F20"/>
          <w:spacing w:val="-9"/>
          <w:sz w:val="20"/>
        </w:rPr>
        <w:t xml:space="preserve"> </w:t>
      </w:r>
      <w:r>
        <w:rPr>
          <w:color w:val="231F20"/>
          <w:spacing w:val="-4"/>
          <w:sz w:val="20"/>
        </w:rPr>
        <w:t>improve</w:t>
      </w:r>
      <w:r>
        <w:rPr>
          <w:color w:val="231F20"/>
          <w:spacing w:val="-8"/>
          <w:sz w:val="20"/>
        </w:rPr>
        <w:t xml:space="preserve"> </w:t>
      </w:r>
      <w:r>
        <w:rPr>
          <w:color w:val="231F20"/>
          <w:spacing w:val="-3"/>
          <w:sz w:val="20"/>
        </w:rPr>
        <w:t>how</w:t>
      </w:r>
      <w:r>
        <w:rPr>
          <w:color w:val="231F20"/>
          <w:spacing w:val="-8"/>
          <w:sz w:val="20"/>
        </w:rPr>
        <w:t xml:space="preserve"> </w:t>
      </w:r>
      <w:r>
        <w:rPr>
          <w:color w:val="231F20"/>
          <w:sz w:val="20"/>
        </w:rPr>
        <w:t>the</w:t>
      </w:r>
      <w:r>
        <w:rPr>
          <w:color w:val="231F20"/>
          <w:spacing w:val="-9"/>
          <w:sz w:val="20"/>
        </w:rPr>
        <w:t xml:space="preserve"> </w:t>
      </w:r>
      <w:r>
        <w:rPr>
          <w:color w:val="231F20"/>
          <w:sz w:val="20"/>
        </w:rPr>
        <w:t>stalking</w:t>
      </w:r>
      <w:r>
        <w:rPr>
          <w:color w:val="231F20"/>
          <w:spacing w:val="-8"/>
          <w:sz w:val="20"/>
        </w:rPr>
        <w:t xml:space="preserve"> </w:t>
      </w:r>
      <w:r>
        <w:rPr>
          <w:color w:val="231F20"/>
          <w:sz w:val="20"/>
        </w:rPr>
        <w:t>offence</w:t>
      </w:r>
      <w:r>
        <w:rPr>
          <w:color w:val="231F20"/>
          <w:spacing w:val="-8"/>
          <w:sz w:val="20"/>
        </w:rPr>
        <w:t xml:space="preserve"> </w:t>
      </w:r>
      <w:r>
        <w:rPr>
          <w:color w:val="231F20"/>
          <w:sz w:val="20"/>
        </w:rPr>
        <w:t>is</w:t>
      </w:r>
      <w:r>
        <w:rPr>
          <w:color w:val="231F20"/>
          <w:spacing w:val="-9"/>
          <w:sz w:val="20"/>
        </w:rPr>
        <w:t xml:space="preserve"> </w:t>
      </w:r>
      <w:r>
        <w:rPr>
          <w:color w:val="231F20"/>
          <w:sz w:val="20"/>
        </w:rPr>
        <w:t>applied. Research</w:t>
      </w:r>
      <w:r>
        <w:rPr>
          <w:color w:val="231F20"/>
          <w:spacing w:val="-10"/>
          <w:sz w:val="20"/>
        </w:rPr>
        <w:t xml:space="preserve"> </w:t>
      </w:r>
      <w:r>
        <w:rPr>
          <w:color w:val="231F20"/>
          <w:sz w:val="20"/>
        </w:rPr>
        <w:t>indicates</w:t>
      </w:r>
      <w:r>
        <w:rPr>
          <w:color w:val="231F20"/>
          <w:spacing w:val="-10"/>
          <w:sz w:val="20"/>
        </w:rPr>
        <w:t xml:space="preserve"> </w:t>
      </w:r>
      <w:r>
        <w:rPr>
          <w:color w:val="231F20"/>
          <w:sz w:val="20"/>
        </w:rPr>
        <w:t>that</w:t>
      </w:r>
      <w:r>
        <w:rPr>
          <w:color w:val="231F20"/>
          <w:spacing w:val="-10"/>
          <w:sz w:val="20"/>
        </w:rPr>
        <w:t xml:space="preserve"> </w:t>
      </w:r>
      <w:r>
        <w:rPr>
          <w:color w:val="231F20"/>
          <w:sz w:val="20"/>
        </w:rPr>
        <w:t>education</w:t>
      </w:r>
      <w:r>
        <w:rPr>
          <w:color w:val="231F20"/>
          <w:spacing w:val="-10"/>
          <w:sz w:val="20"/>
        </w:rPr>
        <w:t xml:space="preserve"> </w:t>
      </w:r>
      <w:r>
        <w:rPr>
          <w:color w:val="231F20"/>
          <w:sz w:val="20"/>
        </w:rPr>
        <w:t>results</w:t>
      </w:r>
      <w:r>
        <w:rPr>
          <w:color w:val="231F20"/>
          <w:spacing w:val="-10"/>
          <w:sz w:val="20"/>
        </w:rPr>
        <w:t xml:space="preserve"> </w:t>
      </w:r>
      <w:r>
        <w:rPr>
          <w:color w:val="231F20"/>
          <w:sz w:val="20"/>
        </w:rPr>
        <w:t>in</w:t>
      </w:r>
      <w:r>
        <w:rPr>
          <w:color w:val="231F20"/>
          <w:spacing w:val="-10"/>
          <w:sz w:val="20"/>
        </w:rPr>
        <w:t xml:space="preserve"> </w:t>
      </w:r>
      <w:r>
        <w:rPr>
          <w:color w:val="231F20"/>
          <w:spacing w:val="-3"/>
          <w:sz w:val="20"/>
        </w:rPr>
        <w:t>frontline</w:t>
      </w:r>
      <w:r>
        <w:rPr>
          <w:color w:val="231F20"/>
          <w:spacing w:val="-9"/>
          <w:sz w:val="20"/>
        </w:rPr>
        <w:t xml:space="preserve"> </w:t>
      </w:r>
      <w:r>
        <w:rPr>
          <w:color w:val="231F20"/>
          <w:sz w:val="20"/>
        </w:rPr>
        <w:t>staff</w:t>
      </w:r>
      <w:r>
        <w:rPr>
          <w:color w:val="231F20"/>
          <w:spacing w:val="-10"/>
          <w:sz w:val="20"/>
        </w:rPr>
        <w:t xml:space="preserve"> </w:t>
      </w:r>
      <w:r>
        <w:rPr>
          <w:color w:val="231F20"/>
          <w:sz w:val="20"/>
        </w:rPr>
        <w:t>understanding</w:t>
      </w:r>
      <w:r>
        <w:rPr>
          <w:color w:val="231F20"/>
          <w:spacing w:val="-10"/>
          <w:sz w:val="20"/>
        </w:rPr>
        <w:t xml:space="preserve"> </w:t>
      </w:r>
      <w:r>
        <w:rPr>
          <w:color w:val="231F20"/>
          <w:sz w:val="20"/>
        </w:rPr>
        <w:t>better:</w:t>
      </w:r>
    </w:p>
    <w:p w14:paraId="13CD41F4" w14:textId="77777777" w:rsidR="00894070" w:rsidRDefault="009B7AFD">
      <w:pPr>
        <w:pStyle w:val="ListParagraph"/>
        <w:numPr>
          <w:ilvl w:val="2"/>
          <w:numId w:val="65"/>
        </w:numPr>
        <w:tabs>
          <w:tab w:val="left" w:pos="2141"/>
          <w:tab w:val="left" w:pos="2142"/>
        </w:tabs>
        <w:spacing w:before="90"/>
        <w:ind w:hanging="340"/>
        <w:rPr>
          <w:sz w:val="20"/>
        </w:rPr>
      </w:pPr>
      <w:r>
        <w:rPr>
          <w:color w:val="231F20"/>
          <w:sz w:val="20"/>
        </w:rPr>
        <w:t>the stalking</w:t>
      </w:r>
      <w:r>
        <w:rPr>
          <w:color w:val="231F20"/>
          <w:spacing w:val="-9"/>
          <w:sz w:val="20"/>
        </w:rPr>
        <w:t xml:space="preserve"> </w:t>
      </w:r>
      <w:r>
        <w:rPr>
          <w:color w:val="231F20"/>
          <w:sz w:val="20"/>
        </w:rPr>
        <w:t>offence</w:t>
      </w:r>
    </w:p>
    <w:p w14:paraId="4467F725" w14:textId="77777777" w:rsidR="00894070" w:rsidRDefault="009B7AFD">
      <w:pPr>
        <w:pStyle w:val="ListParagraph"/>
        <w:numPr>
          <w:ilvl w:val="2"/>
          <w:numId w:val="65"/>
        </w:numPr>
        <w:tabs>
          <w:tab w:val="left" w:pos="2141"/>
          <w:tab w:val="left" w:pos="2142"/>
        </w:tabs>
        <w:spacing w:before="48"/>
        <w:ind w:hanging="340"/>
        <w:rPr>
          <w:sz w:val="20"/>
        </w:rPr>
      </w:pPr>
      <w:r>
        <w:rPr>
          <w:color w:val="231F20"/>
          <w:sz w:val="20"/>
        </w:rPr>
        <w:t>what legal options victim survivors</w:t>
      </w:r>
      <w:r>
        <w:rPr>
          <w:color w:val="231F20"/>
          <w:spacing w:val="-22"/>
          <w:sz w:val="20"/>
        </w:rPr>
        <w:t xml:space="preserve"> </w:t>
      </w:r>
      <w:proofErr w:type="gramStart"/>
      <w:r>
        <w:rPr>
          <w:color w:val="231F20"/>
          <w:spacing w:val="-4"/>
          <w:sz w:val="20"/>
        </w:rPr>
        <w:t>have</w:t>
      </w:r>
      <w:proofErr w:type="gramEnd"/>
    </w:p>
    <w:p w14:paraId="6381278C" w14:textId="77777777" w:rsidR="00894070" w:rsidRDefault="009B7AFD">
      <w:pPr>
        <w:pStyle w:val="ListParagraph"/>
        <w:numPr>
          <w:ilvl w:val="2"/>
          <w:numId w:val="65"/>
        </w:numPr>
        <w:tabs>
          <w:tab w:val="left" w:pos="2141"/>
          <w:tab w:val="left" w:pos="2142"/>
        </w:tabs>
        <w:spacing w:before="47"/>
        <w:ind w:hanging="340"/>
        <w:rPr>
          <w:sz w:val="11"/>
        </w:rPr>
      </w:pPr>
      <w:r>
        <w:rPr>
          <w:color w:val="231F20"/>
          <w:sz w:val="20"/>
        </w:rPr>
        <w:t>what actions will keep victim survivors</w:t>
      </w:r>
      <w:r>
        <w:rPr>
          <w:color w:val="231F20"/>
          <w:spacing w:val="-27"/>
          <w:sz w:val="20"/>
        </w:rPr>
        <w:t xml:space="preserve"> </w:t>
      </w:r>
      <w:r>
        <w:rPr>
          <w:color w:val="231F20"/>
          <w:sz w:val="20"/>
        </w:rPr>
        <w:t>safe.</w:t>
      </w:r>
      <w:r>
        <w:rPr>
          <w:color w:val="231F20"/>
          <w:position w:val="7"/>
          <w:sz w:val="11"/>
        </w:rPr>
        <w:t>85</w:t>
      </w:r>
    </w:p>
    <w:p w14:paraId="6CD70F48" w14:textId="77777777" w:rsidR="00894070" w:rsidRDefault="009B7AFD">
      <w:pPr>
        <w:pStyle w:val="ListParagraph"/>
        <w:numPr>
          <w:ilvl w:val="1"/>
          <w:numId w:val="65"/>
        </w:numPr>
        <w:tabs>
          <w:tab w:val="left" w:pos="1801"/>
          <w:tab w:val="left" w:pos="1802"/>
        </w:tabs>
        <w:spacing w:before="80" w:line="206" w:lineRule="auto"/>
        <w:ind w:right="1250"/>
        <w:rPr>
          <w:sz w:val="20"/>
        </w:rPr>
      </w:pPr>
      <w:r>
        <w:rPr>
          <w:color w:val="231F20"/>
          <w:spacing w:val="-3"/>
          <w:sz w:val="20"/>
        </w:rPr>
        <w:t>Education</w:t>
      </w:r>
      <w:r>
        <w:rPr>
          <w:color w:val="231F20"/>
          <w:spacing w:val="-7"/>
          <w:sz w:val="20"/>
        </w:rPr>
        <w:t xml:space="preserve"> </w:t>
      </w:r>
      <w:r>
        <w:rPr>
          <w:color w:val="231F20"/>
          <w:sz w:val="20"/>
        </w:rPr>
        <w:t>is</w:t>
      </w:r>
      <w:r>
        <w:rPr>
          <w:color w:val="231F20"/>
          <w:spacing w:val="-7"/>
          <w:sz w:val="20"/>
        </w:rPr>
        <w:t xml:space="preserve"> </w:t>
      </w:r>
      <w:r>
        <w:rPr>
          <w:color w:val="231F20"/>
          <w:sz w:val="20"/>
        </w:rPr>
        <w:t>also</w:t>
      </w:r>
      <w:r>
        <w:rPr>
          <w:color w:val="231F20"/>
          <w:spacing w:val="-7"/>
          <w:sz w:val="20"/>
        </w:rPr>
        <w:t xml:space="preserve"> </w:t>
      </w:r>
      <w:r>
        <w:rPr>
          <w:color w:val="231F20"/>
          <w:sz w:val="20"/>
        </w:rPr>
        <w:t>important</w:t>
      </w:r>
      <w:r>
        <w:rPr>
          <w:color w:val="231F20"/>
          <w:spacing w:val="-7"/>
          <w:sz w:val="20"/>
        </w:rPr>
        <w:t xml:space="preserve"> </w:t>
      </w:r>
      <w:r>
        <w:rPr>
          <w:color w:val="231F20"/>
          <w:sz w:val="20"/>
        </w:rPr>
        <w:t>to</w:t>
      </w:r>
      <w:r>
        <w:rPr>
          <w:color w:val="231F20"/>
          <w:spacing w:val="-6"/>
          <w:sz w:val="20"/>
        </w:rPr>
        <w:t xml:space="preserve"> </w:t>
      </w:r>
      <w:r>
        <w:rPr>
          <w:color w:val="231F20"/>
          <w:sz w:val="20"/>
        </w:rPr>
        <w:t>the</w:t>
      </w:r>
      <w:r>
        <w:rPr>
          <w:color w:val="231F20"/>
          <w:spacing w:val="-7"/>
          <w:sz w:val="20"/>
        </w:rPr>
        <w:t xml:space="preserve"> </w:t>
      </w:r>
      <w:r>
        <w:rPr>
          <w:color w:val="231F20"/>
          <w:sz w:val="20"/>
        </w:rPr>
        <w:t>success</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pacing w:val="-3"/>
          <w:sz w:val="20"/>
        </w:rPr>
        <w:t>reforms</w:t>
      </w:r>
      <w:r>
        <w:rPr>
          <w:color w:val="231F20"/>
          <w:spacing w:val="-7"/>
          <w:sz w:val="20"/>
        </w:rPr>
        <w:t xml:space="preserve"> </w:t>
      </w:r>
      <w:r>
        <w:rPr>
          <w:color w:val="231F20"/>
          <w:sz w:val="20"/>
        </w:rPr>
        <w:t>that</w:t>
      </w:r>
      <w:r>
        <w:rPr>
          <w:color w:val="231F20"/>
          <w:spacing w:val="-7"/>
          <w:sz w:val="20"/>
        </w:rPr>
        <w:t xml:space="preserve"> </w:t>
      </w:r>
      <w:r>
        <w:rPr>
          <w:color w:val="231F20"/>
          <w:spacing w:val="-3"/>
          <w:sz w:val="20"/>
        </w:rPr>
        <w:t>are</w:t>
      </w:r>
      <w:r>
        <w:rPr>
          <w:color w:val="231F20"/>
          <w:spacing w:val="-7"/>
          <w:sz w:val="20"/>
        </w:rPr>
        <w:t xml:space="preserve"> </w:t>
      </w:r>
      <w:r>
        <w:rPr>
          <w:color w:val="231F20"/>
          <w:sz w:val="20"/>
        </w:rPr>
        <w:t>in</w:t>
      </w:r>
      <w:r>
        <w:rPr>
          <w:color w:val="231F20"/>
          <w:spacing w:val="-6"/>
          <w:sz w:val="20"/>
        </w:rPr>
        <w:t xml:space="preserve"> </w:t>
      </w:r>
      <w:r>
        <w:rPr>
          <w:color w:val="231F20"/>
          <w:sz w:val="20"/>
        </w:rPr>
        <w:t>place</w:t>
      </w:r>
      <w:r>
        <w:rPr>
          <w:color w:val="231F20"/>
          <w:spacing w:val="-7"/>
          <w:sz w:val="20"/>
        </w:rPr>
        <w:t xml:space="preserve"> </w:t>
      </w:r>
      <w:r>
        <w:rPr>
          <w:color w:val="231F20"/>
          <w:sz w:val="20"/>
        </w:rPr>
        <w:t>and</w:t>
      </w:r>
      <w:r>
        <w:rPr>
          <w:color w:val="231F20"/>
          <w:spacing w:val="-7"/>
          <w:sz w:val="20"/>
        </w:rPr>
        <w:t xml:space="preserve"> </w:t>
      </w:r>
      <w:r>
        <w:rPr>
          <w:color w:val="231F20"/>
          <w:sz w:val="20"/>
        </w:rPr>
        <w:t>those</w:t>
      </w:r>
      <w:r>
        <w:rPr>
          <w:color w:val="231F20"/>
          <w:spacing w:val="-7"/>
          <w:sz w:val="20"/>
        </w:rPr>
        <w:t xml:space="preserve"> </w:t>
      </w:r>
      <w:r>
        <w:rPr>
          <w:color w:val="231F20"/>
          <w:sz w:val="20"/>
        </w:rPr>
        <w:t>to come.</w:t>
      </w:r>
    </w:p>
    <w:p w14:paraId="11722CCD" w14:textId="77777777" w:rsidR="00894070" w:rsidRDefault="009B7AFD">
      <w:pPr>
        <w:pStyle w:val="ListParagraph"/>
        <w:numPr>
          <w:ilvl w:val="1"/>
          <w:numId w:val="65"/>
        </w:numPr>
        <w:tabs>
          <w:tab w:val="left" w:pos="1801"/>
          <w:tab w:val="left" w:pos="1802"/>
        </w:tabs>
        <w:spacing w:before="90"/>
        <w:rPr>
          <w:sz w:val="20"/>
        </w:rPr>
      </w:pPr>
      <w:r>
        <w:rPr>
          <w:color w:val="231F20"/>
          <w:sz w:val="20"/>
        </w:rPr>
        <w:t>Suggestions</w:t>
      </w:r>
      <w:r>
        <w:rPr>
          <w:color w:val="231F20"/>
          <w:spacing w:val="-6"/>
          <w:sz w:val="20"/>
        </w:rPr>
        <w:t xml:space="preserve"> </w:t>
      </w:r>
      <w:r>
        <w:rPr>
          <w:color w:val="231F20"/>
          <w:sz w:val="20"/>
        </w:rPr>
        <w:t>on</w:t>
      </w:r>
      <w:r>
        <w:rPr>
          <w:color w:val="231F20"/>
          <w:spacing w:val="-5"/>
          <w:sz w:val="20"/>
        </w:rPr>
        <w:t xml:space="preserve"> </w:t>
      </w:r>
      <w:r>
        <w:rPr>
          <w:color w:val="231F20"/>
          <w:sz w:val="20"/>
        </w:rPr>
        <w:t>what</w:t>
      </w:r>
      <w:r>
        <w:rPr>
          <w:color w:val="231F20"/>
          <w:spacing w:val="-5"/>
          <w:sz w:val="20"/>
        </w:rPr>
        <w:t xml:space="preserve"> </w:t>
      </w:r>
      <w:r>
        <w:rPr>
          <w:color w:val="231F20"/>
          <w:sz w:val="20"/>
        </w:rPr>
        <w:t>the</w:t>
      </w:r>
      <w:r>
        <w:rPr>
          <w:color w:val="231F20"/>
          <w:spacing w:val="-6"/>
          <w:sz w:val="20"/>
        </w:rPr>
        <w:t xml:space="preserve"> </w:t>
      </w:r>
      <w:r>
        <w:rPr>
          <w:color w:val="231F20"/>
          <w:sz w:val="20"/>
        </w:rPr>
        <w:t>guidance</w:t>
      </w:r>
      <w:r>
        <w:rPr>
          <w:color w:val="231F20"/>
          <w:spacing w:val="-5"/>
          <w:sz w:val="20"/>
        </w:rPr>
        <w:t xml:space="preserve"> </w:t>
      </w:r>
      <w:r>
        <w:rPr>
          <w:color w:val="231F20"/>
          <w:sz w:val="20"/>
        </w:rPr>
        <w:t>or</w:t>
      </w:r>
      <w:r>
        <w:rPr>
          <w:color w:val="231F20"/>
          <w:spacing w:val="-5"/>
          <w:sz w:val="20"/>
        </w:rPr>
        <w:t xml:space="preserve"> </w:t>
      </w:r>
      <w:r>
        <w:rPr>
          <w:color w:val="231F20"/>
          <w:sz w:val="20"/>
        </w:rPr>
        <w:t>training</w:t>
      </w:r>
      <w:r>
        <w:rPr>
          <w:color w:val="231F20"/>
          <w:spacing w:val="-6"/>
          <w:sz w:val="20"/>
        </w:rPr>
        <w:t xml:space="preserve"> </w:t>
      </w:r>
      <w:r>
        <w:rPr>
          <w:color w:val="231F20"/>
          <w:sz w:val="20"/>
        </w:rPr>
        <w:t>should</w:t>
      </w:r>
      <w:r>
        <w:rPr>
          <w:color w:val="231F20"/>
          <w:spacing w:val="-5"/>
          <w:sz w:val="20"/>
        </w:rPr>
        <w:t xml:space="preserve"> </w:t>
      </w:r>
      <w:r>
        <w:rPr>
          <w:color w:val="231F20"/>
          <w:sz w:val="20"/>
        </w:rPr>
        <w:t>consist</w:t>
      </w:r>
      <w:r>
        <w:rPr>
          <w:color w:val="231F20"/>
          <w:spacing w:val="-5"/>
          <w:sz w:val="20"/>
        </w:rPr>
        <w:t xml:space="preserve"> </w:t>
      </w:r>
      <w:r>
        <w:rPr>
          <w:color w:val="231F20"/>
          <w:sz w:val="20"/>
        </w:rPr>
        <w:t>of</w:t>
      </w:r>
      <w:r>
        <w:rPr>
          <w:color w:val="231F20"/>
          <w:spacing w:val="-6"/>
          <w:sz w:val="20"/>
        </w:rPr>
        <w:t xml:space="preserve"> </w:t>
      </w:r>
      <w:r>
        <w:rPr>
          <w:color w:val="231F20"/>
          <w:sz w:val="20"/>
        </w:rPr>
        <w:t>included:</w:t>
      </w:r>
    </w:p>
    <w:p w14:paraId="642D80D3" w14:textId="77777777" w:rsidR="00894070" w:rsidRDefault="009B7AFD">
      <w:pPr>
        <w:pStyle w:val="ListParagraph"/>
        <w:numPr>
          <w:ilvl w:val="2"/>
          <w:numId w:val="65"/>
        </w:numPr>
        <w:tabs>
          <w:tab w:val="left" w:pos="2141"/>
          <w:tab w:val="left" w:pos="2142"/>
        </w:tabs>
        <w:spacing w:before="82" w:line="259" w:lineRule="exact"/>
        <w:ind w:hanging="340"/>
        <w:rPr>
          <w:sz w:val="20"/>
        </w:rPr>
      </w:pPr>
      <w:r>
        <w:rPr>
          <w:color w:val="231F20"/>
          <w:spacing w:val="-3"/>
          <w:sz w:val="20"/>
        </w:rPr>
        <w:t>how</w:t>
      </w:r>
      <w:r>
        <w:rPr>
          <w:color w:val="231F20"/>
          <w:spacing w:val="-7"/>
          <w:sz w:val="20"/>
        </w:rPr>
        <w:t xml:space="preserve"> </w:t>
      </w:r>
      <w:r>
        <w:rPr>
          <w:color w:val="231F20"/>
          <w:sz w:val="20"/>
        </w:rPr>
        <w:t>to</w:t>
      </w:r>
      <w:r>
        <w:rPr>
          <w:color w:val="231F20"/>
          <w:spacing w:val="-7"/>
          <w:sz w:val="20"/>
        </w:rPr>
        <w:t xml:space="preserve"> </w:t>
      </w:r>
      <w:r>
        <w:rPr>
          <w:color w:val="231F20"/>
          <w:sz w:val="20"/>
        </w:rPr>
        <w:t>characterise</w:t>
      </w:r>
      <w:r>
        <w:rPr>
          <w:color w:val="231F20"/>
          <w:spacing w:val="-6"/>
          <w:sz w:val="20"/>
        </w:rPr>
        <w:t xml:space="preserve"> </w:t>
      </w:r>
      <w:r>
        <w:rPr>
          <w:color w:val="231F20"/>
          <w:sz w:val="20"/>
        </w:rPr>
        <w:t>stalking</w:t>
      </w:r>
      <w:r>
        <w:rPr>
          <w:color w:val="231F20"/>
          <w:spacing w:val="-7"/>
          <w:sz w:val="20"/>
        </w:rPr>
        <w:t xml:space="preserve"> </w:t>
      </w:r>
      <w:r>
        <w:rPr>
          <w:color w:val="231F20"/>
          <w:sz w:val="20"/>
        </w:rPr>
        <w:t>behaviours</w:t>
      </w:r>
      <w:r>
        <w:rPr>
          <w:color w:val="231F20"/>
          <w:spacing w:val="-6"/>
          <w:sz w:val="20"/>
        </w:rPr>
        <w:t xml:space="preserve"> </w:t>
      </w:r>
      <w:r>
        <w:rPr>
          <w:color w:val="231F20"/>
          <w:sz w:val="20"/>
        </w:rPr>
        <w:t>and</w:t>
      </w:r>
      <w:r>
        <w:rPr>
          <w:color w:val="231F20"/>
          <w:spacing w:val="-7"/>
          <w:sz w:val="20"/>
        </w:rPr>
        <w:t xml:space="preserve"> </w:t>
      </w:r>
      <w:r>
        <w:rPr>
          <w:color w:val="231F20"/>
          <w:sz w:val="20"/>
        </w:rPr>
        <w:t>understand</w:t>
      </w:r>
      <w:r>
        <w:rPr>
          <w:color w:val="231F20"/>
          <w:spacing w:val="-7"/>
          <w:sz w:val="20"/>
        </w:rPr>
        <w:t xml:space="preserve"> </w:t>
      </w:r>
      <w:r>
        <w:rPr>
          <w:color w:val="231F20"/>
          <w:sz w:val="20"/>
        </w:rPr>
        <w:t>when</w:t>
      </w:r>
      <w:r>
        <w:rPr>
          <w:color w:val="231F20"/>
          <w:spacing w:val="-6"/>
          <w:sz w:val="20"/>
        </w:rPr>
        <w:t xml:space="preserve"> </w:t>
      </w:r>
      <w:r>
        <w:rPr>
          <w:color w:val="231F20"/>
          <w:sz w:val="20"/>
        </w:rPr>
        <w:t>the</w:t>
      </w:r>
      <w:r>
        <w:rPr>
          <w:color w:val="231F20"/>
          <w:spacing w:val="-7"/>
          <w:sz w:val="20"/>
        </w:rPr>
        <w:t xml:space="preserve"> </w:t>
      </w:r>
      <w:r>
        <w:rPr>
          <w:color w:val="231F20"/>
          <w:sz w:val="20"/>
        </w:rPr>
        <w:t>offence</w:t>
      </w:r>
      <w:r>
        <w:rPr>
          <w:color w:val="231F20"/>
          <w:spacing w:val="-6"/>
          <w:sz w:val="20"/>
        </w:rPr>
        <w:t xml:space="preserve"> </w:t>
      </w:r>
      <w:r>
        <w:rPr>
          <w:color w:val="231F20"/>
          <w:sz w:val="20"/>
        </w:rPr>
        <w:t>should</w:t>
      </w:r>
    </w:p>
    <w:p w14:paraId="40B3FC03" w14:textId="77777777" w:rsidR="00894070" w:rsidRDefault="009B7AFD">
      <w:pPr>
        <w:spacing w:line="259" w:lineRule="exact"/>
        <w:ind w:left="2141"/>
        <w:rPr>
          <w:sz w:val="11"/>
        </w:rPr>
      </w:pPr>
      <w:r>
        <w:rPr>
          <w:color w:val="231F20"/>
          <w:sz w:val="20"/>
        </w:rPr>
        <w:t>be used</w:t>
      </w:r>
      <w:r>
        <w:rPr>
          <w:color w:val="231F20"/>
          <w:position w:val="7"/>
          <w:sz w:val="11"/>
        </w:rPr>
        <w:t>86</w:t>
      </w:r>
    </w:p>
    <w:p w14:paraId="53D7E55E" w14:textId="77777777" w:rsidR="00894070" w:rsidRDefault="009B7AFD">
      <w:pPr>
        <w:pStyle w:val="ListParagraph"/>
        <w:numPr>
          <w:ilvl w:val="2"/>
          <w:numId w:val="65"/>
        </w:numPr>
        <w:tabs>
          <w:tab w:val="left" w:pos="2141"/>
          <w:tab w:val="left" w:pos="2142"/>
        </w:tabs>
        <w:spacing w:before="48"/>
        <w:ind w:hanging="340"/>
        <w:rPr>
          <w:sz w:val="11"/>
        </w:rPr>
      </w:pPr>
      <w:r>
        <w:rPr>
          <w:color w:val="231F20"/>
          <w:spacing w:val="-3"/>
          <w:sz w:val="20"/>
        </w:rPr>
        <w:t xml:space="preserve">how </w:t>
      </w:r>
      <w:r>
        <w:rPr>
          <w:color w:val="231F20"/>
          <w:sz w:val="20"/>
        </w:rPr>
        <w:t xml:space="preserve">to assess and </w:t>
      </w:r>
      <w:r>
        <w:rPr>
          <w:color w:val="231F20"/>
          <w:spacing w:val="-3"/>
          <w:sz w:val="20"/>
        </w:rPr>
        <w:t xml:space="preserve">apply </w:t>
      </w:r>
      <w:r>
        <w:rPr>
          <w:color w:val="231F20"/>
          <w:sz w:val="20"/>
        </w:rPr>
        <w:t>the course of conduct</w:t>
      </w:r>
      <w:r>
        <w:rPr>
          <w:color w:val="231F20"/>
          <w:spacing w:val="-34"/>
          <w:sz w:val="20"/>
        </w:rPr>
        <w:t xml:space="preserve"> </w:t>
      </w:r>
      <w:r>
        <w:rPr>
          <w:color w:val="231F20"/>
          <w:sz w:val="20"/>
        </w:rPr>
        <w:t>element.</w:t>
      </w:r>
      <w:r>
        <w:rPr>
          <w:color w:val="231F20"/>
          <w:position w:val="7"/>
          <w:sz w:val="11"/>
        </w:rPr>
        <w:t>87</w:t>
      </w:r>
    </w:p>
    <w:p w14:paraId="1C871EAB" w14:textId="77777777" w:rsidR="00894070" w:rsidRDefault="009B7AFD">
      <w:pPr>
        <w:pStyle w:val="ListParagraph"/>
        <w:numPr>
          <w:ilvl w:val="1"/>
          <w:numId w:val="65"/>
        </w:numPr>
        <w:tabs>
          <w:tab w:val="left" w:pos="1801"/>
          <w:tab w:val="left" w:pos="1802"/>
        </w:tabs>
        <w:spacing w:before="80" w:line="206" w:lineRule="auto"/>
        <w:ind w:right="1165"/>
        <w:rPr>
          <w:sz w:val="20"/>
        </w:rPr>
      </w:pPr>
      <w:r>
        <w:rPr>
          <w:color w:val="231F20"/>
          <w:sz w:val="20"/>
        </w:rPr>
        <w:t xml:space="preserve">The </w:t>
      </w:r>
      <w:r>
        <w:rPr>
          <w:color w:val="231F20"/>
          <w:spacing w:val="-3"/>
          <w:sz w:val="20"/>
        </w:rPr>
        <w:t xml:space="preserve">Magistrates’ </w:t>
      </w:r>
      <w:r>
        <w:rPr>
          <w:color w:val="231F20"/>
          <w:sz w:val="20"/>
        </w:rPr>
        <w:t xml:space="preserve">Court described a need </w:t>
      </w:r>
      <w:r>
        <w:rPr>
          <w:color w:val="231F20"/>
          <w:spacing w:val="-3"/>
          <w:sz w:val="20"/>
        </w:rPr>
        <w:t xml:space="preserve">for </w:t>
      </w:r>
      <w:r>
        <w:rPr>
          <w:color w:val="231F20"/>
          <w:sz w:val="20"/>
        </w:rPr>
        <w:t>police training ‘in terms of stalking being charged and pursued’.</w:t>
      </w:r>
      <w:r>
        <w:rPr>
          <w:color w:val="231F20"/>
          <w:position w:val="7"/>
          <w:sz w:val="11"/>
        </w:rPr>
        <w:t xml:space="preserve">88 </w:t>
      </w:r>
      <w:r>
        <w:rPr>
          <w:color w:val="231F20"/>
          <w:spacing w:val="-5"/>
          <w:sz w:val="20"/>
        </w:rPr>
        <w:t xml:space="preserve">However, </w:t>
      </w:r>
      <w:r>
        <w:rPr>
          <w:color w:val="231F20"/>
          <w:spacing w:val="-3"/>
          <w:sz w:val="20"/>
        </w:rPr>
        <w:t xml:space="preserve">separately </w:t>
      </w:r>
      <w:r>
        <w:rPr>
          <w:color w:val="231F20"/>
          <w:sz w:val="20"/>
        </w:rPr>
        <w:t xml:space="preserve">in the civil context, the Court stated that ‘There is a distinction between criminal charges in relation to stalking and the need </w:t>
      </w:r>
      <w:r>
        <w:rPr>
          <w:color w:val="231F20"/>
          <w:spacing w:val="-3"/>
          <w:sz w:val="20"/>
        </w:rPr>
        <w:t xml:space="preserve">for </w:t>
      </w:r>
      <w:r>
        <w:rPr>
          <w:color w:val="231F20"/>
          <w:sz w:val="20"/>
        </w:rPr>
        <w:t>safety</w:t>
      </w:r>
      <w:r>
        <w:rPr>
          <w:color w:val="231F20"/>
          <w:spacing w:val="-9"/>
          <w:sz w:val="20"/>
        </w:rPr>
        <w:t xml:space="preserve"> </w:t>
      </w:r>
      <w:r>
        <w:rPr>
          <w:color w:val="231F20"/>
          <w:sz w:val="20"/>
        </w:rPr>
        <w:t>and</w:t>
      </w:r>
      <w:r>
        <w:rPr>
          <w:color w:val="231F20"/>
          <w:spacing w:val="-9"/>
          <w:sz w:val="20"/>
        </w:rPr>
        <w:t xml:space="preserve"> </w:t>
      </w:r>
      <w:r>
        <w:rPr>
          <w:color w:val="231F20"/>
          <w:spacing w:val="-3"/>
          <w:sz w:val="20"/>
        </w:rPr>
        <w:t>protection</w:t>
      </w:r>
      <w:r>
        <w:rPr>
          <w:color w:val="231F20"/>
          <w:spacing w:val="-9"/>
          <w:sz w:val="20"/>
        </w:rPr>
        <w:t xml:space="preserve"> </w:t>
      </w:r>
      <w:r>
        <w:rPr>
          <w:color w:val="231F20"/>
          <w:spacing w:val="-3"/>
          <w:sz w:val="20"/>
        </w:rPr>
        <w:t>[through</w:t>
      </w:r>
      <w:r>
        <w:rPr>
          <w:color w:val="231F20"/>
          <w:spacing w:val="-9"/>
          <w:sz w:val="20"/>
        </w:rPr>
        <w:t xml:space="preserve"> </w:t>
      </w:r>
      <w:r>
        <w:rPr>
          <w:color w:val="231F20"/>
          <w:sz w:val="20"/>
        </w:rPr>
        <w:t>the</w:t>
      </w:r>
      <w:r>
        <w:rPr>
          <w:color w:val="231F20"/>
          <w:spacing w:val="-8"/>
          <w:sz w:val="20"/>
        </w:rPr>
        <w:t xml:space="preserve"> </w:t>
      </w:r>
      <w:r>
        <w:rPr>
          <w:color w:val="231F20"/>
          <w:sz w:val="20"/>
        </w:rPr>
        <w:t>civil</w:t>
      </w:r>
      <w:r>
        <w:rPr>
          <w:color w:val="231F20"/>
          <w:spacing w:val="-9"/>
          <w:sz w:val="20"/>
        </w:rPr>
        <w:t xml:space="preserve"> </w:t>
      </w:r>
      <w:r>
        <w:rPr>
          <w:color w:val="231F20"/>
          <w:spacing w:val="-3"/>
          <w:sz w:val="20"/>
        </w:rPr>
        <w:t>system].</w:t>
      </w:r>
      <w:r>
        <w:rPr>
          <w:color w:val="231F20"/>
          <w:spacing w:val="-9"/>
          <w:sz w:val="20"/>
        </w:rPr>
        <w:t xml:space="preserve"> </w:t>
      </w:r>
      <w:r>
        <w:rPr>
          <w:color w:val="231F20"/>
          <w:sz w:val="20"/>
        </w:rPr>
        <w:t>Sometimes</w:t>
      </w:r>
      <w:r>
        <w:rPr>
          <w:color w:val="231F20"/>
          <w:spacing w:val="-9"/>
          <w:sz w:val="20"/>
        </w:rPr>
        <w:t xml:space="preserve"> </w:t>
      </w:r>
      <w:r>
        <w:rPr>
          <w:color w:val="231F20"/>
          <w:sz w:val="20"/>
        </w:rPr>
        <w:t>they</w:t>
      </w:r>
      <w:r>
        <w:rPr>
          <w:color w:val="231F20"/>
          <w:spacing w:val="-8"/>
          <w:sz w:val="20"/>
        </w:rPr>
        <w:t xml:space="preserve"> </w:t>
      </w:r>
      <w:r>
        <w:rPr>
          <w:color w:val="231F20"/>
          <w:sz w:val="20"/>
        </w:rPr>
        <w:t>merge</w:t>
      </w:r>
      <w:r>
        <w:rPr>
          <w:color w:val="231F20"/>
          <w:spacing w:val="-9"/>
          <w:sz w:val="20"/>
        </w:rPr>
        <w:t xml:space="preserve"> </w:t>
      </w:r>
      <w:r>
        <w:rPr>
          <w:color w:val="231F20"/>
          <w:sz w:val="20"/>
        </w:rPr>
        <w:t>and</w:t>
      </w:r>
      <w:r>
        <w:rPr>
          <w:color w:val="231F20"/>
          <w:spacing w:val="-9"/>
          <w:sz w:val="20"/>
        </w:rPr>
        <w:t xml:space="preserve"> </w:t>
      </w:r>
      <w:r>
        <w:rPr>
          <w:color w:val="231F20"/>
          <w:sz w:val="20"/>
        </w:rPr>
        <w:t xml:space="preserve">sometimes they </w:t>
      </w:r>
      <w:r>
        <w:rPr>
          <w:color w:val="231F20"/>
          <w:spacing w:val="-3"/>
          <w:sz w:val="20"/>
        </w:rPr>
        <w:t xml:space="preserve">are </w:t>
      </w:r>
      <w:r>
        <w:rPr>
          <w:color w:val="231F20"/>
          <w:sz w:val="20"/>
        </w:rPr>
        <w:t xml:space="preserve">dealt with </w:t>
      </w:r>
      <w:r>
        <w:rPr>
          <w:color w:val="231F20"/>
          <w:spacing w:val="-4"/>
          <w:sz w:val="20"/>
        </w:rPr>
        <w:t xml:space="preserve">differently. </w:t>
      </w:r>
      <w:r>
        <w:rPr>
          <w:color w:val="231F20"/>
          <w:sz w:val="20"/>
        </w:rPr>
        <w:t xml:space="preserve">This needs to be </w:t>
      </w:r>
      <w:r>
        <w:rPr>
          <w:color w:val="231F20"/>
          <w:spacing w:val="-3"/>
          <w:sz w:val="20"/>
        </w:rPr>
        <w:t>given attention’.</w:t>
      </w:r>
      <w:r>
        <w:rPr>
          <w:color w:val="231F20"/>
          <w:spacing w:val="-3"/>
          <w:position w:val="7"/>
          <w:sz w:val="11"/>
        </w:rPr>
        <w:t xml:space="preserve">89 </w:t>
      </w:r>
      <w:r>
        <w:rPr>
          <w:color w:val="231F20"/>
          <w:spacing w:val="-6"/>
          <w:sz w:val="20"/>
        </w:rPr>
        <w:t xml:space="preserve">We </w:t>
      </w:r>
      <w:r>
        <w:rPr>
          <w:color w:val="231F20"/>
          <w:sz w:val="20"/>
        </w:rPr>
        <w:t xml:space="preserve">agree with this </w:t>
      </w:r>
      <w:proofErr w:type="gramStart"/>
      <w:r>
        <w:rPr>
          <w:color w:val="231F20"/>
          <w:sz w:val="20"/>
        </w:rPr>
        <w:t>assessment,</w:t>
      </w:r>
      <w:r>
        <w:rPr>
          <w:color w:val="231F20"/>
          <w:spacing w:val="-7"/>
          <w:sz w:val="20"/>
        </w:rPr>
        <w:t xml:space="preserve"> </w:t>
      </w:r>
      <w:r>
        <w:rPr>
          <w:color w:val="231F20"/>
          <w:sz w:val="20"/>
        </w:rPr>
        <w:t>and</w:t>
      </w:r>
      <w:proofErr w:type="gramEnd"/>
      <w:r>
        <w:rPr>
          <w:color w:val="231F20"/>
          <w:spacing w:val="-7"/>
          <w:sz w:val="20"/>
        </w:rPr>
        <w:t xml:space="preserve"> </w:t>
      </w:r>
      <w:r>
        <w:rPr>
          <w:color w:val="231F20"/>
          <w:sz w:val="20"/>
        </w:rPr>
        <w:t>consider</w:t>
      </w:r>
      <w:r>
        <w:rPr>
          <w:color w:val="231F20"/>
          <w:spacing w:val="-7"/>
          <w:sz w:val="20"/>
        </w:rPr>
        <w:t xml:space="preserve"> </w:t>
      </w:r>
      <w:r>
        <w:rPr>
          <w:color w:val="231F20"/>
          <w:sz w:val="20"/>
        </w:rPr>
        <w:t>that</w:t>
      </w:r>
      <w:r>
        <w:rPr>
          <w:color w:val="231F20"/>
          <w:spacing w:val="-6"/>
          <w:sz w:val="20"/>
        </w:rPr>
        <w:t xml:space="preserve"> </w:t>
      </w:r>
      <w:r>
        <w:rPr>
          <w:color w:val="231F20"/>
          <w:sz w:val="20"/>
        </w:rPr>
        <w:t>this</w:t>
      </w:r>
      <w:r>
        <w:rPr>
          <w:color w:val="231F20"/>
          <w:spacing w:val="-7"/>
          <w:sz w:val="20"/>
        </w:rPr>
        <w:t xml:space="preserve"> </w:t>
      </w:r>
      <w:r>
        <w:rPr>
          <w:color w:val="231F20"/>
          <w:sz w:val="20"/>
        </w:rPr>
        <w:t>could</w:t>
      </w:r>
      <w:r>
        <w:rPr>
          <w:color w:val="231F20"/>
          <w:spacing w:val="-7"/>
          <w:sz w:val="20"/>
        </w:rPr>
        <w:t xml:space="preserve"> </w:t>
      </w:r>
      <w:r>
        <w:rPr>
          <w:color w:val="231F20"/>
          <w:sz w:val="20"/>
        </w:rPr>
        <w:t>also</w:t>
      </w:r>
      <w:r>
        <w:rPr>
          <w:color w:val="231F20"/>
          <w:spacing w:val="-6"/>
          <w:sz w:val="20"/>
        </w:rPr>
        <w:t xml:space="preserve"> </w:t>
      </w:r>
      <w:r>
        <w:rPr>
          <w:color w:val="231F20"/>
          <w:sz w:val="20"/>
        </w:rPr>
        <w:t>be</w:t>
      </w:r>
      <w:r>
        <w:rPr>
          <w:color w:val="231F20"/>
          <w:spacing w:val="-7"/>
          <w:sz w:val="20"/>
        </w:rPr>
        <w:t xml:space="preserve"> </w:t>
      </w:r>
      <w:r>
        <w:rPr>
          <w:color w:val="231F20"/>
          <w:sz w:val="20"/>
        </w:rPr>
        <w:t>a</w:t>
      </w:r>
      <w:r>
        <w:rPr>
          <w:color w:val="231F20"/>
          <w:spacing w:val="-7"/>
          <w:sz w:val="20"/>
        </w:rPr>
        <w:t xml:space="preserve"> </w:t>
      </w:r>
      <w:r>
        <w:rPr>
          <w:color w:val="231F20"/>
          <w:sz w:val="20"/>
        </w:rPr>
        <w:t>useful</w:t>
      </w:r>
      <w:r>
        <w:rPr>
          <w:color w:val="231F20"/>
          <w:spacing w:val="-6"/>
          <w:sz w:val="20"/>
        </w:rPr>
        <w:t xml:space="preserve"> </w:t>
      </w:r>
      <w:r>
        <w:rPr>
          <w:color w:val="231F20"/>
          <w:sz w:val="20"/>
        </w:rPr>
        <w:t>area</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police</w:t>
      </w:r>
      <w:r>
        <w:rPr>
          <w:color w:val="231F20"/>
          <w:spacing w:val="-6"/>
          <w:sz w:val="20"/>
        </w:rPr>
        <w:t xml:space="preserve"> </w:t>
      </w:r>
      <w:r>
        <w:rPr>
          <w:color w:val="231F20"/>
          <w:sz w:val="20"/>
        </w:rPr>
        <w:t>training.</w:t>
      </w:r>
    </w:p>
    <w:p w14:paraId="06B03F98" w14:textId="77777777" w:rsidR="00894070" w:rsidRDefault="009B7AFD">
      <w:pPr>
        <w:pStyle w:val="ListParagraph"/>
        <w:numPr>
          <w:ilvl w:val="1"/>
          <w:numId w:val="65"/>
        </w:numPr>
        <w:tabs>
          <w:tab w:val="left" w:pos="1801"/>
          <w:tab w:val="left" w:pos="1802"/>
        </w:tabs>
        <w:spacing w:before="127" w:line="206" w:lineRule="auto"/>
        <w:ind w:right="1234"/>
        <w:rPr>
          <w:sz w:val="11"/>
        </w:rPr>
      </w:pPr>
      <w:r>
        <w:rPr>
          <w:color w:val="231F20"/>
          <w:sz w:val="20"/>
        </w:rPr>
        <w:t xml:space="preserve">Victoria Legal Aid noted that police </w:t>
      </w:r>
      <w:r>
        <w:rPr>
          <w:color w:val="231F20"/>
          <w:spacing w:val="-3"/>
          <w:sz w:val="20"/>
        </w:rPr>
        <w:t xml:space="preserve">apply </w:t>
      </w:r>
      <w:r>
        <w:rPr>
          <w:color w:val="231F20"/>
          <w:sz w:val="20"/>
        </w:rPr>
        <w:t xml:space="preserve">the </w:t>
      </w:r>
      <w:r>
        <w:rPr>
          <w:color w:val="231F20"/>
          <w:spacing w:val="-3"/>
          <w:sz w:val="20"/>
        </w:rPr>
        <w:t xml:space="preserve">‘layman’s </w:t>
      </w:r>
      <w:r>
        <w:rPr>
          <w:color w:val="231F20"/>
          <w:sz w:val="20"/>
        </w:rPr>
        <w:t xml:space="preserve">understanding of </w:t>
      </w:r>
      <w:r>
        <w:rPr>
          <w:color w:val="231F20"/>
          <w:spacing w:val="-3"/>
          <w:sz w:val="20"/>
        </w:rPr>
        <w:t xml:space="preserve">stalking’— </w:t>
      </w:r>
      <w:r>
        <w:rPr>
          <w:color w:val="231F20"/>
          <w:sz w:val="20"/>
        </w:rPr>
        <w:t xml:space="preserve">with too </w:t>
      </w:r>
      <w:r>
        <w:rPr>
          <w:color w:val="231F20"/>
          <w:spacing w:val="-3"/>
          <w:sz w:val="20"/>
        </w:rPr>
        <w:t xml:space="preserve">great </w:t>
      </w:r>
      <w:r>
        <w:rPr>
          <w:color w:val="231F20"/>
          <w:sz w:val="20"/>
        </w:rPr>
        <w:t xml:space="preserve">a </w:t>
      </w:r>
      <w:r>
        <w:rPr>
          <w:color w:val="231F20"/>
          <w:spacing w:val="-3"/>
          <w:sz w:val="20"/>
        </w:rPr>
        <w:t xml:space="preserve">focus </w:t>
      </w:r>
      <w:r>
        <w:rPr>
          <w:color w:val="231F20"/>
          <w:sz w:val="20"/>
        </w:rPr>
        <w:t xml:space="preserve">on the physical conduct, at the expense of the </w:t>
      </w:r>
      <w:r>
        <w:rPr>
          <w:color w:val="231F20"/>
          <w:spacing w:val="-3"/>
          <w:sz w:val="20"/>
        </w:rPr>
        <w:t xml:space="preserve">offence’s </w:t>
      </w:r>
      <w:r>
        <w:rPr>
          <w:color w:val="231F20"/>
          <w:sz w:val="20"/>
        </w:rPr>
        <w:t>mental elements—and</w:t>
      </w:r>
      <w:r>
        <w:rPr>
          <w:color w:val="231F20"/>
          <w:spacing w:val="-12"/>
          <w:sz w:val="20"/>
        </w:rPr>
        <w:t xml:space="preserve"> </w:t>
      </w:r>
      <w:r>
        <w:rPr>
          <w:color w:val="231F20"/>
          <w:spacing w:val="-3"/>
          <w:sz w:val="20"/>
        </w:rPr>
        <w:t>are</w:t>
      </w:r>
      <w:r>
        <w:rPr>
          <w:color w:val="231F20"/>
          <w:spacing w:val="-11"/>
          <w:sz w:val="20"/>
        </w:rPr>
        <w:t xml:space="preserve"> </w:t>
      </w:r>
      <w:r>
        <w:rPr>
          <w:color w:val="231F20"/>
          <w:sz w:val="20"/>
        </w:rPr>
        <w:t>inconsistent</w:t>
      </w:r>
      <w:r>
        <w:rPr>
          <w:color w:val="231F20"/>
          <w:spacing w:val="-12"/>
          <w:sz w:val="20"/>
        </w:rPr>
        <w:t xml:space="preserve"> </w:t>
      </w:r>
      <w:r>
        <w:rPr>
          <w:color w:val="231F20"/>
          <w:sz w:val="20"/>
        </w:rPr>
        <w:t>in</w:t>
      </w:r>
      <w:r>
        <w:rPr>
          <w:color w:val="231F20"/>
          <w:spacing w:val="-11"/>
          <w:sz w:val="20"/>
        </w:rPr>
        <w:t xml:space="preserve"> </w:t>
      </w:r>
      <w:r>
        <w:rPr>
          <w:color w:val="231F20"/>
          <w:sz w:val="20"/>
        </w:rPr>
        <w:t>their</w:t>
      </w:r>
      <w:r>
        <w:rPr>
          <w:color w:val="231F20"/>
          <w:spacing w:val="-12"/>
          <w:sz w:val="20"/>
        </w:rPr>
        <w:t xml:space="preserve"> </w:t>
      </w:r>
      <w:r>
        <w:rPr>
          <w:color w:val="231F20"/>
          <w:sz w:val="20"/>
        </w:rPr>
        <w:t>use</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2"/>
          <w:sz w:val="20"/>
        </w:rPr>
        <w:t xml:space="preserve"> </w:t>
      </w:r>
      <w:r>
        <w:rPr>
          <w:color w:val="231F20"/>
          <w:sz w:val="20"/>
        </w:rPr>
        <w:t>stalking</w:t>
      </w:r>
      <w:r>
        <w:rPr>
          <w:color w:val="231F20"/>
          <w:spacing w:val="-11"/>
          <w:sz w:val="20"/>
        </w:rPr>
        <w:t xml:space="preserve"> </w:t>
      </w:r>
      <w:r>
        <w:rPr>
          <w:color w:val="231F20"/>
          <w:sz w:val="20"/>
        </w:rPr>
        <w:t>offence.</w:t>
      </w:r>
      <w:r>
        <w:rPr>
          <w:color w:val="231F20"/>
          <w:position w:val="7"/>
          <w:sz w:val="11"/>
        </w:rPr>
        <w:t>90</w:t>
      </w:r>
      <w:r>
        <w:rPr>
          <w:color w:val="231F20"/>
          <w:spacing w:val="12"/>
          <w:position w:val="7"/>
          <w:sz w:val="11"/>
        </w:rPr>
        <w:t xml:space="preserve"> </w:t>
      </w:r>
      <w:r>
        <w:rPr>
          <w:color w:val="231F20"/>
          <w:spacing w:val="-6"/>
          <w:sz w:val="20"/>
        </w:rPr>
        <w:t>We</w:t>
      </w:r>
      <w:r>
        <w:rPr>
          <w:color w:val="231F20"/>
          <w:spacing w:val="-11"/>
          <w:sz w:val="20"/>
        </w:rPr>
        <w:t xml:space="preserve"> </w:t>
      </w:r>
      <w:r>
        <w:rPr>
          <w:color w:val="231F20"/>
          <w:sz w:val="20"/>
        </w:rPr>
        <w:t>heard</w:t>
      </w:r>
      <w:r>
        <w:rPr>
          <w:color w:val="231F20"/>
          <w:spacing w:val="-12"/>
          <w:sz w:val="20"/>
        </w:rPr>
        <w:t xml:space="preserve"> </w:t>
      </w:r>
      <w:r>
        <w:rPr>
          <w:color w:val="231F20"/>
          <w:sz w:val="20"/>
        </w:rPr>
        <w:t>that</w:t>
      </w:r>
      <w:r>
        <w:rPr>
          <w:color w:val="231F20"/>
          <w:spacing w:val="-11"/>
          <w:sz w:val="20"/>
        </w:rPr>
        <w:t xml:space="preserve"> </w:t>
      </w:r>
      <w:r>
        <w:rPr>
          <w:color w:val="231F20"/>
          <w:sz w:val="20"/>
        </w:rPr>
        <w:t xml:space="preserve">this inconsistency can be seen in relation to the course of conduct element, which police officers </w:t>
      </w:r>
      <w:r>
        <w:rPr>
          <w:color w:val="231F20"/>
          <w:spacing w:val="-4"/>
          <w:sz w:val="20"/>
        </w:rPr>
        <w:t xml:space="preserve">‘are </w:t>
      </w:r>
      <w:r>
        <w:rPr>
          <w:color w:val="231F20"/>
          <w:spacing w:val="-3"/>
          <w:sz w:val="20"/>
        </w:rPr>
        <w:t xml:space="preserve">interpreting </w:t>
      </w:r>
      <w:r>
        <w:rPr>
          <w:color w:val="231F20"/>
          <w:sz w:val="20"/>
        </w:rPr>
        <w:t>…</w:t>
      </w:r>
      <w:r>
        <w:rPr>
          <w:color w:val="231F20"/>
          <w:spacing w:val="-10"/>
          <w:sz w:val="20"/>
        </w:rPr>
        <w:t xml:space="preserve"> </w:t>
      </w:r>
      <w:r>
        <w:rPr>
          <w:color w:val="231F20"/>
          <w:spacing w:val="-3"/>
          <w:sz w:val="20"/>
        </w:rPr>
        <w:t>widely’.</w:t>
      </w:r>
      <w:r>
        <w:rPr>
          <w:color w:val="231F20"/>
          <w:spacing w:val="-3"/>
          <w:position w:val="7"/>
          <w:sz w:val="11"/>
        </w:rPr>
        <w:t>91</w:t>
      </w:r>
    </w:p>
    <w:p w14:paraId="328469E9" w14:textId="77777777" w:rsidR="00894070" w:rsidRDefault="009B7AFD">
      <w:pPr>
        <w:pStyle w:val="ListParagraph"/>
        <w:numPr>
          <w:ilvl w:val="1"/>
          <w:numId w:val="65"/>
        </w:numPr>
        <w:tabs>
          <w:tab w:val="left" w:pos="1801"/>
          <w:tab w:val="left" w:pos="1802"/>
        </w:tabs>
        <w:spacing w:before="127" w:line="206" w:lineRule="auto"/>
        <w:ind w:right="1195"/>
        <w:rPr>
          <w:sz w:val="20"/>
        </w:rPr>
      </w:pPr>
      <w:r>
        <w:rPr>
          <w:color w:val="231F20"/>
          <w:sz w:val="20"/>
        </w:rPr>
        <w:t xml:space="preserve">Victoria Police submitted that while it had not identified </w:t>
      </w:r>
      <w:r>
        <w:rPr>
          <w:color w:val="231F20"/>
          <w:spacing w:val="-3"/>
          <w:sz w:val="20"/>
        </w:rPr>
        <w:t xml:space="preserve">any </w:t>
      </w:r>
      <w:r>
        <w:rPr>
          <w:color w:val="231F20"/>
          <w:sz w:val="20"/>
        </w:rPr>
        <w:t xml:space="preserve">issues with the stalking </w:t>
      </w:r>
      <w:r>
        <w:rPr>
          <w:color w:val="231F20"/>
          <w:spacing w:val="-3"/>
          <w:sz w:val="20"/>
        </w:rPr>
        <w:t xml:space="preserve">offence, </w:t>
      </w:r>
      <w:r>
        <w:rPr>
          <w:color w:val="231F20"/>
          <w:sz w:val="20"/>
        </w:rPr>
        <w:t xml:space="preserve">‘the most difficult aspect is gathering sufficient evidence to charge and then particularise and </w:t>
      </w:r>
      <w:r>
        <w:rPr>
          <w:color w:val="231F20"/>
          <w:spacing w:val="-4"/>
          <w:sz w:val="20"/>
        </w:rPr>
        <w:t xml:space="preserve">prove </w:t>
      </w:r>
      <w:r>
        <w:rPr>
          <w:color w:val="231F20"/>
          <w:sz w:val="20"/>
        </w:rPr>
        <w:t xml:space="preserve">the offence (including demonstrating a course of </w:t>
      </w:r>
      <w:r>
        <w:rPr>
          <w:color w:val="231F20"/>
          <w:spacing w:val="-3"/>
          <w:sz w:val="20"/>
        </w:rPr>
        <w:t xml:space="preserve">conduct)’. </w:t>
      </w:r>
      <w:r>
        <w:rPr>
          <w:color w:val="231F20"/>
          <w:sz w:val="20"/>
        </w:rPr>
        <w:t>It acknowledged</w:t>
      </w:r>
      <w:r>
        <w:rPr>
          <w:color w:val="231F20"/>
          <w:spacing w:val="-11"/>
          <w:sz w:val="20"/>
        </w:rPr>
        <w:t xml:space="preserve"> </w:t>
      </w:r>
      <w:r>
        <w:rPr>
          <w:color w:val="231F20"/>
          <w:sz w:val="20"/>
        </w:rPr>
        <w:t>that</w:t>
      </w:r>
      <w:r>
        <w:rPr>
          <w:color w:val="231F20"/>
          <w:spacing w:val="-11"/>
          <w:sz w:val="20"/>
        </w:rPr>
        <w:t xml:space="preserve"> </w:t>
      </w:r>
      <w:r>
        <w:rPr>
          <w:color w:val="231F20"/>
          <w:sz w:val="20"/>
        </w:rPr>
        <w:t>‘stalking</w:t>
      </w:r>
      <w:r>
        <w:rPr>
          <w:color w:val="231F20"/>
          <w:spacing w:val="-10"/>
          <w:sz w:val="20"/>
        </w:rPr>
        <w:t xml:space="preserve"> </w:t>
      </w:r>
      <w:r>
        <w:rPr>
          <w:color w:val="231F20"/>
          <w:sz w:val="20"/>
        </w:rPr>
        <w:t>cases</w:t>
      </w:r>
      <w:r>
        <w:rPr>
          <w:color w:val="231F20"/>
          <w:spacing w:val="-11"/>
          <w:sz w:val="20"/>
        </w:rPr>
        <w:t xml:space="preserve"> </w:t>
      </w:r>
      <w:r>
        <w:rPr>
          <w:color w:val="231F20"/>
          <w:sz w:val="20"/>
        </w:rPr>
        <w:t>do</w:t>
      </w:r>
      <w:r>
        <w:rPr>
          <w:color w:val="231F20"/>
          <w:spacing w:val="-10"/>
          <w:sz w:val="20"/>
        </w:rPr>
        <w:t xml:space="preserve"> </w:t>
      </w:r>
      <w:r>
        <w:rPr>
          <w:color w:val="231F20"/>
          <w:spacing w:val="-3"/>
          <w:sz w:val="20"/>
        </w:rPr>
        <w:t>require</w:t>
      </w:r>
      <w:r>
        <w:rPr>
          <w:color w:val="231F20"/>
          <w:spacing w:val="-11"/>
          <w:sz w:val="20"/>
        </w:rPr>
        <w:t xml:space="preserve"> </w:t>
      </w:r>
      <w:r>
        <w:rPr>
          <w:color w:val="231F20"/>
          <w:sz w:val="20"/>
        </w:rPr>
        <w:t>significant</w:t>
      </w:r>
      <w:r>
        <w:rPr>
          <w:color w:val="231F20"/>
          <w:spacing w:val="-10"/>
          <w:sz w:val="20"/>
        </w:rPr>
        <w:t xml:space="preserve"> </w:t>
      </w:r>
      <w:r>
        <w:rPr>
          <w:color w:val="231F20"/>
          <w:spacing w:val="-3"/>
          <w:sz w:val="20"/>
        </w:rPr>
        <w:t>professional</w:t>
      </w:r>
      <w:r>
        <w:rPr>
          <w:color w:val="231F20"/>
          <w:spacing w:val="-11"/>
          <w:sz w:val="20"/>
        </w:rPr>
        <w:t xml:space="preserve"> </w:t>
      </w:r>
      <w:r>
        <w:rPr>
          <w:color w:val="231F20"/>
          <w:sz w:val="20"/>
        </w:rPr>
        <w:t>judgement</w:t>
      </w:r>
      <w:r>
        <w:rPr>
          <w:color w:val="231F20"/>
          <w:spacing w:val="-11"/>
          <w:sz w:val="20"/>
        </w:rPr>
        <w:t xml:space="preserve"> </w:t>
      </w:r>
      <w:r>
        <w:rPr>
          <w:color w:val="231F20"/>
          <w:sz w:val="20"/>
        </w:rPr>
        <w:t>…</w:t>
      </w:r>
      <w:r>
        <w:rPr>
          <w:color w:val="231F20"/>
          <w:spacing w:val="-10"/>
          <w:sz w:val="20"/>
        </w:rPr>
        <w:t xml:space="preserve"> </w:t>
      </w:r>
      <w:r>
        <w:rPr>
          <w:color w:val="231F20"/>
          <w:sz w:val="20"/>
        </w:rPr>
        <w:t xml:space="preserve">[and </w:t>
      </w:r>
      <w:r>
        <w:rPr>
          <w:color w:val="231F20"/>
          <w:spacing w:val="-3"/>
          <w:sz w:val="20"/>
        </w:rPr>
        <w:t xml:space="preserve">are </w:t>
      </w:r>
      <w:r>
        <w:rPr>
          <w:color w:val="231F20"/>
          <w:sz w:val="20"/>
        </w:rPr>
        <w:t>an area that] can be challenging … because stalking behaviours can be so varied and</w:t>
      </w:r>
      <w:r>
        <w:rPr>
          <w:color w:val="231F20"/>
          <w:spacing w:val="-6"/>
          <w:sz w:val="20"/>
        </w:rPr>
        <w:t xml:space="preserve"> </w:t>
      </w:r>
      <w:r>
        <w:rPr>
          <w:color w:val="231F20"/>
          <w:spacing w:val="-3"/>
          <w:sz w:val="20"/>
        </w:rPr>
        <w:t>are</w:t>
      </w:r>
      <w:r>
        <w:rPr>
          <w:color w:val="231F20"/>
          <w:spacing w:val="-6"/>
          <w:sz w:val="20"/>
        </w:rPr>
        <w:t xml:space="preserve"> </w:t>
      </w:r>
      <w:r>
        <w:rPr>
          <w:color w:val="231F20"/>
          <w:sz w:val="20"/>
        </w:rPr>
        <w:t>very</w:t>
      </w:r>
      <w:r>
        <w:rPr>
          <w:color w:val="231F20"/>
          <w:spacing w:val="-6"/>
          <w:sz w:val="20"/>
        </w:rPr>
        <w:t xml:space="preserve"> </w:t>
      </w:r>
      <w:r>
        <w:rPr>
          <w:color w:val="231F20"/>
          <w:spacing w:val="-4"/>
          <w:sz w:val="20"/>
        </w:rPr>
        <w:t>contextual’.</w:t>
      </w:r>
      <w:r>
        <w:rPr>
          <w:color w:val="231F20"/>
          <w:spacing w:val="-4"/>
          <w:position w:val="7"/>
          <w:sz w:val="11"/>
        </w:rPr>
        <w:t>92</w:t>
      </w:r>
      <w:r>
        <w:rPr>
          <w:color w:val="231F20"/>
          <w:spacing w:val="18"/>
          <w:position w:val="7"/>
          <w:sz w:val="11"/>
        </w:rPr>
        <w:t xml:space="preserve"> </w:t>
      </w:r>
      <w:r>
        <w:rPr>
          <w:color w:val="231F20"/>
          <w:sz w:val="20"/>
        </w:rPr>
        <w:t>These</w:t>
      </w:r>
      <w:r>
        <w:rPr>
          <w:color w:val="231F20"/>
          <w:spacing w:val="-6"/>
          <w:sz w:val="20"/>
        </w:rPr>
        <w:t xml:space="preserve"> </w:t>
      </w:r>
      <w:r>
        <w:rPr>
          <w:color w:val="231F20"/>
          <w:sz w:val="20"/>
        </w:rPr>
        <w:t>could</w:t>
      </w:r>
      <w:r>
        <w:rPr>
          <w:color w:val="231F20"/>
          <w:spacing w:val="-6"/>
          <w:sz w:val="20"/>
        </w:rPr>
        <w:t xml:space="preserve"> </w:t>
      </w:r>
      <w:r>
        <w:rPr>
          <w:color w:val="231F20"/>
          <w:sz w:val="20"/>
        </w:rPr>
        <w:t>also</w:t>
      </w:r>
      <w:r>
        <w:rPr>
          <w:color w:val="231F20"/>
          <w:spacing w:val="-6"/>
          <w:sz w:val="20"/>
        </w:rPr>
        <w:t xml:space="preserve"> </w:t>
      </w:r>
      <w:r>
        <w:rPr>
          <w:color w:val="231F20"/>
          <w:sz w:val="20"/>
        </w:rPr>
        <w:t>be</w:t>
      </w:r>
      <w:r>
        <w:rPr>
          <w:color w:val="231F20"/>
          <w:spacing w:val="-6"/>
          <w:sz w:val="20"/>
        </w:rPr>
        <w:t xml:space="preserve"> </w:t>
      </w:r>
      <w:r>
        <w:rPr>
          <w:color w:val="231F20"/>
          <w:sz w:val="20"/>
        </w:rPr>
        <w:t>areas</w:t>
      </w:r>
      <w:r>
        <w:rPr>
          <w:color w:val="231F20"/>
          <w:spacing w:val="-6"/>
          <w:sz w:val="20"/>
        </w:rPr>
        <w:t xml:space="preserve"> </w:t>
      </w:r>
      <w:r>
        <w:rPr>
          <w:color w:val="231F20"/>
          <w:sz w:val="20"/>
        </w:rPr>
        <w:t>of</w:t>
      </w:r>
      <w:r>
        <w:rPr>
          <w:color w:val="231F20"/>
          <w:spacing w:val="-6"/>
          <w:sz w:val="20"/>
        </w:rPr>
        <w:t xml:space="preserve"> </w:t>
      </w:r>
      <w:r>
        <w:rPr>
          <w:color w:val="231F20"/>
          <w:spacing w:val="-3"/>
          <w:sz w:val="20"/>
        </w:rPr>
        <w:t>focus</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guidance</w:t>
      </w:r>
      <w:r>
        <w:rPr>
          <w:color w:val="231F20"/>
          <w:spacing w:val="-6"/>
          <w:sz w:val="20"/>
        </w:rPr>
        <w:t xml:space="preserve"> </w:t>
      </w:r>
      <w:r>
        <w:rPr>
          <w:color w:val="231F20"/>
          <w:sz w:val="20"/>
        </w:rPr>
        <w:t>and</w:t>
      </w:r>
      <w:r>
        <w:rPr>
          <w:color w:val="231F20"/>
          <w:spacing w:val="-5"/>
          <w:sz w:val="20"/>
        </w:rPr>
        <w:t xml:space="preserve"> </w:t>
      </w:r>
      <w:r>
        <w:rPr>
          <w:color w:val="231F20"/>
          <w:sz w:val="20"/>
        </w:rPr>
        <w:t>training.</w:t>
      </w:r>
    </w:p>
    <w:p w14:paraId="1CDFD242" w14:textId="77777777" w:rsidR="00894070" w:rsidRDefault="009B7AFD">
      <w:pPr>
        <w:pStyle w:val="ListParagraph"/>
        <w:numPr>
          <w:ilvl w:val="1"/>
          <w:numId w:val="65"/>
        </w:numPr>
        <w:tabs>
          <w:tab w:val="left" w:pos="1801"/>
          <w:tab w:val="left" w:pos="1802"/>
        </w:tabs>
        <w:spacing w:before="127" w:line="206" w:lineRule="auto"/>
        <w:ind w:right="1645"/>
        <w:rPr>
          <w:sz w:val="20"/>
        </w:rPr>
      </w:pPr>
      <w:r>
        <w:rPr>
          <w:color w:val="231F20"/>
          <w:sz w:val="20"/>
        </w:rPr>
        <w:t>In</w:t>
      </w:r>
      <w:r>
        <w:rPr>
          <w:color w:val="231F20"/>
          <w:spacing w:val="-8"/>
          <w:sz w:val="20"/>
        </w:rPr>
        <w:t xml:space="preserve"> </w:t>
      </w:r>
      <w:r>
        <w:rPr>
          <w:color w:val="231F20"/>
          <w:sz w:val="20"/>
        </w:rPr>
        <w:t>our</w:t>
      </w:r>
      <w:r>
        <w:rPr>
          <w:color w:val="231F20"/>
          <w:spacing w:val="-7"/>
          <w:sz w:val="20"/>
        </w:rPr>
        <w:t xml:space="preserve"> </w:t>
      </w:r>
      <w:r>
        <w:rPr>
          <w:color w:val="231F20"/>
          <w:spacing w:val="-3"/>
          <w:sz w:val="20"/>
        </w:rPr>
        <w:t>interim</w:t>
      </w:r>
      <w:r>
        <w:rPr>
          <w:color w:val="231F20"/>
          <w:spacing w:val="-7"/>
          <w:sz w:val="20"/>
        </w:rPr>
        <w:t xml:space="preserve"> </w:t>
      </w:r>
      <w:r>
        <w:rPr>
          <w:color w:val="231F20"/>
          <w:sz w:val="20"/>
        </w:rPr>
        <w:t>report</w:t>
      </w:r>
      <w:r>
        <w:rPr>
          <w:color w:val="231F20"/>
          <w:spacing w:val="-8"/>
          <w:sz w:val="20"/>
        </w:rPr>
        <w:t xml:space="preserve"> </w:t>
      </w:r>
      <w:r>
        <w:rPr>
          <w:color w:val="231F20"/>
          <w:spacing w:val="-3"/>
          <w:sz w:val="20"/>
        </w:rPr>
        <w:t>we</w:t>
      </w:r>
      <w:r>
        <w:rPr>
          <w:color w:val="231F20"/>
          <w:spacing w:val="-7"/>
          <w:sz w:val="20"/>
        </w:rPr>
        <w:t xml:space="preserve"> </w:t>
      </w:r>
      <w:r>
        <w:rPr>
          <w:color w:val="231F20"/>
          <w:sz w:val="20"/>
        </w:rPr>
        <w:t>make</w:t>
      </w:r>
      <w:r>
        <w:rPr>
          <w:color w:val="231F20"/>
          <w:spacing w:val="-7"/>
          <w:sz w:val="20"/>
        </w:rPr>
        <w:t xml:space="preserve"> </w:t>
      </w:r>
      <w:r>
        <w:rPr>
          <w:color w:val="231F20"/>
          <w:sz w:val="20"/>
        </w:rPr>
        <w:t>recommendations</w:t>
      </w:r>
      <w:r>
        <w:rPr>
          <w:color w:val="231F20"/>
          <w:spacing w:val="-8"/>
          <w:sz w:val="20"/>
        </w:rPr>
        <w:t xml:space="preserve"> </w:t>
      </w:r>
      <w:r>
        <w:rPr>
          <w:color w:val="231F20"/>
          <w:sz w:val="20"/>
        </w:rPr>
        <w:t>that</w:t>
      </w:r>
      <w:r>
        <w:rPr>
          <w:color w:val="231F20"/>
          <w:spacing w:val="-7"/>
          <w:sz w:val="20"/>
        </w:rPr>
        <w:t xml:space="preserve"> </w:t>
      </w:r>
      <w:r>
        <w:rPr>
          <w:color w:val="231F20"/>
          <w:spacing w:val="-3"/>
          <w:sz w:val="20"/>
        </w:rPr>
        <w:t>would</w:t>
      </w:r>
      <w:r>
        <w:rPr>
          <w:color w:val="231F20"/>
          <w:spacing w:val="-7"/>
          <w:sz w:val="20"/>
        </w:rPr>
        <w:t xml:space="preserve"> </w:t>
      </w:r>
      <w:r>
        <w:rPr>
          <w:color w:val="231F20"/>
          <w:sz w:val="20"/>
        </w:rPr>
        <w:t>help</w:t>
      </w:r>
      <w:r>
        <w:rPr>
          <w:color w:val="231F20"/>
          <w:spacing w:val="-8"/>
          <w:sz w:val="20"/>
        </w:rPr>
        <w:t xml:space="preserve"> </w:t>
      </w:r>
      <w:r>
        <w:rPr>
          <w:color w:val="231F20"/>
          <w:spacing w:val="-4"/>
          <w:sz w:val="20"/>
        </w:rPr>
        <w:t>improve</w:t>
      </w:r>
      <w:r>
        <w:rPr>
          <w:color w:val="231F20"/>
          <w:spacing w:val="-7"/>
          <w:sz w:val="20"/>
        </w:rPr>
        <w:t xml:space="preserve"> </w:t>
      </w:r>
      <w:r>
        <w:rPr>
          <w:color w:val="231F20"/>
          <w:spacing w:val="-3"/>
          <w:sz w:val="20"/>
        </w:rPr>
        <w:t>how</w:t>
      </w:r>
      <w:r>
        <w:rPr>
          <w:color w:val="231F20"/>
          <w:spacing w:val="-7"/>
          <w:sz w:val="20"/>
        </w:rPr>
        <w:t xml:space="preserve"> </w:t>
      </w:r>
      <w:r>
        <w:rPr>
          <w:color w:val="231F20"/>
          <w:sz w:val="20"/>
        </w:rPr>
        <w:t>the stalking offence is</w:t>
      </w:r>
      <w:r>
        <w:rPr>
          <w:color w:val="231F20"/>
          <w:spacing w:val="-14"/>
          <w:sz w:val="20"/>
        </w:rPr>
        <w:t xml:space="preserve"> </w:t>
      </w:r>
      <w:r>
        <w:rPr>
          <w:color w:val="231F20"/>
          <w:sz w:val="20"/>
        </w:rPr>
        <w:t>applied:</w:t>
      </w:r>
    </w:p>
    <w:p w14:paraId="5191F3CF" w14:textId="77777777" w:rsidR="00894070" w:rsidRDefault="009B7AFD">
      <w:pPr>
        <w:pStyle w:val="ListParagraph"/>
        <w:numPr>
          <w:ilvl w:val="2"/>
          <w:numId w:val="65"/>
        </w:numPr>
        <w:tabs>
          <w:tab w:val="left" w:pos="2141"/>
          <w:tab w:val="left" w:pos="2142"/>
        </w:tabs>
        <w:spacing w:before="123" w:line="206" w:lineRule="auto"/>
        <w:ind w:right="1818" w:hanging="340"/>
        <w:rPr>
          <w:sz w:val="20"/>
        </w:rPr>
      </w:pPr>
      <w:r>
        <w:rPr>
          <w:color w:val="231F20"/>
          <w:sz w:val="20"/>
        </w:rPr>
        <w:t>Victoria</w:t>
      </w:r>
      <w:r>
        <w:rPr>
          <w:color w:val="231F20"/>
          <w:spacing w:val="-9"/>
          <w:sz w:val="20"/>
        </w:rPr>
        <w:t xml:space="preserve"> </w:t>
      </w:r>
      <w:r>
        <w:rPr>
          <w:color w:val="231F20"/>
          <w:sz w:val="20"/>
        </w:rPr>
        <w:t>Police</w:t>
      </w:r>
      <w:r>
        <w:rPr>
          <w:color w:val="231F20"/>
          <w:spacing w:val="-9"/>
          <w:sz w:val="20"/>
        </w:rPr>
        <w:t xml:space="preserve"> </w:t>
      </w:r>
      <w:r>
        <w:rPr>
          <w:color w:val="231F20"/>
          <w:sz w:val="20"/>
        </w:rPr>
        <w:t>should</w:t>
      </w:r>
      <w:r>
        <w:rPr>
          <w:color w:val="231F20"/>
          <w:spacing w:val="-8"/>
          <w:sz w:val="20"/>
        </w:rPr>
        <w:t xml:space="preserve"> </w:t>
      </w:r>
      <w:r>
        <w:rPr>
          <w:color w:val="231F20"/>
          <w:sz w:val="20"/>
        </w:rPr>
        <w:t>engage</w:t>
      </w:r>
      <w:r>
        <w:rPr>
          <w:color w:val="231F20"/>
          <w:spacing w:val="-9"/>
          <w:sz w:val="20"/>
        </w:rPr>
        <w:t xml:space="preserve"> </w:t>
      </w:r>
      <w:r>
        <w:rPr>
          <w:color w:val="231F20"/>
          <w:sz w:val="20"/>
        </w:rPr>
        <w:t>with</w:t>
      </w:r>
      <w:r>
        <w:rPr>
          <w:color w:val="231F20"/>
          <w:spacing w:val="-9"/>
          <w:sz w:val="20"/>
        </w:rPr>
        <w:t xml:space="preserve"> </w:t>
      </w:r>
      <w:r>
        <w:rPr>
          <w:color w:val="231F20"/>
          <w:spacing w:val="-3"/>
          <w:sz w:val="20"/>
        </w:rPr>
        <w:t>appropriate</w:t>
      </w:r>
      <w:r>
        <w:rPr>
          <w:color w:val="231F20"/>
          <w:spacing w:val="-8"/>
          <w:sz w:val="20"/>
        </w:rPr>
        <w:t xml:space="preserve"> </w:t>
      </w:r>
      <w:r>
        <w:rPr>
          <w:color w:val="231F20"/>
          <w:sz w:val="20"/>
        </w:rPr>
        <w:t>experts</w:t>
      </w:r>
      <w:r>
        <w:rPr>
          <w:color w:val="231F20"/>
          <w:spacing w:val="-9"/>
          <w:sz w:val="20"/>
        </w:rPr>
        <w:t xml:space="preserve"> </w:t>
      </w:r>
      <w:r>
        <w:rPr>
          <w:color w:val="231F20"/>
          <w:sz w:val="20"/>
        </w:rPr>
        <w:t>to</w:t>
      </w:r>
      <w:r>
        <w:rPr>
          <w:color w:val="231F20"/>
          <w:spacing w:val="-9"/>
          <w:sz w:val="20"/>
        </w:rPr>
        <w:t xml:space="preserve"> </w:t>
      </w:r>
      <w:r>
        <w:rPr>
          <w:color w:val="231F20"/>
          <w:spacing w:val="-3"/>
          <w:sz w:val="20"/>
        </w:rPr>
        <w:t>provide</w:t>
      </w:r>
      <w:r>
        <w:rPr>
          <w:color w:val="231F20"/>
          <w:spacing w:val="-8"/>
          <w:sz w:val="20"/>
        </w:rPr>
        <w:t xml:space="preserve"> </w:t>
      </w:r>
      <w:r>
        <w:rPr>
          <w:color w:val="231F20"/>
          <w:sz w:val="20"/>
        </w:rPr>
        <w:t>training</w:t>
      </w:r>
      <w:r>
        <w:rPr>
          <w:color w:val="231F20"/>
          <w:spacing w:val="-9"/>
          <w:sz w:val="20"/>
        </w:rPr>
        <w:t xml:space="preserve"> </w:t>
      </w:r>
      <w:r>
        <w:rPr>
          <w:color w:val="231F20"/>
          <w:sz w:val="20"/>
        </w:rPr>
        <w:t>to enhance</w:t>
      </w:r>
      <w:r>
        <w:rPr>
          <w:color w:val="231F20"/>
          <w:spacing w:val="-11"/>
          <w:sz w:val="20"/>
        </w:rPr>
        <w:t xml:space="preserve"> </w:t>
      </w:r>
      <w:r>
        <w:rPr>
          <w:color w:val="231F20"/>
          <w:sz w:val="20"/>
        </w:rPr>
        <w:t>the</w:t>
      </w:r>
      <w:r>
        <w:rPr>
          <w:color w:val="231F20"/>
          <w:spacing w:val="-11"/>
          <w:sz w:val="20"/>
        </w:rPr>
        <w:t xml:space="preserve"> </w:t>
      </w:r>
      <w:r>
        <w:rPr>
          <w:color w:val="231F20"/>
          <w:sz w:val="20"/>
        </w:rPr>
        <w:t>understanding</w:t>
      </w:r>
      <w:r>
        <w:rPr>
          <w:color w:val="231F20"/>
          <w:spacing w:val="-11"/>
          <w:sz w:val="20"/>
        </w:rPr>
        <w:t xml:space="preserve"> </w:t>
      </w:r>
      <w:r>
        <w:rPr>
          <w:color w:val="231F20"/>
          <w:sz w:val="20"/>
        </w:rPr>
        <w:t>of</w:t>
      </w:r>
      <w:r>
        <w:rPr>
          <w:color w:val="231F20"/>
          <w:spacing w:val="-11"/>
          <w:sz w:val="20"/>
        </w:rPr>
        <w:t xml:space="preserve"> </w:t>
      </w:r>
      <w:r>
        <w:rPr>
          <w:color w:val="231F20"/>
          <w:spacing w:val="-3"/>
          <w:sz w:val="20"/>
        </w:rPr>
        <w:t>frontline</w:t>
      </w:r>
      <w:r>
        <w:rPr>
          <w:color w:val="231F20"/>
          <w:spacing w:val="-11"/>
          <w:sz w:val="20"/>
        </w:rPr>
        <w:t xml:space="preserve"> </w:t>
      </w:r>
      <w:r>
        <w:rPr>
          <w:color w:val="231F20"/>
          <w:sz w:val="20"/>
        </w:rPr>
        <w:t>police</w:t>
      </w:r>
      <w:r>
        <w:rPr>
          <w:color w:val="231F20"/>
          <w:spacing w:val="-11"/>
          <w:sz w:val="20"/>
        </w:rPr>
        <w:t xml:space="preserve"> </w:t>
      </w:r>
      <w:r>
        <w:rPr>
          <w:color w:val="231F20"/>
          <w:sz w:val="20"/>
        </w:rPr>
        <w:t>to</w:t>
      </w:r>
      <w:r>
        <w:rPr>
          <w:color w:val="231F20"/>
          <w:spacing w:val="-11"/>
          <w:sz w:val="20"/>
        </w:rPr>
        <w:t xml:space="preserve"> </w:t>
      </w:r>
      <w:r>
        <w:rPr>
          <w:color w:val="231F20"/>
          <w:sz w:val="20"/>
        </w:rPr>
        <w:t>identify</w:t>
      </w:r>
      <w:r>
        <w:rPr>
          <w:color w:val="231F20"/>
          <w:spacing w:val="-11"/>
          <w:sz w:val="20"/>
        </w:rPr>
        <w:t xml:space="preserve"> </w:t>
      </w:r>
      <w:r>
        <w:rPr>
          <w:color w:val="231F20"/>
          <w:sz w:val="20"/>
        </w:rPr>
        <w:t>stalking</w:t>
      </w:r>
      <w:r>
        <w:rPr>
          <w:color w:val="231F20"/>
          <w:spacing w:val="-11"/>
          <w:sz w:val="20"/>
        </w:rPr>
        <w:t xml:space="preserve"> </w:t>
      </w:r>
      <w:r>
        <w:rPr>
          <w:color w:val="231F20"/>
          <w:sz w:val="20"/>
        </w:rPr>
        <w:t>behaviours</w:t>
      </w:r>
    </w:p>
    <w:p w14:paraId="67433120" w14:textId="77777777" w:rsidR="00894070" w:rsidRDefault="009B7AFD">
      <w:pPr>
        <w:pStyle w:val="ListParagraph"/>
        <w:numPr>
          <w:ilvl w:val="2"/>
          <w:numId w:val="65"/>
        </w:numPr>
        <w:tabs>
          <w:tab w:val="left" w:pos="2141"/>
          <w:tab w:val="left" w:pos="2142"/>
        </w:tabs>
        <w:spacing w:before="87" w:line="206" w:lineRule="auto"/>
        <w:ind w:right="1556" w:hanging="340"/>
        <w:rPr>
          <w:sz w:val="20"/>
        </w:rPr>
      </w:pPr>
      <w:r>
        <w:rPr>
          <w:color w:val="231F20"/>
          <w:sz w:val="20"/>
        </w:rPr>
        <w:t>Victoria</w:t>
      </w:r>
      <w:r>
        <w:rPr>
          <w:color w:val="231F20"/>
          <w:spacing w:val="-10"/>
          <w:sz w:val="20"/>
        </w:rPr>
        <w:t xml:space="preserve"> </w:t>
      </w:r>
      <w:r>
        <w:rPr>
          <w:color w:val="231F20"/>
          <w:sz w:val="20"/>
        </w:rPr>
        <w:t>Police</w:t>
      </w:r>
      <w:r>
        <w:rPr>
          <w:color w:val="231F20"/>
          <w:spacing w:val="-10"/>
          <w:sz w:val="20"/>
        </w:rPr>
        <w:t xml:space="preserve"> </w:t>
      </w:r>
      <w:r>
        <w:rPr>
          <w:color w:val="231F20"/>
          <w:sz w:val="20"/>
        </w:rPr>
        <w:t>should</w:t>
      </w:r>
      <w:r>
        <w:rPr>
          <w:color w:val="231F20"/>
          <w:spacing w:val="-10"/>
          <w:sz w:val="20"/>
        </w:rPr>
        <w:t xml:space="preserve"> </w:t>
      </w:r>
      <w:r>
        <w:rPr>
          <w:color w:val="231F20"/>
          <w:spacing w:val="-3"/>
          <w:sz w:val="20"/>
        </w:rPr>
        <w:t>develop</w:t>
      </w:r>
      <w:r>
        <w:rPr>
          <w:color w:val="231F20"/>
          <w:spacing w:val="-10"/>
          <w:sz w:val="20"/>
        </w:rPr>
        <w:t xml:space="preserve"> </w:t>
      </w:r>
      <w:r>
        <w:rPr>
          <w:color w:val="231F20"/>
          <w:sz w:val="20"/>
        </w:rPr>
        <w:t>guidance</w:t>
      </w:r>
      <w:r>
        <w:rPr>
          <w:color w:val="231F20"/>
          <w:spacing w:val="-10"/>
          <w:sz w:val="20"/>
        </w:rPr>
        <w:t xml:space="preserve"> </w:t>
      </w:r>
      <w:r>
        <w:rPr>
          <w:color w:val="231F20"/>
          <w:spacing w:val="-3"/>
          <w:sz w:val="20"/>
        </w:rPr>
        <w:t>for</w:t>
      </w:r>
      <w:r>
        <w:rPr>
          <w:color w:val="231F20"/>
          <w:spacing w:val="-10"/>
          <w:sz w:val="20"/>
        </w:rPr>
        <w:t xml:space="preserve"> </w:t>
      </w:r>
      <w:r>
        <w:rPr>
          <w:color w:val="231F20"/>
          <w:spacing w:val="-3"/>
          <w:sz w:val="20"/>
        </w:rPr>
        <w:t>frontline</w:t>
      </w:r>
      <w:r>
        <w:rPr>
          <w:color w:val="231F20"/>
          <w:spacing w:val="-10"/>
          <w:sz w:val="20"/>
        </w:rPr>
        <w:t xml:space="preserve"> </w:t>
      </w:r>
      <w:r>
        <w:rPr>
          <w:color w:val="231F20"/>
          <w:sz w:val="20"/>
        </w:rPr>
        <w:t>police</w:t>
      </w:r>
      <w:r>
        <w:rPr>
          <w:color w:val="231F20"/>
          <w:spacing w:val="-10"/>
          <w:sz w:val="20"/>
        </w:rPr>
        <w:t xml:space="preserve"> </w:t>
      </w:r>
      <w:r>
        <w:rPr>
          <w:color w:val="231F20"/>
          <w:sz w:val="20"/>
        </w:rPr>
        <w:t>on</w:t>
      </w:r>
      <w:r>
        <w:rPr>
          <w:color w:val="231F20"/>
          <w:spacing w:val="-10"/>
          <w:sz w:val="20"/>
        </w:rPr>
        <w:t xml:space="preserve"> </w:t>
      </w:r>
      <w:r>
        <w:rPr>
          <w:color w:val="231F20"/>
          <w:sz w:val="20"/>
        </w:rPr>
        <w:t>interviewing</w:t>
      </w:r>
      <w:r>
        <w:rPr>
          <w:color w:val="231F20"/>
          <w:spacing w:val="-10"/>
          <w:sz w:val="20"/>
        </w:rPr>
        <w:t xml:space="preserve"> </w:t>
      </w:r>
      <w:r>
        <w:rPr>
          <w:color w:val="231F20"/>
          <w:sz w:val="20"/>
        </w:rPr>
        <w:t>and communicating with victim survivors of</w:t>
      </w:r>
      <w:r>
        <w:rPr>
          <w:color w:val="231F20"/>
          <w:spacing w:val="-25"/>
          <w:sz w:val="20"/>
        </w:rPr>
        <w:t xml:space="preserve"> </w:t>
      </w:r>
      <w:r>
        <w:rPr>
          <w:color w:val="231F20"/>
          <w:sz w:val="20"/>
        </w:rPr>
        <w:t>stalking</w:t>
      </w:r>
    </w:p>
    <w:p w14:paraId="17C08C2B" w14:textId="77777777" w:rsidR="00894070" w:rsidRDefault="009B7AFD">
      <w:pPr>
        <w:pStyle w:val="ListParagraph"/>
        <w:numPr>
          <w:ilvl w:val="2"/>
          <w:numId w:val="65"/>
        </w:numPr>
        <w:tabs>
          <w:tab w:val="left" w:pos="2141"/>
          <w:tab w:val="left" w:pos="2142"/>
        </w:tabs>
        <w:spacing w:before="55" w:line="259" w:lineRule="exact"/>
        <w:ind w:hanging="340"/>
        <w:rPr>
          <w:sz w:val="20"/>
        </w:rPr>
      </w:pPr>
      <w:r>
        <w:rPr>
          <w:color w:val="231F20"/>
          <w:sz w:val="20"/>
        </w:rPr>
        <w:t>Victoria</w:t>
      </w:r>
      <w:r>
        <w:rPr>
          <w:color w:val="231F20"/>
          <w:spacing w:val="-6"/>
          <w:sz w:val="20"/>
        </w:rPr>
        <w:t xml:space="preserve"> </w:t>
      </w:r>
      <w:r>
        <w:rPr>
          <w:color w:val="231F20"/>
          <w:sz w:val="20"/>
        </w:rPr>
        <w:t>Police</w:t>
      </w:r>
      <w:r>
        <w:rPr>
          <w:color w:val="231F20"/>
          <w:spacing w:val="-6"/>
          <w:sz w:val="20"/>
        </w:rPr>
        <w:t xml:space="preserve"> </w:t>
      </w:r>
      <w:r>
        <w:rPr>
          <w:color w:val="231F20"/>
          <w:sz w:val="20"/>
        </w:rPr>
        <w:t>should</w:t>
      </w:r>
      <w:r>
        <w:rPr>
          <w:color w:val="231F20"/>
          <w:spacing w:val="-5"/>
          <w:sz w:val="20"/>
        </w:rPr>
        <w:t xml:space="preserve"> </w:t>
      </w:r>
      <w:r>
        <w:rPr>
          <w:color w:val="231F20"/>
          <w:spacing w:val="-3"/>
          <w:sz w:val="20"/>
        </w:rPr>
        <w:t>develop</w:t>
      </w:r>
      <w:r>
        <w:rPr>
          <w:color w:val="231F20"/>
          <w:spacing w:val="-6"/>
          <w:sz w:val="20"/>
        </w:rPr>
        <w:t xml:space="preserve"> </w:t>
      </w:r>
      <w:r>
        <w:rPr>
          <w:color w:val="231F20"/>
          <w:sz w:val="20"/>
        </w:rPr>
        <w:t>guidance</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identifying</w:t>
      </w:r>
      <w:r>
        <w:rPr>
          <w:color w:val="231F20"/>
          <w:spacing w:val="-5"/>
          <w:sz w:val="20"/>
        </w:rPr>
        <w:t xml:space="preserve"> </w:t>
      </w:r>
      <w:r>
        <w:rPr>
          <w:color w:val="231F20"/>
          <w:sz w:val="20"/>
        </w:rPr>
        <w:t>and</w:t>
      </w:r>
      <w:r>
        <w:rPr>
          <w:color w:val="231F20"/>
          <w:spacing w:val="-6"/>
          <w:sz w:val="20"/>
        </w:rPr>
        <w:t xml:space="preserve"> </w:t>
      </w:r>
      <w:r>
        <w:rPr>
          <w:color w:val="231F20"/>
          <w:sz w:val="20"/>
        </w:rPr>
        <w:t>gathering</w:t>
      </w:r>
      <w:r>
        <w:rPr>
          <w:color w:val="231F20"/>
          <w:spacing w:val="-5"/>
          <w:sz w:val="20"/>
        </w:rPr>
        <w:t xml:space="preserve"> </w:t>
      </w:r>
      <w:r>
        <w:rPr>
          <w:color w:val="231F20"/>
          <w:spacing w:val="-3"/>
          <w:sz w:val="20"/>
        </w:rPr>
        <w:t>information</w:t>
      </w:r>
    </w:p>
    <w:p w14:paraId="50CE048B" w14:textId="77777777" w:rsidR="00894070" w:rsidRDefault="009B7AFD">
      <w:pPr>
        <w:pStyle w:val="BodyText"/>
        <w:spacing w:line="259" w:lineRule="exact"/>
        <w:ind w:left="2141"/>
      </w:pPr>
      <w:r>
        <w:rPr>
          <w:color w:val="231F20"/>
        </w:rPr>
        <w:t>about stalking for frontline police</w:t>
      </w:r>
    </w:p>
    <w:p w14:paraId="0A9127CF" w14:textId="77777777" w:rsidR="00894070" w:rsidRDefault="009B7AFD">
      <w:pPr>
        <w:pStyle w:val="ListParagraph"/>
        <w:numPr>
          <w:ilvl w:val="2"/>
          <w:numId w:val="65"/>
        </w:numPr>
        <w:tabs>
          <w:tab w:val="left" w:pos="2141"/>
          <w:tab w:val="left" w:pos="2142"/>
        </w:tabs>
        <w:spacing w:before="48"/>
        <w:ind w:hanging="340"/>
        <w:rPr>
          <w:sz w:val="20"/>
        </w:rPr>
      </w:pPr>
      <w:r>
        <w:rPr>
          <w:color w:val="231F20"/>
          <w:sz w:val="20"/>
        </w:rPr>
        <w:t>Victoria</w:t>
      </w:r>
      <w:r>
        <w:rPr>
          <w:color w:val="231F20"/>
          <w:spacing w:val="-7"/>
          <w:sz w:val="20"/>
        </w:rPr>
        <w:t xml:space="preserve"> </w:t>
      </w:r>
      <w:r>
        <w:rPr>
          <w:color w:val="231F20"/>
          <w:sz w:val="20"/>
        </w:rPr>
        <w:t>Police</w:t>
      </w:r>
      <w:r>
        <w:rPr>
          <w:color w:val="231F20"/>
          <w:spacing w:val="-6"/>
          <w:sz w:val="20"/>
        </w:rPr>
        <w:t xml:space="preserve"> </w:t>
      </w:r>
      <w:r>
        <w:rPr>
          <w:color w:val="231F20"/>
          <w:sz w:val="20"/>
        </w:rPr>
        <w:t>should</w:t>
      </w:r>
      <w:r>
        <w:rPr>
          <w:color w:val="231F20"/>
          <w:spacing w:val="-6"/>
          <w:sz w:val="20"/>
        </w:rPr>
        <w:t xml:space="preserve"> </w:t>
      </w:r>
      <w:r>
        <w:rPr>
          <w:color w:val="231F20"/>
          <w:spacing w:val="-3"/>
          <w:sz w:val="20"/>
        </w:rPr>
        <w:t>record</w:t>
      </w:r>
      <w:r>
        <w:rPr>
          <w:color w:val="231F20"/>
          <w:spacing w:val="-7"/>
          <w:sz w:val="20"/>
        </w:rPr>
        <w:t xml:space="preserve"> </w:t>
      </w:r>
      <w:r>
        <w:rPr>
          <w:color w:val="231F20"/>
          <w:sz w:val="20"/>
        </w:rPr>
        <w:t>every</w:t>
      </w:r>
      <w:r>
        <w:rPr>
          <w:color w:val="231F20"/>
          <w:spacing w:val="-6"/>
          <w:sz w:val="20"/>
        </w:rPr>
        <w:t xml:space="preserve"> </w:t>
      </w:r>
      <w:r>
        <w:rPr>
          <w:color w:val="231F20"/>
          <w:sz w:val="20"/>
        </w:rPr>
        <w:t>presentation</w:t>
      </w:r>
      <w:r>
        <w:rPr>
          <w:color w:val="231F20"/>
          <w:spacing w:val="-6"/>
          <w:sz w:val="20"/>
        </w:rPr>
        <w:t xml:space="preserve"> </w:t>
      </w:r>
      <w:r>
        <w:rPr>
          <w:color w:val="231F20"/>
          <w:sz w:val="20"/>
        </w:rPr>
        <w:t>to</w:t>
      </w:r>
      <w:r>
        <w:rPr>
          <w:color w:val="231F20"/>
          <w:spacing w:val="-6"/>
          <w:sz w:val="20"/>
        </w:rPr>
        <w:t xml:space="preserve"> </w:t>
      </w:r>
      <w:r>
        <w:rPr>
          <w:color w:val="231F20"/>
          <w:sz w:val="20"/>
        </w:rPr>
        <w:t>police</w:t>
      </w:r>
      <w:r>
        <w:rPr>
          <w:color w:val="231F20"/>
          <w:spacing w:val="-7"/>
          <w:sz w:val="20"/>
        </w:rPr>
        <w:t xml:space="preserve"> </w:t>
      </w:r>
      <w:r>
        <w:rPr>
          <w:color w:val="231F20"/>
          <w:sz w:val="20"/>
        </w:rPr>
        <w:t>with</w:t>
      </w:r>
      <w:r>
        <w:rPr>
          <w:color w:val="231F20"/>
          <w:spacing w:val="-6"/>
          <w:sz w:val="20"/>
        </w:rPr>
        <w:t xml:space="preserve"> </w:t>
      </w:r>
      <w:r>
        <w:rPr>
          <w:color w:val="231F20"/>
          <w:sz w:val="20"/>
        </w:rPr>
        <w:t>a</w:t>
      </w:r>
      <w:r>
        <w:rPr>
          <w:color w:val="231F20"/>
          <w:spacing w:val="-6"/>
          <w:sz w:val="20"/>
        </w:rPr>
        <w:t xml:space="preserve"> </w:t>
      </w:r>
      <w:r>
        <w:rPr>
          <w:color w:val="231F20"/>
          <w:sz w:val="20"/>
        </w:rPr>
        <w:t>report</w:t>
      </w:r>
      <w:r>
        <w:rPr>
          <w:color w:val="231F20"/>
          <w:spacing w:val="-6"/>
          <w:sz w:val="20"/>
        </w:rPr>
        <w:t xml:space="preserve"> </w:t>
      </w:r>
      <w:r>
        <w:rPr>
          <w:color w:val="231F20"/>
          <w:sz w:val="20"/>
        </w:rPr>
        <w:t>of</w:t>
      </w:r>
      <w:r>
        <w:rPr>
          <w:color w:val="231F20"/>
          <w:spacing w:val="-7"/>
          <w:sz w:val="20"/>
        </w:rPr>
        <w:t xml:space="preserve"> </w:t>
      </w:r>
      <w:r>
        <w:rPr>
          <w:color w:val="231F20"/>
          <w:sz w:val="20"/>
        </w:rPr>
        <w:t>stalking</w:t>
      </w:r>
    </w:p>
    <w:p w14:paraId="7DB0E578" w14:textId="77777777" w:rsidR="00894070" w:rsidRDefault="009F6793">
      <w:pPr>
        <w:pStyle w:val="BodyText"/>
        <w:spacing w:before="8"/>
        <w:rPr>
          <w:sz w:val="27"/>
        </w:rPr>
      </w:pPr>
      <w:r>
        <w:pict w14:anchorId="0A009492">
          <v:line id="_x0000_s1206" style="position:absolute;z-index:251732992;mso-wrap-distance-left:0;mso-wrap-distance-right:0;mso-position-horizontal-relative:page" from="79.35pt,21.6pt" to="515.9pt,21.6pt" strokecolor="#f8cabc" strokeweight="1pt">
            <w10:wrap type="topAndBottom" anchorx="page"/>
          </v:line>
        </w:pict>
      </w:r>
    </w:p>
    <w:p w14:paraId="0660326B" w14:textId="77777777" w:rsidR="00894070" w:rsidRDefault="00894070">
      <w:pPr>
        <w:pStyle w:val="BodyText"/>
        <w:rPr>
          <w:sz w:val="5"/>
        </w:rPr>
      </w:pPr>
    </w:p>
    <w:p w14:paraId="337AF63C" w14:textId="77777777" w:rsidR="00894070" w:rsidRDefault="00894070">
      <w:pPr>
        <w:rPr>
          <w:sz w:val="5"/>
        </w:rPr>
        <w:sectPr w:rsidR="00894070">
          <w:pgSz w:w="11910" w:h="16840"/>
          <w:pgMar w:top="840" w:right="420" w:bottom="280" w:left="580" w:header="0" w:footer="0" w:gutter="0"/>
          <w:cols w:space="720"/>
        </w:sectPr>
      </w:pPr>
    </w:p>
    <w:p w14:paraId="0F451A97" w14:textId="77777777" w:rsidR="00894070" w:rsidRDefault="009B7AFD">
      <w:pPr>
        <w:pStyle w:val="ListParagraph"/>
        <w:numPr>
          <w:ilvl w:val="0"/>
          <w:numId w:val="54"/>
        </w:numPr>
        <w:tabs>
          <w:tab w:val="left" w:pos="1800"/>
          <w:tab w:val="left" w:pos="1802"/>
        </w:tabs>
        <w:spacing w:before="21" w:line="170" w:lineRule="exact"/>
        <w:jc w:val="left"/>
        <w:rPr>
          <w:sz w:val="13"/>
        </w:rPr>
      </w:pPr>
      <w:r>
        <w:rPr>
          <w:color w:val="231F20"/>
          <w:sz w:val="13"/>
        </w:rPr>
        <w:t xml:space="preserve">Consultations 6 (Magistrates’ </w:t>
      </w:r>
      <w:r>
        <w:rPr>
          <w:color w:val="231F20"/>
          <w:spacing w:val="2"/>
          <w:sz w:val="13"/>
        </w:rPr>
        <w:t xml:space="preserve">Court </w:t>
      </w:r>
      <w:r>
        <w:rPr>
          <w:color w:val="231F20"/>
          <w:sz w:val="13"/>
        </w:rPr>
        <w:t xml:space="preserve">of Victoria (No 1)), 13 (Victoria Legal Aid), 18 (County </w:t>
      </w:r>
      <w:r>
        <w:rPr>
          <w:color w:val="231F20"/>
          <w:spacing w:val="2"/>
          <w:sz w:val="13"/>
        </w:rPr>
        <w:t xml:space="preserve">Court </w:t>
      </w:r>
      <w:r>
        <w:rPr>
          <w:color w:val="231F20"/>
          <w:sz w:val="13"/>
        </w:rPr>
        <w:t>of</w:t>
      </w:r>
      <w:r>
        <w:rPr>
          <w:color w:val="231F20"/>
          <w:spacing w:val="29"/>
          <w:sz w:val="13"/>
        </w:rPr>
        <w:t xml:space="preserve"> </w:t>
      </w:r>
      <w:r>
        <w:rPr>
          <w:color w:val="231F20"/>
          <w:sz w:val="13"/>
        </w:rPr>
        <w:t>Victoria).</w:t>
      </w:r>
    </w:p>
    <w:p w14:paraId="6919CE92" w14:textId="77777777" w:rsidR="00894070" w:rsidRDefault="009B7AFD">
      <w:pPr>
        <w:pStyle w:val="ListParagraph"/>
        <w:numPr>
          <w:ilvl w:val="0"/>
          <w:numId w:val="54"/>
        </w:numPr>
        <w:tabs>
          <w:tab w:val="left" w:pos="1801"/>
          <w:tab w:val="left" w:pos="1802"/>
        </w:tabs>
        <w:spacing w:before="7" w:line="213" w:lineRule="auto"/>
        <w:jc w:val="left"/>
        <w:rPr>
          <w:sz w:val="13"/>
        </w:rPr>
      </w:pPr>
      <w:r>
        <w:rPr>
          <w:color w:val="231F20"/>
          <w:sz w:val="13"/>
        </w:rPr>
        <w:t xml:space="preserve">See generally Patrick Q Brady and Matt R Nobles, ‘The Dark Figure of </w:t>
      </w:r>
      <w:r>
        <w:rPr>
          <w:color w:val="231F20"/>
          <w:spacing w:val="2"/>
          <w:sz w:val="13"/>
        </w:rPr>
        <w:t xml:space="preserve">Stalking—Examining </w:t>
      </w:r>
      <w:r>
        <w:rPr>
          <w:color w:val="231F20"/>
          <w:sz w:val="13"/>
        </w:rPr>
        <w:t xml:space="preserve">Law Enforcement Response’ (2017) 32(20) </w:t>
      </w:r>
      <w:r>
        <w:rPr>
          <w:i/>
          <w:color w:val="231F20"/>
          <w:sz w:val="13"/>
        </w:rPr>
        <w:t xml:space="preserve">Journal of Interpersonal Violence </w:t>
      </w:r>
      <w:r>
        <w:rPr>
          <w:color w:val="231F20"/>
          <w:spacing w:val="2"/>
          <w:sz w:val="13"/>
        </w:rPr>
        <w:t xml:space="preserve">3149; </w:t>
      </w:r>
      <w:r>
        <w:rPr>
          <w:color w:val="231F20"/>
          <w:sz w:val="13"/>
        </w:rPr>
        <w:t xml:space="preserve">Ronnie B Harmon et </w:t>
      </w:r>
      <w:r>
        <w:rPr>
          <w:color w:val="231F20"/>
          <w:spacing w:val="2"/>
          <w:sz w:val="13"/>
        </w:rPr>
        <w:t xml:space="preserve">al, </w:t>
      </w:r>
      <w:r>
        <w:rPr>
          <w:color w:val="231F20"/>
          <w:sz w:val="13"/>
        </w:rPr>
        <w:t xml:space="preserve">‘The Impact of Anti-Stalking Training on Front Line </w:t>
      </w:r>
      <w:r>
        <w:rPr>
          <w:color w:val="231F20"/>
          <w:spacing w:val="2"/>
          <w:sz w:val="13"/>
        </w:rPr>
        <w:t xml:space="preserve">Service </w:t>
      </w:r>
      <w:r>
        <w:rPr>
          <w:color w:val="231F20"/>
          <w:sz w:val="13"/>
        </w:rPr>
        <w:t xml:space="preserve">Providers: Using the Anti-Stalking Training Evaluation Protocol (ASTEP)’ (2004) </w:t>
      </w:r>
      <w:r>
        <w:rPr>
          <w:color w:val="231F20"/>
          <w:spacing w:val="2"/>
          <w:sz w:val="13"/>
        </w:rPr>
        <w:t xml:space="preserve">49(5) </w:t>
      </w:r>
      <w:r>
        <w:rPr>
          <w:i/>
          <w:color w:val="231F20"/>
          <w:sz w:val="13"/>
        </w:rPr>
        <w:t xml:space="preserve">Journal of Forensic </w:t>
      </w:r>
      <w:r>
        <w:rPr>
          <w:i/>
          <w:color w:val="231F20"/>
          <w:spacing w:val="2"/>
          <w:sz w:val="13"/>
        </w:rPr>
        <w:t xml:space="preserve">Sciences </w:t>
      </w:r>
      <w:r>
        <w:rPr>
          <w:color w:val="231F20"/>
          <w:sz w:val="13"/>
        </w:rPr>
        <w:t>JFS2003354:1–7; Patrick</w:t>
      </w:r>
      <w:r>
        <w:rPr>
          <w:color w:val="231F20"/>
          <w:spacing w:val="3"/>
          <w:sz w:val="13"/>
        </w:rPr>
        <w:t xml:space="preserve"> </w:t>
      </w:r>
      <w:r>
        <w:rPr>
          <w:color w:val="231F20"/>
          <w:sz w:val="13"/>
        </w:rPr>
        <w:t>Tidmarsh,</w:t>
      </w:r>
      <w:r>
        <w:rPr>
          <w:color w:val="231F20"/>
          <w:spacing w:val="4"/>
          <w:sz w:val="13"/>
        </w:rPr>
        <w:t xml:space="preserve"> </w:t>
      </w:r>
      <w:r>
        <w:rPr>
          <w:color w:val="231F20"/>
          <w:sz w:val="13"/>
        </w:rPr>
        <w:t>‘Training</w:t>
      </w:r>
      <w:r>
        <w:rPr>
          <w:color w:val="231F20"/>
          <w:spacing w:val="3"/>
          <w:sz w:val="13"/>
        </w:rPr>
        <w:t xml:space="preserve"> </w:t>
      </w:r>
      <w:r>
        <w:rPr>
          <w:color w:val="231F20"/>
          <w:sz w:val="13"/>
        </w:rPr>
        <w:t>Sexual</w:t>
      </w:r>
      <w:r>
        <w:rPr>
          <w:color w:val="231F20"/>
          <w:spacing w:val="4"/>
          <w:sz w:val="13"/>
        </w:rPr>
        <w:t xml:space="preserve"> </w:t>
      </w:r>
      <w:r>
        <w:rPr>
          <w:color w:val="231F20"/>
          <w:sz w:val="13"/>
        </w:rPr>
        <w:t>Crime</w:t>
      </w:r>
      <w:r>
        <w:rPr>
          <w:color w:val="231F20"/>
          <w:spacing w:val="4"/>
          <w:sz w:val="13"/>
        </w:rPr>
        <w:t xml:space="preserve"> </w:t>
      </w:r>
      <w:r>
        <w:rPr>
          <w:color w:val="231F20"/>
          <w:sz w:val="13"/>
        </w:rPr>
        <w:t>Investigators</w:t>
      </w:r>
      <w:r>
        <w:rPr>
          <w:color w:val="231F20"/>
          <w:spacing w:val="3"/>
          <w:sz w:val="13"/>
        </w:rPr>
        <w:t xml:space="preserve"> </w:t>
      </w:r>
      <w:r>
        <w:rPr>
          <w:color w:val="231F20"/>
          <w:sz w:val="13"/>
        </w:rPr>
        <w:t>to</w:t>
      </w:r>
      <w:r>
        <w:rPr>
          <w:color w:val="231F20"/>
          <w:spacing w:val="4"/>
          <w:sz w:val="13"/>
        </w:rPr>
        <w:t xml:space="preserve"> </w:t>
      </w:r>
      <w:r>
        <w:rPr>
          <w:color w:val="231F20"/>
          <w:sz w:val="13"/>
        </w:rPr>
        <w:t>Get</w:t>
      </w:r>
      <w:r>
        <w:rPr>
          <w:color w:val="231F20"/>
          <w:spacing w:val="4"/>
          <w:sz w:val="13"/>
        </w:rPr>
        <w:t xml:space="preserve"> </w:t>
      </w:r>
      <w:r>
        <w:rPr>
          <w:color w:val="231F20"/>
          <w:sz w:val="13"/>
        </w:rPr>
        <w:t>the</w:t>
      </w:r>
      <w:r>
        <w:rPr>
          <w:color w:val="231F20"/>
          <w:spacing w:val="3"/>
          <w:sz w:val="13"/>
        </w:rPr>
        <w:t xml:space="preserve"> </w:t>
      </w:r>
      <w:r>
        <w:rPr>
          <w:color w:val="231F20"/>
          <w:spacing w:val="2"/>
          <w:sz w:val="13"/>
        </w:rPr>
        <w:t>“Whole</w:t>
      </w:r>
      <w:r>
        <w:rPr>
          <w:color w:val="231F20"/>
          <w:spacing w:val="4"/>
          <w:sz w:val="13"/>
        </w:rPr>
        <w:t xml:space="preserve"> </w:t>
      </w:r>
      <w:r>
        <w:rPr>
          <w:color w:val="231F20"/>
          <w:sz w:val="13"/>
        </w:rPr>
        <w:t>Story”’</w:t>
      </w:r>
      <w:r>
        <w:rPr>
          <w:color w:val="231F20"/>
          <w:spacing w:val="4"/>
          <w:sz w:val="13"/>
        </w:rPr>
        <w:t xml:space="preserve"> </w:t>
      </w:r>
      <w:r>
        <w:rPr>
          <w:color w:val="231F20"/>
          <w:sz w:val="13"/>
        </w:rPr>
        <w:t>(PhD</w:t>
      </w:r>
      <w:r>
        <w:rPr>
          <w:color w:val="231F20"/>
          <w:spacing w:val="3"/>
          <w:sz w:val="13"/>
        </w:rPr>
        <w:t xml:space="preserve"> </w:t>
      </w:r>
      <w:r>
        <w:rPr>
          <w:color w:val="231F20"/>
          <w:sz w:val="13"/>
        </w:rPr>
        <w:t>Thesis,</w:t>
      </w:r>
      <w:r>
        <w:rPr>
          <w:color w:val="231F20"/>
          <w:spacing w:val="4"/>
          <w:sz w:val="13"/>
        </w:rPr>
        <w:t xml:space="preserve"> </w:t>
      </w:r>
      <w:r>
        <w:rPr>
          <w:color w:val="231F20"/>
          <w:sz w:val="13"/>
        </w:rPr>
        <w:t>Deakin</w:t>
      </w:r>
      <w:r>
        <w:rPr>
          <w:color w:val="231F20"/>
          <w:spacing w:val="4"/>
          <w:sz w:val="13"/>
        </w:rPr>
        <w:t xml:space="preserve"> </w:t>
      </w:r>
      <w:r>
        <w:rPr>
          <w:color w:val="231F20"/>
          <w:sz w:val="13"/>
        </w:rPr>
        <w:t>University,</w:t>
      </w:r>
      <w:r>
        <w:rPr>
          <w:color w:val="231F20"/>
          <w:spacing w:val="3"/>
          <w:sz w:val="13"/>
        </w:rPr>
        <w:t xml:space="preserve"> </w:t>
      </w:r>
      <w:r>
        <w:rPr>
          <w:color w:val="231F20"/>
          <w:sz w:val="13"/>
        </w:rPr>
        <w:t>2016).</w:t>
      </w:r>
    </w:p>
    <w:p w14:paraId="1E16AE54" w14:textId="77777777" w:rsidR="00894070" w:rsidRDefault="009B7AFD">
      <w:pPr>
        <w:pStyle w:val="ListParagraph"/>
        <w:numPr>
          <w:ilvl w:val="0"/>
          <w:numId w:val="54"/>
        </w:numPr>
        <w:tabs>
          <w:tab w:val="left" w:pos="1801"/>
          <w:tab w:val="left" w:pos="1802"/>
        </w:tabs>
        <w:spacing w:line="151" w:lineRule="exact"/>
        <w:jc w:val="left"/>
        <w:rPr>
          <w:sz w:val="13"/>
        </w:rPr>
      </w:pPr>
      <w:r>
        <w:rPr>
          <w:color w:val="231F20"/>
          <w:sz w:val="13"/>
        </w:rPr>
        <w:t>Consultation 13 (Victoria Legal</w:t>
      </w:r>
      <w:r>
        <w:rPr>
          <w:color w:val="231F20"/>
          <w:spacing w:val="1"/>
          <w:sz w:val="13"/>
        </w:rPr>
        <w:t xml:space="preserve"> </w:t>
      </w:r>
      <w:r>
        <w:rPr>
          <w:color w:val="231F20"/>
          <w:sz w:val="13"/>
        </w:rPr>
        <w:t>Aid).</w:t>
      </w:r>
    </w:p>
    <w:p w14:paraId="672A8695" w14:textId="77777777" w:rsidR="00894070" w:rsidRDefault="009B7AFD">
      <w:pPr>
        <w:pStyle w:val="ListParagraph"/>
        <w:numPr>
          <w:ilvl w:val="0"/>
          <w:numId w:val="54"/>
        </w:numPr>
        <w:tabs>
          <w:tab w:val="left" w:pos="1801"/>
          <w:tab w:val="left" w:pos="1802"/>
        </w:tabs>
        <w:spacing w:line="160" w:lineRule="exact"/>
        <w:jc w:val="left"/>
        <w:rPr>
          <w:sz w:val="13"/>
        </w:rPr>
      </w:pPr>
      <w:r>
        <w:rPr>
          <w:color w:val="231F20"/>
          <w:sz w:val="13"/>
        </w:rPr>
        <w:t xml:space="preserve">Consultation 18 (County </w:t>
      </w:r>
      <w:r>
        <w:rPr>
          <w:color w:val="231F20"/>
          <w:spacing w:val="2"/>
          <w:sz w:val="13"/>
        </w:rPr>
        <w:t xml:space="preserve">Court </w:t>
      </w:r>
      <w:r>
        <w:rPr>
          <w:color w:val="231F20"/>
          <w:sz w:val="13"/>
        </w:rPr>
        <w:t>of</w:t>
      </w:r>
      <w:r>
        <w:rPr>
          <w:color w:val="231F20"/>
          <w:spacing w:val="-1"/>
          <w:sz w:val="13"/>
        </w:rPr>
        <w:t xml:space="preserve"> </w:t>
      </w:r>
      <w:r>
        <w:rPr>
          <w:color w:val="231F20"/>
          <w:sz w:val="13"/>
        </w:rPr>
        <w:t>Victoria).</w:t>
      </w:r>
    </w:p>
    <w:p w14:paraId="6579F990" w14:textId="77777777" w:rsidR="00894070" w:rsidRDefault="009B7AFD">
      <w:pPr>
        <w:pStyle w:val="ListParagraph"/>
        <w:numPr>
          <w:ilvl w:val="0"/>
          <w:numId w:val="54"/>
        </w:numPr>
        <w:tabs>
          <w:tab w:val="left" w:pos="1801"/>
          <w:tab w:val="left" w:pos="1802"/>
        </w:tabs>
        <w:spacing w:line="160" w:lineRule="exact"/>
        <w:jc w:val="left"/>
        <w:rPr>
          <w:sz w:val="13"/>
        </w:rPr>
      </w:pPr>
      <w:r>
        <w:rPr>
          <w:color w:val="231F20"/>
          <w:sz w:val="13"/>
        </w:rPr>
        <w:t xml:space="preserve">Consultation 6 (Magistrates’ </w:t>
      </w:r>
      <w:r>
        <w:rPr>
          <w:color w:val="231F20"/>
          <w:spacing w:val="2"/>
          <w:sz w:val="13"/>
        </w:rPr>
        <w:t xml:space="preserve">Court </w:t>
      </w:r>
      <w:r>
        <w:rPr>
          <w:color w:val="231F20"/>
          <w:sz w:val="13"/>
        </w:rPr>
        <w:t>of Victoria (No</w:t>
      </w:r>
      <w:r>
        <w:rPr>
          <w:color w:val="231F20"/>
          <w:spacing w:val="1"/>
          <w:sz w:val="13"/>
        </w:rPr>
        <w:t xml:space="preserve"> </w:t>
      </w:r>
      <w:r>
        <w:rPr>
          <w:color w:val="231F20"/>
          <w:sz w:val="13"/>
        </w:rPr>
        <w:t>1)).</w:t>
      </w:r>
    </w:p>
    <w:p w14:paraId="1367F7AF" w14:textId="77777777" w:rsidR="00894070" w:rsidRDefault="009B7AFD">
      <w:pPr>
        <w:pStyle w:val="ListParagraph"/>
        <w:numPr>
          <w:ilvl w:val="0"/>
          <w:numId w:val="54"/>
        </w:numPr>
        <w:tabs>
          <w:tab w:val="left" w:pos="1801"/>
          <w:tab w:val="left" w:pos="1802"/>
        </w:tabs>
        <w:spacing w:line="160" w:lineRule="exact"/>
        <w:jc w:val="left"/>
        <w:rPr>
          <w:sz w:val="13"/>
        </w:rPr>
      </w:pPr>
      <w:r>
        <w:rPr>
          <w:color w:val="231F20"/>
          <w:sz w:val="13"/>
        </w:rPr>
        <w:t xml:space="preserve">Consultation 34 (Magistrates’ </w:t>
      </w:r>
      <w:r>
        <w:rPr>
          <w:color w:val="231F20"/>
          <w:spacing w:val="2"/>
          <w:sz w:val="13"/>
        </w:rPr>
        <w:t xml:space="preserve">Court </w:t>
      </w:r>
      <w:r>
        <w:rPr>
          <w:color w:val="231F20"/>
          <w:sz w:val="13"/>
        </w:rPr>
        <w:t>of Victoria (No</w:t>
      </w:r>
      <w:r>
        <w:rPr>
          <w:color w:val="231F20"/>
          <w:spacing w:val="1"/>
          <w:sz w:val="13"/>
        </w:rPr>
        <w:t xml:space="preserve"> </w:t>
      </w:r>
      <w:r>
        <w:rPr>
          <w:color w:val="231F20"/>
          <w:sz w:val="13"/>
        </w:rPr>
        <w:t>2)).</w:t>
      </w:r>
    </w:p>
    <w:p w14:paraId="1695BD68" w14:textId="77777777" w:rsidR="00894070" w:rsidRDefault="009B7AFD">
      <w:pPr>
        <w:pStyle w:val="ListParagraph"/>
        <w:numPr>
          <w:ilvl w:val="0"/>
          <w:numId w:val="54"/>
        </w:numPr>
        <w:tabs>
          <w:tab w:val="left" w:pos="1801"/>
          <w:tab w:val="left" w:pos="1802"/>
        </w:tabs>
        <w:spacing w:line="160" w:lineRule="exact"/>
        <w:jc w:val="left"/>
        <w:rPr>
          <w:sz w:val="13"/>
        </w:rPr>
      </w:pPr>
      <w:r>
        <w:rPr>
          <w:color w:val="231F20"/>
          <w:sz w:val="13"/>
        </w:rPr>
        <w:t>Consultation</w:t>
      </w:r>
      <w:r>
        <w:rPr>
          <w:color w:val="231F20"/>
          <w:spacing w:val="3"/>
          <w:sz w:val="13"/>
        </w:rPr>
        <w:t xml:space="preserve"> </w:t>
      </w:r>
      <w:r>
        <w:rPr>
          <w:color w:val="231F20"/>
          <w:sz w:val="13"/>
        </w:rPr>
        <w:t>13</w:t>
      </w:r>
      <w:r>
        <w:rPr>
          <w:color w:val="231F20"/>
          <w:spacing w:val="3"/>
          <w:sz w:val="13"/>
        </w:rPr>
        <w:t xml:space="preserve"> </w:t>
      </w:r>
      <w:r>
        <w:rPr>
          <w:color w:val="231F20"/>
          <w:sz w:val="13"/>
        </w:rPr>
        <w:t>(Victoria</w:t>
      </w:r>
      <w:r>
        <w:rPr>
          <w:color w:val="231F20"/>
          <w:spacing w:val="4"/>
          <w:sz w:val="13"/>
        </w:rPr>
        <w:t xml:space="preserve"> </w:t>
      </w:r>
      <w:r>
        <w:rPr>
          <w:color w:val="231F20"/>
          <w:sz w:val="13"/>
        </w:rPr>
        <w:t>Legal</w:t>
      </w:r>
      <w:r>
        <w:rPr>
          <w:color w:val="231F20"/>
          <w:spacing w:val="3"/>
          <w:sz w:val="13"/>
        </w:rPr>
        <w:t xml:space="preserve"> </w:t>
      </w:r>
      <w:r>
        <w:rPr>
          <w:color w:val="231F20"/>
          <w:sz w:val="13"/>
        </w:rPr>
        <w:t>Aid).</w:t>
      </w:r>
      <w:r>
        <w:rPr>
          <w:color w:val="231F20"/>
          <w:spacing w:val="4"/>
          <w:sz w:val="13"/>
        </w:rPr>
        <w:t xml:space="preserve"> </w:t>
      </w:r>
      <w:r>
        <w:rPr>
          <w:color w:val="231F20"/>
          <w:sz w:val="13"/>
        </w:rPr>
        <w:t>Victoria</w:t>
      </w:r>
      <w:r>
        <w:rPr>
          <w:color w:val="231F20"/>
          <w:spacing w:val="3"/>
          <w:sz w:val="13"/>
        </w:rPr>
        <w:t xml:space="preserve"> </w:t>
      </w:r>
      <w:r>
        <w:rPr>
          <w:color w:val="231F20"/>
          <w:sz w:val="13"/>
        </w:rPr>
        <w:t>Legal</w:t>
      </w:r>
      <w:r>
        <w:rPr>
          <w:color w:val="231F20"/>
          <w:spacing w:val="4"/>
          <w:sz w:val="13"/>
        </w:rPr>
        <w:t xml:space="preserve"> </w:t>
      </w:r>
      <w:r>
        <w:rPr>
          <w:color w:val="231F20"/>
          <w:sz w:val="13"/>
        </w:rPr>
        <w:t>Aid</w:t>
      </w:r>
      <w:r>
        <w:rPr>
          <w:color w:val="231F20"/>
          <w:spacing w:val="3"/>
          <w:sz w:val="13"/>
        </w:rPr>
        <w:t xml:space="preserve"> </w:t>
      </w:r>
      <w:r>
        <w:rPr>
          <w:color w:val="231F20"/>
          <w:spacing w:val="2"/>
          <w:sz w:val="13"/>
        </w:rPr>
        <w:t>also</w:t>
      </w:r>
      <w:r>
        <w:rPr>
          <w:color w:val="231F20"/>
          <w:spacing w:val="3"/>
          <w:sz w:val="13"/>
        </w:rPr>
        <w:t xml:space="preserve"> </w:t>
      </w:r>
      <w:r>
        <w:rPr>
          <w:color w:val="231F20"/>
          <w:sz w:val="13"/>
        </w:rPr>
        <w:t>noted</w:t>
      </w:r>
      <w:r>
        <w:rPr>
          <w:color w:val="231F20"/>
          <w:spacing w:val="4"/>
          <w:sz w:val="13"/>
        </w:rPr>
        <w:t xml:space="preserve"> </w:t>
      </w:r>
      <w:r>
        <w:rPr>
          <w:color w:val="231F20"/>
          <w:sz w:val="13"/>
        </w:rPr>
        <w:t>that</w:t>
      </w:r>
      <w:r>
        <w:rPr>
          <w:color w:val="231F20"/>
          <w:spacing w:val="3"/>
          <w:sz w:val="13"/>
        </w:rPr>
        <w:t xml:space="preserve"> </w:t>
      </w:r>
      <w:r>
        <w:rPr>
          <w:color w:val="231F20"/>
          <w:spacing w:val="2"/>
          <w:sz w:val="13"/>
        </w:rPr>
        <w:t>police</w:t>
      </w:r>
      <w:r>
        <w:rPr>
          <w:color w:val="231F20"/>
          <w:spacing w:val="4"/>
          <w:sz w:val="13"/>
        </w:rPr>
        <w:t xml:space="preserve"> </w:t>
      </w:r>
      <w:r>
        <w:rPr>
          <w:color w:val="231F20"/>
          <w:sz w:val="13"/>
        </w:rPr>
        <w:t>‘could</w:t>
      </w:r>
      <w:r>
        <w:rPr>
          <w:color w:val="231F20"/>
          <w:spacing w:val="3"/>
          <w:sz w:val="13"/>
        </w:rPr>
        <w:t xml:space="preserve"> </w:t>
      </w:r>
      <w:r>
        <w:rPr>
          <w:color w:val="231F20"/>
          <w:sz w:val="13"/>
        </w:rPr>
        <w:t>do</w:t>
      </w:r>
      <w:r>
        <w:rPr>
          <w:color w:val="231F20"/>
          <w:spacing w:val="4"/>
          <w:sz w:val="13"/>
        </w:rPr>
        <w:t xml:space="preserve"> </w:t>
      </w:r>
      <w:r>
        <w:rPr>
          <w:color w:val="231F20"/>
          <w:sz w:val="13"/>
        </w:rPr>
        <w:t>better</w:t>
      </w:r>
      <w:r>
        <w:rPr>
          <w:color w:val="231F20"/>
          <w:spacing w:val="3"/>
          <w:sz w:val="13"/>
        </w:rPr>
        <w:t xml:space="preserve"> </w:t>
      </w:r>
      <w:r>
        <w:rPr>
          <w:color w:val="231F20"/>
          <w:sz w:val="13"/>
        </w:rPr>
        <w:t>in</w:t>
      </w:r>
      <w:r>
        <w:rPr>
          <w:color w:val="231F20"/>
          <w:spacing w:val="3"/>
          <w:sz w:val="13"/>
        </w:rPr>
        <w:t xml:space="preserve"> </w:t>
      </w:r>
      <w:r>
        <w:rPr>
          <w:color w:val="231F20"/>
          <w:sz w:val="13"/>
        </w:rPr>
        <w:t>giving</w:t>
      </w:r>
      <w:r>
        <w:rPr>
          <w:color w:val="231F20"/>
          <w:spacing w:val="4"/>
          <w:sz w:val="13"/>
        </w:rPr>
        <w:t xml:space="preserve"> </w:t>
      </w:r>
      <w:r>
        <w:rPr>
          <w:color w:val="231F20"/>
          <w:sz w:val="13"/>
        </w:rPr>
        <w:t>attention</w:t>
      </w:r>
      <w:r>
        <w:rPr>
          <w:color w:val="231F20"/>
          <w:spacing w:val="3"/>
          <w:sz w:val="13"/>
        </w:rPr>
        <w:t xml:space="preserve"> </w:t>
      </w:r>
      <w:r>
        <w:rPr>
          <w:color w:val="231F20"/>
          <w:sz w:val="13"/>
        </w:rPr>
        <w:t>to</w:t>
      </w:r>
      <w:r>
        <w:rPr>
          <w:color w:val="231F20"/>
          <w:spacing w:val="4"/>
          <w:sz w:val="13"/>
        </w:rPr>
        <w:t xml:space="preserve"> </w:t>
      </w:r>
      <w:r>
        <w:rPr>
          <w:color w:val="231F20"/>
          <w:sz w:val="13"/>
        </w:rPr>
        <w:t>the</w:t>
      </w:r>
    </w:p>
    <w:p w14:paraId="0990078A" w14:textId="77777777" w:rsidR="00894070" w:rsidRDefault="009B7AFD">
      <w:pPr>
        <w:spacing w:line="160" w:lineRule="exact"/>
        <w:ind w:left="1801"/>
        <w:rPr>
          <w:sz w:val="13"/>
        </w:rPr>
      </w:pPr>
      <w:r>
        <w:rPr>
          <w:color w:val="231F20"/>
          <w:sz w:val="13"/>
        </w:rPr>
        <w:t>apprehension or fear element and the mental state of the accused. This would not require changing the legislation’.</w:t>
      </w:r>
    </w:p>
    <w:p w14:paraId="757DFAEB" w14:textId="77777777" w:rsidR="00894070" w:rsidRDefault="009B7AFD">
      <w:pPr>
        <w:pStyle w:val="ListParagraph"/>
        <w:numPr>
          <w:ilvl w:val="0"/>
          <w:numId w:val="54"/>
        </w:numPr>
        <w:tabs>
          <w:tab w:val="left" w:pos="1800"/>
          <w:tab w:val="left" w:pos="1802"/>
        </w:tabs>
        <w:spacing w:line="160" w:lineRule="exact"/>
        <w:jc w:val="left"/>
        <w:rPr>
          <w:sz w:val="13"/>
        </w:rPr>
      </w:pPr>
      <w:r>
        <w:rPr>
          <w:color w:val="231F20"/>
          <w:sz w:val="13"/>
        </w:rPr>
        <w:t>Ibid.</w:t>
      </w:r>
    </w:p>
    <w:p w14:paraId="7D0FF5A4" w14:textId="77777777" w:rsidR="00894070" w:rsidRDefault="009B7AFD">
      <w:pPr>
        <w:pStyle w:val="ListParagraph"/>
        <w:numPr>
          <w:ilvl w:val="0"/>
          <w:numId w:val="54"/>
        </w:numPr>
        <w:tabs>
          <w:tab w:val="left" w:pos="1801"/>
          <w:tab w:val="left" w:pos="1802"/>
        </w:tabs>
        <w:spacing w:line="170" w:lineRule="exact"/>
        <w:jc w:val="left"/>
        <w:rPr>
          <w:sz w:val="13"/>
        </w:rPr>
      </w:pPr>
      <w:r>
        <w:rPr>
          <w:color w:val="231F20"/>
          <w:spacing w:val="2"/>
          <w:sz w:val="13"/>
        </w:rPr>
        <w:t xml:space="preserve">Submission 115 </w:t>
      </w:r>
      <w:r>
        <w:rPr>
          <w:color w:val="231F20"/>
          <w:sz w:val="13"/>
        </w:rPr>
        <w:t>(Victoria</w:t>
      </w:r>
      <w:r>
        <w:rPr>
          <w:color w:val="231F20"/>
          <w:spacing w:val="-5"/>
          <w:sz w:val="13"/>
        </w:rPr>
        <w:t xml:space="preserve"> </w:t>
      </w:r>
      <w:r>
        <w:rPr>
          <w:color w:val="231F20"/>
          <w:sz w:val="13"/>
        </w:rPr>
        <w:t>Police).</w:t>
      </w:r>
    </w:p>
    <w:p w14:paraId="684F808C" w14:textId="77777777" w:rsidR="00894070" w:rsidRDefault="009B7AFD">
      <w:pPr>
        <w:pStyle w:val="BodyText"/>
        <w:rPr>
          <w:sz w:val="28"/>
        </w:rPr>
      </w:pPr>
      <w:r>
        <w:br w:type="column"/>
      </w:r>
    </w:p>
    <w:p w14:paraId="4D037152" w14:textId="77777777" w:rsidR="00894070" w:rsidRDefault="00894070">
      <w:pPr>
        <w:pStyle w:val="BodyText"/>
        <w:rPr>
          <w:sz w:val="28"/>
        </w:rPr>
      </w:pPr>
    </w:p>
    <w:p w14:paraId="181F374D" w14:textId="77777777" w:rsidR="00894070" w:rsidRDefault="00894070">
      <w:pPr>
        <w:pStyle w:val="BodyText"/>
        <w:rPr>
          <w:sz w:val="28"/>
        </w:rPr>
      </w:pPr>
    </w:p>
    <w:p w14:paraId="009936A8" w14:textId="77777777" w:rsidR="00894070" w:rsidRDefault="00894070">
      <w:pPr>
        <w:pStyle w:val="BodyText"/>
        <w:rPr>
          <w:sz w:val="28"/>
        </w:rPr>
      </w:pPr>
    </w:p>
    <w:p w14:paraId="10D2688E" w14:textId="77777777" w:rsidR="00894070" w:rsidRDefault="00894070">
      <w:pPr>
        <w:pStyle w:val="BodyText"/>
        <w:spacing w:before="10"/>
        <w:rPr>
          <w:sz w:val="18"/>
        </w:rPr>
      </w:pPr>
    </w:p>
    <w:p w14:paraId="7301D8CA" w14:textId="77777777" w:rsidR="00894070" w:rsidRDefault="009B7AFD">
      <w:pPr>
        <w:pStyle w:val="Heading8"/>
        <w:ind w:left="606"/>
      </w:pPr>
      <w:r>
        <w:rPr>
          <w:color w:val="EA5B50"/>
        </w:rPr>
        <w:t>143</w:t>
      </w:r>
    </w:p>
    <w:p w14:paraId="28E6B47C" w14:textId="77777777" w:rsidR="00894070" w:rsidRDefault="00894070">
      <w:pPr>
        <w:sectPr w:rsidR="00894070">
          <w:type w:val="continuous"/>
          <w:pgSz w:w="11910" w:h="16840"/>
          <w:pgMar w:top="560" w:right="420" w:bottom="280" w:left="580" w:header="720" w:footer="720" w:gutter="0"/>
          <w:cols w:num="2" w:space="720" w:equalWidth="0">
            <w:col w:w="9693" w:space="40"/>
            <w:col w:w="1177"/>
          </w:cols>
        </w:sectPr>
      </w:pPr>
    </w:p>
    <w:p w14:paraId="35A6B4EA" w14:textId="77777777" w:rsidR="00894070" w:rsidRDefault="00894070">
      <w:pPr>
        <w:pStyle w:val="BodyText"/>
        <w:rPr>
          <w:b/>
        </w:rPr>
      </w:pPr>
    </w:p>
    <w:p w14:paraId="577753DE" w14:textId="77777777" w:rsidR="00894070" w:rsidRDefault="00894070">
      <w:pPr>
        <w:pStyle w:val="BodyText"/>
        <w:rPr>
          <w:b/>
        </w:rPr>
      </w:pPr>
    </w:p>
    <w:p w14:paraId="17D943D8" w14:textId="77777777" w:rsidR="00894070" w:rsidRDefault="00894070">
      <w:pPr>
        <w:pStyle w:val="BodyText"/>
        <w:rPr>
          <w:b/>
        </w:rPr>
      </w:pPr>
    </w:p>
    <w:p w14:paraId="050C60EE" w14:textId="77777777" w:rsidR="00894070" w:rsidRDefault="00894070">
      <w:pPr>
        <w:pStyle w:val="BodyText"/>
        <w:spacing w:before="11"/>
        <w:rPr>
          <w:b/>
          <w:sz w:val="18"/>
        </w:rPr>
      </w:pPr>
    </w:p>
    <w:p w14:paraId="46EF4B6C" w14:textId="77777777" w:rsidR="00894070" w:rsidRDefault="009B7AFD">
      <w:pPr>
        <w:pStyle w:val="ListParagraph"/>
        <w:numPr>
          <w:ilvl w:val="1"/>
          <w:numId w:val="54"/>
        </w:numPr>
        <w:tabs>
          <w:tab w:val="left" w:pos="2141"/>
          <w:tab w:val="left" w:pos="2142"/>
        </w:tabs>
        <w:spacing w:line="206" w:lineRule="auto"/>
        <w:ind w:right="2186" w:hanging="340"/>
        <w:rPr>
          <w:sz w:val="20"/>
        </w:rPr>
      </w:pPr>
      <w:bookmarkStart w:id="162" w:name="What_are_other_barriers_to_stalking_offe"/>
      <w:bookmarkStart w:id="163" w:name="_bookmark97"/>
      <w:bookmarkEnd w:id="162"/>
      <w:bookmarkEnd w:id="163"/>
      <w:r>
        <w:rPr>
          <w:color w:val="231F20"/>
          <w:sz w:val="20"/>
        </w:rPr>
        <w:t>Victoria</w:t>
      </w:r>
      <w:r>
        <w:rPr>
          <w:color w:val="231F20"/>
          <w:spacing w:val="-10"/>
          <w:sz w:val="20"/>
        </w:rPr>
        <w:t xml:space="preserve"> </w:t>
      </w:r>
      <w:r>
        <w:rPr>
          <w:color w:val="231F20"/>
          <w:sz w:val="20"/>
        </w:rPr>
        <w:t>Police</w:t>
      </w:r>
      <w:r>
        <w:rPr>
          <w:color w:val="231F20"/>
          <w:spacing w:val="-10"/>
          <w:sz w:val="20"/>
        </w:rPr>
        <w:t xml:space="preserve"> </w:t>
      </w:r>
      <w:r>
        <w:rPr>
          <w:color w:val="231F20"/>
          <w:sz w:val="20"/>
        </w:rPr>
        <w:t>should</w:t>
      </w:r>
      <w:r>
        <w:rPr>
          <w:color w:val="231F20"/>
          <w:spacing w:val="-10"/>
          <w:sz w:val="20"/>
        </w:rPr>
        <w:t xml:space="preserve"> </w:t>
      </w:r>
      <w:r>
        <w:rPr>
          <w:color w:val="231F20"/>
          <w:spacing w:val="-4"/>
          <w:sz w:val="20"/>
        </w:rPr>
        <w:t>refer</w:t>
      </w:r>
      <w:r>
        <w:rPr>
          <w:color w:val="231F20"/>
          <w:spacing w:val="-9"/>
          <w:sz w:val="20"/>
        </w:rPr>
        <w:t xml:space="preserve"> </w:t>
      </w:r>
      <w:r>
        <w:rPr>
          <w:color w:val="231F20"/>
          <w:spacing w:val="-3"/>
          <w:sz w:val="20"/>
        </w:rPr>
        <w:t>complex</w:t>
      </w:r>
      <w:r>
        <w:rPr>
          <w:color w:val="231F20"/>
          <w:spacing w:val="-10"/>
          <w:sz w:val="20"/>
        </w:rPr>
        <w:t xml:space="preserve"> </w:t>
      </w:r>
      <w:r>
        <w:rPr>
          <w:color w:val="231F20"/>
          <w:sz w:val="20"/>
        </w:rPr>
        <w:t>cases</w:t>
      </w:r>
      <w:r>
        <w:rPr>
          <w:color w:val="231F20"/>
          <w:spacing w:val="-10"/>
          <w:sz w:val="20"/>
        </w:rPr>
        <w:t xml:space="preserve"> </w:t>
      </w:r>
      <w:r>
        <w:rPr>
          <w:color w:val="231F20"/>
          <w:sz w:val="20"/>
        </w:rPr>
        <w:t>to</w:t>
      </w:r>
      <w:r>
        <w:rPr>
          <w:color w:val="231F20"/>
          <w:spacing w:val="-9"/>
          <w:sz w:val="20"/>
        </w:rPr>
        <w:t xml:space="preserve"> </w:t>
      </w:r>
      <w:r>
        <w:rPr>
          <w:color w:val="231F20"/>
          <w:sz w:val="20"/>
        </w:rPr>
        <w:t>specialist</w:t>
      </w:r>
      <w:r>
        <w:rPr>
          <w:color w:val="231F20"/>
          <w:spacing w:val="-10"/>
          <w:sz w:val="20"/>
        </w:rPr>
        <w:t xml:space="preserve"> </w:t>
      </w:r>
      <w:r>
        <w:rPr>
          <w:color w:val="231F20"/>
          <w:sz w:val="20"/>
        </w:rPr>
        <w:t>police</w:t>
      </w:r>
      <w:r>
        <w:rPr>
          <w:color w:val="231F20"/>
          <w:spacing w:val="-10"/>
          <w:sz w:val="20"/>
        </w:rPr>
        <w:t xml:space="preserve"> </w:t>
      </w:r>
      <w:r>
        <w:rPr>
          <w:color w:val="231F20"/>
          <w:sz w:val="20"/>
        </w:rPr>
        <w:t>in</w:t>
      </w:r>
      <w:r>
        <w:rPr>
          <w:color w:val="231F20"/>
          <w:spacing w:val="-9"/>
          <w:sz w:val="20"/>
        </w:rPr>
        <w:t xml:space="preserve"> </w:t>
      </w:r>
      <w:r>
        <w:rPr>
          <w:color w:val="231F20"/>
          <w:sz w:val="20"/>
        </w:rPr>
        <w:t xml:space="preserve">criminal </w:t>
      </w:r>
      <w:r>
        <w:rPr>
          <w:color w:val="231F20"/>
          <w:spacing w:val="-3"/>
          <w:sz w:val="20"/>
        </w:rPr>
        <w:t>investigations</w:t>
      </w:r>
      <w:r>
        <w:rPr>
          <w:color w:val="231F20"/>
          <w:spacing w:val="-4"/>
          <w:sz w:val="20"/>
        </w:rPr>
        <w:t xml:space="preserve"> </w:t>
      </w:r>
      <w:r>
        <w:rPr>
          <w:color w:val="231F20"/>
          <w:sz w:val="20"/>
        </w:rPr>
        <w:t>units</w:t>
      </w:r>
    </w:p>
    <w:p w14:paraId="652D5A94" w14:textId="77777777" w:rsidR="00894070" w:rsidRDefault="009B7AFD">
      <w:pPr>
        <w:pStyle w:val="ListParagraph"/>
        <w:numPr>
          <w:ilvl w:val="1"/>
          <w:numId w:val="54"/>
        </w:numPr>
        <w:tabs>
          <w:tab w:val="left" w:pos="2141"/>
          <w:tab w:val="left" w:pos="2142"/>
        </w:tabs>
        <w:spacing w:before="55" w:line="259" w:lineRule="exact"/>
        <w:ind w:hanging="340"/>
        <w:rPr>
          <w:sz w:val="20"/>
        </w:rPr>
      </w:pPr>
      <w:r>
        <w:rPr>
          <w:color w:val="231F20"/>
          <w:sz w:val="20"/>
        </w:rPr>
        <w:t>Victoria</w:t>
      </w:r>
      <w:r>
        <w:rPr>
          <w:color w:val="231F20"/>
          <w:spacing w:val="-8"/>
          <w:sz w:val="20"/>
        </w:rPr>
        <w:t xml:space="preserve"> </w:t>
      </w:r>
      <w:r>
        <w:rPr>
          <w:color w:val="231F20"/>
          <w:sz w:val="20"/>
        </w:rPr>
        <w:t>Police</w:t>
      </w:r>
      <w:r>
        <w:rPr>
          <w:color w:val="231F20"/>
          <w:spacing w:val="-7"/>
          <w:sz w:val="20"/>
        </w:rPr>
        <w:t xml:space="preserve"> </w:t>
      </w:r>
      <w:r>
        <w:rPr>
          <w:color w:val="231F20"/>
          <w:sz w:val="20"/>
        </w:rPr>
        <w:t>should</w:t>
      </w:r>
      <w:r>
        <w:rPr>
          <w:color w:val="231F20"/>
          <w:spacing w:val="-7"/>
          <w:sz w:val="20"/>
        </w:rPr>
        <w:t xml:space="preserve"> </w:t>
      </w:r>
      <w:r>
        <w:rPr>
          <w:color w:val="231F20"/>
          <w:sz w:val="20"/>
        </w:rPr>
        <w:t>use</w:t>
      </w:r>
      <w:r>
        <w:rPr>
          <w:color w:val="231F20"/>
          <w:spacing w:val="-8"/>
          <w:sz w:val="20"/>
        </w:rPr>
        <w:t xml:space="preserve"> </w:t>
      </w:r>
      <w:r>
        <w:rPr>
          <w:color w:val="231F20"/>
          <w:sz w:val="20"/>
        </w:rPr>
        <w:t>the</w:t>
      </w:r>
      <w:r>
        <w:rPr>
          <w:color w:val="231F20"/>
          <w:spacing w:val="-7"/>
          <w:sz w:val="20"/>
        </w:rPr>
        <w:t xml:space="preserve"> </w:t>
      </w:r>
      <w:r>
        <w:rPr>
          <w:color w:val="231F20"/>
          <w:sz w:val="20"/>
        </w:rPr>
        <w:t>Whole</w:t>
      </w:r>
      <w:r>
        <w:rPr>
          <w:color w:val="231F20"/>
          <w:spacing w:val="-7"/>
          <w:sz w:val="20"/>
        </w:rPr>
        <w:t xml:space="preserve"> </w:t>
      </w:r>
      <w:r>
        <w:rPr>
          <w:color w:val="231F20"/>
          <w:sz w:val="20"/>
        </w:rPr>
        <w:t>Story</w:t>
      </w:r>
      <w:r>
        <w:rPr>
          <w:color w:val="231F20"/>
          <w:spacing w:val="-7"/>
          <w:sz w:val="20"/>
        </w:rPr>
        <w:t xml:space="preserve"> </w:t>
      </w:r>
      <w:r>
        <w:rPr>
          <w:color w:val="231F20"/>
          <w:spacing w:val="-3"/>
          <w:sz w:val="20"/>
        </w:rPr>
        <w:t>investigation</w:t>
      </w:r>
      <w:r>
        <w:rPr>
          <w:color w:val="231F20"/>
          <w:spacing w:val="-8"/>
          <w:sz w:val="20"/>
        </w:rPr>
        <w:t xml:space="preserve"> </w:t>
      </w:r>
      <w:r>
        <w:rPr>
          <w:color w:val="231F20"/>
          <w:spacing w:val="-3"/>
          <w:sz w:val="20"/>
        </w:rPr>
        <w:t>framework</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reports</w:t>
      </w:r>
      <w:r>
        <w:rPr>
          <w:color w:val="231F20"/>
          <w:spacing w:val="-7"/>
          <w:sz w:val="20"/>
        </w:rPr>
        <w:t xml:space="preserve"> </w:t>
      </w:r>
      <w:r>
        <w:rPr>
          <w:color w:val="231F20"/>
          <w:sz w:val="20"/>
        </w:rPr>
        <w:t>of</w:t>
      </w:r>
    </w:p>
    <w:p w14:paraId="17F8D2A2" w14:textId="77777777" w:rsidR="00894070" w:rsidRDefault="009B7AFD">
      <w:pPr>
        <w:pStyle w:val="BodyText"/>
        <w:spacing w:line="259" w:lineRule="exact"/>
        <w:ind w:left="2141"/>
        <w:rPr>
          <w:sz w:val="11"/>
        </w:rPr>
      </w:pPr>
      <w:r>
        <w:rPr>
          <w:color w:val="231F20"/>
        </w:rPr>
        <w:t>stalking.</w:t>
      </w:r>
      <w:r>
        <w:rPr>
          <w:color w:val="231F20"/>
          <w:position w:val="7"/>
          <w:sz w:val="11"/>
        </w:rPr>
        <w:t>93</w:t>
      </w:r>
    </w:p>
    <w:p w14:paraId="3FB555C9" w14:textId="77777777" w:rsidR="00894070" w:rsidRDefault="009B7AFD">
      <w:pPr>
        <w:pStyle w:val="ListParagraph"/>
        <w:numPr>
          <w:ilvl w:val="1"/>
          <w:numId w:val="65"/>
        </w:numPr>
        <w:tabs>
          <w:tab w:val="left" w:pos="1801"/>
          <w:tab w:val="left" w:pos="1802"/>
        </w:tabs>
        <w:spacing w:before="80" w:line="206" w:lineRule="auto"/>
        <w:ind w:right="1365"/>
        <w:rPr>
          <w:sz w:val="20"/>
        </w:rPr>
      </w:pPr>
      <w:r>
        <w:rPr>
          <w:color w:val="231F20"/>
          <w:sz w:val="20"/>
        </w:rPr>
        <w:t xml:space="preserve">As the problems extend </w:t>
      </w:r>
      <w:r>
        <w:rPr>
          <w:color w:val="231F20"/>
          <w:spacing w:val="-3"/>
          <w:sz w:val="20"/>
        </w:rPr>
        <w:t xml:space="preserve">into </w:t>
      </w:r>
      <w:r>
        <w:rPr>
          <w:color w:val="231F20"/>
          <w:sz w:val="20"/>
        </w:rPr>
        <w:t>the prosecution stage, it is important to ensure that the guidance</w:t>
      </w:r>
      <w:r>
        <w:rPr>
          <w:color w:val="231F20"/>
          <w:spacing w:val="-13"/>
          <w:sz w:val="20"/>
        </w:rPr>
        <w:t xml:space="preserve"> </w:t>
      </w:r>
      <w:r>
        <w:rPr>
          <w:color w:val="231F20"/>
          <w:sz w:val="20"/>
        </w:rPr>
        <w:t>and</w:t>
      </w:r>
      <w:r>
        <w:rPr>
          <w:color w:val="231F20"/>
          <w:spacing w:val="-12"/>
          <w:sz w:val="20"/>
        </w:rPr>
        <w:t xml:space="preserve"> </w:t>
      </w:r>
      <w:r>
        <w:rPr>
          <w:color w:val="231F20"/>
          <w:sz w:val="20"/>
        </w:rPr>
        <w:t>training</w:t>
      </w:r>
      <w:r>
        <w:rPr>
          <w:color w:val="231F20"/>
          <w:spacing w:val="-12"/>
          <w:sz w:val="20"/>
        </w:rPr>
        <w:t xml:space="preserve"> </w:t>
      </w:r>
      <w:r>
        <w:rPr>
          <w:color w:val="231F20"/>
          <w:sz w:val="20"/>
        </w:rPr>
        <w:t>is</w:t>
      </w:r>
      <w:r>
        <w:rPr>
          <w:color w:val="231F20"/>
          <w:spacing w:val="-12"/>
          <w:sz w:val="20"/>
        </w:rPr>
        <w:t xml:space="preserve"> </w:t>
      </w:r>
      <w:r>
        <w:rPr>
          <w:color w:val="231F20"/>
          <w:spacing w:val="-3"/>
          <w:sz w:val="20"/>
        </w:rPr>
        <w:t>delivered</w:t>
      </w:r>
      <w:r>
        <w:rPr>
          <w:color w:val="231F20"/>
          <w:spacing w:val="-12"/>
          <w:sz w:val="20"/>
        </w:rPr>
        <w:t xml:space="preserve"> </w:t>
      </w:r>
      <w:r>
        <w:rPr>
          <w:color w:val="231F20"/>
          <w:sz w:val="20"/>
        </w:rPr>
        <w:t>to</w:t>
      </w:r>
      <w:r>
        <w:rPr>
          <w:color w:val="231F20"/>
          <w:spacing w:val="-12"/>
          <w:sz w:val="20"/>
        </w:rPr>
        <w:t xml:space="preserve"> </w:t>
      </w:r>
      <w:r>
        <w:rPr>
          <w:color w:val="231F20"/>
          <w:sz w:val="20"/>
        </w:rPr>
        <w:t>authorising</w:t>
      </w:r>
      <w:r>
        <w:rPr>
          <w:color w:val="231F20"/>
          <w:spacing w:val="-12"/>
          <w:sz w:val="20"/>
        </w:rPr>
        <w:t xml:space="preserve"> </w:t>
      </w:r>
      <w:r>
        <w:rPr>
          <w:color w:val="231F20"/>
          <w:sz w:val="20"/>
        </w:rPr>
        <w:t>officers</w:t>
      </w:r>
      <w:r>
        <w:rPr>
          <w:color w:val="231F20"/>
          <w:spacing w:val="-12"/>
          <w:sz w:val="20"/>
        </w:rPr>
        <w:t xml:space="preserve"> </w:t>
      </w:r>
      <w:r>
        <w:rPr>
          <w:color w:val="231F20"/>
          <w:sz w:val="20"/>
        </w:rPr>
        <w:t>and</w:t>
      </w:r>
      <w:r>
        <w:rPr>
          <w:color w:val="231F20"/>
          <w:spacing w:val="-13"/>
          <w:sz w:val="20"/>
        </w:rPr>
        <w:t xml:space="preserve"> </w:t>
      </w:r>
      <w:r>
        <w:rPr>
          <w:color w:val="231F20"/>
          <w:sz w:val="20"/>
        </w:rPr>
        <w:t>specialist</w:t>
      </w:r>
      <w:r>
        <w:rPr>
          <w:color w:val="231F20"/>
          <w:spacing w:val="-12"/>
          <w:sz w:val="20"/>
        </w:rPr>
        <w:t xml:space="preserve"> </w:t>
      </w:r>
      <w:r>
        <w:rPr>
          <w:color w:val="231F20"/>
          <w:sz w:val="20"/>
        </w:rPr>
        <w:t>police,</w:t>
      </w:r>
      <w:r>
        <w:rPr>
          <w:color w:val="231F20"/>
          <w:spacing w:val="-12"/>
          <w:sz w:val="20"/>
        </w:rPr>
        <w:t xml:space="preserve"> </w:t>
      </w:r>
      <w:r>
        <w:rPr>
          <w:color w:val="231F20"/>
          <w:sz w:val="20"/>
        </w:rPr>
        <w:t>not</w:t>
      </w:r>
      <w:r>
        <w:rPr>
          <w:color w:val="231F20"/>
          <w:spacing w:val="-12"/>
          <w:sz w:val="20"/>
        </w:rPr>
        <w:t xml:space="preserve"> </w:t>
      </w:r>
      <w:r>
        <w:rPr>
          <w:color w:val="231F20"/>
          <w:sz w:val="20"/>
        </w:rPr>
        <w:t xml:space="preserve">just </w:t>
      </w:r>
      <w:r>
        <w:rPr>
          <w:color w:val="231F20"/>
          <w:spacing w:val="-3"/>
          <w:sz w:val="20"/>
        </w:rPr>
        <w:t>frontline</w:t>
      </w:r>
      <w:r>
        <w:rPr>
          <w:color w:val="231F20"/>
          <w:spacing w:val="-4"/>
          <w:sz w:val="20"/>
        </w:rPr>
        <w:t xml:space="preserve"> </w:t>
      </w:r>
      <w:r>
        <w:rPr>
          <w:color w:val="231F20"/>
          <w:sz w:val="20"/>
        </w:rPr>
        <w:t>police.</w:t>
      </w:r>
    </w:p>
    <w:p w14:paraId="2AA8DE0E" w14:textId="77777777" w:rsidR="00894070" w:rsidRDefault="009F6793">
      <w:pPr>
        <w:pStyle w:val="BodyText"/>
        <w:spacing w:before="6"/>
        <w:rPr>
          <w:sz w:val="19"/>
        </w:rPr>
      </w:pPr>
      <w:r>
        <w:pict w14:anchorId="5350670D">
          <v:group id="_x0000_s1200" style="position:absolute;margin-left:62.35pt;margin-top:15.5pt;width:479.1pt;height:120.4pt;z-index:251734016;mso-wrap-distance-left:0;mso-wrap-distance-right:0;mso-position-horizontal-relative:page" coordorigin="1247,310" coordsize="9582,2408">
            <v:rect id="_x0000_s1205" style="position:absolute;left:1587;top:309;width:8731;height:2408" fillcolor="#fee7de" stroked="f"/>
            <v:line id="_x0000_s1204" style="position:absolute" from="1247,1117" to="10828,1117" strokecolor="white" strokeweight="2.5pt"/>
            <v:shape id="_x0000_s1203" type="#_x0000_t202" style="position:absolute;left:2381;top:1342;width:7545;height:1195" filled="f" stroked="f">
              <v:textbox inset="0,0,0,0">
                <w:txbxContent>
                  <w:p w14:paraId="25E0CCFB" w14:textId="77777777" w:rsidR="00894070" w:rsidRDefault="009B7AFD">
                    <w:pPr>
                      <w:spacing w:line="247" w:lineRule="auto"/>
                      <w:rPr>
                        <w:rFonts w:ascii="Trebuchet MS"/>
                        <w:sz w:val="20"/>
                      </w:rPr>
                    </w:pPr>
                    <w:r>
                      <w:rPr>
                        <w:rFonts w:ascii="Trebuchet MS"/>
                        <w:color w:val="231F20"/>
                        <w:w w:val="93"/>
                        <w:sz w:val="20"/>
                      </w:rPr>
                      <w:t>I</w:t>
                    </w:r>
                    <w:r>
                      <w:rPr>
                        <w:rFonts w:ascii="Trebuchet MS"/>
                        <w:color w:val="231F20"/>
                        <w:w w:val="107"/>
                        <w:sz w:val="20"/>
                      </w:rPr>
                      <w:t>n</w:t>
                    </w:r>
                    <w:r>
                      <w:rPr>
                        <w:rFonts w:ascii="Trebuchet MS"/>
                        <w:color w:val="231F20"/>
                        <w:sz w:val="20"/>
                      </w:rPr>
                      <w:t xml:space="preserve"> </w:t>
                    </w:r>
                    <w:r>
                      <w:rPr>
                        <w:rFonts w:ascii="Trebuchet MS"/>
                        <w:color w:val="231F20"/>
                        <w:w w:val="80"/>
                        <w:sz w:val="20"/>
                      </w:rPr>
                      <w:t>i</w:t>
                    </w:r>
                    <w:r>
                      <w:rPr>
                        <w:rFonts w:ascii="Trebuchet MS"/>
                        <w:color w:val="231F20"/>
                        <w:w w:val="111"/>
                        <w:sz w:val="20"/>
                      </w:rPr>
                      <w:t>mp</w:t>
                    </w:r>
                    <w:r>
                      <w:rPr>
                        <w:rFonts w:ascii="Trebuchet MS"/>
                        <w:color w:val="231F20"/>
                        <w:w w:val="96"/>
                        <w:sz w:val="20"/>
                      </w:rPr>
                      <w:t>l</w:t>
                    </w:r>
                    <w:r>
                      <w:rPr>
                        <w:rFonts w:ascii="Trebuchet MS"/>
                        <w:color w:val="231F20"/>
                        <w:w w:val="108"/>
                        <w:sz w:val="20"/>
                      </w:rPr>
                      <w:t>e</w:t>
                    </w:r>
                    <w:r>
                      <w:rPr>
                        <w:rFonts w:ascii="Trebuchet MS"/>
                        <w:color w:val="231F20"/>
                        <w:w w:val="111"/>
                        <w:sz w:val="20"/>
                      </w:rPr>
                      <w:t>m</w:t>
                    </w:r>
                    <w:r>
                      <w:rPr>
                        <w:rFonts w:ascii="Trebuchet MS"/>
                        <w:color w:val="231F20"/>
                        <w:w w:val="108"/>
                        <w:sz w:val="20"/>
                      </w:rPr>
                      <w:t>e</w:t>
                    </w:r>
                    <w:r>
                      <w:rPr>
                        <w:rFonts w:ascii="Trebuchet MS"/>
                        <w:color w:val="231F20"/>
                        <w:w w:val="107"/>
                        <w:sz w:val="20"/>
                      </w:rPr>
                      <w:t>n</w:t>
                    </w:r>
                    <w:r>
                      <w:rPr>
                        <w:rFonts w:ascii="Trebuchet MS"/>
                        <w:color w:val="231F20"/>
                        <w:w w:val="88"/>
                        <w:sz w:val="20"/>
                      </w:rPr>
                      <w:t>t</w:t>
                    </w:r>
                    <w:r>
                      <w:rPr>
                        <w:rFonts w:ascii="Trebuchet MS"/>
                        <w:color w:val="231F20"/>
                        <w:w w:val="80"/>
                        <w:sz w:val="20"/>
                      </w:rPr>
                      <w:t>i</w:t>
                    </w:r>
                    <w:r>
                      <w:rPr>
                        <w:rFonts w:ascii="Trebuchet MS"/>
                        <w:color w:val="231F20"/>
                        <w:w w:val="107"/>
                        <w:sz w:val="20"/>
                      </w:rPr>
                      <w:t>n</w:t>
                    </w:r>
                    <w:r>
                      <w:rPr>
                        <w:rFonts w:ascii="Trebuchet MS"/>
                        <w:color w:val="231F20"/>
                        <w:w w:val="124"/>
                        <w:sz w:val="20"/>
                      </w:rPr>
                      <w:t>g</w:t>
                    </w:r>
                    <w:r>
                      <w:rPr>
                        <w:rFonts w:ascii="Trebuchet MS"/>
                        <w:color w:val="231F20"/>
                        <w:sz w:val="20"/>
                      </w:rPr>
                      <w:t xml:space="preserve"> </w:t>
                    </w:r>
                    <w:r>
                      <w:rPr>
                        <w:rFonts w:ascii="Trebuchet MS"/>
                        <w:color w:val="231F20"/>
                        <w:w w:val="112"/>
                        <w:sz w:val="20"/>
                      </w:rPr>
                      <w:t>R</w:t>
                    </w:r>
                    <w:r>
                      <w:rPr>
                        <w:rFonts w:ascii="Trebuchet MS"/>
                        <w:color w:val="231F20"/>
                        <w:w w:val="108"/>
                        <w:sz w:val="20"/>
                      </w:rPr>
                      <w:t>e</w:t>
                    </w:r>
                    <w:r>
                      <w:rPr>
                        <w:rFonts w:ascii="Trebuchet MS"/>
                        <w:color w:val="231F20"/>
                        <w:w w:val="111"/>
                        <w:sz w:val="20"/>
                      </w:rPr>
                      <w:t>comm</w:t>
                    </w:r>
                    <w:r>
                      <w:rPr>
                        <w:rFonts w:ascii="Trebuchet MS"/>
                        <w:color w:val="231F20"/>
                        <w:w w:val="108"/>
                        <w:sz w:val="20"/>
                      </w:rPr>
                      <w:t>e</w:t>
                    </w:r>
                    <w:r>
                      <w:rPr>
                        <w:rFonts w:ascii="Trebuchet MS"/>
                        <w:color w:val="231F20"/>
                        <w:w w:val="107"/>
                        <w:sz w:val="20"/>
                      </w:rPr>
                      <w:t>n</w:t>
                    </w:r>
                    <w:r>
                      <w:rPr>
                        <w:rFonts w:ascii="Trebuchet MS"/>
                        <w:color w:val="231F20"/>
                        <w:w w:val="112"/>
                        <w:sz w:val="20"/>
                      </w:rPr>
                      <w:t>d</w:t>
                    </w:r>
                    <w:r>
                      <w:rPr>
                        <w:rFonts w:ascii="Trebuchet MS"/>
                        <w:color w:val="231F20"/>
                        <w:w w:val="105"/>
                        <w:sz w:val="20"/>
                      </w:rPr>
                      <w:t>a</w:t>
                    </w:r>
                    <w:r>
                      <w:rPr>
                        <w:rFonts w:ascii="Trebuchet MS"/>
                        <w:color w:val="231F20"/>
                        <w:w w:val="88"/>
                        <w:sz w:val="20"/>
                      </w:rPr>
                      <w:t>t</w:t>
                    </w:r>
                    <w:r>
                      <w:rPr>
                        <w:rFonts w:ascii="Trebuchet MS"/>
                        <w:color w:val="231F20"/>
                        <w:w w:val="80"/>
                        <w:sz w:val="20"/>
                      </w:rPr>
                      <w:t>i</w:t>
                    </w:r>
                    <w:r>
                      <w:rPr>
                        <w:rFonts w:ascii="Trebuchet MS"/>
                        <w:color w:val="231F20"/>
                        <w:w w:val="111"/>
                        <w:sz w:val="20"/>
                      </w:rPr>
                      <w:t>o</w:t>
                    </w:r>
                    <w:r>
                      <w:rPr>
                        <w:rFonts w:ascii="Trebuchet MS"/>
                        <w:color w:val="231F20"/>
                        <w:w w:val="107"/>
                        <w:sz w:val="20"/>
                      </w:rPr>
                      <w:t>n</w:t>
                    </w:r>
                    <w:r>
                      <w:rPr>
                        <w:rFonts w:ascii="Trebuchet MS"/>
                        <w:color w:val="231F20"/>
                        <w:w w:val="122"/>
                        <w:sz w:val="20"/>
                      </w:rPr>
                      <w:t>s</w:t>
                    </w:r>
                    <w:r>
                      <w:rPr>
                        <w:rFonts w:ascii="Trebuchet MS"/>
                        <w:color w:val="231F20"/>
                        <w:sz w:val="20"/>
                      </w:rPr>
                      <w:t xml:space="preserve"> </w:t>
                    </w:r>
                    <w:r>
                      <w:rPr>
                        <w:rFonts w:ascii="Trebuchet MS"/>
                        <w:color w:val="231F20"/>
                        <w:w w:val="85"/>
                        <w:sz w:val="20"/>
                      </w:rPr>
                      <w:t>1</w:t>
                    </w:r>
                    <w:r>
                      <w:rPr>
                        <w:rFonts w:ascii="Trebuchet MS"/>
                        <w:color w:val="231F20"/>
                        <w:w w:val="115"/>
                        <w:sz w:val="20"/>
                      </w:rPr>
                      <w:t>-</w:t>
                    </w:r>
                    <w:r>
                      <w:rPr>
                        <w:rFonts w:ascii="Trebuchet MS"/>
                        <w:color w:val="231F20"/>
                        <w:w w:val="106"/>
                        <w:sz w:val="20"/>
                      </w:rPr>
                      <w:t>4</w:t>
                    </w:r>
                    <w:r>
                      <w:rPr>
                        <w:rFonts w:ascii="Trebuchet MS"/>
                        <w:color w:val="231F20"/>
                        <w:w w:val="57"/>
                        <w:sz w:val="20"/>
                      </w:rPr>
                      <w:t>,</w:t>
                    </w:r>
                    <w:r>
                      <w:rPr>
                        <w:rFonts w:ascii="Trebuchet MS"/>
                        <w:color w:val="231F20"/>
                        <w:sz w:val="20"/>
                      </w:rPr>
                      <w:t xml:space="preserve"> </w:t>
                    </w:r>
                    <w:r>
                      <w:rPr>
                        <w:rFonts w:ascii="Trebuchet MS"/>
                        <w:color w:val="231F20"/>
                        <w:w w:val="115"/>
                        <w:sz w:val="20"/>
                      </w:rPr>
                      <w:t>6</w:t>
                    </w:r>
                    <w:r>
                      <w:rPr>
                        <w:rFonts w:ascii="Trebuchet MS"/>
                        <w:color w:val="231F20"/>
                        <w:sz w:val="20"/>
                      </w:rPr>
                      <w:t xml:space="preserve"> </w:t>
                    </w:r>
                    <w:r>
                      <w:rPr>
                        <w:rFonts w:ascii="Trebuchet MS"/>
                        <w:color w:val="231F20"/>
                        <w:w w:val="105"/>
                        <w:sz w:val="20"/>
                      </w:rPr>
                      <w:t>a</w:t>
                    </w:r>
                    <w:r>
                      <w:rPr>
                        <w:rFonts w:ascii="Trebuchet MS"/>
                        <w:color w:val="231F20"/>
                        <w:w w:val="107"/>
                        <w:sz w:val="20"/>
                      </w:rPr>
                      <w:t>n</w:t>
                    </w:r>
                    <w:r>
                      <w:rPr>
                        <w:rFonts w:ascii="Trebuchet MS"/>
                        <w:color w:val="231F20"/>
                        <w:w w:val="112"/>
                        <w:sz w:val="20"/>
                      </w:rPr>
                      <w:t>d</w:t>
                    </w:r>
                    <w:r>
                      <w:rPr>
                        <w:rFonts w:ascii="Trebuchet MS"/>
                        <w:color w:val="231F20"/>
                        <w:sz w:val="20"/>
                      </w:rPr>
                      <w:t xml:space="preserve"> </w:t>
                    </w:r>
                    <w:r>
                      <w:rPr>
                        <w:rFonts w:ascii="Trebuchet MS"/>
                        <w:color w:val="231F20"/>
                        <w:w w:val="112"/>
                        <w:sz w:val="20"/>
                      </w:rPr>
                      <w:t>9</w:t>
                    </w:r>
                    <w:r>
                      <w:rPr>
                        <w:rFonts w:ascii="Trebuchet MS"/>
                        <w:color w:val="231F20"/>
                        <w:sz w:val="20"/>
                      </w:rPr>
                      <w:t xml:space="preserve"> </w:t>
                    </w:r>
                    <w:r>
                      <w:rPr>
                        <w:rFonts w:ascii="Trebuchet MS"/>
                        <w:color w:val="231F20"/>
                        <w:w w:val="111"/>
                        <w:sz w:val="20"/>
                      </w:rPr>
                      <w:t>o</w:t>
                    </w:r>
                    <w:r>
                      <w:rPr>
                        <w:rFonts w:ascii="Trebuchet MS"/>
                        <w:color w:val="231F20"/>
                        <w:w w:val="92"/>
                        <w:sz w:val="20"/>
                      </w:rPr>
                      <w:t>f</w:t>
                    </w:r>
                    <w:r>
                      <w:rPr>
                        <w:rFonts w:ascii="Trebuchet MS"/>
                        <w:color w:val="231F20"/>
                        <w:sz w:val="20"/>
                      </w:rPr>
                      <w:t xml:space="preserve"> </w:t>
                    </w:r>
                    <w:r>
                      <w:rPr>
                        <w:rFonts w:ascii="Trebuchet MS"/>
                        <w:color w:val="231F20"/>
                        <w:w w:val="88"/>
                        <w:sz w:val="20"/>
                      </w:rPr>
                      <w:t>t</w:t>
                    </w:r>
                    <w:r>
                      <w:rPr>
                        <w:rFonts w:ascii="Trebuchet MS"/>
                        <w:color w:val="231F20"/>
                        <w:w w:val="107"/>
                        <w:sz w:val="20"/>
                      </w:rPr>
                      <w:t>h</w:t>
                    </w:r>
                    <w:r>
                      <w:rPr>
                        <w:rFonts w:ascii="Trebuchet MS"/>
                        <w:color w:val="231F20"/>
                        <w:w w:val="108"/>
                        <w:sz w:val="20"/>
                      </w:rPr>
                      <w:t>e</w:t>
                    </w:r>
                    <w:r>
                      <w:rPr>
                        <w:rFonts w:ascii="Trebuchet MS"/>
                        <w:color w:val="231F20"/>
                        <w:sz w:val="20"/>
                      </w:rPr>
                      <w:t xml:space="preserve"> </w:t>
                    </w:r>
                    <w:r>
                      <w:rPr>
                        <w:rFonts w:ascii="Trebuchet MS"/>
                        <w:color w:val="231F20"/>
                        <w:w w:val="80"/>
                        <w:sz w:val="20"/>
                      </w:rPr>
                      <w:t>i</w:t>
                    </w:r>
                    <w:r>
                      <w:rPr>
                        <w:rFonts w:ascii="Trebuchet MS"/>
                        <w:color w:val="231F20"/>
                        <w:w w:val="107"/>
                        <w:sz w:val="20"/>
                      </w:rPr>
                      <w:t>n</w:t>
                    </w:r>
                    <w:r>
                      <w:rPr>
                        <w:rFonts w:ascii="Trebuchet MS"/>
                        <w:color w:val="231F20"/>
                        <w:w w:val="88"/>
                        <w:sz w:val="20"/>
                      </w:rPr>
                      <w:t>t</w:t>
                    </w:r>
                    <w:r>
                      <w:rPr>
                        <w:rFonts w:ascii="Trebuchet MS"/>
                        <w:color w:val="231F20"/>
                        <w:w w:val="108"/>
                        <w:sz w:val="20"/>
                      </w:rPr>
                      <w:t>e</w:t>
                    </w:r>
                    <w:r>
                      <w:rPr>
                        <w:rFonts w:ascii="Trebuchet MS"/>
                        <w:color w:val="231F20"/>
                        <w:w w:val="93"/>
                        <w:sz w:val="20"/>
                      </w:rPr>
                      <w:t>r</w:t>
                    </w:r>
                    <w:r>
                      <w:rPr>
                        <w:rFonts w:ascii="Trebuchet MS"/>
                        <w:color w:val="231F20"/>
                        <w:w w:val="80"/>
                        <w:sz w:val="20"/>
                      </w:rPr>
                      <w:t>i</w:t>
                    </w:r>
                    <w:r>
                      <w:rPr>
                        <w:rFonts w:ascii="Trebuchet MS"/>
                        <w:color w:val="231F20"/>
                        <w:w w:val="111"/>
                        <w:sz w:val="20"/>
                      </w:rPr>
                      <w:t>m</w:t>
                    </w:r>
                    <w:r>
                      <w:rPr>
                        <w:rFonts w:ascii="Trebuchet MS"/>
                        <w:color w:val="231F20"/>
                        <w:sz w:val="20"/>
                      </w:rPr>
                      <w:t xml:space="preserve"> </w:t>
                    </w:r>
                    <w:r>
                      <w:rPr>
                        <w:rFonts w:ascii="Trebuchet MS"/>
                        <w:color w:val="231F20"/>
                        <w:w w:val="93"/>
                        <w:sz w:val="20"/>
                      </w:rPr>
                      <w:t>r</w:t>
                    </w:r>
                    <w:r>
                      <w:rPr>
                        <w:rFonts w:ascii="Trebuchet MS"/>
                        <w:color w:val="231F20"/>
                        <w:w w:val="108"/>
                        <w:sz w:val="20"/>
                      </w:rPr>
                      <w:t>e</w:t>
                    </w:r>
                    <w:r>
                      <w:rPr>
                        <w:rFonts w:ascii="Trebuchet MS"/>
                        <w:color w:val="231F20"/>
                        <w:w w:val="111"/>
                        <w:sz w:val="20"/>
                      </w:rPr>
                      <w:t>po</w:t>
                    </w:r>
                    <w:r>
                      <w:rPr>
                        <w:rFonts w:ascii="Trebuchet MS"/>
                        <w:color w:val="231F20"/>
                        <w:w w:val="93"/>
                        <w:sz w:val="20"/>
                      </w:rPr>
                      <w:t>r</w:t>
                    </w:r>
                    <w:r>
                      <w:rPr>
                        <w:rFonts w:ascii="Trebuchet MS"/>
                        <w:color w:val="231F20"/>
                        <w:w w:val="88"/>
                        <w:sz w:val="20"/>
                      </w:rPr>
                      <w:t>t</w:t>
                    </w:r>
                    <w:r>
                      <w:rPr>
                        <w:rFonts w:ascii="Trebuchet MS"/>
                        <w:color w:val="231F20"/>
                        <w:w w:val="57"/>
                        <w:sz w:val="20"/>
                      </w:rPr>
                      <w:t>,</w:t>
                    </w:r>
                    <w:r>
                      <w:rPr>
                        <w:rFonts w:ascii="Trebuchet MS"/>
                        <w:color w:val="231F20"/>
                        <w:sz w:val="20"/>
                      </w:rPr>
                      <w:t xml:space="preserve"> </w:t>
                    </w:r>
                    <w:r>
                      <w:rPr>
                        <w:rFonts w:ascii="Trebuchet MS"/>
                        <w:color w:val="231F20"/>
                        <w:w w:val="115"/>
                        <w:sz w:val="20"/>
                      </w:rPr>
                      <w:t>V</w:t>
                    </w:r>
                    <w:r>
                      <w:rPr>
                        <w:rFonts w:ascii="Trebuchet MS"/>
                        <w:color w:val="231F20"/>
                        <w:w w:val="80"/>
                        <w:sz w:val="20"/>
                      </w:rPr>
                      <w:t>i</w:t>
                    </w:r>
                    <w:r>
                      <w:rPr>
                        <w:rFonts w:ascii="Trebuchet MS"/>
                        <w:color w:val="231F20"/>
                        <w:w w:val="111"/>
                        <w:sz w:val="20"/>
                      </w:rPr>
                      <w:t>c</w:t>
                    </w:r>
                    <w:r>
                      <w:rPr>
                        <w:rFonts w:ascii="Trebuchet MS"/>
                        <w:color w:val="231F20"/>
                        <w:w w:val="88"/>
                        <w:sz w:val="20"/>
                      </w:rPr>
                      <w:t>t</w:t>
                    </w:r>
                    <w:r>
                      <w:rPr>
                        <w:rFonts w:ascii="Trebuchet MS"/>
                        <w:color w:val="231F20"/>
                        <w:w w:val="111"/>
                        <w:sz w:val="20"/>
                      </w:rPr>
                      <w:t>o</w:t>
                    </w:r>
                    <w:r>
                      <w:rPr>
                        <w:rFonts w:ascii="Trebuchet MS"/>
                        <w:color w:val="231F20"/>
                        <w:w w:val="93"/>
                        <w:sz w:val="20"/>
                      </w:rPr>
                      <w:t>r</w:t>
                    </w:r>
                    <w:r>
                      <w:rPr>
                        <w:rFonts w:ascii="Trebuchet MS"/>
                        <w:color w:val="231F20"/>
                        <w:w w:val="80"/>
                        <w:sz w:val="20"/>
                      </w:rPr>
                      <w:t>i</w:t>
                    </w:r>
                    <w:r>
                      <w:rPr>
                        <w:rFonts w:ascii="Trebuchet MS"/>
                        <w:color w:val="231F20"/>
                        <w:w w:val="105"/>
                        <w:sz w:val="20"/>
                      </w:rPr>
                      <w:t xml:space="preserve">a </w:t>
                    </w:r>
                    <w:r>
                      <w:rPr>
                        <w:rFonts w:ascii="Trebuchet MS"/>
                        <w:color w:val="231F20"/>
                        <w:sz w:val="20"/>
                      </w:rPr>
                      <w:t xml:space="preserve">Police should ensure that sufficient guidance and training is given to frontline and specialist police to facilitate strong and effective investigative and evidentiary practices when considering and authorising stalking charges under section 21A of the </w:t>
                    </w:r>
                    <w:r>
                      <w:rPr>
                        <w:rFonts w:ascii="Arial"/>
                        <w:i/>
                        <w:color w:val="231F20"/>
                        <w:sz w:val="20"/>
                      </w:rPr>
                      <w:t xml:space="preserve">Crimes Act 1958 </w:t>
                    </w:r>
                    <w:r>
                      <w:rPr>
                        <w:rFonts w:ascii="Trebuchet MS"/>
                        <w:color w:val="231F20"/>
                        <w:sz w:val="20"/>
                      </w:rPr>
                      <w:t>(Vic).</w:t>
                    </w:r>
                  </w:p>
                </w:txbxContent>
              </v:textbox>
            </v:shape>
            <v:shape id="_x0000_s1202" type="#_x0000_t202" style="position:absolute;left:1814;top:1342;width:286;height:235" filled="f" stroked="f">
              <v:textbox inset="0,0,0,0">
                <w:txbxContent>
                  <w:p w14:paraId="60A7F02E" w14:textId="77777777" w:rsidR="00894070" w:rsidRDefault="009B7AFD">
                    <w:pPr>
                      <w:rPr>
                        <w:rFonts w:ascii="Trebuchet MS"/>
                        <w:sz w:val="20"/>
                      </w:rPr>
                    </w:pPr>
                    <w:r>
                      <w:rPr>
                        <w:rFonts w:ascii="Trebuchet MS"/>
                        <w:color w:val="231F20"/>
                        <w:w w:val="95"/>
                        <w:sz w:val="20"/>
                      </w:rPr>
                      <w:t>34.</w:t>
                    </w:r>
                  </w:p>
                </w:txbxContent>
              </v:textbox>
            </v:shape>
            <v:shape id="_x0000_s1201" type="#_x0000_t202" style="position:absolute;left:1587;top:309;width:8731;height:783" fillcolor="#fee7de" stroked="f">
              <v:textbox inset="0,0,0,0">
                <w:txbxContent>
                  <w:p w14:paraId="51C0CF8C"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wrap type="topAndBottom" anchorx="page"/>
          </v:group>
        </w:pict>
      </w:r>
    </w:p>
    <w:p w14:paraId="2B5B975A" w14:textId="77777777" w:rsidR="00894070" w:rsidRDefault="00894070">
      <w:pPr>
        <w:pStyle w:val="BodyText"/>
      </w:pPr>
    </w:p>
    <w:p w14:paraId="73CA307C" w14:textId="77777777" w:rsidR="00894070" w:rsidRDefault="009B7AFD">
      <w:pPr>
        <w:pStyle w:val="Heading7"/>
        <w:spacing w:before="261" w:line="184" w:lineRule="auto"/>
        <w:ind w:right="1408"/>
      </w:pPr>
      <w:r>
        <w:rPr>
          <w:color w:val="EA5B50"/>
        </w:rPr>
        <w:t>What are other barriers to stalking offences progressing in the justice system?</w:t>
      </w:r>
    </w:p>
    <w:p w14:paraId="2EB2E841" w14:textId="77777777" w:rsidR="00894070" w:rsidRDefault="009B7AFD">
      <w:pPr>
        <w:pStyle w:val="ListParagraph"/>
        <w:numPr>
          <w:ilvl w:val="1"/>
          <w:numId w:val="65"/>
        </w:numPr>
        <w:tabs>
          <w:tab w:val="left" w:pos="1801"/>
          <w:tab w:val="left" w:pos="1802"/>
        </w:tabs>
        <w:spacing w:before="162" w:line="206" w:lineRule="auto"/>
        <w:ind w:right="1376"/>
        <w:rPr>
          <w:sz w:val="20"/>
        </w:rPr>
      </w:pPr>
      <w:r>
        <w:rPr>
          <w:color w:val="231F20"/>
          <w:sz w:val="20"/>
        </w:rPr>
        <w:t>Attrition</w:t>
      </w:r>
      <w:r>
        <w:rPr>
          <w:color w:val="231F20"/>
          <w:spacing w:val="-7"/>
          <w:sz w:val="20"/>
        </w:rPr>
        <w:t xml:space="preserve"> </w:t>
      </w:r>
      <w:r>
        <w:rPr>
          <w:color w:val="231F20"/>
          <w:sz w:val="20"/>
        </w:rPr>
        <w:t>studies</w:t>
      </w:r>
      <w:r>
        <w:rPr>
          <w:color w:val="231F20"/>
          <w:spacing w:val="-7"/>
          <w:sz w:val="20"/>
        </w:rPr>
        <w:t xml:space="preserve"> </w:t>
      </w:r>
      <w:r>
        <w:rPr>
          <w:color w:val="231F20"/>
          <w:spacing w:val="-4"/>
          <w:sz w:val="20"/>
        </w:rPr>
        <w:t>follow</w:t>
      </w:r>
      <w:r>
        <w:rPr>
          <w:color w:val="231F20"/>
          <w:spacing w:val="-7"/>
          <w:sz w:val="20"/>
        </w:rPr>
        <w:t xml:space="preserve"> </w:t>
      </w:r>
      <w:r>
        <w:rPr>
          <w:color w:val="231F20"/>
          <w:sz w:val="20"/>
        </w:rPr>
        <w:t>the</w:t>
      </w:r>
      <w:r>
        <w:rPr>
          <w:color w:val="231F20"/>
          <w:spacing w:val="-7"/>
          <w:sz w:val="20"/>
        </w:rPr>
        <w:t xml:space="preserve"> </w:t>
      </w:r>
      <w:r>
        <w:rPr>
          <w:color w:val="231F20"/>
          <w:spacing w:val="-3"/>
          <w:sz w:val="20"/>
        </w:rPr>
        <w:t>progress</w:t>
      </w:r>
      <w:r>
        <w:rPr>
          <w:color w:val="231F20"/>
          <w:spacing w:val="-7"/>
          <w:sz w:val="20"/>
        </w:rPr>
        <w:t xml:space="preserve"> </w:t>
      </w:r>
      <w:r>
        <w:rPr>
          <w:color w:val="231F20"/>
          <w:sz w:val="20"/>
        </w:rPr>
        <w:t>of</w:t>
      </w:r>
      <w:r>
        <w:rPr>
          <w:color w:val="231F20"/>
          <w:spacing w:val="-7"/>
          <w:sz w:val="20"/>
        </w:rPr>
        <w:t xml:space="preserve"> </w:t>
      </w:r>
      <w:r>
        <w:rPr>
          <w:color w:val="231F20"/>
          <w:sz w:val="20"/>
        </w:rPr>
        <w:t>cases</w:t>
      </w:r>
      <w:r>
        <w:rPr>
          <w:color w:val="231F20"/>
          <w:spacing w:val="-7"/>
          <w:sz w:val="20"/>
        </w:rPr>
        <w:t xml:space="preserve"> </w:t>
      </w:r>
      <w:r>
        <w:rPr>
          <w:color w:val="231F20"/>
          <w:spacing w:val="-3"/>
          <w:sz w:val="20"/>
        </w:rPr>
        <w:t>through</w:t>
      </w:r>
      <w:r>
        <w:rPr>
          <w:color w:val="231F20"/>
          <w:spacing w:val="-7"/>
          <w:sz w:val="20"/>
        </w:rPr>
        <w:t xml:space="preserve"> </w:t>
      </w:r>
      <w:r>
        <w:rPr>
          <w:color w:val="231F20"/>
          <w:sz w:val="20"/>
        </w:rPr>
        <w:t>the</w:t>
      </w:r>
      <w:r>
        <w:rPr>
          <w:color w:val="231F20"/>
          <w:spacing w:val="-6"/>
          <w:sz w:val="20"/>
        </w:rPr>
        <w:t xml:space="preserve"> </w:t>
      </w:r>
      <w:r>
        <w:rPr>
          <w:color w:val="231F20"/>
          <w:sz w:val="20"/>
        </w:rPr>
        <w:t>stages</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justice</w:t>
      </w:r>
      <w:r>
        <w:rPr>
          <w:color w:val="231F20"/>
          <w:spacing w:val="-7"/>
          <w:sz w:val="20"/>
        </w:rPr>
        <w:t xml:space="preserve"> </w:t>
      </w:r>
      <w:r>
        <w:rPr>
          <w:color w:val="231F20"/>
          <w:spacing w:val="-2"/>
          <w:sz w:val="20"/>
        </w:rPr>
        <w:t xml:space="preserve">system </w:t>
      </w:r>
      <w:r>
        <w:rPr>
          <w:color w:val="231F20"/>
          <w:spacing w:val="-3"/>
          <w:sz w:val="20"/>
        </w:rPr>
        <w:t>from</w:t>
      </w:r>
      <w:r>
        <w:rPr>
          <w:color w:val="231F20"/>
          <w:spacing w:val="-6"/>
          <w:sz w:val="20"/>
        </w:rPr>
        <w:t xml:space="preserve"> </w:t>
      </w:r>
      <w:r>
        <w:rPr>
          <w:color w:val="231F20"/>
          <w:sz w:val="20"/>
        </w:rPr>
        <w:t>report</w:t>
      </w:r>
      <w:r>
        <w:rPr>
          <w:color w:val="231F20"/>
          <w:spacing w:val="-5"/>
          <w:sz w:val="20"/>
        </w:rPr>
        <w:t xml:space="preserve"> </w:t>
      </w:r>
      <w:r>
        <w:rPr>
          <w:color w:val="231F20"/>
          <w:sz w:val="20"/>
        </w:rPr>
        <w:t>to</w:t>
      </w:r>
      <w:r>
        <w:rPr>
          <w:color w:val="231F20"/>
          <w:spacing w:val="-5"/>
          <w:sz w:val="20"/>
        </w:rPr>
        <w:t xml:space="preserve"> </w:t>
      </w:r>
      <w:r>
        <w:rPr>
          <w:color w:val="231F20"/>
          <w:sz w:val="20"/>
        </w:rPr>
        <w:t>prosecution,</w:t>
      </w:r>
      <w:r>
        <w:rPr>
          <w:color w:val="231F20"/>
          <w:spacing w:val="-6"/>
          <w:sz w:val="20"/>
        </w:rPr>
        <w:t xml:space="preserve"> </w:t>
      </w:r>
      <w:r>
        <w:rPr>
          <w:color w:val="231F20"/>
          <w:sz w:val="20"/>
        </w:rPr>
        <w:t>and</w:t>
      </w:r>
      <w:r>
        <w:rPr>
          <w:color w:val="231F20"/>
          <w:spacing w:val="-5"/>
          <w:sz w:val="20"/>
        </w:rPr>
        <w:t xml:space="preserve"> </w:t>
      </w:r>
      <w:r>
        <w:rPr>
          <w:color w:val="231F20"/>
          <w:sz w:val="20"/>
        </w:rPr>
        <w:t>to</w:t>
      </w:r>
      <w:r>
        <w:rPr>
          <w:color w:val="231F20"/>
          <w:spacing w:val="-5"/>
          <w:sz w:val="20"/>
        </w:rPr>
        <w:t xml:space="preserve"> </w:t>
      </w:r>
      <w:r>
        <w:rPr>
          <w:color w:val="231F20"/>
          <w:sz w:val="20"/>
        </w:rPr>
        <w:t>when</w:t>
      </w:r>
      <w:r>
        <w:rPr>
          <w:color w:val="231F20"/>
          <w:spacing w:val="-6"/>
          <w:sz w:val="20"/>
        </w:rPr>
        <w:t xml:space="preserve"> </w:t>
      </w:r>
      <w:r>
        <w:rPr>
          <w:color w:val="231F20"/>
          <w:sz w:val="20"/>
        </w:rPr>
        <w:t>they</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finalised</w:t>
      </w:r>
      <w:r>
        <w:rPr>
          <w:color w:val="231F20"/>
          <w:spacing w:val="-6"/>
          <w:sz w:val="20"/>
        </w:rPr>
        <w:t xml:space="preserve"> </w:t>
      </w:r>
      <w:r>
        <w:rPr>
          <w:color w:val="231F20"/>
          <w:sz w:val="20"/>
        </w:rPr>
        <w:t>in</w:t>
      </w:r>
      <w:r>
        <w:rPr>
          <w:color w:val="231F20"/>
          <w:spacing w:val="-5"/>
          <w:sz w:val="20"/>
        </w:rPr>
        <w:t xml:space="preserve"> </w:t>
      </w:r>
      <w:r>
        <w:rPr>
          <w:color w:val="231F20"/>
          <w:sz w:val="20"/>
        </w:rPr>
        <w:t>court.</w:t>
      </w:r>
    </w:p>
    <w:p w14:paraId="2084CBF9" w14:textId="77777777" w:rsidR="00894070" w:rsidRDefault="009B7AFD">
      <w:pPr>
        <w:pStyle w:val="ListParagraph"/>
        <w:numPr>
          <w:ilvl w:val="1"/>
          <w:numId w:val="65"/>
        </w:numPr>
        <w:tabs>
          <w:tab w:val="left" w:pos="1801"/>
          <w:tab w:val="left" w:pos="1802"/>
        </w:tabs>
        <w:spacing w:before="90" w:line="259" w:lineRule="exact"/>
        <w:rPr>
          <w:sz w:val="20"/>
        </w:rPr>
      </w:pPr>
      <w:r>
        <w:rPr>
          <w:color w:val="231F20"/>
          <w:sz w:val="20"/>
        </w:rPr>
        <w:t>The</w:t>
      </w:r>
      <w:r>
        <w:rPr>
          <w:color w:val="231F20"/>
          <w:spacing w:val="-6"/>
          <w:sz w:val="20"/>
        </w:rPr>
        <w:t xml:space="preserve"> </w:t>
      </w:r>
      <w:r>
        <w:rPr>
          <w:color w:val="231F20"/>
          <w:sz w:val="20"/>
        </w:rPr>
        <w:t>Crime</w:t>
      </w:r>
      <w:r>
        <w:rPr>
          <w:color w:val="231F20"/>
          <w:spacing w:val="-6"/>
          <w:sz w:val="20"/>
        </w:rPr>
        <w:t xml:space="preserve"> </w:t>
      </w:r>
      <w:r>
        <w:rPr>
          <w:color w:val="231F20"/>
          <w:sz w:val="20"/>
        </w:rPr>
        <w:t>Statistics</w:t>
      </w:r>
      <w:r>
        <w:rPr>
          <w:color w:val="231F20"/>
          <w:spacing w:val="-6"/>
          <w:sz w:val="20"/>
        </w:rPr>
        <w:t xml:space="preserve"> </w:t>
      </w:r>
      <w:r>
        <w:rPr>
          <w:color w:val="231F20"/>
          <w:sz w:val="20"/>
        </w:rPr>
        <w:t>Agency</w:t>
      </w:r>
      <w:r>
        <w:rPr>
          <w:color w:val="231F20"/>
          <w:spacing w:val="-6"/>
          <w:sz w:val="20"/>
        </w:rPr>
        <w:t xml:space="preserve"> </w:t>
      </w:r>
      <w:r>
        <w:rPr>
          <w:color w:val="231F20"/>
          <w:sz w:val="20"/>
        </w:rPr>
        <w:t>conducted</w:t>
      </w:r>
      <w:r>
        <w:rPr>
          <w:color w:val="231F20"/>
          <w:spacing w:val="-6"/>
          <w:sz w:val="20"/>
        </w:rPr>
        <w:t xml:space="preserve"> </w:t>
      </w:r>
      <w:r>
        <w:rPr>
          <w:color w:val="231F20"/>
          <w:sz w:val="20"/>
        </w:rPr>
        <w:t>an</w:t>
      </w:r>
      <w:r>
        <w:rPr>
          <w:color w:val="231F20"/>
          <w:spacing w:val="-6"/>
          <w:sz w:val="20"/>
        </w:rPr>
        <w:t xml:space="preserve"> </w:t>
      </w:r>
      <w:r>
        <w:rPr>
          <w:color w:val="231F20"/>
          <w:sz w:val="20"/>
        </w:rPr>
        <w:t>attrition</w:t>
      </w:r>
      <w:r>
        <w:rPr>
          <w:color w:val="231F20"/>
          <w:spacing w:val="-6"/>
          <w:sz w:val="20"/>
        </w:rPr>
        <w:t xml:space="preserve"> </w:t>
      </w:r>
      <w:r>
        <w:rPr>
          <w:color w:val="231F20"/>
          <w:sz w:val="20"/>
        </w:rPr>
        <w:t>study</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5"/>
          <w:sz w:val="20"/>
        </w:rPr>
        <w:t xml:space="preserve"> </w:t>
      </w:r>
      <w:r>
        <w:rPr>
          <w:color w:val="231F20"/>
          <w:sz w:val="20"/>
        </w:rPr>
        <w:t>stalking</w:t>
      </w:r>
      <w:r>
        <w:rPr>
          <w:color w:val="231F20"/>
          <w:spacing w:val="-6"/>
          <w:sz w:val="20"/>
        </w:rPr>
        <w:t xml:space="preserve"> </w:t>
      </w:r>
      <w:r>
        <w:rPr>
          <w:color w:val="231F20"/>
          <w:spacing w:val="-3"/>
          <w:sz w:val="20"/>
        </w:rPr>
        <w:t>offence.</w:t>
      </w:r>
    </w:p>
    <w:p w14:paraId="2191D870" w14:textId="77777777" w:rsidR="00894070" w:rsidRDefault="009B7AFD">
      <w:pPr>
        <w:pStyle w:val="BodyText"/>
        <w:spacing w:before="14" w:line="206" w:lineRule="auto"/>
        <w:ind w:left="1801" w:right="1219"/>
      </w:pPr>
      <w:r>
        <w:rPr>
          <w:color w:val="231F20"/>
        </w:rPr>
        <w:t xml:space="preserve">It </w:t>
      </w:r>
      <w:r>
        <w:rPr>
          <w:color w:val="231F20"/>
          <w:spacing w:val="-4"/>
        </w:rPr>
        <w:t xml:space="preserve">followed </w:t>
      </w:r>
      <w:r>
        <w:rPr>
          <w:color w:val="231F20"/>
        </w:rPr>
        <w:t xml:space="preserve">stalking cases </w:t>
      </w:r>
      <w:r>
        <w:rPr>
          <w:color w:val="231F20"/>
          <w:spacing w:val="-3"/>
        </w:rPr>
        <w:t xml:space="preserve">from </w:t>
      </w:r>
      <w:r>
        <w:rPr>
          <w:color w:val="231F20"/>
        </w:rPr>
        <w:t xml:space="preserve">the police stage </w:t>
      </w:r>
      <w:r>
        <w:rPr>
          <w:color w:val="231F20"/>
          <w:spacing w:val="-3"/>
        </w:rPr>
        <w:t xml:space="preserve">through </w:t>
      </w:r>
      <w:r>
        <w:rPr>
          <w:color w:val="231F20"/>
        </w:rPr>
        <w:t xml:space="preserve">to the court stage in the </w:t>
      </w:r>
      <w:r>
        <w:rPr>
          <w:color w:val="231F20"/>
          <w:spacing w:val="-4"/>
        </w:rPr>
        <w:t xml:space="preserve">Magistrates’, </w:t>
      </w:r>
      <w:r>
        <w:rPr>
          <w:color w:val="231F20"/>
          <w:spacing w:val="-3"/>
        </w:rPr>
        <w:t xml:space="preserve">Children’s, </w:t>
      </w:r>
      <w:proofErr w:type="gramStart"/>
      <w:r>
        <w:rPr>
          <w:color w:val="231F20"/>
        </w:rPr>
        <w:t>County</w:t>
      </w:r>
      <w:proofErr w:type="gramEnd"/>
      <w:r>
        <w:rPr>
          <w:color w:val="231F20"/>
        </w:rPr>
        <w:t xml:space="preserve"> and Supreme Courts, in the three years </w:t>
      </w:r>
      <w:r>
        <w:rPr>
          <w:color w:val="231F20"/>
          <w:spacing w:val="-3"/>
        </w:rPr>
        <w:t xml:space="preserve">from </w:t>
      </w:r>
      <w:r>
        <w:rPr>
          <w:color w:val="231F20"/>
        </w:rPr>
        <w:t xml:space="preserve">1 January </w:t>
      </w:r>
      <w:r>
        <w:rPr>
          <w:color w:val="231F20"/>
          <w:spacing w:val="-3"/>
        </w:rPr>
        <w:t xml:space="preserve">2016 </w:t>
      </w:r>
      <w:r>
        <w:rPr>
          <w:color w:val="231F20"/>
        </w:rPr>
        <w:t xml:space="preserve">to 31 December </w:t>
      </w:r>
      <w:r>
        <w:rPr>
          <w:color w:val="231F20"/>
          <w:spacing w:val="-3"/>
        </w:rPr>
        <w:t xml:space="preserve">2018. (We </w:t>
      </w:r>
      <w:r>
        <w:rPr>
          <w:color w:val="231F20"/>
        </w:rPr>
        <w:t xml:space="preserve">discuss the study briefly in </w:t>
      </w:r>
      <w:r>
        <w:rPr>
          <w:color w:val="231F20"/>
          <w:spacing w:val="-3"/>
        </w:rPr>
        <w:t>Chapter 2).</w:t>
      </w:r>
    </w:p>
    <w:p w14:paraId="73291760" w14:textId="77777777" w:rsidR="00894070" w:rsidRDefault="009B7AFD">
      <w:pPr>
        <w:pStyle w:val="ListParagraph"/>
        <w:numPr>
          <w:ilvl w:val="1"/>
          <w:numId w:val="65"/>
        </w:numPr>
        <w:tabs>
          <w:tab w:val="left" w:pos="1801"/>
          <w:tab w:val="left" w:pos="1802"/>
        </w:tabs>
        <w:spacing w:before="91"/>
        <w:rPr>
          <w:sz w:val="20"/>
        </w:rPr>
      </w:pPr>
      <w:r>
        <w:rPr>
          <w:color w:val="231F20"/>
          <w:sz w:val="20"/>
        </w:rPr>
        <w:t xml:space="preserve">The study made </w:t>
      </w:r>
      <w:proofErr w:type="gramStart"/>
      <w:r>
        <w:rPr>
          <w:color w:val="231F20"/>
          <w:sz w:val="20"/>
        </w:rPr>
        <w:t>a number of</w:t>
      </w:r>
      <w:proofErr w:type="gramEnd"/>
      <w:r>
        <w:rPr>
          <w:color w:val="231F20"/>
          <w:sz w:val="20"/>
        </w:rPr>
        <w:t xml:space="preserve"> findings,</w:t>
      </w:r>
      <w:r>
        <w:rPr>
          <w:color w:val="231F20"/>
          <w:spacing w:val="-32"/>
          <w:sz w:val="20"/>
        </w:rPr>
        <w:t xml:space="preserve"> </w:t>
      </w:r>
      <w:r>
        <w:rPr>
          <w:color w:val="231F20"/>
          <w:sz w:val="20"/>
        </w:rPr>
        <w:t>including:</w:t>
      </w:r>
    </w:p>
    <w:p w14:paraId="0A72C426" w14:textId="77777777" w:rsidR="00894070" w:rsidRDefault="009B7AFD">
      <w:pPr>
        <w:pStyle w:val="ListParagraph"/>
        <w:numPr>
          <w:ilvl w:val="2"/>
          <w:numId w:val="65"/>
        </w:numPr>
        <w:tabs>
          <w:tab w:val="left" w:pos="2142"/>
        </w:tabs>
        <w:spacing w:before="115" w:line="206" w:lineRule="auto"/>
        <w:ind w:right="1469" w:hanging="340"/>
        <w:jc w:val="both"/>
        <w:rPr>
          <w:sz w:val="11"/>
        </w:rPr>
      </w:pPr>
      <w:r>
        <w:rPr>
          <w:color w:val="231F20"/>
          <w:sz w:val="20"/>
        </w:rPr>
        <w:t>‘</w:t>
      </w:r>
      <w:proofErr w:type="gramStart"/>
      <w:r>
        <w:rPr>
          <w:color w:val="231F20"/>
          <w:sz w:val="20"/>
        </w:rPr>
        <w:t>most</w:t>
      </w:r>
      <w:proofErr w:type="gramEnd"/>
      <w:r>
        <w:rPr>
          <w:color w:val="231F20"/>
          <w:spacing w:val="-10"/>
          <w:sz w:val="20"/>
        </w:rPr>
        <w:t xml:space="preserve"> </w:t>
      </w:r>
      <w:r>
        <w:rPr>
          <w:color w:val="231F20"/>
          <w:sz w:val="20"/>
        </w:rPr>
        <w:t>stalking</w:t>
      </w:r>
      <w:r>
        <w:rPr>
          <w:color w:val="231F20"/>
          <w:spacing w:val="-9"/>
          <w:sz w:val="20"/>
        </w:rPr>
        <w:t xml:space="preserve"> </w:t>
      </w:r>
      <w:r>
        <w:rPr>
          <w:color w:val="231F20"/>
          <w:sz w:val="20"/>
        </w:rPr>
        <w:t>incidents</w:t>
      </w:r>
      <w:r>
        <w:rPr>
          <w:color w:val="231F20"/>
          <w:spacing w:val="-9"/>
          <w:sz w:val="20"/>
        </w:rPr>
        <w:t xml:space="preserve"> </w:t>
      </w:r>
      <w:r>
        <w:rPr>
          <w:color w:val="231F20"/>
          <w:spacing w:val="-3"/>
          <w:sz w:val="20"/>
        </w:rPr>
        <w:t>result</w:t>
      </w:r>
      <w:r>
        <w:rPr>
          <w:color w:val="231F20"/>
          <w:spacing w:val="-9"/>
          <w:sz w:val="20"/>
        </w:rPr>
        <w:t xml:space="preserve"> </w:t>
      </w:r>
      <w:r>
        <w:rPr>
          <w:color w:val="231F20"/>
          <w:sz w:val="20"/>
        </w:rPr>
        <w:t>in</w:t>
      </w:r>
      <w:r>
        <w:rPr>
          <w:color w:val="231F20"/>
          <w:spacing w:val="-9"/>
          <w:sz w:val="20"/>
        </w:rPr>
        <w:t xml:space="preserve"> </w:t>
      </w:r>
      <w:r>
        <w:rPr>
          <w:color w:val="231F20"/>
          <w:spacing w:val="-4"/>
          <w:sz w:val="20"/>
        </w:rPr>
        <w:t>proven</w:t>
      </w:r>
      <w:r>
        <w:rPr>
          <w:color w:val="231F20"/>
          <w:spacing w:val="-9"/>
          <w:sz w:val="20"/>
        </w:rPr>
        <w:t xml:space="preserve"> </w:t>
      </w:r>
      <w:r>
        <w:rPr>
          <w:color w:val="231F20"/>
          <w:sz w:val="20"/>
        </w:rPr>
        <w:t>charges</w:t>
      </w:r>
      <w:r>
        <w:rPr>
          <w:color w:val="231F20"/>
          <w:spacing w:val="-10"/>
          <w:sz w:val="20"/>
        </w:rPr>
        <w:t xml:space="preserve"> </w:t>
      </w:r>
      <w:r>
        <w:rPr>
          <w:color w:val="231F20"/>
          <w:sz w:val="20"/>
        </w:rPr>
        <w:t>of</w:t>
      </w:r>
      <w:r>
        <w:rPr>
          <w:color w:val="231F20"/>
          <w:spacing w:val="-9"/>
          <w:sz w:val="20"/>
        </w:rPr>
        <w:t xml:space="preserve"> </w:t>
      </w:r>
      <w:r>
        <w:rPr>
          <w:color w:val="231F20"/>
          <w:sz w:val="20"/>
        </w:rPr>
        <w:t>some</w:t>
      </w:r>
      <w:r>
        <w:rPr>
          <w:color w:val="231F20"/>
          <w:spacing w:val="-9"/>
          <w:sz w:val="20"/>
        </w:rPr>
        <w:t xml:space="preserve"> </w:t>
      </w:r>
      <w:r>
        <w:rPr>
          <w:color w:val="231F20"/>
          <w:sz w:val="20"/>
        </w:rPr>
        <w:t>kind,</w:t>
      </w:r>
      <w:r>
        <w:rPr>
          <w:color w:val="231F20"/>
          <w:spacing w:val="-9"/>
          <w:sz w:val="20"/>
        </w:rPr>
        <w:t xml:space="preserve"> </w:t>
      </w:r>
      <w:r>
        <w:rPr>
          <w:color w:val="231F20"/>
          <w:sz w:val="20"/>
        </w:rPr>
        <w:t>although</w:t>
      </w:r>
      <w:r>
        <w:rPr>
          <w:color w:val="231F20"/>
          <w:spacing w:val="-9"/>
          <w:sz w:val="20"/>
        </w:rPr>
        <w:t xml:space="preserve"> </w:t>
      </w:r>
      <w:r>
        <w:rPr>
          <w:color w:val="231F20"/>
          <w:sz w:val="20"/>
        </w:rPr>
        <w:t>in</w:t>
      </w:r>
      <w:r>
        <w:rPr>
          <w:color w:val="231F20"/>
          <w:spacing w:val="-9"/>
          <w:sz w:val="20"/>
        </w:rPr>
        <w:t xml:space="preserve"> </w:t>
      </w:r>
      <w:r>
        <w:rPr>
          <w:color w:val="231F20"/>
          <w:sz w:val="20"/>
        </w:rPr>
        <w:t>many cases</w:t>
      </w:r>
      <w:r>
        <w:rPr>
          <w:color w:val="231F20"/>
          <w:spacing w:val="-9"/>
          <w:sz w:val="20"/>
        </w:rPr>
        <w:t xml:space="preserve"> </w:t>
      </w:r>
      <w:r>
        <w:rPr>
          <w:color w:val="231F20"/>
          <w:sz w:val="20"/>
        </w:rPr>
        <w:t>the</w:t>
      </w:r>
      <w:r>
        <w:rPr>
          <w:color w:val="231F20"/>
          <w:spacing w:val="-9"/>
          <w:sz w:val="20"/>
        </w:rPr>
        <w:t xml:space="preserve"> </w:t>
      </w:r>
      <w:r>
        <w:rPr>
          <w:color w:val="231F20"/>
          <w:sz w:val="20"/>
        </w:rPr>
        <w:t>stalking</w:t>
      </w:r>
      <w:r>
        <w:rPr>
          <w:color w:val="231F20"/>
          <w:spacing w:val="-9"/>
          <w:sz w:val="20"/>
        </w:rPr>
        <w:t xml:space="preserve"> </w:t>
      </w:r>
      <w:r>
        <w:rPr>
          <w:color w:val="231F20"/>
          <w:sz w:val="20"/>
        </w:rPr>
        <w:t>charges</w:t>
      </w:r>
      <w:r>
        <w:rPr>
          <w:color w:val="231F20"/>
          <w:spacing w:val="-9"/>
          <w:sz w:val="20"/>
        </w:rPr>
        <w:t xml:space="preserve"> </w:t>
      </w:r>
      <w:r>
        <w:rPr>
          <w:color w:val="231F20"/>
          <w:spacing w:val="-3"/>
          <w:sz w:val="20"/>
        </w:rPr>
        <w:t>themselves</w:t>
      </w:r>
      <w:r>
        <w:rPr>
          <w:color w:val="231F20"/>
          <w:spacing w:val="-9"/>
          <w:sz w:val="20"/>
        </w:rPr>
        <w:t xml:space="preserve"> </w:t>
      </w:r>
      <w:r>
        <w:rPr>
          <w:color w:val="231F20"/>
          <w:spacing w:val="-3"/>
          <w:sz w:val="20"/>
        </w:rPr>
        <w:t>are</w:t>
      </w:r>
      <w:r>
        <w:rPr>
          <w:color w:val="231F20"/>
          <w:spacing w:val="-9"/>
          <w:sz w:val="20"/>
        </w:rPr>
        <w:t xml:space="preserve"> </w:t>
      </w:r>
      <w:r>
        <w:rPr>
          <w:color w:val="231F20"/>
          <w:sz w:val="20"/>
        </w:rPr>
        <w:t>withdrawn,</w:t>
      </w:r>
      <w:r>
        <w:rPr>
          <w:color w:val="231F20"/>
          <w:spacing w:val="-8"/>
          <w:sz w:val="20"/>
        </w:rPr>
        <w:t xml:space="preserve"> </w:t>
      </w:r>
      <w:r>
        <w:rPr>
          <w:color w:val="231F20"/>
          <w:sz w:val="20"/>
        </w:rPr>
        <w:t>struck</w:t>
      </w:r>
      <w:r>
        <w:rPr>
          <w:color w:val="231F20"/>
          <w:spacing w:val="-9"/>
          <w:sz w:val="20"/>
        </w:rPr>
        <w:t xml:space="preserve"> </w:t>
      </w:r>
      <w:r>
        <w:rPr>
          <w:color w:val="231F20"/>
          <w:sz w:val="20"/>
        </w:rPr>
        <w:t>out</w:t>
      </w:r>
      <w:r>
        <w:rPr>
          <w:color w:val="231F20"/>
          <w:spacing w:val="-9"/>
          <w:sz w:val="20"/>
        </w:rPr>
        <w:t xml:space="preserve"> </w:t>
      </w:r>
      <w:r>
        <w:rPr>
          <w:color w:val="231F20"/>
          <w:sz w:val="20"/>
        </w:rPr>
        <w:t>or</w:t>
      </w:r>
      <w:r>
        <w:rPr>
          <w:color w:val="231F20"/>
          <w:spacing w:val="-9"/>
          <w:sz w:val="20"/>
        </w:rPr>
        <w:t xml:space="preserve"> </w:t>
      </w:r>
      <w:r>
        <w:rPr>
          <w:color w:val="231F20"/>
          <w:sz w:val="20"/>
        </w:rPr>
        <w:t>dismissed</w:t>
      </w:r>
      <w:r>
        <w:rPr>
          <w:color w:val="231F20"/>
          <w:spacing w:val="-9"/>
          <w:sz w:val="20"/>
        </w:rPr>
        <w:t xml:space="preserve"> </w:t>
      </w:r>
      <w:r>
        <w:rPr>
          <w:color w:val="231F20"/>
          <w:sz w:val="20"/>
        </w:rPr>
        <w:t>at court’.</w:t>
      </w:r>
      <w:r>
        <w:rPr>
          <w:color w:val="231F20"/>
          <w:position w:val="7"/>
          <w:sz w:val="11"/>
        </w:rPr>
        <w:t>94</w:t>
      </w:r>
    </w:p>
    <w:p w14:paraId="6FDBAC76" w14:textId="77777777" w:rsidR="00894070" w:rsidRDefault="009B7AFD">
      <w:pPr>
        <w:pStyle w:val="ListParagraph"/>
        <w:numPr>
          <w:ilvl w:val="2"/>
          <w:numId w:val="65"/>
        </w:numPr>
        <w:tabs>
          <w:tab w:val="left" w:pos="2142"/>
        </w:tabs>
        <w:spacing w:before="89" w:line="206" w:lineRule="auto"/>
        <w:ind w:right="1494" w:hanging="340"/>
        <w:jc w:val="both"/>
        <w:rPr>
          <w:sz w:val="11"/>
        </w:rPr>
      </w:pPr>
      <w:r>
        <w:rPr>
          <w:color w:val="231F20"/>
          <w:sz w:val="20"/>
        </w:rPr>
        <w:t>Incidents</w:t>
      </w:r>
      <w:r>
        <w:rPr>
          <w:color w:val="231F20"/>
          <w:spacing w:val="-10"/>
          <w:sz w:val="20"/>
        </w:rPr>
        <w:t xml:space="preserve"> </w:t>
      </w:r>
      <w:r>
        <w:rPr>
          <w:color w:val="231F20"/>
          <w:sz w:val="20"/>
        </w:rPr>
        <w:t>with</w:t>
      </w:r>
      <w:r>
        <w:rPr>
          <w:color w:val="231F20"/>
          <w:spacing w:val="-10"/>
          <w:sz w:val="20"/>
        </w:rPr>
        <w:t xml:space="preserve"> </w:t>
      </w:r>
      <w:r>
        <w:rPr>
          <w:color w:val="231F20"/>
          <w:sz w:val="20"/>
        </w:rPr>
        <w:t>a</w:t>
      </w:r>
      <w:r>
        <w:rPr>
          <w:color w:val="231F20"/>
          <w:spacing w:val="-10"/>
          <w:sz w:val="20"/>
        </w:rPr>
        <w:t xml:space="preserve"> </w:t>
      </w:r>
      <w:r>
        <w:rPr>
          <w:color w:val="231F20"/>
          <w:sz w:val="20"/>
        </w:rPr>
        <w:t>co-occurring</w:t>
      </w:r>
      <w:r>
        <w:rPr>
          <w:color w:val="231F20"/>
          <w:spacing w:val="-10"/>
          <w:sz w:val="20"/>
        </w:rPr>
        <w:t xml:space="preserve"> </w:t>
      </w:r>
      <w:r>
        <w:rPr>
          <w:color w:val="231F20"/>
          <w:sz w:val="20"/>
        </w:rPr>
        <w:t>offence</w:t>
      </w:r>
      <w:r>
        <w:rPr>
          <w:color w:val="231F20"/>
          <w:spacing w:val="-10"/>
          <w:sz w:val="20"/>
        </w:rPr>
        <w:t xml:space="preserve"> </w:t>
      </w:r>
      <w:r>
        <w:rPr>
          <w:color w:val="231F20"/>
          <w:sz w:val="20"/>
        </w:rPr>
        <w:t>had</w:t>
      </w:r>
      <w:r>
        <w:rPr>
          <w:color w:val="231F20"/>
          <w:spacing w:val="-10"/>
          <w:sz w:val="20"/>
        </w:rPr>
        <w:t xml:space="preserve"> </w:t>
      </w:r>
      <w:r>
        <w:rPr>
          <w:color w:val="231F20"/>
          <w:sz w:val="20"/>
        </w:rPr>
        <w:t>a</w:t>
      </w:r>
      <w:r>
        <w:rPr>
          <w:color w:val="231F20"/>
          <w:spacing w:val="-10"/>
          <w:sz w:val="20"/>
        </w:rPr>
        <w:t xml:space="preserve"> </w:t>
      </w:r>
      <w:r>
        <w:rPr>
          <w:color w:val="231F20"/>
          <w:sz w:val="20"/>
        </w:rPr>
        <w:t>higher</w:t>
      </w:r>
      <w:r>
        <w:rPr>
          <w:color w:val="231F20"/>
          <w:spacing w:val="-10"/>
          <w:sz w:val="20"/>
        </w:rPr>
        <w:t xml:space="preserve"> </w:t>
      </w:r>
      <w:r>
        <w:rPr>
          <w:color w:val="231F20"/>
          <w:spacing w:val="-4"/>
          <w:sz w:val="20"/>
        </w:rPr>
        <w:t>proven</w:t>
      </w:r>
      <w:r>
        <w:rPr>
          <w:color w:val="231F20"/>
          <w:spacing w:val="-10"/>
          <w:sz w:val="20"/>
        </w:rPr>
        <w:t xml:space="preserve"> </w:t>
      </w:r>
      <w:r>
        <w:rPr>
          <w:color w:val="231F20"/>
          <w:spacing w:val="-3"/>
          <w:sz w:val="20"/>
        </w:rPr>
        <w:t>rate</w:t>
      </w:r>
      <w:r>
        <w:rPr>
          <w:color w:val="231F20"/>
          <w:spacing w:val="-10"/>
          <w:sz w:val="20"/>
        </w:rPr>
        <w:t xml:space="preserve"> </w:t>
      </w:r>
      <w:r>
        <w:rPr>
          <w:color w:val="231F20"/>
          <w:sz w:val="20"/>
        </w:rPr>
        <w:t>(41</w:t>
      </w:r>
      <w:r>
        <w:rPr>
          <w:color w:val="231F20"/>
          <w:spacing w:val="-10"/>
          <w:sz w:val="20"/>
        </w:rPr>
        <w:t xml:space="preserve"> </w:t>
      </w:r>
      <w:r>
        <w:rPr>
          <w:color w:val="231F20"/>
          <w:sz w:val="20"/>
        </w:rPr>
        <w:t>per</w:t>
      </w:r>
      <w:r>
        <w:rPr>
          <w:color w:val="231F20"/>
          <w:spacing w:val="-10"/>
          <w:sz w:val="20"/>
        </w:rPr>
        <w:t xml:space="preserve"> </w:t>
      </w:r>
      <w:r>
        <w:rPr>
          <w:color w:val="231F20"/>
          <w:sz w:val="20"/>
        </w:rPr>
        <w:t>cent)</w:t>
      </w:r>
      <w:r>
        <w:rPr>
          <w:color w:val="231F20"/>
          <w:spacing w:val="-10"/>
          <w:sz w:val="20"/>
        </w:rPr>
        <w:t xml:space="preserve"> </w:t>
      </w:r>
      <w:r>
        <w:rPr>
          <w:color w:val="231F20"/>
          <w:sz w:val="20"/>
        </w:rPr>
        <w:t xml:space="preserve">than those without </w:t>
      </w:r>
      <w:r>
        <w:rPr>
          <w:color w:val="231F20"/>
          <w:spacing w:val="-3"/>
          <w:sz w:val="20"/>
        </w:rPr>
        <w:t xml:space="preserve">(10 </w:t>
      </w:r>
      <w:r>
        <w:rPr>
          <w:color w:val="231F20"/>
          <w:sz w:val="20"/>
        </w:rPr>
        <w:t>per</w:t>
      </w:r>
      <w:r>
        <w:rPr>
          <w:color w:val="231F20"/>
          <w:spacing w:val="-14"/>
          <w:sz w:val="20"/>
        </w:rPr>
        <w:t xml:space="preserve"> </w:t>
      </w:r>
      <w:r>
        <w:rPr>
          <w:color w:val="231F20"/>
          <w:sz w:val="20"/>
        </w:rPr>
        <w:t>cent).</w:t>
      </w:r>
      <w:r>
        <w:rPr>
          <w:color w:val="231F20"/>
          <w:position w:val="7"/>
          <w:sz w:val="11"/>
        </w:rPr>
        <w:t>95</w:t>
      </w:r>
    </w:p>
    <w:p w14:paraId="59740FB8" w14:textId="77777777" w:rsidR="00894070" w:rsidRDefault="009B7AFD">
      <w:pPr>
        <w:pStyle w:val="ListParagraph"/>
        <w:numPr>
          <w:ilvl w:val="2"/>
          <w:numId w:val="65"/>
        </w:numPr>
        <w:tabs>
          <w:tab w:val="left" w:pos="2141"/>
          <w:tab w:val="left" w:pos="2142"/>
        </w:tabs>
        <w:spacing w:before="87" w:line="206" w:lineRule="auto"/>
        <w:ind w:right="1206" w:hanging="340"/>
        <w:rPr>
          <w:sz w:val="11"/>
        </w:rPr>
      </w:pPr>
      <w:r>
        <w:rPr>
          <w:color w:val="231F20"/>
          <w:sz w:val="20"/>
        </w:rPr>
        <w:t>Stalking</w:t>
      </w:r>
      <w:r>
        <w:rPr>
          <w:color w:val="231F20"/>
          <w:spacing w:val="-9"/>
          <w:sz w:val="20"/>
        </w:rPr>
        <w:t xml:space="preserve"> </w:t>
      </w:r>
      <w:r>
        <w:rPr>
          <w:color w:val="231F20"/>
          <w:sz w:val="20"/>
        </w:rPr>
        <w:t>incidents</w:t>
      </w:r>
      <w:r>
        <w:rPr>
          <w:color w:val="231F20"/>
          <w:spacing w:val="-8"/>
          <w:sz w:val="20"/>
        </w:rPr>
        <w:t xml:space="preserve"> </w:t>
      </w:r>
      <w:r>
        <w:rPr>
          <w:color w:val="231F20"/>
          <w:sz w:val="20"/>
        </w:rPr>
        <w:t>that</w:t>
      </w:r>
      <w:r>
        <w:rPr>
          <w:color w:val="231F20"/>
          <w:spacing w:val="-9"/>
          <w:sz w:val="20"/>
        </w:rPr>
        <w:t xml:space="preserve"> </w:t>
      </w:r>
      <w:r>
        <w:rPr>
          <w:color w:val="231F20"/>
          <w:spacing w:val="-4"/>
          <w:sz w:val="20"/>
        </w:rPr>
        <w:t>were</w:t>
      </w:r>
      <w:r>
        <w:rPr>
          <w:color w:val="231F20"/>
          <w:spacing w:val="-8"/>
          <w:sz w:val="20"/>
        </w:rPr>
        <w:t xml:space="preserve"> </w:t>
      </w:r>
      <w:r>
        <w:rPr>
          <w:color w:val="231F20"/>
          <w:spacing w:val="-3"/>
          <w:sz w:val="20"/>
        </w:rPr>
        <w:t>family</w:t>
      </w:r>
      <w:r>
        <w:rPr>
          <w:color w:val="231F20"/>
          <w:spacing w:val="-9"/>
          <w:sz w:val="20"/>
        </w:rPr>
        <w:t xml:space="preserve"> </w:t>
      </w:r>
      <w:r>
        <w:rPr>
          <w:color w:val="231F20"/>
          <w:sz w:val="20"/>
        </w:rPr>
        <w:t>violence-related</w:t>
      </w:r>
      <w:r>
        <w:rPr>
          <w:color w:val="231F20"/>
          <w:spacing w:val="-8"/>
          <w:sz w:val="20"/>
        </w:rPr>
        <w:t xml:space="preserve"> </w:t>
      </w:r>
      <w:r>
        <w:rPr>
          <w:color w:val="231F20"/>
          <w:sz w:val="20"/>
        </w:rPr>
        <w:t>had</w:t>
      </w:r>
      <w:r>
        <w:rPr>
          <w:color w:val="231F20"/>
          <w:spacing w:val="-9"/>
          <w:sz w:val="20"/>
        </w:rPr>
        <w:t xml:space="preserve"> </w:t>
      </w:r>
      <w:r>
        <w:rPr>
          <w:color w:val="231F20"/>
          <w:sz w:val="20"/>
        </w:rPr>
        <w:t>higher</w:t>
      </w:r>
      <w:r>
        <w:rPr>
          <w:color w:val="231F20"/>
          <w:spacing w:val="-8"/>
          <w:sz w:val="20"/>
        </w:rPr>
        <w:t xml:space="preserve"> </w:t>
      </w:r>
      <w:r>
        <w:rPr>
          <w:color w:val="231F20"/>
          <w:spacing w:val="-4"/>
          <w:sz w:val="20"/>
        </w:rPr>
        <w:t>proven</w:t>
      </w:r>
      <w:r>
        <w:rPr>
          <w:color w:val="231F20"/>
          <w:spacing w:val="-9"/>
          <w:sz w:val="20"/>
        </w:rPr>
        <w:t xml:space="preserve"> </w:t>
      </w:r>
      <w:r>
        <w:rPr>
          <w:color w:val="231F20"/>
          <w:spacing w:val="-3"/>
          <w:sz w:val="20"/>
        </w:rPr>
        <w:t>rates</w:t>
      </w:r>
      <w:r>
        <w:rPr>
          <w:color w:val="231F20"/>
          <w:spacing w:val="-8"/>
          <w:sz w:val="20"/>
        </w:rPr>
        <w:t xml:space="preserve"> </w:t>
      </w:r>
      <w:r>
        <w:rPr>
          <w:color w:val="231F20"/>
          <w:sz w:val="20"/>
        </w:rPr>
        <w:t>(34</w:t>
      </w:r>
      <w:r>
        <w:rPr>
          <w:color w:val="231F20"/>
          <w:spacing w:val="-9"/>
          <w:sz w:val="20"/>
        </w:rPr>
        <w:t xml:space="preserve"> </w:t>
      </w:r>
      <w:r>
        <w:rPr>
          <w:color w:val="231F20"/>
          <w:sz w:val="20"/>
        </w:rPr>
        <w:t>per cent)</w:t>
      </w:r>
      <w:r>
        <w:rPr>
          <w:color w:val="231F20"/>
          <w:spacing w:val="-6"/>
          <w:sz w:val="20"/>
        </w:rPr>
        <w:t xml:space="preserve"> </w:t>
      </w:r>
      <w:r>
        <w:rPr>
          <w:color w:val="231F20"/>
          <w:sz w:val="20"/>
        </w:rPr>
        <w:t>than</w:t>
      </w:r>
      <w:r>
        <w:rPr>
          <w:color w:val="231F20"/>
          <w:spacing w:val="-5"/>
          <w:sz w:val="20"/>
        </w:rPr>
        <w:t xml:space="preserve"> </w:t>
      </w:r>
      <w:r>
        <w:rPr>
          <w:color w:val="231F20"/>
          <w:sz w:val="20"/>
        </w:rPr>
        <w:t>those</w:t>
      </w:r>
      <w:r>
        <w:rPr>
          <w:color w:val="231F20"/>
          <w:spacing w:val="-6"/>
          <w:sz w:val="20"/>
        </w:rPr>
        <w:t xml:space="preserve"> </w:t>
      </w:r>
      <w:r>
        <w:rPr>
          <w:color w:val="231F20"/>
          <w:sz w:val="20"/>
        </w:rPr>
        <w:t>that</w:t>
      </w:r>
      <w:r>
        <w:rPr>
          <w:color w:val="231F20"/>
          <w:spacing w:val="-5"/>
          <w:sz w:val="20"/>
        </w:rPr>
        <w:t xml:space="preserve"> </w:t>
      </w:r>
      <w:r>
        <w:rPr>
          <w:color w:val="231F20"/>
          <w:spacing w:val="-4"/>
          <w:sz w:val="20"/>
        </w:rPr>
        <w:t>were</w:t>
      </w:r>
      <w:r>
        <w:rPr>
          <w:color w:val="231F20"/>
          <w:spacing w:val="-5"/>
          <w:sz w:val="20"/>
        </w:rPr>
        <w:t xml:space="preserve"> </w:t>
      </w:r>
      <w:r>
        <w:rPr>
          <w:color w:val="231F20"/>
          <w:sz w:val="20"/>
        </w:rPr>
        <w:t>not</w:t>
      </w:r>
      <w:r>
        <w:rPr>
          <w:color w:val="231F20"/>
          <w:spacing w:val="-6"/>
          <w:sz w:val="20"/>
        </w:rPr>
        <w:t xml:space="preserve"> </w:t>
      </w:r>
      <w:r>
        <w:rPr>
          <w:color w:val="231F20"/>
          <w:spacing w:val="-3"/>
          <w:sz w:val="20"/>
        </w:rPr>
        <w:t>family</w:t>
      </w:r>
      <w:r>
        <w:rPr>
          <w:color w:val="231F20"/>
          <w:spacing w:val="-5"/>
          <w:sz w:val="20"/>
        </w:rPr>
        <w:t xml:space="preserve"> </w:t>
      </w:r>
      <w:r>
        <w:rPr>
          <w:color w:val="231F20"/>
          <w:sz w:val="20"/>
        </w:rPr>
        <w:t>violence-related</w:t>
      </w:r>
      <w:r>
        <w:rPr>
          <w:color w:val="231F20"/>
          <w:spacing w:val="-6"/>
          <w:sz w:val="20"/>
        </w:rPr>
        <w:t xml:space="preserve"> </w:t>
      </w:r>
      <w:r>
        <w:rPr>
          <w:color w:val="231F20"/>
          <w:sz w:val="20"/>
        </w:rPr>
        <w:t>(27</w:t>
      </w:r>
      <w:r>
        <w:rPr>
          <w:color w:val="231F20"/>
          <w:spacing w:val="-5"/>
          <w:sz w:val="20"/>
        </w:rPr>
        <w:t xml:space="preserve"> </w:t>
      </w:r>
      <w:r>
        <w:rPr>
          <w:color w:val="231F20"/>
          <w:sz w:val="20"/>
        </w:rPr>
        <w:t>per</w:t>
      </w:r>
      <w:r>
        <w:rPr>
          <w:color w:val="231F20"/>
          <w:spacing w:val="-5"/>
          <w:sz w:val="20"/>
        </w:rPr>
        <w:t xml:space="preserve"> </w:t>
      </w:r>
      <w:r>
        <w:rPr>
          <w:color w:val="231F20"/>
          <w:sz w:val="20"/>
        </w:rPr>
        <w:t>cent).</w:t>
      </w:r>
      <w:r>
        <w:rPr>
          <w:color w:val="231F20"/>
          <w:position w:val="7"/>
          <w:sz w:val="11"/>
        </w:rPr>
        <w:t>96</w:t>
      </w:r>
    </w:p>
    <w:p w14:paraId="548BF290" w14:textId="77777777" w:rsidR="00894070" w:rsidRDefault="009B7AFD">
      <w:pPr>
        <w:pStyle w:val="ListParagraph"/>
        <w:numPr>
          <w:ilvl w:val="1"/>
          <w:numId w:val="65"/>
        </w:numPr>
        <w:tabs>
          <w:tab w:val="left" w:pos="1801"/>
          <w:tab w:val="left" w:pos="1802"/>
        </w:tabs>
        <w:spacing w:before="88" w:line="206" w:lineRule="auto"/>
        <w:ind w:right="1281"/>
        <w:rPr>
          <w:sz w:val="20"/>
        </w:rPr>
      </w:pPr>
      <w:r>
        <w:rPr>
          <w:color w:val="231F20"/>
          <w:sz w:val="20"/>
        </w:rPr>
        <w:t xml:space="preserve">These issues could be an area </w:t>
      </w:r>
      <w:r>
        <w:rPr>
          <w:color w:val="231F20"/>
          <w:spacing w:val="-3"/>
          <w:sz w:val="20"/>
        </w:rPr>
        <w:t xml:space="preserve">for </w:t>
      </w:r>
      <w:r>
        <w:rPr>
          <w:color w:val="231F20"/>
          <w:sz w:val="20"/>
        </w:rPr>
        <w:t xml:space="preserve">further exploration. </w:t>
      </w:r>
      <w:r>
        <w:rPr>
          <w:color w:val="231F20"/>
          <w:spacing w:val="-3"/>
          <w:sz w:val="20"/>
        </w:rPr>
        <w:t xml:space="preserve">For example, </w:t>
      </w:r>
      <w:r>
        <w:rPr>
          <w:color w:val="231F20"/>
          <w:sz w:val="20"/>
        </w:rPr>
        <w:t>if non-family violence</w:t>
      </w:r>
      <w:r>
        <w:rPr>
          <w:color w:val="231F20"/>
          <w:spacing w:val="-13"/>
          <w:sz w:val="20"/>
        </w:rPr>
        <w:t xml:space="preserve"> </w:t>
      </w:r>
      <w:r>
        <w:rPr>
          <w:color w:val="231F20"/>
          <w:sz w:val="20"/>
        </w:rPr>
        <w:t>stalking</w:t>
      </w:r>
      <w:r>
        <w:rPr>
          <w:color w:val="231F20"/>
          <w:spacing w:val="-13"/>
          <w:sz w:val="20"/>
        </w:rPr>
        <w:t xml:space="preserve"> </w:t>
      </w:r>
      <w:r>
        <w:rPr>
          <w:color w:val="231F20"/>
          <w:sz w:val="20"/>
        </w:rPr>
        <w:t>is</w:t>
      </w:r>
      <w:r>
        <w:rPr>
          <w:color w:val="231F20"/>
          <w:spacing w:val="-12"/>
          <w:sz w:val="20"/>
        </w:rPr>
        <w:t xml:space="preserve"> </w:t>
      </w:r>
      <w:r>
        <w:rPr>
          <w:color w:val="231F20"/>
          <w:sz w:val="20"/>
        </w:rPr>
        <w:t>more</w:t>
      </w:r>
      <w:r>
        <w:rPr>
          <w:color w:val="231F20"/>
          <w:spacing w:val="-13"/>
          <w:sz w:val="20"/>
        </w:rPr>
        <w:t xml:space="preserve"> </w:t>
      </w:r>
      <w:r>
        <w:rPr>
          <w:color w:val="231F20"/>
          <w:sz w:val="20"/>
        </w:rPr>
        <w:t>difficult</w:t>
      </w:r>
      <w:r>
        <w:rPr>
          <w:color w:val="231F20"/>
          <w:spacing w:val="-12"/>
          <w:sz w:val="20"/>
        </w:rPr>
        <w:t xml:space="preserve"> </w:t>
      </w:r>
      <w:r>
        <w:rPr>
          <w:color w:val="231F20"/>
          <w:sz w:val="20"/>
        </w:rPr>
        <w:t>to</w:t>
      </w:r>
      <w:r>
        <w:rPr>
          <w:color w:val="231F20"/>
          <w:spacing w:val="-13"/>
          <w:sz w:val="20"/>
        </w:rPr>
        <w:t xml:space="preserve"> </w:t>
      </w:r>
      <w:r>
        <w:rPr>
          <w:color w:val="231F20"/>
          <w:spacing w:val="-4"/>
          <w:sz w:val="20"/>
        </w:rPr>
        <w:t>prove</w:t>
      </w:r>
      <w:r>
        <w:rPr>
          <w:color w:val="231F20"/>
          <w:spacing w:val="-12"/>
          <w:sz w:val="20"/>
        </w:rPr>
        <w:t xml:space="preserve"> </w:t>
      </w:r>
      <w:r>
        <w:rPr>
          <w:color w:val="231F20"/>
          <w:sz w:val="20"/>
        </w:rPr>
        <w:t>than</w:t>
      </w:r>
      <w:r>
        <w:rPr>
          <w:color w:val="231F20"/>
          <w:spacing w:val="-13"/>
          <w:sz w:val="20"/>
        </w:rPr>
        <w:t xml:space="preserve"> </w:t>
      </w:r>
      <w:r>
        <w:rPr>
          <w:color w:val="231F20"/>
          <w:spacing w:val="-3"/>
          <w:sz w:val="20"/>
        </w:rPr>
        <w:t>family</w:t>
      </w:r>
      <w:r>
        <w:rPr>
          <w:color w:val="231F20"/>
          <w:spacing w:val="-12"/>
          <w:sz w:val="20"/>
        </w:rPr>
        <w:t xml:space="preserve"> </w:t>
      </w:r>
      <w:r>
        <w:rPr>
          <w:color w:val="231F20"/>
          <w:sz w:val="20"/>
        </w:rPr>
        <w:t>violence</w:t>
      </w:r>
      <w:r>
        <w:rPr>
          <w:color w:val="231F20"/>
          <w:spacing w:val="-13"/>
          <w:sz w:val="20"/>
        </w:rPr>
        <w:t xml:space="preserve"> </w:t>
      </w:r>
      <w:r>
        <w:rPr>
          <w:color w:val="231F20"/>
          <w:sz w:val="20"/>
        </w:rPr>
        <w:t>stalking,</w:t>
      </w:r>
      <w:r>
        <w:rPr>
          <w:color w:val="231F20"/>
          <w:spacing w:val="-13"/>
          <w:sz w:val="20"/>
        </w:rPr>
        <w:t xml:space="preserve"> </w:t>
      </w:r>
      <w:r>
        <w:rPr>
          <w:color w:val="231F20"/>
          <w:sz w:val="20"/>
        </w:rPr>
        <w:t>there</w:t>
      </w:r>
      <w:r>
        <w:rPr>
          <w:color w:val="231F20"/>
          <w:spacing w:val="-12"/>
          <w:sz w:val="20"/>
        </w:rPr>
        <w:t xml:space="preserve"> </w:t>
      </w:r>
      <w:r>
        <w:rPr>
          <w:color w:val="231F20"/>
          <w:sz w:val="20"/>
        </w:rPr>
        <w:t>might</w:t>
      </w:r>
      <w:r>
        <w:rPr>
          <w:color w:val="231F20"/>
          <w:spacing w:val="-13"/>
          <w:sz w:val="20"/>
        </w:rPr>
        <w:t xml:space="preserve"> </w:t>
      </w:r>
      <w:r>
        <w:rPr>
          <w:color w:val="231F20"/>
          <w:sz w:val="20"/>
        </w:rPr>
        <w:t>be benefits in addressing</w:t>
      </w:r>
      <w:r>
        <w:rPr>
          <w:color w:val="231F20"/>
          <w:spacing w:val="-13"/>
          <w:sz w:val="20"/>
        </w:rPr>
        <w:t xml:space="preserve"> </w:t>
      </w:r>
      <w:r>
        <w:rPr>
          <w:color w:val="231F20"/>
          <w:spacing w:val="-5"/>
          <w:sz w:val="20"/>
        </w:rPr>
        <w:t>why.</w:t>
      </w:r>
    </w:p>
    <w:p w14:paraId="17E56DA9" w14:textId="77777777" w:rsidR="00894070" w:rsidRDefault="009B7AFD">
      <w:pPr>
        <w:pStyle w:val="ListParagraph"/>
        <w:numPr>
          <w:ilvl w:val="1"/>
          <w:numId w:val="65"/>
        </w:numPr>
        <w:tabs>
          <w:tab w:val="left" w:pos="1801"/>
          <w:tab w:val="left" w:pos="1802"/>
        </w:tabs>
        <w:spacing w:before="124" w:line="206" w:lineRule="auto"/>
        <w:ind w:right="1164"/>
        <w:rPr>
          <w:sz w:val="20"/>
        </w:rPr>
      </w:pPr>
      <w:r>
        <w:rPr>
          <w:color w:val="231F20"/>
          <w:sz w:val="20"/>
        </w:rPr>
        <w:t xml:space="preserve">Feedback in this inquiry and </w:t>
      </w:r>
      <w:r>
        <w:rPr>
          <w:color w:val="231F20"/>
          <w:spacing w:val="-3"/>
          <w:sz w:val="20"/>
        </w:rPr>
        <w:t xml:space="preserve">research </w:t>
      </w:r>
      <w:r>
        <w:rPr>
          <w:color w:val="231F20"/>
          <w:sz w:val="20"/>
        </w:rPr>
        <w:t xml:space="preserve">points to the </w:t>
      </w:r>
      <w:r>
        <w:rPr>
          <w:color w:val="231F20"/>
          <w:spacing w:val="-3"/>
          <w:sz w:val="20"/>
        </w:rPr>
        <w:t xml:space="preserve">following </w:t>
      </w:r>
      <w:r>
        <w:rPr>
          <w:color w:val="231F20"/>
          <w:sz w:val="20"/>
        </w:rPr>
        <w:t xml:space="preserve">reasons </w:t>
      </w:r>
      <w:r>
        <w:rPr>
          <w:color w:val="231F20"/>
          <w:spacing w:val="-3"/>
          <w:sz w:val="20"/>
        </w:rPr>
        <w:t xml:space="preserve">for </w:t>
      </w:r>
      <w:r>
        <w:rPr>
          <w:color w:val="231F20"/>
          <w:sz w:val="20"/>
        </w:rPr>
        <w:t xml:space="preserve">cases not </w:t>
      </w:r>
      <w:r>
        <w:rPr>
          <w:color w:val="231F20"/>
          <w:spacing w:val="-3"/>
          <w:sz w:val="20"/>
        </w:rPr>
        <w:t>progressing</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justice</w:t>
      </w:r>
      <w:r>
        <w:rPr>
          <w:color w:val="231F20"/>
          <w:spacing w:val="-8"/>
          <w:sz w:val="20"/>
        </w:rPr>
        <w:t xml:space="preserve"> </w:t>
      </w:r>
      <w:r>
        <w:rPr>
          <w:color w:val="231F20"/>
          <w:sz w:val="20"/>
        </w:rPr>
        <w:t>system,</w:t>
      </w:r>
      <w:r>
        <w:rPr>
          <w:color w:val="231F20"/>
          <w:spacing w:val="-7"/>
          <w:sz w:val="20"/>
        </w:rPr>
        <w:t xml:space="preserve"> </w:t>
      </w:r>
      <w:r>
        <w:rPr>
          <w:color w:val="231F20"/>
          <w:sz w:val="20"/>
        </w:rPr>
        <w:t>some</w:t>
      </w:r>
      <w:r>
        <w:rPr>
          <w:color w:val="231F20"/>
          <w:spacing w:val="-8"/>
          <w:sz w:val="20"/>
        </w:rPr>
        <w:t xml:space="preserve"> </w:t>
      </w:r>
      <w:r>
        <w:rPr>
          <w:color w:val="231F20"/>
          <w:sz w:val="20"/>
        </w:rPr>
        <w:t>of</w:t>
      </w:r>
      <w:r>
        <w:rPr>
          <w:color w:val="231F20"/>
          <w:spacing w:val="-8"/>
          <w:sz w:val="20"/>
        </w:rPr>
        <w:t xml:space="preserve"> </w:t>
      </w:r>
      <w:r>
        <w:rPr>
          <w:color w:val="231F20"/>
          <w:sz w:val="20"/>
        </w:rPr>
        <w:t>which</w:t>
      </w:r>
      <w:r>
        <w:rPr>
          <w:color w:val="231F20"/>
          <w:spacing w:val="-8"/>
          <w:sz w:val="20"/>
        </w:rPr>
        <w:t xml:space="preserve"> </w:t>
      </w:r>
      <w:r>
        <w:rPr>
          <w:color w:val="231F20"/>
          <w:spacing w:val="-3"/>
          <w:sz w:val="20"/>
        </w:rPr>
        <w:t>overlap</w:t>
      </w:r>
      <w:r>
        <w:rPr>
          <w:color w:val="231F20"/>
          <w:spacing w:val="-7"/>
          <w:sz w:val="20"/>
        </w:rPr>
        <w:t xml:space="preserve"> </w:t>
      </w:r>
      <w:r>
        <w:rPr>
          <w:color w:val="231F20"/>
          <w:sz w:val="20"/>
        </w:rPr>
        <w:t>with</w:t>
      </w:r>
      <w:r>
        <w:rPr>
          <w:color w:val="231F20"/>
          <w:spacing w:val="-8"/>
          <w:sz w:val="20"/>
        </w:rPr>
        <w:t xml:space="preserve"> </w:t>
      </w:r>
      <w:r>
        <w:rPr>
          <w:color w:val="231F20"/>
          <w:sz w:val="20"/>
        </w:rPr>
        <w:t>the</w:t>
      </w:r>
      <w:r>
        <w:rPr>
          <w:color w:val="231F20"/>
          <w:spacing w:val="-8"/>
          <w:sz w:val="20"/>
        </w:rPr>
        <w:t xml:space="preserve"> </w:t>
      </w:r>
      <w:r>
        <w:rPr>
          <w:color w:val="231F20"/>
          <w:sz w:val="20"/>
        </w:rPr>
        <w:t>discussion</w:t>
      </w:r>
      <w:r>
        <w:rPr>
          <w:color w:val="231F20"/>
          <w:spacing w:val="-8"/>
          <w:sz w:val="20"/>
        </w:rPr>
        <w:t xml:space="preserve"> </w:t>
      </w:r>
      <w:r>
        <w:rPr>
          <w:color w:val="231F20"/>
          <w:spacing w:val="-3"/>
          <w:sz w:val="20"/>
        </w:rPr>
        <w:t>above.</w:t>
      </w:r>
      <w:r>
        <w:rPr>
          <w:color w:val="231F20"/>
          <w:spacing w:val="-7"/>
          <w:sz w:val="20"/>
        </w:rPr>
        <w:t xml:space="preserve"> </w:t>
      </w:r>
      <w:r>
        <w:rPr>
          <w:color w:val="231F20"/>
          <w:spacing w:val="-6"/>
          <w:sz w:val="20"/>
        </w:rPr>
        <w:t xml:space="preserve">We </w:t>
      </w:r>
      <w:r>
        <w:rPr>
          <w:color w:val="231F20"/>
          <w:sz w:val="20"/>
        </w:rPr>
        <w:t xml:space="preserve">also discuss barriers to </w:t>
      </w:r>
      <w:proofErr w:type="gramStart"/>
      <w:r>
        <w:rPr>
          <w:color w:val="231F20"/>
          <w:sz w:val="20"/>
        </w:rPr>
        <w:t>reporting</w:t>
      </w:r>
      <w:proofErr w:type="gramEnd"/>
      <w:r>
        <w:rPr>
          <w:color w:val="231F20"/>
          <w:sz w:val="20"/>
        </w:rPr>
        <w:t xml:space="preserve"> in </w:t>
      </w:r>
      <w:r>
        <w:rPr>
          <w:color w:val="231F20"/>
          <w:spacing w:val="-3"/>
          <w:sz w:val="20"/>
        </w:rPr>
        <w:t>Chapter</w:t>
      </w:r>
      <w:r>
        <w:rPr>
          <w:color w:val="231F20"/>
          <w:spacing w:val="-31"/>
          <w:sz w:val="20"/>
        </w:rPr>
        <w:t xml:space="preserve"> </w:t>
      </w:r>
      <w:r>
        <w:rPr>
          <w:color w:val="231F20"/>
          <w:sz w:val="20"/>
        </w:rPr>
        <w:t>2.</w:t>
      </w:r>
    </w:p>
    <w:p w14:paraId="57AC9CB9" w14:textId="77777777" w:rsidR="00894070" w:rsidRDefault="00894070">
      <w:pPr>
        <w:pStyle w:val="BodyText"/>
      </w:pPr>
    </w:p>
    <w:p w14:paraId="1405451E" w14:textId="77777777" w:rsidR="00894070" w:rsidRDefault="00894070">
      <w:pPr>
        <w:pStyle w:val="BodyText"/>
      </w:pPr>
    </w:p>
    <w:p w14:paraId="2939568F" w14:textId="77777777" w:rsidR="00894070" w:rsidRDefault="00894070">
      <w:pPr>
        <w:pStyle w:val="BodyText"/>
      </w:pPr>
    </w:p>
    <w:p w14:paraId="17BA6A71" w14:textId="77777777" w:rsidR="00894070" w:rsidRDefault="00894070">
      <w:pPr>
        <w:pStyle w:val="BodyText"/>
      </w:pPr>
    </w:p>
    <w:p w14:paraId="65923742" w14:textId="77777777" w:rsidR="00894070" w:rsidRDefault="00894070">
      <w:pPr>
        <w:pStyle w:val="BodyText"/>
      </w:pPr>
    </w:p>
    <w:p w14:paraId="355EC062" w14:textId="77777777" w:rsidR="00894070" w:rsidRDefault="009F6793">
      <w:pPr>
        <w:pStyle w:val="BodyText"/>
        <w:spacing w:before="10"/>
        <w:rPr>
          <w:sz w:val="25"/>
        </w:rPr>
      </w:pPr>
      <w:r>
        <w:pict w14:anchorId="4E8E3889">
          <v:line id="_x0000_s1199" style="position:absolute;z-index:251735040;mso-wrap-distance-left:0;mso-wrap-distance-right:0;mso-position-horizontal-relative:page" from="79.35pt,20.3pt" to="515.9pt,20.3pt" strokecolor="#f8cabc" strokeweight="1pt">
            <w10:wrap type="topAndBottom" anchorx="page"/>
          </v:line>
        </w:pict>
      </w:r>
    </w:p>
    <w:p w14:paraId="0F074E8A" w14:textId="77777777" w:rsidR="00894070" w:rsidRDefault="00894070">
      <w:pPr>
        <w:pStyle w:val="BodyText"/>
        <w:rPr>
          <w:sz w:val="5"/>
        </w:rPr>
      </w:pPr>
    </w:p>
    <w:p w14:paraId="265CBCEE" w14:textId="77777777" w:rsidR="00894070" w:rsidRDefault="00894070">
      <w:pPr>
        <w:rPr>
          <w:sz w:val="5"/>
        </w:rPr>
        <w:sectPr w:rsidR="00894070">
          <w:pgSz w:w="11910" w:h="16840"/>
          <w:pgMar w:top="860" w:right="420" w:bottom="280" w:left="580" w:header="567" w:footer="0" w:gutter="0"/>
          <w:cols w:space="720"/>
        </w:sectPr>
      </w:pPr>
    </w:p>
    <w:p w14:paraId="4EC8C429" w14:textId="77777777" w:rsidR="00894070" w:rsidRDefault="00894070">
      <w:pPr>
        <w:pStyle w:val="BodyText"/>
        <w:rPr>
          <w:sz w:val="28"/>
        </w:rPr>
      </w:pPr>
    </w:p>
    <w:p w14:paraId="071A4099" w14:textId="77777777" w:rsidR="00894070" w:rsidRDefault="00894070">
      <w:pPr>
        <w:pStyle w:val="BodyText"/>
        <w:rPr>
          <w:sz w:val="22"/>
        </w:rPr>
      </w:pPr>
    </w:p>
    <w:p w14:paraId="152CF00C" w14:textId="77777777" w:rsidR="00894070" w:rsidRDefault="009B7AFD">
      <w:pPr>
        <w:pStyle w:val="Heading8"/>
        <w:ind w:left="140"/>
      </w:pPr>
      <w:r>
        <w:rPr>
          <w:color w:val="EA5B50"/>
        </w:rPr>
        <w:t>144</w:t>
      </w:r>
    </w:p>
    <w:p w14:paraId="7801B441" w14:textId="77777777" w:rsidR="00894070" w:rsidRDefault="009B7AFD">
      <w:pPr>
        <w:pStyle w:val="ListParagraph"/>
        <w:numPr>
          <w:ilvl w:val="0"/>
          <w:numId w:val="54"/>
        </w:numPr>
        <w:tabs>
          <w:tab w:val="left" w:pos="933"/>
          <w:tab w:val="left" w:pos="934"/>
        </w:tabs>
        <w:spacing w:before="21" w:line="170" w:lineRule="exact"/>
        <w:ind w:left="933" w:hanging="793"/>
        <w:jc w:val="left"/>
        <w:rPr>
          <w:sz w:val="13"/>
        </w:rPr>
      </w:pPr>
      <w:r>
        <w:rPr>
          <w:color w:val="231F20"/>
          <w:spacing w:val="2"/>
          <w:sz w:val="13"/>
        </w:rPr>
        <w:br w:type="column"/>
      </w: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2021) Recommendations 1–4, 6,</w:t>
      </w:r>
      <w:r>
        <w:rPr>
          <w:color w:val="231F20"/>
          <w:spacing w:val="7"/>
          <w:sz w:val="13"/>
        </w:rPr>
        <w:t xml:space="preserve"> </w:t>
      </w:r>
      <w:r>
        <w:rPr>
          <w:color w:val="231F20"/>
          <w:spacing w:val="2"/>
          <w:sz w:val="13"/>
        </w:rPr>
        <w:t>9.</w:t>
      </w:r>
    </w:p>
    <w:p w14:paraId="746D0EC8" w14:textId="77777777" w:rsidR="00894070" w:rsidRDefault="009B7AFD">
      <w:pPr>
        <w:pStyle w:val="ListParagraph"/>
        <w:numPr>
          <w:ilvl w:val="0"/>
          <w:numId w:val="54"/>
        </w:numPr>
        <w:tabs>
          <w:tab w:val="left" w:pos="933"/>
          <w:tab w:val="left" w:pos="934"/>
        </w:tabs>
        <w:spacing w:before="7" w:line="213" w:lineRule="auto"/>
        <w:ind w:left="933" w:right="1322" w:hanging="793"/>
        <w:jc w:val="left"/>
        <w:rPr>
          <w:sz w:val="13"/>
        </w:rPr>
      </w:pPr>
      <w:r>
        <w:rPr>
          <w:color w:val="231F20"/>
          <w:sz w:val="13"/>
        </w:rPr>
        <w:t xml:space="preserve">Sarah Bright, Lauren Barnaba and </w:t>
      </w:r>
      <w:r>
        <w:rPr>
          <w:color w:val="231F20"/>
          <w:spacing w:val="2"/>
          <w:sz w:val="13"/>
        </w:rPr>
        <w:t xml:space="preserve">Melanie Millsteed, </w:t>
      </w:r>
      <w:r>
        <w:rPr>
          <w:i/>
          <w:color w:val="231F20"/>
          <w:sz w:val="13"/>
        </w:rPr>
        <w:t xml:space="preserve">Attrition of Stalking Offence </w:t>
      </w:r>
      <w:r>
        <w:rPr>
          <w:i/>
          <w:color w:val="231F20"/>
          <w:spacing w:val="2"/>
          <w:sz w:val="13"/>
        </w:rPr>
        <w:t xml:space="preserve">Incidents </w:t>
      </w:r>
      <w:r>
        <w:rPr>
          <w:i/>
          <w:color w:val="231F20"/>
          <w:sz w:val="13"/>
        </w:rPr>
        <w:t xml:space="preserve">through the Victorian Criminal Justice System </w:t>
      </w:r>
      <w:r>
        <w:rPr>
          <w:color w:val="231F20"/>
          <w:sz w:val="13"/>
        </w:rPr>
        <w:t>(Data Snapshot, Crime Statistics Agency,</w:t>
      </w:r>
      <w:r>
        <w:rPr>
          <w:color w:val="231F20"/>
          <w:spacing w:val="4"/>
          <w:sz w:val="13"/>
        </w:rPr>
        <w:t xml:space="preserve"> </w:t>
      </w:r>
      <w:r>
        <w:rPr>
          <w:color w:val="231F20"/>
          <w:sz w:val="13"/>
        </w:rPr>
        <w:t>forthcoming).</w:t>
      </w:r>
    </w:p>
    <w:p w14:paraId="16DD0186" w14:textId="77777777" w:rsidR="00894070" w:rsidRDefault="009B7AFD">
      <w:pPr>
        <w:pStyle w:val="ListParagraph"/>
        <w:numPr>
          <w:ilvl w:val="0"/>
          <w:numId w:val="54"/>
        </w:numPr>
        <w:tabs>
          <w:tab w:val="left" w:pos="933"/>
          <w:tab w:val="left" w:pos="934"/>
        </w:tabs>
        <w:spacing w:line="153" w:lineRule="exact"/>
        <w:ind w:left="933" w:hanging="793"/>
        <w:jc w:val="left"/>
        <w:rPr>
          <w:sz w:val="13"/>
        </w:rPr>
      </w:pPr>
      <w:r>
        <w:rPr>
          <w:color w:val="231F20"/>
          <w:sz w:val="13"/>
        </w:rPr>
        <w:t>Ibid.</w:t>
      </w:r>
    </w:p>
    <w:p w14:paraId="379036B1" w14:textId="77777777" w:rsidR="00894070" w:rsidRDefault="009B7AFD">
      <w:pPr>
        <w:pStyle w:val="ListParagraph"/>
        <w:numPr>
          <w:ilvl w:val="0"/>
          <w:numId w:val="54"/>
        </w:numPr>
        <w:tabs>
          <w:tab w:val="left" w:pos="933"/>
          <w:tab w:val="left" w:pos="934"/>
        </w:tabs>
        <w:spacing w:line="160" w:lineRule="exact"/>
        <w:ind w:left="933" w:hanging="793"/>
        <w:jc w:val="left"/>
        <w:rPr>
          <w:sz w:val="13"/>
        </w:rPr>
      </w:pPr>
      <w:r>
        <w:rPr>
          <w:color w:val="231F20"/>
          <w:sz w:val="13"/>
        </w:rPr>
        <w:t xml:space="preserve">Although non-family violence </w:t>
      </w:r>
      <w:r>
        <w:rPr>
          <w:color w:val="231F20"/>
          <w:spacing w:val="2"/>
          <w:sz w:val="13"/>
        </w:rPr>
        <w:t xml:space="preserve">incidents </w:t>
      </w:r>
      <w:r>
        <w:rPr>
          <w:color w:val="231F20"/>
          <w:sz w:val="13"/>
        </w:rPr>
        <w:t xml:space="preserve">include </w:t>
      </w:r>
      <w:r>
        <w:rPr>
          <w:color w:val="231F20"/>
          <w:spacing w:val="2"/>
          <w:sz w:val="13"/>
        </w:rPr>
        <w:t xml:space="preserve">incidents </w:t>
      </w:r>
      <w:r>
        <w:rPr>
          <w:color w:val="231F20"/>
          <w:sz w:val="13"/>
        </w:rPr>
        <w:t xml:space="preserve">where no offender is recorded </w:t>
      </w:r>
      <w:proofErr w:type="gramStart"/>
      <w:r>
        <w:rPr>
          <w:color w:val="231F20"/>
          <w:sz w:val="13"/>
        </w:rPr>
        <w:t>i.e.</w:t>
      </w:r>
      <w:proofErr w:type="gramEnd"/>
      <w:r>
        <w:rPr>
          <w:color w:val="231F20"/>
          <w:sz w:val="13"/>
        </w:rPr>
        <w:t xml:space="preserve"> where the offender is ‘not identified’:</w:t>
      </w:r>
    </w:p>
    <w:p w14:paraId="328EE2F1" w14:textId="77777777" w:rsidR="00894070" w:rsidRDefault="009B7AFD">
      <w:pPr>
        <w:spacing w:line="170" w:lineRule="exact"/>
        <w:ind w:left="933"/>
        <w:rPr>
          <w:sz w:val="13"/>
        </w:rPr>
      </w:pPr>
      <w:r>
        <w:rPr>
          <w:color w:val="231F20"/>
          <w:sz w:val="13"/>
        </w:rPr>
        <w:t>Ibid.</w:t>
      </w:r>
    </w:p>
    <w:p w14:paraId="2EA50BB2"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77" w:space="290"/>
            <w:col w:w="10043"/>
          </w:cols>
        </w:sectPr>
      </w:pPr>
    </w:p>
    <w:p w14:paraId="0CBE84D5" w14:textId="77777777" w:rsidR="00894070" w:rsidRDefault="00894070">
      <w:pPr>
        <w:pStyle w:val="BodyText"/>
      </w:pPr>
    </w:p>
    <w:p w14:paraId="03FA98B4" w14:textId="77777777" w:rsidR="00894070" w:rsidRDefault="00894070">
      <w:pPr>
        <w:pStyle w:val="BodyText"/>
      </w:pPr>
    </w:p>
    <w:p w14:paraId="3FC0E325" w14:textId="77777777" w:rsidR="00894070" w:rsidRDefault="00894070">
      <w:pPr>
        <w:pStyle w:val="BodyText"/>
      </w:pPr>
    </w:p>
    <w:p w14:paraId="65D6CD4B" w14:textId="77777777" w:rsidR="00894070" w:rsidRDefault="00894070">
      <w:pPr>
        <w:pStyle w:val="BodyText"/>
        <w:spacing w:before="9"/>
        <w:rPr>
          <w:sz w:val="21"/>
        </w:rPr>
      </w:pPr>
    </w:p>
    <w:tbl>
      <w:tblPr>
        <w:tblW w:w="0" w:type="auto"/>
        <w:tblInd w:w="1017"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2694"/>
        <w:gridCol w:w="6027"/>
      </w:tblGrid>
      <w:tr w:rsidR="00894070" w14:paraId="0B312088" w14:textId="77777777">
        <w:trPr>
          <w:trHeight w:val="518"/>
        </w:trPr>
        <w:tc>
          <w:tcPr>
            <w:tcW w:w="2694" w:type="dxa"/>
            <w:shd w:val="clear" w:color="auto" w:fill="F4BCAE"/>
          </w:tcPr>
          <w:p w14:paraId="7C8EA1B1" w14:textId="77777777" w:rsidR="00894070" w:rsidRDefault="009B7AFD">
            <w:pPr>
              <w:pStyle w:val="TableParagraph"/>
              <w:spacing w:before="122"/>
              <w:rPr>
                <w:b/>
                <w:sz w:val="20"/>
              </w:rPr>
            </w:pPr>
            <w:bookmarkStart w:id="164" w:name="_bookmark98"/>
            <w:bookmarkEnd w:id="164"/>
            <w:r>
              <w:rPr>
                <w:b/>
                <w:color w:val="231F20"/>
                <w:sz w:val="20"/>
              </w:rPr>
              <w:t>Criminal justice stage</w:t>
            </w:r>
          </w:p>
        </w:tc>
        <w:tc>
          <w:tcPr>
            <w:tcW w:w="6027" w:type="dxa"/>
            <w:shd w:val="clear" w:color="auto" w:fill="F4BCAE"/>
          </w:tcPr>
          <w:p w14:paraId="06DDEF47" w14:textId="77777777" w:rsidR="00894070" w:rsidRDefault="009B7AFD">
            <w:pPr>
              <w:pStyle w:val="TableParagraph"/>
              <w:spacing w:before="122"/>
              <w:rPr>
                <w:b/>
                <w:sz w:val="20"/>
              </w:rPr>
            </w:pPr>
            <w:r>
              <w:rPr>
                <w:b/>
                <w:color w:val="231F20"/>
                <w:sz w:val="20"/>
              </w:rPr>
              <w:t>Reasons for cases not progressing in the justice system</w:t>
            </w:r>
          </w:p>
        </w:tc>
      </w:tr>
      <w:tr w:rsidR="00894070" w14:paraId="69D72301" w14:textId="77777777">
        <w:trPr>
          <w:trHeight w:val="2989"/>
        </w:trPr>
        <w:tc>
          <w:tcPr>
            <w:tcW w:w="2694" w:type="dxa"/>
          </w:tcPr>
          <w:p w14:paraId="76B9BB8C" w14:textId="77777777" w:rsidR="00894070" w:rsidRDefault="009B7AFD">
            <w:pPr>
              <w:pStyle w:val="TableParagraph"/>
              <w:spacing w:before="65"/>
              <w:rPr>
                <w:sz w:val="20"/>
              </w:rPr>
            </w:pPr>
            <w:r>
              <w:rPr>
                <w:color w:val="231F20"/>
                <w:sz w:val="20"/>
              </w:rPr>
              <w:t>Police stage</w:t>
            </w:r>
          </w:p>
        </w:tc>
        <w:tc>
          <w:tcPr>
            <w:tcW w:w="6027" w:type="dxa"/>
          </w:tcPr>
          <w:p w14:paraId="4E5CE843" w14:textId="77777777" w:rsidR="00894070" w:rsidRDefault="009B7AFD">
            <w:pPr>
              <w:pStyle w:val="TableParagraph"/>
              <w:numPr>
                <w:ilvl w:val="0"/>
                <w:numId w:val="53"/>
              </w:numPr>
              <w:tabs>
                <w:tab w:val="left" w:pos="453"/>
                <w:tab w:val="left" w:pos="454"/>
              </w:tabs>
              <w:spacing w:before="98" w:line="206" w:lineRule="auto"/>
              <w:ind w:right="290" w:hanging="340"/>
              <w:rPr>
                <w:sz w:val="11"/>
              </w:rPr>
            </w:pPr>
            <w:r>
              <w:rPr>
                <w:color w:val="231F20"/>
                <w:sz w:val="20"/>
              </w:rPr>
              <w:t>pursuing</w:t>
            </w:r>
            <w:r>
              <w:rPr>
                <w:color w:val="231F20"/>
                <w:spacing w:val="-13"/>
                <w:sz w:val="20"/>
              </w:rPr>
              <w:t xml:space="preserve"> </w:t>
            </w:r>
            <w:r>
              <w:rPr>
                <w:color w:val="231F20"/>
                <w:sz w:val="20"/>
              </w:rPr>
              <w:t>criminal</w:t>
            </w:r>
            <w:r>
              <w:rPr>
                <w:color w:val="231F20"/>
                <w:spacing w:val="-12"/>
                <w:sz w:val="20"/>
              </w:rPr>
              <w:t xml:space="preserve"> </w:t>
            </w:r>
            <w:r>
              <w:rPr>
                <w:color w:val="231F20"/>
                <w:sz w:val="20"/>
              </w:rPr>
              <w:t>charges</w:t>
            </w:r>
            <w:r>
              <w:rPr>
                <w:color w:val="231F20"/>
                <w:spacing w:val="-13"/>
                <w:sz w:val="20"/>
              </w:rPr>
              <w:t xml:space="preserve"> </w:t>
            </w:r>
            <w:r>
              <w:rPr>
                <w:color w:val="231F20"/>
                <w:spacing w:val="-3"/>
                <w:sz w:val="20"/>
              </w:rPr>
              <w:t>for</w:t>
            </w:r>
            <w:r>
              <w:rPr>
                <w:color w:val="231F20"/>
                <w:spacing w:val="-12"/>
                <w:sz w:val="20"/>
              </w:rPr>
              <w:t xml:space="preserve"> </w:t>
            </w:r>
            <w:r>
              <w:rPr>
                <w:color w:val="231F20"/>
                <w:sz w:val="20"/>
              </w:rPr>
              <w:t>other</w:t>
            </w:r>
            <w:r>
              <w:rPr>
                <w:color w:val="231F20"/>
                <w:spacing w:val="-13"/>
                <w:sz w:val="20"/>
              </w:rPr>
              <w:t xml:space="preserve"> </w:t>
            </w:r>
            <w:r>
              <w:rPr>
                <w:color w:val="231F20"/>
                <w:sz w:val="20"/>
              </w:rPr>
              <w:t>offences,</w:t>
            </w:r>
            <w:r>
              <w:rPr>
                <w:color w:val="231F20"/>
                <w:spacing w:val="-12"/>
                <w:sz w:val="20"/>
              </w:rPr>
              <w:t xml:space="preserve"> </w:t>
            </w:r>
            <w:r>
              <w:rPr>
                <w:color w:val="231F20"/>
                <w:spacing w:val="-3"/>
                <w:sz w:val="20"/>
              </w:rPr>
              <w:t>perceived</w:t>
            </w:r>
            <w:r>
              <w:rPr>
                <w:color w:val="231F20"/>
                <w:spacing w:val="-13"/>
                <w:sz w:val="20"/>
              </w:rPr>
              <w:t xml:space="preserve"> </w:t>
            </w:r>
            <w:r>
              <w:rPr>
                <w:color w:val="231F20"/>
                <w:sz w:val="20"/>
              </w:rPr>
              <w:t xml:space="preserve">as easier to </w:t>
            </w:r>
            <w:r>
              <w:rPr>
                <w:color w:val="231F20"/>
                <w:spacing w:val="-4"/>
                <w:sz w:val="20"/>
              </w:rPr>
              <w:t xml:space="preserve">prove </w:t>
            </w:r>
            <w:r>
              <w:rPr>
                <w:color w:val="231F20"/>
                <w:sz w:val="20"/>
              </w:rPr>
              <w:t>in</w:t>
            </w:r>
            <w:r>
              <w:rPr>
                <w:color w:val="231F20"/>
                <w:spacing w:val="-13"/>
                <w:sz w:val="20"/>
              </w:rPr>
              <w:t xml:space="preserve"> </w:t>
            </w:r>
            <w:r>
              <w:rPr>
                <w:color w:val="231F20"/>
                <w:sz w:val="20"/>
              </w:rPr>
              <w:t>court</w:t>
            </w:r>
            <w:r>
              <w:rPr>
                <w:color w:val="231F20"/>
                <w:position w:val="7"/>
                <w:sz w:val="11"/>
              </w:rPr>
              <w:t>97</w:t>
            </w:r>
          </w:p>
          <w:p w14:paraId="5D473CA9" w14:textId="77777777" w:rsidR="00894070" w:rsidRDefault="009B7AFD">
            <w:pPr>
              <w:pStyle w:val="TableParagraph"/>
              <w:numPr>
                <w:ilvl w:val="0"/>
                <w:numId w:val="53"/>
              </w:numPr>
              <w:tabs>
                <w:tab w:val="left" w:pos="453"/>
                <w:tab w:val="left" w:pos="454"/>
              </w:tabs>
              <w:spacing w:before="55"/>
              <w:ind w:hanging="340"/>
              <w:rPr>
                <w:sz w:val="11"/>
              </w:rPr>
            </w:pPr>
            <w:r>
              <w:rPr>
                <w:color w:val="231F20"/>
                <w:sz w:val="20"/>
              </w:rPr>
              <w:t>pursuing a civil</w:t>
            </w:r>
            <w:r>
              <w:rPr>
                <w:color w:val="231F20"/>
                <w:spacing w:val="-13"/>
                <w:sz w:val="20"/>
              </w:rPr>
              <w:t xml:space="preserve"> </w:t>
            </w:r>
            <w:r>
              <w:rPr>
                <w:color w:val="231F20"/>
                <w:sz w:val="20"/>
              </w:rPr>
              <w:t>response</w:t>
            </w:r>
            <w:r>
              <w:rPr>
                <w:color w:val="231F20"/>
                <w:position w:val="7"/>
                <w:sz w:val="11"/>
              </w:rPr>
              <w:t>98</w:t>
            </w:r>
          </w:p>
          <w:p w14:paraId="10EF15EF" w14:textId="77777777" w:rsidR="00894070" w:rsidRDefault="009B7AFD">
            <w:pPr>
              <w:pStyle w:val="TableParagraph"/>
              <w:numPr>
                <w:ilvl w:val="0"/>
                <w:numId w:val="53"/>
              </w:numPr>
              <w:tabs>
                <w:tab w:val="left" w:pos="453"/>
                <w:tab w:val="left" w:pos="454"/>
              </w:tabs>
              <w:spacing w:before="80" w:line="206" w:lineRule="auto"/>
              <w:ind w:right="198" w:hanging="340"/>
              <w:rPr>
                <w:sz w:val="11"/>
              </w:rPr>
            </w:pPr>
            <w:r>
              <w:rPr>
                <w:color w:val="231F20"/>
                <w:sz w:val="20"/>
              </w:rPr>
              <w:t>challenges</w:t>
            </w:r>
            <w:r>
              <w:rPr>
                <w:color w:val="231F20"/>
                <w:spacing w:val="-11"/>
                <w:sz w:val="20"/>
              </w:rPr>
              <w:t xml:space="preserve"> </w:t>
            </w:r>
            <w:r>
              <w:rPr>
                <w:color w:val="231F20"/>
                <w:sz w:val="20"/>
              </w:rPr>
              <w:t>with</w:t>
            </w:r>
            <w:r>
              <w:rPr>
                <w:color w:val="231F20"/>
                <w:spacing w:val="-11"/>
                <w:sz w:val="20"/>
              </w:rPr>
              <w:t xml:space="preserve"> </w:t>
            </w:r>
            <w:r>
              <w:rPr>
                <w:color w:val="231F20"/>
                <w:sz w:val="20"/>
              </w:rPr>
              <w:t>collecting</w:t>
            </w:r>
            <w:r>
              <w:rPr>
                <w:color w:val="231F20"/>
                <w:spacing w:val="-12"/>
                <w:sz w:val="20"/>
              </w:rPr>
              <w:t xml:space="preserve"> </w:t>
            </w:r>
            <w:r>
              <w:rPr>
                <w:color w:val="231F20"/>
                <w:sz w:val="20"/>
              </w:rPr>
              <w:t>evidence</w:t>
            </w:r>
            <w:r>
              <w:rPr>
                <w:color w:val="231F20"/>
                <w:spacing w:val="-11"/>
                <w:sz w:val="20"/>
              </w:rPr>
              <w:t xml:space="preserve"> </w:t>
            </w:r>
            <w:r>
              <w:rPr>
                <w:color w:val="231F20"/>
                <w:sz w:val="20"/>
              </w:rPr>
              <w:t>or</w:t>
            </w:r>
            <w:r>
              <w:rPr>
                <w:color w:val="231F20"/>
                <w:spacing w:val="-11"/>
                <w:sz w:val="20"/>
              </w:rPr>
              <w:t xml:space="preserve"> </w:t>
            </w:r>
            <w:r>
              <w:rPr>
                <w:color w:val="231F20"/>
                <w:sz w:val="20"/>
              </w:rPr>
              <w:t>too</w:t>
            </w:r>
            <w:r>
              <w:rPr>
                <w:color w:val="231F20"/>
                <w:spacing w:val="-11"/>
                <w:sz w:val="20"/>
              </w:rPr>
              <w:t xml:space="preserve"> </w:t>
            </w:r>
            <w:r>
              <w:rPr>
                <w:color w:val="231F20"/>
                <w:sz w:val="20"/>
              </w:rPr>
              <w:t>much</w:t>
            </w:r>
            <w:r>
              <w:rPr>
                <w:color w:val="231F20"/>
                <w:spacing w:val="-11"/>
                <w:sz w:val="20"/>
              </w:rPr>
              <w:t xml:space="preserve"> </w:t>
            </w:r>
            <w:r>
              <w:rPr>
                <w:color w:val="231F20"/>
                <w:sz w:val="20"/>
              </w:rPr>
              <w:t>of</w:t>
            </w:r>
            <w:r>
              <w:rPr>
                <w:color w:val="231F20"/>
                <w:spacing w:val="-11"/>
                <w:sz w:val="20"/>
              </w:rPr>
              <w:t xml:space="preserve"> </w:t>
            </w:r>
            <w:r>
              <w:rPr>
                <w:color w:val="231F20"/>
                <w:sz w:val="20"/>
              </w:rPr>
              <w:t>a</w:t>
            </w:r>
            <w:r>
              <w:rPr>
                <w:color w:val="231F20"/>
                <w:spacing w:val="-11"/>
                <w:sz w:val="20"/>
              </w:rPr>
              <w:t xml:space="preserve"> </w:t>
            </w:r>
            <w:r>
              <w:rPr>
                <w:color w:val="231F20"/>
                <w:spacing w:val="-3"/>
                <w:sz w:val="20"/>
              </w:rPr>
              <w:t xml:space="preserve">focus </w:t>
            </w:r>
            <w:r>
              <w:rPr>
                <w:color w:val="231F20"/>
                <w:sz w:val="20"/>
              </w:rPr>
              <w:t>on</w:t>
            </w:r>
            <w:r>
              <w:rPr>
                <w:color w:val="231F20"/>
                <w:spacing w:val="-6"/>
                <w:sz w:val="20"/>
              </w:rPr>
              <w:t xml:space="preserve"> </w:t>
            </w:r>
            <w:r>
              <w:rPr>
                <w:color w:val="231F20"/>
                <w:sz w:val="20"/>
              </w:rPr>
              <w:t>getting</w:t>
            </w:r>
            <w:r>
              <w:rPr>
                <w:color w:val="231F20"/>
                <w:spacing w:val="-6"/>
                <w:sz w:val="20"/>
              </w:rPr>
              <w:t xml:space="preserve"> </w:t>
            </w:r>
            <w:r>
              <w:rPr>
                <w:color w:val="231F20"/>
                <w:sz w:val="20"/>
              </w:rPr>
              <w:t>physical</w:t>
            </w:r>
            <w:r>
              <w:rPr>
                <w:color w:val="231F20"/>
                <w:spacing w:val="-6"/>
                <w:sz w:val="20"/>
              </w:rPr>
              <w:t xml:space="preserve"> </w:t>
            </w:r>
            <w:r>
              <w:rPr>
                <w:color w:val="231F20"/>
                <w:sz w:val="20"/>
              </w:rPr>
              <w:t>or</w:t>
            </w:r>
            <w:r>
              <w:rPr>
                <w:color w:val="231F20"/>
                <w:spacing w:val="-6"/>
                <w:sz w:val="20"/>
              </w:rPr>
              <w:t xml:space="preserve"> </w:t>
            </w:r>
            <w:r>
              <w:rPr>
                <w:color w:val="231F20"/>
                <w:sz w:val="20"/>
              </w:rPr>
              <w:t>digital</w:t>
            </w:r>
            <w:r>
              <w:rPr>
                <w:color w:val="231F20"/>
                <w:spacing w:val="-6"/>
                <w:sz w:val="20"/>
              </w:rPr>
              <w:t xml:space="preserve"> </w:t>
            </w:r>
            <w:r>
              <w:rPr>
                <w:color w:val="231F20"/>
                <w:sz w:val="20"/>
              </w:rPr>
              <w:t>evidence</w:t>
            </w:r>
            <w:r>
              <w:rPr>
                <w:color w:val="231F20"/>
                <w:spacing w:val="-6"/>
                <w:sz w:val="20"/>
              </w:rPr>
              <w:t xml:space="preserve"> </w:t>
            </w:r>
            <w:r>
              <w:rPr>
                <w:color w:val="231F20"/>
                <w:sz w:val="20"/>
              </w:rPr>
              <w:t>of</w:t>
            </w:r>
            <w:r>
              <w:rPr>
                <w:color w:val="231F20"/>
                <w:spacing w:val="-6"/>
                <w:sz w:val="20"/>
              </w:rPr>
              <w:t xml:space="preserve"> </w:t>
            </w:r>
            <w:r>
              <w:rPr>
                <w:color w:val="231F20"/>
                <w:sz w:val="20"/>
              </w:rPr>
              <w:t>stalking</w:t>
            </w:r>
            <w:r>
              <w:rPr>
                <w:color w:val="231F20"/>
                <w:position w:val="7"/>
                <w:sz w:val="11"/>
              </w:rPr>
              <w:t>99</w:t>
            </w:r>
          </w:p>
          <w:p w14:paraId="3F2932F0" w14:textId="77777777" w:rsidR="00894070" w:rsidRDefault="009B7AFD">
            <w:pPr>
              <w:pStyle w:val="TableParagraph"/>
              <w:numPr>
                <w:ilvl w:val="0"/>
                <w:numId w:val="53"/>
              </w:numPr>
              <w:tabs>
                <w:tab w:val="left" w:pos="453"/>
                <w:tab w:val="left" w:pos="454"/>
              </w:tabs>
              <w:spacing w:before="55"/>
              <w:ind w:hanging="340"/>
              <w:rPr>
                <w:sz w:val="11"/>
              </w:rPr>
            </w:pPr>
            <w:r>
              <w:rPr>
                <w:color w:val="231F20"/>
                <w:sz w:val="20"/>
              </w:rPr>
              <w:t>difficulties</w:t>
            </w:r>
            <w:r>
              <w:rPr>
                <w:color w:val="231F20"/>
                <w:spacing w:val="-9"/>
                <w:sz w:val="20"/>
              </w:rPr>
              <w:t xml:space="preserve"> </w:t>
            </w:r>
            <w:r>
              <w:rPr>
                <w:color w:val="231F20"/>
                <w:sz w:val="20"/>
              </w:rPr>
              <w:t>understanding</w:t>
            </w:r>
            <w:r>
              <w:rPr>
                <w:color w:val="231F20"/>
                <w:spacing w:val="-9"/>
                <w:sz w:val="20"/>
              </w:rPr>
              <w:t xml:space="preserve"> </w:t>
            </w:r>
            <w:r>
              <w:rPr>
                <w:color w:val="231F20"/>
                <w:sz w:val="20"/>
              </w:rPr>
              <w:t>and</w:t>
            </w:r>
            <w:r>
              <w:rPr>
                <w:color w:val="231F20"/>
                <w:spacing w:val="-8"/>
                <w:sz w:val="20"/>
              </w:rPr>
              <w:t xml:space="preserve"> </w:t>
            </w:r>
            <w:r>
              <w:rPr>
                <w:color w:val="231F20"/>
                <w:sz w:val="20"/>
              </w:rPr>
              <w:t>applying</w:t>
            </w:r>
            <w:r>
              <w:rPr>
                <w:color w:val="231F20"/>
                <w:spacing w:val="-9"/>
                <w:sz w:val="20"/>
              </w:rPr>
              <w:t xml:space="preserve"> </w:t>
            </w:r>
            <w:r>
              <w:rPr>
                <w:color w:val="231F20"/>
                <w:sz w:val="20"/>
              </w:rPr>
              <w:t>the</w:t>
            </w:r>
            <w:r>
              <w:rPr>
                <w:color w:val="231F20"/>
                <w:spacing w:val="-8"/>
                <w:sz w:val="20"/>
              </w:rPr>
              <w:t xml:space="preserve"> </w:t>
            </w:r>
            <w:r>
              <w:rPr>
                <w:color w:val="231F20"/>
                <w:sz w:val="20"/>
              </w:rPr>
              <w:t>offence</w:t>
            </w:r>
            <w:r>
              <w:rPr>
                <w:color w:val="231F20"/>
                <w:position w:val="7"/>
                <w:sz w:val="11"/>
              </w:rPr>
              <w:t>100</w:t>
            </w:r>
          </w:p>
          <w:p w14:paraId="2A93F51C" w14:textId="77777777" w:rsidR="00894070" w:rsidRDefault="009B7AFD">
            <w:pPr>
              <w:pStyle w:val="TableParagraph"/>
              <w:numPr>
                <w:ilvl w:val="0"/>
                <w:numId w:val="53"/>
              </w:numPr>
              <w:tabs>
                <w:tab w:val="left" w:pos="453"/>
                <w:tab w:val="left" w:pos="454"/>
              </w:tabs>
              <w:spacing w:before="80" w:line="206" w:lineRule="auto"/>
              <w:ind w:right="374" w:hanging="340"/>
              <w:rPr>
                <w:sz w:val="11"/>
              </w:rPr>
            </w:pPr>
            <w:r>
              <w:rPr>
                <w:color w:val="231F20"/>
                <w:sz w:val="20"/>
              </w:rPr>
              <w:t>the</w:t>
            </w:r>
            <w:r>
              <w:rPr>
                <w:color w:val="231F20"/>
                <w:spacing w:val="-10"/>
                <w:sz w:val="20"/>
              </w:rPr>
              <w:t xml:space="preserve"> </w:t>
            </w:r>
            <w:r>
              <w:rPr>
                <w:color w:val="231F20"/>
                <w:sz w:val="20"/>
              </w:rPr>
              <w:t>victim</w:t>
            </w:r>
            <w:r>
              <w:rPr>
                <w:color w:val="231F20"/>
                <w:spacing w:val="-10"/>
                <w:sz w:val="20"/>
              </w:rPr>
              <w:t xml:space="preserve"> </w:t>
            </w:r>
            <w:r>
              <w:rPr>
                <w:color w:val="231F20"/>
                <w:sz w:val="20"/>
              </w:rPr>
              <w:t>survivor</w:t>
            </w:r>
            <w:r>
              <w:rPr>
                <w:color w:val="231F20"/>
                <w:spacing w:val="-10"/>
                <w:sz w:val="20"/>
              </w:rPr>
              <w:t xml:space="preserve"> </w:t>
            </w:r>
            <w:r>
              <w:rPr>
                <w:color w:val="231F20"/>
                <w:sz w:val="20"/>
              </w:rPr>
              <w:t>not</w:t>
            </w:r>
            <w:r>
              <w:rPr>
                <w:color w:val="231F20"/>
                <w:spacing w:val="-9"/>
                <w:sz w:val="20"/>
              </w:rPr>
              <w:t xml:space="preserve"> </w:t>
            </w:r>
            <w:r>
              <w:rPr>
                <w:color w:val="231F20"/>
                <w:sz w:val="20"/>
              </w:rPr>
              <w:t>wanting</w:t>
            </w:r>
            <w:r>
              <w:rPr>
                <w:color w:val="231F20"/>
                <w:spacing w:val="-10"/>
                <w:sz w:val="20"/>
              </w:rPr>
              <w:t xml:space="preserve"> </w:t>
            </w:r>
            <w:r>
              <w:rPr>
                <w:color w:val="231F20"/>
                <w:sz w:val="20"/>
              </w:rPr>
              <w:t>to</w:t>
            </w:r>
            <w:r>
              <w:rPr>
                <w:color w:val="231F20"/>
                <w:spacing w:val="-10"/>
                <w:sz w:val="20"/>
              </w:rPr>
              <w:t xml:space="preserve"> </w:t>
            </w:r>
            <w:r>
              <w:rPr>
                <w:color w:val="231F20"/>
                <w:sz w:val="20"/>
              </w:rPr>
              <w:t>go</w:t>
            </w:r>
            <w:r>
              <w:rPr>
                <w:color w:val="231F20"/>
                <w:spacing w:val="-10"/>
                <w:sz w:val="20"/>
              </w:rPr>
              <w:t xml:space="preserve"> </w:t>
            </w:r>
            <w:r>
              <w:rPr>
                <w:color w:val="231F20"/>
                <w:spacing w:val="-3"/>
                <w:sz w:val="20"/>
              </w:rPr>
              <w:t>through</w:t>
            </w:r>
            <w:r>
              <w:rPr>
                <w:color w:val="231F20"/>
                <w:spacing w:val="-9"/>
                <w:sz w:val="20"/>
              </w:rPr>
              <w:t xml:space="preserve"> </w:t>
            </w:r>
            <w:r>
              <w:rPr>
                <w:color w:val="231F20"/>
                <w:sz w:val="20"/>
              </w:rPr>
              <w:t>the</w:t>
            </w:r>
            <w:r>
              <w:rPr>
                <w:color w:val="231F20"/>
                <w:spacing w:val="-10"/>
                <w:sz w:val="20"/>
              </w:rPr>
              <w:t xml:space="preserve"> </w:t>
            </w:r>
            <w:r>
              <w:rPr>
                <w:color w:val="231F20"/>
                <w:sz w:val="20"/>
              </w:rPr>
              <w:t>criminal justice</w:t>
            </w:r>
            <w:r>
              <w:rPr>
                <w:color w:val="231F20"/>
                <w:spacing w:val="-5"/>
                <w:sz w:val="20"/>
              </w:rPr>
              <w:t xml:space="preserve"> </w:t>
            </w:r>
            <w:r>
              <w:rPr>
                <w:color w:val="231F20"/>
                <w:sz w:val="20"/>
              </w:rPr>
              <w:t>process</w:t>
            </w:r>
            <w:r>
              <w:rPr>
                <w:color w:val="231F20"/>
                <w:position w:val="7"/>
                <w:sz w:val="11"/>
              </w:rPr>
              <w:t>101</w:t>
            </w:r>
          </w:p>
          <w:p w14:paraId="092EF76F" w14:textId="77777777" w:rsidR="00894070" w:rsidRDefault="009B7AFD">
            <w:pPr>
              <w:pStyle w:val="TableParagraph"/>
              <w:numPr>
                <w:ilvl w:val="0"/>
                <w:numId w:val="53"/>
              </w:numPr>
              <w:tabs>
                <w:tab w:val="left" w:pos="453"/>
                <w:tab w:val="left" w:pos="454"/>
              </w:tabs>
              <w:spacing w:before="87" w:line="206" w:lineRule="auto"/>
              <w:ind w:right="1011" w:hanging="340"/>
              <w:rPr>
                <w:sz w:val="11"/>
              </w:rPr>
            </w:pPr>
            <w:r>
              <w:rPr>
                <w:color w:val="231F20"/>
                <w:sz w:val="20"/>
              </w:rPr>
              <w:t>cases</w:t>
            </w:r>
            <w:r>
              <w:rPr>
                <w:color w:val="231F20"/>
                <w:spacing w:val="-8"/>
                <w:sz w:val="20"/>
              </w:rPr>
              <w:t xml:space="preserve"> </w:t>
            </w:r>
            <w:r>
              <w:rPr>
                <w:color w:val="231F20"/>
                <w:spacing w:val="-4"/>
                <w:sz w:val="20"/>
              </w:rPr>
              <w:t>involving</w:t>
            </w:r>
            <w:r>
              <w:rPr>
                <w:color w:val="231F20"/>
                <w:spacing w:val="-8"/>
                <w:sz w:val="20"/>
              </w:rPr>
              <w:t xml:space="preserve"> </w:t>
            </w:r>
            <w:r>
              <w:rPr>
                <w:color w:val="231F20"/>
                <w:sz w:val="20"/>
              </w:rPr>
              <w:t>some</w:t>
            </w:r>
            <w:r>
              <w:rPr>
                <w:color w:val="231F20"/>
                <w:spacing w:val="-8"/>
                <w:sz w:val="20"/>
              </w:rPr>
              <w:t xml:space="preserve"> </w:t>
            </w:r>
            <w:r>
              <w:rPr>
                <w:color w:val="231F20"/>
                <w:sz w:val="20"/>
              </w:rPr>
              <w:t>people,</w:t>
            </w:r>
            <w:r>
              <w:rPr>
                <w:color w:val="231F20"/>
                <w:spacing w:val="-8"/>
                <w:sz w:val="20"/>
              </w:rPr>
              <w:t xml:space="preserve"> </w:t>
            </w:r>
            <w:r>
              <w:rPr>
                <w:color w:val="231F20"/>
                <w:sz w:val="20"/>
              </w:rPr>
              <w:t>such</w:t>
            </w:r>
            <w:r>
              <w:rPr>
                <w:color w:val="231F20"/>
                <w:spacing w:val="-7"/>
                <w:sz w:val="20"/>
              </w:rPr>
              <w:t xml:space="preserve"> </w:t>
            </w:r>
            <w:r>
              <w:rPr>
                <w:color w:val="231F20"/>
                <w:sz w:val="20"/>
              </w:rPr>
              <w:t>as</w:t>
            </w:r>
            <w:r>
              <w:rPr>
                <w:color w:val="231F20"/>
                <w:spacing w:val="-8"/>
                <w:sz w:val="20"/>
              </w:rPr>
              <w:t xml:space="preserve"> </w:t>
            </w:r>
            <w:r>
              <w:rPr>
                <w:color w:val="231F20"/>
                <w:sz w:val="20"/>
              </w:rPr>
              <w:t>people</w:t>
            </w:r>
            <w:r>
              <w:rPr>
                <w:color w:val="231F20"/>
                <w:spacing w:val="-8"/>
                <w:sz w:val="20"/>
              </w:rPr>
              <w:t xml:space="preserve"> </w:t>
            </w:r>
            <w:r>
              <w:rPr>
                <w:color w:val="231F20"/>
                <w:sz w:val="20"/>
              </w:rPr>
              <w:t xml:space="preserve">with disabilities, </w:t>
            </w:r>
            <w:r>
              <w:rPr>
                <w:color w:val="231F20"/>
                <w:spacing w:val="-3"/>
                <w:sz w:val="20"/>
              </w:rPr>
              <w:t xml:space="preserve">may </w:t>
            </w:r>
            <w:r>
              <w:rPr>
                <w:color w:val="231F20"/>
                <w:sz w:val="20"/>
              </w:rPr>
              <w:t>be seen as ‘too</w:t>
            </w:r>
            <w:r>
              <w:rPr>
                <w:color w:val="231F20"/>
                <w:spacing w:val="-27"/>
                <w:sz w:val="20"/>
              </w:rPr>
              <w:t xml:space="preserve"> </w:t>
            </w:r>
            <w:r>
              <w:rPr>
                <w:color w:val="231F20"/>
                <w:spacing w:val="-3"/>
                <w:sz w:val="20"/>
              </w:rPr>
              <w:t>difficult’.</w:t>
            </w:r>
            <w:r>
              <w:rPr>
                <w:color w:val="231F20"/>
                <w:spacing w:val="-3"/>
                <w:position w:val="7"/>
                <w:sz w:val="11"/>
              </w:rPr>
              <w:t>102</w:t>
            </w:r>
          </w:p>
        </w:tc>
      </w:tr>
      <w:tr w:rsidR="00894070" w14:paraId="1377EFCE" w14:textId="77777777">
        <w:trPr>
          <w:trHeight w:val="1209"/>
        </w:trPr>
        <w:tc>
          <w:tcPr>
            <w:tcW w:w="2694" w:type="dxa"/>
          </w:tcPr>
          <w:p w14:paraId="7D66DAB7" w14:textId="77777777" w:rsidR="00894070" w:rsidRDefault="009B7AFD">
            <w:pPr>
              <w:pStyle w:val="TableParagraph"/>
              <w:spacing w:before="98" w:line="206" w:lineRule="auto"/>
              <w:ind w:right="38"/>
              <w:rPr>
                <w:sz w:val="20"/>
              </w:rPr>
            </w:pPr>
            <w:r>
              <w:rPr>
                <w:color w:val="231F20"/>
                <w:sz w:val="20"/>
              </w:rPr>
              <w:t>Prosecution and court stage</w:t>
            </w:r>
          </w:p>
        </w:tc>
        <w:tc>
          <w:tcPr>
            <w:tcW w:w="6027" w:type="dxa"/>
          </w:tcPr>
          <w:p w14:paraId="6DE19A42" w14:textId="77777777" w:rsidR="00894070" w:rsidRDefault="009B7AFD">
            <w:pPr>
              <w:pStyle w:val="TableParagraph"/>
              <w:numPr>
                <w:ilvl w:val="0"/>
                <w:numId w:val="52"/>
              </w:numPr>
              <w:tabs>
                <w:tab w:val="left" w:pos="453"/>
                <w:tab w:val="left" w:pos="454"/>
              </w:tabs>
              <w:spacing w:before="65"/>
              <w:ind w:hanging="340"/>
              <w:rPr>
                <w:sz w:val="11"/>
              </w:rPr>
            </w:pPr>
            <w:r>
              <w:rPr>
                <w:color w:val="231F20"/>
                <w:spacing w:val="-3"/>
                <w:sz w:val="20"/>
              </w:rPr>
              <w:t xml:space="preserve">preferring </w:t>
            </w:r>
            <w:r>
              <w:rPr>
                <w:color w:val="231F20"/>
                <w:sz w:val="20"/>
              </w:rPr>
              <w:t xml:space="preserve">to </w:t>
            </w:r>
            <w:r>
              <w:rPr>
                <w:color w:val="231F20"/>
                <w:spacing w:val="-3"/>
                <w:sz w:val="20"/>
              </w:rPr>
              <w:t xml:space="preserve">prosecute </w:t>
            </w:r>
            <w:r>
              <w:rPr>
                <w:color w:val="231F20"/>
                <w:sz w:val="20"/>
              </w:rPr>
              <w:t>other offences</w:t>
            </w:r>
            <w:r>
              <w:rPr>
                <w:color w:val="231F20"/>
                <w:spacing w:val="-20"/>
                <w:sz w:val="20"/>
              </w:rPr>
              <w:t xml:space="preserve"> </w:t>
            </w:r>
            <w:r>
              <w:rPr>
                <w:color w:val="231F20"/>
                <w:sz w:val="20"/>
              </w:rPr>
              <w:t>instead</w:t>
            </w:r>
            <w:r>
              <w:rPr>
                <w:color w:val="231F20"/>
                <w:position w:val="7"/>
                <w:sz w:val="11"/>
              </w:rPr>
              <w:t>103</w:t>
            </w:r>
          </w:p>
          <w:p w14:paraId="02E7D8E1" w14:textId="77777777" w:rsidR="00894070" w:rsidRDefault="009B7AFD">
            <w:pPr>
              <w:pStyle w:val="TableParagraph"/>
              <w:numPr>
                <w:ilvl w:val="0"/>
                <w:numId w:val="52"/>
              </w:numPr>
              <w:tabs>
                <w:tab w:val="left" w:pos="453"/>
                <w:tab w:val="left" w:pos="454"/>
              </w:tabs>
              <w:spacing w:before="80" w:line="206" w:lineRule="auto"/>
              <w:ind w:right="277" w:hanging="340"/>
              <w:rPr>
                <w:sz w:val="11"/>
              </w:rPr>
            </w:pPr>
            <w:r>
              <w:rPr>
                <w:color w:val="231F20"/>
                <w:sz w:val="20"/>
              </w:rPr>
              <w:t xml:space="preserve">charges </w:t>
            </w:r>
            <w:r>
              <w:rPr>
                <w:color w:val="231F20"/>
                <w:spacing w:val="-3"/>
                <w:sz w:val="20"/>
              </w:rPr>
              <w:t xml:space="preserve">may </w:t>
            </w:r>
            <w:r>
              <w:rPr>
                <w:color w:val="231F20"/>
                <w:sz w:val="20"/>
              </w:rPr>
              <w:t xml:space="preserve">be withdrawn </w:t>
            </w:r>
            <w:r>
              <w:rPr>
                <w:color w:val="231F20"/>
                <w:spacing w:val="-3"/>
                <w:sz w:val="20"/>
              </w:rPr>
              <w:t xml:space="preserve">by </w:t>
            </w:r>
            <w:r>
              <w:rPr>
                <w:color w:val="231F20"/>
                <w:sz w:val="20"/>
              </w:rPr>
              <w:t xml:space="preserve">the prosecution </w:t>
            </w:r>
            <w:r>
              <w:rPr>
                <w:color w:val="231F20"/>
                <w:spacing w:val="-3"/>
                <w:sz w:val="20"/>
              </w:rPr>
              <w:t xml:space="preserve">before </w:t>
            </w:r>
            <w:r>
              <w:rPr>
                <w:color w:val="231F20"/>
                <w:sz w:val="20"/>
              </w:rPr>
              <w:t>a hearing</w:t>
            </w:r>
            <w:r>
              <w:rPr>
                <w:color w:val="231F20"/>
                <w:spacing w:val="-10"/>
                <w:sz w:val="20"/>
              </w:rPr>
              <w:t xml:space="preserve"> </w:t>
            </w:r>
            <w:r>
              <w:rPr>
                <w:color w:val="231F20"/>
                <w:sz w:val="20"/>
              </w:rPr>
              <w:t>or</w:t>
            </w:r>
            <w:r>
              <w:rPr>
                <w:color w:val="231F20"/>
                <w:spacing w:val="-10"/>
                <w:sz w:val="20"/>
              </w:rPr>
              <w:t xml:space="preserve"> </w:t>
            </w:r>
            <w:r>
              <w:rPr>
                <w:color w:val="231F20"/>
                <w:sz w:val="20"/>
              </w:rPr>
              <w:t>trial</w:t>
            </w:r>
            <w:r>
              <w:rPr>
                <w:color w:val="231F20"/>
                <w:spacing w:val="-9"/>
                <w:sz w:val="20"/>
              </w:rPr>
              <w:t xml:space="preserve"> </w:t>
            </w:r>
            <w:r>
              <w:rPr>
                <w:color w:val="231F20"/>
                <w:sz w:val="20"/>
              </w:rPr>
              <w:t>due</w:t>
            </w:r>
            <w:r>
              <w:rPr>
                <w:color w:val="231F20"/>
                <w:spacing w:val="-10"/>
                <w:sz w:val="20"/>
              </w:rPr>
              <w:t xml:space="preserve"> </w:t>
            </w:r>
            <w:r>
              <w:rPr>
                <w:color w:val="231F20"/>
                <w:sz w:val="20"/>
              </w:rPr>
              <w:t>to</w:t>
            </w:r>
            <w:r>
              <w:rPr>
                <w:color w:val="231F20"/>
                <w:spacing w:val="-10"/>
                <w:sz w:val="20"/>
              </w:rPr>
              <w:t xml:space="preserve"> </w:t>
            </w:r>
            <w:r>
              <w:rPr>
                <w:color w:val="231F20"/>
                <w:sz w:val="20"/>
              </w:rPr>
              <w:t>negotiations</w:t>
            </w:r>
            <w:r>
              <w:rPr>
                <w:color w:val="231F20"/>
                <w:spacing w:val="-10"/>
                <w:sz w:val="20"/>
              </w:rPr>
              <w:t xml:space="preserve"> </w:t>
            </w:r>
            <w:r>
              <w:rPr>
                <w:color w:val="231F20"/>
                <w:sz w:val="20"/>
              </w:rPr>
              <w:t>or</w:t>
            </w:r>
            <w:r>
              <w:rPr>
                <w:color w:val="231F20"/>
                <w:spacing w:val="-9"/>
                <w:sz w:val="20"/>
              </w:rPr>
              <w:t xml:space="preserve"> </w:t>
            </w:r>
            <w:r>
              <w:rPr>
                <w:color w:val="231F20"/>
                <w:sz w:val="20"/>
              </w:rPr>
              <w:t>guilty</w:t>
            </w:r>
            <w:r>
              <w:rPr>
                <w:color w:val="231F20"/>
                <w:spacing w:val="-10"/>
                <w:sz w:val="20"/>
              </w:rPr>
              <w:t xml:space="preserve"> </w:t>
            </w:r>
            <w:r>
              <w:rPr>
                <w:color w:val="231F20"/>
                <w:sz w:val="20"/>
              </w:rPr>
              <w:t>pleas</w:t>
            </w:r>
            <w:r>
              <w:rPr>
                <w:color w:val="231F20"/>
                <w:spacing w:val="-9"/>
                <w:sz w:val="20"/>
              </w:rPr>
              <w:t xml:space="preserve"> </w:t>
            </w:r>
            <w:r>
              <w:rPr>
                <w:color w:val="231F20"/>
                <w:spacing w:val="-3"/>
                <w:sz w:val="20"/>
              </w:rPr>
              <w:t>for</w:t>
            </w:r>
            <w:r>
              <w:rPr>
                <w:color w:val="231F20"/>
                <w:spacing w:val="-10"/>
                <w:sz w:val="20"/>
              </w:rPr>
              <w:t xml:space="preserve"> </w:t>
            </w:r>
            <w:r>
              <w:rPr>
                <w:color w:val="231F20"/>
                <w:sz w:val="20"/>
              </w:rPr>
              <w:t>other offences.</w:t>
            </w:r>
            <w:r>
              <w:rPr>
                <w:color w:val="231F20"/>
                <w:position w:val="7"/>
                <w:sz w:val="11"/>
              </w:rPr>
              <w:t>104</w:t>
            </w:r>
          </w:p>
        </w:tc>
      </w:tr>
    </w:tbl>
    <w:p w14:paraId="7B3770ED" w14:textId="77777777" w:rsidR="00894070" w:rsidRDefault="00894070">
      <w:pPr>
        <w:pStyle w:val="BodyText"/>
        <w:spacing w:before="2"/>
        <w:rPr>
          <w:sz w:val="9"/>
        </w:rPr>
      </w:pPr>
    </w:p>
    <w:p w14:paraId="18F422B2" w14:textId="77777777" w:rsidR="00894070" w:rsidRDefault="009B7AFD">
      <w:pPr>
        <w:pStyle w:val="Heading8"/>
        <w:spacing w:before="49"/>
        <w:ind w:left="1007"/>
      </w:pPr>
      <w:r>
        <w:rPr>
          <w:color w:val="231F20"/>
        </w:rPr>
        <w:t>There is more to learn about why cases do not progress in the justice system</w:t>
      </w:r>
    </w:p>
    <w:p w14:paraId="68E3BE09" w14:textId="77777777" w:rsidR="00894070" w:rsidRDefault="009B7AFD">
      <w:pPr>
        <w:pStyle w:val="ListParagraph"/>
        <w:numPr>
          <w:ilvl w:val="1"/>
          <w:numId w:val="65"/>
        </w:numPr>
        <w:tabs>
          <w:tab w:val="left" w:pos="1801"/>
          <w:tab w:val="left" w:pos="1802"/>
        </w:tabs>
        <w:spacing w:before="127" w:line="206" w:lineRule="auto"/>
        <w:ind w:right="1323"/>
        <w:rPr>
          <w:sz w:val="20"/>
        </w:rPr>
      </w:pPr>
      <w:r>
        <w:rPr>
          <w:color w:val="231F20"/>
          <w:sz w:val="20"/>
        </w:rPr>
        <w:t>The</w:t>
      </w:r>
      <w:r>
        <w:rPr>
          <w:color w:val="231F20"/>
          <w:spacing w:val="-7"/>
          <w:sz w:val="20"/>
        </w:rPr>
        <w:t xml:space="preserve"> </w:t>
      </w:r>
      <w:r>
        <w:rPr>
          <w:color w:val="231F20"/>
          <w:sz w:val="20"/>
        </w:rPr>
        <w:t>findings</w:t>
      </w:r>
      <w:r>
        <w:rPr>
          <w:color w:val="231F20"/>
          <w:spacing w:val="-7"/>
          <w:sz w:val="20"/>
        </w:rPr>
        <w:t xml:space="preserve"> </w:t>
      </w:r>
      <w:r>
        <w:rPr>
          <w:color w:val="231F20"/>
          <w:sz w:val="20"/>
        </w:rPr>
        <w:t>on</w:t>
      </w:r>
      <w:r>
        <w:rPr>
          <w:color w:val="231F20"/>
          <w:spacing w:val="-7"/>
          <w:sz w:val="20"/>
        </w:rPr>
        <w:t xml:space="preserve"> </w:t>
      </w:r>
      <w:r>
        <w:rPr>
          <w:color w:val="231F20"/>
          <w:sz w:val="20"/>
        </w:rPr>
        <w:t>attrition,</w:t>
      </w:r>
      <w:r>
        <w:rPr>
          <w:color w:val="231F20"/>
          <w:spacing w:val="-7"/>
          <w:sz w:val="20"/>
        </w:rPr>
        <w:t xml:space="preserve"> </w:t>
      </w:r>
      <w:r>
        <w:rPr>
          <w:color w:val="231F20"/>
          <w:sz w:val="20"/>
        </w:rPr>
        <w:t>and</w:t>
      </w:r>
      <w:r>
        <w:rPr>
          <w:color w:val="231F20"/>
          <w:spacing w:val="-6"/>
          <w:sz w:val="20"/>
        </w:rPr>
        <w:t xml:space="preserve"> </w:t>
      </w:r>
      <w:r>
        <w:rPr>
          <w:color w:val="231F20"/>
          <w:spacing w:val="-3"/>
          <w:sz w:val="20"/>
        </w:rPr>
        <w:t>information</w:t>
      </w:r>
      <w:r>
        <w:rPr>
          <w:color w:val="231F20"/>
          <w:spacing w:val="-7"/>
          <w:sz w:val="20"/>
        </w:rPr>
        <w:t xml:space="preserve"> </w:t>
      </w:r>
      <w:r>
        <w:rPr>
          <w:color w:val="231F20"/>
          <w:sz w:val="20"/>
        </w:rPr>
        <w:t>on</w:t>
      </w:r>
      <w:r>
        <w:rPr>
          <w:color w:val="231F20"/>
          <w:spacing w:val="-7"/>
          <w:sz w:val="20"/>
        </w:rPr>
        <w:t xml:space="preserve"> </w:t>
      </w:r>
      <w:r>
        <w:rPr>
          <w:color w:val="231F20"/>
          <w:spacing w:val="-3"/>
          <w:sz w:val="20"/>
        </w:rPr>
        <w:t>why</w:t>
      </w:r>
      <w:r>
        <w:rPr>
          <w:color w:val="231F20"/>
          <w:spacing w:val="-7"/>
          <w:sz w:val="20"/>
        </w:rPr>
        <w:t xml:space="preserve"> </w:t>
      </w:r>
      <w:r>
        <w:rPr>
          <w:color w:val="231F20"/>
          <w:sz w:val="20"/>
        </w:rPr>
        <w:t>cases</w:t>
      </w:r>
      <w:r>
        <w:rPr>
          <w:color w:val="231F20"/>
          <w:spacing w:val="-6"/>
          <w:sz w:val="20"/>
        </w:rPr>
        <w:t xml:space="preserve"> </w:t>
      </w:r>
      <w:r>
        <w:rPr>
          <w:color w:val="231F20"/>
          <w:spacing w:val="-3"/>
          <w:sz w:val="20"/>
        </w:rPr>
        <w:t>may</w:t>
      </w:r>
      <w:r>
        <w:rPr>
          <w:color w:val="231F20"/>
          <w:spacing w:val="-7"/>
          <w:sz w:val="20"/>
        </w:rPr>
        <w:t xml:space="preserve"> </w:t>
      </w:r>
      <w:r>
        <w:rPr>
          <w:color w:val="231F20"/>
          <w:sz w:val="20"/>
        </w:rPr>
        <w:t>not</w:t>
      </w:r>
      <w:r>
        <w:rPr>
          <w:color w:val="231F20"/>
          <w:spacing w:val="-7"/>
          <w:sz w:val="20"/>
        </w:rPr>
        <w:t xml:space="preserve"> </w:t>
      </w:r>
      <w:r>
        <w:rPr>
          <w:color w:val="231F20"/>
          <w:spacing w:val="-3"/>
          <w:sz w:val="20"/>
        </w:rPr>
        <w:t>progress</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6"/>
          <w:sz w:val="20"/>
        </w:rPr>
        <w:t xml:space="preserve"> </w:t>
      </w:r>
      <w:r>
        <w:rPr>
          <w:color w:val="231F20"/>
          <w:sz w:val="20"/>
        </w:rPr>
        <w:t>justice system,</w:t>
      </w:r>
      <w:r>
        <w:rPr>
          <w:color w:val="231F20"/>
          <w:spacing w:val="-7"/>
          <w:sz w:val="20"/>
        </w:rPr>
        <w:t xml:space="preserve"> </w:t>
      </w:r>
      <w:r>
        <w:rPr>
          <w:color w:val="231F20"/>
          <w:spacing w:val="-3"/>
          <w:sz w:val="20"/>
        </w:rPr>
        <w:t>are</w:t>
      </w:r>
      <w:r>
        <w:rPr>
          <w:color w:val="231F20"/>
          <w:spacing w:val="-6"/>
          <w:sz w:val="20"/>
        </w:rPr>
        <w:t xml:space="preserve"> </w:t>
      </w:r>
      <w:r>
        <w:rPr>
          <w:color w:val="231F20"/>
          <w:sz w:val="20"/>
        </w:rPr>
        <w:t>useful</w:t>
      </w:r>
      <w:r>
        <w:rPr>
          <w:color w:val="231F20"/>
          <w:spacing w:val="-6"/>
          <w:sz w:val="20"/>
        </w:rPr>
        <w:t xml:space="preserve"> </w:t>
      </w:r>
      <w:r>
        <w:rPr>
          <w:color w:val="231F20"/>
          <w:sz w:val="20"/>
        </w:rPr>
        <w:t>and</w:t>
      </w:r>
      <w:r>
        <w:rPr>
          <w:color w:val="231F20"/>
          <w:spacing w:val="-6"/>
          <w:sz w:val="20"/>
        </w:rPr>
        <w:t xml:space="preserve"> </w:t>
      </w:r>
      <w:r>
        <w:rPr>
          <w:color w:val="231F20"/>
          <w:sz w:val="20"/>
        </w:rPr>
        <w:t>point</w:t>
      </w:r>
      <w:r>
        <w:rPr>
          <w:color w:val="231F20"/>
          <w:spacing w:val="-6"/>
          <w:sz w:val="20"/>
        </w:rPr>
        <w:t xml:space="preserve"> </w:t>
      </w:r>
      <w:r>
        <w:rPr>
          <w:color w:val="231F20"/>
          <w:sz w:val="20"/>
        </w:rPr>
        <w:t>to</w:t>
      </w:r>
      <w:r>
        <w:rPr>
          <w:color w:val="231F20"/>
          <w:spacing w:val="-7"/>
          <w:sz w:val="20"/>
        </w:rPr>
        <w:t xml:space="preserve"> </w:t>
      </w:r>
      <w:r>
        <w:rPr>
          <w:color w:val="231F20"/>
          <w:sz w:val="20"/>
        </w:rPr>
        <w:t>other</w:t>
      </w:r>
      <w:r>
        <w:rPr>
          <w:color w:val="231F20"/>
          <w:spacing w:val="-6"/>
          <w:sz w:val="20"/>
        </w:rPr>
        <w:t xml:space="preserve"> </w:t>
      </w:r>
      <w:r>
        <w:rPr>
          <w:color w:val="231F20"/>
          <w:sz w:val="20"/>
        </w:rPr>
        <w:t>areas</w:t>
      </w:r>
      <w:r>
        <w:rPr>
          <w:color w:val="231F20"/>
          <w:spacing w:val="-6"/>
          <w:sz w:val="20"/>
        </w:rPr>
        <w:t xml:space="preserve"> </w:t>
      </w:r>
      <w:r>
        <w:rPr>
          <w:color w:val="231F20"/>
          <w:sz w:val="20"/>
        </w:rPr>
        <w:t>that</w:t>
      </w:r>
      <w:r>
        <w:rPr>
          <w:color w:val="231F20"/>
          <w:spacing w:val="-6"/>
          <w:sz w:val="20"/>
        </w:rPr>
        <w:t xml:space="preserve"> </w:t>
      </w:r>
      <w:r>
        <w:rPr>
          <w:color w:val="231F20"/>
          <w:spacing w:val="-3"/>
          <w:sz w:val="20"/>
        </w:rPr>
        <w:t>would</w:t>
      </w:r>
      <w:r>
        <w:rPr>
          <w:color w:val="231F20"/>
          <w:spacing w:val="-6"/>
          <w:sz w:val="20"/>
        </w:rPr>
        <w:t xml:space="preserve"> </w:t>
      </w:r>
      <w:r>
        <w:rPr>
          <w:color w:val="231F20"/>
          <w:sz w:val="20"/>
        </w:rPr>
        <w:t>be</w:t>
      </w:r>
      <w:r>
        <w:rPr>
          <w:color w:val="231F20"/>
          <w:spacing w:val="-7"/>
          <w:sz w:val="20"/>
        </w:rPr>
        <w:t xml:space="preserve"> </w:t>
      </w:r>
      <w:r>
        <w:rPr>
          <w:color w:val="231F20"/>
          <w:sz w:val="20"/>
        </w:rPr>
        <w:t>worth</w:t>
      </w:r>
      <w:r>
        <w:rPr>
          <w:color w:val="231F20"/>
          <w:spacing w:val="-6"/>
          <w:sz w:val="20"/>
        </w:rPr>
        <w:t xml:space="preserve"> </w:t>
      </w:r>
      <w:r>
        <w:rPr>
          <w:color w:val="231F20"/>
          <w:sz w:val="20"/>
        </w:rPr>
        <w:t>exploring.</w:t>
      </w:r>
    </w:p>
    <w:p w14:paraId="03FE4207" w14:textId="77777777" w:rsidR="00894070" w:rsidRDefault="009B7AFD">
      <w:pPr>
        <w:pStyle w:val="ListParagraph"/>
        <w:numPr>
          <w:ilvl w:val="1"/>
          <w:numId w:val="65"/>
        </w:numPr>
        <w:tabs>
          <w:tab w:val="left" w:pos="1801"/>
          <w:tab w:val="left" w:pos="1802"/>
        </w:tabs>
        <w:spacing w:before="123" w:line="206" w:lineRule="auto"/>
        <w:ind w:right="1505"/>
        <w:rPr>
          <w:sz w:val="20"/>
        </w:rPr>
      </w:pPr>
      <w:r>
        <w:rPr>
          <w:color w:val="231F20"/>
          <w:spacing w:val="-6"/>
          <w:sz w:val="20"/>
        </w:rPr>
        <w:t>We</w:t>
      </w:r>
      <w:r>
        <w:rPr>
          <w:color w:val="231F20"/>
          <w:spacing w:val="-10"/>
          <w:sz w:val="20"/>
        </w:rPr>
        <w:t xml:space="preserve"> </w:t>
      </w:r>
      <w:r>
        <w:rPr>
          <w:color w:val="231F20"/>
          <w:spacing w:val="-4"/>
          <w:sz w:val="20"/>
        </w:rPr>
        <w:t>have</w:t>
      </w:r>
      <w:r>
        <w:rPr>
          <w:color w:val="231F20"/>
          <w:spacing w:val="-10"/>
          <w:sz w:val="20"/>
        </w:rPr>
        <w:t xml:space="preserve"> </w:t>
      </w:r>
      <w:r>
        <w:rPr>
          <w:color w:val="231F20"/>
          <w:sz w:val="20"/>
        </w:rPr>
        <w:t>a</w:t>
      </w:r>
      <w:r>
        <w:rPr>
          <w:color w:val="231F20"/>
          <w:spacing w:val="-9"/>
          <w:sz w:val="20"/>
        </w:rPr>
        <w:t xml:space="preserve"> </w:t>
      </w:r>
      <w:r>
        <w:rPr>
          <w:color w:val="231F20"/>
          <w:sz w:val="20"/>
        </w:rPr>
        <w:t>general</w:t>
      </w:r>
      <w:r>
        <w:rPr>
          <w:color w:val="231F20"/>
          <w:spacing w:val="-10"/>
          <w:sz w:val="20"/>
        </w:rPr>
        <w:t xml:space="preserve"> </w:t>
      </w:r>
      <w:r>
        <w:rPr>
          <w:color w:val="231F20"/>
          <w:sz w:val="20"/>
        </w:rPr>
        <w:t>understanding</w:t>
      </w:r>
      <w:r>
        <w:rPr>
          <w:color w:val="231F20"/>
          <w:spacing w:val="-10"/>
          <w:sz w:val="20"/>
        </w:rPr>
        <w:t xml:space="preserve"> </w:t>
      </w:r>
      <w:r>
        <w:rPr>
          <w:color w:val="231F20"/>
          <w:sz w:val="20"/>
        </w:rPr>
        <w:t>of</w:t>
      </w:r>
      <w:r>
        <w:rPr>
          <w:color w:val="231F20"/>
          <w:spacing w:val="-9"/>
          <w:sz w:val="20"/>
        </w:rPr>
        <w:t xml:space="preserve"> </w:t>
      </w:r>
      <w:r>
        <w:rPr>
          <w:color w:val="231F20"/>
          <w:spacing w:val="-3"/>
          <w:sz w:val="20"/>
        </w:rPr>
        <w:t>why</w:t>
      </w:r>
      <w:r>
        <w:rPr>
          <w:color w:val="231F20"/>
          <w:spacing w:val="-10"/>
          <w:sz w:val="20"/>
        </w:rPr>
        <w:t xml:space="preserve"> </w:t>
      </w:r>
      <w:r>
        <w:rPr>
          <w:color w:val="231F20"/>
          <w:sz w:val="20"/>
        </w:rPr>
        <w:t>the</w:t>
      </w:r>
      <w:r>
        <w:rPr>
          <w:color w:val="231F20"/>
          <w:spacing w:val="-9"/>
          <w:sz w:val="20"/>
        </w:rPr>
        <w:t xml:space="preserve"> </w:t>
      </w:r>
      <w:r>
        <w:rPr>
          <w:color w:val="231F20"/>
          <w:sz w:val="20"/>
        </w:rPr>
        <w:t>stalking</w:t>
      </w:r>
      <w:r>
        <w:rPr>
          <w:color w:val="231F20"/>
          <w:spacing w:val="-10"/>
          <w:sz w:val="20"/>
        </w:rPr>
        <w:t xml:space="preserve"> </w:t>
      </w:r>
      <w:r>
        <w:rPr>
          <w:color w:val="231F20"/>
          <w:sz w:val="20"/>
        </w:rPr>
        <w:t>offence</w:t>
      </w:r>
      <w:r>
        <w:rPr>
          <w:color w:val="231F20"/>
          <w:spacing w:val="-10"/>
          <w:sz w:val="20"/>
        </w:rPr>
        <w:t xml:space="preserve"> </w:t>
      </w:r>
      <w:r>
        <w:rPr>
          <w:color w:val="231F20"/>
          <w:spacing w:val="-3"/>
          <w:sz w:val="20"/>
        </w:rPr>
        <w:t>may</w:t>
      </w:r>
      <w:r>
        <w:rPr>
          <w:color w:val="231F20"/>
          <w:spacing w:val="-9"/>
          <w:sz w:val="20"/>
        </w:rPr>
        <w:t xml:space="preserve"> </w:t>
      </w:r>
      <w:r>
        <w:rPr>
          <w:color w:val="231F20"/>
          <w:sz w:val="20"/>
        </w:rPr>
        <w:t>not</w:t>
      </w:r>
      <w:r>
        <w:rPr>
          <w:color w:val="231F20"/>
          <w:spacing w:val="-10"/>
          <w:sz w:val="20"/>
        </w:rPr>
        <w:t xml:space="preserve"> </w:t>
      </w:r>
      <w:r>
        <w:rPr>
          <w:color w:val="231F20"/>
          <w:sz w:val="20"/>
        </w:rPr>
        <w:t>proceed.</w:t>
      </w:r>
      <w:r>
        <w:rPr>
          <w:color w:val="231F20"/>
          <w:spacing w:val="-10"/>
          <w:sz w:val="20"/>
        </w:rPr>
        <w:t xml:space="preserve"> </w:t>
      </w:r>
      <w:r>
        <w:rPr>
          <w:color w:val="231F20"/>
          <w:sz w:val="20"/>
        </w:rPr>
        <w:t>But there</w:t>
      </w:r>
      <w:r>
        <w:rPr>
          <w:color w:val="231F20"/>
          <w:spacing w:val="-6"/>
          <w:sz w:val="20"/>
        </w:rPr>
        <w:t xml:space="preserve"> </w:t>
      </w:r>
      <w:r>
        <w:rPr>
          <w:color w:val="231F20"/>
          <w:spacing w:val="-3"/>
          <w:sz w:val="20"/>
        </w:rPr>
        <w:t>are</w:t>
      </w:r>
      <w:r>
        <w:rPr>
          <w:color w:val="231F20"/>
          <w:spacing w:val="-6"/>
          <w:sz w:val="20"/>
        </w:rPr>
        <w:t xml:space="preserve"> </w:t>
      </w:r>
      <w:r>
        <w:rPr>
          <w:color w:val="231F20"/>
          <w:sz w:val="20"/>
        </w:rPr>
        <w:t>other</w:t>
      </w:r>
      <w:r>
        <w:rPr>
          <w:color w:val="231F20"/>
          <w:spacing w:val="-5"/>
          <w:sz w:val="20"/>
        </w:rPr>
        <w:t xml:space="preserve"> </w:t>
      </w:r>
      <w:r>
        <w:rPr>
          <w:color w:val="231F20"/>
          <w:sz w:val="20"/>
        </w:rPr>
        <w:t>factors</w:t>
      </w:r>
      <w:r>
        <w:rPr>
          <w:color w:val="231F20"/>
          <w:spacing w:val="-6"/>
          <w:sz w:val="20"/>
        </w:rPr>
        <w:t xml:space="preserve"> </w:t>
      </w:r>
      <w:r>
        <w:rPr>
          <w:color w:val="231F20"/>
          <w:spacing w:val="-3"/>
          <w:sz w:val="20"/>
        </w:rPr>
        <w:t>we</w:t>
      </w:r>
      <w:r>
        <w:rPr>
          <w:color w:val="231F20"/>
          <w:spacing w:val="-5"/>
          <w:sz w:val="20"/>
        </w:rPr>
        <w:t xml:space="preserve"> </w:t>
      </w:r>
      <w:r>
        <w:rPr>
          <w:color w:val="231F20"/>
          <w:spacing w:val="-4"/>
          <w:sz w:val="20"/>
        </w:rPr>
        <w:t>have</w:t>
      </w:r>
      <w:r>
        <w:rPr>
          <w:color w:val="231F20"/>
          <w:spacing w:val="-6"/>
          <w:sz w:val="20"/>
        </w:rPr>
        <w:t xml:space="preserve"> </w:t>
      </w:r>
      <w:r>
        <w:rPr>
          <w:color w:val="231F20"/>
          <w:sz w:val="20"/>
        </w:rPr>
        <w:t>not</w:t>
      </w:r>
      <w:r>
        <w:rPr>
          <w:color w:val="231F20"/>
          <w:spacing w:val="-5"/>
          <w:sz w:val="20"/>
        </w:rPr>
        <w:t xml:space="preserve"> </w:t>
      </w:r>
      <w:r>
        <w:rPr>
          <w:color w:val="231F20"/>
          <w:sz w:val="20"/>
        </w:rPr>
        <w:t>been</w:t>
      </w:r>
      <w:r>
        <w:rPr>
          <w:color w:val="231F20"/>
          <w:spacing w:val="-6"/>
          <w:sz w:val="20"/>
        </w:rPr>
        <w:t xml:space="preserve"> </w:t>
      </w:r>
      <w:r>
        <w:rPr>
          <w:color w:val="231F20"/>
          <w:sz w:val="20"/>
        </w:rPr>
        <w:t>able</w:t>
      </w:r>
      <w:r>
        <w:rPr>
          <w:color w:val="231F20"/>
          <w:spacing w:val="-5"/>
          <w:sz w:val="20"/>
        </w:rPr>
        <w:t xml:space="preserve"> </w:t>
      </w:r>
      <w:r>
        <w:rPr>
          <w:color w:val="231F20"/>
          <w:sz w:val="20"/>
        </w:rPr>
        <w:t>to</w:t>
      </w:r>
      <w:r>
        <w:rPr>
          <w:color w:val="231F20"/>
          <w:spacing w:val="-6"/>
          <w:sz w:val="20"/>
        </w:rPr>
        <w:t xml:space="preserve"> </w:t>
      </w:r>
      <w:r>
        <w:rPr>
          <w:color w:val="231F20"/>
          <w:sz w:val="20"/>
        </w:rPr>
        <w:t>enquire</w:t>
      </w:r>
      <w:r>
        <w:rPr>
          <w:color w:val="231F20"/>
          <w:spacing w:val="-5"/>
          <w:sz w:val="20"/>
        </w:rPr>
        <w:t xml:space="preserve"> </w:t>
      </w:r>
      <w:r>
        <w:rPr>
          <w:color w:val="231F20"/>
          <w:spacing w:val="-3"/>
          <w:sz w:val="20"/>
        </w:rPr>
        <w:t>into,</w:t>
      </w:r>
      <w:r>
        <w:rPr>
          <w:color w:val="231F20"/>
          <w:spacing w:val="-6"/>
          <w:sz w:val="20"/>
        </w:rPr>
        <w:t xml:space="preserve"> </w:t>
      </w:r>
      <w:r>
        <w:rPr>
          <w:color w:val="231F20"/>
          <w:spacing w:val="-3"/>
          <w:sz w:val="20"/>
        </w:rPr>
        <w:t>for</w:t>
      </w:r>
      <w:r>
        <w:rPr>
          <w:color w:val="231F20"/>
          <w:spacing w:val="-5"/>
          <w:sz w:val="20"/>
        </w:rPr>
        <w:t xml:space="preserve"> </w:t>
      </w:r>
      <w:r>
        <w:rPr>
          <w:color w:val="231F20"/>
          <w:spacing w:val="-3"/>
          <w:sz w:val="20"/>
        </w:rPr>
        <w:t>example:</w:t>
      </w:r>
    </w:p>
    <w:p w14:paraId="4C37C974" w14:textId="77777777" w:rsidR="00894070" w:rsidRDefault="009B7AFD">
      <w:pPr>
        <w:pStyle w:val="ListParagraph"/>
        <w:numPr>
          <w:ilvl w:val="2"/>
          <w:numId w:val="65"/>
        </w:numPr>
        <w:tabs>
          <w:tab w:val="left" w:pos="2141"/>
          <w:tab w:val="left" w:pos="2142"/>
        </w:tabs>
        <w:spacing w:before="90"/>
        <w:ind w:hanging="340"/>
        <w:rPr>
          <w:sz w:val="20"/>
        </w:rPr>
      </w:pPr>
      <w:r>
        <w:rPr>
          <w:color w:val="231F20"/>
          <w:sz w:val="20"/>
        </w:rPr>
        <w:t>if</w:t>
      </w:r>
      <w:r>
        <w:rPr>
          <w:color w:val="231F20"/>
          <w:spacing w:val="-5"/>
          <w:sz w:val="20"/>
        </w:rPr>
        <w:t xml:space="preserve"> </w:t>
      </w:r>
      <w:r>
        <w:rPr>
          <w:color w:val="231F20"/>
          <w:sz w:val="20"/>
        </w:rPr>
        <w:t>some</w:t>
      </w:r>
      <w:r>
        <w:rPr>
          <w:color w:val="231F20"/>
          <w:spacing w:val="-5"/>
          <w:sz w:val="20"/>
        </w:rPr>
        <w:t xml:space="preserve"> </w:t>
      </w:r>
      <w:r>
        <w:rPr>
          <w:color w:val="231F20"/>
          <w:sz w:val="20"/>
        </w:rPr>
        <w:t>patterns</w:t>
      </w:r>
      <w:r>
        <w:rPr>
          <w:color w:val="231F20"/>
          <w:spacing w:val="-4"/>
          <w:sz w:val="20"/>
        </w:rPr>
        <w:t xml:space="preserve"> </w:t>
      </w:r>
      <w:r>
        <w:rPr>
          <w:color w:val="231F20"/>
          <w:sz w:val="20"/>
        </w:rPr>
        <w:t>of</w:t>
      </w:r>
      <w:r>
        <w:rPr>
          <w:color w:val="231F20"/>
          <w:spacing w:val="-5"/>
          <w:sz w:val="20"/>
        </w:rPr>
        <w:t xml:space="preserve"> </w:t>
      </w:r>
      <w:r>
        <w:rPr>
          <w:color w:val="231F20"/>
          <w:sz w:val="20"/>
        </w:rPr>
        <w:t>abuse</w:t>
      </w:r>
      <w:r>
        <w:rPr>
          <w:color w:val="231F20"/>
          <w:spacing w:val="-4"/>
          <w:sz w:val="20"/>
        </w:rPr>
        <w:t xml:space="preserve"> </w:t>
      </w:r>
      <w:r>
        <w:rPr>
          <w:color w:val="231F20"/>
          <w:spacing w:val="-3"/>
          <w:sz w:val="20"/>
        </w:rPr>
        <w:t>are</w:t>
      </w:r>
      <w:r>
        <w:rPr>
          <w:color w:val="231F20"/>
          <w:spacing w:val="-5"/>
          <w:sz w:val="20"/>
        </w:rPr>
        <w:t xml:space="preserve"> </w:t>
      </w:r>
      <w:r>
        <w:rPr>
          <w:color w:val="231F20"/>
          <w:sz w:val="20"/>
        </w:rPr>
        <w:t>less</w:t>
      </w:r>
      <w:r>
        <w:rPr>
          <w:color w:val="231F20"/>
          <w:spacing w:val="-4"/>
          <w:sz w:val="20"/>
        </w:rPr>
        <w:t xml:space="preserve"> </w:t>
      </w:r>
      <w:r>
        <w:rPr>
          <w:color w:val="231F20"/>
          <w:spacing w:val="-3"/>
          <w:sz w:val="20"/>
        </w:rPr>
        <w:t>likely</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4"/>
          <w:sz w:val="20"/>
        </w:rPr>
        <w:t xml:space="preserve"> </w:t>
      </w:r>
      <w:r>
        <w:rPr>
          <w:color w:val="231F20"/>
          <w:spacing w:val="-3"/>
          <w:sz w:val="20"/>
        </w:rPr>
        <w:t>prosecuted</w:t>
      </w:r>
      <w:r>
        <w:rPr>
          <w:color w:val="231F20"/>
          <w:spacing w:val="-5"/>
          <w:sz w:val="20"/>
        </w:rPr>
        <w:t xml:space="preserve"> </w:t>
      </w:r>
      <w:r>
        <w:rPr>
          <w:color w:val="231F20"/>
          <w:sz w:val="20"/>
        </w:rPr>
        <w:t>than</w:t>
      </w:r>
      <w:r>
        <w:rPr>
          <w:color w:val="231F20"/>
          <w:spacing w:val="-4"/>
          <w:sz w:val="20"/>
        </w:rPr>
        <w:t xml:space="preserve"> </w:t>
      </w:r>
      <w:r>
        <w:rPr>
          <w:color w:val="231F20"/>
          <w:sz w:val="20"/>
        </w:rPr>
        <w:t>others</w:t>
      </w:r>
    </w:p>
    <w:p w14:paraId="133848DA" w14:textId="77777777" w:rsidR="00894070" w:rsidRDefault="009B7AFD">
      <w:pPr>
        <w:pStyle w:val="ListParagraph"/>
        <w:numPr>
          <w:ilvl w:val="2"/>
          <w:numId w:val="65"/>
        </w:numPr>
        <w:tabs>
          <w:tab w:val="left" w:pos="2141"/>
          <w:tab w:val="left" w:pos="2142"/>
        </w:tabs>
        <w:spacing w:before="80" w:line="206" w:lineRule="auto"/>
        <w:ind w:right="1296" w:hanging="340"/>
        <w:rPr>
          <w:sz w:val="20"/>
        </w:rPr>
      </w:pPr>
      <w:r>
        <w:rPr>
          <w:color w:val="231F20"/>
          <w:sz w:val="20"/>
        </w:rPr>
        <w:t>if</w:t>
      </w:r>
      <w:r>
        <w:rPr>
          <w:color w:val="231F20"/>
          <w:spacing w:val="-9"/>
          <w:sz w:val="20"/>
        </w:rPr>
        <w:t xml:space="preserve"> </w:t>
      </w:r>
      <w:r>
        <w:rPr>
          <w:color w:val="231F20"/>
          <w:sz w:val="20"/>
        </w:rPr>
        <w:t>some</w:t>
      </w:r>
      <w:r>
        <w:rPr>
          <w:color w:val="231F20"/>
          <w:spacing w:val="-8"/>
          <w:sz w:val="20"/>
        </w:rPr>
        <w:t xml:space="preserve"> </w:t>
      </w:r>
      <w:r>
        <w:rPr>
          <w:color w:val="231F20"/>
          <w:sz w:val="20"/>
        </w:rPr>
        <w:t>people</w:t>
      </w:r>
      <w:r>
        <w:rPr>
          <w:color w:val="231F20"/>
          <w:spacing w:val="-9"/>
          <w:sz w:val="20"/>
        </w:rPr>
        <w:t xml:space="preserve"> </w:t>
      </w:r>
      <w:r>
        <w:rPr>
          <w:color w:val="231F20"/>
          <w:sz w:val="20"/>
        </w:rPr>
        <w:t>or</w:t>
      </w:r>
      <w:r>
        <w:rPr>
          <w:color w:val="231F20"/>
          <w:spacing w:val="-8"/>
          <w:sz w:val="20"/>
        </w:rPr>
        <w:t xml:space="preserve"> </w:t>
      </w:r>
      <w:r>
        <w:rPr>
          <w:color w:val="231F20"/>
          <w:sz w:val="20"/>
        </w:rPr>
        <w:t>groups</w:t>
      </w:r>
      <w:r>
        <w:rPr>
          <w:color w:val="231F20"/>
          <w:spacing w:val="-8"/>
          <w:sz w:val="20"/>
        </w:rPr>
        <w:t xml:space="preserve"> </w:t>
      </w:r>
      <w:r>
        <w:rPr>
          <w:color w:val="231F20"/>
          <w:sz w:val="20"/>
        </w:rPr>
        <w:t>face</w:t>
      </w:r>
      <w:r>
        <w:rPr>
          <w:color w:val="231F20"/>
          <w:spacing w:val="-9"/>
          <w:sz w:val="20"/>
        </w:rPr>
        <w:t xml:space="preserve"> </w:t>
      </w:r>
      <w:r>
        <w:rPr>
          <w:color w:val="231F20"/>
          <w:sz w:val="20"/>
        </w:rPr>
        <w:t>more</w:t>
      </w:r>
      <w:r>
        <w:rPr>
          <w:color w:val="231F20"/>
          <w:spacing w:val="-8"/>
          <w:sz w:val="20"/>
        </w:rPr>
        <w:t xml:space="preserve"> </w:t>
      </w:r>
      <w:r>
        <w:rPr>
          <w:color w:val="231F20"/>
          <w:sz w:val="20"/>
        </w:rPr>
        <w:t>serious</w:t>
      </w:r>
      <w:r>
        <w:rPr>
          <w:color w:val="231F20"/>
          <w:spacing w:val="-8"/>
          <w:sz w:val="20"/>
        </w:rPr>
        <w:t xml:space="preserve"> </w:t>
      </w:r>
      <w:r>
        <w:rPr>
          <w:color w:val="231F20"/>
          <w:sz w:val="20"/>
        </w:rPr>
        <w:t>barriers</w:t>
      </w:r>
      <w:r>
        <w:rPr>
          <w:color w:val="231F20"/>
          <w:spacing w:val="-9"/>
          <w:sz w:val="20"/>
        </w:rPr>
        <w:t xml:space="preserve"> </w:t>
      </w:r>
      <w:r>
        <w:rPr>
          <w:color w:val="231F20"/>
          <w:sz w:val="20"/>
        </w:rPr>
        <w:t>to</w:t>
      </w:r>
      <w:r>
        <w:rPr>
          <w:color w:val="231F20"/>
          <w:spacing w:val="-8"/>
          <w:sz w:val="20"/>
        </w:rPr>
        <w:t xml:space="preserve"> </w:t>
      </w:r>
      <w:r>
        <w:rPr>
          <w:color w:val="231F20"/>
          <w:sz w:val="20"/>
        </w:rPr>
        <w:t>their</w:t>
      </w:r>
      <w:r>
        <w:rPr>
          <w:color w:val="231F20"/>
          <w:spacing w:val="-8"/>
          <w:sz w:val="20"/>
        </w:rPr>
        <w:t xml:space="preserve"> </w:t>
      </w:r>
      <w:r>
        <w:rPr>
          <w:color w:val="231F20"/>
          <w:sz w:val="20"/>
        </w:rPr>
        <w:t>case</w:t>
      </w:r>
      <w:r>
        <w:rPr>
          <w:color w:val="231F20"/>
          <w:spacing w:val="-9"/>
          <w:sz w:val="20"/>
        </w:rPr>
        <w:t xml:space="preserve"> </w:t>
      </w:r>
      <w:r>
        <w:rPr>
          <w:color w:val="231F20"/>
          <w:spacing w:val="-3"/>
          <w:sz w:val="20"/>
        </w:rPr>
        <w:t>progressing</w:t>
      </w:r>
      <w:r>
        <w:rPr>
          <w:color w:val="231F20"/>
          <w:spacing w:val="-8"/>
          <w:sz w:val="20"/>
        </w:rPr>
        <w:t xml:space="preserve"> </w:t>
      </w:r>
      <w:r>
        <w:rPr>
          <w:color w:val="231F20"/>
          <w:sz w:val="20"/>
        </w:rPr>
        <w:t>than others</w:t>
      </w:r>
    </w:p>
    <w:p w14:paraId="714F8146" w14:textId="77777777" w:rsidR="00894070" w:rsidRDefault="009B7AFD">
      <w:pPr>
        <w:pStyle w:val="ListParagraph"/>
        <w:numPr>
          <w:ilvl w:val="2"/>
          <w:numId w:val="65"/>
        </w:numPr>
        <w:tabs>
          <w:tab w:val="left" w:pos="2141"/>
          <w:tab w:val="left" w:pos="2142"/>
        </w:tabs>
        <w:spacing w:before="87" w:line="206" w:lineRule="auto"/>
        <w:ind w:right="1452" w:hanging="340"/>
        <w:rPr>
          <w:sz w:val="20"/>
        </w:rPr>
      </w:pPr>
      <w:r>
        <w:rPr>
          <w:color w:val="231F20"/>
          <w:sz w:val="20"/>
        </w:rPr>
        <w:t>if</w:t>
      </w:r>
      <w:r>
        <w:rPr>
          <w:color w:val="231F20"/>
          <w:spacing w:val="-12"/>
          <w:sz w:val="20"/>
        </w:rPr>
        <w:t xml:space="preserve"> </w:t>
      </w:r>
      <w:r>
        <w:rPr>
          <w:color w:val="231F20"/>
          <w:sz w:val="20"/>
        </w:rPr>
        <w:t>there</w:t>
      </w:r>
      <w:r>
        <w:rPr>
          <w:color w:val="231F20"/>
          <w:spacing w:val="-11"/>
          <w:sz w:val="20"/>
        </w:rPr>
        <w:t xml:space="preserve"> </w:t>
      </w:r>
      <w:r>
        <w:rPr>
          <w:color w:val="231F20"/>
          <w:spacing w:val="-3"/>
          <w:sz w:val="20"/>
        </w:rPr>
        <w:t>are</w:t>
      </w:r>
      <w:r>
        <w:rPr>
          <w:color w:val="231F20"/>
          <w:spacing w:val="-11"/>
          <w:sz w:val="20"/>
        </w:rPr>
        <w:t xml:space="preserve"> </w:t>
      </w:r>
      <w:r>
        <w:rPr>
          <w:color w:val="231F20"/>
          <w:sz w:val="20"/>
        </w:rPr>
        <w:t>good</w:t>
      </w:r>
      <w:r>
        <w:rPr>
          <w:color w:val="231F20"/>
          <w:spacing w:val="-11"/>
          <w:sz w:val="20"/>
        </w:rPr>
        <w:t xml:space="preserve"> </w:t>
      </w:r>
      <w:r>
        <w:rPr>
          <w:color w:val="231F20"/>
          <w:sz w:val="20"/>
        </w:rPr>
        <w:t>reasons</w:t>
      </w:r>
      <w:r>
        <w:rPr>
          <w:color w:val="231F20"/>
          <w:spacing w:val="-11"/>
          <w:sz w:val="20"/>
        </w:rPr>
        <w:t xml:space="preserve"> </w:t>
      </w:r>
      <w:r>
        <w:rPr>
          <w:color w:val="231F20"/>
          <w:sz w:val="20"/>
        </w:rPr>
        <w:t>the</w:t>
      </w:r>
      <w:r>
        <w:rPr>
          <w:color w:val="231F20"/>
          <w:spacing w:val="-11"/>
          <w:sz w:val="20"/>
        </w:rPr>
        <w:t xml:space="preserve"> </w:t>
      </w:r>
      <w:r>
        <w:rPr>
          <w:color w:val="231F20"/>
          <w:sz w:val="20"/>
        </w:rPr>
        <w:t>stalking</w:t>
      </w:r>
      <w:r>
        <w:rPr>
          <w:color w:val="231F20"/>
          <w:spacing w:val="-11"/>
          <w:sz w:val="20"/>
        </w:rPr>
        <w:t xml:space="preserve"> </w:t>
      </w:r>
      <w:r>
        <w:rPr>
          <w:color w:val="231F20"/>
          <w:sz w:val="20"/>
        </w:rPr>
        <w:t>offence</w:t>
      </w:r>
      <w:r>
        <w:rPr>
          <w:color w:val="231F20"/>
          <w:spacing w:val="-11"/>
          <w:sz w:val="20"/>
        </w:rPr>
        <w:t xml:space="preserve"> </w:t>
      </w:r>
      <w:r>
        <w:rPr>
          <w:color w:val="231F20"/>
          <w:sz w:val="20"/>
        </w:rPr>
        <w:t>is</w:t>
      </w:r>
      <w:r>
        <w:rPr>
          <w:color w:val="231F20"/>
          <w:spacing w:val="-11"/>
          <w:sz w:val="20"/>
        </w:rPr>
        <w:t xml:space="preserve"> </w:t>
      </w:r>
      <w:r>
        <w:rPr>
          <w:color w:val="231F20"/>
          <w:sz w:val="20"/>
        </w:rPr>
        <w:t>not</w:t>
      </w:r>
      <w:r>
        <w:rPr>
          <w:color w:val="231F20"/>
          <w:spacing w:val="-11"/>
          <w:sz w:val="20"/>
        </w:rPr>
        <w:t xml:space="preserve"> </w:t>
      </w:r>
      <w:r>
        <w:rPr>
          <w:color w:val="231F20"/>
          <w:sz w:val="20"/>
        </w:rPr>
        <w:t>being</w:t>
      </w:r>
      <w:r>
        <w:rPr>
          <w:color w:val="231F20"/>
          <w:spacing w:val="-11"/>
          <w:sz w:val="20"/>
        </w:rPr>
        <w:t xml:space="preserve"> </w:t>
      </w:r>
      <w:r>
        <w:rPr>
          <w:color w:val="231F20"/>
          <w:sz w:val="20"/>
        </w:rPr>
        <w:t>authorised</w:t>
      </w:r>
      <w:r>
        <w:rPr>
          <w:color w:val="231F20"/>
          <w:spacing w:val="-11"/>
          <w:sz w:val="20"/>
        </w:rPr>
        <w:t xml:space="preserve"> </w:t>
      </w:r>
      <w:r>
        <w:rPr>
          <w:color w:val="231F20"/>
          <w:sz w:val="20"/>
        </w:rPr>
        <w:t>or</w:t>
      </w:r>
      <w:r>
        <w:rPr>
          <w:color w:val="231F20"/>
          <w:spacing w:val="-11"/>
          <w:sz w:val="20"/>
        </w:rPr>
        <w:t xml:space="preserve"> </w:t>
      </w:r>
      <w:r>
        <w:rPr>
          <w:color w:val="231F20"/>
          <w:sz w:val="20"/>
        </w:rPr>
        <w:t xml:space="preserve">dropped </w:t>
      </w:r>
      <w:r>
        <w:rPr>
          <w:color w:val="231F20"/>
          <w:spacing w:val="-4"/>
          <w:sz w:val="20"/>
        </w:rPr>
        <w:t xml:space="preserve">(we </w:t>
      </w:r>
      <w:r>
        <w:rPr>
          <w:color w:val="231F20"/>
          <w:spacing w:val="-3"/>
          <w:sz w:val="20"/>
        </w:rPr>
        <w:t xml:space="preserve">invited </w:t>
      </w:r>
      <w:r>
        <w:rPr>
          <w:color w:val="231F20"/>
          <w:sz w:val="20"/>
        </w:rPr>
        <w:t xml:space="preserve">input </w:t>
      </w:r>
      <w:r>
        <w:rPr>
          <w:color w:val="231F20"/>
          <w:spacing w:val="-3"/>
          <w:sz w:val="20"/>
        </w:rPr>
        <w:t xml:space="preserve">from </w:t>
      </w:r>
      <w:r>
        <w:rPr>
          <w:color w:val="231F20"/>
          <w:sz w:val="20"/>
        </w:rPr>
        <w:t xml:space="preserve">the Office of Public Prosecutions, which was unable to </w:t>
      </w:r>
      <w:r>
        <w:rPr>
          <w:color w:val="231F20"/>
          <w:spacing w:val="-3"/>
          <w:sz w:val="20"/>
        </w:rPr>
        <w:t xml:space="preserve">provide </w:t>
      </w:r>
      <w:r>
        <w:rPr>
          <w:color w:val="231F20"/>
          <w:sz w:val="20"/>
        </w:rPr>
        <w:t xml:space="preserve">it because of its </w:t>
      </w:r>
      <w:r>
        <w:rPr>
          <w:color w:val="231F20"/>
          <w:spacing w:val="-3"/>
          <w:sz w:val="20"/>
        </w:rPr>
        <w:t>resourcing</w:t>
      </w:r>
      <w:r>
        <w:rPr>
          <w:color w:val="231F20"/>
          <w:spacing w:val="-23"/>
          <w:sz w:val="20"/>
        </w:rPr>
        <w:t xml:space="preserve"> </w:t>
      </w:r>
      <w:r>
        <w:rPr>
          <w:color w:val="231F20"/>
          <w:sz w:val="20"/>
        </w:rPr>
        <w:t>constraints)</w:t>
      </w:r>
    </w:p>
    <w:p w14:paraId="121F4F79" w14:textId="77777777" w:rsidR="00894070" w:rsidRDefault="009B7AFD">
      <w:pPr>
        <w:pStyle w:val="ListParagraph"/>
        <w:numPr>
          <w:ilvl w:val="2"/>
          <w:numId w:val="65"/>
        </w:numPr>
        <w:tabs>
          <w:tab w:val="left" w:pos="2141"/>
          <w:tab w:val="left" w:pos="2142"/>
        </w:tabs>
        <w:spacing w:before="89" w:line="206" w:lineRule="auto"/>
        <w:ind w:right="1497" w:hanging="340"/>
        <w:rPr>
          <w:sz w:val="20"/>
        </w:rPr>
      </w:pPr>
      <w:r>
        <w:rPr>
          <w:color w:val="231F20"/>
          <w:sz w:val="20"/>
        </w:rPr>
        <w:t>if</w:t>
      </w:r>
      <w:r>
        <w:rPr>
          <w:color w:val="231F20"/>
          <w:spacing w:val="-14"/>
          <w:sz w:val="20"/>
        </w:rPr>
        <w:t xml:space="preserve"> </w:t>
      </w:r>
      <w:r>
        <w:rPr>
          <w:color w:val="231F20"/>
          <w:sz w:val="20"/>
        </w:rPr>
        <w:t>there</w:t>
      </w:r>
      <w:r>
        <w:rPr>
          <w:color w:val="231F20"/>
          <w:spacing w:val="-14"/>
          <w:sz w:val="20"/>
        </w:rPr>
        <w:t xml:space="preserve"> </w:t>
      </w:r>
      <w:r>
        <w:rPr>
          <w:color w:val="231F20"/>
          <w:spacing w:val="-3"/>
          <w:sz w:val="20"/>
        </w:rPr>
        <w:t>are</w:t>
      </w:r>
      <w:r>
        <w:rPr>
          <w:color w:val="231F20"/>
          <w:spacing w:val="-13"/>
          <w:sz w:val="20"/>
        </w:rPr>
        <w:t xml:space="preserve"> </w:t>
      </w:r>
      <w:r>
        <w:rPr>
          <w:color w:val="231F20"/>
          <w:sz w:val="20"/>
        </w:rPr>
        <w:t>common</w:t>
      </w:r>
      <w:r>
        <w:rPr>
          <w:color w:val="231F20"/>
          <w:spacing w:val="-14"/>
          <w:sz w:val="20"/>
        </w:rPr>
        <w:t xml:space="preserve"> </w:t>
      </w:r>
      <w:r>
        <w:rPr>
          <w:color w:val="231F20"/>
          <w:sz w:val="20"/>
        </w:rPr>
        <w:t>themes</w:t>
      </w:r>
      <w:r>
        <w:rPr>
          <w:color w:val="231F20"/>
          <w:spacing w:val="-14"/>
          <w:sz w:val="20"/>
        </w:rPr>
        <w:t xml:space="preserve"> </w:t>
      </w:r>
      <w:r>
        <w:rPr>
          <w:color w:val="231F20"/>
          <w:sz w:val="20"/>
        </w:rPr>
        <w:t>in</w:t>
      </w:r>
      <w:r>
        <w:rPr>
          <w:color w:val="231F20"/>
          <w:spacing w:val="-13"/>
          <w:sz w:val="20"/>
        </w:rPr>
        <w:t xml:space="preserve"> </w:t>
      </w:r>
      <w:r>
        <w:rPr>
          <w:color w:val="231F20"/>
          <w:sz w:val="20"/>
        </w:rPr>
        <w:t>what</w:t>
      </w:r>
      <w:r>
        <w:rPr>
          <w:color w:val="231F20"/>
          <w:spacing w:val="-14"/>
          <w:sz w:val="20"/>
        </w:rPr>
        <w:t xml:space="preserve"> </w:t>
      </w:r>
      <w:r>
        <w:rPr>
          <w:color w:val="231F20"/>
          <w:sz w:val="20"/>
        </w:rPr>
        <w:t>police</w:t>
      </w:r>
      <w:r>
        <w:rPr>
          <w:color w:val="231F20"/>
          <w:spacing w:val="-14"/>
          <w:sz w:val="20"/>
        </w:rPr>
        <w:t xml:space="preserve"> </w:t>
      </w:r>
      <w:r>
        <w:rPr>
          <w:color w:val="231F20"/>
          <w:sz w:val="20"/>
        </w:rPr>
        <w:t>find</w:t>
      </w:r>
      <w:r>
        <w:rPr>
          <w:color w:val="231F20"/>
          <w:spacing w:val="-13"/>
          <w:sz w:val="20"/>
        </w:rPr>
        <w:t xml:space="preserve"> </w:t>
      </w:r>
      <w:r>
        <w:rPr>
          <w:color w:val="231F20"/>
          <w:sz w:val="20"/>
        </w:rPr>
        <w:t>difficult</w:t>
      </w:r>
      <w:r>
        <w:rPr>
          <w:color w:val="231F20"/>
          <w:spacing w:val="-14"/>
          <w:sz w:val="20"/>
        </w:rPr>
        <w:t xml:space="preserve"> </w:t>
      </w:r>
      <w:r>
        <w:rPr>
          <w:color w:val="231F20"/>
          <w:sz w:val="20"/>
        </w:rPr>
        <w:t>in</w:t>
      </w:r>
      <w:r>
        <w:rPr>
          <w:color w:val="231F20"/>
          <w:spacing w:val="-14"/>
          <w:sz w:val="20"/>
        </w:rPr>
        <w:t xml:space="preserve"> </w:t>
      </w:r>
      <w:r>
        <w:rPr>
          <w:color w:val="231F20"/>
          <w:sz w:val="20"/>
        </w:rPr>
        <w:t>collecting</w:t>
      </w:r>
      <w:r>
        <w:rPr>
          <w:color w:val="231F20"/>
          <w:spacing w:val="-13"/>
          <w:sz w:val="20"/>
        </w:rPr>
        <w:t xml:space="preserve"> </w:t>
      </w:r>
      <w:r>
        <w:rPr>
          <w:color w:val="231F20"/>
          <w:sz w:val="20"/>
        </w:rPr>
        <w:t>evidence</w:t>
      </w:r>
      <w:r>
        <w:rPr>
          <w:color w:val="231F20"/>
          <w:spacing w:val="-14"/>
          <w:sz w:val="20"/>
        </w:rPr>
        <w:t xml:space="preserve"> </w:t>
      </w:r>
      <w:r>
        <w:rPr>
          <w:color w:val="231F20"/>
          <w:sz w:val="20"/>
        </w:rPr>
        <w:t>to support a stalking</w:t>
      </w:r>
      <w:r>
        <w:rPr>
          <w:color w:val="231F20"/>
          <w:spacing w:val="-13"/>
          <w:sz w:val="20"/>
        </w:rPr>
        <w:t xml:space="preserve"> </w:t>
      </w:r>
      <w:r>
        <w:rPr>
          <w:color w:val="231F20"/>
          <w:spacing w:val="-3"/>
          <w:sz w:val="20"/>
        </w:rPr>
        <w:t>offence.</w:t>
      </w:r>
    </w:p>
    <w:p w14:paraId="56387DF1" w14:textId="77777777" w:rsidR="00894070" w:rsidRDefault="009B7AFD">
      <w:pPr>
        <w:pStyle w:val="ListParagraph"/>
        <w:numPr>
          <w:ilvl w:val="1"/>
          <w:numId w:val="65"/>
        </w:numPr>
        <w:tabs>
          <w:tab w:val="left" w:pos="1801"/>
          <w:tab w:val="left" w:pos="1802"/>
        </w:tabs>
        <w:spacing w:before="88" w:line="206" w:lineRule="auto"/>
        <w:ind w:right="1540"/>
        <w:rPr>
          <w:sz w:val="20"/>
        </w:rPr>
      </w:pPr>
      <w:r>
        <w:rPr>
          <w:color w:val="231F20"/>
          <w:sz w:val="20"/>
        </w:rPr>
        <w:t>Knowing</w:t>
      </w:r>
      <w:r>
        <w:rPr>
          <w:color w:val="231F20"/>
          <w:spacing w:val="-10"/>
          <w:sz w:val="20"/>
        </w:rPr>
        <w:t xml:space="preserve"> </w:t>
      </w:r>
      <w:r>
        <w:rPr>
          <w:color w:val="231F20"/>
          <w:sz w:val="20"/>
        </w:rPr>
        <w:t>these</w:t>
      </w:r>
      <w:r>
        <w:rPr>
          <w:color w:val="231F20"/>
          <w:spacing w:val="-9"/>
          <w:sz w:val="20"/>
        </w:rPr>
        <w:t xml:space="preserve"> </w:t>
      </w:r>
      <w:r>
        <w:rPr>
          <w:color w:val="231F20"/>
          <w:sz w:val="20"/>
        </w:rPr>
        <w:t>things</w:t>
      </w:r>
      <w:r>
        <w:rPr>
          <w:color w:val="231F20"/>
          <w:spacing w:val="-10"/>
          <w:sz w:val="20"/>
        </w:rPr>
        <w:t xml:space="preserve"> </w:t>
      </w:r>
      <w:r>
        <w:rPr>
          <w:color w:val="231F20"/>
          <w:sz w:val="20"/>
        </w:rPr>
        <w:t>could</w:t>
      </w:r>
      <w:r>
        <w:rPr>
          <w:color w:val="231F20"/>
          <w:spacing w:val="-9"/>
          <w:sz w:val="20"/>
        </w:rPr>
        <w:t xml:space="preserve"> </w:t>
      </w:r>
      <w:r>
        <w:rPr>
          <w:color w:val="231F20"/>
          <w:sz w:val="20"/>
        </w:rPr>
        <w:t>help</w:t>
      </w:r>
      <w:r>
        <w:rPr>
          <w:color w:val="231F20"/>
          <w:spacing w:val="-9"/>
          <w:sz w:val="20"/>
        </w:rPr>
        <w:t xml:space="preserve"> </w:t>
      </w:r>
      <w:r>
        <w:rPr>
          <w:color w:val="231F20"/>
          <w:sz w:val="20"/>
        </w:rPr>
        <w:t>people</w:t>
      </w:r>
      <w:r>
        <w:rPr>
          <w:color w:val="231F20"/>
          <w:spacing w:val="-10"/>
          <w:sz w:val="20"/>
        </w:rPr>
        <w:t xml:space="preserve"> </w:t>
      </w:r>
      <w:r>
        <w:rPr>
          <w:color w:val="231F20"/>
          <w:sz w:val="20"/>
        </w:rPr>
        <w:t>who</w:t>
      </w:r>
      <w:r>
        <w:rPr>
          <w:color w:val="231F20"/>
          <w:spacing w:val="-9"/>
          <w:sz w:val="20"/>
        </w:rPr>
        <w:t xml:space="preserve"> </w:t>
      </w:r>
      <w:r>
        <w:rPr>
          <w:color w:val="231F20"/>
          <w:spacing w:val="-3"/>
          <w:sz w:val="20"/>
        </w:rPr>
        <w:t>work</w:t>
      </w:r>
      <w:r>
        <w:rPr>
          <w:color w:val="231F20"/>
          <w:spacing w:val="-10"/>
          <w:sz w:val="20"/>
        </w:rPr>
        <w:t xml:space="preserve"> </w:t>
      </w:r>
      <w:r>
        <w:rPr>
          <w:color w:val="231F20"/>
          <w:sz w:val="20"/>
        </w:rPr>
        <w:t>in</w:t>
      </w:r>
      <w:r>
        <w:rPr>
          <w:color w:val="231F20"/>
          <w:spacing w:val="-9"/>
          <w:sz w:val="20"/>
        </w:rPr>
        <w:t xml:space="preserve"> </w:t>
      </w:r>
      <w:r>
        <w:rPr>
          <w:color w:val="231F20"/>
          <w:sz w:val="20"/>
        </w:rPr>
        <w:t>the</w:t>
      </w:r>
      <w:r>
        <w:rPr>
          <w:color w:val="231F20"/>
          <w:spacing w:val="-10"/>
          <w:sz w:val="20"/>
        </w:rPr>
        <w:t xml:space="preserve"> </w:t>
      </w:r>
      <w:r>
        <w:rPr>
          <w:color w:val="231F20"/>
          <w:sz w:val="20"/>
        </w:rPr>
        <w:t>justice</w:t>
      </w:r>
      <w:r>
        <w:rPr>
          <w:color w:val="231F20"/>
          <w:spacing w:val="-9"/>
          <w:sz w:val="20"/>
        </w:rPr>
        <w:t xml:space="preserve"> </w:t>
      </w:r>
      <w:r>
        <w:rPr>
          <w:color w:val="231F20"/>
          <w:spacing w:val="-2"/>
          <w:sz w:val="20"/>
        </w:rPr>
        <w:t>system</w:t>
      </w:r>
      <w:r>
        <w:rPr>
          <w:color w:val="231F20"/>
          <w:spacing w:val="-9"/>
          <w:sz w:val="20"/>
        </w:rPr>
        <w:t xml:space="preserve"> </w:t>
      </w:r>
      <w:r>
        <w:rPr>
          <w:color w:val="231F20"/>
          <w:sz w:val="20"/>
        </w:rPr>
        <w:t>respond</w:t>
      </w:r>
      <w:r>
        <w:rPr>
          <w:color w:val="231F20"/>
          <w:spacing w:val="-10"/>
          <w:sz w:val="20"/>
        </w:rPr>
        <w:t xml:space="preserve"> </w:t>
      </w:r>
      <w:r>
        <w:rPr>
          <w:color w:val="231F20"/>
          <w:sz w:val="20"/>
        </w:rPr>
        <w:t>to cases</w:t>
      </w:r>
      <w:r>
        <w:rPr>
          <w:color w:val="231F20"/>
          <w:spacing w:val="-6"/>
          <w:sz w:val="20"/>
        </w:rPr>
        <w:t xml:space="preserve"> </w:t>
      </w:r>
      <w:r>
        <w:rPr>
          <w:color w:val="231F20"/>
          <w:sz w:val="20"/>
        </w:rPr>
        <w:t>of</w:t>
      </w:r>
      <w:r>
        <w:rPr>
          <w:color w:val="231F20"/>
          <w:spacing w:val="-5"/>
          <w:sz w:val="20"/>
        </w:rPr>
        <w:t xml:space="preserve"> </w:t>
      </w:r>
      <w:r>
        <w:rPr>
          <w:color w:val="231F20"/>
          <w:sz w:val="20"/>
        </w:rPr>
        <w:t>stalking</w:t>
      </w:r>
      <w:r>
        <w:rPr>
          <w:color w:val="231F20"/>
          <w:spacing w:val="-5"/>
          <w:sz w:val="20"/>
        </w:rPr>
        <w:t xml:space="preserve"> </w:t>
      </w:r>
      <w:r>
        <w:rPr>
          <w:color w:val="231F20"/>
          <w:sz w:val="20"/>
        </w:rPr>
        <w:t>using</w:t>
      </w:r>
      <w:r>
        <w:rPr>
          <w:color w:val="231F20"/>
          <w:spacing w:val="-6"/>
          <w:sz w:val="20"/>
        </w:rPr>
        <w:t xml:space="preserve"> </w:t>
      </w:r>
      <w:r>
        <w:rPr>
          <w:color w:val="231F20"/>
          <w:sz w:val="20"/>
        </w:rPr>
        <w:t>the</w:t>
      </w:r>
      <w:r>
        <w:rPr>
          <w:color w:val="231F20"/>
          <w:spacing w:val="-5"/>
          <w:sz w:val="20"/>
        </w:rPr>
        <w:t xml:space="preserve"> </w:t>
      </w:r>
      <w:r>
        <w:rPr>
          <w:color w:val="231F20"/>
          <w:sz w:val="20"/>
        </w:rPr>
        <w:t>criminal</w:t>
      </w:r>
      <w:r>
        <w:rPr>
          <w:color w:val="231F20"/>
          <w:spacing w:val="-5"/>
          <w:sz w:val="20"/>
        </w:rPr>
        <w:t xml:space="preserve"> law.</w:t>
      </w:r>
      <w:r>
        <w:rPr>
          <w:color w:val="231F20"/>
          <w:spacing w:val="-6"/>
          <w:sz w:val="20"/>
        </w:rPr>
        <w:t xml:space="preserve"> </w:t>
      </w:r>
      <w:r>
        <w:rPr>
          <w:color w:val="231F20"/>
          <w:spacing w:val="-3"/>
          <w:sz w:val="20"/>
        </w:rPr>
        <w:t>For</w:t>
      </w:r>
      <w:r>
        <w:rPr>
          <w:color w:val="231F20"/>
          <w:spacing w:val="-5"/>
          <w:sz w:val="20"/>
        </w:rPr>
        <w:t xml:space="preserve"> </w:t>
      </w:r>
      <w:r>
        <w:rPr>
          <w:color w:val="231F20"/>
          <w:spacing w:val="-3"/>
          <w:sz w:val="20"/>
        </w:rPr>
        <w:t>example,</w:t>
      </w:r>
      <w:r>
        <w:rPr>
          <w:color w:val="231F20"/>
          <w:spacing w:val="-5"/>
          <w:sz w:val="20"/>
        </w:rPr>
        <w:t xml:space="preserve"> </w:t>
      </w:r>
      <w:r>
        <w:rPr>
          <w:color w:val="231F20"/>
          <w:sz w:val="20"/>
        </w:rPr>
        <w:t>it</w:t>
      </w:r>
      <w:r>
        <w:rPr>
          <w:color w:val="231F20"/>
          <w:spacing w:val="-6"/>
          <w:sz w:val="20"/>
        </w:rPr>
        <w:t xml:space="preserve"> </w:t>
      </w:r>
      <w:r>
        <w:rPr>
          <w:color w:val="231F20"/>
          <w:sz w:val="20"/>
        </w:rPr>
        <w:t>could</w:t>
      </w:r>
      <w:r>
        <w:rPr>
          <w:color w:val="231F20"/>
          <w:spacing w:val="-5"/>
          <w:sz w:val="20"/>
        </w:rPr>
        <w:t xml:space="preserve"> </w:t>
      </w:r>
      <w:r>
        <w:rPr>
          <w:color w:val="231F20"/>
          <w:sz w:val="20"/>
        </w:rPr>
        <w:t>identify:</w:t>
      </w:r>
    </w:p>
    <w:p w14:paraId="50446E1A" w14:textId="77777777" w:rsidR="00894070" w:rsidRDefault="009B7AFD">
      <w:pPr>
        <w:pStyle w:val="ListParagraph"/>
        <w:numPr>
          <w:ilvl w:val="2"/>
          <w:numId w:val="65"/>
        </w:numPr>
        <w:tabs>
          <w:tab w:val="left" w:pos="2141"/>
          <w:tab w:val="left" w:pos="2142"/>
        </w:tabs>
        <w:spacing w:before="122" w:line="206" w:lineRule="auto"/>
        <w:ind w:right="1312" w:hanging="340"/>
        <w:rPr>
          <w:sz w:val="11"/>
        </w:rPr>
      </w:pPr>
      <w:r>
        <w:rPr>
          <w:color w:val="231F20"/>
          <w:sz w:val="20"/>
        </w:rPr>
        <w:t>opportunities</w:t>
      </w:r>
      <w:r>
        <w:rPr>
          <w:color w:val="231F20"/>
          <w:spacing w:val="-10"/>
          <w:sz w:val="20"/>
        </w:rPr>
        <w:t xml:space="preserve"> </w:t>
      </w:r>
      <w:r>
        <w:rPr>
          <w:color w:val="231F20"/>
          <w:sz w:val="20"/>
        </w:rPr>
        <w:t>to</w:t>
      </w:r>
      <w:r>
        <w:rPr>
          <w:color w:val="231F20"/>
          <w:spacing w:val="-9"/>
          <w:sz w:val="20"/>
        </w:rPr>
        <w:t xml:space="preserve"> </w:t>
      </w:r>
      <w:r>
        <w:rPr>
          <w:color w:val="231F20"/>
          <w:spacing w:val="-3"/>
          <w:sz w:val="20"/>
        </w:rPr>
        <w:t>provide</w:t>
      </w:r>
      <w:r>
        <w:rPr>
          <w:color w:val="231F20"/>
          <w:spacing w:val="-10"/>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10"/>
          <w:sz w:val="20"/>
        </w:rPr>
        <w:t xml:space="preserve"> </w:t>
      </w:r>
      <w:r>
        <w:rPr>
          <w:color w:val="231F20"/>
          <w:sz w:val="20"/>
        </w:rPr>
        <w:t>with</w:t>
      </w:r>
      <w:r>
        <w:rPr>
          <w:color w:val="231F20"/>
          <w:spacing w:val="-9"/>
          <w:sz w:val="20"/>
        </w:rPr>
        <w:t xml:space="preserve"> </w:t>
      </w:r>
      <w:r>
        <w:rPr>
          <w:color w:val="231F20"/>
          <w:sz w:val="20"/>
        </w:rPr>
        <w:t>more</w:t>
      </w:r>
      <w:r>
        <w:rPr>
          <w:color w:val="231F20"/>
          <w:spacing w:val="-9"/>
          <w:sz w:val="20"/>
        </w:rPr>
        <w:t xml:space="preserve"> </w:t>
      </w:r>
      <w:r>
        <w:rPr>
          <w:color w:val="231F20"/>
          <w:sz w:val="20"/>
        </w:rPr>
        <w:t>support,</w:t>
      </w:r>
      <w:r>
        <w:rPr>
          <w:color w:val="231F20"/>
          <w:spacing w:val="-10"/>
          <w:sz w:val="20"/>
        </w:rPr>
        <w:t xml:space="preserve"> </w:t>
      </w:r>
      <w:r>
        <w:rPr>
          <w:color w:val="231F20"/>
          <w:sz w:val="20"/>
        </w:rPr>
        <w:t>if</w:t>
      </w:r>
      <w:r>
        <w:rPr>
          <w:color w:val="231F20"/>
          <w:spacing w:val="-9"/>
          <w:sz w:val="20"/>
        </w:rPr>
        <w:t xml:space="preserve"> </w:t>
      </w:r>
      <w:r>
        <w:rPr>
          <w:color w:val="231F20"/>
          <w:sz w:val="20"/>
        </w:rPr>
        <w:t>lack</w:t>
      </w:r>
      <w:r>
        <w:rPr>
          <w:color w:val="231F20"/>
          <w:spacing w:val="-10"/>
          <w:sz w:val="20"/>
        </w:rPr>
        <w:t xml:space="preserve"> </w:t>
      </w:r>
      <w:r>
        <w:rPr>
          <w:color w:val="231F20"/>
          <w:sz w:val="20"/>
        </w:rPr>
        <w:t>of</w:t>
      </w:r>
      <w:r>
        <w:rPr>
          <w:color w:val="231F20"/>
          <w:spacing w:val="-9"/>
          <w:sz w:val="20"/>
        </w:rPr>
        <w:t xml:space="preserve"> </w:t>
      </w:r>
      <w:r>
        <w:rPr>
          <w:color w:val="231F20"/>
          <w:sz w:val="20"/>
        </w:rPr>
        <w:t>it</w:t>
      </w:r>
      <w:r>
        <w:rPr>
          <w:color w:val="231F20"/>
          <w:spacing w:val="-9"/>
          <w:sz w:val="20"/>
        </w:rPr>
        <w:t xml:space="preserve"> </w:t>
      </w:r>
      <w:r>
        <w:rPr>
          <w:color w:val="231F20"/>
          <w:sz w:val="20"/>
        </w:rPr>
        <w:t>means</w:t>
      </w:r>
      <w:r>
        <w:rPr>
          <w:color w:val="231F20"/>
          <w:spacing w:val="-10"/>
          <w:sz w:val="20"/>
        </w:rPr>
        <w:t xml:space="preserve"> </w:t>
      </w:r>
      <w:r>
        <w:rPr>
          <w:color w:val="231F20"/>
          <w:sz w:val="20"/>
        </w:rPr>
        <w:t>that they</w:t>
      </w:r>
      <w:r>
        <w:rPr>
          <w:color w:val="231F20"/>
          <w:spacing w:val="-9"/>
          <w:sz w:val="20"/>
        </w:rPr>
        <w:t xml:space="preserve"> </w:t>
      </w:r>
      <w:r>
        <w:rPr>
          <w:color w:val="231F20"/>
          <w:spacing w:val="-3"/>
          <w:sz w:val="20"/>
        </w:rPr>
        <w:t>are</w:t>
      </w:r>
      <w:r>
        <w:rPr>
          <w:color w:val="231F20"/>
          <w:spacing w:val="-8"/>
          <w:sz w:val="20"/>
        </w:rPr>
        <w:t xml:space="preserve"> </w:t>
      </w:r>
      <w:r>
        <w:rPr>
          <w:color w:val="231F20"/>
          <w:sz w:val="20"/>
        </w:rPr>
        <w:t>not</w:t>
      </w:r>
      <w:r>
        <w:rPr>
          <w:color w:val="231F20"/>
          <w:spacing w:val="-8"/>
          <w:sz w:val="20"/>
        </w:rPr>
        <w:t xml:space="preserve"> </w:t>
      </w:r>
      <w:r>
        <w:rPr>
          <w:color w:val="231F20"/>
          <w:sz w:val="20"/>
        </w:rPr>
        <w:t>engaging</w:t>
      </w:r>
      <w:r>
        <w:rPr>
          <w:color w:val="231F20"/>
          <w:spacing w:val="-8"/>
          <w:sz w:val="20"/>
        </w:rPr>
        <w:t xml:space="preserve"> </w:t>
      </w:r>
      <w:r>
        <w:rPr>
          <w:color w:val="231F20"/>
          <w:sz w:val="20"/>
        </w:rPr>
        <w:t>with,</w:t>
      </w:r>
      <w:r>
        <w:rPr>
          <w:color w:val="231F20"/>
          <w:spacing w:val="-8"/>
          <w:sz w:val="20"/>
        </w:rPr>
        <w:t xml:space="preserve"> </w:t>
      </w:r>
      <w:r>
        <w:rPr>
          <w:color w:val="231F20"/>
          <w:sz w:val="20"/>
        </w:rPr>
        <w:t>or</w:t>
      </w:r>
      <w:r>
        <w:rPr>
          <w:color w:val="231F20"/>
          <w:spacing w:val="-8"/>
          <w:sz w:val="20"/>
        </w:rPr>
        <w:t xml:space="preserve"> </w:t>
      </w:r>
      <w:r>
        <w:rPr>
          <w:color w:val="231F20"/>
          <w:sz w:val="20"/>
        </w:rPr>
        <w:t>disengaging</w:t>
      </w:r>
      <w:r>
        <w:rPr>
          <w:color w:val="231F20"/>
          <w:spacing w:val="-8"/>
          <w:sz w:val="20"/>
        </w:rPr>
        <w:t xml:space="preserve"> </w:t>
      </w:r>
      <w:r>
        <w:rPr>
          <w:color w:val="231F20"/>
          <w:sz w:val="20"/>
        </w:rPr>
        <w:t>from,</w:t>
      </w:r>
      <w:r>
        <w:rPr>
          <w:color w:val="231F20"/>
          <w:spacing w:val="-8"/>
          <w:sz w:val="20"/>
        </w:rPr>
        <w:t xml:space="preserve"> </w:t>
      </w:r>
      <w:r>
        <w:rPr>
          <w:color w:val="231F20"/>
          <w:sz w:val="20"/>
        </w:rPr>
        <w:t>the</w:t>
      </w:r>
      <w:r>
        <w:rPr>
          <w:color w:val="231F20"/>
          <w:spacing w:val="-8"/>
          <w:sz w:val="20"/>
        </w:rPr>
        <w:t xml:space="preserve"> </w:t>
      </w:r>
      <w:r>
        <w:rPr>
          <w:color w:val="231F20"/>
          <w:sz w:val="20"/>
        </w:rPr>
        <w:t>criminal</w:t>
      </w:r>
      <w:r>
        <w:rPr>
          <w:color w:val="231F20"/>
          <w:spacing w:val="-8"/>
          <w:sz w:val="20"/>
        </w:rPr>
        <w:t xml:space="preserve"> </w:t>
      </w:r>
      <w:r>
        <w:rPr>
          <w:color w:val="231F20"/>
          <w:sz w:val="20"/>
        </w:rPr>
        <w:t>justice</w:t>
      </w:r>
      <w:r>
        <w:rPr>
          <w:color w:val="231F20"/>
          <w:spacing w:val="-8"/>
          <w:sz w:val="20"/>
        </w:rPr>
        <w:t xml:space="preserve"> </w:t>
      </w:r>
      <w:r>
        <w:rPr>
          <w:color w:val="231F20"/>
          <w:sz w:val="20"/>
        </w:rPr>
        <w:t>system</w:t>
      </w:r>
      <w:r>
        <w:rPr>
          <w:color w:val="231F20"/>
          <w:position w:val="7"/>
          <w:sz w:val="11"/>
        </w:rPr>
        <w:t>105</w:t>
      </w:r>
    </w:p>
    <w:p w14:paraId="6C40B655" w14:textId="77777777" w:rsidR="00894070" w:rsidRDefault="009B7AFD">
      <w:pPr>
        <w:pStyle w:val="ListParagraph"/>
        <w:numPr>
          <w:ilvl w:val="2"/>
          <w:numId w:val="65"/>
        </w:numPr>
        <w:tabs>
          <w:tab w:val="left" w:pos="2141"/>
          <w:tab w:val="left" w:pos="2142"/>
        </w:tabs>
        <w:spacing w:before="56" w:line="259" w:lineRule="exact"/>
        <w:ind w:hanging="340"/>
        <w:rPr>
          <w:sz w:val="20"/>
        </w:rPr>
      </w:pPr>
      <w:r>
        <w:rPr>
          <w:color w:val="231F20"/>
          <w:spacing w:val="-3"/>
          <w:sz w:val="20"/>
        </w:rPr>
        <w:t>any</w:t>
      </w:r>
      <w:r>
        <w:rPr>
          <w:color w:val="231F20"/>
          <w:spacing w:val="-7"/>
          <w:sz w:val="20"/>
        </w:rPr>
        <w:t xml:space="preserve"> </w:t>
      </w:r>
      <w:r>
        <w:rPr>
          <w:color w:val="231F20"/>
          <w:sz w:val="20"/>
        </w:rPr>
        <w:t>need</w:t>
      </w:r>
      <w:r>
        <w:rPr>
          <w:color w:val="231F20"/>
          <w:spacing w:val="-6"/>
          <w:sz w:val="20"/>
        </w:rPr>
        <w:t xml:space="preserve"> </w:t>
      </w:r>
      <w:r>
        <w:rPr>
          <w:color w:val="231F20"/>
          <w:sz w:val="20"/>
        </w:rPr>
        <w:t>to</w:t>
      </w:r>
      <w:r>
        <w:rPr>
          <w:color w:val="231F20"/>
          <w:spacing w:val="-6"/>
          <w:sz w:val="20"/>
        </w:rPr>
        <w:t xml:space="preserve"> </w:t>
      </w:r>
      <w:r>
        <w:rPr>
          <w:color w:val="231F20"/>
          <w:sz w:val="20"/>
        </w:rPr>
        <w:t>address</w:t>
      </w:r>
      <w:r>
        <w:rPr>
          <w:color w:val="231F20"/>
          <w:spacing w:val="-6"/>
          <w:sz w:val="20"/>
        </w:rPr>
        <w:t xml:space="preserve"> </w:t>
      </w:r>
      <w:r>
        <w:rPr>
          <w:color w:val="231F20"/>
          <w:sz w:val="20"/>
        </w:rPr>
        <w:t>myths</w:t>
      </w:r>
      <w:r>
        <w:rPr>
          <w:color w:val="231F20"/>
          <w:spacing w:val="-6"/>
          <w:sz w:val="20"/>
        </w:rPr>
        <w:t xml:space="preserve"> </w:t>
      </w:r>
      <w:r>
        <w:rPr>
          <w:color w:val="231F20"/>
          <w:sz w:val="20"/>
        </w:rPr>
        <w:t>that</w:t>
      </w:r>
      <w:r>
        <w:rPr>
          <w:color w:val="231F20"/>
          <w:spacing w:val="-6"/>
          <w:sz w:val="20"/>
        </w:rPr>
        <w:t xml:space="preserve"> </w:t>
      </w:r>
      <w:r>
        <w:rPr>
          <w:color w:val="231F20"/>
          <w:sz w:val="20"/>
        </w:rPr>
        <w:t>might</w:t>
      </w:r>
      <w:r>
        <w:rPr>
          <w:color w:val="231F20"/>
          <w:spacing w:val="-6"/>
          <w:sz w:val="20"/>
        </w:rPr>
        <w:t xml:space="preserve"> </w:t>
      </w:r>
      <w:r>
        <w:rPr>
          <w:color w:val="231F20"/>
          <w:sz w:val="20"/>
        </w:rPr>
        <w:t>influence</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way</w:t>
      </w:r>
      <w:r>
        <w:rPr>
          <w:color w:val="231F20"/>
          <w:spacing w:val="-6"/>
          <w:sz w:val="20"/>
        </w:rPr>
        <w:t xml:space="preserve"> </w:t>
      </w:r>
      <w:r>
        <w:rPr>
          <w:color w:val="231F20"/>
          <w:sz w:val="20"/>
        </w:rPr>
        <w:t>police</w:t>
      </w:r>
      <w:r>
        <w:rPr>
          <w:color w:val="231F20"/>
          <w:spacing w:val="-6"/>
          <w:sz w:val="20"/>
        </w:rPr>
        <w:t xml:space="preserve"> </w:t>
      </w:r>
      <w:r>
        <w:rPr>
          <w:color w:val="231F20"/>
          <w:sz w:val="20"/>
        </w:rPr>
        <w:t>and</w:t>
      </w:r>
      <w:r>
        <w:rPr>
          <w:color w:val="231F20"/>
          <w:spacing w:val="-6"/>
          <w:sz w:val="20"/>
        </w:rPr>
        <w:t xml:space="preserve"> </w:t>
      </w:r>
      <w:r>
        <w:rPr>
          <w:color w:val="231F20"/>
          <w:sz w:val="20"/>
        </w:rPr>
        <w:t>prosecuting</w:t>
      </w:r>
    </w:p>
    <w:p w14:paraId="099FC162" w14:textId="77777777" w:rsidR="00894070" w:rsidRDefault="009B7AFD">
      <w:pPr>
        <w:pStyle w:val="BodyText"/>
        <w:spacing w:line="259" w:lineRule="exact"/>
        <w:ind w:left="2141"/>
        <w:rPr>
          <w:sz w:val="11"/>
        </w:rPr>
      </w:pPr>
      <w:r>
        <w:rPr>
          <w:color w:val="231F20"/>
        </w:rPr>
        <w:t>lawyers respond to stalking</w:t>
      </w:r>
      <w:r>
        <w:rPr>
          <w:color w:val="231F20"/>
          <w:position w:val="7"/>
          <w:sz w:val="11"/>
        </w:rPr>
        <w:t>106</w:t>
      </w:r>
    </w:p>
    <w:p w14:paraId="50CA92A9" w14:textId="77777777" w:rsidR="00894070" w:rsidRDefault="009B7AFD">
      <w:pPr>
        <w:pStyle w:val="ListParagraph"/>
        <w:numPr>
          <w:ilvl w:val="2"/>
          <w:numId w:val="65"/>
        </w:numPr>
        <w:tabs>
          <w:tab w:val="left" w:pos="2141"/>
          <w:tab w:val="left" w:pos="2142"/>
        </w:tabs>
        <w:spacing w:before="79" w:line="206" w:lineRule="auto"/>
        <w:ind w:right="1473" w:hanging="340"/>
        <w:rPr>
          <w:sz w:val="11"/>
        </w:rPr>
      </w:pPr>
      <w:r>
        <w:rPr>
          <w:color w:val="231F20"/>
          <w:spacing w:val="-4"/>
          <w:sz w:val="20"/>
        </w:rPr>
        <w:t>ways</w:t>
      </w:r>
      <w:r>
        <w:rPr>
          <w:color w:val="231F20"/>
          <w:spacing w:val="-6"/>
          <w:sz w:val="20"/>
        </w:rPr>
        <w:t xml:space="preserve"> </w:t>
      </w:r>
      <w:r>
        <w:rPr>
          <w:color w:val="231F20"/>
          <w:sz w:val="20"/>
        </w:rPr>
        <w:t>of</w:t>
      </w:r>
      <w:r>
        <w:rPr>
          <w:color w:val="231F20"/>
          <w:spacing w:val="-6"/>
          <w:sz w:val="20"/>
        </w:rPr>
        <w:t xml:space="preserve"> </w:t>
      </w:r>
      <w:r>
        <w:rPr>
          <w:color w:val="231F20"/>
          <w:spacing w:val="-3"/>
          <w:sz w:val="20"/>
        </w:rPr>
        <w:t>improving</w:t>
      </w:r>
      <w:r>
        <w:rPr>
          <w:color w:val="231F20"/>
          <w:spacing w:val="-6"/>
          <w:sz w:val="20"/>
        </w:rPr>
        <w:t xml:space="preserve"> </w:t>
      </w:r>
      <w:r>
        <w:rPr>
          <w:color w:val="231F20"/>
          <w:sz w:val="20"/>
        </w:rPr>
        <w:t>capability</w:t>
      </w:r>
      <w:r>
        <w:rPr>
          <w:color w:val="231F20"/>
          <w:spacing w:val="-6"/>
          <w:sz w:val="20"/>
        </w:rPr>
        <w:t xml:space="preserve"> </w:t>
      </w:r>
      <w:r>
        <w:rPr>
          <w:color w:val="231F20"/>
          <w:sz w:val="20"/>
        </w:rPr>
        <w:t>or</w:t>
      </w:r>
      <w:r>
        <w:rPr>
          <w:color w:val="231F20"/>
          <w:spacing w:val="-6"/>
          <w:sz w:val="20"/>
        </w:rPr>
        <w:t xml:space="preserve"> </w:t>
      </w:r>
      <w:r>
        <w:rPr>
          <w:color w:val="231F20"/>
          <w:sz w:val="20"/>
        </w:rPr>
        <w:t>the</w:t>
      </w:r>
      <w:r>
        <w:rPr>
          <w:color w:val="231F20"/>
          <w:spacing w:val="-5"/>
          <w:sz w:val="20"/>
        </w:rPr>
        <w:t xml:space="preserve"> </w:t>
      </w:r>
      <w:r>
        <w:rPr>
          <w:color w:val="231F20"/>
          <w:spacing w:val="-3"/>
          <w:sz w:val="20"/>
        </w:rPr>
        <w:t>resourcing</w:t>
      </w:r>
      <w:r>
        <w:rPr>
          <w:color w:val="231F20"/>
          <w:spacing w:val="-6"/>
          <w:sz w:val="20"/>
        </w:rPr>
        <w:t xml:space="preserve"> </w:t>
      </w:r>
      <w:r>
        <w:rPr>
          <w:color w:val="231F20"/>
          <w:sz w:val="20"/>
        </w:rPr>
        <w:t>available</w:t>
      </w:r>
      <w:r>
        <w:rPr>
          <w:color w:val="231F20"/>
          <w:spacing w:val="-6"/>
          <w:sz w:val="20"/>
        </w:rPr>
        <w:t xml:space="preserve"> </w:t>
      </w:r>
      <w:r>
        <w:rPr>
          <w:color w:val="231F20"/>
          <w:sz w:val="20"/>
        </w:rPr>
        <w:t>to</w:t>
      </w:r>
      <w:r>
        <w:rPr>
          <w:color w:val="231F20"/>
          <w:spacing w:val="-6"/>
          <w:sz w:val="20"/>
        </w:rPr>
        <w:t xml:space="preserve"> </w:t>
      </w:r>
      <w:r>
        <w:rPr>
          <w:color w:val="231F20"/>
          <w:sz w:val="20"/>
        </w:rPr>
        <w:t>police</w:t>
      </w:r>
      <w:r>
        <w:rPr>
          <w:color w:val="231F20"/>
          <w:spacing w:val="-6"/>
          <w:sz w:val="20"/>
        </w:rPr>
        <w:t xml:space="preserve"> </w:t>
      </w:r>
      <w:r>
        <w:rPr>
          <w:color w:val="231F20"/>
          <w:sz w:val="20"/>
        </w:rPr>
        <w:t>in</w:t>
      </w:r>
      <w:r>
        <w:rPr>
          <w:color w:val="231F20"/>
          <w:spacing w:val="-6"/>
          <w:sz w:val="20"/>
        </w:rPr>
        <w:t xml:space="preserve"> </w:t>
      </w:r>
      <w:r>
        <w:rPr>
          <w:color w:val="231F20"/>
          <w:spacing w:val="-3"/>
          <w:sz w:val="20"/>
        </w:rPr>
        <w:t xml:space="preserve">investigating </w:t>
      </w:r>
      <w:r>
        <w:rPr>
          <w:color w:val="231F20"/>
          <w:sz w:val="20"/>
        </w:rPr>
        <w:t>stalking</w:t>
      </w:r>
      <w:r>
        <w:rPr>
          <w:color w:val="231F20"/>
          <w:spacing w:val="-5"/>
          <w:sz w:val="20"/>
        </w:rPr>
        <w:t xml:space="preserve"> </w:t>
      </w:r>
      <w:r>
        <w:rPr>
          <w:color w:val="231F20"/>
          <w:sz w:val="20"/>
        </w:rPr>
        <w:t>offences</w:t>
      </w:r>
      <w:r>
        <w:rPr>
          <w:color w:val="231F20"/>
          <w:position w:val="7"/>
          <w:sz w:val="11"/>
        </w:rPr>
        <w:t>107</w:t>
      </w:r>
    </w:p>
    <w:p w14:paraId="066930DE" w14:textId="77777777" w:rsidR="00894070" w:rsidRDefault="00894070">
      <w:pPr>
        <w:pStyle w:val="BodyText"/>
      </w:pPr>
    </w:p>
    <w:p w14:paraId="0C847577" w14:textId="77777777" w:rsidR="00894070" w:rsidRDefault="009F6793">
      <w:pPr>
        <w:pStyle w:val="BodyText"/>
        <w:spacing w:before="10"/>
        <w:rPr>
          <w:sz w:val="15"/>
        </w:rPr>
      </w:pPr>
      <w:r>
        <w:pict w14:anchorId="411BBF4E">
          <v:line id="_x0000_s1198" style="position:absolute;z-index:251736064;mso-wrap-distance-left:0;mso-wrap-distance-right:0;mso-position-horizontal-relative:page" from="79.35pt,13.35pt" to="515.9pt,13.35pt" strokecolor="#f8cabc" strokeweight="1pt">
            <w10:wrap type="topAndBottom" anchorx="page"/>
          </v:line>
        </w:pict>
      </w:r>
    </w:p>
    <w:p w14:paraId="509B0E47" w14:textId="77777777" w:rsidR="00894070" w:rsidRDefault="00894070">
      <w:pPr>
        <w:pStyle w:val="BodyText"/>
        <w:rPr>
          <w:sz w:val="5"/>
        </w:rPr>
      </w:pPr>
    </w:p>
    <w:p w14:paraId="677F8E89" w14:textId="77777777" w:rsidR="00894070" w:rsidRDefault="00894070">
      <w:pPr>
        <w:rPr>
          <w:sz w:val="5"/>
        </w:rPr>
        <w:sectPr w:rsidR="00894070">
          <w:pgSz w:w="11910" w:h="16840"/>
          <w:pgMar w:top="840" w:right="420" w:bottom="280" w:left="580" w:header="0" w:footer="0" w:gutter="0"/>
          <w:cols w:space="720"/>
        </w:sectPr>
      </w:pPr>
    </w:p>
    <w:p w14:paraId="238C0852" w14:textId="77777777" w:rsidR="00894070" w:rsidRDefault="009B7AFD">
      <w:pPr>
        <w:pStyle w:val="ListParagraph"/>
        <w:numPr>
          <w:ilvl w:val="0"/>
          <w:numId w:val="51"/>
        </w:numPr>
        <w:tabs>
          <w:tab w:val="left" w:pos="1801"/>
          <w:tab w:val="left" w:pos="1802"/>
        </w:tabs>
        <w:spacing w:before="38" w:line="213" w:lineRule="auto"/>
        <w:jc w:val="left"/>
        <w:rPr>
          <w:sz w:val="13"/>
        </w:rPr>
      </w:pPr>
      <w:r>
        <w:rPr>
          <w:color w:val="231F20"/>
          <w:sz w:val="13"/>
        </w:rPr>
        <w:t xml:space="preserve">Consultations 18 (County </w:t>
      </w:r>
      <w:r>
        <w:rPr>
          <w:color w:val="231F20"/>
          <w:spacing w:val="2"/>
          <w:sz w:val="13"/>
        </w:rPr>
        <w:t xml:space="preserve">Court </w:t>
      </w:r>
      <w:r>
        <w:rPr>
          <w:color w:val="231F20"/>
          <w:sz w:val="13"/>
        </w:rPr>
        <w:t xml:space="preserve">of Victoria), 28 (Victorian Pride Lobby); Leana A Bouffard et </w:t>
      </w:r>
      <w:r>
        <w:rPr>
          <w:color w:val="231F20"/>
          <w:spacing w:val="2"/>
          <w:sz w:val="13"/>
        </w:rPr>
        <w:t xml:space="preserve">al, </w:t>
      </w:r>
      <w:r>
        <w:rPr>
          <w:color w:val="231F20"/>
          <w:sz w:val="13"/>
        </w:rPr>
        <w:t xml:space="preserve">‘Still in the Shadows: The Unresponsiveness of Stalking Prosecution Rates to Increased Legislative Attention’ (2021) 73 </w:t>
      </w:r>
      <w:r>
        <w:rPr>
          <w:i/>
          <w:color w:val="231F20"/>
          <w:sz w:val="13"/>
        </w:rPr>
        <w:t xml:space="preserve">Journal of Criminal Justice </w:t>
      </w:r>
      <w:r>
        <w:rPr>
          <w:color w:val="231F20"/>
          <w:sz w:val="13"/>
        </w:rPr>
        <w:t xml:space="preserve">101794:1–10, 2; 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Anti-Stalking Legislation in Victoria, Australia’ (PhD Thesis, Monash University, 2018)</w:t>
      </w:r>
      <w:r>
        <w:rPr>
          <w:color w:val="231F20"/>
          <w:spacing w:val="1"/>
          <w:sz w:val="13"/>
        </w:rPr>
        <w:t xml:space="preserve"> </w:t>
      </w:r>
      <w:r>
        <w:rPr>
          <w:color w:val="231F20"/>
          <w:spacing w:val="2"/>
          <w:sz w:val="13"/>
        </w:rPr>
        <w:t>89.</w:t>
      </w:r>
    </w:p>
    <w:p w14:paraId="4E27F081" w14:textId="77777777" w:rsidR="00894070" w:rsidRDefault="009B7AFD">
      <w:pPr>
        <w:pStyle w:val="ListParagraph"/>
        <w:numPr>
          <w:ilvl w:val="0"/>
          <w:numId w:val="51"/>
        </w:numPr>
        <w:tabs>
          <w:tab w:val="left" w:pos="1801"/>
          <w:tab w:val="left" w:pos="1802"/>
        </w:tabs>
        <w:spacing w:line="213" w:lineRule="auto"/>
        <w:ind w:right="133"/>
        <w:jc w:val="left"/>
        <w:rPr>
          <w:sz w:val="13"/>
        </w:rPr>
      </w:pPr>
      <w:r>
        <w:rPr>
          <w:color w:val="231F20"/>
          <w:sz w:val="13"/>
        </w:rPr>
        <w:t xml:space="preserve">Consultation 2 (Children’s </w:t>
      </w:r>
      <w:r>
        <w:rPr>
          <w:color w:val="231F20"/>
          <w:spacing w:val="2"/>
          <w:sz w:val="13"/>
        </w:rPr>
        <w:t xml:space="preserve">Court </w:t>
      </w:r>
      <w:r>
        <w:rPr>
          <w:color w:val="231F20"/>
          <w:sz w:val="13"/>
        </w:rPr>
        <w:t xml:space="preserve">of Victoria (No 1)); 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of Anti-Stalking Legislation in Victoria, Australia’ (PhD Thesis, Monash University, 2018)</w:t>
      </w:r>
      <w:r>
        <w:rPr>
          <w:color w:val="231F20"/>
          <w:spacing w:val="9"/>
          <w:sz w:val="13"/>
        </w:rPr>
        <w:t xml:space="preserve"> </w:t>
      </w:r>
      <w:r>
        <w:rPr>
          <w:color w:val="231F20"/>
          <w:spacing w:val="2"/>
          <w:sz w:val="13"/>
        </w:rPr>
        <w:t>89.</w:t>
      </w:r>
    </w:p>
    <w:p w14:paraId="6D425FF9" w14:textId="77777777" w:rsidR="00894070" w:rsidRDefault="009B7AFD">
      <w:pPr>
        <w:pStyle w:val="ListParagraph"/>
        <w:numPr>
          <w:ilvl w:val="0"/>
          <w:numId w:val="51"/>
        </w:numPr>
        <w:tabs>
          <w:tab w:val="left" w:pos="1801"/>
          <w:tab w:val="left" w:pos="1802"/>
        </w:tabs>
        <w:spacing w:line="152" w:lineRule="exact"/>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 Party); Consultation 19 (Community legal sector</w:t>
      </w:r>
      <w:r>
        <w:rPr>
          <w:color w:val="231F20"/>
          <w:spacing w:val="16"/>
          <w:sz w:val="13"/>
        </w:rPr>
        <w:t xml:space="preserve"> </w:t>
      </w:r>
      <w:r>
        <w:rPr>
          <w:color w:val="231F20"/>
          <w:sz w:val="13"/>
        </w:rPr>
        <w:t>roundtable).</w:t>
      </w:r>
    </w:p>
    <w:p w14:paraId="2668CEDE" w14:textId="77777777" w:rsidR="00894070" w:rsidRDefault="009B7AFD">
      <w:pPr>
        <w:pStyle w:val="ListParagraph"/>
        <w:numPr>
          <w:ilvl w:val="0"/>
          <w:numId w:val="51"/>
        </w:numPr>
        <w:tabs>
          <w:tab w:val="left" w:pos="1800"/>
          <w:tab w:val="left" w:pos="1802"/>
        </w:tabs>
        <w:spacing w:line="160" w:lineRule="exact"/>
        <w:jc w:val="left"/>
        <w:rPr>
          <w:sz w:val="13"/>
        </w:rPr>
      </w:pPr>
      <w:r>
        <w:rPr>
          <w:color w:val="231F20"/>
          <w:spacing w:val="2"/>
          <w:sz w:val="13"/>
        </w:rPr>
        <w:t>Submission</w:t>
      </w:r>
      <w:r>
        <w:rPr>
          <w:color w:val="231F20"/>
          <w:spacing w:val="9"/>
          <w:sz w:val="13"/>
        </w:rPr>
        <w:t xml:space="preserve"> </w:t>
      </w:r>
      <w:r>
        <w:rPr>
          <w:color w:val="231F20"/>
          <w:sz w:val="13"/>
        </w:rPr>
        <w:t>56</w:t>
      </w:r>
      <w:r>
        <w:rPr>
          <w:color w:val="231F20"/>
          <w:spacing w:val="9"/>
          <w:sz w:val="13"/>
        </w:rPr>
        <w:t xml:space="preserve"> </w:t>
      </w:r>
      <w:r>
        <w:rPr>
          <w:color w:val="231F20"/>
          <w:spacing w:val="2"/>
          <w:sz w:val="13"/>
        </w:rPr>
        <w:t>(Derryn</w:t>
      </w:r>
      <w:r>
        <w:rPr>
          <w:color w:val="231F20"/>
          <w:spacing w:val="10"/>
          <w:sz w:val="13"/>
        </w:rPr>
        <w:t xml:space="preserve"> </w:t>
      </w:r>
      <w:r>
        <w:rPr>
          <w:color w:val="231F20"/>
          <w:sz w:val="13"/>
        </w:rPr>
        <w:t>Hinch’s</w:t>
      </w:r>
      <w:r>
        <w:rPr>
          <w:color w:val="231F20"/>
          <w:spacing w:val="9"/>
          <w:sz w:val="13"/>
        </w:rPr>
        <w:t xml:space="preserve"> </w:t>
      </w:r>
      <w:r>
        <w:rPr>
          <w:color w:val="231F20"/>
          <w:sz w:val="13"/>
        </w:rPr>
        <w:t>Justice</w:t>
      </w:r>
      <w:r>
        <w:rPr>
          <w:color w:val="231F20"/>
          <w:spacing w:val="9"/>
          <w:sz w:val="13"/>
        </w:rPr>
        <w:t xml:space="preserve"> </w:t>
      </w:r>
      <w:r>
        <w:rPr>
          <w:color w:val="231F20"/>
          <w:sz w:val="13"/>
        </w:rPr>
        <w:t>Party);</w:t>
      </w:r>
      <w:r>
        <w:rPr>
          <w:color w:val="231F20"/>
          <w:spacing w:val="10"/>
          <w:sz w:val="13"/>
        </w:rPr>
        <w:t xml:space="preserve"> </w:t>
      </w:r>
      <w:r>
        <w:rPr>
          <w:color w:val="231F20"/>
          <w:sz w:val="13"/>
        </w:rPr>
        <w:t>Consultation</w:t>
      </w:r>
      <w:r>
        <w:rPr>
          <w:color w:val="231F20"/>
          <w:spacing w:val="9"/>
          <w:sz w:val="13"/>
        </w:rPr>
        <w:t xml:space="preserve"> </w:t>
      </w:r>
      <w:r>
        <w:rPr>
          <w:color w:val="231F20"/>
          <w:sz w:val="13"/>
        </w:rPr>
        <w:t>13</w:t>
      </w:r>
      <w:r>
        <w:rPr>
          <w:color w:val="231F20"/>
          <w:spacing w:val="9"/>
          <w:sz w:val="13"/>
        </w:rPr>
        <w:t xml:space="preserve"> </w:t>
      </w:r>
      <w:r>
        <w:rPr>
          <w:color w:val="231F20"/>
          <w:sz w:val="13"/>
        </w:rPr>
        <w:t>(Victoria</w:t>
      </w:r>
      <w:r>
        <w:rPr>
          <w:color w:val="231F20"/>
          <w:spacing w:val="10"/>
          <w:sz w:val="13"/>
        </w:rPr>
        <w:t xml:space="preserve"> </w:t>
      </w:r>
      <w:r>
        <w:rPr>
          <w:color w:val="231F20"/>
          <w:sz w:val="13"/>
        </w:rPr>
        <w:t>Legal</w:t>
      </w:r>
      <w:r>
        <w:rPr>
          <w:color w:val="231F20"/>
          <w:spacing w:val="9"/>
          <w:sz w:val="13"/>
        </w:rPr>
        <w:t xml:space="preserve"> </w:t>
      </w:r>
      <w:r>
        <w:rPr>
          <w:color w:val="231F20"/>
          <w:sz w:val="13"/>
        </w:rPr>
        <w:t>Aid).</w:t>
      </w:r>
    </w:p>
    <w:p w14:paraId="1DD4D46C" w14:textId="77777777" w:rsidR="00894070" w:rsidRDefault="009B7AFD">
      <w:pPr>
        <w:pStyle w:val="ListParagraph"/>
        <w:numPr>
          <w:ilvl w:val="0"/>
          <w:numId w:val="51"/>
        </w:numPr>
        <w:tabs>
          <w:tab w:val="left" w:pos="1801"/>
          <w:tab w:val="left" w:pos="1802"/>
        </w:tabs>
        <w:spacing w:before="4" w:line="213" w:lineRule="auto"/>
        <w:ind w:right="67"/>
        <w:jc w:val="left"/>
        <w:rPr>
          <w:sz w:val="13"/>
        </w:rPr>
      </w:pPr>
      <w:r>
        <w:rPr>
          <w:color w:val="231F20"/>
          <w:sz w:val="13"/>
        </w:rPr>
        <w:t xml:space="preserve">Michelle Weller, Lorraine Hope and Lorraine </w:t>
      </w:r>
      <w:r>
        <w:rPr>
          <w:color w:val="231F20"/>
          <w:spacing w:val="2"/>
          <w:sz w:val="13"/>
        </w:rPr>
        <w:t xml:space="preserve">Sheridan, </w:t>
      </w:r>
      <w:r>
        <w:rPr>
          <w:color w:val="231F20"/>
          <w:sz w:val="13"/>
        </w:rPr>
        <w:t xml:space="preserve">‘Police and </w:t>
      </w:r>
      <w:r>
        <w:rPr>
          <w:color w:val="231F20"/>
          <w:spacing w:val="2"/>
          <w:sz w:val="13"/>
        </w:rPr>
        <w:t xml:space="preserve">Public </w:t>
      </w:r>
      <w:r>
        <w:rPr>
          <w:color w:val="231F20"/>
          <w:sz w:val="13"/>
        </w:rPr>
        <w:t xml:space="preserve">Perceptions of Stalking: The Role of Prior Victim– Offender Relationship’ (2013) 28(2) </w:t>
      </w:r>
      <w:r>
        <w:rPr>
          <w:i/>
          <w:color w:val="231F20"/>
          <w:sz w:val="13"/>
        </w:rPr>
        <w:t xml:space="preserve">Journal of Interpersonal Violence </w:t>
      </w:r>
      <w:r>
        <w:rPr>
          <w:color w:val="231F20"/>
          <w:sz w:val="13"/>
        </w:rPr>
        <w:t>320,</w:t>
      </w:r>
      <w:r>
        <w:rPr>
          <w:color w:val="231F20"/>
          <w:spacing w:val="8"/>
          <w:sz w:val="13"/>
        </w:rPr>
        <w:t xml:space="preserve"> </w:t>
      </w:r>
      <w:r>
        <w:rPr>
          <w:color w:val="231F20"/>
          <w:sz w:val="13"/>
        </w:rPr>
        <w:t>330.</w:t>
      </w:r>
    </w:p>
    <w:p w14:paraId="08E5E870" w14:textId="77777777" w:rsidR="00894070" w:rsidRDefault="009B7AFD">
      <w:pPr>
        <w:pStyle w:val="ListParagraph"/>
        <w:numPr>
          <w:ilvl w:val="0"/>
          <w:numId w:val="51"/>
        </w:numPr>
        <w:tabs>
          <w:tab w:val="left" w:pos="1801"/>
          <w:tab w:val="left" w:pos="1802"/>
        </w:tabs>
        <w:spacing w:line="153" w:lineRule="exact"/>
        <w:jc w:val="left"/>
        <w:rPr>
          <w:sz w:val="13"/>
        </w:rPr>
      </w:pPr>
      <w:r>
        <w:rPr>
          <w:color w:val="231F20"/>
          <w:sz w:val="13"/>
        </w:rPr>
        <w:t xml:space="preserve">Consultation 21 (Small group meeting on </w:t>
      </w:r>
      <w:r>
        <w:rPr>
          <w:color w:val="231F20"/>
          <w:spacing w:val="2"/>
          <w:sz w:val="13"/>
        </w:rPr>
        <w:t xml:space="preserve">stalking </w:t>
      </w:r>
      <w:r>
        <w:rPr>
          <w:color w:val="231F20"/>
          <w:sz w:val="13"/>
        </w:rPr>
        <w:t>and women with</w:t>
      </w:r>
      <w:r>
        <w:rPr>
          <w:color w:val="231F20"/>
          <w:spacing w:val="8"/>
          <w:sz w:val="13"/>
        </w:rPr>
        <w:t xml:space="preserve"> </w:t>
      </w:r>
      <w:r>
        <w:rPr>
          <w:color w:val="231F20"/>
          <w:sz w:val="13"/>
        </w:rPr>
        <w:t>disabilities).</w:t>
      </w:r>
    </w:p>
    <w:p w14:paraId="7712C2D0" w14:textId="77777777" w:rsidR="00894070" w:rsidRDefault="009B7AFD">
      <w:pPr>
        <w:pStyle w:val="ListParagraph"/>
        <w:numPr>
          <w:ilvl w:val="0"/>
          <w:numId w:val="51"/>
        </w:numPr>
        <w:tabs>
          <w:tab w:val="left" w:pos="1801"/>
          <w:tab w:val="left" w:pos="1802"/>
        </w:tabs>
        <w:spacing w:line="160" w:lineRule="exact"/>
        <w:jc w:val="left"/>
        <w:rPr>
          <w:sz w:val="13"/>
        </w:rPr>
      </w:pPr>
      <w:r>
        <w:rPr>
          <w:color w:val="231F20"/>
          <w:sz w:val="13"/>
        </w:rPr>
        <w:t>Consultation 25 (Victoria Police (No</w:t>
      </w:r>
      <w:r>
        <w:rPr>
          <w:color w:val="231F20"/>
          <w:spacing w:val="1"/>
          <w:sz w:val="13"/>
        </w:rPr>
        <w:t xml:space="preserve"> </w:t>
      </w:r>
      <w:r>
        <w:rPr>
          <w:color w:val="231F20"/>
          <w:sz w:val="13"/>
        </w:rPr>
        <w:t>2)).</w:t>
      </w:r>
    </w:p>
    <w:p w14:paraId="25C89342" w14:textId="77777777" w:rsidR="00894070" w:rsidRDefault="009B7AFD">
      <w:pPr>
        <w:pStyle w:val="ListParagraph"/>
        <w:numPr>
          <w:ilvl w:val="0"/>
          <w:numId w:val="51"/>
        </w:numPr>
        <w:tabs>
          <w:tab w:val="left" w:pos="1801"/>
          <w:tab w:val="left" w:pos="1802"/>
        </w:tabs>
        <w:spacing w:line="160" w:lineRule="exact"/>
        <w:jc w:val="lef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 2022)</w:t>
      </w:r>
      <w:r>
        <w:rPr>
          <w:color w:val="231F20"/>
          <w:spacing w:val="13"/>
          <w:sz w:val="13"/>
        </w:rPr>
        <w:t xml:space="preserve"> </w:t>
      </w:r>
      <w:r>
        <w:rPr>
          <w:color w:val="231F20"/>
          <w:spacing w:val="2"/>
          <w:sz w:val="13"/>
        </w:rPr>
        <w:t>[2.25].</w:t>
      </w:r>
    </w:p>
    <w:p w14:paraId="1AC621D2" w14:textId="77777777" w:rsidR="00894070" w:rsidRDefault="009B7AFD">
      <w:pPr>
        <w:pStyle w:val="ListParagraph"/>
        <w:numPr>
          <w:ilvl w:val="0"/>
          <w:numId w:val="51"/>
        </w:numPr>
        <w:tabs>
          <w:tab w:val="left" w:pos="1801"/>
          <w:tab w:val="left" w:pos="1802"/>
        </w:tabs>
        <w:spacing w:line="160" w:lineRule="exact"/>
        <w:jc w:val="lef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3E0C3CC5" w14:textId="77777777" w:rsidR="00894070" w:rsidRDefault="009B7AFD">
      <w:pPr>
        <w:pStyle w:val="ListParagraph"/>
        <w:numPr>
          <w:ilvl w:val="0"/>
          <w:numId w:val="51"/>
        </w:numPr>
        <w:tabs>
          <w:tab w:val="left" w:pos="1801"/>
          <w:tab w:val="left" w:pos="1802"/>
        </w:tabs>
        <w:spacing w:line="160" w:lineRule="exact"/>
        <w:jc w:val="left"/>
        <w:rPr>
          <w:sz w:val="13"/>
        </w:rPr>
      </w:pPr>
      <w:r>
        <w:rPr>
          <w:color w:val="231F20"/>
          <w:sz w:val="13"/>
        </w:rPr>
        <w:t>Ibid.</w:t>
      </w:r>
    </w:p>
    <w:p w14:paraId="76843658" w14:textId="77777777" w:rsidR="00894070" w:rsidRDefault="009B7AFD">
      <w:pPr>
        <w:pStyle w:val="ListParagraph"/>
        <w:numPr>
          <w:ilvl w:val="0"/>
          <w:numId w:val="51"/>
        </w:numPr>
        <w:tabs>
          <w:tab w:val="left" w:pos="1800"/>
          <w:tab w:val="left" w:pos="1802"/>
        </w:tabs>
        <w:spacing w:line="170" w:lineRule="exact"/>
        <w:jc w:val="left"/>
        <w:rPr>
          <w:sz w:val="13"/>
        </w:rPr>
      </w:pPr>
      <w:r>
        <w:rPr>
          <w:color w:val="231F20"/>
          <w:sz w:val="13"/>
        </w:rPr>
        <w:t>Ibid.</w:t>
      </w:r>
    </w:p>
    <w:p w14:paraId="4925B392" w14:textId="77777777" w:rsidR="00894070" w:rsidRDefault="009B7AFD">
      <w:pPr>
        <w:pStyle w:val="BodyText"/>
        <w:rPr>
          <w:sz w:val="28"/>
        </w:rPr>
      </w:pPr>
      <w:r>
        <w:br w:type="column"/>
      </w:r>
    </w:p>
    <w:p w14:paraId="4666CD91" w14:textId="77777777" w:rsidR="00894070" w:rsidRDefault="00894070">
      <w:pPr>
        <w:pStyle w:val="BodyText"/>
        <w:rPr>
          <w:sz w:val="28"/>
        </w:rPr>
      </w:pPr>
    </w:p>
    <w:p w14:paraId="70E9123C" w14:textId="77777777" w:rsidR="00894070" w:rsidRDefault="00894070">
      <w:pPr>
        <w:pStyle w:val="BodyText"/>
        <w:rPr>
          <w:sz w:val="28"/>
        </w:rPr>
      </w:pPr>
    </w:p>
    <w:p w14:paraId="386D6A7A" w14:textId="77777777" w:rsidR="00894070" w:rsidRDefault="00894070">
      <w:pPr>
        <w:pStyle w:val="BodyText"/>
        <w:rPr>
          <w:sz w:val="28"/>
        </w:rPr>
      </w:pPr>
    </w:p>
    <w:p w14:paraId="589AACB3" w14:textId="77777777" w:rsidR="00894070" w:rsidRDefault="00894070">
      <w:pPr>
        <w:pStyle w:val="BodyText"/>
        <w:rPr>
          <w:sz w:val="28"/>
        </w:rPr>
      </w:pPr>
    </w:p>
    <w:p w14:paraId="40E03BD3" w14:textId="77777777" w:rsidR="00894070" w:rsidRDefault="00894070">
      <w:pPr>
        <w:pStyle w:val="BodyText"/>
        <w:spacing w:before="4"/>
        <w:rPr>
          <w:sz w:val="25"/>
        </w:rPr>
      </w:pPr>
    </w:p>
    <w:p w14:paraId="7563DD99" w14:textId="77777777" w:rsidR="00894070" w:rsidRDefault="009B7AFD">
      <w:pPr>
        <w:pStyle w:val="Heading8"/>
        <w:ind w:left="899"/>
      </w:pPr>
      <w:r>
        <w:rPr>
          <w:color w:val="EA5B50"/>
        </w:rPr>
        <w:t>145</w:t>
      </w:r>
    </w:p>
    <w:p w14:paraId="13392F85" w14:textId="77777777" w:rsidR="00894070" w:rsidRDefault="00894070">
      <w:pPr>
        <w:sectPr w:rsidR="00894070">
          <w:type w:val="continuous"/>
          <w:pgSz w:w="11910" w:h="16840"/>
          <w:pgMar w:top="560" w:right="420" w:bottom="280" w:left="580" w:header="720" w:footer="720" w:gutter="0"/>
          <w:cols w:num="2" w:space="720" w:equalWidth="0">
            <w:col w:w="9398" w:space="40"/>
            <w:col w:w="1472"/>
          </w:cols>
        </w:sectPr>
      </w:pPr>
    </w:p>
    <w:p w14:paraId="13E0BB64" w14:textId="77777777" w:rsidR="00894070" w:rsidRDefault="00894070">
      <w:pPr>
        <w:pStyle w:val="BodyText"/>
        <w:rPr>
          <w:b/>
        </w:rPr>
      </w:pPr>
    </w:p>
    <w:p w14:paraId="2F81960A" w14:textId="77777777" w:rsidR="00894070" w:rsidRDefault="00894070">
      <w:pPr>
        <w:pStyle w:val="BodyText"/>
        <w:rPr>
          <w:b/>
        </w:rPr>
      </w:pPr>
    </w:p>
    <w:p w14:paraId="1965C5A4" w14:textId="77777777" w:rsidR="00894070" w:rsidRDefault="00894070">
      <w:pPr>
        <w:pStyle w:val="BodyText"/>
        <w:rPr>
          <w:b/>
        </w:rPr>
      </w:pPr>
    </w:p>
    <w:p w14:paraId="705BED68" w14:textId="77777777" w:rsidR="00894070" w:rsidRDefault="00894070">
      <w:pPr>
        <w:pStyle w:val="BodyText"/>
        <w:spacing w:before="11"/>
        <w:rPr>
          <w:b/>
          <w:sz w:val="18"/>
        </w:rPr>
      </w:pPr>
    </w:p>
    <w:p w14:paraId="11AF9DE7" w14:textId="77777777" w:rsidR="00894070" w:rsidRDefault="009B7AFD">
      <w:pPr>
        <w:pStyle w:val="ListParagraph"/>
        <w:numPr>
          <w:ilvl w:val="1"/>
          <w:numId w:val="51"/>
        </w:numPr>
        <w:tabs>
          <w:tab w:val="left" w:pos="2141"/>
          <w:tab w:val="left" w:pos="2142"/>
        </w:tabs>
        <w:spacing w:line="206" w:lineRule="auto"/>
        <w:ind w:right="1411" w:hanging="340"/>
        <w:rPr>
          <w:sz w:val="11"/>
        </w:rPr>
      </w:pPr>
      <w:bookmarkStart w:id="165" w:name="Breaching_intervention_orders:_are_new_o"/>
      <w:bookmarkStart w:id="166" w:name="_bookmark99"/>
      <w:bookmarkEnd w:id="165"/>
      <w:bookmarkEnd w:id="166"/>
      <w:r>
        <w:rPr>
          <w:color w:val="231F20"/>
          <w:sz w:val="20"/>
        </w:rPr>
        <w:t>opportunities</w:t>
      </w:r>
      <w:r>
        <w:rPr>
          <w:color w:val="231F20"/>
          <w:spacing w:val="-11"/>
          <w:sz w:val="20"/>
        </w:rPr>
        <w:t xml:space="preserve"> </w:t>
      </w:r>
      <w:r>
        <w:rPr>
          <w:color w:val="231F20"/>
          <w:sz w:val="20"/>
        </w:rPr>
        <w:t>to</w:t>
      </w:r>
      <w:r>
        <w:rPr>
          <w:color w:val="231F20"/>
          <w:spacing w:val="-10"/>
          <w:sz w:val="20"/>
        </w:rPr>
        <w:t xml:space="preserve"> </w:t>
      </w:r>
      <w:r>
        <w:rPr>
          <w:color w:val="231F20"/>
          <w:spacing w:val="-3"/>
          <w:sz w:val="20"/>
        </w:rPr>
        <w:t>provide</w:t>
      </w:r>
      <w:r>
        <w:rPr>
          <w:color w:val="231F20"/>
          <w:spacing w:val="-10"/>
          <w:sz w:val="20"/>
        </w:rPr>
        <w:t xml:space="preserve"> </w:t>
      </w:r>
      <w:r>
        <w:rPr>
          <w:color w:val="231F20"/>
          <w:sz w:val="20"/>
        </w:rPr>
        <w:t>more</w:t>
      </w:r>
      <w:r>
        <w:rPr>
          <w:color w:val="231F20"/>
          <w:spacing w:val="-10"/>
          <w:sz w:val="20"/>
        </w:rPr>
        <w:t xml:space="preserve"> </w:t>
      </w:r>
      <w:r>
        <w:rPr>
          <w:color w:val="231F20"/>
          <w:sz w:val="20"/>
        </w:rPr>
        <w:t>guidance</w:t>
      </w:r>
      <w:r>
        <w:rPr>
          <w:color w:val="231F20"/>
          <w:spacing w:val="-10"/>
          <w:sz w:val="20"/>
        </w:rPr>
        <w:t xml:space="preserve"> </w:t>
      </w:r>
      <w:r>
        <w:rPr>
          <w:color w:val="231F20"/>
          <w:sz w:val="20"/>
        </w:rPr>
        <w:t>to</w:t>
      </w:r>
      <w:r>
        <w:rPr>
          <w:color w:val="231F20"/>
          <w:spacing w:val="-11"/>
          <w:sz w:val="20"/>
        </w:rPr>
        <w:t xml:space="preserve"> </w:t>
      </w:r>
      <w:r>
        <w:rPr>
          <w:color w:val="231F20"/>
          <w:sz w:val="20"/>
        </w:rPr>
        <w:t>the</w:t>
      </w:r>
      <w:r>
        <w:rPr>
          <w:color w:val="231F20"/>
          <w:spacing w:val="-10"/>
          <w:sz w:val="20"/>
        </w:rPr>
        <w:t xml:space="preserve"> </w:t>
      </w:r>
      <w:r>
        <w:rPr>
          <w:color w:val="231F20"/>
          <w:sz w:val="20"/>
        </w:rPr>
        <w:t>prosecution,</w:t>
      </w:r>
      <w:r>
        <w:rPr>
          <w:color w:val="231F20"/>
          <w:spacing w:val="-10"/>
          <w:sz w:val="20"/>
        </w:rPr>
        <w:t xml:space="preserve"> </w:t>
      </w:r>
      <w:r>
        <w:rPr>
          <w:color w:val="231F20"/>
          <w:sz w:val="20"/>
        </w:rPr>
        <w:t>such</w:t>
      </w:r>
      <w:r>
        <w:rPr>
          <w:color w:val="231F20"/>
          <w:spacing w:val="-10"/>
          <w:sz w:val="20"/>
        </w:rPr>
        <w:t xml:space="preserve"> </w:t>
      </w:r>
      <w:r>
        <w:rPr>
          <w:color w:val="231F20"/>
          <w:sz w:val="20"/>
        </w:rPr>
        <w:t>as</w:t>
      </w:r>
      <w:r>
        <w:rPr>
          <w:color w:val="231F20"/>
          <w:spacing w:val="-10"/>
          <w:sz w:val="20"/>
        </w:rPr>
        <w:t xml:space="preserve"> </w:t>
      </w:r>
      <w:r>
        <w:rPr>
          <w:color w:val="231F20"/>
          <w:spacing w:val="-2"/>
          <w:sz w:val="20"/>
        </w:rPr>
        <w:t xml:space="preserve">prosecutorial </w:t>
      </w:r>
      <w:r>
        <w:rPr>
          <w:color w:val="231F20"/>
          <w:sz w:val="20"/>
        </w:rPr>
        <w:t>guidelines</w:t>
      </w:r>
      <w:r>
        <w:rPr>
          <w:color w:val="231F20"/>
          <w:spacing w:val="-6"/>
          <w:sz w:val="20"/>
        </w:rPr>
        <w:t xml:space="preserve"> </w:t>
      </w:r>
      <w:r>
        <w:rPr>
          <w:color w:val="231F20"/>
          <w:sz w:val="20"/>
        </w:rPr>
        <w:t>on</w:t>
      </w:r>
      <w:r>
        <w:rPr>
          <w:color w:val="231F20"/>
          <w:spacing w:val="-5"/>
          <w:sz w:val="20"/>
        </w:rPr>
        <w:t xml:space="preserve"> </w:t>
      </w:r>
      <w:r>
        <w:rPr>
          <w:color w:val="231F20"/>
          <w:sz w:val="20"/>
        </w:rPr>
        <w:t>the</w:t>
      </w:r>
      <w:r>
        <w:rPr>
          <w:color w:val="231F20"/>
          <w:spacing w:val="-6"/>
          <w:sz w:val="20"/>
        </w:rPr>
        <w:t xml:space="preserve"> </w:t>
      </w:r>
      <w:r>
        <w:rPr>
          <w:color w:val="231F20"/>
          <w:sz w:val="20"/>
        </w:rPr>
        <w:t>stalking</w:t>
      </w:r>
      <w:r>
        <w:rPr>
          <w:color w:val="231F20"/>
          <w:spacing w:val="-6"/>
          <w:sz w:val="20"/>
        </w:rPr>
        <w:t xml:space="preserve"> </w:t>
      </w:r>
      <w:r>
        <w:rPr>
          <w:color w:val="231F20"/>
          <w:spacing w:val="-3"/>
          <w:sz w:val="20"/>
        </w:rPr>
        <w:t>offence,</w:t>
      </w:r>
      <w:r>
        <w:rPr>
          <w:color w:val="231F20"/>
          <w:spacing w:val="-5"/>
          <w:sz w:val="20"/>
        </w:rPr>
        <w:t xml:space="preserve"> </w:t>
      </w:r>
      <w:r>
        <w:rPr>
          <w:color w:val="231F20"/>
          <w:sz w:val="20"/>
        </w:rPr>
        <w:t>as</w:t>
      </w:r>
      <w:r>
        <w:rPr>
          <w:color w:val="231F20"/>
          <w:spacing w:val="-6"/>
          <w:sz w:val="20"/>
        </w:rPr>
        <w:t xml:space="preserve"> </w:t>
      </w:r>
      <w:r>
        <w:rPr>
          <w:color w:val="231F20"/>
          <w:sz w:val="20"/>
        </w:rPr>
        <w:t>exist</w:t>
      </w:r>
      <w:r>
        <w:rPr>
          <w:color w:val="231F20"/>
          <w:spacing w:val="-5"/>
          <w:sz w:val="20"/>
        </w:rPr>
        <w:t xml:space="preserve"> </w:t>
      </w:r>
      <w:r>
        <w:rPr>
          <w:color w:val="231F20"/>
          <w:sz w:val="20"/>
        </w:rPr>
        <w:t>in</w:t>
      </w:r>
      <w:r>
        <w:rPr>
          <w:color w:val="231F20"/>
          <w:spacing w:val="-6"/>
          <w:sz w:val="20"/>
        </w:rPr>
        <w:t xml:space="preserve"> </w:t>
      </w:r>
      <w:r>
        <w:rPr>
          <w:color w:val="231F20"/>
          <w:sz w:val="20"/>
        </w:rPr>
        <w:t>the</w:t>
      </w:r>
      <w:r>
        <w:rPr>
          <w:color w:val="231F20"/>
          <w:spacing w:val="-5"/>
          <w:sz w:val="20"/>
        </w:rPr>
        <w:t xml:space="preserve"> </w:t>
      </w:r>
      <w:r>
        <w:rPr>
          <w:color w:val="231F20"/>
          <w:sz w:val="20"/>
        </w:rPr>
        <w:t>United</w:t>
      </w:r>
      <w:r>
        <w:rPr>
          <w:color w:val="231F20"/>
          <w:spacing w:val="-6"/>
          <w:sz w:val="20"/>
        </w:rPr>
        <w:t xml:space="preserve"> </w:t>
      </w:r>
      <w:r>
        <w:rPr>
          <w:color w:val="231F20"/>
          <w:sz w:val="20"/>
        </w:rPr>
        <w:t>Kingdom</w:t>
      </w:r>
      <w:r>
        <w:rPr>
          <w:color w:val="231F20"/>
          <w:position w:val="7"/>
          <w:sz w:val="11"/>
        </w:rPr>
        <w:t>108</w:t>
      </w:r>
    </w:p>
    <w:p w14:paraId="194968C8" w14:textId="77777777" w:rsidR="00894070" w:rsidRDefault="009B7AFD">
      <w:pPr>
        <w:pStyle w:val="ListParagraph"/>
        <w:numPr>
          <w:ilvl w:val="1"/>
          <w:numId w:val="51"/>
        </w:numPr>
        <w:tabs>
          <w:tab w:val="left" w:pos="2141"/>
          <w:tab w:val="left" w:pos="2142"/>
        </w:tabs>
        <w:spacing w:before="55"/>
        <w:ind w:hanging="340"/>
        <w:rPr>
          <w:sz w:val="20"/>
        </w:rPr>
      </w:pPr>
      <w:r>
        <w:rPr>
          <w:color w:val="231F20"/>
          <w:sz w:val="20"/>
        </w:rPr>
        <w:t xml:space="preserve">further </w:t>
      </w:r>
      <w:r>
        <w:rPr>
          <w:color w:val="231F20"/>
          <w:spacing w:val="-3"/>
          <w:sz w:val="20"/>
        </w:rPr>
        <w:t xml:space="preserve">improvements </w:t>
      </w:r>
      <w:r>
        <w:rPr>
          <w:color w:val="231F20"/>
          <w:sz w:val="20"/>
        </w:rPr>
        <w:t>to the law on</w:t>
      </w:r>
      <w:r>
        <w:rPr>
          <w:color w:val="231F20"/>
          <w:spacing w:val="-22"/>
          <w:sz w:val="20"/>
        </w:rPr>
        <w:t xml:space="preserve"> </w:t>
      </w:r>
      <w:r>
        <w:rPr>
          <w:color w:val="231F20"/>
          <w:sz w:val="20"/>
        </w:rPr>
        <w:t>stalking.</w:t>
      </w:r>
    </w:p>
    <w:p w14:paraId="30458D89" w14:textId="77777777" w:rsidR="00894070" w:rsidRDefault="009B7AFD">
      <w:pPr>
        <w:pStyle w:val="ListParagraph"/>
        <w:numPr>
          <w:ilvl w:val="1"/>
          <w:numId w:val="65"/>
        </w:numPr>
        <w:tabs>
          <w:tab w:val="left" w:pos="1802"/>
        </w:tabs>
        <w:spacing w:before="80" w:line="206" w:lineRule="auto"/>
        <w:ind w:right="1219"/>
        <w:jc w:val="both"/>
        <w:rPr>
          <w:sz w:val="20"/>
        </w:rPr>
      </w:pPr>
      <w:r>
        <w:rPr>
          <w:color w:val="231F20"/>
          <w:spacing w:val="-6"/>
          <w:sz w:val="20"/>
        </w:rPr>
        <w:t>We</w:t>
      </w:r>
      <w:r>
        <w:rPr>
          <w:color w:val="231F20"/>
          <w:spacing w:val="-9"/>
          <w:sz w:val="20"/>
        </w:rPr>
        <w:t xml:space="preserve"> </w:t>
      </w:r>
      <w:r>
        <w:rPr>
          <w:color w:val="231F20"/>
          <w:sz w:val="20"/>
        </w:rPr>
        <w:t>recommend</w:t>
      </w:r>
      <w:r>
        <w:rPr>
          <w:color w:val="231F20"/>
          <w:spacing w:val="-9"/>
          <w:sz w:val="20"/>
        </w:rPr>
        <w:t xml:space="preserve"> </w:t>
      </w:r>
      <w:r>
        <w:rPr>
          <w:color w:val="231F20"/>
          <w:sz w:val="20"/>
        </w:rPr>
        <w:t>that</w:t>
      </w:r>
      <w:r>
        <w:rPr>
          <w:color w:val="231F20"/>
          <w:spacing w:val="-9"/>
          <w:sz w:val="20"/>
        </w:rPr>
        <w:t xml:space="preserve"> </w:t>
      </w:r>
      <w:r>
        <w:rPr>
          <w:color w:val="231F20"/>
          <w:sz w:val="20"/>
        </w:rPr>
        <w:t>the</w:t>
      </w:r>
      <w:r>
        <w:rPr>
          <w:color w:val="231F20"/>
          <w:spacing w:val="-9"/>
          <w:sz w:val="20"/>
        </w:rPr>
        <w:t xml:space="preserve"> </w:t>
      </w:r>
      <w:r>
        <w:rPr>
          <w:color w:val="231F20"/>
          <w:sz w:val="20"/>
        </w:rPr>
        <w:t>Crime</w:t>
      </w:r>
      <w:r>
        <w:rPr>
          <w:color w:val="231F20"/>
          <w:spacing w:val="-9"/>
          <w:sz w:val="20"/>
        </w:rPr>
        <w:t xml:space="preserve"> </w:t>
      </w:r>
      <w:r>
        <w:rPr>
          <w:color w:val="231F20"/>
          <w:sz w:val="20"/>
        </w:rPr>
        <w:t>Statistics</w:t>
      </w:r>
      <w:r>
        <w:rPr>
          <w:color w:val="231F20"/>
          <w:spacing w:val="-9"/>
          <w:sz w:val="20"/>
        </w:rPr>
        <w:t xml:space="preserve"> </w:t>
      </w:r>
      <w:r>
        <w:rPr>
          <w:color w:val="231F20"/>
          <w:sz w:val="20"/>
        </w:rPr>
        <w:t>Agency</w:t>
      </w:r>
      <w:r>
        <w:rPr>
          <w:color w:val="231F20"/>
          <w:spacing w:val="-9"/>
          <w:sz w:val="20"/>
        </w:rPr>
        <w:t xml:space="preserve"> </w:t>
      </w:r>
      <w:r>
        <w:rPr>
          <w:color w:val="231F20"/>
          <w:sz w:val="20"/>
        </w:rPr>
        <w:t>conduct</w:t>
      </w:r>
      <w:r>
        <w:rPr>
          <w:color w:val="231F20"/>
          <w:spacing w:val="-9"/>
          <w:sz w:val="20"/>
        </w:rPr>
        <w:t xml:space="preserve"> </w:t>
      </w:r>
      <w:r>
        <w:rPr>
          <w:color w:val="231F20"/>
          <w:sz w:val="20"/>
        </w:rPr>
        <w:t>a</w:t>
      </w:r>
      <w:r>
        <w:rPr>
          <w:color w:val="231F20"/>
          <w:spacing w:val="-9"/>
          <w:sz w:val="20"/>
        </w:rPr>
        <w:t xml:space="preserve"> </w:t>
      </w:r>
      <w:r>
        <w:rPr>
          <w:color w:val="231F20"/>
          <w:spacing w:val="-3"/>
          <w:sz w:val="20"/>
        </w:rPr>
        <w:t>qualitative</w:t>
      </w:r>
      <w:r>
        <w:rPr>
          <w:color w:val="231F20"/>
          <w:spacing w:val="-9"/>
          <w:sz w:val="20"/>
        </w:rPr>
        <w:t xml:space="preserve"> </w:t>
      </w:r>
      <w:r>
        <w:rPr>
          <w:color w:val="231F20"/>
          <w:spacing w:val="-4"/>
          <w:sz w:val="20"/>
        </w:rPr>
        <w:t>review</w:t>
      </w:r>
      <w:r>
        <w:rPr>
          <w:color w:val="231F20"/>
          <w:spacing w:val="-9"/>
          <w:sz w:val="20"/>
        </w:rPr>
        <w:t xml:space="preserve"> </w:t>
      </w:r>
      <w:r>
        <w:rPr>
          <w:color w:val="231F20"/>
          <w:sz w:val="20"/>
        </w:rPr>
        <w:t>of</w:t>
      </w:r>
      <w:r>
        <w:rPr>
          <w:color w:val="231F20"/>
          <w:spacing w:val="-9"/>
          <w:sz w:val="20"/>
        </w:rPr>
        <w:t xml:space="preserve"> </w:t>
      </w:r>
      <w:r>
        <w:rPr>
          <w:color w:val="231F20"/>
          <w:sz w:val="20"/>
        </w:rPr>
        <w:t>police and</w:t>
      </w:r>
      <w:r>
        <w:rPr>
          <w:color w:val="231F20"/>
          <w:spacing w:val="-13"/>
          <w:sz w:val="20"/>
        </w:rPr>
        <w:t xml:space="preserve"> </w:t>
      </w:r>
      <w:r>
        <w:rPr>
          <w:color w:val="231F20"/>
          <w:sz w:val="20"/>
        </w:rPr>
        <w:t>prosecution</w:t>
      </w:r>
      <w:r>
        <w:rPr>
          <w:color w:val="231F20"/>
          <w:spacing w:val="-13"/>
          <w:sz w:val="20"/>
        </w:rPr>
        <w:t xml:space="preserve"> </w:t>
      </w:r>
      <w:r>
        <w:rPr>
          <w:color w:val="231F20"/>
          <w:sz w:val="20"/>
        </w:rPr>
        <w:t>stalking</w:t>
      </w:r>
      <w:r>
        <w:rPr>
          <w:color w:val="231F20"/>
          <w:spacing w:val="-12"/>
          <w:sz w:val="20"/>
        </w:rPr>
        <w:t xml:space="preserve"> </w:t>
      </w:r>
      <w:r>
        <w:rPr>
          <w:color w:val="231F20"/>
          <w:sz w:val="20"/>
        </w:rPr>
        <w:t>files</w:t>
      </w:r>
      <w:r>
        <w:rPr>
          <w:color w:val="231F20"/>
          <w:spacing w:val="-13"/>
          <w:sz w:val="20"/>
        </w:rPr>
        <w:t xml:space="preserve"> </w:t>
      </w:r>
      <w:r>
        <w:rPr>
          <w:color w:val="231F20"/>
          <w:sz w:val="20"/>
        </w:rPr>
        <w:t>to</w:t>
      </w:r>
      <w:r>
        <w:rPr>
          <w:color w:val="231F20"/>
          <w:spacing w:val="-12"/>
          <w:sz w:val="20"/>
        </w:rPr>
        <w:t xml:space="preserve"> </w:t>
      </w:r>
      <w:r>
        <w:rPr>
          <w:color w:val="231F20"/>
          <w:sz w:val="20"/>
        </w:rPr>
        <w:t>identify</w:t>
      </w:r>
      <w:r>
        <w:rPr>
          <w:color w:val="231F20"/>
          <w:spacing w:val="-13"/>
          <w:sz w:val="20"/>
        </w:rPr>
        <w:t xml:space="preserve"> </w:t>
      </w:r>
      <w:r>
        <w:rPr>
          <w:color w:val="231F20"/>
          <w:sz w:val="20"/>
        </w:rPr>
        <w:t>reasons</w:t>
      </w:r>
      <w:r>
        <w:rPr>
          <w:color w:val="231F20"/>
          <w:spacing w:val="-13"/>
          <w:sz w:val="20"/>
        </w:rPr>
        <w:t xml:space="preserve"> </w:t>
      </w:r>
      <w:r>
        <w:rPr>
          <w:color w:val="231F20"/>
          <w:spacing w:val="-3"/>
          <w:sz w:val="20"/>
        </w:rPr>
        <w:t>for</w:t>
      </w:r>
      <w:r>
        <w:rPr>
          <w:color w:val="231F20"/>
          <w:spacing w:val="-12"/>
          <w:sz w:val="20"/>
        </w:rPr>
        <w:t xml:space="preserve"> </w:t>
      </w:r>
      <w:r>
        <w:rPr>
          <w:color w:val="231F20"/>
          <w:sz w:val="20"/>
        </w:rPr>
        <w:t>the</w:t>
      </w:r>
      <w:r>
        <w:rPr>
          <w:color w:val="231F20"/>
          <w:spacing w:val="-13"/>
          <w:sz w:val="20"/>
        </w:rPr>
        <w:t xml:space="preserve"> </w:t>
      </w:r>
      <w:r>
        <w:rPr>
          <w:color w:val="231F20"/>
          <w:sz w:val="20"/>
        </w:rPr>
        <w:t>attrition</w:t>
      </w:r>
      <w:r>
        <w:rPr>
          <w:color w:val="231F20"/>
          <w:spacing w:val="-12"/>
          <w:sz w:val="20"/>
        </w:rPr>
        <w:t xml:space="preserve"> </w:t>
      </w:r>
      <w:r>
        <w:rPr>
          <w:color w:val="231F20"/>
          <w:sz w:val="20"/>
        </w:rPr>
        <w:t>of</w:t>
      </w:r>
      <w:r>
        <w:rPr>
          <w:color w:val="231F20"/>
          <w:spacing w:val="-13"/>
          <w:sz w:val="20"/>
        </w:rPr>
        <w:t xml:space="preserve"> </w:t>
      </w:r>
      <w:r>
        <w:rPr>
          <w:color w:val="231F20"/>
          <w:sz w:val="20"/>
        </w:rPr>
        <w:t>the</w:t>
      </w:r>
      <w:r>
        <w:rPr>
          <w:color w:val="231F20"/>
          <w:spacing w:val="-12"/>
          <w:sz w:val="20"/>
        </w:rPr>
        <w:t xml:space="preserve"> </w:t>
      </w:r>
      <w:r>
        <w:rPr>
          <w:color w:val="231F20"/>
          <w:sz w:val="20"/>
        </w:rPr>
        <w:t>stalking</w:t>
      </w:r>
      <w:r>
        <w:rPr>
          <w:color w:val="231F20"/>
          <w:spacing w:val="-13"/>
          <w:sz w:val="20"/>
        </w:rPr>
        <w:t xml:space="preserve"> </w:t>
      </w:r>
      <w:r>
        <w:rPr>
          <w:color w:val="231F20"/>
          <w:sz w:val="20"/>
        </w:rPr>
        <w:t>offence in the criminal justice</w:t>
      </w:r>
      <w:r>
        <w:rPr>
          <w:color w:val="231F20"/>
          <w:spacing w:val="-18"/>
          <w:sz w:val="20"/>
        </w:rPr>
        <w:t xml:space="preserve"> </w:t>
      </w:r>
      <w:r>
        <w:rPr>
          <w:color w:val="231F20"/>
          <w:sz w:val="20"/>
        </w:rPr>
        <w:t>system.</w:t>
      </w:r>
    </w:p>
    <w:p w14:paraId="7753822E" w14:textId="77777777" w:rsidR="00894070" w:rsidRDefault="009B7AFD">
      <w:pPr>
        <w:pStyle w:val="ListParagraph"/>
        <w:numPr>
          <w:ilvl w:val="1"/>
          <w:numId w:val="65"/>
        </w:numPr>
        <w:tabs>
          <w:tab w:val="left" w:pos="1801"/>
          <w:tab w:val="left" w:pos="1802"/>
        </w:tabs>
        <w:spacing w:before="92" w:line="259" w:lineRule="exact"/>
        <w:rPr>
          <w:sz w:val="20"/>
        </w:rPr>
      </w:pPr>
      <w:r>
        <w:rPr>
          <w:color w:val="231F20"/>
          <w:sz w:val="20"/>
        </w:rPr>
        <w:t>A</w:t>
      </w:r>
      <w:r>
        <w:rPr>
          <w:color w:val="231F20"/>
          <w:spacing w:val="-5"/>
          <w:sz w:val="20"/>
        </w:rPr>
        <w:t xml:space="preserve"> </w:t>
      </w:r>
      <w:r>
        <w:rPr>
          <w:color w:val="231F20"/>
          <w:sz w:val="20"/>
        </w:rPr>
        <w:t>manual</w:t>
      </w:r>
      <w:r>
        <w:rPr>
          <w:color w:val="231F20"/>
          <w:spacing w:val="-5"/>
          <w:sz w:val="20"/>
        </w:rPr>
        <w:t xml:space="preserve"> </w:t>
      </w:r>
      <w:r>
        <w:rPr>
          <w:color w:val="231F20"/>
          <w:spacing w:val="-4"/>
          <w:sz w:val="20"/>
        </w:rPr>
        <w:t>review</w:t>
      </w:r>
      <w:r>
        <w:rPr>
          <w:color w:val="231F20"/>
          <w:spacing w:val="-5"/>
          <w:sz w:val="20"/>
        </w:rPr>
        <w:t xml:space="preserve"> </w:t>
      </w:r>
      <w:r>
        <w:rPr>
          <w:color w:val="231F20"/>
          <w:sz w:val="20"/>
        </w:rPr>
        <w:t>of</w:t>
      </w:r>
      <w:r>
        <w:rPr>
          <w:color w:val="231F20"/>
          <w:spacing w:val="-5"/>
          <w:sz w:val="20"/>
        </w:rPr>
        <w:t xml:space="preserve"> </w:t>
      </w:r>
      <w:r>
        <w:rPr>
          <w:color w:val="231F20"/>
          <w:sz w:val="20"/>
        </w:rPr>
        <w:t>police</w:t>
      </w:r>
      <w:r>
        <w:rPr>
          <w:color w:val="231F20"/>
          <w:spacing w:val="-5"/>
          <w:sz w:val="20"/>
        </w:rPr>
        <w:t xml:space="preserve"> </w:t>
      </w:r>
      <w:r>
        <w:rPr>
          <w:color w:val="231F20"/>
          <w:sz w:val="20"/>
        </w:rPr>
        <w:t>and</w:t>
      </w:r>
      <w:r>
        <w:rPr>
          <w:color w:val="231F20"/>
          <w:spacing w:val="-5"/>
          <w:sz w:val="20"/>
        </w:rPr>
        <w:t xml:space="preserve"> </w:t>
      </w:r>
      <w:r>
        <w:rPr>
          <w:color w:val="231F20"/>
          <w:sz w:val="20"/>
        </w:rPr>
        <w:t>prosecution</w:t>
      </w:r>
      <w:r>
        <w:rPr>
          <w:color w:val="231F20"/>
          <w:spacing w:val="-4"/>
          <w:sz w:val="20"/>
        </w:rPr>
        <w:t xml:space="preserve"> </w:t>
      </w:r>
      <w:r>
        <w:rPr>
          <w:color w:val="231F20"/>
          <w:spacing w:val="-3"/>
          <w:sz w:val="20"/>
        </w:rPr>
        <w:t>narratives</w:t>
      </w:r>
      <w:r>
        <w:rPr>
          <w:color w:val="231F20"/>
          <w:spacing w:val="-5"/>
          <w:sz w:val="20"/>
        </w:rPr>
        <w:t xml:space="preserve"> </w:t>
      </w:r>
      <w:r>
        <w:rPr>
          <w:color w:val="231F20"/>
          <w:sz w:val="20"/>
        </w:rPr>
        <w:t>of</w:t>
      </w:r>
      <w:r>
        <w:rPr>
          <w:color w:val="231F20"/>
          <w:spacing w:val="-5"/>
          <w:sz w:val="20"/>
        </w:rPr>
        <w:t xml:space="preserve"> </w:t>
      </w:r>
      <w:r>
        <w:rPr>
          <w:color w:val="231F20"/>
          <w:sz w:val="20"/>
        </w:rPr>
        <w:t>file</w:t>
      </w:r>
      <w:r>
        <w:rPr>
          <w:color w:val="231F20"/>
          <w:spacing w:val="-5"/>
          <w:sz w:val="20"/>
        </w:rPr>
        <w:t xml:space="preserve"> </w:t>
      </w:r>
      <w:r>
        <w:rPr>
          <w:color w:val="231F20"/>
          <w:spacing w:val="-3"/>
          <w:sz w:val="20"/>
        </w:rPr>
        <w:t>closures</w:t>
      </w:r>
      <w:r>
        <w:rPr>
          <w:color w:val="231F20"/>
          <w:spacing w:val="-5"/>
          <w:sz w:val="20"/>
        </w:rPr>
        <w:t xml:space="preserve"> </w:t>
      </w:r>
      <w:r>
        <w:rPr>
          <w:color w:val="231F20"/>
          <w:spacing w:val="-3"/>
          <w:sz w:val="20"/>
        </w:rPr>
        <w:t>may</w:t>
      </w:r>
      <w:r>
        <w:rPr>
          <w:color w:val="231F20"/>
          <w:spacing w:val="-5"/>
          <w:sz w:val="20"/>
        </w:rPr>
        <w:t xml:space="preserve"> </w:t>
      </w:r>
      <w:r>
        <w:rPr>
          <w:color w:val="231F20"/>
          <w:spacing w:val="-4"/>
          <w:sz w:val="20"/>
        </w:rPr>
        <w:t xml:space="preserve">improve </w:t>
      </w:r>
      <w:r>
        <w:rPr>
          <w:color w:val="231F20"/>
          <w:sz w:val="20"/>
        </w:rPr>
        <w:t>the</w:t>
      </w:r>
    </w:p>
    <w:p w14:paraId="59B60E81" w14:textId="77777777" w:rsidR="00894070" w:rsidRDefault="009B7AFD">
      <w:pPr>
        <w:pStyle w:val="BodyText"/>
        <w:spacing w:line="259" w:lineRule="exact"/>
        <w:ind w:left="1801"/>
      </w:pPr>
      <w:r>
        <w:rPr>
          <w:color w:val="231F20"/>
        </w:rPr>
        <w:t>understanding of why cases do not progress.</w:t>
      </w:r>
    </w:p>
    <w:p w14:paraId="38574501" w14:textId="77777777" w:rsidR="00894070" w:rsidRDefault="009B7AFD">
      <w:pPr>
        <w:pStyle w:val="ListParagraph"/>
        <w:numPr>
          <w:ilvl w:val="1"/>
          <w:numId w:val="65"/>
        </w:numPr>
        <w:tabs>
          <w:tab w:val="left" w:pos="1802"/>
        </w:tabs>
        <w:spacing w:before="114" w:line="206" w:lineRule="auto"/>
        <w:ind w:right="1257"/>
        <w:jc w:val="both"/>
        <w:rPr>
          <w:sz w:val="20"/>
        </w:rPr>
      </w:pPr>
      <w:r>
        <w:rPr>
          <w:color w:val="231F20"/>
          <w:sz w:val="20"/>
        </w:rPr>
        <w:t>In</w:t>
      </w:r>
      <w:r>
        <w:rPr>
          <w:color w:val="231F20"/>
          <w:spacing w:val="-8"/>
          <w:sz w:val="20"/>
        </w:rPr>
        <w:t xml:space="preserve"> </w:t>
      </w:r>
      <w:r>
        <w:rPr>
          <w:color w:val="231F20"/>
          <w:sz w:val="20"/>
        </w:rPr>
        <w:t>addition,</w:t>
      </w:r>
      <w:r>
        <w:rPr>
          <w:color w:val="231F20"/>
          <w:spacing w:val="-7"/>
          <w:sz w:val="20"/>
        </w:rPr>
        <w:t xml:space="preserve"> </w:t>
      </w:r>
      <w:r>
        <w:rPr>
          <w:color w:val="231F20"/>
          <w:sz w:val="20"/>
        </w:rPr>
        <w:t>the</w:t>
      </w:r>
      <w:r>
        <w:rPr>
          <w:color w:val="231F20"/>
          <w:spacing w:val="-8"/>
          <w:sz w:val="20"/>
        </w:rPr>
        <w:t xml:space="preserve"> </w:t>
      </w:r>
      <w:r>
        <w:rPr>
          <w:color w:val="231F20"/>
          <w:spacing w:val="-4"/>
          <w:sz w:val="20"/>
        </w:rPr>
        <w:t>review</w:t>
      </w:r>
      <w:r>
        <w:rPr>
          <w:color w:val="231F20"/>
          <w:spacing w:val="-7"/>
          <w:sz w:val="20"/>
        </w:rPr>
        <w:t xml:space="preserve"> </w:t>
      </w:r>
      <w:r>
        <w:rPr>
          <w:color w:val="231F20"/>
          <w:sz w:val="20"/>
        </w:rPr>
        <w:t>should</w:t>
      </w:r>
      <w:r>
        <w:rPr>
          <w:color w:val="231F20"/>
          <w:spacing w:val="-8"/>
          <w:sz w:val="20"/>
        </w:rPr>
        <w:t xml:space="preserve"> </w:t>
      </w:r>
      <w:r>
        <w:rPr>
          <w:color w:val="231F20"/>
          <w:sz w:val="20"/>
        </w:rPr>
        <w:t>include</w:t>
      </w:r>
      <w:r>
        <w:rPr>
          <w:color w:val="231F20"/>
          <w:spacing w:val="-7"/>
          <w:sz w:val="20"/>
        </w:rPr>
        <w:t xml:space="preserve"> </w:t>
      </w:r>
      <w:r>
        <w:rPr>
          <w:color w:val="231F20"/>
          <w:sz w:val="20"/>
        </w:rPr>
        <w:t>a</w:t>
      </w:r>
      <w:r>
        <w:rPr>
          <w:color w:val="231F20"/>
          <w:spacing w:val="-7"/>
          <w:sz w:val="20"/>
        </w:rPr>
        <w:t xml:space="preserve"> </w:t>
      </w:r>
      <w:r>
        <w:rPr>
          <w:color w:val="231F20"/>
          <w:spacing w:val="-3"/>
          <w:sz w:val="20"/>
        </w:rPr>
        <w:t>qualitative</w:t>
      </w:r>
      <w:r>
        <w:rPr>
          <w:color w:val="231F20"/>
          <w:spacing w:val="-8"/>
          <w:sz w:val="20"/>
        </w:rPr>
        <w:t xml:space="preserve"> </w:t>
      </w:r>
      <w:r>
        <w:rPr>
          <w:color w:val="231F20"/>
          <w:spacing w:val="-4"/>
          <w:sz w:val="20"/>
        </w:rPr>
        <w:t>review</w:t>
      </w:r>
      <w:r>
        <w:rPr>
          <w:color w:val="231F20"/>
          <w:spacing w:val="-7"/>
          <w:sz w:val="20"/>
        </w:rPr>
        <w:t xml:space="preserve"> </w:t>
      </w:r>
      <w:r>
        <w:rPr>
          <w:color w:val="231F20"/>
          <w:sz w:val="20"/>
        </w:rPr>
        <w:t>of</w:t>
      </w:r>
      <w:r>
        <w:rPr>
          <w:color w:val="231F20"/>
          <w:spacing w:val="-8"/>
          <w:sz w:val="20"/>
        </w:rPr>
        <w:t xml:space="preserve"> </w:t>
      </w:r>
      <w:r>
        <w:rPr>
          <w:color w:val="231F20"/>
          <w:sz w:val="20"/>
        </w:rPr>
        <w:t>the</w:t>
      </w:r>
      <w:r>
        <w:rPr>
          <w:color w:val="231F20"/>
          <w:spacing w:val="-7"/>
          <w:sz w:val="20"/>
        </w:rPr>
        <w:t xml:space="preserve"> </w:t>
      </w:r>
      <w:r>
        <w:rPr>
          <w:color w:val="231F20"/>
          <w:sz w:val="20"/>
        </w:rPr>
        <w:t>judicial</w:t>
      </w:r>
      <w:r>
        <w:rPr>
          <w:color w:val="231F20"/>
          <w:spacing w:val="-8"/>
          <w:sz w:val="20"/>
        </w:rPr>
        <w:t xml:space="preserve"> </w:t>
      </w:r>
      <w:r>
        <w:rPr>
          <w:color w:val="231F20"/>
          <w:sz w:val="20"/>
        </w:rPr>
        <w:t>reasons</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not finding</w:t>
      </w:r>
      <w:r>
        <w:rPr>
          <w:color w:val="231F20"/>
          <w:spacing w:val="-5"/>
          <w:sz w:val="20"/>
        </w:rPr>
        <w:t xml:space="preserve"> </w:t>
      </w:r>
      <w:r>
        <w:rPr>
          <w:color w:val="231F20"/>
          <w:sz w:val="20"/>
        </w:rPr>
        <w:t>charges</w:t>
      </w:r>
      <w:r>
        <w:rPr>
          <w:color w:val="231F20"/>
          <w:spacing w:val="-5"/>
          <w:sz w:val="20"/>
        </w:rPr>
        <w:t xml:space="preserve"> </w:t>
      </w:r>
      <w:r>
        <w:rPr>
          <w:color w:val="231F20"/>
          <w:spacing w:val="-3"/>
          <w:sz w:val="20"/>
        </w:rPr>
        <w:t>are</w:t>
      </w:r>
      <w:r>
        <w:rPr>
          <w:color w:val="231F20"/>
          <w:spacing w:val="-4"/>
          <w:sz w:val="20"/>
        </w:rPr>
        <w:t xml:space="preserve"> proved</w:t>
      </w:r>
      <w:r>
        <w:rPr>
          <w:color w:val="231F20"/>
          <w:spacing w:val="-5"/>
          <w:sz w:val="20"/>
        </w:rPr>
        <w:t xml:space="preserve"> </w:t>
      </w:r>
      <w:r>
        <w:rPr>
          <w:color w:val="231F20"/>
          <w:sz w:val="20"/>
        </w:rPr>
        <w:t>if</w:t>
      </w:r>
      <w:r>
        <w:rPr>
          <w:color w:val="231F20"/>
          <w:spacing w:val="-4"/>
          <w:sz w:val="20"/>
        </w:rPr>
        <w:t xml:space="preserve"> </w:t>
      </w:r>
      <w:r>
        <w:rPr>
          <w:color w:val="231F20"/>
          <w:sz w:val="20"/>
        </w:rPr>
        <w:t>they</w:t>
      </w:r>
      <w:r>
        <w:rPr>
          <w:color w:val="231F20"/>
          <w:spacing w:val="-5"/>
          <w:sz w:val="20"/>
        </w:rPr>
        <w:t xml:space="preserve"> </w:t>
      </w:r>
      <w:r>
        <w:rPr>
          <w:color w:val="231F20"/>
          <w:sz w:val="20"/>
        </w:rPr>
        <w:t>go</w:t>
      </w:r>
      <w:r>
        <w:rPr>
          <w:color w:val="231F20"/>
          <w:spacing w:val="-5"/>
          <w:sz w:val="20"/>
        </w:rPr>
        <w:t xml:space="preserve"> </w:t>
      </w:r>
      <w:r>
        <w:rPr>
          <w:color w:val="231F20"/>
          <w:sz w:val="20"/>
        </w:rPr>
        <w:t>to</w:t>
      </w:r>
      <w:r>
        <w:rPr>
          <w:color w:val="231F20"/>
          <w:spacing w:val="-4"/>
          <w:sz w:val="20"/>
        </w:rPr>
        <w:t xml:space="preserve"> </w:t>
      </w:r>
      <w:r>
        <w:rPr>
          <w:color w:val="231F20"/>
          <w:spacing w:val="-3"/>
          <w:sz w:val="20"/>
        </w:rPr>
        <w:t>contest</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5"/>
          <w:sz w:val="20"/>
        </w:rPr>
        <w:t xml:space="preserve"> </w:t>
      </w:r>
      <w:r>
        <w:rPr>
          <w:color w:val="231F20"/>
          <w:spacing w:val="-3"/>
          <w:sz w:val="20"/>
        </w:rPr>
        <w:t>Magistrates’</w:t>
      </w:r>
      <w:r>
        <w:rPr>
          <w:color w:val="231F20"/>
          <w:spacing w:val="-5"/>
          <w:sz w:val="20"/>
        </w:rPr>
        <w:t xml:space="preserve"> </w:t>
      </w:r>
      <w:r>
        <w:rPr>
          <w:color w:val="231F20"/>
          <w:sz w:val="20"/>
        </w:rPr>
        <w:t>Court.</w:t>
      </w:r>
    </w:p>
    <w:p w14:paraId="06FEFE8D" w14:textId="77777777" w:rsidR="00894070" w:rsidRDefault="009B7AFD">
      <w:pPr>
        <w:pStyle w:val="ListParagraph"/>
        <w:numPr>
          <w:ilvl w:val="1"/>
          <w:numId w:val="65"/>
        </w:numPr>
        <w:tabs>
          <w:tab w:val="left" w:pos="1801"/>
          <w:tab w:val="left" w:pos="1802"/>
        </w:tabs>
        <w:spacing w:before="91"/>
        <w:rPr>
          <w:sz w:val="20"/>
        </w:rPr>
      </w:pPr>
      <w:r>
        <w:rPr>
          <w:color w:val="231F20"/>
          <w:sz w:val="20"/>
        </w:rPr>
        <w:t xml:space="preserve">The </w:t>
      </w:r>
      <w:r>
        <w:rPr>
          <w:color w:val="231F20"/>
          <w:spacing w:val="-4"/>
          <w:sz w:val="20"/>
        </w:rPr>
        <w:t xml:space="preserve">review </w:t>
      </w:r>
      <w:r>
        <w:rPr>
          <w:color w:val="231F20"/>
          <w:sz w:val="20"/>
        </w:rPr>
        <w:t>should also</w:t>
      </w:r>
      <w:r>
        <w:rPr>
          <w:color w:val="231F20"/>
          <w:spacing w:val="-13"/>
          <w:sz w:val="20"/>
        </w:rPr>
        <w:t xml:space="preserve"> </w:t>
      </w:r>
      <w:r>
        <w:rPr>
          <w:color w:val="231F20"/>
          <w:sz w:val="20"/>
        </w:rPr>
        <w:t>identify:</w:t>
      </w:r>
    </w:p>
    <w:p w14:paraId="7F7809C3" w14:textId="77777777" w:rsidR="00894070" w:rsidRDefault="009B7AFD">
      <w:pPr>
        <w:pStyle w:val="ListParagraph"/>
        <w:numPr>
          <w:ilvl w:val="2"/>
          <w:numId w:val="65"/>
        </w:numPr>
        <w:tabs>
          <w:tab w:val="left" w:pos="2141"/>
          <w:tab w:val="left" w:pos="2142"/>
        </w:tabs>
        <w:spacing w:before="82"/>
        <w:ind w:hanging="340"/>
        <w:rPr>
          <w:sz w:val="20"/>
        </w:rPr>
      </w:pPr>
      <w:r>
        <w:rPr>
          <w:color w:val="231F20"/>
          <w:sz w:val="20"/>
        </w:rPr>
        <w:t>the</w:t>
      </w:r>
      <w:r>
        <w:rPr>
          <w:color w:val="231F20"/>
          <w:spacing w:val="-5"/>
          <w:sz w:val="20"/>
        </w:rPr>
        <w:t xml:space="preserve"> </w:t>
      </w:r>
      <w:r>
        <w:rPr>
          <w:color w:val="231F20"/>
          <w:sz w:val="20"/>
        </w:rPr>
        <w:t>quality</w:t>
      </w:r>
      <w:r>
        <w:rPr>
          <w:color w:val="231F20"/>
          <w:spacing w:val="-5"/>
          <w:sz w:val="20"/>
        </w:rPr>
        <w:t xml:space="preserve"> </w:t>
      </w:r>
      <w:r>
        <w:rPr>
          <w:color w:val="231F20"/>
          <w:sz w:val="20"/>
        </w:rPr>
        <w:t>of</w:t>
      </w:r>
      <w:r>
        <w:rPr>
          <w:color w:val="231F20"/>
          <w:spacing w:val="-5"/>
          <w:sz w:val="20"/>
        </w:rPr>
        <w:t xml:space="preserve"> </w:t>
      </w:r>
      <w:r>
        <w:rPr>
          <w:color w:val="231F20"/>
          <w:sz w:val="20"/>
        </w:rPr>
        <w:t>existing</w:t>
      </w:r>
      <w:r>
        <w:rPr>
          <w:color w:val="231F20"/>
          <w:spacing w:val="-5"/>
          <w:sz w:val="20"/>
        </w:rPr>
        <w:t xml:space="preserve"> </w:t>
      </w:r>
      <w:r>
        <w:rPr>
          <w:color w:val="231F20"/>
          <w:sz w:val="20"/>
        </w:rPr>
        <w:t>data</w:t>
      </w:r>
      <w:r>
        <w:rPr>
          <w:color w:val="231F20"/>
          <w:spacing w:val="-4"/>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reasons</w:t>
      </w:r>
      <w:r>
        <w:rPr>
          <w:color w:val="231F20"/>
          <w:spacing w:val="-5"/>
          <w:sz w:val="20"/>
        </w:rPr>
        <w:t xml:space="preserve"> </w:t>
      </w:r>
      <w:r>
        <w:rPr>
          <w:color w:val="231F20"/>
          <w:spacing w:val="-3"/>
          <w:sz w:val="20"/>
        </w:rPr>
        <w:t>for</w:t>
      </w:r>
      <w:r>
        <w:rPr>
          <w:color w:val="231F20"/>
          <w:spacing w:val="-4"/>
          <w:sz w:val="20"/>
        </w:rPr>
        <w:t xml:space="preserve"> </w:t>
      </w:r>
      <w:r>
        <w:rPr>
          <w:color w:val="231F20"/>
          <w:sz w:val="20"/>
        </w:rPr>
        <w:t>closing</w:t>
      </w:r>
      <w:r>
        <w:rPr>
          <w:color w:val="231F20"/>
          <w:spacing w:val="-5"/>
          <w:sz w:val="20"/>
        </w:rPr>
        <w:t xml:space="preserve"> </w:t>
      </w:r>
      <w:r>
        <w:rPr>
          <w:color w:val="231F20"/>
          <w:sz w:val="20"/>
        </w:rPr>
        <w:t>cases</w:t>
      </w:r>
    </w:p>
    <w:p w14:paraId="3B1B73ED" w14:textId="77777777" w:rsidR="00894070" w:rsidRDefault="009B7AFD">
      <w:pPr>
        <w:pStyle w:val="ListParagraph"/>
        <w:numPr>
          <w:ilvl w:val="2"/>
          <w:numId w:val="65"/>
        </w:numPr>
        <w:tabs>
          <w:tab w:val="left" w:pos="2141"/>
          <w:tab w:val="left" w:pos="2142"/>
        </w:tabs>
        <w:spacing w:before="47"/>
        <w:ind w:hanging="340"/>
        <w:rPr>
          <w:sz w:val="20"/>
        </w:rPr>
      </w:pPr>
      <w:r>
        <w:rPr>
          <w:color w:val="231F20"/>
          <w:spacing w:val="-4"/>
          <w:sz w:val="20"/>
        </w:rPr>
        <w:t xml:space="preserve">ways </w:t>
      </w:r>
      <w:r>
        <w:rPr>
          <w:color w:val="231F20"/>
          <w:sz w:val="20"/>
        </w:rPr>
        <w:t xml:space="preserve">to </w:t>
      </w:r>
      <w:r>
        <w:rPr>
          <w:color w:val="231F20"/>
          <w:spacing w:val="-4"/>
          <w:sz w:val="20"/>
        </w:rPr>
        <w:t xml:space="preserve">improve </w:t>
      </w:r>
      <w:r>
        <w:rPr>
          <w:color w:val="231F20"/>
          <w:sz w:val="20"/>
        </w:rPr>
        <w:t>the consistency of the</w:t>
      </w:r>
      <w:r>
        <w:rPr>
          <w:color w:val="231F20"/>
          <w:spacing w:val="-22"/>
          <w:sz w:val="20"/>
        </w:rPr>
        <w:t xml:space="preserve"> </w:t>
      </w:r>
      <w:r>
        <w:rPr>
          <w:color w:val="231F20"/>
          <w:sz w:val="20"/>
        </w:rPr>
        <w:t>data</w:t>
      </w:r>
    </w:p>
    <w:p w14:paraId="273B2F21" w14:textId="77777777" w:rsidR="00894070" w:rsidRDefault="009B7AFD">
      <w:pPr>
        <w:pStyle w:val="ListParagraph"/>
        <w:numPr>
          <w:ilvl w:val="2"/>
          <w:numId w:val="65"/>
        </w:numPr>
        <w:tabs>
          <w:tab w:val="left" w:pos="2141"/>
          <w:tab w:val="left" w:pos="2142"/>
        </w:tabs>
        <w:spacing w:before="48"/>
        <w:ind w:hanging="340"/>
        <w:rPr>
          <w:sz w:val="20"/>
        </w:rPr>
      </w:pPr>
      <w:r>
        <w:rPr>
          <w:color w:val="231F20"/>
          <w:sz w:val="20"/>
        </w:rPr>
        <w:t xml:space="preserve">proposed </w:t>
      </w:r>
      <w:r>
        <w:rPr>
          <w:color w:val="231F20"/>
          <w:spacing w:val="-3"/>
          <w:sz w:val="20"/>
        </w:rPr>
        <w:t xml:space="preserve">future </w:t>
      </w:r>
      <w:r>
        <w:rPr>
          <w:color w:val="231F20"/>
          <w:sz w:val="20"/>
        </w:rPr>
        <w:t>changes to data</w:t>
      </w:r>
      <w:r>
        <w:rPr>
          <w:color w:val="231F20"/>
          <w:spacing w:val="-19"/>
          <w:sz w:val="20"/>
        </w:rPr>
        <w:t xml:space="preserve"> </w:t>
      </w:r>
      <w:r>
        <w:rPr>
          <w:color w:val="231F20"/>
          <w:sz w:val="20"/>
        </w:rPr>
        <w:t>systems.</w:t>
      </w:r>
    </w:p>
    <w:p w14:paraId="248BCB46" w14:textId="77777777" w:rsidR="00894070" w:rsidRDefault="009F6793">
      <w:pPr>
        <w:pStyle w:val="BodyText"/>
        <w:spacing w:before="4"/>
        <w:rPr>
          <w:sz w:val="16"/>
        </w:rPr>
      </w:pPr>
      <w:r>
        <w:pict w14:anchorId="6086DD83">
          <v:group id="_x0000_s1191" style="position:absolute;margin-left:62.35pt;margin-top:13.25pt;width:479.1pt;height:140.9pt;z-index:251737088;mso-wrap-distance-left:0;mso-wrap-distance-right:0;mso-position-horizontal-relative:page" coordorigin="1247,265" coordsize="9582,2818">
            <v:rect id="_x0000_s1197" style="position:absolute;left:1587;top:265;width:8731;height:2818" fillcolor="#fee7de" stroked="f"/>
            <v:line id="_x0000_s1196" style="position:absolute" from="1247,1073" to="10828,1073" strokecolor="white" strokeweight="2.5pt"/>
            <v:shape id="_x0000_s1195" type="#_x0000_t202" style="position:absolute;left:2394;top:2103;width:7417;height:800" filled="f" stroked="f">
              <v:textbox inset="0,0,0,0">
                <w:txbxContent>
                  <w:p w14:paraId="75BD7418" w14:textId="77777777" w:rsidR="00894070" w:rsidRDefault="009B7AFD">
                    <w:pPr>
                      <w:numPr>
                        <w:ilvl w:val="0"/>
                        <w:numId w:val="50"/>
                      </w:numPr>
                      <w:tabs>
                        <w:tab w:val="left" w:pos="553"/>
                        <w:tab w:val="left" w:pos="554"/>
                      </w:tabs>
                      <w:ind w:hanging="553"/>
                      <w:rPr>
                        <w:rFonts w:ascii="Trebuchet MS"/>
                        <w:sz w:val="20"/>
                      </w:rPr>
                    </w:pPr>
                    <w:r>
                      <w:rPr>
                        <w:rFonts w:ascii="Trebuchet MS"/>
                        <w:color w:val="231F20"/>
                        <w:w w:val="105"/>
                        <w:sz w:val="20"/>
                      </w:rPr>
                      <w:t>police</w:t>
                    </w:r>
                    <w:r>
                      <w:rPr>
                        <w:rFonts w:ascii="Trebuchet MS"/>
                        <w:color w:val="231F20"/>
                        <w:spacing w:val="-18"/>
                        <w:w w:val="105"/>
                        <w:sz w:val="20"/>
                      </w:rPr>
                      <w:t xml:space="preserve"> </w:t>
                    </w:r>
                    <w:r>
                      <w:rPr>
                        <w:rFonts w:ascii="Trebuchet MS"/>
                        <w:color w:val="231F20"/>
                        <w:w w:val="105"/>
                        <w:sz w:val="20"/>
                      </w:rPr>
                      <w:t>and</w:t>
                    </w:r>
                    <w:r>
                      <w:rPr>
                        <w:rFonts w:ascii="Trebuchet MS"/>
                        <w:color w:val="231F20"/>
                        <w:spacing w:val="-17"/>
                        <w:w w:val="105"/>
                        <w:sz w:val="20"/>
                      </w:rPr>
                      <w:t xml:space="preserve"> </w:t>
                    </w:r>
                    <w:r>
                      <w:rPr>
                        <w:rFonts w:ascii="Trebuchet MS"/>
                        <w:color w:val="231F20"/>
                        <w:w w:val="105"/>
                        <w:sz w:val="20"/>
                      </w:rPr>
                      <w:t>prosecution</w:t>
                    </w:r>
                    <w:r>
                      <w:rPr>
                        <w:rFonts w:ascii="Trebuchet MS"/>
                        <w:color w:val="231F20"/>
                        <w:spacing w:val="-17"/>
                        <w:w w:val="105"/>
                        <w:sz w:val="20"/>
                      </w:rPr>
                      <w:t xml:space="preserve"> </w:t>
                    </w:r>
                    <w:r>
                      <w:rPr>
                        <w:rFonts w:ascii="Trebuchet MS"/>
                        <w:color w:val="231F20"/>
                        <w:w w:val="105"/>
                        <w:sz w:val="20"/>
                      </w:rPr>
                      <w:t>stalking</w:t>
                    </w:r>
                    <w:r>
                      <w:rPr>
                        <w:rFonts w:ascii="Trebuchet MS"/>
                        <w:color w:val="231F20"/>
                        <w:spacing w:val="-17"/>
                        <w:w w:val="105"/>
                        <w:sz w:val="20"/>
                      </w:rPr>
                      <w:t xml:space="preserve"> </w:t>
                    </w:r>
                    <w:r>
                      <w:rPr>
                        <w:rFonts w:ascii="Trebuchet MS"/>
                        <w:color w:val="231F20"/>
                        <w:w w:val="105"/>
                        <w:sz w:val="20"/>
                      </w:rPr>
                      <w:t>files</w:t>
                    </w:r>
                  </w:p>
                  <w:p w14:paraId="001BAF23" w14:textId="77777777" w:rsidR="00894070" w:rsidRDefault="009B7AFD">
                    <w:pPr>
                      <w:numPr>
                        <w:ilvl w:val="0"/>
                        <w:numId w:val="50"/>
                      </w:numPr>
                      <w:tabs>
                        <w:tab w:val="left" w:pos="553"/>
                        <w:tab w:val="left" w:pos="554"/>
                      </w:tabs>
                      <w:spacing w:before="93" w:line="247" w:lineRule="auto"/>
                      <w:ind w:right="18" w:hanging="553"/>
                      <w:rPr>
                        <w:rFonts w:ascii="Trebuchet MS" w:hAnsi="Trebuchet MS"/>
                        <w:sz w:val="20"/>
                      </w:rPr>
                    </w:pPr>
                    <w:r>
                      <w:rPr>
                        <w:rFonts w:ascii="Trebuchet MS" w:hAnsi="Trebuchet MS"/>
                        <w:color w:val="231F20"/>
                        <w:sz w:val="20"/>
                      </w:rPr>
                      <w:t xml:space="preserve">judicial reasons for not finding charges </w:t>
                    </w:r>
                    <w:r>
                      <w:rPr>
                        <w:rFonts w:ascii="Trebuchet MS" w:hAnsi="Trebuchet MS"/>
                        <w:color w:val="231F20"/>
                        <w:spacing w:val="-2"/>
                        <w:sz w:val="20"/>
                      </w:rPr>
                      <w:t xml:space="preserve">are </w:t>
                    </w:r>
                    <w:r>
                      <w:rPr>
                        <w:rFonts w:ascii="Trebuchet MS" w:hAnsi="Trebuchet MS"/>
                        <w:color w:val="231F20"/>
                        <w:spacing w:val="-3"/>
                        <w:sz w:val="20"/>
                      </w:rPr>
                      <w:t xml:space="preserve">proved </w:t>
                    </w:r>
                    <w:r>
                      <w:rPr>
                        <w:rFonts w:ascii="Trebuchet MS" w:hAnsi="Trebuchet MS"/>
                        <w:color w:val="231F20"/>
                        <w:sz w:val="20"/>
                      </w:rPr>
                      <w:t xml:space="preserve">in </w:t>
                    </w:r>
                    <w:r>
                      <w:rPr>
                        <w:rFonts w:ascii="Trebuchet MS" w:hAnsi="Trebuchet MS"/>
                        <w:color w:val="231F20"/>
                        <w:spacing w:val="-3"/>
                        <w:sz w:val="20"/>
                      </w:rPr>
                      <w:t xml:space="preserve">contested </w:t>
                    </w:r>
                    <w:r>
                      <w:rPr>
                        <w:rFonts w:ascii="Trebuchet MS" w:hAnsi="Trebuchet MS"/>
                        <w:color w:val="231F20"/>
                        <w:sz w:val="20"/>
                      </w:rPr>
                      <w:t xml:space="preserve">hearings in </w:t>
                    </w:r>
                    <w:r>
                      <w:rPr>
                        <w:rFonts w:ascii="Trebuchet MS" w:hAnsi="Trebuchet MS"/>
                        <w:color w:val="231F20"/>
                        <w:spacing w:val="-2"/>
                        <w:w w:val="88"/>
                        <w:sz w:val="20"/>
                      </w:rPr>
                      <w:t>t</w:t>
                    </w:r>
                    <w:r>
                      <w:rPr>
                        <w:rFonts w:ascii="Trebuchet MS" w:hAnsi="Trebuchet MS"/>
                        <w:color w:val="231F20"/>
                        <w:spacing w:val="-1"/>
                        <w:w w:val="108"/>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5"/>
                        <w:sz w:val="20"/>
                      </w:rPr>
                      <w:t>M</w:t>
                    </w:r>
                    <w:r>
                      <w:rPr>
                        <w:rFonts w:ascii="Trebuchet MS" w:hAnsi="Trebuchet MS"/>
                        <w:color w:val="231F20"/>
                        <w:spacing w:val="-2"/>
                        <w:w w:val="115"/>
                        <w:sz w:val="20"/>
                      </w:rPr>
                      <w:t>a</w:t>
                    </w:r>
                    <w:r>
                      <w:rPr>
                        <w:rFonts w:ascii="Trebuchet MS" w:hAnsi="Trebuchet MS"/>
                        <w:color w:val="231F20"/>
                        <w:spacing w:val="-2"/>
                        <w:w w:val="124"/>
                        <w:sz w:val="20"/>
                      </w:rPr>
                      <w:t>g</w:t>
                    </w:r>
                    <w:r>
                      <w:rPr>
                        <w:rFonts w:ascii="Trebuchet MS" w:hAnsi="Trebuchet MS"/>
                        <w:color w:val="231F20"/>
                        <w:spacing w:val="-1"/>
                        <w:w w:val="80"/>
                        <w:sz w:val="20"/>
                      </w:rPr>
                      <w:t>i</w:t>
                    </w:r>
                    <w:r>
                      <w:rPr>
                        <w:rFonts w:ascii="Trebuchet MS" w:hAnsi="Trebuchet MS"/>
                        <w:color w:val="231F20"/>
                        <w:spacing w:val="-1"/>
                        <w:w w:val="122"/>
                        <w:sz w:val="20"/>
                      </w:rPr>
                      <w:t>s</w:t>
                    </w:r>
                    <w:r>
                      <w:rPr>
                        <w:rFonts w:ascii="Trebuchet MS" w:hAnsi="Trebuchet MS"/>
                        <w:color w:val="231F20"/>
                        <w:spacing w:val="-2"/>
                        <w:w w:val="88"/>
                        <w:sz w:val="20"/>
                      </w:rPr>
                      <w:t>t</w:t>
                    </w:r>
                    <w:r>
                      <w:rPr>
                        <w:rFonts w:ascii="Trebuchet MS" w:hAnsi="Trebuchet MS"/>
                        <w:color w:val="231F20"/>
                        <w:spacing w:val="-2"/>
                        <w:w w:val="93"/>
                        <w:sz w:val="20"/>
                      </w:rPr>
                      <w:t>r</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spacing w:val="-2"/>
                        <w:w w:val="108"/>
                        <w:sz w:val="20"/>
                      </w:rPr>
                      <w:t>e</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06"/>
                        <w:sz w:val="20"/>
                      </w:rPr>
                      <w:t>ou</w:t>
                    </w:r>
                    <w:r>
                      <w:rPr>
                        <w:rFonts w:ascii="Trebuchet MS" w:hAnsi="Trebuchet MS"/>
                        <w:color w:val="231F20"/>
                        <w:spacing w:val="2"/>
                        <w:w w:val="106"/>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spacing w:val="-1"/>
                        <w:w w:val="96"/>
                        <w:sz w:val="20"/>
                      </w:rPr>
                      <w:t>i</w:t>
                    </w:r>
                    <w:r>
                      <w:rPr>
                        <w:rFonts w:ascii="Trebuchet MS" w:hAnsi="Trebuchet MS"/>
                        <w:color w:val="231F20"/>
                        <w:spacing w:val="1"/>
                        <w:w w:val="96"/>
                        <w:sz w:val="20"/>
                      </w:rPr>
                      <w:t>a</w:t>
                    </w:r>
                    <w:r>
                      <w:rPr>
                        <w:rFonts w:ascii="Trebuchet MS" w:hAnsi="Trebuchet MS"/>
                        <w:color w:val="231F20"/>
                        <w:w w:val="55"/>
                        <w:sz w:val="20"/>
                      </w:rPr>
                      <w:t>.</w:t>
                    </w:r>
                  </w:p>
                </w:txbxContent>
              </v:textbox>
            </v:shape>
            <v:shape id="_x0000_s1194" type="#_x0000_t202" style="position:absolute;left:2381;top:1298;width:7682;height:715" filled="f" stroked="f">
              <v:textbox inset="0,0,0,0">
                <w:txbxContent>
                  <w:p w14:paraId="3390E229" w14:textId="77777777" w:rsidR="00894070" w:rsidRDefault="009B7AFD">
                    <w:pPr>
                      <w:spacing w:line="247" w:lineRule="auto"/>
                      <w:rPr>
                        <w:rFonts w:ascii="Trebuchet MS"/>
                        <w:sz w:val="20"/>
                      </w:rPr>
                    </w:pPr>
                    <w:r>
                      <w:rPr>
                        <w:rFonts w:ascii="Trebuchet MS"/>
                        <w:color w:val="231F20"/>
                        <w:sz w:val="20"/>
                      </w:rPr>
                      <w:t xml:space="preserve">The Crime Statistics Agency should conduct a qualitative review to identify reasons </w:t>
                    </w:r>
                    <w:r>
                      <w:rPr>
                        <w:rFonts w:ascii="Trebuchet MS"/>
                        <w:color w:val="231F20"/>
                        <w:w w:val="92"/>
                        <w:sz w:val="20"/>
                      </w:rPr>
                      <w:t>f</w:t>
                    </w:r>
                    <w:r>
                      <w:rPr>
                        <w:rFonts w:ascii="Trebuchet MS"/>
                        <w:color w:val="231F20"/>
                        <w:w w:val="111"/>
                        <w:sz w:val="20"/>
                      </w:rPr>
                      <w:t>o</w:t>
                    </w:r>
                    <w:r>
                      <w:rPr>
                        <w:rFonts w:ascii="Trebuchet MS"/>
                        <w:color w:val="231F20"/>
                        <w:w w:val="93"/>
                        <w:sz w:val="20"/>
                      </w:rPr>
                      <w:t>r</w:t>
                    </w:r>
                    <w:r>
                      <w:rPr>
                        <w:rFonts w:ascii="Trebuchet MS"/>
                        <w:color w:val="231F20"/>
                        <w:sz w:val="20"/>
                      </w:rPr>
                      <w:t xml:space="preserve"> </w:t>
                    </w:r>
                    <w:r>
                      <w:rPr>
                        <w:rFonts w:ascii="Trebuchet MS"/>
                        <w:color w:val="231F20"/>
                        <w:w w:val="88"/>
                        <w:sz w:val="20"/>
                      </w:rPr>
                      <w:t>t</w:t>
                    </w:r>
                    <w:r>
                      <w:rPr>
                        <w:rFonts w:ascii="Trebuchet MS"/>
                        <w:color w:val="231F20"/>
                        <w:w w:val="107"/>
                        <w:sz w:val="20"/>
                      </w:rPr>
                      <w:t>h</w:t>
                    </w:r>
                    <w:r>
                      <w:rPr>
                        <w:rFonts w:ascii="Trebuchet MS"/>
                        <w:color w:val="231F20"/>
                        <w:w w:val="108"/>
                        <w:sz w:val="20"/>
                      </w:rPr>
                      <w:t>e</w:t>
                    </w:r>
                    <w:r>
                      <w:rPr>
                        <w:rFonts w:ascii="Trebuchet MS"/>
                        <w:color w:val="231F20"/>
                        <w:sz w:val="20"/>
                      </w:rPr>
                      <w:t xml:space="preserve"> </w:t>
                    </w:r>
                    <w:r>
                      <w:rPr>
                        <w:rFonts w:ascii="Trebuchet MS"/>
                        <w:color w:val="231F20"/>
                        <w:w w:val="105"/>
                        <w:sz w:val="20"/>
                      </w:rPr>
                      <w:t>a</w:t>
                    </w:r>
                    <w:r>
                      <w:rPr>
                        <w:rFonts w:ascii="Trebuchet MS"/>
                        <w:color w:val="231F20"/>
                        <w:w w:val="88"/>
                        <w:sz w:val="20"/>
                      </w:rPr>
                      <w:t>tt</w:t>
                    </w:r>
                    <w:r>
                      <w:rPr>
                        <w:rFonts w:ascii="Trebuchet MS"/>
                        <w:color w:val="231F20"/>
                        <w:w w:val="93"/>
                        <w:sz w:val="20"/>
                      </w:rPr>
                      <w:t>r</w:t>
                    </w:r>
                    <w:r>
                      <w:rPr>
                        <w:rFonts w:ascii="Trebuchet MS"/>
                        <w:color w:val="231F20"/>
                        <w:w w:val="80"/>
                        <w:sz w:val="20"/>
                      </w:rPr>
                      <w:t>i</w:t>
                    </w:r>
                    <w:r>
                      <w:rPr>
                        <w:rFonts w:ascii="Trebuchet MS"/>
                        <w:color w:val="231F20"/>
                        <w:w w:val="88"/>
                        <w:sz w:val="20"/>
                      </w:rPr>
                      <w:t>t</w:t>
                    </w:r>
                    <w:r>
                      <w:rPr>
                        <w:rFonts w:ascii="Trebuchet MS"/>
                        <w:color w:val="231F20"/>
                        <w:w w:val="80"/>
                        <w:sz w:val="20"/>
                      </w:rPr>
                      <w:t>i</w:t>
                    </w:r>
                    <w:r>
                      <w:rPr>
                        <w:rFonts w:ascii="Trebuchet MS"/>
                        <w:color w:val="231F20"/>
                        <w:w w:val="111"/>
                        <w:sz w:val="20"/>
                      </w:rPr>
                      <w:t>o</w:t>
                    </w:r>
                    <w:r>
                      <w:rPr>
                        <w:rFonts w:ascii="Trebuchet MS"/>
                        <w:color w:val="231F20"/>
                        <w:w w:val="107"/>
                        <w:sz w:val="20"/>
                      </w:rPr>
                      <w:t>n</w:t>
                    </w:r>
                    <w:r>
                      <w:rPr>
                        <w:rFonts w:ascii="Trebuchet MS"/>
                        <w:color w:val="231F20"/>
                        <w:sz w:val="20"/>
                      </w:rPr>
                      <w:t xml:space="preserve"> </w:t>
                    </w:r>
                    <w:r>
                      <w:rPr>
                        <w:rFonts w:ascii="Trebuchet MS"/>
                        <w:color w:val="231F20"/>
                        <w:w w:val="111"/>
                        <w:sz w:val="20"/>
                      </w:rPr>
                      <w:t>o</w:t>
                    </w:r>
                    <w:r>
                      <w:rPr>
                        <w:rFonts w:ascii="Trebuchet MS"/>
                        <w:color w:val="231F20"/>
                        <w:w w:val="92"/>
                        <w:sz w:val="20"/>
                      </w:rPr>
                      <w:t>f</w:t>
                    </w:r>
                    <w:r>
                      <w:rPr>
                        <w:rFonts w:ascii="Trebuchet MS"/>
                        <w:color w:val="231F20"/>
                        <w:sz w:val="20"/>
                      </w:rPr>
                      <w:t xml:space="preserve"> </w:t>
                    </w:r>
                    <w:r>
                      <w:rPr>
                        <w:rFonts w:ascii="Trebuchet MS"/>
                        <w:color w:val="231F20"/>
                        <w:w w:val="88"/>
                        <w:sz w:val="20"/>
                      </w:rPr>
                      <w:t>t</w:t>
                    </w:r>
                    <w:r>
                      <w:rPr>
                        <w:rFonts w:ascii="Trebuchet MS"/>
                        <w:color w:val="231F20"/>
                        <w:w w:val="107"/>
                        <w:sz w:val="20"/>
                      </w:rPr>
                      <w:t>h</w:t>
                    </w:r>
                    <w:r>
                      <w:rPr>
                        <w:rFonts w:ascii="Trebuchet MS"/>
                        <w:color w:val="231F20"/>
                        <w:w w:val="108"/>
                        <w:sz w:val="20"/>
                      </w:rPr>
                      <w:t>e</w:t>
                    </w:r>
                    <w:r>
                      <w:rPr>
                        <w:rFonts w:ascii="Trebuchet MS"/>
                        <w:color w:val="231F20"/>
                        <w:sz w:val="20"/>
                      </w:rPr>
                      <w:t xml:space="preserve"> </w:t>
                    </w:r>
                    <w:r>
                      <w:rPr>
                        <w:rFonts w:ascii="Trebuchet MS"/>
                        <w:color w:val="231F20"/>
                        <w:w w:val="122"/>
                        <w:sz w:val="20"/>
                      </w:rPr>
                      <w:t>s</w:t>
                    </w:r>
                    <w:r>
                      <w:rPr>
                        <w:rFonts w:ascii="Trebuchet MS"/>
                        <w:color w:val="231F20"/>
                        <w:w w:val="88"/>
                        <w:sz w:val="20"/>
                      </w:rPr>
                      <w:t>t</w:t>
                    </w:r>
                    <w:r>
                      <w:rPr>
                        <w:rFonts w:ascii="Trebuchet MS"/>
                        <w:color w:val="231F20"/>
                        <w:w w:val="105"/>
                        <w:sz w:val="20"/>
                      </w:rPr>
                      <w:t>a</w:t>
                    </w:r>
                    <w:r>
                      <w:rPr>
                        <w:rFonts w:ascii="Trebuchet MS"/>
                        <w:color w:val="231F20"/>
                        <w:w w:val="96"/>
                        <w:sz w:val="20"/>
                      </w:rPr>
                      <w:t>l</w:t>
                    </w:r>
                    <w:r>
                      <w:rPr>
                        <w:rFonts w:ascii="Trebuchet MS"/>
                        <w:color w:val="231F20"/>
                        <w:w w:val="106"/>
                        <w:sz w:val="20"/>
                      </w:rPr>
                      <w:t>k</w:t>
                    </w:r>
                    <w:r>
                      <w:rPr>
                        <w:rFonts w:ascii="Trebuchet MS"/>
                        <w:color w:val="231F20"/>
                        <w:w w:val="80"/>
                        <w:sz w:val="20"/>
                      </w:rPr>
                      <w:t>i</w:t>
                    </w:r>
                    <w:r>
                      <w:rPr>
                        <w:rFonts w:ascii="Trebuchet MS"/>
                        <w:color w:val="231F20"/>
                        <w:w w:val="107"/>
                        <w:sz w:val="20"/>
                      </w:rPr>
                      <w:t>n</w:t>
                    </w:r>
                    <w:r>
                      <w:rPr>
                        <w:rFonts w:ascii="Trebuchet MS"/>
                        <w:color w:val="231F20"/>
                        <w:w w:val="124"/>
                        <w:sz w:val="20"/>
                      </w:rPr>
                      <w:t>g</w:t>
                    </w:r>
                    <w:r>
                      <w:rPr>
                        <w:rFonts w:ascii="Trebuchet MS"/>
                        <w:color w:val="231F20"/>
                        <w:sz w:val="20"/>
                      </w:rPr>
                      <w:t xml:space="preserve"> </w:t>
                    </w:r>
                    <w:r>
                      <w:rPr>
                        <w:rFonts w:ascii="Trebuchet MS"/>
                        <w:color w:val="231F20"/>
                        <w:w w:val="111"/>
                        <w:sz w:val="20"/>
                      </w:rPr>
                      <w:t>o</w:t>
                    </w:r>
                    <w:r>
                      <w:rPr>
                        <w:rFonts w:ascii="Trebuchet MS"/>
                        <w:color w:val="231F20"/>
                        <w:w w:val="81"/>
                        <w:sz w:val="20"/>
                      </w:rPr>
                      <w:t>ff</w:t>
                    </w:r>
                    <w:r>
                      <w:rPr>
                        <w:rFonts w:ascii="Trebuchet MS"/>
                        <w:color w:val="231F20"/>
                        <w:w w:val="108"/>
                        <w:sz w:val="20"/>
                      </w:rPr>
                      <w:t>e</w:t>
                    </w:r>
                    <w:r>
                      <w:rPr>
                        <w:rFonts w:ascii="Trebuchet MS"/>
                        <w:color w:val="231F20"/>
                        <w:w w:val="107"/>
                        <w:sz w:val="20"/>
                      </w:rPr>
                      <w:t>n</w:t>
                    </w:r>
                    <w:r>
                      <w:rPr>
                        <w:rFonts w:ascii="Trebuchet MS"/>
                        <w:color w:val="231F20"/>
                        <w:w w:val="111"/>
                        <w:sz w:val="20"/>
                      </w:rPr>
                      <w:t>c</w:t>
                    </w:r>
                    <w:r>
                      <w:rPr>
                        <w:rFonts w:ascii="Trebuchet MS"/>
                        <w:color w:val="231F20"/>
                        <w:w w:val="108"/>
                        <w:sz w:val="20"/>
                      </w:rPr>
                      <w:t>e</w:t>
                    </w:r>
                    <w:r>
                      <w:rPr>
                        <w:rFonts w:ascii="Trebuchet MS"/>
                        <w:color w:val="231F20"/>
                        <w:sz w:val="20"/>
                      </w:rPr>
                      <w:t xml:space="preserve"> </w:t>
                    </w:r>
                    <w:r>
                      <w:rPr>
                        <w:rFonts w:ascii="Trebuchet MS"/>
                        <w:color w:val="231F20"/>
                        <w:w w:val="80"/>
                        <w:sz w:val="20"/>
                      </w:rPr>
                      <w:t>i</w:t>
                    </w:r>
                    <w:r>
                      <w:rPr>
                        <w:rFonts w:ascii="Trebuchet MS"/>
                        <w:color w:val="231F20"/>
                        <w:w w:val="107"/>
                        <w:sz w:val="20"/>
                      </w:rPr>
                      <w:t>n</w:t>
                    </w:r>
                    <w:r>
                      <w:rPr>
                        <w:rFonts w:ascii="Trebuchet MS"/>
                        <w:color w:val="231F20"/>
                        <w:sz w:val="20"/>
                      </w:rPr>
                      <w:t xml:space="preserve"> </w:t>
                    </w:r>
                    <w:r>
                      <w:rPr>
                        <w:rFonts w:ascii="Trebuchet MS"/>
                        <w:color w:val="231F20"/>
                        <w:w w:val="88"/>
                        <w:sz w:val="20"/>
                      </w:rPr>
                      <w:t>t</w:t>
                    </w:r>
                    <w:r>
                      <w:rPr>
                        <w:rFonts w:ascii="Trebuchet MS"/>
                        <w:color w:val="231F20"/>
                        <w:w w:val="107"/>
                        <w:sz w:val="20"/>
                      </w:rPr>
                      <w:t>h</w:t>
                    </w:r>
                    <w:r>
                      <w:rPr>
                        <w:rFonts w:ascii="Trebuchet MS"/>
                        <w:color w:val="231F20"/>
                        <w:w w:val="108"/>
                        <w:sz w:val="20"/>
                      </w:rPr>
                      <w:t>e</w:t>
                    </w:r>
                    <w:r>
                      <w:rPr>
                        <w:rFonts w:ascii="Trebuchet MS"/>
                        <w:color w:val="231F20"/>
                        <w:sz w:val="20"/>
                      </w:rPr>
                      <w:t xml:space="preserve"> </w:t>
                    </w:r>
                    <w:r>
                      <w:rPr>
                        <w:rFonts w:ascii="Trebuchet MS"/>
                        <w:color w:val="231F20"/>
                        <w:w w:val="111"/>
                        <w:sz w:val="20"/>
                      </w:rPr>
                      <w:t>c</w:t>
                    </w:r>
                    <w:r>
                      <w:rPr>
                        <w:rFonts w:ascii="Trebuchet MS"/>
                        <w:color w:val="231F20"/>
                        <w:w w:val="93"/>
                        <w:sz w:val="20"/>
                      </w:rPr>
                      <w:t>r</w:t>
                    </w:r>
                    <w:r>
                      <w:rPr>
                        <w:rFonts w:ascii="Trebuchet MS"/>
                        <w:color w:val="231F20"/>
                        <w:w w:val="80"/>
                        <w:sz w:val="20"/>
                      </w:rPr>
                      <w:t>i</w:t>
                    </w:r>
                    <w:r>
                      <w:rPr>
                        <w:rFonts w:ascii="Trebuchet MS"/>
                        <w:color w:val="231F20"/>
                        <w:w w:val="111"/>
                        <w:sz w:val="20"/>
                      </w:rPr>
                      <w:t>m</w:t>
                    </w:r>
                    <w:r>
                      <w:rPr>
                        <w:rFonts w:ascii="Trebuchet MS"/>
                        <w:color w:val="231F20"/>
                        <w:w w:val="80"/>
                        <w:sz w:val="20"/>
                      </w:rPr>
                      <w:t>i</w:t>
                    </w:r>
                    <w:r>
                      <w:rPr>
                        <w:rFonts w:ascii="Trebuchet MS"/>
                        <w:color w:val="231F20"/>
                        <w:w w:val="107"/>
                        <w:sz w:val="20"/>
                      </w:rPr>
                      <w:t>n</w:t>
                    </w:r>
                    <w:r>
                      <w:rPr>
                        <w:rFonts w:ascii="Trebuchet MS"/>
                        <w:color w:val="231F20"/>
                        <w:w w:val="105"/>
                        <w:sz w:val="20"/>
                      </w:rPr>
                      <w:t>a</w:t>
                    </w:r>
                    <w:r>
                      <w:rPr>
                        <w:rFonts w:ascii="Trebuchet MS"/>
                        <w:color w:val="231F20"/>
                        <w:w w:val="96"/>
                        <w:sz w:val="20"/>
                      </w:rPr>
                      <w:t>l</w:t>
                    </w:r>
                    <w:r>
                      <w:rPr>
                        <w:rFonts w:ascii="Trebuchet MS"/>
                        <w:color w:val="231F20"/>
                        <w:sz w:val="20"/>
                      </w:rPr>
                      <w:t xml:space="preserve"> </w:t>
                    </w:r>
                    <w:r>
                      <w:rPr>
                        <w:rFonts w:ascii="Trebuchet MS"/>
                        <w:color w:val="231F20"/>
                        <w:w w:val="64"/>
                        <w:sz w:val="20"/>
                      </w:rPr>
                      <w:t>j</w:t>
                    </w:r>
                    <w:r>
                      <w:rPr>
                        <w:rFonts w:ascii="Trebuchet MS"/>
                        <w:color w:val="231F20"/>
                        <w:w w:val="109"/>
                        <w:sz w:val="20"/>
                      </w:rPr>
                      <w:t>u</w:t>
                    </w:r>
                    <w:r>
                      <w:rPr>
                        <w:rFonts w:ascii="Trebuchet MS"/>
                        <w:color w:val="231F20"/>
                        <w:w w:val="122"/>
                        <w:sz w:val="20"/>
                      </w:rPr>
                      <w:t>s</w:t>
                    </w:r>
                    <w:r>
                      <w:rPr>
                        <w:rFonts w:ascii="Trebuchet MS"/>
                        <w:color w:val="231F20"/>
                        <w:w w:val="88"/>
                        <w:sz w:val="20"/>
                      </w:rPr>
                      <w:t>t</w:t>
                    </w:r>
                    <w:r>
                      <w:rPr>
                        <w:rFonts w:ascii="Trebuchet MS"/>
                        <w:color w:val="231F20"/>
                        <w:w w:val="80"/>
                        <w:sz w:val="20"/>
                      </w:rPr>
                      <w:t>i</w:t>
                    </w:r>
                    <w:r>
                      <w:rPr>
                        <w:rFonts w:ascii="Trebuchet MS"/>
                        <w:color w:val="231F20"/>
                        <w:w w:val="111"/>
                        <w:sz w:val="20"/>
                      </w:rPr>
                      <w:t>c</w:t>
                    </w:r>
                    <w:r>
                      <w:rPr>
                        <w:rFonts w:ascii="Trebuchet MS"/>
                        <w:color w:val="231F20"/>
                        <w:w w:val="108"/>
                        <w:sz w:val="20"/>
                      </w:rPr>
                      <w:t>e</w:t>
                    </w:r>
                    <w:r>
                      <w:rPr>
                        <w:rFonts w:ascii="Trebuchet MS"/>
                        <w:color w:val="231F20"/>
                        <w:sz w:val="20"/>
                      </w:rPr>
                      <w:t xml:space="preserve"> </w:t>
                    </w:r>
                    <w:r>
                      <w:rPr>
                        <w:rFonts w:ascii="Trebuchet MS"/>
                        <w:color w:val="231F20"/>
                        <w:w w:val="122"/>
                        <w:sz w:val="20"/>
                      </w:rPr>
                      <w:t>s</w:t>
                    </w:r>
                    <w:r>
                      <w:rPr>
                        <w:rFonts w:ascii="Trebuchet MS"/>
                        <w:color w:val="231F20"/>
                        <w:w w:val="110"/>
                        <w:sz w:val="20"/>
                      </w:rPr>
                      <w:t>y</w:t>
                    </w:r>
                    <w:r>
                      <w:rPr>
                        <w:rFonts w:ascii="Trebuchet MS"/>
                        <w:color w:val="231F20"/>
                        <w:w w:val="122"/>
                        <w:sz w:val="20"/>
                      </w:rPr>
                      <w:t>s</w:t>
                    </w:r>
                    <w:r>
                      <w:rPr>
                        <w:rFonts w:ascii="Trebuchet MS"/>
                        <w:color w:val="231F20"/>
                        <w:w w:val="88"/>
                        <w:sz w:val="20"/>
                      </w:rPr>
                      <w:t>t</w:t>
                    </w:r>
                    <w:r>
                      <w:rPr>
                        <w:rFonts w:ascii="Trebuchet MS"/>
                        <w:color w:val="231F20"/>
                        <w:w w:val="108"/>
                        <w:sz w:val="20"/>
                      </w:rPr>
                      <w:t>e</w:t>
                    </w:r>
                    <w:r>
                      <w:rPr>
                        <w:rFonts w:ascii="Trebuchet MS"/>
                        <w:color w:val="231F20"/>
                        <w:w w:val="111"/>
                        <w:sz w:val="20"/>
                      </w:rPr>
                      <w:t>m</w:t>
                    </w:r>
                    <w:r>
                      <w:rPr>
                        <w:rFonts w:ascii="Trebuchet MS"/>
                        <w:color w:val="231F20"/>
                        <w:w w:val="55"/>
                        <w:sz w:val="20"/>
                      </w:rPr>
                      <w:t>.</w:t>
                    </w:r>
                    <w:r>
                      <w:rPr>
                        <w:rFonts w:ascii="Trebuchet MS"/>
                        <w:color w:val="231F20"/>
                        <w:sz w:val="20"/>
                      </w:rPr>
                      <w:t xml:space="preserve"> </w:t>
                    </w:r>
                    <w:r>
                      <w:rPr>
                        <w:rFonts w:ascii="Trebuchet MS"/>
                        <w:color w:val="231F20"/>
                        <w:w w:val="105"/>
                        <w:sz w:val="20"/>
                      </w:rPr>
                      <w:t>T</w:t>
                    </w:r>
                    <w:r>
                      <w:rPr>
                        <w:rFonts w:ascii="Trebuchet MS"/>
                        <w:color w:val="231F20"/>
                        <w:w w:val="107"/>
                        <w:sz w:val="20"/>
                      </w:rPr>
                      <w:t>h</w:t>
                    </w:r>
                    <w:r>
                      <w:rPr>
                        <w:rFonts w:ascii="Trebuchet MS"/>
                        <w:color w:val="231F20"/>
                        <w:w w:val="108"/>
                        <w:sz w:val="20"/>
                      </w:rPr>
                      <w:t>e</w:t>
                    </w:r>
                    <w:r>
                      <w:rPr>
                        <w:rFonts w:ascii="Trebuchet MS"/>
                        <w:color w:val="231F20"/>
                        <w:sz w:val="20"/>
                      </w:rPr>
                      <w:t xml:space="preserve"> </w:t>
                    </w:r>
                    <w:r>
                      <w:rPr>
                        <w:rFonts w:ascii="Trebuchet MS"/>
                        <w:color w:val="231F20"/>
                        <w:w w:val="93"/>
                        <w:sz w:val="20"/>
                      </w:rPr>
                      <w:t>r</w:t>
                    </w:r>
                    <w:r>
                      <w:rPr>
                        <w:rFonts w:ascii="Trebuchet MS"/>
                        <w:color w:val="231F20"/>
                        <w:w w:val="108"/>
                        <w:sz w:val="20"/>
                      </w:rPr>
                      <w:t>e</w:t>
                    </w:r>
                    <w:r>
                      <w:rPr>
                        <w:rFonts w:ascii="Trebuchet MS"/>
                        <w:color w:val="231F20"/>
                        <w:w w:val="109"/>
                        <w:sz w:val="20"/>
                      </w:rPr>
                      <w:t>v</w:t>
                    </w:r>
                    <w:r>
                      <w:rPr>
                        <w:rFonts w:ascii="Trebuchet MS"/>
                        <w:color w:val="231F20"/>
                        <w:w w:val="80"/>
                        <w:sz w:val="20"/>
                      </w:rPr>
                      <w:t>i</w:t>
                    </w:r>
                    <w:r>
                      <w:rPr>
                        <w:rFonts w:ascii="Trebuchet MS"/>
                        <w:color w:val="231F20"/>
                        <w:w w:val="108"/>
                        <w:sz w:val="20"/>
                      </w:rPr>
                      <w:t>e</w:t>
                    </w:r>
                    <w:r>
                      <w:rPr>
                        <w:rFonts w:ascii="Trebuchet MS"/>
                        <w:color w:val="231F20"/>
                        <w:w w:val="110"/>
                        <w:sz w:val="20"/>
                      </w:rPr>
                      <w:t xml:space="preserve">w </w:t>
                    </w:r>
                    <w:r>
                      <w:rPr>
                        <w:rFonts w:ascii="Trebuchet MS"/>
                        <w:color w:val="231F20"/>
                        <w:sz w:val="20"/>
                      </w:rPr>
                      <w:t>should examine:</w:t>
                    </w:r>
                  </w:p>
                </w:txbxContent>
              </v:textbox>
            </v:shape>
            <v:shape id="_x0000_s1193" type="#_x0000_t202" style="position:absolute;left:1814;top:1298;width:284;height:235" filled="f" stroked="f">
              <v:textbox inset="0,0,0,0">
                <w:txbxContent>
                  <w:p w14:paraId="5555EAD9" w14:textId="77777777" w:rsidR="00894070" w:rsidRDefault="009B7AFD">
                    <w:pPr>
                      <w:rPr>
                        <w:rFonts w:ascii="Trebuchet MS"/>
                        <w:sz w:val="20"/>
                      </w:rPr>
                    </w:pPr>
                    <w:r>
                      <w:rPr>
                        <w:rFonts w:ascii="Trebuchet MS"/>
                        <w:color w:val="231F20"/>
                        <w:w w:val="95"/>
                        <w:sz w:val="20"/>
                      </w:rPr>
                      <w:t>35.</w:t>
                    </w:r>
                  </w:p>
                </w:txbxContent>
              </v:textbox>
            </v:shape>
            <v:shape id="_x0000_s1192" type="#_x0000_t202" style="position:absolute;left:1814;top:492;width:2759;height:376" filled="f" stroked="f">
              <v:textbox inset="0,0,0,0">
                <w:txbxContent>
                  <w:p w14:paraId="395C88B6" w14:textId="77777777" w:rsidR="00894070" w:rsidRDefault="009B7AFD">
                    <w:pPr>
                      <w:spacing w:line="376" w:lineRule="exact"/>
                      <w:rPr>
                        <w:rFonts w:ascii="Raleway ExtraBold"/>
                        <w:b/>
                        <w:sz w:val="32"/>
                      </w:rPr>
                    </w:pPr>
                    <w:r>
                      <w:rPr>
                        <w:rFonts w:ascii="Raleway ExtraBold"/>
                        <w:b/>
                        <w:color w:val="EA5B50"/>
                        <w:spacing w:val="-3"/>
                        <w:sz w:val="32"/>
                      </w:rPr>
                      <w:t>Recommendation</w:t>
                    </w:r>
                  </w:p>
                </w:txbxContent>
              </v:textbox>
            </v:shape>
            <w10:wrap type="topAndBottom" anchorx="page"/>
          </v:group>
        </w:pict>
      </w:r>
    </w:p>
    <w:p w14:paraId="2201FE72" w14:textId="77777777" w:rsidR="00894070" w:rsidRDefault="00894070">
      <w:pPr>
        <w:pStyle w:val="BodyText"/>
      </w:pPr>
    </w:p>
    <w:p w14:paraId="418B0FDD" w14:textId="77777777" w:rsidR="00894070" w:rsidRDefault="009B7AFD">
      <w:pPr>
        <w:pStyle w:val="Heading7"/>
        <w:spacing w:before="187"/>
      </w:pPr>
      <w:r>
        <w:rPr>
          <w:color w:val="EA5B50"/>
        </w:rPr>
        <w:t>Breaching intervention orders: are new offences needed?</w:t>
      </w:r>
    </w:p>
    <w:p w14:paraId="0EEC70D2" w14:textId="77777777" w:rsidR="00894070" w:rsidRDefault="009F6793">
      <w:pPr>
        <w:pStyle w:val="BodyText"/>
        <w:spacing w:before="2"/>
        <w:rPr>
          <w:rFonts w:ascii="Raleway ExtraBold"/>
          <w:b/>
          <w:sz w:val="25"/>
        </w:rPr>
      </w:pPr>
      <w:r>
        <w:pict w14:anchorId="30ECE40D">
          <v:shape id="_x0000_s1190" type="#_x0000_t202" style="position:absolute;margin-left:79.6pt;margin-top:19.65pt;width:436.05pt;height:68.1pt;z-index:251738112;mso-wrap-distance-left:0;mso-wrap-distance-right:0;mso-position-horizontal-relative:page" fillcolor="#fee7de" strokecolor="#ea5b50" strokeweight=".5pt">
            <v:textbox inset="0,0,0,0">
              <w:txbxContent>
                <w:p w14:paraId="3DEC6502" w14:textId="77777777" w:rsidR="00894070" w:rsidRDefault="00894070">
                  <w:pPr>
                    <w:pStyle w:val="BodyText"/>
                    <w:spacing w:before="3"/>
                    <w:rPr>
                      <w:rFonts w:ascii="Raleway ExtraBold"/>
                      <w:b/>
                      <w:sz w:val="15"/>
                    </w:rPr>
                  </w:pPr>
                </w:p>
                <w:p w14:paraId="30EBBFE4" w14:textId="77777777" w:rsidR="00894070" w:rsidRDefault="009B7AFD">
                  <w:pPr>
                    <w:pStyle w:val="BodyText"/>
                    <w:spacing w:line="206" w:lineRule="auto"/>
                    <w:ind w:left="221" w:right="242"/>
                    <w:rPr>
                      <w:sz w:val="11"/>
                    </w:rPr>
                  </w:pPr>
                  <w:r>
                    <w:rPr>
                      <w:color w:val="231F20"/>
                    </w:rPr>
                    <w:t>What was the point of the days spent compiling evidence, preparing the PSIO application twice (as an Undertaking was also breached), 2 days attending court, months of being in fear of our safety, for nothing. Just to feel as vulnerable, unsafe and unprotected as ever. No wonder people don’t bother.</w:t>
                  </w:r>
                  <w:r>
                    <w:rPr>
                      <w:color w:val="231F20"/>
                      <w:position w:val="7"/>
                      <w:sz w:val="11"/>
                    </w:rPr>
                    <w:t>109</w:t>
                  </w:r>
                </w:p>
              </w:txbxContent>
            </v:textbox>
            <w10:wrap type="topAndBottom" anchorx="page"/>
          </v:shape>
        </w:pict>
      </w:r>
    </w:p>
    <w:p w14:paraId="1FB0F278" w14:textId="77777777" w:rsidR="00894070" w:rsidRDefault="00894070">
      <w:pPr>
        <w:pStyle w:val="BodyText"/>
        <w:spacing w:before="6"/>
        <w:rPr>
          <w:rFonts w:ascii="Raleway ExtraBold"/>
          <w:b/>
          <w:sz w:val="19"/>
        </w:rPr>
      </w:pPr>
    </w:p>
    <w:p w14:paraId="6252B8B0" w14:textId="77777777" w:rsidR="00894070" w:rsidRDefault="009B7AFD">
      <w:pPr>
        <w:pStyle w:val="ListParagraph"/>
        <w:numPr>
          <w:ilvl w:val="1"/>
          <w:numId w:val="65"/>
        </w:numPr>
        <w:tabs>
          <w:tab w:val="left" w:pos="1801"/>
          <w:tab w:val="left" w:pos="1802"/>
        </w:tabs>
        <w:spacing w:before="89" w:line="206" w:lineRule="auto"/>
        <w:ind w:right="1246"/>
        <w:rPr>
          <w:sz w:val="20"/>
        </w:rPr>
      </w:pPr>
      <w:r>
        <w:rPr>
          <w:color w:val="231F20"/>
          <w:sz w:val="20"/>
        </w:rPr>
        <w:t xml:space="preserve">The civil response to non-family violence stalking is </w:t>
      </w:r>
      <w:proofErr w:type="gramStart"/>
      <w:r>
        <w:rPr>
          <w:color w:val="231F20"/>
          <w:spacing w:val="-3"/>
          <w:sz w:val="20"/>
        </w:rPr>
        <w:t xml:space="preserve">through </w:t>
      </w:r>
      <w:r>
        <w:rPr>
          <w:color w:val="231F20"/>
          <w:sz w:val="20"/>
        </w:rPr>
        <w:t>the use of</w:t>
      </w:r>
      <w:proofErr w:type="gramEnd"/>
      <w:r>
        <w:rPr>
          <w:color w:val="231F20"/>
          <w:sz w:val="20"/>
        </w:rPr>
        <w:t xml:space="preserve"> PSIOs (see </w:t>
      </w:r>
      <w:r>
        <w:rPr>
          <w:color w:val="231F20"/>
          <w:spacing w:val="-3"/>
          <w:sz w:val="20"/>
        </w:rPr>
        <w:t>Chapter</w:t>
      </w:r>
      <w:r>
        <w:rPr>
          <w:color w:val="231F20"/>
          <w:spacing w:val="-9"/>
          <w:sz w:val="20"/>
        </w:rPr>
        <w:t xml:space="preserve"> </w:t>
      </w:r>
      <w:r>
        <w:rPr>
          <w:color w:val="231F20"/>
          <w:spacing w:val="-4"/>
          <w:sz w:val="20"/>
        </w:rPr>
        <w:t>6).</w:t>
      </w:r>
      <w:r>
        <w:rPr>
          <w:color w:val="231F20"/>
          <w:spacing w:val="-9"/>
          <w:sz w:val="20"/>
        </w:rPr>
        <w:t xml:space="preserve"> </w:t>
      </w:r>
      <w:r>
        <w:rPr>
          <w:color w:val="231F20"/>
          <w:sz w:val="20"/>
        </w:rPr>
        <w:t>PSIOs</w:t>
      </w:r>
      <w:r>
        <w:rPr>
          <w:color w:val="231F20"/>
          <w:spacing w:val="-9"/>
          <w:sz w:val="20"/>
        </w:rPr>
        <w:t xml:space="preserve"> </w:t>
      </w:r>
      <w:r>
        <w:rPr>
          <w:color w:val="231F20"/>
          <w:spacing w:val="-3"/>
          <w:sz w:val="20"/>
        </w:rPr>
        <w:t>are</w:t>
      </w:r>
      <w:r>
        <w:rPr>
          <w:color w:val="231F20"/>
          <w:spacing w:val="-8"/>
          <w:sz w:val="20"/>
        </w:rPr>
        <w:t xml:space="preserve"> </w:t>
      </w:r>
      <w:r>
        <w:rPr>
          <w:color w:val="231F20"/>
          <w:sz w:val="20"/>
        </w:rPr>
        <w:t>civil</w:t>
      </w:r>
      <w:r>
        <w:rPr>
          <w:color w:val="231F20"/>
          <w:spacing w:val="-9"/>
          <w:sz w:val="20"/>
        </w:rPr>
        <w:t xml:space="preserve"> </w:t>
      </w:r>
      <w:r>
        <w:rPr>
          <w:color w:val="231F20"/>
          <w:sz w:val="20"/>
        </w:rPr>
        <w:t>orders</w:t>
      </w:r>
      <w:r>
        <w:rPr>
          <w:color w:val="231F20"/>
          <w:spacing w:val="-9"/>
          <w:sz w:val="20"/>
        </w:rPr>
        <w:t xml:space="preserve"> </w:t>
      </w:r>
      <w:r>
        <w:rPr>
          <w:color w:val="231F20"/>
          <w:sz w:val="20"/>
        </w:rPr>
        <w:t>granted</w:t>
      </w:r>
      <w:r>
        <w:rPr>
          <w:color w:val="231F20"/>
          <w:spacing w:val="-8"/>
          <w:sz w:val="20"/>
        </w:rPr>
        <w:t xml:space="preserve"> </w:t>
      </w:r>
      <w:r>
        <w:rPr>
          <w:color w:val="231F20"/>
          <w:spacing w:val="-3"/>
          <w:sz w:val="20"/>
        </w:rPr>
        <w:t>by</w:t>
      </w:r>
      <w:r>
        <w:rPr>
          <w:color w:val="231F20"/>
          <w:spacing w:val="-9"/>
          <w:sz w:val="20"/>
        </w:rPr>
        <w:t xml:space="preserve"> </w:t>
      </w:r>
      <w:r>
        <w:rPr>
          <w:color w:val="231F20"/>
          <w:sz w:val="20"/>
        </w:rPr>
        <w:t>the</w:t>
      </w:r>
      <w:r>
        <w:rPr>
          <w:color w:val="231F20"/>
          <w:spacing w:val="-9"/>
          <w:sz w:val="20"/>
        </w:rPr>
        <w:t xml:space="preserve"> </w:t>
      </w:r>
      <w:r>
        <w:rPr>
          <w:color w:val="231F20"/>
          <w:sz w:val="20"/>
        </w:rPr>
        <w:t>court</w:t>
      </w:r>
      <w:r>
        <w:rPr>
          <w:color w:val="231F20"/>
          <w:spacing w:val="-9"/>
          <w:sz w:val="20"/>
        </w:rPr>
        <w:t xml:space="preserve"> </w:t>
      </w:r>
      <w:r>
        <w:rPr>
          <w:color w:val="231F20"/>
          <w:sz w:val="20"/>
        </w:rPr>
        <w:t>to</w:t>
      </w:r>
      <w:r>
        <w:rPr>
          <w:color w:val="231F20"/>
          <w:spacing w:val="-8"/>
          <w:sz w:val="20"/>
        </w:rPr>
        <w:t xml:space="preserve"> </w:t>
      </w:r>
      <w:r>
        <w:rPr>
          <w:color w:val="231F20"/>
          <w:sz w:val="20"/>
        </w:rPr>
        <w:t>ensure</w:t>
      </w:r>
      <w:r>
        <w:rPr>
          <w:color w:val="231F20"/>
          <w:spacing w:val="-9"/>
          <w:sz w:val="20"/>
        </w:rPr>
        <w:t xml:space="preserve"> </w:t>
      </w:r>
      <w:r>
        <w:rPr>
          <w:color w:val="231F20"/>
          <w:sz w:val="20"/>
        </w:rPr>
        <w:t>the</w:t>
      </w:r>
      <w:r>
        <w:rPr>
          <w:color w:val="231F20"/>
          <w:spacing w:val="-9"/>
          <w:sz w:val="20"/>
        </w:rPr>
        <w:t xml:space="preserve"> </w:t>
      </w:r>
      <w:r>
        <w:rPr>
          <w:color w:val="231F20"/>
          <w:sz w:val="20"/>
        </w:rPr>
        <w:t>safety</w:t>
      </w:r>
      <w:r>
        <w:rPr>
          <w:color w:val="231F20"/>
          <w:spacing w:val="-9"/>
          <w:sz w:val="20"/>
        </w:rPr>
        <w:t xml:space="preserve"> </w:t>
      </w:r>
      <w:r>
        <w:rPr>
          <w:color w:val="231F20"/>
          <w:sz w:val="20"/>
        </w:rPr>
        <w:t>of</w:t>
      </w:r>
      <w:r>
        <w:rPr>
          <w:color w:val="231F20"/>
          <w:spacing w:val="-8"/>
          <w:sz w:val="20"/>
        </w:rPr>
        <w:t xml:space="preserve"> </w:t>
      </w:r>
      <w:r>
        <w:rPr>
          <w:color w:val="231F20"/>
          <w:sz w:val="20"/>
        </w:rPr>
        <w:t>victims</w:t>
      </w:r>
      <w:r>
        <w:rPr>
          <w:color w:val="231F20"/>
          <w:spacing w:val="-9"/>
          <w:sz w:val="20"/>
        </w:rPr>
        <w:t xml:space="preserve"> </w:t>
      </w:r>
      <w:r>
        <w:rPr>
          <w:color w:val="231F20"/>
          <w:sz w:val="20"/>
        </w:rPr>
        <w:t xml:space="preserve">of </w:t>
      </w:r>
      <w:proofErr w:type="gramStart"/>
      <w:r>
        <w:rPr>
          <w:color w:val="231F20"/>
          <w:sz w:val="20"/>
        </w:rPr>
        <w:t>particular behaviours</w:t>
      </w:r>
      <w:proofErr w:type="gramEnd"/>
      <w:r>
        <w:rPr>
          <w:color w:val="231F20"/>
          <w:sz w:val="20"/>
        </w:rPr>
        <w:t>, including</w:t>
      </w:r>
      <w:r>
        <w:rPr>
          <w:color w:val="231F20"/>
          <w:spacing w:val="-14"/>
          <w:sz w:val="20"/>
        </w:rPr>
        <w:t xml:space="preserve"> </w:t>
      </w:r>
      <w:r>
        <w:rPr>
          <w:color w:val="231F20"/>
          <w:sz w:val="20"/>
        </w:rPr>
        <w:t>stalking.</w:t>
      </w:r>
    </w:p>
    <w:p w14:paraId="1A8422A3" w14:textId="77777777" w:rsidR="00894070" w:rsidRDefault="009B7AFD">
      <w:pPr>
        <w:pStyle w:val="ListParagraph"/>
        <w:numPr>
          <w:ilvl w:val="1"/>
          <w:numId w:val="65"/>
        </w:numPr>
        <w:tabs>
          <w:tab w:val="left" w:pos="1801"/>
          <w:tab w:val="left" w:pos="1802"/>
        </w:tabs>
        <w:spacing w:before="124" w:line="206" w:lineRule="auto"/>
        <w:ind w:right="1171"/>
        <w:rPr>
          <w:sz w:val="11"/>
        </w:rPr>
      </w:pPr>
      <w:r>
        <w:rPr>
          <w:color w:val="231F20"/>
          <w:sz w:val="20"/>
        </w:rPr>
        <w:t>The</w:t>
      </w:r>
      <w:r>
        <w:rPr>
          <w:color w:val="231F20"/>
          <w:spacing w:val="-10"/>
          <w:sz w:val="20"/>
        </w:rPr>
        <w:t xml:space="preserve"> </w:t>
      </w:r>
      <w:r>
        <w:rPr>
          <w:color w:val="231F20"/>
          <w:sz w:val="20"/>
        </w:rPr>
        <w:t>PSIO</w:t>
      </w:r>
      <w:r>
        <w:rPr>
          <w:color w:val="231F20"/>
          <w:spacing w:val="-9"/>
          <w:sz w:val="20"/>
        </w:rPr>
        <w:t xml:space="preserve"> </w:t>
      </w:r>
      <w:r>
        <w:rPr>
          <w:color w:val="231F20"/>
          <w:spacing w:val="-2"/>
          <w:sz w:val="20"/>
        </w:rPr>
        <w:t>system</w:t>
      </w:r>
      <w:r>
        <w:rPr>
          <w:color w:val="231F20"/>
          <w:spacing w:val="-10"/>
          <w:sz w:val="20"/>
        </w:rPr>
        <w:t xml:space="preserve"> </w:t>
      </w:r>
      <w:r>
        <w:rPr>
          <w:color w:val="231F20"/>
          <w:spacing w:val="-3"/>
          <w:sz w:val="20"/>
        </w:rPr>
        <w:t>provides</w:t>
      </w:r>
      <w:r>
        <w:rPr>
          <w:color w:val="231F20"/>
          <w:spacing w:val="-9"/>
          <w:sz w:val="20"/>
        </w:rPr>
        <w:t xml:space="preserve"> </w:t>
      </w:r>
      <w:r>
        <w:rPr>
          <w:color w:val="231F20"/>
          <w:sz w:val="20"/>
        </w:rPr>
        <w:t>a</w:t>
      </w:r>
      <w:r>
        <w:rPr>
          <w:color w:val="231F20"/>
          <w:spacing w:val="-9"/>
          <w:sz w:val="20"/>
        </w:rPr>
        <w:t xml:space="preserve"> </w:t>
      </w:r>
      <w:r>
        <w:rPr>
          <w:color w:val="231F20"/>
          <w:sz w:val="20"/>
        </w:rPr>
        <w:t>civil</w:t>
      </w:r>
      <w:r>
        <w:rPr>
          <w:color w:val="231F20"/>
          <w:spacing w:val="-10"/>
          <w:sz w:val="20"/>
        </w:rPr>
        <w:t xml:space="preserve"> </w:t>
      </w:r>
      <w:r>
        <w:rPr>
          <w:color w:val="231F20"/>
          <w:sz w:val="20"/>
        </w:rPr>
        <w:t>justice</w:t>
      </w:r>
      <w:r>
        <w:rPr>
          <w:color w:val="231F20"/>
          <w:spacing w:val="-9"/>
          <w:sz w:val="20"/>
        </w:rPr>
        <w:t xml:space="preserve"> </w:t>
      </w:r>
      <w:r>
        <w:rPr>
          <w:color w:val="231F20"/>
          <w:sz w:val="20"/>
        </w:rPr>
        <w:t>response</w:t>
      </w:r>
      <w:r>
        <w:rPr>
          <w:color w:val="231F20"/>
          <w:spacing w:val="-10"/>
          <w:sz w:val="20"/>
        </w:rPr>
        <w:t xml:space="preserve"> </w:t>
      </w:r>
      <w:r>
        <w:rPr>
          <w:color w:val="231F20"/>
          <w:sz w:val="20"/>
        </w:rPr>
        <w:t>to</w:t>
      </w:r>
      <w:r>
        <w:rPr>
          <w:color w:val="231F20"/>
          <w:spacing w:val="-9"/>
          <w:sz w:val="20"/>
        </w:rPr>
        <w:t xml:space="preserve"> </w:t>
      </w:r>
      <w:r>
        <w:rPr>
          <w:color w:val="231F20"/>
          <w:sz w:val="20"/>
        </w:rPr>
        <w:t>stalking,</w:t>
      </w:r>
      <w:r>
        <w:rPr>
          <w:color w:val="231F20"/>
          <w:spacing w:val="-9"/>
          <w:sz w:val="20"/>
        </w:rPr>
        <w:t xml:space="preserve"> </w:t>
      </w:r>
      <w:r>
        <w:rPr>
          <w:color w:val="231F20"/>
          <w:sz w:val="20"/>
        </w:rPr>
        <w:t>but</w:t>
      </w:r>
      <w:r>
        <w:rPr>
          <w:color w:val="231F20"/>
          <w:spacing w:val="-10"/>
          <w:sz w:val="20"/>
        </w:rPr>
        <w:t xml:space="preserve"> </w:t>
      </w:r>
      <w:r>
        <w:rPr>
          <w:color w:val="231F20"/>
          <w:sz w:val="20"/>
        </w:rPr>
        <w:t>it</w:t>
      </w:r>
      <w:r>
        <w:rPr>
          <w:color w:val="231F20"/>
          <w:spacing w:val="-9"/>
          <w:sz w:val="20"/>
        </w:rPr>
        <w:t xml:space="preserve"> </w:t>
      </w:r>
      <w:r>
        <w:rPr>
          <w:color w:val="231F20"/>
          <w:sz w:val="20"/>
        </w:rPr>
        <w:t>is</w:t>
      </w:r>
      <w:r>
        <w:rPr>
          <w:color w:val="231F20"/>
          <w:spacing w:val="-10"/>
          <w:sz w:val="20"/>
        </w:rPr>
        <w:t xml:space="preserve"> </w:t>
      </w:r>
      <w:r>
        <w:rPr>
          <w:color w:val="231F20"/>
          <w:sz w:val="20"/>
        </w:rPr>
        <w:t>a</w:t>
      </w:r>
      <w:r>
        <w:rPr>
          <w:color w:val="231F20"/>
          <w:spacing w:val="-9"/>
          <w:sz w:val="20"/>
        </w:rPr>
        <w:t xml:space="preserve"> </w:t>
      </w:r>
      <w:r>
        <w:rPr>
          <w:color w:val="231F20"/>
          <w:sz w:val="20"/>
        </w:rPr>
        <w:t>criminal</w:t>
      </w:r>
      <w:r>
        <w:rPr>
          <w:color w:val="231F20"/>
          <w:spacing w:val="-9"/>
          <w:sz w:val="20"/>
        </w:rPr>
        <w:t xml:space="preserve"> </w:t>
      </w:r>
      <w:r>
        <w:rPr>
          <w:color w:val="231F20"/>
          <w:sz w:val="20"/>
        </w:rPr>
        <w:t>offence to</w:t>
      </w:r>
      <w:r>
        <w:rPr>
          <w:color w:val="231F20"/>
          <w:spacing w:val="-9"/>
          <w:sz w:val="20"/>
        </w:rPr>
        <w:t xml:space="preserve"> </w:t>
      </w:r>
      <w:r>
        <w:rPr>
          <w:color w:val="231F20"/>
          <w:sz w:val="20"/>
        </w:rPr>
        <w:t>breach</w:t>
      </w:r>
      <w:r>
        <w:rPr>
          <w:color w:val="231F20"/>
          <w:spacing w:val="-8"/>
          <w:sz w:val="20"/>
        </w:rPr>
        <w:t xml:space="preserve"> </w:t>
      </w:r>
      <w:r>
        <w:rPr>
          <w:color w:val="231F20"/>
          <w:sz w:val="20"/>
        </w:rPr>
        <w:t>the</w:t>
      </w:r>
      <w:r>
        <w:rPr>
          <w:color w:val="231F20"/>
          <w:spacing w:val="-9"/>
          <w:sz w:val="20"/>
        </w:rPr>
        <w:t xml:space="preserve"> </w:t>
      </w:r>
      <w:r>
        <w:rPr>
          <w:color w:val="231F20"/>
          <w:sz w:val="20"/>
        </w:rPr>
        <w:t>conditions</w:t>
      </w:r>
      <w:r>
        <w:rPr>
          <w:color w:val="231F20"/>
          <w:spacing w:val="-8"/>
          <w:sz w:val="20"/>
        </w:rPr>
        <w:t xml:space="preserve"> </w:t>
      </w:r>
      <w:r>
        <w:rPr>
          <w:color w:val="231F20"/>
          <w:sz w:val="20"/>
        </w:rPr>
        <w:t>of</w:t>
      </w:r>
      <w:r>
        <w:rPr>
          <w:color w:val="231F20"/>
          <w:spacing w:val="-8"/>
          <w:sz w:val="20"/>
        </w:rPr>
        <w:t xml:space="preserve"> </w:t>
      </w:r>
      <w:r>
        <w:rPr>
          <w:color w:val="231F20"/>
          <w:sz w:val="20"/>
        </w:rPr>
        <w:t>a</w:t>
      </w:r>
      <w:r>
        <w:rPr>
          <w:color w:val="231F20"/>
          <w:spacing w:val="-9"/>
          <w:sz w:val="20"/>
        </w:rPr>
        <w:t xml:space="preserve"> </w:t>
      </w:r>
      <w:r>
        <w:rPr>
          <w:color w:val="231F20"/>
          <w:sz w:val="20"/>
        </w:rPr>
        <w:t>PSIO.</w:t>
      </w:r>
      <w:r>
        <w:rPr>
          <w:color w:val="231F20"/>
          <w:position w:val="7"/>
          <w:sz w:val="11"/>
        </w:rPr>
        <w:t>110</w:t>
      </w:r>
      <w:r>
        <w:rPr>
          <w:color w:val="231F20"/>
          <w:spacing w:val="16"/>
          <w:position w:val="7"/>
          <w:sz w:val="11"/>
        </w:rPr>
        <w:t xml:space="preserve"> </w:t>
      </w:r>
      <w:r>
        <w:rPr>
          <w:color w:val="231F20"/>
          <w:spacing w:val="-3"/>
          <w:sz w:val="20"/>
        </w:rPr>
        <w:t>For</w:t>
      </w:r>
      <w:r>
        <w:rPr>
          <w:color w:val="231F20"/>
          <w:spacing w:val="-9"/>
          <w:sz w:val="20"/>
        </w:rPr>
        <w:t xml:space="preserve"> </w:t>
      </w:r>
      <w:r>
        <w:rPr>
          <w:color w:val="231F20"/>
          <w:spacing w:val="-3"/>
          <w:sz w:val="20"/>
        </w:rPr>
        <w:t>example,</w:t>
      </w:r>
      <w:r>
        <w:rPr>
          <w:color w:val="231F20"/>
          <w:spacing w:val="-8"/>
          <w:sz w:val="20"/>
        </w:rPr>
        <w:t xml:space="preserve"> </w:t>
      </w:r>
      <w:r>
        <w:rPr>
          <w:color w:val="231F20"/>
          <w:sz w:val="20"/>
        </w:rPr>
        <w:t>it</w:t>
      </w:r>
      <w:r>
        <w:rPr>
          <w:color w:val="231F20"/>
          <w:spacing w:val="-8"/>
          <w:sz w:val="20"/>
        </w:rPr>
        <w:t xml:space="preserve"> </w:t>
      </w:r>
      <w:r>
        <w:rPr>
          <w:color w:val="231F20"/>
          <w:sz w:val="20"/>
        </w:rPr>
        <w:t>is</w:t>
      </w:r>
      <w:r>
        <w:rPr>
          <w:color w:val="231F20"/>
          <w:spacing w:val="-9"/>
          <w:sz w:val="20"/>
        </w:rPr>
        <w:t xml:space="preserve"> </w:t>
      </w:r>
      <w:r>
        <w:rPr>
          <w:color w:val="231F20"/>
          <w:sz w:val="20"/>
        </w:rPr>
        <w:t>an</w:t>
      </w:r>
      <w:r>
        <w:rPr>
          <w:color w:val="231F20"/>
          <w:spacing w:val="-8"/>
          <w:sz w:val="20"/>
        </w:rPr>
        <w:t xml:space="preserve"> </w:t>
      </w:r>
      <w:r>
        <w:rPr>
          <w:color w:val="231F20"/>
          <w:sz w:val="20"/>
        </w:rPr>
        <w:t>offence</w:t>
      </w:r>
      <w:r>
        <w:rPr>
          <w:color w:val="231F20"/>
          <w:spacing w:val="-8"/>
          <w:sz w:val="20"/>
        </w:rPr>
        <w:t xml:space="preserve"> </w:t>
      </w:r>
      <w:r>
        <w:rPr>
          <w:color w:val="231F20"/>
          <w:sz w:val="20"/>
        </w:rPr>
        <w:t>to</w:t>
      </w:r>
      <w:r>
        <w:rPr>
          <w:color w:val="231F20"/>
          <w:spacing w:val="-9"/>
          <w:sz w:val="20"/>
        </w:rPr>
        <w:t xml:space="preserve"> </w:t>
      </w:r>
      <w:r>
        <w:rPr>
          <w:color w:val="231F20"/>
          <w:sz w:val="20"/>
        </w:rPr>
        <w:t>contact</w:t>
      </w:r>
      <w:r>
        <w:rPr>
          <w:color w:val="231F20"/>
          <w:spacing w:val="-8"/>
          <w:sz w:val="20"/>
        </w:rPr>
        <w:t xml:space="preserve"> </w:t>
      </w:r>
      <w:r>
        <w:rPr>
          <w:color w:val="231F20"/>
          <w:sz w:val="20"/>
        </w:rPr>
        <w:t>a</w:t>
      </w:r>
      <w:r>
        <w:rPr>
          <w:color w:val="231F20"/>
          <w:spacing w:val="-9"/>
          <w:sz w:val="20"/>
        </w:rPr>
        <w:t xml:space="preserve"> </w:t>
      </w:r>
      <w:r>
        <w:rPr>
          <w:color w:val="231F20"/>
          <w:spacing w:val="-3"/>
          <w:sz w:val="20"/>
        </w:rPr>
        <w:t xml:space="preserve">protected </w:t>
      </w:r>
      <w:r>
        <w:rPr>
          <w:color w:val="231F20"/>
          <w:sz w:val="20"/>
        </w:rPr>
        <w:t>person,</w:t>
      </w:r>
      <w:r>
        <w:rPr>
          <w:color w:val="231F20"/>
          <w:spacing w:val="-8"/>
          <w:sz w:val="20"/>
        </w:rPr>
        <w:t xml:space="preserve"> </w:t>
      </w:r>
      <w:r>
        <w:rPr>
          <w:color w:val="231F20"/>
          <w:sz w:val="20"/>
        </w:rPr>
        <w:t>or</w:t>
      </w:r>
      <w:r>
        <w:rPr>
          <w:color w:val="231F20"/>
          <w:spacing w:val="-7"/>
          <w:sz w:val="20"/>
        </w:rPr>
        <w:t xml:space="preserve"> </w:t>
      </w:r>
      <w:r>
        <w:rPr>
          <w:color w:val="231F20"/>
          <w:sz w:val="20"/>
        </w:rPr>
        <w:t>be</w:t>
      </w:r>
      <w:r>
        <w:rPr>
          <w:color w:val="231F20"/>
          <w:spacing w:val="-8"/>
          <w:sz w:val="20"/>
        </w:rPr>
        <w:t xml:space="preserve"> </w:t>
      </w:r>
      <w:r>
        <w:rPr>
          <w:color w:val="231F20"/>
          <w:sz w:val="20"/>
        </w:rPr>
        <w:t>within</w:t>
      </w:r>
      <w:r>
        <w:rPr>
          <w:color w:val="231F20"/>
          <w:spacing w:val="-7"/>
          <w:sz w:val="20"/>
        </w:rPr>
        <w:t xml:space="preserve"> </w:t>
      </w:r>
      <w:r>
        <w:rPr>
          <w:color w:val="231F20"/>
          <w:sz w:val="20"/>
        </w:rPr>
        <w:t>a</w:t>
      </w:r>
      <w:r>
        <w:rPr>
          <w:color w:val="231F20"/>
          <w:spacing w:val="-8"/>
          <w:sz w:val="20"/>
        </w:rPr>
        <w:t xml:space="preserve"> </w:t>
      </w:r>
      <w:r>
        <w:rPr>
          <w:color w:val="231F20"/>
          <w:sz w:val="20"/>
        </w:rPr>
        <w:t>certain</w:t>
      </w:r>
      <w:r>
        <w:rPr>
          <w:color w:val="231F20"/>
          <w:spacing w:val="-7"/>
          <w:sz w:val="20"/>
        </w:rPr>
        <w:t xml:space="preserve"> </w:t>
      </w:r>
      <w:r>
        <w:rPr>
          <w:color w:val="231F20"/>
          <w:sz w:val="20"/>
        </w:rPr>
        <w:t>distance</w:t>
      </w:r>
      <w:r>
        <w:rPr>
          <w:color w:val="231F20"/>
          <w:spacing w:val="-8"/>
          <w:sz w:val="20"/>
        </w:rPr>
        <w:t xml:space="preserve"> </w:t>
      </w:r>
      <w:r>
        <w:rPr>
          <w:color w:val="231F20"/>
          <w:sz w:val="20"/>
        </w:rPr>
        <w:t>of</w:t>
      </w:r>
      <w:r>
        <w:rPr>
          <w:color w:val="231F20"/>
          <w:spacing w:val="-7"/>
          <w:sz w:val="20"/>
        </w:rPr>
        <w:t xml:space="preserve"> </w:t>
      </w:r>
      <w:r>
        <w:rPr>
          <w:color w:val="231F20"/>
          <w:sz w:val="20"/>
        </w:rPr>
        <w:t>them,</w:t>
      </w:r>
      <w:r>
        <w:rPr>
          <w:color w:val="231F20"/>
          <w:spacing w:val="-8"/>
          <w:sz w:val="20"/>
        </w:rPr>
        <w:t xml:space="preserve"> </w:t>
      </w:r>
      <w:r>
        <w:rPr>
          <w:color w:val="231F20"/>
          <w:sz w:val="20"/>
        </w:rPr>
        <w:t>when</w:t>
      </w:r>
      <w:r>
        <w:rPr>
          <w:color w:val="231F20"/>
          <w:spacing w:val="-7"/>
          <w:sz w:val="20"/>
        </w:rPr>
        <w:t xml:space="preserve"> </w:t>
      </w:r>
      <w:r>
        <w:rPr>
          <w:color w:val="231F20"/>
          <w:sz w:val="20"/>
        </w:rPr>
        <w:t>this</w:t>
      </w:r>
      <w:r>
        <w:rPr>
          <w:color w:val="231F20"/>
          <w:spacing w:val="-8"/>
          <w:sz w:val="20"/>
        </w:rPr>
        <w:t xml:space="preserve"> </w:t>
      </w:r>
      <w:r>
        <w:rPr>
          <w:color w:val="231F20"/>
          <w:sz w:val="20"/>
        </w:rPr>
        <w:t>is</w:t>
      </w:r>
      <w:r>
        <w:rPr>
          <w:color w:val="231F20"/>
          <w:spacing w:val="-7"/>
          <w:sz w:val="20"/>
        </w:rPr>
        <w:t xml:space="preserve"> </w:t>
      </w:r>
      <w:r>
        <w:rPr>
          <w:color w:val="231F20"/>
          <w:sz w:val="20"/>
        </w:rPr>
        <w:t>prohibited</w:t>
      </w:r>
      <w:r>
        <w:rPr>
          <w:color w:val="231F20"/>
          <w:spacing w:val="-8"/>
          <w:sz w:val="20"/>
        </w:rPr>
        <w:t xml:space="preserve"> </w:t>
      </w:r>
      <w:r>
        <w:rPr>
          <w:color w:val="231F20"/>
          <w:sz w:val="20"/>
        </w:rPr>
        <w:t>under</w:t>
      </w:r>
      <w:r>
        <w:rPr>
          <w:color w:val="231F20"/>
          <w:spacing w:val="-7"/>
          <w:sz w:val="20"/>
        </w:rPr>
        <w:t xml:space="preserve"> </w:t>
      </w:r>
      <w:r>
        <w:rPr>
          <w:color w:val="231F20"/>
          <w:sz w:val="20"/>
        </w:rPr>
        <w:t>a</w:t>
      </w:r>
      <w:r>
        <w:rPr>
          <w:color w:val="231F20"/>
          <w:spacing w:val="-7"/>
          <w:sz w:val="20"/>
        </w:rPr>
        <w:t xml:space="preserve"> </w:t>
      </w:r>
      <w:r>
        <w:rPr>
          <w:color w:val="231F20"/>
          <w:sz w:val="20"/>
        </w:rPr>
        <w:t>PSIO.</w:t>
      </w:r>
      <w:r>
        <w:rPr>
          <w:color w:val="231F20"/>
          <w:position w:val="7"/>
          <w:sz w:val="11"/>
        </w:rPr>
        <w:t>111</w:t>
      </w:r>
    </w:p>
    <w:p w14:paraId="5A3193DD" w14:textId="77777777" w:rsidR="00894070" w:rsidRDefault="00894070">
      <w:pPr>
        <w:pStyle w:val="BodyText"/>
      </w:pPr>
    </w:p>
    <w:p w14:paraId="3B027E85" w14:textId="77777777" w:rsidR="00894070" w:rsidRDefault="00894070">
      <w:pPr>
        <w:pStyle w:val="BodyText"/>
      </w:pPr>
    </w:p>
    <w:p w14:paraId="69BC8A1B" w14:textId="77777777" w:rsidR="00894070" w:rsidRDefault="00894070">
      <w:pPr>
        <w:pStyle w:val="BodyText"/>
      </w:pPr>
    </w:p>
    <w:p w14:paraId="010B2D31" w14:textId="77777777" w:rsidR="00894070" w:rsidRDefault="009F6793">
      <w:pPr>
        <w:pStyle w:val="BodyText"/>
        <w:spacing w:before="1"/>
        <w:rPr>
          <w:sz w:val="23"/>
        </w:rPr>
      </w:pPr>
      <w:r>
        <w:pict w14:anchorId="0AF58B10">
          <v:line id="_x0000_s1189" style="position:absolute;z-index:251739136;mso-wrap-distance-left:0;mso-wrap-distance-right:0;mso-position-horizontal-relative:page" from="79.35pt,18.5pt" to="515.9pt,18.5pt" strokecolor="#f8cabc" strokeweight="1pt">
            <w10:wrap type="topAndBottom" anchorx="page"/>
          </v:line>
        </w:pict>
      </w:r>
    </w:p>
    <w:p w14:paraId="24D15C30" w14:textId="77777777" w:rsidR="00894070" w:rsidRDefault="00894070">
      <w:pPr>
        <w:pStyle w:val="BodyText"/>
        <w:rPr>
          <w:sz w:val="5"/>
        </w:rPr>
      </w:pPr>
    </w:p>
    <w:p w14:paraId="0ECA5770" w14:textId="77777777" w:rsidR="00894070" w:rsidRDefault="00894070">
      <w:pPr>
        <w:rPr>
          <w:sz w:val="5"/>
        </w:rPr>
        <w:sectPr w:rsidR="00894070">
          <w:pgSz w:w="11910" w:h="16840"/>
          <w:pgMar w:top="860" w:right="420" w:bottom="280" w:left="580" w:header="567" w:footer="0" w:gutter="0"/>
          <w:cols w:space="720"/>
        </w:sectPr>
      </w:pPr>
    </w:p>
    <w:p w14:paraId="038912EF" w14:textId="77777777" w:rsidR="00894070" w:rsidRDefault="00894070">
      <w:pPr>
        <w:pStyle w:val="BodyText"/>
        <w:rPr>
          <w:sz w:val="28"/>
        </w:rPr>
      </w:pPr>
    </w:p>
    <w:p w14:paraId="3CA80F3D" w14:textId="77777777" w:rsidR="00894070" w:rsidRDefault="00894070">
      <w:pPr>
        <w:pStyle w:val="BodyText"/>
        <w:spacing w:before="7"/>
        <w:rPr>
          <w:sz w:val="33"/>
        </w:rPr>
      </w:pPr>
    </w:p>
    <w:p w14:paraId="165D6008" w14:textId="77777777" w:rsidR="00894070" w:rsidRDefault="009B7AFD">
      <w:pPr>
        <w:pStyle w:val="Heading8"/>
        <w:spacing w:before="1"/>
        <w:ind w:left="140"/>
      </w:pPr>
      <w:r>
        <w:rPr>
          <w:color w:val="EA5B50"/>
        </w:rPr>
        <w:t>146</w:t>
      </w:r>
    </w:p>
    <w:p w14:paraId="1739CC01" w14:textId="77777777" w:rsidR="00894070" w:rsidRDefault="009B7AFD">
      <w:pPr>
        <w:pStyle w:val="ListParagraph"/>
        <w:numPr>
          <w:ilvl w:val="0"/>
          <w:numId w:val="51"/>
        </w:numPr>
        <w:tabs>
          <w:tab w:val="left" w:pos="933"/>
          <w:tab w:val="left" w:pos="934"/>
        </w:tabs>
        <w:spacing w:before="38" w:line="213" w:lineRule="auto"/>
        <w:ind w:left="933" w:right="1350" w:hanging="793"/>
        <w:jc w:val="left"/>
        <w:rPr>
          <w:sz w:val="13"/>
        </w:rPr>
      </w:pPr>
      <w:r>
        <w:rPr>
          <w:color w:val="231F20"/>
          <w:spacing w:val="3"/>
          <w:sz w:val="13"/>
        </w:rPr>
        <w:br w:type="column"/>
      </w:r>
      <w:r>
        <w:rPr>
          <w:color w:val="231F20"/>
          <w:sz w:val="13"/>
        </w:rPr>
        <w:t xml:space="preserve">Director of </w:t>
      </w:r>
      <w:r>
        <w:rPr>
          <w:color w:val="231F20"/>
          <w:spacing w:val="2"/>
          <w:sz w:val="13"/>
        </w:rPr>
        <w:t xml:space="preserve">Public </w:t>
      </w:r>
      <w:r>
        <w:rPr>
          <w:color w:val="231F20"/>
          <w:sz w:val="13"/>
        </w:rPr>
        <w:t xml:space="preserve">Prosecutions (UK), </w:t>
      </w:r>
      <w:r>
        <w:rPr>
          <w:color w:val="231F20"/>
          <w:spacing w:val="2"/>
          <w:sz w:val="13"/>
        </w:rPr>
        <w:t xml:space="preserve">‘Stalking </w:t>
      </w:r>
      <w:r>
        <w:rPr>
          <w:color w:val="231F20"/>
          <w:sz w:val="13"/>
        </w:rPr>
        <w:t xml:space="preserve">and Harassment’, </w:t>
      </w:r>
      <w:r>
        <w:rPr>
          <w:i/>
          <w:color w:val="231F20"/>
          <w:sz w:val="13"/>
        </w:rPr>
        <w:t xml:space="preserve">Prosecution Guidance </w:t>
      </w:r>
      <w:r>
        <w:rPr>
          <w:color w:val="231F20"/>
          <w:sz w:val="13"/>
        </w:rPr>
        <w:t>(Online, 23 May 2018</w:t>
      </w:r>
      <w:hyperlink r:id="rId183">
        <w:r>
          <w:rPr>
            <w:color w:val="231F20"/>
            <w:sz w:val="13"/>
          </w:rPr>
          <w:t>) &lt;https://www.cps.</w:t>
        </w:r>
      </w:hyperlink>
      <w:hyperlink r:id="rId184">
        <w:r>
          <w:rPr>
            <w:color w:val="231F20"/>
            <w:sz w:val="13"/>
          </w:rPr>
          <w:t xml:space="preserve"> gov.uk/legal-guidance/stalking-and-harassment</w:t>
        </w:r>
      </w:hyperlink>
      <w:r>
        <w:rPr>
          <w:color w:val="231F20"/>
          <w:sz w:val="13"/>
        </w:rPr>
        <w:t>&gt;.</w:t>
      </w:r>
    </w:p>
    <w:p w14:paraId="1F540594" w14:textId="77777777" w:rsidR="00894070" w:rsidRDefault="009B7AFD">
      <w:pPr>
        <w:pStyle w:val="ListParagraph"/>
        <w:numPr>
          <w:ilvl w:val="0"/>
          <w:numId w:val="51"/>
        </w:numPr>
        <w:tabs>
          <w:tab w:val="left" w:pos="933"/>
          <w:tab w:val="left" w:pos="934"/>
        </w:tabs>
        <w:spacing w:line="213" w:lineRule="auto"/>
        <w:ind w:left="933" w:right="1521" w:hanging="793"/>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7566AF9E" w14:textId="77777777" w:rsidR="00894070" w:rsidRDefault="009B7AFD">
      <w:pPr>
        <w:pStyle w:val="ListParagraph"/>
        <w:numPr>
          <w:ilvl w:val="0"/>
          <w:numId w:val="51"/>
        </w:numPr>
        <w:tabs>
          <w:tab w:val="left" w:pos="933"/>
          <w:tab w:val="left" w:pos="934"/>
        </w:tabs>
        <w:spacing w:line="153" w:lineRule="exact"/>
        <w:ind w:left="933" w:hanging="793"/>
        <w:jc w:val="left"/>
        <w:rPr>
          <w:sz w:val="13"/>
        </w:rPr>
      </w:pPr>
      <w:r>
        <w:rPr>
          <w:i/>
          <w:color w:val="231F20"/>
          <w:sz w:val="13"/>
        </w:rPr>
        <w:t xml:space="preserve">Personal Safety Intervention Orders Act 2010 </w:t>
      </w:r>
      <w:r>
        <w:rPr>
          <w:color w:val="231F20"/>
          <w:sz w:val="13"/>
        </w:rPr>
        <w:t>(Vic) s</w:t>
      </w:r>
      <w:r>
        <w:rPr>
          <w:color w:val="231F20"/>
          <w:spacing w:val="3"/>
          <w:sz w:val="13"/>
        </w:rPr>
        <w:t xml:space="preserve"> </w:t>
      </w:r>
      <w:r>
        <w:rPr>
          <w:color w:val="231F20"/>
          <w:sz w:val="13"/>
        </w:rPr>
        <w:t>100.</w:t>
      </w:r>
    </w:p>
    <w:p w14:paraId="7F6C2AB8" w14:textId="77777777" w:rsidR="00894070" w:rsidRDefault="009B7AFD">
      <w:pPr>
        <w:pStyle w:val="ListParagraph"/>
        <w:numPr>
          <w:ilvl w:val="0"/>
          <w:numId w:val="51"/>
        </w:numPr>
        <w:tabs>
          <w:tab w:val="left" w:pos="933"/>
          <w:tab w:val="left" w:pos="934"/>
        </w:tabs>
        <w:spacing w:before="5" w:line="213" w:lineRule="auto"/>
        <w:ind w:left="933" w:right="1276" w:hanging="793"/>
        <w:jc w:val="left"/>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w:t>
      </w:r>
      <w:r>
        <w:rPr>
          <w:color w:val="231F20"/>
          <w:spacing w:val="2"/>
          <w:sz w:val="13"/>
        </w:rPr>
        <w:t xml:space="preserve">[2.8] </w:t>
      </w:r>
      <w:r>
        <w:rPr>
          <w:color w:val="231F20"/>
          <w:sz w:val="13"/>
        </w:rPr>
        <w:t>(listing examples of conditions a court may include in an interim or final PSIO),</w:t>
      </w:r>
      <w:r>
        <w:rPr>
          <w:color w:val="231F20"/>
          <w:spacing w:val="14"/>
          <w:sz w:val="13"/>
        </w:rPr>
        <w:t xml:space="preserve"> </w:t>
      </w:r>
      <w:r>
        <w:rPr>
          <w:color w:val="231F20"/>
          <w:sz w:val="13"/>
        </w:rPr>
        <w:t>[2.9].</w:t>
      </w:r>
    </w:p>
    <w:p w14:paraId="73AFCB74" w14:textId="77777777" w:rsidR="00894070" w:rsidRDefault="00894070">
      <w:pPr>
        <w:spacing w:line="213" w:lineRule="auto"/>
        <w:rPr>
          <w:sz w:val="13"/>
        </w:rPr>
        <w:sectPr w:rsidR="00894070">
          <w:type w:val="continuous"/>
          <w:pgSz w:w="11910" w:h="16840"/>
          <w:pgMar w:top="560" w:right="420" w:bottom="280" w:left="580" w:header="720" w:footer="720" w:gutter="0"/>
          <w:cols w:num="2" w:space="720" w:equalWidth="0">
            <w:col w:w="581" w:space="287"/>
            <w:col w:w="10042"/>
          </w:cols>
        </w:sectPr>
      </w:pPr>
    </w:p>
    <w:p w14:paraId="3A1D0FA9" w14:textId="77777777" w:rsidR="00894070" w:rsidRDefault="00894070">
      <w:pPr>
        <w:pStyle w:val="BodyText"/>
      </w:pPr>
    </w:p>
    <w:p w14:paraId="07EE9D3D" w14:textId="77777777" w:rsidR="00894070" w:rsidRDefault="00894070">
      <w:pPr>
        <w:pStyle w:val="BodyText"/>
      </w:pPr>
    </w:p>
    <w:p w14:paraId="6812F4A4" w14:textId="77777777" w:rsidR="00894070" w:rsidRDefault="00894070">
      <w:pPr>
        <w:pStyle w:val="BodyText"/>
      </w:pPr>
    </w:p>
    <w:p w14:paraId="3A401C5B" w14:textId="77777777" w:rsidR="00894070" w:rsidRDefault="00894070">
      <w:pPr>
        <w:pStyle w:val="BodyText"/>
        <w:spacing w:before="6"/>
        <w:rPr>
          <w:sz w:val="14"/>
        </w:rPr>
      </w:pPr>
    </w:p>
    <w:p w14:paraId="488CB4A9" w14:textId="77777777" w:rsidR="00894070" w:rsidRDefault="009B7AFD">
      <w:pPr>
        <w:pStyle w:val="ListParagraph"/>
        <w:numPr>
          <w:ilvl w:val="1"/>
          <w:numId w:val="65"/>
        </w:numPr>
        <w:tabs>
          <w:tab w:val="left" w:pos="1801"/>
          <w:tab w:val="left" w:pos="1802"/>
        </w:tabs>
        <w:spacing w:before="90" w:line="206" w:lineRule="auto"/>
        <w:ind w:right="1185"/>
        <w:rPr>
          <w:sz w:val="11"/>
        </w:rPr>
      </w:pPr>
      <w:bookmarkStart w:id="167" w:name="_bookmark100"/>
      <w:bookmarkEnd w:id="167"/>
      <w:r>
        <w:rPr>
          <w:color w:val="231F20"/>
          <w:sz w:val="20"/>
        </w:rPr>
        <w:t>Breaching a PSIO is a summary offence with a maximum penalty of two years imprisonment.</w:t>
      </w:r>
      <w:r>
        <w:rPr>
          <w:color w:val="231F20"/>
          <w:position w:val="7"/>
          <w:sz w:val="11"/>
        </w:rPr>
        <w:t xml:space="preserve">112 </w:t>
      </w:r>
      <w:r>
        <w:rPr>
          <w:color w:val="231F20"/>
          <w:sz w:val="20"/>
        </w:rPr>
        <w:t xml:space="preserve">PSIO breaches </w:t>
      </w:r>
      <w:r>
        <w:rPr>
          <w:color w:val="231F20"/>
          <w:spacing w:val="-3"/>
          <w:sz w:val="20"/>
        </w:rPr>
        <w:t xml:space="preserve">are mostly prosecuted </w:t>
      </w:r>
      <w:r>
        <w:rPr>
          <w:color w:val="231F20"/>
          <w:sz w:val="20"/>
        </w:rPr>
        <w:t xml:space="preserve">in the </w:t>
      </w:r>
      <w:r>
        <w:rPr>
          <w:color w:val="231F20"/>
          <w:spacing w:val="-3"/>
          <w:sz w:val="20"/>
        </w:rPr>
        <w:t xml:space="preserve">Magistrates’ </w:t>
      </w:r>
      <w:r>
        <w:rPr>
          <w:color w:val="231F20"/>
          <w:sz w:val="20"/>
        </w:rPr>
        <w:t>Court.</w:t>
      </w:r>
      <w:r>
        <w:rPr>
          <w:color w:val="231F20"/>
          <w:position w:val="7"/>
          <w:sz w:val="11"/>
        </w:rPr>
        <w:t xml:space="preserve">113 </w:t>
      </w:r>
      <w:r>
        <w:rPr>
          <w:color w:val="231F20"/>
          <w:sz w:val="20"/>
        </w:rPr>
        <w:t>But the</w:t>
      </w:r>
      <w:r>
        <w:rPr>
          <w:color w:val="231F20"/>
          <w:spacing w:val="-9"/>
          <w:sz w:val="20"/>
        </w:rPr>
        <w:t xml:space="preserve"> </w:t>
      </w:r>
      <w:r>
        <w:rPr>
          <w:color w:val="231F20"/>
          <w:sz w:val="20"/>
        </w:rPr>
        <w:t>charge</w:t>
      </w:r>
      <w:r>
        <w:rPr>
          <w:color w:val="231F20"/>
          <w:spacing w:val="-8"/>
          <w:sz w:val="20"/>
        </w:rPr>
        <w:t xml:space="preserve"> </w:t>
      </w:r>
      <w:r>
        <w:rPr>
          <w:color w:val="231F20"/>
          <w:spacing w:val="-3"/>
          <w:sz w:val="20"/>
        </w:rPr>
        <w:t>may</w:t>
      </w:r>
      <w:r>
        <w:rPr>
          <w:color w:val="231F20"/>
          <w:spacing w:val="-9"/>
          <w:sz w:val="20"/>
        </w:rPr>
        <w:t xml:space="preserve"> </w:t>
      </w:r>
      <w:r>
        <w:rPr>
          <w:color w:val="231F20"/>
          <w:sz w:val="20"/>
        </w:rPr>
        <w:t>be</w:t>
      </w:r>
      <w:r>
        <w:rPr>
          <w:color w:val="231F20"/>
          <w:spacing w:val="-8"/>
          <w:sz w:val="20"/>
        </w:rPr>
        <w:t xml:space="preserve"> </w:t>
      </w:r>
      <w:r>
        <w:rPr>
          <w:color w:val="231F20"/>
          <w:sz w:val="20"/>
        </w:rPr>
        <w:t>heard</w:t>
      </w:r>
      <w:r>
        <w:rPr>
          <w:color w:val="231F20"/>
          <w:spacing w:val="-8"/>
          <w:sz w:val="20"/>
        </w:rPr>
        <w:t xml:space="preserve"> </w:t>
      </w:r>
      <w:r>
        <w:rPr>
          <w:color w:val="231F20"/>
          <w:sz w:val="20"/>
        </w:rPr>
        <w:t>in</w:t>
      </w:r>
      <w:r>
        <w:rPr>
          <w:color w:val="231F20"/>
          <w:spacing w:val="-9"/>
          <w:sz w:val="20"/>
        </w:rPr>
        <w:t xml:space="preserve"> </w:t>
      </w:r>
      <w:r>
        <w:rPr>
          <w:color w:val="231F20"/>
          <w:sz w:val="20"/>
        </w:rPr>
        <w:t>the</w:t>
      </w:r>
      <w:r>
        <w:rPr>
          <w:color w:val="231F20"/>
          <w:spacing w:val="-8"/>
          <w:sz w:val="20"/>
        </w:rPr>
        <w:t xml:space="preserve"> </w:t>
      </w:r>
      <w:r>
        <w:rPr>
          <w:color w:val="231F20"/>
          <w:sz w:val="20"/>
        </w:rPr>
        <w:t>higher</w:t>
      </w:r>
      <w:r>
        <w:rPr>
          <w:color w:val="231F20"/>
          <w:spacing w:val="-8"/>
          <w:sz w:val="20"/>
        </w:rPr>
        <w:t xml:space="preserve"> </w:t>
      </w:r>
      <w:r>
        <w:rPr>
          <w:color w:val="231F20"/>
          <w:sz w:val="20"/>
        </w:rPr>
        <w:t>courts</w:t>
      </w:r>
      <w:r>
        <w:rPr>
          <w:color w:val="231F20"/>
          <w:spacing w:val="-9"/>
          <w:sz w:val="20"/>
        </w:rPr>
        <w:t xml:space="preserve"> </w:t>
      </w:r>
      <w:r>
        <w:rPr>
          <w:color w:val="231F20"/>
          <w:sz w:val="20"/>
        </w:rPr>
        <w:t>if</w:t>
      </w:r>
      <w:r>
        <w:rPr>
          <w:color w:val="231F20"/>
          <w:spacing w:val="-8"/>
          <w:sz w:val="20"/>
        </w:rPr>
        <w:t xml:space="preserve"> </w:t>
      </w:r>
      <w:r>
        <w:rPr>
          <w:color w:val="231F20"/>
          <w:sz w:val="20"/>
        </w:rPr>
        <w:t>the</w:t>
      </w:r>
      <w:r>
        <w:rPr>
          <w:color w:val="231F20"/>
          <w:spacing w:val="-8"/>
          <w:sz w:val="20"/>
        </w:rPr>
        <w:t xml:space="preserve"> </w:t>
      </w:r>
      <w:r>
        <w:rPr>
          <w:color w:val="231F20"/>
          <w:sz w:val="20"/>
        </w:rPr>
        <w:t>person</w:t>
      </w:r>
      <w:r>
        <w:rPr>
          <w:color w:val="231F20"/>
          <w:spacing w:val="-9"/>
          <w:sz w:val="20"/>
        </w:rPr>
        <w:t xml:space="preserve"> </w:t>
      </w:r>
      <w:r>
        <w:rPr>
          <w:color w:val="231F20"/>
          <w:sz w:val="20"/>
        </w:rPr>
        <w:t>who</w:t>
      </w:r>
      <w:r>
        <w:rPr>
          <w:color w:val="231F20"/>
          <w:spacing w:val="-8"/>
          <w:sz w:val="20"/>
        </w:rPr>
        <w:t xml:space="preserve"> </w:t>
      </w:r>
      <w:r>
        <w:rPr>
          <w:color w:val="231F20"/>
          <w:sz w:val="20"/>
        </w:rPr>
        <w:t>has</w:t>
      </w:r>
      <w:r>
        <w:rPr>
          <w:color w:val="231F20"/>
          <w:spacing w:val="-8"/>
          <w:sz w:val="20"/>
        </w:rPr>
        <w:t xml:space="preserve"> </w:t>
      </w:r>
      <w:r>
        <w:rPr>
          <w:color w:val="231F20"/>
          <w:sz w:val="20"/>
        </w:rPr>
        <w:t>breached</w:t>
      </w:r>
      <w:r>
        <w:rPr>
          <w:color w:val="231F20"/>
          <w:spacing w:val="-9"/>
          <w:sz w:val="20"/>
        </w:rPr>
        <w:t xml:space="preserve"> </w:t>
      </w:r>
      <w:r>
        <w:rPr>
          <w:color w:val="231F20"/>
          <w:sz w:val="20"/>
        </w:rPr>
        <w:t>the</w:t>
      </w:r>
      <w:r>
        <w:rPr>
          <w:color w:val="231F20"/>
          <w:spacing w:val="-8"/>
          <w:sz w:val="20"/>
        </w:rPr>
        <w:t xml:space="preserve"> </w:t>
      </w:r>
      <w:r>
        <w:rPr>
          <w:color w:val="231F20"/>
          <w:sz w:val="20"/>
        </w:rPr>
        <w:t>order is</w:t>
      </w:r>
      <w:r>
        <w:rPr>
          <w:color w:val="231F20"/>
          <w:spacing w:val="-6"/>
          <w:sz w:val="20"/>
        </w:rPr>
        <w:t xml:space="preserve"> </w:t>
      </w:r>
      <w:r>
        <w:rPr>
          <w:color w:val="231F20"/>
          <w:sz w:val="20"/>
        </w:rPr>
        <w:t>charged</w:t>
      </w:r>
      <w:r>
        <w:rPr>
          <w:color w:val="231F20"/>
          <w:spacing w:val="-5"/>
          <w:sz w:val="20"/>
        </w:rPr>
        <w:t xml:space="preserve"> </w:t>
      </w:r>
      <w:r>
        <w:rPr>
          <w:color w:val="231F20"/>
          <w:sz w:val="20"/>
        </w:rPr>
        <w:t>with</w:t>
      </w:r>
      <w:r>
        <w:rPr>
          <w:color w:val="231F20"/>
          <w:spacing w:val="-5"/>
          <w:sz w:val="20"/>
        </w:rPr>
        <w:t xml:space="preserve"> </w:t>
      </w:r>
      <w:r>
        <w:rPr>
          <w:color w:val="231F20"/>
          <w:sz w:val="20"/>
        </w:rPr>
        <w:t>serious</w:t>
      </w:r>
      <w:r>
        <w:rPr>
          <w:color w:val="231F20"/>
          <w:spacing w:val="-5"/>
          <w:sz w:val="20"/>
        </w:rPr>
        <w:t xml:space="preserve"> </w:t>
      </w:r>
      <w:r>
        <w:rPr>
          <w:color w:val="231F20"/>
          <w:sz w:val="20"/>
        </w:rPr>
        <w:t>offences</w:t>
      </w:r>
      <w:r>
        <w:rPr>
          <w:color w:val="231F20"/>
          <w:spacing w:val="-5"/>
          <w:sz w:val="20"/>
        </w:rPr>
        <w:t xml:space="preserve"> </w:t>
      </w:r>
      <w:r>
        <w:rPr>
          <w:color w:val="231F20"/>
          <w:sz w:val="20"/>
        </w:rPr>
        <w:t>that</w:t>
      </w:r>
      <w:r>
        <w:rPr>
          <w:color w:val="231F20"/>
          <w:spacing w:val="-5"/>
          <w:sz w:val="20"/>
        </w:rPr>
        <w:t xml:space="preserve"> </w:t>
      </w:r>
      <w:r>
        <w:rPr>
          <w:color w:val="231F20"/>
          <w:spacing w:val="-3"/>
          <w:sz w:val="20"/>
        </w:rPr>
        <w:t>are</w:t>
      </w:r>
      <w:r>
        <w:rPr>
          <w:color w:val="231F20"/>
          <w:spacing w:val="-5"/>
          <w:sz w:val="20"/>
        </w:rPr>
        <w:t xml:space="preserve"> </w:t>
      </w:r>
      <w:r>
        <w:rPr>
          <w:color w:val="231F20"/>
          <w:spacing w:val="-3"/>
          <w:sz w:val="20"/>
        </w:rPr>
        <w:t>related</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5"/>
          <w:sz w:val="20"/>
        </w:rPr>
        <w:t xml:space="preserve"> </w:t>
      </w:r>
      <w:r>
        <w:rPr>
          <w:color w:val="231F20"/>
          <w:sz w:val="20"/>
        </w:rPr>
        <w:t>breach.</w:t>
      </w:r>
      <w:r>
        <w:rPr>
          <w:color w:val="231F20"/>
          <w:position w:val="7"/>
          <w:sz w:val="11"/>
        </w:rPr>
        <w:t>114</w:t>
      </w:r>
    </w:p>
    <w:p w14:paraId="58FB9CEC" w14:textId="77777777" w:rsidR="00894070" w:rsidRDefault="00894070">
      <w:pPr>
        <w:pStyle w:val="BodyText"/>
        <w:spacing w:before="12"/>
        <w:rPr>
          <w:sz w:val="15"/>
        </w:rPr>
      </w:pPr>
    </w:p>
    <w:p w14:paraId="47BFE84B" w14:textId="77777777" w:rsidR="00894070" w:rsidRDefault="009B7AFD">
      <w:pPr>
        <w:pStyle w:val="Heading8"/>
        <w:ind w:left="1007"/>
      </w:pPr>
      <w:r>
        <w:rPr>
          <w:color w:val="231F20"/>
        </w:rPr>
        <w:t>What do we know about PSIO breach offences?</w:t>
      </w:r>
    </w:p>
    <w:p w14:paraId="283F67EE" w14:textId="77777777" w:rsidR="00894070" w:rsidRDefault="009B7AFD">
      <w:pPr>
        <w:pStyle w:val="ListParagraph"/>
        <w:numPr>
          <w:ilvl w:val="1"/>
          <w:numId w:val="65"/>
        </w:numPr>
        <w:tabs>
          <w:tab w:val="left" w:pos="1801"/>
          <w:tab w:val="left" w:pos="1802"/>
        </w:tabs>
        <w:spacing w:before="127" w:line="206" w:lineRule="auto"/>
        <w:ind w:right="1286"/>
        <w:rPr>
          <w:sz w:val="11"/>
        </w:rPr>
      </w:pPr>
      <w:r>
        <w:rPr>
          <w:color w:val="231F20"/>
          <w:sz w:val="20"/>
        </w:rPr>
        <w:t xml:space="preserve">Between </w:t>
      </w:r>
      <w:r>
        <w:rPr>
          <w:color w:val="231F20"/>
          <w:spacing w:val="-3"/>
          <w:sz w:val="20"/>
        </w:rPr>
        <w:t xml:space="preserve">2011 </w:t>
      </w:r>
      <w:r>
        <w:rPr>
          <w:color w:val="231F20"/>
          <w:sz w:val="20"/>
        </w:rPr>
        <w:t xml:space="preserve">and </w:t>
      </w:r>
      <w:r>
        <w:rPr>
          <w:color w:val="231F20"/>
          <w:spacing w:val="-4"/>
          <w:sz w:val="20"/>
        </w:rPr>
        <w:t xml:space="preserve">2020, </w:t>
      </w:r>
      <w:r>
        <w:rPr>
          <w:color w:val="231F20"/>
          <w:sz w:val="20"/>
        </w:rPr>
        <w:t xml:space="preserve">26,329 PSIO breach offences </w:t>
      </w:r>
      <w:r>
        <w:rPr>
          <w:color w:val="231F20"/>
          <w:spacing w:val="-4"/>
          <w:sz w:val="20"/>
        </w:rPr>
        <w:t xml:space="preserve">were </w:t>
      </w:r>
      <w:r>
        <w:rPr>
          <w:color w:val="231F20"/>
          <w:spacing w:val="-3"/>
          <w:sz w:val="20"/>
        </w:rPr>
        <w:t xml:space="preserve">recorded by </w:t>
      </w:r>
      <w:r>
        <w:rPr>
          <w:color w:val="231F20"/>
          <w:sz w:val="20"/>
        </w:rPr>
        <w:t>police. Of these,</w:t>
      </w:r>
      <w:r>
        <w:rPr>
          <w:color w:val="231F20"/>
          <w:spacing w:val="-10"/>
          <w:sz w:val="20"/>
        </w:rPr>
        <w:t xml:space="preserve"> </w:t>
      </w:r>
      <w:r>
        <w:rPr>
          <w:color w:val="231F20"/>
          <w:sz w:val="20"/>
        </w:rPr>
        <w:t>9,354</w:t>
      </w:r>
      <w:r>
        <w:rPr>
          <w:color w:val="231F20"/>
          <w:spacing w:val="-9"/>
          <w:sz w:val="20"/>
        </w:rPr>
        <w:t xml:space="preserve"> </w:t>
      </w:r>
      <w:r>
        <w:rPr>
          <w:color w:val="231F20"/>
          <w:sz w:val="20"/>
        </w:rPr>
        <w:t>PSIO</w:t>
      </w:r>
      <w:r>
        <w:rPr>
          <w:color w:val="231F20"/>
          <w:spacing w:val="-9"/>
          <w:sz w:val="20"/>
        </w:rPr>
        <w:t xml:space="preserve"> </w:t>
      </w:r>
      <w:r>
        <w:rPr>
          <w:color w:val="231F20"/>
          <w:sz w:val="20"/>
        </w:rPr>
        <w:t>breach</w:t>
      </w:r>
      <w:r>
        <w:rPr>
          <w:color w:val="231F20"/>
          <w:spacing w:val="-9"/>
          <w:sz w:val="20"/>
        </w:rPr>
        <w:t xml:space="preserve"> </w:t>
      </w:r>
      <w:r>
        <w:rPr>
          <w:color w:val="231F20"/>
          <w:sz w:val="20"/>
        </w:rPr>
        <w:t>offences</w:t>
      </w:r>
      <w:r>
        <w:rPr>
          <w:color w:val="231F20"/>
          <w:spacing w:val="-9"/>
          <w:sz w:val="20"/>
        </w:rPr>
        <w:t xml:space="preserve"> </w:t>
      </w:r>
      <w:r>
        <w:rPr>
          <w:color w:val="231F20"/>
          <w:spacing w:val="-4"/>
          <w:sz w:val="20"/>
        </w:rPr>
        <w:t>were</w:t>
      </w:r>
      <w:r>
        <w:rPr>
          <w:color w:val="231F20"/>
          <w:spacing w:val="-9"/>
          <w:sz w:val="20"/>
        </w:rPr>
        <w:t xml:space="preserve"> </w:t>
      </w:r>
      <w:r>
        <w:rPr>
          <w:color w:val="231F20"/>
          <w:sz w:val="20"/>
        </w:rPr>
        <w:t>sentenced</w:t>
      </w:r>
      <w:r>
        <w:rPr>
          <w:color w:val="231F20"/>
          <w:spacing w:val="-9"/>
          <w:sz w:val="20"/>
        </w:rPr>
        <w:t xml:space="preserve"> </w:t>
      </w:r>
      <w:r>
        <w:rPr>
          <w:color w:val="231F20"/>
          <w:sz w:val="20"/>
        </w:rPr>
        <w:t>in</w:t>
      </w:r>
      <w:r>
        <w:rPr>
          <w:color w:val="231F20"/>
          <w:spacing w:val="-9"/>
          <w:sz w:val="20"/>
        </w:rPr>
        <w:t xml:space="preserve"> </w:t>
      </w:r>
      <w:r>
        <w:rPr>
          <w:color w:val="231F20"/>
          <w:sz w:val="20"/>
        </w:rPr>
        <w:t>5,006</w:t>
      </w:r>
      <w:r>
        <w:rPr>
          <w:color w:val="231F20"/>
          <w:spacing w:val="-9"/>
          <w:sz w:val="20"/>
        </w:rPr>
        <w:t xml:space="preserve"> </w:t>
      </w:r>
      <w:r>
        <w:rPr>
          <w:color w:val="231F20"/>
          <w:sz w:val="20"/>
        </w:rPr>
        <w:t>cases.</w:t>
      </w:r>
      <w:r>
        <w:rPr>
          <w:color w:val="231F20"/>
          <w:position w:val="7"/>
          <w:sz w:val="11"/>
        </w:rPr>
        <w:t>115</w:t>
      </w:r>
      <w:r>
        <w:rPr>
          <w:color w:val="231F20"/>
          <w:spacing w:val="14"/>
          <w:position w:val="7"/>
          <w:sz w:val="11"/>
        </w:rPr>
        <w:t xml:space="preserve"> </w:t>
      </w:r>
      <w:r>
        <w:rPr>
          <w:color w:val="231F20"/>
          <w:spacing w:val="-3"/>
          <w:sz w:val="20"/>
        </w:rPr>
        <w:t>Approximately</w:t>
      </w:r>
      <w:r>
        <w:rPr>
          <w:color w:val="231F20"/>
          <w:spacing w:val="-9"/>
          <w:sz w:val="20"/>
        </w:rPr>
        <w:t xml:space="preserve"> </w:t>
      </w:r>
      <w:r>
        <w:rPr>
          <w:color w:val="231F20"/>
          <w:sz w:val="20"/>
        </w:rPr>
        <w:t>20 per</w:t>
      </w:r>
      <w:r>
        <w:rPr>
          <w:color w:val="231F20"/>
          <w:spacing w:val="-6"/>
          <w:sz w:val="20"/>
        </w:rPr>
        <w:t xml:space="preserve"> </w:t>
      </w:r>
      <w:r>
        <w:rPr>
          <w:color w:val="231F20"/>
          <w:sz w:val="20"/>
        </w:rPr>
        <w:t>cent</w:t>
      </w:r>
      <w:r>
        <w:rPr>
          <w:color w:val="231F20"/>
          <w:spacing w:val="-5"/>
          <w:sz w:val="20"/>
        </w:rPr>
        <w:t xml:space="preserve"> </w:t>
      </w:r>
      <w:r>
        <w:rPr>
          <w:color w:val="231F20"/>
          <w:sz w:val="20"/>
        </w:rPr>
        <w:t>of</w:t>
      </w:r>
      <w:r>
        <w:rPr>
          <w:color w:val="231F20"/>
          <w:spacing w:val="-5"/>
          <w:sz w:val="20"/>
        </w:rPr>
        <w:t xml:space="preserve"> </w:t>
      </w:r>
      <w:r>
        <w:rPr>
          <w:color w:val="231F20"/>
          <w:sz w:val="20"/>
        </w:rPr>
        <w:t>PSIOs</w:t>
      </w:r>
      <w:r>
        <w:rPr>
          <w:color w:val="231F20"/>
          <w:spacing w:val="-6"/>
          <w:sz w:val="20"/>
        </w:rPr>
        <w:t xml:space="preserve"> </w:t>
      </w:r>
      <w:r>
        <w:rPr>
          <w:color w:val="231F20"/>
          <w:sz w:val="20"/>
        </w:rPr>
        <w:t>issued</w:t>
      </w:r>
      <w:r>
        <w:rPr>
          <w:color w:val="231F20"/>
          <w:spacing w:val="-5"/>
          <w:sz w:val="20"/>
        </w:rPr>
        <w:t xml:space="preserve"> </w:t>
      </w:r>
      <w:r>
        <w:rPr>
          <w:color w:val="231F20"/>
          <w:spacing w:val="-3"/>
          <w:sz w:val="20"/>
        </w:rPr>
        <w:t>result</w:t>
      </w:r>
      <w:r>
        <w:rPr>
          <w:color w:val="231F20"/>
          <w:spacing w:val="-5"/>
          <w:sz w:val="20"/>
        </w:rPr>
        <w:t xml:space="preserve"> </w:t>
      </w:r>
      <w:r>
        <w:rPr>
          <w:color w:val="231F20"/>
          <w:sz w:val="20"/>
        </w:rPr>
        <w:t>in</w:t>
      </w:r>
      <w:r>
        <w:rPr>
          <w:color w:val="231F20"/>
          <w:spacing w:val="-6"/>
          <w:sz w:val="20"/>
        </w:rPr>
        <w:t xml:space="preserve"> </w:t>
      </w:r>
      <w:r>
        <w:rPr>
          <w:color w:val="231F20"/>
          <w:sz w:val="20"/>
        </w:rPr>
        <w:t>reports</w:t>
      </w:r>
      <w:r>
        <w:rPr>
          <w:color w:val="231F20"/>
          <w:spacing w:val="-5"/>
          <w:sz w:val="20"/>
        </w:rPr>
        <w:t xml:space="preserve"> </w:t>
      </w:r>
      <w:r>
        <w:rPr>
          <w:color w:val="231F20"/>
          <w:sz w:val="20"/>
        </w:rPr>
        <w:t>to</w:t>
      </w:r>
      <w:r>
        <w:rPr>
          <w:color w:val="231F20"/>
          <w:spacing w:val="-5"/>
          <w:sz w:val="20"/>
        </w:rPr>
        <w:t xml:space="preserve"> </w:t>
      </w:r>
      <w:r>
        <w:rPr>
          <w:color w:val="231F20"/>
          <w:sz w:val="20"/>
        </w:rPr>
        <w:t>police</w:t>
      </w:r>
      <w:r>
        <w:rPr>
          <w:color w:val="231F20"/>
          <w:spacing w:val="-6"/>
          <w:sz w:val="20"/>
        </w:rPr>
        <w:t xml:space="preserve"> </w:t>
      </w:r>
      <w:r>
        <w:rPr>
          <w:color w:val="231F20"/>
          <w:sz w:val="20"/>
        </w:rPr>
        <w:t>of</w:t>
      </w:r>
      <w:r>
        <w:rPr>
          <w:color w:val="231F20"/>
          <w:spacing w:val="-5"/>
          <w:sz w:val="20"/>
        </w:rPr>
        <w:t xml:space="preserve"> </w:t>
      </w:r>
      <w:r>
        <w:rPr>
          <w:color w:val="231F20"/>
          <w:sz w:val="20"/>
        </w:rPr>
        <w:t>alleged</w:t>
      </w:r>
      <w:r>
        <w:rPr>
          <w:color w:val="231F20"/>
          <w:spacing w:val="-5"/>
          <w:sz w:val="20"/>
        </w:rPr>
        <w:t xml:space="preserve"> </w:t>
      </w:r>
      <w:r>
        <w:rPr>
          <w:color w:val="231F20"/>
          <w:sz w:val="20"/>
        </w:rPr>
        <w:t>breaches.</w:t>
      </w:r>
      <w:r>
        <w:rPr>
          <w:color w:val="231F20"/>
          <w:position w:val="7"/>
          <w:sz w:val="11"/>
        </w:rPr>
        <w:t>116</w:t>
      </w:r>
    </w:p>
    <w:p w14:paraId="2382D168" w14:textId="77777777" w:rsidR="00894070" w:rsidRDefault="009B7AFD">
      <w:pPr>
        <w:pStyle w:val="ListParagraph"/>
        <w:numPr>
          <w:ilvl w:val="1"/>
          <w:numId w:val="65"/>
        </w:numPr>
        <w:tabs>
          <w:tab w:val="left" w:pos="1801"/>
          <w:tab w:val="left" w:pos="1802"/>
        </w:tabs>
        <w:spacing w:before="124" w:line="206" w:lineRule="auto"/>
        <w:ind w:right="1332"/>
        <w:rPr>
          <w:sz w:val="11"/>
        </w:rPr>
      </w:pPr>
      <w:r>
        <w:rPr>
          <w:color w:val="231F20"/>
          <w:sz w:val="20"/>
        </w:rPr>
        <w:t>Sentencing</w:t>
      </w:r>
      <w:r>
        <w:rPr>
          <w:color w:val="231F20"/>
          <w:spacing w:val="-12"/>
          <w:sz w:val="20"/>
        </w:rPr>
        <w:t xml:space="preserve"> </w:t>
      </w:r>
      <w:r>
        <w:rPr>
          <w:color w:val="231F20"/>
          <w:spacing w:val="-3"/>
          <w:sz w:val="20"/>
        </w:rPr>
        <w:t>for</w:t>
      </w:r>
      <w:r>
        <w:rPr>
          <w:color w:val="231F20"/>
          <w:spacing w:val="-12"/>
          <w:sz w:val="20"/>
        </w:rPr>
        <w:t xml:space="preserve"> </w:t>
      </w:r>
      <w:r>
        <w:rPr>
          <w:color w:val="231F20"/>
          <w:sz w:val="20"/>
        </w:rPr>
        <w:t>PSIO</w:t>
      </w:r>
      <w:r>
        <w:rPr>
          <w:color w:val="231F20"/>
          <w:spacing w:val="-11"/>
          <w:sz w:val="20"/>
        </w:rPr>
        <w:t xml:space="preserve"> </w:t>
      </w:r>
      <w:r>
        <w:rPr>
          <w:color w:val="231F20"/>
          <w:sz w:val="20"/>
        </w:rPr>
        <w:t>breach</w:t>
      </w:r>
      <w:r>
        <w:rPr>
          <w:color w:val="231F20"/>
          <w:spacing w:val="-12"/>
          <w:sz w:val="20"/>
        </w:rPr>
        <w:t xml:space="preserve"> </w:t>
      </w:r>
      <w:r>
        <w:rPr>
          <w:color w:val="231F20"/>
          <w:sz w:val="20"/>
        </w:rPr>
        <w:t>offences</w:t>
      </w:r>
      <w:r>
        <w:rPr>
          <w:color w:val="231F20"/>
          <w:spacing w:val="-11"/>
          <w:sz w:val="20"/>
        </w:rPr>
        <w:t xml:space="preserve"> </w:t>
      </w:r>
      <w:r>
        <w:rPr>
          <w:color w:val="231F20"/>
          <w:sz w:val="20"/>
        </w:rPr>
        <w:t>was</w:t>
      </w:r>
      <w:r>
        <w:rPr>
          <w:color w:val="231F20"/>
          <w:spacing w:val="-12"/>
          <w:sz w:val="20"/>
        </w:rPr>
        <w:t xml:space="preserve"> </w:t>
      </w:r>
      <w:r>
        <w:rPr>
          <w:color w:val="231F20"/>
          <w:spacing w:val="-3"/>
          <w:sz w:val="20"/>
        </w:rPr>
        <w:t>overrepresented</w:t>
      </w:r>
      <w:r>
        <w:rPr>
          <w:color w:val="231F20"/>
          <w:spacing w:val="-11"/>
          <w:sz w:val="20"/>
        </w:rPr>
        <w:t xml:space="preserve"> </w:t>
      </w:r>
      <w:r>
        <w:rPr>
          <w:color w:val="231F20"/>
          <w:sz w:val="20"/>
        </w:rPr>
        <w:t>in</w:t>
      </w:r>
      <w:r>
        <w:rPr>
          <w:color w:val="231F20"/>
          <w:spacing w:val="-12"/>
          <w:sz w:val="20"/>
        </w:rPr>
        <w:t xml:space="preserve"> </w:t>
      </w:r>
      <w:r>
        <w:rPr>
          <w:color w:val="231F20"/>
          <w:sz w:val="20"/>
        </w:rPr>
        <w:t>rural</w:t>
      </w:r>
      <w:r>
        <w:rPr>
          <w:color w:val="231F20"/>
          <w:spacing w:val="-11"/>
          <w:sz w:val="20"/>
        </w:rPr>
        <w:t xml:space="preserve"> </w:t>
      </w:r>
      <w:r>
        <w:rPr>
          <w:color w:val="231F20"/>
          <w:sz w:val="20"/>
        </w:rPr>
        <w:t>and</w:t>
      </w:r>
      <w:r>
        <w:rPr>
          <w:color w:val="231F20"/>
          <w:spacing w:val="-12"/>
          <w:sz w:val="20"/>
        </w:rPr>
        <w:t xml:space="preserve"> </w:t>
      </w:r>
      <w:r>
        <w:rPr>
          <w:color w:val="231F20"/>
          <w:sz w:val="20"/>
        </w:rPr>
        <w:t>regional</w:t>
      </w:r>
      <w:r>
        <w:rPr>
          <w:color w:val="231F20"/>
          <w:spacing w:val="-11"/>
          <w:sz w:val="20"/>
        </w:rPr>
        <w:t xml:space="preserve"> </w:t>
      </w:r>
      <w:r>
        <w:rPr>
          <w:color w:val="231F20"/>
          <w:sz w:val="20"/>
        </w:rPr>
        <w:t xml:space="preserve">areas. </w:t>
      </w:r>
      <w:r>
        <w:rPr>
          <w:color w:val="231F20"/>
          <w:spacing w:val="-4"/>
          <w:sz w:val="20"/>
        </w:rPr>
        <w:t xml:space="preserve">Even </w:t>
      </w:r>
      <w:r>
        <w:rPr>
          <w:color w:val="231F20"/>
          <w:sz w:val="20"/>
        </w:rPr>
        <w:t xml:space="preserve">though </w:t>
      </w:r>
      <w:r>
        <w:rPr>
          <w:color w:val="231F20"/>
          <w:spacing w:val="-3"/>
          <w:sz w:val="20"/>
        </w:rPr>
        <w:t xml:space="preserve">only </w:t>
      </w:r>
      <w:r>
        <w:rPr>
          <w:color w:val="231F20"/>
          <w:sz w:val="20"/>
        </w:rPr>
        <w:t xml:space="preserve">24 per cent of Victorians </w:t>
      </w:r>
      <w:r>
        <w:rPr>
          <w:color w:val="231F20"/>
          <w:spacing w:val="-3"/>
          <w:sz w:val="20"/>
        </w:rPr>
        <w:t xml:space="preserve">live </w:t>
      </w:r>
      <w:r>
        <w:rPr>
          <w:color w:val="231F20"/>
          <w:sz w:val="20"/>
        </w:rPr>
        <w:t>in rural and regional areas, ‘regional court</w:t>
      </w:r>
      <w:r>
        <w:rPr>
          <w:color w:val="231F20"/>
          <w:spacing w:val="-9"/>
          <w:sz w:val="20"/>
        </w:rPr>
        <w:t xml:space="preserve"> </w:t>
      </w:r>
      <w:r>
        <w:rPr>
          <w:color w:val="231F20"/>
          <w:sz w:val="20"/>
        </w:rPr>
        <w:t>locations</w:t>
      </w:r>
      <w:r>
        <w:rPr>
          <w:color w:val="231F20"/>
          <w:spacing w:val="-9"/>
          <w:sz w:val="20"/>
        </w:rPr>
        <w:t xml:space="preserve"> </w:t>
      </w:r>
      <w:r>
        <w:rPr>
          <w:color w:val="231F20"/>
          <w:spacing w:val="-3"/>
          <w:sz w:val="20"/>
        </w:rPr>
        <w:t>accounted</w:t>
      </w:r>
      <w:r>
        <w:rPr>
          <w:color w:val="231F20"/>
          <w:spacing w:val="-9"/>
          <w:sz w:val="20"/>
        </w:rPr>
        <w:t xml:space="preserve"> </w:t>
      </w:r>
      <w:r>
        <w:rPr>
          <w:color w:val="231F20"/>
          <w:spacing w:val="-3"/>
          <w:sz w:val="20"/>
        </w:rPr>
        <w:t>for</w:t>
      </w:r>
      <w:r>
        <w:rPr>
          <w:color w:val="231F20"/>
          <w:spacing w:val="-9"/>
          <w:sz w:val="20"/>
        </w:rPr>
        <w:t xml:space="preserve"> </w:t>
      </w:r>
      <w:r>
        <w:rPr>
          <w:color w:val="231F20"/>
          <w:spacing w:val="-3"/>
          <w:sz w:val="20"/>
        </w:rPr>
        <w:t>43</w:t>
      </w:r>
      <w:r>
        <w:rPr>
          <w:color w:val="231F20"/>
          <w:spacing w:val="-9"/>
          <w:sz w:val="20"/>
        </w:rPr>
        <w:t xml:space="preserve"> </w:t>
      </w:r>
      <w:r>
        <w:rPr>
          <w:color w:val="231F20"/>
          <w:sz w:val="20"/>
        </w:rPr>
        <w:t>[per</w:t>
      </w:r>
      <w:r>
        <w:rPr>
          <w:color w:val="231F20"/>
          <w:spacing w:val="-9"/>
          <w:sz w:val="20"/>
        </w:rPr>
        <w:t xml:space="preserve"> </w:t>
      </w:r>
      <w:r>
        <w:rPr>
          <w:color w:val="231F20"/>
          <w:sz w:val="20"/>
        </w:rPr>
        <w:t>cent]</w:t>
      </w:r>
      <w:r>
        <w:rPr>
          <w:color w:val="231F20"/>
          <w:spacing w:val="-9"/>
          <w:sz w:val="20"/>
        </w:rPr>
        <w:t xml:space="preserve"> </w:t>
      </w:r>
      <w:r>
        <w:rPr>
          <w:color w:val="231F20"/>
          <w:sz w:val="20"/>
        </w:rPr>
        <w:t>of</w:t>
      </w:r>
      <w:r>
        <w:rPr>
          <w:color w:val="231F20"/>
          <w:spacing w:val="-8"/>
          <w:sz w:val="20"/>
        </w:rPr>
        <w:t xml:space="preserve"> </w:t>
      </w:r>
      <w:r>
        <w:rPr>
          <w:color w:val="231F20"/>
          <w:sz w:val="20"/>
        </w:rPr>
        <w:t>all</w:t>
      </w:r>
      <w:r>
        <w:rPr>
          <w:color w:val="231F20"/>
          <w:spacing w:val="-9"/>
          <w:sz w:val="20"/>
        </w:rPr>
        <w:t xml:space="preserve"> </w:t>
      </w:r>
      <w:r>
        <w:rPr>
          <w:color w:val="231F20"/>
          <w:sz w:val="20"/>
        </w:rPr>
        <w:t>cases</w:t>
      </w:r>
      <w:r>
        <w:rPr>
          <w:color w:val="231F20"/>
          <w:spacing w:val="-9"/>
          <w:sz w:val="20"/>
        </w:rPr>
        <w:t xml:space="preserve"> </w:t>
      </w:r>
      <w:r>
        <w:rPr>
          <w:color w:val="231F20"/>
          <w:spacing w:val="-4"/>
          <w:sz w:val="20"/>
        </w:rPr>
        <w:t>involving</w:t>
      </w:r>
      <w:r>
        <w:rPr>
          <w:color w:val="231F20"/>
          <w:spacing w:val="-9"/>
          <w:sz w:val="20"/>
        </w:rPr>
        <w:t xml:space="preserve"> </w:t>
      </w:r>
      <w:r>
        <w:rPr>
          <w:color w:val="231F20"/>
          <w:sz w:val="20"/>
        </w:rPr>
        <w:t>PSIO</w:t>
      </w:r>
      <w:r>
        <w:rPr>
          <w:color w:val="231F20"/>
          <w:spacing w:val="-9"/>
          <w:sz w:val="20"/>
        </w:rPr>
        <w:t xml:space="preserve"> </w:t>
      </w:r>
      <w:r>
        <w:rPr>
          <w:color w:val="231F20"/>
          <w:sz w:val="20"/>
        </w:rPr>
        <w:t>breach</w:t>
      </w:r>
      <w:r>
        <w:rPr>
          <w:color w:val="231F20"/>
          <w:spacing w:val="-9"/>
          <w:sz w:val="20"/>
        </w:rPr>
        <w:t xml:space="preserve"> </w:t>
      </w:r>
      <w:r>
        <w:rPr>
          <w:color w:val="231F20"/>
          <w:sz w:val="20"/>
        </w:rPr>
        <w:t xml:space="preserve">offences in the </w:t>
      </w:r>
      <w:r>
        <w:rPr>
          <w:color w:val="231F20"/>
          <w:spacing w:val="-3"/>
          <w:sz w:val="20"/>
        </w:rPr>
        <w:t>Magistrates’</w:t>
      </w:r>
      <w:r>
        <w:rPr>
          <w:color w:val="231F20"/>
          <w:spacing w:val="-12"/>
          <w:sz w:val="20"/>
        </w:rPr>
        <w:t xml:space="preserve"> </w:t>
      </w:r>
      <w:r>
        <w:rPr>
          <w:color w:val="231F20"/>
          <w:sz w:val="20"/>
        </w:rPr>
        <w:t>Court.’</w:t>
      </w:r>
      <w:r>
        <w:rPr>
          <w:color w:val="231F20"/>
          <w:position w:val="7"/>
          <w:sz w:val="11"/>
        </w:rPr>
        <w:t>117</w:t>
      </w:r>
    </w:p>
    <w:p w14:paraId="6CA8423E" w14:textId="77777777" w:rsidR="00894070" w:rsidRDefault="009B7AFD">
      <w:pPr>
        <w:pStyle w:val="ListParagraph"/>
        <w:numPr>
          <w:ilvl w:val="1"/>
          <w:numId w:val="65"/>
        </w:numPr>
        <w:tabs>
          <w:tab w:val="left" w:pos="1801"/>
          <w:tab w:val="left" w:pos="1802"/>
        </w:tabs>
        <w:spacing w:before="125" w:line="206" w:lineRule="auto"/>
        <w:ind w:right="1313"/>
        <w:rPr>
          <w:sz w:val="11"/>
        </w:rPr>
      </w:pPr>
      <w:r>
        <w:rPr>
          <w:color w:val="231F20"/>
          <w:sz w:val="20"/>
        </w:rPr>
        <w:t xml:space="preserve">As explained in </w:t>
      </w:r>
      <w:r>
        <w:rPr>
          <w:color w:val="231F20"/>
          <w:spacing w:val="-3"/>
          <w:sz w:val="20"/>
        </w:rPr>
        <w:t xml:space="preserve">Chapter </w:t>
      </w:r>
      <w:r>
        <w:rPr>
          <w:color w:val="231F20"/>
          <w:sz w:val="20"/>
        </w:rPr>
        <w:t xml:space="preserve">2, </w:t>
      </w:r>
      <w:r>
        <w:rPr>
          <w:color w:val="231F20"/>
          <w:spacing w:val="-3"/>
          <w:sz w:val="20"/>
        </w:rPr>
        <w:t xml:space="preserve">children </w:t>
      </w:r>
      <w:r>
        <w:rPr>
          <w:color w:val="231F20"/>
          <w:sz w:val="20"/>
        </w:rPr>
        <w:t xml:space="preserve">in rural and regional areas </w:t>
      </w:r>
      <w:r>
        <w:rPr>
          <w:color w:val="231F20"/>
          <w:spacing w:val="-3"/>
          <w:sz w:val="20"/>
        </w:rPr>
        <w:t xml:space="preserve">are overrepresented </w:t>
      </w:r>
      <w:r>
        <w:rPr>
          <w:color w:val="231F20"/>
          <w:sz w:val="20"/>
        </w:rPr>
        <w:t>in PSIOs.</w:t>
      </w:r>
      <w:r>
        <w:rPr>
          <w:color w:val="231F20"/>
          <w:spacing w:val="-14"/>
          <w:sz w:val="20"/>
        </w:rPr>
        <w:t xml:space="preserve"> </w:t>
      </w:r>
      <w:r>
        <w:rPr>
          <w:color w:val="231F20"/>
          <w:sz w:val="20"/>
        </w:rPr>
        <w:t>This</w:t>
      </w:r>
      <w:r>
        <w:rPr>
          <w:color w:val="231F20"/>
          <w:spacing w:val="-13"/>
          <w:sz w:val="20"/>
        </w:rPr>
        <w:t xml:space="preserve"> </w:t>
      </w:r>
      <w:r>
        <w:rPr>
          <w:color w:val="231F20"/>
          <w:sz w:val="20"/>
        </w:rPr>
        <w:t>disparity</w:t>
      </w:r>
      <w:r>
        <w:rPr>
          <w:color w:val="231F20"/>
          <w:spacing w:val="-13"/>
          <w:sz w:val="20"/>
        </w:rPr>
        <w:t xml:space="preserve"> </w:t>
      </w:r>
      <w:r>
        <w:rPr>
          <w:color w:val="231F20"/>
          <w:sz w:val="20"/>
        </w:rPr>
        <w:t>persists</w:t>
      </w:r>
      <w:r>
        <w:rPr>
          <w:color w:val="231F20"/>
          <w:spacing w:val="-14"/>
          <w:sz w:val="20"/>
        </w:rPr>
        <w:t xml:space="preserve"> </w:t>
      </w:r>
      <w:r>
        <w:rPr>
          <w:color w:val="231F20"/>
          <w:spacing w:val="-3"/>
          <w:sz w:val="20"/>
        </w:rPr>
        <w:t>for</w:t>
      </w:r>
      <w:r>
        <w:rPr>
          <w:color w:val="231F20"/>
          <w:spacing w:val="-13"/>
          <w:sz w:val="20"/>
        </w:rPr>
        <w:t xml:space="preserve"> </w:t>
      </w:r>
      <w:r>
        <w:rPr>
          <w:color w:val="231F20"/>
          <w:sz w:val="20"/>
        </w:rPr>
        <w:t>breach</w:t>
      </w:r>
      <w:r>
        <w:rPr>
          <w:color w:val="231F20"/>
          <w:spacing w:val="-13"/>
          <w:sz w:val="20"/>
        </w:rPr>
        <w:t xml:space="preserve"> </w:t>
      </w:r>
      <w:r>
        <w:rPr>
          <w:color w:val="231F20"/>
          <w:sz w:val="20"/>
        </w:rPr>
        <w:t>offences</w:t>
      </w:r>
      <w:r>
        <w:rPr>
          <w:color w:val="231F20"/>
          <w:spacing w:val="-14"/>
          <w:sz w:val="20"/>
        </w:rPr>
        <w:t xml:space="preserve"> </w:t>
      </w:r>
      <w:r>
        <w:rPr>
          <w:color w:val="231F20"/>
          <w:sz w:val="20"/>
        </w:rPr>
        <w:t>sentenced.</w:t>
      </w:r>
      <w:r>
        <w:rPr>
          <w:color w:val="231F20"/>
          <w:spacing w:val="-13"/>
          <w:sz w:val="20"/>
        </w:rPr>
        <w:t xml:space="preserve"> </w:t>
      </w:r>
      <w:r>
        <w:rPr>
          <w:color w:val="231F20"/>
          <w:sz w:val="20"/>
        </w:rPr>
        <w:t>The</w:t>
      </w:r>
      <w:r>
        <w:rPr>
          <w:color w:val="231F20"/>
          <w:spacing w:val="-13"/>
          <w:sz w:val="20"/>
        </w:rPr>
        <w:t xml:space="preserve"> </w:t>
      </w:r>
      <w:r>
        <w:rPr>
          <w:color w:val="231F20"/>
          <w:sz w:val="20"/>
        </w:rPr>
        <w:t>Sentencing</w:t>
      </w:r>
      <w:r>
        <w:rPr>
          <w:color w:val="231F20"/>
          <w:spacing w:val="-13"/>
          <w:sz w:val="20"/>
        </w:rPr>
        <w:t xml:space="preserve"> </w:t>
      </w:r>
      <w:r>
        <w:rPr>
          <w:color w:val="231F20"/>
          <w:sz w:val="20"/>
        </w:rPr>
        <w:t xml:space="preserve">Advisory Council found that </w:t>
      </w:r>
      <w:r>
        <w:rPr>
          <w:color w:val="231F20"/>
          <w:spacing w:val="-3"/>
          <w:sz w:val="20"/>
        </w:rPr>
        <w:t xml:space="preserve">for </w:t>
      </w:r>
      <w:r>
        <w:rPr>
          <w:color w:val="231F20"/>
          <w:sz w:val="20"/>
        </w:rPr>
        <w:t xml:space="preserve">PSIO breaches in the </w:t>
      </w:r>
      <w:r>
        <w:rPr>
          <w:color w:val="231F20"/>
          <w:spacing w:val="-3"/>
          <w:sz w:val="20"/>
        </w:rPr>
        <w:t xml:space="preserve">Children’s </w:t>
      </w:r>
      <w:r>
        <w:rPr>
          <w:color w:val="231F20"/>
          <w:sz w:val="20"/>
        </w:rPr>
        <w:t xml:space="preserve">Court of Victoria, ‘two-thirds of charges (65 per cent) and cases (66 per cent) </w:t>
      </w:r>
      <w:r>
        <w:rPr>
          <w:color w:val="231F20"/>
          <w:spacing w:val="-4"/>
          <w:sz w:val="20"/>
        </w:rPr>
        <w:t xml:space="preserve">were </w:t>
      </w:r>
      <w:r>
        <w:rPr>
          <w:color w:val="231F20"/>
          <w:sz w:val="20"/>
        </w:rPr>
        <w:t>sentenced in rural and regional Victoria,</w:t>
      </w:r>
      <w:r>
        <w:rPr>
          <w:color w:val="231F20"/>
          <w:spacing w:val="-6"/>
          <w:sz w:val="20"/>
        </w:rPr>
        <w:t xml:space="preserve"> </w:t>
      </w:r>
      <w:r>
        <w:rPr>
          <w:color w:val="231F20"/>
          <w:sz w:val="20"/>
        </w:rPr>
        <w:t>with</w:t>
      </w:r>
      <w:r>
        <w:rPr>
          <w:color w:val="231F20"/>
          <w:spacing w:val="-7"/>
          <w:sz w:val="20"/>
        </w:rPr>
        <w:t xml:space="preserve"> </w:t>
      </w:r>
      <w:r>
        <w:rPr>
          <w:color w:val="231F20"/>
          <w:spacing w:val="-3"/>
          <w:sz w:val="20"/>
        </w:rPr>
        <w:t>only</w:t>
      </w:r>
      <w:r>
        <w:rPr>
          <w:color w:val="231F20"/>
          <w:spacing w:val="-5"/>
          <w:sz w:val="20"/>
        </w:rPr>
        <w:t xml:space="preserve"> </w:t>
      </w:r>
      <w:r>
        <w:rPr>
          <w:color w:val="231F20"/>
          <w:sz w:val="20"/>
        </w:rPr>
        <w:t>one-third</w:t>
      </w:r>
      <w:r>
        <w:rPr>
          <w:color w:val="231F20"/>
          <w:spacing w:val="-6"/>
          <w:sz w:val="20"/>
        </w:rPr>
        <w:t xml:space="preserve"> </w:t>
      </w:r>
      <w:r>
        <w:rPr>
          <w:color w:val="231F20"/>
          <w:sz w:val="20"/>
        </w:rPr>
        <w:t>sentenced</w:t>
      </w:r>
      <w:r>
        <w:rPr>
          <w:color w:val="231F20"/>
          <w:spacing w:val="-6"/>
          <w:sz w:val="20"/>
        </w:rPr>
        <w:t xml:space="preserve"> </w:t>
      </w:r>
      <w:r>
        <w:rPr>
          <w:color w:val="231F20"/>
          <w:sz w:val="20"/>
        </w:rPr>
        <w:t>in</w:t>
      </w:r>
      <w:r>
        <w:rPr>
          <w:color w:val="231F20"/>
          <w:spacing w:val="-5"/>
          <w:sz w:val="20"/>
        </w:rPr>
        <w:t xml:space="preserve"> </w:t>
      </w:r>
      <w:r>
        <w:rPr>
          <w:color w:val="231F20"/>
          <w:sz w:val="20"/>
        </w:rPr>
        <w:t>the</w:t>
      </w:r>
      <w:r>
        <w:rPr>
          <w:color w:val="231F20"/>
          <w:spacing w:val="-7"/>
          <w:sz w:val="20"/>
        </w:rPr>
        <w:t xml:space="preserve"> </w:t>
      </w:r>
      <w:r>
        <w:rPr>
          <w:color w:val="231F20"/>
          <w:spacing w:val="-3"/>
          <w:sz w:val="20"/>
        </w:rPr>
        <w:t>Greater</w:t>
      </w:r>
      <w:r>
        <w:rPr>
          <w:color w:val="231F20"/>
          <w:spacing w:val="-6"/>
          <w:sz w:val="20"/>
        </w:rPr>
        <w:t xml:space="preserve"> </w:t>
      </w:r>
      <w:r>
        <w:rPr>
          <w:color w:val="231F20"/>
          <w:sz w:val="20"/>
        </w:rPr>
        <w:t>Melbourne</w:t>
      </w:r>
      <w:r>
        <w:rPr>
          <w:color w:val="231F20"/>
          <w:spacing w:val="-5"/>
          <w:sz w:val="20"/>
        </w:rPr>
        <w:t xml:space="preserve"> </w:t>
      </w:r>
      <w:r>
        <w:rPr>
          <w:color w:val="231F20"/>
          <w:sz w:val="20"/>
        </w:rPr>
        <w:t>area.’</w:t>
      </w:r>
      <w:r>
        <w:rPr>
          <w:color w:val="231F20"/>
          <w:position w:val="7"/>
          <w:sz w:val="11"/>
        </w:rPr>
        <w:t>118</w:t>
      </w:r>
    </w:p>
    <w:p w14:paraId="0E023EF6" w14:textId="77777777" w:rsidR="00894070" w:rsidRDefault="009B7AFD">
      <w:pPr>
        <w:pStyle w:val="ListParagraph"/>
        <w:numPr>
          <w:ilvl w:val="1"/>
          <w:numId w:val="65"/>
        </w:numPr>
        <w:tabs>
          <w:tab w:val="left" w:pos="1801"/>
          <w:tab w:val="left" w:pos="1802"/>
        </w:tabs>
        <w:spacing w:before="126" w:line="206" w:lineRule="auto"/>
        <w:ind w:right="1186"/>
        <w:rPr>
          <w:sz w:val="20"/>
        </w:rPr>
      </w:pPr>
      <w:r>
        <w:rPr>
          <w:color w:val="231F20"/>
          <w:sz w:val="20"/>
        </w:rPr>
        <w:t>The</w:t>
      </w:r>
      <w:r>
        <w:rPr>
          <w:color w:val="231F20"/>
          <w:spacing w:val="-12"/>
          <w:sz w:val="20"/>
        </w:rPr>
        <w:t xml:space="preserve"> </w:t>
      </w:r>
      <w:r>
        <w:rPr>
          <w:color w:val="231F20"/>
          <w:sz w:val="20"/>
        </w:rPr>
        <w:t>Sentencing</w:t>
      </w:r>
      <w:r>
        <w:rPr>
          <w:color w:val="231F20"/>
          <w:spacing w:val="-12"/>
          <w:sz w:val="20"/>
        </w:rPr>
        <w:t xml:space="preserve"> </w:t>
      </w:r>
      <w:r>
        <w:rPr>
          <w:color w:val="231F20"/>
          <w:sz w:val="20"/>
        </w:rPr>
        <w:t>Advisory</w:t>
      </w:r>
      <w:r>
        <w:rPr>
          <w:color w:val="231F20"/>
          <w:spacing w:val="-12"/>
          <w:sz w:val="20"/>
        </w:rPr>
        <w:t xml:space="preserve"> </w:t>
      </w:r>
      <w:r>
        <w:rPr>
          <w:color w:val="231F20"/>
          <w:sz w:val="20"/>
        </w:rPr>
        <w:t>Council</w:t>
      </w:r>
      <w:r>
        <w:rPr>
          <w:color w:val="231F20"/>
          <w:spacing w:val="-12"/>
          <w:sz w:val="20"/>
        </w:rPr>
        <w:t xml:space="preserve"> </w:t>
      </w:r>
      <w:r>
        <w:rPr>
          <w:color w:val="231F20"/>
          <w:sz w:val="20"/>
        </w:rPr>
        <w:t>found</w:t>
      </w:r>
      <w:r>
        <w:rPr>
          <w:color w:val="231F20"/>
          <w:spacing w:val="-12"/>
          <w:sz w:val="20"/>
        </w:rPr>
        <w:t xml:space="preserve"> </w:t>
      </w:r>
      <w:r>
        <w:rPr>
          <w:color w:val="231F20"/>
          <w:sz w:val="20"/>
        </w:rPr>
        <w:t>that</w:t>
      </w:r>
      <w:r>
        <w:rPr>
          <w:color w:val="231F20"/>
          <w:spacing w:val="-11"/>
          <w:sz w:val="20"/>
        </w:rPr>
        <w:t xml:space="preserve"> </w:t>
      </w:r>
      <w:r>
        <w:rPr>
          <w:color w:val="231F20"/>
          <w:sz w:val="20"/>
        </w:rPr>
        <w:t>there</w:t>
      </w:r>
      <w:r>
        <w:rPr>
          <w:color w:val="231F20"/>
          <w:spacing w:val="-12"/>
          <w:sz w:val="20"/>
        </w:rPr>
        <w:t xml:space="preserve"> </w:t>
      </w:r>
      <w:r>
        <w:rPr>
          <w:color w:val="231F20"/>
          <w:sz w:val="20"/>
        </w:rPr>
        <w:t>has</w:t>
      </w:r>
      <w:r>
        <w:rPr>
          <w:color w:val="231F20"/>
          <w:spacing w:val="-12"/>
          <w:sz w:val="20"/>
        </w:rPr>
        <w:t xml:space="preserve"> </w:t>
      </w:r>
      <w:r>
        <w:rPr>
          <w:color w:val="231F20"/>
          <w:sz w:val="20"/>
        </w:rPr>
        <w:t>‘been</w:t>
      </w:r>
      <w:r>
        <w:rPr>
          <w:color w:val="231F20"/>
          <w:spacing w:val="-12"/>
          <w:sz w:val="20"/>
        </w:rPr>
        <w:t xml:space="preserve"> </w:t>
      </w:r>
      <w:r>
        <w:rPr>
          <w:color w:val="231F20"/>
          <w:sz w:val="20"/>
        </w:rPr>
        <w:t>a</w:t>
      </w:r>
      <w:r>
        <w:rPr>
          <w:color w:val="231F20"/>
          <w:spacing w:val="-12"/>
          <w:sz w:val="20"/>
        </w:rPr>
        <w:t xml:space="preserve"> </w:t>
      </w:r>
      <w:r>
        <w:rPr>
          <w:color w:val="231F20"/>
          <w:sz w:val="20"/>
        </w:rPr>
        <w:t>steady</w:t>
      </w:r>
      <w:r>
        <w:rPr>
          <w:color w:val="231F20"/>
          <w:spacing w:val="-11"/>
          <w:sz w:val="20"/>
        </w:rPr>
        <w:t xml:space="preserve"> </w:t>
      </w:r>
      <w:r>
        <w:rPr>
          <w:color w:val="231F20"/>
          <w:sz w:val="20"/>
        </w:rPr>
        <w:t>and</w:t>
      </w:r>
      <w:r>
        <w:rPr>
          <w:color w:val="231F20"/>
          <w:spacing w:val="-12"/>
          <w:sz w:val="20"/>
        </w:rPr>
        <w:t xml:space="preserve"> </w:t>
      </w:r>
      <w:r>
        <w:rPr>
          <w:color w:val="231F20"/>
          <w:sz w:val="20"/>
        </w:rPr>
        <w:t xml:space="preserve">considerable increase in </w:t>
      </w:r>
      <w:r>
        <w:rPr>
          <w:color w:val="231F20"/>
          <w:spacing w:val="-3"/>
          <w:sz w:val="20"/>
        </w:rPr>
        <w:t xml:space="preserve">recorded </w:t>
      </w:r>
      <w:r>
        <w:rPr>
          <w:color w:val="231F20"/>
          <w:sz w:val="20"/>
        </w:rPr>
        <w:t xml:space="preserve">PSIO breach offences since </w:t>
      </w:r>
      <w:r>
        <w:rPr>
          <w:color w:val="231F20"/>
          <w:spacing w:val="-5"/>
          <w:sz w:val="20"/>
        </w:rPr>
        <w:t xml:space="preserve">2016’. </w:t>
      </w:r>
      <w:r>
        <w:rPr>
          <w:color w:val="231F20"/>
          <w:sz w:val="20"/>
        </w:rPr>
        <w:t>It observed this could be because</w:t>
      </w:r>
      <w:r>
        <w:rPr>
          <w:color w:val="231F20"/>
          <w:spacing w:val="-5"/>
          <w:sz w:val="20"/>
        </w:rPr>
        <w:t xml:space="preserve"> </w:t>
      </w:r>
      <w:r>
        <w:rPr>
          <w:color w:val="231F20"/>
          <w:sz w:val="20"/>
        </w:rPr>
        <w:t>of:</w:t>
      </w:r>
    </w:p>
    <w:p w14:paraId="07360F5B" w14:textId="77777777" w:rsidR="00894070" w:rsidRDefault="009B7AFD">
      <w:pPr>
        <w:pStyle w:val="ListParagraph"/>
        <w:numPr>
          <w:ilvl w:val="2"/>
          <w:numId w:val="65"/>
        </w:numPr>
        <w:tabs>
          <w:tab w:val="left" w:pos="2141"/>
          <w:tab w:val="left" w:pos="2142"/>
        </w:tabs>
        <w:spacing w:before="91"/>
        <w:ind w:hanging="340"/>
        <w:rPr>
          <w:sz w:val="20"/>
        </w:rPr>
      </w:pPr>
      <w:r>
        <w:rPr>
          <w:color w:val="231F20"/>
          <w:sz w:val="20"/>
        </w:rPr>
        <w:t>increased breach</w:t>
      </w:r>
      <w:r>
        <w:rPr>
          <w:color w:val="231F20"/>
          <w:spacing w:val="-9"/>
          <w:sz w:val="20"/>
        </w:rPr>
        <w:t xml:space="preserve"> </w:t>
      </w:r>
      <w:r>
        <w:rPr>
          <w:color w:val="231F20"/>
          <w:sz w:val="20"/>
        </w:rPr>
        <w:t>behaviour</w:t>
      </w:r>
    </w:p>
    <w:p w14:paraId="3FF7BB13" w14:textId="77777777" w:rsidR="00894070" w:rsidRDefault="009B7AFD">
      <w:pPr>
        <w:pStyle w:val="ListParagraph"/>
        <w:numPr>
          <w:ilvl w:val="2"/>
          <w:numId w:val="65"/>
        </w:numPr>
        <w:tabs>
          <w:tab w:val="left" w:pos="2141"/>
          <w:tab w:val="left" w:pos="2142"/>
        </w:tabs>
        <w:spacing w:before="48"/>
        <w:ind w:hanging="340"/>
        <w:rPr>
          <w:sz w:val="20"/>
        </w:rPr>
      </w:pPr>
      <w:r>
        <w:rPr>
          <w:color w:val="231F20"/>
          <w:sz w:val="20"/>
        </w:rPr>
        <w:t>increased reporting of breaches,</w:t>
      </w:r>
      <w:r>
        <w:rPr>
          <w:color w:val="231F20"/>
          <w:spacing w:val="-18"/>
          <w:sz w:val="20"/>
        </w:rPr>
        <w:t xml:space="preserve"> </w:t>
      </w:r>
      <w:r>
        <w:rPr>
          <w:color w:val="231F20"/>
          <w:sz w:val="20"/>
        </w:rPr>
        <w:t>or</w:t>
      </w:r>
    </w:p>
    <w:p w14:paraId="1DD09767" w14:textId="77777777" w:rsidR="00894070" w:rsidRDefault="009B7AFD">
      <w:pPr>
        <w:pStyle w:val="ListParagraph"/>
        <w:numPr>
          <w:ilvl w:val="2"/>
          <w:numId w:val="65"/>
        </w:numPr>
        <w:tabs>
          <w:tab w:val="left" w:pos="2141"/>
          <w:tab w:val="left" w:pos="2142"/>
        </w:tabs>
        <w:spacing w:before="47"/>
        <w:ind w:hanging="340"/>
        <w:rPr>
          <w:sz w:val="11"/>
        </w:rPr>
      </w:pPr>
      <w:r>
        <w:rPr>
          <w:color w:val="231F20"/>
          <w:sz w:val="20"/>
        </w:rPr>
        <w:t xml:space="preserve">increased police </w:t>
      </w:r>
      <w:r>
        <w:rPr>
          <w:color w:val="231F20"/>
          <w:spacing w:val="-3"/>
          <w:sz w:val="20"/>
        </w:rPr>
        <w:t xml:space="preserve">responsiveness </w:t>
      </w:r>
      <w:r>
        <w:rPr>
          <w:color w:val="231F20"/>
          <w:sz w:val="20"/>
        </w:rPr>
        <w:t>to</w:t>
      </w:r>
      <w:r>
        <w:rPr>
          <w:color w:val="231F20"/>
          <w:spacing w:val="-14"/>
          <w:sz w:val="20"/>
        </w:rPr>
        <w:t xml:space="preserve"> </w:t>
      </w:r>
      <w:r>
        <w:rPr>
          <w:color w:val="231F20"/>
          <w:sz w:val="20"/>
        </w:rPr>
        <w:t>breaches.</w:t>
      </w:r>
      <w:r>
        <w:rPr>
          <w:color w:val="231F20"/>
          <w:position w:val="7"/>
          <w:sz w:val="11"/>
        </w:rPr>
        <w:t>119</w:t>
      </w:r>
    </w:p>
    <w:p w14:paraId="664D198A" w14:textId="77777777" w:rsidR="00894070" w:rsidRDefault="009B7AFD">
      <w:pPr>
        <w:pStyle w:val="Heading8"/>
        <w:spacing w:before="175"/>
        <w:ind w:left="1007"/>
      </w:pPr>
      <w:r>
        <w:rPr>
          <w:color w:val="231F20"/>
        </w:rPr>
        <w:t>New PSIO breach offences are not needed</w:t>
      </w:r>
    </w:p>
    <w:p w14:paraId="36D9BC25" w14:textId="77777777" w:rsidR="00894070" w:rsidRDefault="009B7AFD">
      <w:pPr>
        <w:pStyle w:val="ListParagraph"/>
        <w:numPr>
          <w:ilvl w:val="1"/>
          <w:numId w:val="65"/>
        </w:numPr>
        <w:tabs>
          <w:tab w:val="left" w:pos="1801"/>
          <w:tab w:val="left" w:pos="1802"/>
        </w:tabs>
        <w:spacing w:before="127" w:line="206" w:lineRule="auto"/>
        <w:ind w:right="1288"/>
        <w:rPr>
          <w:sz w:val="11"/>
        </w:rPr>
      </w:pPr>
      <w:r>
        <w:rPr>
          <w:color w:val="231F20"/>
          <w:sz w:val="20"/>
        </w:rPr>
        <w:t>In</w:t>
      </w:r>
      <w:r>
        <w:rPr>
          <w:color w:val="231F20"/>
          <w:spacing w:val="-13"/>
          <w:sz w:val="20"/>
        </w:rPr>
        <w:t xml:space="preserve"> </w:t>
      </w:r>
      <w:r>
        <w:rPr>
          <w:color w:val="231F20"/>
          <w:sz w:val="20"/>
        </w:rPr>
        <w:t>our</w:t>
      </w:r>
      <w:r>
        <w:rPr>
          <w:color w:val="231F20"/>
          <w:spacing w:val="-13"/>
          <w:sz w:val="20"/>
        </w:rPr>
        <w:t xml:space="preserve"> </w:t>
      </w:r>
      <w:r>
        <w:rPr>
          <w:color w:val="231F20"/>
          <w:sz w:val="20"/>
        </w:rPr>
        <w:t>consultation</w:t>
      </w:r>
      <w:r>
        <w:rPr>
          <w:color w:val="231F20"/>
          <w:spacing w:val="-12"/>
          <w:sz w:val="20"/>
        </w:rPr>
        <w:t xml:space="preserve"> </w:t>
      </w:r>
      <w:r>
        <w:rPr>
          <w:color w:val="231F20"/>
          <w:sz w:val="20"/>
        </w:rPr>
        <w:t>paper</w:t>
      </w:r>
      <w:r>
        <w:rPr>
          <w:color w:val="231F20"/>
          <w:spacing w:val="-13"/>
          <w:sz w:val="20"/>
        </w:rPr>
        <w:t xml:space="preserve"> </w:t>
      </w:r>
      <w:r>
        <w:rPr>
          <w:color w:val="231F20"/>
          <w:spacing w:val="-3"/>
          <w:sz w:val="20"/>
        </w:rPr>
        <w:t>we</w:t>
      </w:r>
      <w:r>
        <w:rPr>
          <w:color w:val="231F20"/>
          <w:spacing w:val="-12"/>
          <w:sz w:val="20"/>
        </w:rPr>
        <w:t xml:space="preserve"> </w:t>
      </w:r>
      <w:r>
        <w:rPr>
          <w:color w:val="231F20"/>
          <w:sz w:val="20"/>
        </w:rPr>
        <w:t>asked</w:t>
      </w:r>
      <w:r>
        <w:rPr>
          <w:color w:val="231F20"/>
          <w:spacing w:val="-13"/>
          <w:sz w:val="20"/>
        </w:rPr>
        <w:t xml:space="preserve"> </w:t>
      </w:r>
      <w:r>
        <w:rPr>
          <w:color w:val="231F20"/>
          <w:sz w:val="20"/>
        </w:rPr>
        <w:t>whether</w:t>
      </w:r>
      <w:r>
        <w:rPr>
          <w:color w:val="231F20"/>
          <w:spacing w:val="-13"/>
          <w:sz w:val="20"/>
        </w:rPr>
        <w:t xml:space="preserve"> </w:t>
      </w:r>
      <w:r>
        <w:rPr>
          <w:color w:val="231F20"/>
          <w:sz w:val="20"/>
        </w:rPr>
        <w:t>there</w:t>
      </w:r>
      <w:r>
        <w:rPr>
          <w:color w:val="231F20"/>
          <w:spacing w:val="-12"/>
          <w:sz w:val="20"/>
        </w:rPr>
        <w:t xml:space="preserve"> </w:t>
      </w:r>
      <w:r>
        <w:rPr>
          <w:color w:val="231F20"/>
          <w:sz w:val="20"/>
        </w:rPr>
        <w:t>should</w:t>
      </w:r>
      <w:r>
        <w:rPr>
          <w:color w:val="231F20"/>
          <w:spacing w:val="-13"/>
          <w:sz w:val="20"/>
        </w:rPr>
        <w:t xml:space="preserve"> </w:t>
      </w:r>
      <w:r>
        <w:rPr>
          <w:color w:val="231F20"/>
          <w:sz w:val="20"/>
        </w:rPr>
        <w:t>be</w:t>
      </w:r>
      <w:r>
        <w:rPr>
          <w:color w:val="231F20"/>
          <w:spacing w:val="-12"/>
          <w:sz w:val="20"/>
        </w:rPr>
        <w:t xml:space="preserve"> </w:t>
      </w:r>
      <w:r>
        <w:rPr>
          <w:color w:val="231F20"/>
          <w:sz w:val="20"/>
        </w:rPr>
        <w:t>additional</w:t>
      </w:r>
      <w:r>
        <w:rPr>
          <w:color w:val="231F20"/>
          <w:spacing w:val="-13"/>
          <w:sz w:val="20"/>
        </w:rPr>
        <w:t xml:space="preserve"> </w:t>
      </w:r>
      <w:r>
        <w:rPr>
          <w:color w:val="231F20"/>
          <w:sz w:val="20"/>
        </w:rPr>
        <w:t>offences</w:t>
      </w:r>
      <w:r>
        <w:rPr>
          <w:color w:val="231F20"/>
          <w:spacing w:val="-12"/>
          <w:sz w:val="20"/>
        </w:rPr>
        <w:t xml:space="preserve"> </w:t>
      </w:r>
      <w:r>
        <w:rPr>
          <w:color w:val="231F20"/>
          <w:sz w:val="20"/>
        </w:rPr>
        <w:t>in</w:t>
      </w:r>
      <w:r>
        <w:rPr>
          <w:color w:val="231F20"/>
          <w:spacing w:val="-13"/>
          <w:sz w:val="20"/>
        </w:rPr>
        <w:t xml:space="preserve"> </w:t>
      </w:r>
      <w:r>
        <w:rPr>
          <w:color w:val="231F20"/>
          <w:sz w:val="20"/>
        </w:rPr>
        <w:t xml:space="preserve">the </w:t>
      </w:r>
      <w:r>
        <w:rPr>
          <w:i/>
          <w:color w:val="231F20"/>
          <w:sz w:val="20"/>
        </w:rPr>
        <w:t xml:space="preserve">Personal Safety Intervention Orders Act </w:t>
      </w:r>
      <w:r>
        <w:rPr>
          <w:i/>
          <w:color w:val="231F20"/>
          <w:spacing w:val="-3"/>
          <w:sz w:val="20"/>
        </w:rPr>
        <w:t xml:space="preserve">2010 </w:t>
      </w:r>
      <w:r>
        <w:rPr>
          <w:color w:val="231F20"/>
          <w:sz w:val="20"/>
        </w:rPr>
        <w:t>(Vic) (PSIO Act) to address more serious breaches and, if so, what they should</w:t>
      </w:r>
      <w:r>
        <w:rPr>
          <w:color w:val="231F20"/>
          <w:spacing w:val="-32"/>
          <w:sz w:val="20"/>
        </w:rPr>
        <w:t xml:space="preserve"> </w:t>
      </w:r>
      <w:r>
        <w:rPr>
          <w:color w:val="231F20"/>
          <w:spacing w:val="-3"/>
          <w:sz w:val="20"/>
        </w:rPr>
        <w:t>cover.</w:t>
      </w:r>
      <w:r>
        <w:rPr>
          <w:color w:val="231F20"/>
          <w:spacing w:val="-3"/>
          <w:position w:val="7"/>
          <w:sz w:val="11"/>
        </w:rPr>
        <w:t>120</w:t>
      </w:r>
    </w:p>
    <w:p w14:paraId="5A139854" w14:textId="77777777" w:rsidR="00894070" w:rsidRDefault="009B7AFD">
      <w:pPr>
        <w:pStyle w:val="ListParagraph"/>
        <w:numPr>
          <w:ilvl w:val="1"/>
          <w:numId w:val="65"/>
        </w:numPr>
        <w:tabs>
          <w:tab w:val="left" w:pos="1801"/>
          <w:tab w:val="left" w:pos="1802"/>
        </w:tabs>
        <w:spacing w:before="124" w:line="206" w:lineRule="auto"/>
        <w:ind w:right="1612"/>
        <w:rPr>
          <w:sz w:val="20"/>
        </w:rPr>
      </w:pPr>
      <w:r>
        <w:rPr>
          <w:color w:val="231F20"/>
          <w:sz w:val="20"/>
        </w:rPr>
        <w:t>The</w:t>
      </w:r>
      <w:r>
        <w:rPr>
          <w:color w:val="231F20"/>
          <w:spacing w:val="-11"/>
          <w:sz w:val="20"/>
        </w:rPr>
        <w:t xml:space="preserve"> </w:t>
      </w:r>
      <w:r>
        <w:rPr>
          <w:i/>
          <w:color w:val="231F20"/>
          <w:spacing w:val="-3"/>
          <w:sz w:val="20"/>
        </w:rPr>
        <w:t>Family</w:t>
      </w:r>
      <w:r>
        <w:rPr>
          <w:i/>
          <w:color w:val="231F20"/>
          <w:spacing w:val="-11"/>
          <w:sz w:val="20"/>
        </w:rPr>
        <w:t xml:space="preserve"> </w:t>
      </w:r>
      <w:r>
        <w:rPr>
          <w:i/>
          <w:color w:val="231F20"/>
          <w:sz w:val="20"/>
        </w:rPr>
        <w:t>Violence</w:t>
      </w:r>
      <w:r>
        <w:rPr>
          <w:i/>
          <w:color w:val="231F20"/>
          <w:spacing w:val="-11"/>
          <w:sz w:val="20"/>
        </w:rPr>
        <w:t xml:space="preserve"> </w:t>
      </w:r>
      <w:r>
        <w:rPr>
          <w:i/>
          <w:color w:val="231F20"/>
          <w:spacing w:val="-3"/>
          <w:sz w:val="20"/>
        </w:rPr>
        <w:t>Protection</w:t>
      </w:r>
      <w:r>
        <w:rPr>
          <w:i/>
          <w:color w:val="231F20"/>
          <w:spacing w:val="-11"/>
          <w:sz w:val="20"/>
        </w:rPr>
        <w:t xml:space="preserve"> </w:t>
      </w:r>
      <w:r>
        <w:rPr>
          <w:i/>
          <w:color w:val="231F20"/>
          <w:sz w:val="20"/>
        </w:rPr>
        <w:t>Act</w:t>
      </w:r>
      <w:r>
        <w:rPr>
          <w:i/>
          <w:color w:val="231F20"/>
          <w:spacing w:val="-11"/>
          <w:sz w:val="20"/>
        </w:rPr>
        <w:t xml:space="preserve"> </w:t>
      </w:r>
      <w:r>
        <w:rPr>
          <w:i/>
          <w:color w:val="231F20"/>
          <w:sz w:val="20"/>
        </w:rPr>
        <w:t>2008</w:t>
      </w:r>
      <w:r>
        <w:rPr>
          <w:i/>
          <w:color w:val="231F20"/>
          <w:spacing w:val="-10"/>
          <w:sz w:val="20"/>
        </w:rPr>
        <w:t xml:space="preserve"> </w:t>
      </w:r>
      <w:r>
        <w:rPr>
          <w:color w:val="231F20"/>
          <w:sz w:val="20"/>
        </w:rPr>
        <w:t>(Vic)</w:t>
      </w:r>
      <w:r>
        <w:rPr>
          <w:color w:val="231F20"/>
          <w:spacing w:val="-11"/>
          <w:sz w:val="20"/>
        </w:rPr>
        <w:t xml:space="preserve"> </w:t>
      </w:r>
      <w:r>
        <w:rPr>
          <w:color w:val="231F20"/>
          <w:sz w:val="20"/>
        </w:rPr>
        <w:t>(FVPA)</w:t>
      </w:r>
      <w:r>
        <w:rPr>
          <w:color w:val="231F20"/>
          <w:spacing w:val="-11"/>
          <w:sz w:val="20"/>
        </w:rPr>
        <w:t xml:space="preserve"> </w:t>
      </w:r>
      <w:r>
        <w:rPr>
          <w:color w:val="231F20"/>
          <w:sz w:val="20"/>
        </w:rPr>
        <w:t>has</w:t>
      </w:r>
      <w:r>
        <w:rPr>
          <w:color w:val="231F20"/>
          <w:spacing w:val="-11"/>
          <w:sz w:val="20"/>
        </w:rPr>
        <w:t xml:space="preserve"> </w:t>
      </w:r>
      <w:r>
        <w:rPr>
          <w:color w:val="231F20"/>
          <w:sz w:val="20"/>
        </w:rPr>
        <w:t>an</w:t>
      </w:r>
      <w:r>
        <w:rPr>
          <w:color w:val="231F20"/>
          <w:spacing w:val="-11"/>
          <w:sz w:val="20"/>
        </w:rPr>
        <w:t xml:space="preserve"> </w:t>
      </w:r>
      <w:r>
        <w:rPr>
          <w:color w:val="231F20"/>
          <w:sz w:val="20"/>
        </w:rPr>
        <w:t>additional</w:t>
      </w:r>
      <w:r>
        <w:rPr>
          <w:color w:val="231F20"/>
          <w:spacing w:val="-11"/>
          <w:sz w:val="20"/>
        </w:rPr>
        <w:t xml:space="preserve"> </w:t>
      </w:r>
      <w:r>
        <w:rPr>
          <w:color w:val="231F20"/>
          <w:sz w:val="20"/>
        </w:rPr>
        <w:t>two</w:t>
      </w:r>
      <w:r>
        <w:rPr>
          <w:color w:val="231F20"/>
          <w:spacing w:val="-11"/>
          <w:sz w:val="20"/>
        </w:rPr>
        <w:t xml:space="preserve"> </w:t>
      </w:r>
      <w:r>
        <w:rPr>
          <w:color w:val="231F20"/>
          <w:sz w:val="20"/>
        </w:rPr>
        <w:t xml:space="preserve">offences </w:t>
      </w:r>
      <w:r>
        <w:rPr>
          <w:color w:val="231F20"/>
          <w:spacing w:val="-3"/>
          <w:sz w:val="20"/>
        </w:rPr>
        <w:t>for</w:t>
      </w:r>
      <w:r>
        <w:rPr>
          <w:color w:val="231F20"/>
          <w:spacing w:val="-8"/>
          <w:sz w:val="20"/>
        </w:rPr>
        <w:t xml:space="preserve"> </w:t>
      </w:r>
      <w:r>
        <w:rPr>
          <w:color w:val="231F20"/>
          <w:sz w:val="20"/>
        </w:rPr>
        <w:t>more</w:t>
      </w:r>
      <w:r>
        <w:rPr>
          <w:color w:val="231F20"/>
          <w:spacing w:val="-8"/>
          <w:sz w:val="20"/>
        </w:rPr>
        <w:t xml:space="preserve"> </w:t>
      </w:r>
      <w:r>
        <w:rPr>
          <w:color w:val="231F20"/>
          <w:sz w:val="20"/>
        </w:rPr>
        <w:t>serious</w:t>
      </w:r>
      <w:r>
        <w:rPr>
          <w:color w:val="231F20"/>
          <w:spacing w:val="-8"/>
          <w:sz w:val="20"/>
        </w:rPr>
        <w:t xml:space="preserve"> </w:t>
      </w:r>
      <w:r>
        <w:rPr>
          <w:color w:val="231F20"/>
          <w:sz w:val="20"/>
        </w:rPr>
        <w:t>breaches</w:t>
      </w:r>
      <w:r>
        <w:rPr>
          <w:color w:val="231F20"/>
          <w:spacing w:val="-8"/>
          <w:sz w:val="20"/>
        </w:rPr>
        <w:t xml:space="preserve"> </w:t>
      </w:r>
      <w:r>
        <w:rPr>
          <w:color w:val="231F20"/>
          <w:sz w:val="20"/>
        </w:rPr>
        <w:t>of</w:t>
      </w:r>
      <w:r>
        <w:rPr>
          <w:color w:val="231F20"/>
          <w:spacing w:val="-8"/>
          <w:sz w:val="20"/>
        </w:rPr>
        <w:t xml:space="preserve"> </w:t>
      </w:r>
      <w:r>
        <w:rPr>
          <w:color w:val="231F20"/>
          <w:spacing w:val="-2"/>
          <w:sz w:val="20"/>
        </w:rPr>
        <w:t>intervention</w:t>
      </w:r>
      <w:r>
        <w:rPr>
          <w:color w:val="231F20"/>
          <w:spacing w:val="-8"/>
          <w:sz w:val="20"/>
        </w:rPr>
        <w:t xml:space="preserve"> </w:t>
      </w:r>
      <w:r>
        <w:rPr>
          <w:color w:val="231F20"/>
          <w:sz w:val="20"/>
        </w:rPr>
        <w:t>orders,</w:t>
      </w:r>
      <w:r>
        <w:rPr>
          <w:color w:val="231F20"/>
          <w:spacing w:val="-8"/>
          <w:sz w:val="20"/>
        </w:rPr>
        <w:t xml:space="preserve"> </w:t>
      </w:r>
      <w:r>
        <w:rPr>
          <w:color w:val="231F20"/>
          <w:sz w:val="20"/>
        </w:rPr>
        <w:t>with</w:t>
      </w:r>
      <w:r>
        <w:rPr>
          <w:color w:val="231F20"/>
          <w:spacing w:val="-8"/>
          <w:sz w:val="20"/>
        </w:rPr>
        <w:t xml:space="preserve"> </w:t>
      </w:r>
      <w:r>
        <w:rPr>
          <w:color w:val="231F20"/>
          <w:sz w:val="20"/>
        </w:rPr>
        <w:t>higher</w:t>
      </w:r>
      <w:r>
        <w:rPr>
          <w:color w:val="231F20"/>
          <w:spacing w:val="-8"/>
          <w:sz w:val="20"/>
        </w:rPr>
        <w:t xml:space="preserve"> </w:t>
      </w:r>
      <w:r>
        <w:rPr>
          <w:color w:val="231F20"/>
          <w:sz w:val="20"/>
        </w:rPr>
        <w:t>penalties</w:t>
      </w:r>
      <w:r>
        <w:rPr>
          <w:color w:val="231F20"/>
          <w:spacing w:val="-8"/>
          <w:sz w:val="20"/>
        </w:rPr>
        <w:t xml:space="preserve"> </w:t>
      </w:r>
      <w:r>
        <w:rPr>
          <w:color w:val="231F20"/>
          <w:sz w:val="20"/>
        </w:rPr>
        <w:t>(see</w:t>
      </w:r>
      <w:r>
        <w:rPr>
          <w:color w:val="231F20"/>
          <w:spacing w:val="-8"/>
          <w:sz w:val="20"/>
        </w:rPr>
        <w:t xml:space="preserve"> </w:t>
      </w:r>
      <w:r>
        <w:rPr>
          <w:color w:val="231F20"/>
          <w:spacing w:val="-3"/>
          <w:sz w:val="20"/>
        </w:rPr>
        <w:t>box).</w:t>
      </w:r>
    </w:p>
    <w:p w14:paraId="3CC7B3E5" w14:textId="77777777" w:rsidR="00894070" w:rsidRDefault="009B7AFD">
      <w:pPr>
        <w:pStyle w:val="BodyText"/>
        <w:spacing w:before="2" w:line="206" w:lineRule="auto"/>
        <w:ind w:left="1801" w:right="1181"/>
        <w:rPr>
          <w:sz w:val="11"/>
        </w:rPr>
      </w:pPr>
      <w:r>
        <w:rPr>
          <w:color w:val="231F20"/>
        </w:rPr>
        <w:t xml:space="preserve">By contrast there </w:t>
      </w:r>
      <w:r>
        <w:rPr>
          <w:color w:val="231F20"/>
          <w:spacing w:val="-3"/>
        </w:rPr>
        <w:t xml:space="preserve">are </w:t>
      </w:r>
      <w:r>
        <w:rPr>
          <w:color w:val="231F20"/>
        </w:rPr>
        <w:t xml:space="preserve">no additional breach offences under the PSIO </w:t>
      </w:r>
      <w:r>
        <w:rPr>
          <w:color w:val="231F20"/>
          <w:spacing w:val="-2"/>
        </w:rPr>
        <w:t xml:space="preserve">Act </w:t>
      </w:r>
      <w:r>
        <w:rPr>
          <w:color w:val="231F20"/>
        </w:rPr>
        <w:t xml:space="preserve">with higher penalties that consider </w:t>
      </w:r>
      <w:r>
        <w:rPr>
          <w:color w:val="231F20"/>
          <w:spacing w:val="-3"/>
        </w:rPr>
        <w:t xml:space="preserve">any aggravating </w:t>
      </w:r>
      <w:r>
        <w:rPr>
          <w:color w:val="231F20"/>
        </w:rPr>
        <w:t xml:space="preserve">circumstances, such as persistent breaches or </w:t>
      </w:r>
      <w:r>
        <w:rPr>
          <w:color w:val="231F20"/>
          <w:spacing w:val="-3"/>
        </w:rPr>
        <w:t xml:space="preserve">intent </w:t>
      </w:r>
      <w:r>
        <w:rPr>
          <w:color w:val="231F20"/>
        </w:rPr>
        <w:t xml:space="preserve">to cause harm or </w:t>
      </w:r>
      <w:r>
        <w:rPr>
          <w:color w:val="231F20"/>
          <w:spacing w:val="-3"/>
        </w:rPr>
        <w:t>fear.</w:t>
      </w:r>
      <w:r>
        <w:rPr>
          <w:color w:val="231F20"/>
          <w:spacing w:val="-3"/>
          <w:position w:val="7"/>
          <w:sz w:val="11"/>
        </w:rPr>
        <w:t>121</w:t>
      </w:r>
    </w:p>
    <w:p w14:paraId="544D28D0" w14:textId="77777777" w:rsidR="00894070" w:rsidRDefault="00894070">
      <w:pPr>
        <w:pStyle w:val="BodyText"/>
      </w:pPr>
    </w:p>
    <w:p w14:paraId="2F239E7D" w14:textId="77777777" w:rsidR="00894070" w:rsidRDefault="00894070">
      <w:pPr>
        <w:pStyle w:val="BodyText"/>
      </w:pPr>
    </w:p>
    <w:p w14:paraId="0483DC9C" w14:textId="77777777" w:rsidR="00894070" w:rsidRDefault="00894070">
      <w:pPr>
        <w:pStyle w:val="BodyText"/>
      </w:pPr>
    </w:p>
    <w:p w14:paraId="51B2ECD1" w14:textId="77777777" w:rsidR="00894070" w:rsidRDefault="00894070">
      <w:pPr>
        <w:pStyle w:val="BodyText"/>
      </w:pPr>
    </w:p>
    <w:p w14:paraId="5833E4D7" w14:textId="77777777" w:rsidR="00894070" w:rsidRDefault="00894070">
      <w:pPr>
        <w:pStyle w:val="BodyText"/>
      </w:pPr>
    </w:p>
    <w:p w14:paraId="59DF00EB" w14:textId="77777777" w:rsidR="00894070" w:rsidRDefault="00894070">
      <w:pPr>
        <w:pStyle w:val="BodyText"/>
      </w:pPr>
    </w:p>
    <w:p w14:paraId="5B331807" w14:textId="77777777" w:rsidR="00894070" w:rsidRDefault="00894070">
      <w:pPr>
        <w:pStyle w:val="BodyText"/>
      </w:pPr>
    </w:p>
    <w:p w14:paraId="522DAA85" w14:textId="77777777" w:rsidR="00894070" w:rsidRDefault="009F6793">
      <w:pPr>
        <w:pStyle w:val="BodyText"/>
        <w:spacing w:before="10"/>
        <w:rPr>
          <w:sz w:val="24"/>
        </w:rPr>
      </w:pPr>
      <w:r>
        <w:pict w14:anchorId="08E48B1B">
          <v:line id="_x0000_s1188" style="position:absolute;z-index:251740160;mso-wrap-distance-left:0;mso-wrap-distance-right:0;mso-position-horizontal-relative:page" from="79.35pt,19.65pt" to="515.9pt,19.65pt" strokecolor="#f8cabc" strokeweight="1pt">
            <w10:wrap type="topAndBottom" anchorx="page"/>
          </v:line>
        </w:pict>
      </w:r>
    </w:p>
    <w:p w14:paraId="3CF39253" w14:textId="77777777" w:rsidR="00894070" w:rsidRDefault="00894070">
      <w:pPr>
        <w:pStyle w:val="BodyText"/>
        <w:rPr>
          <w:sz w:val="5"/>
        </w:rPr>
      </w:pPr>
    </w:p>
    <w:p w14:paraId="6741441B" w14:textId="77777777" w:rsidR="00894070" w:rsidRDefault="00894070">
      <w:pPr>
        <w:rPr>
          <w:sz w:val="5"/>
        </w:rPr>
        <w:sectPr w:rsidR="00894070">
          <w:pgSz w:w="11910" w:h="16840"/>
          <w:pgMar w:top="840" w:right="420" w:bottom="280" w:left="580" w:header="0" w:footer="0" w:gutter="0"/>
          <w:cols w:space="720"/>
        </w:sectPr>
      </w:pPr>
    </w:p>
    <w:p w14:paraId="4DDEA45D" w14:textId="77777777" w:rsidR="00894070" w:rsidRDefault="009B7AFD">
      <w:pPr>
        <w:pStyle w:val="ListParagraph"/>
        <w:numPr>
          <w:ilvl w:val="0"/>
          <w:numId w:val="49"/>
        </w:numPr>
        <w:tabs>
          <w:tab w:val="left" w:pos="1801"/>
          <w:tab w:val="left" w:pos="1802"/>
        </w:tabs>
        <w:spacing w:before="21" w:line="170" w:lineRule="exact"/>
        <w:rPr>
          <w:sz w:val="13"/>
        </w:rPr>
      </w:pPr>
      <w:r>
        <w:rPr>
          <w:i/>
          <w:color w:val="231F20"/>
          <w:sz w:val="13"/>
        </w:rPr>
        <w:t xml:space="preserve">Personal Safety Intervention Orders Act 2010 </w:t>
      </w:r>
      <w:r>
        <w:rPr>
          <w:color w:val="231F20"/>
          <w:sz w:val="13"/>
        </w:rPr>
        <w:t>(Vic) s</w:t>
      </w:r>
      <w:r>
        <w:rPr>
          <w:color w:val="231F20"/>
          <w:spacing w:val="4"/>
          <w:sz w:val="13"/>
        </w:rPr>
        <w:t xml:space="preserve"> </w:t>
      </w:r>
      <w:r>
        <w:rPr>
          <w:color w:val="231F20"/>
          <w:sz w:val="13"/>
        </w:rPr>
        <w:t>100(2).</w:t>
      </w:r>
    </w:p>
    <w:p w14:paraId="7154547B" w14:textId="77777777" w:rsidR="00894070" w:rsidRDefault="009B7AFD">
      <w:pPr>
        <w:pStyle w:val="ListParagraph"/>
        <w:numPr>
          <w:ilvl w:val="0"/>
          <w:numId w:val="49"/>
        </w:numPr>
        <w:tabs>
          <w:tab w:val="left" w:pos="1801"/>
          <w:tab w:val="left" w:pos="1802"/>
        </w:tabs>
        <w:spacing w:before="7" w:line="213" w:lineRule="auto"/>
        <w:ind w:right="72"/>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   xii.</w:t>
      </w:r>
    </w:p>
    <w:p w14:paraId="4B39E493" w14:textId="77777777" w:rsidR="00894070" w:rsidRDefault="009B7AFD">
      <w:pPr>
        <w:pStyle w:val="ListParagraph"/>
        <w:numPr>
          <w:ilvl w:val="0"/>
          <w:numId w:val="49"/>
        </w:numPr>
        <w:tabs>
          <w:tab w:val="left" w:pos="1801"/>
          <w:tab w:val="left" w:pos="1802"/>
        </w:tabs>
        <w:spacing w:line="213" w:lineRule="auto"/>
        <w:ind w:left="1800" w:right="127" w:hanging="793"/>
        <w:rPr>
          <w:sz w:val="13"/>
        </w:rPr>
      </w:pPr>
      <w:r>
        <w:rPr>
          <w:i/>
          <w:color w:val="231F20"/>
          <w:sz w:val="13"/>
        </w:rPr>
        <w:t xml:space="preserve">Criminal Procedure Act 2009 </w:t>
      </w:r>
      <w:r>
        <w:rPr>
          <w:color w:val="231F20"/>
          <w:sz w:val="13"/>
        </w:rPr>
        <w:t xml:space="preserve">(Vic) s </w:t>
      </w:r>
      <w:r>
        <w:rPr>
          <w:color w:val="231F20"/>
          <w:spacing w:val="2"/>
          <w:sz w:val="13"/>
        </w:rPr>
        <w:t xml:space="preserve">242. </w:t>
      </w:r>
      <w:r>
        <w:rPr>
          <w:color w:val="231F20"/>
          <w:sz w:val="13"/>
        </w:rPr>
        <w:t xml:space="preserve">A </w:t>
      </w:r>
      <w:r>
        <w:rPr>
          <w:color w:val="231F20"/>
          <w:spacing w:val="2"/>
          <w:sz w:val="13"/>
        </w:rPr>
        <w:t xml:space="preserve">higher </w:t>
      </w:r>
      <w:r>
        <w:rPr>
          <w:color w:val="231F20"/>
          <w:sz w:val="13"/>
        </w:rPr>
        <w:t xml:space="preserve">court may hear a charge against an accused for a </w:t>
      </w:r>
      <w:r>
        <w:rPr>
          <w:color w:val="231F20"/>
          <w:spacing w:val="2"/>
          <w:sz w:val="13"/>
        </w:rPr>
        <w:t xml:space="preserve">summary </w:t>
      </w:r>
      <w:r>
        <w:rPr>
          <w:color w:val="231F20"/>
          <w:sz w:val="13"/>
        </w:rPr>
        <w:t xml:space="preserve">offence that is unrelated to the indictable offence before the </w:t>
      </w:r>
      <w:r>
        <w:rPr>
          <w:color w:val="231F20"/>
          <w:spacing w:val="2"/>
          <w:sz w:val="13"/>
        </w:rPr>
        <w:t xml:space="preserve">court, </w:t>
      </w:r>
      <w:r>
        <w:rPr>
          <w:color w:val="231F20"/>
          <w:sz w:val="13"/>
        </w:rPr>
        <w:t xml:space="preserve">but only if the accused consents and intends to plead guilty to the charge for the </w:t>
      </w:r>
      <w:r>
        <w:rPr>
          <w:color w:val="231F20"/>
          <w:spacing w:val="2"/>
          <w:sz w:val="13"/>
        </w:rPr>
        <w:t xml:space="preserve">summary </w:t>
      </w:r>
      <w:r>
        <w:rPr>
          <w:color w:val="231F20"/>
          <w:sz w:val="13"/>
        </w:rPr>
        <w:t>offence: at s</w:t>
      </w:r>
      <w:r>
        <w:rPr>
          <w:color w:val="231F20"/>
          <w:spacing w:val="-2"/>
          <w:sz w:val="13"/>
        </w:rPr>
        <w:t xml:space="preserve"> </w:t>
      </w:r>
      <w:r>
        <w:rPr>
          <w:color w:val="231F20"/>
          <w:spacing w:val="2"/>
          <w:sz w:val="13"/>
        </w:rPr>
        <w:t>243.</w:t>
      </w:r>
    </w:p>
    <w:p w14:paraId="0702B8D7" w14:textId="77777777" w:rsidR="00894070" w:rsidRDefault="009B7AFD">
      <w:pPr>
        <w:pStyle w:val="ListParagraph"/>
        <w:numPr>
          <w:ilvl w:val="0"/>
          <w:numId w:val="49"/>
        </w:numPr>
        <w:tabs>
          <w:tab w:val="left" w:pos="1801"/>
          <w:tab w:val="left" w:pos="1802"/>
        </w:tabs>
        <w:spacing w:line="213" w:lineRule="auto"/>
        <w:ind w:right="72"/>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    ix.</w:t>
      </w:r>
    </w:p>
    <w:p w14:paraId="0E79D6FE" w14:textId="77777777" w:rsidR="00894070" w:rsidRDefault="009B7AFD">
      <w:pPr>
        <w:pStyle w:val="ListParagraph"/>
        <w:numPr>
          <w:ilvl w:val="0"/>
          <w:numId w:val="49"/>
        </w:numPr>
        <w:tabs>
          <w:tab w:val="left" w:pos="1801"/>
          <w:tab w:val="left" w:pos="1802"/>
        </w:tabs>
        <w:spacing w:line="213" w:lineRule="auto"/>
        <w:rPr>
          <w:sz w:val="13"/>
        </w:rPr>
      </w:pPr>
      <w:r>
        <w:rPr>
          <w:color w:val="231F20"/>
          <w:sz w:val="13"/>
        </w:rPr>
        <w:t xml:space="preserve">69,703 interim </w:t>
      </w:r>
      <w:r>
        <w:rPr>
          <w:color w:val="231F20"/>
          <w:spacing w:val="2"/>
          <w:sz w:val="13"/>
        </w:rPr>
        <w:t xml:space="preserve">PSIOs </w:t>
      </w:r>
      <w:r>
        <w:rPr>
          <w:color w:val="231F20"/>
          <w:sz w:val="13"/>
        </w:rPr>
        <w:t xml:space="preserve">and 57,890 final </w:t>
      </w:r>
      <w:r>
        <w:rPr>
          <w:color w:val="231F20"/>
          <w:spacing w:val="2"/>
          <w:sz w:val="13"/>
        </w:rPr>
        <w:t xml:space="preserve">PSIOs </w:t>
      </w:r>
      <w:r>
        <w:rPr>
          <w:color w:val="231F20"/>
          <w:sz w:val="13"/>
        </w:rPr>
        <w:t xml:space="preserve">were </w:t>
      </w:r>
      <w:r>
        <w:rPr>
          <w:color w:val="231F20"/>
          <w:spacing w:val="2"/>
          <w:sz w:val="13"/>
        </w:rPr>
        <w:t xml:space="preserve">issued. </w:t>
      </w:r>
      <w:r>
        <w:rPr>
          <w:color w:val="231F20"/>
          <w:sz w:val="13"/>
        </w:rPr>
        <w:t xml:space="preserve">Out of the combined total (127,593) </w:t>
      </w:r>
      <w:r>
        <w:rPr>
          <w:color w:val="231F20"/>
          <w:spacing w:val="2"/>
          <w:sz w:val="13"/>
        </w:rPr>
        <w:t xml:space="preserve">issued, </w:t>
      </w:r>
      <w:r>
        <w:rPr>
          <w:color w:val="231F20"/>
          <w:sz w:val="13"/>
        </w:rPr>
        <w:t xml:space="preserve">26,329 </w:t>
      </w:r>
      <w:r>
        <w:rPr>
          <w:color w:val="231F20"/>
          <w:spacing w:val="2"/>
          <w:sz w:val="13"/>
        </w:rPr>
        <w:t xml:space="preserve">PSIO </w:t>
      </w:r>
      <w:r>
        <w:rPr>
          <w:color w:val="231F20"/>
          <w:sz w:val="13"/>
        </w:rPr>
        <w:t>breach offences were recorded by police: Ibid.</w:t>
      </w:r>
    </w:p>
    <w:p w14:paraId="73397B4D" w14:textId="77777777" w:rsidR="00894070" w:rsidRDefault="009B7AFD">
      <w:pPr>
        <w:pStyle w:val="ListParagraph"/>
        <w:numPr>
          <w:ilvl w:val="0"/>
          <w:numId w:val="49"/>
        </w:numPr>
        <w:tabs>
          <w:tab w:val="left" w:pos="1800"/>
          <w:tab w:val="left" w:pos="1802"/>
        </w:tabs>
        <w:spacing w:line="152" w:lineRule="exact"/>
        <w:rPr>
          <w:sz w:val="13"/>
        </w:rPr>
      </w:pPr>
      <w:r>
        <w:rPr>
          <w:color w:val="231F20"/>
          <w:sz w:val="13"/>
        </w:rPr>
        <w:t>Ibid xii.</w:t>
      </w:r>
    </w:p>
    <w:p w14:paraId="7F3C3F8A" w14:textId="77777777" w:rsidR="00894070" w:rsidRDefault="009B7AFD">
      <w:pPr>
        <w:tabs>
          <w:tab w:val="left" w:pos="1800"/>
        </w:tabs>
        <w:spacing w:line="160" w:lineRule="exact"/>
        <w:ind w:left="1007"/>
        <w:rPr>
          <w:sz w:val="13"/>
        </w:rPr>
      </w:pPr>
      <w:r>
        <w:rPr>
          <w:color w:val="231F20"/>
          <w:sz w:val="13"/>
        </w:rPr>
        <w:t>118</w:t>
      </w:r>
      <w:r>
        <w:rPr>
          <w:color w:val="231F20"/>
          <w:sz w:val="13"/>
        </w:rPr>
        <w:tab/>
        <w:t>Ibid</w:t>
      </w:r>
      <w:r>
        <w:rPr>
          <w:color w:val="231F20"/>
          <w:spacing w:val="17"/>
          <w:sz w:val="13"/>
        </w:rPr>
        <w:t xml:space="preserve"> </w:t>
      </w:r>
      <w:r>
        <w:rPr>
          <w:color w:val="231F20"/>
          <w:sz w:val="13"/>
        </w:rPr>
        <w:t>[6.3].</w:t>
      </w:r>
    </w:p>
    <w:p w14:paraId="455E9A07" w14:textId="77777777" w:rsidR="00894070" w:rsidRDefault="009B7AFD">
      <w:pPr>
        <w:tabs>
          <w:tab w:val="left" w:pos="1801"/>
        </w:tabs>
        <w:spacing w:line="160" w:lineRule="exact"/>
        <w:ind w:left="1007"/>
        <w:rPr>
          <w:sz w:val="13"/>
        </w:rPr>
      </w:pPr>
      <w:r>
        <w:rPr>
          <w:color w:val="231F20"/>
          <w:sz w:val="13"/>
        </w:rPr>
        <w:t>119</w:t>
      </w:r>
      <w:r>
        <w:rPr>
          <w:color w:val="231F20"/>
          <w:sz w:val="13"/>
        </w:rPr>
        <w:tab/>
        <w:t>Ibid</w:t>
      </w:r>
      <w:r>
        <w:rPr>
          <w:color w:val="231F20"/>
          <w:spacing w:val="8"/>
          <w:sz w:val="13"/>
        </w:rPr>
        <w:t xml:space="preserve"> </w:t>
      </w:r>
      <w:r>
        <w:rPr>
          <w:color w:val="231F20"/>
          <w:spacing w:val="3"/>
          <w:sz w:val="13"/>
        </w:rPr>
        <w:t>[5.2].</w:t>
      </w:r>
    </w:p>
    <w:p w14:paraId="5947D2FC" w14:textId="77777777" w:rsidR="00894070" w:rsidRDefault="009B7AFD">
      <w:pPr>
        <w:tabs>
          <w:tab w:val="left" w:pos="1801"/>
        </w:tabs>
        <w:spacing w:line="160" w:lineRule="exact"/>
        <w:ind w:left="1007"/>
        <w:rPr>
          <w:sz w:val="13"/>
        </w:rPr>
      </w:pPr>
      <w:r>
        <w:rPr>
          <w:color w:val="231F20"/>
          <w:sz w:val="13"/>
        </w:rPr>
        <w:t>120</w:t>
      </w:r>
      <w:r>
        <w:rPr>
          <w:color w:val="231F20"/>
          <w:sz w:val="13"/>
        </w:rPr>
        <w:tab/>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(Consultation Paper, June 2021) </w:t>
      </w:r>
      <w:r>
        <w:rPr>
          <w:color w:val="231F20"/>
          <w:spacing w:val="2"/>
          <w:sz w:val="13"/>
        </w:rPr>
        <w:t>Question</w:t>
      </w:r>
      <w:r>
        <w:rPr>
          <w:color w:val="231F20"/>
          <w:spacing w:val="7"/>
          <w:sz w:val="13"/>
        </w:rPr>
        <w:t xml:space="preserve"> </w:t>
      </w:r>
      <w:r>
        <w:rPr>
          <w:color w:val="231F20"/>
          <w:spacing w:val="2"/>
          <w:sz w:val="13"/>
        </w:rPr>
        <w:t>11.</w:t>
      </w:r>
    </w:p>
    <w:p w14:paraId="33760296" w14:textId="77777777" w:rsidR="00894070" w:rsidRDefault="009B7AFD">
      <w:pPr>
        <w:tabs>
          <w:tab w:val="left" w:pos="1801"/>
        </w:tabs>
        <w:spacing w:before="2" w:line="213" w:lineRule="auto"/>
        <w:ind w:left="1801" w:right="72" w:hanging="794"/>
        <w:rPr>
          <w:sz w:val="13"/>
        </w:rPr>
      </w:pPr>
      <w:r>
        <w:rPr>
          <w:color w:val="231F20"/>
          <w:spacing w:val="2"/>
          <w:sz w:val="13"/>
        </w:rPr>
        <w:t>121</w:t>
      </w:r>
      <w:r>
        <w:rPr>
          <w:color w:val="231F20"/>
          <w:spacing w:val="2"/>
          <w:sz w:val="13"/>
        </w:rPr>
        <w:tab/>
      </w: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 [2.10].</w:t>
      </w:r>
    </w:p>
    <w:p w14:paraId="514E03B1" w14:textId="77777777" w:rsidR="00894070" w:rsidRDefault="009B7AFD">
      <w:pPr>
        <w:pStyle w:val="BodyText"/>
        <w:rPr>
          <w:sz w:val="28"/>
        </w:rPr>
      </w:pPr>
      <w:r>
        <w:br w:type="column"/>
      </w:r>
    </w:p>
    <w:p w14:paraId="38F076EA" w14:textId="77777777" w:rsidR="00894070" w:rsidRDefault="00894070">
      <w:pPr>
        <w:pStyle w:val="BodyText"/>
        <w:rPr>
          <w:sz w:val="28"/>
        </w:rPr>
      </w:pPr>
    </w:p>
    <w:p w14:paraId="7C0ED222" w14:textId="77777777" w:rsidR="00894070" w:rsidRDefault="00894070">
      <w:pPr>
        <w:pStyle w:val="BodyText"/>
        <w:rPr>
          <w:sz w:val="28"/>
        </w:rPr>
      </w:pPr>
    </w:p>
    <w:p w14:paraId="5FA06E77" w14:textId="77777777" w:rsidR="00894070" w:rsidRDefault="00894070">
      <w:pPr>
        <w:pStyle w:val="BodyText"/>
        <w:rPr>
          <w:sz w:val="28"/>
        </w:rPr>
      </w:pPr>
    </w:p>
    <w:p w14:paraId="28BABED9" w14:textId="77777777" w:rsidR="00894070" w:rsidRDefault="00894070">
      <w:pPr>
        <w:pStyle w:val="BodyText"/>
        <w:rPr>
          <w:sz w:val="28"/>
        </w:rPr>
      </w:pPr>
    </w:p>
    <w:p w14:paraId="1F3848BA" w14:textId="77777777" w:rsidR="00894070" w:rsidRDefault="00894070">
      <w:pPr>
        <w:pStyle w:val="BodyText"/>
        <w:spacing w:before="4"/>
        <w:rPr>
          <w:sz w:val="25"/>
        </w:rPr>
      </w:pPr>
    </w:p>
    <w:p w14:paraId="4D4ABC65" w14:textId="77777777" w:rsidR="00894070" w:rsidRDefault="009B7AFD">
      <w:pPr>
        <w:pStyle w:val="Heading8"/>
        <w:ind w:left="599"/>
      </w:pPr>
      <w:r>
        <w:rPr>
          <w:color w:val="EA5B50"/>
        </w:rPr>
        <w:t>147</w:t>
      </w:r>
    </w:p>
    <w:p w14:paraId="472A4AB4" w14:textId="77777777" w:rsidR="00894070" w:rsidRDefault="00894070">
      <w:pPr>
        <w:sectPr w:rsidR="00894070">
          <w:type w:val="continuous"/>
          <w:pgSz w:w="11910" w:h="16840"/>
          <w:pgMar w:top="560" w:right="420" w:bottom="280" w:left="580" w:header="720" w:footer="720" w:gutter="0"/>
          <w:cols w:num="2" w:space="720" w:equalWidth="0">
            <w:col w:w="9702" w:space="40"/>
            <w:col w:w="1168"/>
          </w:cols>
        </w:sectPr>
      </w:pPr>
    </w:p>
    <w:p w14:paraId="3C80B754" w14:textId="77777777" w:rsidR="00894070" w:rsidRDefault="00894070">
      <w:pPr>
        <w:pStyle w:val="BodyText"/>
        <w:rPr>
          <w:b/>
        </w:rPr>
      </w:pPr>
    </w:p>
    <w:p w14:paraId="3105E67C" w14:textId="77777777" w:rsidR="00894070" w:rsidRDefault="00894070">
      <w:pPr>
        <w:pStyle w:val="BodyText"/>
        <w:rPr>
          <w:b/>
        </w:rPr>
      </w:pPr>
    </w:p>
    <w:p w14:paraId="4A67FC23" w14:textId="77777777" w:rsidR="00894070" w:rsidRDefault="00894070">
      <w:pPr>
        <w:pStyle w:val="BodyText"/>
        <w:rPr>
          <w:b/>
        </w:rPr>
      </w:pPr>
    </w:p>
    <w:p w14:paraId="1240A36F" w14:textId="77777777" w:rsidR="00894070" w:rsidRDefault="00894070">
      <w:pPr>
        <w:pStyle w:val="BodyText"/>
        <w:spacing w:before="8"/>
        <w:rPr>
          <w:b/>
          <w:sz w:val="19"/>
        </w:rPr>
      </w:pPr>
    </w:p>
    <w:p w14:paraId="54CA8F32" w14:textId="77777777" w:rsidR="00894070" w:rsidRDefault="009F6793">
      <w:pPr>
        <w:pStyle w:val="BodyText"/>
        <w:ind w:left="1007"/>
      </w:pPr>
      <w:r>
        <w:pict w14:anchorId="568BF438">
          <v:shape id="_x0000_s1739" type="#_x0000_t202" style="width:436.55pt;height:176.1pt;mso-left-percent:-10001;mso-top-percent:-10001;mso-position-horizontal:absolute;mso-position-horizontal-relative:char;mso-position-vertical:absolute;mso-position-vertical-relative:line;mso-left-percent:-10001;mso-top-percent:-10001" fillcolor="#fee7de" strokecolor="#ea5b50" strokeweight=".5pt">
            <v:textbox inset="0,0,0,0">
              <w:txbxContent>
                <w:p w14:paraId="686B2545" w14:textId="77777777" w:rsidR="00894070" w:rsidRDefault="009B7AFD">
                  <w:pPr>
                    <w:spacing w:before="96" w:line="360" w:lineRule="atLeast"/>
                    <w:ind w:left="221" w:right="1013"/>
                    <w:rPr>
                      <w:b/>
                      <w:sz w:val="20"/>
                    </w:rPr>
                  </w:pPr>
                  <w:r>
                    <w:rPr>
                      <w:b/>
                      <w:color w:val="231F20"/>
                      <w:sz w:val="20"/>
                    </w:rPr>
                    <w:t xml:space="preserve">Additional breach offences under the </w:t>
                  </w:r>
                  <w:r>
                    <w:rPr>
                      <w:b/>
                      <w:i/>
                      <w:color w:val="231F20"/>
                      <w:sz w:val="20"/>
                    </w:rPr>
                    <w:t xml:space="preserve">Family Violence Protection Act 2008 </w:t>
                  </w:r>
                  <w:r>
                    <w:rPr>
                      <w:b/>
                      <w:color w:val="231F20"/>
                      <w:sz w:val="20"/>
                    </w:rPr>
                    <w:t>(Vic) Contravention of order intending to cause harm or fear for safety, s 123A</w:t>
                  </w:r>
                </w:p>
                <w:p w14:paraId="7181B95B" w14:textId="77777777" w:rsidR="00894070" w:rsidRDefault="009B7AFD">
                  <w:pPr>
                    <w:pStyle w:val="BodyText"/>
                    <w:spacing w:line="206" w:lineRule="auto"/>
                    <w:ind w:left="221" w:right="314"/>
                  </w:pPr>
                  <w:r>
                    <w:rPr>
                      <w:color w:val="231F20"/>
                    </w:rPr>
                    <w:t>This prohibits contravention of the order intending to cause, or knowing that the conduct will probably cause, physical or mental harm or apprehension of fear in the protected person. Penalty: Level 6 imprisonment (5 years maximum) or a level 6 fine (600 penalty units maximum) or both.</w:t>
                  </w:r>
                </w:p>
                <w:p w14:paraId="18B0CA7A" w14:textId="77777777" w:rsidR="00894070" w:rsidRDefault="009B7AFD">
                  <w:pPr>
                    <w:spacing w:before="88" w:line="259" w:lineRule="exact"/>
                    <w:ind w:left="221"/>
                    <w:rPr>
                      <w:b/>
                      <w:sz w:val="20"/>
                    </w:rPr>
                  </w:pPr>
                  <w:r>
                    <w:rPr>
                      <w:b/>
                      <w:color w:val="231F20"/>
                      <w:sz w:val="20"/>
                    </w:rPr>
                    <w:t>Persistent contravention of notices and orders, s 125A</w:t>
                  </w:r>
                </w:p>
                <w:p w14:paraId="51546BE2" w14:textId="77777777" w:rsidR="00894070" w:rsidRDefault="009B7AFD">
                  <w:pPr>
                    <w:pStyle w:val="BodyText"/>
                    <w:spacing w:before="13" w:line="206" w:lineRule="auto"/>
                    <w:ind w:left="221" w:right="273"/>
                  </w:pPr>
                  <w:r>
                    <w:rPr>
                      <w:color w:val="231F20"/>
                    </w:rPr>
                    <w:t xml:space="preserve">This </w:t>
                  </w:r>
                  <w:r>
                    <w:rPr>
                      <w:color w:val="231F20"/>
                      <w:spacing w:val="-3"/>
                    </w:rPr>
                    <w:t xml:space="preserve">covers </w:t>
                  </w:r>
                  <w:r>
                    <w:rPr>
                      <w:color w:val="231F20"/>
                    </w:rPr>
                    <w:t xml:space="preserve">persistent contravention of notices and orders. It stipulates that a person must not persistently contravene a </w:t>
                  </w:r>
                  <w:r>
                    <w:rPr>
                      <w:color w:val="231F20"/>
                      <w:spacing w:val="-4"/>
                    </w:rPr>
                    <w:t xml:space="preserve">Family </w:t>
                  </w:r>
                  <w:r>
                    <w:rPr>
                      <w:color w:val="231F20"/>
                    </w:rPr>
                    <w:t xml:space="preserve">Violence Safety Notice or </w:t>
                  </w:r>
                  <w:r>
                    <w:rPr>
                      <w:color w:val="231F20"/>
                      <w:spacing w:val="-4"/>
                    </w:rPr>
                    <w:t xml:space="preserve">Family </w:t>
                  </w:r>
                  <w:r>
                    <w:rPr>
                      <w:color w:val="231F20"/>
                    </w:rPr>
                    <w:t xml:space="preserve">Violence Intervention </w:t>
                  </w:r>
                  <w:r>
                    <w:rPr>
                      <w:color w:val="231F20"/>
                      <w:spacing w:val="-3"/>
                    </w:rPr>
                    <w:t xml:space="preserve">Order. </w:t>
                  </w:r>
                  <w:r>
                    <w:rPr>
                      <w:color w:val="231F20"/>
                    </w:rPr>
                    <w:t xml:space="preserve">The conduct constituting the breach must </w:t>
                  </w:r>
                  <w:r>
                    <w:rPr>
                      <w:color w:val="231F20"/>
                      <w:spacing w:val="-3"/>
                    </w:rPr>
                    <w:t xml:space="preserve">have </w:t>
                  </w:r>
                  <w:r>
                    <w:rPr>
                      <w:color w:val="231F20"/>
                    </w:rPr>
                    <w:t>occurred on at least two</w:t>
                  </w:r>
                  <w:r>
                    <w:rPr>
                      <w:color w:val="231F20"/>
                      <w:spacing w:val="-5"/>
                    </w:rPr>
                    <w:t xml:space="preserve"> </w:t>
                  </w:r>
                  <w:r>
                    <w:rPr>
                      <w:color w:val="231F20"/>
                    </w:rPr>
                    <w:t>other</w:t>
                  </w:r>
                  <w:r>
                    <w:rPr>
                      <w:color w:val="231F20"/>
                      <w:spacing w:val="-4"/>
                    </w:rPr>
                    <w:t xml:space="preserve"> </w:t>
                  </w:r>
                  <w:r>
                    <w:rPr>
                      <w:color w:val="231F20"/>
                    </w:rPr>
                    <w:t>occasions</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28-day</w:t>
                  </w:r>
                  <w:r>
                    <w:rPr>
                      <w:color w:val="231F20"/>
                      <w:spacing w:val="-5"/>
                    </w:rPr>
                    <w:t xml:space="preserve"> </w:t>
                  </w:r>
                  <w:r>
                    <w:rPr>
                      <w:color w:val="231F20"/>
                    </w:rPr>
                    <w:t>period.</w:t>
                  </w:r>
                  <w:r>
                    <w:rPr>
                      <w:color w:val="231F20"/>
                      <w:spacing w:val="-4"/>
                    </w:rPr>
                    <w:t xml:space="preserve"> </w:t>
                  </w:r>
                  <w:r>
                    <w:rPr>
                      <w:color w:val="231F20"/>
                    </w:rPr>
                    <w:t>Penalty:</w:t>
                  </w:r>
                  <w:r>
                    <w:rPr>
                      <w:color w:val="231F20"/>
                      <w:spacing w:val="-4"/>
                    </w:rPr>
                    <w:t xml:space="preserve"> </w:t>
                  </w:r>
                  <w:r>
                    <w:rPr>
                      <w:color w:val="231F20"/>
                      <w:spacing w:val="-3"/>
                    </w:rPr>
                    <w:t>Level</w:t>
                  </w:r>
                  <w:r>
                    <w:rPr>
                      <w:color w:val="231F20"/>
                      <w:spacing w:val="-4"/>
                    </w:rPr>
                    <w:t xml:space="preserve"> </w:t>
                  </w:r>
                  <w:r>
                    <w:rPr>
                      <w:color w:val="231F20"/>
                    </w:rPr>
                    <w:t>6</w:t>
                  </w:r>
                  <w:r>
                    <w:rPr>
                      <w:color w:val="231F20"/>
                      <w:spacing w:val="-4"/>
                    </w:rPr>
                    <w:t xml:space="preserve"> </w:t>
                  </w:r>
                  <w:r>
                    <w:rPr>
                      <w:color w:val="231F20"/>
                    </w:rPr>
                    <w:t>imprisonment</w:t>
                  </w:r>
                  <w:r>
                    <w:rPr>
                      <w:color w:val="231F20"/>
                      <w:spacing w:val="-5"/>
                    </w:rPr>
                    <w:t xml:space="preserve"> </w:t>
                  </w:r>
                  <w:r>
                    <w:rPr>
                      <w:color w:val="231F20"/>
                    </w:rPr>
                    <w:t>(5</w:t>
                  </w:r>
                  <w:r>
                    <w:rPr>
                      <w:color w:val="231F20"/>
                      <w:spacing w:val="-4"/>
                    </w:rPr>
                    <w:t xml:space="preserve"> </w:t>
                  </w:r>
                  <w:r>
                    <w:rPr>
                      <w:color w:val="231F20"/>
                    </w:rPr>
                    <w:t>years</w:t>
                  </w:r>
                  <w:r>
                    <w:rPr>
                      <w:color w:val="231F20"/>
                      <w:spacing w:val="-4"/>
                    </w:rPr>
                    <w:t xml:space="preserve"> </w:t>
                  </w:r>
                  <w:r>
                    <w:rPr>
                      <w:color w:val="231F20"/>
                    </w:rPr>
                    <w:t xml:space="preserve">maximum) or a </w:t>
                  </w:r>
                  <w:r>
                    <w:rPr>
                      <w:color w:val="231F20"/>
                      <w:spacing w:val="-3"/>
                    </w:rPr>
                    <w:t xml:space="preserve">level </w:t>
                  </w:r>
                  <w:r>
                    <w:rPr>
                      <w:color w:val="231F20"/>
                    </w:rPr>
                    <w:t>6 fine (600 penalty units maximum) or</w:t>
                  </w:r>
                  <w:r>
                    <w:rPr>
                      <w:color w:val="231F20"/>
                      <w:spacing w:val="-20"/>
                    </w:rPr>
                    <w:t xml:space="preserve"> </w:t>
                  </w:r>
                  <w:r>
                    <w:rPr>
                      <w:color w:val="231F20"/>
                    </w:rPr>
                    <w:t>both.</w:t>
                  </w:r>
                </w:p>
              </w:txbxContent>
            </v:textbox>
            <w10:anchorlock/>
          </v:shape>
        </w:pict>
      </w:r>
    </w:p>
    <w:p w14:paraId="79E46201" w14:textId="77777777" w:rsidR="00894070" w:rsidRDefault="00894070">
      <w:pPr>
        <w:pStyle w:val="BodyText"/>
        <w:spacing w:before="13"/>
        <w:rPr>
          <w:b/>
          <w:sz w:val="22"/>
        </w:rPr>
      </w:pPr>
    </w:p>
    <w:p w14:paraId="4990AF55" w14:textId="77777777" w:rsidR="00894070" w:rsidRDefault="009B7AFD">
      <w:pPr>
        <w:pStyle w:val="ListParagraph"/>
        <w:numPr>
          <w:ilvl w:val="1"/>
          <w:numId w:val="65"/>
        </w:numPr>
        <w:tabs>
          <w:tab w:val="left" w:pos="1802"/>
        </w:tabs>
        <w:spacing w:before="89" w:line="206" w:lineRule="auto"/>
        <w:ind w:right="1306"/>
        <w:jc w:val="both"/>
        <w:rPr>
          <w:sz w:val="11"/>
        </w:rPr>
      </w:pPr>
      <w:r>
        <w:rPr>
          <w:color w:val="231F20"/>
          <w:sz w:val="20"/>
        </w:rPr>
        <w:t>The</w:t>
      </w:r>
      <w:r>
        <w:rPr>
          <w:color w:val="231F20"/>
          <w:spacing w:val="-10"/>
          <w:sz w:val="20"/>
        </w:rPr>
        <w:t xml:space="preserve"> </w:t>
      </w:r>
      <w:r>
        <w:rPr>
          <w:color w:val="231F20"/>
          <w:sz w:val="20"/>
        </w:rPr>
        <w:t>Law</w:t>
      </w:r>
      <w:r>
        <w:rPr>
          <w:color w:val="231F20"/>
          <w:spacing w:val="-9"/>
          <w:sz w:val="20"/>
        </w:rPr>
        <w:t xml:space="preserve"> </w:t>
      </w:r>
      <w:r>
        <w:rPr>
          <w:color w:val="231F20"/>
          <w:spacing w:val="-3"/>
          <w:sz w:val="20"/>
        </w:rPr>
        <w:t>Institute</w:t>
      </w:r>
      <w:r>
        <w:rPr>
          <w:color w:val="231F20"/>
          <w:spacing w:val="-9"/>
          <w:sz w:val="20"/>
        </w:rPr>
        <w:t xml:space="preserve"> </w:t>
      </w:r>
      <w:r>
        <w:rPr>
          <w:color w:val="231F20"/>
          <w:sz w:val="20"/>
        </w:rPr>
        <w:t>of</w:t>
      </w:r>
      <w:r>
        <w:rPr>
          <w:color w:val="231F20"/>
          <w:spacing w:val="-9"/>
          <w:sz w:val="20"/>
        </w:rPr>
        <w:t xml:space="preserve"> </w:t>
      </w:r>
      <w:r>
        <w:rPr>
          <w:color w:val="231F20"/>
          <w:sz w:val="20"/>
        </w:rPr>
        <w:t>Victoria</w:t>
      </w:r>
      <w:r>
        <w:rPr>
          <w:color w:val="231F20"/>
          <w:spacing w:val="-9"/>
          <w:sz w:val="20"/>
        </w:rPr>
        <w:t xml:space="preserve"> </w:t>
      </w:r>
      <w:r>
        <w:rPr>
          <w:color w:val="231F20"/>
          <w:sz w:val="20"/>
        </w:rPr>
        <w:t>(LIV)</w:t>
      </w:r>
      <w:r>
        <w:rPr>
          <w:color w:val="231F20"/>
          <w:spacing w:val="-9"/>
          <w:sz w:val="20"/>
        </w:rPr>
        <w:t xml:space="preserve"> </w:t>
      </w:r>
      <w:r>
        <w:rPr>
          <w:color w:val="231F20"/>
          <w:sz w:val="20"/>
        </w:rPr>
        <w:t>supported</w:t>
      </w:r>
      <w:r>
        <w:rPr>
          <w:color w:val="231F20"/>
          <w:spacing w:val="-9"/>
          <w:sz w:val="20"/>
        </w:rPr>
        <w:t xml:space="preserve"> </w:t>
      </w:r>
      <w:r>
        <w:rPr>
          <w:color w:val="231F20"/>
          <w:sz w:val="20"/>
        </w:rPr>
        <w:t>the</w:t>
      </w:r>
      <w:r>
        <w:rPr>
          <w:color w:val="231F20"/>
          <w:spacing w:val="-9"/>
          <w:sz w:val="20"/>
        </w:rPr>
        <w:t xml:space="preserve"> </w:t>
      </w:r>
      <w:r>
        <w:rPr>
          <w:color w:val="231F20"/>
          <w:sz w:val="20"/>
        </w:rPr>
        <w:t>inclusion</w:t>
      </w:r>
      <w:r>
        <w:rPr>
          <w:color w:val="231F20"/>
          <w:spacing w:val="-9"/>
          <w:sz w:val="20"/>
        </w:rPr>
        <w:t xml:space="preserve"> </w:t>
      </w:r>
      <w:r>
        <w:rPr>
          <w:color w:val="231F20"/>
          <w:sz w:val="20"/>
        </w:rPr>
        <w:t>of</w:t>
      </w:r>
      <w:r>
        <w:rPr>
          <w:color w:val="231F20"/>
          <w:spacing w:val="-10"/>
          <w:sz w:val="20"/>
        </w:rPr>
        <w:t xml:space="preserve"> </w:t>
      </w:r>
      <w:r>
        <w:rPr>
          <w:color w:val="231F20"/>
          <w:sz w:val="20"/>
        </w:rPr>
        <w:t>a</w:t>
      </w:r>
      <w:r>
        <w:rPr>
          <w:color w:val="231F20"/>
          <w:spacing w:val="-9"/>
          <w:sz w:val="20"/>
        </w:rPr>
        <w:t xml:space="preserve"> </w:t>
      </w:r>
      <w:r>
        <w:rPr>
          <w:color w:val="231F20"/>
          <w:sz w:val="20"/>
        </w:rPr>
        <w:t>section</w:t>
      </w:r>
      <w:r>
        <w:rPr>
          <w:color w:val="231F20"/>
          <w:spacing w:val="-9"/>
          <w:sz w:val="20"/>
        </w:rPr>
        <w:t xml:space="preserve"> </w:t>
      </w:r>
      <w:r>
        <w:rPr>
          <w:color w:val="231F20"/>
          <w:sz w:val="20"/>
        </w:rPr>
        <w:t>125A</w:t>
      </w:r>
      <w:r>
        <w:rPr>
          <w:color w:val="231F20"/>
          <w:spacing w:val="-9"/>
          <w:sz w:val="20"/>
        </w:rPr>
        <w:t xml:space="preserve"> </w:t>
      </w:r>
      <w:r>
        <w:rPr>
          <w:color w:val="231F20"/>
          <w:sz w:val="20"/>
        </w:rPr>
        <w:t>equivalent in</w:t>
      </w:r>
      <w:r>
        <w:rPr>
          <w:color w:val="231F20"/>
          <w:spacing w:val="-11"/>
          <w:sz w:val="20"/>
        </w:rPr>
        <w:t xml:space="preserve"> </w:t>
      </w:r>
      <w:r>
        <w:rPr>
          <w:color w:val="231F20"/>
          <w:sz w:val="20"/>
        </w:rPr>
        <w:t>the</w:t>
      </w:r>
      <w:r>
        <w:rPr>
          <w:color w:val="231F20"/>
          <w:spacing w:val="-10"/>
          <w:sz w:val="20"/>
        </w:rPr>
        <w:t xml:space="preserve"> </w:t>
      </w:r>
      <w:r>
        <w:rPr>
          <w:color w:val="231F20"/>
          <w:sz w:val="20"/>
        </w:rPr>
        <w:t>PSIO</w:t>
      </w:r>
      <w:r>
        <w:rPr>
          <w:color w:val="231F20"/>
          <w:spacing w:val="-11"/>
          <w:sz w:val="20"/>
        </w:rPr>
        <w:t xml:space="preserve"> </w:t>
      </w:r>
      <w:r>
        <w:rPr>
          <w:color w:val="231F20"/>
          <w:sz w:val="20"/>
        </w:rPr>
        <w:t>Act.</w:t>
      </w:r>
      <w:r>
        <w:rPr>
          <w:color w:val="231F20"/>
          <w:spacing w:val="-10"/>
          <w:sz w:val="20"/>
        </w:rPr>
        <w:t xml:space="preserve"> </w:t>
      </w:r>
      <w:r>
        <w:rPr>
          <w:color w:val="231F20"/>
          <w:sz w:val="20"/>
        </w:rPr>
        <w:t>Victoria</w:t>
      </w:r>
      <w:r>
        <w:rPr>
          <w:color w:val="231F20"/>
          <w:spacing w:val="-11"/>
          <w:sz w:val="20"/>
        </w:rPr>
        <w:t xml:space="preserve"> </w:t>
      </w:r>
      <w:r>
        <w:rPr>
          <w:color w:val="231F20"/>
          <w:sz w:val="20"/>
        </w:rPr>
        <w:t>Police</w:t>
      </w:r>
      <w:r>
        <w:rPr>
          <w:color w:val="231F20"/>
          <w:spacing w:val="-10"/>
          <w:sz w:val="20"/>
        </w:rPr>
        <w:t xml:space="preserve"> </w:t>
      </w:r>
      <w:r>
        <w:rPr>
          <w:color w:val="231F20"/>
          <w:sz w:val="20"/>
        </w:rPr>
        <w:t>supported</w:t>
      </w:r>
      <w:r>
        <w:rPr>
          <w:color w:val="231F20"/>
          <w:spacing w:val="-11"/>
          <w:sz w:val="20"/>
        </w:rPr>
        <w:t xml:space="preserve"> </w:t>
      </w:r>
      <w:r>
        <w:rPr>
          <w:color w:val="231F20"/>
          <w:sz w:val="20"/>
        </w:rPr>
        <w:t>the</w:t>
      </w:r>
      <w:r>
        <w:rPr>
          <w:color w:val="231F20"/>
          <w:spacing w:val="-10"/>
          <w:sz w:val="20"/>
        </w:rPr>
        <w:t xml:space="preserve"> </w:t>
      </w:r>
      <w:r>
        <w:rPr>
          <w:color w:val="231F20"/>
          <w:sz w:val="20"/>
        </w:rPr>
        <w:t>inclusion</w:t>
      </w:r>
      <w:r>
        <w:rPr>
          <w:color w:val="231F20"/>
          <w:spacing w:val="-11"/>
          <w:sz w:val="20"/>
        </w:rPr>
        <w:t xml:space="preserve"> </w:t>
      </w:r>
      <w:r>
        <w:rPr>
          <w:color w:val="231F20"/>
          <w:sz w:val="20"/>
        </w:rPr>
        <w:t>of</w:t>
      </w:r>
      <w:r>
        <w:rPr>
          <w:color w:val="231F20"/>
          <w:spacing w:val="-10"/>
          <w:sz w:val="20"/>
        </w:rPr>
        <w:t xml:space="preserve"> </w:t>
      </w:r>
      <w:r>
        <w:rPr>
          <w:color w:val="231F20"/>
          <w:sz w:val="20"/>
        </w:rPr>
        <w:t>equivalents</w:t>
      </w:r>
      <w:r>
        <w:rPr>
          <w:color w:val="231F20"/>
          <w:spacing w:val="-11"/>
          <w:sz w:val="20"/>
        </w:rPr>
        <w:t xml:space="preserve"> </w:t>
      </w:r>
      <w:r>
        <w:rPr>
          <w:color w:val="231F20"/>
          <w:sz w:val="20"/>
        </w:rPr>
        <w:t>of</w:t>
      </w:r>
      <w:r>
        <w:rPr>
          <w:color w:val="231F20"/>
          <w:spacing w:val="-10"/>
          <w:sz w:val="20"/>
        </w:rPr>
        <w:t xml:space="preserve"> </w:t>
      </w:r>
      <w:r>
        <w:rPr>
          <w:color w:val="231F20"/>
          <w:sz w:val="20"/>
        </w:rPr>
        <w:t>sections</w:t>
      </w:r>
      <w:r>
        <w:rPr>
          <w:color w:val="231F20"/>
          <w:spacing w:val="-11"/>
          <w:sz w:val="20"/>
        </w:rPr>
        <w:t xml:space="preserve"> </w:t>
      </w:r>
      <w:r>
        <w:rPr>
          <w:color w:val="231F20"/>
          <w:sz w:val="20"/>
        </w:rPr>
        <w:t>125A and</w:t>
      </w:r>
      <w:r>
        <w:rPr>
          <w:color w:val="231F20"/>
          <w:spacing w:val="-4"/>
          <w:sz w:val="20"/>
        </w:rPr>
        <w:t xml:space="preserve"> </w:t>
      </w:r>
      <w:r>
        <w:rPr>
          <w:color w:val="231F20"/>
          <w:sz w:val="20"/>
        </w:rPr>
        <w:t>123A.</w:t>
      </w:r>
      <w:r>
        <w:rPr>
          <w:color w:val="231F20"/>
          <w:position w:val="7"/>
          <w:sz w:val="11"/>
        </w:rPr>
        <w:t>122</w:t>
      </w:r>
    </w:p>
    <w:p w14:paraId="4EA32A2B" w14:textId="77777777" w:rsidR="00894070" w:rsidRDefault="009B7AFD">
      <w:pPr>
        <w:pStyle w:val="ListParagraph"/>
        <w:numPr>
          <w:ilvl w:val="1"/>
          <w:numId w:val="65"/>
        </w:numPr>
        <w:tabs>
          <w:tab w:val="left" w:pos="1801"/>
          <w:tab w:val="left" w:pos="1802"/>
        </w:tabs>
        <w:spacing w:before="92"/>
        <w:rPr>
          <w:sz w:val="20"/>
        </w:rPr>
      </w:pPr>
      <w:r>
        <w:rPr>
          <w:color w:val="231F20"/>
          <w:sz w:val="20"/>
        </w:rPr>
        <w:t>The LIV</w:t>
      </w:r>
      <w:r>
        <w:rPr>
          <w:color w:val="231F20"/>
          <w:spacing w:val="-9"/>
          <w:sz w:val="20"/>
        </w:rPr>
        <w:t xml:space="preserve"> </w:t>
      </w:r>
      <w:r>
        <w:rPr>
          <w:color w:val="231F20"/>
          <w:sz w:val="20"/>
        </w:rPr>
        <w:t>explained:</w:t>
      </w:r>
    </w:p>
    <w:p w14:paraId="649588BD" w14:textId="77777777" w:rsidR="00894070" w:rsidRDefault="009B7AFD">
      <w:pPr>
        <w:spacing w:before="112" w:line="208" w:lineRule="auto"/>
        <w:ind w:left="2254" w:right="1179"/>
        <w:rPr>
          <w:sz w:val="11"/>
        </w:rPr>
      </w:pPr>
      <w:r>
        <w:rPr>
          <w:color w:val="231F20"/>
          <w:sz w:val="19"/>
        </w:rPr>
        <w:t>The nature of stalking involves multiple instances of prohibited behaviour against the affected person and can be severely traumatic for victim survivors. It is particularly concerning that penalties are not available for the persistent contravention of an order or safety notice where a risk of safety for the affected person has already been established.</w:t>
      </w:r>
      <w:r>
        <w:rPr>
          <w:color w:val="231F20"/>
          <w:position w:val="6"/>
          <w:sz w:val="11"/>
        </w:rPr>
        <w:t>123</w:t>
      </w:r>
    </w:p>
    <w:p w14:paraId="57ABA1AF" w14:textId="77777777" w:rsidR="00894070" w:rsidRDefault="009B7AFD">
      <w:pPr>
        <w:pStyle w:val="ListParagraph"/>
        <w:numPr>
          <w:ilvl w:val="1"/>
          <w:numId w:val="65"/>
        </w:numPr>
        <w:tabs>
          <w:tab w:val="left" w:pos="1802"/>
        </w:tabs>
        <w:spacing w:before="125" w:line="206" w:lineRule="auto"/>
        <w:ind w:right="1227"/>
        <w:jc w:val="both"/>
        <w:rPr>
          <w:sz w:val="11"/>
        </w:rPr>
      </w:pPr>
      <w:r>
        <w:rPr>
          <w:color w:val="231F20"/>
          <w:sz w:val="20"/>
        </w:rPr>
        <w:t>One</w:t>
      </w:r>
      <w:r>
        <w:rPr>
          <w:color w:val="231F20"/>
          <w:spacing w:val="-12"/>
          <w:sz w:val="20"/>
        </w:rPr>
        <w:t xml:space="preserve"> </w:t>
      </w:r>
      <w:r>
        <w:rPr>
          <w:color w:val="231F20"/>
          <w:sz w:val="20"/>
        </w:rPr>
        <w:t>person</w:t>
      </w:r>
      <w:r>
        <w:rPr>
          <w:color w:val="231F20"/>
          <w:spacing w:val="-12"/>
          <w:sz w:val="20"/>
        </w:rPr>
        <w:t xml:space="preserve"> </w:t>
      </w:r>
      <w:r>
        <w:rPr>
          <w:color w:val="231F20"/>
          <w:sz w:val="20"/>
        </w:rPr>
        <w:t>who</w:t>
      </w:r>
      <w:r>
        <w:rPr>
          <w:color w:val="231F20"/>
          <w:spacing w:val="-12"/>
          <w:sz w:val="20"/>
        </w:rPr>
        <w:t xml:space="preserve"> </w:t>
      </w:r>
      <w:r>
        <w:rPr>
          <w:color w:val="231F20"/>
          <w:sz w:val="20"/>
        </w:rPr>
        <w:t>experienced</w:t>
      </w:r>
      <w:r>
        <w:rPr>
          <w:color w:val="231F20"/>
          <w:spacing w:val="-12"/>
          <w:sz w:val="20"/>
        </w:rPr>
        <w:t xml:space="preserve"> </w:t>
      </w:r>
      <w:r>
        <w:rPr>
          <w:color w:val="231F20"/>
          <w:sz w:val="20"/>
        </w:rPr>
        <w:t>stalking</w:t>
      </w:r>
      <w:r>
        <w:rPr>
          <w:color w:val="231F20"/>
          <w:spacing w:val="-11"/>
          <w:sz w:val="20"/>
        </w:rPr>
        <w:t xml:space="preserve"> </w:t>
      </w:r>
      <w:r>
        <w:rPr>
          <w:color w:val="231F20"/>
          <w:sz w:val="20"/>
        </w:rPr>
        <w:t>supported</w:t>
      </w:r>
      <w:r>
        <w:rPr>
          <w:color w:val="231F20"/>
          <w:spacing w:val="-12"/>
          <w:sz w:val="20"/>
        </w:rPr>
        <w:t xml:space="preserve"> </w:t>
      </w:r>
      <w:r>
        <w:rPr>
          <w:color w:val="231F20"/>
          <w:sz w:val="20"/>
        </w:rPr>
        <w:t>additional</w:t>
      </w:r>
      <w:r>
        <w:rPr>
          <w:color w:val="231F20"/>
          <w:spacing w:val="-12"/>
          <w:sz w:val="20"/>
        </w:rPr>
        <w:t xml:space="preserve"> </w:t>
      </w:r>
      <w:r>
        <w:rPr>
          <w:color w:val="231F20"/>
          <w:sz w:val="20"/>
        </w:rPr>
        <w:t>offences</w:t>
      </w:r>
      <w:r>
        <w:rPr>
          <w:color w:val="231F20"/>
          <w:spacing w:val="-12"/>
          <w:sz w:val="20"/>
        </w:rPr>
        <w:t xml:space="preserve"> </w:t>
      </w:r>
      <w:r>
        <w:rPr>
          <w:color w:val="231F20"/>
          <w:sz w:val="20"/>
        </w:rPr>
        <w:t>in</w:t>
      </w:r>
      <w:r>
        <w:rPr>
          <w:color w:val="231F20"/>
          <w:spacing w:val="-11"/>
          <w:sz w:val="20"/>
        </w:rPr>
        <w:t xml:space="preserve"> </w:t>
      </w:r>
      <w:r>
        <w:rPr>
          <w:color w:val="231F20"/>
          <w:sz w:val="20"/>
        </w:rPr>
        <w:t>the</w:t>
      </w:r>
      <w:r>
        <w:rPr>
          <w:color w:val="231F20"/>
          <w:spacing w:val="-12"/>
          <w:sz w:val="20"/>
        </w:rPr>
        <w:t xml:space="preserve"> </w:t>
      </w:r>
      <w:r>
        <w:rPr>
          <w:color w:val="231F20"/>
          <w:sz w:val="20"/>
        </w:rPr>
        <w:t>PSIO</w:t>
      </w:r>
      <w:r>
        <w:rPr>
          <w:color w:val="231F20"/>
          <w:spacing w:val="-12"/>
          <w:sz w:val="20"/>
        </w:rPr>
        <w:t xml:space="preserve"> </w:t>
      </w:r>
      <w:r>
        <w:rPr>
          <w:color w:val="231F20"/>
          <w:spacing w:val="-2"/>
          <w:sz w:val="20"/>
        </w:rPr>
        <w:t>Act</w:t>
      </w:r>
      <w:r>
        <w:rPr>
          <w:color w:val="231F20"/>
          <w:spacing w:val="-12"/>
          <w:sz w:val="20"/>
        </w:rPr>
        <w:t xml:space="preserve"> </w:t>
      </w:r>
      <w:r>
        <w:rPr>
          <w:color w:val="231F20"/>
          <w:sz w:val="20"/>
        </w:rPr>
        <w:t>to address</w:t>
      </w:r>
      <w:r>
        <w:rPr>
          <w:color w:val="231F20"/>
          <w:spacing w:val="-12"/>
          <w:sz w:val="20"/>
        </w:rPr>
        <w:t xml:space="preserve"> </w:t>
      </w:r>
      <w:r>
        <w:rPr>
          <w:color w:val="231F20"/>
          <w:sz w:val="20"/>
        </w:rPr>
        <w:t>more</w:t>
      </w:r>
      <w:r>
        <w:rPr>
          <w:color w:val="231F20"/>
          <w:spacing w:val="-12"/>
          <w:sz w:val="20"/>
        </w:rPr>
        <w:t xml:space="preserve"> </w:t>
      </w:r>
      <w:r>
        <w:rPr>
          <w:color w:val="231F20"/>
          <w:sz w:val="20"/>
        </w:rPr>
        <w:t>serious</w:t>
      </w:r>
      <w:r>
        <w:rPr>
          <w:color w:val="231F20"/>
          <w:spacing w:val="-11"/>
          <w:sz w:val="20"/>
        </w:rPr>
        <w:t xml:space="preserve"> </w:t>
      </w:r>
      <w:r>
        <w:rPr>
          <w:color w:val="231F20"/>
          <w:sz w:val="20"/>
        </w:rPr>
        <w:t>breaches.</w:t>
      </w:r>
      <w:r>
        <w:rPr>
          <w:color w:val="231F20"/>
          <w:position w:val="7"/>
          <w:sz w:val="11"/>
        </w:rPr>
        <w:t>124</w:t>
      </w:r>
      <w:r>
        <w:rPr>
          <w:color w:val="231F20"/>
          <w:spacing w:val="12"/>
          <w:position w:val="7"/>
          <w:sz w:val="11"/>
        </w:rPr>
        <w:t xml:space="preserve"> </w:t>
      </w:r>
      <w:r>
        <w:rPr>
          <w:color w:val="231F20"/>
          <w:sz w:val="20"/>
        </w:rPr>
        <w:t>Another</w:t>
      </w:r>
      <w:r>
        <w:rPr>
          <w:color w:val="231F20"/>
          <w:spacing w:val="-11"/>
          <w:sz w:val="20"/>
        </w:rPr>
        <w:t xml:space="preserve"> </w:t>
      </w:r>
      <w:r>
        <w:rPr>
          <w:color w:val="231F20"/>
          <w:sz w:val="20"/>
        </w:rPr>
        <w:t>suggested</w:t>
      </w:r>
      <w:r>
        <w:rPr>
          <w:color w:val="231F20"/>
          <w:spacing w:val="-12"/>
          <w:sz w:val="20"/>
        </w:rPr>
        <w:t xml:space="preserve"> </w:t>
      </w:r>
      <w:r>
        <w:rPr>
          <w:color w:val="231F20"/>
          <w:sz w:val="20"/>
        </w:rPr>
        <w:t>that</w:t>
      </w:r>
      <w:r>
        <w:rPr>
          <w:color w:val="231F20"/>
          <w:spacing w:val="-12"/>
          <w:sz w:val="20"/>
        </w:rPr>
        <w:t xml:space="preserve"> </w:t>
      </w:r>
      <w:r>
        <w:rPr>
          <w:color w:val="231F20"/>
          <w:sz w:val="20"/>
        </w:rPr>
        <w:t>if</w:t>
      </w:r>
      <w:r>
        <w:rPr>
          <w:color w:val="231F20"/>
          <w:spacing w:val="-11"/>
          <w:sz w:val="20"/>
        </w:rPr>
        <w:t xml:space="preserve"> </w:t>
      </w:r>
      <w:r>
        <w:rPr>
          <w:color w:val="231F20"/>
          <w:sz w:val="20"/>
        </w:rPr>
        <w:t>more</w:t>
      </w:r>
      <w:r>
        <w:rPr>
          <w:color w:val="231F20"/>
          <w:spacing w:val="-12"/>
          <w:sz w:val="20"/>
        </w:rPr>
        <w:t xml:space="preserve"> </w:t>
      </w:r>
      <w:r>
        <w:rPr>
          <w:color w:val="231F20"/>
          <w:sz w:val="20"/>
        </w:rPr>
        <w:t>than</w:t>
      </w:r>
      <w:r>
        <w:rPr>
          <w:color w:val="231F20"/>
          <w:spacing w:val="-11"/>
          <w:sz w:val="20"/>
        </w:rPr>
        <w:t xml:space="preserve"> </w:t>
      </w:r>
      <w:r>
        <w:rPr>
          <w:color w:val="231F20"/>
          <w:sz w:val="20"/>
        </w:rPr>
        <w:t>three</w:t>
      </w:r>
      <w:r>
        <w:rPr>
          <w:color w:val="231F20"/>
          <w:spacing w:val="-12"/>
          <w:sz w:val="20"/>
        </w:rPr>
        <w:t xml:space="preserve"> </w:t>
      </w:r>
      <w:r>
        <w:rPr>
          <w:color w:val="231F20"/>
          <w:sz w:val="20"/>
        </w:rPr>
        <w:t xml:space="preserve">breaches </w:t>
      </w:r>
      <w:r>
        <w:rPr>
          <w:color w:val="231F20"/>
          <w:spacing w:val="-4"/>
          <w:sz w:val="20"/>
        </w:rPr>
        <w:t xml:space="preserve">occur, </w:t>
      </w:r>
      <w:r>
        <w:rPr>
          <w:color w:val="231F20"/>
          <w:sz w:val="20"/>
        </w:rPr>
        <w:t>police should lay charges</w:t>
      </w:r>
      <w:r>
        <w:rPr>
          <w:color w:val="231F20"/>
          <w:spacing w:val="-17"/>
          <w:sz w:val="20"/>
        </w:rPr>
        <w:t xml:space="preserve"> </w:t>
      </w:r>
      <w:r>
        <w:rPr>
          <w:color w:val="231F20"/>
          <w:spacing w:val="-3"/>
          <w:sz w:val="20"/>
        </w:rPr>
        <w:t>automatically.</w:t>
      </w:r>
      <w:r>
        <w:rPr>
          <w:color w:val="231F20"/>
          <w:spacing w:val="-3"/>
          <w:position w:val="7"/>
          <w:sz w:val="11"/>
        </w:rPr>
        <w:t>125</w:t>
      </w:r>
    </w:p>
    <w:p w14:paraId="6E66AD68" w14:textId="77777777" w:rsidR="00894070" w:rsidRDefault="009B7AFD">
      <w:pPr>
        <w:pStyle w:val="ListParagraph"/>
        <w:numPr>
          <w:ilvl w:val="1"/>
          <w:numId w:val="65"/>
        </w:numPr>
        <w:tabs>
          <w:tab w:val="left" w:pos="1801"/>
          <w:tab w:val="left" w:pos="1802"/>
        </w:tabs>
        <w:spacing w:before="92" w:line="259" w:lineRule="exact"/>
        <w:rPr>
          <w:sz w:val="20"/>
        </w:rPr>
      </w:pPr>
      <w:r>
        <w:rPr>
          <w:color w:val="231F20"/>
          <w:sz w:val="20"/>
        </w:rPr>
        <w:t>On</w:t>
      </w:r>
      <w:r>
        <w:rPr>
          <w:color w:val="231F20"/>
          <w:spacing w:val="-6"/>
          <w:sz w:val="20"/>
        </w:rPr>
        <w:t xml:space="preserve"> </w:t>
      </w:r>
      <w:r>
        <w:rPr>
          <w:color w:val="231F20"/>
          <w:sz w:val="20"/>
        </w:rPr>
        <w:t>the</w:t>
      </w:r>
      <w:r>
        <w:rPr>
          <w:color w:val="231F20"/>
          <w:spacing w:val="-5"/>
          <w:sz w:val="20"/>
        </w:rPr>
        <w:t xml:space="preserve"> </w:t>
      </w:r>
      <w:r>
        <w:rPr>
          <w:color w:val="231F20"/>
          <w:sz w:val="20"/>
        </w:rPr>
        <w:t>other</w:t>
      </w:r>
      <w:r>
        <w:rPr>
          <w:color w:val="231F20"/>
          <w:spacing w:val="-6"/>
          <w:sz w:val="20"/>
        </w:rPr>
        <w:t xml:space="preserve"> </w:t>
      </w:r>
      <w:r>
        <w:rPr>
          <w:color w:val="231F20"/>
          <w:sz w:val="20"/>
        </w:rPr>
        <w:t>hand,</w:t>
      </w:r>
      <w:r>
        <w:rPr>
          <w:color w:val="231F20"/>
          <w:spacing w:val="-6"/>
          <w:sz w:val="20"/>
        </w:rPr>
        <w:t xml:space="preserve"> </w:t>
      </w:r>
      <w:r>
        <w:rPr>
          <w:color w:val="231F20"/>
          <w:sz w:val="20"/>
        </w:rPr>
        <w:t>Victoria</w:t>
      </w:r>
      <w:r>
        <w:rPr>
          <w:color w:val="231F20"/>
          <w:spacing w:val="-5"/>
          <w:sz w:val="20"/>
        </w:rPr>
        <w:t xml:space="preserve"> </w:t>
      </w:r>
      <w:r>
        <w:rPr>
          <w:color w:val="231F20"/>
          <w:sz w:val="20"/>
        </w:rPr>
        <w:t>Legal</w:t>
      </w:r>
      <w:r>
        <w:rPr>
          <w:color w:val="231F20"/>
          <w:spacing w:val="-6"/>
          <w:sz w:val="20"/>
        </w:rPr>
        <w:t xml:space="preserve"> </w:t>
      </w:r>
      <w:r>
        <w:rPr>
          <w:color w:val="231F20"/>
          <w:sz w:val="20"/>
        </w:rPr>
        <w:t>Aid</w:t>
      </w:r>
      <w:r>
        <w:rPr>
          <w:color w:val="231F20"/>
          <w:spacing w:val="-5"/>
          <w:sz w:val="20"/>
        </w:rPr>
        <w:t xml:space="preserve"> </w:t>
      </w:r>
      <w:r>
        <w:rPr>
          <w:color w:val="231F20"/>
          <w:sz w:val="20"/>
        </w:rPr>
        <w:t>and</w:t>
      </w:r>
      <w:r>
        <w:rPr>
          <w:color w:val="231F20"/>
          <w:spacing w:val="-6"/>
          <w:sz w:val="20"/>
        </w:rPr>
        <w:t xml:space="preserve"> </w:t>
      </w:r>
      <w:r>
        <w:rPr>
          <w:color w:val="231F20"/>
          <w:sz w:val="20"/>
        </w:rPr>
        <w:t>Liberty</w:t>
      </w:r>
      <w:r>
        <w:rPr>
          <w:color w:val="231F20"/>
          <w:spacing w:val="-5"/>
          <w:sz w:val="20"/>
        </w:rPr>
        <w:t xml:space="preserve"> </w:t>
      </w:r>
      <w:r>
        <w:rPr>
          <w:color w:val="231F20"/>
          <w:sz w:val="20"/>
        </w:rPr>
        <w:t>Victoria</w:t>
      </w:r>
      <w:r>
        <w:rPr>
          <w:color w:val="231F20"/>
          <w:spacing w:val="-5"/>
          <w:sz w:val="20"/>
        </w:rPr>
        <w:t xml:space="preserve"> </w:t>
      </w:r>
      <w:r>
        <w:rPr>
          <w:color w:val="231F20"/>
          <w:sz w:val="20"/>
        </w:rPr>
        <w:t>opposed</w:t>
      </w:r>
      <w:r>
        <w:rPr>
          <w:color w:val="231F20"/>
          <w:spacing w:val="-6"/>
          <w:sz w:val="20"/>
        </w:rPr>
        <w:t xml:space="preserve"> </w:t>
      </w:r>
      <w:r>
        <w:rPr>
          <w:color w:val="231F20"/>
          <w:sz w:val="20"/>
        </w:rPr>
        <w:t>the</w:t>
      </w:r>
      <w:r>
        <w:rPr>
          <w:color w:val="231F20"/>
          <w:spacing w:val="-5"/>
          <w:sz w:val="20"/>
        </w:rPr>
        <w:t xml:space="preserve"> </w:t>
      </w:r>
      <w:r>
        <w:rPr>
          <w:color w:val="231F20"/>
          <w:sz w:val="20"/>
        </w:rPr>
        <w:t>addition</w:t>
      </w:r>
      <w:r>
        <w:rPr>
          <w:color w:val="231F20"/>
          <w:spacing w:val="-6"/>
          <w:sz w:val="20"/>
        </w:rPr>
        <w:t xml:space="preserve"> </w:t>
      </w:r>
      <w:r>
        <w:rPr>
          <w:color w:val="231F20"/>
          <w:sz w:val="20"/>
        </w:rPr>
        <w:t>of</w:t>
      </w:r>
    </w:p>
    <w:p w14:paraId="74177221" w14:textId="77777777" w:rsidR="00894070" w:rsidRDefault="009B7AFD">
      <w:pPr>
        <w:pStyle w:val="BodyText"/>
        <w:spacing w:line="259" w:lineRule="exact"/>
        <w:ind w:left="1801"/>
      </w:pPr>
      <w:r>
        <w:rPr>
          <w:color w:val="231F20"/>
        </w:rPr>
        <w:t>offences. They said that this:</w:t>
      </w:r>
    </w:p>
    <w:p w14:paraId="428245DD" w14:textId="77777777" w:rsidR="00894070" w:rsidRDefault="009B7AFD">
      <w:pPr>
        <w:pStyle w:val="ListParagraph"/>
        <w:numPr>
          <w:ilvl w:val="2"/>
          <w:numId w:val="65"/>
        </w:numPr>
        <w:tabs>
          <w:tab w:val="left" w:pos="2141"/>
          <w:tab w:val="left" w:pos="2142"/>
        </w:tabs>
        <w:spacing w:before="82" w:line="259" w:lineRule="exact"/>
        <w:ind w:hanging="340"/>
        <w:rPr>
          <w:sz w:val="20"/>
        </w:rPr>
      </w:pPr>
      <w:r>
        <w:rPr>
          <w:color w:val="231F20"/>
          <w:spacing w:val="-3"/>
          <w:sz w:val="20"/>
        </w:rPr>
        <w:t>would</w:t>
      </w:r>
      <w:r>
        <w:rPr>
          <w:color w:val="231F20"/>
          <w:spacing w:val="-6"/>
          <w:sz w:val="20"/>
        </w:rPr>
        <w:t xml:space="preserve"> </w:t>
      </w:r>
      <w:r>
        <w:rPr>
          <w:color w:val="231F20"/>
          <w:spacing w:val="-3"/>
          <w:sz w:val="20"/>
        </w:rPr>
        <w:t>result</w:t>
      </w:r>
      <w:r>
        <w:rPr>
          <w:color w:val="231F20"/>
          <w:spacing w:val="-5"/>
          <w:sz w:val="20"/>
        </w:rPr>
        <w:t xml:space="preserve"> </w:t>
      </w:r>
      <w:r>
        <w:rPr>
          <w:color w:val="231F20"/>
          <w:sz w:val="20"/>
        </w:rPr>
        <w:t>in</w:t>
      </w:r>
      <w:r>
        <w:rPr>
          <w:color w:val="231F20"/>
          <w:spacing w:val="-5"/>
          <w:sz w:val="20"/>
        </w:rPr>
        <w:t xml:space="preserve"> </w:t>
      </w:r>
      <w:r>
        <w:rPr>
          <w:color w:val="231F20"/>
          <w:sz w:val="20"/>
        </w:rPr>
        <w:t>‘net</w:t>
      </w:r>
      <w:r>
        <w:rPr>
          <w:color w:val="231F20"/>
          <w:spacing w:val="-5"/>
          <w:sz w:val="20"/>
        </w:rPr>
        <w:t xml:space="preserve"> </w:t>
      </w:r>
      <w:r>
        <w:rPr>
          <w:color w:val="231F20"/>
          <w:sz w:val="20"/>
        </w:rPr>
        <w:t>widening’</w:t>
      </w:r>
      <w:r>
        <w:rPr>
          <w:color w:val="231F20"/>
          <w:spacing w:val="-6"/>
          <w:sz w:val="20"/>
        </w:rPr>
        <w:t xml:space="preserve"> </w:t>
      </w:r>
      <w:r>
        <w:rPr>
          <w:color w:val="231F20"/>
          <w:sz w:val="20"/>
        </w:rPr>
        <w:t>and</w:t>
      </w:r>
      <w:r>
        <w:rPr>
          <w:color w:val="231F20"/>
          <w:spacing w:val="-5"/>
          <w:sz w:val="20"/>
        </w:rPr>
        <w:t xml:space="preserve"> </w:t>
      </w:r>
      <w:r>
        <w:rPr>
          <w:color w:val="231F20"/>
          <w:spacing w:val="-3"/>
          <w:sz w:val="20"/>
        </w:rPr>
        <w:t>entrench</w:t>
      </w:r>
      <w:r>
        <w:rPr>
          <w:color w:val="231F20"/>
          <w:spacing w:val="-5"/>
          <w:sz w:val="20"/>
        </w:rPr>
        <w:t xml:space="preserve"> </w:t>
      </w:r>
      <w:r>
        <w:rPr>
          <w:color w:val="231F20"/>
          <w:sz w:val="20"/>
        </w:rPr>
        <w:t>more</w:t>
      </w:r>
      <w:r>
        <w:rPr>
          <w:color w:val="231F20"/>
          <w:spacing w:val="-5"/>
          <w:sz w:val="20"/>
        </w:rPr>
        <w:t xml:space="preserve"> </w:t>
      </w:r>
      <w:r>
        <w:rPr>
          <w:color w:val="231F20"/>
          <w:sz w:val="20"/>
        </w:rPr>
        <w:t>people</w:t>
      </w:r>
      <w:r>
        <w:rPr>
          <w:color w:val="231F20"/>
          <w:spacing w:val="-5"/>
          <w:sz w:val="20"/>
        </w:rPr>
        <w:t xml:space="preserve"> </w:t>
      </w:r>
      <w:r>
        <w:rPr>
          <w:color w:val="231F20"/>
          <w:sz w:val="20"/>
        </w:rPr>
        <w:t>in</w:t>
      </w:r>
      <w:r>
        <w:rPr>
          <w:color w:val="231F20"/>
          <w:spacing w:val="-6"/>
          <w:sz w:val="20"/>
        </w:rPr>
        <w:t xml:space="preserve"> </w:t>
      </w:r>
      <w:r>
        <w:rPr>
          <w:color w:val="231F20"/>
          <w:sz w:val="20"/>
        </w:rPr>
        <w:t>the</w:t>
      </w:r>
      <w:r>
        <w:rPr>
          <w:color w:val="231F20"/>
          <w:spacing w:val="-5"/>
          <w:sz w:val="20"/>
        </w:rPr>
        <w:t xml:space="preserve"> </w:t>
      </w:r>
      <w:r>
        <w:rPr>
          <w:color w:val="231F20"/>
          <w:sz w:val="20"/>
        </w:rPr>
        <w:t>criminal</w:t>
      </w:r>
      <w:r>
        <w:rPr>
          <w:color w:val="231F20"/>
          <w:spacing w:val="-5"/>
          <w:sz w:val="20"/>
        </w:rPr>
        <w:t xml:space="preserve"> </w:t>
      </w:r>
      <w:r>
        <w:rPr>
          <w:color w:val="231F20"/>
          <w:sz w:val="20"/>
        </w:rPr>
        <w:t>justice</w:t>
      </w:r>
    </w:p>
    <w:p w14:paraId="1ABEFC17" w14:textId="77777777" w:rsidR="00894070" w:rsidRDefault="009B7AFD">
      <w:pPr>
        <w:spacing w:line="259" w:lineRule="exact"/>
        <w:ind w:left="2141"/>
        <w:rPr>
          <w:sz w:val="11"/>
        </w:rPr>
      </w:pPr>
      <w:r>
        <w:rPr>
          <w:color w:val="231F20"/>
          <w:sz w:val="20"/>
        </w:rPr>
        <w:t>system</w:t>
      </w:r>
      <w:r>
        <w:rPr>
          <w:color w:val="231F20"/>
          <w:position w:val="7"/>
          <w:sz w:val="11"/>
        </w:rPr>
        <w:t>126</w:t>
      </w:r>
    </w:p>
    <w:p w14:paraId="2BD9B8CD" w14:textId="77777777" w:rsidR="00894070" w:rsidRDefault="009B7AFD">
      <w:pPr>
        <w:pStyle w:val="ListParagraph"/>
        <w:numPr>
          <w:ilvl w:val="2"/>
          <w:numId w:val="65"/>
        </w:numPr>
        <w:tabs>
          <w:tab w:val="left" w:pos="2141"/>
          <w:tab w:val="left" w:pos="2142"/>
        </w:tabs>
        <w:spacing w:before="48"/>
        <w:ind w:hanging="340"/>
        <w:rPr>
          <w:sz w:val="11"/>
        </w:rPr>
      </w:pPr>
      <w:r>
        <w:rPr>
          <w:color w:val="231F20"/>
          <w:spacing w:val="-3"/>
          <w:sz w:val="20"/>
        </w:rPr>
        <w:t xml:space="preserve">any </w:t>
      </w:r>
      <w:r>
        <w:rPr>
          <w:color w:val="231F20"/>
          <w:sz w:val="20"/>
        </w:rPr>
        <w:t xml:space="preserve">additional offending </w:t>
      </w:r>
      <w:r>
        <w:rPr>
          <w:color w:val="231F20"/>
          <w:spacing w:val="-3"/>
          <w:sz w:val="20"/>
        </w:rPr>
        <w:t xml:space="preserve">would </w:t>
      </w:r>
      <w:r>
        <w:rPr>
          <w:color w:val="231F20"/>
          <w:sz w:val="20"/>
        </w:rPr>
        <w:t xml:space="preserve">be </w:t>
      </w:r>
      <w:r>
        <w:rPr>
          <w:color w:val="231F20"/>
          <w:spacing w:val="-4"/>
          <w:sz w:val="20"/>
        </w:rPr>
        <w:t xml:space="preserve">covered </w:t>
      </w:r>
      <w:r>
        <w:rPr>
          <w:color w:val="231F20"/>
          <w:spacing w:val="-3"/>
          <w:sz w:val="20"/>
        </w:rPr>
        <w:t xml:space="preserve">by </w:t>
      </w:r>
      <w:r>
        <w:rPr>
          <w:color w:val="231F20"/>
          <w:sz w:val="20"/>
        </w:rPr>
        <w:t>existing</w:t>
      </w:r>
      <w:r>
        <w:rPr>
          <w:color w:val="231F20"/>
          <w:spacing w:val="-27"/>
          <w:sz w:val="20"/>
        </w:rPr>
        <w:t xml:space="preserve"> </w:t>
      </w:r>
      <w:r>
        <w:rPr>
          <w:color w:val="231F20"/>
          <w:sz w:val="20"/>
        </w:rPr>
        <w:t>offences</w:t>
      </w:r>
      <w:r>
        <w:rPr>
          <w:color w:val="231F20"/>
          <w:position w:val="7"/>
          <w:sz w:val="11"/>
        </w:rPr>
        <w:t>127</w:t>
      </w:r>
    </w:p>
    <w:p w14:paraId="5A935E06" w14:textId="77777777" w:rsidR="00894070" w:rsidRDefault="009B7AFD">
      <w:pPr>
        <w:pStyle w:val="ListParagraph"/>
        <w:numPr>
          <w:ilvl w:val="2"/>
          <w:numId w:val="65"/>
        </w:numPr>
        <w:tabs>
          <w:tab w:val="left" w:pos="2141"/>
          <w:tab w:val="left" w:pos="2142"/>
        </w:tabs>
        <w:spacing w:before="47"/>
        <w:ind w:hanging="340"/>
        <w:rPr>
          <w:sz w:val="11"/>
        </w:rPr>
      </w:pPr>
      <w:r>
        <w:rPr>
          <w:color w:val="231F20"/>
          <w:sz w:val="20"/>
        </w:rPr>
        <w:t>judicial</w:t>
      </w:r>
      <w:r>
        <w:rPr>
          <w:color w:val="231F20"/>
          <w:spacing w:val="-7"/>
          <w:sz w:val="20"/>
        </w:rPr>
        <w:t xml:space="preserve"> </w:t>
      </w:r>
      <w:r>
        <w:rPr>
          <w:color w:val="231F20"/>
          <w:sz w:val="20"/>
        </w:rPr>
        <w:t>discretion</w:t>
      </w:r>
      <w:r>
        <w:rPr>
          <w:color w:val="231F20"/>
          <w:spacing w:val="-7"/>
          <w:sz w:val="20"/>
        </w:rPr>
        <w:t xml:space="preserve"> </w:t>
      </w:r>
      <w:r>
        <w:rPr>
          <w:color w:val="231F20"/>
          <w:sz w:val="20"/>
        </w:rPr>
        <w:t>in</w:t>
      </w:r>
      <w:r>
        <w:rPr>
          <w:color w:val="231F20"/>
          <w:spacing w:val="-6"/>
          <w:sz w:val="20"/>
        </w:rPr>
        <w:t xml:space="preserve"> </w:t>
      </w:r>
      <w:r>
        <w:rPr>
          <w:color w:val="231F20"/>
          <w:sz w:val="20"/>
        </w:rPr>
        <w:t>sentencing</w:t>
      </w:r>
      <w:r>
        <w:rPr>
          <w:color w:val="231F20"/>
          <w:spacing w:val="-7"/>
          <w:sz w:val="20"/>
        </w:rPr>
        <w:t xml:space="preserve"> </w:t>
      </w:r>
      <w:r>
        <w:rPr>
          <w:color w:val="231F20"/>
          <w:sz w:val="20"/>
        </w:rPr>
        <w:t>is</w:t>
      </w:r>
      <w:r>
        <w:rPr>
          <w:color w:val="231F20"/>
          <w:spacing w:val="-6"/>
          <w:sz w:val="20"/>
        </w:rPr>
        <w:t xml:space="preserve"> </w:t>
      </w:r>
      <w:r>
        <w:rPr>
          <w:color w:val="231F20"/>
          <w:sz w:val="20"/>
        </w:rPr>
        <w:t>enough</w:t>
      </w:r>
      <w:r>
        <w:rPr>
          <w:color w:val="231F20"/>
          <w:spacing w:val="-7"/>
          <w:sz w:val="20"/>
        </w:rPr>
        <w:t xml:space="preserve"> </w:t>
      </w:r>
      <w:r>
        <w:rPr>
          <w:color w:val="231F20"/>
          <w:sz w:val="20"/>
        </w:rPr>
        <w:t>to</w:t>
      </w:r>
      <w:r>
        <w:rPr>
          <w:color w:val="231F20"/>
          <w:spacing w:val="-6"/>
          <w:sz w:val="20"/>
        </w:rPr>
        <w:t xml:space="preserve"> </w:t>
      </w:r>
      <w:r>
        <w:rPr>
          <w:color w:val="231F20"/>
          <w:sz w:val="20"/>
        </w:rPr>
        <w:t>address</w:t>
      </w:r>
      <w:r>
        <w:rPr>
          <w:color w:val="231F20"/>
          <w:spacing w:val="-7"/>
          <w:sz w:val="20"/>
        </w:rPr>
        <w:t xml:space="preserve"> </w:t>
      </w:r>
      <w:r>
        <w:rPr>
          <w:color w:val="231F20"/>
          <w:sz w:val="20"/>
        </w:rPr>
        <w:t>the</w:t>
      </w:r>
      <w:r>
        <w:rPr>
          <w:color w:val="231F20"/>
          <w:spacing w:val="-7"/>
          <w:sz w:val="20"/>
        </w:rPr>
        <w:t xml:space="preserve"> </w:t>
      </w:r>
      <w:r>
        <w:rPr>
          <w:color w:val="231F20"/>
          <w:sz w:val="20"/>
        </w:rPr>
        <w:t>breach</w:t>
      </w:r>
      <w:r>
        <w:rPr>
          <w:color w:val="231F20"/>
          <w:spacing w:val="-6"/>
          <w:sz w:val="20"/>
        </w:rPr>
        <w:t xml:space="preserve"> </w:t>
      </w:r>
      <w:r>
        <w:rPr>
          <w:color w:val="231F20"/>
          <w:sz w:val="20"/>
        </w:rPr>
        <w:t>and</w:t>
      </w:r>
      <w:r>
        <w:rPr>
          <w:color w:val="231F20"/>
          <w:spacing w:val="-7"/>
          <w:sz w:val="20"/>
        </w:rPr>
        <w:t xml:space="preserve"> </w:t>
      </w:r>
      <w:r>
        <w:rPr>
          <w:color w:val="231F20"/>
          <w:sz w:val="20"/>
        </w:rPr>
        <w:t>behaviour.</w:t>
      </w:r>
      <w:r>
        <w:rPr>
          <w:color w:val="231F20"/>
          <w:position w:val="7"/>
          <w:sz w:val="11"/>
        </w:rPr>
        <w:t>128</w:t>
      </w:r>
    </w:p>
    <w:p w14:paraId="628AE5F1" w14:textId="77777777" w:rsidR="00894070" w:rsidRDefault="009B7AFD">
      <w:pPr>
        <w:pStyle w:val="ListParagraph"/>
        <w:numPr>
          <w:ilvl w:val="1"/>
          <w:numId w:val="65"/>
        </w:numPr>
        <w:tabs>
          <w:tab w:val="left" w:pos="1801"/>
          <w:tab w:val="left" w:pos="1802"/>
        </w:tabs>
        <w:spacing w:before="80" w:line="206" w:lineRule="auto"/>
        <w:ind w:right="1395"/>
        <w:rPr>
          <w:sz w:val="11"/>
        </w:rPr>
      </w:pPr>
      <w:r>
        <w:rPr>
          <w:color w:val="231F20"/>
          <w:sz w:val="20"/>
        </w:rPr>
        <w:t>The Victims of Crime Commissioner submitted that if including equivalent breach offences</w:t>
      </w:r>
      <w:r>
        <w:rPr>
          <w:color w:val="231F20"/>
          <w:spacing w:val="-12"/>
          <w:sz w:val="20"/>
        </w:rPr>
        <w:t xml:space="preserve"> </w:t>
      </w:r>
      <w:r>
        <w:rPr>
          <w:color w:val="231F20"/>
          <w:spacing w:val="-3"/>
          <w:sz w:val="20"/>
        </w:rPr>
        <w:t>from</w:t>
      </w:r>
      <w:r>
        <w:rPr>
          <w:color w:val="231F20"/>
          <w:spacing w:val="-11"/>
          <w:sz w:val="20"/>
        </w:rPr>
        <w:t xml:space="preserve"> </w:t>
      </w:r>
      <w:r>
        <w:rPr>
          <w:color w:val="231F20"/>
          <w:sz w:val="20"/>
        </w:rPr>
        <w:t>the</w:t>
      </w:r>
      <w:r>
        <w:rPr>
          <w:color w:val="231F20"/>
          <w:spacing w:val="-12"/>
          <w:sz w:val="20"/>
        </w:rPr>
        <w:t xml:space="preserve"> </w:t>
      </w:r>
      <w:r>
        <w:rPr>
          <w:color w:val="231F20"/>
          <w:sz w:val="20"/>
        </w:rPr>
        <w:t>FVPA,</w:t>
      </w:r>
      <w:r>
        <w:rPr>
          <w:color w:val="231F20"/>
          <w:spacing w:val="-11"/>
          <w:sz w:val="20"/>
        </w:rPr>
        <w:t xml:space="preserve"> </w:t>
      </w:r>
      <w:r>
        <w:rPr>
          <w:color w:val="231F20"/>
          <w:sz w:val="20"/>
        </w:rPr>
        <w:t>‘consideration</w:t>
      </w:r>
      <w:r>
        <w:rPr>
          <w:color w:val="231F20"/>
          <w:spacing w:val="-12"/>
          <w:sz w:val="20"/>
        </w:rPr>
        <w:t xml:space="preserve"> </w:t>
      </w:r>
      <w:r>
        <w:rPr>
          <w:color w:val="231F20"/>
          <w:spacing w:val="-3"/>
          <w:sz w:val="20"/>
        </w:rPr>
        <w:t>would</w:t>
      </w:r>
      <w:r>
        <w:rPr>
          <w:color w:val="231F20"/>
          <w:spacing w:val="-11"/>
          <w:sz w:val="20"/>
        </w:rPr>
        <w:t xml:space="preserve"> </w:t>
      </w:r>
      <w:r>
        <w:rPr>
          <w:color w:val="231F20"/>
          <w:sz w:val="20"/>
        </w:rPr>
        <w:t>need</w:t>
      </w:r>
      <w:r>
        <w:rPr>
          <w:color w:val="231F20"/>
          <w:spacing w:val="-12"/>
          <w:sz w:val="20"/>
        </w:rPr>
        <w:t xml:space="preserve"> </w:t>
      </w:r>
      <w:r>
        <w:rPr>
          <w:color w:val="231F20"/>
          <w:sz w:val="20"/>
        </w:rPr>
        <w:t>to</w:t>
      </w:r>
      <w:r>
        <w:rPr>
          <w:color w:val="231F20"/>
          <w:spacing w:val="-11"/>
          <w:sz w:val="20"/>
        </w:rPr>
        <w:t xml:space="preserve"> </w:t>
      </w:r>
      <w:r>
        <w:rPr>
          <w:color w:val="231F20"/>
          <w:sz w:val="20"/>
        </w:rPr>
        <w:t>be</w:t>
      </w:r>
      <w:r>
        <w:rPr>
          <w:color w:val="231F20"/>
          <w:spacing w:val="-12"/>
          <w:sz w:val="20"/>
        </w:rPr>
        <w:t xml:space="preserve"> </w:t>
      </w:r>
      <w:r>
        <w:rPr>
          <w:color w:val="231F20"/>
          <w:spacing w:val="-3"/>
          <w:sz w:val="20"/>
        </w:rPr>
        <w:t>given</w:t>
      </w:r>
      <w:r>
        <w:rPr>
          <w:color w:val="231F20"/>
          <w:spacing w:val="-11"/>
          <w:sz w:val="20"/>
        </w:rPr>
        <w:t xml:space="preserve"> </w:t>
      </w:r>
      <w:r>
        <w:rPr>
          <w:color w:val="231F20"/>
          <w:sz w:val="20"/>
        </w:rPr>
        <w:t>to</w:t>
      </w:r>
      <w:r>
        <w:rPr>
          <w:color w:val="231F20"/>
          <w:spacing w:val="-11"/>
          <w:sz w:val="20"/>
        </w:rPr>
        <w:t xml:space="preserve"> </w:t>
      </w:r>
      <w:r>
        <w:rPr>
          <w:color w:val="231F20"/>
          <w:spacing w:val="-3"/>
          <w:sz w:val="20"/>
        </w:rPr>
        <w:t>how</w:t>
      </w:r>
      <w:r>
        <w:rPr>
          <w:color w:val="231F20"/>
          <w:spacing w:val="-12"/>
          <w:sz w:val="20"/>
        </w:rPr>
        <w:t xml:space="preserve"> </w:t>
      </w:r>
      <w:r>
        <w:rPr>
          <w:color w:val="231F20"/>
          <w:sz w:val="20"/>
        </w:rPr>
        <w:t>such</w:t>
      </w:r>
      <w:r>
        <w:rPr>
          <w:color w:val="231F20"/>
          <w:spacing w:val="-11"/>
          <w:sz w:val="20"/>
        </w:rPr>
        <w:t xml:space="preserve"> </w:t>
      </w:r>
      <w:r>
        <w:rPr>
          <w:color w:val="231F20"/>
          <w:sz w:val="20"/>
        </w:rPr>
        <w:t>offences might</w:t>
      </w:r>
      <w:r>
        <w:rPr>
          <w:color w:val="231F20"/>
          <w:spacing w:val="-11"/>
          <w:sz w:val="20"/>
        </w:rPr>
        <w:t xml:space="preserve"> </w:t>
      </w:r>
      <w:r>
        <w:rPr>
          <w:color w:val="231F20"/>
          <w:spacing w:val="-3"/>
          <w:sz w:val="20"/>
        </w:rPr>
        <w:t>overlap</w:t>
      </w:r>
      <w:r>
        <w:rPr>
          <w:color w:val="231F20"/>
          <w:spacing w:val="-11"/>
          <w:sz w:val="20"/>
        </w:rPr>
        <w:t xml:space="preserve"> </w:t>
      </w:r>
      <w:r>
        <w:rPr>
          <w:color w:val="231F20"/>
          <w:sz w:val="20"/>
        </w:rPr>
        <w:t>with</w:t>
      </w:r>
      <w:r>
        <w:rPr>
          <w:color w:val="231F20"/>
          <w:spacing w:val="-10"/>
          <w:sz w:val="20"/>
        </w:rPr>
        <w:t xml:space="preserve"> </w:t>
      </w:r>
      <w:r>
        <w:rPr>
          <w:color w:val="231F20"/>
          <w:sz w:val="20"/>
        </w:rPr>
        <w:t>the</w:t>
      </w:r>
      <w:r>
        <w:rPr>
          <w:color w:val="231F20"/>
          <w:spacing w:val="-11"/>
          <w:sz w:val="20"/>
        </w:rPr>
        <w:t xml:space="preserve"> </w:t>
      </w:r>
      <w:r>
        <w:rPr>
          <w:color w:val="231F20"/>
          <w:sz w:val="20"/>
        </w:rPr>
        <w:t>criminal</w:t>
      </w:r>
      <w:r>
        <w:rPr>
          <w:color w:val="231F20"/>
          <w:spacing w:val="-10"/>
          <w:sz w:val="20"/>
        </w:rPr>
        <w:t xml:space="preserve"> </w:t>
      </w:r>
      <w:r>
        <w:rPr>
          <w:color w:val="231F20"/>
          <w:sz w:val="20"/>
        </w:rPr>
        <w:t>law</w:t>
      </w:r>
      <w:r>
        <w:rPr>
          <w:color w:val="231F20"/>
          <w:spacing w:val="-11"/>
          <w:sz w:val="20"/>
        </w:rPr>
        <w:t xml:space="preserve"> </w:t>
      </w:r>
      <w:r>
        <w:rPr>
          <w:color w:val="231F20"/>
          <w:sz w:val="20"/>
        </w:rPr>
        <w:t>offence</w:t>
      </w:r>
      <w:r>
        <w:rPr>
          <w:color w:val="231F20"/>
          <w:spacing w:val="-10"/>
          <w:sz w:val="20"/>
        </w:rPr>
        <w:t xml:space="preserve"> </w:t>
      </w:r>
      <w:r>
        <w:rPr>
          <w:color w:val="231F20"/>
          <w:sz w:val="20"/>
        </w:rPr>
        <w:t>of</w:t>
      </w:r>
      <w:r>
        <w:rPr>
          <w:color w:val="231F20"/>
          <w:spacing w:val="-11"/>
          <w:sz w:val="20"/>
        </w:rPr>
        <w:t xml:space="preserve"> </w:t>
      </w:r>
      <w:r>
        <w:rPr>
          <w:color w:val="231F20"/>
          <w:spacing w:val="-3"/>
          <w:sz w:val="20"/>
        </w:rPr>
        <w:t>stalking’.</w:t>
      </w:r>
      <w:r>
        <w:rPr>
          <w:color w:val="231F20"/>
          <w:spacing w:val="-28"/>
          <w:sz w:val="20"/>
        </w:rPr>
        <w:t xml:space="preserve"> </w:t>
      </w:r>
      <w:r>
        <w:rPr>
          <w:color w:val="231F20"/>
          <w:sz w:val="20"/>
        </w:rPr>
        <w:t>The</w:t>
      </w:r>
      <w:r>
        <w:rPr>
          <w:color w:val="231F20"/>
          <w:spacing w:val="-10"/>
          <w:sz w:val="20"/>
        </w:rPr>
        <w:t xml:space="preserve"> </w:t>
      </w:r>
      <w:r>
        <w:rPr>
          <w:color w:val="231F20"/>
          <w:sz w:val="20"/>
        </w:rPr>
        <w:t>Commissioner</w:t>
      </w:r>
      <w:r>
        <w:rPr>
          <w:color w:val="231F20"/>
          <w:spacing w:val="-11"/>
          <w:sz w:val="20"/>
        </w:rPr>
        <w:t xml:space="preserve"> </w:t>
      </w:r>
      <w:r>
        <w:rPr>
          <w:color w:val="231F20"/>
          <w:sz w:val="20"/>
        </w:rPr>
        <w:t xml:space="preserve">explained that </w:t>
      </w:r>
      <w:r>
        <w:rPr>
          <w:color w:val="231F20"/>
          <w:spacing w:val="-4"/>
          <w:sz w:val="20"/>
        </w:rPr>
        <w:t xml:space="preserve">‘a </w:t>
      </w:r>
      <w:r>
        <w:rPr>
          <w:color w:val="231F20"/>
          <w:sz w:val="20"/>
        </w:rPr>
        <w:t xml:space="preserve">“persistent” </w:t>
      </w:r>
      <w:r>
        <w:rPr>
          <w:color w:val="231F20"/>
          <w:spacing w:val="-3"/>
          <w:sz w:val="20"/>
        </w:rPr>
        <w:t xml:space="preserve">contravention </w:t>
      </w:r>
      <w:r>
        <w:rPr>
          <w:color w:val="231F20"/>
          <w:sz w:val="20"/>
        </w:rPr>
        <w:t>might be captured under the criminal offence of stalking’.</w:t>
      </w:r>
      <w:r>
        <w:rPr>
          <w:color w:val="231F20"/>
          <w:position w:val="7"/>
          <w:sz w:val="11"/>
        </w:rPr>
        <w:t>129</w:t>
      </w:r>
    </w:p>
    <w:p w14:paraId="05A43F9F" w14:textId="77777777" w:rsidR="00894070" w:rsidRDefault="009B7AFD">
      <w:pPr>
        <w:pStyle w:val="ListParagraph"/>
        <w:numPr>
          <w:ilvl w:val="1"/>
          <w:numId w:val="65"/>
        </w:numPr>
        <w:tabs>
          <w:tab w:val="left" w:pos="1801"/>
          <w:tab w:val="left" w:pos="1802"/>
        </w:tabs>
        <w:spacing w:before="126" w:line="206" w:lineRule="auto"/>
        <w:ind w:right="1547"/>
        <w:rPr>
          <w:sz w:val="20"/>
        </w:rPr>
      </w:pPr>
      <w:r>
        <w:rPr>
          <w:color w:val="231F20"/>
          <w:sz w:val="20"/>
        </w:rPr>
        <w:t xml:space="preserve">Experiences of stalking should be taken </w:t>
      </w:r>
      <w:r>
        <w:rPr>
          <w:color w:val="231F20"/>
          <w:spacing w:val="-3"/>
          <w:sz w:val="20"/>
        </w:rPr>
        <w:t xml:space="preserve">seriously, </w:t>
      </w:r>
      <w:r>
        <w:rPr>
          <w:color w:val="231F20"/>
          <w:sz w:val="20"/>
        </w:rPr>
        <w:t xml:space="preserve">just as </w:t>
      </w:r>
      <w:r>
        <w:rPr>
          <w:color w:val="231F20"/>
          <w:spacing w:val="-3"/>
          <w:sz w:val="20"/>
        </w:rPr>
        <w:t xml:space="preserve">family </w:t>
      </w:r>
      <w:r>
        <w:rPr>
          <w:color w:val="231F20"/>
          <w:sz w:val="20"/>
        </w:rPr>
        <w:t>violence is. Victim survivors</w:t>
      </w:r>
      <w:r>
        <w:rPr>
          <w:color w:val="231F20"/>
          <w:spacing w:val="-7"/>
          <w:sz w:val="20"/>
        </w:rPr>
        <w:t xml:space="preserve"> </w:t>
      </w:r>
      <w:r>
        <w:rPr>
          <w:color w:val="231F20"/>
          <w:sz w:val="20"/>
        </w:rPr>
        <w:t>of</w:t>
      </w:r>
      <w:r>
        <w:rPr>
          <w:color w:val="231F20"/>
          <w:spacing w:val="-7"/>
          <w:sz w:val="20"/>
        </w:rPr>
        <w:t xml:space="preserve"> </w:t>
      </w:r>
      <w:r>
        <w:rPr>
          <w:color w:val="231F20"/>
          <w:sz w:val="20"/>
        </w:rPr>
        <w:t>stalking</w:t>
      </w:r>
      <w:r>
        <w:rPr>
          <w:color w:val="231F20"/>
          <w:spacing w:val="-6"/>
          <w:sz w:val="20"/>
        </w:rPr>
        <w:t xml:space="preserve"> </w:t>
      </w:r>
      <w:r>
        <w:rPr>
          <w:color w:val="231F20"/>
          <w:sz w:val="20"/>
        </w:rPr>
        <w:t>should</w:t>
      </w:r>
      <w:r>
        <w:rPr>
          <w:color w:val="231F20"/>
          <w:spacing w:val="-7"/>
          <w:sz w:val="20"/>
        </w:rPr>
        <w:t xml:space="preserve"> </w:t>
      </w:r>
      <w:r>
        <w:rPr>
          <w:color w:val="231F20"/>
          <w:spacing w:val="-3"/>
          <w:sz w:val="20"/>
        </w:rPr>
        <w:t>receive</w:t>
      </w:r>
      <w:r>
        <w:rPr>
          <w:color w:val="231F20"/>
          <w:spacing w:val="-7"/>
          <w:sz w:val="20"/>
        </w:rPr>
        <w:t xml:space="preserve"> </w:t>
      </w:r>
      <w:r>
        <w:rPr>
          <w:color w:val="231F20"/>
          <w:sz w:val="20"/>
        </w:rPr>
        <w:t>an</w:t>
      </w:r>
      <w:r>
        <w:rPr>
          <w:color w:val="231F20"/>
          <w:spacing w:val="-6"/>
          <w:sz w:val="20"/>
        </w:rPr>
        <w:t xml:space="preserve"> </w:t>
      </w:r>
      <w:r>
        <w:rPr>
          <w:color w:val="231F20"/>
          <w:spacing w:val="-3"/>
          <w:sz w:val="20"/>
        </w:rPr>
        <w:t>appropriate</w:t>
      </w:r>
      <w:r>
        <w:rPr>
          <w:color w:val="231F20"/>
          <w:spacing w:val="-7"/>
          <w:sz w:val="20"/>
        </w:rPr>
        <w:t xml:space="preserve"> </w:t>
      </w:r>
      <w:r>
        <w:rPr>
          <w:color w:val="231F20"/>
          <w:sz w:val="20"/>
        </w:rPr>
        <w:t>response</w:t>
      </w:r>
      <w:r>
        <w:rPr>
          <w:color w:val="231F20"/>
          <w:spacing w:val="-7"/>
          <w:sz w:val="20"/>
        </w:rPr>
        <w:t xml:space="preserve"> </w:t>
      </w:r>
      <w:r>
        <w:rPr>
          <w:color w:val="231F20"/>
          <w:sz w:val="20"/>
        </w:rPr>
        <w:t>and</w:t>
      </w:r>
      <w:r>
        <w:rPr>
          <w:color w:val="231F20"/>
          <w:spacing w:val="-6"/>
          <w:sz w:val="20"/>
        </w:rPr>
        <w:t xml:space="preserve"> </w:t>
      </w:r>
      <w:r>
        <w:rPr>
          <w:color w:val="231F20"/>
          <w:spacing w:val="-3"/>
          <w:sz w:val="20"/>
        </w:rPr>
        <w:t>protection</w:t>
      </w:r>
      <w:r>
        <w:rPr>
          <w:color w:val="231F20"/>
          <w:spacing w:val="-7"/>
          <w:sz w:val="20"/>
        </w:rPr>
        <w:t xml:space="preserve"> </w:t>
      </w:r>
      <w:r>
        <w:rPr>
          <w:color w:val="231F20"/>
          <w:sz w:val="20"/>
        </w:rPr>
        <w:t>when</w:t>
      </w:r>
      <w:r>
        <w:rPr>
          <w:color w:val="231F20"/>
          <w:spacing w:val="-7"/>
          <w:sz w:val="20"/>
        </w:rPr>
        <w:t xml:space="preserve"> </w:t>
      </w:r>
      <w:r>
        <w:rPr>
          <w:color w:val="231F20"/>
          <w:sz w:val="20"/>
        </w:rPr>
        <w:t>a PSIO is</w:t>
      </w:r>
      <w:r>
        <w:rPr>
          <w:color w:val="231F20"/>
          <w:spacing w:val="-9"/>
          <w:sz w:val="20"/>
        </w:rPr>
        <w:t xml:space="preserve"> </w:t>
      </w:r>
      <w:r>
        <w:rPr>
          <w:color w:val="231F20"/>
          <w:sz w:val="20"/>
        </w:rPr>
        <w:t>breached.</w:t>
      </w:r>
    </w:p>
    <w:p w14:paraId="09296DEA" w14:textId="77777777" w:rsidR="00894070" w:rsidRDefault="00894070">
      <w:pPr>
        <w:pStyle w:val="BodyText"/>
      </w:pPr>
    </w:p>
    <w:p w14:paraId="156A517F" w14:textId="77777777" w:rsidR="00894070" w:rsidRDefault="00894070">
      <w:pPr>
        <w:pStyle w:val="BodyText"/>
      </w:pPr>
    </w:p>
    <w:p w14:paraId="2AC5446A" w14:textId="77777777" w:rsidR="00894070" w:rsidRDefault="00894070">
      <w:pPr>
        <w:pStyle w:val="BodyText"/>
      </w:pPr>
    </w:p>
    <w:p w14:paraId="6CDE50BA" w14:textId="77777777" w:rsidR="00894070" w:rsidRDefault="00894070">
      <w:pPr>
        <w:pStyle w:val="BodyText"/>
      </w:pPr>
    </w:p>
    <w:p w14:paraId="27CBCE95" w14:textId="77777777" w:rsidR="00894070" w:rsidRDefault="00894070">
      <w:pPr>
        <w:pStyle w:val="BodyText"/>
      </w:pPr>
    </w:p>
    <w:p w14:paraId="50C0E9E4" w14:textId="77777777" w:rsidR="00894070" w:rsidRDefault="009F6793">
      <w:pPr>
        <w:pStyle w:val="BodyText"/>
        <w:spacing w:before="10"/>
        <w:rPr>
          <w:sz w:val="22"/>
        </w:rPr>
      </w:pPr>
      <w:r>
        <w:pict w14:anchorId="5224E15C">
          <v:line id="_x0000_s1186" style="position:absolute;z-index:251741184;mso-wrap-distance-left:0;mso-wrap-distance-right:0;mso-position-horizontal-relative:page" from="79.35pt,18.25pt" to="515.9pt,18.25pt" strokecolor="#f8cabc" strokeweight="1pt">
            <w10:wrap type="topAndBottom" anchorx="page"/>
          </v:line>
        </w:pict>
      </w:r>
    </w:p>
    <w:p w14:paraId="13D9BFC6" w14:textId="77777777" w:rsidR="00894070" w:rsidRDefault="00894070">
      <w:pPr>
        <w:pStyle w:val="BodyText"/>
        <w:rPr>
          <w:sz w:val="5"/>
        </w:rPr>
      </w:pPr>
    </w:p>
    <w:p w14:paraId="239ED0A5" w14:textId="77777777" w:rsidR="00894070" w:rsidRDefault="00894070">
      <w:pPr>
        <w:rPr>
          <w:sz w:val="5"/>
        </w:rPr>
        <w:sectPr w:rsidR="00894070">
          <w:pgSz w:w="11910" w:h="16840"/>
          <w:pgMar w:top="860" w:right="420" w:bottom="280" w:left="580" w:header="567" w:footer="0" w:gutter="0"/>
          <w:cols w:space="720"/>
        </w:sectPr>
      </w:pPr>
    </w:p>
    <w:p w14:paraId="1EB708E2" w14:textId="77777777" w:rsidR="00894070" w:rsidRDefault="00894070">
      <w:pPr>
        <w:pStyle w:val="BodyText"/>
        <w:rPr>
          <w:sz w:val="28"/>
        </w:rPr>
      </w:pPr>
    </w:p>
    <w:p w14:paraId="6EDC8FC1" w14:textId="77777777" w:rsidR="00894070" w:rsidRDefault="00894070">
      <w:pPr>
        <w:pStyle w:val="BodyText"/>
        <w:rPr>
          <w:sz w:val="28"/>
        </w:rPr>
      </w:pPr>
    </w:p>
    <w:p w14:paraId="1E83CE29" w14:textId="77777777" w:rsidR="00894070" w:rsidRDefault="009B7AFD">
      <w:pPr>
        <w:pStyle w:val="Heading8"/>
        <w:spacing w:before="237"/>
        <w:ind w:left="140"/>
      </w:pPr>
      <w:r>
        <w:rPr>
          <w:color w:val="EA5B50"/>
        </w:rPr>
        <w:t>148</w:t>
      </w:r>
    </w:p>
    <w:p w14:paraId="4188B5DD" w14:textId="77777777" w:rsidR="00894070" w:rsidRDefault="009B7AFD">
      <w:pPr>
        <w:pStyle w:val="ListParagraph"/>
        <w:numPr>
          <w:ilvl w:val="0"/>
          <w:numId w:val="48"/>
        </w:numPr>
        <w:tabs>
          <w:tab w:val="left" w:pos="933"/>
          <w:tab w:val="left" w:pos="934"/>
        </w:tabs>
        <w:spacing w:before="21" w:line="170" w:lineRule="exact"/>
        <w:ind w:hanging="793"/>
        <w:rPr>
          <w:sz w:val="13"/>
        </w:rPr>
      </w:pPr>
      <w:r>
        <w:rPr>
          <w:color w:val="231F20"/>
          <w:spacing w:val="3"/>
          <w:sz w:val="13"/>
        </w:rPr>
        <w:br w:type="column"/>
      </w:r>
      <w:r>
        <w:rPr>
          <w:color w:val="231F20"/>
          <w:spacing w:val="2"/>
          <w:sz w:val="13"/>
        </w:rPr>
        <w:t xml:space="preserve">Submissions </w:t>
      </w:r>
      <w:r>
        <w:rPr>
          <w:color w:val="231F20"/>
          <w:sz w:val="13"/>
        </w:rPr>
        <w:t xml:space="preserve">98 (Law Institute of Victoria), </w:t>
      </w:r>
      <w:r>
        <w:rPr>
          <w:color w:val="231F20"/>
          <w:spacing w:val="2"/>
          <w:sz w:val="13"/>
        </w:rPr>
        <w:t xml:space="preserve">115 </w:t>
      </w:r>
      <w:r>
        <w:rPr>
          <w:color w:val="231F20"/>
          <w:sz w:val="13"/>
        </w:rPr>
        <w:t>(Victoria</w:t>
      </w:r>
      <w:r>
        <w:rPr>
          <w:color w:val="231F20"/>
          <w:spacing w:val="-1"/>
          <w:sz w:val="13"/>
        </w:rPr>
        <w:t xml:space="preserve"> </w:t>
      </w:r>
      <w:r>
        <w:rPr>
          <w:color w:val="231F20"/>
          <w:sz w:val="13"/>
        </w:rPr>
        <w:t>Police).</w:t>
      </w:r>
    </w:p>
    <w:p w14:paraId="34B5B741" w14:textId="77777777" w:rsidR="00894070" w:rsidRDefault="009B7AFD">
      <w:pPr>
        <w:pStyle w:val="ListParagraph"/>
        <w:numPr>
          <w:ilvl w:val="0"/>
          <w:numId w:val="48"/>
        </w:numPr>
        <w:tabs>
          <w:tab w:val="left" w:pos="933"/>
          <w:tab w:val="left" w:pos="934"/>
        </w:tabs>
        <w:spacing w:line="160" w:lineRule="exact"/>
        <w:ind w:hanging="793"/>
        <w:rPr>
          <w:sz w:val="13"/>
        </w:rPr>
      </w:pPr>
      <w:r>
        <w:rPr>
          <w:color w:val="231F20"/>
          <w:spacing w:val="2"/>
          <w:sz w:val="13"/>
        </w:rPr>
        <w:t xml:space="preserve">Submission </w:t>
      </w:r>
      <w:r>
        <w:rPr>
          <w:color w:val="231F20"/>
          <w:sz w:val="13"/>
        </w:rPr>
        <w:t>98 (Law Institute of</w:t>
      </w:r>
      <w:r>
        <w:rPr>
          <w:color w:val="231F20"/>
          <w:spacing w:val="-2"/>
          <w:sz w:val="13"/>
        </w:rPr>
        <w:t xml:space="preserve"> </w:t>
      </w:r>
      <w:r>
        <w:rPr>
          <w:color w:val="231F20"/>
          <w:sz w:val="13"/>
        </w:rPr>
        <w:t>Victoria).</w:t>
      </w:r>
    </w:p>
    <w:p w14:paraId="3A43F588" w14:textId="77777777" w:rsidR="00894070" w:rsidRDefault="009B7AFD">
      <w:pPr>
        <w:pStyle w:val="ListParagraph"/>
        <w:numPr>
          <w:ilvl w:val="0"/>
          <w:numId w:val="48"/>
        </w:numPr>
        <w:tabs>
          <w:tab w:val="left" w:pos="933"/>
          <w:tab w:val="left" w:pos="934"/>
        </w:tabs>
        <w:spacing w:line="160" w:lineRule="exact"/>
        <w:ind w:hanging="793"/>
        <w:rPr>
          <w:sz w:val="13"/>
        </w:rPr>
      </w:pPr>
      <w:r>
        <w:rPr>
          <w:color w:val="231F20"/>
          <w:spacing w:val="2"/>
          <w:sz w:val="13"/>
        </w:rPr>
        <w:t xml:space="preserve">Submission </w:t>
      </w:r>
      <w:r>
        <w:rPr>
          <w:color w:val="231F20"/>
          <w:sz w:val="13"/>
        </w:rPr>
        <w:t xml:space="preserve">36 </w:t>
      </w:r>
      <w:r>
        <w:rPr>
          <w:color w:val="231F20"/>
          <w:spacing w:val="2"/>
          <w:sz w:val="13"/>
        </w:rPr>
        <w:t>(Ahmad</w:t>
      </w:r>
      <w:r>
        <w:rPr>
          <w:color w:val="231F20"/>
          <w:spacing w:val="-2"/>
          <w:sz w:val="13"/>
        </w:rPr>
        <w:t xml:space="preserve"> </w:t>
      </w:r>
      <w:r>
        <w:rPr>
          <w:color w:val="231F20"/>
          <w:sz w:val="13"/>
        </w:rPr>
        <w:t>Masri).</w:t>
      </w:r>
    </w:p>
    <w:p w14:paraId="5C2F2FBB" w14:textId="77777777" w:rsidR="00894070" w:rsidRDefault="009B7AFD">
      <w:pPr>
        <w:pStyle w:val="ListParagraph"/>
        <w:numPr>
          <w:ilvl w:val="0"/>
          <w:numId w:val="48"/>
        </w:numPr>
        <w:tabs>
          <w:tab w:val="left" w:pos="933"/>
          <w:tab w:val="left" w:pos="934"/>
        </w:tabs>
        <w:spacing w:line="160" w:lineRule="exact"/>
        <w:ind w:hanging="793"/>
        <w:rPr>
          <w:sz w:val="13"/>
        </w:rPr>
      </w:pPr>
      <w:r>
        <w:rPr>
          <w:color w:val="231F20"/>
          <w:spacing w:val="2"/>
          <w:sz w:val="13"/>
        </w:rPr>
        <w:t xml:space="preserve">Submission </w:t>
      </w:r>
      <w:r>
        <w:rPr>
          <w:color w:val="231F20"/>
          <w:sz w:val="13"/>
        </w:rPr>
        <w:t>62 (Name</w:t>
      </w:r>
      <w:r>
        <w:rPr>
          <w:color w:val="231F20"/>
          <w:spacing w:val="-3"/>
          <w:sz w:val="13"/>
        </w:rPr>
        <w:t xml:space="preserve"> </w:t>
      </w:r>
      <w:r>
        <w:rPr>
          <w:color w:val="231F20"/>
          <w:sz w:val="13"/>
        </w:rPr>
        <w:t>withheld).</w:t>
      </w:r>
    </w:p>
    <w:p w14:paraId="19470429" w14:textId="77777777" w:rsidR="00894070" w:rsidRDefault="009B7AFD">
      <w:pPr>
        <w:pStyle w:val="ListParagraph"/>
        <w:numPr>
          <w:ilvl w:val="0"/>
          <w:numId w:val="48"/>
        </w:numPr>
        <w:tabs>
          <w:tab w:val="left" w:pos="933"/>
          <w:tab w:val="left" w:pos="934"/>
        </w:tabs>
        <w:spacing w:line="160" w:lineRule="exact"/>
        <w:ind w:hanging="793"/>
        <w:rPr>
          <w:sz w:val="13"/>
        </w:rPr>
      </w:pPr>
      <w:r>
        <w:rPr>
          <w:color w:val="231F20"/>
          <w:sz w:val="13"/>
        </w:rPr>
        <w:t>Consultation 13 (Victoria Legal</w:t>
      </w:r>
      <w:r>
        <w:rPr>
          <w:color w:val="231F20"/>
          <w:spacing w:val="1"/>
          <w:sz w:val="13"/>
        </w:rPr>
        <w:t xml:space="preserve"> </w:t>
      </w:r>
      <w:r>
        <w:rPr>
          <w:color w:val="231F20"/>
          <w:sz w:val="13"/>
        </w:rPr>
        <w:t>Aid).</w:t>
      </w:r>
    </w:p>
    <w:p w14:paraId="54774999" w14:textId="77777777" w:rsidR="00894070" w:rsidRDefault="009B7AFD">
      <w:pPr>
        <w:pStyle w:val="ListParagraph"/>
        <w:numPr>
          <w:ilvl w:val="0"/>
          <w:numId w:val="48"/>
        </w:numPr>
        <w:tabs>
          <w:tab w:val="left" w:pos="933"/>
          <w:tab w:val="left" w:pos="934"/>
        </w:tabs>
        <w:spacing w:line="160" w:lineRule="exact"/>
        <w:ind w:hanging="793"/>
        <w:rPr>
          <w:sz w:val="13"/>
        </w:rPr>
      </w:pPr>
      <w:r>
        <w:rPr>
          <w:color w:val="231F20"/>
          <w:spacing w:val="2"/>
          <w:sz w:val="13"/>
        </w:rPr>
        <w:t xml:space="preserve">Submission </w:t>
      </w:r>
      <w:r>
        <w:rPr>
          <w:color w:val="231F20"/>
          <w:sz w:val="13"/>
        </w:rPr>
        <w:t xml:space="preserve">47 </w:t>
      </w:r>
      <w:r>
        <w:rPr>
          <w:color w:val="231F20"/>
          <w:spacing w:val="2"/>
          <w:sz w:val="13"/>
        </w:rPr>
        <w:t xml:space="preserve">(Liberty </w:t>
      </w:r>
      <w:r>
        <w:rPr>
          <w:color w:val="231F20"/>
          <w:sz w:val="13"/>
        </w:rPr>
        <w:t>Victoria); Consultation 13 (Victoria Legal</w:t>
      </w:r>
      <w:r>
        <w:rPr>
          <w:color w:val="231F20"/>
          <w:spacing w:val="-4"/>
          <w:sz w:val="13"/>
        </w:rPr>
        <w:t xml:space="preserve"> </w:t>
      </w:r>
      <w:r>
        <w:rPr>
          <w:color w:val="231F20"/>
          <w:sz w:val="13"/>
        </w:rPr>
        <w:t>Aid).</w:t>
      </w:r>
    </w:p>
    <w:p w14:paraId="7F4F4EF7" w14:textId="77777777" w:rsidR="00894070" w:rsidRDefault="009B7AFD">
      <w:pPr>
        <w:pStyle w:val="ListParagraph"/>
        <w:numPr>
          <w:ilvl w:val="0"/>
          <w:numId w:val="48"/>
        </w:numPr>
        <w:tabs>
          <w:tab w:val="left" w:pos="933"/>
          <w:tab w:val="left" w:pos="934"/>
        </w:tabs>
        <w:spacing w:line="160" w:lineRule="exact"/>
        <w:ind w:hanging="793"/>
        <w:rPr>
          <w:sz w:val="13"/>
        </w:rPr>
      </w:pPr>
      <w:r>
        <w:rPr>
          <w:color w:val="231F20"/>
          <w:spacing w:val="2"/>
          <w:sz w:val="13"/>
        </w:rPr>
        <w:t xml:space="preserve">Submission </w:t>
      </w:r>
      <w:r>
        <w:rPr>
          <w:color w:val="231F20"/>
          <w:sz w:val="13"/>
        </w:rPr>
        <w:t xml:space="preserve">47 </w:t>
      </w:r>
      <w:r>
        <w:rPr>
          <w:color w:val="231F20"/>
          <w:spacing w:val="2"/>
          <w:sz w:val="13"/>
        </w:rPr>
        <w:t>(Liberty</w:t>
      </w:r>
      <w:r>
        <w:rPr>
          <w:color w:val="231F20"/>
          <w:spacing w:val="-3"/>
          <w:sz w:val="13"/>
        </w:rPr>
        <w:t xml:space="preserve"> </w:t>
      </w:r>
      <w:r>
        <w:rPr>
          <w:color w:val="231F20"/>
          <w:sz w:val="13"/>
        </w:rPr>
        <w:t>Victoria).</w:t>
      </w:r>
    </w:p>
    <w:p w14:paraId="20955883" w14:textId="77777777" w:rsidR="00894070" w:rsidRDefault="009B7AFD">
      <w:pPr>
        <w:pStyle w:val="ListParagraph"/>
        <w:numPr>
          <w:ilvl w:val="0"/>
          <w:numId w:val="48"/>
        </w:numPr>
        <w:tabs>
          <w:tab w:val="left" w:pos="933"/>
          <w:tab w:val="left" w:pos="934"/>
        </w:tabs>
        <w:spacing w:line="170" w:lineRule="exact"/>
        <w:ind w:hanging="793"/>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1C7159F5"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80" w:space="287"/>
            <w:col w:w="10043"/>
          </w:cols>
        </w:sectPr>
      </w:pPr>
    </w:p>
    <w:p w14:paraId="4394C09B" w14:textId="77777777" w:rsidR="00894070" w:rsidRDefault="00894070">
      <w:pPr>
        <w:pStyle w:val="BodyText"/>
      </w:pPr>
    </w:p>
    <w:p w14:paraId="3CADC16B" w14:textId="77777777" w:rsidR="00894070" w:rsidRDefault="00894070">
      <w:pPr>
        <w:pStyle w:val="BodyText"/>
      </w:pPr>
    </w:p>
    <w:p w14:paraId="70E1E7CE" w14:textId="77777777" w:rsidR="00894070" w:rsidRDefault="00894070">
      <w:pPr>
        <w:pStyle w:val="BodyText"/>
      </w:pPr>
    </w:p>
    <w:p w14:paraId="2586C40C" w14:textId="77777777" w:rsidR="00894070" w:rsidRDefault="00894070">
      <w:pPr>
        <w:pStyle w:val="BodyText"/>
        <w:spacing w:before="6"/>
        <w:rPr>
          <w:sz w:val="14"/>
        </w:rPr>
      </w:pPr>
    </w:p>
    <w:p w14:paraId="3E1BBDBA" w14:textId="77777777" w:rsidR="00894070" w:rsidRDefault="009B7AFD">
      <w:pPr>
        <w:pStyle w:val="ListParagraph"/>
        <w:numPr>
          <w:ilvl w:val="1"/>
          <w:numId w:val="65"/>
        </w:numPr>
        <w:tabs>
          <w:tab w:val="left" w:pos="1801"/>
          <w:tab w:val="left" w:pos="1802"/>
        </w:tabs>
        <w:spacing w:before="90" w:line="206" w:lineRule="auto"/>
        <w:ind w:right="1470"/>
        <w:rPr>
          <w:sz w:val="20"/>
        </w:rPr>
      </w:pPr>
      <w:bookmarkStart w:id="168" w:name="Improving_police_responses_to_PSIO_breac"/>
      <w:bookmarkStart w:id="169" w:name="_bookmark101"/>
      <w:bookmarkEnd w:id="168"/>
      <w:bookmarkEnd w:id="169"/>
      <w:r>
        <w:rPr>
          <w:color w:val="231F20"/>
          <w:spacing w:val="-5"/>
          <w:sz w:val="20"/>
        </w:rPr>
        <w:t xml:space="preserve">However, </w:t>
      </w:r>
      <w:r>
        <w:rPr>
          <w:color w:val="231F20"/>
          <w:spacing w:val="-3"/>
          <w:sz w:val="20"/>
        </w:rPr>
        <w:t xml:space="preserve">we </w:t>
      </w:r>
      <w:r>
        <w:rPr>
          <w:color w:val="231F20"/>
          <w:sz w:val="20"/>
        </w:rPr>
        <w:t xml:space="preserve">do not recommend </w:t>
      </w:r>
      <w:r>
        <w:rPr>
          <w:color w:val="231F20"/>
          <w:spacing w:val="-3"/>
          <w:sz w:val="20"/>
        </w:rPr>
        <w:t xml:space="preserve">introducing </w:t>
      </w:r>
      <w:r>
        <w:rPr>
          <w:color w:val="231F20"/>
          <w:sz w:val="20"/>
        </w:rPr>
        <w:t xml:space="preserve">new breach offences. In our view they </w:t>
      </w:r>
      <w:r>
        <w:rPr>
          <w:color w:val="231F20"/>
          <w:spacing w:val="-3"/>
          <w:sz w:val="20"/>
        </w:rPr>
        <w:t>are</w:t>
      </w:r>
      <w:r>
        <w:rPr>
          <w:color w:val="231F20"/>
          <w:spacing w:val="-9"/>
          <w:sz w:val="20"/>
        </w:rPr>
        <w:t xml:space="preserve"> </w:t>
      </w:r>
      <w:r>
        <w:rPr>
          <w:color w:val="231F20"/>
          <w:sz w:val="20"/>
        </w:rPr>
        <w:t>not</w:t>
      </w:r>
      <w:r>
        <w:rPr>
          <w:color w:val="231F20"/>
          <w:spacing w:val="-9"/>
          <w:sz w:val="20"/>
        </w:rPr>
        <w:t xml:space="preserve"> </w:t>
      </w:r>
      <w:r>
        <w:rPr>
          <w:color w:val="231F20"/>
          <w:sz w:val="20"/>
        </w:rPr>
        <w:t>needed</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non-family</w:t>
      </w:r>
      <w:r>
        <w:rPr>
          <w:color w:val="231F20"/>
          <w:spacing w:val="-9"/>
          <w:sz w:val="20"/>
        </w:rPr>
        <w:t xml:space="preserve"> </w:t>
      </w:r>
      <w:r>
        <w:rPr>
          <w:color w:val="231F20"/>
          <w:sz w:val="20"/>
        </w:rPr>
        <w:t>violence</w:t>
      </w:r>
      <w:r>
        <w:rPr>
          <w:color w:val="231F20"/>
          <w:spacing w:val="-9"/>
          <w:sz w:val="20"/>
        </w:rPr>
        <w:t xml:space="preserve"> </w:t>
      </w:r>
      <w:r>
        <w:rPr>
          <w:color w:val="231F20"/>
          <w:sz w:val="20"/>
        </w:rPr>
        <w:t>stalking</w:t>
      </w:r>
      <w:r>
        <w:rPr>
          <w:color w:val="231F20"/>
          <w:spacing w:val="-8"/>
          <w:sz w:val="20"/>
        </w:rPr>
        <w:t xml:space="preserve"> </w:t>
      </w:r>
      <w:r>
        <w:rPr>
          <w:color w:val="231F20"/>
          <w:sz w:val="20"/>
        </w:rPr>
        <w:t>under</w:t>
      </w:r>
      <w:r>
        <w:rPr>
          <w:color w:val="231F20"/>
          <w:spacing w:val="-9"/>
          <w:sz w:val="20"/>
        </w:rPr>
        <w:t xml:space="preserve"> </w:t>
      </w:r>
      <w:r>
        <w:rPr>
          <w:color w:val="231F20"/>
          <w:sz w:val="20"/>
        </w:rPr>
        <w:t>the</w:t>
      </w:r>
      <w:r>
        <w:rPr>
          <w:color w:val="231F20"/>
          <w:spacing w:val="-9"/>
          <w:sz w:val="20"/>
        </w:rPr>
        <w:t xml:space="preserve"> </w:t>
      </w:r>
      <w:r>
        <w:rPr>
          <w:color w:val="231F20"/>
          <w:sz w:val="20"/>
        </w:rPr>
        <w:t>PSIO</w:t>
      </w:r>
      <w:r>
        <w:rPr>
          <w:color w:val="231F20"/>
          <w:spacing w:val="-9"/>
          <w:sz w:val="20"/>
        </w:rPr>
        <w:t xml:space="preserve"> </w:t>
      </w:r>
      <w:r>
        <w:rPr>
          <w:color w:val="231F20"/>
          <w:spacing w:val="-2"/>
          <w:sz w:val="20"/>
        </w:rPr>
        <w:t>system</w:t>
      </w:r>
      <w:r>
        <w:rPr>
          <w:color w:val="231F20"/>
          <w:spacing w:val="-9"/>
          <w:sz w:val="20"/>
        </w:rPr>
        <w:t xml:space="preserve"> </w:t>
      </w:r>
      <w:r>
        <w:rPr>
          <w:color w:val="231F20"/>
          <w:sz w:val="20"/>
        </w:rPr>
        <w:t>because</w:t>
      </w:r>
      <w:r>
        <w:rPr>
          <w:color w:val="231F20"/>
          <w:spacing w:val="-9"/>
          <w:sz w:val="20"/>
        </w:rPr>
        <w:t xml:space="preserve"> </w:t>
      </w:r>
      <w:r>
        <w:rPr>
          <w:color w:val="231F20"/>
          <w:sz w:val="20"/>
        </w:rPr>
        <w:t xml:space="preserve">the existing law can </w:t>
      </w:r>
      <w:r>
        <w:rPr>
          <w:color w:val="231F20"/>
          <w:spacing w:val="-4"/>
          <w:sz w:val="20"/>
        </w:rPr>
        <w:t xml:space="preserve">cover </w:t>
      </w:r>
      <w:r>
        <w:rPr>
          <w:color w:val="231F20"/>
          <w:sz w:val="20"/>
        </w:rPr>
        <w:t xml:space="preserve">and sanction breaches </w:t>
      </w:r>
      <w:r>
        <w:rPr>
          <w:color w:val="231F20"/>
          <w:spacing w:val="-4"/>
          <w:sz w:val="20"/>
        </w:rPr>
        <w:t xml:space="preserve">adequately. </w:t>
      </w:r>
      <w:r>
        <w:rPr>
          <w:color w:val="231F20"/>
          <w:sz w:val="20"/>
        </w:rPr>
        <w:t xml:space="preserve">As the Victims of Crime Commissioner stated, persistent breaches of PSIOs </w:t>
      </w:r>
      <w:r>
        <w:rPr>
          <w:color w:val="231F20"/>
          <w:spacing w:val="-3"/>
          <w:sz w:val="20"/>
        </w:rPr>
        <w:t xml:space="preserve">are likely </w:t>
      </w:r>
      <w:r>
        <w:rPr>
          <w:color w:val="231F20"/>
          <w:sz w:val="20"/>
        </w:rPr>
        <w:t xml:space="preserve">to be captured </w:t>
      </w:r>
      <w:r>
        <w:rPr>
          <w:color w:val="231F20"/>
          <w:spacing w:val="-3"/>
          <w:sz w:val="20"/>
        </w:rPr>
        <w:t xml:space="preserve">by </w:t>
      </w:r>
      <w:r>
        <w:rPr>
          <w:color w:val="231F20"/>
          <w:sz w:val="20"/>
        </w:rPr>
        <w:t>the stalking</w:t>
      </w:r>
      <w:r>
        <w:rPr>
          <w:color w:val="231F20"/>
          <w:spacing w:val="-5"/>
          <w:sz w:val="20"/>
        </w:rPr>
        <w:t xml:space="preserve"> </w:t>
      </w:r>
      <w:r>
        <w:rPr>
          <w:color w:val="231F20"/>
          <w:spacing w:val="-3"/>
          <w:sz w:val="20"/>
        </w:rPr>
        <w:t>offence.</w:t>
      </w:r>
    </w:p>
    <w:p w14:paraId="494A5958" w14:textId="77777777" w:rsidR="00894070" w:rsidRDefault="009B7AFD">
      <w:pPr>
        <w:pStyle w:val="ListParagraph"/>
        <w:numPr>
          <w:ilvl w:val="1"/>
          <w:numId w:val="65"/>
        </w:numPr>
        <w:tabs>
          <w:tab w:val="left" w:pos="1801"/>
          <w:tab w:val="left" w:pos="1802"/>
        </w:tabs>
        <w:spacing w:before="126" w:line="206" w:lineRule="auto"/>
        <w:ind w:right="1410"/>
        <w:rPr>
          <w:sz w:val="11"/>
        </w:rPr>
      </w:pPr>
      <w:r>
        <w:rPr>
          <w:color w:val="231F20"/>
          <w:sz w:val="20"/>
        </w:rPr>
        <w:t>New</w:t>
      </w:r>
      <w:r>
        <w:rPr>
          <w:color w:val="231F20"/>
          <w:spacing w:val="-10"/>
          <w:sz w:val="20"/>
        </w:rPr>
        <w:t xml:space="preserve"> </w:t>
      </w:r>
      <w:r>
        <w:rPr>
          <w:color w:val="231F20"/>
          <w:sz w:val="20"/>
        </w:rPr>
        <w:t>offences</w:t>
      </w:r>
      <w:r>
        <w:rPr>
          <w:color w:val="231F20"/>
          <w:spacing w:val="-9"/>
          <w:sz w:val="20"/>
        </w:rPr>
        <w:t xml:space="preserve"> </w:t>
      </w:r>
      <w:r>
        <w:rPr>
          <w:color w:val="231F20"/>
          <w:spacing w:val="-3"/>
          <w:sz w:val="20"/>
        </w:rPr>
        <w:t>are</w:t>
      </w:r>
      <w:r>
        <w:rPr>
          <w:color w:val="231F20"/>
          <w:spacing w:val="-9"/>
          <w:sz w:val="20"/>
        </w:rPr>
        <w:t xml:space="preserve"> </w:t>
      </w:r>
      <w:r>
        <w:rPr>
          <w:color w:val="231F20"/>
          <w:sz w:val="20"/>
        </w:rPr>
        <w:t>also</w:t>
      </w:r>
      <w:r>
        <w:rPr>
          <w:color w:val="231F20"/>
          <w:spacing w:val="-9"/>
          <w:sz w:val="20"/>
        </w:rPr>
        <w:t xml:space="preserve"> </w:t>
      </w:r>
      <w:r>
        <w:rPr>
          <w:color w:val="231F20"/>
          <w:spacing w:val="-3"/>
          <w:sz w:val="20"/>
        </w:rPr>
        <w:t>unlikely</w:t>
      </w:r>
      <w:r>
        <w:rPr>
          <w:color w:val="231F20"/>
          <w:spacing w:val="-10"/>
          <w:sz w:val="20"/>
        </w:rPr>
        <w:t xml:space="preserve"> </w:t>
      </w:r>
      <w:r>
        <w:rPr>
          <w:color w:val="231F20"/>
          <w:sz w:val="20"/>
        </w:rPr>
        <w:t>to</w:t>
      </w:r>
      <w:r>
        <w:rPr>
          <w:color w:val="231F20"/>
          <w:spacing w:val="-9"/>
          <w:sz w:val="20"/>
        </w:rPr>
        <w:t xml:space="preserve"> </w:t>
      </w:r>
      <w:r>
        <w:rPr>
          <w:color w:val="231F20"/>
          <w:sz w:val="20"/>
        </w:rPr>
        <w:t>change</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outcome.</w:t>
      </w:r>
      <w:r>
        <w:rPr>
          <w:color w:val="231F20"/>
          <w:spacing w:val="-9"/>
          <w:sz w:val="20"/>
        </w:rPr>
        <w:t xml:space="preserve"> </w:t>
      </w:r>
      <w:r>
        <w:rPr>
          <w:color w:val="231F20"/>
          <w:sz w:val="20"/>
        </w:rPr>
        <w:t>In</w:t>
      </w:r>
      <w:r>
        <w:rPr>
          <w:color w:val="231F20"/>
          <w:spacing w:val="-10"/>
          <w:sz w:val="20"/>
        </w:rPr>
        <w:t xml:space="preserve"> </w:t>
      </w:r>
      <w:r>
        <w:rPr>
          <w:color w:val="231F20"/>
          <w:sz w:val="20"/>
        </w:rPr>
        <w:t>cases</w:t>
      </w:r>
      <w:r>
        <w:rPr>
          <w:color w:val="231F20"/>
          <w:spacing w:val="-9"/>
          <w:sz w:val="20"/>
        </w:rPr>
        <w:t xml:space="preserve"> </w:t>
      </w:r>
      <w:r>
        <w:rPr>
          <w:color w:val="231F20"/>
          <w:sz w:val="20"/>
        </w:rPr>
        <w:t>‘where</w:t>
      </w:r>
      <w:r>
        <w:rPr>
          <w:color w:val="231F20"/>
          <w:spacing w:val="-9"/>
          <w:sz w:val="20"/>
        </w:rPr>
        <w:t xml:space="preserve"> </w:t>
      </w:r>
      <w:r>
        <w:rPr>
          <w:color w:val="231F20"/>
          <w:sz w:val="20"/>
        </w:rPr>
        <w:t>a</w:t>
      </w:r>
      <w:r>
        <w:rPr>
          <w:color w:val="231F20"/>
          <w:spacing w:val="-9"/>
          <w:sz w:val="20"/>
        </w:rPr>
        <w:t xml:space="preserve"> </w:t>
      </w:r>
      <w:r>
        <w:rPr>
          <w:color w:val="231F20"/>
          <w:sz w:val="20"/>
        </w:rPr>
        <w:t xml:space="preserve">substantive offence is committed in breach of an </w:t>
      </w:r>
      <w:r>
        <w:rPr>
          <w:color w:val="231F20"/>
          <w:spacing w:val="-2"/>
          <w:sz w:val="20"/>
        </w:rPr>
        <w:t xml:space="preserve">intervention </w:t>
      </w:r>
      <w:r>
        <w:rPr>
          <w:color w:val="231F20"/>
          <w:spacing w:val="-4"/>
          <w:sz w:val="20"/>
        </w:rPr>
        <w:t xml:space="preserve">order’, </w:t>
      </w:r>
      <w:r>
        <w:rPr>
          <w:color w:val="231F20"/>
          <w:sz w:val="20"/>
        </w:rPr>
        <w:t xml:space="preserve">the breach, </w:t>
      </w:r>
      <w:r>
        <w:rPr>
          <w:color w:val="231F20"/>
          <w:spacing w:val="-3"/>
          <w:sz w:val="20"/>
        </w:rPr>
        <w:t xml:space="preserve">even </w:t>
      </w:r>
      <w:r>
        <w:rPr>
          <w:color w:val="231F20"/>
          <w:sz w:val="20"/>
        </w:rPr>
        <w:t xml:space="preserve">if not charged, </w:t>
      </w:r>
      <w:r>
        <w:rPr>
          <w:color w:val="231F20"/>
          <w:spacing w:val="-3"/>
          <w:sz w:val="20"/>
        </w:rPr>
        <w:t xml:space="preserve">may </w:t>
      </w:r>
      <w:r>
        <w:rPr>
          <w:color w:val="231F20"/>
          <w:sz w:val="20"/>
        </w:rPr>
        <w:t xml:space="preserve">be considered </w:t>
      </w:r>
      <w:r>
        <w:rPr>
          <w:color w:val="231F20"/>
          <w:spacing w:val="-3"/>
          <w:sz w:val="20"/>
        </w:rPr>
        <w:t xml:space="preserve">‘an aggravated </w:t>
      </w:r>
      <w:r>
        <w:rPr>
          <w:color w:val="231F20"/>
          <w:sz w:val="20"/>
        </w:rPr>
        <w:t xml:space="preserve">circumstance of the commission of the substantive </w:t>
      </w:r>
      <w:r>
        <w:rPr>
          <w:color w:val="231F20"/>
          <w:spacing w:val="-3"/>
          <w:sz w:val="20"/>
        </w:rPr>
        <w:t xml:space="preserve">offence’ for </w:t>
      </w:r>
      <w:r>
        <w:rPr>
          <w:color w:val="231F20"/>
          <w:sz w:val="20"/>
        </w:rPr>
        <w:t>the purposes of</w:t>
      </w:r>
      <w:r>
        <w:rPr>
          <w:color w:val="231F20"/>
          <w:spacing w:val="-23"/>
          <w:sz w:val="20"/>
        </w:rPr>
        <w:t xml:space="preserve"> </w:t>
      </w:r>
      <w:r>
        <w:rPr>
          <w:color w:val="231F20"/>
          <w:sz w:val="20"/>
        </w:rPr>
        <w:t>sentencing.</w:t>
      </w:r>
      <w:r>
        <w:rPr>
          <w:color w:val="231F20"/>
          <w:position w:val="7"/>
          <w:sz w:val="11"/>
        </w:rPr>
        <w:t>130</w:t>
      </w:r>
    </w:p>
    <w:p w14:paraId="44525777" w14:textId="77777777" w:rsidR="00894070" w:rsidRDefault="009B7AFD">
      <w:pPr>
        <w:pStyle w:val="ListParagraph"/>
        <w:numPr>
          <w:ilvl w:val="1"/>
          <w:numId w:val="65"/>
        </w:numPr>
        <w:tabs>
          <w:tab w:val="left" w:pos="1801"/>
          <w:tab w:val="left" w:pos="1802"/>
        </w:tabs>
        <w:spacing w:before="93"/>
        <w:rPr>
          <w:sz w:val="20"/>
        </w:rPr>
      </w:pPr>
      <w:r>
        <w:rPr>
          <w:color w:val="231F20"/>
          <w:sz w:val="20"/>
        </w:rPr>
        <w:t xml:space="preserve">A 2008 report </w:t>
      </w:r>
      <w:r>
        <w:rPr>
          <w:color w:val="231F20"/>
          <w:spacing w:val="-3"/>
          <w:sz w:val="20"/>
        </w:rPr>
        <w:t xml:space="preserve">by </w:t>
      </w:r>
      <w:r>
        <w:rPr>
          <w:color w:val="231F20"/>
          <w:sz w:val="20"/>
        </w:rPr>
        <w:t>the Sentencing Advisory Council</w:t>
      </w:r>
      <w:r>
        <w:rPr>
          <w:color w:val="231F20"/>
          <w:spacing w:val="-35"/>
          <w:sz w:val="20"/>
        </w:rPr>
        <w:t xml:space="preserve"> </w:t>
      </w:r>
      <w:r>
        <w:rPr>
          <w:color w:val="231F20"/>
          <w:sz w:val="20"/>
        </w:rPr>
        <w:t>explains:</w:t>
      </w:r>
    </w:p>
    <w:p w14:paraId="25F2498C" w14:textId="77777777" w:rsidR="00894070" w:rsidRDefault="009B7AFD">
      <w:pPr>
        <w:spacing w:before="112" w:line="208" w:lineRule="auto"/>
        <w:ind w:left="2254" w:right="1210"/>
        <w:rPr>
          <w:sz w:val="11"/>
        </w:rPr>
      </w:pPr>
      <w:r>
        <w:rPr>
          <w:color w:val="231F20"/>
          <w:sz w:val="19"/>
        </w:rPr>
        <w:t>It may be that the circumstances in which the offence was committed are sufficient to</w:t>
      </w:r>
      <w:r>
        <w:rPr>
          <w:color w:val="231F20"/>
          <w:spacing w:val="-7"/>
          <w:sz w:val="19"/>
        </w:rPr>
        <w:t xml:space="preserve"> </w:t>
      </w:r>
      <w:r>
        <w:rPr>
          <w:color w:val="231F20"/>
          <w:sz w:val="19"/>
        </w:rPr>
        <w:t>charge</w:t>
      </w:r>
      <w:r>
        <w:rPr>
          <w:color w:val="231F20"/>
          <w:spacing w:val="-6"/>
          <w:sz w:val="19"/>
        </w:rPr>
        <w:t xml:space="preserve"> </w:t>
      </w:r>
      <w:r>
        <w:rPr>
          <w:color w:val="231F20"/>
          <w:sz w:val="19"/>
        </w:rPr>
        <w:t>the</w:t>
      </w:r>
      <w:r>
        <w:rPr>
          <w:color w:val="231F20"/>
          <w:spacing w:val="-6"/>
          <w:sz w:val="19"/>
        </w:rPr>
        <w:t xml:space="preserve"> </w:t>
      </w:r>
      <w:r>
        <w:rPr>
          <w:color w:val="231F20"/>
          <w:sz w:val="19"/>
        </w:rPr>
        <w:t>offender</w:t>
      </w:r>
      <w:r>
        <w:rPr>
          <w:color w:val="231F20"/>
          <w:spacing w:val="-6"/>
          <w:sz w:val="19"/>
        </w:rPr>
        <w:t xml:space="preserve"> </w:t>
      </w:r>
      <w:r>
        <w:rPr>
          <w:color w:val="231F20"/>
          <w:sz w:val="19"/>
        </w:rPr>
        <w:t>with</w:t>
      </w:r>
      <w:r>
        <w:rPr>
          <w:color w:val="231F20"/>
          <w:spacing w:val="-7"/>
          <w:sz w:val="19"/>
        </w:rPr>
        <w:t xml:space="preserve"> </w:t>
      </w:r>
      <w:r>
        <w:rPr>
          <w:color w:val="231F20"/>
          <w:sz w:val="19"/>
        </w:rPr>
        <w:t>a</w:t>
      </w:r>
      <w:r>
        <w:rPr>
          <w:color w:val="231F20"/>
          <w:spacing w:val="-6"/>
          <w:sz w:val="19"/>
        </w:rPr>
        <w:t xml:space="preserve"> </w:t>
      </w:r>
      <w:r>
        <w:rPr>
          <w:color w:val="231F20"/>
          <w:sz w:val="19"/>
        </w:rPr>
        <w:t>further</w:t>
      </w:r>
      <w:r>
        <w:rPr>
          <w:color w:val="231F20"/>
          <w:spacing w:val="-6"/>
          <w:sz w:val="19"/>
        </w:rPr>
        <w:t xml:space="preserve"> </w:t>
      </w:r>
      <w:r>
        <w:rPr>
          <w:color w:val="231F20"/>
          <w:sz w:val="19"/>
        </w:rPr>
        <w:t>substantive</w:t>
      </w:r>
      <w:r>
        <w:rPr>
          <w:color w:val="231F20"/>
          <w:spacing w:val="-6"/>
          <w:sz w:val="19"/>
        </w:rPr>
        <w:t xml:space="preserve"> </w:t>
      </w:r>
      <w:r>
        <w:rPr>
          <w:color w:val="231F20"/>
          <w:sz w:val="19"/>
        </w:rPr>
        <w:t>offence</w:t>
      </w:r>
      <w:r>
        <w:rPr>
          <w:color w:val="231F20"/>
          <w:spacing w:val="-7"/>
          <w:sz w:val="19"/>
        </w:rPr>
        <w:t xml:space="preserve"> </w:t>
      </w:r>
      <w:r>
        <w:rPr>
          <w:color w:val="231F20"/>
          <w:sz w:val="19"/>
        </w:rPr>
        <w:t>(such</w:t>
      </w:r>
      <w:r>
        <w:rPr>
          <w:color w:val="231F20"/>
          <w:spacing w:val="-6"/>
          <w:sz w:val="19"/>
        </w:rPr>
        <w:t xml:space="preserve"> </w:t>
      </w:r>
      <w:r>
        <w:rPr>
          <w:color w:val="231F20"/>
          <w:sz w:val="19"/>
        </w:rPr>
        <w:t>as</w:t>
      </w:r>
      <w:r>
        <w:rPr>
          <w:color w:val="231F20"/>
          <w:spacing w:val="-6"/>
          <w:sz w:val="19"/>
        </w:rPr>
        <w:t xml:space="preserve"> </w:t>
      </w:r>
      <w:r>
        <w:rPr>
          <w:color w:val="231F20"/>
          <w:sz w:val="19"/>
        </w:rPr>
        <w:t>criminal</w:t>
      </w:r>
      <w:r>
        <w:rPr>
          <w:color w:val="231F20"/>
          <w:spacing w:val="-6"/>
          <w:sz w:val="19"/>
        </w:rPr>
        <w:t xml:space="preserve"> </w:t>
      </w:r>
      <w:r>
        <w:rPr>
          <w:color w:val="231F20"/>
          <w:sz w:val="19"/>
        </w:rPr>
        <w:t>damage</w:t>
      </w:r>
      <w:r>
        <w:rPr>
          <w:color w:val="231F20"/>
          <w:spacing w:val="-7"/>
          <w:sz w:val="19"/>
        </w:rPr>
        <w:t xml:space="preserve"> </w:t>
      </w:r>
      <w:r>
        <w:rPr>
          <w:color w:val="231F20"/>
          <w:sz w:val="19"/>
        </w:rPr>
        <w:t>to property, assault or making threats to kill). In these situations, it is arguable that there is no need for an aggravated offence of breach of an intervention order because the relevant behaviour is covered by another criminal</w:t>
      </w:r>
      <w:r>
        <w:rPr>
          <w:color w:val="231F20"/>
          <w:spacing w:val="-19"/>
          <w:sz w:val="19"/>
        </w:rPr>
        <w:t xml:space="preserve"> </w:t>
      </w:r>
      <w:r>
        <w:rPr>
          <w:color w:val="231F20"/>
          <w:sz w:val="19"/>
        </w:rPr>
        <w:t>charge.</w:t>
      </w:r>
      <w:r>
        <w:rPr>
          <w:color w:val="231F20"/>
          <w:position w:val="6"/>
          <w:sz w:val="11"/>
        </w:rPr>
        <w:t>131</w:t>
      </w:r>
    </w:p>
    <w:p w14:paraId="5AFC471D" w14:textId="77777777" w:rsidR="00894070" w:rsidRDefault="009B7AFD">
      <w:pPr>
        <w:pStyle w:val="ListParagraph"/>
        <w:numPr>
          <w:ilvl w:val="1"/>
          <w:numId w:val="65"/>
        </w:numPr>
        <w:tabs>
          <w:tab w:val="left" w:pos="1801"/>
          <w:tab w:val="left" w:pos="1802"/>
        </w:tabs>
        <w:spacing w:before="126" w:line="206" w:lineRule="auto"/>
        <w:ind w:right="1165"/>
        <w:rPr>
          <w:sz w:val="11"/>
        </w:rPr>
      </w:pPr>
      <w:r>
        <w:rPr>
          <w:color w:val="231F20"/>
          <w:spacing w:val="-6"/>
          <w:sz w:val="20"/>
        </w:rPr>
        <w:t xml:space="preserve">We </w:t>
      </w:r>
      <w:r>
        <w:rPr>
          <w:color w:val="231F20"/>
          <w:sz w:val="20"/>
        </w:rPr>
        <w:t xml:space="preserve">agree with these comments. </w:t>
      </w:r>
      <w:r>
        <w:rPr>
          <w:color w:val="231F20"/>
          <w:spacing w:val="-4"/>
          <w:sz w:val="20"/>
        </w:rPr>
        <w:t xml:space="preserve">Further, </w:t>
      </w:r>
      <w:r>
        <w:rPr>
          <w:color w:val="231F20"/>
          <w:sz w:val="20"/>
        </w:rPr>
        <w:t xml:space="preserve">a breach </w:t>
      </w:r>
      <w:r>
        <w:rPr>
          <w:color w:val="231F20"/>
          <w:spacing w:val="-3"/>
          <w:sz w:val="20"/>
        </w:rPr>
        <w:t xml:space="preserve">may </w:t>
      </w:r>
      <w:r>
        <w:rPr>
          <w:color w:val="231F20"/>
          <w:sz w:val="20"/>
        </w:rPr>
        <w:t xml:space="preserve">be relied on to establish the ‘course of conduct’ element in stalking. This means that stalking behaviour can be addressed </w:t>
      </w:r>
      <w:r>
        <w:rPr>
          <w:color w:val="231F20"/>
          <w:spacing w:val="-3"/>
          <w:sz w:val="20"/>
        </w:rPr>
        <w:t xml:space="preserve">through </w:t>
      </w:r>
      <w:r>
        <w:rPr>
          <w:color w:val="231F20"/>
          <w:sz w:val="20"/>
        </w:rPr>
        <w:t xml:space="preserve">both a PSIO and a criminal </w:t>
      </w:r>
      <w:r>
        <w:rPr>
          <w:color w:val="231F20"/>
          <w:spacing w:val="-3"/>
          <w:sz w:val="20"/>
        </w:rPr>
        <w:t xml:space="preserve">offence. </w:t>
      </w:r>
      <w:r>
        <w:rPr>
          <w:color w:val="231F20"/>
          <w:spacing w:val="-4"/>
          <w:sz w:val="20"/>
        </w:rPr>
        <w:t xml:space="preserve">Even </w:t>
      </w:r>
      <w:r>
        <w:rPr>
          <w:color w:val="231F20"/>
          <w:sz w:val="20"/>
        </w:rPr>
        <w:t xml:space="preserve">though the </w:t>
      </w:r>
      <w:r>
        <w:rPr>
          <w:color w:val="231F20"/>
          <w:spacing w:val="-3"/>
          <w:sz w:val="20"/>
        </w:rPr>
        <w:t xml:space="preserve">FVPA </w:t>
      </w:r>
      <w:r>
        <w:rPr>
          <w:color w:val="231F20"/>
          <w:sz w:val="20"/>
        </w:rPr>
        <w:t>contains additional</w:t>
      </w:r>
      <w:r>
        <w:rPr>
          <w:color w:val="231F20"/>
          <w:spacing w:val="-16"/>
          <w:sz w:val="20"/>
        </w:rPr>
        <w:t xml:space="preserve"> </w:t>
      </w:r>
      <w:r>
        <w:rPr>
          <w:color w:val="231F20"/>
          <w:sz w:val="20"/>
        </w:rPr>
        <w:t>breach</w:t>
      </w:r>
      <w:r>
        <w:rPr>
          <w:color w:val="231F20"/>
          <w:spacing w:val="-16"/>
          <w:sz w:val="20"/>
        </w:rPr>
        <w:t xml:space="preserve"> </w:t>
      </w:r>
      <w:r>
        <w:rPr>
          <w:color w:val="231F20"/>
          <w:sz w:val="20"/>
        </w:rPr>
        <w:t>offences,</w:t>
      </w:r>
      <w:r>
        <w:rPr>
          <w:color w:val="231F20"/>
          <w:spacing w:val="-15"/>
          <w:sz w:val="20"/>
        </w:rPr>
        <w:t xml:space="preserve"> </w:t>
      </w:r>
      <w:r>
        <w:rPr>
          <w:color w:val="231F20"/>
          <w:sz w:val="20"/>
        </w:rPr>
        <w:t>in</w:t>
      </w:r>
      <w:r>
        <w:rPr>
          <w:color w:val="231F20"/>
          <w:spacing w:val="-16"/>
          <w:sz w:val="20"/>
        </w:rPr>
        <w:t xml:space="preserve"> </w:t>
      </w:r>
      <w:r>
        <w:rPr>
          <w:color w:val="231F20"/>
          <w:sz w:val="20"/>
        </w:rPr>
        <w:t>contrast,</w:t>
      </w:r>
      <w:r>
        <w:rPr>
          <w:color w:val="231F20"/>
          <w:spacing w:val="-16"/>
          <w:sz w:val="20"/>
        </w:rPr>
        <w:t xml:space="preserve"> </w:t>
      </w:r>
      <w:r>
        <w:rPr>
          <w:color w:val="231F20"/>
          <w:sz w:val="20"/>
        </w:rPr>
        <w:t>there</w:t>
      </w:r>
      <w:r>
        <w:rPr>
          <w:color w:val="231F20"/>
          <w:spacing w:val="-15"/>
          <w:sz w:val="20"/>
        </w:rPr>
        <w:t xml:space="preserve"> </w:t>
      </w:r>
      <w:r>
        <w:rPr>
          <w:color w:val="231F20"/>
          <w:sz w:val="20"/>
        </w:rPr>
        <w:t>is</w:t>
      </w:r>
      <w:r>
        <w:rPr>
          <w:color w:val="231F20"/>
          <w:spacing w:val="-16"/>
          <w:sz w:val="20"/>
        </w:rPr>
        <w:t xml:space="preserve"> </w:t>
      </w:r>
      <w:r>
        <w:rPr>
          <w:color w:val="231F20"/>
          <w:sz w:val="20"/>
        </w:rPr>
        <w:t>no</w:t>
      </w:r>
      <w:r>
        <w:rPr>
          <w:color w:val="231F20"/>
          <w:spacing w:val="-15"/>
          <w:sz w:val="20"/>
        </w:rPr>
        <w:t xml:space="preserve"> </w:t>
      </w:r>
      <w:r>
        <w:rPr>
          <w:color w:val="231F20"/>
          <w:sz w:val="20"/>
        </w:rPr>
        <w:t>equivalent</w:t>
      </w:r>
      <w:r>
        <w:rPr>
          <w:color w:val="231F20"/>
          <w:spacing w:val="-16"/>
          <w:sz w:val="20"/>
        </w:rPr>
        <w:t xml:space="preserve"> </w:t>
      </w:r>
      <w:r>
        <w:rPr>
          <w:color w:val="231F20"/>
          <w:sz w:val="20"/>
        </w:rPr>
        <w:t>‘family</w:t>
      </w:r>
      <w:r>
        <w:rPr>
          <w:color w:val="231F20"/>
          <w:spacing w:val="-16"/>
          <w:sz w:val="20"/>
        </w:rPr>
        <w:t xml:space="preserve"> </w:t>
      </w:r>
      <w:r>
        <w:rPr>
          <w:color w:val="231F20"/>
          <w:sz w:val="20"/>
        </w:rPr>
        <w:t>violence</w:t>
      </w:r>
      <w:r>
        <w:rPr>
          <w:color w:val="231F20"/>
          <w:spacing w:val="-15"/>
          <w:sz w:val="20"/>
        </w:rPr>
        <w:t xml:space="preserve"> </w:t>
      </w:r>
      <w:r>
        <w:rPr>
          <w:color w:val="231F20"/>
          <w:spacing w:val="-3"/>
          <w:sz w:val="20"/>
        </w:rPr>
        <w:t>offence’.</w:t>
      </w:r>
      <w:r>
        <w:rPr>
          <w:color w:val="231F20"/>
          <w:spacing w:val="-3"/>
          <w:position w:val="7"/>
          <w:sz w:val="11"/>
        </w:rPr>
        <w:t>132</w:t>
      </w:r>
    </w:p>
    <w:p w14:paraId="1B4119C6" w14:textId="77777777" w:rsidR="00894070" w:rsidRDefault="009B7AFD">
      <w:pPr>
        <w:pStyle w:val="ListParagraph"/>
        <w:numPr>
          <w:ilvl w:val="1"/>
          <w:numId w:val="65"/>
        </w:numPr>
        <w:tabs>
          <w:tab w:val="left" w:pos="1801"/>
          <w:tab w:val="left" w:pos="1802"/>
        </w:tabs>
        <w:spacing w:before="125" w:line="206" w:lineRule="auto"/>
        <w:ind w:right="1719"/>
        <w:rPr>
          <w:sz w:val="20"/>
        </w:rPr>
      </w:pPr>
      <w:r>
        <w:rPr>
          <w:color w:val="231F20"/>
          <w:sz w:val="20"/>
        </w:rPr>
        <w:t xml:space="preserve">The value and </w:t>
      </w:r>
      <w:r>
        <w:rPr>
          <w:color w:val="231F20"/>
          <w:spacing w:val="-3"/>
          <w:sz w:val="20"/>
        </w:rPr>
        <w:t xml:space="preserve">protection </w:t>
      </w:r>
      <w:r>
        <w:rPr>
          <w:color w:val="231F20"/>
          <w:sz w:val="20"/>
        </w:rPr>
        <w:t xml:space="preserve">of PSIOs </w:t>
      </w:r>
      <w:r>
        <w:rPr>
          <w:color w:val="231F20"/>
          <w:spacing w:val="-3"/>
          <w:sz w:val="20"/>
        </w:rPr>
        <w:t xml:space="preserve">are only </w:t>
      </w:r>
      <w:r>
        <w:rPr>
          <w:color w:val="231F20"/>
          <w:sz w:val="20"/>
        </w:rPr>
        <w:t xml:space="preserve">as good as the effectiveness of the </w:t>
      </w:r>
      <w:r>
        <w:rPr>
          <w:color w:val="231F20"/>
          <w:spacing w:val="-3"/>
          <w:sz w:val="20"/>
        </w:rPr>
        <w:t xml:space="preserve">enforcement </w:t>
      </w:r>
      <w:r>
        <w:rPr>
          <w:color w:val="231F20"/>
          <w:sz w:val="20"/>
        </w:rPr>
        <w:t xml:space="preserve">of breaches. Adding further offences, in circumstances where the </w:t>
      </w:r>
      <w:r>
        <w:rPr>
          <w:color w:val="231F20"/>
          <w:spacing w:val="-3"/>
          <w:sz w:val="20"/>
        </w:rPr>
        <w:t>enforcement</w:t>
      </w:r>
      <w:r>
        <w:rPr>
          <w:color w:val="231F20"/>
          <w:spacing w:val="-10"/>
          <w:sz w:val="20"/>
        </w:rPr>
        <w:t xml:space="preserve"> </w:t>
      </w:r>
      <w:r>
        <w:rPr>
          <w:color w:val="231F20"/>
          <w:sz w:val="20"/>
        </w:rPr>
        <w:t>of</w:t>
      </w:r>
      <w:r>
        <w:rPr>
          <w:color w:val="231F20"/>
          <w:spacing w:val="-10"/>
          <w:sz w:val="20"/>
        </w:rPr>
        <w:t xml:space="preserve"> </w:t>
      </w:r>
      <w:r>
        <w:rPr>
          <w:color w:val="231F20"/>
          <w:sz w:val="20"/>
        </w:rPr>
        <w:t>breaches</w:t>
      </w:r>
      <w:r>
        <w:rPr>
          <w:color w:val="231F20"/>
          <w:spacing w:val="-10"/>
          <w:sz w:val="20"/>
        </w:rPr>
        <w:t xml:space="preserve"> </w:t>
      </w:r>
      <w:r>
        <w:rPr>
          <w:color w:val="231F20"/>
          <w:sz w:val="20"/>
        </w:rPr>
        <w:t>is</w:t>
      </w:r>
      <w:r>
        <w:rPr>
          <w:color w:val="231F20"/>
          <w:spacing w:val="-9"/>
          <w:sz w:val="20"/>
        </w:rPr>
        <w:t xml:space="preserve"> </w:t>
      </w:r>
      <w:r>
        <w:rPr>
          <w:color w:val="231F20"/>
          <w:sz w:val="20"/>
        </w:rPr>
        <w:t>neither</w:t>
      </w:r>
      <w:r>
        <w:rPr>
          <w:color w:val="231F20"/>
          <w:spacing w:val="-10"/>
          <w:sz w:val="20"/>
        </w:rPr>
        <w:t xml:space="preserve"> </w:t>
      </w:r>
      <w:r>
        <w:rPr>
          <w:color w:val="231F20"/>
          <w:sz w:val="20"/>
        </w:rPr>
        <w:t>consistent</w:t>
      </w:r>
      <w:r>
        <w:rPr>
          <w:color w:val="231F20"/>
          <w:spacing w:val="-10"/>
          <w:sz w:val="20"/>
        </w:rPr>
        <w:t xml:space="preserve"> </w:t>
      </w:r>
      <w:r>
        <w:rPr>
          <w:color w:val="231F20"/>
          <w:sz w:val="20"/>
        </w:rPr>
        <w:t>nor</w:t>
      </w:r>
      <w:r>
        <w:rPr>
          <w:color w:val="231F20"/>
          <w:spacing w:val="-9"/>
          <w:sz w:val="20"/>
        </w:rPr>
        <w:t xml:space="preserve"> </w:t>
      </w:r>
      <w:r>
        <w:rPr>
          <w:color w:val="231F20"/>
          <w:sz w:val="20"/>
        </w:rPr>
        <w:t>transparent,</w:t>
      </w:r>
      <w:r>
        <w:rPr>
          <w:color w:val="231F20"/>
          <w:spacing w:val="-10"/>
          <w:sz w:val="20"/>
        </w:rPr>
        <w:t xml:space="preserve"> </w:t>
      </w:r>
      <w:r>
        <w:rPr>
          <w:color w:val="231F20"/>
          <w:sz w:val="20"/>
        </w:rPr>
        <w:t>does</w:t>
      </w:r>
      <w:r>
        <w:rPr>
          <w:color w:val="231F20"/>
          <w:spacing w:val="-10"/>
          <w:sz w:val="20"/>
        </w:rPr>
        <w:t xml:space="preserve"> </w:t>
      </w:r>
      <w:r>
        <w:rPr>
          <w:color w:val="231F20"/>
          <w:sz w:val="20"/>
        </w:rPr>
        <w:t>not</w:t>
      </w:r>
      <w:r>
        <w:rPr>
          <w:color w:val="231F20"/>
          <w:spacing w:val="-9"/>
          <w:sz w:val="20"/>
        </w:rPr>
        <w:t xml:space="preserve"> </w:t>
      </w:r>
      <w:r>
        <w:rPr>
          <w:color w:val="231F20"/>
          <w:spacing w:val="-4"/>
          <w:sz w:val="20"/>
        </w:rPr>
        <w:t>solve</w:t>
      </w:r>
      <w:r>
        <w:rPr>
          <w:color w:val="231F20"/>
          <w:spacing w:val="-10"/>
          <w:sz w:val="20"/>
        </w:rPr>
        <w:t xml:space="preserve"> </w:t>
      </w:r>
      <w:r>
        <w:rPr>
          <w:color w:val="231F20"/>
          <w:sz w:val="20"/>
        </w:rPr>
        <w:t xml:space="preserve">the problem of </w:t>
      </w:r>
      <w:r>
        <w:rPr>
          <w:color w:val="231F20"/>
          <w:spacing w:val="-3"/>
          <w:sz w:val="20"/>
        </w:rPr>
        <w:t>enforcing</w:t>
      </w:r>
      <w:r>
        <w:rPr>
          <w:color w:val="231F20"/>
          <w:spacing w:val="-14"/>
          <w:sz w:val="20"/>
        </w:rPr>
        <w:t xml:space="preserve"> </w:t>
      </w:r>
      <w:r>
        <w:rPr>
          <w:color w:val="231F20"/>
          <w:sz w:val="20"/>
        </w:rPr>
        <w:t>them.</w:t>
      </w:r>
    </w:p>
    <w:p w14:paraId="2B868C89" w14:textId="77777777" w:rsidR="00894070" w:rsidRDefault="009B7AFD">
      <w:pPr>
        <w:pStyle w:val="ListParagraph"/>
        <w:numPr>
          <w:ilvl w:val="1"/>
          <w:numId w:val="65"/>
        </w:numPr>
        <w:tabs>
          <w:tab w:val="left" w:pos="1801"/>
          <w:tab w:val="left" w:pos="1802"/>
        </w:tabs>
        <w:spacing w:before="125" w:line="206" w:lineRule="auto"/>
        <w:ind w:right="1275"/>
        <w:rPr>
          <w:sz w:val="20"/>
        </w:rPr>
      </w:pPr>
      <w:r>
        <w:rPr>
          <w:color w:val="231F20"/>
          <w:sz w:val="20"/>
        </w:rPr>
        <w:t xml:space="preserve">Although </w:t>
      </w:r>
      <w:r>
        <w:rPr>
          <w:color w:val="231F20"/>
          <w:spacing w:val="-3"/>
          <w:sz w:val="20"/>
        </w:rPr>
        <w:t xml:space="preserve">introducing </w:t>
      </w:r>
      <w:r>
        <w:rPr>
          <w:color w:val="231F20"/>
          <w:sz w:val="20"/>
        </w:rPr>
        <w:t xml:space="preserve">new breach offences under the PSIO </w:t>
      </w:r>
      <w:r>
        <w:rPr>
          <w:color w:val="231F20"/>
          <w:spacing w:val="-2"/>
          <w:sz w:val="20"/>
        </w:rPr>
        <w:t xml:space="preserve">Act </w:t>
      </w:r>
      <w:r>
        <w:rPr>
          <w:color w:val="231F20"/>
          <w:sz w:val="20"/>
        </w:rPr>
        <w:t xml:space="preserve">might </w:t>
      </w:r>
      <w:r>
        <w:rPr>
          <w:color w:val="231F20"/>
          <w:spacing w:val="-4"/>
          <w:sz w:val="20"/>
        </w:rPr>
        <w:t xml:space="preserve">have </w:t>
      </w:r>
      <w:r>
        <w:rPr>
          <w:color w:val="231F20"/>
          <w:sz w:val="20"/>
        </w:rPr>
        <w:t>symbolic value</w:t>
      </w:r>
      <w:r>
        <w:rPr>
          <w:color w:val="231F20"/>
          <w:spacing w:val="-12"/>
          <w:sz w:val="20"/>
        </w:rPr>
        <w:t xml:space="preserve"> </w:t>
      </w:r>
      <w:r>
        <w:rPr>
          <w:color w:val="231F20"/>
          <w:spacing w:val="-3"/>
          <w:sz w:val="20"/>
        </w:rPr>
        <w:t>for</w:t>
      </w:r>
      <w:r>
        <w:rPr>
          <w:color w:val="231F20"/>
          <w:spacing w:val="-11"/>
          <w:sz w:val="20"/>
        </w:rPr>
        <w:t xml:space="preserve"> </w:t>
      </w:r>
      <w:r>
        <w:rPr>
          <w:color w:val="231F20"/>
          <w:sz w:val="20"/>
        </w:rPr>
        <w:t>victim</w:t>
      </w:r>
      <w:r>
        <w:rPr>
          <w:color w:val="231F20"/>
          <w:spacing w:val="-11"/>
          <w:sz w:val="20"/>
        </w:rPr>
        <w:t xml:space="preserve"> </w:t>
      </w:r>
      <w:r>
        <w:rPr>
          <w:color w:val="231F20"/>
          <w:sz w:val="20"/>
        </w:rPr>
        <w:t>survivors</w:t>
      </w:r>
      <w:r>
        <w:rPr>
          <w:color w:val="231F20"/>
          <w:spacing w:val="-12"/>
          <w:sz w:val="20"/>
        </w:rPr>
        <w:t xml:space="preserve"> </w:t>
      </w:r>
      <w:r>
        <w:rPr>
          <w:color w:val="231F20"/>
          <w:sz w:val="20"/>
        </w:rPr>
        <w:t>of</w:t>
      </w:r>
      <w:r>
        <w:rPr>
          <w:color w:val="231F20"/>
          <w:spacing w:val="-11"/>
          <w:sz w:val="20"/>
        </w:rPr>
        <w:t xml:space="preserve"> </w:t>
      </w:r>
      <w:r>
        <w:rPr>
          <w:color w:val="231F20"/>
          <w:sz w:val="20"/>
        </w:rPr>
        <w:t>non-family</w:t>
      </w:r>
      <w:r>
        <w:rPr>
          <w:color w:val="231F20"/>
          <w:spacing w:val="-11"/>
          <w:sz w:val="20"/>
        </w:rPr>
        <w:t xml:space="preserve"> </w:t>
      </w:r>
      <w:r>
        <w:rPr>
          <w:color w:val="231F20"/>
          <w:sz w:val="20"/>
        </w:rPr>
        <w:t>violence</w:t>
      </w:r>
      <w:r>
        <w:rPr>
          <w:color w:val="231F20"/>
          <w:spacing w:val="-12"/>
          <w:sz w:val="20"/>
        </w:rPr>
        <w:t xml:space="preserve"> </w:t>
      </w:r>
      <w:r>
        <w:rPr>
          <w:color w:val="231F20"/>
          <w:sz w:val="20"/>
        </w:rPr>
        <w:t>stalking,</w:t>
      </w:r>
      <w:r>
        <w:rPr>
          <w:color w:val="231F20"/>
          <w:spacing w:val="-11"/>
          <w:sz w:val="20"/>
        </w:rPr>
        <w:t xml:space="preserve"> </w:t>
      </w:r>
      <w:r>
        <w:rPr>
          <w:color w:val="231F20"/>
          <w:spacing w:val="-3"/>
          <w:sz w:val="20"/>
        </w:rPr>
        <w:t>we</w:t>
      </w:r>
      <w:r>
        <w:rPr>
          <w:color w:val="231F20"/>
          <w:spacing w:val="-11"/>
          <w:sz w:val="20"/>
        </w:rPr>
        <w:t xml:space="preserve"> </w:t>
      </w:r>
      <w:r>
        <w:rPr>
          <w:color w:val="231F20"/>
          <w:sz w:val="20"/>
        </w:rPr>
        <w:t>conclude</w:t>
      </w:r>
      <w:r>
        <w:rPr>
          <w:color w:val="231F20"/>
          <w:spacing w:val="-12"/>
          <w:sz w:val="20"/>
        </w:rPr>
        <w:t xml:space="preserve"> </w:t>
      </w:r>
      <w:r>
        <w:rPr>
          <w:color w:val="231F20"/>
          <w:sz w:val="20"/>
        </w:rPr>
        <w:t>that</w:t>
      </w:r>
      <w:r>
        <w:rPr>
          <w:color w:val="231F20"/>
          <w:spacing w:val="-11"/>
          <w:sz w:val="20"/>
        </w:rPr>
        <w:t xml:space="preserve"> </w:t>
      </w:r>
      <w:r>
        <w:rPr>
          <w:color w:val="231F20"/>
          <w:sz w:val="20"/>
        </w:rPr>
        <w:t>it</w:t>
      </w:r>
      <w:r>
        <w:rPr>
          <w:color w:val="231F20"/>
          <w:spacing w:val="-11"/>
          <w:sz w:val="20"/>
        </w:rPr>
        <w:t xml:space="preserve"> </w:t>
      </w:r>
      <w:r>
        <w:rPr>
          <w:color w:val="231F20"/>
          <w:spacing w:val="-3"/>
          <w:sz w:val="20"/>
        </w:rPr>
        <w:t>would</w:t>
      </w:r>
      <w:r>
        <w:rPr>
          <w:color w:val="231F20"/>
          <w:spacing w:val="-12"/>
          <w:sz w:val="20"/>
        </w:rPr>
        <w:t xml:space="preserve"> </w:t>
      </w:r>
      <w:r>
        <w:rPr>
          <w:color w:val="231F20"/>
          <w:sz w:val="20"/>
        </w:rPr>
        <w:t>be better</w:t>
      </w:r>
      <w:r>
        <w:rPr>
          <w:color w:val="231F20"/>
          <w:spacing w:val="-6"/>
          <w:sz w:val="20"/>
        </w:rPr>
        <w:t xml:space="preserve"> </w:t>
      </w:r>
      <w:r>
        <w:rPr>
          <w:color w:val="231F20"/>
          <w:sz w:val="20"/>
        </w:rPr>
        <w:t>to</w:t>
      </w:r>
      <w:r>
        <w:rPr>
          <w:color w:val="231F20"/>
          <w:spacing w:val="-5"/>
          <w:sz w:val="20"/>
        </w:rPr>
        <w:t xml:space="preserve"> </w:t>
      </w:r>
      <w:r>
        <w:rPr>
          <w:color w:val="231F20"/>
          <w:spacing w:val="-4"/>
          <w:sz w:val="20"/>
        </w:rPr>
        <w:t>improve</w:t>
      </w:r>
      <w:r>
        <w:rPr>
          <w:color w:val="231F20"/>
          <w:spacing w:val="-6"/>
          <w:sz w:val="20"/>
        </w:rPr>
        <w:t xml:space="preserve"> </w:t>
      </w:r>
      <w:r>
        <w:rPr>
          <w:color w:val="231F20"/>
          <w:sz w:val="20"/>
        </w:rPr>
        <w:t>responses</w:t>
      </w:r>
      <w:r>
        <w:rPr>
          <w:color w:val="231F20"/>
          <w:spacing w:val="-5"/>
          <w:sz w:val="20"/>
        </w:rPr>
        <w:t xml:space="preserve"> </w:t>
      </w:r>
      <w:r>
        <w:rPr>
          <w:color w:val="231F20"/>
          <w:sz w:val="20"/>
        </w:rPr>
        <w:t>to</w:t>
      </w:r>
      <w:r>
        <w:rPr>
          <w:color w:val="231F20"/>
          <w:spacing w:val="-5"/>
          <w:sz w:val="20"/>
        </w:rPr>
        <w:t xml:space="preserve"> </w:t>
      </w:r>
      <w:r>
        <w:rPr>
          <w:color w:val="231F20"/>
          <w:sz w:val="20"/>
        </w:rPr>
        <w:t>and</w:t>
      </w:r>
      <w:r>
        <w:rPr>
          <w:color w:val="231F20"/>
          <w:spacing w:val="-6"/>
          <w:sz w:val="20"/>
        </w:rPr>
        <w:t xml:space="preserve"> </w:t>
      </w:r>
      <w:r>
        <w:rPr>
          <w:color w:val="231F20"/>
          <w:spacing w:val="-3"/>
          <w:sz w:val="20"/>
        </w:rPr>
        <w:t>enforcement</w:t>
      </w:r>
      <w:r>
        <w:rPr>
          <w:color w:val="231F20"/>
          <w:spacing w:val="-5"/>
          <w:sz w:val="20"/>
        </w:rPr>
        <w:t xml:space="preserve"> </w:t>
      </w:r>
      <w:r>
        <w:rPr>
          <w:color w:val="231F20"/>
          <w:sz w:val="20"/>
        </w:rPr>
        <w:t>of</w:t>
      </w:r>
      <w:r>
        <w:rPr>
          <w:color w:val="231F20"/>
          <w:spacing w:val="-5"/>
          <w:sz w:val="20"/>
        </w:rPr>
        <w:t xml:space="preserve"> </w:t>
      </w:r>
      <w:r>
        <w:rPr>
          <w:color w:val="231F20"/>
          <w:sz w:val="20"/>
        </w:rPr>
        <w:t>breaches</w:t>
      </w:r>
      <w:r>
        <w:rPr>
          <w:color w:val="231F20"/>
          <w:spacing w:val="-6"/>
          <w:sz w:val="20"/>
        </w:rPr>
        <w:t xml:space="preserve"> </w:t>
      </w:r>
      <w:r>
        <w:rPr>
          <w:color w:val="231F20"/>
          <w:spacing w:val="-3"/>
          <w:sz w:val="20"/>
        </w:rPr>
        <w:t>by</w:t>
      </w:r>
      <w:r>
        <w:rPr>
          <w:color w:val="231F20"/>
          <w:spacing w:val="-5"/>
          <w:sz w:val="20"/>
        </w:rPr>
        <w:t xml:space="preserve"> </w:t>
      </w:r>
      <w:r>
        <w:rPr>
          <w:color w:val="231F20"/>
          <w:sz w:val="20"/>
        </w:rPr>
        <w:t>police.</w:t>
      </w:r>
    </w:p>
    <w:p w14:paraId="63CA21CF" w14:textId="77777777" w:rsidR="00894070" w:rsidRDefault="00894070">
      <w:pPr>
        <w:pStyle w:val="BodyText"/>
        <w:spacing w:before="7"/>
        <w:rPr>
          <w:sz w:val="16"/>
        </w:rPr>
      </w:pPr>
    </w:p>
    <w:p w14:paraId="5C7FEB52" w14:textId="77777777" w:rsidR="00894070" w:rsidRDefault="009B7AFD">
      <w:pPr>
        <w:pStyle w:val="Heading7"/>
      </w:pPr>
      <w:r>
        <w:rPr>
          <w:color w:val="EA5B50"/>
        </w:rPr>
        <w:t>Improving police responses to PSIO breaches</w:t>
      </w:r>
    </w:p>
    <w:p w14:paraId="3273A2EC" w14:textId="77777777" w:rsidR="00894070" w:rsidRDefault="009B7AFD">
      <w:pPr>
        <w:pStyle w:val="ListParagraph"/>
        <w:numPr>
          <w:ilvl w:val="1"/>
          <w:numId w:val="65"/>
        </w:numPr>
        <w:tabs>
          <w:tab w:val="left" w:pos="1801"/>
          <w:tab w:val="left" w:pos="1802"/>
        </w:tabs>
        <w:spacing w:before="146" w:line="206" w:lineRule="auto"/>
        <w:ind w:right="1294"/>
        <w:rPr>
          <w:sz w:val="20"/>
        </w:rPr>
      </w:pPr>
      <w:r>
        <w:rPr>
          <w:color w:val="231F20"/>
          <w:sz w:val="20"/>
        </w:rPr>
        <w:t>Victim survivors feel frustrated about the police response to PSIO breaches because it</w:t>
      </w:r>
      <w:r>
        <w:rPr>
          <w:color w:val="231F20"/>
          <w:spacing w:val="-8"/>
          <w:sz w:val="20"/>
        </w:rPr>
        <w:t xml:space="preserve"> </w:t>
      </w:r>
      <w:r>
        <w:rPr>
          <w:color w:val="231F20"/>
          <w:sz w:val="20"/>
        </w:rPr>
        <w:t>is</w:t>
      </w:r>
      <w:r>
        <w:rPr>
          <w:color w:val="231F20"/>
          <w:spacing w:val="-7"/>
          <w:sz w:val="20"/>
        </w:rPr>
        <w:t xml:space="preserve"> </w:t>
      </w:r>
      <w:r>
        <w:rPr>
          <w:color w:val="231F20"/>
          <w:sz w:val="20"/>
        </w:rPr>
        <w:t>not</w:t>
      </w:r>
      <w:r>
        <w:rPr>
          <w:color w:val="231F20"/>
          <w:spacing w:val="-7"/>
          <w:sz w:val="20"/>
        </w:rPr>
        <w:t xml:space="preserve"> </w:t>
      </w:r>
      <w:r>
        <w:rPr>
          <w:color w:val="231F20"/>
          <w:sz w:val="20"/>
        </w:rPr>
        <w:t>made</w:t>
      </w:r>
      <w:r>
        <w:rPr>
          <w:color w:val="231F20"/>
          <w:spacing w:val="-7"/>
          <w:sz w:val="20"/>
        </w:rPr>
        <w:t xml:space="preserve"> </w:t>
      </w:r>
      <w:r>
        <w:rPr>
          <w:color w:val="231F20"/>
          <w:sz w:val="20"/>
        </w:rPr>
        <w:t>clear</w:t>
      </w:r>
      <w:r>
        <w:rPr>
          <w:color w:val="231F20"/>
          <w:spacing w:val="-7"/>
          <w:sz w:val="20"/>
        </w:rPr>
        <w:t xml:space="preserve"> </w:t>
      </w:r>
      <w:r>
        <w:rPr>
          <w:color w:val="231F20"/>
          <w:sz w:val="20"/>
        </w:rPr>
        <w:t>to</w:t>
      </w:r>
      <w:r>
        <w:rPr>
          <w:color w:val="231F20"/>
          <w:spacing w:val="-7"/>
          <w:sz w:val="20"/>
        </w:rPr>
        <w:t xml:space="preserve"> </w:t>
      </w:r>
      <w:r>
        <w:rPr>
          <w:color w:val="231F20"/>
          <w:sz w:val="20"/>
        </w:rPr>
        <w:t>them</w:t>
      </w:r>
      <w:r>
        <w:rPr>
          <w:color w:val="231F20"/>
          <w:spacing w:val="-7"/>
          <w:sz w:val="20"/>
        </w:rPr>
        <w:t xml:space="preserve"> </w:t>
      </w:r>
      <w:r>
        <w:rPr>
          <w:color w:val="231F20"/>
          <w:spacing w:val="-3"/>
          <w:sz w:val="20"/>
        </w:rPr>
        <w:t>why</w:t>
      </w:r>
      <w:r>
        <w:rPr>
          <w:color w:val="231F20"/>
          <w:spacing w:val="-7"/>
          <w:sz w:val="20"/>
        </w:rPr>
        <w:t xml:space="preserve"> </w:t>
      </w:r>
      <w:r>
        <w:rPr>
          <w:color w:val="231F20"/>
          <w:sz w:val="20"/>
        </w:rPr>
        <w:t>the</w:t>
      </w:r>
      <w:r>
        <w:rPr>
          <w:color w:val="231F20"/>
          <w:spacing w:val="-7"/>
          <w:sz w:val="20"/>
        </w:rPr>
        <w:t xml:space="preserve"> </w:t>
      </w:r>
      <w:r>
        <w:rPr>
          <w:color w:val="231F20"/>
          <w:sz w:val="20"/>
        </w:rPr>
        <w:t>police</w:t>
      </w:r>
      <w:r>
        <w:rPr>
          <w:color w:val="231F20"/>
          <w:spacing w:val="-7"/>
          <w:sz w:val="20"/>
        </w:rPr>
        <w:t xml:space="preserve"> </w:t>
      </w:r>
      <w:r>
        <w:rPr>
          <w:color w:val="231F20"/>
          <w:sz w:val="20"/>
        </w:rPr>
        <w:t>do</w:t>
      </w:r>
      <w:r>
        <w:rPr>
          <w:color w:val="231F20"/>
          <w:spacing w:val="-7"/>
          <w:sz w:val="20"/>
        </w:rPr>
        <w:t xml:space="preserve"> </w:t>
      </w:r>
      <w:r>
        <w:rPr>
          <w:color w:val="231F20"/>
          <w:sz w:val="20"/>
        </w:rPr>
        <w:t>not</w:t>
      </w:r>
      <w:r>
        <w:rPr>
          <w:color w:val="231F20"/>
          <w:spacing w:val="-7"/>
          <w:sz w:val="20"/>
        </w:rPr>
        <w:t xml:space="preserve"> </w:t>
      </w:r>
      <w:r>
        <w:rPr>
          <w:color w:val="231F20"/>
          <w:sz w:val="20"/>
        </w:rPr>
        <w:t>respond.</w:t>
      </w:r>
      <w:r>
        <w:rPr>
          <w:color w:val="231F20"/>
          <w:spacing w:val="-7"/>
          <w:sz w:val="20"/>
        </w:rPr>
        <w:t xml:space="preserve"> </w:t>
      </w:r>
      <w:r>
        <w:rPr>
          <w:color w:val="231F20"/>
          <w:sz w:val="20"/>
        </w:rPr>
        <w:t>This</w:t>
      </w:r>
      <w:r>
        <w:rPr>
          <w:color w:val="231F20"/>
          <w:spacing w:val="-7"/>
          <w:sz w:val="20"/>
        </w:rPr>
        <w:t xml:space="preserve"> </w:t>
      </w:r>
      <w:r>
        <w:rPr>
          <w:color w:val="231F20"/>
          <w:sz w:val="20"/>
        </w:rPr>
        <w:t>is</w:t>
      </w:r>
      <w:r>
        <w:rPr>
          <w:color w:val="231F20"/>
          <w:spacing w:val="-7"/>
          <w:sz w:val="20"/>
        </w:rPr>
        <w:t xml:space="preserve"> </w:t>
      </w:r>
      <w:r>
        <w:rPr>
          <w:color w:val="231F20"/>
          <w:sz w:val="20"/>
        </w:rPr>
        <w:t>a</w:t>
      </w:r>
      <w:r>
        <w:rPr>
          <w:color w:val="231F20"/>
          <w:spacing w:val="-7"/>
          <w:sz w:val="20"/>
        </w:rPr>
        <w:t xml:space="preserve"> </w:t>
      </w:r>
      <w:r>
        <w:rPr>
          <w:color w:val="231F20"/>
          <w:spacing w:val="-3"/>
          <w:sz w:val="20"/>
        </w:rPr>
        <w:t>problem</w:t>
      </w:r>
      <w:r>
        <w:rPr>
          <w:color w:val="231F20"/>
          <w:spacing w:val="-7"/>
          <w:sz w:val="20"/>
        </w:rPr>
        <w:t xml:space="preserve"> </w:t>
      </w:r>
      <w:r>
        <w:rPr>
          <w:color w:val="231F20"/>
          <w:sz w:val="20"/>
        </w:rPr>
        <w:t>with</w:t>
      </w:r>
      <w:r>
        <w:rPr>
          <w:color w:val="231F20"/>
          <w:spacing w:val="-7"/>
          <w:sz w:val="20"/>
        </w:rPr>
        <w:t xml:space="preserve"> </w:t>
      </w:r>
      <w:r>
        <w:rPr>
          <w:color w:val="231F20"/>
          <w:spacing w:val="-3"/>
          <w:sz w:val="20"/>
        </w:rPr>
        <w:t xml:space="preserve">how </w:t>
      </w:r>
      <w:r>
        <w:rPr>
          <w:color w:val="231F20"/>
          <w:sz w:val="20"/>
        </w:rPr>
        <w:t xml:space="preserve">police respond, not a </w:t>
      </w:r>
      <w:r>
        <w:rPr>
          <w:color w:val="231F20"/>
          <w:spacing w:val="-3"/>
          <w:sz w:val="20"/>
        </w:rPr>
        <w:t xml:space="preserve">problem </w:t>
      </w:r>
      <w:r>
        <w:rPr>
          <w:color w:val="231F20"/>
          <w:sz w:val="20"/>
        </w:rPr>
        <w:t>with the</w:t>
      </w:r>
      <w:r>
        <w:rPr>
          <w:color w:val="231F20"/>
          <w:spacing w:val="-28"/>
          <w:sz w:val="20"/>
        </w:rPr>
        <w:t xml:space="preserve"> </w:t>
      </w:r>
      <w:r>
        <w:rPr>
          <w:color w:val="231F20"/>
          <w:spacing w:val="-5"/>
          <w:sz w:val="20"/>
        </w:rPr>
        <w:t>law.</w:t>
      </w:r>
    </w:p>
    <w:p w14:paraId="193E146C" w14:textId="77777777" w:rsidR="00894070" w:rsidRDefault="009B7AFD">
      <w:pPr>
        <w:pStyle w:val="ListParagraph"/>
        <w:numPr>
          <w:ilvl w:val="1"/>
          <w:numId w:val="65"/>
        </w:numPr>
        <w:tabs>
          <w:tab w:val="left" w:pos="1801"/>
          <w:tab w:val="left" w:pos="1802"/>
        </w:tabs>
        <w:spacing w:before="124" w:line="206" w:lineRule="auto"/>
        <w:ind w:right="1301"/>
        <w:rPr>
          <w:sz w:val="20"/>
        </w:rPr>
      </w:pPr>
      <w:r>
        <w:rPr>
          <w:color w:val="231F20"/>
          <w:spacing w:val="-3"/>
          <w:sz w:val="20"/>
        </w:rPr>
        <w:t>Multiple</w:t>
      </w:r>
      <w:r>
        <w:rPr>
          <w:color w:val="231F20"/>
          <w:spacing w:val="-8"/>
          <w:sz w:val="20"/>
        </w:rPr>
        <w:t xml:space="preserve"> </w:t>
      </w:r>
      <w:r>
        <w:rPr>
          <w:color w:val="231F20"/>
          <w:sz w:val="20"/>
        </w:rPr>
        <w:t>victim</w:t>
      </w:r>
      <w:r>
        <w:rPr>
          <w:color w:val="231F20"/>
          <w:spacing w:val="-7"/>
          <w:sz w:val="20"/>
        </w:rPr>
        <w:t xml:space="preserve"> </w:t>
      </w:r>
      <w:r>
        <w:rPr>
          <w:color w:val="231F20"/>
          <w:sz w:val="20"/>
        </w:rPr>
        <w:t>survivors</w:t>
      </w:r>
      <w:r>
        <w:rPr>
          <w:color w:val="231F20"/>
          <w:spacing w:val="-8"/>
          <w:sz w:val="20"/>
        </w:rPr>
        <w:t xml:space="preserve"> </w:t>
      </w:r>
      <w:r>
        <w:rPr>
          <w:color w:val="231F20"/>
          <w:spacing w:val="-3"/>
          <w:sz w:val="20"/>
        </w:rPr>
        <w:t>told</w:t>
      </w:r>
      <w:r>
        <w:rPr>
          <w:color w:val="231F20"/>
          <w:spacing w:val="-7"/>
          <w:sz w:val="20"/>
        </w:rPr>
        <w:t xml:space="preserve"> </w:t>
      </w:r>
      <w:r>
        <w:rPr>
          <w:color w:val="231F20"/>
          <w:sz w:val="20"/>
        </w:rPr>
        <w:t>us</w:t>
      </w:r>
      <w:r>
        <w:rPr>
          <w:color w:val="231F20"/>
          <w:spacing w:val="-8"/>
          <w:sz w:val="20"/>
        </w:rPr>
        <w:t xml:space="preserve"> </w:t>
      </w:r>
      <w:r>
        <w:rPr>
          <w:color w:val="231F20"/>
          <w:sz w:val="20"/>
        </w:rPr>
        <w:t>about</w:t>
      </w:r>
      <w:r>
        <w:rPr>
          <w:color w:val="231F20"/>
          <w:spacing w:val="-7"/>
          <w:sz w:val="20"/>
        </w:rPr>
        <w:t xml:space="preserve"> </w:t>
      </w:r>
      <w:r>
        <w:rPr>
          <w:color w:val="231F20"/>
          <w:sz w:val="20"/>
        </w:rPr>
        <w:t>the</w:t>
      </w:r>
      <w:r>
        <w:rPr>
          <w:color w:val="231F20"/>
          <w:spacing w:val="-8"/>
          <w:sz w:val="20"/>
        </w:rPr>
        <w:t xml:space="preserve"> </w:t>
      </w:r>
      <w:r>
        <w:rPr>
          <w:color w:val="231F20"/>
          <w:sz w:val="20"/>
        </w:rPr>
        <w:t>poor</w:t>
      </w:r>
      <w:r>
        <w:rPr>
          <w:color w:val="231F20"/>
          <w:spacing w:val="-7"/>
          <w:sz w:val="20"/>
        </w:rPr>
        <w:t xml:space="preserve"> </w:t>
      </w:r>
      <w:r>
        <w:rPr>
          <w:color w:val="231F20"/>
          <w:spacing w:val="-3"/>
          <w:sz w:val="20"/>
        </w:rPr>
        <w:t>enforcement</w:t>
      </w:r>
      <w:r>
        <w:rPr>
          <w:color w:val="231F20"/>
          <w:spacing w:val="-8"/>
          <w:sz w:val="20"/>
        </w:rPr>
        <w:t xml:space="preserve"> </w:t>
      </w:r>
      <w:r>
        <w:rPr>
          <w:color w:val="231F20"/>
          <w:sz w:val="20"/>
        </w:rPr>
        <w:t>of</w:t>
      </w:r>
      <w:r>
        <w:rPr>
          <w:color w:val="231F20"/>
          <w:spacing w:val="-7"/>
          <w:sz w:val="20"/>
        </w:rPr>
        <w:t xml:space="preserve"> </w:t>
      </w:r>
      <w:r>
        <w:rPr>
          <w:color w:val="231F20"/>
          <w:sz w:val="20"/>
        </w:rPr>
        <w:t>breaches</w:t>
      </w:r>
      <w:r>
        <w:rPr>
          <w:color w:val="231F20"/>
          <w:spacing w:val="-8"/>
          <w:sz w:val="20"/>
        </w:rPr>
        <w:t xml:space="preserve"> </w:t>
      </w:r>
      <w:r>
        <w:rPr>
          <w:color w:val="231F20"/>
          <w:spacing w:val="-3"/>
          <w:sz w:val="20"/>
        </w:rPr>
        <w:t>by</w:t>
      </w:r>
      <w:r>
        <w:rPr>
          <w:color w:val="231F20"/>
          <w:spacing w:val="-7"/>
          <w:sz w:val="20"/>
        </w:rPr>
        <w:t xml:space="preserve"> </w:t>
      </w:r>
      <w:r>
        <w:rPr>
          <w:color w:val="231F20"/>
          <w:sz w:val="20"/>
        </w:rPr>
        <w:t>police,</w:t>
      </w:r>
      <w:r>
        <w:rPr>
          <w:color w:val="231F20"/>
          <w:spacing w:val="-8"/>
          <w:sz w:val="20"/>
        </w:rPr>
        <w:t xml:space="preserve"> </w:t>
      </w:r>
      <w:r>
        <w:rPr>
          <w:color w:val="231F20"/>
          <w:sz w:val="20"/>
        </w:rPr>
        <w:t xml:space="preserve">as </w:t>
      </w:r>
      <w:r>
        <w:rPr>
          <w:color w:val="231F20"/>
          <w:spacing w:val="-3"/>
          <w:sz w:val="20"/>
        </w:rPr>
        <w:t>well</w:t>
      </w:r>
      <w:r>
        <w:rPr>
          <w:color w:val="231F20"/>
          <w:spacing w:val="-8"/>
          <w:sz w:val="20"/>
        </w:rPr>
        <w:t xml:space="preserve"> </w:t>
      </w:r>
      <w:r>
        <w:rPr>
          <w:color w:val="231F20"/>
          <w:sz w:val="20"/>
        </w:rPr>
        <w:t>as</w:t>
      </w:r>
      <w:r>
        <w:rPr>
          <w:color w:val="231F20"/>
          <w:spacing w:val="-7"/>
          <w:sz w:val="20"/>
        </w:rPr>
        <w:t xml:space="preserve"> </w:t>
      </w:r>
      <w:r>
        <w:rPr>
          <w:color w:val="231F20"/>
          <w:sz w:val="20"/>
        </w:rPr>
        <w:t>poor</w:t>
      </w:r>
      <w:r>
        <w:rPr>
          <w:color w:val="231F20"/>
          <w:spacing w:val="-7"/>
          <w:sz w:val="20"/>
        </w:rPr>
        <w:t xml:space="preserve"> </w:t>
      </w:r>
      <w:r>
        <w:rPr>
          <w:color w:val="231F20"/>
          <w:sz w:val="20"/>
        </w:rPr>
        <w:t>explanations</w:t>
      </w:r>
      <w:r>
        <w:rPr>
          <w:color w:val="231F20"/>
          <w:spacing w:val="-7"/>
          <w:sz w:val="20"/>
        </w:rPr>
        <w:t xml:space="preserve"> </w:t>
      </w:r>
      <w:r>
        <w:rPr>
          <w:color w:val="231F20"/>
          <w:sz w:val="20"/>
        </w:rPr>
        <w:t>about</w:t>
      </w:r>
      <w:r>
        <w:rPr>
          <w:color w:val="231F20"/>
          <w:spacing w:val="-7"/>
          <w:sz w:val="20"/>
        </w:rPr>
        <w:t xml:space="preserve"> </w:t>
      </w:r>
      <w:r>
        <w:rPr>
          <w:color w:val="231F20"/>
          <w:spacing w:val="-3"/>
          <w:sz w:val="20"/>
        </w:rPr>
        <w:t>why</w:t>
      </w:r>
      <w:r>
        <w:rPr>
          <w:color w:val="231F20"/>
          <w:spacing w:val="-7"/>
          <w:sz w:val="20"/>
        </w:rPr>
        <w:t xml:space="preserve"> </w:t>
      </w:r>
      <w:r>
        <w:rPr>
          <w:color w:val="231F20"/>
          <w:sz w:val="20"/>
        </w:rPr>
        <w:t>reported</w:t>
      </w:r>
      <w:r>
        <w:rPr>
          <w:color w:val="231F20"/>
          <w:spacing w:val="-7"/>
          <w:sz w:val="20"/>
        </w:rPr>
        <w:t xml:space="preserve"> </w:t>
      </w:r>
      <w:r>
        <w:rPr>
          <w:color w:val="231F20"/>
          <w:sz w:val="20"/>
        </w:rPr>
        <w:t>breaches</w:t>
      </w:r>
      <w:r>
        <w:rPr>
          <w:color w:val="231F20"/>
          <w:spacing w:val="-7"/>
          <w:sz w:val="20"/>
        </w:rPr>
        <w:t xml:space="preserve"> </w:t>
      </w:r>
      <w:r>
        <w:rPr>
          <w:color w:val="231F20"/>
          <w:spacing w:val="-4"/>
          <w:sz w:val="20"/>
        </w:rPr>
        <w:t>were</w:t>
      </w:r>
      <w:r>
        <w:rPr>
          <w:color w:val="231F20"/>
          <w:spacing w:val="-8"/>
          <w:sz w:val="20"/>
        </w:rPr>
        <w:t xml:space="preserve"> </w:t>
      </w:r>
      <w:r>
        <w:rPr>
          <w:color w:val="231F20"/>
          <w:sz w:val="20"/>
        </w:rPr>
        <w:t>not</w:t>
      </w:r>
      <w:r>
        <w:rPr>
          <w:color w:val="231F20"/>
          <w:spacing w:val="-7"/>
          <w:sz w:val="20"/>
        </w:rPr>
        <w:t xml:space="preserve"> </w:t>
      </w:r>
      <w:r>
        <w:rPr>
          <w:color w:val="231F20"/>
          <w:spacing w:val="-3"/>
          <w:sz w:val="20"/>
        </w:rPr>
        <w:t>enforced</w:t>
      </w:r>
      <w:r>
        <w:rPr>
          <w:color w:val="231F20"/>
          <w:spacing w:val="-7"/>
          <w:sz w:val="20"/>
        </w:rPr>
        <w:t xml:space="preserve"> </w:t>
      </w:r>
      <w:r>
        <w:rPr>
          <w:color w:val="231F20"/>
          <w:sz w:val="20"/>
        </w:rPr>
        <w:t>(see</w:t>
      </w:r>
      <w:r>
        <w:rPr>
          <w:color w:val="231F20"/>
          <w:spacing w:val="-7"/>
          <w:sz w:val="20"/>
        </w:rPr>
        <w:t xml:space="preserve"> </w:t>
      </w:r>
      <w:r>
        <w:rPr>
          <w:color w:val="231F20"/>
          <w:spacing w:val="-3"/>
          <w:sz w:val="20"/>
        </w:rPr>
        <w:t>box).</w:t>
      </w:r>
    </w:p>
    <w:p w14:paraId="7DA24128" w14:textId="77777777" w:rsidR="00894070" w:rsidRDefault="00894070">
      <w:pPr>
        <w:pStyle w:val="BodyText"/>
      </w:pPr>
    </w:p>
    <w:p w14:paraId="54AA9823" w14:textId="77777777" w:rsidR="00894070" w:rsidRDefault="00894070">
      <w:pPr>
        <w:pStyle w:val="BodyText"/>
      </w:pPr>
    </w:p>
    <w:p w14:paraId="2F9B5341" w14:textId="77777777" w:rsidR="00894070" w:rsidRDefault="00894070">
      <w:pPr>
        <w:pStyle w:val="BodyText"/>
      </w:pPr>
    </w:p>
    <w:p w14:paraId="74D5A499" w14:textId="77777777" w:rsidR="00894070" w:rsidRDefault="00894070">
      <w:pPr>
        <w:pStyle w:val="BodyText"/>
      </w:pPr>
    </w:p>
    <w:p w14:paraId="4318866E" w14:textId="77777777" w:rsidR="00894070" w:rsidRDefault="00894070">
      <w:pPr>
        <w:pStyle w:val="BodyText"/>
      </w:pPr>
    </w:p>
    <w:p w14:paraId="1EEA05C0" w14:textId="77777777" w:rsidR="00894070" w:rsidRDefault="00894070">
      <w:pPr>
        <w:pStyle w:val="BodyText"/>
      </w:pPr>
    </w:p>
    <w:p w14:paraId="12EB5DC9" w14:textId="77777777" w:rsidR="00894070" w:rsidRDefault="00894070">
      <w:pPr>
        <w:pStyle w:val="BodyText"/>
      </w:pPr>
    </w:p>
    <w:p w14:paraId="6A79A2FC" w14:textId="77777777" w:rsidR="00894070" w:rsidRDefault="00894070">
      <w:pPr>
        <w:pStyle w:val="BodyText"/>
      </w:pPr>
    </w:p>
    <w:p w14:paraId="576E9BE0" w14:textId="77777777" w:rsidR="00894070" w:rsidRDefault="00894070">
      <w:pPr>
        <w:pStyle w:val="BodyText"/>
      </w:pPr>
    </w:p>
    <w:p w14:paraId="495EC3A8" w14:textId="77777777" w:rsidR="00894070" w:rsidRDefault="00894070">
      <w:pPr>
        <w:pStyle w:val="BodyText"/>
      </w:pPr>
    </w:p>
    <w:p w14:paraId="5384D15B" w14:textId="77777777" w:rsidR="00894070" w:rsidRDefault="00894070">
      <w:pPr>
        <w:pStyle w:val="BodyText"/>
      </w:pPr>
    </w:p>
    <w:p w14:paraId="29607B48" w14:textId="77777777" w:rsidR="00894070" w:rsidRDefault="00894070">
      <w:pPr>
        <w:pStyle w:val="BodyText"/>
      </w:pPr>
    </w:p>
    <w:p w14:paraId="75665038" w14:textId="77777777" w:rsidR="00894070" w:rsidRDefault="00894070">
      <w:pPr>
        <w:pStyle w:val="BodyText"/>
      </w:pPr>
    </w:p>
    <w:p w14:paraId="71207717" w14:textId="77777777" w:rsidR="00894070" w:rsidRDefault="00894070">
      <w:pPr>
        <w:pStyle w:val="BodyText"/>
      </w:pPr>
    </w:p>
    <w:p w14:paraId="0585AC37" w14:textId="77777777" w:rsidR="00894070" w:rsidRDefault="00894070">
      <w:pPr>
        <w:pStyle w:val="BodyText"/>
      </w:pPr>
    </w:p>
    <w:p w14:paraId="742C5B05" w14:textId="77777777" w:rsidR="00894070" w:rsidRDefault="009F6793">
      <w:pPr>
        <w:pStyle w:val="BodyText"/>
        <w:spacing w:before="3"/>
        <w:rPr>
          <w:sz w:val="24"/>
        </w:rPr>
      </w:pPr>
      <w:r>
        <w:pict w14:anchorId="6BE6582B">
          <v:line id="_x0000_s1185" style="position:absolute;z-index:251742208;mso-wrap-distance-left:0;mso-wrap-distance-right:0;mso-position-horizontal-relative:page" from="79.35pt,19.25pt" to="515.9pt,19.25pt" strokecolor="#f8cabc" strokeweight="1pt">
            <w10:wrap type="topAndBottom" anchorx="page"/>
          </v:line>
        </w:pict>
      </w:r>
    </w:p>
    <w:p w14:paraId="64ACD2FD" w14:textId="77777777" w:rsidR="00894070" w:rsidRDefault="00894070">
      <w:pPr>
        <w:pStyle w:val="BodyText"/>
        <w:rPr>
          <w:sz w:val="5"/>
        </w:rPr>
      </w:pPr>
    </w:p>
    <w:p w14:paraId="55271DA2" w14:textId="77777777" w:rsidR="00894070" w:rsidRDefault="00894070">
      <w:pPr>
        <w:rPr>
          <w:sz w:val="5"/>
        </w:rPr>
        <w:sectPr w:rsidR="00894070">
          <w:pgSz w:w="11910" w:h="16840"/>
          <w:pgMar w:top="840" w:right="420" w:bottom="280" w:left="580" w:header="0" w:footer="0" w:gutter="0"/>
          <w:cols w:space="720"/>
        </w:sectPr>
      </w:pPr>
    </w:p>
    <w:p w14:paraId="58A8B501" w14:textId="77777777" w:rsidR="00894070" w:rsidRDefault="009B7AFD">
      <w:pPr>
        <w:tabs>
          <w:tab w:val="left" w:pos="1800"/>
        </w:tabs>
        <w:spacing w:before="21" w:line="170" w:lineRule="exact"/>
        <w:ind w:left="1007"/>
        <w:rPr>
          <w:sz w:val="13"/>
        </w:rPr>
      </w:pPr>
      <w:r>
        <w:rPr>
          <w:color w:val="231F20"/>
          <w:sz w:val="13"/>
        </w:rPr>
        <w:t>130</w:t>
      </w:r>
      <w:r>
        <w:rPr>
          <w:color w:val="231F20"/>
          <w:sz w:val="13"/>
        </w:rPr>
        <w:tab/>
        <w:t xml:space="preserve">Andrea David et </w:t>
      </w:r>
      <w:r>
        <w:rPr>
          <w:color w:val="231F20"/>
          <w:spacing w:val="2"/>
          <w:sz w:val="13"/>
        </w:rPr>
        <w:t xml:space="preserve">al, </w:t>
      </w:r>
      <w:r>
        <w:rPr>
          <w:i/>
          <w:color w:val="231F20"/>
          <w:sz w:val="13"/>
        </w:rPr>
        <w:t xml:space="preserve">Breaching Intervention Orders </w:t>
      </w:r>
      <w:r>
        <w:rPr>
          <w:color w:val="231F20"/>
          <w:spacing w:val="2"/>
          <w:sz w:val="13"/>
        </w:rPr>
        <w:t xml:space="preserve">(Report, </w:t>
      </w:r>
      <w:r>
        <w:rPr>
          <w:color w:val="231F20"/>
          <w:sz w:val="13"/>
        </w:rPr>
        <w:t xml:space="preserve">Sentencing Advisory </w:t>
      </w:r>
      <w:r>
        <w:rPr>
          <w:color w:val="231F20"/>
          <w:spacing w:val="2"/>
          <w:sz w:val="13"/>
        </w:rPr>
        <w:t xml:space="preserve">Council, </w:t>
      </w:r>
      <w:r>
        <w:rPr>
          <w:color w:val="231F20"/>
          <w:sz w:val="13"/>
        </w:rPr>
        <w:t>2008)</w:t>
      </w:r>
      <w:r>
        <w:rPr>
          <w:color w:val="231F20"/>
          <w:spacing w:val="14"/>
          <w:sz w:val="13"/>
        </w:rPr>
        <w:t xml:space="preserve"> </w:t>
      </w:r>
      <w:r>
        <w:rPr>
          <w:color w:val="231F20"/>
          <w:spacing w:val="2"/>
          <w:sz w:val="13"/>
        </w:rPr>
        <w:t>[5.2.19].</w:t>
      </w:r>
    </w:p>
    <w:p w14:paraId="5B34C971" w14:textId="77777777" w:rsidR="00894070" w:rsidRDefault="009B7AFD">
      <w:pPr>
        <w:tabs>
          <w:tab w:val="left" w:pos="1800"/>
        </w:tabs>
        <w:spacing w:line="160" w:lineRule="exact"/>
        <w:ind w:left="1007"/>
        <w:rPr>
          <w:sz w:val="13"/>
        </w:rPr>
      </w:pPr>
      <w:r>
        <w:rPr>
          <w:color w:val="231F20"/>
          <w:sz w:val="13"/>
        </w:rPr>
        <w:t>131</w:t>
      </w:r>
      <w:r>
        <w:rPr>
          <w:color w:val="231F20"/>
          <w:sz w:val="13"/>
        </w:rPr>
        <w:tab/>
        <w:t xml:space="preserve">Ibid </w:t>
      </w:r>
      <w:r>
        <w:rPr>
          <w:color w:val="231F20"/>
          <w:spacing w:val="2"/>
          <w:sz w:val="13"/>
        </w:rPr>
        <w:t>[5.2.14].</w:t>
      </w:r>
    </w:p>
    <w:p w14:paraId="1320EB57" w14:textId="77777777" w:rsidR="00894070" w:rsidRDefault="009B7AFD">
      <w:pPr>
        <w:tabs>
          <w:tab w:val="left" w:pos="1801"/>
        </w:tabs>
        <w:spacing w:line="160" w:lineRule="exact"/>
        <w:ind w:left="1007"/>
        <w:rPr>
          <w:i/>
          <w:sz w:val="13"/>
        </w:rPr>
      </w:pPr>
      <w:r>
        <w:rPr>
          <w:color w:val="231F20"/>
          <w:sz w:val="13"/>
        </w:rPr>
        <w:t>132</w:t>
      </w:r>
      <w:r>
        <w:rPr>
          <w:color w:val="231F20"/>
          <w:sz w:val="13"/>
        </w:rPr>
        <w:tab/>
        <w:t>See</w:t>
      </w:r>
      <w:r>
        <w:rPr>
          <w:color w:val="231F20"/>
          <w:spacing w:val="6"/>
          <w:sz w:val="13"/>
        </w:rPr>
        <w:t xml:space="preserve"> </w:t>
      </w:r>
      <w:r>
        <w:rPr>
          <w:color w:val="231F20"/>
          <w:sz w:val="13"/>
        </w:rPr>
        <w:t>generally</w:t>
      </w:r>
      <w:r>
        <w:rPr>
          <w:color w:val="231F20"/>
          <w:spacing w:val="7"/>
          <w:sz w:val="13"/>
        </w:rPr>
        <w:t xml:space="preserve"> </w:t>
      </w:r>
      <w:r>
        <w:rPr>
          <w:color w:val="231F20"/>
          <w:sz w:val="13"/>
        </w:rPr>
        <w:t>Heather</w:t>
      </w:r>
      <w:r>
        <w:rPr>
          <w:color w:val="231F20"/>
          <w:spacing w:val="6"/>
          <w:sz w:val="13"/>
        </w:rPr>
        <w:t xml:space="preserve"> </w:t>
      </w:r>
      <w:r>
        <w:rPr>
          <w:color w:val="231F20"/>
          <w:spacing w:val="2"/>
          <w:sz w:val="13"/>
        </w:rPr>
        <w:t>Douglas,</w:t>
      </w:r>
      <w:r>
        <w:rPr>
          <w:color w:val="231F20"/>
          <w:spacing w:val="7"/>
          <w:sz w:val="13"/>
        </w:rPr>
        <w:t xml:space="preserve"> </w:t>
      </w:r>
      <w:r>
        <w:rPr>
          <w:color w:val="231F20"/>
          <w:spacing w:val="2"/>
          <w:sz w:val="13"/>
        </w:rPr>
        <w:t>‘Do</w:t>
      </w:r>
      <w:r>
        <w:rPr>
          <w:color w:val="231F20"/>
          <w:spacing w:val="7"/>
          <w:sz w:val="13"/>
        </w:rPr>
        <w:t xml:space="preserve"> </w:t>
      </w:r>
      <w:r>
        <w:rPr>
          <w:color w:val="231F20"/>
          <w:sz w:val="13"/>
        </w:rPr>
        <w:t>We</w:t>
      </w:r>
      <w:r>
        <w:rPr>
          <w:color w:val="231F20"/>
          <w:spacing w:val="6"/>
          <w:sz w:val="13"/>
        </w:rPr>
        <w:t xml:space="preserve"> </w:t>
      </w:r>
      <w:r>
        <w:rPr>
          <w:color w:val="231F20"/>
          <w:spacing w:val="2"/>
          <w:sz w:val="13"/>
        </w:rPr>
        <w:t>Need</w:t>
      </w:r>
      <w:r>
        <w:rPr>
          <w:color w:val="231F20"/>
          <w:spacing w:val="7"/>
          <w:sz w:val="13"/>
        </w:rPr>
        <w:t xml:space="preserve"> </w:t>
      </w:r>
      <w:r>
        <w:rPr>
          <w:color w:val="231F20"/>
          <w:sz w:val="13"/>
        </w:rPr>
        <w:t>a</w:t>
      </w:r>
      <w:r>
        <w:rPr>
          <w:color w:val="231F20"/>
          <w:spacing w:val="7"/>
          <w:sz w:val="13"/>
        </w:rPr>
        <w:t xml:space="preserve"> </w:t>
      </w:r>
      <w:r>
        <w:rPr>
          <w:color w:val="231F20"/>
          <w:sz w:val="13"/>
        </w:rPr>
        <w:t>Specific</w:t>
      </w:r>
      <w:r>
        <w:rPr>
          <w:color w:val="231F20"/>
          <w:spacing w:val="6"/>
          <w:sz w:val="13"/>
        </w:rPr>
        <w:t xml:space="preserve"> </w:t>
      </w:r>
      <w:r>
        <w:rPr>
          <w:color w:val="231F20"/>
          <w:spacing w:val="2"/>
          <w:sz w:val="13"/>
        </w:rPr>
        <w:t>Domestic</w:t>
      </w:r>
      <w:r>
        <w:rPr>
          <w:color w:val="231F20"/>
          <w:spacing w:val="7"/>
          <w:sz w:val="13"/>
        </w:rPr>
        <w:t xml:space="preserve"> </w:t>
      </w:r>
      <w:r>
        <w:rPr>
          <w:color w:val="231F20"/>
          <w:sz w:val="13"/>
        </w:rPr>
        <w:t>Violence</w:t>
      </w:r>
      <w:r>
        <w:rPr>
          <w:color w:val="231F20"/>
          <w:spacing w:val="7"/>
          <w:sz w:val="13"/>
        </w:rPr>
        <w:t xml:space="preserve"> </w:t>
      </w:r>
      <w:r>
        <w:rPr>
          <w:color w:val="231F20"/>
          <w:sz w:val="13"/>
        </w:rPr>
        <w:t>Offence?’</w:t>
      </w:r>
      <w:r>
        <w:rPr>
          <w:color w:val="231F20"/>
          <w:spacing w:val="6"/>
          <w:sz w:val="13"/>
        </w:rPr>
        <w:t xml:space="preserve"> </w:t>
      </w:r>
      <w:r>
        <w:rPr>
          <w:color w:val="231F20"/>
          <w:sz w:val="13"/>
        </w:rPr>
        <w:t>(2015)</w:t>
      </w:r>
      <w:r>
        <w:rPr>
          <w:color w:val="231F20"/>
          <w:spacing w:val="7"/>
          <w:sz w:val="13"/>
        </w:rPr>
        <w:t xml:space="preserve"> </w:t>
      </w:r>
      <w:r>
        <w:rPr>
          <w:color w:val="231F20"/>
          <w:sz w:val="13"/>
        </w:rPr>
        <w:t>39</w:t>
      </w:r>
      <w:r>
        <w:rPr>
          <w:color w:val="231F20"/>
          <w:spacing w:val="5"/>
          <w:sz w:val="13"/>
        </w:rPr>
        <w:t xml:space="preserve"> </w:t>
      </w:r>
      <w:r>
        <w:rPr>
          <w:i/>
          <w:color w:val="231F20"/>
          <w:sz w:val="13"/>
        </w:rPr>
        <w:t>Melbourne</w:t>
      </w:r>
      <w:r>
        <w:rPr>
          <w:i/>
          <w:color w:val="231F20"/>
          <w:spacing w:val="7"/>
          <w:sz w:val="13"/>
        </w:rPr>
        <w:t xml:space="preserve"> </w:t>
      </w:r>
      <w:r>
        <w:rPr>
          <w:i/>
          <w:color w:val="231F20"/>
          <w:sz w:val="13"/>
        </w:rPr>
        <w:t>University</w:t>
      </w:r>
      <w:r>
        <w:rPr>
          <w:i/>
          <w:color w:val="231F20"/>
          <w:spacing w:val="6"/>
          <w:sz w:val="13"/>
        </w:rPr>
        <w:t xml:space="preserve"> </w:t>
      </w:r>
      <w:r>
        <w:rPr>
          <w:i/>
          <w:color w:val="231F20"/>
          <w:sz w:val="13"/>
        </w:rPr>
        <w:t>Law</w:t>
      </w:r>
      <w:r>
        <w:rPr>
          <w:i/>
          <w:color w:val="231F20"/>
          <w:spacing w:val="7"/>
          <w:sz w:val="13"/>
        </w:rPr>
        <w:t xml:space="preserve"> </w:t>
      </w:r>
      <w:r>
        <w:rPr>
          <w:i/>
          <w:color w:val="231F20"/>
          <w:sz w:val="13"/>
        </w:rPr>
        <w:t>Review</w:t>
      </w:r>
    </w:p>
    <w:p w14:paraId="70F122AC" w14:textId="77777777" w:rsidR="00894070" w:rsidRDefault="009B7AFD">
      <w:pPr>
        <w:spacing w:line="170" w:lineRule="exact"/>
        <w:ind w:left="1801"/>
        <w:rPr>
          <w:sz w:val="13"/>
        </w:rPr>
      </w:pPr>
      <w:r>
        <w:rPr>
          <w:color w:val="231F20"/>
          <w:sz w:val="13"/>
        </w:rPr>
        <w:t>434.</w:t>
      </w:r>
    </w:p>
    <w:p w14:paraId="6DCC17EB" w14:textId="77777777" w:rsidR="00894070" w:rsidRDefault="009B7AFD">
      <w:pPr>
        <w:pStyle w:val="BodyText"/>
        <w:spacing w:before="13"/>
        <w:rPr>
          <w:sz w:val="26"/>
        </w:rPr>
      </w:pPr>
      <w:r>
        <w:br w:type="column"/>
      </w:r>
    </w:p>
    <w:p w14:paraId="49BE80E4" w14:textId="77777777" w:rsidR="00894070" w:rsidRDefault="009B7AFD">
      <w:pPr>
        <w:pStyle w:val="Heading8"/>
        <w:ind w:left="614"/>
      </w:pPr>
      <w:r>
        <w:rPr>
          <w:color w:val="EA5B50"/>
        </w:rPr>
        <w:t>149</w:t>
      </w:r>
    </w:p>
    <w:p w14:paraId="2C6381AC" w14:textId="77777777" w:rsidR="00894070" w:rsidRDefault="00894070">
      <w:pPr>
        <w:sectPr w:rsidR="00894070">
          <w:type w:val="continuous"/>
          <w:pgSz w:w="11910" w:h="16840"/>
          <w:pgMar w:top="560" w:right="420" w:bottom="280" w:left="580" w:header="720" w:footer="720" w:gutter="0"/>
          <w:cols w:num="2" w:space="720" w:equalWidth="0">
            <w:col w:w="9680" w:space="40"/>
            <w:col w:w="1190"/>
          </w:cols>
        </w:sectPr>
      </w:pPr>
    </w:p>
    <w:p w14:paraId="00726AF8" w14:textId="77777777" w:rsidR="00894070" w:rsidRDefault="00894070">
      <w:pPr>
        <w:pStyle w:val="BodyText"/>
        <w:rPr>
          <w:b/>
        </w:rPr>
      </w:pPr>
    </w:p>
    <w:p w14:paraId="407E6A82" w14:textId="77777777" w:rsidR="00894070" w:rsidRDefault="00894070">
      <w:pPr>
        <w:pStyle w:val="BodyText"/>
        <w:rPr>
          <w:b/>
        </w:rPr>
      </w:pPr>
    </w:p>
    <w:p w14:paraId="4CC8E2D4" w14:textId="77777777" w:rsidR="00894070" w:rsidRDefault="00894070">
      <w:pPr>
        <w:pStyle w:val="BodyText"/>
        <w:rPr>
          <w:b/>
        </w:rPr>
      </w:pPr>
    </w:p>
    <w:p w14:paraId="51B2D002" w14:textId="77777777" w:rsidR="00894070" w:rsidRDefault="00894070">
      <w:pPr>
        <w:pStyle w:val="BodyText"/>
        <w:spacing w:before="1"/>
        <w:rPr>
          <w:b/>
          <w:sz w:val="29"/>
        </w:rPr>
      </w:pPr>
    </w:p>
    <w:p w14:paraId="53E2B345" w14:textId="77777777" w:rsidR="00894070" w:rsidRDefault="009F6793">
      <w:pPr>
        <w:spacing w:before="57"/>
        <w:ind w:left="1239"/>
        <w:rPr>
          <w:b/>
          <w:sz w:val="20"/>
        </w:rPr>
      </w:pPr>
      <w:r>
        <w:pict w14:anchorId="7ED149FA">
          <v:group id="_x0000_s1179" style="position:absolute;left:0;text-align:left;margin-left:79.35pt;margin-top:-6.6pt;width:436.55pt;height:530.6pt;z-index:-251490304;mso-position-horizontal-relative:page" coordorigin="1587,-132" coordsize="8731,10612">
            <v:rect id="_x0000_s1184" style="position:absolute;left:1592;top:-127;width:8721;height:10602" fillcolor="#fee7de" stroked="f"/>
            <v:line id="_x0000_s1183" style="position:absolute" from="1587,-127" to="10318,-127" strokecolor="#ea5b50" strokeweight=".5pt"/>
            <v:line id="_x0000_s1182" style="position:absolute" from="1592,10470" to="1592,-122" strokecolor="#ea5b50" strokeweight=".5pt"/>
            <v:line id="_x0000_s1181" style="position:absolute" from="10313,10470" to="10313,-122" strokecolor="#ea5b50" strokeweight=".5pt"/>
            <v:line id="_x0000_s1180" style="position:absolute" from="1587,10475" to="10318,10475" strokecolor="#ea5b50" strokeweight=".5pt"/>
            <w10:wrap anchorx="page"/>
          </v:group>
        </w:pict>
      </w:r>
      <w:r w:rsidR="009B7AFD">
        <w:rPr>
          <w:b/>
          <w:color w:val="231F20"/>
          <w:sz w:val="20"/>
        </w:rPr>
        <w:t>What we heard about the police response to breaches</w:t>
      </w:r>
    </w:p>
    <w:p w14:paraId="3B04300A" w14:textId="77777777" w:rsidR="00894070" w:rsidRDefault="009B7AFD">
      <w:pPr>
        <w:spacing w:before="82"/>
        <w:ind w:left="1239"/>
        <w:rPr>
          <w:i/>
          <w:sz w:val="20"/>
        </w:rPr>
      </w:pPr>
      <w:r>
        <w:rPr>
          <w:i/>
          <w:color w:val="231F20"/>
          <w:sz w:val="20"/>
        </w:rPr>
        <w:t>One person who experienced stalking told us:</w:t>
      </w:r>
    </w:p>
    <w:p w14:paraId="2AB3BE89" w14:textId="77777777" w:rsidR="00894070" w:rsidRDefault="009B7AFD">
      <w:pPr>
        <w:pStyle w:val="BodyText"/>
        <w:spacing w:before="115" w:line="206" w:lineRule="auto"/>
        <w:ind w:left="1239" w:right="1612"/>
      </w:pPr>
      <w:r>
        <w:rPr>
          <w:color w:val="231F20"/>
        </w:rPr>
        <w:t>The process up to issuing the safety order works. What doesn’t work is the dismissing of</w:t>
      </w:r>
      <w:r>
        <w:rPr>
          <w:color w:val="231F20"/>
          <w:spacing w:val="-6"/>
        </w:rPr>
        <w:t xml:space="preserve"> </w:t>
      </w:r>
      <w:r>
        <w:rPr>
          <w:color w:val="231F20"/>
        </w:rPr>
        <w:t>all</w:t>
      </w:r>
      <w:r>
        <w:rPr>
          <w:color w:val="231F20"/>
          <w:spacing w:val="-5"/>
        </w:rPr>
        <w:t xml:space="preserve"> </w:t>
      </w:r>
      <w:r>
        <w:rPr>
          <w:color w:val="231F20"/>
        </w:rPr>
        <w:t>the</w:t>
      </w:r>
      <w:r>
        <w:rPr>
          <w:color w:val="231F20"/>
          <w:spacing w:val="-5"/>
        </w:rPr>
        <w:t xml:space="preserve"> </w:t>
      </w:r>
      <w:r>
        <w:rPr>
          <w:color w:val="231F20"/>
        </w:rPr>
        <w:t>breaches</w:t>
      </w:r>
      <w:r>
        <w:rPr>
          <w:color w:val="231F20"/>
          <w:spacing w:val="-5"/>
        </w:rPr>
        <w:t xml:space="preserve"> </w:t>
      </w:r>
      <w:proofErr w:type="gramStart"/>
      <w:r>
        <w:rPr>
          <w:color w:val="231F20"/>
        </w:rPr>
        <w:t>e.g.</w:t>
      </w:r>
      <w:proofErr w:type="gramEnd"/>
      <w:r>
        <w:rPr>
          <w:color w:val="231F20"/>
          <w:spacing w:val="-5"/>
        </w:rPr>
        <w:t xml:space="preserve"> </w:t>
      </w:r>
      <w:r>
        <w:rPr>
          <w:color w:val="231F20"/>
        </w:rPr>
        <w:t>taunting,</w:t>
      </w:r>
      <w:r>
        <w:rPr>
          <w:color w:val="231F20"/>
          <w:spacing w:val="-5"/>
        </w:rPr>
        <w:t xml:space="preserve"> </w:t>
      </w:r>
      <w:r>
        <w:rPr>
          <w:color w:val="231F20"/>
        </w:rPr>
        <w:t>noises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middle</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night</w:t>
      </w:r>
      <w:r>
        <w:rPr>
          <w:color w:val="231F20"/>
          <w:spacing w:val="-5"/>
        </w:rPr>
        <w:t xml:space="preserve"> </w:t>
      </w:r>
      <w:r>
        <w:rPr>
          <w:color w:val="231F20"/>
        </w:rPr>
        <w:t>to</w:t>
      </w:r>
      <w:r>
        <w:rPr>
          <w:color w:val="231F20"/>
          <w:spacing w:val="-5"/>
        </w:rPr>
        <w:t xml:space="preserve"> </w:t>
      </w:r>
      <w:r>
        <w:rPr>
          <w:color w:val="231F20"/>
        </w:rPr>
        <w:t>wake</w:t>
      </w:r>
      <w:r>
        <w:rPr>
          <w:color w:val="231F20"/>
          <w:spacing w:val="-5"/>
        </w:rPr>
        <w:t xml:space="preserve"> </w:t>
      </w:r>
      <w:r>
        <w:rPr>
          <w:color w:val="231F20"/>
        </w:rPr>
        <w:t>me</w:t>
      </w:r>
      <w:r>
        <w:rPr>
          <w:color w:val="231F20"/>
          <w:spacing w:val="-5"/>
        </w:rPr>
        <w:t xml:space="preserve"> </w:t>
      </w:r>
      <w:r>
        <w:rPr>
          <w:color w:val="231F20"/>
        </w:rPr>
        <w:t>from</w:t>
      </w:r>
      <w:r>
        <w:rPr>
          <w:color w:val="231F20"/>
          <w:spacing w:val="-5"/>
        </w:rPr>
        <w:t xml:space="preserve"> </w:t>
      </w:r>
      <w:r>
        <w:rPr>
          <w:color w:val="231F20"/>
        </w:rPr>
        <w:t>deep</w:t>
      </w:r>
    </w:p>
    <w:p w14:paraId="4CA14B83" w14:textId="77777777" w:rsidR="00894070" w:rsidRDefault="009B7AFD">
      <w:pPr>
        <w:pStyle w:val="BodyText"/>
        <w:spacing w:line="229" w:lineRule="exact"/>
        <w:ind w:left="1239"/>
      </w:pPr>
      <w:r>
        <w:rPr>
          <w:color w:val="231F20"/>
        </w:rPr>
        <w:t>sleep,</w:t>
      </w:r>
      <w:r>
        <w:rPr>
          <w:color w:val="231F20"/>
          <w:spacing w:val="-5"/>
        </w:rPr>
        <w:t xml:space="preserve"> </w:t>
      </w:r>
      <w:r>
        <w:rPr>
          <w:color w:val="231F20"/>
        </w:rPr>
        <w:t>waiting</w:t>
      </w:r>
      <w:r>
        <w:rPr>
          <w:color w:val="231F20"/>
          <w:spacing w:val="-5"/>
        </w:rPr>
        <w:t xml:space="preserve"> </w:t>
      </w:r>
      <w:r>
        <w:rPr>
          <w:color w:val="231F20"/>
        </w:rPr>
        <w:t>for</w:t>
      </w:r>
      <w:r>
        <w:rPr>
          <w:color w:val="231F20"/>
          <w:spacing w:val="-5"/>
        </w:rPr>
        <w:t xml:space="preserve"> </w:t>
      </w:r>
      <w:r>
        <w:rPr>
          <w:color w:val="231F20"/>
        </w:rPr>
        <w:t>me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dark</w:t>
      </w:r>
      <w:r>
        <w:rPr>
          <w:color w:val="231F20"/>
          <w:spacing w:val="-5"/>
        </w:rPr>
        <w:t xml:space="preserve"> </w:t>
      </w:r>
      <w:r>
        <w:rPr>
          <w:color w:val="231F20"/>
        </w:rPr>
        <w:t>as</w:t>
      </w:r>
      <w:r>
        <w:rPr>
          <w:color w:val="231F20"/>
          <w:spacing w:val="-5"/>
        </w:rPr>
        <w:t xml:space="preserve"> </w:t>
      </w:r>
      <w:r>
        <w:rPr>
          <w:color w:val="231F20"/>
        </w:rPr>
        <w:t>I</w:t>
      </w:r>
      <w:r>
        <w:rPr>
          <w:color w:val="231F20"/>
          <w:spacing w:val="-4"/>
        </w:rPr>
        <w:t xml:space="preserve"> </w:t>
      </w:r>
      <w:r>
        <w:rPr>
          <w:color w:val="231F20"/>
        </w:rPr>
        <w:t>arrived</w:t>
      </w:r>
      <w:r>
        <w:rPr>
          <w:color w:val="231F20"/>
          <w:spacing w:val="-5"/>
        </w:rPr>
        <w:t xml:space="preserve"> </w:t>
      </w:r>
      <w:r>
        <w:rPr>
          <w:color w:val="231F20"/>
        </w:rPr>
        <w:t>home.</w:t>
      </w:r>
      <w:r>
        <w:rPr>
          <w:color w:val="231F20"/>
          <w:spacing w:val="-5"/>
        </w:rPr>
        <w:t xml:space="preserve"> </w:t>
      </w:r>
      <w:proofErr w:type="gramStart"/>
      <w:r>
        <w:rPr>
          <w:color w:val="231F20"/>
        </w:rPr>
        <w:t>Sure</w:t>
      </w:r>
      <w:proofErr w:type="gramEnd"/>
      <w:r>
        <w:rPr>
          <w:color w:val="231F20"/>
          <w:spacing w:val="-5"/>
        </w:rPr>
        <w:t xml:space="preserve"> </w:t>
      </w:r>
      <w:r>
        <w:rPr>
          <w:color w:val="231F20"/>
        </w:rPr>
        <w:t>he</w:t>
      </w:r>
      <w:r>
        <w:rPr>
          <w:color w:val="231F20"/>
          <w:spacing w:val="-5"/>
        </w:rPr>
        <w:t xml:space="preserve"> </w:t>
      </w:r>
      <w:r>
        <w:rPr>
          <w:color w:val="231F20"/>
        </w:rPr>
        <w:t>kept</w:t>
      </w:r>
      <w:r>
        <w:rPr>
          <w:color w:val="231F20"/>
          <w:spacing w:val="-5"/>
        </w:rPr>
        <w:t xml:space="preserve"> </w:t>
      </w:r>
      <w:r>
        <w:rPr>
          <w:color w:val="231F20"/>
        </w:rPr>
        <w:t>his</w:t>
      </w:r>
      <w:r>
        <w:rPr>
          <w:color w:val="231F20"/>
          <w:spacing w:val="-5"/>
        </w:rPr>
        <w:t xml:space="preserve"> </w:t>
      </w:r>
      <w:r>
        <w:rPr>
          <w:color w:val="231F20"/>
        </w:rPr>
        <w:t>distance</w:t>
      </w:r>
      <w:r>
        <w:rPr>
          <w:color w:val="231F20"/>
          <w:spacing w:val="-5"/>
        </w:rPr>
        <w:t xml:space="preserve"> </w:t>
      </w:r>
      <w:r>
        <w:rPr>
          <w:color w:val="231F20"/>
        </w:rPr>
        <w:t>of</w:t>
      </w:r>
      <w:r>
        <w:rPr>
          <w:color w:val="231F20"/>
          <w:spacing w:val="-5"/>
        </w:rPr>
        <w:t xml:space="preserve"> </w:t>
      </w:r>
      <w:r>
        <w:rPr>
          <w:color w:val="231F20"/>
        </w:rPr>
        <w:t>3</w:t>
      </w:r>
      <w:r>
        <w:rPr>
          <w:color w:val="231F20"/>
          <w:spacing w:val="-4"/>
        </w:rPr>
        <w:t xml:space="preserve"> </w:t>
      </w:r>
      <w:r>
        <w:rPr>
          <w:color w:val="231F20"/>
        </w:rPr>
        <w:t>metres,</w:t>
      </w:r>
    </w:p>
    <w:p w14:paraId="62DAADD7" w14:textId="77777777" w:rsidR="00894070" w:rsidRDefault="009B7AFD">
      <w:pPr>
        <w:pStyle w:val="BodyText"/>
        <w:spacing w:before="14" w:line="206" w:lineRule="auto"/>
        <w:ind w:left="1239" w:right="1741"/>
        <w:jc w:val="both"/>
        <w:rPr>
          <w:sz w:val="11"/>
        </w:rPr>
      </w:pPr>
      <w:r>
        <w:rPr>
          <w:color w:val="231F20"/>
        </w:rPr>
        <w:t>but</w:t>
      </w:r>
      <w:r>
        <w:rPr>
          <w:color w:val="231F20"/>
          <w:spacing w:val="-5"/>
        </w:rPr>
        <w:t xml:space="preserve"> </w:t>
      </w:r>
      <w:r>
        <w:rPr>
          <w:color w:val="231F20"/>
        </w:rPr>
        <w:t>he</w:t>
      </w:r>
      <w:r>
        <w:rPr>
          <w:color w:val="231F20"/>
          <w:spacing w:val="-4"/>
        </w:rPr>
        <w:t xml:space="preserve"> </w:t>
      </w:r>
      <w:r>
        <w:rPr>
          <w:color w:val="231F20"/>
        </w:rPr>
        <w:t>was</w:t>
      </w:r>
      <w:r>
        <w:rPr>
          <w:color w:val="231F20"/>
          <w:spacing w:val="-5"/>
        </w:rPr>
        <w:t xml:space="preserve"> </w:t>
      </w:r>
      <w:r>
        <w:rPr>
          <w:color w:val="231F20"/>
        </w:rPr>
        <w:t>there</w:t>
      </w:r>
      <w:r>
        <w:rPr>
          <w:color w:val="231F20"/>
          <w:spacing w:val="-4"/>
        </w:rPr>
        <w:t xml:space="preserve"> </w:t>
      </w:r>
      <w:r>
        <w:rPr>
          <w:color w:val="231F20"/>
        </w:rPr>
        <w:t>all</w:t>
      </w:r>
      <w:r>
        <w:rPr>
          <w:color w:val="231F20"/>
          <w:spacing w:val="-5"/>
        </w:rPr>
        <w:t xml:space="preserve"> </w:t>
      </w:r>
      <w:r>
        <w:rPr>
          <w:color w:val="231F20"/>
        </w:rPr>
        <w:t>the</w:t>
      </w:r>
      <w:r>
        <w:rPr>
          <w:color w:val="231F20"/>
          <w:spacing w:val="-4"/>
        </w:rPr>
        <w:t xml:space="preserve"> </w:t>
      </w:r>
      <w:r>
        <w:rPr>
          <w:color w:val="231F20"/>
        </w:rPr>
        <w:t>same,</w:t>
      </w:r>
      <w:r>
        <w:rPr>
          <w:color w:val="231F20"/>
          <w:spacing w:val="-4"/>
        </w:rPr>
        <w:t xml:space="preserve"> </w:t>
      </w:r>
      <w:r>
        <w:rPr>
          <w:color w:val="231F20"/>
        </w:rPr>
        <w:t>staring,</w:t>
      </w:r>
      <w:r>
        <w:rPr>
          <w:color w:val="231F20"/>
          <w:spacing w:val="-5"/>
        </w:rPr>
        <w:t xml:space="preserve"> </w:t>
      </w:r>
      <w:r>
        <w:rPr>
          <w:color w:val="231F20"/>
        </w:rPr>
        <w:t>fuming.</w:t>
      </w:r>
      <w:r>
        <w:rPr>
          <w:color w:val="231F20"/>
          <w:spacing w:val="-4"/>
        </w:rPr>
        <w:t xml:space="preserve"> </w:t>
      </w:r>
      <w:r>
        <w:rPr>
          <w:color w:val="231F20"/>
        </w:rPr>
        <w:t>…</w:t>
      </w:r>
      <w:r>
        <w:rPr>
          <w:color w:val="231F20"/>
          <w:spacing w:val="-5"/>
        </w:rPr>
        <w:t xml:space="preserve"> </w:t>
      </w:r>
      <w:r>
        <w:rPr>
          <w:color w:val="231F20"/>
        </w:rPr>
        <w:t>The</w:t>
      </w:r>
      <w:r>
        <w:rPr>
          <w:color w:val="231F20"/>
          <w:spacing w:val="-4"/>
        </w:rPr>
        <w:t xml:space="preserve"> </w:t>
      </w:r>
      <w:r>
        <w:rPr>
          <w:color w:val="231F20"/>
        </w:rPr>
        <w:t>breaches</w:t>
      </w:r>
      <w:r>
        <w:rPr>
          <w:color w:val="231F20"/>
          <w:spacing w:val="-4"/>
        </w:rPr>
        <w:t xml:space="preserve"> </w:t>
      </w:r>
      <w:r>
        <w:rPr>
          <w:color w:val="231F20"/>
        </w:rPr>
        <w:t>amounted</w:t>
      </w:r>
      <w:r>
        <w:rPr>
          <w:color w:val="231F20"/>
          <w:spacing w:val="-5"/>
        </w:rPr>
        <w:t xml:space="preserve"> </w:t>
      </w:r>
      <w:r>
        <w:rPr>
          <w:color w:val="231F20"/>
        </w:rPr>
        <w:t>to</w:t>
      </w:r>
      <w:r>
        <w:rPr>
          <w:color w:val="231F20"/>
          <w:spacing w:val="-4"/>
        </w:rPr>
        <w:t xml:space="preserve"> </w:t>
      </w:r>
      <w:r>
        <w:rPr>
          <w:color w:val="231F20"/>
        </w:rPr>
        <w:t>more</w:t>
      </w:r>
      <w:r>
        <w:rPr>
          <w:color w:val="231F20"/>
          <w:spacing w:val="-5"/>
        </w:rPr>
        <w:t xml:space="preserve"> </w:t>
      </w:r>
      <w:r>
        <w:rPr>
          <w:color w:val="231F20"/>
        </w:rPr>
        <w:t>than 3</w:t>
      </w:r>
      <w:r>
        <w:rPr>
          <w:color w:val="231F20"/>
          <w:spacing w:val="-4"/>
        </w:rPr>
        <w:t xml:space="preserve"> </w:t>
      </w:r>
      <w:r>
        <w:rPr>
          <w:color w:val="231F20"/>
        </w:rPr>
        <w:t>and</w:t>
      </w:r>
      <w:r>
        <w:rPr>
          <w:color w:val="231F20"/>
          <w:spacing w:val="-4"/>
        </w:rPr>
        <w:t xml:space="preserve"> </w:t>
      </w:r>
      <w:r>
        <w:rPr>
          <w:color w:val="231F20"/>
        </w:rPr>
        <w:t>he</w:t>
      </w:r>
      <w:r>
        <w:rPr>
          <w:color w:val="231F20"/>
          <w:spacing w:val="-4"/>
        </w:rPr>
        <w:t xml:space="preserve"> </w:t>
      </w:r>
      <w:r>
        <w:rPr>
          <w:color w:val="231F20"/>
        </w:rPr>
        <w:t>would</w:t>
      </w:r>
      <w:r>
        <w:rPr>
          <w:color w:val="231F20"/>
          <w:spacing w:val="-5"/>
        </w:rPr>
        <w:t xml:space="preserve"> </w:t>
      </w:r>
      <w:r>
        <w:rPr>
          <w:color w:val="231F20"/>
          <w:spacing w:val="-3"/>
        </w:rPr>
        <w:t>have</w:t>
      </w:r>
      <w:r>
        <w:rPr>
          <w:color w:val="231F20"/>
          <w:spacing w:val="-4"/>
        </w:rPr>
        <w:t xml:space="preserve"> </w:t>
      </w:r>
      <w:r>
        <w:rPr>
          <w:color w:val="231F20"/>
        </w:rPr>
        <w:t>been</w:t>
      </w:r>
      <w:r>
        <w:rPr>
          <w:color w:val="231F20"/>
          <w:spacing w:val="-4"/>
        </w:rPr>
        <w:t xml:space="preserve"> </w:t>
      </w:r>
      <w:r>
        <w:rPr>
          <w:color w:val="231F20"/>
        </w:rPr>
        <w:t>jailed</w:t>
      </w:r>
      <w:r>
        <w:rPr>
          <w:color w:val="231F20"/>
          <w:spacing w:val="-4"/>
        </w:rPr>
        <w:t xml:space="preserve"> </w:t>
      </w:r>
      <w:r>
        <w:rPr>
          <w:color w:val="231F20"/>
        </w:rPr>
        <w:t>or</w:t>
      </w:r>
      <w:r>
        <w:rPr>
          <w:color w:val="231F20"/>
          <w:spacing w:val="-4"/>
        </w:rPr>
        <w:t xml:space="preserve"> </w:t>
      </w:r>
      <w:r>
        <w:rPr>
          <w:color w:val="231F20"/>
        </w:rPr>
        <w:t>fined</w:t>
      </w:r>
      <w:r>
        <w:rPr>
          <w:color w:val="231F20"/>
          <w:spacing w:val="-4"/>
        </w:rPr>
        <w:t xml:space="preserve"> </w:t>
      </w:r>
      <w:r>
        <w:rPr>
          <w:color w:val="231F20"/>
        </w:rPr>
        <w:t>on</w:t>
      </w:r>
      <w:r>
        <w:rPr>
          <w:color w:val="231F20"/>
          <w:spacing w:val="-4"/>
        </w:rPr>
        <w:t xml:space="preserve"> </w:t>
      </w:r>
      <w:r>
        <w:rPr>
          <w:color w:val="231F20"/>
        </w:rPr>
        <w:t>that</w:t>
      </w:r>
      <w:r>
        <w:rPr>
          <w:color w:val="231F20"/>
          <w:spacing w:val="-4"/>
        </w:rPr>
        <w:t xml:space="preserve"> </w:t>
      </w:r>
      <w:r>
        <w:rPr>
          <w:color w:val="231F20"/>
        </w:rPr>
        <w:t>basis,</w:t>
      </w:r>
      <w:r>
        <w:rPr>
          <w:color w:val="231F20"/>
          <w:spacing w:val="-4"/>
        </w:rPr>
        <w:t xml:space="preserve"> </w:t>
      </w:r>
      <w:r>
        <w:rPr>
          <w:color w:val="231F20"/>
        </w:rPr>
        <w:t>but</w:t>
      </w:r>
      <w:r>
        <w:rPr>
          <w:color w:val="231F20"/>
          <w:spacing w:val="-4"/>
        </w:rPr>
        <w:t xml:space="preserve"> </w:t>
      </w:r>
      <w:r>
        <w:rPr>
          <w:color w:val="231F20"/>
        </w:rPr>
        <w:t>the</w:t>
      </w:r>
      <w:r>
        <w:rPr>
          <w:color w:val="231F20"/>
          <w:spacing w:val="-4"/>
        </w:rPr>
        <w:t xml:space="preserve"> </w:t>
      </w:r>
      <w:r>
        <w:rPr>
          <w:color w:val="231F20"/>
        </w:rPr>
        <w:t>police</w:t>
      </w:r>
      <w:r>
        <w:rPr>
          <w:color w:val="231F20"/>
          <w:spacing w:val="-4"/>
        </w:rPr>
        <w:t xml:space="preserve"> </w:t>
      </w:r>
      <w:r>
        <w:rPr>
          <w:color w:val="231F20"/>
        </w:rPr>
        <w:t>didn’t</w:t>
      </w:r>
      <w:r>
        <w:rPr>
          <w:color w:val="231F20"/>
          <w:spacing w:val="-4"/>
        </w:rPr>
        <w:t xml:space="preserve"> </w:t>
      </w:r>
      <w:r>
        <w:rPr>
          <w:color w:val="231F20"/>
        </w:rPr>
        <w:t>think</w:t>
      </w:r>
      <w:r>
        <w:rPr>
          <w:color w:val="231F20"/>
          <w:spacing w:val="-4"/>
        </w:rPr>
        <w:t xml:space="preserve"> </w:t>
      </w:r>
      <w:r>
        <w:rPr>
          <w:color w:val="231F20"/>
        </w:rPr>
        <w:t xml:space="preserve">these </w:t>
      </w:r>
      <w:r>
        <w:rPr>
          <w:color w:val="231F20"/>
          <w:spacing w:val="-3"/>
        </w:rPr>
        <w:t xml:space="preserve">were </w:t>
      </w:r>
      <w:r>
        <w:rPr>
          <w:color w:val="231F20"/>
        </w:rPr>
        <w:t>breaches.</w:t>
      </w:r>
      <w:r>
        <w:rPr>
          <w:color w:val="231F20"/>
          <w:position w:val="7"/>
          <w:sz w:val="11"/>
        </w:rPr>
        <w:t>133</w:t>
      </w:r>
    </w:p>
    <w:p w14:paraId="7A4BF55B" w14:textId="77777777" w:rsidR="00894070" w:rsidRDefault="009B7AFD">
      <w:pPr>
        <w:spacing w:before="91"/>
        <w:ind w:left="1239"/>
        <w:rPr>
          <w:i/>
          <w:sz w:val="20"/>
        </w:rPr>
      </w:pPr>
      <w:r>
        <w:rPr>
          <w:i/>
          <w:color w:val="231F20"/>
          <w:sz w:val="20"/>
        </w:rPr>
        <w:t>One person who had reported her experience of stalking in the last 1–2 years said:</w:t>
      </w:r>
    </w:p>
    <w:p w14:paraId="4F10A59C" w14:textId="77777777" w:rsidR="00894070" w:rsidRDefault="009B7AFD">
      <w:pPr>
        <w:pStyle w:val="BodyText"/>
        <w:spacing w:before="115" w:line="206" w:lineRule="auto"/>
        <w:ind w:left="1239" w:right="1319"/>
      </w:pPr>
      <w:r>
        <w:rPr>
          <w:color w:val="231F20"/>
        </w:rPr>
        <w:t>It makes you feel worthless when you have been granted a PSIO, go to the police to lodge a report of breach, and they don’t follow through/never follow up. …</w:t>
      </w:r>
    </w:p>
    <w:p w14:paraId="4CAE2DC2" w14:textId="77777777" w:rsidR="00894070" w:rsidRDefault="009B7AFD">
      <w:pPr>
        <w:pStyle w:val="BodyText"/>
        <w:spacing w:before="122" w:line="206" w:lineRule="auto"/>
        <w:ind w:left="1239" w:right="1312"/>
        <w:rPr>
          <w:sz w:val="11"/>
        </w:rPr>
      </w:pPr>
      <w:r>
        <w:rPr>
          <w:color w:val="231F20"/>
        </w:rPr>
        <w:t xml:space="preserve">Some police were good, others less so. Calling 000 to report a breach and being told that there </w:t>
      </w:r>
      <w:proofErr w:type="gramStart"/>
      <w:r>
        <w:rPr>
          <w:color w:val="231F20"/>
        </w:rPr>
        <w:t>was</w:t>
      </w:r>
      <w:proofErr w:type="gramEnd"/>
      <w:r>
        <w:rPr>
          <w:color w:val="231F20"/>
        </w:rPr>
        <w:t xml:space="preserve"> no police available to attend is disheartening when you have someone standing on the nature strip outside your house at 3am in the morning. I was even threatened to be shot by my offender and the police called me back advising that he didn’t have a gun and to calm down.</w:t>
      </w:r>
      <w:r>
        <w:rPr>
          <w:color w:val="231F20"/>
          <w:position w:val="7"/>
          <w:sz w:val="11"/>
        </w:rPr>
        <w:t>134</w:t>
      </w:r>
    </w:p>
    <w:p w14:paraId="511E4E62" w14:textId="77777777" w:rsidR="00894070" w:rsidRDefault="009B7AFD">
      <w:pPr>
        <w:spacing w:before="127" w:line="206" w:lineRule="auto"/>
        <w:ind w:left="1239" w:right="1833"/>
        <w:rPr>
          <w:i/>
          <w:sz w:val="20"/>
        </w:rPr>
      </w:pPr>
      <w:r>
        <w:rPr>
          <w:i/>
          <w:color w:val="231F20"/>
          <w:sz w:val="20"/>
        </w:rPr>
        <w:t>One person with a disability who lived in a rural or regional community, reflecting on her experience in 2020, said:</w:t>
      </w:r>
    </w:p>
    <w:p w14:paraId="12B1D674" w14:textId="77777777" w:rsidR="00894070" w:rsidRDefault="009B7AFD">
      <w:pPr>
        <w:pStyle w:val="BodyText"/>
        <w:spacing w:before="122" w:line="206" w:lineRule="auto"/>
        <w:ind w:left="1239" w:right="1459"/>
        <w:rPr>
          <w:sz w:val="11"/>
        </w:rPr>
      </w:pPr>
      <w:r>
        <w:rPr>
          <w:color w:val="231F20"/>
        </w:rPr>
        <w:t xml:space="preserve">Last week … I went to </w:t>
      </w:r>
      <w:r>
        <w:rPr>
          <w:color w:val="231F20"/>
          <w:spacing w:val="-3"/>
        </w:rPr>
        <w:t xml:space="preserve">my </w:t>
      </w:r>
      <w:r>
        <w:rPr>
          <w:color w:val="231F20"/>
        </w:rPr>
        <w:t xml:space="preserve">local police station—again—because the stalker had breached the </w:t>
      </w:r>
      <w:r>
        <w:rPr>
          <w:color w:val="231F20"/>
          <w:spacing w:val="-3"/>
        </w:rPr>
        <w:t xml:space="preserve">IVO </w:t>
      </w:r>
      <w:r>
        <w:rPr>
          <w:color w:val="231F20"/>
        </w:rPr>
        <w:t xml:space="preserve">again. The police officer was incredibly rude and accused me of lying. He literally said, ‘I don’t believe that to be </w:t>
      </w:r>
      <w:r>
        <w:rPr>
          <w:color w:val="231F20"/>
          <w:spacing w:val="-4"/>
        </w:rPr>
        <w:t xml:space="preserve">true’, </w:t>
      </w:r>
      <w:r>
        <w:rPr>
          <w:color w:val="231F20"/>
          <w:spacing w:val="-3"/>
        </w:rPr>
        <w:t xml:space="preserve">even </w:t>
      </w:r>
      <w:r>
        <w:rPr>
          <w:color w:val="231F20"/>
        </w:rPr>
        <w:t xml:space="preserve">when I showed him footage of [the] stalker breaching the </w:t>
      </w:r>
      <w:r>
        <w:rPr>
          <w:color w:val="231F20"/>
          <w:spacing w:val="-3"/>
        </w:rPr>
        <w:t xml:space="preserve">IVO. </w:t>
      </w:r>
      <w:r>
        <w:rPr>
          <w:color w:val="231F20"/>
        </w:rPr>
        <w:t xml:space="preserve">… </w:t>
      </w:r>
      <w:r>
        <w:rPr>
          <w:color w:val="231F20"/>
          <w:spacing w:val="-3"/>
        </w:rPr>
        <w:t xml:space="preserve">Largely, </w:t>
      </w:r>
      <w:r>
        <w:rPr>
          <w:color w:val="231F20"/>
        </w:rPr>
        <w:t xml:space="preserve">police don’t care and do not do anything when [a] stalker has breached the </w:t>
      </w:r>
      <w:r>
        <w:rPr>
          <w:color w:val="231F20"/>
          <w:spacing w:val="-3"/>
        </w:rPr>
        <w:t xml:space="preserve">IVO. </w:t>
      </w:r>
      <w:r>
        <w:rPr>
          <w:color w:val="231F20"/>
        </w:rPr>
        <w:t xml:space="preserve">Whenever he breaches the </w:t>
      </w:r>
      <w:r>
        <w:rPr>
          <w:color w:val="231F20"/>
          <w:spacing w:val="-4"/>
        </w:rPr>
        <w:t xml:space="preserve">IVO, </w:t>
      </w:r>
      <w:r>
        <w:rPr>
          <w:color w:val="231F20"/>
        </w:rPr>
        <w:t>police try to minimise it down to nothing or they try to blame me.</w:t>
      </w:r>
      <w:r>
        <w:rPr>
          <w:color w:val="231F20"/>
          <w:position w:val="7"/>
          <w:sz w:val="11"/>
        </w:rPr>
        <w:t>135</w:t>
      </w:r>
    </w:p>
    <w:p w14:paraId="4B7CD33E" w14:textId="77777777" w:rsidR="00894070" w:rsidRDefault="009B7AFD">
      <w:pPr>
        <w:spacing w:before="95"/>
        <w:ind w:left="1239"/>
        <w:rPr>
          <w:i/>
          <w:sz w:val="20"/>
        </w:rPr>
      </w:pPr>
      <w:r>
        <w:rPr>
          <w:i/>
          <w:color w:val="231F20"/>
          <w:sz w:val="20"/>
        </w:rPr>
        <w:t>One person with a disability who had reported to police 2–5 years ago said:</w:t>
      </w:r>
    </w:p>
    <w:p w14:paraId="0EC0C6B8" w14:textId="77777777" w:rsidR="00894070" w:rsidRDefault="009B7AFD">
      <w:pPr>
        <w:pStyle w:val="BodyText"/>
        <w:spacing w:before="83"/>
        <w:ind w:left="1239"/>
      </w:pPr>
      <w:r>
        <w:rPr>
          <w:color w:val="231F20"/>
        </w:rPr>
        <w:t>The police were antagonist[ic] in enforcing the protection order.</w:t>
      </w:r>
    </w:p>
    <w:p w14:paraId="1494487A" w14:textId="77777777" w:rsidR="00894070" w:rsidRDefault="009B7AFD">
      <w:pPr>
        <w:pStyle w:val="BodyText"/>
        <w:spacing w:before="115" w:line="206" w:lineRule="auto"/>
        <w:ind w:left="1239" w:right="2346"/>
        <w:jc w:val="both"/>
      </w:pPr>
      <w:r>
        <w:rPr>
          <w:color w:val="231F20"/>
        </w:rPr>
        <w:t>The</w:t>
      </w:r>
      <w:r>
        <w:rPr>
          <w:color w:val="231F20"/>
          <w:spacing w:val="-5"/>
        </w:rPr>
        <w:t xml:space="preserve"> </w:t>
      </w:r>
      <w:r>
        <w:rPr>
          <w:color w:val="231F20"/>
        </w:rPr>
        <w:t>perpetrator</w:t>
      </w:r>
      <w:r>
        <w:rPr>
          <w:color w:val="231F20"/>
          <w:spacing w:val="-5"/>
        </w:rPr>
        <w:t xml:space="preserve"> </w:t>
      </w:r>
      <w:r>
        <w:rPr>
          <w:color w:val="231F20"/>
        </w:rPr>
        <w:t>kept</w:t>
      </w:r>
      <w:r>
        <w:rPr>
          <w:color w:val="231F20"/>
          <w:spacing w:val="-5"/>
        </w:rPr>
        <w:t xml:space="preserve"> </w:t>
      </w:r>
      <w:r>
        <w:rPr>
          <w:color w:val="231F20"/>
        </w:rPr>
        <w:t>stalking</w:t>
      </w:r>
      <w:r>
        <w:rPr>
          <w:color w:val="231F20"/>
          <w:spacing w:val="-5"/>
        </w:rPr>
        <w:t xml:space="preserve"> </w:t>
      </w:r>
      <w:r>
        <w:rPr>
          <w:color w:val="231F20"/>
        </w:rPr>
        <w:t>me</w:t>
      </w:r>
      <w:r>
        <w:rPr>
          <w:color w:val="231F20"/>
          <w:spacing w:val="-5"/>
        </w:rPr>
        <w:t xml:space="preserve"> </w:t>
      </w:r>
      <w:r>
        <w:rPr>
          <w:color w:val="231F20"/>
        </w:rPr>
        <w:t>in</w:t>
      </w:r>
      <w:r>
        <w:rPr>
          <w:color w:val="231F20"/>
          <w:spacing w:val="-5"/>
        </w:rPr>
        <w:t xml:space="preserve"> </w:t>
      </w:r>
      <w:r>
        <w:rPr>
          <w:color w:val="231F20"/>
          <w:spacing w:val="-3"/>
        </w:rPr>
        <w:t>my</w:t>
      </w:r>
      <w:r>
        <w:rPr>
          <w:color w:val="231F20"/>
          <w:spacing w:val="-5"/>
        </w:rPr>
        <w:t xml:space="preserve"> </w:t>
      </w:r>
      <w:r>
        <w:rPr>
          <w:color w:val="231F20"/>
        </w:rPr>
        <w:t>home,</w:t>
      </w:r>
      <w:r>
        <w:rPr>
          <w:color w:val="231F20"/>
          <w:spacing w:val="-5"/>
        </w:rPr>
        <w:t xml:space="preserve"> </w:t>
      </w:r>
      <w:r>
        <w:rPr>
          <w:color w:val="231F20"/>
        </w:rPr>
        <w:t>the</w:t>
      </w:r>
      <w:r>
        <w:rPr>
          <w:color w:val="231F20"/>
          <w:spacing w:val="-5"/>
        </w:rPr>
        <w:t xml:space="preserve"> </w:t>
      </w:r>
      <w:r>
        <w:rPr>
          <w:color w:val="231F20"/>
        </w:rPr>
        <w:t>apartment</w:t>
      </w:r>
      <w:r>
        <w:rPr>
          <w:color w:val="231F20"/>
          <w:spacing w:val="-5"/>
        </w:rPr>
        <w:t xml:space="preserve"> </w:t>
      </w:r>
      <w:r>
        <w:rPr>
          <w:color w:val="231F20"/>
        </w:rPr>
        <w:t>complex</w:t>
      </w:r>
      <w:r>
        <w:rPr>
          <w:color w:val="231F20"/>
          <w:spacing w:val="-5"/>
        </w:rPr>
        <w:t xml:space="preserve"> </w:t>
      </w:r>
      <w:r>
        <w:rPr>
          <w:color w:val="231F20"/>
        </w:rPr>
        <w:t>and</w:t>
      </w:r>
      <w:r>
        <w:rPr>
          <w:color w:val="231F20"/>
          <w:spacing w:val="-5"/>
        </w:rPr>
        <w:t xml:space="preserve"> </w:t>
      </w:r>
      <w:r>
        <w:rPr>
          <w:color w:val="231F20"/>
        </w:rPr>
        <w:t>local community.</w:t>
      </w:r>
      <w:r>
        <w:rPr>
          <w:color w:val="231F20"/>
          <w:spacing w:val="-7"/>
        </w:rPr>
        <w:t xml:space="preserve"> </w:t>
      </w:r>
      <w:r>
        <w:rPr>
          <w:color w:val="231F20"/>
        </w:rPr>
        <w:t>There</w:t>
      </w:r>
      <w:r>
        <w:rPr>
          <w:color w:val="231F20"/>
          <w:spacing w:val="-7"/>
        </w:rPr>
        <w:t xml:space="preserve"> </w:t>
      </w:r>
      <w:r>
        <w:rPr>
          <w:color w:val="231F20"/>
        </w:rPr>
        <w:t>was</w:t>
      </w:r>
      <w:r>
        <w:rPr>
          <w:color w:val="231F20"/>
          <w:spacing w:val="-7"/>
        </w:rPr>
        <w:t xml:space="preserve"> </w:t>
      </w:r>
      <w:r>
        <w:rPr>
          <w:color w:val="231F20"/>
        </w:rPr>
        <w:t>evidence</w:t>
      </w:r>
      <w:r>
        <w:rPr>
          <w:color w:val="231F20"/>
          <w:spacing w:val="-7"/>
        </w:rPr>
        <w:t xml:space="preserve"> </w:t>
      </w:r>
      <w:r>
        <w:rPr>
          <w:color w:val="231F20"/>
        </w:rPr>
        <w:t>of</w:t>
      </w:r>
      <w:r>
        <w:rPr>
          <w:color w:val="231F20"/>
          <w:spacing w:val="-7"/>
        </w:rPr>
        <w:t xml:space="preserve"> </w:t>
      </w:r>
      <w:r>
        <w:rPr>
          <w:color w:val="231F20"/>
        </w:rPr>
        <w:t>continuing</w:t>
      </w:r>
      <w:r>
        <w:rPr>
          <w:color w:val="231F20"/>
          <w:spacing w:val="-7"/>
        </w:rPr>
        <w:t xml:space="preserve"> </w:t>
      </w:r>
      <w:r>
        <w:rPr>
          <w:color w:val="231F20"/>
        </w:rPr>
        <w:t>stalking.</w:t>
      </w:r>
      <w:r>
        <w:rPr>
          <w:color w:val="231F20"/>
          <w:spacing w:val="-6"/>
        </w:rPr>
        <w:t xml:space="preserve"> </w:t>
      </w:r>
      <w:r>
        <w:rPr>
          <w:color w:val="231F20"/>
        </w:rPr>
        <w:t>They</w:t>
      </w:r>
      <w:r>
        <w:rPr>
          <w:color w:val="231F20"/>
          <w:spacing w:val="-7"/>
        </w:rPr>
        <w:t xml:space="preserve"> </w:t>
      </w:r>
      <w:r>
        <w:rPr>
          <w:color w:val="231F20"/>
        </w:rPr>
        <w:t>refused</w:t>
      </w:r>
      <w:r>
        <w:rPr>
          <w:color w:val="231F20"/>
          <w:spacing w:val="-7"/>
        </w:rPr>
        <w:t xml:space="preserve"> </w:t>
      </w:r>
      <w:r>
        <w:rPr>
          <w:color w:val="231F20"/>
        </w:rPr>
        <w:t>to</w:t>
      </w:r>
      <w:r>
        <w:rPr>
          <w:color w:val="231F20"/>
          <w:spacing w:val="-7"/>
        </w:rPr>
        <w:t xml:space="preserve"> </w:t>
      </w:r>
      <w:r>
        <w:rPr>
          <w:color w:val="231F20"/>
        </w:rPr>
        <w:t>act.</w:t>
      </w:r>
      <w:r>
        <w:rPr>
          <w:color w:val="231F20"/>
          <w:spacing w:val="-7"/>
        </w:rPr>
        <w:t xml:space="preserve"> </w:t>
      </w:r>
      <w:r>
        <w:rPr>
          <w:color w:val="231F20"/>
        </w:rPr>
        <w:t>The Magistrate</w:t>
      </w:r>
      <w:r>
        <w:rPr>
          <w:color w:val="231F20"/>
          <w:spacing w:val="-5"/>
        </w:rPr>
        <w:t xml:space="preserve"> </w:t>
      </w:r>
      <w:r>
        <w:rPr>
          <w:color w:val="231F20"/>
        </w:rPr>
        <w:t>then</w:t>
      </w:r>
      <w:r>
        <w:rPr>
          <w:color w:val="231F20"/>
          <w:spacing w:val="-4"/>
        </w:rPr>
        <w:t xml:space="preserve"> </w:t>
      </w:r>
      <w:r>
        <w:rPr>
          <w:color w:val="231F20"/>
        </w:rPr>
        <w:t>ordered</w:t>
      </w:r>
      <w:r>
        <w:rPr>
          <w:color w:val="231F20"/>
          <w:spacing w:val="-4"/>
        </w:rPr>
        <w:t xml:space="preserve"> </w:t>
      </w:r>
      <w:r>
        <w:rPr>
          <w:color w:val="231F20"/>
        </w:rPr>
        <w:t>the</w:t>
      </w:r>
      <w:r>
        <w:rPr>
          <w:color w:val="231F20"/>
          <w:spacing w:val="-4"/>
        </w:rPr>
        <w:t xml:space="preserve"> </w:t>
      </w:r>
      <w:r>
        <w:rPr>
          <w:color w:val="231F20"/>
        </w:rPr>
        <w:t>police</w:t>
      </w:r>
      <w:r>
        <w:rPr>
          <w:color w:val="231F20"/>
          <w:spacing w:val="-4"/>
        </w:rPr>
        <w:t xml:space="preserve"> </w:t>
      </w:r>
      <w:r>
        <w:rPr>
          <w:color w:val="231F20"/>
        </w:rPr>
        <w:t>to</w:t>
      </w:r>
      <w:r>
        <w:rPr>
          <w:color w:val="231F20"/>
          <w:spacing w:val="-4"/>
        </w:rPr>
        <w:t xml:space="preserve"> </w:t>
      </w:r>
      <w:r>
        <w:rPr>
          <w:color w:val="231F20"/>
        </w:rPr>
        <w:t>act</w:t>
      </w:r>
      <w:r>
        <w:rPr>
          <w:color w:val="231F20"/>
          <w:spacing w:val="-4"/>
        </w:rPr>
        <w:t xml:space="preserve"> </w:t>
      </w:r>
      <w:r>
        <w:rPr>
          <w:color w:val="231F20"/>
        </w:rPr>
        <w:t>to</w:t>
      </w:r>
      <w:r>
        <w:rPr>
          <w:color w:val="231F20"/>
          <w:spacing w:val="-5"/>
        </w:rPr>
        <w:t xml:space="preserve"> </w:t>
      </w:r>
      <w:r>
        <w:rPr>
          <w:color w:val="231F20"/>
        </w:rPr>
        <w:t>enforce</w:t>
      </w:r>
      <w:r>
        <w:rPr>
          <w:color w:val="231F20"/>
          <w:spacing w:val="-4"/>
        </w:rPr>
        <w:t xml:space="preserve"> </w:t>
      </w:r>
      <w:r>
        <w:rPr>
          <w:color w:val="231F20"/>
        </w:rPr>
        <w:t>the</w:t>
      </w:r>
      <w:r>
        <w:rPr>
          <w:color w:val="231F20"/>
          <w:spacing w:val="-4"/>
        </w:rPr>
        <w:t xml:space="preserve"> </w:t>
      </w:r>
      <w:r>
        <w:rPr>
          <w:color w:val="231F20"/>
        </w:rPr>
        <w:t>protection</w:t>
      </w:r>
      <w:r>
        <w:rPr>
          <w:color w:val="231F20"/>
          <w:spacing w:val="-4"/>
        </w:rPr>
        <w:t xml:space="preserve"> </w:t>
      </w:r>
      <w:r>
        <w:rPr>
          <w:color w:val="231F20"/>
          <w:spacing w:val="-3"/>
        </w:rPr>
        <w:t>order.</w:t>
      </w:r>
    </w:p>
    <w:p w14:paraId="17AD3CAD" w14:textId="77777777" w:rsidR="00894070" w:rsidRDefault="009B7AFD">
      <w:pPr>
        <w:pStyle w:val="BodyText"/>
        <w:spacing w:before="91"/>
        <w:ind w:left="1239"/>
        <w:rPr>
          <w:sz w:val="11"/>
        </w:rPr>
      </w:pPr>
      <w:r>
        <w:rPr>
          <w:color w:val="231F20"/>
        </w:rPr>
        <w:t>The police continued refusing to do so.</w:t>
      </w:r>
      <w:r>
        <w:rPr>
          <w:color w:val="231F20"/>
          <w:position w:val="7"/>
          <w:sz w:val="11"/>
        </w:rPr>
        <w:t>136</w:t>
      </w:r>
    </w:p>
    <w:p w14:paraId="6BFD6FD8" w14:textId="77777777" w:rsidR="00894070" w:rsidRDefault="009B7AFD">
      <w:pPr>
        <w:spacing w:before="82"/>
        <w:ind w:left="1239"/>
        <w:rPr>
          <w:i/>
          <w:sz w:val="20"/>
        </w:rPr>
      </w:pPr>
      <w:r>
        <w:rPr>
          <w:i/>
          <w:color w:val="231F20"/>
          <w:sz w:val="20"/>
        </w:rPr>
        <w:t>One person who had reported to police 2-5 years ago told us:</w:t>
      </w:r>
    </w:p>
    <w:p w14:paraId="74B897BE" w14:textId="77777777" w:rsidR="00894070" w:rsidRDefault="009B7AFD">
      <w:pPr>
        <w:pStyle w:val="BodyText"/>
        <w:spacing w:before="115" w:line="206" w:lineRule="auto"/>
        <w:ind w:left="1239" w:right="1367"/>
        <w:rPr>
          <w:sz w:val="11"/>
        </w:rPr>
      </w:pPr>
      <w:r>
        <w:rPr>
          <w:color w:val="231F20"/>
        </w:rPr>
        <w:t>My neighbour who was stalking (</w:t>
      </w:r>
      <w:proofErr w:type="gramStart"/>
      <w:r>
        <w:rPr>
          <w:color w:val="231F20"/>
        </w:rPr>
        <w:t>56 year old</w:t>
      </w:r>
      <w:proofErr w:type="gramEnd"/>
      <w:r>
        <w:rPr>
          <w:color w:val="231F20"/>
        </w:rPr>
        <w:t xml:space="preserve"> female) was breaching the interim PSIO </w:t>
      </w:r>
      <w:r>
        <w:rPr>
          <w:color w:val="231F20"/>
          <w:spacing w:val="-4"/>
        </w:rPr>
        <w:t xml:space="preserve">daily, </w:t>
      </w:r>
      <w:r>
        <w:rPr>
          <w:color w:val="231F20"/>
        </w:rPr>
        <w:t xml:space="preserve">but the Police just said ‘she sounds nice’ or would come to the property and tell her to stop and then advise me they warned </w:t>
      </w:r>
      <w:r>
        <w:rPr>
          <w:color w:val="231F20"/>
          <w:spacing w:val="-4"/>
        </w:rPr>
        <w:t xml:space="preserve">her. </w:t>
      </w:r>
      <w:r>
        <w:rPr>
          <w:color w:val="231F20"/>
        </w:rPr>
        <w:t xml:space="preserve">She was breaching the interim order daily </w:t>
      </w:r>
      <w:r>
        <w:rPr>
          <w:color w:val="231F20"/>
          <w:spacing w:val="-3"/>
        </w:rPr>
        <w:t xml:space="preserve">over </w:t>
      </w:r>
      <w:r>
        <w:rPr>
          <w:color w:val="231F20"/>
        </w:rPr>
        <w:t xml:space="preserve">a </w:t>
      </w:r>
      <w:proofErr w:type="gramStart"/>
      <w:r>
        <w:rPr>
          <w:color w:val="231F20"/>
        </w:rPr>
        <w:t>4 month</w:t>
      </w:r>
      <w:proofErr w:type="gramEnd"/>
      <w:r>
        <w:rPr>
          <w:color w:val="231F20"/>
        </w:rPr>
        <w:t xml:space="preserve"> period and at the point of reporting all of the breaches </w:t>
      </w:r>
      <w:r>
        <w:rPr>
          <w:color w:val="231F20"/>
          <w:spacing w:val="-4"/>
        </w:rPr>
        <w:t xml:space="preserve">(daily), </w:t>
      </w:r>
      <w:r>
        <w:rPr>
          <w:color w:val="231F20"/>
        </w:rPr>
        <w:t xml:space="preserve">there was not any consequences against </w:t>
      </w:r>
      <w:r>
        <w:rPr>
          <w:color w:val="231F20"/>
          <w:spacing w:val="-3"/>
        </w:rPr>
        <w:t xml:space="preserve">my </w:t>
      </w:r>
      <w:r>
        <w:rPr>
          <w:color w:val="231F20"/>
        </w:rPr>
        <w:t>stalker.</w:t>
      </w:r>
      <w:r>
        <w:rPr>
          <w:color w:val="231F20"/>
          <w:position w:val="7"/>
          <w:sz w:val="11"/>
        </w:rPr>
        <w:t>137</w:t>
      </w:r>
    </w:p>
    <w:p w14:paraId="68A251FA" w14:textId="77777777" w:rsidR="00894070" w:rsidRDefault="00894070">
      <w:pPr>
        <w:pStyle w:val="BodyText"/>
      </w:pPr>
    </w:p>
    <w:p w14:paraId="362FCAB3" w14:textId="77777777" w:rsidR="00894070" w:rsidRDefault="00894070">
      <w:pPr>
        <w:pStyle w:val="BodyText"/>
      </w:pPr>
    </w:p>
    <w:p w14:paraId="627FF790" w14:textId="77777777" w:rsidR="00894070" w:rsidRDefault="00894070">
      <w:pPr>
        <w:pStyle w:val="BodyText"/>
      </w:pPr>
    </w:p>
    <w:p w14:paraId="6249348A" w14:textId="77777777" w:rsidR="00894070" w:rsidRDefault="00894070">
      <w:pPr>
        <w:pStyle w:val="BodyText"/>
      </w:pPr>
    </w:p>
    <w:p w14:paraId="2D717B2F" w14:textId="77777777" w:rsidR="00894070" w:rsidRDefault="00894070">
      <w:pPr>
        <w:pStyle w:val="BodyText"/>
      </w:pPr>
    </w:p>
    <w:p w14:paraId="758F86DF" w14:textId="77777777" w:rsidR="00894070" w:rsidRDefault="00894070">
      <w:pPr>
        <w:pStyle w:val="BodyText"/>
      </w:pPr>
    </w:p>
    <w:p w14:paraId="1E36202F" w14:textId="77777777" w:rsidR="00894070" w:rsidRDefault="00894070">
      <w:pPr>
        <w:pStyle w:val="BodyText"/>
      </w:pPr>
    </w:p>
    <w:p w14:paraId="1D7D78A1" w14:textId="77777777" w:rsidR="00894070" w:rsidRDefault="00894070">
      <w:pPr>
        <w:pStyle w:val="BodyText"/>
      </w:pPr>
    </w:p>
    <w:p w14:paraId="71896BE3" w14:textId="77777777" w:rsidR="00894070" w:rsidRDefault="00894070">
      <w:pPr>
        <w:pStyle w:val="BodyText"/>
      </w:pPr>
    </w:p>
    <w:p w14:paraId="3FFCD488" w14:textId="77777777" w:rsidR="00894070" w:rsidRDefault="009F6793">
      <w:pPr>
        <w:pStyle w:val="BodyText"/>
        <w:spacing w:before="8"/>
        <w:rPr>
          <w:sz w:val="17"/>
        </w:rPr>
      </w:pPr>
      <w:r>
        <w:pict w14:anchorId="3E0FEC70">
          <v:line id="_x0000_s1178" style="position:absolute;z-index:251743232;mso-wrap-distance-left:0;mso-wrap-distance-right:0;mso-position-horizontal-relative:page" from="79.35pt,14.7pt" to="515.9pt,14.7pt" strokecolor="#f8cabc" strokeweight="1pt">
            <w10:wrap type="topAndBottom" anchorx="page"/>
          </v:line>
        </w:pict>
      </w:r>
    </w:p>
    <w:p w14:paraId="617242FD" w14:textId="77777777" w:rsidR="00894070" w:rsidRDefault="00894070">
      <w:pPr>
        <w:pStyle w:val="BodyText"/>
      </w:pPr>
    </w:p>
    <w:p w14:paraId="7780DF17" w14:textId="77777777" w:rsidR="00894070" w:rsidRDefault="00894070">
      <w:pPr>
        <w:pStyle w:val="BodyText"/>
        <w:spacing w:before="6"/>
        <w:rPr>
          <w:sz w:val="27"/>
        </w:rPr>
      </w:pPr>
    </w:p>
    <w:p w14:paraId="25FB66E0" w14:textId="77777777" w:rsidR="00894070" w:rsidRDefault="009F6793">
      <w:pPr>
        <w:pStyle w:val="Heading8"/>
        <w:spacing w:before="105"/>
        <w:ind w:left="140"/>
      </w:pPr>
      <w:r>
        <w:pict w14:anchorId="03EE5ED5">
          <v:shape id="_x0000_s1177" type="#_x0000_t202" style="position:absolute;left:0;text-align:left;margin-left:77.7pt;margin-top:-27pt;width:422.1pt;height:47.65pt;z-index:25178521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36"/>
                    <w:gridCol w:w="7906"/>
                  </w:tblGrid>
                  <w:tr w:rsidR="00894070" w14:paraId="5519BD46" w14:textId="77777777">
                    <w:trPr>
                      <w:trHeight w:val="316"/>
                    </w:trPr>
                    <w:tc>
                      <w:tcPr>
                        <w:tcW w:w="536" w:type="dxa"/>
                      </w:tcPr>
                      <w:p w14:paraId="6D3B917D" w14:textId="77777777" w:rsidR="00894070" w:rsidRDefault="009B7AFD">
                        <w:pPr>
                          <w:pStyle w:val="TableParagraph"/>
                          <w:spacing w:line="153" w:lineRule="exact"/>
                          <w:ind w:left="33"/>
                          <w:rPr>
                            <w:sz w:val="13"/>
                          </w:rPr>
                        </w:pPr>
                        <w:r>
                          <w:rPr>
                            <w:color w:val="231F20"/>
                            <w:sz w:val="13"/>
                          </w:rPr>
                          <w:t>133</w:t>
                        </w:r>
                      </w:p>
                    </w:tc>
                    <w:tc>
                      <w:tcPr>
                        <w:tcW w:w="7906" w:type="dxa"/>
                      </w:tcPr>
                      <w:p w14:paraId="214956B5" w14:textId="77777777" w:rsidR="00894070" w:rsidRDefault="009B7AFD">
                        <w:pPr>
                          <w:pStyle w:val="TableParagraph"/>
                          <w:spacing w:line="142" w:lineRule="exact"/>
                          <w:ind w:left="291"/>
                          <w:rPr>
                            <w:i/>
                            <w:sz w:val="13"/>
                          </w:rPr>
                        </w:pPr>
                        <w:r>
                          <w:rPr>
                            <w:color w:val="231F20"/>
                            <w:sz w:val="13"/>
                          </w:rPr>
                          <w:t xml:space="preserve">Victorian Law Reform Commission, </w:t>
                        </w:r>
                        <w:r>
                          <w:rPr>
                            <w:i/>
                            <w:color w:val="231F20"/>
                            <w:sz w:val="13"/>
                          </w:rPr>
                          <w:t>Stalking: Summary of Responses to Online Feedback Form from People with Experience of</w:t>
                        </w:r>
                      </w:p>
                      <w:p w14:paraId="15901F9E" w14:textId="77777777" w:rsidR="00894070" w:rsidRDefault="009B7AFD">
                        <w:pPr>
                          <w:pStyle w:val="TableParagraph"/>
                          <w:spacing w:line="154" w:lineRule="exact"/>
                          <w:ind w:left="291"/>
                          <w:rPr>
                            <w:sz w:val="13"/>
                          </w:rPr>
                        </w:pPr>
                        <w:r>
                          <w:rPr>
                            <w:i/>
                            <w:color w:val="231F20"/>
                            <w:sz w:val="13"/>
                          </w:rPr>
                          <w:t xml:space="preserve">Stalking </w:t>
                        </w:r>
                        <w:r>
                          <w:rPr>
                            <w:color w:val="231F20"/>
                            <w:sz w:val="13"/>
                          </w:rPr>
                          <w:t>(Report, August 2021).</w:t>
                        </w:r>
                      </w:p>
                    </w:tc>
                  </w:tr>
                  <w:tr w:rsidR="00894070" w14:paraId="7762A3B6" w14:textId="77777777">
                    <w:trPr>
                      <w:trHeight w:val="160"/>
                    </w:trPr>
                    <w:tc>
                      <w:tcPr>
                        <w:tcW w:w="536" w:type="dxa"/>
                      </w:tcPr>
                      <w:p w14:paraId="577F0E34" w14:textId="77777777" w:rsidR="00894070" w:rsidRDefault="009B7AFD">
                        <w:pPr>
                          <w:pStyle w:val="TableParagraph"/>
                          <w:spacing w:line="140" w:lineRule="exact"/>
                          <w:ind w:left="33"/>
                          <w:rPr>
                            <w:sz w:val="13"/>
                          </w:rPr>
                        </w:pPr>
                        <w:r>
                          <w:rPr>
                            <w:color w:val="231F20"/>
                            <w:sz w:val="13"/>
                          </w:rPr>
                          <w:t>134</w:t>
                        </w:r>
                      </w:p>
                    </w:tc>
                    <w:tc>
                      <w:tcPr>
                        <w:tcW w:w="7906" w:type="dxa"/>
                      </w:tcPr>
                      <w:p w14:paraId="4050D0AF" w14:textId="77777777" w:rsidR="00894070" w:rsidRDefault="009B7AFD">
                        <w:pPr>
                          <w:pStyle w:val="TableParagraph"/>
                          <w:spacing w:line="140" w:lineRule="exact"/>
                          <w:ind w:left="291"/>
                          <w:rPr>
                            <w:sz w:val="13"/>
                          </w:rPr>
                        </w:pPr>
                        <w:r>
                          <w:rPr>
                            <w:color w:val="231F20"/>
                            <w:sz w:val="13"/>
                          </w:rPr>
                          <w:t>Ibid.</w:t>
                        </w:r>
                      </w:p>
                    </w:tc>
                  </w:tr>
                  <w:tr w:rsidR="00894070" w14:paraId="705A3D38" w14:textId="77777777">
                    <w:trPr>
                      <w:trHeight w:val="159"/>
                    </w:trPr>
                    <w:tc>
                      <w:tcPr>
                        <w:tcW w:w="536" w:type="dxa"/>
                      </w:tcPr>
                      <w:p w14:paraId="1E2F6AAA" w14:textId="77777777" w:rsidR="00894070" w:rsidRDefault="009B7AFD">
                        <w:pPr>
                          <w:pStyle w:val="TableParagraph"/>
                          <w:spacing w:line="140" w:lineRule="exact"/>
                          <w:ind w:left="33"/>
                          <w:rPr>
                            <w:sz w:val="13"/>
                          </w:rPr>
                        </w:pPr>
                        <w:r>
                          <w:rPr>
                            <w:color w:val="231F20"/>
                            <w:sz w:val="13"/>
                          </w:rPr>
                          <w:t>135</w:t>
                        </w:r>
                      </w:p>
                    </w:tc>
                    <w:tc>
                      <w:tcPr>
                        <w:tcW w:w="7906" w:type="dxa"/>
                      </w:tcPr>
                      <w:p w14:paraId="1C1BC4D1" w14:textId="77777777" w:rsidR="00894070" w:rsidRDefault="009B7AFD">
                        <w:pPr>
                          <w:pStyle w:val="TableParagraph"/>
                          <w:spacing w:line="140" w:lineRule="exact"/>
                          <w:ind w:left="291"/>
                          <w:rPr>
                            <w:sz w:val="13"/>
                          </w:rPr>
                        </w:pPr>
                        <w:r>
                          <w:rPr>
                            <w:color w:val="231F20"/>
                            <w:sz w:val="13"/>
                          </w:rPr>
                          <w:t>Ibid.</w:t>
                        </w:r>
                      </w:p>
                    </w:tc>
                  </w:tr>
                  <w:tr w:rsidR="00894070" w14:paraId="50E4ACD3" w14:textId="77777777">
                    <w:trPr>
                      <w:trHeight w:val="160"/>
                    </w:trPr>
                    <w:tc>
                      <w:tcPr>
                        <w:tcW w:w="536" w:type="dxa"/>
                      </w:tcPr>
                      <w:p w14:paraId="50EB8F7E" w14:textId="77777777" w:rsidR="00894070" w:rsidRDefault="009B7AFD">
                        <w:pPr>
                          <w:pStyle w:val="TableParagraph"/>
                          <w:spacing w:line="140" w:lineRule="exact"/>
                          <w:ind w:left="33"/>
                          <w:rPr>
                            <w:sz w:val="13"/>
                          </w:rPr>
                        </w:pPr>
                        <w:r>
                          <w:rPr>
                            <w:color w:val="231F20"/>
                            <w:sz w:val="13"/>
                          </w:rPr>
                          <w:t>136</w:t>
                        </w:r>
                      </w:p>
                    </w:tc>
                    <w:tc>
                      <w:tcPr>
                        <w:tcW w:w="7906" w:type="dxa"/>
                      </w:tcPr>
                      <w:p w14:paraId="77ECC23E" w14:textId="77777777" w:rsidR="00894070" w:rsidRDefault="009B7AFD">
                        <w:pPr>
                          <w:pStyle w:val="TableParagraph"/>
                          <w:spacing w:line="140" w:lineRule="exact"/>
                          <w:ind w:left="291"/>
                          <w:rPr>
                            <w:sz w:val="13"/>
                          </w:rPr>
                        </w:pPr>
                        <w:r>
                          <w:rPr>
                            <w:color w:val="231F20"/>
                            <w:sz w:val="13"/>
                          </w:rPr>
                          <w:t>Ibid.</w:t>
                        </w:r>
                      </w:p>
                    </w:tc>
                  </w:tr>
                  <w:tr w:rsidR="00894070" w14:paraId="658C72B3" w14:textId="77777777">
                    <w:trPr>
                      <w:trHeight w:val="156"/>
                    </w:trPr>
                    <w:tc>
                      <w:tcPr>
                        <w:tcW w:w="536" w:type="dxa"/>
                      </w:tcPr>
                      <w:p w14:paraId="6FC6EE7F" w14:textId="77777777" w:rsidR="00894070" w:rsidRDefault="009B7AFD">
                        <w:pPr>
                          <w:pStyle w:val="TableParagraph"/>
                          <w:spacing w:line="136" w:lineRule="exact"/>
                          <w:ind w:left="33"/>
                          <w:rPr>
                            <w:sz w:val="13"/>
                          </w:rPr>
                        </w:pPr>
                        <w:r>
                          <w:rPr>
                            <w:color w:val="231F20"/>
                            <w:sz w:val="13"/>
                          </w:rPr>
                          <w:t>137</w:t>
                        </w:r>
                      </w:p>
                    </w:tc>
                    <w:tc>
                      <w:tcPr>
                        <w:tcW w:w="7906" w:type="dxa"/>
                      </w:tcPr>
                      <w:p w14:paraId="3DB861CB" w14:textId="77777777" w:rsidR="00894070" w:rsidRDefault="009B7AFD">
                        <w:pPr>
                          <w:pStyle w:val="TableParagraph"/>
                          <w:spacing w:line="136" w:lineRule="exact"/>
                          <w:ind w:left="291"/>
                          <w:rPr>
                            <w:sz w:val="13"/>
                          </w:rPr>
                        </w:pPr>
                        <w:r>
                          <w:rPr>
                            <w:color w:val="231F20"/>
                            <w:sz w:val="13"/>
                          </w:rPr>
                          <w:t>Ibid.</w:t>
                        </w:r>
                      </w:p>
                    </w:tc>
                  </w:tr>
                </w:tbl>
                <w:p w14:paraId="58192194" w14:textId="77777777" w:rsidR="00894070" w:rsidRDefault="00894070">
                  <w:pPr>
                    <w:pStyle w:val="BodyText"/>
                  </w:pPr>
                </w:p>
              </w:txbxContent>
            </v:textbox>
            <w10:wrap anchorx="page"/>
          </v:shape>
        </w:pict>
      </w:r>
      <w:r w:rsidR="009B7AFD">
        <w:rPr>
          <w:color w:val="EA5B50"/>
        </w:rPr>
        <w:t>150</w:t>
      </w:r>
    </w:p>
    <w:p w14:paraId="38A65A0B" w14:textId="77777777" w:rsidR="00894070" w:rsidRDefault="00894070">
      <w:pPr>
        <w:sectPr w:rsidR="00894070">
          <w:pgSz w:w="11910" w:h="16840"/>
          <w:pgMar w:top="860" w:right="420" w:bottom="280" w:left="580" w:header="567" w:footer="0" w:gutter="0"/>
          <w:cols w:space="720"/>
        </w:sectPr>
      </w:pPr>
    </w:p>
    <w:p w14:paraId="60D93A73" w14:textId="77777777" w:rsidR="00894070" w:rsidRDefault="00894070">
      <w:pPr>
        <w:pStyle w:val="BodyText"/>
        <w:rPr>
          <w:b/>
        </w:rPr>
      </w:pPr>
    </w:p>
    <w:p w14:paraId="08A4418C" w14:textId="77777777" w:rsidR="00894070" w:rsidRDefault="00894070">
      <w:pPr>
        <w:pStyle w:val="BodyText"/>
        <w:rPr>
          <w:b/>
        </w:rPr>
      </w:pPr>
    </w:p>
    <w:p w14:paraId="20733D53" w14:textId="77777777" w:rsidR="00894070" w:rsidRDefault="00894070">
      <w:pPr>
        <w:pStyle w:val="BodyText"/>
        <w:rPr>
          <w:b/>
        </w:rPr>
      </w:pPr>
    </w:p>
    <w:p w14:paraId="00046C1A" w14:textId="77777777" w:rsidR="00894070" w:rsidRDefault="00894070">
      <w:pPr>
        <w:pStyle w:val="BodyText"/>
        <w:spacing w:before="9"/>
        <w:rPr>
          <w:b/>
          <w:sz w:val="21"/>
        </w:rPr>
      </w:pPr>
    </w:p>
    <w:p w14:paraId="44B3D7D8" w14:textId="77777777" w:rsidR="00894070" w:rsidRDefault="009F6793">
      <w:pPr>
        <w:pStyle w:val="BodyText"/>
        <w:ind w:left="1007"/>
      </w:pPr>
      <w:r>
        <w:pict w14:anchorId="4A99176F">
          <v:shape id="_x0000_s1738" type="#_x0000_t202" style="width:436.05pt;height:122.1pt;mso-left-percent:-10001;mso-top-percent:-10001;mso-position-horizontal:absolute;mso-position-horizontal-relative:char;mso-position-vertical:absolute;mso-position-vertical-relative:line;mso-left-percent:-10001;mso-top-percent:-10001" fillcolor="#fee7de" strokecolor="#ea5b50" strokeweight=".5pt">
            <v:textbox inset="0,0,0,0">
              <w:txbxContent>
                <w:p w14:paraId="06608D8C" w14:textId="77777777" w:rsidR="00894070" w:rsidRDefault="009B7AFD">
                  <w:pPr>
                    <w:spacing w:before="179"/>
                    <w:ind w:left="221"/>
                    <w:rPr>
                      <w:i/>
                      <w:sz w:val="20"/>
                    </w:rPr>
                  </w:pPr>
                  <w:r>
                    <w:rPr>
                      <w:i/>
                      <w:color w:val="231F20"/>
                      <w:sz w:val="20"/>
                    </w:rPr>
                    <w:t>One person who identified themselves as living in a rural or regional community told us:</w:t>
                  </w:r>
                </w:p>
                <w:p w14:paraId="4122EAEF" w14:textId="77777777" w:rsidR="00894070" w:rsidRDefault="009B7AFD">
                  <w:pPr>
                    <w:pStyle w:val="BodyText"/>
                    <w:spacing w:before="114" w:line="206" w:lineRule="auto"/>
                    <w:ind w:left="221" w:right="230"/>
                    <w:rPr>
                      <w:sz w:val="11"/>
                    </w:rPr>
                  </w:pPr>
                  <w:r>
                    <w:rPr>
                      <w:color w:val="231F20"/>
                    </w:rPr>
                    <w:t>I now need the police to take a breach of an intervention seriously. Negotiations took place between lawyers on the day of our PSIO hearing regarding the distance allowed by the respondent from our house, school, place of work, including her ability to get around town without being allowed to drive on those roads. Yet when we’ve reported the person is frequently driving past, the police have advised that driving past is not a breach and, again, if they were to respond to every breach of a PSIO of someone driving past, they’d be doing that all day.</w:t>
                  </w:r>
                  <w:r>
                    <w:rPr>
                      <w:color w:val="231F20"/>
                      <w:position w:val="7"/>
                      <w:sz w:val="11"/>
                    </w:rPr>
                    <w:t>138</w:t>
                  </w:r>
                </w:p>
              </w:txbxContent>
            </v:textbox>
            <w10:anchorlock/>
          </v:shape>
        </w:pict>
      </w:r>
    </w:p>
    <w:p w14:paraId="426C4E5D" w14:textId="77777777" w:rsidR="00894070" w:rsidRDefault="00894070">
      <w:pPr>
        <w:pStyle w:val="BodyText"/>
        <w:spacing w:before="1"/>
        <w:rPr>
          <w:b/>
          <w:sz w:val="19"/>
        </w:rPr>
      </w:pPr>
    </w:p>
    <w:p w14:paraId="500725C5" w14:textId="77777777" w:rsidR="00894070" w:rsidRDefault="009B7AFD">
      <w:pPr>
        <w:pStyle w:val="ListParagraph"/>
        <w:numPr>
          <w:ilvl w:val="0"/>
          <w:numId w:val="47"/>
        </w:numPr>
        <w:tabs>
          <w:tab w:val="left" w:pos="1801"/>
          <w:tab w:val="left" w:pos="1802"/>
        </w:tabs>
        <w:spacing w:before="90" w:line="206" w:lineRule="auto"/>
        <w:ind w:right="1615"/>
        <w:rPr>
          <w:sz w:val="20"/>
        </w:rPr>
      </w:pPr>
      <w:r>
        <w:rPr>
          <w:color w:val="231F20"/>
          <w:sz w:val="20"/>
        </w:rPr>
        <w:t>It</w:t>
      </w:r>
      <w:r>
        <w:rPr>
          <w:color w:val="231F20"/>
          <w:spacing w:val="-7"/>
          <w:sz w:val="20"/>
        </w:rPr>
        <w:t xml:space="preserve"> </w:t>
      </w:r>
      <w:r>
        <w:rPr>
          <w:color w:val="231F20"/>
          <w:sz w:val="20"/>
        </w:rPr>
        <w:t>is</w:t>
      </w:r>
      <w:r>
        <w:rPr>
          <w:color w:val="231F20"/>
          <w:spacing w:val="-7"/>
          <w:sz w:val="20"/>
        </w:rPr>
        <w:t xml:space="preserve"> </w:t>
      </w:r>
      <w:r>
        <w:rPr>
          <w:color w:val="231F20"/>
          <w:sz w:val="20"/>
        </w:rPr>
        <w:t>important</w:t>
      </w:r>
      <w:r>
        <w:rPr>
          <w:color w:val="231F20"/>
          <w:spacing w:val="-6"/>
          <w:sz w:val="20"/>
        </w:rPr>
        <w:t xml:space="preserve"> </w:t>
      </w:r>
      <w:r>
        <w:rPr>
          <w:color w:val="231F20"/>
          <w:sz w:val="20"/>
        </w:rPr>
        <w:t>that</w:t>
      </w:r>
      <w:r>
        <w:rPr>
          <w:color w:val="231F20"/>
          <w:spacing w:val="-7"/>
          <w:sz w:val="20"/>
        </w:rPr>
        <w:t xml:space="preserve"> </w:t>
      </w:r>
      <w:r>
        <w:rPr>
          <w:color w:val="231F20"/>
          <w:sz w:val="20"/>
        </w:rPr>
        <w:t>breaches</w:t>
      </w:r>
      <w:r>
        <w:rPr>
          <w:color w:val="231F20"/>
          <w:spacing w:val="-7"/>
          <w:sz w:val="20"/>
        </w:rPr>
        <w:t xml:space="preserve"> </w:t>
      </w:r>
      <w:r>
        <w:rPr>
          <w:color w:val="231F20"/>
          <w:sz w:val="20"/>
        </w:rPr>
        <w:t>be</w:t>
      </w:r>
      <w:r>
        <w:rPr>
          <w:color w:val="231F20"/>
          <w:spacing w:val="-7"/>
          <w:sz w:val="20"/>
        </w:rPr>
        <w:t xml:space="preserve"> </w:t>
      </w:r>
      <w:r>
        <w:rPr>
          <w:color w:val="231F20"/>
          <w:sz w:val="20"/>
        </w:rPr>
        <w:t>dealt</w:t>
      </w:r>
      <w:r>
        <w:rPr>
          <w:color w:val="231F20"/>
          <w:spacing w:val="-6"/>
          <w:sz w:val="20"/>
        </w:rPr>
        <w:t xml:space="preserve"> </w:t>
      </w:r>
      <w:r>
        <w:rPr>
          <w:color w:val="231F20"/>
          <w:sz w:val="20"/>
        </w:rPr>
        <w:t>with</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the</w:t>
      </w:r>
      <w:r>
        <w:rPr>
          <w:color w:val="231F20"/>
          <w:spacing w:val="-6"/>
          <w:sz w:val="20"/>
        </w:rPr>
        <w:t xml:space="preserve"> </w:t>
      </w:r>
      <w:r>
        <w:rPr>
          <w:color w:val="231F20"/>
          <w:spacing w:val="-2"/>
          <w:sz w:val="20"/>
        </w:rPr>
        <w:t>system</w:t>
      </w:r>
      <w:r>
        <w:rPr>
          <w:color w:val="231F20"/>
          <w:spacing w:val="-7"/>
          <w:sz w:val="20"/>
        </w:rPr>
        <w:t xml:space="preserve"> </w:t>
      </w:r>
      <w:r>
        <w:rPr>
          <w:color w:val="231F20"/>
          <w:sz w:val="20"/>
        </w:rPr>
        <w:t>to</w:t>
      </w:r>
      <w:r>
        <w:rPr>
          <w:color w:val="231F20"/>
          <w:spacing w:val="-7"/>
          <w:sz w:val="20"/>
        </w:rPr>
        <w:t xml:space="preserve"> </w:t>
      </w:r>
      <w:r>
        <w:rPr>
          <w:color w:val="231F20"/>
          <w:spacing w:val="-4"/>
          <w:sz w:val="20"/>
        </w:rPr>
        <w:t>have</w:t>
      </w:r>
      <w:r>
        <w:rPr>
          <w:color w:val="231F20"/>
          <w:spacing w:val="-6"/>
          <w:sz w:val="20"/>
        </w:rPr>
        <w:t xml:space="preserve"> </w:t>
      </w:r>
      <w:r>
        <w:rPr>
          <w:color w:val="231F20"/>
          <w:spacing w:val="-3"/>
          <w:sz w:val="20"/>
        </w:rPr>
        <w:t>credibility.</w:t>
      </w:r>
      <w:r>
        <w:rPr>
          <w:color w:val="231F20"/>
          <w:spacing w:val="-7"/>
          <w:sz w:val="20"/>
        </w:rPr>
        <w:t xml:space="preserve"> </w:t>
      </w:r>
      <w:r>
        <w:rPr>
          <w:color w:val="231F20"/>
          <w:sz w:val="20"/>
        </w:rPr>
        <w:t>As</w:t>
      </w:r>
      <w:r>
        <w:rPr>
          <w:color w:val="231F20"/>
          <w:spacing w:val="-7"/>
          <w:sz w:val="20"/>
        </w:rPr>
        <w:t xml:space="preserve"> </w:t>
      </w:r>
      <w:r>
        <w:rPr>
          <w:color w:val="231F20"/>
          <w:sz w:val="20"/>
        </w:rPr>
        <w:t>one victim</w:t>
      </w:r>
      <w:r>
        <w:rPr>
          <w:color w:val="231F20"/>
          <w:spacing w:val="-5"/>
          <w:sz w:val="20"/>
        </w:rPr>
        <w:t xml:space="preserve"> </w:t>
      </w:r>
      <w:r>
        <w:rPr>
          <w:color w:val="231F20"/>
          <w:sz w:val="20"/>
        </w:rPr>
        <w:t>survivor</w:t>
      </w:r>
      <w:r>
        <w:rPr>
          <w:color w:val="231F20"/>
          <w:spacing w:val="-5"/>
          <w:sz w:val="20"/>
        </w:rPr>
        <w:t xml:space="preserve"> </w:t>
      </w:r>
      <w:r>
        <w:rPr>
          <w:color w:val="231F20"/>
          <w:sz w:val="20"/>
        </w:rPr>
        <w:t>who</w:t>
      </w:r>
      <w:r>
        <w:rPr>
          <w:color w:val="231F20"/>
          <w:spacing w:val="-5"/>
          <w:sz w:val="20"/>
        </w:rPr>
        <w:t xml:space="preserve"> </w:t>
      </w:r>
      <w:r>
        <w:rPr>
          <w:color w:val="231F20"/>
          <w:sz w:val="20"/>
        </w:rPr>
        <w:t>was</w:t>
      </w:r>
      <w:r>
        <w:rPr>
          <w:color w:val="231F20"/>
          <w:spacing w:val="-5"/>
          <w:sz w:val="20"/>
        </w:rPr>
        <w:t xml:space="preserve"> </w:t>
      </w:r>
      <w:r>
        <w:rPr>
          <w:color w:val="231F20"/>
          <w:sz w:val="20"/>
        </w:rPr>
        <w:t>granted</w:t>
      </w:r>
      <w:r>
        <w:rPr>
          <w:color w:val="231F20"/>
          <w:spacing w:val="-5"/>
          <w:sz w:val="20"/>
        </w:rPr>
        <w:t xml:space="preserve"> </w:t>
      </w:r>
      <w:r>
        <w:rPr>
          <w:color w:val="231F20"/>
          <w:sz w:val="20"/>
        </w:rPr>
        <w:t>a</w:t>
      </w:r>
      <w:r>
        <w:rPr>
          <w:color w:val="231F20"/>
          <w:spacing w:val="-5"/>
          <w:sz w:val="20"/>
        </w:rPr>
        <w:t xml:space="preserve"> </w:t>
      </w:r>
      <w:r>
        <w:rPr>
          <w:color w:val="231F20"/>
          <w:sz w:val="20"/>
        </w:rPr>
        <w:t>PSIO</w:t>
      </w:r>
      <w:r>
        <w:rPr>
          <w:color w:val="231F20"/>
          <w:spacing w:val="-5"/>
          <w:sz w:val="20"/>
        </w:rPr>
        <w:t xml:space="preserve"> </w:t>
      </w:r>
      <w:r>
        <w:rPr>
          <w:color w:val="231F20"/>
          <w:sz w:val="20"/>
        </w:rPr>
        <w:t>in</w:t>
      </w:r>
      <w:r>
        <w:rPr>
          <w:color w:val="231F20"/>
          <w:spacing w:val="-5"/>
          <w:sz w:val="20"/>
        </w:rPr>
        <w:t xml:space="preserve"> </w:t>
      </w:r>
      <w:r>
        <w:rPr>
          <w:color w:val="231F20"/>
          <w:spacing w:val="-4"/>
          <w:sz w:val="20"/>
        </w:rPr>
        <w:t>2020</w:t>
      </w:r>
      <w:r>
        <w:rPr>
          <w:color w:val="231F20"/>
          <w:spacing w:val="-5"/>
          <w:sz w:val="20"/>
        </w:rPr>
        <w:t xml:space="preserve"> </w:t>
      </w:r>
      <w:r>
        <w:rPr>
          <w:color w:val="231F20"/>
          <w:sz w:val="20"/>
        </w:rPr>
        <w:t>explained:</w:t>
      </w:r>
    </w:p>
    <w:p w14:paraId="3D40C431" w14:textId="77777777" w:rsidR="00894070" w:rsidRDefault="009F6793">
      <w:pPr>
        <w:pStyle w:val="BodyText"/>
        <w:spacing w:before="6"/>
        <w:rPr>
          <w:sz w:val="23"/>
        </w:rPr>
      </w:pPr>
      <w:r>
        <w:pict w14:anchorId="6E24CD0C">
          <v:shape id="_x0000_s1175" type="#_x0000_t202" style="position:absolute;margin-left:119.3pt;margin-top:18.5pt;width:396.35pt;height:44.1pt;z-index:251744256;mso-wrap-distance-left:0;mso-wrap-distance-right:0;mso-position-horizontal-relative:page" fillcolor="#fee7de" strokecolor="#ea5b50" strokeweight=".5pt">
            <v:textbox inset="0,0,0,0">
              <w:txbxContent>
                <w:p w14:paraId="33648826" w14:textId="77777777" w:rsidR="00894070" w:rsidRDefault="00894070">
                  <w:pPr>
                    <w:pStyle w:val="BodyText"/>
                    <w:spacing w:before="3"/>
                    <w:rPr>
                      <w:sz w:val="15"/>
                    </w:rPr>
                  </w:pPr>
                </w:p>
                <w:p w14:paraId="32C7FA17" w14:textId="77777777" w:rsidR="00894070" w:rsidRDefault="009B7AFD">
                  <w:pPr>
                    <w:pStyle w:val="BodyText"/>
                    <w:spacing w:line="206" w:lineRule="auto"/>
                    <w:ind w:left="221"/>
                    <w:rPr>
                      <w:sz w:val="11"/>
                    </w:rPr>
                  </w:pPr>
                  <w:r>
                    <w:rPr>
                      <w:color w:val="231F20"/>
                    </w:rPr>
                    <w:t>He keeps breaching it and doesn’t care anymore because he doesn’t care about police and he knows he’ll only get a slap on the hand so he keeps doing it.</w:t>
                  </w:r>
                  <w:r>
                    <w:rPr>
                      <w:color w:val="231F20"/>
                      <w:position w:val="7"/>
                      <w:sz w:val="11"/>
                    </w:rPr>
                    <w:t>139</w:t>
                  </w:r>
                </w:p>
              </w:txbxContent>
            </v:textbox>
            <w10:wrap type="topAndBottom" anchorx="page"/>
          </v:shape>
        </w:pict>
      </w:r>
    </w:p>
    <w:p w14:paraId="78B36C88" w14:textId="77777777" w:rsidR="00894070" w:rsidRDefault="00894070">
      <w:pPr>
        <w:pStyle w:val="BodyText"/>
        <w:spacing w:before="6"/>
        <w:rPr>
          <w:sz w:val="19"/>
        </w:rPr>
      </w:pPr>
    </w:p>
    <w:p w14:paraId="16578A5B" w14:textId="77777777" w:rsidR="00894070" w:rsidRDefault="009B7AFD">
      <w:pPr>
        <w:pStyle w:val="ListParagraph"/>
        <w:numPr>
          <w:ilvl w:val="0"/>
          <w:numId w:val="47"/>
        </w:numPr>
        <w:tabs>
          <w:tab w:val="left" w:pos="1801"/>
          <w:tab w:val="left" w:pos="1802"/>
        </w:tabs>
        <w:spacing w:before="57"/>
        <w:rPr>
          <w:sz w:val="20"/>
        </w:rPr>
      </w:pPr>
      <w:r>
        <w:rPr>
          <w:color w:val="231F20"/>
          <w:sz w:val="20"/>
        </w:rPr>
        <w:t>Di</w:t>
      </w:r>
      <w:r>
        <w:rPr>
          <w:color w:val="231F20"/>
          <w:spacing w:val="-14"/>
          <w:sz w:val="20"/>
        </w:rPr>
        <w:t xml:space="preserve"> </w:t>
      </w:r>
      <w:r>
        <w:rPr>
          <w:color w:val="231F20"/>
          <w:sz w:val="20"/>
        </w:rPr>
        <w:t>McDonald,</w:t>
      </w:r>
      <w:r>
        <w:rPr>
          <w:color w:val="231F20"/>
          <w:spacing w:val="-13"/>
          <w:sz w:val="20"/>
        </w:rPr>
        <w:t xml:space="preserve"> </w:t>
      </w:r>
      <w:r>
        <w:rPr>
          <w:color w:val="231F20"/>
          <w:sz w:val="20"/>
        </w:rPr>
        <w:t>a</w:t>
      </w:r>
      <w:r>
        <w:rPr>
          <w:color w:val="231F20"/>
          <w:spacing w:val="-13"/>
          <w:sz w:val="20"/>
        </w:rPr>
        <w:t xml:space="preserve"> </w:t>
      </w:r>
      <w:r>
        <w:rPr>
          <w:color w:val="231F20"/>
          <w:sz w:val="20"/>
        </w:rPr>
        <w:t>person</w:t>
      </w:r>
      <w:r>
        <w:rPr>
          <w:color w:val="231F20"/>
          <w:spacing w:val="-14"/>
          <w:sz w:val="20"/>
        </w:rPr>
        <w:t xml:space="preserve"> </w:t>
      </w:r>
      <w:r>
        <w:rPr>
          <w:color w:val="231F20"/>
          <w:sz w:val="20"/>
        </w:rPr>
        <w:t>who</w:t>
      </w:r>
      <w:r>
        <w:rPr>
          <w:color w:val="231F20"/>
          <w:spacing w:val="-13"/>
          <w:sz w:val="20"/>
        </w:rPr>
        <w:t xml:space="preserve"> </w:t>
      </w:r>
      <w:r>
        <w:rPr>
          <w:color w:val="231F20"/>
          <w:sz w:val="20"/>
        </w:rPr>
        <w:t>experienced</w:t>
      </w:r>
      <w:r>
        <w:rPr>
          <w:color w:val="231F20"/>
          <w:spacing w:val="-13"/>
          <w:sz w:val="20"/>
        </w:rPr>
        <w:t xml:space="preserve"> </w:t>
      </w:r>
      <w:r>
        <w:rPr>
          <w:color w:val="231F20"/>
          <w:sz w:val="20"/>
        </w:rPr>
        <w:t>stalking,</w:t>
      </w:r>
      <w:r>
        <w:rPr>
          <w:color w:val="231F20"/>
          <w:spacing w:val="-13"/>
          <w:sz w:val="20"/>
        </w:rPr>
        <w:t xml:space="preserve"> </w:t>
      </w:r>
      <w:r>
        <w:rPr>
          <w:color w:val="231F20"/>
          <w:sz w:val="20"/>
        </w:rPr>
        <w:t>suggested:</w:t>
      </w:r>
    </w:p>
    <w:p w14:paraId="37637CBB" w14:textId="77777777" w:rsidR="00894070" w:rsidRDefault="009F6793">
      <w:pPr>
        <w:pStyle w:val="BodyText"/>
        <w:spacing w:before="12"/>
        <w:rPr>
          <w:sz w:val="22"/>
        </w:rPr>
      </w:pPr>
      <w:r>
        <w:pict w14:anchorId="14DB2964">
          <v:shape id="_x0000_s1174" type="#_x0000_t202" style="position:absolute;margin-left:119.3pt;margin-top:18.1pt;width:396.35pt;height:56.1pt;z-index:251745280;mso-wrap-distance-left:0;mso-wrap-distance-right:0;mso-position-horizontal-relative:page" fillcolor="#fee7de" strokecolor="#ea5b50" strokeweight=".5pt">
            <v:textbox inset="0,0,0,0">
              <w:txbxContent>
                <w:p w14:paraId="60763D05" w14:textId="77777777" w:rsidR="00894070" w:rsidRDefault="00894070">
                  <w:pPr>
                    <w:pStyle w:val="BodyText"/>
                    <w:spacing w:before="3"/>
                    <w:rPr>
                      <w:sz w:val="15"/>
                    </w:rPr>
                  </w:pPr>
                </w:p>
                <w:p w14:paraId="330FD743" w14:textId="77777777" w:rsidR="00894070" w:rsidRDefault="009B7AFD">
                  <w:pPr>
                    <w:pStyle w:val="BodyText"/>
                    <w:spacing w:line="206" w:lineRule="auto"/>
                    <w:ind w:left="221" w:right="366"/>
                    <w:rPr>
                      <w:sz w:val="11"/>
                    </w:rPr>
                  </w:pPr>
                  <w:r>
                    <w:rPr>
                      <w:color w:val="231F20"/>
                    </w:rPr>
                    <w:t>Police should attend when called, not just advise you to ask your neighbours to make a citizen’s arrest, tackle him to the ground and rip off the balaclava, then call Police.</w:t>
                  </w:r>
                  <w:r>
                    <w:rPr>
                      <w:color w:val="231F20"/>
                      <w:position w:val="7"/>
                      <w:sz w:val="11"/>
                    </w:rPr>
                    <w:t>140</w:t>
                  </w:r>
                </w:p>
              </w:txbxContent>
            </v:textbox>
            <w10:wrap type="topAndBottom" anchorx="page"/>
          </v:shape>
        </w:pict>
      </w:r>
    </w:p>
    <w:p w14:paraId="7EB4EA32" w14:textId="77777777" w:rsidR="00894070" w:rsidRDefault="00894070">
      <w:pPr>
        <w:pStyle w:val="BodyText"/>
        <w:spacing w:before="6"/>
        <w:rPr>
          <w:sz w:val="19"/>
        </w:rPr>
      </w:pPr>
    </w:p>
    <w:p w14:paraId="7D897F50" w14:textId="77777777" w:rsidR="00894070" w:rsidRDefault="009B7AFD">
      <w:pPr>
        <w:pStyle w:val="ListParagraph"/>
        <w:numPr>
          <w:ilvl w:val="0"/>
          <w:numId w:val="47"/>
        </w:numPr>
        <w:tabs>
          <w:tab w:val="left" w:pos="1801"/>
          <w:tab w:val="left" w:pos="1802"/>
        </w:tabs>
        <w:spacing w:before="89" w:line="206" w:lineRule="auto"/>
        <w:ind w:right="1360"/>
        <w:rPr>
          <w:sz w:val="11"/>
        </w:rPr>
      </w:pPr>
      <w:r>
        <w:rPr>
          <w:color w:val="231F20"/>
          <w:spacing w:val="-5"/>
          <w:sz w:val="20"/>
        </w:rPr>
        <w:t xml:space="preserve">However, </w:t>
      </w:r>
      <w:r>
        <w:rPr>
          <w:color w:val="231F20"/>
          <w:sz w:val="20"/>
        </w:rPr>
        <w:t xml:space="preserve">data </w:t>
      </w:r>
      <w:r>
        <w:rPr>
          <w:color w:val="231F20"/>
          <w:spacing w:val="-3"/>
          <w:sz w:val="20"/>
        </w:rPr>
        <w:t xml:space="preserve">we received from </w:t>
      </w:r>
      <w:r>
        <w:rPr>
          <w:color w:val="231F20"/>
          <w:sz w:val="20"/>
        </w:rPr>
        <w:t>the Sentencing Advisory Council might suggest, at least</w:t>
      </w:r>
      <w:r>
        <w:rPr>
          <w:color w:val="231F20"/>
          <w:spacing w:val="-7"/>
          <w:sz w:val="20"/>
        </w:rPr>
        <w:t xml:space="preserve"> </w:t>
      </w:r>
      <w:r>
        <w:rPr>
          <w:color w:val="231F20"/>
          <w:sz w:val="20"/>
        </w:rPr>
        <w:t>in</w:t>
      </w:r>
      <w:r>
        <w:rPr>
          <w:color w:val="231F20"/>
          <w:spacing w:val="-7"/>
          <w:sz w:val="20"/>
        </w:rPr>
        <w:t xml:space="preserve"> </w:t>
      </w:r>
      <w:r>
        <w:rPr>
          <w:color w:val="231F20"/>
          <w:sz w:val="20"/>
        </w:rPr>
        <w:t>part,</w:t>
      </w:r>
      <w:r>
        <w:rPr>
          <w:color w:val="231F20"/>
          <w:spacing w:val="-6"/>
          <w:sz w:val="20"/>
        </w:rPr>
        <w:t xml:space="preserve"> </w:t>
      </w:r>
      <w:r>
        <w:rPr>
          <w:color w:val="231F20"/>
          <w:sz w:val="20"/>
        </w:rPr>
        <w:t>an</w:t>
      </w:r>
      <w:r>
        <w:rPr>
          <w:color w:val="231F20"/>
          <w:spacing w:val="-7"/>
          <w:sz w:val="20"/>
        </w:rPr>
        <w:t xml:space="preserve"> </w:t>
      </w:r>
      <w:r>
        <w:rPr>
          <w:color w:val="231F20"/>
          <w:sz w:val="20"/>
        </w:rPr>
        <w:t>‘increased</w:t>
      </w:r>
      <w:r>
        <w:rPr>
          <w:color w:val="231F20"/>
          <w:spacing w:val="-6"/>
          <w:sz w:val="20"/>
        </w:rPr>
        <w:t xml:space="preserve"> </w:t>
      </w:r>
      <w:r>
        <w:rPr>
          <w:color w:val="231F20"/>
          <w:sz w:val="20"/>
        </w:rPr>
        <w:t>police</w:t>
      </w:r>
      <w:r>
        <w:rPr>
          <w:color w:val="231F20"/>
          <w:spacing w:val="-7"/>
          <w:sz w:val="20"/>
        </w:rPr>
        <w:t xml:space="preserve"> </w:t>
      </w:r>
      <w:r>
        <w:rPr>
          <w:color w:val="231F20"/>
          <w:spacing w:val="-3"/>
          <w:sz w:val="20"/>
        </w:rPr>
        <w:t>responsiveness</w:t>
      </w:r>
      <w:r>
        <w:rPr>
          <w:color w:val="231F20"/>
          <w:spacing w:val="-6"/>
          <w:sz w:val="20"/>
        </w:rPr>
        <w:t xml:space="preserve"> </w:t>
      </w:r>
      <w:r>
        <w:rPr>
          <w:color w:val="231F20"/>
          <w:sz w:val="20"/>
        </w:rPr>
        <w:t>to</w:t>
      </w:r>
      <w:r>
        <w:rPr>
          <w:color w:val="231F20"/>
          <w:spacing w:val="-7"/>
          <w:sz w:val="20"/>
        </w:rPr>
        <w:t xml:space="preserve"> </w:t>
      </w:r>
      <w:r>
        <w:rPr>
          <w:color w:val="231F20"/>
          <w:spacing w:val="-3"/>
          <w:sz w:val="20"/>
        </w:rPr>
        <w:t>breaches’</w:t>
      </w:r>
      <w:r>
        <w:rPr>
          <w:color w:val="231F20"/>
          <w:spacing w:val="-6"/>
          <w:sz w:val="20"/>
        </w:rPr>
        <w:t xml:space="preserve"> </w:t>
      </w:r>
      <w:r>
        <w:rPr>
          <w:color w:val="231F20"/>
          <w:sz w:val="20"/>
        </w:rPr>
        <w:t>since</w:t>
      </w:r>
      <w:r>
        <w:rPr>
          <w:color w:val="231F20"/>
          <w:spacing w:val="-7"/>
          <w:sz w:val="20"/>
        </w:rPr>
        <w:t xml:space="preserve"> </w:t>
      </w:r>
      <w:r>
        <w:rPr>
          <w:color w:val="231F20"/>
          <w:sz w:val="20"/>
        </w:rPr>
        <w:t>the</w:t>
      </w:r>
      <w:r>
        <w:rPr>
          <w:color w:val="231F20"/>
          <w:spacing w:val="-7"/>
          <w:sz w:val="20"/>
        </w:rPr>
        <w:t xml:space="preserve"> </w:t>
      </w:r>
      <w:r>
        <w:rPr>
          <w:color w:val="231F20"/>
          <w:sz w:val="20"/>
        </w:rPr>
        <w:t>PSIO</w:t>
      </w:r>
      <w:r>
        <w:rPr>
          <w:color w:val="231F20"/>
          <w:spacing w:val="-6"/>
          <w:sz w:val="20"/>
        </w:rPr>
        <w:t xml:space="preserve"> </w:t>
      </w:r>
      <w:r>
        <w:rPr>
          <w:color w:val="231F20"/>
          <w:sz w:val="20"/>
        </w:rPr>
        <w:t xml:space="preserve">scheme </w:t>
      </w:r>
      <w:r>
        <w:rPr>
          <w:color w:val="231F20"/>
          <w:spacing w:val="-3"/>
          <w:sz w:val="20"/>
        </w:rPr>
        <w:t xml:space="preserve">entered into </w:t>
      </w:r>
      <w:r>
        <w:rPr>
          <w:color w:val="231F20"/>
          <w:spacing w:val="-4"/>
          <w:sz w:val="20"/>
        </w:rPr>
        <w:t xml:space="preserve">force </w:t>
      </w:r>
      <w:r>
        <w:rPr>
          <w:color w:val="231F20"/>
          <w:sz w:val="20"/>
        </w:rPr>
        <w:t xml:space="preserve">in 2011. Whereas police </w:t>
      </w:r>
      <w:r>
        <w:rPr>
          <w:color w:val="231F20"/>
          <w:spacing w:val="-3"/>
          <w:sz w:val="20"/>
        </w:rPr>
        <w:t xml:space="preserve">recorded only </w:t>
      </w:r>
      <w:r>
        <w:rPr>
          <w:color w:val="231F20"/>
          <w:sz w:val="20"/>
        </w:rPr>
        <w:t xml:space="preserve">919 breach offences in 2012 </w:t>
      </w:r>
      <w:r>
        <w:rPr>
          <w:color w:val="231F20"/>
          <w:spacing w:val="-3"/>
          <w:sz w:val="20"/>
        </w:rPr>
        <w:t>(the</w:t>
      </w:r>
      <w:r>
        <w:rPr>
          <w:color w:val="231F20"/>
          <w:spacing w:val="-5"/>
          <w:sz w:val="20"/>
        </w:rPr>
        <w:t xml:space="preserve"> </w:t>
      </w:r>
      <w:r>
        <w:rPr>
          <w:color w:val="231F20"/>
          <w:sz w:val="20"/>
        </w:rPr>
        <w:t>first</w:t>
      </w:r>
      <w:r>
        <w:rPr>
          <w:color w:val="231F20"/>
          <w:spacing w:val="-5"/>
          <w:sz w:val="20"/>
        </w:rPr>
        <w:t xml:space="preserve"> </w:t>
      </w:r>
      <w:r>
        <w:rPr>
          <w:color w:val="231F20"/>
          <w:sz w:val="20"/>
        </w:rPr>
        <w:t>full</w:t>
      </w:r>
      <w:r>
        <w:rPr>
          <w:color w:val="231F20"/>
          <w:spacing w:val="-4"/>
          <w:sz w:val="20"/>
        </w:rPr>
        <w:t xml:space="preserve"> </w:t>
      </w:r>
      <w:r>
        <w:rPr>
          <w:color w:val="231F20"/>
          <w:sz w:val="20"/>
        </w:rPr>
        <w:t>year</w:t>
      </w:r>
      <w:r>
        <w:rPr>
          <w:color w:val="231F20"/>
          <w:spacing w:val="-5"/>
          <w:sz w:val="20"/>
        </w:rPr>
        <w:t xml:space="preserve"> </w:t>
      </w:r>
      <w:r>
        <w:rPr>
          <w:color w:val="231F20"/>
          <w:sz w:val="20"/>
        </w:rPr>
        <w:t>of</w:t>
      </w:r>
      <w:r>
        <w:rPr>
          <w:color w:val="231F20"/>
          <w:spacing w:val="-4"/>
          <w:sz w:val="20"/>
        </w:rPr>
        <w:t xml:space="preserve"> </w:t>
      </w:r>
      <w:r>
        <w:rPr>
          <w:color w:val="231F20"/>
          <w:sz w:val="20"/>
        </w:rPr>
        <w:t>the</w:t>
      </w:r>
      <w:r>
        <w:rPr>
          <w:color w:val="231F20"/>
          <w:spacing w:val="-5"/>
          <w:sz w:val="20"/>
        </w:rPr>
        <w:t xml:space="preserve"> </w:t>
      </w:r>
      <w:r>
        <w:rPr>
          <w:color w:val="231F20"/>
          <w:spacing w:val="-3"/>
          <w:sz w:val="20"/>
        </w:rPr>
        <w:t>scheme’s</w:t>
      </w:r>
      <w:r>
        <w:rPr>
          <w:color w:val="231F20"/>
          <w:spacing w:val="-5"/>
          <w:sz w:val="20"/>
        </w:rPr>
        <w:t xml:space="preserve"> </w:t>
      </w:r>
      <w:r>
        <w:rPr>
          <w:color w:val="231F20"/>
          <w:spacing w:val="-3"/>
          <w:sz w:val="20"/>
        </w:rPr>
        <w:t>operation),</w:t>
      </w:r>
      <w:r>
        <w:rPr>
          <w:color w:val="231F20"/>
          <w:spacing w:val="-4"/>
          <w:sz w:val="20"/>
        </w:rPr>
        <w:t xml:space="preserve"> </w:t>
      </w:r>
      <w:r>
        <w:rPr>
          <w:color w:val="231F20"/>
          <w:sz w:val="20"/>
        </w:rPr>
        <w:t>they</w:t>
      </w:r>
      <w:r>
        <w:rPr>
          <w:color w:val="231F20"/>
          <w:spacing w:val="-5"/>
          <w:sz w:val="20"/>
        </w:rPr>
        <w:t xml:space="preserve"> </w:t>
      </w:r>
      <w:r>
        <w:rPr>
          <w:color w:val="231F20"/>
          <w:spacing w:val="-3"/>
          <w:sz w:val="20"/>
        </w:rPr>
        <w:t>recorded</w:t>
      </w:r>
      <w:r>
        <w:rPr>
          <w:color w:val="231F20"/>
          <w:spacing w:val="-5"/>
          <w:sz w:val="20"/>
        </w:rPr>
        <w:t xml:space="preserve"> </w:t>
      </w:r>
      <w:r>
        <w:rPr>
          <w:color w:val="231F20"/>
          <w:sz w:val="20"/>
        </w:rPr>
        <w:t>4,343</w:t>
      </w:r>
      <w:r>
        <w:rPr>
          <w:color w:val="231F20"/>
          <w:spacing w:val="-4"/>
          <w:sz w:val="20"/>
        </w:rPr>
        <w:t xml:space="preserve"> </w:t>
      </w:r>
      <w:r>
        <w:rPr>
          <w:color w:val="231F20"/>
          <w:sz w:val="20"/>
        </w:rPr>
        <w:t>in</w:t>
      </w:r>
      <w:r>
        <w:rPr>
          <w:color w:val="231F20"/>
          <w:spacing w:val="-5"/>
          <w:sz w:val="20"/>
        </w:rPr>
        <w:t xml:space="preserve"> </w:t>
      </w:r>
      <w:r>
        <w:rPr>
          <w:color w:val="231F20"/>
          <w:sz w:val="20"/>
        </w:rPr>
        <w:t>2020.</w:t>
      </w:r>
      <w:r>
        <w:rPr>
          <w:color w:val="231F20"/>
          <w:position w:val="7"/>
          <w:sz w:val="11"/>
        </w:rPr>
        <w:t>141</w:t>
      </w:r>
    </w:p>
    <w:p w14:paraId="1EE629B5" w14:textId="77777777" w:rsidR="00894070" w:rsidRDefault="009B7AFD">
      <w:pPr>
        <w:pStyle w:val="ListParagraph"/>
        <w:numPr>
          <w:ilvl w:val="0"/>
          <w:numId w:val="47"/>
        </w:numPr>
        <w:tabs>
          <w:tab w:val="left" w:pos="1801"/>
          <w:tab w:val="left" w:pos="1802"/>
        </w:tabs>
        <w:spacing w:before="125" w:line="206" w:lineRule="auto"/>
        <w:ind w:right="1564"/>
        <w:rPr>
          <w:sz w:val="20"/>
        </w:rPr>
      </w:pPr>
      <w:r>
        <w:rPr>
          <w:color w:val="231F20"/>
          <w:spacing w:val="-4"/>
          <w:sz w:val="20"/>
        </w:rPr>
        <w:t xml:space="preserve">Even </w:t>
      </w:r>
      <w:r>
        <w:rPr>
          <w:color w:val="231F20"/>
          <w:sz w:val="20"/>
        </w:rPr>
        <w:t xml:space="preserve">if these figures do reflect </w:t>
      </w:r>
      <w:r>
        <w:rPr>
          <w:color w:val="231F20"/>
          <w:spacing w:val="-3"/>
          <w:sz w:val="20"/>
        </w:rPr>
        <w:t xml:space="preserve">greater </w:t>
      </w:r>
      <w:r>
        <w:rPr>
          <w:color w:val="231F20"/>
          <w:sz w:val="20"/>
        </w:rPr>
        <w:t xml:space="preserve">police responsiveness, there </w:t>
      </w:r>
      <w:r>
        <w:rPr>
          <w:color w:val="231F20"/>
          <w:spacing w:val="-3"/>
          <w:sz w:val="20"/>
        </w:rPr>
        <w:t xml:space="preserve">are </w:t>
      </w:r>
      <w:r>
        <w:rPr>
          <w:color w:val="231F20"/>
          <w:sz w:val="20"/>
        </w:rPr>
        <w:t>still victim survivors</w:t>
      </w:r>
      <w:r>
        <w:rPr>
          <w:color w:val="231F20"/>
          <w:spacing w:val="-11"/>
          <w:sz w:val="20"/>
        </w:rPr>
        <w:t xml:space="preserve"> </w:t>
      </w:r>
      <w:r>
        <w:rPr>
          <w:color w:val="231F20"/>
          <w:sz w:val="20"/>
        </w:rPr>
        <w:t>who</w:t>
      </w:r>
      <w:r>
        <w:rPr>
          <w:color w:val="231F20"/>
          <w:spacing w:val="-10"/>
          <w:sz w:val="20"/>
        </w:rPr>
        <w:t xml:space="preserve"> </w:t>
      </w:r>
      <w:r>
        <w:rPr>
          <w:color w:val="231F20"/>
          <w:sz w:val="20"/>
        </w:rPr>
        <w:t>feel</w:t>
      </w:r>
      <w:r>
        <w:rPr>
          <w:color w:val="231F20"/>
          <w:spacing w:val="-10"/>
          <w:sz w:val="20"/>
        </w:rPr>
        <w:t xml:space="preserve"> </w:t>
      </w:r>
      <w:r>
        <w:rPr>
          <w:color w:val="231F20"/>
          <w:spacing w:val="-3"/>
          <w:sz w:val="20"/>
        </w:rPr>
        <w:t>let</w:t>
      </w:r>
      <w:r>
        <w:rPr>
          <w:color w:val="231F20"/>
          <w:spacing w:val="-10"/>
          <w:sz w:val="20"/>
        </w:rPr>
        <w:t xml:space="preserve"> </w:t>
      </w:r>
      <w:r>
        <w:rPr>
          <w:color w:val="231F20"/>
          <w:spacing w:val="-3"/>
          <w:sz w:val="20"/>
        </w:rPr>
        <w:t>down</w:t>
      </w:r>
      <w:r>
        <w:rPr>
          <w:color w:val="231F20"/>
          <w:spacing w:val="-10"/>
          <w:sz w:val="20"/>
        </w:rPr>
        <w:t xml:space="preserve"> </w:t>
      </w:r>
      <w:r>
        <w:rPr>
          <w:color w:val="231F20"/>
          <w:spacing w:val="-3"/>
          <w:sz w:val="20"/>
        </w:rPr>
        <w:t>by</w:t>
      </w:r>
      <w:r>
        <w:rPr>
          <w:color w:val="231F20"/>
          <w:spacing w:val="-10"/>
          <w:sz w:val="20"/>
        </w:rPr>
        <w:t xml:space="preserve"> </w:t>
      </w:r>
      <w:r>
        <w:rPr>
          <w:color w:val="231F20"/>
          <w:sz w:val="20"/>
        </w:rPr>
        <w:t>the</w:t>
      </w:r>
      <w:r>
        <w:rPr>
          <w:color w:val="231F20"/>
          <w:spacing w:val="-10"/>
          <w:sz w:val="20"/>
        </w:rPr>
        <w:t xml:space="preserve"> </w:t>
      </w:r>
      <w:r>
        <w:rPr>
          <w:color w:val="231F20"/>
          <w:sz w:val="20"/>
        </w:rPr>
        <w:t>justice</w:t>
      </w:r>
      <w:r>
        <w:rPr>
          <w:color w:val="231F20"/>
          <w:spacing w:val="-10"/>
          <w:sz w:val="20"/>
        </w:rPr>
        <w:t xml:space="preserve"> </w:t>
      </w:r>
      <w:r>
        <w:rPr>
          <w:color w:val="231F20"/>
          <w:sz w:val="20"/>
        </w:rPr>
        <w:t>system.</w:t>
      </w:r>
      <w:r>
        <w:rPr>
          <w:color w:val="231F20"/>
          <w:spacing w:val="-10"/>
          <w:sz w:val="20"/>
        </w:rPr>
        <w:t xml:space="preserve"> </w:t>
      </w:r>
      <w:r>
        <w:rPr>
          <w:color w:val="231F20"/>
          <w:sz w:val="20"/>
        </w:rPr>
        <w:t>The</w:t>
      </w:r>
      <w:r>
        <w:rPr>
          <w:color w:val="231F20"/>
          <w:spacing w:val="-10"/>
          <w:sz w:val="20"/>
        </w:rPr>
        <w:t xml:space="preserve"> </w:t>
      </w:r>
      <w:r>
        <w:rPr>
          <w:color w:val="231F20"/>
          <w:sz w:val="20"/>
        </w:rPr>
        <w:t>police</w:t>
      </w:r>
      <w:r>
        <w:rPr>
          <w:color w:val="231F20"/>
          <w:spacing w:val="-10"/>
          <w:sz w:val="20"/>
        </w:rPr>
        <w:t xml:space="preserve"> </w:t>
      </w:r>
      <w:r>
        <w:rPr>
          <w:color w:val="231F20"/>
          <w:sz w:val="20"/>
        </w:rPr>
        <w:t>response</w:t>
      </w:r>
      <w:r>
        <w:rPr>
          <w:color w:val="231F20"/>
          <w:spacing w:val="-10"/>
          <w:sz w:val="20"/>
        </w:rPr>
        <w:t xml:space="preserve"> </w:t>
      </w:r>
      <w:r>
        <w:rPr>
          <w:color w:val="231F20"/>
          <w:sz w:val="20"/>
        </w:rPr>
        <w:t>to</w:t>
      </w:r>
      <w:r>
        <w:rPr>
          <w:color w:val="231F20"/>
          <w:spacing w:val="-10"/>
          <w:sz w:val="20"/>
        </w:rPr>
        <w:t xml:space="preserve"> </w:t>
      </w:r>
      <w:r>
        <w:rPr>
          <w:color w:val="231F20"/>
          <w:sz w:val="20"/>
        </w:rPr>
        <w:t>breaches needs to be more</w:t>
      </w:r>
      <w:r>
        <w:rPr>
          <w:color w:val="231F20"/>
          <w:spacing w:val="-19"/>
          <w:sz w:val="20"/>
        </w:rPr>
        <w:t xml:space="preserve"> </w:t>
      </w:r>
      <w:r>
        <w:rPr>
          <w:color w:val="231F20"/>
          <w:sz w:val="20"/>
        </w:rPr>
        <w:t>consistent.</w:t>
      </w:r>
    </w:p>
    <w:p w14:paraId="7EDAD227" w14:textId="77777777" w:rsidR="00894070" w:rsidRDefault="009B7AFD">
      <w:pPr>
        <w:pStyle w:val="ListParagraph"/>
        <w:numPr>
          <w:ilvl w:val="0"/>
          <w:numId w:val="47"/>
        </w:numPr>
        <w:tabs>
          <w:tab w:val="left" w:pos="1801"/>
          <w:tab w:val="left" w:pos="1802"/>
        </w:tabs>
        <w:spacing w:before="92" w:line="259" w:lineRule="exact"/>
        <w:rPr>
          <w:sz w:val="20"/>
        </w:rPr>
      </w:pPr>
      <w:r>
        <w:rPr>
          <w:color w:val="231F20"/>
          <w:spacing w:val="-4"/>
          <w:sz w:val="20"/>
        </w:rPr>
        <w:t>Failure</w:t>
      </w:r>
      <w:r>
        <w:rPr>
          <w:color w:val="231F20"/>
          <w:spacing w:val="-7"/>
          <w:sz w:val="20"/>
        </w:rPr>
        <w:t xml:space="preserve"> </w:t>
      </w:r>
      <w:r>
        <w:rPr>
          <w:color w:val="231F20"/>
          <w:sz w:val="20"/>
        </w:rPr>
        <w:t>to</w:t>
      </w:r>
      <w:r>
        <w:rPr>
          <w:color w:val="231F20"/>
          <w:spacing w:val="-6"/>
          <w:sz w:val="20"/>
        </w:rPr>
        <w:t xml:space="preserve"> </w:t>
      </w:r>
      <w:r>
        <w:rPr>
          <w:color w:val="231F20"/>
          <w:sz w:val="20"/>
        </w:rPr>
        <w:t>respond</w:t>
      </w:r>
      <w:r>
        <w:rPr>
          <w:color w:val="231F20"/>
          <w:spacing w:val="-6"/>
          <w:sz w:val="20"/>
        </w:rPr>
        <w:t xml:space="preserve"> </w:t>
      </w:r>
      <w:r>
        <w:rPr>
          <w:color w:val="231F20"/>
          <w:sz w:val="20"/>
        </w:rPr>
        <w:t>to</w:t>
      </w:r>
      <w:r>
        <w:rPr>
          <w:color w:val="231F20"/>
          <w:spacing w:val="-6"/>
          <w:sz w:val="20"/>
        </w:rPr>
        <w:t xml:space="preserve"> </w:t>
      </w:r>
      <w:r>
        <w:rPr>
          <w:color w:val="231F20"/>
          <w:sz w:val="20"/>
        </w:rPr>
        <w:t>breaches</w:t>
      </w:r>
      <w:r>
        <w:rPr>
          <w:color w:val="231F20"/>
          <w:spacing w:val="-7"/>
          <w:sz w:val="20"/>
        </w:rPr>
        <w:t xml:space="preserve"> </w:t>
      </w:r>
      <w:r>
        <w:rPr>
          <w:color w:val="231F20"/>
          <w:sz w:val="20"/>
        </w:rPr>
        <w:t>could</w:t>
      </w:r>
      <w:r>
        <w:rPr>
          <w:color w:val="231F20"/>
          <w:spacing w:val="-6"/>
          <w:sz w:val="20"/>
        </w:rPr>
        <w:t xml:space="preserve"> </w:t>
      </w:r>
      <w:r>
        <w:rPr>
          <w:color w:val="231F20"/>
          <w:sz w:val="20"/>
        </w:rPr>
        <w:t>also</w:t>
      </w:r>
      <w:r>
        <w:rPr>
          <w:color w:val="231F20"/>
          <w:spacing w:val="-6"/>
          <w:sz w:val="20"/>
        </w:rPr>
        <w:t xml:space="preserve"> </w:t>
      </w:r>
      <w:r>
        <w:rPr>
          <w:color w:val="231F20"/>
          <w:sz w:val="20"/>
        </w:rPr>
        <w:t>compromise</w:t>
      </w:r>
      <w:r>
        <w:rPr>
          <w:color w:val="231F20"/>
          <w:spacing w:val="-6"/>
          <w:sz w:val="20"/>
        </w:rPr>
        <w:t xml:space="preserve"> </w:t>
      </w:r>
      <w:r>
        <w:rPr>
          <w:color w:val="231F20"/>
          <w:sz w:val="20"/>
        </w:rPr>
        <w:t>victim</w:t>
      </w:r>
      <w:r>
        <w:rPr>
          <w:color w:val="231F20"/>
          <w:spacing w:val="-7"/>
          <w:sz w:val="20"/>
        </w:rPr>
        <w:t xml:space="preserve"> </w:t>
      </w:r>
      <w:r>
        <w:rPr>
          <w:color w:val="231F20"/>
          <w:sz w:val="20"/>
        </w:rPr>
        <w:t>survivor</w:t>
      </w:r>
      <w:r>
        <w:rPr>
          <w:color w:val="231F20"/>
          <w:spacing w:val="-6"/>
          <w:sz w:val="20"/>
        </w:rPr>
        <w:t xml:space="preserve"> </w:t>
      </w:r>
      <w:r>
        <w:rPr>
          <w:color w:val="231F20"/>
          <w:sz w:val="20"/>
        </w:rPr>
        <w:t>safety</w:t>
      </w:r>
      <w:r>
        <w:rPr>
          <w:color w:val="231F20"/>
          <w:spacing w:val="-6"/>
          <w:sz w:val="20"/>
        </w:rPr>
        <w:t xml:space="preserve"> </w:t>
      </w:r>
      <w:r>
        <w:rPr>
          <w:color w:val="231F20"/>
          <w:sz w:val="20"/>
        </w:rPr>
        <w:t>and</w:t>
      </w:r>
      <w:r>
        <w:rPr>
          <w:color w:val="231F20"/>
          <w:spacing w:val="-6"/>
          <w:sz w:val="20"/>
        </w:rPr>
        <w:t xml:space="preserve"> </w:t>
      </w:r>
      <w:r>
        <w:rPr>
          <w:color w:val="231F20"/>
          <w:spacing w:val="-3"/>
          <w:sz w:val="20"/>
        </w:rPr>
        <w:t>‘add</w:t>
      </w:r>
      <w:r>
        <w:rPr>
          <w:color w:val="231F20"/>
          <w:spacing w:val="-7"/>
          <w:sz w:val="20"/>
        </w:rPr>
        <w:t xml:space="preserve"> </w:t>
      </w:r>
      <w:r>
        <w:rPr>
          <w:color w:val="231F20"/>
          <w:sz w:val="20"/>
        </w:rPr>
        <w:t>…</w:t>
      </w:r>
    </w:p>
    <w:p w14:paraId="2BBD145C" w14:textId="77777777" w:rsidR="00894070" w:rsidRDefault="009B7AFD">
      <w:pPr>
        <w:pStyle w:val="BodyText"/>
        <w:spacing w:line="259" w:lineRule="exact"/>
        <w:ind w:left="1801"/>
        <w:rPr>
          <w:sz w:val="11"/>
        </w:rPr>
      </w:pPr>
      <w:r>
        <w:rPr>
          <w:color w:val="231F20"/>
        </w:rPr>
        <w:t>to their distress and lack of trust in police’.</w:t>
      </w:r>
      <w:r>
        <w:rPr>
          <w:color w:val="231F20"/>
          <w:position w:val="7"/>
          <w:sz w:val="11"/>
        </w:rPr>
        <w:t>142</w:t>
      </w:r>
    </w:p>
    <w:p w14:paraId="0FC2E05F" w14:textId="77777777" w:rsidR="00894070" w:rsidRDefault="009B7AFD">
      <w:pPr>
        <w:pStyle w:val="ListParagraph"/>
        <w:numPr>
          <w:ilvl w:val="0"/>
          <w:numId w:val="47"/>
        </w:numPr>
        <w:tabs>
          <w:tab w:val="left" w:pos="1802"/>
        </w:tabs>
        <w:spacing w:before="115" w:line="206" w:lineRule="auto"/>
        <w:ind w:right="1507"/>
        <w:jc w:val="both"/>
        <w:rPr>
          <w:sz w:val="11"/>
        </w:rPr>
      </w:pPr>
      <w:r>
        <w:rPr>
          <w:color w:val="231F20"/>
          <w:sz w:val="20"/>
        </w:rPr>
        <w:t>As</w:t>
      </w:r>
      <w:r>
        <w:rPr>
          <w:color w:val="231F20"/>
          <w:spacing w:val="-7"/>
          <w:sz w:val="20"/>
        </w:rPr>
        <w:t xml:space="preserve"> </w:t>
      </w:r>
      <w:r>
        <w:rPr>
          <w:color w:val="231F20"/>
          <w:spacing w:val="-3"/>
          <w:sz w:val="20"/>
        </w:rPr>
        <w:t>we</w:t>
      </w:r>
      <w:r>
        <w:rPr>
          <w:color w:val="231F20"/>
          <w:spacing w:val="-7"/>
          <w:sz w:val="20"/>
        </w:rPr>
        <w:t xml:space="preserve"> </w:t>
      </w:r>
      <w:r>
        <w:rPr>
          <w:color w:val="231F20"/>
          <w:sz w:val="20"/>
        </w:rPr>
        <w:t>explained</w:t>
      </w:r>
      <w:r>
        <w:rPr>
          <w:color w:val="231F20"/>
          <w:spacing w:val="-6"/>
          <w:sz w:val="20"/>
        </w:rPr>
        <w:t xml:space="preserve"> </w:t>
      </w:r>
      <w:r>
        <w:rPr>
          <w:color w:val="231F20"/>
          <w:sz w:val="20"/>
        </w:rPr>
        <w:t>in</w:t>
      </w:r>
      <w:r>
        <w:rPr>
          <w:color w:val="231F20"/>
          <w:spacing w:val="-7"/>
          <w:sz w:val="20"/>
        </w:rPr>
        <w:t xml:space="preserve"> </w:t>
      </w:r>
      <w:r>
        <w:rPr>
          <w:color w:val="231F20"/>
          <w:sz w:val="20"/>
        </w:rPr>
        <w:t>our</w:t>
      </w:r>
      <w:r>
        <w:rPr>
          <w:color w:val="231F20"/>
          <w:spacing w:val="-7"/>
          <w:sz w:val="20"/>
        </w:rPr>
        <w:t xml:space="preserve"> </w:t>
      </w:r>
      <w:r>
        <w:rPr>
          <w:color w:val="231F20"/>
          <w:sz w:val="20"/>
        </w:rPr>
        <w:t>report</w:t>
      </w:r>
      <w:r>
        <w:rPr>
          <w:color w:val="231F20"/>
          <w:spacing w:val="-6"/>
          <w:sz w:val="20"/>
        </w:rPr>
        <w:t xml:space="preserve"> </w:t>
      </w:r>
      <w:r>
        <w:rPr>
          <w:i/>
          <w:color w:val="231F20"/>
          <w:spacing w:val="-3"/>
          <w:sz w:val="20"/>
        </w:rPr>
        <w:t>Review</w:t>
      </w:r>
      <w:r>
        <w:rPr>
          <w:i/>
          <w:color w:val="231F20"/>
          <w:spacing w:val="-7"/>
          <w:sz w:val="20"/>
        </w:rPr>
        <w:t xml:space="preserve"> </w:t>
      </w:r>
      <w:r>
        <w:rPr>
          <w:i/>
          <w:color w:val="231F20"/>
          <w:sz w:val="20"/>
        </w:rPr>
        <w:t>of</w:t>
      </w:r>
      <w:r>
        <w:rPr>
          <w:i/>
          <w:color w:val="231F20"/>
          <w:spacing w:val="-6"/>
          <w:sz w:val="20"/>
        </w:rPr>
        <w:t xml:space="preserve"> </w:t>
      </w:r>
      <w:r>
        <w:rPr>
          <w:i/>
          <w:color w:val="231F20"/>
          <w:spacing w:val="-3"/>
          <w:sz w:val="20"/>
        </w:rPr>
        <w:t>Family</w:t>
      </w:r>
      <w:r>
        <w:rPr>
          <w:i/>
          <w:color w:val="231F20"/>
          <w:spacing w:val="-7"/>
          <w:sz w:val="20"/>
        </w:rPr>
        <w:t xml:space="preserve"> </w:t>
      </w:r>
      <w:r>
        <w:rPr>
          <w:i/>
          <w:color w:val="231F20"/>
          <w:sz w:val="20"/>
        </w:rPr>
        <w:t>Violence</w:t>
      </w:r>
      <w:r>
        <w:rPr>
          <w:i/>
          <w:color w:val="231F20"/>
          <w:spacing w:val="-6"/>
          <w:sz w:val="20"/>
        </w:rPr>
        <w:t xml:space="preserve"> </w:t>
      </w:r>
      <w:r>
        <w:rPr>
          <w:i/>
          <w:color w:val="231F20"/>
          <w:spacing w:val="-3"/>
          <w:sz w:val="20"/>
        </w:rPr>
        <w:t>Laws</w:t>
      </w:r>
      <w:r>
        <w:rPr>
          <w:i/>
          <w:color w:val="231F20"/>
          <w:spacing w:val="-6"/>
          <w:sz w:val="20"/>
        </w:rPr>
        <w:t xml:space="preserve"> </w:t>
      </w:r>
      <w:r>
        <w:rPr>
          <w:color w:val="231F20"/>
          <w:spacing w:val="-3"/>
          <w:sz w:val="20"/>
        </w:rPr>
        <w:t>(2006),</w:t>
      </w:r>
      <w:r>
        <w:rPr>
          <w:color w:val="231F20"/>
          <w:spacing w:val="-6"/>
          <w:sz w:val="20"/>
        </w:rPr>
        <w:t xml:space="preserve"> </w:t>
      </w:r>
      <w:r>
        <w:rPr>
          <w:color w:val="231F20"/>
          <w:sz w:val="20"/>
        </w:rPr>
        <w:t>if</w:t>
      </w:r>
      <w:r>
        <w:rPr>
          <w:color w:val="231F20"/>
          <w:spacing w:val="-7"/>
          <w:sz w:val="20"/>
        </w:rPr>
        <w:t xml:space="preserve"> </w:t>
      </w:r>
      <w:r>
        <w:rPr>
          <w:color w:val="231F20"/>
          <w:sz w:val="20"/>
        </w:rPr>
        <w:t>police</w:t>
      </w:r>
      <w:r>
        <w:rPr>
          <w:color w:val="231F20"/>
          <w:spacing w:val="-7"/>
          <w:sz w:val="20"/>
        </w:rPr>
        <w:t xml:space="preserve"> </w:t>
      </w:r>
      <w:r>
        <w:rPr>
          <w:color w:val="231F20"/>
          <w:sz w:val="20"/>
        </w:rPr>
        <w:t>do</w:t>
      </w:r>
      <w:r>
        <w:rPr>
          <w:color w:val="231F20"/>
          <w:spacing w:val="-6"/>
          <w:sz w:val="20"/>
        </w:rPr>
        <w:t xml:space="preserve"> </w:t>
      </w:r>
      <w:r>
        <w:rPr>
          <w:color w:val="231F20"/>
          <w:sz w:val="20"/>
        </w:rPr>
        <w:t>not respond</w:t>
      </w:r>
      <w:r>
        <w:rPr>
          <w:color w:val="231F20"/>
          <w:spacing w:val="-9"/>
          <w:sz w:val="20"/>
        </w:rPr>
        <w:t xml:space="preserve"> </w:t>
      </w:r>
      <w:r>
        <w:rPr>
          <w:color w:val="231F20"/>
          <w:spacing w:val="-3"/>
          <w:sz w:val="20"/>
        </w:rPr>
        <w:t>adequately</w:t>
      </w:r>
      <w:r>
        <w:rPr>
          <w:color w:val="231F20"/>
          <w:spacing w:val="-8"/>
          <w:sz w:val="20"/>
        </w:rPr>
        <w:t xml:space="preserve"> </w:t>
      </w:r>
      <w:r>
        <w:rPr>
          <w:color w:val="231F20"/>
          <w:sz w:val="20"/>
        </w:rPr>
        <w:t>to</w:t>
      </w:r>
      <w:r>
        <w:rPr>
          <w:color w:val="231F20"/>
          <w:spacing w:val="-8"/>
          <w:sz w:val="20"/>
        </w:rPr>
        <w:t xml:space="preserve"> </w:t>
      </w:r>
      <w:r>
        <w:rPr>
          <w:color w:val="231F20"/>
          <w:sz w:val="20"/>
        </w:rPr>
        <w:t>breaches,</w:t>
      </w:r>
      <w:r>
        <w:rPr>
          <w:color w:val="231F20"/>
          <w:spacing w:val="-8"/>
          <w:sz w:val="20"/>
        </w:rPr>
        <w:t xml:space="preserve"> </w:t>
      </w:r>
      <w:r>
        <w:rPr>
          <w:color w:val="231F20"/>
          <w:spacing w:val="-2"/>
          <w:sz w:val="20"/>
        </w:rPr>
        <w:t>intervention</w:t>
      </w:r>
      <w:r>
        <w:rPr>
          <w:color w:val="231F20"/>
          <w:spacing w:val="-9"/>
          <w:sz w:val="20"/>
        </w:rPr>
        <w:t xml:space="preserve"> </w:t>
      </w:r>
      <w:r>
        <w:rPr>
          <w:color w:val="231F20"/>
          <w:sz w:val="20"/>
        </w:rPr>
        <w:t>orders</w:t>
      </w:r>
      <w:r>
        <w:rPr>
          <w:color w:val="231F20"/>
          <w:spacing w:val="-8"/>
          <w:sz w:val="20"/>
        </w:rPr>
        <w:t xml:space="preserve"> </w:t>
      </w:r>
      <w:r>
        <w:rPr>
          <w:color w:val="231F20"/>
          <w:sz w:val="20"/>
        </w:rPr>
        <w:t>will</w:t>
      </w:r>
      <w:r>
        <w:rPr>
          <w:color w:val="231F20"/>
          <w:spacing w:val="-8"/>
          <w:sz w:val="20"/>
        </w:rPr>
        <w:t xml:space="preserve"> </w:t>
      </w:r>
      <w:r>
        <w:rPr>
          <w:color w:val="231F20"/>
          <w:sz w:val="20"/>
        </w:rPr>
        <w:t>be</w:t>
      </w:r>
      <w:r>
        <w:rPr>
          <w:color w:val="231F20"/>
          <w:spacing w:val="-8"/>
          <w:sz w:val="20"/>
        </w:rPr>
        <w:t xml:space="preserve"> </w:t>
      </w:r>
      <w:r>
        <w:rPr>
          <w:color w:val="231F20"/>
          <w:spacing w:val="-3"/>
          <w:sz w:val="20"/>
        </w:rPr>
        <w:t>perceived</w:t>
      </w:r>
      <w:r>
        <w:rPr>
          <w:color w:val="231F20"/>
          <w:spacing w:val="-8"/>
          <w:sz w:val="20"/>
        </w:rPr>
        <w:t xml:space="preserve"> </w:t>
      </w:r>
      <w:r>
        <w:rPr>
          <w:color w:val="231F20"/>
          <w:sz w:val="20"/>
        </w:rPr>
        <w:t>as</w:t>
      </w:r>
      <w:r>
        <w:rPr>
          <w:color w:val="231F20"/>
          <w:spacing w:val="-9"/>
          <w:sz w:val="20"/>
        </w:rPr>
        <w:t xml:space="preserve"> </w:t>
      </w:r>
      <w:r>
        <w:rPr>
          <w:color w:val="231F20"/>
          <w:sz w:val="20"/>
        </w:rPr>
        <w:t>‘not</w:t>
      </w:r>
      <w:r>
        <w:rPr>
          <w:color w:val="231F20"/>
          <w:spacing w:val="-8"/>
          <w:sz w:val="20"/>
        </w:rPr>
        <w:t xml:space="preserve"> </w:t>
      </w:r>
      <w:r>
        <w:rPr>
          <w:color w:val="231F20"/>
          <w:sz w:val="20"/>
        </w:rPr>
        <w:t>worth the</w:t>
      </w:r>
      <w:r>
        <w:rPr>
          <w:color w:val="231F20"/>
          <w:spacing w:val="-5"/>
          <w:sz w:val="20"/>
        </w:rPr>
        <w:t xml:space="preserve"> </w:t>
      </w:r>
      <w:r>
        <w:rPr>
          <w:color w:val="231F20"/>
          <w:sz w:val="20"/>
        </w:rPr>
        <w:t>paper</w:t>
      </w:r>
      <w:r>
        <w:rPr>
          <w:color w:val="231F20"/>
          <w:spacing w:val="-5"/>
          <w:sz w:val="20"/>
        </w:rPr>
        <w:t xml:space="preserve"> </w:t>
      </w:r>
      <w:r>
        <w:rPr>
          <w:color w:val="231F20"/>
          <w:sz w:val="20"/>
        </w:rPr>
        <w:t>they</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written</w:t>
      </w:r>
      <w:r>
        <w:rPr>
          <w:color w:val="231F20"/>
          <w:spacing w:val="-4"/>
          <w:sz w:val="20"/>
        </w:rPr>
        <w:t xml:space="preserve"> </w:t>
      </w:r>
      <w:r>
        <w:rPr>
          <w:color w:val="231F20"/>
          <w:spacing w:val="-3"/>
          <w:sz w:val="20"/>
        </w:rPr>
        <w:t>on’</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victims</w:t>
      </w:r>
      <w:r>
        <w:rPr>
          <w:color w:val="231F20"/>
          <w:spacing w:val="-5"/>
          <w:sz w:val="20"/>
        </w:rPr>
        <w:t xml:space="preserve"> </w:t>
      </w:r>
      <w:r>
        <w:rPr>
          <w:color w:val="231F20"/>
          <w:sz w:val="20"/>
        </w:rPr>
        <w:t>and</w:t>
      </w:r>
      <w:r>
        <w:rPr>
          <w:color w:val="231F20"/>
          <w:spacing w:val="-4"/>
          <w:sz w:val="20"/>
        </w:rPr>
        <w:t xml:space="preserve"> </w:t>
      </w:r>
      <w:r>
        <w:rPr>
          <w:color w:val="231F20"/>
          <w:sz w:val="20"/>
        </w:rPr>
        <w:t>people</w:t>
      </w:r>
      <w:r>
        <w:rPr>
          <w:color w:val="231F20"/>
          <w:spacing w:val="-5"/>
          <w:sz w:val="20"/>
        </w:rPr>
        <w:t xml:space="preserve"> </w:t>
      </w:r>
      <w:r>
        <w:rPr>
          <w:color w:val="231F20"/>
          <w:sz w:val="20"/>
        </w:rPr>
        <w:t>who</w:t>
      </w:r>
      <w:r>
        <w:rPr>
          <w:color w:val="231F20"/>
          <w:spacing w:val="-5"/>
          <w:sz w:val="20"/>
        </w:rPr>
        <w:t xml:space="preserve"> </w:t>
      </w:r>
      <w:r>
        <w:rPr>
          <w:color w:val="231F20"/>
          <w:sz w:val="20"/>
        </w:rPr>
        <w:t>stalk.</w:t>
      </w:r>
      <w:r>
        <w:rPr>
          <w:color w:val="231F20"/>
          <w:position w:val="7"/>
          <w:sz w:val="11"/>
        </w:rPr>
        <w:t>143</w:t>
      </w:r>
    </w:p>
    <w:p w14:paraId="422652E9" w14:textId="77777777" w:rsidR="00894070" w:rsidRDefault="009B7AFD">
      <w:pPr>
        <w:pStyle w:val="ListParagraph"/>
        <w:numPr>
          <w:ilvl w:val="0"/>
          <w:numId w:val="47"/>
        </w:numPr>
        <w:tabs>
          <w:tab w:val="left" w:pos="1801"/>
          <w:tab w:val="left" w:pos="1802"/>
        </w:tabs>
        <w:spacing w:before="123" w:line="206" w:lineRule="auto"/>
        <w:ind w:right="1404"/>
        <w:rPr>
          <w:sz w:val="20"/>
        </w:rPr>
      </w:pPr>
      <w:r>
        <w:rPr>
          <w:color w:val="231F20"/>
          <w:sz w:val="20"/>
        </w:rPr>
        <w:t xml:space="preserve">Victoria Police should </w:t>
      </w:r>
      <w:r>
        <w:rPr>
          <w:color w:val="231F20"/>
          <w:spacing w:val="-4"/>
          <w:sz w:val="20"/>
        </w:rPr>
        <w:t xml:space="preserve">review </w:t>
      </w:r>
      <w:r>
        <w:rPr>
          <w:color w:val="231F20"/>
          <w:sz w:val="20"/>
        </w:rPr>
        <w:t>its operational policy and guidance on responding to breaches</w:t>
      </w:r>
      <w:r>
        <w:rPr>
          <w:color w:val="231F20"/>
          <w:spacing w:val="-15"/>
          <w:sz w:val="20"/>
        </w:rPr>
        <w:t xml:space="preserve"> </w:t>
      </w:r>
      <w:r>
        <w:rPr>
          <w:color w:val="231F20"/>
          <w:sz w:val="20"/>
        </w:rPr>
        <w:t>of</w:t>
      </w:r>
      <w:r>
        <w:rPr>
          <w:color w:val="231F20"/>
          <w:spacing w:val="-14"/>
          <w:sz w:val="20"/>
        </w:rPr>
        <w:t xml:space="preserve"> </w:t>
      </w:r>
      <w:r>
        <w:rPr>
          <w:color w:val="231F20"/>
          <w:sz w:val="20"/>
        </w:rPr>
        <w:t>PSIOs</w:t>
      </w:r>
      <w:r>
        <w:rPr>
          <w:color w:val="231F20"/>
          <w:spacing w:val="-15"/>
          <w:sz w:val="20"/>
        </w:rPr>
        <w:t xml:space="preserve"> </w:t>
      </w:r>
      <w:r>
        <w:rPr>
          <w:color w:val="231F20"/>
          <w:sz w:val="20"/>
        </w:rPr>
        <w:t>and</w:t>
      </w:r>
      <w:r>
        <w:rPr>
          <w:color w:val="231F20"/>
          <w:spacing w:val="-14"/>
          <w:sz w:val="20"/>
        </w:rPr>
        <w:t xml:space="preserve"> </w:t>
      </w:r>
      <w:r>
        <w:rPr>
          <w:color w:val="231F20"/>
          <w:sz w:val="20"/>
        </w:rPr>
        <w:t>ensure</w:t>
      </w:r>
      <w:r>
        <w:rPr>
          <w:color w:val="231F20"/>
          <w:spacing w:val="-15"/>
          <w:sz w:val="20"/>
        </w:rPr>
        <w:t xml:space="preserve"> </w:t>
      </w:r>
      <w:r>
        <w:rPr>
          <w:color w:val="231F20"/>
          <w:sz w:val="20"/>
        </w:rPr>
        <w:t>that</w:t>
      </w:r>
      <w:r>
        <w:rPr>
          <w:color w:val="231F20"/>
          <w:spacing w:val="-14"/>
          <w:sz w:val="20"/>
        </w:rPr>
        <w:t xml:space="preserve"> </w:t>
      </w:r>
      <w:r>
        <w:rPr>
          <w:color w:val="231F20"/>
          <w:sz w:val="20"/>
        </w:rPr>
        <w:t>alleged</w:t>
      </w:r>
      <w:r>
        <w:rPr>
          <w:color w:val="231F20"/>
          <w:spacing w:val="-15"/>
          <w:sz w:val="20"/>
        </w:rPr>
        <w:t xml:space="preserve"> </w:t>
      </w:r>
      <w:r>
        <w:rPr>
          <w:color w:val="231F20"/>
          <w:sz w:val="20"/>
        </w:rPr>
        <w:t>breaches</w:t>
      </w:r>
      <w:r>
        <w:rPr>
          <w:color w:val="231F20"/>
          <w:spacing w:val="-14"/>
          <w:sz w:val="20"/>
        </w:rPr>
        <w:t xml:space="preserve"> </w:t>
      </w:r>
      <w:r>
        <w:rPr>
          <w:color w:val="231F20"/>
          <w:spacing w:val="-3"/>
          <w:sz w:val="20"/>
        </w:rPr>
        <w:t>are</w:t>
      </w:r>
      <w:r>
        <w:rPr>
          <w:color w:val="231F20"/>
          <w:spacing w:val="-15"/>
          <w:sz w:val="20"/>
        </w:rPr>
        <w:t xml:space="preserve"> </w:t>
      </w:r>
      <w:r>
        <w:rPr>
          <w:color w:val="231F20"/>
          <w:sz w:val="20"/>
        </w:rPr>
        <w:t>responded</w:t>
      </w:r>
      <w:r>
        <w:rPr>
          <w:color w:val="231F20"/>
          <w:spacing w:val="-14"/>
          <w:sz w:val="20"/>
        </w:rPr>
        <w:t xml:space="preserve"> </w:t>
      </w:r>
      <w:r>
        <w:rPr>
          <w:color w:val="231F20"/>
          <w:sz w:val="20"/>
        </w:rPr>
        <w:t>to</w:t>
      </w:r>
      <w:r>
        <w:rPr>
          <w:color w:val="231F20"/>
          <w:spacing w:val="-15"/>
          <w:sz w:val="20"/>
        </w:rPr>
        <w:t xml:space="preserve"> </w:t>
      </w:r>
      <w:r>
        <w:rPr>
          <w:color w:val="231F20"/>
          <w:sz w:val="20"/>
        </w:rPr>
        <w:t>efficiently</w:t>
      </w:r>
      <w:r>
        <w:rPr>
          <w:color w:val="231F20"/>
          <w:spacing w:val="-14"/>
          <w:sz w:val="20"/>
        </w:rPr>
        <w:t xml:space="preserve"> </w:t>
      </w:r>
      <w:r>
        <w:rPr>
          <w:color w:val="231F20"/>
          <w:sz w:val="20"/>
        </w:rPr>
        <w:t xml:space="preserve">and </w:t>
      </w:r>
      <w:r>
        <w:rPr>
          <w:color w:val="231F20"/>
          <w:spacing w:val="-5"/>
          <w:sz w:val="20"/>
        </w:rPr>
        <w:t>effectively.</w:t>
      </w:r>
    </w:p>
    <w:p w14:paraId="5347898A" w14:textId="77777777" w:rsidR="00894070" w:rsidRDefault="009B7AFD">
      <w:pPr>
        <w:pStyle w:val="ListParagraph"/>
        <w:numPr>
          <w:ilvl w:val="0"/>
          <w:numId w:val="47"/>
        </w:numPr>
        <w:tabs>
          <w:tab w:val="left" w:pos="1801"/>
          <w:tab w:val="left" w:pos="1802"/>
        </w:tabs>
        <w:spacing w:before="124" w:line="206" w:lineRule="auto"/>
        <w:ind w:right="1228"/>
        <w:rPr>
          <w:sz w:val="20"/>
        </w:rPr>
      </w:pPr>
      <w:r>
        <w:rPr>
          <w:color w:val="231F20"/>
          <w:sz w:val="20"/>
        </w:rPr>
        <w:t xml:space="preserve">There is a clear imperative under section </w:t>
      </w:r>
      <w:r>
        <w:rPr>
          <w:color w:val="231F20"/>
          <w:spacing w:val="-4"/>
          <w:sz w:val="20"/>
        </w:rPr>
        <w:t xml:space="preserve">101 </w:t>
      </w:r>
      <w:r>
        <w:rPr>
          <w:color w:val="231F20"/>
          <w:sz w:val="20"/>
        </w:rPr>
        <w:t xml:space="preserve">of the PSIO </w:t>
      </w:r>
      <w:r>
        <w:rPr>
          <w:color w:val="231F20"/>
          <w:spacing w:val="-2"/>
          <w:sz w:val="20"/>
        </w:rPr>
        <w:t xml:space="preserve">Act </w:t>
      </w:r>
      <w:r>
        <w:rPr>
          <w:color w:val="231F20"/>
          <w:spacing w:val="-3"/>
          <w:sz w:val="20"/>
        </w:rPr>
        <w:t xml:space="preserve">for </w:t>
      </w:r>
      <w:r>
        <w:rPr>
          <w:color w:val="231F20"/>
          <w:sz w:val="20"/>
        </w:rPr>
        <w:t xml:space="preserve">police to </w:t>
      </w:r>
      <w:r>
        <w:rPr>
          <w:color w:val="231F20"/>
          <w:spacing w:val="-3"/>
          <w:sz w:val="20"/>
        </w:rPr>
        <w:t xml:space="preserve">enforce </w:t>
      </w:r>
      <w:r>
        <w:rPr>
          <w:color w:val="231F20"/>
          <w:sz w:val="20"/>
        </w:rPr>
        <w:t xml:space="preserve">the </w:t>
      </w:r>
      <w:r>
        <w:rPr>
          <w:color w:val="231F20"/>
          <w:spacing w:val="-5"/>
          <w:sz w:val="20"/>
        </w:rPr>
        <w:t>law.</w:t>
      </w:r>
      <w:r>
        <w:rPr>
          <w:color w:val="231F20"/>
          <w:spacing w:val="-7"/>
          <w:sz w:val="20"/>
        </w:rPr>
        <w:t xml:space="preserve"> </w:t>
      </w:r>
      <w:r>
        <w:rPr>
          <w:color w:val="231F20"/>
          <w:sz w:val="20"/>
        </w:rPr>
        <w:t>Police</w:t>
      </w:r>
      <w:r>
        <w:rPr>
          <w:color w:val="231F20"/>
          <w:spacing w:val="-7"/>
          <w:sz w:val="20"/>
        </w:rPr>
        <w:t xml:space="preserve"> </w:t>
      </w:r>
      <w:r>
        <w:rPr>
          <w:color w:val="231F20"/>
          <w:spacing w:val="-3"/>
          <w:sz w:val="20"/>
        </w:rPr>
        <w:t>are</w:t>
      </w:r>
      <w:r>
        <w:rPr>
          <w:color w:val="231F20"/>
          <w:spacing w:val="-7"/>
          <w:sz w:val="20"/>
        </w:rPr>
        <w:t xml:space="preserve"> </w:t>
      </w:r>
      <w:r>
        <w:rPr>
          <w:color w:val="231F20"/>
          <w:spacing w:val="-3"/>
          <w:sz w:val="20"/>
        </w:rPr>
        <w:t>given</w:t>
      </w:r>
      <w:r>
        <w:rPr>
          <w:color w:val="231F20"/>
          <w:spacing w:val="-7"/>
          <w:sz w:val="20"/>
        </w:rPr>
        <w:t xml:space="preserve"> </w:t>
      </w:r>
      <w:r>
        <w:rPr>
          <w:color w:val="231F20"/>
          <w:spacing w:val="-3"/>
          <w:sz w:val="20"/>
        </w:rPr>
        <w:t>powers</w:t>
      </w:r>
      <w:r>
        <w:rPr>
          <w:color w:val="231F20"/>
          <w:spacing w:val="-6"/>
          <w:sz w:val="20"/>
        </w:rPr>
        <w:t xml:space="preserve"> </w:t>
      </w:r>
      <w:r>
        <w:rPr>
          <w:color w:val="231F20"/>
          <w:sz w:val="20"/>
        </w:rPr>
        <w:t>to</w:t>
      </w:r>
      <w:r>
        <w:rPr>
          <w:color w:val="231F20"/>
          <w:spacing w:val="-7"/>
          <w:sz w:val="20"/>
        </w:rPr>
        <w:t xml:space="preserve"> </w:t>
      </w:r>
      <w:r>
        <w:rPr>
          <w:color w:val="231F20"/>
          <w:spacing w:val="-2"/>
          <w:sz w:val="20"/>
        </w:rPr>
        <w:t>arrest</w:t>
      </w:r>
      <w:r>
        <w:rPr>
          <w:color w:val="231F20"/>
          <w:spacing w:val="-7"/>
          <w:sz w:val="20"/>
        </w:rPr>
        <w:t xml:space="preserve"> </w:t>
      </w:r>
      <w:r>
        <w:rPr>
          <w:color w:val="231F20"/>
          <w:sz w:val="20"/>
        </w:rPr>
        <w:t>and</w:t>
      </w:r>
      <w:r>
        <w:rPr>
          <w:color w:val="231F20"/>
          <w:spacing w:val="-7"/>
          <w:sz w:val="20"/>
        </w:rPr>
        <w:t xml:space="preserve"> </w:t>
      </w:r>
      <w:r>
        <w:rPr>
          <w:color w:val="231F20"/>
          <w:sz w:val="20"/>
        </w:rPr>
        <w:t>detain</w:t>
      </w:r>
      <w:r>
        <w:rPr>
          <w:color w:val="231F20"/>
          <w:spacing w:val="-7"/>
          <w:sz w:val="20"/>
        </w:rPr>
        <w:t xml:space="preserve"> </w:t>
      </w:r>
      <w:r>
        <w:rPr>
          <w:color w:val="231F20"/>
          <w:sz w:val="20"/>
        </w:rPr>
        <w:t>a</w:t>
      </w:r>
      <w:r>
        <w:rPr>
          <w:color w:val="231F20"/>
          <w:spacing w:val="-7"/>
          <w:sz w:val="20"/>
        </w:rPr>
        <w:t xml:space="preserve"> </w:t>
      </w:r>
      <w:r>
        <w:rPr>
          <w:color w:val="231F20"/>
          <w:sz w:val="20"/>
        </w:rPr>
        <w:t>person</w:t>
      </w:r>
      <w:r>
        <w:rPr>
          <w:color w:val="231F20"/>
          <w:spacing w:val="-6"/>
          <w:sz w:val="20"/>
        </w:rPr>
        <w:t xml:space="preserve"> </w:t>
      </w:r>
      <w:r>
        <w:rPr>
          <w:color w:val="231F20"/>
          <w:sz w:val="20"/>
        </w:rPr>
        <w:t>in</w:t>
      </w:r>
      <w:r>
        <w:rPr>
          <w:color w:val="231F20"/>
          <w:spacing w:val="-7"/>
          <w:sz w:val="20"/>
        </w:rPr>
        <w:t xml:space="preserve"> </w:t>
      </w:r>
      <w:r>
        <w:rPr>
          <w:color w:val="231F20"/>
          <w:sz w:val="20"/>
        </w:rPr>
        <w:t>breach</w:t>
      </w:r>
      <w:r>
        <w:rPr>
          <w:color w:val="231F20"/>
          <w:spacing w:val="-7"/>
          <w:sz w:val="20"/>
        </w:rPr>
        <w:t xml:space="preserve"> </w:t>
      </w:r>
      <w:r>
        <w:rPr>
          <w:color w:val="231F20"/>
          <w:sz w:val="20"/>
        </w:rPr>
        <w:t>of</w:t>
      </w:r>
      <w:r>
        <w:rPr>
          <w:color w:val="231F20"/>
          <w:spacing w:val="-7"/>
          <w:sz w:val="20"/>
        </w:rPr>
        <w:t xml:space="preserve"> </w:t>
      </w:r>
      <w:r>
        <w:rPr>
          <w:color w:val="231F20"/>
          <w:sz w:val="20"/>
        </w:rPr>
        <w:t>a</w:t>
      </w:r>
      <w:r>
        <w:rPr>
          <w:color w:val="231F20"/>
          <w:spacing w:val="-7"/>
          <w:sz w:val="20"/>
        </w:rPr>
        <w:t xml:space="preserve"> </w:t>
      </w:r>
      <w:r>
        <w:rPr>
          <w:color w:val="231F20"/>
          <w:sz w:val="20"/>
        </w:rPr>
        <w:t>PSIO</w:t>
      </w:r>
      <w:r>
        <w:rPr>
          <w:color w:val="231F20"/>
          <w:spacing w:val="-6"/>
          <w:sz w:val="20"/>
        </w:rPr>
        <w:t xml:space="preserve"> </w:t>
      </w:r>
      <w:r>
        <w:rPr>
          <w:color w:val="231F20"/>
          <w:sz w:val="20"/>
        </w:rPr>
        <w:t>without</w:t>
      </w:r>
      <w:r>
        <w:rPr>
          <w:color w:val="231F20"/>
          <w:spacing w:val="-7"/>
          <w:sz w:val="20"/>
        </w:rPr>
        <w:t xml:space="preserve"> </w:t>
      </w:r>
      <w:r>
        <w:rPr>
          <w:color w:val="231F20"/>
          <w:sz w:val="20"/>
        </w:rPr>
        <w:t>a warrant (see</w:t>
      </w:r>
      <w:r>
        <w:rPr>
          <w:color w:val="231F20"/>
          <w:spacing w:val="-9"/>
          <w:sz w:val="20"/>
        </w:rPr>
        <w:t xml:space="preserve"> </w:t>
      </w:r>
      <w:r>
        <w:rPr>
          <w:color w:val="231F20"/>
          <w:spacing w:val="-3"/>
          <w:sz w:val="20"/>
        </w:rPr>
        <w:t>box).</w:t>
      </w:r>
    </w:p>
    <w:p w14:paraId="7A744540" w14:textId="77777777" w:rsidR="00894070" w:rsidRDefault="00894070">
      <w:pPr>
        <w:pStyle w:val="BodyText"/>
      </w:pPr>
    </w:p>
    <w:p w14:paraId="5991AB73" w14:textId="77777777" w:rsidR="00894070" w:rsidRDefault="009F6793">
      <w:pPr>
        <w:pStyle w:val="BodyText"/>
        <w:spacing w:before="12"/>
        <w:rPr>
          <w:sz w:val="28"/>
        </w:rPr>
      </w:pPr>
      <w:r>
        <w:pict w14:anchorId="36CFA7B0">
          <v:line id="_x0000_s1173" style="position:absolute;z-index:251746304;mso-wrap-distance-left:0;mso-wrap-distance-right:0;mso-position-horizontal-relative:page" from="79.35pt,22.5pt" to="515.9pt,22.5pt" strokecolor="#f8cabc" strokeweight="1pt">
            <w10:wrap type="topAndBottom" anchorx="page"/>
          </v:line>
        </w:pict>
      </w:r>
    </w:p>
    <w:p w14:paraId="446B36B7" w14:textId="77777777" w:rsidR="00894070" w:rsidRDefault="00894070">
      <w:pPr>
        <w:pStyle w:val="BodyText"/>
        <w:rPr>
          <w:sz w:val="5"/>
        </w:rPr>
      </w:pPr>
    </w:p>
    <w:p w14:paraId="601EDF73" w14:textId="77777777" w:rsidR="00894070" w:rsidRDefault="00894070">
      <w:pPr>
        <w:rPr>
          <w:sz w:val="5"/>
        </w:rPr>
        <w:sectPr w:rsidR="00894070">
          <w:pgSz w:w="11910" w:h="16840"/>
          <w:pgMar w:top="840" w:right="420" w:bottom="280" w:left="580" w:header="0" w:footer="0" w:gutter="0"/>
          <w:cols w:space="720"/>
        </w:sectPr>
      </w:pPr>
    </w:p>
    <w:p w14:paraId="1B6F17DF" w14:textId="77777777" w:rsidR="00894070" w:rsidRDefault="009B7AFD">
      <w:pPr>
        <w:pStyle w:val="ListParagraph"/>
        <w:numPr>
          <w:ilvl w:val="0"/>
          <w:numId w:val="46"/>
        </w:numPr>
        <w:tabs>
          <w:tab w:val="left" w:pos="1800"/>
          <w:tab w:val="left" w:pos="1802"/>
        </w:tabs>
        <w:spacing w:before="21" w:line="170" w:lineRule="exact"/>
        <w:jc w:val="left"/>
        <w:rPr>
          <w:sz w:val="13"/>
        </w:rPr>
      </w:pPr>
      <w:r>
        <w:rPr>
          <w:color w:val="231F20"/>
          <w:sz w:val="13"/>
        </w:rPr>
        <w:t>Ibid.</w:t>
      </w:r>
    </w:p>
    <w:p w14:paraId="0FF3785E" w14:textId="77777777" w:rsidR="00894070" w:rsidRDefault="009B7AFD">
      <w:pPr>
        <w:pStyle w:val="ListParagraph"/>
        <w:numPr>
          <w:ilvl w:val="0"/>
          <w:numId w:val="46"/>
        </w:numPr>
        <w:tabs>
          <w:tab w:val="left" w:pos="1801"/>
          <w:tab w:val="left" w:pos="1802"/>
        </w:tabs>
        <w:spacing w:line="160" w:lineRule="exact"/>
        <w:jc w:val="left"/>
        <w:rPr>
          <w:sz w:val="13"/>
        </w:rPr>
      </w:pPr>
      <w:r>
        <w:rPr>
          <w:color w:val="231F20"/>
          <w:sz w:val="13"/>
        </w:rPr>
        <w:t>Ibid.</w:t>
      </w:r>
    </w:p>
    <w:p w14:paraId="0A5D6407" w14:textId="77777777" w:rsidR="00894070" w:rsidRDefault="009B7AFD">
      <w:pPr>
        <w:pStyle w:val="ListParagraph"/>
        <w:numPr>
          <w:ilvl w:val="0"/>
          <w:numId w:val="46"/>
        </w:numPr>
        <w:tabs>
          <w:tab w:val="left" w:pos="1801"/>
          <w:tab w:val="left" w:pos="1802"/>
        </w:tabs>
        <w:spacing w:line="160" w:lineRule="exact"/>
        <w:jc w:val="left"/>
        <w:rPr>
          <w:sz w:val="13"/>
        </w:rPr>
      </w:pPr>
      <w:r>
        <w:rPr>
          <w:color w:val="231F20"/>
          <w:spacing w:val="2"/>
          <w:sz w:val="13"/>
        </w:rPr>
        <w:t xml:space="preserve">Submission </w:t>
      </w:r>
      <w:r>
        <w:rPr>
          <w:color w:val="231F20"/>
          <w:sz w:val="13"/>
        </w:rPr>
        <w:t>70 (Di</w:t>
      </w:r>
      <w:r>
        <w:rPr>
          <w:color w:val="231F20"/>
          <w:spacing w:val="-3"/>
          <w:sz w:val="13"/>
        </w:rPr>
        <w:t xml:space="preserve"> </w:t>
      </w:r>
      <w:r>
        <w:rPr>
          <w:color w:val="231F20"/>
          <w:sz w:val="13"/>
        </w:rPr>
        <w:t>McDonald).</w:t>
      </w:r>
    </w:p>
    <w:p w14:paraId="3BD304A9" w14:textId="77777777" w:rsidR="00894070" w:rsidRDefault="009B7AFD">
      <w:pPr>
        <w:pStyle w:val="ListParagraph"/>
        <w:numPr>
          <w:ilvl w:val="0"/>
          <w:numId w:val="46"/>
        </w:numPr>
        <w:tabs>
          <w:tab w:val="left" w:pos="1801"/>
          <w:tab w:val="left" w:pos="1802"/>
        </w:tabs>
        <w:spacing w:before="7" w:line="213" w:lineRule="auto"/>
        <w:ind w:right="93"/>
        <w:jc w:val="left"/>
        <w:rPr>
          <w:sz w:val="13"/>
        </w:rPr>
      </w:pPr>
      <w:r>
        <w:rPr>
          <w:color w:val="231F20"/>
          <w:sz w:val="13"/>
        </w:rPr>
        <w:t xml:space="preserve">Sentencing Advisory Council (Vic), </w:t>
      </w:r>
      <w:r>
        <w:rPr>
          <w:i/>
          <w:color w:val="231F20"/>
          <w:sz w:val="13"/>
        </w:rPr>
        <w:t xml:space="preserve">Sentencing Breaches of </w:t>
      </w:r>
      <w:proofErr w:type="gramStart"/>
      <w:r>
        <w:rPr>
          <w:i/>
          <w:color w:val="231F20"/>
          <w:sz w:val="13"/>
        </w:rPr>
        <w:t>Personal  Safety</w:t>
      </w:r>
      <w:proofErr w:type="gramEnd"/>
      <w:r>
        <w:rPr>
          <w:i/>
          <w:color w:val="231F20"/>
          <w:sz w:val="13"/>
        </w:rPr>
        <w:t xml:space="preserve">  Intervention  Orders  in  Victoria  </w:t>
      </w:r>
      <w:r>
        <w:rPr>
          <w:color w:val="231F20"/>
          <w:spacing w:val="2"/>
          <w:sz w:val="13"/>
        </w:rPr>
        <w:t xml:space="preserve">(Report,  </w:t>
      </w:r>
      <w:r>
        <w:rPr>
          <w:color w:val="231F20"/>
          <w:sz w:val="13"/>
        </w:rPr>
        <w:t>February 2022)</w:t>
      </w:r>
      <w:r>
        <w:rPr>
          <w:color w:val="231F20"/>
          <w:spacing w:val="6"/>
          <w:sz w:val="13"/>
        </w:rPr>
        <w:t xml:space="preserve"> </w:t>
      </w:r>
      <w:r>
        <w:rPr>
          <w:color w:val="231F20"/>
          <w:spacing w:val="3"/>
          <w:sz w:val="13"/>
        </w:rPr>
        <w:t>[5.2]</w:t>
      </w:r>
      <w:r>
        <w:rPr>
          <w:color w:val="231F20"/>
          <w:spacing w:val="6"/>
          <w:sz w:val="13"/>
        </w:rPr>
        <w:t xml:space="preserve"> </w:t>
      </w:r>
      <w:r>
        <w:rPr>
          <w:color w:val="231F20"/>
          <w:sz w:val="13"/>
        </w:rPr>
        <w:t>Figure</w:t>
      </w:r>
      <w:r>
        <w:rPr>
          <w:color w:val="231F20"/>
          <w:spacing w:val="6"/>
          <w:sz w:val="13"/>
        </w:rPr>
        <w:t xml:space="preserve"> </w:t>
      </w:r>
      <w:r>
        <w:rPr>
          <w:color w:val="231F20"/>
          <w:sz w:val="13"/>
        </w:rPr>
        <w:t>16.</w:t>
      </w:r>
      <w:r>
        <w:rPr>
          <w:color w:val="231F20"/>
          <w:spacing w:val="6"/>
          <w:sz w:val="13"/>
        </w:rPr>
        <w:t xml:space="preserve"> </w:t>
      </w:r>
      <w:r>
        <w:rPr>
          <w:color w:val="231F20"/>
          <w:sz w:val="13"/>
        </w:rPr>
        <w:t>In</w:t>
      </w:r>
      <w:r>
        <w:rPr>
          <w:color w:val="231F20"/>
          <w:spacing w:val="6"/>
          <w:sz w:val="13"/>
        </w:rPr>
        <w:t xml:space="preserve"> </w:t>
      </w:r>
      <w:r>
        <w:rPr>
          <w:color w:val="231F20"/>
          <w:sz w:val="13"/>
        </w:rPr>
        <w:t>fact,</w:t>
      </w:r>
      <w:r>
        <w:rPr>
          <w:color w:val="231F20"/>
          <w:spacing w:val="7"/>
          <w:sz w:val="13"/>
        </w:rPr>
        <w:t xml:space="preserve"> </w:t>
      </w:r>
      <w:proofErr w:type="gramStart"/>
      <w:r>
        <w:rPr>
          <w:color w:val="231F20"/>
          <w:sz w:val="13"/>
        </w:rPr>
        <w:t>with</w:t>
      </w:r>
      <w:r>
        <w:rPr>
          <w:color w:val="231F20"/>
          <w:spacing w:val="6"/>
          <w:sz w:val="13"/>
        </w:rPr>
        <w:t xml:space="preserve"> </w:t>
      </w:r>
      <w:r>
        <w:rPr>
          <w:color w:val="231F20"/>
          <w:sz w:val="13"/>
        </w:rPr>
        <w:t>the</w:t>
      </w:r>
      <w:r>
        <w:rPr>
          <w:color w:val="231F20"/>
          <w:spacing w:val="6"/>
          <w:sz w:val="13"/>
        </w:rPr>
        <w:t xml:space="preserve"> </w:t>
      </w:r>
      <w:r>
        <w:rPr>
          <w:color w:val="231F20"/>
          <w:sz w:val="13"/>
        </w:rPr>
        <w:t>exception</w:t>
      </w:r>
      <w:r>
        <w:rPr>
          <w:color w:val="231F20"/>
          <w:spacing w:val="6"/>
          <w:sz w:val="13"/>
        </w:rPr>
        <w:t xml:space="preserve"> </w:t>
      </w:r>
      <w:r>
        <w:rPr>
          <w:color w:val="231F20"/>
          <w:sz w:val="13"/>
        </w:rPr>
        <w:t>of</w:t>
      </w:r>
      <w:proofErr w:type="gramEnd"/>
      <w:r>
        <w:rPr>
          <w:color w:val="231F20"/>
          <w:spacing w:val="6"/>
          <w:sz w:val="13"/>
        </w:rPr>
        <w:t xml:space="preserve"> </w:t>
      </w:r>
      <w:r>
        <w:rPr>
          <w:color w:val="231F20"/>
          <w:sz w:val="13"/>
        </w:rPr>
        <w:t>2016,</w:t>
      </w:r>
      <w:r>
        <w:rPr>
          <w:color w:val="231F20"/>
          <w:spacing w:val="6"/>
          <w:sz w:val="13"/>
        </w:rPr>
        <w:t xml:space="preserve"> </w:t>
      </w:r>
      <w:r>
        <w:rPr>
          <w:color w:val="231F20"/>
          <w:sz w:val="13"/>
        </w:rPr>
        <w:t>recorded</w:t>
      </w:r>
      <w:r>
        <w:rPr>
          <w:color w:val="231F20"/>
          <w:spacing w:val="7"/>
          <w:sz w:val="13"/>
        </w:rPr>
        <w:t xml:space="preserve"> </w:t>
      </w:r>
      <w:r>
        <w:rPr>
          <w:color w:val="231F20"/>
          <w:sz w:val="13"/>
        </w:rPr>
        <w:t>breach</w:t>
      </w:r>
      <w:r>
        <w:rPr>
          <w:color w:val="231F20"/>
          <w:spacing w:val="6"/>
          <w:sz w:val="13"/>
        </w:rPr>
        <w:t xml:space="preserve"> </w:t>
      </w:r>
      <w:r>
        <w:rPr>
          <w:color w:val="231F20"/>
          <w:sz w:val="13"/>
        </w:rPr>
        <w:t>offences</w:t>
      </w:r>
      <w:r>
        <w:rPr>
          <w:color w:val="231F20"/>
          <w:spacing w:val="6"/>
          <w:sz w:val="13"/>
        </w:rPr>
        <w:t xml:space="preserve"> </w:t>
      </w:r>
      <w:r>
        <w:rPr>
          <w:color w:val="231F20"/>
          <w:sz w:val="13"/>
        </w:rPr>
        <w:t>increased</w:t>
      </w:r>
      <w:r>
        <w:rPr>
          <w:color w:val="231F20"/>
          <w:spacing w:val="6"/>
          <w:sz w:val="13"/>
        </w:rPr>
        <w:t xml:space="preserve"> </w:t>
      </w:r>
      <w:r>
        <w:rPr>
          <w:color w:val="231F20"/>
          <w:sz w:val="13"/>
        </w:rPr>
        <w:t>every</w:t>
      </w:r>
      <w:r>
        <w:rPr>
          <w:color w:val="231F20"/>
          <w:spacing w:val="6"/>
          <w:sz w:val="13"/>
        </w:rPr>
        <w:t xml:space="preserve"> </w:t>
      </w:r>
      <w:r>
        <w:rPr>
          <w:color w:val="231F20"/>
          <w:sz w:val="13"/>
        </w:rPr>
        <w:t>year.</w:t>
      </w:r>
      <w:r>
        <w:rPr>
          <w:color w:val="231F20"/>
          <w:spacing w:val="6"/>
          <w:sz w:val="13"/>
        </w:rPr>
        <w:t xml:space="preserve"> </w:t>
      </w:r>
      <w:r>
        <w:rPr>
          <w:color w:val="231F20"/>
          <w:sz w:val="13"/>
        </w:rPr>
        <w:t>The</w:t>
      </w:r>
      <w:r>
        <w:rPr>
          <w:color w:val="231F20"/>
          <w:spacing w:val="7"/>
          <w:sz w:val="13"/>
        </w:rPr>
        <w:t xml:space="preserve"> </w:t>
      </w:r>
      <w:r>
        <w:rPr>
          <w:color w:val="231F20"/>
          <w:sz w:val="13"/>
        </w:rPr>
        <w:t>other</w:t>
      </w:r>
      <w:r>
        <w:rPr>
          <w:color w:val="231F20"/>
          <w:spacing w:val="6"/>
          <w:sz w:val="13"/>
        </w:rPr>
        <w:t xml:space="preserve"> </w:t>
      </w:r>
      <w:r>
        <w:rPr>
          <w:color w:val="231F20"/>
          <w:sz w:val="13"/>
        </w:rPr>
        <w:t>two</w:t>
      </w:r>
      <w:r>
        <w:rPr>
          <w:color w:val="231F20"/>
          <w:spacing w:val="6"/>
          <w:sz w:val="13"/>
        </w:rPr>
        <w:t xml:space="preserve"> </w:t>
      </w:r>
      <w:r>
        <w:rPr>
          <w:color w:val="231F20"/>
          <w:sz w:val="13"/>
        </w:rPr>
        <w:t>potential</w:t>
      </w:r>
    </w:p>
    <w:p w14:paraId="29669000" w14:textId="77777777" w:rsidR="00894070" w:rsidRDefault="009B7AFD">
      <w:pPr>
        <w:spacing w:line="213" w:lineRule="auto"/>
        <w:ind w:left="1801"/>
        <w:rPr>
          <w:sz w:val="13"/>
        </w:rPr>
      </w:pPr>
      <w:r>
        <w:rPr>
          <w:color w:val="231F20"/>
          <w:sz w:val="13"/>
        </w:rPr>
        <w:t>explanations offered by the Sentencing Advisory Council for these increasing numbers were increased breaching behaviour and increased reporting: at [5.2].</w:t>
      </w:r>
    </w:p>
    <w:p w14:paraId="5EAF2A36" w14:textId="77777777" w:rsidR="00894070" w:rsidRDefault="009B7AFD">
      <w:pPr>
        <w:pStyle w:val="ListParagraph"/>
        <w:numPr>
          <w:ilvl w:val="0"/>
          <w:numId w:val="46"/>
        </w:numPr>
        <w:tabs>
          <w:tab w:val="left" w:pos="1800"/>
          <w:tab w:val="left" w:pos="1802"/>
        </w:tabs>
        <w:spacing w:line="153" w:lineRule="exact"/>
        <w:jc w:val="left"/>
        <w:rPr>
          <w:sz w:val="13"/>
        </w:rPr>
      </w:pPr>
      <w:r>
        <w:rPr>
          <w:color w:val="231F20"/>
          <w:spacing w:val="2"/>
          <w:sz w:val="13"/>
        </w:rPr>
        <w:t xml:space="preserve">Submission </w:t>
      </w:r>
      <w:r>
        <w:rPr>
          <w:color w:val="231F20"/>
          <w:sz w:val="13"/>
        </w:rPr>
        <w:t>32 (Centre for Forensic Behavioural Science).</w:t>
      </w:r>
    </w:p>
    <w:p w14:paraId="00F34E23" w14:textId="77777777" w:rsidR="00894070" w:rsidRDefault="009B7AFD">
      <w:pPr>
        <w:pStyle w:val="ListParagraph"/>
        <w:numPr>
          <w:ilvl w:val="0"/>
          <w:numId w:val="46"/>
        </w:numPr>
        <w:tabs>
          <w:tab w:val="left" w:pos="1801"/>
          <w:tab w:val="left" w:pos="1802"/>
        </w:tabs>
        <w:spacing w:line="170" w:lineRule="exact"/>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Review of Family Violence Laws </w:t>
      </w:r>
      <w:r>
        <w:rPr>
          <w:color w:val="231F20"/>
          <w:spacing w:val="2"/>
          <w:sz w:val="13"/>
        </w:rPr>
        <w:t xml:space="preserve">(Report </w:t>
      </w:r>
      <w:r>
        <w:rPr>
          <w:color w:val="231F20"/>
          <w:sz w:val="13"/>
        </w:rPr>
        <w:t>No 10, 2006) 372</w:t>
      </w:r>
      <w:r>
        <w:rPr>
          <w:color w:val="231F20"/>
          <w:spacing w:val="10"/>
          <w:sz w:val="13"/>
        </w:rPr>
        <w:t xml:space="preserve"> </w:t>
      </w:r>
      <w:r>
        <w:rPr>
          <w:color w:val="231F20"/>
          <w:sz w:val="13"/>
        </w:rPr>
        <w:t>[10.67].</w:t>
      </w:r>
    </w:p>
    <w:p w14:paraId="11093324" w14:textId="77777777" w:rsidR="00894070" w:rsidRDefault="009B7AFD">
      <w:pPr>
        <w:pStyle w:val="BodyText"/>
        <w:rPr>
          <w:sz w:val="28"/>
        </w:rPr>
      </w:pPr>
      <w:r>
        <w:br w:type="column"/>
      </w:r>
    </w:p>
    <w:p w14:paraId="28FB95D1" w14:textId="77777777" w:rsidR="00894070" w:rsidRDefault="00894070">
      <w:pPr>
        <w:pStyle w:val="BodyText"/>
        <w:rPr>
          <w:sz w:val="28"/>
        </w:rPr>
      </w:pPr>
    </w:p>
    <w:p w14:paraId="56AF3892" w14:textId="77777777" w:rsidR="00894070" w:rsidRDefault="00894070">
      <w:pPr>
        <w:pStyle w:val="BodyText"/>
        <w:spacing w:before="8"/>
        <w:rPr>
          <w:sz w:val="28"/>
        </w:rPr>
      </w:pPr>
    </w:p>
    <w:p w14:paraId="1B1A1FBB" w14:textId="77777777" w:rsidR="00894070" w:rsidRDefault="009B7AFD">
      <w:pPr>
        <w:pStyle w:val="Heading8"/>
        <w:ind w:left="605"/>
      </w:pPr>
      <w:r>
        <w:rPr>
          <w:color w:val="EA5B50"/>
        </w:rPr>
        <w:t>151</w:t>
      </w:r>
    </w:p>
    <w:p w14:paraId="54400D44" w14:textId="77777777" w:rsidR="00894070" w:rsidRDefault="00894070">
      <w:pPr>
        <w:sectPr w:rsidR="00894070">
          <w:type w:val="continuous"/>
          <w:pgSz w:w="11910" w:h="16840"/>
          <w:pgMar w:top="560" w:right="420" w:bottom="280" w:left="580" w:header="720" w:footer="720" w:gutter="0"/>
          <w:cols w:num="2" w:space="720" w:equalWidth="0">
            <w:col w:w="9703" w:space="40"/>
            <w:col w:w="1167"/>
          </w:cols>
        </w:sectPr>
      </w:pPr>
    </w:p>
    <w:p w14:paraId="3849DCB8" w14:textId="77777777" w:rsidR="00894070" w:rsidRDefault="00894070">
      <w:pPr>
        <w:pStyle w:val="BodyText"/>
        <w:rPr>
          <w:b/>
        </w:rPr>
      </w:pPr>
    </w:p>
    <w:p w14:paraId="04A551B8" w14:textId="77777777" w:rsidR="00894070" w:rsidRDefault="00894070">
      <w:pPr>
        <w:pStyle w:val="BodyText"/>
        <w:rPr>
          <w:b/>
        </w:rPr>
      </w:pPr>
    </w:p>
    <w:p w14:paraId="553CAF46" w14:textId="77777777" w:rsidR="00894070" w:rsidRDefault="00894070">
      <w:pPr>
        <w:pStyle w:val="BodyText"/>
        <w:rPr>
          <w:b/>
        </w:rPr>
      </w:pPr>
    </w:p>
    <w:p w14:paraId="141CE973" w14:textId="77777777" w:rsidR="00894070" w:rsidRDefault="00894070">
      <w:pPr>
        <w:pStyle w:val="BodyText"/>
        <w:spacing w:before="8"/>
        <w:rPr>
          <w:b/>
          <w:sz w:val="19"/>
        </w:rPr>
      </w:pPr>
    </w:p>
    <w:p w14:paraId="34348C29" w14:textId="77777777" w:rsidR="00894070" w:rsidRDefault="009F6793">
      <w:pPr>
        <w:pStyle w:val="BodyText"/>
        <w:ind w:left="1007"/>
      </w:pPr>
      <w:r>
        <w:pict w14:anchorId="38AEB510">
          <v:shape id="_x0000_s1737" type="#_x0000_t202" style="width:436.05pt;height:74.1pt;mso-left-percent:-10001;mso-top-percent:-10001;mso-position-horizontal:absolute;mso-position-horizontal-relative:char;mso-position-vertical:absolute;mso-position-vertical-relative:line;mso-left-percent:-10001;mso-top-percent:-10001" fillcolor="#fee7de" strokecolor="#ea5b50" strokeweight=".5pt">
            <v:textbox inset="0,0,0,0">
              <w:txbxContent>
                <w:p w14:paraId="08E62AB7" w14:textId="77777777" w:rsidR="00894070" w:rsidRDefault="00894070">
                  <w:pPr>
                    <w:pStyle w:val="BodyText"/>
                    <w:spacing w:before="3"/>
                    <w:rPr>
                      <w:b/>
                      <w:sz w:val="15"/>
                    </w:rPr>
                  </w:pPr>
                </w:p>
                <w:p w14:paraId="010170A6" w14:textId="77777777" w:rsidR="00894070" w:rsidRDefault="009B7AFD">
                  <w:pPr>
                    <w:spacing w:line="206" w:lineRule="auto"/>
                    <w:ind w:left="221" w:right="54"/>
                    <w:rPr>
                      <w:b/>
                      <w:sz w:val="20"/>
                    </w:rPr>
                  </w:pPr>
                  <w:r>
                    <w:rPr>
                      <w:b/>
                      <w:i/>
                      <w:color w:val="231F20"/>
                      <w:sz w:val="20"/>
                    </w:rPr>
                    <w:t xml:space="preserve">Personal Safety Intervention Orders Act 2010 </w:t>
                  </w:r>
                  <w:r>
                    <w:rPr>
                      <w:b/>
                      <w:color w:val="231F20"/>
                      <w:sz w:val="20"/>
                    </w:rPr>
                    <w:t>(Vic), section 101 - arrest for contravention of personal safety intervention order</w:t>
                  </w:r>
                </w:p>
                <w:p w14:paraId="2F4B4353" w14:textId="77777777" w:rsidR="00894070" w:rsidRDefault="009B7AFD">
                  <w:pPr>
                    <w:pStyle w:val="BodyText"/>
                    <w:spacing w:before="122" w:line="206" w:lineRule="auto"/>
                    <w:ind w:left="221"/>
                  </w:pPr>
                  <w:r>
                    <w:rPr>
                      <w:color w:val="231F20"/>
                    </w:rPr>
                    <w:t>If</w:t>
                  </w:r>
                  <w:r>
                    <w:rPr>
                      <w:color w:val="231F20"/>
                      <w:spacing w:val="-9"/>
                    </w:rPr>
                    <w:t xml:space="preserve"> </w:t>
                  </w:r>
                  <w:r>
                    <w:rPr>
                      <w:color w:val="231F20"/>
                    </w:rPr>
                    <w:t>a</w:t>
                  </w:r>
                  <w:r>
                    <w:rPr>
                      <w:color w:val="231F20"/>
                      <w:spacing w:val="-9"/>
                    </w:rPr>
                    <w:t xml:space="preserve"> </w:t>
                  </w:r>
                  <w:r>
                    <w:rPr>
                      <w:color w:val="231F20"/>
                    </w:rPr>
                    <w:t>police</w:t>
                  </w:r>
                  <w:r>
                    <w:rPr>
                      <w:color w:val="231F20"/>
                      <w:spacing w:val="-8"/>
                    </w:rPr>
                    <w:t xml:space="preserve"> </w:t>
                  </w:r>
                  <w:r>
                    <w:rPr>
                      <w:color w:val="231F20"/>
                    </w:rPr>
                    <w:t>officer</w:t>
                  </w:r>
                  <w:r>
                    <w:rPr>
                      <w:color w:val="231F20"/>
                      <w:spacing w:val="-9"/>
                    </w:rPr>
                    <w:t xml:space="preserve"> </w:t>
                  </w:r>
                  <w:r>
                    <w:rPr>
                      <w:color w:val="231F20"/>
                    </w:rPr>
                    <w:t>believes</w:t>
                  </w:r>
                  <w:r>
                    <w:rPr>
                      <w:color w:val="231F20"/>
                      <w:spacing w:val="-8"/>
                    </w:rPr>
                    <w:t xml:space="preserve"> </w:t>
                  </w:r>
                  <w:r>
                    <w:rPr>
                      <w:color w:val="231F20"/>
                    </w:rPr>
                    <w:t>on</w:t>
                  </w:r>
                  <w:r>
                    <w:rPr>
                      <w:color w:val="231F20"/>
                      <w:spacing w:val="-9"/>
                    </w:rPr>
                    <w:t xml:space="preserve"> </w:t>
                  </w:r>
                  <w:r>
                    <w:rPr>
                      <w:color w:val="231F20"/>
                    </w:rPr>
                    <w:t>reasonable</w:t>
                  </w:r>
                  <w:r>
                    <w:rPr>
                      <w:color w:val="231F20"/>
                      <w:spacing w:val="-8"/>
                    </w:rPr>
                    <w:t xml:space="preserve"> </w:t>
                  </w:r>
                  <w:r>
                    <w:rPr>
                      <w:color w:val="231F20"/>
                    </w:rPr>
                    <w:t>grounds</w:t>
                  </w:r>
                  <w:r>
                    <w:rPr>
                      <w:color w:val="231F20"/>
                      <w:spacing w:val="-9"/>
                    </w:rPr>
                    <w:t xml:space="preserve"> </w:t>
                  </w:r>
                  <w:r>
                    <w:rPr>
                      <w:color w:val="231F20"/>
                    </w:rPr>
                    <w:t>that</w:t>
                  </w:r>
                  <w:r>
                    <w:rPr>
                      <w:color w:val="231F20"/>
                      <w:spacing w:val="-8"/>
                    </w:rPr>
                    <w:t xml:space="preserve"> </w:t>
                  </w:r>
                  <w:r>
                    <w:rPr>
                      <w:color w:val="231F20"/>
                    </w:rPr>
                    <w:t>a</w:t>
                  </w:r>
                  <w:r>
                    <w:rPr>
                      <w:color w:val="231F20"/>
                      <w:spacing w:val="-9"/>
                    </w:rPr>
                    <w:t xml:space="preserve"> </w:t>
                  </w:r>
                  <w:r>
                    <w:rPr>
                      <w:color w:val="231F20"/>
                    </w:rPr>
                    <w:t>person</w:t>
                  </w:r>
                  <w:r>
                    <w:rPr>
                      <w:color w:val="231F20"/>
                      <w:spacing w:val="-9"/>
                    </w:rPr>
                    <w:t xml:space="preserve"> </w:t>
                  </w:r>
                  <w:r>
                    <w:rPr>
                      <w:color w:val="231F20"/>
                    </w:rPr>
                    <w:t>has</w:t>
                  </w:r>
                  <w:r>
                    <w:rPr>
                      <w:color w:val="231F20"/>
                      <w:spacing w:val="-8"/>
                    </w:rPr>
                    <w:t xml:space="preserve"> </w:t>
                  </w:r>
                  <w:r>
                    <w:rPr>
                      <w:color w:val="231F20"/>
                    </w:rPr>
                    <w:t>committed</w:t>
                  </w:r>
                  <w:r>
                    <w:rPr>
                      <w:color w:val="231F20"/>
                      <w:spacing w:val="-9"/>
                    </w:rPr>
                    <w:t xml:space="preserve"> </w:t>
                  </w:r>
                  <w:r>
                    <w:rPr>
                      <w:color w:val="231F20"/>
                    </w:rPr>
                    <w:t>an</w:t>
                  </w:r>
                  <w:r>
                    <w:rPr>
                      <w:color w:val="231F20"/>
                      <w:spacing w:val="-8"/>
                    </w:rPr>
                    <w:t xml:space="preserve"> </w:t>
                  </w:r>
                  <w:r>
                    <w:rPr>
                      <w:color w:val="231F20"/>
                    </w:rPr>
                    <w:t>offence against</w:t>
                  </w:r>
                  <w:r>
                    <w:rPr>
                      <w:color w:val="231F20"/>
                      <w:spacing w:val="-5"/>
                    </w:rPr>
                    <w:t xml:space="preserve"> </w:t>
                  </w:r>
                  <w:r>
                    <w:rPr>
                      <w:color w:val="231F20"/>
                    </w:rPr>
                    <w:t>section</w:t>
                  </w:r>
                  <w:r>
                    <w:rPr>
                      <w:color w:val="231F20"/>
                      <w:spacing w:val="-4"/>
                    </w:rPr>
                    <w:t xml:space="preserve"> </w:t>
                  </w:r>
                  <w:r>
                    <w:rPr>
                      <w:color w:val="231F20"/>
                    </w:rPr>
                    <w:t>100,</w:t>
                  </w:r>
                  <w:r>
                    <w:rPr>
                      <w:color w:val="231F20"/>
                      <w:spacing w:val="-4"/>
                    </w:rPr>
                    <w:t xml:space="preserve"> </w:t>
                  </w:r>
                  <w:r>
                    <w:rPr>
                      <w:color w:val="231F20"/>
                    </w:rPr>
                    <w:t>the</w:t>
                  </w:r>
                  <w:r>
                    <w:rPr>
                      <w:color w:val="231F20"/>
                      <w:spacing w:val="-5"/>
                    </w:rPr>
                    <w:t xml:space="preserve"> </w:t>
                  </w:r>
                  <w:r>
                    <w:rPr>
                      <w:color w:val="231F20"/>
                    </w:rPr>
                    <w:t>officer</w:t>
                  </w:r>
                  <w:r>
                    <w:rPr>
                      <w:color w:val="231F20"/>
                      <w:spacing w:val="-4"/>
                    </w:rPr>
                    <w:t xml:space="preserve"> </w:t>
                  </w:r>
                  <w:r>
                    <w:rPr>
                      <w:color w:val="231F20"/>
                      <w:spacing w:val="-5"/>
                    </w:rPr>
                    <w:t>may,</w:t>
                  </w:r>
                  <w:r>
                    <w:rPr>
                      <w:color w:val="231F20"/>
                      <w:spacing w:val="-4"/>
                    </w:rPr>
                    <w:t xml:space="preserve"> </w:t>
                  </w:r>
                  <w:r>
                    <w:rPr>
                      <w:color w:val="231F20"/>
                    </w:rPr>
                    <w:t>without</w:t>
                  </w:r>
                  <w:r>
                    <w:rPr>
                      <w:color w:val="231F20"/>
                      <w:spacing w:val="-4"/>
                    </w:rPr>
                    <w:t xml:space="preserve"> </w:t>
                  </w:r>
                  <w:r>
                    <w:rPr>
                      <w:color w:val="231F20"/>
                    </w:rPr>
                    <w:t>warrant,</w:t>
                  </w:r>
                  <w:r>
                    <w:rPr>
                      <w:color w:val="231F20"/>
                      <w:spacing w:val="-5"/>
                    </w:rPr>
                    <w:t xml:space="preserve"> </w:t>
                  </w:r>
                  <w:r>
                    <w:rPr>
                      <w:color w:val="231F20"/>
                    </w:rPr>
                    <w:t>arrest</w:t>
                  </w:r>
                  <w:r>
                    <w:rPr>
                      <w:color w:val="231F20"/>
                      <w:spacing w:val="-4"/>
                    </w:rPr>
                    <w:t xml:space="preserve"> </w:t>
                  </w:r>
                  <w:r>
                    <w:rPr>
                      <w:color w:val="231F20"/>
                    </w:rPr>
                    <w:t>and</w:t>
                  </w:r>
                  <w:r>
                    <w:rPr>
                      <w:color w:val="231F20"/>
                      <w:spacing w:val="-4"/>
                    </w:rPr>
                    <w:t xml:space="preserve"> </w:t>
                  </w:r>
                  <w:r>
                    <w:rPr>
                      <w:color w:val="231F20"/>
                    </w:rPr>
                    <w:t>detain</w:t>
                  </w:r>
                  <w:r>
                    <w:rPr>
                      <w:color w:val="231F20"/>
                      <w:spacing w:val="-4"/>
                    </w:rPr>
                    <w:t xml:space="preserve"> </w:t>
                  </w:r>
                  <w:r>
                    <w:rPr>
                      <w:color w:val="231F20"/>
                    </w:rPr>
                    <w:t>the</w:t>
                  </w:r>
                  <w:r>
                    <w:rPr>
                      <w:color w:val="231F20"/>
                      <w:spacing w:val="-5"/>
                    </w:rPr>
                    <w:t xml:space="preserve"> </w:t>
                  </w:r>
                  <w:r>
                    <w:rPr>
                      <w:color w:val="231F20"/>
                    </w:rPr>
                    <w:t>person.</w:t>
                  </w:r>
                </w:p>
              </w:txbxContent>
            </v:textbox>
            <w10:anchorlock/>
          </v:shape>
        </w:pict>
      </w:r>
    </w:p>
    <w:p w14:paraId="5EF1E140" w14:textId="77777777" w:rsidR="00894070" w:rsidRDefault="00894070">
      <w:pPr>
        <w:pStyle w:val="BodyText"/>
        <w:spacing w:before="1"/>
        <w:rPr>
          <w:b/>
          <w:sz w:val="19"/>
        </w:rPr>
      </w:pPr>
    </w:p>
    <w:p w14:paraId="005B44B9" w14:textId="77777777" w:rsidR="00894070" w:rsidRDefault="009B7AFD">
      <w:pPr>
        <w:pStyle w:val="ListParagraph"/>
        <w:numPr>
          <w:ilvl w:val="0"/>
          <w:numId w:val="47"/>
        </w:numPr>
        <w:tabs>
          <w:tab w:val="left" w:pos="1801"/>
          <w:tab w:val="left" w:pos="1802"/>
        </w:tabs>
        <w:spacing w:before="90" w:line="206" w:lineRule="auto"/>
        <w:ind w:right="1591"/>
        <w:rPr>
          <w:sz w:val="11"/>
        </w:rPr>
      </w:pPr>
      <w:r>
        <w:rPr>
          <w:color w:val="231F20"/>
          <w:sz w:val="20"/>
        </w:rPr>
        <w:t xml:space="preserve">The Victoria Police Manual is limited in its guidance on responding to breaches of PSIOs. It states </w:t>
      </w:r>
      <w:r>
        <w:rPr>
          <w:color w:val="231F20"/>
          <w:spacing w:val="-3"/>
          <w:sz w:val="20"/>
        </w:rPr>
        <w:t xml:space="preserve">only </w:t>
      </w:r>
      <w:r>
        <w:rPr>
          <w:color w:val="231F20"/>
          <w:sz w:val="20"/>
        </w:rPr>
        <w:t xml:space="preserve">that ‘Members </w:t>
      </w:r>
      <w:r>
        <w:rPr>
          <w:color w:val="231F20"/>
          <w:spacing w:val="-3"/>
          <w:sz w:val="20"/>
        </w:rPr>
        <w:t xml:space="preserve">may exercise </w:t>
      </w:r>
      <w:r>
        <w:rPr>
          <w:color w:val="231F20"/>
          <w:sz w:val="20"/>
        </w:rPr>
        <w:t xml:space="preserve">a </w:t>
      </w:r>
      <w:r>
        <w:rPr>
          <w:color w:val="231F20"/>
          <w:spacing w:val="-3"/>
          <w:sz w:val="20"/>
        </w:rPr>
        <w:t xml:space="preserve">power </w:t>
      </w:r>
      <w:r>
        <w:rPr>
          <w:color w:val="231F20"/>
          <w:sz w:val="20"/>
        </w:rPr>
        <w:t xml:space="preserve">to </w:t>
      </w:r>
      <w:r>
        <w:rPr>
          <w:color w:val="231F20"/>
          <w:spacing w:val="-2"/>
          <w:sz w:val="20"/>
        </w:rPr>
        <w:t xml:space="preserve">arrest </w:t>
      </w:r>
      <w:r>
        <w:rPr>
          <w:color w:val="231F20"/>
          <w:sz w:val="20"/>
        </w:rPr>
        <w:t>without warrant under</w:t>
      </w:r>
      <w:r>
        <w:rPr>
          <w:color w:val="231F20"/>
          <w:spacing w:val="-10"/>
          <w:sz w:val="20"/>
        </w:rPr>
        <w:t xml:space="preserve"> </w:t>
      </w:r>
      <w:r>
        <w:rPr>
          <w:color w:val="231F20"/>
          <w:spacing w:val="-3"/>
          <w:sz w:val="20"/>
        </w:rPr>
        <w:t>s.101</w:t>
      </w:r>
      <w:r>
        <w:rPr>
          <w:color w:val="231F20"/>
          <w:spacing w:val="-9"/>
          <w:sz w:val="20"/>
        </w:rPr>
        <w:t xml:space="preserve"> </w:t>
      </w:r>
      <w:r>
        <w:rPr>
          <w:color w:val="231F20"/>
          <w:sz w:val="20"/>
        </w:rPr>
        <w:t>[PSIO</w:t>
      </w:r>
      <w:r>
        <w:rPr>
          <w:color w:val="231F20"/>
          <w:spacing w:val="-10"/>
          <w:sz w:val="20"/>
        </w:rPr>
        <w:t xml:space="preserve"> </w:t>
      </w:r>
      <w:r>
        <w:rPr>
          <w:color w:val="231F20"/>
          <w:sz w:val="20"/>
        </w:rPr>
        <w:t>Act],</w:t>
      </w:r>
      <w:r>
        <w:rPr>
          <w:color w:val="231F20"/>
          <w:spacing w:val="-9"/>
          <w:sz w:val="20"/>
        </w:rPr>
        <w:t xml:space="preserve"> </w:t>
      </w:r>
      <w:r>
        <w:rPr>
          <w:color w:val="231F20"/>
          <w:sz w:val="20"/>
        </w:rPr>
        <w:t>if</w:t>
      </w:r>
      <w:r>
        <w:rPr>
          <w:color w:val="231F20"/>
          <w:spacing w:val="-9"/>
          <w:sz w:val="20"/>
        </w:rPr>
        <w:t xml:space="preserve"> </w:t>
      </w:r>
      <w:r>
        <w:rPr>
          <w:color w:val="231F20"/>
          <w:sz w:val="20"/>
        </w:rPr>
        <w:t>there</w:t>
      </w:r>
      <w:r>
        <w:rPr>
          <w:color w:val="231F20"/>
          <w:spacing w:val="-10"/>
          <w:sz w:val="20"/>
        </w:rPr>
        <w:t xml:space="preserve"> </w:t>
      </w:r>
      <w:r>
        <w:rPr>
          <w:color w:val="231F20"/>
          <w:spacing w:val="-3"/>
          <w:sz w:val="20"/>
        </w:rPr>
        <w:t>are</w:t>
      </w:r>
      <w:r>
        <w:rPr>
          <w:color w:val="231F20"/>
          <w:spacing w:val="-9"/>
          <w:sz w:val="20"/>
        </w:rPr>
        <w:t xml:space="preserve"> </w:t>
      </w:r>
      <w:r>
        <w:rPr>
          <w:color w:val="231F20"/>
          <w:sz w:val="20"/>
        </w:rPr>
        <w:t>reasonable</w:t>
      </w:r>
      <w:r>
        <w:rPr>
          <w:color w:val="231F20"/>
          <w:spacing w:val="-10"/>
          <w:sz w:val="20"/>
        </w:rPr>
        <w:t xml:space="preserve"> </w:t>
      </w:r>
      <w:r>
        <w:rPr>
          <w:color w:val="231F20"/>
          <w:sz w:val="20"/>
        </w:rPr>
        <w:t>grounds</w:t>
      </w:r>
      <w:r>
        <w:rPr>
          <w:color w:val="231F20"/>
          <w:spacing w:val="-9"/>
          <w:sz w:val="20"/>
        </w:rPr>
        <w:t xml:space="preserve"> </w:t>
      </w:r>
      <w:r>
        <w:rPr>
          <w:color w:val="231F20"/>
          <w:sz w:val="20"/>
        </w:rPr>
        <w:t>to</w:t>
      </w:r>
      <w:r>
        <w:rPr>
          <w:color w:val="231F20"/>
          <w:spacing w:val="-9"/>
          <w:sz w:val="20"/>
        </w:rPr>
        <w:t xml:space="preserve"> </w:t>
      </w:r>
      <w:r>
        <w:rPr>
          <w:color w:val="231F20"/>
          <w:sz w:val="20"/>
        </w:rPr>
        <w:t>suspect</w:t>
      </w:r>
      <w:r>
        <w:rPr>
          <w:color w:val="231F20"/>
          <w:spacing w:val="-10"/>
          <w:sz w:val="20"/>
        </w:rPr>
        <w:t xml:space="preserve"> </w:t>
      </w:r>
      <w:r>
        <w:rPr>
          <w:color w:val="231F20"/>
          <w:sz w:val="20"/>
        </w:rPr>
        <w:t>that</w:t>
      </w:r>
      <w:r>
        <w:rPr>
          <w:color w:val="231F20"/>
          <w:spacing w:val="-9"/>
          <w:sz w:val="20"/>
        </w:rPr>
        <w:t xml:space="preserve"> </w:t>
      </w:r>
      <w:r>
        <w:rPr>
          <w:color w:val="231F20"/>
          <w:sz w:val="20"/>
        </w:rPr>
        <w:t>a</w:t>
      </w:r>
      <w:r>
        <w:rPr>
          <w:color w:val="231F20"/>
          <w:spacing w:val="-9"/>
          <w:sz w:val="20"/>
        </w:rPr>
        <w:t xml:space="preserve"> </w:t>
      </w:r>
      <w:r>
        <w:rPr>
          <w:color w:val="231F20"/>
          <w:sz w:val="20"/>
        </w:rPr>
        <w:t>person</w:t>
      </w:r>
      <w:r>
        <w:rPr>
          <w:color w:val="231F20"/>
          <w:spacing w:val="-10"/>
          <w:sz w:val="20"/>
        </w:rPr>
        <w:t xml:space="preserve"> </w:t>
      </w:r>
      <w:r>
        <w:rPr>
          <w:color w:val="231F20"/>
          <w:sz w:val="20"/>
        </w:rPr>
        <w:t>has breached a condition of the</w:t>
      </w:r>
      <w:r>
        <w:rPr>
          <w:color w:val="231F20"/>
          <w:spacing w:val="-22"/>
          <w:sz w:val="20"/>
        </w:rPr>
        <w:t xml:space="preserve"> </w:t>
      </w:r>
      <w:r>
        <w:rPr>
          <w:color w:val="231F20"/>
          <w:sz w:val="20"/>
        </w:rPr>
        <w:t>order’.</w:t>
      </w:r>
      <w:r>
        <w:rPr>
          <w:color w:val="231F20"/>
          <w:position w:val="7"/>
          <w:sz w:val="11"/>
        </w:rPr>
        <w:t>144</w:t>
      </w:r>
    </w:p>
    <w:p w14:paraId="486812F9" w14:textId="77777777" w:rsidR="00894070" w:rsidRDefault="009B7AFD">
      <w:pPr>
        <w:pStyle w:val="ListParagraph"/>
        <w:numPr>
          <w:ilvl w:val="0"/>
          <w:numId w:val="47"/>
        </w:numPr>
        <w:tabs>
          <w:tab w:val="left" w:pos="1801"/>
          <w:tab w:val="left" w:pos="1802"/>
        </w:tabs>
        <w:spacing w:before="125" w:line="206" w:lineRule="auto"/>
        <w:ind w:right="1399"/>
        <w:rPr>
          <w:sz w:val="11"/>
        </w:rPr>
      </w:pPr>
      <w:r>
        <w:rPr>
          <w:color w:val="231F20"/>
          <w:sz w:val="20"/>
        </w:rPr>
        <w:t xml:space="preserve">In contrast, the manual has more detailed guidance on responding to breaches of </w:t>
      </w:r>
      <w:r>
        <w:rPr>
          <w:color w:val="231F20"/>
          <w:spacing w:val="-3"/>
          <w:sz w:val="20"/>
        </w:rPr>
        <w:t xml:space="preserve">family </w:t>
      </w:r>
      <w:r>
        <w:rPr>
          <w:color w:val="231F20"/>
          <w:sz w:val="20"/>
        </w:rPr>
        <w:t xml:space="preserve">violence </w:t>
      </w:r>
      <w:r>
        <w:rPr>
          <w:color w:val="231F20"/>
          <w:spacing w:val="-2"/>
          <w:sz w:val="20"/>
        </w:rPr>
        <w:t xml:space="preserve">intervention </w:t>
      </w:r>
      <w:r>
        <w:rPr>
          <w:color w:val="231F20"/>
          <w:sz w:val="20"/>
        </w:rPr>
        <w:t xml:space="preserve">orders (FVIOs). </w:t>
      </w:r>
      <w:r>
        <w:rPr>
          <w:color w:val="231F20"/>
          <w:spacing w:val="-3"/>
          <w:sz w:val="20"/>
        </w:rPr>
        <w:t xml:space="preserve">For example, </w:t>
      </w:r>
      <w:r>
        <w:rPr>
          <w:color w:val="231F20"/>
          <w:sz w:val="20"/>
        </w:rPr>
        <w:t xml:space="preserve">the manual states that ‘conditions within an </w:t>
      </w:r>
      <w:r>
        <w:rPr>
          <w:color w:val="231F20"/>
          <w:spacing w:val="-2"/>
          <w:sz w:val="20"/>
        </w:rPr>
        <w:t xml:space="preserve">intervention </w:t>
      </w:r>
      <w:r>
        <w:rPr>
          <w:color w:val="231F20"/>
          <w:sz w:val="20"/>
        </w:rPr>
        <w:t xml:space="preserve">order </w:t>
      </w:r>
      <w:r>
        <w:rPr>
          <w:color w:val="231F20"/>
          <w:spacing w:val="-3"/>
          <w:sz w:val="20"/>
        </w:rPr>
        <w:t xml:space="preserve">are </w:t>
      </w:r>
      <w:r>
        <w:rPr>
          <w:color w:val="231F20"/>
          <w:sz w:val="20"/>
        </w:rPr>
        <w:t xml:space="preserve">to be </w:t>
      </w:r>
      <w:r>
        <w:rPr>
          <w:color w:val="231F20"/>
          <w:spacing w:val="-3"/>
          <w:sz w:val="20"/>
        </w:rPr>
        <w:t xml:space="preserve">strictly interpreted </w:t>
      </w:r>
      <w:r>
        <w:rPr>
          <w:color w:val="231F20"/>
          <w:sz w:val="20"/>
        </w:rPr>
        <w:t xml:space="preserve">and </w:t>
      </w:r>
      <w:r>
        <w:rPr>
          <w:color w:val="231F20"/>
          <w:spacing w:val="-3"/>
          <w:sz w:val="20"/>
        </w:rPr>
        <w:t xml:space="preserve">enforced. </w:t>
      </w:r>
      <w:r>
        <w:rPr>
          <w:color w:val="231F20"/>
          <w:sz w:val="20"/>
        </w:rPr>
        <w:t xml:space="preserve">There is no such thing as a “technical” breach … If evidence of </w:t>
      </w:r>
      <w:r>
        <w:rPr>
          <w:color w:val="231F20"/>
          <w:spacing w:val="-3"/>
          <w:sz w:val="20"/>
        </w:rPr>
        <w:t xml:space="preserve">contravention </w:t>
      </w:r>
      <w:r>
        <w:rPr>
          <w:color w:val="231F20"/>
          <w:sz w:val="20"/>
        </w:rPr>
        <w:t>exists, members</w:t>
      </w:r>
      <w:r>
        <w:rPr>
          <w:color w:val="231F20"/>
          <w:spacing w:val="-8"/>
          <w:sz w:val="20"/>
        </w:rPr>
        <w:t xml:space="preserve"> </w:t>
      </w:r>
      <w:r>
        <w:rPr>
          <w:color w:val="231F20"/>
          <w:sz w:val="20"/>
        </w:rPr>
        <w:t>need</w:t>
      </w:r>
      <w:r>
        <w:rPr>
          <w:color w:val="231F20"/>
          <w:spacing w:val="-8"/>
          <w:sz w:val="20"/>
        </w:rPr>
        <w:t xml:space="preserve"> </w:t>
      </w:r>
      <w:r>
        <w:rPr>
          <w:color w:val="231F20"/>
          <w:sz w:val="20"/>
        </w:rPr>
        <w:t>to</w:t>
      </w:r>
      <w:r>
        <w:rPr>
          <w:color w:val="231F20"/>
          <w:spacing w:val="-8"/>
          <w:sz w:val="20"/>
        </w:rPr>
        <w:t xml:space="preserve"> </w:t>
      </w:r>
      <w:r>
        <w:rPr>
          <w:color w:val="231F20"/>
          <w:sz w:val="20"/>
        </w:rPr>
        <w:t>consider</w:t>
      </w:r>
      <w:r>
        <w:rPr>
          <w:color w:val="231F20"/>
          <w:spacing w:val="-8"/>
          <w:sz w:val="20"/>
        </w:rPr>
        <w:t xml:space="preserve"> </w:t>
      </w:r>
      <w:r>
        <w:rPr>
          <w:color w:val="231F20"/>
          <w:sz w:val="20"/>
        </w:rPr>
        <w:t>prosecution.</w:t>
      </w:r>
      <w:r>
        <w:rPr>
          <w:color w:val="231F20"/>
          <w:spacing w:val="-8"/>
          <w:sz w:val="20"/>
        </w:rPr>
        <w:t xml:space="preserve"> </w:t>
      </w:r>
      <w:r>
        <w:rPr>
          <w:color w:val="231F20"/>
          <w:sz w:val="20"/>
        </w:rPr>
        <w:t>In</w:t>
      </w:r>
      <w:r>
        <w:rPr>
          <w:color w:val="231F20"/>
          <w:spacing w:val="-8"/>
          <w:sz w:val="20"/>
        </w:rPr>
        <w:t xml:space="preserve"> </w:t>
      </w:r>
      <w:r>
        <w:rPr>
          <w:color w:val="231F20"/>
          <w:sz w:val="20"/>
        </w:rPr>
        <w:t>all</w:t>
      </w:r>
      <w:r>
        <w:rPr>
          <w:color w:val="231F20"/>
          <w:spacing w:val="-8"/>
          <w:sz w:val="20"/>
        </w:rPr>
        <w:t xml:space="preserve"> </w:t>
      </w:r>
      <w:r>
        <w:rPr>
          <w:color w:val="231F20"/>
          <w:sz w:val="20"/>
        </w:rPr>
        <w:t>cases,</w:t>
      </w:r>
      <w:r>
        <w:rPr>
          <w:color w:val="231F20"/>
          <w:spacing w:val="-8"/>
          <w:sz w:val="20"/>
        </w:rPr>
        <w:t xml:space="preserve"> </w:t>
      </w:r>
      <w:r>
        <w:rPr>
          <w:color w:val="231F20"/>
          <w:sz w:val="20"/>
        </w:rPr>
        <w:t>the</w:t>
      </w:r>
      <w:r>
        <w:rPr>
          <w:color w:val="231F20"/>
          <w:spacing w:val="-8"/>
          <w:sz w:val="20"/>
        </w:rPr>
        <w:t xml:space="preserve"> </w:t>
      </w:r>
      <w:r>
        <w:rPr>
          <w:color w:val="231F20"/>
          <w:spacing w:val="-2"/>
          <w:sz w:val="20"/>
        </w:rPr>
        <w:t>matter</w:t>
      </w:r>
      <w:r>
        <w:rPr>
          <w:color w:val="231F20"/>
          <w:spacing w:val="-8"/>
          <w:sz w:val="20"/>
        </w:rPr>
        <w:t xml:space="preserve"> </w:t>
      </w:r>
      <w:r>
        <w:rPr>
          <w:color w:val="231F20"/>
          <w:sz w:val="20"/>
        </w:rPr>
        <w:t>must</w:t>
      </w:r>
      <w:r>
        <w:rPr>
          <w:color w:val="231F20"/>
          <w:spacing w:val="-8"/>
          <w:sz w:val="20"/>
        </w:rPr>
        <w:t xml:space="preserve"> </w:t>
      </w:r>
      <w:r>
        <w:rPr>
          <w:color w:val="231F20"/>
          <w:sz w:val="20"/>
        </w:rPr>
        <w:t>be</w:t>
      </w:r>
      <w:r>
        <w:rPr>
          <w:color w:val="231F20"/>
          <w:spacing w:val="-8"/>
          <w:sz w:val="20"/>
        </w:rPr>
        <w:t xml:space="preserve"> </w:t>
      </w:r>
      <w:proofErr w:type="gramStart"/>
      <w:r>
        <w:rPr>
          <w:color w:val="231F20"/>
          <w:spacing w:val="-3"/>
          <w:sz w:val="20"/>
        </w:rPr>
        <w:t>investigated</w:t>
      </w:r>
      <w:proofErr w:type="gramEnd"/>
      <w:r>
        <w:rPr>
          <w:color w:val="231F20"/>
          <w:spacing w:val="-3"/>
          <w:sz w:val="20"/>
        </w:rPr>
        <w:t xml:space="preserve"> </w:t>
      </w:r>
      <w:r>
        <w:rPr>
          <w:color w:val="231F20"/>
          <w:sz w:val="20"/>
        </w:rPr>
        <w:t>and a brief of evidence</w:t>
      </w:r>
      <w:r>
        <w:rPr>
          <w:color w:val="231F20"/>
          <w:spacing w:val="-22"/>
          <w:sz w:val="20"/>
        </w:rPr>
        <w:t xml:space="preserve"> </w:t>
      </w:r>
      <w:r>
        <w:rPr>
          <w:color w:val="231F20"/>
          <w:sz w:val="20"/>
        </w:rPr>
        <w:t>submitted’.</w:t>
      </w:r>
      <w:r>
        <w:rPr>
          <w:color w:val="231F20"/>
          <w:position w:val="7"/>
          <w:sz w:val="11"/>
        </w:rPr>
        <w:t>145</w:t>
      </w:r>
    </w:p>
    <w:p w14:paraId="5BACA2EA" w14:textId="77777777" w:rsidR="00894070" w:rsidRDefault="009B7AFD">
      <w:pPr>
        <w:pStyle w:val="ListParagraph"/>
        <w:numPr>
          <w:ilvl w:val="0"/>
          <w:numId w:val="47"/>
        </w:numPr>
        <w:tabs>
          <w:tab w:val="left" w:pos="1801"/>
          <w:tab w:val="left" w:pos="1802"/>
        </w:tabs>
        <w:spacing w:before="95"/>
        <w:rPr>
          <w:sz w:val="20"/>
        </w:rPr>
      </w:pPr>
      <w:r>
        <w:rPr>
          <w:color w:val="231F20"/>
          <w:sz w:val="20"/>
        </w:rPr>
        <w:t xml:space="preserve">Good </w:t>
      </w:r>
      <w:r>
        <w:rPr>
          <w:color w:val="231F20"/>
          <w:spacing w:val="-3"/>
          <w:sz w:val="20"/>
        </w:rPr>
        <w:t xml:space="preserve">examples </w:t>
      </w:r>
      <w:r>
        <w:rPr>
          <w:color w:val="231F20"/>
          <w:sz w:val="20"/>
        </w:rPr>
        <w:t xml:space="preserve">of police guidance </w:t>
      </w:r>
      <w:r>
        <w:rPr>
          <w:color w:val="231F20"/>
          <w:spacing w:val="-3"/>
          <w:sz w:val="20"/>
        </w:rPr>
        <w:t xml:space="preserve">are </w:t>
      </w:r>
      <w:r>
        <w:rPr>
          <w:color w:val="231F20"/>
          <w:sz w:val="20"/>
        </w:rPr>
        <w:t xml:space="preserve">also available </w:t>
      </w:r>
      <w:r>
        <w:rPr>
          <w:color w:val="231F20"/>
          <w:spacing w:val="-3"/>
          <w:sz w:val="20"/>
        </w:rPr>
        <w:t xml:space="preserve">overseas </w:t>
      </w:r>
      <w:r>
        <w:rPr>
          <w:color w:val="231F20"/>
          <w:sz w:val="20"/>
        </w:rPr>
        <w:t>(see</w:t>
      </w:r>
      <w:r>
        <w:rPr>
          <w:color w:val="231F20"/>
          <w:spacing w:val="-36"/>
          <w:sz w:val="20"/>
        </w:rPr>
        <w:t xml:space="preserve"> </w:t>
      </w:r>
      <w:r>
        <w:rPr>
          <w:color w:val="231F20"/>
          <w:spacing w:val="-3"/>
          <w:sz w:val="20"/>
        </w:rPr>
        <w:t>box).</w:t>
      </w:r>
    </w:p>
    <w:p w14:paraId="08F2C5AD" w14:textId="77777777" w:rsidR="00894070" w:rsidRDefault="009F6793">
      <w:pPr>
        <w:pStyle w:val="BodyText"/>
        <w:spacing w:before="12"/>
        <w:rPr>
          <w:sz w:val="22"/>
        </w:rPr>
      </w:pPr>
      <w:r>
        <w:pict w14:anchorId="216506B9">
          <v:group id="_x0000_s1163" style="position:absolute;margin-left:79.35pt;margin-top:17.85pt;width:435.9pt;height:213.35pt;z-index:251747328;mso-wrap-distance-left:0;mso-wrap-distance-right:0;mso-position-horizontal-relative:page" coordorigin="1587,357" coordsize="8718,4267">
            <v:rect id="_x0000_s1171" style="position:absolute;left:1592;top:362;width:8708;height:4257" fillcolor="#fee7de" stroked="f"/>
            <v:line id="_x0000_s1170" style="position:absolute" from="1587,362" to="10305,362" strokecolor="#ea5b50" strokeweight=".5pt"/>
            <v:line id="_x0000_s1169" style="position:absolute" from="1592,4614" to="1592,367" strokecolor="#ea5b50" strokeweight=".5pt"/>
            <v:line id="_x0000_s1168" style="position:absolute" from="10300,4614" to="10300,367" strokecolor="#ea5b50" strokeweight=".5pt"/>
            <v:line id="_x0000_s1167" style="position:absolute" from="1587,4619" to="10305,4619" strokecolor="#ea5b50" strokeweight=".5pt"/>
            <v:shape id="_x0000_s1166" type="#_x0000_t202" style="position:absolute;left:2159;top:1548;width:7893;height:2890" filled="f" stroked="f">
              <v:textbox inset="0,0,0,0">
                <w:txbxContent>
                  <w:p w14:paraId="5FC02FD6" w14:textId="77777777" w:rsidR="00894070" w:rsidRDefault="009B7AFD">
                    <w:pPr>
                      <w:spacing w:line="206" w:lineRule="auto"/>
                      <w:rPr>
                        <w:sz w:val="11"/>
                      </w:rPr>
                    </w:pPr>
                    <w:r>
                      <w:rPr>
                        <w:color w:val="231F20"/>
                        <w:sz w:val="20"/>
                      </w:rPr>
                      <w:t>‘police</w:t>
                    </w:r>
                    <w:r>
                      <w:rPr>
                        <w:color w:val="231F20"/>
                        <w:spacing w:val="-10"/>
                        <w:sz w:val="20"/>
                      </w:rPr>
                      <w:t xml:space="preserve"> </w:t>
                    </w:r>
                    <w:r>
                      <w:rPr>
                        <w:color w:val="231F20"/>
                        <w:sz w:val="20"/>
                      </w:rPr>
                      <w:t>should</w:t>
                    </w:r>
                    <w:r>
                      <w:rPr>
                        <w:color w:val="231F20"/>
                        <w:spacing w:val="-9"/>
                        <w:sz w:val="20"/>
                      </w:rPr>
                      <w:t xml:space="preserve"> </w:t>
                    </w:r>
                    <w:r>
                      <w:rPr>
                        <w:color w:val="231F20"/>
                        <w:sz w:val="20"/>
                      </w:rPr>
                      <w:t>act</w:t>
                    </w:r>
                    <w:r>
                      <w:rPr>
                        <w:color w:val="231F20"/>
                        <w:spacing w:val="-9"/>
                        <w:sz w:val="20"/>
                      </w:rPr>
                      <w:t xml:space="preserve"> </w:t>
                    </w:r>
                    <w:r>
                      <w:rPr>
                        <w:color w:val="231F20"/>
                        <w:sz w:val="20"/>
                      </w:rPr>
                      <w:t>swiftly</w:t>
                    </w:r>
                    <w:r>
                      <w:rPr>
                        <w:color w:val="231F20"/>
                        <w:spacing w:val="-9"/>
                        <w:sz w:val="20"/>
                      </w:rPr>
                      <w:t xml:space="preserve"> </w:t>
                    </w:r>
                    <w:r>
                      <w:rPr>
                        <w:color w:val="231F20"/>
                        <w:sz w:val="20"/>
                      </w:rPr>
                      <w:t>when</w:t>
                    </w:r>
                    <w:r>
                      <w:rPr>
                        <w:color w:val="231F20"/>
                        <w:spacing w:val="-10"/>
                        <w:sz w:val="20"/>
                      </w:rPr>
                      <w:t xml:space="preserve"> </w:t>
                    </w:r>
                    <w:r>
                      <w:rPr>
                        <w:color w:val="231F20"/>
                        <w:sz w:val="20"/>
                      </w:rPr>
                      <w:t>a</w:t>
                    </w:r>
                    <w:r>
                      <w:rPr>
                        <w:color w:val="231F20"/>
                        <w:spacing w:val="-9"/>
                        <w:sz w:val="20"/>
                      </w:rPr>
                      <w:t xml:space="preserve"> </w:t>
                    </w:r>
                    <w:r>
                      <w:rPr>
                        <w:color w:val="231F20"/>
                        <w:sz w:val="20"/>
                      </w:rPr>
                      <w:t>breach</w:t>
                    </w:r>
                    <w:r>
                      <w:rPr>
                        <w:color w:val="231F20"/>
                        <w:spacing w:val="-9"/>
                        <w:sz w:val="20"/>
                      </w:rPr>
                      <w:t xml:space="preserve"> </w:t>
                    </w:r>
                    <w:r>
                      <w:rPr>
                        <w:color w:val="231F20"/>
                        <w:sz w:val="20"/>
                      </w:rPr>
                      <w:t>has</w:t>
                    </w:r>
                    <w:r>
                      <w:rPr>
                        <w:color w:val="231F20"/>
                        <w:spacing w:val="-9"/>
                        <w:sz w:val="20"/>
                      </w:rPr>
                      <w:t xml:space="preserve"> </w:t>
                    </w:r>
                    <w:r>
                      <w:rPr>
                        <w:color w:val="231F20"/>
                        <w:sz w:val="20"/>
                      </w:rPr>
                      <w:t>occurred</w:t>
                    </w:r>
                    <w:r>
                      <w:rPr>
                        <w:color w:val="231F20"/>
                        <w:spacing w:val="-9"/>
                        <w:sz w:val="20"/>
                      </w:rPr>
                      <w:t xml:space="preserve"> </w:t>
                    </w:r>
                    <w:r>
                      <w:rPr>
                        <w:color w:val="231F20"/>
                        <w:sz w:val="20"/>
                      </w:rPr>
                      <w:t>and</w:t>
                    </w:r>
                    <w:r>
                      <w:rPr>
                        <w:color w:val="231F20"/>
                        <w:spacing w:val="-10"/>
                        <w:sz w:val="20"/>
                      </w:rPr>
                      <w:t xml:space="preserve"> </w:t>
                    </w:r>
                    <w:r>
                      <w:rPr>
                        <w:color w:val="231F20"/>
                        <w:sz w:val="20"/>
                      </w:rPr>
                      <w:t>need</w:t>
                    </w:r>
                    <w:r>
                      <w:rPr>
                        <w:color w:val="231F20"/>
                        <w:spacing w:val="-9"/>
                        <w:sz w:val="20"/>
                      </w:rPr>
                      <w:t xml:space="preserve"> </w:t>
                    </w:r>
                    <w:r>
                      <w:rPr>
                        <w:color w:val="231F20"/>
                        <w:sz w:val="20"/>
                      </w:rPr>
                      <w:t>to</w:t>
                    </w:r>
                    <w:r>
                      <w:rPr>
                        <w:color w:val="231F20"/>
                        <w:spacing w:val="-9"/>
                        <w:sz w:val="20"/>
                      </w:rPr>
                      <w:t xml:space="preserve"> </w:t>
                    </w:r>
                    <w:r>
                      <w:rPr>
                        <w:color w:val="231F20"/>
                        <w:spacing w:val="-3"/>
                        <w:sz w:val="20"/>
                      </w:rPr>
                      <w:t>fully</w:t>
                    </w:r>
                    <w:r>
                      <w:rPr>
                        <w:color w:val="231F20"/>
                        <w:spacing w:val="-9"/>
                        <w:sz w:val="20"/>
                      </w:rPr>
                      <w:t xml:space="preserve"> </w:t>
                    </w:r>
                    <w:r>
                      <w:rPr>
                        <w:color w:val="231F20"/>
                        <w:spacing w:val="-3"/>
                        <w:sz w:val="20"/>
                      </w:rPr>
                      <w:t>investigate</w:t>
                    </w:r>
                    <w:r>
                      <w:rPr>
                        <w:color w:val="231F20"/>
                        <w:spacing w:val="-9"/>
                        <w:sz w:val="20"/>
                      </w:rPr>
                      <w:t xml:space="preserve"> </w:t>
                    </w:r>
                    <w:r>
                      <w:rPr>
                        <w:color w:val="231F20"/>
                        <w:sz w:val="20"/>
                      </w:rPr>
                      <w:t>the offence’</w:t>
                    </w:r>
                    <w:r>
                      <w:rPr>
                        <w:color w:val="231F20"/>
                        <w:position w:val="7"/>
                        <w:sz w:val="11"/>
                      </w:rPr>
                      <w:t>146</w:t>
                    </w:r>
                  </w:p>
                  <w:p w14:paraId="6AF7FB6F" w14:textId="77777777" w:rsidR="00894070" w:rsidRDefault="009B7AFD">
                    <w:pPr>
                      <w:spacing w:before="77" w:line="206" w:lineRule="auto"/>
                      <w:rPr>
                        <w:sz w:val="11"/>
                      </w:rPr>
                    </w:pPr>
                    <w:r>
                      <w:rPr>
                        <w:color w:val="231F20"/>
                        <w:sz w:val="20"/>
                      </w:rPr>
                      <w:t>‘It</w:t>
                    </w:r>
                    <w:r>
                      <w:rPr>
                        <w:color w:val="231F20"/>
                        <w:spacing w:val="-8"/>
                        <w:sz w:val="20"/>
                      </w:rPr>
                      <w:t xml:space="preserve"> </w:t>
                    </w:r>
                    <w:r>
                      <w:rPr>
                        <w:color w:val="231F20"/>
                        <w:sz w:val="20"/>
                      </w:rPr>
                      <w:t>is</w:t>
                    </w:r>
                    <w:r>
                      <w:rPr>
                        <w:color w:val="231F20"/>
                        <w:spacing w:val="-8"/>
                        <w:sz w:val="20"/>
                      </w:rPr>
                      <w:t xml:space="preserve"> </w:t>
                    </w:r>
                    <w:r>
                      <w:rPr>
                        <w:color w:val="231F20"/>
                        <w:sz w:val="20"/>
                      </w:rPr>
                      <w:t>important</w:t>
                    </w:r>
                    <w:r>
                      <w:rPr>
                        <w:color w:val="231F20"/>
                        <w:spacing w:val="-8"/>
                        <w:sz w:val="20"/>
                      </w:rPr>
                      <w:t xml:space="preserve"> </w:t>
                    </w: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pacing w:val="-3"/>
                        <w:sz w:val="20"/>
                      </w:rPr>
                      <w:t>proactive</w:t>
                    </w:r>
                    <w:r>
                      <w:rPr>
                        <w:color w:val="231F20"/>
                        <w:spacing w:val="-8"/>
                        <w:sz w:val="20"/>
                      </w:rPr>
                      <w:t xml:space="preserve"> </w:t>
                    </w:r>
                    <w:r>
                      <w:rPr>
                        <w:color w:val="231F20"/>
                        <w:sz w:val="20"/>
                      </w:rPr>
                      <w:t>[and</w:t>
                    </w:r>
                    <w:r>
                      <w:rPr>
                        <w:color w:val="231F20"/>
                        <w:spacing w:val="-8"/>
                        <w:sz w:val="20"/>
                      </w:rPr>
                      <w:t xml:space="preserve"> </w:t>
                    </w:r>
                    <w:r>
                      <w:rPr>
                        <w:color w:val="231F20"/>
                        <w:sz w:val="20"/>
                      </w:rPr>
                      <w:t>make</w:t>
                    </w:r>
                    <w:r>
                      <w:rPr>
                        <w:color w:val="231F20"/>
                        <w:spacing w:val="-8"/>
                        <w:sz w:val="20"/>
                      </w:rPr>
                      <w:t xml:space="preserve"> </w:t>
                    </w:r>
                    <w:r>
                      <w:rPr>
                        <w:color w:val="231F20"/>
                        <w:sz w:val="20"/>
                      </w:rPr>
                      <w:t>an</w:t>
                    </w:r>
                    <w:r>
                      <w:rPr>
                        <w:color w:val="231F20"/>
                        <w:spacing w:val="-8"/>
                        <w:sz w:val="20"/>
                      </w:rPr>
                      <w:t xml:space="preserve"> </w:t>
                    </w:r>
                    <w:r>
                      <w:rPr>
                        <w:color w:val="231F20"/>
                        <w:spacing w:val="-2"/>
                        <w:sz w:val="20"/>
                      </w:rPr>
                      <w:t>arrest</w:t>
                    </w:r>
                    <w:r>
                      <w:rPr>
                        <w:color w:val="231F20"/>
                        <w:spacing w:val="-7"/>
                        <w:sz w:val="20"/>
                      </w:rPr>
                      <w:t xml:space="preserve"> </w:t>
                    </w:r>
                    <w:r>
                      <w:rPr>
                        <w:color w:val="231F20"/>
                        <w:sz w:val="20"/>
                      </w:rPr>
                      <w:t>at</w:t>
                    </w:r>
                    <w:r>
                      <w:rPr>
                        <w:color w:val="231F20"/>
                        <w:spacing w:val="-8"/>
                        <w:sz w:val="20"/>
                      </w:rPr>
                      <w:t xml:space="preserve"> </w:t>
                    </w:r>
                    <w:r>
                      <w:rPr>
                        <w:color w:val="231F20"/>
                        <w:sz w:val="20"/>
                      </w:rPr>
                      <w:t>the</w:t>
                    </w:r>
                    <w:r>
                      <w:rPr>
                        <w:color w:val="231F20"/>
                        <w:spacing w:val="-8"/>
                        <w:sz w:val="20"/>
                      </w:rPr>
                      <w:t xml:space="preserve"> </w:t>
                    </w:r>
                    <w:r>
                      <w:rPr>
                        <w:color w:val="231F20"/>
                        <w:sz w:val="20"/>
                      </w:rPr>
                      <w:t>first</w:t>
                    </w:r>
                    <w:r>
                      <w:rPr>
                        <w:color w:val="231F20"/>
                        <w:spacing w:val="-8"/>
                        <w:sz w:val="20"/>
                      </w:rPr>
                      <w:t xml:space="preserve"> </w:t>
                    </w:r>
                    <w:r>
                      <w:rPr>
                        <w:color w:val="231F20"/>
                        <w:sz w:val="20"/>
                      </w:rPr>
                      <w:t>opportunity],</w:t>
                    </w:r>
                    <w:r>
                      <w:rPr>
                        <w:color w:val="231F20"/>
                        <w:spacing w:val="-8"/>
                        <w:sz w:val="20"/>
                      </w:rPr>
                      <w:t xml:space="preserve"> </w:t>
                    </w:r>
                    <w:r>
                      <w:rPr>
                        <w:color w:val="231F20"/>
                        <w:sz w:val="20"/>
                      </w:rPr>
                      <w:t>as</w:t>
                    </w:r>
                    <w:r>
                      <w:rPr>
                        <w:color w:val="231F20"/>
                        <w:spacing w:val="-8"/>
                        <w:sz w:val="20"/>
                      </w:rPr>
                      <w:t xml:space="preserve"> </w:t>
                    </w:r>
                    <w:r>
                      <w:rPr>
                        <w:color w:val="231F20"/>
                        <w:spacing w:val="-3"/>
                        <w:sz w:val="20"/>
                      </w:rPr>
                      <w:t>any</w:t>
                    </w:r>
                    <w:r>
                      <w:rPr>
                        <w:color w:val="231F20"/>
                        <w:spacing w:val="-8"/>
                        <w:sz w:val="20"/>
                      </w:rPr>
                      <w:t xml:space="preserve"> </w:t>
                    </w:r>
                    <w:r>
                      <w:rPr>
                        <w:color w:val="231F20"/>
                        <w:sz w:val="20"/>
                      </w:rPr>
                      <w:t xml:space="preserve">delay </w:t>
                    </w:r>
                    <w:r>
                      <w:rPr>
                        <w:color w:val="231F20"/>
                        <w:spacing w:val="-3"/>
                        <w:sz w:val="20"/>
                      </w:rPr>
                      <w:t xml:space="preserve">may </w:t>
                    </w:r>
                    <w:r>
                      <w:rPr>
                        <w:color w:val="231F20"/>
                        <w:sz w:val="20"/>
                      </w:rPr>
                      <w:t xml:space="preserve">(a) lead to a loss of the </w:t>
                    </w:r>
                    <w:r>
                      <w:rPr>
                        <w:color w:val="231F20"/>
                        <w:spacing w:val="-3"/>
                        <w:sz w:val="20"/>
                      </w:rPr>
                      <w:t xml:space="preserve">victim’s </w:t>
                    </w:r>
                    <w:r>
                      <w:rPr>
                        <w:color w:val="231F20"/>
                        <w:sz w:val="20"/>
                      </w:rPr>
                      <w:t xml:space="preserve">confidence in the efficacy of the order; and </w:t>
                    </w:r>
                    <w:r>
                      <w:rPr>
                        <w:color w:val="231F20"/>
                        <w:spacing w:val="-3"/>
                        <w:sz w:val="20"/>
                      </w:rPr>
                      <w:t>(b) defeat</w:t>
                    </w:r>
                    <w:r>
                      <w:rPr>
                        <w:color w:val="231F20"/>
                        <w:spacing w:val="-8"/>
                        <w:sz w:val="20"/>
                      </w:rPr>
                      <w:t xml:space="preserve"> </w:t>
                    </w:r>
                    <w:r>
                      <w:rPr>
                        <w:color w:val="231F20"/>
                        <w:sz w:val="20"/>
                      </w:rPr>
                      <w:t>the</w:t>
                    </w:r>
                    <w:r>
                      <w:rPr>
                        <w:color w:val="231F20"/>
                        <w:spacing w:val="-7"/>
                        <w:sz w:val="20"/>
                      </w:rPr>
                      <w:t xml:space="preserve"> </w:t>
                    </w:r>
                    <w:r>
                      <w:rPr>
                        <w:color w:val="231F20"/>
                        <w:sz w:val="20"/>
                      </w:rPr>
                      <w:t>purpose</w:t>
                    </w:r>
                    <w:r>
                      <w:rPr>
                        <w:color w:val="231F20"/>
                        <w:spacing w:val="-8"/>
                        <w:sz w:val="20"/>
                      </w:rPr>
                      <w:t xml:space="preserve"> </w:t>
                    </w:r>
                    <w:r>
                      <w:rPr>
                        <w:color w:val="231F20"/>
                        <w:sz w:val="20"/>
                      </w:rPr>
                      <w:t>of</w:t>
                    </w:r>
                    <w:r>
                      <w:rPr>
                        <w:color w:val="231F20"/>
                        <w:spacing w:val="-7"/>
                        <w:sz w:val="20"/>
                      </w:rPr>
                      <w:t xml:space="preserve"> </w:t>
                    </w:r>
                    <w:r>
                      <w:rPr>
                        <w:color w:val="231F20"/>
                        <w:sz w:val="20"/>
                      </w:rPr>
                      <w:t>the</w:t>
                    </w:r>
                    <w:r>
                      <w:rPr>
                        <w:color w:val="231F20"/>
                        <w:spacing w:val="-8"/>
                        <w:sz w:val="20"/>
                      </w:rPr>
                      <w:t xml:space="preserve"> </w:t>
                    </w:r>
                    <w:r>
                      <w:rPr>
                        <w:color w:val="231F20"/>
                        <w:sz w:val="20"/>
                      </w:rPr>
                      <w:t>order</w:t>
                    </w:r>
                    <w:r>
                      <w:rPr>
                        <w:color w:val="231F20"/>
                        <w:spacing w:val="-7"/>
                        <w:sz w:val="20"/>
                      </w:rPr>
                      <w:t xml:space="preserve"> </w:t>
                    </w:r>
                    <w:r>
                      <w:rPr>
                        <w:color w:val="231F20"/>
                        <w:sz w:val="20"/>
                      </w:rPr>
                      <w:t>of</w:t>
                    </w:r>
                    <w:r>
                      <w:rPr>
                        <w:color w:val="231F20"/>
                        <w:spacing w:val="-8"/>
                        <w:sz w:val="20"/>
                      </w:rPr>
                      <w:t xml:space="preserve"> </w:t>
                    </w:r>
                    <w:r>
                      <w:rPr>
                        <w:color w:val="231F20"/>
                        <w:spacing w:val="-3"/>
                        <w:sz w:val="20"/>
                      </w:rPr>
                      <w:t>preventing</w:t>
                    </w:r>
                    <w:r>
                      <w:rPr>
                        <w:color w:val="231F20"/>
                        <w:spacing w:val="-7"/>
                        <w:sz w:val="20"/>
                      </w:rPr>
                      <w:t xml:space="preserve"> </w:t>
                    </w:r>
                    <w:r>
                      <w:rPr>
                        <w:color w:val="231F20"/>
                        <w:sz w:val="20"/>
                      </w:rPr>
                      <w:t>the</w:t>
                    </w:r>
                    <w:r>
                      <w:rPr>
                        <w:color w:val="231F20"/>
                        <w:spacing w:val="-7"/>
                        <w:sz w:val="20"/>
                      </w:rPr>
                      <w:t xml:space="preserve"> </w:t>
                    </w:r>
                    <w:r>
                      <w:rPr>
                        <w:color w:val="231F20"/>
                        <w:sz w:val="20"/>
                      </w:rPr>
                      <w:t>stalking</w:t>
                    </w:r>
                    <w:r>
                      <w:rPr>
                        <w:color w:val="231F20"/>
                        <w:spacing w:val="-8"/>
                        <w:sz w:val="20"/>
                      </w:rPr>
                      <w:t xml:space="preserve"> </w:t>
                    </w:r>
                    <w:r>
                      <w:rPr>
                        <w:color w:val="231F20"/>
                        <w:spacing w:val="-3"/>
                        <w:sz w:val="20"/>
                      </w:rPr>
                      <w:t>from</w:t>
                    </w:r>
                    <w:r>
                      <w:rPr>
                        <w:color w:val="231F20"/>
                        <w:spacing w:val="-7"/>
                        <w:sz w:val="20"/>
                      </w:rPr>
                      <w:t xml:space="preserve"> </w:t>
                    </w:r>
                    <w:r>
                      <w:rPr>
                        <w:color w:val="231F20"/>
                        <w:sz w:val="20"/>
                      </w:rPr>
                      <w:t>causing</w:t>
                    </w:r>
                    <w:r>
                      <w:rPr>
                        <w:color w:val="231F20"/>
                        <w:spacing w:val="-8"/>
                        <w:sz w:val="20"/>
                      </w:rPr>
                      <w:t xml:space="preserve"> </w:t>
                    </w:r>
                    <w:r>
                      <w:rPr>
                        <w:color w:val="231F20"/>
                        <w:sz w:val="20"/>
                      </w:rPr>
                      <w:t>further</w:t>
                    </w:r>
                    <w:r>
                      <w:rPr>
                        <w:color w:val="231F20"/>
                        <w:spacing w:val="-7"/>
                        <w:sz w:val="20"/>
                      </w:rPr>
                      <w:t xml:space="preserve"> </w:t>
                    </w:r>
                    <w:r>
                      <w:rPr>
                        <w:color w:val="231F20"/>
                        <w:sz w:val="20"/>
                      </w:rPr>
                      <w:t>harm’</w:t>
                    </w:r>
                    <w:r>
                      <w:rPr>
                        <w:color w:val="231F20"/>
                        <w:position w:val="7"/>
                        <w:sz w:val="11"/>
                      </w:rPr>
                      <w:t>147</w:t>
                    </w:r>
                  </w:p>
                  <w:p w14:paraId="4675B13B" w14:textId="77777777" w:rsidR="00894070" w:rsidRDefault="009B7AFD">
                    <w:pPr>
                      <w:spacing w:before="89" w:line="206" w:lineRule="auto"/>
                      <w:rPr>
                        <w:sz w:val="11"/>
                      </w:rPr>
                    </w:pPr>
                    <w:r>
                      <w:rPr>
                        <w:color w:val="231F20"/>
                        <w:spacing w:val="-3"/>
                        <w:sz w:val="20"/>
                      </w:rPr>
                      <w:t xml:space="preserve">any </w:t>
                    </w:r>
                    <w:r>
                      <w:rPr>
                        <w:color w:val="231F20"/>
                        <w:spacing w:val="-2"/>
                        <w:sz w:val="20"/>
                      </w:rPr>
                      <w:t xml:space="preserve">delays </w:t>
                    </w:r>
                    <w:r>
                      <w:rPr>
                        <w:color w:val="231F20"/>
                        <w:sz w:val="20"/>
                      </w:rPr>
                      <w:t xml:space="preserve">in making an </w:t>
                    </w:r>
                    <w:r>
                      <w:rPr>
                        <w:color w:val="231F20"/>
                        <w:spacing w:val="-2"/>
                        <w:sz w:val="20"/>
                      </w:rPr>
                      <w:t xml:space="preserve">arrest </w:t>
                    </w:r>
                    <w:r>
                      <w:rPr>
                        <w:color w:val="231F20"/>
                        <w:spacing w:val="-3"/>
                        <w:sz w:val="20"/>
                      </w:rPr>
                      <w:t xml:space="preserve">‘may </w:t>
                    </w:r>
                    <w:r>
                      <w:rPr>
                        <w:color w:val="231F20"/>
                        <w:sz w:val="20"/>
                      </w:rPr>
                      <w:t>signal to the respondent that they will be permitted</w:t>
                    </w:r>
                    <w:r>
                      <w:rPr>
                        <w:color w:val="231F20"/>
                        <w:spacing w:val="-12"/>
                        <w:sz w:val="20"/>
                      </w:rPr>
                      <w:t xml:space="preserve"> </w:t>
                    </w:r>
                    <w:r>
                      <w:rPr>
                        <w:color w:val="231F20"/>
                        <w:spacing w:val="-3"/>
                        <w:sz w:val="20"/>
                      </w:rPr>
                      <w:t>by</w:t>
                    </w:r>
                    <w:r>
                      <w:rPr>
                        <w:color w:val="231F20"/>
                        <w:spacing w:val="-12"/>
                        <w:sz w:val="20"/>
                      </w:rPr>
                      <w:t xml:space="preserve"> </w:t>
                    </w:r>
                    <w:r>
                      <w:rPr>
                        <w:color w:val="231F20"/>
                        <w:sz w:val="20"/>
                      </w:rPr>
                      <w:t>the</w:t>
                    </w:r>
                    <w:r>
                      <w:rPr>
                        <w:color w:val="231F20"/>
                        <w:spacing w:val="-11"/>
                        <w:sz w:val="20"/>
                      </w:rPr>
                      <w:t xml:space="preserve"> </w:t>
                    </w:r>
                    <w:r>
                      <w:rPr>
                        <w:color w:val="231F20"/>
                        <w:sz w:val="20"/>
                      </w:rPr>
                      <w:t>police</w:t>
                    </w:r>
                    <w:r>
                      <w:rPr>
                        <w:color w:val="231F20"/>
                        <w:spacing w:val="-12"/>
                        <w:sz w:val="20"/>
                      </w:rPr>
                      <w:t xml:space="preserve"> </w:t>
                    </w:r>
                    <w:r>
                      <w:rPr>
                        <w:color w:val="231F20"/>
                        <w:sz w:val="20"/>
                      </w:rPr>
                      <w:t>to</w:t>
                    </w:r>
                    <w:r>
                      <w:rPr>
                        <w:color w:val="231F20"/>
                        <w:spacing w:val="-11"/>
                        <w:sz w:val="20"/>
                      </w:rPr>
                      <w:t xml:space="preserve"> </w:t>
                    </w:r>
                    <w:r>
                      <w:rPr>
                        <w:color w:val="231F20"/>
                        <w:sz w:val="20"/>
                      </w:rPr>
                      <w:t>continue</w:t>
                    </w:r>
                    <w:r>
                      <w:rPr>
                        <w:color w:val="231F20"/>
                        <w:spacing w:val="-12"/>
                        <w:sz w:val="20"/>
                      </w:rPr>
                      <w:t xml:space="preserve"> </w:t>
                    </w:r>
                    <w:r>
                      <w:rPr>
                        <w:color w:val="231F20"/>
                        <w:sz w:val="20"/>
                      </w:rPr>
                      <w:t>breaching</w:t>
                    </w:r>
                    <w:r>
                      <w:rPr>
                        <w:color w:val="231F20"/>
                        <w:spacing w:val="-11"/>
                        <w:sz w:val="20"/>
                      </w:rPr>
                      <w:t xml:space="preserve"> </w:t>
                    </w:r>
                    <w:r>
                      <w:rPr>
                        <w:color w:val="231F20"/>
                        <w:sz w:val="20"/>
                      </w:rPr>
                      <w:t>…</w:t>
                    </w:r>
                    <w:r>
                      <w:rPr>
                        <w:color w:val="231F20"/>
                        <w:spacing w:val="-12"/>
                        <w:sz w:val="20"/>
                      </w:rPr>
                      <w:t xml:space="preserve"> </w:t>
                    </w:r>
                    <w:r>
                      <w:rPr>
                        <w:color w:val="231F20"/>
                        <w:sz w:val="20"/>
                      </w:rPr>
                      <w:t>and</w:t>
                    </w:r>
                    <w:r>
                      <w:rPr>
                        <w:color w:val="231F20"/>
                        <w:spacing w:val="-12"/>
                        <w:sz w:val="20"/>
                      </w:rPr>
                      <w:t xml:space="preserve"> </w:t>
                    </w:r>
                    <w:r>
                      <w:rPr>
                        <w:color w:val="231F20"/>
                        <w:sz w:val="20"/>
                      </w:rPr>
                      <w:t>stalking</w:t>
                    </w:r>
                    <w:r>
                      <w:rPr>
                        <w:color w:val="231F20"/>
                        <w:spacing w:val="-11"/>
                        <w:sz w:val="20"/>
                      </w:rPr>
                      <w:t xml:space="preserve"> </w:t>
                    </w:r>
                    <w:r>
                      <w:rPr>
                        <w:color w:val="231F20"/>
                        <w:sz w:val="20"/>
                      </w:rPr>
                      <w:t>their</w:t>
                    </w:r>
                    <w:r>
                      <w:rPr>
                        <w:color w:val="231F20"/>
                        <w:spacing w:val="-12"/>
                        <w:sz w:val="20"/>
                      </w:rPr>
                      <w:t xml:space="preserve"> </w:t>
                    </w:r>
                    <w:r>
                      <w:rPr>
                        <w:color w:val="231F20"/>
                        <w:sz w:val="20"/>
                      </w:rPr>
                      <w:t>victim</w:t>
                    </w:r>
                    <w:r>
                      <w:rPr>
                        <w:color w:val="231F20"/>
                        <w:spacing w:val="-11"/>
                        <w:sz w:val="20"/>
                      </w:rPr>
                      <w:t xml:space="preserve"> </w:t>
                    </w:r>
                    <w:r>
                      <w:rPr>
                        <w:color w:val="231F20"/>
                        <w:sz w:val="20"/>
                      </w:rPr>
                      <w:t>without</w:t>
                    </w:r>
                    <w:r>
                      <w:rPr>
                        <w:color w:val="231F20"/>
                        <w:spacing w:val="-12"/>
                        <w:sz w:val="20"/>
                      </w:rPr>
                      <w:t xml:space="preserve"> </w:t>
                    </w:r>
                    <w:r>
                      <w:rPr>
                        <w:color w:val="231F20"/>
                        <w:sz w:val="20"/>
                      </w:rPr>
                      <w:t xml:space="preserve">action </w:t>
                    </w:r>
                    <w:r>
                      <w:rPr>
                        <w:color w:val="231F20"/>
                        <w:spacing w:val="-3"/>
                        <w:sz w:val="20"/>
                      </w:rPr>
                      <w:t>by</w:t>
                    </w:r>
                    <w:r>
                      <w:rPr>
                        <w:color w:val="231F20"/>
                        <w:spacing w:val="-4"/>
                        <w:sz w:val="20"/>
                      </w:rPr>
                      <w:t xml:space="preserve"> </w:t>
                    </w:r>
                    <w:r>
                      <w:rPr>
                        <w:color w:val="231F20"/>
                        <w:sz w:val="20"/>
                      </w:rPr>
                      <w:t>police’</w:t>
                    </w:r>
                    <w:r>
                      <w:rPr>
                        <w:color w:val="231F20"/>
                        <w:position w:val="7"/>
                        <w:sz w:val="11"/>
                      </w:rPr>
                      <w:t>148</w:t>
                    </w:r>
                  </w:p>
                  <w:p w14:paraId="2C1D1175" w14:textId="77777777" w:rsidR="00894070" w:rsidRDefault="009B7AFD">
                    <w:pPr>
                      <w:spacing w:before="88" w:line="206" w:lineRule="auto"/>
                      <w:rPr>
                        <w:sz w:val="11"/>
                      </w:rPr>
                    </w:pPr>
                    <w:r>
                      <w:rPr>
                        <w:color w:val="231F20"/>
                        <w:sz w:val="20"/>
                      </w:rPr>
                      <w:t>The</w:t>
                    </w:r>
                    <w:r>
                      <w:rPr>
                        <w:color w:val="231F20"/>
                        <w:spacing w:val="-11"/>
                        <w:sz w:val="20"/>
                      </w:rPr>
                      <w:t xml:space="preserve"> </w:t>
                    </w:r>
                    <w:r>
                      <w:rPr>
                        <w:color w:val="231F20"/>
                        <w:sz w:val="20"/>
                      </w:rPr>
                      <w:t>UK</w:t>
                    </w:r>
                    <w:r>
                      <w:rPr>
                        <w:color w:val="231F20"/>
                        <w:spacing w:val="-10"/>
                        <w:sz w:val="20"/>
                      </w:rPr>
                      <w:t xml:space="preserve"> </w:t>
                    </w:r>
                    <w:r>
                      <w:rPr>
                        <w:color w:val="231F20"/>
                        <w:sz w:val="20"/>
                      </w:rPr>
                      <w:t>College</w:t>
                    </w:r>
                    <w:r>
                      <w:rPr>
                        <w:color w:val="231F20"/>
                        <w:spacing w:val="-10"/>
                        <w:sz w:val="20"/>
                      </w:rPr>
                      <w:t xml:space="preserve"> </w:t>
                    </w:r>
                    <w:r>
                      <w:rPr>
                        <w:color w:val="231F20"/>
                        <w:sz w:val="20"/>
                      </w:rPr>
                      <w:t>of</w:t>
                    </w:r>
                    <w:r>
                      <w:rPr>
                        <w:color w:val="231F20"/>
                        <w:spacing w:val="-10"/>
                        <w:sz w:val="20"/>
                      </w:rPr>
                      <w:t xml:space="preserve"> </w:t>
                    </w:r>
                    <w:r>
                      <w:rPr>
                        <w:color w:val="231F20"/>
                        <w:sz w:val="20"/>
                      </w:rPr>
                      <w:t>Policing</w:t>
                    </w:r>
                    <w:r>
                      <w:rPr>
                        <w:color w:val="231F20"/>
                        <w:spacing w:val="-10"/>
                        <w:sz w:val="20"/>
                      </w:rPr>
                      <w:t xml:space="preserve"> </w:t>
                    </w:r>
                    <w:r>
                      <w:rPr>
                        <w:color w:val="231F20"/>
                        <w:sz w:val="20"/>
                      </w:rPr>
                      <w:t>has</w:t>
                    </w:r>
                    <w:r>
                      <w:rPr>
                        <w:color w:val="231F20"/>
                        <w:spacing w:val="-11"/>
                        <w:sz w:val="20"/>
                      </w:rPr>
                      <w:t xml:space="preserve"> </w:t>
                    </w:r>
                    <w:r>
                      <w:rPr>
                        <w:color w:val="231F20"/>
                        <w:sz w:val="20"/>
                      </w:rPr>
                      <w:t>issued</w:t>
                    </w:r>
                    <w:r>
                      <w:rPr>
                        <w:color w:val="231F20"/>
                        <w:spacing w:val="-10"/>
                        <w:sz w:val="20"/>
                      </w:rPr>
                      <w:t xml:space="preserve"> </w:t>
                    </w:r>
                    <w:r>
                      <w:rPr>
                        <w:color w:val="231F20"/>
                        <w:sz w:val="20"/>
                      </w:rPr>
                      <w:t>guideline</w:t>
                    </w:r>
                    <w:r>
                      <w:rPr>
                        <w:color w:val="231F20"/>
                        <w:spacing w:val="-10"/>
                        <w:sz w:val="20"/>
                      </w:rPr>
                      <w:t xml:space="preserve"> </w:t>
                    </w:r>
                    <w:r>
                      <w:rPr>
                        <w:color w:val="231F20"/>
                        <w:sz w:val="20"/>
                      </w:rPr>
                      <w:t>documents</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dealing</w:t>
                    </w:r>
                    <w:r>
                      <w:rPr>
                        <w:color w:val="231F20"/>
                        <w:spacing w:val="-11"/>
                        <w:sz w:val="20"/>
                      </w:rPr>
                      <w:t xml:space="preserve"> </w:t>
                    </w:r>
                    <w:r>
                      <w:rPr>
                        <w:color w:val="231F20"/>
                        <w:sz w:val="20"/>
                      </w:rPr>
                      <w:t>with</w:t>
                    </w:r>
                    <w:r>
                      <w:rPr>
                        <w:color w:val="231F20"/>
                        <w:spacing w:val="-10"/>
                        <w:sz w:val="20"/>
                      </w:rPr>
                      <w:t xml:space="preserve"> </w:t>
                    </w:r>
                    <w:r>
                      <w:rPr>
                        <w:color w:val="231F20"/>
                        <w:sz w:val="20"/>
                      </w:rPr>
                      <w:t xml:space="preserve">stalking. </w:t>
                    </w:r>
                    <w:r>
                      <w:rPr>
                        <w:color w:val="231F20"/>
                        <w:spacing w:val="-3"/>
                        <w:sz w:val="20"/>
                      </w:rPr>
                      <w:t>For</w:t>
                    </w:r>
                    <w:r>
                      <w:rPr>
                        <w:color w:val="231F20"/>
                        <w:spacing w:val="-10"/>
                        <w:sz w:val="20"/>
                      </w:rPr>
                      <w:t xml:space="preserve"> </w:t>
                    </w:r>
                    <w:r>
                      <w:rPr>
                        <w:color w:val="231F20"/>
                        <w:sz w:val="20"/>
                      </w:rPr>
                      <w:t>breaches,</w:t>
                    </w:r>
                    <w:r>
                      <w:rPr>
                        <w:color w:val="231F20"/>
                        <w:spacing w:val="-10"/>
                        <w:sz w:val="20"/>
                      </w:rPr>
                      <w:t xml:space="preserve"> </w:t>
                    </w:r>
                    <w:r>
                      <w:rPr>
                        <w:color w:val="231F20"/>
                        <w:sz w:val="20"/>
                      </w:rPr>
                      <w:t>guidance</w:t>
                    </w:r>
                    <w:r>
                      <w:rPr>
                        <w:color w:val="231F20"/>
                        <w:spacing w:val="-10"/>
                        <w:sz w:val="20"/>
                      </w:rPr>
                      <w:t xml:space="preserve"> </w:t>
                    </w:r>
                    <w:r>
                      <w:rPr>
                        <w:color w:val="231F20"/>
                        <w:sz w:val="20"/>
                      </w:rPr>
                      <w:t>states</w:t>
                    </w:r>
                    <w:r>
                      <w:rPr>
                        <w:color w:val="231F20"/>
                        <w:spacing w:val="-10"/>
                        <w:sz w:val="20"/>
                      </w:rPr>
                      <w:t xml:space="preserve"> </w:t>
                    </w:r>
                    <w:r>
                      <w:rPr>
                        <w:color w:val="231F20"/>
                        <w:sz w:val="20"/>
                      </w:rPr>
                      <w:t>that</w:t>
                    </w:r>
                    <w:r>
                      <w:rPr>
                        <w:color w:val="231F20"/>
                        <w:spacing w:val="-9"/>
                        <w:sz w:val="20"/>
                      </w:rPr>
                      <w:t xml:space="preserve"> </w:t>
                    </w:r>
                    <w:r>
                      <w:rPr>
                        <w:color w:val="231F20"/>
                        <w:sz w:val="20"/>
                      </w:rPr>
                      <w:t>‘police</w:t>
                    </w:r>
                    <w:r>
                      <w:rPr>
                        <w:color w:val="231F20"/>
                        <w:spacing w:val="-10"/>
                        <w:sz w:val="20"/>
                      </w:rPr>
                      <w:t xml:space="preserve"> </w:t>
                    </w:r>
                    <w:r>
                      <w:rPr>
                        <w:color w:val="231F20"/>
                        <w:sz w:val="20"/>
                      </w:rPr>
                      <w:t>will</w:t>
                    </w:r>
                    <w:r>
                      <w:rPr>
                        <w:color w:val="231F20"/>
                        <w:spacing w:val="-10"/>
                        <w:sz w:val="20"/>
                      </w:rPr>
                      <w:t xml:space="preserve"> </w:t>
                    </w:r>
                    <w:r>
                      <w:rPr>
                        <w:color w:val="231F20"/>
                        <w:sz w:val="20"/>
                      </w:rPr>
                      <w:t>take</w:t>
                    </w:r>
                    <w:r>
                      <w:rPr>
                        <w:color w:val="231F20"/>
                        <w:spacing w:val="-10"/>
                        <w:sz w:val="20"/>
                      </w:rPr>
                      <w:t xml:space="preserve"> </w:t>
                    </w:r>
                    <w:r>
                      <w:rPr>
                        <w:color w:val="231F20"/>
                        <w:spacing w:val="-3"/>
                        <w:sz w:val="20"/>
                      </w:rPr>
                      <w:t>prompt</w:t>
                    </w:r>
                    <w:r>
                      <w:rPr>
                        <w:color w:val="231F20"/>
                        <w:spacing w:val="-9"/>
                        <w:sz w:val="20"/>
                      </w:rPr>
                      <w:t xml:space="preserve"> </w:t>
                    </w:r>
                    <w:r>
                      <w:rPr>
                        <w:color w:val="231F20"/>
                        <w:sz w:val="20"/>
                      </w:rPr>
                      <w:t>and</w:t>
                    </w:r>
                    <w:r>
                      <w:rPr>
                        <w:color w:val="231F20"/>
                        <w:spacing w:val="-10"/>
                        <w:sz w:val="20"/>
                      </w:rPr>
                      <w:t xml:space="preserve"> </w:t>
                    </w:r>
                    <w:r>
                      <w:rPr>
                        <w:color w:val="231F20"/>
                        <w:sz w:val="20"/>
                      </w:rPr>
                      <w:t>robust</w:t>
                    </w:r>
                    <w:r>
                      <w:rPr>
                        <w:color w:val="231F20"/>
                        <w:spacing w:val="-10"/>
                        <w:sz w:val="20"/>
                      </w:rPr>
                      <w:t xml:space="preserve"> </w:t>
                    </w:r>
                    <w:r>
                      <w:rPr>
                        <w:color w:val="231F20"/>
                        <w:sz w:val="20"/>
                      </w:rPr>
                      <w:t>action</w:t>
                    </w:r>
                    <w:r>
                      <w:rPr>
                        <w:color w:val="231F20"/>
                        <w:spacing w:val="-10"/>
                        <w:sz w:val="20"/>
                      </w:rPr>
                      <w:t xml:space="preserve"> </w:t>
                    </w:r>
                    <w:r>
                      <w:rPr>
                        <w:color w:val="231F20"/>
                        <w:sz w:val="20"/>
                      </w:rPr>
                      <w:t>to</w:t>
                    </w:r>
                    <w:r>
                      <w:rPr>
                        <w:color w:val="231F20"/>
                        <w:spacing w:val="-10"/>
                        <w:sz w:val="20"/>
                      </w:rPr>
                      <w:t xml:space="preserve"> </w:t>
                    </w:r>
                    <w:r>
                      <w:rPr>
                        <w:color w:val="231F20"/>
                        <w:sz w:val="20"/>
                      </w:rPr>
                      <w:t>deal with</w:t>
                    </w:r>
                    <w:r>
                      <w:rPr>
                        <w:color w:val="231F20"/>
                        <w:spacing w:val="-6"/>
                        <w:sz w:val="20"/>
                      </w:rPr>
                      <w:t xml:space="preserve"> </w:t>
                    </w:r>
                    <w:r>
                      <w:rPr>
                        <w:color w:val="231F20"/>
                        <w:sz w:val="20"/>
                      </w:rPr>
                      <w:t>the</w:t>
                    </w:r>
                    <w:r>
                      <w:rPr>
                        <w:color w:val="231F20"/>
                        <w:spacing w:val="-6"/>
                        <w:sz w:val="20"/>
                      </w:rPr>
                      <w:t xml:space="preserve"> </w:t>
                    </w:r>
                    <w:r>
                      <w:rPr>
                        <w:color w:val="231F20"/>
                        <w:sz w:val="20"/>
                      </w:rPr>
                      <w:t>breach</w:t>
                    </w:r>
                    <w:r>
                      <w:rPr>
                        <w:color w:val="231F20"/>
                        <w:spacing w:val="-6"/>
                        <w:sz w:val="20"/>
                      </w:rPr>
                      <w:t xml:space="preserve"> </w:t>
                    </w:r>
                    <w:r>
                      <w:rPr>
                        <w:color w:val="231F20"/>
                        <w:sz w:val="20"/>
                      </w:rPr>
                      <w:t>and</w:t>
                    </w:r>
                    <w:r>
                      <w:rPr>
                        <w:color w:val="231F20"/>
                        <w:spacing w:val="-6"/>
                        <w:sz w:val="20"/>
                      </w:rPr>
                      <w:t xml:space="preserve"> </w:t>
                    </w:r>
                    <w:r>
                      <w:rPr>
                        <w:color w:val="231F20"/>
                        <w:sz w:val="20"/>
                      </w:rPr>
                      <w:t>consider</w:t>
                    </w:r>
                    <w:r>
                      <w:rPr>
                        <w:color w:val="231F20"/>
                        <w:spacing w:val="-6"/>
                        <w:sz w:val="20"/>
                      </w:rPr>
                      <w:t xml:space="preserve"> </w:t>
                    </w:r>
                    <w:r>
                      <w:rPr>
                        <w:color w:val="231F20"/>
                        <w:spacing w:val="-3"/>
                        <w:sz w:val="20"/>
                      </w:rPr>
                      <w:t>any</w:t>
                    </w:r>
                    <w:r>
                      <w:rPr>
                        <w:color w:val="231F20"/>
                        <w:spacing w:val="-6"/>
                        <w:sz w:val="20"/>
                      </w:rPr>
                      <w:t xml:space="preserve"> </w:t>
                    </w:r>
                    <w:r>
                      <w:rPr>
                        <w:color w:val="231F20"/>
                        <w:sz w:val="20"/>
                      </w:rPr>
                      <w:t>further</w:t>
                    </w:r>
                    <w:r>
                      <w:rPr>
                        <w:color w:val="231F20"/>
                        <w:spacing w:val="-6"/>
                        <w:sz w:val="20"/>
                      </w:rPr>
                      <w:t xml:space="preserve"> </w:t>
                    </w:r>
                    <w:r>
                      <w:rPr>
                        <w:color w:val="231F20"/>
                        <w:sz w:val="20"/>
                      </w:rPr>
                      <w:t>stalking</w:t>
                    </w:r>
                    <w:r>
                      <w:rPr>
                        <w:color w:val="231F20"/>
                        <w:spacing w:val="-5"/>
                        <w:sz w:val="20"/>
                      </w:rPr>
                      <w:t xml:space="preserve"> </w:t>
                    </w:r>
                    <w:r>
                      <w:rPr>
                        <w:color w:val="231F20"/>
                        <w:sz w:val="20"/>
                      </w:rPr>
                      <w:t>or</w:t>
                    </w:r>
                    <w:r>
                      <w:rPr>
                        <w:color w:val="231F20"/>
                        <w:spacing w:val="-6"/>
                        <w:sz w:val="20"/>
                      </w:rPr>
                      <w:t xml:space="preserve"> </w:t>
                    </w:r>
                    <w:r>
                      <w:rPr>
                        <w:color w:val="231F20"/>
                        <w:sz w:val="20"/>
                      </w:rPr>
                      <w:t>harassment</w:t>
                    </w:r>
                    <w:r>
                      <w:rPr>
                        <w:color w:val="231F20"/>
                        <w:spacing w:val="-6"/>
                        <w:sz w:val="20"/>
                      </w:rPr>
                      <w:t xml:space="preserve"> </w:t>
                    </w:r>
                    <w:r>
                      <w:rPr>
                        <w:color w:val="231F20"/>
                        <w:spacing w:val="-3"/>
                        <w:sz w:val="20"/>
                      </w:rPr>
                      <w:t>offences’.</w:t>
                    </w:r>
                    <w:r>
                      <w:rPr>
                        <w:color w:val="231F20"/>
                        <w:spacing w:val="-3"/>
                        <w:position w:val="7"/>
                        <w:sz w:val="11"/>
                      </w:rPr>
                      <w:t>149</w:t>
                    </w:r>
                  </w:p>
                </w:txbxContent>
              </v:textbox>
            </v:shape>
            <v:shape id="_x0000_s1165" type="#_x0000_t202" style="position:absolute;left:1819;top:1548;width:91;height:2410" filled="f" stroked="f">
              <v:textbox inset="0,0,0,0">
                <w:txbxContent>
                  <w:p w14:paraId="3AF5C3D8" w14:textId="77777777" w:rsidR="00894070" w:rsidRDefault="009B7AFD">
                    <w:pPr>
                      <w:spacing w:line="235" w:lineRule="exact"/>
                      <w:rPr>
                        <w:sz w:val="20"/>
                      </w:rPr>
                    </w:pPr>
                    <w:r>
                      <w:rPr>
                        <w:color w:val="231F20"/>
                        <w:sz w:val="20"/>
                      </w:rPr>
                      <w:t>•</w:t>
                    </w:r>
                  </w:p>
                  <w:p w14:paraId="016716F4" w14:textId="77777777" w:rsidR="00894070" w:rsidRDefault="00894070">
                    <w:pPr>
                      <w:spacing w:before="9"/>
                      <w:rPr>
                        <w:sz w:val="20"/>
                      </w:rPr>
                    </w:pPr>
                  </w:p>
                  <w:p w14:paraId="6AE84E2D" w14:textId="77777777" w:rsidR="00894070" w:rsidRDefault="009B7AFD">
                    <w:pPr>
                      <w:spacing w:before="1"/>
                      <w:rPr>
                        <w:sz w:val="20"/>
                      </w:rPr>
                    </w:pPr>
                    <w:r>
                      <w:rPr>
                        <w:color w:val="231F20"/>
                        <w:sz w:val="20"/>
                      </w:rPr>
                      <w:t>•</w:t>
                    </w:r>
                  </w:p>
                  <w:p w14:paraId="6D0C15BF" w14:textId="77777777" w:rsidR="00894070" w:rsidRDefault="00894070"/>
                  <w:p w14:paraId="03AB4071" w14:textId="77777777" w:rsidR="00894070" w:rsidRDefault="00894070">
                    <w:pPr>
                      <w:spacing w:before="13"/>
                      <w:rPr>
                        <w:sz w:val="15"/>
                      </w:rPr>
                    </w:pPr>
                  </w:p>
                  <w:p w14:paraId="5BD3F2DC" w14:textId="77777777" w:rsidR="00894070" w:rsidRDefault="009B7AFD">
                    <w:pPr>
                      <w:rPr>
                        <w:sz w:val="20"/>
                      </w:rPr>
                    </w:pPr>
                    <w:r>
                      <w:rPr>
                        <w:color w:val="231F20"/>
                        <w:sz w:val="20"/>
                      </w:rPr>
                      <w:t>•</w:t>
                    </w:r>
                  </w:p>
                  <w:p w14:paraId="6D18CA85" w14:textId="77777777" w:rsidR="00894070" w:rsidRDefault="00894070"/>
                  <w:p w14:paraId="6B1E4008" w14:textId="77777777" w:rsidR="00894070" w:rsidRDefault="00894070">
                    <w:pPr>
                      <w:rPr>
                        <w:sz w:val="16"/>
                      </w:rPr>
                    </w:pPr>
                  </w:p>
                  <w:p w14:paraId="028B6C85" w14:textId="77777777" w:rsidR="00894070" w:rsidRDefault="009B7AFD">
                    <w:pPr>
                      <w:rPr>
                        <w:sz w:val="20"/>
                      </w:rPr>
                    </w:pPr>
                    <w:r>
                      <w:rPr>
                        <w:color w:val="231F20"/>
                        <w:sz w:val="20"/>
                      </w:rPr>
                      <w:t>•</w:t>
                    </w:r>
                  </w:p>
                </w:txbxContent>
              </v:textbox>
            </v:shape>
            <v:shape id="_x0000_s1164" type="#_x0000_t202" style="position:absolute;left:1819;top:588;width:8133;height:835" filled="f" stroked="f">
              <v:textbox inset="0,0,0,0">
                <w:txbxContent>
                  <w:p w14:paraId="4F00135A" w14:textId="77777777" w:rsidR="00894070" w:rsidRDefault="009B7AFD">
                    <w:pPr>
                      <w:spacing w:line="235" w:lineRule="exact"/>
                      <w:rPr>
                        <w:b/>
                        <w:sz w:val="20"/>
                      </w:rPr>
                    </w:pPr>
                    <w:r>
                      <w:rPr>
                        <w:b/>
                        <w:color w:val="231F20"/>
                        <w:sz w:val="20"/>
                      </w:rPr>
                      <w:t>Guidance for police on dealing with breaches in the United Kingdom</w:t>
                    </w:r>
                  </w:p>
                  <w:p w14:paraId="50F34A32" w14:textId="77777777" w:rsidR="00894070" w:rsidRDefault="009B7AFD">
                    <w:pPr>
                      <w:spacing w:before="114" w:line="206" w:lineRule="auto"/>
                      <w:rPr>
                        <w:sz w:val="20"/>
                      </w:rPr>
                    </w:pPr>
                    <w:r>
                      <w:rPr>
                        <w:color w:val="231F20"/>
                        <w:sz w:val="20"/>
                      </w:rPr>
                      <w:t>In</w:t>
                    </w:r>
                    <w:r>
                      <w:rPr>
                        <w:color w:val="231F20"/>
                        <w:spacing w:val="-6"/>
                        <w:sz w:val="20"/>
                      </w:rPr>
                      <w:t xml:space="preserve"> </w:t>
                    </w:r>
                    <w:r>
                      <w:rPr>
                        <w:color w:val="231F20"/>
                        <w:sz w:val="20"/>
                      </w:rPr>
                      <w:t>the</w:t>
                    </w:r>
                    <w:r>
                      <w:rPr>
                        <w:color w:val="231F20"/>
                        <w:spacing w:val="-7"/>
                        <w:sz w:val="20"/>
                      </w:rPr>
                      <w:t xml:space="preserve"> </w:t>
                    </w:r>
                    <w:r>
                      <w:rPr>
                        <w:color w:val="231F20"/>
                        <w:sz w:val="20"/>
                      </w:rPr>
                      <w:t>United</w:t>
                    </w:r>
                    <w:r>
                      <w:rPr>
                        <w:color w:val="231F20"/>
                        <w:spacing w:val="-6"/>
                        <w:sz w:val="20"/>
                      </w:rPr>
                      <w:t xml:space="preserve"> </w:t>
                    </w:r>
                    <w:r>
                      <w:rPr>
                        <w:color w:val="231F20"/>
                        <w:sz w:val="20"/>
                      </w:rPr>
                      <w:t>Kingdom</w:t>
                    </w:r>
                    <w:r>
                      <w:rPr>
                        <w:color w:val="231F20"/>
                        <w:spacing w:val="-6"/>
                        <w:sz w:val="20"/>
                      </w:rPr>
                      <w:t xml:space="preserve"> </w:t>
                    </w:r>
                    <w:r>
                      <w:rPr>
                        <w:color w:val="231F20"/>
                        <w:sz w:val="20"/>
                      </w:rPr>
                      <w:t>where</w:t>
                    </w:r>
                    <w:r>
                      <w:rPr>
                        <w:color w:val="231F20"/>
                        <w:spacing w:val="-6"/>
                        <w:sz w:val="20"/>
                      </w:rPr>
                      <w:t xml:space="preserve"> </w:t>
                    </w:r>
                    <w:r>
                      <w:rPr>
                        <w:color w:val="231F20"/>
                        <w:sz w:val="20"/>
                      </w:rPr>
                      <w:t>stalking</w:t>
                    </w:r>
                    <w:r>
                      <w:rPr>
                        <w:color w:val="231F20"/>
                        <w:spacing w:val="-6"/>
                        <w:sz w:val="20"/>
                      </w:rPr>
                      <w:t xml:space="preserve"> </w:t>
                    </w:r>
                    <w:r>
                      <w:rPr>
                        <w:color w:val="231F20"/>
                        <w:sz w:val="20"/>
                      </w:rPr>
                      <w:t>protection</w:t>
                    </w:r>
                    <w:r>
                      <w:rPr>
                        <w:color w:val="231F20"/>
                        <w:spacing w:val="-6"/>
                        <w:sz w:val="20"/>
                      </w:rPr>
                      <w:t xml:space="preserve"> </w:t>
                    </w:r>
                    <w:r>
                      <w:rPr>
                        <w:color w:val="231F20"/>
                        <w:sz w:val="20"/>
                      </w:rPr>
                      <w:t>orders</w:t>
                    </w:r>
                    <w:r>
                      <w:rPr>
                        <w:color w:val="231F20"/>
                        <w:spacing w:val="-6"/>
                        <w:sz w:val="20"/>
                      </w:rPr>
                      <w:t xml:space="preserve"> </w:t>
                    </w:r>
                    <w:r>
                      <w:rPr>
                        <w:color w:val="231F20"/>
                        <w:sz w:val="20"/>
                      </w:rPr>
                      <w:t>(SPO)</w:t>
                    </w:r>
                    <w:r>
                      <w:rPr>
                        <w:color w:val="231F20"/>
                        <w:spacing w:val="-6"/>
                        <w:sz w:val="20"/>
                      </w:rPr>
                      <w:t xml:space="preserve"> </w:t>
                    </w:r>
                    <w:r>
                      <w:rPr>
                        <w:color w:val="231F20"/>
                        <w:sz w:val="20"/>
                      </w:rPr>
                      <w:t>exist,</w:t>
                    </w:r>
                    <w:r>
                      <w:rPr>
                        <w:color w:val="231F20"/>
                        <w:spacing w:val="-6"/>
                        <w:sz w:val="20"/>
                      </w:rPr>
                      <w:t xml:space="preserve"> </w:t>
                    </w:r>
                    <w:r>
                      <w:rPr>
                        <w:color w:val="231F20"/>
                        <w:sz w:val="20"/>
                      </w:rPr>
                      <w:t>there</w:t>
                    </w:r>
                    <w:r>
                      <w:rPr>
                        <w:color w:val="231F20"/>
                        <w:spacing w:val="-6"/>
                        <w:sz w:val="20"/>
                      </w:rPr>
                      <w:t xml:space="preserve"> </w:t>
                    </w:r>
                    <w:r>
                      <w:rPr>
                        <w:color w:val="231F20"/>
                        <w:sz w:val="20"/>
                      </w:rPr>
                      <w:t>is</w:t>
                    </w:r>
                    <w:r>
                      <w:rPr>
                        <w:color w:val="231F20"/>
                        <w:spacing w:val="-6"/>
                        <w:sz w:val="20"/>
                      </w:rPr>
                      <w:t xml:space="preserve"> </w:t>
                    </w:r>
                    <w:r>
                      <w:rPr>
                        <w:color w:val="231F20"/>
                        <w:sz w:val="20"/>
                      </w:rPr>
                      <w:t>guidance</w:t>
                    </w:r>
                    <w:r>
                      <w:rPr>
                        <w:color w:val="231F20"/>
                        <w:spacing w:val="-6"/>
                        <w:sz w:val="20"/>
                      </w:rPr>
                      <w:t xml:space="preserve"> </w:t>
                    </w:r>
                    <w:r>
                      <w:rPr>
                        <w:color w:val="231F20"/>
                        <w:sz w:val="20"/>
                      </w:rPr>
                      <w:t>for police for dealing with breaches. For</w:t>
                    </w:r>
                    <w:r>
                      <w:rPr>
                        <w:color w:val="231F20"/>
                        <w:spacing w:val="-15"/>
                        <w:sz w:val="20"/>
                      </w:rPr>
                      <w:t xml:space="preserve"> </w:t>
                    </w:r>
                    <w:r>
                      <w:rPr>
                        <w:color w:val="231F20"/>
                        <w:sz w:val="20"/>
                      </w:rPr>
                      <w:t>example:</w:t>
                    </w:r>
                  </w:p>
                </w:txbxContent>
              </v:textbox>
            </v:shape>
            <w10:wrap type="topAndBottom" anchorx="page"/>
          </v:group>
        </w:pict>
      </w:r>
    </w:p>
    <w:p w14:paraId="64962914" w14:textId="77777777" w:rsidR="00894070" w:rsidRDefault="00894070">
      <w:pPr>
        <w:pStyle w:val="BodyText"/>
        <w:spacing w:before="6"/>
        <w:rPr>
          <w:sz w:val="19"/>
        </w:rPr>
      </w:pPr>
    </w:p>
    <w:p w14:paraId="6FB2DD0C" w14:textId="77777777" w:rsidR="00894070" w:rsidRDefault="009B7AFD">
      <w:pPr>
        <w:pStyle w:val="ListParagraph"/>
        <w:numPr>
          <w:ilvl w:val="0"/>
          <w:numId w:val="47"/>
        </w:numPr>
        <w:tabs>
          <w:tab w:val="left" w:pos="1801"/>
          <w:tab w:val="left" w:pos="1802"/>
        </w:tabs>
        <w:spacing w:before="89" w:line="206" w:lineRule="auto"/>
        <w:ind w:right="1425"/>
        <w:rPr>
          <w:sz w:val="20"/>
        </w:rPr>
      </w:pPr>
      <w:r>
        <w:rPr>
          <w:color w:val="231F20"/>
          <w:sz w:val="20"/>
        </w:rPr>
        <w:t xml:space="preserve">Where a decision has been made not to file a charge </w:t>
      </w:r>
      <w:r>
        <w:rPr>
          <w:color w:val="231F20"/>
          <w:spacing w:val="-3"/>
          <w:sz w:val="20"/>
        </w:rPr>
        <w:t xml:space="preserve">for </w:t>
      </w:r>
      <w:r>
        <w:rPr>
          <w:color w:val="231F20"/>
          <w:sz w:val="20"/>
        </w:rPr>
        <w:t xml:space="preserve">a breach </w:t>
      </w:r>
      <w:r>
        <w:rPr>
          <w:color w:val="231F20"/>
          <w:spacing w:val="-3"/>
          <w:sz w:val="20"/>
        </w:rPr>
        <w:t xml:space="preserve">offence, </w:t>
      </w:r>
      <w:r>
        <w:rPr>
          <w:color w:val="231F20"/>
          <w:sz w:val="20"/>
        </w:rPr>
        <w:t xml:space="preserve">victim survivors need to </w:t>
      </w:r>
      <w:r>
        <w:rPr>
          <w:color w:val="231F20"/>
          <w:spacing w:val="-3"/>
          <w:sz w:val="20"/>
        </w:rPr>
        <w:t xml:space="preserve">know </w:t>
      </w:r>
      <w:r>
        <w:rPr>
          <w:color w:val="231F20"/>
          <w:spacing w:val="-5"/>
          <w:sz w:val="20"/>
        </w:rPr>
        <w:t xml:space="preserve">why. </w:t>
      </w:r>
      <w:r>
        <w:rPr>
          <w:color w:val="231F20"/>
          <w:spacing w:val="-6"/>
          <w:sz w:val="20"/>
        </w:rPr>
        <w:t xml:space="preserve">We </w:t>
      </w:r>
      <w:r>
        <w:rPr>
          <w:color w:val="231F20"/>
          <w:sz w:val="20"/>
        </w:rPr>
        <w:t>consider this to be important to meet the justice needs</w:t>
      </w:r>
      <w:r>
        <w:rPr>
          <w:color w:val="231F20"/>
          <w:spacing w:val="-9"/>
          <w:sz w:val="20"/>
        </w:rPr>
        <w:t xml:space="preserve"> </w:t>
      </w:r>
      <w:r>
        <w:rPr>
          <w:color w:val="231F20"/>
          <w:sz w:val="20"/>
        </w:rPr>
        <w:t>of</w:t>
      </w:r>
      <w:r>
        <w:rPr>
          <w:color w:val="231F20"/>
          <w:spacing w:val="-8"/>
          <w:sz w:val="20"/>
        </w:rPr>
        <w:t xml:space="preserve"> </w:t>
      </w:r>
      <w:r>
        <w:rPr>
          <w:color w:val="231F20"/>
          <w:sz w:val="20"/>
        </w:rPr>
        <w:t>victim</w:t>
      </w:r>
      <w:r>
        <w:rPr>
          <w:color w:val="231F20"/>
          <w:spacing w:val="-8"/>
          <w:sz w:val="20"/>
        </w:rPr>
        <w:t xml:space="preserve"> </w:t>
      </w:r>
      <w:r>
        <w:rPr>
          <w:color w:val="231F20"/>
          <w:sz w:val="20"/>
        </w:rPr>
        <w:t>survivors,</w:t>
      </w:r>
      <w:r>
        <w:rPr>
          <w:color w:val="231F20"/>
          <w:spacing w:val="-9"/>
          <w:sz w:val="20"/>
        </w:rPr>
        <w:t xml:space="preserve"> </w:t>
      </w:r>
      <w:r>
        <w:rPr>
          <w:color w:val="231F20"/>
          <w:sz w:val="20"/>
        </w:rPr>
        <w:t>including</w:t>
      </w:r>
      <w:r>
        <w:rPr>
          <w:color w:val="231F20"/>
          <w:spacing w:val="-8"/>
          <w:sz w:val="20"/>
        </w:rPr>
        <w:t xml:space="preserve"> </w:t>
      </w:r>
      <w:r>
        <w:rPr>
          <w:color w:val="231F20"/>
          <w:sz w:val="20"/>
        </w:rPr>
        <w:t>to</w:t>
      </w:r>
      <w:r>
        <w:rPr>
          <w:color w:val="231F20"/>
          <w:spacing w:val="-8"/>
          <w:sz w:val="20"/>
        </w:rPr>
        <w:t xml:space="preserve"> </w:t>
      </w:r>
      <w:r>
        <w:rPr>
          <w:color w:val="231F20"/>
          <w:spacing w:val="-4"/>
          <w:sz w:val="20"/>
        </w:rPr>
        <w:t>have</w:t>
      </w:r>
      <w:r>
        <w:rPr>
          <w:color w:val="231F20"/>
          <w:spacing w:val="-9"/>
          <w:sz w:val="20"/>
        </w:rPr>
        <w:t xml:space="preserve"> </w:t>
      </w:r>
      <w:r>
        <w:rPr>
          <w:color w:val="231F20"/>
          <w:spacing w:val="-3"/>
          <w:sz w:val="20"/>
        </w:rPr>
        <w:t>information</w:t>
      </w:r>
      <w:r>
        <w:rPr>
          <w:color w:val="231F20"/>
          <w:spacing w:val="-8"/>
          <w:sz w:val="20"/>
        </w:rPr>
        <w:t xml:space="preserve"> </w:t>
      </w:r>
      <w:r>
        <w:rPr>
          <w:color w:val="231F20"/>
          <w:sz w:val="20"/>
        </w:rPr>
        <w:t>and</w:t>
      </w:r>
      <w:r>
        <w:rPr>
          <w:color w:val="231F20"/>
          <w:spacing w:val="-8"/>
          <w:sz w:val="20"/>
        </w:rPr>
        <w:t xml:space="preserve"> </w:t>
      </w:r>
      <w:r>
        <w:rPr>
          <w:color w:val="231F20"/>
          <w:sz w:val="20"/>
        </w:rPr>
        <w:t>to</w:t>
      </w:r>
      <w:r>
        <w:rPr>
          <w:color w:val="231F20"/>
          <w:spacing w:val="-8"/>
          <w:sz w:val="20"/>
        </w:rPr>
        <w:t xml:space="preserve"> </w:t>
      </w:r>
      <w:r>
        <w:rPr>
          <w:color w:val="231F20"/>
          <w:sz w:val="20"/>
        </w:rPr>
        <w:t>feel</w:t>
      </w:r>
      <w:r>
        <w:rPr>
          <w:color w:val="231F20"/>
          <w:spacing w:val="-9"/>
          <w:sz w:val="20"/>
        </w:rPr>
        <w:t xml:space="preserve"> </w:t>
      </w:r>
      <w:r>
        <w:rPr>
          <w:color w:val="231F20"/>
          <w:spacing w:val="-3"/>
          <w:sz w:val="20"/>
        </w:rPr>
        <w:t>safe</w:t>
      </w:r>
      <w:r>
        <w:rPr>
          <w:color w:val="231F20"/>
          <w:spacing w:val="-8"/>
          <w:sz w:val="20"/>
        </w:rPr>
        <w:t xml:space="preserve"> </w:t>
      </w:r>
      <w:r>
        <w:rPr>
          <w:color w:val="231F20"/>
          <w:sz w:val="20"/>
        </w:rPr>
        <w:t>and</w:t>
      </w:r>
      <w:r>
        <w:rPr>
          <w:color w:val="231F20"/>
          <w:spacing w:val="-8"/>
          <w:sz w:val="20"/>
        </w:rPr>
        <w:t xml:space="preserve"> </w:t>
      </w:r>
      <w:r>
        <w:rPr>
          <w:color w:val="231F20"/>
          <w:sz w:val="20"/>
        </w:rPr>
        <w:t xml:space="preserve">believed (see </w:t>
      </w:r>
      <w:r>
        <w:rPr>
          <w:color w:val="231F20"/>
          <w:spacing w:val="-3"/>
          <w:sz w:val="20"/>
        </w:rPr>
        <w:t>Chapter</w:t>
      </w:r>
      <w:r>
        <w:rPr>
          <w:color w:val="231F20"/>
          <w:spacing w:val="-9"/>
          <w:sz w:val="20"/>
        </w:rPr>
        <w:t xml:space="preserve"> </w:t>
      </w:r>
      <w:r>
        <w:rPr>
          <w:color w:val="231F20"/>
          <w:sz w:val="20"/>
        </w:rPr>
        <w:t>1).</w:t>
      </w:r>
    </w:p>
    <w:p w14:paraId="3BD70E12" w14:textId="77777777" w:rsidR="00894070" w:rsidRDefault="009B7AFD">
      <w:pPr>
        <w:pStyle w:val="ListParagraph"/>
        <w:numPr>
          <w:ilvl w:val="0"/>
          <w:numId w:val="47"/>
        </w:numPr>
        <w:tabs>
          <w:tab w:val="left" w:pos="1801"/>
          <w:tab w:val="left" w:pos="1802"/>
        </w:tabs>
        <w:spacing w:before="125" w:line="206" w:lineRule="auto"/>
        <w:ind w:right="1579"/>
        <w:rPr>
          <w:sz w:val="11"/>
        </w:rPr>
      </w:pPr>
      <w:r>
        <w:rPr>
          <w:color w:val="231F20"/>
          <w:sz w:val="20"/>
        </w:rPr>
        <w:t xml:space="preserve">This is recognised in the </w:t>
      </w:r>
      <w:r>
        <w:rPr>
          <w:i/>
          <w:color w:val="231F20"/>
          <w:spacing w:val="-3"/>
          <w:sz w:val="20"/>
        </w:rPr>
        <w:t xml:space="preserve">Victims’ </w:t>
      </w:r>
      <w:r>
        <w:rPr>
          <w:i/>
          <w:color w:val="231F20"/>
          <w:sz w:val="20"/>
        </w:rPr>
        <w:t xml:space="preserve">Charter Act 2006 </w:t>
      </w:r>
      <w:r>
        <w:rPr>
          <w:color w:val="231F20"/>
          <w:sz w:val="20"/>
        </w:rPr>
        <w:t xml:space="preserve">(Vic). The Charter </w:t>
      </w:r>
      <w:r>
        <w:rPr>
          <w:color w:val="231F20"/>
          <w:spacing w:val="-3"/>
          <w:sz w:val="20"/>
        </w:rPr>
        <w:t xml:space="preserve">requires </w:t>
      </w:r>
      <w:r>
        <w:rPr>
          <w:color w:val="231F20"/>
          <w:sz w:val="20"/>
        </w:rPr>
        <w:t xml:space="preserve">an </w:t>
      </w:r>
      <w:r>
        <w:rPr>
          <w:color w:val="231F20"/>
          <w:spacing w:val="-3"/>
          <w:sz w:val="20"/>
        </w:rPr>
        <w:t>investigatory</w:t>
      </w:r>
      <w:r>
        <w:rPr>
          <w:color w:val="231F20"/>
          <w:spacing w:val="-8"/>
          <w:sz w:val="20"/>
        </w:rPr>
        <w:t xml:space="preserve"> </w:t>
      </w:r>
      <w:r>
        <w:rPr>
          <w:color w:val="231F20"/>
          <w:sz w:val="20"/>
        </w:rPr>
        <w:t>agency</w:t>
      </w:r>
      <w:r>
        <w:rPr>
          <w:color w:val="231F20"/>
          <w:spacing w:val="-7"/>
          <w:sz w:val="20"/>
        </w:rPr>
        <w:t xml:space="preserve"> </w:t>
      </w:r>
      <w:r>
        <w:rPr>
          <w:color w:val="231F20"/>
          <w:sz w:val="20"/>
        </w:rPr>
        <w:t>to</w:t>
      </w:r>
      <w:r>
        <w:rPr>
          <w:color w:val="231F20"/>
          <w:spacing w:val="-8"/>
          <w:sz w:val="20"/>
        </w:rPr>
        <w:t xml:space="preserve"> </w:t>
      </w:r>
      <w:r>
        <w:rPr>
          <w:color w:val="231F20"/>
          <w:spacing w:val="-3"/>
          <w:sz w:val="20"/>
        </w:rPr>
        <w:t>‘inform</w:t>
      </w:r>
      <w:r>
        <w:rPr>
          <w:color w:val="231F20"/>
          <w:spacing w:val="-7"/>
          <w:sz w:val="20"/>
        </w:rPr>
        <w:t xml:space="preserve"> </w:t>
      </w:r>
      <w:r>
        <w:rPr>
          <w:color w:val="231F20"/>
          <w:sz w:val="20"/>
        </w:rPr>
        <w:t>a</w:t>
      </w:r>
      <w:r>
        <w:rPr>
          <w:color w:val="231F20"/>
          <w:spacing w:val="-7"/>
          <w:sz w:val="20"/>
        </w:rPr>
        <w:t xml:space="preserve"> </w:t>
      </w:r>
      <w:r>
        <w:rPr>
          <w:color w:val="231F20"/>
          <w:sz w:val="20"/>
        </w:rPr>
        <w:t>victim,</w:t>
      </w:r>
      <w:r>
        <w:rPr>
          <w:color w:val="231F20"/>
          <w:spacing w:val="-8"/>
          <w:sz w:val="20"/>
        </w:rPr>
        <w:t xml:space="preserve"> </w:t>
      </w:r>
      <w:r>
        <w:rPr>
          <w:color w:val="231F20"/>
          <w:sz w:val="20"/>
        </w:rPr>
        <w:t>at</w:t>
      </w:r>
      <w:r>
        <w:rPr>
          <w:color w:val="231F20"/>
          <w:spacing w:val="-7"/>
          <w:sz w:val="20"/>
        </w:rPr>
        <w:t xml:space="preserve"> </w:t>
      </w:r>
      <w:r>
        <w:rPr>
          <w:color w:val="231F20"/>
          <w:sz w:val="20"/>
        </w:rPr>
        <w:t>reasonable</w:t>
      </w:r>
      <w:r>
        <w:rPr>
          <w:color w:val="231F20"/>
          <w:spacing w:val="-7"/>
          <w:sz w:val="20"/>
        </w:rPr>
        <w:t xml:space="preserve"> </w:t>
      </w:r>
      <w:r>
        <w:rPr>
          <w:color w:val="231F20"/>
          <w:sz w:val="20"/>
        </w:rPr>
        <w:t>intervals,</w:t>
      </w:r>
      <w:r>
        <w:rPr>
          <w:color w:val="231F20"/>
          <w:spacing w:val="-8"/>
          <w:sz w:val="20"/>
        </w:rPr>
        <w:t xml:space="preserve"> </w:t>
      </w:r>
      <w:r>
        <w:rPr>
          <w:color w:val="231F20"/>
          <w:sz w:val="20"/>
        </w:rPr>
        <w:t>about</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 xml:space="preserve">progress </w:t>
      </w:r>
      <w:r>
        <w:rPr>
          <w:color w:val="231F20"/>
          <w:sz w:val="20"/>
        </w:rPr>
        <w:t>of</w:t>
      </w:r>
      <w:r>
        <w:rPr>
          <w:color w:val="231F20"/>
          <w:spacing w:val="-8"/>
          <w:sz w:val="20"/>
        </w:rPr>
        <w:t xml:space="preserve"> </w:t>
      </w:r>
      <w:r>
        <w:rPr>
          <w:color w:val="231F20"/>
          <w:sz w:val="20"/>
        </w:rPr>
        <w:t>an</w:t>
      </w:r>
      <w:r>
        <w:rPr>
          <w:color w:val="231F20"/>
          <w:spacing w:val="-7"/>
          <w:sz w:val="20"/>
        </w:rPr>
        <w:t xml:space="preserve"> </w:t>
      </w:r>
      <w:r>
        <w:rPr>
          <w:color w:val="231F20"/>
          <w:spacing w:val="-3"/>
          <w:sz w:val="20"/>
        </w:rPr>
        <w:t>investigation</w:t>
      </w:r>
      <w:r>
        <w:rPr>
          <w:color w:val="231F20"/>
          <w:spacing w:val="-7"/>
          <w:sz w:val="20"/>
        </w:rPr>
        <w:t xml:space="preserve"> </w:t>
      </w:r>
      <w:r>
        <w:rPr>
          <w:color w:val="231F20"/>
          <w:spacing w:val="-3"/>
          <w:sz w:val="20"/>
        </w:rPr>
        <w:t>into</w:t>
      </w:r>
      <w:r>
        <w:rPr>
          <w:color w:val="231F20"/>
          <w:spacing w:val="-7"/>
          <w:sz w:val="20"/>
        </w:rPr>
        <w:t xml:space="preserve"> </w:t>
      </w:r>
      <w:r>
        <w:rPr>
          <w:color w:val="231F20"/>
          <w:sz w:val="20"/>
        </w:rPr>
        <w:t>a</w:t>
      </w:r>
      <w:r>
        <w:rPr>
          <w:color w:val="231F20"/>
          <w:spacing w:val="-8"/>
          <w:sz w:val="20"/>
        </w:rPr>
        <w:t xml:space="preserve"> </w:t>
      </w:r>
      <w:r>
        <w:rPr>
          <w:color w:val="231F20"/>
          <w:sz w:val="20"/>
        </w:rPr>
        <w:t>criminal</w:t>
      </w:r>
      <w:r>
        <w:rPr>
          <w:color w:val="231F20"/>
          <w:spacing w:val="-7"/>
          <w:sz w:val="20"/>
        </w:rPr>
        <w:t xml:space="preserve"> </w:t>
      </w:r>
      <w:r>
        <w:rPr>
          <w:color w:val="231F20"/>
          <w:sz w:val="20"/>
        </w:rPr>
        <w:t>offence</w:t>
      </w:r>
      <w:r>
        <w:rPr>
          <w:color w:val="231F20"/>
          <w:spacing w:val="-7"/>
          <w:sz w:val="20"/>
        </w:rPr>
        <w:t xml:space="preserve"> </w:t>
      </w:r>
      <w:r>
        <w:rPr>
          <w:color w:val="231F20"/>
          <w:sz w:val="20"/>
        </w:rPr>
        <w:t>unless</w:t>
      </w:r>
      <w:r>
        <w:rPr>
          <w:color w:val="231F20"/>
          <w:spacing w:val="-7"/>
          <w:sz w:val="20"/>
        </w:rPr>
        <w:t xml:space="preserve"> </w:t>
      </w:r>
      <w:r>
        <w:rPr>
          <w:color w:val="231F20"/>
          <w:sz w:val="20"/>
        </w:rPr>
        <w:t>the</w:t>
      </w:r>
      <w:r>
        <w:rPr>
          <w:color w:val="231F20"/>
          <w:spacing w:val="-7"/>
          <w:sz w:val="20"/>
        </w:rPr>
        <w:t xml:space="preserve"> </w:t>
      </w:r>
      <w:r>
        <w:rPr>
          <w:color w:val="231F20"/>
          <w:spacing w:val="-3"/>
          <w:sz w:val="20"/>
        </w:rPr>
        <w:t>disclosure</w:t>
      </w:r>
      <w:r>
        <w:rPr>
          <w:color w:val="231F20"/>
          <w:spacing w:val="-8"/>
          <w:sz w:val="20"/>
        </w:rPr>
        <w:t xml:space="preserve"> </w:t>
      </w:r>
      <w:r>
        <w:rPr>
          <w:color w:val="231F20"/>
          <w:spacing w:val="-3"/>
          <w:sz w:val="20"/>
        </w:rPr>
        <w:t>may</w:t>
      </w:r>
      <w:r>
        <w:rPr>
          <w:color w:val="231F20"/>
          <w:spacing w:val="-7"/>
          <w:sz w:val="20"/>
        </w:rPr>
        <w:t xml:space="preserve"> </w:t>
      </w:r>
      <w:r>
        <w:rPr>
          <w:color w:val="231F20"/>
          <w:sz w:val="20"/>
        </w:rPr>
        <w:t>jeopardise</w:t>
      </w:r>
      <w:r>
        <w:rPr>
          <w:color w:val="231F20"/>
          <w:spacing w:val="-7"/>
          <w:sz w:val="20"/>
        </w:rPr>
        <w:t xml:space="preserve"> </w:t>
      </w:r>
      <w:r>
        <w:rPr>
          <w:color w:val="231F20"/>
          <w:spacing w:val="-3"/>
          <w:sz w:val="20"/>
        </w:rPr>
        <w:t xml:space="preserve">any investigation </w:t>
      </w:r>
      <w:r>
        <w:rPr>
          <w:color w:val="231F20"/>
          <w:sz w:val="20"/>
        </w:rPr>
        <w:t>of a criminal</w:t>
      </w:r>
      <w:r>
        <w:rPr>
          <w:color w:val="231F20"/>
          <w:spacing w:val="-14"/>
          <w:sz w:val="20"/>
        </w:rPr>
        <w:t xml:space="preserve"> </w:t>
      </w:r>
      <w:r>
        <w:rPr>
          <w:color w:val="231F20"/>
          <w:spacing w:val="-3"/>
          <w:sz w:val="20"/>
        </w:rPr>
        <w:t>offence.’</w:t>
      </w:r>
      <w:r>
        <w:rPr>
          <w:color w:val="231F20"/>
          <w:spacing w:val="-3"/>
          <w:position w:val="7"/>
          <w:sz w:val="11"/>
        </w:rPr>
        <w:t>150</w:t>
      </w:r>
    </w:p>
    <w:p w14:paraId="444393FE" w14:textId="77777777" w:rsidR="00894070" w:rsidRDefault="00894070">
      <w:pPr>
        <w:pStyle w:val="BodyText"/>
      </w:pPr>
    </w:p>
    <w:p w14:paraId="6F914DBD" w14:textId="77777777" w:rsidR="00894070" w:rsidRDefault="00894070">
      <w:pPr>
        <w:pStyle w:val="BodyText"/>
      </w:pPr>
    </w:p>
    <w:p w14:paraId="34603D07" w14:textId="77777777" w:rsidR="00894070" w:rsidRDefault="00894070">
      <w:pPr>
        <w:pStyle w:val="BodyText"/>
      </w:pPr>
    </w:p>
    <w:p w14:paraId="6B1208A3" w14:textId="77777777" w:rsidR="00894070" w:rsidRDefault="009F6793">
      <w:pPr>
        <w:pStyle w:val="BodyText"/>
        <w:spacing w:before="6"/>
        <w:rPr>
          <w:sz w:val="25"/>
        </w:rPr>
      </w:pPr>
      <w:r>
        <w:pict w14:anchorId="3BBFADDD">
          <v:line id="_x0000_s1162" style="position:absolute;z-index:251748352;mso-wrap-distance-left:0;mso-wrap-distance-right:0;mso-position-horizontal-relative:page" from="79.35pt,20.15pt" to="515.9pt,20.15pt" strokecolor="#f8cabc" strokeweight="1pt">
            <w10:wrap type="topAndBottom" anchorx="page"/>
          </v:line>
        </w:pict>
      </w:r>
    </w:p>
    <w:p w14:paraId="2DE23FEA" w14:textId="77777777" w:rsidR="00894070" w:rsidRDefault="00894070">
      <w:pPr>
        <w:pStyle w:val="BodyText"/>
        <w:rPr>
          <w:sz w:val="5"/>
        </w:rPr>
      </w:pPr>
    </w:p>
    <w:p w14:paraId="5BBAC0A8" w14:textId="77777777" w:rsidR="00894070" w:rsidRDefault="00894070">
      <w:pPr>
        <w:rPr>
          <w:sz w:val="5"/>
        </w:rPr>
        <w:sectPr w:rsidR="00894070">
          <w:pgSz w:w="11910" w:h="16840"/>
          <w:pgMar w:top="860" w:right="420" w:bottom="280" w:left="580" w:header="567" w:footer="0" w:gutter="0"/>
          <w:cols w:space="720"/>
        </w:sectPr>
      </w:pPr>
    </w:p>
    <w:p w14:paraId="267DE644" w14:textId="77777777" w:rsidR="00894070" w:rsidRDefault="00894070">
      <w:pPr>
        <w:pStyle w:val="BodyText"/>
        <w:rPr>
          <w:sz w:val="28"/>
        </w:rPr>
      </w:pPr>
    </w:p>
    <w:p w14:paraId="46F7947F" w14:textId="77777777" w:rsidR="00894070" w:rsidRDefault="00894070">
      <w:pPr>
        <w:pStyle w:val="BodyText"/>
        <w:spacing w:before="8"/>
        <w:rPr>
          <w:sz w:val="33"/>
        </w:rPr>
      </w:pPr>
    </w:p>
    <w:p w14:paraId="2308A527" w14:textId="77777777" w:rsidR="00894070" w:rsidRDefault="009B7AFD">
      <w:pPr>
        <w:pStyle w:val="Heading8"/>
        <w:ind w:left="140"/>
      </w:pPr>
      <w:r>
        <w:rPr>
          <w:color w:val="EA5B50"/>
        </w:rPr>
        <w:t>152</w:t>
      </w:r>
    </w:p>
    <w:p w14:paraId="1DB49AEB" w14:textId="77777777" w:rsidR="00894070" w:rsidRDefault="009B7AFD">
      <w:pPr>
        <w:pStyle w:val="ListParagraph"/>
        <w:numPr>
          <w:ilvl w:val="0"/>
          <w:numId w:val="46"/>
        </w:numPr>
        <w:tabs>
          <w:tab w:val="left" w:pos="933"/>
          <w:tab w:val="left" w:pos="934"/>
        </w:tabs>
        <w:spacing w:before="21" w:line="170" w:lineRule="exact"/>
        <w:ind w:left="933" w:hanging="793"/>
        <w:jc w:val="left"/>
        <w:rPr>
          <w:sz w:val="13"/>
        </w:rPr>
      </w:pPr>
      <w:r>
        <w:rPr>
          <w:color w:val="231F20"/>
          <w:spacing w:val="2"/>
          <w:sz w:val="13"/>
        </w:rPr>
        <w:br w:type="column"/>
      </w:r>
      <w:r>
        <w:rPr>
          <w:color w:val="231F20"/>
          <w:sz w:val="13"/>
        </w:rPr>
        <w:t xml:space="preserve">Victoria Police, ‘Responses to </w:t>
      </w:r>
      <w:proofErr w:type="gramStart"/>
      <w:r>
        <w:rPr>
          <w:color w:val="231F20"/>
          <w:sz w:val="13"/>
        </w:rPr>
        <w:t>Non Family</w:t>
      </w:r>
      <w:proofErr w:type="gramEnd"/>
      <w:r>
        <w:rPr>
          <w:color w:val="231F20"/>
          <w:sz w:val="13"/>
        </w:rPr>
        <w:t xml:space="preserve"> Violence Disputes’, </w:t>
      </w:r>
      <w:r>
        <w:rPr>
          <w:i/>
          <w:color w:val="231F20"/>
          <w:sz w:val="13"/>
        </w:rPr>
        <w:t xml:space="preserve">Victoria Police Manual </w:t>
      </w:r>
      <w:r>
        <w:rPr>
          <w:color w:val="231F20"/>
          <w:sz w:val="13"/>
        </w:rPr>
        <w:t xml:space="preserve">(Electronic Manual, </w:t>
      </w:r>
      <w:r>
        <w:rPr>
          <w:color w:val="231F20"/>
          <w:spacing w:val="2"/>
          <w:sz w:val="13"/>
        </w:rPr>
        <w:t xml:space="preserve">January </w:t>
      </w:r>
      <w:r>
        <w:rPr>
          <w:color w:val="231F20"/>
          <w:sz w:val="13"/>
        </w:rPr>
        <w:t>2022) 8 [12].</w:t>
      </w:r>
    </w:p>
    <w:p w14:paraId="34A7E35E" w14:textId="77777777" w:rsidR="00894070" w:rsidRDefault="009B7AFD">
      <w:pPr>
        <w:pStyle w:val="ListParagraph"/>
        <w:numPr>
          <w:ilvl w:val="0"/>
          <w:numId w:val="46"/>
        </w:numPr>
        <w:tabs>
          <w:tab w:val="left" w:pos="933"/>
          <w:tab w:val="left" w:pos="934"/>
        </w:tabs>
        <w:spacing w:line="160" w:lineRule="exact"/>
        <w:ind w:left="933" w:hanging="793"/>
        <w:jc w:val="left"/>
        <w:rPr>
          <w:sz w:val="13"/>
        </w:rPr>
      </w:pPr>
      <w:r>
        <w:rPr>
          <w:color w:val="231F20"/>
          <w:sz w:val="13"/>
        </w:rPr>
        <w:t xml:space="preserve">Victoria Police, ‘Family Violence’, </w:t>
      </w:r>
      <w:r>
        <w:rPr>
          <w:i/>
          <w:color w:val="231F20"/>
          <w:sz w:val="13"/>
        </w:rPr>
        <w:t xml:space="preserve">Victoria Police Manual </w:t>
      </w:r>
      <w:r>
        <w:rPr>
          <w:color w:val="231F20"/>
          <w:sz w:val="13"/>
        </w:rPr>
        <w:t xml:space="preserve">(Electronic Manual, </w:t>
      </w:r>
      <w:r>
        <w:rPr>
          <w:color w:val="231F20"/>
          <w:spacing w:val="2"/>
          <w:sz w:val="13"/>
        </w:rPr>
        <w:t xml:space="preserve">January </w:t>
      </w:r>
      <w:r>
        <w:rPr>
          <w:color w:val="231F20"/>
          <w:sz w:val="13"/>
        </w:rPr>
        <w:t>2022) 17</w:t>
      </w:r>
      <w:r>
        <w:rPr>
          <w:color w:val="231F20"/>
          <w:spacing w:val="9"/>
          <w:sz w:val="13"/>
        </w:rPr>
        <w:t xml:space="preserve"> </w:t>
      </w:r>
      <w:r>
        <w:rPr>
          <w:color w:val="231F20"/>
          <w:sz w:val="13"/>
        </w:rPr>
        <w:t>[12.1].</w:t>
      </w:r>
    </w:p>
    <w:p w14:paraId="27CA5741" w14:textId="77777777" w:rsidR="00894070" w:rsidRDefault="009B7AFD">
      <w:pPr>
        <w:pStyle w:val="ListParagraph"/>
        <w:numPr>
          <w:ilvl w:val="0"/>
          <w:numId w:val="46"/>
        </w:numPr>
        <w:tabs>
          <w:tab w:val="left" w:pos="933"/>
          <w:tab w:val="left" w:pos="934"/>
        </w:tabs>
        <w:spacing w:line="160" w:lineRule="exact"/>
        <w:ind w:left="933" w:hanging="793"/>
        <w:jc w:val="left"/>
        <w:rPr>
          <w:sz w:val="13"/>
        </w:rPr>
      </w:pPr>
      <w:r>
        <w:rPr>
          <w:color w:val="231F20"/>
          <w:sz w:val="13"/>
        </w:rPr>
        <w:t xml:space="preserve">UK Home Office, </w:t>
      </w:r>
      <w:r>
        <w:rPr>
          <w:i/>
          <w:color w:val="231F20"/>
          <w:sz w:val="13"/>
        </w:rPr>
        <w:t xml:space="preserve">Stalking Protection Orders: Statutory Guidance for the Police </w:t>
      </w:r>
      <w:r>
        <w:rPr>
          <w:color w:val="231F20"/>
          <w:spacing w:val="2"/>
          <w:sz w:val="13"/>
        </w:rPr>
        <w:t xml:space="preserve">(Report, January </w:t>
      </w:r>
      <w:r>
        <w:rPr>
          <w:color w:val="231F20"/>
          <w:sz w:val="13"/>
        </w:rPr>
        <w:t>2021) 22</w:t>
      </w:r>
      <w:r>
        <w:rPr>
          <w:color w:val="231F20"/>
          <w:spacing w:val="9"/>
          <w:sz w:val="13"/>
        </w:rPr>
        <w:t xml:space="preserve"> </w:t>
      </w:r>
      <w:r>
        <w:rPr>
          <w:color w:val="231F20"/>
          <w:sz w:val="13"/>
        </w:rPr>
        <w:t>[102].</w:t>
      </w:r>
    </w:p>
    <w:p w14:paraId="188224BE" w14:textId="77777777" w:rsidR="00894070" w:rsidRDefault="009B7AFD">
      <w:pPr>
        <w:tabs>
          <w:tab w:val="left" w:pos="933"/>
        </w:tabs>
        <w:spacing w:line="160" w:lineRule="exact"/>
        <w:ind w:left="140"/>
        <w:rPr>
          <w:sz w:val="13"/>
        </w:rPr>
      </w:pPr>
      <w:r>
        <w:rPr>
          <w:color w:val="231F20"/>
          <w:sz w:val="13"/>
        </w:rPr>
        <w:t>147</w:t>
      </w:r>
      <w:r>
        <w:rPr>
          <w:color w:val="231F20"/>
          <w:sz w:val="13"/>
        </w:rPr>
        <w:tab/>
        <w:t>Ibid 22</w:t>
      </w:r>
      <w:r>
        <w:rPr>
          <w:color w:val="231F20"/>
          <w:spacing w:val="14"/>
          <w:sz w:val="13"/>
        </w:rPr>
        <w:t xml:space="preserve"> </w:t>
      </w:r>
      <w:r>
        <w:rPr>
          <w:color w:val="231F20"/>
          <w:sz w:val="13"/>
        </w:rPr>
        <w:t>[103].</w:t>
      </w:r>
    </w:p>
    <w:p w14:paraId="53C8557A" w14:textId="77777777" w:rsidR="00894070" w:rsidRDefault="009B7AFD">
      <w:pPr>
        <w:tabs>
          <w:tab w:val="left" w:pos="933"/>
        </w:tabs>
        <w:spacing w:line="160" w:lineRule="exact"/>
        <w:ind w:left="140"/>
        <w:rPr>
          <w:sz w:val="13"/>
        </w:rPr>
      </w:pPr>
      <w:r>
        <w:rPr>
          <w:color w:val="231F20"/>
          <w:spacing w:val="2"/>
          <w:sz w:val="13"/>
        </w:rPr>
        <w:t>148</w:t>
      </w:r>
      <w:r>
        <w:rPr>
          <w:color w:val="231F20"/>
          <w:spacing w:val="2"/>
          <w:sz w:val="13"/>
        </w:rPr>
        <w:tab/>
      </w:r>
      <w:r>
        <w:rPr>
          <w:color w:val="231F20"/>
          <w:sz w:val="13"/>
        </w:rPr>
        <w:t>Ibid 22</w:t>
      </w:r>
      <w:r>
        <w:rPr>
          <w:color w:val="231F20"/>
          <w:spacing w:val="14"/>
          <w:sz w:val="13"/>
        </w:rPr>
        <w:t xml:space="preserve"> </w:t>
      </w:r>
      <w:r>
        <w:rPr>
          <w:color w:val="231F20"/>
          <w:sz w:val="13"/>
        </w:rPr>
        <w:t>[104].</w:t>
      </w:r>
    </w:p>
    <w:p w14:paraId="47841BF6" w14:textId="77777777" w:rsidR="00894070" w:rsidRDefault="009B7AFD">
      <w:pPr>
        <w:tabs>
          <w:tab w:val="left" w:pos="933"/>
        </w:tabs>
        <w:spacing w:line="160" w:lineRule="exact"/>
        <w:ind w:left="140"/>
        <w:rPr>
          <w:sz w:val="13"/>
        </w:rPr>
      </w:pPr>
      <w:r>
        <w:rPr>
          <w:color w:val="231F20"/>
          <w:spacing w:val="2"/>
          <w:sz w:val="13"/>
        </w:rPr>
        <w:t>149</w:t>
      </w:r>
      <w:r>
        <w:rPr>
          <w:color w:val="231F20"/>
          <w:spacing w:val="2"/>
          <w:sz w:val="13"/>
        </w:rPr>
        <w:tab/>
      </w:r>
      <w:r>
        <w:rPr>
          <w:color w:val="231F20"/>
          <w:sz w:val="13"/>
        </w:rPr>
        <w:t xml:space="preserve">College of Policing (UK), </w:t>
      </w:r>
      <w:r>
        <w:rPr>
          <w:i/>
          <w:color w:val="231F20"/>
          <w:sz w:val="13"/>
        </w:rPr>
        <w:t xml:space="preserve">Stalking or Harassment: Advice for Investigators on Effective Investigation </w:t>
      </w:r>
      <w:r>
        <w:rPr>
          <w:color w:val="231F20"/>
          <w:spacing w:val="2"/>
          <w:sz w:val="13"/>
        </w:rPr>
        <w:t xml:space="preserve">(Report, </w:t>
      </w:r>
      <w:r>
        <w:rPr>
          <w:color w:val="231F20"/>
          <w:sz w:val="13"/>
        </w:rPr>
        <w:t>November 2020)</w:t>
      </w:r>
      <w:r>
        <w:rPr>
          <w:color w:val="231F20"/>
          <w:spacing w:val="32"/>
          <w:sz w:val="13"/>
        </w:rPr>
        <w:t xml:space="preserve"> </w:t>
      </w:r>
      <w:r>
        <w:rPr>
          <w:color w:val="231F20"/>
          <w:spacing w:val="2"/>
          <w:sz w:val="13"/>
        </w:rPr>
        <w:t>9.</w:t>
      </w:r>
    </w:p>
    <w:p w14:paraId="323182C3" w14:textId="77777777" w:rsidR="00894070" w:rsidRDefault="009B7AFD">
      <w:pPr>
        <w:tabs>
          <w:tab w:val="left" w:pos="933"/>
        </w:tabs>
        <w:spacing w:line="170" w:lineRule="exact"/>
        <w:ind w:left="140"/>
        <w:rPr>
          <w:sz w:val="13"/>
        </w:rPr>
      </w:pPr>
      <w:r>
        <w:rPr>
          <w:color w:val="231F20"/>
          <w:sz w:val="13"/>
        </w:rPr>
        <w:t>150</w:t>
      </w:r>
      <w:r>
        <w:rPr>
          <w:color w:val="231F20"/>
          <w:sz w:val="13"/>
        </w:rPr>
        <w:tab/>
      </w:r>
      <w:r>
        <w:rPr>
          <w:i/>
          <w:color w:val="231F20"/>
          <w:sz w:val="13"/>
        </w:rPr>
        <w:t xml:space="preserve">Victims’ Charter Act 2006 </w:t>
      </w:r>
      <w:r>
        <w:rPr>
          <w:color w:val="231F20"/>
          <w:sz w:val="13"/>
        </w:rPr>
        <w:t>(Vic) s</w:t>
      </w:r>
      <w:r>
        <w:rPr>
          <w:color w:val="231F20"/>
          <w:spacing w:val="1"/>
          <w:sz w:val="13"/>
        </w:rPr>
        <w:t xml:space="preserve"> </w:t>
      </w:r>
      <w:r>
        <w:rPr>
          <w:color w:val="231F20"/>
          <w:sz w:val="13"/>
        </w:rPr>
        <w:t>8(1).</w:t>
      </w:r>
    </w:p>
    <w:p w14:paraId="307236E0"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65" w:space="302"/>
            <w:col w:w="10043"/>
          </w:cols>
        </w:sectPr>
      </w:pPr>
    </w:p>
    <w:p w14:paraId="28B00685" w14:textId="77777777" w:rsidR="00894070" w:rsidRDefault="00894070">
      <w:pPr>
        <w:pStyle w:val="BodyText"/>
      </w:pPr>
    </w:p>
    <w:p w14:paraId="03F6D950" w14:textId="77777777" w:rsidR="00894070" w:rsidRDefault="00894070">
      <w:pPr>
        <w:pStyle w:val="BodyText"/>
      </w:pPr>
    </w:p>
    <w:p w14:paraId="2FFB7FFF" w14:textId="77777777" w:rsidR="00894070" w:rsidRDefault="00894070">
      <w:pPr>
        <w:pStyle w:val="BodyText"/>
      </w:pPr>
    </w:p>
    <w:p w14:paraId="5E6A1A60" w14:textId="77777777" w:rsidR="00894070" w:rsidRDefault="00894070">
      <w:pPr>
        <w:pStyle w:val="BodyText"/>
        <w:spacing w:before="6"/>
        <w:rPr>
          <w:sz w:val="14"/>
        </w:rPr>
      </w:pPr>
    </w:p>
    <w:p w14:paraId="2782AC51" w14:textId="77777777" w:rsidR="00894070" w:rsidRDefault="009B7AFD">
      <w:pPr>
        <w:pStyle w:val="ListParagraph"/>
        <w:numPr>
          <w:ilvl w:val="0"/>
          <w:numId w:val="47"/>
        </w:numPr>
        <w:tabs>
          <w:tab w:val="left" w:pos="1801"/>
          <w:tab w:val="left" w:pos="1802"/>
        </w:tabs>
        <w:spacing w:before="58" w:line="259" w:lineRule="exact"/>
        <w:rPr>
          <w:sz w:val="20"/>
        </w:rPr>
      </w:pPr>
      <w:bookmarkStart w:id="170" w:name="The_criminal_trial_process_should_be_imp"/>
      <w:bookmarkStart w:id="171" w:name="_bookmark102"/>
      <w:bookmarkEnd w:id="170"/>
      <w:bookmarkEnd w:id="171"/>
      <w:r>
        <w:rPr>
          <w:color w:val="231F20"/>
          <w:sz w:val="20"/>
        </w:rPr>
        <w:t>The</w:t>
      </w:r>
      <w:r>
        <w:rPr>
          <w:color w:val="231F20"/>
          <w:spacing w:val="-6"/>
          <w:sz w:val="20"/>
        </w:rPr>
        <w:t xml:space="preserve"> </w:t>
      </w:r>
      <w:r>
        <w:rPr>
          <w:color w:val="231F20"/>
          <w:sz w:val="20"/>
        </w:rPr>
        <w:t>Charter</w:t>
      </w:r>
      <w:r>
        <w:rPr>
          <w:color w:val="231F20"/>
          <w:spacing w:val="-6"/>
          <w:sz w:val="20"/>
        </w:rPr>
        <w:t xml:space="preserve"> </w:t>
      </w:r>
      <w:r>
        <w:rPr>
          <w:color w:val="231F20"/>
          <w:sz w:val="20"/>
        </w:rPr>
        <w:t>also</w:t>
      </w:r>
      <w:r>
        <w:rPr>
          <w:color w:val="231F20"/>
          <w:spacing w:val="-5"/>
          <w:sz w:val="20"/>
        </w:rPr>
        <w:t xml:space="preserve"> </w:t>
      </w:r>
      <w:r>
        <w:rPr>
          <w:color w:val="231F20"/>
          <w:spacing w:val="-3"/>
          <w:sz w:val="20"/>
        </w:rPr>
        <w:t>requires</w:t>
      </w:r>
      <w:r>
        <w:rPr>
          <w:color w:val="231F20"/>
          <w:spacing w:val="-6"/>
          <w:sz w:val="20"/>
        </w:rPr>
        <w:t xml:space="preserve"> </w:t>
      </w:r>
      <w:r>
        <w:rPr>
          <w:color w:val="231F20"/>
          <w:sz w:val="20"/>
        </w:rPr>
        <w:t>the</w:t>
      </w:r>
      <w:r>
        <w:rPr>
          <w:color w:val="231F20"/>
          <w:spacing w:val="-5"/>
          <w:sz w:val="20"/>
        </w:rPr>
        <w:t xml:space="preserve"> </w:t>
      </w:r>
      <w:r>
        <w:rPr>
          <w:color w:val="231F20"/>
          <w:sz w:val="20"/>
        </w:rPr>
        <w:t>prosecuting</w:t>
      </w:r>
      <w:r>
        <w:rPr>
          <w:color w:val="231F20"/>
          <w:spacing w:val="-6"/>
          <w:sz w:val="20"/>
        </w:rPr>
        <w:t xml:space="preserve"> </w:t>
      </w:r>
      <w:r>
        <w:rPr>
          <w:color w:val="231F20"/>
          <w:spacing w:val="-3"/>
          <w:sz w:val="20"/>
        </w:rPr>
        <w:t>agency,</w:t>
      </w:r>
      <w:r>
        <w:rPr>
          <w:color w:val="231F20"/>
          <w:spacing w:val="-6"/>
          <w:sz w:val="20"/>
        </w:rPr>
        <w:t xml:space="preserve"> </w:t>
      </w:r>
      <w:r>
        <w:rPr>
          <w:color w:val="231F20"/>
          <w:sz w:val="20"/>
        </w:rPr>
        <w:t>as</w:t>
      </w:r>
      <w:r>
        <w:rPr>
          <w:color w:val="231F20"/>
          <w:spacing w:val="-5"/>
          <w:sz w:val="20"/>
        </w:rPr>
        <w:t xml:space="preserve"> </w:t>
      </w:r>
      <w:r>
        <w:rPr>
          <w:color w:val="231F20"/>
          <w:sz w:val="20"/>
        </w:rPr>
        <w:t>soon</w:t>
      </w:r>
      <w:r>
        <w:rPr>
          <w:color w:val="231F20"/>
          <w:spacing w:val="-6"/>
          <w:sz w:val="20"/>
        </w:rPr>
        <w:t xml:space="preserve"> </w:t>
      </w:r>
      <w:r>
        <w:rPr>
          <w:color w:val="231F20"/>
          <w:sz w:val="20"/>
        </w:rPr>
        <w:t>as</w:t>
      </w:r>
      <w:r>
        <w:rPr>
          <w:color w:val="231F20"/>
          <w:spacing w:val="-5"/>
          <w:sz w:val="20"/>
        </w:rPr>
        <w:t xml:space="preserve"> </w:t>
      </w:r>
      <w:r>
        <w:rPr>
          <w:color w:val="231F20"/>
          <w:sz w:val="20"/>
        </w:rPr>
        <w:t>reasonably</w:t>
      </w:r>
      <w:r>
        <w:rPr>
          <w:color w:val="231F20"/>
          <w:spacing w:val="-6"/>
          <w:sz w:val="20"/>
        </w:rPr>
        <w:t xml:space="preserve"> </w:t>
      </w:r>
      <w:r>
        <w:rPr>
          <w:color w:val="231F20"/>
          <w:sz w:val="20"/>
        </w:rPr>
        <w:t>practicable,</w:t>
      </w:r>
    </w:p>
    <w:p w14:paraId="5B19784A" w14:textId="77777777" w:rsidR="00894070" w:rsidRDefault="009B7AFD">
      <w:pPr>
        <w:pStyle w:val="BodyText"/>
        <w:spacing w:line="259" w:lineRule="exact"/>
        <w:ind w:left="1801"/>
      </w:pPr>
      <w:r>
        <w:rPr>
          <w:color w:val="231F20"/>
        </w:rPr>
        <w:t>to give a victim information about:</w:t>
      </w:r>
    </w:p>
    <w:p w14:paraId="7B28990E" w14:textId="77777777" w:rsidR="00894070" w:rsidRDefault="009B7AFD">
      <w:pPr>
        <w:pStyle w:val="ListParagraph"/>
        <w:numPr>
          <w:ilvl w:val="1"/>
          <w:numId w:val="47"/>
        </w:numPr>
        <w:tabs>
          <w:tab w:val="left" w:pos="2141"/>
          <w:tab w:val="left" w:pos="2142"/>
        </w:tabs>
        <w:spacing w:before="82"/>
        <w:ind w:hanging="340"/>
        <w:rPr>
          <w:sz w:val="20"/>
        </w:rPr>
      </w:pPr>
      <w:r>
        <w:rPr>
          <w:color w:val="231F20"/>
          <w:sz w:val="20"/>
        </w:rPr>
        <w:t>the offences charged against the person</w:t>
      </w:r>
      <w:r>
        <w:rPr>
          <w:color w:val="231F20"/>
          <w:spacing w:val="-29"/>
          <w:sz w:val="20"/>
        </w:rPr>
        <w:t xml:space="preserve"> </w:t>
      </w:r>
      <w:r>
        <w:rPr>
          <w:color w:val="231F20"/>
          <w:sz w:val="20"/>
        </w:rPr>
        <w:t>accused</w:t>
      </w:r>
    </w:p>
    <w:p w14:paraId="5F8496AF" w14:textId="77777777" w:rsidR="00894070" w:rsidRDefault="009B7AFD">
      <w:pPr>
        <w:pStyle w:val="ListParagraph"/>
        <w:numPr>
          <w:ilvl w:val="1"/>
          <w:numId w:val="47"/>
        </w:numPr>
        <w:tabs>
          <w:tab w:val="left" w:pos="2141"/>
          <w:tab w:val="left" w:pos="2142"/>
        </w:tabs>
        <w:spacing w:before="47"/>
        <w:ind w:hanging="340"/>
        <w:rPr>
          <w:sz w:val="20"/>
        </w:rPr>
      </w:pPr>
      <w:r>
        <w:rPr>
          <w:color w:val="231F20"/>
          <w:sz w:val="20"/>
        </w:rPr>
        <w:t>if</w:t>
      </w:r>
      <w:r>
        <w:rPr>
          <w:color w:val="231F20"/>
          <w:spacing w:val="-5"/>
          <w:sz w:val="20"/>
        </w:rPr>
        <w:t xml:space="preserve"> </w:t>
      </w:r>
      <w:r>
        <w:rPr>
          <w:color w:val="231F20"/>
          <w:sz w:val="20"/>
        </w:rPr>
        <w:t>no</w:t>
      </w:r>
      <w:r>
        <w:rPr>
          <w:color w:val="231F20"/>
          <w:spacing w:val="-5"/>
          <w:sz w:val="20"/>
        </w:rPr>
        <w:t xml:space="preserve"> </w:t>
      </w:r>
      <w:r>
        <w:rPr>
          <w:color w:val="231F20"/>
          <w:sz w:val="20"/>
        </w:rPr>
        <w:t>offence</w:t>
      </w:r>
      <w:r>
        <w:rPr>
          <w:color w:val="231F20"/>
          <w:spacing w:val="-5"/>
          <w:sz w:val="20"/>
        </w:rPr>
        <w:t xml:space="preserve"> </w:t>
      </w:r>
      <w:r>
        <w:rPr>
          <w:color w:val="231F20"/>
          <w:sz w:val="20"/>
        </w:rPr>
        <w:t>is</w:t>
      </w:r>
      <w:r>
        <w:rPr>
          <w:color w:val="231F20"/>
          <w:spacing w:val="-5"/>
          <w:sz w:val="20"/>
        </w:rPr>
        <w:t xml:space="preserve"> </w:t>
      </w:r>
      <w:r>
        <w:rPr>
          <w:color w:val="231F20"/>
          <w:sz w:val="20"/>
        </w:rPr>
        <w:t>charged</w:t>
      </w:r>
      <w:r>
        <w:rPr>
          <w:color w:val="231F20"/>
          <w:spacing w:val="-5"/>
          <w:sz w:val="20"/>
        </w:rPr>
        <w:t xml:space="preserve"> </w:t>
      </w:r>
      <w:r>
        <w:rPr>
          <w:color w:val="231F20"/>
          <w:sz w:val="20"/>
        </w:rPr>
        <w:t>against</w:t>
      </w:r>
      <w:r>
        <w:rPr>
          <w:color w:val="231F20"/>
          <w:spacing w:val="-5"/>
          <w:sz w:val="20"/>
        </w:rPr>
        <w:t xml:space="preserve"> </w:t>
      </w:r>
      <w:r>
        <w:rPr>
          <w:color w:val="231F20"/>
          <w:spacing w:val="-3"/>
          <w:sz w:val="20"/>
        </w:rPr>
        <w:t>any</w:t>
      </w:r>
      <w:r>
        <w:rPr>
          <w:color w:val="231F20"/>
          <w:spacing w:val="-5"/>
          <w:sz w:val="20"/>
        </w:rPr>
        <w:t xml:space="preserve"> </w:t>
      </w:r>
      <w:r>
        <w:rPr>
          <w:color w:val="231F20"/>
          <w:sz w:val="20"/>
        </w:rPr>
        <w:t>person,</w:t>
      </w:r>
      <w:r>
        <w:rPr>
          <w:color w:val="231F20"/>
          <w:spacing w:val="-4"/>
          <w:sz w:val="20"/>
        </w:rPr>
        <w:t xml:space="preserve"> </w:t>
      </w:r>
      <w:r>
        <w:rPr>
          <w:color w:val="231F20"/>
          <w:sz w:val="20"/>
        </w:rPr>
        <w:t>the</w:t>
      </w:r>
      <w:r>
        <w:rPr>
          <w:color w:val="231F20"/>
          <w:spacing w:val="-5"/>
          <w:sz w:val="20"/>
        </w:rPr>
        <w:t xml:space="preserve"> </w:t>
      </w:r>
      <w:r>
        <w:rPr>
          <w:color w:val="231F20"/>
          <w:sz w:val="20"/>
        </w:rPr>
        <w:t>reasons</w:t>
      </w:r>
      <w:r>
        <w:rPr>
          <w:color w:val="231F20"/>
          <w:spacing w:val="-5"/>
          <w:sz w:val="20"/>
        </w:rPr>
        <w:t xml:space="preserve"> </w:t>
      </w:r>
      <w:r>
        <w:rPr>
          <w:color w:val="231F20"/>
          <w:spacing w:val="-3"/>
          <w:sz w:val="20"/>
        </w:rPr>
        <w:t>why</w:t>
      </w:r>
    </w:p>
    <w:p w14:paraId="7C95A74A" w14:textId="77777777" w:rsidR="00894070" w:rsidRDefault="009B7AFD">
      <w:pPr>
        <w:pStyle w:val="ListParagraph"/>
        <w:numPr>
          <w:ilvl w:val="1"/>
          <w:numId w:val="47"/>
        </w:numPr>
        <w:tabs>
          <w:tab w:val="left" w:pos="2141"/>
          <w:tab w:val="left" w:pos="2142"/>
        </w:tabs>
        <w:spacing w:before="48" w:line="259" w:lineRule="exact"/>
        <w:ind w:hanging="340"/>
        <w:rPr>
          <w:sz w:val="20"/>
        </w:rPr>
      </w:pPr>
      <w:r>
        <w:rPr>
          <w:color w:val="231F20"/>
          <w:sz w:val="20"/>
        </w:rPr>
        <w:t>if</w:t>
      </w:r>
      <w:r>
        <w:rPr>
          <w:color w:val="231F20"/>
          <w:spacing w:val="-8"/>
          <w:sz w:val="20"/>
        </w:rPr>
        <w:t xml:space="preserve"> </w:t>
      </w:r>
      <w:r>
        <w:rPr>
          <w:color w:val="231F20"/>
          <w:sz w:val="20"/>
        </w:rPr>
        <w:t>offences</w:t>
      </w:r>
      <w:r>
        <w:rPr>
          <w:color w:val="231F20"/>
          <w:spacing w:val="-8"/>
          <w:sz w:val="20"/>
        </w:rPr>
        <w:t xml:space="preserve"> </w:t>
      </w:r>
      <w:r>
        <w:rPr>
          <w:color w:val="231F20"/>
          <w:spacing w:val="-3"/>
          <w:sz w:val="20"/>
        </w:rPr>
        <w:t>are</w:t>
      </w:r>
      <w:r>
        <w:rPr>
          <w:color w:val="231F20"/>
          <w:spacing w:val="-8"/>
          <w:sz w:val="20"/>
        </w:rPr>
        <w:t xml:space="preserve"> </w:t>
      </w:r>
      <w:r>
        <w:rPr>
          <w:color w:val="231F20"/>
          <w:sz w:val="20"/>
        </w:rPr>
        <w:t>charged,</w:t>
      </w:r>
      <w:r>
        <w:rPr>
          <w:color w:val="231F20"/>
          <w:spacing w:val="-8"/>
          <w:sz w:val="20"/>
        </w:rPr>
        <w:t xml:space="preserve"> </w:t>
      </w:r>
      <w:r>
        <w:rPr>
          <w:color w:val="231F20"/>
          <w:spacing w:val="-3"/>
          <w:sz w:val="20"/>
        </w:rPr>
        <w:t>any</w:t>
      </w:r>
      <w:r>
        <w:rPr>
          <w:color w:val="231F20"/>
          <w:spacing w:val="-8"/>
          <w:sz w:val="20"/>
        </w:rPr>
        <w:t xml:space="preserve"> </w:t>
      </w:r>
      <w:r>
        <w:rPr>
          <w:color w:val="231F20"/>
          <w:sz w:val="20"/>
        </w:rPr>
        <w:t>decision</w:t>
      </w:r>
      <w:r>
        <w:rPr>
          <w:color w:val="231F20"/>
          <w:spacing w:val="-8"/>
          <w:sz w:val="20"/>
        </w:rPr>
        <w:t xml:space="preserve"> </w:t>
      </w:r>
      <w:r>
        <w:rPr>
          <w:color w:val="231F20"/>
          <w:sz w:val="20"/>
        </w:rPr>
        <w:t>to</w:t>
      </w:r>
      <w:r>
        <w:rPr>
          <w:color w:val="231F20"/>
          <w:spacing w:val="-8"/>
          <w:sz w:val="20"/>
        </w:rPr>
        <w:t xml:space="preserve"> </w:t>
      </w:r>
      <w:r>
        <w:rPr>
          <w:color w:val="231F20"/>
          <w:sz w:val="20"/>
        </w:rPr>
        <w:t>substantially</w:t>
      </w:r>
      <w:r>
        <w:rPr>
          <w:color w:val="231F20"/>
          <w:spacing w:val="-8"/>
          <w:sz w:val="20"/>
        </w:rPr>
        <w:t xml:space="preserve"> </w:t>
      </w:r>
      <w:r>
        <w:rPr>
          <w:color w:val="231F20"/>
          <w:sz w:val="20"/>
        </w:rPr>
        <w:t>modify</w:t>
      </w:r>
      <w:r>
        <w:rPr>
          <w:color w:val="231F20"/>
          <w:spacing w:val="-8"/>
          <w:sz w:val="20"/>
        </w:rPr>
        <w:t xml:space="preserve"> </w:t>
      </w:r>
      <w:r>
        <w:rPr>
          <w:color w:val="231F20"/>
          <w:sz w:val="20"/>
        </w:rPr>
        <w:t>or</w:t>
      </w:r>
      <w:r>
        <w:rPr>
          <w:color w:val="231F20"/>
          <w:spacing w:val="-8"/>
          <w:sz w:val="20"/>
        </w:rPr>
        <w:t xml:space="preserve"> </w:t>
      </w:r>
      <w:r>
        <w:rPr>
          <w:color w:val="231F20"/>
          <w:sz w:val="20"/>
        </w:rPr>
        <w:t>discontinue</w:t>
      </w:r>
      <w:r>
        <w:rPr>
          <w:color w:val="231F20"/>
          <w:spacing w:val="-8"/>
          <w:sz w:val="20"/>
        </w:rPr>
        <w:t xml:space="preserve"> </w:t>
      </w:r>
      <w:r>
        <w:rPr>
          <w:color w:val="231F20"/>
          <w:sz w:val="20"/>
        </w:rPr>
        <w:t>charges,</w:t>
      </w:r>
    </w:p>
    <w:p w14:paraId="143FBB6B" w14:textId="77777777" w:rsidR="00894070" w:rsidRDefault="009B7AFD">
      <w:pPr>
        <w:pStyle w:val="BodyText"/>
        <w:spacing w:line="259" w:lineRule="exact"/>
        <w:ind w:left="2141"/>
        <w:rPr>
          <w:sz w:val="11"/>
        </w:rPr>
      </w:pPr>
      <w:r>
        <w:rPr>
          <w:color w:val="231F20"/>
        </w:rPr>
        <w:t>or accept a guilty plea to a lesser charge.</w:t>
      </w:r>
      <w:r>
        <w:rPr>
          <w:color w:val="231F20"/>
          <w:position w:val="7"/>
          <w:sz w:val="11"/>
        </w:rPr>
        <w:t>151</w:t>
      </w:r>
    </w:p>
    <w:p w14:paraId="6C05C352" w14:textId="77777777" w:rsidR="00894070" w:rsidRDefault="009B7AFD">
      <w:pPr>
        <w:pStyle w:val="ListParagraph"/>
        <w:numPr>
          <w:ilvl w:val="0"/>
          <w:numId w:val="47"/>
        </w:numPr>
        <w:tabs>
          <w:tab w:val="left" w:pos="1801"/>
          <w:tab w:val="left" w:pos="1802"/>
        </w:tabs>
        <w:spacing w:before="80" w:line="206" w:lineRule="auto"/>
        <w:ind w:right="1427"/>
        <w:rPr>
          <w:sz w:val="20"/>
        </w:rPr>
      </w:pPr>
      <w:r>
        <w:rPr>
          <w:color w:val="231F20"/>
          <w:sz w:val="20"/>
        </w:rPr>
        <w:t xml:space="preserve">In our </w:t>
      </w:r>
      <w:r>
        <w:rPr>
          <w:color w:val="231F20"/>
          <w:spacing w:val="-3"/>
          <w:sz w:val="20"/>
        </w:rPr>
        <w:t xml:space="preserve">interim </w:t>
      </w:r>
      <w:r>
        <w:rPr>
          <w:color w:val="231F20"/>
          <w:sz w:val="20"/>
        </w:rPr>
        <w:t xml:space="preserve">report, and </w:t>
      </w:r>
      <w:r>
        <w:rPr>
          <w:color w:val="231F20"/>
          <w:spacing w:val="-3"/>
          <w:sz w:val="20"/>
        </w:rPr>
        <w:t xml:space="preserve">Chapter </w:t>
      </w:r>
      <w:r>
        <w:rPr>
          <w:color w:val="231F20"/>
          <w:sz w:val="20"/>
        </w:rPr>
        <w:t xml:space="preserve">6 of this report, </w:t>
      </w:r>
      <w:r>
        <w:rPr>
          <w:color w:val="231F20"/>
          <w:spacing w:val="-3"/>
          <w:sz w:val="20"/>
        </w:rPr>
        <w:t xml:space="preserve">we </w:t>
      </w:r>
      <w:r>
        <w:rPr>
          <w:color w:val="231F20"/>
          <w:sz w:val="20"/>
        </w:rPr>
        <w:t xml:space="preserve">recommend guidance be </w:t>
      </w:r>
      <w:r>
        <w:rPr>
          <w:color w:val="231F20"/>
          <w:spacing w:val="-3"/>
          <w:sz w:val="20"/>
        </w:rPr>
        <w:t>developed</w:t>
      </w:r>
      <w:r>
        <w:rPr>
          <w:color w:val="231F20"/>
          <w:spacing w:val="-8"/>
          <w:sz w:val="20"/>
        </w:rPr>
        <w:t xml:space="preserve"> </w:t>
      </w:r>
      <w:r>
        <w:rPr>
          <w:color w:val="231F20"/>
          <w:sz w:val="20"/>
        </w:rPr>
        <w:t>to</w:t>
      </w:r>
      <w:r>
        <w:rPr>
          <w:color w:val="231F20"/>
          <w:spacing w:val="-8"/>
          <w:sz w:val="20"/>
        </w:rPr>
        <w:t xml:space="preserve"> </w:t>
      </w:r>
      <w:r>
        <w:rPr>
          <w:color w:val="231F20"/>
          <w:sz w:val="20"/>
        </w:rPr>
        <w:t>help</w:t>
      </w:r>
      <w:r>
        <w:rPr>
          <w:color w:val="231F20"/>
          <w:spacing w:val="-7"/>
          <w:sz w:val="20"/>
        </w:rPr>
        <w:t xml:space="preserve"> </w:t>
      </w:r>
      <w:r>
        <w:rPr>
          <w:color w:val="231F20"/>
          <w:sz w:val="20"/>
        </w:rPr>
        <w:t>identify</w:t>
      </w:r>
      <w:r>
        <w:rPr>
          <w:color w:val="231F20"/>
          <w:spacing w:val="-8"/>
          <w:sz w:val="20"/>
        </w:rPr>
        <w:t xml:space="preserve"> </w:t>
      </w:r>
      <w:r>
        <w:rPr>
          <w:color w:val="231F20"/>
          <w:sz w:val="20"/>
        </w:rPr>
        <w:t>stalking</w:t>
      </w:r>
      <w:r>
        <w:rPr>
          <w:color w:val="231F20"/>
          <w:spacing w:val="-7"/>
          <w:sz w:val="20"/>
        </w:rPr>
        <w:t xml:space="preserve"> </w:t>
      </w:r>
      <w:r>
        <w:rPr>
          <w:color w:val="231F20"/>
          <w:sz w:val="20"/>
        </w:rPr>
        <w:t>cases.</w:t>
      </w:r>
      <w:r>
        <w:rPr>
          <w:color w:val="231F20"/>
          <w:spacing w:val="-8"/>
          <w:sz w:val="20"/>
        </w:rPr>
        <w:t xml:space="preserve"> </w:t>
      </w:r>
      <w:r>
        <w:rPr>
          <w:color w:val="231F20"/>
          <w:sz w:val="20"/>
        </w:rPr>
        <w:t>In</w:t>
      </w:r>
      <w:r>
        <w:rPr>
          <w:color w:val="231F20"/>
          <w:spacing w:val="-8"/>
          <w:sz w:val="20"/>
        </w:rPr>
        <w:t xml:space="preserve"> </w:t>
      </w:r>
      <w:r>
        <w:rPr>
          <w:color w:val="231F20"/>
          <w:spacing w:val="-3"/>
          <w:sz w:val="20"/>
        </w:rPr>
        <w:t>Chapter</w:t>
      </w:r>
      <w:r>
        <w:rPr>
          <w:color w:val="231F20"/>
          <w:spacing w:val="-7"/>
          <w:sz w:val="20"/>
        </w:rPr>
        <w:t xml:space="preserve"> </w:t>
      </w:r>
      <w:r>
        <w:rPr>
          <w:color w:val="231F20"/>
          <w:sz w:val="20"/>
        </w:rPr>
        <w:t>8</w:t>
      </w:r>
      <w:r>
        <w:rPr>
          <w:color w:val="231F20"/>
          <w:spacing w:val="-8"/>
          <w:sz w:val="20"/>
        </w:rPr>
        <w:t xml:space="preserve"> </w:t>
      </w:r>
      <w:r>
        <w:rPr>
          <w:color w:val="231F20"/>
          <w:spacing w:val="-3"/>
          <w:sz w:val="20"/>
        </w:rPr>
        <w:t>we</w:t>
      </w:r>
      <w:r>
        <w:rPr>
          <w:color w:val="231F20"/>
          <w:spacing w:val="-7"/>
          <w:sz w:val="20"/>
        </w:rPr>
        <w:t xml:space="preserve"> </w:t>
      </w:r>
      <w:r>
        <w:rPr>
          <w:color w:val="231F20"/>
          <w:sz w:val="20"/>
        </w:rPr>
        <w:t>recommend</w:t>
      </w:r>
      <w:r>
        <w:rPr>
          <w:color w:val="231F20"/>
          <w:spacing w:val="-8"/>
          <w:sz w:val="20"/>
        </w:rPr>
        <w:t xml:space="preserve"> </w:t>
      </w:r>
      <w:r>
        <w:rPr>
          <w:color w:val="231F20"/>
          <w:sz w:val="20"/>
        </w:rPr>
        <w:t>the</w:t>
      </w:r>
      <w:r>
        <w:rPr>
          <w:color w:val="231F20"/>
          <w:spacing w:val="-8"/>
          <w:sz w:val="20"/>
        </w:rPr>
        <w:t xml:space="preserve"> </w:t>
      </w:r>
      <w:r>
        <w:rPr>
          <w:color w:val="231F20"/>
          <w:sz w:val="20"/>
        </w:rPr>
        <w:t>response to</w:t>
      </w:r>
      <w:r>
        <w:rPr>
          <w:color w:val="231F20"/>
          <w:spacing w:val="-11"/>
          <w:sz w:val="20"/>
        </w:rPr>
        <w:t xml:space="preserve"> </w:t>
      </w:r>
      <w:r>
        <w:rPr>
          <w:color w:val="231F20"/>
          <w:sz w:val="20"/>
        </w:rPr>
        <w:t>stalking</w:t>
      </w:r>
      <w:r>
        <w:rPr>
          <w:color w:val="231F20"/>
          <w:spacing w:val="-11"/>
          <w:sz w:val="20"/>
        </w:rPr>
        <w:t xml:space="preserve"> </w:t>
      </w:r>
      <w:r>
        <w:rPr>
          <w:color w:val="231F20"/>
          <w:spacing w:val="-3"/>
          <w:sz w:val="20"/>
        </w:rPr>
        <w:t>focus</w:t>
      </w:r>
      <w:r>
        <w:rPr>
          <w:color w:val="231F20"/>
          <w:spacing w:val="-11"/>
          <w:sz w:val="20"/>
        </w:rPr>
        <w:t xml:space="preserve"> </w:t>
      </w:r>
      <w:r>
        <w:rPr>
          <w:color w:val="231F20"/>
          <w:sz w:val="20"/>
        </w:rPr>
        <w:t>on</w:t>
      </w:r>
      <w:r>
        <w:rPr>
          <w:color w:val="231F20"/>
          <w:spacing w:val="-11"/>
          <w:sz w:val="20"/>
        </w:rPr>
        <w:t xml:space="preserve"> </w:t>
      </w:r>
      <w:r>
        <w:rPr>
          <w:color w:val="231F20"/>
          <w:spacing w:val="-3"/>
          <w:sz w:val="20"/>
        </w:rPr>
        <w:t>early</w:t>
      </w:r>
      <w:r>
        <w:rPr>
          <w:color w:val="231F20"/>
          <w:spacing w:val="-11"/>
          <w:sz w:val="20"/>
        </w:rPr>
        <w:t xml:space="preserve"> </w:t>
      </w:r>
      <w:r>
        <w:rPr>
          <w:color w:val="231F20"/>
          <w:sz w:val="20"/>
        </w:rPr>
        <w:t>intervention.</w:t>
      </w:r>
      <w:r>
        <w:rPr>
          <w:color w:val="231F20"/>
          <w:spacing w:val="-10"/>
          <w:sz w:val="20"/>
        </w:rPr>
        <w:t xml:space="preserve"> </w:t>
      </w:r>
      <w:r>
        <w:rPr>
          <w:color w:val="231F20"/>
          <w:sz w:val="20"/>
        </w:rPr>
        <w:t>These</w:t>
      </w:r>
      <w:r>
        <w:rPr>
          <w:color w:val="231F20"/>
          <w:spacing w:val="-11"/>
          <w:sz w:val="20"/>
        </w:rPr>
        <w:t xml:space="preserve"> </w:t>
      </w:r>
      <w:r>
        <w:rPr>
          <w:color w:val="231F20"/>
          <w:sz w:val="20"/>
        </w:rPr>
        <w:t>recommendations</w:t>
      </w:r>
      <w:r>
        <w:rPr>
          <w:color w:val="231F20"/>
          <w:spacing w:val="-11"/>
          <w:sz w:val="20"/>
        </w:rPr>
        <w:t xml:space="preserve"> </w:t>
      </w:r>
      <w:r>
        <w:rPr>
          <w:color w:val="231F20"/>
          <w:sz w:val="20"/>
        </w:rPr>
        <w:t>could</w:t>
      </w:r>
      <w:r>
        <w:rPr>
          <w:color w:val="231F20"/>
          <w:spacing w:val="-11"/>
          <w:sz w:val="20"/>
        </w:rPr>
        <w:t xml:space="preserve"> </w:t>
      </w:r>
      <w:r>
        <w:rPr>
          <w:color w:val="231F20"/>
          <w:sz w:val="20"/>
        </w:rPr>
        <w:t>support</w:t>
      </w:r>
      <w:r>
        <w:rPr>
          <w:color w:val="231F20"/>
          <w:spacing w:val="-11"/>
          <w:sz w:val="20"/>
        </w:rPr>
        <w:t xml:space="preserve"> </w:t>
      </w:r>
      <w:r>
        <w:rPr>
          <w:color w:val="231F20"/>
          <w:sz w:val="20"/>
        </w:rPr>
        <w:t xml:space="preserve">more targeted and </w:t>
      </w:r>
      <w:r>
        <w:rPr>
          <w:color w:val="231F20"/>
          <w:spacing w:val="-3"/>
          <w:sz w:val="20"/>
        </w:rPr>
        <w:t xml:space="preserve">effective </w:t>
      </w:r>
      <w:r>
        <w:rPr>
          <w:color w:val="231F20"/>
          <w:sz w:val="20"/>
        </w:rPr>
        <w:t>responses to</w:t>
      </w:r>
      <w:r>
        <w:rPr>
          <w:color w:val="231F20"/>
          <w:spacing w:val="-21"/>
          <w:sz w:val="20"/>
        </w:rPr>
        <w:t xml:space="preserve"> </w:t>
      </w:r>
      <w:r>
        <w:rPr>
          <w:color w:val="231F20"/>
          <w:sz w:val="20"/>
        </w:rPr>
        <w:t>breaches.</w:t>
      </w:r>
    </w:p>
    <w:p w14:paraId="34231D9F" w14:textId="77777777" w:rsidR="00894070" w:rsidRDefault="009F6793">
      <w:pPr>
        <w:pStyle w:val="BodyText"/>
        <w:spacing w:before="7"/>
        <w:rPr>
          <w:sz w:val="19"/>
        </w:rPr>
      </w:pPr>
      <w:r>
        <w:pict w14:anchorId="437DDC24">
          <v:group id="_x0000_s1151" style="position:absolute;margin-left:62.35pt;margin-top:15.5pt;width:479.1pt;height:217.15pt;z-index:251749376;mso-wrap-distance-left:0;mso-wrap-distance-right:0;mso-position-horizontal-relative:page" coordorigin="1247,310" coordsize="9582,4343">
            <v:rect id="_x0000_s1161" style="position:absolute;left:1587;top:310;width:8731;height:4343" fillcolor="#fee7de" stroked="f"/>
            <v:line id="_x0000_s1160" style="position:absolute" from="1247,1118" to="10828,1118" strokecolor="white" strokeweight="2.5pt"/>
            <v:shape id="_x0000_s1159" type="#_x0000_t202" style="position:absolute;left:2947;top:1343;width:7065;height:3130" filled="f" stroked="f">
              <v:textbox inset="0,0,0,0">
                <w:txbxContent>
                  <w:p w14:paraId="5BF0E9F6" w14:textId="77777777" w:rsidR="00894070" w:rsidRDefault="009B7AFD">
                    <w:pPr>
                      <w:spacing w:line="247" w:lineRule="auto"/>
                      <w:ind w:right="54"/>
                      <w:rPr>
                        <w:rFonts w:ascii="Trebuchet MS"/>
                        <w:sz w:val="20"/>
                      </w:rPr>
                    </w:pPr>
                    <w:r>
                      <w:rPr>
                        <w:rFonts w:ascii="Trebuchet MS"/>
                        <w:color w:val="231F20"/>
                        <w:w w:val="105"/>
                        <w:sz w:val="20"/>
                      </w:rPr>
                      <w:t>Victoria</w:t>
                    </w:r>
                    <w:r>
                      <w:rPr>
                        <w:rFonts w:ascii="Trebuchet MS"/>
                        <w:color w:val="231F20"/>
                        <w:spacing w:val="-28"/>
                        <w:w w:val="105"/>
                        <w:sz w:val="20"/>
                      </w:rPr>
                      <w:t xml:space="preserve"> </w:t>
                    </w:r>
                    <w:r>
                      <w:rPr>
                        <w:rFonts w:ascii="Trebuchet MS"/>
                        <w:color w:val="231F20"/>
                        <w:w w:val="105"/>
                        <w:sz w:val="20"/>
                      </w:rPr>
                      <w:t>Police</w:t>
                    </w:r>
                    <w:r>
                      <w:rPr>
                        <w:rFonts w:ascii="Trebuchet MS"/>
                        <w:color w:val="231F20"/>
                        <w:spacing w:val="-27"/>
                        <w:w w:val="105"/>
                        <w:sz w:val="20"/>
                      </w:rPr>
                      <w:t xml:space="preserve"> </w:t>
                    </w:r>
                    <w:r>
                      <w:rPr>
                        <w:rFonts w:ascii="Trebuchet MS"/>
                        <w:color w:val="231F20"/>
                        <w:w w:val="105"/>
                        <w:sz w:val="20"/>
                      </w:rPr>
                      <w:t>should</w:t>
                    </w:r>
                    <w:r>
                      <w:rPr>
                        <w:rFonts w:ascii="Trebuchet MS"/>
                        <w:color w:val="231F20"/>
                        <w:spacing w:val="-27"/>
                        <w:w w:val="105"/>
                        <w:sz w:val="20"/>
                      </w:rPr>
                      <w:t xml:space="preserve"> </w:t>
                    </w:r>
                    <w:r>
                      <w:rPr>
                        <w:rFonts w:ascii="Trebuchet MS"/>
                        <w:color w:val="231F20"/>
                        <w:spacing w:val="-3"/>
                        <w:w w:val="105"/>
                        <w:sz w:val="20"/>
                      </w:rPr>
                      <w:t>review</w:t>
                    </w:r>
                    <w:r>
                      <w:rPr>
                        <w:rFonts w:ascii="Trebuchet MS"/>
                        <w:color w:val="231F20"/>
                        <w:spacing w:val="-27"/>
                        <w:w w:val="105"/>
                        <w:sz w:val="20"/>
                      </w:rPr>
                      <w:t xml:space="preserve"> </w:t>
                    </w:r>
                    <w:r>
                      <w:rPr>
                        <w:rFonts w:ascii="Trebuchet MS"/>
                        <w:color w:val="231F20"/>
                        <w:w w:val="105"/>
                        <w:sz w:val="20"/>
                      </w:rPr>
                      <w:t>its</w:t>
                    </w:r>
                    <w:r>
                      <w:rPr>
                        <w:rFonts w:ascii="Trebuchet MS"/>
                        <w:color w:val="231F20"/>
                        <w:spacing w:val="-28"/>
                        <w:w w:val="105"/>
                        <w:sz w:val="20"/>
                      </w:rPr>
                      <w:t xml:space="preserve"> </w:t>
                    </w:r>
                    <w:r>
                      <w:rPr>
                        <w:rFonts w:ascii="Trebuchet MS"/>
                        <w:color w:val="231F20"/>
                        <w:w w:val="105"/>
                        <w:sz w:val="20"/>
                      </w:rPr>
                      <w:t>operational</w:t>
                    </w:r>
                    <w:r>
                      <w:rPr>
                        <w:rFonts w:ascii="Trebuchet MS"/>
                        <w:color w:val="231F20"/>
                        <w:spacing w:val="-27"/>
                        <w:w w:val="105"/>
                        <w:sz w:val="20"/>
                      </w:rPr>
                      <w:t xml:space="preserve"> </w:t>
                    </w:r>
                    <w:r>
                      <w:rPr>
                        <w:rFonts w:ascii="Trebuchet MS"/>
                        <w:color w:val="231F20"/>
                        <w:w w:val="105"/>
                        <w:sz w:val="20"/>
                      </w:rPr>
                      <w:t>policy</w:t>
                    </w:r>
                    <w:r>
                      <w:rPr>
                        <w:rFonts w:ascii="Trebuchet MS"/>
                        <w:color w:val="231F20"/>
                        <w:spacing w:val="-27"/>
                        <w:w w:val="105"/>
                        <w:sz w:val="20"/>
                      </w:rPr>
                      <w:t xml:space="preserve"> </w:t>
                    </w:r>
                    <w:r>
                      <w:rPr>
                        <w:rFonts w:ascii="Trebuchet MS"/>
                        <w:color w:val="231F20"/>
                        <w:w w:val="105"/>
                        <w:sz w:val="20"/>
                      </w:rPr>
                      <w:t>and</w:t>
                    </w:r>
                    <w:r>
                      <w:rPr>
                        <w:rFonts w:ascii="Trebuchet MS"/>
                        <w:color w:val="231F20"/>
                        <w:spacing w:val="-27"/>
                        <w:w w:val="105"/>
                        <w:sz w:val="20"/>
                      </w:rPr>
                      <w:t xml:space="preserve"> </w:t>
                    </w:r>
                    <w:r>
                      <w:rPr>
                        <w:rFonts w:ascii="Trebuchet MS"/>
                        <w:color w:val="231F20"/>
                        <w:w w:val="105"/>
                        <w:sz w:val="20"/>
                      </w:rPr>
                      <w:t>practice</w:t>
                    </w:r>
                    <w:r>
                      <w:rPr>
                        <w:rFonts w:ascii="Trebuchet MS"/>
                        <w:color w:val="231F20"/>
                        <w:spacing w:val="-27"/>
                        <w:w w:val="105"/>
                        <w:sz w:val="20"/>
                      </w:rPr>
                      <w:t xml:space="preserve"> </w:t>
                    </w:r>
                    <w:r>
                      <w:rPr>
                        <w:rFonts w:ascii="Trebuchet MS"/>
                        <w:color w:val="231F20"/>
                        <w:w w:val="105"/>
                        <w:sz w:val="20"/>
                      </w:rPr>
                      <w:t>material</w:t>
                    </w:r>
                    <w:r>
                      <w:rPr>
                        <w:rFonts w:ascii="Trebuchet MS"/>
                        <w:color w:val="231F20"/>
                        <w:spacing w:val="-28"/>
                        <w:w w:val="105"/>
                        <w:sz w:val="20"/>
                      </w:rPr>
                      <w:t xml:space="preserve"> </w:t>
                    </w:r>
                    <w:r>
                      <w:rPr>
                        <w:rFonts w:ascii="Trebuchet MS"/>
                        <w:color w:val="231F20"/>
                        <w:w w:val="105"/>
                        <w:sz w:val="20"/>
                      </w:rPr>
                      <w:t xml:space="preserve">to </w:t>
                    </w:r>
                    <w:r>
                      <w:rPr>
                        <w:rFonts w:ascii="Trebuchet MS"/>
                        <w:color w:val="231F20"/>
                        <w:spacing w:val="-3"/>
                        <w:w w:val="105"/>
                        <w:sz w:val="20"/>
                      </w:rPr>
                      <w:t xml:space="preserve">develop </w:t>
                    </w:r>
                    <w:r>
                      <w:rPr>
                        <w:rFonts w:ascii="Trebuchet MS"/>
                        <w:color w:val="231F20"/>
                        <w:w w:val="105"/>
                        <w:sz w:val="20"/>
                      </w:rPr>
                      <w:t xml:space="preserve">clear guidance for police members to </w:t>
                    </w:r>
                    <w:r>
                      <w:rPr>
                        <w:rFonts w:ascii="Trebuchet MS"/>
                        <w:color w:val="231F20"/>
                        <w:spacing w:val="-3"/>
                        <w:w w:val="105"/>
                        <w:sz w:val="20"/>
                      </w:rPr>
                      <w:t xml:space="preserve">follow </w:t>
                    </w:r>
                    <w:r>
                      <w:rPr>
                        <w:rFonts w:ascii="Trebuchet MS"/>
                        <w:color w:val="231F20"/>
                        <w:w w:val="105"/>
                        <w:sz w:val="20"/>
                      </w:rPr>
                      <w:t>when responding to alleged</w:t>
                    </w:r>
                    <w:r>
                      <w:rPr>
                        <w:rFonts w:ascii="Trebuchet MS"/>
                        <w:color w:val="231F20"/>
                        <w:spacing w:val="-28"/>
                        <w:w w:val="105"/>
                        <w:sz w:val="20"/>
                      </w:rPr>
                      <w:t xml:space="preserve"> </w:t>
                    </w:r>
                    <w:r>
                      <w:rPr>
                        <w:rFonts w:ascii="Trebuchet MS"/>
                        <w:color w:val="231F20"/>
                        <w:w w:val="105"/>
                        <w:sz w:val="20"/>
                      </w:rPr>
                      <w:t>breaches</w:t>
                    </w:r>
                    <w:r>
                      <w:rPr>
                        <w:rFonts w:ascii="Trebuchet MS"/>
                        <w:color w:val="231F20"/>
                        <w:spacing w:val="-27"/>
                        <w:w w:val="105"/>
                        <w:sz w:val="20"/>
                      </w:rPr>
                      <w:t xml:space="preserve"> </w:t>
                    </w:r>
                    <w:r>
                      <w:rPr>
                        <w:rFonts w:ascii="Trebuchet MS"/>
                        <w:color w:val="231F20"/>
                        <w:w w:val="105"/>
                        <w:sz w:val="20"/>
                      </w:rPr>
                      <w:t>of</w:t>
                    </w:r>
                    <w:r>
                      <w:rPr>
                        <w:rFonts w:ascii="Trebuchet MS"/>
                        <w:color w:val="231F20"/>
                        <w:spacing w:val="-27"/>
                        <w:w w:val="105"/>
                        <w:sz w:val="20"/>
                      </w:rPr>
                      <w:t xml:space="preserve"> </w:t>
                    </w:r>
                    <w:r>
                      <w:rPr>
                        <w:rFonts w:ascii="Trebuchet MS"/>
                        <w:color w:val="231F20"/>
                        <w:w w:val="105"/>
                        <w:sz w:val="20"/>
                      </w:rPr>
                      <w:t>personal</w:t>
                    </w:r>
                    <w:r>
                      <w:rPr>
                        <w:rFonts w:ascii="Trebuchet MS"/>
                        <w:color w:val="231F20"/>
                        <w:spacing w:val="-27"/>
                        <w:w w:val="105"/>
                        <w:sz w:val="20"/>
                      </w:rPr>
                      <w:t xml:space="preserve"> </w:t>
                    </w:r>
                    <w:r>
                      <w:rPr>
                        <w:rFonts w:ascii="Trebuchet MS"/>
                        <w:color w:val="231F20"/>
                        <w:w w:val="105"/>
                        <w:sz w:val="20"/>
                      </w:rPr>
                      <w:t>safety</w:t>
                    </w:r>
                    <w:r>
                      <w:rPr>
                        <w:rFonts w:ascii="Trebuchet MS"/>
                        <w:color w:val="231F20"/>
                        <w:spacing w:val="-27"/>
                        <w:w w:val="105"/>
                        <w:sz w:val="20"/>
                      </w:rPr>
                      <w:t xml:space="preserve"> </w:t>
                    </w:r>
                    <w:r>
                      <w:rPr>
                        <w:rFonts w:ascii="Trebuchet MS"/>
                        <w:color w:val="231F20"/>
                        <w:w w:val="105"/>
                        <w:sz w:val="20"/>
                      </w:rPr>
                      <w:t>intervention</w:t>
                    </w:r>
                    <w:r>
                      <w:rPr>
                        <w:rFonts w:ascii="Trebuchet MS"/>
                        <w:color w:val="231F20"/>
                        <w:spacing w:val="-27"/>
                        <w:w w:val="105"/>
                        <w:sz w:val="20"/>
                      </w:rPr>
                      <w:t xml:space="preserve"> </w:t>
                    </w:r>
                    <w:r>
                      <w:rPr>
                        <w:rFonts w:ascii="Trebuchet MS"/>
                        <w:color w:val="231F20"/>
                        <w:w w:val="105"/>
                        <w:sz w:val="20"/>
                      </w:rPr>
                      <w:t>orders</w:t>
                    </w:r>
                    <w:r>
                      <w:rPr>
                        <w:rFonts w:ascii="Trebuchet MS"/>
                        <w:color w:val="231F20"/>
                        <w:spacing w:val="-27"/>
                        <w:w w:val="105"/>
                        <w:sz w:val="20"/>
                      </w:rPr>
                      <w:t xml:space="preserve"> </w:t>
                    </w:r>
                    <w:r>
                      <w:rPr>
                        <w:rFonts w:ascii="Trebuchet MS"/>
                        <w:color w:val="231F20"/>
                        <w:w w:val="105"/>
                        <w:sz w:val="20"/>
                      </w:rPr>
                      <w:t>in</w:t>
                    </w:r>
                    <w:r>
                      <w:rPr>
                        <w:rFonts w:ascii="Trebuchet MS"/>
                        <w:color w:val="231F20"/>
                        <w:spacing w:val="-27"/>
                        <w:w w:val="105"/>
                        <w:sz w:val="20"/>
                      </w:rPr>
                      <w:t xml:space="preserve"> </w:t>
                    </w:r>
                    <w:r>
                      <w:rPr>
                        <w:rFonts w:ascii="Trebuchet MS"/>
                        <w:color w:val="231F20"/>
                        <w:w w:val="105"/>
                        <w:sz w:val="20"/>
                      </w:rPr>
                      <w:t>relation</w:t>
                    </w:r>
                    <w:r>
                      <w:rPr>
                        <w:rFonts w:ascii="Trebuchet MS"/>
                        <w:color w:val="231F20"/>
                        <w:spacing w:val="-28"/>
                        <w:w w:val="105"/>
                        <w:sz w:val="20"/>
                      </w:rPr>
                      <w:t xml:space="preserve"> </w:t>
                    </w:r>
                    <w:r>
                      <w:rPr>
                        <w:rFonts w:ascii="Trebuchet MS"/>
                        <w:color w:val="231F20"/>
                        <w:w w:val="105"/>
                        <w:sz w:val="20"/>
                      </w:rPr>
                      <w:t>to</w:t>
                    </w:r>
                    <w:r>
                      <w:rPr>
                        <w:rFonts w:ascii="Trebuchet MS"/>
                        <w:color w:val="231F20"/>
                        <w:spacing w:val="-27"/>
                        <w:w w:val="105"/>
                        <w:sz w:val="20"/>
                      </w:rPr>
                      <w:t xml:space="preserve"> </w:t>
                    </w:r>
                    <w:r>
                      <w:rPr>
                        <w:rFonts w:ascii="Trebuchet MS"/>
                        <w:color w:val="231F20"/>
                        <w:w w:val="105"/>
                        <w:sz w:val="20"/>
                      </w:rPr>
                      <w:t xml:space="preserve">victim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3"/>
                        <w:w w:val="93"/>
                        <w:sz w:val="20"/>
                      </w:rPr>
                      <w:t>r</w:t>
                    </w:r>
                    <w:r>
                      <w:rPr>
                        <w:rFonts w:ascii="Trebuchet MS"/>
                        <w:color w:val="231F20"/>
                        <w:spacing w:val="-2"/>
                        <w:w w:val="109"/>
                        <w:sz w:val="20"/>
                      </w:rPr>
                      <w:t>v</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11"/>
                        <w:sz w:val="20"/>
                      </w:rPr>
                      <w:t>o</w:t>
                    </w:r>
                    <w:r>
                      <w:rPr>
                        <w:rFonts w:ascii="Trebuchet MS"/>
                        <w:color w:val="231F20"/>
                        <w:spacing w:val="-1"/>
                        <w:w w:val="93"/>
                        <w:sz w:val="20"/>
                      </w:rPr>
                      <w:t>r</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p w14:paraId="444C698B" w14:textId="77777777" w:rsidR="00894070" w:rsidRDefault="009B7AFD">
                    <w:pPr>
                      <w:spacing w:before="88" w:line="247" w:lineRule="auto"/>
                      <w:ind w:right="54" w:hanging="1"/>
                      <w:rPr>
                        <w:rFonts w:ascii="Trebuchet MS"/>
                        <w:sz w:val="20"/>
                      </w:rPr>
                    </w:pPr>
                    <w:r>
                      <w:rPr>
                        <w:rFonts w:ascii="Trebuchet MS"/>
                        <w:color w:val="231F20"/>
                        <w:w w:val="105"/>
                        <w:sz w:val="20"/>
                      </w:rPr>
                      <w:t>Victoria</w:t>
                    </w:r>
                    <w:r>
                      <w:rPr>
                        <w:rFonts w:ascii="Trebuchet MS"/>
                        <w:color w:val="231F20"/>
                        <w:spacing w:val="-15"/>
                        <w:w w:val="105"/>
                        <w:sz w:val="20"/>
                      </w:rPr>
                      <w:t xml:space="preserve"> </w:t>
                    </w:r>
                    <w:r>
                      <w:rPr>
                        <w:rFonts w:ascii="Trebuchet MS"/>
                        <w:color w:val="231F20"/>
                        <w:w w:val="105"/>
                        <w:sz w:val="20"/>
                      </w:rPr>
                      <w:t>Police</w:t>
                    </w:r>
                    <w:r>
                      <w:rPr>
                        <w:rFonts w:ascii="Trebuchet MS"/>
                        <w:color w:val="231F20"/>
                        <w:spacing w:val="-15"/>
                        <w:w w:val="105"/>
                        <w:sz w:val="20"/>
                      </w:rPr>
                      <w:t xml:space="preserve"> </w:t>
                    </w:r>
                    <w:r>
                      <w:rPr>
                        <w:rFonts w:ascii="Trebuchet MS"/>
                        <w:color w:val="231F20"/>
                        <w:w w:val="105"/>
                        <w:sz w:val="20"/>
                      </w:rPr>
                      <w:t>should</w:t>
                    </w:r>
                    <w:r>
                      <w:rPr>
                        <w:rFonts w:ascii="Trebuchet MS"/>
                        <w:color w:val="231F20"/>
                        <w:spacing w:val="-14"/>
                        <w:w w:val="105"/>
                        <w:sz w:val="20"/>
                      </w:rPr>
                      <w:t xml:space="preserve"> </w:t>
                    </w:r>
                    <w:r>
                      <w:rPr>
                        <w:rFonts w:ascii="Trebuchet MS"/>
                        <w:color w:val="231F20"/>
                        <w:w w:val="105"/>
                        <w:sz w:val="20"/>
                      </w:rPr>
                      <w:t>ensure</w:t>
                    </w:r>
                    <w:r>
                      <w:rPr>
                        <w:rFonts w:ascii="Trebuchet MS"/>
                        <w:color w:val="231F20"/>
                        <w:spacing w:val="-15"/>
                        <w:w w:val="105"/>
                        <w:sz w:val="20"/>
                      </w:rPr>
                      <w:t xml:space="preserve"> </w:t>
                    </w:r>
                    <w:r>
                      <w:rPr>
                        <w:rFonts w:ascii="Trebuchet MS"/>
                        <w:color w:val="231F20"/>
                        <w:w w:val="105"/>
                        <w:sz w:val="20"/>
                      </w:rPr>
                      <w:t>that</w:t>
                    </w:r>
                    <w:r>
                      <w:rPr>
                        <w:rFonts w:ascii="Trebuchet MS"/>
                        <w:color w:val="231F20"/>
                        <w:spacing w:val="-15"/>
                        <w:w w:val="105"/>
                        <w:sz w:val="20"/>
                      </w:rPr>
                      <w:t xml:space="preserve"> </w:t>
                    </w:r>
                    <w:r>
                      <w:rPr>
                        <w:rFonts w:ascii="Trebuchet MS"/>
                        <w:color w:val="231F20"/>
                        <w:w w:val="105"/>
                        <w:sz w:val="20"/>
                      </w:rPr>
                      <w:t>responses</w:t>
                    </w:r>
                    <w:r>
                      <w:rPr>
                        <w:rFonts w:ascii="Trebuchet MS"/>
                        <w:color w:val="231F20"/>
                        <w:spacing w:val="-14"/>
                        <w:w w:val="105"/>
                        <w:sz w:val="20"/>
                      </w:rPr>
                      <w:t xml:space="preserve"> </w:t>
                    </w:r>
                    <w:r>
                      <w:rPr>
                        <w:rFonts w:ascii="Trebuchet MS"/>
                        <w:color w:val="231F20"/>
                        <w:w w:val="105"/>
                        <w:sz w:val="20"/>
                      </w:rPr>
                      <w:t>to</w:t>
                    </w:r>
                    <w:r>
                      <w:rPr>
                        <w:rFonts w:ascii="Trebuchet MS"/>
                        <w:color w:val="231F20"/>
                        <w:spacing w:val="-15"/>
                        <w:w w:val="105"/>
                        <w:sz w:val="20"/>
                      </w:rPr>
                      <w:t xml:space="preserve"> </w:t>
                    </w:r>
                    <w:r>
                      <w:rPr>
                        <w:rFonts w:ascii="Trebuchet MS"/>
                        <w:color w:val="231F20"/>
                        <w:w w:val="105"/>
                        <w:sz w:val="20"/>
                      </w:rPr>
                      <w:t>alleged</w:t>
                    </w:r>
                    <w:r>
                      <w:rPr>
                        <w:rFonts w:ascii="Trebuchet MS"/>
                        <w:color w:val="231F20"/>
                        <w:spacing w:val="-14"/>
                        <w:w w:val="105"/>
                        <w:sz w:val="20"/>
                      </w:rPr>
                      <w:t xml:space="preserve"> </w:t>
                    </w:r>
                    <w:r>
                      <w:rPr>
                        <w:rFonts w:ascii="Trebuchet MS"/>
                        <w:color w:val="231F20"/>
                        <w:w w:val="105"/>
                        <w:sz w:val="20"/>
                      </w:rPr>
                      <w:t>breaches</w:t>
                    </w:r>
                    <w:r>
                      <w:rPr>
                        <w:rFonts w:ascii="Trebuchet MS"/>
                        <w:color w:val="231F20"/>
                        <w:spacing w:val="-15"/>
                        <w:w w:val="105"/>
                        <w:sz w:val="20"/>
                      </w:rPr>
                      <w:t xml:space="preserve"> </w:t>
                    </w:r>
                    <w:r>
                      <w:rPr>
                        <w:rFonts w:ascii="Trebuchet MS"/>
                        <w:color w:val="231F20"/>
                        <w:spacing w:val="-2"/>
                        <w:w w:val="105"/>
                        <w:sz w:val="20"/>
                      </w:rPr>
                      <w:t>are</w:t>
                    </w:r>
                    <w:r>
                      <w:rPr>
                        <w:rFonts w:ascii="Trebuchet MS"/>
                        <w:color w:val="231F20"/>
                        <w:spacing w:val="-15"/>
                        <w:w w:val="105"/>
                        <w:sz w:val="20"/>
                      </w:rPr>
                      <w:t xml:space="preserve"> </w:t>
                    </w:r>
                    <w:r>
                      <w:rPr>
                        <w:rFonts w:ascii="Trebuchet MS"/>
                        <w:color w:val="231F20"/>
                        <w:spacing w:val="-3"/>
                        <w:w w:val="105"/>
                        <w:sz w:val="20"/>
                      </w:rPr>
                      <w:t xml:space="preserve">timely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w w:val="111"/>
                        <w:sz w:val="20"/>
                      </w:rPr>
                      <w:t>c</w:t>
                    </w:r>
                    <w:r>
                      <w:rPr>
                        <w:rFonts w:ascii="Trebuchet MS"/>
                        <w:color w:val="231F20"/>
                        <w:spacing w:val="-1"/>
                        <w:w w:val="105"/>
                        <w:sz w:val="20"/>
                      </w:rPr>
                      <w:t>a</w:t>
                    </w:r>
                    <w:r>
                      <w:rPr>
                        <w:rFonts w:ascii="Trebuchet MS"/>
                        <w:color w:val="231F20"/>
                        <w:spacing w:val="-1"/>
                        <w:w w:val="111"/>
                        <w:sz w:val="20"/>
                      </w:rPr>
                      <w:t>p</w:t>
                    </w:r>
                    <w:r>
                      <w:rPr>
                        <w:rFonts w:ascii="Trebuchet MS"/>
                        <w:color w:val="231F20"/>
                        <w:spacing w:val="-2"/>
                        <w:w w:val="105"/>
                        <w:sz w:val="20"/>
                      </w:rPr>
                      <w:t>a</w:t>
                    </w:r>
                    <w:r>
                      <w:rPr>
                        <w:rFonts w:ascii="Trebuchet MS"/>
                        <w:color w:val="231F20"/>
                        <w:spacing w:val="-2"/>
                        <w:w w:val="111"/>
                        <w:sz w:val="20"/>
                      </w:rPr>
                      <w:t>b</w:t>
                    </w:r>
                    <w:r>
                      <w:rPr>
                        <w:rFonts w:ascii="Trebuchet MS"/>
                        <w:color w:val="231F20"/>
                        <w:spacing w:val="-3"/>
                        <w:w w:val="96"/>
                        <w:sz w:val="20"/>
                      </w:rPr>
                      <w:t>l</w:t>
                    </w:r>
                    <w:r>
                      <w:rPr>
                        <w:rFonts w:ascii="Trebuchet MS"/>
                        <w:color w:val="231F20"/>
                        <w:w w:val="108"/>
                        <w:sz w:val="20"/>
                      </w:rPr>
                      <w:t>e</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11"/>
                        <w:sz w:val="20"/>
                      </w:rPr>
                      <w:t>m</w:t>
                    </w:r>
                    <w:r>
                      <w:rPr>
                        <w:rFonts w:ascii="Trebuchet MS"/>
                        <w:color w:val="231F20"/>
                        <w:w w:val="108"/>
                        <w:sz w:val="20"/>
                      </w:rPr>
                      <w:t>e</w:t>
                    </w:r>
                    <w:r>
                      <w:rPr>
                        <w:rFonts w:ascii="Trebuchet MS"/>
                        <w:color w:val="231F20"/>
                        <w:spacing w:val="-3"/>
                        <w:w w:val="108"/>
                        <w:sz w:val="20"/>
                      </w:rPr>
                      <w:t>e</w:t>
                    </w:r>
                    <w:r>
                      <w:rPr>
                        <w:rFonts w:ascii="Trebuchet MS"/>
                        <w:color w:val="231F20"/>
                        <w:spacing w:val="-2"/>
                        <w:w w:val="88"/>
                        <w:sz w:val="20"/>
                      </w:rPr>
                      <w:t>t</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1"/>
                        <w:w w:val="107"/>
                        <w:sz w:val="20"/>
                      </w:rPr>
                      <w:t>n</w:t>
                    </w:r>
                    <w:r>
                      <w:rPr>
                        <w:rFonts w:ascii="Trebuchet MS"/>
                        <w:color w:val="231F20"/>
                        <w:w w:val="108"/>
                        <w:sz w:val="20"/>
                      </w:rPr>
                      <w:t>ee</w:t>
                    </w:r>
                    <w:r>
                      <w:rPr>
                        <w:rFonts w:ascii="Trebuchet MS"/>
                        <w:color w:val="231F20"/>
                        <w:spacing w:val="-1"/>
                        <w:w w:val="112"/>
                        <w:sz w:val="20"/>
                      </w:rPr>
                      <w:t>d</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2"/>
                        <w:w w:val="88"/>
                        <w:sz w:val="20"/>
                      </w:rPr>
                      <w:t>t</w:t>
                    </w:r>
                    <w:r>
                      <w:rPr>
                        <w:rFonts w:ascii="Trebuchet MS"/>
                        <w:color w:val="231F20"/>
                        <w:spacing w:val="-2"/>
                        <w:w w:val="80"/>
                        <w:sz w:val="20"/>
                      </w:rPr>
                      <w:t>i</w:t>
                    </w:r>
                    <w:r>
                      <w:rPr>
                        <w:rFonts w:ascii="Trebuchet MS"/>
                        <w:color w:val="231F20"/>
                        <w:w w:val="111"/>
                        <w:sz w:val="20"/>
                      </w:rPr>
                      <w:t>m</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9"/>
                        <w:sz w:val="20"/>
                      </w:rPr>
                      <w:t>u</w:t>
                    </w:r>
                    <w:r>
                      <w:rPr>
                        <w:rFonts w:ascii="Trebuchet MS"/>
                        <w:color w:val="231F20"/>
                        <w:spacing w:val="3"/>
                        <w:w w:val="93"/>
                        <w:sz w:val="20"/>
                      </w:rPr>
                      <w:t>r</w:t>
                    </w:r>
                    <w:r>
                      <w:rPr>
                        <w:rFonts w:ascii="Trebuchet MS"/>
                        <w:color w:val="231F20"/>
                        <w:spacing w:val="-2"/>
                        <w:w w:val="109"/>
                        <w:sz w:val="20"/>
                      </w:rPr>
                      <w:t>v</w:t>
                    </w:r>
                    <w:r>
                      <w:rPr>
                        <w:rFonts w:ascii="Trebuchet MS"/>
                        <w:color w:val="231F20"/>
                        <w:spacing w:val="-2"/>
                        <w:w w:val="80"/>
                        <w:sz w:val="20"/>
                      </w:rPr>
                      <w:t>i</w:t>
                    </w:r>
                    <w:r>
                      <w:rPr>
                        <w:rFonts w:ascii="Trebuchet MS"/>
                        <w:color w:val="231F20"/>
                        <w:spacing w:val="-6"/>
                        <w:w w:val="109"/>
                        <w:sz w:val="20"/>
                      </w:rPr>
                      <w:t>v</w:t>
                    </w:r>
                    <w:r>
                      <w:rPr>
                        <w:rFonts w:ascii="Trebuchet MS"/>
                        <w:color w:val="231F20"/>
                        <w:spacing w:val="-1"/>
                        <w:w w:val="111"/>
                        <w:sz w:val="20"/>
                      </w:rPr>
                      <w:t>o</w:t>
                    </w:r>
                    <w:r>
                      <w:rPr>
                        <w:rFonts w:ascii="Trebuchet MS"/>
                        <w:color w:val="231F20"/>
                        <w:spacing w:val="-1"/>
                        <w:w w:val="93"/>
                        <w:sz w:val="20"/>
                      </w:rPr>
                      <w:t>r</w:t>
                    </w:r>
                    <w:r>
                      <w:rPr>
                        <w:rFonts w:ascii="Trebuchet MS"/>
                        <w:color w:val="231F20"/>
                        <w:spacing w:val="1"/>
                        <w:w w:val="122"/>
                        <w:sz w:val="20"/>
                      </w:rPr>
                      <w:t>s</w:t>
                    </w:r>
                    <w:r>
                      <w:rPr>
                        <w:rFonts w:ascii="Trebuchet MS"/>
                        <w:color w:val="231F20"/>
                        <w:w w:val="55"/>
                        <w:sz w:val="20"/>
                      </w:rPr>
                      <w:t>.</w:t>
                    </w:r>
                  </w:p>
                  <w:p w14:paraId="4279D7E8" w14:textId="77777777" w:rsidR="00894070" w:rsidRDefault="009B7AFD">
                    <w:pPr>
                      <w:spacing w:before="87" w:line="247" w:lineRule="auto"/>
                      <w:ind w:right="54"/>
                      <w:rPr>
                        <w:rFonts w:ascii="Trebuchet MS"/>
                        <w:sz w:val="20"/>
                      </w:rPr>
                    </w:pPr>
                    <w:r>
                      <w:rPr>
                        <w:rFonts w:ascii="Trebuchet MS"/>
                        <w:color w:val="231F20"/>
                        <w:sz w:val="20"/>
                      </w:rPr>
                      <w:t xml:space="preserve">Where an alleged breach of a personal safety intervention order has </w:t>
                    </w:r>
                    <w:r>
                      <w:rPr>
                        <w:rFonts w:ascii="Trebuchet MS"/>
                        <w:color w:val="231F20"/>
                        <w:spacing w:val="-1"/>
                        <w:w w:val="111"/>
                        <w:sz w:val="20"/>
                      </w:rPr>
                      <w:t>o</w:t>
                    </w:r>
                    <w:r>
                      <w:rPr>
                        <w:rFonts w:ascii="Trebuchet MS"/>
                        <w:color w:val="231F20"/>
                        <w:spacing w:val="-3"/>
                        <w:w w:val="111"/>
                        <w:sz w:val="20"/>
                      </w:rPr>
                      <w:t>c</w:t>
                    </w:r>
                    <w:r>
                      <w:rPr>
                        <w:rFonts w:ascii="Trebuchet MS"/>
                        <w:color w:val="231F20"/>
                        <w:spacing w:val="-2"/>
                        <w:w w:val="110"/>
                        <w:sz w:val="20"/>
                      </w:rPr>
                      <w:t>c</w:t>
                    </w:r>
                    <w:r>
                      <w:rPr>
                        <w:rFonts w:ascii="Trebuchet MS"/>
                        <w:color w:val="231F20"/>
                        <w:spacing w:val="-1"/>
                        <w:w w:val="110"/>
                        <w:sz w:val="20"/>
                      </w:rPr>
                      <w:t>u</w:t>
                    </w:r>
                    <w:r>
                      <w:rPr>
                        <w:rFonts w:ascii="Trebuchet MS"/>
                        <w:color w:val="231F20"/>
                        <w:spacing w:val="-2"/>
                        <w:w w:val="93"/>
                        <w:sz w:val="20"/>
                      </w:rPr>
                      <w:t>r</w:t>
                    </w:r>
                    <w:r>
                      <w:rPr>
                        <w:rFonts w:ascii="Trebuchet MS"/>
                        <w:color w:val="231F20"/>
                        <w:spacing w:val="-4"/>
                        <w:w w:val="93"/>
                        <w:sz w:val="20"/>
                      </w:rPr>
                      <w:t>r</w:t>
                    </w:r>
                    <w:r>
                      <w:rPr>
                        <w:rFonts w:ascii="Trebuchet MS"/>
                        <w:color w:val="231F20"/>
                        <w:w w:val="108"/>
                        <w:sz w:val="20"/>
                      </w:rPr>
                      <w:t>e</w:t>
                    </w:r>
                    <w:r>
                      <w:rPr>
                        <w:rFonts w:ascii="Trebuchet MS"/>
                        <w:color w:val="231F20"/>
                        <w:w w:val="112"/>
                        <w:sz w:val="20"/>
                      </w:rPr>
                      <w:t>d</w:t>
                    </w:r>
                    <w:r>
                      <w:rPr>
                        <w:rFonts w:ascii="Trebuchet MS"/>
                        <w:color w:val="231F20"/>
                        <w:w w:val="57"/>
                        <w:sz w:val="20"/>
                      </w:rPr>
                      <w:t>,</w:t>
                    </w:r>
                    <w:r>
                      <w:rPr>
                        <w:rFonts w:ascii="Trebuchet MS"/>
                        <w:color w:val="231F20"/>
                        <w:spacing w:val="-14"/>
                        <w:sz w:val="20"/>
                      </w:rPr>
                      <w:t xml:space="preserve"> </w:t>
                    </w:r>
                    <w:r>
                      <w:rPr>
                        <w:rFonts w:ascii="Trebuchet MS"/>
                        <w:color w:val="231F20"/>
                        <w:spacing w:val="-1"/>
                        <w:w w:val="111"/>
                        <w:sz w:val="20"/>
                      </w:rPr>
                      <w:t>b</w:t>
                    </w:r>
                    <w:r>
                      <w:rPr>
                        <w:rFonts w:ascii="Trebuchet MS"/>
                        <w:color w:val="231F20"/>
                        <w:spacing w:val="-3"/>
                        <w:w w:val="109"/>
                        <w:sz w:val="20"/>
                      </w:rPr>
                      <w:t>u</w:t>
                    </w:r>
                    <w:r>
                      <w:rPr>
                        <w:rFonts w:ascii="Trebuchet MS"/>
                        <w:color w:val="231F20"/>
                        <w:w w:val="88"/>
                        <w:sz w:val="20"/>
                      </w:rPr>
                      <w:t>t</w:t>
                    </w:r>
                    <w:r>
                      <w:rPr>
                        <w:rFonts w:ascii="Trebuchet MS"/>
                        <w:color w:val="231F20"/>
                        <w:spacing w:val="-14"/>
                        <w:sz w:val="20"/>
                      </w:rPr>
                      <w:t xml:space="preserve"> </w:t>
                    </w:r>
                    <w:r>
                      <w:rPr>
                        <w:rFonts w:ascii="Trebuchet MS"/>
                        <w:color w:val="231F20"/>
                        <w:spacing w:val="-1"/>
                        <w:w w:val="109"/>
                        <w:sz w:val="20"/>
                      </w:rPr>
                      <w:t>u</w:t>
                    </w:r>
                    <w:r>
                      <w:rPr>
                        <w:rFonts w:ascii="Trebuchet MS"/>
                        <w:color w:val="231F20"/>
                        <w:spacing w:val="-1"/>
                        <w:w w:val="111"/>
                        <w:sz w:val="20"/>
                      </w:rPr>
                      <w:t>po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6"/>
                        <w:w w:val="107"/>
                        <w:sz w:val="20"/>
                      </w:rPr>
                      <w:t>n</w:t>
                    </w:r>
                    <w:r>
                      <w:rPr>
                        <w:rFonts w:ascii="Trebuchet MS"/>
                        <w:color w:val="231F20"/>
                        <w:spacing w:val="-6"/>
                        <w:w w:val="109"/>
                        <w:sz w:val="20"/>
                      </w:rPr>
                      <w:t>v</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2"/>
                        <w:w w:val="88"/>
                        <w:sz w:val="20"/>
                      </w:rPr>
                      <w:t>t</w:t>
                    </w:r>
                    <w:r>
                      <w:rPr>
                        <w:rFonts w:ascii="Trebuchet MS"/>
                        <w:color w:val="231F20"/>
                        <w:spacing w:val="-1"/>
                        <w:w w:val="80"/>
                        <w:sz w:val="20"/>
                      </w:rPr>
                      <w:t>i</w:t>
                    </w:r>
                    <w:r>
                      <w:rPr>
                        <w:rFonts w:ascii="Trebuchet MS"/>
                        <w:color w:val="231F20"/>
                        <w:spacing w:val="-2"/>
                        <w:w w:val="124"/>
                        <w:sz w:val="20"/>
                      </w:rPr>
                      <w:t>g</w:t>
                    </w:r>
                    <w:r>
                      <w:rPr>
                        <w:rFonts w:ascii="Trebuchet MS"/>
                        <w:color w:val="231F20"/>
                        <w:spacing w:val="-4"/>
                        <w:w w:val="105"/>
                        <w:sz w:val="20"/>
                      </w:rPr>
                      <w:t>a</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w w:val="105"/>
                        <w:sz w:val="20"/>
                      </w:rPr>
                      <w:t>a</w:t>
                    </w:r>
                    <w:r>
                      <w:rPr>
                        <w:rFonts w:ascii="Trebuchet MS"/>
                        <w:color w:val="231F20"/>
                        <w:spacing w:val="-14"/>
                        <w:sz w:val="20"/>
                      </w:rPr>
                      <w:t xml:space="preserve"> </w:t>
                    </w:r>
                    <w:r>
                      <w:rPr>
                        <w:rFonts w:ascii="Trebuchet MS"/>
                        <w:color w:val="231F20"/>
                        <w:spacing w:val="-3"/>
                        <w:w w:val="111"/>
                        <w:sz w:val="20"/>
                      </w:rPr>
                      <w:t>P</w:t>
                    </w:r>
                    <w:r>
                      <w:rPr>
                        <w:rFonts w:ascii="Trebuchet MS"/>
                        <w:color w:val="231F20"/>
                        <w:spacing w:val="-2"/>
                        <w:w w:val="111"/>
                        <w:sz w:val="20"/>
                      </w:rPr>
                      <w:t>o</w:t>
                    </w:r>
                    <w:r>
                      <w:rPr>
                        <w:rFonts w:ascii="Trebuchet MS"/>
                        <w:color w:val="231F20"/>
                        <w:w w:val="96"/>
                        <w:sz w:val="20"/>
                      </w:rPr>
                      <w:t>l</w:t>
                    </w:r>
                    <w:r>
                      <w:rPr>
                        <w:rFonts w:ascii="Trebuchet MS"/>
                        <w:color w:val="231F20"/>
                        <w:spacing w:val="-1"/>
                        <w:w w:val="80"/>
                        <w:sz w:val="20"/>
                      </w:rPr>
                      <w:t>i</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2"/>
                        <w:sz w:val="20"/>
                      </w:rPr>
                      <w:t>d</w:t>
                    </w:r>
                    <w:r>
                      <w:rPr>
                        <w:rFonts w:ascii="Trebuchet MS"/>
                        <w:color w:val="231F20"/>
                        <w:w w:val="108"/>
                        <w:sz w:val="20"/>
                      </w:rPr>
                      <w:t>e</w:t>
                    </w:r>
                    <w:r>
                      <w:rPr>
                        <w:rFonts w:ascii="Trebuchet MS"/>
                        <w:color w:val="231F20"/>
                        <w:spacing w:val="-2"/>
                        <w:w w:val="111"/>
                        <w:sz w:val="20"/>
                      </w:rPr>
                      <w:t>c</w:t>
                    </w:r>
                    <w:r>
                      <w:rPr>
                        <w:rFonts w:ascii="Trebuchet MS"/>
                        <w:color w:val="231F20"/>
                        <w:spacing w:val="-1"/>
                        <w:w w:val="80"/>
                        <w:sz w:val="20"/>
                      </w:rPr>
                      <w:t>i</w:t>
                    </w:r>
                    <w:r>
                      <w:rPr>
                        <w:rFonts w:ascii="Trebuchet MS"/>
                        <w:color w:val="231F20"/>
                        <w:spacing w:val="-2"/>
                        <w:w w:val="112"/>
                        <w:sz w:val="20"/>
                      </w:rPr>
                      <w:t>d</w:t>
                    </w:r>
                    <w:r>
                      <w:rPr>
                        <w:rFonts w:ascii="Trebuchet MS"/>
                        <w:color w:val="231F20"/>
                        <w:spacing w:val="-2"/>
                        <w:w w:val="108"/>
                        <w:sz w:val="20"/>
                      </w:rPr>
                      <w:t>e</w:t>
                    </w:r>
                    <w:r>
                      <w:rPr>
                        <w:rFonts w:ascii="Trebuchet MS"/>
                        <w:color w:val="231F20"/>
                        <w:w w:val="122"/>
                        <w:sz w:val="20"/>
                      </w:rPr>
                      <w:t>s</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4"/>
                        <w:w w:val="111"/>
                        <w:sz w:val="20"/>
                      </w:rPr>
                      <w:t>o</w:t>
                    </w:r>
                    <w:r>
                      <w:rPr>
                        <w:rFonts w:ascii="Trebuchet MS"/>
                        <w:color w:val="231F20"/>
                        <w:w w:val="88"/>
                        <w:sz w:val="20"/>
                      </w:rPr>
                      <w:t>t</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w w:val="80"/>
                        <w:sz w:val="20"/>
                      </w:rPr>
                      <w:t>f</w:t>
                    </w:r>
                    <w:r>
                      <w:rPr>
                        <w:rFonts w:ascii="Trebuchet MS"/>
                        <w:color w:val="231F20"/>
                        <w:spacing w:val="-2"/>
                        <w:w w:val="80"/>
                        <w:sz w:val="20"/>
                      </w:rPr>
                      <w:t>i</w:t>
                    </w:r>
                    <w:r>
                      <w:rPr>
                        <w:rFonts w:ascii="Trebuchet MS"/>
                        <w:color w:val="231F20"/>
                        <w:spacing w:val="-3"/>
                        <w:w w:val="96"/>
                        <w:sz w:val="20"/>
                      </w:rPr>
                      <w:t>l</w:t>
                    </w:r>
                    <w:r>
                      <w:rPr>
                        <w:rFonts w:ascii="Trebuchet MS"/>
                        <w:color w:val="231F20"/>
                        <w:w w:val="108"/>
                        <w:sz w:val="20"/>
                      </w:rPr>
                      <w:t>e</w:t>
                    </w:r>
                    <w:r>
                      <w:rPr>
                        <w:rFonts w:ascii="Trebuchet MS"/>
                        <w:color w:val="231F20"/>
                        <w:spacing w:val="-14"/>
                        <w:sz w:val="20"/>
                      </w:rPr>
                      <w:t xml:space="preserve"> </w:t>
                    </w:r>
                    <w:r>
                      <w:rPr>
                        <w:rFonts w:ascii="Trebuchet MS"/>
                        <w:color w:val="231F20"/>
                        <w:w w:val="105"/>
                        <w:sz w:val="20"/>
                      </w:rPr>
                      <w:t>a</w:t>
                    </w:r>
                    <w:r>
                      <w:rPr>
                        <w:rFonts w:ascii="Trebuchet MS"/>
                        <w:color w:val="231F20"/>
                        <w:spacing w:val="-14"/>
                        <w:sz w:val="20"/>
                      </w:rPr>
                      <w:t xml:space="preserve"> </w:t>
                    </w:r>
                    <w:r>
                      <w:rPr>
                        <w:rFonts w:ascii="Trebuchet MS"/>
                        <w:color w:val="231F20"/>
                        <w:spacing w:val="-2"/>
                        <w:w w:val="111"/>
                        <w:sz w:val="20"/>
                      </w:rPr>
                      <w:t>c</w:t>
                    </w:r>
                    <w:r>
                      <w:rPr>
                        <w:rFonts w:ascii="Trebuchet MS"/>
                        <w:color w:val="231F20"/>
                        <w:spacing w:val="-1"/>
                        <w:w w:val="107"/>
                        <w:sz w:val="20"/>
                      </w:rPr>
                      <w:t>h</w:t>
                    </w:r>
                    <w:r>
                      <w:rPr>
                        <w:rFonts w:ascii="Trebuchet MS"/>
                        <w:color w:val="231F20"/>
                        <w:spacing w:val="-2"/>
                        <w:w w:val="105"/>
                        <w:sz w:val="20"/>
                      </w:rPr>
                      <w:t>a</w:t>
                    </w:r>
                    <w:r>
                      <w:rPr>
                        <w:rFonts w:ascii="Trebuchet MS"/>
                        <w:color w:val="231F20"/>
                        <w:spacing w:val="-4"/>
                        <w:w w:val="93"/>
                        <w:sz w:val="20"/>
                      </w:rPr>
                      <w:t>r</w:t>
                    </w:r>
                    <w:r>
                      <w:rPr>
                        <w:rFonts w:ascii="Trebuchet MS"/>
                        <w:color w:val="231F20"/>
                        <w:spacing w:val="-1"/>
                        <w:w w:val="124"/>
                        <w:sz w:val="20"/>
                      </w:rPr>
                      <w:t>g</w:t>
                    </w:r>
                    <w:r>
                      <w:rPr>
                        <w:rFonts w:ascii="Trebuchet MS"/>
                        <w:color w:val="231F20"/>
                        <w:spacing w:val="-3"/>
                        <w:w w:val="108"/>
                        <w:sz w:val="20"/>
                      </w:rPr>
                      <w:t>e</w:t>
                    </w:r>
                    <w:r>
                      <w:rPr>
                        <w:rFonts w:ascii="Trebuchet MS"/>
                        <w:color w:val="231F20"/>
                        <w:w w:val="57"/>
                        <w:sz w:val="20"/>
                      </w:rPr>
                      <w:t xml:space="preserve">, </w:t>
                    </w:r>
                    <w:r>
                      <w:rPr>
                        <w:rFonts w:ascii="Trebuchet MS"/>
                        <w:color w:val="231F20"/>
                        <w:sz w:val="20"/>
                      </w:rPr>
                      <w:t xml:space="preserve">Victoria Police should </w:t>
                    </w:r>
                    <w:r>
                      <w:rPr>
                        <w:rFonts w:ascii="Trebuchet MS"/>
                        <w:color w:val="231F20"/>
                        <w:spacing w:val="-3"/>
                        <w:sz w:val="20"/>
                      </w:rPr>
                      <w:t xml:space="preserve">provide </w:t>
                    </w:r>
                    <w:r>
                      <w:rPr>
                        <w:rFonts w:ascii="Trebuchet MS"/>
                        <w:color w:val="231F20"/>
                        <w:sz w:val="20"/>
                      </w:rPr>
                      <w:t xml:space="preserve">an explanation for its decision not to charge to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4"/>
                        <w:w w:val="111"/>
                        <w:sz w:val="20"/>
                      </w:rPr>
                      <w:t>o</w:t>
                    </w:r>
                    <w:r>
                      <w:rPr>
                        <w:rFonts w:ascii="Trebuchet MS"/>
                        <w:color w:val="231F20"/>
                        <w:spacing w:val="-4"/>
                        <w:w w:val="88"/>
                        <w:sz w:val="20"/>
                      </w:rPr>
                      <w:t>t</w:t>
                    </w:r>
                    <w:r>
                      <w:rPr>
                        <w:rFonts w:ascii="Trebuchet MS"/>
                        <w:color w:val="231F20"/>
                        <w:w w:val="108"/>
                        <w:sz w:val="20"/>
                      </w:rPr>
                      <w:t>e</w:t>
                    </w:r>
                    <w:r>
                      <w:rPr>
                        <w:rFonts w:ascii="Trebuchet MS"/>
                        <w:color w:val="231F20"/>
                        <w:spacing w:val="-2"/>
                        <w:w w:val="111"/>
                        <w:sz w:val="20"/>
                      </w:rPr>
                      <w:t>c</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6"/>
                        <w:w w:val="111"/>
                        <w:sz w:val="20"/>
                      </w:rPr>
                      <w:t>b</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14"/>
                        <w:w w:val="93"/>
                        <w:sz w:val="20"/>
                      </w:rPr>
                      <w:t>r</w:t>
                    </w:r>
                    <w:r>
                      <w:rPr>
                        <w:rFonts w:ascii="Trebuchet MS"/>
                        <w:color w:val="231F20"/>
                        <w:w w:val="55"/>
                        <w:sz w:val="20"/>
                      </w:rPr>
                      <w:t>.</w:t>
                    </w:r>
                  </w:p>
                  <w:p w14:paraId="575CB406" w14:textId="77777777" w:rsidR="00894070" w:rsidRDefault="009B7AFD">
                    <w:pPr>
                      <w:spacing w:before="88" w:line="247" w:lineRule="auto"/>
                      <w:ind w:right="54" w:hanging="1"/>
                      <w:rPr>
                        <w:rFonts w:ascii="Trebuchet MS"/>
                        <w:sz w:val="20"/>
                      </w:rPr>
                    </w:pPr>
                    <w:r>
                      <w:rPr>
                        <w:rFonts w:ascii="Trebuchet MS"/>
                        <w:color w:val="231F20"/>
                        <w:spacing w:val="-2"/>
                        <w:w w:val="93"/>
                        <w:sz w:val="20"/>
                      </w:rPr>
                      <w:t>I</w:t>
                    </w:r>
                    <w:r>
                      <w:rPr>
                        <w:rFonts w:ascii="Trebuchet MS"/>
                        <w:color w:val="231F20"/>
                        <w:w w:val="92"/>
                        <w:sz w:val="20"/>
                      </w:rPr>
                      <w:t>f</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11"/>
                        <w:sz w:val="20"/>
                      </w:rPr>
                      <w:t>q</w:t>
                    </w:r>
                    <w:r>
                      <w:rPr>
                        <w:rFonts w:ascii="Trebuchet MS"/>
                        <w:color w:val="231F20"/>
                        <w:spacing w:val="-2"/>
                        <w:w w:val="109"/>
                        <w:sz w:val="20"/>
                      </w:rPr>
                      <w:t>u</w:t>
                    </w:r>
                    <w:r>
                      <w:rPr>
                        <w:rFonts w:ascii="Trebuchet MS"/>
                        <w:color w:val="231F20"/>
                        <w:spacing w:val="-2"/>
                        <w:w w:val="108"/>
                        <w:sz w:val="20"/>
                      </w:rPr>
                      <w:t>e</w:t>
                    </w:r>
                    <w:r>
                      <w:rPr>
                        <w:rFonts w:ascii="Trebuchet MS"/>
                        <w:color w:val="231F20"/>
                        <w:spacing w:val="-1"/>
                        <w:w w:val="122"/>
                        <w:sz w:val="20"/>
                      </w:rPr>
                      <w:t>s</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6"/>
                        <w:w w:val="111"/>
                        <w:sz w:val="20"/>
                      </w:rPr>
                      <w:t>b</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4"/>
                        <w:w w:val="111"/>
                        <w:sz w:val="20"/>
                      </w:rPr>
                      <w:t>o</w:t>
                    </w:r>
                    <w:r>
                      <w:rPr>
                        <w:rFonts w:ascii="Trebuchet MS"/>
                        <w:color w:val="231F20"/>
                        <w:spacing w:val="-4"/>
                        <w:w w:val="88"/>
                        <w:sz w:val="20"/>
                      </w:rPr>
                      <w:t>t</w:t>
                    </w:r>
                    <w:r>
                      <w:rPr>
                        <w:rFonts w:ascii="Trebuchet MS"/>
                        <w:color w:val="231F20"/>
                        <w:w w:val="108"/>
                        <w:sz w:val="20"/>
                      </w:rPr>
                      <w:t>e</w:t>
                    </w:r>
                    <w:r>
                      <w:rPr>
                        <w:rFonts w:ascii="Trebuchet MS"/>
                        <w:color w:val="231F20"/>
                        <w:spacing w:val="-2"/>
                        <w:w w:val="111"/>
                        <w:sz w:val="20"/>
                      </w:rPr>
                      <w:t>c</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w w:val="57"/>
                        <w:sz w:val="20"/>
                      </w:rPr>
                      <w:t>,</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2"/>
                        <w:w w:val="107"/>
                        <w:sz w:val="20"/>
                      </w:rPr>
                      <w:t>h</w:t>
                    </w:r>
                    <w:r>
                      <w:rPr>
                        <w:rFonts w:ascii="Trebuchet MS"/>
                        <w:color w:val="231F20"/>
                        <w:spacing w:val="-1"/>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112"/>
                        <w:sz w:val="20"/>
                      </w:rPr>
                      <w:t>d</w:t>
                    </w:r>
                    <w:r>
                      <w:rPr>
                        <w:rFonts w:ascii="Trebuchet MS"/>
                        <w:color w:val="231F20"/>
                        <w:w w:val="108"/>
                        <w:sz w:val="20"/>
                      </w:rPr>
                      <w:t>e</w:t>
                    </w:r>
                    <w:r>
                      <w:rPr>
                        <w:rFonts w:ascii="Trebuchet MS"/>
                        <w:color w:val="231F20"/>
                        <w:spacing w:val="-2"/>
                        <w:w w:val="111"/>
                        <w:sz w:val="20"/>
                      </w:rPr>
                      <w:t>c</w:t>
                    </w:r>
                    <w:r>
                      <w:rPr>
                        <w:rFonts w:ascii="Trebuchet MS"/>
                        <w:color w:val="231F20"/>
                        <w:spacing w:val="-1"/>
                        <w:w w:val="80"/>
                        <w:sz w:val="20"/>
                      </w:rPr>
                      <w:t>i</w:t>
                    </w:r>
                    <w:r>
                      <w:rPr>
                        <w:rFonts w:ascii="Trebuchet MS"/>
                        <w:color w:val="231F20"/>
                        <w:spacing w:val="-2"/>
                        <w:w w:val="122"/>
                        <w:sz w:val="20"/>
                      </w:rPr>
                      <w:t>s</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1"/>
                        <w:w w:val="111"/>
                        <w:sz w:val="20"/>
                      </w:rPr>
                      <w:t>b</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6"/>
                        <w:w w:val="111"/>
                        <w:sz w:val="20"/>
                      </w:rPr>
                      <w:t>o</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2"/>
                        <w:sz w:val="20"/>
                      </w:rPr>
                      <w:t>d</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 xml:space="preserve">n </w:t>
                    </w:r>
                    <w:r>
                      <w:rPr>
                        <w:rFonts w:ascii="Trebuchet MS"/>
                        <w:color w:val="231F20"/>
                        <w:spacing w:val="-2"/>
                        <w:w w:val="104"/>
                        <w:sz w:val="20"/>
                      </w:rPr>
                      <w:t>wr</w:t>
                    </w:r>
                    <w:r>
                      <w:rPr>
                        <w:rFonts w:ascii="Trebuchet MS"/>
                        <w:color w:val="231F20"/>
                        <w:spacing w:val="-3"/>
                        <w:w w:val="80"/>
                        <w:sz w:val="20"/>
                      </w:rPr>
                      <w:t>i</w:t>
                    </w:r>
                    <w:r>
                      <w:rPr>
                        <w:rFonts w:ascii="Trebuchet MS"/>
                        <w:color w:val="231F20"/>
                        <w:spacing w:val="-2"/>
                        <w:w w:val="85"/>
                        <w:sz w:val="20"/>
                      </w:rPr>
                      <w:t>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txbxContent>
              </v:textbox>
            </v:shape>
            <v:shape id="_x0000_s1158" type="#_x0000_t202" style="position:absolute;left:2394;top:3998;width:183;height:235" filled="f" stroked="f">
              <v:textbox inset="0,0,0,0">
                <w:txbxContent>
                  <w:p w14:paraId="50BAA8A6" w14:textId="77777777" w:rsidR="00894070" w:rsidRDefault="009B7AFD">
                    <w:pPr>
                      <w:rPr>
                        <w:rFonts w:ascii="Trebuchet MS"/>
                        <w:sz w:val="20"/>
                      </w:rPr>
                    </w:pPr>
                    <w:r>
                      <w:rPr>
                        <w:rFonts w:ascii="Trebuchet MS"/>
                        <w:color w:val="231F20"/>
                        <w:spacing w:val="-3"/>
                        <w:w w:val="111"/>
                        <w:sz w:val="20"/>
                      </w:rPr>
                      <w:t>b</w:t>
                    </w:r>
                    <w:r>
                      <w:rPr>
                        <w:rFonts w:ascii="Trebuchet MS"/>
                        <w:color w:val="231F20"/>
                        <w:w w:val="55"/>
                        <w:sz w:val="20"/>
                      </w:rPr>
                      <w:t>.</w:t>
                    </w:r>
                  </w:p>
                </w:txbxContent>
              </v:textbox>
            </v:shape>
            <v:shape id="_x0000_s1157" type="#_x0000_t202" style="position:absolute;left:2381;top:2953;width:173;height:235" filled="f" stroked="f">
              <v:textbox inset="0,0,0,0">
                <w:txbxContent>
                  <w:p w14:paraId="1A29B4EB" w14:textId="77777777" w:rsidR="00894070" w:rsidRDefault="009B7AFD">
                    <w:pPr>
                      <w:rPr>
                        <w:rFonts w:ascii="Trebuchet MS"/>
                        <w:sz w:val="20"/>
                      </w:rPr>
                    </w:pPr>
                    <w:r>
                      <w:rPr>
                        <w:rFonts w:ascii="Trebuchet MS"/>
                        <w:color w:val="231F20"/>
                        <w:w w:val="90"/>
                        <w:sz w:val="20"/>
                      </w:rPr>
                      <w:t>a.</w:t>
                    </w:r>
                  </w:p>
                </w:txbxContent>
              </v:textbox>
            </v:shape>
            <v:shape id="_x0000_s1156" type="#_x0000_t202" style="position:absolute;left:1814;top:2953;width:244;height:235" filled="f" stroked="f">
              <v:textbox inset="0,0,0,0">
                <w:txbxContent>
                  <w:p w14:paraId="39E241C5" w14:textId="77777777" w:rsidR="00894070" w:rsidRDefault="009B7AFD">
                    <w:pPr>
                      <w:rPr>
                        <w:rFonts w:ascii="Trebuchet MS"/>
                        <w:sz w:val="20"/>
                      </w:rPr>
                    </w:pPr>
                    <w:r>
                      <w:rPr>
                        <w:rFonts w:ascii="Trebuchet MS"/>
                        <w:color w:val="231F20"/>
                        <w:spacing w:val="-12"/>
                        <w:w w:val="95"/>
                        <w:sz w:val="20"/>
                      </w:rPr>
                      <w:t>37.</w:t>
                    </w:r>
                  </w:p>
                </w:txbxContent>
              </v:textbox>
            </v:shape>
            <v:shape id="_x0000_s1155" type="#_x0000_t202" style="position:absolute;left:2394;top:2388;width:183;height:235" filled="f" stroked="f">
              <v:textbox inset="0,0,0,0">
                <w:txbxContent>
                  <w:p w14:paraId="3FA74EAB" w14:textId="77777777" w:rsidR="00894070" w:rsidRDefault="009B7AFD">
                    <w:pPr>
                      <w:rPr>
                        <w:rFonts w:ascii="Trebuchet MS"/>
                        <w:sz w:val="20"/>
                      </w:rPr>
                    </w:pPr>
                    <w:r>
                      <w:rPr>
                        <w:rFonts w:ascii="Trebuchet MS"/>
                        <w:color w:val="231F20"/>
                        <w:spacing w:val="-3"/>
                        <w:w w:val="111"/>
                        <w:sz w:val="20"/>
                      </w:rPr>
                      <w:t>b</w:t>
                    </w:r>
                    <w:r>
                      <w:rPr>
                        <w:rFonts w:ascii="Trebuchet MS"/>
                        <w:color w:val="231F20"/>
                        <w:w w:val="55"/>
                        <w:sz w:val="20"/>
                      </w:rPr>
                      <w:t>.</w:t>
                    </w:r>
                  </w:p>
                </w:txbxContent>
              </v:textbox>
            </v:shape>
            <v:shape id="_x0000_s1154" type="#_x0000_t202" style="position:absolute;left:2381;top:1343;width:173;height:235" filled="f" stroked="f">
              <v:textbox inset="0,0,0,0">
                <w:txbxContent>
                  <w:p w14:paraId="5F280122" w14:textId="77777777" w:rsidR="00894070" w:rsidRDefault="009B7AFD">
                    <w:pPr>
                      <w:rPr>
                        <w:rFonts w:ascii="Trebuchet MS"/>
                        <w:sz w:val="20"/>
                      </w:rPr>
                    </w:pPr>
                    <w:r>
                      <w:rPr>
                        <w:rFonts w:ascii="Trebuchet MS"/>
                        <w:color w:val="231F20"/>
                        <w:w w:val="90"/>
                        <w:sz w:val="20"/>
                      </w:rPr>
                      <w:t>a.</w:t>
                    </w:r>
                  </w:p>
                </w:txbxContent>
              </v:textbox>
            </v:shape>
            <v:shape id="_x0000_s1153" type="#_x0000_t202" style="position:absolute;left:1814;top:1343;width:291;height:235" filled="f" stroked="f">
              <v:textbox inset="0,0,0,0">
                <w:txbxContent>
                  <w:p w14:paraId="1A06ACD4" w14:textId="77777777" w:rsidR="00894070" w:rsidRDefault="009B7AFD">
                    <w:pPr>
                      <w:rPr>
                        <w:rFonts w:ascii="Trebuchet MS"/>
                        <w:sz w:val="20"/>
                      </w:rPr>
                    </w:pPr>
                    <w:r>
                      <w:rPr>
                        <w:rFonts w:ascii="Trebuchet MS"/>
                        <w:color w:val="231F20"/>
                        <w:spacing w:val="1"/>
                        <w:w w:val="102"/>
                        <w:sz w:val="20"/>
                      </w:rPr>
                      <w:t>3</w:t>
                    </w:r>
                    <w:r>
                      <w:rPr>
                        <w:rFonts w:ascii="Trebuchet MS"/>
                        <w:color w:val="231F20"/>
                        <w:spacing w:val="-1"/>
                        <w:w w:val="115"/>
                        <w:sz w:val="20"/>
                      </w:rPr>
                      <w:t>6</w:t>
                    </w:r>
                    <w:r>
                      <w:rPr>
                        <w:rFonts w:ascii="Trebuchet MS"/>
                        <w:color w:val="231F20"/>
                        <w:w w:val="55"/>
                        <w:sz w:val="20"/>
                      </w:rPr>
                      <w:t>.</w:t>
                    </w:r>
                  </w:p>
                </w:txbxContent>
              </v:textbox>
            </v:shape>
            <v:shape id="_x0000_s1152" type="#_x0000_t202" style="position:absolute;left:1587;top:310;width:8731;height:783" fillcolor="#fee7de" stroked="f">
              <v:textbox inset="0,0,0,0">
                <w:txbxContent>
                  <w:p w14:paraId="4441F818" w14:textId="77777777" w:rsidR="00894070" w:rsidRDefault="009B7AFD">
                    <w:pPr>
                      <w:spacing w:before="158"/>
                      <w:ind w:left="226"/>
                      <w:rPr>
                        <w:rFonts w:ascii="Raleway ExtraBold"/>
                        <w:b/>
                        <w:sz w:val="32"/>
                      </w:rPr>
                    </w:pPr>
                    <w:r>
                      <w:rPr>
                        <w:rFonts w:ascii="Raleway ExtraBold"/>
                        <w:b/>
                        <w:color w:val="EA5B50"/>
                        <w:sz w:val="32"/>
                      </w:rPr>
                      <w:t>Recommendations</w:t>
                    </w:r>
                  </w:p>
                </w:txbxContent>
              </v:textbox>
            </v:shape>
            <w10:wrap type="topAndBottom" anchorx="page"/>
          </v:group>
        </w:pict>
      </w:r>
    </w:p>
    <w:p w14:paraId="423427EA" w14:textId="77777777" w:rsidR="00894070" w:rsidRDefault="00894070">
      <w:pPr>
        <w:pStyle w:val="BodyText"/>
      </w:pPr>
    </w:p>
    <w:p w14:paraId="65EC1CF7" w14:textId="77777777" w:rsidR="00894070" w:rsidRDefault="009B7AFD">
      <w:pPr>
        <w:pStyle w:val="Heading7"/>
        <w:spacing w:before="261" w:line="184" w:lineRule="auto"/>
      </w:pPr>
      <w:r>
        <w:rPr>
          <w:color w:val="EA5B50"/>
        </w:rPr>
        <w:t>The criminal trial process should be improved for stalking victim survivors</w:t>
      </w:r>
    </w:p>
    <w:p w14:paraId="2E200B38" w14:textId="77777777" w:rsidR="00894070" w:rsidRDefault="009B7AFD">
      <w:pPr>
        <w:pStyle w:val="ListParagraph"/>
        <w:numPr>
          <w:ilvl w:val="0"/>
          <w:numId w:val="47"/>
        </w:numPr>
        <w:tabs>
          <w:tab w:val="left" w:pos="1801"/>
          <w:tab w:val="left" w:pos="1802"/>
        </w:tabs>
        <w:spacing w:before="162" w:line="206" w:lineRule="auto"/>
        <w:ind w:right="1389"/>
        <w:rPr>
          <w:sz w:val="11"/>
        </w:rPr>
      </w:pPr>
      <w:r>
        <w:rPr>
          <w:color w:val="231F20"/>
          <w:sz w:val="20"/>
        </w:rPr>
        <w:t>Victim</w:t>
      </w:r>
      <w:r>
        <w:rPr>
          <w:color w:val="231F20"/>
          <w:spacing w:val="-12"/>
          <w:sz w:val="20"/>
        </w:rPr>
        <w:t xml:space="preserve"> </w:t>
      </w:r>
      <w:r>
        <w:rPr>
          <w:color w:val="231F20"/>
          <w:sz w:val="20"/>
        </w:rPr>
        <w:t>survivors</w:t>
      </w:r>
      <w:r>
        <w:rPr>
          <w:color w:val="231F20"/>
          <w:spacing w:val="-12"/>
          <w:sz w:val="20"/>
        </w:rPr>
        <w:t xml:space="preserve"> </w:t>
      </w:r>
      <w:r>
        <w:rPr>
          <w:color w:val="231F20"/>
          <w:sz w:val="20"/>
        </w:rPr>
        <w:t>of</w:t>
      </w:r>
      <w:r>
        <w:rPr>
          <w:color w:val="231F20"/>
          <w:spacing w:val="-11"/>
          <w:sz w:val="20"/>
        </w:rPr>
        <w:t xml:space="preserve"> </w:t>
      </w:r>
      <w:r>
        <w:rPr>
          <w:color w:val="231F20"/>
          <w:sz w:val="20"/>
        </w:rPr>
        <w:t>stalking</w:t>
      </w:r>
      <w:r>
        <w:rPr>
          <w:color w:val="231F20"/>
          <w:spacing w:val="-12"/>
          <w:sz w:val="20"/>
        </w:rPr>
        <w:t xml:space="preserve"> </w:t>
      </w:r>
      <w:r>
        <w:rPr>
          <w:color w:val="231F20"/>
          <w:spacing w:val="-3"/>
          <w:sz w:val="20"/>
        </w:rPr>
        <w:t>are</w:t>
      </w:r>
      <w:r>
        <w:rPr>
          <w:color w:val="231F20"/>
          <w:spacing w:val="-12"/>
          <w:sz w:val="20"/>
        </w:rPr>
        <w:t xml:space="preserve"> </w:t>
      </w:r>
      <w:r>
        <w:rPr>
          <w:color w:val="231F20"/>
          <w:sz w:val="20"/>
        </w:rPr>
        <w:t>witnesses</w:t>
      </w:r>
      <w:r>
        <w:rPr>
          <w:color w:val="231F20"/>
          <w:spacing w:val="-11"/>
          <w:sz w:val="20"/>
        </w:rPr>
        <w:t xml:space="preserve"> </w:t>
      </w:r>
      <w:r>
        <w:rPr>
          <w:color w:val="231F20"/>
          <w:spacing w:val="-3"/>
          <w:sz w:val="20"/>
        </w:rPr>
        <w:t>for</w:t>
      </w:r>
      <w:r>
        <w:rPr>
          <w:color w:val="231F20"/>
          <w:spacing w:val="-12"/>
          <w:sz w:val="20"/>
        </w:rPr>
        <w:t xml:space="preserve"> </w:t>
      </w:r>
      <w:r>
        <w:rPr>
          <w:color w:val="231F20"/>
          <w:sz w:val="20"/>
        </w:rPr>
        <w:t>the</w:t>
      </w:r>
      <w:r>
        <w:rPr>
          <w:color w:val="231F20"/>
          <w:spacing w:val="-12"/>
          <w:sz w:val="20"/>
        </w:rPr>
        <w:t xml:space="preserve"> </w:t>
      </w:r>
      <w:r>
        <w:rPr>
          <w:color w:val="231F20"/>
          <w:sz w:val="20"/>
        </w:rPr>
        <w:t>prosecution</w:t>
      </w:r>
      <w:r>
        <w:rPr>
          <w:color w:val="231F20"/>
          <w:spacing w:val="-11"/>
          <w:sz w:val="20"/>
        </w:rPr>
        <w:t xml:space="preserve"> </w:t>
      </w:r>
      <w:r>
        <w:rPr>
          <w:color w:val="231F20"/>
          <w:sz w:val="20"/>
        </w:rPr>
        <w:t>in</w:t>
      </w:r>
      <w:r>
        <w:rPr>
          <w:color w:val="231F20"/>
          <w:spacing w:val="-12"/>
          <w:sz w:val="20"/>
        </w:rPr>
        <w:t xml:space="preserve"> </w:t>
      </w:r>
      <w:r>
        <w:rPr>
          <w:color w:val="231F20"/>
          <w:sz w:val="20"/>
        </w:rPr>
        <w:t>criminal</w:t>
      </w:r>
      <w:r>
        <w:rPr>
          <w:color w:val="231F20"/>
          <w:spacing w:val="-12"/>
          <w:sz w:val="20"/>
        </w:rPr>
        <w:t xml:space="preserve"> </w:t>
      </w:r>
      <w:r>
        <w:rPr>
          <w:color w:val="231F20"/>
          <w:sz w:val="20"/>
        </w:rPr>
        <w:t xml:space="preserve">proceedings. They </w:t>
      </w:r>
      <w:r>
        <w:rPr>
          <w:color w:val="231F20"/>
          <w:spacing w:val="-3"/>
          <w:sz w:val="20"/>
        </w:rPr>
        <w:t xml:space="preserve">are </w:t>
      </w:r>
      <w:r>
        <w:rPr>
          <w:color w:val="231F20"/>
          <w:sz w:val="20"/>
        </w:rPr>
        <w:t xml:space="preserve">participants in criminal proceedings who </w:t>
      </w:r>
      <w:r>
        <w:rPr>
          <w:color w:val="231F20"/>
          <w:spacing w:val="-4"/>
          <w:sz w:val="20"/>
        </w:rPr>
        <w:t xml:space="preserve">have </w:t>
      </w:r>
      <w:r>
        <w:rPr>
          <w:color w:val="231F20"/>
          <w:sz w:val="20"/>
        </w:rPr>
        <w:t xml:space="preserve">an </w:t>
      </w:r>
      <w:r>
        <w:rPr>
          <w:color w:val="231F20"/>
          <w:spacing w:val="-3"/>
          <w:sz w:val="20"/>
        </w:rPr>
        <w:t xml:space="preserve">inherent interest </w:t>
      </w:r>
      <w:r>
        <w:rPr>
          <w:color w:val="231F20"/>
          <w:sz w:val="20"/>
        </w:rPr>
        <w:t>in the response of the criminal justice system.</w:t>
      </w:r>
      <w:r>
        <w:rPr>
          <w:color w:val="231F20"/>
          <w:position w:val="7"/>
          <w:sz w:val="11"/>
        </w:rPr>
        <w:t xml:space="preserve">152 </w:t>
      </w:r>
      <w:r>
        <w:rPr>
          <w:color w:val="231F20"/>
          <w:sz w:val="20"/>
        </w:rPr>
        <w:t xml:space="preserve">This is </w:t>
      </w:r>
      <w:r>
        <w:rPr>
          <w:color w:val="231F20"/>
          <w:spacing w:val="-3"/>
          <w:sz w:val="20"/>
        </w:rPr>
        <w:t xml:space="preserve">reflected </w:t>
      </w:r>
      <w:r>
        <w:rPr>
          <w:color w:val="231F20"/>
          <w:sz w:val="20"/>
        </w:rPr>
        <w:t xml:space="preserve">in the </w:t>
      </w:r>
      <w:r>
        <w:rPr>
          <w:i/>
          <w:color w:val="231F20"/>
          <w:spacing w:val="-3"/>
          <w:sz w:val="20"/>
        </w:rPr>
        <w:t xml:space="preserve">Victims’ </w:t>
      </w:r>
      <w:r>
        <w:rPr>
          <w:i/>
          <w:color w:val="231F20"/>
          <w:sz w:val="20"/>
        </w:rPr>
        <w:t xml:space="preserve">Charter </w:t>
      </w:r>
      <w:r>
        <w:rPr>
          <w:i/>
          <w:color w:val="231F20"/>
          <w:spacing w:val="-3"/>
          <w:sz w:val="20"/>
        </w:rPr>
        <w:t xml:space="preserve">Act </w:t>
      </w:r>
      <w:r>
        <w:rPr>
          <w:i/>
          <w:color w:val="231F20"/>
          <w:sz w:val="20"/>
        </w:rPr>
        <w:t>2006</w:t>
      </w:r>
      <w:r>
        <w:rPr>
          <w:i/>
          <w:color w:val="231F20"/>
          <w:spacing w:val="-3"/>
          <w:sz w:val="20"/>
        </w:rPr>
        <w:t xml:space="preserve"> </w:t>
      </w:r>
      <w:r>
        <w:rPr>
          <w:color w:val="231F20"/>
          <w:sz w:val="20"/>
        </w:rPr>
        <w:t>(Vic).</w:t>
      </w:r>
      <w:r>
        <w:rPr>
          <w:color w:val="231F20"/>
          <w:position w:val="7"/>
          <w:sz w:val="11"/>
        </w:rPr>
        <w:t>153</w:t>
      </w:r>
    </w:p>
    <w:p w14:paraId="1E5B34DE" w14:textId="77777777" w:rsidR="00894070" w:rsidRDefault="009B7AFD">
      <w:pPr>
        <w:pStyle w:val="ListParagraph"/>
        <w:numPr>
          <w:ilvl w:val="0"/>
          <w:numId w:val="47"/>
        </w:numPr>
        <w:tabs>
          <w:tab w:val="left" w:pos="1801"/>
          <w:tab w:val="left" w:pos="1802"/>
        </w:tabs>
        <w:spacing w:before="125" w:line="206" w:lineRule="auto"/>
        <w:ind w:right="1429"/>
        <w:rPr>
          <w:sz w:val="20"/>
        </w:rPr>
      </w:pPr>
      <w:r>
        <w:rPr>
          <w:color w:val="231F20"/>
          <w:sz w:val="20"/>
        </w:rPr>
        <w:t xml:space="preserve">While all victims respond </w:t>
      </w:r>
      <w:r>
        <w:rPr>
          <w:color w:val="231F20"/>
          <w:spacing w:val="-3"/>
          <w:sz w:val="20"/>
        </w:rPr>
        <w:t xml:space="preserve">differently </w:t>
      </w:r>
      <w:r>
        <w:rPr>
          <w:color w:val="231F20"/>
          <w:sz w:val="20"/>
        </w:rPr>
        <w:t xml:space="preserve">to stress, </w:t>
      </w:r>
      <w:r>
        <w:rPr>
          <w:color w:val="231F20"/>
          <w:spacing w:val="-3"/>
          <w:sz w:val="20"/>
        </w:rPr>
        <w:t xml:space="preserve">even well-conducted </w:t>
      </w:r>
      <w:r>
        <w:rPr>
          <w:color w:val="231F20"/>
          <w:sz w:val="20"/>
        </w:rPr>
        <w:t>criminal proceedings</w:t>
      </w:r>
      <w:r>
        <w:rPr>
          <w:color w:val="231F20"/>
          <w:spacing w:val="-9"/>
          <w:sz w:val="20"/>
        </w:rPr>
        <w:t xml:space="preserve"> </w:t>
      </w:r>
      <w:r>
        <w:rPr>
          <w:color w:val="231F20"/>
          <w:sz w:val="20"/>
        </w:rPr>
        <w:t>and</w:t>
      </w:r>
      <w:r>
        <w:rPr>
          <w:color w:val="231F20"/>
          <w:spacing w:val="-8"/>
          <w:sz w:val="20"/>
        </w:rPr>
        <w:t xml:space="preserve"> </w:t>
      </w:r>
      <w:r>
        <w:rPr>
          <w:color w:val="231F20"/>
          <w:sz w:val="20"/>
        </w:rPr>
        <w:t>proper</w:t>
      </w:r>
      <w:r>
        <w:rPr>
          <w:color w:val="231F20"/>
          <w:spacing w:val="-9"/>
          <w:sz w:val="20"/>
        </w:rPr>
        <w:t xml:space="preserve"> </w:t>
      </w:r>
      <w:r>
        <w:rPr>
          <w:color w:val="231F20"/>
          <w:spacing w:val="-3"/>
          <w:sz w:val="20"/>
        </w:rPr>
        <w:t>cross-examination</w:t>
      </w:r>
      <w:r>
        <w:rPr>
          <w:color w:val="231F20"/>
          <w:spacing w:val="-8"/>
          <w:sz w:val="20"/>
        </w:rPr>
        <w:t xml:space="preserve"> </w:t>
      </w:r>
      <w:r>
        <w:rPr>
          <w:color w:val="231F20"/>
          <w:sz w:val="20"/>
        </w:rPr>
        <w:t>can</w:t>
      </w:r>
      <w:r>
        <w:rPr>
          <w:color w:val="231F20"/>
          <w:spacing w:val="-8"/>
          <w:sz w:val="20"/>
        </w:rPr>
        <w:t xml:space="preserve"> </w:t>
      </w:r>
      <w:r>
        <w:rPr>
          <w:color w:val="231F20"/>
          <w:sz w:val="20"/>
        </w:rPr>
        <w:t>be</w:t>
      </w:r>
      <w:r>
        <w:rPr>
          <w:color w:val="231F20"/>
          <w:spacing w:val="-9"/>
          <w:sz w:val="20"/>
        </w:rPr>
        <w:t xml:space="preserve"> </w:t>
      </w:r>
      <w:r>
        <w:rPr>
          <w:color w:val="231F20"/>
          <w:sz w:val="20"/>
        </w:rPr>
        <w:t>traumatic</w:t>
      </w:r>
      <w:r>
        <w:rPr>
          <w:color w:val="231F20"/>
          <w:spacing w:val="-8"/>
          <w:sz w:val="20"/>
        </w:rPr>
        <w:t xml:space="preserve"> </w:t>
      </w:r>
      <w:r>
        <w:rPr>
          <w:color w:val="231F20"/>
          <w:sz w:val="20"/>
        </w:rPr>
        <w:t>and</w:t>
      </w:r>
      <w:r>
        <w:rPr>
          <w:color w:val="231F20"/>
          <w:spacing w:val="-8"/>
          <w:sz w:val="20"/>
        </w:rPr>
        <w:t xml:space="preserve"> </w:t>
      </w:r>
      <w:r>
        <w:rPr>
          <w:color w:val="231F20"/>
          <w:sz w:val="20"/>
        </w:rPr>
        <w:t>challenging.</w:t>
      </w:r>
      <w:r>
        <w:rPr>
          <w:color w:val="231F20"/>
          <w:spacing w:val="-9"/>
          <w:sz w:val="20"/>
        </w:rPr>
        <w:t xml:space="preserve"> </w:t>
      </w:r>
      <w:r>
        <w:rPr>
          <w:color w:val="231F20"/>
          <w:sz w:val="20"/>
        </w:rPr>
        <w:t>As</w:t>
      </w:r>
      <w:r>
        <w:rPr>
          <w:color w:val="231F20"/>
          <w:spacing w:val="-8"/>
          <w:sz w:val="20"/>
        </w:rPr>
        <w:t xml:space="preserve"> </w:t>
      </w:r>
      <w:r>
        <w:rPr>
          <w:color w:val="231F20"/>
          <w:spacing w:val="-3"/>
          <w:sz w:val="20"/>
        </w:rPr>
        <w:t xml:space="preserve">we </w:t>
      </w:r>
      <w:r>
        <w:rPr>
          <w:color w:val="231F20"/>
          <w:sz w:val="20"/>
        </w:rPr>
        <w:t>stated</w:t>
      </w:r>
      <w:r>
        <w:rPr>
          <w:color w:val="231F20"/>
          <w:spacing w:val="-8"/>
          <w:sz w:val="20"/>
        </w:rPr>
        <w:t xml:space="preserve"> </w:t>
      </w:r>
      <w:r>
        <w:rPr>
          <w:color w:val="231F20"/>
          <w:sz w:val="20"/>
        </w:rPr>
        <w:t>in</w:t>
      </w:r>
      <w:r>
        <w:rPr>
          <w:color w:val="231F20"/>
          <w:spacing w:val="-7"/>
          <w:sz w:val="20"/>
        </w:rPr>
        <w:t xml:space="preserve"> </w:t>
      </w:r>
      <w:r>
        <w:rPr>
          <w:color w:val="231F20"/>
          <w:sz w:val="20"/>
        </w:rPr>
        <w:t>our</w:t>
      </w:r>
      <w:r>
        <w:rPr>
          <w:color w:val="231F20"/>
          <w:spacing w:val="-7"/>
          <w:sz w:val="20"/>
        </w:rPr>
        <w:t xml:space="preserve"> </w:t>
      </w:r>
      <w:r>
        <w:rPr>
          <w:color w:val="231F20"/>
          <w:sz w:val="20"/>
        </w:rPr>
        <w:t>report</w:t>
      </w:r>
      <w:r>
        <w:rPr>
          <w:color w:val="231F20"/>
          <w:spacing w:val="-7"/>
          <w:sz w:val="20"/>
        </w:rPr>
        <w:t xml:space="preserve"> </w:t>
      </w:r>
      <w:r>
        <w:rPr>
          <w:i/>
          <w:color w:val="231F20"/>
          <w:sz w:val="20"/>
        </w:rPr>
        <w:t>The</w:t>
      </w:r>
      <w:r>
        <w:rPr>
          <w:i/>
          <w:color w:val="231F20"/>
          <w:spacing w:val="-7"/>
          <w:sz w:val="20"/>
        </w:rPr>
        <w:t xml:space="preserve"> </w:t>
      </w:r>
      <w:r>
        <w:rPr>
          <w:i/>
          <w:color w:val="231F20"/>
          <w:spacing w:val="-3"/>
          <w:sz w:val="20"/>
        </w:rPr>
        <w:t>Role</w:t>
      </w:r>
      <w:r>
        <w:rPr>
          <w:i/>
          <w:color w:val="231F20"/>
          <w:spacing w:val="-7"/>
          <w:sz w:val="20"/>
        </w:rPr>
        <w:t xml:space="preserve"> </w:t>
      </w:r>
      <w:r>
        <w:rPr>
          <w:i/>
          <w:color w:val="231F20"/>
          <w:sz w:val="20"/>
        </w:rPr>
        <w:t>of</w:t>
      </w:r>
      <w:r>
        <w:rPr>
          <w:i/>
          <w:color w:val="231F20"/>
          <w:spacing w:val="-7"/>
          <w:sz w:val="20"/>
        </w:rPr>
        <w:t xml:space="preserve"> </w:t>
      </w:r>
      <w:r>
        <w:rPr>
          <w:i/>
          <w:color w:val="231F20"/>
          <w:sz w:val="20"/>
        </w:rPr>
        <w:t>Victims</w:t>
      </w:r>
      <w:r>
        <w:rPr>
          <w:i/>
          <w:color w:val="231F20"/>
          <w:spacing w:val="-6"/>
          <w:sz w:val="20"/>
        </w:rPr>
        <w:t xml:space="preserve"> </w:t>
      </w:r>
      <w:r>
        <w:rPr>
          <w:i/>
          <w:color w:val="231F20"/>
          <w:sz w:val="20"/>
        </w:rPr>
        <w:t>of</w:t>
      </w:r>
      <w:r>
        <w:rPr>
          <w:i/>
          <w:color w:val="231F20"/>
          <w:spacing w:val="-7"/>
          <w:sz w:val="20"/>
        </w:rPr>
        <w:t xml:space="preserve"> </w:t>
      </w:r>
      <w:r>
        <w:rPr>
          <w:i/>
          <w:color w:val="231F20"/>
          <w:sz w:val="20"/>
        </w:rPr>
        <w:t>Crime</w:t>
      </w:r>
      <w:r>
        <w:rPr>
          <w:i/>
          <w:color w:val="231F20"/>
          <w:spacing w:val="-7"/>
          <w:sz w:val="20"/>
        </w:rPr>
        <w:t xml:space="preserve"> </w:t>
      </w:r>
      <w:r>
        <w:rPr>
          <w:i/>
          <w:color w:val="231F20"/>
          <w:sz w:val="20"/>
        </w:rPr>
        <w:t>in</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Criminal</w:t>
      </w:r>
      <w:r>
        <w:rPr>
          <w:i/>
          <w:color w:val="231F20"/>
          <w:spacing w:val="-7"/>
          <w:sz w:val="20"/>
        </w:rPr>
        <w:t xml:space="preserve"> </w:t>
      </w:r>
      <w:r>
        <w:rPr>
          <w:i/>
          <w:color w:val="231F20"/>
          <w:spacing w:val="-5"/>
          <w:sz w:val="20"/>
        </w:rPr>
        <w:t>Trial</w:t>
      </w:r>
      <w:r>
        <w:rPr>
          <w:i/>
          <w:color w:val="231F20"/>
          <w:spacing w:val="-7"/>
          <w:sz w:val="20"/>
        </w:rPr>
        <w:t xml:space="preserve"> </w:t>
      </w:r>
      <w:r>
        <w:rPr>
          <w:i/>
          <w:color w:val="231F20"/>
          <w:sz w:val="20"/>
        </w:rPr>
        <w:t>Process</w:t>
      </w:r>
      <w:r>
        <w:rPr>
          <w:i/>
          <w:color w:val="231F20"/>
          <w:spacing w:val="-6"/>
          <w:sz w:val="20"/>
        </w:rPr>
        <w:t xml:space="preserve"> </w:t>
      </w:r>
      <w:r>
        <w:rPr>
          <w:color w:val="231F20"/>
          <w:spacing w:val="-3"/>
          <w:sz w:val="20"/>
        </w:rPr>
        <w:t>(2016):</w:t>
      </w:r>
    </w:p>
    <w:p w14:paraId="2C07F41A" w14:textId="77777777" w:rsidR="00894070" w:rsidRDefault="009B7AFD">
      <w:pPr>
        <w:spacing w:before="122" w:line="208" w:lineRule="auto"/>
        <w:ind w:left="2254" w:right="1403"/>
        <w:rPr>
          <w:sz w:val="19"/>
        </w:rPr>
      </w:pPr>
      <w:r>
        <w:rPr>
          <w:color w:val="231F20"/>
          <w:sz w:val="19"/>
        </w:rPr>
        <w:t xml:space="preserve">By far the most challenging [form of participation in the criminal trial process for victim survivors] is to give evidence as a witness for the prosecution. Some victims </w:t>
      </w:r>
      <w:proofErr w:type="gramStart"/>
      <w:r>
        <w:rPr>
          <w:color w:val="231F20"/>
          <w:sz w:val="19"/>
        </w:rPr>
        <w:t>are able to</w:t>
      </w:r>
      <w:proofErr w:type="gramEnd"/>
      <w:r>
        <w:rPr>
          <w:color w:val="231F20"/>
          <w:sz w:val="19"/>
        </w:rPr>
        <w:t xml:space="preserve"> meet the challenge with relative ease. For others, the experience can be harrowing. Their private lives may be exposed to public scrutiny. They may be</w:t>
      </w:r>
    </w:p>
    <w:p w14:paraId="482C5FEA" w14:textId="77777777" w:rsidR="00894070" w:rsidRDefault="009F6793">
      <w:pPr>
        <w:spacing w:before="2" w:line="208" w:lineRule="auto"/>
        <w:ind w:left="2254" w:right="1162"/>
        <w:rPr>
          <w:sz w:val="11"/>
        </w:rPr>
      </w:pPr>
      <w:r>
        <w:pict w14:anchorId="4E731749">
          <v:shape id="_x0000_s1150" type="#_x0000_t202" style="position:absolute;left:0;text-align:left;margin-left:79.35pt;margin-top:41.2pt;width:436.55pt;height:95.8pt;z-index:25179443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8"/>
                    <w:gridCol w:w="8124"/>
                  </w:tblGrid>
                  <w:tr w:rsidR="00894070" w14:paraId="7A0F871E" w14:textId="77777777">
                    <w:trPr>
                      <w:trHeight w:val="634"/>
                    </w:trPr>
                    <w:tc>
                      <w:tcPr>
                        <w:tcW w:w="608" w:type="dxa"/>
                        <w:tcBorders>
                          <w:bottom w:val="single" w:sz="8" w:space="0" w:color="F8CABC"/>
                        </w:tcBorders>
                      </w:tcPr>
                      <w:p w14:paraId="3230E10C" w14:textId="77777777" w:rsidR="00894070" w:rsidRDefault="009B7AFD">
                        <w:pPr>
                          <w:pStyle w:val="TableParagraph"/>
                          <w:spacing w:line="235" w:lineRule="exact"/>
                          <w:ind w:left="0"/>
                          <w:rPr>
                            <w:sz w:val="20"/>
                          </w:rPr>
                        </w:pPr>
                        <w:r>
                          <w:rPr>
                            <w:color w:val="231F20"/>
                            <w:sz w:val="20"/>
                          </w:rPr>
                          <w:t>7.132</w:t>
                        </w:r>
                      </w:p>
                    </w:tc>
                    <w:tc>
                      <w:tcPr>
                        <w:tcW w:w="8124" w:type="dxa"/>
                        <w:tcBorders>
                          <w:bottom w:val="single" w:sz="8" w:space="0" w:color="F8CABC"/>
                        </w:tcBorders>
                      </w:tcPr>
                      <w:p w14:paraId="183666B9" w14:textId="77777777" w:rsidR="00894070" w:rsidRDefault="009B7AFD">
                        <w:pPr>
                          <w:pStyle w:val="TableParagraph"/>
                          <w:spacing w:line="206" w:lineRule="auto"/>
                          <w:ind w:left="185"/>
                          <w:rPr>
                            <w:sz w:val="11"/>
                          </w:rPr>
                        </w:pPr>
                        <w:r>
                          <w:rPr>
                            <w:color w:val="231F20"/>
                            <w:sz w:val="20"/>
                          </w:rPr>
                          <w:t>This</w:t>
                        </w:r>
                        <w:r>
                          <w:rPr>
                            <w:color w:val="231F20"/>
                            <w:spacing w:val="-11"/>
                            <w:sz w:val="20"/>
                          </w:rPr>
                          <w:t xml:space="preserve"> </w:t>
                        </w:r>
                        <w:r>
                          <w:rPr>
                            <w:color w:val="231F20"/>
                            <w:sz w:val="20"/>
                          </w:rPr>
                          <w:t>must</w:t>
                        </w:r>
                        <w:r>
                          <w:rPr>
                            <w:color w:val="231F20"/>
                            <w:spacing w:val="-10"/>
                            <w:sz w:val="20"/>
                          </w:rPr>
                          <w:t xml:space="preserve"> </w:t>
                        </w:r>
                        <w:r>
                          <w:rPr>
                            <w:color w:val="231F20"/>
                            <w:sz w:val="20"/>
                          </w:rPr>
                          <w:t>be</w:t>
                        </w:r>
                        <w:r>
                          <w:rPr>
                            <w:color w:val="231F20"/>
                            <w:spacing w:val="-11"/>
                            <w:sz w:val="20"/>
                          </w:rPr>
                          <w:t xml:space="preserve"> </w:t>
                        </w:r>
                        <w:r>
                          <w:rPr>
                            <w:color w:val="231F20"/>
                            <w:sz w:val="20"/>
                          </w:rPr>
                          <w:t>considered</w:t>
                        </w:r>
                        <w:r>
                          <w:rPr>
                            <w:color w:val="231F20"/>
                            <w:spacing w:val="-10"/>
                            <w:sz w:val="20"/>
                          </w:rPr>
                          <w:t xml:space="preserve"> </w:t>
                        </w:r>
                        <w:r>
                          <w:rPr>
                            <w:color w:val="231F20"/>
                            <w:sz w:val="20"/>
                          </w:rPr>
                          <w:t>together</w:t>
                        </w:r>
                        <w:r>
                          <w:rPr>
                            <w:color w:val="231F20"/>
                            <w:spacing w:val="-10"/>
                            <w:sz w:val="20"/>
                          </w:rPr>
                          <w:t xml:space="preserve"> </w:t>
                        </w:r>
                        <w:r>
                          <w:rPr>
                            <w:color w:val="231F20"/>
                            <w:sz w:val="20"/>
                          </w:rPr>
                          <w:t>with</w:t>
                        </w:r>
                        <w:r>
                          <w:rPr>
                            <w:color w:val="231F20"/>
                            <w:spacing w:val="-11"/>
                            <w:sz w:val="20"/>
                          </w:rPr>
                          <w:t xml:space="preserve"> </w:t>
                        </w:r>
                        <w:r>
                          <w:rPr>
                            <w:color w:val="231F20"/>
                            <w:sz w:val="20"/>
                          </w:rPr>
                          <w:t>the</w:t>
                        </w:r>
                        <w:r>
                          <w:rPr>
                            <w:color w:val="231F20"/>
                            <w:spacing w:val="-10"/>
                            <w:sz w:val="20"/>
                          </w:rPr>
                          <w:t xml:space="preserve"> </w:t>
                        </w:r>
                        <w:r>
                          <w:rPr>
                            <w:color w:val="231F20"/>
                            <w:sz w:val="20"/>
                          </w:rPr>
                          <w:t>accused’s</w:t>
                        </w:r>
                        <w:r>
                          <w:rPr>
                            <w:color w:val="231F20"/>
                            <w:spacing w:val="-10"/>
                            <w:sz w:val="20"/>
                          </w:rPr>
                          <w:t xml:space="preserve"> </w:t>
                        </w:r>
                        <w:r>
                          <w:rPr>
                            <w:color w:val="231F20"/>
                            <w:sz w:val="20"/>
                          </w:rPr>
                          <w:t>right</w:t>
                        </w:r>
                        <w:r>
                          <w:rPr>
                            <w:color w:val="231F20"/>
                            <w:spacing w:val="-11"/>
                            <w:sz w:val="20"/>
                          </w:rPr>
                          <w:t xml:space="preserve"> </w:t>
                        </w:r>
                        <w:r>
                          <w:rPr>
                            <w:color w:val="231F20"/>
                            <w:sz w:val="20"/>
                          </w:rPr>
                          <w:t>to</w:t>
                        </w:r>
                        <w:r>
                          <w:rPr>
                            <w:color w:val="231F20"/>
                            <w:spacing w:val="-10"/>
                            <w:sz w:val="20"/>
                          </w:rPr>
                          <w:t xml:space="preserve"> </w:t>
                        </w:r>
                        <w:r>
                          <w:rPr>
                            <w:color w:val="231F20"/>
                            <w:sz w:val="20"/>
                          </w:rPr>
                          <w:t>a</w:t>
                        </w:r>
                        <w:r>
                          <w:rPr>
                            <w:color w:val="231F20"/>
                            <w:spacing w:val="-10"/>
                            <w:sz w:val="20"/>
                          </w:rPr>
                          <w:t xml:space="preserve"> </w:t>
                        </w:r>
                        <w:r>
                          <w:rPr>
                            <w:color w:val="231F20"/>
                            <w:sz w:val="20"/>
                          </w:rPr>
                          <w:t>fair</w:t>
                        </w:r>
                        <w:r>
                          <w:rPr>
                            <w:color w:val="231F20"/>
                            <w:spacing w:val="-11"/>
                            <w:sz w:val="20"/>
                          </w:rPr>
                          <w:t xml:space="preserve"> </w:t>
                        </w:r>
                        <w:r>
                          <w:rPr>
                            <w:color w:val="231F20"/>
                            <w:sz w:val="20"/>
                          </w:rPr>
                          <w:t>trial</w:t>
                        </w:r>
                        <w:r>
                          <w:rPr>
                            <w:color w:val="231F20"/>
                            <w:spacing w:val="-10"/>
                            <w:sz w:val="20"/>
                          </w:rPr>
                          <w:t xml:space="preserve"> </w:t>
                        </w:r>
                        <w:r>
                          <w:rPr>
                            <w:color w:val="231F20"/>
                            <w:sz w:val="20"/>
                          </w:rPr>
                          <w:t>and</w:t>
                        </w:r>
                        <w:r>
                          <w:rPr>
                            <w:color w:val="231F20"/>
                            <w:spacing w:val="-10"/>
                            <w:sz w:val="20"/>
                          </w:rPr>
                          <w:t xml:space="preserve"> </w:t>
                        </w:r>
                        <w:r>
                          <w:rPr>
                            <w:color w:val="231F20"/>
                            <w:sz w:val="20"/>
                          </w:rPr>
                          <w:t>the</w:t>
                        </w:r>
                        <w:r>
                          <w:rPr>
                            <w:color w:val="231F20"/>
                            <w:spacing w:val="-11"/>
                            <w:sz w:val="20"/>
                          </w:rPr>
                          <w:t xml:space="preserve"> </w:t>
                        </w:r>
                        <w:r>
                          <w:rPr>
                            <w:color w:val="231F20"/>
                            <w:sz w:val="20"/>
                          </w:rPr>
                          <w:t>right</w:t>
                        </w:r>
                        <w:r>
                          <w:rPr>
                            <w:color w:val="231F20"/>
                            <w:spacing w:val="-10"/>
                            <w:sz w:val="20"/>
                          </w:rPr>
                          <w:t xml:space="preserve"> </w:t>
                        </w:r>
                        <w:r>
                          <w:rPr>
                            <w:color w:val="231F20"/>
                            <w:sz w:val="20"/>
                          </w:rPr>
                          <w:t>to make a full and proper</w:t>
                        </w:r>
                        <w:r>
                          <w:rPr>
                            <w:color w:val="231F20"/>
                            <w:spacing w:val="-22"/>
                            <w:sz w:val="20"/>
                          </w:rPr>
                          <w:t xml:space="preserve"> </w:t>
                        </w:r>
                        <w:r>
                          <w:rPr>
                            <w:color w:val="231F20"/>
                            <w:sz w:val="20"/>
                          </w:rPr>
                          <w:t>defence.</w:t>
                        </w:r>
                        <w:r>
                          <w:rPr>
                            <w:color w:val="231F20"/>
                            <w:position w:val="7"/>
                            <w:sz w:val="11"/>
                          </w:rPr>
                          <w:t>155</w:t>
                        </w:r>
                      </w:p>
                    </w:tc>
                  </w:tr>
                  <w:tr w:rsidR="00894070" w14:paraId="460C5AAD" w14:textId="77777777">
                    <w:trPr>
                      <w:trHeight w:val="304"/>
                    </w:trPr>
                    <w:tc>
                      <w:tcPr>
                        <w:tcW w:w="608" w:type="dxa"/>
                        <w:tcBorders>
                          <w:top w:val="single" w:sz="8" w:space="0" w:color="F8CABC"/>
                        </w:tcBorders>
                      </w:tcPr>
                      <w:p w14:paraId="40BF87C7" w14:textId="77777777" w:rsidR="00894070" w:rsidRDefault="009B7AFD">
                        <w:pPr>
                          <w:pStyle w:val="TableParagraph"/>
                          <w:spacing w:before="120" w:line="164" w:lineRule="exact"/>
                          <w:ind w:left="0"/>
                          <w:rPr>
                            <w:sz w:val="13"/>
                          </w:rPr>
                        </w:pPr>
                        <w:r>
                          <w:rPr>
                            <w:color w:val="231F20"/>
                            <w:sz w:val="13"/>
                          </w:rPr>
                          <w:t>151</w:t>
                        </w:r>
                      </w:p>
                    </w:tc>
                    <w:tc>
                      <w:tcPr>
                        <w:tcW w:w="8124" w:type="dxa"/>
                        <w:tcBorders>
                          <w:top w:val="single" w:sz="8" w:space="0" w:color="F8CABC"/>
                        </w:tcBorders>
                      </w:tcPr>
                      <w:p w14:paraId="0EC8BD21" w14:textId="77777777" w:rsidR="00894070" w:rsidRDefault="009B7AFD">
                        <w:pPr>
                          <w:pStyle w:val="TableParagraph"/>
                          <w:spacing w:before="120" w:line="164" w:lineRule="exact"/>
                          <w:ind w:left="185"/>
                          <w:rPr>
                            <w:sz w:val="13"/>
                          </w:rPr>
                        </w:pPr>
                        <w:r>
                          <w:rPr>
                            <w:color w:val="231F20"/>
                            <w:sz w:val="13"/>
                          </w:rPr>
                          <w:t>Ibid s 9(a)–(c).</w:t>
                        </w:r>
                      </w:p>
                    </w:tc>
                  </w:tr>
                  <w:tr w:rsidR="00894070" w14:paraId="2B63CCFA" w14:textId="77777777">
                    <w:trPr>
                      <w:trHeight w:val="160"/>
                    </w:trPr>
                    <w:tc>
                      <w:tcPr>
                        <w:tcW w:w="608" w:type="dxa"/>
                      </w:tcPr>
                      <w:p w14:paraId="62FF87D2" w14:textId="77777777" w:rsidR="00894070" w:rsidRDefault="009B7AFD">
                        <w:pPr>
                          <w:pStyle w:val="TableParagraph"/>
                          <w:spacing w:line="140" w:lineRule="exact"/>
                          <w:ind w:left="0"/>
                          <w:rPr>
                            <w:sz w:val="13"/>
                          </w:rPr>
                        </w:pPr>
                        <w:r>
                          <w:rPr>
                            <w:color w:val="231F20"/>
                            <w:sz w:val="13"/>
                          </w:rPr>
                          <w:t>152</w:t>
                        </w:r>
                      </w:p>
                    </w:tc>
                    <w:tc>
                      <w:tcPr>
                        <w:tcW w:w="8124" w:type="dxa"/>
                      </w:tcPr>
                      <w:p w14:paraId="000A6F7D" w14:textId="77777777" w:rsidR="00894070" w:rsidRDefault="009B7AFD">
                        <w:pPr>
                          <w:pStyle w:val="TableParagraph"/>
                          <w:spacing w:line="140" w:lineRule="exact"/>
                          <w:ind w:left="185"/>
                          <w:rPr>
                            <w:sz w:val="13"/>
                          </w:rPr>
                        </w:pPr>
                        <w:r>
                          <w:rPr>
                            <w:color w:val="231F20"/>
                            <w:sz w:val="13"/>
                          </w:rPr>
                          <w:t xml:space="preserve">Victorian Law Reform Commission, </w:t>
                        </w:r>
                        <w:r>
                          <w:rPr>
                            <w:i/>
                            <w:color w:val="231F20"/>
                            <w:sz w:val="13"/>
                          </w:rPr>
                          <w:t xml:space="preserve">The Role of Victims of Crime in the Criminal Trial Process </w:t>
                        </w:r>
                        <w:r>
                          <w:rPr>
                            <w:color w:val="231F20"/>
                            <w:sz w:val="13"/>
                          </w:rPr>
                          <w:t>(Report No 34, August 2016): [17]–[18],</w:t>
                        </w:r>
                      </w:p>
                    </w:tc>
                  </w:tr>
                  <w:tr w:rsidR="00894070" w14:paraId="7ADBE381" w14:textId="77777777">
                    <w:trPr>
                      <w:trHeight w:val="160"/>
                    </w:trPr>
                    <w:tc>
                      <w:tcPr>
                        <w:tcW w:w="608" w:type="dxa"/>
                      </w:tcPr>
                      <w:p w14:paraId="2EBB6000" w14:textId="77777777" w:rsidR="00894070" w:rsidRDefault="00894070">
                        <w:pPr>
                          <w:pStyle w:val="TableParagraph"/>
                          <w:ind w:left="0"/>
                          <w:rPr>
                            <w:rFonts w:ascii="Times New Roman"/>
                            <w:sz w:val="10"/>
                          </w:rPr>
                        </w:pPr>
                      </w:p>
                    </w:tc>
                    <w:tc>
                      <w:tcPr>
                        <w:tcW w:w="8124" w:type="dxa"/>
                      </w:tcPr>
                      <w:p w14:paraId="655EA48F" w14:textId="77777777" w:rsidR="00894070" w:rsidRDefault="009B7AFD">
                        <w:pPr>
                          <w:pStyle w:val="TableParagraph"/>
                          <w:spacing w:line="140" w:lineRule="exact"/>
                          <w:ind w:left="185"/>
                          <w:rPr>
                            <w:sz w:val="13"/>
                          </w:rPr>
                        </w:pPr>
                        <w:r>
                          <w:rPr>
                            <w:color w:val="231F20"/>
                            <w:sz w:val="13"/>
                          </w:rPr>
                          <w:t>[3.20]–[3.26].</w:t>
                        </w:r>
                      </w:p>
                    </w:tc>
                  </w:tr>
                  <w:tr w:rsidR="00894070" w14:paraId="73637B4C" w14:textId="77777777">
                    <w:trPr>
                      <w:trHeight w:val="160"/>
                    </w:trPr>
                    <w:tc>
                      <w:tcPr>
                        <w:tcW w:w="608" w:type="dxa"/>
                      </w:tcPr>
                      <w:p w14:paraId="60B3B8BC" w14:textId="77777777" w:rsidR="00894070" w:rsidRDefault="009B7AFD">
                        <w:pPr>
                          <w:pStyle w:val="TableParagraph"/>
                          <w:spacing w:line="140" w:lineRule="exact"/>
                          <w:ind w:left="0"/>
                          <w:rPr>
                            <w:sz w:val="13"/>
                          </w:rPr>
                        </w:pPr>
                        <w:r>
                          <w:rPr>
                            <w:color w:val="231F20"/>
                            <w:sz w:val="13"/>
                          </w:rPr>
                          <w:t>153</w:t>
                        </w:r>
                      </w:p>
                    </w:tc>
                    <w:tc>
                      <w:tcPr>
                        <w:tcW w:w="8124" w:type="dxa"/>
                      </w:tcPr>
                      <w:p w14:paraId="69C2DB49" w14:textId="77777777" w:rsidR="00894070" w:rsidRDefault="009B7AFD">
                        <w:pPr>
                          <w:pStyle w:val="TableParagraph"/>
                          <w:spacing w:line="140" w:lineRule="exact"/>
                          <w:ind w:left="185"/>
                          <w:rPr>
                            <w:sz w:val="13"/>
                          </w:rPr>
                        </w:pPr>
                        <w:r>
                          <w:rPr>
                            <w:i/>
                            <w:color w:val="231F20"/>
                            <w:sz w:val="13"/>
                          </w:rPr>
                          <w:t xml:space="preserve">Victims’ Charter Act 2006 </w:t>
                        </w:r>
                        <w:r>
                          <w:rPr>
                            <w:color w:val="231F20"/>
                            <w:sz w:val="13"/>
                          </w:rPr>
                          <w:t>(Vic) ss 4(1)(ba), 7A.</w:t>
                        </w:r>
                      </w:p>
                    </w:tc>
                  </w:tr>
                  <w:tr w:rsidR="00894070" w14:paraId="01CEA620" w14:textId="77777777">
                    <w:trPr>
                      <w:trHeight w:val="159"/>
                    </w:trPr>
                    <w:tc>
                      <w:tcPr>
                        <w:tcW w:w="608" w:type="dxa"/>
                      </w:tcPr>
                      <w:p w14:paraId="4A7E1582" w14:textId="77777777" w:rsidR="00894070" w:rsidRDefault="009B7AFD">
                        <w:pPr>
                          <w:pStyle w:val="TableParagraph"/>
                          <w:spacing w:line="140" w:lineRule="exact"/>
                          <w:ind w:left="0"/>
                          <w:rPr>
                            <w:sz w:val="13"/>
                          </w:rPr>
                        </w:pPr>
                        <w:r>
                          <w:rPr>
                            <w:color w:val="231F20"/>
                            <w:sz w:val="13"/>
                          </w:rPr>
                          <w:t>154</w:t>
                        </w:r>
                      </w:p>
                    </w:tc>
                    <w:tc>
                      <w:tcPr>
                        <w:tcW w:w="8124" w:type="dxa"/>
                      </w:tcPr>
                      <w:p w14:paraId="620C02A7" w14:textId="77777777" w:rsidR="00894070" w:rsidRDefault="009B7AFD">
                        <w:pPr>
                          <w:pStyle w:val="TableParagraph"/>
                          <w:spacing w:line="140" w:lineRule="exact"/>
                          <w:ind w:left="185"/>
                          <w:rPr>
                            <w:sz w:val="13"/>
                          </w:rPr>
                        </w:pPr>
                        <w:r>
                          <w:rPr>
                            <w:color w:val="231F20"/>
                            <w:sz w:val="13"/>
                          </w:rPr>
                          <w:t xml:space="preserve">Victorian Law Reform Commission, </w:t>
                        </w:r>
                        <w:r>
                          <w:rPr>
                            <w:i/>
                            <w:color w:val="231F20"/>
                            <w:sz w:val="13"/>
                          </w:rPr>
                          <w:t xml:space="preserve">The Role of Victims of Crime in the Criminal Trial Process </w:t>
                        </w:r>
                        <w:r>
                          <w:rPr>
                            <w:color w:val="231F20"/>
                            <w:sz w:val="13"/>
                          </w:rPr>
                          <w:t>(Report No 34, August 2016) [8.1].</w:t>
                        </w:r>
                      </w:p>
                    </w:tc>
                  </w:tr>
                  <w:tr w:rsidR="00894070" w14:paraId="384676A6" w14:textId="77777777">
                    <w:trPr>
                      <w:trHeight w:val="160"/>
                    </w:trPr>
                    <w:tc>
                      <w:tcPr>
                        <w:tcW w:w="608" w:type="dxa"/>
                      </w:tcPr>
                      <w:p w14:paraId="6FC7CADA" w14:textId="77777777" w:rsidR="00894070" w:rsidRDefault="009B7AFD">
                        <w:pPr>
                          <w:pStyle w:val="TableParagraph"/>
                          <w:spacing w:line="140" w:lineRule="exact"/>
                          <w:ind w:left="0"/>
                          <w:rPr>
                            <w:sz w:val="13"/>
                          </w:rPr>
                        </w:pPr>
                        <w:r>
                          <w:rPr>
                            <w:color w:val="231F20"/>
                            <w:sz w:val="13"/>
                          </w:rPr>
                          <w:t>155</w:t>
                        </w:r>
                      </w:p>
                    </w:tc>
                    <w:tc>
                      <w:tcPr>
                        <w:tcW w:w="8124" w:type="dxa"/>
                      </w:tcPr>
                      <w:p w14:paraId="5EBDF3FF" w14:textId="77777777" w:rsidR="00894070" w:rsidRDefault="009B7AFD">
                        <w:pPr>
                          <w:pStyle w:val="TableParagraph"/>
                          <w:spacing w:line="140" w:lineRule="exact"/>
                          <w:ind w:left="185"/>
                          <w:rPr>
                            <w:sz w:val="13"/>
                          </w:rPr>
                        </w:pPr>
                        <w:r>
                          <w:rPr>
                            <w:i/>
                            <w:color w:val="231F20"/>
                            <w:sz w:val="13"/>
                          </w:rPr>
                          <w:t xml:space="preserve">Charter of Human Rights and Responsibilities Act 2006 </w:t>
                        </w:r>
                        <w:r>
                          <w:rPr>
                            <w:color w:val="231F20"/>
                            <w:sz w:val="13"/>
                          </w:rPr>
                          <w:t>(Vic) ss 24(1), 25(2); Liberty Victoria also referred to the accused’s right in</w:t>
                        </w:r>
                      </w:p>
                    </w:tc>
                  </w:tr>
                  <w:tr w:rsidR="00894070" w14:paraId="11749557" w14:textId="77777777">
                    <w:trPr>
                      <w:trHeight w:val="156"/>
                    </w:trPr>
                    <w:tc>
                      <w:tcPr>
                        <w:tcW w:w="608" w:type="dxa"/>
                      </w:tcPr>
                      <w:p w14:paraId="02427F32" w14:textId="77777777" w:rsidR="00894070" w:rsidRDefault="00894070">
                        <w:pPr>
                          <w:pStyle w:val="TableParagraph"/>
                          <w:ind w:left="0"/>
                          <w:rPr>
                            <w:rFonts w:ascii="Times New Roman"/>
                            <w:sz w:val="10"/>
                          </w:rPr>
                        </w:pPr>
                      </w:p>
                    </w:tc>
                    <w:tc>
                      <w:tcPr>
                        <w:tcW w:w="8124" w:type="dxa"/>
                      </w:tcPr>
                      <w:p w14:paraId="4C16602E" w14:textId="77777777" w:rsidR="00894070" w:rsidRDefault="009B7AFD">
                        <w:pPr>
                          <w:pStyle w:val="TableParagraph"/>
                          <w:spacing w:line="136" w:lineRule="exact"/>
                          <w:ind w:left="185"/>
                          <w:rPr>
                            <w:sz w:val="13"/>
                          </w:rPr>
                        </w:pPr>
                        <w:r>
                          <w:rPr>
                            <w:color w:val="231F20"/>
                            <w:sz w:val="13"/>
                          </w:rPr>
                          <w:t>section 25 of the Charter to be presumed innocent when charged with criminal offending: Submission 47 (Liberty Victoria).</w:t>
                        </w:r>
                      </w:p>
                    </w:tc>
                  </w:tr>
                </w:tbl>
                <w:p w14:paraId="4091DFCE" w14:textId="77777777" w:rsidR="00894070" w:rsidRDefault="00894070">
                  <w:pPr>
                    <w:pStyle w:val="BodyText"/>
                  </w:pPr>
                </w:p>
              </w:txbxContent>
            </v:textbox>
            <w10:wrap anchorx="page"/>
          </v:shape>
        </w:pict>
      </w:r>
      <w:r w:rsidR="009B7AFD">
        <w:rPr>
          <w:color w:val="231F20"/>
          <w:sz w:val="19"/>
        </w:rPr>
        <w:t xml:space="preserve">traumatised by seeing the accused in court and may find the courtroom environment intimidating and stressful. Cross-examination </w:t>
      </w:r>
      <w:proofErr w:type="gramStart"/>
      <w:r w:rsidR="009B7AFD">
        <w:rPr>
          <w:color w:val="231F20"/>
          <w:sz w:val="19"/>
        </w:rPr>
        <w:t>in particular can</w:t>
      </w:r>
      <w:proofErr w:type="gramEnd"/>
      <w:r w:rsidR="009B7AFD">
        <w:rPr>
          <w:color w:val="231F20"/>
          <w:sz w:val="19"/>
        </w:rPr>
        <w:t xml:space="preserve"> cause victims distress and further emotional harm.</w:t>
      </w:r>
      <w:r w:rsidR="009B7AFD">
        <w:rPr>
          <w:color w:val="231F20"/>
          <w:position w:val="6"/>
          <w:sz w:val="11"/>
        </w:rPr>
        <w:t>154</w:t>
      </w:r>
    </w:p>
    <w:p w14:paraId="69685F02" w14:textId="77777777" w:rsidR="00894070" w:rsidRDefault="00894070">
      <w:pPr>
        <w:pStyle w:val="BodyText"/>
        <w:rPr>
          <w:sz w:val="22"/>
        </w:rPr>
      </w:pPr>
    </w:p>
    <w:p w14:paraId="6411C91C" w14:textId="77777777" w:rsidR="00894070" w:rsidRDefault="00894070">
      <w:pPr>
        <w:pStyle w:val="BodyText"/>
        <w:rPr>
          <w:sz w:val="22"/>
        </w:rPr>
      </w:pPr>
    </w:p>
    <w:p w14:paraId="195D1AE7" w14:textId="77777777" w:rsidR="00894070" w:rsidRDefault="00894070">
      <w:pPr>
        <w:pStyle w:val="BodyText"/>
        <w:rPr>
          <w:sz w:val="22"/>
        </w:rPr>
      </w:pPr>
    </w:p>
    <w:p w14:paraId="23DDE0B1" w14:textId="77777777" w:rsidR="00894070" w:rsidRDefault="00894070">
      <w:pPr>
        <w:pStyle w:val="BodyText"/>
        <w:rPr>
          <w:sz w:val="22"/>
        </w:rPr>
      </w:pPr>
    </w:p>
    <w:p w14:paraId="1201B8CD" w14:textId="77777777" w:rsidR="00894070" w:rsidRDefault="00894070">
      <w:pPr>
        <w:pStyle w:val="BodyText"/>
        <w:rPr>
          <w:sz w:val="22"/>
        </w:rPr>
      </w:pPr>
    </w:p>
    <w:p w14:paraId="671B436C" w14:textId="77777777" w:rsidR="00894070" w:rsidRDefault="00894070">
      <w:pPr>
        <w:pStyle w:val="BodyText"/>
        <w:spacing w:before="7"/>
        <w:rPr>
          <w:sz w:val="15"/>
        </w:rPr>
      </w:pPr>
    </w:p>
    <w:p w14:paraId="1BF673DB" w14:textId="77777777" w:rsidR="00894070" w:rsidRDefault="009B7AFD">
      <w:pPr>
        <w:pStyle w:val="Heading8"/>
        <w:ind w:right="184"/>
        <w:jc w:val="right"/>
      </w:pPr>
      <w:r>
        <w:rPr>
          <w:color w:val="EA5B50"/>
        </w:rPr>
        <w:t>153</w:t>
      </w:r>
    </w:p>
    <w:p w14:paraId="58C7686E" w14:textId="77777777" w:rsidR="00894070" w:rsidRDefault="00894070">
      <w:pPr>
        <w:jc w:val="right"/>
        <w:sectPr w:rsidR="00894070">
          <w:pgSz w:w="11910" w:h="16840"/>
          <w:pgMar w:top="840" w:right="420" w:bottom="280" w:left="580" w:header="0" w:footer="0" w:gutter="0"/>
          <w:cols w:space="720"/>
        </w:sectPr>
      </w:pPr>
    </w:p>
    <w:p w14:paraId="74FE35ED" w14:textId="77777777" w:rsidR="00894070" w:rsidRDefault="00894070">
      <w:pPr>
        <w:pStyle w:val="BodyText"/>
        <w:rPr>
          <w:b/>
        </w:rPr>
      </w:pPr>
    </w:p>
    <w:p w14:paraId="5767A980" w14:textId="77777777" w:rsidR="00894070" w:rsidRDefault="00894070">
      <w:pPr>
        <w:pStyle w:val="BodyText"/>
        <w:rPr>
          <w:b/>
        </w:rPr>
      </w:pPr>
    </w:p>
    <w:p w14:paraId="3EDE7CA0" w14:textId="77777777" w:rsidR="00894070" w:rsidRDefault="00894070">
      <w:pPr>
        <w:pStyle w:val="BodyText"/>
        <w:rPr>
          <w:b/>
        </w:rPr>
      </w:pPr>
    </w:p>
    <w:p w14:paraId="785FD9E4" w14:textId="77777777" w:rsidR="00894070" w:rsidRDefault="00894070">
      <w:pPr>
        <w:pStyle w:val="BodyText"/>
        <w:spacing w:before="7"/>
        <w:rPr>
          <w:b/>
          <w:sz w:val="16"/>
        </w:rPr>
      </w:pPr>
    </w:p>
    <w:p w14:paraId="103702E2" w14:textId="77777777" w:rsidR="00894070" w:rsidRDefault="009B7AFD">
      <w:pPr>
        <w:pStyle w:val="ListParagraph"/>
        <w:numPr>
          <w:ilvl w:val="0"/>
          <w:numId w:val="45"/>
        </w:numPr>
        <w:tabs>
          <w:tab w:val="left" w:pos="1801"/>
          <w:tab w:val="left" w:pos="1802"/>
        </w:tabs>
        <w:rPr>
          <w:sz w:val="20"/>
        </w:rPr>
      </w:pPr>
      <w:bookmarkStart w:id="172" w:name="_bookmark103"/>
      <w:bookmarkEnd w:id="172"/>
      <w:r>
        <w:rPr>
          <w:color w:val="231F20"/>
          <w:sz w:val="20"/>
        </w:rPr>
        <w:t>It is important that court</w:t>
      </w:r>
      <w:r>
        <w:rPr>
          <w:color w:val="231F20"/>
          <w:spacing w:val="-21"/>
          <w:sz w:val="20"/>
        </w:rPr>
        <w:t xml:space="preserve"> </w:t>
      </w:r>
      <w:r>
        <w:rPr>
          <w:color w:val="231F20"/>
          <w:spacing w:val="-3"/>
          <w:sz w:val="20"/>
        </w:rPr>
        <w:t>processes:</w:t>
      </w:r>
    </w:p>
    <w:p w14:paraId="29763FBE" w14:textId="77777777" w:rsidR="00894070" w:rsidRDefault="009B7AFD">
      <w:pPr>
        <w:pStyle w:val="ListParagraph"/>
        <w:numPr>
          <w:ilvl w:val="1"/>
          <w:numId w:val="45"/>
        </w:numPr>
        <w:tabs>
          <w:tab w:val="left" w:pos="2141"/>
          <w:tab w:val="left" w:pos="2142"/>
        </w:tabs>
        <w:spacing w:before="82"/>
        <w:ind w:hanging="340"/>
        <w:rPr>
          <w:sz w:val="20"/>
        </w:rPr>
      </w:pPr>
      <w:r>
        <w:rPr>
          <w:color w:val="231F20"/>
          <w:spacing w:val="-3"/>
          <w:sz w:val="20"/>
        </w:rPr>
        <w:t xml:space="preserve">are safe for </w:t>
      </w:r>
      <w:r>
        <w:rPr>
          <w:color w:val="231F20"/>
          <w:sz w:val="20"/>
        </w:rPr>
        <w:t>people who experience</w:t>
      </w:r>
      <w:r>
        <w:rPr>
          <w:color w:val="231F20"/>
          <w:spacing w:val="-17"/>
          <w:sz w:val="20"/>
        </w:rPr>
        <w:t xml:space="preserve"> </w:t>
      </w:r>
      <w:r>
        <w:rPr>
          <w:color w:val="231F20"/>
          <w:sz w:val="20"/>
        </w:rPr>
        <w:t>stalking</w:t>
      </w:r>
    </w:p>
    <w:p w14:paraId="387812DF" w14:textId="77777777" w:rsidR="00894070" w:rsidRDefault="009B7AFD">
      <w:pPr>
        <w:pStyle w:val="ListParagraph"/>
        <w:numPr>
          <w:ilvl w:val="1"/>
          <w:numId w:val="45"/>
        </w:numPr>
        <w:tabs>
          <w:tab w:val="left" w:pos="2141"/>
          <w:tab w:val="left" w:pos="2142"/>
        </w:tabs>
        <w:spacing w:before="48"/>
        <w:ind w:hanging="340"/>
        <w:rPr>
          <w:sz w:val="20"/>
        </w:rPr>
      </w:pPr>
      <w:r>
        <w:rPr>
          <w:color w:val="231F20"/>
          <w:sz w:val="20"/>
        </w:rPr>
        <w:t>do not further traumatise</w:t>
      </w:r>
      <w:r>
        <w:rPr>
          <w:color w:val="231F20"/>
          <w:spacing w:val="-17"/>
          <w:sz w:val="20"/>
        </w:rPr>
        <w:t xml:space="preserve"> </w:t>
      </w:r>
      <w:r>
        <w:rPr>
          <w:color w:val="231F20"/>
          <w:sz w:val="20"/>
        </w:rPr>
        <w:t>them</w:t>
      </w:r>
    </w:p>
    <w:p w14:paraId="7178CD59" w14:textId="77777777" w:rsidR="00894070" w:rsidRDefault="009B7AFD">
      <w:pPr>
        <w:pStyle w:val="ListParagraph"/>
        <w:numPr>
          <w:ilvl w:val="1"/>
          <w:numId w:val="45"/>
        </w:numPr>
        <w:tabs>
          <w:tab w:val="left" w:pos="2141"/>
          <w:tab w:val="left" w:pos="2142"/>
        </w:tabs>
        <w:spacing w:before="47"/>
        <w:ind w:hanging="340"/>
        <w:rPr>
          <w:sz w:val="20"/>
        </w:rPr>
      </w:pPr>
      <w:r>
        <w:rPr>
          <w:color w:val="231F20"/>
          <w:sz w:val="20"/>
        </w:rPr>
        <w:t>do</w:t>
      </w:r>
      <w:r>
        <w:rPr>
          <w:color w:val="231F20"/>
          <w:spacing w:val="-5"/>
          <w:sz w:val="20"/>
        </w:rPr>
        <w:t xml:space="preserve"> </w:t>
      </w:r>
      <w:r>
        <w:rPr>
          <w:color w:val="231F20"/>
          <w:sz w:val="20"/>
        </w:rPr>
        <w:t>not</w:t>
      </w:r>
      <w:r>
        <w:rPr>
          <w:color w:val="231F20"/>
          <w:spacing w:val="-5"/>
          <w:sz w:val="20"/>
        </w:rPr>
        <w:t xml:space="preserve"> </w:t>
      </w:r>
      <w:r>
        <w:rPr>
          <w:color w:val="231F20"/>
          <w:spacing w:val="-3"/>
          <w:sz w:val="20"/>
        </w:rPr>
        <w:t>give</w:t>
      </w:r>
      <w:r>
        <w:rPr>
          <w:color w:val="231F20"/>
          <w:spacing w:val="-5"/>
          <w:sz w:val="20"/>
        </w:rPr>
        <w:t xml:space="preserve"> </w:t>
      </w:r>
      <w:r>
        <w:rPr>
          <w:color w:val="231F20"/>
          <w:sz w:val="20"/>
        </w:rPr>
        <w:t>accused</w:t>
      </w:r>
      <w:r>
        <w:rPr>
          <w:color w:val="231F20"/>
          <w:spacing w:val="-4"/>
          <w:sz w:val="20"/>
        </w:rPr>
        <w:t xml:space="preserve"> </w:t>
      </w:r>
      <w:r>
        <w:rPr>
          <w:color w:val="231F20"/>
          <w:sz w:val="20"/>
        </w:rPr>
        <w:t>persons</w:t>
      </w:r>
      <w:r>
        <w:rPr>
          <w:color w:val="231F20"/>
          <w:spacing w:val="-5"/>
          <w:sz w:val="20"/>
        </w:rPr>
        <w:t xml:space="preserve"> </w:t>
      </w:r>
      <w:r>
        <w:rPr>
          <w:color w:val="231F20"/>
          <w:sz w:val="20"/>
        </w:rPr>
        <w:t>new</w:t>
      </w:r>
      <w:r>
        <w:rPr>
          <w:color w:val="231F20"/>
          <w:spacing w:val="-5"/>
          <w:sz w:val="20"/>
        </w:rPr>
        <w:t xml:space="preserve"> </w:t>
      </w:r>
      <w:r>
        <w:rPr>
          <w:color w:val="231F20"/>
          <w:sz w:val="20"/>
        </w:rPr>
        <w:t>opportunities</w:t>
      </w:r>
      <w:r>
        <w:rPr>
          <w:color w:val="231F20"/>
          <w:spacing w:val="-4"/>
          <w:sz w:val="20"/>
        </w:rPr>
        <w:t xml:space="preserve"> </w:t>
      </w:r>
      <w:r>
        <w:rPr>
          <w:color w:val="231F20"/>
          <w:sz w:val="20"/>
        </w:rPr>
        <w:t>to</w:t>
      </w:r>
      <w:r>
        <w:rPr>
          <w:color w:val="231F20"/>
          <w:spacing w:val="-5"/>
          <w:sz w:val="20"/>
        </w:rPr>
        <w:t xml:space="preserve"> </w:t>
      </w:r>
      <w:r>
        <w:rPr>
          <w:color w:val="231F20"/>
          <w:sz w:val="20"/>
        </w:rPr>
        <w:t>cause</w:t>
      </w:r>
      <w:r>
        <w:rPr>
          <w:color w:val="231F20"/>
          <w:spacing w:val="-5"/>
          <w:sz w:val="20"/>
        </w:rPr>
        <w:t xml:space="preserve"> </w:t>
      </w:r>
      <w:r>
        <w:rPr>
          <w:color w:val="231F20"/>
          <w:sz w:val="20"/>
        </w:rPr>
        <w:t>harm</w:t>
      </w:r>
    </w:p>
    <w:p w14:paraId="426AD574" w14:textId="77777777" w:rsidR="00894070" w:rsidRDefault="009B7AFD">
      <w:pPr>
        <w:pStyle w:val="ListParagraph"/>
        <w:numPr>
          <w:ilvl w:val="1"/>
          <w:numId w:val="45"/>
        </w:numPr>
        <w:tabs>
          <w:tab w:val="left" w:pos="2141"/>
          <w:tab w:val="left" w:pos="2142"/>
        </w:tabs>
        <w:spacing w:before="80" w:line="206" w:lineRule="auto"/>
        <w:ind w:right="1369" w:hanging="340"/>
        <w:rPr>
          <w:sz w:val="20"/>
        </w:rPr>
      </w:pPr>
      <w:r>
        <w:rPr>
          <w:color w:val="231F20"/>
          <w:sz w:val="20"/>
        </w:rPr>
        <w:t>enable</w:t>
      </w:r>
      <w:r>
        <w:rPr>
          <w:color w:val="231F20"/>
          <w:spacing w:val="-11"/>
          <w:sz w:val="20"/>
        </w:rPr>
        <w:t xml:space="preserve"> </w:t>
      </w:r>
      <w:r>
        <w:rPr>
          <w:color w:val="231F20"/>
          <w:sz w:val="20"/>
        </w:rPr>
        <w:t>people</w:t>
      </w:r>
      <w:r>
        <w:rPr>
          <w:color w:val="231F20"/>
          <w:spacing w:val="-10"/>
          <w:sz w:val="20"/>
        </w:rPr>
        <w:t xml:space="preserve"> </w:t>
      </w:r>
      <w:r>
        <w:rPr>
          <w:color w:val="231F20"/>
          <w:sz w:val="20"/>
        </w:rPr>
        <w:t>who</w:t>
      </w:r>
      <w:r>
        <w:rPr>
          <w:color w:val="231F20"/>
          <w:spacing w:val="-10"/>
          <w:sz w:val="20"/>
        </w:rPr>
        <w:t xml:space="preserve"> </w:t>
      </w:r>
      <w:r>
        <w:rPr>
          <w:color w:val="231F20"/>
          <w:sz w:val="20"/>
        </w:rPr>
        <w:t>experience</w:t>
      </w:r>
      <w:r>
        <w:rPr>
          <w:color w:val="231F20"/>
          <w:spacing w:val="-10"/>
          <w:sz w:val="20"/>
        </w:rPr>
        <w:t xml:space="preserve"> </w:t>
      </w:r>
      <w:r>
        <w:rPr>
          <w:color w:val="231F20"/>
          <w:sz w:val="20"/>
        </w:rPr>
        <w:t>stalking</w:t>
      </w:r>
      <w:r>
        <w:rPr>
          <w:color w:val="231F20"/>
          <w:spacing w:val="-10"/>
          <w:sz w:val="20"/>
        </w:rPr>
        <w:t xml:space="preserve"> </w:t>
      </w:r>
      <w:r>
        <w:rPr>
          <w:color w:val="231F20"/>
          <w:sz w:val="20"/>
        </w:rPr>
        <w:t>to</w:t>
      </w:r>
      <w:r>
        <w:rPr>
          <w:color w:val="231F20"/>
          <w:spacing w:val="-11"/>
          <w:sz w:val="20"/>
        </w:rPr>
        <w:t xml:space="preserve"> </w:t>
      </w:r>
      <w:r>
        <w:rPr>
          <w:color w:val="231F20"/>
          <w:spacing w:val="-3"/>
          <w:sz w:val="20"/>
        </w:rPr>
        <w:t>give</w:t>
      </w:r>
      <w:r>
        <w:rPr>
          <w:color w:val="231F20"/>
          <w:spacing w:val="-10"/>
          <w:sz w:val="20"/>
        </w:rPr>
        <w:t xml:space="preserve"> </w:t>
      </w:r>
      <w:r>
        <w:rPr>
          <w:color w:val="231F20"/>
          <w:sz w:val="20"/>
        </w:rPr>
        <w:t>a</w:t>
      </w:r>
      <w:r>
        <w:rPr>
          <w:color w:val="231F20"/>
          <w:spacing w:val="-10"/>
          <w:sz w:val="20"/>
        </w:rPr>
        <w:t xml:space="preserve"> </w:t>
      </w:r>
      <w:r>
        <w:rPr>
          <w:color w:val="231F20"/>
          <w:sz w:val="20"/>
        </w:rPr>
        <w:t>reliable</w:t>
      </w:r>
      <w:r>
        <w:rPr>
          <w:color w:val="231F20"/>
          <w:spacing w:val="-10"/>
          <w:sz w:val="20"/>
        </w:rPr>
        <w:t xml:space="preserve"> </w:t>
      </w:r>
      <w:r>
        <w:rPr>
          <w:color w:val="231F20"/>
          <w:sz w:val="20"/>
        </w:rPr>
        <w:t>and</w:t>
      </w:r>
      <w:r>
        <w:rPr>
          <w:color w:val="231F20"/>
          <w:spacing w:val="-10"/>
          <w:sz w:val="20"/>
        </w:rPr>
        <w:t xml:space="preserve"> </w:t>
      </w:r>
      <w:r>
        <w:rPr>
          <w:color w:val="231F20"/>
          <w:spacing w:val="-3"/>
          <w:sz w:val="20"/>
        </w:rPr>
        <w:t>accurate</w:t>
      </w:r>
      <w:r>
        <w:rPr>
          <w:color w:val="231F20"/>
          <w:spacing w:val="-11"/>
          <w:sz w:val="20"/>
        </w:rPr>
        <w:t xml:space="preserve"> </w:t>
      </w:r>
      <w:r>
        <w:rPr>
          <w:color w:val="231F20"/>
          <w:sz w:val="20"/>
        </w:rPr>
        <w:t>account</w:t>
      </w:r>
      <w:r>
        <w:rPr>
          <w:color w:val="231F20"/>
          <w:spacing w:val="-10"/>
          <w:sz w:val="20"/>
        </w:rPr>
        <w:t xml:space="preserve"> </w:t>
      </w:r>
      <w:r>
        <w:rPr>
          <w:color w:val="231F20"/>
          <w:sz w:val="20"/>
        </w:rPr>
        <w:t>of their</w:t>
      </w:r>
      <w:r>
        <w:rPr>
          <w:color w:val="231F20"/>
          <w:spacing w:val="-5"/>
          <w:sz w:val="20"/>
        </w:rPr>
        <w:t xml:space="preserve"> </w:t>
      </w:r>
      <w:r>
        <w:rPr>
          <w:color w:val="231F20"/>
          <w:spacing w:val="-2"/>
          <w:sz w:val="20"/>
        </w:rPr>
        <w:t>evidence.</w:t>
      </w:r>
    </w:p>
    <w:p w14:paraId="178BA261" w14:textId="77777777" w:rsidR="00894070" w:rsidRDefault="009B7AFD">
      <w:pPr>
        <w:pStyle w:val="ListParagraph"/>
        <w:numPr>
          <w:ilvl w:val="0"/>
          <w:numId w:val="45"/>
        </w:numPr>
        <w:tabs>
          <w:tab w:val="left" w:pos="1801"/>
          <w:tab w:val="left" w:pos="1802"/>
        </w:tabs>
        <w:spacing w:before="87" w:line="206" w:lineRule="auto"/>
        <w:ind w:right="1570"/>
        <w:rPr>
          <w:sz w:val="11"/>
        </w:rPr>
      </w:pPr>
      <w:r>
        <w:rPr>
          <w:color w:val="231F20"/>
          <w:sz w:val="20"/>
        </w:rPr>
        <w:t xml:space="preserve">In Victoria, </w:t>
      </w:r>
      <w:r>
        <w:rPr>
          <w:color w:val="231F20"/>
          <w:spacing w:val="-3"/>
          <w:sz w:val="20"/>
        </w:rPr>
        <w:t xml:space="preserve">procedures are </w:t>
      </w:r>
      <w:r>
        <w:rPr>
          <w:color w:val="231F20"/>
          <w:sz w:val="20"/>
        </w:rPr>
        <w:t xml:space="preserve">designed to minimise the trauma and distress </w:t>
      </w:r>
      <w:r>
        <w:rPr>
          <w:color w:val="231F20"/>
          <w:spacing w:val="-4"/>
          <w:sz w:val="20"/>
        </w:rPr>
        <w:t xml:space="preserve">involved </w:t>
      </w:r>
      <w:r>
        <w:rPr>
          <w:color w:val="231F20"/>
          <w:sz w:val="20"/>
        </w:rPr>
        <w:t>in</w:t>
      </w:r>
      <w:r>
        <w:rPr>
          <w:color w:val="231F20"/>
          <w:spacing w:val="-8"/>
          <w:sz w:val="20"/>
        </w:rPr>
        <w:t xml:space="preserve"> </w:t>
      </w:r>
      <w:r>
        <w:rPr>
          <w:color w:val="231F20"/>
          <w:sz w:val="20"/>
        </w:rPr>
        <w:t>giving</w:t>
      </w:r>
      <w:r>
        <w:rPr>
          <w:color w:val="231F20"/>
          <w:spacing w:val="-8"/>
          <w:sz w:val="20"/>
        </w:rPr>
        <w:t xml:space="preserve"> </w:t>
      </w:r>
      <w:r>
        <w:rPr>
          <w:color w:val="231F20"/>
          <w:sz w:val="20"/>
        </w:rPr>
        <w:t>evidence</w:t>
      </w:r>
      <w:r>
        <w:rPr>
          <w:color w:val="231F20"/>
          <w:spacing w:val="-7"/>
          <w:sz w:val="20"/>
        </w:rPr>
        <w:t xml:space="preserve"> </w:t>
      </w:r>
      <w:r>
        <w:rPr>
          <w:color w:val="231F20"/>
          <w:spacing w:val="-3"/>
          <w:sz w:val="20"/>
        </w:rPr>
        <w:t>for</w:t>
      </w:r>
      <w:r>
        <w:rPr>
          <w:color w:val="231F20"/>
          <w:spacing w:val="-8"/>
          <w:sz w:val="20"/>
        </w:rPr>
        <w:t xml:space="preserve"> </w:t>
      </w:r>
      <w:r>
        <w:rPr>
          <w:color w:val="231F20"/>
          <w:sz w:val="20"/>
        </w:rPr>
        <w:t>certain</w:t>
      </w:r>
      <w:r>
        <w:rPr>
          <w:color w:val="231F20"/>
          <w:spacing w:val="-7"/>
          <w:sz w:val="20"/>
        </w:rPr>
        <w:t xml:space="preserve"> </w:t>
      </w:r>
      <w:r>
        <w:rPr>
          <w:color w:val="231F20"/>
          <w:sz w:val="20"/>
        </w:rPr>
        <w:t>groups</w:t>
      </w:r>
      <w:r>
        <w:rPr>
          <w:color w:val="231F20"/>
          <w:spacing w:val="-8"/>
          <w:sz w:val="20"/>
        </w:rPr>
        <w:t xml:space="preserve"> </w:t>
      </w:r>
      <w:r>
        <w:rPr>
          <w:color w:val="231F20"/>
          <w:sz w:val="20"/>
        </w:rPr>
        <w:t>of</w:t>
      </w:r>
      <w:r>
        <w:rPr>
          <w:color w:val="231F20"/>
          <w:spacing w:val="-7"/>
          <w:sz w:val="20"/>
        </w:rPr>
        <w:t xml:space="preserve"> </w:t>
      </w:r>
      <w:r>
        <w:rPr>
          <w:color w:val="231F20"/>
          <w:sz w:val="20"/>
        </w:rPr>
        <w:t>victims.</w:t>
      </w:r>
      <w:r>
        <w:rPr>
          <w:color w:val="231F20"/>
          <w:position w:val="7"/>
          <w:sz w:val="11"/>
        </w:rPr>
        <w:t>156</w:t>
      </w:r>
      <w:r>
        <w:rPr>
          <w:color w:val="231F20"/>
          <w:spacing w:val="16"/>
          <w:position w:val="7"/>
          <w:sz w:val="11"/>
        </w:rPr>
        <w:t xml:space="preserve"> </w:t>
      </w:r>
      <w:r>
        <w:rPr>
          <w:color w:val="231F20"/>
          <w:sz w:val="20"/>
        </w:rPr>
        <w:t>In</w:t>
      </w:r>
      <w:r>
        <w:rPr>
          <w:color w:val="231F20"/>
          <w:spacing w:val="-7"/>
          <w:sz w:val="20"/>
        </w:rPr>
        <w:t xml:space="preserve"> </w:t>
      </w:r>
      <w:r>
        <w:rPr>
          <w:color w:val="231F20"/>
          <w:sz w:val="20"/>
        </w:rPr>
        <w:t>this</w:t>
      </w:r>
      <w:r>
        <w:rPr>
          <w:color w:val="231F20"/>
          <w:spacing w:val="-8"/>
          <w:sz w:val="20"/>
        </w:rPr>
        <w:t xml:space="preserve"> </w:t>
      </w:r>
      <w:r>
        <w:rPr>
          <w:color w:val="231F20"/>
          <w:sz w:val="20"/>
        </w:rPr>
        <w:t>report,</w:t>
      </w:r>
      <w:r>
        <w:rPr>
          <w:color w:val="231F20"/>
          <w:spacing w:val="-7"/>
          <w:sz w:val="20"/>
        </w:rPr>
        <w:t xml:space="preserve"> </w:t>
      </w:r>
      <w:r>
        <w:rPr>
          <w:color w:val="231F20"/>
          <w:spacing w:val="-3"/>
          <w:sz w:val="20"/>
        </w:rPr>
        <w:t>we</w:t>
      </w:r>
      <w:r>
        <w:rPr>
          <w:color w:val="231F20"/>
          <w:spacing w:val="-8"/>
          <w:sz w:val="20"/>
        </w:rPr>
        <w:t xml:space="preserve"> </w:t>
      </w:r>
      <w:r>
        <w:rPr>
          <w:color w:val="231F20"/>
          <w:spacing w:val="-4"/>
          <w:sz w:val="20"/>
        </w:rPr>
        <w:t>refer</w:t>
      </w:r>
      <w:r>
        <w:rPr>
          <w:color w:val="231F20"/>
          <w:spacing w:val="-7"/>
          <w:sz w:val="20"/>
        </w:rPr>
        <w:t xml:space="preserve"> </w:t>
      </w:r>
      <w:r>
        <w:rPr>
          <w:color w:val="231F20"/>
          <w:sz w:val="20"/>
        </w:rPr>
        <w:t>to</w:t>
      </w:r>
      <w:r>
        <w:rPr>
          <w:color w:val="231F20"/>
          <w:spacing w:val="-8"/>
          <w:sz w:val="20"/>
        </w:rPr>
        <w:t xml:space="preserve"> </w:t>
      </w:r>
      <w:r>
        <w:rPr>
          <w:color w:val="231F20"/>
          <w:sz w:val="20"/>
        </w:rPr>
        <w:t>these</w:t>
      </w:r>
      <w:r>
        <w:rPr>
          <w:color w:val="231F20"/>
          <w:spacing w:val="-7"/>
          <w:sz w:val="20"/>
        </w:rPr>
        <w:t xml:space="preserve"> </w:t>
      </w:r>
      <w:r>
        <w:rPr>
          <w:color w:val="231F20"/>
          <w:sz w:val="20"/>
        </w:rPr>
        <w:t>as ‘special</w:t>
      </w:r>
      <w:r>
        <w:rPr>
          <w:color w:val="231F20"/>
          <w:spacing w:val="-4"/>
          <w:sz w:val="20"/>
        </w:rPr>
        <w:t xml:space="preserve"> </w:t>
      </w:r>
      <w:r>
        <w:rPr>
          <w:color w:val="231F20"/>
          <w:spacing w:val="-3"/>
          <w:sz w:val="20"/>
        </w:rPr>
        <w:t>protections’.</w:t>
      </w:r>
      <w:r>
        <w:rPr>
          <w:color w:val="231F20"/>
          <w:spacing w:val="-3"/>
          <w:position w:val="7"/>
          <w:sz w:val="11"/>
        </w:rPr>
        <w:t>157</w:t>
      </w:r>
    </w:p>
    <w:p w14:paraId="62E1118B" w14:textId="77777777" w:rsidR="00894070" w:rsidRDefault="009B7AFD">
      <w:pPr>
        <w:pStyle w:val="ListParagraph"/>
        <w:numPr>
          <w:ilvl w:val="0"/>
          <w:numId w:val="45"/>
        </w:numPr>
        <w:tabs>
          <w:tab w:val="left" w:pos="1801"/>
          <w:tab w:val="left" w:pos="1802"/>
        </w:tabs>
        <w:spacing w:before="124" w:line="206" w:lineRule="auto"/>
        <w:ind w:right="1461"/>
        <w:rPr>
          <w:sz w:val="20"/>
        </w:rPr>
      </w:pPr>
      <w:r>
        <w:rPr>
          <w:color w:val="231F20"/>
          <w:sz w:val="20"/>
        </w:rPr>
        <w:t>Special</w:t>
      </w:r>
      <w:r>
        <w:rPr>
          <w:color w:val="231F20"/>
          <w:spacing w:val="-7"/>
          <w:sz w:val="20"/>
        </w:rPr>
        <w:t xml:space="preserve"> </w:t>
      </w:r>
      <w:r>
        <w:rPr>
          <w:color w:val="231F20"/>
          <w:spacing w:val="-3"/>
          <w:sz w:val="20"/>
        </w:rPr>
        <w:t>protections</w:t>
      </w:r>
      <w:r>
        <w:rPr>
          <w:color w:val="231F20"/>
          <w:spacing w:val="-7"/>
          <w:sz w:val="20"/>
        </w:rPr>
        <w:t xml:space="preserve"> </w:t>
      </w:r>
      <w:r>
        <w:rPr>
          <w:color w:val="231F20"/>
          <w:spacing w:val="-4"/>
          <w:sz w:val="20"/>
        </w:rPr>
        <w:t>have</w:t>
      </w:r>
      <w:r>
        <w:rPr>
          <w:color w:val="231F20"/>
          <w:spacing w:val="-6"/>
          <w:sz w:val="20"/>
        </w:rPr>
        <w:t xml:space="preserve"> </w:t>
      </w:r>
      <w:r>
        <w:rPr>
          <w:color w:val="231F20"/>
          <w:sz w:val="20"/>
        </w:rPr>
        <w:t>been</w:t>
      </w:r>
      <w:r>
        <w:rPr>
          <w:color w:val="231F20"/>
          <w:spacing w:val="-7"/>
          <w:sz w:val="20"/>
        </w:rPr>
        <w:t xml:space="preserve"> </w:t>
      </w:r>
      <w:r>
        <w:rPr>
          <w:color w:val="231F20"/>
          <w:spacing w:val="-3"/>
          <w:sz w:val="20"/>
        </w:rPr>
        <w:t>introduced</w:t>
      </w:r>
      <w:r>
        <w:rPr>
          <w:color w:val="231F20"/>
          <w:spacing w:val="-6"/>
          <w:sz w:val="20"/>
        </w:rPr>
        <w:t xml:space="preserve"> </w:t>
      </w:r>
      <w:r>
        <w:rPr>
          <w:color w:val="231F20"/>
          <w:sz w:val="20"/>
        </w:rPr>
        <w:t>to</w:t>
      </w:r>
      <w:r>
        <w:rPr>
          <w:color w:val="231F20"/>
          <w:spacing w:val="-7"/>
          <w:sz w:val="20"/>
        </w:rPr>
        <w:t xml:space="preserve"> </w:t>
      </w:r>
      <w:r>
        <w:rPr>
          <w:color w:val="231F20"/>
          <w:spacing w:val="-3"/>
          <w:sz w:val="20"/>
        </w:rPr>
        <w:t>protect</w:t>
      </w:r>
      <w:r>
        <w:rPr>
          <w:color w:val="231F20"/>
          <w:spacing w:val="-6"/>
          <w:sz w:val="20"/>
        </w:rPr>
        <w:t xml:space="preserve"> </w:t>
      </w:r>
      <w:r>
        <w:rPr>
          <w:color w:val="231F20"/>
          <w:sz w:val="20"/>
        </w:rPr>
        <w:t>victims</w:t>
      </w:r>
      <w:r>
        <w:rPr>
          <w:color w:val="231F20"/>
          <w:spacing w:val="-7"/>
          <w:sz w:val="20"/>
        </w:rPr>
        <w:t xml:space="preserve"> </w:t>
      </w:r>
      <w:r>
        <w:rPr>
          <w:color w:val="231F20"/>
          <w:sz w:val="20"/>
        </w:rPr>
        <w:t>in</w:t>
      </w:r>
      <w:r>
        <w:rPr>
          <w:color w:val="231F20"/>
          <w:spacing w:val="-6"/>
          <w:sz w:val="20"/>
        </w:rPr>
        <w:t xml:space="preserve"> </w:t>
      </w:r>
      <w:r>
        <w:rPr>
          <w:color w:val="231F20"/>
          <w:sz w:val="20"/>
        </w:rPr>
        <w:t>criminal</w:t>
      </w:r>
      <w:r>
        <w:rPr>
          <w:color w:val="231F20"/>
          <w:spacing w:val="-7"/>
          <w:sz w:val="20"/>
        </w:rPr>
        <w:t xml:space="preserve"> </w:t>
      </w:r>
      <w:r>
        <w:rPr>
          <w:color w:val="231F20"/>
          <w:sz w:val="20"/>
        </w:rPr>
        <w:t xml:space="preserve">proceedings. These changes </w:t>
      </w:r>
      <w:r>
        <w:rPr>
          <w:color w:val="231F20"/>
          <w:spacing w:val="-4"/>
          <w:sz w:val="20"/>
        </w:rPr>
        <w:t xml:space="preserve">have </w:t>
      </w:r>
      <w:r>
        <w:rPr>
          <w:color w:val="231F20"/>
          <w:sz w:val="20"/>
        </w:rPr>
        <w:t xml:space="preserve">focussed on </w:t>
      </w:r>
      <w:r>
        <w:rPr>
          <w:color w:val="231F20"/>
          <w:spacing w:val="-3"/>
          <w:sz w:val="20"/>
        </w:rPr>
        <w:t xml:space="preserve">children, </w:t>
      </w:r>
      <w:r>
        <w:rPr>
          <w:color w:val="231F20"/>
          <w:sz w:val="20"/>
        </w:rPr>
        <w:t xml:space="preserve">people with a </w:t>
      </w:r>
      <w:r>
        <w:rPr>
          <w:color w:val="231F20"/>
          <w:spacing w:val="-3"/>
          <w:sz w:val="20"/>
        </w:rPr>
        <w:t xml:space="preserve">cognitive </w:t>
      </w:r>
      <w:r>
        <w:rPr>
          <w:color w:val="231F20"/>
          <w:sz w:val="20"/>
        </w:rPr>
        <w:t xml:space="preserve">impairment and victim survivors of </w:t>
      </w:r>
      <w:r>
        <w:rPr>
          <w:color w:val="231F20"/>
          <w:spacing w:val="-3"/>
          <w:sz w:val="20"/>
        </w:rPr>
        <w:t xml:space="preserve">family </w:t>
      </w:r>
      <w:r>
        <w:rPr>
          <w:color w:val="231F20"/>
          <w:sz w:val="20"/>
        </w:rPr>
        <w:t>violence and sexual</w:t>
      </w:r>
      <w:r>
        <w:rPr>
          <w:color w:val="231F20"/>
          <w:spacing w:val="-34"/>
          <w:sz w:val="20"/>
        </w:rPr>
        <w:t xml:space="preserve"> </w:t>
      </w:r>
      <w:r>
        <w:rPr>
          <w:color w:val="231F20"/>
          <w:sz w:val="20"/>
        </w:rPr>
        <w:t>offences.</w:t>
      </w:r>
    </w:p>
    <w:p w14:paraId="6F6AE513" w14:textId="77777777" w:rsidR="00894070" w:rsidRDefault="009B7AFD">
      <w:pPr>
        <w:pStyle w:val="ListParagraph"/>
        <w:numPr>
          <w:ilvl w:val="0"/>
          <w:numId w:val="45"/>
        </w:numPr>
        <w:tabs>
          <w:tab w:val="left" w:pos="1801"/>
          <w:tab w:val="left" w:pos="1802"/>
        </w:tabs>
        <w:spacing w:before="124" w:line="206" w:lineRule="auto"/>
        <w:ind w:right="1523"/>
        <w:rPr>
          <w:sz w:val="20"/>
        </w:rPr>
      </w:pPr>
      <w:r>
        <w:rPr>
          <w:color w:val="231F20"/>
          <w:sz w:val="20"/>
        </w:rPr>
        <w:t>In</w:t>
      </w:r>
      <w:r>
        <w:rPr>
          <w:color w:val="231F20"/>
          <w:spacing w:val="-7"/>
          <w:sz w:val="20"/>
        </w:rPr>
        <w:t xml:space="preserve"> </w:t>
      </w:r>
      <w:r>
        <w:rPr>
          <w:color w:val="231F20"/>
          <w:spacing w:val="-3"/>
          <w:sz w:val="20"/>
        </w:rPr>
        <w:t>Chapter</w:t>
      </w:r>
      <w:r>
        <w:rPr>
          <w:color w:val="231F20"/>
          <w:spacing w:val="-7"/>
          <w:sz w:val="20"/>
        </w:rPr>
        <w:t xml:space="preserve"> </w:t>
      </w:r>
      <w:r>
        <w:rPr>
          <w:color w:val="231F20"/>
          <w:sz w:val="20"/>
        </w:rPr>
        <w:t>6</w:t>
      </w:r>
      <w:r>
        <w:rPr>
          <w:color w:val="231F20"/>
          <w:spacing w:val="-7"/>
          <w:sz w:val="20"/>
        </w:rPr>
        <w:t xml:space="preserve"> </w:t>
      </w:r>
      <w:r>
        <w:rPr>
          <w:color w:val="231F20"/>
          <w:spacing w:val="-3"/>
          <w:sz w:val="20"/>
        </w:rPr>
        <w:t>we</w:t>
      </w:r>
      <w:r>
        <w:rPr>
          <w:color w:val="231F20"/>
          <w:spacing w:val="-7"/>
          <w:sz w:val="20"/>
        </w:rPr>
        <w:t xml:space="preserve"> </w:t>
      </w:r>
      <w:r>
        <w:rPr>
          <w:color w:val="231F20"/>
          <w:sz w:val="20"/>
        </w:rPr>
        <w:t>discuss</w:t>
      </w:r>
      <w:r>
        <w:rPr>
          <w:color w:val="231F20"/>
          <w:spacing w:val="-7"/>
          <w:sz w:val="20"/>
        </w:rPr>
        <w:t xml:space="preserve"> </w:t>
      </w:r>
      <w:r>
        <w:rPr>
          <w:color w:val="231F20"/>
          <w:sz w:val="20"/>
        </w:rPr>
        <w:t>similar</w:t>
      </w:r>
      <w:r>
        <w:rPr>
          <w:color w:val="231F20"/>
          <w:spacing w:val="-6"/>
          <w:sz w:val="20"/>
        </w:rPr>
        <w:t xml:space="preserve"> </w:t>
      </w:r>
      <w:r>
        <w:rPr>
          <w:color w:val="231F20"/>
          <w:spacing w:val="-3"/>
          <w:sz w:val="20"/>
        </w:rPr>
        <w:t>protections</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victim</w:t>
      </w:r>
      <w:r>
        <w:rPr>
          <w:color w:val="231F20"/>
          <w:spacing w:val="-7"/>
          <w:sz w:val="20"/>
        </w:rPr>
        <w:t xml:space="preserve"> </w:t>
      </w:r>
      <w:r>
        <w:rPr>
          <w:color w:val="231F20"/>
          <w:sz w:val="20"/>
        </w:rPr>
        <w:t>survivors</w:t>
      </w:r>
      <w:r>
        <w:rPr>
          <w:color w:val="231F20"/>
          <w:spacing w:val="-7"/>
          <w:sz w:val="20"/>
        </w:rPr>
        <w:t xml:space="preserve"> </w:t>
      </w:r>
      <w:r>
        <w:rPr>
          <w:color w:val="231F20"/>
          <w:sz w:val="20"/>
        </w:rPr>
        <w:t>of</w:t>
      </w:r>
      <w:r>
        <w:rPr>
          <w:color w:val="231F20"/>
          <w:spacing w:val="-7"/>
          <w:sz w:val="20"/>
        </w:rPr>
        <w:t xml:space="preserve"> </w:t>
      </w:r>
      <w:r>
        <w:rPr>
          <w:color w:val="231F20"/>
          <w:sz w:val="20"/>
        </w:rPr>
        <w:t>stalking</w:t>
      </w:r>
      <w:r>
        <w:rPr>
          <w:color w:val="231F20"/>
          <w:spacing w:val="-6"/>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civil justice</w:t>
      </w:r>
      <w:r>
        <w:rPr>
          <w:color w:val="231F20"/>
          <w:spacing w:val="-5"/>
          <w:sz w:val="20"/>
        </w:rPr>
        <w:t xml:space="preserve"> </w:t>
      </w:r>
      <w:r>
        <w:rPr>
          <w:color w:val="231F20"/>
          <w:sz w:val="20"/>
        </w:rPr>
        <w:t>system.</w:t>
      </w:r>
    </w:p>
    <w:p w14:paraId="72E2F319" w14:textId="77777777" w:rsidR="00894070" w:rsidRDefault="00894070">
      <w:pPr>
        <w:pStyle w:val="BodyText"/>
        <w:spacing w:before="9"/>
        <w:rPr>
          <w:sz w:val="15"/>
        </w:rPr>
      </w:pPr>
    </w:p>
    <w:p w14:paraId="07950730" w14:textId="77777777" w:rsidR="00894070" w:rsidRDefault="009B7AFD">
      <w:pPr>
        <w:pStyle w:val="Heading8"/>
        <w:ind w:left="1007"/>
      </w:pPr>
      <w:r>
        <w:rPr>
          <w:color w:val="231F20"/>
        </w:rPr>
        <w:t>A ‘protected victim’ category for victim survivors of stalking</w:t>
      </w:r>
    </w:p>
    <w:p w14:paraId="7B416EB6" w14:textId="77777777" w:rsidR="00894070" w:rsidRDefault="009B7AFD">
      <w:pPr>
        <w:pStyle w:val="ListParagraph"/>
        <w:numPr>
          <w:ilvl w:val="0"/>
          <w:numId w:val="45"/>
        </w:numPr>
        <w:tabs>
          <w:tab w:val="left" w:pos="1801"/>
          <w:tab w:val="left" w:pos="1802"/>
        </w:tabs>
        <w:spacing w:before="95"/>
        <w:rPr>
          <w:sz w:val="20"/>
        </w:rPr>
      </w:pPr>
      <w:r>
        <w:rPr>
          <w:color w:val="231F20"/>
          <w:sz w:val="20"/>
        </w:rPr>
        <w:t xml:space="preserve">The special protections in Victoria </w:t>
      </w:r>
      <w:r>
        <w:rPr>
          <w:color w:val="231F20"/>
          <w:spacing w:val="-3"/>
          <w:sz w:val="20"/>
        </w:rPr>
        <w:t xml:space="preserve">are </w:t>
      </w:r>
      <w:r>
        <w:rPr>
          <w:color w:val="231F20"/>
          <w:sz w:val="20"/>
        </w:rPr>
        <w:t>summarised in</w:t>
      </w:r>
      <w:r>
        <w:rPr>
          <w:color w:val="231F20"/>
          <w:spacing w:val="-33"/>
          <w:sz w:val="20"/>
        </w:rPr>
        <w:t xml:space="preserve"> </w:t>
      </w:r>
      <w:r>
        <w:rPr>
          <w:color w:val="231F20"/>
          <w:spacing w:val="-6"/>
          <w:sz w:val="20"/>
        </w:rPr>
        <w:t xml:space="preserve">Table </w:t>
      </w:r>
      <w:r>
        <w:rPr>
          <w:color w:val="231F20"/>
          <w:spacing w:val="2"/>
          <w:sz w:val="20"/>
        </w:rPr>
        <w:t>14.</w:t>
      </w:r>
    </w:p>
    <w:p w14:paraId="184137C0" w14:textId="77777777" w:rsidR="00894070" w:rsidRDefault="009B7AFD">
      <w:pPr>
        <w:spacing w:before="114" w:line="218" w:lineRule="auto"/>
        <w:ind w:left="1801" w:right="1162"/>
        <w:rPr>
          <w:b/>
          <w:sz w:val="19"/>
        </w:rPr>
      </w:pPr>
      <w:r>
        <w:rPr>
          <w:b/>
          <w:color w:val="231F20"/>
          <w:sz w:val="19"/>
        </w:rPr>
        <w:t xml:space="preserve">Table 14: Special protections for witnesses under the </w:t>
      </w:r>
      <w:r>
        <w:rPr>
          <w:b/>
          <w:i/>
          <w:color w:val="231F20"/>
          <w:sz w:val="19"/>
        </w:rPr>
        <w:t xml:space="preserve">Criminal Procedure Act 2009 </w:t>
      </w:r>
      <w:r>
        <w:rPr>
          <w:b/>
          <w:color w:val="231F20"/>
          <w:sz w:val="19"/>
        </w:rPr>
        <w:t>(Vic), pt 8.2</w:t>
      </w:r>
    </w:p>
    <w:p w14:paraId="19048F81" w14:textId="77777777" w:rsidR="00894070" w:rsidRDefault="00894070">
      <w:pPr>
        <w:pStyle w:val="BodyText"/>
        <w:spacing w:before="12"/>
        <w:rPr>
          <w:b/>
          <w:sz w:val="13"/>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1677"/>
        <w:gridCol w:w="2754"/>
        <w:gridCol w:w="1814"/>
        <w:gridCol w:w="1866"/>
      </w:tblGrid>
      <w:tr w:rsidR="00894070" w14:paraId="3C9A87BF" w14:textId="77777777">
        <w:trPr>
          <w:trHeight w:val="1238"/>
        </w:trPr>
        <w:tc>
          <w:tcPr>
            <w:tcW w:w="1677" w:type="dxa"/>
            <w:shd w:val="clear" w:color="auto" w:fill="F4BCAE"/>
          </w:tcPr>
          <w:p w14:paraId="5F01F7AA" w14:textId="77777777" w:rsidR="00894070" w:rsidRDefault="00894070">
            <w:pPr>
              <w:pStyle w:val="TableParagraph"/>
              <w:spacing w:before="10"/>
              <w:ind w:left="0"/>
              <w:rPr>
                <w:b/>
                <w:sz w:val="19"/>
              </w:rPr>
            </w:pPr>
          </w:p>
          <w:p w14:paraId="6987309D" w14:textId="77777777" w:rsidR="00894070" w:rsidRDefault="009B7AFD">
            <w:pPr>
              <w:pStyle w:val="TableParagraph"/>
              <w:spacing w:before="1" w:line="206" w:lineRule="auto"/>
              <w:ind w:right="526"/>
              <w:rPr>
                <w:b/>
                <w:sz w:val="20"/>
              </w:rPr>
            </w:pPr>
            <w:r>
              <w:rPr>
                <w:b/>
                <w:color w:val="231F20"/>
                <w:sz w:val="20"/>
              </w:rPr>
              <w:t>Special protection procedure</w:t>
            </w:r>
          </w:p>
        </w:tc>
        <w:tc>
          <w:tcPr>
            <w:tcW w:w="2754" w:type="dxa"/>
            <w:shd w:val="clear" w:color="auto" w:fill="F4BCAE"/>
          </w:tcPr>
          <w:p w14:paraId="0260DA8B" w14:textId="77777777" w:rsidR="00894070" w:rsidRDefault="00894070">
            <w:pPr>
              <w:pStyle w:val="TableParagraph"/>
              <w:ind w:left="0"/>
              <w:rPr>
                <w:b/>
              </w:rPr>
            </w:pPr>
          </w:p>
          <w:p w14:paraId="58ACC25D" w14:textId="77777777" w:rsidR="00894070" w:rsidRDefault="009B7AFD">
            <w:pPr>
              <w:pStyle w:val="TableParagraph"/>
              <w:spacing w:before="177"/>
              <w:rPr>
                <w:b/>
                <w:sz w:val="20"/>
              </w:rPr>
            </w:pPr>
            <w:r>
              <w:rPr>
                <w:b/>
                <w:color w:val="231F20"/>
                <w:sz w:val="20"/>
              </w:rPr>
              <w:t>Description</w:t>
            </w:r>
          </w:p>
        </w:tc>
        <w:tc>
          <w:tcPr>
            <w:tcW w:w="1814" w:type="dxa"/>
            <w:shd w:val="clear" w:color="auto" w:fill="F4BCAE"/>
          </w:tcPr>
          <w:p w14:paraId="76A948A5" w14:textId="77777777" w:rsidR="00894070" w:rsidRDefault="009B7AFD">
            <w:pPr>
              <w:pStyle w:val="TableParagraph"/>
              <w:spacing w:before="154" w:line="206" w:lineRule="auto"/>
              <w:ind w:right="126"/>
              <w:rPr>
                <w:b/>
                <w:sz w:val="20"/>
              </w:rPr>
            </w:pPr>
            <w:r>
              <w:rPr>
                <w:b/>
                <w:color w:val="231F20"/>
                <w:sz w:val="20"/>
              </w:rPr>
              <w:t>Applicable cases relating wholly or partly to</w:t>
            </w:r>
          </w:p>
        </w:tc>
        <w:tc>
          <w:tcPr>
            <w:tcW w:w="1866" w:type="dxa"/>
            <w:shd w:val="clear" w:color="auto" w:fill="F4BCAE"/>
          </w:tcPr>
          <w:p w14:paraId="5754D122" w14:textId="77777777" w:rsidR="00894070" w:rsidRDefault="00894070">
            <w:pPr>
              <w:pStyle w:val="TableParagraph"/>
              <w:spacing w:before="5"/>
              <w:ind w:left="0"/>
              <w:rPr>
                <w:b/>
                <w:sz w:val="28"/>
              </w:rPr>
            </w:pPr>
          </w:p>
          <w:p w14:paraId="6BE7F478" w14:textId="77777777" w:rsidR="00894070" w:rsidRDefault="009B7AFD">
            <w:pPr>
              <w:pStyle w:val="TableParagraph"/>
              <w:spacing w:before="1" w:line="206" w:lineRule="auto"/>
              <w:ind w:right="683"/>
              <w:rPr>
                <w:b/>
                <w:sz w:val="20"/>
              </w:rPr>
            </w:pPr>
            <w:r>
              <w:rPr>
                <w:b/>
                <w:color w:val="231F20"/>
                <w:sz w:val="20"/>
              </w:rPr>
              <w:t>Applicable witnesses</w:t>
            </w:r>
          </w:p>
        </w:tc>
      </w:tr>
      <w:tr w:rsidR="00894070" w14:paraId="5A2555E5" w14:textId="77777777">
        <w:trPr>
          <w:trHeight w:val="3094"/>
        </w:trPr>
        <w:tc>
          <w:tcPr>
            <w:tcW w:w="1677" w:type="dxa"/>
          </w:tcPr>
          <w:p w14:paraId="0F567073" w14:textId="77777777" w:rsidR="00894070" w:rsidRDefault="009B7AFD">
            <w:pPr>
              <w:pStyle w:val="TableParagraph"/>
              <w:spacing w:before="98" w:line="206" w:lineRule="auto"/>
              <w:ind w:right="179"/>
              <w:rPr>
                <w:b/>
                <w:sz w:val="20"/>
              </w:rPr>
            </w:pPr>
            <w:r>
              <w:rPr>
                <w:b/>
                <w:color w:val="231F20"/>
                <w:sz w:val="20"/>
              </w:rPr>
              <w:t>Alternative arrangements</w:t>
            </w:r>
          </w:p>
          <w:p w14:paraId="022498E3" w14:textId="77777777" w:rsidR="00894070" w:rsidRDefault="00894070">
            <w:pPr>
              <w:pStyle w:val="TableParagraph"/>
              <w:spacing w:before="5"/>
              <w:ind w:left="0"/>
              <w:rPr>
                <w:b/>
                <w:sz w:val="32"/>
              </w:rPr>
            </w:pPr>
          </w:p>
          <w:p w14:paraId="5109FD47" w14:textId="77777777" w:rsidR="00894070" w:rsidRDefault="009B7AFD">
            <w:pPr>
              <w:pStyle w:val="TableParagraph"/>
              <w:spacing w:before="1"/>
              <w:rPr>
                <w:b/>
                <w:sz w:val="20"/>
              </w:rPr>
            </w:pPr>
            <w:r>
              <w:rPr>
                <w:b/>
                <w:color w:val="231F20"/>
                <w:sz w:val="20"/>
              </w:rPr>
              <w:t>Div 4</w:t>
            </w:r>
          </w:p>
        </w:tc>
        <w:tc>
          <w:tcPr>
            <w:tcW w:w="2754" w:type="dxa"/>
          </w:tcPr>
          <w:p w14:paraId="07466B35" w14:textId="77777777" w:rsidR="00894070" w:rsidRDefault="009B7AFD">
            <w:pPr>
              <w:pStyle w:val="TableParagraph"/>
              <w:spacing w:before="65" w:line="259" w:lineRule="exact"/>
              <w:rPr>
                <w:sz w:val="20"/>
              </w:rPr>
            </w:pPr>
            <w:r>
              <w:rPr>
                <w:color w:val="231F20"/>
                <w:sz w:val="20"/>
              </w:rPr>
              <w:t>The use of physical</w:t>
            </w:r>
          </w:p>
          <w:p w14:paraId="338B95A3" w14:textId="77777777" w:rsidR="00894070" w:rsidRDefault="009B7AFD">
            <w:pPr>
              <w:pStyle w:val="TableParagraph"/>
              <w:spacing w:line="259" w:lineRule="exact"/>
              <w:rPr>
                <w:sz w:val="20"/>
              </w:rPr>
            </w:pPr>
            <w:r>
              <w:rPr>
                <w:color w:val="231F20"/>
                <w:sz w:val="20"/>
              </w:rPr>
              <w:t>arrangements such as:</w:t>
            </w:r>
          </w:p>
          <w:p w14:paraId="0CF86FB3" w14:textId="77777777" w:rsidR="00894070" w:rsidRDefault="009B7AFD">
            <w:pPr>
              <w:pStyle w:val="TableParagraph"/>
              <w:numPr>
                <w:ilvl w:val="0"/>
                <w:numId w:val="44"/>
              </w:numPr>
              <w:tabs>
                <w:tab w:val="left" w:pos="453"/>
                <w:tab w:val="left" w:pos="454"/>
              </w:tabs>
              <w:spacing w:before="115" w:line="206" w:lineRule="auto"/>
              <w:ind w:right="151" w:hanging="340"/>
              <w:rPr>
                <w:sz w:val="20"/>
              </w:rPr>
            </w:pPr>
            <w:r>
              <w:rPr>
                <w:color w:val="231F20"/>
                <w:spacing w:val="-3"/>
                <w:sz w:val="20"/>
              </w:rPr>
              <w:t xml:space="preserve">allowing </w:t>
            </w:r>
            <w:r>
              <w:rPr>
                <w:color w:val="231F20"/>
                <w:sz w:val="20"/>
              </w:rPr>
              <w:t xml:space="preserve">witnesses to </w:t>
            </w:r>
            <w:r>
              <w:rPr>
                <w:color w:val="231F20"/>
                <w:spacing w:val="-3"/>
                <w:sz w:val="20"/>
              </w:rPr>
              <w:t xml:space="preserve">give </w:t>
            </w:r>
            <w:r>
              <w:rPr>
                <w:color w:val="231F20"/>
                <w:sz w:val="20"/>
              </w:rPr>
              <w:t xml:space="preserve">evidence outside the courtroom in special </w:t>
            </w:r>
            <w:r>
              <w:rPr>
                <w:color w:val="231F20"/>
                <w:spacing w:val="-3"/>
                <w:sz w:val="20"/>
              </w:rPr>
              <w:t>‘remote</w:t>
            </w:r>
            <w:r>
              <w:rPr>
                <w:color w:val="231F20"/>
                <w:spacing w:val="-21"/>
                <w:sz w:val="20"/>
              </w:rPr>
              <w:t xml:space="preserve"> </w:t>
            </w:r>
            <w:r>
              <w:rPr>
                <w:color w:val="231F20"/>
                <w:sz w:val="20"/>
              </w:rPr>
              <w:t xml:space="preserve">witness </w:t>
            </w:r>
            <w:r>
              <w:rPr>
                <w:color w:val="231F20"/>
                <w:spacing w:val="-3"/>
                <w:sz w:val="20"/>
              </w:rPr>
              <w:t>facilities’</w:t>
            </w:r>
          </w:p>
          <w:p w14:paraId="31E1E591" w14:textId="77777777" w:rsidR="00894070" w:rsidRDefault="009B7AFD">
            <w:pPr>
              <w:pStyle w:val="TableParagraph"/>
              <w:numPr>
                <w:ilvl w:val="0"/>
                <w:numId w:val="44"/>
              </w:numPr>
              <w:tabs>
                <w:tab w:val="left" w:pos="453"/>
                <w:tab w:val="left" w:pos="454"/>
              </w:tabs>
              <w:spacing w:before="59"/>
              <w:ind w:hanging="340"/>
              <w:rPr>
                <w:sz w:val="20"/>
              </w:rPr>
            </w:pPr>
            <w:r>
              <w:rPr>
                <w:color w:val="231F20"/>
                <w:sz w:val="20"/>
              </w:rPr>
              <w:t>using support</w:t>
            </w:r>
            <w:r>
              <w:rPr>
                <w:color w:val="231F20"/>
                <w:spacing w:val="-11"/>
                <w:sz w:val="20"/>
              </w:rPr>
              <w:t xml:space="preserve"> </w:t>
            </w:r>
            <w:r>
              <w:rPr>
                <w:color w:val="231F20"/>
                <w:sz w:val="20"/>
              </w:rPr>
              <w:t>people</w:t>
            </w:r>
          </w:p>
          <w:p w14:paraId="4230C6B7" w14:textId="77777777" w:rsidR="00894070" w:rsidRDefault="009B7AFD">
            <w:pPr>
              <w:pStyle w:val="TableParagraph"/>
              <w:numPr>
                <w:ilvl w:val="0"/>
                <w:numId w:val="44"/>
              </w:numPr>
              <w:tabs>
                <w:tab w:val="left" w:pos="453"/>
                <w:tab w:val="left" w:pos="454"/>
              </w:tabs>
              <w:spacing w:before="80" w:line="206" w:lineRule="auto"/>
              <w:ind w:right="172" w:hanging="340"/>
              <w:rPr>
                <w:sz w:val="20"/>
              </w:rPr>
            </w:pPr>
            <w:r>
              <w:rPr>
                <w:color w:val="231F20"/>
                <w:sz w:val="20"/>
              </w:rPr>
              <w:t>screens between the accused and the</w:t>
            </w:r>
            <w:r>
              <w:rPr>
                <w:color w:val="231F20"/>
                <w:spacing w:val="-34"/>
                <w:sz w:val="20"/>
              </w:rPr>
              <w:t xml:space="preserve"> </w:t>
            </w:r>
            <w:r>
              <w:rPr>
                <w:color w:val="231F20"/>
                <w:sz w:val="20"/>
              </w:rPr>
              <w:t>victim survivor in</w:t>
            </w:r>
            <w:r>
              <w:rPr>
                <w:color w:val="231F20"/>
                <w:spacing w:val="-10"/>
                <w:sz w:val="20"/>
              </w:rPr>
              <w:t xml:space="preserve"> </w:t>
            </w:r>
            <w:r>
              <w:rPr>
                <w:color w:val="231F20"/>
                <w:sz w:val="20"/>
              </w:rPr>
              <w:t>court.</w:t>
            </w:r>
          </w:p>
        </w:tc>
        <w:tc>
          <w:tcPr>
            <w:tcW w:w="1814" w:type="dxa"/>
          </w:tcPr>
          <w:p w14:paraId="6444288E" w14:textId="77777777" w:rsidR="00894070" w:rsidRDefault="009B7AFD">
            <w:pPr>
              <w:pStyle w:val="TableParagraph"/>
              <w:numPr>
                <w:ilvl w:val="0"/>
                <w:numId w:val="43"/>
              </w:numPr>
              <w:tabs>
                <w:tab w:val="left" w:pos="453"/>
                <w:tab w:val="left" w:pos="454"/>
              </w:tabs>
              <w:spacing w:before="98" w:line="206" w:lineRule="auto"/>
              <w:ind w:right="603" w:hanging="340"/>
              <w:rPr>
                <w:sz w:val="20"/>
              </w:rPr>
            </w:pPr>
            <w:r>
              <w:rPr>
                <w:color w:val="231F20"/>
                <w:sz w:val="20"/>
              </w:rPr>
              <w:t xml:space="preserve">a </w:t>
            </w:r>
            <w:r>
              <w:rPr>
                <w:color w:val="231F20"/>
                <w:spacing w:val="-6"/>
                <w:sz w:val="20"/>
              </w:rPr>
              <w:t xml:space="preserve">sexual </w:t>
            </w:r>
            <w:r>
              <w:rPr>
                <w:color w:val="231F20"/>
                <w:sz w:val="20"/>
              </w:rPr>
              <w:t>offence</w:t>
            </w:r>
          </w:p>
          <w:p w14:paraId="25D4B3C4" w14:textId="77777777" w:rsidR="00894070" w:rsidRDefault="009B7AFD">
            <w:pPr>
              <w:pStyle w:val="TableParagraph"/>
              <w:numPr>
                <w:ilvl w:val="0"/>
                <w:numId w:val="43"/>
              </w:numPr>
              <w:tabs>
                <w:tab w:val="left" w:pos="453"/>
                <w:tab w:val="left" w:pos="454"/>
              </w:tabs>
              <w:spacing w:before="55" w:line="259" w:lineRule="exact"/>
              <w:ind w:hanging="340"/>
              <w:rPr>
                <w:sz w:val="20"/>
              </w:rPr>
            </w:pPr>
            <w:r>
              <w:rPr>
                <w:color w:val="231F20"/>
                <w:spacing w:val="-4"/>
                <w:sz w:val="20"/>
              </w:rPr>
              <w:t>family</w:t>
            </w:r>
          </w:p>
          <w:p w14:paraId="6C013A6C" w14:textId="77777777" w:rsidR="00894070" w:rsidRDefault="009B7AFD">
            <w:pPr>
              <w:pStyle w:val="TableParagraph"/>
              <w:spacing w:line="259" w:lineRule="exact"/>
              <w:ind w:left="428" w:right="512"/>
              <w:jc w:val="center"/>
              <w:rPr>
                <w:sz w:val="20"/>
              </w:rPr>
            </w:pPr>
            <w:r>
              <w:rPr>
                <w:color w:val="231F20"/>
                <w:sz w:val="20"/>
              </w:rPr>
              <w:t>violence.</w:t>
            </w:r>
          </w:p>
          <w:p w14:paraId="062B215F" w14:textId="77777777" w:rsidR="00894070" w:rsidRDefault="009B7AFD">
            <w:pPr>
              <w:pStyle w:val="TableParagraph"/>
              <w:spacing w:before="47" w:line="259" w:lineRule="exact"/>
              <w:rPr>
                <w:sz w:val="20"/>
              </w:rPr>
            </w:pPr>
            <w:r>
              <w:rPr>
                <w:color w:val="231F20"/>
                <w:sz w:val="20"/>
              </w:rPr>
              <w:t>Not available for</w:t>
            </w:r>
          </w:p>
          <w:p w14:paraId="3FABEEC9" w14:textId="77777777" w:rsidR="00894070" w:rsidRDefault="009B7AFD">
            <w:pPr>
              <w:pStyle w:val="TableParagraph"/>
              <w:spacing w:line="259" w:lineRule="exact"/>
              <w:rPr>
                <w:sz w:val="20"/>
              </w:rPr>
            </w:pPr>
            <w:r>
              <w:rPr>
                <w:color w:val="231F20"/>
                <w:sz w:val="20"/>
              </w:rPr>
              <w:t>stalking cases.</w:t>
            </w:r>
          </w:p>
        </w:tc>
        <w:tc>
          <w:tcPr>
            <w:tcW w:w="1866" w:type="dxa"/>
          </w:tcPr>
          <w:p w14:paraId="41F4747A" w14:textId="77777777" w:rsidR="00894070" w:rsidRDefault="009B7AFD">
            <w:pPr>
              <w:pStyle w:val="TableParagraph"/>
              <w:spacing w:before="98" w:line="206" w:lineRule="auto"/>
              <w:ind w:right="436"/>
              <w:rPr>
                <w:sz w:val="20"/>
              </w:rPr>
            </w:pPr>
            <w:r>
              <w:rPr>
                <w:color w:val="231F20"/>
                <w:sz w:val="20"/>
              </w:rPr>
              <w:t>All witnesses, including complainants.</w:t>
            </w:r>
          </w:p>
        </w:tc>
      </w:tr>
      <w:tr w:rsidR="00894070" w14:paraId="6D59035D" w14:textId="77777777">
        <w:trPr>
          <w:trHeight w:val="3334"/>
        </w:trPr>
        <w:tc>
          <w:tcPr>
            <w:tcW w:w="1677" w:type="dxa"/>
          </w:tcPr>
          <w:p w14:paraId="655D0968" w14:textId="77777777" w:rsidR="00894070" w:rsidRDefault="009B7AFD">
            <w:pPr>
              <w:pStyle w:val="TableParagraph"/>
              <w:spacing w:before="98" w:line="206" w:lineRule="auto"/>
              <w:ind w:right="581"/>
              <w:rPr>
                <w:b/>
                <w:sz w:val="20"/>
              </w:rPr>
            </w:pPr>
            <w:r>
              <w:rPr>
                <w:b/>
                <w:color w:val="231F20"/>
                <w:sz w:val="20"/>
              </w:rPr>
              <w:t xml:space="preserve">Visual and </w:t>
            </w:r>
            <w:r>
              <w:rPr>
                <w:b/>
                <w:color w:val="231F20"/>
                <w:spacing w:val="-4"/>
                <w:sz w:val="20"/>
              </w:rPr>
              <w:t xml:space="preserve">Audio </w:t>
            </w:r>
            <w:r>
              <w:rPr>
                <w:b/>
                <w:color w:val="231F20"/>
                <w:sz w:val="20"/>
              </w:rPr>
              <w:t>Recorded Evidence (VAREs)</w:t>
            </w:r>
          </w:p>
          <w:p w14:paraId="3D3EC51B" w14:textId="77777777" w:rsidR="00894070" w:rsidRDefault="00894070">
            <w:pPr>
              <w:pStyle w:val="TableParagraph"/>
              <w:spacing w:before="9"/>
              <w:ind w:left="0"/>
              <w:rPr>
                <w:b/>
                <w:sz w:val="32"/>
              </w:rPr>
            </w:pPr>
          </w:p>
          <w:p w14:paraId="2C1C6CFC" w14:textId="77777777" w:rsidR="00894070" w:rsidRDefault="009B7AFD">
            <w:pPr>
              <w:pStyle w:val="TableParagraph"/>
              <w:rPr>
                <w:b/>
                <w:sz w:val="20"/>
              </w:rPr>
            </w:pPr>
            <w:r>
              <w:rPr>
                <w:b/>
                <w:color w:val="231F20"/>
                <w:sz w:val="20"/>
              </w:rPr>
              <w:t>Div 5</w:t>
            </w:r>
          </w:p>
        </w:tc>
        <w:tc>
          <w:tcPr>
            <w:tcW w:w="2754" w:type="dxa"/>
          </w:tcPr>
          <w:p w14:paraId="598DC0A9" w14:textId="77777777" w:rsidR="00894070" w:rsidRDefault="009B7AFD">
            <w:pPr>
              <w:pStyle w:val="TableParagraph"/>
              <w:spacing w:before="98" w:line="206" w:lineRule="auto"/>
              <w:rPr>
                <w:sz w:val="20"/>
              </w:rPr>
            </w:pPr>
            <w:r>
              <w:rPr>
                <w:color w:val="231F20"/>
                <w:sz w:val="20"/>
              </w:rPr>
              <w:t>A recording of interviews with police to be used in court as evidence-in-chief.</w:t>
            </w:r>
          </w:p>
        </w:tc>
        <w:tc>
          <w:tcPr>
            <w:tcW w:w="1814" w:type="dxa"/>
          </w:tcPr>
          <w:p w14:paraId="2E24E751" w14:textId="77777777" w:rsidR="00894070" w:rsidRDefault="009B7AFD">
            <w:pPr>
              <w:pStyle w:val="TableParagraph"/>
              <w:numPr>
                <w:ilvl w:val="0"/>
                <w:numId w:val="42"/>
              </w:numPr>
              <w:tabs>
                <w:tab w:val="left" w:pos="453"/>
                <w:tab w:val="left" w:pos="454"/>
              </w:tabs>
              <w:spacing w:before="98" w:line="206" w:lineRule="auto"/>
              <w:ind w:right="603" w:hanging="340"/>
              <w:rPr>
                <w:sz w:val="20"/>
              </w:rPr>
            </w:pPr>
            <w:r>
              <w:rPr>
                <w:color w:val="231F20"/>
                <w:sz w:val="20"/>
              </w:rPr>
              <w:t xml:space="preserve">a </w:t>
            </w:r>
            <w:r>
              <w:rPr>
                <w:color w:val="231F20"/>
                <w:spacing w:val="-6"/>
                <w:sz w:val="20"/>
              </w:rPr>
              <w:t xml:space="preserve">sexual </w:t>
            </w:r>
            <w:r>
              <w:rPr>
                <w:color w:val="231F20"/>
                <w:sz w:val="20"/>
              </w:rPr>
              <w:t>offence</w:t>
            </w:r>
          </w:p>
          <w:p w14:paraId="58CAD2AF" w14:textId="77777777" w:rsidR="00894070" w:rsidRDefault="009B7AFD">
            <w:pPr>
              <w:pStyle w:val="TableParagraph"/>
              <w:numPr>
                <w:ilvl w:val="0"/>
                <w:numId w:val="42"/>
              </w:numPr>
              <w:tabs>
                <w:tab w:val="left" w:pos="453"/>
                <w:tab w:val="left" w:pos="454"/>
              </w:tabs>
              <w:spacing w:before="55" w:line="259" w:lineRule="exact"/>
              <w:ind w:hanging="340"/>
              <w:rPr>
                <w:sz w:val="20"/>
              </w:rPr>
            </w:pPr>
            <w:r>
              <w:rPr>
                <w:color w:val="231F20"/>
                <w:spacing w:val="-4"/>
                <w:sz w:val="20"/>
              </w:rPr>
              <w:t>family</w:t>
            </w:r>
          </w:p>
          <w:p w14:paraId="78016F9E" w14:textId="77777777" w:rsidR="00894070" w:rsidRDefault="009B7AFD">
            <w:pPr>
              <w:pStyle w:val="TableParagraph"/>
              <w:spacing w:line="259" w:lineRule="exact"/>
              <w:ind w:left="453"/>
              <w:rPr>
                <w:sz w:val="20"/>
              </w:rPr>
            </w:pPr>
            <w:r>
              <w:rPr>
                <w:color w:val="231F20"/>
                <w:sz w:val="20"/>
              </w:rPr>
              <w:t>violence</w:t>
            </w:r>
          </w:p>
          <w:p w14:paraId="6A23FDC0" w14:textId="77777777" w:rsidR="00894070" w:rsidRDefault="009B7AFD">
            <w:pPr>
              <w:pStyle w:val="TableParagraph"/>
              <w:numPr>
                <w:ilvl w:val="0"/>
                <w:numId w:val="42"/>
              </w:numPr>
              <w:tabs>
                <w:tab w:val="left" w:pos="453"/>
                <w:tab w:val="left" w:pos="454"/>
              </w:tabs>
              <w:spacing w:before="80" w:line="206" w:lineRule="auto"/>
              <w:ind w:right="107" w:hanging="340"/>
              <w:rPr>
                <w:sz w:val="20"/>
              </w:rPr>
            </w:pPr>
            <w:r>
              <w:rPr>
                <w:color w:val="231F20"/>
                <w:sz w:val="20"/>
              </w:rPr>
              <w:t xml:space="preserve">an indictable offence </w:t>
            </w:r>
            <w:r>
              <w:rPr>
                <w:color w:val="231F20"/>
                <w:spacing w:val="-4"/>
                <w:sz w:val="20"/>
              </w:rPr>
              <w:t xml:space="preserve">involving </w:t>
            </w:r>
            <w:r>
              <w:rPr>
                <w:color w:val="231F20"/>
                <w:sz w:val="20"/>
              </w:rPr>
              <w:t xml:space="preserve">assault, </w:t>
            </w:r>
            <w:proofErr w:type="gramStart"/>
            <w:r>
              <w:rPr>
                <w:color w:val="231F20"/>
                <w:spacing w:val="-3"/>
                <w:sz w:val="20"/>
              </w:rPr>
              <w:t>injury</w:t>
            </w:r>
            <w:proofErr w:type="gramEnd"/>
            <w:r>
              <w:rPr>
                <w:color w:val="231F20"/>
                <w:spacing w:val="-3"/>
                <w:sz w:val="20"/>
              </w:rPr>
              <w:t xml:space="preserve"> </w:t>
            </w:r>
            <w:r>
              <w:rPr>
                <w:color w:val="231F20"/>
                <w:sz w:val="20"/>
              </w:rPr>
              <w:t>or</w:t>
            </w:r>
            <w:r>
              <w:rPr>
                <w:color w:val="231F20"/>
                <w:spacing w:val="-4"/>
                <w:sz w:val="20"/>
              </w:rPr>
              <w:t xml:space="preserve"> </w:t>
            </w:r>
            <w:r>
              <w:rPr>
                <w:color w:val="231F20"/>
                <w:spacing w:val="-3"/>
                <w:sz w:val="20"/>
              </w:rPr>
              <w:t>threat</w:t>
            </w:r>
          </w:p>
          <w:p w14:paraId="01CAAA9C" w14:textId="77777777" w:rsidR="00894070" w:rsidRDefault="009B7AFD">
            <w:pPr>
              <w:pStyle w:val="TableParagraph"/>
              <w:spacing w:before="6" w:line="206" w:lineRule="auto"/>
              <w:ind w:left="453" w:right="497"/>
              <w:rPr>
                <w:sz w:val="20"/>
              </w:rPr>
            </w:pPr>
            <w:r>
              <w:rPr>
                <w:color w:val="231F20"/>
                <w:sz w:val="20"/>
              </w:rPr>
              <w:t xml:space="preserve">of </w:t>
            </w:r>
            <w:r>
              <w:rPr>
                <w:color w:val="231F20"/>
                <w:spacing w:val="-3"/>
                <w:sz w:val="20"/>
              </w:rPr>
              <w:t xml:space="preserve">injury, </w:t>
            </w:r>
            <w:r>
              <w:rPr>
                <w:color w:val="231F20"/>
                <w:spacing w:val="-2"/>
                <w:sz w:val="20"/>
              </w:rPr>
              <w:t xml:space="preserve">including </w:t>
            </w:r>
            <w:r>
              <w:rPr>
                <w:color w:val="231F20"/>
                <w:sz w:val="20"/>
              </w:rPr>
              <w:t>stalking.</w:t>
            </w:r>
          </w:p>
        </w:tc>
        <w:tc>
          <w:tcPr>
            <w:tcW w:w="1866" w:type="dxa"/>
          </w:tcPr>
          <w:p w14:paraId="56FFDFD0" w14:textId="77777777" w:rsidR="00894070" w:rsidRDefault="009B7AFD">
            <w:pPr>
              <w:pStyle w:val="TableParagraph"/>
              <w:spacing w:before="98" w:line="206" w:lineRule="auto"/>
              <w:ind w:right="429"/>
              <w:rPr>
                <w:sz w:val="20"/>
              </w:rPr>
            </w:pPr>
            <w:r>
              <w:rPr>
                <w:color w:val="231F20"/>
                <w:sz w:val="20"/>
              </w:rPr>
              <w:t>All witnesses, including complainants, who are:</w:t>
            </w:r>
          </w:p>
          <w:p w14:paraId="313A10CC" w14:textId="77777777" w:rsidR="00894070" w:rsidRDefault="009B7AFD">
            <w:pPr>
              <w:pStyle w:val="TableParagraph"/>
              <w:numPr>
                <w:ilvl w:val="0"/>
                <w:numId w:val="41"/>
              </w:numPr>
              <w:tabs>
                <w:tab w:val="left" w:pos="453"/>
                <w:tab w:val="left" w:pos="454"/>
              </w:tabs>
              <w:spacing w:before="92"/>
              <w:ind w:hanging="340"/>
              <w:rPr>
                <w:sz w:val="20"/>
              </w:rPr>
            </w:pPr>
            <w:r>
              <w:rPr>
                <w:color w:val="231F20"/>
                <w:spacing w:val="-3"/>
                <w:sz w:val="20"/>
              </w:rPr>
              <w:t>children</w:t>
            </w:r>
          </w:p>
          <w:p w14:paraId="1BA3319C" w14:textId="77777777" w:rsidR="00894070" w:rsidRDefault="009B7AFD">
            <w:pPr>
              <w:pStyle w:val="TableParagraph"/>
              <w:numPr>
                <w:ilvl w:val="0"/>
                <w:numId w:val="41"/>
              </w:numPr>
              <w:tabs>
                <w:tab w:val="left" w:pos="453"/>
                <w:tab w:val="left" w:pos="454"/>
              </w:tabs>
              <w:spacing w:before="80" w:line="206" w:lineRule="auto"/>
              <w:ind w:right="318" w:hanging="340"/>
              <w:rPr>
                <w:sz w:val="20"/>
              </w:rPr>
            </w:pPr>
            <w:r>
              <w:rPr>
                <w:color w:val="231F20"/>
                <w:sz w:val="20"/>
              </w:rPr>
              <w:t xml:space="preserve">people </w:t>
            </w:r>
            <w:r>
              <w:rPr>
                <w:color w:val="231F20"/>
                <w:spacing w:val="-6"/>
                <w:sz w:val="20"/>
              </w:rPr>
              <w:t xml:space="preserve">with </w:t>
            </w:r>
            <w:r>
              <w:rPr>
                <w:color w:val="231F20"/>
                <w:sz w:val="20"/>
              </w:rPr>
              <w:t xml:space="preserve">a </w:t>
            </w:r>
            <w:r>
              <w:rPr>
                <w:color w:val="231F20"/>
                <w:spacing w:val="-3"/>
                <w:sz w:val="20"/>
              </w:rPr>
              <w:t xml:space="preserve">cognitive </w:t>
            </w:r>
            <w:r>
              <w:rPr>
                <w:color w:val="231F20"/>
                <w:sz w:val="20"/>
              </w:rPr>
              <w:t>impairment</w:t>
            </w:r>
          </w:p>
          <w:p w14:paraId="5EB2FCCB" w14:textId="77777777" w:rsidR="00894070" w:rsidRDefault="009B7AFD">
            <w:pPr>
              <w:pStyle w:val="TableParagraph"/>
              <w:spacing w:before="57" w:line="259" w:lineRule="exact"/>
              <w:rPr>
                <w:sz w:val="20"/>
              </w:rPr>
            </w:pPr>
            <w:r>
              <w:rPr>
                <w:color w:val="231F20"/>
                <w:sz w:val="20"/>
              </w:rPr>
              <w:t>Not available for</w:t>
            </w:r>
          </w:p>
          <w:p w14:paraId="1398F0C2" w14:textId="77777777" w:rsidR="00894070" w:rsidRDefault="009B7AFD">
            <w:pPr>
              <w:pStyle w:val="TableParagraph"/>
              <w:spacing w:before="13" w:line="206" w:lineRule="auto"/>
              <w:ind w:right="338"/>
              <w:rPr>
                <w:sz w:val="20"/>
              </w:rPr>
            </w:pPr>
            <w:r>
              <w:rPr>
                <w:color w:val="231F20"/>
                <w:sz w:val="20"/>
              </w:rPr>
              <w:t>adults without a cognitive impairment.</w:t>
            </w:r>
          </w:p>
        </w:tc>
      </w:tr>
    </w:tbl>
    <w:p w14:paraId="0AE2EC2B" w14:textId="77777777" w:rsidR="00894070" w:rsidRDefault="009F6793">
      <w:pPr>
        <w:pStyle w:val="BodyText"/>
        <w:spacing w:before="6"/>
        <w:rPr>
          <w:b/>
          <w:sz w:val="12"/>
        </w:rPr>
      </w:pPr>
      <w:r>
        <w:pict w14:anchorId="30512CED">
          <v:line id="_x0000_s1149" style="position:absolute;z-index:251750400;mso-wrap-distance-left:0;mso-wrap-distance-right:0;mso-position-horizontal-relative:page;mso-position-vertical-relative:text" from="79.35pt,11.1pt" to="515.9pt,11.1pt" strokecolor="#f8cabc" strokeweight="1pt">
            <w10:wrap type="topAndBottom" anchorx="page"/>
          </v:line>
        </w:pict>
      </w:r>
    </w:p>
    <w:p w14:paraId="3E8AD7F5" w14:textId="77777777" w:rsidR="00894070" w:rsidRDefault="00894070">
      <w:pPr>
        <w:pStyle w:val="BodyText"/>
        <w:rPr>
          <w:b/>
          <w:sz w:val="5"/>
        </w:rPr>
      </w:pPr>
    </w:p>
    <w:p w14:paraId="6F8B9D87" w14:textId="77777777" w:rsidR="00894070" w:rsidRDefault="00894070">
      <w:pPr>
        <w:rPr>
          <w:sz w:val="5"/>
        </w:rPr>
        <w:sectPr w:rsidR="00894070">
          <w:pgSz w:w="11910" w:h="16840"/>
          <w:pgMar w:top="860" w:right="420" w:bottom="280" w:left="580" w:header="567" w:footer="0" w:gutter="0"/>
          <w:cols w:space="720"/>
        </w:sectPr>
      </w:pPr>
    </w:p>
    <w:p w14:paraId="5A2747D7" w14:textId="77777777" w:rsidR="00894070" w:rsidRDefault="009B7AFD">
      <w:pPr>
        <w:pStyle w:val="Heading8"/>
        <w:spacing w:before="214"/>
        <w:ind w:left="140"/>
      </w:pPr>
      <w:r>
        <w:rPr>
          <w:color w:val="EA5B50"/>
        </w:rPr>
        <w:t>154</w:t>
      </w:r>
    </w:p>
    <w:p w14:paraId="2FFBF06D" w14:textId="77777777" w:rsidR="00894070" w:rsidRDefault="009B7AFD">
      <w:pPr>
        <w:tabs>
          <w:tab w:val="left" w:pos="933"/>
        </w:tabs>
        <w:spacing w:before="38" w:line="213" w:lineRule="auto"/>
        <w:ind w:left="933" w:right="1456" w:hanging="794"/>
        <w:rPr>
          <w:sz w:val="13"/>
        </w:rPr>
      </w:pPr>
      <w:r>
        <w:br w:type="column"/>
      </w:r>
      <w:r>
        <w:rPr>
          <w:color w:val="231F20"/>
          <w:spacing w:val="2"/>
          <w:sz w:val="13"/>
        </w:rPr>
        <w:t>156</w:t>
      </w:r>
      <w:r>
        <w:rPr>
          <w:color w:val="231F20"/>
          <w:spacing w:val="2"/>
          <w:sz w:val="13"/>
        </w:rPr>
        <w:tab/>
      </w:r>
      <w:r>
        <w:rPr>
          <w:color w:val="231F20"/>
          <w:sz w:val="13"/>
        </w:rPr>
        <w:t xml:space="preserve">Victorian Law Reform </w:t>
      </w:r>
      <w:r>
        <w:rPr>
          <w:color w:val="231F20"/>
          <w:spacing w:val="2"/>
          <w:sz w:val="13"/>
        </w:rPr>
        <w:t xml:space="preserve">Commission, </w:t>
      </w:r>
      <w:r>
        <w:rPr>
          <w:i/>
          <w:color w:val="231F20"/>
          <w:sz w:val="13"/>
        </w:rPr>
        <w:t xml:space="preserve">The Role of Victims of Crime in the Criminal Trial Process </w:t>
      </w:r>
      <w:r>
        <w:rPr>
          <w:color w:val="231F20"/>
          <w:spacing w:val="2"/>
          <w:sz w:val="13"/>
        </w:rPr>
        <w:t xml:space="preserve">(Report </w:t>
      </w:r>
      <w:r>
        <w:rPr>
          <w:color w:val="231F20"/>
          <w:sz w:val="13"/>
        </w:rPr>
        <w:t xml:space="preserve">No </w:t>
      </w:r>
      <w:r>
        <w:rPr>
          <w:color w:val="231F20"/>
          <w:spacing w:val="3"/>
          <w:sz w:val="13"/>
        </w:rPr>
        <w:t xml:space="preserve">34, </w:t>
      </w:r>
      <w:r>
        <w:rPr>
          <w:color w:val="231F20"/>
          <w:sz w:val="13"/>
        </w:rPr>
        <w:t xml:space="preserve">August 2016) [8.6]– </w:t>
      </w:r>
      <w:r>
        <w:rPr>
          <w:color w:val="231F20"/>
          <w:spacing w:val="2"/>
          <w:sz w:val="13"/>
        </w:rPr>
        <w:t>[8.23].</w:t>
      </w:r>
    </w:p>
    <w:p w14:paraId="6F435FF5" w14:textId="77777777" w:rsidR="00894070" w:rsidRDefault="009B7AFD">
      <w:pPr>
        <w:tabs>
          <w:tab w:val="left" w:pos="933"/>
        </w:tabs>
        <w:spacing w:line="163" w:lineRule="exact"/>
        <w:ind w:left="140"/>
        <w:rPr>
          <w:sz w:val="13"/>
        </w:rPr>
      </w:pPr>
      <w:r>
        <w:rPr>
          <w:color w:val="231F20"/>
          <w:sz w:val="13"/>
        </w:rPr>
        <w:t>157</w:t>
      </w:r>
      <w:r>
        <w:rPr>
          <w:color w:val="231F20"/>
          <w:sz w:val="13"/>
        </w:rPr>
        <w:tab/>
        <w:t>This is not a term used in</w:t>
      </w:r>
      <w:r>
        <w:rPr>
          <w:color w:val="231F20"/>
          <w:spacing w:val="1"/>
          <w:sz w:val="13"/>
        </w:rPr>
        <w:t xml:space="preserve"> </w:t>
      </w:r>
      <w:r>
        <w:rPr>
          <w:color w:val="231F20"/>
          <w:sz w:val="13"/>
        </w:rPr>
        <w:t>legislation.</w:t>
      </w:r>
    </w:p>
    <w:p w14:paraId="06C53C75" w14:textId="77777777" w:rsidR="00894070" w:rsidRDefault="00894070">
      <w:pPr>
        <w:spacing w:line="163" w:lineRule="exact"/>
        <w:rPr>
          <w:sz w:val="13"/>
        </w:rPr>
        <w:sectPr w:rsidR="00894070">
          <w:type w:val="continuous"/>
          <w:pgSz w:w="11910" w:h="16840"/>
          <w:pgMar w:top="560" w:right="420" w:bottom="280" w:left="580" w:header="720" w:footer="720" w:gutter="0"/>
          <w:cols w:num="2" w:space="720" w:equalWidth="0">
            <w:col w:w="569" w:space="299"/>
            <w:col w:w="10042"/>
          </w:cols>
        </w:sectPr>
      </w:pPr>
    </w:p>
    <w:p w14:paraId="57AD111F" w14:textId="77777777" w:rsidR="00894070" w:rsidRDefault="00894070">
      <w:pPr>
        <w:pStyle w:val="BodyText"/>
      </w:pPr>
    </w:p>
    <w:p w14:paraId="2576AA14" w14:textId="77777777" w:rsidR="00894070" w:rsidRDefault="00894070">
      <w:pPr>
        <w:pStyle w:val="BodyText"/>
      </w:pPr>
    </w:p>
    <w:p w14:paraId="5467969C" w14:textId="77777777" w:rsidR="00894070" w:rsidRDefault="00894070">
      <w:pPr>
        <w:pStyle w:val="BodyText"/>
      </w:pPr>
    </w:p>
    <w:p w14:paraId="2509B43E" w14:textId="77777777" w:rsidR="00894070" w:rsidRDefault="00894070">
      <w:pPr>
        <w:pStyle w:val="BodyText"/>
        <w:spacing w:before="9"/>
        <w:rPr>
          <w:sz w:val="21"/>
        </w:rPr>
      </w:pPr>
    </w:p>
    <w:tbl>
      <w:tblPr>
        <w:tblW w:w="0" w:type="auto"/>
        <w:tblInd w:w="1811" w:type="dxa"/>
        <w:tblBorders>
          <w:top w:val="single" w:sz="4" w:space="0" w:color="EA5B50"/>
          <w:left w:val="single" w:sz="4" w:space="0" w:color="EA5B50"/>
          <w:bottom w:val="single" w:sz="4" w:space="0" w:color="EA5B50"/>
          <w:right w:val="single" w:sz="4" w:space="0" w:color="EA5B50"/>
          <w:insideH w:val="single" w:sz="4" w:space="0" w:color="EA5B50"/>
          <w:insideV w:val="single" w:sz="4" w:space="0" w:color="EA5B50"/>
        </w:tblBorders>
        <w:tblLayout w:type="fixed"/>
        <w:tblCellMar>
          <w:left w:w="0" w:type="dxa"/>
          <w:right w:w="0" w:type="dxa"/>
        </w:tblCellMar>
        <w:tblLook w:val="01E0" w:firstRow="1" w:lastRow="1" w:firstColumn="1" w:lastColumn="1" w:noHBand="0" w:noVBand="0"/>
      </w:tblPr>
      <w:tblGrid>
        <w:gridCol w:w="1677"/>
        <w:gridCol w:w="2754"/>
        <w:gridCol w:w="1814"/>
        <w:gridCol w:w="1866"/>
      </w:tblGrid>
      <w:tr w:rsidR="00894070" w14:paraId="7B53B32E" w14:textId="77777777">
        <w:trPr>
          <w:trHeight w:val="1238"/>
        </w:trPr>
        <w:tc>
          <w:tcPr>
            <w:tcW w:w="1677" w:type="dxa"/>
            <w:shd w:val="clear" w:color="auto" w:fill="F4BCAE"/>
          </w:tcPr>
          <w:p w14:paraId="005472A3" w14:textId="77777777" w:rsidR="00894070" w:rsidRDefault="00894070">
            <w:pPr>
              <w:pStyle w:val="TableParagraph"/>
              <w:spacing w:before="10"/>
              <w:ind w:left="0"/>
              <w:rPr>
                <w:sz w:val="19"/>
              </w:rPr>
            </w:pPr>
          </w:p>
          <w:p w14:paraId="42BE8EF6" w14:textId="77777777" w:rsidR="00894070" w:rsidRDefault="009B7AFD">
            <w:pPr>
              <w:pStyle w:val="TableParagraph"/>
              <w:spacing w:before="1" w:line="206" w:lineRule="auto"/>
              <w:ind w:right="526"/>
              <w:rPr>
                <w:b/>
                <w:sz w:val="20"/>
              </w:rPr>
            </w:pPr>
            <w:r>
              <w:rPr>
                <w:b/>
                <w:color w:val="231F20"/>
                <w:sz w:val="20"/>
              </w:rPr>
              <w:t>Special protection procedure</w:t>
            </w:r>
          </w:p>
        </w:tc>
        <w:tc>
          <w:tcPr>
            <w:tcW w:w="2754" w:type="dxa"/>
            <w:shd w:val="clear" w:color="auto" w:fill="F4BCAE"/>
          </w:tcPr>
          <w:p w14:paraId="237F529B" w14:textId="77777777" w:rsidR="00894070" w:rsidRDefault="00894070">
            <w:pPr>
              <w:pStyle w:val="TableParagraph"/>
              <w:ind w:left="0"/>
            </w:pPr>
          </w:p>
          <w:p w14:paraId="6690C100" w14:textId="77777777" w:rsidR="00894070" w:rsidRDefault="009B7AFD">
            <w:pPr>
              <w:pStyle w:val="TableParagraph"/>
              <w:spacing w:before="177"/>
              <w:rPr>
                <w:b/>
                <w:sz w:val="20"/>
              </w:rPr>
            </w:pPr>
            <w:r>
              <w:rPr>
                <w:b/>
                <w:color w:val="231F20"/>
                <w:sz w:val="20"/>
              </w:rPr>
              <w:t>Description</w:t>
            </w:r>
          </w:p>
        </w:tc>
        <w:tc>
          <w:tcPr>
            <w:tcW w:w="1814" w:type="dxa"/>
            <w:shd w:val="clear" w:color="auto" w:fill="F4BCAE"/>
          </w:tcPr>
          <w:p w14:paraId="5A48FBC8" w14:textId="77777777" w:rsidR="00894070" w:rsidRDefault="009B7AFD">
            <w:pPr>
              <w:pStyle w:val="TableParagraph"/>
              <w:spacing w:before="154" w:line="206" w:lineRule="auto"/>
              <w:ind w:right="126"/>
              <w:rPr>
                <w:b/>
                <w:sz w:val="20"/>
              </w:rPr>
            </w:pPr>
            <w:r>
              <w:rPr>
                <w:b/>
                <w:color w:val="231F20"/>
                <w:sz w:val="20"/>
              </w:rPr>
              <w:t>Applicable cases relating wholly or partly to</w:t>
            </w:r>
          </w:p>
        </w:tc>
        <w:tc>
          <w:tcPr>
            <w:tcW w:w="1866" w:type="dxa"/>
            <w:shd w:val="clear" w:color="auto" w:fill="F4BCAE"/>
          </w:tcPr>
          <w:p w14:paraId="3CF01F3E" w14:textId="77777777" w:rsidR="00894070" w:rsidRDefault="00894070">
            <w:pPr>
              <w:pStyle w:val="TableParagraph"/>
              <w:spacing w:before="5"/>
              <w:ind w:left="0"/>
              <w:rPr>
                <w:sz w:val="28"/>
              </w:rPr>
            </w:pPr>
          </w:p>
          <w:p w14:paraId="62EB6377" w14:textId="77777777" w:rsidR="00894070" w:rsidRDefault="009B7AFD">
            <w:pPr>
              <w:pStyle w:val="TableParagraph"/>
              <w:spacing w:before="1" w:line="206" w:lineRule="auto"/>
              <w:ind w:right="683"/>
              <w:rPr>
                <w:b/>
                <w:sz w:val="20"/>
              </w:rPr>
            </w:pPr>
            <w:r>
              <w:rPr>
                <w:b/>
                <w:color w:val="231F20"/>
                <w:sz w:val="20"/>
              </w:rPr>
              <w:t>Applicable witnesses</w:t>
            </w:r>
          </w:p>
        </w:tc>
      </w:tr>
      <w:tr w:rsidR="00894070" w14:paraId="16CA6D8F" w14:textId="77777777">
        <w:trPr>
          <w:trHeight w:val="2854"/>
        </w:trPr>
        <w:tc>
          <w:tcPr>
            <w:tcW w:w="1677" w:type="dxa"/>
          </w:tcPr>
          <w:p w14:paraId="550DDB94" w14:textId="77777777" w:rsidR="00894070" w:rsidRDefault="009B7AFD">
            <w:pPr>
              <w:pStyle w:val="TableParagraph"/>
              <w:spacing w:before="98" w:line="206" w:lineRule="auto"/>
              <w:ind w:right="703"/>
              <w:rPr>
                <w:b/>
                <w:sz w:val="20"/>
              </w:rPr>
            </w:pPr>
            <w:r>
              <w:rPr>
                <w:b/>
                <w:color w:val="231F20"/>
                <w:sz w:val="20"/>
              </w:rPr>
              <w:t>Special hearings</w:t>
            </w:r>
          </w:p>
          <w:p w14:paraId="0FAD9DF3" w14:textId="77777777" w:rsidR="00894070" w:rsidRDefault="00894070">
            <w:pPr>
              <w:pStyle w:val="TableParagraph"/>
              <w:spacing w:before="5"/>
              <w:ind w:left="0"/>
              <w:rPr>
                <w:sz w:val="32"/>
              </w:rPr>
            </w:pPr>
          </w:p>
          <w:p w14:paraId="12913D4F" w14:textId="77777777" w:rsidR="00894070" w:rsidRDefault="009B7AFD">
            <w:pPr>
              <w:pStyle w:val="TableParagraph"/>
              <w:spacing w:before="1"/>
              <w:rPr>
                <w:b/>
                <w:sz w:val="20"/>
              </w:rPr>
            </w:pPr>
            <w:r>
              <w:rPr>
                <w:b/>
                <w:color w:val="231F20"/>
                <w:sz w:val="20"/>
              </w:rPr>
              <w:t>Div 6</w:t>
            </w:r>
          </w:p>
        </w:tc>
        <w:tc>
          <w:tcPr>
            <w:tcW w:w="2754" w:type="dxa"/>
          </w:tcPr>
          <w:p w14:paraId="68E9C4DB" w14:textId="77777777" w:rsidR="00894070" w:rsidRDefault="009B7AFD">
            <w:pPr>
              <w:pStyle w:val="TableParagraph"/>
              <w:spacing w:before="98" w:line="206" w:lineRule="auto"/>
              <w:ind w:right="382"/>
              <w:rPr>
                <w:sz w:val="20"/>
              </w:rPr>
            </w:pPr>
            <w:r>
              <w:rPr>
                <w:color w:val="231F20"/>
                <w:sz w:val="20"/>
              </w:rPr>
              <w:t>The complainant is cross-examined and re- examined in a remote</w:t>
            </w:r>
          </w:p>
          <w:p w14:paraId="6B31F87F" w14:textId="77777777" w:rsidR="00894070" w:rsidRDefault="009B7AFD">
            <w:pPr>
              <w:pStyle w:val="TableParagraph"/>
              <w:spacing w:before="3" w:line="206" w:lineRule="auto"/>
              <w:ind w:right="167"/>
              <w:jc w:val="both"/>
              <w:rPr>
                <w:sz w:val="20"/>
              </w:rPr>
            </w:pPr>
            <w:r>
              <w:rPr>
                <w:color w:val="231F20"/>
                <w:sz w:val="20"/>
              </w:rPr>
              <w:t>witness facility in a</w:t>
            </w:r>
            <w:r>
              <w:rPr>
                <w:color w:val="231F20"/>
                <w:spacing w:val="-19"/>
                <w:sz w:val="20"/>
              </w:rPr>
              <w:t xml:space="preserve"> </w:t>
            </w:r>
            <w:r>
              <w:rPr>
                <w:color w:val="231F20"/>
                <w:sz w:val="20"/>
              </w:rPr>
              <w:t>‘special hearing’, which is</w:t>
            </w:r>
            <w:r>
              <w:rPr>
                <w:color w:val="231F20"/>
                <w:spacing w:val="-31"/>
                <w:sz w:val="20"/>
              </w:rPr>
              <w:t xml:space="preserve"> </w:t>
            </w:r>
            <w:r>
              <w:rPr>
                <w:color w:val="231F20"/>
                <w:sz w:val="20"/>
              </w:rPr>
              <w:t>recorded and can be played later at trial (along with the</w:t>
            </w:r>
            <w:r>
              <w:rPr>
                <w:color w:val="231F20"/>
                <w:spacing w:val="-16"/>
                <w:sz w:val="20"/>
              </w:rPr>
              <w:t xml:space="preserve"> </w:t>
            </w:r>
            <w:r>
              <w:rPr>
                <w:color w:val="231F20"/>
                <w:spacing w:val="-4"/>
                <w:sz w:val="20"/>
              </w:rPr>
              <w:t>VARE).</w:t>
            </w:r>
          </w:p>
        </w:tc>
        <w:tc>
          <w:tcPr>
            <w:tcW w:w="1814" w:type="dxa"/>
          </w:tcPr>
          <w:p w14:paraId="77171266" w14:textId="77777777" w:rsidR="00894070" w:rsidRDefault="009B7AFD">
            <w:pPr>
              <w:pStyle w:val="TableParagraph"/>
              <w:numPr>
                <w:ilvl w:val="0"/>
                <w:numId w:val="40"/>
              </w:numPr>
              <w:tabs>
                <w:tab w:val="left" w:pos="453"/>
                <w:tab w:val="left" w:pos="454"/>
              </w:tabs>
              <w:spacing w:before="98" w:line="206" w:lineRule="auto"/>
              <w:ind w:right="603" w:hanging="340"/>
              <w:rPr>
                <w:sz w:val="20"/>
              </w:rPr>
            </w:pPr>
            <w:r>
              <w:rPr>
                <w:color w:val="231F20"/>
                <w:sz w:val="20"/>
              </w:rPr>
              <w:t xml:space="preserve">a </w:t>
            </w:r>
            <w:r>
              <w:rPr>
                <w:color w:val="231F20"/>
                <w:spacing w:val="-6"/>
                <w:sz w:val="20"/>
              </w:rPr>
              <w:t xml:space="preserve">sexual </w:t>
            </w:r>
            <w:r>
              <w:rPr>
                <w:color w:val="231F20"/>
                <w:sz w:val="20"/>
              </w:rPr>
              <w:t>offence</w:t>
            </w:r>
          </w:p>
          <w:p w14:paraId="4B29D368" w14:textId="77777777" w:rsidR="00894070" w:rsidRDefault="00894070">
            <w:pPr>
              <w:pStyle w:val="TableParagraph"/>
              <w:spacing w:before="12"/>
              <w:ind w:left="0"/>
              <w:rPr>
                <w:sz w:val="29"/>
              </w:rPr>
            </w:pPr>
          </w:p>
          <w:p w14:paraId="1EA01C78" w14:textId="77777777" w:rsidR="00894070" w:rsidRDefault="009B7AFD">
            <w:pPr>
              <w:pStyle w:val="TableParagraph"/>
              <w:spacing w:line="259" w:lineRule="exact"/>
              <w:rPr>
                <w:sz w:val="20"/>
              </w:rPr>
            </w:pPr>
            <w:r>
              <w:rPr>
                <w:color w:val="231F20"/>
                <w:sz w:val="20"/>
              </w:rPr>
              <w:t>Not available for</w:t>
            </w:r>
          </w:p>
          <w:p w14:paraId="7F70D958" w14:textId="77777777" w:rsidR="00894070" w:rsidRDefault="009B7AFD">
            <w:pPr>
              <w:pStyle w:val="TableParagraph"/>
              <w:spacing w:line="259" w:lineRule="exact"/>
              <w:rPr>
                <w:sz w:val="20"/>
              </w:rPr>
            </w:pPr>
            <w:r>
              <w:rPr>
                <w:color w:val="231F20"/>
                <w:sz w:val="20"/>
              </w:rPr>
              <w:t>stalking cases.</w:t>
            </w:r>
          </w:p>
        </w:tc>
        <w:tc>
          <w:tcPr>
            <w:tcW w:w="1866" w:type="dxa"/>
          </w:tcPr>
          <w:p w14:paraId="274EF630" w14:textId="77777777" w:rsidR="00894070" w:rsidRDefault="009B7AFD">
            <w:pPr>
              <w:pStyle w:val="TableParagraph"/>
              <w:spacing w:before="65" w:line="259" w:lineRule="exact"/>
              <w:rPr>
                <w:sz w:val="20"/>
              </w:rPr>
            </w:pPr>
            <w:r>
              <w:rPr>
                <w:color w:val="231F20"/>
                <w:sz w:val="20"/>
              </w:rPr>
              <w:t>Complainants</w:t>
            </w:r>
          </w:p>
          <w:p w14:paraId="1B475499" w14:textId="77777777" w:rsidR="00894070" w:rsidRDefault="009B7AFD">
            <w:pPr>
              <w:pStyle w:val="TableParagraph"/>
              <w:spacing w:line="259" w:lineRule="exact"/>
              <w:rPr>
                <w:sz w:val="20"/>
              </w:rPr>
            </w:pPr>
            <w:r>
              <w:rPr>
                <w:color w:val="231F20"/>
                <w:sz w:val="20"/>
              </w:rPr>
              <w:t>who are:</w:t>
            </w:r>
          </w:p>
          <w:p w14:paraId="1A853E29" w14:textId="77777777" w:rsidR="00894070" w:rsidRDefault="009B7AFD">
            <w:pPr>
              <w:pStyle w:val="TableParagraph"/>
              <w:numPr>
                <w:ilvl w:val="0"/>
                <w:numId w:val="39"/>
              </w:numPr>
              <w:tabs>
                <w:tab w:val="left" w:pos="453"/>
                <w:tab w:val="left" w:pos="454"/>
              </w:tabs>
              <w:spacing w:before="83"/>
              <w:ind w:hanging="340"/>
              <w:rPr>
                <w:sz w:val="20"/>
              </w:rPr>
            </w:pPr>
            <w:r>
              <w:rPr>
                <w:color w:val="231F20"/>
                <w:spacing w:val="-3"/>
                <w:sz w:val="20"/>
              </w:rPr>
              <w:t>children</w:t>
            </w:r>
          </w:p>
          <w:p w14:paraId="04AE76CD" w14:textId="77777777" w:rsidR="00894070" w:rsidRDefault="009B7AFD">
            <w:pPr>
              <w:pStyle w:val="TableParagraph"/>
              <w:numPr>
                <w:ilvl w:val="0"/>
                <w:numId w:val="39"/>
              </w:numPr>
              <w:tabs>
                <w:tab w:val="left" w:pos="453"/>
                <w:tab w:val="left" w:pos="454"/>
              </w:tabs>
              <w:spacing w:before="79" w:line="206" w:lineRule="auto"/>
              <w:ind w:right="318" w:hanging="340"/>
              <w:rPr>
                <w:sz w:val="20"/>
              </w:rPr>
            </w:pPr>
            <w:r>
              <w:rPr>
                <w:color w:val="231F20"/>
                <w:sz w:val="20"/>
              </w:rPr>
              <w:t xml:space="preserve">people </w:t>
            </w:r>
            <w:r>
              <w:rPr>
                <w:color w:val="231F20"/>
                <w:spacing w:val="-6"/>
                <w:sz w:val="20"/>
              </w:rPr>
              <w:t xml:space="preserve">with </w:t>
            </w:r>
            <w:r>
              <w:rPr>
                <w:color w:val="231F20"/>
                <w:sz w:val="20"/>
              </w:rPr>
              <w:t xml:space="preserve">a </w:t>
            </w:r>
            <w:r>
              <w:rPr>
                <w:color w:val="231F20"/>
                <w:spacing w:val="-3"/>
                <w:sz w:val="20"/>
              </w:rPr>
              <w:t xml:space="preserve">cognitive </w:t>
            </w:r>
            <w:r>
              <w:rPr>
                <w:color w:val="231F20"/>
                <w:sz w:val="20"/>
              </w:rPr>
              <w:t>impairment</w:t>
            </w:r>
          </w:p>
          <w:p w14:paraId="34104A06" w14:textId="77777777" w:rsidR="00894070" w:rsidRDefault="009B7AFD">
            <w:pPr>
              <w:pStyle w:val="TableParagraph"/>
              <w:spacing w:before="57" w:line="259" w:lineRule="exact"/>
              <w:rPr>
                <w:sz w:val="20"/>
              </w:rPr>
            </w:pPr>
            <w:r>
              <w:rPr>
                <w:color w:val="231F20"/>
                <w:sz w:val="20"/>
              </w:rPr>
              <w:t>Not available for</w:t>
            </w:r>
          </w:p>
          <w:p w14:paraId="6FF4A0D1" w14:textId="77777777" w:rsidR="00894070" w:rsidRDefault="009B7AFD">
            <w:pPr>
              <w:pStyle w:val="TableParagraph"/>
              <w:spacing w:before="13" w:line="206" w:lineRule="auto"/>
              <w:ind w:right="338"/>
              <w:rPr>
                <w:sz w:val="20"/>
              </w:rPr>
            </w:pPr>
            <w:r>
              <w:rPr>
                <w:color w:val="231F20"/>
                <w:sz w:val="20"/>
              </w:rPr>
              <w:t>adults without a cognitive impairment.</w:t>
            </w:r>
          </w:p>
        </w:tc>
      </w:tr>
    </w:tbl>
    <w:p w14:paraId="6ED9D5B2" w14:textId="77777777" w:rsidR="00894070" w:rsidRDefault="00894070">
      <w:pPr>
        <w:pStyle w:val="BodyText"/>
        <w:spacing w:before="7"/>
        <w:rPr>
          <w:sz w:val="21"/>
        </w:rPr>
      </w:pPr>
    </w:p>
    <w:p w14:paraId="35E80A32" w14:textId="77777777" w:rsidR="00894070" w:rsidRDefault="009B7AFD">
      <w:pPr>
        <w:pStyle w:val="ListParagraph"/>
        <w:numPr>
          <w:ilvl w:val="0"/>
          <w:numId w:val="45"/>
        </w:numPr>
        <w:tabs>
          <w:tab w:val="left" w:pos="1801"/>
          <w:tab w:val="left" w:pos="1802"/>
        </w:tabs>
        <w:spacing w:before="90" w:line="206" w:lineRule="auto"/>
        <w:ind w:right="1248"/>
        <w:rPr>
          <w:sz w:val="20"/>
        </w:rPr>
      </w:pPr>
      <w:r>
        <w:rPr>
          <w:color w:val="231F20"/>
          <w:spacing w:val="-6"/>
          <w:sz w:val="20"/>
        </w:rPr>
        <w:t>Table</w:t>
      </w:r>
      <w:r>
        <w:rPr>
          <w:color w:val="231F20"/>
          <w:spacing w:val="-8"/>
          <w:sz w:val="20"/>
        </w:rPr>
        <w:t xml:space="preserve"> </w:t>
      </w:r>
      <w:r>
        <w:rPr>
          <w:color w:val="231F20"/>
          <w:sz w:val="20"/>
        </w:rPr>
        <w:t>14</w:t>
      </w:r>
      <w:r>
        <w:rPr>
          <w:color w:val="231F20"/>
          <w:spacing w:val="-8"/>
          <w:sz w:val="20"/>
        </w:rPr>
        <w:t xml:space="preserve"> </w:t>
      </w:r>
      <w:r>
        <w:rPr>
          <w:color w:val="231F20"/>
          <w:sz w:val="20"/>
        </w:rPr>
        <w:t>indicates</w:t>
      </w:r>
      <w:r>
        <w:rPr>
          <w:color w:val="231F20"/>
          <w:spacing w:val="-7"/>
          <w:sz w:val="20"/>
        </w:rPr>
        <w:t xml:space="preserve"> </w:t>
      </w:r>
      <w:r>
        <w:rPr>
          <w:color w:val="231F20"/>
          <w:sz w:val="20"/>
        </w:rPr>
        <w:t>that</w:t>
      </w:r>
      <w:r>
        <w:rPr>
          <w:color w:val="231F20"/>
          <w:spacing w:val="-8"/>
          <w:sz w:val="20"/>
        </w:rPr>
        <w:t xml:space="preserve"> </w:t>
      </w:r>
      <w:r>
        <w:rPr>
          <w:color w:val="231F20"/>
          <w:sz w:val="20"/>
        </w:rPr>
        <w:t>Visual</w:t>
      </w:r>
      <w:r>
        <w:rPr>
          <w:color w:val="231F20"/>
          <w:spacing w:val="-8"/>
          <w:sz w:val="20"/>
        </w:rPr>
        <w:t xml:space="preserve"> </w:t>
      </w:r>
      <w:r>
        <w:rPr>
          <w:color w:val="231F20"/>
          <w:sz w:val="20"/>
        </w:rPr>
        <w:t>and</w:t>
      </w:r>
      <w:r>
        <w:rPr>
          <w:color w:val="231F20"/>
          <w:spacing w:val="-7"/>
          <w:sz w:val="20"/>
        </w:rPr>
        <w:t xml:space="preserve"> </w:t>
      </w:r>
      <w:r>
        <w:rPr>
          <w:color w:val="231F20"/>
          <w:sz w:val="20"/>
        </w:rPr>
        <w:t>Audio</w:t>
      </w:r>
      <w:r>
        <w:rPr>
          <w:color w:val="231F20"/>
          <w:spacing w:val="-8"/>
          <w:sz w:val="20"/>
        </w:rPr>
        <w:t xml:space="preserve"> </w:t>
      </w:r>
      <w:r>
        <w:rPr>
          <w:color w:val="231F20"/>
          <w:sz w:val="20"/>
        </w:rPr>
        <w:t>Recorded</w:t>
      </w:r>
      <w:r>
        <w:rPr>
          <w:color w:val="231F20"/>
          <w:spacing w:val="-7"/>
          <w:sz w:val="20"/>
        </w:rPr>
        <w:t xml:space="preserve"> </w:t>
      </w:r>
      <w:r>
        <w:rPr>
          <w:color w:val="231F20"/>
          <w:spacing w:val="-3"/>
          <w:sz w:val="20"/>
        </w:rPr>
        <w:t>Evidence</w:t>
      </w:r>
      <w:r>
        <w:rPr>
          <w:color w:val="231F20"/>
          <w:spacing w:val="-8"/>
          <w:sz w:val="20"/>
        </w:rPr>
        <w:t xml:space="preserve"> </w:t>
      </w:r>
      <w:r>
        <w:rPr>
          <w:color w:val="231F20"/>
          <w:spacing w:val="-3"/>
          <w:sz w:val="20"/>
        </w:rPr>
        <w:t>(VAREs)</w:t>
      </w:r>
      <w:r>
        <w:rPr>
          <w:color w:val="231F20"/>
          <w:spacing w:val="-8"/>
          <w:sz w:val="20"/>
        </w:rPr>
        <w:t xml:space="preserve"> </w:t>
      </w:r>
      <w:r>
        <w:rPr>
          <w:color w:val="231F20"/>
          <w:sz w:val="20"/>
        </w:rPr>
        <w:t>is</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only</w:t>
      </w:r>
      <w:r>
        <w:rPr>
          <w:color w:val="231F20"/>
          <w:spacing w:val="-8"/>
          <w:sz w:val="20"/>
        </w:rPr>
        <w:t xml:space="preserve"> </w:t>
      </w:r>
      <w:r>
        <w:rPr>
          <w:color w:val="231F20"/>
          <w:sz w:val="20"/>
        </w:rPr>
        <w:t xml:space="preserve">special </w:t>
      </w:r>
      <w:r>
        <w:rPr>
          <w:color w:val="231F20"/>
          <w:spacing w:val="-3"/>
          <w:sz w:val="20"/>
        </w:rPr>
        <w:t xml:space="preserve">protection </w:t>
      </w:r>
      <w:r>
        <w:rPr>
          <w:color w:val="231F20"/>
          <w:sz w:val="20"/>
        </w:rPr>
        <w:t xml:space="preserve">available </w:t>
      </w:r>
      <w:r>
        <w:rPr>
          <w:color w:val="231F20"/>
          <w:spacing w:val="-3"/>
          <w:sz w:val="20"/>
        </w:rPr>
        <w:t xml:space="preserve">for </w:t>
      </w:r>
      <w:r>
        <w:rPr>
          <w:color w:val="231F20"/>
          <w:sz w:val="20"/>
        </w:rPr>
        <w:t xml:space="preserve">stalking, and then </w:t>
      </w:r>
      <w:r>
        <w:rPr>
          <w:color w:val="231F20"/>
          <w:spacing w:val="-3"/>
          <w:sz w:val="20"/>
        </w:rPr>
        <w:t xml:space="preserve">only for </w:t>
      </w:r>
      <w:r>
        <w:rPr>
          <w:color w:val="231F20"/>
          <w:sz w:val="20"/>
        </w:rPr>
        <w:t xml:space="preserve">witnesses, including complainants, who </w:t>
      </w:r>
      <w:r>
        <w:rPr>
          <w:color w:val="231F20"/>
          <w:spacing w:val="-3"/>
          <w:sz w:val="20"/>
        </w:rPr>
        <w:t xml:space="preserve">are children </w:t>
      </w:r>
      <w:r>
        <w:rPr>
          <w:color w:val="231F20"/>
          <w:sz w:val="20"/>
        </w:rPr>
        <w:t xml:space="preserve">or </w:t>
      </w:r>
      <w:r>
        <w:rPr>
          <w:color w:val="231F20"/>
          <w:spacing w:val="-4"/>
          <w:sz w:val="20"/>
        </w:rPr>
        <w:t xml:space="preserve">have </w:t>
      </w:r>
      <w:r>
        <w:rPr>
          <w:color w:val="231F20"/>
          <w:sz w:val="20"/>
        </w:rPr>
        <w:t xml:space="preserve">a </w:t>
      </w:r>
      <w:r>
        <w:rPr>
          <w:color w:val="231F20"/>
          <w:spacing w:val="-3"/>
          <w:sz w:val="20"/>
        </w:rPr>
        <w:t>cognitive</w:t>
      </w:r>
      <w:r>
        <w:rPr>
          <w:color w:val="231F20"/>
          <w:spacing w:val="-18"/>
          <w:sz w:val="20"/>
        </w:rPr>
        <w:t xml:space="preserve"> </w:t>
      </w:r>
      <w:r>
        <w:rPr>
          <w:color w:val="231F20"/>
          <w:sz w:val="20"/>
        </w:rPr>
        <w:t>impairment.</w:t>
      </w:r>
    </w:p>
    <w:p w14:paraId="21DBF5CF" w14:textId="77777777" w:rsidR="00894070" w:rsidRDefault="009B7AFD">
      <w:pPr>
        <w:pStyle w:val="ListParagraph"/>
        <w:numPr>
          <w:ilvl w:val="0"/>
          <w:numId w:val="45"/>
        </w:numPr>
        <w:tabs>
          <w:tab w:val="left" w:pos="1801"/>
          <w:tab w:val="left" w:pos="1802"/>
        </w:tabs>
        <w:spacing w:before="123" w:line="206" w:lineRule="auto"/>
        <w:ind w:right="1309"/>
        <w:rPr>
          <w:sz w:val="20"/>
        </w:rPr>
      </w:pPr>
      <w:r>
        <w:rPr>
          <w:color w:val="231F20"/>
          <w:sz w:val="20"/>
        </w:rPr>
        <w:t xml:space="preserve">This lack of </w:t>
      </w:r>
      <w:r>
        <w:rPr>
          <w:color w:val="231F20"/>
          <w:spacing w:val="-3"/>
          <w:sz w:val="20"/>
        </w:rPr>
        <w:t xml:space="preserve">protection </w:t>
      </w:r>
      <w:r>
        <w:rPr>
          <w:color w:val="231F20"/>
          <w:sz w:val="20"/>
        </w:rPr>
        <w:t xml:space="preserve">is particularly concerning as the court process </w:t>
      </w:r>
      <w:r>
        <w:rPr>
          <w:color w:val="231F20"/>
          <w:spacing w:val="-3"/>
          <w:sz w:val="20"/>
        </w:rPr>
        <w:t xml:space="preserve">may </w:t>
      </w:r>
      <w:r>
        <w:rPr>
          <w:color w:val="231F20"/>
          <w:sz w:val="20"/>
        </w:rPr>
        <w:t>extend stalking activity.</w:t>
      </w:r>
      <w:r>
        <w:rPr>
          <w:color w:val="231F20"/>
          <w:position w:val="7"/>
          <w:sz w:val="11"/>
        </w:rPr>
        <w:t xml:space="preserve">158 </w:t>
      </w:r>
      <w:r>
        <w:rPr>
          <w:color w:val="231F20"/>
          <w:sz w:val="20"/>
        </w:rPr>
        <w:t xml:space="preserve">It </w:t>
      </w:r>
      <w:r>
        <w:rPr>
          <w:color w:val="231F20"/>
          <w:spacing w:val="-3"/>
          <w:sz w:val="20"/>
        </w:rPr>
        <w:t xml:space="preserve">may </w:t>
      </w:r>
      <w:r>
        <w:rPr>
          <w:color w:val="231F20"/>
          <w:sz w:val="20"/>
        </w:rPr>
        <w:t xml:space="preserve">act as a </w:t>
      </w:r>
      <w:r>
        <w:rPr>
          <w:color w:val="231F20"/>
          <w:spacing w:val="-3"/>
          <w:sz w:val="20"/>
        </w:rPr>
        <w:t xml:space="preserve">disincentive for </w:t>
      </w:r>
      <w:r>
        <w:rPr>
          <w:color w:val="231F20"/>
          <w:sz w:val="20"/>
        </w:rPr>
        <w:t>victim survivors to engage with the criminal</w:t>
      </w:r>
      <w:r>
        <w:rPr>
          <w:color w:val="231F20"/>
          <w:spacing w:val="-11"/>
          <w:sz w:val="20"/>
        </w:rPr>
        <w:t xml:space="preserve"> </w:t>
      </w:r>
      <w:r>
        <w:rPr>
          <w:color w:val="231F20"/>
          <w:sz w:val="20"/>
        </w:rPr>
        <w:t>justice</w:t>
      </w:r>
      <w:r>
        <w:rPr>
          <w:color w:val="231F20"/>
          <w:spacing w:val="-11"/>
          <w:sz w:val="20"/>
        </w:rPr>
        <w:t xml:space="preserve"> </w:t>
      </w:r>
      <w:proofErr w:type="gramStart"/>
      <w:r>
        <w:rPr>
          <w:color w:val="231F20"/>
          <w:sz w:val="20"/>
        </w:rPr>
        <w:t>system,</w:t>
      </w:r>
      <w:r>
        <w:rPr>
          <w:color w:val="231F20"/>
          <w:spacing w:val="-10"/>
          <w:sz w:val="20"/>
        </w:rPr>
        <w:t xml:space="preserve"> </w:t>
      </w:r>
      <w:r>
        <w:rPr>
          <w:color w:val="231F20"/>
          <w:sz w:val="20"/>
        </w:rPr>
        <w:t>and</w:t>
      </w:r>
      <w:proofErr w:type="gramEnd"/>
      <w:r>
        <w:rPr>
          <w:color w:val="231F20"/>
          <w:spacing w:val="-11"/>
          <w:sz w:val="20"/>
        </w:rPr>
        <w:t xml:space="preserve"> </w:t>
      </w:r>
      <w:r>
        <w:rPr>
          <w:color w:val="231F20"/>
          <w:sz w:val="20"/>
        </w:rPr>
        <w:t>cause</w:t>
      </w:r>
      <w:r>
        <w:rPr>
          <w:color w:val="231F20"/>
          <w:spacing w:val="-11"/>
          <w:sz w:val="20"/>
        </w:rPr>
        <w:t xml:space="preserve"> </w:t>
      </w:r>
      <w:r>
        <w:rPr>
          <w:color w:val="231F20"/>
          <w:sz w:val="20"/>
        </w:rPr>
        <w:t>further</w:t>
      </w:r>
      <w:r>
        <w:rPr>
          <w:color w:val="231F20"/>
          <w:spacing w:val="-10"/>
          <w:sz w:val="20"/>
        </w:rPr>
        <w:t xml:space="preserve"> </w:t>
      </w:r>
      <w:r>
        <w:rPr>
          <w:color w:val="231F20"/>
          <w:sz w:val="20"/>
        </w:rPr>
        <w:t>fear</w:t>
      </w:r>
      <w:r>
        <w:rPr>
          <w:color w:val="231F20"/>
          <w:spacing w:val="-11"/>
          <w:sz w:val="20"/>
        </w:rPr>
        <w:t xml:space="preserve"> </w:t>
      </w:r>
      <w:r>
        <w:rPr>
          <w:color w:val="231F20"/>
          <w:sz w:val="20"/>
        </w:rPr>
        <w:t>and</w:t>
      </w:r>
      <w:r>
        <w:rPr>
          <w:color w:val="231F20"/>
          <w:spacing w:val="-10"/>
          <w:sz w:val="20"/>
        </w:rPr>
        <w:t xml:space="preserve"> </w:t>
      </w:r>
      <w:r>
        <w:rPr>
          <w:color w:val="231F20"/>
          <w:sz w:val="20"/>
        </w:rPr>
        <w:t>harm</w:t>
      </w:r>
      <w:r>
        <w:rPr>
          <w:color w:val="231F20"/>
          <w:spacing w:val="-11"/>
          <w:sz w:val="20"/>
        </w:rPr>
        <w:t xml:space="preserve"> </w:t>
      </w:r>
      <w:r>
        <w:rPr>
          <w:color w:val="231F20"/>
          <w:sz w:val="20"/>
        </w:rPr>
        <w:t>to</w:t>
      </w:r>
      <w:r>
        <w:rPr>
          <w:color w:val="231F20"/>
          <w:spacing w:val="-11"/>
          <w:sz w:val="20"/>
        </w:rPr>
        <w:t xml:space="preserve"> </w:t>
      </w:r>
      <w:r>
        <w:rPr>
          <w:color w:val="231F20"/>
          <w:sz w:val="20"/>
        </w:rPr>
        <w:t>those</w:t>
      </w:r>
      <w:r>
        <w:rPr>
          <w:color w:val="231F20"/>
          <w:spacing w:val="-10"/>
          <w:sz w:val="20"/>
        </w:rPr>
        <w:t xml:space="preserve"> </w:t>
      </w:r>
      <w:r>
        <w:rPr>
          <w:color w:val="231F20"/>
          <w:sz w:val="20"/>
        </w:rPr>
        <w:t>victim</w:t>
      </w:r>
      <w:r>
        <w:rPr>
          <w:color w:val="231F20"/>
          <w:spacing w:val="-11"/>
          <w:sz w:val="20"/>
        </w:rPr>
        <w:t xml:space="preserve"> </w:t>
      </w:r>
      <w:r>
        <w:rPr>
          <w:color w:val="231F20"/>
          <w:sz w:val="20"/>
        </w:rPr>
        <w:t>survivors</w:t>
      </w:r>
      <w:r>
        <w:rPr>
          <w:color w:val="231F20"/>
          <w:spacing w:val="-10"/>
          <w:sz w:val="20"/>
        </w:rPr>
        <w:t xml:space="preserve"> </w:t>
      </w:r>
      <w:r>
        <w:rPr>
          <w:color w:val="231F20"/>
          <w:sz w:val="20"/>
        </w:rPr>
        <w:t xml:space="preserve">who </w:t>
      </w:r>
      <w:r>
        <w:rPr>
          <w:color w:val="231F20"/>
          <w:spacing w:val="-2"/>
          <w:sz w:val="20"/>
        </w:rPr>
        <w:t>do.</w:t>
      </w:r>
    </w:p>
    <w:p w14:paraId="0E71D148" w14:textId="77777777" w:rsidR="00894070" w:rsidRDefault="009B7AFD">
      <w:pPr>
        <w:pStyle w:val="ListParagraph"/>
        <w:numPr>
          <w:ilvl w:val="0"/>
          <w:numId w:val="45"/>
        </w:numPr>
        <w:tabs>
          <w:tab w:val="left" w:pos="1801"/>
          <w:tab w:val="left" w:pos="1802"/>
        </w:tabs>
        <w:spacing w:before="125" w:line="206" w:lineRule="auto"/>
        <w:ind w:right="2087"/>
        <w:rPr>
          <w:sz w:val="20"/>
        </w:rPr>
      </w:pPr>
      <w:r>
        <w:rPr>
          <w:color w:val="231F20"/>
          <w:sz w:val="20"/>
        </w:rPr>
        <w:t>In</w:t>
      </w:r>
      <w:r>
        <w:rPr>
          <w:color w:val="231F20"/>
          <w:spacing w:val="-8"/>
          <w:sz w:val="20"/>
        </w:rPr>
        <w:t xml:space="preserve"> </w:t>
      </w:r>
      <w:r>
        <w:rPr>
          <w:color w:val="231F20"/>
          <w:sz w:val="20"/>
        </w:rPr>
        <w:t>our</w:t>
      </w:r>
      <w:r>
        <w:rPr>
          <w:color w:val="231F20"/>
          <w:spacing w:val="-8"/>
          <w:sz w:val="20"/>
        </w:rPr>
        <w:t xml:space="preserve"> </w:t>
      </w:r>
      <w:r>
        <w:rPr>
          <w:color w:val="231F20"/>
          <w:sz w:val="20"/>
        </w:rPr>
        <w:t>report</w:t>
      </w:r>
      <w:r>
        <w:rPr>
          <w:color w:val="231F20"/>
          <w:spacing w:val="-8"/>
          <w:sz w:val="20"/>
        </w:rPr>
        <w:t xml:space="preserve"> </w:t>
      </w:r>
      <w:r>
        <w:rPr>
          <w:i/>
          <w:color w:val="231F20"/>
          <w:sz w:val="20"/>
        </w:rPr>
        <w:t>The</w:t>
      </w:r>
      <w:r>
        <w:rPr>
          <w:i/>
          <w:color w:val="231F20"/>
          <w:spacing w:val="-8"/>
          <w:sz w:val="20"/>
        </w:rPr>
        <w:t xml:space="preserve"> </w:t>
      </w:r>
      <w:r>
        <w:rPr>
          <w:i/>
          <w:color w:val="231F20"/>
          <w:spacing w:val="-3"/>
          <w:sz w:val="20"/>
        </w:rPr>
        <w:t>Role</w:t>
      </w:r>
      <w:r>
        <w:rPr>
          <w:i/>
          <w:color w:val="231F20"/>
          <w:spacing w:val="-7"/>
          <w:sz w:val="20"/>
        </w:rPr>
        <w:t xml:space="preserve"> </w:t>
      </w:r>
      <w:r>
        <w:rPr>
          <w:i/>
          <w:color w:val="231F20"/>
          <w:sz w:val="20"/>
        </w:rPr>
        <w:t>of</w:t>
      </w:r>
      <w:r>
        <w:rPr>
          <w:i/>
          <w:color w:val="231F20"/>
          <w:spacing w:val="-8"/>
          <w:sz w:val="20"/>
        </w:rPr>
        <w:t xml:space="preserve"> </w:t>
      </w:r>
      <w:r>
        <w:rPr>
          <w:i/>
          <w:color w:val="231F20"/>
          <w:sz w:val="20"/>
        </w:rPr>
        <w:t>Victims</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Crime</w:t>
      </w:r>
      <w:r>
        <w:rPr>
          <w:i/>
          <w:color w:val="231F20"/>
          <w:spacing w:val="-7"/>
          <w:sz w:val="20"/>
        </w:rPr>
        <w:t xml:space="preserve"> </w:t>
      </w:r>
      <w:r>
        <w:rPr>
          <w:i/>
          <w:color w:val="231F20"/>
          <w:sz w:val="20"/>
        </w:rPr>
        <w:t>in</w:t>
      </w:r>
      <w:r>
        <w:rPr>
          <w:i/>
          <w:color w:val="231F20"/>
          <w:spacing w:val="-8"/>
          <w:sz w:val="20"/>
        </w:rPr>
        <w:t xml:space="preserve"> </w:t>
      </w:r>
      <w:r>
        <w:rPr>
          <w:i/>
          <w:color w:val="231F20"/>
          <w:sz w:val="20"/>
        </w:rPr>
        <w:t>the</w:t>
      </w:r>
      <w:r>
        <w:rPr>
          <w:i/>
          <w:color w:val="231F20"/>
          <w:spacing w:val="-8"/>
          <w:sz w:val="20"/>
        </w:rPr>
        <w:t xml:space="preserve"> </w:t>
      </w:r>
      <w:r>
        <w:rPr>
          <w:i/>
          <w:color w:val="231F20"/>
          <w:sz w:val="20"/>
        </w:rPr>
        <w:t>Criminal</w:t>
      </w:r>
      <w:r>
        <w:rPr>
          <w:i/>
          <w:color w:val="231F20"/>
          <w:spacing w:val="-8"/>
          <w:sz w:val="20"/>
        </w:rPr>
        <w:t xml:space="preserve"> </w:t>
      </w:r>
      <w:r>
        <w:rPr>
          <w:i/>
          <w:color w:val="231F20"/>
          <w:spacing w:val="-5"/>
          <w:sz w:val="20"/>
        </w:rPr>
        <w:t>Trial</w:t>
      </w:r>
      <w:r>
        <w:rPr>
          <w:i/>
          <w:color w:val="231F20"/>
          <w:spacing w:val="-7"/>
          <w:sz w:val="20"/>
        </w:rPr>
        <w:t xml:space="preserve"> </w:t>
      </w:r>
      <w:r>
        <w:rPr>
          <w:i/>
          <w:color w:val="231F20"/>
          <w:sz w:val="20"/>
        </w:rPr>
        <w:t>Process</w:t>
      </w:r>
      <w:r>
        <w:rPr>
          <w:i/>
          <w:color w:val="231F20"/>
          <w:spacing w:val="-7"/>
          <w:sz w:val="20"/>
        </w:rPr>
        <w:t xml:space="preserve"> </w:t>
      </w:r>
      <w:r>
        <w:rPr>
          <w:color w:val="231F20"/>
          <w:spacing w:val="-3"/>
          <w:sz w:val="20"/>
        </w:rPr>
        <w:t>(2016)</w:t>
      </w:r>
      <w:r>
        <w:rPr>
          <w:color w:val="231F20"/>
          <w:spacing w:val="-8"/>
          <w:sz w:val="20"/>
        </w:rPr>
        <w:t xml:space="preserve"> </w:t>
      </w:r>
      <w:r>
        <w:rPr>
          <w:color w:val="231F20"/>
          <w:spacing w:val="-3"/>
          <w:sz w:val="20"/>
        </w:rPr>
        <w:t xml:space="preserve">we </w:t>
      </w:r>
      <w:r>
        <w:rPr>
          <w:color w:val="231F20"/>
          <w:sz w:val="20"/>
        </w:rPr>
        <w:t>explained</w:t>
      </w:r>
      <w:r>
        <w:rPr>
          <w:color w:val="231F20"/>
          <w:spacing w:val="-9"/>
          <w:sz w:val="20"/>
        </w:rPr>
        <w:t xml:space="preserve"> </w:t>
      </w:r>
      <w:r>
        <w:rPr>
          <w:color w:val="231F20"/>
          <w:spacing w:val="-3"/>
          <w:sz w:val="20"/>
        </w:rPr>
        <w:t>how</w:t>
      </w:r>
      <w:r>
        <w:rPr>
          <w:color w:val="231F20"/>
          <w:spacing w:val="-8"/>
          <w:sz w:val="20"/>
        </w:rPr>
        <w:t xml:space="preserve"> </w:t>
      </w:r>
      <w:r>
        <w:rPr>
          <w:color w:val="231F20"/>
          <w:sz w:val="20"/>
        </w:rPr>
        <w:t>special</w:t>
      </w:r>
      <w:r>
        <w:rPr>
          <w:color w:val="231F20"/>
          <w:spacing w:val="-8"/>
          <w:sz w:val="20"/>
        </w:rPr>
        <w:t xml:space="preserve"> </w:t>
      </w:r>
      <w:r>
        <w:rPr>
          <w:color w:val="231F20"/>
          <w:spacing w:val="-3"/>
          <w:sz w:val="20"/>
        </w:rPr>
        <w:t>protections</w:t>
      </w:r>
      <w:r>
        <w:rPr>
          <w:color w:val="231F20"/>
          <w:spacing w:val="-9"/>
          <w:sz w:val="20"/>
        </w:rPr>
        <w:t xml:space="preserve"> </w:t>
      </w:r>
      <w:r>
        <w:rPr>
          <w:color w:val="231F20"/>
          <w:sz w:val="20"/>
        </w:rPr>
        <w:t>can</w:t>
      </w:r>
      <w:r>
        <w:rPr>
          <w:color w:val="231F20"/>
          <w:spacing w:val="-8"/>
          <w:sz w:val="20"/>
        </w:rPr>
        <w:t xml:space="preserve"> </w:t>
      </w:r>
      <w:r>
        <w:rPr>
          <w:color w:val="231F20"/>
          <w:sz w:val="20"/>
        </w:rPr>
        <w:t>benefit</w:t>
      </w:r>
      <w:r>
        <w:rPr>
          <w:color w:val="231F20"/>
          <w:spacing w:val="-8"/>
          <w:sz w:val="20"/>
        </w:rPr>
        <w:t xml:space="preserve"> </w:t>
      </w:r>
      <w:r>
        <w:rPr>
          <w:color w:val="231F20"/>
          <w:sz w:val="20"/>
        </w:rPr>
        <w:t>victims</w:t>
      </w:r>
      <w:r>
        <w:rPr>
          <w:color w:val="231F20"/>
          <w:spacing w:val="-8"/>
          <w:sz w:val="20"/>
        </w:rPr>
        <w:t xml:space="preserve"> </w:t>
      </w:r>
      <w:r>
        <w:rPr>
          <w:color w:val="231F20"/>
          <w:sz w:val="20"/>
        </w:rPr>
        <w:t>of</w:t>
      </w:r>
      <w:r>
        <w:rPr>
          <w:color w:val="231F20"/>
          <w:spacing w:val="-9"/>
          <w:sz w:val="20"/>
        </w:rPr>
        <w:t xml:space="preserve"> </w:t>
      </w:r>
      <w:r>
        <w:rPr>
          <w:color w:val="231F20"/>
          <w:sz w:val="20"/>
        </w:rPr>
        <w:t>crime</w:t>
      </w:r>
      <w:r>
        <w:rPr>
          <w:color w:val="231F20"/>
          <w:spacing w:val="-8"/>
          <w:sz w:val="20"/>
        </w:rPr>
        <w:t xml:space="preserve"> </w:t>
      </w:r>
      <w:r>
        <w:rPr>
          <w:color w:val="231F20"/>
          <w:sz w:val="20"/>
        </w:rPr>
        <w:t>more</w:t>
      </w:r>
      <w:r>
        <w:rPr>
          <w:color w:val="231F20"/>
          <w:spacing w:val="-8"/>
          <w:sz w:val="20"/>
        </w:rPr>
        <w:t xml:space="preserve"> </w:t>
      </w:r>
      <w:r>
        <w:rPr>
          <w:color w:val="231F20"/>
          <w:spacing w:val="-3"/>
          <w:sz w:val="20"/>
        </w:rPr>
        <w:t>broadly:</w:t>
      </w:r>
    </w:p>
    <w:p w14:paraId="3F766AC8" w14:textId="77777777" w:rsidR="00894070" w:rsidRDefault="009B7AFD">
      <w:pPr>
        <w:spacing w:before="121" w:line="208" w:lineRule="auto"/>
        <w:ind w:left="2254" w:right="1459"/>
        <w:rPr>
          <w:sz w:val="11"/>
        </w:rPr>
      </w:pPr>
      <w:r>
        <w:rPr>
          <w:color w:val="231F20"/>
          <w:sz w:val="19"/>
        </w:rPr>
        <w:t xml:space="preserve">Ultimately, special protections are about protecting victims from unnecessary trauma, </w:t>
      </w:r>
      <w:proofErr w:type="gramStart"/>
      <w:r>
        <w:rPr>
          <w:color w:val="231F20"/>
          <w:sz w:val="19"/>
        </w:rPr>
        <w:t>intimidation</w:t>
      </w:r>
      <w:proofErr w:type="gramEnd"/>
      <w:r>
        <w:rPr>
          <w:color w:val="231F20"/>
          <w:sz w:val="19"/>
        </w:rPr>
        <w:t xml:space="preserve"> and distress, and ensuring they are able to give their best evidence. This rationale should form the basis of any expansion of existing special protections.</w:t>
      </w:r>
      <w:r>
        <w:rPr>
          <w:color w:val="231F20"/>
          <w:position w:val="6"/>
          <w:sz w:val="11"/>
        </w:rPr>
        <w:t>159</w:t>
      </w:r>
    </w:p>
    <w:p w14:paraId="3CEB5A44" w14:textId="77777777" w:rsidR="00894070" w:rsidRDefault="009B7AFD">
      <w:pPr>
        <w:pStyle w:val="ListParagraph"/>
        <w:numPr>
          <w:ilvl w:val="0"/>
          <w:numId w:val="45"/>
        </w:numPr>
        <w:tabs>
          <w:tab w:val="left" w:pos="1801"/>
          <w:tab w:val="left" w:pos="1802"/>
        </w:tabs>
        <w:spacing w:before="124" w:line="206" w:lineRule="auto"/>
        <w:ind w:right="1316"/>
        <w:rPr>
          <w:sz w:val="11"/>
        </w:rPr>
      </w:pPr>
      <w:r>
        <w:rPr>
          <w:color w:val="231F20"/>
          <w:sz w:val="20"/>
        </w:rPr>
        <w:t xml:space="preserve">In that report, </w:t>
      </w:r>
      <w:r>
        <w:rPr>
          <w:color w:val="231F20"/>
          <w:spacing w:val="-3"/>
          <w:sz w:val="20"/>
        </w:rPr>
        <w:t xml:space="preserve">we </w:t>
      </w:r>
      <w:r>
        <w:rPr>
          <w:color w:val="231F20"/>
          <w:sz w:val="20"/>
        </w:rPr>
        <w:t xml:space="preserve">recommended extending special </w:t>
      </w:r>
      <w:r>
        <w:rPr>
          <w:color w:val="231F20"/>
          <w:spacing w:val="-3"/>
          <w:sz w:val="20"/>
        </w:rPr>
        <w:t xml:space="preserve">protections </w:t>
      </w:r>
      <w:r>
        <w:rPr>
          <w:color w:val="231F20"/>
          <w:sz w:val="20"/>
        </w:rPr>
        <w:t xml:space="preserve">to a new category of </w:t>
      </w:r>
      <w:r>
        <w:rPr>
          <w:color w:val="231F20"/>
          <w:spacing w:val="-3"/>
          <w:sz w:val="20"/>
        </w:rPr>
        <w:t>‘protected victims’.</w:t>
      </w:r>
      <w:r>
        <w:rPr>
          <w:color w:val="231F20"/>
          <w:spacing w:val="-3"/>
          <w:position w:val="7"/>
          <w:sz w:val="11"/>
        </w:rPr>
        <w:t xml:space="preserve">160 </w:t>
      </w:r>
      <w:r>
        <w:rPr>
          <w:color w:val="231F20"/>
          <w:spacing w:val="-6"/>
          <w:sz w:val="20"/>
        </w:rPr>
        <w:t xml:space="preserve">We </w:t>
      </w:r>
      <w:r>
        <w:rPr>
          <w:color w:val="231F20"/>
          <w:sz w:val="20"/>
        </w:rPr>
        <w:t xml:space="preserve">recommended that </w:t>
      </w:r>
      <w:r>
        <w:rPr>
          <w:color w:val="231F20"/>
          <w:spacing w:val="-3"/>
          <w:sz w:val="20"/>
        </w:rPr>
        <w:t xml:space="preserve">protected </w:t>
      </w:r>
      <w:r>
        <w:rPr>
          <w:color w:val="231F20"/>
          <w:sz w:val="20"/>
        </w:rPr>
        <w:t xml:space="preserve">victims should include people who </w:t>
      </w:r>
      <w:r>
        <w:rPr>
          <w:color w:val="231F20"/>
          <w:spacing w:val="-3"/>
          <w:sz w:val="20"/>
        </w:rPr>
        <w:t xml:space="preserve">are likely </w:t>
      </w:r>
      <w:r>
        <w:rPr>
          <w:color w:val="231F20"/>
          <w:sz w:val="20"/>
        </w:rPr>
        <w:t xml:space="preserve">to </w:t>
      </w:r>
      <w:r>
        <w:rPr>
          <w:color w:val="231F20"/>
          <w:spacing w:val="-3"/>
          <w:sz w:val="20"/>
        </w:rPr>
        <w:t xml:space="preserve">‘suffer </w:t>
      </w:r>
      <w:r>
        <w:rPr>
          <w:color w:val="231F20"/>
          <w:spacing w:val="-4"/>
          <w:sz w:val="20"/>
        </w:rPr>
        <w:t xml:space="preserve">severe </w:t>
      </w:r>
      <w:r>
        <w:rPr>
          <w:color w:val="231F20"/>
          <w:sz w:val="20"/>
        </w:rPr>
        <w:t xml:space="preserve">emotional </w:t>
      </w:r>
      <w:r>
        <w:rPr>
          <w:color w:val="231F20"/>
          <w:spacing w:val="-4"/>
          <w:sz w:val="20"/>
        </w:rPr>
        <w:t xml:space="preserve">trauma’, </w:t>
      </w:r>
      <w:r>
        <w:rPr>
          <w:color w:val="231F20"/>
          <w:sz w:val="20"/>
        </w:rPr>
        <w:t xml:space="preserve">or ‘be so </w:t>
      </w:r>
      <w:r>
        <w:rPr>
          <w:color w:val="231F20"/>
          <w:spacing w:val="-3"/>
          <w:sz w:val="20"/>
        </w:rPr>
        <w:t xml:space="preserve">intimidated </w:t>
      </w:r>
      <w:r>
        <w:rPr>
          <w:color w:val="231F20"/>
          <w:sz w:val="20"/>
        </w:rPr>
        <w:t xml:space="preserve">or distressed’ that they cannot </w:t>
      </w:r>
      <w:r>
        <w:rPr>
          <w:color w:val="231F20"/>
          <w:spacing w:val="-3"/>
          <w:sz w:val="20"/>
        </w:rPr>
        <w:t xml:space="preserve">give </w:t>
      </w:r>
      <w:r>
        <w:rPr>
          <w:color w:val="231F20"/>
          <w:sz w:val="20"/>
        </w:rPr>
        <w:t xml:space="preserve">evidence or </w:t>
      </w:r>
      <w:r>
        <w:rPr>
          <w:color w:val="231F20"/>
          <w:spacing w:val="-3"/>
          <w:sz w:val="20"/>
        </w:rPr>
        <w:t xml:space="preserve">give </w:t>
      </w:r>
      <w:r>
        <w:rPr>
          <w:color w:val="231F20"/>
          <w:sz w:val="20"/>
        </w:rPr>
        <w:t>evidence</w:t>
      </w:r>
      <w:r>
        <w:rPr>
          <w:color w:val="231F20"/>
          <w:spacing w:val="-31"/>
          <w:sz w:val="20"/>
        </w:rPr>
        <w:t xml:space="preserve"> </w:t>
      </w:r>
      <w:r>
        <w:rPr>
          <w:color w:val="231F20"/>
          <w:spacing w:val="-3"/>
          <w:sz w:val="20"/>
        </w:rPr>
        <w:t>fairly.</w:t>
      </w:r>
      <w:r>
        <w:rPr>
          <w:color w:val="231F20"/>
          <w:spacing w:val="-3"/>
          <w:position w:val="7"/>
          <w:sz w:val="11"/>
        </w:rPr>
        <w:t>161</w:t>
      </w:r>
    </w:p>
    <w:p w14:paraId="2BF2B3DA" w14:textId="77777777" w:rsidR="00894070" w:rsidRDefault="009B7AFD">
      <w:pPr>
        <w:pStyle w:val="ListParagraph"/>
        <w:numPr>
          <w:ilvl w:val="0"/>
          <w:numId w:val="45"/>
        </w:numPr>
        <w:tabs>
          <w:tab w:val="left" w:pos="1802"/>
        </w:tabs>
        <w:spacing w:before="125" w:line="206" w:lineRule="auto"/>
        <w:ind w:right="1187"/>
        <w:jc w:val="both"/>
        <w:rPr>
          <w:sz w:val="11"/>
        </w:rPr>
      </w:pPr>
      <w:r>
        <w:rPr>
          <w:color w:val="231F20"/>
          <w:sz w:val="20"/>
        </w:rPr>
        <w:t>Our</w:t>
      </w:r>
      <w:r>
        <w:rPr>
          <w:color w:val="231F20"/>
          <w:spacing w:val="-10"/>
          <w:sz w:val="20"/>
        </w:rPr>
        <w:t xml:space="preserve"> </w:t>
      </w:r>
      <w:r>
        <w:rPr>
          <w:color w:val="231F20"/>
          <w:sz w:val="20"/>
        </w:rPr>
        <w:t>recommendations</w:t>
      </w:r>
      <w:r>
        <w:rPr>
          <w:color w:val="231F20"/>
          <w:spacing w:val="-9"/>
          <w:sz w:val="20"/>
        </w:rPr>
        <w:t xml:space="preserve"> </w:t>
      </w:r>
      <w:r>
        <w:rPr>
          <w:color w:val="231F20"/>
          <w:sz w:val="20"/>
        </w:rPr>
        <w:t>did</w:t>
      </w:r>
      <w:r>
        <w:rPr>
          <w:color w:val="231F20"/>
          <w:spacing w:val="-9"/>
          <w:sz w:val="20"/>
        </w:rPr>
        <w:t xml:space="preserve"> </w:t>
      </w:r>
      <w:r>
        <w:rPr>
          <w:color w:val="231F20"/>
          <w:sz w:val="20"/>
        </w:rPr>
        <w:t>not</w:t>
      </w:r>
      <w:r>
        <w:rPr>
          <w:color w:val="231F20"/>
          <w:spacing w:val="-9"/>
          <w:sz w:val="20"/>
        </w:rPr>
        <w:t xml:space="preserve"> </w:t>
      </w:r>
      <w:r>
        <w:rPr>
          <w:color w:val="231F20"/>
          <w:sz w:val="20"/>
        </w:rPr>
        <w:t>depend</w:t>
      </w:r>
      <w:r>
        <w:rPr>
          <w:color w:val="231F20"/>
          <w:spacing w:val="-9"/>
          <w:sz w:val="20"/>
        </w:rPr>
        <w:t xml:space="preserve"> </w:t>
      </w:r>
      <w:r>
        <w:rPr>
          <w:color w:val="231F20"/>
          <w:sz w:val="20"/>
        </w:rPr>
        <w:t>on</w:t>
      </w:r>
      <w:r>
        <w:rPr>
          <w:color w:val="231F20"/>
          <w:spacing w:val="-9"/>
          <w:sz w:val="20"/>
        </w:rPr>
        <w:t xml:space="preserve"> </w:t>
      </w:r>
      <w:r>
        <w:rPr>
          <w:color w:val="231F20"/>
          <w:sz w:val="20"/>
        </w:rPr>
        <w:t>the</w:t>
      </w:r>
      <w:r>
        <w:rPr>
          <w:color w:val="231F20"/>
          <w:spacing w:val="-9"/>
          <w:sz w:val="20"/>
        </w:rPr>
        <w:t xml:space="preserve"> </w:t>
      </w:r>
      <w:r>
        <w:rPr>
          <w:color w:val="231F20"/>
          <w:sz w:val="20"/>
        </w:rPr>
        <w:t>type</w:t>
      </w:r>
      <w:r>
        <w:rPr>
          <w:color w:val="231F20"/>
          <w:spacing w:val="-9"/>
          <w:sz w:val="20"/>
        </w:rPr>
        <w:t xml:space="preserve"> </w:t>
      </w:r>
      <w:r>
        <w:rPr>
          <w:color w:val="231F20"/>
          <w:sz w:val="20"/>
        </w:rPr>
        <w:t>of</w:t>
      </w:r>
      <w:r>
        <w:rPr>
          <w:color w:val="231F20"/>
          <w:spacing w:val="-9"/>
          <w:sz w:val="20"/>
        </w:rPr>
        <w:t xml:space="preserve"> </w:t>
      </w:r>
      <w:r>
        <w:rPr>
          <w:color w:val="231F20"/>
          <w:spacing w:val="-3"/>
          <w:sz w:val="20"/>
        </w:rPr>
        <w:t>offence.</w:t>
      </w:r>
      <w:r>
        <w:rPr>
          <w:color w:val="231F20"/>
          <w:spacing w:val="-9"/>
          <w:sz w:val="20"/>
        </w:rPr>
        <w:t xml:space="preserve"> </w:t>
      </w:r>
      <w:r>
        <w:rPr>
          <w:color w:val="231F20"/>
          <w:sz w:val="20"/>
        </w:rPr>
        <w:t>Whether</w:t>
      </w:r>
      <w:r>
        <w:rPr>
          <w:color w:val="231F20"/>
          <w:spacing w:val="-10"/>
          <w:sz w:val="20"/>
        </w:rPr>
        <w:t xml:space="preserve"> </w:t>
      </w:r>
      <w:r>
        <w:rPr>
          <w:color w:val="231F20"/>
          <w:sz w:val="20"/>
        </w:rPr>
        <w:t>a</w:t>
      </w:r>
      <w:r>
        <w:rPr>
          <w:color w:val="231F20"/>
          <w:spacing w:val="-9"/>
          <w:sz w:val="20"/>
        </w:rPr>
        <w:t xml:space="preserve"> </w:t>
      </w:r>
      <w:r>
        <w:rPr>
          <w:color w:val="231F20"/>
          <w:sz w:val="20"/>
        </w:rPr>
        <w:t>person</w:t>
      </w:r>
      <w:r>
        <w:rPr>
          <w:color w:val="231F20"/>
          <w:spacing w:val="-9"/>
          <w:sz w:val="20"/>
        </w:rPr>
        <w:t xml:space="preserve"> </w:t>
      </w:r>
      <w:r>
        <w:rPr>
          <w:color w:val="231F20"/>
          <w:spacing w:val="-3"/>
          <w:sz w:val="20"/>
        </w:rPr>
        <w:t xml:space="preserve">would </w:t>
      </w:r>
      <w:r>
        <w:rPr>
          <w:color w:val="231F20"/>
          <w:sz w:val="20"/>
        </w:rPr>
        <w:t>fit</w:t>
      </w:r>
      <w:r>
        <w:rPr>
          <w:color w:val="231F20"/>
          <w:spacing w:val="-10"/>
          <w:sz w:val="20"/>
        </w:rPr>
        <w:t xml:space="preserve"> </w:t>
      </w:r>
      <w:r>
        <w:rPr>
          <w:color w:val="231F20"/>
          <w:spacing w:val="-3"/>
          <w:sz w:val="20"/>
        </w:rPr>
        <w:t>into</w:t>
      </w:r>
      <w:r>
        <w:rPr>
          <w:color w:val="231F20"/>
          <w:spacing w:val="-9"/>
          <w:sz w:val="20"/>
        </w:rPr>
        <w:t xml:space="preserve"> </w:t>
      </w:r>
      <w:r>
        <w:rPr>
          <w:color w:val="231F20"/>
          <w:sz w:val="20"/>
        </w:rPr>
        <w:t>this</w:t>
      </w:r>
      <w:r>
        <w:rPr>
          <w:color w:val="231F20"/>
          <w:spacing w:val="-9"/>
          <w:sz w:val="20"/>
        </w:rPr>
        <w:t xml:space="preserve"> </w:t>
      </w:r>
      <w:r>
        <w:rPr>
          <w:color w:val="231F20"/>
          <w:sz w:val="20"/>
        </w:rPr>
        <w:t>category</w:t>
      </w:r>
      <w:r>
        <w:rPr>
          <w:color w:val="231F20"/>
          <w:spacing w:val="-10"/>
          <w:sz w:val="20"/>
        </w:rPr>
        <w:t xml:space="preserve"> </w:t>
      </w:r>
      <w:r>
        <w:rPr>
          <w:color w:val="231F20"/>
          <w:spacing w:val="-3"/>
          <w:sz w:val="20"/>
        </w:rPr>
        <w:t>would</w:t>
      </w:r>
      <w:r>
        <w:rPr>
          <w:color w:val="231F20"/>
          <w:spacing w:val="-9"/>
          <w:sz w:val="20"/>
        </w:rPr>
        <w:t xml:space="preserve"> </w:t>
      </w:r>
      <w:r>
        <w:rPr>
          <w:color w:val="231F20"/>
          <w:sz w:val="20"/>
        </w:rPr>
        <w:t>be</w:t>
      </w:r>
      <w:r>
        <w:rPr>
          <w:color w:val="231F20"/>
          <w:spacing w:val="-9"/>
          <w:sz w:val="20"/>
        </w:rPr>
        <w:t xml:space="preserve"> </w:t>
      </w:r>
      <w:r>
        <w:rPr>
          <w:color w:val="231F20"/>
          <w:sz w:val="20"/>
        </w:rPr>
        <w:t>decided</w:t>
      </w:r>
      <w:r>
        <w:rPr>
          <w:color w:val="231F20"/>
          <w:spacing w:val="-9"/>
          <w:sz w:val="20"/>
        </w:rPr>
        <w:t xml:space="preserve"> </w:t>
      </w:r>
      <w:r>
        <w:rPr>
          <w:color w:val="231F20"/>
          <w:sz w:val="20"/>
        </w:rPr>
        <w:t>on</w:t>
      </w:r>
      <w:r>
        <w:rPr>
          <w:color w:val="231F20"/>
          <w:spacing w:val="-10"/>
          <w:sz w:val="20"/>
        </w:rPr>
        <w:t xml:space="preserve"> </w:t>
      </w:r>
      <w:r>
        <w:rPr>
          <w:color w:val="231F20"/>
          <w:sz w:val="20"/>
        </w:rPr>
        <w:t>a</w:t>
      </w:r>
      <w:r>
        <w:rPr>
          <w:color w:val="231F20"/>
          <w:spacing w:val="-9"/>
          <w:sz w:val="20"/>
        </w:rPr>
        <w:t xml:space="preserve"> </w:t>
      </w:r>
      <w:r>
        <w:rPr>
          <w:color w:val="231F20"/>
          <w:sz w:val="20"/>
        </w:rPr>
        <w:t>case-by-case</w:t>
      </w:r>
      <w:r>
        <w:rPr>
          <w:color w:val="231F20"/>
          <w:spacing w:val="-9"/>
          <w:sz w:val="20"/>
        </w:rPr>
        <w:t xml:space="preserve"> </w:t>
      </w:r>
      <w:r>
        <w:rPr>
          <w:color w:val="231F20"/>
          <w:sz w:val="20"/>
        </w:rPr>
        <w:t>basis</w:t>
      </w:r>
      <w:r>
        <w:rPr>
          <w:color w:val="231F20"/>
          <w:spacing w:val="-9"/>
          <w:sz w:val="20"/>
        </w:rPr>
        <w:t xml:space="preserve"> </w:t>
      </w:r>
      <w:r>
        <w:rPr>
          <w:color w:val="231F20"/>
          <w:spacing w:val="-3"/>
          <w:sz w:val="20"/>
        </w:rPr>
        <w:t>by</w:t>
      </w:r>
      <w:r>
        <w:rPr>
          <w:color w:val="231F20"/>
          <w:spacing w:val="-10"/>
          <w:sz w:val="20"/>
        </w:rPr>
        <w:t xml:space="preserve"> </w:t>
      </w:r>
      <w:r>
        <w:rPr>
          <w:color w:val="231F20"/>
          <w:sz w:val="20"/>
        </w:rPr>
        <w:t>the</w:t>
      </w:r>
      <w:r>
        <w:rPr>
          <w:color w:val="231F20"/>
          <w:spacing w:val="-9"/>
          <w:sz w:val="20"/>
        </w:rPr>
        <w:t xml:space="preserve"> </w:t>
      </w:r>
      <w:r>
        <w:rPr>
          <w:color w:val="231F20"/>
          <w:sz w:val="20"/>
        </w:rPr>
        <w:t>judicial</w:t>
      </w:r>
      <w:r>
        <w:rPr>
          <w:color w:val="231F20"/>
          <w:spacing w:val="-9"/>
          <w:sz w:val="20"/>
        </w:rPr>
        <w:t xml:space="preserve"> </w:t>
      </w:r>
      <w:r>
        <w:rPr>
          <w:color w:val="231F20"/>
          <w:spacing w:val="-3"/>
          <w:sz w:val="20"/>
        </w:rPr>
        <w:t>officer,</w:t>
      </w:r>
      <w:r>
        <w:rPr>
          <w:color w:val="231F20"/>
          <w:spacing w:val="-9"/>
          <w:sz w:val="20"/>
        </w:rPr>
        <w:t xml:space="preserve"> </w:t>
      </w:r>
      <w:r>
        <w:rPr>
          <w:color w:val="231F20"/>
          <w:sz w:val="20"/>
        </w:rPr>
        <w:t xml:space="preserve">if they meet the </w:t>
      </w:r>
      <w:r>
        <w:rPr>
          <w:color w:val="231F20"/>
          <w:spacing w:val="-3"/>
          <w:sz w:val="20"/>
        </w:rPr>
        <w:t xml:space="preserve">threshold </w:t>
      </w:r>
      <w:r>
        <w:rPr>
          <w:color w:val="231F20"/>
          <w:sz w:val="20"/>
        </w:rPr>
        <w:t>and other legislative</w:t>
      </w:r>
      <w:r>
        <w:rPr>
          <w:color w:val="231F20"/>
          <w:spacing w:val="-30"/>
          <w:sz w:val="20"/>
        </w:rPr>
        <w:t xml:space="preserve"> </w:t>
      </w:r>
      <w:r>
        <w:rPr>
          <w:color w:val="231F20"/>
          <w:sz w:val="20"/>
        </w:rPr>
        <w:t>criteria.</w:t>
      </w:r>
      <w:r>
        <w:rPr>
          <w:color w:val="231F20"/>
          <w:position w:val="7"/>
          <w:sz w:val="11"/>
        </w:rPr>
        <w:t>162</w:t>
      </w:r>
    </w:p>
    <w:p w14:paraId="18EA812C" w14:textId="77777777" w:rsidR="00894070" w:rsidRDefault="009B7AFD">
      <w:pPr>
        <w:pStyle w:val="ListParagraph"/>
        <w:numPr>
          <w:ilvl w:val="0"/>
          <w:numId w:val="45"/>
        </w:numPr>
        <w:tabs>
          <w:tab w:val="left" w:pos="1801"/>
          <w:tab w:val="left" w:pos="1802"/>
        </w:tabs>
        <w:spacing w:before="124" w:line="206" w:lineRule="auto"/>
        <w:ind w:right="1430"/>
        <w:rPr>
          <w:sz w:val="11"/>
        </w:rPr>
      </w:pPr>
      <w:r>
        <w:rPr>
          <w:color w:val="231F20"/>
          <w:spacing w:val="-6"/>
          <w:sz w:val="20"/>
        </w:rPr>
        <w:t>We</w:t>
      </w:r>
      <w:r>
        <w:rPr>
          <w:color w:val="231F20"/>
          <w:spacing w:val="-11"/>
          <w:sz w:val="20"/>
        </w:rPr>
        <w:t xml:space="preserve"> </w:t>
      </w:r>
      <w:r>
        <w:rPr>
          <w:color w:val="231F20"/>
          <w:sz w:val="20"/>
        </w:rPr>
        <w:t>also</w:t>
      </w:r>
      <w:r>
        <w:rPr>
          <w:color w:val="231F20"/>
          <w:spacing w:val="-11"/>
          <w:sz w:val="20"/>
        </w:rPr>
        <w:t xml:space="preserve"> </w:t>
      </w:r>
      <w:r>
        <w:rPr>
          <w:color w:val="231F20"/>
          <w:sz w:val="20"/>
        </w:rPr>
        <w:t>recommended</w:t>
      </w:r>
      <w:r>
        <w:rPr>
          <w:color w:val="231F20"/>
          <w:spacing w:val="-10"/>
          <w:sz w:val="20"/>
        </w:rPr>
        <w:t xml:space="preserve"> </w:t>
      </w:r>
      <w:r>
        <w:rPr>
          <w:color w:val="231F20"/>
          <w:sz w:val="20"/>
        </w:rPr>
        <w:t>that</w:t>
      </w:r>
      <w:r>
        <w:rPr>
          <w:color w:val="231F20"/>
          <w:spacing w:val="-11"/>
          <w:sz w:val="20"/>
        </w:rPr>
        <w:t xml:space="preserve"> </w:t>
      </w:r>
      <w:r>
        <w:rPr>
          <w:color w:val="231F20"/>
          <w:sz w:val="20"/>
        </w:rPr>
        <w:t>all</w:t>
      </w:r>
      <w:r>
        <w:rPr>
          <w:color w:val="231F20"/>
          <w:spacing w:val="-10"/>
          <w:sz w:val="20"/>
        </w:rPr>
        <w:t xml:space="preserve"> </w:t>
      </w:r>
      <w:r>
        <w:rPr>
          <w:color w:val="231F20"/>
          <w:sz w:val="20"/>
        </w:rPr>
        <w:t>child</w:t>
      </w:r>
      <w:r>
        <w:rPr>
          <w:color w:val="231F20"/>
          <w:spacing w:val="-11"/>
          <w:sz w:val="20"/>
        </w:rPr>
        <w:t xml:space="preserve"> </w:t>
      </w:r>
      <w:r>
        <w:rPr>
          <w:color w:val="231F20"/>
          <w:sz w:val="20"/>
        </w:rPr>
        <w:t>victims</w:t>
      </w:r>
      <w:r>
        <w:rPr>
          <w:color w:val="231F20"/>
          <w:spacing w:val="-10"/>
          <w:sz w:val="20"/>
        </w:rPr>
        <w:t xml:space="preserve"> </w:t>
      </w:r>
      <w:r>
        <w:rPr>
          <w:color w:val="231F20"/>
          <w:sz w:val="20"/>
        </w:rPr>
        <w:t>should</w:t>
      </w:r>
      <w:r>
        <w:rPr>
          <w:color w:val="231F20"/>
          <w:spacing w:val="-11"/>
          <w:sz w:val="20"/>
        </w:rPr>
        <w:t xml:space="preserve"> </w:t>
      </w:r>
      <w:r>
        <w:rPr>
          <w:color w:val="231F20"/>
          <w:sz w:val="20"/>
        </w:rPr>
        <w:t>be</w:t>
      </w:r>
      <w:r>
        <w:rPr>
          <w:color w:val="231F20"/>
          <w:spacing w:val="-11"/>
          <w:sz w:val="20"/>
        </w:rPr>
        <w:t xml:space="preserve"> </w:t>
      </w:r>
      <w:r>
        <w:rPr>
          <w:color w:val="231F20"/>
          <w:sz w:val="20"/>
        </w:rPr>
        <w:t>considered</w:t>
      </w:r>
      <w:r>
        <w:rPr>
          <w:color w:val="231F20"/>
          <w:spacing w:val="-10"/>
          <w:sz w:val="20"/>
        </w:rPr>
        <w:t xml:space="preserve"> </w:t>
      </w:r>
      <w:r>
        <w:rPr>
          <w:color w:val="231F20"/>
          <w:spacing w:val="-3"/>
          <w:sz w:val="20"/>
        </w:rPr>
        <w:t>protected</w:t>
      </w:r>
      <w:r>
        <w:rPr>
          <w:color w:val="231F20"/>
          <w:spacing w:val="-11"/>
          <w:sz w:val="20"/>
        </w:rPr>
        <w:t xml:space="preserve"> </w:t>
      </w:r>
      <w:r>
        <w:rPr>
          <w:color w:val="231F20"/>
          <w:sz w:val="20"/>
        </w:rPr>
        <w:t xml:space="preserve">victims and be able to use special </w:t>
      </w:r>
      <w:r>
        <w:rPr>
          <w:color w:val="231F20"/>
          <w:spacing w:val="-3"/>
          <w:sz w:val="20"/>
        </w:rPr>
        <w:t xml:space="preserve">protections </w:t>
      </w:r>
      <w:r>
        <w:rPr>
          <w:color w:val="231F20"/>
          <w:sz w:val="20"/>
        </w:rPr>
        <w:t xml:space="preserve">because ‘the </w:t>
      </w:r>
      <w:r>
        <w:rPr>
          <w:color w:val="231F20"/>
          <w:spacing w:val="-3"/>
          <w:sz w:val="20"/>
        </w:rPr>
        <w:t xml:space="preserve">child’s </w:t>
      </w:r>
      <w:r>
        <w:rPr>
          <w:color w:val="231F20"/>
          <w:sz w:val="20"/>
        </w:rPr>
        <w:t xml:space="preserve">age alone is sufficient reason to </w:t>
      </w:r>
      <w:r>
        <w:rPr>
          <w:color w:val="231F20"/>
          <w:spacing w:val="-3"/>
          <w:sz w:val="20"/>
        </w:rPr>
        <w:t xml:space="preserve">protect </w:t>
      </w:r>
      <w:r>
        <w:rPr>
          <w:color w:val="231F20"/>
          <w:sz w:val="20"/>
        </w:rPr>
        <w:t xml:space="preserve">them </w:t>
      </w:r>
      <w:r>
        <w:rPr>
          <w:color w:val="231F20"/>
          <w:spacing w:val="-3"/>
          <w:sz w:val="20"/>
        </w:rPr>
        <w:t xml:space="preserve">from </w:t>
      </w:r>
      <w:r>
        <w:rPr>
          <w:color w:val="231F20"/>
          <w:sz w:val="20"/>
        </w:rPr>
        <w:t xml:space="preserve">the distress of giving oral </w:t>
      </w:r>
      <w:r>
        <w:rPr>
          <w:color w:val="231F20"/>
          <w:spacing w:val="-3"/>
          <w:sz w:val="20"/>
        </w:rPr>
        <w:t xml:space="preserve">evidence, </w:t>
      </w:r>
      <w:r>
        <w:rPr>
          <w:color w:val="231F20"/>
          <w:sz w:val="20"/>
        </w:rPr>
        <w:t xml:space="preserve">and being </w:t>
      </w:r>
      <w:r>
        <w:rPr>
          <w:color w:val="231F20"/>
          <w:spacing w:val="-3"/>
          <w:sz w:val="20"/>
        </w:rPr>
        <w:t xml:space="preserve">cross- </w:t>
      </w:r>
      <w:r>
        <w:rPr>
          <w:color w:val="231F20"/>
          <w:sz w:val="20"/>
        </w:rPr>
        <w:t xml:space="preserve">examined, in the courtroom in </w:t>
      </w:r>
      <w:r>
        <w:rPr>
          <w:color w:val="231F20"/>
          <w:spacing w:val="-3"/>
          <w:sz w:val="20"/>
        </w:rPr>
        <w:t xml:space="preserve">front </w:t>
      </w:r>
      <w:r>
        <w:rPr>
          <w:color w:val="231F20"/>
          <w:sz w:val="20"/>
        </w:rPr>
        <w:t>of the</w:t>
      </w:r>
      <w:r>
        <w:rPr>
          <w:color w:val="231F20"/>
          <w:spacing w:val="-32"/>
          <w:sz w:val="20"/>
        </w:rPr>
        <w:t xml:space="preserve"> </w:t>
      </w:r>
      <w:r>
        <w:rPr>
          <w:color w:val="231F20"/>
          <w:spacing w:val="-3"/>
          <w:sz w:val="20"/>
        </w:rPr>
        <w:t>accused.’</w:t>
      </w:r>
      <w:r>
        <w:rPr>
          <w:color w:val="231F20"/>
          <w:spacing w:val="-3"/>
          <w:position w:val="7"/>
          <w:sz w:val="11"/>
        </w:rPr>
        <w:t>163</w:t>
      </w:r>
    </w:p>
    <w:p w14:paraId="776A39B1" w14:textId="77777777" w:rsidR="00894070" w:rsidRDefault="00894070">
      <w:pPr>
        <w:pStyle w:val="BodyText"/>
      </w:pPr>
    </w:p>
    <w:p w14:paraId="41342ACB" w14:textId="77777777" w:rsidR="00894070" w:rsidRDefault="00894070">
      <w:pPr>
        <w:pStyle w:val="BodyText"/>
      </w:pPr>
    </w:p>
    <w:p w14:paraId="095A9261" w14:textId="77777777" w:rsidR="00894070" w:rsidRDefault="00894070">
      <w:pPr>
        <w:pStyle w:val="BodyText"/>
      </w:pPr>
    </w:p>
    <w:p w14:paraId="72AE448A" w14:textId="77777777" w:rsidR="00894070" w:rsidRDefault="009F6793">
      <w:pPr>
        <w:pStyle w:val="BodyText"/>
        <w:spacing w:before="9"/>
        <w:rPr>
          <w:sz w:val="18"/>
        </w:rPr>
      </w:pPr>
      <w:r>
        <w:pict w14:anchorId="35355F08">
          <v:line id="_x0000_s1148" style="position:absolute;z-index:251751424;mso-wrap-distance-left:0;mso-wrap-distance-right:0;mso-position-horizontal-relative:page" from="79.35pt,15.4pt" to="515.9pt,15.4pt" strokecolor="#f8cabc" strokeweight="1pt">
            <w10:wrap type="topAndBottom" anchorx="page"/>
          </v:line>
        </w:pict>
      </w:r>
    </w:p>
    <w:p w14:paraId="22884FE8" w14:textId="77777777" w:rsidR="00894070" w:rsidRDefault="00894070">
      <w:pPr>
        <w:pStyle w:val="BodyText"/>
        <w:rPr>
          <w:sz w:val="5"/>
        </w:rPr>
      </w:pPr>
    </w:p>
    <w:p w14:paraId="626E2ECD" w14:textId="77777777" w:rsidR="00894070" w:rsidRDefault="00894070">
      <w:pPr>
        <w:rPr>
          <w:sz w:val="5"/>
        </w:rPr>
        <w:sectPr w:rsidR="00894070">
          <w:pgSz w:w="11910" w:h="16840"/>
          <w:pgMar w:top="840" w:right="420" w:bottom="280" w:left="580" w:header="0" w:footer="0" w:gutter="0"/>
          <w:cols w:space="720"/>
        </w:sectPr>
      </w:pPr>
    </w:p>
    <w:p w14:paraId="38065F2A" w14:textId="77777777" w:rsidR="00894070" w:rsidRDefault="009B7AFD">
      <w:pPr>
        <w:pStyle w:val="ListParagraph"/>
        <w:numPr>
          <w:ilvl w:val="0"/>
          <w:numId w:val="38"/>
        </w:numPr>
        <w:tabs>
          <w:tab w:val="left" w:pos="1801"/>
          <w:tab w:val="left" w:pos="1802"/>
        </w:tabs>
        <w:spacing w:before="38" w:line="213" w:lineRule="auto"/>
        <w:ind w:right="139"/>
        <w:jc w:val="left"/>
        <w:rPr>
          <w:sz w:val="13"/>
        </w:rPr>
      </w:pPr>
      <w:r>
        <w:rPr>
          <w:color w:val="231F20"/>
          <w:sz w:val="13"/>
        </w:rPr>
        <w:t xml:space="preserve">Consultation 4 (Sexual </w:t>
      </w:r>
      <w:r>
        <w:rPr>
          <w:color w:val="231F20"/>
          <w:spacing w:val="2"/>
          <w:sz w:val="13"/>
        </w:rPr>
        <w:t xml:space="preserve">Assault Services </w:t>
      </w:r>
      <w:r>
        <w:rPr>
          <w:color w:val="231F20"/>
          <w:sz w:val="13"/>
        </w:rPr>
        <w:t xml:space="preserve">Network); Michelle </w:t>
      </w:r>
      <w:r>
        <w:rPr>
          <w:color w:val="231F20"/>
          <w:spacing w:val="2"/>
          <w:sz w:val="13"/>
        </w:rPr>
        <w:t xml:space="preserve">Sibenik, </w:t>
      </w:r>
      <w:r>
        <w:rPr>
          <w:color w:val="231F20"/>
          <w:spacing w:val="-4"/>
          <w:sz w:val="13"/>
        </w:rPr>
        <w:t xml:space="preserve">‘A </w:t>
      </w:r>
      <w:r>
        <w:rPr>
          <w:color w:val="231F20"/>
          <w:sz w:val="13"/>
        </w:rPr>
        <w:t xml:space="preserve">Critical Analysis of the </w:t>
      </w:r>
      <w:r>
        <w:rPr>
          <w:color w:val="231F20"/>
          <w:spacing w:val="2"/>
          <w:sz w:val="13"/>
        </w:rPr>
        <w:t xml:space="preserve">Applications </w:t>
      </w:r>
      <w:r>
        <w:rPr>
          <w:color w:val="231F20"/>
          <w:sz w:val="13"/>
        </w:rPr>
        <w:t xml:space="preserve">of Anti-Stalking Legislation in Victoria, Australia’ (PhD Thesis, Monash University, 2018) 29–30; Victorian Law Reform </w:t>
      </w:r>
      <w:r>
        <w:rPr>
          <w:color w:val="231F20"/>
          <w:spacing w:val="2"/>
          <w:sz w:val="13"/>
        </w:rPr>
        <w:t xml:space="preserve">Commission, </w:t>
      </w:r>
      <w:proofErr w:type="gramStart"/>
      <w:r>
        <w:rPr>
          <w:i/>
          <w:color w:val="231F20"/>
          <w:sz w:val="13"/>
        </w:rPr>
        <w:t xml:space="preserve">Stalking  </w:t>
      </w:r>
      <w:r>
        <w:rPr>
          <w:color w:val="231F20"/>
          <w:sz w:val="13"/>
        </w:rPr>
        <w:t>(</w:t>
      </w:r>
      <w:proofErr w:type="gramEnd"/>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 xml:space="preserve">December </w:t>
      </w:r>
      <w:r>
        <w:rPr>
          <w:color w:val="231F20"/>
          <w:sz w:val="13"/>
        </w:rPr>
        <w:t xml:space="preserve">2021) </w:t>
      </w:r>
      <w:r>
        <w:rPr>
          <w:color w:val="231F20"/>
          <w:spacing w:val="2"/>
          <w:sz w:val="13"/>
        </w:rPr>
        <w:t xml:space="preserve">[1.8]. </w:t>
      </w:r>
      <w:r>
        <w:rPr>
          <w:color w:val="231F20"/>
          <w:sz w:val="13"/>
        </w:rPr>
        <w:t xml:space="preserve">See </w:t>
      </w:r>
      <w:r>
        <w:rPr>
          <w:color w:val="231F20"/>
          <w:spacing w:val="2"/>
          <w:sz w:val="13"/>
        </w:rPr>
        <w:t xml:space="preserve">also </w:t>
      </w:r>
      <w:r>
        <w:rPr>
          <w:color w:val="231F20"/>
          <w:sz w:val="13"/>
        </w:rPr>
        <w:t xml:space="preserve">Cleo Brandt and </w:t>
      </w:r>
      <w:r>
        <w:rPr>
          <w:color w:val="231F20"/>
          <w:spacing w:val="2"/>
          <w:sz w:val="13"/>
        </w:rPr>
        <w:t xml:space="preserve">Bianca </w:t>
      </w:r>
      <w:r>
        <w:rPr>
          <w:color w:val="231F20"/>
          <w:sz w:val="13"/>
        </w:rPr>
        <w:t xml:space="preserve">Voerman, ‘The Dutch </w:t>
      </w:r>
      <w:r>
        <w:rPr>
          <w:color w:val="231F20"/>
          <w:spacing w:val="2"/>
          <w:sz w:val="13"/>
        </w:rPr>
        <w:t xml:space="preserve">Model: </w:t>
      </w:r>
      <w:r>
        <w:rPr>
          <w:color w:val="231F20"/>
          <w:sz w:val="13"/>
        </w:rPr>
        <w:t xml:space="preserve">A New Approach     to Policing Stalking’ in Heng Choon (Oliver) Chan and Lorraine </w:t>
      </w:r>
      <w:r>
        <w:rPr>
          <w:color w:val="231F20"/>
          <w:spacing w:val="2"/>
          <w:sz w:val="13"/>
        </w:rPr>
        <w:t xml:space="preserve">Sheridan </w:t>
      </w:r>
      <w:r>
        <w:rPr>
          <w:color w:val="231F20"/>
          <w:sz w:val="13"/>
        </w:rPr>
        <w:t xml:space="preserve">(eds), </w:t>
      </w:r>
      <w:r>
        <w:rPr>
          <w:i/>
          <w:color w:val="231F20"/>
          <w:sz w:val="13"/>
        </w:rPr>
        <w:t xml:space="preserve">Psycho-Criminological Approaches to Stalking Behavior: An International Perspective </w:t>
      </w:r>
      <w:r>
        <w:rPr>
          <w:color w:val="231F20"/>
          <w:sz w:val="13"/>
        </w:rPr>
        <w:t xml:space="preserve">(John Wiley and Sons, 2020) 251, 266 noting that legal disputes ‘may prolong the </w:t>
      </w:r>
      <w:r>
        <w:rPr>
          <w:color w:val="231F20"/>
          <w:spacing w:val="2"/>
          <w:sz w:val="13"/>
        </w:rPr>
        <w:t xml:space="preserve">stalking </w:t>
      </w:r>
      <w:r>
        <w:rPr>
          <w:color w:val="231F20"/>
          <w:sz w:val="13"/>
        </w:rPr>
        <w:t>behaviour’ in cases of family violence</w:t>
      </w:r>
      <w:r>
        <w:rPr>
          <w:color w:val="231F20"/>
          <w:spacing w:val="2"/>
          <w:sz w:val="13"/>
        </w:rPr>
        <w:t xml:space="preserve"> stalking.</w:t>
      </w:r>
    </w:p>
    <w:p w14:paraId="677DAF4A" w14:textId="77777777" w:rsidR="00894070" w:rsidRDefault="009B7AFD">
      <w:pPr>
        <w:pStyle w:val="ListParagraph"/>
        <w:numPr>
          <w:ilvl w:val="0"/>
          <w:numId w:val="38"/>
        </w:numPr>
        <w:tabs>
          <w:tab w:val="left" w:pos="1801"/>
          <w:tab w:val="left" w:pos="1802"/>
        </w:tabs>
        <w:spacing w:line="150" w:lineRule="exact"/>
        <w:jc w:val="left"/>
        <w:rPr>
          <w:sz w:val="13"/>
        </w:rPr>
      </w:pPr>
      <w:r>
        <w:rPr>
          <w:color w:val="231F20"/>
          <w:sz w:val="13"/>
        </w:rPr>
        <w:t>Victorian</w:t>
      </w:r>
      <w:r>
        <w:rPr>
          <w:color w:val="231F20"/>
          <w:spacing w:val="3"/>
          <w:sz w:val="13"/>
        </w:rPr>
        <w:t xml:space="preserve"> </w:t>
      </w:r>
      <w:r>
        <w:rPr>
          <w:color w:val="231F20"/>
          <w:sz w:val="13"/>
        </w:rPr>
        <w:t>Law</w:t>
      </w:r>
      <w:r>
        <w:rPr>
          <w:color w:val="231F20"/>
          <w:spacing w:val="4"/>
          <w:sz w:val="13"/>
        </w:rPr>
        <w:t xml:space="preserve"> </w:t>
      </w:r>
      <w:r>
        <w:rPr>
          <w:color w:val="231F20"/>
          <w:sz w:val="13"/>
        </w:rPr>
        <w:t>Reform</w:t>
      </w:r>
      <w:r>
        <w:rPr>
          <w:color w:val="231F20"/>
          <w:spacing w:val="3"/>
          <w:sz w:val="13"/>
        </w:rPr>
        <w:t xml:space="preserve"> </w:t>
      </w:r>
      <w:r>
        <w:rPr>
          <w:color w:val="231F20"/>
          <w:spacing w:val="2"/>
          <w:sz w:val="13"/>
        </w:rPr>
        <w:t>Commission,</w:t>
      </w:r>
      <w:r>
        <w:rPr>
          <w:color w:val="231F20"/>
          <w:spacing w:val="4"/>
          <w:sz w:val="13"/>
        </w:rPr>
        <w:t xml:space="preserve"> </w:t>
      </w:r>
      <w:r>
        <w:rPr>
          <w:i/>
          <w:color w:val="231F20"/>
          <w:sz w:val="13"/>
        </w:rPr>
        <w:t>The</w:t>
      </w:r>
      <w:r>
        <w:rPr>
          <w:i/>
          <w:color w:val="231F20"/>
          <w:spacing w:val="4"/>
          <w:sz w:val="13"/>
        </w:rPr>
        <w:t xml:space="preserve"> </w:t>
      </w:r>
      <w:r>
        <w:rPr>
          <w:i/>
          <w:color w:val="231F20"/>
          <w:sz w:val="13"/>
        </w:rPr>
        <w:t>Role</w:t>
      </w:r>
      <w:r>
        <w:rPr>
          <w:i/>
          <w:color w:val="231F20"/>
          <w:spacing w:val="3"/>
          <w:sz w:val="13"/>
        </w:rPr>
        <w:t xml:space="preserve"> </w:t>
      </w:r>
      <w:r>
        <w:rPr>
          <w:i/>
          <w:color w:val="231F20"/>
          <w:sz w:val="13"/>
        </w:rPr>
        <w:t>of</w:t>
      </w:r>
      <w:r>
        <w:rPr>
          <w:i/>
          <w:color w:val="231F20"/>
          <w:spacing w:val="4"/>
          <w:sz w:val="13"/>
        </w:rPr>
        <w:t xml:space="preserve"> </w:t>
      </w:r>
      <w:r>
        <w:rPr>
          <w:i/>
          <w:color w:val="231F20"/>
          <w:sz w:val="13"/>
        </w:rPr>
        <w:t>Victims</w:t>
      </w:r>
      <w:r>
        <w:rPr>
          <w:i/>
          <w:color w:val="231F20"/>
          <w:spacing w:val="3"/>
          <w:sz w:val="13"/>
        </w:rPr>
        <w:t xml:space="preserve"> </w:t>
      </w:r>
      <w:r>
        <w:rPr>
          <w:i/>
          <w:color w:val="231F20"/>
          <w:sz w:val="13"/>
        </w:rPr>
        <w:t>of</w:t>
      </w:r>
      <w:r>
        <w:rPr>
          <w:i/>
          <w:color w:val="231F20"/>
          <w:spacing w:val="4"/>
          <w:sz w:val="13"/>
        </w:rPr>
        <w:t xml:space="preserve"> </w:t>
      </w:r>
      <w:r>
        <w:rPr>
          <w:i/>
          <w:color w:val="231F20"/>
          <w:sz w:val="13"/>
        </w:rPr>
        <w:t>Crime</w:t>
      </w:r>
      <w:r>
        <w:rPr>
          <w:i/>
          <w:color w:val="231F20"/>
          <w:spacing w:val="3"/>
          <w:sz w:val="13"/>
        </w:rPr>
        <w:t xml:space="preserve"> </w:t>
      </w:r>
      <w:r>
        <w:rPr>
          <w:i/>
          <w:color w:val="231F20"/>
          <w:sz w:val="13"/>
        </w:rPr>
        <w:t>in</w:t>
      </w:r>
      <w:r>
        <w:rPr>
          <w:i/>
          <w:color w:val="231F20"/>
          <w:spacing w:val="4"/>
          <w:sz w:val="13"/>
        </w:rPr>
        <w:t xml:space="preserve"> </w:t>
      </w:r>
      <w:r>
        <w:rPr>
          <w:i/>
          <w:color w:val="231F20"/>
          <w:sz w:val="13"/>
        </w:rPr>
        <w:t>the</w:t>
      </w:r>
      <w:r>
        <w:rPr>
          <w:i/>
          <w:color w:val="231F20"/>
          <w:spacing w:val="4"/>
          <w:sz w:val="13"/>
        </w:rPr>
        <w:t xml:space="preserve"> </w:t>
      </w:r>
      <w:r>
        <w:rPr>
          <w:i/>
          <w:color w:val="231F20"/>
          <w:sz w:val="13"/>
        </w:rPr>
        <w:t>Criminal</w:t>
      </w:r>
      <w:r>
        <w:rPr>
          <w:i/>
          <w:color w:val="231F20"/>
          <w:spacing w:val="3"/>
          <w:sz w:val="13"/>
        </w:rPr>
        <w:t xml:space="preserve"> </w:t>
      </w:r>
      <w:r>
        <w:rPr>
          <w:i/>
          <w:color w:val="231F20"/>
          <w:sz w:val="13"/>
        </w:rPr>
        <w:t>Trial</w:t>
      </w:r>
      <w:r>
        <w:rPr>
          <w:i/>
          <w:color w:val="231F20"/>
          <w:spacing w:val="4"/>
          <w:sz w:val="13"/>
        </w:rPr>
        <w:t xml:space="preserve"> </w:t>
      </w:r>
      <w:r>
        <w:rPr>
          <w:i/>
          <w:color w:val="231F20"/>
          <w:sz w:val="13"/>
        </w:rPr>
        <w:t>Process</w:t>
      </w:r>
      <w:r>
        <w:rPr>
          <w:i/>
          <w:color w:val="231F20"/>
          <w:spacing w:val="3"/>
          <w:sz w:val="13"/>
        </w:rPr>
        <w:t xml:space="preserve"> </w:t>
      </w:r>
      <w:r>
        <w:rPr>
          <w:color w:val="231F20"/>
          <w:spacing w:val="2"/>
          <w:sz w:val="13"/>
        </w:rPr>
        <w:t>(Report</w:t>
      </w:r>
      <w:r>
        <w:rPr>
          <w:color w:val="231F20"/>
          <w:spacing w:val="4"/>
          <w:sz w:val="13"/>
        </w:rPr>
        <w:t xml:space="preserve"> </w:t>
      </w:r>
      <w:r>
        <w:rPr>
          <w:color w:val="231F20"/>
          <w:sz w:val="13"/>
        </w:rPr>
        <w:t>No</w:t>
      </w:r>
      <w:r>
        <w:rPr>
          <w:color w:val="231F20"/>
          <w:spacing w:val="3"/>
          <w:sz w:val="13"/>
        </w:rPr>
        <w:t xml:space="preserve"> 34,</w:t>
      </w:r>
      <w:r>
        <w:rPr>
          <w:color w:val="231F20"/>
          <w:spacing w:val="4"/>
          <w:sz w:val="13"/>
        </w:rPr>
        <w:t xml:space="preserve"> </w:t>
      </w:r>
      <w:r>
        <w:rPr>
          <w:color w:val="231F20"/>
          <w:sz w:val="13"/>
        </w:rPr>
        <w:t>August</w:t>
      </w:r>
      <w:r>
        <w:rPr>
          <w:color w:val="231F20"/>
          <w:spacing w:val="4"/>
          <w:sz w:val="13"/>
        </w:rPr>
        <w:t xml:space="preserve"> </w:t>
      </w:r>
      <w:r>
        <w:rPr>
          <w:color w:val="231F20"/>
          <w:sz w:val="13"/>
        </w:rPr>
        <w:t>2016)</w:t>
      </w:r>
      <w:r>
        <w:rPr>
          <w:color w:val="231F20"/>
          <w:spacing w:val="3"/>
          <w:sz w:val="13"/>
        </w:rPr>
        <w:t xml:space="preserve"> </w:t>
      </w:r>
      <w:r>
        <w:rPr>
          <w:color w:val="231F20"/>
          <w:spacing w:val="2"/>
          <w:sz w:val="13"/>
        </w:rPr>
        <w:t>[8.41].</w:t>
      </w:r>
    </w:p>
    <w:p w14:paraId="5BBA8C56" w14:textId="77777777" w:rsidR="00894070" w:rsidRDefault="009B7AFD">
      <w:pPr>
        <w:pStyle w:val="ListParagraph"/>
        <w:numPr>
          <w:ilvl w:val="0"/>
          <w:numId w:val="38"/>
        </w:numPr>
        <w:tabs>
          <w:tab w:val="left" w:pos="1801"/>
          <w:tab w:val="left" w:pos="1802"/>
        </w:tabs>
        <w:spacing w:line="160" w:lineRule="exact"/>
        <w:jc w:val="left"/>
        <w:rPr>
          <w:sz w:val="13"/>
        </w:rPr>
      </w:pPr>
      <w:r>
        <w:rPr>
          <w:color w:val="231F20"/>
          <w:sz w:val="13"/>
        </w:rPr>
        <w:t>Ibid Recommendations 38, 40.</w:t>
      </w:r>
    </w:p>
    <w:p w14:paraId="1EA6B302" w14:textId="77777777" w:rsidR="00894070" w:rsidRDefault="009B7AFD">
      <w:pPr>
        <w:pStyle w:val="ListParagraph"/>
        <w:numPr>
          <w:ilvl w:val="0"/>
          <w:numId w:val="38"/>
        </w:numPr>
        <w:tabs>
          <w:tab w:val="left" w:pos="1801"/>
          <w:tab w:val="left" w:pos="1802"/>
        </w:tabs>
        <w:spacing w:before="6" w:line="213" w:lineRule="auto"/>
        <w:jc w:val="left"/>
        <w:rPr>
          <w:sz w:val="13"/>
        </w:rPr>
      </w:pPr>
      <w:r>
        <w:rPr>
          <w:color w:val="231F20"/>
          <w:sz w:val="13"/>
        </w:rPr>
        <w:t xml:space="preserve">Ibid Recommendation 37. This is </w:t>
      </w:r>
      <w:proofErr w:type="gramStart"/>
      <w:r>
        <w:rPr>
          <w:color w:val="231F20"/>
          <w:sz w:val="13"/>
        </w:rPr>
        <w:t>similar to</w:t>
      </w:r>
      <w:proofErr w:type="gramEnd"/>
      <w:r>
        <w:rPr>
          <w:color w:val="231F20"/>
          <w:sz w:val="13"/>
        </w:rPr>
        <w:t xml:space="preserve"> the definition of ‘vulnerable adult’ used in the Australian </w:t>
      </w:r>
      <w:r>
        <w:rPr>
          <w:color w:val="231F20"/>
          <w:spacing w:val="2"/>
          <w:sz w:val="13"/>
        </w:rPr>
        <w:t xml:space="preserve">Capital </w:t>
      </w:r>
      <w:r>
        <w:rPr>
          <w:color w:val="231F20"/>
          <w:sz w:val="13"/>
        </w:rPr>
        <w:t xml:space="preserve">Territory: </w:t>
      </w:r>
      <w:r>
        <w:rPr>
          <w:i/>
          <w:color w:val="231F20"/>
          <w:sz w:val="13"/>
        </w:rPr>
        <w:t xml:space="preserve">Evidence Act (Miscellaneous Provisions) Act 1991 </w:t>
      </w:r>
      <w:r>
        <w:rPr>
          <w:color w:val="231F20"/>
          <w:sz w:val="13"/>
        </w:rPr>
        <w:t>(ACT) s</w:t>
      </w:r>
      <w:r>
        <w:rPr>
          <w:color w:val="231F20"/>
          <w:spacing w:val="2"/>
          <w:sz w:val="13"/>
        </w:rPr>
        <w:t xml:space="preserve"> </w:t>
      </w:r>
      <w:r>
        <w:rPr>
          <w:color w:val="231F20"/>
          <w:sz w:val="13"/>
        </w:rPr>
        <w:t>42.</w:t>
      </w:r>
    </w:p>
    <w:p w14:paraId="7C2E1F8D" w14:textId="77777777" w:rsidR="00894070" w:rsidRDefault="009B7AFD">
      <w:pPr>
        <w:pStyle w:val="ListParagraph"/>
        <w:numPr>
          <w:ilvl w:val="0"/>
          <w:numId w:val="38"/>
        </w:numPr>
        <w:tabs>
          <w:tab w:val="left" w:pos="1800"/>
          <w:tab w:val="left" w:pos="1802"/>
        </w:tabs>
        <w:spacing w:line="213" w:lineRule="auto"/>
        <w:ind w:right="597"/>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The Role of Victims of Crime in the Criminal Trial Process </w:t>
      </w:r>
      <w:r>
        <w:rPr>
          <w:color w:val="231F20"/>
          <w:spacing w:val="2"/>
          <w:sz w:val="13"/>
        </w:rPr>
        <w:t xml:space="preserve">(Report </w:t>
      </w:r>
      <w:r>
        <w:rPr>
          <w:color w:val="231F20"/>
          <w:sz w:val="13"/>
        </w:rPr>
        <w:t xml:space="preserve">No </w:t>
      </w:r>
      <w:r>
        <w:rPr>
          <w:color w:val="231F20"/>
          <w:spacing w:val="3"/>
          <w:sz w:val="13"/>
        </w:rPr>
        <w:t xml:space="preserve">34, </w:t>
      </w:r>
      <w:r>
        <w:rPr>
          <w:color w:val="231F20"/>
          <w:sz w:val="13"/>
        </w:rPr>
        <w:t xml:space="preserve">August 2016) Recommendation 38, </w:t>
      </w:r>
      <w:r>
        <w:rPr>
          <w:color w:val="231F20"/>
          <w:spacing w:val="2"/>
          <w:sz w:val="13"/>
        </w:rPr>
        <w:t>[8.41]</w:t>
      </w:r>
      <w:proofErr w:type="gramStart"/>
      <w:r>
        <w:rPr>
          <w:color w:val="231F20"/>
          <w:spacing w:val="2"/>
          <w:sz w:val="13"/>
        </w:rPr>
        <w:t>–[</w:t>
      </w:r>
      <w:proofErr w:type="gramEnd"/>
      <w:r>
        <w:rPr>
          <w:color w:val="231F20"/>
          <w:spacing w:val="2"/>
          <w:sz w:val="13"/>
        </w:rPr>
        <w:t>8.42].</w:t>
      </w:r>
    </w:p>
    <w:p w14:paraId="107D5D89" w14:textId="77777777" w:rsidR="00894070" w:rsidRDefault="009B7AFD">
      <w:pPr>
        <w:pStyle w:val="ListParagraph"/>
        <w:numPr>
          <w:ilvl w:val="0"/>
          <w:numId w:val="38"/>
        </w:numPr>
        <w:tabs>
          <w:tab w:val="left" w:pos="1801"/>
          <w:tab w:val="left" w:pos="1802"/>
        </w:tabs>
        <w:spacing w:line="163" w:lineRule="exact"/>
        <w:jc w:val="left"/>
        <w:rPr>
          <w:sz w:val="13"/>
        </w:rPr>
      </w:pPr>
      <w:r>
        <w:rPr>
          <w:color w:val="231F20"/>
          <w:sz w:val="13"/>
        </w:rPr>
        <w:t xml:space="preserve">Ibid </w:t>
      </w:r>
      <w:r>
        <w:rPr>
          <w:color w:val="231F20"/>
          <w:spacing w:val="2"/>
          <w:sz w:val="13"/>
        </w:rPr>
        <w:t xml:space="preserve">[8.43]. </w:t>
      </w:r>
      <w:r>
        <w:rPr>
          <w:color w:val="231F20"/>
          <w:sz w:val="13"/>
        </w:rPr>
        <w:t xml:space="preserve">See </w:t>
      </w:r>
      <w:r>
        <w:rPr>
          <w:color w:val="231F20"/>
          <w:spacing w:val="2"/>
          <w:sz w:val="13"/>
        </w:rPr>
        <w:t xml:space="preserve">also </w:t>
      </w:r>
      <w:proofErr w:type="gramStart"/>
      <w:r>
        <w:rPr>
          <w:color w:val="231F20"/>
          <w:sz w:val="13"/>
        </w:rPr>
        <w:t xml:space="preserve">Recommendation </w:t>
      </w:r>
      <w:r>
        <w:rPr>
          <w:color w:val="231F20"/>
          <w:spacing w:val="6"/>
          <w:sz w:val="13"/>
        </w:rPr>
        <w:t xml:space="preserve"> </w:t>
      </w:r>
      <w:r>
        <w:rPr>
          <w:color w:val="231F20"/>
          <w:spacing w:val="2"/>
          <w:sz w:val="13"/>
        </w:rPr>
        <w:t>38</w:t>
      </w:r>
      <w:proofErr w:type="gramEnd"/>
      <w:r>
        <w:rPr>
          <w:color w:val="231F20"/>
          <w:spacing w:val="2"/>
          <w:sz w:val="13"/>
        </w:rPr>
        <w:t>.</w:t>
      </w:r>
    </w:p>
    <w:p w14:paraId="347A073E" w14:textId="77777777" w:rsidR="00894070" w:rsidRDefault="009B7AFD">
      <w:pPr>
        <w:pStyle w:val="BodyText"/>
        <w:rPr>
          <w:sz w:val="28"/>
        </w:rPr>
      </w:pPr>
      <w:r>
        <w:br w:type="column"/>
      </w:r>
    </w:p>
    <w:p w14:paraId="4874B163" w14:textId="77777777" w:rsidR="00894070" w:rsidRDefault="00894070">
      <w:pPr>
        <w:pStyle w:val="BodyText"/>
        <w:rPr>
          <w:sz w:val="28"/>
        </w:rPr>
      </w:pPr>
    </w:p>
    <w:p w14:paraId="3FC5F0F7" w14:textId="77777777" w:rsidR="00894070" w:rsidRDefault="00894070">
      <w:pPr>
        <w:pStyle w:val="BodyText"/>
        <w:rPr>
          <w:sz w:val="28"/>
        </w:rPr>
      </w:pPr>
    </w:p>
    <w:p w14:paraId="27BA10F1" w14:textId="77777777" w:rsidR="00894070" w:rsidRDefault="00894070">
      <w:pPr>
        <w:pStyle w:val="BodyText"/>
        <w:rPr>
          <w:sz w:val="28"/>
        </w:rPr>
      </w:pPr>
    </w:p>
    <w:p w14:paraId="2828C5E5" w14:textId="77777777" w:rsidR="00894070" w:rsidRDefault="00894070">
      <w:pPr>
        <w:pStyle w:val="BodyText"/>
        <w:spacing w:before="10"/>
        <w:rPr>
          <w:sz w:val="18"/>
        </w:rPr>
      </w:pPr>
    </w:p>
    <w:p w14:paraId="3F3C9B96" w14:textId="77777777" w:rsidR="00894070" w:rsidRDefault="009B7AFD">
      <w:pPr>
        <w:pStyle w:val="Heading8"/>
        <w:ind w:left="596"/>
      </w:pPr>
      <w:r>
        <w:rPr>
          <w:color w:val="EA5B50"/>
        </w:rPr>
        <w:t>155</w:t>
      </w:r>
    </w:p>
    <w:p w14:paraId="1329A894" w14:textId="77777777" w:rsidR="00894070" w:rsidRDefault="00894070">
      <w:pPr>
        <w:sectPr w:rsidR="00894070">
          <w:type w:val="continuous"/>
          <w:pgSz w:w="11910" w:h="16840"/>
          <w:pgMar w:top="560" w:right="420" w:bottom="280" w:left="580" w:header="720" w:footer="720" w:gutter="0"/>
          <w:cols w:num="2" w:space="720" w:equalWidth="0">
            <w:col w:w="9705" w:space="40"/>
            <w:col w:w="1165"/>
          </w:cols>
        </w:sectPr>
      </w:pPr>
    </w:p>
    <w:p w14:paraId="4034FC80" w14:textId="77777777" w:rsidR="00894070" w:rsidRDefault="00894070">
      <w:pPr>
        <w:pStyle w:val="BodyText"/>
        <w:rPr>
          <w:b/>
        </w:rPr>
      </w:pPr>
    </w:p>
    <w:p w14:paraId="4BC77FF5" w14:textId="77777777" w:rsidR="00894070" w:rsidRDefault="00894070">
      <w:pPr>
        <w:pStyle w:val="BodyText"/>
        <w:rPr>
          <w:b/>
        </w:rPr>
      </w:pPr>
    </w:p>
    <w:p w14:paraId="3F84C274" w14:textId="77777777" w:rsidR="00894070" w:rsidRDefault="00894070">
      <w:pPr>
        <w:pStyle w:val="BodyText"/>
        <w:rPr>
          <w:b/>
        </w:rPr>
      </w:pPr>
    </w:p>
    <w:p w14:paraId="6324BDEC" w14:textId="77777777" w:rsidR="00894070" w:rsidRDefault="00894070">
      <w:pPr>
        <w:pStyle w:val="BodyText"/>
        <w:spacing w:before="7"/>
        <w:rPr>
          <w:b/>
          <w:sz w:val="16"/>
        </w:rPr>
      </w:pPr>
    </w:p>
    <w:p w14:paraId="1396E226" w14:textId="77777777" w:rsidR="00894070" w:rsidRDefault="009B7AFD">
      <w:pPr>
        <w:pStyle w:val="ListParagraph"/>
        <w:numPr>
          <w:ilvl w:val="0"/>
          <w:numId w:val="45"/>
        </w:numPr>
        <w:tabs>
          <w:tab w:val="left" w:pos="1801"/>
          <w:tab w:val="left" w:pos="1802"/>
        </w:tabs>
        <w:spacing w:line="259" w:lineRule="exact"/>
        <w:rPr>
          <w:sz w:val="20"/>
        </w:rPr>
      </w:pPr>
      <w:r>
        <w:rPr>
          <w:color w:val="231F20"/>
          <w:spacing w:val="-6"/>
          <w:sz w:val="20"/>
        </w:rPr>
        <w:t xml:space="preserve">We </w:t>
      </w:r>
      <w:r>
        <w:rPr>
          <w:color w:val="231F20"/>
          <w:sz w:val="20"/>
        </w:rPr>
        <w:t>also</w:t>
      </w:r>
      <w:r>
        <w:rPr>
          <w:color w:val="231F20"/>
          <w:spacing w:val="-6"/>
          <w:sz w:val="20"/>
        </w:rPr>
        <w:t xml:space="preserve"> </w:t>
      </w:r>
      <w:r>
        <w:rPr>
          <w:color w:val="231F20"/>
          <w:sz w:val="20"/>
        </w:rPr>
        <w:t>recommended</w:t>
      </w:r>
      <w:r>
        <w:rPr>
          <w:color w:val="231F20"/>
          <w:spacing w:val="-7"/>
          <w:sz w:val="20"/>
        </w:rPr>
        <w:t xml:space="preserve"> </w:t>
      </w:r>
      <w:r>
        <w:rPr>
          <w:color w:val="231F20"/>
          <w:sz w:val="20"/>
        </w:rPr>
        <w:t>a</w:t>
      </w:r>
      <w:r>
        <w:rPr>
          <w:color w:val="231F20"/>
          <w:spacing w:val="-5"/>
          <w:sz w:val="20"/>
        </w:rPr>
        <w:t xml:space="preserve"> </w:t>
      </w:r>
      <w:r>
        <w:rPr>
          <w:color w:val="231F20"/>
          <w:sz w:val="20"/>
        </w:rPr>
        <w:t>guiding</w:t>
      </w:r>
      <w:r>
        <w:rPr>
          <w:color w:val="231F20"/>
          <w:spacing w:val="-6"/>
          <w:sz w:val="20"/>
        </w:rPr>
        <w:t xml:space="preserve"> </w:t>
      </w:r>
      <w:r>
        <w:rPr>
          <w:color w:val="231F20"/>
          <w:sz w:val="20"/>
        </w:rPr>
        <w:t>principle</w:t>
      </w:r>
      <w:r>
        <w:rPr>
          <w:color w:val="231F20"/>
          <w:spacing w:val="-6"/>
          <w:sz w:val="20"/>
        </w:rPr>
        <w:t xml:space="preserve"> </w:t>
      </w:r>
      <w:r>
        <w:rPr>
          <w:color w:val="231F20"/>
          <w:sz w:val="20"/>
        </w:rPr>
        <w:t>to</w:t>
      </w:r>
      <w:r>
        <w:rPr>
          <w:color w:val="231F20"/>
          <w:spacing w:val="-5"/>
          <w:sz w:val="20"/>
        </w:rPr>
        <w:t xml:space="preserve"> </w:t>
      </w:r>
      <w:r>
        <w:rPr>
          <w:color w:val="231F20"/>
          <w:sz w:val="20"/>
        </w:rPr>
        <w:t>ensure</w:t>
      </w:r>
      <w:r>
        <w:rPr>
          <w:color w:val="231F20"/>
          <w:spacing w:val="-6"/>
          <w:sz w:val="20"/>
        </w:rPr>
        <w:t xml:space="preserve"> </w:t>
      </w:r>
      <w:r>
        <w:rPr>
          <w:color w:val="231F20"/>
          <w:sz w:val="20"/>
        </w:rPr>
        <w:t>that</w:t>
      </w:r>
      <w:r>
        <w:rPr>
          <w:color w:val="231F20"/>
          <w:spacing w:val="-6"/>
          <w:sz w:val="20"/>
        </w:rPr>
        <w:t xml:space="preserve"> </w:t>
      </w:r>
      <w:r>
        <w:rPr>
          <w:color w:val="231F20"/>
          <w:sz w:val="20"/>
        </w:rPr>
        <w:t>special</w:t>
      </w:r>
      <w:r>
        <w:rPr>
          <w:color w:val="231F20"/>
          <w:spacing w:val="-6"/>
          <w:sz w:val="20"/>
        </w:rPr>
        <w:t xml:space="preserve"> </w:t>
      </w:r>
      <w:r>
        <w:rPr>
          <w:color w:val="231F20"/>
          <w:sz w:val="20"/>
        </w:rPr>
        <w:t>protections</w:t>
      </w:r>
      <w:r>
        <w:rPr>
          <w:color w:val="231F20"/>
          <w:spacing w:val="-5"/>
          <w:sz w:val="20"/>
        </w:rPr>
        <w:t xml:space="preserve"> </w:t>
      </w:r>
      <w:r>
        <w:rPr>
          <w:color w:val="231F20"/>
          <w:spacing w:val="-3"/>
          <w:sz w:val="20"/>
        </w:rPr>
        <w:t>are</w:t>
      </w:r>
    </w:p>
    <w:p w14:paraId="1E6E965C" w14:textId="77777777" w:rsidR="00894070" w:rsidRDefault="009B7AFD">
      <w:pPr>
        <w:pStyle w:val="BodyText"/>
        <w:spacing w:line="259" w:lineRule="exact"/>
        <w:ind w:left="1801"/>
        <w:rPr>
          <w:sz w:val="11"/>
        </w:rPr>
      </w:pPr>
      <w:r>
        <w:rPr>
          <w:color w:val="231F20"/>
        </w:rPr>
        <w:t>consistently applied and to assist courts in interpreting the provisions (see box).</w:t>
      </w:r>
      <w:r>
        <w:rPr>
          <w:color w:val="231F20"/>
          <w:position w:val="7"/>
          <w:sz w:val="11"/>
        </w:rPr>
        <w:t>164</w:t>
      </w:r>
    </w:p>
    <w:p w14:paraId="138B1700" w14:textId="77777777" w:rsidR="00894070" w:rsidRDefault="00894070">
      <w:pPr>
        <w:pStyle w:val="BodyText"/>
      </w:pPr>
    </w:p>
    <w:p w14:paraId="59FE0ABA" w14:textId="77777777" w:rsidR="00894070" w:rsidRDefault="00894070">
      <w:pPr>
        <w:pStyle w:val="BodyText"/>
        <w:spacing w:before="2"/>
        <w:rPr>
          <w:sz w:val="15"/>
        </w:rPr>
      </w:pPr>
    </w:p>
    <w:p w14:paraId="01EE7676" w14:textId="77777777" w:rsidR="00894070" w:rsidRDefault="009F6793">
      <w:pPr>
        <w:spacing w:before="90" w:line="206" w:lineRule="auto"/>
        <w:ind w:left="1239" w:right="1219"/>
        <w:rPr>
          <w:b/>
          <w:sz w:val="20"/>
        </w:rPr>
      </w:pPr>
      <w:r>
        <w:pict w14:anchorId="5B8B9510">
          <v:group id="_x0000_s1142" style="position:absolute;left:0;text-align:left;margin-left:79.35pt;margin-top:-6.55pt;width:435.9pt;height:446.6pt;z-index:-251489280;mso-position-horizontal-relative:page" coordorigin="1587,-131" coordsize="8718,8932">
            <v:rect id="_x0000_s1147" style="position:absolute;left:1592;top:-127;width:8708;height:8922" fillcolor="#fee7de" stroked="f"/>
            <v:line id="_x0000_s1146" style="position:absolute" from="1587,-126" to="10305,-126" strokecolor="#ea5b50" strokeweight=".5pt"/>
            <v:line id="_x0000_s1145" style="position:absolute" from="1592,8790" to="1592,-121" strokecolor="#ea5b50" strokeweight=".5pt"/>
            <v:line id="_x0000_s1144" style="position:absolute" from="10300,8790" to="10300,-121" strokecolor="#ea5b50" strokeweight=".5pt"/>
            <v:line id="_x0000_s1143" style="position:absolute" from="1587,8795" to="10305,8795" strokecolor="#ea5b50" strokeweight=".5pt"/>
            <w10:wrap anchorx="page"/>
          </v:group>
        </w:pict>
      </w:r>
      <w:r w:rsidR="009B7AFD">
        <w:rPr>
          <w:b/>
          <w:color w:val="231F20"/>
          <w:sz w:val="20"/>
        </w:rPr>
        <w:t xml:space="preserve">Our recommendations for a new ‘protected victim’ category and for extending special protections from </w:t>
      </w:r>
      <w:r w:rsidR="009B7AFD">
        <w:rPr>
          <w:b/>
          <w:i/>
          <w:color w:val="231F20"/>
          <w:sz w:val="20"/>
        </w:rPr>
        <w:t xml:space="preserve">The Role of Victims of Crime in the Criminal Trial Process </w:t>
      </w:r>
      <w:r w:rsidR="009B7AFD">
        <w:rPr>
          <w:b/>
          <w:color w:val="231F20"/>
          <w:sz w:val="20"/>
        </w:rPr>
        <w:t>(2016)</w:t>
      </w:r>
    </w:p>
    <w:p w14:paraId="34434E21" w14:textId="77777777" w:rsidR="00894070" w:rsidRDefault="009B7AFD">
      <w:pPr>
        <w:pStyle w:val="BodyText"/>
        <w:spacing w:before="122" w:line="206" w:lineRule="auto"/>
        <w:ind w:left="1239" w:right="1416"/>
      </w:pPr>
      <w:r>
        <w:rPr>
          <w:b/>
          <w:color w:val="231F20"/>
        </w:rPr>
        <w:t>Recommendation 37</w:t>
      </w:r>
      <w:r>
        <w:rPr>
          <w:color w:val="231F20"/>
        </w:rPr>
        <w:t xml:space="preserve">: The </w:t>
      </w:r>
      <w:r>
        <w:rPr>
          <w:i/>
          <w:color w:val="231F20"/>
        </w:rPr>
        <w:t xml:space="preserve">Criminal Procedure Act 2009 </w:t>
      </w:r>
      <w:r>
        <w:rPr>
          <w:color w:val="231F20"/>
        </w:rPr>
        <w:t>(Vic) should be amended to include a definition of protected victim. A protected victim should be defined as a victim who is likely to suffer severe emotional trauma or be so intimidated or distressed as to be unable to give evidence or give evidence fairly.</w:t>
      </w:r>
    </w:p>
    <w:p w14:paraId="151929DA" w14:textId="77777777" w:rsidR="00894070" w:rsidRDefault="009B7AFD">
      <w:pPr>
        <w:pStyle w:val="BodyText"/>
        <w:spacing w:before="93"/>
        <w:ind w:left="1239"/>
      </w:pPr>
      <w:r>
        <w:rPr>
          <w:color w:val="231F20"/>
        </w:rPr>
        <w:t>Factors relevant to determining whether a victim is a protected victim should include:</w:t>
      </w:r>
    </w:p>
    <w:p w14:paraId="01673CDB" w14:textId="77777777" w:rsidR="00894070" w:rsidRDefault="009B7AFD">
      <w:pPr>
        <w:pStyle w:val="ListParagraph"/>
        <w:numPr>
          <w:ilvl w:val="0"/>
          <w:numId w:val="37"/>
        </w:numPr>
        <w:tabs>
          <w:tab w:val="left" w:pos="2032"/>
          <w:tab w:val="left" w:pos="2033"/>
        </w:tabs>
        <w:spacing w:before="83"/>
        <w:ind w:hanging="793"/>
        <w:rPr>
          <w:sz w:val="20"/>
        </w:rPr>
      </w:pPr>
      <w:r>
        <w:rPr>
          <w:color w:val="231F20"/>
          <w:sz w:val="20"/>
        </w:rPr>
        <w:t>the nature of the offending perpetrated against the</w:t>
      </w:r>
      <w:r>
        <w:rPr>
          <w:color w:val="231F20"/>
          <w:spacing w:val="-22"/>
          <w:sz w:val="20"/>
        </w:rPr>
        <w:t xml:space="preserve"> </w:t>
      </w:r>
      <w:r>
        <w:rPr>
          <w:color w:val="231F20"/>
          <w:sz w:val="20"/>
        </w:rPr>
        <w:t>victim</w:t>
      </w:r>
    </w:p>
    <w:p w14:paraId="70965AEC" w14:textId="77777777" w:rsidR="00894070" w:rsidRDefault="009B7AFD">
      <w:pPr>
        <w:pStyle w:val="ListParagraph"/>
        <w:numPr>
          <w:ilvl w:val="0"/>
          <w:numId w:val="37"/>
        </w:numPr>
        <w:tabs>
          <w:tab w:val="left" w:pos="2032"/>
          <w:tab w:val="left" w:pos="2033"/>
        </w:tabs>
        <w:spacing w:before="82"/>
        <w:ind w:hanging="793"/>
        <w:rPr>
          <w:sz w:val="20"/>
        </w:rPr>
      </w:pPr>
      <w:r>
        <w:rPr>
          <w:color w:val="231F20"/>
          <w:sz w:val="20"/>
        </w:rPr>
        <w:t>the victim’s relationship with the</w:t>
      </w:r>
      <w:r>
        <w:rPr>
          <w:color w:val="231F20"/>
          <w:spacing w:val="-12"/>
          <w:sz w:val="20"/>
        </w:rPr>
        <w:t xml:space="preserve"> </w:t>
      </w:r>
      <w:r>
        <w:rPr>
          <w:color w:val="231F20"/>
          <w:sz w:val="20"/>
        </w:rPr>
        <w:t>accused</w:t>
      </w:r>
    </w:p>
    <w:p w14:paraId="532B06DF" w14:textId="77777777" w:rsidR="00894070" w:rsidRDefault="009B7AFD">
      <w:pPr>
        <w:pStyle w:val="ListParagraph"/>
        <w:numPr>
          <w:ilvl w:val="0"/>
          <w:numId w:val="37"/>
        </w:numPr>
        <w:tabs>
          <w:tab w:val="left" w:pos="2032"/>
          <w:tab w:val="left" w:pos="2033"/>
        </w:tabs>
        <w:spacing w:before="82"/>
        <w:ind w:hanging="793"/>
        <w:rPr>
          <w:sz w:val="20"/>
        </w:rPr>
      </w:pPr>
      <w:r>
        <w:rPr>
          <w:color w:val="231F20"/>
          <w:sz w:val="20"/>
        </w:rPr>
        <w:t>the subject matter of the evidence the victim is expected to</w:t>
      </w:r>
      <w:r>
        <w:rPr>
          <w:color w:val="231F20"/>
          <w:spacing w:val="-29"/>
          <w:sz w:val="20"/>
        </w:rPr>
        <w:t xml:space="preserve"> </w:t>
      </w:r>
      <w:r>
        <w:rPr>
          <w:color w:val="231F20"/>
          <w:sz w:val="20"/>
        </w:rPr>
        <w:t>give</w:t>
      </w:r>
    </w:p>
    <w:p w14:paraId="34B3770C" w14:textId="77777777" w:rsidR="00894070" w:rsidRDefault="009B7AFD">
      <w:pPr>
        <w:pStyle w:val="ListParagraph"/>
        <w:numPr>
          <w:ilvl w:val="0"/>
          <w:numId w:val="37"/>
        </w:numPr>
        <w:tabs>
          <w:tab w:val="left" w:pos="2032"/>
          <w:tab w:val="left" w:pos="2033"/>
        </w:tabs>
        <w:spacing w:before="83"/>
        <w:ind w:hanging="793"/>
        <w:rPr>
          <w:sz w:val="20"/>
        </w:rPr>
      </w:pPr>
      <w:r>
        <w:rPr>
          <w:color w:val="231F20"/>
          <w:sz w:val="20"/>
        </w:rPr>
        <w:t>the victim’s</w:t>
      </w:r>
      <w:r>
        <w:rPr>
          <w:color w:val="231F20"/>
          <w:spacing w:val="-5"/>
          <w:sz w:val="20"/>
        </w:rPr>
        <w:t xml:space="preserve"> </w:t>
      </w:r>
      <w:r>
        <w:rPr>
          <w:color w:val="231F20"/>
          <w:sz w:val="20"/>
        </w:rPr>
        <w:t>views</w:t>
      </w:r>
    </w:p>
    <w:p w14:paraId="63EADF9F" w14:textId="77777777" w:rsidR="00894070" w:rsidRDefault="009B7AFD">
      <w:pPr>
        <w:pStyle w:val="ListParagraph"/>
        <w:numPr>
          <w:ilvl w:val="0"/>
          <w:numId w:val="37"/>
        </w:numPr>
        <w:tabs>
          <w:tab w:val="left" w:pos="2032"/>
          <w:tab w:val="left" w:pos="2033"/>
        </w:tabs>
        <w:spacing w:before="82"/>
        <w:ind w:hanging="793"/>
        <w:rPr>
          <w:sz w:val="11"/>
        </w:rPr>
      </w:pPr>
      <w:r>
        <w:rPr>
          <w:color w:val="231F20"/>
          <w:sz w:val="20"/>
        </w:rPr>
        <w:t>and any other factor the court considers</w:t>
      </w:r>
      <w:r>
        <w:rPr>
          <w:color w:val="231F20"/>
          <w:spacing w:val="-34"/>
          <w:sz w:val="20"/>
        </w:rPr>
        <w:t xml:space="preserve"> </w:t>
      </w:r>
      <w:r>
        <w:rPr>
          <w:color w:val="231F20"/>
          <w:sz w:val="20"/>
        </w:rPr>
        <w:t>relevant.</w:t>
      </w:r>
      <w:r>
        <w:rPr>
          <w:color w:val="231F20"/>
          <w:position w:val="7"/>
          <w:sz w:val="11"/>
        </w:rPr>
        <w:t>165</w:t>
      </w:r>
    </w:p>
    <w:p w14:paraId="4491D5EA" w14:textId="77777777" w:rsidR="00894070" w:rsidRDefault="009B7AFD">
      <w:pPr>
        <w:pStyle w:val="BodyText"/>
        <w:spacing w:before="115" w:line="206" w:lineRule="auto"/>
        <w:ind w:left="1239" w:right="1396"/>
      </w:pPr>
      <w:r>
        <w:rPr>
          <w:b/>
          <w:color w:val="231F20"/>
        </w:rPr>
        <w:t>Recommendation</w:t>
      </w:r>
      <w:r>
        <w:rPr>
          <w:b/>
          <w:color w:val="231F20"/>
          <w:spacing w:val="-7"/>
        </w:rPr>
        <w:t xml:space="preserve"> </w:t>
      </w:r>
      <w:r>
        <w:rPr>
          <w:b/>
          <w:color w:val="231F20"/>
        </w:rPr>
        <w:t>38</w:t>
      </w:r>
      <w:r>
        <w:rPr>
          <w:color w:val="231F20"/>
        </w:rPr>
        <w:t>:</w:t>
      </w:r>
      <w:r>
        <w:rPr>
          <w:color w:val="231F20"/>
          <w:spacing w:val="-7"/>
        </w:rPr>
        <w:t xml:space="preserve"> </w:t>
      </w:r>
      <w:r>
        <w:rPr>
          <w:color w:val="231F20"/>
        </w:rPr>
        <w:t>Eligibility</w:t>
      </w:r>
      <w:r>
        <w:rPr>
          <w:color w:val="231F20"/>
          <w:spacing w:val="-6"/>
        </w:rPr>
        <w:t xml:space="preserve"> </w:t>
      </w:r>
      <w:r>
        <w:rPr>
          <w:color w:val="231F20"/>
        </w:rPr>
        <w:t>for</w:t>
      </w:r>
      <w:r>
        <w:rPr>
          <w:color w:val="231F20"/>
          <w:spacing w:val="-7"/>
        </w:rPr>
        <w:t xml:space="preserve"> </w:t>
      </w:r>
      <w:r>
        <w:rPr>
          <w:color w:val="231F20"/>
        </w:rPr>
        <w:t>protective</w:t>
      </w:r>
      <w:r>
        <w:rPr>
          <w:color w:val="231F20"/>
          <w:spacing w:val="-6"/>
        </w:rPr>
        <w:t xml:space="preserve"> </w:t>
      </w:r>
      <w:r>
        <w:rPr>
          <w:color w:val="231F20"/>
        </w:rPr>
        <w:t>procedures</w:t>
      </w:r>
      <w:r>
        <w:rPr>
          <w:color w:val="231F20"/>
          <w:spacing w:val="-7"/>
        </w:rPr>
        <w:t xml:space="preserve"> </w:t>
      </w:r>
      <w:r>
        <w:rPr>
          <w:color w:val="231F20"/>
        </w:rPr>
        <w:t>under</w:t>
      </w:r>
      <w:r>
        <w:rPr>
          <w:color w:val="231F20"/>
          <w:spacing w:val="-7"/>
        </w:rPr>
        <w:t xml:space="preserve"> </w:t>
      </w:r>
      <w:r>
        <w:rPr>
          <w:color w:val="231F20"/>
        </w:rPr>
        <w:t>section</w:t>
      </w:r>
      <w:r>
        <w:rPr>
          <w:color w:val="231F20"/>
          <w:spacing w:val="-6"/>
        </w:rPr>
        <w:t xml:space="preserve"> </w:t>
      </w:r>
      <w:r>
        <w:rPr>
          <w:color w:val="231F20"/>
        </w:rPr>
        <w:t>123</w:t>
      </w:r>
      <w:r>
        <w:rPr>
          <w:color w:val="231F20"/>
          <w:spacing w:val="-7"/>
        </w:rPr>
        <w:t xml:space="preserve"> </w:t>
      </w:r>
      <w:r>
        <w:rPr>
          <w:color w:val="231F20"/>
        </w:rPr>
        <w:t>and</w:t>
      </w:r>
      <w:r>
        <w:rPr>
          <w:color w:val="231F20"/>
          <w:spacing w:val="-7"/>
        </w:rPr>
        <w:t xml:space="preserve"> </w:t>
      </w:r>
      <w:r>
        <w:rPr>
          <w:color w:val="231F20"/>
        </w:rPr>
        <w:t xml:space="preserve">Divisions 5 and 6 of Part </w:t>
      </w:r>
      <w:r>
        <w:rPr>
          <w:color w:val="231F20"/>
          <w:spacing w:val="2"/>
        </w:rPr>
        <w:t xml:space="preserve">8.2 </w:t>
      </w:r>
      <w:r>
        <w:rPr>
          <w:color w:val="231F20"/>
        </w:rPr>
        <w:t xml:space="preserve">of the </w:t>
      </w:r>
      <w:r>
        <w:rPr>
          <w:i/>
          <w:color w:val="231F20"/>
        </w:rPr>
        <w:t xml:space="preserve">Criminal Procedure Act 2009 </w:t>
      </w:r>
      <w:r>
        <w:rPr>
          <w:color w:val="231F20"/>
        </w:rPr>
        <w:t>(Vic) should be extended to also apply to protected victims. All child victims other than child victims of sexual offences should</w:t>
      </w:r>
      <w:r>
        <w:rPr>
          <w:color w:val="231F20"/>
          <w:spacing w:val="-6"/>
        </w:rPr>
        <w:t xml:space="preserve"> </w:t>
      </w:r>
      <w:r>
        <w:rPr>
          <w:color w:val="231F20"/>
        </w:rPr>
        <w:t>be</w:t>
      </w:r>
      <w:r>
        <w:rPr>
          <w:color w:val="231F20"/>
          <w:spacing w:val="-6"/>
        </w:rPr>
        <w:t xml:space="preserve"> </w:t>
      </w:r>
      <w:r>
        <w:rPr>
          <w:color w:val="231F20"/>
        </w:rPr>
        <w:t>considered</w:t>
      </w:r>
      <w:r>
        <w:rPr>
          <w:color w:val="231F20"/>
          <w:spacing w:val="-6"/>
        </w:rPr>
        <w:t xml:space="preserve"> </w:t>
      </w:r>
      <w:r>
        <w:rPr>
          <w:color w:val="231F20"/>
        </w:rPr>
        <w:t>protected</w:t>
      </w:r>
      <w:r>
        <w:rPr>
          <w:color w:val="231F20"/>
          <w:spacing w:val="-5"/>
        </w:rPr>
        <w:t xml:space="preserve"> </w:t>
      </w:r>
      <w:r>
        <w:rPr>
          <w:color w:val="231F20"/>
        </w:rPr>
        <w:t>victims</w:t>
      </w:r>
      <w:r>
        <w:rPr>
          <w:color w:val="231F20"/>
          <w:spacing w:val="-6"/>
        </w:rPr>
        <w:t xml:space="preserve"> </w:t>
      </w:r>
      <w:r>
        <w:rPr>
          <w:color w:val="231F20"/>
        </w:rPr>
        <w:t>unless</w:t>
      </w:r>
      <w:r>
        <w:rPr>
          <w:color w:val="231F20"/>
          <w:spacing w:val="-6"/>
        </w:rPr>
        <w:t xml:space="preserve"> </w:t>
      </w:r>
      <w:r>
        <w:rPr>
          <w:color w:val="231F20"/>
        </w:rPr>
        <w:t>the</w:t>
      </w:r>
      <w:r>
        <w:rPr>
          <w:color w:val="231F20"/>
          <w:spacing w:val="-5"/>
        </w:rPr>
        <w:t xml:space="preserve"> </w:t>
      </w:r>
      <w:r>
        <w:rPr>
          <w:color w:val="231F20"/>
        </w:rPr>
        <w:t>court</w:t>
      </w:r>
      <w:r>
        <w:rPr>
          <w:color w:val="231F20"/>
          <w:spacing w:val="-6"/>
        </w:rPr>
        <w:t xml:space="preserve"> </w:t>
      </w:r>
      <w:r>
        <w:rPr>
          <w:color w:val="231F20"/>
        </w:rPr>
        <w:t>is</w:t>
      </w:r>
      <w:r>
        <w:rPr>
          <w:color w:val="231F20"/>
          <w:spacing w:val="-6"/>
        </w:rPr>
        <w:t xml:space="preserve"> </w:t>
      </w:r>
      <w:r>
        <w:rPr>
          <w:color w:val="231F20"/>
        </w:rPr>
        <w:t>satisfied</w:t>
      </w:r>
      <w:r>
        <w:rPr>
          <w:color w:val="231F20"/>
          <w:spacing w:val="-5"/>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child</w:t>
      </w:r>
      <w:r>
        <w:rPr>
          <w:color w:val="231F20"/>
          <w:spacing w:val="-6"/>
        </w:rPr>
        <w:t xml:space="preserve"> </w:t>
      </w:r>
      <w:r>
        <w:rPr>
          <w:color w:val="231F20"/>
        </w:rPr>
        <w:t>victim</w:t>
      </w:r>
      <w:r>
        <w:rPr>
          <w:color w:val="231F20"/>
          <w:spacing w:val="-5"/>
        </w:rPr>
        <w:t xml:space="preserve"> </w:t>
      </w:r>
      <w:r>
        <w:rPr>
          <w:color w:val="231F20"/>
        </w:rPr>
        <w:t xml:space="preserve">is </w:t>
      </w:r>
      <w:r>
        <w:rPr>
          <w:color w:val="231F20"/>
          <w:spacing w:val="-3"/>
        </w:rPr>
        <w:t>aware</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protective</w:t>
      </w:r>
      <w:r>
        <w:rPr>
          <w:color w:val="231F20"/>
          <w:spacing w:val="-4"/>
        </w:rPr>
        <w:t xml:space="preserve"> </w:t>
      </w:r>
      <w:r>
        <w:rPr>
          <w:color w:val="231F20"/>
        </w:rPr>
        <w:t>procedures</w:t>
      </w:r>
      <w:r>
        <w:rPr>
          <w:color w:val="231F20"/>
          <w:spacing w:val="-4"/>
        </w:rPr>
        <w:t xml:space="preserve"> </w:t>
      </w:r>
      <w:r>
        <w:rPr>
          <w:color w:val="231F20"/>
        </w:rPr>
        <w:t>are</w:t>
      </w:r>
      <w:r>
        <w:rPr>
          <w:color w:val="231F20"/>
          <w:spacing w:val="-4"/>
        </w:rPr>
        <w:t xml:space="preserve"> </w:t>
      </w:r>
      <w:r>
        <w:rPr>
          <w:color w:val="231F20"/>
        </w:rPr>
        <w:t>available</w:t>
      </w:r>
      <w:r>
        <w:rPr>
          <w:color w:val="231F20"/>
          <w:spacing w:val="-4"/>
        </w:rPr>
        <w:t xml:space="preserve"> </w:t>
      </w:r>
      <w:r>
        <w:rPr>
          <w:color w:val="231F20"/>
        </w:rPr>
        <w:t>and</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wish</w:t>
      </w:r>
      <w:r>
        <w:rPr>
          <w:color w:val="231F20"/>
          <w:spacing w:val="-4"/>
        </w:rPr>
        <w:t xml:space="preserve"> </w:t>
      </w:r>
      <w:r>
        <w:rPr>
          <w:color w:val="231F20"/>
        </w:rPr>
        <w:t>to</w:t>
      </w:r>
      <w:r>
        <w:rPr>
          <w:color w:val="231F20"/>
          <w:spacing w:val="-4"/>
        </w:rPr>
        <w:t xml:space="preserve"> </w:t>
      </w:r>
      <w:r>
        <w:rPr>
          <w:color w:val="231F20"/>
        </w:rPr>
        <w:t>use</w:t>
      </w:r>
      <w:r>
        <w:rPr>
          <w:color w:val="231F20"/>
          <w:spacing w:val="-4"/>
        </w:rPr>
        <w:t xml:space="preserve"> </w:t>
      </w:r>
      <w:r>
        <w:rPr>
          <w:color w:val="231F20"/>
        </w:rPr>
        <w:t>them.</w:t>
      </w:r>
    </w:p>
    <w:p w14:paraId="29C85537" w14:textId="77777777" w:rsidR="00894070" w:rsidRDefault="009B7AFD">
      <w:pPr>
        <w:spacing w:before="126" w:line="206" w:lineRule="auto"/>
        <w:ind w:left="1239" w:right="1312"/>
        <w:rPr>
          <w:sz w:val="20"/>
        </w:rPr>
      </w:pPr>
      <w:r>
        <w:rPr>
          <w:b/>
          <w:color w:val="231F20"/>
          <w:sz w:val="20"/>
        </w:rPr>
        <w:t>Recommendation 40</w:t>
      </w:r>
      <w:r>
        <w:rPr>
          <w:color w:val="231F20"/>
          <w:sz w:val="20"/>
        </w:rPr>
        <w:t xml:space="preserve">: The </w:t>
      </w:r>
      <w:r>
        <w:rPr>
          <w:i/>
          <w:color w:val="231F20"/>
          <w:sz w:val="20"/>
        </w:rPr>
        <w:t xml:space="preserve">Criminal Procedure Act 2009 </w:t>
      </w:r>
      <w:r>
        <w:rPr>
          <w:color w:val="231F20"/>
          <w:sz w:val="20"/>
        </w:rPr>
        <w:t>(Vic) should be amended so that the court must order the use of alternative arrangements set out in section 360 of the Act for:</w:t>
      </w:r>
    </w:p>
    <w:p w14:paraId="0579E558" w14:textId="77777777" w:rsidR="00894070" w:rsidRDefault="009B7AFD">
      <w:pPr>
        <w:pStyle w:val="ListParagraph"/>
        <w:numPr>
          <w:ilvl w:val="0"/>
          <w:numId w:val="36"/>
        </w:numPr>
        <w:tabs>
          <w:tab w:val="left" w:pos="2032"/>
          <w:tab w:val="left" w:pos="2033"/>
        </w:tabs>
        <w:spacing w:before="92"/>
        <w:ind w:hanging="793"/>
        <w:rPr>
          <w:sz w:val="20"/>
        </w:rPr>
      </w:pPr>
      <w:r>
        <w:rPr>
          <w:color w:val="231F20"/>
          <w:sz w:val="20"/>
        </w:rPr>
        <w:t>child victims and victims with a cognitive</w:t>
      </w:r>
      <w:r>
        <w:rPr>
          <w:color w:val="231F20"/>
          <w:spacing w:val="-17"/>
          <w:sz w:val="20"/>
        </w:rPr>
        <w:t xml:space="preserve"> </w:t>
      </w:r>
      <w:r>
        <w:rPr>
          <w:color w:val="231F20"/>
          <w:sz w:val="20"/>
        </w:rPr>
        <w:t>impairment</w:t>
      </w:r>
    </w:p>
    <w:p w14:paraId="30600396" w14:textId="77777777" w:rsidR="00894070" w:rsidRDefault="009B7AFD">
      <w:pPr>
        <w:pStyle w:val="ListParagraph"/>
        <w:numPr>
          <w:ilvl w:val="0"/>
          <w:numId w:val="36"/>
        </w:numPr>
        <w:tabs>
          <w:tab w:val="left" w:pos="2032"/>
          <w:tab w:val="left" w:pos="2033"/>
        </w:tabs>
        <w:spacing w:before="82" w:line="259" w:lineRule="exact"/>
        <w:ind w:hanging="793"/>
        <w:rPr>
          <w:sz w:val="20"/>
        </w:rPr>
      </w:pPr>
      <w:r>
        <w:rPr>
          <w:color w:val="231F20"/>
          <w:sz w:val="20"/>
        </w:rPr>
        <w:t>victims determined to be protected victims in accordance</w:t>
      </w:r>
      <w:r>
        <w:rPr>
          <w:color w:val="231F20"/>
          <w:spacing w:val="-22"/>
          <w:sz w:val="20"/>
        </w:rPr>
        <w:t xml:space="preserve"> </w:t>
      </w:r>
      <w:r>
        <w:rPr>
          <w:color w:val="231F20"/>
          <w:sz w:val="20"/>
        </w:rPr>
        <w:t>with</w:t>
      </w:r>
    </w:p>
    <w:p w14:paraId="6E76682F" w14:textId="77777777" w:rsidR="00894070" w:rsidRDefault="009B7AFD">
      <w:pPr>
        <w:pStyle w:val="BodyText"/>
        <w:spacing w:line="259" w:lineRule="exact"/>
        <w:ind w:left="2032"/>
      </w:pPr>
      <w:r>
        <w:rPr>
          <w:color w:val="231F20"/>
        </w:rPr>
        <w:t>Recommendation 37,</w:t>
      </w:r>
    </w:p>
    <w:p w14:paraId="4F87B2FB" w14:textId="77777777" w:rsidR="00894070" w:rsidRDefault="009B7AFD">
      <w:pPr>
        <w:pStyle w:val="BodyText"/>
        <w:tabs>
          <w:tab w:val="left" w:pos="2429"/>
        </w:tabs>
        <w:spacing w:before="115" w:line="206" w:lineRule="auto"/>
        <w:ind w:left="2429" w:right="1488" w:hanging="397"/>
      </w:pPr>
      <w:r>
        <w:rPr>
          <w:color w:val="231F20"/>
        </w:rPr>
        <w:t>-</w:t>
      </w:r>
      <w:r>
        <w:rPr>
          <w:color w:val="231F20"/>
        </w:rPr>
        <w:tab/>
        <w:t>unless</w:t>
      </w:r>
      <w:r>
        <w:rPr>
          <w:color w:val="231F20"/>
          <w:spacing w:val="-4"/>
        </w:rPr>
        <w:t xml:space="preserve"> </w:t>
      </w:r>
      <w:r>
        <w:rPr>
          <w:color w:val="231F20"/>
        </w:rPr>
        <w:t>the</w:t>
      </w:r>
      <w:r>
        <w:rPr>
          <w:color w:val="231F20"/>
          <w:spacing w:val="-4"/>
        </w:rPr>
        <w:t xml:space="preserve"> </w:t>
      </w:r>
      <w:r>
        <w:rPr>
          <w:color w:val="231F20"/>
        </w:rPr>
        <w:t>court</w:t>
      </w:r>
      <w:r>
        <w:rPr>
          <w:color w:val="231F20"/>
          <w:spacing w:val="-4"/>
        </w:rPr>
        <w:t xml:space="preserve"> </w:t>
      </w:r>
      <w:r>
        <w:rPr>
          <w:color w:val="231F20"/>
        </w:rPr>
        <w:t>is</w:t>
      </w:r>
      <w:r>
        <w:rPr>
          <w:color w:val="231F20"/>
          <w:spacing w:val="-4"/>
        </w:rPr>
        <w:t xml:space="preserve"> </w:t>
      </w:r>
      <w:r>
        <w:rPr>
          <w:color w:val="231F20"/>
        </w:rPr>
        <w:t>satisfied</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victim</w:t>
      </w:r>
      <w:r>
        <w:rPr>
          <w:color w:val="231F20"/>
          <w:spacing w:val="-4"/>
        </w:rPr>
        <w:t xml:space="preserve"> </w:t>
      </w:r>
      <w:r>
        <w:rPr>
          <w:color w:val="231F20"/>
        </w:rPr>
        <w:t>is</w:t>
      </w:r>
      <w:r>
        <w:rPr>
          <w:color w:val="231F20"/>
          <w:spacing w:val="-3"/>
        </w:rPr>
        <w:t xml:space="preserve"> aware</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right</w:t>
      </w:r>
      <w:r>
        <w:rPr>
          <w:color w:val="231F20"/>
          <w:spacing w:val="-4"/>
        </w:rPr>
        <w:t xml:space="preserve"> </w:t>
      </w:r>
      <w:r>
        <w:rPr>
          <w:color w:val="231F20"/>
        </w:rPr>
        <w:t>to</w:t>
      </w:r>
      <w:r>
        <w:rPr>
          <w:color w:val="231F20"/>
          <w:spacing w:val="-4"/>
        </w:rPr>
        <w:t xml:space="preserve"> </w:t>
      </w:r>
      <w:r>
        <w:rPr>
          <w:color w:val="231F20"/>
        </w:rPr>
        <w:t>use</w:t>
      </w:r>
      <w:r>
        <w:rPr>
          <w:color w:val="231F20"/>
          <w:spacing w:val="-4"/>
        </w:rPr>
        <w:t xml:space="preserve"> </w:t>
      </w:r>
      <w:r>
        <w:rPr>
          <w:color w:val="231F20"/>
        </w:rPr>
        <w:t>those arrangements and is able and wishes to give evidence without</w:t>
      </w:r>
      <w:r>
        <w:rPr>
          <w:color w:val="231F20"/>
          <w:spacing w:val="-32"/>
        </w:rPr>
        <w:t xml:space="preserve"> </w:t>
      </w:r>
      <w:r>
        <w:rPr>
          <w:color w:val="231F20"/>
        </w:rPr>
        <w:t>them.</w:t>
      </w:r>
    </w:p>
    <w:p w14:paraId="23EA3435" w14:textId="77777777" w:rsidR="00894070" w:rsidRDefault="009B7AFD">
      <w:pPr>
        <w:pStyle w:val="BodyText"/>
        <w:spacing w:before="122" w:line="206" w:lineRule="auto"/>
        <w:ind w:left="1239" w:right="1490"/>
      </w:pPr>
      <w:r>
        <w:rPr>
          <w:b/>
          <w:color w:val="231F20"/>
        </w:rPr>
        <w:t xml:space="preserve">Recommendation 41: </w:t>
      </w:r>
      <w:r>
        <w:rPr>
          <w:color w:val="231F20"/>
        </w:rPr>
        <w:t xml:space="preserve">The </w:t>
      </w:r>
      <w:r>
        <w:rPr>
          <w:i/>
          <w:color w:val="231F20"/>
        </w:rPr>
        <w:t xml:space="preserve">Criminal Procedure Act 2009 </w:t>
      </w:r>
      <w:r>
        <w:rPr>
          <w:color w:val="231F20"/>
        </w:rPr>
        <w:t>(Vic) should be amended to include a guiding principle that, in interpreting and applying Part 8.2, courts are to have regard to the fact that measures should be taken that limit, to the fullest practical extent, the trauma, intimidation and distress suffered by victims when giving evidence.</w:t>
      </w:r>
    </w:p>
    <w:p w14:paraId="6AE193BE" w14:textId="77777777" w:rsidR="00894070" w:rsidRDefault="00894070">
      <w:pPr>
        <w:pStyle w:val="BodyText"/>
        <w:rPr>
          <w:sz w:val="22"/>
        </w:rPr>
      </w:pPr>
    </w:p>
    <w:p w14:paraId="6AEDCC98" w14:textId="77777777" w:rsidR="00894070" w:rsidRDefault="00894070">
      <w:pPr>
        <w:pStyle w:val="BodyText"/>
        <w:spacing w:before="1"/>
      </w:pPr>
    </w:p>
    <w:p w14:paraId="3FCEC4B3" w14:textId="77777777" w:rsidR="00894070" w:rsidRDefault="009B7AFD">
      <w:pPr>
        <w:pStyle w:val="ListParagraph"/>
        <w:numPr>
          <w:ilvl w:val="0"/>
          <w:numId w:val="45"/>
        </w:numPr>
        <w:tabs>
          <w:tab w:val="left" w:pos="1801"/>
          <w:tab w:val="left" w:pos="1802"/>
        </w:tabs>
        <w:spacing w:line="206" w:lineRule="auto"/>
        <w:ind w:right="1289"/>
        <w:rPr>
          <w:sz w:val="20"/>
        </w:rPr>
      </w:pPr>
      <w:r>
        <w:rPr>
          <w:color w:val="231F20"/>
          <w:sz w:val="20"/>
        </w:rPr>
        <w:t xml:space="preserve">In our report </w:t>
      </w:r>
      <w:r>
        <w:rPr>
          <w:i/>
          <w:color w:val="231F20"/>
          <w:sz w:val="20"/>
        </w:rPr>
        <w:t xml:space="preserve">Committals </w:t>
      </w:r>
      <w:r>
        <w:rPr>
          <w:color w:val="231F20"/>
          <w:spacing w:val="-3"/>
          <w:sz w:val="20"/>
        </w:rPr>
        <w:t xml:space="preserve">(2020) we </w:t>
      </w:r>
      <w:r>
        <w:rPr>
          <w:color w:val="231F20"/>
          <w:sz w:val="20"/>
        </w:rPr>
        <w:t xml:space="preserve">recommended amendments to the Criminal </w:t>
      </w:r>
      <w:r>
        <w:rPr>
          <w:color w:val="231F20"/>
          <w:spacing w:val="-3"/>
          <w:sz w:val="20"/>
        </w:rPr>
        <w:t xml:space="preserve">Procedure </w:t>
      </w:r>
      <w:r>
        <w:rPr>
          <w:color w:val="231F20"/>
          <w:spacing w:val="-2"/>
          <w:sz w:val="20"/>
        </w:rPr>
        <w:t xml:space="preserve">Act </w:t>
      </w:r>
      <w:r>
        <w:rPr>
          <w:color w:val="231F20"/>
          <w:sz w:val="20"/>
        </w:rPr>
        <w:t xml:space="preserve">so that ‘the court </w:t>
      </w:r>
      <w:r>
        <w:rPr>
          <w:color w:val="231F20"/>
          <w:spacing w:val="-3"/>
          <w:sz w:val="20"/>
        </w:rPr>
        <w:t xml:space="preserve">may </w:t>
      </w:r>
      <w:r>
        <w:rPr>
          <w:color w:val="231F20"/>
          <w:sz w:val="20"/>
        </w:rPr>
        <w:t xml:space="preserve">make directions </w:t>
      </w:r>
      <w:r>
        <w:rPr>
          <w:color w:val="231F20"/>
          <w:spacing w:val="-3"/>
          <w:sz w:val="20"/>
        </w:rPr>
        <w:t xml:space="preserve">for alternative </w:t>
      </w:r>
      <w:r>
        <w:rPr>
          <w:color w:val="231F20"/>
          <w:sz w:val="20"/>
        </w:rPr>
        <w:t xml:space="preserve">arrangements </w:t>
      </w:r>
      <w:r>
        <w:rPr>
          <w:color w:val="231F20"/>
          <w:spacing w:val="-3"/>
          <w:sz w:val="20"/>
        </w:rPr>
        <w:t xml:space="preserve">for </w:t>
      </w:r>
      <w:r>
        <w:rPr>
          <w:color w:val="231F20"/>
          <w:sz w:val="20"/>
        </w:rPr>
        <w:t>taking</w:t>
      </w:r>
      <w:r>
        <w:rPr>
          <w:color w:val="231F20"/>
          <w:spacing w:val="-8"/>
          <w:sz w:val="20"/>
        </w:rPr>
        <w:t xml:space="preserve"> </w:t>
      </w:r>
      <w:r>
        <w:rPr>
          <w:color w:val="231F20"/>
          <w:sz w:val="20"/>
        </w:rPr>
        <w:t>the</w:t>
      </w:r>
      <w:r>
        <w:rPr>
          <w:color w:val="231F20"/>
          <w:spacing w:val="-8"/>
          <w:sz w:val="20"/>
        </w:rPr>
        <w:t xml:space="preserve"> </w:t>
      </w:r>
      <w:r>
        <w:rPr>
          <w:color w:val="231F20"/>
          <w:sz w:val="20"/>
        </w:rPr>
        <w:t>evidence</w:t>
      </w:r>
      <w:r>
        <w:rPr>
          <w:color w:val="231F20"/>
          <w:spacing w:val="-8"/>
          <w:sz w:val="20"/>
        </w:rPr>
        <w:t xml:space="preserve"> </w:t>
      </w:r>
      <w:r>
        <w:rPr>
          <w:color w:val="231F20"/>
          <w:sz w:val="20"/>
        </w:rPr>
        <w:t>of</w:t>
      </w:r>
      <w:r>
        <w:rPr>
          <w:color w:val="231F20"/>
          <w:spacing w:val="-8"/>
          <w:sz w:val="20"/>
        </w:rPr>
        <w:t xml:space="preserve"> </w:t>
      </w:r>
      <w:r>
        <w:rPr>
          <w:color w:val="231F20"/>
          <w:spacing w:val="-3"/>
          <w:sz w:val="20"/>
        </w:rPr>
        <w:t>any</w:t>
      </w:r>
      <w:r>
        <w:rPr>
          <w:color w:val="231F20"/>
          <w:spacing w:val="-7"/>
          <w:sz w:val="20"/>
        </w:rPr>
        <w:t xml:space="preserve"> </w:t>
      </w:r>
      <w:r>
        <w:rPr>
          <w:color w:val="231F20"/>
          <w:sz w:val="20"/>
        </w:rPr>
        <w:t>witness</w:t>
      </w:r>
      <w:r>
        <w:rPr>
          <w:color w:val="231F20"/>
          <w:spacing w:val="-8"/>
          <w:sz w:val="20"/>
        </w:rPr>
        <w:t xml:space="preserve"> </w:t>
      </w:r>
      <w:r>
        <w:rPr>
          <w:color w:val="231F20"/>
          <w:sz w:val="20"/>
        </w:rPr>
        <w:t>where</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interests</w:t>
      </w:r>
      <w:r>
        <w:rPr>
          <w:color w:val="231F20"/>
          <w:spacing w:val="-8"/>
          <w:sz w:val="20"/>
        </w:rPr>
        <w:t xml:space="preserve"> </w:t>
      </w:r>
      <w:r>
        <w:rPr>
          <w:color w:val="231F20"/>
          <w:sz w:val="20"/>
        </w:rPr>
        <w:t>of</w:t>
      </w:r>
      <w:r>
        <w:rPr>
          <w:color w:val="231F20"/>
          <w:spacing w:val="-7"/>
          <w:sz w:val="20"/>
        </w:rPr>
        <w:t xml:space="preserve"> </w:t>
      </w:r>
      <w:r>
        <w:rPr>
          <w:color w:val="231F20"/>
          <w:sz w:val="20"/>
        </w:rPr>
        <w:t>justice</w:t>
      </w:r>
      <w:r>
        <w:rPr>
          <w:color w:val="231F20"/>
          <w:spacing w:val="-8"/>
          <w:sz w:val="20"/>
        </w:rPr>
        <w:t xml:space="preserve"> </w:t>
      </w:r>
      <w:r>
        <w:rPr>
          <w:color w:val="231F20"/>
          <w:sz w:val="20"/>
        </w:rPr>
        <w:t>so</w:t>
      </w:r>
      <w:r>
        <w:rPr>
          <w:color w:val="231F20"/>
          <w:spacing w:val="-8"/>
          <w:sz w:val="20"/>
        </w:rPr>
        <w:t xml:space="preserve"> </w:t>
      </w:r>
      <w:proofErr w:type="gramStart"/>
      <w:r>
        <w:rPr>
          <w:color w:val="231F20"/>
          <w:spacing w:val="-3"/>
          <w:sz w:val="20"/>
        </w:rPr>
        <w:t>require,</w:t>
      </w:r>
      <w:r>
        <w:rPr>
          <w:color w:val="231F20"/>
          <w:spacing w:val="-8"/>
          <w:sz w:val="20"/>
        </w:rPr>
        <w:t xml:space="preserve"> </w:t>
      </w:r>
      <w:r>
        <w:rPr>
          <w:color w:val="231F20"/>
          <w:sz w:val="20"/>
        </w:rPr>
        <w:t>and</w:t>
      </w:r>
      <w:proofErr w:type="gramEnd"/>
      <w:r>
        <w:rPr>
          <w:color w:val="231F20"/>
          <w:spacing w:val="-7"/>
          <w:sz w:val="20"/>
        </w:rPr>
        <w:t xml:space="preserve"> </w:t>
      </w:r>
      <w:r>
        <w:rPr>
          <w:color w:val="231F20"/>
          <w:sz w:val="20"/>
        </w:rPr>
        <w:t xml:space="preserve">taking </w:t>
      </w:r>
      <w:r>
        <w:rPr>
          <w:color w:val="231F20"/>
          <w:spacing w:val="-3"/>
          <w:sz w:val="20"/>
        </w:rPr>
        <w:t xml:space="preserve">into </w:t>
      </w:r>
      <w:r>
        <w:rPr>
          <w:color w:val="231F20"/>
          <w:sz w:val="20"/>
        </w:rPr>
        <w:t xml:space="preserve">account the need to minimise trauma </w:t>
      </w:r>
      <w:r>
        <w:rPr>
          <w:color w:val="231F20"/>
          <w:spacing w:val="-3"/>
          <w:sz w:val="20"/>
        </w:rPr>
        <w:t xml:space="preserve">for </w:t>
      </w:r>
      <w:r>
        <w:rPr>
          <w:color w:val="231F20"/>
          <w:sz w:val="20"/>
        </w:rPr>
        <w:t>victims and witnesses.’</w:t>
      </w:r>
      <w:r>
        <w:rPr>
          <w:color w:val="231F20"/>
          <w:position w:val="7"/>
          <w:sz w:val="11"/>
        </w:rPr>
        <w:t xml:space="preserve">166 </w:t>
      </w:r>
      <w:r>
        <w:rPr>
          <w:color w:val="231F20"/>
          <w:sz w:val="20"/>
        </w:rPr>
        <w:t xml:space="preserve">The Victorian </w:t>
      </w:r>
      <w:r>
        <w:rPr>
          <w:color w:val="231F20"/>
          <w:spacing w:val="-3"/>
          <w:sz w:val="20"/>
        </w:rPr>
        <w:t xml:space="preserve">Government </w:t>
      </w:r>
      <w:r>
        <w:rPr>
          <w:color w:val="231F20"/>
          <w:sz w:val="20"/>
        </w:rPr>
        <w:t xml:space="preserve">has not </w:t>
      </w:r>
      <w:r>
        <w:rPr>
          <w:color w:val="231F20"/>
          <w:spacing w:val="-3"/>
          <w:sz w:val="20"/>
        </w:rPr>
        <w:t xml:space="preserve">yet </w:t>
      </w:r>
      <w:r>
        <w:rPr>
          <w:color w:val="231F20"/>
          <w:sz w:val="20"/>
        </w:rPr>
        <w:t>implemented these</w:t>
      </w:r>
      <w:r>
        <w:rPr>
          <w:color w:val="231F20"/>
          <w:spacing w:val="-24"/>
          <w:sz w:val="20"/>
        </w:rPr>
        <w:t xml:space="preserve"> </w:t>
      </w:r>
      <w:r>
        <w:rPr>
          <w:color w:val="231F20"/>
          <w:sz w:val="20"/>
        </w:rPr>
        <w:t>recommendations.</w:t>
      </w:r>
    </w:p>
    <w:p w14:paraId="7A5CED00" w14:textId="77777777" w:rsidR="00894070" w:rsidRDefault="009B7AFD">
      <w:pPr>
        <w:pStyle w:val="ListParagraph"/>
        <w:numPr>
          <w:ilvl w:val="0"/>
          <w:numId w:val="45"/>
        </w:numPr>
        <w:tabs>
          <w:tab w:val="left" w:pos="1801"/>
          <w:tab w:val="left" w:pos="1802"/>
        </w:tabs>
        <w:spacing w:before="126" w:line="206" w:lineRule="auto"/>
        <w:ind w:right="1332"/>
        <w:rPr>
          <w:sz w:val="11"/>
        </w:rPr>
      </w:pPr>
      <w:r>
        <w:rPr>
          <w:color w:val="231F20"/>
          <w:sz w:val="20"/>
        </w:rPr>
        <w:t xml:space="preserve">During the </w:t>
      </w:r>
      <w:r>
        <w:rPr>
          <w:color w:val="231F20"/>
          <w:spacing w:val="-3"/>
          <w:sz w:val="20"/>
        </w:rPr>
        <w:t xml:space="preserve">current </w:t>
      </w:r>
      <w:r>
        <w:rPr>
          <w:color w:val="231F20"/>
          <w:sz w:val="20"/>
        </w:rPr>
        <w:t xml:space="preserve">inquiry </w:t>
      </w:r>
      <w:r>
        <w:rPr>
          <w:color w:val="231F20"/>
          <w:spacing w:val="-3"/>
          <w:sz w:val="20"/>
        </w:rPr>
        <w:t xml:space="preserve">we </w:t>
      </w:r>
      <w:r>
        <w:rPr>
          <w:color w:val="231F20"/>
          <w:sz w:val="20"/>
        </w:rPr>
        <w:t xml:space="preserve">heard support </w:t>
      </w:r>
      <w:r>
        <w:rPr>
          <w:color w:val="231F20"/>
          <w:spacing w:val="-3"/>
          <w:sz w:val="20"/>
        </w:rPr>
        <w:t xml:space="preserve">for protections for </w:t>
      </w:r>
      <w:r>
        <w:rPr>
          <w:color w:val="231F20"/>
          <w:sz w:val="20"/>
        </w:rPr>
        <w:t>victim survivors of stalking</w:t>
      </w:r>
      <w:r>
        <w:rPr>
          <w:color w:val="231F20"/>
          <w:spacing w:val="-10"/>
          <w:sz w:val="20"/>
        </w:rPr>
        <w:t xml:space="preserve"> </w:t>
      </w:r>
      <w:r>
        <w:rPr>
          <w:color w:val="231F20"/>
          <w:sz w:val="20"/>
        </w:rPr>
        <w:t>in</w:t>
      </w:r>
      <w:r>
        <w:rPr>
          <w:color w:val="231F20"/>
          <w:spacing w:val="-10"/>
          <w:sz w:val="20"/>
        </w:rPr>
        <w:t xml:space="preserve"> </w:t>
      </w:r>
      <w:r>
        <w:rPr>
          <w:color w:val="231F20"/>
          <w:sz w:val="20"/>
        </w:rPr>
        <w:t>general</w:t>
      </w:r>
      <w:r>
        <w:rPr>
          <w:color w:val="231F20"/>
          <w:spacing w:val="-10"/>
          <w:sz w:val="20"/>
        </w:rPr>
        <w:t xml:space="preserve"> </w:t>
      </w:r>
      <w:r>
        <w:rPr>
          <w:color w:val="231F20"/>
          <w:sz w:val="20"/>
        </w:rPr>
        <w:t>court</w:t>
      </w:r>
      <w:r>
        <w:rPr>
          <w:color w:val="231F20"/>
          <w:spacing w:val="-10"/>
          <w:sz w:val="20"/>
        </w:rPr>
        <w:t xml:space="preserve"> </w:t>
      </w:r>
      <w:r>
        <w:rPr>
          <w:color w:val="231F20"/>
          <w:sz w:val="20"/>
        </w:rPr>
        <w:t>processes.</w:t>
      </w:r>
      <w:r>
        <w:rPr>
          <w:color w:val="231F20"/>
          <w:position w:val="7"/>
          <w:sz w:val="11"/>
        </w:rPr>
        <w:t>167</w:t>
      </w:r>
      <w:r>
        <w:rPr>
          <w:color w:val="231F20"/>
          <w:spacing w:val="14"/>
          <w:position w:val="7"/>
          <w:sz w:val="11"/>
        </w:rPr>
        <w:t xml:space="preserve"> </w:t>
      </w:r>
      <w:r>
        <w:rPr>
          <w:color w:val="231F20"/>
          <w:sz w:val="20"/>
        </w:rPr>
        <w:t>This</w:t>
      </w:r>
      <w:r>
        <w:rPr>
          <w:color w:val="231F20"/>
          <w:spacing w:val="-10"/>
          <w:sz w:val="20"/>
        </w:rPr>
        <w:t xml:space="preserve"> </w:t>
      </w:r>
      <w:r>
        <w:rPr>
          <w:color w:val="231F20"/>
          <w:sz w:val="20"/>
        </w:rPr>
        <w:t>included</w:t>
      </w:r>
      <w:r>
        <w:rPr>
          <w:color w:val="231F20"/>
          <w:spacing w:val="-10"/>
          <w:sz w:val="20"/>
        </w:rPr>
        <w:t xml:space="preserve"> </w:t>
      </w:r>
      <w:r>
        <w:rPr>
          <w:color w:val="231F20"/>
          <w:sz w:val="20"/>
        </w:rPr>
        <w:t>giving</w:t>
      </w:r>
      <w:r>
        <w:rPr>
          <w:color w:val="231F20"/>
          <w:spacing w:val="-10"/>
          <w:sz w:val="20"/>
        </w:rPr>
        <w:t xml:space="preserve"> </w:t>
      </w:r>
      <w:r>
        <w:rPr>
          <w:color w:val="231F20"/>
          <w:sz w:val="20"/>
        </w:rPr>
        <w:t>the</w:t>
      </w:r>
      <w:r>
        <w:rPr>
          <w:color w:val="231F20"/>
          <w:spacing w:val="-9"/>
          <w:sz w:val="20"/>
        </w:rPr>
        <w:t xml:space="preserve"> </w:t>
      </w:r>
      <w:r>
        <w:rPr>
          <w:color w:val="231F20"/>
          <w:sz w:val="20"/>
        </w:rPr>
        <w:t>victim</w:t>
      </w:r>
      <w:r>
        <w:rPr>
          <w:color w:val="231F20"/>
          <w:spacing w:val="-10"/>
          <w:sz w:val="20"/>
        </w:rPr>
        <w:t xml:space="preserve"> </w:t>
      </w:r>
      <w:r>
        <w:rPr>
          <w:color w:val="231F20"/>
          <w:sz w:val="20"/>
        </w:rPr>
        <w:t>the</w:t>
      </w:r>
      <w:r>
        <w:rPr>
          <w:color w:val="231F20"/>
          <w:spacing w:val="-10"/>
          <w:sz w:val="20"/>
        </w:rPr>
        <w:t xml:space="preserve"> </w:t>
      </w:r>
      <w:r>
        <w:rPr>
          <w:color w:val="231F20"/>
          <w:sz w:val="20"/>
        </w:rPr>
        <w:t>option</w:t>
      </w:r>
      <w:r>
        <w:rPr>
          <w:color w:val="231F20"/>
          <w:spacing w:val="-10"/>
          <w:sz w:val="20"/>
        </w:rPr>
        <w:t xml:space="preserve"> </w:t>
      </w:r>
      <w:r>
        <w:rPr>
          <w:color w:val="231F20"/>
          <w:sz w:val="20"/>
        </w:rPr>
        <w:t>of</w:t>
      </w:r>
      <w:r>
        <w:rPr>
          <w:color w:val="231F20"/>
          <w:spacing w:val="-10"/>
          <w:sz w:val="20"/>
        </w:rPr>
        <w:t xml:space="preserve"> </w:t>
      </w:r>
      <w:r>
        <w:rPr>
          <w:color w:val="231F20"/>
          <w:sz w:val="20"/>
        </w:rPr>
        <w:t>not appearing in</w:t>
      </w:r>
      <w:r>
        <w:rPr>
          <w:color w:val="231F20"/>
          <w:spacing w:val="-9"/>
          <w:sz w:val="20"/>
        </w:rPr>
        <w:t xml:space="preserve"> </w:t>
      </w:r>
      <w:r>
        <w:rPr>
          <w:color w:val="231F20"/>
          <w:sz w:val="20"/>
        </w:rPr>
        <w:t>person.</w:t>
      </w:r>
      <w:r>
        <w:rPr>
          <w:color w:val="231F20"/>
          <w:position w:val="7"/>
          <w:sz w:val="11"/>
        </w:rPr>
        <w:t>168</w:t>
      </w:r>
    </w:p>
    <w:p w14:paraId="59FD215E" w14:textId="77777777" w:rsidR="00894070" w:rsidRDefault="00894070">
      <w:pPr>
        <w:pStyle w:val="BodyText"/>
      </w:pPr>
    </w:p>
    <w:p w14:paraId="5EF60377" w14:textId="77777777" w:rsidR="00894070" w:rsidRDefault="009F6793">
      <w:pPr>
        <w:pStyle w:val="BodyText"/>
        <w:spacing w:before="12"/>
        <w:rPr>
          <w:sz w:val="26"/>
        </w:rPr>
      </w:pPr>
      <w:r>
        <w:pict w14:anchorId="14E27AE1">
          <v:line id="_x0000_s1141" style="position:absolute;z-index:251752448;mso-wrap-distance-left:0;mso-wrap-distance-right:0;mso-position-horizontal-relative:page" from="79.35pt,21.1pt" to="515.9pt,21.1pt" strokecolor="#f8cabc" strokeweight="1pt">
            <w10:wrap type="topAndBottom" anchorx="page"/>
          </v:line>
        </w:pict>
      </w:r>
    </w:p>
    <w:p w14:paraId="1EEFD0C9" w14:textId="77777777" w:rsidR="00894070" w:rsidRDefault="00894070">
      <w:pPr>
        <w:pStyle w:val="BodyText"/>
        <w:rPr>
          <w:sz w:val="5"/>
        </w:rPr>
      </w:pPr>
    </w:p>
    <w:p w14:paraId="71297FB7" w14:textId="77777777" w:rsidR="00894070" w:rsidRDefault="00894070">
      <w:pPr>
        <w:rPr>
          <w:sz w:val="5"/>
        </w:rPr>
        <w:sectPr w:rsidR="00894070">
          <w:pgSz w:w="11910" w:h="16840"/>
          <w:pgMar w:top="860" w:right="420" w:bottom="280" w:left="580" w:header="567" w:footer="0" w:gutter="0"/>
          <w:cols w:space="720"/>
        </w:sectPr>
      </w:pPr>
    </w:p>
    <w:p w14:paraId="6015815F" w14:textId="77777777" w:rsidR="00894070" w:rsidRDefault="00894070">
      <w:pPr>
        <w:pStyle w:val="BodyText"/>
        <w:rPr>
          <w:sz w:val="28"/>
        </w:rPr>
      </w:pPr>
    </w:p>
    <w:p w14:paraId="3410F6F3" w14:textId="77777777" w:rsidR="00894070" w:rsidRDefault="00894070">
      <w:pPr>
        <w:pStyle w:val="BodyText"/>
        <w:rPr>
          <w:sz w:val="28"/>
        </w:rPr>
      </w:pPr>
    </w:p>
    <w:p w14:paraId="09DE8F2A" w14:textId="77777777" w:rsidR="00894070" w:rsidRDefault="009B7AFD">
      <w:pPr>
        <w:pStyle w:val="Heading8"/>
        <w:spacing w:before="237"/>
        <w:ind w:left="140"/>
      </w:pPr>
      <w:r>
        <w:rPr>
          <w:color w:val="EA5B50"/>
        </w:rPr>
        <w:t>156</w:t>
      </w:r>
    </w:p>
    <w:p w14:paraId="3A26EB4A" w14:textId="77777777" w:rsidR="00894070" w:rsidRDefault="009B7AFD">
      <w:pPr>
        <w:pStyle w:val="ListParagraph"/>
        <w:numPr>
          <w:ilvl w:val="0"/>
          <w:numId w:val="38"/>
        </w:numPr>
        <w:tabs>
          <w:tab w:val="left" w:pos="933"/>
          <w:tab w:val="left" w:pos="934"/>
        </w:tabs>
        <w:spacing w:before="21" w:line="170" w:lineRule="exact"/>
        <w:ind w:left="933" w:hanging="793"/>
        <w:jc w:val="left"/>
        <w:rPr>
          <w:sz w:val="13"/>
        </w:rPr>
      </w:pPr>
      <w:r>
        <w:rPr>
          <w:color w:val="231F20"/>
          <w:spacing w:val="2"/>
          <w:sz w:val="13"/>
        </w:rPr>
        <w:br w:type="column"/>
      </w:r>
      <w:r>
        <w:rPr>
          <w:color w:val="231F20"/>
          <w:sz w:val="13"/>
        </w:rPr>
        <w:t xml:space="preserve">Ibid [8.97] Recommendation </w:t>
      </w:r>
      <w:r>
        <w:rPr>
          <w:color w:val="231F20"/>
          <w:spacing w:val="2"/>
          <w:sz w:val="13"/>
        </w:rPr>
        <w:t>41.</w:t>
      </w:r>
    </w:p>
    <w:p w14:paraId="021D5618" w14:textId="77777777" w:rsidR="00894070" w:rsidRDefault="009B7AFD">
      <w:pPr>
        <w:pStyle w:val="ListParagraph"/>
        <w:numPr>
          <w:ilvl w:val="0"/>
          <w:numId w:val="38"/>
        </w:numPr>
        <w:tabs>
          <w:tab w:val="left" w:pos="933"/>
          <w:tab w:val="left" w:pos="934"/>
        </w:tabs>
        <w:spacing w:line="160" w:lineRule="exact"/>
        <w:ind w:left="933" w:hanging="793"/>
        <w:jc w:val="left"/>
        <w:rPr>
          <w:sz w:val="13"/>
        </w:rPr>
      </w:pPr>
      <w:r>
        <w:rPr>
          <w:color w:val="231F20"/>
          <w:sz w:val="13"/>
        </w:rPr>
        <w:t xml:space="preserve">Ibid </w:t>
      </w:r>
      <w:r>
        <w:rPr>
          <w:color w:val="231F20"/>
          <w:spacing w:val="3"/>
          <w:sz w:val="13"/>
        </w:rPr>
        <w:t>xxvi.</w:t>
      </w:r>
    </w:p>
    <w:p w14:paraId="3A7C92E3" w14:textId="77777777" w:rsidR="00894070" w:rsidRDefault="009B7AFD">
      <w:pPr>
        <w:pStyle w:val="ListParagraph"/>
        <w:numPr>
          <w:ilvl w:val="0"/>
          <w:numId w:val="38"/>
        </w:numPr>
        <w:tabs>
          <w:tab w:val="left" w:pos="933"/>
          <w:tab w:val="left" w:pos="934"/>
        </w:tabs>
        <w:spacing w:line="160" w:lineRule="exact"/>
        <w:ind w:left="933" w:hanging="793"/>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Committals </w:t>
      </w:r>
      <w:r>
        <w:rPr>
          <w:color w:val="231F20"/>
          <w:spacing w:val="2"/>
          <w:sz w:val="13"/>
        </w:rPr>
        <w:t xml:space="preserve">(Report </w:t>
      </w:r>
      <w:r>
        <w:rPr>
          <w:color w:val="231F20"/>
          <w:sz w:val="13"/>
        </w:rPr>
        <w:t xml:space="preserve">No </w:t>
      </w:r>
      <w:r>
        <w:rPr>
          <w:color w:val="231F20"/>
          <w:spacing w:val="2"/>
          <w:sz w:val="13"/>
        </w:rPr>
        <w:t xml:space="preserve">41, </w:t>
      </w:r>
      <w:r>
        <w:rPr>
          <w:color w:val="231F20"/>
          <w:sz w:val="13"/>
        </w:rPr>
        <w:t>March 2020) Recommendation</w:t>
      </w:r>
      <w:r>
        <w:rPr>
          <w:color w:val="231F20"/>
          <w:spacing w:val="2"/>
          <w:sz w:val="13"/>
        </w:rPr>
        <w:t xml:space="preserve"> 48.</w:t>
      </w:r>
    </w:p>
    <w:p w14:paraId="581BE2D6" w14:textId="77777777" w:rsidR="00894070" w:rsidRDefault="009B7AFD">
      <w:pPr>
        <w:pStyle w:val="ListParagraph"/>
        <w:numPr>
          <w:ilvl w:val="0"/>
          <w:numId w:val="38"/>
        </w:numPr>
        <w:tabs>
          <w:tab w:val="left" w:pos="933"/>
          <w:tab w:val="left" w:pos="934"/>
        </w:tabs>
        <w:spacing w:before="7" w:line="213" w:lineRule="auto"/>
        <w:ind w:left="933" w:right="1165" w:hanging="793"/>
        <w:jc w:val="left"/>
        <w:rPr>
          <w:sz w:val="13"/>
        </w:rPr>
      </w:pPr>
      <w:r>
        <w:rPr>
          <w:color w:val="231F20"/>
          <w:spacing w:val="2"/>
          <w:sz w:val="13"/>
        </w:rPr>
        <w:t xml:space="preserve">Submissions </w:t>
      </w:r>
      <w:r>
        <w:rPr>
          <w:color w:val="231F20"/>
          <w:sz w:val="13"/>
        </w:rPr>
        <w:t xml:space="preserve">32 (Centre for Forensic Behavioural Science), 56 </w:t>
      </w:r>
      <w:r>
        <w:rPr>
          <w:color w:val="231F20"/>
          <w:spacing w:val="2"/>
          <w:sz w:val="13"/>
        </w:rPr>
        <w:t xml:space="preserve">(Derryn </w:t>
      </w:r>
      <w:r>
        <w:rPr>
          <w:color w:val="231F20"/>
          <w:sz w:val="13"/>
        </w:rPr>
        <w:t xml:space="preserve">Hinch’s Justice Party), 65 (Code </w:t>
      </w:r>
      <w:r>
        <w:rPr>
          <w:color w:val="231F20"/>
          <w:spacing w:val="2"/>
          <w:sz w:val="13"/>
        </w:rPr>
        <w:t xml:space="preserve">Black </w:t>
      </w:r>
      <w:r>
        <w:rPr>
          <w:color w:val="231F20"/>
          <w:sz w:val="13"/>
        </w:rPr>
        <w:t xml:space="preserve">Threat Management), 98 (Law Institute of Victoria); Consultations 4 (Sexual </w:t>
      </w:r>
      <w:r>
        <w:rPr>
          <w:color w:val="231F20"/>
          <w:spacing w:val="2"/>
          <w:sz w:val="13"/>
        </w:rPr>
        <w:t xml:space="preserve">Assault Services </w:t>
      </w:r>
      <w:r>
        <w:rPr>
          <w:color w:val="231F20"/>
          <w:sz w:val="13"/>
        </w:rPr>
        <w:t xml:space="preserve">Network),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 Victoria).</w:t>
      </w:r>
    </w:p>
    <w:p w14:paraId="40DA0A74" w14:textId="77777777" w:rsidR="00894070" w:rsidRDefault="009B7AFD">
      <w:pPr>
        <w:pStyle w:val="ListParagraph"/>
        <w:numPr>
          <w:ilvl w:val="0"/>
          <w:numId w:val="38"/>
        </w:numPr>
        <w:tabs>
          <w:tab w:val="left" w:pos="933"/>
          <w:tab w:val="left" w:pos="934"/>
        </w:tabs>
        <w:spacing w:line="213" w:lineRule="auto"/>
        <w:ind w:left="933" w:right="1561" w:hanging="793"/>
        <w:jc w:val="left"/>
        <w:rPr>
          <w:sz w:val="13"/>
        </w:rPr>
      </w:pPr>
      <w:r>
        <w:rPr>
          <w:color w:val="231F20"/>
          <w:spacing w:val="2"/>
          <w:sz w:val="13"/>
        </w:rPr>
        <w:t xml:space="preserve">Submissions </w:t>
      </w:r>
      <w:r>
        <w:rPr>
          <w:color w:val="231F20"/>
          <w:sz w:val="13"/>
        </w:rPr>
        <w:t xml:space="preserve">32 (Centre for Forensic Behavioural Science), 65 (Code </w:t>
      </w:r>
      <w:r>
        <w:rPr>
          <w:color w:val="231F20"/>
          <w:spacing w:val="2"/>
          <w:sz w:val="13"/>
        </w:rPr>
        <w:t xml:space="preserve">Black </w:t>
      </w:r>
      <w:r>
        <w:rPr>
          <w:color w:val="231F20"/>
          <w:sz w:val="13"/>
        </w:rPr>
        <w:t xml:space="preserve">Threat </w:t>
      </w:r>
      <w:r>
        <w:rPr>
          <w:color w:val="231F20"/>
          <w:spacing w:val="2"/>
          <w:sz w:val="13"/>
        </w:rPr>
        <w:t xml:space="preserve">Management); </w:t>
      </w:r>
      <w:r>
        <w:rPr>
          <w:color w:val="231F20"/>
          <w:sz w:val="13"/>
        </w:rPr>
        <w:t xml:space="preserve">Consultation 12 </w:t>
      </w:r>
      <w:r>
        <w:rPr>
          <w:color w:val="231F20"/>
          <w:spacing w:val="2"/>
          <w:sz w:val="13"/>
        </w:rPr>
        <w:t xml:space="preserve">(Domestic </w:t>
      </w:r>
      <w:r>
        <w:rPr>
          <w:color w:val="231F20"/>
          <w:sz w:val="13"/>
        </w:rPr>
        <w:t xml:space="preserve">Violence Victoria and </w:t>
      </w:r>
      <w:r>
        <w:rPr>
          <w:color w:val="231F20"/>
          <w:spacing w:val="2"/>
          <w:sz w:val="13"/>
        </w:rPr>
        <w:t xml:space="preserve">Domestic </w:t>
      </w:r>
      <w:r>
        <w:rPr>
          <w:color w:val="231F20"/>
          <w:sz w:val="13"/>
        </w:rPr>
        <w:t>Violence Resource Centre</w:t>
      </w:r>
      <w:r>
        <w:rPr>
          <w:color w:val="231F20"/>
          <w:spacing w:val="3"/>
          <w:sz w:val="13"/>
        </w:rPr>
        <w:t xml:space="preserve"> </w:t>
      </w:r>
      <w:r>
        <w:rPr>
          <w:color w:val="231F20"/>
          <w:sz w:val="13"/>
        </w:rPr>
        <w:t>Victoria).</w:t>
      </w:r>
    </w:p>
    <w:p w14:paraId="07CFCE66" w14:textId="77777777" w:rsidR="00894070" w:rsidRDefault="00894070">
      <w:pPr>
        <w:spacing w:line="213" w:lineRule="auto"/>
        <w:rPr>
          <w:sz w:val="13"/>
        </w:rPr>
        <w:sectPr w:rsidR="00894070">
          <w:type w:val="continuous"/>
          <w:pgSz w:w="11910" w:h="16840"/>
          <w:pgMar w:top="560" w:right="420" w:bottom="280" w:left="580" w:header="720" w:footer="720" w:gutter="0"/>
          <w:cols w:num="2" w:space="720" w:equalWidth="0">
            <w:col w:w="576" w:space="292"/>
            <w:col w:w="10042"/>
          </w:cols>
        </w:sectPr>
      </w:pPr>
    </w:p>
    <w:p w14:paraId="4A2DD2C1" w14:textId="77777777" w:rsidR="00894070" w:rsidRDefault="00894070">
      <w:pPr>
        <w:pStyle w:val="BodyText"/>
      </w:pPr>
    </w:p>
    <w:p w14:paraId="5AFB1CB0" w14:textId="77777777" w:rsidR="00894070" w:rsidRDefault="00894070">
      <w:pPr>
        <w:pStyle w:val="BodyText"/>
      </w:pPr>
    </w:p>
    <w:p w14:paraId="6E887F53" w14:textId="77777777" w:rsidR="00894070" w:rsidRDefault="00894070">
      <w:pPr>
        <w:pStyle w:val="BodyText"/>
      </w:pPr>
    </w:p>
    <w:p w14:paraId="058988DE" w14:textId="77777777" w:rsidR="00894070" w:rsidRDefault="00894070">
      <w:pPr>
        <w:pStyle w:val="BodyText"/>
        <w:spacing w:before="6"/>
        <w:rPr>
          <w:sz w:val="14"/>
        </w:rPr>
      </w:pPr>
    </w:p>
    <w:p w14:paraId="08546DEA" w14:textId="77777777" w:rsidR="00894070" w:rsidRDefault="009B7AFD">
      <w:pPr>
        <w:pStyle w:val="ListParagraph"/>
        <w:numPr>
          <w:ilvl w:val="0"/>
          <w:numId w:val="45"/>
        </w:numPr>
        <w:tabs>
          <w:tab w:val="left" w:pos="1801"/>
          <w:tab w:val="left" w:pos="1802"/>
        </w:tabs>
        <w:spacing w:before="90" w:line="206" w:lineRule="auto"/>
        <w:ind w:right="1323"/>
        <w:rPr>
          <w:sz w:val="11"/>
        </w:rPr>
      </w:pPr>
      <w:r>
        <w:rPr>
          <w:color w:val="231F20"/>
          <w:sz w:val="20"/>
        </w:rPr>
        <w:t>In particular, the Victims of Crime Commissioner supported implementation of our recommendation</w:t>
      </w:r>
      <w:r>
        <w:rPr>
          <w:color w:val="231F20"/>
          <w:spacing w:val="-9"/>
          <w:sz w:val="20"/>
        </w:rPr>
        <w:t xml:space="preserve"> </w:t>
      </w:r>
      <w:r>
        <w:rPr>
          <w:color w:val="231F20"/>
          <w:spacing w:val="-3"/>
          <w:sz w:val="20"/>
        </w:rPr>
        <w:t>for</w:t>
      </w:r>
      <w:r>
        <w:rPr>
          <w:color w:val="231F20"/>
          <w:spacing w:val="-9"/>
          <w:sz w:val="20"/>
        </w:rPr>
        <w:t xml:space="preserve"> </w:t>
      </w:r>
      <w:r>
        <w:rPr>
          <w:color w:val="231F20"/>
          <w:spacing w:val="-3"/>
          <w:sz w:val="20"/>
        </w:rPr>
        <w:t>protected</w:t>
      </w:r>
      <w:r>
        <w:rPr>
          <w:color w:val="231F20"/>
          <w:spacing w:val="-9"/>
          <w:sz w:val="20"/>
        </w:rPr>
        <w:t xml:space="preserve"> </w:t>
      </w:r>
      <w:r>
        <w:rPr>
          <w:color w:val="231F20"/>
          <w:sz w:val="20"/>
        </w:rPr>
        <w:t>victims</w:t>
      </w:r>
      <w:r>
        <w:rPr>
          <w:color w:val="231F20"/>
          <w:spacing w:val="-9"/>
          <w:sz w:val="20"/>
        </w:rPr>
        <w:t xml:space="preserve"> </w:t>
      </w:r>
      <w:r>
        <w:rPr>
          <w:color w:val="231F20"/>
          <w:sz w:val="20"/>
        </w:rPr>
        <w:t>made</w:t>
      </w:r>
      <w:r>
        <w:rPr>
          <w:color w:val="231F20"/>
          <w:spacing w:val="-9"/>
          <w:sz w:val="20"/>
        </w:rPr>
        <w:t xml:space="preserve"> </w:t>
      </w:r>
      <w:r>
        <w:rPr>
          <w:color w:val="231F20"/>
          <w:sz w:val="20"/>
        </w:rPr>
        <w:t>in</w:t>
      </w:r>
      <w:r>
        <w:rPr>
          <w:color w:val="231F20"/>
          <w:spacing w:val="-9"/>
          <w:sz w:val="20"/>
        </w:rPr>
        <w:t xml:space="preserve"> </w:t>
      </w:r>
      <w:r>
        <w:rPr>
          <w:color w:val="231F20"/>
          <w:sz w:val="20"/>
        </w:rPr>
        <w:t>our</w:t>
      </w:r>
      <w:r>
        <w:rPr>
          <w:color w:val="231F20"/>
          <w:spacing w:val="-9"/>
          <w:sz w:val="20"/>
        </w:rPr>
        <w:t xml:space="preserve"> </w:t>
      </w:r>
      <w:r>
        <w:rPr>
          <w:color w:val="231F20"/>
          <w:sz w:val="20"/>
        </w:rPr>
        <w:t>report</w:t>
      </w:r>
      <w:r>
        <w:rPr>
          <w:color w:val="231F20"/>
          <w:spacing w:val="-9"/>
          <w:sz w:val="20"/>
        </w:rPr>
        <w:t xml:space="preserve"> </w:t>
      </w:r>
      <w:r>
        <w:rPr>
          <w:i/>
          <w:color w:val="231F20"/>
          <w:sz w:val="20"/>
        </w:rPr>
        <w:t>The</w:t>
      </w:r>
      <w:r>
        <w:rPr>
          <w:i/>
          <w:color w:val="231F20"/>
          <w:spacing w:val="-9"/>
          <w:sz w:val="20"/>
        </w:rPr>
        <w:t xml:space="preserve"> </w:t>
      </w:r>
      <w:r>
        <w:rPr>
          <w:i/>
          <w:color w:val="231F20"/>
          <w:spacing w:val="-3"/>
          <w:sz w:val="20"/>
        </w:rPr>
        <w:t>Role</w:t>
      </w:r>
      <w:r>
        <w:rPr>
          <w:i/>
          <w:color w:val="231F20"/>
          <w:spacing w:val="-8"/>
          <w:sz w:val="20"/>
        </w:rPr>
        <w:t xml:space="preserve"> </w:t>
      </w:r>
      <w:r>
        <w:rPr>
          <w:i/>
          <w:color w:val="231F20"/>
          <w:sz w:val="20"/>
        </w:rPr>
        <w:t>of</w:t>
      </w:r>
      <w:r>
        <w:rPr>
          <w:i/>
          <w:color w:val="231F20"/>
          <w:spacing w:val="-9"/>
          <w:sz w:val="20"/>
        </w:rPr>
        <w:t xml:space="preserve"> </w:t>
      </w:r>
      <w:r>
        <w:rPr>
          <w:i/>
          <w:color w:val="231F20"/>
          <w:sz w:val="20"/>
        </w:rPr>
        <w:t>Victims</w:t>
      </w:r>
      <w:r>
        <w:rPr>
          <w:i/>
          <w:color w:val="231F20"/>
          <w:spacing w:val="-9"/>
          <w:sz w:val="20"/>
        </w:rPr>
        <w:t xml:space="preserve"> </w:t>
      </w:r>
      <w:r>
        <w:rPr>
          <w:i/>
          <w:color w:val="231F20"/>
          <w:sz w:val="20"/>
        </w:rPr>
        <w:t>of</w:t>
      </w:r>
      <w:r>
        <w:rPr>
          <w:i/>
          <w:color w:val="231F20"/>
          <w:spacing w:val="-9"/>
          <w:sz w:val="20"/>
        </w:rPr>
        <w:t xml:space="preserve"> </w:t>
      </w:r>
      <w:r>
        <w:rPr>
          <w:i/>
          <w:color w:val="231F20"/>
          <w:sz w:val="20"/>
        </w:rPr>
        <w:t xml:space="preserve">Crime in the Criminal </w:t>
      </w:r>
      <w:r>
        <w:rPr>
          <w:i/>
          <w:color w:val="231F20"/>
          <w:spacing w:val="-5"/>
          <w:sz w:val="20"/>
        </w:rPr>
        <w:t xml:space="preserve">Trial </w:t>
      </w:r>
      <w:r>
        <w:rPr>
          <w:i/>
          <w:color w:val="231F20"/>
          <w:sz w:val="20"/>
        </w:rPr>
        <w:t>Process</w:t>
      </w:r>
      <w:r>
        <w:rPr>
          <w:i/>
          <w:color w:val="231F20"/>
          <w:spacing w:val="-16"/>
          <w:sz w:val="20"/>
        </w:rPr>
        <w:t xml:space="preserve"> </w:t>
      </w:r>
      <w:r>
        <w:rPr>
          <w:color w:val="231F20"/>
          <w:spacing w:val="-3"/>
          <w:sz w:val="20"/>
        </w:rPr>
        <w:t>(2016).</w:t>
      </w:r>
      <w:r>
        <w:rPr>
          <w:color w:val="231F20"/>
          <w:spacing w:val="-3"/>
          <w:position w:val="7"/>
          <w:sz w:val="11"/>
        </w:rPr>
        <w:t>169</w:t>
      </w:r>
    </w:p>
    <w:p w14:paraId="2A096581" w14:textId="77777777" w:rsidR="00894070" w:rsidRDefault="009B7AFD">
      <w:pPr>
        <w:pStyle w:val="ListParagraph"/>
        <w:numPr>
          <w:ilvl w:val="0"/>
          <w:numId w:val="45"/>
        </w:numPr>
        <w:tabs>
          <w:tab w:val="left" w:pos="1801"/>
          <w:tab w:val="left" w:pos="1802"/>
        </w:tabs>
        <w:spacing w:before="124" w:line="206" w:lineRule="auto"/>
        <w:ind w:right="1676"/>
        <w:rPr>
          <w:sz w:val="11"/>
        </w:rPr>
      </w:pPr>
      <w:r>
        <w:rPr>
          <w:color w:val="231F20"/>
          <w:spacing w:val="-4"/>
          <w:sz w:val="20"/>
        </w:rPr>
        <w:t>Recently,</w:t>
      </w:r>
      <w:r>
        <w:rPr>
          <w:color w:val="231F20"/>
          <w:spacing w:val="-9"/>
          <w:sz w:val="20"/>
        </w:rPr>
        <w:t xml:space="preserve"> </w:t>
      </w:r>
      <w:r>
        <w:rPr>
          <w:color w:val="231F20"/>
          <w:sz w:val="20"/>
        </w:rPr>
        <w:t>the</w:t>
      </w:r>
      <w:r>
        <w:rPr>
          <w:color w:val="231F20"/>
          <w:spacing w:val="-9"/>
          <w:sz w:val="20"/>
        </w:rPr>
        <w:t xml:space="preserve"> </w:t>
      </w:r>
      <w:r>
        <w:rPr>
          <w:color w:val="231F20"/>
          <w:sz w:val="20"/>
        </w:rPr>
        <w:t>Victorian</w:t>
      </w:r>
      <w:r>
        <w:rPr>
          <w:color w:val="231F20"/>
          <w:spacing w:val="-8"/>
          <w:sz w:val="20"/>
        </w:rPr>
        <w:t xml:space="preserve"> </w:t>
      </w:r>
      <w:r>
        <w:rPr>
          <w:color w:val="231F20"/>
          <w:sz w:val="20"/>
        </w:rPr>
        <w:t>Parliament</w:t>
      </w:r>
      <w:r>
        <w:rPr>
          <w:color w:val="231F20"/>
          <w:spacing w:val="-9"/>
          <w:sz w:val="20"/>
        </w:rPr>
        <w:t xml:space="preserve"> </w:t>
      </w:r>
      <w:r>
        <w:rPr>
          <w:color w:val="231F20"/>
          <w:sz w:val="20"/>
        </w:rPr>
        <w:t>recognised</w:t>
      </w:r>
      <w:r>
        <w:rPr>
          <w:color w:val="231F20"/>
          <w:spacing w:val="-8"/>
          <w:sz w:val="20"/>
        </w:rPr>
        <w:t xml:space="preserve"> </w:t>
      </w:r>
      <w:r>
        <w:rPr>
          <w:color w:val="231F20"/>
          <w:sz w:val="20"/>
        </w:rPr>
        <w:t>the</w:t>
      </w:r>
      <w:r>
        <w:rPr>
          <w:color w:val="231F20"/>
          <w:spacing w:val="-9"/>
          <w:sz w:val="20"/>
        </w:rPr>
        <w:t xml:space="preserve"> </w:t>
      </w:r>
      <w:r>
        <w:rPr>
          <w:color w:val="231F20"/>
          <w:sz w:val="20"/>
        </w:rPr>
        <w:t>need</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specific</w:t>
      </w:r>
      <w:r>
        <w:rPr>
          <w:color w:val="231F20"/>
          <w:spacing w:val="-9"/>
          <w:sz w:val="20"/>
        </w:rPr>
        <w:t xml:space="preserve"> </w:t>
      </w:r>
      <w:r>
        <w:rPr>
          <w:color w:val="231F20"/>
          <w:spacing w:val="-3"/>
          <w:sz w:val="20"/>
        </w:rPr>
        <w:t>protections</w:t>
      </w:r>
      <w:r>
        <w:rPr>
          <w:color w:val="231F20"/>
          <w:spacing w:val="-8"/>
          <w:sz w:val="20"/>
        </w:rPr>
        <w:t xml:space="preserve"> </w:t>
      </w:r>
      <w:r>
        <w:rPr>
          <w:color w:val="231F20"/>
          <w:spacing w:val="-3"/>
          <w:sz w:val="20"/>
        </w:rPr>
        <w:t xml:space="preserve">for </w:t>
      </w:r>
      <w:r>
        <w:rPr>
          <w:color w:val="231F20"/>
          <w:sz w:val="20"/>
        </w:rPr>
        <w:t>victims</w:t>
      </w:r>
      <w:r>
        <w:rPr>
          <w:color w:val="231F20"/>
          <w:spacing w:val="-7"/>
          <w:sz w:val="20"/>
        </w:rPr>
        <w:t xml:space="preserve"> </w:t>
      </w:r>
      <w:r>
        <w:rPr>
          <w:color w:val="231F20"/>
          <w:sz w:val="20"/>
        </w:rPr>
        <w:t>of</w:t>
      </w:r>
      <w:r>
        <w:rPr>
          <w:color w:val="231F20"/>
          <w:spacing w:val="-7"/>
          <w:sz w:val="20"/>
        </w:rPr>
        <w:t xml:space="preserve"> </w:t>
      </w:r>
      <w:r>
        <w:rPr>
          <w:color w:val="231F20"/>
          <w:sz w:val="20"/>
        </w:rPr>
        <w:t>stalking</w:t>
      </w:r>
      <w:r>
        <w:rPr>
          <w:color w:val="231F20"/>
          <w:spacing w:val="-6"/>
          <w:sz w:val="20"/>
        </w:rPr>
        <w:t xml:space="preserve"> </w:t>
      </w:r>
      <w:r>
        <w:rPr>
          <w:color w:val="231F20"/>
          <w:sz w:val="20"/>
        </w:rPr>
        <w:t>in</w:t>
      </w:r>
      <w:r>
        <w:rPr>
          <w:color w:val="231F20"/>
          <w:spacing w:val="-7"/>
          <w:sz w:val="20"/>
        </w:rPr>
        <w:t xml:space="preserve"> </w:t>
      </w:r>
      <w:r>
        <w:rPr>
          <w:color w:val="231F20"/>
          <w:sz w:val="20"/>
        </w:rPr>
        <w:t>Victims</w:t>
      </w:r>
      <w:r>
        <w:rPr>
          <w:color w:val="231F20"/>
          <w:spacing w:val="-6"/>
          <w:sz w:val="20"/>
        </w:rPr>
        <w:t xml:space="preserve"> </w:t>
      </w:r>
      <w:r>
        <w:rPr>
          <w:color w:val="231F20"/>
          <w:sz w:val="20"/>
        </w:rPr>
        <w:t>of</w:t>
      </w:r>
      <w:r>
        <w:rPr>
          <w:color w:val="231F20"/>
          <w:spacing w:val="-7"/>
          <w:sz w:val="20"/>
        </w:rPr>
        <w:t xml:space="preserve"> </w:t>
      </w:r>
      <w:r>
        <w:rPr>
          <w:color w:val="231F20"/>
          <w:sz w:val="20"/>
        </w:rPr>
        <w:t>Crime</w:t>
      </w:r>
      <w:r>
        <w:rPr>
          <w:color w:val="231F20"/>
          <w:spacing w:val="-7"/>
          <w:sz w:val="20"/>
        </w:rPr>
        <w:t xml:space="preserve"> </w:t>
      </w:r>
      <w:r>
        <w:rPr>
          <w:color w:val="231F20"/>
          <w:sz w:val="20"/>
        </w:rPr>
        <w:t>Assistance</w:t>
      </w:r>
      <w:r>
        <w:rPr>
          <w:color w:val="231F20"/>
          <w:spacing w:val="-6"/>
          <w:sz w:val="20"/>
        </w:rPr>
        <w:t xml:space="preserve"> </w:t>
      </w:r>
      <w:r>
        <w:rPr>
          <w:color w:val="231F20"/>
          <w:spacing w:val="-4"/>
          <w:sz w:val="20"/>
        </w:rPr>
        <w:t>Tribunal</w:t>
      </w:r>
      <w:r>
        <w:rPr>
          <w:color w:val="231F20"/>
          <w:spacing w:val="-7"/>
          <w:sz w:val="20"/>
        </w:rPr>
        <w:t xml:space="preserve"> </w:t>
      </w:r>
      <w:r>
        <w:rPr>
          <w:color w:val="231F20"/>
          <w:spacing w:val="-4"/>
          <w:sz w:val="20"/>
        </w:rPr>
        <w:t>(VOCAT)</w:t>
      </w:r>
      <w:r>
        <w:rPr>
          <w:color w:val="231F20"/>
          <w:spacing w:val="-6"/>
          <w:sz w:val="20"/>
        </w:rPr>
        <w:t xml:space="preserve"> </w:t>
      </w:r>
      <w:r>
        <w:rPr>
          <w:color w:val="231F20"/>
          <w:sz w:val="20"/>
        </w:rPr>
        <w:t>hearings.</w:t>
      </w:r>
      <w:r>
        <w:rPr>
          <w:color w:val="231F20"/>
          <w:position w:val="7"/>
          <w:sz w:val="11"/>
        </w:rPr>
        <w:t>170</w:t>
      </w:r>
    </w:p>
    <w:p w14:paraId="4587C1E1" w14:textId="77777777" w:rsidR="00894070" w:rsidRDefault="009B7AFD">
      <w:pPr>
        <w:pStyle w:val="ListParagraph"/>
        <w:numPr>
          <w:ilvl w:val="0"/>
          <w:numId w:val="45"/>
        </w:numPr>
        <w:tabs>
          <w:tab w:val="left" w:pos="1801"/>
          <w:tab w:val="left" w:pos="1802"/>
        </w:tabs>
        <w:spacing w:before="122" w:line="206" w:lineRule="auto"/>
        <w:ind w:right="1179"/>
        <w:rPr>
          <w:sz w:val="20"/>
        </w:rPr>
      </w:pPr>
      <w:r>
        <w:rPr>
          <w:color w:val="231F20"/>
          <w:sz w:val="20"/>
        </w:rPr>
        <w:t>Our</w:t>
      </w:r>
      <w:r>
        <w:rPr>
          <w:color w:val="231F20"/>
          <w:spacing w:val="-7"/>
          <w:sz w:val="20"/>
        </w:rPr>
        <w:t xml:space="preserve"> </w:t>
      </w:r>
      <w:r>
        <w:rPr>
          <w:color w:val="231F20"/>
          <w:spacing w:val="-3"/>
          <w:sz w:val="20"/>
        </w:rPr>
        <w:t>previous</w:t>
      </w:r>
      <w:r>
        <w:rPr>
          <w:color w:val="231F20"/>
          <w:spacing w:val="-6"/>
          <w:sz w:val="20"/>
        </w:rPr>
        <w:t xml:space="preserve"> </w:t>
      </w:r>
      <w:r>
        <w:rPr>
          <w:color w:val="231F20"/>
          <w:sz w:val="20"/>
        </w:rPr>
        <w:t>recommendations</w:t>
      </w:r>
      <w:r>
        <w:rPr>
          <w:color w:val="231F20"/>
          <w:spacing w:val="-7"/>
          <w:sz w:val="20"/>
        </w:rPr>
        <w:t xml:space="preserve"> </w:t>
      </w:r>
      <w:r>
        <w:rPr>
          <w:color w:val="231F20"/>
          <w:spacing w:val="-3"/>
          <w:sz w:val="20"/>
        </w:rPr>
        <w:t>for</w:t>
      </w:r>
      <w:r>
        <w:rPr>
          <w:color w:val="231F20"/>
          <w:spacing w:val="-6"/>
          <w:sz w:val="20"/>
        </w:rPr>
        <w:t xml:space="preserve"> </w:t>
      </w:r>
      <w:r>
        <w:rPr>
          <w:color w:val="231F20"/>
          <w:sz w:val="20"/>
        </w:rPr>
        <w:t>a</w:t>
      </w:r>
      <w:r>
        <w:rPr>
          <w:color w:val="231F20"/>
          <w:spacing w:val="-6"/>
          <w:sz w:val="20"/>
        </w:rPr>
        <w:t xml:space="preserve"> </w:t>
      </w:r>
      <w:r>
        <w:rPr>
          <w:color w:val="231F20"/>
          <w:spacing w:val="-3"/>
          <w:sz w:val="20"/>
        </w:rPr>
        <w:t>protected</w:t>
      </w:r>
      <w:r>
        <w:rPr>
          <w:color w:val="231F20"/>
          <w:spacing w:val="-7"/>
          <w:sz w:val="20"/>
        </w:rPr>
        <w:t xml:space="preserve"> </w:t>
      </w:r>
      <w:r>
        <w:rPr>
          <w:color w:val="231F20"/>
          <w:sz w:val="20"/>
        </w:rPr>
        <w:t>victim</w:t>
      </w:r>
      <w:r>
        <w:rPr>
          <w:color w:val="231F20"/>
          <w:spacing w:val="-6"/>
          <w:sz w:val="20"/>
        </w:rPr>
        <w:t xml:space="preserve"> </w:t>
      </w:r>
      <w:r>
        <w:rPr>
          <w:color w:val="231F20"/>
          <w:sz w:val="20"/>
        </w:rPr>
        <w:t>category</w:t>
      </w:r>
      <w:r>
        <w:rPr>
          <w:color w:val="231F20"/>
          <w:spacing w:val="-7"/>
          <w:sz w:val="20"/>
        </w:rPr>
        <w:t xml:space="preserve"> </w:t>
      </w:r>
      <w:r>
        <w:rPr>
          <w:color w:val="231F20"/>
          <w:sz w:val="20"/>
        </w:rPr>
        <w:t>and</w:t>
      </w:r>
      <w:r>
        <w:rPr>
          <w:color w:val="231F20"/>
          <w:spacing w:val="-6"/>
          <w:sz w:val="20"/>
        </w:rPr>
        <w:t xml:space="preserve"> </w:t>
      </w:r>
      <w:r>
        <w:rPr>
          <w:color w:val="231F20"/>
          <w:sz w:val="20"/>
        </w:rPr>
        <w:t>special</w:t>
      </w:r>
      <w:r>
        <w:rPr>
          <w:color w:val="231F20"/>
          <w:spacing w:val="-6"/>
          <w:sz w:val="20"/>
        </w:rPr>
        <w:t xml:space="preserve"> </w:t>
      </w:r>
      <w:r>
        <w:rPr>
          <w:color w:val="231F20"/>
          <w:spacing w:val="-3"/>
          <w:sz w:val="20"/>
        </w:rPr>
        <w:t xml:space="preserve">protections </w:t>
      </w:r>
      <w:r>
        <w:rPr>
          <w:color w:val="231F20"/>
          <w:sz w:val="20"/>
        </w:rPr>
        <w:t xml:space="preserve">should be implemented. The category </w:t>
      </w:r>
      <w:r>
        <w:rPr>
          <w:color w:val="231F20"/>
          <w:spacing w:val="-3"/>
          <w:sz w:val="20"/>
        </w:rPr>
        <w:t xml:space="preserve">would </w:t>
      </w:r>
      <w:r>
        <w:rPr>
          <w:color w:val="231F20"/>
          <w:sz w:val="20"/>
        </w:rPr>
        <w:t>be broad enough to include victim survivors of stalking who meet the criteria. As the recommendations intended, it will also</w:t>
      </w:r>
      <w:r>
        <w:rPr>
          <w:color w:val="231F20"/>
          <w:spacing w:val="-6"/>
          <w:sz w:val="20"/>
        </w:rPr>
        <w:t xml:space="preserve"> </w:t>
      </w:r>
      <w:r>
        <w:rPr>
          <w:color w:val="231F20"/>
          <w:sz w:val="20"/>
        </w:rPr>
        <w:t>benefit</w:t>
      </w:r>
      <w:r>
        <w:rPr>
          <w:color w:val="231F20"/>
          <w:spacing w:val="-6"/>
          <w:sz w:val="20"/>
        </w:rPr>
        <w:t xml:space="preserve"> </w:t>
      </w:r>
      <w:r>
        <w:rPr>
          <w:color w:val="231F20"/>
          <w:sz w:val="20"/>
        </w:rPr>
        <w:t>victims</w:t>
      </w:r>
      <w:r>
        <w:rPr>
          <w:color w:val="231F20"/>
          <w:spacing w:val="-5"/>
          <w:sz w:val="20"/>
        </w:rPr>
        <w:t xml:space="preserve"> </w:t>
      </w:r>
      <w:r>
        <w:rPr>
          <w:color w:val="231F20"/>
          <w:sz w:val="20"/>
        </w:rPr>
        <w:t>of</w:t>
      </w:r>
      <w:r>
        <w:rPr>
          <w:color w:val="231F20"/>
          <w:spacing w:val="-6"/>
          <w:sz w:val="20"/>
        </w:rPr>
        <w:t xml:space="preserve"> </w:t>
      </w:r>
      <w:r>
        <w:rPr>
          <w:color w:val="231F20"/>
          <w:sz w:val="20"/>
        </w:rPr>
        <w:t>other</w:t>
      </w:r>
      <w:r>
        <w:rPr>
          <w:color w:val="231F20"/>
          <w:spacing w:val="-5"/>
          <w:sz w:val="20"/>
        </w:rPr>
        <w:t xml:space="preserve"> </w:t>
      </w:r>
      <w:r>
        <w:rPr>
          <w:color w:val="231F20"/>
          <w:sz w:val="20"/>
        </w:rPr>
        <w:t>crimes</w:t>
      </w:r>
      <w:r>
        <w:rPr>
          <w:color w:val="231F20"/>
          <w:spacing w:val="-6"/>
          <w:sz w:val="20"/>
        </w:rPr>
        <w:t xml:space="preserve"> </w:t>
      </w:r>
      <w:r>
        <w:rPr>
          <w:color w:val="231F20"/>
          <w:sz w:val="20"/>
        </w:rPr>
        <w:t>who</w:t>
      </w:r>
      <w:r>
        <w:rPr>
          <w:color w:val="231F20"/>
          <w:spacing w:val="-5"/>
          <w:sz w:val="20"/>
        </w:rPr>
        <w:t xml:space="preserve"> </w:t>
      </w:r>
      <w:r>
        <w:rPr>
          <w:color w:val="231F20"/>
          <w:sz w:val="20"/>
        </w:rPr>
        <w:t>fit</w:t>
      </w:r>
      <w:r>
        <w:rPr>
          <w:color w:val="231F20"/>
          <w:spacing w:val="-6"/>
          <w:sz w:val="20"/>
        </w:rPr>
        <w:t xml:space="preserve"> </w:t>
      </w:r>
      <w:r>
        <w:rPr>
          <w:color w:val="231F20"/>
          <w:sz w:val="20"/>
        </w:rPr>
        <w:t>the</w:t>
      </w:r>
      <w:r>
        <w:rPr>
          <w:color w:val="231F20"/>
          <w:spacing w:val="-5"/>
          <w:sz w:val="20"/>
        </w:rPr>
        <w:t xml:space="preserve"> </w:t>
      </w:r>
      <w:r>
        <w:rPr>
          <w:color w:val="231F20"/>
          <w:spacing w:val="-3"/>
          <w:sz w:val="20"/>
        </w:rPr>
        <w:t>protected</w:t>
      </w:r>
      <w:r>
        <w:rPr>
          <w:color w:val="231F20"/>
          <w:spacing w:val="-6"/>
          <w:sz w:val="20"/>
        </w:rPr>
        <w:t xml:space="preserve"> </w:t>
      </w:r>
      <w:r>
        <w:rPr>
          <w:color w:val="231F20"/>
          <w:sz w:val="20"/>
        </w:rPr>
        <w:t>victim</w:t>
      </w:r>
      <w:r>
        <w:rPr>
          <w:color w:val="231F20"/>
          <w:spacing w:val="-6"/>
          <w:sz w:val="20"/>
        </w:rPr>
        <w:t xml:space="preserve"> </w:t>
      </w:r>
      <w:r>
        <w:rPr>
          <w:color w:val="231F20"/>
          <w:spacing w:val="-3"/>
          <w:sz w:val="20"/>
        </w:rPr>
        <w:t>category.</w:t>
      </w:r>
    </w:p>
    <w:p w14:paraId="0425C18A" w14:textId="77777777" w:rsidR="00894070" w:rsidRDefault="009B7AFD">
      <w:pPr>
        <w:pStyle w:val="ListParagraph"/>
        <w:numPr>
          <w:ilvl w:val="0"/>
          <w:numId w:val="45"/>
        </w:numPr>
        <w:tabs>
          <w:tab w:val="left" w:pos="1801"/>
          <w:tab w:val="left" w:pos="1802"/>
        </w:tabs>
        <w:spacing w:before="125" w:line="206" w:lineRule="auto"/>
        <w:ind w:right="1270"/>
        <w:rPr>
          <w:sz w:val="20"/>
        </w:rPr>
      </w:pPr>
      <w:r>
        <w:rPr>
          <w:color w:val="231F20"/>
          <w:sz w:val="20"/>
        </w:rPr>
        <w:t>Under</w:t>
      </w:r>
      <w:r>
        <w:rPr>
          <w:color w:val="231F20"/>
          <w:spacing w:val="-13"/>
          <w:sz w:val="20"/>
        </w:rPr>
        <w:t xml:space="preserve"> </w:t>
      </w:r>
      <w:r>
        <w:rPr>
          <w:color w:val="231F20"/>
          <w:sz w:val="20"/>
        </w:rPr>
        <w:t>this</w:t>
      </w:r>
      <w:r>
        <w:rPr>
          <w:color w:val="231F20"/>
          <w:spacing w:val="-12"/>
          <w:sz w:val="20"/>
        </w:rPr>
        <w:t xml:space="preserve"> </w:t>
      </w:r>
      <w:r>
        <w:rPr>
          <w:color w:val="231F20"/>
          <w:sz w:val="20"/>
        </w:rPr>
        <w:t>model,</w:t>
      </w:r>
      <w:r>
        <w:rPr>
          <w:color w:val="231F20"/>
          <w:spacing w:val="-12"/>
          <w:sz w:val="20"/>
        </w:rPr>
        <w:t xml:space="preserve"> </w:t>
      </w:r>
      <w:r>
        <w:rPr>
          <w:color w:val="231F20"/>
          <w:sz w:val="20"/>
        </w:rPr>
        <w:t>once</w:t>
      </w:r>
      <w:r>
        <w:rPr>
          <w:color w:val="231F20"/>
          <w:spacing w:val="-13"/>
          <w:sz w:val="20"/>
        </w:rPr>
        <w:t xml:space="preserve"> </w:t>
      </w:r>
      <w:r>
        <w:rPr>
          <w:color w:val="231F20"/>
          <w:sz w:val="20"/>
        </w:rPr>
        <w:t>a</w:t>
      </w:r>
      <w:r>
        <w:rPr>
          <w:color w:val="231F20"/>
          <w:spacing w:val="-12"/>
          <w:sz w:val="20"/>
        </w:rPr>
        <w:t xml:space="preserve"> </w:t>
      </w:r>
      <w:r>
        <w:rPr>
          <w:color w:val="231F20"/>
          <w:sz w:val="20"/>
        </w:rPr>
        <w:t>judicial</w:t>
      </w:r>
      <w:r>
        <w:rPr>
          <w:color w:val="231F20"/>
          <w:spacing w:val="-12"/>
          <w:sz w:val="20"/>
        </w:rPr>
        <w:t xml:space="preserve"> </w:t>
      </w:r>
      <w:r>
        <w:rPr>
          <w:color w:val="231F20"/>
          <w:sz w:val="20"/>
        </w:rPr>
        <w:t>officer</w:t>
      </w:r>
      <w:r>
        <w:rPr>
          <w:color w:val="231F20"/>
          <w:spacing w:val="-12"/>
          <w:sz w:val="20"/>
        </w:rPr>
        <w:t xml:space="preserve"> </w:t>
      </w:r>
      <w:r>
        <w:rPr>
          <w:color w:val="231F20"/>
          <w:sz w:val="20"/>
        </w:rPr>
        <w:t>determines</w:t>
      </w:r>
      <w:r>
        <w:rPr>
          <w:color w:val="231F20"/>
          <w:spacing w:val="-13"/>
          <w:sz w:val="20"/>
        </w:rPr>
        <w:t xml:space="preserve"> </w:t>
      </w:r>
      <w:r>
        <w:rPr>
          <w:color w:val="231F20"/>
          <w:sz w:val="20"/>
        </w:rPr>
        <w:t>that</w:t>
      </w:r>
      <w:r>
        <w:rPr>
          <w:color w:val="231F20"/>
          <w:spacing w:val="-12"/>
          <w:sz w:val="20"/>
        </w:rPr>
        <w:t xml:space="preserve"> </w:t>
      </w:r>
      <w:r>
        <w:rPr>
          <w:color w:val="231F20"/>
          <w:sz w:val="20"/>
        </w:rPr>
        <w:t>the</w:t>
      </w:r>
      <w:r>
        <w:rPr>
          <w:color w:val="231F20"/>
          <w:spacing w:val="-12"/>
          <w:sz w:val="20"/>
        </w:rPr>
        <w:t xml:space="preserve"> </w:t>
      </w:r>
      <w:r>
        <w:rPr>
          <w:color w:val="231F20"/>
          <w:spacing w:val="-3"/>
          <w:sz w:val="20"/>
        </w:rPr>
        <w:t>protected</w:t>
      </w:r>
      <w:r>
        <w:rPr>
          <w:color w:val="231F20"/>
          <w:spacing w:val="-13"/>
          <w:sz w:val="20"/>
        </w:rPr>
        <w:t xml:space="preserve"> </w:t>
      </w:r>
      <w:r>
        <w:rPr>
          <w:color w:val="231F20"/>
          <w:sz w:val="20"/>
        </w:rPr>
        <w:t>victim</w:t>
      </w:r>
      <w:r>
        <w:rPr>
          <w:color w:val="231F20"/>
          <w:spacing w:val="-12"/>
          <w:sz w:val="20"/>
        </w:rPr>
        <w:t xml:space="preserve"> </w:t>
      </w:r>
      <w:r>
        <w:rPr>
          <w:color w:val="231F20"/>
          <w:sz w:val="20"/>
        </w:rPr>
        <w:t>category applies,</w:t>
      </w:r>
      <w:r>
        <w:rPr>
          <w:color w:val="231F20"/>
          <w:spacing w:val="-8"/>
          <w:sz w:val="20"/>
        </w:rPr>
        <w:t xml:space="preserve"> </w:t>
      </w:r>
      <w:r>
        <w:rPr>
          <w:color w:val="231F20"/>
          <w:sz w:val="20"/>
        </w:rPr>
        <w:t>victim</w:t>
      </w:r>
      <w:r>
        <w:rPr>
          <w:color w:val="231F20"/>
          <w:spacing w:val="-8"/>
          <w:sz w:val="20"/>
        </w:rPr>
        <w:t xml:space="preserve"> </w:t>
      </w:r>
      <w:r>
        <w:rPr>
          <w:color w:val="231F20"/>
          <w:sz w:val="20"/>
        </w:rPr>
        <w:t>survivors</w:t>
      </w:r>
      <w:r>
        <w:rPr>
          <w:color w:val="231F20"/>
          <w:spacing w:val="-8"/>
          <w:sz w:val="20"/>
        </w:rPr>
        <w:t xml:space="preserve"> </w:t>
      </w:r>
      <w:r>
        <w:rPr>
          <w:color w:val="231F20"/>
          <w:sz w:val="20"/>
        </w:rPr>
        <w:t>of</w:t>
      </w:r>
      <w:r>
        <w:rPr>
          <w:color w:val="231F20"/>
          <w:spacing w:val="-7"/>
          <w:sz w:val="20"/>
        </w:rPr>
        <w:t xml:space="preserve"> </w:t>
      </w:r>
      <w:r>
        <w:rPr>
          <w:color w:val="231F20"/>
          <w:sz w:val="20"/>
        </w:rPr>
        <w:t>stalking</w:t>
      </w:r>
      <w:r>
        <w:rPr>
          <w:color w:val="231F20"/>
          <w:spacing w:val="-8"/>
          <w:sz w:val="20"/>
        </w:rPr>
        <w:t xml:space="preserve"> </w:t>
      </w:r>
      <w:r>
        <w:rPr>
          <w:color w:val="231F20"/>
          <w:spacing w:val="-3"/>
          <w:sz w:val="20"/>
        </w:rPr>
        <w:t>would</w:t>
      </w:r>
      <w:r>
        <w:rPr>
          <w:color w:val="231F20"/>
          <w:spacing w:val="-8"/>
          <w:sz w:val="20"/>
        </w:rPr>
        <w:t xml:space="preserve"> </w:t>
      </w:r>
      <w:r>
        <w:rPr>
          <w:color w:val="231F20"/>
          <w:sz w:val="20"/>
        </w:rPr>
        <w:t>benefit</w:t>
      </w:r>
      <w:r>
        <w:rPr>
          <w:color w:val="231F20"/>
          <w:spacing w:val="-8"/>
          <w:sz w:val="20"/>
        </w:rPr>
        <w:t xml:space="preserve"> </w:t>
      </w:r>
      <w:r>
        <w:rPr>
          <w:color w:val="231F20"/>
          <w:spacing w:val="-3"/>
          <w:sz w:val="20"/>
        </w:rPr>
        <w:t>from</w:t>
      </w:r>
      <w:r>
        <w:rPr>
          <w:color w:val="231F20"/>
          <w:spacing w:val="-7"/>
          <w:sz w:val="20"/>
        </w:rPr>
        <w:t xml:space="preserve"> </w:t>
      </w:r>
      <w:r>
        <w:rPr>
          <w:color w:val="231F20"/>
          <w:sz w:val="20"/>
        </w:rPr>
        <w:t>special</w:t>
      </w:r>
      <w:r>
        <w:rPr>
          <w:color w:val="231F20"/>
          <w:spacing w:val="-8"/>
          <w:sz w:val="20"/>
        </w:rPr>
        <w:t xml:space="preserve"> </w:t>
      </w:r>
      <w:r>
        <w:rPr>
          <w:color w:val="231F20"/>
          <w:sz w:val="20"/>
        </w:rPr>
        <w:t>protections,</w:t>
      </w:r>
      <w:r>
        <w:rPr>
          <w:color w:val="231F20"/>
          <w:spacing w:val="-8"/>
          <w:sz w:val="20"/>
        </w:rPr>
        <w:t xml:space="preserve"> </w:t>
      </w:r>
      <w:r>
        <w:rPr>
          <w:color w:val="231F20"/>
          <w:sz w:val="20"/>
        </w:rPr>
        <w:t>such</w:t>
      </w:r>
    </w:p>
    <w:p w14:paraId="377E74B8" w14:textId="77777777" w:rsidR="00894070" w:rsidRDefault="009B7AFD">
      <w:pPr>
        <w:pStyle w:val="BodyText"/>
        <w:spacing w:before="3" w:line="206" w:lineRule="auto"/>
        <w:ind w:left="1801" w:right="1582"/>
      </w:pPr>
      <w:r>
        <w:rPr>
          <w:color w:val="231F20"/>
        </w:rPr>
        <w:t xml:space="preserve">as </w:t>
      </w:r>
      <w:r>
        <w:rPr>
          <w:color w:val="231F20"/>
          <w:spacing w:val="-3"/>
        </w:rPr>
        <w:t xml:space="preserve">alternative </w:t>
      </w:r>
      <w:r>
        <w:rPr>
          <w:color w:val="231F20"/>
        </w:rPr>
        <w:t xml:space="preserve">arrangements. This </w:t>
      </w:r>
      <w:r>
        <w:rPr>
          <w:color w:val="231F20"/>
          <w:spacing w:val="-3"/>
        </w:rPr>
        <w:t xml:space="preserve">would </w:t>
      </w:r>
      <w:r>
        <w:rPr>
          <w:color w:val="231F20"/>
        </w:rPr>
        <w:t xml:space="preserve">fill </w:t>
      </w:r>
      <w:r>
        <w:rPr>
          <w:color w:val="231F20"/>
          <w:spacing w:val="-3"/>
        </w:rPr>
        <w:t xml:space="preserve">current </w:t>
      </w:r>
      <w:r>
        <w:rPr>
          <w:color w:val="231F20"/>
        </w:rPr>
        <w:t xml:space="preserve">gaps in access to these special </w:t>
      </w:r>
      <w:r>
        <w:rPr>
          <w:color w:val="231F20"/>
          <w:spacing w:val="-3"/>
        </w:rPr>
        <w:t xml:space="preserve">protections </w:t>
      </w:r>
      <w:r>
        <w:rPr>
          <w:color w:val="231F20"/>
        </w:rPr>
        <w:t xml:space="preserve">(see </w:t>
      </w:r>
      <w:r>
        <w:rPr>
          <w:color w:val="231F20"/>
          <w:spacing w:val="-3"/>
        </w:rPr>
        <w:t xml:space="preserve">box </w:t>
      </w:r>
      <w:r>
        <w:rPr>
          <w:color w:val="231F20"/>
          <w:spacing w:val="-4"/>
        </w:rPr>
        <w:t>above).</w:t>
      </w:r>
    </w:p>
    <w:p w14:paraId="0950896B" w14:textId="77777777" w:rsidR="00894070" w:rsidRDefault="009B7AFD">
      <w:pPr>
        <w:pStyle w:val="ListParagraph"/>
        <w:numPr>
          <w:ilvl w:val="0"/>
          <w:numId w:val="45"/>
        </w:numPr>
        <w:tabs>
          <w:tab w:val="left" w:pos="1801"/>
          <w:tab w:val="left" w:pos="1802"/>
        </w:tabs>
        <w:spacing w:before="122" w:line="206" w:lineRule="auto"/>
        <w:ind w:right="1454"/>
        <w:rPr>
          <w:sz w:val="20"/>
        </w:rPr>
      </w:pPr>
      <w:r>
        <w:rPr>
          <w:color w:val="231F20"/>
          <w:sz w:val="20"/>
        </w:rPr>
        <w:t xml:space="preserve">In line with our </w:t>
      </w:r>
      <w:r>
        <w:rPr>
          <w:color w:val="231F20"/>
          <w:spacing w:val="-3"/>
          <w:sz w:val="20"/>
        </w:rPr>
        <w:t xml:space="preserve">previous </w:t>
      </w:r>
      <w:r>
        <w:rPr>
          <w:color w:val="231F20"/>
          <w:sz w:val="20"/>
        </w:rPr>
        <w:t xml:space="preserve">recommendations, the court should order the use of </w:t>
      </w:r>
      <w:r>
        <w:rPr>
          <w:color w:val="231F20"/>
          <w:spacing w:val="-3"/>
          <w:sz w:val="20"/>
        </w:rPr>
        <w:t xml:space="preserve">alternative </w:t>
      </w:r>
      <w:r>
        <w:rPr>
          <w:color w:val="231F20"/>
          <w:sz w:val="20"/>
        </w:rPr>
        <w:t xml:space="preserve">arrangements </w:t>
      </w:r>
      <w:r>
        <w:rPr>
          <w:color w:val="231F20"/>
          <w:spacing w:val="-3"/>
          <w:sz w:val="20"/>
        </w:rPr>
        <w:t xml:space="preserve">for </w:t>
      </w:r>
      <w:r>
        <w:rPr>
          <w:color w:val="231F20"/>
          <w:sz w:val="20"/>
        </w:rPr>
        <w:t xml:space="preserve">victims who </w:t>
      </w:r>
      <w:r>
        <w:rPr>
          <w:color w:val="231F20"/>
          <w:spacing w:val="-3"/>
          <w:sz w:val="20"/>
        </w:rPr>
        <w:t xml:space="preserve">are children, </w:t>
      </w:r>
      <w:r>
        <w:rPr>
          <w:color w:val="231F20"/>
          <w:sz w:val="20"/>
        </w:rPr>
        <w:t xml:space="preserve">or who the court decides </w:t>
      </w:r>
      <w:r>
        <w:rPr>
          <w:color w:val="231F20"/>
          <w:spacing w:val="-3"/>
          <w:sz w:val="20"/>
        </w:rPr>
        <w:t>are protected</w:t>
      </w:r>
      <w:r>
        <w:rPr>
          <w:color w:val="231F20"/>
          <w:spacing w:val="-9"/>
          <w:sz w:val="20"/>
        </w:rPr>
        <w:t xml:space="preserve"> </w:t>
      </w:r>
      <w:r>
        <w:rPr>
          <w:color w:val="231F20"/>
          <w:sz w:val="20"/>
        </w:rPr>
        <w:t>victims,</w:t>
      </w:r>
      <w:r>
        <w:rPr>
          <w:color w:val="231F20"/>
          <w:spacing w:val="-9"/>
          <w:sz w:val="20"/>
        </w:rPr>
        <w:t xml:space="preserve"> </w:t>
      </w:r>
      <w:r>
        <w:rPr>
          <w:color w:val="231F20"/>
          <w:sz w:val="20"/>
        </w:rPr>
        <w:t>unless</w:t>
      </w:r>
      <w:r>
        <w:rPr>
          <w:color w:val="231F20"/>
          <w:spacing w:val="-8"/>
          <w:sz w:val="20"/>
        </w:rPr>
        <w:t xml:space="preserve"> </w:t>
      </w:r>
      <w:r>
        <w:rPr>
          <w:color w:val="231F20"/>
          <w:sz w:val="20"/>
        </w:rPr>
        <w:t>the</w:t>
      </w:r>
      <w:r>
        <w:rPr>
          <w:color w:val="231F20"/>
          <w:spacing w:val="-9"/>
          <w:sz w:val="20"/>
        </w:rPr>
        <w:t xml:space="preserve"> </w:t>
      </w:r>
      <w:r>
        <w:rPr>
          <w:color w:val="231F20"/>
          <w:sz w:val="20"/>
        </w:rPr>
        <w:t>court</w:t>
      </w:r>
      <w:r>
        <w:rPr>
          <w:color w:val="231F20"/>
          <w:spacing w:val="-9"/>
          <w:sz w:val="20"/>
        </w:rPr>
        <w:t xml:space="preserve"> </w:t>
      </w:r>
      <w:r>
        <w:rPr>
          <w:color w:val="231F20"/>
          <w:sz w:val="20"/>
        </w:rPr>
        <w:t>is</w:t>
      </w:r>
      <w:r>
        <w:rPr>
          <w:color w:val="231F20"/>
          <w:spacing w:val="-8"/>
          <w:sz w:val="20"/>
        </w:rPr>
        <w:t xml:space="preserve"> </w:t>
      </w:r>
      <w:r>
        <w:rPr>
          <w:color w:val="231F20"/>
          <w:sz w:val="20"/>
        </w:rPr>
        <w:t>satisfied</w:t>
      </w:r>
      <w:r>
        <w:rPr>
          <w:color w:val="231F20"/>
          <w:spacing w:val="-9"/>
          <w:sz w:val="20"/>
        </w:rPr>
        <w:t xml:space="preserve"> </w:t>
      </w:r>
      <w:r>
        <w:rPr>
          <w:color w:val="231F20"/>
          <w:sz w:val="20"/>
        </w:rPr>
        <w:t>that</w:t>
      </w:r>
      <w:r>
        <w:rPr>
          <w:color w:val="231F20"/>
          <w:spacing w:val="-9"/>
          <w:sz w:val="20"/>
        </w:rPr>
        <w:t xml:space="preserve"> </w:t>
      </w:r>
      <w:r>
        <w:rPr>
          <w:color w:val="231F20"/>
          <w:sz w:val="20"/>
        </w:rPr>
        <w:t>the</w:t>
      </w:r>
      <w:r>
        <w:rPr>
          <w:color w:val="231F20"/>
          <w:spacing w:val="-8"/>
          <w:sz w:val="20"/>
        </w:rPr>
        <w:t xml:space="preserve"> </w:t>
      </w:r>
      <w:r>
        <w:rPr>
          <w:color w:val="231F20"/>
          <w:sz w:val="20"/>
        </w:rPr>
        <w:t>victim</w:t>
      </w:r>
      <w:r>
        <w:rPr>
          <w:color w:val="231F20"/>
          <w:spacing w:val="-9"/>
          <w:sz w:val="20"/>
        </w:rPr>
        <w:t xml:space="preserve"> </w:t>
      </w:r>
      <w:r>
        <w:rPr>
          <w:color w:val="231F20"/>
          <w:sz w:val="20"/>
        </w:rPr>
        <w:t>is</w:t>
      </w:r>
      <w:r>
        <w:rPr>
          <w:color w:val="231F20"/>
          <w:spacing w:val="-8"/>
          <w:sz w:val="20"/>
        </w:rPr>
        <w:t xml:space="preserve"> </w:t>
      </w:r>
      <w:r>
        <w:rPr>
          <w:color w:val="231F20"/>
          <w:spacing w:val="-4"/>
          <w:sz w:val="20"/>
        </w:rPr>
        <w:t>aware</w:t>
      </w:r>
      <w:r>
        <w:rPr>
          <w:color w:val="231F20"/>
          <w:spacing w:val="-9"/>
          <w:sz w:val="20"/>
        </w:rPr>
        <w:t xml:space="preserve"> </w:t>
      </w:r>
      <w:r>
        <w:rPr>
          <w:color w:val="231F20"/>
          <w:sz w:val="20"/>
        </w:rPr>
        <w:t>of</w:t>
      </w:r>
      <w:r>
        <w:rPr>
          <w:color w:val="231F20"/>
          <w:spacing w:val="-9"/>
          <w:sz w:val="20"/>
        </w:rPr>
        <w:t xml:space="preserve"> </w:t>
      </w:r>
      <w:r>
        <w:rPr>
          <w:color w:val="231F20"/>
          <w:sz w:val="20"/>
        </w:rPr>
        <w:t>their</w:t>
      </w:r>
      <w:r>
        <w:rPr>
          <w:color w:val="231F20"/>
          <w:spacing w:val="-8"/>
          <w:sz w:val="20"/>
        </w:rPr>
        <w:t xml:space="preserve"> </w:t>
      </w:r>
      <w:r>
        <w:rPr>
          <w:color w:val="231F20"/>
          <w:sz w:val="20"/>
        </w:rPr>
        <w:t>right</w:t>
      </w:r>
      <w:r>
        <w:rPr>
          <w:color w:val="231F20"/>
          <w:spacing w:val="-9"/>
          <w:sz w:val="20"/>
        </w:rPr>
        <w:t xml:space="preserve"> </w:t>
      </w:r>
      <w:r>
        <w:rPr>
          <w:color w:val="231F20"/>
          <w:sz w:val="20"/>
        </w:rPr>
        <w:t>to use</w:t>
      </w:r>
      <w:r>
        <w:rPr>
          <w:color w:val="231F20"/>
          <w:spacing w:val="-7"/>
          <w:sz w:val="20"/>
        </w:rPr>
        <w:t xml:space="preserve"> </w:t>
      </w:r>
      <w:r>
        <w:rPr>
          <w:color w:val="231F20"/>
          <w:sz w:val="20"/>
        </w:rPr>
        <w:t>those</w:t>
      </w:r>
      <w:r>
        <w:rPr>
          <w:color w:val="231F20"/>
          <w:spacing w:val="-7"/>
          <w:sz w:val="20"/>
        </w:rPr>
        <w:t xml:space="preserve"> </w:t>
      </w:r>
      <w:r>
        <w:rPr>
          <w:color w:val="231F20"/>
          <w:sz w:val="20"/>
        </w:rPr>
        <w:t>arrangements</w:t>
      </w:r>
      <w:r>
        <w:rPr>
          <w:color w:val="231F20"/>
          <w:spacing w:val="-7"/>
          <w:sz w:val="20"/>
        </w:rPr>
        <w:t xml:space="preserve"> </w:t>
      </w:r>
      <w:r>
        <w:rPr>
          <w:color w:val="231F20"/>
          <w:sz w:val="20"/>
        </w:rPr>
        <w:t>and</w:t>
      </w:r>
      <w:r>
        <w:rPr>
          <w:color w:val="231F20"/>
          <w:spacing w:val="-7"/>
          <w:sz w:val="20"/>
        </w:rPr>
        <w:t xml:space="preserve"> </w:t>
      </w:r>
      <w:r>
        <w:rPr>
          <w:color w:val="231F20"/>
          <w:sz w:val="20"/>
        </w:rPr>
        <w:t>is</w:t>
      </w:r>
      <w:r>
        <w:rPr>
          <w:color w:val="231F20"/>
          <w:spacing w:val="-7"/>
          <w:sz w:val="20"/>
        </w:rPr>
        <w:t xml:space="preserve"> </w:t>
      </w:r>
      <w:r>
        <w:rPr>
          <w:color w:val="231F20"/>
          <w:sz w:val="20"/>
        </w:rPr>
        <w:t>able</w:t>
      </w:r>
      <w:r>
        <w:rPr>
          <w:color w:val="231F20"/>
          <w:spacing w:val="-7"/>
          <w:sz w:val="20"/>
        </w:rPr>
        <w:t xml:space="preserve"> </w:t>
      </w:r>
      <w:r>
        <w:rPr>
          <w:color w:val="231F20"/>
          <w:sz w:val="20"/>
        </w:rPr>
        <w:t>and</w:t>
      </w:r>
      <w:r>
        <w:rPr>
          <w:color w:val="231F20"/>
          <w:spacing w:val="-7"/>
          <w:sz w:val="20"/>
        </w:rPr>
        <w:t xml:space="preserve"> </w:t>
      </w:r>
      <w:r>
        <w:rPr>
          <w:color w:val="231F20"/>
          <w:sz w:val="20"/>
        </w:rPr>
        <w:t>wishes</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give</w:t>
      </w:r>
      <w:r>
        <w:rPr>
          <w:color w:val="231F20"/>
          <w:spacing w:val="-7"/>
          <w:sz w:val="20"/>
        </w:rPr>
        <w:t xml:space="preserve"> </w:t>
      </w:r>
      <w:r>
        <w:rPr>
          <w:color w:val="231F20"/>
          <w:sz w:val="20"/>
        </w:rPr>
        <w:t>evidence</w:t>
      </w:r>
      <w:r>
        <w:rPr>
          <w:color w:val="231F20"/>
          <w:spacing w:val="-7"/>
          <w:sz w:val="20"/>
        </w:rPr>
        <w:t xml:space="preserve"> </w:t>
      </w:r>
      <w:r>
        <w:rPr>
          <w:color w:val="231F20"/>
          <w:sz w:val="20"/>
        </w:rPr>
        <w:t>without</w:t>
      </w:r>
      <w:r>
        <w:rPr>
          <w:color w:val="231F20"/>
          <w:spacing w:val="-7"/>
          <w:sz w:val="20"/>
        </w:rPr>
        <w:t xml:space="preserve"> </w:t>
      </w:r>
      <w:r>
        <w:rPr>
          <w:color w:val="231F20"/>
          <w:sz w:val="20"/>
        </w:rPr>
        <w:t>them.</w:t>
      </w:r>
    </w:p>
    <w:p w14:paraId="71B487CA" w14:textId="77777777" w:rsidR="00894070" w:rsidRDefault="009B7AFD">
      <w:pPr>
        <w:pStyle w:val="ListParagraph"/>
        <w:numPr>
          <w:ilvl w:val="0"/>
          <w:numId w:val="45"/>
        </w:numPr>
        <w:tabs>
          <w:tab w:val="left" w:pos="1801"/>
          <w:tab w:val="left" w:pos="1802"/>
        </w:tabs>
        <w:spacing w:before="125" w:line="206" w:lineRule="auto"/>
        <w:ind w:right="1310"/>
        <w:rPr>
          <w:sz w:val="20"/>
        </w:rPr>
      </w:pPr>
      <w:r>
        <w:rPr>
          <w:color w:val="231F20"/>
          <w:spacing w:val="-6"/>
          <w:sz w:val="20"/>
        </w:rPr>
        <w:t>We</w:t>
      </w:r>
      <w:r>
        <w:rPr>
          <w:color w:val="231F20"/>
          <w:spacing w:val="-9"/>
          <w:sz w:val="20"/>
        </w:rPr>
        <w:t xml:space="preserve"> </w:t>
      </w:r>
      <w:r>
        <w:rPr>
          <w:color w:val="231F20"/>
          <w:spacing w:val="-4"/>
          <w:sz w:val="20"/>
        </w:rPr>
        <w:t>have</w:t>
      </w:r>
      <w:r>
        <w:rPr>
          <w:color w:val="231F20"/>
          <w:spacing w:val="-9"/>
          <w:sz w:val="20"/>
        </w:rPr>
        <w:t xml:space="preserve"> </w:t>
      </w:r>
      <w:r>
        <w:rPr>
          <w:color w:val="231F20"/>
          <w:sz w:val="20"/>
        </w:rPr>
        <w:t>acknowledged</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resource</w:t>
      </w:r>
      <w:r>
        <w:rPr>
          <w:color w:val="231F20"/>
          <w:spacing w:val="-8"/>
          <w:sz w:val="20"/>
        </w:rPr>
        <w:t xml:space="preserve"> </w:t>
      </w:r>
      <w:r>
        <w:rPr>
          <w:color w:val="231F20"/>
          <w:sz w:val="20"/>
        </w:rPr>
        <w:t>implications</w:t>
      </w:r>
      <w:r>
        <w:rPr>
          <w:color w:val="231F20"/>
          <w:spacing w:val="-9"/>
          <w:sz w:val="20"/>
        </w:rPr>
        <w:t xml:space="preserve"> </w:t>
      </w:r>
      <w:r>
        <w:rPr>
          <w:color w:val="231F20"/>
          <w:sz w:val="20"/>
        </w:rPr>
        <w:t>of</w:t>
      </w:r>
      <w:r>
        <w:rPr>
          <w:color w:val="231F20"/>
          <w:spacing w:val="-9"/>
          <w:sz w:val="20"/>
        </w:rPr>
        <w:t xml:space="preserve"> </w:t>
      </w:r>
      <w:r>
        <w:rPr>
          <w:color w:val="231F20"/>
          <w:sz w:val="20"/>
        </w:rPr>
        <w:t>extending</w:t>
      </w:r>
      <w:r>
        <w:rPr>
          <w:color w:val="231F20"/>
          <w:spacing w:val="-9"/>
          <w:sz w:val="20"/>
        </w:rPr>
        <w:t xml:space="preserve"> </w:t>
      </w:r>
      <w:r>
        <w:rPr>
          <w:color w:val="231F20"/>
          <w:sz w:val="20"/>
        </w:rPr>
        <w:t>all</w:t>
      </w:r>
      <w:r>
        <w:rPr>
          <w:color w:val="231F20"/>
          <w:spacing w:val="-8"/>
          <w:sz w:val="20"/>
        </w:rPr>
        <w:t xml:space="preserve"> </w:t>
      </w:r>
      <w:r>
        <w:rPr>
          <w:color w:val="231F20"/>
          <w:sz w:val="20"/>
        </w:rPr>
        <w:t>special</w:t>
      </w:r>
      <w:r>
        <w:rPr>
          <w:color w:val="231F20"/>
          <w:spacing w:val="-9"/>
          <w:sz w:val="20"/>
        </w:rPr>
        <w:t xml:space="preserve"> </w:t>
      </w:r>
      <w:r>
        <w:rPr>
          <w:color w:val="231F20"/>
          <w:spacing w:val="-3"/>
          <w:sz w:val="20"/>
        </w:rPr>
        <w:t xml:space="preserve">protections </w:t>
      </w:r>
      <w:r>
        <w:rPr>
          <w:color w:val="231F20"/>
          <w:sz w:val="20"/>
        </w:rPr>
        <w:t xml:space="preserve">to </w:t>
      </w:r>
      <w:r>
        <w:rPr>
          <w:color w:val="231F20"/>
          <w:spacing w:val="-3"/>
          <w:sz w:val="20"/>
        </w:rPr>
        <w:t xml:space="preserve">protected </w:t>
      </w:r>
      <w:r>
        <w:rPr>
          <w:color w:val="231F20"/>
          <w:sz w:val="20"/>
        </w:rPr>
        <w:t xml:space="preserve">victims in our </w:t>
      </w:r>
      <w:r>
        <w:rPr>
          <w:color w:val="231F20"/>
          <w:spacing w:val="-3"/>
          <w:sz w:val="20"/>
        </w:rPr>
        <w:t xml:space="preserve">previous </w:t>
      </w:r>
      <w:r>
        <w:rPr>
          <w:color w:val="231F20"/>
          <w:sz w:val="20"/>
        </w:rPr>
        <w:t>reports.</w:t>
      </w:r>
      <w:r>
        <w:rPr>
          <w:color w:val="231F20"/>
          <w:position w:val="7"/>
          <w:sz w:val="11"/>
        </w:rPr>
        <w:t xml:space="preserve">171 </w:t>
      </w:r>
      <w:r>
        <w:rPr>
          <w:color w:val="231F20"/>
          <w:spacing w:val="-6"/>
          <w:sz w:val="20"/>
        </w:rPr>
        <w:t xml:space="preserve">We </w:t>
      </w:r>
      <w:r>
        <w:rPr>
          <w:color w:val="231F20"/>
          <w:sz w:val="20"/>
        </w:rPr>
        <w:t xml:space="preserve">suggest limiting the special </w:t>
      </w:r>
      <w:r>
        <w:rPr>
          <w:color w:val="231F20"/>
          <w:spacing w:val="-3"/>
          <w:sz w:val="20"/>
        </w:rPr>
        <w:t xml:space="preserve">protections </w:t>
      </w:r>
      <w:r>
        <w:rPr>
          <w:color w:val="231F20"/>
          <w:sz w:val="20"/>
        </w:rPr>
        <w:t xml:space="preserve">to the use of </w:t>
      </w:r>
      <w:r>
        <w:rPr>
          <w:color w:val="231F20"/>
          <w:spacing w:val="-3"/>
          <w:sz w:val="20"/>
        </w:rPr>
        <w:t xml:space="preserve">alternative </w:t>
      </w:r>
      <w:r>
        <w:rPr>
          <w:color w:val="231F20"/>
          <w:sz w:val="20"/>
        </w:rPr>
        <w:t xml:space="preserve">arrangements at first. In this </w:t>
      </w:r>
      <w:r>
        <w:rPr>
          <w:color w:val="231F20"/>
          <w:spacing w:val="-3"/>
          <w:sz w:val="20"/>
        </w:rPr>
        <w:t xml:space="preserve">inquiry, </w:t>
      </w:r>
      <w:r>
        <w:rPr>
          <w:color w:val="231F20"/>
          <w:sz w:val="20"/>
        </w:rPr>
        <w:t xml:space="preserve">that was the </w:t>
      </w:r>
      <w:r>
        <w:rPr>
          <w:color w:val="231F20"/>
          <w:spacing w:val="-3"/>
          <w:sz w:val="20"/>
        </w:rPr>
        <w:t xml:space="preserve">protection </w:t>
      </w:r>
      <w:r>
        <w:rPr>
          <w:color w:val="231F20"/>
          <w:sz w:val="20"/>
        </w:rPr>
        <w:t xml:space="preserve">that </w:t>
      </w:r>
      <w:r>
        <w:rPr>
          <w:color w:val="231F20"/>
          <w:spacing w:val="-3"/>
          <w:sz w:val="20"/>
        </w:rPr>
        <w:t xml:space="preserve">we </w:t>
      </w:r>
      <w:r>
        <w:rPr>
          <w:color w:val="231F20"/>
          <w:sz w:val="20"/>
        </w:rPr>
        <w:t>heard was most</w:t>
      </w:r>
      <w:r>
        <w:rPr>
          <w:color w:val="231F20"/>
          <w:spacing w:val="-20"/>
          <w:sz w:val="20"/>
        </w:rPr>
        <w:t xml:space="preserve"> </w:t>
      </w:r>
      <w:r>
        <w:rPr>
          <w:color w:val="231F20"/>
          <w:sz w:val="20"/>
        </w:rPr>
        <w:t>needed.</w:t>
      </w:r>
    </w:p>
    <w:p w14:paraId="35CA39E2" w14:textId="77777777" w:rsidR="00894070" w:rsidRDefault="009B7AFD">
      <w:pPr>
        <w:pStyle w:val="ListParagraph"/>
        <w:numPr>
          <w:ilvl w:val="0"/>
          <w:numId w:val="45"/>
        </w:numPr>
        <w:tabs>
          <w:tab w:val="left" w:pos="1802"/>
        </w:tabs>
        <w:spacing w:before="125" w:line="206" w:lineRule="auto"/>
        <w:ind w:right="1402"/>
        <w:jc w:val="both"/>
        <w:rPr>
          <w:sz w:val="11"/>
        </w:rPr>
      </w:pPr>
      <w:r>
        <w:rPr>
          <w:color w:val="231F20"/>
          <w:spacing w:val="-6"/>
          <w:sz w:val="20"/>
        </w:rPr>
        <w:t xml:space="preserve">We </w:t>
      </w:r>
      <w:r>
        <w:rPr>
          <w:color w:val="231F20"/>
          <w:spacing w:val="-4"/>
          <w:sz w:val="20"/>
        </w:rPr>
        <w:t>have</w:t>
      </w:r>
      <w:r>
        <w:rPr>
          <w:color w:val="231F20"/>
          <w:spacing w:val="-6"/>
          <w:sz w:val="20"/>
        </w:rPr>
        <w:t xml:space="preserve"> </w:t>
      </w:r>
      <w:r>
        <w:rPr>
          <w:color w:val="231F20"/>
          <w:sz w:val="20"/>
        </w:rPr>
        <w:t>also</w:t>
      </w:r>
      <w:r>
        <w:rPr>
          <w:color w:val="231F20"/>
          <w:spacing w:val="-6"/>
          <w:sz w:val="20"/>
        </w:rPr>
        <w:t xml:space="preserve"> </w:t>
      </w:r>
      <w:r>
        <w:rPr>
          <w:color w:val="231F20"/>
          <w:sz w:val="20"/>
        </w:rPr>
        <w:t>noted</w:t>
      </w:r>
      <w:r>
        <w:rPr>
          <w:color w:val="231F20"/>
          <w:spacing w:val="-5"/>
          <w:sz w:val="20"/>
        </w:rPr>
        <w:t xml:space="preserve"> </w:t>
      </w:r>
      <w:r>
        <w:rPr>
          <w:color w:val="231F20"/>
          <w:spacing w:val="-3"/>
          <w:sz w:val="20"/>
        </w:rPr>
        <w:t>potential</w:t>
      </w:r>
      <w:r>
        <w:rPr>
          <w:color w:val="231F20"/>
          <w:spacing w:val="-6"/>
          <w:sz w:val="20"/>
        </w:rPr>
        <w:t xml:space="preserve"> </w:t>
      </w:r>
      <w:r>
        <w:rPr>
          <w:color w:val="231F20"/>
          <w:sz w:val="20"/>
        </w:rPr>
        <w:t>issues</w:t>
      </w:r>
      <w:r>
        <w:rPr>
          <w:color w:val="231F20"/>
          <w:spacing w:val="-6"/>
          <w:sz w:val="20"/>
        </w:rPr>
        <w:t xml:space="preserve"> </w:t>
      </w:r>
      <w:r>
        <w:rPr>
          <w:color w:val="231F20"/>
          <w:sz w:val="20"/>
        </w:rPr>
        <w:t>with</w:t>
      </w:r>
      <w:r>
        <w:rPr>
          <w:color w:val="231F20"/>
          <w:spacing w:val="-5"/>
          <w:sz w:val="20"/>
        </w:rPr>
        <w:t xml:space="preserve"> </w:t>
      </w:r>
      <w:r>
        <w:rPr>
          <w:color w:val="231F20"/>
          <w:sz w:val="20"/>
        </w:rPr>
        <w:t>the</w:t>
      </w:r>
      <w:r>
        <w:rPr>
          <w:color w:val="231F20"/>
          <w:spacing w:val="-6"/>
          <w:sz w:val="20"/>
        </w:rPr>
        <w:t xml:space="preserve"> </w:t>
      </w:r>
      <w:r>
        <w:rPr>
          <w:color w:val="231F20"/>
          <w:sz w:val="20"/>
        </w:rPr>
        <w:t>quality</w:t>
      </w:r>
      <w:r>
        <w:rPr>
          <w:color w:val="231F20"/>
          <w:spacing w:val="-6"/>
          <w:sz w:val="20"/>
        </w:rPr>
        <w:t xml:space="preserve"> </w:t>
      </w:r>
      <w:r>
        <w:rPr>
          <w:color w:val="231F20"/>
          <w:sz w:val="20"/>
        </w:rPr>
        <w:t>of</w:t>
      </w:r>
      <w:r>
        <w:rPr>
          <w:color w:val="231F20"/>
          <w:spacing w:val="-5"/>
          <w:sz w:val="20"/>
        </w:rPr>
        <w:t xml:space="preserve"> </w:t>
      </w:r>
      <w:r>
        <w:rPr>
          <w:color w:val="231F20"/>
          <w:spacing w:val="-4"/>
          <w:sz w:val="20"/>
        </w:rPr>
        <w:t>VAREs</w:t>
      </w:r>
      <w:r>
        <w:rPr>
          <w:color w:val="231F20"/>
          <w:spacing w:val="-6"/>
          <w:sz w:val="20"/>
        </w:rPr>
        <w:t xml:space="preserve"> </w:t>
      </w:r>
      <w:r>
        <w:rPr>
          <w:color w:val="231F20"/>
          <w:sz w:val="20"/>
        </w:rPr>
        <w:t>in</w:t>
      </w:r>
      <w:r>
        <w:rPr>
          <w:color w:val="231F20"/>
          <w:spacing w:val="-6"/>
          <w:sz w:val="20"/>
        </w:rPr>
        <w:t xml:space="preserve"> </w:t>
      </w:r>
      <w:r>
        <w:rPr>
          <w:color w:val="231F20"/>
          <w:sz w:val="20"/>
        </w:rPr>
        <w:t>our</w:t>
      </w:r>
      <w:r>
        <w:rPr>
          <w:color w:val="231F20"/>
          <w:spacing w:val="-5"/>
          <w:sz w:val="20"/>
        </w:rPr>
        <w:t xml:space="preserve"> </w:t>
      </w:r>
      <w:r>
        <w:rPr>
          <w:color w:val="231F20"/>
          <w:sz w:val="20"/>
        </w:rPr>
        <w:t>report</w:t>
      </w:r>
      <w:r>
        <w:rPr>
          <w:color w:val="231F20"/>
          <w:spacing w:val="-6"/>
          <w:sz w:val="20"/>
        </w:rPr>
        <w:t xml:space="preserve"> </w:t>
      </w:r>
      <w:r>
        <w:rPr>
          <w:i/>
          <w:color w:val="231F20"/>
          <w:spacing w:val="-3"/>
          <w:sz w:val="20"/>
        </w:rPr>
        <w:t xml:space="preserve">Improving </w:t>
      </w:r>
      <w:r>
        <w:rPr>
          <w:i/>
          <w:color w:val="231F20"/>
          <w:sz w:val="20"/>
        </w:rPr>
        <w:t>the</w:t>
      </w:r>
      <w:r>
        <w:rPr>
          <w:i/>
          <w:color w:val="231F20"/>
          <w:spacing w:val="-10"/>
          <w:sz w:val="20"/>
        </w:rPr>
        <w:t xml:space="preserve"> </w:t>
      </w:r>
      <w:r>
        <w:rPr>
          <w:i/>
          <w:color w:val="231F20"/>
          <w:sz w:val="20"/>
        </w:rPr>
        <w:t>Justice</w:t>
      </w:r>
      <w:r>
        <w:rPr>
          <w:i/>
          <w:color w:val="231F20"/>
          <w:spacing w:val="-10"/>
          <w:sz w:val="20"/>
        </w:rPr>
        <w:t xml:space="preserve"> </w:t>
      </w:r>
      <w:r>
        <w:rPr>
          <w:i/>
          <w:color w:val="231F20"/>
          <w:spacing w:val="-3"/>
          <w:sz w:val="20"/>
        </w:rPr>
        <w:t>System</w:t>
      </w:r>
      <w:r>
        <w:rPr>
          <w:i/>
          <w:color w:val="231F20"/>
          <w:spacing w:val="-9"/>
          <w:sz w:val="20"/>
        </w:rPr>
        <w:t xml:space="preserve"> </w:t>
      </w:r>
      <w:r>
        <w:rPr>
          <w:i/>
          <w:color w:val="231F20"/>
          <w:sz w:val="20"/>
        </w:rPr>
        <w:t>Response</w:t>
      </w:r>
      <w:r>
        <w:rPr>
          <w:i/>
          <w:color w:val="231F20"/>
          <w:spacing w:val="-10"/>
          <w:sz w:val="20"/>
        </w:rPr>
        <w:t xml:space="preserve"> </w:t>
      </w:r>
      <w:r>
        <w:rPr>
          <w:i/>
          <w:color w:val="231F20"/>
          <w:spacing w:val="-3"/>
          <w:sz w:val="20"/>
        </w:rPr>
        <w:t>to</w:t>
      </w:r>
      <w:r>
        <w:rPr>
          <w:i/>
          <w:color w:val="231F20"/>
          <w:spacing w:val="-10"/>
          <w:sz w:val="20"/>
        </w:rPr>
        <w:t xml:space="preserve"> </w:t>
      </w:r>
      <w:r>
        <w:rPr>
          <w:i/>
          <w:color w:val="231F20"/>
          <w:sz w:val="20"/>
        </w:rPr>
        <w:t>Sexual</w:t>
      </w:r>
      <w:r>
        <w:rPr>
          <w:i/>
          <w:color w:val="231F20"/>
          <w:spacing w:val="-9"/>
          <w:sz w:val="20"/>
        </w:rPr>
        <w:t xml:space="preserve"> </w:t>
      </w:r>
      <w:r>
        <w:rPr>
          <w:i/>
          <w:color w:val="231F20"/>
          <w:sz w:val="20"/>
        </w:rPr>
        <w:t>Offences</w:t>
      </w:r>
      <w:r>
        <w:rPr>
          <w:i/>
          <w:color w:val="231F20"/>
          <w:spacing w:val="-9"/>
          <w:sz w:val="20"/>
        </w:rPr>
        <w:t xml:space="preserve"> </w:t>
      </w:r>
      <w:r>
        <w:rPr>
          <w:color w:val="231F20"/>
          <w:sz w:val="20"/>
        </w:rPr>
        <w:t>(2021)</w:t>
      </w:r>
      <w:r>
        <w:rPr>
          <w:color w:val="231F20"/>
          <w:spacing w:val="-10"/>
          <w:sz w:val="20"/>
        </w:rPr>
        <w:t xml:space="preserve"> </w:t>
      </w:r>
      <w:r>
        <w:rPr>
          <w:color w:val="231F20"/>
          <w:sz w:val="20"/>
        </w:rPr>
        <w:t>and</w:t>
      </w:r>
      <w:r>
        <w:rPr>
          <w:color w:val="231F20"/>
          <w:spacing w:val="-9"/>
          <w:sz w:val="20"/>
        </w:rPr>
        <w:t xml:space="preserve"> </w:t>
      </w:r>
      <w:r>
        <w:rPr>
          <w:color w:val="231F20"/>
          <w:sz w:val="20"/>
        </w:rPr>
        <w:t>the</w:t>
      </w:r>
      <w:r>
        <w:rPr>
          <w:color w:val="231F20"/>
          <w:spacing w:val="-10"/>
          <w:sz w:val="20"/>
        </w:rPr>
        <w:t xml:space="preserve"> </w:t>
      </w:r>
      <w:r>
        <w:rPr>
          <w:color w:val="231F20"/>
          <w:sz w:val="20"/>
        </w:rPr>
        <w:t>value</w:t>
      </w:r>
      <w:r>
        <w:rPr>
          <w:color w:val="231F20"/>
          <w:spacing w:val="-10"/>
          <w:sz w:val="20"/>
        </w:rPr>
        <w:t xml:space="preserve"> </w:t>
      </w:r>
      <w:r>
        <w:rPr>
          <w:color w:val="231F20"/>
          <w:sz w:val="20"/>
        </w:rPr>
        <w:t>of</w:t>
      </w:r>
      <w:r>
        <w:rPr>
          <w:color w:val="231F20"/>
          <w:spacing w:val="-10"/>
          <w:sz w:val="20"/>
        </w:rPr>
        <w:t xml:space="preserve"> </w:t>
      </w:r>
      <w:r>
        <w:rPr>
          <w:color w:val="231F20"/>
          <w:spacing w:val="-3"/>
          <w:sz w:val="20"/>
        </w:rPr>
        <w:t xml:space="preserve">‘pre-recording’ </w:t>
      </w:r>
      <w:proofErr w:type="gramStart"/>
      <w:r>
        <w:rPr>
          <w:color w:val="231F20"/>
          <w:sz w:val="20"/>
        </w:rPr>
        <w:t>all</w:t>
      </w:r>
      <w:r>
        <w:rPr>
          <w:color w:val="231F20"/>
          <w:spacing w:val="-9"/>
          <w:sz w:val="20"/>
        </w:rPr>
        <w:t xml:space="preserve"> </w:t>
      </w:r>
      <w:r>
        <w:rPr>
          <w:color w:val="231F20"/>
          <w:sz w:val="20"/>
        </w:rPr>
        <w:t>of</w:t>
      </w:r>
      <w:proofErr w:type="gramEnd"/>
      <w:r>
        <w:rPr>
          <w:color w:val="231F20"/>
          <w:spacing w:val="-9"/>
          <w:sz w:val="20"/>
        </w:rPr>
        <w:t xml:space="preserve"> </w:t>
      </w:r>
      <w:r>
        <w:rPr>
          <w:color w:val="231F20"/>
          <w:sz w:val="20"/>
        </w:rPr>
        <w:t>the</w:t>
      </w:r>
      <w:r>
        <w:rPr>
          <w:color w:val="231F20"/>
          <w:spacing w:val="-9"/>
          <w:sz w:val="20"/>
        </w:rPr>
        <w:t xml:space="preserve"> </w:t>
      </w:r>
      <w:r>
        <w:rPr>
          <w:color w:val="231F20"/>
          <w:sz w:val="20"/>
        </w:rPr>
        <w:t>complainant’s</w:t>
      </w:r>
      <w:r>
        <w:rPr>
          <w:color w:val="231F20"/>
          <w:spacing w:val="-9"/>
          <w:sz w:val="20"/>
        </w:rPr>
        <w:t xml:space="preserve"> </w:t>
      </w:r>
      <w:r>
        <w:rPr>
          <w:color w:val="231F20"/>
          <w:sz w:val="20"/>
        </w:rPr>
        <w:t>evidence</w:t>
      </w:r>
      <w:r>
        <w:rPr>
          <w:color w:val="231F20"/>
          <w:spacing w:val="-9"/>
          <w:sz w:val="20"/>
        </w:rPr>
        <w:t xml:space="preserve"> </w:t>
      </w:r>
      <w:r>
        <w:rPr>
          <w:color w:val="231F20"/>
          <w:sz w:val="20"/>
        </w:rPr>
        <w:t>(instead</w:t>
      </w:r>
      <w:r>
        <w:rPr>
          <w:color w:val="231F20"/>
          <w:spacing w:val="-9"/>
          <w:sz w:val="20"/>
        </w:rPr>
        <w:t xml:space="preserve"> </w:t>
      </w:r>
      <w:r>
        <w:rPr>
          <w:color w:val="231F20"/>
          <w:sz w:val="20"/>
        </w:rPr>
        <w:t>of</w:t>
      </w:r>
      <w:r>
        <w:rPr>
          <w:color w:val="231F20"/>
          <w:spacing w:val="-9"/>
          <w:sz w:val="20"/>
        </w:rPr>
        <w:t xml:space="preserve"> </w:t>
      </w:r>
      <w:r>
        <w:rPr>
          <w:color w:val="231F20"/>
          <w:sz w:val="20"/>
        </w:rPr>
        <w:t>using</w:t>
      </w:r>
      <w:r>
        <w:rPr>
          <w:color w:val="231F20"/>
          <w:spacing w:val="-9"/>
          <w:sz w:val="20"/>
        </w:rPr>
        <w:t xml:space="preserve"> </w:t>
      </w:r>
      <w:r>
        <w:rPr>
          <w:color w:val="231F20"/>
          <w:spacing w:val="-4"/>
          <w:sz w:val="20"/>
        </w:rPr>
        <w:t>VAREs</w:t>
      </w:r>
      <w:r>
        <w:rPr>
          <w:color w:val="231F20"/>
          <w:spacing w:val="-8"/>
          <w:sz w:val="20"/>
        </w:rPr>
        <w:t xml:space="preserve"> </w:t>
      </w:r>
      <w:r>
        <w:rPr>
          <w:color w:val="231F20"/>
          <w:sz w:val="20"/>
        </w:rPr>
        <w:t>and</w:t>
      </w:r>
      <w:r>
        <w:rPr>
          <w:color w:val="231F20"/>
          <w:spacing w:val="-9"/>
          <w:sz w:val="20"/>
        </w:rPr>
        <w:t xml:space="preserve"> </w:t>
      </w:r>
      <w:r>
        <w:rPr>
          <w:color w:val="231F20"/>
          <w:sz w:val="20"/>
        </w:rPr>
        <w:t>special</w:t>
      </w:r>
      <w:r>
        <w:rPr>
          <w:color w:val="231F20"/>
          <w:spacing w:val="-9"/>
          <w:sz w:val="20"/>
        </w:rPr>
        <w:t xml:space="preserve"> </w:t>
      </w:r>
      <w:r>
        <w:rPr>
          <w:color w:val="231F20"/>
          <w:sz w:val="20"/>
        </w:rPr>
        <w:t>hearings).</w:t>
      </w:r>
      <w:r>
        <w:rPr>
          <w:color w:val="231F20"/>
          <w:position w:val="7"/>
          <w:sz w:val="11"/>
        </w:rPr>
        <w:t>172</w:t>
      </w:r>
    </w:p>
    <w:p w14:paraId="2A1B635A" w14:textId="77777777" w:rsidR="00894070" w:rsidRDefault="009B7AFD">
      <w:pPr>
        <w:pStyle w:val="ListParagraph"/>
        <w:numPr>
          <w:ilvl w:val="0"/>
          <w:numId w:val="45"/>
        </w:numPr>
        <w:tabs>
          <w:tab w:val="left" w:pos="1801"/>
          <w:tab w:val="left" w:pos="1802"/>
        </w:tabs>
        <w:spacing w:before="124" w:line="206" w:lineRule="auto"/>
        <w:ind w:right="1185"/>
        <w:rPr>
          <w:sz w:val="20"/>
        </w:rPr>
      </w:pPr>
      <w:r>
        <w:rPr>
          <w:color w:val="231F20"/>
          <w:sz w:val="20"/>
        </w:rPr>
        <w:t>In</w:t>
      </w:r>
      <w:r>
        <w:rPr>
          <w:color w:val="231F20"/>
          <w:spacing w:val="-11"/>
          <w:sz w:val="20"/>
        </w:rPr>
        <w:t xml:space="preserve"> </w:t>
      </w:r>
      <w:r>
        <w:rPr>
          <w:color w:val="231F20"/>
          <w:sz w:val="20"/>
        </w:rPr>
        <w:t>that</w:t>
      </w:r>
      <w:r>
        <w:rPr>
          <w:color w:val="231F20"/>
          <w:spacing w:val="-10"/>
          <w:sz w:val="20"/>
        </w:rPr>
        <w:t xml:space="preserve"> </w:t>
      </w:r>
      <w:r>
        <w:rPr>
          <w:color w:val="231F20"/>
          <w:sz w:val="20"/>
        </w:rPr>
        <w:t>report</w:t>
      </w:r>
      <w:r>
        <w:rPr>
          <w:color w:val="231F20"/>
          <w:spacing w:val="-10"/>
          <w:sz w:val="20"/>
        </w:rPr>
        <w:t xml:space="preserve"> </w:t>
      </w:r>
      <w:r>
        <w:rPr>
          <w:color w:val="231F20"/>
          <w:spacing w:val="-3"/>
          <w:sz w:val="20"/>
        </w:rPr>
        <w:t>we</w:t>
      </w:r>
      <w:r>
        <w:rPr>
          <w:color w:val="231F20"/>
          <w:spacing w:val="-10"/>
          <w:sz w:val="20"/>
        </w:rPr>
        <w:t xml:space="preserve"> </w:t>
      </w:r>
      <w:r>
        <w:rPr>
          <w:color w:val="231F20"/>
          <w:sz w:val="20"/>
        </w:rPr>
        <w:t>recommended</w:t>
      </w:r>
      <w:r>
        <w:rPr>
          <w:color w:val="231F20"/>
          <w:spacing w:val="-11"/>
          <w:sz w:val="20"/>
        </w:rPr>
        <w:t xml:space="preserve"> </w:t>
      </w:r>
      <w:r>
        <w:rPr>
          <w:color w:val="231F20"/>
          <w:sz w:val="20"/>
        </w:rPr>
        <w:t>a</w:t>
      </w:r>
      <w:r>
        <w:rPr>
          <w:color w:val="231F20"/>
          <w:spacing w:val="-10"/>
          <w:sz w:val="20"/>
        </w:rPr>
        <w:t xml:space="preserve"> </w:t>
      </w:r>
      <w:r>
        <w:rPr>
          <w:color w:val="231F20"/>
          <w:spacing w:val="-3"/>
          <w:sz w:val="20"/>
        </w:rPr>
        <w:t>procedure</w:t>
      </w:r>
      <w:r>
        <w:rPr>
          <w:color w:val="231F20"/>
          <w:spacing w:val="-10"/>
          <w:sz w:val="20"/>
        </w:rPr>
        <w:t xml:space="preserve"> </w:t>
      </w:r>
      <w:r>
        <w:rPr>
          <w:color w:val="231F20"/>
          <w:sz w:val="20"/>
        </w:rPr>
        <w:t>to</w:t>
      </w:r>
      <w:r>
        <w:rPr>
          <w:color w:val="231F20"/>
          <w:spacing w:val="-10"/>
          <w:sz w:val="20"/>
        </w:rPr>
        <w:t xml:space="preserve"> </w:t>
      </w:r>
      <w:r>
        <w:rPr>
          <w:color w:val="231F20"/>
          <w:spacing w:val="-3"/>
          <w:sz w:val="20"/>
        </w:rPr>
        <w:t>allow</w:t>
      </w:r>
      <w:r>
        <w:rPr>
          <w:color w:val="231F20"/>
          <w:spacing w:val="-10"/>
          <w:sz w:val="20"/>
        </w:rPr>
        <w:t xml:space="preserve"> </w:t>
      </w:r>
      <w:r>
        <w:rPr>
          <w:color w:val="231F20"/>
          <w:sz w:val="20"/>
        </w:rPr>
        <w:t>victim</w:t>
      </w:r>
      <w:r>
        <w:rPr>
          <w:color w:val="231F20"/>
          <w:spacing w:val="-11"/>
          <w:sz w:val="20"/>
        </w:rPr>
        <w:t xml:space="preserve"> </w:t>
      </w:r>
      <w:r>
        <w:rPr>
          <w:color w:val="231F20"/>
          <w:sz w:val="20"/>
        </w:rPr>
        <w:t>survivors</w:t>
      </w:r>
      <w:r>
        <w:rPr>
          <w:color w:val="231F20"/>
          <w:spacing w:val="-10"/>
          <w:sz w:val="20"/>
        </w:rPr>
        <w:t xml:space="preserve"> </w:t>
      </w:r>
      <w:r>
        <w:rPr>
          <w:color w:val="231F20"/>
          <w:sz w:val="20"/>
        </w:rPr>
        <w:t>in</w:t>
      </w:r>
      <w:r>
        <w:rPr>
          <w:color w:val="231F20"/>
          <w:spacing w:val="-10"/>
          <w:sz w:val="20"/>
        </w:rPr>
        <w:t xml:space="preserve"> </w:t>
      </w:r>
      <w:r>
        <w:rPr>
          <w:color w:val="231F20"/>
          <w:sz w:val="20"/>
        </w:rPr>
        <w:t>sexual</w:t>
      </w:r>
      <w:r>
        <w:rPr>
          <w:color w:val="231F20"/>
          <w:spacing w:val="-10"/>
          <w:sz w:val="20"/>
        </w:rPr>
        <w:t xml:space="preserve"> </w:t>
      </w:r>
      <w:r>
        <w:rPr>
          <w:color w:val="231F20"/>
          <w:sz w:val="20"/>
        </w:rPr>
        <w:t xml:space="preserve">offence trials to </w:t>
      </w:r>
      <w:r>
        <w:rPr>
          <w:color w:val="231F20"/>
          <w:spacing w:val="-3"/>
          <w:sz w:val="20"/>
        </w:rPr>
        <w:t xml:space="preserve">give </w:t>
      </w:r>
      <w:r>
        <w:rPr>
          <w:color w:val="231F20"/>
          <w:sz w:val="20"/>
        </w:rPr>
        <w:t xml:space="preserve">their evidence in the </w:t>
      </w:r>
      <w:r>
        <w:rPr>
          <w:color w:val="231F20"/>
          <w:spacing w:val="-3"/>
          <w:sz w:val="20"/>
        </w:rPr>
        <w:t xml:space="preserve">form </w:t>
      </w:r>
      <w:r>
        <w:rPr>
          <w:color w:val="231F20"/>
          <w:sz w:val="20"/>
        </w:rPr>
        <w:t xml:space="preserve">of a pre-recording. </w:t>
      </w:r>
      <w:r>
        <w:rPr>
          <w:color w:val="231F20"/>
          <w:spacing w:val="-6"/>
          <w:sz w:val="20"/>
        </w:rPr>
        <w:t xml:space="preserve">We </w:t>
      </w:r>
      <w:r>
        <w:rPr>
          <w:color w:val="231F20"/>
          <w:sz w:val="20"/>
        </w:rPr>
        <w:t xml:space="preserve">suggested that the </w:t>
      </w:r>
      <w:r>
        <w:rPr>
          <w:color w:val="231F20"/>
          <w:spacing w:val="-3"/>
          <w:sz w:val="20"/>
        </w:rPr>
        <w:t xml:space="preserve">procedure </w:t>
      </w:r>
      <w:r>
        <w:rPr>
          <w:color w:val="231F20"/>
          <w:sz w:val="20"/>
        </w:rPr>
        <w:t xml:space="preserve">should </w:t>
      </w:r>
      <w:r>
        <w:rPr>
          <w:color w:val="231F20"/>
          <w:spacing w:val="-3"/>
          <w:sz w:val="20"/>
        </w:rPr>
        <w:t xml:space="preserve">apply </w:t>
      </w:r>
      <w:r>
        <w:rPr>
          <w:color w:val="231F20"/>
          <w:sz w:val="20"/>
        </w:rPr>
        <w:t xml:space="preserve">and operate in similar </w:t>
      </w:r>
      <w:r>
        <w:rPr>
          <w:color w:val="231F20"/>
          <w:spacing w:val="-4"/>
          <w:sz w:val="20"/>
        </w:rPr>
        <w:t xml:space="preserve">ways </w:t>
      </w:r>
      <w:r>
        <w:rPr>
          <w:color w:val="231F20"/>
          <w:sz w:val="20"/>
        </w:rPr>
        <w:t xml:space="preserve">to other </w:t>
      </w:r>
      <w:r>
        <w:rPr>
          <w:color w:val="231F20"/>
          <w:spacing w:val="-3"/>
          <w:sz w:val="20"/>
        </w:rPr>
        <w:t xml:space="preserve">alternative </w:t>
      </w:r>
      <w:r>
        <w:rPr>
          <w:color w:val="231F20"/>
          <w:sz w:val="20"/>
        </w:rPr>
        <w:t>arrangements. A</w:t>
      </w:r>
      <w:r>
        <w:rPr>
          <w:color w:val="231F20"/>
          <w:spacing w:val="-11"/>
          <w:sz w:val="20"/>
        </w:rPr>
        <w:t xml:space="preserve"> </w:t>
      </w:r>
      <w:r>
        <w:rPr>
          <w:color w:val="231F20"/>
          <w:sz w:val="20"/>
        </w:rPr>
        <w:t>similar</w:t>
      </w:r>
      <w:r>
        <w:rPr>
          <w:color w:val="231F20"/>
          <w:spacing w:val="-11"/>
          <w:sz w:val="20"/>
        </w:rPr>
        <w:t xml:space="preserve"> </w:t>
      </w:r>
      <w:r>
        <w:rPr>
          <w:color w:val="231F20"/>
          <w:sz w:val="20"/>
        </w:rPr>
        <w:t>approach</w:t>
      </w:r>
      <w:r>
        <w:rPr>
          <w:color w:val="231F20"/>
          <w:spacing w:val="-10"/>
          <w:sz w:val="20"/>
        </w:rPr>
        <w:t xml:space="preserve"> </w:t>
      </w:r>
      <w:r>
        <w:rPr>
          <w:color w:val="231F20"/>
          <w:sz w:val="20"/>
        </w:rPr>
        <w:t>should</w:t>
      </w:r>
      <w:r>
        <w:rPr>
          <w:color w:val="231F20"/>
          <w:spacing w:val="-11"/>
          <w:sz w:val="20"/>
        </w:rPr>
        <w:t xml:space="preserve"> </w:t>
      </w:r>
      <w:r>
        <w:rPr>
          <w:color w:val="231F20"/>
          <w:sz w:val="20"/>
        </w:rPr>
        <w:t>be</w:t>
      </w:r>
      <w:r>
        <w:rPr>
          <w:color w:val="231F20"/>
          <w:spacing w:val="-10"/>
          <w:sz w:val="20"/>
        </w:rPr>
        <w:t xml:space="preserve"> </w:t>
      </w:r>
      <w:r>
        <w:rPr>
          <w:color w:val="231F20"/>
          <w:sz w:val="20"/>
        </w:rPr>
        <w:t>adopted</w:t>
      </w:r>
      <w:r>
        <w:rPr>
          <w:color w:val="231F20"/>
          <w:spacing w:val="-11"/>
          <w:sz w:val="20"/>
        </w:rPr>
        <w:t xml:space="preserve"> </w:t>
      </w:r>
      <w:r>
        <w:rPr>
          <w:color w:val="231F20"/>
          <w:spacing w:val="-3"/>
          <w:sz w:val="20"/>
        </w:rPr>
        <w:t>for</w:t>
      </w:r>
      <w:r>
        <w:rPr>
          <w:color w:val="231F20"/>
          <w:spacing w:val="-10"/>
          <w:sz w:val="20"/>
        </w:rPr>
        <w:t xml:space="preserve"> </w:t>
      </w:r>
      <w:r>
        <w:rPr>
          <w:color w:val="231F20"/>
          <w:sz w:val="20"/>
        </w:rPr>
        <w:t>victim</w:t>
      </w:r>
      <w:r>
        <w:rPr>
          <w:color w:val="231F20"/>
          <w:spacing w:val="-11"/>
          <w:sz w:val="20"/>
        </w:rPr>
        <w:t xml:space="preserve"> </w:t>
      </w:r>
      <w:r>
        <w:rPr>
          <w:color w:val="231F20"/>
          <w:sz w:val="20"/>
        </w:rPr>
        <w:t>survivors</w:t>
      </w:r>
      <w:r>
        <w:rPr>
          <w:color w:val="231F20"/>
          <w:spacing w:val="-10"/>
          <w:sz w:val="20"/>
        </w:rPr>
        <w:t xml:space="preserve"> </w:t>
      </w:r>
      <w:r>
        <w:rPr>
          <w:color w:val="231F20"/>
          <w:sz w:val="20"/>
        </w:rPr>
        <w:t>in</w:t>
      </w:r>
      <w:r>
        <w:rPr>
          <w:color w:val="231F20"/>
          <w:spacing w:val="-11"/>
          <w:sz w:val="20"/>
        </w:rPr>
        <w:t xml:space="preserve"> </w:t>
      </w:r>
      <w:r>
        <w:rPr>
          <w:color w:val="231F20"/>
          <w:sz w:val="20"/>
        </w:rPr>
        <w:t>stalking</w:t>
      </w:r>
      <w:r>
        <w:rPr>
          <w:color w:val="231F20"/>
          <w:spacing w:val="-11"/>
          <w:sz w:val="20"/>
        </w:rPr>
        <w:t xml:space="preserve"> </w:t>
      </w:r>
      <w:r>
        <w:rPr>
          <w:color w:val="231F20"/>
          <w:sz w:val="20"/>
        </w:rPr>
        <w:t>matters.</w:t>
      </w:r>
      <w:r>
        <w:rPr>
          <w:color w:val="231F20"/>
          <w:spacing w:val="-10"/>
          <w:sz w:val="20"/>
        </w:rPr>
        <w:t xml:space="preserve"> </w:t>
      </w:r>
      <w:r>
        <w:rPr>
          <w:color w:val="231F20"/>
          <w:sz w:val="20"/>
        </w:rPr>
        <w:t>The</w:t>
      </w:r>
      <w:r>
        <w:rPr>
          <w:color w:val="231F20"/>
          <w:spacing w:val="-11"/>
          <w:sz w:val="20"/>
        </w:rPr>
        <w:t xml:space="preserve"> </w:t>
      </w:r>
      <w:r>
        <w:rPr>
          <w:color w:val="231F20"/>
          <w:sz w:val="20"/>
        </w:rPr>
        <w:t xml:space="preserve">court should order </w:t>
      </w:r>
      <w:r>
        <w:rPr>
          <w:color w:val="231F20"/>
          <w:spacing w:val="-2"/>
          <w:sz w:val="20"/>
        </w:rPr>
        <w:t xml:space="preserve">pre-recording </w:t>
      </w:r>
      <w:r>
        <w:rPr>
          <w:color w:val="231F20"/>
          <w:sz w:val="20"/>
        </w:rPr>
        <w:t>of evidence and its use in trial if the victim survivor wishes. The</w:t>
      </w:r>
      <w:r>
        <w:rPr>
          <w:color w:val="231F20"/>
          <w:spacing w:val="-5"/>
          <w:sz w:val="20"/>
        </w:rPr>
        <w:t xml:space="preserve"> </w:t>
      </w:r>
      <w:r>
        <w:rPr>
          <w:color w:val="231F20"/>
          <w:spacing w:val="-3"/>
          <w:sz w:val="20"/>
        </w:rPr>
        <w:t>recording</w:t>
      </w:r>
      <w:r>
        <w:rPr>
          <w:color w:val="231F20"/>
          <w:spacing w:val="-5"/>
          <w:sz w:val="20"/>
        </w:rPr>
        <w:t xml:space="preserve"> </w:t>
      </w:r>
      <w:r>
        <w:rPr>
          <w:color w:val="231F20"/>
          <w:sz w:val="20"/>
        </w:rPr>
        <w:t>should</w:t>
      </w:r>
      <w:r>
        <w:rPr>
          <w:color w:val="231F20"/>
          <w:spacing w:val="-5"/>
          <w:sz w:val="20"/>
        </w:rPr>
        <w:t xml:space="preserve"> </w:t>
      </w:r>
      <w:r>
        <w:rPr>
          <w:color w:val="231F20"/>
          <w:sz w:val="20"/>
        </w:rPr>
        <w:t>be</w:t>
      </w:r>
      <w:r>
        <w:rPr>
          <w:color w:val="231F20"/>
          <w:spacing w:val="-5"/>
          <w:sz w:val="20"/>
        </w:rPr>
        <w:t xml:space="preserve"> </w:t>
      </w:r>
      <w:r>
        <w:rPr>
          <w:color w:val="231F20"/>
          <w:sz w:val="20"/>
        </w:rPr>
        <w:t>made</w:t>
      </w:r>
      <w:r>
        <w:rPr>
          <w:color w:val="231F20"/>
          <w:spacing w:val="-5"/>
          <w:sz w:val="20"/>
        </w:rPr>
        <w:t xml:space="preserve"> </w:t>
      </w:r>
      <w:r>
        <w:rPr>
          <w:color w:val="231F20"/>
          <w:sz w:val="20"/>
        </w:rPr>
        <w:t>available</w:t>
      </w:r>
      <w:r>
        <w:rPr>
          <w:color w:val="231F20"/>
          <w:spacing w:val="-5"/>
          <w:sz w:val="20"/>
        </w:rPr>
        <w:t xml:space="preserve"> </w:t>
      </w:r>
      <w:r>
        <w:rPr>
          <w:color w:val="231F20"/>
          <w:spacing w:val="-3"/>
          <w:sz w:val="20"/>
        </w:rPr>
        <w:t>for</w:t>
      </w:r>
      <w:r>
        <w:rPr>
          <w:color w:val="231F20"/>
          <w:spacing w:val="-4"/>
          <w:sz w:val="20"/>
        </w:rPr>
        <w:t xml:space="preserve"> </w:t>
      </w:r>
      <w:r>
        <w:rPr>
          <w:color w:val="231F20"/>
          <w:sz w:val="20"/>
        </w:rPr>
        <w:t>appeals</w:t>
      </w:r>
      <w:r>
        <w:rPr>
          <w:color w:val="231F20"/>
          <w:spacing w:val="-5"/>
          <w:sz w:val="20"/>
        </w:rPr>
        <w:t xml:space="preserve"> </w:t>
      </w:r>
      <w:r>
        <w:rPr>
          <w:color w:val="231F20"/>
          <w:sz w:val="20"/>
        </w:rPr>
        <w:t>and</w:t>
      </w:r>
      <w:r>
        <w:rPr>
          <w:color w:val="231F20"/>
          <w:spacing w:val="-5"/>
          <w:sz w:val="20"/>
        </w:rPr>
        <w:t xml:space="preserve"> </w:t>
      </w:r>
      <w:r>
        <w:rPr>
          <w:color w:val="231F20"/>
          <w:spacing w:val="-3"/>
          <w:sz w:val="20"/>
        </w:rPr>
        <w:t>any</w:t>
      </w:r>
      <w:r>
        <w:rPr>
          <w:color w:val="231F20"/>
          <w:spacing w:val="-5"/>
          <w:sz w:val="20"/>
        </w:rPr>
        <w:t xml:space="preserve"> </w:t>
      </w:r>
      <w:r>
        <w:rPr>
          <w:color w:val="231F20"/>
          <w:sz w:val="20"/>
        </w:rPr>
        <w:t>retrials.</w:t>
      </w:r>
    </w:p>
    <w:p w14:paraId="77BF3BC6" w14:textId="77777777" w:rsidR="00894070" w:rsidRDefault="009B7AFD">
      <w:pPr>
        <w:pStyle w:val="ListParagraph"/>
        <w:numPr>
          <w:ilvl w:val="0"/>
          <w:numId w:val="45"/>
        </w:numPr>
        <w:tabs>
          <w:tab w:val="left" w:pos="1801"/>
          <w:tab w:val="left" w:pos="1802"/>
        </w:tabs>
        <w:spacing w:before="96" w:line="259" w:lineRule="exact"/>
        <w:rPr>
          <w:sz w:val="20"/>
        </w:rPr>
      </w:pPr>
      <w:r>
        <w:rPr>
          <w:color w:val="231F20"/>
          <w:sz w:val="20"/>
        </w:rPr>
        <w:t>It</w:t>
      </w:r>
      <w:r>
        <w:rPr>
          <w:color w:val="231F20"/>
          <w:spacing w:val="-6"/>
          <w:sz w:val="20"/>
        </w:rPr>
        <w:t xml:space="preserve"> </w:t>
      </w:r>
      <w:r>
        <w:rPr>
          <w:color w:val="231F20"/>
          <w:sz w:val="20"/>
        </w:rPr>
        <w:t>is</w:t>
      </w:r>
      <w:r>
        <w:rPr>
          <w:color w:val="231F20"/>
          <w:spacing w:val="-5"/>
          <w:sz w:val="20"/>
        </w:rPr>
        <w:t xml:space="preserve"> </w:t>
      </w:r>
      <w:r>
        <w:rPr>
          <w:color w:val="231F20"/>
          <w:spacing w:val="-3"/>
          <w:sz w:val="20"/>
        </w:rPr>
        <w:t>likely</w:t>
      </w:r>
      <w:r>
        <w:rPr>
          <w:color w:val="231F20"/>
          <w:spacing w:val="-5"/>
          <w:sz w:val="20"/>
        </w:rPr>
        <w:t xml:space="preserve"> </w:t>
      </w:r>
      <w:r>
        <w:rPr>
          <w:color w:val="231F20"/>
          <w:sz w:val="20"/>
        </w:rPr>
        <w:t>that</w:t>
      </w:r>
      <w:r>
        <w:rPr>
          <w:color w:val="231F20"/>
          <w:spacing w:val="-5"/>
          <w:sz w:val="20"/>
        </w:rPr>
        <w:t xml:space="preserve"> </w:t>
      </w:r>
      <w:r>
        <w:rPr>
          <w:color w:val="231F20"/>
          <w:sz w:val="20"/>
        </w:rPr>
        <w:t>such</w:t>
      </w:r>
      <w:r>
        <w:rPr>
          <w:color w:val="231F20"/>
          <w:spacing w:val="-6"/>
          <w:sz w:val="20"/>
        </w:rPr>
        <w:t xml:space="preserve"> </w:t>
      </w:r>
      <w:r>
        <w:rPr>
          <w:color w:val="231F20"/>
          <w:sz w:val="20"/>
        </w:rPr>
        <w:t>an</w:t>
      </w:r>
      <w:r>
        <w:rPr>
          <w:color w:val="231F20"/>
          <w:spacing w:val="-5"/>
          <w:sz w:val="20"/>
        </w:rPr>
        <w:t xml:space="preserve"> </w:t>
      </w:r>
      <w:r>
        <w:rPr>
          <w:color w:val="231F20"/>
          <w:sz w:val="20"/>
        </w:rPr>
        <w:t>arrangement</w:t>
      </w:r>
      <w:r>
        <w:rPr>
          <w:color w:val="231F20"/>
          <w:spacing w:val="-5"/>
          <w:sz w:val="20"/>
        </w:rPr>
        <w:t xml:space="preserve"> </w:t>
      </w:r>
      <w:r>
        <w:rPr>
          <w:color w:val="231F20"/>
          <w:sz w:val="20"/>
        </w:rPr>
        <w:t>will</w:t>
      </w:r>
      <w:r>
        <w:rPr>
          <w:color w:val="231F20"/>
          <w:spacing w:val="-5"/>
          <w:sz w:val="20"/>
        </w:rPr>
        <w:t xml:space="preserve"> </w:t>
      </w:r>
      <w:r>
        <w:rPr>
          <w:color w:val="231F20"/>
          <w:sz w:val="20"/>
        </w:rPr>
        <w:t>be</w:t>
      </w:r>
      <w:r>
        <w:rPr>
          <w:color w:val="231F20"/>
          <w:spacing w:val="-6"/>
          <w:sz w:val="20"/>
        </w:rPr>
        <w:t xml:space="preserve"> </w:t>
      </w:r>
      <w:r>
        <w:rPr>
          <w:color w:val="231F20"/>
          <w:sz w:val="20"/>
        </w:rPr>
        <w:t>easier</w:t>
      </w:r>
      <w:r>
        <w:rPr>
          <w:color w:val="231F20"/>
          <w:spacing w:val="-5"/>
          <w:sz w:val="20"/>
        </w:rPr>
        <w:t xml:space="preserve"> </w:t>
      </w:r>
      <w:r>
        <w:rPr>
          <w:color w:val="231F20"/>
          <w:sz w:val="20"/>
        </w:rPr>
        <w:t>to</w:t>
      </w:r>
      <w:r>
        <w:rPr>
          <w:color w:val="231F20"/>
          <w:spacing w:val="-5"/>
          <w:sz w:val="20"/>
        </w:rPr>
        <w:t xml:space="preserve"> </w:t>
      </w:r>
      <w:r>
        <w:rPr>
          <w:color w:val="231F20"/>
          <w:sz w:val="20"/>
        </w:rPr>
        <w:t>make</w:t>
      </w:r>
      <w:r>
        <w:rPr>
          <w:color w:val="231F20"/>
          <w:spacing w:val="-5"/>
          <w:sz w:val="20"/>
        </w:rPr>
        <w:t xml:space="preserve"> </w:t>
      </w:r>
      <w:r>
        <w:rPr>
          <w:color w:val="231F20"/>
          <w:spacing w:val="-3"/>
          <w:sz w:val="20"/>
        </w:rPr>
        <w:t>now</w:t>
      </w:r>
      <w:r>
        <w:rPr>
          <w:color w:val="231F20"/>
          <w:spacing w:val="-6"/>
          <w:sz w:val="20"/>
        </w:rPr>
        <w:t xml:space="preserve"> </w:t>
      </w:r>
      <w:r>
        <w:rPr>
          <w:color w:val="231F20"/>
          <w:sz w:val="20"/>
        </w:rPr>
        <w:t>than</w:t>
      </w:r>
      <w:r>
        <w:rPr>
          <w:color w:val="231F20"/>
          <w:spacing w:val="-5"/>
          <w:sz w:val="20"/>
        </w:rPr>
        <w:t xml:space="preserve"> </w:t>
      </w:r>
      <w:r>
        <w:rPr>
          <w:color w:val="231F20"/>
          <w:sz w:val="20"/>
        </w:rPr>
        <w:t>it</w:t>
      </w:r>
      <w:r>
        <w:rPr>
          <w:color w:val="231F20"/>
          <w:spacing w:val="-5"/>
          <w:sz w:val="20"/>
        </w:rPr>
        <w:t xml:space="preserve"> </w:t>
      </w:r>
      <w:r>
        <w:rPr>
          <w:color w:val="231F20"/>
          <w:sz w:val="20"/>
        </w:rPr>
        <w:t>used</w:t>
      </w:r>
      <w:r>
        <w:rPr>
          <w:color w:val="231F20"/>
          <w:spacing w:val="-5"/>
          <w:sz w:val="20"/>
        </w:rPr>
        <w:t xml:space="preserve"> </w:t>
      </w:r>
      <w:r>
        <w:rPr>
          <w:color w:val="231F20"/>
          <w:sz w:val="20"/>
        </w:rPr>
        <w:t>to</w:t>
      </w:r>
      <w:r>
        <w:rPr>
          <w:color w:val="231F20"/>
          <w:spacing w:val="-5"/>
          <w:sz w:val="20"/>
        </w:rPr>
        <w:t xml:space="preserve"> </w:t>
      </w:r>
      <w:r>
        <w:rPr>
          <w:color w:val="231F20"/>
          <w:sz w:val="20"/>
        </w:rPr>
        <w:t>be.</w:t>
      </w:r>
    </w:p>
    <w:p w14:paraId="7E651117" w14:textId="77777777" w:rsidR="00894070" w:rsidRDefault="009B7AFD">
      <w:pPr>
        <w:pStyle w:val="BodyText"/>
        <w:spacing w:before="13" w:line="206" w:lineRule="auto"/>
        <w:ind w:left="1801" w:right="1162"/>
      </w:pPr>
      <w:r>
        <w:rPr>
          <w:color w:val="231F20"/>
        </w:rPr>
        <w:t xml:space="preserve">In </w:t>
      </w:r>
      <w:r>
        <w:rPr>
          <w:color w:val="231F20"/>
          <w:spacing w:val="-3"/>
        </w:rPr>
        <w:t xml:space="preserve">recent </w:t>
      </w:r>
      <w:r>
        <w:rPr>
          <w:color w:val="231F20"/>
        </w:rPr>
        <w:t xml:space="preserve">times there has been more flexibility in courtrooms </w:t>
      </w:r>
      <w:proofErr w:type="gramStart"/>
      <w:r>
        <w:rPr>
          <w:color w:val="231F20"/>
          <w:spacing w:val="-3"/>
        </w:rPr>
        <w:t xml:space="preserve">through </w:t>
      </w:r>
      <w:r>
        <w:rPr>
          <w:color w:val="231F20"/>
        </w:rPr>
        <w:t>the use of</w:t>
      </w:r>
      <w:proofErr w:type="gramEnd"/>
      <w:r>
        <w:rPr>
          <w:color w:val="231F20"/>
        </w:rPr>
        <w:t xml:space="preserve"> technology </w:t>
      </w:r>
      <w:r>
        <w:rPr>
          <w:color w:val="231F20"/>
          <w:spacing w:val="-4"/>
        </w:rPr>
        <w:t xml:space="preserve">(for </w:t>
      </w:r>
      <w:r>
        <w:rPr>
          <w:color w:val="231F20"/>
          <w:spacing w:val="-3"/>
        </w:rPr>
        <w:t xml:space="preserve">example, </w:t>
      </w:r>
      <w:r>
        <w:rPr>
          <w:color w:val="231F20"/>
        </w:rPr>
        <w:t xml:space="preserve">due to </w:t>
      </w:r>
      <w:r>
        <w:rPr>
          <w:color w:val="231F20"/>
          <w:spacing w:val="-3"/>
        </w:rPr>
        <w:t xml:space="preserve">coronavirus </w:t>
      </w:r>
      <w:r>
        <w:rPr>
          <w:color w:val="231F20"/>
          <w:spacing w:val="-4"/>
        </w:rPr>
        <w:t xml:space="preserve">(COVID-19)). </w:t>
      </w:r>
      <w:r>
        <w:rPr>
          <w:color w:val="231F20"/>
        </w:rPr>
        <w:t xml:space="preserve">This flexibility should be used to </w:t>
      </w:r>
      <w:r>
        <w:rPr>
          <w:color w:val="231F20"/>
          <w:spacing w:val="-3"/>
        </w:rPr>
        <w:t xml:space="preserve">protect </w:t>
      </w:r>
      <w:r>
        <w:rPr>
          <w:color w:val="231F20"/>
        </w:rPr>
        <w:t>victim survivors in stalking matters.</w:t>
      </w:r>
    </w:p>
    <w:p w14:paraId="064D8A6F" w14:textId="77777777" w:rsidR="00894070" w:rsidRDefault="009B7AFD">
      <w:pPr>
        <w:pStyle w:val="ListParagraph"/>
        <w:numPr>
          <w:ilvl w:val="0"/>
          <w:numId w:val="45"/>
        </w:numPr>
        <w:tabs>
          <w:tab w:val="left" w:pos="1801"/>
          <w:tab w:val="left" w:pos="1802"/>
        </w:tabs>
        <w:spacing w:before="124" w:line="206" w:lineRule="auto"/>
        <w:ind w:right="1638"/>
        <w:rPr>
          <w:sz w:val="11"/>
        </w:rPr>
      </w:pPr>
      <w:r>
        <w:rPr>
          <w:color w:val="231F20"/>
          <w:sz w:val="20"/>
        </w:rPr>
        <w:t xml:space="preserve">As </w:t>
      </w:r>
      <w:r>
        <w:rPr>
          <w:color w:val="231F20"/>
          <w:spacing w:val="-3"/>
          <w:sz w:val="20"/>
        </w:rPr>
        <w:t xml:space="preserve">we </w:t>
      </w:r>
      <w:r>
        <w:rPr>
          <w:color w:val="231F20"/>
          <w:sz w:val="20"/>
        </w:rPr>
        <w:t xml:space="preserve">stated in our report on sexual offences, the process should be </w:t>
      </w:r>
      <w:r>
        <w:rPr>
          <w:color w:val="231F20"/>
          <w:spacing w:val="-3"/>
          <w:sz w:val="20"/>
        </w:rPr>
        <w:t xml:space="preserve">developed </w:t>
      </w:r>
      <w:r>
        <w:rPr>
          <w:color w:val="231F20"/>
          <w:sz w:val="20"/>
        </w:rPr>
        <w:t>to</w:t>
      </w:r>
      <w:r>
        <w:rPr>
          <w:color w:val="231F20"/>
          <w:spacing w:val="-10"/>
          <w:sz w:val="20"/>
        </w:rPr>
        <w:t xml:space="preserve"> </w:t>
      </w:r>
      <w:r>
        <w:rPr>
          <w:color w:val="231F20"/>
          <w:sz w:val="20"/>
        </w:rPr>
        <w:t>ensure</w:t>
      </w:r>
      <w:r>
        <w:rPr>
          <w:color w:val="231F20"/>
          <w:spacing w:val="-9"/>
          <w:sz w:val="20"/>
        </w:rPr>
        <w:t xml:space="preserve"> </w:t>
      </w:r>
      <w:r>
        <w:rPr>
          <w:color w:val="231F20"/>
          <w:sz w:val="20"/>
        </w:rPr>
        <w:t>continuity</w:t>
      </w:r>
      <w:r>
        <w:rPr>
          <w:color w:val="231F20"/>
          <w:spacing w:val="-10"/>
          <w:sz w:val="20"/>
        </w:rPr>
        <w:t xml:space="preserve"> </w:t>
      </w:r>
      <w:r>
        <w:rPr>
          <w:color w:val="231F20"/>
          <w:sz w:val="20"/>
        </w:rPr>
        <w:t>of</w:t>
      </w:r>
      <w:r>
        <w:rPr>
          <w:color w:val="231F20"/>
          <w:spacing w:val="-9"/>
          <w:sz w:val="20"/>
        </w:rPr>
        <w:t xml:space="preserve"> </w:t>
      </w:r>
      <w:r>
        <w:rPr>
          <w:color w:val="231F20"/>
          <w:sz w:val="20"/>
        </w:rPr>
        <w:t>counsel</w:t>
      </w:r>
      <w:r>
        <w:rPr>
          <w:color w:val="231F20"/>
          <w:spacing w:val="-10"/>
          <w:sz w:val="20"/>
        </w:rPr>
        <w:t xml:space="preserve"> </w:t>
      </w:r>
      <w:r>
        <w:rPr>
          <w:color w:val="231F20"/>
          <w:sz w:val="20"/>
        </w:rPr>
        <w:t>and</w:t>
      </w:r>
      <w:r>
        <w:rPr>
          <w:color w:val="231F20"/>
          <w:spacing w:val="-9"/>
          <w:sz w:val="20"/>
        </w:rPr>
        <w:t xml:space="preserve"> </w:t>
      </w:r>
      <w:r>
        <w:rPr>
          <w:color w:val="231F20"/>
          <w:sz w:val="20"/>
        </w:rPr>
        <w:t>judge</w:t>
      </w:r>
      <w:r>
        <w:rPr>
          <w:color w:val="231F20"/>
          <w:spacing w:val="-10"/>
          <w:sz w:val="20"/>
        </w:rPr>
        <w:t xml:space="preserve"> </w:t>
      </w:r>
      <w:r>
        <w:rPr>
          <w:color w:val="231F20"/>
          <w:sz w:val="20"/>
        </w:rPr>
        <w:t>or</w:t>
      </w:r>
      <w:r>
        <w:rPr>
          <w:color w:val="231F20"/>
          <w:spacing w:val="-9"/>
          <w:sz w:val="20"/>
        </w:rPr>
        <w:t xml:space="preserve"> </w:t>
      </w:r>
      <w:r>
        <w:rPr>
          <w:color w:val="231F20"/>
          <w:sz w:val="20"/>
        </w:rPr>
        <w:t>magistrate</w:t>
      </w:r>
      <w:r>
        <w:rPr>
          <w:color w:val="231F20"/>
          <w:spacing w:val="-10"/>
          <w:sz w:val="20"/>
        </w:rPr>
        <w:t xml:space="preserve"> </w:t>
      </w:r>
      <w:r>
        <w:rPr>
          <w:color w:val="231F20"/>
          <w:spacing w:val="-3"/>
          <w:sz w:val="20"/>
        </w:rPr>
        <w:t>through</w:t>
      </w:r>
      <w:r>
        <w:rPr>
          <w:color w:val="231F20"/>
          <w:spacing w:val="-9"/>
          <w:sz w:val="20"/>
        </w:rPr>
        <w:t xml:space="preserve"> </w:t>
      </w:r>
      <w:r>
        <w:rPr>
          <w:color w:val="231F20"/>
          <w:sz w:val="20"/>
        </w:rPr>
        <w:t>the</w:t>
      </w:r>
      <w:r>
        <w:rPr>
          <w:color w:val="231F20"/>
          <w:spacing w:val="-10"/>
          <w:sz w:val="20"/>
        </w:rPr>
        <w:t xml:space="preserve"> </w:t>
      </w:r>
      <w:r>
        <w:rPr>
          <w:color w:val="231F20"/>
          <w:spacing w:val="-2"/>
          <w:sz w:val="20"/>
        </w:rPr>
        <w:t xml:space="preserve">pre-recorded </w:t>
      </w:r>
      <w:r>
        <w:rPr>
          <w:color w:val="231F20"/>
          <w:sz w:val="20"/>
        </w:rPr>
        <w:t xml:space="preserve">evidence </w:t>
      </w:r>
      <w:r>
        <w:rPr>
          <w:color w:val="231F20"/>
          <w:spacing w:val="-3"/>
          <w:sz w:val="20"/>
        </w:rPr>
        <w:t xml:space="preserve">procedure </w:t>
      </w:r>
      <w:r>
        <w:rPr>
          <w:color w:val="231F20"/>
          <w:sz w:val="20"/>
        </w:rPr>
        <w:t xml:space="preserve">and trial. </w:t>
      </w:r>
      <w:r>
        <w:rPr>
          <w:color w:val="231F20"/>
          <w:spacing w:val="-3"/>
          <w:sz w:val="20"/>
        </w:rPr>
        <w:t xml:space="preserve">Strong </w:t>
      </w:r>
      <w:r>
        <w:rPr>
          <w:color w:val="231F20"/>
          <w:sz w:val="20"/>
        </w:rPr>
        <w:t xml:space="preserve">case management should ensure matters </w:t>
      </w:r>
      <w:r>
        <w:rPr>
          <w:color w:val="231F20"/>
          <w:spacing w:val="-3"/>
          <w:sz w:val="20"/>
        </w:rPr>
        <w:t>are</w:t>
      </w:r>
      <w:r>
        <w:rPr>
          <w:color w:val="231F20"/>
          <w:spacing w:val="-7"/>
          <w:sz w:val="20"/>
        </w:rPr>
        <w:t xml:space="preserve"> </w:t>
      </w:r>
      <w:r>
        <w:rPr>
          <w:color w:val="231F20"/>
          <w:spacing w:val="-3"/>
          <w:sz w:val="20"/>
        </w:rPr>
        <w:t>resolved</w:t>
      </w:r>
      <w:r>
        <w:rPr>
          <w:color w:val="231F20"/>
          <w:spacing w:val="-6"/>
          <w:sz w:val="20"/>
        </w:rPr>
        <w:t xml:space="preserve"> </w:t>
      </w:r>
      <w:r>
        <w:rPr>
          <w:color w:val="231F20"/>
          <w:sz w:val="20"/>
        </w:rPr>
        <w:t>as</w:t>
      </w:r>
      <w:r>
        <w:rPr>
          <w:color w:val="231F20"/>
          <w:spacing w:val="-6"/>
          <w:sz w:val="20"/>
        </w:rPr>
        <w:t xml:space="preserve"> </w:t>
      </w:r>
      <w:r>
        <w:rPr>
          <w:color w:val="231F20"/>
          <w:sz w:val="20"/>
        </w:rPr>
        <w:t>much</w:t>
      </w:r>
      <w:r>
        <w:rPr>
          <w:color w:val="231F20"/>
          <w:spacing w:val="-6"/>
          <w:sz w:val="20"/>
        </w:rPr>
        <w:t xml:space="preserve"> </w:t>
      </w:r>
      <w:r>
        <w:rPr>
          <w:color w:val="231F20"/>
          <w:sz w:val="20"/>
        </w:rPr>
        <w:t>as</w:t>
      </w:r>
      <w:r>
        <w:rPr>
          <w:color w:val="231F20"/>
          <w:spacing w:val="-6"/>
          <w:sz w:val="20"/>
        </w:rPr>
        <w:t xml:space="preserve"> </w:t>
      </w:r>
      <w:r>
        <w:rPr>
          <w:color w:val="231F20"/>
          <w:sz w:val="20"/>
        </w:rPr>
        <w:t>possible</w:t>
      </w:r>
      <w:r>
        <w:rPr>
          <w:color w:val="231F20"/>
          <w:spacing w:val="-6"/>
          <w:sz w:val="20"/>
        </w:rPr>
        <w:t xml:space="preserve"> </w:t>
      </w:r>
      <w:r>
        <w:rPr>
          <w:color w:val="231F20"/>
          <w:spacing w:val="-3"/>
          <w:sz w:val="20"/>
        </w:rPr>
        <w:t>before</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protected</w:t>
      </w:r>
      <w:r>
        <w:rPr>
          <w:color w:val="231F20"/>
          <w:spacing w:val="-7"/>
          <w:sz w:val="20"/>
        </w:rPr>
        <w:t xml:space="preserve"> </w:t>
      </w:r>
      <w:r>
        <w:rPr>
          <w:color w:val="231F20"/>
          <w:sz w:val="20"/>
        </w:rPr>
        <w:t>victim</w:t>
      </w:r>
      <w:r>
        <w:rPr>
          <w:color w:val="231F20"/>
          <w:spacing w:val="-6"/>
          <w:sz w:val="20"/>
        </w:rPr>
        <w:t xml:space="preserve"> </w:t>
      </w:r>
      <w:r>
        <w:rPr>
          <w:color w:val="231F20"/>
          <w:spacing w:val="-3"/>
          <w:sz w:val="20"/>
        </w:rPr>
        <w:t>completes</w:t>
      </w:r>
      <w:r>
        <w:rPr>
          <w:color w:val="231F20"/>
          <w:spacing w:val="-6"/>
          <w:sz w:val="20"/>
        </w:rPr>
        <w:t xml:space="preserve"> </w:t>
      </w:r>
      <w:r>
        <w:rPr>
          <w:color w:val="231F20"/>
          <w:sz w:val="20"/>
        </w:rPr>
        <w:t>their</w:t>
      </w:r>
      <w:r>
        <w:rPr>
          <w:color w:val="231F20"/>
          <w:spacing w:val="-6"/>
          <w:sz w:val="20"/>
        </w:rPr>
        <w:t xml:space="preserve"> </w:t>
      </w:r>
      <w:r>
        <w:rPr>
          <w:color w:val="231F20"/>
          <w:sz w:val="20"/>
        </w:rPr>
        <w:t xml:space="preserve">pre- </w:t>
      </w:r>
      <w:r>
        <w:rPr>
          <w:color w:val="231F20"/>
          <w:spacing w:val="-3"/>
          <w:sz w:val="20"/>
        </w:rPr>
        <w:t>recorded</w:t>
      </w:r>
      <w:r>
        <w:rPr>
          <w:color w:val="231F20"/>
          <w:spacing w:val="-5"/>
          <w:sz w:val="20"/>
        </w:rPr>
        <w:t xml:space="preserve"> </w:t>
      </w:r>
      <w:r>
        <w:rPr>
          <w:color w:val="231F20"/>
          <w:sz w:val="20"/>
        </w:rPr>
        <w:t>evidence.</w:t>
      </w:r>
      <w:r>
        <w:rPr>
          <w:color w:val="231F20"/>
          <w:position w:val="7"/>
          <w:sz w:val="11"/>
        </w:rPr>
        <w:t>173</w:t>
      </w:r>
    </w:p>
    <w:p w14:paraId="67C4672A" w14:textId="77777777" w:rsidR="00894070" w:rsidRDefault="00894070">
      <w:pPr>
        <w:pStyle w:val="BodyText"/>
      </w:pPr>
    </w:p>
    <w:p w14:paraId="74B6A1DA" w14:textId="77777777" w:rsidR="00894070" w:rsidRDefault="00894070">
      <w:pPr>
        <w:pStyle w:val="BodyText"/>
      </w:pPr>
    </w:p>
    <w:p w14:paraId="1D6C221B" w14:textId="77777777" w:rsidR="00894070" w:rsidRDefault="00894070">
      <w:pPr>
        <w:pStyle w:val="BodyText"/>
      </w:pPr>
    </w:p>
    <w:p w14:paraId="58652DAA" w14:textId="77777777" w:rsidR="00894070" w:rsidRDefault="00894070">
      <w:pPr>
        <w:pStyle w:val="BodyText"/>
      </w:pPr>
    </w:p>
    <w:p w14:paraId="3C95B404" w14:textId="77777777" w:rsidR="00894070" w:rsidRDefault="00894070">
      <w:pPr>
        <w:pStyle w:val="BodyText"/>
      </w:pPr>
    </w:p>
    <w:p w14:paraId="5627CE73" w14:textId="77777777" w:rsidR="00894070" w:rsidRDefault="009F6793">
      <w:pPr>
        <w:pStyle w:val="BodyText"/>
        <w:spacing w:before="11"/>
        <w:rPr>
          <w:sz w:val="27"/>
        </w:rPr>
      </w:pPr>
      <w:r>
        <w:pict w14:anchorId="4F90CB13">
          <v:line id="_x0000_s1140" style="position:absolute;z-index:251753472;mso-wrap-distance-left:0;mso-wrap-distance-right:0;mso-position-horizontal-relative:page" from="79.35pt,21.8pt" to="515.9pt,21.8pt" strokecolor="#f8cabc" strokeweight="1pt">
            <w10:wrap type="topAndBottom" anchorx="page"/>
          </v:line>
        </w:pict>
      </w:r>
    </w:p>
    <w:p w14:paraId="5027F92D" w14:textId="77777777" w:rsidR="00894070" w:rsidRDefault="00894070">
      <w:pPr>
        <w:pStyle w:val="BodyText"/>
        <w:rPr>
          <w:sz w:val="5"/>
        </w:rPr>
      </w:pPr>
    </w:p>
    <w:p w14:paraId="288F26AA" w14:textId="77777777" w:rsidR="00894070" w:rsidRDefault="00894070">
      <w:pPr>
        <w:rPr>
          <w:sz w:val="5"/>
        </w:rPr>
        <w:sectPr w:rsidR="00894070">
          <w:pgSz w:w="11910" w:h="16840"/>
          <w:pgMar w:top="840" w:right="420" w:bottom="280" w:left="580" w:header="0" w:footer="0" w:gutter="0"/>
          <w:cols w:space="720"/>
        </w:sectPr>
      </w:pPr>
    </w:p>
    <w:p w14:paraId="16CB1024" w14:textId="77777777" w:rsidR="00894070" w:rsidRDefault="009B7AFD">
      <w:pPr>
        <w:pStyle w:val="ListParagraph"/>
        <w:numPr>
          <w:ilvl w:val="0"/>
          <w:numId w:val="35"/>
        </w:numPr>
        <w:tabs>
          <w:tab w:val="left" w:pos="1801"/>
          <w:tab w:val="left" w:pos="1802"/>
        </w:tabs>
        <w:spacing w:before="21" w:line="170" w:lineRule="exact"/>
        <w:jc w:val="lef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0736FA64" w14:textId="77777777" w:rsidR="00894070" w:rsidRDefault="009B7AFD">
      <w:pPr>
        <w:pStyle w:val="ListParagraph"/>
        <w:numPr>
          <w:ilvl w:val="0"/>
          <w:numId w:val="35"/>
        </w:numPr>
        <w:tabs>
          <w:tab w:val="left" w:pos="1801"/>
          <w:tab w:val="left" w:pos="1802"/>
        </w:tabs>
        <w:spacing w:before="7" w:line="213" w:lineRule="auto"/>
        <w:jc w:val="left"/>
        <w:rPr>
          <w:sz w:val="13"/>
        </w:rPr>
      </w:pPr>
      <w:r>
        <w:rPr>
          <w:color w:val="231F20"/>
          <w:sz w:val="13"/>
        </w:rPr>
        <w:t xml:space="preserve">As a result of legislative </w:t>
      </w:r>
      <w:r>
        <w:rPr>
          <w:color w:val="231F20"/>
          <w:spacing w:val="2"/>
          <w:sz w:val="13"/>
        </w:rPr>
        <w:t xml:space="preserve">amendments </w:t>
      </w:r>
      <w:r>
        <w:rPr>
          <w:color w:val="231F20"/>
          <w:sz w:val="13"/>
        </w:rPr>
        <w:t xml:space="preserve">that came into effect in March 2022, people accused of </w:t>
      </w:r>
      <w:r>
        <w:rPr>
          <w:color w:val="231F20"/>
          <w:spacing w:val="2"/>
          <w:sz w:val="13"/>
        </w:rPr>
        <w:t xml:space="preserve">stalking </w:t>
      </w:r>
      <w:r>
        <w:rPr>
          <w:color w:val="231F20"/>
          <w:sz w:val="13"/>
        </w:rPr>
        <w:t xml:space="preserve">must not be notified about, and do not have a right to appear and be heard at VOCAT hearings involving the people they are accused of </w:t>
      </w:r>
      <w:r>
        <w:rPr>
          <w:color w:val="231F20"/>
          <w:spacing w:val="2"/>
          <w:sz w:val="13"/>
        </w:rPr>
        <w:t xml:space="preserve">stalking: </w:t>
      </w:r>
      <w:r>
        <w:rPr>
          <w:i/>
          <w:color w:val="231F20"/>
          <w:sz w:val="13"/>
        </w:rPr>
        <w:t xml:space="preserve">Victims of Crime Assistance Act </w:t>
      </w:r>
      <w:r>
        <w:rPr>
          <w:i/>
          <w:color w:val="231F20"/>
          <w:spacing w:val="2"/>
          <w:sz w:val="13"/>
        </w:rPr>
        <w:t xml:space="preserve">1996 </w:t>
      </w:r>
      <w:r>
        <w:rPr>
          <w:color w:val="231F20"/>
          <w:sz w:val="13"/>
        </w:rPr>
        <w:t>(Vic) s 34(</w:t>
      </w:r>
      <w:proofErr w:type="gramStart"/>
      <w:r>
        <w:rPr>
          <w:color w:val="231F20"/>
          <w:sz w:val="13"/>
        </w:rPr>
        <w:t>4)(</w:t>
      </w:r>
      <w:proofErr w:type="gramEnd"/>
      <w:r>
        <w:rPr>
          <w:color w:val="231F20"/>
          <w:sz w:val="13"/>
        </w:rPr>
        <w:t xml:space="preserve">aa), </w:t>
      </w:r>
      <w:r>
        <w:rPr>
          <w:color w:val="231F20"/>
          <w:spacing w:val="2"/>
          <w:sz w:val="13"/>
        </w:rPr>
        <w:t>35(1A).</w:t>
      </w:r>
    </w:p>
    <w:p w14:paraId="6330827A" w14:textId="77777777" w:rsidR="00894070" w:rsidRDefault="009B7AFD">
      <w:pPr>
        <w:pStyle w:val="ListParagraph"/>
        <w:numPr>
          <w:ilvl w:val="0"/>
          <w:numId w:val="35"/>
        </w:numPr>
        <w:tabs>
          <w:tab w:val="left" w:pos="1800"/>
          <w:tab w:val="left" w:pos="1802"/>
        </w:tabs>
        <w:spacing w:line="152" w:lineRule="exact"/>
        <w:jc w:val="left"/>
        <w:rPr>
          <w:sz w:val="13"/>
        </w:rPr>
      </w:pPr>
      <w:r>
        <w:rPr>
          <w:color w:val="231F20"/>
          <w:sz w:val="13"/>
        </w:rPr>
        <w:t>Victorian</w:t>
      </w:r>
      <w:r>
        <w:rPr>
          <w:color w:val="231F20"/>
          <w:spacing w:val="5"/>
          <w:sz w:val="13"/>
        </w:rPr>
        <w:t xml:space="preserve"> </w:t>
      </w:r>
      <w:r>
        <w:rPr>
          <w:color w:val="231F20"/>
          <w:sz w:val="13"/>
        </w:rPr>
        <w:t>Law</w:t>
      </w:r>
      <w:r>
        <w:rPr>
          <w:color w:val="231F20"/>
          <w:spacing w:val="5"/>
          <w:sz w:val="13"/>
        </w:rPr>
        <w:t xml:space="preserve"> </w:t>
      </w:r>
      <w:r>
        <w:rPr>
          <w:color w:val="231F20"/>
          <w:sz w:val="13"/>
        </w:rPr>
        <w:t>Reform</w:t>
      </w:r>
      <w:r>
        <w:rPr>
          <w:color w:val="231F20"/>
          <w:spacing w:val="5"/>
          <w:sz w:val="13"/>
        </w:rPr>
        <w:t xml:space="preserve"> </w:t>
      </w:r>
      <w:r>
        <w:rPr>
          <w:color w:val="231F20"/>
          <w:spacing w:val="2"/>
          <w:sz w:val="13"/>
        </w:rPr>
        <w:t>Commission,</w:t>
      </w:r>
      <w:r>
        <w:rPr>
          <w:color w:val="231F20"/>
          <w:spacing w:val="5"/>
          <w:sz w:val="13"/>
        </w:rPr>
        <w:t xml:space="preserve"> </w:t>
      </w:r>
      <w:r>
        <w:rPr>
          <w:i/>
          <w:color w:val="231F20"/>
          <w:sz w:val="13"/>
        </w:rPr>
        <w:t>Committals</w:t>
      </w:r>
      <w:r>
        <w:rPr>
          <w:i/>
          <w:color w:val="231F20"/>
          <w:spacing w:val="5"/>
          <w:sz w:val="13"/>
        </w:rPr>
        <w:t xml:space="preserve"> </w:t>
      </w:r>
      <w:r>
        <w:rPr>
          <w:color w:val="231F20"/>
          <w:spacing w:val="2"/>
          <w:sz w:val="13"/>
        </w:rPr>
        <w:t>(Report</w:t>
      </w:r>
      <w:r>
        <w:rPr>
          <w:color w:val="231F20"/>
          <w:spacing w:val="5"/>
          <w:sz w:val="13"/>
        </w:rPr>
        <w:t xml:space="preserve"> </w:t>
      </w:r>
      <w:r>
        <w:rPr>
          <w:color w:val="231F20"/>
          <w:sz w:val="13"/>
        </w:rPr>
        <w:t>No</w:t>
      </w:r>
      <w:r>
        <w:rPr>
          <w:color w:val="231F20"/>
          <w:spacing w:val="6"/>
          <w:sz w:val="13"/>
        </w:rPr>
        <w:t xml:space="preserve"> </w:t>
      </w:r>
      <w:r>
        <w:rPr>
          <w:color w:val="231F20"/>
          <w:spacing w:val="2"/>
          <w:sz w:val="13"/>
        </w:rPr>
        <w:t>41,</w:t>
      </w:r>
      <w:r>
        <w:rPr>
          <w:color w:val="231F20"/>
          <w:spacing w:val="5"/>
          <w:sz w:val="13"/>
        </w:rPr>
        <w:t xml:space="preserve"> </w:t>
      </w:r>
      <w:r>
        <w:rPr>
          <w:color w:val="231F20"/>
          <w:sz w:val="13"/>
        </w:rPr>
        <w:t>March</w:t>
      </w:r>
      <w:r>
        <w:rPr>
          <w:color w:val="231F20"/>
          <w:spacing w:val="5"/>
          <w:sz w:val="13"/>
        </w:rPr>
        <w:t xml:space="preserve"> </w:t>
      </w:r>
      <w:r>
        <w:rPr>
          <w:color w:val="231F20"/>
          <w:sz w:val="13"/>
        </w:rPr>
        <w:t>2020)</w:t>
      </w:r>
      <w:r>
        <w:rPr>
          <w:color w:val="231F20"/>
          <w:spacing w:val="5"/>
          <w:sz w:val="13"/>
        </w:rPr>
        <w:t xml:space="preserve"> </w:t>
      </w:r>
      <w:r>
        <w:rPr>
          <w:color w:val="231F20"/>
          <w:sz w:val="13"/>
        </w:rPr>
        <w:t>[11.79]</w:t>
      </w:r>
      <w:proofErr w:type="gramStart"/>
      <w:r>
        <w:rPr>
          <w:color w:val="231F20"/>
          <w:sz w:val="13"/>
        </w:rPr>
        <w:t>–[</w:t>
      </w:r>
      <w:proofErr w:type="gramEnd"/>
      <w:r>
        <w:rPr>
          <w:color w:val="231F20"/>
          <w:sz w:val="13"/>
        </w:rPr>
        <w:t>11.81]</w:t>
      </w:r>
      <w:r>
        <w:rPr>
          <w:color w:val="231F20"/>
          <w:spacing w:val="5"/>
          <w:sz w:val="13"/>
        </w:rPr>
        <w:t xml:space="preserve"> </w:t>
      </w:r>
      <w:r>
        <w:rPr>
          <w:color w:val="231F20"/>
          <w:sz w:val="13"/>
        </w:rPr>
        <w:t>Recommendation</w:t>
      </w:r>
      <w:r>
        <w:rPr>
          <w:color w:val="231F20"/>
          <w:spacing w:val="5"/>
          <w:sz w:val="13"/>
        </w:rPr>
        <w:t xml:space="preserve"> </w:t>
      </w:r>
      <w:r>
        <w:rPr>
          <w:color w:val="231F20"/>
          <w:spacing w:val="2"/>
          <w:sz w:val="13"/>
        </w:rPr>
        <w:t>44;</w:t>
      </w:r>
      <w:r>
        <w:rPr>
          <w:color w:val="231F20"/>
          <w:spacing w:val="5"/>
          <w:sz w:val="13"/>
        </w:rPr>
        <w:t xml:space="preserve"> </w:t>
      </w:r>
      <w:r>
        <w:rPr>
          <w:color w:val="231F20"/>
          <w:sz w:val="13"/>
        </w:rPr>
        <w:t>Victorian</w:t>
      </w:r>
      <w:r>
        <w:rPr>
          <w:color w:val="231F20"/>
          <w:spacing w:val="6"/>
          <w:sz w:val="13"/>
        </w:rPr>
        <w:t xml:space="preserve"> </w:t>
      </w:r>
      <w:r>
        <w:rPr>
          <w:color w:val="231F20"/>
          <w:sz w:val="13"/>
        </w:rPr>
        <w:t>Law</w:t>
      </w:r>
    </w:p>
    <w:p w14:paraId="570A6C58" w14:textId="77777777" w:rsidR="00894070" w:rsidRDefault="009B7AFD">
      <w:pPr>
        <w:spacing w:line="160" w:lineRule="exact"/>
        <w:ind w:left="1801"/>
        <w:rPr>
          <w:sz w:val="13"/>
        </w:rPr>
      </w:pPr>
      <w:r>
        <w:rPr>
          <w:color w:val="231F20"/>
          <w:sz w:val="13"/>
        </w:rPr>
        <w:t xml:space="preserve">Reform Commission, </w:t>
      </w:r>
      <w:r>
        <w:rPr>
          <w:i/>
          <w:color w:val="231F20"/>
          <w:sz w:val="13"/>
        </w:rPr>
        <w:t xml:space="preserve">The Role of Victims of Crime in the Criminal Trial Process </w:t>
      </w:r>
      <w:r>
        <w:rPr>
          <w:color w:val="231F20"/>
          <w:sz w:val="13"/>
        </w:rPr>
        <w:t>(Report No 34, August 2016) [8.50]</w:t>
      </w:r>
      <w:proofErr w:type="gramStart"/>
      <w:r>
        <w:rPr>
          <w:color w:val="231F20"/>
          <w:sz w:val="13"/>
        </w:rPr>
        <w:t>–[</w:t>
      </w:r>
      <w:proofErr w:type="gramEnd"/>
      <w:r>
        <w:rPr>
          <w:color w:val="231F20"/>
          <w:sz w:val="13"/>
        </w:rPr>
        <w:t>8.53].</w:t>
      </w:r>
    </w:p>
    <w:p w14:paraId="45EB46A2" w14:textId="77777777" w:rsidR="00894070" w:rsidRDefault="009B7AFD">
      <w:pPr>
        <w:pStyle w:val="ListParagraph"/>
        <w:numPr>
          <w:ilvl w:val="0"/>
          <w:numId w:val="35"/>
        </w:numPr>
        <w:tabs>
          <w:tab w:val="left" w:pos="1800"/>
          <w:tab w:val="left" w:pos="1802"/>
        </w:tabs>
        <w:spacing w:before="6" w:line="213" w:lineRule="auto"/>
        <w:ind w:right="202"/>
        <w:jc w:val="left"/>
        <w:rPr>
          <w:sz w:val="13"/>
        </w:rPr>
      </w:pPr>
      <w:r>
        <w:rPr>
          <w:color w:val="231F20"/>
          <w:sz w:val="13"/>
        </w:rPr>
        <w:t xml:space="preserve">We preferred a procedure for pre-recording all of the complainant’s evidence to expanding the use of VAREs after hearing concerns about the quality of VAREs currently used for children and people </w:t>
      </w:r>
      <w:proofErr w:type="gramStart"/>
      <w:r>
        <w:rPr>
          <w:color w:val="231F20"/>
          <w:sz w:val="13"/>
        </w:rPr>
        <w:t>with  a</w:t>
      </w:r>
      <w:proofErr w:type="gramEnd"/>
      <w:r>
        <w:rPr>
          <w:color w:val="231F20"/>
          <w:sz w:val="13"/>
        </w:rPr>
        <w:t xml:space="preserve">  cognitive  impairment:  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 xml:space="preserve">No 42, September 2021) </w:t>
      </w:r>
      <w:r>
        <w:rPr>
          <w:color w:val="231F20"/>
          <w:spacing w:val="2"/>
          <w:sz w:val="13"/>
        </w:rPr>
        <w:t xml:space="preserve">[21.90]–[21.101] </w:t>
      </w:r>
      <w:r>
        <w:rPr>
          <w:color w:val="231F20"/>
          <w:sz w:val="13"/>
        </w:rPr>
        <w:t>Recommendation 86.</w:t>
      </w:r>
    </w:p>
    <w:p w14:paraId="6E018672" w14:textId="77777777" w:rsidR="00894070" w:rsidRDefault="009B7AFD">
      <w:pPr>
        <w:pStyle w:val="ListParagraph"/>
        <w:numPr>
          <w:ilvl w:val="0"/>
          <w:numId w:val="35"/>
        </w:numPr>
        <w:tabs>
          <w:tab w:val="left" w:pos="1801"/>
          <w:tab w:val="left" w:pos="1802"/>
        </w:tabs>
        <w:spacing w:line="213" w:lineRule="auto"/>
        <w:ind w:right="254"/>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No 42, September 2021) [21.102].</w:t>
      </w:r>
    </w:p>
    <w:p w14:paraId="4B8FBC33" w14:textId="77777777" w:rsidR="00894070" w:rsidRDefault="009B7AFD">
      <w:pPr>
        <w:pStyle w:val="BodyText"/>
        <w:rPr>
          <w:sz w:val="28"/>
        </w:rPr>
      </w:pPr>
      <w:r>
        <w:br w:type="column"/>
      </w:r>
    </w:p>
    <w:p w14:paraId="6433C2DF" w14:textId="77777777" w:rsidR="00894070" w:rsidRDefault="00894070">
      <w:pPr>
        <w:pStyle w:val="BodyText"/>
        <w:rPr>
          <w:sz w:val="28"/>
        </w:rPr>
      </w:pPr>
    </w:p>
    <w:p w14:paraId="30C7D6C1" w14:textId="77777777" w:rsidR="00894070" w:rsidRDefault="00894070">
      <w:pPr>
        <w:pStyle w:val="BodyText"/>
        <w:rPr>
          <w:sz w:val="28"/>
        </w:rPr>
      </w:pPr>
    </w:p>
    <w:p w14:paraId="7D86799C" w14:textId="77777777" w:rsidR="00894070" w:rsidRDefault="00894070">
      <w:pPr>
        <w:pStyle w:val="BodyText"/>
        <w:spacing w:before="2"/>
        <w:rPr>
          <w:sz w:val="35"/>
        </w:rPr>
      </w:pPr>
    </w:p>
    <w:p w14:paraId="2AF44B29" w14:textId="77777777" w:rsidR="00894070" w:rsidRDefault="009B7AFD">
      <w:pPr>
        <w:pStyle w:val="Heading8"/>
        <w:spacing w:before="1"/>
        <w:ind w:left="562"/>
      </w:pPr>
      <w:r>
        <w:rPr>
          <w:color w:val="EA5B50"/>
        </w:rPr>
        <w:t>157</w:t>
      </w:r>
    </w:p>
    <w:p w14:paraId="78F4368A" w14:textId="77777777" w:rsidR="00894070" w:rsidRDefault="00894070">
      <w:pPr>
        <w:sectPr w:rsidR="00894070">
          <w:type w:val="continuous"/>
          <w:pgSz w:w="11910" w:h="16840"/>
          <w:pgMar w:top="560" w:right="420" w:bottom="280" w:left="580" w:header="720" w:footer="720" w:gutter="0"/>
          <w:cols w:num="2" w:space="720" w:equalWidth="0">
            <w:col w:w="9740" w:space="40"/>
            <w:col w:w="1130"/>
          </w:cols>
        </w:sectPr>
      </w:pPr>
    </w:p>
    <w:p w14:paraId="4BDD3362" w14:textId="77777777" w:rsidR="00894070" w:rsidRDefault="00894070">
      <w:pPr>
        <w:pStyle w:val="BodyText"/>
        <w:rPr>
          <w:b/>
        </w:rPr>
      </w:pPr>
    </w:p>
    <w:p w14:paraId="00091C22" w14:textId="77777777" w:rsidR="00894070" w:rsidRDefault="00894070">
      <w:pPr>
        <w:pStyle w:val="BodyText"/>
        <w:rPr>
          <w:b/>
        </w:rPr>
      </w:pPr>
    </w:p>
    <w:p w14:paraId="7888FC8B" w14:textId="77777777" w:rsidR="00894070" w:rsidRDefault="00894070">
      <w:pPr>
        <w:pStyle w:val="BodyText"/>
        <w:rPr>
          <w:b/>
        </w:rPr>
      </w:pPr>
    </w:p>
    <w:p w14:paraId="3A4D698B" w14:textId="77777777" w:rsidR="00894070" w:rsidRDefault="00894070">
      <w:pPr>
        <w:pStyle w:val="BodyText"/>
        <w:spacing w:before="8"/>
        <w:rPr>
          <w:b/>
          <w:sz w:val="19"/>
        </w:rPr>
      </w:pPr>
    </w:p>
    <w:p w14:paraId="46D6C327" w14:textId="77777777" w:rsidR="00894070" w:rsidRDefault="009F6793">
      <w:pPr>
        <w:pStyle w:val="BodyText"/>
        <w:ind w:left="642"/>
      </w:pPr>
      <w:r>
        <w:pict w14:anchorId="1A163DD5">
          <v:group id="_x0000_s1134" style="width:479.1pt;height:160.65pt;mso-position-horizontal-relative:char;mso-position-vertical-relative:line" coordsize="9582,3213">
            <v:rect id="_x0000_s1139" style="position:absolute;left:340;width:8731;height:3213" fillcolor="#fee7de" stroked="f"/>
            <v:line id="_x0000_s1138" style="position:absolute" from="0,808" to="9581,808" strokecolor="white" strokeweight="2.5pt"/>
            <v:shape id="_x0000_s1137" type="#_x0000_t202" style="position:absolute;left:1133;top:1033;width:7729;height:2000" filled="f" stroked="f">
              <v:textbox inset="0,0,0,0">
                <w:txbxContent>
                  <w:p w14:paraId="3C4FEFD9" w14:textId="77777777" w:rsidR="00894070" w:rsidRDefault="009B7AFD">
                    <w:pPr>
                      <w:spacing w:line="247" w:lineRule="auto"/>
                      <w:rPr>
                        <w:rFonts w:ascii="Trebuchet MS" w:hAnsi="Trebuchet MS"/>
                        <w:sz w:val="20"/>
                      </w:rPr>
                    </w:pPr>
                    <w:bookmarkStart w:id="173" w:name="_bookmark104"/>
                    <w:bookmarkEnd w:id="173"/>
                    <w:r>
                      <w:rPr>
                        <w:rFonts w:ascii="Trebuchet MS" w:hAnsi="Trebuchet MS"/>
                        <w:color w:val="231F20"/>
                        <w:w w:val="105"/>
                        <w:sz w:val="20"/>
                      </w:rPr>
                      <w:t>The</w:t>
                    </w:r>
                    <w:r>
                      <w:rPr>
                        <w:rFonts w:ascii="Trebuchet MS" w:hAnsi="Trebuchet MS"/>
                        <w:color w:val="231F20"/>
                        <w:spacing w:val="-18"/>
                        <w:w w:val="105"/>
                        <w:sz w:val="20"/>
                      </w:rPr>
                      <w:t xml:space="preserve"> </w:t>
                    </w:r>
                    <w:r>
                      <w:rPr>
                        <w:rFonts w:ascii="Trebuchet MS" w:hAnsi="Trebuchet MS"/>
                        <w:color w:val="231F20"/>
                        <w:w w:val="105"/>
                        <w:sz w:val="20"/>
                      </w:rPr>
                      <w:t>Victorian</w:t>
                    </w:r>
                    <w:r>
                      <w:rPr>
                        <w:rFonts w:ascii="Trebuchet MS" w:hAnsi="Trebuchet MS"/>
                        <w:color w:val="231F20"/>
                        <w:spacing w:val="-17"/>
                        <w:w w:val="105"/>
                        <w:sz w:val="20"/>
                      </w:rPr>
                      <w:t xml:space="preserve"> </w:t>
                    </w:r>
                    <w:r>
                      <w:rPr>
                        <w:rFonts w:ascii="Trebuchet MS" w:hAnsi="Trebuchet MS"/>
                        <w:color w:val="231F20"/>
                        <w:spacing w:val="-3"/>
                        <w:w w:val="105"/>
                        <w:sz w:val="20"/>
                      </w:rPr>
                      <w:t>Government</w:t>
                    </w:r>
                    <w:r>
                      <w:rPr>
                        <w:rFonts w:ascii="Trebuchet MS" w:hAnsi="Trebuchet MS"/>
                        <w:color w:val="231F20"/>
                        <w:spacing w:val="-17"/>
                        <w:w w:val="105"/>
                        <w:sz w:val="20"/>
                      </w:rPr>
                      <w:t xml:space="preserve"> </w:t>
                    </w:r>
                    <w:r>
                      <w:rPr>
                        <w:rFonts w:ascii="Trebuchet MS" w:hAnsi="Trebuchet MS"/>
                        <w:color w:val="231F20"/>
                        <w:w w:val="105"/>
                        <w:sz w:val="20"/>
                      </w:rPr>
                      <w:t>should</w:t>
                    </w:r>
                    <w:r>
                      <w:rPr>
                        <w:rFonts w:ascii="Trebuchet MS" w:hAnsi="Trebuchet MS"/>
                        <w:color w:val="231F20"/>
                        <w:spacing w:val="-17"/>
                        <w:w w:val="105"/>
                        <w:sz w:val="20"/>
                      </w:rPr>
                      <w:t xml:space="preserve"> </w:t>
                    </w:r>
                    <w:r>
                      <w:rPr>
                        <w:rFonts w:ascii="Trebuchet MS" w:hAnsi="Trebuchet MS"/>
                        <w:color w:val="231F20"/>
                        <w:w w:val="105"/>
                        <w:sz w:val="20"/>
                      </w:rPr>
                      <w:t>implement</w:t>
                    </w:r>
                    <w:r>
                      <w:rPr>
                        <w:rFonts w:ascii="Trebuchet MS" w:hAnsi="Trebuchet MS"/>
                        <w:color w:val="231F20"/>
                        <w:spacing w:val="-17"/>
                        <w:w w:val="105"/>
                        <w:sz w:val="20"/>
                      </w:rPr>
                      <w:t xml:space="preserve"> </w:t>
                    </w:r>
                    <w:r>
                      <w:rPr>
                        <w:rFonts w:ascii="Trebuchet MS" w:hAnsi="Trebuchet MS"/>
                        <w:color w:val="231F20"/>
                        <w:w w:val="105"/>
                        <w:sz w:val="20"/>
                      </w:rPr>
                      <w:t>Recommendations</w:t>
                    </w:r>
                    <w:r>
                      <w:rPr>
                        <w:rFonts w:ascii="Trebuchet MS" w:hAnsi="Trebuchet MS"/>
                        <w:color w:val="231F20"/>
                        <w:spacing w:val="-17"/>
                        <w:w w:val="105"/>
                        <w:sz w:val="20"/>
                      </w:rPr>
                      <w:t xml:space="preserve"> </w:t>
                    </w:r>
                    <w:r>
                      <w:rPr>
                        <w:rFonts w:ascii="Trebuchet MS" w:hAnsi="Trebuchet MS"/>
                        <w:color w:val="231F20"/>
                        <w:spacing w:val="-7"/>
                        <w:w w:val="105"/>
                        <w:sz w:val="20"/>
                      </w:rPr>
                      <w:t>37,</w:t>
                    </w:r>
                    <w:r>
                      <w:rPr>
                        <w:rFonts w:ascii="Trebuchet MS" w:hAnsi="Trebuchet MS"/>
                        <w:color w:val="231F20"/>
                        <w:spacing w:val="-17"/>
                        <w:w w:val="105"/>
                        <w:sz w:val="20"/>
                      </w:rPr>
                      <w:t xml:space="preserve"> </w:t>
                    </w:r>
                    <w:r>
                      <w:rPr>
                        <w:rFonts w:ascii="Trebuchet MS" w:hAnsi="Trebuchet MS"/>
                        <w:color w:val="231F20"/>
                        <w:w w:val="105"/>
                        <w:sz w:val="20"/>
                      </w:rPr>
                      <w:t>40</w:t>
                    </w:r>
                    <w:r>
                      <w:rPr>
                        <w:rFonts w:ascii="Trebuchet MS" w:hAnsi="Trebuchet MS"/>
                        <w:color w:val="231F20"/>
                        <w:spacing w:val="-17"/>
                        <w:w w:val="105"/>
                        <w:sz w:val="20"/>
                      </w:rPr>
                      <w:t xml:space="preserve"> </w:t>
                    </w:r>
                    <w:r>
                      <w:rPr>
                        <w:rFonts w:ascii="Trebuchet MS" w:hAnsi="Trebuchet MS"/>
                        <w:color w:val="231F20"/>
                        <w:w w:val="105"/>
                        <w:sz w:val="20"/>
                      </w:rPr>
                      <w:t>and</w:t>
                    </w:r>
                    <w:r>
                      <w:rPr>
                        <w:rFonts w:ascii="Trebuchet MS" w:hAnsi="Trebuchet MS"/>
                        <w:color w:val="231F20"/>
                        <w:spacing w:val="-17"/>
                        <w:w w:val="105"/>
                        <w:sz w:val="20"/>
                      </w:rPr>
                      <w:t xml:space="preserve"> </w:t>
                    </w:r>
                    <w:r>
                      <w:rPr>
                        <w:rFonts w:ascii="Trebuchet MS" w:hAnsi="Trebuchet MS"/>
                        <w:color w:val="231F20"/>
                        <w:w w:val="105"/>
                        <w:sz w:val="20"/>
                      </w:rPr>
                      <w:t>41</w:t>
                    </w:r>
                    <w:r>
                      <w:rPr>
                        <w:rFonts w:ascii="Trebuchet MS" w:hAnsi="Trebuchet MS"/>
                        <w:color w:val="231F20"/>
                        <w:spacing w:val="-17"/>
                        <w:w w:val="105"/>
                        <w:sz w:val="20"/>
                      </w:rPr>
                      <w:t xml:space="preserve"> </w:t>
                    </w:r>
                    <w:r>
                      <w:rPr>
                        <w:rFonts w:ascii="Trebuchet MS" w:hAnsi="Trebuchet MS"/>
                        <w:color w:val="231F20"/>
                        <w:w w:val="105"/>
                        <w:sz w:val="20"/>
                      </w:rPr>
                      <w:t xml:space="preserve">from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04"/>
                        <w:sz w:val="20"/>
                      </w:rPr>
                      <w:t>Vi</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spacing w:val="-1"/>
                        <w:w w:val="103"/>
                        <w:sz w:val="20"/>
                      </w:rPr>
                      <w:t>o</w:t>
                    </w:r>
                    <w:r>
                      <w:rPr>
                        <w:rFonts w:ascii="Trebuchet MS" w:hAnsi="Trebuchet MS"/>
                        <w:color w:val="231F20"/>
                        <w:spacing w:val="-2"/>
                        <w:w w:val="103"/>
                        <w:sz w:val="20"/>
                      </w:rPr>
                      <w:t>r</w:t>
                    </w:r>
                    <w:r>
                      <w:rPr>
                        <w:rFonts w:ascii="Trebuchet MS" w:hAnsi="Trebuchet MS"/>
                        <w:color w:val="231F20"/>
                        <w:spacing w:val="-1"/>
                        <w:w w:val="80"/>
                        <w:sz w:val="20"/>
                      </w:rPr>
                      <w:t>i</w:t>
                    </w:r>
                    <w:r>
                      <w:rPr>
                        <w:rFonts w:ascii="Trebuchet MS" w:hAnsi="Trebuchet MS"/>
                        <w:color w:val="231F20"/>
                        <w:spacing w:val="-2"/>
                        <w:w w:val="105"/>
                        <w:sz w:val="20"/>
                      </w:rPr>
                      <w:t>a</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115"/>
                        <w:sz w:val="20"/>
                      </w:rPr>
                      <w:t>L</w:t>
                    </w:r>
                    <w:r>
                      <w:rPr>
                        <w:rFonts w:ascii="Trebuchet MS" w:hAnsi="Trebuchet MS"/>
                        <w:color w:val="231F20"/>
                        <w:spacing w:val="-7"/>
                        <w:w w:val="105"/>
                        <w:sz w:val="20"/>
                      </w:rPr>
                      <w:t>a</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3"/>
                        <w:w w:val="112"/>
                        <w:sz w:val="20"/>
                      </w:rPr>
                      <w:t>R</w:t>
                    </w:r>
                    <w:r>
                      <w:rPr>
                        <w:rFonts w:ascii="Trebuchet MS" w:hAnsi="Trebuchet MS"/>
                        <w:color w:val="231F20"/>
                        <w:spacing w:val="-4"/>
                        <w:w w:val="108"/>
                        <w:sz w:val="20"/>
                      </w:rPr>
                      <w:t>e</w:t>
                    </w:r>
                    <w:r>
                      <w:rPr>
                        <w:rFonts w:ascii="Trebuchet MS" w:hAnsi="Trebuchet MS"/>
                        <w:color w:val="231F20"/>
                        <w:spacing w:val="-5"/>
                        <w:w w:val="92"/>
                        <w:sz w:val="20"/>
                      </w:rPr>
                      <w:t>f</w:t>
                    </w:r>
                    <w:r>
                      <w:rPr>
                        <w:rFonts w:ascii="Trebuchet MS" w:hAnsi="Trebuchet MS"/>
                        <w:color w:val="231F20"/>
                        <w:spacing w:val="-1"/>
                        <w:w w:val="103"/>
                        <w:sz w:val="20"/>
                      </w:rPr>
                      <w:t>o</w:t>
                    </w:r>
                    <w:r>
                      <w:rPr>
                        <w:rFonts w:ascii="Trebuchet MS" w:hAnsi="Trebuchet MS"/>
                        <w:color w:val="231F20"/>
                        <w:spacing w:val="-2"/>
                        <w:w w:val="103"/>
                        <w:sz w:val="20"/>
                      </w:rPr>
                      <w:t>r</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11"/>
                        <w:sz w:val="20"/>
                      </w:rPr>
                      <w:t>o</w:t>
                    </w:r>
                    <w:r>
                      <w:rPr>
                        <w:rFonts w:ascii="Trebuchet MS" w:hAnsi="Trebuchet MS"/>
                        <w:color w:val="231F20"/>
                        <w:spacing w:val="-2"/>
                        <w:w w:val="111"/>
                        <w:sz w:val="20"/>
                      </w:rPr>
                      <w:t>mm</w:t>
                    </w:r>
                    <w:r>
                      <w:rPr>
                        <w:rFonts w:ascii="Trebuchet MS" w:hAnsi="Trebuchet MS"/>
                        <w:color w:val="231F20"/>
                        <w:spacing w:val="-1"/>
                        <w:w w:val="104"/>
                        <w:sz w:val="20"/>
                      </w:rPr>
                      <w:t>issi</w:t>
                    </w:r>
                    <w:r>
                      <w:rPr>
                        <w:rFonts w:ascii="Trebuchet MS" w:hAnsi="Trebuchet MS"/>
                        <w:color w:val="231F20"/>
                        <w:spacing w:val="-1"/>
                        <w:w w:val="109"/>
                        <w:sz w:val="20"/>
                      </w:rPr>
                      <w:t>o</w:t>
                    </w:r>
                    <w:r>
                      <w:rPr>
                        <w:rFonts w:ascii="Trebuchet MS" w:hAnsi="Trebuchet MS"/>
                        <w:color w:val="231F20"/>
                        <w:spacing w:val="-6"/>
                        <w:w w:val="109"/>
                        <w:sz w:val="20"/>
                      </w:rPr>
                      <w:t>n</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Arial" w:hAnsi="Arial"/>
                        <w:i/>
                        <w:color w:val="231F20"/>
                        <w:spacing w:val="-3"/>
                        <w:w w:val="95"/>
                        <w:sz w:val="20"/>
                      </w:rPr>
                      <w:t>T</w:t>
                    </w:r>
                    <w:r>
                      <w:rPr>
                        <w:rFonts w:ascii="Arial" w:hAnsi="Arial"/>
                        <w:i/>
                        <w:color w:val="231F20"/>
                        <w:spacing w:val="-1"/>
                        <w:w w:val="101"/>
                        <w:sz w:val="20"/>
                      </w:rPr>
                      <w:t>h</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2"/>
                        <w:w w:val="87"/>
                        <w:sz w:val="20"/>
                      </w:rPr>
                      <w:t>R</w:t>
                    </w:r>
                    <w:r>
                      <w:rPr>
                        <w:rFonts w:ascii="Arial" w:hAnsi="Arial"/>
                        <w:i/>
                        <w:color w:val="231F20"/>
                        <w:spacing w:val="-2"/>
                        <w:w w:val="103"/>
                        <w:sz w:val="20"/>
                      </w:rPr>
                      <w:t>o</w:t>
                    </w:r>
                    <w:r>
                      <w:rPr>
                        <w:rFonts w:ascii="Arial" w:hAnsi="Arial"/>
                        <w:i/>
                        <w:color w:val="231F20"/>
                        <w:spacing w:val="-4"/>
                        <w:w w:val="126"/>
                        <w:sz w:val="20"/>
                      </w:rPr>
                      <w:t>l</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3"/>
                        <w:w w:val="103"/>
                        <w:sz w:val="20"/>
                      </w:rPr>
                      <w:t>o</w:t>
                    </w:r>
                    <w:r>
                      <w:rPr>
                        <w:rFonts w:ascii="Arial" w:hAnsi="Arial"/>
                        <w:i/>
                        <w:color w:val="231F20"/>
                        <w:w w:val="120"/>
                        <w:sz w:val="20"/>
                      </w:rPr>
                      <w:t>f</w:t>
                    </w:r>
                    <w:r>
                      <w:rPr>
                        <w:rFonts w:ascii="Arial" w:hAnsi="Arial"/>
                        <w:i/>
                        <w:color w:val="231F20"/>
                        <w:spacing w:val="-11"/>
                        <w:sz w:val="20"/>
                      </w:rPr>
                      <w:t xml:space="preserve"> </w:t>
                    </w:r>
                    <w:r>
                      <w:rPr>
                        <w:rFonts w:ascii="Arial" w:hAnsi="Arial"/>
                        <w:i/>
                        <w:color w:val="231F20"/>
                        <w:spacing w:val="-2"/>
                        <w:w w:val="98"/>
                        <w:sz w:val="20"/>
                      </w:rPr>
                      <w:t>V</w:t>
                    </w:r>
                    <w:r>
                      <w:rPr>
                        <w:rFonts w:ascii="Arial" w:hAnsi="Arial"/>
                        <w:i/>
                        <w:color w:val="231F20"/>
                        <w:spacing w:val="-1"/>
                        <w:w w:val="98"/>
                        <w:sz w:val="20"/>
                      </w:rPr>
                      <w:t>i</w:t>
                    </w:r>
                    <w:r>
                      <w:rPr>
                        <w:rFonts w:ascii="Arial" w:hAnsi="Arial"/>
                        <w:i/>
                        <w:color w:val="231F20"/>
                        <w:spacing w:val="-3"/>
                        <w:w w:val="106"/>
                        <w:sz w:val="20"/>
                      </w:rPr>
                      <w:t>c</w:t>
                    </w:r>
                    <w:r>
                      <w:rPr>
                        <w:rFonts w:ascii="Arial" w:hAnsi="Arial"/>
                        <w:i/>
                        <w:color w:val="231F20"/>
                        <w:spacing w:val="-2"/>
                        <w:w w:val="121"/>
                        <w:sz w:val="20"/>
                      </w:rPr>
                      <w:t>t</w:t>
                    </w:r>
                    <w:r>
                      <w:rPr>
                        <w:rFonts w:ascii="Arial" w:hAnsi="Arial"/>
                        <w:i/>
                        <w:color w:val="231F20"/>
                        <w:spacing w:val="-1"/>
                        <w:w w:val="101"/>
                        <w:sz w:val="20"/>
                      </w:rPr>
                      <w:t>i</w:t>
                    </w:r>
                    <w:r>
                      <w:rPr>
                        <w:rFonts w:ascii="Arial" w:hAnsi="Arial"/>
                        <w:i/>
                        <w:color w:val="231F20"/>
                        <w:spacing w:val="-1"/>
                        <w:w w:val="106"/>
                        <w:sz w:val="20"/>
                      </w:rPr>
                      <w:t>m</w:t>
                    </w:r>
                    <w:r>
                      <w:rPr>
                        <w:rFonts w:ascii="Arial" w:hAnsi="Arial"/>
                        <w:i/>
                        <w:color w:val="231F20"/>
                        <w:w w:val="95"/>
                        <w:sz w:val="20"/>
                      </w:rPr>
                      <w:t>s</w:t>
                    </w:r>
                    <w:r>
                      <w:rPr>
                        <w:rFonts w:ascii="Arial" w:hAnsi="Arial"/>
                        <w:i/>
                        <w:color w:val="231F20"/>
                        <w:spacing w:val="-11"/>
                        <w:sz w:val="20"/>
                      </w:rPr>
                      <w:t xml:space="preserve"> </w:t>
                    </w:r>
                    <w:r>
                      <w:rPr>
                        <w:rFonts w:ascii="Arial" w:hAnsi="Arial"/>
                        <w:i/>
                        <w:color w:val="231F20"/>
                        <w:spacing w:val="-3"/>
                        <w:w w:val="103"/>
                        <w:sz w:val="20"/>
                      </w:rPr>
                      <w:t>o</w:t>
                    </w:r>
                    <w:r>
                      <w:rPr>
                        <w:rFonts w:ascii="Arial" w:hAnsi="Arial"/>
                        <w:i/>
                        <w:color w:val="231F20"/>
                        <w:w w:val="120"/>
                        <w:sz w:val="20"/>
                      </w:rPr>
                      <w:t>f</w:t>
                    </w:r>
                    <w:r>
                      <w:rPr>
                        <w:rFonts w:ascii="Arial" w:hAnsi="Arial"/>
                        <w:i/>
                        <w:color w:val="231F20"/>
                        <w:spacing w:val="-11"/>
                        <w:sz w:val="20"/>
                      </w:rPr>
                      <w:t xml:space="preserve"> </w:t>
                    </w:r>
                    <w:r>
                      <w:rPr>
                        <w:rFonts w:ascii="Arial" w:hAnsi="Arial"/>
                        <w:i/>
                        <w:color w:val="231F20"/>
                        <w:spacing w:val="-2"/>
                        <w:w w:val="90"/>
                        <w:sz w:val="20"/>
                      </w:rPr>
                      <w:t>C</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2"/>
                        <w:w w:val="106"/>
                        <w:sz w:val="20"/>
                      </w:rPr>
                      <w:t>m</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1"/>
                        <w:w w:val="101"/>
                        <w:sz w:val="20"/>
                      </w:rPr>
                      <w:t>i</w:t>
                    </w:r>
                    <w:r>
                      <w:rPr>
                        <w:rFonts w:ascii="Arial" w:hAnsi="Arial"/>
                        <w:i/>
                        <w:color w:val="231F20"/>
                        <w:w w:val="101"/>
                        <w:sz w:val="20"/>
                      </w:rPr>
                      <w:t>n</w:t>
                    </w:r>
                    <w:r>
                      <w:rPr>
                        <w:rFonts w:ascii="Arial" w:hAnsi="Arial"/>
                        <w:i/>
                        <w:color w:val="231F20"/>
                        <w:spacing w:val="-11"/>
                        <w:sz w:val="20"/>
                      </w:rPr>
                      <w:t xml:space="preserve"> </w:t>
                    </w:r>
                    <w:r>
                      <w:rPr>
                        <w:rFonts w:ascii="Arial" w:hAnsi="Arial"/>
                        <w:i/>
                        <w:color w:val="231F20"/>
                        <w:spacing w:val="-2"/>
                        <w:w w:val="121"/>
                        <w:sz w:val="20"/>
                      </w:rPr>
                      <w:t>t</w:t>
                    </w:r>
                    <w:r>
                      <w:rPr>
                        <w:rFonts w:ascii="Arial" w:hAnsi="Arial"/>
                        <w:i/>
                        <w:color w:val="231F20"/>
                        <w:spacing w:val="-1"/>
                        <w:w w:val="101"/>
                        <w:sz w:val="20"/>
                      </w:rPr>
                      <w:t>h</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2"/>
                        <w:w w:val="90"/>
                        <w:sz w:val="20"/>
                      </w:rPr>
                      <w:t>C</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1"/>
                        <w:w w:val="106"/>
                        <w:sz w:val="20"/>
                      </w:rPr>
                      <w:t>m</w:t>
                    </w:r>
                    <w:r>
                      <w:rPr>
                        <w:rFonts w:ascii="Arial" w:hAnsi="Arial"/>
                        <w:i/>
                        <w:color w:val="231F20"/>
                        <w:spacing w:val="-1"/>
                        <w:w w:val="101"/>
                        <w:sz w:val="20"/>
                      </w:rPr>
                      <w:t>in</w:t>
                    </w:r>
                    <w:r>
                      <w:rPr>
                        <w:rFonts w:ascii="Arial" w:hAnsi="Arial"/>
                        <w:i/>
                        <w:color w:val="231F20"/>
                        <w:spacing w:val="-1"/>
                        <w:w w:val="108"/>
                        <w:sz w:val="20"/>
                      </w:rPr>
                      <w:t>a</w:t>
                    </w:r>
                    <w:r>
                      <w:rPr>
                        <w:rFonts w:ascii="Arial" w:hAnsi="Arial"/>
                        <w:i/>
                        <w:color w:val="231F20"/>
                        <w:w w:val="126"/>
                        <w:sz w:val="20"/>
                      </w:rPr>
                      <w:t xml:space="preserve">l </w:t>
                    </w:r>
                    <w:r>
                      <w:rPr>
                        <w:rFonts w:ascii="Arial" w:hAnsi="Arial"/>
                        <w:i/>
                        <w:color w:val="231F20"/>
                        <w:spacing w:val="-5"/>
                        <w:w w:val="105"/>
                        <w:sz w:val="20"/>
                      </w:rPr>
                      <w:t>Trial</w:t>
                    </w:r>
                    <w:r>
                      <w:rPr>
                        <w:rFonts w:ascii="Arial" w:hAnsi="Arial"/>
                        <w:i/>
                        <w:color w:val="231F20"/>
                        <w:spacing w:val="-21"/>
                        <w:w w:val="105"/>
                        <w:sz w:val="20"/>
                      </w:rPr>
                      <w:t xml:space="preserve"> </w:t>
                    </w:r>
                    <w:r>
                      <w:rPr>
                        <w:rFonts w:ascii="Arial" w:hAnsi="Arial"/>
                        <w:i/>
                        <w:color w:val="231F20"/>
                        <w:w w:val="105"/>
                        <w:sz w:val="20"/>
                      </w:rPr>
                      <w:t>Process</w:t>
                    </w:r>
                    <w:r>
                      <w:rPr>
                        <w:rFonts w:ascii="Arial" w:hAnsi="Arial"/>
                        <w:i/>
                        <w:color w:val="231F20"/>
                        <w:spacing w:val="-20"/>
                        <w:w w:val="105"/>
                        <w:sz w:val="20"/>
                      </w:rPr>
                      <w:t xml:space="preserve"> </w:t>
                    </w:r>
                    <w:r>
                      <w:rPr>
                        <w:rFonts w:ascii="Trebuchet MS" w:hAnsi="Trebuchet MS"/>
                        <w:color w:val="231F20"/>
                        <w:w w:val="105"/>
                        <w:sz w:val="20"/>
                      </w:rPr>
                      <w:t>report</w:t>
                    </w:r>
                    <w:r>
                      <w:rPr>
                        <w:rFonts w:ascii="Trebuchet MS" w:hAnsi="Trebuchet MS"/>
                        <w:color w:val="231F20"/>
                        <w:spacing w:val="-24"/>
                        <w:w w:val="105"/>
                        <w:sz w:val="20"/>
                      </w:rPr>
                      <w:t xml:space="preserve"> </w:t>
                    </w:r>
                    <w:r>
                      <w:rPr>
                        <w:rFonts w:ascii="Trebuchet MS" w:hAnsi="Trebuchet MS"/>
                        <w:color w:val="231F20"/>
                        <w:w w:val="105"/>
                        <w:sz w:val="20"/>
                      </w:rPr>
                      <w:t>to</w:t>
                    </w:r>
                    <w:r>
                      <w:rPr>
                        <w:rFonts w:ascii="Trebuchet MS" w:hAnsi="Trebuchet MS"/>
                        <w:color w:val="231F20"/>
                        <w:spacing w:val="-24"/>
                        <w:w w:val="105"/>
                        <w:sz w:val="20"/>
                      </w:rPr>
                      <w:t xml:space="preserve"> </w:t>
                    </w:r>
                    <w:r>
                      <w:rPr>
                        <w:rFonts w:ascii="Trebuchet MS" w:hAnsi="Trebuchet MS"/>
                        <w:color w:val="231F20"/>
                        <w:w w:val="105"/>
                        <w:sz w:val="20"/>
                      </w:rPr>
                      <w:t>amend</w:t>
                    </w:r>
                    <w:r>
                      <w:rPr>
                        <w:rFonts w:ascii="Trebuchet MS" w:hAnsi="Trebuchet MS"/>
                        <w:color w:val="231F20"/>
                        <w:spacing w:val="-23"/>
                        <w:w w:val="105"/>
                        <w:sz w:val="20"/>
                      </w:rPr>
                      <w:t xml:space="preserve"> </w:t>
                    </w:r>
                    <w:r>
                      <w:rPr>
                        <w:rFonts w:ascii="Trebuchet MS" w:hAnsi="Trebuchet MS"/>
                        <w:color w:val="231F20"/>
                        <w:w w:val="105"/>
                        <w:sz w:val="20"/>
                      </w:rPr>
                      <w:t>the</w:t>
                    </w:r>
                    <w:r>
                      <w:rPr>
                        <w:rFonts w:ascii="Trebuchet MS" w:hAnsi="Trebuchet MS"/>
                        <w:color w:val="231F20"/>
                        <w:spacing w:val="-24"/>
                        <w:w w:val="105"/>
                        <w:sz w:val="20"/>
                      </w:rPr>
                      <w:t xml:space="preserve"> </w:t>
                    </w:r>
                    <w:r>
                      <w:rPr>
                        <w:rFonts w:ascii="Arial" w:hAnsi="Arial"/>
                        <w:i/>
                        <w:color w:val="231F20"/>
                        <w:w w:val="105"/>
                        <w:sz w:val="20"/>
                      </w:rPr>
                      <w:t>Criminal</w:t>
                    </w:r>
                    <w:r>
                      <w:rPr>
                        <w:rFonts w:ascii="Arial" w:hAnsi="Arial"/>
                        <w:i/>
                        <w:color w:val="231F20"/>
                        <w:spacing w:val="-20"/>
                        <w:w w:val="105"/>
                        <w:sz w:val="20"/>
                      </w:rPr>
                      <w:t xml:space="preserve"> </w:t>
                    </w:r>
                    <w:r>
                      <w:rPr>
                        <w:rFonts w:ascii="Arial" w:hAnsi="Arial"/>
                        <w:i/>
                        <w:color w:val="231F20"/>
                        <w:spacing w:val="-3"/>
                        <w:w w:val="105"/>
                        <w:sz w:val="20"/>
                      </w:rPr>
                      <w:t>Procedure</w:t>
                    </w:r>
                    <w:r>
                      <w:rPr>
                        <w:rFonts w:ascii="Arial" w:hAnsi="Arial"/>
                        <w:i/>
                        <w:color w:val="231F20"/>
                        <w:spacing w:val="-21"/>
                        <w:w w:val="105"/>
                        <w:sz w:val="20"/>
                      </w:rPr>
                      <w:t xml:space="preserve"> </w:t>
                    </w:r>
                    <w:r>
                      <w:rPr>
                        <w:rFonts w:ascii="Arial" w:hAnsi="Arial"/>
                        <w:i/>
                        <w:color w:val="231F20"/>
                        <w:w w:val="105"/>
                        <w:sz w:val="20"/>
                      </w:rPr>
                      <w:t>Act</w:t>
                    </w:r>
                    <w:r>
                      <w:rPr>
                        <w:rFonts w:ascii="Arial" w:hAnsi="Arial"/>
                        <w:i/>
                        <w:color w:val="231F20"/>
                        <w:spacing w:val="-20"/>
                        <w:w w:val="105"/>
                        <w:sz w:val="20"/>
                      </w:rPr>
                      <w:t xml:space="preserve"> </w:t>
                    </w:r>
                    <w:r>
                      <w:rPr>
                        <w:rFonts w:ascii="Arial" w:hAnsi="Arial"/>
                        <w:i/>
                        <w:color w:val="231F20"/>
                        <w:w w:val="105"/>
                        <w:sz w:val="20"/>
                      </w:rPr>
                      <w:t>2009</w:t>
                    </w:r>
                    <w:r>
                      <w:rPr>
                        <w:rFonts w:ascii="Arial" w:hAnsi="Arial"/>
                        <w:i/>
                        <w:color w:val="231F20"/>
                        <w:spacing w:val="-18"/>
                        <w:w w:val="105"/>
                        <w:sz w:val="20"/>
                      </w:rPr>
                      <w:t xml:space="preserve"> </w:t>
                    </w:r>
                    <w:r>
                      <w:rPr>
                        <w:rFonts w:ascii="Trebuchet MS" w:hAnsi="Trebuchet MS"/>
                        <w:color w:val="231F20"/>
                        <w:w w:val="105"/>
                        <w:sz w:val="20"/>
                      </w:rPr>
                      <w:t>(Vic)</w:t>
                    </w:r>
                    <w:r>
                      <w:rPr>
                        <w:rFonts w:ascii="Trebuchet MS" w:hAnsi="Trebuchet MS"/>
                        <w:color w:val="231F20"/>
                        <w:spacing w:val="-24"/>
                        <w:w w:val="105"/>
                        <w:sz w:val="20"/>
                      </w:rPr>
                      <w:t xml:space="preserve"> </w:t>
                    </w:r>
                    <w:r>
                      <w:rPr>
                        <w:rFonts w:ascii="Trebuchet MS" w:hAnsi="Trebuchet MS"/>
                        <w:color w:val="231F20"/>
                        <w:w w:val="105"/>
                        <w:sz w:val="20"/>
                      </w:rPr>
                      <w:t>to</w:t>
                    </w:r>
                    <w:r>
                      <w:rPr>
                        <w:rFonts w:ascii="Trebuchet MS" w:hAnsi="Trebuchet MS"/>
                        <w:color w:val="231F20"/>
                        <w:spacing w:val="-24"/>
                        <w:w w:val="105"/>
                        <w:sz w:val="20"/>
                      </w:rPr>
                      <w:t xml:space="preserve"> </w:t>
                    </w:r>
                    <w:r>
                      <w:rPr>
                        <w:rFonts w:ascii="Trebuchet MS" w:hAnsi="Trebuchet MS"/>
                        <w:color w:val="231F20"/>
                        <w:spacing w:val="-3"/>
                        <w:w w:val="105"/>
                        <w:sz w:val="20"/>
                      </w:rPr>
                      <w:t>include</w:t>
                    </w:r>
                  </w:p>
                  <w:p w14:paraId="61B12EAC" w14:textId="77777777" w:rsidR="00894070" w:rsidRDefault="009B7AFD">
                    <w:pPr>
                      <w:spacing w:before="2" w:line="247" w:lineRule="auto"/>
                      <w:rPr>
                        <w:rFonts w:ascii="Trebuchet MS" w:hAnsi="Trebuchet MS"/>
                        <w:sz w:val="20"/>
                      </w:rPr>
                    </w:pP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4"/>
                        <w:w w:val="56"/>
                        <w:sz w:val="20"/>
                      </w:rPr>
                      <w:t>‘</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spacing w:val="-7"/>
                        <w:w w:val="111"/>
                        <w:sz w:val="20"/>
                      </w:rPr>
                      <w:t>m</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w w:val="111"/>
                        <w:sz w:val="20"/>
                      </w:rPr>
                      <w:t>c</w:t>
                    </w:r>
                    <w:r>
                      <w:rPr>
                        <w:rFonts w:ascii="Trebuchet MS" w:hAnsi="Trebuchet MS"/>
                        <w:color w:val="231F20"/>
                        <w:spacing w:val="-4"/>
                        <w:w w:val="105"/>
                        <w:sz w:val="20"/>
                      </w:rPr>
                      <w:t>a</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1"/>
                        <w:w w:val="124"/>
                        <w:sz w:val="20"/>
                      </w:rPr>
                      <w:t>g</w:t>
                    </w:r>
                    <w:r>
                      <w:rPr>
                        <w:rFonts w:ascii="Trebuchet MS" w:hAnsi="Trebuchet MS"/>
                        <w:color w:val="231F20"/>
                        <w:spacing w:val="-1"/>
                        <w:w w:val="111"/>
                        <w:sz w:val="20"/>
                      </w:rPr>
                      <w:t>o</w:t>
                    </w:r>
                    <w:r>
                      <w:rPr>
                        <w:rFonts w:ascii="Trebuchet MS" w:hAnsi="Trebuchet MS"/>
                        <w:color w:val="231F20"/>
                        <w:spacing w:val="3"/>
                        <w:w w:val="93"/>
                        <w:sz w:val="20"/>
                      </w:rPr>
                      <w:t>r</w:t>
                    </w:r>
                    <w:r>
                      <w:rPr>
                        <w:rFonts w:ascii="Trebuchet MS" w:hAnsi="Trebuchet MS"/>
                        <w:color w:val="231F20"/>
                        <w:w w:val="110"/>
                        <w:sz w:val="20"/>
                      </w:rPr>
                      <w:t>y</w:t>
                    </w:r>
                    <w:r>
                      <w:rPr>
                        <w:rFonts w:ascii="Trebuchet MS" w:hAnsi="Trebuchet MS"/>
                        <w:color w:val="231F20"/>
                        <w:spacing w:val="-14"/>
                        <w:sz w:val="20"/>
                      </w:rPr>
                      <w:t xml:space="preserve"> </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6"/>
                        <w:w w:val="111"/>
                        <w:sz w:val="20"/>
                      </w:rPr>
                      <w:t>o</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1"/>
                        <w:w w:val="80"/>
                        <w:sz w:val="20"/>
                      </w:rPr>
                      <w:t>i</w:t>
                    </w:r>
                    <w:r>
                      <w:rPr>
                        <w:rFonts w:ascii="Trebuchet MS" w:hAnsi="Trebuchet MS"/>
                        <w:color w:val="231F20"/>
                        <w:spacing w:val="-1"/>
                        <w:w w:val="111"/>
                        <w:sz w:val="20"/>
                      </w:rPr>
                      <w:t>o</w:t>
                    </w:r>
                    <w:r>
                      <w:rPr>
                        <w:rFonts w:ascii="Trebuchet MS" w:hAnsi="Trebuchet MS"/>
                        <w:color w:val="231F20"/>
                        <w:spacing w:val="-2"/>
                        <w:w w:val="107"/>
                        <w:sz w:val="20"/>
                      </w:rPr>
                      <w:t>n</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spacing w:val="-3"/>
                        <w:w w:val="105"/>
                        <w:sz w:val="20"/>
                      </w:rPr>
                      <w:t>a</w:t>
                    </w:r>
                    <w:r>
                      <w:rPr>
                        <w:rFonts w:ascii="Trebuchet MS" w:hAnsi="Trebuchet MS"/>
                        <w:color w:val="231F20"/>
                        <w:spacing w:val="-4"/>
                        <w:w w:val="96"/>
                        <w:sz w:val="20"/>
                      </w:rPr>
                      <w:t>l</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2"/>
                        <w:w w:val="93"/>
                        <w:sz w:val="20"/>
                      </w:rPr>
                      <w:t>r</w:t>
                    </w:r>
                    <w:r>
                      <w:rPr>
                        <w:rFonts w:ascii="Trebuchet MS" w:hAnsi="Trebuchet MS"/>
                        <w:color w:val="231F20"/>
                        <w:spacing w:val="-1"/>
                        <w:w w:val="107"/>
                        <w:sz w:val="20"/>
                      </w:rPr>
                      <w:t>n</w:t>
                    </w:r>
                    <w:r>
                      <w:rPr>
                        <w:rFonts w:ascii="Trebuchet MS" w:hAnsi="Trebuchet MS"/>
                        <w:color w:val="231F20"/>
                        <w:spacing w:val="-4"/>
                        <w:w w:val="105"/>
                        <w:sz w:val="20"/>
                      </w:rPr>
                      <w:t>a</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spacing w:val="-6"/>
                        <w:w w:val="109"/>
                        <w:sz w:val="20"/>
                      </w:rPr>
                      <w:t>v</w:t>
                    </w:r>
                    <w:r>
                      <w:rPr>
                        <w:rFonts w:ascii="Trebuchet MS" w:hAnsi="Trebuchet MS"/>
                        <w:color w:val="231F20"/>
                        <w:w w:val="108"/>
                        <w:sz w:val="20"/>
                      </w:rPr>
                      <w:t xml:space="preserve">e </w:t>
                    </w:r>
                    <w:r>
                      <w:rPr>
                        <w:rFonts w:ascii="Trebuchet MS" w:hAnsi="Trebuchet MS"/>
                        <w:color w:val="231F20"/>
                        <w:spacing w:val="-2"/>
                        <w:w w:val="105"/>
                        <w:sz w:val="20"/>
                      </w:rPr>
                      <w:t>a</w:t>
                    </w:r>
                    <w:r>
                      <w:rPr>
                        <w:rFonts w:ascii="Trebuchet MS" w:hAnsi="Trebuchet MS"/>
                        <w:color w:val="231F20"/>
                        <w:spacing w:val="-2"/>
                        <w:w w:val="93"/>
                        <w:sz w:val="20"/>
                      </w:rPr>
                      <w:t>rr</w:t>
                    </w:r>
                    <w:r>
                      <w:rPr>
                        <w:rFonts w:ascii="Trebuchet MS" w:hAnsi="Trebuchet MS"/>
                        <w:color w:val="231F20"/>
                        <w:spacing w:val="-2"/>
                        <w:w w:val="105"/>
                        <w:sz w:val="20"/>
                      </w:rPr>
                      <w:t>a</w:t>
                    </w:r>
                    <w:r>
                      <w:rPr>
                        <w:rFonts w:ascii="Trebuchet MS" w:hAnsi="Trebuchet MS"/>
                        <w:color w:val="231F20"/>
                        <w:spacing w:val="-1"/>
                        <w:w w:val="107"/>
                        <w:sz w:val="20"/>
                      </w:rPr>
                      <w:t>n</w:t>
                    </w:r>
                    <w:r>
                      <w:rPr>
                        <w:rFonts w:ascii="Trebuchet MS" w:hAnsi="Trebuchet MS"/>
                        <w:color w:val="231F20"/>
                        <w:spacing w:val="-1"/>
                        <w:w w:val="124"/>
                        <w:sz w:val="20"/>
                      </w:rPr>
                      <w:t>g</w:t>
                    </w:r>
                    <w:r>
                      <w:rPr>
                        <w:rFonts w:ascii="Trebuchet MS" w:hAnsi="Trebuchet MS"/>
                        <w:color w:val="231F20"/>
                        <w:spacing w:val="-1"/>
                        <w:w w:val="108"/>
                        <w:sz w:val="20"/>
                      </w:rPr>
                      <w:t>e</w:t>
                    </w:r>
                    <w:r>
                      <w:rPr>
                        <w:rFonts w:ascii="Trebuchet MS" w:hAnsi="Trebuchet MS"/>
                        <w:color w:val="231F20"/>
                        <w:spacing w:val="-1"/>
                        <w:w w:val="111"/>
                        <w:sz w:val="20"/>
                      </w:rPr>
                      <w:t>m</w:t>
                    </w:r>
                    <w:r>
                      <w:rPr>
                        <w:rFonts w:ascii="Trebuchet MS" w:hAnsi="Trebuchet MS"/>
                        <w:color w:val="231F20"/>
                        <w:spacing w:val="-1"/>
                        <w:w w:val="108"/>
                        <w:sz w:val="20"/>
                      </w:rPr>
                      <w:t>e</w:t>
                    </w:r>
                    <w:r>
                      <w:rPr>
                        <w:rFonts w:ascii="Trebuchet MS" w:hAnsi="Trebuchet MS"/>
                        <w:color w:val="231F20"/>
                        <w:spacing w:val="-4"/>
                        <w:w w:val="107"/>
                        <w:sz w:val="20"/>
                      </w:rPr>
                      <w:t>n</w:t>
                    </w:r>
                    <w:r>
                      <w:rPr>
                        <w:rFonts w:ascii="Trebuchet MS" w:hAnsi="Trebuchet MS"/>
                        <w:color w:val="231F20"/>
                        <w:spacing w:val="2"/>
                        <w:w w:val="88"/>
                        <w:sz w:val="20"/>
                      </w:rPr>
                      <w:t>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2"/>
                        <w:w w:val="124"/>
                        <w:sz w:val="20"/>
                      </w:rPr>
                      <w:t>g</w:t>
                    </w:r>
                    <w:r>
                      <w:rPr>
                        <w:rFonts w:ascii="Trebuchet MS" w:hAnsi="Trebuchet MS"/>
                        <w:color w:val="231F20"/>
                        <w:spacing w:val="-2"/>
                        <w:w w:val="94"/>
                        <w:sz w:val="20"/>
                      </w:rPr>
                      <w:t>ivi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5"/>
                        <w:w w:val="108"/>
                        <w:sz w:val="20"/>
                      </w:rPr>
                      <w:t>e</w:t>
                    </w:r>
                    <w:r>
                      <w:rPr>
                        <w:rFonts w:ascii="Trebuchet MS" w:hAnsi="Trebuchet MS"/>
                        <w:color w:val="231F20"/>
                        <w:spacing w:val="-2"/>
                        <w:w w:val="99"/>
                        <w:sz w:val="20"/>
                      </w:rPr>
                      <w:t>v</w:t>
                    </w:r>
                    <w:r>
                      <w:rPr>
                        <w:rFonts w:ascii="Trebuchet MS" w:hAnsi="Trebuchet MS"/>
                        <w:color w:val="231F20"/>
                        <w:spacing w:val="-1"/>
                        <w:w w:val="99"/>
                        <w:sz w:val="20"/>
                      </w:rPr>
                      <w:t>i</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3"/>
                        <w:w w:val="111"/>
                        <w:sz w:val="20"/>
                      </w:rPr>
                      <w:t>c</w:t>
                    </w:r>
                    <w:r>
                      <w:rPr>
                        <w:rFonts w:ascii="Trebuchet MS" w:hAnsi="Trebuchet MS"/>
                        <w:color w:val="231F20"/>
                        <w:spacing w:val="-3"/>
                        <w:w w:val="108"/>
                        <w:sz w:val="20"/>
                      </w:rPr>
                      <w:t>e</w:t>
                    </w:r>
                    <w:r>
                      <w:rPr>
                        <w:rFonts w:ascii="Trebuchet MS" w:hAnsi="Trebuchet MS"/>
                        <w:color w:val="231F20"/>
                        <w:w w:val="55"/>
                        <w:sz w:val="20"/>
                      </w:rPr>
                      <w:t>.</w:t>
                    </w:r>
                  </w:p>
                  <w:p w14:paraId="65586A54" w14:textId="77777777" w:rsidR="00894070" w:rsidRDefault="009B7AFD">
                    <w:pPr>
                      <w:spacing w:before="87" w:line="247" w:lineRule="auto"/>
                      <w:ind w:right="18"/>
                      <w:jc w:val="both"/>
                      <w:rPr>
                        <w:rFonts w:ascii="Trebuchet MS" w:hAnsi="Trebuchet MS"/>
                        <w:sz w:val="20"/>
                      </w:rPr>
                    </w:pPr>
                    <w:r>
                      <w:rPr>
                        <w:rFonts w:ascii="Trebuchet MS" w:hAnsi="Trebuchet MS"/>
                        <w:color w:val="231F20"/>
                        <w:w w:val="105"/>
                        <w:sz w:val="20"/>
                      </w:rPr>
                      <w:t>The</w:t>
                    </w:r>
                    <w:r>
                      <w:rPr>
                        <w:rFonts w:ascii="Trebuchet MS" w:hAnsi="Trebuchet MS"/>
                        <w:color w:val="231F20"/>
                        <w:spacing w:val="-17"/>
                        <w:w w:val="105"/>
                        <w:sz w:val="20"/>
                      </w:rPr>
                      <w:t xml:space="preserve"> </w:t>
                    </w:r>
                    <w:r>
                      <w:rPr>
                        <w:rFonts w:ascii="Trebuchet MS" w:hAnsi="Trebuchet MS"/>
                        <w:color w:val="231F20"/>
                        <w:w w:val="105"/>
                        <w:sz w:val="20"/>
                      </w:rPr>
                      <w:t>Victorian</w:t>
                    </w:r>
                    <w:r>
                      <w:rPr>
                        <w:rFonts w:ascii="Trebuchet MS" w:hAnsi="Trebuchet MS"/>
                        <w:color w:val="231F20"/>
                        <w:spacing w:val="-16"/>
                        <w:w w:val="105"/>
                        <w:sz w:val="20"/>
                      </w:rPr>
                      <w:t xml:space="preserve"> </w:t>
                    </w:r>
                    <w:r>
                      <w:rPr>
                        <w:rFonts w:ascii="Trebuchet MS" w:hAnsi="Trebuchet MS"/>
                        <w:color w:val="231F20"/>
                        <w:spacing w:val="-3"/>
                        <w:w w:val="105"/>
                        <w:sz w:val="20"/>
                      </w:rPr>
                      <w:t>Government</w:t>
                    </w:r>
                    <w:r>
                      <w:rPr>
                        <w:rFonts w:ascii="Trebuchet MS" w:hAnsi="Trebuchet MS"/>
                        <w:color w:val="231F20"/>
                        <w:spacing w:val="-16"/>
                        <w:w w:val="105"/>
                        <w:sz w:val="20"/>
                      </w:rPr>
                      <w:t xml:space="preserve"> </w:t>
                    </w:r>
                    <w:r>
                      <w:rPr>
                        <w:rFonts w:ascii="Trebuchet MS" w:hAnsi="Trebuchet MS"/>
                        <w:color w:val="231F20"/>
                        <w:w w:val="105"/>
                        <w:sz w:val="20"/>
                      </w:rPr>
                      <w:t>should</w:t>
                    </w:r>
                    <w:r>
                      <w:rPr>
                        <w:rFonts w:ascii="Trebuchet MS" w:hAnsi="Trebuchet MS"/>
                        <w:color w:val="231F20"/>
                        <w:spacing w:val="-16"/>
                        <w:w w:val="105"/>
                        <w:sz w:val="20"/>
                      </w:rPr>
                      <w:t xml:space="preserve"> </w:t>
                    </w:r>
                    <w:r>
                      <w:rPr>
                        <w:rFonts w:ascii="Trebuchet MS" w:hAnsi="Trebuchet MS"/>
                        <w:color w:val="231F20"/>
                        <w:spacing w:val="-3"/>
                        <w:w w:val="105"/>
                        <w:sz w:val="20"/>
                      </w:rPr>
                      <w:t>introduce</w:t>
                    </w:r>
                    <w:r>
                      <w:rPr>
                        <w:rFonts w:ascii="Trebuchet MS" w:hAnsi="Trebuchet MS"/>
                        <w:color w:val="231F20"/>
                        <w:spacing w:val="-16"/>
                        <w:w w:val="105"/>
                        <w:sz w:val="20"/>
                      </w:rPr>
                      <w:t xml:space="preserve"> </w:t>
                    </w:r>
                    <w:r>
                      <w:rPr>
                        <w:rFonts w:ascii="Trebuchet MS" w:hAnsi="Trebuchet MS"/>
                        <w:color w:val="231F20"/>
                        <w:w w:val="105"/>
                        <w:sz w:val="20"/>
                      </w:rPr>
                      <w:t>measures</w:t>
                    </w:r>
                    <w:r>
                      <w:rPr>
                        <w:rFonts w:ascii="Trebuchet MS" w:hAnsi="Trebuchet MS"/>
                        <w:color w:val="231F20"/>
                        <w:spacing w:val="-16"/>
                        <w:w w:val="105"/>
                        <w:sz w:val="20"/>
                      </w:rPr>
                      <w:t xml:space="preserve"> </w:t>
                    </w:r>
                    <w:r>
                      <w:rPr>
                        <w:rFonts w:ascii="Trebuchet MS" w:hAnsi="Trebuchet MS"/>
                        <w:color w:val="231F20"/>
                        <w:w w:val="105"/>
                        <w:sz w:val="20"/>
                      </w:rPr>
                      <w:t>under</w:t>
                    </w:r>
                    <w:r>
                      <w:rPr>
                        <w:rFonts w:ascii="Trebuchet MS" w:hAnsi="Trebuchet MS"/>
                        <w:color w:val="231F20"/>
                        <w:spacing w:val="-16"/>
                        <w:w w:val="105"/>
                        <w:sz w:val="20"/>
                      </w:rPr>
                      <w:t xml:space="preserve"> </w:t>
                    </w:r>
                    <w:r>
                      <w:rPr>
                        <w:rFonts w:ascii="Trebuchet MS" w:hAnsi="Trebuchet MS"/>
                        <w:color w:val="231F20"/>
                        <w:w w:val="105"/>
                        <w:sz w:val="20"/>
                      </w:rPr>
                      <w:t>the</w:t>
                    </w:r>
                    <w:r>
                      <w:rPr>
                        <w:rFonts w:ascii="Trebuchet MS" w:hAnsi="Trebuchet MS"/>
                        <w:color w:val="231F20"/>
                        <w:spacing w:val="-16"/>
                        <w:w w:val="105"/>
                        <w:sz w:val="20"/>
                      </w:rPr>
                      <w:t xml:space="preserve"> </w:t>
                    </w:r>
                    <w:r>
                      <w:rPr>
                        <w:rFonts w:ascii="Arial" w:hAnsi="Arial"/>
                        <w:i/>
                        <w:color w:val="231F20"/>
                        <w:w w:val="105"/>
                        <w:sz w:val="20"/>
                      </w:rPr>
                      <w:t>Criminal</w:t>
                    </w:r>
                    <w:r>
                      <w:rPr>
                        <w:rFonts w:ascii="Arial" w:hAnsi="Arial"/>
                        <w:i/>
                        <w:color w:val="231F20"/>
                        <w:spacing w:val="-13"/>
                        <w:w w:val="105"/>
                        <w:sz w:val="20"/>
                      </w:rPr>
                      <w:t xml:space="preserve"> </w:t>
                    </w:r>
                    <w:r>
                      <w:rPr>
                        <w:rFonts w:ascii="Arial" w:hAnsi="Arial"/>
                        <w:i/>
                        <w:color w:val="231F20"/>
                        <w:spacing w:val="-3"/>
                        <w:w w:val="105"/>
                        <w:sz w:val="20"/>
                      </w:rPr>
                      <w:t xml:space="preserve">Procedure </w:t>
                    </w:r>
                    <w:r>
                      <w:rPr>
                        <w:rFonts w:ascii="Arial" w:hAnsi="Arial"/>
                        <w:i/>
                        <w:color w:val="231F20"/>
                        <w:spacing w:val="-3"/>
                        <w:w w:val="101"/>
                        <w:sz w:val="20"/>
                      </w:rPr>
                      <w:t>Ac</w:t>
                    </w:r>
                    <w:r>
                      <w:rPr>
                        <w:rFonts w:ascii="Arial" w:hAnsi="Arial"/>
                        <w:i/>
                        <w:color w:val="231F20"/>
                        <w:w w:val="121"/>
                        <w:sz w:val="20"/>
                      </w:rPr>
                      <w:t>t</w:t>
                    </w:r>
                    <w:r>
                      <w:rPr>
                        <w:rFonts w:ascii="Arial" w:hAnsi="Arial"/>
                        <w:i/>
                        <w:color w:val="231F20"/>
                        <w:spacing w:val="-11"/>
                        <w:sz w:val="20"/>
                      </w:rPr>
                      <w:t xml:space="preserve"> </w:t>
                    </w:r>
                    <w:r>
                      <w:rPr>
                        <w:rFonts w:ascii="Arial" w:hAnsi="Arial"/>
                        <w:i/>
                        <w:color w:val="231F20"/>
                        <w:spacing w:val="-2"/>
                        <w:w w:val="92"/>
                        <w:sz w:val="20"/>
                      </w:rPr>
                      <w:t>2</w:t>
                    </w:r>
                    <w:r>
                      <w:rPr>
                        <w:rFonts w:ascii="Arial" w:hAnsi="Arial"/>
                        <w:i/>
                        <w:color w:val="231F20"/>
                        <w:spacing w:val="-1"/>
                        <w:w w:val="106"/>
                        <w:sz w:val="20"/>
                      </w:rPr>
                      <w:t>00</w:t>
                    </w:r>
                    <w:r>
                      <w:rPr>
                        <w:rFonts w:ascii="Arial" w:hAnsi="Arial"/>
                        <w:i/>
                        <w:color w:val="231F20"/>
                        <w:w w:val="103"/>
                        <w:sz w:val="20"/>
                      </w:rPr>
                      <w:t>9</w:t>
                    </w:r>
                    <w:r>
                      <w:rPr>
                        <w:rFonts w:ascii="Arial" w:hAnsi="Arial"/>
                        <w:i/>
                        <w:color w:val="231F20"/>
                        <w:spacing w:val="-9"/>
                        <w:sz w:val="20"/>
                      </w:rPr>
                      <w:t xml:space="preserve"> </w:t>
                    </w:r>
                    <w:r>
                      <w:rPr>
                        <w:rFonts w:ascii="Trebuchet MS" w:hAnsi="Trebuchet MS"/>
                        <w:color w:val="231F20"/>
                        <w:spacing w:val="3"/>
                        <w:w w:val="77"/>
                        <w:sz w:val="20"/>
                      </w:rPr>
                      <w:t>(</w:t>
                    </w:r>
                    <w:r>
                      <w:rPr>
                        <w:rFonts w:ascii="Trebuchet MS" w:hAnsi="Trebuchet MS"/>
                        <w:color w:val="231F20"/>
                        <w:spacing w:val="-1"/>
                        <w:w w:val="115"/>
                        <w:sz w:val="20"/>
                      </w:rPr>
                      <w:t>V</w:t>
                    </w:r>
                    <w:r>
                      <w:rPr>
                        <w:rFonts w:ascii="Trebuchet MS" w:hAnsi="Trebuchet MS"/>
                        <w:color w:val="231F20"/>
                        <w:spacing w:val="-1"/>
                        <w:w w:val="80"/>
                        <w:sz w:val="20"/>
                      </w:rPr>
                      <w:t>i</w:t>
                    </w:r>
                    <w:r>
                      <w:rPr>
                        <w:rFonts w:ascii="Trebuchet MS" w:hAnsi="Trebuchet MS"/>
                        <w:color w:val="231F20"/>
                        <w:spacing w:val="-5"/>
                        <w:w w:val="111"/>
                        <w:sz w:val="20"/>
                      </w:rPr>
                      <w:t>c</w:t>
                    </w:r>
                    <w:r>
                      <w:rPr>
                        <w:rFonts w:ascii="Trebuchet MS" w:hAnsi="Trebuchet MS"/>
                        <w:color w:val="231F20"/>
                        <w:w w:val="77"/>
                        <w:sz w:val="20"/>
                      </w:rPr>
                      <w: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3"/>
                        <w:w w:val="105"/>
                        <w:sz w:val="20"/>
                      </w:rPr>
                      <w:t>a</w:t>
                    </w:r>
                    <w:r>
                      <w:rPr>
                        <w:rFonts w:ascii="Trebuchet MS" w:hAnsi="Trebuchet MS"/>
                        <w:color w:val="231F20"/>
                        <w:spacing w:val="-2"/>
                        <w:w w:val="96"/>
                        <w:sz w:val="20"/>
                      </w:rPr>
                      <w:t>l</w:t>
                    </w:r>
                    <w:r>
                      <w:rPr>
                        <w:rFonts w:ascii="Trebuchet MS" w:hAnsi="Trebuchet MS"/>
                        <w:color w:val="231F20"/>
                        <w:spacing w:val="-3"/>
                        <w:w w:val="96"/>
                        <w:sz w:val="20"/>
                      </w:rPr>
                      <w:t>l</w:t>
                    </w:r>
                    <w:r>
                      <w:rPr>
                        <w:rFonts w:ascii="Trebuchet MS" w:hAnsi="Trebuchet MS"/>
                        <w:color w:val="231F20"/>
                        <w:spacing w:val="-6"/>
                        <w:w w:val="111"/>
                        <w:sz w:val="20"/>
                      </w:rPr>
                      <w:t>o</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4"/>
                        <w:w w:val="56"/>
                        <w:sz w:val="20"/>
                      </w:rPr>
                      <w:t>‘</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4"/>
                        <w:w w:val="111"/>
                        <w:sz w:val="20"/>
                      </w:rPr>
                      <w:t>o</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spacing w:val="-2"/>
                        <w:w w:val="111"/>
                        <w:sz w:val="20"/>
                      </w:rPr>
                      <w:t>c</w:t>
                    </w:r>
                    <w:r>
                      <w:rPr>
                        <w:rFonts w:ascii="Trebuchet MS" w:hAnsi="Trebuchet MS"/>
                        <w:color w:val="231F20"/>
                        <w:spacing w:val="-4"/>
                        <w:w w:val="88"/>
                        <w:sz w:val="20"/>
                      </w:rPr>
                      <w:t>t</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1"/>
                        <w:sz w:val="20"/>
                      </w:rPr>
                      <w:t>c</w:t>
                    </w:r>
                    <w:r>
                      <w:rPr>
                        <w:rFonts w:ascii="Trebuchet MS" w:hAnsi="Trebuchet MS"/>
                        <w:color w:val="231F20"/>
                        <w:spacing w:val="-2"/>
                        <w:w w:val="88"/>
                        <w:sz w:val="20"/>
                      </w:rPr>
                      <w:t>t</w:t>
                    </w:r>
                    <w:r>
                      <w:rPr>
                        <w:rFonts w:ascii="Trebuchet MS" w:hAnsi="Trebuchet MS"/>
                        <w:color w:val="231F20"/>
                        <w:spacing w:val="-2"/>
                        <w:w w:val="80"/>
                        <w:sz w:val="20"/>
                      </w:rPr>
                      <w:t>i</w:t>
                    </w:r>
                    <w:r>
                      <w:rPr>
                        <w:rFonts w:ascii="Trebuchet MS" w:hAnsi="Trebuchet MS"/>
                        <w:color w:val="231F20"/>
                        <w:spacing w:val="-2"/>
                        <w:w w:val="111"/>
                        <w:sz w:val="20"/>
                      </w:rPr>
                      <w:t>m</w:t>
                    </w:r>
                    <w:r>
                      <w:rPr>
                        <w:rFonts w:ascii="Trebuchet MS" w:hAnsi="Trebuchet MS"/>
                        <w:color w:val="231F20"/>
                        <w:spacing w:val="-6"/>
                        <w:w w:val="122"/>
                        <w:sz w:val="20"/>
                      </w:rPr>
                      <w:t>s</w:t>
                    </w:r>
                    <w:r>
                      <w:rPr>
                        <w:rFonts w:ascii="Trebuchet MS" w:hAnsi="Trebuchet MS"/>
                        <w:color w:val="231F20"/>
                        <w:w w:val="54"/>
                        <w:sz w:val="20"/>
                      </w:rPr>
                      <w:t>’</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124"/>
                        <w:sz w:val="20"/>
                      </w:rPr>
                      <w:t>g</w:t>
                    </w:r>
                    <w:r>
                      <w:rPr>
                        <w:rFonts w:ascii="Trebuchet MS" w:hAnsi="Trebuchet MS"/>
                        <w:color w:val="231F20"/>
                        <w:spacing w:val="-2"/>
                        <w:w w:val="80"/>
                        <w:sz w:val="20"/>
                      </w:rPr>
                      <w:t>i</w:t>
                    </w:r>
                    <w:r>
                      <w:rPr>
                        <w:rFonts w:ascii="Trebuchet MS" w:hAnsi="Trebuchet MS"/>
                        <w:color w:val="231F20"/>
                        <w:spacing w:val="-6"/>
                        <w:w w:val="109"/>
                        <w:sz w:val="20"/>
                      </w:rPr>
                      <w:t>v</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1"/>
                        <w:w w:val="108"/>
                        <w:sz w:val="20"/>
                      </w:rPr>
                      <w:t>e</w:t>
                    </w:r>
                    <w:r>
                      <w:rPr>
                        <w:rFonts w:ascii="Trebuchet MS" w:hAnsi="Trebuchet MS"/>
                        <w:color w:val="231F20"/>
                        <w:spacing w:val="-2"/>
                        <w:w w:val="80"/>
                        <w:sz w:val="20"/>
                      </w:rPr>
                      <w:t>i</w:t>
                    </w:r>
                    <w:r>
                      <w:rPr>
                        <w:rFonts w:ascii="Trebuchet MS" w:hAnsi="Trebuchet MS"/>
                        <w:color w:val="231F20"/>
                        <w:w w:val="93"/>
                        <w:sz w:val="20"/>
                      </w:rPr>
                      <w:t>r</w:t>
                    </w:r>
                    <w:r>
                      <w:rPr>
                        <w:rFonts w:ascii="Trebuchet MS" w:hAnsi="Trebuchet MS"/>
                        <w:color w:val="231F20"/>
                        <w:spacing w:val="-14"/>
                        <w:sz w:val="20"/>
                      </w:rPr>
                      <w:t xml:space="preserve"> </w:t>
                    </w:r>
                    <w:r>
                      <w:rPr>
                        <w:rFonts w:ascii="Trebuchet MS" w:hAnsi="Trebuchet MS"/>
                        <w:color w:val="231F20"/>
                        <w:spacing w:val="-5"/>
                        <w:w w:val="108"/>
                        <w:sz w:val="20"/>
                      </w:rPr>
                      <w:t>e</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spacing w:val="-1"/>
                        <w:w w:val="108"/>
                        <w:sz w:val="20"/>
                      </w:rPr>
                      <w:t>e</w:t>
                    </w:r>
                    <w:r>
                      <w:rPr>
                        <w:rFonts w:ascii="Trebuchet MS" w:hAnsi="Trebuchet MS"/>
                        <w:color w:val="231F20"/>
                        <w:spacing w:val="-1"/>
                        <w:w w:val="107"/>
                        <w:sz w:val="20"/>
                      </w:rPr>
                      <w:t>n</w:t>
                    </w:r>
                    <w:r>
                      <w:rPr>
                        <w:rFonts w:ascii="Trebuchet MS" w:hAnsi="Trebuchet MS"/>
                        <w:color w:val="231F20"/>
                        <w:spacing w:val="-3"/>
                        <w:w w:val="111"/>
                        <w:sz w:val="20"/>
                      </w:rPr>
                      <w:t>c</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w w:val="107"/>
                        <w:sz w:val="20"/>
                      </w:rPr>
                      <w:t>n</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5"/>
                        <w:w w:val="92"/>
                        <w:sz w:val="20"/>
                      </w:rPr>
                      <w:t>f</w:t>
                    </w:r>
                    <w:r>
                      <w:rPr>
                        <w:rFonts w:ascii="Trebuchet MS" w:hAnsi="Trebuchet MS"/>
                        <w:color w:val="231F20"/>
                        <w:spacing w:val="-1"/>
                        <w:w w:val="111"/>
                        <w:sz w:val="20"/>
                      </w:rPr>
                      <w:t>o</w:t>
                    </w:r>
                    <w:r>
                      <w:rPr>
                        <w:rFonts w:ascii="Trebuchet MS" w:hAnsi="Trebuchet MS"/>
                        <w:color w:val="231F20"/>
                        <w:spacing w:val="-2"/>
                        <w:w w:val="93"/>
                        <w:sz w:val="20"/>
                      </w:rPr>
                      <w:t>r</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4"/>
                        <w:w w:val="111"/>
                        <w:sz w:val="20"/>
                      </w:rPr>
                      <w:t>o</w:t>
                    </w:r>
                    <w:r>
                      <w:rPr>
                        <w:rFonts w:ascii="Trebuchet MS" w:hAnsi="Trebuchet MS"/>
                        <w:color w:val="231F20"/>
                        <w:w w:val="92"/>
                        <w:sz w:val="20"/>
                      </w:rPr>
                      <w:t>f</w:t>
                    </w:r>
                    <w:r>
                      <w:rPr>
                        <w:rFonts w:ascii="Trebuchet MS" w:hAnsi="Trebuchet MS"/>
                        <w:color w:val="231F20"/>
                        <w:spacing w:val="-14"/>
                        <w:sz w:val="20"/>
                      </w:rPr>
                      <w:t xml:space="preserve"> </w:t>
                    </w:r>
                    <w:r>
                      <w:rPr>
                        <w:rFonts w:ascii="Trebuchet MS" w:hAnsi="Trebuchet MS"/>
                        <w:color w:val="231F20"/>
                        <w:w w:val="105"/>
                        <w:sz w:val="20"/>
                      </w:rPr>
                      <w:t>a</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4"/>
                        <w:w w:val="93"/>
                        <w:sz w:val="20"/>
                      </w:rPr>
                      <w:t>r</w:t>
                    </w:r>
                    <w:r>
                      <w:rPr>
                        <w:rFonts w:ascii="Trebuchet MS" w:hAnsi="Trebuchet MS"/>
                        <w:color w:val="231F20"/>
                        <w:spacing w:val="1"/>
                        <w:w w:val="108"/>
                        <w:sz w:val="20"/>
                      </w:rPr>
                      <w:t>e</w:t>
                    </w:r>
                    <w:r>
                      <w:rPr>
                        <w:rFonts w:ascii="Trebuchet MS" w:hAnsi="Trebuchet MS"/>
                        <w:color w:val="231F20"/>
                        <w:w w:val="115"/>
                        <w:sz w:val="20"/>
                      </w:rPr>
                      <w:t xml:space="preserve">- </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spacing w:val="-3"/>
                        <w:w w:val="111"/>
                        <w:sz w:val="20"/>
                      </w:rPr>
                      <w:t>c</w:t>
                    </w:r>
                    <w:r>
                      <w:rPr>
                        <w:rFonts w:ascii="Trebuchet MS" w:hAnsi="Trebuchet MS"/>
                        <w:color w:val="231F20"/>
                        <w:spacing w:val="-1"/>
                        <w:w w:val="103"/>
                        <w:sz w:val="20"/>
                      </w:rPr>
                      <w:t>o</w:t>
                    </w:r>
                    <w:r>
                      <w:rPr>
                        <w:rFonts w:ascii="Trebuchet MS" w:hAnsi="Trebuchet MS"/>
                        <w:color w:val="231F20"/>
                        <w:spacing w:val="-4"/>
                        <w:w w:val="103"/>
                        <w:sz w:val="20"/>
                      </w:rPr>
                      <w:t>r</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spacing w:val="-1"/>
                        <w:w w:val="115"/>
                        <w:sz w:val="20"/>
                      </w:rPr>
                      <w:t>ng</w:t>
                    </w:r>
                    <w:r>
                      <w:rPr>
                        <w:rFonts w:ascii="Trebuchet MS" w:hAnsi="Trebuchet MS"/>
                        <w:color w:val="231F20"/>
                        <w:w w:val="55"/>
                        <w:sz w:val="20"/>
                      </w:rPr>
                      <w:t>.</w:t>
                    </w:r>
                  </w:p>
                </w:txbxContent>
              </v:textbox>
            </v:shape>
            <v:shape id="_x0000_s1136" type="#_x0000_t202" style="position:absolute;left:566;top:1033;width:290;height:1520" filled="f" stroked="f">
              <v:textbox inset="0,0,0,0">
                <w:txbxContent>
                  <w:p w14:paraId="2A490BDA" w14:textId="77777777" w:rsidR="00894070" w:rsidRDefault="009B7AFD">
                    <w:pPr>
                      <w:rPr>
                        <w:rFonts w:ascii="Trebuchet MS"/>
                        <w:sz w:val="20"/>
                      </w:rPr>
                    </w:pPr>
                    <w:r>
                      <w:rPr>
                        <w:rFonts w:ascii="Trebuchet MS"/>
                        <w:color w:val="231F20"/>
                        <w:w w:val="102"/>
                        <w:sz w:val="20"/>
                      </w:rPr>
                      <w:t>3</w:t>
                    </w:r>
                    <w:r>
                      <w:rPr>
                        <w:rFonts w:ascii="Trebuchet MS"/>
                        <w:color w:val="231F20"/>
                        <w:w w:val="114"/>
                        <w:sz w:val="20"/>
                      </w:rPr>
                      <w:t>8</w:t>
                    </w:r>
                    <w:r>
                      <w:rPr>
                        <w:rFonts w:ascii="Trebuchet MS"/>
                        <w:color w:val="231F20"/>
                        <w:w w:val="55"/>
                        <w:sz w:val="20"/>
                      </w:rPr>
                      <w:t>.</w:t>
                    </w:r>
                  </w:p>
                  <w:p w14:paraId="4F58695C" w14:textId="77777777" w:rsidR="00894070" w:rsidRDefault="00894070">
                    <w:pPr>
                      <w:rPr>
                        <w:b/>
                      </w:rPr>
                    </w:pPr>
                  </w:p>
                  <w:p w14:paraId="0DCECCFC" w14:textId="77777777" w:rsidR="00894070" w:rsidRDefault="00894070">
                    <w:pPr>
                      <w:rPr>
                        <w:b/>
                      </w:rPr>
                    </w:pPr>
                  </w:p>
                  <w:p w14:paraId="519A9BDD" w14:textId="77777777" w:rsidR="00894070" w:rsidRDefault="00894070">
                    <w:pPr>
                      <w:spacing w:before="12"/>
                      <w:rPr>
                        <w:b/>
                        <w:sz w:val="31"/>
                      </w:rPr>
                    </w:pPr>
                  </w:p>
                  <w:p w14:paraId="335A4F98" w14:textId="77777777" w:rsidR="00894070" w:rsidRDefault="009B7AFD">
                    <w:pPr>
                      <w:rPr>
                        <w:rFonts w:ascii="Trebuchet MS"/>
                        <w:sz w:val="20"/>
                      </w:rPr>
                    </w:pPr>
                    <w:r>
                      <w:rPr>
                        <w:rFonts w:ascii="Trebuchet MS"/>
                        <w:color w:val="231F20"/>
                        <w:w w:val="102"/>
                        <w:sz w:val="20"/>
                      </w:rPr>
                      <w:t>3</w:t>
                    </w:r>
                    <w:r>
                      <w:rPr>
                        <w:rFonts w:ascii="Trebuchet MS"/>
                        <w:color w:val="231F20"/>
                        <w:spacing w:val="3"/>
                        <w:w w:val="112"/>
                        <w:sz w:val="20"/>
                      </w:rPr>
                      <w:t>9</w:t>
                    </w:r>
                    <w:r>
                      <w:rPr>
                        <w:rFonts w:ascii="Trebuchet MS"/>
                        <w:color w:val="231F20"/>
                        <w:w w:val="55"/>
                        <w:sz w:val="20"/>
                      </w:rPr>
                      <w:t>.</w:t>
                    </w:r>
                  </w:p>
                </w:txbxContent>
              </v:textbox>
            </v:shape>
            <v:shape id="_x0000_s1135" type="#_x0000_t202" style="position:absolute;left:566;top:226;width:2917;height:376" filled="f" stroked="f">
              <v:textbox inset="0,0,0,0">
                <w:txbxContent>
                  <w:p w14:paraId="2C2DC2A5" w14:textId="77777777" w:rsidR="00894070" w:rsidRDefault="009B7AFD">
                    <w:pPr>
                      <w:spacing w:line="376" w:lineRule="exact"/>
                      <w:rPr>
                        <w:rFonts w:ascii="Raleway ExtraBold"/>
                        <w:b/>
                        <w:sz w:val="32"/>
                      </w:rPr>
                    </w:pPr>
                    <w:r>
                      <w:rPr>
                        <w:rFonts w:ascii="Raleway ExtraBold"/>
                        <w:b/>
                        <w:color w:val="EA5B50"/>
                        <w:spacing w:val="-3"/>
                        <w:sz w:val="32"/>
                      </w:rPr>
                      <w:t>Recommendations</w:t>
                    </w:r>
                  </w:p>
                </w:txbxContent>
              </v:textbox>
            </v:shape>
            <w10:anchorlock/>
          </v:group>
        </w:pict>
      </w:r>
    </w:p>
    <w:p w14:paraId="380977D9" w14:textId="77777777" w:rsidR="00894070" w:rsidRDefault="00894070">
      <w:pPr>
        <w:pStyle w:val="BodyText"/>
        <w:spacing w:before="4"/>
        <w:rPr>
          <w:b/>
          <w:sz w:val="29"/>
        </w:rPr>
      </w:pPr>
    </w:p>
    <w:p w14:paraId="5E47A103" w14:textId="77777777" w:rsidR="00894070" w:rsidRDefault="009B7AFD">
      <w:pPr>
        <w:spacing w:before="49"/>
        <w:ind w:left="1007"/>
        <w:rPr>
          <w:b/>
          <w:sz w:val="24"/>
        </w:rPr>
      </w:pPr>
      <w:r>
        <w:rPr>
          <w:b/>
          <w:color w:val="231F20"/>
          <w:sz w:val="24"/>
        </w:rPr>
        <w:t>The courtroom experience should be safe for victim survivors</w:t>
      </w:r>
    </w:p>
    <w:p w14:paraId="7CF8E07B" w14:textId="77777777" w:rsidR="00894070" w:rsidRDefault="009B7AFD">
      <w:pPr>
        <w:pStyle w:val="ListParagraph"/>
        <w:numPr>
          <w:ilvl w:val="0"/>
          <w:numId w:val="45"/>
        </w:numPr>
        <w:tabs>
          <w:tab w:val="left" w:pos="1801"/>
          <w:tab w:val="left" w:pos="1802"/>
        </w:tabs>
        <w:spacing w:before="95" w:line="259" w:lineRule="exact"/>
        <w:rPr>
          <w:sz w:val="20"/>
        </w:rPr>
      </w:pPr>
      <w:r>
        <w:rPr>
          <w:color w:val="231F20"/>
          <w:spacing w:val="-6"/>
          <w:sz w:val="20"/>
        </w:rPr>
        <w:t xml:space="preserve">We </w:t>
      </w:r>
      <w:r>
        <w:rPr>
          <w:color w:val="231F20"/>
          <w:sz w:val="20"/>
        </w:rPr>
        <w:t>heard</w:t>
      </w:r>
      <w:r>
        <w:rPr>
          <w:color w:val="231F20"/>
          <w:spacing w:val="-6"/>
          <w:sz w:val="20"/>
        </w:rPr>
        <w:t xml:space="preserve"> </w:t>
      </w:r>
      <w:r>
        <w:rPr>
          <w:color w:val="231F20"/>
          <w:sz w:val="20"/>
        </w:rPr>
        <w:t>about</w:t>
      </w:r>
      <w:r>
        <w:rPr>
          <w:color w:val="231F20"/>
          <w:spacing w:val="-6"/>
          <w:sz w:val="20"/>
        </w:rPr>
        <w:t xml:space="preserve"> </w:t>
      </w:r>
      <w:r>
        <w:rPr>
          <w:color w:val="231F20"/>
          <w:sz w:val="20"/>
        </w:rPr>
        <w:t>the</w:t>
      </w:r>
      <w:r>
        <w:rPr>
          <w:color w:val="231F20"/>
          <w:spacing w:val="-6"/>
          <w:sz w:val="20"/>
        </w:rPr>
        <w:t xml:space="preserve"> </w:t>
      </w:r>
      <w:r>
        <w:rPr>
          <w:color w:val="231F20"/>
          <w:sz w:val="20"/>
        </w:rPr>
        <w:t>need</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a</w:t>
      </w:r>
      <w:r>
        <w:rPr>
          <w:color w:val="231F20"/>
          <w:spacing w:val="-6"/>
          <w:sz w:val="20"/>
        </w:rPr>
        <w:t xml:space="preserve"> </w:t>
      </w:r>
      <w:r>
        <w:rPr>
          <w:color w:val="231F20"/>
          <w:spacing w:val="-3"/>
          <w:sz w:val="20"/>
        </w:rPr>
        <w:t>safe</w:t>
      </w:r>
      <w:r>
        <w:rPr>
          <w:color w:val="231F20"/>
          <w:spacing w:val="-6"/>
          <w:sz w:val="20"/>
        </w:rPr>
        <w:t xml:space="preserve"> </w:t>
      </w:r>
      <w:r>
        <w:rPr>
          <w:color w:val="231F20"/>
          <w:sz w:val="20"/>
        </w:rPr>
        <w:t>courtroom</w:t>
      </w:r>
      <w:r>
        <w:rPr>
          <w:color w:val="231F20"/>
          <w:spacing w:val="-6"/>
          <w:sz w:val="20"/>
        </w:rPr>
        <w:t xml:space="preserve"> </w:t>
      </w:r>
      <w:r>
        <w:rPr>
          <w:color w:val="231F20"/>
          <w:sz w:val="20"/>
        </w:rPr>
        <w:t>experience</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6"/>
          <w:sz w:val="20"/>
        </w:rPr>
        <w:t xml:space="preserve"> </w:t>
      </w:r>
      <w:r>
        <w:rPr>
          <w:color w:val="231F20"/>
          <w:sz w:val="20"/>
        </w:rPr>
        <w:t>of</w:t>
      </w:r>
      <w:r>
        <w:rPr>
          <w:color w:val="231F20"/>
          <w:spacing w:val="-6"/>
          <w:sz w:val="20"/>
        </w:rPr>
        <w:t xml:space="preserve"> </w:t>
      </w:r>
      <w:r>
        <w:rPr>
          <w:color w:val="231F20"/>
          <w:sz w:val="20"/>
        </w:rPr>
        <w:t>stalking.</w:t>
      </w:r>
    </w:p>
    <w:p w14:paraId="72C8BA34" w14:textId="77777777" w:rsidR="00894070" w:rsidRDefault="009B7AFD">
      <w:pPr>
        <w:pStyle w:val="BodyText"/>
        <w:spacing w:line="259" w:lineRule="exact"/>
        <w:ind w:left="1801"/>
        <w:rPr>
          <w:sz w:val="11"/>
        </w:rPr>
      </w:pPr>
      <w:r>
        <w:rPr>
          <w:color w:val="231F20"/>
        </w:rPr>
        <w:t>This included safe infrastructure and design in courtrooms,</w:t>
      </w:r>
      <w:r>
        <w:rPr>
          <w:color w:val="231F20"/>
          <w:position w:val="7"/>
          <w:sz w:val="11"/>
        </w:rPr>
        <w:t xml:space="preserve">174 </w:t>
      </w:r>
      <w:r>
        <w:rPr>
          <w:color w:val="231F20"/>
        </w:rPr>
        <w:t>including for children.</w:t>
      </w:r>
      <w:r>
        <w:rPr>
          <w:color w:val="231F20"/>
          <w:position w:val="7"/>
          <w:sz w:val="11"/>
        </w:rPr>
        <w:t>175</w:t>
      </w:r>
    </w:p>
    <w:p w14:paraId="199C4FE9" w14:textId="77777777" w:rsidR="00894070" w:rsidRDefault="009B7AFD">
      <w:pPr>
        <w:pStyle w:val="ListParagraph"/>
        <w:numPr>
          <w:ilvl w:val="0"/>
          <w:numId w:val="45"/>
        </w:numPr>
        <w:tabs>
          <w:tab w:val="left" w:pos="1801"/>
          <w:tab w:val="left" w:pos="1802"/>
        </w:tabs>
        <w:spacing w:before="115" w:line="206" w:lineRule="auto"/>
        <w:ind w:right="1186"/>
        <w:rPr>
          <w:sz w:val="20"/>
        </w:rPr>
      </w:pPr>
      <w:r>
        <w:rPr>
          <w:color w:val="231F20"/>
          <w:sz w:val="20"/>
        </w:rPr>
        <w:t xml:space="preserve">These issues </w:t>
      </w:r>
      <w:r>
        <w:rPr>
          <w:color w:val="231F20"/>
          <w:spacing w:val="-4"/>
          <w:sz w:val="20"/>
        </w:rPr>
        <w:t xml:space="preserve">were </w:t>
      </w:r>
      <w:r>
        <w:rPr>
          <w:color w:val="231F20"/>
          <w:sz w:val="20"/>
        </w:rPr>
        <w:t xml:space="preserve">also addressed in our report </w:t>
      </w:r>
      <w:r>
        <w:rPr>
          <w:i/>
          <w:color w:val="231F20"/>
          <w:sz w:val="20"/>
        </w:rPr>
        <w:t xml:space="preserve">The </w:t>
      </w:r>
      <w:r>
        <w:rPr>
          <w:i/>
          <w:color w:val="231F20"/>
          <w:spacing w:val="-3"/>
          <w:sz w:val="20"/>
        </w:rPr>
        <w:t xml:space="preserve">Role </w:t>
      </w:r>
      <w:r>
        <w:rPr>
          <w:i/>
          <w:color w:val="231F20"/>
          <w:sz w:val="20"/>
        </w:rPr>
        <w:t xml:space="preserve">of Victims of Crime in the Criminal </w:t>
      </w:r>
      <w:r>
        <w:rPr>
          <w:i/>
          <w:color w:val="231F20"/>
          <w:spacing w:val="-5"/>
          <w:sz w:val="20"/>
        </w:rPr>
        <w:t xml:space="preserve">Trial </w:t>
      </w:r>
      <w:r>
        <w:rPr>
          <w:i/>
          <w:color w:val="231F20"/>
          <w:sz w:val="20"/>
        </w:rPr>
        <w:t xml:space="preserve">Process </w:t>
      </w:r>
      <w:r>
        <w:rPr>
          <w:color w:val="231F20"/>
          <w:spacing w:val="-4"/>
          <w:sz w:val="20"/>
        </w:rPr>
        <w:t xml:space="preserve">(2016). </w:t>
      </w:r>
      <w:r>
        <w:rPr>
          <w:color w:val="231F20"/>
          <w:sz w:val="20"/>
        </w:rPr>
        <w:t xml:space="preserve">In that report, </w:t>
      </w:r>
      <w:r>
        <w:rPr>
          <w:color w:val="231F20"/>
          <w:spacing w:val="-3"/>
          <w:sz w:val="20"/>
        </w:rPr>
        <w:t xml:space="preserve">we </w:t>
      </w:r>
      <w:r>
        <w:rPr>
          <w:color w:val="231F20"/>
          <w:sz w:val="20"/>
        </w:rPr>
        <w:t xml:space="preserve">observed that the design and physical </w:t>
      </w:r>
      <w:r>
        <w:rPr>
          <w:color w:val="231F20"/>
          <w:spacing w:val="-3"/>
          <w:sz w:val="20"/>
        </w:rPr>
        <w:t>infrastructure</w:t>
      </w:r>
      <w:r>
        <w:rPr>
          <w:color w:val="231F20"/>
          <w:spacing w:val="-12"/>
          <w:sz w:val="20"/>
        </w:rPr>
        <w:t xml:space="preserve"> </w:t>
      </w:r>
      <w:r>
        <w:rPr>
          <w:color w:val="231F20"/>
          <w:sz w:val="20"/>
        </w:rPr>
        <w:t>of</w:t>
      </w:r>
      <w:r>
        <w:rPr>
          <w:color w:val="231F20"/>
          <w:spacing w:val="-11"/>
          <w:sz w:val="20"/>
        </w:rPr>
        <w:t xml:space="preserve"> </w:t>
      </w:r>
      <w:r>
        <w:rPr>
          <w:color w:val="231F20"/>
          <w:sz w:val="20"/>
        </w:rPr>
        <w:t>courts</w:t>
      </w:r>
      <w:r>
        <w:rPr>
          <w:color w:val="231F20"/>
          <w:spacing w:val="-11"/>
          <w:sz w:val="20"/>
        </w:rPr>
        <w:t xml:space="preserve"> </w:t>
      </w:r>
      <w:r>
        <w:rPr>
          <w:color w:val="231F20"/>
          <w:sz w:val="20"/>
        </w:rPr>
        <w:t>can</w:t>
      </w:r>
      <w:r>
        <w:rPr>
          <w:color w:val="231F20"/>
          <w:spacing w:val="-12"/>
          <w:sz w:val="20"/>
        </w:rPr>
        <w:t xml:space="preserve"> </w:t>
      </w:r>
      <w:r>
        <w:rPr>
          <w:color w:val="231F20"/>
          <w:sz w:val="20"/>
        </w:rPr>
        <w:t>make</w:t>
      </w:r>
      <w:r>
        <w:rPr>
          <w:color w:val="231F20"/>
          <w:spacing w:val="-11"/>
          <w:sz w:val="20"/>
        </w:rPr>
        <w:t xml:space="preserve"> </w:t>
      </w:r>
      <w:r>
        <w:rPr>
          <w:color w:val="231F20"/>
          <w:sz w:val="20"/>
        </w:rPr>
        <w:t>it</w:t>
      </w:r>
      <w:r>
        <w:rPr>
          <w:color w:val="231F20"/>
          <w:spacing w:val="-11"/>
          <w:sz w:val="20"/>
        </w:rPr>
        <w:t xml:space="preserve"> </w:t>
      </w:r>
      <w:r>
        <w:rPr>
          <w:color w:val="231F20"/>
          <w:sz w:val="20"/>
        </w:rPr>
        <w:t>difficult</w:t>
      </w:r>
      <w:r>
        <w:rPr>
          <w:color w:val="231F20"/>
          <w:spacing w:val="-12"/>
          <w:sz w:val="20"/>
        </w:rPr>
        <w:t xml:space="preserve"> </w:t>
      </w:r>
      <w:r>
        <w:rPr>
          <w:color w:val="231F20"/>
          <w:sz w:val="20"/>
        </w:rPr>
        <w:t>to</w:t>
      </w:r>
      <w:r>
        <w:rPr>
          <w:color w:val="231F20"/>
          <w:spacing w:val="-11"/>
          <w:sz w:val="20"/>
        </w:rPr>
        <w:t xml:space="preserve"> </w:t>
      </w:r>
      <w:r>
        <w:rPr>
          <w:color w:val="231F20"/>
          <w:sz w:val="20"/>
        </w:rPr>
        <w:t>minimise</w:t>
      </w:r>
      <w:r>
        <w:rPr>
          <w:color w:val="231F20"/>
          <w:spacing w:val="-11"/>
          <w:sz w:val="20"/>
        </w:rPr>
        <w:t xml:space="preserve"> </w:t>
      </w:r>
      <w:r>
        <w:rPr>
          <w:color w:val="231F20"/>
          <w:sz w:val="20"/>
        </w:rPr>
        <w:t>contact</w:t>
      </w:r>
      <w:r>
        <w:rPr>
          <w:color w:val="231F20"/>
          <w:spacing w:val="-12"/>
          <w:sz w:val="20"/>
        </w:rPr>
        <w:t xml:space="preserve"> </w:t>
      </w:r>
      <w:r>
        <w:rPr>
          <w:color w:val="231F20"/>
          <w:sz w:val="20"/>
        </w:rPr>
        <w:t>between</w:t>
      </w:r>
      <w:r>
        <w:rPr>
          <w:color w:val="231F20"/>
          <w:spacing w:val="-11"/>
          <w:sz w:val="20"/>
        </w:rPr>
        <w:t xml:space="preserve"> </w:t>
      </w:r>
      <w:r>
        <w:rPr>
          <w:color w:val="231F20"/>
          <w:sz w:val="20"/>
        </w:rPr>
        <w:t>a</w:t>
      </w:r>
      <w:r>
        <w:rPr>
          <w:color w:val="231F20"/>
          <w:spacing w:val="-11"/>
          <w:sz w:val="20"/>
        </w:rPr>
        <w:t xml:space="preserve"> </w:t>
      </w:r>
      <w:r>
        <w:rPr>
          <w:color w:val="231F20"/>
          <w:sz w:val="20"/>
        </w:rPr>
        <w:t>complainant and the accused.</w:t>
      </w:r>
      <w:r>
        <w:rPr>
          <w:color w:val="231F20"/>
          <w:position w:val="7"/>
          <w:sz w:val="11"/>
        </w:rPr>
        <w:t xml:space="preserve">176 </w:t>
      </w:r>
      <w:r>
        <w:rPr>
          <w:color w:val="231F20"/>
          <w:spacing w:val="-6"/>
          <w:sz w:val="20"/>
        </w:rPr>
        <w:t xml:space="preserve">We </w:t>
      </w:r>
      <w:r>
        <w:rPr>
          <w:color w:val="231F20"/>
          <w:sz w:val="20"/>
        </w:rPr>
        <w:t xml:space="preserve">recommended measures to </w:t>
      </w:r>
      <w:r>
        <w:rPr>
          <w:color w:val="231F20"/>
          <w:spacing w:val="-3"/>
          <w:sz w:val="20"/>
        </w:rPr>
        <w:t xml:space="preserve">protect </w:t>
      </w:r>
      <w:r>
        <w:rPr>
          <w:color w:val="231F20"/>
          <w:sz w:val="20"/>
        </w:rPr>
        <w:t>victim survivors attending court in indictable criminal trials (see</w:t>
      </w:r>
      <w:r>
        <w:rPr>
          <w:color w:val="231F20"/>
          <w:spacing w:val="-27"/>
          <w:sz w:val="20"/>
        </w:rPr>
        <w:t xml:space="preserve"> </w:t>
      </w:r>
      <w:r>
        <w:rPr>
          <w:color w:val="231F20"/>
          <w:spacing w:val="-3"/>
          <w:sz w:val="20"/>
        </w:rPr>
        <w:t>box).</w:t>
      </w:r>
    </w:p>
    <w:p w14:paraId="1CB24A3B" w14:textId="77777777" w:rsidR="00894070" w:rsidRDefault="009F6793">
      <w:pPr>
        <w:pStyle w:val="BodyText"/>
        <w:spacing w:before="10"/>
        <w:rPr>
          <w:sz w:val="23"/>
        </w:rPr>
      </w:pPr>
      <w:r>
        <w:pict w14:anchorId="624EDB30">
          <v:group id="_x0000_s1125" style="position:absolute;margin-left:79.35pt;margin-top:18.4pt;width:437.05pt;height:206.6pt;z-index:251754496;mso-wrap-distance-left:0;mso-wrap-distance-right:0;mso-position-horizontal-relative:page" coordorigin="1587,368" coordsize="8741,4132">
            <v:rect id="_x0000_s1133" style="position:absolute;left:1592;top:373;width:8731;height:4122" fillcolor="#fee7de" stroked="f"/>
            <v:line id="_x0000_s1132" style="position:absolute" from="1587,373" to="10328,373" strokecolor="#ea5b50" strokeweight=".5pt"/>
            <v:line id="_x0000_s1131" style="position:absolute" from="1592,4490" to="1592,378" strokecolor="#ea5b50" strokeweight=".5pt"/>
            <v:line id="_x0000_s1130" style="position:absolute" from="10323,4490" to="10323,378" strokecolor="#ea5b50" strokeweight=".5pt"/>
            <v:line id="_x0000_s1129" style="position:absolute" from="1587,4495" to="10328,4495" strokecolor="#ea5b50" strokeweight=".5pt"/>
            <v:shape id="_x0000_s1128" type="#_x0000_t202" style="position:absolute;left:2612;top:2040;width:7321;height:2275" filled="f" stroked="f">
              <v:textbox inset="0,0,0,0">
                <w:txbxContent>
                  <w:p w14:paraId="40A55085" w14:textId="77777777" w:rsidR="00894070" w:rsidRDefault="009B7AFD">
                    <w:pPr>
                      <w:spacing w:line="206" w:lineRule="auto"/>
                      <w:ind w:right="71"/>
                      <w:rPr>
                        <w:sz w:val="20"/>
                      </w:rPr>
                    </w:pPr>
                    <w:r>
                      <w:rPr>
                        <w:color w:val="231F20"/>
                        <w:sz w:val="20"/>
                      </w:rPr>
                      <w:t>ensuring that victims can enter and leave courthouses safely, including, where possible, allowing them to use a separate entrance and exit</w:t>
                    </w:r>
                  </w:p>
                  <w:p w14:paraId="210ED60F" w14:textId="77777777" w:rsidR="00894070" w:rsidRDefault="009B7AFD">
                    <w:pPr>
                      <w:spacing w:before="112" w:line="206" w:lineRule="auto"/>
                      <w:ind w:right="332"/>
                      <w:rPr>
                        <w:sz w:val="20"/>
                      </w:rPr>
                    </w:pPr>
                    <w:r>
                      <w:rPr>
                        <w:color w:val="231F20"/>
                        <w:sz w:val="20"/>
                      </w:rPr>
                      <w:t>making available separate rooms for victims to wait in at court and ensuring victims know where they are</w:t>
                    </w:r>
                  </w:p>
                  <w:p w14:paraId="5136CBD3" w14:textId="77777777" w:rsidR="00894070" w:rsidRDefault="009B7AFD">
                    <w:pPr>
                      <w:spacing w:before="90" w:line="259" w:lineRule="exact"/>
                      <w:rPr>
                        <w:sz w:val="20"/>
                      </w:rPr>
                    </w:pPr>
                    <w:r>
                      <w:rPr>
                        <w:color w:val="231F20"/>
                        <w:sz w:val="20"/>
                      </w:rPr>
                      <w:t>establishing</w:t>
                    </w:r>
                    <w:r>
                      <w:rPr>
                        <w:color w:val="231F20"/>
                        <w:spacing w:val="-8"/>
                        <w:sz w:val="20"/>
                      </w:rPr>
                      <w:t xml:space="preserve"> </w:t>
                    </w:r>
                    <w:r>
                      <w:rPr>
                        <w:color w:val="231F20"/>
                        <w:sz w:val="20"/>
                      </w:rPr>
                      <w:t>remote</w:t>
                    </w:r>
                    <w:r>
                      <w:rPr>
                        <w:color w:val="231F20"/>
                        <w:spacing w:val="-8"/>
                        <w:sz w:val="20"/>
                      </w:rPr>
                      <w:t xml:space="preserve"> </w:t>
                    </w:r>
                    <w:r>
                      <w:rPr>
                        <w:color w:val="231F20"/>
                        <w:sz w:val="20"/>
                      </w:rPr>
                      <w:t>witness</w:t>
                    </w:r>
                    <w:r>
                      <w:rPr>
                        <w:color w:val="231F20"/>
                        <w:spacing w:val="-8"/>
                        <w:sz w:val="20"/>
                      </w:rPr>
                      <w:t xml:space="preserve"> </w:t>
                    </w:r>
                    <w:r>
                      <w:rPr>
                        <w:color w:val="231F20"/>
                        <w:sz w:val="20"/>
                      </w:rPr>
                      <w:t>facilities</w:t>
                    </w:r>
                    <w:r>
                      <w:rPr>
                        <w:color w:val="231F20"/>
                        <w:spacing w:val="-8"/>
                        <w:sz w:val="20"/>
                      </w:rPr>
                      <w:t xml:space="preserve"> </w:t>
                    </w:r>
                    <w:r>
                      <w:rPr>
                        <w:color w:val="231F20"/>
                        <w:sz w:val="20"/>
                      </w:rPr>
                      <w:t>that</w:t>
                    </w:r>
                    <w:r>
                      <w:rPr>
                        <w:color w:val="231F20"/>
                        <w:spacing w:val="-8"/>
                        <w:sz w:val="20"/>
                      </w:rPr>
                      <w:t xml:space="preserve"> </w:t>
                    </w:r>
                    <w:r>
                      <w:rPr>
                        <w:color w:val="231F20"/>
                        <w:sz w:val="20"/>
                      </w:rPr>
                      <w:t>are</w:t>
                    </w:r>
                    <w:r>
                      <w:rPr>
                        <w:color w:val="231F20"/>
                        <w:spacing w:val="-8"/>
                        <w:sz w:val="20"/>
                      </w:rPr>
                      <w:t xml:space="preserve"> </w:t>
                    </w:r>
                    <w:r>
                      <w:rPr>
                        <w:color w:val="231F20"/>
                        <w:sz w:val="20"/>
                      </w:rPr>
                      <w:t>off-site</w:t>
                    </w:r>
                    <w:r>
                      <w:rPr>
                        <w:color w:val="231F20"/>
                        <w:spacing w:val="-8"/>
                        <w:sz w:val="20"/>
                      </w:rPr>
                      <w:t xml:space="preserve"> </w:t>
                    </w:r>
                    <w:r>
                      <w:rPr>
                        <w:color w:val="231F20"/>
                        <w:sz w:val="20"/>
                      </w:rPr>
                      <w:t>or</w:t>
                    </w:r>
                    <w:r>
                      <w:rPr>
                        <w:color w:val="231F20"/>
                        <w:spacing w:val="-8"/>
                        <w:sz w:val="20"/>
                      </w:rPr>
                      <w:t xml:space="preserve"> </w:t>
                    </w:r>
                    <w:r>
                      <w:rPr>
                        <w:color w:val="231F20"/>
                        <w:sz w:val="20"/>
                      </w:rPr>
                      <w:t>accessed</w:t>
                    </w:r>
                    <w:r>
                      <w:rPr>
                        <w:color w:val="231F20"/>
                        <w:spacing w:val="-8"/>
                        <w:sz w:val="20"/>
                      </w:rPr>
                      <w:t xml:space="preserve"> </w:t>
                    </w:r>
                    <w:r>
                      <w:rPr>
                        <w:color w:val="231F20"/>
                        <w:sz w:val="20"/>
                      </w:rPr>
                      <w:t>via</w:t>
                    </w:r>
                    <w:r>
                      <w:rPr>
                        <w:color w:val="231F20"/>
                        <w:spacing w:val="-7"/>
                        <w:sz w:val="20"/>
                      </w:rPr>
                      <w:t xml:space="preserve"> </w:t>
                    </w:r>
                    <w:r>
                      <w:rPr>
                        <w:color w:val="231F20"/>
                        <w:sz w:val="20"/>
                      </w:rPr>
                      <w:t>a</w:t>
                    </w:r>
                    <w:r>
                      <w:rPr>
                        <w:color w:val="231F20"/>
                        <w:spacing w:val="-8"/>
                        <w:sz w:val="20"/>
                      </w:rPr>
                      <w:t xml:space="preserve"> </w:t>
                    </w:r>
                    <w:r>
                      <w:rPr>
                        <w:color w:val="231F20"/>
                        <w:sz w:val="20"/>
                      </w:rPr>
                      <w:t>separate</w:t>
                    </w:r>
                  </w:p>
                  <w:p w14:paraId="3E363758" w14:textId="77777777" w:rsidR="00894070" w:rsidRDefault="009B7AFD">
                    <w:pPr>
                      <w:spacing w:line="259" w:lineRule="exact"/>
                      <w:rPr>
                        <w:sz w:val="20"/>
                      </w:rPr>
                    </w:pPr>
                    <w:r>
                      <w:rPr>
                        <w:color w:val="231F20"/>
                        <w:sz w:val="20"/>
                      </w:rPr>
                      <w:t>entry to that used by other court users</w:t>
                    </w:r>
                  </w:p>
                  <w:p w14:paraId="40F5EEB4" w14:textId="77777777" w:rsidR="00894070" w:rsidRDefault="009B7AFD">
                    <w:pPr>
                      <w:spacing w:before="115" w:line="206" w:lineRule="auto"/>
                      <w:ind w:right="-11"/>
                      <w:rPr>
                        <w:sz w:val="20"/>
                      </w:rPr>
                    </w:pPr>
                    <w:r>
                      <w:rPr>
                        <w:color w:val="231F20"/>
                        <w:sz w:val="20"/>
                      </w:rPr>
                      <w:t>using more appropriate means to screen victims from the accused when giving evidence in the courtroom.</w:t>
                    </w:r>
                  </w:p>
                </w:txbxContent>
              </v:textbox>
            </v:shape>
            <v:shape id="_x0000_s1127" type="#_x0000_t202" style="position:absolute;left:1819;top:2040;width:185;height:2035" filled="f" stroked="f">
              <v:textbox inset="0,0,0,0">
                <w:txbxContent>
                  <w:p w14:paraId="06D820A9" w14:textId="77777777" w:rsidR="00894070" w:rsidRDefault="009B7AFD">
                    <w:pPr>
                      <w:spacing w:line="235" w:lineRule="exact"/>
                      <w:rPr>
                        <w:sz w:val="20"/>
                      </w:rPr>
                    </w:pPr>
                    <w:r>
                      <w:rPr>
                        <w:color w:val="231F20"/>
                        <w:sz w:val="20"/>
                      </w:rPr>
                      <w:t>a.</w:t>
                    </w:r>
                  </w:p>
                  <w:p w14:paraId="2C699FD4" w14:textId="77777777" w:rsidR="00894070" w:rsidRDefault="00894070">
                    <w:pPr>
                      <w:spacing w:before="3"/>
                      <w:rPr>
                        <w:sz w:val="23"/>
                      </w:rPr>
                    </w:pPr>
                  </w:p>
                  <w:p w14:paraId="6B2556D6" w14:textId="77777777" w:rsidR="00894070" w:rsidRDefault="009B7AFD">
                    <w:pPr>
                      <w:rPr>
                        <w:sz w:val="20"/>
                      </w:rPr>
                    </w:pPr>
                    <w:r>
                      <w:rPr>
                        <w:color w:val="231F20"/>
                        <w:sz w:val="20"/>
                      </w:rPr>
                      <w:t>b.</w:t>
                    </w:r>
                  </w:p>
                  <w:p w14:paraId="1281533F" w14:textId="77777777" w:rsidR="00894070" w:rsidRDefault="00894070">
                    <w:pPr>
                      <w:spacing w:before="3"/>
                      <w:rPr>
                        <w:sz w:val="23"/>
                      </w:rPr>
                    </w:pPr>
                  </w:p>
                  <w:p w14:paraId="066342F9" w14:textId="77777777" w:rsidR="00894070" w:rsidRDefault="009B7AFD">
                    <w:pPr>
                      <w:rPr>
                        <w:sz w:val="20"/>
                      </w:rPr>
                    </w:pPr>
                    <w:r>
                      <w:rPr>
                        <w:color w:val="231F20"/>
                        <w:sz w:val="20"/>
                      </w:rPr>
                      <w:t>c.</w:t>
                    </w:r>
                  </w:p>
                  <w:p w14:paraId="290D0EF1" w14:textId="77777777" w:rsidR="00894070" w:rsidRDefault="00894070">
                    <w:pPr>
                      <w:spacing w:before="3"/>
                      <w:rPr>
                        <w:sz w:val="23"/>
                      </w:rPr>
                    </w:pPr>
                  </w:p>
                  <w:p w14:paraId="75030E23" w14:textId="77777777" w:rsidR="00894070" w:rsidRDefault="009B7AFD">
                    <w:pPr>
                      <w:rPr>
                        <w:sz w:val="20"/>
                      </w:rPr>
                    </w:pPr>
                    <w:r>
                      <w:rPr>
                        <w:color w:val="231F20"/>
                        <w:sz w:val="20"/>
                      </w:rPr>
                      <w:t>d.</w:t>
                    </w:r>
                  </w:p>
                </w:txbxContent>
              </v:textbox>
            </v:shape>
            <v:shape id="_x0000_s1126" type="#_x0000_t202" style="position:absolute;left:1819;top:600;width:7779;height:1315" filled="f" stroked="f">
              <v:textbox inset="0,0,0,0">
                <w:txbxContent>
                  <w:p w14:paraId="3679074C" w14:textId="77777777" w:rsidR="00894070" w:rsidRDefault="009B7AFD">
                    <w:pPr>
                      <w:spacing w:line="206" w:lineRule="auto"/>
                      <w:ind w:right="-17"/>
                      <w:rPr>
                        <w:b/>
                        <w:sz w:val="20"/>
                      </w:rPr>
                    </w:pPr>
                    <w:r>
                      <w:rPr>
                        <w:b/>
                        <w:color w:val="231F20"/>
                        <w:sz w:val="20"/>
                      </w:rPr>
                      <w:t xml:space="preserve">Our recommendation for protecting victims attending court in indictable criminal trials from </w:t>
                    </w:r>
                    <w:r>
                      <w:rPr>
                        <w:b/>
                        <w:i/>
                        <w:color w:val="231F20"/>
                        <w:sz w:val="20"/>
                      </w:rPr>
                      <w:t xml:space="preserve">The Role of Victims of Crime in the Criminal Trial Process </w:t>
                    </w:r>
                    <w:r>
                      <w:rPr>
                        <w:b/>
                        <w:color w:val="231F20"/>
                        <w:sz w:val="20"/>
                      </w:rPr>
                      <w:t>(2016)</w:t>
                    </w:r>
                  </w:p>
                  <w:p w14:paraId="5C19C094" w14:textId="77777777" w:rsidR="00894070" w:rsidRDefault="009B7AFD">
                    <w:pPr>
                      <w:spacing w:before="112" w:line="206" w:lineRule="auto"/>
                      <w:ind w:right="-17"/>
                      <w:rPr>
                        <w:sz w:val="20"/>
                      </w:rPr>
                    </w:pPr>
                    <w:r>
                      <w:rPr>
                        <w:b/>
                        <w:color w:val="231F20"/>
                        <w:sz w:val="20"/>
                      </w:rPr>
                      <w:t xml:space="preserve">Recommendation 43: </w:t>
                    </w:r>
                    <w:r>
                      <w:rPr>
                        <w:color w:val="231F20"/>
                        <w:sz w:val="20"/>
                      </w:rPr>
                      <w:t>Court Services Victoria, in consultation with investigatory, prosecuting and victims’ services agencies, should implement measures to protect victims attending court proceedings on indictable criminal matters, including by:</w:t>
                    </w:r>
                  </w:p>
                </w:txbxContent>
              </v:textbox>
            </v:shape>
            <w10:wrap type="topAndBottom" anchorx="page"/>
          </v:group>
        </w:pict>
      </w:r>
    </w:p>
    <w:p w14:paraId="7ED66FD4" w14:textId="77777777" w:rsidR="00894070" w:rsidRDefault="00894070">
      <w:pPr>
        <w:pStyle w:val="BodyText"/>
        <w:spacing w:before="6"/>
        <w:rPr>
          <w:sz w:val="19"/>
        </w:rPr>
      </w:pPr>
    </w:p>
    <w:p w14:paraId="038D1347" w14:textId="77777777" w:rsidR="00894070" w:rsidRDefault="009B7AFD">
      <w:pPr>
        <w:pStyle w:val="ListParagraph"/>
        <w:numPr>
          <w:ilvl w:val="0"/>
          <w:numId w:val="45"/>
        </w:numPr>
        <w:tabs>
          <w:tab w:val="left" w:pos="1801"/>
          <w:tab w:val="left" w:pos="1802"/>
        </w:tabs>
        <w:spacing w:before="89" w:line="206" w:lineRule="auto"/>
        <w:ind w:right="1204"/>
        <w:rPr>
          <w:sz w:val="11"/>
        </w:rPr>
      </w:pPr>
      <w:r>
        <w:rPr>
          <w:color w:val="231F20"/>
          <w:sz w:val="20"/>
        </w:rPr>
        <w:t xml:space="preserve">In our report </w:t>
      </w:r>
      <w:r>
        <w:rPr>
          <w:i/>
          <w:color w:val="231F20"/>
          <w:spacing w:val="-3"/>
          <w:sz w:val="20"/>
        </w:rPr>
        <w:t xml:space="preserve">Improving </w:t>
      </w:r>
      <w:r>
        <w:rPr>
          <w:i/>
          <w:color w:val="231F20"/>
          <w:sz w:val="20"/>
        </w:rPr>
        <w:t xml:space="preserve">the Justice </w:t>
      </w:r>
      <w:r>
        <w:rPr>
          <w:i/>
          <w:color w:val="231F20"/>
          <w:spacing w:val="-3"/>
          <w:sz w:val="20"/>
        </w:rPr>
        <w:t xml:space="preserve">System </w:t>
      </w:r>
      <w:r>
        <w:rPr>
          <w:i/>
          <w:color w:val="231F20"/>
          <w:sz w:val="20"/>
        </w:rPr>
        <w:t xml:space="preserve">Response </w:t>
      </w:r>
      <w:r>
        <w:rPr>
          <w:i/>
          <w:color w:val="231F20"/>
          <w:spacing w:val="-3"/>
          <w:sz w:val="20"/>
        </w:rPr>
        <w:t xml:space="preserve">to </w:t>
      </w:r>
      <w:r>
        <w:rPr>
          <w:i/>
          <w:color w:val="231F20"/>
          <w:sz w:val="20"/>
        </w:rPr>
        <w:t xml:space="preserve">Sexual Offences </w:t>
      </w:r>
      <w:r>
        <w:rPr>
          <w:color w:val="231F20"/>
          <w:sz w:val="20"/>
        </w:rPr>
        <w:t xml:space="preserve">(2021) </w:t>
      </w:r>
      <w:r>
        <w:rPr>
          <w:color w:val="231F20"/>
          <w:spacing w:val="-3"/>
          <w:sz w:val="20"/>
        </w:rPr>
        <w:t xml:space="preserve">we </w:t>
      </w:r>
      <w:r>
        <w:rPr>
          <w:color w:val="231F20"/>
          <w:sz w:val="20"/>
        </w:rPr>
        <w:t xml:space="preserve">acknowledged that some </w:t>
      </w:r>
      <w:r>
        <w:rPr>
          <w:color w:val="231F20"/>
          <w:spacing w:val="-3"/>
          <w:sz w:val="20"/>
        </w:rPr>
        <w:t xml:space="preserve">progress </w:t>
      </w:r>
      <w:r>
        <w:rPr>
          <w:color w:val="231F20"/>
          <w:sz w:val="20"/>
        </w:rPr>
        <w:t>has been made on this front.</w:t>
      </w:r>
      <w:r>
        <w:rPr>
          <w:color w:val="231F20"/>
          <w:position w:val="7"/>
          <w:sz w:val="11"/>
        </w:rPr>
        <w:t xml:space="preserve">177 </w:t>
      </w:r>
      <w:r>
        <w:rPr>
          <w:color w:val="231F20"/>
          <w:spacing w:val="-4"/>
          <w:sz w:val="20"/>
        </w:rPr>
        <w:t xml:space="preserve">Technology </w:t>
      </w:r>
      <w:r>
        <w:rPr>
          <w:color w:val="231F20"/>
          <w:sz w:val="20"/>
        </w:rPr>
        <w:t xml:space="preserve">in courtrooms has been upgraded and there </w:t>
      </w:r>
      <w:r>
        <w:rPr>
          <w:color w:val="231F20"/>
          <w:spacing w:val="-3"/>
          <w:sz w:val="20"/>
        </w:rPr>
        <w:t xml:space="preserve">are </w:t>
      </w:r>
      <w:r>
        <w:rPr>
          <w:color w:val="231F20"/>
          <w:sz w:val="20"/>
        </w:rPr>
        <w:t xml:space="preserve">more </w:t>
      </w:r>
      <w:r>
        <w:rPr>
          <w:color w:val="231F20"/>
          <w:spacing w:val="-3"/>
          <w:sz w:val="20"/>
        </w:rPr>
        <w:t xml:space="preserve">remote </w:t>
      </w:r>
      <w:r>
        <w:rPr>
          <w:color w:val="231F20"/>
          <w:sz w:val="20"/>
        </w:rPr>
        <w:t>witness facilities.</w:t>
      </w:r>
      <w:r>
        <w:rPr>
          <w:color w:val="231F20"/>
          <w:position w:val="7"/>
          <w:sz w:val="11"/>
        </w:rPr>
        <w:t xml:space="preserve">178 </w:t>
      </w:r>
      <w:r>
        <w:rPr>
          <w:color w:val="231F20"/>
          <w:sz w:val="20"/>
        </w:rPr>
        <w:t>In that report,</w:t>
      </w:r>
      <w:r>
        <w:rPr>
          <w:color w:val="231F20"/>
          <w:spacing w:val="-9"/>
          <w:sz w:val="20"/>
        </w:rPr>
        <w:t xml:space="preserve"> </w:t>
      </w:r>
      <w:r>
        <w:rPr>
          <w:color w:val="231F20"/>
          <w:spacing w:val="-5"/>
          <w:sz w:val="20"/>
        </w:rPr>
        <w:t>however,</w:t>
      </w:r>
      <w:r>
        <w:rPr>
          <w:color w:val="231F20"/>
          <w:spacing w:val="-9"/>
          <w:sz w:val="20"/>
        </w:rPr>
        <w:t xml:space="preserve"> </w:t>
      </w:r>
      <w:r>
        <w:rPr>
          <w:color w:val="231F20"/>
          <w:spacing w:val="-3"/>
          <w:sz w:val="20"/>
        </w:rPr>
        <w:t>we</w:t>
      </w:r>
      <w:r>
        <w:rPr>
          <w:color w:val="231F20"/>
          <w:spacing w:val="-8"/>
          <w:sz w:val="20"/>
        </w:rPr>
        <w:t xml:space="preserve"> </w:t>
      </w:r>
      <w:r>
        <w:rPr>
          <w:color w:val="231F20"/>
          <w:sz w:val="20"/>
        </w:rPr>
        <w:t>found</w:t>
      </w:r>
      <w:r>
        <w:rPr>
          <w:color w:val="231F20"/>
          <w:spacing w:val="-9"/>
          <w:sz w:val="20"/>
        </w:rPr>
        <w:t xml:space="preserve"> </w:t>
      </w:r>
      <w:r>
        <w:rPr>
          <w:color w:val="231F20"/>
          <w:sz w:val="20"/>
        </w:rPr>
        <w:t>that</w:t>
      </w:r>
      <w:r>
        <w:rPr>
          <w:color w:val="231F20"/>
          <w:spacing w:val="-8"/>
          <w:sz w:val="20"/>
        </w:rPr>
        <w:t xml:space="preserve"> </w:t>
      </w:r>
      <w:r>
        <w:rPr>
          <w:color w:val="231F20"/>
          <w:sz w:val="20"/>
        </w:rPr>
        <w:t>more</w:t>
      </w:r>
      <w:r>
        <w:rPr>
          <w:color w:val="231F20"/>
          <w:spacing w:val="-9"/>
          <w:sz w:val="20"/>
        </w:rPr>
        <w:t xml:space="preserve"> </w:t>
      </w:r>
      <w:r>
        <w:rPr>
          <w:color w:val="231F20"/>
          <w:sz w:val="20"/>
        </w:rPr>
        <w:t>needs</w:t>
      </w:r>
      <w:r>
        <w:rPr>
          <w:color w:val="231F20"/>
          <w:spacing w:val="-9"/>
          <w:sz w:val="20"/>
        </w:rPr>
        <w:t xml:space="preserve"> </w:t>
      </w:r>
      <w:r>
        <w:rPr>
          <w:color w:val="231F20"/>
          <w:sz w:val="20"/>
        </w:rPr>
        <w:t>to</w:t>
      </w:r>
      <w:r>
        <w:rPr>
          <w:color w:val="231F20"/>
          <w:spacing w:val="-8"/>
          <w:sz w:val="20"/>
        </w:rPr>
        <w:t xml:space="preserve"> </w:t>
      </w:r>
      <w:r>
        <w:rPr>
          <w:color w:val="231F20"/>
          <w:sz w:val="20"/>
        </w:rPr>
        <w:t>be</w:t>
      </w:r>
      <w:r>
        <w:rPr>
          <w:color w:val="231F20"/>
          <w:spacing w:val="-9"/>
          <w:sz w:val="20"/>
        </w:rPr>
        <w:t xml:space="preserve"> </w:t>
      </w:r>
      <w:r>
        <w:rPr>
          <w:color w:val="231F20"/>
          <w:sz w:val="20"/>
        </w:rPr>
        <w:t>done.</w:t>
      </w:r>
      <w:r>
        <w:rPr>
          <w:color w:val="231F20"/>
          <w:position w:val="7"/>
          <w:sz w:val="11"/>
        </w:rPr>
        <w:t>179</w:t>
      </w:r>
      <w:r>
        <w:rPr>
          <w:color w:val="231F20"/>
          <w:spacing w:val="16"/>
          <w:position w:val="7"/>
          <w:sz w:val="11"/>
        </w:rPr>
        <w:t xml:space="preserve"> </w:t>
      </w:r>
      <w:r>
        <w:rPr>
          <w:color w:val="231F20"/>
          <w:spacing w:val="-6"/>
          <w:sz w:val="20"/>
        </w:rPr>
        <w:t>We</w:t>
      </w:r>
      <w:r>
        <w:rPr>
          <w:color w:val="231F20"/>
          <w:spacing w:val="-9"/>
          <w:sz w:val="20"/>
        </w:rPr>
        <w:t xml:space="preserve"> </w:t>
      </w:r>
      <w:r>
        <w:rPr>
          <w:color w:val="231F20"/>
          <w:sz w:val="20"/>
        </w:rPr>
        <w:t>recommended</w:t>
      </w:r>
      <w:r>
        <w:rPr>
          <w:color w:val="231F20"/>
          <w:spacing w:val="-10"/>
          <w:sz w:val="20"/>
        </w:rPr>
        <w:t xml:space="preserve"> </w:t>
      </w:r>
      <w:r>
        <w:rPr>
          <w:color w:val="231F20"/>
          <w:sz w:val="20"/>
        </w:rPr>
        <w:t>that</w:t>
      </w:r>
      <w:r>
        <w:rPr>
          <w:color w:val="231F20"/>
          <w:spacing w:val="-9"/>
          <w:sz w:val="20"/>
        </w:rPr>
        <w:t xml:space="preserve"> </w:t>
      </w:r>
      <w:r>
        <w:rPr>
          <w:color w:val="231F20"/>
          <w:sz w:val="20"/>
        </w:rPr>
        <w:t xml:space="preserve">court </w:t>
      </w:r>
      <w:r>
        <w:rPr>
          <w:color w:val="231F20"/>
          <w:spacing w:val="-3"/>
          <w:sz w:val="20"/>
        </w:rPr>
        <w:t xml:space="preserve">infrastructure </w:t>
      </w:r>
      <w:r>
        <w:rPr>
          <w:color w:val="231F20"/>
          <w:sz w:val="20"/>
        </w:rPr>
        <w:t xml:space="preserve">and facilities should be equipped with technology that </w:t>
      </w:r>
      <w:r>
        <w:rPr>
          <w:color w:val="231F20"/>
          <w:spacing w:val="-3"/>
          <w:sz w:val="20"/>
        </w:rPr>
        <w:t xml:space="preserve">provides for </w:t>
      </w:r>
      <w:r>
        <w:rPr>
          <w:color w:val="231F20"/>
          <w:sz w:val="20"/>
        </w:rPr>
        <w:t>the best</w:t>
      </w:r>
      <w:r>
        <w:rPr>
          <w:color w:val="231F20"/>
          <w:spacing w:val="-5"/>
          <w:sz w:val="20"/>
        </w:rPr>
        <w:t xml:space="preserve"> </w:t>
      </w:r>
      <w:r>
        <w:rPr>
          <w:color w:val="231F20"/>
          <w:sz w:val="20"/>
        </w:rPr>
        <w:t>quality</w:t>
      </w:r>
      <w:r>
        <w:rPr>
          <w:color w:val="231F20"/>
          <w:spacing w:val="-5"/>
          <w:sz w:val="20"/>
        </w:rPr>
        <w:t xml:space="preserve"> </w:t>
      </w:r>
      <w:r>
        <w:rPr>
          <w:color w:val="231F20"/>
          <w:sz w:val="20"/>
        </w:rPr>
        <w:t>evidence</w:t>
      </w:r>
      <w:r>
        <w:rPr>
          <w:color w:val="231F20"/>
          <w:spacing w:val="-5"/>
          <w:sz w:val="20"/>
        </w:rPr>
        <w:t xml:space="preserve"> </w:t>
      </w:r>
      <w:r>
        <w:rPr>
          <w:color w:val="231F20"/>
          <w:sz w:val="20"/>
        </w:rPr>
        <w:t>and</w:t>
      </w:r>
      <w:r>
        <w:rPr>
          <w:color w:val="231F20"/>
          <w:spacing w:val="-4"/>
          <w:sz w:val="20"/>
        </w:rPr>
        <w:t xml:space="preserve"> </w:t>
      </w:r>
      <w:r>
        <w:rPr>
          <w:color w:val="231F20"/>
          <w:sz w:val="20"/>
        </w:rPr>
        <w:t>so</w:t>
      </w:r>
      <w:r>
        <w:rPr>
          <w:color w:val="231F20"/>
          <w:spacing w:val="-5"/>
          <w:sz w:val="20"/>
        </w:rPr>
        <w:t xml:space="preserve"> </w:t>
      </w:r>
      <w:r>
        <w:rPr>
          <w:color w:val="231F20"/>
          <w:spacing w:val="-3"/>
          <w:sz w:val="20"/>
        </w:rPr>
        <w:t>contributes</w:t>
      </w:r>
      <w:r>
        <w:rPr>
          <w:color w:val="231F20"/>
          <w:spacing w:val="-5"/>
          <w:sz w:val="20"/>
        </w:rPr>
        <w:t xml:space="preserve"> </w:t>
      </w:r>
      <w:r>
        <w:rPr>
          <w:color w:val="231F20"/>
          <w:sz w:val="20"/>
        </w:rPr>
        <w:t>to</w:t>
      </w:r>
      <w:r>
        <w:rPr>
          <w:color w:val="231F20"/>
          <w:spacing w:val="-5"/>
          <w:sz w:val="20"/>
        </w:rPr>
        <w:t xml:space="preserve"> </w:t>
      </w:r>
      <w:r>
        <w:rPr>
          <w:color w:val="231F20"/>
          <w:sz w:val="20"/>
        </w:rPr>
        <w:t>a</w:t>
      </w:r>
      <w:r>
        <w:rPr>
          <w:color w:val="231F20"/>
          <w:spacing w:val="-4"/>
          <w:sz w:val="20"/>
        </w:rPr>
        <w:t xml:space="preserve"> </w:t>
      </w:r>
      <w:r>
        <w:rPr>
          <w:color w:val="231F20"/>
          <w:sz w:val="20"/>
        </w:rPr>
        <w:t>fair</w:t>
      </w:r>
      <w:r>
        <w:rPr>
          <w:color w:val="231F20"/>
          <w:spacing w:val="-5"/>
          <w:sz w:val="20"/>
        </w:rPr>
        <w:t xml:space="preserve"> </w:t>
      </w:r>
      <w:r>
        <w:rPr>
          <w:color w:val="231F20"/>
          <w:sz w:val="20"/>
        </w:rPr>
        <w:t>trial</w:t>
      </w:r>
      <w:r>
        <w:rPr>
          <w:color w:val="231F20"/>
          <w:spacing w:val="-5"/>
          <w:sz w:val="20"/>
        </w:rPr>
        <w:t xml:space="preserve"> </w:t>
      </w:r>
      <w:r>
        <w:rPr>
          <w:color w:val="231F20"/>
          <w:sz w:val="20"/>
        </w:rPr>
        <w:t>(see</w:t>
      </w:r>
      <w:r>
        <w:rPr>
          <w:color w:val="231F20"/>
          <w:spacing w:val="-4"/>
          <w:sz w:val="20"/>
        </w:rPr>
        <w:t xml:space="preserve"> </w:t>
      </w:r>
      <w:r>
        <w:rPr>
          <w:color w:val="231F20"/>
          <w:sz w:val="20"/>
        </w:rPr>
        <w:t>box).</w:t>
      </w:r>
      <w:r>
        <w:rPr>
          <w:color w:val="231F20"/>
          <w:position w:val="7"/>
          <w:sz w:val="11"/>
        </w:rPr>
        <w:t>180</w:t>
      </w:r>
    </w:p>
    <w:p w14:paraId="562936A0" w14:textId="77777777" w:rsidR="00894070" w:rsidRDefault="00894070">
      <w:pPr>
        <w:pStyle w:val="BodyText"/>
      </w:pPr>
    </w:p>
    <w:p w14:paraId="06217BEF" w14:textId="77777777" w:rsidR="00894070" w:rsidRDefault="009F6793">
      <w:pPr>
        <w:pStyle w:val="BodyText"/>
        <w:spacing w:before="12"/>
      </w:pPr>
      <w:r>
        <w:pict w14:anchorId="063B985F">
          <v:line id="_x0000_s1124" style="position:absolute;z-index:251755520;mso-wrap-distance-left:0;mso-wrap-distance-right:0;mso-position-horizontal-relative:page" from="79.35pt,16.95pt" to="528.2pt,16.95pt" strokecolor="#f8cabc" strokeweight="1pt">
            <w10:wrap type="topAndBottom" anchorx="page"/>
          </v:line>
        </w:pict>
      </w:r>
    </w:p>
    <w:p w14:paraId="4D9C3134" w14:textId="77777777" w:rsidR="00894070" w:rsidRDefault="00894070">
      <w:pPr>
        <w:pStyle w:val="BodyText"/>
        <w:rPr>
          <w:sz w:val="5"/>
        </w:rPr>
      </w:pPr>
    </w:p>
    <w:p w14:paraId="7C186643" w14:textId="77777777" w:rsidR="00894070" w:rsidRDefault="00894070">
      <w:pPr>
        <w:rPr>
          <w:sz w:val="5"/>
        </w:rPr>
        <w:sectPr w:rsidR="00894070">
          <w:pgSz w:w="11910" w:h="16840"/>
          <w:pgMar w:top="860" w:right="420" w:bottom="280" w:left="580" w:header="567" w:footer="0" w:gutter="0"/>
          <w:cols w:space="720"/>
        </w:sectPr>
      </w:pPr>
    </w:p>
    <w:p w14:paraId="4F181864" w14:textId="77777777" w:rsidR="00894070" w:rsidRDefault="00894070">
      <w:pPr>
        <w:pStyle w:val="BodyText"/>
        <w:rPr>
          <w:sz w:val="28"/>
        </w:rPr>
      </w:pPr>
    </w:p>
    <w:p w14:paraId="6A6C9E80" w14:textId="77777777" w:rsidR="00894070" w:rsidRDefault="00894070">
      <w:pPr>
        <w:pStyle w:val="BodyText"/>
        <w:rPr>
          <w:sz w:val="28"/>
        </w:rPr>
      </w:pPr>
    </w:p>
    <w:p w14:paraId="64097D19" w14:textId="77777777" w:rsidR="00894070" w:rsidRDefault="009B7AFD">
      <w:pPr>
        <w:pStyle w:val="Heading8"/>
        <w:spacing w:before="237"/>
        <w:ind w:left="140"/>
      </w:pPr>
      <w:r>
        <w:rPr>
          <w:color w:val="EA5B50"/>
        </w:rPr>
        <w:t>158</w:t>
      </w:r>
    </w:p>
    <w:p w14:paraId="5B1117CC" w14:textId="77777777" w:rsidR="00894070" w:rsidRDefault="009B7AFD">
      <w:pPr>
        <w:pStyle w:val="ListParagraph"/>
        <w:numPr>
          <w:ilvl w:val="0"/>
          <w:numId w:val="35"/>
        </w:numPr>
        <w:tabs>
          <w:tab w:val="left" w:pos="933"/>
          <w:tab w:val="left" w:pos="934"/>
        </w:tabs>
        <w:spacing w:before="21" w:line="170" w:lineRule="exact"/>
        <w:ind w:left="933" w:hanging="793"/>
        <w:jc w:val="left"/>
        <w:rPr>
          <w:sz w:val="13"/>
        </w:rPr>
      </w:pPr>
      <w:r>
        <w:rPr>
          <w:color w:val="231F20"/>
          <w:spacing w:val="3"/>
          <w:sz w:val="13"/>
        </w:rPr>
        <w:br w:type="column"/>
      </w: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39CAE6A5" w14:textId="77777777" w:rsidR="00894070" w:rsidRDefault="009B7AFD">
      <w:pPr>
        <w:pStyle w:val="ListParagraph"/>
        <w:numPr>
          <w:ilvl w:val="0"/>
          <w:numId w:val="35"/>
        </w:numPr>
        <w:tabs>
          <w:tab w:val="left" w:pos="933"/>
          <w:tab w:val="left" w:pos="934"/>
        </w:tabs>
        <w:spacing w:line="160" w:lineRule="exact"/>
        <w:ind w:left="933" w:hanging="793"/>
        <w:jc w:val="left"/>
        <w:rPr>
          <w:sz w:val="13"/>
        </w:rPr>
      </w:pPr>
      <w:r>
        <w:rPr>
          <w:color w:val="231F20"/>
          <w:sz w:val="13"/>
        </w:rPr>
        <w:t xml:space="preserve">Consultation 29 </w:t>
      </w:r>
      <w:r>
        <w:rPr>
          <w:color w:val="231F20"/>
          <w:spacing w:val="2"/>
          <w:sz w:val="13"/>
        </w:rPr>
        <w:t xml:space="preserve">(Alannah </w:t>
      </w:r>
      <w:r>
        <w:rPr>
          <w:color w:val="231F20"/>
          <w:sz w:val="13"/>
        </w:rPr>
        <w:t>&amp; Madeline</w:t>
      </w:r>
      <w:r>
        <w:rPr>
          <w:color w:val="231F20"/>
          <w:spacing w:val="-1"/>
          <w:sz w:val="13"/>
        </w:rPr>
        <w:t xml:space="preserve"> </w:t>
      </w:r>
      <w:r>
        <w:rPr>
          <w:color w:val="231F20"/>
          <w:sz w:val="13"/>
        </w:rPr>
        <w:t>Foundation).</w:t>
      </w:r>
    </w:p>
    <w:p w14:paraId="37FF133F" w14:textId="77777777" w:rsidR="00894070" w:rsidRDefault="009B7AFD">
      <w:pPr>
        <w:pStyle w:val="ListParagraph"/>
        <w:numPr>
          <w:ilvl w:val="0"/>
          <w:numId w:val="35"/>
        </w:numPr>
        <w:tabs>
          <w:tab w:val="left" w:pos="933"/>
          <w:tab w:val="left" w:pos="934"/>
        </w:tabs>
        <w:spacing w:line="160" w:lineRule="exact"/>
        <w:ind w:left="933" w:hanging="793"/>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The Role of Victims of Crime in the Criminal Trial Process </w:t>
      </w:r>
      <w:r>
        <w:rPr>
          <w:color w:val="231F20"/>
          <w:spacing w:val="2"/>
          <w:sz w:val="13"/>
        </w:rPr>
        <w:t xml:space="preserve">(Report </w:t>
      </w:r>
      <w:r>
        <w:rPr>
          <w:color w:val="231F20"/>
          <w:sz w:val="13"/>
        </w:rPr>
        <w:t xml:space="preserve">No </w:t>
      </w:r>
      <w:r>
        <w:rPr>
          <w:color w:val="231F20"/>
          <w:spacing w:val="3"/>
          <w:sz w:val="13"/>
        </w:rPr>
        <w:t>34,</w:t>
      </w:r>
      <w:r>
        <w:rPr>
          <w:color w:val="231F20"/>
          <w:spacing w:val="11"/>
          <w:sz w:val="13"/>
        </w:rPr>
        <w:t xml:space="preserve"> </w:t>
      </w:r>
      <w:r>
        <w:rPr>
          <w:color w:val="231F20"/>
          <w:sz w:val="13"/>
        </w:rPr>
        <w:t>August 2016) [8.112]</w:t>
      </w:r>
      <w:proofErr w:type="gramStart"/>
      <w:r>
        <w:rPr>
          <w:color w:val="231F20"/>
          <w:sz w:val="13"/>
        </w:rPr>
        <w:t>–[</w:t>
      </w:r>
      <w:proofErr w:type="gramEnd"/>
      <w:r>
        <w:rPr>
          <w:color w:val="231F20"/>
          <w:sz w:val="13"/>
        </w:rPr>
        <w:t>8.116].</w:t>
      </w:r>
    </w:p>
    <w:p w14:paraId="4F92206B" w14:textId="77777777" w:rsidR="00894070" w:rsidRDefault="009B7AFD">
      <w:pPr>
        <w:pStyle w:val="ListParagraph"/>
        <w:numPr>
          <w:ilvl w:val="0"/>
          <w:numId w:val="35"/>
        </w:numPr>
        <w:tabs>
          <w:tab w:val="left" w:pos="933"/>
          <w:tab w:val="left" w:pos="934"/>
        </w:tabs>
        <w:spacing w:before="7" w:line="213" w:lineRule="auto"/>
        <w:ind w:left="933" w:right="942" w:hanging="793"/>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 xml:space="preserve">No 42, September 2021) [21.77]– </w:t>
      </w:r>
      <w:r>
        <w:rPr>
          <w:color w:val="231F20"/>
          <w:spacing w:val="2"/>
          <w:sz w:val="13"/>
        </w:rPr>
        <w:t>[21.80].</w:t>
      </w:r>
    </w:p>
    <w:p w14:paraId="33F27C1E" w14:textId="77777777" w:rsidR="00894070" w:rsidRDefault="009B7AFD">
      <w:pPr>
        <w:pStyle w:val="ListParagraph"/>
        <w:numPr>
          <w:ilvl w:val="0"/>
          <w:numId w:val="35"/>
        </w:numPr>
        <w:tabs>
          <w:tab w:val="left" w:pos="933"/>
          <w:tab w:val="left" w:pos="934"/>
        </w:tabs>
        <w:spacing w:line="153" w:lineRule="exact"/>
        <w:ind w:left="933" w:hanging="793"/>
        <w:jc w:val="left"/>
        <w:rPr>
          <w:sz w:val="13"/>
        </w:rPr>
      </w:pPr>
      <w:proofErr w:type="gramStart"/>
      <w:r>
        <w:rPr>
          <w:color w:val="231F20"/>
          <w:sz w:val="13"/>
        </w:rPr>
        <w:t>Ibid;</w:t>
      </w:r>
      <w:proofErr w:type="gramEnd"/>
      <w:r>
        <w:rPr>
          <w:color w:val="231F20"/>
          <w:spacing w:val="2"/>
          <w:sz w:val="13"/>
        </w:rPr>
        <w:t xml:space="preserve"> </w:t>
      </w:r>
      <w:r>
        <w:rPr>
          <w:color w:val="231F20"/>
          <w:sz w:val="13"/>
        </w:rPr>
        <w:t>Jaclyn</w:t>
      </w:r>
      <w:r>
        <w:rPr>
          <w:color w:val="231F20"/>
          <w:spacing w:val="3"/>
          <w:sz w:val="13"/>
        </w:rPr>
        <w:t xml:space="preserve"> </w:t>
      </w:r>
      <w:r>
        <w:rPr>
          <w:color w:val="231F20"/>
          <w:sz w:val="13"/>
        </w:rPr>
        <w:t>Symes,</w:t>
      </w:r>
      <w:r>
        <w:rPr>
          <w:color w:val="231F20"/>
          <w:spacing w:val="3"/>
          <w:sz w:val="13"/>
        </w:rPr>
        <w:t xml:space="preserve"> </w:t>
      </w:r>
      <w:r>
        <w:rPr>
          <w:color w:val="231F20"/>
          <w:sz w:val="13"/>
        </w:rPr>
        <w:t>Attorney-General</w:t>
      </w:r>
      <w:r>
        <w:rPr>
          <w:color w:val="231F20"/>
          <w:spacing w:val="3"/>
          <w:sz w:val="13"/>
        </w:rPr>
        <w:t xml:space="preserve"> </w:t>
      </w:r>
      <w:r>
        <w:rPr>
          <w:color w:val="231F20"/>
          <w:sz w:val="13"/>
        </w:rPr>
        <w:t>(Vic),</w:t>
      </w:r>
      <w:r>
        <w:rPr>
          <w:color w:val="231F20"/>
          <w:spacing w:val="3"/>
          <w:sz w:val="13"/>
        </w:rPr>
        <w:t xml:space="preserve"> </w:t>
      </w:r>
      <w:r>
        <w:rPr>
          <w:color w:val="231F20"/>
          <w:spacing w:val="2"/>
          <w:sz w:val="13"/>
        </w:rPr>
        <w:t>‘Supporting</w:t>
      </w:r>
      <w:r>
        <w:rPr>
          <w:color w:val="231F20"/>
          <w:spacing w:val="3"/>
          <w:sz w:val="13"/>
        </w:rPr>
        <w:t xml:space="preserve"> </w:t>
      </w:r>
      <w:r>
        <w:rPr>
          <w:color w:val="231F20"/>
          <w:sz w:val="13"/>
        </w:rPr>
        <w:t>Our</w:t>
      </w:r>
      <w:r>
        <w:rPr>
          <w:color w:val="231F20"/>
          <w:spacing w:val="3"/>
          <w:sz w:val="13"/>
        </w:rPr>
        <w:t xml:space="preserve"> </w:t>
      </w:r>
      <w:r>
        <w:rPr>
          <w:color w:val="231F20"/>
          <w:spacing w:val="2"/>
          <w:sz w:val="13"/>
        </w:rPr>
        <w:t>Courts</w:t>
      </w:r>
      <w:r>
        <w:rPr>
          <w:color w:val="231F20"/>
          <w:spacing w:val="3"/>
          <w:sz w:val="13"/>
        </w:rPr>
        <w:t xml:space="preserve"> </w:t>
      </w:r>
      <w:r>
        <w:rPr>
          <w:color w:val="231F20"/>
          <w:spacing w:val="-5"/>
          <w:sz w:val="13"/>
        </w:rPr>
        <w:t>To</w:t>
      </w:r>
      <w:r>
        <w:rPr>
          <w:color w:val="231F20"/>
          <w:spacing w:val="3"/>
          <w:sz w:val="13"/>
        </w:rPr>
        <w:t xml:space="preserve"> </w:t>
      </w:r>
      <w:r>
        <w:rPr>
          <w:color w:val="231F20"/>
          <w:sz w:val="13"/>
        </w:rPr>
        <w:t>Drive</w:t>
      </w:r>
      <w:r>
        <w:rPr>
          <w:color w:val="231F20"/>
          <w:spacing w:val="3"/>
          <w:sz w:val="13"/>
        </w:rPr>
        <w:t xml:space="preserve"> </w:t>
      </w:r>
      <w:r>
        <w:rPr>
          <w:color w:val="231F20"/>
          <w:sz w:val="13"/>
        </w:rPr>
        <w:t>Down</w:t>
      </w:r>
      <w:r>
        <w:rPr>
          <w:color w:val="231F20"/>
          <w:spacing w:val="3"/>
          <w:sz w:val="13"/>
        </w:rPr>
        <w:t xml:space="preserve"> </w:t>
      </w:r>
      <w:r>
        <w:rPr>
          <w:color w:val="231F20"/>
          <w:sz w:val="13"/>
        </w:rPr>
        <w:t>COVID-19</w:t>
      </w:r>
      <w:r>
        <w:rPr>
          <w:color w:val="231F20"/>
          <w:spacing w:val="3"/>
          <w:sz w:val="13"/>
        </w:rPr>
        <w:t xml:space="preserve"> </w:t>
      </w:r>
      <w:r>
        <w:rPr>
          <w:color w:val="231F20"/>
          <w:sz w:val="13"/>
        </w:rPr>
        <w:t>Backlogs’</w:t>
      </w:r>
      <w:r>
        <w:rPr>
          <w:color w:val="231F20"/>
          <w:spacing w:val="3"/>
          <w:sz w:val="13"/>
        </w:rPr>
        <w:t xml:space="preserve"> </w:t>
      </w:r>
      <w:r>
        <w:rPr>
          <w:color w:val="231F20"/>
          <w:sz w:val="13"/>
        </w:rPr>
        <w:t>(Media</w:t>
      </w:r>
      <w:r>
        <w:rPr>
          <w:color w:val="231F20"/>
          <w:spacing w:val="3"/>
          <w:sz w:val="13"/>
        </w:rPr>
        <w:t xml:space="preserve"> </w:t>
      </w:r>
      <w:r>
        <w:rPr>
          <w:color w:val="231F20"/>
          <w:sz w:val="13"/>
        </w:rPr>
        <w:t>Release,</w:t>
      </w:r>
      <w:r>
        <w:rPr>
          <w:color w:val="231F20"/>
          <w:spacing w:val="3"/>
          <w:sz w:val="13"/>
        </w:rPr>
        <w:t xml:space="preserve"> </w:t>
      </w:r>
      <w:r>
        <w:rPr>
          <w:color w:val="231F20"/>
          <w:sz w:val="13"/>
        </w:rPr>
        <w:t>13</w:t>
      </w:r>
      <w:r>
        <w:rPr>
          <w:color w:val="231F20"/>
          <w:spacing w:val="3"/>
          <w:sz w:val="13"/>
        </w:rPr>
        <w:t xml:space="preserve"> </w:t>
      </w:r>
      <w:r>
        <w:rPr>
          <w:color w:val="231F20"/>
          <w:sz w:val="13"/>
        </w:rPr>
        <w:t>May</w:t>
      </w:r>
      <w:r>
        <w:rPr>
          <w:color w:val="231F20"/>
          <w:spacing w:val="3"/>
          <w:sz w:val="13"/>
        </w:rPr>
        <w:t xml:space="preserve"> </w:t>
      </w:r>
      <w:r>
        <w:rPr>
          <w:color w:val="231F20"/>
          <w:sz w:val="13"/>
        </w:rPr>
        <w:t>2021).</w:t>
      </w:r>
    </w:p>
    <w:p w14:paraId="78905D2B" w14:textId="77777777" w:rsidR="00894070" w:rsidRDefault="009B7AFD">
      <w:pPr>
        <w:pStyle w:val="ListParagraph"/>
        <w:numPr>
          <w:ilvl w:val="0"/>
          <w:numId w:val="35"/>
        </w:numPr>
        <w:tabs>
          <w:tab w:val="left" w:pos="933"/>
          <w:tab w:val="left" w:pos="934"/>
        </w:tabs>
        <w:spacing w:line="160" w:lineRule="exact"/>
        <w:ind w:left="933" w:hanging="793"/>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Improving the Justice System Response to Sexual Offences </w:t>
      </w:r>
      <w:r>
        <w:rPr>
          <w:color w:val="231F20"/>
          <w:spacing w:val="2"/>
          <w:sz w:val="13"/>
        </w:rPr>
        <w:t xml:space="preserve">(Report </w:t>
      </w:r>
      <w:r>
        <w:rPr>
          <w:color w:val="231F20"/>
          <w:sz w:val="13"/>
        </w:rPr>
        <w:t>No 42, September 2021)</w:t>
      </w:r>
      <w:r>
        <w:rPr>
          <w:color w:val="231F20"/>
          <w:spacing w:val="3"/>
          <w:sz w:val="13"/>
        </w:rPr>
        <w:t xml:space="preserve"> </w:t>
      </w:r>
      <w:r>
        <w:rPr>
          <w:color w:val="231F20"/>
          <w:spacing w:val="2"/>
          <w:sz w:val="13"/>
        </w:rPr>
        <w:t>[21.81].</w:t>
      </w:r>
    </w:p>
    <w:p w14:paraId="55532565" w14:textId="77777777" w:rsidR="00894070" w:rsidRDefault="009B7AFD">
      <w:pPr>
        <w:tabs>
          <w:tab w:val="left" w:pos="933"/>
        </w:tabs>
        <w:spacing w:line="170" w:lineRule="exact"/>
        <w:ind w:left="140"/>
        <w:rPr>
          <w:sz w:val="13"/>
        </w:rPr>
      </w:pPr>
      <w:r>
        <w:rPr>
          <w:color w:val="231F20"/>
          <w:sz w:val="13"/>
        </w:rPr>
        <w:t>180</w:t>
      </w:r>
      <w:r>
        <w:rPr>
          <w:color w:val="231F20"/>
          <w:sz w:val="13"/>
        </w:rPr>
        <w:tab/>
        <w:t xml:space="preserve">Ibid </w:t>
      </w:r>
      <w:r>
        <w:rPr>
          <w:color w:val="231F20"/>
          <w:spacing w:val="2"/>
          <w:sz w:val="13"/>
        </w:rPr>
        <w:t>[21.84].</w:t>
      </w:r>
    </w:p>
    <w:p w14:paraId="71CE6762"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75" w:space="292"/>
            <w:col w:w="10043"/>
          </w:cols>
        </w:sectPr>
      </w:pPr>
    </w:p>
    <w:p w14:paraId="166116B0" w14:textId="77777777" w:rsidR="00894070" w:rsidRDefault="00894070">
      <w:pPr>
        <w:pStyle w:val="BodyText"/>
      </w:pPr>
    </w:p>
    <w:p w14:paraId="25B0099F" w14:textId="77777777" w:rsidR="00894070" w:rsidRDefault="00894070">
      <w:pPr>
        <w:pStyle w:val="BodyText"/>
      </w:pPr>
    </w:p>
    <w:p w14:paraId="6D6DEEA1" w14:textId="77777777" w:rsidR="00894070" w:rsidRDefault="00894070">
      <w:pPr>
        <w:pStyle w:val="BodyText"/>
      </w:pPr>
    </w:p>
    <w:p w14:paraId="2D687679" w14:textId="77777777" w:rsidR="00894070" w:rsidRDefault="00894070">
      <w:pPr>
        <w:pStyle w:val="BodyText"/>
        <w:spacing w:before="9"/>
        <w:rPr>
          <w:sz w:val="21"/>
        </w:rPr>
      </w:pPr>
    </w:p>
    <w:p w14:paraId="1B95CDA9" w14:textId="77777777" w:rsidR="00894070" w:rsidRDefault="009F6793">
      <w:pPr>
        <w:pStyle w:val="BodyText"/>
        <w:ind w:left="1002"/>
      </w:pPr>
      <w:r>
        <w:pict w14:anchorId="3D7B1D79">
          <v:group id="_x0000_s1115" style="width:435.9pt;height:164.6pt;mso-position-horizontal-relative:char;mso-position-vertical-relative:line" coordsize="8718,3292">
            <v:rect id="_x0000_s1123" style="position:absolute;left:5;top:5;width:8708;height:3282" fillcolor="#fee7de" stroked="f"/>
            <v:line id="_x0000_s1122" style="position:absolute" from="0,5" to="8718,5" strokecolor="#ea5b50" strokeweight=".5pt"/>
            <v:line id="_x0000_s1121" style="position:absolute" from="5,3282" to="5,10" strokecolor="#ea5b50" strokeweight=".5pt"/>
            <v:line id="_x0000_s1120" style="position:absolute" from="8713,3282" to="8713,10" strokecolor="#ea5b50" strokeweight=".5pt"/>
            <v:line id="_x0000_s1119" style="position:absolute" from="0,3287" to="8718,3287" strokecolor="#ea5b50" strokeweight=".5pt"/>
            <v:shape id="_x0000_s1118" type="#_x0000_t202" style="position:absolute;left:1025;top:1431;width:7353;height:1675" filled="f" stroked="f">
              <v:textbox inset="0,0,0,0">
                <w:txbxContent>
                  <w:p w14:paraId="40FB67A6" w14:textId="77777777" w:rsidR="00894070" w:rsidRDefault="009B7AFD">
                    <w:pPr>
                      <w:spacing w:line="206" w:lineRule="auto"/>
                      <w:ind w:right="344"/>
                      <w:rPr>
                        <w:sz w:val="20"/>
                      </w:rPr>
                    </w:pPr>
                    <w:bookmarkStart w:id="174" w:name="_bookmark105"/>
                    <w:bookmarkEnd w:id="174"/>
                    <w:r>
                      <w:rPr>
                        <w:color w:val="231F20"/>
                        <w:sz w:val="20"/>
                      </w:rPr>
                      <w:t>ensuring that they can enter and leave courthouses safely, including, where possible, allowing them to use a separate entrance and exit</w:t>
                    </w:r>
                  </w:p>
                  <w:p w14:paraId="07C4188F" w14:textId="77777777" w:rsidR="00894070" w:rsidRDefault="009B7AFD">
                    <w:pPr>
                      <w:spacing w:before="112" w:line="206" w:lineRule="auto"/>
                      <w:rPr>
                        <w:sz w:val="20"/>
                      </w:rPr>
                    </w:pPr>
                    <w:r>
                      <w:rPr>
                        <w:color w:val="231F20"/>
                        <w:sz w:val="20"/>
                      </w:rPr>
                      <w:t>using</w:t>
                    </w:r>
                    <w:r>
                      <w:rPr>
                        <w:color w:val="231F20"/>
                        <w:spacing w:val="-6"/>
                        <w:sz w:val="20"/>
                      </w:rPr>
                      <w:t xml:space="preserve"> </w:t>
                    </w:r>
                    <w:r>
                      <w:rPr>
                        <w:color w:val="231F20"/>
                        <w:sz w:val="20"/>
                      </w:rPr>
                      <w:t>appropriate</w:t>
                    </w:r>
                    <w:r>
                      <w:rPr>
                        <w:color w:val="231F20"/>
                        <w:spacing w:val="-6"/>
                        <w:sz w:val="20"/>
                      </w:rPr>
                      <w:t xml:space="preserve"> </w:t>
                    </w:r>
                    <w:r>
                      <w:rPr>
                        <w:color w:val="231F20"/>
                        <w:sz w:val="20"/>
                      </w:rPr>
                      <w:t>means</w:t>
                    </w:r>
                    <w:r>
                      <w:rPr>
                        <w:color w:val="231F20"/>
                        <w:spacing w:val="-5"/>
                        <w:sz w:val="20"/>
                      </w:rPr>
                      <w:t xml:space="preserve"> </w:t>
                    </w:r>
                    <w:r>
                      <w:rPr>
                        <w:color w:val="231F20"/>
                        <w:sz w:val="20"/>
                      </w:rPr>
                      <w:t>to</w:t>
                    </w:r>
                    <w:r>
                      <w:rPr>
                        <w:color w:val="231F20"/>
                        <w:spacing w:val="-6"/>
                        <w:sz w:val="20"/>
                      </w:rPr>
                      <w:t xml:space="preserve"> </w:t>
                    </w:r>
                    <w:r>
                      <w:rPr>
                        <w:color w:val="231F20"/>
                        <w:sz w:val="20"/>
                      </w:rPr>
                      <w:t>screen</w:t>
                    </w:r>
                    <w:r>
                      <w:rPr>
                        <w:color w:val="231F20"/>
                        <w:spacing w:val="-6"/>
                        <w:sz w:val="20"/>
                      </w:rPr>
                      <w:t xml:space="preserve"> </w:t>
                    </w:r>
                    <w:r>
                      <w:rPr>
                        <w:color w:val="231F20"/>
                        <w:sz w:val="20"/>
                      </w:rPr>
                      <w:t>complainants</w:t>
                    </w:r>
                    <w:r>
                      <w:rPr>
                        <w:color w:val="231F20"/>
                        <w:spacing w:val="-5"/>
                        <w:sz w:val="20"/>
                      </w:rPr>
                      <w:t xml:space="preserve"> </w:t>
                    </w:r>
                    <w:r>
                      <w:rPr>
                        <w:color w:val="231F20"/>
                        <w:sz w:val="20"/>
                      </w:rPr>
                      <w:t>from</w:t>
                    </w:r>
                    <w:r>
                      <w:rPr>
                        <w:color w:val="231F20"/>
                        <w:spacing w:val="-6"/>
                        <w:sz w:val="20"/>
                      </w:rPr>
                      <w:t xml:space="preserve"> </w:t>
                    </w:r>
                    <w:r>
                      <w:rPr>
                        <w:color w:val="231F20"/>
                        <w:sz w:val="20"/>
                      </w:rPr>
                      <w:t>the</w:t>
                    </w:r>
                    <w:r>
                      <w:rPr>
                        <w:color w:val="231F20"/>
                        <w:spacing w:val="-5"/>
                        <w:sz w:val="20"/>
                      </w:rPr>
                      <w:t xml:space="preserve"> </w:t>
                    </w:r>
                    <w:r>
                      <w:rPr>
                        <w:color w:val="231F20"/>
                        <w:sz w:val="20"/>
                      </w:rPr>
                      <w:t>accused</w:t>
                    </w:r>
                    <w:r>
                      <w:rPr>
                        <w:color w:val="231F20"/>
                        <w:spacing w:val="-6"/>
                        <w:sz w:val="20"/>
                      </w:rPr>
                      <w:t xml:space="preserve"> </w:t>
                    </w:r>
                    <w:r>
                      <w:rPr>
                        <w:color w:val="231F20"/>
                        <w:sz w:val="20"/>
                      </w:rPr>
                      <w:t>when</w:t>
                    </w:r>
                    <w:r>
                      <w:rPr>
                        <w:color w:val="231F20"/>
                        <w:spacing w:val="-6"/>
                        <w:sz w:val="20"/>
                      </w:rPr>
                      <w:t xml:space="preserve"> </w:t>
                    </w:r>
                    <w:r>
                      <w:rPr>
                        <w:color w:val="231F20"/>
                        <w:sz w:val="20"/>
                      </w:rPr>
                      <w:t>giving evidence in the</w:t>
                    </w:r>
                    <w:r>
                      <w:rPr>
                        <w:color w:val="231F20"/>
                        <w:spacing w:val="-7"/>
                        <w:sz w:val="20"/>
                      </w:rPr>
                      <w:t xml:space="preserve"> </w:t>
                    </w:r>
                    <w:r>
                      <w:rPr>
                        <w:color w:val="231F20"/>
                        <w:sz w:val="20"/>
                      </w:rPr>
                      <w:t>courtroom</w:t>
                    </w:r>
                  </w:p>
                  <w:p w14:paraId="08EEE3D8" w14:textId="77777777" w:rsidR="00894070" w:rsidRDefault="009B7AFD">
                    <w:pPr>
                      <w:spacing w:before="90" w:line="259" w:lineRule="exact"/>
                      <w:rPr>
                        <w:sz w:val="20"/>
                      </w:rPr>
                    </w:pPr>
                    <w:r>
                      <w:rPr>
                        <w:color w:val="231F20"/>
                        <w:sz w:val="20"/>
                      </w:rPr>
                      <w:t>ensuring technology is reliable to support complainants to present their best</w:t>
                    </w:r>
                  </w:p>
                  <w:p w14:paraId="4FA78A4B" w14:textId="77777777" w:rsidR="00894070" w:rsidRDefault="009B7AFD">
                    <w:pPr>
                      <w:spacing w:line="259" w:lineRule="exact"/>
                      <w:rPr>
                        <w:sz w:val="20"/>
                      </w:rPr>
                    </w:pPr>
                    <w:r>
                      <w:rPr>
                        <w:color w:val="231F20"/>
                        <w:sz w:val="20"/>
                      </w:rPr>
                      <w:t>evidence.</w:t>
                    </w:r>
                  </w:p>
                </w:txbxContent>
              </v:textbox>
            </v:shape>
            <v:shape id="_x0000_s1117" type="#_x0000_t202" style="position:absolute;left:231;top:1431;width:180;height:1435" filled="f" stroked="f">
              <v:textbox inset="0,0,0,0">
                <w:txbxContent>
                  <w:p w14:paraId="37FB2EEA" w14:textId="77777777" w:rsidR="00894070" w:rsidRDefault="009B7AFD">
                    <w:pPr>
                      <w:spacing w:line="235" w:lineRule="exact"/>
                      <w:rPr>
                        <w:sz w:val="20"/>
                      </w:rPr>
                    </w:pPr>
                    <w:r>
                      <w:rPr>
                        <w:color w:val="231F20"/>
                        <w:sz w:val="20"/>
                      </w:rPr>
                      <w:t>a.</w:t>
                    </w:r>
                  </w:p>
                  <w:p w14:paraId="3A439BFA" w14:textId="77777777" w:rsidR="00894070" w:rsidRDefault="00894070">
                    <w:pPr>
                      <w:spacing w:before="3"/>
                      <w:rPr>
                        <w:sz w:val="23"/>
                      </w:rPr>
                    </w:pPr>
                  </w:p>
                  <w:p w14:paraId="4EC39EE9" w14:textId="77777777" w:rsidR="00894070" w:rsidRDefault="009B7AFD">
                    <w:pPr>
                      <w:rPr>
                        <w:sz w:val="20"/>
                      </w:rPr>
                    </w:pPr>
                    <w:r>
                      <w:rPr>
                        <w:color w:val="231F20"/>
                        <w:sz w:val="20"/>
                      </w:rPr>
                      <w:t>b.</w:t>
                    </w:r>
                  </w:p>
                  <w:p w14:paraId="41B4295C" w14:textId="77777777" w:rsidR="00894070" w:rsidRDefault="00894070">
                    <w:pPr>
                      <w:spacing w:before="3"/>
                      <w:rPr>
                        <w:sz w:val="23"/>
                      </w:rPr>
                    </w:pPr>
                  </w:p>
                  <w:p w14:paraId="37A38AA9" w14:textId="77777777" w:rsidR="00894070" w:rsidRDefault="009B7AFD">
                    <w:pPr>
                      <w:rPr>
                        <w:sz w:val="20"/>
                      </w:rPr>
                    </w:pPr>
                    <w:r>
                      <w:rPr>
                        <w:color w:val="231F20"/>
                        <w:sz w:val="20"/>
                      </w:rPr>
                      <w:t>c.</w:t>
                    </w:r>
                  </w:p>
                </w:txbxContent>
              </v:textbox>
            </v:shape>
            <v:shape id="_x0000_s1116" type="#_x0000_t202" style="position:absolute;left:231;top:231;width:8038;height:1075" filled="f" stroked="f">
              <v:textbox inset="0,0,0,0">
                <w:txbxContent>
                  <w:p w14:paraId="029E3CFC" w14:textId="77777777" w:rsidR="00894070" w:rsidRDefault="009B7AFD">
                    <w:pPr>
                      <w:spacing w:line="216" w:lineRule="exact"/>
                      <w:rPr>
                        <w:b/>
                        <w:sz w:val="20"/>
                      </w:rPr>
                    </w:pPr>
                    <w:r>
                      <w:rPr>
                        <w:b/>
                        <w:color w:val="231F20"/>
                        <w:sz w:val="20"/>
                      </w:rPr>
                      <w:t>Our</w:t>
                    </w:r>
                    <w:r>
                      <w:rPr>
                        <w:b/>
                        <w:color w:val="231F20"/>
                        <w:spacing w:val="-8"/>
                        <w:sz w:val="20"/>
                      </w:rPr>
                      <w:t xml:space="preserve"> </w:t>
                    </w:r>
                    <w:r>
                      <w:rPr>
                        <w:b/>
                        <w:color w:val="231F20"/>
                        <w:sz w:val="20"/>
                      </w:rPr>
                      <w:t>recommendation</w:t>
                    </w:r>
                    <w:r>
                      <w:rPr>
                        <w:b/>
                        <w:color w:val="231F20"/>
                        <w:spacing w:val="-7"/>
                        <w:sz w:val="20"/>
                      </w:rPr>
                      <w:t xml:space="preserve"> </w:t>
                    </w:r>
                    <w:r>
                      <w:rPr>
                        <w:b/>
                        <w:color w:val="231F20"/>
                        <w:sz w:val="20"/>
                      </w:rPr>
                      <w:t>for</w:t>
                    </w:r>
                    <w:r>
                      <w:rPr>
                        <w:b/>
                        <w:color w:val="231F20"/>
                        <w:spacing w:val="-7"/>
                        <w:sz w:val="20"/>
                      </w:rPr>
                      <w:t xml:space="preserve"> </w:t>
                    </w:r>
                    <w:r>
                      <w:rPr>
                        <w:b/>
                        <w:color w:val="231F20"/>
                        <w:sz w:val="20"/>
                      </w:rPr>
                      <w:t>protecting</w:t>
                    </w:r>
                    <w:r>
                      <w:rPr>
                        <w:b/>
                        <w:color w:val="231F20"/>
                        <w:spacing w:val="-7"/>
                        <w:sz w:val="20"/>
                      </w:rPr>
                      <w:t xml:space="preserve"> </w:t>
                    </w:r>
                    <w:r>
                      <w:rPr>
                        <w:b/>
                        <w:color w:val="231F20"/>
                        <w:sz w:val="20"/>
                      </w:rPr>
                      <w:t>complainants</w:t>
                    </w:r>
                    <w:r>
                      <w:rPr>
                        <w:b/>
                        <w:color w:val="231F20"/>
                        <w:spacing w:val="-7"/>
                        <w:sz w:val="20"/>
                      </w:rPr>
                      <w:t xml:space="preserve"> </w:t>
                    </w:r>
                    <w:r>
                      <w:rPr>
                        <w:b/>
                        <w:color w:val="231F20"/>
                        <w:sz w:val="20"/>
                      </w:rPr>
                      <w:t>in</w:t>
                    </w:r>
                    <w:r>
                      <w:rPr>
                        <w:b/>
                        <w:color w:val="231F20"/>
                        <w:spacing w:val="-7"/>
                        <w:sz w:val="20"/>
                      </w:rPr>
                      <w:t xml:space="preserve"> </w:t>
                    </w:r>
                    <w:r>
                      <w:rPr>
                        <w:b/>
                        <w:color w:val="231F20"/>
                        <w:sz w:val="20"/>
                      </w:rPr>
                      <w:t>sexual</w:t>
                    </w:r>
                    <w:r>
                      <w:rPr>
                        <w:b/>
                        <w:color w:val="231F20"/>
                        <w:spacing w:val="-7"/>
                        <w:sz w:val="20"/>
                      </w:rPr>
                      <w:t xml:space="preserve"> </w:t>
                    </w:r>
                    <w:r>
                      <w:rPr>
                        <w:b/>
                        <w:color w:val="231F20"/>
                        <w:sz w:val="20"/>
                      </w:rPr>
                      <w:t>offence</w:t>
                    </w:r>
                    <w:r>
                      <w:rPr>
                        <w:b/>
                        <w:color w:val="231F20"/>
                        <w:spacing w:val="-8"/>
                        <w:sz w:val="20"/>
                      </w:rPr>
                      <w:t xml:space="preserve"> </w:t>
                    </w:r>
                    <w:r>
                      <w:rPr>
                        <w:b/>
                        <w:color w:val="231F20"/>
                        <w:sz w:val="20"/>
                      </w:rPr>
                      <w:t>cases</w:t>
                    </w:r>
                    <w:r>
                      <w:rPr>
                        <w:b/>
                        <w:color w:val="231F20"/>
                        <w:spacing w:val="-7"/>
                        <w:sz w:val="20"/>
                      </w:rPr>
                      <w:t xml:space="preserve"> </w:t>
                    </w:r>
                    <w:r>
                      <w:rPr>
                        <w:b/>
                        <w:color w:val="231F20"/>
                        <w:sz w:val="20"/>
                      </w:rPr>
                      <w:t>attending</w:t>
                    </w:r>
                  </w:p>
                  <w:p w14:paraId="0B964367" w14:textId="77777777" w:rsidR="00894070" w:rsidRDefault="009B7AFD">
                    <w:pPr>
                      <w:spacing w:line="259" w:lineRule="exact"/>
                      <w:rPr>
                        <w:b/>
                        <w:sz w:val="20"/>
                      </w:rPr>
                    </w:pPr>
                    <w:r>
                      <w:rPr>
                        <w:b/>
                        <w:color w:val="231F20"/>
                        <w:sz w:val="20"/>
                      </w:rPr>
                      <w:t xml:space="preserve">court from </w:t>
                    </w:r>
                    <w:r>
                      <w:rPr>
                        <w:b/>
                        <w:i/>
                        <w:color w:val="231F20"/>
                        <w:sz w:val="20"/>
                      </w:rPr>
                      <w:t xml:space="preserve">Improving the Justice System Response to Sexual Offences </w:t>
                    </w:r>
                    <w:r>
                      <w:rPr>
                        <w:b/>
                        <w:color w:val="231F20"/>
                        <w:sz w:val="20"/>
                      </w:rPr>
                      <w:t>(2021)</w:t>
                    </w:r>
                  </w:p>
                  <w:p w14:paraId="1EA46E36" w14:textId="77777777" w:rsidR="00894070" w:rsidRDefault="009B7AFD">
                    <w:pPr>
                      <w:spacing w:before="114" w:line="206" w:lineRule="auto"/>
                      <w:rPr>
                        <w:sz w:val="20"/>
                      </w:rPr>
                    </w:pPr>
                    <w:r>
                      <w:rPr>
                        <w:b/>
                        <w:color w:val="231F20"/>
                        <w:sz w:val="20"/>
                      </w:rPr>
                      <w:t xml:space="preserve">Recommendation 85: </w:t>
                    </w:r>
                    <w:r>
                      <w:rPr>
                        <w:color w:val="231F20"/>
                        <w:sz w:val="20"/>
                      </w:rPr>
                      <w:t>The Victorian Government should fund the courts to strengthen measures to protect complainants in sexual offence cases by:</w:t>
                    </w:r>
                  </w:p>
                </w:txbxContent>
              </v:textbox>
            </v:shape>
            <w10:anchorlock/>
          </v:group>
        </w:pict>
      </w:r>
    </w:p>
    <w:p w14:paraId="5CFF8DBB" w14:textId="77777777" w:rsidR="00894070" w:rsidRDefault="00894070">
      <w:pPr>
        <w:pStyle w:val="BodyText"/>
        <w:spacing w:before="1"/>
        <w:rPr>
          <w:sz w:val="19"/>
        </w:rPr>
      </w:pPr>
    </w:p>
    <w:p w14:paraId="52ED27C2" w14:textId="77777777" w:rsidR="00894070" w:rsidRDefault="009B7AFD">
      <w:pPr>
        <w:pStyle w:val="ListParagraph"/>
        <w:numPr>
          <w:ilvl w:val="0"/>
          <w:numId w:val="45"/>
        </w:numPr>
        <w:tabs>
          <w:tab w:val="left" w:pos="1801"/>
          <w:tab w:val="left" w:pos="1802"/>
        </w:tabs>
        <w:spacing w:before="90" w:line="206" w:lineRule="auto"/>
        <w:ind w:right="1213"/>
        <w:rPr>
          <w:sz w:val="20"/>
        </w:rPr>
      </w:pPr>
      <w:r>
        <w:rPr>
          <w:color w:val="231F20"/>
          <w:sz w:val="20"/>
        </w:rPr>
        <w:t>Although</w:t>
      </w:r>
      <w:r>
        <w:rPr>
          <w:color w:val="231F20"/>
          <w:spacing w:val="-12"/>
          <w:sz w:val="20"/>
        </w:rPr>
        <w:t xml:space="preserve"> </w:t>
      </w:r>
      <w:r>
        <w:rPr>
          <w:color w:val="231F20"/>
          <w:sz w:val="20"/>
        </w:rPr>
        <w:t>these</w:t>
      </w:r>
      <w:r>
        <w:rPr>
          <w:color w:val="231F20"/>
          <w:spacing w:val="-11"/>
          <w:sz w:val="20"/>
        </w:rPr>
        <w:t xml:space="preserve"> </w:t>
      </w:r>
      <w:r>
        <w:rPr>
          <w:color w:val="231F20"/>
          <w:sz w:val="20"/>
        </w:rPr>
        <w:t>recommendations</w:t>
      </w:r>
      <w:r>
        <w:rPr>
          <w:color w:val="231F20"/>
          <w:spacing w:val="-11"/>
          <w:sz w:val="20"/>
        </w:rPr>
        <w:t xml:space="preserve"> </w:t>
      </w:r>
      <w:r>
        <w:rPr>
          <w:color w:val="231F20"/>
          <w:spacing w:val="-4"/>
          <w:sz w:val="20"/>
        </w:rPr>
        <w:t>were</w:t>
      </w:r>
      <w:r>
        <w:rPr>
          <w:color w:val="231F20"/>
          <w:spacing w:val="-12"/>
          <w:sz w:val="20"/>
        </w:rPr>
        <w:t xml:space="preserve"> </w:t>
      </w:r>
      <w:r>
        <w:rPr>
          <w:color w:val="231F20"/>
          <w:sz w:val="20"/>
        </w:rPr>
        <w:t>not</w:t>
      </w:r>
      <w:r>
        <w:rPr>
          <w:color w:val="231F20"/>
          <w:spacing w:val="-11"/>
          <w:sz w:val="20"/>
        </w:rPr>
        <w:t xml:space="preserve"> </w:t>
      </w:r>
      <w:r>
        <w:rPr>
          <w:color w:val="231F20"/>
          <w:spacing w:val="-3"/>
          <w:sz w:val="20"/>
        </w:rPr>
        <w:t>developed</w:t>
      </w:r>
      <w:r>
        <w:rPr>
          <w:color w:val="231F20"/>
          <w:spacing w:val="-11"/>
          <w:sz w:val="20"/>
        </w:rPr>
        <w:t xml:space="preserve"> </w:t>
      </w:r>
      <w:r>
        <w:rPr>
          <w:color w:val="231F20"/>
          <w:sz w:val="20"/>
        </w:rPr>
        <w:t>with</w:t>
      </w:r>
      <w:r>
        <w:rPr>
          <w:color w:val="231F20"/>
          <w:spacing w:val="-12"/>
          <w:sz w:val="20"/>
        </w:rPr>
        <w:t xml:space="preserve"> </w:t>
      </w:r>
      <w:r>
        <w:rPr>
          <w:color w:val="231F20"/>
          <w:sz w:val="20"/>
        </w:rPr>
        <w:t>victim</w:t>
      </w:r>
      <w:r>
        <w:rPr>
          <w:color w:val="231F20"/>
          <w:spacing w:val="-11"/>
          <w:sz w:val="20"/>
        </w:rPr>
        <w:t xml:space="preserve"> </w:t>
      </w:r>
      <w:r>
        <w:rPr>
          <w:color w:val="231F20"/>
          <w:sz w:val="20"/>
        </w:rPr>
        <w:t>survivors</w:t>
      </w:r>
      <w:r>
        <w:rPr>
          <w:color w:val="231F20"/>
          <w:spacing w:val="-11"/>
          <w:sz w:val="20"/>
        </w:rPr>
        <w:t xml:space="preserve"> </w:t>
      </w:r>
      <w:r>
        <w:rPr>
          <w:color w:val="231F20"/>
          <w:sz w:val="20"/>
        </w:rPr>
        <w:t>of</w:t>
      </w:r>
      <w:r>
        <w:rPr>
          <w:color w:val="231F20"/>
          <w:spacing w:val="-11"/>
          <w:sz w:val="20"/>
        </w:rPr>
        <w:t xml:space="preserve"> </w:t>
      </w:r>
      <w:r>
        <w:rPr>
          <w:color w:val="231F20"/>
          <w:sz w:val="20"/>
        </w:rPr>
        <w:t>stalking in</w:t>
      </w:r>
      <w:r>
        <w:rPr>
          <w:color w:val="231F20"/>
          <w:spacing w:val="-7"/>
          <w:sz w:val="20"/>
        </w:rPr>
        <w:t xml:space="preserve"> </w:t>
      </w:r>
      <w:r>
        <w:rPr>
          <w:color w:val="231F20"/>
          <w:sz w:val="20"/>
        </w:rPr>
        <w:t>mind,</w:t>
      </w:r>
      <w:r>
        <w:rPr>
          <w:color w:val="231F20"/>
          <w:spacing w:val="-6"/>
          <w:sz w:val="20"/>
        </w:rPr>
        <w:t xml:space="preserve"> </w:t>
      </w:r>
      <w:r>
        <w:rPr>
          <w:color w:val="231F20"/>
          <w:sz w:val="20"/>
        </w:rPr>
        <w:t>they</w:t>
      </w:r>
      <w:r>
        <w:rPr>
          <w:color w:val="231F20"/>
          <w:spacing w:val="-6"/>
          <w:sz w:val="20"/>
        </w:rPr>
        <w:t xml:space="preserve"> </w:t>
      </w:r>
      <w:r>
        <w:rPr>
          <w:color w:val="231F20"/>
          <w:spacing w:val="-3"/>
          <w:sz w:val="20"/>
        </w:rPr>
        <w:t>would</w:t>
      </w:r>
      <w:r>
        <w:rPr>
          <w:color w:val="231F20"/>
          <w:spacing w:val="-6"/>
          <w:sz w:val="20"/>
        </w:rPr>
        <w:t xml:space="preserve"> </w:t>
      </w:r>
      <w:r>
        <w:rPr>
          <w:color w:val="231F20"/>
          <w:sz w:val="20"/>
        </w:rPr>
        <w:t>make</w:t>
      </w:r>
      <w:r>
        <w:rPr>
          <w:color w:val="231F20"/>
          <w:spacing w:val="-6"/>
          <w:sz w:val="20"/>
        </w:rPr>
        <w:t xml:space="preserve"> </w:t>
      </w:r>
      <w:r>
        <w:rPr>
          <w:color w:val="231F20"/>
          <w:sz w:val="20"/>
        </w:rPr>
        <w:t>it</w:t>
      </w:r>
      <w:r>
        <w:rPr>
          <w:color w:val="231F20"/>
          <w:spacing w:val="-6"/>
          <w:sz w:val="20"/>
        </w:rPr>
        <w:t xml:space="preserve"> </w:t>
      </w:r>
      <w:r>
        <w:rPr>
          <w:color w:val="231F20"/>
          <w:sz w:val="20"/>
        </w:rPr>
        <w:t>safer</w:t>
      </w:r>
      <w:r>
        <w:rPr>
          <w:color w:val="231F20"/>
          <w:spacing w:val="-6"/>
          <w:sz w:val="20"/>
        </w:rPr>
        <w:t xml:space="preserve"> </w:t>
      </w:r>
      <w:r>
        <w:rPr>
          <w:color w:val="231F20"/>
          <w:spacing w:val="-3"/>
          <w:sz w:val="20"/>
        </w:rPr>
        <w:t>for</w:t>
      </w:r>
      <w:r>
        <w:rPr>
          <w:color w:val="231F20"/>
          <w:spacing w:val="-7"/>
          <w:sz w:val="20"/>
        </w:rPr>
        <w:t xml:space="preserve"> </w:t>
      </w:r>
      <w:r>
        <w:rPr>
          <w:color w:val="231F20"/>
          <w:sz w:val="20"/>
        </w:rPr>
        <w:t>this</w:t>
      </w:r>
      <w:r>
        <w:rPr>
          <w:color w:val="231F20"/>
          <w:spacing w:val="-6"/>
          <w:sz w:val="20"/>
        </w:rPr>
        <w:t xml:space="preserve"> </w:t>
      </w:r>
      <w:r>
        <w:rPr>
          <w:color w:val="231F20"/>
          <w:sz w:val="20"/>
        </w:rPr>
        <w:t>group</w:t>
      </w:r>
      <w:r>
        <w:rPr>
          <w:color w:val="231F20"/>
          <w:spacing w:val="-6"/>
          <w:sz w:val="20"/>
        </w:rPr>
        <w:t xml:space="preserve"> </w:t>
      </w:r>
      <w:r>
        <w:rPr>
          <w:color w:val="231F20"/>
          <w:sz w:val="20"/>
        </w:rPr>
        <w:t>to</w:t>
      </w:r>
      <w:r>
        <w:rPr>
          <w:color w:val="231F20"/>
          <w:spacing w:val="-6"/>
          <w:sz w:val="20"/>
        </w:rPr>
        <w:t xml:space="preserve"> </w:t>
      </w:r>
      <w:r>
        <w:rPr>
          <w:color w:val="231F20"/>
          <w:spacing w:val="-2"/>
          <w:sz w:val="20"/>
        </w:rPr>
        <w:t>attend</w:t>
      </w:r>
      <w:r>
        <w:rPr>
          <w:color w:val="231F20"/>
          <w:spacing w:val="-6"/>
          <w:sz w:val="20"/>
        </w:rPr>
        <w:t xml:space="preserve"> </w:t>
      </w:r>
      <w:r>
        <w:rPr>
          <w:color w:val="231F20"/>
          <w:sz w:val="20"/>
        </w:rPr>
        <w:t>court</w:t>
      </w:r>
      <w:r>
        <w:rPr>
          <w:color w:val="231F20"/>
          <w:spacing w:val="-6"/>
          <w:sz w:val="20"/>
        </w:rPr>
        <w:t xml:space="preserve"> </w:t>
      </w:r>
      <w:r>
        <w:rPr>
          <w:color w:val="231F20"/>
          <w:sz w:val="20"/>
        </w:rPr>
        <w:t>or</w:t>
      </w:r>
      <w:r>
        <w:rPr>
          <w:color w:val="231F20"/>
          <w:spacing w:val="-6"/>
          <w:sz w:val="20"/>
        </w:rPr>
        <w:t xml:space="preserve"> </w:t>
      </w:r>
      <w:r>
        <w:rPr>
          <w:color w:val="231F20"/>
          <w:spacing w:val="-3"/>
          <w:sz w:val="20"/>
        </w:rPr>
        <w:t>give</w:t>
      </w:r>
      <w:r>
        <w:rPr>
          <w:color w:val="231F20"/>
          <w:spacing w:val="-6"/>
          <w:sz w:val="20"/>
        </w:rPr>
        <w:t xml:space="preserve"> </w:t>
      </w:r>
      <w:r>
        <w:rPr>
          <w:color w:val="231F20"/>
          <w:sz w:val="20"/>
        </w:rPr>
        <w:t>evidence</w:t>
      </w:r>
    </w:p>
    <w:p w14:paraId="6F1B1BBC" w14:textId="77777777" w:rsidR="00894070" w:rsidRDefault="009B7AFD">
      <w:pPr>
        <w:pStyle w:val="BodyText"/>
        <w:spacing w:before="2" w:line="206" w:lineRule="auto"/>
        <w:ind w:left="1801" w:right="1732"/>
        <w:jc w:val="both"/>
      </w:pPr>
      <w:r>
        <w:rPr>
          <w:color w:val="231F20"/>
        </w:rPr>
        <w:t>in</w:t>
      </w:r>
      <w:r>
        <w:rPr>
          <w:color w:val="231F20"/>
          <w:spacing w:val="-11"/>
        </w:rPr>
        <w:t xml:space="preserve"> </w:t>
      </w:r>
      <w:r>
        <w:rPr>
          <w:color w:val="231F20"/>
        </w:rPr>
        <w:t>proceedings.</w:t>
      </w:r>
      <w:r>
        <w:rPr>
          <w:color w:val="231F20"/>
          <w:spacing w:val="-11"/>
        </w:rPr>
        <w:t xml:space="preserve"> </w:t>
      </w:r>
      <w:r>
        <w:rPr>
          <w:color w:val="231F20"/>
        </w:rPr>
        <w:t>A</w:t>
      </w:r>
      <w:r>
        <w:rPr>
          <w:color w:val="231F20"/>
          <w:spacing w:val="-10"/>
        </w:rPr>
        <w:t xml:space="preserve"> </w:t>
      </w:r>
      <w:r>
        <w:rPr>
          <w:color w:val="231F20"/>
          <w:spacing w:val="-3"/>
        </w:rPr>
        <w:t>safe</w:t>
      </w:r>
      <w:r>
        <w:rPr>
          <w:color w:val="231F20"/>
          <w:spacing w:val="-11"/>
        </w:rPr>
        <w:t xml:space="preserve"> </w:t>
      </w:r>
      <w:r>
        <w:rPr>
          <w:color w:val="231F20"/>
        </w:rPr>
        <w:t>courtroom</w:t>
      </w:r>
      <w:r>
        <w:rPr>
          <w:color w:val="231F20"/>
          <w:spacing w:val="-10"/>
        </w:rPr>
        <w:t xml:space="preserve"> </w:t>
      </w:r>
      <w:r>
        <w:rPr>
          <w:color w:val="231F20"/>
        </w:rPr>
        <w:t>experience</w:t>
      </w:r>
      <w:r>
        <w:rPr>
          <w:color w:val="231F20"/>
          <w:spacing w:val="-11"/>
        </w:rPr>
        <w:t xml:space="preserve"> </w:t>
      </w:r>
      <w:r>
        <w:rPr>
          <w:color w:val="231F20"/>
        </w:rPr>
        <w:t>is</w:t>
      </w:r>
      <w:r>
        <w:rPr>
          <w:color w:val="231F20"/>
          <w:spacing w:val="-10"/>
        </w:rPr>
        <w:t xml:space="preserve"> </w:t>
      </w:r>
      <w:r>
        <w:rPr>
          <w:color w:val="231F20"/>
        </w:rPr>
        <w:t>important</w:t>
      </w:r>
      <w:r>
        <w:rPr>
          <w:color w:val="231F20"/>
          <w:spacing w:val="-11"/>
        </w:rPr>
        <w:t xml:space="preserve"> </w:t>
      </w:r>
      <w:r>
        <w:rPr>
          <w:color w:val="231F20"/>
        </w:rPr>
        <w:t>to</w:t>
      </w:r>
      <w:r>
        <w:rPr>
          <w:color w:val="231F20"/>
          <w:spacing w:val="-10"/>
        </w:rPr>
        <w:t xml:space="preserve"> </w:t>
      </w:r>
      <w:r>
        <w:rPr>
          <w:color w:val="231F20"/>
          <w:spacing w:val="-3"/>
        </w:rPr>
        <w:t>avoid</w:t>
      </w:r>
      <w:r>
        <w:rPr>
          <w:color w:val="231F20"/>
          <w:spacing w:val="-11"/>
        </w:rPr>
        <w:t xml:space="preserve"> </w:t>
      </w:r>
      <w:r>
        <w:rPr>
          <w:color w:val="231F20"/>
        </w:rPr>
        <w:t>the</w:t>
      </w:r>
      <w:r>
        <w:rPr>
          <w:color w:val="231F20"/>
          <w:spacing w:val="-10"/>
        </w:rPr>
        <w:t xml:space="preserve"> </w:t>
      </w:r>
      <w:r>
        <w:rPr>
          <w:color w:val="231F20"/>
        </w:rPr>
        <w:t>frightening prospect</w:t>
      </w:r>
      <w:r>
        <w:rPr>
          <w:color w:val="231F20"/>
          <w:spacing w:val="-11"/>
        </w:rPr>
        <w:t xml:space="preserve"> </w:t>
      </w:r>
      <w:r>
        <w:rPr>
          <w:color w:val="231F20"/>
        </w:rPr>
        <w:t>of</w:t>
      </w:r>
      <w:r>
        <w:rPr>
          <w:color w:val="231F20"/>
          <w:spacing w:val="-10"/>
        </w:rPr>
        <w:t xml:space="preserve"> </w:t>
      </w:r>
      <w:r>
        <w:rPr>
          <w:color w:val="231F20"/>
        </w:rPr>
        <w:t>coming</w:t>
      </w:r>
      <w:r>
        <w:rPr>
          <w:color w:val="231F20"/>
          <w:spacing w:val="-10"/>
        </w:rPr>
        <w:t xml:space="preserve"> </w:t>
      </w:r>
      <w:r>
        <w:rPr>
          <w:color w:val="231F20"/>
        </w:rPr>
        <w:t>face-to-face</w:t>
      </w:r>
      <w:r>
        <w:rPr>
          <w:color w:val="231F20"/>
          <w:spacing w:val="-10"/>
        </w:rPr>
        <w:t xml:space="preserve"> </w:t>
      </w:r>
      <w:r>
        <w:rPr>
          <w:color w:val="231F20"/>
        </w:rPr>
        <w:t>with</w:t>
      </w:r>
      <w:r>
        <w:rPr>
          <w:color w:val="231F20"/>
          <w:spacing w:val="-11"/>
        </w:rPr>
        <w:t xml:space="preserve"> </w:t>
      </w:r>
      <w:r>
        <w:rPr>
          <w:color w:val="231F20"/>
        </w:rPr>
        <w:t>the</w:t>
      </w:r>
      <w:r>
        <w:rPr>
          <w:color w:val="231F20"/>
          <w:spacing w:val="-10"/>
        </w:rPr>
        <w:t xml:space="preserve"> </w:t>
      </w:r>
      <w:r>
        <w:rPr>
          <w:color w:val="231F20"/>
        </w:rPr>
        <w:t>person</w:t>
      </w:r>
      <w:r>
        <w:rPr>
          <w:color w:val="231F20"/>
          <w:spacing w:val="-10"/>
        </w:rPr>
        <w:t xml:space="preserve"> </w:t>
      </w:r>
      <w:r>
        <w:rPr>
          <w:color w:val="231F20"/>
        </w:rPr>
        <w:t>who</w:t>
      </w:r>
      <w:r>
        <w:rPr>
          <w:color w:val="231F20"/>
          <w:spacing w:val="-10"/>
        </w:rPr>
        <w:t xml:space="preserve"> </w:t>
      </w:r>
      <w:r>
        <w:rPr>
          <w:color w:val="231F20"/>
        </w:rPr>
        <w:t>is</w:t>
      </w:r>
      <w:r>
        <w:rPr>
          <w:color w:val="231F20"/>
          <w:spacing w:val="-11"/>
        </w:rPr>
        <w:t xml:space="preserve"> </w:t>
      </w:r>
      <w:r>
        <w:rPr>
          <w:color w:val="231F20"/>
        </w:rPr>
        <w:t>stalking</w:t>
      </w:r>
      <w:r>
        <w:rPr>
          <w:color w:val="231F20"/>
          <w:spacing w:val="-10"/>
        </w:rPr>
        <w:t xml:space="preserve"> </w:t>
      </w:r>
      <w:r>
        <w:rPr>
          <w:color w:val="231F20"/>
        </w:rPr>
        <w:t>them</w:t>
      </w:r>
      <w:r>
        <w:rPr>
          <w:color w:val="231F20"/>
          <w:spacing w:val="-10"/>
        </w:rPr>
        <w:t xml:space="preserve"> </w:t>
      </w:r>
      <w:r>
        <w:rPr>
          <w:color w:val="231F20"/>
        </w:rPr>
        <w:t>and</w:t>
      </w:r>
      <w:r>
        <w:rPr>
          <w:color w:val="231F20"/>
          <w:spacing w:val="-10"/>
        </w:rPr>
        <w:t xml:space="preserve"> </w:t>
      </w:r>
      <w:r>
        <w:rPr>
          <w:color w:val="231F20"/>
        </w:rPr>
        <w:t xml:space="preserve">being stalked </w:t>
      </w:r>
      <w:r>
        <w:rPr>
          <w:color w:val="231F20"/>
          <w:spacing w:val="-3"/>
        </w:rPr>
        <w:t xml:space="preserve">through </w:t>
      </w:r>
      <w:r>
        <w:rPr>
          <w:color w:val="231F20"/>
        </w:rPr>
        <w:t>the justice</w:t>
      </w:r>
      <w:r>
        <w:rPr>
          <w:color w:val="231F20"/>
          <w:spacing w:val="-15"/>
        </w:rPr>
        <w:t xml:space="preserve"> </w:t>
      </w:r>
      <w:r>
        <w:rPr>
          <w:color w:val="231F20"/>
        </w:rPr>
        <w:t>system.</w:t>
      </w:r>
    </w:p>
    <w:p w14:paraId="7E03E877" w14:textId="77777777" w:rsidR="00894070" w:rsidRDefault="009F6793">
      <w:pPr>
        <w:pStyle w:val="BodyText"/>
        <w:spacing w:before="6"/>
        <w:rPr>
          <w:sz w:val="19"/>
        </w:rPr>
      </w:pPr>
      <w:r>
        <w:pict w14:anchorId="372684DF">
          <v:group id="_x0000_s1109" style="position:absolute;margin-left:62.35pt;margin-top:15.5pt;width:479.1pt;height:120.4pt;z-index:251756544;mso-wrap-distance-left:0;mso-wrap-distance-right:0;mso-position-horizontal-relative:page" coordorigin="1247,310" coordsize="9582,2408">
            <v:rect id="_x0000_s1114" style="position:absolute;left:1587;top:309;width:8731;height:2408" fillcolor="#fee7de" stroked="f"/>
            <v:line id="_x0000_s1113" style="position:absolute" from="1247,1117" to="10828,1117" strokecolor="white" strokeweight="2.5pt"/>
            <v:shape id="_x0000_s1112" type="#_x0000_t202" style="position:absolute;left:2381;top:1342;width:7594;height:1195" filled="f" stroked="f">
              <v:textbox inset="0,0,0,0">
                <w:txbxContent>
                  <w:p w14:paraId="0E5AE80F" w14:textId="77777777" w:rsidR="00894070" w:rsidRDefault="009B7AFD">
                    <w:pPr>
                      <w:spacing w:line="247" w:lineRule="auto"/>
                      <w:rPr>
                        <w:rFonts w:ascii="Trebuchet MS" w:hAnsi="Trebuchet MS"/>
                        <w:sz w:val="20"/>
                      </w:rPr>
                    </w:pPr>
                    <w:r>
                      <w:rPr>
                        <w:rFonts w:ascii="Trebuchet MS" w:hAnsi="Trebuchet MS"/>
                        <w:color w:val="231F20"/>
                        <w:w w:val="105"/>
                        <w:sz w:val="20"/>
                      </w:rPr>
                      <w:t>The</w:t>
                    </w:r>
                    <w:r>
                      <w:rPr>
                        <w:rFonts w:ascii="Trebuchet MS" w:hAnsi="Trebuchet MS"/>
                        <w:color w:val="231F20"/>
                        <w:spacing w:val="-19"/>
                        <w:w w:val="105"/>
                        <w:sz w:val="20"/>
                      </w:rPr>
                      <w:t xml:space="preserve"> </w:t>
                    </w:r>
                    <w:r>
                      <w:rPr>
                        <w:rFonts w:ascii="Trebuchet MS" w:hAnsi="Trebuchet MS"/>
                        <w:color w:val="231F20"/>
                        <w:w w:val="105"/>
                        <w:sz w:val="20"/>
                      </w:rPr>
                      <w:t>Victorian</w:t>
                    </w:r>
                    <w:r>
                      <w:rPr>
                        <w:rFonts w:ascii="Trebuchet MS" w:hAnsi="Trebuchet MS"/>
                        <w:color w:val="231F20"/>
                        <w:spacing w:val="-18"/>
                        <w:w w:val="105"/>
                        <w:sz w:val="20"/>
                      </w:rPr>
                      <w:t xml:space="preserve"> </w:t>
                    </w:r>
                    <w:r>
                      <w:rPr>
                        <w:rFonts w:ascii="Trebuchet MS" w:hAnsi="Trebuchet MS"/>
                        <w:color w:val="231F20"/>
                        <w:spacing w:val="-3"/>
                        <w:w w:val="105"/>
                        <w:sz w:val="20"/>
                      </w:rPr>
                      <w:t>Government</w:t>
                    </w:r>
                    <w:r>
                      <w:rPr>
                        <w:rFonts w:ascii="Trebuchet MS" w:hAnsi="Trebuchet MS"/>
                        <w:color w:val="231F20"/>
                        <w:spacing w:val="-19"/>
                        <w:w w:val="105"/>
                        <w:sz w:val="20"/>
                      </w:rPr>
                      <w:t xml:space="preserve"> </w:t>
                    </w:r>
                    <w:r>
                      <w:rPr>
                        <w:rFonts w:ascii="Trebuchet MS" w:hAnsi="Trebuchet MS"/>
                        <w:color w:val="231F20"/>
                        <w:w w:val="105"/>
                        <w:sz w:val="20"/>
                      </w:rPr>
                      <w:t>should</w:t>
                    </w:r>
                    <w:r>
                      <w:rPr>
                        <w:rFonts w:ascii="Trebuchet MS" w:hAnsi="Trebuchet MS"/>
                        <w:color w:val="231F20"/>
                        <w:spacing w:val="-18"/>
                        <w:w w:val="105"/>
                        <w:sz w:val="20"/>
                      </w:rPr>
                      <w:t xml:space="preserve"> </w:t>
                    </w:r>
                    <w:r>
                      <w:rPr>
                        <w:rFonts w:ascii="Trebuchet MS" w:hAnsi="Trebuchet MS"/>
                        <w:color w:val="231F20"/>
                        <w:w w:val="105"/>
                        <w:sz w:val="20"/>
                      </w:rPr>
                      <w:t>implement</w:t>
                    </w:r>
                    <w:r>
                      <w:rPr>
                        <w:rFonts w:ascii="Trebuchet MS" w:hAnsi="Trebuchet MS"/>
                        <w:color w:val="231F20"/>
                        <w:spacing w:val="-19"/>
                        <w:w w:val="105"/>
                        <w:sz w:val="20"/>
                      </w:rPr>
                      <w:t xml:space="preserve"> </w:t>
                    </w:r>
                    <w:r>
                      <w:rPr>
                        <w:rFonts w:ascii="Trebuchet MS" w:hAnsi="Trebuchet MS"/>
                        <w:color w:val="231F20"/>
                        <w:w w:val="105"/>
                        <w:sz w:val="20"/>
                      </w:rPr>
                      <w:t>Recommendation</w:t>
                    </w:r>
                    <w:r>
                      <w:rPr>
                        <w:rFonts w:ascii="Trebuchet MS" w:hAnsi="Trebuchet MS"/>
                        <w:color w:val="231F20"/>
                        <w:spacing w:val="-18"/>
                        <w:w w:val="105"/>
                        <w:sz w:val="20"/>
                      </w:rPr>
                      <w:t xml:space="preserve"> </w:t>
                    </w:r>
                    <w:r>
                      <w:rPr>
                        <w:rFonts w:ascii="Trebuchet MS" w:hAnsi="Trebuchet MS"/>
                        <w:color w:val="231F20"/>
                        <w:spacing w:val="-3"/>
                        <w:w w:val="105"/>
                        <w:sz w:val="20"/>
                      </w:rPr>
                      <w:t>43</w:t>
                    </w:r>
                    <w:r>
                      <w:rPr>
                        <w:rFonts w:ascii="Trebuchet MS" w:hAnsi="Trebuchet MS"/>
                        <w:color w:val="231F20"/>
                        <w:spacing w:val="-19"/>
                        <w:w w:val="105"/>
                        <w:sz w:val="20"/>
                      </w:rPr>
                      <w:t xml:space="preserve"> </w:t>
                    </w:r>
                    <w:r>
                      <w:rPr>
                        <w:rFonts w:ascii="Trebuchet MS" w:hAnsi="Trebuchet MS"/>
                        <w:color w:val="231F20"/>
                        <w:w w:val="105"/>
                        <w:sz w:val="20"/>
                      </w:rPr>
                      <w:t>of</w:t>
                    </w:r>
                    <w:r>
                      <w:rPr>
                        <w:rFonts w:ascii="Trebuchet MS" w:hAnsi="Trebuchet MS"/>
                        <w:color w:val="231F20"/>
                        <w:spacing w:val="-18"/>
                        <w:w w:val="105"/>
                        <w:sz w:val="20"/>
                      </w:rPr>
                      <w:t xml:space="preserve"> </w:t>
                    </w:r>
                    <w:r>
                      <w:rPr>
                        <w:rFonts w:ascii="Trebuchet MS" w:hAnsi="Trebuchet MS"/>
                        <w:color w:val="231F20"/>
                        <w:w w:val="105"/>
                        <w:sz w:val="20"/>
                      </w:rPr>
                      <w:t>the</w:t>
                    </w:r>
                    <w:r>
                      <w:rPr>
                        <w:rFonts w:ascii="Trebuchet MS" w:hAnsi="Trebuchet MS"/>
                        <w:color w:val="231F20"/>
                        <w:spacing w:val="-19"/>
                        <w:w w:val="105"/>
                        <w:sz w:val="20"/>
                      </w:rPr>
                      <w:t xml:space="preserve"> </w:t>
                    </w:r>
                    <w:r>
                      <w:rPr>
                        <w:rFonts w:ascii="Trebuchet MS" w:hAnsi="Trebuchet MS"/>
                        <w:color w:val="231F20"/>
                        <w:w w:val="105"/>
                        <w:sz w:val="20"/>
                      </w:rPr>
                      <w:t xml:space="preserve">Victorian </w:t>
                    </w:r>
                    <w:r>
                      <w:rPr>
                        <w:rFonts w:ascii="Trebuchet MS" w:hAnsi="Trebuchet MS"/>
                        <w:color w:val="231F20"/>
                        <w:spacing w:val="2"/>
                        <w:w w:val="115"/>
                        <w:sz w:val="20"/>
                      </w:rPr>
                      <w:t>L</w:t>
                    </w:r>
                    <w:r>
                      <w:rPr>
                        <w:rFonts w:ascii="Trebuchet MS" w:hAnsi="Trebuchet MS"/>
                        <w:color w:val="231F20"/>
                        <w:spacing w:val="-7"/>
                        <w:w w:val="105"/>
                        <w:sz w:val="20"/>
                      </w:rPr>
                      <w:t>a</w:t>
                    </w:r>
                    <w:r>
                      <w:rPr>
                        <w:rFonts w:ascii="Trebuchet MS" w:hAnsi="Trebuchet MS"/>
                        <w:color w:val="231F20"/>
                        <w:w w:val="110"/>
                        <w:sz w:val="20"/>
                      </w:rPr>
                      <w:t>w</w:t>
                    </w:r>
                    <w:r>
                      <w:rPr>
                        <w:rFonts w:ascii="Trebuchet MS" w:hAnsi="Trebuchet MS"/>
                        <w:color w:val="231F20"/>
                        <w:spacing w:val="-14"/>
                        <w:sz w:val="20"/>
                      </w:rPr>
                      <w:t xml:space="preserve"> </w:t>
                    </w:r>
                    <w:r>
                      <w:rPr>
                        <w:rFonts w:ascii="Trebuchet MS" w:hAnsi="Trebuchet MS"/>
                        <w:color w:val="231F20"/>
                        <w:spacing w:val="-3"/>
                        <w:w w:val="112"/>
                        <w:sz w:val="20"/>
                      </w:rPr>
                      <w:t>R</w:t>
                    </w:r>
                    <w:r>
                      <w:rPr>
                        <w:rFonts w:ascii="Trebuchet MS" w:hAnsi="Trebuchet MS"/>
                        <w:color w:val="231F20"/>
                        <w:spacing w:val="-4"/>
                        <w:w w:val="108"/>
                        <w:sz w:val="20"/>
                      </w:rPr>
                      <w:t>e</w:t>
                    </w:r>
                    <w:r>
                      <w:rPr>
                        <w:rFonts w:ascii="Trebuchet MS" w:hAnsi="Trebuchet MS"/>
                        <w:color w:val="231F20"/>
                        <w:spacing w:val="-5"/>
                        <w:w w:val="92"/>
                        <w:sz w:val="20"/>
                      </w:rPr>
                      <w:t>f</w:t>
                    </w:r>
                    <w:r>
                      <w:rPr>
                        <w:rFonts w:ascii="Trebuchet MS" w:hAnsi="Trebuchet MS"/>
                        <w:color w:val="231F20"/>
                        <w:spacing w:val="-1"/>
                        <w:w w:val="103"/>
                        <w:sz w:val="20"/>
                      </w:rPr>
                      <w:t>o</w:t>
                    </w:r>
                    <w:r>
                      <w:rPr>
                        <w:rFonts w:ascii="Trebuchet MS" w:hAnsi="Trebuchet MS"/>
                        <w:color w:val="231F20"/>
                        <w:spacing w:val="-2"/>
                        <w:w w:val="103"/>
                        <w:sz w:val="20"/>
                      </w:rPr>
                      <w:t>r</w:t>
                    </w:r>
                    <w:r>
                      <w:rPr>
                        <w:rFonts w:ascii="Trebuchet MS" w:hAnsi="Trebuchet MS"/>
                        <w:color w:val="231F20"/>
                        <w:w w:val="111"/>
                        <w:sz w:val="20"/>
                      </w:rPr>
                      <w:t>m</w:t>
                    </w:r>
                    <w:r>
                      <w:rPr>
                        <w:rFonts w:ascii="Trebuchet MS" w:hAnsi="Trebuchet MS"/>
                        <w:color w:val="231F20"/>
                        <w:spacing w:val="-14"/>
                        <w:sz w:val="20"/>
                      </w:rPr>
                      <w:t xml:space="preserve"> </w:t>
                    </w:r>
                    <w:r>
                      <w:rPr>
                        <w:rFonts w:ascii="Trebuchet MS" w:hAnsi="Trebuchet MS"/>
                        <w:color w:val="231F20"/>
                        <w:spacing w:val="-1"/>
                        <w:w w:val="114"/>
                        <w:sz w:val="20"/>
                      </w:rPr>
                      <w:t>C</w:t>
                    </w:r>
                    <w:r>
                      <w:rPr>
                        <w:rFonts w:ascii="Trebuchet MS" w:hAnsi="Trebuchet MS"/>
                        <w:color w:val="231F20"/>
                        <w:spacing w:val="-1"/>
                        <w:w w:val="111"/>
                        <w:sz w:val="20"/>
                      </w:rPr>
                      <w:t>o</w:t>
                    </w:r>
                    <w:r>
                      <w:rPr>
                        <w:rFonts w:ascii="Trebuchet MS" w:hAnsi="Trebuchet MS"/>
                        <w:color w:val="231F20"/>
                        <w:spacing w:val="-2"/>
                        <w:w w:val="111"/>
                        <w:sz w:val="20"/>
                      </w:rPr>
                      <w:t>mm</w:t>
                    </w:r>
                    <w:r>
                      <w:rPr>
                        <w:rFonts w:ascii="Trebuchet MS" w:hAnsi="Trebuchet MS"/>
                        <w:color w:val="231F20"/>
                        <w:spacing w:val="-1"/>
                        <w:w w:val="104"/>
                        <w:sz w:val="20"/>
                      </w:rPr>
                      <w:t>issi</w:t>
                    </w:r>
                    <w:r>
                      <w:rPr>
                        <w:rFonts w:ascii="Trebuchet MS" w:hAnsi="Trebuchet MS"/>
                        <w:color w:val="231F20"/>
                        <w:spacing w:val="-1"/>
                        <w:w w:val="109"/>
                        <w:sz w:val="20"/>
                      </w:rPr>
                      <w:t>o</w:t>
                    </w:r>
                    <w:r>
                      <w:rPr>
                        <w:rFonts w:ascii="Trebuchet MS" w:hAnsi="Trebuchet MS"/>
                        <w:color w:val="231F20"/>
                        <w:spacing w:val="-6"/>
                        <w:w w:val="109"/>
                        <w:sz w:val="20"/>
                      </w:rPr>
                      <w:t>n</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Arial" w:hAnsi="Arial"/>
                        <w:i/>
                        <w:color w:val="231F20"/>
                        <w:spacing w:val="-3"/>
                        <w:w w:val="95"/>
                        <w:sz w:val="20"/>
                      </w:rPr>
                      <w:t>T</w:t>
                    </w:r>
                    <w:r>
                      <w:rPr>
                        <w:rFonts w:ascii="Arial" w:hAnsi="Arial"/>
                        <w:i/>
                        <w:color w:val="231F20"/>
                        <w:spacing w:val="-1"/>
                        <w:w w:val="101"/>
                        <w:sz w:val="20"/>
                      </w:rPr>
                      <w:t>h</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2"/>
                        <w:w w:val="87"/>
                        <w:sz w:val="20"/>
                      </w:rPr>
                      <w:t>R</w:t>
                    </w:r>
                    <w:r>
                      <w:rPr>
                        <w:rFonts w:ascii="Arial" w:hAnsi="Arial"/>
                        <w:i/>
                        <w:color w:val="231F20"/>
                        <w:spacing w:val="-2"/>
                        <w:w w:val="103"/>
                        <w:sz w:val="20"/>
                      </w:rPr>
                      <w:t>o</w:t>
                    </w:r>
                    <w:r>
                      <w:rPr>
                        <w:rFonts w:ascii="Arial" w:hAnsi="Arial"/>
                        <w:i/>
                        <w:color w:val="231F20"/>
                        <w:spacing w:val="-4"/>
                        <w:w w:val="126"/>
                        <w:sz w:val="20"/>
                      </w:rPr>
                      <w:t>l</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3"/>
                        <w:w w:val="103"/>
                        <w:sz w:val="20"/>
                      </w:rPr>
                      <w:t>o</w:t>
                    </w:r>
                    <w:r>
                      <w:rPr>
                        <w:rFonts w:ascii="Arial" w:hAnsi="Arial"/>
                        <w:i/>
                        <w:color w:val="231F20"/>
                        <w:w w:val="120"/>
                        <w:sz w:val="20"/>
                      </w:rPr>
                      <w:t>f</w:t>
                    </w:r>
                    <w:r>
                      <w:rPr>
                        <w:rFonts w:ascii="Arial" w:hAnsi="Arial"/>
                        <w:i/>
                        <w:color w:val="231F20"/>
                        <w:spacing w:val="-11"/>
                        <w:sz w:val="20"/>
                      </w:rPr>
                      <w:t xml:space="preserve"> </w:t>
                    </w:r>
                    <w:r>
                      <w:rPr>
                        <w:rFonts w:ascii="Arial" w:hAnsi="Arial"/>
                        <w:i/>
                        <w:color w:val="231F20"/>
                        <w:spacing w:val="-2"/>
                        <w:w w:val="98"/>
                        <w:sz w:val="20"/>
                      </w:rPr>
                      <w:t>V</w:t>
                    </w:r>
                    <w:r>
                      <w:rPr>
                        <w:rFonts w:ascii="Arial" w:hAnsi="Arial"/>
                        <w:i/>
                        <w:color w:val="231F20"/>
                        <w:spacing w:val="-1"/>
                        <w:w w:val="98"/>
                        <w:sz w:val="20"/>
                      </w:rPr>
                      <w:t>i</w:t>
                    </w:r>
                    <w:r>
                      <w:rPr>
                        <w:rFonts w:ascii="Arial" w:hAnsi="Arial"/>
                        <w:i/>
                        <w:color w:val="231F20"/>
                        <w:spacing w:val="-3"/>
                        <w:w w:val="106"/>
                        <w:sz w:val="20"/>
                      </w:rPr>
                      <w:t>c</w:t>
                    </w:r>
                    <w:r>
                      <w:rPr>
                        <w:rFonts w:ascii="Arial" w:hAnsi="Arial"/>
                        <w:i/>
                        <w:color w:val="231F20"/>
                        <w:spacing w:val="-2"/>
                        <w:w w:val="121"/>
                        <w:sz w:val="20"/>
                      </w:rPr>
                      <w:t>t</w:t>
                    </w:r>
                    <w:r>
                      <w:rPr>
                        <w:rFonts w:ascii="Arial" w:hAnsi="Arial"/>
                        <w:i/>
                        <w:color w:val="231F20"/>
                        <w:spacing w:val="-1"/>
                        <w:w w:val="101"/>
                        <w:sz w:val="20"/>
                      </w:rPr>
                      <w:t>i</w:t>
                    </w:r>
                    <w:r>
                      <w:rPr>
                        <w:rFonts w:ascii="Arial" w:hAnsi="Arial"/>
                        <w:i/>
                        <w:color w:val="231F20"/>
                        <w:spacing w:val="-1"/>
                        <w:w w:val="106"/>
                        <w:sz w:val="20"/>
                      </w:rPr>
                      <w:t>m</w:t>
                    </w:r>
                    <w:r>
                      <w:rPr>
                        <w:rFonts w:ascii="Arial" w:hAnsi="Arial"/>
                        <w:i/>
                        <w:color w:val="231F20"/>
                        <w:w w:val="95"/>
                        <w:sz w:val="20"/>
                      </w:rPr>
                      <w:t>s</w:t>
                    </w:r>
                    <w:r>
                      <w:rPr>
                        <w:rFonts w:ascii="Arial" w:hAnsi="Arial"/>
                        <w:i/>
                        <w:color w:val="231F20"/>
                        <w:spacing w:val="-11"/>
                        <w:sz w:val="20"/>
                      </w:rPr>
                      <w:t xml:space="preserve"> </w:t>
                    </w:r>
                    <w:r>
                      <w:rPr>
                        <w:rFonts w:ascii="Arial" w:hAnsi="Arial"/>
                        <w:i/>
                        <w:color w:val="231F20"/>
                        <w:spacing w:val="-3"/>
                        <w:w w:val="103"/>
                        <w:sz w:val="20"/>
                      </w:rPr>
                      <w:t>o</w:t>
                    </w:r>
                    <w:r>
                      <w:rPr>
                        <w:rFonts w:ascii="Arial" w:hAnsi="Arial"/>
                        <w:i/>
                        <w:color w:val="231F20"/>
                        <w:w w:val="120"/>
                        <w:sz w:val="20"/>
                      </w:rPr>
                      <w:t>f</w:t>
                    </w:r>
                    <w:r>
                      <w:rPr>
                        <w:rFonts w:ascii="Arial" w:hAnsi="Arial"/>
                        <w:i/>
                        <w:color w:val="231F20"/>
                        <w:spacing w:val="-11"/>
                        <w:sz w:val="20"/>
                      </w:rPr>
                      <w:t xml:space="preserve"> </w:t>
                    </w:r>
                    <w:r>
                      <w:rPr>
                        <w:rFonts w:ascii="Arial" w:hAnsi="Arial"/>
                        <w:i/>
                        <w:color w:val="231F20"/>
                        <w:spacing w:val="-2"/>
                        <w:w w:val="90"/>
                        <w:sz w:val="20"/>
                      </w:rPr>
                      <w:t>C</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2"/>
                        <w:w w:val="106"/>
                        <w:sz w:val="20"/>
                      </w:rPr>
                      <w:t>m</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1"/>
                        <w:w w:val="101"/>
                        <w:sz w:val="20"/>
                      </w:rPr>
                      <w:t>i</w:t>
                    </w:r>
                    <w:r>
                      <w:rPr>
                        <w:rFonts w:ascii="Arial" w:hAnsi="Arial"/>
                        <w:i/>
                        <w:color w:val="231F20"/>
                        <w:w w:val="101"/>
                        <w:sz w:val="20"/>
                      </w:rPr>
                      <w:t>n</w:t>
                    </w:r>
                    <w:r>
                      <w:rPr>
                        <w:rFonts w:ascii="Arial" w:hAnsi="Arial"/>
                        <w:i/>
                        <w:color w:val="231F20"/>
                        <w:spacing w:val="-11"/>
                        <w:sz w:val="20"/>
                      </w:rPr>
                      <w:t xml:space="preserve"> </w:t>
                    </w:r>
                    <w:r>
                      <w:rPr>
                        <w:rFonts w:ascii="Arial" w:hAnsi="Arial"/>
                        <w:i/>
                        <w:color w:val="231F20"/>
                        <w:spacing w:val="-2"/>
                        <w:w w:val="121"/>
                        <w:sz w:val="20"/>
                      </w:rPr>
                      <w:t>t</w:t>
                    </w:r>
                    <w:r>
                      <w:rPr>
                        <w:rFonts w:ascii="Arial" w:hAnsi="Arial"/>
                        <w:i/>
                        <w:color w:val="231F20"/>
                        <w:spacing w:val="-1"/>
                        <w:w w:val="101"/>
                        <w:sz w:val="20"/>
                      </w:rPr>
                      <w:t>h</w:t>
                    </w:r>
                    <w:r>
                      <w:rPr>
                        <w:rFonts w:ascii="Arial" w:hAnsi="Arial"/>
                        <w:i/>
                        <w:color w:val="231F20"/>
                        <w:w w:val="96"/>
                        <w:sz w:val="20"/>
                      </w:rPr>
                      <w:t>e</w:t>
                    </w:r>
                    <w:r>
                      <w:rPr>
                        <w:rFonts w:ascii="Arial" w:hAnsi="Arial"/>
                        <w:i/>
                        <w:color w:val="231F20"/>
                        <w:spacing w:val="-11"/>
                        <w:sz w:val="20"/>
                      </w:rPr>
                      <w:t xml:space="preserve"> </w:t>
                    </w:r>
                    <w:r>
                      <w:rPr>
                        <w:rFonts w:ascii="Arial" w:hAnsi="Arial"/>
                        <w:i/>
                        <w:color w:val="231F20"/>
                        <w:spacing w:val="-2"/>
                        <w:w w:val="90"/>
                        <w:sz w:val="20"/>
                      </w:rPr>
                      <w:t>C</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1"/>
                        <w:w w:val="106"/>
                        <w:sz w:val="20"/>
                      </w:rPr>
                      <w:t>m</w:t>
                    </w:r>
                    <w:r>
                      <w:rPr>
                        <w:rFonts w:ascii="Arial" w:hAnsi="Arial"/>
                        <w:i/>
                        <w:color w:val="231F20"/>
                        <w:spacing w:val="-1"/>
                        <w:w w:val="101"/>
                        <w:sz w:val="20"/>
                      </w:rPr>
                      <w:t>in</w:t>
                    </w:r>
                    <w:r>
                      <w:rPr>
                        <w:rFonts w:ascii="Arial" w:hAnsi="Arial"/>
                        <w:i/>
                        <w:color w:val="231F20"/>
                        <w:spacing w:val="-1"/>
                        <w:w w:val="108"/>
                        <w:sz w:val="20"/>
                      </w:rPr>
                      <w:t>a</w:t>
                    </w:r>
                    <w:r>
                      <w:rPr>
                        <w:rFonts w:ascii="Arial" w:hAnsi="Arial"/>
                        <w:i/>
                        <w:color w:val="231F20"/>
                        <w:w w:val="126"/>
                        <w:sz w:val="20"/>
                      </w:rPr>
                      <w:t>l</w:t>
                    </w:r>
                    <w:r>
                      <w:rPr>
                        <w:rFonts w:ascii="Arial" w:hAnsi="Arial"/>
                        <w:i/>
                        <w:color w:val="231F20"/>
                        <w:spacing w:val="-11"/>
                        <w:sz w:val="20"/>
                      </w:rPr>
                      <w:t xml:space="preserve"> </w:t>
                    </w:r>
                    <w:r>
                      <w:rPr>
                        <w:rFonts w:ascii="Arial" w:hAnsi="Arial"/>
                        <w:i/>
                        <w:color w:val="231F20"/>
                        <w:spacing w:val="-16"/>
                        <w:w w:val="95"/>
                        <w:sz w:val="20"/>
                      </w:rPr>
                      <w:t>T</w:t>
                    </w:r>
                    <w:r>
                      <w:rPr>
                        <w:rFonts w:ascii="Arial" w:hAnsi="Arial"/>
                        <w:i/>
                        <w:color w:val="231F20"/>
                        <w:spacing w:val="-3"/>
                        <w:w w:val="106"/>
                        <w:sz w:val="20"/>
                      </w:rPr>
                      <w:t>r</w:t>
                    </w:r>
                    <w:r>
                      <w:rPr>
                        <w:rFonts w:ascii="Arial" w:hAnsi="Arial"/>
                        <w:i/>
                        <w:color w:val="231F20"/>
                        <w:spacing w:val="-1"/>
                        <w:w w:val="101"/>
                        <w:sz w:val="20"/>
                      </w:rPr>
                      <w:t>i</w:t>
                    </w:r>
                    <w:r>
                      <w:rPr>
                        <w:rFonts w:ascii="Arial" w:hAnsi="Arial"/>
                        <w:i/>
                        <w:color w:val="231F20"/>
                        <w:spacing w:val="-1"/>
                        <w:w w:val="108"/>
                        <w:sz w:val="20"/>
                      </w:rPr>
                      <w:t>a</w:t>
                    </w:r>
                    <w:r>
                      <w:rPr>
                        <w:rFonts w:ascii="Arial" w:hAnsi="Arial"/>
                        <w:i/>
                        <w:color w:val="231F20"/>
                        <w:w w:val="126"/>
                        <w:sz w:val="20"/>
                      </w:rPr>
                      <w:t>l</w:t>
                    </w:r>
                    <w:r>
                      <w:rPr>
                        <w:rFonts w:ascii="Arial" w:hAnsi="Arial"/>
                        <w:i/>
                        <w:color w:val="231F20"/>
                        <w:spacing w:val="-11"/>
                        <w:sz w:val="20"/>
                      </w:rPr>
                      <w:t xml:space="preserve"> </w:t>
                    </w:r>
                    <w:r>
                      <w:rPr>
                        <w:rFonts w:ascii="Arial" w:hAnsi="Arial"/>
                        <w:i/>
                        <w:color w:val="231F20"/>
                        <w:spacing w:val="-3"/>
                        <w:w w:val="90"/>
                        <w:sz w:val="20"/>
                      </w:rPr>
                      <w:t>P</w:t>
                    </w:r>
                    <w:r>
                      <w:rPr>
                        <w:rFonts w:ascii="Arial" w:hAnsi="Arial"/>
                        <w:i/>
                        <w:color w:val="231F20"/>
                        <w:spacing w:val="-5"/>
                        <w:w w:val="106"/>
                        <w:sz w:val="20"/>
                      </w:rPr>
                      <w:t>r</w:t>
                    </w:r>
                    <w:r>
                      <w:rPr>
                        <w:rFonts w:ascii="Arial" w:hAnsi="Arial"/>
                        <w:i/>
                        <w:color w:val="231F20"/>
                        <w:spacing w:val="-1"/>
                        <w:w w:val="103"/>
                        <w:sz w:val="20"/>
                      </w:rPr>
                      <w:t>o</w:t>
                    </w:r>
                    <w:r>
                      <w:rPr>
                        <w:rFonts w:ascii="Arial" w:hAnsi="Arial"/>
                        <w:i/>
                        <w:color w:val="231F20"/>
                        <w:spacing w:val="-2"/>
                        <w:w w:val="106"/>
                        <w:sz w:val="20"/>
                      </w:rPr>
                      <w:t>c</w:t>
                    </w:r>
                    <w:r>
                      <w:rPr>
                        <w:rFonts w:ascii="Arial" w:hAnsi="Arial"/>
                        <w:i/>
                        <w:color w:val="231F20"/>
                        <w:spacing w:val="-1"/>
                        <w:w w:val="96"/>
                        <w:sz w:val="20"/>
                      </w:rPr>
                      <w:t>e</w:t>
                    </w:r>
                    <w:r>
                      <w:rPr>
                        <w:rFonts w:ascii="Arial" w:hAnsi="Arial"/>
                        <w:i/>
                        <w:color w:val="231F20"/>
                        <w:spacing w:val="-1"/>
                        <w:w w:val="95"/>
                        <w:sz w:val="20"/>
                      </w:rPr>
                      <w:t>s</w:t>
                    </w:r>
                    <w:r>
                      <w:rPr>
                        <w:rFonts w:ascii="Arial" w:hAnsi="Arial"/>
                        <w:i/>
                        <w:color w:val="231F20"/>
                        <w:w w:val="95"/>
                        <w:sz w:val="20"/>
                      </w:rPr>
                      <w:t xml:space="preserve">s </w:t>
                    </w:r>
                    <w:r>
                      <w:rPr>
                        <w:rFonts w:ascii="Trebuchet MS" w:hAnsi="Trebuchet MS"/>
                        <w:color w:val="231F20"/>
                        <w:w w:val="105"/>
                        <w:sz w:val="20"/>
                      </w:rPr>
                      <w:t>and</w:t>
                    </w:r>
                    <w:r>
                      <w:rPr>
                        <w:rFonts w:ascii="Trebuchet MS" w:hAnsi="Trebuchet MS"/>
                        <w:color w:val="231F20"/>
                        <w:spacing w:val="-26"/>
                        <w:w w:val="105"/>
                        <w:sz w:val="20"/>
                      </w:rPr>
                      <w:t xml:space="preserve"> </w:t>
                    </w:r>
                    <w:r>
                      <w:rPr>
                        <w:rFonts w:ascii="Trebuchet MS" w:hAnsi="Trebuchet MS"/>
                        <w:color w:val="231F20"/>
                        <w:w w:val="105"/>
                        <w:sz w:val="20"/>
                      </w:rPr>
                      <w:t>Recommendation</w:t>
                    </w:r>
                    <w:r>
                      <w:rPr>
                        <w:rFonts w:ascii="Trebuchet MS" w:hAnsi="Trebuchet MS"/>
                        <w:color w:val="231F20"/>
                        <w:spacing w:val="-26"/>
                        <w:w w:val="105"/>
                        <w:sz w:val="20"/>
                      </w:rPr>
                      <w:t xml:space="preserve"> </w:t>
                    </w:r>
                    <w:r>
                      <w:rPr>
                        <w:rFonts w:ascii="Trebuchet MS" w:hAnsi="Trebuchet MS"/>
                        <w:color w:val="231F20"/>
                        <w:w w:val="105"/>
                        <w:sz w:val="20"/>
                      </w:rPr>
                      <w:t>85</w:t>
                    </w:r>
                    <w:r>
                      <w:rPr>
                        <w:rFonts w:ascii="Trebuchet MS" w:hAnsi="Trebuchet MS"/>
                        <w:color w:val="231F20"/>
                        <w:spacing w:val="-26"/>
                        <w:w w:val="105"/>
                        <w:sz w:val="20"/>
                      </w:rPr>
                      <w:t xml:space="preserve"> </w:t>
                    </w:r>
                    <w:r>
                      <w:rPr>
                        <w:rFonts w:ascii="Trebuchet MS" w:hAnsi="Trebuchet MS"/>
                        <w:color w:val="231F20"/>
                        <w:w w:val="105"/>
                        <w:sz w:val="20"/>
                      </w:rPr>
                      <w:t>of</w:t>
                    </w:r>
                    <w:r>
                      <w:rPr>
                        <w:rFonts w:ascii="Trebuchet MS" w:hAnsi="Trebuchet MS"/>
                        <w:color w:val="231F20"/>
                        <w:spacing w:val="-26"/>
                        <w:w w:val="105"/>
                        <w:sz w:val="20"/>
                      </w:rPr>
                      <w:t xml:space="preserve"> </w:t>
                    </w:r>
                    <w:r>
                      <w:rPr>
                        <w:rFonts w:ascii="Trebuchet MS" w:hAnsi="Trebuchet MS"/>
                        <w:color w:val="231F20"/>
                        <w:w w:val="105"/>
                        <w:sz w:val="20"/>
                      </w:rPr>
                      <w:t>the</w:t>
                    </w:r>
                    <w:r>
                      <w:rPr>
                        <w:rFonts w:ascii="Trebuchet MS" w:hAnsi="Trebuchet MS"/>
                        <w:color w:val="231F20"/>
                        <w:spacing w:val="-27"/>
                        <w:w w:val="105"/>
                        <w:sz w:val="20"/>
                      </w:rPr>
                      <w:t xml:space="preserve"> </w:t>
                    </w:r>
                    <w:r>
                      <w:rPr>
                        <w:rFonts w:ascii="Arial" w:hAnsi="Arial"/>
                        <w:i/>
                        <w:color w:val="231F20"/>
                        <w:spacing w:val="-3"/>
                        <w:w w:val="105"/>
                        <w:sz w:val="20"/>
                      </w:rPr>
                      <w:t>Improving</w:t>
                    </w:r>
                    <w:r>
                      <w:rPr>
                        <w:rFonts w:ascii="Arial" w:hAnsi="Arial"/>
                        <w:i/>
                        <w:color w:val="231F20"/>
                        <w:spacing w:val="-22"/>
                        <w:w w:val="105"/>
                        <w:sz w:val="20"/>
                      </w:rPr>
                      <w:t xml:space="preserve"> </w:t>
                    </w:r>
                    <w:r>
                      <w:rPr>
                        <w:rFonts w:ascii="Arial" w:hAnsi="Arial"/>
                        <w:i/>
                        <w:color w:val="231F20"/>
                        <w:w w:val="105"/>
                        <w:sz w:val="20"/>
                      </w:rPr>
                      <w:t>the</w:t>
                    </w:r>
                    <w:r>
                      <w:rPr>
                        <w:rFonts w:ascii="Arial" w:hAnsi="Arial"/>
                        <w:i/>
                        <w:color w:val="231F20"/>
                        <w:spacing w:val="-23"/>
                        <w:w w:val="105"/>
                        <w:sz w:val="20"/>
                      </w:rPr>
                      <w:t xml:space="preserve"> </w:t>
                    </w:r>
                    <w:r>
                      <w:rPr>
                        <w:rFonts w:ascii="Arial" w:hAnsi="Arial"/>
                        <w:i/>
                        <w:color w:val="231F20"/>
                        <w:w w:val="105"/>
                        <w:sz w:val="20"/>
                      </w:rPr>
                      <w:t>Justice</w:t>
                    </w:r>
                    <w:r>
                      <w:rPr>
                        <w:rFonts w:ascii="Arial" w:hAnsi="Arial"/>
                        <w:i/>
                        <w:color w:val="231F20"/>
                        <w:spacing w:val="-22"/>
                        <w:w w:val="105"/>
                        <w:sz w:val="20"/>
                      </w:rPr>
                      <w:t xml:space="preserve"> </w:t>
                    </w:r>
                    <w:r>
                      <w:rPr>
                        <w:rFonts w:ascii="Arial" w:hAnsi="Arial"/>
                        <w:i/>
                        <w:color w:val="231F20"/>
                        <w:spacing w:val="-3"/>
                        <w:w w:val="105"/>
                        <w:sz w:val="20"/>
                      </w:rPr>
                      <w:t>System</w:t>
                    </w:r>
                    <w:r>
                      <w:rPr>
                        <w:rFonts w:ascii="Arial" w:hAnsi="Arial"/>
                        <w:i/>
                        <w:color w:val="231F20"/>
                        <w:spacing w:val="-22"/>
                        <w:w w:val="105"/>
                        <w:sz w:val="20"/>
                      </w:rPr>
                      <w:t xml:space="preserve"> </w:t>
                    </w:r>
                    <w:r>
                      <w:rPr>
                        <w:rFonts w:ascii="Arial" w:hAnsi="Arial"/>
                        <w:i/>
                        <w:color w:val="231F20"/>
                        <w:w w:val="105"/>
                        <w:sz w:val="20"/>
                      </w:rPr>
                      <w:t>Response</w:t>
                    </w:r>
                    <w:r>
                      <w:rPr>
                        <w:rFonts w:ascii="Arial" w:hAnsi="Arial"/>
                        <w:i/>
                        <w:color w:val="231F20"/>
                        <w:spacing w:val="-23"/>
                        <w:w w:val="105"/>
                        <w:sz w:val="20"/>
                      </w:rPr>
                      <w:t xml:space="preserve"> </w:t>
                    </w:r>
                    <w:r>
                      <w:rPr>
                        <w:rFonts w:ascii="Arial" w:hAnsi="Arial"/>
                        <w:i/>
                        <w:color w:val="231F20"/>
                        <w:spacing w:val="-3"/>
                        <w:w w:val="105"/>
                        <w:sz w:val="20"/>
                      </w:rPr>
                      <w:t>to</w:t>
                    </w:r>
                    <w:r>
                      <w:rPr>
                        <w:rFonts w:ascii="Arial" w:hAnsi="Arial"/>
                        <w:i/>
                        <w:color w:val="231F20"/>
                        <w:spacing w:val="-22"/>
                        <w:w w:val="105"/>
                        <w:sz w:val="20"/>
                      </w:rPr>
                      <w:t xml:space="preserve"> </w:t>
                    </w:r>
                    <w:r>
                      <w:rPr>
                        <w:rFonts w:ascii="Arial" w:hAnsi="Arial"/>
                        <w:i/>
                        <w:color w:val="231F20"/>
                        <w:w w:val="105"/>
                        <w:sz w:val="20"/>
                      </w:rPr>
                      <w:t xml:space="preserve">Sexual </w:t>
                    </w:r>
                    <w:r>
                      <w:rPr>
                        <w:rFonts w:ascii="Trebuchet MS" w:hAnsi="Trebuchet MS"/>
                        <w:i/>
                        <w:color w:val="231F20"/>
                        <w:w w:val="105"/>
                        <w:sz w:val="20"/>
                      </w:rPr>
                      <w:t xml:space="preserve">Offences </w:t>
                    </w:r>
                    <w:r>
                      <w:rPr>
                        <w:rFonts w:ascii="Trebuchet MS" w:hAnsi="Trebuchet MS"/>
                        <w:color w:val="231F20"/>
                        <w:w w:val="105"/>
                        <w:sz w:val="20"/>
                      </w:rPr>
                      <w:t xml:space="preserve">reports to strengthen measures to </w:t>
                    </w:r>
                    <w:r>
                      <w:rPr>
                        <w:rFonts w:ascii="Trebuchet MS" w:hAnsi="Trebuchet MS"/>
                        <w:color w:val="231F20"/>
                        <w:spacing w:val="-3"/>
                        <w:w w:val="105"/>
                        <w:sz w:val="20"/>
                      </w:rPr>
                      <w:t xml:space="preserve">protect </w:t>
                    </w:r>
                    <w:r>
                      <w:rPr>
                        <w:rFonts w:ascii="Trebuchet MS" w:hAnsi="Trebuchet MS"/>
                        <w:color w:val="231F20"/>
                        <w:w w:val="105"/>
                        <w:sz w:val="20"/>
                      </w:rPr>
                      <w:t xml:space="preserve">victim survivors of stalking </w:t>
                    </w:r>
                    <w:r>
                      <w:rPr>
                        <w:rFonts w:ascii="Trebuchet MS" w:hAnsi="Trebuchet MS"/>
                        <w:color w:val="231F20"/>
                        <w:spacing w:val="-4"/>
                        <w:w w:val="105"/>
                        <w:sz w:val="20"/>
                      </w:rPr>
                      <w:t>a</w:t>
                    </w:r>
                    <w:r>
                      <w:rPr>
                        <w:rFonts w:ascii="Trebuchet MS" w:hAnsi="Trebuchet MS"/>
                        <w:color w:val="231F20"/>
                        <w:spacing w:val="-1"/>
                        <w:w w:val="88"/>
                        <w:sz w:val="20"/>
                      </w:rPr>
                      <w:t>t</w:t>
                    </w:r>
                    <w:r>
                      <w:rPr>
                        <w:rFonts w:ascii="Trebuchet MS" w:hAnsi="Trebuchet MS"/>
                        <w:color w:val="231F20"/>
                        <w:spacing w:val="-4"/>
                        <w:w w:val="88"/>
                        <w:sz w:val="20"/>
                      </w:rPr>
                      <w:t>t</w:t>
                    </w:r>
                    <w:r>
                      <w:rPr>
                        <w:rFonts w:ascii="Trebuchet MS" w:hAnsi="Trebuchet MS"/>
                        <w:color w:val="231F20"/>
                        <w:spacing w:val="-1"/>
                        <w:w w:val="108"/>
                        <w:sz w:val="20"/>
                      </w:rPr>
                      <w:t>e</w:t>
                    </w:r>
                    <w:r>
                      <w:rPr>
                        <w:rFonts w:ascii="Trebuchet MS" w:hAnsi="Trebuchet MS"/>
                        <w:color w:val="231F20"/>
                        <w:spacing w:val="-1"/>
                        <w:w w:val="104"/>
                        <w:sz w:val="20"/>
                      </w:rPr>
                      <w:t>nd</w:t>
                    </w:r>
                    <w:r>
                      <w:rPr>
                        <w:rFonts w:ascii="Trebuchet MS" w:hAnsi="Trebuchet MS"/>
                        <w:color w:val="231F20"/>
                        <w:spacing w:val="-2"/>
                        <w:w w:val="104"/>
                        <w:sz w:val="20"/>
                      </w:rPr>
                      <w:t>i</w:t>
                    </w:r>
                    <w:r>
                      <w:rPr>
                        <w:rFonts w:ascii="Trebuchet MS" w:hAnsi="Trebuchet MS"/>
                        <w:color w:val="231F20"/>
                        <w:spacing w:val="-1"/>
                        <w:w w:val="107"/>
                        <w:sz w:val="20"/>
                      </w:rPr>
                      <w:t>n</w:t>
                    </w:r>
                    <w:r>
                      <w:rPr>
                        <w:rFonts w:ascii="Trebuchet MS" w:hAnsi="Trebuchet MS"/>
                        <w:color w:val="231F20"/>
                        <w:w w:val="124"/>
                        <w:sz w:val="20"/>
                      </w:rPr>
                      <w:t>g</w:t>
                    </w:r>
                    <w:r>
                      <w:rPr>
                        <w:rFonts w:ascii="Trebuchet MS" w:hAnsi="Trebuchet MS"/>
                        <w:color w:val="231F20"/>
                        <w:spacing w:val="-14"/>
                        <w:sz w:val="20"/>
                      </w:rPr>
                      <w:t xml:space="preserve"> </w:t>
                    </w:r>
                    <w:r>
                      <w:rPr>
                        <w:rFonts w:ascii="Trebuchet MS" w:hAnsi="Trebuchet MS"/>
                        <w:color w:val="231F20"/>
                        <w:spacing w:val="-3"/>
                        <w:w w:val="111"/>
                        <w:sz w:val="20"/>
                      </w:rPr>
                      <w:t>c</w:t>
                    </w:r>
                    <w:r>
                      <w:rPr>
                        <w:rFonts w:ascii="Trebuchet MS" w:hAnsi="Trebuchet MS"/>
                        <w:color w:val="231F20"/>
                        <w:spacing w:val="-1"/>
                        <w:w w:val="106"/>
                        <w:sz w:val="20"/>
                      </w:rPr>
                      <w:t>ou</w:t>
                    </w:r>
                    <w:r>
                      <w:rPr>
                        <w:rFonts w:ascii="Trebuchet MS" w:hAnsi="Trebuchet MS"/>
                        <w:color w:val="231F20"/>
                        <w:spacing w:val="2"/>
                        <w:w w:val="106"/>
                        <w:sz w:val="20"/>
                      </w:rPr>
                      <w:t>r</w:t>
                    </w:r>
                    <w:r>
                      <w:rPr>
                        <w:rFonts w:ascii="Trebuchet MS" w:hAnsi="Trebuchet MS"/>
                        <w:color w:val="231F20"/>
                        <w:spacing w:val="1"/>
                        <w:w w:val="88"/>
                        <w:sz w:val="20"/>
                      </w:rPr>
                      <w:t>t</w:t>
                    </w:r>
                    <w:r>
                      <w:rPr>
                        <w:rFonts w:ascii="Trebuchet MS" w:hAnsi="Trebuchet MS"/>
                        <w:color w:val="231F20"/>
                        <w:w w:val="55"/>
                        <w:sz w:val="20"/>
                      </w:rPr>
                      <w:t>.</w:t>
                    </w:r>
                  </w:p>
                </w:txbxContent>
              </v:textbox>
            </v:shape>
            <v:shape id="_x0000_s1111" type="#_x0000_t202" style="position:absolute;left:1814;top:1342;width:291;height:235" filled="f" stroked="f">
              <v:textbox inset="0,0,0,0">
                <w:txbxContent>
                  <w:p w14:paraId="20A7298E" w14:textId="77777777" w:rsidR="00894070" w:rsidRDefault="009B7AFD">
                    <w:pPr>
                      <w:rPr>
                        <w:rFonts w:ascii="Trebuchet MS"/>
                        <w:sz w:val="20"/>
                      </w:rPr>
                    </w:pPr>
                    <w:r>
                      <w:rPr>
                        <w:rFonts w:ascii="Trebuchet MS"/>
                        <w:color w:val="231F20"/>
                        <w:spacing w:val="-3"/>
                        <w:w w:val="111"/>
                        <w:sz w:val="20"/>
                      </w:rPr>
                      <w:t>40</w:t>
                    </w:r>
                    <w:r>
                      <w:rPr>
                        <w:rFonts w:ascii="Trebuchet MS"/>
                        <w:color w:val="231F20"/>
                        <w:w w:val="55"/>
                        <w:sz w:val="20"/>
                      </w:rPr>
                      <w:t>.</w:t>
                    </w:r>
                  </w:p>
                </w:txbxContent>
              </v:textbox>
            </v:shape>
            <v:shape id="_x0000_s1110" type="#_x0000_t202" style="position:absolute;left:1587;top:309;width:8731;height:783" fillcolor="#fee7de" stroked="f">
              <v:textbox inset="0,0,0,0">
                <w:txbxContent>
                  <w:p w14:paraId="26ABE649"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wrap type="topAndBottom" anchorx="page"/>
          </v:group>
        </w:pict>
      </w:r>
    </w:p>
    <w:p w14:paraId="76FA1018" w14:textId="77777777" w:rsidR="00894070" w:rsidRDefault="00894070">
      <w:pPr>
        <w:pStyle w:val="BodyText"/>
        <w:spacing w:before="3"/>
        <w:rPr>
          <w:sz w:val="29"/>
        </w:rPr>
      </w:pPr>
    </w:p>
    <w:p w14:paraId="72485417" w14:textId="77777777" w:rsidR="00894070" w:rsidRDefault="009B7AFD">
      <w:pPr>
        <w:pStyle w:val="Heading8"/>
        <w:spacing w:before="48"/>
        <w:ind w:left="1007"/>
      </w:pPr>
      <w:r>
        <w:rPr>
          <w:color w:val="231F20"/>
        </w:rPr>
        <w:t>Victim survivors should not be personally cross-examined by the accused</w:t>
      </w:r>
    </w:p>
    <w:p w14:paraId="5BCEDB6F" w14:textId="77777777" w:rsidR="00894070" w:rsidRDefault="009B7AFD">
      <w:pPr>
        <w:pStyle w:val="ListParagraph"/>
        <w:numPr>
          <w:ilvl w:val="0"/>
          <w:numId w:val="45"/>
        </w:numPr>
        <w:tabs>
          <w:tab w:val="left" w:pos="1801"/>
          <w:tab w:val="left" w:pos="1802"/>
        </w:tabs>
        <w:spacing w:before="127" w:line="206" w:lineRule="auto"/>
        <w:ind w:right="1552"/>
        <w:rPr>
          <w:sz w:val="11"/>
        </w:rPr>
      </w:pP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criminal</w:t>
      </w:r>
      <w:r>
        <w:rPr>
          <w:color w:val="231F20"/>
          <w:spacing w:val="-8"/>
          <w:sz w:val="20"/>
        </w:rPr>
        <w:t xml:space="preserve"> </w:t>
      </w:r>
      <w:r>
        <w:rPr>
          <w:color w:val="231F20"/>
          <w:sz w:val="20"/>
        </w:rPr>
        <w:t>justice</w:t>
      </w:r>
      <w:r>
        <w:rPr>
          <w:color w:val="231F20"/>
          <w:spacing w:val="-7"/>
          <w:sz w:val="20"/>
        </w:rPr>
        <w:t xml:space="preserve"> </w:t>
      </w:r>
      <w:r>
        <w:rPr>
          <w:color w:val="231F20"/>
          <w:sz w:val="20"/>
        </w:rPr>
        <w:t>system,</w:t>
      </w:r>
      <w:r>
        <w:rPr>
          <w:color w:val="231F20"/>
          <w:spacing w:val="-8"/>
          <w:sz w:val="20"/>
        </w:rPr>
        <w:t xml:space="preserve"> </w:t>
      </w:r>
      <w:r>
        <w:rPr>
          <w:color w:val="231F20"/>
          <w:sz w:val="20"/>
        </w:rPr>
        <w:t>the</w:t>
      </w:r>
      <w:r>
        <w:rPr>
          <w:color w:val="231F20"/>
          <w:spacing w:val="-8"/>
          <w:sz w:val="20"/>
        </w:rPr>
        <w:t xml:space="preserve"> </w:t>
      </w:r>
      <w:r>
        <w:rPr>
          <w:color w:val="231F20"/>
          <w:sz w:val="20"/>
        </w:rPr>
        <w:t>law</w:t>
      </w:r>
      <w:r>
        <w:rPr>
          <w:color w:val="231F20"/>
          <w:spacing w:val="-7"/>
          <w:sz w:val="20"/>
        </w:rPr>
        <w:t xml:space="preserve"> </w:t>
      </w:r>
      <w:r>
        <w:rPr>
          <w:color w:val="231F20"/>
          <w:spacing w:val="-3"/>
          <w:sz w:val="20"/>
        </w:rPr>
        <w:t>prevents</w:t>
      </w:r>
      <w:r>
        <w:rPr>
          <w:color w:val="231F20"/>
          <w:spacing w:val="-8"/>
          <w:sz w:val="20"/>
        </w:rPr>
        <w:t xml:space="preserve"> </w:t>
      </w:r>
      <w:r>
        <w:rPr>
          <w:color w:val="231F20"/>
          <w:sz w:val="20"/>
        </w:rPr>
        <w:t>a</w:t>
      </w:r>
      <w:r>
        <w:rPr>
          <w:color w:val="231F20"/>
          <w:spacing w:val="-8"/>
          <w:sz w:val="20"/>
        </w:rPr>
        <w:t xml:space="preserve"> </w:t>
      </w:r>
      <w:r>
        <w:rPr>
          <w:color w:val="231F20"/>
          <w:sz w:val="20"/>
        </w:rPr>
        <w:t>person</w:t>
      </w:r>
      <w:r>
        <w:rPr>
          <w:color w:val="231F20"/>
          <w:spacing w:val="-7"/>
          <w:sz w:val="20"/>
        </w:rPr>
        <w:t xml:space="preserve"> </w:t>
      </w:r>
      <w:r>
        <w:rPr>
          <w:color w:val="231F20"/>
          <w:sz w:val="20"/>
        </w:rPr>
        <w:t>who</w:t>
      </w:r>
      <w:r>
        <w:rPr>
          <w:color w:val="231F20"/>
          <w:spacing w:val="-8"/>
          <w:sz w:val="20"/>
        </w:rPr>
        <w:t xml:space="preserve"> </w:t>
      </w:r>
      <w:r>
        <w:rPr>
          <w:color w:val="231F20"/>
          <w:sz w:val="20"/>
        </w:rPr>
        <w:t>is</w:t>
      </w:r>
      <w:r>
        <w:rPr>
          <w:color w:val="231F20"/>
          <w:spacing w:val="-8"/>
          <w:sz w:val="20"/>
        </w:rPr>
        <w:t xml:space="preserve"> </w:t>
      </w:r>
      <w:r>
        <w:rPr>
          <w:color w:val="231F20"/>
          <w:sz w:val="20"/>
        </w:rPr>
        <w:t>a</w:t>
      </w:r>
      <w:r>
        <w:rPr>
          <w:color w:val="231F20"/>
          <w:spacing w:val="-8"/>
          <w:sz w:val="20"/>
        </w:rPr>
        <w:t xml:space="preserve"> </w:t>
      </w:r>
      <w:r>
        <w:rPr>
          <w:color w:val="231F20"/>
          <w:spacing w:val="-3"/>
          <w:sz w:val="20"/>
        </w:rPr>
        <w:t>protected</w:t>
      </w:r>
      <w:r>
        <w:rPr>
          <w:color w:val="231F20"/>
          <w:spacing w:val="-7"/>
          <w:sz w:val="20"/>
        </w:rPr>
        <w:t xml:space="preserve"> </w:t>
      </w:r>
      <w:r>
        <w:rPr>
          <w:color w:val="231F20"/>
          <w:sz w:val="20"/>
        </w:rPr>
        <w:t xml:space="preserve">witness </w:t>
      </w:r>
      <w:r>
        <w:rPr>
          <w:color w:val="231F20"/>
          <w:spacing w:val="-3"/>
          <w:sz w:val="20"/>
        </w:rPr>
        <w:t xml:space="preserve">from </w:t>
      </w:r>
      <w:r>
        <w:rPr>
          <w:color w:val="231F20"/>
          <w:sz w:val="20"/>
        </w:rPr>
        <w:t xml:space="preserve">being personally cross-examined </w:t>
      </w:r>
      <w:r>
        <w:rPr>
          <w:color w:val="231F20"/>
          <w:spacing w:val="-3"/>
          <w:sz w:val="20"/>
        </w:rPr>
        <w:t xml:space="preserve">by </w:t>
      </w:r>
      <w:r>
        <w:rPr>
          <w:color w:val="231F20"/>
          <w:sz w:val="20"/>
        </w:rPr>
        <w:t xml:space="preserve">the accused in sexual offence or </w:t>
      </w:r>
      <w:r>
        <w:rPr>
          <w:color w:val="231F20"/>
          <w:spacing w:val="-3"/>
          <w:sz w:val="20"/>
        </w:rPr>
        <w:t xml:space="preserve">family </w:t>
      </w:r>
      <w:r>
        <w:rPr>
          <w:color w:val="231F20"/>
          <w:sz w:val="20"/>
        </w:rPr>
        <w:t>violence</w:t>
      </w:r>
      <w:r>
        <w:rPr>
          <w:color w:val="231F20"/>
          <w:spacing w:val="-5"/>
          <w:sz w:val="20"/>
        </w:rPr>
        <w:t xml:space="preserve"> </w:t>
      </w:r>
      <w:r>
        <w:rPr>
          <w:color w:val="231F20"/>
          <w:sz w:val="20"/>
        </w:rPr>
        <w:t>cases.</w:t>
      </w:r>
      <w:r>
        <w:rPr>
          <w:color w:val="231F20"/>
          <w:position w:val="7"/>
          <w:sz w:val="11"/>
        </w:rPr>
        <w:t>181</w:t>
      </w:r>
    </w:p>
    <w:p w14:paraId="29C50C83" w14:textId="77777777" w:rsidR="00894070" w:rsidRDefault="009B7AFD">
      <w:pPr>
        <w:pStyle w:val="ListParagraph"/>
        <w:numPr>
          <w:ilvl w:val="0"/>
          <w:numId w:val="45"/>
        </w:numPr>
        <w:tabs>
          <w:tab w:val="left" w:pos="1801"/>
          <w:tab w:val="left" w:pos="1802"/>
        </w:tabs>
        <w:spacing w:before="92"/>
        <w:rPr>
          <w:sz w:val="20"/>
        </w:rPr>
      </w:pPr>
      <w:r>
        <w:rPr>
          <w:color w:val="231F20"/>
          <w:sz w:val="20"/>
        </w:rPr>
        <w:t xml:space="preserve">A </w:t>
      </w:r>
      <w:r>
        <w:rPr>
          <w:color w:val="231F20"/>
          <w:spacing w:val="-3"/>
          <w:sz w:val="20"/>
        </w:rPr>
        <w:t xml:space="preserve">protected </w:t>
      </w:r>
      <w:r>
        <w:rPr>
          <w:color w:val="231F20"/>
          <w:sz w:val="20"/>
        </w:rPr>
        <w:t>witness is defined</w:t>
      </w:r>
      <w:r>
        <w:rPr>
          <w:color w:val="231F20"/>
          <w:spacing w:val="-18"/>
          <w:sz w:val="20"/>
        </w:rPr>
        <w:t xml:space="preserve"> </w:t>
      </w:r>
      <w:r>
        <w:rPr>
          <w:color w:val="231F20"/>
          <w:sz w:val="20"/>
        </w:rPr>
        <w:t>as:</w:t>
      </w:r>
    </w:p>
    <w:p w14:paraId="077DD99B" w14:textId="77777777" w:rsidR="00894070" w:rsidRDefault="009B7AFD">
      <w:pPr>
        <w:pStyle w:val="ListParagraph"/>
        <w:numPr>
          <w:ilvl w:val="1"/>
          <w:numId w:val="45"/>
        </w:numPr>
        <w:tabs>
          <w:tab w:val="left" w:pos="2141"/>
          <w:tab w:val="left" w:pos="2142"/>
        </w:tabs>
        <w:spacing w:before="82"/>
        <w:ind w:hanging="340"/>
        <w:rPr>
          <w:sz w:val="20"/>
        </w:rPr>
      </w:pPr>
      <w:r>
        <w:rPr>
          <w:color w:val="231F20"/>
          <w:sz w:val="20"/>
        </w:rPr>
        <w:t>the</w:t>
      </w:r>
      <w:r>
        <w:rPr>
          <w:color w:val="231F20"/>
          <w:spacing w:val="-5"/>
          <w:sz w:val="20"/>
        </w:rPr>
        <w:t xml:space="preserve"> </w:t>
      </w:r>
      <w:r>
        <w:rPr>
          <w:color w:val="231F20"/>
          <w:sz w:val="20"/>
        </w:rPr>
        <w:t>complainant</w:t>
      </w:r>
    </w:p>
    <w:p w14:paraId="0211C4E3" w14:textId="77777777" w:rsidR="00894070" w:rsidRDefault="009B7AFD">
      <w:pPr>
        <w:pStyle w:val="ListParagraph"/>
        <w:numPr>
          <w:ilvl w:val="1"/>
          <w:numId w:val="45"/>
        </w:numPr>
        <w:tabs>
          <w:tab w:val="left" w:pos="2141"/>
          <w:tab w:val="left" w:pos="2142"/>
        </w:tabs>
        <w:spacing w:before="48"/>
        <w:ind w:hanging="340"/>
        <w:rPr>
          <w:sz w:val="20"/>
        </w:rPr>
      </w:pPr>
      <w:r>
        <w:rPr>
          <w:color w:val="231F20"/>
          <w:sz w:val="20"/>
        </w:rPr>
        <w:t xml:space="preserve">a </w:t>
      </w:r>
      <w:r>
        <w:rPr>
          <w:color w:val="231F20"/>
          <w:spacing w:val="-3"/>
          <w:sz w:val="20"/>
        </w:rPr>
        <w:t xml:space="preserve">family </w:t>
      </w:r>
      <w:r>
        <w:rPr>
          <w:color w:val="231F20"/>
          <w:sz w:val="20"/>
        </w:rPr>
        <w:t>member of the</w:t>
      </w:r>
      <w:r>
        <w:rPr>
          <w:color w:val="231F20"/>
          <w:spacing w:val="-19"/>
          <w:sz w:val="20"/>
        </w:rPr>
        <w:t xml:space="preserve"> </w:t>
      </w:r>
      <w:r>
        <w:rPr>
          <w:color w:val="231F20"/>
          <w:sz w:val="20"/>
        </w:rPr>
        <w:t>complainant</w:t>
      </w:r>
    </w:p>
    <w:p w14:paraId="7EBAE711" w14:textId="77777777" w:rsidR="00894070" w:rsidRDefault="009B7AFD">
      <w:pPr>
        <w:pStyle w:val="ListParagraph"/>
        <w:numPr>
          <w:ilvl w:val="1"/>
          <w:numId w:val="45"/>
        </w:numPr>
        <w:tabs>
          <w:tab w:val="left" w:pos="2141"/>
          <w:tab w:val="left" w:pos="2142"/>
        </w:tabs>
        <w:spacing w:before="47"/>
        <w:ind w:hanging="340"/>
        <w:rPr>
          <w:sz w:val="20"/>
        </w:rPr>
      </w:pPr>
      <w:r>
        <w:rPr>
          <w:color w:val="231F20"/>
          <w:sz w:val="20"/>
        </w:rPr>
        <w:t xml:space="preserve">a </w:t>
      </w:r>
      <w:r>
        <w:rPr>
          <w:color w:val="231F20"/>
          <w:spacing w:val="-3"/>
          <w:sz w:val="20"/>
        </w:rPr>
        <w:t xml:space="preserve">family </w:t>
      </w:r>
      <w:r>
        <w:rPr>
          <w:color w:val="231F20"/>
          <w:sz w:val="20"/>
        </w:rPr>
        <w:t>member of the</w:t>
      </w:r>
      <w:r>
        <w:rPr>
          <w:color w:val="231F20"/>
          <w:spacing w:val="-18"/>
          <w:sz w:val="20"/>
        </w:rPr>
        <w:t xml:space="preserve"> </w:t>
      </w:r>
      <w:r>
        <w:rPr>
          <w:color w:val="231F20"/>
          <w:sz w:val="20"/>
        </w:rPr>
        <w:t>accused</w:t>
      </w:r>
    </w:p>
    <w:p w14:paraId="633F76A1" w14:textId="77777777" w:rsidR="00894070" w:rsidRDefault="009B7AFD">
      <w:pPr>
        <w:pStyle w:val="ListParagraph"/>
        <w:numPr>
          <w:ilvl w:val="1"/>
          <w:numId w:val="45"/>
        </w:numPr>
        <w:tabs>
          <w:tab w:val="left" w:pos="2141"/>
          <w:tab w:val="left" w:pos="2142"/>
        </w:tabs>
        <w:spacing w:before="48"/>
        <w:ind w:hanging="340"/>
        <w:rPr>
          <w:sz w:val="11"/>
        </w:rPr>
      </w:pPr>
      <w:r>
        <w:rPr>
          <w:color w:val="231F20"/>
          <w:spacing w:val="-3"/>
          <w:sz w:val="20"/>
        </w:rPr>
        <w:t>any</w:t>
      </w:r>
      <w:r>
        <w:rPr>
          <w:color w:val="231F20"/>
          <w:spacing w:val="-5"/>
          <w:sz w:val="20"/>
        </w:rPr>
        <w:t xml:space="preserve"> </w:t>
      </w:r>
      <w:r>
        <w:rPr>
          <w:color w:val="231F20"/>
          <w:sz w:val="20"/>
        </w:rPr>
        <w:t>other</w:t>
      </w:r>
      <w:r>
        <w:rPr>
          <w:color w:val="231F20"/>
          <w:spacing w:val="-5"/>
          <w:sz w:val="20"/>
        </w:rPr>
        <w:t xml:space="preserve"> </w:t>
      </w:r>
      <w:r>
        <w:rPr>
          <w:color w:val="231F20"/>
          <w:sz w:val="20"/>
        </w:rPr>
        <w:t>witness</w:t>
      </w:r>
      <w:r>
        <w:rPr>
          <w:color w:val="231F20"/>
          <w:spacing w:val="-4"/>
          <w:sz w:val="20"/>
        </w:rPr>
        <w:t xml:space="preserve"> </w:t>
      </w:r>
      <w:r>
        <w:rPr>
          <w:color w:val="231F20"/>
          <w:sz w:val="20"/>
        </w:rPr>
        <w:t>whom</w:t>
      </w:r>
      <w:r>
        <w:rPr>
          <w:color w:val="231F20"/>
          <w:spacing w:val="-5"/>
          <w:sz w:val="20"/>
        </w:rPr>
        <w:t xml:space="preserve"> </w:t>
      </w:r>
      <w:r>
        <w:rPr>
          <w:color w:val="231F20"/>
          <w:sz w:val="20"/>
        </w:rPr>
        <w:t>the</w:t>
      </w:r>
      <w:r>
        <w:rPr>
          <w:color w:val="231F20"/>
          <w:spacing w:val="-4"/>
          <w:sz w:val="20"/>
        </w:rPr>
        <w:t xml:space="preserve"> </w:t>
      </w:r>
      <w:r>
        <w:rPr>
          <w:color w:val="231F20"/>
          <w:sz w:val="20"/>
        </w:rPr>
        <w:t>court</w:t>
      </w:r>
      <w:r>
        <w:rPr>
          <w:color w:val="231F20"/>
          <w:spacing w:val="-5"/>
          <w:sz w:val="20"/>
        </w:rPr>
        <w:t xml:space="preserve"> </w:t>
      </w:r>
      <w:r>
        <w:rPr>
          <w:color w:val="231F20"/>
          <w:sz w:val="20"/>
        </w:rPr>
        <w:t>declares</w:t>
      </w:r>
      <w:r>
        <w:rPr>
          <w:color w:val="231F20"/>
          <w:spacing w:val="-4"/>
          <w:sz w:val="20"/>
        </w:rPr>
        <w:t xml:space="preserve"> </w:t>
      </w:r>
      <w:r>
        <w:rPr>
          <w:color w:val="231F20"/>
          <w:sz w:val="20"/>
        </w:rPr>
        <w:t>to</w:t>
      </w:r>
      <w:r>
        <w:rPr>
          <w:color w:val="231F20"/>
          <w:spacing w:val="-5"/>
          <w:sz w:val="20"/>
        </w:rPr>
        <w:t xml:space="preserve"> </w:t>
      </w:r>
      <w:r>
        <w:rPr>
          <w:color w:val="231F20"/>
          <w:sz w:val="20"/>
        </w:rPr>
        <w:t>be</w:t>
      </w:r>
      <w:r>
        <w:rPr>
          <w:color w:val="231F20"/>
          <w:spacing w:val="-4"/>
          <w:sz w:val="20"/>
        </w:rPr>
        <w:t xml:space="preserve"> </w:t>
      </w:r>
      <w:r>
        <w:rPr>
          <w:color w:val="231F20"/>
          <w:sz w:val="20"/>
        </w:rPr>
        <w:t>a</w:t>
      </w:r>
      <w:r>
        <w:rPr>
          <w:color w:val="231F20"/>
          <w:spacing w:val="-5"/>
          <w:sz w:val="20"/>
        </w:rPr>
        <w:t xml:space="preserve"> </w:t>
      </w:r>
      <w:r>
        <w:rPr>
          <w:color w:val="231F20"/>
          <w:spacing w:val="-3"/>
          <w:sz w:val="20"/>
        </w:rPr>
        <w:t>protected</w:t>
      </w:r>
      <w:r>
        <w:rPr>
          <w:color w:val="231F20"/>
          <w:spacing w:val="-5"/>
          <w:sz w:val="20"/>
        </w:rPr>
        <w:t xml:space="preserve"> </w:t>
      </w:r>
      <w:r>
        <w:rPr>
          <w:color w:val="231F20"/>
          <w:sz w:val="20"/>
        </w:rPr>
        <w:t>witness.</w:t>
      </w:r>
      <w:r>
        <w:rPr>
          <w:color w:val="231F20"/>
          <w:position w:val="7"/>
          <w:sz w:val="11"/>
        </w:rPr>
        <w:t>182</w:t>
      </w:r>
    </w:p>
    <w:p w14:paraId="14B6EE36" w14:textId="77777777" w:rsidR="00894070" w:rsidRDefault="009B7AFD">
      <w:pPr>
        <w:pStyle w:val="ListParagraph"/>
        <w:numPr>
          <w:ilvl w:val="0"/>
          <w:numId w:val="45"/>
        </w:numPr>
        <w:tabs>
          <w:tab w:val="left" w:pos="1801"/>
          <w:tab w:val="left" w:pos="1802"/>
        </w:tabs>
        <w:spacing w:before="47"/>
        <w:rPr>
          <w:sz w:val="20"/>
        </w:rPr>
      </w:pPr>
      <w:r>
        <w:rPr>
          <w:color w:val="231F20"/>
          <w:sz w:val="20"/>
        </w:rPr>
        <w:t>This</w:t>
      </w:r>
      <w:r>
        <w:rPr>
          <w:color w:val="231F20"/>
          <w:spacing w:val="-5"/>
          <w:sz w:val="20"/>
        </w:rPr>
        <w:t xml:space="preserve"> </w:t>
      </w:r>
      <w:r>
        <w:rPr>
          <w:color w:val="231F20"/>
          <w:spacing w:val="-3"/>
          <w:sz w:val="20"/>
        </w:rPr>
        <w:t>protection</w:t>
      </w:r>
      <w:r>
        <w:rPr>
          <w:color w:val="231F20"/>
          <w:spacing w:val="-5"/>
          <w:sz w:val="20"/>
        </w:rPr>
        <w:t xml:space="preserve"> </w:t>
      </w:r>
      <w:r>
        <w:rPr>
          <w:color w:val="231F20"/>
          <w:sz w:val="20"/>
        </w:rPr>
        <w:t>does</w:t>
      </w:r>
      <w:r>
        <w:rPr>
          <w:color w:val="231F20"/>
          <w:spacing w:val="-5"/>
          <w:sz w:val="20"/>
        </w:rPr>
        <w:t xml:space="preserve"> </w:t>
      </w:r>
      <w:r>
        <w:rPr>
          <w:color w:val="231F20"/>
          <w:sz w:val="20"/>
        </w:rPr>
        <w:t>not</w:t>
      </w:r>
      <w:r>
        <w:rPr>
          <w:color w:val="231F20"/>
          <w:spacing w:val="-5"/>
          <w:sz w:val="20"/>
        </w:rPr>
        <w:t xml:space="preserve"> </w:t>
      </w:r>
      <w:r>
        <w:rPr>
          <w:color w:val="231F20"/>
          <w:spacing w:val="-3"/>
          <w:sz w:val="20"/>
        </w:rPr>
        <w:t>apply</w:t>
      </w:r>
      <w:r>
        <w:rPr>
          <w:color w:val="231F20"/>
          <w:spacing w:val="-5"/>
          <w:sz w:val="20"/>
        </w:rPr>
        <w:t xml:space="preserve"> </w:t>
      </w:r>
      <w:r>
        <w:rPr>
          <w:color w:val="231F20"/>
          <w:sz w:val="20"/>
        </w:rPr>
        <w:t>in</w:t>
      </w:r>
      <w:r>
        <w:rPr>
          <w:color w:val="231F20"/>
          <w:spacing w:val="-4"/>
          <w:sz w:val="20"/>
        </w:rPr>
        <w:t xml:space="preserve"> </w:t>
      </w:r>
      <w:r>
        <w:rPr>
          <w:color w:val="231F20"/>
          <w:sz w:val="20"/>
        </w:rPr>
        <w:t>non-family</w:t>
      </w:r>
      <w:r>
        <w:rPr>
          <w:color w:val="231F20"/>
          <w:spacing w:val="-5"/>
          <w:sz w:val="20"/>
        </w:rPr>
        <w:t xml:space="preserve"> </w:t>
      </w:r>
      <w:r>
        <w:rPr>
          <w:color w:val="231F20"/>
          <w:sz w:val="20"/>
        </w:rPr>
        <w:t>violence</w:t>
      </w:r>
      <w:r>
        <w:rPr>
          <w:color w:val="231F20"/>
          <w:spacing w:val="-5"/>
          <w:sz w:val="20"/>
        </w:rPr>
        <w:t xml:space="preserve"> </w:t>
      </w:r>
      <w:r>
        <w:rPr>
          <w:color w:val="231F20"/>
          <w:sz w:val="20"/>
        </w:rPr>
        <w:t>stalking</w:t>
      </w:r>
      <w:r>
        <w:rPr>
          <w:color w:val="231F20"/>
          <w:spacing w:val="-5"/>
          <w:sz w:val="20"/>
        </w:rPr>
        <w:t xml:space="preserve"> </w:t>
      </w:r>
      <w:r>
        <w:rPr>
          <w:color w:val="231F20"/>
          <w:sz w:val="20"/>
        </w:rPr>
        <w:t>matters.</w:t>
      </w:r>
    </w:p>
    <w:p w14:paraId="48DD3A6D" w14:textId="77777777" w:rsidR="00894070" w:rsidRDefault="009B7AFD">
      <w:pPr>
        <w:pStyle w:val="ListParagraph"/>
        <w:numPr>
          <w:ilvl w:val="0"/>
          <w:numId w:val="45"/>
        </w:numPr>
        <w:tabs>
          <w:tab w:val="left" w:pos="1801"/>
          <w:tab w:val="left" w:pos="1802"/>
        </w:tabs>
        <w:spacing w:before="115" w:line="206" w:lineRule="auto"/>
        <w:ind w:right="2026"/>
        <w:rPr>
          <w:sz w:val="11"/>
        </w:rPr>
      </w:pPr>
      <w:r>
        <w:rPr>
          <w:color w:val="231F20"/>
          <w:sz w:val="20"/>
        </w:rPr>
        <w:t>There</w:t>
      </w:r>
      <w:r>
        <w:rPr>
          <w:color w:val="231F20"/>
          <w:spacing w:val="-12"/>
          <w:sz w:val="20"/>
        </w:rPr>
        <w:t xml:space="preserve"> </w:t>
      </w:r>
      <w:r>
        <w:rPr>
          <w:color w:val="231F20"/>
          <w:sz w:val="20"/>
        </w:rPr>
        <w:t>was</w:t>
      </w:r>
      <w:r>
        <w:rPr>
          <w:color w:val="231F20"/>
          <w:spacing w:val="-12"/>
          <w:sz w:val="20"/>
        </w:rPr>
        <w:t xml:space="preserve"> </w:t>
      </w:r>
      <w:r>
        <w:rPr>
          <w:color w:val="231F20"/>
          <w:sz w:val="20"/>
        </w:rPr>
        <w:t>agreement</w:t>
      </w:r>
      <w:r>
        <w:rPr>
          <w:color w:val="231F20"/>
          <w:spacing w:val="-12"/>
          <w:sz w:val="20"/>
        </w:rPr>
        <w:t xml:space="preserve"> </w:t>
      </w:r>
      <w:r>
        <w:rPr>
          <w:color w:val="231F20"/>
          <w:sz w:val="20"/>
        </w:rPr>
        <w:t>in</w:t>
      </w:r>
      <w:r>
        <w:rPr>
          <w:color w:val="231F20"/>
          <w:spacing w:val="-11"/>
          <w:sz w:val="20"/>
        </w:rPr>
        <w:t xml:space="preserve"> </w:t>
      </w:r>
      <w:r>
        <w:rPr>
          <w:color w:val="231F20"/>
          <w:sz w:val="20"/>
        </w:rPr>
        <w:t>submissions</w:t>
      </w:r>
      <w:r>
        <w:rPr>
          <w:color w:val="231F20"/>
          <w:spacing w:val="-12"/>
          <w:sz w:val="20"/>
        </w:rPr>
        <w:t xml:space="preserve"> </w:t>
      </w:r>
      <w:r>
        <w:rPr>
          <w:color w:val="231F20"/>
          <w:sz w:val="20"/>
        </w:rPr>
        <w:t>and</w:t>
      </w:r>
      <w:r>
        <w:rPr>
          <w:color w:val="231F20"/>
          <w:spacing w:val="-12"/>
          <w:sz w:val="20"/>
        </w:rPr>
        <w:t xml:space="preserve"> </w:t>
      </w:r>
      <w:r>
        <w:rPr>
          <w:color w:val="231F20"/>
          <w:sz w:val="20"/>
        </w:rPr>
        <w:t>consultations</w:t>
      </w:r>
      <w:r>
        <w:rPr>
          <w:color w:val="231F20"/>
          <w:spacing w:val="-12"/>
          <w:sz w:val="20"/>
        </w:rPr>
        <w:t xml:space="preserve"> </w:t>
      </w:r>
      <w:r>
        <w:rPr>
          <w:color w:val="231F20"/>
          <w:sz w:val="20"/>
        </w:rPr>
        <w:t>that</w:t>
      </w:r>
      <w:r>
        <w:rPr>
          <w:color w:val="231F20"/>
          <w:spacing w:val="-11"/>
          <w:sz w:val="20"/>
        </w:rPr>
        <w:t xml:space="preserve"> </w:t>
      </w:r>
      <w:r>
        <w:rPr>
          <w:color w:val="231F20"/>
          <w:sz w:val="20"/>
        </w:rPr>
        <w:t>people</w:t>
      </w:r>
      <w:r>
        <w:rPr>
          <w:color w:val="231F20"/>
          <w:spacing w:val="-12"/>
          <w:sz w:val="20"/>
        </w:rPr>
        <w:t xml:space="preserve"> </w:t>
      </w:r>
      <w:r>
        <w:rPr>
          <w:color w:val="231F20"/>
          <w:sz w:val="20"/>
        </w:rPr>
        <w:t>who</w:t>
      </w:r>
      <w:r>
        <w:rPr>
          <w:color w:val="231F20"/>
          <w:spacing w:val="-12"/>
          <w:sz w:val="20"/>
        </w:rPr>
        <w:t xml:space="preserve"> </w:t>
      </w:r>
      <w:r>
        <w:rPr>
          <w:color w:val="231F20"/>
          <w:spacing w:val="-4"/>
          <w:sz w:val="20"/>
        </w:rPr>
        <w:t xml:space="preserve">have </w:t>
      </w:r>
      <w:r>
        <w:rPr>
          <w:color w:val="231F20"/>
          <w:sz w:val="20"/>
        </w:rPr>
        <w:t>experienced</w:t>
      </w:r>
      <w:r>
        <w:rPr>
          <w:color w:val="231F20"/>
          <w:spacing w:val="-8"/>
          <w:sz w:val="20"/>
        </w:rPr>
        <w:t xml:space="preserve"> </w:t>
      </w:r>
      <w:r>
        <w:rPr>
          <w:color w:val="231F20"/>
          <w:sz w:val="20"/>
        </w:rPr>
        <w:t>stalking</w:t>
      </w:r>
      <w:r>
        <w:rPr>
          <w:color w:val="231F20"/>
          <w:spacing w:val="-7"/>
          <w:sz w:val="20"/>
        </w:rPr>
        <w:t xml:space="preserve"> </w:t>
      </w:r>
      <w:r>
        <w:rPr>
          <w:color w:val="231F20"/>
          <w:sz w:val="20"/>
        </w:rPr>
        <w:t>should</w:t>
      </w:r>
      <w:r>
        <w:rPr>
          <w:color w:val="231F20"/>
          <w:spacing w:val="-7"/>
          <w:sz w:val="20"/>
        </w:rPr>
        <w:t xml:space="preserve"> </w:t>
      </w:r>
      <w:r>
        <w:rPr>
          <w:color w:val="231F20"/>
          <w:sz w:val="20"/>
        </w:rPr>
        <w:t>be</w:t>
      </w:r>
      <w:r>
        <w:rPr>
          <w:color w:val="231F20"/>
          <w:spacing w:val="-7"/>
          <w:sz w:val="20"/>
        </w:rPr>
        <w:t xml:space="preserve"> </w:t>
      </w:r>
      <w:r>
        <w:rPr>
          <w:color w:val="231F20"/>
          <w:spacing w:val="-3"/>
          <w:sz w:val="20"/>
        </w:rPr>
        <w:t>protected</w:t>
      </w:r>
      <w:r>
        <w:rPr>
          <w:color w:val="231F20"/>
          <w:spacing w:val="-7"/>
          <w:sz w:val="20"/>
        </w:rPr>
        <w:t xml:space="preserve"> </w:t>
      </w:r>
      <w:r>
        <w:rPr>
          <w:color w:val="231F20"/>
          <w:sz w:val="20"/>
        </w:rPr>
        <w:t>during</w:t>
      </w:r>
      <w:r>
        <w:rPr>
          <w:color w:val="231F20"/>
          <w:spacing w:val="-7"/>
          <w:sz w:val="20"/>
        </w:rPr>
        <w:t xml:space="preserve"> </w:t>
      </w:r>
      <w:r>
        <w:rPr>
          <w:color w:val="231F20"/>
          <w:sz w:val="20"/>
        </w:rPr>
        <w:t>cross-examination.</w:t>
      </w:r>
      <w:r>
        <w:rPr>
          <w:color w:val="231F20"/>
          <w:position w:val="7"/>
          <w:sz w:val="11"/>
        </w:rPr>
        <w:t>183</w:t>
      </w:r>
    </w:p>
    <w:p w14:paraId="6A1732E6" w14:textId="77777777" w:rsidR="00894070" w:rsidRDefault="00894070">
      <w:pPr>
        <w:pStyle w:val="BodyText"/>
      </w:pPr>
    </w:p>
    <w:p w14:paraId="17089074" w14:textId="77777777" w:rsidR="00894070" w:rsidRDefault="00894070">
      <w:pPr>
        <w:pStyle w:val="BodyText"/>
      </w:pPr>
    </w:p>
    <w:p w14:paraId="3E9A5F06" w14:textId="77777777" w:rsidR="00894070" w:rsidRDefault="00894070">
      <w:pPr>
        <w:pStyle w:val="BodyText"/>
      </w:pPr>
    </w:p>
    <w:p w14:paraId="433C3B73" w14:textId="77777777" w:rsidR="00894070" w:rsidRDefault="00894070">
      <w:pPr>
        <w:pStyle w:val="BodyText"/>
      </w:pPr>
    </w:p>
    <w:p w14:paraId="78C1958C" w14:textId="77777777" w:rsidR="00894070" w:rsidRDefault="00894070">
      <w:pPr>
        <w:pStyle w:val="BodyText"/>
      </w:pPr>
    </w:p>
    <w:p w14:paraId="359315D8" w14:textId="77777777" w:rsidR="00894070" w:rsidRDefault="009F6793">
      <w:pPr>
        <w:pStyle w:val="BodyText"/>
        <w:rPr>
          <w:sz w:val="27"/>
        </w:rPr>
      </w:pPr>
      <w:r>
        <w:pict w14:anchorId="5BC437A7">
          <v:line id="_x0000_s1108" style="position:absolute;z-index:251757568;mso-wrap-distance-left:0;mso-wrap-distance-right:0;mso-position-horizontal-relative:page" from="79.35pt,21.25pt" to="515.9pt,21.25pt" strokecolor="#f8cabc" strokeweight="1pt">
            <w10:wrap type="topAndBottom" anchorx="page"/>
          </v:line>
        </w:pict>
      </w:r>
    </w:p>
    <w:p w14:paraId="66B9CE37" w14:textId="77777777" w:rsidR="00894070" w:rsidRDefault="00894070">
      <w:pPr>
        <w:pStyle w:val="BodyText"/>
        <w:rPr>
          <w:sz w:val="5"/>
        </w:rPr>
      </w:pPr>
    </w:p>
    <w:p w14:paraId="01291084" w14:textId="77777777" w:rsidR="00894070" w:rsidRDefault="00894070">
      <w:pPr>
        <w:rPr>
          <w:sz w:val="5"/>
        </w:rPr>
        <w:sectPr w:rsidR="00894070">
          <w:pgSz w:w="11910" w:h="16840"/>
          <w:pgMar w:top="840" w:right="420" w:bottom="280" w:left="580" w:header="0" w:footer="0" w:gutter="0"/>
          <w:cols w:space="720"/>
        </w:sectPr>
      </w:pPr>
    </w:p>
    <w:p w14:paraId="1F6B4716" w14:textId="77777777" w:rsidR="00894070" w:rsidRDefault="009B7AFD">
      <w:pPr>
        <w:tabs>
          <w:tab w:val="left" w:pos="1801"/>
        </w:tabs>
        <w:spacing w:before="21" w:line="170" w:lineRule="exact"/>
        <w:ind w:left="1007"/>
        <w:rPr>
          <w:sz w:val="13"/>
        </w:rPr>
      </w:pPr>
      <w:r>
        <w:rPr>
          <w:color w:val="231F20"/>
          <w:sz w:val="13"/>
        </w:rPr>
        <w:t>181</w:t>
      </w:r>
      <w:r>
        <w:rPr>
          <w:color w:val="231F20"/>
          <w:sz w:val="13"/>
        </w:rPr>
        <w:tab/>
      </w:r>
      <w:r>
        <w:rPr>
          <w:i/>
          <w:color w:val="231F20"/>
          <w:sz w:val="13"/>
        </w:rPr>
        <w:t xml:space="preserve">Criminal Procedure Act 2009 </w:t>
      </w:r>
      <w:r>
        <w:rPr>
          <w:color w:val="231F20"/>
          <w:sz w:val="13"/>
        </w:rPr>
        <w:t xml:space="preserve">(Vic) ss </w:t>
      </w:r>
      <w:r>
        <w:rPr>
          <w:color w:val="231F20"/>
          <w:spacing w:val="2"/>
          <w:sz w:val="13"/>
        </w:rPr>
        <w:t xml:space="preserve">353, </w:t>
      </w:r>
      <w:r>
        <w:rPr>
          <w:color w:val="231F20"/>
          <w:spacing w:val="3"/>
          <w:sz w:val="13"/>
        </w:rPr>
        <w:t>354,</w:t>
      </w:r>
      <w:r>
        <w:rPr>
          <w:color w:val="231F20"/>
          <w:spacing w:val="1"/>
          <w:sz w:val="13"/>
        </w:rPr>
        <w:t xml:space="preserve"> </w:t>
      </w:r>
      <w:r>
        <w:rPr>
          <w:color w:val="231F20"/>
          <w:sz w:val="13"/>
        </w:rPr>
        <w:t>356.</w:t>
      </w:r>
    </w:p>
    <w:p w14:paraId="7192D422" w14:textId="77777777" w:rsidR="00894070" w:rsidRDefault="009B7AFD">
      <w:pPr>
        <w:tabs>
          <w:tab w:val="left" w:pos="1800"/>
        </w:tabs>
        <w:spacing w:line="160" w:lineRule="exact"/>
        <w:ind w:left="1007"/>
        <w:rPr>
          <w:sz w:val="13"/>
        </w:rPr>
      </w:pPr>
      <w:r>
        <w:rPr>
          <w:color w:val="231F20"/>
          <w:sz w:val="13"/>
        </w:rPr>
        <w:t>182</w:t>
      </w:r>
      <w:r>
        <w:rPr>
          <w:color w:val="231F20"/>
          <w:sz w:val="13"/>
        </w:rPr>
        <w:tab/>
        <w:t xml:space="preserve">Ibid ss </w:t>
      </w:r>
      <w:r>
        <w:rPr>
          <w:color w:val="231F20"/>
          <w:spacing w:val="3"/>
          <w:sz w:val="13"/>
        </w:rPr>
        <w:t>354,</w:t>
      </w:r>
      <w:r>
        <w:rPr>
          <w:color w:val="231F20"/>
          <w:sz w:val="13"/>
        </w:rPr>
        <w:t xml:space="preserve"> </w:t>
      </w:r>
      <w:r>
        <w:rPr>
          <w:color w:val="231F20"/>
          <w:spacing w:val="3"/>
          <w:sz w:val="13"/>
        </w:rPr>
        <w:t>355.</w:t>
      </w:r>
    </w:p>
    <w:p w14:paraId="28E10A16" w14:textId="77777777" w:rsidR="00894070" w:rsidRDefault="009B7AFD">
      <w:pPr>
        <w:tabs>
          <w:tab w:val="left" w:pos="1800"/>
        </w:tabs>
        <w:spacing w:line="170" w:lineRule="exact"/>
        <w:ind w:left="1007"/>
        <w:rPr>
          <w:sz w:val="13"/>
        </w:rPr>
      </w:pPr>
      <w:r>
        <w:rPr>
          <w:color w:val="231F20"/>
          <w:sz w:val="13"/>
        </w:rPr>
        <w:t>183</w:t>
      </w:r>
      <w:r>
        <w:rPr>
          <w:color w:val="231F20"/>
          <w:sz w:val="13"/>
        </w:rPr>
        <w:tab/>
      </w:r>
      <w:r>
        <w:rPr>
          <w:color w:val="231F20"/>
          <w:spacing w:val="2"/>
          <w:sz w:val="13"/>
        </w:rPr>
        <w:t>Submission</w:t>
      </w:r>
      <w:r>
        <w:rPr>
          <w:color w:val="231F20"/>
          <w:spacing w:val="7"/>
          <w:sz w:val="13"/>
        </w:rPr>
        <w:t xml:space="preserve"> </w:t>
      </w:r>
      <w:r>
        <w:rPr>
          <w:color w:val="231F20"/>
          <w:sz w:val="13"/>
        </w:rPr>
        <w:t>47</w:t>
      </w:r>
      <w:r>
        <w:rPr>
          <w:color w:val="231F20"/>
          <w:spacing w:val="7"/>
          <w:sz w:val="13"/>
        </w:rPr>
        <w:t xml:space="preserve"> </w:t>
      </w:r>
      <w:r>
        <w:rPr>
          <w:color w:val="231F20"/>
          <w:spacing w:val="2"/>
          <w:sz w:val="13"/>
        </w:rPr>
        <w:t>(Liberty</w:t>
      </w:r>
      <w:r>
        <w:rPr>
          <w:color w:val="231F20"/>
          <w:spacing w:val="7"/>
          <w:sz w:val="13"/>
        </w:rPr>
        <w:t xml:space="preserve"> </w:t>
      </w:r>
      <w:r>
        <w:rPr>
          <w:color w:val="231F20"/>
          <w:sz w:val="13"/>
        </w:rPr>
        <w:t>Victoria);</w:t>
      </w:r>
      <w:r>
        <w:rPr>
          <w:color w:val="231F20"/>
          <w:spacing w:val="7"/>
          <w:sz w:val="13"/>
        </w:rPr>
        <w:t xml:space="preserve"> </w:t>
      </w:r>
      <w:r>
        <w:rPr>
          <w:color w:val="231F20"/>
          <w:sz w:val="13"/>
        </w:rPr>
        <w:t>Consultations</w:t>
      </w:r>
      <w:r>
        <w:rPr>
          <w:color w:val="231F20"/>
          <w:spacing w:val="8"/>
          <w:sz w:val="13"/>
        </w:rPr>
        <w:t xml:space="preserve"> </w:t>
      </w:r>
      <w:r>
        <w:rPr>
          <w:color w:val="231F20"/>
          <w:sz w:val="13"/>
        </w:rPr>
        <w:t>2</w:t>
      </w:r>
      <w:r>
        <w:rPr>
          <w:color w:val="231F20"/>
          <w:spacing w:val="7"/>
          <w:sz w:val="13"/>
        </w:rPr>
        <w:t xml:space="preserve"> </w:t>
      </w:r>
      <w:r>
        <w:rPr>
          <w:color w:val="231F20"/>
          <w:sz w:val="13"/>
        </w:rPr>
        <w:t>(Children’s</w:t>
      </w:r>
      <w:r>
        <w:rPr>
          <w:color w:val="231F20"/>
          <w:spacing w:val="7"/>
          <w:sz w:val="13"/>
        </w:rPr>
        <w:t xml:space="preserve"> </w:t>
      </w:r>
      <w:r>
        <w:rPr>
          <w:color w:val="231F20"/>
          <w:spacing w:val="2"/>
          <w:sz w:val="13"/>
        </w:rPr>
        <w:t>Court</w:t>
      </w:r>
      <w:r>
        <w:rPr>
          <w:color w:val="231F20"/>
          <w:spacing w:val="7"/>
          <w:sz w:val="13"/>
        </w:rPr>
        <w:t xml:space="preserve"> </w:t>
      </w:r>
      <w:r>
        <w:rPr>
          <w:color w:val="231F20"/>
          <w:sz w:val="13"/>
        </w:rPr>
        <w:t>of</w:t>
      </w:r>
      <w:r>
        <w:rPr>
          <w:color w:val="231F20"/>
          <w:spacing w:val="8"/>
          <w:sz w:val="13"/>
        </w:rPr>
        <w:t xml:space="preserve"> </w:t>
      </w:r>
      <w:r>
        <w:rPr>
          <w:color w:val="231F20"/>
          <w:sz w:val="13"/>
        </w:rPr>
        <w:t>Victoria</w:t>
      </w:r>
      <w:r>
        <w:rPr>
          <w:color w:val="231F20"/>
          <w:spacing w:val="7"/>
          <w:sz w:val="13"/>
        </w:rPr>
        <w:t xml:space="preserve"> </w:t>
      </w:r>
      <w:r>
        <w:rPr>
          <w:color w:val="231F20"/>
          <w:sz w:val="13"/>
        </w:rPr>
        <w:t>(No</w:t>
      </w:r>
      <w:r>
        <w:rPr>
          <w:color w:val="231F20"/>
          <w:spacing w:val="7"/>
          <w:sz w:val="13"/>
        </w:rPr>
        <w:t xml:space="preserve"> </w:t>
      </w:r>
      <w:r>
        <w:rPr>
          <w:color w:val="231F20"/>
          <w:sz w:val="13"/>
        </w:rPr>
        <w:t>1)),</w:t>
      </w:r>
      <w:r>
        <w:rPr>
          <w:color w:val="231F20"/>
          <w:spacing w:val="7"/>
          <w:sz w:val="13"/>
        </w:rPr>
        <w:t xml:space="preserve"> </w:t>
      </w:r>
      <w:r>
        <w:rPr>
          <w:color w:val="231F20"/>
          <w:sz w:val="13"/>
        </w:rPr>
        <w:t>24</w:t>
      </w:r>
      <w:r>
        <w:rPr>
          <w:color w:val="231F20"/>
          <w:spacing w:val="7"/>
          <w:sz w:val="13"/>
        </w:rPr>
        <w:t xml:space="preserve"> </w:t>
      </w:r>
      <w:r>
        <w:rPr>
          <w:color w:val="231F20"/>
          <w:sz w:val="13"/>
        </w:rPr>
        <w:t>(Criminal</w:t>
      </w:r>
      <w:r>
        <w:rPr>
          <w:color w:val="231F20"/>
          <w:spacing w:val="8"/>
          <w:sz w:val="13"/>
        </w:rPr>
        <w:t xml:space="preserve"> </w:t>
      </w:r>
      <w:r>
        <w:rPr>
          <w:color w:val="231F20"/>
          <w:sz w:val="13"/>
        </w:rPr>
        <w:t>Bar</w:t>
      </w:r>
      <w:r>
        <w:rPr>
          <w:color w:val="231F20"/>
          <w:spacing w:val="7"/>
          <w:sz w:val="13"/>
        </w:rPr>
        <w:t xml:space="preserve"> </w:t>
      </w:r>
      <w:r>
        <w:rPr>
          <w:color w:val="231F20"/>
          <w:sz w:val="13"/>
        </w:rPr>
        <w:t>Association).</w:t>
      </w:r>
    </w:p>
    <w:p w14:paraId="5C4CB53F" w14:textId="77777777" w:rsidR="00894070" w:rsidRDefault="009B7AFD">
      <w:pPr>
        <w:spacing w:before="214"/>
        <w:ind w:left="1007"/>
        <w:rPr>
          <w:b/>
          <w:sz w:val="24"/>
        </w:rPr>
      </w:pPr>
      <w:r>
        <w:br w:type="column"/>
      </w:r>
      <w:r>
        <w:rPr>
          <w:b/>
          <w:color w:val="EA5B50"/>
          <w:sz w:val="24"/>
        </w:rPr>
        <w:t>159</w:t>
      </w:r>
    </w:p>
    <w:p w14:paraId="05D22821" w14:textId="77777777" w:rsidR="00894070" w:rsidRDefault="00894070">
      <w:pPr>
        <w:rPr>
          <w:sz w:val="24"/>
        </w:rPr>
        <w:sectPr w:rsidR="00894070">
          <w:type w:val="continuous"/>
          <w:pgSz w:w="11910" w:h="16840"/>
          <w:pgMar w:top="560" w:right="420" w:bottom="280" w:left="580" w:header="720" w:footer="720" w:gutter="0"/>
          <w:cols w:num="2" w:space="720" w:equalWidth="0">
            <w:col w:w="8763" w:space="566"/>
            <w:col w:w="1581"/>
          </w:cols>
        </w:sectPr>
      </w:pPr>
    </w:p>
    <w:p w14:paraId="6A5A1F3A" w14:textId="77777777" w:rsidR="00894070" w:rsidRDefault="00894070">
      <w:pPr>
        <w:pStyle w:val="BodyText"/>
        <w:rPr>
          <w:b/>
        </w:rPr>
      </w:pPr>
    </w:p>
    <w:p w14:paraId="1E6CD87A" w14:textId="77777777" w:rsidR="00894070" w:rsidRDefault="00894070">
      <w:pPr>
        <w:pStyle w:val="BodyText"/>
        <w:rPr>
          <w:b/>
        </w:rPr>
      </w:pPr>
    </w:p>
    <w:p w14:paraId="50B98315" w14:textId="77777777" w:rsidR="00894070" w:rsidRDefault="00894070">
      <w:pPr>
        <w:pStyle w:val="BodyText"/>
        <w:rPr>
          <w:b/>
        </w:rPr>
      </w:pPr>
    </w:p>
    <w:p w14:paraId="77E69065" w14:textId="77777777" w:rsidR="00894070" w:rsidRDefault="00894070">
      <w:pPr>
        <w:pStyle w:val="BodyText"/>
        <w:spacing w:before="11"/>
        <w:rPr>
          <w:b/>
          <w:sz w:val="18"/>
        </w:rPr>
      </w:pPr>
    </w:p>
    <w:p w14:paraId="633E75BD" w14:textId="77777777" w:rsidR="00894070" w:rsidRDefault="009B7AFD">
      <w:pPr>
        <w:pStyle w:val="ListParagraph"/>
        <w:numPr>
          <w:ilvl w:val="0"/>
          <w:numId w:val="45"/>
        </w:numPr>
        <w:tabs>
          <w:tab w:val="left" w:pos="1801"/>
          <w:tab w:val="left" w:pos="1802"/>
        </w:tabs>
        <w:spacing w:line="206" w:lineRule="auto"/>
        <w:ind w:right="1385"/>
        <w:rPr>
          <w:sz w:val="20"/>
        </w:rPr>
      </w:pPr>
      <w:r>
        <w:rPr>
          <w:color w:val="231F20"/>
          <w:spacing w:val="-3"/>
          <w:sz w:val="20"/>
        </w:rPr>
        <w:t xml:space="preserve">For example, </w:t>
      </w:r>
      <w:r>
        <w:rPr>
          <w:color w:val="231F20"/>
          <w:sz w:val="20"/>
        </w:rPr>
        <w:t xml:space="preserve">Sexual Assault Services Network suggested that </w:t>
      </w:r>
      <w:r>
        <w:rPr>
          <w:color w:val="231F20"/>
          <w:spacing w:val="-3"/>
          <w:sz w:val="20"/>
        </w:rPr>
        <w:t xml:space="preserve">cross-examining </w:t>
      </w:r>
      <w:r>
        <w:rPr>
          <w:color w:val="231F20"/>
          <w:sz w:val="20"/>
        </w:rPr>
        <w:t xml:space="preserve">the victim survivor ‘is giving the perpetrator what they </w:t>
      </w:r>
      <w:r>
        <w:rPr>
          <w:color w:val="231F20"/>
          <w:spacing w:val="-3"/>
          <w:sz w:val="20"/>
        </w:rPr>
        <w:t xml:space="preserve">are </w:t>
      </w:r>
      <w:r>
        <w:rPr>
          <w:color w:val="231F20"/>
          <w:sz w:val="20"/>
        </w:rPr>
        <w:t>seeking’.</w:t>
      </w:r>
      <w:r>
        <w:rPr>
          <w:color w:val="231F20"/>
          <w:position w:val="7"/>
          <w:sz w:val="11"/>
        </w:rPr>
        <w:t xml:space="preserve">184 </w:t>
      </w:r>
      <w:r>
        <w:rPr>
          <w:color w:val="231F20"/>
          <w:sz w:val="20"/>
        </w:rPr>
        <w:t xml:space="preserve">Jim </w:t>
      </w:r>
      <w:r>
        <w:rPr>
          <w:color w:val="231F20"/>
          <w:spacing w:val="-5"/>
          <w:sz w:val="20"/>
        </w:rPr>
        <w:t xml:space="preserve">Shaw, </w:t>
      </w:r>
      <w:r>
        <w:rPr>
          <w:color w:val="231F20"/>
          <w:spacing w:val="-3"/>
          <w:sz w:val="20"/>
        </w:rPr>
        <w:t xml:space="preserve">from </w:t>
      </w:r>
      <w:r>
        <w:rPr>
          <w:color w:val="231F20"/>
          <w:sz w:val="20"/>
        </w:rPr>
        <w:t>the Criminal</w:t>
      </w:r>
      <w:r>
        <w:rPr>
          <w:color w:val="231F20"/>
          <w:spacing w:val="-8"/>
          <w:sz w:val="20"/>
        </w:rPr>
        <w:t xml:space="preserve"> </w:t>
      </w:r>
      <w:r>
        <w:rPr>
          <w:color w:val="231F20"/>
          <w:sz w:val="20"/>
        </w:rPr>
        <w:t>Bar</w:t>
      </w:r>
      <w:r>
        <w:rPr>
          <w:color w:val="231F20"/>
          <w:spacing w:val="-7"/>
          <w:sz w:val="20"/>
        </w:rPr>
        <w:t xml:space="preserve"> </w:t>
      </w:r>
      <w:r>
        <w:rPr>
          <w:color w:val="231F20"/>
          <w:sz w:val="20"/>
        </w:rPr>
        <w:t>Association,</w:t>
      </w:r>
      <w:r>
        <w:rPr>
          <w:color w:val="231F20"/>
          <w:spacing w:val="-7"/>
          <w:sz w:val="20"/>
        </w:rPr>
        <w:t xml:space="preserve"> </w:t>
      </w:r>
      <w:r>
        <w:rPr>
          <w:color w:val="231F20"/>
          <w:sz w:val="20"/>
        </w:rPr>
        <w:t>noted</w:t>
      </w:r>
      <w:r>
        <w:rPr>
          <w:color w:val="231F20"/>
          <w:spacing w:val="-7"/>
          <w:sz w:val="20"/>
        </w:rPr>
        <w:t xml:space="preserve"> </w:t>
      </w:r>
      <w:r>
        <w:rPr>
          <w:color w:val="231F20"/>
          <w:sz w:val="20"/>
        </w:rPr>
        <w:t>that</w:t>
      </w:r>
      <w:r>
        <w:rPr>
          <w:color w:val="231F20"/>
          <w:spacing w:val="-7"/>
          <w:sz w:val="20"/>
        </w:rPr>
        <w:t xml:space="preserve"> </w:t>
      </w:r>
      <w:r>
        <w:rPr>
          <w:color w:val="231F20"/>
          <w:sz w:val="20"/>
        </w:rPr>
        <w:t>the</w:t>
      </w:r>
      <w:r>
        <w:rPr>
          <w:color w:val="231F20"/>
          <w:spacing w:val="-7"/>
          <w:sz w:val="20"/>
        </w:rPr>
        <w:t xml:space="preserve"> </w:t>
      </w:r>
      <w:r>
        <w:rPr>
          <w:color w:val="231F20"/>
          <w:sz w:val="20"/>
        </w:rPr>
        <w:t>court’s</w:t>
      </w:r>
      <w:r>
        <w:rPr>
          <w:color w:val="231F20"/>
          <w:spacing w:val="-7"/>
          <w:sz w:val="20"/>
        </w:rPr>
        <w:t xml:space="preserve"> </w:t>
      </w:r>
      <w:r>
        <w:rPr>
          <w:color w:val="231F20"/>
          <w:spacing w:val="-3"/>
          <w:sz w:val="20"/>
        </w:rPr>
        <w:t>power</w:t>
      </w:r>
      <w:r>
        <w:rPr>
          <w:color w:val="231F20"/>
          <w:spacing w:val="-8"/>
          <w:sz w:val="20"/>
        </w:rPr>
        <w:t xml:space="preserve"> </w:t>
      </w:r>
      <w:r>
        <w:rPr>
          <w:color w:val="231F20"/>
          <w:sz w:val="20"/>
        </w:rPr>
        <w:t>to</w:t>
      </w:r>
      <w:r>
        <w:rPr>
          <w:color w:val="231F20"/>
          <w:spacing w:val="-7"/>
          <w:sz w:val="20"/>
        </w:rPr>
        <w:t xml:space="preserve"> </w:t>
      </w:r>
      <w:r>
        <w:rPr>
          <w:color w:val="231F20"/>
          <w:spacing w:val="-4"/>
          <w:sz w:val="20"/>
        </w:rPr>
        <w:t>prevent</w:t>
      </w:r>
      <w:r>
        <w:rPr>
          <w:color w:val="231F20"/>
          <w:spacing w:val="-7"/>
          <w:sz w:val="20"/>
        </w:rPr>
        <w:t xml:space="preserve"> </w:t>
      </w:r>
      <w:r>
        <w:rPr>
          <w:color w:val="231F20"/>
          <w:spacing w:val="-3"/>
          <w:sz w:val="20"/>
        </w:rPr>
        <w:t>inappropriate</w:t>
      </w:r>
      <w:r>
        <w:rPr>
          <w:color w:val="231F20"/>
          <w:spacing w:val="-7"/>
          <w:sz w:val="20"/>
        </w:rPr>
        <w:t xml:space="preserve"> </w:t>
      </w:r>
      <w:r>
        <w:rPr>
          <w:color w:val="231F20"/>
          <w:spacing w:val="-3"/>
          <w:sz w:val="20"/>
        </w:rPr>
        <w:t xml:space="preserve">cross- examination </w:t>
      </w:r>
      <w:r>
        <w:rPr>
          <w:color w:val="231F20"/>
          <w:sz w:val="20"/>
        </w:rPr>
        <w:t>is not enough in these</w:t>
      </w:r>
      <w:r>
        <w:rPr>
          <w:color w:val="231F20"/>
          <w:spacing w:val="-21"/>
          <w:sz w:val="20"/>
        </w:rPr>
        <w:t xml:space="preserve"> </w:t>
      </w:r>
      <w:r>
        <w:rPr>
          <w:color w:val="231F20"/>
          <w:spacing w:val="-3"/>
          <w:sz w:val="20"/>
        </w:rPr>
        <w:t>situations:</w:t>
      </w:r>
    </w:p>
    <w:p w14:paraId="6E37C805" w14:textId="77777777" w:rsidR="00894070" w:rsidRDefault="009B7AFD">
      <w:pPr>
        <w:spacing w:before="123" w:line="208" w:lineRule="auto"/>
        <w:ind w:left="2254" w:right="1459"/>
        <w:rPr>
          <w:sz w:val="11"/>
        </w:rPr>
      </w:pPr>
      <w:r>
        <w:rPr>
          <w:color w:val="231F20"/>
          <w:sz w:val="19"/>
        </w:rPr>
        <w:t>Stopping the accused from asking inappropriate questions does not solve the problem. It is the mere fact that the person is asking the question that is the problem.</w:t>
      </w:r>
      <w:r>
        <w:rPr>
          <w:color w:val="231F20"/>
          <w:position w:val="6"/>
          <w:sz w:val="11"/>
        </w:rPr>
        <w:t>185</w:t>
      </w:r>
    </w:p>
    <w:p w14:paraId="6D016B63" w14:textId="77777777" w:rsidR="00894070" w:rsidRDefault="009B7AFD">
      <w:pPr>
        <w:pStyle w:val="ListParagraph"/>
        <w:numPr>
          <w:ilvl w:val="0"/>
          <w:numId w:val="45"/>
        </w:numPr>
        <w:tabs>
          <w:tab w:val="left" w:pos="1801"/>
          <w:tab w:val="left" w:pos="1802"/>
        </w:tabs>
        <w:spacing w:before="124" w:line="206" w:lineRule="auto"/>
        <w:ind w:right="1201"/>
        <w:rPr>
          <w:sz w:val="20"/>
        </w:rPr>
      </w:pPr>
      <w:r>
        <w:rPr>
          <w:color w:val="231F20"/>
          <w:sz w:val="20"/>
        </w:rPr>
        <w:t>Court</w:t>
      </w:r>
      <w:r>
        <w:rPr>
          <w:color w:val="231F20"/>
          <w:spacing w:val="-8"/>
          <w:sz w:val="20"/>
        </w:rPr>
        <w:t xml:space="preserve"> </w:t>
      </w:r>
      <w:r>
        <w:rPr>
          <w:color w:val="231F20"/>
          <w:sz w:val="20"/>
        </w:rPr>
        <w:t>proceedings</w:t>
      </w:r>
      <w:r>
        <w:rPr>
          <w:color w:val="231F20"/>
          <w:spacing w:val="-8"/>
          <w:sz w:val="20"/>
        </w:rPr>
        <w:t xml:space="preserve"> </w:t>
      </w:r>
      <w:r>
        <w:rPr>
          <w:color w:val="231F20"/>
          <w:sz w:val="20"/>
        </w:rPr>
        <w:t>could</w:t>
      </w:r>
      <w:r>
        <w:rPr>
          <w:color w:val="231F20"/>
          <w:spacing w:val="-8"/>
          <w:sz w:val="20"/>
        </w:rPr>
        <w:t xml:space="preserve"> </w:t>
      </w:r>
      <w:r>
        <w:rPr>
          <w:color w:val="231F20"/>
          <w:sz w:val="20"/>
        </w:rPr>
        <w:t>be</w:t>
      </w:r>
      <w:r>
        <w:rPr>
          <w:color w:val="231F20"/>
          <w:spacing w:val="-8"/>
          <w:sz w:val="20"/>
        </w:rPr>
        <w:t xml:space="preserve"> </w:t>
      </w:r>
      <w:r>
        <w:rPr>
          <w:color w:val="231F20"/>
          <w:sz w:val="20"/>
        </w:rPr>
        <w:t>used</w:t>
      </w:r>
      <w:r>
        <w:rPr>
          <w:color w:val="231F20"/>
          <w:spacing w:val="-8"/>
          <w:sz w:val="20"/>
        </w:rPr>
        <w:t xml:space="preserve"> </w:t>
      </w:r>
      <w:r>
        <w:rPr>
          <w:color w:val="231F20"/>
          <w:spacing w:val="-3"/>
          <w:sz w:val="20"/>
        </w:rPr>
        <w:t>by</w:t>
      </w:r>
      <w:r>
        <w:rPr>
          <w:color w:val="231F20"/>
          <w:spacing w:val="-7"/>
          <w:sz w:val="20"/>
        </w:rPr>
        <w:t xml:space="preserve"> </w:t>
      </w:r>
      <w:r>
        <w:rPr>
          <w:color w:val="231F20"/>
          <w:sz w:val="20"/>
        </w:rPr>
        <w:t>the</w:t>
      </w:r>
      <w:r>
        <w:rPr>
          <w:color w:val="231F20"/>
          <w:spacing w:val="-8"/>
          <w:sz w:val="20"/>
        </w:rPr>
        <w:t xml:space="preserve"> </w:t>
      </w:r>
      <w:r>
        <w:rPr>
          <w:color w:val="231F20"/>
          <w:sz w:val="20"/>
        </w:rPr>
        <w:t>accused</w:t>
      </w:r>
      <w:r>
        <w:rPr>
          <w:color w:val="231F20"/>
          <w:spacing w:val="-8"/>
          <w:sz w:val="20"/>
        </w:rPr>
        <w:t xml:space="preserve"> </w:t>
      </w:r>
      <w:r>
        <w:rPr>
          <w:color w:val="231F20"/>
          <w:sz w:val="20"/>
        </w:rPr>
        <w:t>to</w:t>
      </w:r>
      <w:r>
        <w:rPr>
          <w:color w:val="231F20"/>
          <w:spacing w:val="-8"/>
          <w:sz w:val="20"/>
        </w:rPr>
        <w:t xml:space="preserve"> </w:t>
      </w:r>
      <w:r>
        <w:rPr>
          <w:color w:val="231F20"/>
          <w:spacing w:val="-3"/>
          <w:sz w:val="20"/>
        </w:rPr>
        <w:t>perpetuate</w:t>
      </w:r>
      <w:r>
        <w:rPr>
          <w:color w:val="231F20"/>
          <w:spacing w:val="-8"/>
          <w:sz w:val="20"/>
        </w:rPr>
        <w:t xml:space="preserve"> </w:t>
      </w:r>
      <w:r>
        <w:rPr>
          <w:color w:val="231F20"/>
          <w:sz w:val="20"/>
        </w:rPr>
        <w:t>the</w:t>
      </w:r>
      <w:r>
        <w:rPr>
          <w:color w:val="231F20"/>
          <w:spacing w:val="-7"/>
          <w:sz w:val="20"/>
        </w:rPr>
        <w:t xml:space="preserve"> </w:t>
      </w:r>
      <w:r>
        <w:rPr>
          <w:color w:val="231F20"/>
          <w:sz w:val="20"/>
        </w:rPr>
        <w:t>stalking</w:t>
      </w:r>
      <w:r>
        <w:rPr>
          <w:color w:val="231F20"/>
          <w:spacing w:val="-8"/>
          <w:sz w:val="20"/>
        </w:rPr>
        <w:t xml:space="preserve"> </w:t>
      </w:r>
      <w:proofErr w:type="gramStart"/>
      <w:r>
        <w:rPr>
          <w:color w:val="231F20"/>
          <w:spacing w:val="-3"/>
          <w:sz w:val="20"/>
        </w:rPr>
        <w:t xml:space="preserve">behaviour, </w:t>
      </w:r>
      <w:r>
        <w:rPr>
          <w:color w:val="231F20"/>
          <w:sz w:val="20"/>
        </w:rPr>
        <w:t>and</w:t>
      </w:r>
      <w:proofErr w:type="gramEnd"/>
      <w:r>
        <w:rPr>
          <w:color w:val="231F20"/>
          <w:sz w:val="20"/>
        </w:rPr>
        <w:t xml:space="preserve"> extend the trauma and distress </w:t>
      </w:r>
      <w:r>
        <w:rPr>
          <w:color w:val="231F20"/>
          <w:spacing w:val="-3"/>
          <w:sz w:val="20"/>
        </w:rPr>
        <w:t xml:space="preserve">for </w:t>
      </w:r>
      <w:r>
        <w:rPr>
          <w:color w:val="231F20"/>
          <w:sz w:val="20"/>
        </w:rPr>
        <w:t xml:space="preserve">the victim </w:t>
      </w:r>
      <w:r>
        <w:rPr>
          <w:color w:val="231F20"/>
          <w:spacing w:val="-3"/>
          <w:sz w:val="20"/>
        </w:rPr>
        <w:t xml:space="preserve">survivor. </w:t>
      </w:r>
      <w:r>
        <w:rPr>
          <w:color w:val="231F20"/>
          <w:sz w:val="20"/>
        </w:rPr>
        <w:t>This fact justifies a ban on the</w:t>
      </w:r>
      <w:r>
        <w:rPr>
          <w:color w:val="231F20"/>
          <w:spacing w:val="-6"/>
          <w:sz w:val="20"/>
        </w:rPr>
        <w:t xml:space="preserve"> </w:t>
      </w:r>
      <w:r>
        <w:rPr>
          <w:color w:val="231F20"/>
          <w:sz w:val="20"/>
        </w:rPr>
        <w:t>accused</w:t>
      </w:r>
      <w:r>
        <w:rPr>
          <w:color w:val="231F20"/>
          <w:spacing w:val="-5"/>
          <w:sz w:val="20"/>
        </w:rPr>
        <w:t xml:space="preserve"> </w:t>
      </w:r>
      <w:r>
        <w:rPr>
          <w:color w:val="231F20"/>
          <w:sz w:val="20"/>
        </w:rPr>
        <w:t>being</w:t>
      </w:r>
      <w:r>
        <w:rPr>
          <w:color w:val="231F20"/>
          <w:spacing w:val="-5"/>
          <w:sz w:val="20"/>
        </w:rPr>
        <w:t xml:space="preserve"> </w:t>
      </w:r>
      <w:r>
        <w:rPr>
          <w:color w:val="231F20"/>
          <w:sz w:val="20"/>
        </w:rPr>
        <w:t>able</w:t>
      </w:r>
      <w:r>
        <w:rPr>
          <w:color w:val="231F20"/>
          <w:spacing w:val="-5"/>
          <w:sz w:val="20"/>
        </w:rPr>
        <w:t xml:space="preserve"> </w:t>
      </w:r>
      <w:r>
        <w:rPr>
          <w:color w:val="231F20"/>
          <w:sz w:val="20"/>
        </w:rPr>
        <w:t>to</w:t>
      </w:r>
      <w:r>
        <w:rPr>
          <w:color w:val="231F20"/>
          <w:spacing w:val="-5"/>
          <w:sz w:val="20"/>
        </w:rPr>
        <w:t xml:space="preserve"> </w:t>
      </w:r>
      <w:r>
        <w:rPr>
          <w:color w:val="231F20"/>
          <w:sz w:val="20"/>
        </w:rPr>
        <w:t>personally</w:t>
      </w:r>
      <w:r>
        <w:rPr>
          <w:color w:val="231F20"/>
          <w:spacing w:val="-5"/>
          <w:sz w:val="20"/>
        </w:rPr>
        <w:t xml:space="preserve"> </w:t>
      </w:r>
      <w:r>
        <w:rPr>
          <w:color w:val="231F20"/>
          <w:spacing w:val="-3"/>
          <w:sz w:val="20"/>
        </w:rPr>
        <w:t>cross-examine</w:t>
      </w:r>
      <w:r>
        <w:rPr>
          <w:color w:val="231F20"/>
          <w:spacing w:val="-5"/>
          <w:sz w:val="20"/>
        </w:rPr>
        <w:t xml:space="preserve"> </w:t>
      </w:r>
      <w:r>
        <w:rPr>
          <w:color w:val="231F20"/>
          <w:sz w:val="20"/>
        </w:rPr>
        <w:t>the</w:t>
      </w:r>
      <w:r>
        <w:rPr>
          <w:color w:val="231F20"/>
          <w:spacing w:val="-5"/>
          <w:sz w:val="20"/>
        </w:rPr>
        <w:t xml:space="preserve"> </w:t>
      </w:r>
      <w:r>
        <w:rPr>
          <w:color w:val="231F20"/>
          <w:sz w:val="20"/>
        </w:rPr>
        <w:t>victim</w:t>
      </w:r>
      <w:r>
        <w:rPr>
          <w:color w:val="231F20"/>
          <w:spacing w:val="-5"/>
          <w:sz w:val="20"/>
        </w:rPr>
        <w:t xml:space="preserve"> </w:t>
      </w:r>
      <w:r>
        <w:rPr>
          <w:color w:val="231F20"/>
          <w:spacing w:val="-3"/>
          <w:sz w:val="20"/>
        </w:rPr>
        <w:t>survivor.</w:t>
      </w:r>
    </w:p>
    <w:p w14:paraId="6A81B3AB" w14:textId="77777777" w:rsidR="00894070" w:rsidRDefault="009B7AFD">
      <w:pPr>
        <w:pStyle w:val="ListParagraph"/>
        <w:numPr>
          <w:ilvl w:val="0"/>
          <w:numId w:val="45"/>
        </w:numPr>
        <w:tabs>
          <w:tab w:val="left" w:pos="1801"/>
          <w:tab w:val="left" w:pos="1802"/>
        </w:tabs>
        <w:spacing w:before="124" w:line="206" w:lineRule="auto"/>
        <w:ind w:right="1394"/>
        <w:rPr>
          <w:sz w:val="11"/>
        </w:rPr>
      </w:pPr>
      <w:r>
        <w:rPr>
          <w:color w:val="231F20"/>
          <w:sz w:val="20"/>
        </w:rPr>
        <w:t>The</w:t>
      </w:r>
      <w:r>
        <w:rPr>
          <w:color w:val="231F20"/>
          <w:spacing w:val="-10"/>
          <w:sz w:val="20"/>
        </w:rPr>
        <w:t xml:space="preserve"> </w:t>
      </w:r>
      <w:r>
        <w:rPr>
          <w:color w:val="231F20"/>
          <w:sz w:val="20"/>
        </w:rPr>
        <w:t>ban</w:t>
      </w:r>
      <w:r>
        <w:rPr>
          <w:color w:val="231F20"/>
          <w:spacing w:val="-9"/>
          <w:sz w:val="20"/>
        </w:rPr>
        <w:t xml:space="preserve"> </w:t>
      </w:r>
      <w:r>
        <w:rPr>
          <w:color w:val="231F20"/>
          <w:sz w:val="20"/>
        </w:rPr>
        <w:t>already</w:t>
      </w:r>
      <w:r>
        <w:rPr>
          <w:color w:val="231F20"/>
          <w:spacing w:val="-9"/>
          <w:sz w:val="20"/>
        </w:rPr>
        <w:t xml:space="preserve"> </w:t>
      </w:r>
      <w:r>
        <w:rPr>
          <w:color w:val="231F20"/>
          <w:sz w:val="20"/>
        </w:rPr>
        <w:t>exists</w:t>
      </w:r>
      <w:r>
        <w:rPr>
          <w:color w:val="231F20"/>
          <w:spacing w:val="-9"/>
          <w:sz w:val="20"/>
        </w:rPr>
        <w:t xml:space="preserve"> </w:t>
      </w:r>
      <w:r>
        <w:rPr>
          <w:color w:val="231F20"/>
          <w:spacing w:val="-3"/>
          <w:sz w:val="20"/>
        </w:rPr>
        <w:t>for</w:t>
      </w:r>
      <w:r>
        <w:rPr>
          <w:color w:val="231F20"/>
          <w:spacing w:val="-10"/>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9"/>
          <w:sz w:val="20"/>
        </w:rPr>
        <w:t xml:space="preserve"> </w:t>
      </w:r>
      <w:r>
        <w:rPr>
          <w:color w:val="231F20"/>
          <w:sz w:val="20"/>
        </w:rPr>
        <w:t>of</w:t>
      </w:r>
      <w:r>
        <w:rPr>
          <w:color w:val="231F20"/>
          <w:spacing w:val="-9"/>
          <w:sz w:val="20"/>
        </w:rPr>
        <w:t xml:space="preserve"> </w:t>
      </w:r>
      <w:r>
        <w:rPr>
          <w:color w:val="231F20"/>
          <w:spacing w:val="-3"/>
          <w:sz w:val="20"/>
        </w:rPr>
        <w:t>family</w:t>
      </w:r>
      <w:r>
        <w:rPr>
          <w:color w:val="231F20"/>
          <w:spacing w:val="-9"/>
          <w:sz w:val="20"/>
        </w:rPr>
        <w:t xml:space="preserve"> </w:t>
      </w:r>
      <w:r>
        <w:rPr>
          <w:color w:val="231F20"/>
          <w:sz w:val="20"/>
        </w:rPr>
        <w:t>and</w:t>
      </w:r>
      <w:r>
        <w:rPr>
          <w:color w:val="231F20"/>
          <w:spacing w:val="-10"/>
          <w:sz w:val="20"/>
        </w:rPr>
        <w:t xml:space="preserve"> </w:t>
      </w:r>
      <w:r>
        <w:rPr>
          <w:color w:val="231F20"/>
          <w:sz w:val="20"/>
        </w:rPr>
        <w:t>sexual</w:t>
      </w:r>
      <w:r>
        <w:rPr>
          <w:color w:val="231F20"/>
          <w:spacing w:val="-9"/>
          <w:sz w:val="20"/>
        </w:rPr>
        <w:t xml:space="preserve"> </w:t>
      </w:r>
      <w:r>
        <w:rPr>
          <w:color w:val="231F20"/>
          <w:spacing w:val="-2"/>
          <w:sz w:val="20"/>
        </w:rPr>
        <w:t>violence,</w:t>
      </w:r>
      <w:r>
        <w:rPr>
          <w:color w:val="231F20"/>
          <w:spacing w:val="-9"/>
          <w:sz w:val="20"/>
        </w:rPr>
        <w:t xml:space="preserve"> </w:t>
      </w:r>
      <w:r>
        <w:rPr>
          <w:color w:val="231F20"/>
          <w:sz w:val="20"/>
        </w:rPr>
        <w:t>where</w:t>
      </w:r>
      <w:r>
        <w:rPr>
          <w:color w:val="231F20"/>
          <w:spacing w:val="-9"/>
          <w:sz w:val="20"/>
        </w:rPr>
        <w:t xml:space="preserve"> </w:t>
      </w:r>
      <w:r>
        <w:rPr>
          <w:color w:val="231F20"/>
          <w:sz w:val="20"/>
        </w:rPr>
        <w:t xml:space="preserve">there </w:t>
      </w:r>
      <w:r>
        <w:rPr>
          <w:color w:val="231F20"/>
          <w:spacing w:val="-3"/>
          <w:sz w:val="20"/>
        </w:rPr>
        <w:t xml:space="preserve">are </w:t>
      </w:r>
      <w:r>
        <w:rPr>
          <w:color w:val="231F20"/>
          <w:sz w:val="20"/>
        </w:rPr>
        <w:t xml:space="preserve">high risks of re-traumatisation. As </w:t>
      </w:r>
      <w:r>
        <w:rPr>
          <w:color w:val="231F20"/>
          <w:spacing w:val="-3"/>
          <w:sz w:val="20"/>
        </w:rPr>
        <w:t xml:space="preserve">we </w:t>
      </w:r>
      <w:r>
        <w:rPr>
          <w:color w:val="231F20"/>
          <w:sz w:val="20"/>
        </w:rPr>
        <w:t xml:space="preserve">acknowledge in </w:t>
      </w:r>
      <w:r>
        <w:rPr>
          <w:color w:val="231F20"/>
          <w:spacing w:val="-3"/>
          <w:sz w:val="20"/>
        </w:rPr>
        <w:t xml:space="preserve">Chapter </w:t>
      </w:r>
      <w:r>
        <w:rPr>
          <w:color w:val="231F20"/>
          <w:sz w:val="20"/>
        </w:rPr>
        <w:t xml:space="preserve">1, </w:t>
      </w:r>
      <w:r>
        <w:rPr>
          <w:color w:val="231F20"/>
          <w:spacing w:val="-3"/>
          <w:sz w:val="20"/>
        </w:rPr>
        <w:t xml:space="preserve">family </w:t>
      </w:r>
      <w:r>
        <w:rPr>
          <w:color w:val="231F20"/>
          <w:spacing w:val="-2"/>
          <w:sz w:val="20"/>
        </w:rPr>
        <w:t xml:space="preserve">violence, </w:t>
      </w:r>
      <w:r>
        <w:rPr>
          <w:color w:val="231F20"/>
          <w:sz w:val="20"/>
        </w:rPr>
        <w:t>sexual</w:t>
      </w:r>
      <w:r>
        <w:rPr>
          <w:color w:val="231F20"/>
          <w:spacing w:val="-7"/>
          <w:sz w:val="20"/>
        </w:rPr>
        <w:t xml:space="preserve"> </w:t>
      </w:r>
      <w:r>
        <w:rPr>
          <w:color w:val="231F20"/>
          <w:sz w:val="20"/>
        </w:rPr>
        <w:t>violence</w:t>
      </w:r>
      <w:r>
        <w:rPr>
          <w:color w:val="231F20"/>
          <w:spacing w:val="-7"/>
          <w:sz w:val="20"/>
        </w:rPr>
        <w:t xml:space="preserve"> </w:t>
      </w:r>
      <w:r>
        <w:rPr>
          <w:color w:val="231F20"/>
          <w:sz w:val="20"/>
        </w:rPr>
        <w:t>and</w:t>
      </w:r>
      <w:r>
        <w:rPr>
          <w:color w:val="231F20"/>
          <w:spacing w:val="-7"/>
          <w:sz w:val="20"/>
        </w:rPr>
        <w:t xml:space="preserve"> </w:t>
      </w:r>
      <w:r>
        <w:rPr>
          <w:color w:val="231F20"/>
          <w:sz w:val="20"/>
        </w:rPr>
        <w:t>stalking</w:t>
      </w:r>
      <w:r>
        <w:rPr>
          <w:color w:val="231F20"/>
          <w:spacing w:val="-7"/>
          <w:sz w:val="20"/>
        </w:rPr>
        <w:t xml:space="preserve"> </w:t>
      </w:r>
      <w:r>
        <w:rPr>
          <w:color w:val="231F20"/>
          <w:sz w:val="20"/>
        </w:rPr>
        <w:t>can</w:t>
      </w:r>
      <w:r>
        <w:rPr>
          <w:color w:val="231F20"/>
          <w:spacing w:val="-7"/>
          <w:sz w:val="20"/>
        </w:rPr>
        <w:t xml:space="preserve"> </w:t>
      </w:r>
      <w:r>
        <w:rPr>
          <w:color w:val="231F20"/>
          <w:sz w:val="20"/>
        </w:rPr>
        <w:t>all</w:t>
      </w:r>
      <w:r>
        <w:rPr>
          <w:color w:val="231F20"/>
          <w:spacing w:val="-7"/>
          <w:sz w:val="20"/>
        </w:rPr>
        <w:t xml:space="preserve"> </w:t>
      </w:r>
      <w:r>
        <w:rPr>
          <w:color w:val="231F20"/>
          <w:spacing w:val="-5"/>
          <w:sz w:val="20"/>
        </w:rPr>
        <w:t>involve</w:t>
      </w:r>
      <w:r>
        <w:rPr>
          <w:color w:val="231F20"/>
          <w:spacing w:val="-7"/>
          <w:sz w:val="20"/>
        </w:rPr>
        <w:t xml:space="preserve"> </w:t>
      </w:r>
      <w:r>
        <w:rPr>
          <w:color w:val="231F20"/>
          <w:sz w:val="20"/>
        </w:rPr>
        <w:t>the</w:t>
      </w:r>
      <w:r>
        <w:rPr>
          <w:color w:val="231F20"/>
          <w:spacing w:val="-7"/>
          <w:sz w:val="20"/>
        </w:rPr>
        <w:t xml:space="preserve"> </w:t>
      </w:r>
      <w:r>
        <w:rPr>
          <w:color w:val="231F20"/>
          <w:spacing w:val="-3"/>
          <w:sz w:val="20"/>
        </w:rPr>
        <w:t>exercise</w:t>
      </w:r>
      <w:r>
        <w:rPr>
          <w:color w:val="231F20"/>
          <w:spacing w:val="-7"/>
          <w:sz w:val="20"/>
        </w:rPr>
        <w:t xml:space="preserve"> </w:t>
      </w:r>
      <w:r>
        <w:rPr>
          <w:color w:val="231F20"/>
          <w:sz w:val="20"/>
        </w:rPr>
        <w:t>of</w:t>
      </w:r>
      <w:r>
        <w:rPr>
          <w:color w:val="231F20"/>
          <w:spacing w:val="-6"/>
          <w:sz w:val="20"/>
        </w:rPr>
        <w:t xml:space="preserve"> </w:t>
      </w:r>
      <w:r>
        <w:rPr>
          <w:color w:val="231F20"/>
          <w:spacing w:val="-3"/>
          <w:sz w:val="20"/>
        </w:rPr>
        <w:t>power</w:t>
      </w:r>
      <w:r>
        <w:rPr>
          <w:color w:val="231F20"/>
          <w:spacing w:val="-7"/>
          <w:sz w:val="20"/>
        </w:rPr>
        <w:t xml:space="preserve"> </w:t>
      </w:r>
      <w:r>
        <w:rPr>
          <w:color w:val="231F20"/>
          <w:spacing w:val="-3"/>
          <w:sz w:val="20"/>
        </w:rPr>
        <w:t>by</w:t>
      </w:r>
      <w:r>
        <w:rPr>
          <w:color w:val="231F20"/>
          <w:spacing w:val="-7"/>
          <w:sz w:val="20"/>
        </w:rPr>
        <w:t xml:space="preserve"> </w:t>
      </w:r>
      <w:r>
        <w:rPr>
          <w:color w:val="231F20"/>
          <w:sz w:val="20"/>
        </w:rPr>
        <w:t>one</w:t>
      </w:r>
      <w:r>
        <w:rPr>
          <w:color w:val="231F20"/>
          <w:spacing w:val="-7"/>
          <w:sz w:val="20"/>
        </w:rPr>
        <w:t xml:space="preserve"> </w:t>
      </w:r>
      <w:r>
        <w:rPr>
          <w:color w:val="231F20"/>
          <w:sz w:val="20"/>
        </w:rPr>
        <w:t>person</w:t>
      </w:r>
      <w:r>
        <w:rPr>
          <w:color w:val="231F20"/>
          <w:spacing w:val="-7"/>
          <w:sz w:val="20"/>
        </w:rPr>
        <w:t xml:space="preserve"> </w:t>
      </w:r>
      <w:r>
        <w:rPr>
          <w:color w:val="231F20"/>
          <w:spacing w:val="-4"/>
          <w:sz w:val="20"/>
        </w:rPr>
        <w:t xml:space="preserve">over </w:t>
      </w:r>
      <w:r>
        <w:rPr>
          <w:color w:val="231F20"/>
          <w:sz w:val="20"/>
        </w:rPr>
        <w:t>another.</w:t>
      </w:r>
      <w:r>
        <w:rPr>
          <w:color w:val="231F20"/>
          <w:position w:val="7"/>
          <w:sz w:val="11"/>
        </w:rPr>
        <w:t xml:space="preserve">186 </w:t>
      </w:r>
      <w:r>
        <w:rPr>
          <w:color w:val="231F20"/>
          <w:sz w:val="20"/>
        </w:rPr>
        <w:t xml:space="preserve">Many of the impacts can be </w:t>
      </w:r>
      <w:r>
        <w:rPr>
          <w:color w:val="231F20"/>
          <w:spacing w:val="-3"/>
          <w:sz w:val="20"/>
        </w:rPr>
        <w:t xml:space="preserve">similar, </w:t>
      </w:r>
      <w:r>
        <w:rPr>
          <w:color w:val="231F20"/>
          <w:sz w:val="20"/>
        </w:rPr>
        <w:t>including fear of the person harming them.</w:t>
      </w:r>
      <w:r>
        <w:rPr>
          <w:color w:val="231F20"/>
          <w:position w:val="7"/>
          <w:sz w:val="11"/>
        </w:rPr>
        <w:t>187</w:t>
      </w:r>
    </w:p>
    <w:p w14:paraId="0CD686F5" w14:textId="77777777" w:rsidR="00894070" w:rsidRDefault="009B7AFD">
      <w:pPr>
        <w:pStyle w:val="ListParagraph"/>
        <w:numPr>
          <w:ilvl w:val="0"/>
          <w:numId w:val="45"/>
        </w:numPr>
        <w:tabs>
          <w:tab w:val="left" w:pos="1801"/>
          <w:tab w:val="left" w:pos="1802"/>
        </w:tabs>
        <w:spacing w:before="126" w:line="206" w:lineRule="auto"/>
        <w:ind w:right="1202"/>
        <w:rPr>
          <w:sz w:val="11"/>
        </w:rPr>
      </w:pPr>
      <w:r>
        <w:rPr>
          <w:color w:val="231F20"/>
          <w:sz w:val="20"/>
        </w:rPr>
        <w:t xml:space="preserve">But stalking charges </w:t>
      </w:r>
      <w:r>
        <w:rPr>
          <w:color w:val="231F20"/>
          <w:spacing w:val="-3"/>
          <w:sz w:val="20"/>
        </w:rPr>
        <w:t xml:space="preserve">may </w:t>
      </w:r>
      <w:r>
        <w:rPr>
          <w:color w:val="231F20"/>
          <w:sz w:val="20"/>
        </w:rPr>
        <w:t xml:space="preserve">be </w:t>
      </w:r>
      <w:r>
        <w:rPr>
          <w:color w:val="231F20"/>
          <w:spacing w:val="-3"/>
          <w:sz w:val="20"/>
        </w:rPr>
        <w:t xml:space="preserve">prosecuted </w:t>
      </w:r>
      <w:r>
        <w:rPr>
          <w:color w:val="231F20"/>
          <w:sz w:val="20"/>
        </w:rPr>
        <w:t xml:space="preserve">alongside other criminal charges. It is important not to limit the ban on </w:t>
      </w:r>
      <w:r>
        <w:rPr>
          <w:color w:val="231F20"/>
          <w:spacing w:val="-3"/>
          <w:sz w:val="20"/>
        </w:rPr>
        <w:t xml:space="preserve">cross-examination </w:t>
      </w:r>
      <w:r>
        <w:rPr>
          <w:color w:val="231F20"/>
          <w:sz w:val="20"/>
        </w:rPr>
        <w:t xml:space="preserve">to cases that </w:t>
      </w:r>
      <w:r>
        <w:rPr>
          <w:color w:val="231F20"/>
          <w:spacing w:val="-3"/>
          <w:sz w:val="20"/>
        </w:rPr>
        <w:t xml:space="preserve">only </w:t>
      </w:r>
      <w:r>
        <w:rPr>
          <w:color w:val="231F20"/>
          <w:spacing w:val="-4"/>
          <w:sz w:val="20"/>
        </w:rPr>
        <w:t xml:space="preserve">have </w:t>
      </w:r>
      <w:r>
        <w:rPr>
          <w:color w:val="231F20"/>
          <w:sz w:val="20"/>
        </w:rPr>
        <w:t xml:space="preserve">stalking charges. Extending the ban to cases that </w:t>
      </w:r>
      <w:r>
        <w:rPr>
          <w:color w:val="231F20"/>
          <w:spacing w:val="-3"/>
          <w:sz w:val="20"/>
        </w:rPr>
        <w:t xml:space="preserve">are ‘wholly </w:t>
      </w:r>
      <w:r>
        <w:rPr>
          <w:color w:val="231F20"/>
          <w:sz w:val="20"/>
        </w:rPr>
        <w:t xml:space="preserve">or partly’ </w:t>
      </w:r>
      <w:r>
        <w:rPr>
          <w:color w:val="231F20"/>
          <w:spacing w:val="-3"/>
          <w:sz w:val="20"/>
        </w:rPr>
        <w:t xml:space="preserve">related </w:t>
      </w:r>
      <w:r>
        <w:rPr>
          <w:color w:val="231F20"/>
          <w:sz w:val="20"/>
        </w:rPr>
        <w:t>to a stalking charge</w:t>
      </w:r>
      <w:r>
        <w:rPr>
          <w:color w:val="231F20"/>
          <w:spacing w:val="-13"/>
          <w:sz w:val="20"/>
        </w:rPr>
        <w:t xml:space="preserve"> </w:t>
      </w:r>
      <w:r>
        <w:rPr>
          <w:color w:val="231F20"/>
          <w:sz w:val="20"/>
        </w:rPr>
        <w:t>is</w:t>
      </w:r>
      <w:r>
        <w:rPr>
          <w:color w:val="231F20"/>
          <w:spacing w:val="-12"/>
          <w:sz w:val="20"/>
        </w:rPr>
        <w:t xml:space="preserve"> </w:t>
      </w:r>
      <w:r>
        <w:rPr>
          <w:color w:val="231F20"/>
          <w:sz w:val="20"/>
        </w:rPr>
        <w:t>consistent</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2"/>
          <w:sz w:val="20"/>
        </w:rPr>
        <w:t xml:space="preserve"> </w:t>
      </w:r>
      <w:r>
        <w:rPr>
          <w:color w:val="231F20"/>
          <w:sz w:val="20"/>
        </w:rPr>
        <w:t>approach</w:t>
      </w:r>
      <w:r>
        <w:rPr>
          <w:color w:val="231F20"/>
          <w:spacing w:val="-12"/>
          <w:sz w:val="20"/>
        </w:rPr>
        <w:t xml:space="preserve"> </w:t>
      </w:r>
      <w:r>
        <w:rPr>
          <w:color w:val="231F20"/>
          <w:sz w:val="20"/>
        </w:rPr>
        <w:t>in</w:t>
      </w:r>
      <w:r>
        <w:rPr>
          <w:color w:val="231F20"/>
          <w:spacing w:val="-13"/>
          <w:sz w:val="20"/>
        </w:rPr>
        <w:t xml:space="preserve"> </w:t>
      </w:r>
      <w:r>
        <w:rPr>
          <w:color w:val="231F20"/>
          <w:sz w:val="20"/>
        </w:rPr>
        <w:t>the</w:t>
      </w:r>
      <w:r>
        <w:rPr>
          <w:color w:val="231F20"/>
          <w:spacing w:val="-12"/>
          <w:sz w:val="20"/>
        </w:rPr>
        <w:t xml:space="preserve"> </w:t>
      </w:r>
      <w:r>
        <w:rPr>
          <w:color w:val="231F20"/>
          <w:sz w:val="20"/>
        </w:rPr>
        <w:t>Criminal</w:t>
      </w:r>
      <w:r>
        <w:rPr>
          <w:color w:val="231F20"/>
          <w:spacing w:val="-12"/>
          <w:sz w:val="20"/>
        </w:rPr>
        <w:t xml:space="preserve"> </w:t>
      </w:r>
      <w:r>
        <w:rPr>
          <w:color w:val="231F20"/>
          <w:spacing w:val="-3"/>
          <w:sz w:val="20"/>
        </w:rPr>
        <w:t>Procedure</w:t>
      </w:r>
      <w:r>
        <w:rPr>
          <w:color w:val="231F20"/>
          <w:spacing w:val="-12"/>
          <w:sz w:val="20"/>
        </w:rPr>
        <w:t xml:space="preserve"> </w:t>
      </w:r>
      <w:r>
        <w:rPr>
          <w:color w:val="231F20"/>
          <w:spacing w:val="-2"/>
          <w:sz w:val="20"/>
        </w:rPr>
        <w:t>Act</w:t>
      </w:r>
      <w:r>
        <w:rPr>
          <w:color w:val="231F20"/>
          <w:spacing w:val="-12"/>
          <w:sz w:val="20"/>
        </w:rPr>
        <w:t xml:space="preserve"> </w:t>
      </w:r>
      <w:r>
        <w:rPr>
          <w:color w:val="231F20"/>
          <w:sz w:val="20"/>
        </w:rPr>
        <w:t>to</w:t>
      </w:r>
      <w:r>
        <w:rPr>
          <w:color w:val="231F20"/>
          <w:spacing w:val="-12"/>
          <w:sz w:val="20"/>
        </w:rPr>
        <w:t xml:space="preserve"> </w:t>
      </w:r>
      <w:r>
        <w:rPr>
          <w:color w:val="231F20"/>
          <w:sz w:val="20"/>
        </w:rPr>
        <w:t>sexual</w:t>
      </w:r>
      <w:r>
        <w:rPr>
          <w:color w:val="231F20"/>
          <w:spacing w:val="-12"/>
          <w:sz w:val="20"/>
        </w:rPr>
        <w:t xml:space="preserve"> </w:t>
      </w:r>
      <w:r>
        <w:rPr>
          <w:color w:val="231F20"/>
          <w:sz w:val="20"/>
        </w:rPr>
        <w:t xml:space="preserve">offences or </w:t>
      </w:r>
      <w:r>
        <w:rPr>
          <w:color w:val="231F20"/>
          <w:spacing w:val="-3"/>
          <w:sz w:val="20"/>
        </w:rPr>
        <w:t>family</w:t>
      </w:r>
      <w:r>
        <w:rPr>
          <w:color w:val="231F20"/>
          <w:spacing w:val="-9"/>
          <w:sz w:val="20"/>
        </w:rPr>
        <w:t xml:space="preserve"> </w:t>
      </w:r>
      <w:r>
        <w:rPr>
          <w:color w:val="231F20"/>
          <w:sz w:val="20"/>
        </w:rPr>
        <w:t>violence.</w:t>
      </w:r>
      <w:r>
        <w:rPr>
          <w:color w:val="231F20"/>
          <w:position w:val="7"/>
          <w:sz w:val="11"/>
        </w:rPr>
        <w:t>188</w:t>
      </w:r>
    </w:p>
    <w:p w14:paraId="1D0424B2" w14:textId="77777777" w:rsidR="00894070" w:rsidRDefault="009B7AFD">
      <w:pPr>
        <w:pStyle w:val="ListParagraph"/>
        <w:numPr>
          <w:ilvl w:val="0"/>
          <w:numId w:val="45"/>
        </w:numPr>
        <w:tabs>
          <w:tab w:val="left" w:pos="1801"/>
          <w:tab w:val="left" w:pos="1802"/>
        </w:tabs>
        <w:spacing w:before="126" w:line="206" w:lineRule="auto"/>
        <w:ind w:right="1293"/>
        <w:rPr>
          <w:sz w:val="20"/>
        </w:rPr>
      </w:pPr>
      <w:r>
        <w:rPr>
          <w:color w:val="231F20"/>
          <w:sz w:val="20"/>
        </w:rPr>
        <w:t xml:space="preserve">The law states that if the accused does not obtain legal </w:t>
      </w:r>
      <w:r>
        <w:rPr>
          <w:color w:val="231F20"/>
          <w:spacing w:val="-3"/>
          <w:sz w:val="20"/>
        </w:rPr>
        <w:t xml:space="preserve">representation </w:t>
      </w:r>
      <w:r>
        <w:rPr>
          <w:color w:val="231F20"/>
          <w:sz w:val="20"/>
        </w:rPr>
        <w:t xml:space="preserve">to </w:t>
      </w:r>
      <w:r>
        <w:rPr>
          <w:color w:val="231F20"/>
          <w:spacing w:val="-3"/>
          <w:sz w:val="20"/>
        </w:rPr>
        <w:t xml:space="preserve">cross- </w:t>
      </w:r>
      <w:r>
        <w:rPr>
          <w:color w:val="231F20"/>
          <w:sz w:val="20"/>
        </w:rPr>
        <w:t>examine</w:t>
      </w:r>
      <w:r>
        <w:rPr>
          <w:color w:val="231F20"/>
          <w:spacing w:val="-8"/>
          <w:sz w:val="20"/>
        </w:rPr>
        <w:t xml:space="preserve"> </w:t>
      </w:r>
      <w:r>
        <w:rPr>
          <w:color w:val="231F20"/>
          <w:sz w:val="20"/>
        </w:rPr>
        <w:t>a</w:t>
      </w:r>
      <w:r>
        <w:rPr>
          <w:color w:val="231F20"/>
          <w:spacing w:val="-8"/>
          <w:sz w:val="20"/>
        </w:rPr>
        <w:t xml:space="preserve"> </w:t>
      </w:r>
      <w:r>
        <w:rPr>
          <w:color w:val="231F20"/>
          <w:spacing w:val="-3"/>
          <w:sz w:val="20"/>
        </w:rPr>
        <w:t>protected</w:t>
      </w:r>
      <w:r>
        <w:rPr>
          <w:color w:val="231F20"/>
          <w:spacing w:val="-8"/>
          <w:sz w:val="20"/>
        </w:rPr>
        <w:t xml:space="preserve"> </w:t>
      </w:r>
      <w:r>
        <w:rPr>
          <w:color w:val="231F20"/>
          <w:sz w:val="20"/>
        </w:rPr>
        <w:t>witness</w:t>
      </w:r>
      <w:r>
        <w:rPr>
          <w:color w:val="231F20"/>
          <w:spacing w:val="-8"/>
          <w:sz w:val="20"/>
        </w:rPr>
        <w:t xml:space="preserve"> </w:t>
      </w:r>
      <w:r>
        <w:rPr>
          <w:color w:val="231F20"/>
          <w:spacing w:val="-2"/>
          <w:sz w:val="20"/>
        </w:rPr>
        <w:t>(after</w:t>
      </w:r>
      <w:r>
        <w:rPr>
          <w:color w:val="231F20"/>
          <w:spacing w:val="-8"/>
          <w:sz w:val="20"/>
        </w:rPr>
        <w:t xml:space="preserve"> </w:t>
      </w:r>
      <w:r>
        <w:rPr>
          <w:color w:val="231F20"/>
          <w:sz w:val="20"/>
        </w:rPr>
        <w:t>being</w:t>
      </w:r>
      <w:r>
        <w:rPr>
          <w:color w:val="231F20"/>
          <w:spacing w:val="-8"/>
          <w:sz w:val="20"/>
        </w:rPr>
        <w:t xml:space="preserve"> </w:t>
      </w:r>
      <w:r>
        <w:rPr>
          <w:color w:val="231F20"/>
          <w:spacing w:val="-3"/>
          <w:sz w:val="20"/>
        </w:rPr>
        <w:t>given</w:t>
      </w:r>
      <w:r>
        <w:rPr>
          <w:color w:val="231F20"/>
          <w:spacing w:val="-7"/>
          <w:sz w:val="20"/>
        </w:rPr>
        <w:t xml:space="preserve"> </w:t>
      </w:r>
      <w:r>
        <w:rPr>
          <w:color w:val="231F20"/>
          <w:sz w:val="20"/>
        </w:rPr>
        <w:t>a</w:t>
      </w:r>
      <w:r>
        <w:rPr>
          <w:color w:val="231F20"/>
          <w:spacing w:val="-8"/>
          <w:sz w:val="20"/>
        </w:rPr>
        <w:t xml:space="preserve"> </w:t>
      </w:r>
      <w:r>
        <w:rPr>
          <w:color w:val="231F20"/>
          <w:sz w:val="20"/>
        </w:rPr>
        <w:t>reasonable</w:t>
      </w:r>
      <w:r>
        <w:rPr>
          <w:color w:val="231F20"/>
          <w:spacing w:val="-8"/>
          <w:sz w:val="20"/>
        </w:rPr>
        <w:t xml:space="preserve"> </w:t>
      </w:r>
      <w:r>
        <w:rPr>
          <w:color w:val="231F20"/>
          <w:sz w:val="20"/>
        </w:rPr>
        <w:t>opportunity</w:t>
      </w:r>
      <w:r>
        <w:rPr>
          <w:color w:val="231F20"/>
          <w:spacing w:val="-8"/>
          <w:sz w:val="20"/>
        </w:rPr>
        <w:t xml:space="preserve"> </w:t>
      </w:r>
      <w:r>
        <w:rPr>
          <w:color w:val="231F20"/>
          <w:sz w:val="20"/>
        </w:rPr>
        <w:t>to</w:t>
      </w:r>
      <w:r>
        <w:rPr>
          <w:color w:val="231F20"/>
          <w:spacing w:val="-8"/>
          <w:sz w:val="20"/>
        </w:rPr>
        <w:t xml:space="preserve"> </w:t>
      </w:r>
      <w:r>
        <w:rPr>
          <w:color w:val="231F20"/>
          <w:sz w:val="20"/>
        </w:rPr>
        <w:t>do</w:t>
      </w:r>
      <w:r>
        <w:rPr>
          <w:color w:val="231F20"/>
          <w:spacing w:val="-8"/>
          <w:sz w:val="20"/>
        </w:rPr>
        <w:t xml:space="preserve"> </w:t>
      </w:r>
      <w:r>
        <w:rPr>
          <w:color w:val="231F20"/>
          <w:spacing w:val="-4"/>
          <w:sz w:val="20"/>
        </w:rPr>
        <w:t>so),</w:t>
      </w:r>
      <w:r>
        <w:rPr>
          <w:color w:val="231F20"/>
          <w:spacing w:val="-7"/>
          <w:sz w:val="20"/>
        </w:rPr>
        <w:t xml:space="preserve"> </w:t>
      </w:r>
      <w:r>
        <w:rPr>
          <w:color w:val="231F20"/>
          <w:sz w:val="20"/>
        </w:rPr>
        <w:t xml:space="preserve">the court must order Victoria Legal Aid to </w:t>
      </w:r>
      <w:r>
        <w:rPr>
          <w:color w:val="231F20"/>
          <w:spacing w:val="-3"/>
          <w:sz w:val="20"/>
        </w:rPr>
        <w:t xml:space="preserve">represent </w:t>
      </w:r>
      <w:r>
        <w:rPr>
          <w:color w:val="231F20"/>
          <w:sz w:val="20"/>
        </w:rPr>
        <w:t xml:space="preserve">the accused </w:t>
      </w:r>
      <w:r>
        <w:rPr>
          <w:color w:val="231F20"/>
          <w:spacing w:val="-3"/>
          <w:sz w:val="20"/>
        </w:rPr>
        <w:t xml:space="preserve">for </w:t>
      </w:r>
      <w:r>
        <w:rPr>
          <w:color w:val="231F20"/>
          <w:sz w:val="20"/>
        </w:rPr>
        <w:t>that purpose.</w:t>
      </w:r>
      <w:r>
        <w:rPr>
          <w:color w:val="231F20"/>
          <w:position w:val="7"/>
          <w:sz w:val="11"/>
        </w:rPr>
        <w:t xml:space="preserve">189 </w:t>
      </w:r>
      <w:r>
        <w:rPr>
          <w:color w:val="231F20"/>
          <w:sz w:val="20"/>
        </w:rPr>
        <w:t>This protects</w:t>
      </w:r>
      <w:r>
        <w:rPr>
          <w:color w:val="231F20"/>
          <w:spacing w:val="-6"/>
          <w:sz w:val="20"/>
        </w:rPr>
        <w:t xml:space="preserve"> </w:t>
      </w:r>
      <w:r>
        <w:rPr>
          <w:color w:val="231F20"/>
          <w:sz w:val="20"/>
        </w:rPr>
        <w:t>the</w:t>
      </w:r>
      <w:r>
        <w:rPr>
          <w:color w:val="231F20"/>
          <w:spacing w:val="-6"/>
          <w:sz w:val="20"/>
        </w:rPr>
        <w:t xml:space="preserve"> </w:t>
      </w:r>
      <w:r>
        <w:rPr>
          <w:color w:val="231F20"/>
          <w:sz w:val="20"/>
        </w:rPr>
        <w:t>accused’s</w:t>
      </w:r>
      <w:r>
        <w:rPr>
          <w:color w:val="231F20"/>
          <w:spacing w:val="-5"/>
          <w:sz w:val="20"/>
        </w:rPr>
        <w:t xml:space="preserve"> </w:t>
      </w:r>
      <w:r>
        <w:rPr>
          <w:color w:val="231F20"/>
          <w:sz w:val="20"/>
        </w:rPr>
        <w:t>right</w:t>
      </w:r>
      <w:r>
        <w:rPr>
          <w:color w:val="231F20"/>
          <w:spacing w:val="-6"/>
          <w:sz w:val="20"/>
        </w:rPr>
        <w:t xml:space="preserve"> </w:t>
      </w:r>
      <w:r>
        <w:rPr>
          <w:color w:val="231F20"/>
          <w:sz w:val="20"/>
        </w:rPr>
        <w:t>to</w:t>
      </w:r>
      <w:r>
        <w:rPr>
          <w:color w:val="231F20"/>
          <w:spacing w:val="-5"/>
          <w:sz w:val="20"/>
        </w:rPr>
        <w:t xml:space="preserve"> </w:t>
      </w:r>
      <w:r>
        <w:rPr>
          <w:color w:val="231F20"/>
          <w:sz w:val="20"/>
        </w:rPr>
        <w:t>test</w:t>
      </w:r>
      <w:r>
        <w:rPr>
          <w:color w:val="231F20"/>
          <w:spacing w:val="-6"/>
          <w:sz w:val="20"/>
        </w:rPr>
        <w:t xml:space="preserve"> </w:t>
      </w:r>
      <w:r>
        <w:rPr>
          <w:color w:val="231F20"/>
          <w:sz w:val="20"/>
        </w:rPr>
        <w:t>the</w:t>
      </w:r>
      <w:r>
        <w:rPr>
          <w:color w:val="231F20"/>
          <w:spacing w:val="-5"/>
          <w:sz w:val="20"/>
        </w:rPr>
        <w:t xml:space="preserve"> </w:t>
      </w:r>
      <w:r>
        <w:rPr>
          <w:color w:val="231F20"/>
          <w:sz w:val="20"/>
        </w:rPr>
        <w:t>evidence</w:t>
      </w:r>
      <w:r>
        <w:rPr>
          <w:color w:val="231F20"/>
          <w:spacing w:val="-6"/>
          <w:sz w:val="20"/>
        </w:rPr>
        <w:t xml:space="preserve"> </w:t>
      </w:r>
      <w:r>
        <w:rPr>
          <w:color w:val="231F20"/>
          <w:sz w:val="20"/>
        </w:rPr>
        <w:t>against</w:t>
      </w:r>
      <w:r>
        <w:rPr>
          <w:color w:val="231F20"/>
          <w:spacing w:val="-5"/>
          <w:sz w:val="20"/>
        </w:rPr>
        <w:t xml:space="preserve"> </w:t>
      </w:r>
      <w:r>
        <w:rPr>
          <w:color w:val="231F20"/>
          <w:sz w:val="20"/>
        </w:rPr>
        <w:t>them.</w:t>
      </w:r>
    </w:p>
    <w:p w14:paraId="43008347" w14:textId="77777777" w:rsidR="00894070" w:rsidRDefault="009B7AFD">
      <w:pPr>
        <w:pStyle w:val="ListParagraph"/>
        <w:numPr>
          <w:ilvl w:val="0"/>
          <w:numId w:val="45"/>
        </w:numPr>
        <w:tabs>
          <w:tab w:val="left" w:pos="1801"/>
          <w:tab w:val="left" w:pos="1802"/>
        </w:tabs>
        <w:spacing w:before="93" w:line="259" w:lineRule="exact"/>
        <w:rPr>
          <w:sz w:val="20"/>
        </w:rPr>
      </w:pPr>
      <w:r>
        <w:rPr>
          <w:color w:val="231F20"/>
          <w:spacing w:val="-6"/>
          <w:sz w:val="20"/>
        </w:rPr>
        <w:t xml:space="preserve">We </w:t>
      </w:r>
      <w:r>
        <w:rPr>
          <w:color w:val="231F20"/>
          <w:sz w:val="20"/>
        </w:rPr>
        <w:t>recommend</w:t>
      </w:r>
      <w:r>
        <w:rPr>
          <w:color w:val="231F20"/>
          <w:spacing w:val="-5"/>
          <w:sz w:val="20"/>
        </w:rPr>
        <w:t xml:space="preserve"> </w:t>
      </w:r>
      <w:r>
        <w:rPr>
          <w:color w:val="231F20"/>
          <w:sz w:val="20"/>
        </w:rPr>
        <w:t>that</w:t>
      </w:r>
      <w:r>
        <w:rPr>
          <w:color w:val="231F20"/>
          <w:spacing w:val="-5"/>
          <w:sz w:val="20"/>
        </w:rPr>
        <w:t xml:space="preserve"> </w:t>
      </w:r>
      <w:r>
        <w:rPr>
          <w:color w:val="231F20"/>
          <w:sz w:val="20"/>
        </w:rPr>
        <w:t>Victoria</w:t>
      </w:r>
      <w:r>
        <w:rPr>
          <w:color w:val="231F20"/>
          <w:spacing w:val="-5"/>
          <w:sz w:val="20"/>
        </w:rPr>
        <w:t xml:space="preserve"> </w:t>
      </w:r>
      <w:r>
        <w:rPr>
          <w:color w:val="231F20"/>
          <w:sz w:val="20"/>
        </w:rPr>
        <w:t>Legal</w:t>
      </w:r>
      <w:r>
        <w:rPr>
          <w:color w:val="231F20"/>
          <w:spacing w:val="-5"/>
          <w:sz w:val="20"/>
        </w:rPr>
        <w:t xml:space="preserve"> </w:t>
      </w:r>
      <w:r>
        <w:rPr>
          <w:color w:val="231F20"/>
          <w:sz w:val="20"/>
        </w:rPr>
        <w:t>Aid</w:t>
      </w:r>
      <w:r>
        <w:rPr>
          <w:color w:val="231F20"/>
          <w:spacing w:val="-6"/>
          <w:sz w:val="20"/>
        </w:rPr>
        <w:t xml:space="preserve"> </w:t>
      </w:r>
      <w:r>
        <w:rPr>
          <w:color w:val="231F20"/>
          <w:sz w:val="20"/>
        </w:rPr>
        <w:t>should</w:t>
      </w:r>
      <w:r>
        <w:rPr>
          <w:color w:val="231F20"/>
          <w:spacing w:val="-5"/>
          <w:sz w:val="20"/>
        </w:rPr>
        <w:t xml:space="preserve"> </w:t>
      </w:r>
      <w:r>
        <w:rPr>
          <w:color w:val="231F20"/>
          <w:sz w:val="20"/>
        </w:rPr>
        <w:t>be</w:t>
      </w:r>
      <w:r>
        <w:rPr>
          <w:color w:val="231F20"/>
          <w:spacing w:val="-5"/>
          <w:sz w:val="20"/>
        </w:rPr>
        <w:t xml:space="preserve"> </w:t>
      </w:r>
      <w:r>
        <w:rPr>
          <w:color w:val="231F20"/>
          <w:spacing w:val="-3"/>
          <w:sz w:val="20"/>
        </w:rPr>
        <w:t>adequately</w:t>
      </w:r>
      <w:r>
        <w:rPr>
          <w:color w:val="231F20"/>
          <w:spacing w:val="-5"/>
          <w:sz w:val="20"/>
        </w:rPr>
        <w:t xml:space="preserve"> </w:t>
      </w:r>
      <w:r>
        <w:rPr>
          <w:color w:val="231F20"/>
          <w:spacing w:val="-3"/>
          <w:sz w:val="20"/>
        </w:rPr>
        <w:t>resourced</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provide</w:t>
      </w:r>
      <w:r>
        <w:rPr>
          <w:color w:val="231F20"/>
          <w:spacing w:val="-6"/>
          <w:sz w:val="20"/>
        </w:rPr>
        <w:t xml:space="preserve"> </w:t>
      </w:r>
      <w:r>
        <w:rPr>
          <w:color w:val="231F20"/>
          <w:sz w:val="20"/>
        </w:rPr>
        <w:t>this</w:t>
      </w:r>
    </w:p>
    <w:p w14:paraId="05B900A1" w14:textId="77777777" w:rsidR="00894070" w:rsidRDefault="009B7AFD">
      <w:pPr>
        <w:pStyle w:val="BodyText"/>
        <w:spacing w:line="259" w:lineRule="exact"/>
        <w:ind w:left="1801"/>
      </w:pPr>
      <w:r>
        <w:rPr>
          <w:color w:val="231F20"/>
        </w:rPr>
        <w:t>representation.</w:t>
      </w:r>
    </w:p>
    <w:p w14:paraId="2559DF0E" w14:textId="77777777" w:rsidR="00894070" w:rsidRDefault="009F6793">
      <w:pPr>
        <w:pStyle w:val="BodyText"/>
        <w:spacing w:before="11"/>
        <w:rPr>
          <w:sz w:val="18"/>
        </w:rPr>
      </w:pPr>
      <w:r>
        <w:pict w14:anchorId="1197D6F1">
          <v:group id="_x0000_s1102" style="position:absolute;margin-left:62.35pt;margin-top:15pt;width:479.1pt;height:148.65pt;z-index:251758592;mso-wrap-distance-left:0;mso-wrap-distance-right:0;mso-position-horizontal-relative:page" coordorigin="1247,300" coordsize="9582,2973">
            <v:rect id="_x0000_s1107" style="position:absolute;left:1587;top:300;width:8731;height:2973" fillcolor="#fee7de" stroked="f"/>
            <v:line id="_x0000_s1106" style="position:absolute" from="1247,1108" to="10828,1108" strokecolor="white" strokeweight="2.5pt"/>
            <v:shape id="_x0000_s1105" type="#_x0000_t202" style="position:absolute;left:2381;top:1333;width:7710;height:1760" filled="f" stroked="f">
              <v:textbox inset="0,0,0,0">
                <w:txbxContent>
                  <w:p w14:paraId="58C8C6E1" w14:textId="77777777" w:rsidR="00894070" w:rsidRDefault="009B7AFD">
                    <w:pPr>
                      <w:spacing w:line="247" w:lineRule="auto"/>
                      <w:rPr>
                        <w:rFonts w:ascii="Trebuchet MS"/>
                        <w:sz w:val="20"/>
                      </w:rPr>
                    </w:pPr>
                    <w:r>
                      <w:rPr>
                        <w:rFonts w:ascii="Trebuchet MS"/>
                        <w:color w:val="231F20"/>
                        <w:spacing w:val="-2"/>
                        <w:w w:val="105"/>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spacing w:val="-2"/>
                        <w:w w:val="105"/>
                        <w:sz w:val="20"/>
                      </w:rPr>
                      <w:t>a</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05"/>
                        <w:sz w:val="20"/>
                      </w:rPr>
                      <w:t>G</w:t>
                    </w:r>
                    <w:r>
                      <w:rPr>
                        <w:rFonts w:ascii="Trebuchet MS"/>
                        <w:color w:val="231F20"/>
                        <w:spacing w:val="-6"/>
                        <w:w w:val="111"/>
                        <w:sz w:val="20"/>
                      </w:rPr>
                      <w:t>o</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2"/>
                        <w:w w:val="93"/>
                        <w:sz w:val="20"/>
                      </w:rPr>
                      <w:t>r</w:t>
                    </w:r>
                    <w:r>
                      <w:rPr>
                        <w:rFonts w:ascii="Trebuchet MS"/>
                        <w:color w:val="231F20"/>
                        <w:spacing w:val="-2"/>
                        <w:w w:val="107"/>
                        <w:sz w:val="20"/>
                      </w:rPr>
                      <w:t>n</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4"/>
                        <w:w w:val="107"/>
                        <w:sz w:val="20"/>
                      </w:rPr>
                      <w:t>n</w:t>
                    </w:r>
                    <w:r>
                      <w:rPr>
                        <w:rFonts w:ascii="Trebuchet MS"/>
                        <w:color w:val="231F20"/>
                        <w:w w:val="88"/>
                        <w:sz w:val="20"/>
                      </w:rPr>
                      <w:t>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11"/>
                        <w:sz w:val="20"/>
                      </w:rPr>
                      <w:t>m</w:t>
                    </w:r>
                    <w:r>
                      <w:rPr>
                        <w:rFonts w:ascii="Trebuchet MS"/>
                        <w:color w:val="231F20"/>
                        <w:spacing w:val="-1"/>
                        <w:w w:val="108"/>
                        <w:sz w:val="20"/>
                      </w:rPr>
                      <w:t>e</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111"/>
                        <w:sz w:val="20"/>
                      </w:rPr>
                      <w:t>P</w:t>
                    </w:r>
                    <w:r>
                      <w:rPr>
                        <w:rFonts w:ascii="Trebuchet MS"/>
                        <w:color w:val="231F20"/>
                        <w:spacing w:val="-2"/>
                        <w:w w:val="105"/>
                        <w:sz w:val="20"/>
                      </w:rPr>
                      <w:t>a</w:t>
                    </w:r>
                    <w:r>
                      <w:rPr>
                        <w:rFonts w:ascii="Trebuchet MS"/>
                        <w:color w:val="231F20"/>
                        <w:spacing w:val="2"/>
                        <w:w w:val="93"/>
                        <w:sz w:val="20"/>
                      </w:rPr>
                      <w:t>r</w:t>
                    </w:r>
                    <w:r>
                      <w:rPr>
                        <w:rFonts w:ascii="Trebuchet MS"/>
                        <w:color w:val="231F20"/>
                        <w:w w:val="88"/>
                        <w:sz w:val="20"/>
                      </w:rPr>
                      <w:t>t</w:t>
                    </w:r>
                    <w:r>
                      <w:rPr>
                        <w:rFonts w:ascii="Trebuchet MS"/>
                        <w:color w:val="231F20"/>
                        <w:spacing w:val="-14"/>
                        <w:sz w:val="20"/>
                      </w:rPr>
                      <w:t xml:space="preserve"> </w:t>
                    </w:r>
                    <w:r>
                      <w:rPr>
                        <w:rFonts w:ascii="Trebuchet MS"/>
                        <w:color w:val="231F20"/>
                        <w:w w:val="114"/>
                        <w:sz w:val="20"/>
                      </w:rPr>
                      <w:t>8</w:t>
                    </w:r>
                    <w:r>
                      <w:rPr>
                        <w:rFonts w:ascii="Trebuchet MS"/>
                        <w:color w:val="231F20"/>
                        <w:spacing w:val="4"/>
                        <w:w w:val="55"/>
                        <w:sz w:val="20"/>
                      </w:rPr>
                      <w:t>.</w:t>
                    </w:r>
                    <w:r>
                      <w:rPr>
                        <w:rFonts w:ascii="Trebuchet MS"/>
                        <w:color w:val="231F20"/>
                        <w:spacing w:val="1"/>
                        <w:w w:val="102"/>
                        <w:sz w:val="20"/>
                      </w:rPr>
                      <w:t>2</w:t>
                    </w:r>
                    <w:r>
                      <w:rPr>
                        <w:rFonts w:ascii="Trebuchet MS"/>
                        <w:color w:val="231F20"/>
                        <w:w w:val="57"/>
                        <w:sz w:val="20"/>
                      </w:rPr>
                      <w:t>,</w:t>
                    </w:r>
                    <w:r>
                      <w:rPr>
                        <w:rFonts w:ascii="Trebuchet MS"/>
                        <w:color w:val="231F20"/>
                        <w:spacing w:val="-14"/>
                        <w:sz w:val="20"/>
                      </w:rPr>
                      <w:t xml:space="preserve"> </w:t>
                    </w:r>
                    <w:r>
                      <w:rPr>
                        <w:rFonts w:ascii="Trebuchet MS"/>
                        <w:color w:val="231F20"/>
                        <w:w w:val="116"/>
                        <w:sz w:val="20"/>
                      </w:rPr>
                      <w:t>D</w:t>
                    </w:r>
                    <w:r>
                      <w:rPr>
                        <w:rFonts w:ascii="Trebuchet MS"/>
                        <w:color w:val="231F20"/>
                        <w:spacing w:val="-2"/>
                        <w:w w:val="80"/>
                        <w:sz w:val="20"/>
                      </w:rPr>
                      <w:t>i</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22"/>
                        <w:sz w:val="20"/>
                      </w:rPr>
                      <w:t>s</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w w:val="102"/>
                        <w:sz w:val="20"/>
                      </w:rPr>
                      <w:t>3</w:t>
                    </w:r>
                    <w:r>
                      <w:rPr>
                        <w:rFonts w:ascii="Trebuchet MS"/>
                        <w:color w:val="231F20"/>
                        <w:spacing w:val="-14"/>
                        <w:sz w:val="20"/>
                      </w:rPr>
                      <w:t xml:space="preserve">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Arial"/>
                        <w:i/>
                        <w:color w:val="231F20"/>
                        <w:spacing w:val="-2"/>
                        <w:w w:val="90"/>
                        <w:sz w:val="20"/>
                      </w:rPr>
                      <w:t>C</w:t>
                    </w:r>
                    <w:r>
                      <w:rPr>
                        <w:rFonts w:ascii="Arial"/>
                        <w:i/>
                        <w:color w:val="231F20"/>
                        <w:spacing w:val="-3"/>
                        <w:w w:val="106"/>
                        <w:sz w:val="20"/>
                      </w:rPr>
                      <w:t>r</w:t>
                    </w:r>
                    <w:r>
                      <w:rPr>
                        <w:rFonts w:ascii="Arial"/>
                        <w:i/>
                        <w:color w:val="231F20"/>
                        <w:spacing w:val="-1"/>
                        <w:w w:val="105"/>
                        <w:sz w:val="20"/>
                      </w:rPr>
                      <w:t>im</w:t>
                    </w:r>
                    <w:r>
                      <w:rPr>
                        <w:rFonts w:ascii="Arial"/>
                        <w:i/>
                        <w:color w:val="231F20"/>
                        <w:spacing w:val="-1"/>
                        <w:w w:val="104"/>
                        <w:sz w:val="20"/>
                      </w:rPr>
                      <w:t>ina</w:t>
                    </w:r>
                    <w:r>
                      <w:rPr>
                        <w:rFonts w:ascii="Arial"/>
                        <w:i/>
                        <w:color w:val="231F20"/>
                        <w:w w:val="126"/>
                        <w:sz w:val="20"/>
                      </w:rPr>
                      <w:t xml:space="preserve">l </w:t>
                    </w:r>
                    <w:r>
                      <w:rPr>
                        <w:rFonts w:ascii="Arial"/>
                        <w:i/>
                        <w:color w:val="231F20"/>
                        <w:spacing w:val="-3"/>
                        <w:w w:val="105"/>
                        <w:sz w:val="20"/>
                      </w:rPr>
                      <w:t xml:space="preserve">Procedure </w:t>
                    </w:r>
                    <w:r>
                      <w:rPr>
                        <w:rFonts w:ascii="Arial"/>
                        <w:i/>
                        <w:color w:val="231F20"/>
                        <w:w w:val="105"/>
                        <w:sz w:val="20"/>
                      </w:rPr>
                      <w:t xml:space="preserve">Act 2009 </w:t>
                    </w:r>
                    <w:r>
                      <w:rPr>
                        <w:rFonts w:ascii="Trebuchet MS"/>
                        <w:color w:val="231F20"/>
                        <w:w w:val="105"/>
                        <w:sz w:val="20"/>
                      </w:rPr>
                      <w:t xml:space="preserve">(Vic) so that the Division on </w:t>
                    </w:r>
                    <w:r>
                      <w:rPr>
                        <w:rFonts w:ascii="Trebuchet MS"/>
                        <w:color w:val="231F20"/>
                        <w:spacing w:val="-3"/>
                        <w:w w:val="105"/>
                        <w:sz w:val="20"/>
                      </w:rPr>
                      <w:t xml:space="preserve">cross-examination </w:t>
                    </w:r>
                    <w:r>
                      <w:rPr>
                        <w:rFonts w:ascii="Trebuchet MS"/>
                        <w:color w:val="231F20"/>
                        <w:w w:val="105"/>
                        <w:sz w:val="20"/>
                      </w:rPr>
                      <w:t xml:space="preserve">of </w:t>
                    </w:r>
                    <w:r>
                      <w:rPr>
                        <w:rFonts w:ascii="Trebuchet MS"/>
                        <w:color w:val="231F20"/>
                        <w:spacing w:val="-3"/>
                        <w:w w:val="105"/>
                        <w:sz w:val="20"/>
                      </w:rPr>
                      <w:t xml:space="preserve">protected </w:t>
                    </w:r>
                    <w:r>
                      <w:rPr>
                        <w:rFonts w:ascii="Trebuchet MS"/>
                        <w:color w:val="231F20"/>
                        <w:w w:val="105"/>
                        <w:sz w:val="20"/>
                      </w:rPr>
                      <w:t>witnesses</w:t>
                    </w:r>
                    <w:r>
                      <w:rPr>
                        <w:rFonts w:ascii="Trebuchet MS"/>
                        <w:color w:val="231F20"/>
                        <w:spacing w:val="-23"/>
                        <w:w w:val="105"/>
                        <w:sz w:val="20"/>
                      </w:rPr>
                      <w:t xml:space="preserve"> </w:t>
                    </w:r>
                    <w:r>
                      <w:rPr>
                        <w:rFonts w:ascii="Trebuchet MS"/>
                        <w:color w:val="231F20"/>
                        <w:w w:val="105"/>
                        <w:sz w:val="20"/>
                      </w:rPr>
                      <w:t>applies</w:t>
                    </w:r>
                    <w:r>
                      <w:rPr>
                        <w:rFonts w:ascii="Trebuchet MS"/>
                        <w:color w:val="231F20"/>
                        <w:spacing w:val="-22"/>
                        <w:w w:val="105"/>
                        <w:sz w:val="20"/>
                      </w:rPr>
                      <w:t xml:space="preserve"> </w:t>
                    </w:r>
                    <w:r>
                      <w:rPr>
                        <w:rFonts w:ascii="Trebuchet MS"/>
                        <w:color w:val="231F20"/>
                        <w:w w:val="105"/>
                        <w:sz w:val="20"/>
                      </w:rPr>
                      <w:t>to</w:t>
                    </w:r>
                    <w:r>
                      <w:rPr>
                        <w:rFonts w:ascii="Trebuchet MS"/>
                        <w:color w:val="231F20"/>
                        <w:spacing w:val="-23"/>
                        <w:w w:val="105"/>
                        <w:sz w:val="20"/>
                      </w:rPr>
                      <w:t xml:space="preserve"> </w:t>
                    </w:r>
                    <w:r>
                      <w:rPr>
                        <w:rFonts w:ascii="Trebuchet MS"/>
                        <w:color w:val="231F20"/>
                        <w:w w:val="105"/>
                        <w:sz w:val="20"/>
                      </w:rPr>
                      <w:t>a</w:t>
                    </w:r>
                    <w:r>
                      <w:rPr>
                        <w:rFonts w:ascii="Trebuchet MS"/>
                        <w:color w:val="231F20"/>
                        <w:spacing w:val="-22"/>
                        <w:w w:val="105"/>
                        <w:sz w:val="20"/>
                      </w:rPr>
                      <w:t xml:space="preserve"> </w:t>
                    </w:r>
                    <w:r>
                      <w:rPr>
                        <w:rFonts w:ascii="Trebuchet MS"/>
                        <w:color w:val="231F20"/>
                        <w:w w:val="105"/>
                        <w:sz w:val="20"/>
                      </w:rPr>
                      <w:t>criminal</w:t>
                    </w:r>
                    <w:r>
                      <w:rPr>
                        <w:rFonts w:ascii="Trebuchet MS"/>
                        <w:color w:val="231F20"/>
                        <w:spacing w:val="-23"/>
                        <w:w w:val="105"/>
                        <w:sz w:val="20"/>
                      </w:rPr>
                      <w:t xml:space="preserve"> </w:t>
                    </w:r>
                    <w:r>
                      <w:rPr>
                        <w:rFonts w:ascii="Trebuchet MS"/>
                        <w:color w:val="231F20"/>
                        <w:w w:val="105"/>
                        <w:sz w:val="20"/>
                      </w:rPr>
                      <w:t>proceeding</w:t>
                    </w:r>
                    <w:r>
                      <w:rPr>
                        <w:rFonts w:ascii="Trebuchet MS"/>
                        <w:color w:val="231F20"/>
                        <w:spacing w:val="-22"/>
                        <w:w w:val="105"/>
                        <w:sz w:val="20"/>
                      </w:rPr>
                      <w:t xml:space="preserve"> </w:t>
                    </w:r>
                    <w:r>
                      <w:rPr>
                        <w:rFonts w:ascii="Trebuchet MS"/>
                        <w:color w:val="231F20"/>
                        <w:w w:val="105"/>
                        <w:sz w:val="20"/>
                      </w:rPr>
                      <w:t>that</w:t>
                    </w:r>
                    <w:r>
                      <w:rPr>
                        <w:rFonts w:ascii="Trebuchet MS"/>
                        <w:color w:val="231F20"/>
                        <w:spacing w:val="-23"/>
                        <w:w w:val="105"/>
                        <w:sz w:val="20"/>
                      </w:rPr>
                      <w:t xml:space="preserve"> </w:t>
                    </w:r>
                    <w:r>
                      <w:rPr>
                        <w:rFonts w:ascii="Trebuchet MS"/>
                        <w:color w:val="231F20"/>
                        <w:w w:val="105"/>
                        <w:sz w:val="20"/>
                      </w:rPr>
                      <w:t>relates</w:t>
                    </w:r>
                    <w:r>
                      <w:rPr>
                        <w:rFonts w:ascii="Trebuchet MS"/>
                        <w:color w:val="231F20"/>
                        <w:spacing w:val="-22"/>
                        <w:w w:val="105"/>
                        <w:sz w:val="20"/>
                      </w:rPr>
                      <w:t xml:space="preserve"> </w:t>
                    </w:r>
                    <w:r>
                      <w:rPr>
                        <w:rFonts w:ascii="Trebuchet MS"/>
                        <w:color w:val="231F20"/>
                        <w:spacing w:val="-3"/>
                        <w:w w:val="105"/>
                        <w:sz w:val="20"/>
                      </w:rPr>
                      <w:t>(wholly</w:t>
                    </w:r>
                    <w:r>
                      <w:rPr>
                        <w:rFonts w:ascii="Trebuchet MS"/>
                        <w:color w:val="231F20"/>
                        <w:spacing w:val="-22"/>
                        <w:w w:val="105"/>
                        <w:sz w:val="20"/>
                      </w:rPr>
                      <w:t xml:space="preserve"> </w:t>
                    </w:r>
                    <w:r>
                      <w:rPr>
                        <w:rFonts w:ascii="Trebuchet MS"/>
                        <w:color w:val="231F20"/>
                        <w:w w:val="105"/>
                        <w:sz w:val="20"/>
                      </w:rPr>
                      <w:t>or</w:t>
                    </w:r>
                    <w:r>
                      <w:rPr>
                        <w:rFonts w:ascii="Trebuchet MS"/>
                        <w:color w:val="231F20"/>
                        <w:spacing w:val="-23"/>
                        <w:w w:val="105"/>
                        <w:sz w:val="20"/>
                      </w:rPr>
                      <w:t xml:space="preserve"> </w:t>
                    </w:r>
                    <w:r>
                      <w:rPr>
                        <w:rFonts w:ascii="Trebuchet MS"/>
                        <w:color w:val="231F20"/>
                        <w:spacing w:val="-3"/>
                        <w:w w:val="105"/>
                        <w:sz w:val="20"/>
                      </w:rPr>
                      <w:t>partly)</w:t>
                    </w:r>
                    <w:r>
                      <w:rPr>
                        <w:rFonts w:ascii="Trebuchet MS"/>
                        <w:color w:val="231F20"/>
                        <w:spacing w:val="-22"/>
                        <w:w w:val="105"/>
                        <w:sz w:val="20"/>
                      </w:rPr>
                      <w:t xml:space="preserve"> </w:t>
                    </w:r>
                    <w:r>
                      <w:rPr>
                        <w:rFonts w:ascii="Trebuchet MS"/>
                        <w:color w:val="231F20"/>
                        <w:w w:val="105"/>
                        <w:sz w:val="20"/>
                      </w:rPr>
                      <w:t>to</w:t>
                    </w:r>
                    <w:r>
                      <w:rPr>
                        <w:rFonts w:ascii="Trebuchet MS"/>
                        <w:color w:val="231F20"/>
                        <w:spacing w:val="-23"/>
                        <w:w w:val="105"/>
                        <w:sz w:val="20"/>
                      </w:rPr>
                      <w:t xml:space="preserve"> </w:t>
                    </w:r>
                    <w:r>
                      <w:rPr>
                        <w:rFonts w:ascii="Trebuchet MS"/>
                        <w:color w:val="231F20"/>
                        <w:w w:val="105"/>
                        <w:sz w:val="20"/>
                      </w:rPr>
                      <w:t>a</w:t>
                    </w:r>
                    <w:r>
                      <w:rPr>
                        <w:rFonts w:ascii="Trebuchet MS"/>
                        <w:color w:val="231F20"/>
                        <w:spacing w:val="-22"/>
                        <w:w w:val="105"/>
                        <w:sz w:val="20"/>
                      </w:rPr>
                      <w:t xml:space="preserve"> </w:t>
                    </w:r>
                    <w:r>
                      <w:rPr>
                        <w:rFonts w:ascii="Trebuchet MS"/>
                        <w:color w:val="231F20"/>
                        <w:w w:val="105"/>
                        <w:sz w:val="20"/>
                      </w:rPr>
                      <w:t xml:space="preserve">charge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spacing w:val="-1"/>
                        <w:w w:val="124"/>
                        <w:sz w:val="20"/>
                      </w:rPr>
                      <w:t>g</w:t>
                    </w:r>
                    <w:r>
                      <w:rPr>
                        <w:rFonts w:ascii="Trebuchet MS"/>
                        <w:color w:val="231F20"/>
                        <w:w w:val="55"/>
                        <w:sz w:val="20"/>
                      </w:rPr>
                      <w:t>.</w:t>
                    </w:r>
                  </w:p>
                  <w:p w14:paraId="29828FD7" w14:textId="77777777" w:rsidR="00894070" w:rsidRDefault="009B7AFD">
                    <w:pPr>
                      <w:spacing w:before="88" w:line="247" w:lineRule="auto"/>
                      <w:rPr>
                        <w:rFonts w:ascii="Trebuchet MS"/>
                        <w:sz w:val="20"/>
                      </w:rPr>
                    </w:pPr>
                    <w:r>
                      <w:rPr>
                        <w:rFonts w:ascii="Trebuchet MS"/>
                        <w:color w:val="231F20"/>
                        <w:w w:val="105"/>
                        <w:sz w:val="20"/>
                      </w:rPr>
                      <w:t xml:space="preserve">The Victorian </w:t>
                    </w:r>
                    <w:r>
                      <w:rPr>
                        <w:rFonts w:ascii="Trebuchet MS"/>
                        <w:color w:val="231F20"/>
                        <w:spacing w:val="-3"/>
                        <w:w w:val="105"/>
                        <w:sz w:val="20"/>
                      </w:rPr>
                      <w:t xml:space="preserve">Government </w:t>
                    </w:r>
                    <w:r>
                      <w:rPr>
                        <w:rFonts w:ascii="Trebuchet MS"/>
                        <w:color w:val="231F20"/>
                        <w:w w:val="105"/>
                        <w:sz w:val="20"/>
                      </w:rPr>
                      <w:t xml:space="preserve">should ensure that Victoria Legal Aid is resourced to </w:t>
                    </w:r>
                    <w:r>
                      <w:rPr>
                        <w:rFonts w:ascii="Trebuchet MS"/>
                        <w:color w:val="231F20"/>
                        <w:spacing w:val="-3"/>
                        <w:w w:val="105"/>
                        <w:sz w:val="20"/>
                      </w:rPr>
                      <w:t>provide</w:t>
                    </w:r>
                    <w:r>
                      <w:rPr>
                        <w:rFonts w:ascii="Trebuchet MS"/>
                        <w:color w:val="231F20"/>
                        <w:spacing w:val="-15"/>
                        <w:w w:val="105"/>
                        <w:sz w:val="20"/>
                      </w:rPr>
                      <w:t xml:space="preserve"> </w:t>
                    </w:r>
                    <w:r>
                      <w:rPr>
                        <w:rFonts w:ascii="Trebuchet MS"/>
                        <w:color w:val="231F20"/>
                        <w:w w:val="105"/>
                        <w:sz w:val="20"/>
                      </w:rPr>
                      <w:t>legal</w:t>
                    </w:r>
                    <w:r>
                      <w:rPr>
                        <w:rFonts w:ascii="Trebuchet MS"/>
                        <w:color w:val="231F20"/>
                        <w:spacing w:val="-15"/>
                        <w:w w:val="105"/>
                        <w:sz w:val="20"/>
                      </w:rPr>
                      <w:t xml:space="preserve"> </w:t>
                    </w:r>
                    <w:r>
                      <w:rPr>
                        <w:rFonts w:ascii="Trebuchet MS"/>
                        <w:color w:val="231F20"/>
                        <w:w w:val="105"/>
                        <w:sz w:val="20"/>
                      </w:rPr>
                      <w:t>representation</w:t>
                    </w:r>
                    <w:r>
                      <w:rPr>
                        <w:rFonts w:ascii="Trebuchet MS"/>
                        <w:color w:val="231F20"/>
                        <w:spacing w:val="-15"/>
                        <w:w w:val="105"/>
                        <w:sz w:val="20"/>
                      </w:rPr>
                      <w:t xml:space="preserve"> </w:t>
                    </w:r>
                    <w:r>
                      <w:rPr>
                        <w:rFonts w:ascii="Trebuchet MS"/>
                        <w:color w:val="231F20"/>
                        <w:w w:val="105"/>
                        <w:sz w:val="20"/>
                      </w:rPr>
                      <w:t>to</w:t>
                    </w:r>
                    <w:r>
                      <w:rPr>
                        <w:rFonts w:ascii="Trebuchet MS"/>
                        <w:color w:val="231F20"/>
                        <w:spacing w:val="-14"/>
                        <w:w w:val="105"/>
                        <w:sz w:val="20"/>
                      </w:rPr>
                      <w:t xml:space="preserve"> </w:t>
                    </w:r>
                    <w:r>
                      <w:rPr>
                        <w:rFonts w:ascii="Trebuchet MS"/>
                        <w:color w:val="231F20"/>
                        <w:w w:val="105"/>
                        <w:sz w:val="20"/>
                      </w:rPr>
                      <w:t>unrepresented</w:t>
                    </w:r>
                    <w:r>
                      <w:rPr>
                        <w:rFonts w:ascii="Trebuchet MS"/>
                        <w:color w:val="231F20"/>
                        <w:spacing w:val="-15"/>
                        <w:w w:val="105"/>
                        <w:sz w:val="20"/>
                      </w:rPr>
                      <w:t xml:space="preserve"> </w:t>
                    </w:r>
                    <w:r>
                      <w:rPr>
                        <w:rFonts w:ascii="Trebuchet MS"/>
                        <w:color w:val="231F20"/>
                        <w:w w:val="105"/>
                        <w:sz w:val="20"/>
                      </w:rPr>
                      <w:t>accused</w:t>
                    </w:r>
                    <w:r>
                      <w:rPr>
                        <w:rFonts w:ascii="Trebuchet MS"/>
                        <w:color w:val="231F20"/>
                        <w:spacing w:val="-15"/>
                        <w:w w:val="105"/>
                        <w:sz w:val="20"/>
                      </w:rPr>
                      <w:t xml:space="preserve"> </w:t>
                    </w:r>
                    <w:r>
                      <w:rPr>
                        <w:rFonts w:ascii="Trebuchet MS"/>
                        <w:color w:val="231F20"/>
                        <w:w w:val="105"/>
                        <w:sz w:val="20"/>
                      </w:rPr>
                      <w:t>in</w:t>
                    </w:r>
                    <w:r>
                      <w:rPr>
                        <w:rFonts w:ascii="Trebuchet MS"/>
                        <w:color w:val="231F20"/>
                        <w:spacing w:val="-15"/>
                        <w:w w:val="105"/>
                        <w:sz w:val="20"/>
                      </w:rPr>
                      <w:t xml:space="preserve"> </w:t>
                    </w:r>
                    <w:r>
                      <w:rPr>
                        <w:rFonts w:ascii="Trebuchet MS"/>
                        <w:color w:val="231F20"/>
                        <w:spacing w:val="-3"/>
                        <w:w w:val="105"/>
                        <w:sz w:val="20"/>
                      </w:rPr>
                      <w:t>accordance</w:t>
                    </w:r>
                    <w:r>
                      <w:rPr>
                        <w:rFonts w:ascii="Trebuchet MS"/>
                        <w:color w:val="231F20"/>
                        <w:spacing w:val="-14"/>
                        <w:w w:val="105"/>
                        <w:sz w:val="20"/>
                      </w:rPr>
                      <w:t xml:space="preserve"> </w:t>
                    </w:r>
                    <w:r>
                      <w:rPr>
                        <w:rFonts w:ascii="Trebuchet MS"/>
                        <w:color w:val="231F20"/>
                        <w:w w:val="105"/>
                        <w:sz w:val="20"/>
                      </w:rPr>
                      <w:t>with</w:t>
                    </w:r>
                    <w:r>
                      <w:rPr>
                        <w:rFonts w:ascii="Trebuchet MS"/>
                        <w:color w:val="231F20"/>
                        <w:spacing w:val="-15"/>
                        <w:w w:val="105"/>
                        <w:sz w:val="20"/>
                      </w:rPr>
                      <w:t xml:space="preserve"> </w:t>
                    </w:r>
                    <w:r>
                      <w:rPr>
                        <w:rFonts w:ascii="Trebuchet MS"/>
                        <w:color w:val="231F20"/>
                        <w:w w:val="105"/>
                        <w:sz w:val="20"/>
                      </w:rPr>
                      <w:t>section 357(2)</w:t>
                    </w:r>
                    <w:r>
                      <w:rPr>
                        <w:rFonts w:ascii="Trebuchet MS"/>
                        <w:color w:val="231F20"/>
                        <w:spacing w:val="-20"/>
                        <w:w w:val="105"/>
                        <w:sz w:val="20"/>
                      </w:rPr>
                      <w:t xml:space="preserve"> </w:t>
                    </w:r>
                    <w:r>
                      <w:rPr>
                        <w:rFonts w:ascii="Trebuchet MS"/>
                        <w:color w:val="231F20"/>
                        <w:w w:val="105"/>
                        <w:sz w:val="20"/>
                      </w:rPr>
                      <w:t>of</w:t>
                    </w:r>
                    <w:r>
                      <w:rPr>
                        <w:rFonts w:ascii="Trebuchet MS"/>
                        <w:color w:val="231F20"/>
                        <w:spacing w:val="-20"/>
                        <w:w w:val="105"/>
                        <w:sz w:val="20"/>
                      </w:rPr>
                      <w:t xml:space="preserve"> </w:t>
                    </w:r>
                    <w:r>
                      <w:rPr>
                        <w:rFonts w:ascii="Trebuchet MS"/>
                        <w:color w:val="231F20"/>
                        <w:w w:val="105"/>
                        <w:sz w:val="20"/>
                      </w:rPr>
                      <w:t>the</w:t>
                    </w:r>
                    <w:r>
                      <w:rPr>
                        <w:rFonts w:ascii="Trebuchet MS"/>
                        <w:color w:val="231F20"/>
                        <w:spacing w:val="-19"/>
                        <w:w w:val="105"/>
                        <w:sz w:val="20"/>
                      </w:rPr>
                      <w:t xml:space="preserve"> </w:t>
                    </w:r>
                    <w:r>
                      <w:rPr>
                        <w:rFonts w:ascii="Arial"/>
                        <w:i/>
                        <w:color w:val="231F20"/>
                        <w:w w:val="105"/>
                        <w:sz w:val="20"/>
                      </w:rPr>
                      <w:t>Criminal</w:t>
                    </w:r>
                    <w:r>
                      <w:rPr>
                        <w:rFonts w:ascii="Arial"/>
                        <w:i/>
                        <w:color w:val="231F20"/>
                        <w:spacing w:val="-17"/>
                        <w:w w:val="105"/>
                        <w:sz w:val="20"/>
                      </w:rPr>
                      <w:t xml:space="preserve"> </w:t>
                    </w:r>
                    <w:r>
                      <w:rPr>
                        <w:rFonts w:ascii="Arial"/>
                        <w:i/>
                        <w:color w:val="231F20"/>
                        <w:spacing w:val="-3"/>
                        <w:w w:val="105"/>
                        <w:sz w:val="20"/>
                      </w:rPr>
                      <w:t>Procedure</w:t>
                    </w:r>
                    <w:r>
                      <w:rPr>
                        <w:rFonts w:ascii="Arial"/>
                        <w:i/>
                        <w:color w:val="231F20"/>
                        <w:spacing w:val="-16"/>
                        <w:w w:val="105"/>
                        <w:sz w:val="20"/>
                      </w:rPr>
                      <w:t xml:space="preserve"> </w:t>
                    </w:r>
                    <w:r>
                      <w:rPr>
                        <w:rFonts w:ascii="Arial"/>
                        <w:i/>
                        <w:color w:val="231F20"/>
                        <w:w w:val="105"/>
                        <w:sz w:val="20"/>
                      </w:rPr>
                      <w:t>Act</w:t>
                    </w:r>
                    <w:r>
                      <w:rPr>
                        <w:rFonts w:ascii="Arial"/>
                        <w:i/>
                        <w:color w:val="231F20"/>
                        <w:spacing w:val="-16"/>
                        <w:w w:val="105"/>
                        <w:sz w:val="20"/>
                      </w:rPr>
                      <w:t xml:space="preserve"> </w:t>
                    </w:r>
                    <w:r>
                      <w:rPr>
                        <w:rFonts w:ascii="Arial"/>
                        <w:i/>
                        <w:color w:val="231F20"/>
                        <w:w w:val="105"/>
                        <w:sz w:val="20"/>
                      </w:rPr>
                      <w:t>2009</w:t>
                    </w:r>
                    <w:r>
                      <w:rPr>
                        <w:rFonts w:ascii="Arial"/>
                        <w:i/>
                        <w:color w:val="231F20"/>
                        <w:spacing w:val="-15"/>
                        <w:w w:val="105"/>
                        <w:sz w:val="20"/>
                      </w:rPr>
                      <w:t xml:space="preserve"> </w:t>
                    </w:r>
                    <w:r>
                      <w:rPr>
                        <w:rFonts w:ascii="Trebuchet MS"/>
                        <w:color w:val="231F20"/>
                        <w:spacing w:val="-3"/>
                        <w:w w:val="105"/>
                        <w:sz w:val="20"/>
                      </w:rPr>
                      <w:t>(Vic).</w:t>
                    </w:r>
                  </w:p>
                </w:txbxContent>
              </v:textbox>
            </v:shape>
            <v:shape id="_x0000_s1104" type="#_x0000_t202" style="position:absolute;left:1814;top:1333;width:281;height:1280" filled="f" stroked="f">
              <v:textbox inset="0,0,0,0">
                <w:txbxContent>
                  <w:p w14:paraId="5296BE5A" w14:textId="77777777" w:rsidR="00894070" w:rsidRDefault="009B7AFD">
                    <w:pPr>
                      <w:rPr>
                        <w:rFonts w:ascii="Trebuchet MS"/>
                        <w:sz w:val="20"/>
                      </w:rPr>
                    </w:pPr>
                    <w:r>
                      <w:rPr>
                        <w:rFonts w:ascii="Trebuchet MS"/>
                        <w:color w:val="231F20"/>
                        <w:w w:val="90"/>
                        <w:sz w:val="20"/>
                      </w:rPr>
                      <w:t>41.</w:t>
                    </w:r>
                  </w:p>
                  <w:p w14:paraId="7C11557D" w14:textId="77777777" w:rsidR="00894070" w:rsidRDefault="00894070"/>
                  <w:p w14:paraId="40099199" w14:textId="77777777" w:rsidR="00894070" w:rsidRDefault="00894070"/>
                  <w:p w14:paraId="4A2377B8" w14:textId="77777777" w:rsidR="00894070" w:rsidRDefault="00894070">
                    <w:pPr>
                      <w:spacing w:before="7"/>
                      <w:rPr>
                        <w:sz w:val="14"/>
                      </w:rPr>
                    </w:pPr>
                  </w:p>
                  <w:p w14:paraId="4DB49F37" w14:textId="77777777" w:rsidR="00894070" w:rsidRDefault="009B7AFD">
                    <w:pPr>
                      <w:spacing w:before="1"/>
                      <w:rPr>
                        <w:rFonts w:ascii="Trebuchet MS"/>
                        <w:sz w:val="20"/>
                      </w:rPr>
                    </w:pPr>
                    <w:r>
                      <w:rPr>
                        <w:rFonts w:ascii="Trebuchet MS"/>
                        <w:color w:val="231F20"/>
                        <w:w w:val="95"/>
                        <w:sz w:val="20"/>
                      </w:rPr>
                      <w:t>42.</w:t>
                    </w:r>
                  </w:p>
                </w:txbxContent>
              </v:textbox>
            </v:shape>
            <v:shape id="_x0000_s1103" type="#_x0000_t202" style="position:absolute;left:1587;top:300;width:8731;height:783" fillcolor="#fee7de" stroked="f">
              <v:textbox inset="0,0,0,0">
                <w:txbxContent>
                  <w:p w14:paraId="11F4AAA2" w14:textId="77777777" w:rsidR="00894070" w:rsidRDefault="009B7AFD">
                    <w:pPr>
                      <w:spacing w:before="158"/>
                      <w:ind w:left="226"/>
                      <w:rPr>
                        <w:rFonts w:ascii="Raleway ExtraBold"/>
                        <w:b/>
                        <w:sz w:val="32"/>
                      </w:rPr>
                    </w:pPr>
                    <w:r>
                      <w:rPr>
                        <w:rFonts w:ascii="Raleway ExtraBold"/>
                        <w:b/>
                        <w:color w:val="EA5B50"/>
                        <w:sz w:val="32"/>
                      </w:rPr>
                      <w:t>Recommendations</w:t>
                    </w:r>
                  </w:p>
                </w:txbxContent>
              </v:textbox>
            </v:shape>
            <w10:wrap type="topAndBottom" anchorx="page"/>
          </v:group>
        </w:pict>
      </w:r>
    </w:p>
    <w:p w14:paraId="03CEE944" w14:textId="77777777" w:rsidR="00894070" w:rsidRDefault="00894070">
      <w:pPr>
        <w:pStyle w:val="BodyText"/>
      </w:pPr>
    </w:p>
    <w:p w14:paraId="33D78CA0" w14:textId="77777777" w:rsidR="00894070" w:rsidRDefault="00894070">
      <w:pPr>
        <w:pStyle w:val="BodyText"/>
      </w:pPr>
    </w:p>
    <w:p w14:paraId="6F3AB56E" w14:textId="77777777" w:rsidR="00894070" w:rsidRDefault="00894070">
      <w:pPr>
        <w:pStyle w:val="BodyText"/>
      </w:pPr>
    </w:p>
    <w:p w14:paraId="3A4F3EF6" w14:textId="77777777" w:rsidR="00894070" w:rsidRDefault="00894070">
      <w:pPr>
        <w:pStyle w:val="BodyText"/>
      </w:pPr>
    </w:p>
    <w:p w14:paraId="0D2F42E7" w14:textId="77777777" w:rsidR="00894070" w:rsidRDefault="00894070">
      <w:pPr>
        <w:pStyle w:val="BodyText"/>
      </w:pPr>
    </w:p>
    <w:p w14:paraId="69266218" w14:textId="77777777" w:rsidR="00894070" w:rsidRDefault="00894070">
      <w:pPr>
        <w:pStyle w:val="BodyText"/>
      </w:pPr>
    </w:p>
    <w:p w14:paraId="008E2C2F" w14:textId="77777777" w:rsidR="00894070" w:rsidRDefault="00894070">
      <w:pPr>
        <w:pStyle w:val="BodyText"/>
      </w:pPr>
    </w:p>
    <w:p w14:paraId="6941A50B" w14:textId="77777777" w:rsidR="00894070" w:rsidRDefault="00894070">
      <w:pPr>
        <w:pStyle w:val="BodyText"/>
      </w:pPr>
    </w:p>
    <w:p w14:paraId="16658A04" w14:textId="77777777" w:rsidR="00894070" w:rsidRDefault="00894070">
      <w:pPr>
        <w:pStyle w:val="BodyText"/>
      </w:pPr>
    </w:p>
    <w:p w14:paraId="506C736D" w14:textId="77777777" w:rsidR="00894070" w:rsidRDefault="009F6793">
      <w:pPr>
        <w:pStyle w:val="BodyText"/>
        <w:spacing w:before="8"/>
        <w:rPr>
          <w:sz w:val="19"/>
        </w:rPr>
      </w:pPr>
      <w:r>
        <w:pict w14:anchorId="091D83CA">
          <v:line id="_x0000_s1101" style="position:absolute;z-index:251759616;mso-wrap-distance-left:0;mso-wrap-distance-right:0;mso-position-horizontal-relative:page" from="79.35pt,16.1pt" to="515.9pt,16.1pt" strokecolor="#f8cabc" strokeweight="1pt">
            <w10:wrap type="topAndBottom" anchorx="page"/>
          </v:line>
        </w:pict>
      </w:r>
    </w:p>
    <w:p w14:paraId="6B94EA5F" w14:textId="77777777" w:rsidR="00894070" w:rsidRDefault="00894070">
      <w:pPr>
        <w:pStyle w:val="BodyText"/>
        <w:rPr>
          <w:sz w:val="5"/>
        </w:rPr>
      </w:pPr>
    </w:p>
    <w:p w14:paraId="4AF02D2E" w14:textId="77777777" w:rsidR="00894070" w:rsidRDefault="00894070">
      <w:pPr>
        <w:rPr>
          <w:sz w:val="5"/>
        </w:rPr>
        <w:sectPr w:rsidR="00894070">
          <w:pgSz w:w="11910" w:h="16840"/>
          <w:pgMar w:top="860" w:right="420" w:bottom="280" w:left="580" w:header="567" w:footer="0" w:gutter="0"/>
          <w:cols w:space="720"/>
        </w:sectPr>
      </w:pPr>
    </w:p>
    <w:p w14:paraId="7B02227C" w14:textId="77777777" w:rsidR="00894070" w:rsidRDefault="00894070">
      <w:pPr>
        <w:pStyle w:val="BodyText"/>
        <w:rPr>
          <w:sz w:val="28"/>
        </w:rPr>
      </w:pPr>
    </w:p>
    <w:p w14:paraId="1BF1FB04" w14:textId="77777777" w:rsidR="00894070" w:rsidRDefault="00894070">
      <w:pPr>
        <w:pStyle w:val="BodyText"/>
        <w:spacing w:before="8"/>
        <w:rPr>
          <w:sz w:val="33"/>
        </w:rPr>
      </w:pPr>
    </w:p>
    <w:p w14:paraId="2D37879F" w14:textId="77777777" w:rsidR="00894070" w:rsidRDefault="009B7AFD">
      <w:pPr>
        <w:pStyle w:val="Heading8"/>
        <w:ind w:left="140"/>
      </w:pPr>
      <w:r>
        <w:rPr>
          <w:color w:val="EA5B50"/>
        </w:rPr>
        <w:t>160</w:t>
      </w:r>
    </w:p>
    <w:p w14:paraId="465A96F5" w14:textId="77777777" w:rsidR="00894070" w:rsidRDefault="009B7AFD">
      <w:pPr>
        <w:pStyle w:val="ListParagraph"/>
        <w:numPr>
          <w:ilvl w:val="0"/>
          <w:numId w:val="34"/>
        </w:numPr>
        <w:tabs>
          <w:tab w:val="left" w:pos="933"/>
          <w:tab w:val="left" w:pos="934"/>
        </w:tabs>
        <w:spacing w:before="21" w:line="170" w:lineRule="exact"/>
        <w:ind w:hanging="793"/>
        <w:rPr>
          <w:sz w:val="13"/>
        </w:rPr>
      </w:pPr>
      <w:r>
        <w:rPr>
          <w:color w:val="231F20"/>
          <w:spacing w:val="3"/>
          <w:sz w:val="13"/>
        </w:rPr>
        <w:br w:type="column"/>
      </w:r>
      <w:r>
        <w:rPr>
          <w:color w:val="231F20"/>
          <w:sz w:val="13"/>
        </w:rPr>
        <w:t xml:space="preserve">Consultation 4 (Sexual </w:t>
      </w:r>
      <w:r>
        <w:rPr>
          <w:color w:val="231F20"/>
          <w:spacing w:val="2"/>
          <w:sz w:val="13"/>
        </w:rPr>
        <w:t>Assault Services</w:t>
      </w:r>
      <w:r>
        <w:rPr>
          <w:color w:val="231F20"/>
          <w:spacing w:val="-1"/>
          <w:sz w:val="13"/>
        </w:rPr>
        <w:t xml:space="preserve"> </w:t>
      </w:r>
      <w:r>
        <w:rPr>
          <w:color w:val="231F20"/>
          <w:sz w:val="13"/>
        </w:rPr>
        <w:t>Network).</w:t>
      </w:r>
    </w:p>
    <w:p w14:paraId="1C5E17B0" w14:textId="77777777" w:rsidR="00894070" w:rsidRDefault="009B7AFD">
      <w:pPr>
        <w:pStyle w:val="ListParagraph"/>
        <w:numPr>
          <w:ilvl w:val="0"/>
          <w:numId w:val="34"/>
        </w:numPr>
        <w:tabs>
          <w:tab w:val="left" w:pos="933"/>
          <w:tab w:val="left" w:pos="934"/>
        </w:tabs>
        <w:spacing w:line="160" w:lineRule="exact"/>
        <w:ind w:hanging="793"/>
        <w:rPr>
          <w:sz w:val="13"/>
        </w:rPr>
      </w:pPr>
      <w:r>
        <w:rPr>
          <w:color w:val="231F20"/>
          <w:sz w:val="13"/>
        </w:rPr>
        <w:t>Consultation 24 (Criminal Bar Association).</w:t>
      </w:r>
    </w:p>
    <w:p w14:paraId="60BF76E1" w14:textId="77777777" w:rsidR="00894070" w:rsidRDefault="009B7AFD">
      <w:pPr>
        <w:pStyle w:val="ListParagraph"/>
        <w:numPr>
          <w:ilvl w:val="0"/>
          <w:numId w:val="34"/>
        </w:numPr>
        <w:tabs>
          <w:tab w:val="left" w:pos="933"/>
          <w:tab w:val="left" w:pos="934"/>
        </w:tabs>
        <w:spacing w:before="7" w:line="213" w:lineRule="auto"/>
        <w:ind w:right="1271" w:hanging="793"/>
        <w:rPr>
          <w:sz w:val="13"/>
        </w:rPr>
      </w:pPr>
      <w:r>
        <w:rPr>
          <w:color w:val="231F20"/>
          <w:sz w:val="13"/>
        </w:rPr>
        <w:t xml:space="preserve">Bonnie </w:t>
      </w:r>
      <w:r>
        <w:rPr>
          <w:color w:val="231F20"/>
          <w:spacing w:val="2"/>
          <w:sz w:val="13"/>
        </w:rPr>
        <w:t xml:space="preserve">Brandl, </w:t>
      </w:r>
      <w:r>
        <w:rPr>
          <w:color w:val="231F20"/>
          <w:sz w:val="13"/>
        </w:rPr>
        <w:t xml:space="preserve">Candace J Heisler and Lori A </w:t>
      </w:r>
      <w:r>
        <w:rPr>
          <w:color w:val="231F20"/>
          <w:spacing w:val="2"/>
          <w:sz w:val="13"/>
        </w:rPr>
        <w:t xml:space="preserve">Stiegel, </w:t>
      </w:r>
      <w:r>
        <w:rPr>
          <w:color w:val="231F20"/>
          <w:sz w:val="13"/>
        </w:rPr>
        <w:t xml:space="preserve">‘The Parallels between Undue Influence, </w:t>
      </w:r>
      <w:r>
        <w:rPr>
          <w:color w:val="231F20"/>
          <w:spacing w:val="2"/>
          <w:sz w:val="13"/>
        </w:rPr>
        <w:t xml:space="preserve">Domestic </w:t>
      </w:r>
      <w:r>
        <w:rPr>
          <w:color w:val="231F20"/>
          <w:sz w:val="13"/>
        </w:rPr>
        <w:t xml:space="preserve">Violence, Stalking, and Sexual </w:t>
      </w:r>
      <w:r>
        <w:rPr>
          <w:color w:val="231F20"/>
          <w:spacing w:val="2"/>
          <w:sz w:val="13"/>
        </w:rPr>
        <w:t xml:space="preserve">Assault’ </w:t>
      </w:r>
      <w:r>
        <w:rPr>
          <w:color w:val="231F20"/>
          <w:sz w:val="13"/>
        </w:rPr>
        <w:t xml:space="preserve">(2005) 17(3) </w:t>
      </w:r>
      <w:r>
        <w:rPr>
          <w:i/>
          <w:color w:val="231F20"/>
          <w:sz w:val="13"/>
        </w:rPr>
        <w:t xml:space="preserve">Journal of Elder Abuse and Neglect </w:t>
      </w:r>
      <w:r>
        <w:rPr>
          <w:color w:val="231F20"/>
          <w:spacing w:val="-3"/>
          <w:sz w:val="13"/>
        </w:rPr>
        <w:t>37,</w:t>
      </w:r>
      <w:r>
        <w:rPr>
          <w:color w:val="231F20"/>
          <w:spacing w:val="3"/>
          <w:sz w:val="13"/>
        </w:rPr>
        <w:t xml:space="preserve"> 44.</w:t>
      </w:r>
    </w:p>
    <w:p w14:paraId="2C407B91" w14:textId="77777777" w:rsidR="00894070" w:rsidRDefault="009B7AFD">
      <w:pPr>
        <w:pStyle w:val="ListParagraph"/>
        <w:numPr>
          <w:ilvl w:val="0"/>
          <w:numId w:val="34"/>
        </w:numPr>
        <w:tabs>
          <w:tab w:val="left" w:pos="933"/>
          <w:tab w:val="left" w:pos="934"/>
        </w:tabs>
        <w:spacing w:line="153" w:lineRule="exact"/>
        <w:ind w:hanging="793"/>
        <w:rPr>
          <w:sz w:val="13"/>
        </w:rPr>
      </w:pPr>
      <w:r>
        <w:rPr>
          <w:color w:val="231F20"/>
          <w:sz w:val="13"/>
        </w:rPr>
        <w:t>Ibid 46.</w:t>
      </w:r>
    </w:p>
    <w:p w14:paraId="40D13DBF" w14:textId="77777777" w:rsidR="00894070" w:rsidRDefault="009B7AFD">
      <w:pPr>
        <w:pStyle w:val="ListParagraph"/>
        <w:numPr>
          <w:ilvl w:val="0"/>
          <w:numId w:val="34"/>
        </w:numPr>
        <w:tabs>
          <w:tab w:val="left" w:pos="933"/>
          <w:tab w:val="left" w:pos="934"/>
        </w:tabs>
        <w:spacing w:line="160" w:lineRule="exact"/>
        <w:ind w:hanging="793"/>
        <w:rPr>
          <w:sz w:val="13"/>
        </w:rPr>
      </w:pPr>
      <w:r>
        <w:rPr>
          <w:i/>
          <w:color w:val="231F20"/>
          <w:sz w:val="13"/>
        </w:rPr>
        <w:t xml:space="preserve">Criminal Procedure Act 2009 </w:t>
      </w:r>
      <w:r>
        <w:rPr>
          <w:color w:val="231F20"/>
          <w:sz w:val="13"/>
        </w:rPr>
        <w:t>(Vic) s</w:t>
      </w:r>
      <w:r>
        <w:rPr>
          <w:color w:val="231F20"/>
          <w:spacing w:val="1"/>
          <w:sz w:val="13"/>
        </w:rPr>
        <w:t xml:space="preserve"> </w:t>
      </w:r>
      <w:r>
        <w:rPr>
          <w:color w:val="231F20"/>
          <w:sz w:val="13"/>
        </w:rPr>
        <w:t>353(1).</w:t>
      </w:r>
    </w:p>
    <w:p w14:paraId="363A9A95" w14:textId="77777777" w:rsidR="00894070" w:rsidRDefault="009B7AFD">
      <w:pPr>
        <w:pStyle w:val="ListParagraph"/>
        <w:numPr>
          <w:ilvl w:val="0"/>
          <w:numId w:val="34"/>
        </w:numPr>
        <w:tabs>
          <w:tab w:val="left" w:pos="933"/>
          <w:tab w:val="left" w:pos="934"/>
        </w:tabs>
        <w:spacing w:line="170" w:lineRule="exact"/>
        <w:ind w:hanging="793"/>
        <w:rPr>
          <w:sz w:val="13"/>
        </w:rPr>
      </w:pPr>
      <w:r>
        <w:rPr>
          <w:color w:val="231F20"/>
          <w:sz w:val="13"/>
        </w:rPr>
        <w:t>Ibid s 357.</w:t>
      </w:r>
    </w:p>
    <w:p w14:paraId="014929F0"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89" w:space="279"/>
            <w:col w:w="10042"/>
          </w:cols>
        </w:sectPr>
      </w:pPr>
    </w:p>
    <w:p w14:paraId="6EDA8D90" w14:textId="77777777" w:rsidR="00894070" w:rsidRDefault="009F6793">
      <w:pPr>
        <w:pStyle w:val="Heading4"/>
        <w:spacing w:before="26" w:line="240" w:lineRule="auto"/>
        <w:rPr>
          <w:b/>
        </w:rPr>
      </w:pPr>
      <w:r>
        <w:lastRenderedPageBreak/>
        <w:pict w14:anchorId="4C55A49D">
          <v:rect id="_x0000_s1100" style="position:absolute;left:0;text-align:left;margin-left:0;margin-top:0;width:595.3pt;height:841.9pt;z-index:-251488256;mso-position-horizontal-relative:page;mso-position-vertical-relative:page" fillcolor="#ea5b50" stroked="f">
            <w10:wrap anchorx="page" anchory="page"/>
          </v:rect>
        </w:pict>
      </w:r>
      <w:r>
        <w:pict w14:anchorId="0C98F8C6">
          <v:shape id="_x0000_s1099" type="#_x0000_t202" style="position:absolute;left:0;text-align:left;margin-left:407.1pt;margin-top:4.3pt;width:144.6pt;height:152.65pt;z-index:-251487232;mso-position-horizontal-relative:page" filled="f" stroked="f">
            <v:textbox inset="0,0,0,0">
              <w:txbxContent>
                <w:p w14:paraId="08A98CE0" w14:textId="77777777" w:rsidR="00894070" w:rsidRDefault="009B7AFD">
                  <w:pPr>
                    <w:spacing w:line="3052" w:lineRule="exact"/>
                    <w:rPr>
                      <w:b/>
                      <w:sz w:val="260"/>
                    </w:rPr>
                  </w:pPr>
                  <w:r>
                    <w:rPr>
                      <w:b/>
                      <w:color w:val="FFFFFF"/>
                      <w:spacing w:val="-138"/>
                      <w:sz w:val="260"/>
                    </w:rPr>
                    <w:t>08</w:t>
                  </w:r>
                </w:p>
              </w:txbxContent>
            </v:textbox>
            <w10:wrap anchorx="page"/>
          </v:shape>
        </w:pict>
      </w:r>
      <w:r w:rsidR="009B7AFD">
        <w:rPr>
          <w:b/>
          <w:color w:val="FFFFFF"/>
        </w:rPr>
        <w:t>CHAPTER</w:t>
      </w:r>
    </w:p>
    <w:p w14:paraId="5175C20D" w14:textId="77777777" w:rsidR="00894070" w:rsidRDefault="00894070">
      <w:pPr>
        <w:pStyle w:val="BodyText"/>
        <w:rPr>
          <w:rFonts w:ascii="Raleway SemiBold"/>
          <w:b/>
        </w:rPr>
      </w:pPr>
    </w:p>
    <w:p w14:paraId="2DA251F4" w14:textId="77777777" w:rsidR="00894070" w:rsidRDefault="00894070">
      <w:pPr>
        <w:pStyle w:val="BodyText"/>
        <w:rPr>
          <w:rFonts w:ascii="Raleway SemiBold"/>
          <w:b/>
        </w:rPr>
      </w:pPr>
    </w:p>
    <w:p w14:paraId="472EC054" w14:textId="77777777" w:rsidR="00894070" w:rsidRDefault="00894070">
      <w:pPr>
        <w:pStyle w:val="BodyText"/>
        <w:rPr>
          <w:rFonts w:ascii="Raleway SemiBold"/>
          <w:b/>
        </w:rPr>
      </w:pPr>
    </w:p>
    <w:p w14:paraId="67952351" w14:textId="77777777" w:rsidR="00894070" w:rsidRDefault="00894070">
      <w:pPr>
        <w:pStyle w:val="BodyText"/>
        <w:rPr>
          <w:rFonts w:ascii="Raleway SemiBold"/>
          <w:b/>
        </w:rPr>
      </w:pPr>
    </w:p>
    <w:p w14:paraId="5F78BB3B" w14:textId="77777777" w:rsidR="00894070" w:rsidRDefault="00894070">
      <w:pPr>
        <w:pStyle w:val="BodyText"/>
        <w:rPr>
          <w:rFonts w:ascii="Raleway SemiBold"/>
          <w:b/>
        </w:rPr>
      </w:pPr>
    </w:p>
    <w:p w14:paraId="35B3BA59" w14:textId="77777777" w:rsidR="00894070" w:rsidRDefault="00894070">
      <w:pPr>
        <w:pStyle w:val="BodyText"/>
        <w:rPr>
          <w:rFonts w:ascii="Raleway SemiBold"/>
          <w:b/>
        </w:rPr>
      </w:pPr>
    </w:p>
    <w:p w14:paraId="4B00C219" w14:textId="77777777" w:rsidR="00894070" w:rsidRDefault="00894070">
      <w:pPr>
        <w:pStyle w:val="BodyText"/>
        <w:rPr>
          <w:rFonts w:ascii="Raleway SemiBold"/>
          <w:b/>
        </w:rPr>
      </w:pPr>
    </w:p>
    <w:p w14:paraId="772303C8" w14:textId="77777777" w:rsidR="00894070" w:rsidRDefault="00894070">
      <w:pPr>
        <w:pStyle w:val="BodyText"/>
        <w:rPr>
          <w:rFonts w:ascii="Raleway SemiBold"/>
          <w:b/>
        </w:rPr>
      </w:pPr>
    </w:p>
    <w:p w14:paraId="15551388" w14:textId="77777777" w:rsidR="00894070" w:rsidRDefault="00894070">
      <w:pPr>
        <w:pStyle w:val="BodyText"/>
        <w:rPr>
          <w:rFonts w:ascii="Raleway SemiBold"/>
          <w:b/>
        </w:rPr>
      </w:pPr>
    </w:p>
    <w:p w14:paraId="7BDB1641" w14:textId="77777777" w:rsidR="00894070" w:rsidRDefault="00894070">
      <w:pPr>
        <w:pStyle w:val="BodyText"/>
        <w:rPr>
          <w:rFonts w:ascii="Raleway SemiBold"/>
          <w:b/>
        </w:rPr>
      </w:pPr>
    </w:p>
    <w:p w14:paraId="1EF1B141" w14:textId="77777777" w:rsidR="00894070" w:rsidRDefault="00894070">
      <w:pPr>
        <w:pStyle w:val="BodyText"/>
        <w:rPr>
          <w:rFonts w:ascii="Raleway SemiBold"/>
          <w:b/>
        </w:rPr>
      </w:pPr>
    </w:p>
    <w:p w14:paraId="3929C4FC" w14:textId="77777777" w:rsidR="00894070" w:rsidRDefault="00894070">
      <w:pPr>
        <w:pStyle w:val="BodyText"/>
        <w:rPr>
          <w:rFonts w:ascii="Raleway SemiBold"/>
          <w:b/>
        </w:rPr>
      </w:pPr>
    </w:p>
    <w:p w14:paraId="1276BE22" w14:textId="77777777" w:rsidR="00894070" w:rsidRDefault="00894070">
      <w:pPr>
        <w:pStyle w:val="BodyText"/>
        <w:rPr>
          <w:rFonts w:ascii="Raleway SemiBold"/>
          <w:b/>
        </w:rPr>
      </w:pPr>
    </w:p>
    <w:p w14:paraId="7068D5DF" w14:textId="77777777" w:rsidR="00894070" w:rsidRDefault="00894070">
      <w:pPr>
        <w:pStyle w:val="BodyText"/>
        <w:rPr>
          <w:rFonts w:ascii="Raleway SemiBold"/>
          <w:b/>
        </w:rPr>
      </w:pPr>
    </w:p>
    <w:p w14:paraId="00E1BCB5" w14:textId="77777777" w:rsidR="00894070" w:rsidRDefault="00894070">
      <w:pPr>
        <w:pStyle w:val="BodyText"/>
        <w:spacing w:before="4"/>
        <w:rPr>
          <w:rFonts w:ascii="Raleway SemiBold"/>
          <w:b/>
          <w:sz w:val="13"/>
        </w:rPr>
      </w:pPr>
    </w:p>
    <w:p w14:paraId="6F11266C" w14:textId="77777777" w:rsidR="00894070" w:rsidRDefault="009B7AFD">
      <w:pPr>
        <w:spacing w:before="166" w:line="180" w:lineRule="auto"/>
        <w:ind w:left="1007" w:right="2822"/>
        <w:rPr>
          <w:rFonts w:ascii="Raleway ExtraBold"/>
          <w:b/>
          <w:sz w:val="88"/>
        </w:rPr>
      </w:pPr>
      <w:r>
        <w:rPr>
          <w:rFonts w:ascii="Raleway ExtraBold"/>
          <w:b/>
          <w:color w:val="FFFFFF"/>
          <w:spacing w:val="-21"/>
          <w:sz w:val="88"/>
        </w:rPr>
        <w:t xml:space="preserve">Responding </w:t>
      </w:r>
      <w:r>
        <w:rPr>
          <w:rFonts w:ascii="Raleway ExtraBold"/>
          <w:b/>
          <w:color w:val="FFFFFF"/>
          <w:spacing w:val="-16"/>
          <w:sz w:val="88"/>
        </w:rPr>
        <w:t xml:space="preserve">to </w:t>
      </w:r>
      <w:r>
        <w:rPr>
          <w:rFonts w:ascii="Raleway ExtraBold"/>
          <w:b/>
          <w:color w:val="FFFFFF"/>
          <w:spacing w:val="-18"/>
          <w:sz w:val="88"/>
        </w:rPr>
        <w:t xml:space="preserve">people </w:t>
      </w:r>
      <w:r>
        <w:rPr>
          <w:rFonts w:ascii="Raleway ExtraBold"/>
          <w:b/>
          <w:color w:val="FFFFFF"/>
          <w:spacing w:val="-15"/>
          <w:sz w:val="88"/>
        </w:rPr>
        <w:t xml:space="preserve">who </w:t>
      </w:r>
      <w:r>
        <w:rPr>
          <w:rFonts w:ascii="Raleway ExtraBold"/>
          <w:b/>
          <w:color w:val="FFFFFF"/>
          <w:spacing w:val="-22"/>
          <w:sz w:val="88"/>
        </w:rPr>
        <w:t>stalk</w:t>
      </w:r>
    </w:p>
    <w:p w14:paraId="7FFBDFB0" w14:textId="77777777" w:rsidR="00894070" w:rsidRDefault="00894070">
      <w:pPr>
        <w:pStyle w:val="BodyText"/>
        <w:rPr>
          <w:rFonts w:ascii="Raleway ExtraBold"/>
          <w:b/>
        </w:rPr>
      </w:pPr>
    </w:p>
    <w:p w14:paraId="7CC1623D" w14:textId="77777777" w:rsidR="00894070" w:rsidRDefault="00894070">
      <w:pPr>
        <w:pStyle w:val="BodyText"/>
        <w:rPr>
          <w:rFonts w:ascii="Raleway ExtraBold"/>
          <w:b/>
        </w:rPr>
      </w:pPr>
    </w:p>
    <w:p w14:paraId="21E2AF61" w14:textId="77777777" w:rsidR="00894070" w:rsidRDefault="00894070">
      <w:pPr>
        <w:pStyle w:val="BodyText"/>
        <w:spacing w:before="8"/>
        <w:rPr>
          <w:rFonts w:ascii="Raleway ExtraBold"/>
          <w:b/>
          <w:sz w:val="18"/>
        </w:rPr>
      </w:pPr>
    </w:p>
    <w:tbl>
      <w:tblPr>
        <w:tblW w:w="0" w:type="auto"/>
        <w:tblInd w:w="986" w:type="dxa"/>
        <w:tblLayout w:type="fixed"/>
        <w:tblCellMar>
          <w:left w:w="0" w:type="dxa"/>
          <w:right w:w="0" w:type="dxa"/>
        </w:tblCellMar>
        <w:tblLook w:val="01E0" w:firstRow="1" w:lastRow="1" w:firstColumn="1" w:lastColumn="1" w:noHBand="0" w:noVBand="0"/>
      </w:tblPr>
      <w:tblGrid>
        <w:gridCol w:w="510"/>
        <w:gridCol w:w="8541"/>
      </w:tblGrid>
      <w:tr w:rsidR="00894070" w14:paraId="41A25CC1" w14:textId="77777777">
        <w:trPr>
          <w:trHeight w:val="336"/>
        </w:trPr>
        <w:tc>
          <w:tcPr>
            <w:tcW w:w="510" w:type="dxa"/>
            <w:tcBorders>
              <w:bottom w:val="single" w:sz="18" w:space="0" w:color="F4A997"/>
            </w:tcBorders>
            <w:shd w:val="clear" w:color="auto" w:fill="EA5B50"/>
          </w:tcPr>
          <w:p w14:paraId="106EE166" w14:textId="77777777" w:rsidR="00894070" w:rsidRDefault="009F6793">
            <w:pPr>
              <w:pStyle w:val="TableParagraph"/>
              <w:spacing w:line="282" w:lineRule="exact"/>
              <w:ind w:left="0"/>
              <w:rPr>
                <w:b/>
                <w:sz w:val="24"/>
              </w:rPr>
            </w:pPr>
            <w:hyperlink w:anchor="_bookmark106" w:history="1">
              <w:r w:rsidR="009B7AFD">
                <w:rPr>
                  <w:b/>
                  <w:color w:val="FFFFFF"/>
                  <w:sz w:val="24"/>
                </w:rPr>
                <w:t>162</w:t>
              </w:r>
            </w:hyperlink>
          </w:p>
        </w:tc>
        <w:tc>
          <w:tcPr>
            <w:tcW w:w="8541" w:type="dxa"/>
            <w:shd w:val="clear" w:color="auto" w:fill="EA5B50"/>
          </w:tcPr>
          <w:p w14:paraId="08C9D2A3" w14:textId="77777777" w:rsidR="00894070" w:rsidRDefault="009F6793">
            <w:pPr>
              <w:pStyle w:val="TableParagraph"/>
              <w:spacing w:line="282" w:lineRule="exact"/>
              <w:ind w:left="56"/>
              <w:rPr>
                <w:b/>
                <w:sz w:val="24"/>
              </w:rPr>
            </w:pPr>
            <w:hyperlink w:anchor="_bookmark106" w:history="1">
              <w:r w:rsidR="009B7AFD">
                <w:rPr>
                  <w:b/>
                  <w:color w:val="FFFFFF"/>
                  <w:sz w:val="24"/>
                </w:rPr>
                <w:t>Overview</w:t>
              </w:r>
            </w:hyperlink>
          </w:p>
        </w:tc>
      </w:tr>
      <w:tr w:rsidR="00894070" w14:paraId="58245357" w14:textId="77777777">
        <w:trPr>
          <w:trHeight w:val="428"/>
        </w:trPr>
        <w:tc>
          <w:tcPr>
            <w:tcW w:w="510" w:type="dxa"/>
            <w:tcBorders>
              <w:top w:val="single" w:sz="18" w:space="0" w:color="F4A997"/>
              <w:bottom w:val="single" w:sz="18" w:space="0" w:color="F4A997"/>
            </w:tcBorders>
            <w:shd w:val="clear" w:color="auto" w:fill="EA5B50"/>
          </w:tcPr>
          <w:p w14:paraId="0CCD3208" w14:textId="77777777" w:rsidR="00894070" w:rsidRDefault="009F6793">
            <w:pPr>
              <w:pStyle w:val="TableParagraph"/>
              <w:spacing w:before="40"/>
              <w:ind w:left="0"/>
              <w:rPr>
                <w:b/>
                <w:sz w:val="24"/>
              </w:rPr>
            </w:pPr>
            <w:hyperlink w:anchor="_bookmark106" w:history="1">
              <w:r w:rsidR="009B7AFD">
                <w:rPr>
                  <w:b/>
                  <w:color w:val="FFFFFF"/>
                  <w:sz w:val="24"/>
                </w:rPr>
                <w:t>162</w:t>
              </w:r>
            </w:hyperlink>
          </w:p>
        </w:tc>
        <w:tc>
          <w:tcPr>
            <w:tcW w:w="8541" w:type="dxa"/>
            <w:shd w:val="clear" w:color="auto" w:fill="EA5B50"/>
          </w:tcPr>
          <w:p w14:paraId="37050F2F" w14:textId="77777777" w:rsidR="00894070" w:rsidRDefault="009F6793">
            <w:pPr>
              <w:pStyle w:val="TableParagraph"/>
              <w:spacing w:before="40"/>
              <w:ind w:left="56"/>
              <w:rPr>
                <w:b/>
                <w:sz w:val="24"/>
              </w:rPr>
            </w:pPr>
            <w:hyperlink w:anchor="_bookmark106" w:history="1">
              <w:r w:rsidR="009B7AFD">
                <w:rPr>
                  <w:b/>
                  <w:color w:val="FFFFFF"/>
                  <w:sz w:val="24"/>
                </w:rPr>
                <w:t>The</w:t>
              </w:r>
              <w:r w:rsidR="009B7AFD">
                <w:rPr>
                  <w:b/>
                  <w:color w:val="FFFFFF"/>
                  <w:spacing w:val="-6"/>
                  <w:sz w:val="24"/>
                </w:rPr>
                <w:t xml:space="preserve"> </w:t>
              </w:r>
              <w:r w:rsidR="009B7AFD">
                <w:rPr>
                  <w:b/>
                  <w:color w:val="FFFFFF"/>
                  <w:sz w:val="24"/>
                </w:rPr>
                <w:t>current</w:t>
              </w:r>
              <w:r w:rsidR="009B7AFD">
                <w:rPr>
                  <w:b/>
                  <w:color w:val="FFFFFF"/>
                  <w:spacing w:val="-5"/>
                  <w:sz w:val="24"/>
                </w:rPr>
                <w:t xml:space="preserve"> </w:t>
              </w:r>
              <w:r w:rsidR="009B7AFD">
                <w:rPr>
                  <w:b/>
                  <w:color w:val="FFFFFF"/>
                  <w:sz w:val="24"/>
                </w:rPr>
                <w:t>response</w:t>
              </w:r>
              <w:r w:rsidR="009B7AFD">
                <w:rPr>
                  <w:b/>
                  <w:color w:val="FFFFFF"/>
                  <w:spacing w:val="-5"/>
                  <w:sz w:val="24"/>
                </w:rPr>
                <w:t xml:space="preserve"> </w:t>
              </w:r>
              <w:r w:rsidR="009B7AFD">
                <w:rPr>
                  <w:b/>
                  <w:color w:val="FFFFFF"/>
                  <w:sz w:val="24"/>
                </w:rPr>
                <w:t>to</w:t>
              </w:r>
              <w:r w:rsidR="009B7AFD">
                <w:rPr>
                  <w:b/>
                  <w:color w:val="FFFFFF"/>
                  <w:spacing w:val="-6"/>
                  <w:sz w:val="24"/>
                </w:rPr>
                <w:t xml:space="preserve"> </w:t>
              </w:r>
              <w:r w:rsidR="009B7AFD">
                <w:rPr>
                  <w:b/>
                  <w:color w:val="FFFFFF"/>
                  <w:sz w:val="24"/>
                </w:rPr>
                <w:t>stalking</w:t>
              </w:r>
              <w:r w:rsidR="009B7AFD">
                <w:rPr>
                  <w:b/>
                  <w:color w:val="FFFFFF"/>
                  <w:spacing w:val="-5"/>
                  <w:sz w:val="24"/>
                </w:rPr>
                <w:t xml:space="preserve"> </w:t>
              </w:r>
              <w:r w:rsidR="009B7AFD">
                <w:rPr>
                  <w:b/>
                  <w:color w:val="FFFFFF"/>
                  <w:sz w:val="24"/>
                </w:rPr>
                <w:t>demands</w:t>
              </w:r>
              <w:r w:rsidR="009B7AFD">
                <w:rPr>
                  <w:b/>
                  <w:color w:val="FFFFFF"/>
                  <w:spacing w:val="-6"/>
                  <w:sz w:val="24"/>
                </w:rPr>
                <w:t xml:space="preserve"> </w:t>
              </w:r>
              <w:r w:rsidR="009B7AFD">
                <w:rPr>
                  <w:b/>
                  <w:color w:val="FFFFFF"/>
                  <w:sz w:val="24"/>
                </w:rPr>
                <w:t>too</w:t>
              </w:r>
              <w:r w:rsidR="009B7AFD">
                <w:rPr>
                  <w:b/>
                  <w:color w:val="FFFFFF"/>
                  <w:spacing w:val="-5"/>
                  <w:sz w:val="24"/>
                </w:rPr>
                <w:t xml:space="preserve"> </w:t>
              </w:r>
              <w:r w:rsidR="009B7AFD">
                <w:rPr>
                  <w:b/>
                  <w:color w:val="FFFFFF"/>
                  <w:sz w:val="24"/>
                </w:rPr>
                <w:t>much</w:t>
              </w:r>
              <w:r w:rsidR="009B7AFD">
                <w:rPr>
                  <w:b/>
                  <w:color w:val="FFFFFF"/>
                  <w:spacing w:val="-5"/>
                  <w:sz w:val="24"/>
                </w:rPr>
                <w:t xml:space="preserve"> </w:t>
              </w:r>
              <w:r w:rsidR="009B7AFD">
                <w:rPr>
                  <w:b/>
                  <w:color w:val="FFFFFF"/>
                  <w:sz w:val="24"/>
                </w:rPr>
                <w:t>from</w:t>
              </w:r>
              <w:r w:rsidR="009B7AFD">
                <w:rPr>
                  <w:b/>
                  <w:color w:val="FFFFFF"/>
                  <w:spacing w:val="-6"/>
                  <w:sz w:val="24"/>
                </w:rPr>
                <w:t xml:space="preserve"> </w:t>
              </w:r>
              <w:r w:rsidR="009B7AFD">
                <w:rPr>
                  <w:b/>
                  <w:color w:val="FFFFFF"/>
                  <w:sz w:val="24"/>
                </w:rPr>
                <w:t>victim</w:t>
              </w:r>
              <w:r w:rsidR="009B7AFD">
                <w:rPr>
                  <w:b/>
                  <w:color w:val="FFFFFF"/>
                  <w:spacing w:val="-5"/>
                  <w:sz w:val="24"/>
                </w:rPr>
                <w:t xml:space="preserve"> </w:t>
              </w:r>
              <w:r w:rsidR="009B7AFD">
                <w:rPr>
                  <w:b/>
                  <w:color w:val="FFFFFF"/>
                  <w:sz w:val="24"/>
                </w:rPr>
                <w:t>survivors</w:t>
              </w:r>
            </w:hyperlink>
          </w:p>
        </w:tc>
      </w:tr>
      <w:tr w:rsidR="00894070" w14:paraId="1840A6CE" w14:textId="77777777">
        <w:trPr>
          <w:trHeight w:val="428"/>
        </w:trPr>
        <w:tc>
          <w:tcPr>
            <w:tcW w:w="510" w:type="dxa"/>
            <w:tcBorders>
              <w:top w:val="single" w:sz="18" w:space="0" w:color="F4A997"/>
              <w:bottom w:val="single" w:sz="18" w:space="0" w:color="F4A997"/>
            </w:tcBorders>
            <w:shd w:val="clear" w:color="auto" w:fill="EA5B50"/>
          </w:tcPr>
          <w:p w14:paraId="049E2593" w14:textId="77777777" w:rsidR="00894070" w:rsidRDefault="009F6793">
            <w:pPr>
              <w:pStyle w:val="TableParagraph"/>
              <w:spacing w:before="40"/>
              <w:ind w:left="0"/>
              <w:rPr>
                <w:b/>
                <w:sz w:val="24"/>
              </w:rPr>
            </w:pPr>
            <w:hyperlink w:anchor="_bookmark107" w:history="1">
              <w:r w:rsidR="009B7AFD">
                <w:rPr>
                  <w:b/>
                  <w:color w:val="FFFFFF"/>
                  <w:sz w:val="24"/>
                </w:rPr>
                <w:t>163</w:t>
              </w:r>
            </w:hyperlink>
          </w:p>
        </w:tc>
        <w:tc>
          <w:tcPr>
            <w:tcW w:w="8541" w:type="dxa"/>
            <w:shd w:val="clear" w:color="auto" w:fill="EA5B50"/>
          </w:tcPr>
          <w:p w14:paraId="42141A45" w14:textId="77777777" w:rsidR="00894070" w:rsidRDefault="009F6793">
            <w:pPr>
              <w:pStyle w:val="TableParagraph"/>
              <w:spacing w:before="40"/>
              <w:ind w:left="56"/>
              <w:rPr>
                <w:b/>
                <w:sz w:val="24"/>
              </w:rPr>
            </w:pPr>
            <w:hyperlink w:anchor="_bookmark107" w:history="1">
              <w:r w:rsidR="009B7AFD">
                <w:rPr>
                  <w:b/>
                  <w:color w:val="FFFFFF"/>
                  <w:sz w:val="24"/>
                </w:rPr>
                <w:t>What do we know about people who stalk?</w:t>
              </w:r>
            </w:hyperlink>
          </w:p>
        </w:tc>
      </w:tr>
      <w:tr w:rsidR="00894070" w14:paraId="1F6DF4AE" w14:textId="77777777">
        <w:trPr>
          <w:trHeight w:val="428"/>
        </w:trPr>
        <w:tc>
          <w:tcPr>
            <w:tcW w:w="510" w:type="dxa"/>
            <w:tcBorders>
              <w:top w:val="single" w:sz="18" w:space="0" w:color="F4A997"/>
              <w:bottom w:val="single" w:sz="18" w:space="0" w:color="F4A997"/>
            </w:tcBorders>
            <w:shd w:val="clear" w:color="auto" w:fill="EA5B50"/>
          </w:tcPr>
          <w:p w14:paraId="034BE93B" w14:textId="77777777" w:rsidR="00894070" w:rsidRDefault="009F6793">
            <w:pPr>
              <w:pStyle w:val="TableParagraph"/>
              <w:spacing w:before="40"/>
              <w:ind w:left="0"/>
              <w:rPr>
                <w:b/>
                <w:sz w:val="24"/>
              </w:rPr>
            </w:pPr>
            <w:hyperlink w:anchor="_bookmark109" w:history="1">
              <w:r w:rsidR="009B7AFD">
                <w:rPr>
                  <w:b/>
                  <w:color w:val="FFFFFF"/>
                  <w:sz w:val="24"/>
                </w:rPr>
                <w:t>165</w:t>
              </w:r>
            </w:hyperlink>
          </w:p>
        </w:tc>
        <w:tc>
          <w:tcPr>
            <w:tcW w:w="8541" w:type="dxa"/>
            <w:shd w:val="clear" w:color="auto" w:fill="EA5B50"/>
          </w:tcPr>
          <w:p w14:paraId="123F3F59" w14:textId="77777777" w:rsidR="00894070" w:rsidRDefault="009F6793">
            <w:pPr>
              <w:pStyle w:val="TableParagraph"/>
              <w:spacing w:before="40"/>
              <w:ind w:left="56"/>
              <w:rPr>
                <w:b/>
                <w:sz w:val="24"/>
              </w:rPr>
            </w:pPr>
            <w:hyperlink w:anchor="_bookmark109" w:history="1">
              <w:r w:rsidR="009B7AFD">
                <w:rPr>
                  <w:b/>
                  <w:color w:val="FFFFFF"/>
                  <w:sz w:val="24"/>
                </w:rPr>
                <w:t>A coordinated response to stalking is needed</w:t>
              </w:r>
            </w:hyperlink>
          </w:p>
        </w:tc>
      </w:tr>
      <w:tr w:rsidR="00894070" w14:paraId="4FAF755E" w14:textId="77777777">
        <w:trPr>
          <w:trHeight w:val="428"/>
        </w:trPr>
        <w:tc>
          <w:tcPr>
            <w:tcW w:w="510" w:type="dxa"/>
            <w:tcBorders>
              <w:top w:val="single" w:sz="18" w:space="0" w:color="F4A997"/>
              <w:bottom w:val="single" w:sz="18" w:space="0" w:color="F4A997"/>
            </w:tcBorders>
            <w:shd w:val="clear" w:color="auto" w:fill="EA5B50"/>
          </w:tcPr>
          <w:p w14:paraId="58507C4B" w14:textId="77777777" w:rsidR="00894070" w:rsidRDefault="009F6793">
            <w:pPr>
              <w:pStyle w:val="TableParagraph"/>
              <w:spacing w:before="40"/>
              <w:ind w:left="0"/>
              <w:rPr>
                <w:b/>
                <w:sz w:val="24"/>
              </w:rPr>
            </w:pPr>
            <w:hyperlink w:anchor="_bookmark113" w:history="1">
              <w:r w:rsidR="009B7AFD">
                <w:rPr>
                  <w:b/>
                  <w:color w:val="FFFFFF"/>
                  <w:sz w:val="24"/>
                </w:rPr>
                <w:t>176</w:t>
              </w:r>
            </w:hyperlink>
          </w:p>
        </w:tc>
        <w:tc>
          <w:tcPr>
            <w:tcW w:w="8541" w:type="dxa"/>
            <w:shd w:val="clear" w:color="auto" w:fill="EA5B50"/>
          </w:tcPr>
          <w:p w14:paraId="22BD3538" w14:textId="77777777" w:rsidR="00894070" w:rsidRDefault="009F6793">
            <w:pPr>
              <w:pStyle w:val="TableParagraph"/>
              <w:spacing w:before="40"/>
              <w:ind w:left="56"/>
              <w:rPr>
                <w:b/>
                <w:sz w:val="24"/>
              </w:rPr>
            </w:pPr>
            <w:hyperlink w:anchor="_bookmark113" w:history="1">
              <w:r w:rsidR="009B7AFD">
                <w:rPr>
                  <w:b/>
                  <w:color w:val="FFFFFF"/>
                  <w:sz w:val="24"/>
                </w:rPr>
                <w:t>Court-ordered therapeutic orders for PSIOs</w:t>
              </w:r>
            </w:hyperlink>
          </w:p>
        </w:tc>
      </w:tr>
      <w:tr w:rsidR="00894070" w14:paraId="57A764F4" w14:textId="77777777">
        <w:trPr>
          <w:trHeight w:val="428"/>
        </w:trPr>
        <w:tc>
          <w:tcPr>
            <w:tcW w:w="510" w:type="dxa"/>
            <w:tcBorders>
              <w:top w:val="single" w:sz="18" w:space="0" w:color="F4A997"/>
              <w:bottom w:val="single" w:sz="18" w:space="0" w:color="F4A997"/>
            </w:tcBorders>
            <w:shd w:val="clear" w:color="auto" w:fill="EA5B50"/>
          </w:tcPr>
          <w:p w14:paraId="193670B1" w14:textId="77777777" w:rsidR="00894070" w:rsidRDefault="009F6793">
            <w:pPr>
              <w:pStyle w:val="TableParagraph"/>
              <w:spacing w:before="40"/>
              <w:ind w:left="0"/>
              <w:rPr>
                <w:b/>
                <w:sz w:val="24"/>
              </w:rPr>
            </w:pPr>
            <w:hyperlink w:anchor="_bookmark114" w:history="1">
              <w:r w:rsidR="009B7AFD">
                <w:rPr>
                  <w:b/>
                  <w:color w:val="FFFFFF"/>
                  <w:sz w:val="24"/>
                </w:rPr>
                <w:t>178</w:t>
              </w:r>
            </w:hyperlink>
          </w:p>
        </w:tc>
        <w:tc>
          <w:tcPr>
            <w:tcW w:w="8541" w:type="dxa"/>
            <w:shd w:val="clear" w:color="auto" w:fill="EA5B50"/>
          </w:tcPr>
          <w:p w14:paraId="588DEC19" w14:textId="77777777" w:rsidR="00894070" w:rsidRDefault="009F6793">
            <w:pPr>
              <w:pStyle w:val="TableParagraph"/>
              <w:spacing w:before="40"/>
              <w:ind w:left="56"/>
              <w:rPr>
                <w:b/>
                <w:sz w:val="24"/>
              </w:rPr>
            </w:pPr>
            <w:hyperlink w:anchor="_bookmark114" w:history="1">
              <w:r w:rsidR="009B7AFD">
                <w:rPr>
                  <w:b/>
                  <w:color w:val="FFFFFF"/>
                  <w:sz w:val="24"/>
                </w:rPr>
                <w:t>Electronic monitoring</w:t>
              </w:r>
            </w:hyperlink>
          </w:p>
        </w:tc>
      </w:tr>
      <w:tr w:rsidR="00894070" w14:paraId="17194F9B" w14:textId="77777777">
        <w:trPr>
          <w:trHeight w:val="428"/>
        </w:trPr>
        <w:tc>
          <w:tcPr>
            <w:tcW w:w="510" w:type="dxa"/>
            <w:tcBorders>
              <w:top w:val="single" w:sz="18" w:space="0" w:color="F4A997"/>
              <w:bottom w:val="single" w:sz="18" w:space="0" w:color="F4A997"/>
            </w:tcBorders>
            <w:shd w:val="clear" w:color="auto" w:fill="EA5B50"/>
          </w:tcPr>
          <w:p w14:paraId="4BD8D7BB" w14:textId="77777777" w:rsidR="00894070" w:rsidRDefault="009F6793">
            <w:pPr>
              <w:pStyle w:val="TableParagraph"/>
              <w:spacing w:before="40"/>
              <w:ind w:left="0"/>
              <w:rPr>
                <w:b/>
                <w:sz w:val="24"/>
              </w:rPr>
            </w:pPr>
            <w:hyperlink w:anchor="_bookmark118" w:history="1">
              <w:r w:rsidR="009B7AFD">
                <w:rPr>
                  <w:b/>
                  <w:color w:val="FFFFFF"/>
                  <w:sz w:val="24"/>
                </w:rPr>
                <w:t>182</w:t>
              </w:r>
            </w:hyperlink>
          </w:p>
        </w:tc>
        <w:tc>
          <w:tcPr>
            <w:tcW w:w="8541" w:type="dxa"/>
            <w:shd w:val="clear" w:color="auto" w:fill="EA5B50"/>
          </w:tcPr>
          <w:p w14:paraId="58D8FAC5" w14:textId="77777777" w:rsidR="00894070" w:rsidRDefault="009F6793">
            <w:pPr>
              <w:pStyle w:val="TableParagraph"/>
              <w:spacing w:before="40"/>
              <w:ind w:left="56"/>
              <w:rPr>
                <w:b/>
                <w:sz w:val="24"/>
              </w:rPr>
            </w:pPr>
            <w:hyperlink w:anchor="_bookmark118" w:history="1">
              <w:r w:rsidR="009B7AFD">
                <w:rPr>
                  <w:b/>
                  <w:color w:val="FFFFFF"/>
                  <w:sz w:val="24"/>
                </w:rPr>
                <w:t>Sentencing stalking</w:t>
              </w:r>
            </w:hyperlink>
          </w:p>
        </w:tc>
      </w:tr>
    </w:tbl>
    <w:p w14:paraId="410FA056" w14:textId="77777777" w:rsidR="00894070" w:rsidRDefault="00894070">
      <w:pPr>
        <w:rPr>
          <w:sz w:val="24"/>
        </w:rPr>
        <w:sectPr w:rsidR="00894070">
          <w:headerReference w:type="even" r:id="rId185"/>
          <w:headerReference w:type="default" r:id="rId186"/>
          <w:pgSz w:w="11910" w:h="16840"/>
          <w:pgMar w:top="600" w:right="420" w:bottom="280" w:left="580" w:header="0" w:footer="0" w:gutter="0"/>
          <w:cols w:space="720"/>
        </w:sectPr>
      </w:pPr>
    </w:p>
    <w:p w14:paraId="0F86D178" w14:textId="77777777" w:rsidR="00894070" w:rsidRDefault="00894070">
      <w:pPr>
        <w:pStyle w:val="BodyText"/>
        <w:rPr>
          <w:rFonts w:ascii="Raleway ExtraBold"/>
          <w:b/>
        </w:rPr>
      </w:pPr>
    </w:p>
    <w:p w14:paraId="421EB459" w14:textId="77777777" w:rsidR="00894070" w:rsidRDefault="00894070">
      <w:pPr>
        <w:pStyle w:val="BodyText"/>
        <w:rPr>
          <w:rFonts w:ascii="Raleway ExtraBold"/>
          <w:b/>
        </w:rPr>
      </w:pPr>
    </w:p>
    <w:p w14:paraId="2EF98650" w14:textId="77777777" w:rsidR="00894070" w:rsidRDefault="00894070">
      <w:pPr>
        <w:pStyle w:val="BodyText"/>
        <w:rPr>
          <w:rFonts w:ascii="Raleway ExtraBold"/>
          <w:b/>
        </w:rPr>
      </w:pPr>
    </w:p>
    <w:p w14:paraId="35A26595" w14:textId="77777777" w:rsidR="00894070" w:rsidRDefault="009B7AFD">
      <w:pPr>
        <w:pStyle w:val="ListParagraph"/>
        <w:numPr>
          <w:ilvl w:val="0"/>
          <w:numId w:val="103"/>
        </w:numPr>
        <w:tabs>
          <w:tab w:val="left" w:pos="875"/>
        </w:tabs>
        <w:spacing w:before="152"/>
        <w:ind w:left="874" w:hanging="604"/>
        <w:rPr>
          <w:rFonts w:ascii="Raleway ExtraBold"/>
          <w:b/>
          <w:sz w:val="56"/>
        </w:rPr>
      </w:pPr>
      <w:bookmarkStart w:id="175" w:name="8._Responding_to_people_who_stalk"/>
      <w:bookmarkStart w:id="176" w:name="Overview"/>
      <w:bookmarkStart w:id="177" w:name="The_current_response_to_stalking_demands"/>
      <w:bookmarkStart w:id="178" w:name="_bookmark106"/>
      <w:bookmarkEnd w:id="175"/>
      <w:bookmarkEnd w:id="176"/>
      <w:bookmarkEnd w:id="177"/>
      <w:bookmarkEnd w:id="178"/>
      <w:r>
        <w:rPr>
          <w:rFonts w:ascii="Raleway ExtraBold"/>
          <w:b/>
          <w:color w:val="EA5B50"/>
          <w:spacing w:val="-4"/>
          <w:sz w:val="56"/>
        </w:rPr>
        <w:t xml:space="preserve">Responding </w:t>
      </w:r>
      <w:r>
        <w:rPr>
          <w:rFonts w:ascii="Raleway ExtraBold"/>
          <w:b/>
          <w:color w:val="EA5B50"/>
          <w:spacing w:val="-5"/>
          <w:sz w:val="56"/>
        </w:rPr>
        <w:t xml:space="preserve">to </w:t>
      </w:r>
      <w:r>
        <w:rPr>
          <w:rFonts w:ascii="Raleway ExtraBold"/>
          <w:b/>
          <w:color w:val="EA5B50"/>
          <w:spacing w:val="-3"/>
          <w:sz w:val="56"/>
        </w:rPr>
        <w:t xml:space="preserve">people </w:t>
      </w:r>
      <w:r>
        <w:rPr>
          <w:rFonts w:ascii="Raleway ExtraBold"/>
          <w:b/>
          <w:color w:val="EA5B50"/>
          <w:sz w:val="56"/>
        </w:rPr>
        <w:t>who</w:t>
      </w:r>
      <w:r>
        <w:rPr>
          <w:rFonts w:ascii="Raleway ExtraBold"/>
          <w:b/>
          <w:color w:val="EA5B50"/>
          <w:spacing w:val="13"/>
          <w:sz w:val="56"/>
        </w:rPr>
        <w:t xml:space="preserve"> </w:t>
      </w:r>
      <w:r>
        <w:rPr>
          <w:rFonts w:ascii="Raleway ExtraBold"/>
          <w:b/>
          <w:color w:val="EA5B50"/>
          <w:spacing w:val="-4"/>
          <w:sz w:val="56"/>
        </w:rPr>
        <w:t>stalk</w:t>
      </w:r>
    </w:p>
    <w:p w14:paraId="321FD9A6" w14:textId="77777777" w:rsidR="00894070" w:rsidRDefault="00894070">
      <w:pPr>
        <w:pStyle w:val="BodyText"/>
        <w:rPr>
          <w:rFonts w:ascii="Raleway ExtraBold"/>
          <w:b/>
          <w:sz w:val="66"/>
        </w:rPr>
      </w:pPr>
    </w:p>
    <w:p w14:paraId="0AED8AF4" w14:textId="77777777" w:rsidR="00894070" w:rsidRDefault="00894070">
      <w:pPr>
        <w:pStyle w:val="BodyText"/>
        <w:rPr>
          <w:rFonts w:ascii="Raleway ExtraBold"/>
          <w:b/>
          <w:sz w:val="66"/>
        </w:rPr>
      </w:pPr>
    </w:p>
    <w:p w14:paraId="55F8575B" w14:textId="77777777" w:rsidR="00894070" w:rsidRDefault="00894070">
      <w:pPr>
        <w:pStyle w:val="BodyText"/>
        <w:spacing w:before="8"/>
        <w:rPr>
          <w:rFonts w:ascii="Raleway ExtraBold"/>
          <w:b/>
          <w:sz w:val="73"/>
        </w:rPr>
      </w:pPr>
    </w:p>
    <w:p w14:paraId="333C180C" w14:textId="77777777" w:rsidR="00894070" w:rsidRDefault="009B7AFD">
      <w:pPr>
        <w:pStyle w:val="Heading7"/>
        <w:spacing w:before="1"/>
      </w:pPr>
      <w:r>
        <w:rPr>
          <w:color w:val="EA5B50"/>
        </w:rPr>
        <w:t>Overview</w:t>
      </w:r>
    </w:p>
    <w:p w14:paraId="237363F8" w14:textId="77777777" w:rsidR="00894070" w:rsidRDefault="009B7AFD">
      <w:pPr>
        <w:pStyle w:val="ListParagraph"/>
        <w:numPr>
          <w:ilvl w:val="1"/>
          <w:numId w:val="103"/>
        </w:numPr>
        <w:tabs>
          <w:tab w:val="left" w:pos="2141"/>
          <w:tab w:val="left" w:pos="2142"/>
        </w:tabs>
        <w:spacing w:before="113"/>
        <w:ind w:hanging="340"/>
        <w:rPr>
          <w:sz w:val="20"/>
        </w:rPr>
      </w:pPr>
      <w:r>
        <w:rPr>
          <w:color w:val="231F20"/>
          <w:sz w:val="20"/>
        </w:rPr>
        <w:t xml:space="preserve">People who stalk should be accountable </w:t>
      </w:r>
      <w:r>
        <w:rPr>
          <w:color w:val="231F20"/>
          <w:spacing w:val="-3"/>
          <w:sz w:val="20"/>
        </w:rPr>
        <w:t xml:space="preserve">for </w:t>
      </w:r>
      <w:r>
        <w:rPr>
          <w:color w:val="231F20"/>
          <w:sz w:val="20"/>
        </w:rPr>
        <w:t>their</w:t>
      </w:r>
      <w:r>
        <w:rPr>
          <w:color w:val="231F20"/>
          <w:spacing w:val="-35"/>
          <w:sz w:val="20"/>
        </w:rPr>
        <w:t xml:space="preserve"> </w:t>
      </w:r>
      <w:r>
        <w:rPr>
          <w:color w:val="231F20"/>
          <w:spacing w:val="-3"/>
          <w:sz w:val="20"/>
        </w:rPr>
        <w:t>behaviour.</w:t>
      </w:r>
    </w:p>
    <w:p w14:paraId="1CCEF23E" w14:textId="77777777" w:rsidR="00894070" w:rsidRDefault="009B7AFD">
      <w:pPr>
        <w:pStyle w:val="ListParagraph"/>
        <w:numPr>
          <w:ilvl w:val="1"/>
          <w:numId w:val="103"/>
        </w:numPr>
        <w:tabs>
          <w:tab w:val="left" w:pos="2141"/>
          <w:tab w:val="left" w:pos="2142"/>
        </w:tabs>
        <w:spacing w:before="48"/>
        <w:ind w:hanging="340"/>
        <w:rPr>
          <w:sz w:val="20"/>
        </w:rPr>
      </w:pPr>
      <w:r>
        <w:rPr>
          <w:color w:val="231F20"/>
          <w:sz w:val="20"/>
        </w:rPr>
        <w:t xml:space="preserve">Complex factors </w:t>
      </w:r>
      <w:r>
        <w:rPr>
          <w:color w:val="231F20"/>
          <w:spacing w:val="-3"/>
          <w:sz w:val="20"/>
        </w:rPr>
        <w:t xml:space="preserve">contribute </w:t>
      </w:r>
      <w:r>
        <w:rPr>
          <w:color w:val="231F20"/>
          <w:sz w:val="20"/>
        </w:rPr>
        <w:t>to</w:t>
      </w:r>
      <w:r>
        <w:rPr>
          <w:color w:val="231F20"/>
          <w:spacing w:val="-15"/>
          <w:sz w:val="20"/>
        </w:rPr>
        <w:t xml:space="preserve"> </w:t>
      </w:r>
      <w:r>
        <w:rPr>
          <w:color w:val="231F20"/>
          <w:sz w:val="20"/>
        </w:rPr>
        <w:t>stalking.</w:t>
      </w:r>
    </w:p>
    <w:p w14:paraId="4A30037F" w14:textId="77777777" w:rsidR="00894070" w:rsidRDefault="009B7AFD">
      <w:pPr>
        <w:pStyle w:val="ListParagraph"/>
        <w:numPr>
          <w:ilvl w:val="1"/>
          <w:numId w:val="103"/>
        </w:numPr>
        <w:tabs>
          <w:tab w:val="left" w:pos="2141"/>
          <w:tab w:val="left" w:pos="2142"/>
        </w:tabs>
        <w:spacing w:before="80" w:line="206" w:lineRule="auto"/>
        <w:ind w:right="1753" w:hanging="340"/>
        <w:rPr>
          <w:sz w:val="11"/>
        </w:rPr>
      </w:pPr>
      <w:r>
        <w:rPr>
          <w:color w:val="231F20"/>
          <w:sz w:val="20"/>
        </w:rPr>
        <w:t>There</w:t>
      </w:r>
      <w:r>
        <w:rPr>
          <w:color w:val="231F20"/>
          <w:spacing w:val="-9"/>
          <w:sz w:val="20"/>
        </w:rPr>
        <w:t xml:space="preserve"> </w:t>
      </w:r>
      <w:r>
        <w:rPr>
          <w:color w:val="231F20"/>
          <w:sz w:val="20"/>
        </w:rPr>
        <w:t>is</w:t>
      </w:r>
      <w:r>
        <w:rPr>
          <w:color w:val="231F20"/>
          <w:spacing w:val="-8"/>
          <w:sz w:val="20"/>
        </w:rPr>
        <w:t xml:space="preserve"> </w:t>
      </w:r>
      <w:r>
        <w:rPr>
          <w:color w:val="231F20"/>
          <w:sz w:val="20"/>
        </w:rPr>
        <w:t>some</w:t>
      </w:r>
      <w:r>
        <w:rPr>
          <w:color w:val="231F20"/>
          <w:spacing w:val="-8"/>
          <w:sz w:val="20"/>
        </w:rPr>
        <w:t xml:space="preserve"> </w:t>
      </w:r>
      <w:r>
        <w:rPr>
          <w:color w:val="231F20"/>
          <w:sz w:val="20"/>
        </w:rPr>
        <w:t>evidence</w:t>
      </w:r>
      <w:r>
        <w:rPr>
          <w:color w:val="231F20"/>
          <w:spacing w:val="-8"/>
          <w:sz w:val="20"/>
        </w:rPr>
        <w:t xml:space="preserve"> </w:t>
      </w:r>
      <w:r>
        <w:rPr>
          <w:color w:val="231F20"/>
          <w:sz w:val="20"/>
        </w:rPr>
        <w:t>that</w:t>
      </w:r>
      <w:r>
        <w:rPr>
          <w:color w:val="231F20"/>
          <w:spacing w:val="-8"/>
          <w:sz w:val="20"/>
        </w:rPr>
        <w:t xml:space="preserve"> </w:t>
      </w:r>
      <w:r>
        <w:rPr>
          <w:color w:val="231F20"/>
          <w:sz w:val="20"/>
        </w:rPr>
        <w:t>therapeutic</w:t>
      </w:r>
      <w:r>
        <w:rPr>
          <w:color w:val="231F20"/>
          <w:spacing w:val="-8"/>
          <w:sz w:val="20"/>
        </w:rPr>
        <w:t xml:space="preserve"> </w:t>
      </w:r>
      <w:r>
        <w:rPr>
          <w:color w:val="231F20"/>
          <w:spacing w:val="-3"/>
          <w:sz w:val="20"/>
        </w:rPr>
        <w:t>treatment</w:t>
      </w:r>
      <w:r>
        <w:rPr>
          <w:color w:val="231F20"/>
          <w:spacing w:val="-8"/>
          <w:sz w:val="20"/>
        </w:rPr>
        <w:t xml:space="preserve"> </w:t>
      </w:r>
      <w:r>
        <w:rPr>
          <w:color w:val="231F20"/>
          <w:spacing w:val="-3"/>
          <w:sz w:val="20"/>
        </w:rPr>
        <w:t>may</w:t>
      </w:r>
      <w:r>
        <w:rPr>
          <w:color w:val="231F20"/>
          <w:spacing w:val="-8"/>
          <w:sz w:val="20"/>
        </w:rPr>
        <w:t xml:space="preserve"> </w:t>
      </w:r>
      <w:r>
        <w:rPr>
          <w:color w:val="231F20"/>
          <w:spacing w:val="-3"/>
          <w:sz w:val="20"/>
        </w:rPr>
        <w:t>reduce</w:t>
      </w:r>
      <w:r>
        <w:rPr>
          <w:color w:val="231F20"/>
          <w:spacing w:val="-9"/>
          <w:sz w:val="20"/>
        </w:rPr>
        <w:t xml:space="preserve"> </w:t>
      </w:r>
      <w:r>
        <w:rPr>
          <w:color w:val="231F20"/>
          <w:sz w:val="20"/>
        </w:rPr>
        <w:t>the</w:t>
      </w:r>
      <w:r>
        <w:rPr>
          <w:color w:val="231F20"/>
          <w:spacing w:val="-8"/>
          <w:sz w:val="20"/>
        </w:rPr>
        <w:t xml:space="preserve"> </w:t>
      </w:r>
      <w:r>
        <w:rPr>
          <w:color w:val="231F20"/>
          <w:sz w:val="20"/>
        </w:rPr>
        <w:t>risk</w:t>
      </w:r>
      <w:r>
        <w:rPr>
          <w:color w:val="231F20"/>
          <w:spacing w:val="-8"/>
          <w:sz w:val="20"/>
        </w:rPr>
        <w:t xml:space="preserve"> </w:t>
      </w:r>
      <w:r>
        <w:rPr>
          <w:color w:val="231F20"/>
          <w:sz w:val="20"/>
        </w:rPr>
        <w:t>of</w:t>
      </w:r>
      <w:r>
        <w:rPr>
          <w:color w:val="231F20"/>
          <w:spacing w:val="-8"/>
          <w:sz w:val="20"/>
        </w:rPr>
        <w:t xml:space="preserve"> </w:t>
      </w:r>
      <w:r>
        <w:rPr>
          <w:color w:val="231F20"/>
          <w:sz w:val="20"/>
        </w:rPr>
        <w:t>re- offending.</w:t>
      </w:r>
      <w:r>
        <w:rPr>
          <w:color w:val="231F20"/>
          <w:position w:val="7"/>
          <w:sz w:val="11"/>
        </w:rPr>
        <w:t>1</w:t>
      </w:r>
    </w:p>
    <w:p w14:paraId="2F030A36" w14:textId="77777777" w:rsidR="00894070" w:rsidRDefault="009B7AFD">
      <w:pPr>
        <w:pStyle w:val="ListParagraph"/>
        <w:numPr>
          <w:ilvl w:val="1"/>
          <w:numId w:val="103"/>
        </w:numPr>
        <w:tabs>
          <w:tab w:val="left" w:pos="2141"/>
          <w:tab w:val="left" w:pos="2142"/>
        </w:tabs>
        <w:spacing w:before="87" w:line="206" w:lineRule="auto"/>
        <w:ind w:right="1226" w:hanging="340"/>
        <w:rPr>
          <w:sz w:val="20"/>
        </w:rPr>
      </w:pPr>
      <w:r>
        <w:rPr>
          <w:color w:val="231F20"/>
          <w:sz w:val="20"/>
        </w:rPr>
        <w:t xml:space="preserve">People who stalk need to get the right </w:t>
      </w:r>
      <w:r>
        <w:rPr>
          <w:color w:val="231F20"/>
          <w:spacing w:val="-2"/>
          <w:sz w:val="20"/>
        </w:rPr>
        <w:t xml:space="preserve">intervention, </w:t>
      </w:r>
      <w:r>
        <w:rPr>
          <w:color w:val="231F20"/>
          <w:spacing w:val="-5"/>
          <w:sz w:val="20"/>
        </w:rPr>
        <w:t xml:space="preserve">early, </w:t>
      </w:r>
      <w:r>
        <w:rPr>
          <w:color w:val="231F20"/>
          <w:sz w:val="20"/>
        </w:rPr>
        <w:t xml:space="preserve">to stop their </w:t>
      </w:r>
      <w:r>
        <w:rPr>
          <w:color w:val="231F20"/>
          <w:spacing w:val="-3"/>
          <w:sz w:val="20"/>
        </w:rPr>
        <w:t xml:space="preserve">behaviour. </w:t>
      </w:r>
      <w:r>
        <w:rPr>
          <w:color w:val="231F20"/>
          <w:sz w:val="20"/>
        </w:rPr>
        <w:t>But</w:t>
      </w:r>
      <w:r>
        <w:rPr>
          <w:color w:val="231F20"/>
          <w:spacing w:val="-6"/>
          <w:sz w:val="20"/>
        </w:rPr>
        <w:t xml:space="preserve"> </w:t>
      </w:r>
      <w:r>
        <w:rPr>
          <w:color w:val="231F20"/>
          <w:spacing w:val="-3"/>
          <w:sz w:val="20"/>
        </w:rPr>
        <w:t>reforms,</w:t>
      </w:r>
      <w:r>
        <w:rPr>
          <w:color w:val="231F20"/>
          <w:spacing w:val="-6"/>
          <w:sz w:val="20"/>
        </w:rPr>
        <w:t xml:space="preserve"> </w:t>
      </w:r>
      <w:r>
        <w:rPr>
          <w:color w:val="231F20"/>
          <w:sz w:val="20"/>
        </w:rPr>
        <w:t>including</w:t>
      </w:r>
      <w:r>
        <w:rPr>
          <w:color w:val="231F20"/>
          <w:spacing w:val="-6"/>
          <w:sz w:val="20"/>
        </w:rPr>
        <w:t xml:space="preserve"> </w:t>
      </w:r>
      <w:r>
        <w:rPr>
          <w:color w:val="231F20"/>
          <w:spacing w:val="-3"/>
          <w:sz w:val="20"/>
        </w:rPr>
        <w:t>early</w:t>
      </w:r>
      <w:r>
        <w:rPr>
          <w:color w:val="231F20"/>
          <w:spacing w:val="-6"/>
          <w:sz w:val="20"/>
        </w:rPr>
        <w:t xml:space="preserve"> </w:t>
      </w:r>
      <w:r>
        <w:rPr>
          <w:color w:val="231F20"/>
          <w:spacing w:val="-2"/>
          <w:sz w:val="20"/>
        </w:rPr>
        <w:t>intervention,</w:t>
      </w:r>
      <w:r>
        <w:rPr>
          <w:color w:val="231F20"/>
          <w:spacing w:val="-6"/>
          <w:sz w:val="20"/>
        </w:rPr>
        <w:t xml:space="preserve"> </w:t>
      </w:r>
      <w:r>
        <w:rPr>
          <w:color w:val="231F20"/>
          <w:sz w:val="20"/>
        </w:rPr>
        <w:t>will</w:t>
      </w:r>
      <w:r>
        <w:rPr>
          <w:color w:val="231F20"/>
          <w:spacing w:val="-6"/>
          <w:sz w:val="20"/>
        </w:rPr>
        <w:t xml:space="preserve"> </w:t>
      </w:r>
      <w:r>
        <w:rPr>
          <w:color w:val="231F20"/>
          <w:spacing w:val="-3"/>
          <w:sz w:val="20"/>
        </w:rPr>
        <w:t>only</w:t>
      </w:r>
      <w:r>
        <w:rPr>
          <w:color w:val="231F20"/>
          <w:spacing w:val="-6"/>
          <w:sz w:val="20"/>
        </w:rPr>
        <w:t xml:space="preserve"> </w:t>
      </w:r>
      <w:r>
        <w:rPr>
          <w:color w:val="231F20"/>
          <w:spacing w:val="-3"/>
          <w:sz w:val="20"/>
        </w:rPr>
        <w:t>work</w:t>
      </w:r>
      <w:r>
        <w:rPr>
          <w:color w:val="231F20"/>
          <w:spacing w:val="-5"/>
          <w:sz w:val="20"/>
        </w:rPr>
        <w:t xml:space="preserve"> </w:t>
      </w:r>
      <w:r>
        <w:rPr>
          <w:color w:val="231F20"/>
          <w:sz w:val="20"/>
        </w:rPr>
        <w:t>if</w:t>
      </w:r>
      <w:r>
        <w:rPr>
          <w:color w:val="231F20"/>
          <w:spacing w:val="-6"/>
          <w:sz w:val="20"/>
        </w:rPr>
        <w:t xml:space="preserve"> </w:t>
      </w:r>
      <w:r>
        <w:rPr>
          <w:color w:val="231F20"/>
          <w:sz w:val="20"/>
        </w:rPr>
        <w:t>the</w:t>
      </w:r>
      <w:r>
        <w:rPr>
          <w:color w:val="231F20"/>
          <w:spacing w:val="-6"/>
          <w:sz w:val="20"/>
        </w:rPr>
        <w:t xml:space="preserve"> </w:t>
      </w:r>
      <w:r>
        <w:rPr>
          <w:color w:val="231F20"/>
          <w:sz w:val="20"/>
        </w:rPr>
        <w:t>services</w:t>
      </w:r>
      <w:r>
        <w:rPr>
          <w:color w:val="231F20"/>
          <w:spacing w:val="-6"/>
          <w:sz w:val="20"/>
        </w:rPr>
        <w:t xml:space="preserve"> </w:t>
      </w:r>
      <w:proofErr w:type="gramStart"/>
      <w:r>
        <w:rPr>
          <w:color w:val="231F20"/>
          <w:spacing w:val="-3"/>
          <w:sz w:val="20"/>
        </w:rPr>
        <w:t>actually</w:t>
      </w:r>
      <w:r>
        <w:rPr>
          <w:color w:val="231F20"/>
          <w:spacing w:val="-6"/>
          <w:sz w:val="20"/>
        </w:rPr>
        <w:t xml:space="preserve"> </w:t>
      </w:r>
      <w:r>
        <w:rPr>
          <w:color w:val="231F20"/>
          <w:sz w:val="20"/>
        </w:rPr>
        <w:t>exist</w:t>
      </w:r>
      <w:proofErr w:type="gramEnd"/>
      <w:r>
        <w:rPr>
          <w:color w:val="231F20"/>
          <w:sz w:val="20"/>
        </w:rPr>
        <w:t>.</w:t>
      </w:r>
    </w:p>
    <w:p w14:paraId="22AB82C0" w14:textId="77777777" w:rsidR="00894070" w:rsidRDefault="009B7AFD">
      <w:pPr>
        <w:pStyle w:val="ListParagraph"/>
        <w:numPr>
          <w:ilvl w:val="1"/>
          <w:numId w:val="103"/>
        </w:numPr>
        <w:tabs>
          <w:tab w:val="left" w:pos="2141"/>
          <w:tab w:val="left" w:pos="2142"/>
        </w:tabs>
        <w:spacing w:before="88" w:line="206" w:lineRule="auto"/>
        <w:ind w:right="1787" w:hanging="340"/>
        <w:rPr>
          <w:sz w:val="20"/>
        </w:rPr>
      </w:pPr>
      <w:r>
        <w:rPr>
          <w:color w:val="231F20"/>
          <w:spacing w:val="-3"/>
          <w:sz w:val="20"/>
        </w:rPr>
        <w:t xml:space="preserve">Electronic </w:t>
      </w:r>
      <w:r>
        <w:rPr>
          <w:color w:val="231F20"/>
          <w:sz w:val="20"/>
        </w:rPr>
        <w:t xml:space="preserve">monitoring is a </w:t>
      </w:r>
      <w:r>
        <w:rPr>
          <w:color w:val="231F20"/>
          <w:spacing w:val="-3"/>
          <w:sz w:val="20"/>
        </w:rPr>
        <w:t xml:space="preserve">controversial </w:t>
      </w:r>
      <w:r>
        <w:rPr>
          <w:color w:val="231F20"/>
          <w:sz w:val="20"/>
        </w:rPr>
        <w:t xml:space="preserve">criminal justice measure. It is </w:t>
      </w:r>
      <w:r>
        <w:rPr>
          <w:color w:val="231F20"/>
          <w:spacing w:val="-3"/>
          <w:sz w:val="20"/>
        </w:rPr>
        <w:t xml:space="preserve">unlikely </w:t>
      </w:r>
      <w:r>
        <w:rPr>
          <w:color w:val="231F20"/>
          <w:sz w:val="20"/>
        </w:rPr>
        <w:t>to</w:t>
      </w:r>
      <w:r>
        <w:rPr>
          <w:color w:val="231F20"/>
          <w:spacing w:val="-7"/>
          <w:sz w:val="20"/>
        </w:rPr>
        <w:t xml:space="preserve"> </w:t>
      </w:r>
      <w:r>
        <w:rPr>
          <w:color w:val="231F20"/>
          <w:spacing w:val="-3"/>
          <w:sz w:val="20"/>
        </w:rPr>
        <w:t>achieve</w:t>
      </w:r>
      <w:r>
        <w:rPr>
          <w:color w:val="231F20"/>
          <w:spacing w:val="-6"/>
          <w:sz w:val="20"/>
        </w:rPr>
        <w:t xml:space="preserve"> </w:t>
      </w:r>
      <w:r>
        <w:rPr>
          <w:color w:val="231F20"/>
          <w:sz w:val="20"/>
        </w:rPr>
        <w:t>its</w:t>
      </w:r>
      <w:r>
        <w:rPr>
          <w:color w:val="231F20"/>
          <w:spacing w:val="-6"/>
          <w:sz w:val="20"/>
        </w:rPr>
        <w:t xml:space="preserve"> </w:t>
      </w:r>
      <w:r>
        <w:rPr>
          <w:color w:val="231F20"/>
          <w:sz w:val="20"/>
        </w:rPr>
        <w:t>intended</w:t>
      </w:r>
      <w:r>
        <w:rPr>
          <w:color w:val="231F20"/>
          <w:spacing w:val="-6"/>
          <w:sz w:val="20"/>
        </w:rPr>
        <w:t xml:space="preserve"> </w:t>
      </w:r>
      <w:r>
        <w:rPr>
          <w:color w:val="231F20"/>
          <w:sz w:val="20"/>
        </w:rPr>
        <w:t>goal</w:t>
      </w:r>
      <w:r>
        <w:rPr>
          <w:color w:val="231F20"/>
          <w:spacing w:val="-6"/>
          <w:sz w:val="20"/>
        </w:rPr>
        <w:t xml:space="preserve"> </w:t>
      </w:r>
      <w:r>
        <w:rPr>
          <w:color w:val="231F20"/>
          <w:sz w:val="20"/>
        </w:rPr>
        <w:t>of</w:t>
      </w:r>
      <w:r>
        <w:rPr>
          <w:color w:val="231F20"/>
          <w:spacing w:val="-6"/>
          <w:sz w:val="20"/>
        </w:rPr>
        <w:t xml:space="preserve"> </w:t>
      </w:r>
      <w:r>
        <w:rPr>
          <w:color w:val="231F20"/>
          <w:sz w:val="20"/>
        </w:rPr>
        <w:t>keeping</w:t>
      </w:r>
      <w:r>
        <w:rPr>
          <w:color w:val="231F20"/>
          <w:spacing w:val="-6"/>
          <w:sz w:val="20"/>
        </w:rPr>
        <w:t xml:space="preserve"> </w:t>
      </w:r>
      <w:r>
        <w:rPr>
          <w:color w:val="231F20"/>
          <w:sz w:val="20"/>
        </w:rPr>
        <w:t>people</w:t>
      </w:r>
      <w:r>
        <w:rPr>
          <w:color w:val="231F20"/>
          <w:spacing w:val="-6"/>
          <w:sz w:val="20"/>
        </w:rPr>
        <w:t xml:space="preserve"> </w:t>
      </w:r>
      <w:r>
        <w:rPr>
          <w:color w:val="231F20"/>
          <w:spacing w:val="-3"/>
          <w:sz w:val="20"/>
        </w:rPr>
        <w:t>safe.</w:t>
      </w:r>
      <w:r>
        <w:rPr>
          <w:color w:val="231F20"/>
          <w:spacing w:val="-6"/>
          <w:sz w:val="20"/>
        </w:rPr>
        <w:t xml:space="preserve"> </w:t>
      </w:r>
      <w:r>
        <w:rPr>
          <w:color w:val="231F20"/>
          <w:sz w:val="20"/>
        </w:rPr>
        <w:t>It</w:t>
      </w:r>
      <w:r>
        <w:rPr>
          <w:color w:val="231F20"/>
          <w:spacing w:val="-6"/>
          <w:sz w:val="20"/>
        </w:rPr>
        <w:t xml:space="preserve"> </w:t>
      </w:r>
      <w:r>
        <w:rPr>
          <w:color w:val="231F20"/>
          <w:spacing w:val="-3"/>
          <w:sz w:val="20"/>
        </w:rPr>
        <w:t>may</w:t>
      </w:r>
      <w:r>
        <w:rPr>
          <w:color w:val="231F20"/>
          <w:spacing w:val="-6"/>
          <w:sz w:val="20"/>
        </w:rPr>
        <w:t xml:space="preserve"> </w:t>
      </w:r>
      <w:r>
        <w:rPr>
          <w:color w:val="231F20"/>
          <w:sz w:val="20"/>
        </w:rPr>
        <w:t>also</w:t>
      </w:r>
      <w:r>
        <w:rPr>
          <w:color w:val="231F20"/>
          <w:spacing w:val="-6"/>
          <w:sz w:val="20"/>
        </w:rPr>
        <w:t xml:space="preserve"> </w:t>
      </w:r>
      <w:r>
        <w:rPr>
          <w:color w:val="231F20"/>
          <w:spacing w:val="-4"/>
          <w:sz w:val="20"/>
        </w:rPr>
        <w:t>have</w:t>
      </w:r>
      <w:r>
        <w:rPr>
          <w:color w:val="231F20"/>
          <w:spacing w:val="-6"/>
          <w:sz w:val="20"/>
        </w:rPr>
        <w:t xml:space="preserve"> </w:t>
      </w:r>
      <w:r>
        <w:rPr>
          <w:color w:val="231F20"/>
          <w:spacing w:val="-3"/>
          <w:sz w:val="20"/>
        </w:rPr>
        <w:t xml:space="preserve">adverse </w:t>
      </w:r>
      <w:r>
        <w:rPr>
          <w:color w:val="231F20"/>
          <w:sz w:val="20"/>
        </w:rPr>
        <w:t xml:space="preserve">consequences </w:t>
      </w:r>
      <w:r>
        <w:rPr>
          <w:color w:val="231F20"/>
          <w:spacing w:val="-3"/>
          <w:sz w:val="20"/>
        </w:rPr>
        <w:t xml:space="preserve">for </w:t>
      </w:r>
      <w:r>
        <w:rPr>
          <w:color w:val="231F20"/>
          <w:sz w:val="20"/>
        </w:rPr>
        <w:t>people who wear these</w:t>
      </w:r>
      <w:r>
        <w:rPr>
          <w:color w:val="231F20"/>
          <w:spacing w:val="-27"/>
          <w:sz w:val="20"/>
        </w:rPr>
        <w:t xml:space="preserve"> </w:t>
      </w:r>
      <w:r>
        <w:rPr>
          <w:color w:val="231F20"/>
          <w:sz w:val="20"/>
        </w:rPr>
        <w:t>devices.</w:t>
      </w:r>
    </w:p>
    <w:p w14:paraId="28C3BE04" w14:textId="77777777" w:rsidR="00894070" w:rsidRDefault="009B7AFD">
      <w:pPr>
        <w:pStyle w:val="ListParagraph"/>
        <w:numPr>
          <w:ilvl w:val="1"/>
          <w:numId w:val="103"/>
        </w:numPr>
        <w:tabs>
          <w:tab w:val="left" w:pos="2141"/>
          <w:tab w:val="left" w:pos="2142"/>
        </w:tabs>
        <w:spacing w:before="89" w:line="206" w:lineRule="auto"/>
        <w:ind w:right="1486" w:hanging="340"/>
        <w:rPr>
          <w:sz w:val="20"/>
        </w:rPr>
      </w:pPr>
      <w:r>
        <w:rPr>
          <w:color w:val="231F20"/>
          <w:sz w:val="20"/>
        </w:rPr>
        <w:t xml:space="preserve">The response to stalking should be </w:t>
      </w:r>
      <w:r>
        <w:rPr>
          <w:color w:val="231F20"/>
          <w:spacing w:val="-3"/>
          <w:sz w:val="20"/>
        </w:rPr>
        <w:t xml:space="preserve">coordinated, system-wide, </w:t>
      </w:r>
      <w:r>
        <w:rPr>
          <w:color w:val="231F20"/>
          <w:sz w:val="20"/>
        </w:rPr>
        <w:t xml:space="preserve">and </w:t>
      </w:r>
      <w:r>
        <w:rPr>
          <w:color w:val="231F20"/>
          <w:spacing w:val="-3"/>
          <w:sz w:val="20"/>
        </w:rPr>
        <w:t xml:space="preserve">focus </w:t>
      </w:r>
      <w:r>
        <w:rPr>
          <w:color w:val="231F20"/>
          <w:sz w:val="20"/>
        </w:rPr>
        <w:t xml:space="preserve">on </w:t>
      </w:r>
      <w:r>
        <w:rPr>
          <w:color w:val="231F20"/>
          <w:spacing w:val="-3"/>
          <w:sz w:val="20"/>
        </w:rPr>
        <w:t>early</w:t>
      </w:r>
      <w:r>
        <w:rPr>
          <w:color w:val="231F20"/>
          <w:spacing w:val="-10"/>
          <w:sz w:val="20"/>
        </w:rPr>
        <w:t xml:space="preserve"> </w:t>
      </w:r>
      <w:r>
        <w:rPr>
          <w:color w:val="231F20"/>
          <w:sz w:val="20"/>
        </w:rPr>
        <w:t>intervention.</w:t>
      </w:r>
      <w:r>
        <w:rPr>
          <w:color w:val="231F20"/>
          <w:spacing w:val="-10"/>
          <w:sz w:val="20"/>
        </w:rPr>
        <w:t xml:space="preserve"> </w:t>
      </w:r>
      <w:r>
        <w:rPr>
          <w:color w:val="231F20"/>
          <w:sz w:val="20"/>
        </w:rPr>
        <w:t>This</w:t>
      </w:r>
      <w:r>
        <w:rPr>
          <w:color w:val="231F20"/>
          <w:spacing w:val="-10"/>
          <w:sz w:val="20"/>
        </w:rPr>
        <w:t xml:space="preserve"> </w:t>
      </w:r>
      <w:r>
        <w:rPr>
          <w:color w:val="231F20"/>
          <w:sz w:val="20"/>
        </w:rPr>
        <w:t>will</w:t>
      </w:r>
      <w:r>
        <w:rPr>
          <w:color w:val="231F20"/>
          <w:spacing w:val="-10"/>
          <w:sz w:val="20"/>
        </w:rPr>
        <w:t xml:space="preserve"> </w:t>
      </w:r>
      <w:r>
        <w:rPr>
          <w:color w:val="231F20"/>
          <w:sz w:val="20"/>
        </w:rPr>
        <w:t>help</w:t>
      </w:r>
      <w:r>
        <w:rPr>
          <w:color w:val="231F20"/>
          <w:spacing w:val="-10"/>
          <w:sz w:val="20"/>
        </w:rPr>
        <w:t xml:space="preserve"> </w:t>
      </w:r>
      <w:r>
        <w:rPr>
          <w:color w:val="231F20"/>
          <w:spacing w:val="-3"/>
          <w:sz w:val="20"/>
        </w:rPr>
        <w:t>protect</w:t>
      </w:r>
      <w:r>
        <w:rPr>
          <w:color w:val="231F20"/>
          <w:spacing w:val="-10"/>
          <w:sz w:val="20"/>
        </w:rPr>
        <w:t xml:space="preserve"> </w:t>
      </w:r>
      <w:r>
        <w:rPr>
          <w:color w:val="231F20"/>
          <w:sz w:val="20"/>
        </w:rPr>
        <w:t>people</w:t>
      </w:r>
      <w:r>
        <w:rPr>
          <w:color w:val="231F20"/>
          <w:spacing w:val="-10"/>
          <w:sz w:val="20"/>
        </w:rPr>
        <w:t xml:space="preserve"> </w:t>
      </w:r>
      <w:r>
        <w:rPr>
          <w:color w:val="231F20"/>
          <w:sz w:val="20"/>
        </w:rPr>
        <w:t>who</w:t>
      </w:r>
      <w:r>
        <w:rPr>
          <w:color w:val="231F20"/>
          <w:spacing w:val="-9"/>
          <w:sz w:val="20"/>
        </w:rPr>
        <w:t xml:space="preserve"> </w:t>
      </w:r>
      <w:r>
        <w:rPr>
          <w:color w:val="231F20"/>
          <w:sz w:val="20"/>
        </w:rPr>
        <w:t>experience</w:t>
      </w:r>
      <w:r>
        <w:rPr>
          <w:color w:val="231F20"/>
          <w:spacing w:val="-10"/>
          <w:sz w:val="20"/>
        </w:rPr>
        <w:t xml:space="preserve"> </w:t>
      </w:r>
      <w:r>
        <w:rPr>
          <w:color w:val="231F20"/>
          <w:sz w:val="20"/>
        </w:rPr>
        <w:t>stalking</w:t>
      </w:r>
      <w:r>
        <w:rPr>
          <w:color w:val="231F20"/>
          <w:spacing w:val="-10"/>
          <w:sz w:val="20"/>
        </w:rPr>
        <w:t xml:space="preserve"> </w:t>
      </w:r>
      <w:r>
        <w:rPr>
          <w:color w:val="231F20"/>
          <w:sz w:val="20"/>
        </w:rPr>
        <w:t>and</w:t>
      </w:r>
      <w:r>
        <w:rPr>
          <w:color w:val="231F20"/>
          <w:spacing w:val="-10"/>
          <w:sz w:val="20"/>
        </w:rPr>
        <w:t xml:space="preserve"> </w:t>
      </w:r>
      <w:r>
        <w:rPr>
          <w:color w:val="231F20"/>
          <w:sz w:val="20"/>
        </w:rPr>
        <w:t xml:space="preserve">the </w:t>
      </w:r>
      <w:r>
        <w:rPr>
          <w:color w:val="231F20"/>
          <w:spacing w:val="-3"/>
          <w:sz w:val="20"/>
        </w:rPr>
        <w:t>community.</w:t>
      </w:r>
    </w:p>
    <w:p w14:paraId="785D771E" w14:textId="77777777" w:rsidR="00894070" w:rsidRDefault="009B7AFD">
      <w:pPr>
        <w:pStyle w:val="ListParagraph"/>
        <w:numPr>
          <w:ilvl w:val="1"/>
          <w:numId w:val="103"/>
        </w:numPr>
        <w:tabs>
          <w:tab w:val="left" w:pos="2141"/>
          <w:tab w:val="left" w:pos="2142"/>
        </w:tabs>
        <w:spacing w:before="88" w:line="206" w:lineRule="auto"/>
        <w:ind w:right="1911" w:hanging="340"/>
        <w:rPr>
          <w:sz w:val="20"/>
        </w:rPr>
      </w:pPr>
      <w:r>
        <w:rPr>
          <w:color w:val="231F20"/>
          <w:sz w:val="20"/>
        </w:rPr>
        <w:t>If</w:t>
      </w:r>
      <w:r>
        <w:rPr>
          <w:color w:val="231F20"/>
          <w:spacing w:val="-9"/>
          <w:sz w:val="20"/>
        </w:rPr>
        <w:t xml:space="preserve"> </w:t>
      </w:r>
      <w:r>
        <w:rPr>
          <w:color w:val="231F20"/>
          <w:sz w:val="20"/>
        </w:rPr>
        <w:t>there</w:t>
      </w:r>
      <w:r>
        <w:rPr>
          <w:color w:val="231F20"/>
          <w:spacing w:val="-9"/>
          <w:sz w:val="20"/>
        </w:rPr>
        <w:t xml:space="preserve"> </w:t>
      </w:r>
      <w:r>
        <w:rPr>
          <w:color w:val="231F20"/>
          <w:spacing w:val="-3"/>
          <w:sz w:val="20"/>
        </w:rPr>
        <w:t>are</w:t>
      </w:r>
      <w:r>
        <w:rPr>
          <w:color w:val="231F20"/>
          <w:spacing w:val="-9"/>
          <w:sz w:val="20"/>
        </w:rPr>
        <w:t xml:space="preserve"> </w:t>
      </w:r>
      <w:r>
        <w:rPr>
          <w:color w:val="231F20"/>
          <w:sz w:val="20"/>
        </w:rPr>
        <w:t>strong</w:t>
      </w:r>
      <w:r>
        <w:rPr>
          <w:color w:val="231F20"/>
          <w:spacing w:val="-9"/>
          <w:sz w:val="20"/>
        </w:rPr>
        <w:t xml:space="preserve"> </w:t>
      </w:r>
      <w:r>
        <w:rPr>
          <w:color w:val="231F20"/>
          <w:sz w:val="20"/>
        </w:rPr>
        <w:t>indicators</w:t>
      </w:r>
      <w:r>
        <w:rPr>
          <w:color w:val="231F20"/>
          <w:spacing w:val="-9"/>
          <w:sz w:val="20"/>
        </w:rPr>
        <w:t xml:space="preserve"> </w:t>
      </w:r>
      <w:r>
        <w:rPr>
          <w:color w:val="231F20"/>
          <w:sz w:val="20"/>
        </w:rPr>
        <w:t>that</w:t>
      </w:r>
      <w:r>
        <w:rPr>
          <w:color w:val="231F20"/>
          <w:spacing w:val="-8"/>
          <w:sz w:val="20"/>
        </w:rPr>
        <w:t xml:space="preserve"> </w:t>
      </w:r>
      <w:r>
        <w:rPr>
          <w:color w:val="231F20"/>
          <w:sz w:val="20"/>
        </w:rPr>
        <w:t>compelling</w:t>
      </w:r>
      <w:r>
        <w:rPr>
          <w:color w:val="231F20"/>
          <w:spacing w:val="-9"/>
          <w:sz w:val="20"/>
        </w:rPr>
        <w:t xml:space="preserve"> </w:t>
      </w:r>
      <w:r>
        <w:rPr>
          <w:color w:val="231F20"/>
          <w:sz w:val="20"/>
        </w:rPr>
        <w:t>people</w:t>
      </w:r>
      <w:r>
        <w:rPr>
          <w:color w:val="231F20"/>
          <w:spacing w:val="-9"/>
          <w:sz w:val="20"/>
        </w:rPr>
        <w:t xml:space="preserve"> </w:t>
      </w:r>
      <w:r>
        <w:rPr>
          <w:color w:val="231F20"/>
          <w:sz w:val="20"/>
        </w:rPr>
        <w:t>to</w:t>
      </w:r>
      <w:r>
        <w:rPr>
          <w:color w:val="231F20"/>
          <w:spacing w:val="-9"/>
          <w:sz w:val="20"/>
        </w:rPr>
        <w:t xml:space="preserve"> </w:t>
      </w:r>
      <w:r>
        <w:rPr>
          <w:color w:val="231F20"/>
          <w:spacing w:val="-4"/>
          <w:sz w:val="20"/>
        </w:rPr>
        <w:t>have</w:t>
      </w:r>
      <w:r>
        <w:rPr>
          <w:color w:val="231F20"/>
          <w:spacing w:val="-9"/>
          <w:sz w:val="20"/>
        </w:rPr>
        <w:t xml:space="preserve"> </w:t>
      </w:r>
      <w:r>
        <w:rPr>
          <w:color w:val="231F20"/>
          <w:spacing w:val="-3"/>
          <w:sz w:val="20"/>
        </w:rPr>
        <w:t>treatment</w:t>
      </w:r>
      <w:r>
        <w:rPr>
          <w:color w:val="231F20"/>
          <w:spacing w:val="-9"/>
          <w:sz w:val="20"/>
        </w:rPr>
        <w:t xml:space="preserve"> </w:t>
      </w:r>
      <w:r>
        <w:rPr>
          <w:color w:val="231F20"/>
          <w:sz w:val="20"/>
        </w:rPr>
        <w:t>is</w:t>
      </w:r>
      <w:r>
        <w:rPr>
          <w:color w:val="231F20"/>
          <w:spacing w:val="-8"/>
          <w:sz w:val="20"/>
        </w:rPr>
        <w:t xml:space="preserve"> </w:t>
      </w:r>
      <w:r>
        <w:rPr>
          <w:color w:val="231F20"/>
          <w:sz w:val="20"/>
        </w:rPr>
        <w:t xml:space="preserve">an </w:t>
      </w:r>
      <w:r>
        <w:rPr>
          <w:color w:val="231F20"/>
          <w:spacing w:val="-3"/>
          <w:sz w:val="20"/>
        </w:rPr>
        <w:t xml:space="preserve">effective </w:t>
      </w:r>
      <w:r>
        <w:rPr>
          <w:color w:val="231F20"/>
          <w:sz w:val="20"/>
        </w:rPr>
        <w:t xml:space="preserve">response to stalking, the Victorian </w:t>
      </w:r>
      <w:r>
        <w:rPr>
          <w:color w:val="231F20"/>
          <w:spacing w:val="-3"/>
          <w:sz w:val="20"/>
        </w:rPr>
        <w:t xml:space="preserve">Government </w:t>
      </w:r>
      <w:r>
        <w:rPr>
          <w:color w:val="231F20"/>
          <w:sz w:val="20"/>
        </w:rPr>
        <w:t xml:space="preserve">should consider </w:t>
      </w:r>
      <w:r>
        <w:rPr>
          <w:color w:val="231F20"/>
          <w:spacing w:val="-3"/>
          <w:sz w:val="20"/>
        </w:rPr>
        <w:t xml:space="preserve">introducing court-ordered </w:t>
      </w:r>
      <w:r>
        <w:rPr>
          <w:color w:val="231F20"/>
          <w:sz w:val="20"/>
        </w:rPr>
        <w:t>therapeutic</w:t>
      </w:r>
      <w:r>
        <w:rPr>
          <w:color w:val="231F20"/>
          <w:spacing w:val="-6"/>
          <w:sz w:val="20"/>
        </w:rPr>
        <w:t xml:space="preserve"> </w:t>
      </w:r>
      <w:r>
        <w:rPr>
          <w:color w:val="231F20"/>
          <w:sz w:val="20"/>
        </w:rPr>
        <w:t>orders.</w:t>
      </w:r>
    </w:p>
    <w:p w14:paraId="34AFA7AB" w14:textId="77777777" w:rsidR="00894070" w:rsidRDefault="009B7AFD">
      <w:pPr>
        <w:pStyle w:val="ListParagraph"/>
        <w:numPr>
          <w:ilvl w:val="1"/>
          <w:numId w:val="103"/>
        </w:numPr>
        <w:tabs>
          <w:tab w:val="left" w:pos="2142"/>
        </w:tabs>
        <w:spacing w:before="89" w:line="206" w:lineRule="auto"/>
        <w:ind w:right="1205" w:hanging="340"/>
        <w:jc w:val="both"/>
        <w:rPr>
          <w:sz w:val="20"/>
        </w:rPr>
      </w:pPr>
      <w:r>
        <w:rPr>
          <w:color w:val="231F20"/>
          <w:sz w:val="20"/>
        </w:rPr>
        <w:t>Victoria</w:t>
      </w:r>
      <w:r>
        <w:rPr>
          <w:color w:val="231F20"/>
          <w:spacing w:val="-10"/>
          <w:sz w:val="20"/>
        </w:rPr>
        <w:t xml:space="preserve"> </w:t>
      </w:r>
      <w:r>
        <w:rPr>
          <w:color w:val="231F20"/>
          <w:sz w:val="20"/>
        </w:rPr>
        <w:t>has</w:t>
      </w:r>
      <w:r>
        <w:rPr>
          <w:color w:val="231F20"/>
          <w:spacing w:val="-10"/>
          <w:sz w:val="20"/>
        </w:rPr>
        <w:t xml:space="preserve"> </w:t>
      </w:r>
      <w:r>
        <w:rPr>
          <w:color w:val="231F20"/>
          <w:sz w:val="20"/>
        </w:rPr>
        <w:t>the</w:t>
      </w:r>
      <w:r>
        <w:rPr>
          <w:color w:val="231F20"/>
          <w:spacing w:val="-10"/>
          <w:sz w:val="20"/>
        </w:rPr>
        <w:t xml:space="preserve"> </w:t>
      </w:r>
      <w:r>
        <w:rPr>
          <w:color w:val="231F20"/>
          <w:sz w:val="20"/>
        </w:rPr>
        <w:t>highest</w:t>
      </w:r>
      <w:r>
        <w:rPr>
          <w:color w:val="231F20"/>
          <w:spacing w:val="-9"/>
          <w:sz w:val="20"/>
        </w:rPr>
        <w:t xml:space="preserve"> </w:t>
      </w:r>
      <w:r>
        <w:rPr>
          <w:color w:val="231F20"/>
          <w:sz w:val="20"/>
        </w:rPr>
        <w:t>maximum</w:t>
      </w:r>
      <w:r>
        <w:rPr>
          <w:color w:val="231F20"/>
          <w:spacing w:val="-10"/>
          <w:sz w:val="20"/>
        </w:rPr>
        <w:t xml:space="preserve"> </w:t>
      </w:r>
      <w:r>
        <w:rPr>
          <w:color w:val="231F20"/>
          <w:sz w:val="20"/>
        </w:rPr>
        <w:t>penalty</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the</w:t>
      </w:r>
      <w:r>
        <w:rPr>
          <w:color w:val="231F20"/>
          <w:spacing w:val="-9"/>
          <w:sz w:val="20"/>
        </w:rPr>
        <w:t xml:space="preserve"> </w:t>
      </w:r>
      <w:r>
        <w:rPr>
          <w:color w:val="231F20"/>
          <w:sz w:val="20"/>
        </w:rPr>
        <w:t>sentencing</w:t>
      </w:r>
      <w:r>
        <w:rPr>
          <w:color w:val="231F20"/>
          <w:spacing w:val="-10"/>
          <w:sz w:val="20"/>
        </w:rPr>
        <w:t xml:space="preserve"> </w:t>
      </w:r>
      <w:r>
        <w:rPr>
          <w:color w:val="231F20"/>
          <w:sz w:val="20"/>
        </w:rPr>
        <w:t>of</w:t>
      </w:r>
      <w:r>
        <w:rPr>
          <w:color w:val="231F20"/>
          <w:spacing w:val="-10"/>
          <w:sz w:val="20"/>
        </w:rPr>
        <w:t xml:space="preserve"> </w:t>
      </w:r>
      <w:r>
        <w:rPr>
          <w:color w:val="231F20"/>
          <w:sz w:val="20"/>
        </w:rPr>
        <w:t>stalking.</w:t>
      </w:r>
      <w:r>
        <w:rPr>
          <w:color w:val="231F20"/>
          <w:spacing w:val="-9"/>
          <w:sz w:val="20"/>
        </w:rPr>
        <w:t xml:space="preserve"> </w:t>
      </w:r>
      <w:r>
        <w:rPr>
          <w:color w:val="231F20"/>
          <w:spacing w:val="-6"/>
          <w:sz w:val="20"/>
        </w:rPr>
        <w:t>We</w:t>
      </w:r>
      <w:r>
        <w:rPr>
          <w:color w:val="231F20"/>
          <w:spacing w:val="-10"/>
          <w:sz w:val="20"/>
        </w:rPr>
        <w:t xml:space="preserve"> </w:t>
      </w:r>
      <w:r>
        <w:rPr>
          <w:color w:val="231F20"/>
          <w:sz w:val="20"/>
        </w:rPr>
        <w:t>do</w:t>
      </w:r>
      <w:r>
        <w:rPr>
          <w:color w:val="231F20"/>
          <w:spacing w:val="-10"/>
          <w:sz w:val="20"/>
        </w:rPr>
        <w:t xml:space="preserve"> </w:t>
      </w:r>
      <w:r>
        <w:rPr>
          <w:color w:val="231F20"/>
          <w:sz w:val="20"/>
        </w:rPr>
        <w:t>not need</w:t>
      </w:r>
      <w:r>
        <w:rPr>
          <w:color w:val="231F20"/>
          <w:spacing w:val="-8"/>
          <w:sz w:val="20"/>
        </w:rPr>
        <w:t xml:space="preserve"> </w:t>
      </w:r>
      <w:r>
        <w:rPr>
          <w:color w:val="231F20"/>
          <w:sz w:val="20"/>
        </w:rPr>
        <w:t>to</w:t>
      </w:r>
      <w:r>
        <w:rPr>
          <w:color w:val="231F20"/>
          <w:spacing w:val="-8"/>
          <w:sz w:val="20"/>
        </w:rPr>
        <w:t xml:space="preserve"> </w:t>
      </w:r>
      <w:r>
        <w:rPr>
          <w:color w:val="231F20"/>
          <w:sz w:val="20"/>
        </w:rPr>
        <w:t>change</w:t>
      </w:r>
      <w:r>
        <w:rPr>
          <w:color w:val="231F20"/>
          <w:spacing w:val="-8"/>
          <w:sz w:val="20"/>
        </w:rPr>
        <w:t xml:space="preserve"> </w:t>
      </w:r>
      <w:r>
        <w:rPr>
          <w:color w:val="231F20"/>
          <w:sz w:val="20"/>
        </w:rPr>
        <w:t>the</w:t>
      </w:r>
      <w:r>
        <w:rPr>
          <w:color w:val="231F20"/>
          <w:spacing w:val="-8"/>
          <w:sz w:val="20"/>
        </w:rPr>
        <w:t xml:space="preserve"> </w:t>
      </w:r>
      <w:r>
        <w:rPr>
          <w:color w:val="231F20"/>
          <w:sz w:val="20"/>
        </w:rPr>
        <w:t>sentencing</w:t>
      </w:r>
      <w:r>
        <w:rPr>
          <w:color w:val="231F20"/>
          <w:spacing w:val="-8"/>
          <w:sz w:val="20"/>
        </w:rPr>
        <w:t xml:space="preserve"> </w:t>
      </w:r>
      <w:proofErr w:type="gramStart"/>
      <w:r>
        <w:rPr>
          <w:color w:val="231F20"/>
          <w:spacing w:val="-3"/>
          <w:sz w:val="20"/>
        </w:rPr>
        <w:t>laws</w:t>
      </w:r>
      <w:proofErr w:type="gramEnd"/>
      <w:r>
        <w:rPr>
          <w:color w:val="231F20"/>
          <w:spacing w:val="-8"/>
          <w:sz w:val="20"/>
        </w:rPr>
        <w:t xml:space="preserve"> </w:t>
      </w:r>
      <w:r>
        <w:rPr>
          <w:color w:val="231F20"/>
          <w:sz w:val="20"/>
        </w:rPr>
        <w:t>but</w:t>
      </w:r>
      <w:r>
        <w:rPr>
          <w:color w:val="231F20"/>
          <w:spacing w:val="-8"/>
          <w:sz w:val="20"/>
        </w:rPr>
        <w:t xml:space="preserve"> </w:t>
      </w:r>
      <w:r>
        <w:rPr>
          <w:color w:val="231F20"/>
          <w:sz w:val="20"/>
        </w:rPr>
        <w:t>courts</w:t>
      </w:r>
      <w:r>
        <w:rPr>
          <w:color w:val="231F20"/>
          <w:spacing w:val="-8"/>
          <w:sz w:val="20"/>
        </w:rPr>
        <w:t xml:space="preserve"> </w:t>
      </w:r>
      <w:r>
        <w:rPr>
          <w:color w:val="231F20"/>
          <w:sz w:val="20"/>
        </w:rPr>
        <w:t>should</w:t>
      </w:r>
      <w:r>
        <w:rPr>
          <w:color w:val="231F20"/>
          <w:spacing w:val="-8"/>
          <w:sz w:val="20"/>
        </w:rPr>
        <w:t xml:space="preserve"> </w:t>
      </w:r>
      <w:r>
        <w:rPr>
          <w:color w:val="231F20"/>
          <w:sz w:val="20"/>
        </w:rPr>
        <w:t>be</w:t>
      </w:r>
      <w:r>
        <w:rPr>
          <w:color w:val="231F20"/>
          <w:spacing w:val="-8"/>
          <w:sz w:val="20"/>
        </w:rPr>
        <w:t xml:space="preserve"> </w:t>
      </w:r>
      <w:r>
        <w:rPr>
          <w:color w:val="231F20"/>
          <w:spacing w:val="-3"/>
          <w:sz w:val="20"/>
        </w:rPr>
        <w:t>given</w:t>
      </w:r>
      <w:r>
        <w:rPr>
          <w:color w:val="231F20"/>
          <w:spacing w:val="-8"/>
          <w:sz w:val="20"/>
        </w:rPr>
        <w:t xml:space="preserve"> </w:t>
      </w:r>
      <w:r>
        <w:rPr>
          <w:color w:val="231F20"/>
          <w:sz w:val="20"/>
        </w:rPr>
        <w:t>more</w:t>
      </w:r>
      <w:r>
        <w:rPr>
          <w:color w:val="231F20"/>
          <w:spacing w:val="-8"/>
          <w:sz w:val="20"/>
        </w:rPr>
        <w:t xml:space="preserve"> </w:t>
      </w:r>
      <w:r>
        <w:rPr>
          <w:color w:val="231F20"/>
          <w:sz w:val="20"/>
        </w:rPr>
        <w:t>guidance</w:t>
      </w:r>
      <w:r>
        <w:rPr>
          <w:color w:val="231F20"/>
          <w:spacing w:val="-8"/>
          <w:sz w:val="20"/>
        </w:rPr>
        <w:t xml:space="preserve"> </w:t>
      </w:r>
      <w:r>
        <w:rPr>
          <w:color w:val="231F20"/>
          <w:sz w:val="20"/>
        </w:rPr>
        <w:t>on sentencing people who</w:t>
      </w:r>
      <w:r>
        <w:rPr>
          <w:color w:val="231F20"/>
          <w:spacing w:val="-13"/>
          <w:sz w:val="20"/>
        </w:rPr>
        <w:t xml:space="preserve"> </w:t>
      </w:r>
      <w:r>
        <w:rPr>
          <w:color w:val="231F20"/>
          <w:sz w:val="20"/>
        </w:rPr>
        <w:t>stalk.</w:t>
      </w:r>
    </w:p>
    <w:p w14:paraId="51C02901" w14:textId="77777777" w:rsidR="00894070" w:rsidRDefault="00894070">
      <w:pPr>
        <w:pStyle w:val="BodyText"/>
        <w:spacing w:before="5"/>
        <w:rPr>
          <w:sz w:val="19"/>
        </w:rPr>
      </w:pPr>
    </w:p>
    <w:p w14:paraId="53F1FC0E" w14:textId="77777777" w:rsidR="00894070" w:rsidRDefault="009B7AFD">
      <w:pPr>
        <w:pStyle w:val="Heading7"/>
        <w:spacing w:line="184" w:lineRule="auto"/>
      </w:pPr>
      <w:r>
        <w:rPr>
          <w:color w:val="EA5B50"/>
        </w:rPr>
        <w:t>The current response to stalking demands too much from victim survivors</w:t>
      </w:r>
    </w:p>
    <w:p w14:paraId="055F861F" w14:textId="77777777" w:rsidR="00894070" w:rsidRDefault="009B7AFD">
      <w:pPr>
        <w:pStyle w:val="ListParagraph"/>
        <w:numPr>
          <w:ilvl w:val="1"/>
          <w:numId w:val="33"/>
        </w:numPr>
        <w:tabs>
          <w:tab w:val="left" w:pos="1801"/>
          <w:tab w:val="left" w:pos="1802"/>
        </w:tabs>
        <w:spacing w:before="162" w:line="206" w:lineRule="auto"/>
        <w:ind w:right="1350"/>
        <w:rPr>
          <w:sz w:val="20"/>
        </w:rPr>
      </w:pPr>
      <w:r>
        <w:rPr>
          <w:color w:val="231F20"/>
          <w:sz w:val="20"/>
        </w:rPr>
        <w:t>People</w:t>
      </w:r>
      <w:r>
        <w:rPr>
          <w:color w:val="231F20"/>
          <w:spacing w:val="-12"/>
          <w:sz w:val="20"/>
        </w:rPr>
        <w:t xml:space="preserve"> </w:t>
      </w:r>
      <w:r>
        <w:rPr>
          <w:color w:val="231F20"/>
          <w:sz w:val="20"/>
        </w:rPr>
        <w:t>who</w:t>
      </w:r>
      <w:r>
        <w:rPr>
          <w:color w:val="231F20"/>
          <w:spacing w:val="-11"/>
          <w:sz w:val="20"/>
        </w:rPr>
        <w:t xml:space="preserve"> </w:t>
      </w:r>
      <w:r>
        <w:rPr>
          <w:color w:val="231F20"/>
          <w:sz w:val="20"/>
        </w:rPr>
        <w:t>experience</w:t>
      </w:r>
      <w:r>
        <w:rPr>
          <w:color w:val="231F20"/>
          <w:spacing w:val="-12"/>
          <w:sz w:val="20"/>
        </w:rPr>
        <w:t xml:space="preserve"> </w:t>
      </w:r>
      <w:r>
        <w:rPr>
          <w:color w:val="231F20"/>
          <w:sz w:val="20"/>
        </w:rPr>
        <w:t>non-family</w:t>
      </w:r>
      <w:r>
        <w:rPr>
          <w:color w:val="231F20"/>
          <w:spacing w:val="-11"/>
          <w:sz w:val="20"/>
        </w:rPr>
        <w:t xml:space="preserve"> </w:t>
      </w:r>
      <w:r>
        <w:rPr>
          <w:color w:val="231F20"/>
          <w:sz w:val="20"/>
        </w:rPr>
        <w:t>violence</w:t>
      </w:r>
      <w:r>
        <w:rPr>
          <w:color w:val="231F20"/>
          <w:spacing w:val="-12"/>
          <w:sz w:val="20"/>
        </w:rPr>
        <w:t xml:space="preserve"> </w:t>
      </w:r>
      <w:r>
        <w:rPr>
          <w:color w:val="231F20"/>
          <w:sz w:val="20"/>
        </w:rPr>
        <w:t>stalking</w:t>
      </w:r>
      <w:r>
        <w:rPr>
          <w:color w:val="231F20"/>
          <w:spacing w:val="-11"/>
          <w:sz w:val="20"/>
        </w:rPr>
        <w:t xml:space="preserve"> </w:t>
      </w:r>
      <w:r>
        <w:rPr>
          <w:color w:val="231F20"/>
          <w:sz w:val="20"/>
        </w:rPr>
        <w:t>must</w:t>
      </w:r>
      <w:r>
        <w:rPr>
          <w:color w:val="231F20"/>
          <w:spacing w:val="-12"/>
          <w:sz w:val="20"/>
        </w:rPr>
        <w:t xml:space="preserve"> </w:t>
      </w:r>
      <w:r>
        <w:rPr>
          <w:color w:val="231F20"/>
          <w:sz w:val="20"/>
        </w:rPr>
        <w:t>do</w:t>
      </w:r>
      <w:r>
        <w:rPr>
          <w:color w:val="231F20"/>
          <w:spacing w:val="-11"/>
          <w:sz w:val="20"/>
        </w:rPr>
        <w:t xml:space="preserve"> </w:t>
      </w:r>
      <w:r>
        <w:rPr>
          <w:color w:val="231F20"/>
          <w:sz w:val="20"/>
        </w:rPr>
        <w:t>a</w:t>
      </w:r>
      <w:r>
        <w:rPr>
          <w:color w:val="231F20"/>
          <w:spacing w:val="-12"/>
          <w:sz w:val="20"/>
        </w:rPr>
        <w:t xml:space="preserve"> </w:t>
      </w:r>
      <w:r>
        <w:rPr>
          <w:color w:val="231F20"/>
          <w:sz w:val="20"/>
        </w:rPr>
        <w:t>range</w:t>
      </w:r>
      <w:r>
        <w:rPr>
          <w:color w:val="231F20"/>
          <w:spacing w:val="-11"/>
          <w:sz w:val="20"/>
        </w:rPr>
        <w:t xml:space="preserve"> </w:t>
      </w:r>
      <w:r>
        <w:rPr>
          <w:color w:val="231F20"/>
          <w:sz w:val="20"/>
        </w:rPr>
        <w:t>of</w:t>
      </w:r>
      <w:r>
        <w:rPr>
          <w:color w:val="231F20"/>
          <w:spacing w:val="-12"/>
          <w:sz w:val="20"/>
        </w:rPr>
        <w:t xml:space="preserve"> </w:t>
      </w:r>
      <w:r>
        <w:rPr>
          <w:color w:val="231F20"/>
          <w:sz w:val="20"/>
        </w:rPr>
        <w:t>things</w:t>
      </w:r>
      <w:r>
        <w:rPr>
          <w:color w:val="231F20"/>
          <w:spacing w:val="-11"/>
          <w:sz w:val="20"/>
        </w:rPr>
        <w:t xml:space="preserve"> </w:t>
      </w:r>
      <w:r>
        <w:rPr>
          <w:color w:val="231F20"/>
          <w:sz w:val="20"/>
        </w:rPr>
        <w:t>if</w:t>
      </w:r>
      <w:r>
        <w:rPr>
          <w:color w:val="231F20"/>
          <w:spacing w:val="-11"/>
          <w:sz w:val="20"/>
        </w:rPr>
        <w:t xml:space="preserve"> </w:t>
      </w:r>
      <w:r>
        <w:rPr>
          <w:color w:val="231F20"/>
          <w:sz w:val="20"/>
        </w:rPr>
        <w:t xml:space="preserve">they seek support </w:t>
      </w:r>
      <w:r>
        <w:rPr>
          <w:color w:val="231F20"/>
          <w:spacing w:val="-3"/>
          <w:sz w:val="20"/>
        </w:rPr>
        <w:t xml:space="preserve">from </w:t>
      </w:r>
      <w:r>
        <w:rPr>
          <w:color w:val="231F20"/>
          <w:sz w:val="20"/>
        </w:rPr>
        <w:t>the justice</w:t>
      </w:r>
      <w:r>
        <w:rPr>
          <w:color w:val="231F20"/>
          <w:spacing w:val="-18"/>
          <w:sz w:val="20"/>
        </w:rPr>
        <w:t xml:space="preserve"> </w:t>
      </w:r>
      <w:r>
        <w:rPr>
          <w:color w:val="231F20"/>
          <w:spacing w:val="-3"/>
          <w:sz w:val="20"/>
        </w:rPr>
        <w:t>system:</w:t>
      </w:r>
    </w:p>
    <w:p w14:paraId="3CA90F5B" w14:textId="77777777" w:rsidR="00894070" w:rsidRDefault="009B7AFD">
      <w:pPr>
        <w:pStyle w:val="ListParagraph"/>
        <w:numPr>
          <w:ilvl w:val="2"/>
          <w:numId w:val="33"/>
        </w:numPr>
        <w:tabs>
          <w:tab w:val="left" w:pos="2141"/>
          <w:tab w:val="left" w:pos="2142"/>
        </w:tabs>
        <w:spacing w:before="90"/>
        <w:ind w:hanging="340"/>
        <w:rPr>
          <w:sz w:val="20"/>
        </w:rPr>
      </w:pPr>
      <w:r>
        <w:rPr>
          <w:color w:val="231F20"/>
          <w:sz w:val="20"/>
        </w:rPr>
        <w:t>identify the</w:t>
      </w:r>
      <w:r>
        <w:rPr>
          <w:color w:val="231F20"/>
          <w:spacing w:val="-9"/>
          <w:sz w:val="20"/>
        </w:rPr>
        <w:t xml:space="preserve"> </w:t>
      </w:r>
      <w:r>
        <w:rPr>
          <w:color w:val="231F20"/>
          <w:sz w:val="20"/>
        </w:rPr>
        <w:t>stalking</w:t>
      </w:r>
    </w:p>
    <w:p w14:paraId="3CBEE376" w14:textId="77777777" w:rsidR="00894070" w:rsidRDefault="009B7AFD">
      <w:pPr>
        <w:pStyle w:val="ListParagraph"/>
        <w:numPr>
          <w:ilvl w:val="2"/>
          <w:numId w:val="33"/>
        </w:numPr>
        <w:tabs>
          <w:tab w:val="left" w:pos="2141"/>
          <w:tab w:val="left" w:pos="2142"/>
        </w:tabs>
        <w:spacing w:before="48"/>
        <w:ind w:hanging="340"/>
        <w:rPr>
          <w:sz w:val="20"/>
        </w:rPr>
      </w:pPr>
      <w:r>
        <w:rPr>
          <w:color w:val="231F20"/>
          <w:sz w:val="20"/>
        </w:rPr>
        <w:t>collect</w:t>
      </w:r>
      <w:r>
        <w:rPr>
          <w:color w:val="231F20"/>
          <w:spacing w:val="-5"/>
          <w:sz w:val="20"/>
        </w:rPr>
        <w:t xml:space="preserve"> </w:t>
      </w:r>
      <w:r>
        <w:rPr>
          <w:color w:val="231F20"/>
          <w:sz w:val="20"/>
        </w:rPr>
        <w:t>evidence</w:t>
      </w:r>
    </w:p>
    <w:p w14:paraId="0228F1B3" w14:textId="77777777" w:rsidR="00894070" w:rsidRDefault="009B7AFD">
      <w:pPr>
        <w:pStyle w:val="ListParagraph"/>
        <w:numPr>
          <w:ilvl w:val="2"/>
          <w:numId w:val="33"/>
        </w:numPr>
        <w:tabs>
          <w:tab w:val="left" w:pos="2141"/>
          <w:tab w:val="left" w:pos="2142"/>
        </w:tabs>
        <w:spacing w:before="47"/>
        <w:ind w:hanging="340"/>
        <w:rPr>
          <w:sz w:val="20"/>
        </w:rPr>
      </w:pPr>
      <w:r>
        <w:rPr>
          <w:color w:val="231F20"/>
          <w:sz w:val="20"/>
        </w:rPr>
        <w:t>make a</w:t>
      </w:r>
      <w:r>
        <w:rPr>
          <w:color w:val="231F20"/>
          <w:spacing w:val="-9"/>
          <w:sz w:val="20"/>
        </w:rPr>
        <w:t xml:space="preserve"> </w:t>
      </w:r>
      <w:r>
        <w:rPr>
          <w:color w:val="231F20"/>
          <w:sz w:val="20"/>
        </w:rPr>
        <w:t>report</w:t>
      </w:r>
    </w:p>
    <w:p w14:paraId="77CD0C9B" w14:textId="77777777" w:rsidR="00894070" w:rsidRDefault="009B7AFD">
      <w:pPr>
        <w:pStyle w:val="ListParagraph"/>
        <w:numPr>
          <w:ilvl w:val="2"/>
          <w:numId w:val="33"/>
        </w:numPr>
        <w:tabs>
          <w:tab w:val="left" w:pos="2141"/>
          <w:tab w:val="left" w:pos="2142"/>
        </w:tabs>
        <w:spacing w:before="47"/>
        <w:ind w:hanging="340"/>
        <w:rPr>
          <w:sz w:val="20"/>
        </w:rPr>
      </w:pPr>
      <w:r>
        <w:rPr>
          <w:color w:val="231F20"/>
          <w:spacing w:val="-3"/>
          <w:sz w:val="20"/>
        </w:rPr>
        <w:t xml:space="preserve">apply for </w:t>
      </w:r>
      <w:r>
        <w:rPr>
          <w:color w:val="231F20"/>
          <w:sz w:val="20"/>
        </w:rPr>
        <w:t xml:space="preserve">an </w:t>
      </w:r>
      <w:r>
        <w:rPr>
          <w:color w:val="231F20"/>
          <w:spacing w:val="-2"/>
          <w:sz w:val="20"/>
        </w:rPr>
        <w:t>intervention</w:t>
      </w:r>
      <w:r>
        <w:rPr>
          <w:color w:val="231F20"/>
          <w:spacing w:val="-11"/>
          <w:sz w:val="20"/>
        </w:rPr>
        <w:t xml:space="preserve"> </w:t>
      </w:r>
      <w:r>
        <w:rPr>
          <w:color w:val="231F20"/>
          <w:sz w:val="20"/>
        </w:rPr>
        <w:t>order</w:t>
      </w:r>
    </w:p>
    <w:p w14:paraId="10699970" w14:textId="77777777" w:rsidR="00894070" w:rsidRDefault="009B7AFD">
      <w:pPr>
        <w:pStyle w:val="ListParagraph"/>
        <w:numPr>
          <w:ilvl w:val="2"/>
          <w:numId w:val="33"/>
        </w:numPr>
        <w:tabs>
          <w:tab w:val="left" w:pos="2141"/>
          <w:tab w:val="left" w:pos="2142"/>
        </w:tabs>
        <w:spacing w:before="48"/>
        <w:ind w:hanging="340"/>
        <w:rPr>
          <w:sz w:val="20"/>
        </w:rPr>
      </w:pPr>
      <w:r>
        <w:rPr>
          <w:color w:val="231F20"/>
          <w:sz w:val="20"/>
        </w:rPr>
        <w:t xml:space="preserve">plan </w:t>
      </w:r>
      <w:r>
        <w:rPr>
          <w:color w:val="231F20"/>
          <w:spacing w:val="-3"/>
          <w:sz w:val="20"/>
        </w:rPr>
        <w:t xml:space="preserve">for </w:t>
      </w:r>
      <w:r>
        <w:rPr>
          <w:color w:val="231F20"/>
          <w:sz w:val="20"/>
        </w:rPr>
        <w:t>their</w:t>
      </w:r>
      <w:r>
        <w:rPr>
          <w:color w:val="231F20"/>
          <w:spacing w:val="-10"/>
          <w:sz w:val="20"/>
        </w:rPr>
        <w:t xml:space="preserve"> </w:t>
      </w:r>
      <w:r>
        <w:rPr>
          <w:color w:val="231F20"/>
          <w:sz w:val="20"/>
        </w:rPr>
        <w:t>safety</w:t>
      </w:r>
    </w:p>
    <w:p w14:paraId="3E30234C" w14:textId="77777777" w:rsidR="00894070" w:rsidRDefault="009B7AFD">
      <w:pPr>
        <w:pStyle w:val="ListParagraph"/>
        <w:numPr>
          <w:ilvl w:val="2"/>
          <w:numId w:val="33"/>
        </w:numPr>
        <w:tabs>
          <w:tab w:val="left" w:pos="2141"/>
          <w:tab w:val="left" w:pos="2142"/>
        </w:tabs>
        <w:spacing w:before="47"/>
        <w:ind w:hanging="340"/>
        <w:rPr>
          <w:sz w:val="11"/>
        </w:rPr>
      </w:pPr>
      <w:r>
        <w:rPr>
          <w:color w:val="231F20"/>
          <w:sz w:val="20"/>
        </w:rPr>
        <w:t>manage their risk of</w:t>
      </w:r>
      <w:r>
        <w:rPr>
          <w:color w:val="231F20"/>
          <w:spacing w:val="-17"/>
          <w:sz w:val="20"/>
        </w:rPr>
        <w:t xml:space="preserve"> </w:t>
      </w:r>
      <w:r>
        <w:rPr>
          <w:color w:val="231F20"/>
          <w:sz w:val="20"/>
        </w:rPr>
        <w:t>harm.</w:t>
      </w:r>
      <w:r>
        <w:rPr>
          <w:color w:val="231F20"/>
          <w:position w:val="7"/>
          <w:sz w:val="11"/>
        </w:rPr>
        <w:t>2</w:t>
      </w:r>
    </w:p>
    <w:p w14:paraId="57C6EAA2" w14:textId="77777777" w:rsidR="00894070" w:rsidRDefault="00894070">
      <w:pPr>
        <w:pStyle w:val="BodyText"/>
      </w:pPr>
    </w:p>
    <w:p w14:paraId="05242265" w14:textId="77777777" w:rsidR="00894070" w:rsidRDefault="00894070">
      <w:pPr>
        <w:pStyle w:val="BodyText"/>
      </w:pPr>
    </w:p>
    <w:p w14:paraId="5648327D" w14:textId="77777777" w:rsidR="00894070" w:rsidRDefault="00894070">
      <w:pPr>
        <w:pStyle w:val="BodyText"/>
      </w:pPr>
    </w:p>
    <w:p w14:paraId="2AC5CF49" w14:textId="77777777" w:rsidR="00894070" w:rsidRDefault="009F6793">
      <w:pPr>
        <w:pStyle w:val="BodyText"/>
        <w:spacing w:before="1"/>
        <w:rPr>
          <w:sz w:val="25"/>
        </w:rPr>
      </w:pPr>
      <w:r>
        <w:pict w14:anchorId="638C8052">
          <v:line id="_x0000_s1098" style="position:absolute;z-index:251761664;mso-wrap-distance-left:0;mso-wrap-distance-right:0;mso-position-horizontal-relative:page" from="79.35pt,19.85pt" to="515.9pt,19.85pt" strokecolor="#f8cabc" strokeweight="1pt">
            <w10:wrap type="topAndBottom" anchorx="page"/>
          </v:line>
        </w:pict>
      </w:r>
    </w:p>
    <w:p w14:paraId="01ADF040" w14:textId="77777777" w:rsidR="00894070" w:rsidRDefault="00894070">
      <w:pPr>
        <w:pStyle w:val="BodyText"/>
        <w:rPr>
          <w:sz w:val="5"/>
        </w:rPr>
      </w:pPr>
    </w:p>
    <w:p w14:paraId="08E67ABB" w14:textId="77777777" w:rsidR="00894070" w:rsidRDefault="00894070">
      <w:pPr>
        <w:rPr>
          <w:sz w:val="5"/>
        </w:rPr>
        <w:sectPr w:rsidR="00894070">
          <w:pgSz w:w="11910" w:h="16840"/>
          <w:pgMar w:top="860" w:right="420" w:bottom="280" w:left="580" w:header="567" w:footer="0" w:gutter="0"/>
          <w:cols w:space="720"/>
        </w:sectPr>
      </w:pPr>
    </w:p>
    <w:p w14:paraId="0CFF033F" w14:textId="77777777" w:rsidR="00894070" w:rsidRDefault="009F6793">
      <w:pPr>
        <w:pStyle w:val="Heading8"/>
        <w:spacing w:before="214"/>
        <w:ind w:left="140"/>
      </w:pPr>
      <w:r>
        <w:pict w14:anchorId="2023B311">
          <v:rect id="_x0000_s1097" style="position:absolute;left:0;text-align:left;margin-left:0;margin-top:99.2pt;width:14.15pt;height:85.75pt;z-index:251795456;mso-position-horizontal-relative:page;mso-position-vertical-relative:page" fillcolor="#ea5b50" stroked="f">
            <w10:wrap anchorx="page" anchory="page"/>
          </v:rect>
        </w:pict>
      </w:r>
      <w:r w:rsidR="009B7AFD">
        <w:rPr>
          <w:color w:val="EA5B50"/>
        </w:rPr>
        <w:t>162</w:t>
      </w:r>
    </w:p>
    <w:p w14:paraId="2E2C51E8" w14:textId="77777777" w:rsidR="00894070" w:rsidRDefault="009B7AFD">
      <w:pPr>
        <w:pStyle w:val="ListParagraph"/>
        <w:numPr>
          <w:ilvl w:val="0"/>
          <w:numId w:val="32"/>
        </w:numPr>
        <w:tabs>
          <w:tab w:val="left" w:pos="933"/>
          <w:tab w:val="left" w:pos="934"/>
        </w:tabs>
        <w:spacing w:before="38" w:line="213" w:lineRule="auto"/>
        <w:ind w:right="1364" w:hanging="793"/>
        <w:rPr>
          <w:sz w:val="13"/>
        </w:rPr>
      </w:pPr>
      <w:r>
        <w:rPr>
          <w:color w:val="231F20"/>
          <w:spacing w:val="3"/>
          <w:sz w:val="13"/>
        </w:rPr>
        <w:br w:type="column"/>
      </w:r>
      <w:r>
        <w:rPr>
          <w:color w:val="231F20"/>
          <w:sz w:val="13"/>
        </w:rPr>
        <w:t xml:space="preserve">Kritika Jerath, Lisa Tompson and Jyoti Belur, ‘Treating and Managing Stalking Offenders: Findings from a Multi-Agency Clinical Intervention’ </w:t>
      </w:r>
      <w:r>
        <w:rPr>
          <w:i/>
          <w:color w:val="231F20"/>
          <w:sz w:val="13"/>
        </w:rPr>
        <w:t>Psychology, Crime &amp; Law</w:t>
      </w:r>
      <w:r>
        <w:rPr>
          <w:i/>
          <w:color w:val="231F20"/>
          <w:spacing w:val="3"/>
          <w:sz w:val="13"/>
        </w:rPr>
        <w:t xml:space="preserve"> </w:t>
      </w:r>
      <w:r>
        <w:rPr>
          <w:color w:val="231F20"/>
          <w:sz w:val="13"/>
        </w:rPr>
        <w:t>10.1080/1068316X.2022.2057981:1–25.</w:t>
      </w:r>
    </w:p>
    <w:p w14:paraId="754F0D8B" w14:textId="77777777" w:rsidR="00894070" w:rsidRDefault="009B7AFD">
      <w:pPr>
        <w:pStyle w:val="ListParagraph"/>
        <w:numPr>
          <w:ilvl w:val="0"/>
          <w:numId w:val="32"/>
        </w:numPr>
        <w:tabs>
          <w:tab w:val="left" w:pos="933"/>
          <w:tab w:val="left" w:pos="934"/>
        </w:tabs>
        <w:spacing w:line="163" w:lineRule="exact"/>
        <w:ind w:hanging="793"/>
        <w:rPr>
          <w:sz w:val="13"/>
        </w:rPr>
      </w:pPr>
      <w:r>
        <w:rPr>
          <w:color w:val="231F20"/>
          <w:sz w:val="13"/>
        </w:rPr>
        <w:t>Ibid.</w:t>
      </w:r>
    </w:p>
    <w:p w14:paraId="74C785C1" w14:textId="77777777" w:rsidR="00894070" w:rsidRDefault="00894070">
      <w:pPr>
        <w:spacing w:line="163" w:lineRule="exact"/>
        <w:rPr>
          <w:sz w:val="13"/>
        </w:rPr>
        <w:sectPr w:rsidR="00894070">
          <w:type w:val="continuous"/>
          <w:pgSz w:w="11910" w:h="16840"/>
          <w:pgMar w:top="560" w:right="420" w:bottom="280" w:left="580" w:header="720" w:footer="720" w:gutter="0"/>
          <w:cols w:num="2" w:space="720" w:equalWidth="0">
            <w:col w:w="571" w:space="296"/>
            <w:col w:w="10043"/>
          </w:cols>
        </w:sectPr>
      </w:pPr>
    </w:p>
    <w:p w14:paraId="25632B7C" w14:textId="77777777" w:rsidR="00894070" w:rsidRDefault="00894070">
      <w:pPr>
        <w:pStyle w:val="BodyText"/>
      </w:pPr>
    </w:p>
    <w:p w14:paraId="6887FCF3" w14:textId="77777777" w:rsidR="00894070" w:rsidRDefault="00894070">
      <w:pPr>
        <w:pStyle w:val="BodyText"/>
      </w:pPr>
    </w:p>
    <w:p w14:paraId="43FFEC5D" w14:textId="77777777" w:rsidR="00894070" w:rsidRDefault="00894070">
      <w:pPr>
        <w:pStyle w:val="BodyText"/>
      </w:pPr>
    </w:p>
    <w:p w14:paraId="4C1B8FD0" w14:textId="77777777" w:rsidR="00894070" w:rsidRDefault="00894070">
      <w:pPr>
        <w:pStyle w:val="BodyText"/>
        <w:spacing w:before="6"/>
        <w:rPr>
          <w:sz w:val="14"/>
        </w:rPr>
      </w:pPr>
    </w:p>
    <w:p w14:paraId="58690B35" w14:textId="77777777" w:rsidR="00894070" w:rsidRDefault="009B7AFD">
      <w:pPr>
        <w:pStyle w:val="ListParagraph"/>
        <w:numPr>
          <w:ilvl w:val="1"/>
          <w:numId w:val="33"/>
        </w:numPr>
        <w:tabs>
          <w:tab w:val="left" w:pos="1801"/>
          <w:tab w:val="left" w:pos="1802"/>
        </w:tabs>
        <w:spacing w:before="90" w:line="206" w:lineRule="auto"/>
        <w:ind w:right="1362"/>
        <w:rPr>
          <w:sz w:val="20"/>
        </w:rPr>
      </w:pPr>
      <w:bookmarkStart w:id="179" w:name="What_do_we_know_about_people_who_stalk?"/>
      <w:bookmarkStart w:id="180" w:name="_bookmark107"/>
      <w:bookmarkEnd w:id="179"/>
      <w:bookmarkEnd w:id="180"/>
      <w:r>
        <w:rPr>
          <w:color w:val="231F20"/>
          <w:spacing w:val="-6"/>
          <w:sz w:val="20"/>
        </w:rPr>
        <w:t>We</w:t>
      </w:r>
      <w:r>
        <w:rPr>
          <w:color w:val="231F20"/>
          <w:spacing w:val="-9"/>
          <w:sz w:val="20"/>
        </w:rPr>
        <w:t xml:space="preserve"> </w:t>
      </w:r>
      <w:r>
        <w:rPr>
          <w:color w:val="231F20"/>
          <w:sz w:val="20"/>
        </w:rPr>
        <w:t>heard</w:t>
      </w:r>
      <w:r>
        <w:rPr>
          <w:color w:val="231F20"/>
          <w:spacing w:val="-9"/>
          <w:sz w:val="20"/>
        </w:rPr>
        <w:t xml:space="preserve"> </w:t>
      </w:r>
      <w:r>
        <w:rPr>
          <w:color w:val="231F20"/>
          <w:spacing w:val="-3"/>
          <w:sz w:val="20"/>
        </w:rPr>
        <w:t>from</w:t>
      </w:r>
      <w:r>
        <w:rPr>
          <w:color w:val="231F20"/>
          <w:spacing w:val="-8"/>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8"/>
          <w:sz w:val="20"/>
        </w:rPr>
        <w:t xml:space="preserve"> </w:t>
      </w:r>
      <w:r>
        <w:rPr>
          <w:color w:val="231F20"/>
          <w:sz w:val="20"/>
        </w:rPr>
        <w:t>that</w:t>
      </w:r>
      <w:r>
        <w:rPr>
          <w:color w:val="231F20"/>
          <w:spacing w:val="-9"/>
          <w:sz w:val="20"/>
        </w:rPr>
        <w:t xml:space="preserve"> </w:t>
      </w:r>
      <w:r>
        <w:rPr>
          <w:color w:val="231F20"/>
          <w:sz w:val="20"/>
        </w:rPr>
        <w:t>they</w:t>
      </w:r>
      <w:r>
        <w:rPr>
          <w:color w:val="231F20"/>
          <w:spacing w:val="-8"/>
          <w:sz w:val="20"/>
        </w:rPr>
        <w:t xml:space="preserve"> </w:t>
      </w:r>
      <w:r>
        <w:rPr>
          <w:color w:val="231F20"/>
          <w:spacing w:val="-3"/>
          <w:sz w:val="20"/>
        </w:rPr>
        <w:t>are</w:t>
      </w:r>
      <w:r>
        <w:rPr>
          <w:color w:val="231F20"/>
          <w:spacing w:val="-9"/>
          <w:sz w:val="20"/>
        </w:rPr>
        <w:t xml:space="preserve"> </w:t>
      </w:r>
      <w:r>
        <w:rPr>
          <w:color w:val="231F20"/>
          <w:sz w:val="20"/>
        </w:rPr>
        <w:t>often</w:t>
      </w:r>
      <w:r>
        <w:rPr>
          <w:color w:val="231F20"/>
          <w:spacing w:val="-9"/>
          <w:sz w:val="20"/>
        </w:rPr>
        <w:t xml:space="preserve"> </w:t>
      </w:r>
      <w:r>
        <w:rPr>
          <w:color w:val="231F20"/>
          <w:sz w:val="20"/>
        </w:rPr>
        <w:t>the</w:t>
      </w:r>
      <w:r>
        <w:rPr>
          <w:color w:val="231F20"/>
          <w:spacing w:val="-8"/>
          <w:sz w:val="20"/>
        </w:rPr>
        <w:t xml:space="preserve"> </w:t>
      </w:r>
      <w:r>
        <w:rPr>
          <w:color w:val="231F20"/>
          <w:sz w:val="20"/>
        </w:rPr>
        <w:t>ones</w:t>
      </w:r>
      <w:r>
        <w:rPr>
          <w:color w:val="231F20"/>
          <w:spacing w:val="-9"/>
          <w:sz w:val="20"/>
        </w:rPr>
        <w:t xml:space="preserve"> </w:t>
      </w:r>
      <w:r>
        <w:rPr>
          <w:color w:val="231F20"/>
          <w:sz w:val="20"/>
        </w:rPr>
        <w:t>who</w:t>
      </w:r>
      <w:r>
        <w:rPr>
          <w:color w:val="231F20"/>
          <w:spacing w:val="-8"/>
          <w:sz w:val="20"/>
        </w:rPr>
        <w:t xml:space="preserve"> </w:t>
      </w:r>
      <w:proofErr w:type="gramStart"/>
      <w:r>
        <w:rPr>
          <w:color w:val="231F20"/>
          <w:spacing w:val="-4"/>
          <w:sz w:val="20"/>
        </w:rPr>
        <w:t>have</w:t>
      </w:r>
      <w:r>
        <w:rPr>
          <w:color w:val="231F20"/>
          <w:spacing w:val="-9"/>
          <w:sz w:val="20"/>
        </w:rPr>
        <w:t xml:space="preserve"> </w:t>
      </w:r>
      <w:r>
        <w:rPr>
          <w:color w:val="231F20"/>
          <w:sz w:val="20"/>
        </w:rPr>
        <w:t>to</w:t>
      </w:r>
      <w:proofErr w:type="gramEnd"/>
      <w:r>
        <w:rPr>
          <w:color w:val="231F20"/>
          <w:spacing w:val="-8"/>
          <w:sz w:val="20"/>
        </w:rPr>
        <w:t xml:space="preserve"> </w:t>
      </w:r>
      <w:r>
        <w:rPr>
          <w:color w:val="231F20"/>
          <w:sz w:val="20"/>
        </w:rPr>
        <w:t>change</w:t>
      </w:r>
      <w:r>
        <w:rPr>
          <w:color w:val="231F20"/>
          <w:spacing w:val="-9"/>
          <w:sz w:val="20"/>
        </w:rPr>
        <w:t xml:space="preserve"> </w:t>
      </w:r>
      <w:r>
        <w:rPr>
          <w:color w:val="231F20"/>
          <w:sz w:val="20"/>
        </w:rPr>
        <w:t>their behaviour:</w:t>
      </w:r>
    </w:p>
    <w:p w14:paraId="50DFD8A1" w14:textId="77777777" w:rsidR="00894070" w:rsidRDefault="009F6793">
      <w:pPr>
        <w:pStyle w:val="BodyText"/>
        <w:spacing w:before="6"/>
        <w:rPr>
          <w:sz w:val="23"/>
        </w:rPr>
      </w:pPr>
      <w:r>
        <w:pict w14:anchorId="14994E86">
          <v:shape id="_x0000_s1096" type="#_x0000_t202" style="position:absolute;margin-left:119.3pt;margin-top:18.5pt;width:397.1pt;height:56.1pt;z-index:251762688;mso-wrap-distance-left:0;mso-wrap-distance-right:0;mso-position-horizontal-relative:page" fillcolor="#fee7de" strokecolor="#ea5b50" strokeweight=".5pt">
            <v:textbox inset="0,0,0,0">
              <w:txbxContent>
                <w:p w14:paraId="487D869F" w14:textId="77777777" w:rsidR="00894070" w:rsidRDefault="00894070">
                  <w:pPr>
                    <w:pStyle w:val="BodyText"/>
                    <w:spacing w:before="3"/>
                    <w:rPr>
                      <w:sz w:val="15"/>
                    </w:rPr>
                  </w:pPr>
                </w:p>
                <w:p w14:paraId="12A26F63" w14:textId="77777777" w:rsidR="00894070" w:rsidRDefault="009B7AFD">
                  <w:pPr>
                    <w:pStyle w:val="BodyText"/>
                    <w:spacing w:line="206" w:lineRule="auto"/>
                    <w:ind w:left="221" w:right="180"/>
                    <w:rPr>
                      <w:sz w:val="11"/>
                    </w:rPr>
                  </w:pPr>
                  <w:r>
                    <w:rPr>
                      <w:color w:val="231F20"/>
                    </w:rPr>
                    <w:t>Victims should not have to shut down their social media, wipe any trace of themselves/their identity from the world or leave their job and move interstate to escape a stalker. [Everyone] should be able to go about [their] lives normally.</w:t>
                  </w:r>
                  <w:r>
                    <w:rPr>
                      <w:color w:val="231F20"/>
                      <w:position w:val="7"/>
                      <w:sz w:val="11"/>
                    </w:rPr>
                    <w:t>3</w:t>
                  </w:r>
                </w:p>
              </w:txbxContent>
            </v:textbox>
            <w10:wrap type="topAndBottom" anchorx="page"/>
          </v:shape>
        </w:pict>
      </w:r>
    </w:p>
    <w:p w14:paraId="3686734D" w14:textId="77777777" w:rsidR="00894070" w:rsidRDefault="00894070">
      <w:pPr>
        <w:pStyle w:val="BodyText"/>
        <w:spacing w:before="6"/>
        <w:rPr>
          <w:sz w:val="19"/>
        </w:rPr>
      </w:pPr>
    </w:p>
    <w:p w14:paraId="5F023081" w14:textId="77777777" w:rsidR="00894070" w:rsidRDefault="009B7AFD">
      <w:pPr>
        <w:pStyle w:val="ListParagraph"/>
        <w:numPr>
          <w:ilvl w:val="1"/>
          <w:numId w:val="33"/>
        </w:numPr>
        <w:tabs>
          <w:tab w:val="left" w:pos="1801"/>
          <w:tab w:val="left" w:pos="1802"/>
        </w:tabs>
        <w:spacing w:before="89" w:line="206" w:lineRule="auto"/>
        <w:ind w:right="2002"/>
        <w:rPr>
          <w:sz w:val="20"/>
        </w:rPr>
      </w:pPr>
      <w:r>
        <w:rPr>
          <w:color w:val="231F20"/>
          <w:sz w:val="20"/>
        </w:rPr>
        <w:t>Stalking</w:t>
      </w:r>
      <w:r>
        <w:rPr>
          <w:color w:val="231F20"/>
          <w:spacing w:val="-11"/>
          <w:sz w:val="20"/>
        </w:rPr>
        <w:t xml:space="preserve"> </w:t>
      </w:r>
      <w:r>
        <w:rPr>
          <w:color w:val="231F20"/>
          <w:sz w:val="20"/>
        </w:rPr>
        <w:t>is</w:t>
      </w:r>
      <w:r>
        <w:rPr>
          <w:color w:val="231F20"/>
          <w:spacing w:val="-11"/>
          <w:sz w:val="20"/>
        </w:rPr>
        <w:t xml:space="preserve"> </w:t>
      </w:r>
      <w:r>
        <w:rPr>
          <w:color w:val="231F20"/>
          <w:sz w:val="20"/>
        </w:rPr>
        <w:t>a</w:t>
      </w:r>
      <w:r>
        <w:rPr>
          <w:color w:val="231F20"/>
          <w:spacing w:val="-11"/>
          <w:sz w:val="20"/>
        </w:rPr>
        <w:t xml:space="preserve"> </w:t>
      </w:r>
      <w:r>
        <w:rPr>
          <w:color w:val="231F20"/>
          <w:sz w:val="20"/>
        </w:rPr>
        <w:t>criminal</w:t>
      </w:r>
      <w:r>
        <w:rPr>
          <w:color w:val="231F20"/>
          <w:spacing w:val="-11"/>
          <w:sz w:val="20"/>
        </w:rPr>
        <w:t xml:space="preserve"> </w:t>
      </w:r>
      <w:r>
        <w:rPr>
          <w:color w:val="231F20"/>
          <w:sz w:val="20"/>
        </w:rPr>
        <w:t>offence</w:t>
      </w:r>
      <w:r>
        <w:rPr>
          <w:color w:val="231F20"/>
          <w:spacing w:val="-11"/>
          <w:sz w:val="20"/>
        </w:rPr>
        <w:t xml:space="preserve"> </w:t>
      </w:r>
      <w:r>
        <w:rPr>
          <w:color w:val="231F20"/>
          <w:sz w:val="20"/>
        </w:rPr>
        <w:t>in</w:t>
      </w:r>
      <w:r>
        <w:rPr>
          <w:color w:val="231F20"/>
          <w:spacing w:val="-11"/>
          <w:sz w:val="20"/>
        </w:rPr>
        <w:t xml:space="preserve"> </w:t>
      </w:r>
      <w:r>
        <w:rPr>
          <w:color w:val="231F20"/>
          <w:sz w:val="20"/>
        </w:rPr>
        <w:t>Victoria.</w:t>
      </w:r>
      <w:r>
        <w:rPr>
          <w:color w:val="231F20"/>
          <w:spacing w:val="-10"/>
          <w:sz w:val="20"/>
        </w:rPr>
        <w:t xml:space="preserve"> </w:t>
      </w:r>
      <w:r>
        <w:rPr>
          <w:color w:val="231F20"/>
          <w:sz w:val="20"/>
        </w:rPr>
        <w:t>It</w:t>
      </w:r>
      <w:r>
        <w:rPr>
          <w:color w:val="231F20"/>
          <w:spacing w:val="-11"/>
          <w:sz w:val="20"/>
        </w:rPr>
        <w:t xml:space="preserve"> </w:t>
      </w:r>
      <w:r>
        <w:rPr>
          <w:color w:val="231F20"/>
          <w:sz w:val="20"/>
        </w:rPr>
        <w:t>can</w:t>
      </w:r>
      <w:r>
        <w:rPr>
          <w:color w:val="231F20"/>
          <w:spacing w:val="-11"/>
          <w:sz w:val="20"/>
        </w:rPr>
        <w:t xml:space="preserve"> </w:t>
      </w:r>
      <w:r>
        <w:rPr>
          <w:color w:val="231F20"/>
          <w:sz w:val="20"/>
        </w:rPr>
        <w:t>be</w:t>
      </w:r>
      <w:r>
        <w:rPr>
          <w:color w:val="231F20"/>
          <w:spacing w:val="-11"/>
          <w:sz w:val="20"/>
        </w:rPr>
        <w:t xml:space="preserve"> </w:t>
      </w:r>
      <w:r>
        <w:rPr>
          <w:color w:val="231F20"/>
          <w:sz w:val="20"/>
        </w:rPr>
        <w:t>grounds</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a</w:t>
      </w:r>
      <w:r>
        <w:rPr>
          <w:color w:val="231F20"/>
          <w:spacing w:val="-10"/>
          <w:sz w:val="20"/>
        </w:rPr>
        <w:t xml:space="preserve"> </w:t>
      </w:r>
      <w:r>
        <w:rPr>
          <w:color w:val="231F20"/>
          <w:sz w:val="20"/>
        </w:rPr>
        <w:t>personal</w:t>
      </w:r>
      <w:r>
        <w:rPr>
          <w:color w:val="231F20"/>
          <w:spacing w:val="-11"/>
          <w:sz w:val="20"/>
        </w:rPr>
        <w:t xml:space="preserve"> </w:t>
      </w:r>
      <w:r>
        <w:rPr>
          <w:color w:val="231F20"/>
          <w:sz w:val="20"/>
        </w:rPr>
        <w:t xml:space="preserve">safety </w:t>
      </w:r>
      <w:r>
        <w:rPr>
          <w:color w:val="231F20"/>
          <w:spacing w:val="-2"/>
          <w:sz w:val="20"/>
        </w:rPr>
        <w:t>intervention</w:t>
      </w:r>
      <w:r>
        <w:rPr>
          <w:color w:val="231F20"/>
          <w:spacing w:val="-9"/>
          <w:sz w:val="20"/>
        </w:rPr>
        <w:t xml:space="preserve"> </w:t>
      </w:r>
      <w:r>
        <w:rPr>
          <w:color w:val="231F20"/>
          <w:sz w:val="20"/>
        </w:rPr>
        <w:t>order</w:t>
      </w:r>
      <w:r>
        <w:rPr>
          <w:color w:val="231F20"/>
          <w:spacing w:val="-8"/>
          <w:sz w:val="20"/>
        </w:rPr>
        <w:t xml:space="preserve"> </w:t>
      </w:r>
      <w:r>
        <w:rPr>
          <w:color w:val="231F20"/>
          <w:spacing w:val="-3"/>
          <w:sz w:val="20"/>
        </w:rPr>
        <w:t>(PSIO),</w:t>
      </w:r>
      <w:r>
        <w:rPr>
          <w:color w:val="231F20"/>
          <w:spacing w:val="-8"/>
          <w:sz w:val="20"/>
        </w:rPr>
        <w:t xml:space="preserve"> </w:t>
      </w:r>
      <w:r>
        <w:rPr>
          <w:color w:val="231F20"/>
          <w:sz w:val="20"/>
        </w:rPr>
        <w:t>and</w:t>
      </w:r>
      <w:r>
        <w:rPr>
          <w:color w:val="231F20"/>
          <w:spacing w:val="-8"/>
          <w:sz w:val="20"/>
        </w:rPr>
        <w:t xml:space="preserve"> </w:t>
      </w:r>
      <w:r>
        <w:rPr>
          <w:color w:val="231F20"/>
          <w:sz w:val="20"/>
        </w:rPr>
        <w:t>it</w:t>
      </w:r>
      <w:r>
        <w:rPr>
          <w:color w:val="231F20"/>
          <w:spacing w:val="-8"/>
          <w:sz w:val="20"/>
        </w:rPr>
        <w:t xml:space="preserve"> </w:t>
      </w:r>
      <w:r>
        <w:rPr>
          <w:color w:val="231F20"/>
          <w:sz w:val="20"/>
        </w:rPr>
        <w:t>is</w:t>
      </w:r>
      <w:r>
        <w:rPr>
          <w:color w:val="231F20"/>
          <w:spacing w:val="-8"/>
          <w:sz w:val="20"/>
        </w:rPr>
        <w:t xml:space="preserve"> </w:t>
      </w:r>
      <w:r>
        <w:rPr>
          <w:color w:val="231F20"/>
          <w:sz w:val="20"/>
        </w:rPr>
        <w:t>a</w:t>
      </w:r>
      <w:r>
        <w:rPr>
          <w:color w:val="231F20"/>
          <w:spacing w:val="-8"/>
          <w:sz w:val="20"/>
        </w:rPr>
        <w:t xml:space="preserve"> </w:t>
      </w:r>
      <w:r>
        <w:rPr>
          <w:color w:val="231F20"/>
          <w:sz w:val="20"/>
        </w:rPr>
        <w:t>criminal</w:t>
      </w:r>
      <w:r>
        <w:rPr>
          <w:color w:val="231F20"/>
          <w:spacing w:val="-8"/>
          <w:sz w:val="20"/>
        </w:rPr>
        <w:t xml:space="preserve"> </w:t>
      </w:r>
      <w:r>
        <w:rPr>
          <w:color w:val="231F20"/>
          <w:sz w:val="20"/>
        </w:rPr>
        <w:t>offence</w:t>
      </w:r>
      <w:r>
        <w:rPr>
          <w:color w:val="231F20"/>
          <w:spacing w:val="-8"/>
          <w:sz w:val="20"/>
        </w:rPr>
        <w:t xml:space="preserve"> </w:t>
      </w:r>
      <w:r>
        <w:rPr>
          <w:color w:val="231F20"/>
          <w:sz w:val="20"/>
        </w:rPr>
        <w:t>to</w:t>
      </w:r>
      <w:r>
        <w:rPr>
          <w:color w:val="231F20"/>
          <w:spacing w:val="-9"/>
          <w:sz w:val="20"/>
        </w:rPr>
        <w:t xml:space="preserve"> </w:t>
      </w:r>
      <w:r>
        <w:rPr>
          <w:color w:val="231F20"/>
          <w:sz w:val="20"/>
        </w:rPr>
        <w:t>breach</w:t>
      </w:r>
      <w:r>
        <w:rPr>
          <w:color w:val="231F20"/>
          <w:spacing w:val="-8"/>
          <w:sz w:val="20"/>
        </w:rPr>
        <w:t xml:space="preserve"> </w:t>
      </w:r>
      <w:r>
        <w:rPr>
          <w:color w:val="231F20"/>
          <w:sz w:val="20"/>
        </w:rPr>
        <w:t>such</w:t>
      </w:r>
      <w:r>
        <w:rPr>
          <w:color w:val="231F20"/>
          <w:spacing w:val="-8"/>
          <w:sz w:val="20"/>
        </w:rPr>
        <w:t xml:space="preserve"> </w:t>
      </w:r>
      <w:r>
        <w:rPr>
          <w:color w:val="231F20"/>
          <w:sz w:val="20"/>
        </w:rPr>
        <w:t>an</w:t>
      </w:r>
      <w:r>
        <w:rPr>
          <w:color w:val="231F20"/>
          <w:spacing w:val="-8"/>
          <w:sz w:val="20"/>
        </w:rPr>
        <w:t xml:space="preserve"> </w:t>
      </w:r>
      <w:r>
        <w:rPr>
          <w:color w:val="231F20"/>
          <w:spacing w:val="-4"/>
          <w:sz w:val="20"/>
        </w:rPr>
        <w:t>order.</w:t>
      </w:r>
    </w:p>
    <w:p w14:paraId="720BB567" w14:textId="77777777" w:rsidR="00894070" w:rsidRDefault="009B7AFD">
      <w:pPr>
        <w:pStyle w:val="ListParagraph"/>
        <w:numPr>
          <w:ilvl w:val="1"/>
          <w:numId w:val="33"/>
        </w:numPr>
        <w:tabs>
          <w:tab w:val="left" w:pos="1801"/>
          <w:tab w:val="left" w:pos="1802"/>
        </w:tabs>
        <w:spacing w:before="123" w:line="206" w:lineRule="auto"/>
        <w:ind w:right="1170"/>
        <w:rPr>
          <w:sz w:val="11"/>
        </w:rPr>
      </w:pPr>
      <w:r>
        <w:rPr>
          <w:color w:val="231F20"/>
          <w:sz w:val="20"/>
        </w:rPr>
        <w:t>The</w:t>
      </w:r>
      <w:r>
        <w:rPr>
          <w:color w:val="231F20"/>
          <w:spacing w:val="-11"/>
          <w:sz w:val="20"/>
        </w:rPr>
        <w:t xml:space="preserve"> </w:t>
      </w:r>
      <w:r>
        <w:rPr>
          <w:color w:val="231F20"/>
          <w:sz w:val="20"/>
        </w:rPr>
        <w:t>Sentencing</w:t>
      </w:r>
      <w:r>
        <w:rPr>
          <w:color w:val="231F20"/>
          <w:spacing w:val="-11"/>
          <w:sz w:val="20"/>
        </w:rPr>
        <w:t xml:space="preserve"> </w:t>
      </w:r>
      <w:r>
        <w:rPr>
          <w:color w:val="231F20"/>
          <w:sz w:val="20"/>
        </w:rPr>
        <w:t>Advisory</w:t>
      </w:r>
      <w:r>
        <w:rPr>
          <w:color w:val="231F20"/>
          <w:spacing w:val="-11"/>
          <w:sz w:val="20"/>
        </w:rPr>
        <w:t xml:space="preserve"> </w:t>
      </w:r>
      <w:r>
        <w:rPr>
          <w:color w:val="231F20"/>
          <w:sz w:val="20"/>
        </w:rPr>
        <w:t>Council</w:t>
      </w:r>
      <w:r>
        <w:rPr>
          <w:color w:val="231F20"/>
          <w:spacing w:val="-11"/>
          <w:sz w:val="20"/>
        </w:rPr>
        <w:t xml:space="preserve"> </w:t>
      </w:r>
      <w:r>
        <w:rPr>
          <w:color w:val="231F20"/>
          <w:sz w:val="20"/>
        </w:rPr>
        <w:t>report</w:t>
      </w:r>
      <w:r>
        <w:rPr>
          <w:color w:val="231F20"/>
          <w:spacing w:val="-11"/>
          <w:sz w:val="20"/>
        </w:rPr>
        <w:t xml:space="preserve"> </w:t>
      </w:r>
      <w:r>
        <w:rPr>
          <w:color w:val="231F20"/>
          <w:sz w:val="20"/>
        </w:rPr>
        <w:t>found</w:t>
      </w:r>
      <w:r>
        <w:rPr>
          <w:color w:val="231F20"/>
          <w:spacing w:val="-11"/>
          <w:sz w:val="20"/>
        </w:rPr>
        <w:t xml:space="preserve"> </w:t>
      </w:r>
      <w:r>
        <w:rPr>
          <w:color w:val="231F20"/>
          <w:sz w:val="20"/>
        </w:rPr>
        <w:t>that</w:t>
      </w:r>
      <w:r>
        <w:rPr>
          <w:color w:val="231F20"/>
          <w:spacing w:val="-11"/>
          <w:sz w:val="20"/>
        </w:rPr>
        <w:t xml:space="preserve"> </w:t>
      </w:r>
      <w:r>
        <w:rPr>
          <w:color w:val="231F20"/>
          <w:sz w:val="20"/>
        </w:rPr>
        <w:t>57</w:t>
      </w:r>
      <w:r>
        <w:rPr>
          <w:color w:val="231F20"/>
          <w:spacing w:val="-11"/>
          <w:sz w:val="20"/>
        </w:rPr>
        <w:t xml:space="preserve"> </w:t>
      </w:r>
      <w:r>
        <w:rPr>
          <w:color w:val="231F20"/>
          <w:sz w:val="20"/>
        </w:rPr>
        <w:t>per</w:t>
      </w:r>
      <w:r>
        <w:rPr>
          <w:color w:val="231F20"/>
          <w:spacing w:val="-11"/>
          <w:sz w:val="20"/>
        </w:rPr>
        <w:t xml:space="preserve"> </w:t>
      </w:r>
      <w:r>
        <w:rPr>
          <w:color w:val="231F20"/>
          <w:sz w:val="20"/>
        </w:rPr>
        <w:t>cent</w:t>
      </w:r>
      <w:r>
        <w:rPr>
          <w:color w:val="231F20"/>
          <w:spacing w:val="-11"/>
          <w:sz w:val="20"/>
        </w:rPr>
        <w:t xml:space="preserve"> </w:t>
      </w:r>
      <w:r>
        <w:rPr>
          <w:color w:val="231F20"/>
          <w:sz w:val="20"/>
        </w:rPr>
        <w:t>of</w:t>
      </w:r>
      <w:r>
        <w:rPr>
          <w:color w:val="231F20"/>
          <w:spacing w:val="-11"/>
          <w:sz w:val="20"/>
        </w:rPr>
        <w:t xml:space="preserve"> </w:t>
      </w:r>
      <w:r>
        <w:rPr>
          <w:color w:val="231F20"/>
          <w:sz w:val="20"/>
        </w:rPr>
        <w:t>people</w:t>
      </w:r>
      <w:r>
        <w:rPr>
          <w:color w:val="231F20"/>
          <w:spacing w:val="-11"/>
          <w:sz w:val="20"/>
        </w:rPr>
        <w:t xml:space="preserve"> </w:t>
      </w:r>
      <w:r>
        <w:rPr>
          <w:color w:val="231F20"/>
          <w:sz w:val="20"/>
        </w:rPr>
        <w:t>sentenced</w:t>
      </w:r>
      <w:r>
        <w:rPr>
          <w:color w:val="231F20"/>
          <w:spacing w:val="-11"/>
          <w:sz w:val="20"/>
        </w:rPr>
        <w:t xml:space="preserve"> </w:t>
      </w:r>
      <w:r>
        <w:rPr>
          <w:color w:val="231F20"/>
          <w:spacing w:val="-3"/>
          <w:sz w:val="20"/>
        </w:rPr>
        <w:t xml:space="preserve">for </w:t>
      </w:r>
      <w:r>
        <w:rPr>
          <w:color w:val="231F20"/>
          <w:sz w:val="20"/>
        </w:rPr>
        <w:t xml:space="preserve">a breach of PSIO </w:t>
      </w:r>
      <w:r>
        <w:rPr>
          <w:color w:val="231F20"/>
          <w:spacing w:val="-4"/>
          <w:sz w:val="20"/>
        </w:rPr>
        <w:t xml:space="preserve">were </w:t>
      </w:r>
      <w:r>
        <w:rPr>
          <w:color w:val="231F20"/>
          <w:sz w:val="20"/>
        </w:rPr>
        <w:t>sentenced again within four years.</w:t>
      </w:r>
      <w:r>
        <w:rPr>
          <w:color w:val="231F20"/>
          <w:position w:val="7"/>
          <w:sz w:val="11"/>
        </w:rPr>
        <w:t xml:space="preserve">4 </w:t>
      </w:r>
      <w:r>
        <w:rPr>
          <w:color w:val="231F20"/>
          <w:sz w:val="20"/>
        </w:rPr>
        <w:t>The Council concluded that the</w:t>
      </w:r>
      <w:r>
        <w:rPr>
          <w:color w:val="231F20"/>
          <w:spacing w:val="-11"/>
          <w:sz w:val="20"/>
        </w:rPr>
        <w:t xml:space="preserve"> </w:t>
      </w:r>
      <w:r>
        <w:rPr>
          <w:color w:val="231F20"/>
          <w:spacing w:val="-3"/>
          <w:sz w:val="20"/>
        </w:rPr>
        <w:t>rate</w:t>
      </w:r>
      <w:r>
        <w:rPr>
          <w:color w:val="231F20"/>
          <w:spacing w:val="-11"/>
          <w:sz w:val="20"/>
        </w:rPr>
        <w:t xml:space="preserve"> </w:t>
      </w:r>
      <w:r>
        <w:rPr>
          <w:color w:val="231F20"/>
          <w:sz w:val="20"/>
        </w:rPr>
        <w:t>of</w:t>
      </w:r>
      <w:r>
        <w:rPr>
          <w:color w:val="231F20"/>
          <w:spacing w:val="-11"/>
          <w:sz w:val="20"/>
        </w:rPr>
        <w:t xml:space="preserve"> </w:t>
      </w:r>
      <w:r>
        <w:rPr>
          <w:color w:val="231F20"/>
          <w:sz w:val="20"/>
        </w:rPr>
        <w:t>reoffending</w:t>
      </w:r>
      <w:r>
        <w:rPr>
          <w:color w:val="231F20"/>
          <w:spacing w:val="-11"/>
          <w:sz w:val="20"/>
        </w:rPr>
        <w:t xml:space="preserve"> </w:t>
      </w:r>
      <w:r>
        <w:rPr>
          <w:color w:val="231F20"/>
          <w:sz w:val="20"/>
        </w:rPr>
        <w:t>among</w:t>
      </w:r>
      <w:r>
        <w:rPr>
          <w:color w:val="231F20"/>
          <w:spacing w:val="-11"/>
          <w:sz w:val="20"/>
        </w:rPr>
        <w:t xml:space="preserve"> </w:t>
      </w:r>
      <w:r>
        <w:rPr>
          <w:color w:val="231F20"/>
          <w:sz w:val="20"/>
        </w:rPr>
        <w:t>those</w:t>
      </w:r>
      <w:r>
        <w:rPr>
          <w:color w:val="231F20"/>
          <w:spacing w:val="-10"/>
          <w:sz w:val="20"/>
        </w:rPr>
        <w:t xml:space="preserve"> </w:t>
      </w:r>
      <w:r>
        <w:rPr>
          <w:color w:val="231F20"/>
          <w:spacing w:val="-3"/>
          <w:sz w:val="20"/>
        </w:rPr>
        <w:t>convicted</w:t>
      </w:r>
      <w:r>
        <w:rPr>
          <w:color w:val="231F20"/>
          <w:spacing w:val="-11"/>
          <w:sz w:val="20"/>
        </w:rPr>
        <w:t xml:space="preserve"> </w:t>
      </w:r>
      <w:r>
        <w:rPr>
          <w:color w:val="231F20"/>
          <w:sz w:val="20"/>
        </w:rPr>
        <w:t>of</w:t>
      </w:r>
      <w:r>
        <w:rPr>
          <w:color w:val="231F20"/>
          <w:spacing w:val="-11"/>
          <w:sz w:val="20"/>
        </w:rPr>
        <w:t xml:space="preserve"> </w:t>
      </w:r>
      <w:r>
        <w:rPr>
          <w:color w:val="231F20"/>
          <w:sz w:val="20"/>
        </w:rPr>
        <w:t>breach</w:t>
      </w:r>
      <w:r>
        <w:rPr>
          <w:color w:val="231F20"/>
          <w:spacing w:val="-11"/>
          <w:sz w:val="20"/>
        </w:rPr>
        <w:t xml:space="preserve"> </w:t>
      </w:r>
      <w:r>
        <w:rPr>
          <w:color w:val="231F20"/>
          <w:sz w:val="20"/>
        </w:rPr>
        <w:t>of</w:t>
      </w:r>
      <w:r>
        <w:rPr>
          <w:color w:val="231F20"/>
          <w:spacing w:val="-11"/>
          <w:sz w:val="20"/>
        </w:rPr>
        <w:t xml:space="preserve"> </w:t>
      </w:r>
      <w:r>
        <w:rPr>
          <w:color w:val="231F20"/>
          <w:sz w:val="20"/>
        </w:rPr>
        <w:t>PSIO</w:t>
      </w:r>
      <w:r>
        <w:rPr>
          <w:color w:val="231F20"/>
          <w:spacing w:val="-10"/>
          <w:sz w:val="20"/>
        </w:rPr>
        <w:t xml:space="preserve"> </w:t>
      </w:r>
      <w:r>
        <w:rPr>
          <w:color w:val="231F20"/>
          <w:sz w:val="20"/>
        </w:rPr>
        <w:t>‘is</w:t>
      </w:r>
      <w:r>
        <w:rPr>
          <w:color w:val="231F20"/>
          <w:spacing w:val="-11"/>
          <w:sz w:val="20"/>
        </w:rPr>
        <w:t xml:space="preserve"> </w:t>
      </w:r>
      <w:r>
        <w:rPr>
          <w:color w:val="231F20"/>
          <w:sz w:val="20"/>
        </w:rPr>
        <w:t>significantly</w:t>
      </w:r>
      <w:r>
        <w:rPr>
          <w:color w:val="231F20"/>
          <w:spacing w:val="-11"/>
          <w:sz w:val="20"/>
        </w:rPr>
        <w:t xml:space="preserve"> </w:t>
      </w:r>
      <w:r>
        <w:rPr>
          <w:color w:val="231F20"/>
          <w:sz w:val="20"/>
        </w:rPr>
        <w:t xml:space="preserve">higher than </w:t>
      </w:r>
      <w:r>
        <w:rPr>
          <w:color w:val="231F20"/>
          <w:spacing w:val="-3"/>
          <w:sz w:val="20"/>
        </w:rPr>
        <w:t xml:space="preserve">Victoria’s </w:t>
      </w:r>
      <w:r>
        <w:rPr>
          <w:color w:val="231F20"/>
          <w:sz w:val="20"/>
        </w:rPr>
        <w:t>general reoffending</w:t>
      </w:r>
      <w:r>
        <w:rPr>
          <w:color w:val="231F20"/>
          <w:spacing w:val="-15"/>
          <w:sz w:val="20"/>
        </w:rPr>
        <w:t xml:space="preserve"> </w:t>
      </w:r>
      <w:r>
        <w:rPr>
          <w:color w:val="231F20"/>
          <w:spacing w:val="-4"/>
          <w:sz w:val="20"/>
        </w:rPr>
        <w:t>rate’.</w:t>
      </w:r>
      <w:r>
        <w:rPr>
          <w:color w:val="231F20"/>
          <w:spacing w:val="-4"/>
          <w:position w:val="7"/>
          <w:sz w:val="11"/>
        </w:rPr>
        <w:t>5</w:t>
      </w:r>
    </w:p>
    <w:p w14:paraId="463B29E0" w14:textId="77777777" w:rsidR="00894070" w:rsidRDefault="009B7AFD">
      <w:pPr>
        <w:pStyle w:val="ListParagraph"/>
        <w:numPr>
          <w:ilvl w:val="1"/>
          <w:numId w:val="33"/>
        </w:numPr>
        <w:tabs>
          <w:tab w:val="left" w:pos="1801"/>
          <w:tab w:val="left" w:pos="1802"/>
        </w:tabs>
        <w:spacing w:before="125" w:line="206" w:lineRule="auto"/>
        <w:ind w:right="1219"/>
        <w:rPr>
          <w:sz w:val="20"/>
        </w:rPr>
      </w:pPr>
      <w:r>
        <w:rPr>
          <w:color w:val="231F20"/>
          <w:sz w:val="20"/>
        </w:rPr>
        <w:t xml:space="preserve">Of the 57 per cent of people sentenced </w:t>
      </w:r>
      <w:r>
        <w:rPr>
          <w:color w:val="231F20"/>
          <w:spacing w:val="-3"/>
          <w:sz w:val="20"/>
        </w:rPr>
        <w:t xml:space="preserve">for </w:t>
      </w:r>
      <w:r>
        <w:rPr>
          <w:color w:val="231F20"/>
          <w:sz w:val="20"/>
        </w:rPr>
        <w:t xml:space="preserve">a breach of PSIO who </w:t>
      </w:r>
      <w:r>
        <w:rPr>
          <w:color w:val="231F20"/>
          <w:spacing w:val="-4"/>
          <w:sz w:val="20"/>
        </w:rPr>
        <w:t xml:space="preserve">were </w:t>
      </w:r>
      <w:r>
        <w:rPr>
          <w:color w:val="231F20"/>
          <w:sz w:val="20"/>
        </w:rPr>
        <w:t>sentenced again</w:t>
      </w:r>
      <w:r>
        <w:rPr>
          <w:color w:val="231F20"/>
          <w:spacing w:val="-11"/>
          <w:sz w:val="20"/>
        </w:rPr>
        <w:t xml:space="preserve"> </w:t>
      </w:r>
      <w:r>
        <w:rPr>
          <w:color w:val="231F20"/>
          <w:sz w:val="20"/>
        </w:rPr>
        <w:t>within</w:t>
      </w:r>
      <w:r>
        <w:rPr>
          <w:color w:val="231F20"/>
          <w:spacing w:val="-10"/>
          <w:sz w:val="20"/>
        </w:rPr>
        <w:t xml:space="preserve"> </w:t>
      </w:r>
      <w:r>
        <w:rPr>
          <w:color w:val="231F20"/>
          <w:sz w:val="20"/>
        </w:rPr>
        <w:t>four</w:t>
      </w:r>
      <w:r>
        <w:rPr>
          <w:color w:val="231F20"/>
          <w:spacing w:val="-11"/>
          <w:sz w:val="20"/>
        </w:rPr>
        <w:t xml:space="preserve"> </w:t>
      </w:r>
      <w:r>
        <w:rPr>
          <w:color w:val="231F20"/>
          <w:sz w:val="20"/>
        </w:rPr>
        <w:t>years,</w:t>
      </w:r>
      <w:r>
        <w:rPr>
          <w:color w:val="231F20"/>
          <w:spacing w:val="-10"/>
          <w:sz w:val="20"/>
        </w:rPr>
        <w:t xml:space="preserve"> </w:t>
      </w:r>
      <w:r>
        <w:rPr>
          <w:color w:val="231F20"/>
          <w:sz w:val="20"/>
        </w:rPr>
        <w:t>one</w:t>
      </w:r>
      <w:r>
        <w:rPr>
          <w:color w:val="231F20"/>
          <w:spacing w:val="-10"/>
          <w:sz w:val="20"/>
        </w:rPr>
        <w:t xml:space="preserve"> </w:t>
      </w:r>
      <w:r>
        <w:rPr>
          <w:color w:val="231F20"/>
          <w:sz w:val="20"/>
        </w:rPr>
        <w:t>quarter</w:t>
      </w:r>
      <w:r>
        <w:rPr>
          <w:color w:val="231F20"/>
          <w:spacing w:val="-11"/>
          <w:sz w:val="20"/>
        </w:rPr>
        <w:t xml:space="preserve"> </w:t>
      </w:r>
      <w:r>
        <w:rPr>
          <w:color w:val="231F20"/>
          <w:spacing w:val="-4"/>
          <w:sz w:val="20"/>
        </w:rPr>
        <w:t>were</w:t>
      </w:r>
      <w:r>
        <w:rPr>
          <w:color w:val="231F20"/>
          <w:spacing w:val="-10"/>
          <w:sz w:val="20"/>
        </w:rPr>
        <w:t xml:space="preserve"> </w:t>
      </w:r>
      <w:r>
        <w:rPr>
          <w:color w:val="231F20"/>
          <w:sz w:val="20"/>
        </w:rPr>
        <w:t>sentenced</w:t>
      </w:r>
      <w:r>
        <w:rPr>
          <w:color w:val="231F20"/>
          <w:spacing w:val="-10"/>
          <w:sz w:val="20"/>
        </w:rPr>
        <w:t xml:space="preserve"> </w:t>
      </w:r>
      <w:r>
        <w:rPr>
          <w:color w:val="231F20"/>
          <w:spacing w:val="-3"/>
          <w:sz w:val="20"/>
        </w:rPr>
        <w:t>for</w:t>
      </w:r>
      <w:r>
        <w:rPr>
          <w:color w:val="231F20"/>
          <w:spacing w:val="-11"/>
          <w:sz w:val="20"/>
        </w:rPr>
        <w:t xml:space="preserve"> </w:t>
      </w:r>
      <w:r>
        <w:rPr>
          <w:color w:val="231F20"/>
          <w:sz w:val="20"/>
        </w:rPr>
        <w:t>a</w:t>
      </w:r>
      <w:r>
        <w:rPr>
          <w:color w:val="231F20"/>
          <w:spacing w:val="-10"/>
          <w:sz w:val="20"/>
        </w:rPr>
        <w:t xml:space="preserve"> </w:t>
      </w:r>
      <w:r>
        <w:rPr>
          <w:color w:val="231F20"/>
          <w:sz w:val="20"/>
        </w:rPr>
        <w:t>violent</w:t>
      </w:r>
      <w:r>
        <w:rPr>
          <w:color w:val="231F20"/>
          <w:spacing w:val="-10"/>
          <w:sz w:val="20"/>
        </w:rPr>
        <w:t xml:space="preserve"> </w:t>
      </w:r>
      <w:r>
        <w:rPr>
          <w:color w:val="231F20"/>
          <w:spacing w:val="-3"/>
          <w:sz w:val="20"/>
        </w:rPr>
        <w:t>offence.</w:t>
      </w:r>
      <w:r>
        <w:rPr>
          <w:color w:val="231F20"/>
          <w:spacing w:val="-11"/>
          <w:sz w:val="20"/>
        </w:rPr>
        <w:t xml:space="preserve"> </w:t>
      </w:r>
      <w:r>
        <w:rPr>
          <w:color w:val="231F20"/>
          <w:sz w:val="20"/>
        </w:rPr>
        <w:t>Four</w:t>
      </w:r>
      <w:r>
        <w:rPr>
          <w:color w:val="231F20"/>
          <w:spacing w:val="-10"/>
          <w:sz w:val="20"/>
        </w:rPr>
        <w:t xml:space="preserve"> </w:t>
      </w:r>
      <w:r>
        <w:rPr>
          <w:color w:val="231F20"/>
          <w:sz w:val="20"/>
        </w:rPr>
        <w:t>per</w:t>
      </w:r>
      <w:r>
        <w:rPr>
          <w:color w:val="231F20"/>
          <w:spacing w:val="-11"/>
          <w:sz w:val="20"/>
        </w:rPr>
        <w:t xml:space="preserve"> </w:t>
      </w:r>
      <w:r>
        <w:rPr>
          <w:color w:val="231F20"/>
          <w:sz w:val="20"/>
        </w:rPr>
        <w:t xml:space="preserve">cent </w:t>
      </w:r>
      <w:r>
        <w:rPr>
          <w:color w:val="231F20"/>
          <w:spacing w:val="-4"/>
          <w:sz w:val="20"/>
        </w:rPr>
        <w:t>were</w:t>
      </w:r>
      <w:r>
        <w:rPr>
          <w:color w:val="231F20"/>
          <w:spacing w:val="-12"/>
          <w:sz w:val="20"/>
        </w:rPr>
        <w:t xml:space="preserve"> </w:t>
      </w:r>
      <w:r>
        <w:rPr>
          <w:color w:val="231F20"/>
          <w:sz w:val="20"/>
        </w:rPr>
        <w:t>sentenced</w:t>
      </w:r>
      <w:r>
        <w:rPr>
          <w:color w:val="231F20"/>
          <w:spacing w:val="-12"/>
          <w:sz w:val="20"/>
        </w:rPr>
        <w:t xml:space="preserve"> </w:t>
      </w:r>
      <w:r>
        <w:rPr>
          <w:color w:val="231F20"/>
          <w:spacing w:val="-3"/>
          <w:sz w:val="20"/>
        </w:rPr>
        <w:t>for</w:t>
      </w:r>
      <w:r>
        <w:rPr>
          <w:color w:val="231F20"/>
          <w:spacing w:val="-12"/>
          <w:sz w:val="20"/>
        </w:rPr>
        <w:t xml:space="preserve"> </w:t>
      </w:r>
      <w:r>
        <w:rPr>
          <w:color w:val="231F20"/>
          <w:sz w:val="20"/>
        </w:rPr>
        <w:t>a</w:t>
      </w:r>
      <w:r>
        <w:rPr>
          <w:color w:val="231F20"/>
          <w:spacing w:val="-11"/>
          <w:sz w:val="20"/>
        </w:rPr>
        <w:t xml:space="preserve"> </w:t>
      </w:r>
      <w:r>
        <w:rPr>
          <w:color w:val="231F20"/>
          <w:sz w:val="20"/>
        </w:rPr>
        <w:t>stalking</w:t>
      </w:r>
      <w:r>
        <w:rPr>
          <w:color w:val="231F20"/>
          <w:spacing w:val="-12"/>
          <w:sz w:val="20"/>
        </w:rPr>
        <w:t xml:space="preserve"> </w:t>
      </w:r>
      <w:r>
        <w:rPr>
          <w:color w:val="231F20"/>
          <w:sz w:val="20"/>
        </w:rPr>
        <w:t>offence.</w:t>
      </w:r>
      <w:r>
        <w:rPr>
          <w:color w:val="231F20"/>
          <w:position w:val="7"/>
          <w:sz w:val="11"/>
        </w:rPr>
        <w:t>6</w:t>
      </w:r>
      <w:r>
        <w:rPr>
          <w:color w:val="231F20"/>
          <w:spacing w:val="12"/>
          <w:position w:val="7"/>
          <w:sz w:val="11"/>
        </w:rPr>
        <w:t xml:space="preserve"> </w:t>
      </w:r>
      <w:r>
        <w:rPr>
          <w:color w:val="231F20"/>
          <w:sz w:val="20"/>
        </w:rPr>
        <w:t>This</w:t>
      </w:r>
      <w:r>
        <w:rPr>
          <w:color w:val="231F20"/>
          <w:spacing w:val="-12"/>
          <w:sz w:val="20"/>
        </w:rPr>
        <w:t xml:space="preserve"> </w:t>
      </w:r>
      <w:r>
        <w:rPr>
          <w:color w:val="231F20"/>
          <w:sz w:val="20"/>
        </w:rPr>
        <w:t>indicates</w:t>
      </w:r>
      <w:r>
        <w:rPr>
          <w:color w:val="231F20"/>
          <w:spacing w:val="-11"/>
          <w:sz w:val="20"/>
        </w:rPr>
        <w:t xml:space="preserve"> </w:t>
      </w:r>
      <w:r>
        <w:rPr>
          <w:color w:val="231F20"/>
          <w:sz w:val="20"/>
        </w:rPr>
        <w:t>that</w:t>
      </w:r>
      <w:r>
        <w:rPr>
          <w:color w:val="231F20"/>
          <w:spacing w:val="-13"/>
          <w:sz w:val="20"/>
        </w:rPr>
        <w:t xml:space="preserve"> </w:t>
      </w:r>
      <w:r>
        <w:rPr>
          <w:color w:val="231F20"/>
          <w:sz w:val="20"/>
        </w:rPr>
        <w:t>legal</w:t>
      </w:r>
      <w:r>
        <w:rPr>
          <w:color w:val="231F20"/>
          <w:spacing w:val="-12"/>
          <w:sz w:val="20"/>
        </w:rPr>
        <w:t xml:space="preserve"> </w:t>
      </w:r>
      <w:r>
        <w:rPr>
          <w:color w:val="231F20"/>
          <w:sz w:val="20"/>
        </w:rPr>
        <w:t>sanctions</w:t>
      </w:r>
      <w:r>
        <w:rPr>
          <w:color w:val="231F20"/>
          <w:spacing w:val="-11"/>
          <w:sz w:val="20"/>
        </w:rPr>
        <w:t xml:space="preserve"> </w:t>
      </w:r>
      <w:r>
        <w:rPr>
          <w:color w:val="231F20"/>
          <w:sz w:val="20"/>
        </w:rPr>
        <w:t>alone</w:t>
      </w:r>
      <w:r>
        <w:rPr>
          <w:color w:val="231F20"/>
          <w:spacing w:val="-12"/>
          <w:sz w:val="20"/>
        </w:rPr>
        <w:t xml:space="preserve"> </w:t>
      </w:r>
      <w:r>
        <w:rPr>
          <w:color w:val="231F20"/>
          <w:sz w:val="20"/>
        </w:rPr>
        <w:t>cannot address</w:t>
      </w:r>
      <w:r>
        <w:rPr>
          <w:color w:val="231F20"/>
          <w:spacing w:val="-6"/>
          <w:sz w:val="20"/>
        </w:rPr>
        <w:t xml:space="preserve"> </w:t>
      </w:r>
      <w:r>
        <w:rPr>
          <w:color w:val="231F20"/>
          <w:sz w:val="20"/>
        </w:rPr>
        <w:t>the</w:t>
      </w:r>
      <w:r>
        <w:rPr>
          <w:color w:val="231F20"/>
          <w:spacing w:val="-6"/>
          <w:sz w:val="20"/>
        </w:rPr>
        <w:t xml:space="preserve"> </w:t>
      </w:r>
      <w:r>
        <w:rPr>
          <w:color w:val="231F20"/>
          <w:sz w:val="20"/>
        </w:rPr>
        <w:t>underlying</w:t>
      </w:r>
      <w:r>
        <w:rPr>
          <w:color w:val="231F20"/>
          <w:spacing w:val="-6"/>
          <w:sz w:val="20"/>
        </w:rPr>
        <w:t xml:space="preserve"> </w:t>
      </w:r>
      <w:r>
        <w:rPr>
          <w:color w:val="231F20"/>
          <w:sz w:val="20"/>
        </w:rPr>
        <w:t>factors</w:t>
      </w:r>
      <w:r>
        <w:rPr>
          <w:color w:val="231F20"/>
          <w:spacing w:val="-6"/>
          <w:sz w:val="20"/>
        </w:rPr>
        <w:t xml:space="preserve"> </w:t>
      </w:r>
      <w:r>
        <w:rPr>
          <w:color w:val="231F20"/>
          <w:sz w:val="20"/>
        </w:rPr>
        <w:t>that</w:t>
      </w:r>
      <w:r>
        <w:rPr>
          <w:color w:val="231F20"/>
          <w:spacing w:val="-6"/>
          <w:sz w:val="20"/>
        </w:rPr>
        <w:t xml:space="preserve"> </w:t>
      </w:r>
      <w:r>
        <w:rPr>
          <w:color w:val="231F20"/>
          <w:spacing w:val="-3"/>
          <w:sz w:val="20"/>
        </w:rPr>
        <w:t>contribute</w:t>
      </w:r>
      <w:r>
        <w:rPr>
          <w:color w:val="231F20"/>
          <w:spacing w:val="-6"/>
          <w:sz w:val="20"/>
        </w:rPr>
        <w:t xml:space="preserve"> </w:t>
      </w:r>
      <w:r>
        <w:rPr>
          <w:color w:val="231F20"/>
          <w:sz w:val="20"/>
        </w:rPr>
        <w:t>to</w:t>
      </w:r>
      <w:r>
        <w:rPr>
          <w:color w:val="231F20"/>
          <w:spacing w:val="-6"/>
          <w:sz w:val="20"/>
        </w:rPr>
        <w:t xml:space="preserve"> </w:t>
      </w:r>
      <w:r>
        <w:rPr>
          <w:color w:val="231F20"/>
          <w:sz w:val="20"/>
        </w:rPr>
        <w:t>offending</w:t>
      </w:r>
      <w:r>
        <w:rPr>
          <w:color w:val="231F20"/>
          <w:spacing w:val="-6"/>
          <w:sz w:val="20"/>
        </w:rPr>
        <w:t xml:space="preserve"> </w:t>
      </w:r>
      <w:r>
        <w:rPr>
          <w:color w:val="231F20"/>
          <w:spacing w:val="-3"/>
          <w:sz w:val="20"/>
        </w:rPr>
        <w:t>behaviour.</w:t>
      </w:r>
    </w:p>
    <w:p w14:paraId="66C26125" w14:textId="77777777" w:rsidR="00894070" w:rsidRDefault="009B7AFD">
      <w:pPr>
        <w:pStyle w:val="ListParagraph"/>
        <w:numPr>
          <w:ilvl w:val="1"/>
          <w:numId w:val="33"/>
        </w:numPr>
        <w:tabs>
          <w:tab w:val="left" w:pos="1801"/>
          <w:tab w:val="left" w:pos="1802"/>
        </w:tabs>
        <w:spacing w:before="125" w:line="206" w:lineRule="auto"/>
        <w:ind w:right="1315"/>
        <w:rPr>
          <w:sz w:val="20"/>
        </w:rPr>
      </w:pPr>
      <w:r>
        <w:rPr>
          <w:color w:val="231F20"/>
          <w:sz w:val="20"/>
        </w:rPr>
        <w:t>The</w:t>
      </w:r>
      <w:r>
        <w:rPr>
          <w:color w:val="231F20"/>
          <w:spacing w:val="-10"/>
          <w:sz w:val="20"/>
        </w:rPr>
        <w:t xml:space="preserve"> </w:t>
      </w:r>
      <w:r>
        <w:rPr>
          <w:color w:val="231F20"/>
          <w:sz w:val="20"/>
        </w:rPr>
        <w:t>response</w:t>
      </w:r>
      <w:r>
        <w:rPr>
          <w:color w:val="231F20"/>
          <w:spacing w:val="-9"/>
          <w:sz w:val="20"/>
        </w:rPr>
        <w:t xml:space="preserve"> </w:t>
      </w:r>
      <w:r>
        <w:rPr>
          <w:color w:val="231F20"/>
          <w:sz w:val="20"/>
        </w:rPr>
        <w:t>to</w:t>
      </w:r>
      <w:r>
        <w:rPr>
          <w:color w:val="231F20"/>
          <w:spacing w:val="-9"/>
          <w:sz w:val="20"/>
        </w:rPr>
        <w:t xml:space="preserve"> </w:t>
      </w:r>
      <w:r>
        <w:rPr>
          <w:color w:val="231F20"/>
          <w:sz w:val="20"/>
        </w:rPr>
        <w:t>stalking</w:t>
      </w:r>
      <w:r>
        <w:rPr>
          <w:color w:val="231F20"/>
          <w:spacing w:val="-9"/>
          <w:sz w:val="20"/>
        </w:rPr>
        <w:t xml:space="preserve"> </w:t>
      </w:r>
      <w:r>
        <w:rPr>
          <w:color w:val="231F20"/>
          <w:sz w:val="20"/>
        </w:rPr>
        <w:t>should</w:t>
      </w:r>
      <w:r>
        <w:rPr>
          <w:color w:val="231F20"/>
          <w:spacing w:val="-9"/>
          <w:sz w:val="20"/>
        </w:rPr>
        <w:t xml:space="preserve"> </w:t>
      </w:r>
      <w:r>
        <w:rPr>
          <w:color w:val="231F20"/>
          <w:sz w:val="20"/>
        </w:rPr>
        <w:t>shift</w:t>
      </w:r>
      <w:r>
        <w:rPr>
          <w:color w:val="231F20"/>
          <w:spacing w:val="-9"/>
          <w:sz w:val="20"/>
        </w:rPr>
        <w:t xml:space="preserve"> </w:t>
      </w:r>
      <w:r>
        <w:rPr>
          <w:color w:val="231F20"/>
          <w:sz w:val="20"/>
        </w:rPr>
        <w:t>the</w:t>
      </w:r>
      <w:r>
        <w:rPr>
          <w:color w:val="231F20"/>
          <w:spacing w:val="-10"/>
          <w:sz w:val="20"/>
        </w:rPr>
        <w:t xml:space="preserve"> </w:t>
      </w:r>
      <w:r>
        <w:rPr>
          <w:color w:val="231F20"/>
          <w:sz w:val="20"/>
        </w:rPr>
        <w:t>burden</w:t>
      </w:r>
      <w:r>
        <w:rPr>
          <w:color w:val="231F20"/>
          <w:spacing w:val="-9"/>
          <w:sz w:val="20"/>
        </w:rPr>
        <w:t xml:space="preserve"> </w:t>
      </w:r>
      <w:r>
        <w:rPr>
          <w:color w:val="231F20"/>
          <w:spacing w:val="-4"/>
          <w:sz w:val="20"/>
        </w:rPr>
        <w:t>away</w:t>
      </w:r>
      <w:r>
        <w:rPr>
          <w:color w:val="231F20"/>
          <w:spacing w:val="-9"/>
          <w:sz w:val="20"/>
        </w:rPr>
        <w:t xml:space="preserve"> </w:t>
      </w:r>
      <w:r>
        <w:rPr>
          <w:color w:val="231F20"/>
          <w:spacing w:val="-3"/>
          <w:sz w:val="20"/>
        </w:rPr>
        <w:t>from</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9"/>
          <w:sz w:val="20"/>
        </w:rPr>
        <w:t xml:space="preserve"> </w:t>
      </w:r>
      <w:r>
        <w:rPr>
          <w:color w:val="231F20"/>
          <w:sz w:val="20"/>
        </w:rPr>
        <w:t>who</w:t>
      </w:r>
      <w:r>
        <w:rPr>
          <w:color w:val="231F20"/>
          <w:spacing w:val="-9"/>
          <w:sz w:val="20"/>
        </w:rPr>
        <w:t xml:space="preserve"> </w:t>
      </w:r>
      <w:r>
        <w:rPr>
          <w:color w:val="231F20"/>
          <w:spacing w:val="-4"/>
          <w:sz w:val="20"/>
        </w:rPr>
        <w:t xml:space="preserve">have </w:t>
      </w:r>
      <w:r>
        <w:rPr>
          <w:color w:val="231F20"/>
          <w:sz w:val="20"/>
        </w:rPr>
        <w:t xml:space="preserve">had the responsibility </w:t>
      </w:r>
      <w:r>
        <w:rPr>
          <w:color w:val="231F20"/>
          <w:spacing w:val="-3"/>
          <w:sz w:val="20"/>
        </w:rPr>
        <w:t xml:space="preserve">for </w:t>
      </w:r>
      <w:r>
        <w:rPr>
          <w:color w:val="231F20"/>
          <w:sz w:val="20"/>
        </w:rPr>
        <w:t xml:space="preserve">action </w:t>
      </w:r>
      <w:r>
        <w:rPr>
          <w:color w:val="231F20"/>
          <w:spacing w:val="-3"/>
          <w:sz w:val="20"/>
        </w:rPr>
        <w:t xml:space="preserve">for </w:t>
      </w:r>
      <w:r>
        <w:rPr>
          <w:color w:val="231F20"/>
          <w:sz w:val="20"/>
        </w:rPr>
        <w:t xml:space="preserve">too long. The </w:t>
      </w:r>
      <w:r>
        <w:rPr>
          <w:color w:val="231F20"/>
          <w:spacing w:val="-3"/>
          <w:sz w:val="20"/>
        </w:rPr>
        <w:t xml:space="preserve">focus </w:t>
      </w:r>
      <w:r>
        <w:rPr>
          <w:color w:val="231F20"/>
          <w:sz w:val="20"/>
        </w:rPr>
        <w:t>must be on what people who stalk can do to stop their</w:t>
      </w:r>
      <w:r>
        <w:rPr>
          <w:color w:val="231F20"/>
          <w:spacing w:val="-26"/>
          <w:sz w:val="20"/>
        </w:rPr>
        <w:t xml:space="preserve"> </w:t>
      </w:r>
      <w:r>
        <w:rPr>
          <w:color w:val="231F20"/>
          <w:spacing w:val="-3"/>
          <w:sz w:val="20"/>
        </w:rPr>
        <w:t>behaviour.</w:t>
      </w:r>
    </w:p>
    <w:p w14:paraId="4A15C26D" w14:textId="77777777" w:rsidR="00894070" w:rsidRDefault="009B7AFD">
      <w:pPr>
        <w:pStyle w:val="ListParagraph"/>
        <w:numPr>
          <w:ilvl w:val="1"/>
          <w:numId w:val="33"/>
        </w:numPr>
        <w:tabs>
          <w:tab w:val="left" w:pos="1801"/>
          <w:tab w:val="left" w:pos="1802"/>
        </w:tabs>
        <w:spacing w:before="91" w:line="259" w:lineRule="exact"/>
        <w:rPr>
          <w:sz w:val="20"/>
        </w:rPr>
      </w:pPr>
      <w:r>
        <w:rPr>
          <w:color w:val="231F20"/>
          <w:sz w:val="20"/>
        </w:rPr>
        <w:t>Shifting</w:t>
      </w:r>
      <w:r>
        <w:rPr>
          <w:color w:val="231F20"/>
          <w:spacing w:val="-6"/>
          <w:sz w:val="20"/>
        </w:rPr>
        <w:t xml:space="preserve"> </w:t>
      </w:r>
      <w:r>
        <w:rPr>
          <w:color w:val="231F20"/>
          <w:sz w:val="20"/>
        </w:rPr>
        <w:t>the</w:t>
      </w:r>
      <w:r>
        <w:rPr>
          <w:color w:val="231F20"/>
          <w:spacing w:val="-5"/>
          <w:sz w:val="20"/>
        </w:rPr>
        <w:t xml:space="preserve"> </w:t>
      </w:r>
      <w:r>
        <w:rPr>
          <w:color w:val="231F20"/>
          <w:spacing w:val="-3"/>
          <w:sz w:val="20"/>
        </w:rPr>
        <w:t>focus</w:t>
      </w:r>
      <w:r>
        <w:rPr>
          <w:color w:val="231F20"/>
          <w:spacing w:val="-6"/>
          <w:sz w:val="20"/>
        </w:rPr>
        <w:t xml:space="preserve"> </w:t>
      </w:r>
      <w:r>
        <w:rPr>
          <w:color w:val="231F20"/>
          <w:spacing w:val="-3"/>
          <w:sz w:val="20"/>
        </w:rPr>
        <w:t>onto</w:t>
      </w:r>
      <w:r>
        <w:rPr>
          <w:color w:val="231F20"/>
          <w:spacing w:val="-5"/>
          <w:sz w:val="20"/>
        </w:rPr>
        <w:t xml:space="preserve"> </w:t>
      </w:r>
      <w:r>
        <w:rPr>
          <w:color w:val="231F20"/>
          <w:sz w:val="20"/>
        </w:rPr>
        <w:t>people</w:t>
      </w:r>
      <w:r>
        <w:rPr>
          <w:color w:val="231F20"/>
          <w:spacing w:val="-6"/>
          <w:sz w:val="20"/>
        </w:rPr>
        <w:t xml:space="preserve"> </w:t>
      </w:r>
      <w:r>
        <w:rPr>
          <w:color w:val="231F20"/>
          <w:sz w:val="20"/>
        </w:rPr>
        <w:t>who</w:t>
      </w:r>
      <w:r>
        <w:rPr>
          <w:color w:val="231F20"/>
          <w:spacing w:val="-5"/>
          <w:sz w:val="20"/>
        </w:rPr>
        <w:t xml:space="preserve"> </w:t>
      </w:r>
      <w:r>
        <w:rPr>
          <w:color w:val="231F20"/>
          <w:sz w:val="20"/>
        </w:rPr>
        <w:t>stalk</w:t>
      </w:r>
      <w:r>
        <w:rPr>
          <w:color w:val="231F20"/>
          <w:spacing w:val="-5"/>
          <w:sz w:val="20"/>
        </w:rPr>
        <w:t xml:space="preserve"> </w:t>
      </w:r>
      <w:r>
        <w:rPr>
          <w:color w:val="231F20"/>
          <w:sz w:val="20"/>
        </w:rPr>
        <w:t>will</w:t>
      </w:r>
      <w:r>
        <w:rPr>
          <w:color w:val="231F20"/>
          <w:spacing w:val="-6"/>
          <w:sz w:val="20"/>
        </w:rPr>
        <w:t xml:space="preserve"> </w:t>
      </w:r>
      <w:r>
        <w:rPr>
          <w:color w:val="231F20"/>
          <w:sz w:val="20"/>
        </w:rPr>
        <w:t>also</w:t>
      </w:r>
      <w:r>
        <w:rPr>
          <w:color w:val="231F20"/>
          <w:spacing w:val="-5"/>
          <w:sz w:val="20"/>
        </w:rPr>
        <w:t xml:space="preserve"> </w:t>
      </w:r>
      <w:r>
        <w:rPr>
          <w:color w:val="231F20"/>
          <w:sz w:val="20"/>
        </w:rPr>
        <w:t>recognise</w:t>
      </w:r>
      <w:r>
        <w:rPr>
          <w:color w:val="231F20"/>
          <w:spacing w:val="-6"/>
          <w:sz w:val="20"/>
        </w:rPr>
        <w:t xml:space="preserve"> </w:t>
      </w:r>
      <w:r>
        <w:rPr>
          <w:color w:val="231F20"/>
          <w:sz w:val="20"/>
        </w:rPr>
        <w:t>the</w:t>
      </w:r>
      <w:r>
        <w:rPr>
          <w:color w:val="231F20"/>
          <w:spacing w:val="-5"/>
          <w:sz w:val="20"/>
        </w:rPr>
        <w:t xml:space="preserve"> </w:t>
      </w:r>
      <w:r>
        <w:rPr>
          <w:color w:val="231F20"/>
          <w:sz w:val="20"/>
        </w:rPr>
        <w:t>behaviour</w:t>
      </w:r>
      <w:r>
        <w:rPr>
          <w:color w:val="231F20"/>
          <w:spacing w:val="-6"/>
          <w:sz w:val="20"/>
        </w:rPr>
        <w:t xml:space="preserve"> </w:t>
      </w:r>
      <w:r>
        <w:rPr>
          <w:color w:val="231F20"/>
          <w:sz w:val="20"/>
        </w:rPr>
        <w:t>as</w:t>
      </w:r>
      <w:r>
        <w:rPr>
          <w:color w:val="231F20"/>
          <w:spacing w:val="-5"/>
          <w:sz w:val="20"/>
        </w:rPr>
        <w:t xml:space="preserve"> </w:t>
      </w:r>
      <w:r>
        <w:rPr>
          <w:color w:val="231F20"/>
          <w:sz w:val="20"/>
        </w:rPr>
        <w:t>a</w:t>
      </w:r>
      <w:r>
        <w:rPr>
          <w:color w:val="231F20"/>
          <w:spacing w:val="-5"/>
          <w:sz w:val="20"/>
        </w:rPr>
        <w:t xml:space="preserve"> </w:t>
      </w:r>
      <w:r>
        <w:rPr>
          <w:color w:val="231F20"/>
          <w:sz w:val="20"/>
        </w:rPr>
        <w:t>serious</w:t>
      </w:r>
    </w:p>
    <w:p w14:paraId="3FD09E59" w14:textId="77777777" w:rsidR="00894070" w:rsidRDefault="009B7AFD">
      <w:pPr>
        <w:pStyle w:val="BodyText"/>
        <w:spacing w:line="259" w:lineRule="exact"/>
        <w:ind w:left="1801"/>
      </w:pPr>
      <w:r>
        <w:rPr>
          <w:color w:val="231F20"/>
        </w:rPr>
        <w:t>harm.</w:t>
      </w:r>
    </w:p>
    <w:p w14:paraId="41579280" w14:textId="77777777" w:rsidR="00894070" w:rsidRDefault="009B7AFD">
      <w:pPr>
        <w:pStyle w:val="ListParagraph"/>
        <w:numPr>
          <w:ilvl w:val="1"/>
          <w:numId w:val="33"/>
        </w:numPr>
        <w:tabs>
          <w:tab w:val="left" w:pos="1801"/>
          <w:tab w:val="left" w:pos="1802"/>
        </w:tabs>
        <w:spacing w:before="83"/>
        <w:rPr>
          <w:sz w:val="20"/>
        </w:rPr>
      </w:pPr>
      <w:r>
        <w:rPr>
          <w:color w:val="231F20"/>
          <w:spacing w:val="-3"/>
          <w:sz w:val="20"/>
        </w:rPr>
        <w:t xml:space="preserve">Potential </w:t>
      </w:r>
      <w:r>
        <w:rPr>
          <w:color w:val="231F20"/>
          <w:sz w:val="20"/>
        </w:rPr>
        <w:t xml:space="preserve">benefits of shifting the </w:t>
      </w:r>
      <w:r>
        <w:rPr>
          <w:color w:val="231F20"/>
          <w:spacing w:val="-3"/>
          <w:sz w:val="20"/>
        </w:rPr>
        <w:t xml:space="preserve">focus onto </w:t>
      </w:r>
      <w:r>
        <w:rPr>
          <w:color w:val="231F20"/>
          <w:sz w:val="20"/>
        </w:rPr>
        <w:t>people who stalk</w:t>
      </w:r>
      <w:r>
        <w:rPr>
          <w:color w:val="231F20"/>
          <w:spacing w:val="-35"/>
          <w:sz w:val="20"/>
        </w:rPr>
        <w:t xml:space="preserve"> </w:t>
      </w:r>
      <w:r>
        <w:rPr>
          <w:color w:val="231F20"/>
          <w:spacing w:val="-3"/>
          <w:sz w:val="20"/>
        </w:rPr>
        <w:t>are:</w:t>
      </w:r>
    </w:p>
    <w:p w14:paraId="579C0DFE" w14:textId="77777777" w:rsidR="00894070" w:rsidRDefault="009B7AFD">
      <w:pPr>
        <w:pStyle w:val="ListParagraph"/>
        <w:numPr>
          <w:ilvl w:val="2"/>
          <w:numId w:val="33"/>
        </w:numPr>
        <w:tabs>
          <w:tab w:val="left" w:pos="2141"/>
          <w:tab w:val="left" w:pos="2142"/>
        </w:tabs>
        <w:spacing w:before="82"/>
        <w:ind w:hanging="340"/>
        <w:rPr>
          <w:sz w:val="20"/>
        </w:rPr>
      </w:pPr>
      <w:r>
        <w:rPr>
          <w:color w:val="231F20"/>
          <w:sz w:val="20"/>
        </w:rPr>
        <w:t>stopping the</w:t>
      </w:r>
      <w:r>
        <w:rPr>
          <w:color w:val="231F20"/>
          <w:spacing w:val="-9"/>
          <w:sz w:val="20"/>
        </w:rPr>
        <w:t xml:space="preserve"> </w:t>
      </w:r>
      <w:r>
        <w:rPr>
          <w:color w:val="231F20"/>
          <w:sz w:val="20"/>
        </w:rPr>
        <w:t>stalking</w:t>
      </w:r>
    </w:p>
    <w:p w14:paraId="18D1ACC8" w14:textId="77777777" w:rsidR="00894070" w:rsidRDefault="009B7AFD">
      <w:pPr>
        <w:pStyle w:val="ListParagraph"/>
        <w:numPr>
          <w:ilvl w:val="2"/>
          <w:numId w:val="33"/>
        </w:numPr>
        <w:tabs>
          <w:tab w:val="left" w:pos="2141"/>
          <w:tab w:val="left" w:pos="2142"/>
        </w:tabs>
        <w:spacing w:before="48"/>
        <w:ind w:hanging="340"/>
        <w:rPr>
          <w:sz w:val="20"/>
        </w:rPr>
      </w:pPr>
      <w:r>
        <w:rPr>
          <w:color w:val="231F20"/>
          <w:sz w:val="20"/>
        </w:rPr>
        <w:t>keeping victim survivors</w:t>
      </w:r>
      <w:r>
        <w:rPr>
          <w:color w:val="231F20"/>
          <w:spacing w:val="-13"/>
          <w:sz w:val="20"/>
        </w:rPr>
        <w:t xml:space="preserve"> </w:t>
      </w:r>
      <w:r>
        <w:rPr>
          <w:color w:val="231F20"/>
          <w:spacing w:val="-3"/>
          <w:sz w:val="20"/>
        </w:rPr>
        <w:t>safe</w:t>
      </w:r>
    </w:p>
    <w:p w14:paraId="3EDE3086" w14:textId="77777777" w:rsidR="00894070" w:rsidRDefault="009B7AFD">
      <w:pPr>
        <w:pStyle w:val="ListParagraph"/>
        <w:numPr>
          <w:ilvl w:val="2"/>
          <w:numId w:val="33"/>
        </w:numPr>
        <w:tabs>
          <w:tab w:val="left" w:pos="2141"/>
          <w:tab w:val="left" w:pos="2142"/>
        </w:tabs>
        <w:spacing w:before="47"/>
        <w:ind w:hanging="340"/>
        <w:rPr>
          <w:sz w:val="20"/>
        </w:rPr>
      </w:pPr>
      <w:r>
        <w:rPr>
          <w:color w:val="231F20"/>
          <w:spacing w:val="-3"/>
          <w:sz w:val="20"/>
        </w:rPr>
        <w:t xml:space="preserve">preventing </w:t>
      </w:r>
      <w:r>
        <w:rPr>
          <w:color w:val="231F20"/>
          <w:sz w:val="20"/>
        </w:rPr>
        <w:t xml:space="preserve">stalking </w:t>
      </w:r>
      <w:r>
        <w:rPr>
          <w:color w:val="231F20"/>
          <w:spacing w:val="-3"/>
          <w:sz w:val="20"/>
        </w:rPr>
        <w:t xml:space="preserve">from </w:t>
      </w:r>
      <w:r>
        <w:rPr>
          <w:color w:val="231F20"/>
          <w:sz w:val="20"/>
        </w:rPr>
        <w:t>happening</w:t>
      </w:r>
      <w:r>
        <w:rPr>
          <w:color w:val="231F20"/>
          <w:spacing w:val="-11"/>
          <w:sz w:val="20"/>
        </w:rPr>
        <w:t xml:space="preserve"> </w:t>
      </w:r>
      <w:r>
        <w:rPr>
          <w:color w:val="231F20"/>
          <w:sz w:val="20"/>
        </w:rPr>
        <w:t>again.</w:t>
      </w:r>
    </w:p>
    <w:p w14:paraId="6CF86389" w14:textId="77777777" w:rsidR="00894070" w:rsidRDefault="009B7AFD">
      <w:pPr>
        <w:pStyle w:val="ListParagraph"/>
        <w:numPr>
          <w:ilvl w:val="1"/>
          <w:numId w:val="33"/>
        </w:numPr>
        <w:tabs>
          <w:tab w:val="left" w:pos="1801"/>
          <w:tab w:val="left" w:pos="1802"/>
        </w:tabs>
        <w:spacing w:before="80" w:line="206" w:lineRule="auto"/>
        <w:ind w:right="1667"/>
        <w:rPr>
          <w:sz w:val="20"/>
        </w:rPr>
      </w:pPr>
      <w:r>
        <w:rPr>
          <w:color w:val="231F20"/>
          <w:sz w:val="20"/>
        </w:rPr>
        <w:t>Focusing</w:t>
      </w:r>
      <w:r>
        <w:rPr>
          <w:color w:val="231F20"/>
          <w:spacing w:val="-9"/>
          <w:sz w:val="20"/>
        </w:rPr>
        <w:t xml:space="preserve"> </w:t>
      </w:r>
      <w:r>
        <w:rPr>
          <w:color w:val="231F20"/>
          <w:sz w:val="20"/>
        </w:rPr>
        <w:t>on</w:t>
      </w:r>
      <w:r>
        <w:rPr>
          <w:color w:val="231F20"/>
          <w:spacing w:val="-9"/>
          <w:sz w:val="20"/>
        </w:rPr>
        <w:t xml:space="preserve"> </w:t>
      </w:r>
      <w:r>
        <w:rPr>
          <w:color w:val="231F20"/>
          <w:sz w:val="20"/>
        </w:rPr>
        <w:t>stopping</w:t>
      </w:r>
      <w:r>
        <w:rPr>
          <w:color w:val="231F20"/>
          <w:spacing w:val="-9"/>
          <w:sz w:val="20"/>
        </w:rPr>
        <w:t xml:space="preserve"> </w:t>
      </w:r>
      <w:r>
        <w:rPr>
          <w:color w:val="231F20"/>
          <w:sz w:val="20"/>
        </w:rPr>
        <w:t>the</w:t>
      </w:r>
      <w:r>
        <w:rPr>
          <w:color w:val="231F20"/>
          <w:spacing w:val="-9"/>
          <w:sz w:val="20"/>
        </w:rPr>
        <w:t xml:space="preserve"> </w:t>
      </w:r>
      <w:r>
        <w:rPr>
          <w:color w:val="231F20"/>
          <w:sz w:val="20"/>
        </w:rPr>
        <w:t>stalking</w:t>
      </w:r>
      <w:r>
        <w:rPr>
          <w:color w:val="231F20"/>
          <w:spacing w:val="-8"/>
          <w:sz w:val="20"/>
        </w:rPr>
        <w:t xml:space="preserve"> </w:t>
      </w:r>
      <w:r>
        <w:rPr>
          <w:color w:val="231F20"/>
          <w:sz w:val="20"/>
        </w:rPr>
        <w:t>can</w:t>
      </w:r>
      <w:r>
        <w:rPr>
          <w:color w:val="231F20"/>
          <w:spacing w:val="-9"/>
          <w:sz w:val="20"/>
        </w:rPr>
        <w:t xml:space="preserve"> </w:t>
      </w:r>
      <w:r>
        <w:rPr>
          <w:color w:val="231F20"/>
          <w:sz w:val="20"/>
        </w:rPr>
        <w:t>be</w:t>
      </w:r>
      <w:r>
        <w:rPr>
          <w:color w:val="231F20"/>
          <w:spacing w:val="-9"/>
          <w:sz w:val="20"/>
        </w:rPr>
        <w:t xml:space="preserve"> </w:t>
      </w:r>
      <w:r>
        <w:rPr>
          <w:color w:val="231F20"/>
          <w:sz w:val="20"/>
        </w:rPr>
        <w:t>a</w:t>
      </w:r>
      <w:r>
        <w:rPr>
          <w:color w:val="231F20"/>
          <w:spacing w:val="-9"/>
          <w:sz w:val="20"/>
        </w:rPr>
        <w:t xml:space="preserve"> </w:t>
      </w:r>
      <w:r>
        <w:rPr>
          <w:color w:val="231F20"/>
          <w:spacing w:val="-3"/>
          <w:sz w:val="20"/>
        </w:rPr>
        <w:t>form</w:t>
      </w:r>
      <w:r>
        <w:rPr>
          <w:color w:val="231F20"/>
          <w:spacing w:val="-9"/>
          <w:sz w:val="20"/>
        </w:rPr>
        <w:t xml:space="preserve"> </w:t>
      </w:r>
      <w:r>
        <w:rPr>
          <w:color w:val="231F20"/>
          <w:sz w:val="20"/>
        </w:rPr>
        <w:t>of</w:t>
      </w:r>
      <w:r>
        <w:rPr>
          <w:color w:val="231F20"/>
          <w:spacing w:val="-8"/>
          <w:sz w:val="20"/>
        </w:rPr>
        <w:t xml:space="preserve"> </w:t>
      </w:r>
      <w:r>
        <w:rPr>
          <w:color w:val="231F20"/>
          <w:sz w:val="20"/>
        </w:rPr>
        <w:t>justice</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9"/>
          <w:sz w:val="20"/>
        </w:rPr>
        <w:t xml:space="preserve"> </w:t>
      </w:r>
      <w:r>
        <w:rPr>
          <w:color w:val="231F20"/>
          <w:sz w:val="20"/>
        </w:rPr>
        <w:t xml:space="preserve">(see </w:t>
      </w:r>
      <w:r>
        <w:rPr>
          <w:color w:val="231F20"/>
          <w:spacing w:val="-3"/>
          <w:sz w:val="20"/>
        </w:rPr>
        <w:t>Chapter</w:t>
      </w:r>
      <w:r>
        <w:rPr>
          <w:color w:val="231F20"/>
          <w:spacing w:val="-4"/>
          <w:sz w:val="20"/>
        </w:rPr>
        <w:t xml:space="preserve"> </w:t>
      </w:r>
      <w:r>
        <w:rPr>
          <w:color w:val="231F20"/>
          <w:sz w:val="20"/>
        </w:rPr>
        <w:t>1).</w:t>
      </w:r>
    </w:p>
    <w:p w14:paraId="100F7D54" w14:textId="77777777" w:rsidR="00894070" w:rsidRDefault="009B7AFD">
      <w:pPr>
        <w:pStyle w:val="ListParagraph"/>
        <w:numPr>
          <w:ilvl w:val="1"/>
          <w:numId w:val="33"/>
        </w:numPr>
        <w:tabs>
          <w:tab w:val="left" w:pos="1801"/>
          <w:tab w:val="left" w:pos="1802"/>
        </w:tabs>
        <w:spacing w:before="122" w:line="206" w:lineRule="auto"/>
        <w:ind w:right="1786"/>
        <w:rPr>
          <w:sz w:val="20"/>
        </w:rPr>
      </w:pPr>
      <w:r>
        <w:rPr>
          <w:color w:val="231F20"/>
          <w:sz w:val="20"/>
        </w:rPr>
        <w:t>In</w:t>
      </w:r>
      <w:r>
        <w:rPr>
          <w:color w:val="231F20"/>
          <w:spacing w:val="-8"/>
          <w:sz w:val="20"/>
        </w:rPr>
        <w:t xml:space="preserve"> </w:t>
      </w:r>
      <w:r>
        <w:rPr>
          <w:color w:val="231F20"/>
          <w:sz w:val="20"/>
        </w:rPr>
        <w:t>this</w:t>
      </w:r>
      <w:r>
        <w:rPr>
          <w:color w:val="231F20"/>
          <w:spacing w:val="-8"/>
          <w:sz w:val="20"/>
        </w:rPr>
        <w:t xml:space="preserve"> </w:t>
      </w:r>
      <w:r>
        <w:rPr>
          <w:color w:val="231F20"/>
          <w:spacing w:val="-4"/>
          <w:sz w:val="20"/>
        </w:rPr>
        <w:t>chapter,</w:t>
      </w:r>
      <w:r>
        <w:rPr>
          <w:color w:val="231F20"/>
          <w:spacing w:val="-7"/>
          <w:sz w:val="20"/>
        </w:rPr>
        <w:t xml:space="preserve"> </w:t>
      </w:r>
      <w:r>
        <w:rPr>
          <w:color w:val="231F20"/>
          <w:spacing w:val="-3"/>
          <w:sz w:val="20"/>
        </w:rPr>
        <w:t>we</w:t>
      </w:r>
      <w:r>
        <w:rPr>
          <w:color w:val="231F20"/>
          <w:spacing w:val="-8"/>
          <w:sz w:val="20"/>
        </w:rPr>
        <w:t xml:space="preserve"> </w:t>
      </w:r>
      <w:r>
        <w:rPr>
          <w:color w:val="231F20"/>
          <w:sz w:val="20"/>
        </w:rPr>
        <w:t>consider</w:t>
      </w:r>
      <w:r>
        <w:rPr>
          <w:color w:val="231F20"/>
          <w:spacing w:val="-7"/>
          <w:sz w:val="20"/>
        </w:rPr>
        <w:t xml:space="preserve"> </w:t>
      </w:r>
      <w:r>
        <w:rPr>
          <w:color w:val="231F20"/>
          <w:sz w:val="20"/>
        </w:rPr>
        <w:t>a</w:t>
      </w:r>
      <w:r>
        <w:rPr>
          <w:color w:val="231F20"/>
          <w:spacing w:val="-8"/>
          <w:sz w:val="20"/>
        </w:rPr>
        <w:t xml:space="preserve"> </w:t>
      </w:r>
      <w:r>
        <w:rPr>
          <w:color w:val="231F20"/>
          <w:sz w:val="20"/>
        </w:rPr>
        <w:t>range</w:t>
      </w:r>
      <w:r>
        <w:rPr>
          <w:color w:val="231F20"/>
          <w:spacing w:val="-7"/>
          <w:sz w:val="20"/>
        </w:rPr>
        <w:t xml:space="preserve"> </w:t>
      </w:r>
      <w:r>
        <w:rPr>
          <w:color w:val="231F20"/>
          <w:sz w:val="20"/>
        </w:rPr>
        <w:t>of</w:t>
      </w:r>
      <w:r>
        <w:rPr>
          <w:color w:val="231F20"/>
          <w:spacing w:val="-8"/>
          <w:sz w:val="20"/>
        </w:rPr>
        <w:t xml:space="preserve"> </w:t>
      </w:r>
      <w:r>
        <w:rPr>
          <w:color w:val="231F20"/>
          <w:spacing w:val="-3"/>
          <w:sz w:val="20"/>
        </w:rPr>
        <w:t>reforms</w:t>
      </w:r>
      <w:r>
        <w:rPr>
          <w:color w:val="231F20"/>
          <w:spacing w:val="-7"/>
          <w:sz w:val="20"/>
        </w:rPr>
        <w:t xml:space="preserve"> </w:t>
      </w:r>
      <w:r>
        <w:rPr>
          <w:color w:val="231F20"/>
          <w:sz w:val="20"/>
        </w:rPr>
        <w:t>that</w:t>
      </w:r>
      <w:r>
        <w:rPr>
          <w:color w:val="231F20"/>
          <w:spacing w:val="-8"/>
          <w:sz w:val="20"/>
        </w:rPr>
        <w:t xml:space="preserve"> </w:t>
      </w:r>
      <w:r>
        <w:rPr>
          <w:color w:val="231F20"/>
          <w:spacing w:val="-3"/>
          <w:sz w:val="20"/>
        </w:rPr>
        <w:t>are</w:t>
      </w:r>
      <w:r>
        <w:rPr>
          <w:color w:val="231F20"/>
          <w:spacing w:val="-7"/>
          <w:sz w:val="20"/>
        </w:rPr>
        <w:t xml:space="preserve"> </w:t>
      </w:r>
      <w:r>
        <w:rPr>
          <w:color w:val="231F20"/>
          <w:sz w:val="20"/>
        </w:rPr>
        <w:t>needed</w:t>
      </w:r>
      <w:r>
        <w:rPr>
          <w:color w:val="231F20"/>
          <w:spacing w:val="-8"/>
          <w:sz w:val="20"/>
        </w:rPr>
        <w:t xml:space="preserve"> </w:t>
      </w:r>
      <w:r>
        <w:rPr>
          <w:color w:val="231F20"/>
          <w:sz w:val="20"/>
        </w:rPr>
        <w:t>to</w:t>
      </w:r>
      <w:r>
        <w:rPr>
          <w:color w:val="231F20"/>
          <w:spacing w:val="-7"/>
          <w:sz w:val="20"/>
        </w:rPr>
        <w:t xml:space="preserve"> </w:t>
      </w:r>
      <w:r>
        <w:rPr>
          <w:color w:val="231F20"/>
          <w:sz w:val="20"/>
        </w:rPr>
        <w:t>strengthen</w:t>
      </w:r>
      <w:r>
        <w:rPr>
          <w:color w:val="231F20"/>
          <w:spacing w:val="-8"/>
          <w:sz w:val="20"/>
        </w:rPr>
        <w:t xml:space="preserve"> </w:t>
      </w:r>
      <w:r>
        <w:rPr>
          <w:color w:val="231F20"/>
          <w:sz w:val="20"/>
        </w:rPr>
        <w:t>the response to people who</w:t>
      </w:r>
      <w:r>
        <w:rPr>
          <w:color w:val="231F20"/>
          <w:spacing w:val="-18"/>
          <w:sz w:val="20"/>
        </w:rPr>
        <w:t xml:space="preserve"> </w:t>
      </w:r>
      <w:r>
        <w:rPr>
          <w:color w:val="231F20"/>
          <w:sz w:val="20"/>
        </w:rPr>
        <w:t>stalk.</w:t>
      </w:r>
    </w:p>
    <w:p w14:paraId="3D47AB0D" w14:textId="77777777" w:rsidR="00894070" w:rsidRDefault="00894070">
      <w:pPr>
        <w:pStyle w:val="BodyText"/>
        <w:spacing w:before="6"/>
        <w:rPr>
          <w:sz w:val="16"/>
        </w:rPr>
      </w:pPr>
    </w:p>
    <w:p w14:paraId="0179D9A8" w14:textId="77777777" w:rsidR="00894070" w:rsidRDefault="009B7AFD">
      <w:pPr>
        <w:pStyle w:val="Heading7"/>
      </w:pPr>
      <w:r>
        <w:rPr>
          <w:color w:val="EA5B50"/>
        </w:rPr>
        <w:t>What do we know about people who stalk?</w:t>
      </w:r>
    </w:p>
    <w:p w14:paraId="3A9FC3E5" w14:textId="77777777" w:rsidR="00894070" w:rsidRDefault="009B7AFD">
      <w:pPr>
        <w:pStyle w:val="ListParagraph"/>
        <w:numPr>
          <w:ilvl w:val="1"/>
          <w:numId w:val="33"/>
        </w:numPr>
        <w:tabs>
          <w:tab w:val="left" w:pos="1801"/>
          <w:tab w:val="left" w:pos="1802"/>
        </w:tabs>
        <w:spacing w:before="146" w:line="206" w:lineRule="auto"/>
        <w:ind w:right="1542"/>
        <w:rPr>
          <w:sz w:val="20"/>
        </w:rPr>
      </w:pPr>
      <w:r>
        <w:rPr>
          <w:color w:val="231F20"/>
          <w:sz w:val="20"/>
        </w:rPr>
        <w:t xml:space="preserve">Responses to people who stalk should be informed </w:t>
      </w:r>
      <w:r>
        <w:rPr>
          <w:color w:val="231F20"/>
          <w:spacing w:val="-3"/>
          <w:sz w:val="20"/>
        </w:rPr>
        <w:t xml:space="preserve">by </w:t>
      </w:r>
      <w:r>
        <w:rPr>
          <w:color w:val="231F20"/>
          <w:sz w:val="20"/>
        </w:rPr>
        <w:t xml:space="preserve">what </w:t>
      </w:r>
      <w:r>
        <w:rPr>
          <w:color w:val="231F20"/>
          <w:spacing w:val="-3"/>
          <w:sz w:val="20"/>
        </w:rPr>
        <w:t xml:space="preserve">we know </w:t>
      </w:r>
      <w:r>
        <w:rPr>
          <w:color w:val="231F20"/>
          <w:sz w:val="20"/>
        </w:rPr>
        <w:t>about them. In</w:t>
      </w:r>
      <w:r>
        <w:rPr>
          <w:color w:val="231F20"/>
          <w:spacing w:val="-7"/>
          <w:sz w:val="20"/>
        </w:rPr>
        <w:t xml:space="preserve"> </w:t>
      </w:r>
      <w:r>
        <w:rPr>
          <w:color w:val="231F20"/>
          <w:sz w:val="20"/>
        </w:rPr>
        <w:t>this</w:t>
      </w:r>
      <w:r>
        <w:rPr>
          <w:color w:val="231F20"/>
          <w:spacing w:val="-6"/>
          <w:sz w:val="20"/>
        </w:rPr>
        <w:t xml:space="preserve"> </w:t>
      </w:r>
      <w:r>
        <w:rPr>
          <w:color w:val="231F20"/>
          <w:spacing w:val="-4"/>
          <w:sz w:val="20"/>
        </w:rPr>
        <w:t>chapter,</w:t>
      </w:r>
      <w:r>
        <w:rPr>
          <w:color w:val="231F20"/>
          <w:spacing w:val="-6"/>
          <w:sz w:val="20"/>
        </w:rPr>
        <w:t xml:space="preserve"> </w:t>
      </w:r>
      <w:r>
        <w:rPr>
          <w:color w:val="231F20"/>
          <w:spacing w:val="-3"/>
          <w:sz w:val="20"/>
        </w:rPr>
        <w:t>we</w:t>
      </w:r>
      <w:r>
        <w:rPr>
          <w:color w:val="231F20"/>
          <w:spacing w:val="-6"/>
          <w:sz w:val="20"/>
        </w:rPr>
        <w:t xml:space="preserve"> </w:t>
      </w:r>
      <w:r>
        <w:rPr>
          <w:color w:val="231F20"/>
          <w:sz w:val="20"/>
        </w:rPr>
        <w:t>consider</w:t>
      </w:r>
      <w:r>
        <w:rPr>
          <w:color w:val="231F20"/>
          <w:spacing w:val="-6"/>
          <w:sz w:val="20"/>
        </w:rPr>
        <w:t xml:space="preserve"> </w:t>
      </w:r>
      <w:r>
        <w:rPr>
          <w:color w:val="231F20"/>
          <w:sz w:val="20"/>
        </w:rPr>
        <w:t>the</w:t>
      </w:r>
      <w:r>
        <w:rPr>
          <w:color w:val="231F20"/>
          <w:spacing w:val="-6"/>
          <w:sz w:val="20"/>
        </w:rPr>
        <w:t xml:space="preserve"> </w:t>
      </w:r>
      <w:r>
        <w:rPr>
          <w:color w:val="231F20"/>
          <w:spacing w:val="-4"/>
          <w:sz w:val="20"/>
        </w:rPr>
        <w:t>key</w:t>
      </w:r>
      <w:r>
        <w:rPr>
          <w:color w:val="231F20"/>
          <w:spacing w:val="-7"/>
          <w:sz w:val="20"/>
        </w:rPr>
        <w:t xml:space="preserve"> </w:t>
      </w:r>
      <w:r>
        <w:rPr>
          <w:color w:val="231F20"/>
          <w:sz w:val="20"/>
        </w:rPr>
        <w:t>issues</w:t>
      </w:r>
      <w:r>
        <w:rPr>
          <w:color w:val="231F20"/>
          <w:spacing w:val="-6"/>
          <w:sz w:val="20"/>
        </w:rPr>
        <w:t xml:space="preserve"> </w:t>
      </w:r>
      <w:r>
        <w:rPr>
          <w:color w:val="231F20"/>
          <w:sz w:val="20"/>
        </w:rPr>
        <w:t>that</w:t>
      </w:r>
      <w:r>
        <w:rPr>
          <w:color w:val="231F20"/>
          <w:spacing w:val="-6"/>
          <w:sz w:val="20"/>
        </w:rPr>
        <w:t xml:space="preserve"> </w:t>
      </w:r>
      <w:r>
        <w:rPr>
          <w:color w:val="231F20"/>
          <w:sz w:val="20"/>
        </w:rPr>
        <w:t>make</w:t>
      </w:r>
      <w:r>
        <w:rPr>
          <w:color w:val="231F20"/>
          <w:spacing w:val="-6"/>
          <w:sz w:val="20"/>
        </w:rPr>
        <w:t xml:space="preserve"> </w:t>
      </w:r>
      <w:r>
        <w:rPr>
          <w:color w:val="231F20"/>
          <w:sz w:val="20"/>
        </w:rPr>
        <w:t>the</w:t>
      </w:r>
      <w:r>
        <w:rPr>
          <w:color w:val="231F20"/>
          <w:spacing w:val="-6"/>
          <w:sz w:val="20"/>
        </w:rPr>
        <w:t xml:space="preserve"> </w:t>
      </w:r>
      <w:r>
        <w:rPr>
          <w:color w:val="231F20"/>
          <w:spacing w:val="-3"/>
          <w:sz w:val="20"/>
        </w:rPr>
        <w:t>prevention,</w:t>
      </w:r>
      <w:r>
        <w:rPr>
          <w:color w:val="231F20"/>
          <w:spacing w:val="-6"/>
          <w:sz w:val="20"/>
        </w:rPr>
        <w:t xml:space="preserve"> </w:t>
      </w:r>
      <w:r>
        <w:rPr>
          <w:color w:val="231F20"/>
          <w:spacing w:val="-3"/>
          <w:sz w:val="20"/>
        </w:rPr>
        <w:t>treatment,</w:t>
      </w:r>
      <w:r>
        <w:rPr>
          <w:color w:val="231F20"/>
          <w:spacing w:val="-7"/>
          <w:sz w:val="20"/>
        </w:rPr>
        <w:t xml:space="preserve"> </w:t>
      </w:r>
      <w:r>
        <w:rPr>
          <w:color w:val="231F20"/>
          <w:sz w:val="20"/>
        </w:rPr>
        <w:t>and management of stalking a challenging</w:t>
      </w:r>
      <w:r>
        <w:rPr>
          <w:color w:val="231F20"/>
          <w:spacing w:val="-23"/>
          <w:sz w:val="20"/>
        </w:rPr>
        <w:t xml:space="preserve"> </w:t>
      </w:r>
      <w:r>
        <w:rPr>
          <w:color w:val="231F20"/>
          <w:sz w:val="20"/>
        </w:rPr>
        <w:t>task.</w:t>
      </w:r>
    </w:p>
    <w:p w14:paraId="1E2AF512" w14:textId="77777777" w:rsidR="00894070" w:rsidRDefault="00894070">
      <w:pPr>
        <w:pStyle w:val="BodyText"/>
        <w:spacing w:before="11"/>
        <w:rPr>
          <w:sz w:val="15"/>
        </w:rPr>
      </w:pPr>
    </w:p>
    <w:p w14:paraId="7108806A" w14:textId="77777777" w:rsidR="00894070" w:rsidRDefault="009B7AFD">
      <w:pPr>
        <w:pStyle w:val="Heading8"/>
        <w:ind w:left="1007"/>
      </w:pPr>
      <w:r>
        <w:rPr>
          <w:color w:val="231F20"/>
        </w:rPr>
        <w:t>People who stalk are diverse</w:t>
      </w:r>
    </w:p>
    <w:p w14:paraId="6E334A48" w14:textId="77777777" w:rsidR="00894070" w:rsidRDefault="009B7AFD">
      <w:pPr>
        <w:pStyle w:val="ListParagraph"/>
        <w:numPr>
          <w:ilvl w:val="1"/>
          <w:numId w:val="33"/>
        </w:numPr>
        <w:tabs>
          <w:tab w:val="left" w:pos="1801"/>
          <w:tab w:val="left" w:pos="1802"/>
        </w:tabs>
        <w:spacing w:before="95"/>
        <w:rPr>
          <w:sz w:val="20"/>
        </w:rPr>
      </w:pPr>
      <w:r>
        <w:rPr>
          <w:color w:val="231F20"/>
          <w:sz w:val="20"/>
        </w:rPr>
        <w:t xml:space="preserve">People who stalk </w:t>
      </w:r>
      <w:r>
        <w:rPr>
          <w:color w:val="231F20"/>
          <w:spacing w:val="-3"/>
          <w:sz w:val="20"/>
        </w:rPr>
        <w:t xml:space="preserve">‘represent </w:t>
      </w:r>
      <w:r>
        <w:rPr>
          <w:color w:val="231F20"/>
          <w:sz w:val="20"/>
        </w:rPr>
        <w:t xml:space="preserve">an </w:t>
      </w:r>
      <w:r>
        <w:rPr>
          <w:color w:val="231F20"/>
          <w:spacing w:val="-3"/>
          <w:sz w:val="20"/>
        </w:rPr>
        <w:t xml:space="preserve">extremely </w:t>
      </w:r>
      <w:r>
        <w:rPr>
          <w:color w:val="231F20"/>
          <w:sz w:val="20"/>
        </w:rPr>
        <w:t xml:space="preserve">diverse </w:t>
      </w:r>
      <w:r>
        <w:rPr>
          <w:color w:val="231F20"/>
          <w:spacing w:val="-3"/>
          <w:sz w:val="20"/>
        </w:rPr>
        <w:t>population’.</w:t>
      </w:r>
      <w:r>
        <w:rPr>
          <w:color w:val="231F20"/>
          <w:spacing w:val="-3"/>
          <w:position w:val="7"/>
          <w:sz w:val="11"/>
        </w:rPr>
        <w:t xml:space="preserve">7 </w:t>
      </w:r>
      <w:r>
        <w:rPr>
          <w:color w:val="231F20"/>
          <w:sz w:val="20"/>
        </w:rPr>
        <w:t xml:space="preserve">They </w:t>
      </w:r>
      <w:r>
        <w:rPr>
          <w:color w:val="231F20"/>
          <w:spacing w:val="-3"/>
          <w:sz w:val="20"/>
        </w:rPr>
        <w:t xml:space="preserve">are </w:t>
      </w:r>
      <w:r>
        <w:rPr>
          <w:color w:val="231F20"/>
          <w:sz w:val="20"/>
        </w:rPr>
        <w:t>diverse</w:t>
      </w:r>
      <w:r>
        <w:rPr>
          <w:color w:val="231F20"/>
          <w:spacing w:val="-17"/>
          <w:sz w:val="20"/>
        </w:rPr>
        <w:t xml:space="preserve"> </w:t>
      </w:r>
      <w:r>
        <w:rPr>
          <w:color w:val="231F20"/>
          <w:sz w:val="20"/>
        </w:rPr>
        <w:t>in:</w:t>
      </w:r>
    </w:p>
    <w:p w14:paraId="40B59C06" w14:textId="77777777" w:rsidR="00894070" w:rsidRDefault="009B7AFD">
      <w:pPr>
        <w:pStyle w:val="ListParagraph"/>
        <w:numPr>
          <w:ilvl w:val="2"/>
          <w:numId w:val="33"/>
        </w:numPr>
        <w:tabs>
          <w:tab w:val="left" w:pos="2141"/>
          <w:tab w:val="left" w:pos="2142"/>
        </w:tabs>
        <w:spacing w:before="82"/>
        <w:ind w:hanging="340"/>
        <w:rPr>
          <w:sz w:val="11"/>
        </w:rPr>
      </w:pPr>
      <w:r>
        <w:rPr>
          <w:color w:val="231F20"/>
          <w:sz w:val="20"/>
        </w:rPr>
        <w:t>behaviour and</w:t>
      </w:r>
      <w:r>
        <w:rPr>
          <w:color w:val="231F20"/>
          <w:spacing w:val="-9"/>
          <w:sz w:val="20"/>
        </w:rPr>
        <w:t xml:space="preserve"> </w:t>
      </w:r>
      <w:r>
        <w:rPr>
          <w:color w:val="231F20"/>
          <w:sz w:val="20"/>
        </w:rPr>
        <w:t>characteristics</w:t>
      </w:r>
      <w:r>
        <w:rPr>
          <w:color w:val="231F20"/>
          <w:position w:val="7"/>
          <w:sz w:val="11"/>
        </w:rPr>
        <w:t>8</w:t>
      </w:r>
    </w:p>
    <w:p w14:paraId="122F735D" w14:textId="77777777" w:rsidR="00894070" w:rsidRDefault="009B7AFD">
      <w:pPr>
        <w:pStyle w:val="ListParagraph"/>
        <w:numPr>
          <w:ilvl w:val="2"/>
          <w:numId w:val="33"/>
        </w:numPr>
        <w:tabs>
          <w:tab w:val="left" w:pos="2141"/>
          <w:tab w:val="left" w:pos="2142"/>
        </w:tabs>
        <w:spacing w:before="47"/>
        <w:ind w:hanging="340"/>
        <w:rPr>
          <w:sz w:val="20"/>
        </w:rPr>
      </w:pPr>
      <w:r>
        <w:rPr>
          <w:color w:val="231F20"/>
          <w:sz w:val="20"/>
        </w:rPr>
        <w:t>motivations</w:t>
      </w:r>
    </w:p>
    <w:p w14:paraId="416980D1" w14:textId="77777777" w:rsidR="00894070" w:rsidRDefault="00894070">
      <w:pPr>
        <w:pStyle w:val="BodyText"/>
      </w:pPr>
    </w:p>
    <w:p w14:paraId="077F9717" w14:textId="77777777" w:rsidR="00894070" w:rsidRDefault="00894070">
      <w:pPr>
        <w:pStyle w:val="BodyText"/>
      </w:pPr>
    </w:p>
    <w:p w14:paraId="44D3F392" w14:textId="77777777" w:rsidR="00894070" w:rsidRDefault="009F6793">
      <w:pPr>
        <w:pStyle w:val="BodyText"/>
        <w:spacing w:before="9"/>
        <w:rPr>
          <w:sz w:val="16"/>
        </w:rPr>
      </w:pPr>
      <w:r>
        <w:pict w14:anchorId="586618C2">
          <v:line id="_x0000_s1095" style="position:absolute;z-index:251763712;mso-wrap-distance-left:0;mso-wrap-distance-right:0;mso-position-horizontal-relative:page" from="79.35pt,14pt" to="521.6pt,14pt" strokecolor="#f8cabc" strokeweight="1pt">
            <w10:wrap type="topAndBottom" anchorx="page"/>
          </v:line>
        </w:pict>
      </w:r>
    </w:p>
    <w:p w14:paraId="1233F3F2" w14:textId="77777777" w:rsidR="00894070" w:rsidRDefault="00894070">
      <w:pPr>
        <w:pStyle w:val="BodyText"/>
        <w:rPr>
          <w:sz w:val="5"/>
        </w:rPr>
      </w:pPr>
    </w:p>
    <w:p w14:paraId="6E223E76" w14:textId="77777777" w:rsidR="00894070" w:rsidRDefault="00894070">
      <w:pPr>
        <w:rPr>
          <w:sz w:val="5"/>
        </w:rPr>
        <w:sectPr w:rsidR="00894070">
          <w:headerReference w:type="even" r:id="rId187"/>
          <w:headerReference w:type="default" r:id="rId188"/>
          <w:pgSz w:w="11910" w:h="16840"/>
          <w:pgMar w:top="840" w:right="420" w:bottom="280" w:left="580" w:header="0" w:footer="0" w:gutter="0"/>
          <w:cols w:space="720"/>
        </w:sectPr>
      </w:pPr>
    </w:p>
    <w:p w14:paraId="32C333DF" w14:textId="77777777" w:rsidR="00894070" w:rsidRDefault="009B7AFD">
      <w:pPr>
        <w:pStyle w:val="ListParagraph"/>
        <w:numPr>
          <w:ilvl w:val="0"/>
          <w:numId w:val="31"/>
        </w:numPr>
        <w:tabs>
          <w:tab w:val="left" w:pos="1800"/>
          <w:tab w:val="left" w:pos="1802"/>
        </w:tabs>
        <w:spacing w:before="38" w:line="213" w:lineRule="auto"/>
        <w:ind w:right="460"/>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05A9C75C" w14:textId="77777777" w:rsidR="00894070" w:rsidRDefault="009B7AFD">
      <w:pPr>
        <w:pStyle w:val="ListParagraph"/>
        <w:numPr>
          <w:ilvl w:val="0"/>
          <w:numId w:val="31"/>
        </w:numPr>
        <w:tabs>
          <w:tab w:val="left" w:pos="1800"/>
          <w:tab w:val="left" w:pos="1802"/>
        </w:tabs>
        <w:spacing w:line="153" w:lineRule="exact"/>
        <w:rPr>
          <w:sz w:val="13"/>
        </w:rPr>
      </w:pPr>
      <w:r>
        <w:rPr>
          <w:color w:val="231F20"/>
          <w:sz w:val="13"/>
        </w:rPr>
        <w:t>Sentencing</w:t>
      </w:r>
      <w:r>
        <w:rPr>
          <w:color w:val="231F20"/>
          <w:spacing w:val="10"/>
          <w:sz w:val="13"/>
        </w:rPr>
        <w:t xml:space="preserve"> </w:t>
      </w:r>
      <w:r>
        <w:rPr>
          <w:color w:val="231F20"/>
          <w:sz w:val="13"/>
        </w:rPr>
        <w:t>Advisory</w:t>
      </w:r>
      <w:r>
        <w:rPr>
          <w:color w:val="231F20"/>
          <w:spacing w:val="10"/>
          <w:sz w:val="13"/>
        </w:rPr>
        <w:t xml:space="preserve"> </w:t>
      </w:r>
      <w:r>
        <w:rPr>
          <w:color w:val="231F20"/>
          <w:sz w:val="13"/>
        </w:rPr>
        <w:t>Council</w:t>
      </w:r>
      <w:r>
        <w:rPr>
          <w:color w:val="231F20"/>
          <w:spacing w:val="10"/>
          <w:sz w:val="13"/>
        </w:rPr>
        <w:t xml:space="preserve"> </w:t>
      </w:r>
      <w:r>
        <w:rPr>
          <w:color w:val="231F20"/>
          <w:sz w:val="13"/>
        </w:rPr>
        <w:t>(Vic),</w:t>
      </w:r>
      <w:r>
        <w:rPr>
          <w:color w:val="231F20"/>
          <w:spacing w:val="8"/>
          <w:sz w:val="13"/>
        </w:rPr>
        <w:t xml:space="preserve"> </w:t>
      </w:r>
      <w:r>
        <w:rPr>
          <w:i/>
          <w:color w:val="231F20"/>
          <w:sz w:val="13"/>
        </w:rPr>
        <w:t>Sentencing</w:t>
      </w:r>
      <w:r>
        <w:rPr>
          <w:i/>
          <w:color w:val="231F20"/>
          <w:spacing w:val="10"/>
          <w:sz w:val="13"/>
        </w:rPr>
        <w:t xml:space="preserve"> </w:t>
      </w:r>
      <w:r>
        <w:rPr>
          <w:i/>
          <w:color w:val="231F20"/>
          <w:sz w:val="13"/>
        </w:rPr>
        <w:t>Breaches</w:t>
      </w:r>
      <w:r>
        <w:rPr>
          <w:i/>
          <w:color w:val="231F20"/>
          <w:spacing w:val="10"/>
          <w:sz w:val="13"/>
        </w:rPr>
        <w:t xml:space="preserve"> </w:t>
      </w:r>
      <w:r>
        <w:rPr>
          <w:i/>
          <w:color w:val="231F20"/>
          <w:sz w:val="13"/>
        </w:rPr>
        <w:t>of</w:t>
      </w:r>
      <w:r>
        <w:rPr>
          <w:i/>
          <w:color w:val="231F20"/>
          <w:spacing w:val="10"/>
          <w:sz w:val="13"/>
        </w:rPr>
        <w:t xml:space="preserve"> </w:t>
      </w:r>
      <w:r>
        <w:rPr>
          <w:i/>
          <w:color w:val="231F20"/>
          <w:sz w:val="13"/>
        </w:rPr>
        <w:t>Personal</w:t>
      </w:r>
      <w:r>
        <w:rPr>
          <w:i/>
          <w:color w:val="231F20"/>
          <w:spacing w:val="9"/>
          <w:sz w:val="13"/>
        </w:rPr>
        <w:t xml:space="preserve"> </w:t>
      </w:r>
      <w:r>
        <w:rPr>
          <w:i/>
          <w:color w:val="231F20"/>
          <w:sz w:val="13"/>
        </w:rPr>
        <w:t>Safety</w:t>
      </w:r>
      <w:r>
        <w:rPr>
          <w:i/>
          <w:color w:val="231F20"/>
          <w:spacing w:val="10"/>
          <w:sz w:val="13"/>
        </w:rPr>
        <w:t xml:space="preserve"> </w:t>
      </w:r>
      <w:r>
        <w:rPr>
          <w:i/>
          <w:color w:val="231F20"/>
          <w:sz w:val="13"/>
        </w:rPr>
        <w:t>Intervention</w:t>
      </w:r>
      <w:r>
        <w:rPr>
          <w:i/>
          <w:color w:val="231F20"/>
          <w:spacing w:val="10"/>
          <w:sz w:val="13"/>
        </w:rPr>
        <w:t xml:space="preserve"> </w:t>
      </w:r>
      <w:r>
        <w:rPr>
          <w:i/>
          <w:color w:val="231F20"/>
          <w:sz w:val="13"/>
        </w:rPr>
        <w:t>Orders</w:t>
      </w:r>
      <w:r>
        <w:rPr>
          <w:i/>
          <w:color w:val="231F20"/>
          <w:spacing w:val="10"/>
          <w:sz w:val="13"/>
        </w:rPr>
        <w:t xml:space="preserve"> </w:t>
      </w:r>
      <w:r>
        <w:rPr>
          <w:i/>
          <w:color w:val="231F20"/>
          <w:sz w:val="13"/>
        </w:rPr>
        <w:t>in</w:t>
      </w:r>
      <w:r>
        <w:rPr>
          <w:i/>
          <w:color w:val="231F20"/>
          <w:spacing w:val="9"/>
          <w:sz w:val="13"/>
        </w:rPr>
        <w:t xml:space="preserve"> </w:t>
      </w:r>
      <w:r>
        <w:rPr>
          <w:i/>
          <w:color w:val="231F20"/>
          <w:sz w:val="13"/>
        </w:rPr>
        <w:t>Victoria</w:t>
      </w:r>
      <w:r>
        <w:rPr>
          <w:i/>
          <w:color w:val="231F20"/>
          <w:spacing w:val="10"/>
          <w:sz w:val="13"/>
        </w:rPr>
        <w:t xml:space="preserve"> </w:t>
      </w:r>
      <w:r>
        <w:rPr>
          <w:color w:val="231F20"/>
          <w:spacing w:val="2"/>
          <w:sz w:val="13"/>
        </w:rPr>
        <w:t>(Report,</w:t>
      </w:r>
      <w:r>
        <w:rPr>
          <w:color w:val="231F20"/>
          <w:spacing w:val="10"/>
          <w:sz w:val="13"/>
        </w:rPr>
        <w:t xml:space="preserve"> </w:t>
      </w:r>
      <w:r>
        <w:rPr>
          <w:color w:val="231F20"/>
          <w:sz w:val="13"/>
        </w:rPr>
        <w:t>February</w:t>
      </w:r>
      <w:r>
        <w:rPr>
          <w:color w:val="231F20"/>
          <w:spacing w:val="10"/>
          <w:sz w:val="13"/>
        </w:rPr>
        <w:t xml:space="preserve"> </w:t>
      </w:r>
      <w:r>
        <w:rPr>
          <w:color w:val="231F20"/>
          <w:sz w:val="13"/>
        </w:rPr>
        <w:t>2022)</w:t>
      </w:r>
      <w:r>
        <w:rPr>
          <w:color w:val="231F20"/>
          <w:spacing w:val="10"/>
          <w:sz w:val="13"/>
        </w:rPr>
        <w:t xml:space="preserve"> </w:t>
      </w:r>
      <w:r>
        <w:rPr>
          <w:color w:val="231F20"/>
          <w:spacing w:val="2"/>
          <w:sz w:val="13"/>
        </w:rPr>
        <w:t>65.</w:t>
      </w:r>
    </w:p>
    <w:p w14:paraId="5D51C3A0" w14:textId="77777777" w:rsidR="00894070" w:rsidRDefault="009B7AFD">
      <w:pPr>
        <w:pStyle w:val="ListParagraph"/>
        <w:numPr>
          <w:ilvl w:val="0"/>
          <w:numId w:val="31"/>
        </w:numPr>
        <w:tabs>
          <w:tab w:val="left" w:pos="1800"/>
          <w:tab w:val="left" w:pos="1802"/>
        </w:tabs>
        <w:spacing w:line="160" w:lineRule="exac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 2022)</w:t>
      </w:r>
      <w:r>
        <w:rPr>
          <w:color w:val="231F20"/>
          <w:spacing w:val="10"/>
          <w:sz w:val="13"/>
        </w:rPr>
        <w:t xml:space="preserve"> </w:t>
      </w:r>
      <w:r>
        <w:rPr>
          <w:color w:val="231F20"/>
          <w:sz w:val="13"/>
        </w:rPr>
        <w:t>63.</w:t>
      </w:r>
    </w:p>
    <w:p w14:paraId="24CABB9A" w14:textId="77777777" w:rsidR="00894070" w:rsidRDefault="009B7AFD">
      <w:pPr>
        <w:pStyle w:val="ListParagraph"/>
        <w:numPr>
          <w:ilvl w:val="0"/>
          <w:numId w:val="31"/>
        </w:numPr>
        <w:tabs>
          <w:tab w:val="left" w:pos="1800"/>
          <w:tab w:val="left" w:pos="1802"/>
        </w:tabs>
        <w:spacing w:line="160" w:lineRule="exact"/>
        <w:rPr>
          <w:sz w:val="13"/>
        </w:rPr>
      </w:pPr>
      <w:r>
        <w:rPr>
          <w:color w:val="231F20"/>
          <w:sz w:val="13"/>
        </w:rPr>
        <w:t>Sentencing</w:t>
      </w:r>
      <w:r>
        <w:rPr>
          <w:color w:val="231F20"/>
          <w:spacing w:val="9"/>
          <w:sz w:val="13"/>
        </w:rPr>
        <w:t xml:space="preserve"> </w:t>
      </w:r>
      <w:r>
        <w:rPr>
          <w:color w:val="231F20"/>
          <w:sz w:val="13"/>
        </w:rPr>
        <w:t>Advisory</w:t>
      </w:r>
      <w:r>
        <w:rPr>
          <w:color w:val="231F20"/>
          <w:spacing w:val="9"/>
          <w:sz w:val="13"/>
        </w:rPr>
        <w:t xml:space="preserve"> </w:t>
      </w:r>
      <w:r>
        <w:rPr>
          <w:color w:val="231F20"/>
          <w:sz w:val="13"/>
        </w:rPr>
        <w:t>Council</w:t>
      </w:r>
      <w:r>
        <w:rPr>
          <w:color w:val="231F20"/>
          <w:spacing w:val="10"/>
          <w:sz w:val="13"/>
        </w:rPr>
        <w:t xml:space="preserve"> </w:t>
      </w:r>
      <w:r>
        <w:rPr>
          <w:color w:val="231F20"/>
          <w:sz w:val="13"/>
        </w:rPr>
        <w:t>(Vic),</w:t>
      </w:r>
      <w:r>
        <w:rPr>
          <w:color w:val="231F20"/>
          <w:spacing w:val="8"/>
          <w:sz w:val="13"/>
        </w:rPr>
        <w:t xml:space="preserve"> </w:t>
      </w:r>
      <w:r>
        <w:rPr>
          <w:i/>
          <w:color w:val="231F20"/>
          <w:sz w:val="13"/>
        </w:rPr>
        <w:t>Sentencing</w:t>
      </w:r>
      <w:r>
        <w:rPr>
          <w:i/>
          <w:color w:val="231F20"/>
          <w:spacing w:val="9"/>
          <w:sz w:val="13"/>
        </w:rPr>
        <w:t xml:space="preserve"> </w:t>
      </w:r>
      <w:r>
        <w:rPr>
          <w:i/>
          <w:color w:val="231F20"/>
          <w:sz w:val="13"/>
        </w:rPr>
        <w:t>Breaches</w:t>
      </w:r>
      <w:r>
        <w:rPr>
          <w:i/>
          <w:color w:val="231F20"/>
          <w:spacing w:val="9"/>
          <w:sz w:val="13"/>
        </w:rPr>
        <w:t xml:space="preserve"> </w:t>
      </w:r>
      <w:r>
        <w:rPr>
          <w:i/>
          <w:color w:val="231F20"/>
          <w:sz w:val="13"/>
        </w:rPr>
        <w:t>of</w:t>
      </w:r>
      <w:r>
        <w:rPr>
          <w:i/>
          <w:color w:val="231F20"/>
          <w:spacing w:val="9"/>
          <w:sz w:val="13"/>
        </w:rPr>
        <w:t xml:space="preserve"> </w:t>
      </w:r>
      <w:r>
        <w:rPr>
          <w:i/>
          <w:color w:val="231F20"/>
          <w:sz w:val="13"/>
        </w:rPr>
        <w:t>Personal</w:t>
      </w:r>
      <w:r>
        <w:rPr>
          <w:i/>
          <w:color w:val="231F20"/>
          <w:spacing w:val="9"/>
          <w:sz w:val="13"/>
        </w:rPr>
        <w:t xml:space="preserve"> </w:t>
      </w:r>
      <w:r>
        <w:rPr>
          <w:i/>
          <w:color w:val="231F20"/>
          <w:sz w:val="13"/>
        </w:rPr>
        <w:t>Safety</w:t>
      </w:r>
      <w:r>
        <w:rPr>
          <w:i/>
          <w:color w:val="231F20"/>
          <w:spacing w:val="10"/>
          <w:sz w:val="13"/>
        </w:rPr>
        <w:t xml:space="preserve"> </w:t>
      </w:r>
      <w:r>
        <w:rPr>
          <w:i/>
          <w:color w:val="231F20"/>
          <w:sz w:val="13"/>
        </w:rPr>
        <w:t>Intervention</w:t>
      </w:r>
      <w:r>
        <w:rPr>
          <w:i/>
          <w:color w:val="231F20"/>
          <w:spacing w:val="9"/>
          <w:sz w:val="13"/>
        </w:rPr>
        <w:t xml:space="preserve"> </w:t>
      </w:r>
      <w:r>
        <w:rPr>
          <w:i/>
          <w:color w:val="231F20"/>
          <w:sz w:val="13"/>
        </w:rPr>
        <w:t>Orders</w:t>
      </w:r>
      <w:r>
        <w:rPr>
          <w:i/>
          <w:color w:val="231F20"/>
          <w:spacing w:val="9"/>
          <w:sz w:val="13"/>
        </w:rPr>
        <w:t xml:space="preserve"> </w:t>
      </w:r>
      <w:r>
        <w:rPr>
          <w:i/>
          <w:color w:val="231F20"/>
          <w:sz w:val="13"/>
        </w:rPr>
        <w:t>in</w:t>
      </w:r>
      <w:r>
        <w:rPr>
          <w:i/>
          <w:color w:val="231F20"/>
          <w:spacing w:val="9"/>
          <w:sz w:val="13"/>
        </w:rPr>
        <w:t xml:space="preserve"> </w:t>
      </w:r>
      <w:r>
        <w:rPr>
          <w:i/>
          <w:color w:val="231F20"/>
          <w:sz w:val="13"/>
        </w:rPr>
        <w:t>Victoria</w:t>
      </w:r>
      <w:r>
        <w:rPr>
          <w:i/>
          <w:color w:val="231F20"/>
          <w:spacing w:val="9"/>
          <w:sz w:val="13"/>
        </w:rPr>
        <w:t xml:space="preserve"> </w:t>
      </w:r>
      <w:r>
        <w:rPr>
          <w:color w:val="231F20"/>
          <w:spacing w:val="2"/>
          <w:sz w:val="13"/>
        </w:rPr>
        <w:t>(Report,</w:t>
      </w:r>
      <w:r>
        <w:rPr>
          <w:color w:val="231F20"/>
          <w:spacing w:val="10"/>
          <w:sz w:val="13"/>
        </w:rPr>
        <w:t xml:space="preserve"> </w:t>
      </w:r>
      <w:r>
        <w:rPr>
          <w:color w:val="231F20"/>
          <w:sz w:val="13"/>
        </w:rPr>
        <w:t>February</w:t>
      </w:r>
      <w:r>
        <w:rPr>
          <w:color w:val="231F20"/>
          <w:spacing w:val="9"/>
          <w:sz w:val="13"/>
        </w:rPr>
        <w:t xml:space="preserve"> </w:t>
      </w:r>
      <w:r>
        <w:rPr>
          <w:color w:val="231F20"/>
          <w:sz w:val="13"/>
        </w:rPr>
        <w:t>2022)</w:t>
      </w:r>
      <w:r>
        <w:rPr>
          <w:color w:val="231F20"/>
          <w:spacing w:val="9"/>
          <w:sz w:val="13"/>
        </w:rPr>
        <w:t xml:space="preserve"> </w:t>
      </w:r>
      <w:r>
        <w:rPr>
          <w:color w:val="231F20"/>
          <w:sz w:val="13"/>
        </w:rPr>
        <w:t>67.</w:t>
      </w:r>
    </w:p>
    <w:p w14:paraId="108BBAB2" w14:textId="77777777" w:rsidR="00894070" w:rsidRDefault="009B7AFD">
      <w:pPr>
        <w:pStyle w:val="ListParagraph"/>
        <w:numPr>
          <w:ilvl w:val="0"/>
          <w:numId w:val="31"/>
        </w:numPr>
        <w:tabs>
          <w:tab w:val="left" w:pos="1800"/>
          <w:tab w:val="left" w:pos="1802"/>
        </w:tabs>
        <w:spacing w:line="160" w:lineRule="exact"/>
        <w:rPr>
          <w:sz w:val="13"/>
        </w:rPr>
      </w:pPr>
      <w:r>
        <w:rPr>
          <w:color w:val="231F20"/>
          <w:sz w:val="13"/>
        </w:rPr>
        <w:t xml:space="preserve">Daniel </w:t>
      </w:r>
      <w:r>
        <w:rPr>
          <w:color w:val="231F20"/>
          <w:spacing w:val="2"/>
          <w:sz w:val="13"/>
        </w:rPr>
        <w:t xml:space="preserve">Shea, ‘Stalking </w:t>
      </w:r>
      <w:r>
        <w:rPr>
          <w:color w:val="231F20"/>
          <w:sz w:val="13"/>
        </w:rPr>
        <w:t xml:space="preserve">Recidivism and Risk </w:t>
      </w:r>
      <w:r>
        <w:rPr>
          <w:color w:val="231F20"/>
          <w:spacing w:val="2"/>
          <w:sz w:val="13"/>
        </w:rPr>
        <w:t xml:space="preserve">Assessment’ </w:t>
      </w:r>
      <w:r>
        <w:rPr>
          <w:color w:val="231F20"/>
          <w:sz w:val="13"/>
        </w:rPr>
        <w:t>(PhD Thesis, Monash University, 2015)</w:t>
      </w:r>
      <w:r>
        <w:rPr>
          <w:color w:val="231F20"/>
          <w:spacing w:val="10"/>
          <w:sz w:val="13"/>
        </w:rPr>
        <w:t xml:space="preserve"> </w:t>
      </w:r>
      <w:r>
        <w:rPr>
          <w:color w:val="231F20"/>
          <w:spacing w:val="2"/>
          <w:sz w:val="13"/>
        </w:rPr>
        <w:t>23.</w:t>
      </w:r>
    </w:p>
    <w:p w14:paraId="5B85F789" w14:textId="77777777" w:rsidR="00894070" w:rsidRDefault="009B7AFD">
      <w:pPr>
        <w:pStyle w:val="ListParagraph"/>
        <w:numPr>
          <w:ilvl w:val="0"/>
          <w:numId w:val="31"/>
        </w:numPr>
        <w:tabs>
          <w:tab w:val="left" w:pos="1800"/>
          <w:tab w:val="left" w:pos="1802"/>
        </w:tabs>
        <w:spacing w:before="6" w:line="213" w:lineRule="auto"/>
        <w:ind w:right="302"/>
        <w:rPr>
          <w:sz w:val="13"/>
        </w:rPr>
      </w:pPr>
      <w:r>
        <w:rPr>
          <w:color w:val="231F20"/>
          <w:sz w:val="13"/>
        </w:rPr>
        <w:t xml:space="preserve">Kritika Jerath, Lisa Tompson and Jyoti Belur, ‘Treating and Managing Stalking Offenders: Findings from a Multi-Agency Clinical Intervention’ </w:t>
      </w:r>
      <w:r>
        <w:rPr>
          <w:i/>
          <w:color w:val="231F20"/>
          <w:sz w:val="13"/>
        </w:rPr>
        <w:t xml:space="preserve">Psychology, Crime &amp; Law </w:t>
      </w:r>
      <w:r>
        <w:rPr>
          <w:color w:val="231F20"/>
          <w:sz w:val="13"/>
        </w:rPr>
        <w:t>10.1080/1068316X.2022.2057981:1–25,</w:t>
      </w:r>
      <w:r>
        <w:rPr>
          <w:color w:val="231F20"/>
          <w:spacing w:val="4"/>
          <w:sz w:val="13"/>
        </w:rPr>
        <w:t xml:space="preserve"> </w:t>
      </w:r>
      <w:r>
        <w:rPr>
          <w:color w:val="231F20"/>
          <w:spacing w:val="3"/>
          <w:sz w:val="13"/>
        </w:rPr>
        <w:t>2.</w:t>
      </w:r>
    </w:p>
    <w:p w14:paraId="3D761770" w14:textId="77777777" w:rsidR="00894070" w:rsidRDefault="009B7AFD">
      <w:pPr>
        <w:pStyle w:val="BodyText"/>
        <w:rPr>
          <w:sz w:val="28"/>
        </w:rPr>
      </w:pPr>
      <w:r>
        <w:br w:type="column"/>
      </w:r>
    </w:p>
    <w:p w14:paraId="766E0744" w14:textId="77777777" w:rsidR="00894070" w:rsidRDefault="00894070">
      <w:pPr>
        <w:pStyle w:val="BodyText"/>
        <w:rPr>
          <w:sz w:val="28"/>
        </w:rPr>
      </w:pPr>
    </w:p>
    <w:p w14:paraId="7619A4E6" w14:textId="77777777" w:rsidR="00894070" w:rsidRDefault="009B7AFD">
      <w:pPr>
        <w:pStyle w:val="Heading8"/>
        <w:spacing w:before="237"/>
        <w:ind w:left="455"/>
      </w:pPr>
      <w:r>
        <w:rPr>
          <w:color w:val="EA5B50"/>
        </w:rPr>
        <w:t>163</w:t>
      </w:r>
    </w:p>
    <w:p w14:paraId="50D80CA8" w14:textId="77777777" w:rsidR="00894070" w:rsidRDefault="00894070">
      <w:pPr>
        <w:sectPr w:rsidR="00894070">
          <w:type w:val="continuous"/>
          <w:pgSz w:w="11910" w:h="16840"/>
          <w:pgMar w:top="560" w:right="420" w:bottom="280" w:left="580" w:header="720" w:footer="720" w:gutter="0"/>
          <w:cols w:num="2" w:space="720" w:equalWidth="0">
            <w:col w:w="9844" w:space="40"/>
            <w:col w:w="1026"/>
          </w:cols>
        </w:sectPr>
      </w:pPr>
    </w:p>
    <w:p w14:paraId="0B6A61AD" w14:textId="77777777" w:rsidR="00894070" w:rsidRDefault="00894070">
      <w:pPr>
        <w:pStyle w:val="BodyText"/>
        <w:rPr>
          <w:b/>
        </w:rPr>
      </w:pPr>
    </w:p>
    <w:p w14:paraId="0B31D8C2" w14:textId="77777777" w:rsidR="00894070" w:rsidRDefault="00894070">
      <w:pPr>
        <w:pStyle w:val="BodyText"/>
        <w:rPr>
          <w:b/>
        </w:rPr>
      </w:pPr>
    </w:p>
    <w:p w14:paraId="125532B7" w14:textId="77777777" w:rsidR="00894070" w:rsidRDefault="00894070">
      <w:pPr>
        <w:pStyle w:val="BodyText"/>
        <w:rPr>
          <w:b/>
        </w:rPr>
      </w:pPr>
    </w:p>
    <w:p w14:paraId="69875EB6" w14:textId="77777777" w:rsidR="00894070" w:rsidRDefault="00894070">
      <w:pPr>
        <w:pStyle w:val="BodyText"/>
        <w:spacing w:before="7"/>
        <w:rPr>
          <w:b/>
          <w:sz w:val="16"/>
        </w:rPr>
      </w:pPr>
    </w:p>
    <w:p w14:paraId="094949DB" w14:textId="77777777" w:rsidR="00894070" w:rsidRDefault="009B7AFD">
      <w:pPr>
        <w:pStyle w:val="ListParagraph"/>
        <w:numPr>
          <w:ilvl w:val="1"/>
          <w:numId w:val="31"/>
        </w:numPr>
        <w:tabs>
          <w:tab w:val="left" w:pos="2141"/>
          <w:tab w:val="left" w:pos="2142"/>
        </w:tabs>
        <w:ind w:hanging="340"/>
        <w:rPr>
          <w:sz w:val="11"/>
        </w:rPr>
      </w:pPr>
      <w:bookmarkStart w:id="181" w:name="_bookmark108"/>
      <w:bookmarkEnd w:id="181"/>
      <w:r>
        <w:rPr>
          <w:color w:val="231F20"/>
          <w:spacing w:val="-3"/>
          <w:sz w:val="20"/>
        </w:rPr>
        <w:t xml:space="preserve">how likely </w:t>
      </w:r>
      <w:r>
        <w:rPr>
          <w:color w:val="231F20"/>
          <w:sz w:val="20"/>
        </w:rPr>
        <w:t xml:space="preserve">they </w:t>
      </w:r>
      <w:r>
        <w:rPr>
          <w:color w:val="231F20"/>
          <w:spacing w:val="-3"/>
          <w:sz w:val="20"/>
        </w:rPr>
        <w:t xml:space="preserve">are </w:t>
      </w:r>
      <w:proofErr w:type="gramStart"/>
      <w:r>
        <w:rPr>
          <w:color w:val="231F20"/>
          <w:sz w:val="20"/>
        </w:rPr>
        <w:t>to</w:t>
      </w:r>
      <w:proofErr w:type="gramEnd"/>
      <w:r>
        <w:rPr>
          <w:color w:val="231F20"/>
          <w:spacing w:val="-13"/>
          <w:sz w:val="20"/>
        </w:rPr>
        <w:t xml:space="preserve"> </w:t>
      </w:r>
      <w:r>
        <w:rPr>
          <w:color w:val="231F20"/>
          <w:sz w:val="20"/>
        </w:rPr>
        <w:t>re-offend</w:t>
      </w:r>
      <w:r>
        <w:rPr>
          <w:color w:val="231F20"/>
          <w:position w:val="7"/>
          <w:sz w:val="11"/>
        </w:rPr>
        <w:t>9</w:t>
      </w:r>
    </w:p>
    <w:p w14:paraId="5BA312F3" w14:textId="77777777" w:rsidR="00894070" w:rsidRDefault="009B7AFD">
      <w:pPr>
        <w:pStyle w:val="ListParagraph"/>
        <w:numPr>
          <w:ilvl w:val="1"/>
          <w:numId w:val="31"/>
        </w:numPr>
        <w:tabs>
          <w:tab w:val="left" w:pos="2141"/>
          <w:tab w:val="left" w:pos="2142"/>
        </w:tabs>
        <w:spacing w:before="47"/>
        <w:ind w:hanging="340"/>
        <w:rPr>
          <w:sz w:val="11"/>
        </w:rPr>
      </w:pPr>
      <w:r>
        <w:rPr>
          <w:color w:val="231F20"/>
          <w:sz w:val="20"/>
        </w:rPr>
        <w:t>their</w:t>
      </w:r>
      <w:r>
        <w:rPr>
          <w:color w:val="231F20"/>
          <w:spacing w:val="-6"/>
          <w:sz w:val="20"/>
        </w:rPr>
        <w:t xml:space="preserve"> </w:t>
      </w:r>
      <w:r>
        <w:rPr>
          <w:color w:val="231F20"/>
          <w:sz w:val="20"/>
        </w:rPr>
        <w:t>needs,</w:t>
      </w:r>
      <w:r>
        <w:rPr>
          <w:color w:val="231F20"/>
          <w:spacing w:val="-5"/>
          <w:sz w:val="20"/>
        </w:rPr>
        <w:t xml:space="preserve"> </w:t>
      </w:r>
      <w:r>
        <w:rPr>
          <w:color w:val="231F20"/>
          <w:sz w:val="20"/>
        </w:rPr>
        <w:t>which</w:t>
      </w:r>
      <w:r>
        <w:rPr>
          <w:color w:val="231F20"/>
          <w:spacing w:val="-6"/>
          <w:sz w:val="20"/>
        </w:rPr>
        <w:t xml:space="preserve"> </w:t>
      </w:r>
      <w:r>
        <w:rPr>
          <w:color w:val="231F20"/>
          <w:sz w:val="20"/>
        </w:rPr>
        <w:t>can</w:t>
      </w:r>
      <w:r>
        <w:rPr>
          <w:color w:val="231F20"/>
          <w:spacing w:val="-6"/>
          <w:sz w:val="20"/>
        </w:rPr>
        <w:t xml:space="preserve"> </w:t>
      </w:r>
      <w:r>
        <w:rPr>
          <w:color w:val="231F20"/>
          <w:sz w:val="20"/>
        </w:rPr>
        <w:t>include</w:t>
      </w:r>
      <w:r>
        <w:rPr>
          <w:color w:val="231F20"/>
          <w:spacing w:val="-5"/>
          <w:sz w:val="20"/>
        </w:rPr>
        <w:t xml:space="preserve"> </w:t>
      </w:r>
      <w:r>
        <w:rPr>
          <w:color w:val="231F20"/>
          <w:sz w:val="20"/>
        </w:rPr>
        <w:t>mental</w:t>
      </w:r>
      <w:r>
        <w:rPr>
          <w:color w:val="231F20"/>
          <w:spacing w:val="-5"/>
          <w:sz w:val="20"/>
        </w:rPr>
        <w:t xml:space="preserve"> </w:t>
      </w:r>
      <w:r>
        <w:rPr>
          <w:color w:val="231F20"/>
          <w:sz w:val="20"/>
        </w:rPr>
        <w:t>health</w:t>
      </w:r>
      <w:r>
        <w:rPr>
          <w:color w:val="231F20"/>
          <w:spacing w:val="-5"/>
          <w:sz w:val="20"/>
        </w:rPr>
        <w:t xml:space="preserve"> </w:t>
      </w:r>
      <w:r>
        <w:rPr>
          <w:color w:val="231F20"/>
          <w:sz w:val="20"/>
        </w:rPr>
        <w:t>or</w:t>
      </w:r>
      <w:r>
        <w:rPr>
          <w:color w:val="231F20"/>
          <w:spacing w:val="-5"/>
          <w:sz w:val="20"/>
        </w:rPr>
        <w:t xml:space="preserve"> </w:t>
      </w:r>
      <w:r>
        <w:rPr>
          <w:color w:val="231F20"/>
          <w:sz w:val="20"/>
        </w:rPr>
        <w:t>substance</w:t>
      </w:r>
      <w:r>
        <w:rPr>
          <w:color w:val="231F20"/>
          <w:spacing w:val="-5"/>
          <w:sz w:val="20"/>
        </w:rPr>
        <w:t xml:space="preserve"> </w:t>
      </w:r>
      <w:r>
        <w:rPr>
          <w:color w:val="231F20"/>
          <w:sz w:val="20"/>
        </w:rPr>
        <w:t>misuse</w:t>
      </w:r>
      <w:r>
        <w:rPr>
          <w:color w:val="231F20"/>
          <w:spacing w:val="-5"/>
          <w:sz w:val="20"/>
        </w:rPr>
        <w:t xml:space="preserve"> </w:t>
      </w:r>
      <w:r>
        <w:rPr>
          <w:color w:val="231F20"/>
          <w:sz w:val="20"/>
        </w:rPr>
        <w:t>support.</w:t>
      </w:r>
      <w:r>
        <w:rPr>
          <w:color w:val="231F20"/>
          <w:position w:val="7"/>
          <w:sz w:val="11"/>
        </w:rPr>
        <w:t>10</w:t>
      </w:r>
    </w:p>
    <w:p w14:paraId="1A1ADD8E" w14:textId="77777777" w:rsidR="00894070" w:rsidRDefault="009B7AFD">
      <w:pPr>
        <w:pStyle w:val="ListParagraph"/>
        <w:numPr>
          <w:ilvl w:val="1"/>
          <w:numId w:val="33"/>
        </w:numPr>
        <w:tabs>
          <w:tab w:val="left" w:pos="1801"/>
          <w:tab w:val="left" w:pos="1802"/>
        </w:tabs>
        <w:spacing w:before="80" w:line="206" w:lineRule="auto"/>
        <w:ind w:right="1502"/>
        <w:rPr>
          <w:sz w:val="20"/>
        </w:rPr>
      </w:pPr>
      <w:r>
        <w:rPr>
          <w:color w:val="231F20"/>
          <w:spacing w:val="-2"/>
          <w:sz w:val="20"/>
        </w:rPr>
        <w:t>Interventions</w:t>
      </w:r>
      <w:r>
        <w:rPr>
          <w:color w:val="231F20"/>
          <w:spacing w:val="-11"/>
          <w:sz w:val="20"/>
        </w:rPr>
        <w:t xml:space="preserve"> </w:t>
      </w:r>
      <w:r>
        <w:rPr>
          <w:color w:val="231F20"/>
          <w:spacing w:val="-3"/>
          <w:sz w:val="20"/>
        </w:rPr>
        <w:t>for</w:t>
      </w:r>
      <w:r>
        <w:rPr>
          <w:color w:val="231F20"/>
          <w:spacing w:val="-10"/>
          <w:sz w:val="20"/>
        </w:rPr>
        <w:t xml:space="preserve"> </w:t>
      </w:r>
      <w:r>
        <w:rPr>
          <w:color w:val="231F20"/>
          <w:sz w:val="20"/>
        </w:rPr>
        <w:t>people</w:t>
      </w:r>
      <w:r>
        <w:rPr>
          <w:color w:val="231F20"/>
          <w:spacing w:val="-10"/>
          <w:sz w:val="20"/>
        </w:rPr>
        <w:t xml:space="preserve"> </w:t>
      </w:r>
      <w:r>
        <w:rPr>
          <w:color w:val="231F20"/>
          <w:sz w:val="20"/>
        </w:rPr>
        <w:t>who</w:t>
      </w:r>
      <w:r>
        <w:rPr>
          <w:color w:val="231F20"/>
          <w:spacing w:val="-10"/>
          <w:sz w:val="20"/>
        </w:rPr>
        <w:t xml:space="preserve"> </w:t>
      </w:r>
      <w:r>
        <w:rPr>
          <w:color w:val="231F20"/>
          <w:sz w:val="20"/>
        </w:rPr>
        <w:t>stalk</w:t>
      </w:r>
      <w:r>
        <w:rPr>
          <w:color w:val="231F20"/>
          <w:spacing w:val="-11"/>
          <w:sz w:val="20"/>
        </w:rPr>
        <w:t xml:space="preserve"> </w:t>
      </w:r>
      <w:r>
        <w:rPr>
          <w:color w:val="231F20"/>
          <w:sz w:val="20"/>
        </w:rPr>
        <w:t>must</w:t>
      </w:r>
      <w:r>
        <w:rPr>
          <w:color w:val="231F20"/>
          <w:spacing w:val="-10"/>
          <w:sz w:val="20"/>
        </w:rPr>
        <w:t xml:space="preserve"> </w:t>
      </w:r>
      <w:r>
        <w:rPr>
          <w:color w:val="231F20"/>
          <w:sz w:val="20"/>
        </w:rPr>
        <w:t>respond</w:t>
      </w:r>
      <w:r>
        <w:rPr>
          <w:color w:val="231F20"/>
          <w:spacing w:val="-10"/>
          <w:sz w:val="20"/>
        </w:rPr>
        <w:t xml:space="preserve"> </w:t>
      </w:r>
      <w:r>
        <w:rPr>
          <w:color w:val="231F20"/>
          <w:sz w:val="20"/>
        </w:rPr>
        <w:t>to</w:t>
      </w:r>
      <w:r>
        <w:rPr>
          <w:color w:val="231F20"/>
          <w:spacing w:val="-10"/>
          <w:sz w:val="20"/>
        </w:rPr>
        <w:t xml:space="preserve"> </w:t>
      </w:r>
      <w:r>
        <w:rPr>
          <w:color w:val="231F20"/>
          <w:sz w:val="20"/>
        </w:rPr>
        <w:t>their</w:t>
      </w:r>
      <w:r>
        <w:rPr>
          <w:color w:val="231F20"/>
          <w:spacing w:val="-10"/>
          <w:sz w:val="20"/>
        </w:rPr>
        <w:t xml:space="preserve"> </w:t>
      </w:r>
      <w:r>
        <w:rPr>
          <w:color w:val="231F20"/>
          <w:spacing w:val="-3"/>
          <w:sz w:val="20"/>
        </w:rPr>
        <w:t>diversity.</w:t>
      </w:r>
      <w:r>
        <w:rPr>
          <w:color w:val="231F20"/>
          <w:spacing w:val="-11"/>
          <w:sz w:val="20"/>
        </w:rPr>
        <w:t xml:space="preserve"> </w:t>
      </w:r>
      <w:r>
        <w:rPr>
          <w:color w:val="231F20"/>
          <w:sz w:val="20"/>
        </w:rPr>
        <w:t>A</w:t>
      </w:r>
      <w:r>
        <w:rPr>
          <w:color w:val="231F20"/>
          <w:spacing w:val="-10"/>
          <w:sz w:val="20"/>
        </w:rPr>
        <w:t xml:space="preserve"> </w:t>
      </w:r>
      <w:r>
        <w:rPr>
          <w:color w:val="231F20"/>
          <w:sz w:val="20"/>
        </w:rPr>
        <w:t xml:space="preserve">one-size-fits-all approach is </w:t>
      </w:r>
      <w:r>
        <w:rPr>
          <w:color w:val="231F20"/>
          <w:spacing w:val="-3"/>
          <w:sz w:val="20"/>
        </w:rPr>
        <w:t xml:space="preserve">likely </w:t>
      </w:r>
      <w:r>
        <w:rPr>
          <w:color w:val="231F20"/>
          <w:sz w:val="20"/>
        </w:rPr>
        <w:t>to be</w:t>
      </w:r>
      <w:r>
        <w:rPr>
          <w:color w:val="231F20"/>
          <w:spacing w:val="-19"/>
          <w:sz w:val="20"/>
        </w:rPr>
        <w:t xml:space="preserve"> </w:t>
      </w:r>
      <w:r>
        <w:rPr>
          <w:color w:val="231F20"/>
          <w:spacing w:val="-3"/>
          <w:sz w:val="20"/>
        </w:rPr>
        <w:t>ineffective.</w:t>
      </w:r>
    </w:p>
    <w:p w14:paraId="13B24BEF" w14:textId="77777777" w:rsidR="00894070" w:rsidRDefault="009B7AFD">
      <w:pPr>
        <w:pStyle w:val="ListParagraph"/>
        <w:numPr>
          <w:ilvl w:val="1"/>
          <w:numId w:val="33"/>
        </w:numPr>
        <w:tabs>
          <w:tab w:val="left" w:pos="1801"/>
          <w:tab w:val="left" w:pos="1802"/>
        </w:tabs>
        <w:spacing w:before="122" w:line="206" w:lineRule="auto"/>
        <w:ind w:right="1649"/>
        <w:rPr>
          <w:sz w:val="11"/>
        </w:rPr>
      </w:pPr>
      <w:r>
        <w:rPr>
          <w:color w:val="231F20"/>
          <w:sz w:val="20"/>
        </w:rPr>
        <w:t xml:space="preserve">Specialised responses </w:t>
      </w:r>
      <w:r>
        <w:rPr>
          <w:color w:val="231F20"/>
          <w:spacing w:val="-3"/>
          <w:sz w:val="20"/>
        </w:rPr>
        <w:t xml:space="preserve">may </w:t>
      </w:r>
      <w:r>
        <w:rPr>
          <w:color w:val="231F20"/>
          <w:sz w:val="20"/>
        </w:rPr>
        <w:t xml:space="preserve">be needed </w:t>
      </w:r>
      <w:r>
        <w:rPr>
          <w:color w:val="231F20"/>
          <w:spacing w:val="-3"/>
          <w:sz w:val="20"/>
        </w:rPr>
        <w:t xml:space="preserve">for </w:t>
      </w:r>
      <w:r>
        <w:rPr>
          <w:color w:val="231F20"/>
          <w:sz w:val="20"/>
        </w:rPr>
        <w:t>some people, such as Aboriginal people,</w:t>
      </w:r>
      <w:r>
        <w:rPr>
          <w:color w:val="231F20"/>
          <w:spacing w:val="-10"/>
          <w:sz w:val="20"/>
        </w:rPr>
        <w:t xml:space="preserve"> </w:t>
      </w:r>
      <w:r>
        <w:rPr>
          <w:color w:val="231F20"/>
          <w:sz w:val="20"/>
        </w:rPr>
        <w:t>people</w:t>
      </w:r>
      <w:r>
        <w:rPr>
          <w:color w:val="231F20"/>
          <w:spacing w:val="-9"/>
          <w:sz w:val="20"/>
        </w:rPr>
        <w:t xml:space="preserve"> </w:t>
      </w:r>
      <w:r>
        <w:rPr>
          <w:color w:val="231F20"/>
          <w:sz w:val="20"/>
        </w:rPr>
        <w:t>with</w:t>
      </w:r>
      <w:r>
        <w:rPr>
          <w:color w:val="231F20"/>
          <w:spacing w:val="-9"/>
          <w:sz w:val="20"/>
        </w:rPr>
        <w:t xml:space="preserve"> </w:t>
      </w:r>
      <w:r>
        <w:rPr>
          <w:color w:val="231F20"/>
          <w:spacing w:val="-3"/>
          <w:sz w:val="20"/>
        </w:rPr>
        <w:t>disability,</w:t>
      </w:r>
      <w:r>
        <w:rPr>
          <w:color w:val="231F20"/>
          <w:spacing w:val="-9"/>
          <w:sz w:val="20"/>
        </w:rPr>
        <w:t xml:space="preserve"> </w:t>
      </w:r>
      <w:r>
        <w:rPr>
          <w:color w:val="231F20"/>
          <w:sz w:val="20"/>
        </w:rPr>
        <w:t>and</w:t>
      </w:r>
      <w:r>
        <w:rPr>
          <w:color w:val="231F20"/>
          <w:spacing w:val="-9"/>
          <w:sz w:val="20"/>
        </w:rPr>
        <w:t xml:space="preserve"> </w:t>
      </w:r>
      <w:r>
        <w:rPr>
          <w:color w:val="231F20"/>
          <w:sz w:val="20"/>
        </w:rPr>
        <w:t>people</w:t>
      </w:r>
      <w:r>
        <w:rPr>
          <w:color w:val="231F20"/>
          <w:spacing w:val="-9"/>
          <w:sz w:val="20"/>
        </w:rPr>
        <w:t xml:space="preserve"> </w:t>
      </w:r>
      <w:r>
        <w:rPr>
          <w:color w:val="231F20"/>
          <w:spacing w:val="-3"/>
          <w:sz w:val="20"/>
        </w:rPr>
        <w:t>from</w:t>
      </w:r>
      <w:r>
        <w:rPr>
          <w:color w:val="231F20"/>
          <w:spacing w:val="-9"/>
          <w:sz w:val="20"/>
        </w:rPr>
        <w:t xml:space="preserve"> </w:t>
      </w:r>
      <w:r>
        <w:rPr>
          <w:color w:val="231F20"/>
          <w:spacing w:val="-3"/>
          <w:sz w:val="20"/>
        </w:rPr>
        <w:t>culturally</w:t>
      </w:r>
      <w:r>
        <w:rPr>
          <w:color w:val="231F20"/>
          <w:spacing w:val="-9"/>
          <w:sz w:val="20"/>
        </w:rPr>
        <w:t xml:space="preserve"> </w:t>
      </w:r>
      <w:r>
        <w:rPr>
          <w:color w:val="231F20"/>
          <w:sz w:val="20"/>
        </w:rPr>
        <w:t>and</w:t>
      </w:r>
      <w:r>
        <w:rPr>
          <w:color w:val="231F20"/>
          <w:spacing w:val="-9"/>
          <w:sz w:val="20"/>
        </w:rPr>
        <w:t xml:space="preserve"> </w:t>
      </w:r>
      <w:r>
        <w:rPr>
          <w:color w:val="231F20"/>
          <w:sz w:val="20"/>
        </w:rPr>
        <w:t>linguistically</w:t>
      </w:r>
      <w:r>
        <w:rPr>
          <w:color w:val="231F20"/>
          <w:spacing w:val="-9"/>
          <w:sz w:val="20"/>
        </w:rPr>
        <w:t xml:space="preserve"> </w:t>
      </w:r>
      <w:r>
        <w:rPr>
          <w:color w:val="231F20"/>
          <w:sz w:val="20"/>
        </w:rPr>
        <w:t>diverse communities.</w:t>
      </w:r>
      <w:r>
        <w:rPr>
          <w:color w:val="231F20"/>
          <w:position w:val="7"/>
          <w:sz w:val="11"/>
        </w:rPr>
        <w:t>11</w:t>
      </w:r>
    </w:p>
    <w:p w14:paraId="3A17BDE8" w14:textId="77777777" w:rsidR="00894070" w:rsidRDefault="009B7AFD">
      <w:pPr>
        <w:pStyle w:val="ListParagraph"/>
        <w:numPr>
          <w:ilvl w:val="1"/>
          <w:numId w:val="33"/>
        </w:numPr>
        <w:tabs>
          <w:tab w:val="left" w:pos="1801"/>
          <w:tab w:val="left" w:pos="1802"/>
        </w:tabs>
        <w:spacing w:before="124" w:line="206" w:lineRule="auto"/>
        <w:ind w:right="1628"/>
        <w:rPr>
          <w:sz w:val="20"/>
        </w:rPr>
      </w:pPr>
      <w:r>
        <w:rPr>
          <w:color w:val="231F20"/>
          <w:spacing w:val="-3"/>
          <w:sz w:val="20"/>
        </w:rPr>
        <w:t>Adolescent</w:t>
      </w:r>
      <w:r>
        <w:rPr>
          <w:color w:val="231F20"/>
          <w:spacing w:val="-8"/>
          <w:sz w:val="20"/>
        </w:rPr>
        <w:t xml:space="preserve"> </w:t>
      </w:r>
      <w:r>
        <w:rPr>
          <w:color w:val="231F20"/>
          <w:sz w:val="20"/>
        </w:rPr>
        <w:t>stalking</w:t>
      </w:r>
      <w:r>
        <w:rPr>
          <w:color w:val="231F20"/>
          <w:spacing w:val="-7"/>
          <w:sz w:val="20"/>
        </w:rPr>
        <w:t xml:space="preserve"> </w:t>
      </w:r>
      <w:r>
        <w:rPr>
          <w:color w:val="231F20"/>
          <w:sz w:val="20"/>
        </w:rPr>
        <w:t>is</w:t>
      </w:r>
      <w:r>
        <w:rPr>
          <w:color w:val="231F20"/>
          <w:spacing w:val="-7"/>
          <w:sz w:val="20"/>
        </w:rPr>
        <w:t xml:space="preserve"> </w:t>
      </w:r>
      <w:r>
        <w:rPr>
          <w:color w:val="231F20"/>
          <w:sz w:val="20"/>
        </w:rPr>
        <w:t>a</w:t>
      </w:r>
      <w:r>
        <w:rPr>
          <w:color w:val="231F20"/>
          <w:spacing w:val="-8"/>
          <w:sz w:val="20"/>
        </w:rPr>
        <w:t xml:space="preserve"> </w:t>
      </w:r>
      <w:r>
        <w:rPr>
          <w:color w:val="231F20"/>
          <w:spacing w:val="-3"/>
          <w:sz w:val="20"/>
        </w:rPr>
        <w:t>different</w:t>
      </w:r>
      <w:r>
        <w:rPr>
          <w:color w:val="231F20"/>
          <w:spacing w:val="-7"/>
          <w:sz w:val="20"/>
        </w:rPr>
        <w:t xml:space="preserve"> </w:t>
      </w:r>
      <w:r>
        <w:rPr>
          <w:color w:val="231F20"/>
          <w:sz w:val="20"/>
        </w:rPr>
        <w:t>and</w:t>
      </w:r>
      <w:r>
        <w:rPr>
          <w:color w:val="231F20"/>
          <w:spacing w:val="-7"/>
          <w:sz w:val="20"/>
        </w:rPr>
        <w:t xml:space="preserve"> </w:t>
      </w:r>
      <w:r>
        <w:rPr>
          <w:color w:val="231F20"/>
          <w:spacing w:val="-3"/>
          <w:sz w:val="20"/>
        </w:rPr>
        <w:t>complex</w:t>
      </w:r>
      <w:r>
        <w:rPr>
          <w:color w:val="231F20"/>
          <w:spacing w:val="-7"/>
          <w:sz w:val="20"/>
        </w:rPr>
        <w:t xml:space="preserve"> </w:t>
      </w:r>
      <w:r>
        <w:rPr>
          <w:color w:val="231F20"/>
          <w:spacing w:val="-3"/>
          <w:sz w:val="20"/>
        </w:rPr>
        <w:t>form</w:t>
      </w:r>
      <w:r>
        <w:rPr>
          <w:color w:val="231F20"/>
          <w:spacing w:val="-8"/>
          <w:sz w:val="20"/>
        </w:rPr>
        <w:t xml:space="preserve"> </w:t>
      </w:r>
      <w:r>
        <w:rPr>
          <w:color w:val="231F20"/>
          <w:sz w:val="20"/>
        </w:rPr>
        <w:t>of</w:t>
      </w:r>
      <w:r>
        <w:rPr>
          <w:color w:val="231F20"/>
          <w:spacing w:val="-7"/>
          <w:sz w:val="20"/>
        </w:rPr>
        <w:t xml:space="preserve"> </w:t>
      </w:r>
      <w:r>
        <w:rPr>
          <w:color w:val="231F20"/>
          <w:sz w:val="20"/>
        </w:rPr>
        <w:t>stalking</w:t>
      </w:r>
      <w:r>
        <w:rPr>
          <w:color w:val="231F20"/>
          <w:spacing w:val="-7"/>
          <w:sz w:val="20"/>
        </w:rPr>
        <w:t xml:space="preserve"> </w:t>
      </w:r>
      <w:r>
        <w:rPr>
          <w:color w:val="231F20"/>
          <w:sz w:val="20"/>
        </w:rPr>
        <w:t>requiring</w:t>
      </w:r>
      <w:r>
        <w:rPr>
          <w:color w:val="231F20"/>
          <w:spacing w:val="-7"/>
          <w:sz w:val="20"/>
        </w:rPr>
        <w:t xml:space="preserve"> </w:t>
      </w:r>
      <w:r>
        <w:rPr>
          <w:color w:val="231F20"/>
          <w:sz w:val="20"/>
        </w:rPr>
        <w:t>a</w:t>
      </w:r>
      <w:r>
        <w:rPr>
          <w:color w:val="231F20"/>
          <w:spacing w:val="-8"/>
          <w:sz w:val="20"/>
        </w:rPr>
        <w:t xml:space="preserve"> </w:t>
      </w:r>
      <w:r>
        <w:rPr>
          <w:color w:val="231F20"/>
          <w:spacing w:val="-3"/>
          <w:sz w:val="20"/>
        </w:rPr>
        <w:t xml:space="preserve">different </w:t>
      </w:r>
      <w:r>
        <w:rPr>
          <w:color w:val="231F20"/>
          <w:sz w:val="20"/>
        </w:rPr>
        <w:t>response.</w:t>
      </w:r>
      <w:r>
        <w:rPr>
          <w:color w:val="231F20"/>
          <w:position w:val="7"/>
          <w:sz w:val="11"/>
        </w:rPr>
        <w:t xml:space="preserve">12 </w:t>
      </w:r>
      <w:r>
        <w:rPr>
          <w:color w:val="231F20"/>
          <w:spacing w:val="-6"/>
          <w:sz w:val="20"/>
        </w:rPr>
        <w:t xml:space="preserve">We </w:t>
      </w:r>
      <w:r>
        <w:rPr>
          <w:color w:val="231F20"/>
          <w:sz w:val="20"/>
        </w:rPr>
        <w:t xml:space="preserve">discuss the need </w:t>
      </w:r>
      <w:r>
        <w:rPr>
          <w:color w:val="231F20"/>
          <w:spacing w:val="-3"/>
          <w:sz w:val="20"/>
        </w:rPr>
        <w:t xml:space="preserve">for alternative </w:t>
      </w:r>
      <w:r>
        <w:rPr>
          <w:color w:val="231F20"/>
          <w:spacing w:val="-4"/>
          <w:sz w:val="20"/>
        </w:rPr>
        <w:t xml:space="preserve">pathways </w:t>
      </w:r>
      <w:r>
        <w:rPr>
          <w:color w:val="231F20"/>
          <w:spacing w:val="-3"/>
          <w:sz w:val="20"/>
        </w:rPr>
        <w:t xml:space="preserve">for children </w:t>
      </w:r>
      <w:r>
        <w:rPr>
          <w:color w:val="231F20"/>
          <w:sz w:val="20"/>
        </w:rPr>
        <w:t xml:space="preserve">and young people (in the civil context) in </w:t>
      </w:r>
      <w:r>
        <w:rPr>
          <w:color w:val="231F20"/>
          <w:spacing w:val="-3"/>
          <w:sz w:val="20"/>
        </w:rPr>
        <w:t>Chapter</w:t>
      </w:r>
      <w:r>
        <w:rPr>
          <w:color w:val="231F20"/>
          <w:spacing w:val="-31"/>
          <w:sz w:val="20"/>
        </w:rPr>
        <w:t xml:space="preserve"> </w:t>
      </w:r>
      <w:r>
        <w:rPr>
          <w:color w:val="231F20"/>
          <w:sz w:val="20"/>
        </w:rPr>
        <w:t>6.</w:t>
      </w:r>
    </w:p>
    <w:p w14:paraId="3BDD3BF5" w14:textId="77777777" w:rsidR="00894070" w:rsidRDefault="00894070">
      <w:pPr>
        <w:pStyle w:val="BodyText"/>
        <w:spacing w:before="11"/>
        <w:rPr>
          <w:sz w:val="15"/>
        </w:rPr>
      </w:pPr>
    </w:p>
    <w:p w14:paraId="3151F534" w14:textId="77777777" w:rsidR="00894070" w:rsidRDefault="009B7AFD">
      <w:pPr>
        <w:pStyle w:val="Heading8"/>
        <w:ind w:left="1007"/>
      </w:pPr>
      <w:r>
        <w:rPr>
          <w:color w:val="231F20"/>
        </w:rPr>
        <w:t>Addressing an association between severe mental disorders and stalking</w:t>
      </w:r>
    </w:p>
    <w:p w14:paraId="3038A582" w14:textId="77777777" w:rsidR="00894070" w:rsidRDefault="009B7AFD">
      <w:pPr>
        <w:pStyle w:val="ListParagraph"/>
        <w:numPr>
          <w:ilvl w:val="1"/>
          <w:numId w:val="33"/>
        </w:numPr>
        <w:tabs>
          <w:tab w:val="left" w:pos="1802"/>
        </w:tabs>
        <w:spacing w:before="127" w:line="206" w:lineRule="auto"/>
        <w:ind w:right="1563"/>
        <w:jc w:val="both"/>
        <w:rPr>
          <w:sz w:val="11"/>
        </w:rPr>
      </w:pPr>
      <w:r>
        <w:rPr>
          <w:color w:val="231F20"/>
          <w:spacing w:val="-3"/>
          <w:sz w:val="20"/>
        </w:rPr>
        <w:t xml:space="preserve">Forensicare </w:t>
      </w:r>
      <w:r>
        <w:rPr>
          <w:color w:val="231F20"/>
          <w:sz w:val="20"/>
        </w:rPr>
        <w:t xml:space="preserve">submitted that the most common </w:t>
      </w:r>
      <w:r>
        <w:rPr>
          <w:color w:val="231F20"/>
          <w:spacing w:val="-4"/>
          <w:sz w:val="20"/>
        </w:rPr>
        <w:t xml:space="preserve">severe </w:t>
      </w:r>
      <w:r>
        <w:rPr>
          <w:color w:val="231F20"/>
          <w:sz w:val="20"/>
        </w:rPr>
        <w:t>mental disorders associated with</w:t>
      </w:r>
      <w:r>
        <w:rPr>
          <w:color w:val="231F20"/>
          <w:spacing w:val="-11"/>
          <w:sz w:val="20"/>
        </w:rPr>
        <w:t xml:space="preserve"> </w:t>
      </w:r>
      <w:r>
        <w:rPr>
          <w:color w:val="231F20"/>
          <w:sz w:val="20"/>
        </w:rPr>
        <w:t>stalking</w:t>
      </w:r>
      <w:r>
        <w:rPr>
          <w:color w:val="231F20"/>
          <w:spacing w:val="-10"/>
          <w:sz w:val="20"/>
        </w:rPr>
        <w:t xml:space="preserve"> </w:t>
      </w:r>
      <w:r>
        <w:rPr>
          <w:color w:val="231F20"/>
          <w:spacing w:val="-3"/>
          <w:sz w:val="20"/>
        </w:rPr>
        <w:t>are</w:t>
      </w:r>
      <w:r>
        <w:rPr>
          <w:color w:val="231F20"/>
          <w:spacing w:val="-11"/>
          <w:sz w:val="20"/>
        </w:rPr>
        <w:t xml:space="preserve"> </w:t>
      </w:r>
      <w:r>
        <w:rPr>
          <w:color w:val="231F20"/>
          <w:sz w:val="20"/>
        </w:rPr>
        <w:t>those</w:t>
      </w:r>
      <w:r>
        <w:rPr>
          <w:color w:val="231F20"/>
          <w:spacing w:val="-10"/>
          <w:sz w:val="20"/>
        </w:rPr>
        <w:t xml:space="preserve"> </w:t>
      </w:r>
      <w:r>
        <w:rPr>
          <w:color w:val="231F20"/>
          <w:sz w:val="20"/>
        </w:rPr>
        <w:t>characterised</w:t>
      </w:r>
      <w:r>
        <w:rPr>
          <w:color w:val="231F20"/>
          <w:spacing w:val="-11"/>
          <w:sz w:val="20"/>
        </w:rPr>
        <w:t xml:space="preserve"> </w:t>
      </w:r>
      <w:r>
        <w:rPr>
          <w:color w:val="231F20"/>
          <w:spacing w:val="-3"/>
          <w:sz w:val="20"/>
        </w:rPr>
        <w:t>by</w:t>
      </w:r>
      <w:r>
        <w:rPr>
          <w:color w:val="231F20"/>
          <w:spacing w:val="-11"/>
          <w:sz w:val="20"/>
        </w:rPr>
        <w:t xml:space="preserve"> </w:t>
      </w:r>
      <w:r>
        <w:rPr>
          <w:color w:val="231F20"/>
          <w:sz w:val="20"/>
        </w:rPr>
        <w:t>psychosis,</w:t>
      </w:r>
      <w:r>
        <w:rPr>
          <w:color w:val="231F20"/>
          <w:spacing w:val="-10"/>
          <w:sz w:val="20"/>
        </w:rPr>
        <w:t xml:space="preserve"> </w:t>
      </w:r>
      <w:r>
        <w:rPr>
          <w:color w:val="231F20"/>
          <w:sz w:val="20"/>
        </w:rPr>
        <w:t>depression,</w:t>
      </w:r>
      <w:r>
        <w:rPr>
          <w:color w:val="231F20"/>
          <w:spacing w:val="-10"/>
          <w:sz w:val="20"/>
        </w:rPr>
        <w:t xml:space="preserve"> </w:t>
      </w:r>
      <w:r>
        <w:rPr>
          <w:color w:val="231F20"/>
          <w:sz w:val="20"/>
        </w:rPr>
        <w:t>and</w:t>
      </w:r>
      <w:r>
        <w:rPr>
          <w:color w:val="231F20"/>
          <w:spacing w:val="-11"/>
          <w:sz w:val="20"/>
        </w:rPr>
        <w:t xml:space="preserve"> </w:t>
      </w:r>
      <w:r>
        <w:rPr>
          <w:color w:val="231F20"/>
          <w:sz w:val="20"/>
        </w:rPr>
        <w:t>substance</w:t>
      </w:r>
      <w:r>
        <w:rPr>
          <w:color w:val="231F20"/>
          <w:spacing w:val="-10"/>
          <w:sz w:val="20"/>
        </w:rPr>
        <w:t xml:space="preserve"> </w:t>
      </w:r>
      <w:r>
        <w:rPr>
          <w:color w:val="231F20"/>
          <w:sz w:val="20"/>
        </w:rPr>
        <w:t xml:space="preserve">use </w:t>
      </w:r>
      <w:r>
        <w:rPr>
          <w:color w:val="231F20"/>
          <w:spacing w:val="-3"/>
          <w:sz w:val="20"/>
        </w:rPr>
        <w:t>disorder.</w:t>
      </w:r>
      <w:r>
        <w:rPr>
          <w:color w:val="231F20"/>
          <w:spacing w:val="-3"/>
          <w:position w:val="7"/>
          <w:sz w:val="11"/>
        </w:rPr>
        <w:t>13</w:t>
      </w:r>
      <w:r>
        <w:rPr>
          <w:color w:val="231F20"/>
          <w:spacing w:val="15"/>
          <w:position w:val="7"/>
          <w:sz w:val="11"/>
        </w:rPr>
        <w:t xml:space="preserve"> </w:t>
      </w:r>
      <w:r>
        <w:rPr>
          <w:color w:val="231F20"/>
          <w:spacing w:val="-3"/>
          <w:sz w:val="20"/>
        </w:rPr>
        <w:t>Forensicare</w:t>
      </w:r>
      <w:r>
        <w:rPr>
          <w:color w:val="231F20"/>
          <w:spacing w:val="-9"/>
          <w:sz w:val="20"/>
        </w:rPr>
        <w:t xml:space="preserve"> </w:t>
      </w:r>
      <w:r>
        <w:rPr>
          <w:color w:val="231F20"/>
          <w:sz w:val="20"/>
        </w:rPr>
        <w:t>also</w:t>
      </w:r>
      <w:r>
        <w:rPr>
          <w:color w:val="231F20"/>
          <w:spacing w:val="-8"/>
          <w:sz w:val="20"/>
        </w:rPr>
        <w:t xml:space="preserve"> </w:t>
      </w:r>
      <w:r>
        <w:rPr>
          <w:color w:val="231F20"/>
          <w:sz w:val="20"/>
        </w:rPr>
        <w:t>noted</w:t>
      </w:r>
      <w:r>
        <w:rPr>
          <w:color w:val="231F20"/>
          <w:spacing w:val="-9"/>
          <w:sz w:val="20"/>
        </w:rPr>
        <w:t xml:space="preserve"> </w:t>
      </w:r>
      <w:r>
        <w:rPr>
          <w:color w:val="231F20"/>
          <w:sz w:val="20"/>
        </w:rPr>
        <w:t>that</w:t>
      </w:r>
      <w:r>
        <w:rPr>
          <w:color w:val="231F20"/>
          <w:spacing w:val="-9"/>
          <w:sz w:val="20"/>
        </w:rPr>
        <w:t xml:space="preserve"> </w:t>
      </w:r>
      <w:r>
        <w:rPr>
          <w:color w:val="231F20"/>
          <w:sz w:val="20"/>
        </w:rPr>
        <w:t>personality</w:t>
      </w:r>
      <w:r>
        <w:rPr>
          <w:color w:val="231F20"/>
          <w:spacing w:val="-8"/>
          <w:sz w:val="20"/>
        </w:rPr>
        <w:t xml:space="preserve"> </w:t>
      </w:r>
      <w:r>
        <w:rPr>
          <w:color w:val="231F20"/>
          <w:sz w:val="20"/>
        </w:rPr>
        <w:t>disorder</w:t>
      </w:r>
      <w:r>
        <w:rPr>
          <w:color w:val="231F20"/>
          <w:spacing w:val="-9"/>
          <w:sz w:val="20"/>
        </w:rPr>
        <w:t xml:space="preserve"> </w:t>
      </w:r>
      <w:r>
        <w:rPr>
          <w:color w:val="231F20"/>
          <w:sz w:val="20"/>
        </w:rPr>
        <w:t>is</w:t>
      </w:r>
      <w:r>
        <w:rPr>
          <w:color w:val="231F20"/>
          <w:spacing w:val="-9"/>
          <w:sz w:val="20"/>
        </w:rPr>
        <w:t xml:space="preserve"> </w:t>
      </w:r>
      <w:r>
        <w:rPr>
          <w:color w:val="231F20"/>
          <w:sz w:val="20"/>
        </w:rPr>
        <w:t>commonly</w:t>
      </w:r>
      <w:r>
        <w:rPr>
          <w:color w:val="231F20"/>
          <w:spacing w:val="-8"/>
          <w:sz w:val="20"/>
        </w:rPr>
        <w:t xml:space="preserve"> </w:t>
      </w:r>
      <w:r>
        <w:rPr>
          <w:color w:val="231F20"/>
          <w:sz w:val="20"/>
        </w:rPr>
        <w:t>associated with</w:t>
      </w:r>
      <w:r>
        <w:rPr>
          <w:color w:val="231F20"/>
          <w:spacing w:val="-5"/>
          <w:sz w:val="20"/>
        </w:rPr>
        <w:t xml:space="preserve"> </w:t>
      </w:r>
      <w:r>
        <w:rPr>
          <w:color w:val="231F20"/>
          <w:sz w:val="20"/>
        </w:rPr>
        <w:t>stalking.</w:t>
      </w:r>
      <w:r>
        <w:rPr>
          <w:color w:val="231F20"/>
          <w:position w:val="7"/>
          <w:sz w:val="11"/>
        </w:rPr>
        <w:t>14</w:t>
      </w:r>
    </w:p>
    <w:p w14:paraId="083228FF" w14:textId="77777777" w:rsidR="00894070" w:rsidRDefault="009B7AFD">
      <w:pPr>
        <w:pStyle w:val="ListParagraph"/>
        <w:numPr>
          <w:ilvl w:val="1"/>
          <w:numId w:val="33"/>
        </w:numPr>
        <w:tabs>
          <w:tab w:val="left" w:pos="1801"/>
          <w:tab w:val="left" w:pos="1802"/>
        </w:tabs>
        <w:spacing w:before="125" w:line="206" w:lineRule="auto"/>
        <w:ind w:right="1374"/>
        <w:rPr>
          <w:sz w:val="11"/>
        </w:rPr>
      </w:pPr>
      <w:r>
        <w:rPr>
          <w:color w:val="231F20"/>
          <w:spacing w:val="-6"/>
          <w:sz w:val="20"/>
        </w:rPr>
        <w:t xml:space="preserve">We </w:t>
      </w:r>
      <w:r>
        <w:rPr>
          <w:color w:val="231F20"/>
          <w:sz w:val="20"/>
        </w:rPr>
        <w:t xml:space="preserve">heard that there </w:t>
      </w:r>
      <w:r>
        <w:rPr>
          <w:color w:val="231F20"/>
          <w:spacing w:val="-3"/>
          <w:sz w:val="20"/>
        </w:rPr>
        <w:t xml:space="preserve">may </w:t>
      </w:r>
      <w:r>
        <w:rPr>
          <w:color w:val="231F20"/>
          <w:sz w:val="20"/>
        </w:rPr>
        <w:t xml:space="preserve">be an association between some forms of </w:t>
      </w:r>
      <w:r>
        <w:rPr>
          <w:color w:val="231F20"/>
          <w:spacing w:val="-3"/>
          <w:sz w:val="20"/>
        </w:rPr>
        <w:t xml:space="preserve">intellectual </w:t>
      </w:r>
      <w:r>
        <w:rPr>
          <w:color w:val="231F20"/>
          <w:sz w:val="20"/>
        </w:rPr>
        <w:t>disabilities</w:t>
      </w:r>
      <w:r>
        <w:rPr>
          <w:color w:val="231F20"/>
          <w:spacing w:val="-8"/>
          <w:sz w:val="20"/>
        </w:rPr>
        <w:t xml:space="preserve"> </w:t>
      </w:r>
      <w:r>
        <w:rPr>
          <w:color w:val="231F20"/>
          <w:sz w:val="20"/>
        </w:rPr>
        <w:t>and</w:t>
      </w:r>
      <w:r>
        <w:rPr>
          <w:color w:val="231F20"/>
          <w:spacing w:val="-8"/>
          <w:sz w:val="20"/>
        </w:rPr>
        <w:t xml:space="preserve"> </w:t>
      </w:r>
      <w:r>
        <w:rPr>
          <w:color w:val="231F20"/>
          <w:sz w:val="20"/>
        </w:rPr>
        <w:t>stalking</w:t>
      </w:r>
      <w:r>
        <w:rPr>
          <w:color w:val="231F20"/>
          <w:spacing w:val="-8"/>
          <w:sz w:val="20"/>
        </w:rPr>
        <w:t xml:space="preserve"> </w:t>
      </w:r>
      <w:r>
        <w:rPr>
          <w:color w:val="231F20"/>
          <w:spacing w:val="-3"/>
          <w:sz w:val="20"/>
        </w:rPr>
        <w:t>behaviour.</w:t>
      </w:r>
      <w:r>
        <w:rPr>
          <w:color w:val="231F20"/>
          <w:spacing w:val="-3"/>
          <w:position w:val="7"/>
          <w:sz w:val="11"/>
        </w:rPr>
        <w:t>15</w:t>
      </w:r>
      <w:r>
        <w:rPr>
          <w:color w:val="231F20"/>
          <w:spacing w:val="16"/>
          <w:position w:val="7"/>
          <w:sz w:val="11"/>
        </w:rPr>
        <w:t xml:space="preserve"> </w:t>
      </w:r>
      <w:r>
        <w:rPr>
          <w:color w:val="231F20"/>
          <w:sz w:val="20"/>
        </w:rPr>
        <w:t>The</w:t>
      </w:r>
      <w:r>
        <w:rPr>
          <w:color w:val="231F20"/>
          <w:spacing w:val="-8"/>
          <w:sz w:val="20"/>
        </w:rPr>
        <w:t xml:space="preserve"> </w:t>
      </w:r>
      <w:r>
        <w:rPr>
          <w:color w:val="231F20"/>
          <w:sz w:val="20"/>
        </w:rPr>
        <w:t>Law</w:t>
      </w:r>
      <w:r>
        <w:rPr>
          <w:color w:val="231F20"/>
          <w:spacing w:val="-7"/>
          <w:sz w:val="20"/>
        </w:rPr>
        <w:t xml:space="preserve"> </w:t>
      </w:r>
      <w:r>
        <w:rPr>
          <w:color w:val="231F20"/>
          <w:spacing w:val="-3"/>
          <w:sz w:val="20"/>
        </w:rPr>
        <w:t>Institute</w:t>
      </w:r>
      <w:r>
        <w:rPr>
          <w:color w:val="231F20"/>
          <w:spacing w:val="-9"/>
          <w:sz w:val="20"/>
        </w:rPr>
        <w:t xml:space="preserve"> </w:t>
      </w:r>
      <w:r>
        <w:rPr>
          <w:color w:val="231F20"/>
          <w:sz w:val="20"/>
        </w:rPr>
        <w:t>of</w:t>
      </w:r>
      <w:r>
        <w:rPr>
          <w:color w:val="231F20"/>
          <w:spacing w:val="-8"/>
          <w:sz w:val="20"/>
        </w:rPr>
        <w:t xml:space="preserve"> </w:t>
      </w:r>
      <w:r>
        <w:rPr>
          <w:color w:val="231F20"/>
          <w:sz w:val="20"/>
        </w:rPr>
        <w:t>Victoria</w:t>
      </w:r>
      <w:r>
        <w:rPr>
          <w:color w:val="231F20"/>
          <w:spacing w:val="-8"/>
          <w:sz w:val="20"/>
        </w:rPr>
        <w:t xml:space="preserve"> </w:t>
      </w:r>
      <w:r>
        <w:rPr>
          <w:color w:val="231F20"/>
          <w:sz w:val="20"/>
        </w:rPr>
        <w:t>submitted</w:t>
      </w:r>
      <w:r>
        <w:rPr>
          <w:color w:val="231F20"/>
          <w:spacing w:val="-7"/>
          <w:sz w:val="20"/>
        </w:rPr>
        <w:t xml:space="preserve"> </w:t>
      </w:r>
      <w:r>
        <w:rPr>
          <w:color w:val="231F20"/>
          <w:sz w:val="20"/>
        </w:rPr>
        <w:t>that</w:t>
      </w:r>
      <w:r>
        <w:rPr>
          <w:color w:val="231F20"/>
          <w:spacing w:val="-9"/>
          <w:sz w:val="20"/>
        </w:rPr>
        <w:t xml:space="preserve"> </w:t>
      </w:r>
      <w:r>
        <w:rPr>
          <w:color w:val="231F20"/>
          <w:sz w:val="20"/>
        </w:rPr>
        <w:t xml:space="preserve">some ‘people with </w:t>
      </w:r>
      <w:r>
        <w:rPr>
          <w:color w:val="231F20"/>
          <w:spacing w:val="-3"/>
          <w:sz w:val="20"/>
        </w:rPr>
        <w:t xml:space="preserve">intellectual </w:t>
      </w:r>
      <w:r>
        <w:rPr>
          <w:color w:val="231F20"/>
          <w:sz w:val="20"/>
        </w:rPr>
        <w:t xml:space="preserve">disabilities </w:t>
      </w:r>
      <w:r>
        <w:rPr>
          <w:color w:val="231F20"/>
          <w:spacing w:val="-3"/>
          <w:sz w:val="20"/>
        </w:rPr>
        <w:t xml:space="preserve">may </w:t>
      </w:r>
      <w:r>
        <w:rPr>
          <w:color w:val="231F20"/>
          <w:sz w:val="20"/>
        </w:rPr>
        <w:t xml:space="preserve">not understand </w:t>
      </w:r>
      <w:r>
        <w:rPr>
          <w:color w:val="231F20"/>
          <w:spacing w:val="-3"/>
          <w:sz w:val="20"/>
        </w:rPr>
        <w:t xml:space="preserve">appropriate </w:t>
      </w:r>
      <w:r>
        <w:rPr>
          <w:color w:val="231F20"/>
          <w:sz w:val="20"/>
        </w:rPr>
        <w:t>relationship boundaries or that their behaviour is causing</w:t>
      </w:r>
      <w:r>
        <w:rPr>
          <w:color w:val="231F20"/>
          <w:spacing w:val="-32"/>
          <w:sz w:val="20"/>
        </w:rPr>
        <w:t xml:space="preserve"> </w:t>
      </w:r>
      <w:r>
        <w:rPr>
          <w:color w:val="231F20"/>
          <w:spacing w:val="-3"/>
          <w:sz w:val="20"/>
        </w:rPr>
        <w:t>harm.’</w:t>
      </w:r>
      <w:r>
        <w:rPr>
          <w:color w:val="231F20"/>
          <w:spacing w:val="-3"/>
          <w:position w:val="7"/>
          <w:sz w:val="11"/>
        </w:rPr>
        <w:t>16</w:t>
      </w:r>
    </w:p>
    <w:p w14:paraId="075B7E08" w14:textId="77777777" w:rsidR="00894070" w:rsidRDefault="009B7AFD">
      <w:pPr>
        <w:pStyle w:val="ListParagraph"/>
        <w:numPr>
          <w:ilvl w:val="1"/>
          <w:numId w:val="33"/>
        </w:numPr>
        <w:tabs>
          <w:tab w:val="left" w:pos="1801"/>
          <w:tab w:val="left" w:pos="1802"/>
        </w:tabs>
        <w:spacing w:before="125" w:line="206" w:lineRule="auto"/>
        <w:ind w:right="1439"/>
        <w:rPr>
          <w:sz w:val="11"/>
        </w:rPr>
      </w:pPr>
      <w:r>
        <w:rPr>
          <w:color w:val="231F20"/>
          <w:sz w:val="20"/>
        </w:rPr>
        <w:t>Some</w:t>
      </w:r>
      <w:r>
        <w:rPr>
          <w:color w:val="231F20"/>
          <w:spacing w:val="-8"/>
          <w:sz w:val="20"/>
        </w:rPr>
        <w:t xml:space="preserve"> </w:t>
      </w:r>
      <w:r>
        <w:rPr>
          <w:color w:val="231F20"/>
          <w:sz w:val="20"/>
        </w:rPr>
        <w:t>forms</w:t>
      </w:r>
      <w:r>
        <w:rPr>
          <w:color w:val="231F20"/>
          <w:spacing w:val="-8"/>
          <w:sz w:val="20"/>
        </w:rPr>
        <w:t xml:space="preserve"> </w:t>
      </w:r>
      <w:r>
        <w:rPr>
          <w:color w:val="231F20"/>
          <w:sz w:val="20"/>
        </w:rPr>
        <w:t>of</w:t>
      </w:r>
      <w:r>
        <w:rPr>
          <w:color w:val="231F20"/>
          <w:spacing w:val="-8"/>
          <w:sz w:val="20"/>
        </w:rPr>
        <w:t xml:space="preserve"> </w:t>
      </w:r>
      <w:r>
        <w:rPr>
          <w:color w:val="231F20"/>
          <w:spacing w:val="-4"/>
          <w:sz w:val="20"/>
        </w:rPr>
        <w:t>severe</w:t>
      </w:r>
      <w:r>
        <w:rPr>
          <w:color w:val="231F20"/>
          <w:spacing w:val="-8"/>
          <w:sz w:val="20"/>
        </w:rPr>
        <w:t xml:space="preserve"> </w:t>
      </w:r>
      <w:r>
        <w:rPr>
          <w:color w:val="231F20"/>
          <w:sz w:val="20"/>
        </w:rPr>
        <w:t>mental</w:t>
      </w:r>
      <w:r>
        <w:rPr>
          <w:color w:val="231F20"/>
          <w:spacing w:val="-8"/>
          <w:sz w:val="20"/>
        </w:rPr>
        <w:t xml:space="preserve"> </w:t>
      </w:r>
      <w:r>
        <w:rPr>
          <w:color w:val="231F20"/>
          <w:sz w:val="20"/>
        </w:rPr>
        <w:t>illness</w:t>
      </w:r>
      <w:r>
        <w:rPr>
          <w:color w:val="231F20"/>
          <w:spacing w:val="-8"/>
          <w:sz w:val="20"/>
        </w:rPr>
        <w:t xml:space="preserve"> </w:t>
      </w:r>
      <w:r>
        <w:rPr>
          <w:color w:val="231F20"/>
          <w:sz w:val="20"/>
        </w:rPr>
        <w:t>and</w:t>
      </w:r>
      <w:r>
        <w:rPr>
          <w:color w:val="231F20"/>
          <w:spacing w:val="-8"/>
          <w:sz w:val="20"/>
        </w:rPr>
        <w:t xml:space="preserve"> </w:t>
      </w:r>
      <w:r>
        <w:rPr>
          <w:color w:val="231F20"/>
          <w:sz w:val="20"/>
        </w:rPr>
        <w:t>poor</w:t>
      </w:r>
      <w:r>
        <w:rPr>
          <w:color w:val="231F20"/>
          <w:spacing w:val="-8"/>
          <w:sz w:val="20"/>
        </w:rPr>
        <w:t xml:space="preserve"> </w:t>
      </w:r>
      <w:r>
        <w:rPr>
          <w:color w:val="231F20"/>
          <w:sz w:val="20"/>
        </w:rPr>
        <w:t>mental</w:t>
      </w:r>
      <w:r>
        <w:rPr>
          <w:color w:val="231F20"/>
          <w:spacing w:val="-8"/>
          <w:sz w:val="20"/>
        </w:rPr>
        <w:t xml:space="preserve"> </w:t>
      </w:r>
      <w:r>
        <w:rPr>
          <w:color w:val="231F20"/>
          <w:sz w:val="20"/>
        </w:rPr>
        <w:t>health</w:t>
      </w:r>
      <w:r>
        <w:rPr>
          <w:color w:val="231F20"/>
          <w:spacing w:val="-8"/>
          <w:sz w:val="20"/>
        </w:rPr>
        <w:t xml:space="preserve"> </w:t>
      </w:r>
      <w:r>
        <w:rPr>
          <w:color w:val="231F20"/>
          <w:spacing w:val="-3"/>
          <w:sz w:val="20"/>
        </w:rPr>
        <w:t>may</w:t>
      </w:r>
      <w:r>
        <w:rPr>
          <w:color w:val="231F20"/>
          <w:spacing w:val="-8"/>
          <w:sz w:val="20"/>
        </w:rPr>
        <w:t xml:space="preserve"> </w:t>
      </w:r>
      <w:r>
        <w:rPr>
          <w:color w:val="231F20"/>
          <w:sz w:val="20"/>
        </w:rPr>
        <w:t>be</w:t>
      </w:r>
      <w:r>
        <w:rPr>
          <w:color w:val="231F20"/>
          <w:spacing w:val="-8"/>
          <w:sz w:val="20"/>
        </w:rPr>
        <w:t xml:space="preserve"> </w:t>
      </w:r>
      <w:r>
        <w:rPr>
          <w:color w:val="231F20"/>
          <w:sz w:val="20"/>
        </w:rPr>
        <w:t>more</w:t>
      </w:r>
      <w:r>
        <w:rPr>
          <w:color w:val="231F20"/>
          <w:spacing w:val="-8"/>
          <w:sz w:val="20"/>
        </w:rPr>
        <w:t xml:space="preserve"> </w:t>
      </w:r>
      <w:r>
        <w:rPr>
          <w:color w:val="231F20"/>
          <w:spacing w:val="-3"/>
          <w:sz w:val="20"/>
        </w:rPr>
        <w:t xml:space="preserve">prevalent </w:t>
      </w:r>
      <w:r>
        <w:rPr>
          <w:color w:val="231F20"/>
          <w:sz w:val="20"/>
        </w:rPr>
        <w:t>in</w:t>
      </w:r>
      <w:r>
        <w:rPr>
          <w:color w:val="231F20"/>
          <w:spacing w:val="-9"/>
          <w:sz w:val="20"/>
        </w:rPr>
        <w:t xml:space="preserve"> </w:t>
      </w:r>
      <w:r>
        <w:rPr>
          <w:color w:val="231F20"/>
          <w:sz w:val="20"/>
        </w:rPr>
        <w:t>cases</w:t>
      </w:r>
      <w:r>
        <w:rPr>
          <w:color w:val="231F20"/>
          <w:spacing w:val="-9"/>
          <w:sz w:val="20"/>
        </w:rPr>
        <w:t xml:space="preserve"> </w:t>
      </w:r>
      <w:r>
        <w:rPr>
          <w:color w:val="231F20"/>
          <w:sz w:val="20"/>
        </w:rPr>
        <w:t>of</w:t>
      </w:r>
      <w:r>
        <w:rPr>
          <w:color w:val="231F20"/>
          <w:spacing w:val="-9"/>
          <w:sz w:val="20"/>
        </w:rPr>
        <w:t xml:space="preserve"> </w:t>
      </w:r>
      <w:r>
        <w:rPr>
          <w:color w:val="231F20"/>
          <w:sz w:val="20"/>
        </w:rPr>
        <w:t>non-family</w:t>
      </w:r>
      <w:r>
        <w:rPr>
          <w:color w:val="231F20"/>
          <w:spacing w:val="-9"/>
          <w:sz w:val="20"/>
        </w:rPr>
        <w:t xml:space="preserve"> </w:t>
      </w:r>
      <w:r>
        <w:rPr>
          <w:color w:val="231F20"/>
          <w:sz w:val="20"/>
        </w:rPr>
        <w:t>violence</w:t>
      </w:r>
      <w:r>
        <w:rPr>
          <w:color w:val="231F20"/>
          <w:spacing w:val="-9"/>
          <w:sz w:val="20"/>
        </w:rPr>
        <w:t xml:space="preserve"> </w:t>
      </w:r>
      <w:r>
        <w:rPr>
          <w:color w:val="231F20"/>
          <w:sz w:val="20"/>
        </w:rPr>
        <w:t>stalking</w:t>
      </w:r>
      <w:r>
        <w:rPr>
          <w:color w:val="231F20"/>
          <w:spacing w:val="-9"/>
          <w:sz w:val="20"/>
        </w:rPr>
        <w:t xml:space="preserve"> </w:t>
      </w:r>
      <w:r>
        <w:rPr>
          <w:color w:val="231F20"/>
          <w:sz w:val="20"/>
        </w:rPr>
        <w:t>compared</w:t>
      </w:r>
      <w:r>
        <w:rPr>
          <w:color w:val="231F20"/>
          <w:spacing w:val="-9"/>
          <w:sz w:val="20"/>
        </w:rPr>
        <w:t xml:space="preserve"> </w:t>
      </w:r>
      <w:r>
        <w:rPr>
          <w:color w:val="231F20"/>
          <w:sz w:val="20"/>
        </w:rPr>
        <w:t>with</w:t>
      </w:r>
      <w:r>
        <w:rPr>
          <w:color w:val="231F20"/>
          <w:spacing w:val="-9"/>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spacing w:val="-8"/>
          <w:sz w:val="20"/>
        </w:rPr>
        <w:t xml:space="preserve"> </w:t>
      </w:r>
      <w:r>
        <w:rPr>
          <w:color w:val="231F20"/>
          <w:sz w:val="20"/>
        </w:rPr>
        <w:t>stalking.</w:t>
      </w:r>
      <w:r>
        <w:rPr>
          <w:color w:val="231F20"/>
          <w:position w:val="7"/>
          <w:sz w:val="11"/>
        </w:rPr>
        <w:t>17</w:t>
      </w:r>
    </w:p>
    <w:p w14:paraId="5BFE9FA5" w14:textId="77777777" w:rsidR="00894070" w:rsidRDefault="009B7AFD">
      <w:pPr>
        <w:pStyle w:val="BodyText"/>
        <w:spacing w:before="2" w:line="206" w:lineRule="auto"/>
        <w:ind w:left="1801" w:right="1132"/>
        <w:rPr>
          <w:sz w:val="11"/>
        </w:rPr>
      </w:pPr>
      <w:r>
        <w:rPr>
          <w:color w:val="231F20"/>
          <w:spacing w:val="-3"/>
        </w:rPr>
        <w:t xml:space="preserve">For example, </w:t>
      </w:r>
      <w:r>
        <w:rPr>
          <w:color w:val="231F20"/>
        </w:rPr>
        <w:t xml:space="preserve">some studies suggest that psychosis is more </w:t>
      </w:r>
      <w:r>
        <w:rPr>
          <w:color w:val="231F20"/>
          <w:spacing w:val="-3"/>
        </w:rPr>
        <w:t xml:space="preserve">prevalent </w:t>
      </w:r>
      <w:r>
        <w:rPr>
          <w:color w:val="231F20"/>
        </w:rPr>
        <w:t xml:space="preserve">in non-family violence stalking than </w:t>
      </w:r>
      <w:r>
        <w:rPr>
          <w:color w:val="231F20"/>
          <w:spacing w:val="-3"/>
        </w:rPr>
        <w:t xml:space="preserve">family </w:t>
      </w:r>
      <w:r>
        <w:rPr>
          <w:color w:val="231F20"/>
        </w:rPr>
        <w:t>violence stalking.</w:t>
      </w:r>
      <w:r>
        <w:rPr>
          <w:color w:val="231F20"/>
          <w:position w:val="7"/>
          <w:sz w:val="11"/>
        </w:rPr>
        <w:t xml:space="preserve">18 </w:t>
      </w:r>
      <w:r>
        <w:rPr>
          <w:color w:val="231F20"/>
        </w:rPr>
        <w:t xml:space="preserve">Because of this association, </w:t>
      </w:r>
      <w:r>
        <w:rPr>
          <w:color w:val="231F20"/>
          <w:spacing w:val="-3"/>
        </w:rPr>
        <w:t xml:space="preserve">‘effectively </w:t>
      </w:r>
      <w:r>
        <w:rPr>
          <w:color w:val="231F20"/>
        </w:rPr>
        <w:t xml:space="preserve">managing the mental disorder is a critical part of </w:t>
      </w:r>
      <w:r>
        <w:rPr>
          <w:color w:val="231F20"/>
          <w:spacing w:val="-3"/>
        </w:rPr>
        <w:t xml:space="preserve">any </w:t>
      </w:r>
      <w:r>
        <w:rPr>
          <w:color w:val="231F20"/>
        </w:rPr>
        <w:t xml:space="preserve">response to </w:t>
      </w:r>
      <w:r>
        <w:rPr>
          <w:color w:val="231F20"/>
          <w:spacing w:val="-3"/>
        </w:rPr>
        <w:t xml:space="preserve">reduce </w:t>
      </w:r>
      <w:r>
        <w:rPr>
          <w:color w:val="231F20"/>
        </w:rPr>
        <w:t xml:space="preserve">(if not </w:t>
      </w:r>
      <w:r>
        <w:rPr>
          <w:color w:val="231F20"/>
          <w:spacing w:val="-3"/>
        </w:rPr>
        <w:t xml:space="preserve">eliminate) </w:t>
      </w:r>
      <w:r>
        <w:rPr>
          <w:color w:val="231F20"/>
        </w:rPr>
        <w:t xml:space="preserve">the stalking </w:t>
      </w:r>
      <w:r>
        <w:rPr>
          <w:color w:val="231F20"/>
          <w:spacing w:val="-3"/>
        </w:rPr>
        <w:t>behaviours’.</w:t>
      </w:r>
      <w:r>
        <w:rPr>
          <w:color w:val="231F20"/>
          <w:spacing w:val="-3"/>
          <w:position w:val="7"/>
          <w:sz w:val="11"/>
        </w:rPr>
        <w:t>19</w:t>
      </w:r>
    </w:p>
    <w:p w14:paraId="523F5342" w14:textId="77777777" w:rsidR="00894070" w:rsidRDefault="009B7AFD">
      <w:pPr>
        <w:pStyle w:val="ListParagraph"/>
        <w:numPr>
          <w:ilvl w:val="1"/>
          <w:numId w:val="33"/>
        </w:numPr>
        <w:tabs>
          <w:tab w:val="left" w:pos="1802"/>
        </w:tabs>
        <w:spacing w:before="125" w:line="206" w:lineRule="auto"/>
        <w:ind w:right="1189"/>
        <w:jc w:val="both"/>
        <w:rPr>
          <w:sz w:val="11"/>
        </w:rPr>
      </w:pPr>
      <w:r>
        <w:rPr>
          <w:color w:val="231F20"/>
          <w:sz w:val="20"/>
        </w:rPr>
        <w:t>Research</w:t>
      </w:r>
      <w:r>
        <w:rPr>
          <w:color w:val="231F20"/>
          <w:spacing w:val="-12"/>
          <w:sz w:val="20"/>
        </w:rPr>
        <w:t xml:space="preserve"> </w:t>
      </w:r>
      <w:r>
        <w:rPr>
          <w:color w:val="231F20"/>
          <w:sz w:val="20"/>
        </w:rPr>
        <w:t>has</w:t>
      </w:r>
      <w:r>
        <w:rPr>
          <w:color w:val="231F20"/>
          <w:spacing w:val="-11"/>
          <w:sz w:val="20"/>
        </w:rPr>
        <w:t xml:space="preserve"> </w:t>
      </w:r>
      <w:r>
        <w:rPr>
          <w:color w:val="231F20"/>
          <w:sz w:val="20"/>
        </w:rPr>
        <w:t>emphasised</w:t>
      </w:r>
      <w:r>
        <w:rPr>
          <w:color w:val="231F20"/>
          <w:spacing w:val="-11"/>
          <w:sz w:val="20"/>
        </w:rPr>
        <w:t xml:space="preserve"> </w:t>
      </w:r>
      <w:r>
        <w:rPr>
          <w:color w:val="231F20"/>
          <w:sz w:val="20"/>
        </w:rPr>
        <w:t>the</w:t>
      </w:r>
      <w:r>
        <w:rPr>
          <w:color w:val="231F20"/>
          <w:spacing w:val="-11"/>
          <w:sz w:val="20"/>
        </w:rPr>
        <w:t xml:space="preserve"> </w:t>
      </w:r>
      <w:r>
        <w:rPr>
          <w:color w:val="231F20"/>
          <w:sz w:val="20"/>
        </w:rPr>
        <w:t>importance</w:t>
      </w:r>
      <w:r>
        <w:rPr>
          <w:color w:val="231F20"/>
          <w:spacing w:val="-11"/>
          <w:sz w:val="20"/>
        </w:rPr>
        <w:t xml:space="preserve"> </w:t>
      </w:r>
      <w:r>
        <w:rPr>
          <w:color w:val="231F20"/>
          <w:sz w:val="20"/>
        </w:rPr>
        <w:t>of</w:t>
      </w:r>
      <w:r>
        <w:rPr>
          <w:color w:val="231F20"/>
          <w:spacing w:val="-11"/>
          <w:sz w:val="20"/>
        </w:rPr>
        <w:t xml:space="preserve"> </w:t>
      </w:r>
      <w:r>
        <w:rPr>
          <w:color w:val="231F20"/>
          <w:sz w:val="20"/>
        </w:rPr>
        <w:t>therapeutic</w:t>
      </w:r>
      <w:r>
        <w:rPr>
          <w:color w:val="231F20"/>
          <w:spacing w:val="-11"/>
          <w:sz w:val="20"/>
        </w:rPr>
        <w:t xml:space="preserve"> </w:t>
      </w:r>
      <w:r>
        <w:rPr>
          <w:color w:val="231F20"/>
          <w:sz w:val="20"/>
        </w:rPr>
        <w:t>or</w:t>
      </w:r>
      <w:r>
        <w:rPr>
          <w:color w:val="231F20"/>
          <w:spacing w:val="-11"/>
          <w:sz w:val="20"/>
        </w:rPr>
        <w:t xml:space="preserve"> </w:t>
      </w:r>
      <w:r>
        <w:rPr>
          <w:color w:val="231F20"/>
          <w:sz w:val="20"/>
        </w:rPr>
        <w:t>psychological</w:t>
      </w:r>
      <w:r>
        <w:rPr>
          <w:color w:val="231F20"/>
          <w:spacing w:val="-11"/>
          <w:sz w:val="20"/>
        </w:rPr>
        <w:t xml:space="preserve"> </w:t>
      </w:r>
      <w:r>
        <w:rPr>
          <w:color w:val="231F20"/>
          <w:spacing w:val="-2"/>
          <w:sz w:val="20"/>
        </w:rPr>
        <w:t xml:space="preserve">intervention </w:t>
      </w:r>
      <w:r>
        <w:rPr>
          <w:color w:val="231F20"/>
          <w:spacing w:val="-3"/>
          <w:sz w:val="20"/>
        </w:rPr>
        <w:t xml:space="preserve">for </w:t>
      </w:r>
      <w:r>
        <w:rPr>
          <w:color w:val="231F20"/>
          <w:sz w:val="20"/>
        </w:rPr>
        <w:t>people who stalk.</w:t>
      </w:r>
      <w:r>
        <w:rPr>
          <w:color w:val="231F20"/>
          <w:position w:val="7"/>
          <w:sz w:val="11"/>
        </w:rPr>
        <w:t xml:space="preserve">20 </w:t>
      </w:r>
      <w:r>
        <w:rPr>
          <w:color w:val="231F20"/>
          <w:spacing w:val="-6"/>
          <w:sz w:val="20"/>
        </w:rPr>
        <w:t xml:space="preserve">We </w:t>
      </w:r>
      <w:r>
        <w:rPr>
          <w:color w:val="231F20"/>
          <w:spacing w:val="-3"/>
          <w:sz w:val="20"/>
        </w:rPr>
        <w:t xml:space="preserve">received </w:t>
      </w:r>
      <w:r>
        <w:rPr>
          <w:color w:val="231F20"/>
          <w:sz w:val="20"/>
        </w:rPr>
        <w:t xml:space="preserve">similar feedback </w:t>
      </w:r>
      <w:r>
        <w:rPr>
          <w:color w:val="231F20"/>
          <w:spacing w:val="-3"/>
          <w:sz w:val="20"/>
        </w:rPr>
        <w:t>from Forensicare</w:t>
      </w:r>
      <w:r>
        <w:rPr>
          <w:color w:val="231F20"/>
          <w:spacing w:val="-3"/>
          <w:position w:val="7"/>
          <w:sz w:val="11"/>
        </w:rPr>
        <w:t xml:space="preserve">21 </w:t>
      </w:r>
      <w:r>
        <w:rPr>
          <w:color w:val="231F20"/>
          <w:sz w:val="20"/>
        </w:rPr>
        <w:t xml:space="preserve">and the </w:t>
      </w:r>
      <w:r>
        <w:rPr>
          <w:color w:val="231F20"/>
          <w:spacing w:val="-3"/>
          <w:sz w:val="20"/>
        </w:rPr>
        <w:t xml:space="preserve">Centre for Forensic </w:t>
      </w:r>
      <w:r>
        <w:rPr>
          <w:color w:val="231F20"/>
          <w:sz w:val="20"/>
        </w:rPr>
        <w:t>Behavioural</w:t>
      </w:r>
      <w:r>
        <w:rPr>
          <w:color w:val="231F20"/>
          <w:spacing w:val="-7"/>
          <w:sz w:val="20"/>
        </w:rPr>
        <w:t xml:space="preserve"> </w:t>
      </w:r>
      <w:r>
        <w:rPr>
          <w:color w:val="231F20"/>
          <w:sz w:val="20"/>
        </w:rPr>
        <w:t>Science.</w:t>
      </w:r>
      <w:r>
        <w:rPr>
          <w:color w:val="231F20"/>
          <w:position w:val="7"/>
          <w:sz w:val="11"/>
        </w:rPr>
        <w:t>22</w:t>
      </w:r>
    </w:p>
    <w:p w14:paraId="6269EE68" w14:textId="77777777" w:rsidR="00894070" w:rsidRDefault="009B7AFD">
      <w:pPr>
        <w:pStyle w:val="ListParagraph"/>
        <w:numPr>
          <w:ilvl w:val="1"/>
          <w:numId w:val="33"/>
        </w:numPr>
        <w:tabs>
          <w:tab w:val="left" w:pos="1801"/>
          <w:tab w:val="left" w:pos="1802"/>
        </w:tabs>
        <w:spacing w:before="124" w:line="206" w:lineRule="auto"/>
        <w:ind w:right="1542"/>
        <w:rPr>
          <w:sz w:val="11"/>
        </w:rPr>
      </w:pPr>
      <w:r>
        <w:rPr>
          <w:color w:val="231F20"/>
          <w:spacing w:val="-5"/>
          <w:sz w:val="20"/>
        </w:rPr>
        <w:t xml:space="preserve">However, </w:t>
      </w:r>
      <w:r>
        <w:rPr>
          <w:color w:val="231F20"/>
          <w:sz w:val="20"/>
        </w:rPr>
        <w:t xml:space="preserve">the association between </w:t>
      </w:r>
      <w:r>
        <w:rPr>
          <w:color w:val="231F20"/>
          <w:spacing w:val="-4"/>
          <w:sz w:val="20"/>
        </w:rPr>
        <w:t xml:space="preserve">severe </w:t>
      </w:r>
      <w:r>
        <w:rPr>
          <w:color w:val="231F20"/>
          <w:sz w:val="20"/>
        </w:rPr>
        <w:t>mental disorders and stalking needs further</w:t>
      </w:r>
      <w:r>
        <w:rPr>
          <w:color w:val="231F20"/>
          <w:spacing w:val="-9"/>
          <w:sz w:val="20"/>
        </w:rPr>
        <w:t xml:space="preserve"> </w:t>
      </w:r>
      <w:r>
        <w:rPr>
          <w:color w:val="231F20"/>
          <w:spacing w:val="-3"/>
          <w:sz w:val="20"/>
        </w:rPr>
        <w:t>research.</w:t>
      </w:r>
      <w:r>
        <w:rPr>
          <w:color w:val="231F20"/>
          <w:spacing w:val="-8"/>
          <w:sz w:val="20"/>
        </w:rPr>
        <w:t xml:space="preserve"> </w:t>
      </w:r>
      <w:r>
        <w:rPr>
          <w:color w:val="231F20"/>
          <w:sz w:val="20"/>
        </w:rPr>
        <w:t>Other</w:t>
      </w:r>
      <w:r>
        <w:rPr>
          <w:color w:val="231F20"/>
          <w:spacing w:val="-9"/>
          <w:sz w:val="20"/>
        </w:rPr>
        <w:t xml:space="preserve"> </w:t>
      </w:r>
      <w:r>
        <w:rPr>
          <w:color w:val="231F20"/>
          <w:sz w:val="20"/>
        </w:rPr>
        <w:t>factors</w:t>
      </w:r>
      <w:r>
        <w:rPr>
          <w:color w:val="231F20"/>
          <w:spacing w:val="-8"/>
          <w:sz w:val="20"/>
        </w:rPr>
        <w:t xml:space="preserve"> </w:t>
      </w:r>
      <w:r>
        <w:rPr>
          <w:color w:val="231F20"/>
          <w:sz w:val="20"/>
        </w:rPr>
        <w:t>associated</w:t>
      </w:r>
      <w:r>
        <w:rPr>
          <w:color w:val="231F20"/>
          <w:spacing w:val="-9"/>
          <w:sz w:val="20"/>
        </w:rPr>
        <w:t xml:space="preserve"> </w:t>
      </w:r>
      <w:r>
        <w:rPr>
          <w:color w:val="231F20"/>
          <w:sz w:val="20"/>
        </w:rPr>
        <w:t>with</w:t>
      </w:r>
      <w:r>
        <w:rPr>
          <w:color w:val="231F20"/>
          <w:spacing w:val="-8"/>
          <w:sz w:val="20"/>
        </w:rPr>
        <w:t xml:space="preserve"> </w:t>
      </w:r>
      <w:r>
        <w:rPr>
          <w:color w:val="231F20"/>
          <w:sz w:val="20"/>
        </w:rPr>
        <w:t>such</w:t>
      </w:r>
      <w:r>
        <w:rPr>
          <w:color w:val="231F20"/>
          <w:spacing w:val="-8"/>
          <w:sz w:val="20"/>
        </w:rPr>
        <w:t xml:space="preserve"> </w:t>
      </w:r>
      <w:r>
        <w:rPr>
          <w:color w:val="231F20"/>
          <w:sz w:val="20"/>
        </w:rPr>
        <w:t>behaviour</w:t>
      </w:r>
      <w:r>
        <w:rPr>
          <w:color w:val="231F20"/>
          <w:spacing w:val="-9"/>
          <w:sz w:val="20"/>
        </w:rPr>
        <w:t xml:space="preserve"> </w:t>
      </w:r>
      <w:r>
        <w:rPr>
          <w:color w:val="231F20"/>
          <w:spacing w:val="-3"/>
          <w:sz w:val="20"/>
        </w:rPr>
        <w:t>may</w:t>
      </w:r>
      <w:r>
        <w:rPr>
          <w:color w:val="231F20"/>
          <w:spacing w:val="-8"/>
          <w:sz w:val="20"/>
        </w:rPr>
        <w:t xml:space="preserve"> </w:t>
      </w:r>
      <w:r>
        <w:rPr>
          <w:color w:val="231F20"/>
          <w:sz w:val="20"/>
        </w:rPr>
        <w:t>also</w:t>
      </w:r>
      <w:r>
        <w:rPr>
          <w:color w:val="231F20"/>
          <w:spacing w:val="-9"/>
          <w:sz w:val="20"/>
        </w:rPr>
        <w:t xml:space="preserve"> </w:t>
      </w:r>
      <w:r>
        <w:rPr>
          <w:color w:val="231F20"/>
          <w:sz w:val="20"/>
        </w:rPr>
        <w:t>need</w:t>
      </w:r>
      <w:r>
        <w:rPr>
          <w:color w:val="231F20"/>
          <w:spacing w:val="-8"/>
          <w:sz w:val="20"/>
        </w:rPr>
        <w:t xml:space="preserve"> </w:t>
      </w:r>
      <w:r>
        <w:rPr>
          <w:color w:val="231F20"/>
          <w:sz w:val="20"/>
        </w:rPr>
        <w:t>to</w:t>
      </w:r>
      <w:r>
        <w:rPr>
          <w:color w:val="231F20"/>
          <w:spacing w:val="-9"/>
          <w:sz w:val="20"/>
        </w:rPr>
        <w:t xml:space="preserve"> </w:t>
      </w:r>
      <w:r>
        <w:rPr>
          <w:color w:val="231F20"/>
          <w:sz w:val="20"/>
        </w:rPr>
        <w:t>be addressed.</w:t>
      </w:r>
      <w:r>
        <w:rPr>
          <w:color w:val="231F20"/>
          <w:position w:val="7"/>
          <w:sz w:val="11"/>
        </w:rPr>
        <w:t>23</w:t>
      </w:r>
    </w:p>
    <w:p w14:paraId="14EBE70C" w14:textId="77777777" w:rsidR="00894070" w:rsidRDefault="00894070">
      <w:pPr>
        <w:pStyle w:val="BodyText"/>
      </w:pPr>
    </w:p>
    <w:p w14:paraId="390B73FA" w14:textId="77777777" w:rsidR="00894070" w:rsidRDefault="009F6793">
      <w:pPr>
        <w:pStyle w:val="BodyText"/>
        <w:spacing w:before="12"/>
      </w:pPr>
      <w:r>
        <w:pict w14:anchorId="5FD0BF83">
          <v:line id="_x0000_s1094" style="position:absolute;z-index:251764736;mso-wrap-distance-left:0;mso-wrap-distance-right:0;mso-position-horizontal-relative:page" from="79.35pt,16.95pt" to="515.9pt,16.95pt" strokecolor="#f8cabc" strokeweight="1pt">
            <w10:wrap type="topAndBottom" anchorx="page"/>
          </v:line>
        </w:pict>
      </w:r>
    </w:p>
    <w:p w14:paraId="076D15A4" w14:textId="77777777" w:rsidR="00894070" w:rsidRDefault="00894070">
      <w:pPr>
        <w:pStyle w:val="BodyText"/>
        <w:rPr>
          <w:sz w:val="5"/>
        </w:rPr>
      </w:pPr>
    </w:p>
    <w:p w14:paraId="7EE3E38E" w14:textId="77777777" w:rsidR="00894070" w:rsidRDefault="00894070">
      <w:pPr>
        <w:rPr>
          <w:sz w:val="5"/>
        </w:rPr>
        <w:sectPr w:rsidR="00894070">
          <w:pgSz w:w="11910" w:h="16840"/>
          <w:pgMar w:top="860" w:right="420" w:bottom="280" w:left="580" w:header="567" w:footer="0" w:gutter="0"/>
          <w:cols w:space="720"/>
        </w:sectPr>
      </w:pPr>
    </w:p>
    <w:p w14:paraId="079DBA85" w14:textId="77777777" w:rsidR="00894070" w:rsidRDefault="00894070">
      <w:pPr>
        <w:pStyle w:val="BodyText"/>
        <w:rPr>
          <w:sz w:val="28"/>
        </w:rPr>
      </w:pPr>
    </w:p>
    <w:p w14:paraId="49094493" w14:textId="77777777" w:rsidR="00894070" w:rsidRDefault="00894070">
      <w:pPr>
        <w:pStyle w:val="BodyText"/>
        <w:rPr>
          <w:sz w:val="28"/>
        </w:rPr>
      </w:pPr>
    </w:p>
    <w:p w14:paraId="0398A774" w14:textId="77777777" w:rsidR="00894070" w:rsidRDefault="00894070">
      <w:pPr>
        <w:pStyle w:val="BodyText"/>
        <w:rPr>
          <w:sz w:val="28"/>
        </w:rPr>
      </w:pPr>
    </w:p>
    <w:p w14:paraId="125CBDC6" w14:textId="77777777" w:rsidR="00894070" w:rsidRDefault="00894070">
      <w:pPr>
        <w:pStyle w:val="BodyText"/>
        <w:rPr>
          <w:sz w:val="28"/>
        </w:rPr>
      </w:pPr>
    </w:p>
    <w:p w14:paraId="0AE903FD" w14:textId="77777777" w:rsidR="00894070" w:rsidRDefault="00894070">
      <w:pPr>
        <w:pStyle w:val="BodyText"/>
        <w:rPr>
          <w:sz w:val="28"/>
        </w:rPr>
      </w:pPr>
    </w:p>
    <w:p w14:paraId="284AB716" w14:textId="77777777" w:rsidR="00894070" w:rsidRDefault="00894070">
      <w:pPr>
        <w:pStyle w:val="BodyText"/>
        <w:rPr>
          <w:sz w:val="28"/>
        </w:rPr>
      </w:pPr>
    </w:p>
    <w:p w14:paraId="555E86FB" w14:textId="77777777" w:rsidR="00894070" w:rsidRDefault="00894070">
      <w:pPr>
        <w:pStyle w:val="BodyText"/>
        <w:rPr>
          <w:sz w:val="28"/>
        </w:rPr>
      </w:pPr>
    </w:p>
    <w:p w14:paraId="266D29AC" w14:textId="77777777" w:rsidR="00894070" w:rsidRDefault="00894070">
      <w:pPr>
        <w:pStyle w:val="BodyText"/>
        <w:rPr>
          <w:sz w:val="28"/>
        </w:rPr>
      </w:pPr>
    </w:p>
    <w:p w14:paraId="44E460D5" w14:textId="77777777" w:rsidR="00894070" w:rsidRDefault="00894070">
      <w:pPr>
        <w:pStyle w:val="BodyText"/>
        <w:rPr>
          <w:sz w:val="28"/>
        </w:rPr>
      </w:pPr>
    </w:p>
    <w:p w14:paraId="0863B1CF" w14:textId="77777777" w:rsidR="00894070" w:rsidRDefault="00894070">
      <w:pPr>
        <w:pStyle w:val="BodyText"/>
        <w:rPr>
          <w:sz w:val="28"/>
        </w:rPr>
      </w:pPr>
    </w:p>
    <w:p w14:paraId="73A91149" w14:textId="77777777" w:rsidR="00894070" w:rsidRDefault="00894070">
      <w:pPr>
        <w:pStyle w:val="BodyText"/>
        <w:rPr>
          <w:sz w:val="28"/>
        </w:rPr>
      </w:pPr>
    </w:p>
    <w:p w14:paraId="38091B7A" w14:textId="77777777" w:rsidR="00894070" w:rsidRDefault="00894070">
      <w:pPr>
        <w:pStyle w:val="BodyText"/>
        <w:spacing w:before="9"/>
        <w:rPr>
          <w:sz w:val="18"/>
        </w:rPr>
      </w:pPr>
    </w:p>
    <w:p w14:paraId="506FD7D5" w14:textId="77777777" w:rsidR="00894070" w:rsidRDefault="009B7AFD">
      <w:pPr>
        <w:pStyle w:val="Heading8"/>
        <w:spacing w:before="1"/>
        <w:ind w:left="140"/>
      </w:pPr>
      <w:r>
        <w:rPr>
          <w:color w:val="EA5B50"/>
        </w:rPr>
        <w:t>164</w:t>
      </w:r>
    </w:p>
    <w:p w14:paraId="6DB7EF47" w14:textId="77777777" w:rsidR="00894070" w:rsidRDefault="009B7AFD">
      <w:pPr>
        <w:pStyle w:val="ListParagraph"/>
        <w:numPr>
          <w:ilvl w:val="0"/>
          <w:numId w:val="33"/>
        </w:numPr>
        <w:tabs>
          <w:tab w:val="left" w:pos="933"/>
          <w:tab w:val="left" w:pos="934"/>
        </w:tabs>
        <w:spacing w:before="38" w:line="213" w:lineRule="auto"/>
        <w:ind w:left="933" w:right="1273" w:hanging="793"/>
        <w:jc w:val="left"/>
        <w:rPr>
          <w:color w:val="231F20"/>
          <w:sz w:val="13"/>
        </w:rPr>
      </w:pPr>
      <w:r>
        <w:rPr>
          <w:color w:val="231F20"/>
          <w:spacing w:val="2"/>
          <w:sz w:val="13"/>
        </w:rPr>
        <w:br w:type="column"/>
      </w:r>
      <w:r>
        <w:rPr>
          <w:color w:val="231F20"/>
          <w:sz w:val="13"/>
        </w:rPr>
        <w:t xml:space="preserve">Marijke </w:t>
      </w:r>
      <w:r>
        <w:rPr>
          <w:color w:val="231F20"/>
          <w:spacing w:val="2"/>
          <w:sz w:val="13"/>
        </w:rPr>
        <w:t xml:space="preserve">Malsch, </w:t>
      </w:r>
      <w:r>
        <w:rPr>
          <w:color w:val="231F20"/>
          <w:sz w:val="13"/>
        </w:rPr>
        <w:t xml:space="preserve">Jan W de Keijser and Sofia EC </w:t>
      </w:r>
      <w:r>
        <w:rPr>
          <w:color w:val="231F20"/>
          <w:spacing w:val="2"/>
          <w:sz w:val="13"/>
        </w:rPr>
        <w:t xml:space="preserve">Debets, </w:t>
      </w:r>
      <w:r>
        <w:rPr>
          <w:color w:val="231F20"/>
          <w:sz w:val="13"/>
        </w:rPr>
        <w:t xml:space="preserve">‘Are Stalkers Recidivists? Repeated Offending by Convicted Stalkers’   </w:t>
      </w:r>
      <w:r>
        <w:rPr>
          <w:color w:val="231F20"/>
          <w:spacing w:val="2"/>
          <w:sz w:val="13"/>
        </w:rPr>
        <w:t xml:space="preserve">(2011) 26(1) </w:t>
      </w:r>
      <w:r>
        <w:rPr>
          <w:i/>
          <w:color w:val="231F20"/>
          <w:sz w:val="13"/>
        </w:rPr>
        <w:t xml:space="preserve">Violence and Victims </w:t>
      </w:r>
      <w:r>
        <w:rPr>
          <w:color w:val="231F20"/>
          <w:sz w:val="13"/>
        </w:rPr>
        <w:t xml:space="preserve">3; 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w:t>
      </w:r>
      <w:r>
        <w:rPr>
          <w:color w:val="231F20"/>
          <w:spacing w:val="-2"/>
          <w:sz w:val="13"/>
        </w:rPr>
        <w:t xml:space="preserve"> </w:t>
      </w:r>
      <w:r>
        <w:rPr>
          <w:color w:val="231F20"/>
          <w:sz w:val="13"/>
        </w:rPr>
        <w:t>2022).</w:t>
      </w:r>
    </w:p>
    <w:p w14:paraId="44635C05" w14:textId="77777777" w:rsidR="00894070" w:rsidRDefault="009B7AFD">
      <w:pPr>
        <w:pStyle w:val="ListParagraph"/>
        <w:numPr>
          <w:ilvl w:val="0"/>
          <w:numId w:val="33"/>
        </w:numPr>
        <w:tabs>
          <w:tab w:val="left" w:pos="933"/>
          <w:tab w:val="left" w:pos="934"/>
        </w:tabs>
        <w:spacing w:line="152" w:lineRule="exact"/>
        <w:ind w:left="933" w:hanging="793"/>
        <w:jc w:val="left"/>
        <w:rPr>
          <w:color w:val="231F20"/>
          <w:sz w:val="13"/>
        </w:rPr>
      </w:pPr>
      <w:r>
        <w:rPr>
          <w:color w:val="231F20"/>
          <w:spacing w:val="2"/>
          <w:sz w:val="13"/>
        </w:rPr>
        <w:t xml:space="preserve">Rosemary </w:t>
      </w:r>
      <w:r>
        <w:rPr>
          <w:color w:val="231F20"/>
          <w:sz w:val="13"/>
        </w:rPr>
        <w:t>Purcell</w:t>
      </w:r>
      <w:r>
        <w:rPr>
          <w:color w:val="231F20"/>
          <w:spacing w:val="2"/>
          <w:sz w:val="13"/>
        </w:rPr>
        <w:t xml:space="preserve"> </w:t>
      </w:r>
      <w:r>
        <w:rPr>
          <w:color w:val="231F20"/>
          <w:sz w:val="13"/>
        </w:rPr>
        <w:t>and</w:t>
      </w:r>
      <w:r>
        <w:rPr>
          <w:color w:val="231F20"/>
          <w:spacing w:val="2"/>
          <w:sz w:val="13"/>
        </w:rPr>
        <w:t xml:space="preserve"> </w:t>
      </w:r>
      <w:r>
        <w:rPr>
          <w:color w:val="231F20"/>
          <w:spacing w:val="-3"/>
          <w:sz w:val="13"/>
        </w:rPr>
        <w:t>Troy</w:t>
      </w:r>
      <w:r>
        <w:rPr>
          <w:color w:val="231F20"/>
          <w:spacing w:val="3"/>
          <w:sz w:val="13"/>
        </w:rPr>
        <w:t xml:space="preserve"> </w:t>
      </w:r>
      <w:r>
        <w:rPr>
          <w:color w:val="231F20"/>
          <w:sz w:val="13"/>
        </w:rPr>
        <w:t>McEwan,</w:t>
      </w:r>
      <w:r>
        <w:rPr>
          <w:color w:val="231F20"/>
          <w:spacing w:val="2"/>
          <w:sz w:val="13"/>
        </w:rPr>
        <w:t xml:space="preserve"> </w:t>
      </w:r>
      <w:r>
        <w:rPr>
          <w:color w:val="231F20"/>
          <w:sz w:val="13"/>
        </w:rPr>
        <w:t>‘Treatment</w:t>
      </w:r>
      <w:r>
        <w:rPr>
          <w:color w:val="231F20"/>
          <w:spacing w:val="2"/>
          <w:sz w:val="13"/>
        </w:rPr>
        <w:t xml:space="preserve"> </w:t>
      </w:r>
      <w:r>
        <w:rPr>
          <w:color w:val="231F20"/>
          <w:sz w:val="13"/>
        </w:rPr>
        <w:t>Approaches</w:t>
      </w:r>
      <w:r>
        <w:rPr>
          <w:color w:val="231F20"/>
          <w:spacing w:val="3"/>
          <w:sz w:val="13"/>
        </w:rPr>
        <w:t xml:space="preserve"> </w:t>
      </w:r>
      <w:r>
        <w:rPr>
          <w:color w:val="231F20"/>
          <w:sz w:val="13"/>
        </w:rPr>
        <w:t>for</w:t>
      </w:r>
      <w:r>
        <w:rPr>
          <w:color w:val="231F20"/>
          <w:spacing w:val="2"/>
          <w:sz w:val="13"/>
        </w:rPr>
        <w:t xml:space="preserve"> </w:t>
      </w:r>
      <w:r>
        <w:rPr>
          <w:color w:val="231F20"/>
          <w:sz w:val="13"/>
        </w:rPr>
        <w:t>Stalking’</w:t>
      </w:r>
      <w:r>
        <w:rPr>
          <w:color w:val="231F20"/>
          <w:spacing w:val="2"/>
          <w:sz w:val="13"/>
        </w:rPr>
        <w:t xml:space="preserve"> </w:t>
      </w:r>
      <w:r>
        <w:rPr>
          <w:color w:val="231F20"/>
          <w:sz w:val="13"/>
        </w:rPr>
        <w:t>in</w:t>
      </w:r>
      <w:r>
        <w:rPr>
          <w:color w:val="231F20"/>
          <w:spacing w:val="3"/>
          <w:sz w:val="13"/>
        </w:rPr>
        <w:t xml:space="preserve"> </w:t>
      </w:r>
      <w:r>
        <w:rPr>
          <w:color w:val="231F20"/>
          <w:sz w:val="13"/>
        </w:rPr>
        <w:t>Jane</w:t>
      </w:r>
      <w:r>
        <w:rPr>
          <w:color w:val="231F20"/>
          <w:spacing w:val="2"/>
          <w:sz w:val="13"/>
        </w:rPr>
        <w:t xml:space="preserve"> </w:t>
      </w:r>
      <w:r>
        <w:rPr>
          <w:color w:val="231F20"/>
          <w:sz w:val="13"/>
        </w:rPr>
        <w:t>L</w:t>
      </w:r>
      <w:r>
        <w:rPr>
          <w:color w:val="231F20"/>
          <w:spacing w:val="2"/>
          <w:sz w:val="13"/>
        </w:rPr>
        <w:t xml:space="preserve"> </w:t>
      </w:r>
      <w:r>
        <w:rPr>
          <w:color w:val="231F20"/>
          <w:sz w:val="13"/>
        </w:rPr>
        <w:t>Ireland,</w:t>
      </w:r>
      <w:r>
        <w:rPr>
          <w:color w:val="231F20"/>
          <w:spacing w:val="2"/>
          <w:sz w:val="13"/>
        </w:rPr>
        <w:t xml:space="preserve"> </w:t>
      </w:r>
      <w:r>
        <w:rPr>
          <w:color w:val="231F20"/>
          <w:sz w:val="13"/>
        </w:rPr>
        <w:t>Carol</w:t>
      </w:r>
      <w:r>
        <w:rPr>
          <w:color w:val="231F20"/>
          <w:spacing w:val="3"/>
          <w:sz w:val="13"/>
        </w:rPr>
        <w:t xml:space="preserve"> </w:t>
      </w:r>
      <w:r>
        <w:rPr>
          <w:color w:val="231F20"/>
          <w:sz w:val="13"/>
        </w:rPr>
        <w:t>A</w:t>
      </w:r>
      <w:r>
        <w:rPr>
          <w:color w:val="231F20"/>
          <w:spacing w:val="2"/>
          <w:sz w:val="13"/>
        </w:rPr>
        <w:t xml:space="preserve"> </w:t>
      </w:r>
      <w:r>
        <w:rPr>
          <w:color w:val="231F20"/>
          <w:sz w:val="13"/>
        </w:rPr>
        <w:t>Ireland</w:t>
      </w:r>
      <w:r>
        <w:rPr>
          <w:color w:val="231F20"/>
          <w:spacing w:val="2"/>
          <w:sz w:val="13"/>
        </w:rPr>
        <w:t xml:space="preserve"> </w:t>
      </w:r>
      <w:r>
        <w:rPr>
          <w:color w:val="231F20"/>
          <w:sz w:val="13"/>
        </w:rPr>
        <w:t>and</w:t>
      </w:r>
      <w:r>
        <w:rPr>
          <w:color w:val="231F20"/>
          <w:spacing w:val="3"/>
          <w:sz w:val="13"/>
        </w:rPr>
        <w:t xml:space="preserve"> </w:t>
      </w:r>
      <w:r>
        <w:rPr>
          <w:color w:val="231F20"/>
          <w:sz w:val="13"/>
        </w:rPr>
        <w:t>Philip</w:t>
      </w:r>
      <w:r>
        <w:rPr>
          <w:color w:val="231F20"/>
          <w:spacing w:val="2"/>
          <w:sz w:val="13"/>
        </w:rPr>
        <w:t xml:space="preserve"> </w:t>
      </w:r>
      <w:r>
        <w:rPr>
          <w:color w:val="231F20"/>
          <w:sz w:val="13"/>
        </w:rPr>
        <w:t>Birch</w:t>
      </w:r>
      <w:r>
        <w:rPr>
          <w:color w:val="231F20"/>
          <w:spacing w:val="2"/>
          <w:sz w:val="13"/>
        </w:rPr>
        <w:t xml:space="preserve"> </w:t>
      </w:r>
      <w:r>
        <w:rPr>
          <w:color w:val="231F20"/>
          <w:sz w:val="13"/>
        </w:rPr>
        <w:t>(eds),</w:t>
      </w:r>
    </w:p>
    <w:p w14:paraId="32CE14F1" w14:textId="77777777" w:rsidR="00894070" w:rsidRDefault="009B7AFD">
      <w:pPr>
        <w:spacing w:line="160" w:lineRule="exact"/>
        <w:ind w:left="933"/>
        <w:rPr>
          <w:sz w:val="13"/>
        </w:rPr>
      </w:pPr>
      <w:r>
        <w:rPr>
          <w:i/>
          <w:color w:val="231F20"/>
          <w:sz w:val="13"/>
        </w:rPr>
        <w:t xml:space="preserve">Violent and Sexual Offenders: Assessment, Treatment and Management </w:t>
      </w:r>
      <w:r>
        <w:rPr>
          <w:color w:val="231F20"/>
          <w:sz w:val="13"/>
        </w:rPr>
        <w:t>(Routledge, 2nd ed, 2018) 400.</w:t>
      </w:r>
    </w:p>
    <w:p w14:paraId="27063553" w14:textId="77777777" w:rsidR="00894070" w:rsidRDefault="009B7AFD">
      <w:pPr>
        <w:pStyle w:val="ListParagraph"/>
        <w:numPr>
          <w:ilvl w:val="0"/>
          <w:numId w:val="33"/>
        </w:numPr>
        <w:tabs>
          <w:tab w:val="left" w:pos="933"/>
          <w:tab w:val="left" w:pos="934"/>
        </w:tabs>
        <w:spacing w:before="6" w:line="213" w:lineRule="auto"/>
        <w:ind w:left="933" w:right="1350" w:hanging="793"/>
        <w:jc w:val="both"/>
        <w:rPr>
          <w:color w:val="231F20"/>
          <w:sz w:val="13"/>
        </w:rPr>
      </w:pPr>
      <w:r>
        <w:rPr>
          <w:color w:val="231F20"/>
          <w:sz w:val="13"/>
        </w:rPr>
        <w:t xml:space="preserve">On the </w:t>
      </w:r>
      <w:r>
        <w:rPr>
          <w:color w:val="231F20"/>
          <w:spacing w:val="2"/>
          <w:sz w:val="13"/>
        </w:rPr>
        <w:t xml:space="preserve">general </w:t>
      </w:r>
      <w:r>
        <w:rPr>
          <w:color w:val="231F20"/>
          <w:sz w:val="13"/>
        </w:rPr>
        <w:t xml:space="preserve">need for perpetrator interventions to respond to diverse </w:t>
      </w:r>
      <w:r>
        <w:rPr>
          <w:color w:val="231F20"/>
          <w:spacing w:val="2"/>
          <w:sz w:val="13"/>
        </w:rPr>
        <w:t xml:space="preserve">needs </w:t>
      </w:r>
      <w:r>
        <w:rPr>
          <w:color w:val="231F20"/>
          <w:sz w:val="13"/>
        </w:rPr>
        <w:t xml:space="preserve">and experiences: Donna Chung et </w:t>
      </w:r>
      <w:r>
        <w:rPr>
          <w:color w:val="231F20"/>
          <w:spacing w:val="2"/>
          <w:sz w:val="13"/>
        </w:rPr>
        <w:t xml:space="preserve">al, </w:t>
      </w:r>
      <w:r>
        <w:rPr>
          <w:i/>
          <w:color w:val="231F20"/>
          <w:sz w:val="13"/>
        </w:rPr>
        <w:t xml:space="preserve">Improved Accountability: The Role of Perpetrator Intervention Systems </w:t>
      </w:r>
      <w:r>
        <w:rPr>
          <w:color w:val="231F20"/>
          <w:sz w:val="13"/>
        </w:rPr>
        <w:t xml:space="preserve">(Research </w:t>
      </w:r>
      <w:r>
        <w:rPr>
          <w:color w:val="231F20"/>
          <w:spacing w:val="2"/>
          <w:sz w:val="13"/>
        </w:rPr>
        <w:t xml:space="preserve">Report </w:t>
      </w:r>
      <w:r>
        <w:rPr>
          <w:color w:val="231F20"/>
          <w:sz w:val="13"/>
        </w:rPr>
        <w:t xml:space="preserve">No 20, ANROWS, June 2020) 9; </w:t>
      </w:r>
      <w:r>
        <w:rPr>
          <w:i/>
          <w:color w:val="231F20"/>
          <w:sz w:val="13"/>
        </w:rPr>
        <w:t xml:space="preserve">Royal Commission into Family Violence: </w:t>
      </w:r>
      <w:r>
        <w:rPr>
          <w:i/>
          <w:color w:val="231F20"/>
          <w:spacing w:val="2"/>
          <w:sz w:val="13"/>
        </w:rPr>
        <w:t xml:space="preserve">Report </w:t>
      </w:r>
      <w:r>
        <w:rPr>
          <w:i/>
          <w:color w:val="231F20"/>
          <w:sz w:val="13"/>
        </w:rPr>
        <w:t xml:space="preserve">and Recommendations </w:t>
      </w:r>
      <w:r>
        <w:rPr>
          <w:color w:val="231F20"/>
          <w:sz w:val="13"/>
        </w:rPr>
        <w:t xml:space="preserve">(Final </w:t>
      </w:r>
      <w:r>
        <w:rPr>
          <w:color w:val="231F20"/>
          <w:spacing w:val="2"/>
          <w:sz w:val="13"/>
        </w:rPr>
        <w:t xml:space="preserve">Report, </w:t>
      </w:r>
      <w:r>
        <w:rPr>
          <w:color w:val="231F20"/>
          <w:sz w:val="13"/>
        </w:rPr>
        <w:t xml:space="preserve">March 2016) vol </w:t>
      </w:r>
      <w:r>
        <w:rPr>
          <w:color w:val="231F20"/>
          <w:spacing w:val="2"/>
          <w:sz w:val="13"/>
        </w:rPr>
        <w:t>3,</w:t>
      </w:r>
      <w:r>
        <w:rPr>
          <w:color w:val="231F20"/>
          <w:spacing w:val="9"/>
          <w:sz w:val="13"/>
        </w:rPr>
        <w:t xml:space="preserve"> </w:t>
      </w:r>
      <w:r>
        <w:rPr>
          <w:color w:val="231F20"/>
          <w:sz w:val="13"/>
        </w:rPr>
        <w:t>278–280.</w:t>
      </w:r>
    </w:p>
    <w:p w14:paraId="3438677A" w14:textId="77777777" w:rsidR="00894070" w:rsidRDefault="009B7AFD">
      <w:pPr>
        <w:pStyle w:val="ListParagraph"/>
        <w:numPr>
          <w:ilvl w:val="0"/>
          <w:numId w:val="33"/>
        </w:numPr>
        <w:tabs>
          <w:tab w:val="left" w:pos="933"/>
          <w:tab w:val="left" w:pos="934"/>
        </w:tabs>
        <w:spacing w:line="152" w:lineRule="exact"/>
        <w:ind w:left="933" w:hanging="793"/>
        <w:jc w:val="left"/>
        <w:rPr>
          <w:i/>
          <w:color w:val="231F20"/>
          <w:sz w:val="13"/>
        </w:rPr>
      </w:pPr>
      <w:r>
        <w:rPr>
          <w:color w:val="231F20"/>
          <w:sz w:val="13"/>
        </w:rPr>
        <w:t xml:space="preserve">Consultation 36 (Forensicare (No 2)); </w:t>
      </w:r>
      <w:r>
        <w:rPr>
          <w:color w:val="231F20"/>
          <w:spacing w:val="2"/>
          <w:sz w:val="13"/>
        </w:rPr>
        <w:t xml:space="preserve">Rosemary </w:t>
      </w:r>
      <w:r>
        <w:rPr>
          <w:color w:val="231F20"/>
          <w:sz w:val="13"/>
        </w:rPr>
        <w:t xml:space="preserve">Purcell et </w:t>
      </w:r>
      <w:r>
        <w:rPr>
          <w:color w:val="231F20"/>
          <w:spacing w:val="2"/>
          <w:sz w:val="13"/>
        </w:rPr>
        <w:t xml:space="preserve">al, ‘Stalking </w:t>
      </w:r>
      <w:r>
        <w:rPr>
          <w:color w:val="231F20"/>
          <w:sz w:val="13"/>
        </w:rPr>
        <w:t xml:space="preserve">among Juveniles’ (2009) </w:t>
      </w:r>
      <w:r>
        <w:rPr>
          <w:color w:val="231F20"/>
          <w:spacing w:val="2"/>
          <w:sz w:val="13"/>
        </w:rPr>
        <w:t xml:space="preserve">194(5) </w:t>
      </w:r>
      <w:r>
        <w:rPr>
          <w:i/>
          <w:color w:val="231F20"/>
          <w:sz w:val="13"/>
        </w:rPr>
        <w:t>British Journal of</w:t>
      </w:r>
      <w:r>
        <w:rPr>
          <w:i/>
          <w:color w:val="231F20"/>
          <w:spacing w:val="2"/>
          <w:sz w:val="13"/>
        </w:rPr>
        <w:t xml:space="preserve"> </w:t>
      </w:r>
      <w:r>
        <w:rPr>
          <w:i/>
          <w:color w:val="231F20"/>
          <w:sz w:val="13"/>
        </w:rPr>
        <w:t>Psychiatry</w:t>
      </w:r>
    </w:p>
    <w:p w14:paraId="72E6813E" w14:textId="77777777" w:rsidR="00894070" w:rsidRDefault="009B7AFD">
      <w:pPr>
        <w:spacing w:line="160" w:lineRule="exact"/>
        <w:ind w:left="933"/>
        <w:rPr>
          <w:sz w:val="13"/>
        </w:rPr>
      </w:pPr>
      <w:r>
        <w:rPr>
          <w:color w:val="231F20"/>
          <w:sz w:val="13"/>
        </w:rPr>
        <w:t>451.</w:t>
      </w:r>
    </w:p>
    <w:p w14:paraId="0FF92422" w14:textId="77777777" w:rsidR="00894070" w:rsidRDefault="009B7AFD">
      <w:pPr>
        <w:pStyle w:val="ListParagraph"/>
        <w:numPr>
          <w:ilvl w:val="0"/>
          <w:numId w:val="30"/>
        </w:numPr>
        <w:tabs>
          <w:tab w:val="left" w:pos="933"/>
          <w:tab w:val="left" w:pos="934"/>
        </w:tabs>
        <w:spacing w:line="160" w:lineRule="exact"/>
        <w:ind w:hanging="793"/>
        <w:rPr>
          <w:sz w:val="13"/>
        </w:rPr>
      </w:pPr>
      <w:r>
        <w:rPr>
          <w:color w:val="231F20"/>
          <w:spacing w:val="2"/>
          <w:sz w:val="13"/>
        </w:rPr>
        <w:t xml:space="preserve">Submission </w:t>
      </w:r>
      <w:r>
        <w:rPr>
          <w:color w:val="231F20"/>
          <w:sz w:val="13"/>
        </w:rPr>
        <w:t>100</w:t>
      </w:r>
      <w:r>
        <w:rPr>
          <w:color w:val="231F20"/>
          <w:spacing w:val="-3"/>
          <w:sz w:val="13"/>
        </w:rPr>
        <w:t xml:space="preserve"> </w:t>
      </w:r>
      <w:r>
        <w:rPr>
          <w:color w:val="231F20"/>
          <w:sz w:val="13"/>
        </w:rPr>
        <w:t>(Forensicare).</w:t>
      </w:r>
    </w:p>
    <w:p w14:paraId="63EBE286" w14:textId="77777777" w:rsidR="00894070" w:rsidRDefault="009B7AFD">
      <w:pPr>
        <w:pStyle w:val="ListParagraph"/>
        <w:numPr>
          <w:ilvl w:val="0"/>
          <w:numId w:val="30"/>
        </w:numPr>
        <w:tabs>
          <w:tab w:val="left" w:pos="933"/>
          <w:tab w:val="left" w:pos="934"/>
        </w:tabs>
        <w:spacing w:line="160" w:lineRule="exact"/>
        <w:ind w:hanging="793"/>
        <w:rPr>
          <w:sz w:val="13"/>
        </w:rPr>
      </w:pPr>
      <w:r>
        <w:rPr>
          <w:color w:val="231F20"/>
          <w:sz w:val="13"/>
        </w:rPr>
        <w:t>Ibid.</w:t>
      </w:r>
    </w:p>
    <w:p w14:paraId="6B5E1508" w14:textId="77777777" w:rsidR="00894070" w:rsidRDefault="009B7AFD">
      <w:pPr>
        <w:pStyle w:val="ListParagraph"/>
        <w:numPr>
          <w:ilvl w:val="0"/>
          <w:numId w:val="30"/>
        </w:numPr>
        <w:tabs>
          <w:tab w:val="left" w:pos="933"/>
          <w:tab w:val="left" w:pos="934"/>
        </w:tabs>
        <w:spacing w:before="6" w:line="213" w:lineRule="auto"/>
        <w:ind w:right="1294" w:hanging="793"/>
        <w:rPr>
          <w:sz w:val="13"/>
        </w:rPr>
      </w:pPr>
      <w:r>
        <w:rPr>
          <w:color w:val="231F20"/>
          <w:spacing w:val="2"/>
          <w:sz w:val="13"/>
        </w:rPr>
        <w:t xml:space="preserve">Submission </w:t>
      </w:r>
      <w:r>
        <w:rPr>
          <w:color w:val="231F20"/>
          <w:sz w:val="13"/>
        </w:rPr>
        <w:t xml:space="preserve">98 (Law Institute of Victoria); Consultation 13 (Victoria Legal Aid); Rachel Mackenzie et </w:t>
      </w:r>
      <w:r>
        <w:rPr>
          <w:color w:val="231F20"/>
          <w:spacing w:val="2"/>
          <w:sz w:val="13"/>
        </w:rPr>
        <w:t xml:space="preserve">al, </w:t>
      </w:r>
      <w:r>
        <w:rPr>
          <w:color w:val="231F20"/>
          <w:sz w:val="13"/>
        </w:rPr>
        <w:t xml:space="preserve">‘Stalkers and Intelligence: </w:t>
      </w:r>
      <w:r>
        <w:rPr>
          <w:color w:val="231F20"/>
          <w:spacing w:val="2"/>
          <w:sz w:val="13"/>
        </w:rPr>
        <w:t xml:space="preserve">Implications </w:t>
      </w:r>
      <w:r>
        <w:rPr>
          <w:color w:val="231F20"/>
          <w:sz w:val="13"/>
        </w:rPr>
        <w:t xml:space="preserve">for Treatment’ (2010) 21 </w:t>
      </w:r>
      <w:r>
        <w:rPr>
          <w:i/>
          <w:color w:val="231F20"/>
          <w:sz w:val="13"/>
        </w:rPr>
        <w:t xml:space="preserve">Journal of Forensic Psychiatry &amp; Psychology </w:t>
      </w:r>
      <w:r>
        <w:rPr>
          <w:color w:val="231F20"/>
          <w:sz w:val="13"/>
        </w:rPr>
        <w:t xml:space="preserve">852; 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w:t>
      </w:r>
      <w:r>
        <w:rPr>
          <w:color w:val="231F20"/>
          <w:spacing w:val="17"/>
          <w:sz w:val="13"/>
        </w:rPr>
        <w:t xml:space="preserve"> </w:t>
      </w:r>
      <w:r>
        <w:rPr>
          <w:color w:val="231F20"/>
          <w:spacing w:val="2"/>
          <w:sz w:val="13"/>
        </w:rPr>
        <w:t>48.</w:t>
      </w:r>
    </w:p>
    <w:p w14:paraId="1359B265" w14:textId="77777777" w:rsidR="00894070" w:rsidRDefault="009B7AFD">
      <w:pPr>
        <w:pStyle w:val="ListParagraph"/>
        <w:numPr>
          <w:ilvl w:val="0"/>
          <w:numId w:val="30"/>
        </w:numPr>
        <w:tabs>
          <w:tab w:val="left" w:pos="933"/>
          <w:tab w:val="left" w:pos="934"/>
        </w:tabs>
        <w:spacing w:line="152" w:lineRule="exact"/>
        <w:ind w:hanging="793"/>
        <w:rPr>
          <w:sz w:val="13"/>
        </w:rPr>
      </w:pPr>
      <w:r>
        <w:rPr>
          <w:color w:val="231F20"/>
          <w:spacing w:val="2"/>
          <w:sz w:val="13"/>
        </w:rPr>
        <w:t xml:space="preserve">Submission </w:t>
      </w:r>
      <w:r>
        <w:rPr>
          <w:color w:val="231F20"/>
          <w:sz w:val="13"/>
        </w:rPr>
        <w:t>98 (Law Institute of</w:t>
      </w:r>
      <w:r>
        <w:rPr>
          <w:color w:val="231F20"/>
          <w:spacing w:val="-2"/>
          <w:sz w:val="13"/>
        </w:rPr>
        <w:t xml:space="preserve"> </w:t>
      </w:r>
      <w:r>
        <w:rPr>
          <w:color w:val="231F20"/>
          <w:sz w:val="13"/>
        </w:rPr>
        <w:t>Victoria).</w:t>
      </w:r>
    </w:p>
    <w:p w14:paraId="731D821D" w14:textId="77777777" w:rsidR="00894070" w:rsidRDefault="009B7AFD">
      <w:pPr>
        <w:pStyle w:val="ListParagraph"/>
        <w:numPr>
          <w:ilvl w:val="0"/>
          <w:numId w:val="30"/>
        </w:numPr>
        <w:tabs>
          <w:tab w:val="left" w:pos="933"/>
          <w:tab w:val="left" w:pos="934"/>
        </w:tabs>
        <w:spacing w:before="7" w:line="213" w:lineRule="auto"/>
        <w:ind w:right="1485" w:hanging="793"/>
        <w:rPr>
          <w:sz w:val="13"/>
        </w:rPr>
      </w:pPr>
      <w:r>
        <w:rPr>
          <w:color w:val="231F20"/>
          <w:spacing w:val="-3"/>
          <w:sz w:val="13"/>
        </w:rPr>
        <w:t xml:space="preserve">Troy </w:t>
      </w:r>
      <w:r>
        <w:rPr>
          <w:color w:val="231F20"/>
          <w:sz w:val="13"/>
        </w:rPr>
        <w:t xml:space="preserve">E McEwan and </w:t>
      </w:r>
      <w:r>
        <w:rPr>
          <w:color w:val="231F20"/>
          <w:spacing w:val="2"/>
          <w:sz w:val="13"/>
        </w:rPr>
        <w:t xml:space="preserve">Susanne </w:t>
      </w:r>
      <w:r>
        <w:rPr>
          <w:color w:val="231F20"/>
          <w:sz w:val="13"/>
        </w:rPr>
        <w:t xml:space="preserve">Strand, ‘The Role of Psychopathology in Stalking by Adult Strangers and Acquaintances’ (2013) 47(6) </w:t>
      </w:r>
      <w:r>
        <w:rPr>
          <w:i/>
          <w:color w:val="231F20"/>
          <w:sz w:val="13"/>
        </w:rPr>
        <w:t xml:space="preserve">Australian and New Zealand Journal of Psychiatry </w:t>
      </w:r>
      <w:r>
        <w:rPr>
          <w:color w:val="231F20"/>
          <w:sz w:val="13"/>
        </w:rPr>
        <w:t>546,</w:t>
      </w:r>
      <w:r>
        <w:rPr>
          <w:color w:val="231F20"/>
          <w:spacing w:val="3"/>
          <w:sz w:val="13"/>
        </w:rPr>
        <w:t xml:space="preserve"> </w:t>
      </w:r>
      <w:r>
        <w:rPr>
          <w:color w:val="231F20"/>
          <w:sz w:val="13"/>
        </w:rPr>
        <w:t>547.</w:t>
      </w:r>
    </w:p>
    <w:p w14:paraId="4E157FEE" w14:textId="77777777" w:rsidR="00894070" w:rsidRDefault="009B7AFD">
      <w:pPr>
        <w:pStyle w:val="ListParagraph"/>
        <w:numPr>
          <w:ilvl w:val="0"/>
          <w:numId w:val="30"/>
        </w:numPr>
        <w:tabs>
          <w:tab w:val="left" w:pos="933"/>
          <w:tab w:val="left" w:pos="934"/>
        </w:tabs>
        <w:spacing w:line="153" w:lineRule="exact"/>
        <w:ind w:hanging="793"/>
        <w:rPr>
          <w:sz w:val="13"/>
        </w:rPr>
      </w:pPr>
      <w:r>
        <w:rPr>
          <w:color w:val="231F20"/>
          <w:sz w:val="13"/>
        </w:rPr>
        <w:t>Ibid 547.</w:t>
      </w:r>
    </w:p>
    <w:p w14:paraId="29D9AECB" w14:textId="77777777" w:rsidR="00894070" w:rsidRDefault="009B7AFD">
      <w:pPr>
        <w:pStyle w:val="ListParagraph"/>
        <w:numPr>
          <w:ilvl w:val="0"/>
          <w:numId w:val="30"/>
        </w:numPr>
        <w:tabs>
          <w:tab w:val="left" w:pos="933"/>
          <w:tab w:val="left" w:pos="934"/>
        </w:tabs>
        <w:spacing w:line="160" w:lineRule="exact"/>
        <w:ind w:hanging="793"/>
        <w:rPr>
          <w:sz w:val="13"/>
        </w:rPr>
      </w:pPr>
      <w:r>
        <w:rPr>
          <w:color w:val="231F20"/>
          <w:spacing w:val="2"/>
          <w:sz w:val="13"/>
        </w:rPr>
        <w:t xml:space="preserve">Submission </w:t>
      </w:r>
      <w:r>
        <w:rPr>
          <w:color w:val="231F20"/>
          <w:sz w:val="13"/>
        </w:rPr>
        <w:t>100</w:t>
      </w:r>
      <w:r>
        <w:rPr>
          <w:color w:val="231F20"/>
          <w:spacing w:val="-4"/>
          <w:sz w:val="13"/>
        </w:rPr>
        <w:t xml:space="preserve"> </w:t>
      </w:r>
      <w:r>
        <w:rPr>
          <w:color w:val="231F20"/>
          <w:sz w:val="13"/>
        </w:rPr>
        <w:t>(Forensicare).</w:t>
      </w:r>
    </w:p>
    <w:p w14:paraId="1F1379B7" w14:textId="77777777" w:rsidR="00894070" w:rsidRDefault="009B7AFD">
      <w:pPr>
        <w:pStyle w:val="ListParagraph"/>
        <w:numPr>
          <w:ilvl w:val="0"/>
          <w:numId w:val="30"/>
        </w:numPr>
        <w:tabs>
          <w:tab w:val="left" w:pos="933"/>
          <w:tab w:val="left" w:pos="934"/>
        </w:tabs>
        <w:spacing w:before="6" w:line="213" w:lineRule="auto"/>
        <w:ind w:right="1432" w:hanging="793"/>
        <w:rPr>
          <w:sz w:val="13"/>
        </w:rPr>
      </w:pPr>
      <w:r>
        <w:rPr>
          <w:color w:val="231F20"/>
          <w:sz w:val="13"/>
        </w:rPr>
        <w:t>Kritika Jerath, Lisa Tompson and Jyoti Belur, ‘Treating and Managing Stalking Offenders:  Findings  from  a  Multi-Agency Clinical</w:t>
      </w:r>
      <w:r>
        <w:rPr>
          <w:color w:val="231F20"/>
          <w:spacing w:val="10"/>
          <w:sz w:val="13"/>
        </w:rPr>
        <w:t xml:space="preserve"> </w:t>
      </w:r>
      <w:r>
        <w:rPr>
          <w:color w:val="231F20"/>
          <w:sz w:val="13"/>
        </w:rPr>
        <w:t>Intervention’</w:t>
      </w:r>
      <w:r>
        <w:rPr>
          <w:color w:val="231F20"/>
          <w:spacing w:val="9"/>
          <w:sz w:val="13"/>
        </w:rPr>
        <w:t xml:space="preserve"> </w:t>
      </w:r>
      <w:r>
        <w:rPr>
          <w:i/>
          <w:color w:val="231F20"/>
          <w:sz w:val="13"/>
        </w:rPr>
        <w:t>Psychology,</w:t>
      </w:r>
      <w:r>
        <w:rPr>
          <w:i/>
          <w:color w:val="231F20"/>
          <w:spacing w:val="9"/>
          <w:sz w:val="13"/>
        </w:rPr>
        <w:t xml:space="preserve"> </w:t>
      </w:r>
      <w:r>
        <w:rPr>
          <w:i/>
          <w:color w:val="231F20"/>
          <w:sz w:val="13"/>
        </w:rPr>
        <w:t>Crime</w:t>
      </w:r>
      <w:r>
        <w:rPr>
          <w:i/>
          <w:color w:val="231F20"/>
          <w:spacing w:val="10"/>
          <w:sz w:val="13"/>
        </w:rPr>
        <w:t xml:space="preserve"> </w:t>
      </w:r>
      <w:r>
        <w:rPr>
          <w:i/>
          <w:color w:val="231F20"/>
          <w:sz w:val="13"/>
        </w:rPr>
        <w:t>&amp;</w:t>
      </w:r>
      <w:r>
        <w:rPr>
          <w:i/>
          <w:color w:val="231F20"/>
          <w:spacing w:val="10"/>
          <w:sz w:val="13"/>
        </w:rPr>
        <w:t xml:space="preserve"> </w:t>
      </w:r>
      <w:r>
        <w:rPr>
          <w:i/>
          <w:color w:val="231F20"/>
          <w:sz w:val="13"/>
        </w:rPr>
        <w:t>Law</w:t>
      </w:r>
      <w:r>
        <w:rPr>
          <w:i/>
          <w:color w:val="231F20"/>
          <w:spacing w:val="10"/>
          <w:sz w:val="13"/>
        </w:rPr>
        <w:t xml:space="preserve"> </w:t>
      </w:r>
      <w:r>
        <w:rPr>
          <w:color w:val="231F20"/>
          <w:sz w:val="13"/>
        </w:rPr>
        <w:t>10.1080/1068316X.2022.2057981:1–25;</w:t>
      </w:r>
      <w:r>
        <w:rPr>
          <w:color w:val="231F20"/>
          <w:spacing w:val="10"/>
          <w:sz w:val="13"/>
        </w:rPr>
        <w:t xml:space="preserve"> </w:t>
      </w:r>
      <w:r>
        <w:rPr>
          <w:color w:val="231F20"/>
          <w:sz w:val="13"/>
        </w:rPr>
        <w:t>Rachel</w:t>
      </w:r>
      <w:r>
        <w:rPr>
          <w:color w:val="231F20"/>
          <w:spacing w:val="11"/>
          <w:sz w:val="13"/>
        </w:rPr>
        <w:t xml:space="preserve"> </w:t>
      </w:r>
      <w:r>
        <w:rPr>
          <w:color w:val="231F20"/>
          <w:sz w:val="13"/>
        </w:rPr>
        <w:t>D</w:t>
      </w:r>
      <w:r>
        <w:rPr>
          <w:color w:val="231F20"/>
          <w:spacing w:val="10"/>
          <w:sz w:val="13"/>
        </w:rPr>
        <w:t xml:space="preserve"> </w:t>
      </w:r>
      <w:r>
        <w:rPr>
          <w:color w:val="231F20"/>
          <w:sz w:val="13"/>
        </w:rPr>
        <w:t>MacKenzie</w:t>
      </w:r>
      <w:r>
        <w:rPr>
          <w:color w:val="231F20"/>
          <w:spacing w:val="10"/>
          <w:sz w:val="13"/>
        </w:rPr>
        <w:t xml:space="preserve"> </w:t>
      </w:r>
      <w:r>
        <w:rPr>
          <w:color w:val="231F20"/>
          <w:sz w:val="13"/>
        </w:rPr>
        <w:t>and</w:t>
      </w:r>
      <w:r>
        <w:rPr>
          <w:color w:val="231F20"/>
          <w:spacing w:val="10"/>
          <w:sz w:val="13"/>
        </w:rPr>
        <w:t xml:space="preserve"> </w:t>
      </w:r>
      <w:r>
        <w:rPr>
          <w:color w:val="231F20"/>
          <w:sz w:val="13"/>
        </w:rPr>
        <w:t>David</w:t>
      </w:r>
      <w:r>
        <w:rPr>
          <w:color w:val="231F20"/>
          <w:spacing w:val="10"/>
          <w:sz w:val="13"/>
        </w:rPr>
        <w:t xml:space="preserve"> </w:t>
      </w:r>
      <w:r>
        <w:rPr>
          <w:color w:val="231F20"/>
          <w:sz w:val="13"/>
        </w:rPr>
        <w:t>V</w:t>
      </w:r>
      <w:r>
        <w:rPr>
          <w:color w:val="231F20"/>
          <w:spacing w:val="10"/>
          <w:sz w:val="13"/>
        </w:rPr>
        <w:t xml:space="preserve"> </w:t>
      </w:r>
      <w:r>
        <w:rPr>
          <w:color w:val="231F20"/>
          <w:sz w:val="13"/>
        </w:rPr>
        <w:t>James,</w:t>
      </w:r>
    </w:p>
    <w:p w14:paraId="49311E66" w14:textId="77777777" w:rsidR="00894070" w:rsidRDefault="009B7AFD">
      <w:pPr>
        <w:spacing w:line="213" w:lineRule="auto"/>
        <w:ind w:left="933" w:right="1312"/>
        <w:rPr>
          <w:sz w:val="13"/>
        </w:rPr>
      </w:pPr>
      <w:r>
        <w:rPr>
          <w:color w:val="231F20"/>
          <w:sz w:val="13"/>
        </w:rPr>
        <w:t xml:space="preserve">‘Management and Treatment of Stalkers: Problems, Options, and Solutions’ (2011) 29(2) </w:t>
      </w:r>
      <w:r>
        <w:rPr>
          <w:i/>
          <w:color w:val="231F20"/>
          <w:sz w:val="13"/>
        </w:rPr>
        <w:t xml:space="preserve">Behavioral Sciences &amp; the Law </w:t>
      </w:r>
      <w:r>
        <w:rPr>
          <w:color w:val="231F20"/>
          <w:sz w:val="13"/>
        </w:rPr>
        <w:t xml:space="preserve">220; Britta Ostermeyer et al, ‘Stalking and Violence’ (2016) 39(4) </w:t>
      </w:r>
      <w:r>
        <w:rPr>
          <w:i/>
          <w:color w:val="231F20"/>
          <w:sz w:val="13"/>
        </w:rPr>
        <w:t xml:space="preserve">Psychiatric Clinics </w:t>
      </w:r>
      <w:r>
        <w:rPr>
          <w:color w:val="231F20"/>
          <w:sz w:val="13"/>
        </w:rPr>
        <w:t xml:space="preserve">663; Rosemary Purcell and Troy McEwan, ‘Treatment Approaches for Stalking’ in Jane L Ireland, Carol A Ireland and Philip Birch (eds), </w:t>
      </w:r>
      <w:r>
        <w:rPr>
          <w:i/>
          <w:color w:val="231F20"/>
          <w:sz w:val="13"/>
        </w:rPr>
        <w:t xml:space="preserve">Violent and Sexual Offenders: Assessment, Treatment and Management </w:t>
      </w:r>
      <w:r>
        <w:rPr>
          <w:color w:val="231F20"/>
          <w:sz w:val="13"/>
        </w:rPr>
        <w:t>(Routledge, 2nd ed, 2018) 400.</w:t>
      </w:r>
    </w:p>
    <w:p w14:paraId="7C67FC61" w14:textId="77777777" w:rsidR="00894070" w:rsidRDefault="009B7AFD">
      <w:pPr>
        <w:pStyle w:val="ListParagraph"/>
        <w:numPr>
          <w:ilvl w:val="0"/>
          <w:numId w:val="30"/>
        </w:numPr>
        <w:tabs>
          <w:tab w:val="left" w:pos="933"/>
          <w:tab w:val="left" w:pos="934"/>
        </w:tabs>
        <w:spacing w:line="151" w:lineRule="exact"/>
        <w:ind w:hanging="793"/>
        <w:rPr>
          <w:sz w:val="13"/>
        </w:rPr>
      </w:pPr>
      <w:r>
        <w:rPr>
          <w:color w:val="231F20"/>
          <w:spacing w:val="2"/>
          <w:sz w:val="13"/>
        </w:rPr>
        <w:t xml:space="preserve">Submission </w:t>
      </w:r>
      <w:r>
        <w:rPr>
          <w:color w:val="231F20"/>
          <w:sz w:val="13"/>
        </w:rPr>
        <w:t>100</w:t>
      </w:r>
      <w:r>
        <w:rPr>
          <w:color w:val="231F20"/>
          <w:spacing w:val="-3"/>
          <w:sz w:val="13"/>
        </w:rPr>
        <w:t xml:space="preserve"> </w:t>
      </w:r>
      <w:r>
        <w:rPr>
          <w:color w:val="231F20"/>
          <w:sz w:val="13"/>
        </w:rPr>
        <w:t>(Forensicare).</w:t>
      </w:r>
    </w:p>
    <w:p w14:paraId="3C4A0076" w14:textId="77777777" w:rsidR="00894070" w:rsidRDefault="009B7AFD">
      <w:pPr>
        <w:pStyle w:val="ListParagraph"/>
        <w:numPr>
          <w:ilvl w:val="0"/>
          <w:numId w:val="30"/>
        </w:numPr>
        <w:tabs>
          <w:tab w:val="left" w:pos="933"/>
          <w:tab w:val="left" w:pos="934"/>
        </w:tabs>
        <w:spacing w:line="160" w:lineRule="exact"/>
        <w:ind w:hanging="793"/>
        <w:rPr>
          <w:sz w:val="13"/>
        </w:rPr>
      </w:pPr>
      <w:r>
        <w:rPr>
          <w:color w:val="231F20"/>
          <w:spacing w:val="2"/>
          <w:sz w:val="13"/>
        </w:rPr>
        <w:t xml:space="preserve">Submission </w:t>
      </w:r>
      <w:r>
        <w:rPr>
          <w:color w:val="231F20"/>
          <w:sz w:val="13"/>
        </w:rPr>
        <w:t>32 (Centre for Forensic Behavioural Science).</w:t>
      </w:r>
    </w:p>
    <w:p w14:paraId="7E008601" w14:textId="77777777" w:rsidR="00894070" w:rsidRDefault="009B7AFD">
      <w:pPr>
        <w:pStyle w:val="ListParagraph"/>
        <w:numPr>
          <w:ilvl w:val="0"/>
          <w:numId w:val="30"/>
        </w:numPr>
        <w:tabs>
          <w:tab w:val="left" w:pos="933"/>
          <w:tab w:val="left" w:pos="934"/>
        </w:tabs>
        <w:spacing w:line="160" w:lineRule="exact"/>
        <w:ind w:hanging="793"/>
        <w:rPr>
          <w:sz w:val="13"/>
        </w:rPr>
      </w:pPr>
      <w:r>
        <w:rPr>
          <w:color w:val="231F20"/>
          <w:spacing w:val="2"/>
          <w:sz w:val="13"/>
        </w:rPr>
        <w:t xml:space="preserve">Rosemary </w:t>
      </w:r>
      <w:r>
        <w:rPr>
          <w:color w:val="231F20"/>
          <w:sz w:val="13"/>
        </w:rPr>
        <w:t>Purcell</w:t>
      </w:r>
      <w:r>
        <w:rPr>
          <w:color w:val="231F20"/>
          <w:spacing w:val="2"/>
          <w:sz w:val="13"/>
        </w:rPr>
        <w:t xml:space="preserve"> </w:t>
      </w:r>
      <w:r>
        <w:rPr>
          <w:color w:val="231F20"/>
          <w:sz w:val="13"/>
        </w:rPr>
        <w:t>and</w:t>
      </w:r>
      <w:r>
        <w:rPr>
          <w:color w:val="231F20"/>
          <w:spacing w:val="2"/>
          <w:sz w:val="13"/>
        </w:rPr>
        <w:t xml:space="preserve"> </w:t>
      </w:r>
      <w:r>
        <w:rPr>
          <w:color w:val="231F20"/>
          <w:spacing w:val="-3"/>
          <w:sz w:val="13"/>
        </w:rPr>
        <w:t>Troy</w:t>
      </w:r>
      <w:r>
        <w:rPr>
          <w:color w:val="231F20"/>
          <w:spacing w:val="3"/>
          <w:sz w:val="13"/>
        </w:rPr>
        <w:t xml:space="preserve"> </w:t>
      </w:r>
      <w:r>
        <w:rPr>
          <w:color w:val="231F20"/>
          <w:sz w:val="13"/>
        </w:rPr>
        <w:t>McEwan,</w:t>
      </w:r>
      <w:r>
        <w:rPr>
          <w:color w:val="231F20"/>
          <w:spacing w:val="2"/>
          <w:sz w:val="13"/>
        </w:rPr>
        <w:t xml:space="preserve"> </w:t>
      </w:r>
      <w:r>
        <w:rPr>
          <w:color w:val="231F20"/>
          <w:sz w:val="13"/>
        </w:rPr>
        <w:t>‘Treatment</w:t>
      </w:r>
      <w:r>
        <w:rPr>
          <w:color w:val="231F20"/>
          <w:spacing w:val="2"/>
          <w:sz w:val="13"/>
        </w:rPr>
        <w:t xml:space="preserve"> </w:t>
      </w:r>
      <w:r>
        <w:rPr>
          <w:color w:val="231F20"/>
          <w:sz w:val="13"/>
        </w:rPr>
        <w:t>Approaches</w:t>
      </w:r>
      <w:r>
        <w:rPr>
          <w:color w:val="231F20"/>
          <w:spacing w:val="3"/>
          <w:sz w:val="13"/>
        </w:rPr>
        <w:t xml:space="preserve"> </w:t>
      </w:r>
      <w:r>
        <w:rPr>
          <w:color w:val="231F20"/>
          <w:sz w:val="13"/>
        </w:rPr>
        <w:t>for</w:t>
      </w:r>
      <w:r>
        <w:rPr>
          <w:color w:val="231F20"/>
          <w:spacing w:val="2"/>
          <w:sz w:val="13"/>
        </w:rPr>
        <w:t xml:space="preserve"> </w:t>
      </w:r>
      <w:r>
        <w:rPr>
          <w:color w:val="231F20"/>
          <w:sz w:val="13"/>
        </w:rPr>
        <w:t>Stalking’</w:t>
      </w:r>
      <w:r>
        <w:rPr>
          <w:color w:val="231F20"/>
          <w:spacing w:val="2"/>
          <w:sz w:val="13"/>
        </w:rPr>
        <w:t xml:space="preserve"> </w:t>
      </w:r>
      <w:r>
        <w:rPr>
          <w:color w:val="231F20"/>
          <w:sz w:val="13"/>
        </w:rPr>
        <w:t>in</w:t>
      </w:r>
      <w:r>
        <w:rPr>
          <w:color w:val="231F20"/>
          <w:spacing w:val="3"/>
          <w:sz w:val="13"/>
        </w:rPr>
        <w:t xml:space="preserve"> </w:t>
      </w:r>
      <w:r>
        <w:rPr>
          <w:color w:val="231F20"/>
          <w:sz w:val="13"/>
        </w:rPr>
        <w:t>Jane</w:t>
      </w:r>
      <w:r>
        <w:rPr>
          <w:color w:val="231F20"/>
          <w:spacing w:val="2"/>
          <w:sz w:val="13"/>
        </w:rPr>
        <w:t xml:space="preserve"> </w:t>
      </w:r>
      <w:r>
        <w:rPr>
          <w:color w:val="231F20"/>
          <w:sz w:val="13"/>
        </w:rPr>
        <w:t>L</w:t>
      </w:r>
      <w:r>
        <w:rPr>
          <w:color w:val="231F20"/>
          <w:spacing w:val="2"/>
          <w:sz w:val="13"/>
        </w:rPr>
        <w:t xml:space="preserve"> </w:t>
      </w:r>
      <w:r>
        <w:rPr>
          <w:color w:val="231F20"/>
          <w:sz w:val="13"/>
        </w:rPr>
        <w:t>Ireland,</w:t>
      </w:r>
      <w:r>
        <w:rPr>
          <w:color w:val="231F20"/>
          <w:spacing w:val="2"/>
          <w:sz w:val="13"/>
        </w:rPr>
        <w:t xml:space="preserve"> </w:t>
      </w:r>
      <w:r>
        <w:rPr>
          <w:color w:val="231F20"/>
          <w:sz w:val="13"/>
        </w:rPr>
        <w:t>Carol</w:t>
      </w:r>
      <w:r>
        <w:rPr>
          <w:color w:val="231F20"/>
          <w:spacing w:val="3"/>
          <w:sz w:val="13"/>
        </w:rPr>
        <w:t xml:space="preserve"> </w:t>
      </w:r>
      <w:r>
        <w:rPr>
          <w:color w:val="231F20"/>
          <w:sz w:val="13"/>
        </w:rPr>
        <w:t>A</w:t>
      </w:r>
      <w:r>
        <w:rPr>
          <w:color w:val="231F20"/>
          <w:spacing w:val="2"/>
          <w:sz w:val="13"/>
        </w:rPr>
        <w:t xml:space="preserve"> </w:t>
      </w:r>
      <w:r>
        <w:rPr>
          <w:color w:val="231F20"/>
          <w:sz w:val="13"/>
        </w:rPr>
        <w:t>Ireland</w:t>
      </w:r>
      <w:r>
        <w:rPr>
          <w:color w:val="231F20"/>
          <w:spacing w:val="2"/>
          <w:sz w:val="13"/>
        </w:rPr>
        <w:t xml:space="preserve"> </w:t>
      </w:r>
      <w:r>
        <w:rPr>
          <w:color w:val="231F20"/>
          <w:sz w:val="13"/>
        </w:rPr>
        <w:t>and</w:t>
      </w:r>
      <w:r>
        <w:rPr>
          <w:color w:val="231F20"/>
          <w:spacing w:val="3"/>
          <w:sz w:val="13"/>
        </w:rPr>
        <w:t xml:space="preserve"> </w:t>
      </w:r>
      <w:r>
        <w:rPr>
          <w:color w:val="231F20"/>
          <w:sz w:val="13"/>
        </w:rPr>
        <w:t>Philip</w:t>
      </w:r>
      <w:r>
        <w:rPr>
          <w:color w:val="231F20"/>
          <w:spacing w:val="2"/>
          <w:sz w:val="13"/>
        </w:rPr>
        <w:t xml:space="preserve"> </w:t>
      </w:r>
      <w:r>
        <w:rPr>
          <w:color w:val="231F20"/>
          <w:sz w:val="13"/>
        </w:rPr>
        <w:t>Birch</w:t>
      </w:r>
      <w:r>
        <w:rPr>
          <w:color w:val="231F20"/>
          <w:spacing w:val="2"/>
          <w:sz w:val="13"/>
        </w:rPr>
        <w:t xml:space="preserve"> </w:t>
      </w:r>
      <w:r>
        <w:rPr>
          <w:color w:val="231F20"/>
          <w:sz w:val="13"/>
        </w:rPr>
        <w:t>(eds),</w:t>
      </w:r>
    </w:p>
    <w:p w14:paraId="7521DE14" w14:textId="77777777" w:rsidR="00894070" w:rsidRDefault="009B7AFD">
      <w:pPr>
        <w:spacing w:line="170" w:lineRule="exact"/>
        <w:ind w:left="933"/>
        <w:rPr>
          <w:sz w:val="13"/>
        </w:rPr>
      </w:pPr>
      <w:r>
        <w:rPr>
          <w:i/>
          <w:color w:val="231F20"/>
          <w:sz w:val="13"/>
        </w:rPr>
        <w:t xml:space="preserve">Violent and Sexual Offenders: Assessment, Treatment and Management </w:t>
      </w:r>
      <w:r>
        <w:rPr>
          <w:color w:val="231F20"/>
          <w:sz w:val="13"/>
        </w:rPr>
        <w:t>(Routledge, 2nd ed, 2018) 400, 503.</w:t>
      </w:r>
    </w:p>
    <w:p w14:paraId="2F51A013"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78" w:space="289"/>
            <w:col w:w="10043"/>
          </w:cols>
        </w:sectPr>
      </w:pPr>
    </w:p>
    <w:p w14:paraId="6976C7A6" w14:textId="77777777" w:rsidR="00894070" w:rsidRDefault="00894070">
      <w:pPr>
        <w:pStyle w:val="BodyText"/>
      </w:pPr>
    </w:p>
    <w:p w14:paraId="0CD627D7" w14:textId="77777777" w:rsidR="00894070" w:rsidRDefault="00894070">
      <w:pPr>
        <w:pStyle w:val="BodyText"/>
      </w:pPr>
    </w:p>
    <w:p w14:paraId="0EC3123D" w14:textId="77777777" w:rsidR="00894070" w:rsidRDefault="00894070">
      <w:pPr>
        <w:pStyle w:val="BodyText"/>
      </w:pPr>
    </w:p>
    <w:p w14:paraId="6C9F6B4D" w14:textId="77777777" w:rsidR="00894070" w:rsidRDefault="00894070">
      <w:pPr>
        <w:pStyle w:val="BodyText"/>
        <w:spacing w:before="6"/>
        <w:rPr>
          <w:sz w:val="14"/>
        </w:rPr>
      </w:pPr>
    </w:p>
    <w:p w14:paraId="3AE44B34" w14:textId="77777777" w:rsidR="00894070" w:rsidRDefault="009B7AFD">
      <w:pPr>
        <w:pStyle w:val="Heading7"/>
        <w:spacing w:before="41"/>
      </w:pPr>
      <w:bookmarkStart w:id="182" w:name="A_coordinated_response_to_stalking_is_ne"/>
      <w:bookmarkStart w:id="183" w:name="_bookmark109"/>
      <w:bookmarkEnd w:id="182"/>
      <w:bookmarkEnd w:id="183"/>
      <w:r>
        <w:rPr>
          <w:color w:val="EA5B50"/>
        </w:rPr>
        <w:t>A coordinated response to stalking is needed</w:t>
      </w:r>
    </w:p>
    <w:p w14:paraId="6325E8D3" w14:textId="77777777" w:rsidR="00894070" w:rsidRDefault="009B7AFD">
      <w:pPr>
        <w:pStyle w:val="ListParagraph"/>
        <w:numPr>
          <w:ilvl w:val="1"/>
          <w:numId w:val="29"/>
        </w:numPr>
        <w:tabs>
          <w:tab w:val="left" w:pos="1801"/>
          <w:tab w:val="left" w:pos="1802"/>
        </w:tabs>
        <w:spacing w:before="113" w:line="259" w:lineRule="exact"/>
        <w:rPr>
          <w:sz w:val="20"/>
        </w:rPr>
      </w:pPr>
      <w:r>
        <w:rPr>
          <w:color w:val="231F20"/>
          <w:sz w:val="20"/>
        </w:rPr>
        <w:t>People</w:t>
      </w:r>
      <w:r>
        <w:rPr>
          <w:color w:val="231F20"/>
          <w:spacing w:val="-5"/>
          <w:sz w:val="20"/>
        </w:rPr>
        <w:t xml:space="preserve"> </w:t>
      </w:r>
      <w:r>
        <w:rPr>
          <w:color w:val="231F20"/>
          <w:sz w:val="20"/>
        </w:rPr>
        <w:t>who</w:t>
      </w:r>
      <w:r>
        <w:rPr>
          <w:color w:val="231F20"/>
          <w:spacing w:val="-5"/>
          <w:sz w:val="20"/>
        </w:rPr>
        <w:t xml:space="preserve"> </w:t>
      </w:r>
      <w:r>
        <w:rPr>
          <w:color w:val="231F20"/>
          <w:sz w:val="20"/>
        </w:rPr>
        <w:t>stalk</w:t>
      </w:r>
      <w:r>
        <w:rPr>
          <w:color w:val="231F20"/>
          <w:spacing w:val="-5"/>
          <w:sz w:val="20"/>
        </w:rPr>
        <w:t xml:space="preserve"> </w:t>
      </w:r>
      <w:r>
        <w:rPr>
          <w:color w:val="231F20"/>
          <w:spacing w:val="-3"/>
          <w:sz w:val="20"/>
        </w:rPr>
        <w:t>may</w:t>
      </w:r>
      <w:r>
        <w:rPr>
          <w:color w:val="231F20"/>
          <w:spacing w:val="-4"/>
          <w:sz w:val="20"/>
        </w:rPr>
        <w:t xml:space="preserve"> have</w:t>
      </w:r>
      <w:r>
        <w:rPr>
          <w:color w:val="231F20"/>
          <w:spacing w:val="-5"/>
          <w:sz w:val="20"/>
        </w:rPr>
        <w:t xml:space="preserve"> </w:t>
      </w:r>
      <w:r>
        <w:rPr>
          <w:color w:val="231F20"/>
          <w:sz w:val="20"/>
        </w:rPr>
        <w:t>intersecting</w:t>
      </w:r>
      <w:r>
        <w:rPr>
          <w:color w:val="231F20"/>
          <w:spacing w:val="-5"/>
          <w:sz w:val="20"/>
        </w:rPr>
        <w:t xml:space="preserve"> </w:t>
      </w:r>
      <w:r>
        <w:rPr>
          <w:color w:val="231F20"/>
          <w:sz w:val="20"/>
        </w:rPr>
        <w:t>support</w:t>
      </w:r>
      <w:r>
        <w:rPr>
          <w:color w:val="231F20"/>
          <w:spacing w:val="-4"/>
          <w:sz w:val="20"/>
        </w:rPr>
        <w:t xml:space="preserve"> </w:t>
      </w:r>
      <w:r>
        <w:rPr>
          <w:color w:val="231F20"/>
          <w:sz w:val="20"/>
        </w:rPr>
        <w:t>needs.</w:t>
      </w:r>
      <w:r>
        <w:rPr>
          <w:color w:val="231F20"/>
          <w:spacing w:val="-5"/>
          <w:sz w:val="20"/>
        </w:rPr>
        <w:t xml:space="preserve"> </w:t>
      </w:r>
      <w:r>
        <w:rPr>
          <w:color w:val="231F20"/>
          <w:sz w:val="20"/>
        </w:rPr>
        <w:t>Some</w:t>
      </w:r>
      <w:r>
        <w:rPr>
          <w:color w:val="231F20"/>
          <w:spacing w:val="-5"/>
          <w:sz w:val="20"/>
        </w:rPr>
        <w:t xml:space="preserve"> </w:t>
      </w:r>
      <w:r>
        <w:rPr>
          <w:color w:val="231F20"/>
          <w:spacing w:val="-3"/>
          <w:sz w:val="20"/>
        </w:rPr>
        <w:t>may</w:t>
      </w:r>
      <w:r>
        <w:rPr>
          <w:color w:val="231F20"/>
          <w:spacing w:val="-4"/>
          <w:sz w:val="20"/>
        </w:rPr>
        <w:t xml:space="preserve"> </w:t>
      </w:r>
      <w:r>
        <w:rPr>
          <w:color w:val="231F20"/>
          <w:sz w:val="20"/>
        </w:rPr>
        <w:t>need</w:t>
      </w:r>
      <w:r>
        <w:rPr>
          <w:color w:val="231F20"/>
          <w:spacing w:val="-5"/>
          <w:sz w:val="20"/>
        </w:rPr>
        <w:t xml:space="preserve"> </w:t>
      </w:r>
      <w:r>
        <w:rPr>
          <w:color w:val="231F20"/>
          <w:spacing w:val="-3"/>
          <w:sz w:val="20"/>
        </w:rPr>
        <w:t>treatment</w:t>
      </w:r>
    </w:p>
    <w:p w14:paraId="4061C5D0" w14:textId="77777777" w:rsidR="00894070" w:rsidRDefault="009B7AFD">
      <w:pPr>
        <w:pStyle w:val="BodyText"/>
        <w:spacing w:before="14" w:line="206" w:lineRule="auto"/>
        <w:ind w:left="1801" w:right="1121" w:hanging="1"/>
      </w:pPr>
      <w:r>
        <w:rPr>
          <w:color w:val="231F20"/>
          <w:spacing w:val="-3"/>
        </w:rPr>
        <w:t xml:space="preserve">for </w:t>
      </w:r>
      <w:r>
        <w:rPr>
          <w:color w:val="231F20"/>
        </w:rPr>
        <w:t>mental illness and substance misuse or addiction.</w:t>
      </w:r>
      <w:r>
        <w:rPr>
          <w:color w:val="231F20"/>
          <w:position w:val="7"/>
          <w:sz w:val="11"/>
        </w:rPr>
        <w:t xml:space="preserve">24 </w:t>
      </w:r>
      <w:r>
        <w:rPr>
          <w:color w:val="231F20"/>
        </w:rPr>
        <w:t xml:space="preserve">Because therapeutic or psychological </w:t>
      </w:r>
      <w:r>
        <w:rPr>
          <w:color w:val="231F20"/>
          <w:spacing w:val="-2"/>
        </w:rPr>
        <w:t xml:space="preserve">interventions </w:t>
      </w:r>
      <w:r>
        <w:rPr>
          <w:color w:val="231F20"/>
          <w:spacing w:val="-3"/>
        </w:rPr>
        <w:t xml:space="preserve">are </w:t>
      </w:r>
      <w:r>
        <w:rPr>
          <w:color w:val="231F20"/>
        </w:rPr>
        <w:t xml:space="preserve">critical to addressing stalking, a </w:t>
      </w:r>
      <w:r>
        <w:rPr>
          <w:color w:val="231F20"/>
          <w:spacing w:val="-3"/>
        </w:rPr>
        <w:t xml:space="preserve">‘multifaceted approach’ </w:t>
      </w:r>
      <w:r>
        <w:rPr>
          <w:color w:val="231F20"/>
        </w:rPr>
        <w:t>is required.</w:t>
      </w:r>
      <w:r>
        <w:rPr>
          <w:color w:val="231F20"/>
          <w:position w:val="7"/>
          <w:sz w:val="11"/>
        </w:rPr>
        <w:t xml:space="preserve">25 </w:t>
      </w:r>
      <w:r>
        <w:rPr>
          <w:color w:val="231F20"/>
        </w:rPr>
        <w:t>The response must draw on the health, community service and justice sectors, and generalist and specialist interventions.</w:t>
      </w:r>
    </w:p>
    <w:p w14:paraId="01EE8A44" w14:textId="77777777" w:rsidR="00894070" w:rsidRDefault="009B7AFD">
      <w:pPr>
        <w:pStyle w:val="ListParagraph"/>
        <w:numPr>
          <w:ilvl w:val="1"/>
          <w:numId w:val="29"/>
        </w:numPr>
        <w:tabs>
          <w:tab w:val="left" w:pos="1801"/>
          <w:tab w:val="left" w:pos="1802"/>
        </w:tabs>
        <w:spacing w:before="125" w:line="206" w:lineRule="auto"/>
        <w:ind w:right="1273"/>
        <w:rPr>
          <w:sz w:val="11"/>
        </w:rPr>
      </w:pPr>
      <w:r>
        <w:rPr>
          <w:color w:val="231F20"/>
          <w:spacing w:val="-5"/>
          <w:sz w:val="20"/>
        </w:rPr>
        <w:t>However,</w:t>
      </w:r>
      <w:r>
        <w:rPr>
          <w:color w:val="231F20"/>
          <w:spacing w:val="-10"/>
          <w:sz w:val="20"/>
        </w:rPr>
        <w:t xml:space="preserve"> </w:t>
      </w:r>
      <w:r>
        <w:rPr>
          <w:color w:val="231F20"/>
          <w:spacing w:val="-3"/>
          <w:sz w:val="20"/>
        </w:rPr>
        <w:t>we</w:t>
      </w:r>
      <w:r>
        <w:rPr>
          <w:color w:val="231F20"/>
          <w:spacing w:val="-10"/>
          <w:sz w:val="20"/>
        </w:rPr>
        <w:t xml:space="preserve"> </w:t>
      </w:r>
      <w:r>
        <w:rPr>
          <w:color w:val="231F20"/>
          <w:sz w:val="20"/>
        </w:rPr>
        <w:t>heard</w:t>
      </w:r>
      <w:r>
        <w:rPr>
          <w:color w:val="231F20"/>
          <w:spacing w:val="-10"/>
          <w:sz w:val="20"/>
        </w:rPr>
        <w:t xml:space="preserve"> </w:t>
      </w:r>
      <w:r>
        <w:rPr>
          <w:color w:val="231F20"/>
          <w:sz w:val="20"/>
        </w:rPr>
        <w:t>that</w:t>
      </w:r>
      <w:r>
        <w:rPr>
          <w:color w:val="231F20"/>
          <w:spacing w:val="-10"/>
          <w:sz w:val="20"/>
        </w:rPr>
        <w:t xml:space="preserve"> </w:t>
      </w:r>
      <w:r>
        <w:rPr>
          <w:color w:val="231F20"/>
          <w:sz w:val="20"/>
        </w:rPr>
        <w:t>these</w:t>
      </w:r>
      <w:r>
        <w:rPr>
          <w:color w:val="231F20"/>
          <w:spacing w:val="-10"/>
          <w:sz w:val="20"/>
        </w:rPr>
        <w:t xml:space="preserve"> </w:t>
      </w:r>
      <w:r>
        <w:rPr>
          <w:color w:val="231F20"/>
          <w:sz w:val="20"/>
        </w:rPr>
        <w:t>systems</w:t>
      </w:r>
      <w:r>
        <w:rPr>
          <w:color w:val="231F20"/>
          <w:spacing w:val="-10"/>
          <w:sz w:val="20"/>
        </w:rPr>
        <w:t xml:space="preserve"> </w:t>
      </w:r>
      <w:r>
        <w:rPr>
          <w:color w:val="231F20"/>
          <w:spacing w:val="-3"/>
          <w:sz w:val="20"/>
        </w:rPr>
        <w:t>are</w:t>
      </w:r>
      <w:r>
        <w:rPr>
          <w:color w:val="231F20"/>
          <w:spacing w:val="-9"/>
          <w:sz w:val="20"/>
        </w:rPr>
        <w:t xml:space="preserve"> </w:t>
      </w:r>
      <w:r>
        <w:rPr>
          <w:color w:val="231F20"/>
          <w:sz w:val="20"/>
        </w:rPr>
        <w:t>often</w:t>
      </w:r>
      <w:r>
        <w:rPr>
          <w:color w:val="231F20"/>
          <w:spacing w:val="-10"/>
          <w:sz w:val="20"/>
        </w:rPr>
        <w:t xml:space="preserve"> </w:t>
      </w:r>
      <w:r>
        <w:rPr>
          <w:color w:val="231F20"/>
          <w:sz w:val="20"/>
        </w:rPr>
        <w:t>disjointed</w:t>
      </w:r>
      <w:r>
        <w:rPr>
          <w:color w:val="231F20"/>
          <w:spacing w:val="-10"/>
          <w:sz w:val="20"/>
        </w:rPr>
        <w:t xml:space="preserve"> </w:t>
      </w:r>
      <w:r>
        <w:rPr>
          <w:color w:val="231F20"/>
          <w:sz w:val="20"/>
        </w:rPr>
        <w:t>and</w:t>
      </w:r>
      <w:r>
        <w:rPr>
          <w:color w:val="231F20"/>
          <w:spacing w:val="-10"/>
          <w:sz w:val="20"/>
        </w:rPr>
        <w:t xml:space="preserve"> </w:t>
      </w:r>
      <w:r>
        <w:rPr>
          <w:color w:val="231F20"/>
          <w:sz w:val="20"/>
        </w:rPr>
        <w:t>the</w:t>
      </w:r>
      <w:r>
        <w:rPr>
          <w:color w:val="231F20"/>
          <w:spacing w:val="-10"/>
          <w:sz w:val="20"/>
        </w:rPr>
        <w:t xml:space="preserve"> </w:t>
      </w:r>
      <w:r>
        <w:rPr>
          <w:color w:val="231F20"/>
          <w:sz w:val="20"/>
        </w:rPr>
        <w:t>evidence</w:t>
      </w:r>
      <w:r>
        <w:rPr>
          <w:color w:val="231F20"/>
          <w:spacing w:val="-10"/>
          <w:sz w:val="20"/>
        </w:rPr>
        <w:t xml:space="preserve"> </w:t>
      </w:r>
      <w:r>
        <w:rPr>
          <w:color w:val="231F20"/>
          <w:sz w:val="20"/>
        </w:rPr>
        <w:t>base</w:t>
      </w:r>
      <w:r>
        <w:rPr>
          <w:color w:val="231F20"/>
          <w:spacing w:val="-9"/>
          <w:sz w:val="20"/>
        </w:rPr>
        <w:t xml:space="preserve"> </w:t>
      </w:r>
      <w:r>
        <w:rPr>
          <w:color w:val="231F20"/>
          <w:sz w:val="20"/>
        </w:rPr>
        <w:t xml:space="preserve">and services </w:t>
      </w:r>
      <w:r>
        <w:rPr>
          <w:color w:val="231F20"/>
          <w:spacing w:val="-3"/>
          <w:sz w:val="20"/>
        </w:rPr>
        <w:t>are</w:t>
      </w:r>
      <w:r>
        <w:rPr>
          <w:color w:val="231F20"/>
          <w:spacing w:val="-8"/>
          <w:sz w:val="20"/>
        </w:rPr>
        <w:t xml:space="preserve"> </w:t>
      </w:r>
      <w:r>
        <w:rPr>
          <w:color w:val="231F20"/>
          <w:sz w:val="20"/>
        </w:rPr>
        <w:t>lacking.</w:t>
      </w:r>
      <w:r>
        <w:rPr>
          <w:color w:val="231F20"/>
          <w:position w:val="7"/>
          <w:sz w:val="11"/>
        </w:rPr>
        <w:t>26</w:t>
      </w:r>
    </w:p>
    <w:p w14:paraId="373B140B" w14:textId="77777777" w:rsidR="00894070" w:rsidRDefault="009B7AFD">
      <w:pPr>
        <w:pStyle w:val="ListParagraph"/>
        <w:numPr>
          <w:ilvl w:val="1"/>
          <w:numId w:val="29"/>
        </w:numPr>
        <w:tabs>
          <w:tab w:val="left" w:pos="1801"/>
          <w:tab w:val="left" w:pos="1802"/>
        </w:tabs>
        <w:spacing w:before="122" w:line="206" w:lineRule="auto"/>
        <w:ind w:right="1277"/>
        <w:rPr>
          <w:sz w:val="20"/>
        </w:rPr>
      </w:pPr>
      <w:r>
        <w:rPr>
          <w:color w:val="231F20"/>
          <w:spacing w:val="-6"/>
          <w:sz w:val="20"/>
        </w:rPr>
        <w:t xml:space="preserve">We </w:t>
      </w:r>
      <w:r>
        <w:rPr>
          <w:color w:val="231F20"/>
          <w:sz w:val="20"/>
        </w:rPr>
        <w:t xml:space="preserve">recommend the </w:t>
      </w:r>
      <w:r>
        <w:rPr>
          <w:color w:val="231F20"/>
          <w:spacing w:val="-3"/>
          <w:sz w:val="20"/>
        </w:rPr>
        <w:t xml:space="preserve">government develop </w:t>
      </w:r>
      <w:r>
        <w:rPr>
          <w:color w:val="231F20"/>
          <w:sz w:val="20"/>
        </w:rPr>
        <w:t xml:space="preserve">a </w:t>
      </w:r>
      <w:r>
        <w:rPr>
          <w:color w:val="231F20"/>
          <w:spacing w:val="-3"/>
          <w:sz w:val="20"/>
        </w:rPr>
        <w:t xml:space="preserve">coordinated </w:t>
      </w:r>
      <w:r>
        <w:rPr>
          <w:color w:val="231F20"/>
          <w:sz w:val="20"/>
        </w:rPr>
        <w:t>response to non-family violence</w:t>
      </w:r>
      <w:r>
        <w:rPr>
          <w:color w:val="231F20"/>
          <w:spacing w:val="-10"/>
          <w:sz w:val="20"/>
        </w:rPr>
        <w:t xml:space="preserve"> </w:t>
      </w:r>
      <w:r>
        <w:rPr>
          <w:color w:val="231F20"/>
          <w:sz w:val="20"/>
        </w:rPr>
        <w:t>stalking</w:t>
      </w:r>
      <w:r>
        <w:rPr>
          <w:color w:val="231F20"/>
          <w:spacing w:val="-9"/>
          <w:sz w:val="20"/>
        </w:rPr>
        <w:t xml:space="preserve"> </w:t>
      </w:r>
      <w:r>
        <w:rPr>
          <w:color w:val="231F20"/>
          <w:sz w:val="20"/>
        </w:rPr>
        <w:t>that</w:t>
      </w:r>
      <w:r>
        <w:rPr>
          <w:color w:val="231F20"/>
          <w:spacing w:val="-10"/>
          <w:sz w:val="20"/>
        </w:rPr>
        <w:t xml:space="preserve"> </w:t>
      </w:r>
      <w:r>
        <w:rPr>
          <w:color w:val="231F20"/>
          <w:sz w:val="20"/>
        </w:rPr>
        <w:t>links</w:t>
      </w:r>
      <w:r>
        <w:rPr>
          <w:color w:val="231F20"/>
          <w:spacing w:val="-9"/>
          <w:sz w:val="20"/>
        </w:rPr>
        <w:t xml:space="preserve"> </w:t>
      </w:r>
      <w:r>
        <w:rPr>
          <w:color w:val="231F20"/>
          <w:spacing w:val="-3"/>
          <w:sz w:val="20"/>
        </w:rPr>
        <w:t>relevant</w:t>
      </w:r>
      <w:r>
        <w:rPr>
          <w:color w:val="231F20"/>
          <w:spacing w:val="-10"/>
          <w:sz w:val="20"/>
        </w:rPr>
        <w:t xml:space="preserve"> </w:t>
      </w:r>
      <w:r>
        <w:rPr>
          <w:color w:val="231F20"/>
          <w:sz w:val="20"/>
        </w:rPr>
        <w:t>parts</w:t>
      </w:r>
      <w:r>
        <w:rPr>
          <w:color w:val="231F20"/>
          <w:spacing w:val="-9"/>
          <w:sz w:val="20"/>
        </w:rPr>
        <w:t xml:space="preserve"> </w:t>
      </w:r>
      <w:r>
        <w:rPr>
          <w:color w:val="231F20"/>
          <w:sz w:val="20"/>
        </w:rPr>
        <w:t>of</w:t>
      </w:r>
      <w:r>
        <w:rPr>
          <w:color w:val="231F20"/>
          <w:spacing w:val="-10"/>
          <w:sz w:val="20"/>
        </w:rPr>
        <w:t xml:space="preserve"> </w:t>
      </w:r>
      <w:r>
        <w:rPr>
          <w:color w:val="231F20"/>
          <w:sz w:val="20"/>
        </w:rPr>
        <w:t>the</w:t>
      </w:r>
      <w:r>
        <w:rPr>
          <w:color w:val="231F20"/>
          <w:spacing w:val="-9"/>
          <w:sz w:val="20"/>
        </w:rPr>
        <w:t xml:space="preserve"> </w:t>
      </w:r>
      <w:r>
        <w:rPr>
          <w:color w:val="231F20"/>
          <w:sz w:val="20"/>
        </w:rPr>
        <w:t>health,</w:t>
      </w:r>
      <w:r>
        <w:rPr>
          <w:color w:val="231F20"/>
          <w:spacing w:val="-9"/>
          <w:sz w:val="20"/>
        </w:rPr>
        <w:t xml:space="preserve"> </w:t>
      </w:r>
      <w:r>
        <w:rPr>
          <w:color w:val="231F20"/>
          <w:sz w:val="20"/>
        </w:rPr>
        <w:t>community</w:t>
      </w:r>
      <w:r>
        <w:rPr>
          <w:color w:val="231F20"/>
          <w:spacing w:val="-10"/>
          <w:sz w:val="20"/>
        </w:rPr>
        <w:t xml:space="preserve"> </w:t>
      </w:r>
      <w:r>
        <w:rPr>
          <w:color w:val="231F20"/>
          <w:sz w:val="20"/>
        </w:rPr>
        <w:t>service</w:t>
      </w:r>
      <w:r>
        <w:rPr>
          <w:color w:val="231F20"/>
          <w:spacing w:val="-9"/>
          <w:sz w:val="20"/>
        </w:rPr>
        <w:t xml:space="preserve"> </w:t>
      </w:r>
      <w:r>
        <w:rPr>
          <w:color w:val="231F20"/>
          <w:sz w:val="20"/>
        </w:rPr>
        <w:t>and</w:t>
      </w:r>
      <w:r>
        <w:rPr>
          <w:color w:val="231F20"/>
          <w:spacing w:val="-10"/>
          <w:sz w:val="20"/>
        </w:rPr>
        <w:t xml:space="preserve"> </w:t>
      </w:r>
      <w:r>
        <w:rPr>
          <w:color w:val="231F20"/>
          <w:sz w:val="20"/>
        </w:rPr>
        <w:t>justice sectors,</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overcome</w:t>
      </w:r>
      <w:r>
        <w:rPr>
          <w:color w:val="231F20"/>
          <w:spacing w:val="-7"/>
          <w:sz w:val="20"/>
        </w:rPr>
        <w:t xml:space="preserve"> </w:t>
      </w:r>
      <w:r>
        <w:rPr>
          <w:color w:val="231F20"/>
          <w:sz w:val="20"/>
        </w:rPr>
        <w:t>the</w:t>
      </w:r>
      <w:r>
        <w:rPr>
          <w:color w:val="231F20"/>
          <w:spacing w:val="-7"/>
          <w:sz w:val="20"/>
        </w:rPr>
        <w:t xml:space="preserve"> </w:t>
      </w:r>
      <w:r>
        <w:rPr>
          <w:color w:val="231F20"/>
          <w:spacing w:val="-3"/>
          <w:sz w:val="20"/>
        </w:rPr>
        <w:t>current</w:t>
      </w:r>
      <w:r>
        <w:rPr>
          <w:color w:val="231F20"/>
          <w:spacing w:val="-6"/>
          <w:sz w:val="20"/>
        </w:rPr>
        <w:t xml:space="preserve"> </w:t>
      </w:r>
      <w:r>
        <w:rPr>
          <w:color w:val="231F20"/>
          <w:sz w:val="20"/>
        </w:rPr>
        <w:t>fragmented</w:t>
      </w:r>
      <w:r>
        <w:rPr>
          <w:color w:val="231F20"/>
          <w:spacing w:val="-7"/>
          <w:sz w:val="20"/>
        </w:rPr>
        <w:t xml:space="preserve"> </w:t>
      </w:r>
      <w:r>
        <w:rPr>
          <w:color w:val="231F20"/>
          <w:spacing w:val="-2"/>
          <w:sz w:val="20"/>
        </w:rPr>
        <w:t>response.</w:t>
      </w:r>
      <w:r>
        <w:rPr>
          <w:color w:val="231F20"/>
          <w:spacing w:val="-7"/>
          <w:sz w:val="20"/>
        </w:rPr>
        <w:t xml:space="preserve"> </w:t>
      </w:r>
      <w:r>
        <w:rPr>
          <w:color w:val="231F20"/>
          <w:sz w:val="20"/>
        </w:rPr>
        <w:t>This</w:t>
      </w:r>
      <w:r>
        <w:rPr>
          <w:color w:val="231F20"/>
          <w:spacing w:val="-7"/>
          <w:sz w:val="20"/>
        </w:rPr>
        <w:t xml:space="preserve"> </w:t>
      </w:r>
      <w:r>
        <w:rPr>
          <w:color w:val="231F20"/>
          <w:spacing w:val="-3"/>
          <w:sz w:val="20"/>
        </w:rPr>
        <w:t>gives</w:t>
      </w:r>
      <w:r>
        <w:rPr>
          <w:color w:val="231F20"/>
          <w:spacing w:val="-7"/>
          <w:sz w:val="20"/>
        </w:rPr>
        <w:t xml:space="preserve"> </w:t>
      </w:r>
      <w:r>
        <w:rPr>
          <w:color w:val="231F20"/>
          <w:sz w:val="20"/>
        </w:rPr>
        <w:t>the</w:t>
      </w:r>
      <w:r>
        <w:rPr>
          <w:color w:val="231F20"/>
          <w:spacing w:val="-6"/>
          <w:sz w:val="20"/>
        </w:rPr>
        <w:t xml:space="preserve"> </w:t>
      </w:r>
      <w:r>
        <w:rPr>
          <w:color w:val="231F20"/>
          <w:spacing w:val="-2"/>
          <w:sz w:val="20"/>
        </w:rPr>
        <w:t>system</w:t>
      </w:r>
      <w:r>
        <w:rPr>
          <w:color w:val="231F20"/>
          <w:spacing w:val="-7"/>
          <w:sz w:val="20"/>
        </w:rPr>
        <w:t xml:space="preserve"> </w:t>
      </w:r>
      <w:r>
        <w:rPr>
          <w:color w:val="231F20"/>
          <w:sz w:val="20"/>
        </w:rPr>
        <w:t>the</w:t>
      </w:r>
      <w:r>
        <w:rPr>
          <w:color w:val="231F20"/>
          <w:spacing w:val="-7"/>
          <w:sz w:val="20"/>
        </w:rPr>
        <w:t xml:space="preserve"> </w:t>
      </w:r>
      <w:r>
        <w:rPr>
          <w:color w:val="231F20"/>
          <w:sz w:val="20"/>
        </w:rPr>
        <w:t>best chance of stopping stalking and doing so</w:t>
      </w:r>
      <w:r>
        <w:rPr>
          <w:color w:val="231F20"/>
          <w:spacing w:val="-32"/>
          <w:sz w:val="20"/>
        </w:rPr>
        <w:t xml:space="preserve"> </w:t>
      </w:r>
      <w:r>
        <w:rPr>
          <w:color w:val="231F20"/>
          <w:spacing w:val="-4"/>
          <w:sz w:val="20"/>
        </w:rPr>
        <w:t>early.</w:t>
      </w:r>
    </w:p>
    <w:p w14:paraId="707CAC75" w14:textId="77777777" w:rsidR="00894070" w:rsidRDefault="009B7AFD">
      <w:pPr>
        <w:pStyle w:val="ListParagraph"/>
        <w:numPr>
          <w:ilvl w:val="1"/>
          <w:numId w:val="29"/>
        </w:numPr>
        <w:tabs>
          <w:tab w:val="left" w:pos="1801"/>
          <w:tab w:val="left" w:pos="1802"/>
        </w:tabs>
        <w:spacing w:before="125" w:line="206" w:lineRule="auto"/>
        <w:ind w:right="1646"/>
        <w:rPr>
          <w:sz w:val="20"/>
        </w:rPr>
      </w:pPr>
      <w:r>
        <w:rPr>
          <w:color w:val="231F20"/>
          <w:sz w:val="20"/>
        </w:rPr>
        <w:t>The</w:t>
      </w:r>
      <w:r>
        <w:rPr>
          <w:color w:val="231F20"/>
          <w:spacing w:val="-8"/>
          <w:sz w:val="20"/>
        </w:rPr>
        <w:t xml:space="preserve"> </w:t>
      </w:r>
      <w:r>
        <w:rPr>
          <w:color w:val="231F20"/>
          <w:spacing w:val="-3"/>
          <w:sz w:val="20"/>
        </w:rPr>
        <w:t>Royal</w:t>
      </w:r>
      <w:r>
        <w:rPr>
          <w:color w:val="231F20"/>
          <w:spacing w:val="-8"/>
          <w:sz w:val="20"/>
        </w:rPr>
        <w:t xml:space="preserve"> </w:t>
      </w:r>
      <w:r>
        <w:rPr>
          <w:color w:val="231F20"/>
          <w:sz w:val="20"/>
        </w:rPr>
        <w:t>Commission</w:t>
      </w:r>
      <w:r>
        <w:rPr>
          <w:color w:val="231F20"/>
          <w:spacing w:val="-7"/>
          <w:sz w:val="20"/>
        </w:rPr>
        <w:t xml:space="preserve"> </w:t>
      </w:r>
      <w:r>
        <w:rPr>
          <w:color w:val="231F20"/>
          <w:spacing w:val="-3"/>
          <w:sz w:val="20"/>
        </w:rPr>
        <w:t>into</w:t>
      </w:r>
      <w:r>
        <w:rPr>
          <w:color w:val="231F20"/>
          <w:spacing w:val="-8"/>
          <w:sz w:val="20"/>
        </w:rPr>
        <w:t xml:space="preserve"> </w:t>
      </w:r>
      <w:r>
        <w:rPr>
          <w:color w:val="231F20"/>
          <w:spacing w:val="-3"/>
          <w:sz w:val="20"/>
        </w:rPr>
        <w:t>Victoria’s</w:t>
      </w:r>
      <w:r>
        <w:rPr>
          <w:color w:val="231F20"/>
          <w:spacing w:val="-8"/>
          <w:sz w:val="20"/>
        </w:rPr>
        <w:t xml:space="preserve"> </w:t>
      </w:r>
      <w:r>
        <w:rPr>
          <w:color w:val="231F20"/>
          <w:sz w:val="20"/>
        </w:rPr>
        <w:t>Mental</w:t>
      </w:r>
      <w:r>
        <w:rPr>
          <w:color w:val="231F20"/>
          <w:spacing w:val="-7"/>
          <w:sz w:val="20"/>
        </w:rPr>
        <w:t xml:space="preserve"> </w:t>
      </w:r>
      <w:r>
        <w:rPr>
          <w:color w:val="231F20"/>
          <w:sz w:val="20"/>
        </w:rPr>
        <w:t>Health</w:t>
      </w:r>
      <w:r>
        <w:rPr>
          <w:color w:val="231F20"/>
          <w:spacing w:val="-8"/>
          <w:sz w:val="20"/>
        </w:rPr>
        <w:t xml:space="preserve"> </w:t>
      </w:r>
      <w:r>
        <w:rPr>
          <w:color w:val="231F20"/>
          <w:spacing w:val="-3"/>
          <w:sz w:val="20"/>
        </w:rPr>
        <w:t>System</w:t>
      </w:r>
      <w:r>
        <w:rPr>
          <w:color w:val="231F20"/>
          <w:spacing w:val="-8"/>
          <w:sz w:val="20"/>
        </w:rPr>
        <w:t xml:space="preserve"> </w:t>
      </w:r>
      <w:r>
        <w:rPr>
          <w:color w:val="231F20"/>
          <w:sz w:val="20"/>
        </w:rPr>
        <w:t>identified</w:t>
      </w:r>
      <w:r>
        <w:rPr>
          <w:color w:val="231F20"/>
          <w:spacing w:val="-7"/>
          <w:sz w:val="20"/>
        </w:rPr>
        <w:t xml:space="preserve"> </w:t>
      </w:r>
      <w:r>
        <w:rPr>
          <w:color w:val="231F20"/>
          <w:sz w:val="20"/>
        </w:rPr>
        <w:t>the</w:t>
      </w:r>
      <w:r>
        <w:rPr>
          <w:color w:val="231F20"/>
          <w:spacing w:val="-8"/>
          <w:sz w:val="20"/>
        </w:rPr>
        <w:t xml:space="preserve"> </w:t>
      </w:r>
      <w:r>
        <w:rPr>
          <w:color w:val="231F20"/>
          <w:sz w:val="20"/>
        </w:rPr>
        <w:t>need</w:t>
      </w:r>
      <w:r>
        <w:rPr>
          <w:color w:val="231F20"/>
          <w:spacing w:val="-7"/>
          <w:sz w:val="20"/>
        </w:rPr>
        <w:t xml:space="preserve"> </w:t>
      </w:r>
      <w:r>
        <w:rPr>
          <w:color w:val="231F20"/>
          <w:spacing w:val="-3"/>
          <w:sz w:val="20"/>
        </w:rPr>
        <w:t xml:space="preserve">for </w:t>
      </w:r>
      <w:r>
        <w:rPr>
          <w:color w:val="231F20"/>
          <w:sz w:val="20"/>
        </w:rPr>
        <w:t xml:space="preserve">more </w:t>
      </w:r>
      <w:r>
        <w:rPr>
          <w:color w:val="231F20"/>
          <w:spacing w:val="-3"/>
          <w:sz w:val="20"/>
        </w:rPr>
        <w:t xml:space="preserve">‘integrated’ </w:t>
      </w:r>
      <w:r>
        <w:rPr>
          <w:color w:val="231F20"/>
          <w:sz w:val="20"/>
        </w:rPr>
        <w:t xml:space="preserve">treatment and made recommendations to address this gap. </w:t>
      </w:r>
      <w:r>
        <w:rPr>
          <w:color w:val="231F20"/>
          <w:spacing w:val="-3"/>
          <w:sz w:val="20"/>
        </w:rPr>
        <w:t xml:space="preserve">For example, </w:t>
      </w:r>
      <w:r>
        <w:rPr>
          <w:color w:val="231F20"/>
          <w:sz w:val="20"/>
        </w:rPr>
        <w:t xml:space="preserve">there </w:t>
      </w:r>
      <w:r>
        <w:rPr>
          <w:color w:val="231F20"/>
          <w:spacing w:val="-3"/>
          <w:sz w:val="20"/>
        </w:rPr>
        <w:t>are</w:t>
      </w:r>
      <w:r>
        <w:rPr>
          <w:color w:val="231F20"/>
          <w:spacing w:val="-10"/>
          <w:sz w:val="20"/>
        </w:rPr>
        <w:t xml:space="preserve"> </w:t>
      </w:r>
      <w:r>
        <w:rPr>
          <w:color w:val="231F20"/>
          <w:sz w:val="20"/>
        </w:rPr>
        <w:t>needs:</w:t>
      </w:r>
    </w:p>
    <w:p w14:paraId="79F0F9C3" w14:textId="77777777" w:rsidR="00894070" w:rsidRDefault="009B7AFD">
      <w:pPr>
        <w:pStyle w:val="ListParagraph"/>
        <w:numPr>
          <w:ilvl w:val="2"/>
          <w:numId w:val="29"/>
        </w:numPr>
        <w:tabs>
          <w:tab w:val="left" w:pos="2141"/>
          <w:tab w:val="left" w:pos="2142"/>
        </w:tabs>
        <w:spacing w:before="124" w:line="206" w:lineRule="auto"/>
        <w:ind w:right="1514" w:hanging="340"/>
        <w:rPr>
          <w:sz w:val="20"/>
        </w:rPr>
      </w:pPr>
      <w:r>
        <w:rPr>
          <w:color w:val="231F20"/>
          <w:spacing w:val="-3"/>
          <w:sz w:val="20"/>
        </w:rPr>
        <w:t xml:space="preserve">for </w:t>
      </w:r>
      <w:r>
        <w:rPr>
          <w:color w:val="231F20"/>
          <w:sz w:val="20"/>
        </w:rPr>
        <w:t xml:space="preserve">people to </w:t>
      </w:r>
      <w:r>
        <w:rPr>
          <w:color w:val="231F20"/>
          <w:spacing w:val="-3"/>
          <w:sz w:val="20"/>
        </w:rPr>
        <w:t xml:space="preserve">receive </w:t>
      </w:r>
      <w:r>
        <w:rPr>
          <w:color w:val="231F20"/>
          <w:sz w:val="20"/>
        </w:rPr>
        <w:t xml:space="preserve">the most </w:t>
      </w:r>
      <w:r>
        <w:rPr>
          <w:color w:val="231F20"/>
          <w:spacing w:val="-3"/>
          <w:sz w:val="20"/>
        </w:rPr>
        <w:t xml:space="preserve">appropriate treatment, care, </w:t>
      </w:r>
      <w:r>
        <w:rPr>
          <w:color w:val="231F20"/>
          <w:sz w:val="20"/>
        </w:rPr>
        <w:t xml:space="preserve">and support </w:t>
      </w:r>
      <w:r>
        <w:rPr>
          <w:color w:val="231F20"/>
          <w:spacing w:val="-3"/>
          <w:sz w:val="20"/>
        </w:rPr>
        <w:t xml:space="preserve">for </w:t>
      </w:r>
      <w:r>
        <w:rPr>
          <w:color w:val="231F20"/>
          <w:sz w:val="20"/>
        </w:rPr>
        <w:t xml:space="preserve">their needs at </w:t>
      </w:r>
      <w:r>
        <w:rPr>
          <w:color w:val="231F20"/>
          <w:spacing w:val="-3"/>
          <w:sz w:val="20"/>
        </w:rPr>
        <w:t>any given</w:t>
      </w:r>
      <w:r>
        <w:rPr>
          <w:color w:val="231F20"/>
          <w:spacing w:val="-14"/>
          <w:sz w:val="20"/>
        </w:rPr>
        <w:t xml:space="preserve"> </w:t>
      </w:r>
      <w:r>
        <w:rPr>
          <w:color w:val="231F20"/>
          <w:sz w:val="20"/>
        </w:rPr>
        <w:t>point</w:t>
      </w:r>
    </w:p>
    <w:p w14:paraId="2CAAB862" w14:textId="77777777" w:rsidR="00894070" w:rsidRDefault="009B7AFD">
      <w:pPr>
        <w:pStyle w:val="ListParagraph"/>
        <w:numPr>
          <w:ilvl w:val="2"/>
          <w:numId w:val="29"/>
        </w:numPr>
        <w:tabs>
          <w:tab w:val="left" w:pos="2141"/>
          <w:tab w:val="left" w:pos="2142"/>
        </w:tabs>
        <w:spacing w:before="88" w:line="206" w:lineRule="auto"/>
        <w:ind w:right="1563" w:hanging="340"/>
        <w:rPr>
          <w:sz w:val="20"/>
        </w:rPr>
      </w:pPr>
      <w:r>
        <w:rPr>
          <w:color w:val="231F20"/>
          <w:spacing w:val="-3"/>
          <w:sz w:val="20"/>
        </w:rPr>
        <w:t>for</w:t>
      </w:r>
      <w:r>
        <w:rPr>
          <w:color w:val="231F20"/>
          <w:spacing w:val="-5"/>
          <w:sz w:val="20"/>
        </w:rPr>
        <w:t xml:space="preserve"> </w:t>
      </w:r>
      <w:r>
        <w:rPr>
          <w:color w:val="231F20"/>
          <w:sz w:val="20"/>
        </w:rPr>
        <w:t>mental</w:t>
      </w:r>
      <w:r>
        <w:rPr>
          <w:color w:val="231F20"/>
          <w:spacing w:val="-5"/>
          <w:sz w:val="20"/>
        </w:rPr>
        <w:t xml:space="preserve"> </w:t>
      </w:r>
      <w:r>
        <w:rPr>
          <w:color w:val="231F20"/>
          <w:sz w:val="20"/>
        </w:rPr>
        <w:t>health</w:t>
      </w:r>
      <w:r>
        <w:rPr>
          <w:color w:val="231F20"/>
          <w:spacing w:val="-5"/>
          <w:sz w:val="20"/>
        </w:rPr>
        <w:t xml:space="preserve"> </w:t>
      </w:r>
      <w:r>
        <w:rPr>
          <w:color w:val="231F20"/>
          <w:spacing w:val="-3"/>
          <w:sz w:val="20"/>
        </w:rPr>
        <w:t>treatment,</w:t>
      </w:r>
      <w:r>
        <w:rPr>
          <w:color w:val="231F20"/>
          <w:spacing w:val="-5"/>
          <w:sz w:val="20"/>
        </w:rPr>
        <w:t xml:space="preserve"> </w:t>
      </w:r>
      <w:r>
        <w:rPr>
          <w:color w:val="231F20"/>
          <w:spacing w:val="-3"/>
          <w:sz w:val="20"/>
        </w:rPr>
        <w:t>care,</w:t>
      </w:r>
      <w:r>
        <w:rPr>
          <w:color w:val="231F20"/>
          <w:spacing w:val="-5"/>
          <w:sz w:val="20"/>
        </w:rPr>
        <w:t xml:space="preserve"> </w:t>
      </w:r>
      <w:r>
        <w:rPr>
          <w:color w:val="231F20"/>
          <w:sz w:val="20"/>
        </w:rPr>
        <w:t>and</w:t>
      </w:r>
      <w:r>
        <w:rPr>
          <w:color w:val="231F20"/>
          <w:spacing w:val="-5"/>
          <w:sz w:val="20"/>
        </w:rPr>
        <w:t xml:space="preserve"> </w:t>
      </w:r>
      <w:r>
        <w:rPr>
          <w:color w:val="231F20"/>
          <w:sz w:val="20"/>
        </w:rPr>
        <w:t>support</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pacing w:val="-3"/>
          <w:sz w:val="20"/>
        </w:rPr>
        <w:t>integrated</w:t>
      </w:r>
      <w:r>
        <w:rPr>
          <w:color w:val="231F20"/>
          <w:spacing w:val="-4"/>
          <w:sz w:val="20"/>
        </w:rPr>
        <w:t xml:space="preserve"> </w:t>
      </w:r>
      <w:r>
        <w:rPr>
          <w:color w:val="231F20"/>
          <w:sz w:val="20"/>
        </w:rPr>
        <w:t>with</w:t>
      </w:r>
      <w:r>
        <w:rPr>
          <w:color w:val="231F20"/>
          <w:spacing w:val="-5"/>
          <w:sz w:val="20"/>
        </w:rPr>
        <w:t xml:space="preserve"> </w:t>
      </w:r>
      <w:r>
        <w:rPr>
          <w:color w:val="231F20"/>
          <w:sz w:val="20"/>
        </w:rPr>
        <w:t>support</w:t>
      </w:r>
      <w:r>
        <w:rPr>
          <w:color w:val="231F20"/>
          <w:spacing w:val="-5"/>
          <w:sz w:val="20"/>
        </w:rPr>
        <w:t xml:space="preserve"> </w:t>
      </w:r>
      <w:r>
        <w:rPr>
          <w:color w:val="231F20"/>
          <w:spacing w:val="-3"/>
          <w:sz w:val="20"/>
        </w:rPr>
        <w:t xml:space="preserve">for </w:t>
      </w:r>
      <w:r>
        <w:rPr>
          <w:color w:val="231F20"/>
          <w:sz w:val="20"/>
        </w:rPr>
        <w:t>substance use or</w:t>
      </w:r>
      <w:r>
        <w:rPr>
          <w:color w:val="231F20"/>
          <w:spacing w:val="-13"/>
          <w:sz w:val="20"/>
        </w:rPr>
        <w:t xml:space="preserve"> </w:t>
      </w:r>
      <w:r>
        <w:rPr>
          <w:color w:val="231F20"/>
          <w:sz w:val="20"/>
        </w:rPr>
        <w:t>addiction</w:t>
      </w:r>
    </w:p>
    <w:p w14:paraId="2C705BE6" w14:textId="77777777" w:rsidR="00894070" w:rsidRDefault="009B7AFD">
      <w:pPr>
        <w:pStyle w:val="ListParagraph"/>
        <w:numPr>
          <w:ilvl w:val="2"/>
          <w:numId w:val="29"/>
        </w:numPr>
        <w:tabs>
          <w:tab w:val="left" w:pos="2141"/>
          <w:tab w:val="left" w:pos="2142"/>
        </w:tabs>
        <w:spacing w:before="87" w:line="206" w:lineRule="auto"/>
        <w:ind w:right="1202" w:hanging="340"/>
        <w:rPr>
          <w:sz w:val="20"/>
        </w:rPr>
      </w:pPr>
      <w:r>
        <w:rPr>
          <w:color w:val="231F20"/>
          <w:spacing w:val="-3"/>
          <w:sz w:val="20"/>
        </w:rPr>
        <w:t>for</w:t>
      </w:r>
      <w:r>
        <w:rPr>
          <w:color w:val="231F20"/>
          <w:spacing w:val="-9"/>
          <w:sz w:val="20"/>
        </w:rPr>
        <w:t xml:space="preserve"> </w:t>
      </w:r>
      <w:r>
        <w:rPr>
          <w:color w:val="231F20"/>
          <w:sz w:val="20"/>
        </w:rPr>
        <w:t>mental</w:t>
      </w:r>
      <w:r>
        <w:rPr>
          <w:color w:val="231F20"/>
          <w:spacing w:val="-9"/>
          <w:sz w:val="20"/>
        </w:rPr>
        <w:t xml:space="preserve"> </w:t>
      </w:r>
      <w:r>
        <w:rPr>
          <w:color w:val="231F20"/>
          <w:sz w:val="20"/>
        </w:rPr>
        <w:t>health</w:t>
      </w:r>
      <w:r>
        <w:rPr>
          <w:color w:val="231F20"/>
          <w:spacing w:val="-8"/>
          <w:sz w:val="20"/>
        </w:rPr>
        <w:t xml:space="preserve"> </w:t>
      </w:r>
      <w:r>
        <w:rPr>
          <w:color w:val="231F20"/>
          <w:sz w:val="20"/>
        </w:rPr>
        <w:t>and</w:t>
      </w:r>
      <w:r>
        <w:rPr>
          <w:color w:val="231F20"/>
          <w:spacing w:val="-9"/>
          <w:sz w:val="20"/>
        </w:rPr>
        <w:t xml:space="preserve"> </w:t>
      </w:r>
      <w:r>
        <w:rPr>
          <w:color w:val="231F20"/>
          <w:sz w:val="20"/>
        </w:rPr>
        <w:t>wellbeing</w:t>
      </w:r>
      <w:r>
        <w:rPr>
          <w:color w:val="231F20"/>
          <w:spacing w:val="-8"/>
          <w:sz w:val="20"/>
        </w:rPr>
        <w:t xml:space="preserve"> </w:t>
      </w:r>
      <w:r>
        <w:rPr>
          <w:color w:val="231F20"/>
          <w:sz w:val="20"/>
        </w:rPr>
        <w:t>services</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adults</w:t>
      </w:r>
      <w:r>
        <w:rPr>
          <w:color w:val="231F20"/>
          <w:spacing w:val="-9"/>
          <w:sz w:val="20"/>
        </w:rPr>
        <w:t xml:space="preserve"> </w:t>
      </w:r>
      <w:r>
        <w:rPr>
          <w:color w:val="231F20"/>
          <w:sz w:val="20"/>
        </w:rPr>
        <w:t>to</w:t>
      </w:r>
      <w:r>
        <w:rPr>
          <w:color w:val="231F20"/>
          <w:spacing w:val="-8"/>
          <w:sz w:val="20"/>
        </w:rPr>
        <w:t xml:space="preserve"> </w:t>
      </w:r>
      <w:r>
        <w:rPr>
          <w:color w:val="231F20"/>
          <w:spacing w:val="-3"/>
          <w:sz w:val="20"/>
        </w:rPr>
        <w:t>provide</w:t>
      </w:r>
      <w:r>
        <w:rPr>
          <w:color w:val="231F20"/>
          <w:spacing w:val="-9"/>
          <w:sz w:val="20"/>
        </w:rPr>
        <w:t xml:space="preserve"> </w:t>
      </w:r>
      <w:r>
        <w:rPr>
          <w:color w:val="231F20"/>
          <w:sz w:val="20"/>
        </w:rPr>
        <w:t>consistent</w:t>
      </w:r>
      <w:r>
        <w:rPr>
          <w:color w:val="231F20"/>
          <w:spacing w:val="-9"/>
          <w:sz w:val="20"/>
        </w:rPr>
        <w:t xml:space="preserve"> </w:t>
      </w:r>
      <w:r>
        <w:rPr>
          <w:color w:val="231F20"/>
          <w:spacing w:val="-3"/>
          <w:sz w:val="20"/>
        </w:rPr>
        <w:t xml:space="preserve">treatment, care, </w:t>
      </w:r>
      <w:r>
        <w:rPr>
          <w:color w:val="231F20"/>
          <w:sz w:val="20"/>
        </w:rPr>
        <w:t xml:space="preserve">and support to people in contact or at risk of contact with the criminal justice </w:t>
      </w:r>
      <w:r>
        <w:rPr>
          <w:color w:val="231F20"/>
          <w:spacing w:val="-2"/>
          <w:sz w:val="20"/>
        </w:rPr>
        <w:t>system</w:t>
      </w:r>
    </w:p>
    <w:p w14:paraId="6D82474A" w14:textId="77777777" w:rsidR="00894070" w:rsidRDefault="009B7AFD">
      <w:pPr>
        <w:pStyle w:val="ListParagraph"/>
        <w:numPr>
          <w:ilvl w:val="2"/>
          <w:numId w:val="29"/>
        </w:numPr>
        <w:tabs>
          <w:tab w:val="left" w:pos="2141"/>
          <w:tab w:val="left" w:pos="2142"/>
        </w:tabs>
        <w:spacing w:before="89" w:line="206" w:lineRule="auto"/>
        <w:ind w:right="1285" w:hanging="340"/>
        <w:rPr>
          <w:sz w:val="11"/>
        </w:rPr>
      </w:pPr>
      <w:r>
        <w:rPr>
          <w:color w:val="231F20"/>
          <w:spacing w:val="-3"/>
          <w:sz w:val="20"/>
        </w:rPr>
        <w:t xml:space="preserve">for </w:t>
      </w:r>
      <w:r>
        <w:rPr>
          <w:color w:val="231F20"/>
          <w:sz w:val="20"/>
        </w:rPr>
        <w:t xml:space="preserve">a program </w:t>
      </w:r>
      <w:r>
        <w:rPr>
          <w:color w:val="231F20"/>
          <w:spacing w:val="-3"/>
          <w:sz w:val="20"/>
        </w:rPr>
        <w:t xml:space="preserve">for </w:t>
      </w:r>
      <w:r>
        <w:rPr>
          <w:color w:val="231F20"/>
          <w:sz w:val="20"/>
        </w:rPr>
        <w:t xml:space="preserve">people in prison living with mental illness to transition </w:t>
      </w:r>
      <w:r>
        <w:rPr>
          <w:color w:val="231F20"/>
          <w:spacing w:val="-3"/>
          <w:sz w:val="20"/>
        </w:rPr>
        <w:t xml:space="preserve">from </w:t>
      </w:r>
      <w:r>
        <w:rPr>
          <w:color w:val="231F20"/>
          <w:sz w:val="20"/>
        </w:rPr>
        <w:t>correctional</w:t>
      </w:r>
      <w:r>
        <w:rPr>
          <w:color w:val="231F20"/>
          <w:spacing w:val="-11"/>
          <w:sz w:val="20"/>
        </w:rPr>
        <w:t xml:space="preserve"> </w:t>
      </w:r>
      <w:r>
        <w:rPr>
          <w:color w:val="231F20"/>
          <w:sz w:val="20"/>
        </w:rPr>
        <w:t>setting</w:t>
      </w:r>
      <w:r>
        <w:rPr>
          <w:color w:val="231F20"/>
          <w:spacing w:val="-11"/>
          <w:sz w:val="20"/>
        </w:rPr>
        <w:t xml:space="preserve"> </w:t>
      </w:r>
      <w:r>
        <w:rPr>
          <w:color w:val="231F20"/>
          <w:sz w:val="20"/>
        </w:rPr>
        <w:t>support</w:t>
      </w:r>
      <w:r>
        <w:rPr>
          <w:color w:val="231F20"/>
          <w:spacing w:val="-11"/>
          <w:sz w:val="20"/>
        </w:rPr>
        <w:t xml:space="preserve"> </w:t>
      </w:r>
      <w:r>
        <w:rPr>
          <w:color w:val="231F20"/>
          <w:sz w:val="20"/>
        </w:rPr>
        <w:t>to</w:t>
      </w:r>
      <w:r>
        <w:rPr>
          <w:color w:val="231F20"/>
          <w:spacing w:val="-11"/>
          <w:sz w:val="20"/>
        </w:rPr>
        <w:t xml:space="preserve"> </w:t>
      </w:r>
      <w:r>
        <w:rPr>
          <w:color w:val="231F20"/>
          <w:sz w:val="20"/>
        </w:rPr>
        <w:t>the</w:t>
      </w:r>
      <w:r>
        <w:rPr>
          <w:color w:val="231F20"/>
          <w:spacing w:val="-11"/>
          <w:sz w:val="20"/>
        </w:rPr>
        <w:t xml:space="preserve"> </w:t>
      </w:r>
      <w:r>
        <w:rPr>
          <w:color w:val="231F20"/>
          <w:sz w:val="20"/>
        </w:rPr>
        <w:t>mental</w:t>
      </w:r>
      <w:r>
        <w:rPr>
          <w:color w:val="231F20"/>
          <w:spacing w:val="-11"/>
          <w:sz w:val="20"/>
        </w:rPr>
        <w:t xml:space="preserve"> </w:t>
      </w:r>
      <w:r>
        <w:rPr>
          <w:color w:val="231F20"/>
          <w:sz w:val="20"/>
        </w:rPr>
        <w:t>health</w:t>
      </w:r>
      <w:r>
        <w:rPr>
          <w:color w:val="231F20"/>
          <w:spacing w:val="-10"/>
          <w:sz w:val="20"/>
        </w:rPr>
        <w:t xml:space="preserve"> </w:t>
      </w:r>
      <w:r>
        <w:rPr>
          <w:color w:val="231F20"/>
          <w:sz w:val="20"/>
        </w:rPr>
        <w:t>and</w:t>
      </w:r>
      <w:r>
        <w:rPr>
          <w:color w:val="231F20"/>
          <w:spacing w:val="-11"/>
          <w:sz w:val="20"/>
        </w:rPr>
        <w:t xml:space="preserve"> </w:t>
      </w:r>
      <w:r>
        <w:rPr>
          <w:color w:val="231F20"/>
          <w:sz w:val="20"/>
        </w:rPr>
        <w:t>wellbeing</w:t>
      </w:r>
      <w:r>
        <w:rPr>
          <w:color w:val="231F20"/>
          <w:spacing w:val="-11"/>
          <w:sz w:val="20"/>
        </w:rPr>
        <w:t xml:space="preserve"> </w:t>
      </w:r>
      <w:r>
        <w:rPr>
          <w:color w:val="231F20"/>
          <w:spacing w:val="-2"/>
          <w:sz w:val="20"/>
        </w:rPr>
        <w:t>system</w:t>
      </w:r>
      <w:r>
        <w:rPr>
          <w:color w:val="231F20"/>
          <w:spacing w:val="-11"/>
          <w:sz w:val="20"/>
        </w:rPr>
        <w:t xml:space="preserve"> </w:t>
      </w:r>
      <w:r>
        <w:rPr>
          <w:color w:val="231F20"/>
          <w:sz w:val="20"/>
        </w:rPr>
        <w:t>when</w:t>
      </w:r>
      <w:r>
        <w:rPr>
          <w:color w:val="231F20"/>
          <w:spacing w:val="-11"/>
          <w:sz w:val="20"/>
        </w:rPr>
        <w:t xml:space="preserve"> </w:t>
      </w:r>
      <w:r>
        <w:rPr>
          <w:color w:val="231F20"/>
          <w:sz w:val="20"/>
        </w:rPr>
        <w:t xml:space="preserve">they </w:t>
      </w:r>
      <w:r>
        <w:rPr>
          <w:color w:val="231F20"/>
          <w:spacing w:val="-3"/>
          <w:sz w:val="20"/>
        </w:rPr>
        <w:t>are</w:t>
      </w:r>
      <w:r>
        <w:rPr>
          <w:color w:val="231F20"/>
          <w:spacing w:val="-4"/>
          <w:sz w:val="20"/>
        </w:rPr>
        <w:t xml:space="preserve"> </w:t>
      </w:r>
      <w:r>
        <w:rPr>
          <w:color w:val="231F20"/>
          <w:sz w:val="20"/>
        </w:rPr>
        <w:t>released.</w:t>
      </w:r>
      <w:r>
        <w:rPr>
          <w:color w:val="231F20"/>
          <w:position w:val="7"/>
          <w:sz w:val="11"/>
        </w:rPr>
        <w:t>27</w:t>
      </w:r>
    </w:p>
    <w:p w14:paraId="39F5DFB0" w14:textId="77777777" w:rsidR="00894070" w:rsidRDefault="009B7AFD">
      <w:pPr>
        <w:pStyle w:val="ListParagraph"/>
        <w:numPr>
          <w:ilvl w:val="1"/>
          <w:numId w:val="29"/>
        </w:numPr>
        <w:tabs>
          <w:tab w:val="left" w:pos="1801"/>
          <w:tab w:val="left" w:pos="1802"/>
        </w:tabs>
        <w:spacing w:before="89" w:line="206" w:lineRule="auto"/>
        <w:ind w:right="1634"/>
        <w:rPr>
          <w:sz w:val="20"/>
        </w:rPr>
      </w:pPr>
      <w:r>
        <w:rPr>
          <w:color w:val="231F20"/>
          <w:sz w:val="20"/>
        </w:rPr>
        <w:t>The</w:t>
      </w:r>
      <w:r>
        <w:rPr>
          <w:color w:val="231F20"/>
          <w:spacing w:val="-12"/>
          <w:sz w:val="20"/>
        </w:rPr>
        <w:t xml:space="preserve"> </w:t>
      </w:r>
      <w:r>
        <w:rPr>
          <w:color w:val="231F20"/>
          <w:sz w:val="20"/>
        </w:rPr>
        <w:t>Victorian</w:t>
      </w:r>
      <w:r>
        <w:rPr>
          <w:color w:val="231F20"/>
          <w:spacing w:val="-11"/>
          <w:sz w:val="20"/>
        </w:rPr>
        <w:t xml:space="preserve"> </w:t>
      </w:r>
      <w:r>
        <w:rPr>
          <w:color w:val="231F20"/>
          <w:spacing w:val="-3"/>
          <w:sz w:val="20"/>
        </w:rPr>
        <w:t>Government</w:t>
      </w:r>
      <w:r>
        <w:rPr>
          <w:color w:val="231F20"/>
          <w:spacing w:val="-11"/>
          <w:sz w:val="20"/>
        </w:rPr>
        <w:t xml:space="preserve"> </w:t>
      </w:r>
      <w:r>
        <w:rPr>
          <w:color w:val="231F20"/>
          <w:sz w:val="20"/>
        </w:rPr>
        <w:t>has</w:t>
      </w:r>
      <w:r>
        <w:rPr>
          <w:color w:val="231F20"/>
          <w:spacing w:val="-12"/>
          <w:sz w:val="20"/>
        </w:rPr>
        <w:t xml:space="preserve"> </w:t>
      </w:r>
      <w:r>
        <w:rPr>
          <w:color w:val="231F20"/>
          <w:sz w:val="20"/>
        </w:rPr>
        <w:t>committed</w:t>
      </w:r>
      <w:r>
        <w:rPr>
          <w:color w:val="231F20"/>
          <w:spacing w:val="-11"/>
          <w:sz w:val="20"/>
        </w:rPr>
        <w:t xml:space="preserve"> </w:t>
      </w:r>
      <w:r>
        <w:rPr>
          <w:color w:val="231F20"/>
          <w:sz w:val="20"/>
        </w:rPr>
        <w:t>to</w:t>
      </w:r>
      <w:r>
        <w:rPr>
          <w:color w:val="231F20"/>
          <w:spacing w:val="-11"/>
          <w:sz w:val="20"/>
        </w:rPr>
        <w:t xml:space="preserve"> </w:t>
      </w:r>
      <w:r>
        <w:rPr>
          <w:color w:val="231F20"/>
          <w:sz w:val="20"/>
        </w:rPr>
        <w:t>adopting</w:t>
      </w:r>
      <w:r>
        <w:rPr>
          <w:color w:val="231F20"/>
          <w:spacing w:val="-11"/>
          <w:sz w:val="20"/>
        </w:rPr>
        <w:t xml:space="preserve"> </w:t>
      </w:r>
      <w:r>
        <w:rPr>
          <w:color w:val="231F20"/>
          <w:sz w:val="20"/>
        </w:rPr>
        <w:t>all</w:t>
      </w:r>
      <w:r>
        <w:rPr>
          <w:color w:val="231F20"/>
          <w:spacing w:val="-12"/>
          <w:sz w:val="20"/>
        </w:rPr>
        <w:t xml:space="preserve"> </w:t>
      </w:r>
      <w:r>
        <w:rPr>
          <w:color w:val="231F20"/>
          <w:sz w:val="20"/>
        </w:rPr>
        <w:t>the</w:t>
      </w:r>
      <w:r>
        <w:rPr>
          <w:color w:val="231F20"/>
          <w:spacing w:val="-11"/>
          <w:sz w:val="20"/>
        </w:rPr>
        <w:t xml:space="preserve"> </w:t>
      </w:r>
      <w:r>
        <w:rPr>
          <w:color w:val="231F20"/>
          <w:sz w:val="20"/>
        </w:rPr>
        <w:t>recommendations</w:t>
      </w:r>
      <w:r>
        <w:rPr>
          <w:color w:val="231F20"/>
          <w:spacing w:val="-11"/>
          <w:sz w:val="20"/>
        </w:rPr>
        <w:t xml:space="preserve"> </w:t>
      </w:r>
      <w:r>
        <w:rPr>
          <w:color w:val="231F20"/>
          <w:sz w:val="20"/>
        </w:rPr>
        <w:t xml:space="preserve">of the </w:t>
      </w:r>
      <w:r>
        <w:rPr>
          <w:color w:val="231F20"/>
          <w:spacing w:val="-3"/>
          <w:sz w:val="20"/>
        </w:rPr>
        <w:t xml:space="preserve">Royal </w:t>
      </w:r>
      <w:r>
        <w:rPr>
          <w:color w:val="231F20"/>
          <w:sz w:val="20"/>
        </w:rPr>
        <w:t>Commission,</w:t>
      </w:r>
      <w:r>
        <w:rPr>
          <w:color w:val="231F20"/>
          <w:position w:val="7"/>
          <w:sz w:val="11"/>
        </w:rPr>
        <w:t xml:space="preserve">28 </w:t>
      </w:r>
      <w:r>
        <w:rPr>
          <w:color w:val="231F20"/>
          <w:sz w:val="20"/>
        </w:rPr>
        <w:t xml:space="preserve">which will </w:t>
      </w:r>
      <w:r>
        <w:rPr>
          <w:color w:val="231F20"/>
          <w:spacing w:val="-3"/>
          <w:sz w:val="20"/>
        </w:rPr>
        <w:t xml:space="preserve">provide </w:t>
      </w:r>
      <w:r>
        <w:rPr>
          <w:color w:val="231F20"/>
          <w:sz w:val="20"/>
        </w:rPr>
        <w:t xml:space="preserve">a strong </w:t>
      </w:r>
      <w:r>
        <w:rPr>
          <w:color w:val="231F20"/>
          <w:spacing w:val="-3"/>
          <w:sz w:val="20"/>
        </w:rPr>
        <w:t xml:space="preserve">framework for developing </w:t>
      </w:r>
      <w:r>
        <w:rPr>
          <w:color w:val="231F20"/>
          <w:sz w:val="20"/>
        </w:rPr>
        <w:t xml:space="preserve">a </w:t>
      </w:r>
      <w:r>
        <w:rPr>
          <w:color w:val="231F20"/>
          <w:spacing w:val="-3"/>
          <w:sz w:val="20"/>
        </w:rPr>
        <w:t xml:space="preserve">coordinated </w:t>
      </w:r>
      <w:r>
        <w:rPr>
          <w:color w:val="231F20"/>
          <w:sz w:val="20"/>
        </w:rPr>
        <w:t>response to non-family violence</w:t>
      </w:r>
      <w:r>
        <w:rPr>
          <w:color w:val="231F20"/>
          <w:spacing w:val="-22"/>
          <w:sz w:val="20"/>
        </w:rPr>
        <w:t xml:space="preserve"> </w:t>
      </w:r>
      <w:r>
        <w:rPr>
          <w:color w:val="231F20"/>
          <w:sz w:val="20"/>
        </w:rPr>
        <w:t>stalking.</w:t>
      </w:r>
    </w:p>
    <w:p w14:paraId="28933BE1" w14:textId="77777777" w:rsidR="00894070" w:rsidRDefault="009B7AFD">
      <w:pPr>
        <w:pStyle w:val="ListParagraph"/>
        <w:numPr>
          <w:ilvl w:val="1"/>
          <w:numId w:val="29"/>
        </w:numPr>
        <w:tabs>
          <w:tab w:val="left" w:pos="1801"/>
          <w:tab w:val="left" w:pos="1802"/>
        </w:tabs>
        <w:spacing w:before="124" w:line="206" w:lineRule="auto"/>
        <w:ind w:right="1264"/>
        <w:rPr>
          <w:sz w:val="11"/>
        </w:rPr>
      </w:pPr>
      <w:r>
        <w:rPr>
          <w:color w:val="231F20"/>
          <w:spacing w:val="-3"/>
          <w:sz w:val="20"/>
        </w:rPr>
        <w:t xml:space="preserve">Reforms </w:t>
      </w:r>
      <w:r>
        <w:rPr>
          <w:color w:val="231F20"/>
          <w:sz w:val="20"/>
        </w:rPr>
        <w:t xml:space="preserve">to mental health service </w:t>
      </w:r>
      <w:r>
        <w:rPr>
          <w:color w:val="231F20"/>
          <w:spacing w:val="-3"/>
          <w:sz w:val="20"/>
        </w:rPr>
        <w:t xml:space="preserve">delivery, </w:t>
      </w:r>
      <w:r>
        <w:rPr>
          <w:color w:val="231F20"/>
          <w:sz w:val="20"/>
        </w:rPr>
        <w:t xml:space="preserve">including establishing service delivery </w:t>
      </w:r>
      <w:r>
        <w:rPr>
          <w:color w:val="231F20"/>
          <w:spacing w:val="-3"/>
          <w:sz w:val="20"/>
        </w:rPr>
        <w:t xml:space="preserve">across </w:t>
      </w:r>
      <w:r>
        <w:rPr>
          <w:color w:val="231F20"/>
          <w:sz w:val="20"/>
        </w:rPr>
        <w:t xml:space="preserve">Victoria at local, area-based, and </w:t>
      </w:r>
      <w:r>
        <w:rPr>
          <w:color w:val="231F20"/>
          <w:spacing w:val="-3"/>
          <w:sz w:val="20"/>
        </w:rPr>
        <w:t xml:space="preserve">statewide levels </w:t>
      </w:r>
      <w:r>
        <w:rPr>
          <w:color w:val="231F20"/>
          <w:sz w:val="20"/>
        </w:rPr>
        <w:t xml:space="preserve">operating at extended hours and </w:t>
      </w:r>
      <w:r>
        <w:rPr>
          <w:color w:val="231F20"/>
          <w:spacing w:val="-3"/>
          <w:sz w:val="20"/>
        </w:rPr>
        <w:t xml:space="preserve">delivered </w:t>
      </w:r>
      <w:r>
        <w:rPr>
          <w:color w:val="231F20"/>
          <w:sz w:val="20"/>
        </w:rPr>
        <w:t>in a variety of settings,</w:t>
      </w:r>
      <w:r>
        <w:rPr>
          <w:color w:val="231F20"/>
          <w:position w:val="7"/>
          <w:sz w:val="11"/>
        </w:rPr>
        <w:t xml:space="preserve">29 </w:t>
      </w:r>
      <w:r>
        <w:rPr>
          <w:color w:val="231F20"/>
          <w:sz w:val="20"/>
        </w:rPr>
        <w:t xml:space="preserve">will </w:t>
      </w:r>
      <w:r>
        <w:rPr>
          <w:color w:val="231F20"/>
          <w:spacing w:val="-3"/>
          <w:sz w:val="20"/>
        </w:rPr>
        <w:t xml:space="preserve">produce </w:t>
      </w:r>
      <w:r>
        <w:rPr>
          <w:color w:val="231F20"/>
          <w:sz w:val="20"/>
        </w:rPr>
        <w:t xml:space="preserve">benefits to the whole </w:t>
      </w:r>
      <w:r>
        <w:rPr>
          <w:color w:val="231F20"/>
          <w:spacing w:val="-3"/>
          <w:sz w:val="20"/>
        </w:rPr>
        <w:t xml:space="preserve">community, </w:t>
      </w:r>
      <w:r>
        <w:rPr>
          <w:color w:val="231F20"/>
          <w:sz w:val="20"/>
        </w:rPr>
        <w:t>including</w:t>
      </w:r>
      <w:r>
        <w:rPr>
          <w:color w:val="231F20"/>
          <w:spacing w:val="-10"/>
          <w:sz w:val="20"/>
        </w:rPr>
        <w:t xml:space="preserve"> </w:t>
      </w:r>
      <w:r>
        <w:rPr>
          <w:color w:val="231F20"/>
          <w:sz w:val="20"/>
        </w:rPr>
        <w:t>people</w:t>
      </w:r>
      <w:r>
        <w:rPr>
          <w:color w:val="231F20"/>
          <w:spacing w:val="-10"/>
          <w:sz w:val="20"/>
        </w:rPr>
        <w:t xml:space="preserve"> </w:t>
      </w:r>
      <w:r>
        <w:rPr>
          <w:color w:val="231F20"/>
          <w:sz w:val="20"/>
        </w:rPr>
        <w:t>who</w:t>
      </w:r>
      <w:r>
        <w:rPr>
          <w:color w:val="231F20"/>
          <w:spacing w:val="-10"/>
          <w:sz w:val="20"/>
        </w:rPr>
        <w:t xml:space="preserve"> </w:t>
      </w:r>
      <w:r>
        <w:rPr>
          <w:color w:val="231F20"/>
          <w:sz w:val="20"/>
        </w:rPr>
        <w:t>stalk.</w:t>
      </w:r>
      <w:r>
        <w:rPr>
          <w:color w:val="231F20"/>
          <w:spacing w:val="-10"/>
          <w:sz w:val="20"/>
        </w:rPr>
        <w:t xml:space="preserve"> </w:t>
      </w:r>
      <w:r>
        <w:rPr>
          <w:color w:val="231F20"/>
          <w:sz w:val="20"/>
        </w:rPr>
        <w:t>Such</w:t>
      </w:r>
      <w:r>
        <w:rPr>
          <w:color w:val="231F20"/>
          <w:spacing w:val="-10"/>
          <w:sz w:val="20"/>
        </w:rPr>
        <w:t xml:space="preserve"> </w:t>
      </w:r>
      <w:r>
        <w:rPr>
          <w:color w:val="231F20"/>
          <w:spacing w:val="-3"/>
          <w:sz w:val="20"/>
        </w:rPr>
        <w:t>reforms</w:t>
      </w:r>
      <w:r>
        <w:rPr>
          <w:color w:val="231F20"/>
          <w:spacing w:val="-9"/>
          <w:sz w:val="20"/>
        </w:rPr>
        <w:t xml:space="preserve"> </w:t>
      </w:r>
      <w:r>
        <w:rPr>
          <w:color w:val="231F20"/>
          <w:sz w:val="20"/>
        </w:rPr>
        <w:t>will</w:t>
      </w:r>
      <w:r>
        <w:rPr>
          <w:color w:val="231F20"/>
          <w:spacing w:val="-10"/>
          <w:sz w:val="20"/>
        </w:rPr>
        <w:t xml:space="preserve"> </w:t>
      </w:r>
      <w:r>
        <w:rPr>
          <w:color w:val="231F20"/>
          <w:sz w:val="20"/>
        </w:rPr>
        <w:t>enable</w:t>
      </w:r>
      <w:r>
        <w:rPr>
          <w:color w:val="231F20"/>
          <w:spacing w:val="-10"/>
          <w:sz w:val="20"/>
        </w:rPr>
        <w:t xml:space="preserve"> </w:t>
      </w:r>
      <w:r>
        <w:rPr>
          <w:color w:val="231F20"/>
          <w:sz w:val="20"/>
        </w:rPr>
        <w:t>them</w:t>
      </w:r>
      <w:r>
        <w:rPr>
          <w:color w:val="231F20"/>
          <w:spacing w:val="-10"/>
          <w:sz w:val="20"/>
        </w:rPr>
        <w:t xml:space="preserve"> </w:t>
      </w:r>
      <w:r>
        <w:rPr>
          <w:color w:val="231F20"/>
          <w:sz w:val="20"/>
        </w:rPr>
        <w:t>to</w:t>
      </w:r>
      <w:r>
        <w:rPr>
          <w:color w:val="231F20"/>
          <w:spacing w:val="-10"/>
          <w:sz w:val="20"/>
        </w:rPr>
        <w:t xml:space="preserve"> </w:t>
      </w:r>
      <w:r>
        <w:rPr>
          <w:color w:val="231F20"/>
          <w:sz w:val="20"/>
        </w:rPr>
        <w:t>access</w:t>
      </w:r>
      <w:r>
        <w:rPr>
          <w:color w:val="231F20"/>
          <w:spacing w:val="-9"/>
          <w:sz w:val="20"/>
        </w:rPr>
        <w:t xml:space="preserve"> </w:t>
      </w:r>
      <w:r>
        <w:rPr>
          <w:color w:val="231F20"/>
          <w:sz w:val="20"/>
        </w:rPr>
        <w:t>the</w:t>
      </w:r>
      <w:r>
        <w:rPr>
          <w:color w:val="231F20"/>
          <w:spacing w:val="-10"/>
          <w:sz w:val="20"/>
        </w:rPr>
        <w:t xml:space="preserve"> </w:t>
      </w:r>
      <w:r>
        <w:rPr>
          <w:color w:val="231F20"/>
          <w:sz w:val="20"/>
        </w:rPr>
        <w:t>services</w:t>
      </w:r>
      <w:r>
        <w:rPr>
          <w:color w:val="231F20"/>
          <w:spacing w:val="-10"/>
          <w:sz w:val="20"/>
        </w:rPr>
        <w:t xml:space="preserve"> </w:t>
      </w:r>
      <w:r>
        <w:rPr>
          <w:color w:val="231F20"/>
          <w:sz w:val="20"/>
        </w:rPr>
        <w:t>they need, more</w:t>
      </w:r>
      <w:r>
        <w:rPr>
          <w:color w:val="231F20"/>
          <w:spacing w:val="-8"/>
          <w:sz w:val="20"/>
        </w:rPr>
        <w:t xml:space="preserve"> </w:t>
      </w:r>
      <w:r>
        <w:rPr>
          <w:color w:val="231F20"/>
          <w:spacing w:val="-3"/>
          <w:sz w:val="20"/>
        </w:rPr>
        <w:t>easily.</w:t>
      </w:r>
      <w:r>
        <w:rPr>
          <w:color w:val="231F20"/>
          <w:spacing w:val="-3"/>
          <w:position w:val="7"/>
          <w:sz w:val="11"/>
        </w:rPr>
        <w:t>30</w:t>
      </w:r>
    </w:p>
    <w:p w14:paraId="336CF185" w14:textId="77777777" w:rsidR="00894070" w:rsidRDefault="009B7AFD">
      <w:pPr>
        <w:pStyle w:val="ListParagraph"/>
        <w:numPr>
          <w:ilvl w:val="1"/>
          <w:numId w:val="29"/>
        </w:numPr>
        <w:tabs>
          <w:tab w:val="left" w:pos="1801"/>
          <w:tab w:val="left" w:pos="1802"/>
        </w:tabs>
        <w:spacing w:before="126" w:line="206" w:lineRule="auto"/>
        <w:ind w:right="1376"/>
        <w:rPr>
          <w:sz w:val="11"/>
        </w:rPr>
      </w:pPr>
      <w:r>
        <w:rPr>
          <w:color w:val="231F20"/>
          <w:sz w:val="20"/>
        </w:rPr>
        <w:t>Next</w:t>
      </w:r>
      <w:r>
        <w:rPr>
          <w:color w:val="231F20"/>
          <w:spacing w:val="-6"/>
          <w:sz w:val="20"/>
        </w:rPr>
        <w:t xml:space="preserve"> </w:t>
      </w:r>
      <w:r>
        <w:rPr>
          <w:color w:val="231F20"/>
          <w:spacing w:val="-3"/>
          <w:sz w:val="20"/>
        </w:rPr>
        <w:t>we</w:t>
      </w:r>
      <w:r>
        <w:rPr>
          <w:color w:val="231F20"/>
          <w:spacing w:val="-5"/>
          <w:sz w:val="20"/>
        </w:rPr>
        <w:t xml:space="preserve"> </w:t>
      </w:r>
      <w:r>
        <w:rPr>
          <w:color w:val="231F20"/>
          <w:sz w:val="20"/>
        </w:rPr>
        <w:t>identify</w:t>
      </w:r>
      <w:r>
        <w:rPr>
          <w:color w:val="231F20"/>
          <w:spacing w:val="-5"/>
          <w:sz w:val="20"/>
        </w:rPr>
        <w:t xml:space="preserve"> </w:t>
      </w:r>
      <w:r>
        <w:rPr>
          <w:color w:val="231F20"/>
          <w:spacing w:val="-4"/>
          <w:sz w:val="20"/>
        </w:rPr>
        <w:t>key</w:t>
      </w:r>
      <w:r>
        <w:rPr>
          <w:color w:val="231F20"/>
          <w:spacing w:val="-5"/>
          <w:sz w:val="20"/>
        </w:rPr>
        <w:t xml:space="preserve"> </w:t>
      </w:r>
      <w:r>
        <w:rPr>
          <w:color w:val="231F20"/>
          <w:sz w:val="20"/>
        </w:rPr>
        <w:t>components</w:t>
      </w:r>
      <w:r>
        <w:rPr>
          <w:color w:val="231F20"/>
          <w:spacing w:val="-6"/>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coordinated</w:t>
      </w:r>
      <w:r>
        <w:rPr>
          <w:color w:val="231F20"/>
          <w:spacing w:val="-5"/>
          <w:sz w:val="20"/>
        </w:rPr>
        <w:t xml:space="preserve"> </w:t>
      </w:r>
      <w:r>
        <w:rPr>
          <w:color w:val="231F20"/>
          <w:spacing w:val="-3"/>
          <w:sz w:val="20"/>
        </w:rPr>
        <w:t>response,</w:t>
      </w:r>
      <w:r>
        <w:rPr>
          <w:color w:val="231F20"/>
          <w:spacing w:val="-6"/>
          <w:sz w:val="20"/>
        </w:rPr>
        <w:t xml:space="preserve"> </w:t>
      </w:r>
      <w:r>
        <w:rPr>
          <w:color w:val="231F20"/>
          <w:sz w:val="20"/>
        </w:rPr>
        <w:t>some</w:t>
      </w:r>
      <w:r>
        <w:rPr>
          <w:color w:val="231F20"/>
          <w:spacing w:val="-5"/>
          <w:sz w:val="20"/>
        </w:rPr>
        <w:t xml:space="preserve"> </w:t>
      </w:r>
      <w:r>
        <w:rPr>
          <w:color w:val="231F20"/>
          <w:sz w:val="20"/>
        </w:rPr>
        <w:t>of</w:t>
      </w:r>
      <w:r>
        <w:rPr>
          <w:color w:val="231F20"/>
          <w:spacing w:val="-5"/>
          <w:sz w:val="20"/>
        </w:rPr>
        <w:t xml:space="preserve"> </w:t>
      </w:r>
      <w:r>
        <w:rPr>
          <w:color w:val="231F20"/>
          <w:sz w:val="20"/>
        </w:rPr>
        <w:t>which</w:t>
      </w:r>
      <w:r>
        <w:rPr>
          <w:color w:val="231F20"/>
          <w:spacing w:val="-5"/>
          <w:sz w:val="20"/>
        </w:rPr>
        <w:t xml:space="preserve"> </w:t>
      </w:r>
      <w:r>
        <w:rPr>
          <w:color w:val="231F20"/>
          <w:spacing w:val="-3"/>
          <w:sz w:val="20"/>
        </w:rPr>
        <w:t>we</w:t>
      </w:r>
      <w:r>
        <w:rPr>
          <w:color w:val="231F20"/>
          <w:spacing w:val="-5"/>
          <w:sz w:val="20"/>
        </w:rPr>
        <w:t xml:space="preserve"> </w:t>
      </w:r>
      <w:r>
        <w:rPr>
          <w:color w:val="231F20"/>
          <w:spacing w:val="-4"/>
          <w:sz w:val="20"/>
        </w:rPr>
        <w:t xml:space="preserve">have </w:t>
      </w:r>
      <w:r>
        <w:rPr>
          <w:color w:val="231F20"/>
          <w:sz w:val="20"/>
        </w:rPr>
        <w:t xml:space="preserve">drawn </w:t>
      </w:r>
      <w:r>
        <w:rPr>
          <w:color w:val="231F20"/>
          <w:spacing w:val="-3"/>
          <w:sz w:val="20"/>
        </w:rPr>
        <w:t xml:space="preserve">from </w:t>
      </w:r>
      <w:r>
        <w:rPr>
          <w:color w:val="231F20"/>
          <w:sz w:val="20"/>
        </w:rPr>
        <w:t xml:space="preserve">approaches to </w:t>
      </w:r>
      <w:r>
        <w:rPr>
          <w:color w:val="231F20"/>
          <w:spacing w:val="-3"/>
          <w:sz w:val="20"/>
        </w:rPr>
        <w:t>family</w:t>
      </w:r>
      <w:r>
        <w:rPr>
          <w:color w:val="231F20"/>
          <w:spacing w:val="-19"/>
          <w:sz w:val="20"/>
        </w:rPr>
        <w:t xml:space="preserve"> </w:t>
      </w:r>
      <w:r>
        <w:rPr>
          <w:color w:val="231F20"/>
          <w:sz w:val="20"/>
        </w:rPr>
        <w:t>violence:</w:t>
      </w:r>
      <w:r>
        <w:rPr>
          <w:color w:val="231F20"/>
          <w:position w:val="7"/>
          <w:sz w:val="11"/>
        </w:rPr>
        <w:t>31</w:t>
      </w:r>
    </w:p>
    <w:p w14:paraId="757A396E" w14:textId="77777777" w:rsidR="00894070" w:rsidRDefault="009B7AFD">
      <w:pPr>
        <w:pStyle w:val="ListParagraph"/>
        <w:numPr>
          <w:ilvl w:val="2"/>
          <w:numId w:val="29"/>
        </w:numPr>
        <w:tabs>
          <w:tab w:val="left" w:pos="2141"/>
          <w:tab w:val="left" w:pos="2142"/>
        </w:tabs>
        <w:spacing w:before="90"/>
        <w:ind w:hanging="340"/>
        <w:rPr>
          <w:sz w:val="20"/>
        </w:rPr>
      </w:pPr>
      <w:r>
        <w:rPr>
          <w:color w:val="231F20"/>
          <w:sz w:val="20"/>
        </w:rPr>
        <w:t xml:space="preserve">building the </w:t>
      </w:r>
      <w:r>
        <w:rPr>
          <w:color w:val="231F20"/>
          <w:spacing w:val="-3"/>
          <w:sz w:val="20"/>
        </w:rPr>
        <w:t>research</w:t>
      </w:r>
      <w:r>
        <w:rPr>
          <w:color w:val="231F20"/>
          <w:spacing w:val="-13"/>
          <w:sz w:val="20"/>
        </w:rPr>
        <w:t xml:space="preserve"> </w:t>
      </w:r>
      <w:r>
        <w:rPr>
          <w:color w:val="231F20"/>
          <w:sz w:val="20"/>
        </w:rPr>
        <w:t>base</w:t>
      </w:r>
    </w:p>
    <w:p w14:paraId="6CFA210D" w14:textId="77777777" w:rsidR="00894070" w:rsidRDefault="009B7AFD">
      <w:pPr>
        <w:pStyle w:val="ListParagraph"/>
        <w:numPr>
          <w:ilvl w:val="2"/>
          <w:numId w:val="29"/>
        </w:numPr>
        <w:tabs>
          <w:tab w:val="left" w:pos="2141"/>
          <w:tab w:val="left" w:pos="2142"/>
        </w:tabs>
        <w:spacing w:before="48"/>
        <w:ind w:hanging="340"/>
        <w:rPr>
          <w:sz w:val="20"/>
        </w:rPr>
      </w:pPr>
      <w:r>
        <w:rPr>
          <w:color w:val="231F20"/>
          <w:sz w:val="20"/>
        </w:rPr>
        <w:t xml:space="preserve">making services and funding available in a </w:t>
      </w:r>
      <w:r>
        <w:rPr>
          <w:color w:val="231F20"/>
          <w:spacing w:val="-3"/>
          <w:sz w:val="20"/>
        </w:rPr>
        <w:t>coordinated</w:t>
      </w:r>
      <w:r>
        <w:rPr>
          <w:color w:val="231F20"/>
          <w:spacing w:val="-36"/>
          <w:sz w:val="20"/>
        </w:rPr>
        <w:t xml:space="preserve"> </w:t>
      </w:r>
      <w:r>
        <w:rPr>
          <w:color w:val="231F20"/>
          <w:spacing w:val="-4"/>
          <w:sz w:val="20"/>
        </w:rPr>
        <w:t>way</w:t>
      </w:r>
    </w:p>
    <w:p w14:paraId="52D2E5BC" w14:textId="77777777" w:rsidR="00894070" w:rsidRDefault="009B7AFD">
      <w:pPr>
        <w:pStyle w:val="ListParagraph"/>
        <w:numPr>
          <w:ilvl w:val="2"/>
          <w:numId w:val="29"/>
        </w:numPr>
        <w:tabs>
          <w:tab w:val="left" w:pos="2141"/>
          <w:tab w:val="left" w:pos="2142"/>
        </w:tabs>
        <w:spacing w:before="47"/>
        <w:ind w:hanging="340"/>
        <w:rPr>
          <w:sz w:val="20"/>
        </w:rPr>
      </w:pPr>
      <w:r>
        <w:rPr>
          <w:color w:val="231F20"/>
          <w:sz w:val="20"/>
        </w:rPr>
        <w:t xml:space="preserve">building </w:t>
      </w:r>
      <w:r>
        <w:rPr>
          <w:color w:val="231F20"/>
          <w:spacing w:val="-4"/>
          <w:sz w:val="20"/>
        </w:rPr>
        <w:t xml:space="preserve">pathways </w:t>
      </w:r>
      <w:r>
        <w:rPr>
          <w:color w:val="231F20"/>
          <w:sz w:val="20"/>
        </w:rPr>
        <w:t>to</w:t>
      </w:r>
      <w:r>
        <w:rPr>
          <w:color w:val="231F20"/>
          <w:spacing w:val="-9"/>
          <w:sz w:val="20"/>
        </w:rPr>
        <w:t xml:space="preserve"> </w:t>
      </w:r>
      <w:r>
        <w:rPr>
          <w:color w:val="231F20"/>
          <w:sz w:val="20"/>
        </w:rPr>
        <w:t>services.</w:t>
      </w:r>
    </w:p>
    <w:p w14:paraId="7FC43A6E" w14:textId="77777777" w:rsidR="00894070" w:rsidRDefault="00894070">
      <w:pPr>
        <w:pStyle w:val="BodyText"/>
      </w:pPr>
    </w:p>
    <w:p w14:paraId="260285B3" w14:textId="77777777" w:rsidR="00894070" w:rsidRDefault="00894070">
      <w:pPr>
        <w:pStyle w:val="BodyText"/>
      </w:pPr>
    </w:p>
    <w:p w14:paraId="49CFE1B1" w14:textId="77777777" w:rsidR="00894070" w:rsidRDefault="00894070">
      <w:pPr>
        <w:pStyle w:val="BodyText"/>
      </w:pPr>
    </w:p>
    <w:p w14:paraId="47122FF2" w14:textId="77777777" w:rsidR="00894070" w:rsidRDefault="00894070">
      <w:pPr>
        <w:pStyle w:val="BodyText"/>
      </w:pPr>
    </w:p>
    <w:p w14:paraId="1FC63F4B" w14:textId="77777777" w:rsidR="00894070" w:rsidRDefault="009F6793">
      <w:pPr>
        <w:pStyle w:val="BodyText"/>
        <w:spacing w:before="2"/>
        <w:rPr>
          <w:sz w:val="27"/>
        </w:rPr>
      </w:pPr>
      <w:r>
        <w:pict w14:anchorId="664FFA26">
          <v:line id="_x0000_s1093" style="position:absolute;z-index:251765760;mso-wrap-distance-left:0;mso-wrap-distance-right:0;mso-position-horizontal-relative:page" from="79.35pt,21.3pt" to="515.9pt,21.3pt" strokecolor="#f8cabc" strokeweight="1pt">
            <w10:wrap type="topAndBottom" anchorx="page"/>
          </v:line>
        </w:pict>
      </w:r>
    </w:p>
    <w:p w14:paraId="1376D4B3" w14:textId="77777777" w:rsidR="00894070" w:rsidRDefault="00894070">
      <w:pPr>
        <w:pStyle w:val="BodyText"/>
        <w:rPr>
          <w:sz w:val="5"/>
        </w:rPr>
      </w:pPr>
    </w:p>
    <w:p w14:paraId="50CA9032" w14:textId="77777777" w:rsidR="00894070" w:rsidRDefault="00894070">
      <w:pPr>
        <w:rPr>
          <w:sz w:val="5"/>
        </w:rPr>
        <w:sectPr w:rsidR="00894070">
          <w:pgSz w:w="11910" w:h="16840"/>
          <w:pgMar w:top="840" w:right="420" w:bottom="280" w:left="580" w:header="0" w:footer="0" w:gutter="0"/>
          <w:cols w:space="720"/>
        </w:sectPr>
      </w:pPr>
    </w:p>
    <w:p w14:paraId="060ABEB6" w14:textId="77777777" w:rsidR="00894070" w:rsidRDefault="009B7AFD">
      <w:pPr>
        <w:pStyle w:val="ListParagraph"/>
        <w:numPr>
          <w:ilvl w:val="0"/>
          <w:numId w:val="28"/>
        </w:numPr>
        <w:tabs>
          <w:tab w:val="left" w:pos="1801"/>
          <w:tab w:val="left" w:pos="1802"/>
        </w:tabs>
        <w:spacing w:before="21" w:line="170" w:lineRule="exact"/>
        <w:jc w:val="left"/>
        <w:rPr>
          <w:sz w:val="13"/>
        </w:rPr>
      </w:pPr>
      <w:r>
        <w:rPr>
          <w:color w:val="231F20"/>
          <w:sz w:val="13"/>
        </w:rPr>
        <w:t>Consultation 1 (Centre for Forensic Behavioural</w:t>
      </w:r>
      <w:r>
        <w:rPr>
          <w:color w:val="231F20"/>
          <w:spacing w:val="3"/>
          <w:sz w:val="13"/>
        </w:rPr>
        <w:t xml:space="preserve"> </w:t>
      </w:r>
      <w:r>
        <w:rPr>
          <w:color w:val="231F20"/>
          <w:sz w:val="13"/>
        </w:rPr>
        <w:t>Science).</w:t>
      </w:r>
    </w:p>
    <w:p w14:paraId="6542F8D9" w14:textId="77777777" w:rsidR="00894070" w:rsidRDefault="009B7AFD">
      <w:pPr>
        <w:pStyle w:val="ListParagraph"/>
        <w:numPr>
          <w:ilvl w:val="0"/>
          <w:numId w:val="28"/>
        </w:numPr>
        <w:tabs>
          <w:tab w:val="left" w:pos="1801"/>
          <w:tab w:val="left" w:pos="1802"/>
        </w:tabs>
        <w:spacing w:before="7" w:line="213" w:lineRule="auto"/>
        <w:ind w:right="8"/>
        <w:jc w:val="left"/>
        <w:rPr>
          <w:sz w:val="13"/>
        </w:rPr>
      </w:pPr>
      <w:r>
        <w:rPr>
          <w:color w:val="231F20"/>
          <w:sz w:val="13"/>
        </w:rPr>
        <w:t xml:space="preserve">Jenny Korkodeilou, ‘“And Where You Go, I’ll Follow”: Stalking and the Complex Task of Preventing It’ in Stephanie Kewley and Charlotte Barlow (eds), </w:t>
      </w:r>
      <w:r>
        <w:rPr>
          <w:i/>
          <w:color w:val="231F20"/>
          <w:sz w:val="13"/>
        </w:rPr>
        <w:t xml:space="preserve">Preventing Sexual Violence </w:t>
      </w:r>
      <w:r>
        <w:rPr>
          <w:color w:val="231F20"/>
          <w:sz w:val="13"/>
        </w:rPr>
        <w:t xml:space="preserve">(Bristol University Press, </w:t>
      </w:r>
      <w:r>
        <w:rPr>
          <w:color w:val="231F20"/>
          <w:spacing w:val="2"/>
          <w:sz w:val="13"/>
        </w:rPr>
        <w:t xml:space="preserve">1st </w:t>
      </w:r>
      <w:r>
        <w:rPr>
          <w:color w:val="231F20"/>
          <w:sz w:val="13"/>
        </w:rPr>
        <w:t>ed, 2020)</w:t>
      </w:r>
      <w:r>
        <w:rPr>
          <w:color w:val="231F20"/>
          <w:spacing w:val="15"/>
          <w:sz w:val="13"/>
        </w:rPr>
        <w:t xml:space="preserve"> </w:t>
      </w:r>
      <w:r>
        <w:rPr>
          <w:color w:val="231F20"/>
          <w:sz w:val="13"/>
        </w:rPr>
        <w:t>63.</w:t>
      </w:r>
    </w:p>
    <w:p w14:paraId="55518787" w14:textId="77777777" w:rsidR="00894070" w:rsidRDefault="009B7AFD">
      <w:pPr>
        <w:pStyle w:val="ListParagraph"/>
        <w:numPr>
          <w:ilvl w:val="0"/>
          <w:numId w:val="28"/>
        </w:numPr>
        <w:tabs>
          <w:tab w:val="left" w:pos="1801"/>
          <w:tab w:val="left" w:pos="1802"/>
        </w:tabs>
        <w:spacing w:line="153" w:lineRule="exact"/>
        <w:jc w:val="left"/>
        <w:rPr>
          <w:sz w:val="13"/>
        </w:rPr>
      </w:pPr>
      <w:r>
        <w:rPr>
          <w:color w:val="231F20"/>
          <w:spacing w:val="2"/>
          <w:sz w:val="13"/>
        </w:rPr>
        <w:t xml:space="preserve">Submissions </w:t>
      </w:r>
      <w:r>
        <w:rPr>
          <w:color w:val="231F20"/>
          <w:sz w:val="13"/>
        </w:rPr>
        <w:t>32 (Centre for Forensic Behavioural Science), 100</w:t>
      </w:r>
      <w:r>
        <w:rPr>
          <w:color w:val="231F20"/>
          <w:spacing w:val="4"/>
          <w:sz w:val="13"/>
        </w:rPr>
        <w:t xml:space="preserve"> </w:t>
      </w:r>
      <w:r>
        <w:rPr>
          <w:color w:val="231F20"/>
          <w:sz w:val="13"/>
        </w:rPr>
        <w:t>(Forensicare).</w:t>
      </w:r>
    </w:p>
    <w:p w14:paraId="33C9390F" w14:textId="77777777" w:rsidR="00894070" w:rsidRDefault="009B7AFD">
      <w:pPr>
        <w:pStyle w:val="ListParagraph"/>
        <w:numPr>
          <w:ilvl w:val="0"/>
          <w:numId w:val="28"/>
        </w:numPr>
        <w:tabs>
          <w:tab w:val="left" w:pos="1801"/>
          <w:tab w:val="left" w:pos="1802"/>
        </w:tabs>
        <w:spacing w:line="160" w:lineRule="exact"/>
        <w:jc w:val="left"/>
        <w:rPr>
          <w:sz w:val="13"/>
        </w:rPr>
      </w:pPr>
      <w:r>
        <w:rPr>
          <w:i/>
          <w:color w:val="231F20"/>
          <w:sz w:val="13"/>
        </w:rPr>
        <w:t xml:space="preserve">Royal Commission into Victoria’s Mental Health System </w:t>
      </w:r>
      <w:r>
        <w:rPr>
          <w:color w:val="231F20"/>
          <w:sz w:val="13"/>
        </w:rPr>
        <w:t xml:space="preserve">(Final </w:t>
      </w:r>
      <w:r>
        <w:rPr>
          <w:color w:val="231F20"/>
          <w:spacing w:val="2"/>
          <w:sz w:val="13"/>
        </w:rPr>
        <w:t xml:space="preserve">Report, </w:t>
      </w:r>
      <w:r>
        <w:rPr>
          <w:color w:val="231F20"/>
          <w:sz w:val="13"/>
        </w:rPr>
        <w:t>3 February 2021) Recommendation</w:t>
      </w:r>
      <w:r>
        <w:rPr>
          <w:color w:val="231F20"/>
          <w:spacing w:val="27"/>
          <w:sz w:val="13"/>
        </w:rPr>
        <w:t xml:space="preserve"> </w:t>
      </w:r>
      <w:r>
        <w:rPr>
          <w:color w:val="231F20"/>
          <w:sz w:val="13"/>
        </w:rPr>
        <w:t>37.</w:t>
      </w:r>
    </w:p>
    <w:p w14:paraId="499EC752" w14:textId="77777777" w:rsidR="00894070" w:rsidRDefault="009B7AFD">
      <w:pPr>
        <w:pStyle w:val="ListParagraph"/>
        <w:numPr>
          <w:ilvl w:val="0"/>
          <w:numId w:val="28"/>
        </w:numPr>
        <w:tabs>
          <w:tab w:val="left" w:pos="1801"/>
          <w:tab w:val="left" w:pos="1802"/>
        </w:tabs>
        <w:spacing w:before="6" w:line="213" w:lineRule="auto"/>
        <w:ind w:right="61"/>
        <w:jc w:val="left"/>
        <w:rPr>
          <w:sz w:val="13"/>
        </w:rPr>
      </w:pPr>
      <w:r>
        <w:rPr>
          <w:color w:val="231F20"/>
          <w:spacing w:val="2"/>
          <w:sz w:val="13"/>
        </w:rPr>
        <w:t xml:space="preserve">Department </w:t>
      </w:r>
      <w:r>
        <w:rPr>
          <w:color w:val="231F20"/>
          <w:sz w:val="13"/>
        </w:rPr>
        <w:t xml:space="preserve">of Health (Vic), </w:t>
      </w:r>
      <w:r>
        <w:rPr>
          <w:color w:val="231F20"/>
          <w:spacing w:val="-4"/>
          <w:sz w:val="13"/>
        </w:rPr>
        <w:t xml:space="preserve">‘A </w:t>
      </w:r>
      <w:r>
        <w:rPr>
          <w:color w:val="231F20"/>
          <w:sz w:val="13"/>
        </w:rPr>
        <w:t xml:space="preserve">New Mental Health and Wellbeing Act for Victoria’, </w:t>
      </w:r>
      <w:r>
        <w:rPr>
          <w:i/>
          <w:color w:val="231F20"/>
          <w:sz w:val="13"/>
        </w:rPr>
        <w:t xml:space="preserve">Mental Health and Wellbeing Reform </w:t>
      </w:r>
      <w:r>
        <w:rPr>
          <w:color w:val="231F20"/>
          <w:sz w:val="13"/>
        </w:rPr>
        <w:t>(Web Page, 18 March 2022</w:t>
      </w:r>
      <w:hyperlink r:id="rId189">
        <w:r>
          <w:rPr>
            <w:color w:val="231F20"/>
            <w:sz w:val="13"/>
          </w:rPr>
          <w:t>) &lt;http://www.health.vic.gov.au/mental-health-reform/a-new-mental-health-and-wellbeing-act-for-</w:t>
        </w:r>
      </w:hyperlink>
      <w:hyperlink r:id="rId190">
        <w:r>
          <w:rPr>
            <w:color w:val="231F20"/>
            <w:sz w:val="13"/>
          </w:rPr>
          <w:t xml:space="preserve"> victoria</w:t>
        </w:r>
      </w:hyperlink>
      <w:r>
        <w:rPr>
          <w:color w:val="231F20"/>
          <w:sz w:val="13"/>
        </w:rPr>
        <w:t>&gt;.</w:t>
      </w:r>
    </w:p>
    <w:p w14:paraId="6B516A94" w14:textId="77777777" w:rsidR="00894070" w:rsidRDefault="009B7AFD">
      <w:pPr>
        <w:pStyle w:val="ListParagraph"/>
        <w:numPr>
          <w:ilvl w:val="0"/>
          <w:numId w:val="28"/>
        </w:numPr>
        <w:tabs>
          <w:tab w:val="left" w:pos="1801"/>
          <w:tab w:val="left" w:pos="1802"/>
        </w:tabs>
        <w:spacing w:line="152" w:lineRule="exact"/>
        <w:jc w:val="left"/>
        <w:rPr>
          <w:sz w:val="13"/>
        </w:rPr>
      </w:pPr>
      <w:r>
        <w:rPr>
          <w:i/>
          <w:color w:val="231F20"/>
          <w:sz w:val="13"/>
        </w:rPr>
        <w:t xml:space="preserve">Royal Commission into Victoria’s Mental Health System </w:t>
      </w:r>
      <w:r>
        <w:rPr>
          <w:color w:val="231F20"/>
          <w:sz w:val="13"/>
        </w:rPr>
        <w:t xml:space="preserve">(Final </w:t>
      </w:r>
      <w:r>
        <w:rPr>
          <w:color w:val="231F20"/>
          <w:spacing w:val="2"/>
          <w:sz w:val="13"/>
        </w:rPr>
        <w:t xml:space="preserve">Report, </w:t>
      </w:r>
      <w:r>
        <w:rPr>
          <w:color w:val="231F20"/>
          <w:sz w:val="13"/>
        </w:rPr>
        <w:t>3 February 2021) Recommendation 3(2).</w:t>
      </w:r>
    </w:p>
    <w:p w14:paraId="2D72AF25" w14:textId="77777777" w:rsidR="00894070" w:rsidRDefault="009B7AFD">
      <w:pPr>
        <w:pStyle w:val="ListParagraph"/>
        <w:numPr>
          <w:ilvl w:val="0"/>
          <w:numId w:val="28"/>
        </w:numPr>
        <w:tabs>
          <w:tab w:val="left" w:pos="1801"/>
          <w:tab w:val="left" w:pos="1802"/>
        </w:tabs>
        <w:spacing w:line="160" w:lineRule="exact"/>
        <w:jc w:val="left"/>
        <w:rPr>
          <w:sz w:val="13"/>
        </w:rPr>
      </w:pPr>
      <w:r>
        <w:rPr>
          <w:color w:val="231F20"/>
          <w:sz w:val="13"/>
        </w:rPr>
        <w:t>Consultation 15 (Forensicare (No</w:t>
      </w:r>
      <w:r>
        <w:rPr>
          <w:color w:val="231F20"/>
          <w:spacing w:val="1"/>
          <w:sz w:val="13"/>
        </w:rPr>
        <w:t xml:space="preserve"> </w:t>
      </w:r>
      <w:r>
        <w:rPr>
          <w:color w:val="231F20"/>
          <w:sz w:val="13"/>
        </w:rPr>
        <w:t>1)).</w:t>
      </w:r>
    </w:p>
    <w:p w14:paraId="23B5F031" w14:textId="77777777" w:rsidR="00894070" w:rsidRDefault="009B7AFD">
      <w:pPr>
        <w:pStyle w:val="ListParagraph"/>
        <w:numPr>
          <w:ilvl w:val="0"/>
          <w:numId w:val="28"/>
        </w:numPr>
        <w:tabs>
          <w:tab w:val="left" w:pos="1801"/>
          <w:tab w:val="left" w:pos="1802"/>
        </w:tabs>
        <w:spacing w:before="6" w:line="213" w:lineRule="auto"/>
        <w:jc w:val="left"/>
        <w:rPr>
          <w:sz w:val="13"/>
        </w:rPr>
      </w:pPr>
      <w:r>
        <w:rPr>
          <w:color w:val="231F20"/>
          <w:sz w:val="13"/>
        </w:rPr>
        <w:t xml:space="preserve">See generally the </w:t>
      </w:r>
      <w:r>
        <w:rPr>
          <w:color w:val="231F20"/>
          <w:spacing w:val="2"/>
          <w:sz w:val="13"/>
        </w:rPr>
        <w:t xml:space="preserve">RCFV </w:t>
      </w:r>
      <w:r>
        <w:rPr>
          <w:color w:val="231F20"/>
          <w:sz w:val="13"/>
        </w:rPr>
        <w:t xml:space="preserve">recommendations relating to perpetrators of family violence: </w:t>
      </w:r>
      <w:r>
        <w:rPr>
          <w:i/>
          <w:color w:val="231F20"/>
          <w:sz w:val="13"/>
        </w:rPr>
        <w:t xml:space="preserve">Royal Commission into Family Violence: </w:t>
      </w:r>
      <w:r>
        <w:rPr>
          <w:i/>
          <w:color w:val="231F20"/>
          <w:spacing w:val="2"/>
          <w:sz w:val="13"/>
        </w:rPr>
        <w:t xml:space="preserve">Report </w:t>
      </w:r>
      <w:r>
        <w:rPr>
          <w:i/>
          <w:color w:val="231F20"/>
          <w:sz w:val="13"/>
        </w:rPr>
        <w:t xml:space="preserve">and Recommendations </w:t>
      </w:r>
      <w:r>
        <w:rPr>
          <w:color w:val="231F20"/>
          <w:sz w:val="13"/>
        </w:rPr>
        <w:t xml:space="preserve">(Final </w:t>
      </w:r>
      <w:r>
        <w:rPr>
          <w:color w:val="231F20"/>
          <w:spacing w:val="2"/>
          <w:sz w:val="13"/>
        </w:rPr>
        <w:t xml:space="preserve">Report, </w:t>
      </w:r>
      <w:r>
        <w:rPr>
          <w:color w:val="231F20"/>
          <w:sz w:val="13"/>
        </w:rPr>
        <w:t>March 2016) Recommendations</w:t>
      </w:r>
      <w:r>
        <w:rPr>
          <w:color w:val="231F20"/>
          <w:spacing w:val="3"/>
          <w:sz w:val="13"/>
        </w:rPr>
        <w:t xml:space="preserve"> </w:t>
      </w:r>
      <w:r>
        <w:rPr>
          <w:color w:val="231F20"/>
          <w:spacing w:val="2"/>
          <w:sz w:val="13"/>
        </w:rPr>
        <w:t>85–92.</w:t>
      </w:r>
    </w:p>
    <w:p w14:paraId="15CC41CC" w14:textId="77777777" w:rsidR="00894070" w:rsidRDefault="009B7AFD">
      <w:pPr>
        <w:pStyle w:val="BodyText"/>
        <w:rPr>
          <w:sz w:val="28"/>
        </w:rPr>
      </w:pPr>
      <w:r>
        <w:br w:type="column"/>
      </w:r>
    </w:p>
    <w:p w14:paraId="5804F936" w14:textId="77777777" w:rsidR="00894070" w:rsidRDefault="00894070">
      <w:pPr>
        <w:pStyle w:val="BodyText"/>
        <w:rPr>
          <w:sz w:val="28"/>
        </w:rPr>
      </w:pPr>
    </w:p>
    <w:p w14:paraId="51D97F1B" w14:textId="77777777" w:rsidR="00894070" w:rsidRDefault="00894070">
      <w:pPr>
        <w:pStyle w:val="BodyText"/>
        <w:rPr>
          <w:sz w:val="28"/>
        </w:rPr>
      </w:pPr>
    </w:p>
    <w:p w14:paraId="1FEE1DA1" w14:textId="77777777" w:rsidR="00894070" w:rsidRDefault="00894070">
      <w:pPr>
        <w:pStyle w:val="BodyText"/>
        <w:spacing w:before="2"/>
        <w:rPr>
          <w:sz w:val="35"/>
        </w:rPr>
      </w:pPr>
    </w:p>
    <w:p w14:paraId="0CF375C5" w14:textId="77777777" w:rsidR="00894070" w:rsidRDefault="009B7AFD">
      <w:pPr>
        <w:pStyle w:val="Heading8"/>
        <w:spacing w:before="1"/>
        <w:ind w:left="830"/>
      </w:pPr>
      <w:r>
        <w:rPr>
          <w:color w:val="EA5B50"/>
        </w:rPr>
        <w:t>165</w:t>
      </w:r>
    </w:p>
    <w:p w14:paraId="72F9B698" w14:textId="77777777" w:rsidR="00894070" w:rsidRDefault="00894070">
      <w:pPr>
        <w:sectPr w:rsidR="00894070">
          <w:type w:val="continuous"/>
          <w:pgSz w:w="11910" w:h="16840"/>
          <w:pgMar w:top="560" w:right="420" w:bottom="280" w:left="580" w:header="720" w:footer="720" w:gutter="0"/>
          <w:cols w:num="2" w:space="720" w:equalWidth="0">
            <w:col w:w="9465" w:space="40"/>
            <w:col w:w="1405"/>
          </w:cols>
        </w:sectPr>
      </w:pPr>
    </w:p>
    <w:p w14:paraId="70DECF9D" w14:textId="77777777" w:rsidR="00894070" w:rsidRDefault="00894070">
      <w:pPr>
        <w:pStyle w:val="BodyText"/>
        <w:rPr>
          <w:b/>
        </w:rPr>
      </w:pPr>
    </w:p>
    <w:p w14:paraId="2ECFB78B" w14:textId="77777777" w:rsidR="00894070" w:rsidRDefault="00894070">
      <w:pPr>
        <w:pStyle w:val="BodyText"/>
        <w:rPr>
          <w:b/>
        </w:rPr>
      </w:pPr>
    </w:p>
    <w:p w14:paraId="71C10C8F" w14:textId="77777777" w:rsidR="00894070" w:rsidRDefault="00894070">
      <w:pPr>
        <w:pStyle w:val="BodyText"/>
        <w:rPr>
          <w:b/>
        </w:rPr>
      </w:pPr>
    </w:p>
    <w:p w14:paraId="160BCB94" w14:textId="77777777" w:rsidR="00894070" w:rsidRDefault="009B7AFD">
      <w:pPr>
        <w:spacing w:before="220"/>
        <w:ind w:left="1007"/>
        <w:rPr>
          <w:b/>
          <w:sz w:val="24"/>
        </w:rPr>
      </w:pPr>
      <w:bookmarkStart w:id="184" w:name="_bookmark110"/>
      <w:bookmarkEnd w:id="184"/>
      <w:r>
        <w:rPr>
          <w:b/>
          <w:color w:val="231F20"/>
          <w:sz w:val="24"/>
        </w:rPr>
        <w:t>A research base should be established</w:t>
      </w:r>
    </w:p>
    <w:p w14:paraId="5D8DA988" w14:textId="77777777" w:rsidR="00894070" w:rsidRDefault="009B7AFD">
      <w:pPr>
        <w:pStyle w:val="ListParagraph"/>
        <w:numPr>
          <w:ilvl w:val="1"/>
          <w:numId w:val="29"/>
        </w:numPr>
        <w:tabs>
          <w:tab w:val="left" w:pos="1801"/>
          <w:tab w:val="left" w:pos="1802"/>
        </w:tabs>
        <w:spacing w:before="127" w:line="206" w:lineRule="auto"/>
        <w:ind w:right="1280"/>
        <w:rPr>
          <w:sz w:val="11"/>
        </w:rPr>
      </w:pPr>
      <w:r>
        <w:rPr>
          <w:color w:val="231F20"/>
          <w:sz w:val="20"/>
        </w:rPr>
        <w:t>In</w:t>
      </w:r>
      <w:r>
        <w:rPr>
          <w:color w:val="231F20"/>
          <w:spacing w:val="-9"/>
          <w:sz w:val="20"/>
        </w:rPr>
        <w:t xml:space="preserve"> </w:t>
      </w:r>
      <w:r>
        <w:rPr>
          <w:color w:val="231F20"/>
          <w:sz w:val="20"/>
        </w:rPr>
        <w:t>recommending</w:t>
      </w:r>
      <w:r>
        <w:rPr>
          <w:color w:val="231F20"/>
          <w:spacing w:val="-8"/>
          <w:sz w:val="20"/>
        </w:rPr>
        <w:t xml:space="preserve"> </w:t>
      </w:r>
      <w:r>
        <w:rPr>
          <w:color w:val="231F20"/>
          <w:sz w:val="20"/>
        </w:rPr>
        <w:t>a</w:t>
      </w:r>
      <w:r>
        <w:rPr>
          <w:color w:val="231F20"/>
          <w:spacing w:val="-8"/>
          <w:sz w:val="20"/>
        </w:rPr>
        <w:t xml:space="preserve"> </w:t>
      </w:r>
      <w:r>
        <w:rPr>
          <w:color w:val="231F20"/>
          <w:sz w:val="20"/>
        </w:rPr>
        <w:t>program</w:t>
      </w:r>
      <w:r>
        <w:rPr>
          <w:color w:val="231F20"/>
          <w:spacing w:val="-9"/>
          <w:sz w:val="20"/>
        </w:rPr>
        <w:t xml:space="preserve"> </w:t>
      </w:r>
      <w:r>
        <w:rPr>
          <w:color w:val="231F20"/>
          <w:sz w:val="20"/>
        </w:rPr>
        <w:t>of</w:t>
      </w:r>
      <w:r>
        <w:rPr>
          <w:color w:val="231F20"/>
          <w:spacing w:val="-8"/>
          <w:sz w:val="20"/>
        </w:rPr>
        <w:t xml:space="preserve"> </w:t>
      </w:r>
      <w:r>
        <w:rPr>
          <w:color w:val="231F20"/>
          <w:sz w:val="20"/>
        </w:rPr>
        <w:t>perpetrator</w:t>
      </w:r>
      <w:r>
        <w:rPr>
          <w:color w:val="231F20"/>
          <w:spacing w:val="-8"/>
          <w:sz w:val="20"/>
        </w:rPr>
        <w:t xml:space="preserve"> </w:t>
      </w:r>
      <w:r>
        <w:rPr>
          <w:color w:val="231F20"/>
          <w:spacing w:val="-2"/>
          <w:sz w:val="20"/>
        </w:rPr>
        <w:t>interventions</w:t>
      </w:r>
      <w:r>
        <w:rPr>
          <w:color w:val="231F20"/>
          <w:spacing w:val="-8"/>
          <w:sz w:val="20"/>
        </w:rPr>
        <w:t xml:space="preserve"> </w:t>
      </w:r>
      <w:r>
        <w:rPr>
          <w:color w:val="231F20"/>
          <w:spacing w:val="-3"/>
          <w:sz w:val="20"/>
        </w:rPr>
        <w:t>for</w:t>
      </w:r>
      <w:r>
        <w:rPr>
          <w:color w:val="231F20"/>
          <w:spacing w:val="-9"/>
          <w:sz w:val="20"/>
        </w:rPr>
        <w:t xml:space="preserve"> </w:t>
      </w:r>
      <w:r>
        <w:rPr>
          <w:color w:val="231F20"/>
          <w:spacing w:val="-3"/>
          <w:sz w:val="20"/>
        </w:rPr>
        <w:t>family</w:t>
      </w:r>
      <w:r>
        <w:rPr>
          <w:color w:val="231F20"/>
          <w:spacing w:val="-8"/>
          <w:sz w:val="20"/>
        </w:rPr>
        <w:t xml:space="preserve"> </w:t>
      </w:r>
      <w:r>
        <w:rPr>
          <w:color w:val="231F20"/>
          <w:spacing w:val="-2"/>
          <w:sz w:val="20"/>
        </w:rPr>
        <w:t>violence,</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 xml:space="preserve">Royal </w:t>
      </w:r>
      <w:r>
        <w:rPr>
          <w:color w:val="231F20"/>
          <w:sz w:val="20"/>
        </w:rPr>
        <w:t xml:space="preserve">Commission </w:t>
      </w:r>
      <w:r>
        <w:rPr>
          <w:color w:val="231F20"/>
          <w:spacing w:val="-3"/>
          <w:sz w:val="20"/>
        </w:rPr>
        <w:t xml:space="preserve">into </w:t>
      </w:r>
      <w:r>
        <w:rPr>
          <w:color w:val="231F20"/>
          <w:spacing w:val="-4"/>
          <w:sz w:val="20"/>
        </w:rPr>
        <w:t xml:space="preserve">Family </w:t>
      </w:r>
      <w:r>
        <w:rPr>
          <w:color w:val="231F20"/>
          <w:sz w:val="20"/>
        </w:rPr>
        <w:t xml:space="preserve">Violence proposed a staged process. It started with building a knowledge base of </w:t>
      </w:r>
      <w:r>
        <w:rPr>
          <w:color w:val="231F20"/>
          <w:spacing w:val="-3"/>
          <w:sz w:val="20"/>
        </w:rPr>
        <w:t xml:space="preserve">initiatives before </w:t>
      </w:r>
      <w:r>
        <w:rPr>
          <w:color w:val="231F20"/>
          <w:sz w:val="20"/>
        </w:rPr>
        <w:t xml:space="preserve">implementing a </w:t>
      </w:r>
      <w:r>
        <w:rPr>
          <w:color w:val="231F20"/>
          <w:spacing w:val="-3"/>
          <w:sz w:val="20"/>
        </w:rPr>
        <w:t xml:space="preserve">coordinated </w:t>
      </w:r>
      <w:r>
        <w:rPr>
          <w:color w:val="231F20"/>
          <w:sz w:val="20"/>
        </w:rPr>
        <w:t>approach to perpetrator</w:t>
      </w:r>
      <w:r>
        <w:rPr>
          <w:color w:val="231F20"/>
          <w:spacing w:val="-10"/>
          <w:sz w:val="20"/>
        </w:rPr>
        <w:t xml:space="preserve"> </w:t>
      </w:r>
      <w:r>
        <w:rPr>
          <w:color w:val="231F20"/>
          <w:sz w:val="20"/>
        </w:rPr>
        <w:t>interventions.</w:t>
      </w:r>
      <w:r>
        <w:rPr>
          <w:color w:val="231F20"/>
          <w:spacing w:val="-10"/>
          <w:sz w:val="20"/>
        </w:rPr>
        <w:t xml:space="preserve"> </w:t>
      </w:r>
      <w:r>
        <w:rPr>
          <w:color w:val="231F20"/>
          <w:sz w:val="20"/>
        </w:rPr>
        <w:t>The</w:t>
      </w:r>
      <w:r>
        <w:rPr>
          <w:color w:val="231F20"/>
          <w:spacing w:val="-10"/>
          <w:sz w:val="20"/>
        </w:rPr>
        <w:t xml:space="preserve"> </w:t>
      </w:r>
      <w:r>
        <w:rPr>
          <w:color w:val="231F20"/>
          <w:sz w:val="20"/>
        </w:rPr>
        <w:t>approach</w:t>
      </w:r>
      <w:r>
        <w:rPr>
          <w:color w:val="231F20"/>
          <w:spacing w:val="-10"/>
          <w:sz w:val="20"/>
        </w:rPr>
        <w:t xml:space="preserve"> </w:t>
      </w:r>
      <w:r>
        <w:rPr>
          <w:color w:val="231F20"/>
          <w:spacing w:val="-3"/>
          <w:sz w:val="20"/>
        </w:rPr>
        <w:t>resulted</w:t>
      </w:r>
      <w:r>
        <w:rPr>
          <w:color w:val="231F20"/>
          <w:spacing w:val="-9"/>
          <w:sz w:val="20"/>
        </w:rPr>
        <w:t xml:space="preserve"> </w:t>
      </w:r>
      <w:r>
        <w:rPr>
          <w:color w:val="231F20"/>
          <w:sz w:val="20"/>
        </w:rPr>
        <w:t>in</w:t>
      </w:r>
      <w:r>
        <w:rPr>
          <w:color w:val="231F20"/>
          <w:spacing w:val="-10"/>
          <w:sz w:val="20"/>
        </w:rPr>
        <w:t xml:space="preserve"> </w:t>
      </w:r>
      <w:r>
        <w:rPr>
          <w:color w:val="231F20"/>
          <w:sz w:val="20"/>
        </w:rPr>
        <w:t>significant</w:t>
      </w:r>
      <w:r>
        <w:rPr>
          <w:color w:val="231F20"/>
          <w:spacing w:val="-10"/>
          <w:sz w:val="20"/>
        </w:rPr>
        <w:t xml:space="preserve"> </w:t>
      </w:r>
      <w:r>
        <w:rPr>
          <w:color w:val="231F20"/>
          <w:spacing w:val="-3"/>
          <w:sz w:val="20"/>
        </w:rPr>
        <w:t>research</w:t>
      </w:r>
      <w:r>
        <w:rPr>
          <w:color w:val="231F20"/>
          <w:spacing w:val="-10"/>
          <w:sz w:val="20"/>
        </w:rPr>
        <w:t xml:space="preserve"> </w:t>
      </w:r>
      <w:r>
        <w:rPr>
          <w:color w:val="231F20"/>
          <w:sz w:val="20"/>
        </w:rPr>
        <w:t>outcomes.</w:t>
      </w:r>
      <w:r>
        <w:rPr>
          <w:color w:val="231F20"/>
          <w:position w:val="7"/>
          <w:sz w:val="11"/>
        </w:rPr>
        <w:t>32</w:t>
      </w:r>
    </w:p>
    <w:p w14:paraId="1EADAC29" w14:textId="77777777" w:rsidR="00894070" w:rsidRDefault="009B7AFD">
      <w:pPr>
        <w:pStyle w:val="ListParagraph"/>
        <w:numPr>
          <w:ilvl w:val="1"/>
          <w:numId w:val="29"/>
        </w:numPr>
        <w:tabs>
          <w:tab w:val="left" w:pos="1801"/>
          <w:tab w:val="left" w:pos="1802"/>
        </w:tabs>
        <w:spacing w:before="125" w:line="206" w:lineRule="auto"/>
        <w:ind w:right="1719"/>
        <w:rPr>
          <w:sz w:val="11"/>
        </w:rPr>
      </w:pPr>
      <w:r>
        <w:rPr>
          <w:color w:val="231F20"/>
          <w:spacing w:val="-6"/>
          <w:sz w:val="20"/>
        </w:rPr>
        <w:t xml:space="preserve">We </w:t>
      </w:r>
      <w:r>
        <w:rPr>
          <w:color w:val="231F20"/>
          <w:sz w:val="20"/>
        </w:rPr>
        <w:t xml:space="preserve">consider a similar approach </w:t>
      </w:r>
      <w:r>
        <w:rPr>
          <w:color w:val="231F20"/>
          <w:spacing w:val="-3"/>
          <w:sz w:val="20"/>
        </w:rPr>
        <w:t xml:space="preserve">would </w:t>
      </w:r>
      <w:r>
        <w:rPr>
          <w:color w:val="231F20"/>
          <w:sz w:val="20"/>
        </w:rPr>
        <w:t xml:space="preserve">be </w:t>
      </w:r>
      <w:r>
        <w:rPr>
          <w:color w:val="231F20"/>
          <w:spacing w:val="-3"/>
          <w:sz w:val="20"/>
        </w:rPr>
        <w:t xml:space="preserve">valuable for </w:t>
      </w:r>
      <w:r>
        <w:rPr>
          <w:color w:val="231F20"/>
          <w:sz w:val="20"/>
        </w:rPr>
        <w:t xml:space="preserve">stalking. The Victorian </w:t>
      </w:r>
      <w:r>
        <w:rPr>
          <w:color w:val="231F20"/>
          <w:spacing w:val="-3"/>
          <w:sz w:val="20"/>
        </w:rPr>
        <w:t>Government</w:t>
      </w:r>
      <w:r>
        <w:rPr>
          <w:color w:val="231F20"/>
          <w:spacing w:val="-9"/>
          <w:sz w:val="20"/>
        </w:rPr>
        <w:t xml:space="preserve"> </w:t>
      </w:r>
      <w:r>
        <w:rPr>
          <w:color w:val="231F20"/>
          <w:sz w:val="20"/>
        </w:rPr>
        <w:t>should</w:t>
      </w:r>
      <w:r>
        <w:rPr>
          <w:color w:val="231F20"/>
          <w:spacing w:val="-8"/>
          <w:sz w:val="20"/>
        </w:rPr>
        <w:t xml:space="preserve"> </w:t>
      </w:r>
      <w:r>
        <w:rPr>
          <w:color w:val="231F20"/>
          <w:sz w:val="20"/>
        </w:rPr>
        <w:t>start</w:t>
      </w:r>
      <w:r>
        <w:rPr>
          <w:color w:val="231F20"/>
          <w:spacing w:val="-8"/>
          <w:sz w:val="20"/>
        </w:rPr>
        <w:t xml:space="preserve"> </w:t>
      </w:r>
      <w:r>
        <w:rPr>
          <w:color w:val="231F20"/>
          <w:spacing w:val="-3"/>
          <w:sz w:val="20"/>
        </w:rPr>
        <w:t>by</w:t>
      </w:r>
      <w:r>
        <w:rPr>
          <w:color w:val="231F20"/>
          <w:spacing w:val="-8"/>
          <w:sz w:val="20"/>
        </w:rPr>
        <w:t xml:space="preserve"> </w:t>
      </w:r>
      <w:r>
        <w:rPr>
          <w:color w:val="231F20"/>
          <w:sz w:val="20"/>
        </w:rPr>
        <w:t>building</w:t>
      </w:r>
      <w:r>
        <w:rPr>
          <w:color w:val="231F20"/>
          <w:spacing w:val="-8"/>
          <w:sz w:val="20"/>
        </w:rPr>
        <w:t xml:space="preserve"> </w:t>
      </w:r>
      <w:r>
        <w:rPr>
          <w:color w:val="231F20"/>
          <w:sz w:val="20"/>
        </w:rPr>
        <w:t>a</w:t>
      </w:r>
      <w:r>
        <w:rPr>
          <w:color w:val="231F20"/>
          <w:spacing w:val="-8"/>
          <w:sz w:val="20"/>
        </w:rPr>
        <w:t xml:space="preserve"> </w:t>
      </w:r>
      <w:r>
        <w:rPr>
          <w:color w:val="231F20"/>
          <w:sz w:val="20"/>
        </w:rPr>
        <w:t>knowledge</w:t>
      </w:r>
      <w:r>
        <w:rPr>
          <w:color w:val="231F20"/>
          <w:spacing w:val="-8"/>
          <w:sz w:val="20"/>
        </w:rPr>
        <w:t xml:space="preserve"> </w:t>
      </w:r>
      <w:r>
        <w:rPr>
          <w:color w:val="231F20"/>
          <w:sz w:val="20"/>
        </w:rPr>
        <w:t>base</w:t>
      </w:r>
      <w:r>
        <w:rPr>
          <w:color w:val="231F20"/>
          <w:spacing w:val="-8"/>
          <w:sz w:val="20"/>
        </w:rPr>
        <w:t xml:space="preserve"> </w:t>
      </w:r>
      <w:r>
        <w:rPr>
          <w:color w:val="231F20"/>
          <w:sz w:val="20"/>
        </w:rPr>
        <w:t>of</w:t>
      </w:r>
      <w:r>
        <w:rPr>
          <w:color w:val="231F20"/>
          <w:spacing w:val="-8"/>
          <w:sz w:val="20"/>
        </w:rPr>
        <w:t xml:space="preserve"> </w:t>
      </w:r>
      <w:r>
        <w:rPr>
          <w:color w:val="231F20"/>
          <w:spacing w:val="-2"/>
          <w:sz w:val="20"/>
        </w:rPr>
        <w:t>initiatives,</w:t>
      </w:r>
      <w:r>
        <w:rPr>
          <w:color w:val="231F20"/>
          <w:spacing w:val="-8"/>
          <w:sz w:val="20"/>
        </w:rPr>
        <w:t xml:space="preserve"> </w:t>
      </w:r>
      <w:r>
        <w:rPr>
          <w:color w:val="231F20"/>
          <w:sz w:val="20"/>
        </w:rPr>
        <w:t>using</w:t>
      </w:r>
      <w:r>
        <w:rPr>
          <w:color w:val="231F20"/>
          <w:spacing w:val="-8"/>
          <w:sz w:val="20"/>
        </w:rPr>
        <w:t xml:space="preserve"> </w:t>
      </w:r>
      <w:r>
        <w:rPr>
          <w:color w:val="231F20"/>
          <w:sz w:val="20"/>
        </w:rPr>
        <w:t>that</w:t>
      </w:r>
      <w:r>
        <w:rPr>
          <w:color w:val="231F20"/>
          <w:spacing w:val="-9"/>
          <w:sz w:val="20"/>
        </w:rPr>
        <w:t xml:space="preserve"> </w:t>
      </w:r>
      <w:r>
        <w:rPr>
          <w:color w:val="231F20"/>
          <w:sz w:val="20"/>
        </w:rPr>
        <w:t xml:space="preserve">to </w:t>
      </w:r>
      <w:r>
        <w:rPr>
          <w:color w:val="231F20"/>
          <w:spacing w:val="-3"/>
          <w:sz w:val="20"/>
        </w:rPr>
        <w:t xml:space="preserve">inform </w:t>
      </w:r>
      <w:r>
        <w:rPr>
          <w:color w:val="231F20"/>
          <w:sz w:val="20"/>
        </w:rPr>
        <w:t>the design and funding of</w:t>
      </w:r>
      <w:r>
        <w:rPr>
          <w:color w:val="231F20"/>
          <w:spacing w:val="-24"/>
          <w:sz w:val="20"/>
        </w:rPr>
        <w:t xml:space="preserve"> </w:t>
      </w:r>
      <w:r>
        <w:rPr>
          <w:color w:val="231F20"/>
          <w:sz w:val="20"/>
        </w:rPr>
        <w:t>programs.</w:t>
      </w:r>
      <w:r>
        <w:rPr>
          <w:color w:val="231F20"/>
          <w:position w:val="7"/>
          <w:sz w:val="11"/>
        </w:rPr>
        <w:t>33</w:t>
      </w:r>
    </w:p>
    <w:p w14:paraId="07B26E00" w14:textId="77777777" w:rsidR="00894070" w:rsidRDefault="009B7AFD">
      <w:pPr>
        <w:pStyle w:val="ListParagraph"/>
        <w:numPr>
          <w:ilvl w:val="1"/>
          <w:numId w:val="29"/>
        </w:numPr>
        <w:tabs>
          <w:tab w:val="left" w:pos="1802"/>
        </w:tabs>
        <w:spacing w:before="124" w:line="206" w:lineRule="auto"/>
        <w:ind w:right="1897"/>
        <w:jc w:val="both"/>
        <w:rPr>
          <w:sz w:val="20"/>
        </w:rPr>
      </w:pPr>
      <w:r>
        <w:rPr>
          <w:color w:val="231F20"/>
          <w:sz w:val="20"/>
        </w:rPr>
        <w:t>Once</w:t>
      </w:r>
      <w:r>
        <w:rPr>
          <w:color w:val="231F20"/>
          <w:spacing w:val="-8"/>
          <w:sz w:val="20"/>
        </w:rPr>
        <w:t xml:space="preserve"> </w:t>
      </w:r>
      <w:r>
        <w:rPr>
          <w:color w:val="231F20"/>
          <w:sz w:val="20"/>
        </w:rPr>
        <w:t>a</w:t>
      </w:r>
      <w:r>
        <w:rPr>
          <w:color w:val="231F20"/>
          <w:spacing w:val="-8"/>
          <w:sz w:val="20"/>
        </w:rPr>
        <w:t xml:space="preserve"> </w:t>
      </w:r>
      <w:r>
        <w:rPr>
          <w:color w:val="231F20"/>
          <w:sz w:val="20"/>
        </w:rPr>
        <w:t>strong</w:t>
      </w:r>
      <w:r>
        <w:rPr>
          <w:color w:val="231F20"/>
          <w:spacing w:val="-7"/>
          <w:sz w:val="20"/>
        </w:rPr>
        <w:t xml:space="preserve"> </w:t>
      </w:r>
      <w:r>
        <w:rPr>
          <w:color w:val="231F20"/>
          <w:sz w:val="20"/>
        </w:rPr>
        <w:t>legal,</w:t>
      </w:r>
      <w:r>
        <w:rPr>
          <w:color w:val="231F20"/>
          <w:spacing w:val="-8"/>
          <w:sz w:val="20"/>
        </w:rPr>
        <w:t xml:space="preserve"> </w:t>
      </w:r>
      <w:r>
        <w:rPr>
          <w:color w:val="231F20"/>
          <w:sz w:val="20"/>
        </w:rPr>
        <w:t>policy</w:t>
      </w:r>
      <w:r>
        <w:rPr>
          <w:color w:val="231F20"/>
          <w:spacing w:val="-7"/>
          <w:sz w:val="20"/>
        </w:rPr>
        <w:t xml:space="preserve"> </w:t>
      </w:r>
      <w:r>
        <w:rPr>
          <w:color w:val="231F20"/>
          <w:sz w:val="20"/>
        </w:rPr>
        <w:t>and</w:t>
      </w:r>
      <w:r>
        <w:rPr>
          <w:color w:val="231F20"/>
          <w:spacing w:val="-8"/>
          <w:sz w:val="20"/>
        </w:rPr>
        <w:t xml:space="preserve"> </w:t>
      </w:r>
      <w:r>
        <w:rPr>
          <w:color w:val="231F20"/>
          <w:sz w:val="20"/>
        </w:rPr>
        <w:t>service</w:t>
      </w:r>
      <w:r>
        <w:rPr>
          <w:color w:val="231F20"/>
          <w:spacing w:val="-8"/>
          <w:sz w:val="20"/>
        </w:rPr>
        <w:t xml:space="preserve"> </w:t>
      </w:r>
      <w:r>
        <w:rPr>
          <w:color w:val="231F20"/>
          <w:spacing w:val="-3"/>
          <w:sz w:val="20"/>
        </w:rPr>
        <w:t>framework</w:t>
      </w:r>
      <w:r>
        <w:rPr>
          <w:color w:val="231F20"/>
          <w:spacing w:val="-7"/>
          <w:sz w:val="20"/>
        </w:rPr>
        <w:t xml:space="preserve"> </w:t>
      </w:r>
      <w:r>
        <w:rPr>
          <w:color w:val="231F20"/>
          <w:sz w:val="20"/>
        </w:rPr>
        <w:t>is</w:t>
      </w:r>
      <w:r>
        <w:rPr>
          <w:color w:val="231F20"/>
          <w:spacing w:val="-8"/>
          <w:sz w:val="20"/>
        </w:rPr>
        <w:t xml:space="preserve"> </w:t>
      </w:r>
      <w:r>
        <w:rPr>
          <w:color w:val="231F20"/>
          <w:sz w:val="20"/>
        </w:rPr>
        <w:t>in</w:t>
      </w:r>
      <w:r>
        <w:rPr>
          <w:color w:val="231F20"/>
          <w:spacing w:val="-7"/>
          <w:sz w:val="20"/>
        </w:rPr>
        <w:t xml:space="preserve"> </w:t>
      </w:r>
      <w:r>
        <w:rPr>
          <w:color w:val="231F20"/>
          <w:sz w:val="20"/>
        </w:rPr>
        <w:t>place,</w:t>
      </w:r>
      <w:r>
        <w:rPr>
          <w:color w:val="231F20"/>
          <w:spacing w:val="-8"/>
          <w:sz w:val="20"/>
        </w:rPr>
        <w:t xml:space="preserve"> </w:t>
      </w:r>
      <w:r>
        <w:rPr>
          <w:color w:val="231F20"/>
          <w:sz w:val="20"/>
        </w:rPr>
        <w:t>then</w:t>
      </w:r>
      <w:r>
        <w:rPr>
          <w:color w:val="231F20"/>
          <w:spacing w:val="-7"/>
          <w:sz w:val="20"/>
        </w:rPr>
        <w:t xml:space="preserve"> </w:t>
      </w:r>
      <w:r>
        <w:rPr>
          <w:color w:val="231F20"/>
          <w:sz w:val="20"/>
        </w:rPr>
        <w:t>services</w:t>
      </w:r>
      <w:r>
        <w:rPr>
          <w:color w:val="231F20"/>
          <w:spacing w:val="-8"/>
          <w:sz w:val="20"/>
        </w:rPr>
        <w:t xml:space="preserve"> </w:t>
      </w:r>
      <w:r>
        <w:rPr>
          <w:color w:val="231F20"/>
          <w:sz w:val="20"/>
        </w:rPr>
        <w:t xml:space="preserve">can be expanded. </w:t>
      </w:r>
      <w:r>
        <w:rPr>
          <w:color w:val="231F20"/>
          <w:spacing w:val="-5"/>
          <w:sz w:val="20"/>
        </w:rPr>
        <w:t xml:space="preserve">However, </w:t>
      </w:r>
      <w:r>
        <w:rPr>
          <w:color w:val="231F20"/>
          <w:sz w:val="20"/>
        </w:rPr>
        <w:t xml:space="preserve">ongoing </w:t>
      </w:r>
      <w:r>
        <w:rPr>
          <w:color w:val="231F20"/>
          <w:spacing w:val="-3"/>
          <w:sz w:val="20"/>
        </w:rPr>
        <w:t xml:space="preserve">research </w:t>
      </w:r>
      <w:r>
        <w:rPr>
          <w:color w:val="231F20"/>
          <w:sz w:val="20"/>
        </w:rPr>
        <w:t xml:space="preserve">and </w:t>
      </w:r>
      <w:r>
        <w:rPr>
          <w:color w:val="231F20"/>
          <w:spacing w:val="-3"/>
          <w:sz w:val="20"/>
        </w:rPr>
        <w:t xml:space="preserve">evaluation </w:t>
      </w:r>
      <w:r>
        <w:rPr>
          <w:color w:val="231F20"/>
          <w:sz w:val="20"/>
        </w:rPr>
        <w:t xml:space="preserve">is </w:t>
      </w:r>
      <w:r>
        <w:rPr>
          <w:color w:val="231F20"/>
          <w:spacing w:val="-3"/>
          <w:sz w:val="20"/>
        </w:rPr>
        <w:t xml:space="preserve">required </w:t>
      </w:r>
      <w:r>
        <w:rPr>
          <w:color w:val="231F20"/>
          <w:sz w:val="20"/>
        </w:rPr>
        <w:t xml:space="preserve">to </w:t>
      </w:r>
      <w:r>
        <w:rPr>
          <w:color w:val="231F20"/>
          <w:spacing w:val="-4"/>
          <w:sz w:val="20"/>
        </w:rPr>
        <w:t xml:space="preserve">improve </w:t>
      </w:r>
      <w:r>
        <w:rPr>
          <w:color w:val="231F20"/>
          <w:sz w:val="20"/>
        </w:rPr>
        <w:t xml:space="preserve">understanding of what works in </w:t>
      </w:r>
      <w:r>
        <w:rPr>
          <w:color w:val="231F20"/>
          <w:spacing w:val="-3"/>
          <w:sz w:val="20"/>
        </w:rPr>
        <w:t xml:space="preserve">treating </w:t>
      </w:r>
      <w:r>
        <w:rPr>
          <w:color w:val="231F20"/>
          <w:sz w:val="20"/>
        </w:rPr>
        <w:t xml:space="preserve">and </w:t>
      </w:r>
      <w:r>
        <w:rPr>
          <w:color w:val="231F20"/>
          <w:spacing w:val="-3"/>
          <w:sz w:val="20"/>
        </w:rPr>
        <w:t>preventing</w:t>
      </w:r>
      <w:r>
        <w:rPr>
          <w:color w:val="231F20"/>
          <w:spacing w:val="-37"/>
          <w:sz w:val="20"/>
        </w:rPr>
        <w:t xml:space="preserve"> </w:t>
      </w:r>
      <w:r>
        <w:rPr>
          <w:color w:val="231F20"/>
          <w:sz w:val="20"/>
        </w:rPr>
        <w:t>stalking.</w:t>
      </w:r>
    </w:p>
    <w:p w14:paraId="6332A5F4" w14:textId="77777777" w:rsidR="00894070" w:rsidRDefault="009B7AFD">
      <w:pPr>
        <w:pStyle w:val="ListParagraph"/>
        <w:numPr>
          <w:ilvl w:val="1"/>
          <w:numId w:val="29"/>
        </w:numPr>
        <w:tabs>
          <w:tab w:val="left" w:pos="1801"/>
          <w:tab w:val="left" w:pos="1802"/>
        </w:tabs>
        <w:spacing w:before="92"/>
        <w:rPr>
          <w:sz w:val="20"/>
        </w:rPr>
      </w:pPr>
      <w:r>
        <w:rPr>
          <w:color w:val="231F20"/>
          <w:sz w:val="20"/>
        </w:rPr>
        <w:t xml:space="preserve">Later in the </w:t>
      </w:r>
      <w:r>
        <w:rPr>
          <w:color w:val="231F20"/>
          <w:spacing w:val="-3"/>
          <w:sz w:val="20"/>
        </w:rPr>
        <w:t xml:space="preserve">chapter we </w:t>
      </w:r>
      <w:r>
        <w:rPr>
          <w:color w:val="231F20"/>
          <w:sz w:val="20"/>
        </w:rPr>
        <w:t xml:space="preserve">discuss areas that </w:t>
      </w:r>
      <w:r>
        <w:rPr>
          <w:color w:val="231F20"/>
          <w:spacing w:val="-3"/>
          <w:sz w:val="20"/>
        </w:rPr>
        <w:t xml:space="preserve">require </w:t>
      </w:r>
      <w:r>
        <w:rPr>
          <w:color w:val="231F20"/>
          <w:sz w:val="20"/>
        </w:rPr>
        <w:t>further</w:t>
      </w:r>
      <w:r>
        <w:rPr>
          <w:color w:val="231F20"/>
          <w:spacing w:val="-34"/>
          <w:sz w:val="20"/>
        </w:rPr>
        <w:t xml:space="preserve"> </w:t>
      </w:r>
      <w:r>
        <w:rPr>
          <w:color w:val="231F20"/>
          <w:spacing w:val="-3"/>
          <w:sz w:val="20"/>
        </w:rPr>
        <w:t>research.</w:t>
      </w:r>
    </w:p>
    <w:p w14:paraId="29156512" w14:textId="77777777" w:rsidR="00894070" w:rsidRDefault="00894070">
      <w:pPr>
        <w:pStyle w:val="BodyText"/>
        <w:spacing w:before="1"/>
        <w:rPr>
          <w:sz w:val="15"/>
        </w:rPr>
      </w:pPr>
    </w:p>
    <w:p w14:paraId="34D33ECD" w14:textId="77777777" w:rsidR="00894070" w:rsidRDefault="009B7AFD">
      <w:pPr>
        <w:pStyle w:val="Heading8"/>
        <w:ind w:left="1007"/>
      </w:pPr>
      <w:r>
        <w:rPr>
          <w:color w:val="231F20"/>
        </w:rPr>
        <w:t>Services and funding should be available</w:t>
      </w:r>
    </w:p>
    <w:p w14:paraId="271D2174" w14:textId="77777777" w:rsidR="00894070" w:rsidRDefault="009B7AFD">
      <w:pPr>
        <w:pStyle w:val="Heading9"/>
        <w:spacing w:before="132"/>
        <w:rPr>
          <w:b/>
        </w:rPr>
      </w:pPr>
      <w:r>
        <w:rPr>
          <w:b/>
          <w:color w:val="231F20"/>
        </w:rPr>
        <w:t>Increasing the availability of general services and support</w:t>
      </w:r>
    </w:p>
    <w:p w14:paraId="239936F5" w14:textId="77777777" w:rsidR="00894070" w:rsidRDefault="009B7AFD">
      <w:pPr>
        <w:pStyle w:val="ListParagraph"/>
        <w:numPr>
          <w:ilvl w:val="1"/>
          <w:numId w:val="29"/>
        </w:numPr>
        <w:tabs>
          <w:tab w:val="left" w:pos="1802"/>
        </w:tabs>
        <w:spacing w:before="132" w:line="206" w:lineRule="auto"/>
        <w:ind w:right="1190"/>
        <w:jc w:val="both"/>
        <w:rPr>
          <w:sz w:val="11"/>
        </w:rPr>
      </w:pPr>
      <w:r>
        <w:rPr>
          <w:color w:val="231F20"/>
          <w:sz w:val="20"/>
        </w:rPr>
        <w:t>The</w:t>
      </w:r>
      <w:r>
        <w:rPr>
          <w:color w:val="231F20"/>
          <w:spacing w:val="-7"/>
          <w:sz w:val="20"/>
        </w:rPr>
        <w:t xml:space="preserve"> </w:t>
      </w:r>
      <w:r>
        <w:rPr>
          <w:color w:val="231F20"/>
          <w:spacing w:val="-3"/>
          <w:sz w:val="20"/>
        </w:rPr>
        <w:t>Royal</w:t>
      </w:r>
      <w:r>
        <w:rPr>
          <w:color w:val="231F20"/>
          <w:spacing w:val="-6"/>
          <w:sz w:val="20"/>
        </w:rPr>
        <w:t xml:space="preserve"> </w:t>
      </w:r>
      <w:r>
        <w:rPr>
          <w:color w:val="231F20"/>
          <w:sz w:val="20"/>
        </w:rPr>
        <w:t>Commission</w:t>
      </w:r>
      <w:r>
        <w:rPr>
          <w:color w:val="231F20"/>
          <w:spacing w:val="-6"/>
          <w:sz w:val="20"/>
        </w:rPr>
        <w:t xml:space="preserve"> </w:t>
      </w:r>
      <w:r>
        <w:rPr>
          <w:color w:val="231F20"/>
          <w:spacing w:val="-3"/>
          <w:sz w:val="20"/>
        </w:rPr>
        <w:t>into</w:t>
      </w:r>
      <w:r>
        <w:rPr>
          <w:color w:val="231F20"/>
          <w:spacing w:val="-6"/>
          <w:sz w:val="20"/>
        </w:rPr>
        <w:t xml:space="preserve"> </w:t>
      </w:r>
      <w:r>
        <w:rPr>
          <w:color w:val="231F20"/>
          <w:spacing w:val="-3"/>
          <w:sz w:val="20"/>
        </w:rPr>
        <w:t>Victoria’s</w:t>
      </w:r>
      <w:r>
        <w:rPr>
          <w:color w:val="231F20"/>
          <w:spacing w:val="-6"/>
          <w:sz w:val="20"/>
        </w:rPr>
        <w:t xml:space="preserve"> </w:t>
      </w:r>
      <w:r>
        <w:rPr>
          <w:color w:val="231F20"/>
          <w:sz w:val="20"/>
        </w:rPr>
        <w:t>Mental</w:t>
      </w:r>
      <w:r>
        <w:rPr>
          <w:color w:val="231F20"/>
          <w:spacing w:val="-7"/>
          <w:sz w:val="20"/>
        </w:rPr>
        <w:t xml:space="preserve"> </w:t>
      </w:r>
      <w:r>
        <w:rPr>
          <w:color w:val="231F20"/>
          <w:sz w:val="20"/>
        </w:rPr>
        <w:t>Health</w:t>
      </w:r>
      <w:r>
        <w:rPr>
          <w:color w:val="231F20"/>
          <w:spacing w:val="-6"/>
          <w:sz w:val="20"/>
        </w:rPr>
        <w:t xml:space="preserve"> </w:t>
      </w:r>
      <w:r>
        <w:rPr>
          <w:color w:val="231F20"/>
          <w:spacing w:val="-3"/>
          <w:sz w:val="20"/>
        </w:rPr>
        <w:t>System</w:t>
      </w:r>
      <w:r>
        <w:rPr>
          <w:color w:val="231F20"/>
          <w:spacing w:val="-6"/>
          <w:sz w:val="20"/>
        </w:rPr>
        <w:t xml:space="preserve"> </w:t>
      </w:r>
      <w:r>
        <w:rPr>
          <w:color w:val="231F20"/>
          <w:sz w:val="20"/>
        </w:rPr>
        <w:t>paints</w:t>
      </w:r>
      <w:r>
        <w:rPr>
          <w:color w:val="231F20"/>
          <w:spacing w:val="-6"/>
          <w:sz w:val="20"/>
        </w:rPr>
        <w:t xml:space="preserve"> </w:t>
      </w:r>
      <w:r>
        <w:rPr>
          <w:color w:val="231F20"/>
          <w:sz w:val="20"/>
        </w:rPr>
        <w:t>a</w:t>
      </w:r>
      <w:r>
        <w:rPr>
          <w:color w:val="231F20"/>
          <w:spacing w:val="-6"/>
          <w:sz w:val="20"/>
        </w:rPr>
        <w:t xml:space="preserve"> </w:t>
      </w:r>
      <w:r>
        <w:rPr>
          <w:color w:val="231F20"/>
          <w:spacing w:val="-3"/>
          <w:sz w:val="20"/>
        </w:rPr>
        <w:t>picture</w:t>
      </w:r>
      <w:r>
        <w:rPr>
          <w:color w:val="231F20"/>
          <w:spacing w:val="-7"/>
          <w:sz w:val="20"/>
        </w:rPr>
        <w:t xml:space="preserve"> </w:t>
      </w:r>
      <w:r>
        <w:rPr>
          <w:color w:val="231F20"/>
          <w:sz w:val="20"/>
        </w:rPr>
        <w:t>of</w:t>
      </w:r>
      <w:r>
        <w:rPr>
          <w:color w:val="231F20"/>
          <w:spacing w:val="-6"/>
          <w:sz w:val="20"/>
        </w:rPr>
        <w:t xml:space="preserve"> </w:t>
      </w:r>
      <w:r>
        <w:rPr>
          <w:color w:val="231F20"/>
          <w:sz w:val="20"/>
        </w:rPr>
        <w:t>a</w:t>
      </w:r>
      <w:r>
        <w:rPr>
          <w:color w:val="231F20"/>
          <w:spacing w:val="-6"/>
          <w:sz w:val="20"/>
        </w:rPr>
        <w:t xml:space="preserve"> </w:t>
      </w:r>
      <w:r>
        <w:rPr>
          <w:color w:val="231F20"/>
          <w:sz w:val="20"/>
        </w:rPr>
        <w:t>mental health</w:t>
      </w:r>
      <w:r>
        <w:rPr>
          <w:color w:val="231F20"/>
          <w:spacing w:val="-12"/>
          <w:sz w:val="20"/>
        </w:rPr>
        <w:t xml:space="preserve"> </w:t>
      </w:r>
      <w:r>
        <w:rPr>
          <w:color w:val="231F20"/>
          <w:sz w:val="20"/>
        </w:rPr>
        <w:t>service</w:t>
      </w:r>
      <w:r>
        <w:rPr>
          <w:color w:val="231F20"/>
          <w:spacing w:val="-11"/>
          <w:sz w:val="20"/>
        </w:rPr>
        <w:t xml:space="preserve"> </w:t>
      </w:r>
      <w:r>
        <w:rPr>
          <w:color w:val="231F20"/>
          <w:spacing w:val="-2"/>
          <w:sz w:val="20"/>
        </w:rPr>
        <w:t>system</w:t>
      </w:r>
      <w:r>
        <w:rPr>
          <w:color w:val="231F20"/>
          <w:spacing w:val="-11"/>
          <w:sz w:val="20"/>
        </w:rPr>
        <w:t xml:space="preserve"> </w:t>
      </w:r>
      <w:r>
        <w:rPr>
          <w:color w:val="231F20"/>
          <w:sz w:val="20"/>
        </w:rPr>
        <w:t>under</w:t>
      </w:r>
      <w:r>
        <w:rPr>
          <w:color w:val="231F20"/>
          <w:spacing w:val="-12"/>
          <w:sz w:val="20"/>
        </w:rPr>
        <w:t xml:space="preserve"> </w:t>
      </w:r>
      <w:r>
        <w:rPr>
          <w:color w:val="231F20"/>
          <w:sz w:val="20"/>
        </w:rPr>
        <w:t>increasing</w:t>
      </w:r>
      <w:r>
        <w:rPr>
          <w:color w:val="231F20"/>
          <w:spacing w:val="-11"/>
          <w:sz w:val="20"/>
        </w:rPr>
        <w:t xml:space="preserve"> </w:t>
      </w:r>
      <w:r>
        <w:rPr>
          <w:color w:val="231F20"/>
          <w:spacing w:val="-3"/>
          <w:sz w:val="20"/>
        </w:rPr>
        <w:t>pressure,</w:t>
      </w:r>
      <w:r>
        <w:rPr>
          <w:color w:val="231F20"/>
          <w:spacing w:val="-11"/>
          <w:sz w:val="20"/>
        </w:rPr>
        <w:t xml:space="preserve"> </w:t>
      </w:r>
      <w:r>
        <w:rPr>
          <w:color w:val="231F20"/>
          <w:sz w:val="20"/>
        </w:rPr>
        <w:t>with</w:t>
      </w:r>
      <w:r>
        <w:rPr>
          <w:color w:val="231F20"/>
          <w:spacing w:val="-11"/>
          <w:sz w:val="20"/>
        </w:rPr>
        <w:t xml:space="preserve"> </w:t>
      </w:r>
      <w:r>
        <w:rPr>
          <w:color w:val="231F20"/>
          <w:sz w:val="20"/>
        </w:rPr>
        <w:t>dramatically</w:t>
      </w:r>
      <w:r>
        <w:rPr>
          <w:color w:val="231F20"/>
          <w:spacing w:val="-12"/>
          <w:sz w:val="20"/>
        </w:rPr>
        <w:t xml:space="preserve"> </w:t>
      </w:r>
      <w:r>
        <w:rPr>
          <w:color w:val="231F20"/>
          <w:sz w:val="20"/>
        </w:rPr>
        <w:t>increasing</w:t>
      </w:r>
      <w:r>
        <w:rPr>
          <w:color w:val="231F20"/>
          <w:spacing w:val="-11"/>
          <w:sz w:val="20"/>
        </w:rPr>
        <w:t xml:space="preserve"> </w:t>
      </w:r>
      <w:r>
        <w:rPr>
          <w:color w:val="231F20"/>
          <w:sz w:val="20"/>
        </w:rPr>
        <w:t xml:space="preserve">demand </w:t>
      </w:r>
      <w:r>
        <w:rPr>
          <w:color w:val="231F20"/>
          <w:spacing w:val="-3"/>
          <w:sz w:val="20"/>
        </w:rPr>
        <w:t xml:space="preserve">for treatment for </w:t>
      </w:r>
      <w:r>
        <w:rPr>
          <w:color w:val="231F20"/>
          <w:sz w:val="20"/>
        </w:rPr>
        <w:t>those who use</w:t>
      </w:r>
      <w:r>
        <w:rPr>
          <w:color w:val="231F20"/>
          <w:spacing w:val="-16"/>
          <w:sz w:val="20"/>
        </w:rPr>
        <w:t xml:space="preserve"> </w:t>
      </w:r>
      <w:r>
        <w:rPr>
          <w:color w:val="231F20"/>
          <w:sz w:val="20"/>
        </w:rPr>
        <w:t>violence.</w:t>
      </w:r>
      <w:r>
        <w:rPr>
          <w:color w:val="231F20"/>
          <w:position w:val="7"/>
          <w:sz w:val="11"/>
        </w:rPr>
        <w:t>34</w:t>
      </w:r>
    </w:p>
    <w:p w14:paraId="47DE2A59" w14:textId="77777777" w:rsidR="00894070" w:rsidRDefault="009B7AFD">
      <w:pPr>
        <w:pStyle w:val="ListParagraph"/>
        <w:numPr>
          <w:ilvl w:val="1"/>
          <w:numId w:val="29"/>
        </w:numPr>
        <w:tabs>
          <w:tab w:val="left" w:pos="1802"/>
        </w:tabs>
        <w:spacing w:before="123" w:line="206" w:lineRule="auto"/>
        <w:ind w:right="1333"/>
        <w:jc w:val="both"/>
        <w:rPr>
          <w:sz w:val="11"/>
        </w:rPr>
      </w:pPr>
      <w:r>
        <w:rPr>
          <w:color w:val="231F20"/>
          <w:sz w:val="20"/>
        </w:rPr>
        <w:t>The</w:t>
      </w:r>
      <w:r>
        <w:rPr>
          <w:color w:val="231F20"/>
          <w:spacing w:val="-10"/>
          <w:sz w:val="20"/>
        </w:rPr>
        <w:t xml:space="preserve"> </w:t>
      </w:r>
      <w:r>
        <w:rPr>
          <w:color w:val="231F20"/>
          <w:spacing w:val="-3"/>
          <w:sz w:val="20"/>
        </w:rPr>
        <w:t>Royal</w:t>
      </w:r>
      <w:r>
        <w:rPr>
          <w:color w:val="231F20"/>
          <w:spacing w:val="-10"/>
          <w:sz w:val="20"/>
        </w:rPr>
        <w:t xml:space="preserve"> </w:t>
      </w:r>
      <w:r>
        <w:rPr>
          <w:color w:val="231F20"/>
          <w:sz w:val="20"/>
        </w:rPr>
        <w:t>Commission</w:t>
      </w:r>
      <w:r>
        <w:rPr>
          <w:color w:val="231F20"/>
          <w:spacing w:val="-10"/>
          <w:sz w:val="20"/>
        </w:rPr>
        <w:t xml:space="preserve"> </w:t>
      </w:r>
      <w:r>
        <w:rPr>
          <w:color w:val="231F20"/>
          <w:sz w:val="20"/>
        </w:rPr>
        <w:t>identified</w:t>
      </w:r>
      <w:r>
        <w:rPr>
          <w:color w:val="231F20"/>
          <w:spacing w:val="-10"/>
          <w:sz w:val="20"/>
        </w:rPr>
        <w:t xml:space="preserve"> </w:t>
      </w:r>
      <w:r>
        <w:rPr>
          <w:color w:val="231F20"/>
          <w:sz w:val="20"/>
        </w:rPr>
        <w:t>barriers</w:t>
      </w:r>
      <w:r>
        <w:rPr>
          <w:color w:val="231F20"/>
          <w:spacing w:val="-10"/>
          <w:sz w:val="20"/>
        </w:rPr>
        <w:t xml:space="preserve"> </w:t>
      </w:r>
      <w:r>
        <w:rPr>
          <w:color w:val="231F20"/>
          <w:sz w:val="20"/>
        </w:rPr>
        <w:t>to</w:t>
      </w:r>
      <w:r>
        <w:rPr>
          <w:color w:val="231F20"/>
          <w:spacing w:val="-10"/>
          <w:sz w:val="20"/>
        </w:rPr>
        <w:t xml:space="preserve"> </w:t>
      </w:r>
      <w:r>
        <w:rPr>
          <w:color w:val="231F20"/>
          <w:sz w:val="20"/>
        </w:rPr>
        <w:t>accessing</w:t>
      </w:r>
      <w:r>
        <w:rPr>
          <w:color w:val="231F20"/>
          <w:spacing w:val="-9"/>
          <w:sz w:val="20"/>
        </w:rPr>
        <w:t xml:space="preserve"> </w:t>
      </w:r>
      <w:r>
        <w:rPr>
          <w:color w:val="231F20"/>
          <w:sz w:val="20"/>
        </w:rPr>
        <w:t>services</w:t>
      </w:r>
      <w:r>
        <w:rPr>
          <w:color w:val="231F20"/>
          <w:spacing w:val="-10"/>
          <w:sz w:val="20"/>
        </w:rPr>
        <w:t xml:space="preserve"> </w:t>
      </w:r>
      <w:r>
        <w:rPr>
          <w:color w:val="231F20"/>
          <w:sz w:val="20"/>
        </w:rPr>
        <w:t>and</w:t>
      </w:r>
      <w:r>
        <w:rPr>
          <w:color w:val="231F20"/>
          <w:spacing w:val="-10"/>
          <w:sz w:val="20"/>
        </w:rPr>
        <w:t xml:space="preserve"> </w:t>
      </w:r>
      <w:r>
        <w:rPr>
          <w:color w:val="231F20"/>
          <w:sz w:val="20"/>
        </w:rPr>
        <w:t>a</w:t>
      </w:r>
      <w:r>
        <w:rPr>
          <w:color w:val="231F20"/>
          <w:spacing w:val="-10"/>
          <w:sz w:val="20"/>
        </w:rPr>
        <w:t xml:space="preserve"> </w:t>
      </w:r>
      <w:r>
        <w:rPr>
          <w:color w:val="231F20"/>
          <w:sz w:val="20"/>
        </w:rPr>
        <w:t>lack</w:t>
      </w:r>
      <w:r>
        <w:rPr>
          <w:color w:val="231F20"/>
          <w:spacing w:val="-10"/>
          <w:sz w:val="20"/>
        </w:rPr>
        <w:t xml:space="preserve"> </w:t>
      </w:r>
      <w:r>
        <w:rPr>
          <w:color w:val="231F20"/>
          <w:sz w:val="20"/>
        </w:rPr>
        <w:t>of</w:t>
      </w:r>
      <w:r>
        <w:rPr>
          <w:color w:val="231F20"/>
          <w:spacing w:val="-10"/>
          <w:sz w:val="20"/>
        </w:rPr>
        <w:t xml:space="preserve"> </w:t>
      </w:r>
      <w:r>
        <w:rPr>
          <w:color w:val="231F20"/>
          <w:sz w:val="20"/>
        </w:rPr>
        <w:t>services in</w:t>
      </w:r>
      <w:r>
        <w:rPr>
          <w:color w:val="231F20"/>
          <w:spacing w:val="-7"/>
          <w:sz w:val="20"/>
        </w:rPr>
        <w:t xml:space="preserve"> </w:t>
      </w:r>
      <w:r>
        <w:rPr>
          <w:color w:val="231F20"/>
          <w:sz w:val="20"/>
        </w:rPr>
        <w:t>the</w:t>
      </w:r>
      <w:r>
        <w:rPr>
          <w:color w:val="231F20"/>
          <w:spacing w:val="-7"/>
          <w:sz w:val="20"/>
        </w:rPr>
        <w:t xml:space="preserve"> </w:t>
      </w:r>
      <w:r>
        <w:rPr>
          <w:color w:val="231F20"/>
          <w:spacing w:val="-3"/>
          <w:sz w:val="20"/>
        </w:rPr>
        <w:t>community.</w:t>
      </w:r>
      <w:r>
        <w:rPr>
          <w:color w:val="231F20"/>
          <w:spacing w:val="-7"/>
          <w:sz w:val="20"/>
        </w:rPr>
        <w:t xml:space="preserve"> </w:t>
      </w:r>
      <w:r>
        <w:rPr>
          <w:color w:val="231F20"/>
          <w:sz w:val="20"/>
        </w:rPr>
        <w:t>This</w:t>
      </w:r>
      <w:r>
        <w:rPr>
          <w:color w:val="231F20"/>
          <w:spacing w:val="-6"/>
          <w:sz w:val="20"/>
        </w:rPr>
        <w:t xml:space="preserve"> </w:t>
      </w:r>
      <w:r>
        <w:rPr>
          <w:color w:val="231F20"/>
          <w:sz w:val="20"/>
        </w:rPr>
        <w:t>included</w:t>
      </w:r>
      <w:r>
        <w:rPr>
          <w:color w:val="231F20"/>
          <w:spacing w:val="-7"/>
          <w:sz w:val="20"/>
        </w:rPr>
        <w:t xml:space="preserve"> </w:t>
      </w:r>
      <w:r>
        <w:rPr>
          <w:color w:val="231F20"/>
          <w:sz w:val="20"/>
        </w:rPr>
        <w:t>barriers</w:t>
      </w:r>
      <w:r>
        <w:rPr>
          <w:color w:val="231F20"/>
          <w:spacing w:val="-7"/>
          <w:sz w:val="20"/>
        </w:rPr>
        <w:t xml:space="preserve"> </w:t>
      </w:r>
      <w:r>
        <w:rPr>
          <w:color w:val="231F20"/>
          <w:spacing w:val="-3"/>
          <w:sz w:val="20"/>
        </w:rPr>
        <w:t>for</w:t>
      </w:r>
      <w:r>
        <w:rPr>
          <w:color w:val="231F20"/>
          <w:spacing w:val="-6"/>
          <w:sz w:val="20"/>
        </w:rPr>
        <w:t xml:space="preserve"> </w:t>
      </w:r>
      <w:r>
        <w:rPr>
          <w:color w:val="231F20"/>
          <w:spacing w:val="-3"/>
          <w:sz w:val="20"/>
        </w:rPr>
        <w:t>low-income</w:t>
      </w:r>
      <w:r>
        <w:rPr>
          <w:color w:val="231F20"/>
          <w:spacing w:val="-7"/>
          <w:sz w:val="20"/>
        </w:rPr>
        <w:t xml:space="preserve"> </w:t>
      </w:r>
      <w:r>
        <w:rPr>
          <w:color w:val="231F20"/>
          <w:sz w:val="20"/>
        </w:rPr>
        <w:t>earners</w:t>
      </w:r>
      <w:r>
        <w:rPr>
          <w:color w:val="231F20"/>
          <w:spacing w:val="-7"/>
          <w:sz w:val="20"/>
        </w:rPr>
        <w:t xml:space="preserve"> </w:t>
      </w:r>
      <w:r>
        <w:rPr>
          <w:color w:val="231F20"/>
          <w:sz w:val="20"/>
        </w:rPr>
        <w:t>who</w:t>
      </w:r>
      <w:r>
        <w:rPr>
          <w:color w:val="231F20"/>
          <w:spacing w:val="-6"/>
          <w:sz w:val="20"/>
        </w:rPr>
        <w:t xml:space="preserve"> </w:t>
      </w:r>
      <w:r>
        <w:rPr>
          <w:color w:val="231F20"/>
          <w:spacing w:val="-3"/>
          <w:sz w:val="20"/>
        </w:rPr>
        <w:t>may</w:t>
      </w:r>
      <w:r>
        <w:rPr>
          <w:color w:val="231F20"/>
          <w:spacing w:val="-7"/>
          <w:sz w:val="20"/>
        </w:rPr>
        <w:t xml:space="preserve"> </w:t>
      </w:r>
      <w:r>
        <w:rPr>
          <w:color w:val="231F20"/>
          <w:sz w:val="20"/>
        </w:rPr>
        <w:t>not</w:t>
      </w:r>
      <w:r>
        <w:rPr>
          <w:color w:val="231F20"/>
          <w:spacing w:val="-7"/>
          <w:sz w:val="20"/>
        </w:rPr>
        <w:t xml:space="preserve"> </w:t>
      </w:r>
      <w:r>
        <w:rPr>
          <w:color w:val="231F20"/>
          <w:sz w:val="20"/>
        </w:rPr>
        <w:t>be</w:t>
      </w:r>
      <w:r>
        <w:rPr>
          <w:color w:val="231F20"/>
          <w:spacing w:val="-6"/>
          <w:sz w:val="20"/>
        </w:rPr>
        <w:t xml:space="preserve"> </w:t>
      </w:r>
      <w:r>
        <w:rPr>
          <w:color w:val="231F20"/>
          <w:sz w:val="20"/>
        </w:rPr>
        <w:t>able to</w:t>
      </w:r>
      <w:r>
        <w:rPr>
          <w:color w:val="231F20"/>
          <w:spacing w:val="-8"/>
          <w:sz w:val="20"/>
        </w:rPr>
        <w:t xml:space="preserve"> </w:t>
      </w:r>
      <w:r>
        <w:rPr>
          <w:color w:val="231F20"/>
          <w:spacing w:val="-3"/>
          <w:sz w:val="20"/>
        </w:rPr>
        <w:t>afford</w:t>
      </w:r>
      <w:r>
        <w:rPr>
          <w:color w:val="231F20"/>
          <w:spacing w:val="-8"/>
          <w:sz w:val="20"/>
        </w:rPr>
        <w:t xml:space="preserve"> </w:t>
      </w:r>
      <w:r>
        <w:rPr>
          <w:color w:val="231F20"/>
          <w:spacing w:val="-3"/>
          <w:sz w:val="20"/>
        </w:rPr>
        <w:t>treatment,</w:t>
      </w:r>
      <w:r>
        <w:rPr>
          <w:color w:val="231F20"/>
          <w:spacing w:val="-7"/>
          <w:sz w:val="20"/>
        </w:rPr>
        <w:t xml:space="preserve"> </w:t>
      </w:r>
      <w:r>
        <w:rPr>
          <w:color w:val="231F20"/>
          <w:sz w:val="20"/>
        </w:rPr>
        <w:t>care</w:t>
      </w:r>
      <w:r>
        <w:rPr>
          <w:color w:val="231F20"/>
          <w:spacing w:val="-8"/>
          <w:sz w:val="20"/>
        </w:rPr>
        <w:t xml:space="preserve"> </w:t>
      </w:r>
      <w:r>
        <w:rPr>
          <w:color w:val="231F20"/>
          <w:sz w:val="20"/>
        </w:rPr>
        <w:t>and</w:t>
      </w:r>
      <w:r>
        <w:rPr>
          <w:color w:val="231F20"/>
          <w:spacing w:val="-8"/>
          <w:sz w:val="20"/>
        </w:rPr>
        <w:t xml:space="preserve"> </w:t>
      </w:r>
      <w:r>
        <w:rPr>
          <w:color w:val="231F20"/>
          <w:sz w:val="20"/>
        </w:rPr>
        <w:t>support,</w:t>
      </w:r>
      <w:r>
        <w:rPr>
          <w:color w:val="231F20"/>
          <w:spacing w:val="-7"/>
          <w:sz w:val="20"/>
        </w:rPr>
        <w:t xml:space="preserve"> </w:t>
      </w:r>
      <w:r>
        <w:rPr>
          <w:color w:val="231F20"/>
          <w:sz w:val="20"/>
        </w:rPr>
        <w:t>and</w:t>
      </w:r>
      <w:r>
        <w:rPr>
          <w:color w:val="231F20"/>
          <w:spacing w:val="-8"/>
          <w:sz w:val="20"/>
        </w:rPr>
        <w:t xml:space="preserve"> </w:t>
      </w:r>
      <w:r>
        <w:rPr>
          <w:color w:val="231F20"/>
          <w:sz w:val="20"/>
        </w:rPr>
        <w:t>barriers</w:t>
      </w:r>
      <w:r>
        <w:rPr>
          <w:color w:val="231F20"/>
          <w:spacing w:val="-8"/>
          <w:sz w:val="20"/>
        </w:rPr>
        <w:t xml:space="preserve"> </w:t>
      </w:r>
      <w:r>
        <w:rPr>
          <w:color w:val="231F20"/>
          <w:sz w:val="20"/>
        </w:rPr>
        <w:t>to</w:t>
      </w:r>
      <w:r>
        <w:rPr>
          <w:color w:val="231F20"/>
          <w:spacing w:val="-7"/>
          <w:sz w:val="20"/>
        </w:rPr>
        <w:t xml:space="preserve"> </w:t>
      </w:r>
      <w:r>
        <w:rPr>
          <w:color w:val="231F20"/>
          <w:sz w:val="20"/>
        </w:rPr>
        <w:t>accessing</w:t>
      </w:r>
      <w:r>
        <w:rPr>
          <w:color w:val="231F20"/>
          <w:spacing w:val="-8"/>
          <w:sz w:val="20"/>
        </w:rPr>
        <w:t xml:space="preserve"> </w:t>
      </w:r>
      <w:r>
        <w:rPr>
          <w:color w:val="231F20"/>
          <w:spacing w:val="-3"/>
          <w:sz w:val="20"/>
        </w:rPr>
        <w:t>treatment</w:t>
      </w:r>
      <w:r>
        <w:rPr>
          <w:color w:val="231F20"/>
          <w:spacing w:val="-7"/>
          <w:sz w:val="20"/>
        </w:rPr>
        <w:t xml:space="preserve"> </w:t>
      </w:r>
      <w:r>
        <w:rPr>
          <w:color w:val="231F20"/>
          <w:sz w:val="20"/>
        </w:rPr>
        <w:t>and</w:t>
      </w:r>
      <w:r>
        <w:rPr>
          <w:color w:val="231F20"/>
          <w:spacing w:val="-8"/>
          <w:sz w:val="20"/>
        </w:rPr>
        <w:t xml:space="preserve"> </w:t>
      </w:r>
      <w:r>
        <w:rPr>
          <w:color w:val="231F20"/>
          <w:sz w:val="20"/>
        </w:rPr>
        <w:t>care</w:t>
      </w:r>
      <w:r>
        <w:rPr>
          <w:color w:val="231F20"/>
          <w:spacing w:val="-8"/>
          <w:sz w:val="20"/>
        </w:rPr>
        <w:t xml:space="preserve"> </w:t>
      </w:r>
      <w:r>
        <w:rPr>
          <w:color w:val="231F20"/>
          <w:sz w:val="20"/>
        </w:rPr>
        <w:t>in rural and regional</w:t>
      </w:r>
      <w:r>
        <w:rPr>
          <w:color w:val="231F20"/>
          <w:spacing w:val="-13"/>
          <w:sz w:val="20"/>
        </w:rPr>
        <w:t xml:space="preserve"> </w:t>
      </w:r>
      <w:r>
        <w:rPr>
          <w:color w:val="231F20"/>
          <w:sz w:val="20"/>
        </w:rPr>
        <w:t>Victoria.</w:t>
      </w:r>
      <w:r>
        <w:rPr>
          <w:color w:val="231F20"/>
          <w:position w:val="7"/>
          <w:sz w:val="11"/>
        </w:rPr>
        <w:t>35</w:t>
      </w:r>
    </w:p>
    <w:p w14:paraId="310B6DE7" w14:textId="77777777" w:rsidR="00894070" w:rsidRDefault="009B7AFD">
      <w:pPr>
        <w:pStyle w:val="ListParagraph"/>
        <w:numPr>
          <w:ilvl w:val="1"/>
          <w:numId w:val="29"/>
        </w:numPr>
        <w:tabs>
          <w:tab w:val="left" w:pos="1801"/>
          <w:tab w:val="left" w:pos="1802"/>
        </w:tabs>
        <w:spacing w:before="93" w:line="259" w:lineRule="exact"/>
        <w:rPr>
          <w:sz w:val="20"/>
        </w:rPr>
      </w:pPr>
      <w:r>
        <w:rPr>
          <w:color w:val="231F20"/>
          <w:sz w:val="20"/>
        </w:rPr>
        <w:t>The</w:t>
      </w:r>
      <w:r>
        <w:rPr>
          <w:color w:val="231F20"/>
          <w:spacing w:val="-6"/>
          <w:sz w:val="20"/>
        </w:rPr>
        <w:t xml:space="preserve"> </w:t>
      </w:r>
      <w:r>
        <w:rPr>
          <w:color w:val="231F20"/>
          <w:spacing w:val="-3"/>
          <w:sz w:val="20"/>
        </w:rPr>
        <w:t>Royal</w:t>
      </w:r>
      <w:r>
        <w:rPr>
          <w:color w:val="231F20"/>
          <w:spacing w:val="-5"/>
          <w:sz w:val="20"/>
        </w:rPr>
        <w:t xml:space="preserve"> </w:t>
      </w:r>
      <w:r>
        <w:rPr>
          <w:color w:val="231F20"/>
          <w:sz w:val="20"/>
        </w:rPr>
        <w:t>Commission</w:t>
      </w:r>
      <w:r>
        <w:rPr>
          <w:color w:val="231F20"/>
          <w:spacing w:val="-5"/>
          <w:sz w:val="20"/>
        </w:rPr>
        <w:t xml:space="preserve"> </w:t>
      </w:r>
      <w:r>
        <w:rPr>
          <w:color w:val="231F20"/>
          <w:sz w:val="20"/>
        </w:rPr>
        <w:t>made</w:t>
      </w:r>
      <w:r>
        <w:rPr>
          <w:color w:val="231F20"/>
          <w:spacing w:val="-5"/>
          <w:sz w:val="20"/>
        </w:rPr>
        <w:t xml:space="preserve"> </w:t>
      </w:r>
      <w:r>
        <w:rPr>
          <w:color w:val="231F20"/>
          <w:sz w:val="20"/>
        </w:rPr>
        <w:t>recommendations</w:t>
      </w:r>
      <w:r>
        <w:rPr>
          <w:color w:val="231F20"/>
          <w:spacing w:val="-5"/>
          <w:sz w:val="20"/>
        </w:rPr>
        <w:t xml:space="preserve"> </w:t>
      </w:r>
      <w:r>
        <w:rPr>
          <w:color w:val="231F20"/>
          <w:sz w:val="20"/>
        </w:rPr>
        <w:t>to</w:t>
      </w:r>
      <w:r>
        <w:rPr>
          <w:color w:val="231F20"/>
          <w:spacing w:val="-5"/>
          <w:sz w:val="20"/>
        </w:rPr>
        <w:t xml:space="preserve"> </w:t>
      </w:r>
      <w:r>
        <w:rPr>
          <w:color w:val="231F20"/>
          <w:sz w:val="20"/>
        </w:rPr>
        <w:t>make</w:t>
      </w:r>
      <w:r>
        <w:rPr>
          <w:color w:val="231F20"/>
          <w:spacing w:val="-6"/>
          <w:sz w:val="20"/>
        </w:rPr>
        <w:t xml:space="preserve"> </w:t>
      </w:r>
      <w:r>
        <w:rPr>
          <w:color w:val="231F20"/>
          <w:sz w:val="20"/>
        </w:rPr>
        <w:t>it</w:t>
      </w:r>
      <w:r>
        <w:rPr>
          <w:color w:val="231F20"/>
          <w:spacing w:val="-5"/>
          <w:sz w:val="20"/>
        </w:rPr>
        <w:t xml:space="preserve"> </w:t>
      </w:r>
      <w:r>
        <w:rPr>
          <w:color w:val="231F20"/>
          <w:sz w:val="20"/>
        </w:rPr>
        <w:t>easier</w:t>
      </w:r>
      <w:r>
        <w:rPr>
          <w:color w:val="231F20"/>
          <w:spacing w:val="-5"/>
          <w:sz w:val="20"/>
        </w:rPr>
        <w:t xml:space="preserve"> </w:t>
      </w:r>
      <w:r>
        <w:rPr>
          <w:color w:val="231F20"/>
          <w:sz w:val="20"/>
        </w:rPr>
        <w:t>than</w:t>
      </w:r>
      <w:r>
        <w:rPr>
          <w:color w:val="231F20"/>
          <w:spacing w:val="-5"/>
          <w:sz w:val="20"/>
        </w:rPr>
        <w:t xml:space="preserve"> </w:t>
      </w:r>
      <w:r>
        <w:rPr>
          <w:color w:val="231F20"/>
          <w:sz w:val="20"/>
        </w:rPr>
        <w:t>at</w:t>
      </w:r>
      <w:r>
        <w:rPr>
          <w:color w:val="231F20"/>
          <w:spacing w:val="-5"/>
          <w:sz w:val="20"/>
        </w:rPr>
        <w:t xml:space="preserve"> </w:t>
      </w:r>
      <w:r>
        <w:rPr>
          <w:color w:val="231F20"/>
          <w:spacing w:val="-3"/>
          <w:sz w:val="20"/>
        </w:rPr>
        <w:t>present</w:t>
      </w:r>
    </w:p>
    <w:p w14:paraId="1E83FB08" w14:textId="77777777" w:rsidR="00894070" w:rsidRDefault="009B7AFD">
      <w:pPr>
        <w:pStyle w:val="BodyText"/>
        <w:spacing w:before="14" w:line="206" w:lineRule="auto"/>
        <w:ind w:left="1801" w:right="1162"/>
      </w:pPr>
      <w:r>
        <w:rPr>
          <w:color w:val="231F20"/>
          <w:spacing w:val="-3"/>
        </w:rPr>
        <w:t xml:space="preserve">for </w:t>
      </w:r>
      <w:r>
        <w:rPr>
          <w:color w:val="231F20"/>
        </w:rPr>
        <w:t>people to access the services they need, when and where they need them.</w:t>
      </w:r>
      <w:r>
        <w:rPr>
          <w:color w:val="231F20"/>
          <w:position w:val="7"/>
          <w:sz w:val="11"/>
        </w:rPr>
        <w:t xml:space="preserve">36 </w:t>
      </w:r>
      <w:r>
        <w:rPr>
          <w:color w:val="231F20"/>
        </w:rPr>
        <w:t>Implementing</w:t>
      </w:r>
      <w:r>
        <w:rPr>
          <w:color w:val="231F20"/>
          <w:spacing w:val="-15"/>
        </w:rPr>
        <w:t xml:space="preserve"> </w:t>
      </w:r>
      <w:r>
        <w:rPr>
          <w:color w:val="231F20"/>
        </w:rPr>
        <w:t>these</w:t>
      </w:r>
      <w:r>
        <w:rPr>
          <w:color w:val="231F20"/>
          <w:spacing w:val="-14"/>
        </w:rPr>
        <w:t xml:space="preserve"> </w:t>
      </w:r>
      <w:r>
        <w:rPr>
          <w:color w:val="231F20"/>
        </w:rPr>
        <w:t>recommendations</w:t>
      </w:r>
      <w:r>
        <w:rPr>
          <w:color w:val="231F20"/>
          <w:spacing w:val="-14"/>
        </w:rPr>
        <w:t xml:space="preserve"> </w:t>
      </w:r>
      <w:r>
        <w:rPr>
          <w:color w:val="231F20"/>
          <w:spacing w:val="-3"/>
        </w:rPr>
        <w:t>would</w:t>
      </w:r>
      <w:r>
        <w:rPr>
          <w:color w:val="231F20"/>
          <w:spacing w:val="-15"/>
        </w:rPr>
        <w:t xml:space="preserve"> </w:t>
      </w:r>
      <w:r>
        <w:rPr>
          <w:color w:val="231F20"/>
        </w:rPr>
        <w:t>increase</w:t>
      </w:r>
      <w:r>
        <w:rPr>
          <w:color w:val="231F20"/>
          <w:spacing w:val="-14"/>
        </w:rPr>
        <w:t xml:space="preserve"> </w:t>
      </w:r>
      <w:r>
        <w:rPr>
          <w:color w:val="231F20"/>
        </w:rPr>
        <w:t>the</w:t>
      </w:r>
      <w:r>
        <w:rPr>
          <w:color w:val="231F20"/>
          <w:spacing w:val="-15"/>
        </w:rPr>
        <w:t xml:space="preserve"> </w:t>
      </w:r>
      <w:r>
        <w:rPr>
          <w:color w:val="231F20"/>
        </w:rPr>
        <w:t>treatment,</w:t>
      </w:r>
      <w:r>
        <w:rPr>
          <w:color w:val="231F20"/>
          <w:spacing w:val="-14"/>
        </w:rPr>
        <w:t xml:space="preserve"> </w:t>
      </w:r>
      <w:r>
        <w:rPr>
          <w:color w:val="231F20"/>
        </w:rPr>
        <w:t>care</w:t>
      </w:r>
      <w:r>
        <w:rPr>
          <w:color w:val="231F20"/>
          <w:spacing w:val="-14"/>
        </w:rPr>
        <w:t xml:space="preserve"> </w:t>
      </w:r>
      <w:r>
        <w:rPr>
          <w:color w:val="231F20"/>
        </w:rPr>
        <w:t>and</w:t>
      </w:r>
      <w:r>
        <w:rPr>
          <w:color w:val="231F20"/>
          <w:spacing w:val="-15"/>
        </w:rPr>
        <w:t xml:space="preserve"> </w:t>
      </w:r>
      <w:r>
        <w:rPr>
          <w:color w:val="231F20"/>
        </w:rPr>
        <w:t>support available</w:t>
      </w:r>
      <w:r>
        <w:rPr>
          <w:color w:val="231F20"/>
          <w:spacing w:val="-8"/>
        </w:rPr>
        <w:t xml:space="preserve"> </w:t>
      </w:r>
      <w:r>
        <w:rPr>
          <w:color w:val="231F20"/>
        </w:rPr>
        <w:t>to</w:t>
      </w:r>
      <w:r>
        <w:rPr>
          <w:color w:val="231F20"/>
          <w:spacing w:val="-7"/>
        </w:rPr>
        <w:t xml:space="preserve"> </w:t>
      </w:r>
      <w:r>
        <w:rPr>
          <w:color w:val="231F20"/>
        </w:rPr>
        <w:t>people</w:t>
      </w:r>
      <w:r>
        <w:rPr>
          <w:color w:val="231F20"/>
          <w:spacing w:val="-8"/>
        </w:rPr>
        <w:t xml:space="preserve"> </w:t>
      </w:r>
      <w:r>
        <w:rPr>
          <w:color w:val="231F20"/>
        </w:rPr>
        <w:t>who</w:t>
      </w:r>
      <w:r>
        <w:rPr>
          <w:color w:val="231F20"/>
          <w:spacing w:val="-7"/>
        </w:rPr>
        <w:t xml:space="preserve"> </w:t>
      </w:r>
      <w:r>
        <w:rPr>
          <w:color w:val="231F20"/>
        </w:rPr>
        <w:t>stalk,</w:t>
      </w:r>
      <w:r>
        <w:rPr>
          <w:color w:val="231F20"/>
          <w:spacing w:val="-8"/>
        </w:rPr>
        <w:t xml:space="preserve"> </w:t>
      </w:r>
      <w:r>
        <w:rPr>
          <w:color w:val="231F20"/>
        </w:rPr>
        <w:t>and</w:t>
      </w:r>
      <w:r>
        <w:rPr>
          <w:color w:val="231F20"/>
          <w:spacing w:val="-7"/>
        </w:rPr>
        <w:t xml:space="preserve"> </w:t>
      </w:r>
      <w:r>
        <w:rPr>
          <w:color w:val="231F20"/>
        </w:rPr>
        <w:t>address</w:t>
      </w:r>
      <w:r>
        <w:rPr>
          <w:color w:val="231F20"/>
          <w:spacing w:val="-7"/>
        </w:rPr>
        <w:t xml:space="preserve"> </w:t>
      </w:r>
      <w:r>
        <w:rPr>
          <w:color w:val="231F20"/>
        </w:rPr>
        <w:t>the</w:t>
      </w:r>
      <w:r>
        <w:rPr>
          <w:color w:val="231F20"/>
          <w:spacing w:val="-8"/>
        </w:rPr>
        <w:t xml:space="preserve"> </w:t>
      </w:r>
      <w:r>
        <w:rPr>
          <w:color w:val="231F20"/>
        </w:rPr>
        <w:t>factors</w:t>
      </w:r>
      <w:r>
        <w:rPr>
          <w:color w:val="231F20"/>
          <w:spacing w:val="-7"/>
        </w:rPr>
        <w:t xml:space="preserve"> </w:t>
      </w:r>
      <w:r>
        <w:rPr>
          <w:color w:val="231F20"/>
        </w:rPr>
        <w:t>contributing</w:t>
      </w:r>
      <w:r>
        <w:rPr>
          <w:color w:val="231F20"/>
          <w:spacing w:val="-8"/>
        </w:rPr>
        <w:t xml:space="preserve"> </w:t>
      </w:r>
      <w:r>
        <w:rPr>
          <w:color w:val="231F20"/>
        </w:rPr>
        <w:t>to</w:t>
      </w:r>
      <w:r>
        <w:rPr>
          <w:color w:val="231F20"/>
          <w:spacing w:val="-7"/>
        </w:rPr>
        <w:t xml:space="preserve"> </w:t>
      </w:r>
      <w:r>
        <w:rPr>
          <w:color w:val="231F20"/>
        </w:rPr>
        <w:t>stalking.</w:t>
      </w:r>
    </w:p>
    <w:p w14:paraId="484219A7" w14:textId="77777777" w:rsidR="00894070" w:rsidRDefault="009B7AFD">
      <w:pPr>
        <w:pStyle w:val="ListParagraph"/>
        <w:numPr>
          <w:ilvl w:val="1"/>
          <w:numId w:val="29"/>
        </w:numPr>
        <w:tabs>
          <w:tab w:val="left" w:pos="1801"/>
          <w:tab w:val="left" w:pos="1802"/>
        </w:tabs>
        <w:spacing w:before="123" w:line="206" w:lineRule="auto"/>
        <w:ind w:right="1165"/>
        <w:rPr>
          <w:sz w:val="20"/>
        </w:rPr>
      </w:pPr>
      <w:r>
        <w:rPr>
          <w:color w:val="231F20"/>
          <w:sz w:val="20"/>
        </w:rPr>
        <w:t>Victoria has specialist courts and court programs outside the mainstream court system.</w:t>
      </w:r>
      <w:r>
        <w:rPr>
          <w:color w:val="231F20"/>
          <w:position w:val="7"/>
          <w:sz w:val="11"/>
        </w:rPr>
        <w:t>37</w:t>
      </w:r>
      <w:r>
        <w:rPr>
          <w:color w:val="231F20"/>
          <w:spacing w:val="14"/>
          <w:position w:val="7"/>
          <w:sz w:val="11"/>
        </w:rPr>
        <w:t xml:space="preserve"> </w:t>
      </w:r>
      <w:r>
        <w:rPr>
          <w:color w:val="231F20"/>
          <w:sz w:val="20"/>
        </w:rPr>
        <w:t>While</w:t>
      </w:r>
      <w:r>
        <w:rPr>
          <w:color w:val="231F20"/>
          <w:spacing w:val="-10"/>
          <w:sz w:val="20"/>
        </w:rPr>
        <w:t xml:space="preserve"> </w:t>
      </w:r>
      <w:r>
        <w:rPr>
          <w:color w:val="231F20"/>
          <w:sz w:val="20"/>
        </w:rPr>
        <w:t>they</w:t>
      </w:r>
      <w:r>
        <w:rPr>
          <w:color w:val="231F20"/>
          <w:spacing w:val="-10"/>
          <w:sz w:val="20"/>
        </w:rPr>
        <w:t xml:space="preserve"> </w:t>
      </w:r>
      <w:r>
        <w:rPr>
          <w:color w:val="231F20"/>
          <w:sz w:val="20"/>
        </w:rPr>
        <w:t>do</w:t>
      </w:r>
      <w:r>
        <w:rPr>
          <w:color w:val="231F20"/>
          <w:spacing w:val="-10"/>
          <w:sz w:val="20"/>
        </w:rPr>
        <w:t xml:space="preserve"> </w:t>
      </w:r>
      <w:r>
        <w:rPr>
          <w:color w:val="231F20"/>
          <w:sz w:val="20"/>
        </w:rPr>
        <w:t>not</w:t>
      </w:r>
      <w:r>
        <w:rPr>
          <w:color w:val="231F20"/>
          <w:spacing w:val="-10"/>
          <w:sz w:val="20"/>
        </w:rPr>
        <w:t xml:space="preserve"> </w:t>
      </w:r>
      <w:r>
        <w:rPr>
          <w:color w:val="231F20"/>
          <w:spacing w:val="-3"/>
          <w:sz w:val="20"/>
        </w:rPr>
        <w:t>directly</w:t>
      </w:r>
      <w:r>
        <w:rPr>
          <w:color w:val="231F20"/>
          <w:spacing w:val="-10"/>
          <w:sz w:val="20"/>
        </w:rPr>
        <w:t xml:space="preserve"> </w:t>
      </w:r>
      <w:r>
        <w:rPr>
          <w:color w:val="231F20"/>
          <w:sz w:val="20"/>
        </w:rPr>
        <w:t>manage</w:t>
      </w:r>
      <w:r>
        <w:rPr>
          <w:color w:val="231F20"/>
          <w:spacing w:val="-10"/>
          <w:sz w:val="20"/>
        </w:rPr>
        <w:t xml:space="preserve"> </w:t>
      </w:r>
      <w:r>
        <w:rPr>
          <w:color w:val="231F20"/>
          <w:sz w:val="20"/>
        </w:rPr>
        <w:t>stalking</w:t>
      </w:r>
      <w:r>
        <w:rPr>
          <w:color w:val="231F20"/>
          <w:spacing w:val="-10"/>
          <w:sz w:val="20"/>
        </w:rPr>
        <w:t xml:space="preserve"> </w:t>
      </w:r>
      <w:r>
        <w:rPr>
          <w:color w:val="231F20"/>
          <w:spacing w:val="-3"/>
          <w:sz w:val="20"/>
        </w:rPr>
        <w:t>behaviour,</w:t>
      </w:r>
      <w:r>
        <w:rPr>
          <w:color w:val="231F20"/>
          <w:spacing w:val="-10"/>
          <w:sz w:val="20"/>
        </w:rPr>
        <w:t xml:space="preserve"> </w:t>
      </w:r>
      <w:r>
        <w:rPr>
          <w:color w:val="231F20"/>
          <w:sz w:val="20"/>
        </w:rPr>
        <w:t>they</w:t>
      </w:r>
      <w:r>
        <w:rPr>
          <w:color w:val="231F20"/>
          <w:spacing w:val="-10"/>
          <w:sz w:val="20"/>
        </w:rPr>
        <w:t xml:space="preserve"> </w:t>
      </w:r>
      <w:r>
        <w:rPr>
          <w:color w:val="231F20"/>
          <w:sz w:val="20"/>
        </w:rPr>
        <w:t>can</w:t>
      </w:r>
      <w:r>
        <w:rPr>
          <w:color w:val="231F20"/>
          <w:spacing w:val="-10"/>
          <w:sz w:val="20"/>
        </w:rPr>
        <w:t xml:space="preserve"> </w:t>
      </w:r>
      <w:r>
        <w:rPr>
          <w:color w:val="231F20"/>
          <w:sz w:val="20"/>
        </w:rPr>
        <w:t>address</w:t>
      </w:r>
      <w:r>
        <w:rPr>
          <w:color w:val="231F20"/>
          <w:spacing w:val="-10"/>
          <w:sz w:val="20"/>
        </w:rPr>
        <w:t xml:space="preserve"> </w:t>
      </w:r>
      <w:r>
        <w:rPr>
          <w:color w:val="231F20"/>
          <w:sz w:val="20"/>
        </w:rPr>
        <w:t>some of</w:t>
      </w:r>
      <w:r>
        <w:rPr>
          <w:color w:val="231F20"/>
          <w:spacing w:val="-5"/>
          <w:sz w:val="20"/>
        </w:rPr>
        <w:t xml:space="preserve"> </w:t>
      </w:r>
      <w:r>
        <w:rPr>
          <w:color w:val="231F20"/>
          <w:sz w:val="20"/>
        </w:rPr>
        <w:t>the</w:t>
      </w:r>
      <w:r>
        <w:rPr>
          <w:color w:val="231F20"/>
          <w:spacing w:val="-5"/>
          <w:sz w:val="20"/>
        </w:rPr>
        <w:t xml:space="preserve"> </w:t>
      </w:r>
      <w:r>
        <w:rPr>
          <w:color w:val="231F20"/>
          <w:sz w:val="20"/>
        </w:rPr>
        <w:t>issues</w:t>
      </w:r>
      <w:r>
        <w:rPr>
          <w:color w:val="231F20"/>
          <w:spacing w:val="-4"/>
          <w:sz w:val="20"/>
        </w:rPr>
        <w:t xml:space="preserve"> </w:t>
      </w:r>
      <w:r>
        <w:rPr>
          <w:color w:val="231F20"/>
          <w:sz w:val="20"/>
        </w:rPr>
        <w:t>that</w:t>
      </w:r>
      <w:r>
        <w:rPr>
          <w:color w:val="231F20"/>
          <w:spacing w:val="-5"/>
          <w:sz w:val="20"/>
        </w:rPr>
        <w:t xml:space="preserve"> </w:t>
      </w:r>
      <w:r>
        <w:rPr>
          <w:color w:val="231F20"/>
          <w:sz w:val="20"/>
        </w:rPr>
        <w:t>can</w:t>
      </w:r>
      <w:r>
        <w:rPr>
          <w:color w:val="231F20"/>
          <w:spacing w:val="-5"/>
          <w:sz w:val="20"/>
        </w:rPr>
        <w:t xml:space="preserve"> </w:t>
      </w:r>
      <w:r>
        <w:rPr>
          <w:color w:val="231F20"/>
          <w:sz w:val="20"/>
        </w:rPr>
        <w:t>occur</w:t>
      </w:r>
      <w:r>
        <w:rPr>
          <w:color w:val="231F20"/>
          <w:spacing w:val="-4"/>
          <w:sz w:val="20"/>
        </w:rPr>
        <w:t xml:space="preserve"> </w:t>
      </w:r>
      <w:r>
        <w:rPr>
          <w:color w:val="231F20"/>
          <w:sz w:val="20"/>
        </w:rPr>
        <w:t>alongside</w:t>
      </w:r>
      <w:r>
        <w:rPr>
          <w:color w:val="231F20"/>
          <w:spacing w:val="-5"/>
          <w:sz w:val="20"/>
        </w:rPr>
        <w:t xml:space="preserve"> </w:t>
      </w:r>
      <w:r>
        <w:rPr>
          <w:color w:val="231F20"/>
          <w:sz w:val="20"/>
        </w:rPr>
        <w:t>it.</w:t>
      </w:r>
      <w:r>
        <w:rPr>
          <w:color w:val="231F20"/>
          <w:spacing w:val="-4"/>
          <w:sz w:val="20"/>
        </w:rPr>
        <w:t xml:space="preserve"> </w:t>
      </w:r>
      <w:r>
        <w:rPr>
          <w:color w:val="231F20"/>
          <w:sz w:val="20"/>
        </w:rPr>
        <w:t>They</w:t>
      </w:r>
      <w:r>
        <w:rPr>
          <w:color w:val="231F20"/>
          <w:spacing w:val="-5"/>
          <w:sz w:val="20"/>
        </w:rPr>
        <w:t xml:space="preserve"> </w:t>
      </w:r>
      <w:r>
        <w:rPr>
          <w:color w:val="231F20"/>
          <w:spacing w:val="-3"/>
          <w:sz w:val="20"/>
        </w:rPr>
        <w:t>include:</w:t>
      </w:r>
    </w:p>
    <w:p w14:paraId="2ADEFAE7" w14:textId="77777777" w:rsidR="00894070" w:rsidRDefault="009B7AFD">
      <w:pPr>
        <w:pStyle w:val="ListParagraph"/>
        <w:numPr>
          <w:ilvl w:val="2"/>
          <w:numId w:val="29"/>
        </w:numPr>
        <w:tabs>
          <w:tab w:val="left" w:pos="2141"/>
          <w:tab w:val="left" w:pos="2142"/>
        </w:tabs>
        <w:spacing w:before="124" w:line="206" w:lineRule="auto"/>
        <w:ind w:right="1388" w:hanging="340"/>
        <w:rPr>
          <w:sz w:val="20"/>
        </w:rPr>
      </w:pPr>
      <w:r>
        <w:rPr>
          <w:color w:val="231F20"/>
          <w:sz w:val="20"/>
        </w:rPr>
        <w:t>The</w:t>
      </w:r>
      <w:r>
        <w:rPr>
          <w:color w:val="231F20"/>
          <w:spacing w:val="-8"/>
          <w:sz w:val="20"/>
        </w:rPr>
        <w:t xml:space="preserve"> </w:t>
      </w:r>
      <w:r>
        <w:rPr>
          <w:color w:val="231F20"/>
          <w:sz w:val="20"/>
        </w:rPr>
        <w:t>Assessment</w:t>
      </w:r>
      <w:r>
        <w:rPr>
          <w:color w:val="231F20"/>
          <w:spacing w:val="-8"/>
          <w:sz w:val="20"/>
        </w:rPr>
        <w:t xml:space="preserve"> </w:t>
      </w:r>
      <w:r>
        <w:rPr>
          <w:color w:val="231F20"/>
          <w:sz w:val="20"/>
        </w:rPr>
        <w:t>and</w:t>
      </w:r>
      <w:r>
        <w:rPr>
          <w:color w:val="231F20"/>
          <w:spacing w:val="-7"/>
          <w:sz w:val="20"/>
        </w:rPr>
        <w:t xml:space="preserve"> </w:t>
      </w:r>
      <w:r>
        <w:rPr>
          <w:color w:val="231F20"/>
          <w:spacing w:val="-3"/>
          <w:sz w:val="20"/>
        </w:rPr>
        <w:t>Referral</w:t>
      </w:r>
      <w:r>
        <w:rPr>
          <w:color w:val="231F20"/>
          <w:spacing w:val="-8"/>
          <w:sz w:val="20"/>
        </w:rPr>
        <w:t xml:space="preserve"> </w:t>
      </w:r>
      <w:r>
        <w:rPr>
          <w:color w:val="231F20"/>
          <w:sz w:val="20"/>
        </w:rPr>
        <w:t>Court</w:t>
      </w:r>
      <w:r>
        <w:rPr>
          <w:color w:val="231F20"/>
          <w:spacing w:val="-8"/>
          <w:sz w:val="20"/>
        </w:rPr>
        <w:t xml:space="preserve"> </w:t>
      </w:r>
      <w:r>
        <w:rPr>
          <w:color w:val="231F20"/>
          <w:spacing w:val="-3"/>
          <w:sz w:val="20"/>
        </w:rPr>
        <w:t>(ARC),</w:t>
      </w:r>
      <w:r>
        <w:rPr>
          <w:color w:val="231F20"/>
          <w:spacing w:val="-7"/>
          <w:sz w:val="20"/>
        </w:rPr>
        <w:t xml:space="preserve"> </w:t>
      </w:r>
      <w:r>
        <w:rPr>
          <w:color w:val="231F20"/>
          <w:sz w:val="20"/>
        </w:rPr>
        <w:t>which</w:t>
      </w:r>
      <w:r>
        <w:rPr>
          <w:color w:val="231F20"/>
          <w:spacing w:val="-8"/>
          <w:sz w:val="20"/>
        </w:rPr>
        <w:t xml:space="preserve"> </w:t>
      </w:r>
      <w:r>
        <w:rPr>
          <w:color w:val="231F20"/>
          <w:sz w:val="20"/>
        </w:rPr>
        <w:t>deals</w:t>
      </w:r>
      <w:r>
        <w:rPr>
          <w:color w:val="231F20"/>
          <w:spacing w:val="-8"/>
          <w:sz w:val="20"/>
        </w:rPr>
        <w:t xml:space="preserve"> </w:t>
      </w:r>
      <w:r>
        <w:rPr>
          <w:color w:val="231F20"/>
          <w:sz w:val="20"/>
        </w:rPr>
        <w:t>with</w:t>
      </w:r>
      <w:r>
        <w:rPr>
          <w:color w:val="231F20"/>
          <w:spacing w:val="-7"/>
          <w:sz w:val="20"/>
        </w:rPr>
        <w:t xml:space="preserve"> </w:t>
      </w:r>
      <w:r>
        <w:rPr>
          <w:color w:val="231F20"/>
          <w:sz w:val="20"/>
        </w:rPr>
        <w:t>some</w:t>
      </w:r>
      <w:r>
        <w:rPr>
          <w:color w:val="231F20"/>
          <w:spacing w:val="-8"/>
          <w:sz w:val="20"/>
        </w:rPr>
        <w:t xml:space="preserve"> </w:t>
      </w:r>
      <w:r>
        <w:rPr>
          <w:color w:val="231F20"/>
          <w:sz w:val="20"/>
        </w:rPr>
        <w:t>charges</w:t>
      </w:r>
      <w:r>
        <w:rPr>
          <w:color w:val="231F20"/>
          <w:spacing w:val="-8"/>
          <w:sz w:val="20"/>
        </w:rPr>
        <w:t xml:space="preserve"> </w:t>
      </w:r>
      <w:r>
        <w:rPr>
          <w:color w:val="231F20"/>
          <w:sz w:val="20"/>
        </w:rPr>
        <w:t>where the</w:t>
      </w:r>
      <w:r>
        <w:rPr>
          <w:color w:val="231F20"/>
          <w:spacing w:val="-7"/>
          <w:sz w:val="20"/>
        </w:rPr>
        <w:t xml:space="preserve"> </w:t>
      </w:r>
      <w:r>
        <w:rPr>
          <w:color w:val="231F20"/>
          <w:sz w:val="20"/>
        </w:rPr>
        <w:t>person</w:t>
      </w:r>
      <w:r>
        <w:rPr>
          <w:color w:val="231F20"/>
          <w:spacing w:val="-6"/>
          <w:sz w:val="20"/>
        </w:rPr>
        <w:t xml:space="preserve"> </w:t>
      </w:r>
      <w:r>
        <w:rPr>
          <w:color w:val="231F20"/>
          <w:sz w:val="20"/>
        </w:rPr>
        <w:t>charged</w:t>
      </w:r>
      <w:r>
        <w:rPr>
          <w:color w:val="231F20"/>
          <w:spacing w:val="-6"/>
          <w:sz w:val="20"/>
        </w:rPr>
        <w:t xml:space="preserve"> </w:t>
      </w:r>
      <w:r>
        <w:rPr>
          <w:color w:val="231F20"/>
          <w:sz w:val="20"/>
        </w:rPr>
        <w:t>is</w:t>
      </w:r>
      <w:r>
        <w:rPr>
          <w:color w:val="231F20"/>
          <w:spacing w:val="-7"/>
          <w:sz w:val="20"/>
        </w:rPr>
        <w:t xml:space="preserve"> </w:t>
      </w:r>
      <w:r>
        <w:rPr>
          <w:color w:val="231F20"/>
          <w:sz w:val="20"/>
        </w:rPr>
        <w:t>living</w:t>
      </w:r>
      <w:r>
        <w:rPr>
          <w:color w:val="231F20"/>
          <w:spacing w:val="-6"/>
          <w:sz w:val="20"/>
        </w:rPr>
        <w:t xml:space="preserve"> </w:t>
      </w:r>
      <w:r>
        <w:rPr>
          <w:color w:val="231F20"/>
          <w:sz w:val="20"/>
        </w:rPr>
        <w:t>with</w:t>
      </w:r>
      <w:r>
        <w:rPr>
          <w:color w:val="231F20"/>
          <w:spacing w:val="-6"/>
          <w:sz w:val="20"/>
        </w:rPr>
        <w:t xml:space="preserve"> </w:t>
      </w:r>
      <w:r>
        <w:rPr>
          <w:color w:val="231F20"/>
          <w:sz w:val="20"/>
        </w:rPr>
        <w:t>a</w:t>
      </w:r>
      <w:r>
        <w:rPr>
          <w:color w:val="231F20"/>
          <w:spacing w:val="-6"/>
          <w:sz w:val="20"/>
        </w:rPr>
        <w:t xml:space="preserve"> </w:t>
      </w:r>
      <w:r>
        <w:rPr>
          <w:color w:val="231F20"/>
          <w:sz w:val="20"/>
        </w:rPr>
        <w:t>mental</w:t>
      </w:r>
      <w:r>
        <w:rPr>
          <w:color w:val="231F20"/>
          <w:spacing w:val="-7"/>
          <w:sz w:val="20"/>
        </w:rPr>
        <w:t xml:space="preserve"> </w:t>
      </w:r>
      <w:r>
        <w:rPr>
          <w:color w:val="231F20"/>
          <w:sz w:val="20"/>
        </w:rPr>
        <w:t>illness</w:t>
      </w:r>
      <w:r>
        <w:rPr>
          <w:color w:val="231F20"/>
          <w:spacing w:val="-6"/>
          <w:sz w:val="20"/>
        </w:rPr>
        <w:t xml:space="preserve"> </w:t>
      </w:r>
      <w:r>
        <w:rPr>
          <w:color w:val="231F20"/>
          <w:sz w:val="20"/>
        </w:rPr>
        <w:t>or</w:t>
      </w:r>
      <w:r>
        <w:rPr>
          <w:color w:val="231F20"/>
          <w:spacing w:val="-6"/>
          <w:sz w:val="20"/>
        </w:rPr>
        <w:t xml:space="preserve"> </w:t>
      </w:r>
      <w:r>
        <w:rPr>
          <w:color w:val="231F20"/>
          <w:sz w:val="20"/>
        </w:rPr>
        <w:t>a</w:t>
      </w:r>
      <w:r>
        <w:rPr>
          <w:color w:val="231F20"/>
          <w:spacing w:val="-7"/>
          <w:sz w:val="20"/>
        </w:rPr>
        <w:t xml:space="preserve"> </w:t>
      </w:r>
      <w:r>
        <w:rPr>
          <w:color w:val="231F20"/>
          <w:spacing w:val="-3"/>
          <w:sz w:val="20"/>
        </w:rPr>
        <w:t>cognitive</w:t>
      </w:r>
      <w:r>
        <w:rPr>
          <w:color w:val="231F20"/>
          <w:spacing w:val="-6"/>
          <w:sz w:val="20"/>
        </w:rPr>
        <w:t xml:space="preserve"> </w:t>
      </w:r>
      <w:r>
        <w:rPr>
          <w:color w:val="231F20"/>
          <w:sz w:val="20"/>
        </w:rPr>
        <w:t>impairment.</w:t>
      </w:r>
    </w:p>
    <w:p w14:paraId="474C4496" w14:textId="77777777" w:rsidR="00894070" w:rsidRDefault="009B7AFD">
      <w:pPr>
        <w:pStyle w:val="ListParagraph"/>
        <w:numPr>
          <w:ilvl w:val="2"/>
          <w:numId w:val="29"/>
        </w:numPr>
        <w:tabs>
          <w:tab w:val="left" w:pos="2141"/>
          <w:tab w:val="left" w:pos="2142"/>
        </w:tabs>
        <w:spacing w:before="88" w:line="206" w:lineRule="auto"/>
        <w:ind w:right="1716" w:hanging="340"/>
        <w:rPr>
          <w:sz w:val="20"/>
        </w:rPr>
      </w:pPr>
      <w:r>
        <w:rPr>
          <w:color w:val="231F20"/>
          <w:sz w:val="20"/>
        </w:rPr>
        <w:t>The</w:t>
      </w:r>
      <w:r>
        <w:rPr>
          <w:color w:val="231F20"/>
          <w:spacing w:val="-11"/>
          <w:sz w:val="20"/>
        </w:rPr>
        <w:t xml:space="preserve"> </w:t>
      </w:r>
      <w:r>
        <w:rPr>
          <w:color w:val="231F20"/>
          <w:sz w:val="20"/>
        </w:rPr>
        <w:t>Drug</w:t>
      </w:r>
      <w:r>
        <w:rPr>
          <w:color w:val="231F20"/>
          <w:spacing w:val="-11"/>
          <w:sz w:val="20"/>
        </w:rPr>
        <w:t xml:space="preserve"> </w:t>
      </w:r>
      <w:r>
        <w:rPr>
          <w:color w:val="231F20"/>
          <w:sz w:val="20"/>
        </w:rPr>
        <w:t>Court,</w:t>
      </w:r>
      <w:r>
        <w:rPr>
          <w:color w:val="231F20"/>
          <w:spacing w:val="-10"/>
          <w:sz w:val="20"/>
        </w:rPr>
        <w:t xml:space="preserve"> </w:t>
      </w:r>
      <w:r>
        <w:rPr>
          <w:color w:val="231F20"/>
          <w:sz w:val="20"/>
        </w:rPr>
        <w:t>which</w:t>
      </w:r>
      <w:r>
        <w:rPr>
          <w:color w:val="231F20"/>
          <w:spacing w:val="-11"/>
          <w:sz w:val="20"/>
        </w:rPr>
        <w:t xml:space="preserve"> </w:t>
      </w:r>
      <w:r>
        <w:rPr>
          <w:color w:val="231F20"/>
          <w:sz w:val="20"/>
        </w:rPr>
        <w:t>deals</w:t>
      </w:r>
      <w:r>
        <w:rPr>
          <w:color w:val="231F20"/>
          <w:spacing w:val="-10"/>
          <w:sz w:val="20"/>
        </w:rPr>
        <w:t xml:space="preserve"> </w:t>
      </w:r>
      <w:r>
        <w:rPr>
          <w:color w:val="231F20"/>
          <w:sz w:val="20"/>
        </w:rPr>
        <w:t>with</w:t>
      </w:r>
      <w:r>
        <w:rPr>
          <w:color w:val="231F20"/>
          <w:spacing w:val="-11"/>
          <w:sz w:val="20"/>
        </w:rPr>
        <w:t xml:space="preserve"> </w:t>
      </w:r>
      <w:r>
        <w:rPr>
          <w:color w:val="231F20"/>
          <w:sz w:val="20"/>
        </w:rPr>
        <w:t>some</w:t>
      </w:r>
      <w:r>
        <w:rPr>
          <w:color w:val="231F20"/>
          <w:spacing w:val="-10"/>
          <w:sz w:val="20"/>
        </w:rPr>
        <w:t xml:space="preserve"> </w:t>
      </w:r>
      <w:r>
        <w:rPr>
          <w:color w:val="231F20"/>
          <w:sz w:val="20"/>
        </w:rPr>
        <w:t>alleged</w:t>
      </w:r>
      <w:r>
        <w:rPr>
          <w:color w:val="231F20"/>
          <w:spacing w:val="-11"/>
          <w:sz w:val="20"/>
        </w:rPr>
        <w:t xml:space="preserve"> </w:t>
      </w:r>
      <w:r>
        <w:rPr>
          <w:color w:val="231F20"/>
          <w:sz w:val="20"/>
        </w:rPr>
        <w:t>offences</w:t>
      </w:r>
      <w:r>
        <w:rPr>
          <w:color w:val="231F20"/>
          <w:spacing w:val="-10"/>
          <w:sz w:val="20"/>
        </w:rPr>
        <w:t xml:space="preserve"> </w:t>
      </w:r>
      <w:r>
        <w:rPr>
          <w:color w:val="231F20"/>
          <w:sz w:val="20"/>
        </w:rPr>
        <w:t>where</w:t>
      </w:r>
      <w:r>
        <w:rPr>
          <w:color w:val="231F20"/>
          <w:spacing w:val="-11"/>
          <w:sz w:val="20"/>
        </w:rPr>
        <w:t xml:space="preserve"> </w:t>
      </w:r>
      <w:r>
        <w:rPr>
          <w:color w:val="231F20"/>
          <w:sz w:val="20"/>
        </w:rPr>
        <w:t>a</w:t>
      </w:r>
      <w:r>
        <w:rPr>
          <w:color w:val="231F20"/>
          <w:spacing w:val="-10"/>
          <w:sz w:val="20"/>
        </w:rPr>
        <w:t xml:space="preserve"> </w:t>
      </w:r>
      <w:r>
        <w:rPr>
          <w:color w:val="231F20"/>
          <w:sz w:val="20"/>
        </w:rPr>
        <w:t>person</w:t>
      </w:r>
      <w:r>
        <w:rPr>
          <w:color w:val="231F20"/>
          <w:spacing w:val="-11"/>
          <w:sz w:val="20"/>
        </w:rPr>
        <w:t xml:space="preserve"> </w:t>
      </w:r>
      <w:r>
        <w:rPr>
          <w:color w:val="231F20"/>
          <w:sz w:val="20"/>
        </w:rPr>
        <w:t>was dependent</w:t>
      </w:r>
      <w:r>
        <w:rPr>
          <w:color w:val="231F20"/>
          <w:spacing w:val="-11"/>
          <w:sz w:val="20"/>
        </w:rPr>
        <w:t xml:space="preserve"> </w:t>
      </w:r>
      <w:r>
        <w:rPr>
          <w:color w:val="231F20"/>
          <w:sz w:val="20"/>
        </w:rPr>
        <w:t>on</w:t>
      </w:r>
      <w:r>
        <w:rPr>
          <w:color w:val="231F20"/>
          <w:spacing w:val="-11"/>
          <w:sz w:val="20"/>
        </w:rPr>
        <w:t xml:space="preserve"> </w:t>
      </w:r>
      <w:r>
        <w:rPr>
          <w:color w:val="231F20"/>
          <w:sz w:val="20"/>
        </w:rPr>
        <w:t>drugs</w:t>
      </w:r>
      <w:r>
        <w:rPr>
          <w:color w:val="231F20"/>
          <w:spacing w:val="-11"/>
          <w:sz w:val="20"/>
        </w:rPr>
        <w:t xml:space="preserve"> </w:t>
      </w:r>
      <w:r>
        <w:rPr>
          <w:color w:val="231F20"/>
          <w:sz w:val="20"/>
        </w:rPr>
        <w:t>or</w:t>
      </w:r>
      <w:r>
        <w:rPr>
          <w:color w:val="231F20"/>
          <w:spacing w:val="-11"/>
          <w:sz w:val="20"/>
        </w:rPr>
        <w:t xml:space="preserve"> </w:t>
      </w:r>
      <w:r>
        <w:rPr>
          <w:color w:val="231F20"/>
          <w:sz w:val="20"/>
        </w:rPr>
        <w:t>alcohol,</w:t>
      </w:r>
      <w:r>
        <w:rPr>
          <w:color w:val="231F20"/>
          <w:spacing w:val="-11"/>
          <w:sz w:val="20"/>
        </w:rPr>
        <w:t xml:space="preserve"> </w:t>
      </w:r>
      <w:r>
        <w:rPr>
          <w:color w:val="231F20"/>
          <w:sz w:val="20"/>
        </w:rPr>
        <w:t>and</w:t>
      </w:r>
      <w:r>
        <w:rPr>
          <w:color w:val="231F20"/>
          <w:spacing w:val="-11"/>
          <w:sz w:val="20"/>
        </w:rPr>
        <w:t xml:space="preserve"> </w:t>
      </w:r>
      <w:r>
        <w:rPr>
          <w:color w:val="231F20"/>
          <w:sz w:val="20"/>
        </w:rPr>
        <w:t>this</w:t>
      </w:r>
      <w:r>
        <w:rPr>
          <w:color w:val="231F20"/>
          <w:spacing w:val="-11"/>
          <w:sz w:val="20"/>
        </w:rPr>
        <w:t xml:space="preserve"> </w:t>
      </w:r>
      <w:r>
        <w:rPr>
          <w:color w:val="231F20"/>
          <w:sz w:val="20"/>
        </w:rPr>
        <w:t>was</w:t>
      </w:r>
      <w:r>
        <w:rPr>
          <w:color w:val="231F20"/>
          <w:spacing w:val="-11"/>
          <w:sz w:val="20"/>
        </w:rPr>
        <w:t xml:space="preserve"> </w:t>
      </w:r>
      <w:r>
        <w:rPr>
          <w:color w:val="231F20"/>
          <w:sz w:val="20"/>
        </w:rPr>
        <w:t>associated</w:t>
      </w:r>
      <w:r>
        <w:rPr>
          <w:color w:val="231F20"/>
          <w:spacing w:val="-11"/>
          <w:sz w:val="20"/>
        </w:rPr>
        <w:t xml:space="preserve"> </w:t>
      </w:r>
      <w:r>
        <w:rPr>
          <w:color w:val="231F20"/>
          <w:sz w:val="20"/>
        </w:rPr>
        <w:t>with</w:t>
      </w:r>
      <w:r>
        <w:rPr>
          <w:color w:val="231F20"/>
          <w:spacing w:val="-11"/>
          <w:sz w:val="20"/>
        </w:rPr>
        <w:t xml:space="preserve"> </w:t>
      </w:r>
      <w:r>
        <w:rPr>
          <w:color w:val="231F20"/>
          <w:sz w:val="20"/>
        </w:rPr>
        <w:t>their</w:t>
      </w:r>
      <w:r>
        <w:rPr>
          <w:color w:val="231F20"/>
          <w:spacing w:val="-10"/>
          <w:sz w:val="20"/>
        </w:rPr>
        <w:t xml:space="preserve"> </w:t>
      </w:r>
      <w:r>
        <w:rPr>
          <w:color w:val="231F20"/>
          <w:sz w:val="20"/>
        </w:rPr>
        <w:t>offending.</w:t>
      </w:r>
    </w:p>
    <w:p w14:paraId="53F01212" w14:textId="77777777" w:rsidR="00894070" w:rsidRDefault="009B7AFD">
      <w:pPr>
        <w:pStyle w:val="ListParagraph"/>
        <w:numPr>
          <w:ilvl w:val="2"/>
          <w:numId w:val="29"/>
        </w:numPr>
        <w:tabs>
          <w:tab w:val="left" w:pos="2141"/>
          <w:tab w:val="left" w:pos="2142"/>
        </w:tabs>
        <w:spacing w:before="87" w:line="206" w:lineRule="auto"/>
        <w:ind w:right="1453" w:hanging="340"/>
        <w:rPr>
          <w:sz w:val="20"/>
        </w:rPr>
      </w:pPr>
      <w:r>
        <w:rPr>
          <w:color w:val="231F20"/>
          <w:sz w:val="20"/>
        </w:rPr>
        <w:t>The</w:t>
      </w:r>
      <w:r>
        <w:rPr>
          <w:color w:val="231F20"/>
          <w:spacing w:val="-10"/>
          <w:sz w:val="20"/>
        </w:rPr>
        <w:t xml:space="preserve"> </w:t>
      </w:r>
      <w:r>
        <w:rPr>
          <w:color w:val="231F20"/>
          <w:sz w:val="20"/>
        </w:rPr>
        <w:t>Court</w:t>
      </w:r>
      <w:r>
        <w:rPr>
          <w:color w:val="231F20"/>
          <w:spacing w:val="-9"/>
          <w:sz w:val="20"/>
        </w:rPr>
        <w:t xml:space="preserve"> </w:t>
      </w:r>
      <w:r>
        <w:rPr>
          <w:color w:val="231F20"/>
          <w:spacing w:val="-3"/>
          <w:sz w:val="20"/>
        </w:rPr>
        <w:t>Integrated</w:t>
      </w:r>
      <w:r>
        <w:rPr>
          <w:color w:val="231F20"/>
          <w:spacing w:val="-9"/>
          <w:sz w:val="20"/>
        </w:rPr>
        <w:t xml:space="preserve"> </w:t>
      </w:r>
      <w:r>
        <w:rPr>
          <w:color w:val="231F20"/>
          <w:sz w:val="20"/>
        </w:rPr>
        <w:t>Services</w:t>
      </w:r>
      <w:r>
        <w:rPr>
          <w:color w:val="231F20"/>
          <w:spacing w:val="-9"/>
          <w:sz w:val="20"/>
        </w:rPr>
        <w:t xml:space="preserve"> </w:t>
      </w:r>
      <w:r>
        <w:rPr>
          <w:color w:val="231F20"/>
          <w:sz w:val="20"/>
        </w:rPr>
        <w:t>Program,</w:t>
      </w:r>
      <w:r>
        <w:rPr>
          <w:color w:val="231F20"/>
          <w:spacing w:val="-9"/>
          <w:sz w:val="20"/>
        </w:rPr>
        <w:t xml:space="preserve"> </w:t>
      </w:r>
      <w:r>
        <w:rPr>
          <w:color w:val="231F20"/>
          <w:sz w:val="20"/>
        </w:rPr>
        <w:t>which</w:t>
      </w:r>
      <w:r>
        <w:rPr>
          <w:color w:val="231F20"/>
          <w:spacing w:val="-9"/>
          <w:sz w:val="20"/>
        </w:rPr>
        <w:t xml:space="preserve"> </w:t>
      </w:r>
      <w:r>
        <w:rPr>
          <w:color w:val="231F20"/>
          <w:sz w:val="20"/>
        </w:rPr>
        <w:t>is</w:t>
      </w:r>
      <w:r>
        <w:rPr>
          <w:color w:val="231F20"/>
          <w:spacing w:val="-9"/>
          <w:sz w:val="20"/>
        </w:rPr>
        <w:t xml:space="preserve"> </w:t>
      </w:r>
      <w:r>
        <w:rPr>
          <w:color w:val="231F20"/>
          <w:sz w:val="20"/>
        </w:rPr>
        <w:t>a</w:t>
      </w:r>
      <w:r>
        <w:rPr>
          <w:color w:val="231F20"/>
          <w:spacing w:val="-9"/>
          <w:sz w:val="20"/>
        </w:rPr>
        <w:t xml:space="preserve"> </w:t>
      </w:r>
      <w:r>
        <w:rPr>
          <w:color w:val="231F20"/>
          <w:sz w:val="20"/>
        </w:rPr>
        <w:t>court</w:t>
      </w:r>
      <w:r>
        <w:rPr>
          <w:color w:val="231F20"/>
          <w:spacing w:val="-9"/>
          <w:sz w:val="20"/>
        </w:rPr>
        <w:t xml:space="preserve"> </w:t>
      </w:r>
      <w:r>
        <w:rPr>
          <w:color w:val="231F20"/>
          <w:sz w:val="20"/>
        </w:rPr>
        <w:t>program</w:t>
      </w:r>
      <w:r>
        <w:rPr>
          <w:color w:val="231F20"/>
          <w:spacing w:val="-9"/>
          <w:sz w:val="20"/>
        </w:rPr>
        <w:t xml:space="preserve"> </w:t>
      </w:r>
      <w:r>
        <w:rPr>
          <w:color w:val="231F20"/>
          <w:sz w:val="20"/>
        </w:rPr>
        <w:t>that</w:t>
      </w:r>
      <w:r>
        <w:rPr>
          <w:color w:val="231F20"/>
          <w:spacing w:val="-9"/>
          <w:sz w:val="20"/>
        </w:rPr>
        <w:t xml:space="preserve"> </w:t>
      </w:r>
      <w:r>
        <w:rPr>
          <w:color w:val="231F20"/>
          <w:sz w:val="20"/>
        </w:rPr>
        <w:t xml:space="preserve">addresses underlying causes of offending. Participants undergo a risk assessment, </w:t>
      </w:r>
      <w:r>
        <w:rPr>
          <w:color w:val="231F20"/>
          <w:spacing w:val="-4"/>
          <w:sz w:val="20"/>
        </w:rPr>
        <w:t xml:space="preserve">have </w:t>
      </w:r>
      <w:r>
        <w:rPr>
          <w:color w:val="231F20"/>
          <w:sz w:val="20"/>
        </w:rPr>
        <w:t xml:space="preserve">a case </w:t>
      </w:r>
      <w:r>
        <w:rPr>
          <w:color w:val="231F20"/>
          <w:spacing w:val="-3"/>
          <w:sz w:val="20"/>
        </w:rPr>
        <w:t xml:space="preserve">manager, </w:t>
      </w:r>
      <w:r>
        <w:rPr>
          <w:color w:val="231F20"/>
          <w:sz w:val="20"/>
        </w:rPr>
        <w:t xml:space="preserve">and </w:t>
      </w:r>
      <w:r>
        <w:rPr>
          <w:color w:val="231F20"/>
          <w:spacing w:val="-3"/>
          <w:sz w:val="20"/>
        </w:rPr>
        <w:t xml:space="preserve">receive </w:t>
      </w:r>
      <w:r>
        <w:rPr>
          <w:color w:val="231F20"/>
          <w:sz w:val="20"/>
        </w:rPr>
        <w:t xml:space="preserve">specialist support </w:t>
      </w:r>
      <w:r>
        <w:rPr>
          <w:color w:val="231F20"/>
          <w:spacing w:val="-3"/>
          <w:sz w:val="20"/>
        </w:rPr>
        <w:t xml:space="preserve">across </w:t>
      </w:r>
      <w:r>
        <w:rPr>
          <w:color w:val="231F20"/>
          <w:sz w:val="20"/>
        </w:rPr>
        <w:t>a range of needs including drug</w:t>
      </w:r>
      <w:r>
        <w:rPr>
          <w:color w:val="231F20"/>
          <w:spacing w:val="-8"/>
          <w:sz w:val="20"/>
        </w:rPr>
        <w:t xml:space="preserve"> </w:t>
      </w:r>
      <w:r>
        <w:rPr>
          <w:color w:val="231F20"/>
          <w:sz w:val="20"/>
        </w:rPr>
        <w:t>and</w:t>
      </w:r>
      <w:r>
        <w:rPr>
          <w:color w:val="231F20"/>
          <w:spacing w:val="-8"/>
          <w:sz w:val="20"/>
        </w:rPr>
        <w:t xml:space="preserve"> </w:t>
      </w:r>
      <w:r>
        <w:rPr>
          <w:color w:val="231F20"/>
          <w:sz w:val="20"/>
        </w:rPr>
        <w:t>alcohol</w:t>
      </w:r>
      <w:r>
        <w:rPr>
          <w:color w:val="231F20"/>
          <w:spacing w:val="-7"/>
          <w:sz w:val="20"/>
        </w:rPr>
        <w:t xml:space="preserve"> </w:t>
      </w:r>
      <w:r>
        <w:rPr>
          <w:color w:val="231F20"/>
          <w:sz w:val="20"/>
        </w:rPr>
        <w:t>treatment,</w:t>
      </w:r>
      <w:r>
        <w:rPr>
          <w:color w:val="231F20"/>
          <w:spacing w:val="-8"/>
          <w:sz w:val="20"/>
        </w:rPr>
        <w:t xml:space="preserve"> </w:t>
      </w:r>
      <w:r>
        <w:rPr>
          <w:color w:val="231F20"/>
          <w:sz w:val="20"/>
        </w:rPr>
        <w:t>mental</w:t>
      </w:r>
      <w:r>
        <w:rPr>
          <w:color w:val="231F20"/>
          <w:spacing w:val="-7"/>
          <w:sz w:val="20"/>
        </w:rPr>
        <w:t xml:space="preserve"> </w:t>
      </w:r>
      <w:r>
        <w:rPr>
          <w:color w:val="231F20"/>
          <w:sz w:val="20"/>
        </w:rPr>
        <w:t>health</w:t>
      </w:r>
      <w:r>
        <w:rPr>
          <w:color w:val="231F20"/>
          <w:spacing w:val="-8"/>
          <w:sz w:val="20"/>
        </w:rPr>
        <w:t xml:space="preserve"> </w:t>
      </w:r>
      <w:r>
        <w:rPr>
          <w:color w:val="231F20"/>
          <w:spacing w:val="-3"/>
          <w:sz w:val="20"/>
        </w:rPr>
        <w:t>treatment</w:t>
      </w:r>
      <w:r>
        <w:rPr>
          <w:color w:val="231F20"/>
          <w:spacing w:val="-7"/>
          <w:sz w:val="20"/>
        </w:rPr>
        <w:t xml:space="preserve"> </w:t>
      </w:r>
      <w:r>
        <w:rPr>
          <w:color w:val="231F20"/>
          <w:sz w:val="20"/>
        </w:rPr>
        <w:t>and</w:t>
      </w:r>
      <w:r>
        <w:rPr>
          <w:color w:val="231F20"/>
          <w:spacing w:val="-8"/>
          <w:sz w:val="20"/>
        </w:rPr>
        <w:t xml:space="preserve"> </w:t>
      </w:r>
      <w:r>
        <w:rPr>
          <w:color w:val="231F20"/>
          <w:sz w:val="20"/>
        </w:rPr>
        <w:t>accommodation.</w:t>
      </w:r>
    </w:p>
    <w:p w14:paraId="3BF225BD" w14:textId="77777777" w:rsidR="00894070" w:rsidRDefault="009B7AFD">
      <w:pPr>
        <w:pStyle w:val="ListParagraph"/>
        <w:numPr>
          <w:ilvl w:val="1"/>
          <w:numId w:val="29"/>
        </w:numPr>
        <w:tabs>
          <w:tab w:val="left" w:pos="1801"/>
          <w:tab w:val="left" w:pos="1802"/>
        </w:tabs>
        <w:spacing w:before="90" w:line="206" w:lineRule="auto"/>
        <w:ind w:right="1382"/>
        <w:rPr>
          <w:sz w:val="20"/>
        </w:rPr>
      </w:pPr>
      <w:r>
        <w:rPr>
          <w:color w:val="231F20"/>
          <w:sz w:val="20"/>
        </w:rPr>
        <w:t xml:space="preserve">These courts and programs sometimes deal with people who </w:t>
      </w:r>
      <w:r>
        <w:rPr>
          <w:color w:val="231F20"/>
          <w:spacing w:val="-3"/>
          <w:sz w:val="20"/>
        </w:rPr>
        <w:t xml:space="preserve">are </w:t>
      </w:r>
      <w:r>
        <w:rPr>
          <w:color w:val="231F20"/>
          <w:sz w:val="20"/>
        </w:rPr>
        <w:t xml:space="preserve">charged with stalking, if they meet the requirements </w:t>
      </w:r>
      <w:r>
        <w:rPr>
          <w:color w:val="231F20"/>
          <w:spacing w:val="-3"/>
          <w:sz w:val="20"/>
        </w:rPr>
        <w:t xml:space="preserve">for </w:t>
      </w:r>
      <w:r>
        <w:rPr>
          <w:color w:val="231F20"/>
          <w:sz w:val="20"/>
        </w:rPr>
        <w:t>the specialist court to hear the case. Supporting</w:t>
      </w:r>
      <w:r>
        <w:rPr>
          <w:color w:val="231F20"/>
          <w:spacing w:val="-9"/>
          <w:sz w:val="20"/>
        </w:rPr>
        <w:t xml:space="preserve"> </w:t>
      </w:r>
      <w:r>
        <w:rPr>
          <w:color w:val="231F20"/>
          <w:sz w:val="20"/>
        </w:rPr>
        <w:t>these</w:t>
      </w:r>
      <w:r>
        <w:rPr>
          <w:color w:val="231F20"/>
          <w:spacing w:val="-8"/>
          <w:sz w:val="20"/>
        </w:rPr>
        <w:t xml:space="preserve"> </w:t>
      </w:r>
      <w:r>
        <w:rPr>
          <w:color w:val="231F20"/>
          <w:sz w:val="20"/>
        </w:rPr>
        <w:t>courts</w:t>
      </w:r>
      <w:r>
        <w:rPr>
          <w:color w:val="231F20"/>
          <w:spacing w:val="-8"/>
          <w:sz w:val="20"/>
        </w:rPr>
        <w:t xml:space="preserve"> </w:t>
      </w:r>
      <w:r>
        <w:rPr>
          <w:color w:val="231F20"/>
          <w:sz w:val="20"/>
        </w:rPr>
        <w:t>and</w:t>
      </w:r>
      <w:r>
        <w:rPr>
          <w:color w:val="231F20"/>
          <w:spacing w:val="-9"/>
          <w:sz w:val="20"/>
        </w:rPr>
        <w:t xml:space="preserve"> </w:t>
      </w:r>
      <w:r>
        <w:rPr>
          <w:color w:val="231F20"/>
          <w:sz w:val="20"/>
        </w:rPr>
        <w:t>programs</w:t>
      </w:r>
      <w:r>
        <w:rPr>
          <w:color w:val="231F20"/>
          <w:spacing w:val="-8"/>
          <w:sz w:val="20"/>
        </w:rPr>
        <w:t xml:space="preserve"> </w:t>
      </w:r>
      <w:r>
        <w:rPr>
          <w:color w:val="231F20"/>
          <w:spacing w:val="-3"/>
          <w:sz w:val="20"/>
        </w:rPr>
        <w:t>would</w:t>
      </w:r>
      <w:r>
        <w:rPr>
          <w:color w:val="231F20"/>
          <w:spacing w:val="-8"/>
          <w:sz w:val="20"/>
        </w:rPr>
        <w:t xml:space="preserve"> </w:t>
      </w:r>
      <w:r>
        <w:rPr>
          <w:color w:val="231F20"/>
          <w:sz w:val="20"/>
        </w:rPr>
        <w:t>increase</w:t>
      </w:r>
      <w:r>
        <w:rPr>
          <w:color w:val="231F20"/>
          <w:spacing w:val="-8"/>
          <w:sz w:val="20"/>
        </w:rPr>
        <w:t xml:space="preserve"> </w:t>
      </w:r>
      <w:r>
        <w:rPr>
          <w:color w:val="231F20"/>
          <w:sz w:val="20"/>
        </w:rPr>
        <w:t>access</w:t>
      </w:r>
      <w:r>
        <w:rPr>
          <w:color w:val="231F20"/>
          <w:spacing w:val="-9"/>
          <w:sz w:val="20"/>
        </w:rPr>
        <w:t xml:space="preserve"> </w:t>
      </w:r>
      <w:r>
        <w:rPr>
          <w:color w:val="231F20"/>
          <w:sz w:val="20"/>
        </w:rPr>
        <w:t>to</w:t>
      </w:r>
      <w:r>
        <w:rPr>
          <w:color w:val="231F20"/>
          <w:spacing w:val="-8"/>
          <w:sz w:val="20"/>
        </w:rPr>
        <w:t xml:space="preserve"> </w:t>
      </w:r>
      <w:r>
        <w:rPr>
          <w:color w:val="231F20"/>
          <w:spacing w:val="-3"/>
          <w:sz w:val="20"/>
        </w:rPr>
        <w:t>treatment,</w:t>
      </w:r>
      <w:r>
        <w:rPr>
          <w:color w:val="231F20"/>
          <w:spacing w:val="-8"/>
          <w:sz w:val="20"/>
        </w:rPr>
        <w:t xml:space="preserve"> </w:t>
      </w:r>
      <w:r>
        <w:rPr>
          <w:color w:val="231F20"/>
          <w:sz w:val="20"/>
        </w:rPr>
        <w:t>care</w:t>
      </w:r>
      <w:r>
        <w:rPr>
          <w:color w:val="231F20"/>
          <w:spacing w:val="-9"/>
          <w:sz w:val="20"/>
        </w:rPr>
        <w:t xml:space="preserve"> </w:t>
      </w:r>
      <w:r>
        <w:rPr>
          <w:color w:val="231F20"/>
          <w:sz w:val="20"/>
        </w:rPr>
        <w:t xml:space="preserve">and support </w:t>
      </w:r>
      <w:r>
        <w:rPr>
          <w:color w:val="231F20"/>
          <w:spacing w:val="-3"/>
          <w:sz w:val="20"/>
        </w:rPr>
        <w:t xml:space="preserve">for </w:t>
      </w:r>
      <w:r>
        <w:rPr>
          <w:color w:val="231F20"/>
          <w:sz w:val="20"/>
        </w:rPr>
        <w:t>people who</w:t>
      </w:r>
      <w:r>
        <w:rPr>
          <w:color w:val="231F20"/>
          <w:spacing w:val="-14"/>
          <w:sz w:val="20"/>
        </w:rPr>
        <w:t xml:space="preserve"> </w:t>
      </w:r>
      <w:r>
        <w:rPr>
          <w:color w:val="231F20"/>
          <w:sz w:val="20"/>
        </w:rPr>
        <w:t>stalk.</w:t>
      </w:r>
    </w:p>
    <w:p w14:paraId="539E9E66" w14:textId="77777777" w:rsidR="00894070" w:rsidRDefault="009B7AFD">
      <w:pPr>
        <w:pStyle w:val="ListParagraph"/>
        <w:numPr>
          <w:ilvl w:val="1"/>
          <w:numId w:val="29"/>
        </w:numPr>
        <w:tabs>
          <w:tab w:val="left" w:pos="1801"/>
          <w:tab w:val="left" w:pos="1802"/>
        </w:tabs>
        <w:spacing w:before="125" w:line="206" w:lineRule="auto"/>
        <w:ind w:right="1183"/>
        <w:rPr>
          <w:sz w:val="11"/>
        </w:rPr>
      </w:pPr>
      <w:r>
        <w:rPr>
          <w:color w:val="231F20"/>
          <w:sz w:val="20"/>
        </w:rPr>
        <w:t xml:space="preserve">The </w:t>
      </w:r>
      <w:r>
        <w:rPr>
          <w:color w:val="231F20"/>
          <w:spacing w:val="-3"/>
          <w:sz w:val="20"/>
        </w:rPr>
        <w:t xml:space="preserve">Royal </w:t>
      </w:r>
      <w:r>
        <w:rPr>
          <w:color w:val="231F20"/>
          <w:sz w:val="20"/>
        </w:rPr>
        <w:t xml:space="preserve">Commission </w:t>
      </w:r>
      <w:r>
        <w:rPr>
          <w:color w:val="231F20"/>
          <w:spacing w:val="-3"/>
          <w:sz w:val="20"/>
        </w:rPr>
        <w:t xml:space="preserve">into Victoria’s </w:t>
      </w:r>
      <w:r>
        <w:rPr>
          <w:color w:val="231F20"/>
          <w:sz w:val="20"/>
        </w:rPr>
        <w:t xml:space="preserve">Mental Health </w:t>
      </w:r>
      <w:r>
        <w:rPr>
          <w:color w:val="231F20"/>
          <w:spacing w:val="-3"/>
          <w:sz w:val="20"/>
        </w:rPr>
        <w:t xml:space="preserve">System </w:t>
      </w:r>
      <w:r>
        <w:rPr>
          <w:color w:val="231F20"/>
          <w:sz w:val="20"/>
        </w:rPr>
        <w:t>recommended expanding the</w:t>
      </w:r>
      <w:r>
        <w:rPr>
          <w:color w:val="231F20"/>
          <w:spacing w:val="-7"/>
          <w:sz w:val="20"/>
        </w:rPr>
        <w:t xml:space="preserve"> </w:t>
      </w:r>
      <w:r>
        <w:rPr>
          <w:color w:val="231F20"/>
          <w:sz w:val="20"/>
        </w:rPr>
        <w:t>Assessment</w:t>
      </w:r>
      <w:r>
        <w:rPr>
          <w:color w:val="231F20"/>
          <w:spacing w:val="-6"/>
          <w:sz w:val="20"/>
        </w:rPr>
        <w:t xml:space="preserve"> </w:t>
      </w:r>
      <w:r>
        <w:rPr>
          <w:color w:val="231F20"/>
          <w:sz w:val="20"/>
        </w:rPr>
        <w:t>and</w:t>
      </w:r>
      <w:r>
        <w:rPr>
          <w:color w:val="231F20"/>
          <w:spacing w:val="-6"/>
          <w:sz w:val="20"/>
        </w:rPr>
        <w:t xml:space="preserve"> </w:t>
      </w:r>
      <w:r>
        <w:rPr>
          <w:color w:val="231F20"/>
          <w:spacing w:val="-3"/>
          <w:sz w:val="20"/>
        </w:rPr>
        <w:t>Referral</w:t>
      </w:r>
      <w:r>
        <w:rPr>
          <w:color w:val="231F20"/>
          <w:spacing w:val="-6"/>
          <w:sz w:val="20"/>
        </w:rPr>
        <w:t xml:space="preserve"> </w:t>
      </w:r>
      <w:r>
        <w:rPr>
          <w:color w:val="231F20"/>
          <w:sz w:val="20"/>
        </w:rPr>
        <w:t>Court</w:t>
      </w:r>
      <w:r>
        <w:rPr>
          <w:color w:val="231F20"/>
          <w:spacing w:val="-7"/>
          <w:sz w:val="20"/>
        </w:rPr>
        <w:t xml:space="preserve"> </w:t>
      </w:r>
      <w:r>
        <w:rPr>
          <w:color w:val="231F20"/>
          <w:sz w:val="20"/>
        </w:rPr>
        <w:t>to</w:t>
      </w:r>
      <w:r>
        <w:rPr>
          <w:color w:val="231F20"/>
          <w:spacing w:val="-6"/>
          <w:sz w:val="20"/>
        </w:rPr>
        <w:t xml:space="preserve"> </w:t>
      </w:r>
      <w:r>
        <w:rPr>
          <w:color w:val="231F20"/>
          <w:sz w:val="20"/>
        </w:rPr>
        <w:t>each</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12</w:t>
      </w:r>
      <w:r>
        <w:rPr>
          <w:color w:val="231F20"/>
          <w:spacing w:val="-7"/>
          <w:sz w:val="20"/>
        </w:rPr>
        <w:t xml:space="preserve"> </w:t>
      </w:r>
      <w:r>
        <w:rPr>
          <w:color w:val="231F20"/>
          <w:sz w:val="20"/>
        </w:rPr>
        <w:t>headquarter</w:t>
      </w:r>
      <w:r>
        <w:rPr>
          <w:color w:val="231F20"/>
          <w:spacing w:val="-6"/>
          <w:sz w:val="20"/>
        </w:rPr>
        <w:t xml:space="preserve"> </w:t>
      </w:r>
      <w:r>
        <w:rPr>
          <w:color w:val="231F20"/>
          <w:spacing w:val="-3"/>
          <w:sz w:val="20"/>
        </w:rPr>
        <w:t>magistrates’</w:t>
      </w:r>
      <w:r>
        <w:rPr>
          <w:color w:val="231F20"/>
          <w:spacing w:val="-6"/>
          <w:sz w:val="20"/>
        </w:rPr>
        <w:t xml:space="preserve"> </w:t>
      </w:r>
      <w:r>
        <w:rPr>
          <w:color w:val="231F20"/>
          <w:sz w:val="20"/>
        </w:rPr>
        <w:t>courts</w:t>
      </w:r>
      <w:r>
        <w:rPr>
          <w:color w:val="231F20"/>
          <w:spacing w:val="-6"/>
          <w:sz w:val="20"/>
        </w:rPr>
        <w:t xml:space="preserve"> </w:t>
      </w:r>
      <w:r>
        <w:rPr>
          <w:color w:val="231F20"/>
          <w:sz w:val="20"/>
        </w:rPr>
        <w:t>to meet demand at existing and new</w:t>
      </w:r>
      <w:r>
        <w:rPr>
          <w:color w:val="231F20"/>
          <w:spacing w:val="-27"/>
          <w:sz w:val="20"/>
        </w:rPr>
        <w:t xml:space="preserve"> </w:t>
      </w:r>
      <w:r>
        <w:rPr>
          <w:color w:val="231F20"/>
          <w:sz w:val="20"/>
        </w:rPr>
        <w:t>locations.</w:t>
      </w:r>
      <w:r>
        <w:rPr>
          <w:color w:val="231F20"/>
          <w:position w:val="7"/>
          <w:sz w:val="11"/>
        </w:rPr>
        <w:t>38</w:t>
      </w:r>
    </w:p>
    <w:p w14:paraId="072F87A0" w14:textId="77777777" w:rsidR="00894070" w:rsidRDefault="009F6793">
      <w:pPr>
        <w:pStyle w:val="BodyText"/>
        <w:rPr>
          <w:sz w:val="13"/>
        </w:rPr>
      </w:pPr>
      <w:r>
        <w:pict w14:anchorId="253C83C9">
          <v:line id="_x0000_s1092" style="position:absolute;z-index:251766784;mso-wrap-distance-left:0;mso-wrap-distance-right:0;mso-position-horizontal-relative:page" from="79.35pt,11.5pt" to="515.9pt,11.5pt" strokecolor="#f8cabc" strokeweight="1pt">
            <w10:wrap type="topAndBottom" anchorx="page"/>
          </v:line>
        </w:pict>
      </w:r>
    </w:p>
    <w:p w14:paraId="4572AD10" w14:textId="77777777" w:rsidR="00894070" w:rsidRDefault="00894070">
      <w:pPr>
        <w:pStyle w:val="BodyText"/>
        <w:rPr>
          <w:sz w:val="5"/>
        </w:rPr>
      </w:pPr>
    </w:p>
    <w:p w14:paraId="5B661188" w14:textId="77777777" w:rsidR="00894070" w:rsidRDefault="00894070">
      <w:pPr>
        <w:rPr>
          <w:sz w:val="5"/>
        </w:rPr>
        <w:sectPr w:rsidR="00894070">
          <w:pgSz w:w="11910" w:h="16840"/>
          <w:pgMar w:top="860" w:right="420" w:bottom="280" w:left="580" w:header="567" w:footer="0" w:gutter="0"/>
          <w:cols w:space="720"/>
        </w:sectPr>
      </w:pPr>
    </w:p>
    <w:p w14:paraId="75BB7C9F" w14:textId="77777777" w:rsidR="00894070" w:rsidRDefault="00894070">
      <w:pPr>
        <w:pStyle w:val="BodyText"/>
        <w:rPr>
          <w:sz w:val="28"/>
        </w:rPr>
      </w:pPr>
    </w:p>
    <w:p w14:paraId="34A8E762" w14:textId="77777777" w:rsidR="00894070" w:rsidRDefault="00894070">
      <w:pPr>
        <w:pStyle w:val="BodyText"/>
        <w:rPr>
          <w:sz w:val="28"/>
        </w:rPr>
      </w:pPr>
    </w:p>
    <w:p w14:paraId="4EC16BC0" w14:textId="77777777" w:rsidR="00894070" w:rsidRDefault="00894070">
      <w:pPr>
        <w:pStyle w:val="BodyText"/>
        <w:spacing w:before="2"/>
        <w:rPr>
          <w:sz w:val="40"/>
        </w:rPr>
      </w:pPr>
    </w:p>
    <w:p w14:paraId="6D4F73B9" w14:textId="77777777" w:rsidR="00894070" w:rsidRDefault="009B7AFD">
      <w:pPr>
        <w:pStyle w:val="Heading8"/>
        <w:ind w:left="140"/>
      </w:pPr>
      <w:r>
        <w:rPr>
          <w:color w:val="EA5B50"/>
        </w:rPr>
        <w:t>166</w:t>
      </w:r>
    </w:p>
    <w:p w14:paraId="1C176B48" w14:textId="77777777" w:rsidR="00894070" w:rsidRDefault="009B7AFD">
      <w:pPr>
        <w:pStyle w:val="ListParagraph"/>
        <w:numPr>
          <w:ilvl w:val="0"/>
          <w:numId w:val="28"/>
        </w:numPr>
        <w:tabs>
          <w:tab w:val="left" w:pos="933"/>
          <w:tab w:val="left" w:pos="934"/>
        </w:tabs>
        <w:spacing w:before="21" w:line="170" w:lineRule="exact"/>
        <w:ind w:left="933" w:hanging="793"/>
        <w:jc w:val="left"/>
        <w:rPr>
          <w:sz w:val="13"/>
        </w:rPr>
      </w:pPr>
      <w:r>
        <w:rPr>
          <w:color w:val="231F20"/>
          <w:spacing w:val="2"/>
          <w:sz w:val="13"/>
        </w:rPr>
        <w:br w:type="column"/>
      </w:r>
      <w:r>
        <w:rPr>
          <w:color w:val="231F20"/>
          <w:sz w:val="13"/>
        </w:rPr>
        <w:t xml:space="preserve">Ibid Recommendations 85–6, </w:t>
      </w:r>
      <w:r>
        <w:rPr>
          <w:color w:val="231F20"/>
          <w:spacing w:val="2"/>
          <w:sz w:val="13"/>
        </w:rPr>
        <w:t>88.</w:t>
      </w:r>
    </w:p>
    <w:p w14:paraId="497B725C" w14:textId="77777777" w:rsidR="00894070" w:rsidRDefault="009B7AFD">
      <w:pPr>
        <w:pStyle w:val="ListParagraph"/>
        <w:numPr>
          <w:ilvl w:val="0"/>
          <w:numId w:val="28"/>
        </w:numPr>
        <w:tabs>
          <w:tab w:val="left" w:pos="933"/>
          <w:tab w:val="left" w:pos="934"/>
        </w:tabs>
        <w:spacing w:line="160" w:lineRule="exact"/>
        <w:ind w:left="933" w:hanging="793"/>
        <w:jc w:val="left"/>
        <w:rPr>
          <w:sz w:val="13"/>
        </w:rPr>
      </w:pPr>
      <w:r>
        <w:rPr>
          <w:color w:val="231F20"/>
          <w:spacing w:val="2"/>
          <w:sz w:val="13"/>
        </w:rPr>
        <w:t xml:space="preserve">Submissions </w:t>
      </w:r>
      <w:r>
        <w:rPr>
          <w:color w:val="231F20"/>
          <w:sz w:val="13"/>
        </w:rPr>
        <w:t>32 (Centre for Forensic Behavioural Science), 100</w:t>
      </w:r>
      <w:r>
        <w:rPr>
          <w:color w:val="231F20"/>
          <w:spacing w:val="2"/>
          <w:sz w:val="13"/>
        </w:rPr>
        <w:t xml:space="preserve"> </w:t>
      </w:r>
      <w:r>
        <w:rPr>
          <w:color w:val="231F20"/>
          <w:sz w:val="13"/>
        </w:rPr>
        <w:t>(Forensicare).</w:t>
      </w:r>
    </w:p>
    <w:p w14:paraId="1FDF1F05" w14:textId="77777777" w:rsidR="00894070" w:rsidRDefault="009B7AFD">
      <w:pPr>
        <w:pStyle w:val="ListParagraph"/>
        <w:numPr>
          <w:ilvl w:val="0"/>
          <w:numId w:val="28"/>
        </w:numPr>
        <w:tabs>
          <w:tab w:val="left" w:pos="933"/>
          <w:tab w:val="left" w:pos="934"/>
        </w:tabs>
        <w:spacing w:line="160" w:lineRule="exact"/>
        <w:ind w:left="933" w:hanging="793"/>
        <w:jc w:val="left"/>
        <w:rPr>
          <w:sz w:val="13"/>
        </w:rPr>
      </w:pPr>
      <w:r>
        <w:rPr>
          <w:i/>
          <w:color w:val="231F20"/>
          <w:sz w:val="13"/>
        </w:rPr>
        <w:t xml:space="preserve">Royal Commission into Victoria’s Mental Health System </w:t>
      </w:r>
      <w:r>
        <w:rPr>
          <w:color w:val="231F20"/>
          <w:sz w:val="13"/>
        </w:rPr>
        <w:t xml:space="preserve">(Final </w:t>
      </w:r>
      <w:r>
        <w:rPr>
          <w:color w:val="231F20"/>
          <w:spacing w:val="2"/>
          <w:sz w:val="13"/>
        </w:rPr>
        <w:t xml:space="preserve">Report, </w:t>
      </w:r>
      <w:r>
        <w:rPr>
          <w:color w:val="231F20"/>
          <w:sz w:val="13"/>
        </w:rPr>
        <w:t>3 February</w:t>
      </w:r>
      <w:r>
        <w:rPr>
          <w:color w:val="231F20"/>
          <w:spacing w:val="5"/>
          <w:sz w:val="13"/>
        </w:rPr>
        <w:t xml:space="preserve"> </w:t>
      </w:r>
      <w:r>
        <w:rPr>
          <w:color w:val="231F20"/>
          <w:sz w:val="13"/>
        </w:rPr>
        <w:t>2021).</w:t>
      </w:r>
    </w:p>
    <w:p w14:paraId="4DB5D65C" w14:textId="77777777" w:rsidR="00894070" w:rsidRDefault="009B7AFD">
      <w:pPr>
        <w:pStyle w:val="ListParagraph"/>
        <w:numPr>
          <w:ilvl w:val="0"/>
          <w:numId w:val="28"/>
        </w:numPr>
        <w:tabs>
          <w:tab w:val="left" w:pos="933"/>
          <w:tab w:val="left" w:pos="934"/>
        </w:tabs>
        <w:spacing w:line="160" w:lineRule="exact"/>
        <w:ind w:left="933" w:hanging="793"/>
        <w:jc w:val="left"/>
        <w:rPr>
          <w:sz w:val="13"/>
        </w:rPr>
      </w:pPr>
      <w:r>
        <w:rPr>
          <w:color w:val="231F20"/>
          <w:sz w:val="13"/>
        </w:rPr>
        <w:t>Ibid.</w:t>
      </w:r>
    </w:p>
    <w:p w14:paraId="53ED7591" w14:textId="77777777" w:rsidR="00894070" w:rsidRDefault="009B7AFD">
      <w:pPr>
        <w:pStyle w:val="ListParagraph"/>
        <w:numPr>
          <w:ilvl w:val="0"/>
          <w:numId w:val="28"/>
        </w:numPr>
        <w:tabs>
          <w:tab w:val="left" w:pos="933"/>
          <w:tab w:val="left" w:pos="934"/>
        </w:tabs>
        <w:spacing w:line="160" w:lineRule="exact"/>
        <w:ind w:left="933" w:hanging="793"/>
        <w:jc w:val="left"/>
        <w:rPr>
          <w:sz w:val="13"/>
        </w:rPr>
      </w:pPr>
      <w:r>
        <w:rPr>
          <w:color w:val="231F20"/>
          <w:sz w:val="13"/>
        </w:rPr>
        <w:t>Ibid Recommendation 6(3).</w:t>
      </w:r>
    </w:p>
    <w:p w14:paraId="57C415F7" w14:textId="77777777" w:rsidR="00894070" w:rsidRDefault="009B7AFD">
      <w:pPr>
        <w:pStyle w:val="ListParagraph"/>
        <w:numPr>
          <w:ilvl w:val="0"/>
          <w:numId w:val="28"/>
        </w:numPr>
        <w:tabs>
          <w:tab w:val="left" w:pos="933"/>
          <w:tab w:val="left" w:pos="934"/>
        </w:tabs>
        <w:spacing w:before="7" w:line="213" w:lineRule="auto"/>
        <w:ind w:left="933" w:right="1215" w:hanging="793"/>
        <w:jc w:val="left"/>
        <w:rPr>
          <w:sz w:val="13"/>
        </w:rPr>
      </w:pPr>
      <w:r>
        <w:rPr>
          <w:color w:val="231F20"/>
          <w:spacing w:val="2"/>
          <w:sz w:val="13"/>
        </w:rPr>
        <w:t xml:space="preserve">Specialist courts </w:t>
      </w:r>
      <w:r>
        <w:rPr>
          <w:color w:val="231F20"/>
          <w:sz w:val="13"/>
        </w:rPr>
        <w:t xml:space="preserve">in Victoria are divisions of another </w:t>
      </w:r>
      <w:r>
        <w:rPr>
          <w:color w:val="231F20"/>
          <w:spacing w:val="2"/>
          <w:sz w:val="13"/>
        </w:rPr>
        <w:t xml:space="preserve">Court </w:t>
      </w:r>
      <w:r>
        <w:rPr>
          <w:color w:val="231F20"/>
          <w:sz w:val="13"/>
        </w:rPr>
        <w:t xml:space="preserve">(usually the Magistrates’ </w:t>
      </w:r>
      <w:r>
        <w:rPr>
          <w:color w:val="231F20"/>
          <w:spacing w:val="2"/>
          <w:sz w:val="13"/>
        </w:rPr>
        <w:t xml:space="preserve">Court </w:t>
      </w:r>
      <w:r>
        <w:rPr>
          <w:color w:val="231F20"/>
          <w:sz w:val="13"/>
        </w:rPr>
        <w:t xml:space="preserve">of Victoria) rather than standalone    </w:t>
      </w:r>
      <w:r>
        <w:rPr>
          <w:color w:val="231F20"/>
          <w:spacing w:val="2"/>
          <w:sz w:val="13"/>
        </w:rPr>
        <w:t xml:space="preserve">courts: </w:t>
      </w:r>
      <w:r>
        <w:rPr>
          <w:color w:val="231F20"/>
          <w:sz w:val="13"/>
        </w:rPr>
        <w:t xml:space="preserve">see, eg, the </w:t>
      </w:r>
      <w:r>
        <w:rPr>
          <w:i/>
          <w:color w:val="231F20"/>
          <w:sz w:val="13"/>
        </w:rPr>
        <w:t xml:space="preserve">Magistrates’ Court Act 1989 </w:t>
      </w:r>
      <w:r>
        <w:rPr>
          <w:color w:val="231F20"/>
          <w:sz w:val="13"/>
        </w:rPr>
        <w:t xml:space="preserve">(Vic), which provides for the </w:t>
      </w:r>
      <w:r>
        <w:rPr>
          <w:color w:val="231F20"/>
          <w:spacing w:val="2"/>
          <w:sz w:val="13"/>
        </w:rPr>
        <w:t xml:space="preserve">establishment </w:t>
      </w:r>
      <w:r>
        <w:rPr>
          <w:color w:val="231F20"/>
          <w:sz w:val="13"/>
        </w:rPr>
        <w:t xml:space="preserve">of the Drug </w:t>
      </w:r>
      <w:r>
        <w:rPr>
          <w:color w:val="231F20"/>
          <w:spacing w:val="2"/>
          <w:sz w:val="13"/>
        </w:rPr>
        <w:t xml:space="preserve">Court </w:t>
      </w:r>
      <w:r>
        <w:rPr>
          <w:color w:val="231F20"/>
          <w:sz w:val="13"/>
        </w:rPr>
        <w:t xml:space="preserve">Division, Koori </w:t>
      </w:r>
      <w:r>
        <w:rPr>
          <w:color w:val="231F20"/>
          <w:spacing w:val="2"/>
          <w:sz w:val="13"/>
        </w:rPr>
        <w:t xml:space="preserve">Court </w:t>
      </w:r>
      <w:r>
        <w:rPr>
          <w:color w:val="231F20"/>
          <w:sz w:val="13"/>
        </w:rPr>
        <w:t xml:space="preserve">Division, </w:t>
      </w:r>
      <w:r>
        <w:rPr>
          <w:color w:val="231F20"/>
          <w:spacing w:val="2"/>
          <w:sz w:val="13"/>
        </w:rPr>
        <w:t xml:space="preserve">Specialist </w:t>
      </w:r>
      <w:r>
        <w:rPr>
          <w:color w:val="231F20"/>
          <w:sz w:val="13"/>
        </w:rPr>
        <w:t xml:space="preserve">Family Violence </w:t>
      </w:r>
      <w:r>
        <w:rPr>
          <w:color w:val="231F20"/>
          <w:spacing w:val="2"/>
          <w:sz w:val="13"/>
        </w:rPr>
        <w:t xml:space="preserve">Court </w:t>
      </w:r>
      <w:r>
        <w:rPr>
          <w:color w:val="231F20"/>
          <w:sz w:val="13"/>
        </w:rPr>
        <w:t xml:space="preserve">Division, </w:t>
      </w:r>
      <w:r>
        <w:rPr>
          <w:color w:val="231F20"/>
          <w:spacing w:val="2"/>
          <w:sz w:val="13"/>
        </w:rPr>
        <w:t xml:space="preserve">Neighbourhood </w:t>
      </w:r>
      <w:r>
        <w:rPr>
          <w:color w:val="231F20"/>
          <w:sz w:val="13"/>
        </w:rPr>
        <w:t xml:space="preserve">Justice </w:t>
      </w:r>
      <w:r>
        <w:rPr>
          <w:color w:val="231F20"/>
          <w:spacing w:val="2"/>
          <w:sz w:val="13"/>
        </w:rPr>
        <w:t xml:space="preserve">Court </w:t>
      </w:r>
      <w:r>
        <w:rPr>
          <w:color w:val="231F20"/>
          <w:sz w:val="13"/>
        </w:rPr>
        <w:t xml:space="preserve">Division  and  the  </w:t>
      </w:r>
      <w:r>
        <w:rPr>
          <w:color w:val="231F20"/>
          <w:spacing w:val="2"/>
          <w:sz w:val="13"/>
        </w:rPr>
        <w:t xml:space="preserve">Assessment </w:t>
      </w:r>
      <w:r>
        <w:rPr>
          <w:color w:val="231F20"/>
          <w:sz w:val="13"/>
        </w:rPr>
        <w:t xml:space="preserve">and  Referral </w:t>
      </w:r>
      <w:r>
        <w:rPr>
          <w:color w:val="231F20"/>
          <w:spacing w:val="2"/>
          <w:sz w:val="13"/>
        </w:rPr>
        <w:t>Court</w:t>
      </w:r>
      <w:r>
        <w:rPr>
          <w:color w:val="231F20"/>
          <w:sz w:val="13"/>
        </w:rPr>
        <w:t xml:space="preserve"> </w:t>
      </w:r>
      <w:r>
        <w:rPr>
          <w:color w:val="231F20"/>
          <w:spacing w:val="2"/>
          <w:sz w:val="13"/>
        </w:rPr>
        <w:t>List.</w:t>
      </w:r>
    </w:p>
    <w:p w14:paraId="188B79DA" w14:textId="77777777" w:rsidR="00894070" w:rsidRDefault="009B7AFD">
      <w:pPr>
        <w:pStyle w:val="ListParagraph"/>
        <w:numPr>
          <w:ilvl w:val="0"/>
          <w:numId w:val="28"/>
        </w:numPr>
        <w:tabs>
          <w:tab w:val="left" w:pos="933"/>
          <w:tab w:val="left" w:pos="934"/>
        </w:tabs>
        <w:spacing w:line="162" w:lineRule="exact"/>
        <w:ind w:left="933" w:hanging="793"/>
        <w:jc w:val="left"/>
        <w:rPr>
          <w:sz w:val="13"/>
        </w:rPr>
      </w:pPr>
      <w:r>
        <w:rPr>
          <w:i/>
          <w:color w:val="231F20"/>
          <w:sz w:val="13"/>
        </w:rPr>
        <w:t xml:space="preserve">Royal Commission into Victoria’s Mental Health System </w:t>
      </w:r>
      <w:r>
        <w:rPr>
          <w:color w:val="231F20"/>
          <w:sz w:val="13"/>
        </w:rPr>
        <w:t xml:space="preserve">(Final </w:t>
      </w:r>
      <w:r>
        <w:rPr>
          <w:color w:val="231F20"/>
          <w:spacing w:val="2"/>
          <w:sz w:val="13"/>
        </w:rPr>
        <w:t xml:space="preserve">Report, </w:t>
      </w:r>
      <w:r>
        <w:rPr>
          <w:color w:val="231F20"/>
          <w:sz w:val="13"/>
        </w:rPr>
        <w:t>3 February 2021) Recommendation</w:t>
      </w:r>
      <w:r>
        <w:rPr>
          <w:color w:val="231F20"/>
          <w:spacing w:val="16"/>
          <w:sz w:val="13"/>
        </w:rPr>
        <w:t xml:space="preserve"> </w:t>
      </w:r>
      <w:r>
        <w:rPr>
          <w:color w:val="231F20"/>
          <w:sz w:val="13"/>
        </w:rPr>
        <w:t>37(1).</w:t>
      </w:r>
    </w:p>
    <w:p w14:paraId="39CE60DC" w14:textId="77777777" w:rsidR="00894070" w:rsidRDefault="00894070">
      <w:pPr>
        <w:spacing w:line="162" w:lineRule="exact"/>
        <w:rPr>
          <w:sz w:val="13"/>
        </w:rPr>
        <w:sectPr w:rsidR="00894070">
          <w:type w:val="continuous"/>
          <w:pgSz w:w="11910" w:h="16840"/>
          <w:pgMar w:top="560" w:right="420" w:bottom="280" w:left="580" w:header="720" w:footer="720" w:gutter="0"/>
          <w:cols w:num="2" w:space="720" w:equalWidth="0">
            <w:col w:w="587" w:space="280"/>
            <w:col w:w="10043"/>
          </w:cols>
        </w:sectPr>
      </w:pPr>
    </w:p>
    <w:p w14:paraId="3D66A865" w14:textId="77777777" w:rsidR="00894070" w:rsidRDefault="00894070">
      <w:pPr>
        <w:pStyle w:val="BodyText"/>
      </w:pPr>
    </w:p>
    <w:p w14:paraId="265707AE" w14:textId="77777777" w:rsidR="00894070" w:rsidRDefault="00894070">
      <w:pPr>
        <w:pStyle w:val="BodyText"/>
      </w:pPr>
    </w:p>
    <w:p w14:paraId="73CE61A5" w14:textId="77777777" w:rsidR="00894070" w:rsidRDefault="00894070">
      <w:pPr>
        <w:pStyle w:val="BodyText"/>
      </w:pPr>
    </w:p>
    <w:p w14:paraId="4F84E310" w14:textId="77777777" w:rsidR="00894070" w:rsidRDefault="00894070">
      <w:pPr>
        <w:pStyle w:val="BodyText"/>
        <w:spacing w:before="6"/>
        <w:rPr>
          <w:sz w:val="14"/>
        </w:rPr>
      </w:pPr>
    </w:p>
    <w:p w14:paraId="3807BAD9" w14:textId="77777777" w:rsidR="00894070" w:rsidRDefault="009B7AFD">
      <w:pPr>
        <w:pStyle w:val="Heading9"/>
        <w:spacing w:before="53" w:line="348" w:lineRule="auto"/>
        <w:ind w:right="4820"/>
        <w:rPr>
          <w:b/>
        </w:rPr>
      </w:pPr>
      <w:r>
        <w:rPr>
          <w:b/>
          <w:color w:val="231F20"/>
        </w:rPr>
        <w:t xml:space="preserve">Increasing the availability of specialist treatment </w:t>
      </w:r>
      <w:r>
        <w:rPr>
          <w:b/>
          <w:color w:val="4C4D4F"/>
        </w:rPr>
        <w:t>What treatments exist for stalking?</w:t>
      </w:r>
    </w:p>
    <w:p w14:paraId="1B97EF1A" w14:textId="77777777" w:rsidR="00894070" w:rsidRDefault="009B7AFD">
      <w:pPr>
        <w:pStyle w:val="ListParagraph"/>
        <w:numPr>
          <w:ilvl w:val="1"/>
          <w:numId w:val="29"/>
        </w:numPr>
        <w:tabs>
          <w:tab w:val="left" w:pos="1801"/>
          <w:tab w:val="left" w:pos="1802"/>
        </w:tabs>
        <w:spacing w:line="239" w:lineRule="exact"/>
        <w:rPr>
          <w:sz w:val="20"/>
        </w:rPr>
      </w:pPr>
      <w:r>
        <w:rPr>
          <w:color w:val="231F20"/>
          <w:sz w:val="20"/>
        </w:rPr>
        <w:t>A</w:t>
      </w:r>
      <w:r>
        <w:rPr>
          <w:color w:val="231F20"/>
          <w:spacing w:val="-5"/>
          <w:sz w:val="20"/>
        </w:rPr>
        <w:t xml:space="preserve"> </w:t>
      </w:r>
      <w:r>
        <w:rPr>
          <w:color w:val="231F20"/>
          <w:sz w:val="20"/>
        </w:rPr>
        <w:t>broad</w:t>
      </w:r>
      <w:r>
        <w:rPr>
          <w:color w:val="231F20"/>
          <w:spacing w:val="-5"/>
          <w:sz w:val="20"/>
        </w:rPr>
        <w:t xml:space="preserve"> </w:t>
      </w:r>
      <w:r>
        <w:rPr>
          <w:color w:val="231F20"/>
          <w:sz w:val="20"/>
        </w:rPr>
        <w:t>range</w:t>
      </w:r>
      <w:r>
        <w:rPr>
          <w:color w:val="231F20"/>
          <w:spacing w:val="-5"/>
          <w:sz w:val="20"/>
        </w:rPr>
        <w:t xml:space="preserve"> </w:t>
      </w:r>
      <w:r>
        <w:rPr>
          <w:color w:val="231F20"/>
          <w:sz w:val="20"/>
        </w:rPr>
        <w:t>of</w:t>
      </w:r>
      <w:r>
        <w:rPr>
          <w:color w:val="231F20"/>
          <w:spacing w:val="-4"/>
          <w:sz w:val="20"/>
        </w:rPr>
        <w:t xml:space="preserve"> </w:t>
      </w:r>
      <w:r>
        <w:rPr>
          <w:color w:val="231F20"/>
          <w:sz w:val="20"/>
        </w:rPr>
        <w:t>therapeutic</w:t>
      </w:r>
      <w:r>
        <w:rPr>
          <w:color w:val="231F20"/>
          <w:spacing w:val="-5"/>
          <w:sz w:val="20"/>
        </w:rPr>
        <w:t xml:space="preserve"> </w:t>
      </w:r>
      <w:r>
        <w:rPr>
          <w:color w:val="231F20"/>
          <w:spacing w:val="-2"/>
          <w:sz w:val="20"/>
        </w:rPr>
        <w:t>interventions</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needed</w:t>
      </w:r>
      <w:r>
        <w:rPr>
          <w:color w:val="231F20"/>
          <w:spacing w:val="-4"/>
          <w:sz w:val="20"/>
        </w:rPr>
        <w:t xml:space="preserve"> </w:t>
      </w:r>
      <w:r>
        <w:rPr>
          <w:color w:val="231F20"/>
          <w:spacing w:val="-3"/>
          <w:sz w:val="20"/>
        </w:rPr>
        <w:t>for</w:t>
      </w:r>
      <w:r>
        <w:rPr>
          <w:color w:val="231F20"/>
          <w:spacing w:val="-5"/>
          <w:sz w:val="20"/>
        </w:rPr>
        <w:t xml:space="preserve"> </w:t>
      </w:r>
      <w:r>
        <w:rPr>
          <w:color w:val="231F20"/>
          <w:sz w:val="20"/>
        </w:rPr>
        <w:t>people</w:t>
      </w:r>
      <w:r>
        <w:rPr>
          <w:color w:val="231F20"/>
          <w:spacing w:val="-5"/>
          <w:sz w:val="20"/>
        </w:rPr>
        <w:t xml:space="preserve"> </w:t>
      </w:r>
      <w:r>
        <w:rPr>
          <w:color w:val="231F20"/>
          <w:sz w:val="20"/>
        </w:rPr>
        <w:t>who</w:t>
      </w:r>
      <w:r>
        <w:rPr>
          <w:color w:val="231F20"/>
          <w:spacing w:val="-5"/>
          <w:sz w:val="20"/>
        </w:rPr>
        <w:t xml:space="preserve"> </w:t>
      </w:r>
      <w:r>
        <w:rPr>
          <w:color w:val="231F20"/>
          <w:sz w:val="20"/>
        </w:rPr>
        <w:t>stalk.</w:t>
      </w:r>
    </w:p>
    <w:p w14:paraId="2EBC6AE0" w14:textId="77777777" w:rsidR="00894070" w:rsidRDefault="009B7AFD">
      <w:pPr>
        <w:pStyle w:val="ListParagraph"/>
        <w:numPr>
          <w:ilvl w:val="1"/>
          <w:numId w:val="29"/>
        </w:numPr>
        <w:tabs>
          <w:tab w:val="left" w:pos="1801"/>
          <w:tab w:val="left" w:pos="1802"/>
        </w:tabs>
        <w:spacing w:before="83"/>
        <w:rPr>
          <w:sz w:val="20"/>
        </w:rPr>
      </w:pPr>
      <w:r>
        <w:rPr>
          <w:color w:val="231F20"/>
          <w:spacing w:val="-5"/>
          <w:sz w:val="20"/>
        </w:rPr>
        <w:t xml:space="preserve">Treatment </w:t>
      </w:r>
      <w:r>
        <w:rPr>
          <w:color w:val="231F20"/>
          <w:spacing w:val="-3"/>
          <w:sz w:val="20"/>
        </w:rPr>
        <w:t xml:space="preserve">for </w:t>
      </w:r>
      <w:r>
        <w:rPr>
          <w:color w:val="231F20"/>
          <w:sz w:val="20"/>
        </w:rPr>
        <w:t>stalking might</w:t>
      </w:r>
      <w:r>
        <w:rPr>
          <w:color w:val="231F20"/>
          <w:spacing w:val="-8"/>
          <w:sz w:val="20"/>
        </w:rPr>
        <w:t xml:space="preserve"> </w:t>
      </w:r>
      <w:r>
        <w:rPr>
          <w:color w:val="231F20"/>
          <w:spacing w:val="-3"/>
          <w:sz w:val="20"/>
        </w:rPr>
        <w:t>include:</w:t>
      </w:r>
    </w:p>
    <w:p w14:paraId="0D5CD038" w14:textId="77777777" w:rsidR="00894070" w:rsidRDefault="009B7AFD">
      <w:pPr>
        <w:pStyle w:val="ListParagraph"/>
        <w:numPr>
          <w:ilvl w:val="2"/>
          <w:numId w:val="29"/>
        </w:numPr>
        <w:tabs>
          <w:tab w:val="left" w:pos="2141"/>
          <w:tab w:val="left" w:pos="2142"/>
        </w:tabs>
        <w:spacing w:before="82"/>
        <w:ind w:hanging="340"/>
        <w:rPr>
          <w:sz w:val="20"/>
        </w:rPr>
      </w:pPr>
      <w:r>
        <w:rPr>
          <w:color w:val="231F20"/>
          <w:sz w:val="20"/>
        </w:rPr>
        <w:t>interpersonal skill</w:t>
      </w:r>
      <w:r>
        <w:rPr>
          <w:color w:val="231F20"/>
          <w:spacing w:val="-9"/>
          <w:sz w:val="20"/>
        </w:rPr>
        <w:t xml:space="preserve"> </w:t>
      </w:r>
      <w:r>
        <w:rPr>
          <w:color w:val="231F20"/>
          <w:sz w:val="20"/>
        </w:rPr>
        <w:t>building</w:t>
      </w:r>
    </w:p>
    <w:p w14:paraId="3CACBAB4" w14:textId="77777777" w:rsidR="00894070" w:rsidRDefault="009B7AFD">
      <w:pPr>
        <w:pStyle w:val="ListParagraph"/>
        <w:numPr>
          <w:ilvl w:val="2"/>
          <w:numId w:val="29"/>
        </w:numPr>
        <w:tabs>
          <w:tab w:val="left" w:pos="2141"/>
          <w:tab w:val="left" w:pos="2142"/>
        </w:tabs>
        <w:spacing w:before="48"/>
        <w:ind w:hanging="340"/>
        <w:rPr>
          <w:sz w:val="20"/>
        </w:rPr>
      </w:pPr>
      <w:r>
        <w:rPr>
          <w:color w:val="231F20"/>
          <w:spacing w:val="-2"/>
          <w:sz w:val="20"/>
        </w:rPr>
        <w:t xml:space="preserve">cognitive </w:t>
      </w:r>
      <w:r>
        <w:rPr>
          <w:color w:val="231F20"/>
          <w:sz w:val="20"/>
        </w:rPr>
        <w:t>behavioural</w:t>
      </w:r>
      <w:r>
        <w:rPr>
          <w:color w:val="231F20"/>
          <w:spacing w:val="-7"/>
          <w:sz w:val="20"/>
        </w:rPr>
        <w:t xml:space="preserve"> </w:t>
      </w:r>
      <w:r>
        <w:rPr>
          <w:color w:val="231F20"/>
          <w:sz w:val="20"/>
        </w:rPr>
        <w:t>therapy</w:t>
      </w:r>
    </w:p>
    <w:p w14:paraId="4983545F" w14:textId="77777777" w:rsidR="00894070" w:rsidRDefault="009B7AFD">
      <w:pPr>
        <w:pStyle w:val="ListParagraph"/>
        <w:numPr>
          <w:ilvl w:val="2"/>
          <w:numId w:val="29"/>
        </w:numPr>
        <w:tabs>
          <w:tab w:val="left" w:pos="2141"/>
          <w:tab w:val="left" w:pos="2142"/>
        </w:tabs>
        <w:spacing w:before="47"/>
        <w:ind w:hanging="340"/>
        <w:rPr>
          <w:sz w:val="11"/>
        </w:rPr>
      </w:pPr>
      <w:r>
        <w:rPr>
          <w:color w:val="231F20"/>
          <w:sz w:val="20"/>
        </w:rPr>
        <w:t>anger</w:t>
      </w:r>
      <w:r>
        <w:rPr>
          <w:color w:val="231F20"/>
          <w:spacing w:val="-5"/>
          <w:sz w:val="20"/>
        </w:rPr>
        <w:t xml:space="preserve"> </w:t>
      </w:r>
      <w:r>
        <w:rPr>
          <w:color w:val="231F20"/>
          <w:sz w:val="20"/>
        </w:rPr>
        <w:t>management</w:t>
      </w:r>
      <w:r>
        <w:rPr>
          <w:color w:val="231F20"/>
          <w:position w:val="7"/>
          <w:sz w:val="11"/>
        </w:rPr>
        <w:t>39</w:t>
      </w:r>
    </w:p>
    <w:p w14:paraId="4E489734" w14:textId="77777777" w:rsidR="00894070" w:rsidRDefault="009B7AFD">
      <w:pPr>
        <w:pStyle w:val="ListParagraph"/>
        <w:numPr>
          <w:ilvl w:val="2"/>
          <w:numId w:val="29"/>
        </w:numPr>
        <w:tabs>
          <w:tab w:val="left" w:pos="2141"/>
          <w:tab w:val="left" w:pos="2142"/>
        </w:tabs>
        <w:spacing w:before="47"/>
        <w:ind w:hanging="340"/>
        <w:rPr>
          <w:sz w:val="11"/>
        </w:rPr>
      </w:pPr>
      <w:r>
        <w:rPr>
          <w:color w:val="231F20"/>
          <w:sz w:val="20"/>
        </w:rPr>
        <w:t>psychiatric</w:t>
      </w:r>
      <w:r>
        <w:rPr>
          <w:color w:val="231F20"/>
          <w:spacing w:val="-5"/>
          <w:sz w:val="20"/>
        </w:rPr>
        <w:t xml:space="preserve"> </w:t>
      </w:r>
      <w:r>
        <w:rPr>
          <w:color w:val="231F20"/>
          <w:sz w:val="20"/>
        </w:rPr>
        <w:t>treatment</w:t>
      </w:r>
      <w:r>
        <w:rPr>
          <w:color w:val="231F20"/>
          <w:position w:val="7"/>
          <w:sz w:val="11"/>
        </w:rPr>
        <w:t>40</w:t>
      </w:r>
    </w:p>
    <w:p w14:paraId="51DD85CC" w14:textId="77777777" w:rsidR="00894070" w:rsidRDefault="009B7AFD">
      <w:pPr>
        <w:pStyle w:val="ListParagraph"/>
        <w:numPr>
          <w:ilvl w:val="2"/>
          <w:numId w:val="29"/>
        </w:numPr>
        <w:tabs>
          <w:tab w:val="left" w:pos="2141"/>
          <w:tab w:val="left" w:pos="2142"/>
        </w:tabs>
        <w:spacing w:before="48"/>
        <w:ind w:hanging="340"/>
        <w:rPr>
          <w:sz w:val="11"/>
        </w:rPr>
      </w:pPr>
      <w:r>
        <w:rPr>
          <w:color w:val="231F20"/>
          <w:sz w:val="20"/>
        </w:rPr>
        <w:t>medication.</w:t>
      </w:r>
      <w:r>
        <w:rPr>
          <w:color w:val="231F20"/>
          <w:position w:val="7"/>
          <w:sz w:val="11"/>
        </w:rPr>
        <w:t>41</w:t>
      </w:r>
    </w:p>
    <w:p w14:paraId="3A62D021" w14:textId="77777777" w:rsidR="00894070" w:rsidRDefault="009B7AFD">
      <w:pPr>
        <w:pStyle w:val="ListParagraph"/>
        <w:numPr>
          <w:ilvl w:val="1"/>
          <w:numId w:val="29"/>
        </w:numPr>
        <w:tabs>
          <w:tab w:val="left" w:pos="1801"/>
          <w:tab w:val="left" w:pos="1802"/>
        </w:tabs>
        <w:spacing w:before="80" w:line="206" w:lineRule="auto"/>
        <w:ind w:right="1196"/>
        <w:rPr>
          <w:sz w:val="11"/>
        </w:rPr>
      </w:pPr>
      <w:r>
        <w:rPr>
          <w:color w:val="231F20"/>
          <w:sz w:val="20"/>
        </w:rPr>
        <w:t>Dialectical</w:t>
      </w:r>
      <w:r>
        <w:rPr>
          <w:color w:val="231F20"/>
          <w:spacing w:val="-9"/>
          <w:sz w:val="20"/>
        </w:rPr>
        <w:t xml:space="preserve"> </w:t>
      </w:r>
      <w:r>
        <w:rPr>
          <w:color w:val="231F20"/>
          <w:sz w:val="20"/>
        </w:rPr>
        <w:t>Behaviour</w:t>
      </w:r>
      <w:r>
        <w:rPr>
          <w:color w:val="231F20"/>
          <w:spacing w:val="-9"/>
          <w:sz w:val="20"/>
        </w:rPr>
        <w:t xml:space="preserve"> </w:t>
      </w:r>
      <w:r>
        <w:rPr>
          <w:color w:val="231F20"/>
          <w:sz w:val="20"/>
        </w:rPr>
        <w:t>Therapy</w:t>
      </w:r>
      <w:r>
        <w:rPr>
          <w:color w:val="231F20"/>
          <w:spacing w:val="-9"/>
          <w:sz w:val="20"/>
        </w:rPr>
        <w:t xml:space="preserve"> </w:t>
      </w:r>
      <w:r>
        <w:rPr>
          <w:color w:val="231F20"/>
          <w:sz w:val="20"/>
        </w:rPr>
        <w:t>(DBT)</w:t>
      </w:r>
      <w:r>
        <w:rPr>
          <w:color w:val="231F20"/>
          <w:spacing w:val="-9"/>
          <w:sz w:val="20"/>
        </w:rPr>
        <w:t xml:space="preserve"> </w:t>
      </w:r>
      <w:r>
        <w:rPr>
          <w:color w:val="231F20"/>
          <w:sz w:val="20"/>
        </w:rPr>
        <w:t>is</w:t>
      </w:r>
      <w:r>
        <w:rPr>
          <w:color w:val="231F20"/>
          <w:spacing w:val="-9"/>
          <w:sz w:val="20"/>
        </w:rPr>
        <w:t xml:space="preserve"> </w:t>
      </w:r>
      <w:r>
        <w:rPr>
          <w:color w:val="231F20"/>
          <w:sz w:val="20"/>
        </w:rPr>
        <w:t>one</w:t>
      </w:r>
      <w:r>
        <w:rPr>
          <w:color w:val="231F20"/>
          <w:spacing w:val="-9"/>
          <w:sz w:val="20"/>
        </w:rPr>
        <w:t xml:space="preserve"> </w:t>
      </w:r>
      <w:r>
        <w:rPr>
          <w:color w:val="231F20"/>
          <w:spacing w:val="-3"/>
          <w:sz w:val="20"/>
        </w:rPr>
        <w:t>form</w:t>
      </w:r>
      <w:r>
        <w:rPr>
          <w:color w:val="231F20"/>
          <w:spacing w:val="-9"/>
          <w:sz w:val="20"/>
        </w:rPr>
        <w:t xml:space="preserve"> </w:t>
      </w:r>
      <w:r>
        <w:rPr>
          <w:color w:val="231F20"/>
          <w:sz w:val="20"/>
        </w:rPr>
        <w:t>of</w:t>
      </w:r>
      <w:r>
        <w:rPr>
          <w:color w:val="231F20"/>
          <w:spacing w:val="-9"/>
          <w:sz w:val="20"/>
        </w:rPr>
        <w:t xml:space="preserve"> </w:t>
      </w:r>
      <w:r>
        <w:rPr>
          <w:color w:val="231F20"/>
          <w:sz w:val="20"/>
        </w:rPr>
        <w:t>therapeutic</w:t>
      </w:r>
      <w:r>
        <w:rPr>
          <w:color w:val="231F20"/>
          <w:spacing w:val="-9"/>
          <w:sz w:val="20"/>
        </w:rPr>
        <w:t xml:space="preserve"> </w:t>
      </w:r>
      <w:r>
        <w:rPr>
          <w:color w:val="231F20"/>
          <w:spacing w:val="-2"/>
          <w:sz w:val="20"/>
        </w:rPr>
        <w:t>intervention</w:t>
      </w:r>
      <w:r>
        <w:rPr>
          <w:color w:val="231F20"/>
          <w:spacing w:val="-9"/>
          <w:sz w:val="20"/>
        </w:rPr>
        <w:t xml:space="preserve"> </w:t>
      </w:r>
      <w:r>
        <w:rPr>
          <w:color w:val="231F20"/>
          <w:sz w:val="20"/>
        </w:rPr>
        <w:t>used</w:t>
      </w:r>
      <w:r>
        <w:rPr>
          <w:color w:val="231F20"/>
          <w:spacing w:val="-9"/>
          <w:sz w:val="20"/>
        </w:rPr>
        <w:t xml:space="preserve"> </w:t>
      </w:r>
      <w:r>
        <w:rPr>
          <w:color w:val="231F20"/>
          <w:sz w:val="20"/>
        </w:rPr>
        <w:t>in</w:t>
      </w:r>
      <w:r>
        <w:rPr>
          <w:color w:val="231F20"/>
          <w:spacing w:val="-9"/>
          <w:sz w:val="20"/>
        </w:rPr>
        <w:t xml:space="preserve"> </w:t>
      </w:r>
      <w:r>
        <w:rPr>
          <w:color w:val="231F20"/>
          <w:sz w:val="20"/>
        </w:rPr>
        <w:t xml:space="preserve">the </w:t>
      </w:r>
      <w:r>
        <w:rPr>
          <w:color w:val="231F20"/>
          <w:spacing w:val="-3"/>
          <w:sz w:val="20"/>
        </w:rPr>
        <w:t xml:space="preserve">context </w:t>
      </w:r>
      <w:r>
        <w:rPr>
          <w:color w:val="231F20"/>
          <w:sz w:val="20"/>
        </w:rPr>
        <w:t>of non-family violence stalking.</w:t>
      </w:r>
      <w:r>
        <w:rPr>
          <w:color w:val="231F20"/>
          <w:position w:val="7"/>
          <w:sz w:val="11"/>
        </w:rPr>
        <w:t xml:space="preserve">42 </w:t>
      </w:r>
      <w:r>
        <w:rPr>
          <w:color w:val="231F20"/>
          <w:sz w:val="20"/>
        </w:rPr>
        <w:t xml:space="preserve">It emphasises </w:t>
      </w:r>
      <w:r>
        <w:rPr>
          <w:color w:val="231F20"/>
          <w:spacing w:val="-3"/>
          <w:sz w:val="20"/>
        </w:rPr>
        <w:t xml:space="preserve">concrete </w:t>
      </w:r>
      <w:r>
        <w:rPr>
          <w:color w:val="231F20"/>
          <w:sz w:val="20"/>
        </w:rPr>
        <w:t>skills and supports learning</w:t>
      </w:r>
      <w:r>
        <w:rPr>
          <w:color w:val="231F20"/>
          <w:spacing w:val="-8"/>
          <w:sz w:val="20"/>
        </w:rPr>
        <w:t xml:space="preserve"> </w:t>
      </w:r>
      <w:r>
        <w:rPr>
          <w:color w:val="231F20"/>
          <w:sz w:val="20"/>
        </w:rPr>
        <w:t>to</w:t>
      </w:r>
      <w:r>
        <w:rPr>
          <w:color w:val="231F20"/>
          <w:spacing w:val="-7"/>
          <w:sz w:val="20"/>
        </w:rPr>
        <w:t xml:space="preserve"> </w:t>
      </w:r>
      <w:r>
        <w:rPr>
          <w:color w:val="231F20"/>
          <w:sz w:val="20"/>
        </w:rPr>
        <w:t>manage</w:t>
      </w:r>
      <w:r>
        <w:rPr>
          <w:color w:val="231F20"/>
          <w:spacing w:val="-8"/>
          <w:sz w:val="20"/>
        </w:rPr>
        <w:t xml:space="preserve"> </w:t>
      </w:r>
      <w:r>
        <w:rPr>
          <w:color w:val="231F20"/>
          <w:sz w:val="20"/>
        </w:rPr>
        <w:t>‘strong</w:t>
      </w:r>
      <w:r>
        <w:rPr>
          <w:color w:val="231F20"/>
          <w:spacing w:val="-7"/>
          <w:sz w:val="20"/>
        </w:rPr>
        <w:t xml:space="preserve"> </w:t>
      </w:r>
      <w:r>
        <w:rPr>
          <w:color w:val="231F20"/>
          <w:sz w:val="20"/>
        </w:rPr>
        <w:t>emotions</w:t>
      </w:r>
      <w:r>
        <w:rPr>
          <w:color w:val="231F20"/>
          <w:spacing w:val="-8"/>
          <w:sz w:val="20"/>
        </w:rPr>
        <w:t xml:space="preserve"> </w:t>
      </w:r>
      <w:r>
        <w:rPr>
          <w:color w:val="231F20"/>
          <w:sz w:val="20"/>
        </w:rPr>
        <w:t>and</w:t>
      </w:r>
      <w:r>
        <w:rPr>
          <w:color w:val="231F20"/>
          <w:spacing w:val="-7"/>
          <w:sz w:val="20"/>
        </w:rPr>
        <w:t xml:space="preserve"> </w:t>
      </w:r>
      <w:r>
        <w:rPr>
          <w:color w:val="231F20"/>
          <w:spacing w:val="-3"/>
          <w:sz w:val="20"/>
        </w:rPr>
        <w:t>urges’.</w:t>
      </w:r>
      <w:r>
        <w:rPr>
          <w:color w:val="231F20"/>
          <w:spacing w:val="-3"/>
          <w:position w:val="7"/>
          <w:sz w:val="11"/>
        </w:rPr>
        <w:t>43</w:t>
      </w:r>
      <w:r>
        <w:rPr>
          <w:color w:val="231F20"/>
          <w:spacing w:val="17"/>
          <w:position w:val="7"/>
          <w:sz w:val="11"/>
        </w:rPr>
        <w:t xml:space="preserve"> </w:t>
      </w:r>
      <w:r>
        <w:rPr>
          <w:color w:val="231F20"/>
          <w:sz w:val="20"/>
        </w:rPr>
        <w:t>An</w:t>
      </w:r>
      <w:r>
        <w:rPr>
          <w:color w:val="231F20"/>
          <w:spacing w:val="-8"/>
          <w:sz w:val="20"/>
        </w:rPr>
        <w:t xml:space="preserve"> </w:t>
      </w:r>
      <w:r>
        <w:rPr>
          <w:color w:val="231F20"/>
          <w:spacing w:val="-3"/>
          <w:sz w:val="20"/>
        </w:rPr>
        <w:t>evaluation</w:t>
      </w:r>
      <w:r>
        <w:rPr>
          <w:color w:val="231F20"/>
          <w:spacing w:val="-7"/>
          <w:sz w:val="20"/>
        </w:rPr>
        <w:t xml:space="preserve"> </w:t>
      </w:r>
      <w:r>
        <w:rPr>
          <w:color w:val="231F20"/>
          <w:sz w:val="20"/>
        </w:rPr>
        <w:t>of</w:t>
      </w:r>
      <w:r>
        <w:rPr>
          <w:color w:val="231F20"/>
          <w:spacing w:val="-8"/>
          <w:sz w:val="20"/>
        </w:rPr>
        <w:t xml:space="preserve"> </w:t>
      </w:r>
      <w:r>
        <w:rPr>
          <w:color w:val="231F20"/>
          <w:sz w:val="20"/>
        </w:rPr>
        <w:t>DBT</w:t>
      </w:r>
      <w:r>
        <w:rPr>
          <w:color w:val="231F20"/>
          <w:spacing w:val="-7"/>
          <w:sz w:val="20"/>
        </w:rPr>
        <w:t xml:space="preserve"> </w:t>
      </w:r>
      <w:r>
        <w:rPr>
          <w:color w:val="231F20"/>
          <w:sz w:val="20"/>
        </w:rPr>
        <w:t>suggests</w:t>
      </w:r>
      <w:r>
        <w:rPr>
          <w:color w:val="231F20"/>
          <w:spacing w:val="-7"/>
          <w:sz w:val="20"/>
        </w:rPr>
        <w:t xml:space="preserve"> </w:t>
      </w:r>
      <w:r>
        <w:rPr>
          <w:color w:val="231F20"/>
          <w:sz w:val="20"/>
        </w:rPr>
        <w:t xml:space="preserve">some ‘very preliminary’ </w:t>
      </w:r>
      <w:r>
        <w:rPr>
          <w:color w:val="231F20"/>
          <w:spacing w:val="-3"/>
          <w:sz w:val="20"/>
        </w:rPr>
        <w:t xml:space="preserve">positive </w:t>
      </w:r>
      <w:r>
        <w:rPr>
          <w:color w:val="231F20"/>
          <w:sz w:val="20"/>
        </w:rPr>
        <w:t>results on its</w:t>
      </w:r>
      <w:r>
        <w:rPr>
          <w:color w:val="231F20"/>
          <w:spacing w:val="-22"/>
          <w:sz w:val="20"/>
        </w:rPr>
        <w:t xml:space="preserve"> </w:t>
      </w:r>
      <w:r>
        <w:rPr>
          <w:color w:val="231F20"/>
          <w:sz w:val="20"/>
        </w:rPr>
        <w:t>use.</w:t>
      </w:r>
      <w:r>
        <w:rPr>
          <w:color w:val="231F20"/>
          <w:position w:val="7"/>
          <w:sz w:val="11"/>
        </w:rPr>
        <w:t>44</w:t>
      </w:r>
    </w:p>
    <w:p w14:paraId="7BD766D7" w14:textId="77777777" w:rsidR="00894070" w:rsidRDefault="009B7AFD">
      <w:pPr>
        <w:pStyle w:val="ListParagraph"/>
        <w:numPr>
          <w:ilvl w:val="1"/>
          <w:numId w:val="29"/>
        </w:numPr>
        <w:tabs>
          <w:tab w:val="left" w:pos="1801"/>
          <w:tab w:val="left" w:pos="1802"/>
        </w:tabs>
        <w:spacing w:before="125" w:line="206" w:lineRule="auto"/>
        <w:ind w:right="1165"/>
        <w:rPr>
          <w:sz w:val="11"/>
        </w:rPr>
      </w:pPr>
      <w:r>
        <w:rPr>
          <w:color w:val="231F20"/>
          <w:spacing w:val="-5"/>
          <w:sz w:val="20"/>
        </w:rPr>
        <w:t xml:space="preserve">However, </w:t>
      </w:r>
      <w:r>
        <w:rPr>
          <w:color w:val="231F20"/>
          <w:spacing w:val="-3"/>
          <w:sz w:val="20"/>
        </w:rPr>
        <w:t xml:space="preserve">we </w:t>
      </w:r>
      <w:r>
        <w:rPr>
          <w:color w:val="231F20"/>
          <w:spacing w:val="-4"/>
          <w:sz w:val="20"/>
        </w:rPr>
        <w:t xml:space="preserve">were </w:t>
      </w:r>
      <w:r>
        <w:rPr>
          <w:color w:val="231F20"/>
          <w:spacing w:val="-3"/>
          <w:sz w:val="20"/>
        </w:rPr>
        <w:t xml:space="preserve">told </w:t>
      </w:r>
      <w:r>
        <w:rPr>
          <w:color w:val="231F20"/>
          <w:sz w:val="20"/>
        </w:rPr>
        <w:t xml:space="preserve">there is insufficient </w:t>
      </w:r>
      <w:r>
        <w:rPr>
          <w:color w:val="231F20"/>
          <w:spacing w:val="-3"/>
          <w:sz w:val="20"/>
        </w:rPr>
        <w:t xml:space="preserve">research into effective </w:t>
      </w:r>
      <w:r>
        <w:rPr>
          <w:color w:val="231F20"/>
          <w:sz w:val="20"/>
        </w:rPr>
        <w:t xml:space="preserve">treatments </w:t>
      </w:r>
      <w:r>
        <w:rPr>
          <w:color w:val="231F20"/>
          <w:spacing w:val="-3"/>
          <w:sz w:val="20"/>
        </w:rPr>
        <w:t xml:space="preserve">for </w:t>
      </w:r>
      <w:r>
        <w:rPr>
          <w:color w:val="231F20"/>
          <w:sz w:val="20"/>
        </w:rPr>
        <w:t>stalking.</w:t>
      </w:r>
      <w:r>
        <w:rPr>
          <w:color w:val="231F20"/>
          <w:position w:val="7"/>
          <w:sz w:val="11"/>
        </w:rPr>
        <w:t xml:space="preserve">45 </w:t>
      </w:r>
      <w:r>
        <w:rPr>
          <w:color w:val="231F20"/>
          <w:spacing w:val="-3"/>
          <w:sz w:val="20"/>
        </w:rPr>
        <w:t xml:space="preserve">Only </w:t>
      </w:r>
      <w:r>
        <w:rPr>
          <w:color w:val="231F20"/>
          <w:sz w:val="20"/>
        </w:rPr>
        <w:t xml:space="preserve">a handful of studies (Australian and international) </w:t>
      </w:r>
      <w:r>
        <w:rPr>
          <w:color w:val="231F20"/>
          <w:spacing w:val="-4"/>
          <w:sz w:val="20"/>
        </w:rPr>
        <w:t xml:space="preserve">have </w:t>
      </w:r>
      <w:r>
        <w:rPr>
          <w:color w:val="231F20"/>
          <w:spacing w:val="-3"/>
          <w:sz w:val="20"/>
        </w:rPr>
        <w:t xml:space="preserve">‘attempted </w:t>
      </w:r>
      <w:r>
        <w:rPr>
          <w:color w:val="231F20"/>
          <w:sz w:val="20"/>
        </w:rPr>
        <w:t>to describe</w:t>
      </w:r>
      <w:r>
        <w:rPr>
          <w:color w:val="231F20"/>
          <w:spacing w:val="-8"/>
          <w:sz w:val="20"/>
        </w:rPr>
        <w:t xml:space="preserve"> </w:t>
      </w:r>
      <w:r>
        <w:rPr>
          <w:color w:val="231F20"/>
          <w:sz w:val="20"/>
        </w:rPr>
        <w:t>a</w:t>
      </w:r>
      <w:r>
        <w:rPr>
          <w:color w:val="231F20"/>
          <w:spacing w:val="-8"/>
          <w:sz w:val="20"/>
        </w:rPr>
        <w:t xml:space="preserve"> </w:t>
      </w:r>
      <w:r>
        <w:rPr>
          <w:color w:val="231F20"/>
          <w:spacing w:val="-3"/>
          <w:sz w:val="20"/>
        </w:rPr>
        <w:t>treatment</w:t>
      </w:r>
      <w:r>
        <w:rPr>
          <w:color w:val="231F20"/>
          <w:spacing w:val="-8"/>
          <w:sz w:val="20"/>
        </w:rPr>
        <w:t xml:space="preserve"> </w:t>
      </w:r>
      <w:r>
        <w:rPr>
          <w:color w:val="231F20"/>
          <w:sz w:val="20"/>
        </w:rPr>
        <w:t>model</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stalking</w:t>
      </w:r>
      <w:r>
        <w:rPr>
          <w:color w:val="231F20"/>
          <w:spacing w:val="-8"/>
          <w:sz w:val="20"/>
        </w:rPr>
        <w:t xml:space="preserve"> </w:t>
      </w:r>
      <w:r>
        <w:rPr>
          <w:color w:val="231F20"/>
          <w:sz w:val="20"/>
        </w:rPr>
        <w:t>behaviours,</w:t>
      </w:r>
      <w:r>
        <w:rPr>
          <w:color w:val="231F20"/>
          <w:spacing w:val="-8"/>
          <w:sz w:val="20"/>
        </w:rPr>
        <w:t xml:space="preserve"> </w:t>
      </w:r>
      <w:r>
        <w:rPr>
          <w:color w:val="231F20"/>
          <w:sz w:val="20"/>
        </w:rPr>
        <w:t>and</w:t>
      </w:r>
      <w:r>
        <w:rPr>
          <w:color w:val="231F20"/>
          <w:spacing w:val="-8"/>
          <w:sz w:val="20"/>
        </w:rPr>
        <w:t xml:space="preserve"> </w:t>
      </w:r>
      <w:r>
        <w:rPr>
          <w:color w:val="231F20"/>
          <w:spacing w:val="-4"/>
          <w:sz w:val="20"/>
        </w:rPr>
        <w:t>fewer</w:t>
      </w:r>
      <w:r>
        <w:rPr>
          <w:color w:val="231F20"/>
          <w:spacing w:val="-8"/>
          <w:sz w:val="20"/>
        </w:rPr>
        <w:t xml:space="preserve"> </w:t>
      </w:r>
      <w:r>
        <w:rPr>
          <w:color w:val="231F20"/>
          <w:sz w:val="20"/>
        </w:rPr>
        <w:t>still</w:t>
      </w:r>
      <w:r>
        <w:rPr>
          <w:color w:val="231F20"/>
          <w:spacing w:val="-8"/>
          <w:sz w:val="20"/>
        </w:rPr>
        <w:t xml:space="preserve"> </w:t>
      </w:r>
      <w:r>
        <w:rPr>
          <w:color w:val="231F20"/>
          <w:spacing w:val="-4"/>
          <w:sz w:val="20"/>
        </w:rPr>
        <w:t>have</w:t>
      </w:r>
      <w:r>
        <w:rPr>
          <w:color w:val="231F20"/>
          <w:spacing w:val="-8"/>
          <w:sz w:val="20"/>
        </w:rPr>
        <w:t xml:space="preserve"> </w:t>
      </w:r>
      <w:r>
        <w:rPr>
          <w:color w:val="231F20"/>
          <w:spacing w:val="-3"/>
          <w:sz w:val="20"/>
        </w:rPr>
        <w:t>evaluated</w:t>
      </w:r>
      <w:r>
        <w:rPr>
          <w:color w:val="231F20"/>
          <w:spacing w:val="-8"/>
          <w:sz w:val="20"/>
        </w:rPr>
        <w:t xml:space="preserve"> </w:t>
      </w:r>
      <w:r>
        <w:rPr>
          <w:color w:val="231F20"/>
          <w:sz w:val="20"/>
        </w:rPr>
        <w:t>such treatments’.</w:t>
      </w:r>
      <w:r>
        <w:rPr>
          <w:color w:val="231F20"/>
          <w:position w:val="7"/>
          <w:sz w:val="11"/>
        </w:rPr>
        <w:t>46</w:t>
      </w:r>
    </w:p>
    <w:p w14:paraId="119132AE" w14:textId="77777777" w:rsidR="00894070" w:rsidRDefault="009B7AFD">
      <w:pPr>
        <w:pStyle w:val="ListParagraph"/>
        <w:numPr>
          <w:ilvl w:val="1"/>
          <w:numId w:val="29"/>
        </w:numPr>
        <w:tabs>
          <w:tab w:val="left" w:pos="1801"/>
          <w:tab w:val="left" w:pos="1802"/>
        </w:tabs>
        <w:spacing w:before="125" w:line="206" w:lineRule="auto"/>
        <w:ind w:right="1350"/>
        <w:rPr>
          <w:sz w:val="11"/>
        </w:rPr>
      </w:pPr>
      <w:r>
        <w:rPr>
          <w:color w:val="231F20"/>
          <w:sz w:val="20"/>
        </w:rPr>
        <w:t>In</w:t>
      </w:r>
      <w:r>
        <w:rPr>
          <w:color w:val="231F20"/>
          <w:spacing w:val="-11"/>
          <w:sz w:val="20"/>
        </w:rPr>
        <w:t xml:space="preserve"> </w:t>
      </w:r>
      <w:r>
        <w:rPr>
          <w:color w:val="231F20"/>
          <w:sz w:val="20"/>
        </w:rPr>
        <w:t>relation</w:t>
      </w:r>
      <w:r>
        <w:rPr>
          <w:color w:val="231F20"/>
          <w:spacing w:val="-11"/>
          <w:sz w:val="20"/>
        </w:rPr>
        <w:t xml:space="preserve"> </w:t>
      </w:r>
      <w:r>
        <w:rPr>
          <w:color w:val="231F20"/>
          <w:sz w:val="20"/>
        </w:rPr>
        <w:t>to</w:t>
      </w:r>
      <w:r>
        <w:rPr>
          <w:color w:val="231F20"/>
          <w:spacing w:val="-10"/>
          <w:sz w:val="20"/>
        </w:rPr>
        <w:t xml:space="preserve"> </w:t>
      </w:r>
      <w:r>
        <w:rPr>
          <w:color w:val="231F20"/>
          <w:spacing w:val="-7"/>
          <w:sz w:val="20"/>
        </w:rPr>
        <w:t>DBT,</w:t>
      </w:r>
      <w:r>
        <w:rPr>
          <w:color w:val="231F20"/>
          <w:spacing w:val="-11"/>
          <w:sz w:val="20"/>
        </w:rPr>
        <w:t xml:space="preserve"> </w:t>
      </w:r>
      <w:r>
        <w:rPr>
          <w:color w:val="231F20"/>
          <w:spacing w:val="-3"/>
          <w:sz w:val="20"/>
        </w:rPr>
        <w:t>Forensicare</w:t>
      </w:r>
      <w:r>
        <w:rPr>
          <w:color w:val="231F20"/>
          <w:spacing w:val="-10"/>
          <w:sz w:val="20"/>
        </w:rPr>
        <w:t xml:space="preserve"> </w:t>
      </w:r>
      <w:r>
        <w:rPr>
          <w:color w:val="231F20"/>
          <w:sz w:val="20"/>
        </w:rPr>
        <w:t>submitted:</w:t>
      </w:r>
      <w:r>
        <w:rPr>
          <w:color w:val="231F20"/>
          <w:spacing w:val="-11"/>
          <w:sz w:val="20"/>
        </w:rPr>
        <w:t xml:space="preserve"> </w:t>
      </w:r>
      <w:r>
        <w:rPr>
          <w:color w:val="231F20"/>
          <w:sz w:val="20"/>
        </w:rPr>
        <w:t>‘There</w:t>
      </w:r>
      <w:r>
        <w:rPr>
          <w:color w:val="231F20"/>
          <w:spacing w:val="-10"/>
          <w:sz w:val="20"/>
        </w:rPr>
        <w:t xml:space="preserve"> </w:t>
      </w:r>
      <w:r>
        <w:rPr>
          <w:color w:val="231F20"/>
          <w:sz w:val="20"/>
        </w:rPr>
        <w:t>was</w:t>
      </w:r>
      <w:r>
        <w:rPr>
          <w:color w:val="231F20"/>
          <w:spacing w:val="-11"/>
          <w:sz w:val="20"/>
        </w:rPr>
        <w:t xml:space="preserve"> </w:t>
      </w:r>
      <w:r>
        <w:rPr>
          <w:color w:val="231F20"/>
          <w:sz w:val="20"/>
        </w:rPr>
        <w:t>no</w:t>
      </w:r>
      <w:r>
        <w:rPr>
          <w:color w:val="231F20"/>
          <w:spacing w:val="-10"/>
          <w:sz w:val="20"/>
        </w:rPr>
        <w:t xml:space="preserve"> </w:t>
      </w:r>
      <w:r>
        <w:rPr>
          <w:color w:val="231F20"/>
          <w:sz w:val="20"/>
        </w:rPr>
        <w:t>significant</w:t>
      </w:r>
      <w:r>
        <w:rPr>
          <w:color w:val="231F20"/>
          <w:spacing w:val="-11"/>
          <w:sz w:val="20"/>
        </w:rPr>
        <w:t xml:space="preserve"> </w:t>
      </w:r>
      <w:r>
        <w:rPr>
          <w:color w:val="231F20"/>
          <w:spacing w:val="-3"/>
          <w:sz w:val="20"/>
        </w:rPr>
        <w:t>treatment</w:t>
      </w:r>
      <w:r>
        <w:rPr>
          <w:color w:val="231F20"/>
          <w:spacing w:val="-10"/>
          <w:sz w:val="20"/>
        </w:rPr>
        <w:t xml:space="preserve"> </w:t>
      </w:r>
      <w:r>
        <w:rPr>
          <w:color w:val="231F20"/>
          <w:sz w:val="20"/>
        </w:rPr>
        <w:t>effect</w:t>
      </w:r>
      <w:r>
        <w:rPr>
          <w:color w:val="231F20"/>
          <w:spacing w:val="-11"/>
          <w:sz w:val="20"/>
        </w:rPr>
        <w:t xml:space="preserve"> </w:t>
      </w:r>
      <w:r>
        <w:rPr>
          <w:color w:val="231F20"/>
          <w:sz w:val="20"/>
        </w:rPr>
        <w:t>of DBT</w:t>
      </w:r>
      <w:r>
        <w:rPr>
          <w:color w:val="231F20"/>
          <w:spacing w:val="-5"/>
          <w:sz w:val="20"/>
        </w:rPr>
        <w:t xml:space="preserve"> </w:t>
      </w:r>
      <w:r>
        <w:rPr>
          <w:color w:val="231F20"/>
          <w:sz w:val="20"/>
        </w:rPr>
        <w:t>…</w:t>
      </w:r>
      <w:r>
        <w:rPr>
          <w:color w:val="231F20"/>
          <w:spacing w:val="-5"/>
          <w:sz w:val="20"/>
        </w:rPr>
        <w:t xml:space="preserve"> </w:t>
      </w:r>
      <w:r>
        <w:rPr>
          <w:color w:val="231F20"/>
          <w:spacing w:val="-3"/>
          <w:sz w:val="20"/>
        </w:rPr>
        <w:t>[although]</w:t>
      </w:r>
      <w:r>
        <w:rPr>
          <w:color w:val="231F20"/>
          <w:spacing w:val="-5"/>
          <w:sz w:val="20"/>
        </w:rPr>
        <w:t xml:space="preserve"> </w:t>
      </w:r>
      <w:r>
        <w:rPr>
          <w:color w:val="231F20"/>
          <w:sz w:val="20"/>
        </w:rPr>
        <w:t>this</w:t>
      </w:r>
      <w:r>
        <w:rPr>
          <w:color w:val="231F20"/>
          <w:spacing w:val="-4"/>
          <w:sz w:val="20"/>
        </w:rPr>
        <w:t xml:space="preserve"> </w:t>
      </w:r>
      <w:r>
        <w:rPr>
          <w:color w:val="231F20"/>
          <w:sz w:val="20"/>
        </w:rPr>
        <w:t>could</w:t>
      </w:r>
      <w:r>
        <w:rPr>
          <w:color w:val="231F20"/>
          <w:spacing w:val="-5"/>
          <w:sz w:val="20"/>
        </w:rPr>
        <w:t xml:space="preserve"> </w:t>
      </w:r>
      <w:r>
        <w:rPr>
          <w:color w:val="231F20"/>
          <w:sz w:val="20"/>
        </w:rPr>
        <w:t>be</w:t>
      </w:r>
      <w:r>
        <w:rPr>
          <w:color w:val="231F20"/>
          <w:spacing w:val="-5"/>
          <w:sz w:val="20"/>
        </w:rPr>
        <w:t xml:space="preserve"> </w:t>
      </w:r>
      <w:r>
        <w:rPr>
          <w:color w:val="231F20"/>
          <w:sz w:val="20"/>
        </w:rPr>
        <w:t>because</w:t>
      </w:r>
      <w:r>
        <w:rPr>
          <w:color w:val="231F20"/>
          <w:spacing w:val="-5"/>
          <w:sz w:val="20"/>
        </w:rPr>
        <w:t xml:space="preserve"> </w:t>
      </w:r>
      <w:r>
        <w:rPr>
          <w:color w:val="231F20"/>
          <w:sz w:val="20"/>
        </w:rPr>
        <w:t>the</w:t>
      </w:r>
      <w:r>
        <w:rPr>
          <w:color w:val="231F20"/>
          <w:spacing w:val="-4"/>
          <w:sz w:val="20"/>
        </w:rPr>
        <w:t xml:space="preserve"> </w:t>
      </w:r>
      <w:r>
        <w:rPr>
          <w:color w:val="231F20"/>
          <w:spacing w:val="-3"/>
          <w:sz w:val="20"/>
        </w:rPr>
        <w:t>control</w:t>
      </w:r>
      <w:r>
        <w:rPr>
          <w:color w:val="231F20"/>
          <w:spacing w:val="-5"/>
          <w:sz w:val="20"/>
        </w:rPr>
        <w:t xml:space="preserve"> </w:t>
      </w:r>
      <w:r>
        <w:rPr>
          <w:color w:val="231F20"/>
          <w:spacing w:val="-3"/>
          <w:sz w:val="20"/>
        </w:rPr>
        <w:t>treatment</w:t>
      </w:r>
      <w:r>
        <w:rPr>
          <w:color w:val="231F20"/>
          <w:spacing w:val="-5"/>
          <w:sz w:val="20"/>
        </w:rPr>
        <w:t xml:space="preserve"> </w:t>
      </w:r>
      <w:r>
        <w:rPr>
          <w:color w:val="231F20"/>
          <w:sz w:val="20"/>
        </w:rPr>
        <w:t>was</w:t>
      </w:r>
      <w:r>
        <w:rPr>
          <w:color w:val="231F20"/>
          <w:spacing w:val="-5"/>
          <w:sz w:val="20"/>
        </w:rPr>
        <w:t xml:space="preserve"> </w:t>
      </w:r>
      <w:r>
        <w:rPr>
          <w:color w:val="231F20"/>
          <w:sz w:val="20"/>
        </w:rPr>
        <w:t>also</w:t>
      </w:r>
      <w:r>
        <w:rPr>
          <w:color w:val="231F20"/>
          <w:spacing w:val="-4"/>
          <w:sz w:val="20"/>
        </w:rPr>
        <w:t xml:space="preserve"> </w:t>
      </w:r>
      <w:r>
        <w:rPr>
          <w:color w:val="231F20"/>
          <w:spacing w:val="-3"/>
          <w:sz w:val="20"/>
        </w:rPr>
        <w:t>effective’.</w:t>
      </w:r>
      <w:r>
        <w:rPr>
          <w:color w:val="231F20"/>
          <w:spacing w:val="-3"/>
          <w:position w:val="7"/>
          <w:sz w:val="11"/>
        </w:rPr>
        <w:t>47</w:t>
      </w:r>
    </w:p>
    <w:p w14:paraId="0A51F855" w14:textId="77777777" w:rsidR="00894070" w:rsidRDefault="009B7AFD">
      <w:pPr>
        <w:pStyle w:val="ListParagraph"/>
        <w:numPr>
          <w:ilvl w:val="1"/>
          <w:numId w:val="29"/>
        </w:numPr>
        <w:tabs>
          <w:tab w:val="left" w:pos="1801"/>
          <w:tab w:val="left" w:pos="1802"/>
        </w:tabs>
        <w:spacing w:before="122" w:line="206" w:lineRule="auto"/>
        <w:ind w:right="1468"/>
        <w:rPr>
          <w:sz w:val="20"/>
        </w:rPr>
      </w:pPr>
      <w:r>
        <w:rPr>
          <w:color w:val="231F20"/>
          <w:sz w:val="20"/>
        </w:rPr>
        <w:t>Di</w:t>
      </w:r>
      <w:r>
        <w:rPr>
          <w:color w:val="231F20"/>
          <w:spacing w:val="-11"/>
          <w:sz w:val="20"/>
        </w:rPr>
        <w:t xml:space="preserve"> </w:t>
      </w:r>
      <w:r>
        <w:rPr>
          <w:color w:val="231F20"/>
          <w:sz w:val="20"/>
        </w:rPr>
        <w:t>McDonald,</w:t>
      </w:r>
      <w:r>
        <w:rPr>
          <w:color w:val="231F20"/>
          <w:spacing w:val="-11"/>
          <w:sz w:val="20"/>
        </w:rPr>
        <w:t xml:space="preserve"> </w:t>
      </w:r>
      <w:r>
        <w:rPr>
          <w:color w:val="231F20"/>
          <w:sz w:val="20"/>
        </w:rPr>
        <w:t>a</w:t>
      </w:r>
      <w:r>
        <w:rPr>
          <w:color w:val="231F20"/>
          <w:spacing w:val="-10"/>
          <w:sz w:val="20"/>
        </w:rPr>
        <w:t xml:space="preserve"> </w:t>
      </w:r>
      <w:r>
        <w:rPr>
          <w:color w:val="231F20"/>
          <w:sz w:val="20"/>
        </w:rPr>
        <w:t>person</w:t>
      </w:r>
      <w:r>
        <w:rPr>
          <w:color w:val="231F20"/>
          <w:spacing w:val="-11"/>
          <w:sz w:val="20"/>
        </w:rPr>
        <w:t xml:space="preserve"> </w:t>
      </w:r>
      <w:r>
        <w:rPr>
          <w:color w:val="231F20"/>
          <w:sz w:val="20"/>
        </w:rPr>
        <w:t>who</w:t>
      </w:r>
      <w:r>
        <w:rPr>
          <w:color w:val="231F20"/>
          <w:spacing w:val="-10"/>
          <w:sz w:val="20"/>
        </w:rPr>
        <w:t xml:space="preserve"> </w:t>
      </w:r>
      <w:r>
        <w:rPr>
          <w:color w:val="231F20"/>
          <w:sz w:val="20"/>
        </w:rPr>
        <w:t>experienced</w:t>
      </w:r>
      <w:r>
        <w:rPr>
          <w:color w:val="231F20"/>
          <w:spacing w:val="-11"/>
          <w:sz w:val="20"/>
        </w:rPr>
        <w:t xml:space="preserve"> </w:t>
      </w:r>
      <w:r>
        <w:rPr>
          <w:color w:val="231F20"/>
          <w:sz w:val="20"/>
        </w:rPr>
        <w:t>stalking,</w:t>
      </w:r>
      <w:r>
        <w:rPr>
          <w:color w:val="231F20"/>
          <w:spacing w:val="-10"/>
          <w:sz w:val="20"/>
        </w:rPr>
        <w:t xml:space="preserve"> </w:t>
      </w:r>
      <w:r>
        <w:rPr>
          <w:color w:val="231F20"/>
          <w:sz w:val="20"/>
        </w:rPr>
        <w:t>was</w:t>
      </w:r>
      <w:r>
        <w:rPr>
          <w:color w:val="231F20"/>
          <w:spacing w:val="-11"/>
          <w:sz w:val="20"/>
        </w:rPr>
        <w:t xml:space="preserve"> </w:t>
      </w:r>
      <w:r>
        <w:rPr>
          <w:color w:val="231F20"/>
          <w:sz w:val="20"/>
        </w:rPr>
        <w:t>sceptical</w:t>
      </w:r>
      <w:r>
        <w:rPr>
          <w:color w:val="231F20"/>
          <w:spacing w:val="-11"/>
          <w:sz w:val="20"/>
        </w:rPr>
        <w:t xml:space="preserve"> </w:t>
      </w:r>
      <w:r>
        <w:rPr>
          <w:color w:val="231F20"/>
          <w:sz w:val="20"/>
        </w:rPr>
        <w:t>about</w:t>
      </w:r>
      <w:r>
        <w:rPr>
          <w:color w:val="231F20"/>
          <w:spacing w:val="-10"/>
          <w:sz w:val="20"/>
        </w:rPr>
        <w:t xml:space="preserve"> </w:t>
      </w:r>
      <w:r>
        <w:rPr>
          <w:color w:val="231F20"/>
          <w:spacing w:val="-3"/>
          <w:sz w:val="20"/>
        </w:rPr>
        <w:t>how</w:t>
      </w:r>
      <w:r>
        <w:rPr>
          <w:color w:val="231F20"/>
          <w:spacing w:val="-11"/>
          <w:sz w:val="20"/>
        </w:rPr>
        <w:t xml:space="preserve"> </w:t>
      </w:r>
      <w:r>
        <w:rPr>
          <w:color w:val="231F20"/>
          <w:spacing w:val="-3"/>
          <w:sz w:val="20"/>
        </w:rPr>
        <w:t xml:space="preserve">effective treatment </w:t>
      </w:r>
      <w:r>
        <w:rPr>
          <w:color w:val="231F20"/>
          <w:sz w:val="20"/>
        </w:rPr>
        <w:t xml:space="preserve">programs </w:t>
      </w:r>
      <w:r>
        <w:rPr>
          <w:color w:val="231F20"/>
          <w:spacing w:val="-3"/>
          <w:sz w:val="20"/>
        </w:rPr>
        <w:t xml:space="preserve">are for </w:t>
      </w:r>
      <w:r>
        <w:rPr>
          <w:color w:val="231F20"/>
          <w:sz w:val="20"/>
        </w:rPr>
        <w:t>stalking. Di McDonald</w:t>
      </w:r>
      <w:r>
        <w:rPr>
          <w:color w:val="231F20"/>
          <w:spacing w:val="-24"/>
          <w:sz w:val="20"/>
        </w:rPr>
        <w:t xml:space="preserve"> </w:t>
      </w:r>
      <w:r>
        <w:rPr>
          <w:color w:val="231F20"/>
          <w:sz w:val="20"/>
        </w:rPr>
        <w:t>explained:</w:t>
      </w:r>
    </w:p>
    <w:p w14:paraId="05B0946C" w14:textId="77777777" w:rsidR="00894070" w:rsidRDefault="009F6793">
      <w:pPr>
        <w:pStyle w:val="BodyText"/>
        <w:spacing w:before="6"/>
        <w:rPr>
          <w:sz w:val="23"/>
        </w:rPr>
      </w:pPr>
      <w:r>
        <w:pict w14:anchorId="1D9872CA">
          <v:shape id="_x0000_s1091" type="#_x0000_t202" style="position:absolute;margin-left:119.3pt;margin-top:18.5pt;width:396.35pt;height:80.1pt;z-index:251767808;mso-wrap-distance-left:0;mso-wrap-distance-right:0;mso-position-horizontal-relative:page" fillcolor="#fee7de" strokecolor="#ea5b50" strokeweight=".5pt">
            <v:textbox inset="0,0,0,0">
              <w:txbxContent>
                <w:p w14:paraId="67725DEC" w14:textId="77777777" w:rsidR="00894070" w:rsidRDefault="00894070">
                  <w:pPr>
                    <w:pStyle w:val="BodyText"/>
                    <w:spacing w:before="3"/>
                    <w:rPr>
                      <w:sz w:val="15"/>
                    </w:rPr>
                  </w:pPr>
                </w:p>
                <w:p w14:paraId="298A0B37" w14:textId="77777777" w:rsidR="00894070" w:rsidRDefault="009B7AFD">
                  <w:pPr>
                    <w:pStyle w:val="BodyText"/>
                    <w:spacing w:line="206" w:lineRule="auto"/>
                    <w:ind w:left="221" w:right="630"/>
                  </w:pPr>
                  <w:r>
                    <w:rPr>
                      <w:color w:val="231F20"/>
                    </w:rPr>
                    <w:t>In regard to treatment programs, my stalker has done them all over 30 years of treating women like this. Nothing has prevailed. He has a high sense of entitlement and will project and blame the victim for his actions … He is a</w:t>
                  </w:r>
                </w:p>
                <w:p w14:paraId="2FDD06B6" w14:textId="77777777" w:rsidR="00894070" w:rsidRDefault="009B7AFD">
                  <w:pPr>
                    <w:pStyle w:val="BodyText"/>
                    <w:spacing w:before="4" w:line="206" w:lineRule="auto"/>
                    <w:ind w:left="221" w:right="156"/>
                    <w:rPr>
                      <w:sz w:val="11"/>
                    </w:rPr>
                  </w:pPr>
                  <w:r>
                    <w:rPr>
                      <w:color w:val="231F20"/>
                    </w:rPr>
                    <w:t>recidivist and … his record shows these treatment programs haven’t helped him or his victims’ situation.</w:t>
                  </w:r>
                  <w:r>
                    <w:rPr>
                      <w:color w:val="231F20"/>
                      <w:position w:val="7"/>
                      <w:sz w:val="11"/>
                    </w:rPr>
                    <w:t>48</w:t>
                  </w:r>
                </w:p>
              </w:txbxContent>
            </v:textbox>
            <w10:wrap type="topAndBottom" anchorx="page"/>
          </v:shape>
        </w:pict>
      </w:r>
    </w:p>
    <w:p w14:paraId="623AA7E8" w14:textId="77777777" w:rsidR="00894070" w:rsidRDefault="00894070">
      <w:pPr>
        <w:pStyle w:val="BodyText"/>
        <w:spacing w:before="6"/>
        <w:rPr>
          <w:sz w:val="19"/>
        </w:rPr>
      </w:pPr>
    </w:p>
    <w:p w14:paraId="7F4863B7" w14:textId="77777777" w:rsidR="00894070" w:rsidRDefault="009B7AFD">
      <w:pPr>
        <w:pStyle w:val="ListParagraph"/>
        <w:numPr>
          <w:ilvl w:val="1"/>
          <w:numId w:val="29"/>
        </w:numPr>
        <w:tabs>
          <w:tab w:val="left" w:pos="1801"/>
          <w:tab w:val="left" w:pos="1802"/>
        </w:tabs>
        <w:spacing w:before="89" w:line="206" w:lineRule="auto"/>
        <w:ind w:right="1165"/>
        <w:rPr>
          <w:sz w:val="11"/>
        </w:rPr>
      </w:pPr>
      <w:r>
        <w:rPr>
          <w:color w:val="231F20"/>
          <w:sz w:val="20"/>
        </w:rPr>
        <w:t xml:space="preserve">The lack of </w:t>
      </w:r>
      <w:r>
        <w:rPr>
          <w:color w:val="231F20"/>
          <w:spacing w:val="-3"/>
          <w:sz w:val="20"/>
        </w:rPr>
        <w:t xml:space="preserve">research </w:t>
      </w:r>
      <w:r>
        <w:rPr>
          <w:color w:val="231F20"/>
          <w:sz w:val="20"/>
        </w:rPr>
        <w:t xml:space="preserve">on </w:t>
      </w:r>
      <w:r>
        <w:rPr>
          <w:color w:val="231F20"/>
          <w:spacing w:val="-3"/>
          <w:sz w:val="20"/>
        </w:rPr>
        <w:t xml:space="preserve">effective treatment </w:t>
      </w:r>
      <w:r>
        <w:rPr>
          <w:color w:val="231F20"/>
          <w:sz w:val="20"/>
        </w:rPr>
        <w:t xml:space="preserve">is both surprising and concerning, </w:t>
      </w:r>
      <w:r>
        <w:rPr>
          <w:color w:val="231F20"/>
          <w:spacing w:val="-3"/>
          <w:sz w:val="20"/>
        </w:rPr>
        <w:t xml:space="preserve">given </w:t>
      </w:r>
      <w:r>
        <w:rPr>
          <w:color w:val="231F20"/>
          <w:sz w:val="20"/>
        </w:rPr>
        <w:t>certain</w:t>
      </w:r>
      <w:r>
        <w:rPr>
          <w:color w:val="231F20"/>
          <w:spacing w:val="-11"/>
          <w:sz w:val="20"/>
        </w:rPr>
        <w:t xml:space="preserve"> </w:t>
      </w:r>
      <w:r>
        <w:rPr>
          <w:color w:val="231F20"/>
          <w:sz w:val="20"/>
        </w:rPr>
        <w:t>studies</w:t>
      </w:r>
      <w:r>
        <w:rPr>
          <w:color w:val="231F20"/>
          <w:spacing w:val="-10"/>
          <w:sz w:val="20"/>
        </w:rPr>
        <w:t xml:space="preserve"> </w:t>
      </w:r>
      <w:r>
        <w:rPr>
          <w:color w:val="231F20"/>
          <w:sz w:val="20"/>
        </w:rPr>
        <w:t>suggest</w:t>
      </w:r>
      <w:r>
        <w:rPr>
          <w:color w:val="231F20"/>
          <w:spacing w:val="-10"/>
          <w:sz w:val="20"/>
        </w:rPr>
        <w:t xml:space="preserve"> </w:t>
      </w:r>
      <w:r>
        <w:rPr>
          <w:color w:val="231F20"/>
          <w:sz w:val="20"/>
        </w:rPr>
        <w:t>the</w:t>
      </w:r>
      <w:r>
        <w:rPr>
          <w:color w:val="231F20"/>
          <w:spacing w:val="-10"/>
          <w:sz w:val="20"/>
        </w:rPr>
        <w:t xml:space="preserve"> </w:t>
      </w:r>
      <w:r>
        <w:rPr>
          <w:color w:val="231F20"/>
          <w:sz w:val="20"/>
        </w:rPr>
        <w:t>high</w:t>
      </w:r>
      <w:r>
        <w:rPr>
          <w:color w:val="231F20"/>
          <w:spacing w:val="-10"/>
          <w:sz w:val="20"/>
        </w:rPr>
        <w:t xml:space="preserve"> </w:t>
      </w:r>
      <w:r>
        <w:rPr>
          <w:color w:val="231F20"/>
          <w:sz w:val="20"/>
        </w:rPr>
        <w:t>re-offending</w:t>
      </w:r>
      <w:r>
        <w:rPr>
          <w:color w:val="231F20"/>
          <w:spacing w:val="-10"/>
          <w:sz w:val="20"/>
        </w:rPr>
        <w:t xml:space="preserve"> </w:t>
      </w:r>
      <w:r>
        <w:rPr>
          <w:color w:val="231F20"/>
          <w:spacing w:val="-3"/>
          <w:sz w:val="20"/>
        </w:rPr>
        <w:t>rates</w:t>
      </w:r>
      <w:r>
        <w:rPr>
          <w:color w:val="231F20"/>
          <w:spacing w:val="-10"/>
          <w:sz w:val="20"/>
        </w:rPr>
        <w:t xml:space="preserve"> </w:t>
      </w:r>
      <w:r>
        <w:rPr>
          <w:color w:val="231F20"/>
          <w:sz w:val="20"/>
        </w:rPr>
        <w:t>of</w:t>
      </w:r>
      <w:r>
        <w:rPr>
          <w:color w:val="231F20"/>
          <w:spacing w:val="-10"/>
          <w:sz w:val="20"/>
        </w:rPr>
        <w:t xml:space="preserve"> </w:t>
      </w:r>
      <w:r>
        <w:rPr>
          <w:color w:val="231F20"/>
          <w:sz w:val="20"/>
        </w:rPr>
        <w:t>those</w:t>
      </w:r>
      <w:r>
        <w:rPr>
          <w:color w:val="231F20"/>
          <w:spacing w:val="-10"/>
          <w:sz w:val="20"/>
        </w:rPr>
        <w:t xml:space="preserve"> </w:t>
      </w:r>
      <w:r>
        <w:rPr>
          <w:color w:val="231F20"/>
          <w:sz w:val="20"/>
        </w:rPr>
        <w:t>who</w:t>
      </w:r>
      <w:r>
        <w:rPr>
          <w:color w:val="231F20"/>
          <w:spacing w:val="-10"/>
          <w:sz w:val="20"/>
        </w:rPr>
        <w:t xml:space="preserve"> </w:t>
      </w:r>
      <w:r>
        <w:rPr>
          <w:color w:val="231F20"/>
          <w:sz w:val="20"/>
        </w:rPr>
        <w:t>stalk.</w:t>
      </w:r>
      <w:r>
        <w:rPr>
          <w:color w:val="231F20"/>
          <w:spacing w:val="-28"/>
          <w:sz w:val="20"/>
        </w:rPr>
        <w:t xml:space="preserve"> </w:t>
      </w:r>
      <w:r>
        <w:rPr>
          <w:color w:val="231F20"/>
          <w:spacing w:val="-6"/>
          <w:sz w:val="20"/>
        </w:rPr>
        <w:t>We</w:t>
      </w:r>
      <w:r>
        <w:rPr>
          <w:color w:val="231F20"/>
          <w:spacing w:val="-10"/>
          <w:sz w:val="20"/>
        </w:rPr>
        <w:t xml:space="preserve"> </w:t>
      </w:r>
      <w:r>
        <w:rPr>
          <w:color w:val="231F20"/>
          <w:sz w:val="20"/>
        </w:rPr>
        <w:t>consider</w:t>
      </w:r>
      <w:r>
        <w:rPr>
          <w:color w:val="231F20"/>
          <w:spacing w:val="-10"/>
          <w:sz w:val="20"/>
        </w:rPr>
        <w:t xml:space="preserve"> </w:t>
      </w:r>
      <w:r>
        <w:rPr>
          <w:color w:val="231F20"/>
          <w:sz w:val="20"/>
        </w:rPr>
        <w:t>this to</w:t>
      </w:r>
      <w:r>
        <w:rPr>
          <w:color w:val="231F20"/>
          <w:spacing w:val="-8"/>
          <w:sz w:val="20"/>
        </w:rPr>
        <w:t xml:space="preserve"> </w:t>
      </w:r>
      <w:r>
        <w:rPr>
          <w:color w:val="231F20"/>
          <w:sz w:val="20"/>
        </w:rPr>
        <w:t>be</w:t>
      </w:r>
      <w:r>
        <w:rPr>
          <w:color w:val="231F20"/>
          <w:spacing w:val="-8"/>
          <w:sz w:val="20"/>
        </w:rPr>
        <w:t xml:space="preserve"> </w:t>
      </w:r>
      <w:r>
        <w:rPr>
          <w:color w:val="231F20"/>
          <w:sz w:val="20"/>
        </w:rPr>
        <w:t>a</w:t>
      </w:r>
      <w:r>
        <w:rPr>
          <w:color w:val="231F20"/>
          <w:spacing w:val="-8"/>
          <w:sz w:val="20"/>
        </w:rPr>
        <w:t xml:space="preserve"> </w:t>
      </w:r>
      <w:r>
        <w:rPr>
          <w:color w:val="231F20"/>
          <w:sz w:val="20"/>
        </w:rPr>
        <w:t>priority</w:t>
      </w:r>
      <w:r>
        <w:rPr>
          <w:color w:val="231F20"/>
          <w:spacing w:val="-8"/>
          <w:sz w:val="20"/>
        </w:rPr>
        <w:t xml:space="preserve"> </w:t>
      </w:r>
      <w:r>
        <w:rPr>
          <w:color w:val="231F20"/>
          <w:sz w:val="20"/>
        </w:rPr>
        <w:t>area.</w:t>
      </w:r>
      <w:r>
        <w:rPr>
          <w:color w:val="231F20"/>
          <w:spacing w:val="-8"/>
          <w:sz w:val="20"/>
        </w:rPr>
        <w:t xml:space="preserve"> </w:t>
      </w:r>
      <w:r>
        <w:rPr>
          <w:color w:val="231F20"/>
          <w:sz w:val="20"/>
        </w:rPr>
        <w:t>There</w:t>
      </w:r>
      <w:r>
        <w:rPr>
          <w:color w:val="231F20"/>
          <w:spacing w:val="-8"/>
          <w:sz w:val="20"/>
        </w:rPr>
        <w:t xml:space="preserve"> </w:t>
      </w:r>
      <w:r>
        <w:rPr>
          <w:color w:val="231F20"/>
          <w:sz w:val="20"/>
        </w:rPr>
        <w:t>is</w:t>
      </w:r>
      <w:r>
        <w:rPr>
          <w:color w:val="231F20"/>
          <w:spacing w:val="-7"/>
          <w:sz w:val="20"/>
        </w:rPr>
        <w:t xml:space="preserve"> </w:t>
      </w:r>
      <w:r>
        <w:rPr>
          <w:color w:val="231F20"/>
          <w:sz w:val="20"/>
        </w:rPr>
        <w:t>a</w:t>
      </w:r>
      <w:r>
        <w:rPr>
          <w:color w:val="231F20"/>
          <w:spacing w:val="-8"/>
          <w:sz w:val="20"/>
        </w:rPr>
        <w:t xml:space="preserve"> </w:t>
      </w:r>
      <w:r>
        <w:rPr>
          <w:color w:val="231F20"/>
          <w:sz w:val="20"/>
        </w:rPr>
        <w:t>need</w:t>
      </w:r>
      <w:r>
        <w:rPr>
          <w:color w:val="231F20"/>
          <w:spacing w:val="-8"/>
          <w:sz w:val="20"/>
        </w:rPr>
        <w:t xml:space="preserve"> </w:t>
      </w:r>
      <w:r>
        <w:rPr>
          <w:color w:val="231F20"/>
          <w:spacing w:val="-3"/>
          <w:sz w:val="20"/>
        </w:rPr>
        <w:t>for</w:t>
      </w:r>
      <w:r>
        <w:rPr>
          <w:color w:val="231F20"/>
          <w:spacing w:val="-8"/>
          <w:sz w:val="20"/>
        </w:rPr>
        <w:t xml:space="preserve"> </w:t>
      </w:r>
      <w:r>
        <w:rPr>
          <w:color w:val="231F20"/>
          <w:spacing w:val="-3"/>
          <w:sz w:val="20"/>
        </w:rPr>
        <w:t>research</w:t>
      </w:r>
      <w:r>
        <w:rPr>
          <w:color w:val="231F20"/>
          <w:spacing w:val="-8"/>
          <w:sz w:val="20"/>
        </w:rPr>
        <w:t xml:space="preserve"> </w:t>
      </w:r>
      <w:r>
        <w:rPr>
          <w:color w:val="231F20"/>
          <w:spacing w:val="-3"/>
          <w:sz w:val="20"/>
        </w:rPr>
        <w:t>into</w:t>
      </w:r>
      <w:r>
        <w:rPr>
          <w:color w:val="231F20"/>
          <w:spacing w:val="-8"/>
          <w:sz w:val="20"/>
        </w:rPr>
        <w:t xml:space="preserve"> </w:t>
      </w:r>
      <w:r>
        <w:rPr>
          <w:color w:val="231F20"/>
          <w:sz w:val="20"/>
        </w:rPr>
        <w:t>the</w:t>
      </w:r>
      <w:r>
        <w:rPr>
          <w:color w:val="231F20"/>
          <w:spacing w:val="-7"/>
          <w:sz w:val="20"/>
        </w:rPr>
        <w:t xml:space="preserve"> </w:t>
      </w:r>
      <w:r>
        <w:rPr>
          <w:color w:val="231F20"/>
          <w:sz w:val="20"/>
        </w:rPr>
        <w:t>effectiveness</w:t>
      </w:r>
      <w:r>
        <w:rPr>
          <w:color w:val="231F20"/>
          <w:spacing w:val="-8"/>
          <w:sz w:val="20"/>
        </w:rPr>
        <w:t xml:space="preserve"> </w:t>
      </w:r>
      <w:r>
        <w:rPr>
          <w:color w:val="231F20"/>
          <w:sz w:val="20"/>
        </w:rPr>
        <w:t>of</w:t>
      </w:r>
      <w:r>
        <w:rPr>
          <w:color w:val="231F20"/>
          <w:spacing w:val="-8"/>
          <w:sz w:val="20"/>
        </w:rPr>
        <w:t xml:space="preserve"> </w:t>
      </w:r>
      <w:r>
        <w:rPr>
          <w:color w:val="231F20"/>
          <w:spacing w:val="-3"/>
          <w:sz w:val="20"/>
        </w:rPr>
        <w:t>treatment</w:t>
      </w:r>
      <w:r>
        <w:rPr>
          <w:color w:val="231F20"/>
          <w:spacing w:val="-8"/>
          <w:sz w:val="20"/>
        </w:rPr>
        <w:t xml:space="preserve"> </w:t>
      </w:r>
      <w:r>
        <w:rPr>
          <w:color w:val="231F20"/>
          <w:sz w:val="20"/>
        </w:rPr>
        <w:t>and an evidence-informed therapeutic response to</w:t>
      </w:r>
      <w:r>
        <w:rPr>
          <w:color w:val="231F20"/>
          <w:spacing w:val="-25"/>
          <w:sz w:val="20"/>
        </w:rPr>
        <w:t xml:space="preserve"> </w:t>
      </w:r>
      <w:r>
        <w:rPr>
          <w:color w:val="231F20"/>
          <w:sz w:val="20"/>
        </w:rPr>
        <w:t>stalking.</w:t>
      </w:r>
      <w:r>
        <w:rPr>
          <w:color w:val="231F20"/>
          <w:position w:val="7"/>
          <w:sz w:val="11"/>
        </w:rPr>
        <w:t>49</w:t>
      </w:r>
    </w:p>
    <w:p w14:paraId="17266E07" w14:textId="77777777" w:rsidR="00894070" w:rsidRDefault="00894070">
      <w:pPr>
        <w:pStyle w:val="BodyText"/>
      </w:pPr>
    </w:p>
    <w:p w14:paraId="3857B07A" w14:textId="77777777" w:rsidR="00894070" w:rsidRDefault="009F6793">
      <w:pPr>
        <w:pStyle w:val="BodyText"/>
        <w:spacing w:before="3"/>
        <w:rPr>
          <w:sz w:val="19"/>
        </w:rPr>
      </w:pPr>
      <w:r>
        <w:pict w14:anchorId="7C786EC5">
          <v:line id="_x0000_s1090" style="position:absolute;z-index:251768832;mso-wrap-distance-left:0;mso-wrap-distance-right:0;mso-position-horizontal-relative:page" from="79.35pt,15.8pt" to="515.9pt,15.8pt" strokecolor="#f8cabc" strokeweight="1pt">
            <w10:wrap type="topAndBottom" anchorx="page"/>
          </v:line>
        </w:pict>
      </w:r>
    </w:p>
    <w:p w14:paraId="1719F910" w14:textId="77777777" w:rsidR="00894070" w:rsidRDefault="00894070">
      <w:pPr>
        <w:pStyle w:val="BodyText"/>
        <w:rPr>
          <w:sz w:val="5"/>
        </w:rPr>
      </w:pPr>
    </w:p>
    <w:p w14:paraId="5A748BE4" w14:textId="77777777" w:rsidR="00894070" w:rsidRDefault="00894070">
      <w:pPr>
        <w:rPr>
          <w:sz w:val="5"/>
        </w:rPr>
        <w:sectPr w:rsidR="00894070">
          <w:pgSz w:w="11910" w:h="16840"/>
          <w:pgMar w:top="840" w:right="420" w:bottom="280" w:left="580" w:header="0" w:footer="0" w:gutter="0"/>
          <w:cols w:space="720"/>
        </w:sectPr>
      </w:pPr>
    </w:p>
    <w:p w14:paraId="442782B1" w14:textId="77777777" w:rsidR="00894070" w:rsidRDefault="009B7AFD">
      <w:pPr>
        <w:pStyle w:val="ListParagraph"/>
        <w:numPr>
          <w:ilvl w:val="0"/>
          <w:numId w:val="27"/>
        </w:numPr>
        <w:tabs>
          <w:tab w:val="left" w:pos="1800"/>
          <w:tab w:val="left" w:pos="1802"/>
        </w:tabs>
        <w:spacing w:before="21" w:line="170" w:lineRule="exact"/>
        <w:jc w:val="left"/>
        <w:rPr>
          <w:sz w:val="13"/>
        </w:rPr>
      </w:pPr>
      <w:r>
        <w:rPr>
          <w:color w:val="231F20"/>
          <w:sz w:val="13"/>
        </w:rPr>
        <w:t>Consultation 15 (Forensicare (No</w:t>
      </w:r>
      <w:r>
        <w:rPr>
          <w:color w:val="231F20"/>
          <w:spacing w:val="1"/>
          <w:sz w:val="13"/>
        </w:rPr>
        <w:t xml:space="preserve"> </w:t>
      </w:r>
      <w:r>
        <w:rPr>
          <w:color w:val="231F20"/>
          <w:sz w:val="13"/>
        </w:rPr>
        <w:t>1)).</w:t>
      </w:r>
    </w:p>
    <w:p w14:paraId="3ACDAA7A" w14:textId="77777777" w:rsidR="00894070" w:rsidRDefault="009B7AFD">
      <w:pPr>
        <w:pStyle w:val="ListParagraph"/>
        <w:numPr>
          <w:ilvl w:val="0"/>
          <w:numId w:val="27"/>
        </w:numPr>
        <w:tabs>
          <w:tab w:val="left" w:pos="1801"/>
          <w:tab w:val="left" w:pos="1802"/>
        </w:tabs>
        <w:spacing w:before="7" w:line="213" w:lineRule="auto"/>
        <w:ind w:right="38"/>
        <w:jc w:val="left"/>
        <w:rPr>
          <w:sz w:val="13"/>
        </w:rPr>
      </w:pPr>
      <w:r>
        <w:rPr>
          <w:color w:val="231F20"/>
          <w:sz w:val="13"/>
        </w:rPr>
        <w:t xml:space="preserve">Rachel D MacKenzie and David V James, </w:t>
      </w:r>
      <w:r>
        <w:rPr>
          <w:color w:val="231F20"/>
          <w:spacing w:val="2"/>
          <w:sz w:val="13"/>
        </w:rPr>
        <w:t xml:space="preserve">‘Management </w:t>
      </w:r>
      <w:r>
        <w:rPr>
          <w:color w:val="231F20"/>
          <w:sz w:val="13"/>
        </w:rPr>
        <w:t xml:space="preserve">and Treatment of Stalkers: Problems, Options, and Solutions’ </w:t>
      </w:r>
      <w:r>
        <w:rPr>
          <w:color w:val="231F20"/>
          <w:spacing w:val="2"/>
          <w:sz w:val="13"/>
        </w:rPr>
        <w:t xml:space="preserve">(2011)     29(2) </w:t>
      </w:r>
      <w:r>
        <w:rPr>
          <w:i/>
          <w:color w:val="231F20"/>
          <w:sz w:val="13"/>
        </w:rPr>
        <w:t xml:space="preserve">Behavioral Sciences &amp; the Law </w:t>
      </w:r>
      <w:r>
        <w:rPr>
          <w:color w:val="231F20"/>
          <w:sz w:val="13"/>
        </w:rPr>
        <w:t xml:space="preserve">220; </w:t>
      </w:r>
      <w:r>
        <w:rPr>
          <w:color w:val="231F20"/>
          <w:spacing w:val="-3"/>
          <w:sz w:val="13"/>
        </w:rPr>
        <w:t xml:space="preserve">Troy </w:t>
      </w:r>
      <w:r>
        <w:rPr>
          <w:color w:val="231F20"/>
          <w:sz w:val="13"/>
        </w:rPr>
        <w:t xml:space="preserve">E McEwan and </w:t>
      </w:r>
      <w:r>
        <w:rPr>
          <w:color w:val="231F20"/>
          <w:spacing w:val="2"/>
          <w:sz w:val="13"/>
        </w:rPr>
        <w:t xml:space="preserve">Susanne </w:t>
      </w:r>
      <w:r>
        <w:rPr>
          <w:color w:val="231F20"/>
          <w:sz w:val="13"/>
        </w:rPr>
        <w:t xml:space="preserve">Strand, ‘The Role of Psychopathology in Stalking by Adult Strangers and Acquaintances’ (2013) 47(6) </w:t>
      </w:r>
      <w:r>
        <w:rPr>
          <w:i/>
          <w:color w:val="231F20"/>
          <w:sz w:val="13"/>
        </w:rPr>
        <w:t xml:space="preserve">Australian and New Zealand Journal of Psychiatry </w:t>
      </w:r>
      <w:r>
        <w:rPr>
          <w:color w:val="231F20"/>
          <w:sz w:val="13"/>
        </w:rPr>
        <w:t>546,</w:t>
      </w:r>
      <w:r>
        <w:rPr>
          <w:color w:val="231F20"/>
          <w:spacing w:val="25"/>
          <w:sz w:val="13"/>
        </w:rPr>
        <w:t xml:space="preserve"> </w:t>
      </w:r>
      <w:r>
        <w:rPr>
          <w:color w:val="231F20"/>
          <w:spacing w:val="2"/>
          <w:sz w:val="13"/>
        </w:rPr>
        <w:t>553.</w:t>
      </w:r>
    </w:p>
    <w:p w14:paraId="7F11CC8E" w14:textId="77777777" w:rsidR="00894070" w:rsidRDefault="009B7AFD">
      <w:pPr>
        <w:pStyle w:val="ListParagraph"/>
        <w:numPr>
          <w:ilvl w:val="0"/>
          <w:numId w:val="27"/>
        </w:numPr>
        <w:tabs>
          <w:tab w:val="left" w:pos="1801"/>
          <w:tab w:val="left" w:pos="1802"/>
        </w:tabs>
        <w:spacing w:line="152" w:lineRule="exact"/>
        <w:jc w:val="left"/>
        <w:rPr>
          <w:sz w:val="13"/>
        </w:rPr>
      </w:pPr>
      <w:r>
        <w:rPr>
          <w:color w:val="231F20"/>
          <w:spacing w:val="2"/>
          <w:sz w:val="13"/>
        </w:rPr>
        <w:t>Rosemary</w:t>
      </w:r>
      <w:r>
        <w:rPr>
          <w:color w:val="231F20"/>
          <w:spacing w:val="6"/>
          <w:sz w:val="13"/>
        </w:rPr>
        <w:t xml:space="preserve"> </w:t>
      </w:r>
      <w:r>
        <w:rPr>
          <w:color w:val="231F20"/>
          <w:sz w:val="13"/>
        </w:rPr>
        <w:t>Purcell</w:t>
      </w:r>
      <w:r>
        <w:rPr>
          <w:color w:val="231F20"/>
          <w:spacing w:val="7"/>
          <w:sz w:val="13"/>
        </w:rPr>
        <w:t xml:space="preserve"> </w:t>
      </w:r>
      <w:r>
        <w:rPr>
          <w:color w:val="231F20"/>
          <w:sz w:val="13"/>
        </w:rPr>
        <w:t>and</w:t>
      </w:r>
      <w:r>
        <w:rPr>
          <w:color w:val="231F20"/>
          <w:spacing w:val="6"/>
          <w:sz w:val="13"/>
        </w:rPr>
        <w:t xml:space="preserve"> </w:t>
      </w:r>
      <w:r>
        <w:rPr>
          <w:color w:val="231F20"/>
          <w:spacing w:val="-3"/>
          <w:sz w:val="13"/>
        </w:rPr>
        <w:t>Troy</w:t>
      </w:r>
      <w:r>
        <w:rPr>
          <w:color w:val="231F20"/>
          <w:spacing w:val="7"/>
          <w:sz w:val="13"/>
        </w:rPr>
        <w:t xml:space="preserve"> </w:t>
      </w:r>
      <w:r>
        <w:rPr>
          <w:color w:val="231F20"/>
          <w:sz w:val="13"/>
        </w:rPr>
        <w:t>McEwan,</w:t>
      </w:r>
      <w:r>
        <w:rPr>
          <w:color w:val="231F20"/>
          <w:spacing w:val="6"/>
          <w:sz w:val="13"/>
        </w:rPr>
        <w:t xml:space="preserve"> </w:t>
      </w:r>
      <w:r>
        <w:rPr>
          <w:color w:val="231F20"/>
          <w:sz w:val="13"/>
        </w:rPr>
        <w:t>‘Treatment</w:t>
      </w:r>
      <w:r>
        <w:rPr>
          <w:color w:val="231F20"/>
          <w:spacing w:val="7"/>
          <w:sz w:val="13"/>
        </w:rPr>
        <w:t xml:space="preserve"> </w:t>
      </w:r>
      <w:r>
        <w:rPr>
          <w:color w:val="231F20"/>
          <w:sz w:val="13"/>
        </w:rPr>
        <w:t>Approaches</w:t>
      </w:r>
      <w:r>
        <w:rPr>
          <w:color w:val="231F20"/>
          <w:spacing w:val="6"/>
          <w:sz w:val="13"/>
        </w:rPr>
        <w:t xml:space="preserve"> </w:t>
      </w:r>
      <w:r>
        <w:rPr>
          <w:color w:val="231F20"/>
          <w:sz w:val="13"/>
        </w:rPr>
        <w:t>for</w:t>
      </w:r>
      <w:r>
        <w:rPr>
          <w:color w:val="231F20"/>
          <w:spacing w:val="7"/>
          <w:sz w:val="13"/>
        </w:rPr>
        <w:t xml:space="preserve"> </w:t>
      </w:r>
      <w:r>
        <w:rPr>
          <w:color w:val="231F20"/>
          <w:sz w:val="13"/>
        </w:rPr>
        <w:t>Stalking’</w:t>
      </w:r>
      <w:r>
        <w:rPr>
          <w:color w:val="231F20"/>
          <w:spacing w:val="6"/>
          <w:sz w:val="13"/>
        </w:rPr>
        <w:t xml:space="preserve"> </w:t>
      </w:r>
      <w:r>
        <w:rPr>
          <w:color w:val="231F20"/>
          <w:sz w:val="13"/>
        </w:rPr>
        <w:t>in</w:t>
      </w:r>
      <w:r>
        <w:rPr>
          <w:color w:val="231F20"/>
          <w:spacing w:val="7"/>
          <w:sz w:val="13"/>
        </w:rPr>
        <w:t xml:space="preserve"> </w:t>
      </w:r>
      <w:r>
        <w:rPr>
          <w:color w:val="231F20"/>
          <w:sz w:val="13"/>
        </w:rPr>
        <w:t>Jane</w:t>
      </w:r>
      <w:r>
        <w:rPr>
          <w:color w:val="231F20"/>
          <w:spacing w:val="6"/>
          <w:sz w:val="13"/>
        </w:rPr>
        <w:t xml:space="preserve"> </w:t>
      </w:r>
      <w:r>
        <w:rPr>
          <w:color w:val="231F20"/>
          <w:sz w:val="13"/>
        </w:rPr>
        <w:t>L</w:t>
      </w:r>
      <w:r>
        <w:rPr>
          <w:color w:val="231F20"/>
          <w:spacing w:val="7"/>
          <w:sz w:val="13"/>
        </w:rPr>
        <w:t xml:space="preserve"> </w:t>
      </w:r>
      <w:r>
        <w:rPr>
          <w:color w:val="231F20"/>
          <w:sz w:val="13"/>
        </w:rPr>
        <w:t>Ireland,</w:t>
      </w:r>
      <w:r>
        <w:rPr>
          <w:color w:val="231F20"/>
          <w:spacing w:val="6"/>
          <w:sz w:val="13"/>
        </w:rPr>
        <w:t xml:space="preserve"> </w:t>
      </w:r>
      <w:r>
        <w:rPr>
          <w:color w:val="231F20"/>
          <w:sz w:val="13"/>
        </w:rPr>
        <w:t>Carol</w:t>
      </w:r>
      <w:r>
        <w:rPr>
          <w:color w:val="231F20"/>
          <w:spacing w:val="7"/>
          <w:sz w:val="13"/>
        </w:rPr>
        <w:t xml:space="preserve"> </w:t>
      </w:r>
      <w:r>
        <w:rPr>
          <w:color w:val="231F20"/>
          <w:sz w:val="13"/>
        </w:rPr>
        <w:t>A</w:t>
      </w:r>
      <w:r>
        <w:rPr>
          <w:color w:val="231F20"/>
          <w:spacing w:val="6"/>
          <w:sz w:val="13"/>
        </w:rPr>
        <w:t xml:space="preserve"> </w:t>
      </w:r>
      <w:r>
        <w:rPr>
          <w:color w:val="231F20"/>
          <w:sz w:val="13"/>
        </w:rPr>
        <w:t>Ireland</w:t>
      </w:r>
      <w:r>
        <w:rPr>
          <w:color w:val="231F20"/>
          <w:spacing w:val="7"/>
          <w:sz w:val="13"/>
        </w:rPr>
        <w:t xml:space="preserve"> </w:t>
      </w:r>
      <w:r>
        <w:rPr>
          <w:color w:val="231F20"/>
          <w:sz w:val="13"/>
        </w:rPr>
        <w:t>and</w:t>
      </w:r>
      <w:r>
        <w:rPr>
          <w:color w:val="231F20"/>
          <w:spacing w:val="7"/>
          <w:sz w:val="13"/>
        </w:rPr>
        <w:t xml:space="preserve"> </w:t>
      </w:r>
      <w:r>
        <w:rPr>
          <w:color w:val="231F20"/>
          <w:sz w:val="13"/>
        </w:rPr>
        <w:t>Philip</w:t>
      </w:r>
      <w:r>
        <w:rPr>
          <w:color w:val="231F20"/>
          <w:spacing w:val="6"/>
          <w:sz w:val="13"/>
        </w:rPr>
        <w:t xml:space="preserve"> </w:t>
      </w:r>
      <w:r>
        <w:rPr>
          <w:color w:val="231F20"/>
          <w:sz w:val="13"/>
        </w:rPr>
        <w:t>Birch</w:t>
      </w:r>
      <w:r>
        <w:rPr>
          <w:color w:val="231F20"/>
          <w:spacing w:val="7"/>
          <w:sz w:val="13"/>
        </w:rPr>
        <w:t xml:space="preserve"> </w:t>
      </w:r>
      <w:r>
        <w:rPr>
          <w:color w:val="231F20"/>
          <w:sz w:val="13"/>
        </w:rPr>
        <w:t>(eds),</w:t>
      </w:r>
    </w:p>
    <w:p w14:paraId="68E1534D" w14:textId="77777777" w:rsidR="00894070" w:rsidRDefault="009B7AFD">
      <w:pPr>
        <w:spacing w:line="160" w:lineRule="exact"/>
        <w:ind w:left="1801"/>
        <w:rPr>
          <w:sz w:val="13"/>
        </w:rPr>
      </w:pPr>
      <w:r>
        <w:rPr>
          <w:i/>
          <w:color w:val="231F20"/>
          <w:sz w:val="13"/>
        </w:rPr>
        <w:t xml:space="preserve">Violent and Sexual Offenders: Assessment, Treatment and Management </w:t>
      </w:r>
      <w:r>
        <w:rPr>
          <w:color w:val="231F20"/>
          <w:sz w:val="13"/>
        </w:rPr>
        <w:t>(Routledge, 2nd ed, 2018) 400.</w:t>
      </w:r>
    </w:p>
    <w:p w14:paraId="2745AA95" w14:textId="77777777" w:rsidR="00894070" w:rsidRDefault="009B7AFD">
      <w:pPr>
        <w:pStyle w:val="ListParagraph"/>
        <w:numPr>
          <w:ilvl w:val="0"/>
          <w:numId w:val="27"/>
        </w:numPr>
        <w:tabs>
          <w:tab w:val="left" w:pos="1800"/>
          <w:tab w:val="left" w:pos="1802"/>
        </w:tabs>
        <w:spacing w:line="160" w:lineRule="exact"/>
        <w:jc w:val="left"/>
        <w:rPr>
          <w:sz w:val="13"/>
        </w:rPr>
      </w:pPr>
      <w:r>
        <w:rPr>
          <w:color w:val="231F20"/>
          <w:sz w:val="13"/>
        </w:rPr>
        <w:t xml:space="preserve">Ibid </w:t>
      </w:r>
      <w:r>
        <w:rPr>
          <w:color w:val="231F20"/>
          <w:spacing w:val="2"/>
          <w:sz w:val="13"/>
        </w:rPr>
        <w:t>505.</w:t>
      </w:r>
    </w:p>
    <w:p w14:paraId="36ADE867" w14:textId="77777777" w:rsidR="00894070" w:rsidRDefault="009B7AFD">
      <w:pPr>
        <w:pStyle w:val="ListParagraph"/>
        <w:numPr>
          <w:ilvl w:val="0"/>
          <w:numId w:val="27"/>
        </w:numPr>
        <w:tabs>
          <w:tab w:val="left" w:pos="1800"/>
          <w:tab w:val="left" w:pos="1802"/>
        </w:tabs>
        <w:spacing w:before="6" w:line="213" w:lineRule="auto"/>
        <w:ind w:right="238"/>
        <w:jc w:val="left"/>
        <w:rPr>
          <w:sz w:val="13"/>
        </w:rPr>
      </w:pPr>
      <w:r>
        <w:rPr>
          <w:color w:val="231F20"/>
          <w:spacing w:val="2"/>
          <w:sz w:val="13"/>
        </w:rPr>
        <w:t xml:space="preserve">Barry </w:t>
      </w:r>
      <w:r>
        <w:rPr>
          <w:color w:val="231F20"/>
          <w:sz w:val="13"/>
        </w:rPr>
        <w:t xml:space="preserve">Rosenfeld et </w:t>
      </w:r>
      <w:r>
        <w:rPr>
          <w:color w:val="231F20"/>
          <w:spacing w:val="2"/>
          <w:sz w:val="13"/>
        </w:rPr>
        <w:t xml:space="preserve">al, ‘Dialectical </w:t>
      </w:r>
      <w:r>
        <w:rPr>
          <w:color w:val="231F20"/>
          <w:sz w:val="13"/>
        </w:rPr>
        <w:t xml:space="preserve">Behavior Therapy (DBT) for the Treatment of Stalking Offenders: A Randomized Controlled Study’ (2019) 43(4) </w:t>
      </w:r>
      <w:r>
        <w:rPr>
          <w:i/>
          <w:color w:val="231F20"/>
          <w:sz w:val="13"/>
        </w:rPr>
        <w:t xml:space="preserve">Law and Human Behavior </w:t>
      </w:r>
      <w:r>
        <w:rPr>
          <w:color w:val="231F20"/>
          <w:sz w:val="13"/>
        </w:rPr>
        <w:t>319,</w:t>
      </w:r>
      <w:r>
        <w:rPr>
          <w:color w:val="231F20"/>
          <w:spacing w:val="2"/>
          <w:sz w:val="13"/>
        </w:rPr>
        <w:t xml:space="preserve"> </w:t>
      </w:r>
      <w:r>
        <w:rPr>
          <w:color w:val="231F20"/>
          <w:sz w:val="13"/>
        </w:rPr>
        <w:t>320.</w:t>
      </w:r>
    </w:p>
    <w:p w14:paraId="48B97BD4" w14:textId="77777777" w:rsidR="00894070" w:rsidRDefault="009B7AFD">
      <w:pPr>
        <w:pStyle w:val="ListParagraph"/>
        <w:numPr>
          <w:ilvl w:val="0"/>
          <w:numId w:val="27"/>
        </w:numPr>
        <w:tabs>
          <w:tab w:val="left" w:pos="1801"/>
          <w:tab w:val="left" w:pos="1802"/>
        </w:tabs>
        <w:spacing w:line="153" w:lineRule="exact"/>
        <w:jc w:val="left"/>
        <w:rPr>
          <w:sz w:val="13"/>
        </w:rPr>
      </w:pPr>
      <w:r>
        <w:rPr>
          <w:color w:val="231F20"/>
          <w:spacing w:val="2"/>
          <w:sz w:val="13"/>
        </w:rPr>
        <w:t>Rosemary</w:t>
      </w:r>
      <w:r>
        <w:rPr>
          <w:color w:val="231F20"/>
          <w:spacing w:val="6"/>
          <w:sz w:val="13"/>
        </w:rPr>
        <w:t xml:space="preserve"> </w:t>
      </w:r>
      <w:r>
        <w:rPr>
          <w:color w:val="231F20"/>
          <w:sz w:val="13"/>
        </w:rPr>
        <w:t>Purcell</w:t>
      </w:r>
      <w:r>
        <w:rPr>
          <w:color w:val="231F20"/>
          <w:spacing w:val="7"/>
          <w:sz w:val="13"/>
        </w:rPr>
        <w:t xml:space="preserve"> </w:t>
      </w:r>
      <w:r>
        <w:rPr>
          <w:color w:val="231F20"/>
          <w:sz w:val="13"/>
        </w:rPr>
        <w:t>and</w:t>
      </w:r>
      <w:r>
        <w:rPr>
          <w:color w:val="231F20"/>
          <w:spacing w:val="6"/>
          <w:sz w:val="13"/>
        </w:rPr>
        <w:t xml:space="preserve"> </w:t>
      </w:r>
      <w:r>
        <w:rPr>
          <w:color w:val="231F20"/>
          <w:spacing w:val="-3"/>
          <w:sz w:val="13"/>
        </w:rPr>
        <w:t>Troy</w:t>
      </w:r>
      <w:r>
        <w:rPr>
          <w:color w:val="231F20"/>
          <w:spacing w:val="7"/>
          <w:sz w:val="13"/>
        </w:rPr>
        <w:t xml:space="preserve"> </w:t>
      </w:r>
      <w:r>
        <w:rPr>
          <w:color w:val="231F20"/>
          <w:sz w:val="13"/>
        </w:rPr>
        <w:t>McEwan,</w:t>
      </w:r>
      <w:r>
        <w:rPr>
          <w:color w:val="231F20"/>
          <w:spacing w:val="6"/>
          <w:sz w:val="13"/>
        </w:rPr>
        <w:t xml:space="preserve"> </w:t>
      </w:r>
      <w:r>
        <w:rPr>
          <w:color w:val="231F20"/>
          <w:sz w:val="13"/>
        </w:rPr>
        <w:t>‘Treatment</w:t>
      </w:r>
      <w:r>
        <w:rPr>
          <w:color w:val="231F20"/>
          <w:spacing w:val="7"/>
          <w:sz w:val="13"/>
        </w:rPr>
        <w:t xml:space="preserve"> </w:t>
      </w:r>
      <w:r>
        <w:rPr>
          <w:color w:val="231F20"/>
          <w:sz w:val="13"/>
        </w:rPr>
        <w:t>Approaches</w:t>
      </w:r>
      <w:r>
        <w:rPr>
          <w:color w:val="231F20"/>
          <w:spacing w:val="6"/>
          <w:sz w:val="13"/>
        </w:rPr>
        <w:t xml:space="preserve"> </w:t>
      </w:r>
      <w:r>
        <w:rPr>
          <w:color w:val="231F20"/>
          <w:sz w:val="13"/>
        </w:rPr>
        <w:t>for</w:t>
      </w:r>
      <w:r>
        <w:rPr>
          <w:color w:val="231F20"/>
          <w:spacing w:val="7"/>
          <w:sz w:val="13"/>
        </w:rPr>
        <w:t xml:space="preserve"> </w:t>
      </w:r>
      <w:r>
        <w:rPr>
          <w:color w:val="231F20"/>
          <w:sz w:val="13"/>
        </w:rPr>
        <w:t>Stalking’</w:t>
      </w:r>
      <w:r>
        <w:rPr>
          <w:color w:val="231F20"/>
          <w:spacing w:val="6"/>
          <w:sz w:val="13"/>
        </w:rPr>
        <w:t xml:space="preserve"> </w:t>
      </w:r>
      <w:r>
        <w:rPr>
          <w:color w:val="231F20"/>
          <w:sz w:val="13"/>
        </w:rPr>
        <w:t>in</w:t>
      </w:r>
      <w:r>
        <w:rPr>
          <w:color w:val="231F20"/>
          <w:spacing w:val="7"/>
          <w:sz w:val="13"/>
        </w:rPr>
        <w:t xml:space="preserve"> </w:t>
      </w:r>
      <w:r>
        <w:rPr>
          <w:color w:val="231F20"/>
          <w:sz w:val="13"/>
        </w:rPr>
        <w:t>Jane</w:t>
      </w:r>
      <w:r>
        <w:rPr>
          <w:color w:val="231F20"/>
          <w:spacing w:val="6"/>
          <w:sz w:val="13"/>
        </w:rPr>
        <w:t xml:space="preserve"> </w:t>
      </w:r>
      <w:r>
        <w:rPr>
          <w:color w:val="231F20"/>
          <w:sz w:val="13"/>
        </w:rPr>
        <w:t>L</w:t>
      </w:r>
      <w:r>
        <w:rPr>
          <w:color w:val="231F20"/>
          <w:spacing w:val="7"/>
          <w:sz w:val="13"/>
        </w:rPr>
        <w:t xml:space="preserve"> </w:t>
      </w:r>
      <w:r>
        <w:rPr>
          <w:color w:val="231F20"/>
          <w:sz w:val="13"/>
        </w:rPr>
        <w:t>Ireland,</w:t>
      </w:r>
      <w:r>
        <w:rPr>
          <w:color w:val="231F20"/>
          <w:spacing w:val="6"/>
          <w:sz w:val="13"/>
        </w:rPr>
        <w:t xml:space="preserve"> </w:t>
      </w:r>
      <w:r>
        <w:rPr>
          <w:color w:val="231F20"/>
          <w:sz w:val="13"/>
        </w:rPr>
        <w:t>Carol</w:t>
      </w:r>
      <w:r>
        <w:rPr>
          <w:color w:val="231F20"/>
          <w:spacing w:val="7"/>
          <w:sz w:val="13"/>
        </w:rPr>
        <w:t xml:space="preserve"> </w:t>
      </w:r>
      <w:r>
        <w:rPr>
          <w:color w:val="231F20"/>
          <w:sz w:val="13"/>
        </w:rPr>
        <w:t>A</w:t>
      </w:r>
      <w:r>
        <w:rPr>
          <w:color w:val="231F20"/>
          <w:spacing w:val="6"/>
          <w:sz w:val="13"/>
        </w:rPr>
        <w:t xml:space="preserve"> </w:t>
      </w:r>
      <w:r>
        <w:rPr>
          <w:color w:val="231F20"/>
          <w:sz w:val="13"/>
        </w:rPr>
        <w:t>Ireland</w:t>
      </w:r>
      <w:r>
        <w:rPr>
          <w:color w:val="231F20"/>
          <w:spacing w:val="7"/>
          <w:sz w:val="13"/>
        </w:rPr>
        <w:t xml:space="preserve"> </w:t>
      </w:r>
      <w:r>
        <w:rPr>
          <w:color w:val="231F20"/>
          <w:sz w:val="13"/>
        </w:rPr>
        <w:t>and</w:t>
      </w:r>
      <w:r>
        <w:rPr>
          <w:color w:val="231F20"/>
          <w:spacing w:val="7"/>
          <w:sz w:val="13"/>
        </w:rPr>
        <w:t xml:space="preserve"> </w:t>
      </w:r>
      <w:r>
        <w:rPr>
          <w:color w:val="231F20"/>
          <w:sz w:val="13"/>
        </w:rPr>
        <w:t>Philip</w:t>
      </w:r>
      <w:r>
        <w:rPr>
          <w:color w:val="231F20"/>
          <w:spacing w:val="6"/>
          <w:sz w:val="13"/>
        </w:rPr>
        <w:t xml:space="preserve"> </w:t>
      </w:r>
      <w:r>
        <w:rPr>
          <w:color w:val="231F20"/>
          <w:sz w:val="13"/>
        </w:rPr>
        <w:t>Birch</w:t>
      </w:r>
      <w:r>
        <w:rPr>
          <w:color w:val="231F20"/>
          <w:spacing w:val="7"/>
          <w:sz w:val="13"/>
        </w:rPr>
        <w:t xml:space="preserve"> </w:t>
      </w:r>
      <w:r>
        <w:rPr>
          <w:color w:val="231F20"/>
          <w:sz w:val="13"/>
        </w:rPr>
        <w:t>(eds),</w:t>
      </w:r>
    </w:p>
    <w:p w14:paraId="0ED047A4" w14:textId="77777777" w:rsidR="00894070" w:rsidRDefault="009B7AFD">
      <w:pPr>
        <w:spacing w:line="160" w:lineRule="exact"/>
        <w:ind w:left="1801"/>
        <w:rPr>
          <w:sz w:val="13"/>
        </w:rPr>
      </w:pPr>
      <w:r>
        <w:rPr>
          <w:i/>
          <w:color w:val="231F20"/>
          <w:sz w:val="13"/>
        </w:rPr>
        <w:t xml:space="preserve">Violent and Sexual Offenders: Assessment, Treatment and Management </w:t>
      </w:r>
      <w:r>
        <w:rPr>
          <w:color w:val="231F20"/>
          <w:sz w:val="13"/>
        </w:rPr>
        <w:t>(Routledge, 2nd ed, 2018) 400, 505.</w:t>
      </w:r>
    </w:p>
    <w:p w14:paraId="675906F6" w14:textId="77777777" w:rsidR="00894070" w:rsidRDefault="009B7AFD">
      <w:pPr>
        <w:pStyle w:val="ListParagraph"/>
        <w:numPr>
          <w:ilvl w:val="0"/>
          <w:numId w:val="27"/>
        </w:numPr>
        <w:tabs>
          <w:tab w:val="left" w:pos="1801"/>
          <w:tab w:val="left" w:pos="1802"/>
        </w:tabs>
        <w:spacing w:line="160" w:lineRule="exact"/>
        <w:jc w:val="left"/>
        <w:rPr>
          <w:sz w:val="13"/>
        </w:rPr>
      </w:pPr>
      <w:r>
        <w:rPr>
          <w:color w:val="231F20"/>
          <w:spacing w:val="2"/>
          <w:sz w:val="13"/>
        </w:rPr>
        <w:t xml:space="preserve">Submission </w:t>
      </w:r>
      <w:r>
        <w:rPr>
          <w:color w:val="231F20"/>
          <w:sz w:val="13"/>
        </w:rPr>
        <w:t>32 (Centre for Forensic Behavioural Science); Consultation 15 (Forensicare (No</w:t>
      </w:r>
      <w:r>
        <w:rPr>
          <w:color w:val="231F20"/>
          <w:spacing w:val="14"/>
          <w:sz w:val="13"/>
        </w:rPr>
        <w:t xml:space="preserve"> </w:t>
      </w:r>
      <w:r>
        <w:rPr>
          <w:color w:val="231F20"/>
          <w:sz w:val="13"/>
        </w:rPr>
        <w:t>1)).</w:t>
      </w:r>
    </w:p>
    <w:p w14:paraId="5D6D07E6" w14:textId="77777777" w:rsidR="00894070" w:rsidRDefault="009B7AFD">
      <w:pPr>
        <w:pStyle w:val="ListParagraph"/>
        <w:numPr>
          <w:ilvl w:val="0"/>
          <w:numId w:val="27"/>
        </w:numPr>
        <w:tabs>
          <w:tab w:val="left" w:pos="1801"/>
          <w:tab w:val="left" w:pos="1802"/>
        </w:tabs>
        <w:spacing w:before="6" w:line="213" w:lineRule="auto"/>
        <w:ind w:right="56"/>
        <w:jc w:val="left"/>
        <w:rPr>
          <w:sz w:val="13"/>
        </w:rPr>
      </w:pPr>
      <w:r>
        <w:rPr>
          <w:color w:val="231F20"/>
          <w:sz w:val="13"/>
        </w:rPr>
        <w:t xml:space="preserve">Kritika Jerath, Lisa Tompson and Jyoti Belur, ‘Treating and Managing Stalking Offenders: Findings from a Multi-Agency Clinical Intervention’ </w:t>
      </w:r>
      <w:r>
        <w:rPr>
          <w:i/>
          <w:color w:val="231F20"/>
          <w:sz w:val="13"/>
        </w:rPr>
        <w:t xml:space="preserve">Psychology, Crime &amp; Law </w:t>
      </w:r>
      <w:r>
        <w:rPr>
          <w:color w:val="231F20"/>
          <w:sz w:val="13"/>
        </w:rPr>
        <w:t xml:space="preserve">10.1080/1068316X.2022.2057981:1–25, </w:t>
      </w:r>
      <w:r>
        <w:rPr>
          <w:color w:val="231F20"/>
          <w:spacing w:val="3"/>
          <w:sz w:val="13"/>
        </w:rPr>
        <w:t xml:space="preserve">5. </w:t>
      </w:r>
      <w:r>
        <w:rPr>
          <w:color w:val="231F20"/>
          <w:sz w:val="13"/>
        </w:rPr>
        <w:t xml:space="preserve">Examples of those studies include: </w:t>
      </w:r>
      <w:r>
        <w:rPr>
          <w:color w:val="231F20"/>
          <w:spacing w:val="2"/>
          <w:sz w:val="13"/>
        </w:rPr>
        <w:t xml:space="preserve">Rosemary </w:t>
      </w:r>
      <w:r>
        <w:rPr>
          <w:color w:val="231F20"/>
          <w:sz w:val="13"/>
        </w:rPr>
        <w:t xml:space="preserve">Purcell and </w:t>
      </w:r>
      <w:r>
        <w:rPr>
          <w:color w:val="231F20"/>
          <w:spacing w:val="-3"/>
          <w:sz w:val="13"/>
        </w:rPr>
        <w:t xml:space="preserve">Troy  </w:t>
      </w:r>
      <w:r>
        <w:rPr>
          <w:color w:val="231F20"/>
          <w:sz w:val="13"/>
        </w:rPr>
        <w:t xml:space="preserve">McEwan, ‘Treatment Approaches for Stalking’ in Jane L Ireland, Carol A Ireland and Philip Birch (eds), </w:t>
      </w:r>
      <w:r>
        <w:rPr>
          <w:i/>
          <w:color w:val="231F20"/>
          <w:sz w:val="13"/>
        </w:rPr>
        <w:t xml:space="preserve">Violent   and Sexual Offenders: Assessment, Treatment and Management </w:t>
      </w:r>
      <w:r>
        <w:rPr>
          <w:color w:val="231F20"/>
          <w:sz w:val="13"/>
        </w:rPr>
        <w:t xml:space="preserve">(Routledge, 2nd ed, 2018) 400; </w:t>
      </w:r>
      <w:r>
        <w:rPr>
          <w:color w:val="231F20"/>
          <w:spacing w:val="2"/>
          <w:sz w:val="13"/>
        </w:rPr>
        <w:t xml:space="preserve">Barry </w:t>
      </w:r>
      <w:r>
        <w:rPr>
          <w:color w:val="231F20"/>
          <w:sz w:val="13"/>
        </w:rPr>
        <w:t xml:space="preserve">Rosenfeld et </w:t>
      </w:r>
      <w:r>
        <w:rPr>
          <w:color w:val="231F20"/>
          <w:spacing w:val="2"/>
          <w:sz w:val="13"/>
        </w:rPr>
        <w:t xml:space="preserve">al, ‘Dialectical </w:t>
      </w:r>
      <w:r>
        <w:rPr>
          <w:color w:val="231F20"/>
          <w:sz w:val="13"/>
        </w:rPr>
        <w:t xml:space="preserve">Behavior Therapy (DBT) for the Treatment of Stalking Offenders: A Randomized Controlled Study’ (2019) 43(4) </w:t>
      </w:r>
      <w:r>
        <w:rPr>
          <w:i/>
          <w:color w:val="231F20"/>
          <w:sz w:val="13"/>
        </w:rPr>
        <w:t xml:space="preserve">Law and Human Behavior </w:t>
      </w:r>
      <w:r>
        <w:rPr>
          <w:color w:val="231F20"/>
          <w:sz w:val="13"/>
        </w:rPr>
        <w:t xml:space="preserve">319; R Wheatley, B Winder and DJ Kuss, </w:t>
      </w:r>
      <w:r>
        <w:rPr>
          <w:color w:val="231F20"/>
          <w:spacing w:val="2"/>
          <w:sz w:val="13"/>
        </w:rPr>
        <w:t xml:space="preserve">‘What </w:t>
      </w:r>
      <w:r>
        <w:rPr>
          <w:color w:val="231F20"/>
          <w:sz w:val="13"/>
        </w:rPr>
        <w:t xml:space="preserve">Are the Features of Psychopathology for Men Who Commit Stalking Offences? A Systematic Review’ (2020) 55 </w:t>
      </w:r>
      <w:r>
        <w:rPr>
          <w:i/>
          <w:color w:val="231F20"/>
          <w:sz w:val="13"/>
        </w:rPr>
        <w:t>Aggression and Violent Behavior</w:t>
      </w:r>
      <w:r>
        <w:rPr>
          <w:i/>
          <w:color w:val="231F20"/>
          <w:spacing w:val="10"/>
          <w:sz w:val="13"/>
        </w:rPr>
        <w:t xml:space="preserve"> </w:t>
      </w:r>
      <w:r>
        <w:rPr>
          <w:color w:val="231F20"/>
          <w:sz w:val="13"/>
        </w:rPr>
        <w:t>101461:1–15.</w:t>
      </w:r>
    </w:p>
    <w:p w14:paraId="3AD4D80C" w14:textId="77777777" w:rsidR="00894070" w:rsidRDefault="009B7AFD">
      <w:pPr>
        <w:pStyle w:val="ListParagraph"/>
        <w:numPr>
          <w:ilvl w:val="0"/>
          <w:numId w:val="27"/>
        </w:numPr>
        <w:tabs>
          <w:tab w:val="left" w:pos="1801"/>
          <w:tab w:val="left" w:pos="1802"/>
        </w:tabs>
        <w:spacing w:line="150" w:lineRule="exact"/>
        <w:jc w:val="left"/>
        <w:rPr>
          <w:sz w:val="13"/>
        </w:rPr>
      </w:pPr>
      <w:r>
        <w:rPr>
          <w:color w:val="231F20"/>
          <w:spacing w:val="2"/>
          <w:sz w:val="13"/>
        </w:rPr>
        <w:t xml:space="preserve">Submission </w:t>
      </w:r>
      <w:r>
        <w:rPr>
          <w:color w:val="231F20"/>
          <w:sz w:val="13"/>
        </w:rPr>
        <w:t>100</w:t>
      </w:r>
      <w:r>
        <w:rPr>
          <w:color w:val="231F20"/>
          <w:spacing w:val="18"/>
          <w:sz w:val="13"/>
        </w:rPr>
        <w:t xml:space="preserve"> </w:t>
      </w:r>
      <w:r>
        <w:rPr>
          <w:color w:val="231F20"/>
          <w:sz w:val="13"/>
        </w:rPr>
        <w:t>(Forensicare).</w:t>
      </w:r>
    </w:p>
    <w:p w14:paraId="127127DE" w14:textId="77777777" w:rsidR="00894070" w:rsidRDefault="009B7AFD">
      <w:pPr>
        <w:pStyle w:val="ListParagraph"/>
        <w:numPr>
          <w:ilvl w:val="0"/>
          <w:numId w:val="27"/>
        </w:numPr>
        <w:tabs>
          <w:tab w:val="left" w:pos="1801"/>
          <w:tab w:val="left" w:pos="1802"/>
        </w:tabs>
        <w:spacing w:line="160" w:lineRule="exact"/>
        <w:jc w:val="left"/>
        <w:rPr>
          <w:sz w:val="13"/>
        </w:rPr>
      </w:pPr>
      <w:r>
        <w:rPr>
          <w:color w:val="231F20"/>
          <w:spacing w:val="2"/>
          <w:sz w:val="13"/>
        </w:rPr>
        <w:t xml:space="preserve">Submission </w:t>
      </w:r>
      <w:r>
        <w:rPr>
          <w:color w:val="231F20"/>
          <w:sz w:val="13"/>
        </w:rPr>
        <w:t>70 (Di</w:t>
      </w:r>
      <w:r>
        <w:rPr>
          <w:color w:val="231F20"/>
          <w:spacing w:val="19"/>
          <w:sz w:val="13"/>
        </w:rPr>
        <w:t xml:space="preserve"> </w:t>
      </w:r>
      <w:r>
        <w:rPr>
          <w:color w:val="231F20"/>
          <w:sz w:val="13"/>
        </w:rPr>
        <w:t>McDonald).</w:t>
      </w:r>
    </w:p>
    <w:p w14:paraId="1A132B85" w14:textId="77777777" w:rsidR="00894070" w:rsidRDefault="009B7AFD">
      <w:pPr>
        <w:pStyle w:val="ListParagraph"/>
        <w:numPr>
          <w:ilvl w:val="0"/>
          <w:numId w:val="27"/>
        </w:numPr>
        <w:tabs>
          <w:tab w:val="left" w:pos="1800"/>
          <w:tab w:val="left" w:pos="1802"/>
        </w:tabs>
        <w:spacing w:before="6" w:line="213" w:lineRule="auto"/>
        <w:ind w:right="391"/>
        <w:jc w:val="left"/>
        <w:rPr>
          <w:sz w:val="13"/>
        </w:rPr>
      </w:pPr>
      <w:r>
        <w:rPr>
          <w:color w:val="231F20"/>
          <w:spacing w:val="2"/>
          <w:sz w:val="13"/>
        </w:rPr>
        <w:t xml:space="preserve">Submission </w:t>
      </w:r>
      <w:r>
        <w:rPr>
          <w:color w:val="231F20"/>
          <w:sz w:val="13"/>
        </w:rPr>
        <w:t xml:space="preserve">32 (Centre for Forensic Behavioural Science); </w:t>
      </w:r>
      <w:r>
        <w:rPr>
          <w:color w:val="231F20"/>
          <w:spacing w:val="2"/>
          <w:sz w:val="13"/>
        </w:rPr>
        <w:t xml:space="preserve">Rosemary </w:t>
      </w:r>
      <w:r>
        <w:rPr>
          <w:color w:val="231F20"/>
          <w:sz w:val="13"/>
        </w:rPr>
        <w:t xml:space="preserve">Purcell and </w:t>
      </w:r>
      <w:r>
        <w:rPr>
          <w:color w:val="231F20"/>
          <w:spacing w:val="-3"/>
          <w:sz w:val="13"/>
        </w:rPr>
        <w:t xml:space="preserve">Troy </w:t>
      </w:r>
      <w:r>
        <w:rPr>
          <w:color w:val="231F20"/>
          <w:sz w:val="13"/>
        </w:rPr>
        <w:t xml:space="preserve">McEwan, ‘Treatment Approaches for Stalking’ in Jane L Ireland, Carol A Ireland and Philip Birch (eds), </w:t>
      </w:r>
      <w:r>
        <w:rPr>
          <w:i/>
          <w:color w:val="231F20"/>
          <w:sz w:val="13"/>
        </w:rPr>
        <w:t xml:space="preserve">Violent and Sexual Offenders: Assessment, Treatment and Management </w:t>
      </w:r>
      <w:r>
        <w:rPr>
          <w:color w:val="231F20"/>
          <w:sz w:val="13"/>
        </w:rPr>
        <w:t>(Routledge, 2nd ed, 2018) 400,</w:t>
      </w:r>
      <w:r>
        <w:rPr>
          <w:color w:val="231F20"/>
          <w:spacing w:val="2"/>
          <w:sz w:val="13"/>
        </w:rPr>
        <w:t xml:space="preserve"> 505.</w:t>
      </w:r>
    </w:p>
    <w:p w14:paraId="6C7945CF" w14:textId="77777777" w:rsidR="00894070" w:rsidRDefault="009B7AFD">
      <w:pPr>
        <w:pStyle w:val="BodyText"/>
        <w:rPr>
          <w:sz w:val="28"/>
        </w:rPr>
      </w:pPr>
      <w:r>
        <w:br w:type="column"/>
      </w:r>
    </w:p>
    <w:p w14:paraId="037814C2" w14:textId="77777777" w:rsidR="00894070" w:rsidRDefault="00894070">
      <w:pPr>
        <w:pStyle w:val="BodyText"/>
        <w:rPr>
          <w:sz w:val="28"/>
        </w:rPr>
      </w:pPr>
    </w:p>
    <w:p w14:paraId="30C10203" w14:textId="77777777" w:rsidR="00894070" w:rsidRDefault="00894070">
      <w:pPr>
        <w:pStyle w:val="BodyText"/>
        <w:rPr>
          <w:sz w:val="28"/>
        </w:rPr>
      </w:pPr>
    </w:p>
    <w:p w14:paraId="7776F505" w14:textId="77777777" w:rsidR="00894070" w:rsidRDefault="00894070">
      <w:pPr>
        <w:pStyle w:val="BodyText"/>
        <w:rPr>
          <w:sz w:val="28"/>
        </w:rPr>
      </w:pPr>
    </w:p>
    <w:p w14:paraId="29A2A90B" w14:textId="77777777" w:rsidR="00894070" w:rsidRDefault="00894070">
      <w:pPr>
        <w:pStyle w:val="BodyText"/>
        <w:rPr>
          <w:sz w:val="28"/>
        </w:rPr>
      </w:pPr>
    </w:p>
    <w:p w14:paraId="603BD7F2" w14:textId="77777777" w:rsidR="00894070" w:rsidRDefault="00894070">
      <w:pPr>
        <w:pStyle w:val="BodyText"/>
        <w:rPr>
          <w:sz w:val="28"/>
        </w:rPr>
      </w:pPr>
    </w:p>
    <w:p w14:paraId="72D84DA8" w14:textId="77777777" w:rsidR="00894070" w:rsidRDefault="00894070">
      <w:pPr>
        <w:pStyle w:val="BodyText"/>
        <w:rPr>
          <w:sz w:val="28"/>
        </w:rPr>
      </w:pPr>
    </w:p>
    <w:p w14:paraId="6F2811B3" w14:textId="77777777" w:rsidR="00894070" w:rsidRDefault="00894070">
      <w:pPr>
        <w:pStyle w:val="BodyText"/>
        <w:rPr>
          <w:sz w:val="28"/>
        </w:rPr>
      </w:pPr>
    </w:p>
    <w:p w14:paraId="6F3C00FA" w14:textId="77777777" w:rsidR="00894070" w:rsidRDefault="00894070">
      <w:pPr>
        <w:pStyle w:val="BodyText"/>
        <w:spacing w:before="7"/>
        <w:rPr>
          <w:sz w:val="33"/>
        </w:rPr>
      </w:pPr>
    </w:p>
    <w:p w14:paraId="6BFE67E2" w14:textId="77777777" w:rsidR="00894070" w:rsidRDefault="009B7AFD">
      <w:pPr>
        <w:pStyle w:val="Heading8"/>
        <w:ind w:left="628"/>
      </w:pPr>
      <w:r>
        <w:rPr>
          <w:color w:val="EA5B50"/>
        </w:rPr>
        <w:t>167</w:t>
      </w:r>
    </w:p>
    <w:p w14:paraId="19E44D0E" w14:textId="77777777" w:rsidR="00894070" w:rsidRDefault="00894070">
      <w:pPr>
        <w:sectPr w:rsidR="00894070">
          <w:type w:val="continuous"/>
          <w:pgSz w:w="11910" w:h="16840"/>
          <w:pgMar w:top="560" w:right="420" w:bottom="280" w:left="580" w:header="720" w:footer="720" w:gutter="0"/>
          <w:cols w:num="2" w:space="720" w:equalWidth="0">
            <w:col w:w="9668" w:space="40"/>
            <w:col w:w="1202"/>
          </w:cols>
        </w:sectPr>
      </w:pPr>
    </w:p>
    <w:p w14:paraId="666CC09D" w14:textId="77777777" w:rsidR="00894070" w:rsidRDefault="00894070">
      <w:pPr>
        <w:pStyle w:val="BodyText"/>
        <w:rPr>
          <w:b/>
        </w:rPr>
      </w:pPr>
    </w:p>
    <w:p w14:paraId="75263F84" w14:textId="77777777" w:rsidR="00894070" w:rsidRDefault="00894070">
      <w:pPr>
        <w:pStyle w:val="BodyText"/>
        <w:rPr>
          <w:b/>
        </w:rPr>
      </w:pPr>
    </w:p>
    <w:p w14:paraId="575FAE27" w14:textId="77777777" w:rsidR="00894070" w:rsidRDefault="00894070">
      <w:pPr>
        <w:pStyle w:val="BodyText"/>
        <w:rPr>
          <w:b/>
        </w:rPr>
      </w:pPr>
    </w:p>
    <w:p w14:paraId="0CA8EA1C" w14:textId="77777777" w:rsidR="00894070" w:rsidRDefault="00894070">
      <w:pPr>
        <w:pStyle w:val="BodyText"/>
        <w:spacing w:before="11"/>
        <w:rPr>
          <w:b/>
          <w:sz w:val="18"/>
        </w:rPr>
      </w:pPr>
    </w:p>
    <w:p w14:paraId="4729E2C7" w14:textId="77777777" w:rsidR="00894070" w:rsidRDefault="009B7AFD">
      <w:pPr>
        <w:pStyle w:val="ListParagraph"/>
        <w:numPr>
          <w:ilvl w:val="1"/>
          <w:numId w:val="29"/>
        </w:numPr>
        <w:tabs>
          <w:tab w:val="left" w:pos="1801"/>
          <w:tab w:val="left" w:pos="1802"/>
        </w:tabs>
        <w:spacing w:line="206" w:lineRule="auto"/>
        <w:ind w:right="1252"/>
        <w:rPr>
          <w:sz w:val="20"/>
        </w:rPr>
      </w:pPr>
      <w:r>
        <w:rPr>
          <w:color w:val="231F20"/>
          <w:spacing w:val="-3"/>
          <w:sz w:val="20"/>
        </w:rPr>
        <w:t>Purcell</w:t>
      </w:r>
      <w:r>
        <w:rPr>
          <w:color w:val="231F20"/>
          <w:spacing w:val="-8"/>
          <w:sz w:val="20"/>
        </w:rPr>
        <w:t xml:space="preserve"> </w:t>
      </w:r>
      <w:r>
        <w:rPr>
          <w:color w:val="231F20"/>
          <w:sz w:val="20"/>
        </w:rPr>
        <w:t>and</w:t>
      </w:r>
      <w:r>
        <w:rPr>
          <w:color w:val="231F20"/>
          <w:spacing w:val="-7"/>
          <w:sz w:val="20"/>
        </w:rPr>
        <w:t xml:space="preserve"> </w:t>
      </w:r>
      <w:r>
        <w:rPr>
          <w:color w:val="231F20"/>
          <w:spacing w:val="-3"/>
          <w:sz w:val="20"/>
        </w:rPr>
        <w:t>McEwan</w:t>
      </w:r>
      <w:r>
        <w:rPr>
          <w:color w:val="231F20"/>
          <w:spacing w:val="-8"/>
          <w:sz w:val="20"/>
        </w:rPr>
        <w:t xml:space="preserve"> </w:t>
      </w:r>
      <w:r>
        <w:rPr>
          <w:color w:val="231F20"/>
          <w:spacing w:val="-4"/>
          <w:sz w:val="20"/>
        </w:rPr>
        <w:t>have</w:t>
      </w:r>
      <w:r>
        <w:rPr>
          <w:color w:val="231F20"/>
          <w:spacing w:val="-7"/>
          <w:sz w:val="20"/>
        </w:rPr>
        <w:t xml:space="preserve"> </w:t>
      </w:r>
      <w:r>
        <w:rPr>
          <w:color w:val="231F20"/>
          <w:sz w:val="20"/>
        </w:rPr>
        <w:t>identified</w:t>
      </w:r>
      <w:r>
        <w:rPr>
          <w:color w:val="231F20"/>
          <w:spacing w:val="-8"/>
          <w:sz w:val="20"/>
        </w:rPr>
        <w:t xml:space="preserve"> </w:t>
      </w:r>
      <w:r>
        <w:rPr>
          <w:color w:val="231F20"/>
          <w:sz w:val="20"/>
        </w:rPr>
        <w:t>that</w:t>
      </w:r>
      <w:r>
        <w:rPr>
          <w:color w:val="231F20"/>
          <w:spacing w:val="-7"/>
          <w:sz w:val="20"/>
        </w:rPr>
        <w:t xml:space="preserve"> </w:t>
      </w:r>
      <w:r>
        <w:rPr>
          <w:color w:val="231F20"/>
          <w:sz w:val="20"/>
        </w:rPr>
        <w:t>the</w:t>
      </w:r>
      <w:r>
        <w:rPr>
          <w:color w:val="231F20"/>
          <w:spacing w:val="-7"/>
          <w:sz w:val="20"/>
        </w:rPr>
        <w:t xml:space="preserve"> </w:t>
      </w:r>
      <w:r>
        <w:rPr>
          <w:color w:val="231F20"/>
          <w:spacing w:val="-3"/>
          <w:sz w:val="20"/>
        </w:rPr>
        <w:t>treatment</w:t>
      </w:r>
      <w:r>
        <w:rPr>
          <w:color w:val="231F20"/>
          <w:spacing w:val="-8"/>
          <w:sz w:val="20"/>
        </w:rPr>
        <w:t xml:space="preserve"> </w:t>
      </w:r>
      <w:r>
        <w:rPr>
          <w:color w:val="231F20"/>
          <w:sz w:val="20"/>
        </w:rPr>
        <w:t>of</w:t>
      </w:r>
      <w:r>
        <w:rPr>
          <w:color w:val="231F20"/>
          <w:spacing w:val="-7"/>
          <w:sz w:val="20"/>
        </w:rPr>
        <w:t xml:space="preserve"> </w:t>
      </w:r>
      <w:r>
        <w:rPr>
          <w:color w:val="231F20"/>
          <w:sz w:val="20"/>
        </w:rPr>
        <w:t>stalking</w:t>
      </w:r>
      <w:r>
        <w:rPr>
          <w:color w:val="231F20"/>
          <w:spacing w:val="-8"/>
          <w:sz w:val="20"/>
        </w:rPr>
        <w:t xml:space="preserve"> </w:t>
      </w:r>
      <w:r>
        <w:rPr>
          <w:color w:val="231F20"/>
          <w:sz w:val="20"/>
        </w:rPr>
        <w:t>should</w:t>
      </w:r>
      <w:r>
        <w:rPr>
          <w:color w:val="231F20"/>
          <w:spacing w:val="-7"/>
          <w:sz w:val="20"/>
        </w:rPr>
        <w:t xml:space="preserve"> </w:t>
      </w:r>
      <w:r>
        <w:rPr>
          <w:color w:val="231F20"/>
          <w:sz w:val="20"/>
        </w:rPr>
        <w:t>be</w:t>
      </w:r>
      <w:r>
        <w:rPr>
          <w:color w:val="231F20"/>
          <w:spacing w:val="-7"/>
          <w:sz w:val="20"/>
        </w:rPr>
        <w:t xml:space="preserve"> </w:t>
      </w:r>
      <w:r>
        <w:rPr>
          <w:color w:val="231F20"/>
          <w:sz w:val="20"/>
        </w:rPr>
        <w:t>guided</w:t>
      </w:r>
      <w:r>
        <w:rPr>
          <w:color w:val="231F20"/>
          <w:spacing w:val="-8"/>
          <w:sz w:val="20"/>
        </w:rPr>
        <w:t xml:space="preserve"> </w:t>
      </w:r>
      <w:r>
        <w:rPr>
          <w:color w:val="231F20"/>
          <w:spacing w:val="-3"/>
          <w:sz w:val="20"/>
        </w:rPr>
        <w:t xml:space="preserve">by </w:t>
      </w:r>
      <w:r>
        <w:rPr>
          <w:color w:val="231F20"/>
          <w:sz w:val="20"/>
        </w:rPr>
        <w:t xml:space="preserve">(among other things) the </w:t>
      </w:r>
      <w:r>
        <w:rPr>
          <w:color w:val="231F20"/>
          <w:spacing w:val="-3"/>
          <w:sz w:val="20"/>
        </w:rPr>
        <w:t>following</w:t>
      </w:r>
      <w:r>
        <w:rPr>
          <w:color w:val="231F20"/>
          <w:spacing w:val="-23"/>
          <w:sz w:val="20"/>
        </w:rPr>
        <w:t xml:space="preserve"> </w:t>
      </w:r>
      <w:r>
        <w:rPr>
          <w:color w:val="231F20"/>
          <w:sz w:val="20"/>
        </w:rPr>
        <w:t>principles:</w:t>
      </w:r>
    </w:p>
    <w:p w14:paraId="2CEDC562" w14:textId="77777777" w:rsidR="00894070" w:rsidRDefault="009B7AFD">
      <w:pPr>
        <w:pStyle w:val="ListParagraph"/>
        <w:numPr>
          <w:ilvl w:val="2"/>
          <w:numId w:val="29"/>
        </w:numPr>
        <w:tabs>
          <w:tab w:val="left" w:pos="2141"/>
          <w:tab w:val="left" w:pos="2142"/>
        </w:tabs>
        <w:spacing w:before="123" w:line="206" w:lineRule="auto"/>
        <w:ind w:right="1247" w:hanging="340"/>
        <w:rPr>
          <w:sz w:val="20"/>
        </w:rPr>
      </w:pPr>
      <w:r>
        <w:rPr>
          <w:color w:val="231F20"/>
          <w:spacing w:val="-5"/>
          <w:sz w:val="20"/>
        </w:rPr>
        <w:t>Treatment</w:t>
      </w:r>
      <w:r>
        <w:rPr>
          <w:color w:val="231F20"/>
          <w:spacing w:val="-9"/>
          <w:sz w:val="20"/>
        </w:rPr>
        <w:t xml:space="preserve"> </w:t>
      </w:r>
      <w:r>
        <w:rPr>
          <w:color w:val="231F20"/>
          <w:sz w:val="20"/>
        </w:rPr>
        <w:t>should</w:t>
      </w:r>
      <w:r>
        <w:rPr>
          <w:color w:val="231F20"/>
          <w:spacing w:val="-8"/>
          <w:sz w:val="20"/>
        </w:rPr>
        <w:t xml:space="preserve"> </w:t>
      </w:r>
      <w:r>
        <w:rPr>
          <w:color w:val="231F20"/>
          <w:sz w:val="20"/>
        </w:rPr>
        <w:t>be</w:t>
      </w:r>
      <w:r>
        <w:rPr>
          <w:color w:val="231F20"/>
          <w:spacing w:val="-8"/>
          <w:sz w:val="20"/>
        </w:rPr>
        <w:t xml:space="preserve"> </w:t>
      </w:r>
      <w:r>
        <w:rPr>
          <w:color w:val="231F20"/>
          <w:sz w:val="20"/>
        </w:rPr>
        <w:t>shaped</w:t>
      </w:r>
      <w:r>
        <w:rPr>
          <w:color w:val="231F20"/>
          <w:spacing w:val="-8"/>
          <w:sz w:val="20"/>
        </w:rPr>
        <w:t xml:space="preserve"> </w:t>
      </w:r>
      <w:r>
        <w:rPr>
          <w:color w:val="231F20"/>
          <w:spacing w:val="-3"/>
          <w:sz w:val="20"/>
        </w:rPr>
        <w:t>by</w:t>
      </w:r>
      <w:r>
        <w:rPr>
          <w:color w:val="231F20"/>
          <w:spacing w:val="-8"/>
          <w:sz w:val="20"/>
        </w:rPr>
        <w:t xml:space="preserve"> </w:t>
      </w:r>
      <w:r>
        <w:rPr>
          <w:color w:val="231F20"/>
          <w:sz w:val="20"/>
        </w:rPr>
        <w:t>an</w:t>
      </w:r>
      <w:r>
        <w:rPr>
          <w:color w:val="231F20"/>
          <w:spacing w:val="-8"/>
          <w:sz w:val="20"/>
        </w:rPr>
        <w:t xml:space="preserve"> </w:t>
      </w:r>
      <w:r>
        <w:rPr>
          <w:color w:val="231F20"/>
          <w:sz w:val="20"/>
        </w:rPr>
        <w:t>assessment</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specific</w:t>
      </w:r>
      <w:r>
        <w:rPr>
          <w:color w:val="231F20"/>
          <w:spacing w:val="-8"/>
          <w:sz w:val="20"/>
        </w:rPr>
        <w:t xml:space="preserve"> </w:t>
      </w:r>
      <w:r>
        <w:rPr>
          <w:color w:val="231F20"/>
          <w:sz w:val="20"/>
        </w:rPr>
        <w:t>needs</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person who</w:t>
      </w:r>
      <w:r>
        <w:rPr>
          <w:color w:val="231F20"/>
          <w:spacing w:val="-6"/>
          <w:sz w:val="20"/>
        </w:rPr>
        <w:t xml:space="preserve"> </w:t>
      </w:r>
      <w:r>
        <w:rPr>
          <w:color w:val="231F20"/>
          <w:sz w:val="20"/>
        </w:rPr>
        <w:t>stalks,</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context</w:t>
      </w:r>
      <w:r>
        <w:rPr>
          <w:color w:val="231F20"/>
          <w:spacing w:val="-5"/>
          <w:sz w:val="20"/>
        </w:rPr>
        <w:t xml:space="preserve"> </w:t>
      </w:r>
      <w:r>
        <w:rPr>
          <w:color w:val="231F20"/>
          <w:sz w:val="20"/>
        </w:rPr>
        <w:t>in</w:t>
      </w:r>
      <w:r>
        <w:rPr>
          <w:color w:val="231F20"/>
          <w:spacing w:val="-5"/>
          <w:sz w:val="20"/>
        </w:rPr>
        <w:t xml:space="preserve"> </w:t>
      </w:r>
      <w:r>
        <w:rPr>
          <w:color w:val="231F20"/>
          <w:sz w:val="20"/>
        </w:rPr>
        <w:t>which</w:t>
      </w:r>
      <w:r>
        <w:rPr>
          <w:color w:val="231F20"/>
          <w:spacing w:val="-6"/>
          <w:sz w:val="20"/>
        </w:rPr>
        <w:t xml:space="preserve"> </w:t>
      </w:r>
      <w:r>
        <w:rPr>
          <w:color w:val="231F20"/>
          <w:sz w:val="20"/>
        </w:rPr>
        <w:t>the</w:t>
      </w:r>
      <w:r>
        <w:rPr>
          <w:color w:val="231F20"/>
          <w:spacing w:val="-5"/>
          <w:sz w:val="20"/>
        </w:rPr>
        <w:t xml:space="preserve"> </w:t>
      </w:r>
      <w:r>
        <w:rPr>
          <w:color w:val="231F20"/>
          <w:sz w:val="20"/>
        </w:rPr>
        <w:t>stalking</w:t>
      </w:r>
      <w:r>
        <w:rPr>
          <w:color w:val="231F20"/>
          <w:spacing w:val="-5"/>
          <w:sz w:val="20"/>
        </w:rPr>
        <w:t xml:space="preserve"> </w:t>
      </w:r>
      <w:r>
        <w:rPr>
          <w:color w:val="231F20"/>
          <w:sz w:val="20"/>
        </w:rPr>
        <w:t>occurs,</w:t>
      </w:r>
      <w:r>
        <w:rPr>
          <w:color w:val="231F20"/>
          <w:spacing w:val="-5"/>
          <w:sz w:val="20"/>
        </w:rPr>
        <w:t xml:space="preserve"> </w:t>
      </w:r>
      <w:r>
        <w:rPr>
          <w:color w:val="231F20"/>
          <w:sz w:val="20"/>
        </w:rPr>
        <w:t>and</w:t>
      </w:r>
      <w:r>
        <w:rPr>
          <w:color w:val="231F20"/>
          <w:spacing w:val="-5"/>
          <w:sz w:val="20"/>
        </w:rPr>
        <w:t xml:space="preserve"> </w:t>
      </w:r>
      <w:r>
        <w:rPr>
          <w:color w:val="231F20"/>
          <w:sz w:val="20"/>
        </w:rPr>
        <w:t>their</w:t>
      </w:r>
      <w:r>
        <w:rPr>
          <w:color w:val="231F20"/>
          <w:spacing w:val="-5"/>
          <w:sz w:val="20"/>
        </w:rPr>
        <w:t xml:space="preserve"> </w:t>
      </w:r>
      <w:r>
        <w:rPr>
          <w:color w:val="231F20"/>
          <w:spacing w:val="-3"/>
          <w:sz w:val="20"/>
        </w:rPr>
        <w:t>behaviour.</w:t>
      </w:r>
    </w:p>
    <w:p w14:paraId="38BA1951" w14:textId="77777777" w:rsidR="00894070" w:rsidRDefault="009B7AFD">
      <w:pPr>
        <w:pStyle w:val="ListParagraph"/>
        <w:numPr>
          <w:ilvl w:val="2"/>
          <w:numId w:val="29"/>
        </w:numPr>
        <w:tabs>
          <w:tab w:val="left" w:pos="2141"/>
          <w:tab w:val="left" w:pos="2142"/>
        </w:tabs>
        <w:spacing w:before="87" w:line="206" w:lineRule="auto"/>
        <w:ind w:right="1403" w:hanging="340"/>
        <w:rPr>
          <w:sz w:val="20"/>
        </w:rPr>
      </w:pPr>
      <w:r>
        <w:rPr>
          <w:color w:val="231F20"/>
          <w:spacing w:val="-5"/>
          <w:sz w:val="20"/>
        </w:rPr>
        <w:t>Treatment</w:t>
      </w:r>
      <w:r>
        <w:rPr>
          <w:color w:val="231F20"/>
          <w:spacing w:val="-8"/>
          <w:sz w:val="20"/>
        </w:rPr>
        <w:t xml:space="preserve"> </w:t>
      </w:r>
      <w:r>
        <w:rPr>
          <w:color w:val="231F20"/>
          <w:sz w:val="20"/>
        </w:rPr>
        <w:t>should</w:t>
      </w:r>
      <w:r>
        <w:rPr>
          <w:color w:val="231F20"/>
          <w:spacing w:val="-8"/>
          <w:sz w:val="20"/>
        </w:rPr>
        <w:t xml:space="preserve"> </w:t>
      </w:r>
      <w:r>
        <w:rPr>
          <w:color w:val="231F20"/>
          <w:spacing w:val="-3"/>
          <w:sz w:val="20"/>
        </w:rPr>
        <w:t>focus</w:t>
      </w:r>
      <w:r>
        <w:rPr>
          <w:color w:val="231F20"/>
          <w:spacing w:val="-8"/>
          <w:sz w:val="20"/>
        </w:rPr>
        <w:t xml:space="preserve"> </w:t>
      </w:r>
      <w:r>
        <w:rPr>
          <w:color w:val="231F20"/>
          <w:sz w:val="20"/>
        </w:rPr>
        <w:t>on</w:t>
      </w:r>
      <w:r>
        <w:rPr>
          <w:color w:val="231F20"/>
          <w:spacing w:val="-8"/>
          <w:sz w:val="20"/>
        </w:rPr>
        <w:t xml:space="preserve"> </w:t>
      </w:r>
      <w:r>
        <w:rPr>
          <w:color w:val="231F20"/>
          <w:sz w:val="20"/>
        </w:rPr>
        <w:t>addressing</w:t>
      </w:r>
      <w:r>
        <w:rPr>
          <w:color w:val="231F20"/>
          <w:spacing w:val="-8"/>
          <w:sz w:val="20"/>
        </w:rPr>
        <w:t xml:space="preserve"> </w:t>
      </w:r>
      <w:r>
        <w:rPr>
          <w:color w:val="231F20"/>
          <w:sz w:val="20"/>
        </w:rPr>
        <w:t>the</w:t>
      </w:r>
      <w:r>
        <w:rPr>
          <w:color w:val="231F20"/>
          <w:spacing w:val="-8"/>
          <w:sz w:val="20"/>
        </w:rPr>
        <w:t xml:space="preserve"> </w:t>
      </w:r>
      <w:r>
        <w:rPr>
          <w:color w:val="231F20"/>
          <w:sz w:val="20"/>
        </w:rPr>
        <w:t>behaviour</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person</w:t>
      </w:r>
      <w:r>
        <w:rPr>
          <w:color w:val="231F20"/>
          <w:spacing w:val="-8"/>
          <w:sz w:val="20"/>
        </w:rPr>
        <w:t xml:space="preserve"> </w:t>
      </w:r>
      <w:r>
        <w:rPr>
          <w:color w:val="231F20"/>
          <w:sz w:val="20"/>
        </w:rPr>
        <w:t>who</w:t>
      </w:r>
      <w:r>
        <w:rPr>
          <w:color w:val="231F20"/>
          <w:spacing w:val="-8"/>
          <w:sz w:val="20"/>
        </w:rPr>
        <w:t xml:space="preserve"> </w:t>
      </w:r>
      <w:r>
        <w:rPr>
          <w:color w:val="231F20"/>
          <w:sz w:val="20"/>
        </w:rPr>
        <w:t>stalks</w:t>
      </w:r>
      <w:r>
        <w:rPr>
          <w:color w:val="231F20"/>
          <w:spacing w:val="-8"/>
          <w:sz w:val="20"/>
        </w:rPr>
        <w:t xml:space="preserve"> </w:t>
      </w:r>
      <w:r>
        <w:rPr>
          <w:color w:val="231F20"/>
          <w:spacing w:val="-3"/>
          <w:sz w:val="20"/>
        </w:rPr>
        <w:t xml:space="preserve">by </w:t>
      </w:r>
      <w:r>
        <w:rPr>
          <w:color w:val="231F20"/>
          <w:sz w:val="20"/>
        </w:rPr>
        <w:t xml:space="preserve">using </w:t>
      </w:r>
      <w:r>
        <w:rPr>
          <w:color w:val="231F20"/>
          <w:spacing w:val="-3"/>
          <w:sz w:val="20"/>
        </w:rPr>
        <w:t xml:space="preserve">cognitive </w:t>
      </w:r>
      <w:r>
        <w:rPr>
          <w:color w:val="231F20"/>
          <w:sz w:val="20"/>
        </w:rPr>
        <w:t>behavioural</w:t>
      </w:r>
      <w:r>
        <w:rPr>
          <w:color w:val="231F20"/>
          <w:spacing w:val="-11"/>
          <w:sz w:val="20"/>
        </w:rPr>
        <w:t xml:space="preserve"> </w:t>
      </w:r>
      <w:r>
        <w:rPr>
          <w:color w:val="231F20"/>
          <w:sz w:val="20"/>
        </w:rPr>
        <w:t>approaches.</w:t>
      </w:r>
    </w:p>
    <w:p w14:paraId="566A14A9" w14:textId="77777777" w:rsidR="00894070" w:rsidRDefault="009B7AFD">
      <w:pPr>
        <w:pStyle w:val="ListParagraph"/>
        <w:numPr>
          <w:ilvl w:val="2"/>
          <w:numId w:val="29"/>
        </w:numPr>
        <w:tabs>
          <w:tab w:val="left" w:pos="2141"/>
          <w:tab w:val="left" w:pos="2142"/>
        </w:tabs>
        <w:spacing w:before="56" w:line="259" w:lineRule="exact"/>
        <w:ind w:hanging="340"/>
        <w:rPr>
          <w:sz w:val="20"/>
        </w:rPr>
      </w:pPr>
      <w:r>
        <w:rPr>
          <w:color w:val="231F20"/>
          <w:sz w:val="20"/>
        </w:rPr>
        <w:t xml:space="preserve">Pharmacological </w:t>
      </w:r>
      <w:r>
        <w:rPr>
          <w:color w:val="231F20"/>
          <w:spacing w:val="-2"/>
          <w:sz w:val="20"/>
        </w:rPr>
        <w:t xml:space="preserve">intervention </w:t>
      </w:r>
      <w:r>
        <w:rPr>
          <w:color w:val="231F20"/>
          <w:sz w:val="20"/>
        </w:rPr>
        <w:t xml:space="preserve">is the </w:t>
      </w:r>
      <w:r>
        <w:rPr>
          <w:color w:val="231F20"/>
          <w:spacing w:val="-3"/>
          <w:sz w:val="20"/>
        </w:rPr>
        <w:t xml:space="preserve">first-line treatment </w:t>
      </w:r>
      <w:r>
        <w:rPr>
          <w:color w:val="231F20"/>
          <w:sz w:val="20"/>
        </w:rPr>
        <w:t>response in</w:t>
      </w:r>
      <w:r>
        <w:rPr>
          <w:color w:val="231F20"/>
          <w:spacing w:val="-30"/>
          <w:sz w:val="20"/>
        </w:rPr>
        <w:t xml:space="preserve"> </w:t>
      </w:r>
      <w:r>
        <w:rPr>
          <w:color w:val="231F20"/>
          <w:sz w:val="20"/>
        </w:rPr>
        <w:t>some</w:t>
      </w:r>
    </w:p>
    <w:p w14:paraId="3EA7883D" w14:textId="77777777" w:rsidR="00894070" w:rsidRDefault="009B7AFD">
      <w:pPr>
        <w:pStyle w:val="BodyText"/>
        <w:spacing w:line="259" w:lineRule="exact"/>
        <w:ind w:left="2141"/>
      </w:pPr>
      <w:r>
        <w:rPr>
          <w:color w:val="231F20"/>
        </w:rPr>
        <w:t>circumstances.</w:t>
      </w:r>
    </w:p>
    <w:p w14:paraId="3C2254C4" w14:textId="77777777" w:rsidR="00894070" w:rsidRDefault="009B7AFD">
      <w:pPr>
        <w:pStyle w:val="ListParagraph"/>
        <w:numPr>
          <w:ilvl w:val="2"/>
          <w:numId w:val="29"/>
        </w:numPr>
        <w:tabs>
          <w:tab w:val="left" w:pos="2141"/>
          <w:tab w:val="left" w:pos="2142"/>
        </w:tabs>
        <w:spacing w:before="79" w:line="206" w:lineRule="auto"/>
        <w:ind w:right="1229" w:hanging="340"/>
        <w:rPr>
          <w:sz w:val="11"/>
        </w:rPr>
      </w:pPr>
      <w:r>
        <w:rPr>
          <w:color w:val="231F20"/>
          <w:sz w:val="20"/>
        </w:rPr>
        <w:t>In</w:t>
      </w:r>
      <w:r>
        <w:rPr>
          <w:color w:val="231F20"/>
          <w:spacing w:val="-6"/>
          <w:sz w:val="20"/>
        </w:rPr>
        <w:t xml:space="preserve"> </w:t>
      </w:r>
      <w:r>
        <w:rPr>
          <w:color w:val="231F20"/>
          <w:sz w:val="20"/>
        </w:rPr>
        <w:t>addition</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rehabilitative</w:t>
      </w:r>
      <w:r>
        <w:rPr>
          <w:color w:val="231F20"/>
          <w:spacing w:val="-5"/>
          <w:sz w:val="20"/>
        </w:rPr>
        <w:t xml:space="preserve"> </w:t>
      </w:r>
      <w:r>
        <w:rPr>
          <w:color w:val="231F20"/>
          <w:spacing w:val="-3"/>
          <w:sz w:val="20"/>
        </w:rPr>
        <w:t>treatment,</w:t>
      </w:r>
      <w:r>
        <w:rPr>
          <w:color w:val="231F20"/>
          <w:spacing w:val="-5"/>
          <w:sz w:val="20"/>
        </w:rPr>
        <w:t xml:space="preserve"> </w:t>
      </w:r>
      <w:r>
        <w:rPr>
          <w:color w:val="231F20"/>
          <w:sz w:val="20"/>
        </w:rPr>
        <w:t>there</w:t>
      </w:r>
      <w:r>
        <w:rPr>
          <w:color w:val="231F20"/>
          <w:spacing w:val="-6"/>
          <w:sz w:val="20"/>
        </w:rPr>
        <w:t xml:space="preserve"> </w:t>
      </w:r>
      <w:r>
        <w:rPr>
          <w:color w:val="231F20"/>
          <w:spacing w:val="-3"/>
          <w:sz w:val="20"/>
        </w:rPr>
        <w:t>may</w:t>
      </w:r>
      <w:r>
        <w:rPr>
          <w:color w:val="231F20"/>
          <w:spacing w:val="-5"/>
          <w:sz w:val="20"/>
        </w:rPr>
        <w:t xml:space="preserve"> </w:t>
      </w:r>
      <w:r>
        <w:rPr>
          <w:color w:val="231F20"/>
          <w:sz w:val="20"/>
        </w:rPr>
        <w:t>need</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other</w:t>
      </w:r>
      <w:r>
        <w:rPr>
          <w:color w:val="231F20"/>
          <w:spacing w:val="-5"/>
          <w:sz w:val="20"/>
        </w:rPr>
        <w:t xml:space="preserve"> </w:t>
      </w:r>
      <w:r>
        <w:rPr>
          <w:color w:val="231F20"/>
          <w:spacing w:val="-3"/>
          <w:sz w:val="20"/>
        </w:rPr>
        <w:t>appropriate</w:t>
      </w:r>
      <w:r>
        <w:rPr>
          <w:color w:val="231F20"/>
          <w:spacing w:val="-6"/>
          <w:sz w:val="20"/>
        </w:rPr>
        <w:t xml:space="preserve"> </w:t>
      </w:r>
      <w:r>
        <w:rPr>
          <w:color w:val="231F20"/>
          <w:sz w:val="20"/>
        </w:rPr>
        <w:t>legal sanctions</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protect</w:t>
      </w:r>
      <w:r>
        <w:rPr>
          <w:color w:val="231F20"/>
          <w:spacing w:val="-5"/>
          <w:sz w:val="20"/>
        </w:rPr>
        <w:t xml:space="preserve"> </w:t>
      </w:r>
      <w:r>
        <w:rPr>
          <w:color w:val="231F20"/>
          <w:sz w:val="20"/>
        </w:rPr>
        <w:t>the</w:t>
      </w:r>
      <w:r>
        <w:rPr>
          <w:color w:val="231F20"/>
          <w:spacing w:val="-5"/>
          <w:sz w:val="20"/>
        </w:rPr>
        <w:t xml:space="preserve"> </w:t>
      </w:r>
      <w:r>
        <w:rPr>
          <w:color w:val="231F20"/>
          <w:sz w:val="20"/>
        </w:rPr>
        <w:t>stalking</w:t>
      </w:r>
      <w:r>
        <w:rPr>
          <w:color w:val="231F20"/>
          <w:spacing w:val="-5"/>
          <w:sz w:val="20"/>
        </w:rPr>
        <w:t xml:space="preserve"> </w:t>
      </w:r>
      <w:r>
        <w:rPr>
          <w:color w:val="231F20"/>
          <w:sz w:val="20"/>
        </w:rPr>
        <w:t>victim</w:t>
      </w:r>
      <w:r>
        <w:rPr>
          <w:color w:val="231F20"/>
          <w:spacing w:val="-5"/>
          <w:sz w:val="20"/>
        </w:rPr>
        <w:t xml:space="preserve"> </w:t>
      </w:r>
      <w:r>
        <w:rPr>
          <w:color w:val="231F20"/>
          <w:sz w:val="20"/>
        </w:rPr>
        <w:t>and</w:t>
      </w:r>
      <w:r>
        <w:rPr>
          <w:color w:val="231F20"/>
          <w:spacing w:val="-5"/>
          <w:sz w:val="20"/>
        </w:rPr>
        <w:t xml:space="preserve"> </w:t>
      </w:r>
      <w:r>
        <w:rPr>
          <w:color w:val="231F20"/>
          <w:spacing w:val="-3"/>
          <w:sz w:val="20"/>
        </w:rPr>
        <w:t>deter</w:t>
      </w:r>
      <w:r>
        <w:rPr>
          <w:color w:val="231F20"/>
          <w:spacing w:val="-5"/>
          <w:sz w:val="20"/>
        </w:rPr>
        <w:t xml:space="preserve"> </w:t>
      </w:r>
      <w:r>
        <w:rPr>
          <w:color w:val="231F20"/>
          <w:sz w:val="20"/>
        </w:rPr>
        <w:t>the</w:t>
      </w:r>
      <w:r>
        <w:rPr>
          <w:color w:val="231F20"/>
          <w:spacing w:val="-5"/>
          <w:sz w:val="20"/>
        </w:rPr>
        <w:t xml:space="preserve"> </w:t>
      </w:r>
      <w:r>
        <w:rPr>
          <w:color w:val="231F20"/>
          <w:sz w:val="20"/>
        </w:rPr>
        <w:t>person</w:t>
      </w:r>
      <w:r>
        <w:rPr>
          <w:color w:val="231F20"/>
          <w:spacing w:val="-5"/>
          <w:sz w:val="20"/>
        </w:rPr>
        <w:t xml:space="preserve"> </w:t>
      </w:r>
      <w:r>
        <w:rPr>
          <w:color w:val="231F20"/>
          <w:sz w:val="20"/>
        </w:rPr>
        <w:t>who</w:t>
      </w:r>
      <w:r>
        <w:rPr>
          <w:color w:val="231F20"/>
          <w:spacing w:val="-5"/>
          <w:sz w:val="20"/>
        </w:rPr>
        <w:t xml:space="preserve"> </w:t>
      </w:r>
      <w:r>
        <w:rPr>
          <w:color w:val="231F20"/>
          <w:sz w:val="20"/>
        </w:rPr>
        <w:t>stalks.</w:t>
      </w:r>
      <w:r>
        <w:rPr>
          <w:color w:val="231F20"/>
          <w:position w:val="7"/>
          <w:sz w:val="11"/>
        </w:rPr>
        <w:t>50</w:t>
      </w:r>
    </w:p>
    <w:p w14:paraId="0C1ABD6C" w14:textId="77777777" w:rsidR="00894070" w:rsidRDefault="009B7AFD">
      <w:pPr>
        <w:pStyle w:val="ListParagraph"/>
        <w:numPr>
          <w:ilvl w:val="1"/>
          <w:numId w:val="29"/>
        </w:numPr>
        <w:tabs>
          <w:tab w:val="left" w:pos="1801"/>
          <w:tab w:val="left" w:pos="1802"/>
        </w:tabs>
        <w:spacing w:before="88" w:line="206" w:lineRule="auto"/>
        <w:ind w:right="1323"/>
        <w:rPr>
          <w:sz w:val="11"/>
        </w:rPr>
      </w:pPr>
      <w:r>
        <w:rPr>
          <w:color w:val="231F20"/>
          <w:spacing w:val="-5"/>
          <w:sz w:val="20"/>
        </w:rPr>
        <w:t xml:space="preserve">However, </w:t>
      </w:r>
      <w:r>
        <w:rPr>
          <w:color w:val="231F20"/>
          <w:sz w:val="20"/>
        </w:rPr>
        <w:t xml:space="preserve">the sentencing principle of </w:t>
      </w:r>
      <w:r>
        <w:rPr>
          <w:color w:val="231F20"/>
          <w:spacing w:val="-3"/>
          <w:sz w:val="20"/>
        </w:rPr>
        <w:t xml:space="preserve">deterrence </w:t>
      </w:r>
      <w:r>
        <w:rPr>
          <w:color w:val="231F20"/>
          <w:sz w:val="20"/>
        </w:rPr>
        <w:t xml:space="preserve">will be of less significance in cases </w:t>
      </w:r>
      <w:r>
        <w:rPr>
          <w:color w:val="231F20"/>
          <w:spacing w:val="-4"/>
          <w:sz w:val="20"/>
        </w:rPr>
        <w:t>involving</w:t>
      </w:r>
      <w:r>
        <w:rPr>
          <w:color w:val="231F20"/>
          <w:spacing w:val="-7"/>
          <w:sz w:val="20"/>
        </w:rPr>
        <w:t xml:space="preserve"> </w:t>
      </w:r>
      <w:r>
        <w:rPr>
          <w:color w:val="231F20"/>
          <w:sz w:val="20"/>
        </w:rPr>
        <w:t>a</w:t>
      </w:r>
      <w:r>
        <w:rPr>
          <w:color w:val="231F20"/>
          <w:spacing w:val="-7"/>
          <w:sz w:val="20"/>
        </w:rPr>
        <w:t xml:space="preserve"> </w:t>
      </w:r>
      <w:r>
        <w:rPr>
          <w:color w:val="231F20"/>
          <w:sz w:val="20"/>
        </w:rPr>
        <w:t>mental</w:t>
      </w:r>
      <w:r>
        <w:rPr>
          <w:color w:val="231F20"/>
          <w:spacing w:val="-7"/>
          <w:sz w:val="20"/>
        </w:rPr>
        <w:t xml:space="preserve"> </w:t>
      </w:r>
      <w:r>
        <w:rPr>
          <w:color w:val="231F20"/>
          <w:sz w:val="20"/>
        </w:rPr>
        <w:t>condition</w:t>
      </w:r>
      <w:r>
        <w:rPr>
          <w:color w:val="231F20"/>
          <w:spacing w:val="-6"/>
          <w:sz w:val="20"/>
        </w:rPr>
        <w:t xml:space="preserve"> </w:t>
      </w:r>
      <w:r>
        <w:rPr>
          <w:color w:val="231F20"/>
          <w:sz w:val="20"/>
        </w:rPr>
        <w:t>that,</w:t>
      </w:r>
      <w:r>
        <w:rPr>
          <w:color w:val="231F20"/>
          <w:spacing w:val="-7"/>
          <w:sz w:val="20"/>
        </w:rPr>
        <w:t xml:space="preserve"> </w:t>
      </w:r>
      <w:r>
        <w:rPr>
          <w:color w:val="231F20"/>
          <w:sz w:val="20"/>
        </w:rPr>
        <w:t>while</w:t>
      </w:r>
      <w:r>
        <w:rPr>
          <w:color w:val="231F20"/>
          <w:spacing w:val="-7"/>
          <w:sz w:val="20"/>
        </w:rPr>
        <w:t xml:space="preserve"> </w:t>
      </w:r>
      <w:r>
        <w:rPr>
          <w:color w:val="231F20"/>
          <w:sz w:val="20"/>
        </w:rPr>
        <w:t>falling</w:t>
      </w:r>
      <w:r>
        <w:rPr>
          <w:color w:val="231F20"/>
          <w:spacing w:val="-6"/>
          <w:sz w:val="20"/>
        </w:rPr>
        <w:t xml:space="preserve"> </w:t>
      </w:r>
      <w:r>
        <w:rPr>
          <w:color w:val="231F20"/>
          <w:sz w:val="20"/>
        </w:rPr>
        <w:t>short</w:t>
      </w:r>
      <w:r>
        <w:rPr>
          <w:color w:val="231F20"/>
          <w:spacing w:val="-7"/>
          <w:sz w:val="20"/>
        </w:rPr>
        <w:t xml:space="preserve"> </w:t>
      </w:r>
      <w:r>
        <w:rPr>
          <w:color w:val="231F20"/>
          <w:sz w:val="20"/>
        </w:rPr>
        <w:t>of</w:t>
      </w:r>
      <w:r>
        <w:rPr>
          <w:color w:val="231F20"/>
          <w:spacing w:val="-7"/>
          <w:sz w:val="20"/>
        </w:rPr>
        <w:t xml:space="preserve"> </w:t>
      </w:r>
      <w:r>
        <w:rPr>
          <w:color w:val="231F20"/>
          <w:sz w:val="20"/>
        </w:rPr>
        <w:t>an</w:t>
      </w:r>
      <w:r>
        <w:rPr>
          <w:color w:val="231F20"/>
          <w:spacing w:val="-6"/>
          <w:sz w:val="20"/>
        </w:rPr>
        <w:t xml:space="preserve"> </w:t>
      </w:r>
      <w:r>
        <w:rPr>
          <w:color w:val="231F20"/>
          <w:spacing w:val="-3"/>
          <w:sz w:val="20"/>
        </w:rPr>
        <w:t>excuse</w:t>
      </w:r>
      <w:r>
        <w:rPr>
          <w:color w:val="231F20"/>
          <w:spacing w:val="-7"/>
          <w:sz w:val="20"/>
        </w:rPr>
        <w:t xml:space="preserve"> </w:t>
      </w:r>
      <w:r>
        <w:rPr>
          <w:color w:val="231F20"/>
          <w:sz w:val="20"/>
        </w:rPr>
        <w:t>at</w:t>
      </w:r>
      <w:r>
        <w:rPr>
          <w:color w:val="231F20"/>
          <w:spacing w:val="-7"/>
          <w:sz w:val="20"/>
        </w:rPr>
        <w:t xml:space="preserve"> </w:t>
      </w:r>
      <w:r>
        <w:rPr>
          <w:color w:val="231F20"/>
          <w:spacing w:val="-5"/>
          <w:sz w:val="20"/>
        </w:rPr>
        <w:t>law,</w:t>
      </w:r>
      <w:r>
        <w:rPr>
          <w:color w:val="231F20"/>
          <w:spacing w:val="-6"/>
          <w:sz w:val="20"/>
        </w:rPr>
        <w:t xml:space="preserve"> </w:t>
      </w:r>
      <w:r>
        <w:rPr>
          <w:color w:val="231F20"/>
          <w:spacing w:val="-3"/>
          <w:sz w:val="20"/>
        </w:rPr>
        <w:t>contributes</w:t>
      </w:r>
      <w:r>
        <w:rPr>
          <w:color w:val="231F20"/>
          <w:spacing w:val="-7"/>
          <w:sz w:val="20"/>
        </w:rPr>
        <w:t xml:space="preserve"> </w:t>
      </w:r>
      <w:r>
        <w:rPr>
          <w:color w:val="231F20"/>
          <w:sz w:val="20"/>
        </w:rPr>
        <w:t>to the commission of the</w:t>
      </w:r>
      <w:r>
        <w:rPr>
          <w:color w:val="231F20"/>
          <w:spacing w:val="-18"/>
          <w:sz w:val="20"/>
        </w:rPr>
        <w:t xml:space="preserve"> </w:t>
      </w:r>
      <w:r>
        <w:rPr>
          <w:color w:val="231F20"/>
          <w:sz w:val="20"/>
        </w:rPr>
        <w:t>offence.</w:t>
      </w:r>
      <w:r>
        <w:rPr>
          <w:color w:val="231F20"/>
          <w:position w:val="7"/>
          <w:sz w:val="11"/>
        </w:rPr>
        <w:t>51</w:t>
      </w:r>
    </w:p>
    <w:p w14:paraId="78E18005" w14:textId="77777777" w:rsidR="00894070" w:rsidRDefault="009B7AFD">
      <w:pPr>
        <w:pStyle w:val="Heading9"/>
        <w:spacing w:before="128"/>
        <w:rPr>
          <w:b/>
        </w:rPr>
      </w:pPr>
      <w:r>
        <w:rPr>
          <w:b/>
          <w:color w:val="4C4D4F"/>
        </w:rPr>
        <w:t>What treatment is available in Victoria for stalking?</w:t>
      </w:r>
    </w:p>
    <w:p w14:paraId="7DF92AF6" w14:textId="77777777" w:rsidR="00894070" w:rsidRDefault="009B7AFD">
      <w:pPr>
        <w:pStyle w:val="ListParagraph"/>
        <w:numPr>
          <w:ilvl w:val="1"/>
          <w:numId w:val="29"/>
        </w:numPr>
        <w:tabs>
          <w:tab w:val="left" w:pos="1801"/>
          <w:tab w:val="left" w:pos="1802"/>
        </w:tabs>
        <w:spacing w:before="132" w:line="206" w:lineRule="auto"/>
        <w:ind w:right="1960"/>
        <w:rPr>
          <w:sz w:val="20"/>
        </w:rPr>
      </w:pPr>
      <w:r>
        <w:rPr>
          <w:color w:val="231F20"/>
          <w:sz w:val="20"/>
        </w:rPr>
        <w:t>In</w:t>
      </w:r>
      <w:r>
        <w:rPr>
          <w:color w:val="231F20"/>
          <w:spacing w:val="-9"/>
          <w:sz w:val="20"/>
        </w:rPr>
        <w:t xml:space="preserve"> </w:t>
      </w:r>
      <w:r>
        <w:rPr>
          <w:color w:val="231F20"/>
          <w:sz w:val="20"/>
        </w:rPr>
        <w:t>Victoria,</w:t>
      </w:r>
      <w:r>
        <w:rPr>
          <w:color w:val="231F20"/>
          <w:spacing w:val="-9"/>
          <w:sz w:val="20"/>
        </w:rPr>
        <w:t xml:space="preserve"> </w:t>
      </w:r>
      <w:r>
        <w:rPr>
          <w:color w:val="231F20"/>
          <w:sz w:val="20"/>
        </w:rPr>
        <w:t>the</w:t>
      </w:r>
      <w:r>
        <w:rPr>
          <w:color w:val="231F20"/>
          <w:spacing w:val="-9"/>
          <w:sz w:val="20"/>
        </w:rPr>
        <w:t xml:space="preserve"> </w:t>
      </w:r>
      <w:r>
        <w:rPr>
          <w:color w:val="231F20"/>
          <w:sz w:val="20"/>
        </w:rPr>
        <w:t>main</w:t>
      </w:r>
      <w:r>
        <w:rPr>
          <w:color w:val="231F20"/>
          <w:spacing w:val="-9"/>
          <w:sz w:val="20"/>
        </w:rPr>
        <w:t xml:space="preserve"> </w:t>
      </w:r>
      <w:r>
        <w:rPr>
          <w:color w:val="231F20"/>
          <w:sz w:val="20"/>
        </w:rPr>
        <w:t>therapeutic</w:t>
      </w:r>
      <w:r>
        <w:rPr>
          <w:color w:val="231F20"/>
          <w:spacing w:val="-9"/>
          <w:sz w:val="20"/>
        </w:rPr>
        <w:t xml:space="preserve"> </w:t>
      </w:r>
      <w:r>
        <w:rPr>
          <w:color w:val="231F20"/>
          <w:spacing w:val="-3"/>
          <w:sz w:val="20"/>
        </w:rPr>
        <w:t>treatment</w:t>
      </w:r>
      <w:r>
        <w:rPr>
          <w:color w:val="231F20"/>
          <w:spacing w:val="-9"/>
          <w:sz w:val="20"/>
        </w:rPr>
        <w:t xml:space="preserve"> </w:t>
      </w:r>
      <w:r>
        <w:rPr>
          <w:color w:val="231F20"/>
          <w:sz w:val="20"/>
        </w:rPr>
        <w:t>available</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people</w:t>
      </w:r>
      <w:r>
        <w:rPr>
          <w:color w:val="231F20"/>
          <w:spacing w:val="-9"/>
          <w:sz w:val="20"/>
        </w:rPr>
        <w:t xml:space="preserve"> </w:t>
      </w:r>
      <w:r>
        <w:rPr>
          <w:color w:val="231F20"/>
          <w:sz w:val="20"/>
        </w:rPr>
        <w:t>who</w:t>
      </w:r>
      <w:r>
        <w:rPr>
          <w:color w:val="231F20"/>
          <w:spacing w:val="-8"/>
          <w:sz w:val="20"/>
        </w:rPr>
        <w:t xml:space="preserve"> </w:t>
      </w:r>
      <w:r>
        <w:rPr>
          <w:color w:val="231F20"/>
          <w:sz w:val="20"/>
        </w:rPr>
        <w:t>stalk</w:t>
      </w:r>
      <w:r>
        <w:rPr>
          <w:color w:val="231F20"/>
          <w:spacing w:val="-9"/>
          <w:sz w:val="20"/>
        </w:rPr>
        <w:t xml:space="preserve"> </w:t>
      </w:r>
      <w:r>
        <w:rPr>
          <w:color w:val="231F20"/>
          <w:sz w:val="20"/>
        </w:rPr>
        <w:t>is</w:t>
      </w:r>
      <w:r>
        <w:rPr>
          <w:color w:val="231F20"/>
          <w:spacing w:val="-9"/>
          <w:sz w:val="20"/>
        </w:rPr>
        <w:t xml:space="preserve"> </w:t>
      </w:r>
      <w:r>
        <w:rPr>
          <w:color w:val="231F20"/>
          <w:sz w:val="20"/>
        </w:rPr>
        <w:t xml:space="preserve">the </w:t>
      </w:r>
      <w:r>
        <w:rPr>
          <w:color w:val="231F20"/>
          <w:spacing w:val="-3"/>
          <w:sz w:val="20"/>
        </w:rPr>
        <w:t xml:space="preserve">Problem </w:t>
      </w:r>
      <w:r>
        <w:rPr>
          <w:color w:val="231F20"/>
          <w:sz w:val="20"/>
        </w:rPr>
        <w:t xml:space="preserve">Behaviour Program </w:t>
      </w:r>
      <w:r>
        <w:rPr>
          <w:color w:val="231F20"/>
          <w:spacing w:val="-3"/>
          <w:sz w:val="20"/>
        </w:rPr>
        <w:t xml:space="preserve">(PBP) </w:t>
      </w:r>
      <w:r>
        <w:rPr>
          <w:color w:val="231F20"/>
          <w:sz w:val="20"/>
        </w:rPr>
        <w:t xml:space="preserve">run </w:t>
      </w:r>
      <w:r>
        <w:rPr>
          <w:color w:val="231F20"/>
          <w:spacing w:val="-3"/>
          <w:sz w:val="20"/>
        </w:rPr>
        <w:t>by</w:t>
      </w:r>
      <w:r>
        <w:rPr>
          <w:color w:val="231F20"/>
          <w:spacing w:val="-20"/>
          <w:sz w:val="20"/>
        </w:rPr>
        <w:t xml:space="preserve"> </w:t>
      </w:r>
      <w:r>
        <w:rPr>
          <w:color w:val="231F20"/>
          <w:spacing w:val="-3"/>
          <w:sz w:val="20"/>
        </w:rPr>
        <w:t>Forensicare.</w:t>
      </w:r>
    </w:p>
    <w:p w14:paraId="5AF215FA" w14:textId="77777777" w:rsidR="00894070" w:rsidRDefault="00894070">
      <w:pPr>
        <w:pStyle w:val="BodyText"/>
      </w:pPr>
    </w:p>
    <w:p w14:paraId="14420658" w14:textId="77777777" w:rsidR="00894070" w:rsidRDefault="00894070">
      <w:pPr>
        <w:pStyle w:val="BodyText"/>
        <w:spacing w:before="10"/>
        <w:rPr>
          <w:sz w:val="15"/>
        </w:rPr>
      </w:pPr>
    </w:p>
    <w:p w14:paraId="43FA0E5F" w14:textId="77777777" w:rsidR="00894070" w:rsidRDefault="009F6793">
      <w:pPr>
        <w:spacing w:before="58"/>
        <w:ind w:left="1239"/>
        <w:rPr>
          <w:b/>
          <w:sz w:val="20"/>
        </w:rPr>
      </w:pPr>
      <w:r>
        <w:pict w14:anchorId="333E6F08">
          <v:group id="_x0000_s1084" style="position:absolute;left:0;text-align:left;margin-left:79.35pt;margin-top:-6.55pt;width:436.55pt;height:347.1pt;z-index:-251486208;mso-position-horizontal-relative:page" coordorigin="1587,-131" coordsize="8731,6942">
            <v:rect id="_x0000_s1089" style="position:absolute;left:1592;top:-126;width:8721;height:6932" fillcolor="#fee7de" stroked="f"/>
            <v:line id="_x0000_s1088" style="position:absolute" from="1587,-126" to="10318,-126" strokecolor="#ea5b50" strokeweight=".5pt"/>
            <v:line id="_x0000_s1087" style="position:absolute" from="1592,6801" to="1592,-121" strokecolor="#ea5b50" strokeweight=".5pt"/>
            <v:line id="_x0000_s1086" style="position:absolute" from="10313,6801" to="10313,-121" strokecolor="#ea5b50" strokeweight=".5pt"/>
            <v:line id="_x0000_s1085" style="position:absolute" from="1587,6806" to="10318,6806" strokecolor="#ea5b50" strokeweight=".5pt"/>
            <w10:wrap anchorx="page"/>
          </v:group>
        </w:pict>
      </w:r>
      <w:r w:rsidR="009B7AFD">
        <w:rPr>
          <w:b/>
          <w:color w:val="231F20"/>
          <w:sz w:val="20"/>
        </w:rPr>
        <w:t>Problem Behaviour Program</w:t>
      </w:r>
    </w:p>
    <w:p w14:paraId="6B063963" w14:textId="77777777" w:rsidR="00894070" w:rsidRDefault="009B7AFD">
      <w:pPr>
        <w:pStyle w:val="BodyText"/>
        <w:spacing w:before="114" w:line="206" w:lineRule="auto"/>
        <w:ind w:left="1239" w:right="1465"/>
      </w:pPr>
      <w:r>
        <w:rPr>
          <w:color w:val="231F20"/>
        </w:rPr>
        <w:t>The Problem Behaviour Program (PBP) is a community-based service that provides assessment and treatment to individuals with high-risk problem behaviours, including stalking, sexual offending, violence and threatening behaviour. It is delivered through the Community Forensic Mental Health Service, located in Victoria’s northern suburbs.</w:t>
      </w:r>
    </w:p>
    <w:p w14:paraId="68D473DD" w14:textId="77777777" w:rsidR="00894070" w:rsidRDefault="009B7AFD">
      <w:pPr>
        <w:pStyle w:val="BodyText"/>
        <w:spacing w:before="93" w:line="259" w:lineRule="exact"/>
        <w:ind w:left="1239"/>
      </w:pPr>
      <w:r>
        <w:rPr>
          <w:color w:val="231F20"/>
        </w:rPr>
        <w:t>Since 2004, referrals of people for stalking have accounted for about one third of all PBP</w:t>
      </w:r>
    </w:p>
    <w:p w14:paraId="396DCA84" w14:textId="77777777" w:rsidR="00894070" w:rsidRDefault="009B7AFD">
      <w:pPr>
        <w:pStyle w:val="BodyText"/>
        <w:spacing w:line="259" w:lineRule="exact"/>
        <w:ind w:left="1239"/>
      </w:pPr>
      <w:r>
        <w:rPr>
          <w:color w:val="231F20"/>
        </w:rPr>
        <w:t>clients.</w:t>
      </w:r>
    </w:p>
    <w:p w14:paraId="43FEECA4" w14:textId="77777777" w:rsidR="00894070" w:rsidRDefault="009B7AFD">
      <w:pPr>
        <w:pStyle w:val="BodyText"/>
        <w:spacing w:before="115" w:line="206" w:lineRule="auto"/>
        <w:ind w:left="1239" w:right="1340"/>
      </w:pPr>
      <w:r>
        <w:rPr>
          <w:color w:val="231F20"/>
        </w:rPr>
        <w:t>The program includes psychiatric and psychological consultation and treatment for adults aged 18 years and over. It provides primary and secondary consultations, together with ongoing treatment for clients assessed as needing specialist forensic intervention.</w:t>
      </w:r>
    </w:p>
    <w:p w14:paraId="25C91C62" w14:textId="77777777" w:rsidR="00894070" w:rsidRDefault="009B7AFD">
      <w:pPr>
        <w:pStyle w:val="BodyText"/>
        <w:spacing w:before="124" w:line="206" w:lineRule="auto"/>
        <w:ind w:left="1239" w:right="1649"/>
      </w:pPr>
      <w:r>
        <w:rPr>
          <w:color w:val="231F20"/>
        </w:rPr>
        <w:t xml:space="preserve">The PBP is focused on stopping the stalking. It does this </w:t>
      </w:r>
      <w:r>
        <w:rPr>
          <w:color w:val="231F20"/>
          <w:spacing w:val="-3"/>
        </w:rPr>
        <w:t xml:space="preserve">by </w:t>
      </w:r>
      <w:r>
        <w:rPr>
          <w:color w:val="231F20"/>
        </w:rPr>
        <w:t>addressing the needs of the</w:t>
      </w:r>
      <w:r>
        <w:rPr>
          <w:color w:val="231F20"/>
          <w:spacing w:val="-5"/>
        </w:rPr>
        <w:t xml:space="preserve"> </w:t>
      </w:r>
      <w:r>
        <w:rPr>
          <w:color w:val="231F20"/>
        </w:rPr>
        <w:t>person</w:t>
      </w:r>
      <w:r>
        <w:rPr>
          <w:color w:val="231F20"/>
          <w:spacing w:val="-5"/>
        </w:rPr>
        <w:t xml:space="preserve"> </w:t>
      </w:r>
      <w:r>
        <w:rPr>
          <w:color w:val="231F20"/>
        </w:rPr>
        <w:t>stalking,</w:t>
      </w:r>
      <w:r>
        <w:rPr>
          <w:color w:val="231F20"/>
          <w:spacing w:val="-4"/>
        </w:rPr>
        <w:t xml:space="preserve"> </w:t>
      </w:r>
      <w:r>
        <w:rPr>
          <w:color w:val="231F20"/>
        </w:rPr>
        <w:t>as</w:t>
      </w:r>
      <w:r>
        <w:rPr>
          <w:color w:val="231F20"/>
          <w:spacing w:val="-5"/>
        </w:rPr>
        <w:t xml:space="preserve"> </w:t>
      </w:r>
      <w:r>
        <w:rPr>
          <w:color w:val="231F20"/>
        </w:rPr>
        <w:t>well</w:t>
      </w:r>
      <w:r>
        <w:rPr>
          <w:color w:val="231F20"/>
          <w:spacing w:val="-5"/>
        </w:rPr>
        <w:t xml:space="preserve"> </w:t>
      </w:r>
      <w:r>
        <w:rPr>
          <w:color w:val="231F20"/>
        </w:rPr>
        <w:t>as</w:t>
      </w:r>
      <w:r>
        <w:rPr>
          <w:color w:val="231F20"/>
          <w:spacing w:val="-4"/>
        </w:rPr>
        <w:t xml:space="preserve"> </w:t>
      </w:r>
      <w:r>
        <w:rPr>
          <w:color w:val="231F20"/>
        </w:rPr>
        <w:t>common</w:t>
      </w:r>
      <w:r>
        <w:rPr>
          <w:color w:val="231F20"/>
          <w:spacing w:val="-5"/>
        </w:rPr>
        <w:t xml:space="preserve"> </w:t>
      </w:r>
      <w:r>
        <w:rPr>
          <w:color w:val="231F20"/>
        </w:rPr>
        <w:t>issues</w:t>
      </w:r>
      <w:r>
        <w:rPr>
          <w:color w:val="231F20"/>
          <w:spacing w:val="-5"/>
        </w:rPr>
        <w:t xml:space="preserve"> </w:t>
      </w:r>
      <w:r>
        <w:rPr>
          <w:color w:val="231F20"/>
        </w:rPr>
        <w:t>such</w:t>
      </w:r>
      <w:r>
        <w:rPr>
          <w:color w:val="231F20"/>
          <w:spacing w:val="-4"/>
        </w:rPr>
        <w:t xml:space="preserve"> </w:t>
      </w:r>
      <w:r>
        <w:rPr>
          <w:color w:val="231F20"/>
        </w:rPr>
        <w:t>as</w:t>
      </w:r>
      <w:r>
        <w:rPr>
          <w:color w:val="231F20"/>
          <w:spacing w:val="-5"/>
        </w:rPr>
        <w:t xml:space="preserve"> </w:t>
      </w:r>
      <w:r>
        <w:rPr>
          <w:color w:val="231F20"/>
        </w:rPr>
        <w:t>emotional</w:t>
      </w:r>
      <w:r>
        <w:rPr>
          <w:color w:val="231F20"/>
          <w:spacing w:val="-5"/>
        </w:rPr>
        <w:t xml:space="preserve"> </w:t>
      </w:r>
      <w:r>
        <w:rPr>
          <w:color w:val="231F20"/>
        </w:rPr>
        <w:t>dysregulation,</w:t>
      </w:r>
      <w:r>
        <w:rPr>
          <w:color w:val="231F20"/>
          <w:spacing w:val="-4"/>
        </w:rPr>
        <w:t xml:space="preserve"> </w:t>
      </w:r>
      <w:r>
        <w:rPr>
          <w:color w:val="231F20"/>
        </w:rPr>
        <w:t>victim- blaming attitudes, and developing skills for responding to triggering</w:t>
      </w:r>
      <w:r>
        <w:rPr>
          <w:color w:val="231F20"/>
          <w:spacing w:val="-32"/>
        </w:rPr>
        <w:t xml:space="preserve"> </w:t>
      </w:r>
      <w:r>
        <w:rPr>
          <w:color w:val="231F20"/>
        </w:rPr>
        <w:t>events.</w:t>
      </w:r>
    </w:p>
    <w:p w14:paraId="2F52960C" w14:textId="77777777" w:rsidR="00894070" w:rsidRDefault="009B7AFD">
      <w:pPr>
        <w:pStyle w:val="BodyText"/>
        <w:spacing w:before="91" w:line="259" w:lineRule="exact"/>
        <w:ind w:left="1239"/>
      </w:pPr>
      <w:r>
        <w:rPr>
          <w:color w:val="231F20"/>
        </w:rPr>
        <w:t>Individuals may be referred as a condition of a parole order. Alternatively, anyone may</w:t>
      </w:r>
    </w:p>
    <w:p w14:paraId="0E5317EA" w14:textId="77777777" w:rsidR="00894070" w:rsidRDefault="009B7AFD">
      <w:pPr>
        <w:pStyle w:val="BodyText"/>
        <w:spacing w:line="259" w:lineRule="exact"/>
        <w:ind w:left="1239"/>
      </w:pPr>
      <w:r>
        <w:rPr>
          <w:color w:val="231F20"/>
        </w:rPr>
        <w:t>make a referral on behalf of another person, with their consent, or a person may self-refer.</w:t>
      </w:r>
    </w:p>
    <w:p w14:paraId="24C91F69" w14:textId="77777777" w:rsidR="00894070" w:rsidRDefault="009B7AFD">
      <w:pPr>
        <w:pStyle w:val="BodyText"/>
        <w:spacing w:before="115" w:line="206" w:lineRule="auto"/>
        <w:ind w:left="1239" w:right="1387"/>
      </w:pPr>
      <w:r>
        <w:rPr>
          <w:color w:val="231F20"/>
        </w:rPr>
        <w:t xml:space="preserve">An evaluation of the </w:t>
      </w:r>
      <w:r>
        <w:rPr>
          <w:color w:val="231F20"/>
          <w:spacing w:val="-6"/>
        </w:rPr>
        <w:t xml:space="preserve">PBP, </w:t>
      </w:r>
      <w:r>
        <w:rPr>
          <w:color w:val="231F20"/>
        </w:rPr>
        <w:t xml:space="preserve">authored </w:t>
      </w:r>
      <w:r>
        <w:rPr>
          <w:color w:val="231F20"/>
          <w:spacing w:val="-3"/>
        </w:rPr>
        <w:t xml:space="preserve">by </w:t>
      </w:r>
      <w:r>
        <w:rPr>
          <w:color w:val="231F20"/>
        </w:rPr>
        <w:t xml:space="preserve">Jennifer McCarthy, James Ogloff and </w:t>
      </w:r>
      <w:r>
        <w:rPr>
          <w:color w:val="231F20"/>
          <w:spacing w:val="-7"/>
        </w:rPr>
        <w:t xml:space="preserve">Troy </w:t>
      </w:r>
      <w:r>
        <w:rPr>
          <w:color w:val="231F20"/>
        </w:rPr>
        <w:t>McEwan, who are connected with Forensicare, published the following results:</w:t>
      </w:r>
    </w:p>
    <w:p w14:paraId="52C6C9D9" w14:textId="77777777" w:rsidR="00894070" w:rsidRDefault="009B7AFD">
      <w:pPr>
        <w:pStyle w:val="ListParagraph"/>
        <w:numPr>
          <w:ilvl w:val="2"/>
          <w:numId w:val="29"/>
        </w:numPr>
        <w:tabs>
          <w:tab w:val="left" w:pos="1579"/>
          <w:tab w:val="left" w:pos="1580"/>
        </w:tabs>
        <w:spacing w:before="122" w:line="206" w:lineRule="auto"/>
        <w:ind w:left="1579" w:right="1401" w:hanging="340"/>
        <w:rPr>
          <w:sz w:val="20"/>
        </w:rPr>
      </w:pPr>
      <w:r>
        <w:rPr>
          <w:color w:val="231F20"/>
          <w:sz w:val="20"/>
        </w:rPr>
        <w:t>The</w:t>
      </w:r>
      <w:r>
        <w:rPr>
          <w:color w:val="231F20"/>
          <w:spacing w:val="-9"/>
          <w:sz w:val="20"/>
        </w:rPr>
        <w:t xml:space="preserve"> </w:t>
      </w:r>
      <w:r>
        <w:rPr>
          <w:color w:val="231F20"/>
          <w:sz w:val="20"/>
        </w:rPr>
        <w:t>majority</w:t>
      </w:r>
      <w:r>
        <w:rPr>
          <w:color w:val="231F20"/>
          <w:spacing w:val="-9"/>
          <w:sz w:val="20"/>
        </w:rPr>
        <w:t xml:space="preserve"> </w:t>
      </w:r>
      <w:r>
        <w:rPr>
          <w:color w:val="231F20"/>
          <w:sz w:val="20"/>
        </w:rPr>
        <w:t>(66</w:t>
      </w:r>
      <w:r>
        <w:rPr>
          <w:color w:val="231F20"/>
          <w:spacing w:val="-8"/>
          <w:sz w:val="20"/>
        </w:rPr>
        <w:t xml:space="preserve"> </w:t>
      </w:r>
      <w:r>
        <w:rPr>
          <w:color w:val="231F20"/>
          <w:sz w:val="20"/>
        </w:rPr>
        <w:t>per</w:t>
      </w:r>
      <w:r>
        <w:rPr>
          <w:color w:val="231F20"/>
          <w:spacing w:val="-9"/>
          <w:sz w:val="20"/>
        </w:rPr>
        <w:t xml:space="preserve"> </w:t>
      </w:r>
      <w:r>
        <w:rPr>
          <w:color w:val="231F20"/>
          <w:sz w:val="20"/>
        </w:rPr>
        <w:t>cent)</w:t>
      </w:r>
      <w:r>
        <w:rPr>
          <w:color w:val="231F20"/>
          <w:spacing w:val="-9"/>
          <w:sz w:val="20"/>
        </w:rPr>
        <w:t xml:space="preserve"> </w:t>
      </w:r>
      <w:r>
        <w:rPr>
          <w:color w:val="231F20"/>
          <w:sz w:val="20"/>
        </w:rPr>
        <w:t>of</w:t>
      </w:r>
      <w:r>
        <w:rPr>
          <w:color w:val="231F20"/>
          <w:spacing w:val="-8"/>
          <w:sz w:val="20"/>
        </w:rPr>
        <w:t xml:space="preserve"> </w:t>
      </w:r>
      <w:r>
        <w:rPr>
          <w:color w:val="231F20"/>
          <w:sz w:val="20"/>
        </w:rPr>
        <w:t>clients</w:t>
      </w:r>
      <w:r>
        <w:rPr>
          <w:color w:val="231F20"/>
          <w:spacing w:val="-9"/>
          <w:sz w:val="20"/>
        </w:rPr>
        <w:t xml:space="preserve"> </w:t>
      </w:r>
      <w:r>
        <w:rPr>
          <w:color w:val="231F20"/>
          <w:sz w:val="20"/>
        </w:rPr>
        <w:t>who</w:t>
      </w:r>
      <w:r>
        <w:rPr>
          <w:color w:val="231F20"/>
          <w:spacing w:val="-8"/>
          <w:sz w:val="20"/>
        </w:rPr>
        <w:t xml:space="preserve"> </w:t>
      </w:r>
      <w:r>
        <w:rPr>
          <w:color w:val="231F20"/>
          <w:sz w:val="20"/>
        </w:rPr>
        <w:t>attended</w:t>
      </w:r>
      <w:r>
        <w:rPr>
          <w:color w:val="231F20"/>
          <w:spacing w:val="-9"/>
          <w:sz w:val="20"/>
        </w:rPr>
        <w:t xml:space="preserve"> </w:t>
      </w:r>
      <w:r>
        <w:rPr>
          <w:color w:val="231F20"/>
          <w:sz w:val="20"/>
        </w:rPr>
        <w:t>the</w:t>
      </w:r>
      <w:r>
        <w:rPr>
          <w:color w:val="231F20"/>
          <w:spacing w:val="-9"/>
          <w:sz w:val="20"/>
        </w:rPr>
        <w:t xml:space="preserve"> </w:t>
      </w:r>
      <w:r>
        <w:rPr>
          <w:color w:val="231F20"/>
          <w:sz w:val="20"/>
        </w:rPr>
        <w:t>PBP</w:t>
      </w:r>
      <w:r>
        <w:rPr>
          <w:color w:val="231F20"/>
          <w:spacing w:val="-8"/>
          <w:sz w:val="20"/>
        </w:rPr>
        <w:t xml:space="preserve"> </w:t>
      </w:r>
      <w:r>
        <w:rPr>
          <w:color w:val="231F20"/>
          <w:spacing w:val="-3"/>
          <w:sz w:val="20"/>
        </w:rPr>
        <w:t>for</w:t>
      </w:r>
      <w:r>
        <w:rPr>
          <w:color w:val="231F20"/>
          <w:spacing w:val="-9"/>
          <w:sz w:val="20"/>
        </w:rPr>
        <w:t xml:space="preserve"> </w:t>
      </w:r>
      <w:r>
        <w:rPr>
          <w:color w:val="231F20"/>
          <w:sz w:val="20"/>
        </w:rPr>
        <w:t>assessment</w:t>
      </w:r>
      <w:r>
        <w:rPr>
          <w:color w:val="231F20"/>
          <w:spacing w:val="-8"/>
          <w:sz w:val="20"/>
        </w:rPr>
        <w:t xml:space="preserve"> </w:t>
      </w:r>
      <w:r>
        <w:rPr>
          <w:color w:val="231F20"/>
          <w:sz w:val="20"/>
        </w:rPr>
        <w:t>did</w:t>
      </w:r>
      <w:r>
        <w:rPr>
          <w:color w:val="231F20"/>
          <w:spacing w:val="-9"/>
          <w:sz w:val="20"/>
        </w:rPr>
        <w:t xml:space="preserve"> </w:t>
      </w:r>
      <w:r>
        <w:rPr>
          <w:color w:val="231F20"/>
          <w:sz w:val="20"/>
        </w:rPr>
        <w:t>not</w:t>
      </w:r>
      <w:r>
        <w:rPr>
          <w:color w:val="231F20"/>
          <w:spacing w:val="-9"/>
          <w:sz w:val="20"/>
        </w:rPr>
        <w:t xml:space="preserve"> </w:t>
      </w:r>
      <w:r>
        <w:rPr>
          <w:color w:val="231F20"/>
          <w:spacing w:val="-4"/>
          <w:sz w:val="20"/>
        </w:rPr>
        <w:t xml:space="preserve">have </w:t>
      </w:r>
      <w:r>
        <w:rPr>
          <w:color w:val="231F20"/>
          <w:sz w:val="20"/>
        </w:rPr>
        <w:t xml:space="preserve">further charges in the </w:t>
      </w:r>
      <w:r>
        <w:rPr>
          <w:color w:val="231F20"/>
          <w:spacing w:val="-4"/>
          <w:sz w:val="20"/>
        </w:rPr>
        <w:t xml:space="preserve">follow-up </w:t>
      </w:r>
      <w:r>
        <w:rPr>
          <w:color w:val="231F20"/>
          <w:sz w:val="20"/>
        </w:rPr>
        <w:t>period</w:t>
      </w:r>
      <w:r>
        <w:rPr>
          <w:color w:val="231F20"/>
          <w:spacing w:val="-24"/>
          <w:sz w:val="20"/>
        </w:rPr>
        <w:t xml:space="preserve"> </w:t>
      </w:r>
      <w:r>
        <w:rPr>
          <w:color w:val="231F20"/>
          <w:sz w:val="20"/>
        </w:rPr>
        <w:t>(2006–2011).</w:t>
      </w:r>
    </w:p>
    <w:p w14:paraId="2F3A6758" w14:textId="77777777" w:rsidR="00894070" w:rsidRDefault="009B7AFD">
      <w:pPr>
        <w:pStyle w:val="ListParagraph"/>
        <w:numPr>
          <w:ilvl w:val="2"/>
          <w:numId w:val="29"/>
        </w:numPr>
        <w:tabs>
          <w:tab w:val="left" w:pos="1579"/>
          <w:tab w:val="left" w:pos="1580"/>
        </w:tabs>
        <w:spacing w:before="56" w:line="259" w:lineRule="exact"/>
        <w:ind w:left="1579" w:hanging="340"/>
        <w:rPr>
          <w:sz w:val="20"/>
        </w:rPr>
      </w:pPr>
      <w:r>
        <w:rPr>
          <w:color w:val="231F20"/>
          <w:sz w:val="20"/>
        </w:rPr>
        <w:t>There</w:t>
      </w:r>
      <w:r>
        <w:rPr>
          <w:color w:val="231F20"/>
          <w:spacing w:val="-6"/>
          <w:sz w:val="20"/>
        </w:rPr>
        <w:t xml:space="preserve"> </w:t>
      </w:r>
      <w:r>
        <w:rPr>
          <w:color w:val="231F20"/>
          <w:sz w:val="20"/>
        </w:rPr>
        <w:t>was</w:t>
      </w:r>
      <w:r>
        <w:rPr>
          <w:color w:val="231F20"/>
          <w:spacing w:val="-6"/>
          <w:sz w:val="20"/>
        </w:rPr>
        <w:t xml:space="preserve"> </w:t>
      </w:r>
      <w:r>
        <w:rPr>
          <w:color w:val="231F20"/>
          <w:sz w:val="20"/>
        </w:rPr>
        <w:t>a</w:t>
      </w:r>
      <w:r>
        <w:rPr>
          <w:color w:val="231F20"/>
          <w:spacing w:val="-6"/>
          <w:sz w:val="20"/>
        </w:rPr>
        <w:t xml:space="preserve"> </w:t>
      </w:r>
      <w:r>
        <w:rPr>
          <w:color w:val="231F20"/>
          <w:sz w:val="20"/>
        </w:rPr>
        <w:t>significant</w:t>
      </w:r>
      <w:r>
        <w:rPr>
          <w:color w:val="231F20"/>
          <w:spacing w:val="-6"/>
          <w:sz w:val="20"/>
        </w:rPr>
        <w:t xml:space="preserve"> </w:t>
      </w:r>
      <w:r>
        <w:rPr>
          <w:color w:val="231F20"/>
          <w:sz w:val="20"/>
        </w:rPr>
        <w:t>reduction</w:t>
      </w:r>
      <w:r>
        <w:rPr>
          <w:color w:val="231F20"/>
          <w:spacing w:val="-5"/>
          <w:sz w:val="20"/>
        </w:rPr>
        <w:t xml:space="preserve"> </w:t>
      </w:r>
      <w:r>
        <w:rPr>
          <w:color w:val="231F20"/>
          <w:sz w:val="20"/>
        </w:rPr>
        <w:t>in</w:t>
      </w:r>
      <w:r>
        <w:rPr>
          <w:color w:val="231F20"/>
          <w:spacing w:val="-6"/>
          <w:sz w:val="20"/>
        </w:rPr>
        <w:t xml:space="preserve"> </w:t>
      </w:r>
      <w:r>
        <w:rPr>
          <w:color w:val="231F20"/>
          <w:sz w:val="20"/>
        </w:rPr>
        <w:t>the</w:t>
      </w:r>
      <w:r>
        <w:rPr>
          <w:color w:val="231F20"/>
          <w:spacing w:val="-6"/>
          <w:sz w:val="20"/>
        </w:rPr>
        <w:t xml:space="preserve"> </w:t>
      </w:r>
      <w:r>
        <w:rPr>
          <w:color w:val="231F20"/>
          <w:sz w:val="20"/>
        </w:rPr>
        <w:t>number</w:t>
      </w:r>
      <w:r>
        <w:rPr>
          <w:color w:val="231F20"/>
          <w:spacing w:val="-6"/>
          <w:sz w:val="20"/>
        </w:rPr>
        <w:t xml:space="preserve"> </w:t>
      </w:r>
      <w:r>
        <w:rPr>
          <w:color w:val="231F20"/>
          <w:sz w:val="20"/>
        </w:rPr>
        <w:t>of</w:t>
      </w:r>
      <w:r>
        <w:rPr>
          <w:color w:val="231F20"/>
          <w:spacing w:val="-5"/>
          <w:sz w:val="20"/>
        </w:rPr>
        <w:t xml:space="preserve"> </w:t>
      </w:r>
      <w:r>
        <w:rPr>
          <w:color w:val="231F20"/>
          <w:spacing w:val="-3"/>
          <w:sz w:val="20"/>
        </w:rPr>
        <w:t>acute</w:t>
      </w:r>
      <w:r>
        <w:rPr>
          <w:color w:val="231F20"/>
          <w:spacing w:val="-6"/>
          <w:sz w:val="20"/>
        </w:rPr>
        <w:t xml:space="preserve"> </w:t>
      </w:r>
      <w:r>
        <w:rPr>
          <w:color w:val="231F20"/>
          <w:sz w:val="20"/>
        </w:rPr>
        <w:t>mental</w:t>
      </w:r>
      <w:r>
        <w:rPr>
          <w:color w:val="231F20"/>
          <w:spacing w:val="-6"/>
          <w:sz w:val="20"/>
        </w:rPr>
        <w:t xml:space="preserve"> </w:t>
      </w:r>
      <w:r>
        <w:rPr>
          <w:color w:val="231F20"/>
          <w:sz w:val="20"/>
        </w:rPr>
        <w:t>health</w:t>
      </w:r>
      <w:r>
        <w:rPr>
          <w:color w:val="231F20"/>
          <w:spacing w:val="-6"/>
          <w:sz w:val="20"/>
        </w:rPr>
        <w:t xml:space="preserve"> </w:t>
      </w:r>
      <w:r>
        <w:rPr>
          <w:color w:val="231F20"/>
          <w:sz w:val="20"/>
        </w:rPr>
        <w:t>contacts</w:t>
      </w:r>
      <w:r>
        <w:rPr>
          <w:color w:val="231F20"/>
          <w:spacing w:val="-5"/>
          <w:sz w:val="20"/>
        </w:rPr>
        <w:t xml:space="preserve"> </w:t>
      </w:r>
      <w:r>
        <w:rPr>
          <w:color w:val="231F20"/>
          <w:spacing w:val="-3"/>
          <w:sz w:val="20"/>
        </w:rPr>
        <w:t>by</w:t>
      </w:r>
    </w:p>
    <w:p w14:paraId="6E9B68D1" w14:textId="77777777" w:rsidR="00894070" w:rsidRDefault="009B7AFD">
      <w:pPr>
        <w:pStyle w:val="BodyText"/>
        <w:spacing w:line="259" w:lineRule="exact"/>
        <w:ind w:left="1579"/>
      </w:pPr>
      <w:r>
        <w:rPr>
          <w:color w:val="231F20"/>
        </w:rPr>
        <w:t>clients after assessment or treatment.</w:t>
      </w:r>
    </w:p>
    <w:p w14:paraId="5B110F90" w14:textId="77777777" w:rsidR="00894070" w:rsidRDefault="009B7AFD">
      <w:pPr>
        <w:pStyle w:val="ListParagraph"/>
        <w:numPr>
          <w:ilvl w:val="2"/>
          <w:numId w:val="29"/>
        </w:numPr>
        <w:tabs>
          <w:tab w:val="left" w:pos="1579"/>
          <w:tab w:val="left" w:pos="1580"/>
        </w:tabs>
        <w:spacing w:before="79" w:line="206" w:lineRule="auto"/>
        <w:ind w:left="1579" w:right="1512" w:hanging="340"/>
        <w:rPr>
          <w:sz w:val="11"/>
        </w:rPr>
      </w:pPr>
      <w:r>
        <w:rPr>
          <w:color w:val="231F20"/>
          <w:sz w:val="20"/>
        </w:rPr>
        <w:t>Clients</w:t>
      </w:r>
      <w:r>
        <w:rPr>
          <w:color w:val="231F20"/>
          <w:spacing w:val="-10"/>
          <w:sz w:val="20"/>
        </w:rPr>
        <w:t xml:space="preserve"> </w:t>
      </w:r>
      <w:r>
        <w:rPr>
          <w:color w:val="231F20"/>
          <w:sz w:val="20"/>
        </w:rPr>
        <w:t>reported</w:t>
      </w:r>
      <w:r>
        <w:rPr>
          <w:color w:val="231F20"/>
          <w:spacing w:val="-10"/>
          <w:sz w:val="20"/>
        </w:rPr>
        <w:t xml:space="preserve"> </w:t>
      </w:r>
      <w:r>
        <w:rPr>
          <w:color w:val="231F20"/>
          <w:spacing w:val="-3"/>
          <w:sz w:val="20"/>
        </w:rPr>
        <w:t>overall</w:t>
      </w:r>
      <w:r>
        <w:rPr>
          <w:color w:val="231F20"/>
          <w:spacing w:val="-10"/>
          <w:sz w:val="20"/>
        </w:rPr>
        <w:t xml:space="preserve"> </w:t>
      </w:r>
      <w:r>
        <w:rPr>
          <w:color w:val="231F20"/>
          <w:sz w:val="20"/>
        </w:rPr>
        <w:t>high</w:t>
      </w:r>
      <w:r>
        <w:rPr>
          <w:color w:val="231F20"/>
          <w:spacing w:val="-10"/>
          <w:sz w:val="20"/>
        </w:rPr>
        <w:t xml:space="preserve"> </w:t>
      </w:r>
      <w:r>
        <w:rPr>
          <w:color w:val="231F20"/>
          <w:spacing w:val="-3"/>
          <w:sz w:val="20"/>
        </w:rPr>
        <w:t>levels</w:t>
      </w:r>
      <w:r>
        <w:rPr>
          <w:color w:val="231F20"/>
          <w:spacing w:val="-10"/>
          <w:sz w:val="20"/>
        </w:rPr>
        <w:t xml:space="preserve"> </w:t>
      </w:r>
      <w:r>
        <w:rPr>
          <w:color w:val="231F20"/>
          <w:sz w:val="20"/>
        </w:rPr>
        <w:t>of</w:t>
      </w:r>
      <w:r>
        <w:rPr>
          <w:color w:val="231F20"/>
          <w:spacing w:val="-9"/>
          <w:sz w:val="20"/>
        </w:rPr>
        <w:t xml:space="preserve"> </w:t>
      </w:r>
      <w:r>
        <w:rPr>
          <w:color w:val="231F20"/>
          <w:sz w:val="20"/>
        </w:rPr>
        <w:t>satisfaction</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0"/>
          <w:sz w:val="20"/>
        </w:rPr>
        <w:t xml:space="preserve"> </w:t>
      </w:r>
      <w:r>
        <w:rPr>
          <w:color w:val="231F20"/>
          <w:sz w:val="20"/>
        </w:rPr>
        <w:t>service</w:t>
      </w:r>
      <w:r>
        <w:rPr>
          <w:color w:val="231F20"/>
          <w:spacing w:val="-10"/>
          <w:sz w:val="20"/>
        </w:rPr>
        <w:t xml:space="preserve"> </w:t>
      </w:r>
      <w:r>
        <w:rPr>
          <w:color w:val="231F20"/>
          <w:sz w:val="20"/>
        </w:rPr>
        <w:t>and</w:t>
      </w:r>
      <w:r>
        <w:rPr>
          <w:color w:val="231F20"/>
          <w:spacing w:val="-9"/>
          <w:sz w:val="20"/>
        </w:rPr>
        <w:t xml:space="preserve"> </w:t>
      </w:r>
      <w:r>
        <w:rPr>
          <w:color w:val="231F20"/>
          <w:sz w:val="20"/>
        </w:rPr>
        <w:t>identified</w:t>
      </w:r>
      <w:r>
        <w:rPr>
          <w:color w:val="231F20"/>
          <w:spacing w:val="-10"/>
          <w:sz w:val="20"/>
        </w:rPr>
        <w:t xml:space="preserve"> </w:t>
      </w:r>
      <w:r>
        <w:rPr>
          <w:color w:val="231F20"/>
          <w:sz w:val="20"/>
        </w:rPr>
        <w:t>that</w:t>
      </w:r>
      <w:r>
        <w:rPr>
          <w:color w:val="231F20"/>
          <w:spacing w:val="-10"/>
          <w:sz w:val="20"/>
        </w:rPr>
        <w:t xml:space="preserve"> </w:t>
      </w:r>
      <w:r>
        <w:rPr>
          <w:color w:val="231F20"/>
          <w:sz w:val="20"/>
        </w:rPr>
        <w:t>it assisted them in understanding and managing their</w:t>
      </w:r>
      <w:r>
        <w:rPr>
          <w:color w:val="231F20"/>
          <w:spacing w:val="-37"/>
          <w:sz w:val="20"/>
        </w:rPr>
        <w:t xml:space="preserve"> </w:t>
      </w:r>
      <w:r>
        <w:rPr>
          <w:color w:val="231F20"/>
          <w:sz w:val="20"/>
        </w:rPr>
        <w:t>behaviour.</w:t>
      </w:r>
      <w:r>
        <w:rPr>
          <w:color w:val="231F20"/>
          <w:position w:val="7"/>
          <w:sz w:val="11"/>
        </w:rPr>
        <w:t>52</w:t>
      </w:r>
    </w:p>
    <w:p w14:paraId="388EE80C" w14:textId="77777777" w:rsidR="00894070" w:rsidRDefault="00894070">
      <w:pPr>
        <w:pStyle w:val="BodyText"/>
      </w:pPr>
    </w:p>
    <w:p w14:paraId="5D68DAF1" w14:textId="77777777" w:rsidR="00894070" w:rsidRDefault="00894070">
      <w:pPr>
        <w:pStyle w:val="BodyText"/>
      </w:pPr>
    </w:p>
    <w:p w14:paraId="1AA42D70" w14:textId="77777777" w:rsidR="00894070" w:rsidRDefault="00894070">
      <w:pPr>
        <w:pStyle w:val="BodyText"/>
      </w:pPr>
    </w:p>
    <w:p w14:paraId="276FEC05" w14:textId="77777777" w:rsidR="00894070" w:rsidRDefault="009F6793">
      <w:pPr>
        <w:pStyle w:val="BodyText"/>
        <w:spacing w:before="5"/>
      </w:pPr>
      <w:r>
        <w:pict w14:anchorId="7D365C4C">
          <v:line id="_x0000_s1083" style="position:absolute;z-index:251769856;mso-wrap-distance-left:0;mso-wrap-distance-right:0;mso-position-horizontal-relative:page" from="79.35pt,16.6pt" to="515.9pt,16.6pt" strokecolor="#f8cabc" strokeweight="1pt">
            <w10:wrap type="topAndBottom" anchorx="page"/>
          </v:line>
        </w:pict>
      </w:r>
    </w:p>
    <w:p w14:paraId="0BBE367D" w14:textId="77777777" w:rsidR="00894070" w:rsidRDefault="00894070">
      <w:pPr>
        <w:pStyle w:val="BodyText"/>
        <w:rPr>
          <w:sz w:val="5"/>
        </w:rPr>
      </w:pPr>
    </w:p>
    <w:p w14:paraId="1B3D1581" w14:textId="77777777" w:rsidR="00894070" w:rsidRDefault="00894070">
      <w:pPr>
        <w:rPr>
          <w:sz w:val="5"/>
        </w:rPr>
        <w:sectPr w:rsidR="00894070">
          <w:pgSz w:w="11910" w:h="16840"/>
          <w:pgMar w:top="860" w:right="420" w:bottom="280" w:left="580" w:header="567" w:footer="0" w:gutter="0"/>
          <w:cols w:space="720"/>
        </w:sectPr>
      </w:pPr>
    </w:p>
    <w:p w14:paraId="116EC344" w14:textId="77777777" w:rsidR="00894070" w:rsidRDefault="00894070">
      <w:pPr>
        <w:pStyle w:val="BodyText"/>
        <w:rPr>
          <w:sz w:val="28"/>
        </w:rPr>
      </w:pPr>
    </w:p>
    <w:p w14:paraId="6145D387" w14:textId="77777777" w:rsidR="00894070" w:rsidRDefault="00894070">
      <w:pPr>
        <w:pStyle w:val="BodyText"/>
        <w:rPr>
          <w:sz w:val="28"/>
        </w:rPr>
      </w:pPr>
    </w:p>
    <w:p w14:paraId="4ED0DB5A" w14:textId="77777777" w:rsidR="00894070" w:rsidRDefault="009B7AFD">
      <w:pPr>
        <w:pStyle w:val="Heading8"/>
        <w:spacing w:before="237"/>
        <w:ind w:left="140"/>
      </w:pPr>
      <w:r>
        <w:rPr>
          <w:color w:val="EA5B50"/>
        </w:rPr>
        <w:t>168</w:t>
      </w:r>
    </w:p>
    <w:p w14:paraId="3D7BE875" w14:textId="77777777" w:rsidR="00894070" w:rsidRDefault="009B7AFD">
      <w:pPr>
        <w:pStyle w:val="ListParagraph"/>
        <w:numPr>
          <w:ilvl w:val="0"/>
          <w:numId w:val="27"/>
        </w:numPr>
        <w:tabs>
          <w:tab w:val="left" w:pos="933"/>
          <w:tab w:val="left" w:pos="934"/>
        </w:tabs>
        <w:spacing w:before="21" w:line="170" w:lineRule="exact"/>
        <w:ind w:left="933" w:hanging="793"/>
        <w:jc w:val="left"/>
        <w:rPr>
          <w:sz w:val="13"/>
        </w:rPr>
      </w:pPr>
      <w:r>
        <w:rPr>
          <w:color w:val="231F20"/>
          <w:spacing w:val="2"/>
          <w:sz w:val="13"/>
        </w:rPr>
        <w:br w:type="column"/>
      </w:r>
      <w:r>
        <w:rPr>
          <w:color w:val="231F20"/>
          <w:sz w:val="13"/>
        </w:rPr>
        <w:t>Paraphrased</w:t>
      </w:r>
      <w:r>
        <w:rPr>
          <w:color w:val="231F20"/>
          <w:spacing w:val="2"/>
          <w:sz w:val="13"/>
        </w:rPr>
        <w:t xml:space="preserve"> </w:t>
      </w:r>
      <w:r>
        <w:rPr>
          <w:color w:val="231F20"/>
          <w:sz w:val="13"/>
        </w:rPr>
        <w:t>from</w:t>
      </w:r>
      <w:r>
        <w:rPr>
          <w:color w:val="231F20"/>
          <w:spacing w:val="3"/>
          <w:sz w:val="13"/>
        </w:rPr>
        <w:t xml:space="preserve"> </w:t>
      </w:r>
      <w:r>
        <w:rPr>
          <w:color w:val="231F20"/>
          <w:spacing w:val="2"/>
          <w:sz w:val="13"/>
        </w:rPr>
        <w:t xml:space="preserve">Rosemary </w:t>
      </w:r>
      <w:r>
        <w:rPr>
          <w:color w:val="231F20"/>
          <w:sz w:val="13"/>
        </w:rPr>
        <w:t>Purcell</w:t>
      </w:r>
      <w:r>
        <w:rPr>
          <w:color w:val="231F20"/>
          <w:spacing w:val="3"/>
          <w:sz w:val="13"/>
        </w:rPr>
        <w:t xml:space="preserve"> </w:t>
      </w:r>
      <w:r>
        <w:rPr>
          <w:color w:val="231F20"/>
          <w:sz w:val="13"/>
        </w:rPr>
        <w:t>and</w:t>
      </w:r>
      <w:r>
        <w:rPr>
          <w:color w:val="231F20"/>
          <w:spacing w:val="2"/>
          <w:sz w:val="13"/>
        </w:rPr>
        <w:t xml:space="preserve"> </w:t>
      </w:r>
      <w:r>
        <w:rPr>
          <w:color w:val="231F20"/>
          <w:spacing w:val="-3"/>
          <w:sz w:val="13"/>
        </w:rPr>
        <w:t>Troy</w:t>
      </w:r>
      <w:r>
        <w:rPr>
          <w:color w:val="231F20"/>
          <w:spacing w:val="3"/>
          <w:sz w:val="13"/>
        </w:rPr>
        <w:t xml:space="preserve"> </w:t>
      </w:r>
      <w:r>
        <w:rPr>
          <w:color w:val="231F20"/>
          <w:sz w:val="13"/>
        </w:rPr>
        <w:t>McEwan,</w:t>
      </w:r>
      <w:r>
        <w:rPr>
          <w:color w:val="231F20"/>
          <w:spacing w:val="2"/>
          <w:sz w:val="13"/>
        </w:rPr>
        <w:t xml:space="preserve"> </w:t>
      </w:r>
      <w:r>
        <w:rPr>
          <w:color w:val="231F20"/>
          <w:sz w:val="13"/>
        </w:rPr>
        <w:t>‘Treatment</w:t>
      </w:r>
      <w:r>
        <w:rPr>
          <w:color w:val="231F20"/>
          <w:spacing w:val="3"/>
          <w:sz w:val="13"/>
        </w:rPr>
        <w:t xml:space="preserve"> </w:t>
      </w:r>
      <w:r>
        <w:rPr>
          <w:color w:val="231F20"/>
          <w:sz w:val="13"/>
        </w:rPr>
        <w:t>Approaches</w:t>
      </w:r>
      <w:r>
        <w:rPr>
          <w:color w:val="231F20"/>
          <w:spacing w:val="2"/>
          <w:sz w:val="13"/>
        </w:rPr>
        <w:t xml:space="preserve"> </w:t>
      </w:r>
      <w:r>
        <w:rPr>
          <w:color w:val="231F20"/>
          <w:sz w:val="13"/>
        </w:rPr>
        <w:t>for</w:t>
      </w:r>
      <w:r>
        <w:rPr>
          <w:color w:val="231F20"/>
          <w:spacing w:val="3"/>
          <w:sz w:val="13"/>
        </w:rPr>
        <w:t xml:space="preserve"> </w:t>
      </w:r>
      <w:r>
        <w:rPr>
          <w:color w:val="231F20"/>
          <w:sz w:val="13"/>
        </w:rPr>
        <w:t>Stalking’</w:t>
      </w:r>
      <w:r>
        <w:rPr>
          <w:color w:val="231F20"/>
          <w:spacing w:val="2"/>
          <w:sz w:val="13"/>
        </w:rPr>
        <w:t xml:space="preserve"> </w:t>
      </w:r>
      <w:r>
        <w:rPr>
          <w:color w:val="231F20"/>
          <w:sz w:val="13"/>
        </w:rPr>
        <w:t>in</w:t>
      </w:r>
      <w:r>
        <w:rPr>
          <w:color w:val="231F20"/>
          <w:spacing w:val="3"/>
          <w:sz w:val="13"/>
        </w:rPr>
        <w:t xml:space="preserve"> </w:t>
      </w:r>
      <w:r>
        <w:rPr>
          <w:color w:val="231F20"/>
          <w:sz w:val="13"/>
        </w:rPr>
        <w:t>Jane</w:t>
      </w:r>
      <w:r>
        <w:rPr>
          <w:color w:val="231F20"/>
          <w:spacing w:val="2"/>
          <w:sz w:val="13"/>
        </w:rPr>
        <w:t xml:space="preserve"> </w:t>
      </w:r>
      <w:r>
        <w:rPr>
          <w:color w:val="231F20"/>
          <w:sz w:val="13"/>
        </w:rPr>
        <w:t>L</w:t>
      </w:r>
      <w:r>
        <w:rPr>
          <w:color w:val="231F20"/>
          <w:spacing w:val="3"/>
          <w:sz w:val="13"/>
        </w:rPr>
        <w:t xml:space="preserve"> </w:t>
      </w:r>
      <w:r>
        <w:rPr>
          <w:color w:val="231F20"/>
          <w:sz w:val="13"/>
        </w:rPr>
        <w:t>Ireland,</w:t>
      </w:r>
      <w:r>
        <w:rPr>
          <w:color w:val="231F20"/>
          <w:spacing w:val="3"/>
          <w:sz w:val="13"/>
        </w:rPr>
        <w:t xml:space="preserve"> </w:t>
      </w:r>
      <w:r>
        <w:rPr>
          <w:color w:val="231F20"/>
          <w:sz w:val="13"/>
        </w:rPr>
        <w:t>Carol</w:t>
      </w:r>
      <w:r>
        <w:rPr>
          <w:color w:val="231F20"/>
          <w:spacing w:val="2"/>
          <w:sz w:val="13"/>
        </w:rPr>
        <w:t xml:space="preserve"> </w:t>
      </w:r>
      <w:r>
        <w:rPr>
          <w:color w:val="231F20"/>
          <w:sz w:val="13"/>
        </w:rPr>
        <w:t>A</w:t>
      </w:r>
      <w:r>
        <w:rPr>
          <w:color w:val="231F20"/>
          <w:spacing w:val="3"/>
          <w:sz w:val="13"/>
        </w:rPr>
        <w:t xml:space="preserve"> </w:t>
      </w:r>
      <w:r>
        <w:rPr>
          <w:color w:val="231F20"/>
          <w:sz w:val="13"/>
        </w:rPr>
        <w:t>Ireland</w:t>
      </w:r>
      <w:r>
        <w:rPr>
          <w:color w:val="231F20"/>
          <w:spacing w:val="2"/>
          <w:sz w:val="13"/>
        </w:rPr>
        <w:t xml:space="preserve"> </w:t>
      </w:r>
      <w:r>
        <w:rPr>
          <w:color w:val="231F20"/>
          <w:sz w:val="13"/>
        </w:rPr>
        <w:t>and</w:t>
      </w:r>
    </w:p>
    <w:p w14:paraId="5591A566" w14:textId="77777777" w:rsidR="00894070" w:rsidRDefault="009B7AFD">
      <w:pPr>
        <w:spacing w:line="160" w:lineRule="exact"/>
        <w:ind w:left="933"/>
        <w:rPr>
          <w:sz w:val="13"/>
        </w:rPr>
      </w:pPr>
      <w:r>
        <w:rPr>
          <w:color w:val="231F20"/>
          <w:sz w:val="13"/>
        </w:rPr>
        <w:t xml:space="preserve">Philip Birch (eds), </w:t>
      </w:r>
      <w:r>
        <w:rPr>
          <w:i/>
          <w:color w:val="231F20"/>
          <w:sz w:val="13"/>
        </w:rPr>
        <w:t xml:space="preserve">Violent and Sexual Offenders: Assessment, Treatment and Management </w:t>
      </w:r>
      <w:r>
        <w:rPr>
          <w:color w:val="231F20"/>
          <w:sz w:val="13"/>
        </w:rPr>
        <w:t>(Routledge, 2nd ed, 2018) 400, 506.</w:t>
      </w:r>
    </w:p>
    <w:p w14:paraId="4F830C2D" w14:textId="77777777" w:rsidR="00894070" w:rsidRDefault="009B7AFD">
      <w:pPr>
        <w:pStyle w:val="ListParagraph"/>
        <w:numPr>
          <w:ilvl w:val="0"/>
          <w:numId w:val="27"/>
        </w:numPr>
        <w:tabs>
          <w:tab w:val="left" w:pos="933"/>
          <w:tab w:val="left" w:pos="934"/>
        </w:tabs>
        <w:spacing w:before="7" w:line="213" w:lineRule="auto"/>
        <w:ind w:left="933" w:right="1307" w:hanging="793"/>
        <w:jc w:val="left"/>
        <w:rPr>
          <w:sz w:val="13"/>
        </w:rPr>
      </w:pPr>
      <w:r>
        <w:rPr>
          <w:color w:val="231F20"/>
          <w:spacing w:val="2"/>
          <w:sz w:val="13"/>
        </w:rPr>
        <w:t xml:space="preserve">‘Mental </w:t>
      </w:r>
      <w:r>
        <w:rPr>
          <w:color w:val="231F20"/>
          <w:sz w:val="13"/>
        </w:rPr>
        <w:t xml:space="preserve">Impairment and Sentencing’, </w:t>
      </w:r>
      <w:r>
        <w:rPr>
          <w:i/>
          <w:color w:val="231F20"/>
          <w:sz w:val="13"/>
        </w:rPr>
        <w:t xml:space="preserve">Sentencing Advisory Council </w:t>
      </w:r>
      <w:r>
        <w:rPr>
          <w:color w:val="231F20"/>
          <w:sz w:val="13"/>
        </w:rPr>
        <w:t>(Web Page, February 2021</w:t>
      </w:r>
      <w:hyperlink r:id="rId191">
        <w:r>
          <w:rPr>
            <w:color w:val="231F20"/>
            <w:sz w:val="13"/>
          </w:rPr>
          <w:t>) &lt;https://www.sentencingcouncil.</w:t>
        </w:r>
      </w:hyperlink>
      <w:hyperlink r:id="rId192">
        <w:r>
          <w:rPr>
            <w:color w:val="231F20"/>
            <w:sz w:val="13"/>
          </w:rPr>
          <w:t xml:space="preserve"> vic.gov.au/about-sentencing/mental-impairment-and-sentencing</w:t>
        </w:r>
      </w:hyperlink>
      <w:r>
        <w:rPr>
          <w:color w:val="231F20"/>
          <w:sz w:val="13"/>
        </w:rPr>
        <w:t>&gt;.</w:t>
      </w:r>
    </w:p>
    <w:p w14:paraId="7176F72E" w14:textId="77777777" w:rsidR="00894070" w:rsidRDefault="009B7AFD">
      <w:pPr>
        <w:pStyle w:val="ListParagraph"/>
        <w:numPr>
          <w:ilvl w:val="0"/>
          <w:numId w:val="27"/>
        </w:numPr>
        <w:tabs>
          <w:tab w:val="left" w:pos="933"/>
          <w:tab w:val="left" w:pos="934"/>
        </w:tabs>
        <w:spacing w:line="213" w:lineRule="auto"/>
        <w:ind w:left="933" w:right="1215" w:hanging="793"/>
        <w:jc w:val="left"/>
        <w:rPr>
          <w:sz w:val="13"/>
        </w:rPr>
      </w:pPr>
      <w:r>
        <w:rPr>
          <w:color w:val="231F20"/>
          <w:sz w:val="13"/>
        </w:rPr>
        <w:t xml:space="preserve">Consultation 15 (Forensicare (No 1)); Jennifer McCarthy, James Ogloff and </w:t>
      </w:r>
      <w:r>
        <w:rPr>
          <w:color w:val="231F20"/>
          <w:spacing w:val="-3"/>
          <w:sz w:val="13"/>
        </w:rPr>
        <w:t xml:space="preserve">Troy </w:t>
      </w:r>
      <w:r>
        <w:rPr>
          <w:color w:val="231F20"/>
          <w:sz w:val="13"/>
        </w:rPr>
        <w:t>McEwan, ‘An Evaluation of the Problem Behaviour Program:</w:t>
      </w:r>
      <w:r>
        <w:rPr>
          <w:color w:val="231F20"/>
          <w:spacing w:val="3"/>
          <w:sz w:val="13"/>
        </w:rPr>
        <w:t xml:space="preserve"> </w:t>
      </w:r>
      <w:r>
        <w:rPr>
          <w:color w:val="231F20"/>
          <w:sz w:val="13"/>
        </w:rPr>
        <w:t>A</w:t>
      </w:r>
      <w:r>
        <w:rPr>
          <w:color w:val="231F20"/>
          <w:spacing w:val="3"/>
          <w:sz w:val="13"/>
        </w:rPr>
        <w:t xml:space="preserve"> </w:t>
      </w:r>
      <w:r>
        <w:rPr>
          <w:color w:val="231F20"/>
          <w:sz w:val="13"/>
        </w:rPr>
        <w:t>Community</w:t>
      </w:r>
      <w:r>
        <w:rPr>
          <w:color w:val="231F20"/>
          <w:spacing w:val="4"/>
          <w:sz w:val="13"/>
        </w:rPr>
        <w:t xml:space="preserve"> </w:t>
      </w:r>
      <w:r>
        <w:rPr>
          <w:color w:val="231F20"/>
          <w:spacing w:val="2"/>
          <w:sz w:val="13"/>
        </w:rPr>
        <w:t>Based</w:t>
      </w:r>
      <w:r>
        <w:rPr>
          <w:color w:val="231F20"/>
          <w:spacing w:val="3"/>
          <w:sz w:val="13"/>
        </w:rPr>
        <w:t xml:space="preserve"> </w:t>
      </w:r>
      <w:r>
        <w:rPr>
          <w:color w:val="231F20"/>
          <w:sz w:val="13"/>
        </w:rPr>
        <w:t>Model</w:t>
      </w:r>
      <w:r>
        <w:rPr>
          <w:color w:val="231F20"/>
          <w:spacing w:val="4"/>
          <w:sz w:val="13"/>
        </w:rPr>
        <w:t xml:space="preserve"> </w:t>
      </w:r>
      <w:r>
        <w:rPr>
          <w:color w:val="231F20"/>
          <w:sz w:val="13"/>
        </w:rPr>
        <w:t>for</w:t>
      </w:r>
      <w:r>
        <w:rPr>
          <w:color w:val="231F20"/>
          <w:spacing w:val="3"/>
          <w:sz w:val="13"/>
        </w:rPr>
        <w:t xml:space="preserve"> </w:t>
      </w:r>
      <w:r>
        <w:rPr>
          <w:color w:val="231F20"/>
          <w:sz w:val="13"/>
        </w:rPr>
        <w:t>the</w:t>
      </w:r>
      <w:r>
        <w:rPr>
          <w:color w:val="231F20"/>
          <w:spacing w:val="4"/>
          <w:sz w:val="13"/>
        </w:rPr>
        <w:t xml:space="preserve"> </w:t>
      </w:r>
      <w:r>
        <w:rPr>
          <w:color w:val="231F20"/>
          <w:spacing w:val="2"/>
          <w:sz w:val="13"/>
        </w:rPr>
        <w:t>Assessment</w:t>
      </w:r>
      <w:r>
        <w:rPr>
          <w:color w:val="231F20"/>
          <w:spacing w:val="3"/>
          <w:sz w:val="13"/>
        </w:rPr>
        <w:t xml:space="preserve"> </w:t>
      </w:r>
      <w:r>
        <w:rPr>
          <w:color w:val="231F20"/>
          <w:sz w:val="13"/>
        </w:rPr>
        <w:t>and</w:t>
      </w:r>
      <w:r>
        <w:rPr>
          <w:color w:val="231F20"/>
          <w:spacing w:val="3"/>
          <w:sz w:val="13"/>
        </w:rPr>
        <w:t xml:space="preserve"> </w:t>
      </w:r>
      <w:r>
        <w:rPr>
          <w:color w:val="231F20"/>
          <w:sz w:val="13"/>
        </w:rPr>
        <w:t>Treatment</w:t>
      </w:r>
      <w:r>
        <w:rPr>
          <w:color w:val="231F20"/>
          <w:spacing w:val="4"/>
          <w:sz w:val="13"/>
        </w:rPr>
        <w:t xml:space="preserve"> </w:t>
      </w:r>
      <w:r>
        <w:rPr>
          <w:color w:val="231F20"/>
          <w:sz w:val="13"/>
        </w:rPr>
        <w:t>of</w:t>
      </w:r>
      <w:r>
        <w:rPr>
          <w:color w:val="231F20"/>
          <w:spacing w:val="3"/>
          <w:sz w:val="13"/>
        </w:rPr>
        <w:t xml:space="preserve"> </w:t>
      </w:r>
      <w:r>
        <w:rPr>
          <w:color w:val="231F20"/>
          <w:sz w:val="13"/>
        </w:rPr>
        <w:t>Problem</w:t>
      </w:r>
      <w:r>
        <w:rPr>
          <w:color w:val="231F20"/>
          <w:spacing w:val="4"/>
          <w:sz w:val="13"/>
        </w:rPr>
        <w:t xml:space="preserve"> </w:t>
      </w:r>
      <w:r>
        <w:rPr>
          <w:color w:val="231F20"/>
          <w:sz w:val="13"/>
        </w:rPr>
        <w:t>Behaviours’,</w:t>
      </w:r>
      <w:r>
        <w:rPr>
          <w:color w:val="231F20"/>
          <w:spacing w:val="3"/>
          <w:sz w:val="13"/>
        </w:rPr>
        <w:t xml:space="preserve"> </w:t>
      </w:r>
      <w:r>
        <w:rPr>
          <w:i/>
          <w:color w:val="231F20"/>
          <w:sz w:val="13"/>
        </w:rPr>
        <w:t>Forensicare</w:t>
      </w:r>
      <w:r>
        <w:rPr>
          <w:i/>
          <w:color w:val="231F20"/>
          <w:spacing w:val="4"/>
          <w:sz w:val="13"/>
        </w:rPr>
        <w:t xml:space="preserve"> </w:t>
      </w:r>
      <w:r>
        <w:rPr>
          <w:color w:val="231F20"/>
          <w:sz w:val="13"/>
        </w:rPr>
        <w:t>(Web</w:t>
      </w:r>
      <w:r>
        <w:rPr>
          <w:color w:val="231F20"/>
          <w:spacing w:val="3"/>
          <w:sz w:val="13"/>
        </w:rPr>
        <w:t xml:space="preserve"> </w:t>
      </w:r>
      <w:r>
        <w:rPr>
          <w:color w:val="231F20"/>
          <w:sz w:val="13"/>
        </w:rPr>
        <w:t>Page)</w:t>
      </w:r>
    </w:p>
    <w:p w14:paraId="7BF5A1EF" w14:textId="77777777" w:rsidR="00894070" w:rsidRDefault="009F6793">
      <w:pPr>
        <w:spacing w:line="213" w:lineRule="auto"/>
        <w:ind w:left="933" w:right="1312"/>
        <w:rPr>
          <w:sz w:val="13"/>
        </w:rPr>
      </w:pPr>
      <w:hyperlink r:id="rId193">
        <w:r w:rsidR="009B7AFD">
          <w:rPr>
            <w:color w:val="231F20"/>
            <w:sz w:val="13"/>
          </w:rPr>
          <w:t>&lt;https://www.forensicare.vic.gov.au/an-evaluation-of-the-problem-behaviour-program-a-community-based-model-for-the-</w:t>
        </w:r>
      </w:hyperlink>
      <w:r w:rsidR="009B7AFD">
        <w:rPr>
          <w:color w:val="231F20"/>
          <w:sz w:val="13"/>
        </w:rPr>
        <w:t xml:space="preserve"> </w:t>
      </w:r>
      <w:hyperlink r:id="rId194">
        <w:r w:rsidR="009B7AFD">
          <w:rPr>
            <w:color w:val="231F20"/>
            <w:sz w:val="13"/>
          </w:rPr>
          <w:t>assessment-and-treatment-of-problem-behaviours/</w:t>
        </w:r>
      </w:hyperlink>
      <w:r w:rsidR="009B7AFD">
        <w:rPr>
          <w:color w:val="231F20"/>
          <w:sz w:val="13"/>
        </w:rPr>
        <w:t>&gt;.</w:t>
      </w:r>
    </w:p>
    <w:p w14:paraId="19524257" w14:textId="77777777" w:rsidR="00894070" w:rsidRDefault="00894070">
      <w:pPr>
        <w:spacing w:line="213" w:lineRule="auto"/>
        <w:rPr>
          <w:sz w:val="13"/>
        </w:rPr>
        <w:sectPr w:rsidR="00894070">
          <w:type w:val="continuous"/>
          <w:pgSz w:w="11910" w:h="16840"/>
          <w:pgMar w:top="560" w:right="420" w:bottom="280" w:left="580" w:header="720" w:footer="720" w:gutter="0"/>
          <w:cols w:num="2" w:space="720" w:equalWidth="0">
            <w:col w:w="586" w:space="281"/>
            <w:col w:w="10043"/>
          </w:cols>
        </w:sectPr>
      </w:pPr>
    </w:p>
    <w:p w14:paraId="03C7C878" w14:textId="77777777" w:rsidR="00894070" w:rsidRDefault="00894070">
      <w:pPr>
        <w:pStyle w:val="BodyText"/>
      </w:pPr>
    </w:p>
    <w:p w14:paraId="2262544D" w14:textId="77777777" w:rsidR="00894070" w:rsidRDefault="00894070">
      <w:pPr>
        <w:pStyle w:val="BodyText"/>
      </w:pPr>
    </w:p>
    <w:p w14:paraId="3148C3FF" w14:textId="77777777" w:rsidR="00894070" w:rsidRDefault="00894070">
      <w:pPr>
        <w:pStyle w:val="BodyText"/>
      </w:pPr>
    </w:p>
    <w:p w14:paraId="4F93E60D" w14:textId="77777777" w:rsidR="00894070" w:rsidRDefault="00894070">
      <w:pPr>
        <w:pStyle w:val="BodyText"/>
        <w:spacing w:before="6"/>
        <w:rPr>
          <w:sz w:val="14"/>
        </w:rPr>
      </w:pPr>
    </w:p>
    <w:p w14:paraId="77ED6772" w14:textId="77777777" w:rsidR="00894070" w:rsidRDefault="009B7AFD">
      <w:pPr>
        <w:pStyle w:val="Heading9"/>
        <w:spacing w:before="53"/>
        <w:rPr>
          <w:b/>
        </w:rPr>
      </w:pPr>
      <w:r>
        <w:rPr>
          <w:b/>
          <w:color w:val="231F20"/>
        </w:rPr>
        <w:t>Stalking treatment should be widely available</w:t>
      </w:r>
    </w:p>
    <w:p w14:paraId="69A681BD" w14:textId="77777777" w:rsidR="00894070" w:rsidRDefault="009B7AFD">
      <w:pPr>
        <w:pStyle w:val="ListParagraph"/>
        <w:numPr>
          <w:ilvl w:val="1"/>
          <w:numId w:val="29"/>
        </w:numPr>
        <w:tabs>
          <w:tab w:val="left" w:pos="1802"/>
        </w:tabs>
        <w:spacing w:before="132" w:line="206" w:lineRule="auto"/>
        <w:ind w:right="1654"/>
        <w:jc w:val="both"/>
        <w:rPr>
          <w:sz w:val="11"/>
        </w:rPr>
      </w:pPr>
      <w:r>
        <w:rPr>
          <w:color w:val="231F20"/>
          <w:spacing w:val="-6"/>
          <w:sz w:val="20"/>
        </w:rPr>
        <w:t xml:space="preserve">We </w:t>
      </w:r>
      <w:r>
        <w:rPr>
          <w:color w:val="231F20"/>
          <w:spacing w:val="-3"/>
          <w:sz w:val="20"/>
        </w:rPr>
        <w:t xml:space="preserve">received </w:t>
      </w:r>
      <w:r>
        <w:rPr>
          <w:color w:val="231F20"/>
          <w:sz w:val="20"/>
        </w:rPr>
        <w:t xml:space="preserve">submissions supporting the delivery of </w:t>
      </w:r>
      <w:r>
        <w:rPr>
          <w:color w:val="231F20"/>
          <w:spacing w:val="-3"/>
          <w:sz w:val="20"/>
        </w:rPr>
        <w:t xml:space="preserve">early </w:t>
      </w:r>
      <w:r>
        <w:rPr>
          <w:color w:val="231F20"/>
          <w:sz w:val="20"/>
        </w:rPr>
        <w:t xml:space="preserve">and </w:t>
      </w:r>
      <w:r>
        <w:rPr>
          <w:color w:val="231F20"/>
          <w:spacing w:val="-3"/>
          <w:sz w:val="20"/>
        </w:rPr>
        <w:t xml:space="preserve">effective treatment for </w:t>
      </w:r>
      <w:r>
        <w:rPr>
          <w:color w:val="231F20"/>
          <w:sz w:val="20"/>
        </w:rPr>
        <w:t>stalking.</w:t>
      </w:r>
      <w:r>
        <w:rPr>
          <w:color w:val="231F20"/>
          <w:position w:val="7"/>
          <w:sz w:val="11"/>
        </w:rPr>
        <w:t xml:space="preserve">53 </w:t>
      </w:r>
      <w:r>
        <w:rPr>
          <w:color w:val="231F20"/>
          <w:spacing w:val="-5"/>
          <w:sz w:val="20"/>
        </w:rPr>
        <w:t xml:space="preserve">Treatment </w:t>
      </w:r>
      <w:r>
        <w:rPr>
          <w:color w:val="231F20"/>
          <w:sz w:val="20"/>
        </w:rPr>
        <w:t xml:space="preserve">should not be </w:t>
      </w:r>
      <w:r>
        <w:rPr>
          <w:color w:val="231F20"/>
          <w:spacing w:val="-3"/>
          <w:sz w:val="20"/>
        </w:rPr>
        <w:t xml:space="preserve">viewed </w:t>
      </w:r>
      <w:r>
        <w:rPr>
          <w:color w:val="231F20"/>
          <w:sz w:val="20"/>
        </w:rPr>
        <w:t xml:space="preserve">as a </w:t>
      </w:r>
      <w:r>
        <w:rPr>
          <w:color w:val="231F20"/>
          <w:spacing w:val="-3"/>
          <w:sz w:val="20"/>
        </w:rPr>
        <w:t xml:space="preserve">substitute for </w:t>
      </w:r>
      <w:r>
        <w:rPr>
          <w:color w:val="231F20"/>
          <w:sz w:val="20"/>
        </w:rPr>
        <w:t xml:space="preserve">legal sanctions in </w:t>
      </w:r>
      <w:r>
        <w:rPr>
          <w:color w:val="231F20"/>
          <w:spacing w:val="-3"/>
          <w:sz w:val="20"/>
        </w:rPr>
        <w:t xml:space="preserve">appropriate </w:t>
      </w:r>
      <w:r>
        <w:rPr>
          <w:color w:val="231F20"/>
          <w:sz w:val="20"/>
        </w:rPr>
        <w:t>circumstances, but exist alongside</w:t>
      </w:r>
      <w:r>
        <w:rPr>
          <w:color w:val="231F20"/>
          <w:spacing w:val="-20"/>
          <w:sz w:val="20"/>
        </w:rPr>
        <w:t xml:space="preserve"> </w:t>
      </w:r>
      <w:r>
        <w:rPr>
          <w:color w:val="231F20"/>
          <w:sz w:val="20"/>
        </w:rPr>
        <w:t>them.</w:t>
      </w:r>
      <w:r>
        <w:rPr>
          <w:color w:val="231F20"/>
          <w:position w:val="7"/>
          <w:sz w:val="11"/>
        </w:rPr>
        <w:t>54</w:t>
      </w:r>
    </w:p>
    <w:p w14:paraId="33CC1D48" w14:textId="77777777" w:rsidR="00894070" w:rsidRDefault="009B7AFD">
      <w:pPr>
        <w:pStyle w:val="ListParagraph"/>
        <w:numPr>
          <w:ilvl w:val="1"/>
          <w:numId w:val="29"/>
        </w:numPr>
        <w:tabs>
          <w:tab w:val="left" w:pos="1801"/>
          <w:tab w:val="left" w:pos="1802"/>
        </w:tabs>
        <w:spacing w:before="92" w:line="259" w:lineRule="exact"/>
        <w:rPr>
          <w:sz w:val="20"/>
        </w:rPr>
      </w:pPr>
      <w:r>
        <w:rPr>
          <w:color w:val="231F20"/>
          <w:sz w:val="20"/>
        </w:rPr>
        <w:t xml:space="preserve">Specialist </w:t>
      </w:r>
      <w:r>
        <w:rPr>
          <w:color w:val="231F20"/>
          <w:spacing w:val="-3"/>
          <w:sz w:val="20"/>
        </w:rPr>
        <w:t xml:space="preserve">treatment for </w:t>
      </w:r>
      <w:r>
        <w:rPr>
          <w:color w:val="231F20"/>
          <w:sz w:val="20"/>
        </w:rPr>
        <w:t>stalking behaviour needs to be available,</w:t>
      </w:r>
      <w:r>
        <w:rPr>
          <w:color w:val="231F20"/>
          <w:position w:val="7"/>
          <w:sz w:val="11"/>
        </w:rPr>
        <w:t xml:space="preserve">55 </w:t>
      </w:r>
      <w:r>
        <w:rPr>
          <w:color w:val="231F20"/>
          <w:sz w:val="20"/>
        </w:rPr>
        <w:t>especially in</w:t>
      </w:r>
      <w:r>
        <w:rPr>
          <w:color w:val="231F20"/>
          <w:spacing w:val="-33"/>
          <w:sz w:val="20"/>
        </w:rPr>
        <w:t xml:space="preserve"> </w:t>
      </w:r>
      <w:r>
        <w:rPr>
          <w:color w:val="231F20"/>
          <w:sz w:val="20"/>
        </w:rPr>
        <w:t>rural</w:t>
      </w:r>
    </w:p>
    <w:p w14:paraId="388C2308" w14:textId="77777777" w:rsidR="00894070" w:rsidRDefault="009B7AFD">
      <w:pPr>
        <w:pStyle w:val="BodyText"/>
        <w:spacing w:line="259" w:lineRule="exact"/>
        <w:ind w:left="1801"/>
      </w:pPr>
      <w:r>
        <w:rPr>
          <w:color w:val="231F20"/>
        </w:rPr>
        <w:t>and regional Victoria (see below).</w:t>
      </w:r>
    </w:p>
    <w:p w14:paraId="7328B582" w14:textId="77777777" w:rsidR="00894070" w:rsidRDefault="009B7AFD">
      <w:pPr>
        <w:pStyle w:val="ListParagraph"/>
        <w:numPr>
          <w:ilvl w:val="1"/>
          <w:numId w:val="29"/>
        </w:numPr>
        <w:tabs>
          <w:tab w:val="left" w:pos="1801"/>
          <w:tab w:val="left" w:pos="1802"/>
        </w:tabs>
        <w:spacing w:before="114" w:line="206" w:lineRule="auto"/>
        <w:ind w:right="1626"/>
        <w:rPr>
          <w:sz w:val="20"/>
        </w:rPr>
      </w:pPr>
      <w:r>
        <w:rPr>
          <w:color w:val="231F20"/>
          <w:sz w:val="20"/>
        </w:rPr>
        <w:t xml:space="preserve">It needs to be </w:t>
      </w:r>
      <w:r>
        <w:rPr>
          <w:color w:val="231F20"/>
          <w:spacing w:val="-3"/>
          <w:sz w:val="20"/>
        </w:rPr>
        <w:t xml:space="preserve">developed </w:t>
      </w:r>
      <w:r>
        <w:rPr>
          <w:color w:val="231F20"/>
          <w:sz w:val="20"/>
        </w:rPr>
        <w:t xml:space="preserve">based on </w:t>
      </w:r>
      <w:r>
        <w:rPr>
          <w:color w:val="231F20"/>
          <w:spacing w:val="-3"/>
          <w:sz w:val="20"/>
        </w:rPr>
        <w:t xml:space="preserve">research </w:t>
      </w:r>
      <w:r>
        <w:rPr>
          <w:color w:val="231F20"/>
          <w:sz w:val="20"/>
        </w:rPr>
        <w:t xml:space="preserve">(see </w:t>
      </w:r>
      <w:r>
        <w:rPr>
          <w:color w:val="231F20"/>
          <w:spacing w:val="-4"/>
          <w:sz w:val="20"/>
        </w:rPr>
        <w:t xml:space="preserve">above), </w:t>
      </w:r>
      <w:r>
        <w:rPr>
          <w:color w:val="231F20"/>
          <w:sz w:val="20"/>
        </w:rPr>
        <w:t>funded,</w:t>
      </w:r>
      <w:r>
        <w:rPr>
          <w:color w:val="231F20"/>
          <w:position w:val="7"/>
          <w:sz w:val="11"/>
        </w:rPr>
        <w:t xml:space="preserve">56 </w:t>
      </w:r>
      <w:r>
        <w:rPr>
          <w:color w:val="231F20"/>
          <w:sz w:val="20"/>
        </w:rPr>
        <w:t xml:space="preserve">and </w:t>
      </w:r>
      <w:r>
        <w:rPr>
          <w:color w:val="231F20"/>
          <w:spacing w:val="-3"/>
          <w:sz w:val="20"/>
        </w:rPr>
        <w:t xml:space="preserve">responsive </w:t>
      </w:r>
      <w:r>
        <w:rPr>
          <w:color w:val="231F20"/>
          <w:sz w:val="20"/>
        </w:rPr>
        <w:t>to</w:t>
      </w:r>
      <w:r>
        <w:rPr>
          <w:color w:val="231F20"/>
          <w:spacing w:val="-9"/>
          <w:sz w:val="20"/>
        </w:rPr>
        <w:t xml:space="preserve"> </w:t>
      </w:r>
      <w:r>
        <w:rPr>
          <w:color w:val="231F20"/>
          <w:sz w:val="20"/>
        </w:rPr>
        <w:t>diverse</w:t>
      </w:r>
      <w:r>
        <w:rPr>
          <w:color w:val="231F20"/>
          <w:spacing w:val="-8"/>
          <w:sz w:val="20"/>
        </w:rPr>
        <w:t xml:space="preserve"> </w:t>
      </w:r>
      <w:r>
        <w:rPr>
          <w:color w:val="231F20"/>
          <w:sz w:val="20"/>
        </w:rPr>
        <w:t>needs</w:t>
      </w:r>
      <w:r>
        <w:rPr>
          <w:color w:val="231F20"/>
          <w:spacing w:val="-9"/>
          <w:sz w:val="20"/>
        </w:rPr>
        <w:t xml:space="preserve"> </w:t>
      </w:r>
      <w:r>
        <w:rPr>
          <w:color w:val="231F20"/>
          <w:sz w:val="20"/>
        </w:rPr>
        <w:t>and</w:t>
      </w:r>
      <w:r>
        <w:rPr>
          <w:color w:val="231F20"/>
          <w:spacing w:val="-8"/>
          <w:sz w:val="20"/>
        </w:rPr>
        <w:t xml:space="preserve"> </w:t>
      </w:r>
      <w:r>
        <w:rPr>
          <w:color w:val="231F20"/>
          <w:sz w:val="20"/>
        </w:rPr>
        <w:t>experiences.</w:t>
      </w:r>
      <w:r>
        <w:rPr>
          <w:color w:val="231F20"/>
          <w:spacing w:val="-9"/>
          <w:sz w:val="20"/>
        </w:rPr>
        <w:t xml:space="preserve"> </w:t>
      </w:r>
      <w:r>
        <w:rPr>
          <w:color w:val="231F20"/>
          <w:spacing w:val="-3"/>
          <w:sz w:val="20"/>
        </w:rPr>
        <w:t>For</w:t>
      </w:r>
      <w:r>
        <w:rPr>
          <w:color w:val="231F20"/>
          <w:spacing w:val="-8"/>
          <w:sz w:val="20"/>
        </w:rPr>
        <w:t xml:space="preserve"> </w:t>
      </w:r>
      <w:r>
        <w:rPr>
          <w:color w:val="231F20"/>
          <w:spacing w:val="-3"/>
          <w:sz w:val="20"/>
        </w:rPr>
        <w:t>example,</w:t>
      </w:r>
      <w:r>
        <w:rPr>
          <w:color w:val="231F20"/>
          <w:spacing w:val="-9"/>
          <w:sz w:val="20"/>
        </w:rPr>
        <w:t xml:space="preserve"> </w:t>
      </w:r>
      <w:r>
        <w:rPr>
          <w:color w:val="231F20"/>
          <w:sz w:val="20"/>
        </w:rPr>
        <w:t>support</w:t>
      </w:r>
      <w:r>
        <w:rPr>
          <w:color w:val="231F20"/>
          <w:spacing w:val="-8"/>
          <w:sz w:val="20"/>
        </w:rPr>
        <w:t xml:space="preserve"> </w:t>
      </w:r>
      <w:r>
        <w:rPr>
          <w:color w:val="231F20"/>
          <w:sz w:val="20"/>
        </w:rPr>
        <w:t>should</w:t>
      </w:r>
      <w:r>
        <w:rPr>
          <w:color w:val="231F20"/>
          <w:spacing w:val="-8"/>
          <w:sz w:val="20"/>
        </w:rPr>
        <w:t xml:space="preserve"> </w:t>
      </w:r>
      <w:r>
        <w:rPr>
          <w:color w:val="231F20"/>
          <w:sz w:val="20"/>
        </w:rPr>
        <w:t>be</w:t>
      </w:r>
      <w:r>
        <w:rPr>
          <w:color w:val="231F20"/>
          <w:spacing w:val="-9"/>
          <w:sz w:val="20"/>
        </w:rPr>
        <w:t xml:space="preserve"> </w:t>
      </w:r>
      <w:r>
        <w:rPr>
          <w:color w:val="231F20"/>
          <w:sz w:val="20"/>
        </w:rPr>
        <w:t>tailored</w:t>
      </w:r>
      <w:r>
        <w:rPr>
          <w:color w:val="231F20"/>
          <w:spacing w:val="-8"/>
          <w:sz w:val="20"/>
        </w:rPr>
        <w:t xml:space="preserve"> </w:t>
      </w:r>
      <w:r>
        <w:rPr>
          <w:color w:val="231F20"/>
          <w:sz w:val="20"/>
        </w:rPr>
        <w:t>to</w:t>
      </w:r>
      <w:r>
        <w:rPr>
          <w:color w:val="231F20"/>
          <w:spacing w:val="-9"/>
          <w:sz w:val="20"/>
        </w:rPr>
        <w:t xml:space="preserve"> </w:t>
      </w:r>
      <w:r>
        <w:rPr>
          <w:color w:val="231F20"/>
          <w:sz w:val="20"/>
        </w:rPr>
        <w:t>the</w:t>
      </w:r>
    </w:p>
    <w:p w14:paraId="7BC820A1" w14:textId="77777777" w:rsidR="00894070" w:rsidRDefault="009B7AFD">
      <w:pPr>
        <w:pStyle w:val="BodyText"/>
        <w:spacing w:before="3" w:line="206" w:lineRule="auto"/>
        <w:ind w:left="1801" w:right="1162"/>
      </w:pPr>
      <w:r>
        <w:rPr>
          <w:color w:val="231F20"/>
        </w:rPr>
        <w:t>individual</w:t>
      </w:r>
      <w:r>
        <w:rPr>
          <w:color w:val="231F20"/>
          <w:spacing w:val="-11"/>
        </w:rPr>
        <w:t xml:space="preserve"> </w:t>
      </w:r>
      <w:r>
        <w:rPr>
          <w:color w:val="231F20"/>
        </w:rPr>
        <w:t>needs</w:t>
      </w:r>
      <w:r>
        <w:rPr>
          <w:color w:val="231F20"/>
          <w:spacing w:val="-11"/>
        </w:rPr>
        <w:t xml:space="preserve"> </w:t>
      </w:r>
      <w:r>
        <w:rPr>
          <w:color w:val="231F20"/>
        </w:rPr>
        <w:t>of</w:t>
      </w:r>
      <w:r>
        <w:rPr>
          <w:color w:val="231F20"/>
          <w:spacing w:val="-11"/>
        </w:rPr>
        <w:t xml:space="preserve"> </w:t>
      </w:r>
      <w:r>
        <w:rPr>
          <w:color w:val="231F20"/>
        </w:rPr>
        <w:t>all</w:t>
      </w:r>
      <w:r>
        <w:rPr>
          <w:color w:val="231F20"/>
          <w:spacing w:val="-11"/>
        </w:rPr>
        <w:t xml:space="preserve"> </w:t>
      </w:r>
      <w:r>
        <w:rPr>
          <w:color w:val="231F20"/>
        </w:rPr>
        <w:t>members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spacing w:val="-3"/>
        </w:rPr>
        <w:t>community,</w:t>
      </w:r>
      <w:r>
        <w:rPr>
          <w:color w:val="231F20"/>
          <w:spacing w:val="-11"/>
        </w:rPr>
        <w:t xml:space="preserve"> </w:t>
      </w:r>
      <w:r>
        <w:rPr>
          <w:color w:val="231F20"/>
        </w:rPr>
        <w:t>including</w:t>
      </w:r>
      <w:r>
        <w:rPr>
          <w:color w:val="231F20"/>
          <w:spacing w:val="-11"/>
        </w:rPr>
        <w:t xml:space="preserve"> </w:t>
      </w:r>
      <w:r>
        <w:rPr>
          <w:color w:val="231F20"/>
        </w:rPr>
        <w:t>Aboriginal</w:t>
      </w:r>
      <w:r>
        <w:rPr>
          <w:color w:val="231F20"/>
          <w:spacing w:val="-11"/>
        </w:rPr>
        <w:t xml:space="preserve"> </w:t>
      </w:r>
      <w:r>
        <w:rPr>
          <w:color w:val="231F20"/>
        </w:rPr>
        <w:t>people,</w:t>
      </w:r>
      <w:r>
        <w:rPr>
          <w:color w:val="231F20"/>
          <w:spacing w:val="-11"/>
        </w:rPr>
        <w:t xml:space="preserve"> </w:t>
      </w:r>
      <w:r>
        <w:rPr>
          <w:color w:val="231F20"/>
        </w:rPr>
        <w:t xml:space="preserve">people </w:t>
      </w:r>
      <w:r>
        <w:rPr>
          <w:color w:val="231F20"/>
          <w:spacing w:val="-3"/>
        </w:rPr>
        <w:t>from</w:t>
      </w:r>
      <w:r>
        <w:rPr>
          <w:color w:val="231F20"/>
          <w:spacing w:val="-8"/>
        </w:rPr>
        <w:t xml:space="preserve"> </w:t>
      </w:r>
      <w:r>
        <w:rPr>
          <w:color w:val="231F20"/>
          <w:spacing w:val="-3"/>
        </w:rPr>
        <w:t>culturally</w:t>
      </w:r>
      <w:r>
        <w:rPr>
          <w:color w:val="231F20"/>
          <w:spacing w:val="-7"/>
        </w:rPr>
        <w:t xml:space="preserve"> </w:t>
      </w:r>
      <w:r>
        <w:rPr>
          <w:color w:val="231F20"/>
        </w:rPr>
        <w:t>diverse</w:t>
      </w:r>
      <w:r>
        <w:rPr>
          <w:color w:val="231F20"/>
          <w:spacing w:val="-7"/>
        </w:rPr>
        <w:t xml:space="preserve"> </w:t>
      </w:r>
      <w:r>
        <w:rPr>
          <w:color w:val="231F20"/>
        </w:rPr>
        <w:t>communities,</w:t>
      </w:r>
      <w:r>
        <w:rPr>
          <w:color w:val="231F20"/>
          <w:spacing w:val="-7"/>
        </w:rPr>
        <w:t xml:space="preserve"> </w:t>
      </w:r>
      <w:r>
        <w:rPr>
          <w:color w:val="231F20"/>
          <w:spacing w:val="-4"/>
        </w:rPr>
        <w:t>LGBTIQA+</w:t>
      </w:r>
      <w:r>
        <w:rPr>
          <w:color w:val="231F20"/>
          <w:spacing w:val="-8"/>
        </w:rPr>
        <w:t xml:space="preserve"> </w:t>
      </w:r>
      <w:r>
        <w:rPr>
          <w:color w:val="231F20"/>
        </w:rPr>
        <w:t>people,</w:t>
      </w:r>
      <w:r>
        <w:rPr>
          <w:color w:val="231F20"/>
          <w:spacing w:val="-7"/>
        </w:rPr>
        <w:t xml:space="preserve"> </w:t>
      </w:r>
      <w:r>
        <w:rPr>
          <w:color w:val="231F20"/>
        </w:rPr>
        <w:t>and</w:t>
      </w:r>
      <w:r>
        <w:rPr>
          <w:color w:val="231F20"/>
          <w:spacing w:val="-7"/>
        </w:rPr>
        <w:t xml:space="preserve"> </w:t>
      </w:r>
      <w:r>
        <w:rPr>
          <w:color w:val="231F20"/>
        </w:rPr>
        <w:t>people</w:t>
      </w:r>
      <w:r>
        <w:rPr>
          <w:color w:val="231F20"/>
          <w:spacing w:val="-7"/>
        </w:rPr>
        <w:t xml:space="preserve"> </w:t>
      </w:r>
      <w:r>
        <w:rPr>
          <w:color w:val="231F20"/>
        </w:rPr>
        <w:t>with</w:t>
      </w:r>
      <w:r>
        <w:rPr>
          <w:color w:val="231F20"/>
          <w:spacing w:val="-8"/>
        </w:rPr>
        <w:t xml:space="preserve"> </w:t>
      </w:r>
      <w:r>
        <w:rPr>
          <w:color w:val="231F20"/>
        </w:rPr>
        <w:t>disabilities.</w:t>
      </w:r>
    </w:p>
    <w:p w14:paraId="4798A99D" w14:textId="77777777" w:rsidR="00894070" w:rsidRDefault="009B7AFD">
      <w:pPr>
        <w:pStyle w:val="ListParagraph"/>
        <w:numPr>
          <w:ilvl w:val="1"/>
          <w:numId w:val="29"/>
        </w:numPr>
        <w:tabs>
          <w:tab w:val="left" w:pos="1801"/>
          <w:tab w:val="left" w:pos="1802"/>
        </w:tabs>
        <w:spacing w:before="122" w:line="206" w:lineRule="auto"/>
        <w:ind w:right="1270"/>
        <w:rPr>
          <w:sz w:val="20"/>
        </w:rPr>
      </w:pPr>
      <w:r>
        <w:rPr>
          <w:color w:val="231F20"/>
          <w:spacing w:val="-5"/>
          <w:sz w:val="20"/>
        </w:rPr>
        <w:t>However,</w:t>
      </w:r>
      <w:r>
        <w:rPr>
          <w:color w:val="231F20"/>
          <w:spacing w:val="-8"/>
          <w:sz w:val="20"/>
        </w:rPr>
        <w:t xml:space="preserve"> </w:t>
      </w:r>
      <w:r>
        <w:rPr>
          <w:color w:val="231F20"/>
          <w:spacing w:val="-3"/>
          <w:sz w:val="20"/>
        </w:rPr>
        <w:t>we</w:t>
      </w:r>
      <w:r>
        <w:rPr>
          <w:color w:val="231F20"/>
          <w:spacing w:val="-7"/>
          <w:sz w:val="20"/>
        </w:rPr>
        <w:t xml:space="preserve"> </w:t>
      </w:r>
      <w:r>
        <w:rPr>
          <w:color w:val="231F20"/>
          <w:sz w:val="20"/>
        </w:rPr>
        <w:t>heard</w:t>
      </w:r>
      <w:r>
        <w:rPr>
          <w:color w:val="231F20"/>
          <w:spacing w:val="-8"/>
          <w:sz w:val="20"/>
        </w:rPr>
        <w:t xml:space="preserve"> </w:t>
      </w:r>
      <w:r>
        <w:rPr>
          <w:color w:val="231F20"/>
          <w:sz w:val="20"/>
        </w:rPr>
        <w:t>about</w:t>
      </w:r>
      <w:r>
        <w:rPr>
          <w:color w:val="231F20"/>
          <w:spacing w:val="-7"/>
          <w:sz w:val="20"/>
        </w:rPr>
        <w:t xml:space="preserve"> </w:t>
      </w:r>
      <w:r>
        <w:rPr>
          <w:color w:val="231F20"/>
          <w:sz w:val="20"/>
        </w:rPr>
        <w:t>the</w:t>
      </w:r>
      <w:r>
        <w:rPr>
          <w:color w:val="231F20"/>
          <w:spacing w:val="-8"/>
          <w:sz w:val="20"/>
        </w:rPr>
        <w:t xml:space="preserve"> </w:t>
      </w:r>
      <w:r>
        <w:rPr>
          <w:color w:val="231F20"/>
          <w:spacing w:val="-3"/>
          <w:sz w:val="20"/>
        </w:rPr>
        <w:t>following</w:t>
      </w:r>
      <w:r>
        <w:rPr>
          <w:color w:val="231F20"/>
          <w:spacing w:val="-7"/>
          <w:sz w:val="20"/>
        </w:rPr>
        <w:t xml:space="preserve"> </w:t>
      </w:r>
      <w:r>
        <w:rPr>
          <w:color w:val="231F20"/>
          <w:sz w:val="20"/>
        </w:rPr>
        <w:t>gaps</w:t>
      </w:r>
      <w:r>
        <w:rPr>
          <w:color w:val="231F20"/>
          <w:spacing w:val="-8"/>
          <w:sz w:val="20"/>
        </w:rPr>
        <w:t xml:space="preserve"> </w:t>
      </w:r>
      <w:r>
        <w:rPr>
          <w:color w:val="231F20"/>
          <w:sz w:val="20"/>
        </w:rPr>
        <w:t>in</w:t>
      </w:r>
      <w:r>
        <w:rPr>
          <w:color w:val="231F20"/>
          <w:spacing w:val="-7"/>
          <w:sz w:val="20"/>
        </w:rPr>
        <w:t xml:space="preserve"> </w:t>
      </w:r>
      <w:r>
        <w:rPr>
          <w:color w:val="231F20"/>
          <w:sz w:val="20"/>
        </w:rPr>
        <w:t>therapeutic</w:t>
      </w:r>
      <w:r>
        <w:rPr>
          <w:color w:val="231F20"/>
          <w:spacing w:val="-8"/>
          <w:sz w:val="20"/>
        </w:rPr>
        <w:t xml:space="preserve"> </w:t>
      </w:r>
      <w:r>
        <w:rPr>
          <w:color w:val="231F20"/>
          <w:sz w:val="20"/>
        </w:rPr>
        <w:t>and</w:t>
      </w:r>
      <w:r>
        <w:rPr>
          <w:color w:val="231F20"/>
          <w:spacing w:val="-7"/>
          <w:sz w:val="20"/>
        </w:rPr>
        <w:t xml:space="preserve"> </w:t>
      </w:r>
      <w:r>
        <w:rPr>
          <w:color w:val="231F20"/>
          <w:sz w:val="20"/>
        </w:rPr>
        <w:t>targeted</w:t>
      </w:r>
      <w:r>
        <w:rPr>
          <w:color w:val="231F20"/>
          <w:spacing w:val="-7"/>
          <w:sz w:val="20"/>
        </w:rPr>
        <w:t xml:space="preserve"> </w:t>
      </w:r>
      <w:r>
        <w:rPr>
          <w:color w:val="231F20"/>
          <w:spacing w:val="-3"/>
          <w:sz w:val="20"/>
        </w:rPr>
        <w:t>treatment</w:t>
      </w:r>
      <w:r>
        <w:rPr>
          <w:color w:val="231F20"/>
          <w:spacing w:val="-8"/>
          <w:sz w:val="20"/>
        </w:rPr>
        <w:t xml:space="preserve"> </w:t>
      </w:r>
      <w:r>
        <w:rPr>
          <w:color w:val="231F20"/>
          <w:spacing w:val="-3"/>
          <w:sz w:val="20"/>
        </w:rPr>
        <w:t xml:space="preserve">for </w:t>
      </w:r>
      <w:r>
        <w:rPr>
          <w:color w:val="231F20"/>
          <w:sz w:val="20"/>
        </w:rPr>
        <w:t>people who</w:t>
      </w:r>
      <w:r>
        <w:rPr>
          <w:color w:val="231F20"/>
          <w:spacing w:val="-9"/>
          <w:sz w:val="20"/>
        </w:rPr>
        <w:t xml:space="preserve"> </w:t>
      </w:r>
      <w:r>
        <w:rPr>
          <w:color w:val="231F20"/>
          <w:sz w:val="20"/>
        </w:rPr>
        <w:t>stalk:</w:t>
      </w:r>
    </w:p>
    <w:p w14:paraId="46AFBFE1" w14:textId="77777777" w:rsidR="00894070" w:rsidRDefault="009B7AFD">
      <w:pPr>
        <w:pStyle w:val="ListParagraph"/>
        <w:numPr>
          <w:ilvl w:val="2"/>
          <w:numId w:val="29"/>
        </w:numPr>
        <w:tabs>
          <w:tab w:val="left" w:pos="2141"/>
          <w:tab w:val="left" w:pos="2142"/>
        </w:tabs>
        <w:spacing w:before="123" w:line="206" w:lineRule="auto"/>
        <w:ind w:right="1349" w:hanging="340"/>
        <w:rPr>
          <w:sz w:val="11"/>
        </w:rPr>
      </w:pPr>
      <w:r>
        <w:rPr>
          <w:color w:val="231F20"/>
          <w:sz w:val="20"/>
        </w:rPr>
        <w:t>There</w:t>
      </w:r>
      <w:r>
        <w:rPr>
          <w:color w:val="231F20"/>
          <w:spacing w:val="-9"/>
          <w:sz w:val="20"/>
        </w:rPr>
        <w:t xml:space="preserve"> </w:t>
      </w:r>
      <w:r>
        <w:rPr>
          <w:color w:val="231F20"/>
          <w:sz w:val="20"/>
        </w:rPr>
        <w:t>is</w:t>
      </w:r>
      <w:r>
        <w:rPr>
          <w:color w:val="231F20"/>
          <w:spacing w:val="-9"/>
          <w:sz w:val="20"/>
        </w:rPr>
        <w:t xml:space="preserve"> </w:t>
      </w:r>
      <w:r>
        <w:rPr>
          <w:color w:val="231F20"/>
          <w:sz w:val="20"/>
        </w:rPr>
        <w:t>a</w:t>
      </w:r>
      <w:r>
        <w:rPr>
          <w:color w:val="231F20"/>
          <w:spacing w:val="-8"/>
          <w:sz w:val="20"/>
        </w:rPr>
        <w:t xml:space="preserve"> </w:t>
      </w:r>
      <w:r>
        <w:rPr>
          <w:color w:val="231F20"/>
          <w:sz w:val="20"/>
        </w:rPr>
        <w:t>general</w:t>
      </w:r>
      <w:r>
        <w:rPr>
          <w:color w:val="231F20"/>
          <w:spacing w:val="-9"/>
          <w:sz w:val="20"/>
        </w:rPr>
        <w:t xml:space="preserve"> </w:t>
      </w:r>
      <w:r>
        <w:rPr>
          <w:color w:val="231F20"/>
          <w:sz w:val="20"/>
        </w:rPr>
        <w:t>lack</w:t>
      </w:r>
      <w:r>
        <w:rPr>
          <w:color w:val="231F20"/>
          <w:spacing w:val="-8"/>
          <w:sz w:val="20"/>
        </w:rPr>
        <w:t xml:space="preserve"> </w:t>
      </w:r>
      <w:r>
        <w:rPr>
          <w:color w:val="231F20"/>
          <w:sz w:val="20"/>
        </w:rPr>
        <w:t>of</w:t>
      </w:r>
      <w:r>
        <w:rPr>
          <w:color w:val="231F20"/>
          <w:spacing w:val="-9"/>
          <w:sz w:val="20"/>
        </w:rPr>
        <w:t xml:space="preserve"> </w:t>
      </w:r>
      <w:r>
        <w:rPr>
          <w:color w:val="231F20"/>
          <w:sz w:val="20"/>
        </w:rPr>
        <w:t>services,</w:t>
      </w:r>
      <w:r>
        <w:rPr>
          <w:color w:val="231F20"/>
          <w:spacing w:val="-9"/>
          <w:sz w:val="20"/>
        </w:rPr>
        <w:t xml:space="preserve"> </w:t>
      </w:r>
      <w:r>
        <w:rPr>
          <w:color w:val="231F20"/>
          <w:sz w:val="20"/>
        </w:rPr>
        <w:t>and</w:t>
      </w:r>
      <w:r>
        <w:rPr>
          <w:color w:val="231F20"/>
          <w:spacing w:val="-8"/>
          <w:sz w:val="20"/>
        </w:rPr>
        <w:t xml:space="preserve"> </w:t>
      </w:r>
      <w:r>
        <w:rPr>
          <w:color w:val="231F20"/>
          <w:sz w:val="20"/>
        </w:rPr>
        <w:t>significant</w:t>
      </w:r>
      <w:r>
        <w:rPr>
          <w:color w:val="231F20"/>
          <w:spacing w:val="-9"/>
          <w:sz w:val="20"/>
        </w:rPr>
        <w:t xml:space="preserve"> </w:t>
      </w:r>
      <w:r>
        <w:rPr>
          <w:color w:val="231F20"/>
          <w:sz w:val="20"/>
        </w:rPr>
        <w:t>waiting</w:t>
      </w:r>
      <w:r>
        <w:rPr>
          <w:color w:val="231F20"/>
          <w:spacing w:val="-8"/>
          <w:sz w:val="20"/>
        </w:rPr>
        <w:t xml:space="preserve"> </w:t>
      </w:r>
      <w:r>
        <w:rPr>
          <w:color w:val="231F20"/>
          <w:sz w:val="20"/>
        </w:rPr>
        <w:t>periods,</w:t>
      </w:r>
      <w:r>
        <w:rPr>
          <w:color w:val="231F20"/>
          <w:spacing w:val="-9"/>
          <w:sz w:val="20"/>
        </w:rPr>
        <w:t xml:space="preserve"> </w:t>
      </w:r>
      <w:r>
        <w:rPr>
          <w:color w:val="231F20"/>
          <w:spacing w:val="-3"/>
          <w:sz w:val="20"/>
        </w:rPr>
        <w:t>for</w:t>
      </w:r>
      <w:r>
        <w:rPr>
          <w:color w:val="231F20"/>
          <w:spacing w:val="-8"/>
          <w:sz w:val="20"/>
        </w:rPr>
        <w:t xml:space="preserve"> </w:t>
      </w:r>
      <w:r>
        <w:rPr>
          <w:color w:val="231F20"/>
          <w:spacing w:val="-3"/>
          <w:sz w:val="20"/>
        </w:rPr>
        <w:t>example</w:t>
      </w:r>
      <w:r>
        <w:rPr>
          <w:color w:val="231F20"/>
          <w:spacing w:val="-9"/>
          <w:sz w:val="20"/>
        </w:rPr>
        <w:t xml:space="preserve"> </w:t>
      </w:r>
      <w:r>
        <w:rPr>
          <w:color w:val="231F20"/>
          <w:spacing w:val="-3"/>
          <w:sz w:val="20"/>
        </w:rPr>
        <w:t xml:space="preserve">for treatment </w:t>
      </w:r>
      <w:r>
        <w:rPr>
          <w:color w:val="231F20"/>
          <w:sz w:val="20"/>
        </w:rPr>
        <w:t xml:space="preserve">at the </w:t>
      </w:r>
      <w:r>
        <w:rPr>
          <w:color w:val="231F20"/>
          <w:spacing w:val="-3"/>
          <w:sz w:val="20"/>
        </w:rPr>
        <w:t xml:space="preserve">Problem </w:t>
      </w:r>
      <w:r>
        <w:rPr>
          <w:color w:val="231F20"/>
          <w:sz w:val="20"/>
        </w:rPr>
        <w:t>Behaviour</w:t>
      </w:r>
      <w:r>
        <w:rPr>
          <w:color w:val="231F20"/>
          <w:spacing w:val="-15"/>
          <w:sz w:val="20"/>
        </w:rPr>
        <w:t xml:space="preserve"> </w:t>
      </w:r>
      <w:r>
        <w:rPr>
          <w:color w:val="231F20"/>
          <w:sz w:val="20"/>
        </w:rPr>
        <w:t>Clinic.</w:t>
      </w:r>
      <w:r>
        <w:rPr>
          <w:color w:val="231F20"/>
          <w:position w:val="7"/>
          <w:sz w:val="11"/>
        </w:rPr>
        <w:t>57</w:t>
      </w:r>
    </w:p>
    <w:p w14:paraId="5F60FE64" w14:textId="77777777" w:rsidR="00894070" w:rsidRDefault="009B7AFD">
      <w:pPr>
        <w:pStyle w:val="ListParagraph"/>
        <w:numPr>
          <w:ilvl w:val="2"/>
          <w:numId w:val="29"/>
        </w:numPr>
        <w:tabs>
          <w:tab w:val="left" w:pos="2141"/>
          <w:tab w:val="left" w:pos="2142"/>
        </w:tabs>
        <w:spacing w:before="55" w:line="259" w:lineRule="exact"/>
        <w:ind w:hanging="340"/>
        <w:rPr>
          <w:sz w:val="20"/>
        </w:rPr>
      </w:pPr>
      <w:r>
        <w:rPr>
          <w:color w:val="231F20"/>
          <w:sz w:val="20"/>
        </w:rPr>
        <w:t>There</w:t>
      </w:r>
      <w:r>
        <w:rPr>
          <w:color w:val="231F20"/>
          <w:spacing w:val="-6"/>
          <w:sz w:val="20"/>
        </w:rPr>
        <w:t xml:space="preserve"> </w:t>
      </w:r>
      <w:r>
        <w:rPr>
          <w:color w:val="231F20"/>
          <w:sz w:val="20"/>
        </w:rPr>
        <w:t>is</w:t>
      </w:r>
      <w:r>
        <w:rPr>
          <w:color w:val="231F20"/>
          <w:spacing w:val="-5"/>
          <w:sz w:val="20"/>
        </w:rPr>
        <w:t xml:space="preserve"> </w:t>
      </w:r>
      <w:r>
        <w:rPr>
          <w:color w:val="231F20"/>
          <w:sz w:val="20"/>
        </w:rPr>
        <w:t>a</w:t>
      </w:r>
      <w:r>
        <w:rPr>
          <w:color w:val="231F20"/>
          <w:spacing w:val="-5"/>
          <w:sz w:val="20"/>
        </w:rPr>
        <w:t xml:space="preserve"> </w:t>
      </w:r>
      <w:r>
        <w:rPr>
          <w:color w:val="231F20"/>
          <w:sz w:val="20"/>
        </w:rPr>
        <w:t>lack</w:t>
      </w:r>
      <w:r>
        <w:rPr>
          <w:color w:val="231F20"/>
          <w:spacing w:val="-6"/>
          <w:sz w:val="20"/>
        </w:rPr>
        <w:t xml:space="preserve"> </w:t>
      </w:r>
      <w:r>
        <w:rPr>
          <w:color w:val="231F20"/>
          <w:sz w:val="20"/>
        </w:rPr>
        <w:t>of</w:t>
      </w:r>
      <w:r>
        <w:rPr>
          <w:color w:val="231F20"/>
          <w:spacing w:val="-5"/>
          <w:sz w:val="20"/>
        </w:rPr>
        <w:t xml:space="preserve"> </w:t>
      </w:r>
      <w:r>
        <w:rPr>
          <w:color w:val="231F20"/>
          <w:sz w:val="20"/>
        </w:rPr>
        <w:t>services</w:t>
      </w:r>
      <w:r>
        <w:rPr>
          <w:color w:val="231F20"/>
          <w:spacing w:val="-5"/>
          <w:sz w:val="20"/>
        </w:rPr>
        <w:t xml:space="preserve"> </w:t>
      </w:r>
      <w:r>
        <w:rPr>
          <w:color w:val="231F20"/>
          <w:spacing w:val="-3"/>
          <w:sz w:val="20"/>
        </w:rPr>
        <w:t>for</w:t>
      </w:r>
      <w:r>
        <w:rPr>
          <w:color w:val="231F20"/>
          <w:spacing w:val="-5"/>
          <w:sz w:val="20"/>
        </w:rPr>
        <w:t xml:space="preserve"> </w:t>
      </w:r>
      <w:r>
        <w:rPr>
          <w:color w:val="231F20"/>
          <w:sz w:val="20"/>
        </w:rPr>
        <w:t>those</w:t>
      </w:r>
      <w:r>
        <w:rPr>
          <w:color w:val="231F20"/>
          <w:spacing w:val="-6"/>
          <w:sz w:val="20"/>
        </w:rPr>
        <w:t xml:space="preserve"> </w:t>
      </w:r>
      <w:r>
        <w:rPr>
          <w:color w:val="231F20"/>
          <w:sz w:val="20"/>
        </w:rPr>
        <w:t>living</w:t>
      </w:r>
      <w:r>
        <w:rPr>
          <w:color w:val="231F20"/>
          <w:spacing w:val="-5"/>
          <w:sz w:val="20"/>
        </w:rPr>
        <w:t xml:space="preserve"> </w:t>
      </w:r>
      <w:r>
        <w:rPr>
          <w:color w:val="231F20"/>
          <w:sz w:val="20"/>
        </w:rPr>
        <w:t>in</w:t>
      </w:r>
      <w:r>
        <w:rPr>
          <w:color w:val="231F20"/>
          <w:spacing w:val="-5"/>
          <w:sz w:val="20"/>
        </w:rPr>
        <w:t xml:space="preserve"> </w:t>
      </w:r>
      <w:r>
        <w:rPr>
          <w:color w:val="231F20"/>
          <w:sz w:val="20"/>
        </w:rPr>
        <w:t>regional</w:t>
      </w:r>
      <w:r>
        <w:rPr>
          <w:color w:val="231F20"/>
          <w:spacing w:val="-5"/>
          <w:sz w:val="20"/>
        </w:rPr>
        <w:t xml:space="preserve"> </w:t>
      </w:r>
      <w:r>
        <w:rPr>
          <w:color w:val="231F20"/>
          <w:sz w:val="20"/>
        </w:rPr>
        <w:t>and</w:t>
      </w:r>
      <w:r>
        <w:rPr>
          <w:color w:val="231F20"/>
          <w:spacing w:val="-6"/>
          <w:sz w:val="20"/>
        </w:rPr>
        <w:t xml:space="preserve"> </w:t>
      </w:r>
      <w:r>
        <w:rPr>
          <w:color w:val="231F20"/>
          <w:sz w:val="20"/>
        </w:rPr>
        <w:t>rural</w:t>
      </w:r>
      <w:r>
        <w:rPr>
          <w:color w:val="231F20"/>
          <w:spacing w:val="-5"/>
          <w:sz w:val="20"/>
        </w:rPr>
        <w:t xml:space="preserve"> </w:t>
      </w:r>
      <w:r>
        <w:rPr>
          <w:color w:val="231F20"/>
          <w:sz w:val="20"/>
        </w:rPr>
        <w:t>areas.</w:t>
      </w:r>
      <w:r>
        <w:rPr>
          <w:color w:val="231F20"/>
          <w:position w:val="7"/>
          <w:sz w:val="11"/>
        </w:rPr>
        <w:t>58</w:t>
      </w:r>
      <w:r>
        <w:rPr>
          <w:color w:val="231F20"/>
          <w:spacing w:val="19"/>
          <w:position w:val="7"/>
          <w:sz w:val="11"/>
        </w:rPr>
        <w:t xml:space="preserve"> </w:t>
      </w:r>
      <w:r>
        <w:rPr>
          <w:color w:val="231F20"/>
          <w:sz w:val="20"/>
        </w:rPr>
        <w:t>The</w:t>
      </w:r>
      <w:r>
        <w:rPr>
          <w:color w:val="231F20"/>
          <w:spacing w:val="-6"/>
          <w:sz w:val="20"/>
        </w:rPr>
        <w:t xml:space="preserve"> </w:t>
      </w:r>
      <w:r>
        <w:rPr>
          <w:color w:val="231F20"/>
          <w:spacing w:val="-3"/>
          <w:sz w:val="20"/>
        </w:rPr>
        <w:t>Problem</w:t>
      </w:r>
    </w:p>
    <w:p w14:paraId="270C327F" w14:textId="77777777" w:rsidR="00894070" w:rsidRDefault="009B7AFD">
      <w:pPr>
        <w:pStyle w:val="BodyText"/>
        <w:spacing w:line="259" w:lineRule="exact"/>
        <w:ind w:left="2141"/>
        <w:rPr>
          <w:sz w:val="11"/>
        </w:rPr>
      </w:pPr>
      <w:r>
        <w:rPr>
          <w:color w:val="231F20"/>
        </w:rPr>
        <w:t>Behaviour Clinic is located in Melbourne and not accessible state-wide.</w:t>
      </w:r>
      <w:r>
        <w:rPr>
          <w:color w:val="231F20"/>
          <w:position w:val="7"/>
          <w:sz w:val="11"/>
        </w:rPr>
        <w:t>59</w:t>
      </w:r>
    </w:p>
    <w:p w14:paraId="19FA08C2" w14:textId="77777777" w:rsidR="00894070" w:rsidRDefault="009B7AFD">
      <w:pPr>
        <w:pStyle w:val="ListParagraph"/>
        <w:numPr>
          <w:ilvl w:val="2"/>
          <w:numId w:val="29"/>
        </w:numPr>
        <w:tabs>
          <w:tab w:val="left" w:pos="2141"/>
          <w:tab w:val="left" w:pos="2142"/>
        </w:tabs>
        <w:spacing w:before="48"/>
        <w:ind w:hanging="340"/>
        <w:rPr>
          <w:sz w:val="11"/>
        </w:rPr>
      </w:pPr>
      <w:r>
        <w:rPr>
          <w:color w:val="231F20"/>
          <w:spacing w:val="-5"/>
          <w:sz w:val="20"/>
        </w:rPr>
        <w:t xml:space="preserve">Treatment </w:t>
      </w:r>
      <w:r>
        <w:rPr>
          <w:color w:val="231F20"/>
          <w:spacing w:val="-3"/>
          <w:sz w:val="20"/>
        </w:rPr>
        <w:t xml:space="preserve">may </w:t>
      </w:r>
      <w:r>
        <w:rPr>
          <w:color w:val="231F20"/>
          <w:sz w:val="20"/>
        </w:rPr>
        <w:t>not be</w:t>
      </w:r>
      <w:r>
        <w:rPr>
          <w:color w:val="231F20"/>
          <w:spacing w:val="-9"/>
          <w:sz w:val="20"/>
        </w:rPr>
        <w:t xml:space="preserve"> </w:t>
      </w:r>
      <w:r>
        <w:rPr>
          <w:color w:val="231F20"/>
          <w:sz w:val="20"/>
        </w:rPr>
        <w:t>affordable.</w:t>
      </w:r>
      <w:r>
        <w:rPr>
          <w:color w:val="231F20"/>
          <w:position w:val="7"/>
          <w:sz w:val="11"/>
        </w:rPr>
        <w:t>60</w:t>
      </w:r>
    </w:p>
    <w:p w14:paraId="282EAD0E" w14:textId="77777777" w:rsidR="00894070" w:rsidRDefault="009B7AFD">
      <w:pPr>
        <w:pStyle w:val="ListParagraph"/>
        <w:numPr>
          <w:ilvl w:val="2"/>
          <w:numId w:val="29"/>
        </w:numPr>
        <w:tabs>
          <w:tab w:val="left" w:pos="2141"/>
          <w:tab w:val="left" w:pos="2142"/>
        </w:tabs>
        <w:spacing w:before="79" w:line="206" w:lineRule="auto"/>
        <w:ind w:right="1380" w:hanging="340"/>
        <w:rPr>
          <w:sz w:val="11"/>
        </w:rPr>
      </w:pPr>
      <w:r>
        <w:rPr>
          <w:color w:val="231F20"/>
          <w:spacing w:val="-5"/>
          <w:sz w:val="20"/>
        </w:rPr>
        <w:t xml:space="preserve">Treatment </w:t>
      </w:r>
      <w:r>
        <w:rPr>
          <w:color w:val="231F20"/>
          <w:spacing w:val="-3"/>
          <w:sz w:val="20"/>
        </w:rPr>
        <w:t xml:space="preserve">may </w:t>
      </w:r>
      <w:r>
        <w:rPr>
          <w:color w:val="231F20"/>
          <w:sz w:val="20"/>
        </w:rPr>
        <w:t xml:space="preserve">not be </w:t>
      </w:r>
      <w:r>
        <w:rPr>
          <w:color w:val="231F20"/>
          <w:spacing w:val="-3"/>
          <w:sz w:val="20"/>
        </w:rPr>
        <w:t xml:space="preserve">culturally appropriate </w:t>
      </w:r>
      <w:r>
        <w:rPr>
          <w:color w:val="231F20"/>
          <w:sz w:val="20"/>
        </w:rPr>
        <w:t xml:space="preserve">or respond to diverse needs. </w:t>
      </w:r>
      <w:r>
        <w:rPr>
          <w:color w:val="231F20"/>
          <w:spacing w:val="-3"/>
          <w:sz w:val="20"/>
        </w:rPr>
        <w:t>For example,</w:t>
      </w:r>
      <w:r>
        <w:rPr>
          <w:color w:val="231F20"/>
          <w:spacing w:val="-9"/>
          <w:sz w:val="20"/>
        </w:rPr>
        <w:t xml:space="preserve"> </w:t>
      </w:r>
      <w:r>
        <w:rPr>
          <w:color w:val="231F20"/>
          <w:sz w:val="20"/>
        </w:rPr>
        <w:t>it</w:t>
      </w:r>
      <w:r>
        <w:rPr>
          <w:color w:val="231F20"/>
          <w:spacing w:val="-9"/>
          <w:sz w:val="20"/>
        </w:rPr>
        <w:t xml:space="preserve"> </w:t>
      </w:r>
      <w:r>
        <w:rPr>
          <w:color w:val="231F20"/>
          <w:spacing w:val="-3"/>
          <w:sz w:val="20"/>
        </w:rPr>
        <w:t>may</w:t>
      </w:r>
      <w:r>
        <w:rPr>
          <w:color w:val="231F20"/>
          <w:spacing w:val="-8"/>
          <w:sz w:val="20"/>
        </w:rPr>
        <w:t xml:space="preserve"> </w:t>
      </w:r>
      <w:r>
        <w:rPr>
          <w:color w:val="231F20"/>
          <w:sz w:val="20"/>
        </w:rPr>
        <w:t>not</w:t>
      </w:r>
      <w:r>
        <w:rPr>
          <w:color w:val="231F20"/>
          <w:spacing w:val="-9"/>
          <w:sz w:val="20"/>
        </w:rPr>
        <w:t xml:space="preserve"> </w:t>
      </w:r>
      <w:r>
        <w:rPr>
          <w:color w:val="231F20"/>
          <w:sz w:val="20"/>
        </w:rPr>
        <w:t>be</w:t>
      </w:r>
      <w:r>
        <w:rPr>
          <w:color w:val="231F20"/>
          <w:spacing w:val="-8"/>
          <w:sz w:val="20"/>
        </w:rPr>
        <w:t xml:space="preserve"> </w:t>
      </w:r>
      <w:r>
        <w:rPr>
          <w:color w:val="231F20"/>
          <w:sz w:val="20"/>
        </w:rPr>
        <w:t>tailored</w:t>
      </w:r>
      <w:r>
        <w:rPr>
          <w:color w:val="231F20"/>
          <w:spacing w:val="-9"/>
          <w:sz w:val="20"/>
        </w:rPr>
        <w:t xml:space="preserve"> </w:t>
      </w:r>
      <w:r>
        <w:rPr>
          <w:color w:val="231F20"/>
          <w:sz w:val="20"/>
        </w:rPr>
        <w:t>to</w:t>
      </w:r>
      <w:r>
        <w:rPr>
          <w:color w:val="231F20"/>
          <w:spacing w:val="-8"/>
          <w:sz w:val="20"/>
        </w:rPr>
        <w:t xml:space="preserve"> </w:t>
      </w:r>
      <w:r>
        <w:rPr>
          <w:color w:val="231F20"/>
          <w:sz w:val="20"/>
        </w:rPr>
        <w:t>people</w:t>
      </w:r>
      <w:r>
        <w:rPr>
          <w:color w:val="231F20"/>
          <w:spacing w:val="-9"/>
          <w:sz w:val="20"/>
        </w:rPr>
        <w:t xml:space="preserve"> </w:t>
      </w:r>
      <w:r>
        <w:rPr>
          <w:color w:val="231F20"/>
          <w:spacing w:val="-3"/>
          <w:sz w:val="20"/>
        </w:rPr>
        <w:t>from</w:t>
      </w:r>
      <w:r>
        <w:rPr>
          <w:color w:val="231F20"/>
          <w:spacing w:val="-8"/>
          <w:sz w:val="20"/>
        </w:rPr>
        <w:t xml:space="preserve"> </w:t>
      </w:r>
      <w:r>
        <w:rPr>
          <w:color w:val="231F20"/>
          <w:spacing w:val="-3"/>
          <w:sz w:val="20"/>
        </w:rPr>
        <w:t>culturally</w:t>
      </w:r>
      <w:r>
        <w:rPr>
          <w:color w:val="231F20"/>
          <w:spacing w:val="-9"/>
          <w:sz w:val="20"/>
        </w:rPr>
        <w:t xml:space="preserve"> </w:t>
      </w:r>
      <w:r>
        <w:rPr>
          <w:color w:val="231F20"/>
          <w:sz w:val="20"/>
        </w:rPr>
        <w:t>and</w:t>
      </w:r>
      <w:r>
        <w:rPr>
          <w:color w:val="231F20"/>
          <w:spacing w:val="-8"/>
          <w:sz w:val="20"/>
        </w:rPr>
        <w:t xml:space="preserve"> </w:t>
      </w:r>
      <w:r>
        <w:rPr>
          <w:color w:val="231F20"/>
          <w:sz w:val="20"/>
        </w:rPr>
        <w:t>linguistically</w:t>
      </w:r>
      <w:r>
        <w:rPr>
          <w:color w:val="231F20"/>
          <w:spacing w:val="-9"/>
          <w:sz w:val="20"/>
        </w:rPr>
        <w:t xml:space="preserve"> </w:t>
      </w:r>
      <w:r>
        <w:rPr>
          <w:color w:val="231F20"/>
          <w:sz w:val="20"/>
        </w:rPr>
        <w:t>diverse backgrounds,</w:t>
      </w:r>
      <w:r>
        <w:rPr>
          <w:color w:val="231F20"/>
          <w:position w:val="7"/>
          <w:sz w:val="11"/>
        </w:rPr>
        <w:t xml:space="preserve">61 </w:t>
      </w:r>
      <w:r>
        <w:rPr>
          <w:color w:val="231F20"/>
          <w:sz w:val="20"/>
        </w:rPr>
        <w:t>or people with</w:t>
      </w:r>
      <w:r>
        <w:rPr>
          <w:color w:val="231F20"/>
          <w:spacing w:val="-22"/>
          <w:sz w:val="20"/>
        </w:rPr>
        <w:t xml:space="preserve"> </w:t>
      </w:r>
      <w:r>
        <w:rPr>
          <w:color w:val="231F20"/>
          <w:sz w:val="20"/>
        </w:rPr>
        <w:t>disabilities.</w:t>
      </w:r>
      <w:r>
        <w:rPr>
          <w:color w:val="231F20"/>
          <w:position w:val="7"/>
          <w:sz w:val="11"/>
        </w:rPr>
        <w:t>62</w:t>
      </w:r>
    </w:p>
    <w:p w14:paraId="21B1BCDE" w14:textId="77777777" w:rsidR="00894070" w:rsidRDefault="009B7AFD">
      <w:pPr>
        <w:pStyle w:val="ListParagraph"/>
        <w:numPr>
          <w:ilvl w:val="1"/>
          <w:numId w:val="29"/>
        </w:numPr>
        <w:tabs>
          <w:tab w:val="left" w:pos="1801"/>
          <w:tab w:val="left" w:pos="1802"/>
        </w:tabs>
        <w:spacing w:before="89" w:line="206" w:lineRule="auto"/>
        <w:ind w:right="1242"/>
        <w:rPr>
          <w:sz w:val="20"/>
        </w:rPr>
      </w:pPr>
      <w:r>
        <w:rPr>
          <w:color w:val="231F20"/>
          <w:sz w:val="20"/>
        </w:rPr>
        <w:t>The</w:t>
      </w:r>
      <w:r>
        <w:rPr>
          <w:color w:val="231F20"/>
          <w:spacing w:val="-8"/>
          <w:sz w:val="20"/>
        </w:rPr>
        <w:t xml:space="preserve"> </w:t>
      </w:r>
      <w:r>
        <w:rPr>
          <w:color w:val="231F20"/>
          <w:sz w:val="20"/>
        </w:rPr>
        <w:t>lack</w:t>
      </w:r>
      <w:r>
        <w:rPr>
          <w:color w:val="231F20"/>
          <w:spacing w:val="-7"/>
          <w:sz w:val="20"/>
        </w:rPr>
        <w:t xml:space="preserve"> </w:t>
      </w:r>
      <w:r>
        <w:rPr>
          <w:color w:val="231F20"/>
          <w:sz w:val="20"/>
        </w:rPr>
        <w:t>of</w:t>
      </w:r>
      <w:r>
        <w:rPr>
          <w:color w:val="231F20"/>
          <w:spacing w:val="-8"/>
          <w:sz w:val="20"/>
        </w:rPr>
        <w:t xml:space="preserve"> </w:t>
      </w:r>
      <w:r>
        <w:rPr>
          <w:color w:val="231F20"/>
          <w:sz w:val="20"/>
        </w:rPr>
        <w:t>services</w:t>
      </w:r>
      <w:r>
        <w:rPr>
          <w:color w:val="231F20"/>
          <w:spacing w:val="-7"/>
          <w:sz w:val="20"/>
        </w:rPr>
        <w:t xml:space="preserve"> </w:t>
      </w:r>
      <w:r>
        <w:rPr>
          <w:color w:val="231F20"/>
          <w:sz w:val="20"/>
        </w:rPr>
        <w:t>was</w:t>
      </w:r>
      <w:r>
        <w:rPr>
          <w:color w:val="231F20"/>
          <w:spacing w:val="-8"/>
          <w:sz w:val="20"/>
        </w:rPr>
        <w:t xml:space="preserve"> </w:t>
      </w:r>
      <w:r>
        <w:rPr>
          <w:color w:val="231F20"/>
          <w:spacing w:val="-3"/>
          <w:sz w:val="20"/>
        </w:rPr>
        <w:t>reflected</w:t>
      </w:r>
      <w:r>
        <w:rPr>
          <w:color w:val="231F20"/>
          <w:spacing w:val="-7"/>
          <w:sz w:val="20"/>
        </w:rPr>
        <w:t xml:space="preserve"> </w:t>
      </w:r>
      <w:r>
        <w:rPr>
          <w:color w:val="231F20"/>
          <w:sz w:val="20"/>
        </w:rPr>
        <w:t>on</w:t>
      </w:r>
      <w:r>
        <w:rPr>
          <w:color w:val="231F20"/>
          <w:spacing w:val="-8"/>
          <w:sz w:val="20"/>
        </w:rPr>
        <w:t xml:space="preserve"> </w:t>
      </w:r>
      <w:r>
        <w:rPr>
          <w:color w:val="231F20"/>
          <w:spacing w:val="-3"/>
          <w:sz w:val="20"/>
        </w:rPr>
        <w:t>by</w:t>
      </w:r>
      <w:r>
        <w:rPr>
          <w:color w:val="231F20"/>
          <w:spacing w:val="-7"/>
          <w:sz w:val="20"/>
        </w:rPr>
        <w:t xml:space="preserve"> </w:t>
      </w:r>
      <w:r>
        <w:rPr>
          <w:color w:val="231F20"/>
          <w:sz w:val="20"/>
        </w:rPr>
        <w:t>some</w:t>
      </w:r>
      <w:r>
        <w:rPr>
          <w:color w:val="231F20"/>
          <w:spacing w:val="-8"/>
          <w:sz w:val="20"/>
        </w:rPr>
        <w:t xml:space="preserve"> </w:t>
      </w:r>
      <w:r>
        <w:rPr>
          <w:color w:val="231F20"/>
          <w:sz w:val="20"/>
        </w:rPr>
        <w:t>victim</w:t>
      </w:r>
      <w:r>
        <w:rPr>
          <w:color w:val="231F20"/>
          <w:spacing w:val="-7"/>
          <w:sz w:val="20"/>
        </w:rPr>
        <w:t xml:space="preserve"> </w:t>
      </w:r>
      <w:r>
        <w:rPr>
          <w:color w:val="231F20"/>
          <w:sz w:val="20"/>
        </w:rPr>
        <w:t>survivors.</w:t>
      </w:r>
      <w:r>
        <w:rPr>
          <w:color w:val="231F20"/>
          <w:spacing w:val="-8"/>
          <w:sz w:val="20"/>
        </w:rPr>
        <w:t xml:space="preserve"> </w:t>
      </w:r>
      <w:r>
        <w:rPr>
          <w:color w:val="231F20"/>
          <w:sz w:val="20"/>
        </w:rPr>
        <w:t>One</w:t>
      </w:r>
      <w:r>
        <w:rPr>
          <w:color w:val="231F20"/>
          <w:spacing w:val="-7"/>
          <w:sz w:val="20"/>
        </w:rPr>
        <w:t xml:space="preserve"> </w:t>
      </w:r>
      <w:r>
        <w:rPr>
          <w:color w:val="231F20"/>
          <w:sz w:val="20"/>
        </w:rPr>
        <w:t>young</w:t>
      </w:r>
      <w:r>
        <w:rPr>
          <w:color w:val="231F20"/>
          <w:spacing w:val="-8"/>
          <w:sz w:val="20"/>
        </w:rPr>
        <w:t xml:space="preserve"> </w:t>
      </w:r>
      <w:r>
        <w:rPr>
          <w:color w:val="231F20"/>
          <w:sz w:val="20"/>
        </w:rPr>
        <w:t>person</w:t>
      </w:r>
      <w:r>
        <w:rPr>
          <w:color w:val="231F20"/>
          <w:spacing w:val="-7"/>
          <w:sz w:val="20"/>
        </w:rPr>
        <w:t xml:space="preserve"> </w:t>
      </w:r>
      <w:r>
        <w:rPr>
          <w:color w:val="231F20"/>
          <w:spacing w:val="-3"/>
          <w:sz w:val="20"/>
        </w:rPr>
        <w:t>told us:</w:t>
      </w:r>
    </w:p>
    <w:p w14:paraId="3AA74EC4" w14:textId="77777777" w:rsidR="00894070" w:rsidRDefault="009F6793">
      <w:pPr>
        <w:pStyle w:val="BodyText"/>
        <w:spacing w:before="6"/>
        <w:rPr>
          <w:sz w:val="23"/>
        </w:rPr>
      </w:pPr>
      <w:r>
        <w:pict w14:anchorId="297FBA02">
          <v:shape id="_x0000_s1082" type="#_x0000_t202" style="position:absolute;margin-left:119.3pt;margin-top:18.5pt;width:397.1pt;height:68.1pt;z-index:251770880;mso-wrap-distance-left:0;mso-wrap-distance-right:0;mso-position-horizontal-relative:page" fillcolor="#fee7de" strokecolor="#ea5b50" strokeweight=".5pt">
            <v:textbox inset="0,0,0,0">
              <w:txbxContent>
                <w:p w14:paraId="27CF9344" w14:textId="77777777" w:rsidR="00894070" w:rsidRDefault="00894070">
                  <w:pPr>
                    <w:pStyle w:val="BodyText"/>
                    <w:spacing w:before="3"/>
                    <w:rPr>
                      <w:sz w:val="15"/>
                    </w:rPr>
                  </w:pPr>
                </w:p>
                <w:p w14:paraId="6151621B" w14:textId="77777777" w:rsidR="00894070" w:rsidRDefault="009B7AFD">
                  <w:pPr>
                    <w:pStyle w:val="BodyText"/>
                    <w:spacing w:line="206" w:lineRule="auto"/>
                    <w:ind w:left="221" w:right="325"/>
                    <w:rPr>
                      <w:sz w:val="11"/>
                    </w:rPr>
                  </w:pPr>
                  <w:r>
                    <w:rPr>
                      <w:color w:val="231F20"/>
                    </w:rPr>
                    <w:t xml:space="preserve">The police/courts need better services for people with mental health [issues]. This guy wasn’t mentally [well] … If the court had ordered an assessment earlier it may </w:t>
                  </w:r>
                  <w:r>
                    <w:rPr>
                      <w:color w:val="231F20"/>
                      <w:spacing w:val="-3"/>
                    </w:rPr>
                    <w:t xml:space="preserve">have </w:t>
                  </w:r>
                  <w:r>
                    <w:rPr>
                      <w:color w:val="231F20"/>
                    </w:rPr>
                    <w:t xml:space="preserve">been picked up, instead of continuing for a </w:t>
                  </w:r>
                  <w:r>
                    <w:rPr>
                      <w:color w:val="231F20"/>
                      <w:spacing w:val="-3"/>
                    </w:rPr>
                    <w:t xml:space="preserve">few </w:t>
                  </w:r>
                  <w:r>
                    <w:rPr>
                      <w:color w:val="231F20"/>
                    </w:rPr>
                    <w:t>years and damaging myself more and impacting others.</w:t>
                  </w:r>
                  <w:r>
                    <w:rPr>
                      <w:color w:val="231F20"/>
                      <w:position w:val="7"/>
                      <w:sz w:val="11"/>
                    </w:rPr>
                    <w:t>63</w:t>
                  </w:r>
                </w:p>
              </w:txbxContent>
            </v:textbox>
            <w10:wrap type="topAndBottom" anchorx="page"/>
          </v:shape>
        </w:pict>
      </w:r>
    </w:p>
    <w:p w14:paraId="3F857EEF" w14:textId="77777777" w:rsidR="00894070" w:rsidRDefault="00894070">
      <w:pPr>
        <w:pStyle w:val="BodyText"/>
        <w:spacing w:before="6"/>
        <w:rPr>
          <w:sz w:val="19"/>
        </w:rPr>
      </w:pPr>
    </w:p>
    <w:p w14:paraId="7F636678" w14:textId="77777777" w:rsidR="00894070" w:rsidRDefault="009B7AFD">
      <w:pPr>
        <w:pStyle w:val="ListParagraph"/>
        <w:numPr>
          <w:ilvl w:val="1"/>
          <w:numId w:val="29"/>
        </w:numPr>
        <w:tabs>
          <w:tab w:val="left" w:pos="1801"/>
          <w:tab w:val="left" w:pos="1802"/>
        </w:tabs>
        <w:spacing w:before="89" w:line="206" w:lineRule="auto"/>
        <w:ind w:right="1218"/>
        <w:rPr>
          <w:sz w:val="11"/>
        </w:rPr>
      </w:pPr>
      <w:r>
        <w:rPr>
          <w:color w:val="231F20"/>
          <w:spacing w:val="-3"/>
          <w:sz w:val="20"/>
        </w:rPr>
        <w:t xml:space="preserve">Forensicare </w:t>
      </w:r>
      <w:r>
        <w:rPr>
          <w:color w:val="231F20"/>
          <w:sz w:val="20"/>
        </w:rPr>
        <w:t xml:space="preserve">submitted that ‘in the absence of specific programs </w:t>
      </w:r>
      <w:r>
        <w:rPr>
          <w:color w:val="231F20"/>
          <w:spacing w:val="-3"/>
          <w:sz w:val="20"/>
        </w:rPr>
        <w:t xml:space="preserve">for </w:t>
      </w:r>
      <w:r>
        <w:rPr>
          <w:color w:val="231F20"/>
          <w:sz w:val="20"/>
        </w:rPr>
        <w:t xml:space="preserve">people who stalk, some </w:t>
      </w:r>
      <w:r>
        <w:rPr>
          <w:color w:val="231F20"/>
          <w:spacing w:val="-3"/>
          <w:sz w:val="20"/>
        </w:rPr>
        <w:t xml:space="preserve">may </w:t>
      </w:r>
      <w:r>
        <w:rPr>
          <w:color w:val="231F20"/>
          <w:sz w:val="20"/>
        </w:rPr>
        <w:t xml:space="preserve">be </w:t>
      </w:r>
      <w:r>
        <w:rPr>
          <w:color w:val="231F20"/>
          <w:spacing w:val="-3"/>
          <w:sz w:val="20"/>
        </w:rPr>
        <w:t xml:space="preserve">appropriately referred </w:t>
      </w:r>
      <w:r>
        <w:rPr>
          <w:color w:val="231F20"/>
          <w:sz w:val="20"/>
        </w:rPr>
        <w:t xml:space="preserve">to </w:t>
      </w:r>
      <w:r>
        <w:rPr>
          <w:color w:val="231F20"/>
          <w:spacing w:val="-3"/>
          <w:sz w:val="20"/>
        </w:rPr>
        <w:t xml:space="preserve">treatment </w:t>
      </w:r>
      <w:r>
        <w:rPr>
          <w:color w:val="231F20"/>
          <w:sz w:val="20"/>
        </w:rPr>
        <w:t xml:space="preserve">programs </w:t>
      </w:r>
      <w:r>
        <w:rPr>
          <w:color w:val="231F20"/>
          <w:spacing w:val="-3"/>
          <w:sz w:val="20"/>
        </w:rPr>
        <w:t xml:space="preserve">for </w:t>
      </w:r>
      <w:r>
        <w:rPr>
          <w:color w:val="231F20"/>
          <w:sz w:val="20"/>
        </w:rPr>
        <w:t>higher risk violent or sexual</w:t>
      </w:r>
      <w:r>
        <w:rPr>
          <w:color w:val="231F20"/>
          <w:spacing w:val="-9"/>
          <w:sz w:val="20"/>
        </w:rPr>
        <w:t xml:space="preserve"> </w:t>
      </w:r>
      <w:r>
        <w:rPr>
          <w:color w:val="231F20"/>
          <w:spacing w:val="-3"/>
          <w:sz w:val="20"/>
        </w:rPr>
        <w:t>offenders’.</w:t>
      </w:r>
      <w:r>
        <w:rPr>
          <w:color w:val="231F20"/>
          <w:spacing w:val="-3"/>
          <w:position w:val="7"/>
          <w:sz w:val="11"/>
        </w:rPr>
        <w:t>64</w:t>
      </w:r>
      <w:r>
        <w:rPr>
          <w:color w:val="231F20"/>
          <w:spacing w:val="15"/>
          <w:position w:val="7"/>
          <w:sz w:val="11"/>
        </w:rPr>
        <w:t xml:space="preserve"> </w:t>
      </w:r>
      <w:r>
        <w:rPr>
          <w:color w:val="231F20"/>
          <w:spacing w:val="-5"/>
          <w:sz w:val="20"/>
        </w:rPr>
        <w:t>However,</w:t>
      </w:r>
      <w:r>
        <w:rPr>
          <w:color w:val="231F20"/>
          <w:spacing w:val="-8"/>
          <w:sz w:val="20"/>
        </w:rPr>
        <w:t xml:space="preserve"> </w:t>
      </w:r>
      <w:r>
        <w:rPr>
          <w:color w:val="231F20"/>
          <w:spacing w:val="-3"/>
          <w:sz w:val="20"/>
        </w:rPr>
        <w:t>Forensicare</w:t>
      </w:r>
      <w:r>
        <w:rPr>
          <w:color w:val="231F20"/>
          <w:spacing w:val="-9"/>
          <w:sz w:val="20"/>
        </w:rPr>
        <w:t xml:space="preserve"> </w:t>
      </w:r>
      <w:r>
        <w:rPr>
          <w:color w:val="231F20"/>
          <w:sz w:val="20"/>
        </w:rPr>
        <w:t>noted</w:t>
      </w:r>
      <w:r>
        <w:rPr>
          <w:color w:val="231F20"/>
          <w:spacing w:val="-8"/>
          <w:sz w:val="20"/>
        </w:rPr>
        <w:t xml:space="preserve"> </w:t>
      </w:r>
      <w:r>
        <w:rPr>
          <w:color w:val="231F20"/>
          <w:sz w:val="20"/>
        </w:rPr>
        <w:t>that</w:t>
      </w:r>
      <w:r>
        <w:rPr>
          <w:color w:val="231F20"/>
          <w:spacing w:val="-9"/>
          <w:sz w:val="20"/>
        </w:rPr>
        <w:t xml:space="preserve"> </w:t>
      </w:r>
      <w:r>
        <w:rPr>
          <w:color w:val="231F20"/>
          <w:sz w:val="20"/>
        </w:rPr>
        <w:t>‘it</w:t>
      </w:r>
      <w:r>
        <w:rPr>
          <w:color w:val="231F20"/>
          <w:spacing w:val="-8"/>
          <w:sz w:val="20"/>
        </w:rPr>
        <w:t xml:space="preserve"> </w:t>
      </w:r>
      <w:r>
        <w:rPr>
          <w:color w:val="231F20"/>
          <w:sz w:val="20"/>
        </w:rPr>
        <w:t>is</w:t>
      </w:r>
      <w:r>
        <w:rPr>
          <w:color w:val="231F20"/>
          <w:spacing w:val="-9"/>
          <w:sz w:val="20"/>
        </w:rPr>
        <w:t xml:space="preserve"> </w:t>
      </w:r>
      <w:r>
        <w:rPr>
          <w:color w:val="231F20"/>
          <w:spacing w:val="-3"/>
          <w:sz w:val="20"/>
        </w:rPr>
        <w:t>likely</w:t>
      </w:r>
      <w:r>
        <w:rPr>
          <w:color w:val="231F20"/>
          <w:spacing w:val="-9"/>
          <w:sz w:val="20"/>
        </w:rPr>
        <w:t xml:space="preserve"> </w:t>
      </w:r>
      <w:r>
        <w:rPr>
          <w:color w:val="231F20"/>
          <w:sz w:val="20"/>
        </w:rPr>
        <w:t>that</w:t>
      </w:r>
      <w:r>
        <w:rPr>
          <w:color w:val="231F20"/>
          <w:spacing w:val="-8"/>
          <w:sz w:val="20"/>
        </w:rPr>
        <w:t xml:space="preserve"> </w:t>
      </w:r>
      <w:r>
        <w:rPr>
          <w:color w:val="231F20"/>
          <w:sz w:val="20"/>
        </w:rPr>
        <w:t>programs</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 xml:space="preserve">violent and sexual offenders </w:t>
      </w:r>
      <w:r>
        <w:rPr>
          <w:color w:val="231F20"/>
          <w:spacing w:val="-3"/>
          <w:sz w:val="20"/>
        </w:rPr>
        <w:t xml:space="preserve">are </w:t>
      </w:r>
      <w:r>
        <w:rPr>
          <w:color w:val="231F20"/>
          <w:sz w:val="20"/>
        </w:rPr>
        <w:t xml:space="preserve">not </w:t>
      </w:r>
      <w:r>
        <w:rPr>
          <w:color w:val="231F20"/>
          <w:spacing w:val="-3"/>
          <w:sz w:val="20"/>
        </w:rPr>
        <w:t xml:space="preserve">appropriate for </w:t>
      </w:r>
      <w:r>
        <w:rPr>
          <w:color w:val="231F20"/>
          <w:sz w:val="20"/>
        </w:rPr>
        <w:t xml:space="preserve">the majority of stalkers whose behaviour does not </w:t>
      </w:r>
      <w:r>
        <w:rPr>
          <w:color w:val="231F20"/>
          <w:spacing w:val="-5"/>
          <w:sz w:val="20"/>
        </w:rPr>
        <w:t xml:space="preserve">involve </w:t>
      </w:r>
      <w:r>
        <w:rPr>
          <w:color w:val="231F20"/>
          <w:sz w:val="20"/>
        </w:rPr>
        <w:t>sexual or physical</w:t>
      </w:r>
      <w:r>
        <w:rPr>
          <w:color w:val="231F20"/>
          <w:spacing w:val="-21"/>
          <w:sz w:val="20"/>
        </w:rPr>
        <w:t xml:space="preserve"> </w:t>
      </w:r>
      <w:r>
        <w:rPr>
          <w:color w:val="231F20"/>
          <w:spacing w:val="-3"/>
          <w:sz w:val="20"/>
        </w:rPr>
        <w:t>violence’.</w:t>
      </w:r>
      <w:r>
        <w:rPr>
          <w:color w:val="231F20"/>
          <w:spacing w:val="-3"/>
          <w:position w:val="7"/>
          <w:sz w:val="11"/>
        </w:rPr>
        <w:t>65</w:t>
      </w:r>
    </w:p>
    <w:p w14:paraId="235F0D05" w14:textId="77777777" w:rsidR="00894070" w:rsidRDefault="009B7AFD">
      <w:pPr>
        <w:pStyle w:val="ListParagraph"/>
        <w:numPr>
          <w:ilvl w:val="1"/>
          <w:numId w:val="29"/>
        </w:numPr>
        <w:tabs>
          <w:tab w:val="left" w:pos="1801"/>
          <w:tab w:val="left" w:pos="1802"/>
        </w:tabs>
        <w:spacing w:before="127" w:line="206" w:lineRule="auto"/>
        <w:ind w:right="1743"/>
        <w:rPr>
          <w:sz w:val="20"/>
        </w:rPr>
      </w:pPr>
      <w:r>
        <w:rPr>
          <w:color w:val="231F20"/>
          <w:sz w:val="20"/>
        </w:rPr>
        <w:t>One</w:t>
      </w:r>
      <w:r>
        <w:rPr>
          <w:color w:val="231F20"/>
          <w:spacing w:val="-8"/>
          <w:sz w:val="20"/>
        </w:rPr>
        <w:t xml:space="preserve"> </w:t>
      </w:r>
      <w:r>
        <w:rPr>
          <w:color w:val="231F20"/>
          <w:spacing w:val="-3"/>
          <w:sz w:val="20"/>
        </w:rPr>
        <w:t>way</w:t>
      </w:r>
      <w:r>
        <w:rPr>
          <w:color w:val="231F20"/>
          <w:spacing w:val="-8"/>
          <w:sz w:val="20"/>
        </w:rPr>
        <w:t xml:space="preserve"> </w:t>
      </w:r>
      <w:r>
        <w:rPr>
          <w:color w:val="231F20"/>
          <w:sz w:val="20"/>
        </w:rPr>
        <w:t>of</w:t>
      </w:r>
      <w:r>
        <w:rPr>
          <w:color w:val="231F20"/>
          <w:spacing w:val="-7"/>
          <w:sz w:val="20"/>
        </w:rPr>
        <w:t xml:space="preserve"> </w:t>
      </w:r>
      <w:r>
        <w:rPr>
          <w:color w:val="231F20"/>
          <w:sz w:val="20"/>
        </w:rPr>
        <w:t>ensuring</w:t>
      </w:r>
      <w:r>
        <w:rPr>
          <w:color w:val="231F20"/>
          <w:spacing w:val="-8"/>
          <w:sz w:val="20"/>
        </w:rPr>
        <w:t xml:space="preserve"> </w:t>
      </w:r>
      <w:r>
        <w:rPr>
          <w:color w:val="231F20"/>
          <w:sz w:val="20"/>
        </w:rPr>
        <w:t>that</w:t>
      </w:r>
      <w:r>
        <w:rPr>
          <w:color w:val="231F20"/>
          <w:spacing w:val="-8"/>
          <w:sz w:val="20"/>
        </w:rPr>
        <w:t xml:space="preserve"> </w:t>
      </w:r>
      <w:r>
        <w:rPr>
          <w:color w:val="231F20"/>
          <w:sz w:val="20"/>
        </w:rPr>
        <w:t>help</w:t>
      </w:r>
      <w:r>
        <w:rPr>
          <w:color w:val="231F20"/>
          <w:spacing w:val="-7"/>
          <w:sz w:val="20"/>
        </w:rPr>
        <w:t xml:space="preserve"> </w:t>
      </w:r>
      <w:r>
        <w:rPr>
          <w:color w:val="231F20"/>
          <w:sz w:val="20"/>
        </w:rPr>
        <w:t>is</w:t>
      </w:r>
      <w:r>
        <w:rPr>
          <w:color w:val="231F20"/>
          <w:spacing w:val="-8"/>
          <w:sz w:val="20"/>
        </w:rPr>
        <w:t xml:space="preserve"> </w:t>
      </w:r>
      <w:r>
        <w:rPr>
          <w:color w:val="231F20"/>
          <w:sz w:val="20"/>
        </w:rPr>
        <w:t>available</w:t>
      </w:r>
      <w:r>
        <w:rPr>
          <w:color w:val="231F20"/>
          <w:spacing w:val="-8"/>
          <w:sz w:val="20"/>
        </w:rPr>
        <w:t xml:space="preserve"> </w:t>
      </w:r>
      <w:r>
        <w:rPr>
          <w:color w:val="231F20"/>
          <w:spacing w:val="-3"/>
          <w:sz w:val="20"/>
        </w:rPr>
        <w:t>for</w:t>
      </w:r>
      <w:r>
        <w:rPr>
          <w:color w:val="231F20"/>
          <w:spacing w:val="-7"/>
          <w:sz w:val="20"/>
        </w:rPr>
        <w:t xml:space="preserve"> </w:t>
      </w:r>
      <w:r>
        <w:rPr>
          <w:color w:val="231F20"/>
          <w:sz w:val="20"/>
        </w:rPr>
        <w:t>those</w:t>
      </w:r>
      <w:r>
        <w:rPr>
          <w:color w:val="231F20"/>
          <w:spacing w:val="-8"/>
          <w:sz w:val="20"/>
        </w:rPr>
        <w:t xml:space="preserve"> </w:t>
      </w:r>
      <w:r>
        <w:rPr>
          <w:color w:val="231F20"/>
          <w:sz w:val="20"/>
        </w:rPr>
        <w:t>who</w:t>
      </w:r>
      <w:r>
        <w:rPr>
          <w:color w:val="231F20"/>
          <w:spacing w:val="-8"/>
          <w:sz w:val="20"/>
        </w:rPr>
        <w:t xml:space="preserve"> </w:t>
      </w:r>
      <w:r>
        <w:rPr>
          <w:color w:val="231F20"/>
          <w:sz w:val="20"/>
        </w:rPr>
        <w:t>need</w:t>
      </w:r>
      <w:r>
        <w:rPr>
          <w:color w:val="231F20"/>
          <w:spacing w:val="-7"/>
          <w:sz w:val="20"/>
        </w:rPr>
        <w:t xml:space="preserve"> </w:t>
      </w:r>
      <w:r>
        <w:rPr>
          <w:color w:val="231F20"/>
          <w:sz w:val="20"/>
        </w:rPr>
        <w:t>it</w:t>
      </w:r>
      <w:r>
        <w:rPr>
          <w:color w:val="231F20"/>
          <w:spacing w:val="-8"/>
          <w:sz w:val="20"/>
        </w:rPr>
        <w:t xml:space="preserve"> </w:t>
      </w:r>
      <w:r>
        <w:rPr>
          <w:color w:val="231F20"/>
          <w:spacing w:val="-3"/>
          <w:sz w:val="20"/>
        </w:rPr>
        <w:t>would</w:t>
      </w:r>
      <w:r>
        <w:rPr>
          <w:color w:val="231F20"/>
          <w:spacing w:val="-8"/>
          <w:sz w:val="20"/>
        </w:rPr>
        <w:t xml:space="preserve"> </w:t>
      </w:r>
      <w:r>
        <w:rPr>
          <w:color w:val="231F20"/>
          <w:sz w:val="20"/>
        </w:rPr>
        <w:t>be</w:t>
      </w:r>
      <w:r>
        <w:rPr>
          <w:color w:val="231F20"/>
          <w:spacing w:val="-7"/>
          <w:sz w:val="20"/>
        </w:rPr>
        <w:t xml:space="preserve"> </w:t>
      </w:r>
      <w:r>
        <w:rPr>
          <w:color w:val="231F20"/>
          <w:sz w:val="20"/>
        </w:rPr>
        <w:t>to</w:t>
      </w:r>
      <w:r>
        <w:rPr>
          <w:color w:val="231F20"/>
          <w:spacing w:val="-8"/>
          <w:sz w:val="20"/>
        </w:rPr>
        <w:t xml:space="preserve"> </w:t>
      </w:r>
      <w:r>
        <w:rPr>
          <w:color w:val="231F20"/>
          <w:sz w:val="20"/>
        </w:rPr>
        <w:t xml:space="preserve">fund programs </w:t>
      </w:r>
      <w:r>
        <w:rPr>
          <w:color w:val="231F20"/>
          <w:spacing w:val="-3"/>
          <w:sz w:val="20"/>
        </w:rPr>
        <w:t xml:space="preserve">providing </w:t>
      </w:r>
      <w:r>
        <w:rPr>
          <w:color w:val="231F20"/>
          <w:sz w:val="20"/>
        </w:rPr>
        <w:t xml:space="preserve">specific </w:t>
      </w:r>
      <w:r>
        <w:rPr>
          <w:color w:val="231F20"/>
          <w:spacing w:val="-3"/>
          <w:sz w:val="20"/>
        </w:rPr>
        <w:t xml:space="preserve">treatment </w:t>
      </w:r>
      <w:r>
        <w:rPr>
          <w:color w:val="231F20"/>
          <w:sz w:val="20"/>
        </w:rPr>
        <w:t xml:space="preserve">and support </w:t>
      </w:r>
      <w:r>
        <w:rPr>
          <w:color w:val="231F20"/>
          <w:spacing w:val="-3"/>
          <w:sz w:val="20"/>
        </w:rPr>
        <w:t xml:space="preserve">for </w:t>
      </w:r>
      <w:r>
        <w:rPr>
          <w:color w:val="231F20"/>
          <w:sz w:val="20"/>
        </w:rPr>
        <w:t xml:space="preserve">people who stalk. Better assessment is also needed </w:t>
      </w:r>
      <w:r>
        <w:rPr>
          <w:color w:val="231F20"/>
          <w:spacing w:val="-3"/>
          <w:sz w:val="20"/>
        </w:rPr>
        <w:t xml:space="preserve">before </w:t>
      </w:r>
      <w:r>
        <w:rPr>
          <w:color w:val="231F20"/>
          <w:sz w:val="20"/>
        </w:rPr>
        <w:t xml:space="preserve">referrals to </w:t>
      </w:r>
      <w:r>
        <w:rPr>
          <w:color w:val="231F20"/>
          <w:spacing w:val="-3"/>
          <w:sz w:val="20"/>
        </w:rPr>
        <w:t xml:space="preserve">treatment </w:t>
      </w:r>
      <w:r>
        <w:rPr>
          <w:color w:val="231F20"/>
          <w:sz w:val="20"/>
        </w:rPr>
        <w:t xml:space="preserve">services </w:t>
      </w:r>
      <w:r>
        <w:rPr>
          <w:color w:val="231F20"/>
          <w:spacing w:val="-3"/>
          <w:sz w:val="20"/>
        </w:rPr>
        <w:t xml:space="preserve">are </w:t>
      </w:r>
      <w:r>
        <w:rPr>
          <w:color w:val="231F20"/>
          <w:sz w:val="20"/>
        </w:rPr>
        <w:t xml:space="preserve">made. </w:t>
      </w:r>
      <w:r>
        <w:rPr>
          <w:color w:val="231F20"/>
          <w:spacing w:val="-6"/>
          <w:sz w:val="20"/>
        </w:rPr>
        <w:t xml:space="preserve">We </w:t>
      </w:r>
      <w:r>
        <w:rPr>
          <w:color w:val="231F20"/>
          <w:sz w:val="20"/>
        </w:rPr>
        <w:t>discuss this</w:t>
      </w:r>
      <w:r>
        <w:rPr>
          <w:color w:val="231F20"/>
          <w:spacing w:val="-9"/>
          <w:sz w:val="20"/>
        </w:rPr>
        <w:t xml:space="preserve"> </w:t>
      </w:r>
      <w:r>
        <w:rPr>
          <w:color w:val="231F20"/>
          <w:spacing w:val="-4"/>
          <w:sz w:val="20"/>
        </w:rPr>
        <w:t>later.</w:t>
      </w:r>
    </w:p>
    <w:p w14:paraId="10834360" w14:textId="77777777" w:rsidR="00894070" w:rsidRDefault="00894070">
      <w:pPr>
        <w:pStyle w:val="BodyText"/>
      </w:pPr>
    </w:p>
    <w:p w14:paraId="16BC6317" w14:textId="77777777" w:rsidR="00894070" w:rsidRDefault="00894070">
      <w:pPr>
        <w:pStyle w:val="BodyText"/>
      </w:pPr>
    </w:p>
    <w:p w14:paraId="54321915" w14:textId="77777777" w:rsidR="00894070" w:rsidRDefault="00894070">
      <w:pPr>
        <w:pStyle w:val="BodyText"/>
      </w:pPr>
    </w:p>
    <w:p w14:paraId="20F92F85" w14:textId="77777777" w:rsidR="00894070" w:rsidRDefault="009F6793">
      <w:pPr>
        <w:pStyle w:val="BodyText"/>
        <w:spacing w:before="1"/>
        <w:rPr>
          <w:sz w:val="17"/>
        </w:rPr>
      </w:pPr>
      <w:r>
        <w:pict w14:anchorId="240FB5DF">
          <v:line id="_x0000_s1081" style="position:absolute;z-index:251771904;mso-wrap-distance-left:0;mso-wrap-distance-right:0;mso-position-horizontal-relative:page" from="79.35pt,14.35pt" to="515.9pt,14.35pt" strokecolor="#f8cabc" strokeweight="1pt">
            <w10:wrap type="topAndBottom" anchorx="page"/>
          </v:line>
        </w:pict>
      </w:r>
    </w:p>
    <w:p w14:paraId="12A0C295" w14:textId="77777777" w:rsidR="00894070" w:rsidRDefault="00894070">
      <w:pPr>
        <w:pStyle w:val="BodyText"/>
        <w:rPr>
          <w:sz w:val="5"/>
        </w:rPr>
      </w:pPr>
    </w:p>
    <w:p w14:paraId="3C55899F" w14:textId="77777777" w:rsidR="00894070" w:rsidRDefault="00894070">
      <w:pPr>
        <w:rPr>
          <w:sz w:val="5"/>
        </w:rPr>
        <w:sectPr w:rsidR="00894070">
          <w:pgSz w:w="11910" w:h="16840"/>
          <w:pgMar w:top="840" w:right="420" w:bottom="280" w:left="580" w:header="0" w:footer="0" w:gutter="0"/>
          <w:cols w:space="720"/>
        </w:sectPr>
      </w:pPr>
    </w:p>
    <w:p w14:paraId="388D7B25" w14:textId="77777777" w:rsidR="00894070" w:rsidRDefault="009B7AFD">
      <w:pPr>
        <w:pStyle w:val="ListParagraph"/>
        <w:numPr>
          <w:ilvl w:val="0"/>
          <w:numId w:val="26"/>
        </w:numPr>
        <w:tabs>
          <w:tab w:val="left" w:pos="1800"/>
          <w:tab w:val="left" w:pos="1802"/>
        </w:tabs>
        <w:spacing w:before="21" w:line="170" w:lineRule="exact"/>
        <w:jc w:val="left"/>
        <w:rPr>
          <w:sz w:val="13"/>
        </w:rPr>
      </w:pPr>
      <w:r>
        <w:rPr>
          <w:color w:val="231F20"/>
          <w:spacing w:val="2"/>
          <w:sz w:val="13"/>
        </w:rPr>
        <w:t xml:space="preserve">Submissions </w:t>
      </w:r>
      <w:r>
        <w:rPr>
          <w:color w:val="231F20"/>
          <w:sz w:val="13"/>
        </w:rPr>
        <w:t>55 (Springvale Monash Legal Service), 97 (Federation of Community Legal</w:t>
      </w:r>
      <w:r>
        <w:rPr>
          <w:color w:val="231F20"/>
          <w:spacing w:val="15"/>
          <w:sz w:val="13"/>
        </w:rPr>
        <w:t xml:space="preserve"> </w:t>
      </w:r>
      <w:r>
        <w:rPr>
          <w:color w:val="231F20"/>
          <w:sz w:val="13"/>
        </w:rPr>
        <w:t>Centres).</w:t>
      </w:r>
    </w:p>
    <w:p w14:paraId="26BA00E0" w14:textId="77777777" w:rsidR="00894070" w:rsidRDefault="009B7AFD">
      <w:pPr>
        <w:pStyle w:val="ListParagraph"/>
        <w:numPr>
          <w:ilvl w:val="0"/>
          <w:numId w:val="26"/>
        </w:numPr>
        <w:tabs>
          <w:tab w:val="left" w:pos="1801"/>
          <w:tab w:val="left" w:pos="1802"/>
        </w:tabs>
        <w:spacing w:line="160" w:lineRule="exact"/>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3"/>
          <w:sz w:val="13"/>
        </w:rPr>
        <w:t xml:space="preserve"> </w:t>
      </w:r>
      <w:r>
        <w:rPr>
          <w:color w:val="231F20"/>
          <w:sz w:val="13"/>
        </w:rPr>
        <w:t>Party).</w:t>
      </w:r>
    </w:p>
    <w:p w14:paraId="48C06153" w14:textId="77777777" w:rsidR="00894070" w:rsidRDefault="009B7AFD">
      <w:pPr>
        <w:pStyle w:val="ListParagraph"/>
        <w:numPr>
          <w:ilvl w:val="0"/>
          <w:numId w:val="26"/>
        </w:numPr>
        <w:tabs>
          <w:tab w:val="left" w:pos="1801"/>
          <w:tab w:val="left" w:pos="1802"/>
        </w:tabs>
        <w:spacing w:before="7" w:line="213" w:lineRule="auto"/>
        <w:jc w:val="left"/>
        <w:rPr>
          <w:sz w:val="13"/>
        </w:rPr>
      </w:pPr>
      <w:r>
        <w:rPr>
          <w:color w:val="231F20"/>
          <w:spacing w:val="2"/>
          <w:sz w:val="13"/>
        </w:rPr>
        <w:t xml:space="preserve">Submissions </w:t>
      </w:r>
      <w:r>
        <w:rPr>
          <w:color w:val="231F20"/>
          <w:sz w:val="13"/>
        </w:rPr>
        <w:t>32 (Centre for Forensic Behavioural Science), 98 (Law Institute of Victoria); Consultations 13 (Victoria Legal Aid), 15 (Forensicare (No 1)).</w:t>
      </w:r>
    </w:p>
    <w:p w14:paraId="17627FBA" w14:textId="77777777" w:rsidR="00894070" w:rsidRDefault="009B7AFD">
      <w:pPr>
        <w:pStyle w:val="ListParagraph"/>
        <w:numPr>
          <w:ilvl w:val="0"/>
          <w:numId w:val="26"/>
        </w:numPr>
        <w:tabs>
          <w:tab w:val="left" w:pos="1801"/>
          <w:tab w:val="left" w:pos="1802"/>
        </w:tabs>
        <w:spacing w:line="153" w:lineRule="exact"/>
        <w:jc w:val="left"/>
        <w:rPr>
          <w:sz w:val="13"/>
        </w:rPr>
      </w:pPr>
      <w:r>
        <w:rPr>
          <w:color w:val="231F20"/>
          <w:spacing w:val="2"/>
          <w:sz w:val="13"/>
        </w:rPr>
        <w:t xml:space="preserve">Submissions </w:t>
      </w:r>
      <w:r>
        <w:rPr>
          <w:color w:val="231F20"/>
          <w:sz w:val="13"/>
        </w:rPr>
        <w:t>32 (Centre for Forensic Behavioural Science), 100</w:t>
      </w:r>
      <w:r>
        <w:rPr>
          <w:color w:val="231F20"/>
          <w:spacing w:val="4"/>
          <w:sz w:val="13"/>
        </w:rPr>
        <w:t xml:space="preserve"> </w:t>
      </w:r>
      <w:r>
        <w:rPr>
          <w:color w:val="231F20"/>
          <w:sz w:val="13"/>
        </w:rPr>
        <w:t>(Forensicare).</w:t>
      </w:r>
    </w:p>
    <w:p w14:paraId="38CABC7E" w14:textId="77777777" w:rsidR="00894070" w:rsidRDefault="009B7AFD">
      <w:pPr>
        <w:pStyle w:val="ListParagraph"/>
        <w:numPr>
          <w:ilvl w:val="0"/>
          <w:numId w:val="26"/>
        </w:numPr>
        <w:tabs>
          <w:tab w:val="left" w:pos="1800"/>
          <w:tab w:val="left" w:pos="1802"/>
        </w:tabs>
        <w:spacing w:line="160" w:lineRule="exact"/>
        <w:jc w:val="left"/>
        <w:rPr>
          <w:sz w:val="13"/>
        </w:rPr>
      </w:pPr>
      <w:r>
        <w:rPr>
          <w:color w:val="231F20"/>
          <w:sz w:val="13"/>
        </w:rPr>
        <w:t>Consultation 15 (Forensicare (No</w:t>
      </w:r>
      <w:r>
        <w:rPr>
          <w:color w:val="231F20"/>
          <w:spacing w:val="1"/>
          <w:sz w:val="13"/>
        </w:rPr>
        <w:t xml:space="preserve"> </w:t>
      </w:r>
      <w:r>
        <w:rPr>
          <w:color w:val="231F20"/>
          <w:sz w:val="13"/>
        </w:rPr>
        <w:t>1)).</w:t>
      </w:r>
    </w:p>
    <w:p w14:paraId="54ADF0E9" w14:textId="77777777" w:rsidR="00894070" w:rsidRDefault="009B7AFD">
      <w:pPr>
        <w:pStyle w:val="ListParagraph"/>
        <w:numPr>
          <w:ilvl w:val="0"/>
          <w:numId w:val="26"/>
        </w:numPr>
        <w:tabs>
          <w:tab w:val="left" w:pos="1800"/>
          <w:tab w:val="left" w:pos="1802"/>
        </w:tabs>
        <w:spacing w:line="160" w:lineRule="exact"/>
        <w:jc w:val="left"/>
        <w:rPr>
          <w:sz w:val="13"/>
        </w:rPr>
      </w:pPr>
      <w:r>
        <w:rPr>
          <w:color w:val="231F20"/>
          <w:spacing w:val="2"/>
          <w:sz w:val="13"/>
        </w:rPr>
        <w:t>Submission</w:t>
      </w:r>
      <w:r>
        <w:rPr>
          <w:color w:val="231F20"/>
          <w:spacing w:val="3"/>
          <w:sz w:val="13"/>
        </w:rPr>
        <w:t xml:space="preserve"> </w:t>
      </w:r>
      <w:r>
        <w:rPr>
          <w:color w:val="231F20"/>
          <w:sz w:val="13"/>
        </w:rPr>
        <w:t>41</w:t>
      </w:r>
      <w:r>
        <w:rPr>
          <w:color w:val="231F20"/>
          <w:spacing w:val="3"/>
          <w:sz w:val="13"/>
        </w:rPr>
        <w:t xml:space="preserve"> </w:t>
      </w:r>
      <w:r>
        <w:rPr>
          <w:color w:val="231F20"/>
          <w:sz w:val="13"/>
        </w:rPr>
        <w:t>(Djirra);</w:t>
      </w:r>
      <w:r>
        <w:rPr>
          <w:color w:val="231F20"/>
          <w:spacing w:val="4"/>
          <w:sz w:val="13"/>
        </w:rPr>
        <w:t xml:space="preserve"> </w:t>
      </w:r>
      <w:r>
        <w:rPr>
          <w:color w:val="231F20"/>
          <w:sz w:val="13"/>
        </w:rPr>
        <w:t>Consultation</w:t>
      </w:r>
      <w:r>
        <w:rPr>
          <w:color w:val="231F20"/>
          <w:spacing w:val="3"/>
          <w:sz w:val="13"/>
        </w:rPr>
        <w:t xml:space="preserve"> </w:t>
      </w:r>
      <w:r>
        <w:rPr>
          <w:color w:val="231F20"/>
          <w:sz w:val="13"/>
        </w:rPr>
        <w:t>16</w:t>
      </w:r>
      <w:r>
        <w:rPr>
          <w:color w:val="231F20"/>
          <w:spacing w:val="3"/>
          <w:sz w:val="13"/>
        </w:rPr>
        <w:t xml:space="preserve"> </w:t>
      </w:r>
      <w:r>
        <w:rPr>
          <w:color w:val="231F20"/>
          <w:sz w:val="13"/>
        </w:rPr>
        <w:t>(Centre</w:t>
      </w:r>
      <w:r>
        <w:rPr>
          <w:color w:val="231F20"/>
          <w:spacing w:val="3"/>
          <w:sz w:val="13"/>
        </w:rPr>
        <w:t xml:space="preserve"> </w:t>
      </w:r>
      <w:r>
        <w:rPr>
          <w:color w:val="231F20"/>
          <w:sz w:val="13"/>
        </w:rPr>
        <w:t>for</w:t>
      </w:r>
      <w:r>
        <w:rPr>
          <w:color w:val="231F20"/>
          <w:spacing w:val="4"/>
          <w:sz w:val="13"/>
        </w:rPr>
        <w:t xml:space="preserve"> </w:t>
      </w:r>
      <w:r>
        <w:rPr>
          <w:color w:val="231F20"/>
          <w:sz w:val="13"/>
        </w:rPr>
        <w:t>Excellence</w:t>
      </w:r>
      <w:r>
        <w:rPr>
          <w:color w:val="231F20"/>
          <w:spacing w:val="3"/>
          <w:sz w:val="13"/>
        </w:rPr>
        <w:t xml:space="preserve"> </w:t>
      </w:r>
      <w:r>
        <w:rPr>
          <w:color w:val="231F20"/>
          <w:sz w:val="13"/>
        </w:rPr>
        <w:t>in</w:t>
      </w:r>
      <w:r>
        <w:rPr>
          <w:color w:val="231F20"/>
          <w:spacing w:val="3"/>
          <w:sz w:val="13"/>
        </w:rPr>
        <w:t xml:space="preserve"> </w:t>
      </w:r>
      <w:r>
        <w:rPr>
          <w:color w:val="231F20"/>
          <w:sz w:val="13"/>
        </w:rPr>
        <w:t>Child</w:t>
      </w:r>
      <w:r>
        <w:rPr>
          <w:color w:val="231F20"/>
          <w:spacing w:val="4"/>
          <w:sz w:val="13"/>
        </w:rPr>
        <w:t xml:space="preserve"> </w:t>
      </w:r>
      <w:r>
        <w:rPr>
          <w:color w:val="231F20"/>
          <w:sz w:val="13"/>
        </w:rPr>
        <w:t>and</w:t>
      </w:r>
      <w:r>
        <w:rPr>
          <w:color w:val="231F20"/>
          <w:spacing w:val="3"/>
          <w:sz w:val="13"/>
        </w:rPr>
        <w:t xml:space="preserve"> </w:t>
      </w:r>
      <w:r>
        <w:rPr>
          <w:color w:val="231F20"/>
          <w:sz w:val="13"/>
        </w:rPr>
        <w:t>Family</w:t>
      </w:r>
      <w:r>
        <w:rPr>
          <w:color w:val="231F20"/>
          <w:spacing w:val="3"/>
          <w:sz w:val="13"/>
        </w:rPr>
        <w:t xml:space="preserve"> </w:t>
      </w:r>
      <w:r>
        <w:rPr>
          <w:color w:val="231F20"/>
          <w:sz w:val="13"/>
        </w:rPr>
        <w:t>Welfare:</w:t>
      </w:r>
      <w:r>
        <w:rPr>
          <w:color w:val="231F20"/>
          <w:spacing w:val="4"/>
          <w:sz w:val="13"/>
        </w:rPr>
        <w:t xml:space="preserve"> </w:t>
      </w:r>
      <w:r>
        <w:rPr>
          <w:color w:val="231F20"/>
          <w:sz w:val="13"/>
        </w:rPr>
        <w:t>Young</w:t>
      </w:r>
      <w:r>
        <w:rPr>
          <w:color w:val="231F20"/>
          <w:spacing w:val="3"/>
          <w:sz w:val="13"/>
        </w:rPr>
        <w:t xml:space="preserve"> </w:t>
      </w:r>
      <w:r>
        <w:rPr>
          <w:color w:val="231F20"/>
          <w:sz w:val="13"/>
        </w:rPr>
        <w:t>People</w:t>
      </w:r>
      <w:r>
        <w:rPr>
          <w:color w:val="231F20"/>
          <w:spacing w:val="3"/>
          <w:sz w:val="13"/>
        </w:rPr>
        <w:t xml:space="preserve"> </w:t>
      </w:r>
      <w:r>
        <w:rPr>
          <w:color w:val="231F20"/>
          <w:sz w:val="13"/>
        </w:rPr>
        <w:t>and</w:t>
      </w:r>
      <w:r>
        <w:rPr>
          <w:color w:val="231F20"/>
          <w:spacing w:val="4"/>
          <w:sz w:val="13"/>
        </w:rPr>
        <w:t xml:space="preserve"> </w:t>
      </w:r>
      <w:r>
        <w:rPr>
          <w:color w:val="231F20"/>
          <w:sz w:val="13"/>
        </w:rPr>
        <w:t>Stalking).</w:t>
      </w:r>
    </w:p>
    <w:p w14:paraId="2FFFEAE5" w14:textId="77777777" w:rsidR="00894070" w:rsidRDefault="009B7AFD">
      <w:pPr>
        <w:pStyle w:val="ListParagraph"/>
        <w:numPr>
          <w:ilvl w:val="0"/>
          <w:numId w:val="26"/>
        </w:numPr>
        <w:tabs>
          <w:tab w:val="left" w:pos="1800"/>
          <w:tab w:val="left" w:pos="1802"/>
        </w:tabs>
        <w:spacing w:line="160" w:lineRule="exact"/>
        <w:jc w:val="left"/>
        <w:rPr>
          <w:sz w:val="13"/>
        </w:rPr>
      </w:pPr>
      <w:r>
        <w:rPr>
          <w:color w:val="231F20"/>
          <w:sz w:val="13"/>
        </w:rPr>
        <w:t xml:space="preserve">Consultation 6 (Magistrates’ </w:t>
      </w:r>
      <w:r>
        <w:rPr>
          <w:color w:val="231F20"/>
          <w:spacing w:val="2"/>
          <w:sz w:val="13"/>
        </w:rPr>
        <w:t xml:space="preserve">Court </w:t>
      </w:r>
      <w:r>
        <w:rPr>
          <w:color w:val="231F20"/>
          <w:sz w:val="13"/>
        </w:rPr>
        <w:t>of Victoria (No</w:t>
      </w:r>
      <w:r>
        <w:rPr>
          <w:color w:val="231F20"/>
          <w:spacing w:val="1"/>
          <w:sz w:val="13"/>
        </w:rPr>
        <w:t xml:space="preserve"> </w:t>
      </w:r>
      <w:r>
        <w:rPr>
          <w:color w:val="231F20"/>
          <w:sz w:val="13"/>
        </w:rPr>
        <w:t>1)).</w:t>
      </w:r>
    </w:p>
    <w:p w14:paraId="07E31B47" w14:textId="77777777" w:rsidR="00894070" w:rsidRDefault="009B7AFD">
      <w:pPr>
        <w:pStyle w:val="ListParagraph"/>
        <w:numPr>
          <w:ilvl w:val="0"/>
          <w:numId w:val="26"/>
        </w:numPr>
        <w:tabs>
          <w:tab w:val="left" w:pos="1801"/>
          <w:tab w:val="left" w:pos="1802"/>
        </w:tabs>
        <w:spacing w:line="160" w:lineRule="exact"/>
        <w:jc w:val="lef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7"/>
          <w:sz w:val="13"/>
        </w:rPr>
        <w:t xml:space="preserve"> </w:t>
      </w:r>
      <w:r>
        <w:rPr>
          <w:color w:val="231F20"/>
          <w:sz w:val="13"/>
        </w:rPr>
        <w:t>Centres).</w:t>
      </w:r>
    </w:p>
    <w:p w14:paraId="2E9A1C3B" w14:textId="77777777" w:rsidR="00894070" w:rsidRDefault="009B7AFD">
      <w:pPr>
        <w:pStyle w:val="ListParagraph"/>
        <w:numPr>
          <w:ilvl w:val="0"/>
          <w:numId w:val="26"/>
        </w:numPr>
        <w:tabs>
          <w:tab w:val="left" w:pos="1801"/>
          <w:tab w:val="left" w:pos="1802"/>
        </w:tabs>
        <w:spacing w:line="160" w:lineRule="exact"/>
        <w:jc w:val="left"/>
        <w:rPr>
          <w:sz w:val="13"/>
        </w:rPr>
      </w:pPr>
      <w:r>
        <w:rPr>
          <w:color w:val="231F20"/>
          <w:spacing w:val="2"/>
          <w:sz w:val="13"/>
        </w:rPr>
        <w:t xml:space="preserve">Submissions </w:t>
      </w:r>
      <w:r>
        <w:rPr>
          <w:color w:val="231F20"/>
          <w:sz w:val="13"/>
        </w:rPr>
        <w:t>98 (Law Institute of Victoria), 97 (Federation of Community Legal</w:t>
      </w:r>
      <w:r>
        <w:rPr>
          <w:color w:val="231F20"/>
          <w:spacing w:val="9"/>
          <w:sz w:val="13"/>
        </w:rPr>
        <w:t xml:space="preserve"> </w:t>
      </w:r>
      <w:r>
        <w:rPr>
          <w:color w:val="231F20"/>
          <w:sz w:val="13"/>
        </w:rPr>
        <w:t>Centres).</w:t>
      </w:r>
    </w:p>
    <w:p w14:paraId="6939C811" w14:textId="77777777" w:rsidR="00894070" w:rsidRDefault="009B7AFD">
      <w:pPr>
        <w:pStyle w:val="ListParagraph"/>
        <w:numPr>
          <w:ilvl w:val="0"/>
          <w:numId w:val="26"/>
        </w:numPr>
        <w:tabs>
          <w:tab w:val="left" w:pos="1800"/>
          <w:tab w:val="left" w:pos="1802"/>
        </w:tabs>
        <w:spacing w:line="160" w:lineRule="exact"/>
        <w:jc w:val="left"/>
        <w:rPr>
          <w:sz w:val="13"/>
        </w:rPr>
      </w:pPr>
      <w:r>
        <w:rPr>
          <w:color w:val="231F20"/>
          <w:sz w:val="13"/>
        </w:rPr>
        <w:t xml:space="preserve">Consultation 22 (Small group meeting on </w:t>
      </w:r>
      <w:r>
        <w:rPr>
          <w:color w:val="231F20"/>
          <w:spacing w:val="2"/>
          <w:sz w:val="13"/>
        </w:rPr>
        <w:t xml:space="preserve">stalking </w:t>
      </w:r>
      <w:r>
        <w:rPr>
          <w:color w:val="231F20"/>
          <w:sz w:val="13"/>
        </w:rPr>
        <w:t>and people with</w:t>
      </w:r>
      <w:r>
        <w:rPr>
          <w:color w:val="231F20"/>
          <w:spacing w:val="8"/>
          <w:sz w:val="13"/>
        </w:rPr>
        <w:t xml:space="preserve"> </w:t>
      </w:r>
      <w:r>
        <w:rPr>
          <w:color w:val="231F20"/>
          <w:sz w:val="13"/>
        </w:rPr>
        <w:t>disabilities).</w:t>
      </w:r>
    </w:p>
    <w:p w14:paraId="68BD1CB3" w14:textId="77777777" w:rsidR="00894070" w:rsidRDefault="009B7AFD">
      <w:pPr>
        <w:pStyle w:val="ListParagraph"/>
        <w:numPr>
          <w:ilvl w:val="0"/>
          <w:numId w:val="26"/>
        </w:numPr>
        <w:tabs>
          <w:tab w:val="left" w:pos="1801"/>
          <w:tab w:val="left" w:pos="1802"/>
        </w:tabs>
        <w:spacing w:before="6" w:line="213" w:lineRule="auto"/>
        <w:ind w:right="199"/>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3A02E7C7" w14:textId="77777777" w:rsidR="00894070" w:rsidRDefault="009B7AFD">
      <w:pPr>
        <w:pStyle w:val="ListParagraph"/>
        <w:numPr>
          <w:ilvl w:val="0"/>
          <w:numId w:val="26"/>
        </w:numPr>
        <w:tabs>
          <w:tab w:val="left" w:pos="1801"/>
          <w:tab w:val="left" w:pos="1802"/>
        </w:tabs>
        <w:spacing w:line="153" w:lineRule="exact"/>
        <w:jc w:val="left"/>
        <w:rPr>
          <w:sz w:val="13"/>
        </w:rPr>
      </w:pPr>
      <w:r>
        <w:rPr>
          <w:color w:val="231F20"/>
          <w:spacing w:val="2"/>
          <w:sz w:val="13"/>
        </w:rPr>
        <w:t xml:space="preserve">Submission </w:t>
      </w:r>
      <w:r>
        <w:rPr>
          <w:color w:val="231F20"/>
          <w:sz w:val="13"/>
        </w:rPr>
        <w:t>100</w:t>
      </w:r>
      <w:r>
        <w:rPr>
          <w:color w:val="231F20"/>
          <w:spacing w:val="-2"/>
          <w:sz w:val="13"/>
        </w:rPr>
        <w:t xml:space="preserve"> </w:t>
      </w:r>
      <w:r>
        <w:rPr>
          <w:color w:val="231F20"/>
          <w:sz w:val="13"/>
        </w:rPr>
        <w:t>(Forensicare).</w:t>
      </w:r>
    </w:p>
    <w:p w14:paraId="1C829496" w14:textId="77777777" w:rsidR="00894070" w:rsidRDefault="009B7AFD">
      <w:pPr>
        <w:pStyle w:val="ListParagraph"/>
        <w:numPr>
          <w:ilvl w:val="0"/>
          <w:numId w:val="26"/>
        </w:numPr>
        <w:tabs>
          <w:tab w:val="left" w:pos="1800"/>
          <w:tab w:val="left" w:pos="1802"/>
        </w:tabs>
        <w:spacing w:line="170" w:lineRule="exact"/>
        <w:jc w:val="left"/>
        <w:rPr>
          <w:sz w:val="13"/>
        </w:rPr>
      </w:pPr>
      <w:r>
        <w:rPr>
          <w:color w:val="231F20"/>
          <w:sz w:val="13"/>
        </w:rPr>
        <w:t>Ibid.</w:t>
      </w:r>
    </w:p>
    <w:p w14:paraId="588B096B" w14:textId="77777777" w:rsidR="00894070" w:rsidRDefault="009B7AFD">
      <w:pPr>
        <w:pStyle w:val="BodyText"/>
        <w:rPr>
          <w:sz w:val="28"/>
        </w:rPr>
      </w:pPr>
      <w:r>
        <w:br w:type="column"/>
      </w:r>
    </w:p>
    <w:p w14:paraId="68F54049" w14:textId="77777777" w:rsidR="00894070" w:rsidRDefault="00894070">
      <w:pPr>
        <w:pStyle w:val="BodyText"/>
        <w:rPr>
          <w:sz w:val="28"/>
        </w:rPr>
      </w:pPr>
    </w:p>
    <w:p w14:paraId="23B0185F" w14:textId="77777777" w:rsidR="00894070" w:rsidRDefault="00894070">
      <w:pPr>
        <w:pStyle w:val="BodyText"/>
        <w:rPr>
          <w:sz w:val="28"/>
        </w:rPr>
      </w:pPr>
    </w:p>
    <w:p w14:paraId="35A3C4E9" w14:textId="77777777" w:rsidR="00894070" w:rsidRDefault="00894070">
      <w:pPr>
        <w:pStyle w:val="BodyText"/>
        <w:rPr>
          <w:sz w:val="28"/>
        </w:rPr>
      </w:pPr>
    </w:p>
    <w:p w14:paraId="66C5F4A9" w14:textId="77777777" w:rsidR="00894070" w:rsidRDefault="00894070">
      <w:pPr>
        <w:pStyle w:val="BodyText"/>
        <w:spacing w:before="11"/>
        <w:rPr>
          <w:sz w:val="41"/>
        </w:rPr>
      </w:pPr>
    </w:p>
    <w:p w14:paraId="5347E550" w14:textId="77777777" w:rsidR="00894070" w:rsidRDefault="009B7AFD">
      <w:pPr>
        <w:pStyle w:val="Heading8"/>
        <w:ind w:left="707"/>
      </w:pPr>
      <w:r>
        <w:rPr>
          <w:color w:val="EA5B50"/>
        </w:rPr>
        <w:t>169</w:t>
      </w:r>
    </w:p>
    <w:p w14:paraId="083519D0" w14:textId="77777777" w:rsidR="00894070" w:rsidRDefault="00894070">
      <w:pPr>
        <w:sectPr w:rsidR="00894070">
          <w:type w:val="continuous"/>
          <w:pgSz w:w="11910" w:h="16840"/>
          <w:pgMar w:top="560" w:right="420" w:bottom="280" w:left="580" w:header="720" w:footer="720" w:gutter="0"/>
          <w:cols w:num="2" w:space="720" w:equalWidth="0">
            <w:col w:w="9583" w:space="40"/>
            <w:col w:w="1287"/>
          </w:cols>
        </w:sectPr>
      </w:pPr>
    </w:p>
    <w:p w14:paraId="782BFBAE" w14:textId="77777777" w:rsidR="00894070" w:rsidRDefault="00894070">
      <w:pPr>
        <w:pStyle w:val="BodyText"/>
        <w:rPr>
          <w:b/>
        </w:rPr>
      </w:pPr>
    </w:p>
    <w:p w14:paraId="4A63281D" w14:textId="77777777" w:rsidR="00894070" w:rsidRDefault="00894070">
      <w:pPr>
        <w:pStyle w:val="BodyText"/>
        <w:rPr>
          <w:b/>
        </w:rPr>
      </w:pPr>
    </w:p>
    <w:p w14:paraId="5906BB92" w14:textId="77777777" w:rsidR="00894070" w:rsidRDefault="00894070">
      <w:pPr>
        <w:pStyle w:val="BodyText"/>
        <w:rPr>
          <w:b/>
        </w:rPr>
      </w:pPr>
    </w:p>
    <w:p w14:paraId="7256C47A" w14:textId="77777777" w:rsidR="00894070" w:rsidRDefault="009B7AFD">
      <w:pPr>
        <w:pStyle w:val="Heading9"/>
        <w:spacing w:before="224"/>
        <w:rPr>
          <w:b/>
        </w:rPr>
      </w:pPr>
      <w:r>
        <w:rPr>
          <w:b/>
          <w:color w:val="4C4D4F"/>
        </w:rPr>
        <w:t>Early intervention should be a priority</w:t>
      </w:r>
    </w:p>
    <w:p w14:paraId="05BC6081" w14:textId="77777777" w:rsidR="00894070" w:rsidRDefault="009B7AFD">
      <w:pPr>
        <w:pStyle w:val="ListParagraph"/>
        <w:numPr>
          <w:ilvl w:val="1"/>
          <w:numId w:val="29"/>
        </w:numPr>
        <w:tabs>
          <w:tab w:val="left" w:pos="1801"/>
          <w:tab w:val="left" w:pos="1802"/>
        </w:tabs>
        <w:spacing w:before="132" w:line="206" w:lineRule="auto"/>
        <w:ind w:right="1397"/>
        <w:rPr>
          <w:sz w:val="20"/>
        </w:rPr>
      </w:pPr>
      <w:r>
        <w:rPr>
          <w:color w:val="231F20"/>
          <w:spacing w:val="-3"/>
          <w:sz w:val="20"/>
        </w:rPr>
        <w:t xml:space="preserve">Early </w:t>
      </w:r>
      <w:r>
        <w:rPr>
          <w:color w:val="231F20"/>
          <w:spacing w:val="-2"/>
          <w:sz w:val="20"/>
        </w:rPr>
        <w:t xml:space="preserve">intervention </w:t>
      </w:r>
      <w:r>
        <w:rPr>
          <w:color w:val="231F20"/>
          <w:sz w:val="20"/>
        </w:rPr>
        <w:t xml:space="preserve">programs support or </w:t>
      </w:r>
      <w:r>
        <w:rPr>
          <w:color w:val="231F20"/>
          <w:spacing w:val="-3"/>
          <w:sz w:val="20"/>
        </w:rPr>
        <w:t xml:space="preserve">treat </w:t>
      </w:r>
      <w:r>
        <w:rPr>
          <w:color w:val="231F20"/>
          <w:sz w:val="20"/>
        </w:rPr>
        <w:t xml:space="preserve">people who </w:t>
      </w:r>
      <w:r>
        <w:rPr>
          <w:color w:val="231F20"/>
          <w:spacing w:val="-3"/>
          <w:sz w:val="20"/>
        </w:rPr>
        <w:t xml:space="preserve">may </w:t>
      </w:r>
      <w:r>
        <w:rPr>
          <w:color w:val="231F20"/>
          <w:sz w:val="20"/>
        </w:rPr>
        <w:t xml:space="preserve">offend in the </w:t>
      </w:r>
      <w:r>
        <w:rPr>
          <w:color w:val="231F20"/>
          <w:spacing w:val="-3"/>
          <w:sz w:val="20"/>
        </w:rPr>
        <w:t xml:space="preserve">future </w:t>
      </w:r>
      <w:r>
        <w:rPr>
          <w:color w:val="231F20"/>
          <w:sz w:val="20"/>
        </w:rPr>
        <w:t>or become</w:t>
      </w:r>
      <w:r>
        <w:rPr>
          <w:color w:val="231F20"/>
          <w:spacing w:val="-11"/>
          <w:sz w:val="20"/>
        </w:rPr>
        <w:t xml:space="preserve"> </w:t>
      </w:r>
      <w:r>
        <w:rPr>
          <w:color w:val="231F20"/>
          <w:sz w:val="20"/>
        </w:rPr>
        <w:t>engaged</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0"/>
          <w:sz w:val="20"/>
        </w:rPr>
        <w:t xml:space="preserve"> </w:t>
      </w:r>
      <w:r>
        <w:rPr>
          <w:color w:val="231F20"/>
          <w:sz w:val="20"/>
        </w:rPr>
        <w:t>criminal</w:t>
      </w:r>
      <w:r>
        <w:rPr>
          <w:color w:val="231F20"/>
          <w:spacing w:val="-11"/>
          <w:sz w:val="20"/>
        </w:rPr>
        <w:t xml:space="preserve"> </w:t>
      </w:r>
      <w:r>
        <w:rPr>
          <w:color w:val="231F20"/>
          <w:sz w:val="20"/>
        </w:rPr>
        <w:t>justice</w:t>
      </w:r>
      <w:r>
        <w:rPr>
          <w:color w:val="231F20"/>
          <w:spacing w:val="-10"/>
          <w:sz w:val="20"/>
        </w:rPr>
        <w:t xml:space="preserve"> </w:t>
      </w:r>
      <w:r>
        <w:rPr>
          <w:color w:val="231F20"/>
          <w:sz w:val="20"/>
        </w:rPr>
        <w:t>system.</w:t>
      </w:r>
      <w:r>
        <w:rPr>
          <w:color w:val="231F20"/>
          <w:spacing w:val="-10"/>
          <w:sz w:val="20"/>
        </w:rPr>
        <w:t xml:space="preserve"> </w:t>
      </w:r>
      <w:r>
        <w:rPr>
          <w:color w:val="231F20"/>
          <w:sz w:val="20"/>
        </w:rPr>
        <w:t>Such</w:t>
      </w:r>
      <w:r>
        <w:rPr>
          <w:color w:val="231F20"/>
          <w:spacing w:val="-10"/>
          <w:sz w:val="20"/>
        </w:rPr>
        <w:t xml:space="preserve"> </w:t>
      </w:r>
      <w:r>
        <w:rPr>
          <w:color w:val="231F20"/>
          <w:sz w:val="20"/>
        </w:rPr>
        <w:t>people</w:t>
      </w:r>
      <w:r>
        <w:rPr>
          <w:color w:val="231F20"/>
          <w:spacing w:val="-11"/>
          <w:sz w:val="20"/>
        </w:rPr>
        <w:t xml:space="preserve"> </w:t>
      </w:r>
      <w:r>
        <w:rPr>
          <w:color w:val="231F20"/>
          <w:spacing w:val="-3"/>
          <w:sz w:val="20"/>
        </w:rPr>
        <w:t>may</w:t>
      </w:r>
      <w:r>
        <w:rPr>
          <w:color w:val="231F20"/>
          <w:spacing w:val="-10"/>
          <w:sz w:val="20"/>
        </w:rPr>
        <w:t xml:space="preserve"> </w:t>
      </w:r>
      <w:r>
        <w:rPr>
          <w:color w:val="231F20"/>
          <w:spacing w:val="-4"/>
          <w:sz w:val="20"/>
        </w:rPr>
        <w:t>have</w:t>
      </w:r>
      <w:r>
        <w:rPr>
          <w:color w:val="231F20"/>
          <w:spacing w:val="-10"/>
          <w:sz w:val="20"/>
        </w:rPr>
        <w:t xml:space="preserve"> </w:t>
      </w:r>
      <w:r>
        <w:rPr>
          <w:color w:val="231F20"/>
          <w:sz w:val="20"/>
        </w:rPr>
        <w:t>thought</w:t>
      </w:r>
      <w:r>
        <w:rPr>
          <w:color w:val="231F20"/>
          <w:spacing w:val="-10"/>
          <w:sz w:val="20"/>
        </w:rPr>
        <w:t xml:space="preserve"> </w:t>
      </w:r>
      <w:r>
        <w:rPr>
          <w:color w:val="231F20"/>
          <w:sz w:val="20"/>
        </w:rPr>
        <w:t>of offending</w:t>
      </w:r>
      <w:r>
        <w:rPr>
          <w:color w:val="231F20"/>
          <w:spacing w:val="-7"/>
          <w:sz w:val="20"/>
        </w:rPr>
        <w:t xml:space="preserve"> </w:t>
      </w:r>
      <w:r>
        <w:rPr>
          <w:color w:val="231F20"/>
          <w:sz w:val="20"/>
        </w:rPr>
        <w:t>but</w:t>
      </w:r>
      <w:r>
        <w:rPr>
          <w:color w:val="231F20"/>
          <w:spacing w:val="-7"/>
          <w:sz w:val="20"/>
        </w:rPr>
        <w:t xml:space="preserve"> </w:t>
      </w:r>
      <w:r>
        <w:rPr>
          <w:color w:val="231F20"/>
          <w:spacing w:val="-4"/>
          <w:sz w:val="20"/>
        </w:rPr>
        <w:t>have</w:t>
      </w:r>
      <w:r>
        <w:rPr>
          <w:color w:val="231F20"/>
          <w:spacing w:val="-7"/>
          <w:sz w:val="20"/>
        </w:rPr>
        <w:t xml:space="preserve"> </w:t>
      </w:r>
      <w:r>
        <w:rPr>
          <w:color w:val="231F20"/>
          <w:sz w:val="20"/>
        </w:rPr>
        <w:t>not</w:t>
      </w:r>
      <w:r>
        <w:rPr>
          <w:color w:val="231F20"/>
          <w:spacing w:val="-7"/>
          <w:sz w:val="20"/>
        </w:rPr>
        <w:t xml:space="preserve"> </w:t>
      </w:r>
      <w:r>
        <w:rPr>
          <w:color w:val="231F20"/>
          <w:sz w:val="20"/>
        </w:rPr>
        <w:t>done</w:t>
      </w:r>
      <w:r>
        <w:rPr>
          <w:color w:val="231F20"/>
          <w:spacing w:val="-7"/>
          <w:sz w:val="20"/>
        </w:rPr>
        <w:t xml:space="preserve"> </w:t>
      </w:r>
      <w:r>
        <w:rPr>
          <w:color w:val="231F20"/>
          <w:sz w:val="20"/>
        </w:rPr>
        <w:t>so.</w:t>
      </w:r>
      <w:r>
        <w:rPr>
          <w:color w:val="231F20"/>
          <w:spacing w:val="-7"/>
          <w:sz w:val="20"/>
        </w:rPr>
        <w:t xml:space="preserve"> </w:t>
      </w:r>
      <w:r>
        <w:rPr>
          <w:color w:val="231F20"/>
          <w:sz w:val="20"/>
        </w:rPr>
        <w:t>Others</w:t>
      </w:r>
      <w:r>
        <w:rPr>
          <w:color w:val="231F20"/>
          <w:spacing w:val="-7"/>
          <w:sz w:val="20"/>
        </w:rPr>
        <w:t xml:space="preserve"> </w:t>
      </w:r>
      <w:r>
        <w:rPr>
          <w:color w:val="231F20"/>
          <w:spacing w:val="-3"/>
          <w:sz w:val="20"/>
        </w:rPr>
        <w:t>may</w:t>
      </w:r>
      <w:r>
        <w:rPr>
          <w:color w:val="231F20"/>
          <w:spacing w:val="-6"/>
          <w:sz w:val="20"/>
        </w:rPr>
        <w:t xml:space="preserve"> </w:t>
      </w:r>
      <w:r>
        <w:rPr>
          <w:color w:val="231F20"/>
          <w:sz w:val="20"/>
        </w:rPr>
        <w:t>identify</w:t>
      </w:r>
      <w:r>
        <w:rPr>
          <w:color w:val="231F20"/>
          <w:spacing w:val="-7"/>
          <w:sz w:val="20"/>
        </w:rPr>
        <w:t xml:space="preserve"> </w:t>
      </w:r>
      <w:r>
        <w:rPr>
          <w:color w:val="231F20"/>
          <w:spacing w:val="-3"/>
          <w:sz w:val="20"/>
        </w:rPr>
        <w:t>themselves</w:t>
      </w:r>
      <w:r>
        <w:rPr>
          <w:color w:val="231F20"/>
          <w:spacing w:val="-7"/>
          <w:sz w:val="20"/>
        </w:rPr>
        <w:t xml:space="preserve"> </w:t>
      </w:r>
      <w:r>
        <w:rPr>
          <w:color w:val="231F20"/>
          <w:sz w:val="20"/>
        </w:rPr>
        <w:t>as</w:t>
      </w:r>
      <w:r>
        <w:rPr>
          <w:color w:val="231F20"/>
          <w:spacing w:val="-7"/>
          <w:sz w:val="20"/>
        </w:rPr>
        <w:t xml:space="preserve"> </w:t>
      </w:r>
      <w:r>
        <w:rPr>
          <w:color w:val="231F20"/>
          <w:sz w:val="20"/>
        </w:rPr>
        <w:t>needing</w:t>
      </w:r>
      <w:r>
        <w:rPr>
          <w:color w:val="231F20"/>
          <w:spacing w:val="-7"/>
          <w:sz w:val="20"/>
        </w:rPr>
        <w:t xml:space="preserve"> </w:t>
      </w:r>
      <w:r>
        <w:rPr>
          <w:color w:val="231F20"/>
          <w:sz w:val="20"/>
        </w:rPr>
        <w:t>help.</w:t>
      </w:r>
    </w:p>
    <w:p w14:paraId="26CEE2CC" w14:textId="77777777" w:rsidR="00894070" w:rsidRDefault="009B7AFD">
      <w:pPr>
        <w:pStyle w:val="ListParagraph"/>
        <w:numPr>
          <w:ilvl w:val="1"/>
          <w:numId w:val="29"/>
        </w:numPr>
        <w:tabs>
          <w:tab w:val="left" w:pos="1801"/>
          <w:tab w:val="left" w:pos="1802"/>
        </w:tabs>
        <w:spacing w:before="92" w:line="259" w:lineRule="exact"/>
        <w:rPr>
          <w:sz w:val="20"/>
        </w:rPr>
      </w:pPr>
      <w:r>
        <w:rPr>
          <w:color w:val="231F20"/>
          <w:spacing w:val="-3"/>
          <w:sz w:val="20"/>
        </w:rPr>
        <w:t>Early</w:t>
      </w:r>
      <w:r>
        <w:rPr>
          <w:color w:val="231F20"/>
          <w:spacing w:val="-6"/>
          <w:sz w:val="20"/>
        </w:rPr>
        <w:t xml:space="preserve"> </w:t>
      </w:r>
      <w:r>
        <w:rPr>
          <w:color w:val="231F20"/>
          <w:spacing w:val="-2"/>
          <w:sz w:val="20"/>
        </w:rPr>
        <w:t>intervention</w:t>
      </w:r>
      <w:r>
        <w:rPr>
          <w:color w:val="231F20"/>
          <w:spacing w:val="-6"/>
          <w:sz w:val="20"/>
        </w:rPr>
        <w:t xml:space="preserve"> </w:t>
      </w:r>
      <w:r>
        <w:rPr>
          <w:color w:val="231F20"/>
          <w:sz w:val="20"/>
        </w:rPr>
        <w:t>programs</w:t>
      </w:r>
      <w:r>
        <w:rPr>
          <w:color w:val="231F20"/>
          <w:spacing w:val="-6"/>
          <w:sz w:val="20"/>
        </w:rPr>
        <w:t xml:space="preserve"> </w:t>
      </w:r>
      <w:r>
        <w:rPr>
          <w:color w:val="231F20"/>
          <w:sz w:val="20"/>
        </w:rPr>
        <w:t>can</w:t>
      </w:r>
      <w:r>
        <w:rPr>
          <w:color w:val="231F20"/>
          <w:spacing w:val="-6"/>
          <w:sz w:val="20"/>
        </w:rPr>
        <w:t xml:space="preserve"> </w:t>
      </w:r>
      <w:r>
        <w:rPr>
          <w:color w:val="231F20"/>
          <w:sz w:val="20"/>
        </w:rPr>
        <w:t>address</w:t>
      </w:r>
      <w:r>
        <w:rPr>
          <w:color w:val="231F20"/>
          <w:spacing w:val="-6"/>
          <w:sz w:val="20"/>
        </w:rPr>
        <w:t xml:space="preserve"> </w:t>
      </w:r>
      <w:r>
        <w:rPr>
          <w:color w:val="231F20"/>
          <w:sz w:val="20"/>
        </w:rPr>
        <w:t>their</w:t>
      </w:r>
      <w:r>
        <w:rPr>
          <w:color w:val="231F20"/>
          <w:spacing w:val="-6"/>
          <w:sz w:val="20"/>
        </w:rPr>
        <w:t xml:space="preserve"> </w:t>
      </w:r>
      <w:r>
        <w:rPr>
          <w:color w:val="231F20"/>
          <w:spacing w:val="-3"/>
          <w:sz w:val="20"/>
        </w:rPr>
        <w:t>potential</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offending</w:t>
      </w:r>
      <w:r>
        <w:rPr>
          <w:color w:val="231F20"/>
          <w:spacing w:val="-6"/>
          <w:sz w:val="20"/>
        </w:rPr>
        <w:t xml:space="preserve"> </w:t>
      </w:r>
      <w:r>
        <w:rPr>
          <w:color w:val="231F20"/>
          <w:sz w:val="20"/>
        </w:rPr>
        <w:t>and</w:t>
      </w:r>
      <w:r>
        <w:rPr>
          <w:color w:val="231F20"/>
          <w:spacing w:val="-6"/>
          <w:sz w:val="20"/>
        </w:rPr>
        <w:t xml:space="preserve"> </w:t>
      </w:r>
      <w:r>
        <w:rPr>
          <w:color w:val="231F20"/>
          <w:sz w:val="20"/>
        </w:rPr>
        <w:t>contributing</w:t>
      </w:r>
    </w:p>
    <w:p w14:paraId="69DF6CD8" w14:textId="77777777" w:rsidR="00894070" w:rsidRDefault="009B7AFD">
      <w:pPr>
        <w:pStyle w:val="BodyText"/>
        <w:spacing w:line="259" w:lineRule="exact"/>
        <w:ind w:left="1801"/>
      </w:pPr>
      <w:r>
        <w:rPr>
          <w:color w:val="231F20"/>
        </w:rPr>
        <w:t>factors such as substance misuse, mental health issues or housing insecurity.</w:t>
      </w:r>
    </w:p>
    <w:p w14:paraId="3B5F9846" w14:textId="77777777" w:rsidR="00894070" w:rsidRDefault="009B7AFD">
      <w:pPr>
        <w:pStyle w:val="ListParagraph"/>
        <w:numPr>
          <w:ilvl w:val="1"/>
          <w:numId w:val="29"/>
        </w:numPr>
        <w:tabs>
          <w:tab w:val="left" w:pos="1801"/>
          <w:tab w:val="left" w:pos="1802"/>
        </w:tabs>
        <w:spacing w:before="114" w:line="206" w:lineRule="auto"/>
        <w:ind w:right="1476"/>
        <w:rPr>
          <w:sz w:val="20"/>
        </w:rPr>
      </w:pPr>
      <w:r>
        <w:rPr>
          <w:color w:val="231F20"/>
          <w:spacing w:val="-3"/>
          <w:sz w:val="20"/>
        </w:rPr>
        <w:t xml:space="preserve">Early </w:t>
      </w:r>
      <w:r>
        <w:rPr>
          <w:color w:val="231F20"/>
          <w:spacing w:val="-2"/>
          <w:sz w:val="20"/>
        </w:rPr>
        <w:t xml:space="preserve">intervention </w:t>
      </w:r>
      <w:r>
        <w:rPr>
          <w:color w:val="231F20"/>
          <w:sz w:val="20"/>
        </w:rPr>
        <w:t xml:space="preserve">encourages people to take responsibility </w:t>
      </w:r>
      <w:r>
        <w:rPr>
          <w:color w:val="231F20"/>
          <w:spacing w:val="-3"/>
          <w:sz w:val="20"/>
        </w:rPr>
        <w:t xml:space="preserve">for </w:t>
      </w:r>
      <w:r>
        <w:rPr>
          <w:color w:val="231F20"/>
          <w:sz w:val="20"/>
        </w:rPr>
        <w:t>their behaviour and address</w:t>
      </w:r>
      <w:r>
        <w:rPr>
          <w:color w:val="231F20"/>
          <w:spacing w:val="-11"/>
          <w:sz w:val="20"/>
        </w:rPr>
        <w:t xml:space="preserve"> </w:t>
      </w:r>
      <w:r>
        <w:rPr>
          <w:color w:val="231F20"/>
          <w:sz w:val="20"/>
        </w:rPr>
        <w:t>it.</w:t>
      </w:r>
      <w:r>
        <w:rPr>
          <w:color w:val="231F20"/>
          <w:spacing w:val="-11"/>
          <w:sz w:val="20"/>
        </w:rPr>
        <w:t xml:space="preserve"> </w:t>
      </w:r>
      <w:r>
        <w:rPr>
          <w:color w:val="231F20"/>
          <w:sz w:val="20"/>
        </w:rPr>
        <w:t>This</w:t>
      </w:r>
      <w:r>
        <w:rPr>
          <w:color w:val="231F20"/>
          <w:spacing w:val="-11"/>
          <w:sz w:val="20"/>
        </w:rPr>
        <w:t xml:space="preserve"> </w:t>
      </w:r>
      <w:r>
        <w:rPr>
          <w:color w:val="231F20"/>
          <w:sz w:val="20"/>
        </w:rPr>
        <w:t>benefits</w:t>
      </w:r>
      <w:r>
        <w:rPr>
          <w:color w:val="231F20"/>
          <w:spacing w:val="-11"/>
          <w:sz w:val="20"/>
        </w:rPr>
        <w:t xml:space="preserve"> </w:t>
      </w:r>
      <w:r>
        <w:rPr>
          <w:color w:val="231F20"/>
          <w:sz w:val="20"/>
        </w:rPr>
        <w:t>both</w:t>
      </w:r>
      <w:r>
        <w:rPr>
          <w:color w:val="231F20"/>
          <w:spacing w:val="-11"/>
          <w:sz w:val="20"/>
        </w:rPr>
        <w:t xml:space="preserve"> </w:t>
      </w:r>
      <w:r>
        <w:rPr>
          <w:color w:val="231F20"/>
          <w:sz w:val="20"/>
        </w:rPr>
        <w:t>people</w:t>
      </w:r>
      <w:r>
        <w:rPr>
          <w:color w:val="231F20"/>
          <w:spacing w:val="-11"/>
          <w:sz w:val="20"/>
        </w:rPr>
        <w:t xml:space="preserve"> </w:t>
      </w:r>
      <w:r>
        <w:rPr>
          <w:color w:val="231F20"/>
          <w:sz w:val="20"/>
        </w:rPr>
        <w:t>who</w:t>
      </w:r>
      <w:r>
        <w:rPr>
          <w:color w:val="231F20"/>
          <w:spacing w:val="-11"/>
          <w:sz w:val="20"/>
        </w:rPr>
        <w:t xml:space="preserve"> </w:t>
      </w:r>
      <w:r>
        <w:rPr>
          <w:color w:val="231F20"/>
          <w:sz w:val="20"/>
        </w:rPr>
        <w:t>experience</w:t>
      </w:r>
      <w:r>
        <w:rPr>
          <w:color w:val="231F20"/>
          <w:spacing w:val="-11"/>
          <w:sz w:val="20"/>
        </w:rPr>
        <w:t xml:space="preserve"> </w:t>
      </w:r>
      <w:r>
        <w:rPr>
          <w:color w:val="231F20"/>
          <w:sz w:val="20"/>
        </w:rPr>
        <w:t>stalking</w:t>
      </w:r>
      <w:r>
        <w:rPr>
          <w:color w:val="231F20"/>
          <w:spacing w:val="-11"/>
          <w:sz w:val="20"/>
        </w:rPr>
        <w:t xml:space="preserve"> </w:t>
      </w:r>
      <w:r>
        <w:rPr>
          <w:color w:val="231F20"/>
          <w:sz w:val="20"/>
        </w:rPr>
        <w:t>and</w:t>
      </w:r>
      <w:r>
        <w:rPr>
          <w:color w:val="231F20"/>
          <w:spacing w:val="-11"/>
          <w:sz w:val="20"/>
        </w:rPr>
        <w:t xml:space="preserve"> </w:t>
      </w:r>
      <w:r>
        <w:rPr>
          <w:color w:val="231F20"/>
          <w:sz w:val="20"/>
        </w:rPr>
        <w:t>people</w:t>
      </w:r>
      <w:r>
        <w:rPr>
          <w:color w:val="231F20"/>
          <w:spacing w:val="-11"/>
          <w:sz w:val="20"/>
        </w:rPr>
        <w:t xml:space="preserve"> </w:t>
      </w:r>
      <w:r>
        <w:rPr>
          <w:color w:val="231F20"/>
          <w:sz w:val="20"/>
        </w:rPr>
        <w:t>who</w:t>
      </w:r>
      <w:r>
        <w:rPr>
          <w:color w:val="231F20"/>
          <w:spacing w:val="-11"/>
          <w:sz w:val="20"/>
        </w:rPr>
        <w:t xml:space="preserve"> </w:t>
      </w:r>
      <w:r>
        <w:rPr>
          <w:color w:val="231F20"/>
          <w:sz w:val="20"/>
        </w:rPr>
        <w:t>stalk.</w:t>
      </w:r>
    </w:p>
    <w:p w14:paraId="5D618E4B" w14:textId="77777777" w:rsidR="00894070" w:rsidRDefault="009B7AFD">
      <w:pPr>
        <w:pStyle w:val="ListParagraph"/>
        <w:numPr>
          <w:ilvl w:val="1"/>
          <w:numId w:val="29"/>
        </w:numPr>
        <w:tabs>
          <w:tab w:val="left" w:pos="1801"/>
          <w:tab w:val="left" w:pos="1802"/>
        </w:tabs>
        <w:spacing w:before="123" w:line="206" w:lineRule="auto"/>
        <w:ind w:right="1187"/>
        <w:rPr>
          <w:sz w:val="11"/>
        </w:rPr>
      </w:pPr>
      <w:r>
        <w:rPr>
          <w:color w:val="231F20"/>
          <w:sz w:val="20"/>
        </w:rPr>
        <w:t xml:space="preserve">The criminal justice </w:t>
      </w:r>
      <w:r>
        <w:rPr>
          <w:color w:val="231F20"/>
          <w:spacing w:val="-2"/>
          <w:sz w:val="20"/>
        </w:rPr>
        <w:t xml:space="preserve">system </w:t>
      </w:r>
      <w:r>
        <w:rPr>
          <w:color w:val="231F20"/>
          <w:sz w:val="20"/>
        </w:rPr>
        <w:t>often does not intervene until after there has been a significant</w:t>
      </w:r>
      <w:r>
        <w:rPr>
          <w:color w:val="231F20"/>
          <w:spacing w:val="-9"/>
          <w:sz w:val="20"/>
        </w:rPr>
        <w:t xml:space="preserve"> </w:t>
      </w:r>
      <w:r>
        <w:rPr>
          <w:color w:val="231F20"/>
          <w:sz w:val="20"/>
        </w:rPr>
        <w:t>escalation</w:t>
      </w:r>
      <w:r>
        <w:rPr>
          <w:color w:val="231F20"/>
          <w:spacing w:val="-9"/>
          <w:sz w:val="20"/>
        </w:rPr>
        <w:t xml:space="preserve"> </w:t>
      </w:r>
      <w:r>
        <w:rPr>
          <w:color w:val="231F20"/>
          <w:sz w:val="20"/>
        </w:rPr>
        <w:t>in</w:t>
      </w:r>
      <w:r>
        <w:rPr>
          <w:color w:val="231F20"/>
          <w:spacing w:val="-8"/>
          <w:sz w:val="20"/>
        </w:rPr>
        <w:t xml:space="preserve"> </w:t>
      </w:r>
      <w:r>
        <w:rPr>
          <w:color w:val="231F20"/>
          <w:spacing w:val="-3"/>
          <w:sz w:val="20"/>
        </w:rPr>
        <w:t>behaviour.</w:t>
      </w:r>
      <w:r>
        <w:rPr>
          <w:color w:val="231F20"/>
          <w:spacing w:val="-9"/>
          <w:sz w:val="20"/>
        </w:rPr>
        <w:t xml:space="preserve"> </w:t>
      </w:r>
      <w:r>
        <w:rPr>
          <w:color w:val="231F20"/>
          <w:sz w:val="20"/>
        </w:rPr>
        <w:t>In</w:t>
      </w:r>
      <w:r>
        <w:rPr>
          <w:color w:val="231F20"/>
          <w:spacing w:val="-8"/>
          <w:sz w:val="20"/>
        </w:rPr>
        <w:t xml:space="preserve"> </w:t>
      </w:r>
      <w:r>
        <w:rPr>
          <w:color w:val="231F20"/>
          <w:sz w:val="20"/>
        </w:rPr>
        <w:t>these</w:t>
      </w:r>
      <w:r>
        <w:rPr>
          <w:color w:val="231F20"/>
          <w:spacing w:val="-9"/>
          <w:sz w:val="20"/>
        </w:rPr>
        <w:t xml:space="preserve"> </w:t>
      </w:r>
      <w:r>
        <w:rPr>
          <w:color w:val="231F20"/>
          <w:sz w:val="20"/>
        </w:rPr>
        <w:t>cases,</w:t>
      </w:r>
      <w:r>
        <w:rPr>
          <w:color w:val="231F20"/>
          <w:spacing w:val="-8"/>
          <w:sz w:val="20"/>
        </w:rPr>
        <w:t xml:space="preserve"> </w:t>
      </w:r>
      <w:r>
        <w:rPr>
          <w:color w:val="231F20"/>
          <w:sz w:val="20"/>
        </w:rPr>
        <w:t>while</w:t>
      </w:r>
      <w:r>
        <w:rPr>
          <w:color w:val="231F20"/>
          <w:spacing w:val="-9"/>
          <w:sz w:val="20"/>
        </w:rPr>
        <w:t xml:space="preserve"> </w:t>
      </w:r>
      <w:r>
        <w:rPr>
          <w:color w:val="231F20"/>
          <w:sz w:val="20"/>
        </w:rPr>
        <w:t>it</w:t>
      </w:r>
      <w:r>
        <w:rPr>
          <w:color w:val="231F20"/>
          <w:spacing w:val="-8"/>
          <w:sz w:val="20"/>
        </w:rPr>
        <w:t xml:space="preserve"> </w:t>
      </w:r>
      <w:r>
        <w:rPr>
          <w:color w:val="231F20"/>
          <w:sz w:val="20"/>
        </w:rPr>
        <w:t>might</w:t>
      </w:r>
      <w:r>
        <w:rPr>
          <w:color w:val="231F20"/>
          <w:spacing w:val="-9"/>
          <w:sz w:val="20"/>
        </w:rPr>
        <w:t xml:space="preserve"> </w:t>
      </w:r>
      <w:r>
        <w:rPr>
          <w:color w:val="231F20"/>
          <w:sz w:val="20"/>
        </w:rPr>
        <w:t>help</w:t>
      </w:r>
      <w:r>
        <w:rPr>
          <w:color w:val="231F20"/>
          <w:spacing w:val="-9"/>
          <w:sz w:val="20"/>
        </w:rPr>
        <w:t xml:space="preserve"> </w:t>
      </w:r>
      <w:r>
        <w:rPr>
          <w:color w:val="231F20"/>
          <w:sz w:val="20"/>
        </w:rPr>
        <w:t>to</w:t>
      </w:r>
      <w:r>
        <w:rPr>
          <w:color w:val="231F20"/>
          <w:spacing w:val="-8"/>
          <w:sz w:val="20"/>
        </w:rPr>
        <w:t xml:space="preserve"> </w:t>
      </w:r>
      <w:r>
        <w:rPr>
          <w:color w:val="231F20"/>
          <w:spacing w:val="-4"/>
          <w:sz w:val="20"/>
        </w:rPr>
        <w:t>prevent</w:t>
      </w:r>
      <w:r>
        <w:rPr>
          <w:color w:val="231F20"/>
          <w:spacing w:val="-9"/>
          <w:sz w:val="20"/>
        </w:rPr>
        <w:t xml:space="preserve"> </w:t>
      </w:r>
      <w:r>
        <w:rPr>
          <w:color w:val="231F20"/>
          <w:sz w:val="20"/>
        </w:rPr>
        <w:t>further harm</w:t>
      </w:r>
      <w:r>
        <w:rPr>
          <w:color w:val="231F20"/>
          <w:spacing w:val="-12"/>
          <w:sz w:val="20"/>
        </w:rPr>
        <w:t xml:space="preserve"> </w:t>
      </w:r>
      <w:r>
        <w:rPr>
          <w:color w:val="231F20"/>
          <w:sz w:val="20"/>
        </w:rPr>
        <w:t>and</w:t>
      </w:r>
      <w:r>
        <w:rPr>
          <w:color w:val="231F20"/>
          <w:spacing w:val="-12"/>
          <w:sz w:val="20"/>
        </w:rPr>
        <w:t xml:space="preserve"> </w:t>
      </w:r>
      <w:r>
        <w:rPr>
          <w:color w:val="231F20"/>
          <w:sz w:val="20"/>
        </w:rPr>
        <w:t>re-offending,</w:t>
      </w:r>
      <w:r>
        <w:rPr>
          <w:color w:val="231F20"/>
          <w:spacing w:val="-12"/>
          <w:sz w:val="20"/>
        </w:rPr>
        <w:t xml:space="preserve"> </w:t>
      </w:r>
      <w:r>
        <w:rPr>
          <w:color w:val="231F20"/>
          <w:sz w:val="20"/>
        </w:rPr>
        <w:t>it</w:t>
      </w:r>
      <w:r>
        <w:rPr>
          <w:color w:val="231F20"/>
          <w:spacing w:val="-12"/>
          <w:sz w:val="20"/>
        </w:rPr>
        <w:t xml:space="preserve"> </w:t>
      </w:r>
      <w:r>
        <w:rPr>
          <w:color w:val="231F20"/>
          <w:sz w:val="20"/>
        </w:rPr>
        <w:t>cannot</w:t>
      </w:r>
      <w:r>
        <w:rPr>
          <w:color w:val="231F20"/>
          <w:spacing w:val="-11"/>
          <w:sz w:val="20"/>
        </w:rPr>
        <w:t xml:space="preserve"> </w:t>
      </w:r>
      <w:r>
        <w:rPr>
          <w:color w:val="231F20"/>
          <w:sz w:val="20"/>
        </w:rPr>
        <w:t>stop</w:t>
      </w:r>
      <w:r>
        <w:rPr>
          <w:color w:val="231F20"/>
          <w:spacing w:val="-12"/>
          <w:sz w:val="20"/>
        </w:rPr>
        <w:t xml:space="preserve"> </w:t>
      </w:r>
      <w:r>
        <w:rPr>
          <w:color w:val="231F20"/>
          <w:sz w:val="20"/>
        </w:rPr>
        <w:t>the</w:t>
      </w:r>
      <w:r>
        <w:rPr>
          <w:color w:val="231F20"/>
          <w:spacing w:val="-12"/>
          <w:sz w:val="20"/>
        </w:rPr>
        <w:t xml:space="preserve"> </w:t>
      </w:r>
      <w:r>
        <w:rPr>
          <w:color w:val="231F20"/>
          <w:sz w:val="20"/>
        </w:rPr>
        <w:t>harm</w:t>
      </w:r>
      <w:r>
        <w:rPr>
          <w:color w:val="231F20"/>
          <w:spacing w:val="-12"/>
          <w:sz w:val="20"/>
        </w:rPr>
        <w:t xml:space="preserve"> </w:t>
      </w:r>
      <w:r>
        <w:rPr>
          <w:color w:val="231F20"/>
          <w:sz w:val="20"/>
        </w:rPr>
        <w:t>that</w:t>
      </w:r>
      <w:r>
        <w:rPr>
          <w:color w:val="231F20"/>
          <w:spacing w:val="-12"/>
          <w:sz w:val="20"/>
        </w:rPr>
        <w:t xml:space="preserve"> </w:t>
      </w:r>
      <w:r>
        <w:rPr>
          <w:color w:val="231F20"/>
          <w:sz w:val="20"/>
        </w:rPr>
        <w:t>has</w:t>
      </w:r>
      <w:r>
        <w:rPr>
          <w:color w:val="231F20"/>
          <w:spacing w:val="-11"/>
          <w:sz w:val="20"/>
        </w:rPr>
        <w:t xml:space="preserve"> </w:t>
      </w:r>
      <w:r>
        <w:rPr>
          <w:color w:val="231F20"/>
          <w:sz w:val="20"/>
        </w:rPr>
        <w:t>already</w:t>
      </w:r>
      <w:r>
        <w:rPr>
          <w:color w:val="231F20"/>
          <w:spacing w:val="-12"/>
          <w:sz w:val="20"/>
        </w:rPr>
        <w:t xml:space="preserve"> </w:t>
      </w:r>
      <w:r>
        <w:rPr>
          <w:color w:val="231F20"/>
          <w:sz w:val="20"/>
        </w:rPr>
        <w:t>occurred</w:t>
      </w:r>
      <w:r>
        <w:rPr>
          <w:color w:val="231F20"/>
          <w:spacing w:val="-12"/>
          <w:sz w:val="20"/>
        </w:rPr>
        <w:t xml:space="preserve"> </w:t>
      </w:r>
      <w:r>
        <w:rPr>
          <w:color w:val="231F20"/>
          <w:sz w:val="20"/>
        </w:rPr>
        <w:t>or</w:t>
      </w:r>
      <w:r>
        <w:rPr>
          <w:color w:val="231F20"/>
          <w:spacing w:val="-12"/>
          <w:sz w:val="20"/>
        </w:rPr>
        <w:t xml:space="preserve"> </w:t>
      </w:r>
      <w:r>
        <w:rPr>
          <w:color w:val="231F20"/>
          <w:sz w:val="20"/>
        </w:rPr>
        <w:t>the</w:t>
      </w:r>
      <w:r>
        <w:rPr>
          <w:color w:val="231F20"/>
          <w:spacing w:val="-12"/>
          <w:sz w:val="20"/>
        </w:rPr>
        <w:t xml:space="preserve"> </w:t>
      </w:r>
      <w:r>
        <w:rPr>
          <w:color w:val="231F20"/>
          <w:sz w:val="20"/>
        </w:rPr>
        <w:t>serious consequences of it.</w:t>
      </w:r>
      <w:r>
        <w:rPr>
          <w:color w:val="231F20"/>
          <w:position w:val="7"/>
          <w:sz w:val="11"/>
        </w:rPr>
        <w:t xml:space="preserve">66 </w:t>
      </w:r>
      <w:r>
        <w:rPr>
          <w:color w:val="231F20"/>
          <w:sz w:val="20"/>
        </w:rPr>
        <w:t xml:space="preserve">It has been acknowledged in the United Kingdom that a </w:t>
      </w:r>
      <w:r>
        <w:rPr>
          <w:color w:val="231F20"/>
          <w:spacing w:val="-3"/>
          <w:sz w:val="20"/>
        </w:rPr>
        <w:t xml:space="preserve">‘late </w:t>
      </w:r>
      <w:r>
        <w:rPr>
          <w:color w:val="231F20"/>
          <w:spacing w:val="-2"/>
          <w:sz w:val="20"/>
        </w:rPr>
        <w:t xml:space="preserve">intervention </w:t>
      </w:r>
      <w:r>
        <w:rPr>
          <w:color w:val="231F20"/>
          <w:spacing w:val="-4"/>
          <w:sz w:val="20"/>
        </w:rPr>
        <w:t xml:space="preserve">culture’ </w:t>
      </w:r>
      <w:r>
        <w:rPr>
          <w:color w:val="231F20"/>
          <w:sz w:val="20"/>
        </w:rPr>
        <w:t>increases the ‘costs of</w:t>
      </w:r>
      <w:r>
        <w:rPr>
          <w:color w:val="231F20"/>
          <w:spacing w:val="-20"/>
          <w:sz w:val="20"/>
        </w:rPr>
        <w:t xml:space="preserve"> </w:t>
      </w:r>
      <w:r>
        <w:rPr>
          <w:color w:val="231F20"/>
          <w:spacing w:val="-3"/>
          <w:sz w:val="20"/>
        </w:rPr>
        <w:t>failure’.</w:t>
      </w:r>
      <w:r>
        <w:rPr>
          <w:color w:val="231F20"/>
          <w:spacing w:val="-3"/>
          <w:position w:val="7"/>
          <w:sz w:val="11"/>
        </w:rPr>
        <w:t>67</w:t>
      </w:r>
    </w:p>
    <w:p w14:paraId="029CBD6C" w14:textId="77777777" w:rsidR="00894070" w:rsidRDefault="009B7AFD">
      <w:pPr>
        <w:pStyle w:val="ListParagraph"/>
        <w:numPr>
          <w:ilvl w:val="1"/>
          <w:numId w:val="29"/>
        </w:numPr>
        <w:tabs>
          <w:tab w:val="left" w:pos="1801"/>
          <w:tab w:val="left" w:pos="1802"/>
        </w:tabs>
        <w:spacing w:before="94"/>
        <w:rPr>
          <w:sz w:val="11"/>
        </w:rPr>
      </w:pPr>
      <w:r>
        <w:rPr>
          <w:color w:val="231F20"/>
          <w:spacing w:val="-6"/>
          <w:sz w:val="20"/>
        </w:rPr>
        <w:t xml:space="preserve">We </w:t>
      </w:r>
      <w:r>
        <w:rPr>
          <w:color w:val="231F20"/>
          <w:spacing w:val="-3"/>
          <w:sz w:val="20"/>
        </w:rPr>
        <w:t xml:space="preserve">received </w:t>
      </w:r>
      <w:r>
        <w:rPr>
          <w:color w:val="231F20"/>
          <w:sz w:val="20"/>
        </w:rPr>
        <w:t xml:space="preserve">some support </w:t>
      </w:r>
      <w:r>
        <w:rPr>
          <w:color w:val="231F20"/>
          <w:spacing w:val="-3"/>
          <w:sz w:val="20"/>
        </w:rPr>
        <w:t>for early</w:t>
      </w:r>
      <w:r>
        <w:rPr>
          <w:color w:val="231F20"/>
          <w:spacing w:val="-13"/>
          <w:sz w:val="20"/>
        </w:rPr>
        <w:t xml:space="preserve"> </w:t>
      </w:r>
      <w:r>
        <w:rPr>
          <w:color w:val="231F20"/>
          <w:sz w:val="20"/>
        </w:rPr>
        <w:t>intervention.</w:t>
      </w:r>
      <w:r>
        <w:rPr>
          <w:color w:val="231F20"/>
          <w:position w:val="7"/>
          <w:sz w:val="11"/>
        </w:rPr>
        <w:t>68</w:t>
      </w:r>
    </w:p>
    <w:p w14:paraId="521B9A78" w14:textId="77777777" w:rsidR="00894070" w:rsidRDefault="009B7AFD">
      <w:pPr>
        <w:pStyle w:val="ListParagraph"/>
        <w:numPr>
          <w:ilvl w:val="1"/>
          <w:numId w:val="29"/>
        </w:numPr>
        <w:tabs>
          <w:tab w:val="left" w:pos="1801"/>
          <w:tab w:val="left" w:pos="1802"/>
        </w:tabs>
        <w:spacing w:before="115" w:line="206" w:lineRule="auto"/>
        <w:ind w:right="1059"/>
        <w:rPr>
          <w:sz w:val="20"/>
        </w:rPr>
      </w:pPr>
      <w:r>
        <w:rPr>
          <w:color w:val="231F20"/>
          <w:sz w:val="20"/>
        </w:rPr>
        <w:t xml:space="preserve">There </w:t>
      </w:r>
      <w:r>
        <w:rPr>
          <w:color w:val="231F20"/>
          <w:spacing w:val="-4"/>
          <w:sz w:val="20"/>
        </w:rPr>
        <w:t xml:space="preserve">have </w:t>
      </w:r>
      <w:r>
        <w:rPr>
          <w:color w:val="231F20"/>
          <w:sz w:val="20"/>
        </w:rPr>
        <w:t xml:space="preserve">been very </w:t>
      </w:r>
      <w:r>
        <w:rPr>
          <w:color w:val="231F20"/>
          <w:spacing w:val="-4"/>
          <w:sz w:val="20"/>
        </w:rPr>
        <w:t xml:space="preserve">few </w:t>
      </w:r>
      <w:r>
        <w:rPr>
          <w:color w:val="231F20"/>
          <w:spacing w:val="-3"/>
          <w:sz w:val="20"/>
        </w:rPr>
        <w:t xml:space="preserve">evaluations </w:t>
      </w:r>
      <w:r>
        <w:rPr>
          <w:color w:val="231F20"/>
          <w:sz w:val="20"/>
        </w:rPr>
        <w:t xml:space="preserve">of stalking-specific </w:t>
      </w:r>
      <w:r>
        <w:rPr>
          <w:color w:val="231F20"/>
          <w:spacing w:val="-3"/>
          <w:sz w:val="20"/>
        </w:rPr>
        <w:t xml:space="preserve">early </w:t>
      </w:r>
      <w:r>
        <w:rPr>
          <w:color w:val="231F20"/>
          <w:spacing w:val="-2"/>
          <w:sz w:val="20"/>
        </w:rPr>
        <w:t xml:space="preserve">intervention </w:t>
      </w:r>
      <w:r>
        <w:rPr>
          <w:color w:val="231F20"/>
          <w:sz w:val="20"/>
        </w:rPr>
        <w:t xml:space="preserve">programs. </w:t>
      </w:r>
      <w:r>
        <w:rPr>
          <w:color w:val="231F20"/>
          <w:spacing w:val="-6"/>
          <w:sz w:val="20"/>
        </w:rPr>
        <w:t>We</w:t>
      </w:r>
      <w:r>
        <w:rPr>
          <w:color w:val="231F20"/>
          <w:spacing w:val="-8"/>
          <w:sz w:val="20"/>
        </w:rPr>
        <w:t xml:space="preserve"> </w:t>
      </w:r>
      <w:r>
        <w:rPr>
          <w:color w:val="231F20"/>
          <w:spacing w:val="-3"/>
          <w:sz w:val="20"/>
        </w:rPr>
        <w:t>note</w:t>
      </w:r>
      <w:r>
        <w:rPr>
          <w:color w:val="231F20"/>
          <w:spacing w:val="-7"/>
          <w:sz w:val="20"/>
        </w:rPr>
        <w:t xml:space="preserve"> </w:t>
      </w:r>
      <w:r>
        <w:rPr>
          <w:color w:val="231F20"/>
          <w:sz w:val="20"/>
        </w:rPr>
        <w:t>the</w:t>
      </w:r>
      <w:r>
        <w:rPr>
          <w:color w:val="231F20"/>
          <w:spacing w:val="-7"/>
          <w:sz w:val="20"/>
        </w:rPr>
        <w:t xml:space="preserve"> </w:t>
      </w:r>
      <w:r>
        <w:rPr>
          <w:color w:val="231F20"/>
          <w:sz w:val="20"/>
        </w:rPr>
        <w:t>promising</w:t>
      </w:r>
      <w:r>
        <w:rPr>
          <w:color w:val="231F20"/>
          <w:spacing w:val="-7"/>
          <w:sz w:val="20"/>
        </w:rPr>
        <w:t xml:space="preserve"> </w:t>
      </w:r>
      <w:r>
        <w:rPr>
          <w:color w:val="231F20"/>
          <w:spacing w:val="-3"/>
          <w:sz w:val="20"/>
        </w:rPr>
        <w:t>evaluation</w:t>
      </w:r>
      <w:r>
        <w:rPr>
          <w:color w:val="231F20"/>
          <w:spacing w:val="-8"/>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pacing w:val="-3"/>
          <w:sz w:val="20"/>
        </w:rPr>
        <w:t>Problem</w:t>
      </w:r>
      <w:r>
        <w:rPr>
          <w:color w:val="231F20"/>
          <w:spacing w:val="-7"/>
          <w:sz w:val="20"/>
        </w:rPr>
        <w:t xml:space="preserve"> </w:t>
      </w:r>
      <w:r>
        <w:rPr>
          <w:color w:val="231F20"/>
          <w:sz w:val="20"/>
        </w:rPr>
        <w:t>Behaviour</w:t>
      </w:r>
      <w:r>
        <w:rPr>
          <w:color w:val="231F20"/>
          <w:spacing w:val="-8"/>
          <w:sz w:val="20"/>
        </w:rPr>
        <w:t xml:space="preserve"> </w:t>
      </w:r>
      <w:r>
        <w:rPr>
          <w:color w:val="231F20"/>
          <w:sz w:val="20"/>
        </w:rPr>
        <w:t>Program</w:t>
      </w:r>
      <w:r>
        <w:rPr>
          <w:color w:val="231F20"/>
          <w:spacing w:val="-7"/>
          <w:sz w:val="20"/>
        </w:rPr>
        <w:t xml:space="preserve"> </w:t>
      </w:r>
      <w:r>
        <w:rPr>
          <w:color w:val="231F20"/>
          <w:spacing w:val="-3"/>
          <w:sz w:val="20"/>
        </w:rPr>
        <w:t>(PBP)</w:t>
      </w:r>
      <w:r>
        <w:rPr>
          <w:color w:val="231F20"/>
          <w:spacing w:val="-7"/>
          <w:sz w:val="20"/>
        </w:rPr>
        <w:t xml:space="preserve"> </w:t>
      </w:r>
      <w:r>
        <w:rPr>
          <w:color w:val="231F20"/>
          <w:spacing w:val="-3"/>
          <w:sz w:val="20"/>
        </w:rPr>
        <w:t>above,</w:t>
      </w:r>
      <w:r>
        <w:rPr>
          <w:color w:val="231F20"/>
          <w:spacing w:val="-7"/>
          <w:sz w:val="20"/>
        </w:rPr>
        <w:t xml:space="preserve"> </w:t>
      </w:r>
      <w:r>
        <w:rPr>
          <w:color w:val="231F20"/>
          <w:sz w:val="20"/>
        </w:rPr>
        <w:t xml:space="preserve">which also acts as an </w:t>
      </w:r>
      <w:r>
        <w:rPr>
          <w:color w:val="231F20"/>
          <w:spacing w:val="-3"/>
          <w:sz w:val="20"/>
        </w:rPr>
        <w:t xml:space="preserve">early </w:t>
      </w:r>
      <w:r>
        <w:rPr>
          <w:color w:val="231F20"/>
          <w:spacing w:val="-2"/>
          <w:sz w:val="20"/>
        </w:rPr>
        <w:t>intervention</w:t>
      </w:r>
      <w:r>
        <w:rPr>
          <w:color w:val="231F20"/>
          <w:spacing w:val="-22"/>
          <w:sz w:val="20"/>
        </w:rPr>
        <w:t xml:space="preserve"> </w:t>
      </w:r>
      <w:r>
        <w:rPr>
          <w:color w:val="231F20"/>
          <w:sz w:val="20"/>
        </w:rPr>
        <w:t>program.</w:t>
      </w:r>
    </w:p>
    <w:p w14:paraId="0801DD51" w14:textId="77777777" w:rsidR="00894070" w:rsidRDefault="009B7AFD">
      <w:pPr>
        <w:pStyle w:val="ListParagraph"/>
        <w:numPr>
          <w:ilvl w:val="1"/>
          <w:numId w:val="29"/>
        </w:numPr>
        <w:tabs>
          <w:tab w:val="left" w:pos="1801"/>
          <w:tab w:val="left" w:pos="1802"/>
        </w:tabs>
        <w:spacing w:before="123" w:line="206" w:lineRule="auto"/>
        <w:ind w:right="1009"/>
        <w:rPr>
          <w:sz w:val="11"/>
        </w:rPr>
      </w:pPr>
      <w:r>
        <w:rPr>
          <w:color w:val="231F20"/>
          <w:sz w:val="20"/>
        </w:rPr>
        <w:t xml:space="preserve">Similarly an </w:t>
      </w:r>
      <w:r>
        <w:rPr>
          <w:color w:val="231F20"/>
          <w:spacing w:val="-3"/>
          <w:sz w:val="20"/>
        </w:rPr>
        <w:t xml:space="preserve">evaluation </w:t>
      </w:r>
      <w:r>
        <w:rPr>
          <w:color w:val="231F20"/>
          <w:sz w:val="20"/>
        </w:rPr>
        <w:t xml:space="preserve">of the Multi-Agency Stalking </w:t>
      </w:r>
      <w:r>
        <w:rPr>
          <w:color w:val="231F20"/>
          <w:spacing w:val="-2"/>
          <w:sz w:val="20"/>
        </w:rPr>
        <w:t xml:space="preserve">Intervention </w:t>
      </w:r>
      <w:r>
        <w:rPr>
          <w:color w:val="231F20"/>
          <w:sz w:val="20"/>
        </w:rPr>
        <w:t xml:space="preserve">Programme </w:t>
      </w:r>
      <w:r>
        <w:rPr>
          <w:color w:val="231F20"/>
          <w:spacing w:val="-3"/>
          <w:sz w:val="20"/>
        </w:rPr>
        <w:t xml:space="preserve">(MASIP), </w:t>
      </w:r>
      <w:r>
        <w:rPr>
          <w:color w:val="231F20"/>
          <w:sz w:val="20"/>
        </w:rPr>
        <w:t xml:space="preserve">which was </w:t>
      </w:r>
      <w:r>
        <w:rPr>
          <w:color w:val="231F20"/>
          <w:spacing w:val="-3"/>
          <w:sz w:val="20"/>
        </w:rPr>
        <w:t xml:space="preserve">developed </w:t>
      </w:r>
      <w:r>
        <w:rPr>
          <w:color w:val="231F20"/>
          <w:sz w:val="20"/>
        </w:rPr>
        <w:t xml:space="preserve">and used </w:t>
      </w:r>
      <w:r>
        <w:rPr>
          <w:color w:val="231F20"/>
          <w:spacing w:val="-3"/>
          <w:sz w:val="20"/>
        </w:rPr>
        <w:t xml:space="preserve">across </w:t>
      </w:r>
      <w:r>
        <w:rPr>
          <w:color w:val="231F20"/>
          <w:sz w:val="20"/>
        </w:rPr>
        <w:t xml:space="preserve">three </w:t>
      </w:r>
      <w:r>
        <w:rPr>
          <w:color w:val="231F20"/>
          <w:spacing w:val="-3"/>
          <w:sz w:val="20"/>
        </w:rPr>
        <w:t xml:space="preserve">sites </w:t>
      </w:r>
      <w:r>
        <w:rPr>
          <w:color w:val="231F20"/>
          <w:sz w:val="20"/>
        </w:rPr>
        <w:t xml:space="preserve">in England and </w:t>
      </w:r>
      <w:r>
        <w:rPr>
          <w:color w:val="231F20"/>
          <w:spacing w:val="-4"/>
          <w:sz w:val="20"/>
        </w:rPr>
        <w:t xml:space="preserve">Wales </w:t>
      </w:r>
      <w:r>
        <w:rPr>
          <w:color w:val="231F20"/>
          <w:sz w:val="20"/>
        </w:rPr>
        <w:t>and which has elements</w:t>
      </w:r>
      <w:r>
        <w:rPr>
          <w:color w:val="231F20"/>
          <w:spacing w:val="-9"/>
          <w:sz w:val="20"/>
        </w:rPr>
        <w:t xml:space="preserve"> </w:t>
      </w:r>
      <w:r>
        <w:rPr>
          <w:color w:val="231F20"/>
          <w:sz w:val="20"/>
        </w:rPr>
        <w:t>of</w:t>
      </w:r>
      <w:r>
        <w:rPr>
          <w:color w:val="231F20"/>
          <w:spacing w:val="-8"/>
          <w:sz w:val="20"/>
        </w:rPr>
        <w:t xml:space="preserve"> </w:t>
      </w:r>
      <w:r>
        <w:rPr>
          <w:color w:val="231F20"/>
          <w:spacing w:val="-3"/>
          <w:sz w:val="20"/>
        </w:rPr>
        <w:t>early</w:t>
      </w:r>
      <w:r>
        <w:rPr>
          <w:color w:val="231F20"/>
          <w:spacing w:val="-9"/>
          <w:sz w:val="20"/>
        </w:rPr>
        <w:t xml:space="preserve"> </w:t>
      </w:r>
      <w:r>
        <w:rPr>
          <w:color w:val="231F20"/>
          <w:spacing w:val="-2"/>
          <w:sz w:val="20"/>
        </w:rPr>
        <w:t>intervention,</w:t>
      </w:r>
      <w:r>
        <w:rPr>
          <w:color w:val="231F20"/>
          <w:spacing w:val="-8"/>
          <w:sz w:val="20"/>
        </w:rPr>
        <w:t xml:space="preserve"> </w:t>
      </w:r>
      <w:r>
        <w:rPr>
          <w:color w:val="231F20"/>
          <w:sz w:val="20"/>
        </w:rPr>
        <w:t>reported</w:t>
      </w:r>
      <w:r>
        <w:rPr>
          <w:color w:val="231F20"/>
          <w:spacing w:val="-9"/>
          <w:sz w:val="20"/>
        </w:rPr>
        <w:t xml:space="preserve"> </w:t>
      </w:r>
      <w:r>
        <w:rPr>
          <w:color w:val="231F20"/>
          <w:sz w:val="20"/>
        </w:rPr>
        <w:t>some</w:t>
      </w:r>
      <w:r>
        <w:rPr>
          <w:color w:val="231F20"/>
          <w:spacing w:val="-8"/>
          <w:sz w:val="20"/>
        </w:rPr>
        <w:t xml:space="preserve"> </w:t>
      </w:r>
      <w:r>
        <w:rPr>
          <w:color w:val="231F20"/>
          <w:sz w:val="20"/>
        </w:rPr>
        <w:t>evidence</w:t>
      </w:r>
      <w:r>
        <w:rPr>
          <w:color w:val="231F20"/>
          <w:spacing w:val="-8"/>
          <w:sz w:val="20"/>
        </w:rPr>
        <w:t xml:space="preserve"> </w:t>
      </w:r>
      <w:r>
        <w:rPr>
          <w:color w:val="231F20"/>
          <w:sz w:val="20"/>
        </w:rPr>
        <w:t>of</w:t>
      </w:r>
      <w:r>
        <w:rPr>
          <w:color w:val="231F20"/>
          <w:spacing w:val="-9"/>
          <w:sz w:val="20"/>
        </w:rPr>
        <w:t xml:space="preserve"> </w:t>
      </w:r>
      <w:r>
        <w:rPr>
          <w:color w:val="231F20"/>
          <w:spacing w:val="-3"/>
          <w:sz w:val="20"/>
        </w:rPr>
        <w:t>improvements</w:t>
      </w:r>
      <w:r>
        <w:rPr>
          <w:color w:val="231F20"/>
          <w:spacing w:val="-8"/>
          <w:sz w:val="20"/>
        </w:rPr>
        <w:t xml:space="preserve"> </w:t>
      </w:r>
      <w:r>
        <w:rPr>
          <w:color w:val="231F20"/>
          <w:spacing w:val="-3"/>
          <w:sz w:val="20"/>
        </w:rPr>
        <w:t>for</w:t>
      </w:r>
      <w:r>
        <w:rPr>
          <w:color w:val="231F20"/>
          <w:spacing w:val="-9"/>
          <w:sz w:val="20"/>
        </w:rPr>
        <w:t xml:space="preserve"> </w:t>
      </w:r>
      <w:r>
        <w:rPr>
          <w:color w:val="231F20"/>
          <w:sz w:val="20"/>
        </w:rPr>
        <w:t>people</w:t>
      </w:r>
      <w:r>
        <w:rPr>
          <w:color w:val="231F20"/>
          <w:spacing w:val="-8"/>
          <w:sz w:val="20"/>
        </w:rPr>
        <w:t xml:space="preserve"> </w:t>
      </w:r>
      <w:r>
        <w:rPr>
          <w:color w:val="231F20"/>
          <w:sz w:val="20"/>
        </w:rPr>
        <w:t>who stalk,</w:t>
      </w:r>
      <w:r>
        <w:rPr>
          <w:color w:val="231F20"/>
          <w:spacing w:val="-8"/>
          <w:sz w:val="20"/>
        </w:rPr>
        <w:t xml:space="preserve"> </w:t>
      </w:r>
      <w:r>
        <w:rPr>
          <w:color w:val="231F20"/>
          <w:sz w:val="20"/>
        </w:rPr>
        <w:t>including</w:t>
      </w:r>
      <w:r>
        <w:rPr>
          <w:color w:val="231F20"/>
          <w:spacing w:val="-7"/>
          <w:sz w:val="20"/>
        </w:rPr>
        <w:t xml:space="preserve"> </w:t>
      </w:r>
      <w:r>
        <w:rPr>
          <w:color w:val="231F20"/>
          <w:spacing w:val="-3"/>
          <w:sz w:val="20"/>
        </w:rPr>
        <w:t>developing</w:t>
      </w:r>
      <w:r>
        <w:rPr>
          <w:color w:val="231F20"/>
          <w:spacing w:val="-8"/>
          <w:sz w:val="20"/>
        </w:rPr>
        <w:t xml:space="preserve"> </w:t>
      </w:r>
      <w:r>
        <w:rPr>
          <w:color w:val="231F20"/>
          <w:sz w:val="20"/>
        </w:rPr>
        <w:t>motivation</w:t>
      </w:r>
      <w:r>
        <w:rPr>
          <w:color w:val="231F20"/>
          <w:spacing w:val="-7"/>
          <w:sz w:val="20"/>
        </w:rPr>
        <w:t xml:space="preserve"> </w:t>
      </w:r>
      <w:r>
        <w:rPr>
          <w:color w:val="231F20"/>
          <w:sz w:val="20"/>
        </w:rPr>
        <w:t>and</w:t>
      </w:r>
      <w:r>
        <w:rPr>
          <w:color w:val="231F20"/>
          <w:spacing w:val="-7"/>
          <w:sz w:val="20"/>
        </w:rPr>
        <w:t xml:space="preserve"> </w:t>
      </w:r>
      <w:r>
        <w:rPr>
          <w:color w:val="231F20"/>
          <w:sz w:val="20"/>
        </w:rPr>
        <w:t>strategies</w:t>
      </w:r>
      <w:r>
        <w:rPr>
          <w:color w:val="231F20"/>
          <w:spacing w:val="-8"/>
          <w:sz w:val="20"/>
        </w:rPr>
        <w:t xml:space="preserve"> </w:t>
      </w:r>
      <w:r>
        <w:rPr>
          <w:color w:val="231F20"/>
          <w:sz w:val="20"/>
        </w:rPr>
        <w:t>to</w:t>
      </w:r>
      <w:r>
        <w:rPr>
          <w:color w:val="231F20"/>
          <w:spacing w:val="-7"/>
          <w:sz w:val="20"/>
        </w:rPr>
        <w:t xml:space="preserve"> </w:t>
      </w:r>
      <w:r>
        <w:rPr>
          <w:color w:val="231F20"/>
          <w:sz w:val="20"/>
        </w:rPr>
        <w:t>manage</w:t>
      </w:r>
      <w:r>
        <w:rPr>
          <w:color w:val="231F20"/>
          <w:spacing w:val="-7"/>
          <w:sz w:val="20"/>
        </w:rPr>
        <w:t xml:space="preserve"> </w:t>
      </w:r>
      <w:r>
        <w:rPr>
          <w:color w:val="231F20"/>
          <w:sz w:val="20"/>
        </w:rPr>
        <w:t>stalking</w:t>
      </w:r>
      <w:r>
        <w:rPr>
          <w:color w:val="231F20"/>
          <w:spacing w:val="-8"/>
          <w:sz w:val="20"/>
        </w:rPr>
        <w:t xml:space="preserve"> </w:t>
      </w:r>
      <w:r>
        <w:rPr>
          <w:color w:val="231F20"/>
          <w:spacing w:val="-2"/>
          <w:sz w:val="20"/>
        </w:rPr>
        <w:t>behaviour.</w:t>
      </w:r>
      <w:r>
        <w:rPr>
          <w:color w:val="231F20"/>
          <w:spacing w:val="-2"/>
          <w:position w:val="7"/>
          <w:sz w:val="11"/>
        </w:rPr>
        <w:t>69</w:t>
      </w:r>
    </w:p>
    <w:p w14:paraId="4A94303C" w14:textId="77777777" w:rsidR="00894070" w:rsidRDefault="009B7AFD">
      <w:pPr>
        <w:pStyle w:val="ListParagraph"/>
        <w:numPr>
          <w:ilvl w:val="1"/>
          <w:numId w:val="29"/>
        </w:numPr>
        <w:tabs>
          <w:tab w:val="left" w:pos="1801"/>
          <w:tab w:val="left" w:pos="1802"/>
        </w:tabs>
        <w:spacing w:before="126" w:line="206" w:lineRule="auto"/>
        <w:ind w:right="1685"/>
        <w:rPr>
          <w:sz w:val="11"/>
        </w:rPr>
      </w:pPr>
      <w:r>
        <w:rPr>
          <w:color w:val="231F20"/>
          <w:sz w:val="20"/>
        </w:rPr>
        <w:t>The</w:t>
      </w:r>
      <w:r>
        <w:rPr>
          <w:color w:val="231F20"/>
          <w:spacing w:val="-7"/>
          <w:sz w:val="20"/>
        </w:rPr>
        <w:t xml:space="preserve"> </w:t>
      </w:r>
      <w:r>
        <w:rPr>
          <w:color w:val="231F20"/>
          <w:spacing w:val="-3"/>
          <w:sz w:val="20"/>
        </w:rPr>
        <w:t>evaluation</w:t>
      </w:r>
      <w:r>
        <w:rPr>
          <w:color w:val="231F20"/>
          <w:spacing w:val="-7"/>
          <w:sz w:val="20"/>
        </w:rPr>
        <w:t xml:space="preserve"> </w:t>
      </w:r>
      <w:r>
        <w:rPr>
          <w:color w:val="231F20"/>
          <w:sz w:val="20"/>
        </w:rPr>
        <w:t>noted</w:t>
      </w:r>
      <w:r>
        <w:rPr>
          <w:color w:val="231F20"/>
          <w:spacing w:val="-7"/>
          <w:sz w:val="20"/>
        </w:rPr>
        <w:t xml:space="preserve"> </w:t>
      </w:r>
      <w:r>
        <w:rPr>
          <w:color w:val="231F20"/>
          <w:spacing w:val="-4"/>
          <w:sz w:val="20"/>
        </w:rPr>
        <w:t>however</w:t>
      </w:r>
      <w:r>
        <w:rPr>
          <w:color w:val="231F20"/>
          <w:spacing w:val="-7"/>
          <w:sz w:val="20"/>
        </w:rPr>
        <w:t xml:space="preserve"> </w:t>
      </w:r>
      <w:r>
        <w:rPr>
          <w:color w:val="231F20"/>
          <w:sz w:val="20"/>
        </w:rPr>
        <w:t>that</w:t>
      </w:r>
      <w:r>
        <w:rPr>
          <w:color w:val="231F20"/>
          <w:spacing w:val="-7"/>
          <w:sz w:val="20"/>
        </w:rPr>
        <w:t xml:space="preserve"> </w:t>
      </w:r>
      <w:r>
        <w:rPr>
          <w:color w:val="231F20"/>
          <w:sz w:val="20"/>
        </w:rPr>
        <w:t>more</w:t>
      </w:r>
      <w:r>
        <w:rPr>
          <w:color w:val="231F20"/>
          <w:spacing w:val="-7"/>
          <w:sz w:val="20"/>
        </w:rPr>
        <w:t xml:space="preserve"> </w:t>
      </w:r>
      <w:r>
        <w:rPr>
          <w:color w:val="231F20"/>
          <w:spacing w:val="-3"/>
          <w:sz w:val="20"/>
        </w:rPr>
        <w:t>research</w:t>
      </w:r>
      <w:r>
        <w:rPr>
          <w:color w:val="231F20"/>
          <w:spacing w:val="-7"/>
          <w:sz w:val="20"/>
        </w:rPr>
        <w:t xml:space="preserve"> </w:t>
      </w:r>
      <w:r>
        <w:rPr>
          <w:color w:val="231F20"/>
          <w:sz w:val="20"/>
        </w:rPr>
        <w:t>and</w:t>
      </w:r>
      <w:r>
        <w:rPr>
          <w:color w:val="231F20"/>
          <w:spacing w:val="-7"/>
          <w:sz w:val="20"/>
        </w:rPr>
        <w:t xml:space="preserve"> </w:t>
      </w:r>
      <w:r>
        <w:rPr>
          <w:color w:val="231F20"/>
          <w:spacing w:val="-3"/>
          <w:sz w:val="20"/>
        </w:rPr>
        <w:t>evaluation</w:t>
      </w:r>
      <w:r>
        <w:rPr>
          <w:color w:val="231F20"/>
          <w:spacing w:val="-7"/>
          <w:sz w:val="20"/>
        </w:rPr>
        <w:t xml:space="preserve"> </w:t>
      </w:r>
      <w:r>
        <w:rPr>
          <w:color w:val="231F20"/>
          <w:sz w:val="20"/>
        </w:rPr>
        <w:t>of</w:t>
      </w:r>
      <w:r>
        <w:rPr>
          <w:color w:val="231F20"/>
          <w:spacing w:val="-7"/>
          <w:sz w:val="20"/>
        </w:rPr>
        <w:t xml:space="preserve"> </w:t>
      </w:r>
      <w:r>
        <w:rPr>
          <w:color w:val="231F20"/>
          <w:sz w:val="20"/>
        </w:rPr>
        <w:t xml:space="preserve">multi-agency programmes is </w:t>
      </w:r>
      <w:r>
        <w:rPr>
          <w:color w:val="231F20"/>
          <w:spacing w:val="-3"/>
          <w:sz w:val="20"/>
        </w:rPr>
        <w:t xml:space="preserve">required </w:t>
      </w:r>
      <w:r>
        <w:rPr>
          <w:color w:val="231F20"/>
          <w:sz w:val="20"/>
        </w:rPr>
        <w:t xml:space="preserve">to </w:t>
      </w:r>
      <w:r>
        <w:rPr>
          <w:color w:val="231F20"/>
          <w:spacing w:val="-3"/>
          <w:sz w:val="20"/>
        </w:rPr>
        <w:t xml:space="preserve">validate </w:t>
      </w:r>
      <w:r>
        <w:rPr>
          <w:color w:val="231F20"/>
          <w:sz w:val="20"/>
        </w:rPr>
        <w:t>the findings of the</w:t>
      </w:r>
      <w:r>
        <w:rPr>
          <w:color w:val="231F20"/>
          <w:spacing w:val="-35"/>
          <w:sz w:val="20"/>
        </w:rPr>
        <w:t xml:space="preserve"> </w:t>
      </w:r>
      <w:r>
        <w:rPr>
          <w:color w:val="231F20"/>
          <w:spacing w:val="-4"/>
          <w:sz w:val="20"/>
        </w:rPr>
        <w:t>study.</w:t>
      </w:r>
      <w:r>
        <w:rPr>
          <w:color w:val="231F20"/>
          <w:spacing w:val="-4"/>
          <w:position w:val="7"/>
          <w:sz w:val="11"/>
        </w:rPr>
        <w:t>70</w:t>
      </w:r>
    </w:p>
    <w:p w14:paraId="320B5666" w14:textId="77777777" w:rsidR="00894070" w:rsidRDefault="009B7AFD">
      <w:pPr>
        <w:pStyle w:val="ListParagraph"/>
        <w:numPr>
          <w:ilvl w:val="1"/>
          <w:numId w:val="29"/>
        </w:numPr>
        <w:tabs>
          <w:tab w:val="left" w:pos="1801"/>
          <w:tab w:val="left" w:pos="1802"/>
        </w:tabs>
        <w:spacing w:before="122" w:line="206" w:lineRule="auto"/>
        <w:ind w:right="1227"/>
        <w:rPr>
          <w:sz w:val="20"/>
        </w:rPr>
      </w:pPr>
      <w:r>
        <w:rPr>
          <w:color w:val="231F20"/>
          <w:sz w:val="20"/>
        </w:rPr>
        <w:t xml:space="preserve">Given the </w:t>
      </w:r>
      <w:r>
        <w:rPr>
          <w:color w:val="231F20"/>
          <w:spacing w:val="-3"/>
          <w:sz w:val="20"/>
        </w:rPr>
        <w:t xml:space="preserve">potential </w:t>
      </w:r>
      <w:r>
        <w:rPr>
          <w:color w:val="231F20"/>
          <w:sz w:val="20"/>
        </w:rPr>
        <w:t xml:space="preserve">effectiveness of </w:t>
      </w:r>
      <w:r>
        <w:rPr>
          <w:color w:val="231F20"/>
          <w:spacing w:val="-3"/>
          <w:sz w:val="20"/>
        </w:rPr>
        <w:t xml:space="preserve">early </w:t>
      </w:r>
      <w:r>
        <w:rPr>
          <w:color w:val="231F20"/>
          <w:spacing w:val="-2"/>
          <w:sz w:val="20"/>
        </w:rPr>
        <w:t xml:space="preserve">intervention, </w:t>
      </w:r>
      <w:r>
        <w:rPr>
          <w:color w:val="231F20"/>
          <w:sz w:val="20"/>
        </w:rPr>
        <w:t xml:space="preserve">this is another area </w:t>
      </w:r>
      <w:r>
        <w:rPr>
          <w:color w:val="231F20"/>
          <w:spacing w:val="-3"/>
          <w:sz w:val="20"/>
        </w:rPr>
        <w:t xml:space="preserve">for </w:t>
      </w:r>
      <w:r>
        <w:rPr>
          <w:color w:val="231F20"/>
          <w:sz w:val="20"/>
        </w:rPr>
        <w:t xml:space="preserve">further </w:t>
      </w:r>
      <w:r>
        <w:rPr>
          <w:color w:val="231F20"/>
          <w:spacing w:val="-3"/>
          <w:sz w:val="20"/>
        </w:rPr>
        <w:t>research</w:t>
      </w:r>
      <w:r>
        <w:rPr>
          <w:color w:val="231F20"/>
          <w:spacing w:val="-8"/>
          <w:sz w:val="20"/>
        </w:rPr>
        <w:t xml:space="preserve"> </w:t>
      </w:r>
      <w:r>
        <w:rPr>
          <w:color w:val="231F20"/>
          <w:sz w:val="20"/>
        </w:rPr>
        <w:t>and</w:t>
      </w:r>
      <w:r>
        <w:rPr>
          <w:color w:val="231F20"/>
          <w:spacing w:val="-7"/>
          <w:sz w:val="20"/>
        </w:rPr>
        <w:t xml:space="preserve"> </w:t>
      </w:r>
      <w:r>
        <w:rPr>
          <w:color w:val="231F20"/>
          <w:spacing w:val="-3"/>
          <w:sz w:val="20"/>
        </w:rPr>
        <w:t>evaluation</w:t>
      </w:r>
      <w:r>
        <w:rPr>
          <w:color w:val="231F20"/>
          <w:spacing w:val="-8"/>
          <w:sz w:val="20"/>
        </w:rPr>
        <w:t xml:space="preserve"> </w:t>
      </w:r>
      <w:r>
        <w:rPr>
          <w:color w:val="231F20"/>
          <w:sz w:val="20"/>
        </w:rPr>
        <w:t>to</w:t>
      </w:r>
      <w:r>
        <w:rPr>
          <w:color w:val="231F20"/>
          <w:spacing w:val="-7"/>
          <w:sz w:val="20"/>
        </w:rPr>
        <w:t xml:space="preserve"> </w:t>
      </w:r>
      <w:r>
        <w:rPr>
          <w:color w:val="231F20"/>
          <w:sz w:val="20"/>
        </w:rPr>
        <w:t>determine</w:t>
      </w:r>
      <w:r>
        <w:rPr>
          <w:color w:val="231F20"/>
          <w:spacing w:val="-8"/>
          <w:sz w:val="20"/>
        </w:rPr>
        <w:t xml:space="preserve"> </w:t>
      </w:r>
      <w:r>
        <w:rPr>
          <w:color w:val="231F20"/>
          <w:sz w:val="20"/>
        </w:rPr>
        <w:t>what</w:t>
      </w:r>
      <w:r>
        <w:rPr>
          <w:color w:val="231F20"/>
          <w:spacing w:val="-7"/>
          <w:sz w:val="20"/>
        </w:rPr>
        <w:t xml:space="preserve"> </w:t>
      </w:r>
      <w:r>
        <w:rPr>
          <w:color w:val="231F20"/>
          <w:spacing w:val="-3"/>
          <w:sz w:val="20"/>
        </w:rPr>
        <w:t>initiatives</w:t>
      </w:r>
      <w:r>
        <w:rPr>
          <w:color w:val="231F20"/>
          <w:spacing w:val="-8"/>
          <w:sz w:val="20"/>
        </w:rPr>
        <w:t xml:space="preserve"> </w:t>
      </w:r>
      <w:r>
        <w:rPr>
          <w:color w:val="231F20"/>
          <w:spacing w:val="-3"/>
          <w:sz w:val="20"/>
        </w:rPr>
        <w:t>work</w:t>
      </w:r>
      <w:r>
        <w:rPr>
          <w:color w:val="231F20"/>
          <w:spacing w:val="-7"/>
          <w:sz w:val="20"/>
        </w:rPr>
        <w:t xml:space="preserve"> </w:t>
      </w:r>
      <w:r>
        <w:rPr>
          <w:color w:val="231F20"/>
          <w:sz w:val="20"/>
        </w:rPr>
        <w:t>best</w:t>
      </w:r>
      <w:r>
        <w:rPr>
          <w:color w:val="231F20"/>
          <w:spacing w:val="-7"/>
          <w:sz w:val="20"/>
        </w:rPr>
        <w:t xml:space="preserve"> </w:t>
      </w:r>
      <w:r>
        <w:rPr>
          <w:color w:val="231F20"/>
          <w:spacing w:val="-3"/>
          <w:sz w:val="20"/>
        </w:rPr>
        <w:t>for</w:t>
      </w:r>
      <w:r>
        <w:rPr>
          <w:color w:val="231F20"/>
          <w:spacing w:val="-8"/>
          <w:sz w:val="20"/>
        </w:rPr>
        <w:t xml:space="preserve"> </w:t>
      </w:r>
      <w:r>
        <w:rPr>
          <w:color w:val="231F20"/>
          <w:sz w:val="20"/>
        </w:rPr>
        <w:t>non-family</w:t>
      </w:r>
      <w:r>
        <w:rPr>
          <w:color w:val="231F20"/>
          <w:spacing w:val="-7"/>
          <w:sz w:val="20"/>
        </w:rPr>
        <w:t xml:space="preserve"> </w:t>
      </w:r>
      <w:r>
        <w:rPr>
          <w:color w:val="231F20"/>
          <w:sz w:val="20"/>
        </w:rPr>
        <w:t>violence stalking.</w:t>
      </w:r>
    </w:p>
    <w:p w14:paraId="77FE5068" w14:textId="77777777" w:rsidR="00894070" w:rsidRDefault="009B7AFD">
      <w:pPr>
        <w:pStyle w:val="ListParagraph"/>
        <w:numPr>
          <w:ilvl w:val="1"/>
          <w:numId w:val="29"/>
        </w:numPr>
        <w:tabs>
          <w:tab w:val="left" w:pos="1801"/>
          <w:tab w:val="left" w:pos="1802"/>
        </w:tabs>
        <w:spacing w:before="124" w:line="206" w:lineRule="auto"/>
        <w:ind w:right="1009"/>
        <w:rPr>
          <w:sz w:val="20"/>
        </w:rPr>
      </w:pPr>
      <w:r>
        <w:rPr>
          <w:color w:val="231F20"/>
          <w:sz w:val="20"/>
        </w:rPr>
        <w:t>Informed</w:t>
      </w:r>
      <w:r>
        <w:rPr>
          <w:color w:val="231F20"/>
          <w:spacing w:val="-11"/>
          <w:sz w:val="20"/>
        </w:rPr>
        <w:t xml:space="preserve"> </w:t>
      </w:r>
      <w:r>
        <w:rPr>
          <w:color w:val="231F20"/>
          <w:spacing w:val="-3"/>
          <w:sz w:val="20"/>
        </w:rPr>
        <w:t>by</w:t>
      </w:r>
      <w:r>
        <w:rPr>
          <w:color w:val="231F20"/>
          <w:spacing w:val="-11"/>
          <w:sz w:val="20"/>
        </w:rPr>
        <w:t xml:space="preserve"> </w:t>
      </w:r>
      <w:r>
        <w:rPr>
          <w:color w:val="231F20"/>
          <w:sz w:val="20"/>
        </w:rPr>
        <w:t>these</w:t>
      </w:r>
      <w:r>
        <w:rPr>
          <w:color w:val="231F20"/>
          <w:spacing w:val="-10"/>
          <w:sz w:val="20"/>
        </w:rPr>
        <w:t xml:space="preserve"> </w:t>
      </w:r>
      <w:r>
        <w:rPr>
          <w:color w:val="231F20"/>
          <w:sz w:val="20"/>
        </w:rPr>
        <w:t>preliminary</w:t>
      </w:r>
      <w:r>
        <w:rPr>
          <w:color w:val="231F20"/>
          <w:spacing w:val="-11"/>
          <w:sz w:val="20"/>
        </w:rPr>
        <w:t xml:space="preserve"> </w:t>
      </w:r>
      <w:r>
        <w:rPr>
          <w:color w:val="231F20"/>
          <w:spacing w:val="-2"/>
          <w:sz w:val="20"/>
        </w:rPr>
        <w:t>evaluations,</w:t>
      </w:r>
      <w:r>
        <w:rPr>
          <w:color w:val="231F20"/>
          <w:spacing w:val="-11"/>
          <w:sz w:val="20"/>
        </w:rPr>
        <w:t xml:space="preserve"> </w:t>
      </w:r>
      <w:r>
        <w:rPr>
          <w:color w:val="231F20"/>
          <w:sz w:val="20"/>
        </w:rPr>
        <w:t>the</w:t>
      </w:r>
      <w:r>
        <w:rPr>
          <w:color w:val="231F20"/>
          <w:spacing w:val="-10"/>
          <w:sz w:val="20"/>
        </w:rPr>
        <w:t xml:space="preserve"> </w:t>
      </w:r>
      <w:r>
        <w:rPr>
          <w:color w:val="231F20"/>
          <w:sz w:val="20"/>
        </w:rPr>
        <w:t>Victorian</w:t>
      </w:r>
      <w:r>
        <w:rPr>
          <w:color w:val="231F20"/>
          <w:spacing w:val="-11"/>
          <w:sz w:val="20"/>
        </w:rPr>
        <w:t xml:space="preserve"> </w:t>
      </w:r>
      <w:r>
        <w:rPr>
          <w:color w:val="231F20"/>
          <w:spacing w:val="-3"/>
          <w:sz w:val="20"/>
        </w:rPr>
        <w:t>Government</w:t>
      </w:r>
      <w:r>
        <w:rPr>
          <w:color w:val="231F20"/>
          <w:spacing w:val="-10"/>
          <w:sz w:val="20"/>
        </w:rPr>
        <w:t xml:space="preserve"> </w:t>
      </w:r>
      <w:r>
        <w:rPr>
          <w:color w:val="231F20"/>
          <w:sz w:val="20"/>
        </w:rPr>
        <w:t>should</w:t>
      </w:r>
      <w:r>
        <w:rPr>
          <w:color w:val="231F20"/>
          <w:spacing w:val="-11"/>
          <w:sz w:val="20"/>
        </w:rPr>
        <w:t xml:space="preserve"> </w:t>
      </w:r>
      <w:r>
        <w:rPr>
          <w:color w:val="231F20"/>
          <w:sz w:val="20"/>
        </w:rPr>
        <w:t>increase</w:t>
      </w:r>
      <w:r>
        <w:rPr>
          <w:color w:val="231F20"/>
          <w:spacing w:val="-11"/>
          <w:sz w:val="20"/>
        </w:rPr>
        <w:t xml:space="preserve"> </w:t>
      </w:r>
      <w:r>
        <w:rPr>
          <w:color w:val="231F20"/>
          <w:sz w:val="20"/>
        </w:rPr>
        <w:t xml:space="preserve">the availability of </w:t>
      </w:r>
      <w:r>
        <w:rPr>
          <w:color w:val="231F20"/>
          <w:spacing w:val="-3"/>
          <w:sz w:val="20"/>
        </w:rPr>
        <w:t xml:space="preserve">early </w:t>
      </w:r>
      <w:r>
        <w:rPr>
          <w:color w:val="231F20"/>
          <w:spacing w:val="-2"/>
          <w:sz w:val="20"/>
        </w:rPr>
        <w:t xml:space="preserve">intervention </w:t>
      </w:r>
      <w:r>
        <w:rPr>
          <w:color w:val="231F20"/>
          <w:sz w:val="20"/>
        </w:rPr>
        <w:t xml:space="preserve">programs </w:t>
      </w:r>
      <w:r>
        <w:rPr>
          <w:color w:val="231F20"/>
          <w:spacing w:val="-3"/>
          <w:sz w:val="20"/>
        </w:rPr>
        <w:t>for</w:t>
      </w:r>
      <w:r>
        <w:rPr>
          <w:color w:val="231F20"/>
          <w:spacing w:val="-22"/>
          <w:sz w:val="20"/>
        </w:rPr>
        <w:t xml:space="preserve"> </w:t>
      </w:r>
      <w:r>
        <w:rPr>
          <w:color w:val="231F20"/>
          <w:sz w:val="20"/>
        </w:rPr>
        <w:t>stalking.</w:t>
      </w:r>
    </w:p>
    <w:p w14:paraId="725F9F50" w14:textId="77777777" w:rsidR="00894070" w:rsidRDefault="009B7AFD">
      <w:pPr>
        <w:pStyle w:val="ListParagraph"/>
        <w:numPr>
          <w:ilvl w:val="1"/>
          <w:numId w:val="29"/>
        </w:numPr>
        <w:tabs>
          <w:tab w:val="left" w:pos="1801"/>
          <w:tab w:val="left" w:pos="1802"/>
        </w:tabs>
        <w:spacing w:before="122" w:line="206" w:lineRule="auto"/>
        <w:ind w:right="1302"/>
        <w:rPr>
          <w:sz w:val="11"/>
        </w:rPr>
      </w:pPr>
      <w:r>
        <w:rPr>
          <w:color w:val="231F20"/>
          <w:sz w:val="20"/>
        </w:rPr>
        <w:t xml:space="preserve">There </w:t>
      </w:r>
      <w:r>
        <w:rPr>
          <w:color w:val="231F20"/>
          <w:spacing w:val="-3"/>
          <w:sz w:val="20"/>
        </w:rPr>
        <w:t xml:space="preserve">are </w:t>
      </w:r>
      <w:r>
        <w:rPr>
          <w:color w:val="231F20"/>
          <w:sz w:val="20"/>
        </w:rPr>
        <w:t xml:space="preserve">not enough </w:t>
      </w:r>
      <w:r>
        <w:rPr>
          <w:color w:val="231F20"/>
          <w:spacing w:val="-3"/>
          <w:sz w:val="20"/>
        </w:rPr>
        <w:t xml:space="preserve">early </w:t>
      </w:r>
      <w:r>
        <w:rPr>
          <w:color w:val="231F20"/>
          <w:spacing w:val="-2"/>
          <w:sz w:val="20"/>
        </w:rPr>
        <w:t xml:space="preserve">intervention </w:t>
      </w:r>
      <w:r>
        <w:rPr>
          <w:color w:val="231F20"/>
          <w:sz w:val="20"/>
        </w:rPr>
        <w:t xml:space="preserve">services </w:t>
      </w:r>
      <w:r>
        <w:rPr>
          <w:color w:val="231F20"/>
          <w:spacing w:val="-3"/>
          <w:sz w:val="20"/>
        </w:rPr>
        <w:t xml:space="preserve">for </w:t>
      </w:r>
      <w:r>
        <w:rPr>
          <w:color w:val="231F20"/>
          <w:sz w:val="20"/>
        </w:rPr>
        <w:t>stalking in Victoria.</w:t>
      </w:r>
      <w:r>
        <w:rPr>
          <w:color w:val="231F20"/>
          <w:position w:val="7"/>
          <w:sz w:val="11"/>
        </w:rPr>
        <w:t xml:space="preserve">71 </w:t>
      </w:r>
      <w:r>
        <w:rPr>
          <w:color w:val="231F20"/>
          <w:sz w:val="20"/>
        </w:rPr>
        <w:t>Regional and</w:t>
      </w:r>
      <w:r>
        <w:rPr>
          <w:color w:val="231F20"/>
          <w:spacing w:val="-9"/>
          <w:sz w:val="20"/>
        </w:rPr>
        <w:t xml:space="preserve"> </w:t>
      </w:r>
      <w:r>
        <w:rPr>
          <w:color w:val="231F20"/>
          <w:sz w:val="20"/>
        </w:rPr>
        <w:t>rural</w:t>
      </w:r>
      <w:r>
        <w:rPr>
          <w:color w:val="231F20"/>
          <w:spacing w:val="-9"/>
          <w:sz w:val="20"/>
        </w:rPr>
        <w:t xml:space="preserve"> </w:t>
      </w:r>
      <w:r>
        <w:rPr>
          <w:color w:val="231F20"/>
          <w:sz w:val="20"/>
        </w:rPr>
        <w:t>Victoria</w:t>
      </w:r>
      <w:r>
        <w:rPr>
          <w:color w:val="231F20"/>
          <w:spacing w:val="-8"/>
          <w:sz w:val="20"/>
        </w:rPr>
        <w:t xml:space="preserve"> </w:t>
      </w:r>
      <w:r>
        <w:rPr>
          <w:color w:val="231F20"/>
          <w:sz w:val="20"/>
        </w:rPr>
        <w:t>should</w:t>
      </w:r>
      <w:r>
        <w:rPr>
          <w:color w:val="231F20"/>
          <w:spacing w:val="-9"/>
          <w:sz w:val="20"/>
        </w:rPr>
        <w:t xml:space="preserve"> </w:t>
      </w:r>
      <w:r>
        <w:rPr>
          <w:color w:val="231F20"/>
          <w:sz w:val="20"/>
        </w:rPr>
        <w:t>be</w:t>
      </w:r>
      <w:r>
        <w:rPr>
          <w:color w:val="231F20"/>
          <w:spacing w:val="-9"/>
          <w:sz w:val="20"/>
        </w:rPr>
        <w:t xml:space="preserve"> </w:t>
      </w:r>
      <w:r>
        <w:rPr>
          <w:color w:val="231F20"/>
          <w:sz w:val="20"/>
        </w:rPr>
        <w:t>a</w:t>
      </w:r>
      <w:r>
        <w:rPr>
          <w:color w:val="231F20"/>
          <w:spacing w:val="-8"/>
          <w:sz w:val="20"/>
        </w:rPr>
        <w:t xml:space="preserve"> </w:t>
      </w:r>
      <w:r>
        <w:rPr>
          <w:color w:val="231F20"/>
          <w:spacing w:val="-3"/>
          <w:sz w:val="20"/>
        </w:rPr>
        <w:t>priority,</w:t>
      </w:r>
      <w:r>
        <w:rPr>
          <w:color w:val="231F20"/>
          <w:spacing w:val="-9"/>
          <w:sz w:val="20"/>
        </w:rPr>
        <w:t xml:space="preserve"> </w:t>
      </w:r>
      <w:r>
        <w:rPr>
          <w:color w:val="231F20"/>
          <w:sz w:val="20"/>
        </w:rPr>
        <w:t>where</w:t>
      </w:r>
      <w:r>
        <w:rPr>
          <w:color w:val="231F20"/>
          <w:spacing w:val="-8"/>
          <w:sz w:val="20"/>
        </w:rPr>
        <w:t xml:space="preserve"> </w:t>
      </w:r>
      <w:r>
        <w:rPr>
          <w:color w:val="231F20"/>
          <w:sz w:val="20"/>
        </w:rPr>
        <w:t>there</w:t>
      </w:r>
      <w:r>
        <w:rPr>
          <w:color w:val="231F20"/>
          <w:spacing w:val="-9"/>
          <w:sz w:val="20"/>
        </w:rPr>
        <w:t xml:space="preserve"> </w:t>
      </w:r>
      <w:r>
        <w:rPr>
          <w:color w:val="231F20"/>
          <w:sz w:val="20"/>
        </w:rPr>
        <w:t>tend</w:t>
      </w:r>
      <w:r>
        <w:rPr>
          <w:color w:val="231F20"/>
          <w:spacing w:val="-9"/>
          <w:sz w:val="20"/>
        </w:rPr>
        <w:t xml:space="preserve"> </w:t>
      </w:r>
      <w:r>
        <w:rPr>
          <w:color w:val="231F20"/>
          <w:sz w:val="20"/>
        </w:rPr>
        <w:t>to</w:t>
      </w:r>
      <w:r>
        <w:rPr>
          <w:color w:val="231F20"/>
          <w:spacing w:val="-8"/>
          <w:sz w:val="20"/>
        </w:rPr>
        <w:t xml:space="preserve"> </w:t>
      </w:r>
      <w:r>
        <w:rPr>
          <w:color w:val="231F20"/>
          <w:sz w:val="20"/>
        </w:rPr>
        <w:t>be</w:t>
      </w:r>
      <w:r>
        <w:rPr>
          <w:color w:val="231F20"/>
          <w:spacing w:val="-9"/>
          <w:sz w:val="20"/>
        </w:rPr>
        <w:t xml:space="preserve"> </w:t>
      </w:r>
      <w:r>
        <w:rPr>
          <w:color w:val="231F20"/>
          <w:sz w:val="20"/>
        </w:rPr>
        <w:t>more</w:t>
      </w:r>
      <w:r>
        <w:rPr>
          <w:color w:val="231F20"/>
          <w:spacing w:val="-8"/>
          <w:sz w:val="20"/>
        </w:rPr>
        <w:t xml:space="preserve"> </w:t>
      </w:r>
      <w:r>
        <w:rPr>
          <w:color w:val="231F20"/>
          <w:sz w:val="20"/>
        </w:rPr>
        <w:t>service</w:t>
      </w:r>
      <w:r>
        <w:rPr>
          <w:color w:val="231F20"/>
          <w:spacing w:val="-9"/>
          <w:sz w:val="20"/>
        </w:rPr>
        <w:t xml:space="preserve"> </w:t>
      </w:r>
      <w:r>
        <w:rPr>
          <w:color w:val="231F20"/>
          <w:sz w:val="20"/>
        </w:rPr>
        <w:t>gaps</w:t>
      </w:r>
      <w:r>
        <w:rPr>
          <w:color w:val="231F20"/>
          <w:spacing w:val="-9"/>
          <w:sz w:val="20"/>
        </w:rPr>
        <w:t xml:space="preserve"> </w:t>
      </w:r>
      <w:r>
        <w:rPr>
          <w:color w:val="231F20"/>
          <w:sz w:val="20"/>
        </w:rPr>
        <w:t>and</w:t>
      </w:r>
      <w:r>
        <w:rPr>
          <w:color w:val="231F20"/>
          <w:spacing w:val="-8"/>
          <w:sz w:val="20"/>
        </w:rPr>
        <w:t xml:space="preserve"> </w:t>
      </w:r>
      <w:r>
        <w:rPr>
          <w:color w:val="231F20"/>
          <w:sz w:val="20"/>
        </w:rPr>
        <w:t>a disproportionate number of intervention</w:t>
      </w:r>
      <w:r>
        <w:rPr>
          <w:color w:val="231F20"/>
          <w:spacing w:val="-21"/>
          <w:sz w:val="20"/>
        </w:rPr>
        <w:t xml:space="preserve"> </w:t>
      </w:r>
      <w:r>
        <w:rPr>
          <w:color w:val="231F20"/>
          <w:sz w:val="20"/>
        </w:rPr>
        <w:t>orders.</w:t>
      </w:r>
      <w:r>
        <w:rPr>
          <w:color w:val="231F20"/>
          <w:position w:val="7"/>
          <w:sz w:val="11"/>
        </w:rPr>
        <w:t>72</w:t>
      </w:r>
    </w:p>
    <w:p w14:paraId="596FB1E1" w14:textId="77777777" w:rsidR="00894070" w:rsidRDefault="009B7AFD">
      <w:pPr>
        <w:pStyle w:val="ListParagraph"/>
        <w:numPr>
          <w:ilvl w:val="1"/>
          <w:numId w:val="29"/>
        </w:numPr>
        <w:tabs>
          <w:tab w:val="left" w:pos="1801"/>
          <w:tab w:val="left" w:pos="1802"/>
        </w:tabs>
        <w:spacing w:before="124" w:line="206" w:lineRule="auto"/>
        <w:ind w:right="1071"/>
        <w:rPr>
          <w:sz w:val="20"/>
        </w:rPr>
      </w:pPr>
      <w:r>
        <w:rPr>
          <w:color w:val="231F20"/>
          <w:spacing w:val="-4"/>
          <w:sz w:val="20"/>
        </w:rPr>
        <w:t xml:space="preserve">Early intervention programs should </w:t>
      </w:r>
      <w:r>
        <w:rPr>
          <w:color w:val="231F20"/>
          <w:sz w:val="20"/>
        </w:rPr>
        <w:t xml:space="preserve">be </w:t>
      </w:r>
      <w:r>
        <w:rPr>
          <w:color w:val="231F20"/>
          <w:spacing w:val="-4"/>
          <w:sz w:val="20"/>
        </w:rPr>
        <w:t xml:space="preserve">conducted </w:t>
      </w:r>
      <w:r>
        <w:rPr>
          <w:color w:val="231F20"/>
          <w:spacing w:val="-7"/>
          <w:sz w:val="20"/>
        </w:rPr>
        <w:t xml:space="preserve">safely, </w:t>
      </w:r>
      <w:r>
        <w:rPr>
          <w:color w:val="231F20"/>
          <w:spacing w:val="-3"/>
          <w:sz w:val="20"/>
        </w:rPr>
        <w:t xml:space="preserve">supported </w:t>
      </w:r>
      <w:r>
        <w:rPr>
          <w:color w:val="231F20"/>
          <w:spacing w:val="-4"/>
          <w:sz w:val="20"/>
        </w:rPr>
        <w:t xml:space="preserve">by </w:t>
      </w:r>
      <w:r>
        <w:rPr>
          <w:color w:val="231F20"/>
          <w:spacing w:val="-3"/>
          <w:sz w:val="20"/>
        </w:rPr>
        <w:t>strong risk management</w:t>
      </w:r>
      <w:r>
        <w:rPr>
          <w:color w:val="231F20"/>
          <w:spacing w:val="-8"/>
          <w:sz w:val="20"/>
        </w:rPr>
        <w:t xml:space="preserve"> </w:t>
      </w:r>
      <w:r>
        <w:rPr>
          <w:color w:val="231F20"/>
          <w:sz w:val="20"/>
        </w:rPr>
        <w:t>and</w:t>
      </w:r>
      <w:r>
        <w:rPr>
          <w:color w:val="231F20"/>
          <w:spacing w:val="-8"/>
          <w:sz w:val="20"/>
        </w:rPr>
        <w:t xml:space="preserve"> </w:t>
      </w:r>
      <w:r>
        <w:rPr>
          <w:color w:val="231F20"/>
          <w:spacing w:val="-4"/>
          <w:sz w:val="20"/>
        </w:rPr>
        <w:t>safety</w:t>
      </w:r>
      <w:r>
        <w:rPr>
          <w:color w:val="231F20"/>
          <w:spacing w:val="-8"/>
          <w:sz w:val="20"/>
        </w:rPr>
        <w:t xml:space="preserve"> </w:t>
      </w:r>
      <w:r>
        <w:rPr>
          <w:color w:val="231F20"/>
          <w:sz w:val="20"/>
        </w:rPr>
        <w:t>plans.</w:t>
      </w:r>
      <w:r>
        <w:rPr>
          <w:color w:val="231F20"/>
          <w:spacing w:val="-8"/>
          <w:sz w:val="20"/>
        </w:rPr>
        <w:t xml:space="preserve"> </w:t>
      </w:r>
      <w:r>
        <w:rPr>
          <w:color w:val="231F20"/>
          <w:spacing w:val="-4"/>
          <w:sz w:val="20"/>
        </w:rPr>
        <w:t>People</w:t>
      </w:r>
      <w:r>
        <w:rPr>
          <w:color w:val="231F20"/>
          <w:spacing w:val="-8"/>
          <w:sz w:val="20"/>
        </w:rPr>
        <w:t xml:space="preserve"> </w:t>
      </w:r>
      <w:r>
        <w:rPr>
          <w:color w:val="231F20"/>
          <w:spacing w:val="-4"/>
          <w:sz w:val="20"/>
        </w:rPr>
        <w:t>told</w:t>
      </w:r>
      <w:r>
        <w:rPr>
          <w:color w:val="231F20"/>
          <w:spacing w:val="-7"/>
          <w:sz w:val="20"/>
        </w:rPr>
        <w:t xml:space="preserve"> </w:t>
      </w:r>
      <w:r>
        <w:rPr>
          <w:color w:val="231F20"/>
          <w:sz w:val="20"/>
        </w:rPr>
        <w:t>us</w:t>
      </w:r>
      <w:r>
        <w:rPr>
          <w:color w:val="231F20"/>
          <w:spacing w:val="-8"/>
          <w:sz w:val="20"/>
        </w:rPr>
        <w:t xml:space="preserve"> </w:t>
      </w:r>
      <w:r>
        <w:rPr>
          <w:color w:val="231F20"/>
          <w:spacing w:val="-3"/>
          <w:sz w:val="20"/>
        </w:rPr>
        <w:t>that</w:t>
      </w:r>
      <w:r>
        <w:rPr>
          <w:color w:val="231F20"/>
          <w:spacing w:val="-8"/>
          <w:sz w:val="20"/>
        </w:rPr>
        <w:t xml:space="preserve"> </w:t>
      </w:r>
      <w:r>
        <w:rPr>
          <w:color w:val="231F20"/>
          <w:spacing w:val="-4"/>
          <w:sz w:val="20"/>
        </w:rPr>
        <w:t>early</w:t>
      </w:r>
      <w:r>
        <w:rPr>
          <w:color w:val="231F20"/>
          <w:spacing w:val="-8"/>
          <w:sz w:val="20"/>
        </w:rPr>
        <w:t xml:space="preserve"> </w:t>
      </w:r>
      <w:r>
        <w:rPr>
          <w:color w:val="231F20"/>
          <w:spacing w:val="-4"/>
          <w:sz w:val="20"/>
        </w:rPr>
        <w:t>intervention</w:t>
      </w:r>
      <w:r>
        <w:rPr>
          <w:color w:val="231F20"/>
          <w:spacing w:val="-8"/>
          <w:sz w:val="20"/>
        </w:rPr>
        <w:t xml:space="preserve"> </w:t>
      </w:r>
      <w:r>
        <w:rPr>
          <w:color w:val="231F20"/>
          <w:spacing w:val="-4"/>
          <w:sz w:val="20"/>
        </w:rPr>
        <w:t>programs</w:t>
      </w:r>
      <w:r>
        <w:rPr>
          <w:color w:val="231F20"/>
          <w:spacing w:val="-8"/>
          <w:sz w:val="20"/>
        </w:rPr>
        <w:t xml:space="preserve"> </w:t>
      </w:r>
      <w:r>
        <w:rPr>
          <w:color w:val="231F20"/>
          <w:sz w:val="20"/>
        </w:rPr>
        <w:t>needed</w:t>
      </w:r>
      <w:r>
        <w:rPr>
          <w:color w:val="231F20"/>
          <w:spacing w:val="-7"/>
          <w:sz w:val="20"/>
        </w:rPr>
        <w:t xml:space="preserve"> </w:t>
      </w:r>
      <w:r>
        <w:rPr>
          <w:color w:val="231F20"/>
          <w:spacing w:val="-4"/>
          <w:sz w:val="20"/>
        </w:rPr>
        <w:t>to:</w:t>
      </w:r>
    </w:p>
    <w:p w14:paraId="2D07DB48" w14:textId="77777777" w:rsidR="00894070" w:rsidRDefault="009B7AFD">
      <w:pPr>
        <w:pStyle w:val="ListParagraph"/>
        <w:numPr>
          <w:ilvl w:val="2"/>
          <w:numId w:val="29"/>
        </w:numPr>
        <w:tabs>
          <w:tab w:val="left" w:pos="2141"/>
          <w:tab w:val="left" w:pos="2142"/>
        </w:tabs>
        <w:spacing w:before="90" w:line="259" w:lineRule="exact"/>
        <w:ind w:hanging="340"/>
        <w:rPr>
          <w:sz w:val="20"/>
        </w:rPr>
      </w:pPr>
      <w:r>
        <w:rPr>
          <w:color w:val="231F20"/>
          <w:sz w:val="20"/>
        </w:rPr>
        <w:t>be</w:t>
      </w:r>
      <w:r>
        <w:rPr>
          <w:color w:val="231F20"/>
          <w:spacing w:val="-6"/>
          <w:sz w:val="20"/>
        </w:rPr>
        <w:t xml:space="preserve"> </w:t>
      </w:r>
      <w:r>
        <w:rPr>
          <w:color w:val="231F20"/>
          <w:sz w:val="20"/>
        </w:rPr>
        <w:t>victim-centred</w:t>
      </w:r>
      <w:r>
        <w:rPr>
          <w:color w:val="231F20"/>
          <w:spacing w:val="-5"/>
          <w:sz w:val="20"/>
        </w:rPr>
        <w:t xml:space="preserve"> </w:t>
      </w:r>
      <w:r>
        <w:rPr>
          <w:color w:val="231F20"/>
          <w:sz w:val="20"/>
        </w:rPr>
        <w:t>and</w:t>
      </w:r>
      <w:r>
        <w:rPr>
          <w:color w:val="231F20"/>
          <w:spacing w:val="-6"/>
          <w:sz w:val="20"/>
        </w:rPr>
        <w:t xml:space="preserve"> </w:t>
      </w:r>
      <w:r>
        <w:rPr>
          <w:color w:val="231F20"/>
          <w:spacing w:val="-3"/>
          <w:sz w:val="20"/>
        </w:rPr>
        <w:t>protect</w:t>
      </w:r>
      <w:r>
        <w:rPr>
          <w:color w:val="231F20"/>
          <w:spacing w:val="-5"/>
          <w:sz w:val="20"/>
        </w:rPr>
        <w:t xml:space="preserve"> </w:t>
      </w:r>
      <w:r>
        <w:rPr>
          <w:color w:val="231F20"/>
          <w:sz w:val="20"/>
        </w:rPr>
        <w:t>community</w:t>
      </w:r>
      <w:r>
        <w:rPr>
          <w:color w:val="231F20"/>
          <w:spacing w:val="-5"/>
          <w:sz w:val="20"/>
        </w:rPr>
        <w:t xml:space="preserve"> </w:t>
      </w:r>
      <w:r>
        <w:rPr>
          <w:color w:val="231F20"/>
          <w:sz w:val="20"/>
        </w:rPr>
        <w:t>and</w:t>
      </w:r>
      <w:r>
        <w:rPr>
          <w:color w:val="231F20"/>
          <w:spacing w:val="-6"/>
          <w:sz w:val="20"/>
        </w:rPr>
        <w:t xml:space="preserve"> </w:t>
      </w:r>
      <w:r>
        <w:rPr>
          <w:color w:val="231F20"/>
          <w:sz w:val="20"/>
        </w:rPr>
        <w:t>victim</w:t>
      </w:r>
      <w:r>
        <w:rPr>
          <w:color w:val="231F20"/>
          <w:spacing w:val="-5"/>
          <w:sz w:val="20"/>
        </w:rPr>
        <w:t xml:space="preserve"> </w:t>
      </w:r>
      <w:r>
        <w:rPr>
          <w:color w:val="231F20"/>
          <w:spacing w:val="-3"/>
          <w:sz w:val="20"/>
        </w:rPr>
        <w:t>safety—for</w:t>
      </w:r>
      <w:r>
        <w:rPr>
          <w:color w:val="231F20"/>
          <w:spacing w:val="-5"/>
          <w:sz w:val="20"/>
        </w:rPr>
        <w:t xml:space="preserve"> </w:t>
      </w:r>
      <w:r>
        <w:rPr>
          <w:color w:val="231F20"/>
          <w:spacing w:val="-3"/>
          <w:sz w:val="20"/>
        </w:rPr>
        <w:t>example</w:t>
      </w:r>
      <w:r>
        <w:rPr>
          <w:color w:val="231F20"/>
          <w:spacing w:val="-6"/>
          <w:sz w:val="20"/>
        </w:rPr>
        <w:t xml:space="preserve"> </w:t>
      </w:r>
      <w:r>
        <w:rPr>
          <w:color w:val="231F20"/>
          <w:spacing w:val="-3"/>
          <w:sz w:val="20"/>
        </w:rPr>
        <w:t>by</w:t>
      </w:r>
      <w:r>
        <w:rPr>
          <w:color w:val="231F20"/>
          <w:spacing w:val="-5"/>
          <w:sz w:val="20"/>
        </w:rPr>
        <w:t xml:space="preserve"> </w:t>
      </w:r>
      <w:r>
        <w:rPr>
          <w:color w:val="231F20"/>
          <w:sz w:val="20"/>
        </w:rPr>
        <w:t>taking</w:t>
      </w:r>
      <w:r>
        <w:rPr>
          <w:color w:val="231F20"/>
          <w:spacing w:val="-5"/>
          <w:sz w:val="20"/>
        </w:rPr>
        <w:t xml:space="preserve"> </w:t>
      </w:r>
      <w:r>
        <w:rPr>
          <w:color w:val="231F20"/>
          <w:sz w:val="20"/>
        </w:rPr>
        <w:t>a</w:t>
      </w:r>
    </w:p>
    <w:p w14:paraId="21742B21" w14:textId="77777777" w:rsidR="00894070" w:rsidRDefault="009B7AFD">
      <w:pPr>
        <w:pStyle w:val="BodyText"/>
        <w:spacing w:line="259" w:lineRule="exact"/>
        <w:ind w:left="2141"/>
        <w:rPr>
          <w:sz w:val="11"/>
        </w:rPr>
      </w:pPr>
      <w:r>
        <w:rPr>
          <w:color w:val="231F20"/>
        </w:rPr>
        <w:t>multidisciplinary, system-wide approach</w:t>
      </w:r>
      <w:r>
        <w:rPr>
          <w:color w:val="231F20"/>
          <w:position w:val="7"/>
          <w:sz w:val="11"/>
        </w:rPr>
        <w:t>73</w:t>
      </w:r>
    </w:p>
    <w:p w14:paraId="00A75FE4" w14:textId="77777777" w:rsidR="00894070" w:rsidRDefault="009B7AFD">
      <w:pPr>
        <w:pStyle w:val="ListParagraph"/>
        <w:numPr>
          <w:ilvl w:val="2"/>
          <w:numId w:val="29"/>
        </w:numPr>
        <w:tabs>
          <w:tab w:val="left" w:pos="2141"/>
          <w:tab w:val="left" w:pos="2142"/>
        </w:tabs>
        <w:spacing w:before="80" w:line="206" w:lineRule="auto"/>
        <w:ind w:right="1301" w:hanging="340"/>
        <w:rPr>
          <w:sz w:val="11"/>
        </w:rPr>
      </w:pPr>
      <w:r>
        <w:rPr>
          <w:color w:val="231F20"/>
          <w:spacing w:val="-3"/>
          <w:sz w:val="20"/>
        </w:rPr>
        <w:t>effectively</w:t>
      </w:r>
      <w:r>
        <w:rPr>
          <w:color w:val="231F20"/>
          <w:spacing w:val="-7"/>
          <w:sz w:val="20"/>
        </w:rPr>
        <w:t xml:space="preserve"> </w:t>
      </w:r>
      <w:r>
        <w:rPr>
          <w:color w:val="231F20"/>
          <w:sz w:val="20"/>
        </w:rPr>
        <w:t>manage</w:t>
      </w:r>
      <w:r>
        <w:rPr>
          <w:color w:val="231F20"/>
          <w:spacing w:val="-7"/>
          <w:sz w:val="20"/>
        </w:rPr>
        <w:t xml:space="preserve"> </w:t>
      </w:r>
      <w:r>
        <w:rPr>
          <w:color w:val="231F20"/>
          <w:sz w:val="20"/>
        </w:rPr>
        <w:t>risk</w:t>
      </w:r>
      <w:r>
        <w:rPr>
          <w:color w:val="231F20"/>
          <w:spacing w:val="-6"/>
          <w:sz w:val="20"/>
        </w:rPr>
        <w:t xml:space="preserve"> </w:t>
      </w:r>
      <w:r>
        <w:rPr>
          <w:color w:val="231F20"/>
          <w:sz w:val="20"/>
        </w:rPr>
        <w:t>of</w:t>
      </w:r>
      <w:r>
        <w:rPr>
          <w:color w:val="231F20"/>
          <w:spacing w:val="-7"/>
          <w:sz w:val="20"/>
        </w:rPr>
        <w:t xml:space="preserve"> </w:t>
      </w:r>
      <w:r>
        <w:rPr>
          <w:color w:val="231F20"/>
          <w:sz w:val="20"/>
        </w:rPr>
        <w:t>serious</w:t>
      </w:r>
      <w:r>
        <w:rPr>
          <w:color w:val="231F20"/>
          <w:spacing w:val="-6"/>
          <w:sz w:val="20"/>
        </w:rPr>
        <w:t xml:space="preserve"> </w:t>
      </w:r>
      <w:r>
        <w:rPr>
          <w:color w:val="231F20"/>
          <w:sz w:val="20"/>
        </w:rPr>
        <w:t>harm</w:t>
      </w:r>
      <w:r>
        <w:rPr>
          <w:color w:val="231F20"/>
          <w:spacing w:val="-7"/>
          <w:sz w:val="20"/>
        </w:rPr>
        <w:t xml:space="preserve"> </w:t>
      </w:r>
      <w:r>
        <w:rPr>
          <w:color w:val="231F20"/>
          <w:sz w:val="20"/>
        </w:rPr>
        <w:t>in</w:t>
      </w:r>
      <w:r>
        <w:rPr>
          <w:color w:val="231F20"/>
          <w:spacing w:val="-6"/>
          <w:sz w:val="20"/>
        </w:rPr>
        <w:t xml:space="preserve"> </w:t>
      </w:r>
      <w:r>
        <w:rPr>
          <w:color w:val="231F20"/>
          <w:sz w:val="20"/>
        </w:rPr>
        <w:t>stalking</w:t>
      </w:r>
      <w:r>
        <w:rPr>
          <w:color w:val="231F20"/>
          <w:spacing w:val="-7"/>
          <w:sz w:val="20"/>
        </w:rPr>
        <w:t xml:space="preserve"> </w:t>
      </w:r>
      <w:r>
        <w:rPr>
          <w:color w:val="231F20"/>
          <w:spacing w:val="-3"/>
          <w:sz w:val="20"/>
        </w:rPr>
        <w:t>situations—for</w:t>
      </w:r>
      <w:r>
        <w:rPr>
          <w:color w:val="231F20"/>
          <w:spacing w:val="-7"/>
          <w:sz w:val="20"/>
        </w:rPr>
        <w:t xml:space="preserve"> </w:t>
      </w:r>
      <w:r>
        <w:rPr>
          <w:color w:val="231F20"/>
          <w:spacing w:val="-3"/>
          <w:sz w:val="20"/>
        </w:rPr>
        <w:t>example</w:t>
      </w:r>
      <w:r>
        <w:rPr>
          <w:color w:val="231F20"/>
          <w:spacing w:val="-6"/>
          <w:sz w:val="20"/>
        </w:rPr>
        <w:t xml:space="preserve"> </w:t>
      </w:r>
      <w:r>
        <w:rPr>
          <w:color w:val="231F20"/>
          <w:spacing w:val="-3"/>
          <w:sz w:val="20"/>
        </w:rPr>
        <w:t xml:space="preserve">through </w:t>
      </w:r>
      <w:r>
        <w:rPr>
          <w:color w:val="231F20"/>
          <w:sz w:val="20"/>
        </w:rPr>
        <w:t xml:space="preserve">assessments, processes </w:t>
      </w:r>
      <w:r>
        <w:rPr>
          <w:color w:val="231F20"/>
          <w:spacing w:val="-3"/>
          <w:sz w:val="20"/>
        </w:rPr>
        <w:t xml:space="preserve">for </w:t>
      </w:r>
      <w:r>
        <w:rPr>
          <w:color w:val="231F20"/>
          <w:sz w:val="20"/>
        </w:rPr>
        <w:t xml:space="preserve">contacting authorities and sometimes </w:t>
      </w:r>
      <w:r>
        <w:rPr>
          <w:color w:val="231F20"/>
          <w:spacing w:val="-4"/>
          <w:sz w:val="20"/>
        </w:rPr>
        <w:t xml:space="preserve">longer-term </w:t>
      </w:r>
      <w:r>
        <w:rPr>
          <w:color w:val="231F20"/>
          <w:spacing w:val="-3"/>
          <w:sz w:val="20"/>
        </w:rPr>
        <w:t>programs</w:t>
      </w:r>
      <w:r>
        <w:rPr>
          <w:color w:val="231F20"/>
          <w:spacing w:val="-3"/>
          <w:position w:val="7"/>
          <w:sz w:val="11"/>
        </w:rPr>
        <w:t>74</w:t>
      </w:r>
    </w:p>
    <w:p w14:paraId="30166B92" w14:textId="77777777" w:rsidR="00894070" w:rsidRDefault="009B7AFD">
      <w:pPr>
        <w:pStyle w:val="ListParagraph"/>
        <w:numPr>
          <w:ilvl w:val="2"/>
          <w:numId w:val="29"/>
        </w:numPr>
        <w:tabs>
          <w:tab w:val="left" w:pos="2141"/>
          <w:tab w:val="left" w:pos="2142"/>
        </w:tabs>
        <w:spacing w:before="57"/>
        <w:ind w:hanging="340"/>
        <w:rPr>
          <w:sz w:val="11"/>
        </w:rPr>
      </w:pPr>
      <w:r>
        <w:rPr>
          <w:color w:val="231F20"/>
          <w:sz w:val="20"/>
        </w:rPr>
        <w:t>target</w:t>
      </w:r>
      <w:r>
        <w:rPr>
          <w:color w:val="231F20"/>
          <w:spacing w:val="-5"/>
          <w:sz w:val="20"/>
        </w:rPr>
        <w:t xml:space="preserve"> </w:t>
      </w:r>
      <w:r>
        <w:rPr>
          <w:color w:val="231F20"/>
          <w:sz w:val="20"/>
        </w:rPr>
        <w:t>what</w:t>
      </w:r>
      <w:r>
        <w:rPr>
          <w:color w:val="231F20"/>
          <w:spacing w:val="-5"/>
          <w:sz w:val="20"/>
        </w:rPr>
        <w:t xml:space="preserve"> </w:t>
      </w:r>
      <w:r>
        <w:rPr>
          <w:color w:val="231F20"/>
          <w:sz w:val="20"/>
        </w:rPr>
        <w:t>is</w:t>
      </w:r>
      <w:r>
        <w:rPr>
          <w:color w:val="231F20"/>
          <w:spacing w:val="-5"/>
          <w:sz w:val="20"/>
        </w:rPr>
        <w:t xml:space="preserve"> </w:t>
      </w:r>
      <w:r>
        <w:rPr>
          <w:color w:val="231F20"/>
          <w:sz w:val="20"/>
        </w:rPr>
        <w:t>motivating</w:t>
      </w:r>
      <w:r>
        <w:rPr>
          <w:color w:val="231F20"/>
          <w:spacing w:val="-5"/>
          <w:sz w:val="20"/>
        </w:rPr>
        <w:t xml:space="preserve"> </w:t>
      </w:r>
      <w:r>
        <w:rPr>
          <w:color w:val="231F20"/>
          <w:sz w:val="20"/>
        </w:rPr>
        <w:t>the</w:t>
      </w:r>
      <w:r>
        <w:rPr>
          <w:color w:val="231F20"/>
          <w:spacing w:val="-5"/>
          <w:sz w:val="20"/>
        </w:rPr>
        <w:t xml:space="preserve"> </w:t>
      </w:r>
      <w:r>
        <w:rPr>
          <w:color w:val="231F20"/>
          <w:sz w:val="20"/>
        </w:rPr>
        <w:t>stalking</w:t>
      </w:r>
      <w:r>
        <w:rPr>
          <w:color w:val="231F20"/>
          <w:spacing w:val="-5"/>
          <w:sz w:val="20"/>
        </w:rPr>
        <w:t xml:space="preserve"> </w:t>
      </w:r>
      <w:r>
        <w:rPr>
          <w:color w:val="231F20"/>
          <w:sz w:val="20"/>
        </w:rPr>
        <w:t>as</w:t>
      </w:r>
      <w:r>
        <w:rPr>
          <w:color w:val="231F20"/>
          <w:spacing w:val="-5"/>
          <w:sz w:val="20"/>
        </w:rPr>
        <w:t xml:space="preserve"> </w:t>
      </w:r>
      <w:r>
        <w:rPr>
          <w:color w:val="231F20"/>
          <w:spacing w:val="-3"/>
          <w:sz w:val="20"/>
        </w:rPr>
        <w:t>well</w:t>
      </w:r>
      <w:r>
        <w:rPr>
          <w:color w:val="231F20"/>
          <w:spacing w:val="-5"/>
          <w:sz w:val="20"/>
        </w:rPr>
        <w:t xml:space="preserve"> </w:t>
      </w:r>
      <w:r>
        <w:rPr>
          <w:color w:val="231F20"/>
          <w:sz w:val="20"/>
        </w:rPr>
        <w:t>as</w:t>
      </w:r>
      <w:r>
        <w:rPr>
          <w:color w:val="231F20"/>
          <w:spacing w:val="-4"/>
          <w:sz w:val="20"/>
        </w:rPr>
        <w:t xml:space="preserve"> </w:t>
      </w:r>
      <w:r>
        <w:rPr>
          <w:color w:val="231F20"/>
          <w:sz w:val="20"/>
        </w:rPr>
        <w:t>psychological</w:t>
      </w:r>
      <w:r>
        <w:rPr>
          <w:color w:val="231F20"/>
          <w:spacing w:val="-5"/>
          <w:sz w:val="20"/>
        </w:rPr>
        <w:t xml:space="preserve"> </w:t>
      </w:r>
      <w:r>
        <w:rPr>
          <w:color w:val="231F20"/>
          <w:spacing w:val="-3"/>
          <w:sz w:val="20"/>
        </w:rPr>
        <w:t>factors</w:t>
      </w:r>
      <w:r>
        <w:rPr>
          <w:color w:val="231F20"/>
          <w:spacing w:val="-3"/>
          <w:position w:val="7"/>
          <w:sz w:val="11"/>
        </w:rPr>
        <w:t>75</w:t>
      </w:r>
    </w:p>
    <w:p w14:paraId="67298D4A" w14:textId="77777777" w:rsidR="00894070" w:rsidRDefault="00894070">
      <w:pPr>
        <w:pStyle w:val="BodyText"/>
      </w:pPr>
    </w:p>
    <w:p w14:paraId="401E3FA4" w14:textId="77777777" w:rsidR="00894070" w:rsidRDefault="009F6793">
      <w:pPr>
        <w:pStyle w:val="BodyText"/>
        <w:spacing w:before="1"/>
        <w:rPr>
          <w:sz w:val="11"/>
        </w:rPr>
      </w:pPr>
      <w:r>
        <w:pict w14:anchorId="09C0E902">
          <v:line id="_x0000_s1080" style="position:absolute;z-index:251772928;mso-wrap-distance-left:0;mso-wrap-distance-right:0;mso-position-horizontal-relative:page" from="79.35pt,10.2pt" to="523.7pt,10.2pt" strokecolor="#f8cabc" strokeweight="1pt">
            <w10:wrap type="topAndBottom" anchorx="page"/>
          </v:line>
        </w:pict>
      </w:r>
    </w:p>
    <w:p w14:paraId="637C3A03" w14:textId="77777777" w:rsidR="00894070" w:rsidRDefault="00894070">
      <w:pPr>
        <w:pStyle w:val="BodyText"/>
        <w:rPr>
          <w:sz w:val="5"/>
        </w:rPr>
      </w:pPr>
    </w:p>
    <w:p w14:paraId="2FCA7136" w14:textId="77777777" w:rsidR="00894070" w:rsidRDefault="00894070">
      <w:pPr>
        <w:rPr>
          <w:sz w:val="5"/>
        </w:rPr>
        <w:sectPr w:rsidR="00894070">
          <w:pgSz w:w="11910" w:h="16840"/>
          <w:pgMar w:top="860" w:right="420" w:bottom="280" w:left="580" w:header="567" w:footer="0" w:gutter="0"/>
          <w:cols w:space="720"/>
        </w:sectPr>
      </w:pPr>
    </w:p>
    <w:p w14:paraId="04660295" w14:textId="77777777" w:rsidR="00894070" w:rsidRDefault="00894070">
      <w:pPr>
        <w:pStyle w:val="BodyText"/>
        <w:rPr>
          <w:sz w:val="28"/>
        </w:rPr>
      </w:pPr>
    </w:p>
    <w:p w14:paraId="587DB910" w14:textId="77777777" w:rsidR="00894070" w:rsidRDefault="00894070">
      <w:pPr>
        <w:pStyle w:val="BodyText"/>
        <w:rPr>
          <w:sz w:val="28"/>
        </w:rPr>
      </w:pPr>
    </w:p>
    <w:p w14:paraId="6A3177B9" w14:textId="77777777" w:rsidR="00894070" w:rsidRDefault="00894070">
      <w:pPr>
        <w:pStyle w:val="BodyText"/>
        <w:rPr>
          <w:sz w:val="28"/>
        </w:rPr>
      </w:pPr>
    </w:p>
    <w:p w14:paraId="06CAD70B" w14:textId="77777777" w:rsidR="00894070" w:rsidRDefault="00894070">
      <w:pPr>
        <w:pStyle w:val="BodyText"/>
        <w:rPr>
          <w:sz w:val="28"/>
        </w:rPr>
      </w:pPr>
    </w:p>
    <w:p w14:paraId="2EA86483" w14:textId="77777777" w:rsidR="00894070" w:rsidRDefault="00894070">
      <w:pPr>
        <w:pStyle w:val="BodyText"/>
        <w:rPr>
          <w:sz w:val="28"/>
        </w:rPr>
      </w:pPr>
    </w:p>
    <w:p w14:paraId="0D24D32E" w14:textId="77777777" w:rsidR="00894070" w:rsidRDefault="00894070">
      <w:pPr>
        <w:pStyle w:val="BodyText"/>
        <w:spacing w:before="4"/>
        <w:rPr>
          <w:sz w:val="25"/>
        </w:rPr>
      </w:pPr>
    </w:p>
    <w:p w14:paraId="58C63A2A" w14:textId="77777777" w:rsidR="00894070" w:rsidRDefault="009B7AFD">
      <w:pPr>
        <w:pStyle w:val="Heading8"/>
        <w:ind w:left="140"/>
      </w:pPr>
      <w:r>
        <w:rPr>
          <w:color w:val="EA5B50"/>
        </w:rPr>
        <w:t>170</w:t>
      </w:r>
    </w:p>
    <w:p w14:paraId="47B24EC6" w14:textId="77777777" w:rsidR="00894070" w:rsidRDefault="009B7AFD">
      <w:pPr>
        <w:pStyle w:val="ListParagraph"/>
        <w:numPr>
          <w:ilvl w:val="0"/>
          <w:numId w:val="26"/>
        </w:numPr>
        <w:tabs>
          <w:tab w:val="left" w:pos="933"/>
          <w:tab w:val="left" w:pos="934"/>
        </w:tabs>
        <w:spacing w:before="38" w:line="213" w:lineRule="auto"/>
        <w:ind w:left="933" w:right="1172" w:hanging="793"/>
        <w:jc w:val="left"/>
        <w:rPr>
          <w:sz w:val="13"/>
        </w:rPr>
      </w:pPr>
      <w:r>
        <w:rPr>
          <w:color w:val="231F20"/>
          <w:spacing w:val="3"/>
          <w:sz w:val="13"/>
        </w:rPr>
        <w:br w:type="column"/>
      </w:r>
      <w:r>
        <w:rPr>
          <w:color w:val="231F20"/>
          <w:sz w:val="13"/>
        </w:rPr>
        <w:t xml:space="preserve">See Centre for Innovative Justice, RMIT University, </w:t>
      </w:r>
      <w:r>
        <w:rPr>
          <w:i/>
          <w:color w:val="231F20"/>
          <w:sz w:val="13"/>
        </w:rPr>
        <w:t xml:space="preserve">Opportunities for Early Intervention: Bringing Perpetrators of Family Violence into View </w:t>
      </w:r>
      <w:r>
        <w:rPr>
          <w:color w:val="231F20"/>
          <w:spacing w:val="2"/>
          <w:sz w:val="13"/>
        </w:rPr>
        <w:t xml:space="preserve">(Report, </w:t>
      </w:r>
      <w:r>
        <w:rPr>
          <w:color w:val="231F20"/>
          <w:sz w:val="13"/>
        </w:rPr>
        <w:t>March 2015)</w:t>
      </w:r>
      <w:r>
        <w:rPr>
          <w:color w:val="231F20"/>
          <w:spacing w:val="-2"/>
          <w:sz w:val="13"/>
        </w:rPr>
        <w:t xml:space="preserve"> </w:t>
      </w:r>
      <w:r>
        <w:rPr>
          <w:color w:val="231F20"/>
          <w:sz w:val="13"/>
        </w:rPr>
        <w:t>27–8.</w:t>
      </w:r>
    </w:p>
    <w:p w14:paraId="1E84E2E4" w14:textId="77777777" w:rsidR="00894070" w:rsidRDefault="009B7AFD">
      <w:pPr>
        <w:pStyle w:val="ListParagraph"/>
        <w:numPr>
          <w:ilvl w:val="0"/>
          <w:numId w:val="26"/>
        </w:numPr>
        <w:tabs>
          <w:tab w:val="left" w:pos="933"/>
          <w:tab w:val="left" w:pos="934"/>
        </w:tabs>
        <w:spacing w:line="213" w:lineRule="auto"/>
        <w:ind w:left="933" w:right="1009" w:hanging="793"/>
        <w:jc w:val="left"/>
        <w:rPr>
          <w:sz w:val="13"/>
        </w:rPr>
      </w:pPr>
      <w:r>
        <w:rPr>
          <w:color w:val="231F20"/>
          <w:sz w:val="13"/>
        </w:rPr>
        <w:t xml:space="preserve">Graham Allen, </w:t>
      </w:r>
      <w:r>
        <w:rPr>
          <w:i/>
          <w:color w:val="231F20"/>
          <w:sz w:val="13"/>
        </w:rPr>
        <w:t xml:space="preserve">Early Intervention: </w:t>
      </w:r>
      <w:r>
        <w:rPr>
          <w:i/>
          <w:color w:val="231F20"/>
          <w:spacing w:val="2"/>
          <w:sz w:val="13"/>
        </w:rPr>
        <w:t xml:space="preserve">Smart </w:t>
      </w:r>
      <w:r>
        <w:rPr>
          <w:i/>
          <w:color w:val="231F20"/>
          <w:sz w:val="13"/>
        </w:rPr>
        <w:t xml:space="preserve">Investment, Massive Savings </w:t>
      </w:r>
      <w:r>
        <w:rPr>
          <w:color w:val="231F20"/>
          <w:sz w:val="13"/>
        </w:rPr>
        <w:t xml:space="preserve">(Second </w:t>
      </w:r>
      <w:r>
        <w:rPr>
          <w:color w:val="231F20"/>
          <w:spacing w:val="2"/>
          <w:sz w:val="13"/>
        </w:rPr>
        <w:t xml:space="preserve">Independent Report </w:t>
      </w:r>
      <w:r>
        <w:rPr>
          <w:color w:val="231F20"/>
          <w:sz w:val="13"/>
        </w:rPr>
        <w:t>to Her Majesty’s Government, July 2011</w:t>
      </w:r>
      <w:hyperlink r:id="rId195">
        <w:r>
          <w:rPr>
            <w:color w:val="231F20"/>
            <w:sz w:val="13"/>
          </w:rPr>
          <w:t>)</w:t>
        </w:r>
        <w:r>
          <w:rPr>
            <w:color w:val="231F20"/>
            <w:spacing w:val="2"/>
            <w:sz w:val="13"/>
          </w:rPr>
          <w:t xml:space="preserve"> </w:t>
        </w:r>
        <w:r>
          <w:rPr>
            <w:color w:val="231F20"/>
            <w:sz w:val="13"/>
          </w:rPr>
          <w:t>&lt;https://www.gov.uk/government/publications/early-intervention-smart-investment-massive-savings</w:t>
        </w:r>
      </w:hyperlink>
      <w:r>
        <w:rPr>
          <w:color w:val="231F20"/>
          <w:sz w:val="13"/>
        </w:rPr>
        <w:t>&gt;.</w:t>
      </w:r>
    </w:p>
    <w:p w14:paraId="6B00F9F3" w14:textId="77777777" w:rsidR="00894070" w:rsidRDefault="009B7AFD">
      <w:pPr>
        <w:pStyle w:val="ListParagraph"/>
        <w:numPr>
          <w:ilvl w:val="0"/>
          <w:numId w:val="26"/>
        </w:numPr>
        <w:tabs>
          <w:tab w:val="left" w:pos="933"/>
          <w:tab w:val="left" w:pos="934"/>
        </w:tabs>
        <w:spacing w:line="153" w:lineRule="exact"/>
        <w:ind w:left="933" w:hanging="793"/>
        <w:jc w:val="left"/>
        <w:rPr>
          <w:sz w:val="13"/>
        </w:rPr>
      </w:pPr>
      <w:r>
        <w:rPr>
          <w:color w:val="231F20"/>
          <w:sz w:val="13"/>
        </w:rPr>
        <w:t xml:space="preserve">Consultations: 13 (Victoria Legal Aid), 22 (Small group meeting on </w:t>
      </w:r>
      <w:r>
        <w:rPr>
          <w:color w:val="231F20"/>
          <w:spacing w:val="2"/>
          <w:sz w:val="13"/>
        </w:rPr>
        <w:t xml:space="preserve">stalking </w:t>
      </w:r>
      <w:r>
        <w:rPr>
          <w:color w:val="231F20"/>
          <w:sz w:val="13"/>
        </w:rPr>
        <w:t>and people with</w:t>
      </w:r>
      <w:r>
        <w:rPr>
          <w:color w:val="231F20"/>
          <w:spacing w:val="17"/>
          <w:sz w:val="13"/>
        </w:rPr>
        <w:t xml:space="preserve"> </w:t>
      </w:r>
      <w:r>
        <w:rPr>
          <w:color w:val="231F20"/>
          <w:sz w:val="13"/>
        </w:rPr>
        <w:t>disabilities).</w:t>
      </w:r>
    </w:p>
    <w:p w14:paraId="1F81D72A" w14:textId="77777777" w:rsidR="00894070" w:rsidRDefault="009B7AFD">
      <w:pPr>
        <w:pStyle w:val="ListParagraph"/>
        <w:numPr>
          <w:ilvl w:val="0"/>
          <w:numId w:val="26"/>
        </w:numPr>
        <w:tabs>
          <w:tab w:val="left" w:pos="933"/>
          <w:tab w:val="left" w:pos="934"/>
        </w:tabs>
        <w:spacing w:before="5" w:line="213" w:lineRule="auto"/>
        <w:ind w:left="933" w:right="1364" w:hanging="793"/>
        <w:jc w:val="left"/>
        <w:rPr>
          <w:sz w:val="13"/>
        </w:rPr>
      </w:pPr>
      <w:r>
        <w:rPr>
          <w:color w:val="231F20"/>
          <w:sz w:val="13"/>
        </w:rPr>
        <w:t xml:space="preserve">Kritika Jerath, Lisa Tompson and Jyoti Belur, ‘Treating and Managing Stalking Offenders: Findings from a Multi-Agency Clinical Intervention’, </w:t>
      </w:r>
      <w:r>
        <w:rPr>
          <w:i/>
          <w:color w:val="231F20"/>
          <w:sz w:val="13"/>
        </w:rPr>
        <w:t>Psychology, Crime &amp; Law</w:t>
      </w:r>
      <w:r>
        <w:rPr>
          <w:i/>
          <w:color w:val="231F20"/>
          <w:spacing w:val="3"/>
          <w:sz w:val="13"/>
        </w:rPr>
        <w:t xml:space="preserve"> </w:t>
      </w:r>
      <w:r>
        <w:rPr>
          <w:color w:val="231F20"/>
          <w:sz w:val="13"/>
        </w:rPr>
        <w:t>10.1080/1068316X.2022.2057981:1–25.</w:t>
      </w:r>
    </w:p>
    <w:p w14:paraId="532831B6" w14:textId="77777777" w:rsidR="00894070" w:rsidRDefault="009B7AFD">
      <w:pPr>
        <w:pStyle w:val="ListParagraph"/>
        <w:numPr>
          <w:ilvl w:val="0"/>
          <w:numId w:val="26"/>
        </w:numPr>
        <w:tabs>
          <w:tab w:val="left" w:pos="933"/>
          <w:tab w:val="left" w:pos="934"/>
        </w:tabs>
        <w:spacing w:line="153" w:lineRule="exact"/>
        <w:ind w:left="933" w:hanging="793"/>
        <w:jc w:val="left"/>
        <w:rPr>
          <w:sz w:val="13"/>
        </w:rPr>
      </w:pPr>
      <w:r>
        <w:rPr>
          <w:color w:val="231F20"/>
          <w:sz w:val="13"/>
        </w:rPr>
        <w:t>Ibid.</w:t>
      </w:r>
    </w:p>
    <w:p w14:paraId="4807E996" w14:textId="77777777" w:rsidR="00894070" w:rsidRDefault="009B7AFD">
      <w:pPr>
        <w:pStyle w:val="ListParagraph"/>
        <w:numPr>
          <w:ilvl w:val="0"/>
          <w:numId w:val="26"/>
        </w:numPr>
        <w:tabs>
          <w:tab w:val="left" w:pos="933"/>
          <w:tab w:val="left" w:pos="934"/>
        </w:tabs>
        <w:spacing w:before="6" w:line="213" w:lineRule="auto"/>
        <w:ind w:left="933" w:right="1382" w:hanging="793"/>
        <w:jc w:val="left"/>
        <w:rPr>
          <w:sz w:val="13"/>
        </w:rPr>
      </w:pPr>
      <w:r>
        <w:rPr>
          <w:color w:val="231F20"/>
          <w:spacing w:val="2"/>
          <w:sz w:val="13"/>
        </w:rPr>
        <w:t xml:space="preserve">Submissions </w:t>
      </w:r>
      <w:r>
        <w:rPr>
          <w:color w:val="231F20"/>
          <w:sz w:val="13"/>
        </w:rPr>
        <w:t>32 (Centre for Forensic Behavioural Science), 98 (Law Institute of Victoria), 93 (Royal Australian and New Zealand College of Psychiatrists); Consultations 13 (Victoria Legal Aid), 15 (Forensicare (No</w:t>
      </w:r>
      <w:r>
        <w:rPr>
          <w:color w:val="231F20"/>
          <w:spacing w:val="15"/>
          <w:sz w:val="13"/>
        </w:rPr>
        <w:t xml:space="preserve"> </w:t>
      </w:r>
      <w:r>
        <w:rPr>
          <w:color w:val="231F20"/>
          <w:sz w:val="13"/>
        </w:rPr>
        <w:t>1)).</w:t>
      </w:r>
    </w:p>
    <w:p w14:paraId="7298EA7E" w14:textId="77777777" w:rsidR="00894070" w:rsidRDefault="009B7AFD">
      <w:pPr>
        <w:pStyle w:val="ListParagraph"/>
        <w:numPr>
          <w:ilvl w:val="0"/>
          <w:numId w:val="26"/>
        </w:numPr>
        <w:tabs>
          <w:tab w:val="left" w:pos="933"/>
          <w:tab w:val="left" w:pos="934"/>
        </w:tabs>
        <w:spacing w:line="213" w:lineRule="auto"/>
        <w:ind w:left="933" w:right="1025" w:hanging="793"/>
        <w:jc w:val="left"/>
        <w:rPr>
          <w:sz w:val="13"/>
        </w:rPr>
      </w:pPr>
      <w:r>
        <w:rPr>
          <w:color w:val="231F20"/>
          <w:spacing w:val="2"/>
          <w:sz w:val="13"/>
        </w:rPr>
        <w:t xml:space="preserve">Submission </w:t>
      </w:r>
      <w:r>
        <w:rPr>
          <w:color w:val="231F20"/>
          <w:sz w:val="13"/>
        </w:rPr>
        <w:t xml:space="preserve">32 (Centre for Forensic Behavioural Science); 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 2022).</w:t>
      </w:r>
    </w:p>
    <w:p w14:paraId="6F68DD28" w14:textId="77777777" w:rsidR="00894070" w:rsidRDefault="009B7AFD">
      <w:pPr>
        <w:pStyle w:val="ListParagraph"/>
        <w:numPr>
          <w:ilvl w:val="0"/>
          <w:numId w:val="26"/>
        </w:numPr>
        <w:tabs>
          <w:tab w:val="left" w:pos="933"/>
          <w:tab w:val="left" w:pos="934"/>
        </w:tabs>
        <w:spacing w:line="153" w:lineRule="exact"/>
        <w:ind w:left="933" w:hanging="793"/>
        <w:jc w:val="lef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4"/>
          <w:sz w:val="13"/>
        </w:rPr>
        <w:t xml:space="preserve"> </w:t>
      </w:r>
      <w:r>
        <w:rPr>
          <w:color w:val="231F20"/>
          <w:sz w:val="13"/>
        </w:rPr>
        <w:t>Commissioner).</w:t>
      </w:r>
    </w:p>
    <w:p w14:paraId="24F92B43" w14:textId="77777777" w:rsidR="00894070" w:rsidRDefault="009B7AFD">
      <w:pPr>
        <w:pStyle w:val="ListParagraph"/>
        <w:numPr>
          <w:ilvl w:val="0"/>
          <w:numId w:val="26"/>
        </w:numPr>
        <w:tabs>
          <w:tab w:val="left" w:pos="933"/>
          <w:tab w:val="left" w:pos="934"/>
        </w:tabs>
        <w:spacing w:line="160" w:lineRule="exact"/>
        <w:ind w:left="933" w:hanging="793"/>
        <w:jc w:val="left"/>
        <w:rPr>
          <w:sz w:val="13"/>
        </w:rPr>
      </w:pPr>
      <w:r>
        <w:rPr>
          <w:color w:val="231F20"/>
          <w:spacing w:val="2"/>
          <w:sz w:val="13"/>
        </w:rPr>
        <w:t xml:space="preserve">Submissions </w:t>
      </w:r>
      <w:r>
        <w:rPr>
          <w:color w:val="231F20"/>
          <w:sz w:val="13"/>
        </w:rPr>
        <w:t>32 (Centre for Forensic Behavioural Science), 100</w:t>
      </w:r>
      <w:r>
        <w:rPr>
          <w:color w:val="231F20"/>
          <w:spacing w:val="2"/>
          <w:sz w:val="13"/>
        </w:rPr>
        <w:t xml:space="preserve"> </w:t>
      </w:r>
      <w:r>
        <w:rPr>
          <w:color w:val="231F20"/>
          <w:sz w:val="13"/>
        </w:rPr>
        <w:t>(Forensicare).</w:t>
      </w:r>
    </w:p>
    <w:p w14:paraId="05FD7A31" w14:textId="77777777" w:rsidR="00894070" w:rsidRDefault="009B7AFD">
      <w:pPr>
        <w:pStyle w:val="ListParagraph"/>
        <w:numPr>
          <w:ilvl w:val="0"/>
          <w:numId w:val="26"/>
        </w:numPr>
        <w:tabs>
          <w:tab w:val="left" w:pos="933"/>
          <w:tab w:val="left" w:pos="934"/>
        </w:tabs>
        <w:spacing w:before="5" w:line="213" w:lineRule="auto"/>
        <w:ind w:left="933" w:right="1566" w:hanging="793"/>
        <w:jc w:val="left"/>
        <w:rPr>
          <w:sz w:val="13"/>
        </w:rPr>
      </w:pPr>
      <w:r>
        <w:rPr>
          <w:color w:val="231F20"/>
          <w:spacing w:val="2"/>
          <w:sz w:val="13"/>
        </w:rPr>
        <w:t xml:space="preserve">Submissions </w:t>
      </w:r>
      <w:r>
        <w:rPr>
          <w:color w:val="231F20"/>
          <w:sz w:val="13"/>
        </w:rPr>
        <w:t xml:space="preserve">32 (Centre for Forensic Behavioural Science), 100 (Forensicare); 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w:t>
      </w:r>
      <w:r>
        <w:rPr>
          <w:color w:val="231F20"/>
          <w:spacing w:val="9"/>
          <w:sz w:val="13"/>
        </w:rPr>
        <w:t xml:space="preserve"> </w:t>
      </w:r>
      <w:r>
        <w:rPr>
          <w:color w:val="231F20"/>
          <w:sz w:val="13"/>
        </w:rPr>
        <w:t>2022).</w:t>
      </w:r>
    </w:p>
    <w:p w14:paraId="68455CE6" w14:textId="77777777" w:rsidR="00894070" w:rsidRDefault="00894070">
      <w:pPr>
        <w:spacing w:line="213" w:lineRule="auto"/>
        <w:rPr>
          <w:sz w:val="13"/>
        </w:rPr>
        <w:sectPr w:rsidR="00894070">
          <w:type w:val="continuous"/>
          <w:pgSz w:w="11910" w:h="16840"/>
          <w:pgMar w:top="560" w:right="420" w:bottom="280" w:left="580" w:header="720" w:footer="720" w:gutter="0"/>
          <w:cols w:num="2" w:space="720" w:equalWidth="0">
            <w:col w:w="564" w:space="304"/>
            <w:col w:w="10042"/>
          </w:cols>
        </w:sectPr>
      </w:pPr>
    </w:p>
    <w:p w14:paraId="4809DF1C" w14:textId="77777777" w:rsidR="00894070" w:rsidRDefault="00894070">
      <w:pPr>
        <w:pStyle w:val="BodyText"/>
      </w:pPr>
    </w:p>
    <w:p w14:paraId="3DC1232B" w14:textId="77777777" w:rsidR="00894070" w:rsidRDefault="00894070">
      <w:pPr>
        <w:pStyle w:val="BodyText"/>
      </w:pPr>
    </w:p>
    <w:p w14:paraId="356EF4F9" w14:textId="77777777" w:rsidR="00894070" w:rsidRDefault="00894070">
      <w:pPr>
        <w:pStyle w:val="BodyText"/>
      </w:pPr>
    </w:p>
    <w:p w14:paraId="7CB8D1D0" w14:textId="77777777" w:rsidR="00894070" w:rsidRDefault="00894070">
      <w:pPr>
        <w:pStyle w:val="BodyText"/>
        <w:spacing w:before="6"/>
        <w:rPr>
          <w:sz w:val="14"/>
        </w:rPr>
      </w:pPr>
    </w:p>
    <w:p w14:paraId="59562534" w14:textId="77777777" w:rsidR="00894070" w:rsidRDefault="009B7AFD">
      <w:pPr>
        <w:pStyle w:val="ListParagraph"/>
        <w:numPr>
          <w:ilvl w:val="1"/>
          <w:numId w:val="26"/>
        </w:numPr>
        <w:tabs>
          <w:tab w:val="left" w:pos="2141"/>
          <w:tab w:val="left" w:pos="2142"/>
        </w:tabs>
        <w:spacing w:before="58"/>
        <w:ind w:hanging="340"/>
        <w:rPr>
          <w:sz w:val="11"/>
        </w:rPr>
      </w:pPr>
      <w:r>
        <w:rPr>
          <w:color w:val="231F20"/>
          <w:sz w:val="20"/>
        </w:rPr>
        <w:t>address the accountability of people who</w:t>
      </w:r>
      <w:r>
        <w:rPr>
          <w:color w:val="231F20"/>
          <w:spacing w:val="-27"/>
          <w:sz w:val="20"/>
        </w:rPr>
        <w:t xml:space="preserve"> </w:t>
      </w:r>
      <w:r>
        <w:rPr>
          <w:color w:val="231F20"/>
          <w:sz w:val="20"/>
        </w:rPr>
        <w:t>stalk</w:t>
      </w:r>
      <w:r>
        <w:rPr>
          <w:color w:val="231F20"/>
          <w:position w:val="7"/>
          <w:sz w:val="11"/>
        </w:rPr>
        <w:t>76</w:t>
      </w:r>
    </w:p>
    <w:p w14:paraId="58DE137B" w14:textId="77777777" w:rsidR="00894070" w:rsidRDefault="009B7AFD">
      <w:pPr>
        <w:pStyle w:val="ListParagraph"/>
        <w:numPr>
          <w:ilvl w:val="1"/>
          <w:numId w:val="26"/>
        </w:numPr>
        <w:tabs>
          <w:tab w:val="left" w:pos="2141"/>
          <w:tab w:val="left" w:pos="2142"/>
        </w:tabs>
        <w:spacing w:before="47"/>
        <w:ind w:hanging="340"/>
        <w:rPr>
          <w:sz w:val="11"/>
        </w:rPr>
      </w:pPr>
      <w:r>
        <w:rPr>
          <w:color w:val="231F20"/>
          <w:sz w:val="20"/>
        </w:rPr>
        <w:t>be tailored to diverse</w:t>
      </w:r>
      <w:r>
        <w:rPr>
          <w:color w:val="231F20"/>
          <w:spacing w:val="-17"/>
          <w:sz w:val="20"/>
        </w:rPr>
        <w:t xml:space="preserve"> </w:t>
      </w:r>
      <w:r>
        <w:rPr>
          <w:color w:val="231F20"/>
          <w:sz w:val="20"/>
        </w:rPr>
        <w:t>needs</w:t>
      </w:r>
      <w:r>
        <w:rPr>
          <w:color w:val="231F20"/>
          <w:position w:val="7"/>
          <w:sz w:val="11"/>
        </w:rPr>
        <w:t>77</w:t>
      </w:r>
    </w:p>
    <w:p w14:paraId="5A9E3C7C" w14:textId="77777777" w:rsidR="00894070" w:rsidRDefault="009B7AFD">
      <w:pPr>
        <w:pStyle w:val="ListParagraph"/>
        <w:numPr>
          <w:ilvl w:val="1"/>
          <w:numId w:val="26"/>
        </w:numPr>
        <w:tabs>
          <w:tab w:val="left" w:pos="2141"/>
          <w:tab w:val="left" w:pos="2142"/>
        </w:tabs>
        <w:spacing w:before="80" w:line="206" w:lineRule="auto"/>
        <w:ind w:right="1514" w:hanging="340"/>
        <w:rPr>
          <w:sz w:val="11"/>
        </w:rPr>
      </w:pPr>
      <w:r>
        <w:rPr>
          <w:color w:val="231F20"/>
          <w:sz w:val="20"/>
        </w:rPr>
        <w:t>be</w:t>
      </w:r>
      <w:r>
        <w:rPr>
          <w:color w:val="231F20"/>
          <w:spacing w:val="-12"/>
          <w:sz w:val="20"/>
        </w:rPr>
        <w:t xml:space="preserve"> </w:t>
      </w:r>
      <w:r>
        <w:rPr>
          <w:color w:val="231F20"/>
          <w:spacing w:val="-3"/>
          <w:sz w:val="20"/>
        </w:rPr>
        <w:t>accessible</w:t>
      </w:r>
      <w:r>
        <w:rPr>
          <w:color w:val="231F20"/>
          <w:spacing w:val="-11"/>
          <w:sz w:val="20"/>
        </w:rPr>
        <w:t xml:space="preserve"> </w:t>
      </w:r>
      <w:r>
        <w:rPr>
          <w:color w:val="231F20"/>
          <w:sz w:val="20"/>
        </w:rPr>
        <w:t>and</w:t>
      </w:r>
      <w:r>
        <w:rPr>
          <w:color w:val="231F20"/>
          <w:spacing w:val="-12"/>
          <w:sz w:val="20"/>
        </w:rPr>
        <w:t xml:space="preserve"> </w:t>
      </w:r>
      <w:r>
        <w:rPr>
          <w:color w:val="231F20"/>
          <w:spacing w:val="-3"/>
          <w:sz w:val="20"/>
        </w:rPr>
        <w:t>affordable,</w:t>
      </w:r>
      <w:r>
        <w:rPr>
          <w:color w:val="231F20"/>
          <w:spacing w:val="-11"/>
          <w:sz w:val="20"/>
        </w:rPr>
        <w:t xml:space="preserve"> </w:t>
      </w:r>
      <w:r>
        <w:rPr>
          <w:color w:val="231F20"/>
          <w:sz w:val="20"/>
        </w:rPr>
        <w:t>particularly</w:t>
      </w:r>
      <w:r>
        <w:rPr>
          <w:color w:val="231F20"/>
          <w:spacing w:val="-12"/>
          <w:sz w:val="20"/>
        </w:rPr>
        <w:t xml:space="preserve"> </w:t>
      </w:r>
      <w:r>
        <w:rPr>
          <w:color w:val="231F20"/>
          <w:sz w:val="20"/>
        </w:rPr>
        <w:t>in</w:t>
      </w:r>
      <w:r>
        <w:rPr>
          <w:color w:val="231F20"/>
          <w:spacing w:val="-11"/>
          <w:sz w:val="20"/>
        </w:rPr>
        <w:t xml:space="preserve"> </w:t>
      </w:r>
      <w:r>
        <w:rPr>
          <w:color w:val="231F20"/>
          <w:sz w:val="20"/>
        </w:rPr>
        <w:t>regional</w:t>
      </w:r>
      <w:r>
        <w:rPr>
          <w:color w:val="231F20"/>
          <w:spacing w:val="-11"/>
          <w:sz w:val="20"/>
        </w:rPr>
        <w:t xml:space="preserve"> </w:t>
      </w:r>
      <w:r>
        <w:rPr>
          <w:color w:val="231F20"/>
          <w:sz w:val="20"/>
        </w:rPr>
        <w:t>and</w:t>
      </w:r>
      <w:r>
        <w:rPr>
          <w:color w:val="231F20"/>
          <w:spacing w:val="-12"/>
          <w:sz w:val="20"/>
        </w:rPr>
        <w:t xml:space="preserve"> </w:t>
      </w:r>
      <w:r>
        <w:rPr>
          <w:color w:val="231F20"/>
          <w:sz w:val="20"/>
        </w:rPr>
        <w:t>rural</w:t>
      </w:r>
      <w:r>
        <w:rPr>
          <w:color w:val="231F20"/>
          <w:spacing w:val="-11"/>
          <w:sz w:val="20"/>
        </w:rPr>
        <w:t xml:space="preserve"> </w:t>
      </w:r>
      <w:r>
        <w:rPr>
          <w:color w:val="231F20"/>
          <w:sz w:val="20"/>
        </w:rPr>
        <w:t>areas</w:t>
      </w:r>
      <w:r>
        <w:rPr>
          <w:color w:val="231F20"/>
          <w:spacing w:val="-12"/>
          <w:sz w:val="20"/>
        </w:rPr>
        <w:t xml:space="preserve"> </w:t>
      </w:r>
      <w:r>
        <w:rPr>
          <w:color w:val="231F20"/>
          <w:sz w:val="20"/>
        </w:rPr>
        <w:t>(specifically Gippsland),</w:t>
      </w:r>
      <w:r>
        <w:rPr>
          <w:color w:val="231F20"/>
          <w:spacing w:val="-8"/>
          <w:sz w:val="20"/>
        </w:rPr>
        <w:t xml:space="preserve"> </w:t>
      </w:r>
      <w:r>
        <w:rPr>
          <w:color w:val="231F20"/>
          <w:sz w:val="20"/>
        </w:rPr>
        <w:t>where</w:t>
      </w:r>
      <w:r>
        <w:rPr>
          <w:color w:val="231F20"/>
          <w:spacing w:val="-7"/>
          <w:sz w:val="20"/>
        </w:rPr>
        <w:t xml:space="preserve"> </w:t>
      </w:r>
      <w:r>
        <w:rPr>
          <w:color w:val="231F20"/>
          <w:sz w:val="20"/>
        </w:rPr>
        <w:t>there</w:t>
      </w:r>
      <w:r>
        <w:rPr>
          <w:color w:val="231F20"/>
          <w:spacing w:val="-7"/>
          <w:sz w:val="20"/>
        </w:rPr>
        <w:t xml:space="preserve"> </w:t>
      </w:r>
      <w:r>
        <w:rPr>
          <w:color w:val="231F20"/>
          <w:sz w:val="20"/>
        </w:rPr>
        <w:t>appear</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7"/>
          <w:sz w:val="20"/>
        </w:rPr>
        <w:t xml:space="preserve"> </w:t>
      </w:r>
      <w:r>
        <w:rPr>
          <w:color w:val="231F20"/>
          <w:sz w:val="20"/>
        </w:rPr>
        <w:t>disproportionate</w:t>
      </w:r>
      <w:r>
        <w:rPr>
          <w:color w:val="231F20"/>
          <w:spacing w:val="-8"/>
          <w:sz w:val="20"/>
        </w:rPr>
        <w:t xml:space="preserve"> </w:t>
      </w:r>
      <w:r>
        <w:rPr>
          <w:color w:val="231F20"/>
          <w:spacing w:val="-3"/>
          <w:sz w:val="20"/>
        </w:rPr>
        <w:t>rates</w:t>
      </w:r>
      <w:r>
        <w:rPr>
          <w:color w:val="231F20"/>
          <w:spacing w:val="-7"/>
          <w:sz w:val="20"/>
        </w:rPr>
        <w:t xml:space="preserve"> </w:t>
      </w:r>
      <w:r>
        <w:rPr>
          <w:color w:val="231F20"/>
          <w:sz w:val="20"/>
        </w:rPr>
        <w:t>of</w:t>
      </w:r>
      <w:r>
        <w:rPr>
          <w:color w:val="231F20"/>
          <w:spacing w:val="-7"/>
          <w:sz w:val="20"/>
        </w:rPr>
        <w:t xml:space="preserve"> </w:t>
      </w:r>
      <w:r>
        <w:rPr>
          <w:color w:val="231F20"/>
          <w:sz w:val="20"/>
        </w:rPr>
        <w:t>stalking.</w:t>
      </w:r>
      <w:r>
        <w:rPr>
          <w:color w:val="231F20"/>
          <w:position w:val="7"/>
          <w:sz w:val="11"/>
        </w:rPr>
        <w:t>78</w:t>
      </w:r>
    </w:p>
    <w:p w14:paraId="038342FB" w14:textId="77777777" w:rsidR="00894070" w:rsidRDefault="009B7AFD">
      <w:pPr>
        <w:pStyle w:val="ListParagraph"/>
        <w:numPr>
          <w:ilvl w:val="1"/>
          <w:numId w:val="29"/>
        </w:numPr>
        <w:tabs>
          <w:tab w:val="left" w:pos="1801"/>
          <w:tab w:val="left" w:pos="1802"/>
        </w:tabs>
        <w:spacing w:before="55"/>
        <w:rPr>
          <w:sz w:val="11"/>
        </w:rPr>
      </w:pPr>
      <w:r>
        <w:rPr>
          <w:color w:val="231F20"/>
          <w:sz w:val="20"/>
        </w:rPr>
        <w:t xml:space="preserve">A </w:t>
      </w:r>
      <w:r>
        <w:rPr>
          <w:color w:val="231F20"/>
          <w:spacing w:val="-3"/>
          <w:sz w:val="20"/>
        </w:rPr>
        <w:t xml:space="preserve">‘highly </w:t>
      </w:r>
      <w:r>
        <w:rPr>
          <w:color w:val="231F20"/>
          <w:sz w:val="20"/>
        </w:rPr>
        <w:t xml:space="preserve">specialist </w:t>
      </w:r>
      <w:r>
        <w:rPr>
          <w:color w:val="231F20"/>
          <w:spacing w:val="-3"/>
          <w:sz w:val="20"/>
        </w:rPr>
        <w:t xml:space="preserve">workforce’ </w:t>
      </w:r>
      <w:r>
        <w:rPr>
          <w:color w:val="231F20"/>
          <w:sz w:val="20"/>
        </w:rPr>
        <w:t>is also</w:t>
      </w:r>
      <w:r>
        <w:rPr>
          <w:color w:val="231F20"/>
          <w:spacing w:val="-19"/>
          <w:sz w:val="20"/>
        </w:rPr>
        <w:t xml:space="preserve"> </w:t>
      </w:r>
      <w:r>
        <w:rPr>
          <w:color w:val="231F20"/>
          <w:sz w:val="20"/>
        </w:rPr>
        <w:t>needed.</w:t>
      </w:r>
      <w:r>
        <w:rPr>
          <w:color w:val="231F20"/>
          <w:position w:val="7"/>
          <w:sz w:val="11"/>
        </w:rPr>
        <w:t>79</w:t>
      </w:r>
    </w:p>
    <w:p w14:paraId="5DAD5A2B" w14:textId="77777777" w:rsidR="00894070" w:rsidRDefault="009B7AFD">
      <w:pPr>
        <w:pStyle w:val="ListParagraph"/>
        <w:numPr>
          <w:ilvl w:val="1"/>
          <w:numId w:val="29"/>
        </w:numPr>
        <w:tabs>
          <w:tab w:val="left" w:pos="1801"/>
          <w:tab w:val="left" w:pos="1802"/>
        </w:tabs>
        <w:spacing w:before="82"/>
        <w:rPr>
          <w:sz w:val="20"/>
        </w:rPr>
      </w:pPr>
      <w:r>
        <w:rPr>
          <w:color w:val="231F20"/>
          <w:sz w:val="20"/>
        </w:rPr>
        <w:t>These</w:t>
      </w:r>
      <w:r>
        <w:rPr>
          <w:color w:val="231F20"/>
          <w:spacing w:val="-5"/>
          <w:sz w:val="20"/>
        </w:rPr>
        <w:t xml:space="preserve"> </w:t>
      </w:r>
      <w:r>
        <w:rPr>
          <w:color w:val="231F20"/>
          <w:sz w:val="20"/>
        </w:rPr>
        <w:t>principles</w:t>
      </w:r>
      <w:r>
        <w:rPr>
          <w:color w:val="231F20"/>
          <w:spacing w:val="-5"/>
          <w:sz w:val="20"/>
        </w:rPr>
        <w:t xml:space="preserve"> </w:t>
      </w:r>
      <w:r>
        <w:rPr>
          <w:color w:val="231F20"/>
          <w:sz w:val="20"/>
        </w:rPr>
        <w:t>should</w:t>
      </w:r>
      <w:r>
        <w:rPr>
          <w:color w:val="231F20"/>
          <w:spacing w:val="-5"/>
          <w:sz w:val="20"/>
        </w:rPr>
        <w:t xml:space="preserve"> </w:t>
      </w:r>
      <w:r>
        <w:rPr>
          <w:color w:val="231F20"/>
          <w:spacing w:val="-3"/>
          <w:sz w:val="20"/>
        </w:rPr>
        <w:t>inform</w:t>
      </w:r>
      <w:r>
        <w:rPr>
          <w:color w:val="231F20"/>
          <w:spacing w:val="-5"/>
          <w:sz w:val="20"/>
        </w:rPr>
        <w:t xml:space="preserve"> </w:t>
      </w:r>
      <w:r>
        <w:rPr>
          <w:color w:val="231F20"/>
          <w:sz w:val="20"/>
        </w:rPr>
        <w:t>the</w:t>
      </w:r>
      <w:r>
        <w:rPr>
          <w:color w:val="231F20"/>
          <w:spacing w:val="-5"/>
          <w:sz w:val="20"/>
        </w:rPr>
        <w:t xml:space="preserve"> </w:t>
      </w:r>
      <w:r>
        <w:rPr>
          <w:color w:val="231F20"/>
          <w:sz w:val="20"/>
        </w:rPr>
        <w:t>approach</w:t>
      </w:r>
      <w:r>
        <w:rPr>
          <w:color w:val="231F20"/>
          <w:spacing w:val="-5"/>
          <w:sz w:val="20"/>
        </w:rPr>
        <w:t xml:space="preserve"> </w:t>
      </w:r>
      <w:r>
        <w:rPr>
          <w:color w:val="231F20"/>
          <w:sz w:val="20"/>
        </w:rPr>
        <w:t>to</w:t>
      </w:r>
      <w:r>
        <w:rPr>
          <w:color w:val="231F20"/>
          <w:spacing w:val="-5"/>
          <w:sz w:val="20"/>
        </w:rPr>
        <w:t xml:space="preserve"> </w:t>
      </w:r>
      <w:r>
        <w:rPr>
          <w:color w:val="231F20"/>
          <w:spacing w:val="-3"/>
          <w:sz w:val="20"/>
        </w:rPr>
        <w:t>early</w:t>
      </w:r>
      <w:r>
        <w:rPr>
          <w:color w:val="231F20"/>
          <w:spacing w:val="-5"/>
          <w:sz w:val="20"/>
        </w:rPr>
        <w:t xml:space="preserve"> </w:t>
      </w:r>
      <w:r>
        <w:rPr>
          <w:color w:val="231F20"/>
          <w:spacing w:val="-2"/>
          <w:sz w:val="20"/>
        </w:rPr>
        <w:t>intervention</w:t>
      </w:r>
      <w:r>
        <w:rPr>
          <w:color w:val="231F20"/>
          <w:spacing w:val="-5"/>
          <w:sz w:val="20"/>
        </w:rPr>
        <w:t xml:space="preserve"> </w:t>
      </w:r>
      <w:r>
        <w:rPr>
          <w:color w:val="231F20"/>
          <w:sz w:val="20"/>
        </w:rPr>
        <w:t>in</w:t>
      </w:r>
      <w:r>
        <w:rPr>
          <w:color w:val="231F20"/>
          <w:spacing w:val="-5"/>
          <w:sz w:val="20"/>
        </w:rPr>
        <w:t xml:space="preserve"> </w:t>
      </w:r>
      <w:r>
        <w:rPr>
          <w:color w:val="231F20"/>
          <w:sz w:val="20"/>
        </w:rPr>
        <w:t>stalking.</w:t>
      </w:r>
    </w:p>
    <w:p w14:paraId="5E690C4B" w14:textId="77777777" w:rsidR="00894070" w:rsidRDefault="009B7AFD">
      <w:pPr>
        <w:pStyle w:val="ListParagraph"/>
        <w:numPr>
          <w:ilvl w:val="1"/>
          <w:numId w:val="29"/>
        </w:numPr>
        <w:tabs>
          <w:tab w:val="left" w:pos="1801"/>
          <w:tab w:val="left" w:pos="1802"/>
        </w:tabs>
        <w:spacing w:before="115" w:line="206" w:lineRule="auto"/>
        <w:ind w:right="1457"/>
        <w:rPr>
          <w:sz w:val="20"/>
        </w:rPr>
      </w:pPr>
      <w:r>
        <w:rPr>
          <w:color w:val="231F20"/>
          <w:sz w:val="20"/>
        </w:rPr>
        <w:t>Many of these principles reflect the Headline Standards in the National Outcome Standards</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Perpetrator</w:t>
      </w:r>
      <w:r>
        <w:rPr>
          <w:color w:val="231F20"/>
          <w:spacing w:val="-8"/>
          <w:sz w:val="20"/>
        </w:rPr>
        <w:t xml:space="preserve"> </w:t>
      </w:r>
      <w:r>
        <w:rPr>
          <w:color w:val="231F20"/>
          <w:sz w:val="20"/>
        </w:rPr>
        <w:t>Interventions,</w:t>
      </w:r>
      <w:r>
        <w:rPr>
          <w:color w:val="231F20"/>
          <w:position w:val="7"/>
          <w:sz w:val="11"/>
        </w:rPr>
        <w:t>80</w:t>
      </w:r>
      <w:r>
        <w:rPr>
          <w:color w:val="231F20"/>
          <w:spacing w:val="16"/>
          <w:position w:val="7"/>
          <w:sz w:val="11"/>
        </w:rPr>
        <w:t xml:space="preserve"> </w:t>
      </w:r>
      <w:r>
        <w:rPr>
          <w:color w:val="231F20"/>
          <w:sz w:val="20"/>
        </w:rPr>
        <w:t>as</w:t>
      </w:r>
      <w:r>
        <w:rPr>
          <w:color w:val="231F20"/>
          <w:spacing w:val="-8"/>
          <w:sz w:val="20"/>
        </w:rPr>
        <w:t xml:space="preserve"> </w:t>
      </w:r>
      <w:r>
        <w:rPr>
          <w:color w:val="231F20"/>
          <w:spacing w:val="-3"/>
          <w:sz w:val="20"/>
        </w:rPr>
        <w:t>well</w:t>
      </w:r>
      <w:r>
        <w:rPr>
          <w:color w:val="231F20"/>
          <w:spacing w:val="-8"/>
          <w:sz w:val="20"/>
        </w:rPr>
        <w:t xml:space="preserve"> </w:t>
      </w:r>
      <w:r>
        <w:rPr>
          <w:color w:val="231F20"/>
          <w:sz w:val="20"/>
        </w:rPr>
        <w:t>as</w:t>
      </w:r>
      <w:r>
        <w:rPr>
          <w:color w:val="231F20"/>
          <w:spacing w:val="-8"/>
          <w:sz w:val="20"/>
        </w:rPr>
        <w:t xml:space="preserve"> </w:t>
      </w:r>
      <w:r>
        <w:rPr>
          <w:color w:val="231F20"/>
          <w:spacing w:val="-3"/>
          <w:sz w:val="20"/>
        </w:rPr>
        <w:t>research</w:t>
      </w:r>
      <w:r>
        <w:rPr>
          <w:color w:val="231F20"/>
          <w:spacing w:val="-8"/>
          <w:sz w:val="20"/>
        </w:rPr>
        <w:t xml:space="preserve"> </w:t>
      </w:r>
      <w:r>
        <w:rPr>
          <w:color w:val="231F20"/>
          <w:sz w:val="20"/>
        </w:rPr>
        <w:t>and</w:t>
      </w:r>
      <w:r>
        <w:rPr>
          <w:color w:val="231F20"/>
          <w:spacing w:val="-8"/>
          <w:sz w:val="20"/>
        </w:rPr>
        <w:t xml:space="preserve"> </w:t>
      </w:r>
      <w:r>
        <w:rPr>
          <w:color w:val="231F20"/>
          <w:sz w:val="20"/>
        </w:rPr>
        <w:t>practice</w:t>
      </w:r>
      <w:r>
        <w:rPr>
          <w:color w:val="231F20"/>
          <w:spacing w:val="-8"/>
          <w:sz w:val="20"/>
        </w:rPr>
        <w:t xml:space="preserve"> </w:t>
      </w:r>
      <w:r>
        <w:rPr>
          <w:color w:val="231F20"/>
          <w:sz w:val="20"/>
        </w:rPr>
        <w:t>in</w:t>
      </w:r>
      <w:r>
        <w:rPr>
          <w:color w:val="231F20"/>
          <w:spacing w:val="-8"/>
          <w:sz w:val="20"/>
        </w:rPr>
        <w:t xml:space="preserve"> </w:t>
      </w:r>
      <w:r>
        <w:rPr>
          <w:color w:val="231F20"/>
          <w:spacing w:val="-3"/>
          <w:sz w:val="20"/>
        </w:rPr>
        <w:t xml:space="preserve">treating </w:t>
      </w:r>
      <w:r>
        <w:rPr>
          <w:color w:val="231F20"/>
          <w:sz w:val="20"/>
        </w:rPr>
        <w:t>stalking.</w:t>
      </w:r>
    </w:p>
    <w:p w14:paraId="7F098FEE" w14:textId="77777777" w:rsidR="00894070" w:rsidRDefault="009B7AFD">
      <w:pPr>
        <w:pStyle w:val="Heading9"/>
        <w:spacing w:before="129"/>
        <w:rPr>
          <w:b/>
        </w:rPr>
      </w:pPr>
      <w:r>
        <w:rPr>
          <w:b/>
          <w:color w:val="4C4D4F"/>
        </w:rPr>
        <w:t>Rehabilitation and reintegration programs should be a priority</w:t>
      </w:r>
    </w:p>
    <w:p w14:paraId="2CE392E0" w14:textId="77777777" w:rsidR="00894070" w:rsidRDefault="009B7AFD">
      <w:pPr>
        <w:pStyle w:val="ListParagraph"/>
        <w:numPr>
          <w:ilvl w:val="1"/>
          <w:numId w:val="29"/>
        </w:numPr>
        <w:tabs>
          <w:tab w:val="left" w:pos="1801"/>
          <w:tab w:val="left" w:pos="1802"/>
        </w:tabs>
        <w:spacing w:before="131" w:line="206" w:lineRule="auto"/>
        <w:ind w:right="1205"/>
        <w:rPr>
          <w:sz w:val="11"/>
        </w:rPr>
      </w:pPr>
      <w:r>
        <w:rPr>
          <w:color w:val="231F20"/>
          <w:sz w:val="20"/>
        </w:rPr>
        <w:t>Rehabilitation</w:t>
      </w:r>
      <w:r>
        <w:rPr>
          <w:color w:val="231F20"/>
          <w:spacing w:val="-10"/>
          <w:sz w:val="20"/>
        </w:rPr>
        <w:t xml:space="preserve"> </w:t>
      </w:r>
      <w:r>
        <w:rPr>
          <w:color w:val="231F20"/>
          <w:sz w:val="20"/>
        </w:rPr>
        <w:t>and</w:t>
      </w:r>
      <w:r>
        <w:rPr>
          <w:color w:val="231F20"/>
          <w:spacing w:val="-9"/>
          <w:sz w:val="20"/>
        </w:rPr>
        <w:t xml:space="preserve"> </w:t>
      </w:r>
      <w:r>
        <w:rPr>
          <w:color w:val="231F20"/>
          <w:spacing w:val="-3"/>
          <w:sz w:val="20"/>
        </w:rPr>
        <w:t>reintegration</w:t>
      </w:r>
      <w:r>
        <w:rPr>
          <w:color w:val="231F20"/>
          <w:spacing w:val="-10"/>
          <w:sz w:val="20"/>
        </w:rPr>
        <w:t xml:space="preserve"> </w:t>
      </w:r>
      <w:r>
        <w:rPr>
          <w:color w:val="231F20"/>
          <w:sz w:val="20"/>
        </w:rPr>
        <w:t>support</w:t>
      </w:r>
      <w:r>
        <w:rPr>
          <w:color w:val="231F20"/>
          <w:spacing w:val="-9"/>
          <w:sz w:val="20"/>
        </w:rPr>
        <w:t xml:space="preserve"> </w:t>
      </w:r>
      <w:r>
        <w:rPr>
          <w:color w:val="231F20"/>
          <w:sz w:val="20"/>
        </w:rPr>
        <w:t>helps</w:t>
      </w:r>
      <w:r>
        <w:rPr>
          <w:color w:val="231F20"/>
          <w:spacing w:val="-10"/>
          <w:sz w:val="20"/>
        </w:rPr>
        <w:t xml:space="preserve"> </w:t>
      </w:r>
      <w:r>
        <w:rPr>
          <w:color w:val="231F20"/>
          <w:sz w:val="20"/>
        </w:rPr>
        <w:t>people</w:t>
      </w:r>
      <w:r>
        <w:rPr>
          <w:color w:val="231F20"/>
          <w:spacing w:val="-9"/>
          <w:sz w:val="20"/>
        </w:rPr>
        <w:t xml:space="preserve"> </w:t>
      </w:r>
      <w:r>
        <w:rPr>
          <w:color w:val="231F20"/>
          <w:sz w:val="20"/>
        </w:rPr>
        <w:t>in</w:t>
      </w:r>
      <w:r>
        <w:rPr>
          <w:color w:val="231F20"/>
          <w:spacing w:val="-10"/>
          <w:sz w:val="20"/>
        </w:rPr>
        <w:t xml:space="preserve"> </w:t>
      </w:r>
      <w:r>
        <w:rPr>
          <w:color w:val="231F20"/>
          <w:sz w:val="20"/>
        </w:rPr>
        <w:t>prison</w:t>
      </w:r>
      <w:r>
        <w:rPr>
          <w:color w:val="231F20"/>
          <w:spacing w:val="-9"/>
          <w:sz w:val="20"/>
        </w:rPr>
        <w:t xml:space="preserve"> </w:t>
      </w:r>
      <w:r>
        <w:rPr>
          <w:color w:val="231F20"/>
          <w:sz w:val="20"/>
        </w:rPr>
        <w:t>to</w:t>
      </w:r>
      <w:r>
        <w:rPr>
          <w:color w:val="231F20"/>
          <w:spacing w:val="-10"/>
          <w:sz w:val="20"/>
        </w:rPr>
        <w:t xml:space="preserve"> </w:t>
      </w:r>
      <w:r>
        <w:rPr>
          <w:color w:val="231F20"/>
          <w:sz w:val="20"/>
        </w:rPr>
        <w:t>rejoin</w:t>
      </w:r>
      <w:r>
        <w:rPr>
          <w:color w:val="231F20"/>
          <w:spacing w:val="-9"/>
          <w:sz w:val="20"/>
        </w:rPr>
        <w:t xml:space="preserve"> </w:t>
      </w:r>
      <w:r>
        <w:rPr>
          <w:color w:val="231F20"/>
          <w:sz w:val="20"/>
        </w:rPr>
        <w:t>the</w:t>
      </w:r>
      <w:r>
        <w:rPr>
          <w:color w:val="231F20"/>
          <w:spacing w:val="-10"/>
          <w:sz w:val="20"/>
        </w:rPr>
        <w:t xml:space="preserve"> </w:t>
      </w:r>
      <w:r>
        <w:rPr>
          <w:color w:val="231F20"/>
          <w:sz w:val="20"/>
        </w:rPr>
        <w:t xml:space="preserve">community </w:t>
      </w:r>
      <w:r>
        <w:rPr>
          <w:color w:val="231F20"/>
          <w:spacing w:val="-3"/>
          <w:sz w:val="20"/>
        </w:rPr>
        <w:t xml:space="preserve">successfully. </w:t>
      </w:r>
      <w:r>
        <w:rPr>
          <w:color w:val="231F20"/>
          <w:spacing w:val="-10"/>
          <w:sz w:val="20"/>
        </w:rPr>
        <w:t xml:space="preserve">To </w:t>
      </w:r>
      <w:r>
        <w:rPr>
          <w:color w:val="231F20"/>
          <w:sz w:val="20"/>
        </w:rPr>
        <w:t xml:space="preserve">do so a person needs a range of supports such as housing, </w:t>
      </w:r>
      <w:r>
        <w:rPr>
          <w:color w:val="231F20"/>
          <w:spacing w:val="-3"/>
          <w:sz w:val="20"/>
        </w:rPr>
        <w:t xml:space="preserve">employment </w:t>
      </w:r>
      <w:r>
        <w:rPr>
          <w:color w:val="231F20"/>
          <w:sz w:val="20"/>
        </w:rPr>
        <w:t>and social</w:t>
      </w:r>
      <w:r>
        <w:rPr>
          <w:color w:val="231F20"/>
          <w:spacing w:val="-9"/>
          <w:sz w:val="20"/>
        </w:rPr>
        <w:t xml:space="preserve"> </w:t>
      </w:r>
      <w:r>
        <w:rPr>
          <w:color w:val="231F20"/>
          <w:sz w:val="20"/>
        </w:rPr>
        <w:t>support.</w:t>
      </w:r>
      <w:r>
        <w:rPr>
          <w:color w:val="231F20"/>
          <w:position w:val="7"/>
          <w:sz w:val="11"/>
        </w:rPr>
        <w:t>81</w:t>
      </w:r>
    </w:p>
    <w:p w14:paraId="31866721" w14:textId="77777777" w:rsidR="00894070" w:rsidRDefault="009B7AFD">
      <w:pPr>
        <w:pStyle w:val="ListParagraph"/>
        <w:numPr>
          <w:ilvl w:val="1"/>
          <w:numId w:val="29"/>
        </w:numPr>
        <w:tabs>
          <w:tab w:val="left" w:pos="1801"/>
          <w:tab w:val="left" w:pos="1802"/>
        </w:tabs>
        <w:spacing w:before="124" w:line="206" w:lineRule="auto"/>
        <w:ind w:right="1488"/>
        <w:rPr>
          <w:sz w:val="11"/>
        </w:rPr>
      </w:pPr>
      <w:r>
        <w:rPr>
          <w:color w:val="231F20"/>
          <w:sz w:val="20"/>
        </w:rPr>
        <w:t xml:space="preserve">Rehabilitation and </w:t>
      </w:r>
      <w:r>
        <w:rPr>
          <w:color w:val="231F20"/>
          <w:spacing w:val="-3"/>
          <w:sz w:val="20"/>
        </w:rPr>
        <w:t xml:space="preserve">reintegration </w:t>
      </w:r>
      <w:r>
        <w:rPr>
          <w:color w:val="231F20"/>
          <w:sz w:val="20"/>
        </w:rPr>
        <w:t xml:space="preserve">support is crucial to ensure people </w:t>
      </w:r>
      <w:r>
        <w:rPr>
          <w:color w:val="231F20"/>
          <w:spacing w:val="-3"/>
          <w:sz w:val="20"/>
        </w:rPr>
        <w:t xml:space="preserve">convicted </w:t>
      </w:r>
      <w:r>
        <w:rPr>
          <w:color w:val="231F20"/>
          <w:sz w:val="20"/>
        </w:rPr>
        <w:t>of stalking</w:t>
      </w:r>
      <w:r>
        <w:rPr>
          <w:color w:val="231F20"/>
          <w:spacing w:val="-11"/>
          <w:sz w:val="20"/>
        </w:rPr>
        <w:t xml:space="preserve"> </w:t>
      </w:r>
      <w:r>
        <w:rPr>
          <w:color w:val="231F20"/>
          <w:sz w:val="20"/>
        </w:rPr>
        <w:t>offences</w:t>
      </w:r>
      <w:r>
        <w:rPr>
          <w:color w:val="231F20"/>
          <w:spacing w:val="-10"/>
          <w:sz w:val="20"/>
        </w:rPr>
        <w:t xml:space="preserve"> </w:t>
      </w:r>
      <w:r>
        <w:rPr>
          <w:color w:val="231F20"/>
          <w:sz w:val="20"/>
        </w:rPr>
        <w:t>transition</w:t>
      </w:r>
      <w:r>
        <w:rPr>
          <w:color w:val="231F20"/>
          <w:spacing w:val="-11"/>
          <w:sz w:val="20"/>
        </w:rPr>
        <w:t xml:space="preserve"> </w:t>
      </w:r>
      <w:r>
        <w:rPr>
          <w:color w:val="231F20"/>
          <w:spacing w:val="-3"/>
          <w:sz w:val="20"/>
        </w:rPr>
        <w:t>successfully</w:t>
      </w:r>
      <w:r>
        <w:rPr>
          <w:color w:val="231F20"/>
          <w:spacing w:val="-10"/>
          <w:sz w:val="20"/>
        </w:rPr>
        <w:t xml:space="preserve"> </w:t>
      </w:r>
      <w:r>
        <w:rPr>
          <w:color w:val="231F20"/>
          <w:sz w:val="20"/>
        </w:rPr>
        <w:t>back</w:t>
      </w:r>
      <w:r>
        <w:rPr>
          <w:color w:val="231F20"/>
          <w:spacing w:val="-11"/>
          <w:sz w:val="20"/>
        </w:rPr>
        <w:t xml:space="preserve"> </w:t>
      </w:r>
      <w:r>
        <w:rPr>
          <w:color w:val="231F20"/>
          <w:spacing w:val="-3"/>
          <w:sz w:val="20"/>
        </w:rPr>
        <w:t>into</w:t>
      </w:r>
      <w:r>
        <w:rPr>
          <w:color w:val="231F20"/>
          <w:spacing w:val="-10"/>
          <w:sz w:val="20"/>
        </w:rPr>
        <w:t xml:space="preserve"> </w:t>
      </w:r>
      <w:r>
        <w:rPr>
          <w:color w:val="231F20"/>
          <w:sz w:val="20"/>
        </w:rPr>
        <w:t>the</w:t>
      </w:r>
      <w:r>
        <w:rPr>
          <w:color w:val="231F20"/>
          <w:spacing w:val="-11"/>
          <w:sz w:val="20"/>
        </w:rPr>
        <w:t xml:space="preserve"> </w:t>
      </w:r>
      <w:r>
        <w:rPr>
          <w:color w:val="231F20"/>
          <w:spacing w:val="-3"/>
          <w:sz w:val="20"/>
        </w:rPr>
        <w:t>community,</w:t>
      </w:r>
      <w:r>
        <w:rPr>
          <w:color w:val="231F20"/>
          <w:spacing w:val="-10"/>
          <w:sz w:val="20"/>
        </w:rPr>
        <w:t xml:space="preserve"> </w:t>
      </w:r>
      <w:r>
        <w:rPr>
          <w:color w:val="231F20"/>
          <w:sz w:val="20"/>
        </w:rPr>
        <w:t>and</w:t>
      </w:r>
      <w:r>
        <w:rPr>
          <w:color w:val="231F20"/>
          <w:spacing w:val="-11"/>
          <w:sz w:val="20"/>
        </w:rPr>
        <w:t xml:space="preserve"> </w:t>
      </w:r>
      <w:r>
        <w:rPr>
          <w:color w:val="231F20"/>
          <w:sz w:val="20"/>
        </w:rPr>
        <w:t>do</w:t>
      </w:r>
      <w:r>
        <w:rPr>
          <w:color w:val="231F20"/>
          <w:spacing w:val="-10"/>
          <w:sz w:val="20"/>
        </w:rPr>
        <w:t xml:space="preserve"> </w:t>
      </w:r>
      <w:r>
        <w:rPr>
          <w:color w:val="231F20"/>
          <w:sz w:val="20"/>
        </w:rPr>
        <w:t>not</w:t>
      </w:r>
      <w:r>
        <w:rPr>
          <w:color w:val="231F20"/>
          <w:spacing w:val="-10"/>
          <w:sz w:val="20"/>
        </w:rPr>
        <w:t xml:space="preserve"> </w:t>
      </w:r>
      <w:r>
        <w:rPr>
          <w:color w:val="231F20"/>
          <w:sz w:val="20"/>
        </w:rPr>
        <w:t>offend again.</w:t>
      </w:r>
      <w:r>
        <w:rPr>
          <w:color w:val="231F20"/>
          <w:position w:val="7"/>
          <w:sz w:val="11"/>
        </w:rPr>
        <w:t>82</w:t>
      </w:r>
    </w:p>
    <w:p w14:paraId="0C2F28F8" w14:textId="77777777" w:rsidR="00894070" w:rsidRDefault="009B7AFD">
      <w:pPr>
        <w:pStyle w:val="ListParagraph"/>
        <w:numPr>
          <w:ilvl w:val="1"/>
          <w:numId w:val="29"/>
        </w:numPr>
        <w:tabs>
          <w:tab w:val="left" w:pos="1801"/>
          <w:tab w:val="left" w:pos="1802"/>
        </w:tabs>
        <w:spacing w:before="124" w:line="206" w:lineRule="auto"/>
        <w:ind w:right="1166"/>
        <w:rPr>
          <w:sz w:val="11"/>
        </w:rPr>
      </w:pPr>
      <w:r>
        <w:rPr>
          <w:color w:val="231F20"/>
          <w:sz w:val="20"/>
        </w:rPr>
        <w:t>The</w:t>
      </w:r>
      <w:r>
        <w:rPr>
          <w:color w:val="231F20"/>
          <w:spacing w:val="-8"/>
          <w:sz w:val="20"/>
        </w:rPr>
        <w:t xml:space="preserve"> </w:t>
      </w:r>
      <w:r>
        <w:rPr>
          <w:color w:val="231F20"/>
          <w:sz w:val="20"/>
        </w:rPr>
        <w:t>correctional</w:t>
      </w:r>
      <w:r>
        <w:rPr>
          <w:color w:val="231F20"/>
          <w:spacing w:val="-8"/>
          <w:sz w:val="20"/>
        </w:rPr>
        <w:t xml:space="preserve"> </w:t>
      </w:r>
      <w:r>
        <w:rPr>
          <w:color w:val="231F20"/>
          <w:spacing w:val="-2"/>
          <w:sz w:val="20"/>
        </w:rPr>
        <w:t>system</w:t>
      </w:r>
      <w:r>
        <w:rPr>
          <w:color w:val="231F20"/>
          <w:spacing w:val="-7"/>
          <w:sz w:val="20"/>
        </w:rPr>
        <w:t xml:space="preserve"> </w:t>
      </w:r>
      <w:r>
        <w:rPr>
          <w:color w:val="231F20"/>
          <w:sz w:val="20"/>
        </w:rPr>
        <w:t>aims</w:t>
      </w:r>
      <w:r>
        <w:rPr>
          <w:color w:val="231F20"/>
          <w:spacing w:val="-8"/>
          <w:sz w:val="20"/>
        </w:rPr>
        <w:t xml:space="preserve"> </w:t>
      </w:r>
      <w:r>
        <w:rPr>
          <w:color w:val="231F20"/>
          <w:sz w:val="20"/>
        </w:rPr>
        <w:t>to</w:t>
      </w:r>
      <w:r>
        <w:rPr>
          <w:color w:val="231F20"/>
          <w:spacing w:val="-8"/>
          <w:sz w:val="20"/>
        </w:rPr>
        <w:t xml:space="preserve"> </w:t>
      </w:r>
      <w:r>
        <w:rPr>
          <w:color w:val="231F20"/>
          <w:sz w:val="20"/>
        </w:rPr>
        <w:t>support</w:t>
      </w:r>
      <w:r>
        <w:rPr>
          <w:color w:val="231F20"/>
          <w:spacing w:val="-7"/>
          <w:sz w:val="20"/>
        </w:rPr>
        <w:t xml:space="preserve"> </w:t>
      </w:r>
      <w:r>
        <w:rPr>
          <w:color w:val="231F20"/>
          <w:sz w:val="20"/>
        </w:rPr>
        <w:t>people</w:t>
      </w:r>
      <w:r>
        <w:rPr>
          <w:color w:val="231F20"/>
          <w:spacing w:val="-8"/>
          <w:sz w:val="20"/>
        </w:rPr>
        <w:t xml:space="preserve"> </w:t>
      </w:r>
      <w:r>
        <w:rPr>
          <w:color w:val="231F20"/>
          <w:sz w:val="20"/>
        </w:rPr>
        <w:t>who</w:t>
      </w:r>
      <w:r>
        <w:rPr>
          <w:color w:val="231F20"/>
          <w:spacing w:val="-7"/>
          <w:sz w:val="20"/>
        </w:rPr>
        <w:t xml:space="preserve"> </w:t>
      </w:r>
      <w:r>
        <w:rPr>
          <w:color w:val="231F20"/>
          <w:spacing w:val="-4"/>
          <w:sz w:val="20"/>
        </w:rPr>
        <w:t>have</w:t>
      </w:r>
      <w:r>
        <w:rPr>
          <w:color w:val="231F20"/>
          <w:spacing w:val="-8"/>
          <w:sz w:val="20"/>
        </w:rPr>
        <w:t xml:space="preserve"> </w:t>
      </w:r>
      <w:r>
        <w:rPr>
          <w:color w:val="231F20"/>
          <w:sz w:val="20"/>
        </w:rPr>
        <w:t>been</w:t>
      </w:r>
      <w:r>
        <w:rPr>
          <w:color w:val="231F20"/>
          <w:spacing w:val="-8"/>
          <w:sz w:val="20"/>
        </w:rPr>
        <w:t xml:space="preserve"> </w:t>
      </w:r>
      <w:r>
        <w:rPr>
          <w:color w:val="231F20"/>
          <w:sz w:val="20"/>
        </w:rPr>
        <w:t>in</w:t>
      </w:r>
      <w:r>
        <w:rPr>
          <w:color w:val="231F20"/>
          <w:spacing w:val="-7"/>
          <w:sz w:val="20"/>
        </w:rPr>
        <w:t xml:space="preserve"> </w:t>
      </w:r>
      <w:r>
        <w:rPr>
          <w:color w:val="231F20"/>
          <w:sz w:val="20"/>
        </w:rPr>
        <w:t>prison</w:t>
      </w:r>
      <w:r>
        <w:rPr>
          <w:color w:val="231F20"/>
          <w:spacing w:val="-8"/>
          <w:sz w:val="20"/>
        </w:rPr>
        <w:t xml:space="preserve"> </w:t>
      </w:r>
      <w:r>
        <w:rPr>
          <w:color w:val="231F20"/>
          <w:sz w:val="20"/>
        </w:rPr>
        <w:t>to</w:t>
      </w:r>
      <w:r>
        <w:rPr>
          <w:color w:val="231F20"/>
          <w:spacing w:val="-8"/>
          <w:sz w:val="20"/>
        </w:rPr>
        <w:t xml:space="preserve"> </w:t>
      </w:r>
      <w:r>
        <w:rPr>
          <w:color w:val="231F20"/>
          <w:spacing w:val="-3"/>
          <w:sz w:val="20"/>
        </w:rPr>
        <w:t xml:space="preserve">reintegrate into </w:t>
      </w:r>
      <w:r>
        <w:rPr>
          <w:color w:val="231F20"/>
          <w:sz w:val="20"/>
        </w:rPr>
        <w:t xml:space="preserve">the </w:t>
      </w:r>
      <w:r>
        <w:rPr>
          <w:color w:val="231F20"/>
          <w:spacing w:val="-3"/>
          <w:sz w:val="20"/>
        </w:rPr>
        <w:t xml:space="preserve">community. </w:t>
      </w:r>
      <w:r>
        <w:rPr>
          <w:color w:val="231F20"/>
          <w:sz w:val="20"/>
        </w:rPr>
        <w:t xml:space="preserve">This </w:t>
      </w:r>
      <w:r>
        <w:rPr>
          <w:color w:val="231F20"/>
          <w:spacing w:val="-3"/>
          <w:sz w:val="20"/>
        </w:rPr>
        <w:t xml:space="preserve">may </w:t>
      </w:r>
      <w:r>
        <w:rPr>
          <w:color w:val="231F20"/>
          <w:sz w:val="20"/>
        </w:rPr>
        <w:t xml:space="preserve">start </w:t>
      </w:r>
      <w:r>
        <w:rPr>
          <w:color w:val="231F20"/>
          <w:spacing w:val="-3"/>
          <w:sz w:val="20"/>
        </w:rPr>
        <w:t xml:space="preserve">before </w:t>
      </w:r>
      <w:r>
        <w:rPr>
          <w:color w:val="231F20"/>
          <w:sz w:val="20"/>
        </w:rPr>
        <w:t xml:space="preserve">they </w:t>
      </w:r>
      <w:r>
        <w:rPr>
          <w:color w:val="231F20"/>
          <w:spacing w:val="-3"/>
          <w:sz w:val="20"/>
        </w:rPr>
        <w:t xml:space="preserve">are </w:t>
      </w:r>
      <w:r>
        <w:rPr>
          <w:color w:val="231F20"/>
          <w:sz w:val="20"/>
        </w:rPr>
        <w:t xml:space="preserve">released </w:t>
      </w:r>
      <w:r>
        <w:rPr>
          <w:color w:val="231F20"/>
          <w:spacing w:val="-3"/>
          <w:sz w:val="20"/>
        </w:rPr>
        <w:t xml:space="preserve">from </w:t>
      </w:r>
      <w:r>
        <w:rPr>
          <w:color w:val="231F20"/>
          <w:sz w:val="20"/>
        </w:rPr>
        <w:t>prison and continue after</w:t>
      </w:r>
      <w:r>
        <w:rPr>
          <w:color w:val="231F20"/>
          <w:spacing w:val="-9"/>
          <w:sz w:val="20"/>
        </w:rPr>
        <w:t xml:space="preserve"> </w:t>
      </w:r>
      <w:r>
        <w:rPr>
          <w:color w:val="231F20"/>
          <w:sz w:val="20"/>
        </w:rPr>
        <w:t>their</w:t>
      </w:r>
      <w:r>
        <w:rPr>
          <w:color w:val="231F20"/>
          <w:spacing w:val="-8"/>
          <w:sz w:val="20"/>
        </w:rPr>
        <w:t xml:space="preserve"> </w:t>
      </w:r>
      <w:r>
        <w:rPr>
          <w:color w:val="231F20"/>
          <w:spacing w:val="-3"/>
          <w:sz w:val="20"/>
        </w:rPr>
        <w:t>release,</w:t>
      </w:r>
      <w:r>
        <w:rPr>
          <w:color w:val="231F20"/>
          <w:spacing w:val="-8"/>
          <w:sz w:val="20"/>
        </w:rPr>
        <w:t xml:space="preserve"> </w:t>
      </w:r>
      <w:r>
        <w:rPr>
          <w:color w:val="231F20"/>
          <w:sz w:val="20"/>
        </w:rPr>
        <w:t>at</w:t>
      </w:r>
      <w:r>
        <w:rPr>
          <w:color w:val="231F20"/>
          <w:spacing w:val="-8"/>
          <w:sz w:val="20"/>
        </w:rPr>
        <w:t xml:space="preserve"> </w:t>
      </w:r>
      <w:r>
        <w:rPr>
          <w:color w:val="231F20"/>
          <w:sz w:val="20"/>
        </w:rPr>
        <w:t>the</w:t>
      </w:r>
      <w:r>
        <w:rPr>
          <w:color w:val="231F20"/>
          <w:spacing w:val="-8"/>
          <w:sz w:val="20"/>
        </w:rPr>
        <w:t xml:space="preserve"> </w:t>
      </w:r>
      <w:r>
        <w:rPr>
          <w:color w:val="231F20"/>
          <w:sz w:val="20"/>
        </w:rPr>
        <w:t>end</w:t>
      </w:r>
      <w:r>
        <w:rPr>
          <w:color w:val="231F20"/>
          <w:spacing w:val="-9"/>
          <w:sz w:val="20"/>
        </w:rPr>
        <w:t xml:space="preserve"> </w:t>
      </w:r>
      <w:r>
        <w:rPr>
          <w:color w:val="231F20"/>
          <w:sz w:val="20"/>
        </w:rPr>
        <w:t>of</w:t>
      </w:r>
      <w:r>
        <w:rPr>
          <w:color w:val="231F20"/>
          <w:spacing w:val="-8"/>
          <w:sz w:val="20"/>
        </w:rPr>
        <w:t xml:space="preserve"> </w:t>
      </w:r>
      <w:r>
        <w:rPr>
          <w:color w:val="231F20"/>
          <w:sz w:val="20"/>
        </w:rPr>
        <w:t>their</w:t>
      </w:r>
      <w:r>
        <w:rPr>
          <w:color w:val="231F20"/>
          <w:spacing w:val="-8"/>
          <w:sz w:val="20"/>
        </w:rPr>
        <w:t xml:space="preserve"> </w:t>
      </w:r>
      <w:r>
        <w:rPr>
          <w:color w:val="231F20"/>
          <w:spacing w:val="-2"/>
          <w:sz w:val="20"/>
        </w:rPr>
        <w:t>sentence</w:t>
      </w:r>
      <w:r>
        <w:rPr>
          <w:color w:val="231F20"/>
          <w:spacing w:val="-8"/>
          <w:sz w:val="20"/>
        </w:rPr>
        <w:t xml:space="preserve"> </w:t>
      </w:r>
      <w:r>
        <w:rPr>
          <w:color w:val="231F20"/>
          <w:sz w:val="20"/>
        </w:rPr>
        <w:t>or</w:t>
      </w:r>
      <w:r>
        <w:rPr>
          <w:color w:val="231F20"/>
          <w:spacing w:val="-8"/>
          <w:sz w:val="20"/>
        </w:rPr>
        <w:t xml:space="preserve"> </w:t>
      </w:r>
      <w:r>
        <w:rPr>
          <w:color w:val="231F20"/>
          <w:sz w:val="20"/>
        </w:rPr>
        <w:t>while</w:t>
      </w:r>
      <w:r>
        <w:rPr>
          <w:color w:val="231F20"/>
          <w:spacing w:val="-8"/>
          <w:sz w:val="20"/>
        </w:rPr>
        <w:t xml:space="preserve"> </w:t>
      </w:r>
      <w:r>
        <w:rPr>
          <w:color w:val="231F20"/>
          <w:sz w:val="20"/>
        </w:rPr>
        <w:t>they</w:t>
      </w:r>
      <w:r>
        <w:rPr>
          <w:color w:val="231F20"/>
          <w:spacing w:val="-9"/>
          <w:sz w:val="20"/>
        </w:rPr>
        <w:t xml:space="preserve"> </w:t>
      </w:r>
      <w:r>
        <w:rPr>
          <w:color w:val="231F20"/>
          <w:spacing w:val="-3"/>
          <w:sz w:val="20"/>
        </w:rPr>
        <w:t>are</w:t>
      </w:r>
      <w:r>
        <w:rPr>
          <w:color w:val="231F20"/>
          <w:spacing w:val="-8"/>
          <w:sz w:val="20"/>
        </w:rPr>
        <w:t xml:space="preserve"> </w:t>
      </w:r>
      <w:r>
        <w:rPr>
          <w:color w:val="231F20"/>
          <w:sz w:val="20"/>
        </w:rPr>
        <w:t>on</w:t>
      </w:r>
      <w:r>
        <w:rPr>
          <w:color w:val="231F20"/>
          <w:spacing w:val="-8"/>
          <w:sz w:val="20"/>
        </w:rPr>
        <w:t xml:space="preserve"> </w:t>
      </w:r>
      <w:r>
        <w:rPr>
          <w:color w:val="231F20"/>
          <w:sz w:val="20"/>
        </w:rPr>
        <w:t>parole.</w:t>
      </w:r>
      <w:r>
        <w:rPr>
          <w:color w:val="231F20"/>
          <w:position w:val="7"/>
          <w:sz w:val="11"/>
        </w:rPr>
        <w:t>83</w:t>
      </w:r>
      <w:r>
        <w:rPr>
          <w:color w:val="231F20"/>
          <w:spacing w:val="16"/>
          <w:position w:val="7"/>
          <w:sz w:val="11"/>
        </w:rPr>
        <w:t xml:space="preserve"> </w:t>
      </w:r>
      <w:r>
        <w:rPr>
          <w:color w:val="231F20"/>
          <w:sz w:val="20"/>
        </w:rPr>
        <w:t xml:space="preserve">Corrections Victoria targets domains such as housing, employment, alcohol and drug support, independent living skills and community and </w:t>
      </w:r>
      <w:r>
        <w:rPr>
          <w:color w:val="231F20"/>
          <w:spacing w:val="-3"/>
          <w:sz w:val="20"/>
        </w:rPr>
        <w:t>family</w:t>
      </w:r>
      <w:r>
        <w:rPr>
          <w:color w:val="231F20"/>
          <w:spacing w:val="-34"/>
          <w:sz w:val="20"/>
        </w:rPr>
        <w:t xml:space="preserve"> </w:t>
      </w:r>
      <w:r>
        <w:rPr>
          <w:color w:val="231F20"/>
          <w:sz w:val="20"/>
        </w:rPr>
        <w:t>connection.</w:t>
      </w:r>
      <w:r>
        <w:rPr>
          <w:color w:val="231F20"/>
          <w:position w:val="7"/>
          <w:sz w:val="11"/>
        </w:rPr>
        <w:t>84</w:t>
      </w:r>
    </w:p>
    <w:p w14:paraId="08436C9E" w14:textId="77777777" w:rsidR="00894070" w:rsidRDefault="009B7AFD">
      <w:pPr>
        <w:pStyle w:val="ListParagraph"/>
        <w:numPr>
          <w:ilvl w:val="1"/>
          <w:numId w:val="29"/>
        </w:numPr>
        <w:tabs>
          <w:tab w:val="left" w:pos="1801"/>
          <w:tab w:val="left" w:pos="1802"/>
        </w:tabs>
        <w:spacing w:before="126" w:line="206" w:lineRule="auto"/>
        <w:ind w:right="1859"/>
        <w:rPr>
          <w:sz w:val="20"/>
        </w:rPr>
      </w:pPr>
      <w:r>
        <w:rPr>
          <w:color w:val="231F20"/>
          <w:spacing w:val="-5"/>
          <w:sz w:val="20"/>
        </w:rPr>
        <w:t>However,</w:t>
      </w:r>
      <w:r>
        <w:rPr>
          <w:color w:val="231F20"/>
          <w:spacing w:val="-10"/>
          <w:sz w:val="20"/>
        </w:rPr>
        <w:t xml:space="preserve"> </w:t>
      </w:r>
      <w:r>
        <w:rPr>
          <w:color w:val="231F20"/>
          <w:sz w:val="20"/>
        </w:rPr>
        <w:t>there</w:t>
      </w:r>
      <w:r>
        <w:rPr>
          <w:color w:val="231F20"/>
          <w:spacing w:val="-9"/>
          <w:sz w:val="20"/>
        </w:rPr>
        <w:t xml:space="preserve"> </w:t>
      </w:r>
      <w:r>
        <w:rPr>
          <w:color w:val="231F20"/>
          <w:spacing w:val="-3"/>
          <w:sz w:val="20"/>
        </w:rPr>
        <w:t>are</w:t>
      </w:r>
      <w:r>
        <w:rPr>
          <w:color w:val="231F20"/>
          <w:spacing w:val="-10"/>
          <w:sz w:val="20"/>
        </w:rPr>
        <w:t xml:space="preserve"> </w:t>
      </w:r>
      <w:r>
        <w:rPr>
          <w:color w:val="231F20"/>
          <w:sz w:val="20"/>
        </w:rPr>
        <w:t>barriers</w:t>
      </w:r>
      <w:r>
        <w:rPr>
          <w:color w:val="231F20"/>
          <w:spacing w:val="-9"/>
          <w:sz w:val="20"/>
        </w:rPr>
        <w:t xml:space="preserve"> </w:t>
      </w:r>
      <w:r>
        <w:rPr>
          <w:color w:val="231F20"/>
          <w:spacing w:val="-3"/>
          <w:sz w:val="20"/>
        </w:rPr>
        <w:t>for</w:t>
      </w:r>
      <w:r>
        <w:rPr>
          <w:color w:val="231F20"/>
          <w:spacing w:val="-10"/>
          <w:sz w:val="20"/>
        </w:rPr>
        <w:t xml:space="preserve"> </w:t>
      </w:r>
      <w:r>
        <w:rPr>
          <w:color w:val="231F20"/>
          <w:sz w:val="20"/>
        </w:rPr>
        <w:t>people</w:t>
      </w:r>
      <w:r>
        <w:rPr>
          <w:color w:val="231F20"/>
          <w:spacing w:val="-9"/>
          <w:sz w:val="20"/>
        </w:rPr>
        <w:t xml:space="preserve"> </w:t>
      </w:r>
      <w:r>
        <w:rPr>
          <w:color w:val="231F20"/>
          <w:sz w:val="20"/>
        </w:rPr>
        <w:t>accessing</w:t>
      </w:r>
      <w:r>
        <w:rPr>
          <w:color w:val="231F20"/>
          <w:spacing w:val="-9"/>
          <w:sz w:val="20"/>
        </w:rPr>
        <w:t xml:space="preserve"> </w:t>
      </w:r>
      <w:r>
        <w:rPr>
          <w:color w:val="231F20"/>
          <w:sz w:val="20"/>
        </w:rPr>
        <w:t>rehabilitation</w:t>
      </w:r>
      <w:r>
        <w:rPr>
          <w:color w:val="231F20"/>
          <w:spacing w:val="-10"/>
          <w:sz w:val="20"/>
        </w:rPr>
        <w:t xml:space="preserve"> </w:t>
      </w:r>
      <w:r>
        <w:rPr>
          <w:color w:val="231F20"/>
          <w:sz w:val="20"/>
        </w:rPr>
        <w:t>and</w:t>
      </w:r>
      <w:r>
        <w:rPr>
          <w:color w:val="231F20"/>
          <w:spacing w:val="-9"/>
          <w:sz w:val="20"/>
        </w:rPr>
        <w:t xml:space="preserve"> </w:t>
      </w:r>
      <w:r>
        <w:rPr>
          <w:color w:val="231F20"/>
          <w:spacing w:val="-3"/>
          <w:sz w:val="20"/>
        </w:rPr>
        <w:t xml:space="preserve">reintegration </w:t>
      </w:r>
      <w:r>
        <w:rPr>
          <w:color w:val="231F20"/>
          <w:sz w:val="20"/>
        </w:rPr>
        <w:t>programs:</w:t>
      </w:r>
    </w:p>
    <w:p w14:paraId="1DAA978F" w14:textId="77777777" w:rsidR="00894070" w:rsidRDefault="009B7AFD">
      <w:pPr>
        <w:pStyle w:val="ListParagraph"/>
        <w:numPr>
          <w:ilvl w:val="2"/>
          <w:numId w:val="29"/>
        </w:numPr>
        <w:tabs>
          <w:tab w:val="left" w:pos="2141"/>
          <w:tab w:val="left" w:pos="2142"/>
        </w:tabs>
        <w:spacing w:before="123" w:line="206" w:lineRule="auto"/>
        <w:ind w:right="1216" w:hanging="340"/>
        <w:rPr>
          <w:sz w:val="11"/>
        </w:rPr>
      </w:pPr>
      <w:r>
        <w:rPr>
          <w:color w:val="231F20"/>
          <w:sz w:val="20"/>
        </w:rPr>
        <w:t>People</w:t>
      </w:r>
      <w:r>
        <w:rPr>
          <w:color w:val="231F20"/>
          <w:spacing w:val="-12"/>
          <w:sz w:val="20"/>
        </w:rPr>
        <w:t xml:space="preserve"> </w:t>
      </w:r>
      <w:r>
        <w:rPr>
          <w:color w:val="231F20"/>
          <w:sz w:val="20"/>
        </w:rPr>
        <w:t>who</w:t>
      </w:r>
      <w:r>
        <w:rPr>
          <w:color w:val="231F20"/>
          <w:spacing w:val="-11"/>
          <w:sz w:val="20"/>
        </w:rPr>
        <w:t xml:space="preserve"> </w:t>
      </w:r>
      <w:r>
        <w:rPr>
          <w:color w:val="231F20"/>
          <w:sz w:val="20"/>
        </w:rPr>
        <w:t>stalk</w:t>
      </w:r>
      <w:r>
        <w:rPr>
          <w:color w:val="231F20"/>
          <w:spacing w:val="-11"/>
          <w:sz w:val="20"/>
        </w:rPr>
        <w:t xml:space="preserve"> </w:t>
      </w:r>
      <w:r>
        <w:rPr>
          <w:color w:val="231F20"/>
          <w:spacing w:val="-3"/>
          <w:sz w:val="20"/>
        </w:rPr>
        <w:t>are</w:t>
      </w:r>
      <w:r>
        <w:rPr>
          <w:color w:val="231F20"/>
          <w:spacing w:val="-11"/>
          <w:sz w:val="20"/>
        </w:rPr>
        <w:t xml:space="preserve"> </w:t>
      </w:r>
      <w:r>
        <w:rPr>
          <w:color w:val="231F20"/>
          <w:sz w:val="20"/>
        </w:rPr>
        <w:t>poorly</w:t>
      </w:r>
      <w:r>
        <w:rPr>
          <w:color w:val="231F20"/>
          <w:spacing w:val="-11"/>
          <w:sz w:val="20"/>
        </w:rPr>
        <w:t xml:space="preserve"> </w:t>
      </w:r>
      <w:r>
        <w:rPr>
          <w:color w:val="231F20"/>
          <w:sz w:val="20"/>
        </w:rPr>
        <w:t>identified</w:t>
      </w:r>
      <w:r>
        <w:rPr>
          <w:color w:val="231F20"/>
          <w:spacing w:val="-11"/>
          <w:sz w:val="20"/>
        </w:rPr>
        <w:t xml:space="preserve"> </w:t>
      </w:r>
      <w:r>
        <w:rPr>
          <w:color w:val="231F20"/>
          <w:sz w:val="20"/>
        </w:rPr>
        <w:t>in</w:t>
      </w:r>
      <w:r>
        <w:rPr>
          <w:color w:val="231F20"/>
          <w:spacing w:val="-11"/>
          <w:sz w:val="20"/>
        </w:rPr>
        <w:t xml:space="preserve"> </w:t>
      </w:r>
      <w:r>
        <w:rPr>
          <w:color w:val="231F20"/>
          <w:sz w:val="20"/>
        </w:rPr>
        <w:t>the</w:t>
      </w:r>
      <w:r>
        <w:rPr>
          <w:color w:val="231F20"/>
          <w:spacing w:val="-11"/>
          <w:sz w:val="20"/>
        </w:rPr>
        <w:t xml:space="preserve"> </w:t>
      </w:r>
      <w:r>
        <w:rPr>
          <w:color w:val="231F20"/>
          <w:sz w:val="20"/>
        </w:rPr>
        <w:t>criminal</w:t>
      </w:r>
      <w:r>
        <w:rPr>
          <w:color w:val="231F20"/>
          <w:spacing w:val="-11"/>
          <w:sz w:val="20"/>
        </w:rPr>
        <w:t xml:space="preserve"> </w:t>
      </w:r>
      <w:r>
        <w:rPr>
          <w:color w:val="231F20"/>
          <w:sz w:val="20"/>
        </w:rPr>
        <w:t>justice</w:t>
      </w:r>
      <w:r>
        <w:rPr>
          <w:color w:val="231F20"/>
          <w:spacing w:val="-11"/>
          <w:sz w:val="20"/>
        </w:rPr>
        <w:t xml:space="preserve"> </w:t>
      </w:r>
      <w:r>
        <w:rPr>
          <w:color w:val="231F20"/>
          <w:sz w:val="20"/>
        </w:rPr>
        <w:t>system</w:t>
      </w:r>
      <w:r>
        <w:rPr>
          <w:color w:val="231F20"/>
          <w:position w:val="7"/>
          <w:sz w:val="11"/>
        </w:rPr>
        <w:t>85</w:t>
      </w:r>
      <w:r>
        <w:rPr>
          <w:color w:val="231F20"/>
          <w:sz w:val="20"/>
        </w:rPr>
        <w:t>—for</w:t>
      </w:r>
      <w:r>
        <w:rPr>
          <w:color w:val="231F20"/>
          <w:spacing w:val="-11"/>
          <w:sz w:val="20"/>
        </w:rPr>
        <w:t xml:space="preserve"> </w:t>
      </w:r>
      <w:r>
        <w:rPr>
          <w:color w:val="231F20"/>
          <w:spacing w:val="-3"/>
          <w:sz w:val="20"/>
        </w:rPr>
        <w:t xml:space="preserve">example, </w:t>
      </w:r>
      <w:r>
        <w:rPr>
          <w:color w:val="231F20"/>
          <w:sz w:val="20"/>
        </w:rPr>
        <w:t xml:space="preserve">because stalking is not charged (see </w:t>
      </w:r>
      <w:r>
        <w:rPr>
          <w:color w:val="231F20"/>
          <w:spacing w:val="-3"/>
          <w:sz w:val="20"/>
        </w:rPr>
        <w:t>Chapter</w:t>
      </w:r>
      <w:r>
        <w:rPr>
          <w:color w:val="231F20"/>
          <w:spacing w:val="-30"/>
          <w:sz w:val="20"/>
        </w:rPr>
        <w:t xml:space="preserve"> </w:t>
      </w:r>
      <w:r>
        <w:rPr>
          <w:color w:val="231F20"/>
          <w:sz w:val="20"/>
        </w:rPr>
        <w:t>7).</w:t>
      </w:r>
      <w:r>
        <w:rPr>
          <w:color w:val="231F20"/>
          <w:position w:val="7"/>
          <w:sz w:val="11"/>
        </w:rPr>
        <w:t>86</w:t>
      </w:r>
    </w:p>
    <w:p w14:paraId="3484F83B" w14:textId="77777777" w:rsidR="00894070" w:rsidRDefault="009B7AFD">
      <w:pPr>
        <w:pStyle w:val="ListParagraph"/>
        <w:numPr>
          <w:ilvl w:val="2"/>
          <w:numId w:val="29"/>
        </w:numPr>
        <w:tabs>
          <w:tab w:val="left" w:pos="2141"/>
          <w:tab w:val="left" w:pos="2142"/>
        </w:tabs>
        <w:spacing w:before="55" w:line="259" w:lineRule="exact"/>
        <w:ind w:hanging="340"/>
        <w:rPr>
          <w:sz w:val="20"/>
        </w:rPr>
      </w:pPr>
      <w:r>
        <w:rPr>
          <w:color w:val="231F20"/>
          <w:sz w:val="20"/>
        </w:rPr>
        <w:t>If</w:t>
      </w:r>
      <w:r>
        <w:rPr>
          <w:color w:val="231F20"/>
          <w:spacing w:val="-5"/>
          <w:sz w:val="20"/>
        </w:rPr>
        <w:t xml:space="preserve"> </w:t>
      </w:r>
      <w:r>
        <w:rPr>
          <w:color w:val="231F20"/>
          <w:sz w:val="20"/>
        </w:rPr>
        <w:t>charges</w:t>
      </w:r>
      <w:r>
        <w:rPr>
          <w:color w:val="231F20"/>
          <w:spacing w:val="-5"/>
          <w:sz w:val="20"/>
        </w:rPr>
        <w:t xml:space="preserve"> </w:t>
      </w:r>
      <w:r>
        <w:rPr>
          <w:color w:val="231F20"/>
          <w:spacing w:val="-3"/>
          <w:sz w:val="20"/>
        </w:rPr>
        <w:t>are</w:t>
      </w:r>
      <w:r>
        <w:rPr>
          <w:color w:val="231F20"/>
          <w:spacing w:val="-5"/>
          <w:sz w:val="20"/>
        </w:rPr>
        <w:t xml:space="preserve"> </w:t>
      </w:r>
      <w:r>
        <w:rPr>
          <w:color w:val="231F20"/>
          <w:sz w:val="20"/>
        </w:rPr>
        <w:t>pending,</w:t>
      </w:r>
      <w:r>
        <w:rPr>
          <w:color w:val="231F20"/>
          <w:spacing w:val="-4"/>
          <w:sz w:val="20"/>
        </w:rPr>
        <w:t xml:space="preserve"> </w:t>
      </w:r>
      <w:r>
        <w:rPr>
          <w:color w:val="231F20"/>
          <w:spacing w:val="-3"/>
          <w:sz w:val="20"/>
        </w:rPr>
        <w:t>information</w:t>
      </w:r>
      <w:r>
        <w:rPr>
          <w:color w:val="231F20"/>
          <w:spacing w:val="-5"/>
          <w:sz w:val="20"/>
        </w:rPr>
        <w:t xml:space="preserve"> </w:t>
      </w:r>
      <w:r>
        <w:rPr>
          <w:color w:val="231F20"/>
          <w:sz w:val="20"/>
        </w:rPr>
        <w:t>disclosed</w:t>
      </w:r>
      <w:r>
        <w:rPr>
          <w:color w:val="231F20"/>
          <w:spacing w:val="-5"/>
          <w:sz w:val="20"/>
        </w:rPr>
        <w:t xml:space="preserve"> </w:t>
      </w:r>
      <w:r>
        <w:rPr>
          <w:color w:val="231F20"/>
          <w:sz w:val="20"/>
        </w:rPr>
        <w:t>during</w:t>
      </w:r>
      <w:r>
        <w:rPr>
          <w:color w:val="231F20"/>
          <w:spacing w:val="-4"/>
          <w:sz w:val="20"/>
        </w:rPr>
        <w:t xml:space="preserve"> </w:t>
      </w:r>
      <w:r>
        <w:rPr>
          <w:color w:val="231F20"/>
          <w:spacing w:val="-3"/>
          <w:sz w:val="20"/>
        </w:rPr>
        <w:t>treatment</w:t>
      </w:r>
      <w:r>
        <w:rPr>
          <w:color w:val="231F20"/>
          <w:spacing w:val="-5"/>
          <w:sz w:val="20"/>
        </w:rPr>
        <w:t xml:space="preserve"> </w:t>
      </w:r>
      <w:r>
        <w:rPr>
          <w:color w:val="231F20"/>
          <w:sz w:val="20"/>
        </w:rPr>
        <w:t>is</w:t>
      </w:r>
      <w:r>
        <w:rPr>
          <w:color w:val="231F20"/>
          <w:spacing w:val="-5"/>
          <w:sz w:val="20"/>
        </w:rPr>
        <w:t xml:space="preserve"> </w:t>
      </w:r>
      <w:r>
        <w:rPr>
          <w:color w:val="231F20"/>
          <w:sz w:val="20"/>
        </w:rPr>
        <w:t>not</w:t>
      </w:r>
      <w:r>
        <w:rPr>
          <w:color w:val="231F20"/>
          <w:spacing w:val="-4"/>
          <w:sz w:val="20"/>
        </w:rPr>
        <w:t xml:space="preserve"> </w:t>
      </w:r>
      <w:r>
        <w:rPr>
          <w:color w:val="231F20"/>
          <w:spacing w:val="-3"/>
          <w:sz w:val="20"/>
        </w:rPr>
        <w:t>protected</w:t>
      </w:r>
      <w:r>
        <w:rPr>
          <w:color w:val="231F20"/>
          <w:spacing w:val="-5"/>
          <w:sz w:val="20"/>
        </w:rPr>
        <w:t xml:space="preserve"> </w:t>
      </w:r>
      <w:r>
        <w:rPr>
          <w:color w:val="231F20"/>
          <w:sz w:val="20"/>
        </w:rPr>
        <w:t>and</w:t>
      </w:r>
    </w:p>
    <w:p w14:paraId="6C33BA82" w14:textId="77777777" w:rsidR="00894070" w:rsidRDefault="009B7AFD">
      <w:pPr>
        <w:pStyle w:val="BodyText"/>
        <w:spacing w:line="259" w:lineRule="exact"/>
        <w:ind w:left="2141"/>
        <w:rPr>
          <w:sz w:val="11"/>
        </w:rPr>
      </w:pPr>
      <w:r>
        <w:rPr>
          <w:color w:val="231F20"/>
        </w:rPr>
        <w:t>could be subpoenaed, affecting the accused’s ability to engage with treatment.</w:t>
      </w:r>
      <w:r>
        <w:rPr>
          <w:color w:val="231F20"/>
          <w:position w:val="7"/>
          <w:sz w:val="11"/>
        </w:rPr>
        <w:t>87</w:t>
      </w:r>
    </w:p>
    <w:p w14:paraId="17870D95" w14:textId="77777777" w:rsidR="00894070" w:rsidRDefault="009B7AFD">
      <w:pPr>
        <w:pStyle w:val="ListParagraph"/>
        <w:numPr>
          <w:ilvl w:val="2"/>
          <w:numId w:val="29"/>
        </w:numPr>
        <w:tabs>
          <w:tab w:val="left" w:pos="2141"/>
          <w:tab w:val="left" w:pos="2142"/>
        </w:tabs>
        <w:spacing w:before="47"/>
        <w:ind w:hanging="340"/>
        <w:rPr>
          <w:sz w:val="11"/>
        </w:rPr>
      </w:pPr>
      <w:r>
        <w:rPr>
          <w:color w:val="231F20"/>
          <w:sz w:val="20"/>
        </w:rPr>
        <w:t>Specialist</w:t>
      </w:r>
      <w:r>
        <w:rPr>
          <w:color w:val="231F20"/>
          <w:spacing w:val="-5"/>
          <w:sz w:val="20"/>
        </w:rPr>
        <w:t xml:space="preserve"> </w:t>
      </w:r>
      <w:r>
        <w:rPr>
          <w:color w:val="231F20"/>
          <w:spacing w:val="-3"/>
          <w:sz w:val="20"/>
        </w:rPr>
        <w:t>treatment,</w:t>
      </w:r>
      <w:r>
        <w:rPr>
          <w:color w:val="231F20"/>
          <w:spacing w:val="-5"/>
          <w:sz w:val="20"/>
        </w:rPr>
        <w:t xml:space="preserve"> </w:t>
      </w:r>
      <w:r>
        <w:rPr>
          <w:color w:val="231F20"/>
          <w:sz w:val="20"/>
        </w:rPr>
        <w:t>such</w:t>
      </w:r>
      <w:r>
        <w:rPr>
          <w:color w:val="231F20"/>
          <w:spacing w:val="-5"/>
          <w:sz w:val="20"/>
        </w:rPr>
        <w:t xml:space="preserve"> </w:t>
      </w:r>
      <w:r>
        <w:rPr>
          <w:color w:val="231F20"/>
          <w:sz w:val="20"/>
        </w:rPr>
        <w:t>as</w:t>
      </w:r>
      <w:r>
        <w:rPr>
          <w:color w:val="231F20"/>
          <w:spacing w:val="-5"/>
          <w:sz w:val="20"/>
        </w:rPr>
        <w:t xml:space="preserve"> </w:t>
      </w:r>
      <w:r>
        <w:rPr>
          <w:color w:val="231F20"/>
          <w:sz w:val="20"/>
        </w:rPr>
        <w:t>the</w:t>
      </w:r>
      <w:r>
        <w:rPr>
          <w:color w:val="231F20"/>
          <w:spacing w:val="-5"/>
          <w:sz w:val="20"/>
        </w:rPr>
        <w:t xml:space="preserve"> </w:t>
      </w:r>
      <w:r>
        <w:rPr>
          <w:color w:val="231F20"/>
          <w:spacing w:val="-6"/>
          <w:sz w:val="20"/>
        </w:rPr>
        <w:t>PBP,</w:t>
      </w:r>
      <w:r>
        <w:rPr>
          <w:color w:val="231F20"/>
          <w:spacing w:val="-5"/>
          <w:sz w:val="20"/>
        </w:rPr>
        <w:t xml:space="preserve"> </w:t>
      </w:r>
      <w:r>
        <w:rPr>
          <w:color w:val="231F20"/>
          <w:sz w:val="20"/>
        </w:rPr>
        <w:t>is</w:t>
      </w:r>
      <w:r>
        <w:rPr>
          <w:color w:val="231F20"/>
          <w:spacing w:val="-4"/>
          <w:sz w:val="20"/>
        </w:rPr>
        <w:t xml:space="preserve"> </w:t>
      </w:r>
      <w:r>
        <w:rPr>
          <w:color w:val="231F20"/>
          <w:sz w:val="20"/>
        </w:rPr>
        <w:t>difficult</w:t>
      </w:r>
      <w:r>
        <w:rPr>
          <w:color w:val="231F20"/>
          <w:spacing w:val="-5"/>
          <w:sz w:val="20"/>
        </w:rPr>
        <w:t xml:space="preserve"> </w:t>
      </w:r>
      <w:r>
        <w:rPr>
          <w:color w:val="231F20"/>
          <w:sz w:val="20"/>
        </w:rPr>
        <w:t>to</w:t>
      </w:r>
      <w:r>
        <w:rPr>
          <w:color w:val="231F20"/>
          <w:spacing w:val="-5"/>
          <w:sz w:val="20"/>
        </w:rPr>
        <w:t xml:space="preserve"> </w:t>
      </w:r>
      <w:r>
        <w:rPr>
          <w:color w:val="231F20"/>
          <w:sz w:val="20"/>
        </w:rPr>
        <w:t>access</w:t>
      </w:r>
      <w:r>
        <w:rPr>
          <w:color w:val="231F20"/>
          <w:spacing w:val="-5"/>
          <w:sz w:val="20"/>
        </w:rPr>
        <w:t xml:space="preserve"> </w:t>
      </w:r>
      <w:r>
        <w:rPr>
          <w:color w:val="231F20"/>
          <w:spacing w:val="-3"/>
          <w:sz w:val="20"/>
        </w:rPr>
        <w:t>from</w:t>
      </w:r>
      <w:r>
        <w:rPr>
          <w:color w:val="231F20"/>
          <w:spacing w:val="-5"/>
          <w:sz w:val="20"/>
        </w:rPr>
        <w:t xml:space="preserve"> </w:t>
      </w:r>
      <w:r>
        <w:rPr>
          <w:color w:val="231F20"/>
          <w:sz w:val="20"/>
        </w:rPr>
        <w:t>prison.</w:t>
      </w:r>
      <w:r>
        <w:rPr>
          <w:color w:val="231F20"/>
          <w:position w:val="7"/>
          <w:sz w:val="11"/>
        </w:rPr>
        <w:t>88</w:t>
      </w:r>
    </w:p>
    <w:p w14:paraId="3320C673" w14:textId="77777777" w:rsidR="00894070" w:rsidRDefault="009B7AFD">
      <w:pPr>
        <w:pStyle w:val="ListParagraph"/>
        <w:numPr>
          <w:ilvl w:val="1"/>
          <w:numId w:val="29"/>
        </w:numPr>
        <w:tabs>
          <w:tab w:val="left" w:pos="1801"/>
          <w:tab w:val="left" w:pos="1802"/>
        </w:tabs>
        <w:spacing w:before="80" w:line="206" w:lineRule="auto"/>
        <w:ind w:right="1478"/>
        <w:rPr>
          <w:sz w:val="11"/>
        </w:rPr>
      </w:pPr>
      <w:r>
        <w:rPr>
          <w:color w:val="231F20"/>
          <w:sz w:val="20"/>
        </w:rPr>
        <w:t xml:space="preserve">The availability of the PBP could be enhanced </w:t>
      </w:r>
      <w:r>
        <w:rPr>
          <w:color w:val="231F20"/>
          <w:spacing w:val="-3"/>
          <w:sz w:val="20"/>
        </w:rPr>
        <w:t xml:space="preserve">by </w:t>
      </w:r>
      <w:r>
        <w:rPr>
          <w:color w:val="231F20"/>
          <w:sz w:val="20"/>
        </w:rPr>
        <w:t xml:space="preserve">better funding. </w:t>
      </w:r>
      <w:r>
        <w:rPr>
          <w:color w:val="231F20"/>
          <w:spacing w:val="-5"/>
          <w:sz w:val="20"/>
        </w:rPr>
        <w:t xml:space="preserve">Currently, </w:t>
      </w:r>
      <w:r>
        <w:rPr>
          <w:color w:val="231F20"/>
          <w:sz w:val="20"/>
        </w:rPr>
        <w:t>the PBP is</w:t>
      </w:r>
      <w:r>
        <w:rPr>
          <w:color w:val="231F20"/>
          <w:spacing w:val="-9"/>
          <w:sz w:val="20"/>
        </w:rPr>
        <w:t xml:space="preserve"> </w:t>
      </w:r>
      <w:r>
        <w:rPr>
          <w:color w:val="231F20"/>
          <w:spacing w:val="-3"/>
          <w:sz w:val="20"/>
        </w:rPr>
        <w:t>inaccessible</w:t>
      </w:r>
      <w:r>
        <w:rPr>
          <w:color w:val="231F20"/>
          <w:spacing w:val="-8"/>
          <w:sz w:val="20"/>
        </w:rPr>
        <w:t xml:space="preserve"> </w:t>
      </w:r>
      <w:r>
        <w:rPr>
          <w:color w:val="231F20"/>
          <w:sz w:val="20"/>
        </w:rPr>
        <w:t>to</w:t>
      </w:r>
      <w:r>
        <w:rPr>
          <w:color w:val="231F20"/>
          <w:spacing w:val="-8"/>
          <w:sz w:val="20"/>
        </w:rPr>
        <w:t xml:space="preserve"> </w:t>
      </w:r>
      <w:r>
        <w:rPr>
          <w:color w:val="231F20"/>
          <w:sz w:val="20"/>
        </w:rPr>
        <w:t>people</w:t>
      </w:r>
      <w:r>
        <w:rPr>
          <w:color w:val="231F20"/>
          <w:spacing w:val="-8"/>
          <w:sz w:val="20"/>
        </w:rPr>
        <w:t xml:space="preserve"> </w:t>
      </w:r>
      <w:r>
        <w:rPr>
          <w:color w:val="231F20"/>
          <w:sz w:val="20"/>
        </w:rPr>
        <w:t>charged</w:t>
      </w:r>
      <w:r>
        <w:rPr>
          <w:color w:val="231F20"/>
          <w:spacing w:val="-8"/>
          <w:sz w:val="20"/>
        </w:rPr>
        <w:t xml:space="preserve"> </w:t>
      </w:r>
      <w:r>
        <w:rPr>
          <w:color w:val="231F20"/>
          <w:sz w:val="20"/>
        </w:rPr>
        <w:t>with</w:t>
      </w:r>
      <w:r>
        <w:rPr>
          <w:color w:val="231F20"/>
          <w:spacing w:val="-8"/>
          <w:sz w:val="20"/>
        </w:rPr>
        <w:t xml:space="preserve"> </w:t>
      </w:r>
      <w:r>
        <w:rPr>
          <w:color w:val="231F20"/>
          <w:sz w:val="20"/>
        </w:rPr>
        <w:t>stalking</w:t>
      </w:r>
      <w:r>
        <w:rPr>
          <w:color w:val="231F20"/>
          <w:spacing w:val="-8"/>
          <w:sz w:val="20"/>
        </w:rPr>
        <w:t xml:space="preserve"> </w:t>
      </w:r>
      <w:r>
        <w:rPr>
          <w:color w:val="231F20"/>
          <w:sz w:val="20"/>
        </w:rPr>
        <w:t>who</w:t>
      </w:r>
      <w:r>
        <w:rPr>
          <w:color w:val="231F20"/>
          <w:spacing w:val="-9"/>
          <w:sz w:val="20"/>
        </w:rPr>
        <w:t xml:space="preserve"> </w:t>
      </w:r>
      <w:r>
        <w:rPr>
          <w:color w:val="231F20"/>
          <w:spacing w:val="-3"/>
          <w:sz w:val="20"/>
        </w:rPr>
        <w:t>are</w:t>
      </w:r>
      <w:r>
        <w:rPr>
          <w:color w:val="231F20"/>
          <w:spacing w:val="-8"/>
          <w:sz w:val="20"/>
        </w:rPr>
        <w:t xml:space="preserve"> </w:t>
      </w:r>
      <w:r>
        <w:rPr>
          <w:color w:val="231F20"/>
          <w:sz w:val="20"/>
        </w:rPr>
        <w:t>either</w:t>
      </w:r>
      <w:r>
        <w:rPr>
          <w:color w:val="231F20"/>
          <w:spacing w:val="-8"/>
          <w:sz w:val="20"/>
        </w:rPr>
        <w:t xml:space="preserve"> </w:t>
      </w:r>
      <w:r>
        <w:rPr>
          <w:color w:val="231F20"/>
          <w:sz w:val="20"/>
        </w:rPr>
        <w:t>on</w:t>
      </w:r>
      <w:r>
        <w:rPr>
          <w:color w:val="231F20"/>
          <w:spacing w:val="-8"/>
          <w:sz w:val="20"/>
        </w:rPr>
        <w:t xml:space="preserve"> </w:t>
      </w:r>
      <w:r>
        <w:rPr>
          <w:color w:val="231F20"/>
          <w:sz w:val="20"/>
        </w:rPr>
        <w:t>remand</w:t>
      </w:r>
      <w:r>
        <w:rPr>
          <w:color w:val="231F20"/>
          <w:spacing w:val="-8"/>
          <w:sz w:val="20"/>
        </w:rPr>
        <w:t xml:space="preserve"> </w:t>
      </w:r>
      <w:r>
        <w:rPr>
          <w:color w:val="231F20"/>
          <w:sz w:val="20"/>
        </w:rPr>
        <w:t>in</w:t>
      </w:r>
      <w:r>
        <w:rPr>
          <w:color w:val="231F20"/>
          <w:spacing w:val="-8"/>
          <w:sz w:val="20"/>
        </w:rPr>
        <w:t xml:space="preserve"> </w:t>
      </w:r>
      <w:r>
        <w:rPr>
          <w:color w:val="231F20"/>
          <w:sz w:val="20"/>
        </w:rPr>
        <w:t xml:space="preserve">custody or on bail in the </w:t>
      </w:r>
      <w:r>
        <w:rPr>
          <w:color w:val="231F20"/>
          <w:spacing w:val="-3"/>
          <w:sz w:val="20"/>
        </w:rPr>
        <w:t xml:space="preserve">community. </w:t>
      </w:r>
      <w:r>
        <w:rPr>
          <w:color w:val="231F20"/>
          <w:sz w:val="20"/>
        </w:rPr>
        <w:t xml:space="preserve">The PBP is also not available </w:t>
      </w:r>
      <w:r>
        <w:rPr>
          <w:color w:val="231F20"/>
          <w:spacing w:val="-3"/>
          <w:sz w:val="20"/>
        </w:rPr>
        <w:t xml:space="preserve">for </w:t>
      </w:r>
      <w:r>
        <w:rPr>
          <w:color w:val="231F20"/>
          <w:sz w:val="20"/>
        </w:rPr>
        <w:t xml:space="preserve">individuals who </w:t>
      </w:r>
      <w:r>
        <w:rPr>
          <w:color w:val="231F20"/>
          <w:spacing w:val="-3"/>
          <w:sz w:val="20"/>
        </w:rPr>
        <w:t xml:space="preserve">are </w:t>
      </w:r>
      <w:r>
        <w:rPr>
          <w:color w:val="231F20"/>
          <w:sz w:val="20"/>
        </w:rPr>
        <w:t xml:space="preserve">on </w:t>
      </w:r>
      <w:r>
        <w:rPr>
          <w:color w:val="231F20"/>
          <w:spacing w:val="-3"/>
          <w:sz w:val="20"/>
        </w:rPr>
        <w:t xml:space="preserve">parole, </w:t>
      </w:r>
      <w:r>
        <w:rPr>
          <w:color w:val="231F20"/>
          <w:sz w:val="20"/>
        </w:rPr>
        <w:t>or post-sentence.</w:t>
      </w:r>
      <w:r>
        <w:rPr>
          <w:color w:val="231F20"/>
          <w:position w:val="7"/>
          <w:sz w:val="11"/>
        </w:rPr>
        <w:t xml:space="preserve">89 </w:t>
      </w:r>
      <w:r>
        <w:rPr>
          <w:color w:val="231F20"/>
          <w:spacing w:val="-3"/>
          <w:sz w:val="20"/>
        </w:rPr>
        <w:t xml:space="preserve">Forensicare </w:t>
      </w:r>
      <w:r>
        <w:rPr>
          <w:color w:val="231F20"/>
          <w:sz w:val="20"/>
        </w:rPr>
        <w:t xml:space="preserve">said that more funding </w:t>
      </w:r>
      <w:r>
        <w:rPr>
          <w:color w:val="231F20"/>
          <w:spacing w:val="-3"/>
          <w:sz w:val="20"/>
        </w:rPr>
        <w:t xml:space="preserve">for </w:t>
      </w:r>
      <w:r>
        <w:rPr>
          <w:color w:val="231F20"/>
          <w:sz w:val="20"/>
        </w:rPr>
        <w:t xml:space="preserve">in-reach services </w:t>
      </w:r>
      <w:r>
        <w:rPr>
          <w:color w:val="231F20"/>
          <w:spacing w:val="-3"/>
          <w:sz w:val="20"/>
        </w:rPr>
        <w:t xml:space="preserve">from </w:t>
      </w:r>
      <w:r>
        <w:rPr>
          <w:color w:val="231F20"/>
          <w:sz w:val="20"/>
        </w:rPr>
        <w:t xml:space="preserve">the PBP could enable </w:t>
      </w:r>
      <w:r>
        <w:rPr>
          <w:color w:val="231F20"/>
          <w:spacing w:val="-3"/>
          <w:sz w:val="20"/>
        </w:rPr>
        <w:t xml:space="preserve">Forensicare </w:t>
      </w:r>
      <w:r>
        <w:rPr>
          <w:color w:val="231F20"/>
          <w:sz w:val="20"/>
        </w:rPr>
        <w:t xml:space="preserve">to </w:t>
      </w:r>
      <w:r>
        <w:rPr>
          <w:color w:val="231F20"/>
          <w:spacing w:val="-3"/>
          <w:sz w:val="20"/>
        </w:rPr>
        <w:t xml:space="preserve">provide </w:t>
      </w:r>
      <w:r>
        <w:rPr>
          <w:color w:val="231F20"/>
          <w:sz w:val="20"/>
        </w:rPr>
        <w:t xml:space="preserve">assessment and </w:t>
      </w:r>
      <w:r>
        <w:rPr>
          <w:color w:val="231F20"/>
          <w:spacing w:val="-3"/>
          <w:sz w:val="20"/>
        </w:rPr>
        <w:t xml:space="preserve">treatment </w:t>
      </w:r>
      <w:r>
        <w:rPr>
          <w:color w:val="231F20"/>
          <w:sz w:val="20"/>
        </w:rPr>
        <w:t>in prison.</w:t>
      </w:r>
      <w:r>
        <w:rPr>
          <w:color w:val="231F20"/>
          <w:position w:val="7"/>
          <w:sz w:val="11"/>
        </w:rPr>
        <w:t>90</w:t>
      </w:r>
    </w:p>
    <w:p w14:paraId="0B6A01E6" w14:textId="77777777" w:rsidR="00894070" w:rsidRDefault="009B7AFD">
      <w:pPr>
        <w:pStyle w:val="ListParagraph"/>
        <w:numPr>
          <w:ilvl w:val="1"/>
          <w:numId w:val="29"/>
        </w:numPr>
        <w:tabs>
          <w:tab w:val="left" w:pos="1801"/>
          <w:tab w:val="left" w:pos="1802"/>
        </w:tabs>
        <w:spacing w:before="128" w:line="206" w:lineRule="auto"/>
        <w:ind w:right="1448"/>
        <w:rPr>
          <w:sz w:val="20"/>
        </w:rPr>
      </w:pPr>
      <w:r>
        <w:rPr>
          <w:color w:val="231F20"/>
          <w:spacing w:val="-6"/>
          <w:sz w:val="20"/>
        </w:rPr>
        <w:t xml:space="preserve">We </w:t>
      </w:r>
      <w:r>
        <w:rPr>
          <w:color w:val="231F20"/>
          <w:spacing w:val="-4"/>
          <w:sz w:val="20"/>
        </w:rPr>
        <w:t xml:space="preserve">were </w:t>
      </w:r>
      <w:r>
        <w:rPr>
          <w:color w:val="231F20"/>
          <w:spacing w:val="-3"/>
          <w:sz w:val="20"/>
        </w:rPr>
        <w:t xml:space="preserve">told </w:t>
      </w:r>
      <w:r>
        <w:rPr>
          <w:color w:val="231F20"/>
          <w:sz w:val="20"/>
        </w:rPr>
        <w:t xml:space="preserve">there </w:t>
      </w:r>
      <w:r>
        <w:rPr>
          <w:color w:val="231F20"/>
          <w:spacing w:val="-3"/>
          <w:sz w:val="20"/>
        </w:rPr>
        <w:t xml:space="preserve">are </w:t>
      </w:r>
      <w:r>
        <w:rPr>
          <w:color w:val="231F20"/>
          <w:sz w:val="20"/>
        </w:rPr>
        <w:t xml:space="preserve">not enough services in the pre-sentence and </w:t>
      </w:r>
      <w:r>
        <w:rPr>
          <w:color w:val="231F20"/>
          <w:spacing w:val="-3"/>
          <w:sz w:val="20"/>
        </w:rPr>
        <w:t xml:space="preserve">post-release </w:t>
      </w:r>
      <w:r>
        <w:rPr>
          <w:color w:val="231F20"/>
          <w:sz w:val="20"/>
        </w:rPr>
        <w:t xml:space="preserve">contexts to support those who stalk to manage their </w:t>
      </w:r>
      <w:r>
        <w:rPr>
          <w:color w:val="231F20"/>
          <w:spacing w:val="-3"/>
          <w:sz w:val="20"/>
        </w:rPr>
        <w:t>behaviour.</w:t>
      </w:r>
      <w:r>
        <w:rPr>
          <w:color w:val="231F20"/>
          <w:spacing w:val="-3"/>
          <w:position w:val="7"/>
          <w:sz w:val="11"/>
        </w:rPr>
        <w:t xml:space="preserve">91 </w:t>
      </w:r>
      <w:r>
        <w:rPr>
          <w:color w:val="231F20"/>
          <w:sz w:val="20"/>
        </w:rPr>
        <w:t>It is also unclear whether</w:t>
      </w:r>
      <w:r>
        <w:rPr>
          <w:color w:val="231F20"/>
          <w:spacing w:val="-10"/>
          <w:sz w:val="20"/>
        </w:rPr>
        <w:t xml:space="preserve"> </w:t>
      </w:r>
      <w:r>
        <w:rPr>
          <w:color w:val="231F20"/>
          <w:sz w:val="20"/>
        </w:rPr>
        <w:t>programs</w:t>
      </w:r>
      <w:r>
        <w:rPr>
          <w:color w:val="231F20"/>
          <w:spacing w:val="-10"/>
          <w:sz w:val="20"/>
        </w:rPr>
        <w:t xml:space="preserve"> </w:t>
      </w:r>
      <w:r>
        <w:rPr>
          <w:color w:val="231F20"/>
          <w:sz w:val="20"/>
        </w:rPr>
        <w:t>in</w:t>
      </w:r>
      <w:r>
        <w:rPr>
          <w:color w:val="231F20"/>
          <w:spacing w:val="-10"/>
          <w:sz w:val="20"/>
        </w:rPr>
        <w:t xml:space="preserve"> </w:t>
      </w:r>
      <w:r>
        <w:rPr>
          <w:color w:val="231F20"/>
          <w:sz w:val="20"/>
        </w:rPr>
        <w:t>prison</w:t>
      </w:r>
      <w:r>
        <w:rPr>
          <w:color w:val="231F20"/>
          <w:spacing w:val="-10"/>
          <w:sz w:val="20"/>
        </w:rPr>
        <w:t xml:space="preserve"> </w:t>
      </w:r>
      <w:r>
        <w:rPr>
          <w:color w:val="231F20"/>
          <w:spacing w:val="-3"/>
          <w:sz w:val="20"/>
        </w:rPr>
        <w:t>are</w:t>
      </w:r>
      <w:r>
        <w:rPr>
          <w:color w:val="231F20"/>
          <w:spacing w:val="-9"/>
          <w:sz w:val="20"/>
        </w:rPr>
        <w:t xml:space="preserve"> </w:t>
      </w:r>
      <w:r>
        <w:rPr>
          <w:color w:val="231F20"/>
          <w:sz w:val="20"/>
        </w:rPr>
        <w:t>suitable</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people</w:t>
      </w:r>
      <w:r>
        <w:rPr>
          <w:color w:val="231F20"/>
          <w:spacing w:val="-10"/>
          <w:sz w:val="20"/>
        </w:rPr>
        <w:t xml:space="preserve"> </w:t>
      </w:r>
      <w:r>
        <w:rPr>
          <w:color w:val="231F20"/>
          <w:sz w:val="20"/>
        </w:rPr>
        <w:t>who</w:t>
      </w:r>
      <w:r>
        <w:rPr>
          <w:color w:val="231F20"/>
          <w:spacing w:val="-9"/>
          <w:sz w:val="20"/>
        </w:rPr>
        <w:t xml:space="preserve"> </w:t>
      </w:r>
      <w:r>
        <w:rPr>
          <w:color w:val="231F20"/>
          <w:sz w:val="20"/>
        </w:rPr>
        <w:t>stalk,</w:t>
      </w:r>
      <w:r>
        <w:rPr>
          <w:color w:val="231F20"/>
          <w:spacing w:val="-10"/>
          <w:sz w:val="20"/>
        </w:rPr>
        <w:t xml:space="preserve"> </w:t>
      </w:r>
      <w:r>
        <w:rPr>
          <w:color w:val="231F20"/>
          <w:sz w:val="20"/>
        </w:rPr>
        <w:t>if</w:t>
      </w:r>
      <w:r>
        <w:rPr>
          <w:color w:val="231F20"/>
          <w:spacing w:val="-10"/>
          <w:sz w:val="20"/>
        </w:rPr>
        <w:t xml:space="preserve"> </w:t>
      </w:r>
      <w:r>
        <w:rPr>
          <w:color w:val="231F20"/>
          <w:sz w:val="20"/>
        </w:rPr>
        <w:t>their</w:t>
      </w:r>
      <w:r>
        <w:rPr>
          <w:color w:val="231F20"/>
          <w:spacing w:val="-10"/>
          <w:sz w:val="20"/>
        </w:rPr>
        <w:t xml:space="preserve"> </w:t>
      </w:r>
      <w:r>
        <w:rPr>
          <w:color w:val="231F20"/>
          <w:sz w:val="20"/>
        </w:rPr>
        <w:t>behaviour</w:t>
      </w:r>
      <w:r>
        <w:rPr>
          <w:color w:val="231F20"/>
          <w:spacing w:val="-9"/>
          <w:sz w:val="20"/>
        </w:rPr>
        <w:t xml:space="preserve"> </w:t>
      </w:r>
      <w:r>
        <w:rPr>
          <w:color w:val="231F20"/>
          <w:sz w:val="20"/>
        </w:rPr>
        <w:t>does</w:t>
      </w:r>
    </w:p>
    <w:p w14:paraId="7CD7790B" w14:textId="77777777" w:rsidR="00894070" w:rsidRDefault="009F6793">
      <w:pPr>
        <w:pStyle w:val="BodyText"/>
        <w:spacing w:before="11"/>
        <w:rPr>
          <w:sz w:val="15"/>
        </w:rPr>
      </w:pPr>
      <w:r>
        <w:pict w14:anchorId="48B79FA8">
          <v:line id="_x0000_s1079" style="position:absolute;z-index:251773952;mso-wrap-distance-left:0;mso-wrap-distance-right:0;mso-position-horizontal-relative:page" from="79.35pt,13.45pt" to="515.9pt,13.45pt" strokecolor="#f8cabc" strokeweight="1pt">
            <w10:wrap type="topAndBottom" anchorx="page"/>
          </v:line>
        </w:pict>
      </w:r>
    </w:p>
    <w:p w14:paraId="714B8671" w14:textId="77777777" w:rsidR="00894070" w:rsidRDefault="00894070">
      <w:pPr>
        <w:pStyle w:val="BodyText"/>
        <w:rPr>
          <w:sz w:val="5"/>
        </w:rPr>
      </w:pPr>
    </w:p>
    <w:p w14:paraId="7971892B" w14:textId="77777777" w:rsidR="00894070" w:rsidRDefault="00894070">
      <w:pPr>
        <w:rPr>
          <w:sz w:val="5"/>
        </w:rPr>
        <w:sectPr w:rsidR="00894070">
          <w:pgSz w:w="11910" w:h="16840"/>
          <w:pgMar w:top="840" w:right="420" w:bottom="280" w:left="580" w:header="0" w:footer="0" w:gutter="0"/>
          <w:cols w:space="720"/>
        </w:sectPr>
      </w:pPr>
    </w:p>
    <w:p w14:paraId="13A83B06" w14:textId="77777777" w:rsidR="00894070" w:rsidRDefault="009B7AFD">
      <w:pPr>
        <w:pStyle w:val="ListParagraph"/>
        <w:numPr>
          <w:ilvl w:val="0"/>
          <w:numId w:val="25"/>
        </w:numPr>
        <w:tabs>
          <w:tab w:val="left" w:pos="1801"/>
          <w:tab w:val="left" w:pos="1802"/>
        </w:tabs>
        <w:spacing w:before="21" w:line="170" w:lineRule="exact"/>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3"/>
          <w:sz w:val="13"/>
        </w:rPr>
        <w:t xml:space="preserve"> </w:t>
      </w:r>
      <w:r>
        <w:rPr>
          <w:color w:val="231F20"/>
          <w:sz w:val="13"/>
        </w:rPr>
        <w:t>Party).</w:t>
      </w:r>
    </w:p>
    <w:p w14:paraId="37ED0728" w14:textId="77777777" w:rsidR="00894070" w:rsidRDefault="009B7AFD">
      <w:pPr>
        <w:pStyle w:val="ListParagraph"/>
        <w:numPr>
          <w:ilvl w:val="0"/>
          <w:numId w:val="25"/>
        </w:numPr>
        <w:tabs>
          <w:tab w:val="left" w:pos="1801"/>
          <w:tab w:val="left" w:pos="1802"/>
        </w:tabs>
        <w:spacing w:line="160" w:lineRule="exact"/>
        <w:jc w:val="left"/>
        <w:rPr>
          <w:sz w:val="13"/>
        </w:rPr>
      </w:pPr>
      <w:r>
        <w:rPr>
          <w:color w:val="231F20"/>
          <w:spacing w:val="2"/>
          <w:sz w:val="13"/>
        </w:rPr>
        <w:t xml:space="preserve">Submission </w:t>
      </w:r>
      <w:r>
        <w:rPr>
          <w:color w:val="231F20"/>
          <w:sz w:val="13"/>
        </w:rPr>
        <w:t>98 (Law Institute of Victoria); Consultation 13 (Victoria Legal</w:t>
      </w:r>
      <w:r>
        <w:rPr>
          <w:color w:val="231F20"/>
          <w:spacing w:val="7"/>
          <w:sz w:val="13"/>
        </w:rPr>
        <w:t xml:space="preserve"> </w:t>
      </w:r>
      <w:r>
        <w:rPr>
          <w:color w:val="231F20"/>
          <w:sz w:val="13"/>
        </w:rPr>
        <w:t>Aid).</w:t>
      </w:r>
    </w:p>
    <w:p w14:paraId="1B38694B" w14:textId="77777777" w:rsidR="00894070" w:rsidRDefault="009B7AFD">
      <w:pPr>
        <w:pStyle w:val="ListParagraph"/>
        <w:numPr>
          <w:ilvl w:val="0"/>
          <w:numId w:val="25"/>
        </w:numPr>
        <w:tabs>
          <w:tab w:val="left" w:pos="1800"/>
          <w:tab w:val="left" w:pos="1802"/>
        </w:tabs>
        <w:spacing w:before="7" w:line="213" w:lineRule="auto"/>
        <w:ind w:right="14"/>
        <w:jc w:val="left"/>
        <w:rPr>
          <w:sz w:val="13"/>
        </w:rPr>
      </w:pPr>
      <w:r>
        <w:rPr>
          <w:color w:val="231F20"/>
          <w:spacing w:val="2"/>
          <w:sz w:val="13"/>
        </w:rPr>
        <w:t xml:space="preserve">Submission </w:t>
      </w:r>
      <w:r>
        <w:rPr>
          <w:color w:val="231F20"/>
          <w:sz w:val="13"/>
        </w:rPr>
        <w:t xml:space="preserve">32 (Centre for Forensic Behavioural Science); 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February</w:t>
      </w:r>
      <w:r>
        <w:rPr>
          <w:color w:val="231F20"/>
          <w:spacing w:val="2"/>
          <w:sz w:val="13"/>
        </w:rPr>
        <w:t xml:space="preserve"> </w:t>
      </w:r>
      <w:r>
        <w:rPr>
          <w:color w:val="231F20"/>
          <w:sz w:val="13"/>
        </w:rPr>
        <w:t>2022).</w:t>
      </w:r>
    </w:p>
    <w:p w14:paraId="5E2C1AF7" w14:textId="77777777" w:rsidR="00894070" w:rsidRDefault="009B7AFD">
      <w:pPr>
        <w:pStyle w:val="ListParagraph"/>
        <w:numPr>
          <w:ilvl w:val="0"/>
          <w:numId w:val="25"/>
        </w:numPr>
        <w:tabs>
          <w:tab w:val="left" w:pos="1800"/>
          <w:tab w:val="left" w:pos="1802"/>
        </w:tabs>
        <w:spacing w:line="153" w:lineRule="exact"/>
        <w:jc w:val="left"/>
        <w:rPr>
          <w:sz w:val="13"/>
        </w:rPr>
      </w:pPr>
      <w:r>
        <w:rPr>
          <w:color w:val="231F20"/>
          <w:sz w:val="13"/>
        </w:rPr>
        <w:t>Consultation 15 (Forensicare (No</w:t>
      </w:r>
      <w:r>
        <w:rPr>
          <w:color w:val="231F20"/>
          <w:spacing w:val="1"/>
          <w:sz w:val="13"/>
        </w:rPr>
        <w:t xml:space="preserve"> </w:t>
      </w:r>
      <w:r>
        <w:rPr>
          <w:color w:val="231F20"/>
          <w:sz w:val="13"/>
        </w:rPr>
        <w:t>1)).</w:t>
      </w:r>
    </w:p>
    <w:p w14:paraId="5D1362D3" w14:textId="77777777" w:rsidR="00894070" w:rsidRDefault="009B7AFD">
      <w:pPr>
        <w:pStyle w:val="ListParagraph"/>
        <w:numPr>
          <w:ilvl w:val="0"/>
          <w:numId w:val="25"/>
        </w:numPr>
        <w:tabs>
          <w:tab w:val="left" w:pos="1801"/>
          <w:tab w:val="left" w:pos="1802"/>
        </w:tabs>
        <w:spacing w:before="6" w:line="213" w:lineRule="auto"/>
        <w:ind w:right="206"/>
        <w:jc w:val="left"/>
        <w:rPr>
          <w:sz w:val="13"/>
        </w:rPr>
      </w:pPr>
      <w:r>
        <w:rPr>
          <w:color w:val="231F20"/>
          <w:spacing w:val="2"/>
          <w:sz w:val="13"/>
        </w:rPr>
        <w:t xml:space="preserve">Department </w:t>
      </w:r>
      <w:r>
        <w:rPr>
          <w:color w:val="231F20"/>
          <w:sz w:val="13"/>
        </w:rPr>
        <w:t xml:space="preserve">of Social </w:t>
      </w:r>
      <w:r>
        <w:rPr>
          <w:color w:val="231F20"/>
          <w:spacing w:val="2"/>
          <w:sz w:val="13"/>
        </w:rPr>
        <w:t xml:space="preserve">Services </w:t>
      </w:r>
      <w:r>
        <w:rPr>
          <w:color w:val="231F20"/>
          <w:sz w:val="13"/>
        </w:rPr>
        <w:t xml:space="preserve">(Cth), </w:t>
      </w:r>
      <w:r>
        <w:rPr>
          <w:i/>
          <w:color w:val="231F20"/>
          <w:sz w:val="13"/>
        </w:rPr>
        <w:t xml:space="preserve">National Outcome Standards for Perpetrator Interventions </w:t>
      </w:r>
      <w:r>
        <w:rPr>
          <w:color w:val="231F20"/>
          <w:spacing w:val="2"/>
          <w:sz w:val="13"/>
        </w:rPr>
        <w:t xml:space="preserve">(Baseline report </w:t>
      </w:r>
      <w:r>
        <w:rPr>
          <w:color w:val="231F20"/>
          <w:sz w:val="13"/>
        </w:rPr>
        <w:t>2015–16, 21 November 2015).</w:t>
      </w:r>
    </w:p>
    <w:p w14:paraId="4BC32479" w14:textId="77777777" w:rsidR="00894070" w:rsidRDefault="009B7AFD">
      <w:pPr>
        <w:pStyle w:val="ListParagraph"/>
        <w:numPr>
          <w:ilvl w:val="0"/>
          <w:numId w:val="25"/>
        </w:numPr>
        <w:tabs>
          <w:tab w:val="left" w:pos="1800"/>
          <w:tab w:val="left" w:pos="1802"/>
        </w:tabs>
        <w:spacing w:line="213" w:lineRule="auto"/>
        <w:jc w:val="left"/>
        <w:rPr>
          <w:sz w:val="13"/>
        </w:rPr>
      </w:pPr>
      <w:r>
        <w:rPr>
          <w:color w:val="231F20"/>
          <w:sz w:val="13"/>
        </w:rPr>
        <w:t xml:space="preserve">Elena </w:t>
      </w:r>
      <w:r>
        <w:rPr>
          <w:color w:val="231F20"/>
          <w:spacing w:val="2"/>
          <w:sz w:val="13"/>
        </w:rPr>
        <w:t xml:space="preserve">Campbell, </w:t>
      </w:r>
      <w:r>
        <w:rPr>
          <w:color w:val="231F20"/>
          <w:sz w:val="13"/>
        </w:rPr>
        <w:t xml:space="preserve">Centre for Innovative Justice, RMIT University, </w:t>
      </w:r>
      <w:r>
        <w:rPr>
          <w:i/>
          <w:color w:val="231F20"/>
          <w:sz w:val="13"/>
        </w:rPr>
        <w:t xml:space="preserve">Integrating the Indefensible—What Role Should the Community Play? </w:t>
      </w:r>
      <w:r>
        <w:rPr>
          <w:color w:val="231F20"/>
          <w:sz w:val="13"/>
        </w:rPr>
        <w:t xml:space="preserve">(Issues Paper, </w:t>
      </w:r>
      <w:r>
        <w:rPr>
          <w:color w:val="231F20"/>
          <w:spacing w:val="2"/>
          <w:sz w:val="13"/>
        </w:rPr>
        <w:t>December</w:t>
      </w:r>
      <w:r>
        <w:rPr>
          <w:color w:val="231F20"/>
          <w:sz w:val="13"/>
        </w:rPr>
        <w:t xml:space="preserve"> 2017).</w:t>
      </w:r>
    </w:p>
    <w:p w14:paraId="185B1E69" w14:textId="77777777" w:rsidR="00894070" w:rsidRDefault="009B7AFD">
      <w:pPr>
        <w:pStyle w:val="ListParagraph"/>
        <w:numPr>
          <w:ilvl w:val="0"/>
          <w:numId w:val="25"/>
        </w:numPr>
        <w:tabs>
          <w:tab w:val="left" w:pos="1801"/>
          <w:tab w:val="left" w:pos="1802"/>
        </w:tabs>
        <w:spacing w:line="153" w:lineRule="exact"/>
        <w:jc w:val="left"/>
        <w:rPr>
          <w:sz w:val="13"/>
        </w:rPr>
      </w:pPr>
      <w:r>
        <w:rPr>
          <w:color w:val="231F20"/>
          <w:sz w:val="13"/>
        </w:rPr>
        <w:t xml:space="preserve">Corrective </w:t>
      </w:r>
      <w:r>
        <w:rPr>
          <w:color w:val="231F20"/>
          <w:spacing w:val="2"/>
          <w:sz w:val="13"/>
        </w:rPr>
        <w:t xml:space="preserve">Services </w:t>
      </w:r>
      <w:r>
        <w:rPr>
          <w:color w:val="231F20"/>
          <w:sz w:val="13"/>
        </w:rPr>
        <w:t xml:space="preserve">Administrators’ Council (Cth), </w:t>
      </w:r>
      <w:r>
        <w:rPr>
          <w:i/>
          <w:color w:val="231F20"/>
          <w:spacing w:val="2"/>
          <w:sz w:val="13"/>
        </w:rPr>
        <w:t xml:space="preserve">Guiding </w:t>
      </w:r>
      <w:r>
        <w:rPr>
          <w:i/>
          <w:color w:val="231F20"/>
          <w:sz w:val="13"/>
        </w:rPr>
        <w:t xml:space="preserve">Principles for Corrections in Australia </w:t>
      </w:r>
      <w:r>
        <w:rPr>
          <w:color w:val="231F20"/>
          <w:spacing w:val="2"/>
          <w:sz w:val="13"/>
        </w:rPr>
        <w:t>(Guidelines,</w:t>
      </w:r>
      <w:r>
        <w:rPr>
          <w:color w:val="231F20"/>
          <w:spacing w:val="28"/>
          <w:sz w:val="13"/>
        </w:rPr>
        <w:t xml:space="preserve"> </w:t>
      </w:r>
      <w:r>
        <w:rPr>
          <w:color w:val="231F20"/>
          <w:sz w:val="13"/>
        </w:rPr>
        <w:t>2018).</w:t>
      </w:r>
    </w:p>
    <w:p w14:paraId="7AAA5D8F" w14:textId="77777777" w:rsidR="00894070" w:rsidRDefault="009B7AFD">
      <w:pPr>
        <w:pStyle w:val="ListParagraph"/>
        <w:numPr>
          <w:ilvl w:val="0"/>
          <w:numId w:val="25"/>
        </w:numPr>
        <w:tabs>
          <w:tab w:val="left" w:pos="1801"/>
          <w:tab w:val="left" w:pos="1802"/>
        </w:tabs>
        <w:spacing w:line="160" w:lineRule="exact"/>
        <w:jc w:val="left"/>
        <w:rPr>
          <w:sz w:val="13"/>
        </w:rPr>
      </w:pPr>
      <w:r>
        <w:rPr>
          <w:color w:val="231F20"/>
          <w:sz w:val="13"/>
        </w:rPr>
        <w:t>Ibid.</w:t>
      </w:r>
    </w:p>
    <w:p w14:paraId="74D438B9" w14:textId="77777777" w:rsidR="00894070" w:rsidRDefault="009B7AFD">
      <w:pPr>
        <w:pStyle w:val="ListParagraph"/>
        <w:numPr>
          <w:ilvl w:val="0"/>
          <w:numId w:val="25"/>
        </w:numPr>
        <w:tabs>
          <w:tab w:val="left" w:pos="1800"/>
          <w:tab w:val="left" w:pos="1802"/>
        </w:tabs>
        <w:spacing w:before="5" w:line="213" w:lineRule="auto"/>
        <w:ind w:right="35"/>
        <w:jc w:val="left"/>
        <w:rPr>
          <w:sz w:val="13"/>
        </w:rPr>
      </w:pPr>
      <w:r>
        <w:rPr>
          <w:color w:val="231F20"/>
          <w:sz w:val="13"/>
        </w:rPr>
        <w:t xml:space="preserve">Corrections Victoria, ‘Transition and Reintegration Unit Brochures’, </w:t>
      </w:r>
      <w:r>
        <w:rPr>
          <w:i/>
          <w:color w:val="231F20"/>
          <w:sz w:val="13"/>
        </w:rPr>
        <w:t xml:space="preserve">Corrections, Prisons and Parole </w:t>
      </w:r>
      <w:r>
        <w:rPr>
          <w:color w:val="231F20"/>
          <w:sz w:val="13"/>
        </w:rPr>
        <w:t>(Web Pag</w:t>
      </w:r>
      <w:hyperlink r:id="rId196">
        <w:r>
          <w:rPr>
            <w:color w:val="231F20"/>
            <w:sz w:val="13"/>
          </w:rPr>
          <w:t>e) &lt;https://www.</w:t>
        </w:r>
      </w:hyperlink>
      <w:hyperlink r:id="rId197">
        <w:r>
          <w:rPr>
            <w:color w:val="231F20"/>
            <w:sz w:val="13"/>
          </w:rPr>
          <w:t xml:space="preserve"> corrections.vic.gov.au/transition-and-reintegration-unit-brochures</w:t>
        </w:r>
      </w:hyperlink>
      <w:r>
        <w:rPr>
          <w:color w:val="231F20"/>
          <w:sz w:val="13"/>
        </w:rPr>
        <w:t>&gt;.</w:t>
      </w:r>
    </w:p>
    <w:p w14:paraId="0C910221" w14:textId="77777777" w:rsidR="00894070" w:rsidRDefault="009B7AFD">
      <w:pPr>
        <w:pStyle w:val="ListParagraph"/>
        <w:numPr>
          <w:ilvl w:val="0"/>
          <w:numId w:val="25"/>
        </w:numPr>
        <w:tabs>
          <w:tab w:val="left" w:pos="1801"/>
          <w:tab w:val="left" w:pos="1802"/>
        </w:tabs>
        <w:spacing w:line="213" w:lineRule="auto"/>
        <w:ind w:right="65"/>
        <w:jc w:val="left"/>
        <w:rPr>
          <w:sz w:val="13"/>
        </w:rPr>
      </w:pPr>
      <w:r>
        <w:rPr>
          <w:color w:val="231F20"/>
          <w:sz w:val="13"/>
        </w:rPr>
        <w:t>Consultation 15 (Forensicare (No 1)); Kritika Jerath, Lisa Tompson and Jyoti Belur, ‘Treating and Managing Stalking Offenders: Findings</w:t>
      </w:r>
      <w:r>
        <w:rPr>
          <w:color w:val="231F20"/>
          <w:spacing w:val="5"/>
          <w:sz w:val="13"/>
        </w:rPr>
        <w:t xml:space="preserve"> </w:t>
      </w:r>
      <w:r>
        <w:rPr>
          <w:color w:val="231F20"/>
          <w:sz w:val="13"/>
        </w:rPr>
        <w:t>from</w:t>
      </w:r>
      <w:r>
        <w:rPr>
          <w:color w:val="231F20"/>
          <w:spacing w:val="6"/>
          <w:sz w:val="13"/>
        </w:rPr>
        <w:t xml:space="preserve"> </w:t>
      </w:r>
      <w:r>
        <w:rPr>
          <w:color w:val="231F20"/>
          <w:sz w:val="13"/>
        </w:rPr>
        <w:t>a</w:t>
      </w:r>
      <w:r>
        <w:rPr>
          <w:color w:val="231F20"/>
          <w:spacing w:val="5"/>
          <w:sz w:val="13"/>
        </w:rPr>
        <w:t xml:space="preserve"> </w:t>
      </w:r>
      <w:r>
        <w:rPr>
          <w:color w:val="231F20"/>
          <w:sz w:val="13"/>
        </w:rPr>
        <w:t>Multi-Agency</w:t>
      </w:r>
      <w:r>
        <w:rPr>
          <w:color w:val="231F20"/>
          <w:spacing w:val="6"/>
          <w:sz w:val="13"/>
        </w:rPr>
        <w:t xml:space="preserve"> </w:t>
      </w:r>
      <w:r>
        <w:rPr>
          <w:color w:val="231F20"/>
          <w:sz w:val="13"/>
        </w:rPr>
        <w:t>Clinical</w:t>
      </w:r>
      <w:r>
        <w:rPr>
          <w:color w:val="231F20"/>
          <w:spacing w:val="5"/>
          <w:sz w:val="13"/>
        </w:rPr>
        <w:t xml:space="preserve"> </w:t>
      </w:r>
      <w:r>
        <w:rPr>
          <w:color w:val="231F20"/>
          <w:sz w:val="13"/>
        </w:rPr>
        <w:t>Intervention’</w:t>
      </w:r>
      <w:r>
        <w:rPr>
          <w:color w:val="231F20"/>
          <w:spacing w:val="6"/>
          <w:sz w:val="13"/>
        </w:rPr>
        <w:t xml:space="preserve"> </w:t>
      </w:r>
      <w:r>
        <w:rPr>
          <w:i/>
          <w:color w:val="231F20"/>
          <w:sz w:val="13"/>
        </w:rPr>
        <w:t>Psychology,</w:t>
      </w:r>
      <w:r>
        <w:rPr>
          <w:i/>
          <w:color w:val="231F20"/>
          <w:spacing w:val="5"/>
          <w:sz w:val="13"/>
        </w:rPr>
        <w:t xml:space="preserve"> </w:t>
      </w:r>
      <w:r>
        <w:rPr>
          <w:i/>
          <w:color w:val="231F20"/>
          <w:sz w:val="13"/>
        </w:rPr>
        <w:t>Crime</w:t>
      </w:r>
      <w:r>
        <w:rPr>
          <w:i/>
          <w:color w:val="231F20"/>
          <w:spacing w:val="5"/>
          <w:sz w:val="13"/>
        </w:rPr>
        <w:t xml:space="preserve"> </w:t>
      </w:r>
      <w:r>
        <w:rPr>
          <w:i/>
          <w:color w:val="231F20"/>
          <w:sz w:val="13"/>
        </w:rPr>
        <w:t>&amp;</w:t>
      </w:r>
      <w:r>
        <w:rPr>
          <w:i/>
          <w:color w:val="231F20"/>
          <w:spacing w:val="6"/>
          <w:sz w:val="13"/>
        </w:rPr>
        <w:t xml:space="preserve"> </w:t>
      </w:r>
      <w:r>
        <w:rPr>
          <w:i/>
          <w:color w:val="231F20"/>
          <w:sz w:val="13"/>
        </w:rPr>
        <w:t>Law</w:t>
      </w:r>
      <w:r>
        <w:rPr>
          <w:i/>
          <w:color w:val="231F20"/>
          <w:spacing w:val="5"/>
          <w:sz w:val="13"/>
        </w:rPr>
        <w:t xml:space="preserve"> </w:t>
      </w:r>
      <w:r>
        <w:rPr>
          <w:color w:val="231F20"/>
          <w:sz w:val="13"/>
        </w:rPr>
        <w:t>10.1080/1068316X.2022.2057981:1–25,</w:t>
      </w:r>
      <w:r>
        <w:rPr>
          <w:color w:val="231F20"/>
          <w:spacing w:val="6"/>
          <w:sz w:val="13"/>
        </w:rPr>
        <w:t xml:space="preserve"> </w:t>
      </w:r>
      <w:r>
        <w:rPr>
          <w:color w:val="231F20"/>
          <w:spacing w:val="3"/>
          <w:sz w:val="13"/>
        </w:rPr>
        <w:t>5.</w:t>
      </w:r>
    </w:p>
    <w:p w14:paraId="320B5546" w14:textId="77777777" w:rsidR="00894070" w:rsidRDefault="009B7AFD">
      <w:pPr>
        <w:pStyle w:val="ListParagraph"/>
        <w:numPr>
          <w:ilvl w:val="0"/>
          <w:numId w:val="25"/>
        </w:numPr>
        <w:tabs>
          <w:tab w:val="left" w:pos="1801"/>
          <w:tab w:val="left" w:pos="1802"/>
        </w:tabs>
        <w:spacing w:line="153" w:lineRule="exact"/>
        <w:jc w:val="left"/>
        <w:rPr>
          <w:sz w:val="13"/>
        </w:rPr>
      </w:pPr>
      <w:r>
        <w:rPr>
          <w:color w:val="231F20"/>
          <w:spacing w:val="2"/>
          <w:sz w:val="13"/>
        </w:rPr>
        <w:t xml:space="preserve">Submission </w:t>
      </w:r>
      <w:r>
        <w:rPr>
          <w:color w:val="231F20"/>
          <w:sz w:val="13"/>
        </w:rPr>
        <w:t xml:space="preserve">100 (Forensicare); 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December</w:t>
      </w:r>
      <w:r>
        <w:rPr>
          <w:color w:val="231F20"/>
          <w:spacing w:val="20"/>
          <w:sz w:val="13"/>
        </w:rPr>
        <w:t xml:space="preserve"> </w:t>
      </w:r>
      <w:r>
        <w:rPr>
          <w:color w:val="231F20"/>
          <w:sz w:val="13"/>
        </w:rPr>
        <w:t>2021).</w:t>
      </w:r>
    </w:p>
    <w:p w14:paraId="77D33B7D" w14:textId="77777777" w:rsidR="00894070" w:rsidRDefault="009B7AFD">
      <w:pPr>
        <w:pStyle w:val="ListParagraph"/>
        <w:numPr>
          <w:ilvl w:val="0"/>
          <w:numId w:val="25"/>
        </w:numPr>
        <w:tabs>
          <w:tab w:val="left" w:pos="1801"/>
          <w:tab w:val="left" w:pos="1802"/>
        </w:tabs>
        <w:spacing w:line="160" w:lineRule="exact"/>
        <w:jc w:val="left"/>
        <w:rPr>
          <w:sz w:val="13"/>
        </w:rPr>
      </w:pPr>
      <w:r>
        <w:rPr>
          <w:color w:val="231F20"/>
          <w:spacing w:val="2"/>
          <w:sz w:val="13"/>
        </w:rPr>
        <w:t xml:space="preserve">Submission </w:t>
      </w:r>
      <w:r>
        <w:rPr>
          <w:color w:val="231F20"/>
          <w:sz w:val="13"/>
        </w:rPr>
        <w:t>100</w:t>
      </w:r>
      <w:r>
        <w:rPr>
          <w:color w:val="231F20"/>
          <w:spacing w:val="-3"/>
          <w:sz w:val="13"/>
        </w:rPr>
        <w:t xml:space="preserve"> </w:t>
      </w:r>
      <w:r>
        <w:rPr>
          <w:color w:val="231F20"/>
          <w:sz w:val="13"/>
        </w:rPr>
        <w:t>(Forensicare).</w:t>
      </w:r>
    </w:p>
    <w:p w14:paraId="7D9E1B2C" w14:textId="77777777" w:rsidR="00894070" w:rsidRDefault="009B7AFD">
      <w:pPr>
        <w:pStyle w:val="ListParagraph"/>
        <w:numPr>
          <w:ilvl w:val="0"/>
          <w:numId w:val="25"/>
        </w:numPr>
        <w:tabs>
          <w:tab w:val="left" w:pos="1801"/>
          <w:tab w:val="left" w:pos="1802"/>
        </w:tabs>
        <w:spacing w:line="160" w:lineRule="exact"/>
        <w:jc w:val="left"/>
        <w:rPr>
          <w:sz w:val="13"/>
        </w:rPr>
      </w:pPr>
      <w:r>
        <w:rPr>
          <w:color w:val="231F20"/>
          <w:sz w:val="13"/>
        </w:rPr>
        <w:t>Ibid.</w:t>
      </w:r>
    </w:p>
    <w:p w14:paraId="3585756D" w14:textId="77777777" w:rsidR="00894070" w:rsidRDefault="009B7AFD">
      <w:pPr>
        <w:pStyle w:val="ListParagraph"/>
        <w:numPr>
          <w:ilvl w:val="0"/>
          <w:numId w:val="25"/>
        </w:numPr>
        <w:tabs>
          <w:tab w:val="left" w:pos="1801"/>
          <w:tab w:val="left" w:pos="1802"/>
        </w:tabs>
        <w:spacing w:line="160" w:lineRule="exact"/>
        <w:jc w:val="left"/>
        <w:rPr>
          <w:sz w:val="13"/>
        </w:rPr>
      </w:pPr>
      <w:r>
        <w:rPr>
          <w:color w:val="231F20"/>
          <w:sz w:val="13"/>
        </w:rPr>
        <w:t>Ibid.</w:t>
      </w:r>
    </w:p>
    <w:p w14:paraId="5BF6959C" w14:textId="77777777" w:rsidR="00894070" w:rsidRDefault="009B7AFD">
      <w:pPr>
        <w:pStyle w:val="ListParagraph"/>
        <w:numPr>
          <w:ilvl w:val="0"/>
          <w:numId w:val="25"/>
        </w:numPr>
        <w:tabs>
          <w:tab w:val="left" w:pos="1801"/>
          <w:tab w:val="left" w:pos="1802"/>
        </w:tabs>
        <w:spacing w:line="160" w:lineRule="exact"/>
        <w:jc w:val="left"/>
        <w:rPr>
          <w:sz w:val="13"/>
        </w:rPr>
      </w:pPr>
      <w:r>
        <w:rPr>
          <w:color w:val="231F20"/>
          <w:sz w:val="13"/>
        </w:rPr>
        <w:t>Consultation 15 (Forensicare (No</w:t>
      </w:r>
      <w:r>
        <w:rPr>
          <w:color w:val="231F20"/>
          <w:spacing w:val="1"/>
          <w:sz w:val="13"/>
        </w:rPr>
        <w:t xml:space="preserve"> </w:t>
      </w:r>
      <w:r>
        <w:rPr>
          <w:color w:val="231F20"/>
          <w:sz w:val="13"/>
        </w:rPr>
        <w:t>1)).</w:t>
      </w:r>
    </w:p>
    <w:p w14:paraId="1DD678A9" w14:textId="77777777" w:rsidR="00894070" w:rsidRDefault="009B7AFD">
      <w:pPr>
        <w:pStyle w:val="ListParagraph"/>
        <w:numPr>
          <w:ilvl w:val="0"/>
          <w:numId w:val="25"/>
        </w:numPr>
        <w:tabs>
          <w:tab w:val="left" w:pos="1800"/>
          <w:tab w:val="left" w:pos="1802"/>
        </w:tabs>
        <w:spacing w:line="170" w:lineRule="exact"/>
        <w:jc w:val="left"/>
        <w:rPr>
          <w:sz w:val="13"/>
        </w:rPr>
      </w:pPr>
      <w:r>
        <w:rPr>
          <w:color w:val="231F20"/>
          <w:spacing w:val="2"/>
          <w:sz w:val="13"/>
        </w:rPr>
        <w:t xml:space="preserve">Submission </w:t>
      </w:r>
      <w:r>
        <w:rPr>
          <w:color w:val="231F20"/>
          <w:sz w:val="13"/>
        </w:rPr>
        <w:t>32 (Centre for Forensic Behavioural Science); Consultation 33</w:t>
      </w:r>
      <w:r>
        <w:rPr>
          <w:color w:val="231F20"/>
          <w:spacing w:val="6"/>
          <w:sz w:val="13"/>
        </w:rPr>
        <w:t xml:space="preserve"> </w:t>
      </w:r>
      <w:r>
        <w:rPr>
          <w:color w:val="231F20"/>
          <w:sz w:val="13"/>
        </w:rPr>
        <w:t>(VACRO).</w:t>
      </w:r>
    </w:p>
    <w:p w14:paraId="47DFAFF4" w14:textId="77777777" w:rsidR="00894070" w:rsidRDefault="009B7AFD">
      <w:pPr>
        <w:pStyle w:val="BodyText"/>
        <w:rPr>
          <w:sz w:val="28"/>
        </w:rPr>
      </w:pPr>
      <w:r>
        <w:br w:type="column"/>
      </w:r>
    </w:p>
    <w:p w14:paraId="6B6E0532" w14:textId="77777777" w:rsidR="00894070" w:rsidRDefault="00894070">
      <w:pPr>
        <w:pStyle w:val="BodyText"/>
        <w:rPr>
          <w:sz w:val="28"/>
        </w:rPr>
      </w:pPr>
    </w:p>
    <w:p w14:paraId="76CA3C08" w14:textId="77777777" w:rsidR="00894070" w:rsidRDefault="00894070">
      <w:pPr>
        <w:pStyle w:val="BodyText"/>
        <w:rPr>
          <w:sz w:val="28"/>
        </w:rPr>
      </w:pPr>
    </w:p>
    <w:p w14:paraId="476DFC43" w14:textId="77777777" w:rsidR="00894070" w:rsidRDefault="00894070">
      <w:pPr>
        <w:pStyle w:val="BodyText"/>
        <w:rPr>
          <w:sz w:val="28"/>
        </w:rPr>
      </w:pPr>
    </w:p>
    <w:p w14:paraId="61736BD5" w14:textId="77777777" w:rsidR="00894070" w:rsidRDefault="00894070">
      <w:pPr>
        <w:pStyle w:val="BodyText"/>
        <w:rPr>
          <w:sz w:val="28"/>
        </w:rPr>
      </w:pPr>
    </w:p>
    <w:p w14:paraId="23FCADE3" w14:textId="77777777" w:rsidR="00894070" w:rsidRDefault="00894070">
      <w:pPr>
        <w:pStyle w:val="BodyText"/>
        <w:rPr>
          <w:sz w:val="28"/>
        </w:rPr>
      </w:pPr>
    </w:p>
    <w:p w14:paraId="2FA79955" w14:textId="77777777" w:rsidR="00894070" w:rsidRDefault="00894070">
      <w:pPr>
        <w:pStyle w:val="BodyText"/>
        <w:rPr>
          <w:sz w:val="28"/>
        </w:rPr>
      </w:pPr>
    </w:p>
    <w:p w14:paraId="4BB230BD" w14:textId="77777777" w:rsidR="00894070" w:rsidRDefault="00894070">
      <w:pPr>
        <w:pStyle w:val="BodyText"/>
        <w:spacing w:before="13"/>
        <w:rPr>
          <w:sz w:val="26"/>
        </w:rPr>
      </w:pPr>
    </w:p>
    <w:p w14:paraId="0E049ADB" w14:textId="77777777" w:rsidR="00894070" w:rsidRDefault="009B7AFD">
      <w:pPr>
        <w:pStyle w:val="Heading8"/>
        <w:ind w:left="832"/>
      </w:pPr>
      <w:r>
        <w:rPr>
          <w:color w:val="EA5B50"/>
        </w:rPr>
        <w:t>171</w:t>
      </w:r>
    </w:p>
    <w:p w14:paraId="61B56F04" w14:textId="77777777" w:rsidR="00894070" w:rsidRDefault="00894070">
      <w:pPr>
        <w:sectPr w:rsidR="00894070">
          <w:type w:val="continuous"/>
          <w:pgSz w:w="11910" w:h="16840"/>
          <w:pgMar w:top="560" w:right="420" w:bottom="280" w:left="580" w:header="720" w:footer="720" w:gutter="0"/>
          <w:cols w:num="2" w:space="720" w:equalWidth="0">
            <w:col w:w="9481" w:space="40"/>
            <w:col w:w="1389"/>
          </w:cols>
        </w:sectPr>
      </w:pPr>
    </w:p>
    <w:p w14:paraId="0870D3C8" w14:textId="77777777" w:rsidR="00894070" w:rsidRDefault="00894070">
      <w:pPr>
        <w:pStyle w:val="BodyText"/>
        <w:rPr>
          <w:b/>
        </w:rPr>
      </w:pPr>
    </w:p>
    <w:p w14:paraId="6B7965A3" w14:textId="77777777" w:rsidR="00894070" w:rsidRDefault="00894070">
      <w:pPr>
        <w:pStyle w:val="BodyText"/>
        <w:rPr>
          <w:b/>
        </w:rPr>
      </w:pPr>
    </w:p>
    <w:p w14:paraId="2B3D1115" w14:textId="77777777" w:rsidR="00894070" w:rsidRDefault="00894070">
      <w:pPr>
        <w:pStyle w:val="BodyText"/>
        <w:rPr>
          <w:b/>
        </w:rPr>
      </w:pPr>
    </w:p>
    <w:p w14:paraId="60C517A3" w14:textId="77777777" w:rsidR="00894070" w:rsidRDefault="00894070">
      <w:pPr>
        <w:pStyle w:val="BodyText"/>
        <w:spacing w:before="7"/>
        <w:rPr>
          <w:b/>
          <w:sz w:val="16"/>
        </w:rPr>
      </w:pPr>
    </w:p>
    <w:p w14:paraId="0428AD39" w14:textId="77777777" w:rsidR="00894070" w:rsidRDefault="009B7AFD">
      <w:pPr>
        <w:pStyle w:val="BodyText"/>
        <w:ind w:left="1801"/>
        <w:rPr>
          <w:sz w:val="11"/>
        </w:rPr>
      </w:pPr>
      <w:bookmarkStart w:id="185" w:name="_bookmark111"/>
      <w:bookmarkEnd w:id="185"/>
      <w:r>
        <w:rPr>
          <w:color w:val="231F20"/>
        </w:rPr>
        <w:t>not include physical or sexual violence.</w:t>
      </w:r>
      <w:r>
        <w:rPr>
          <w:color w:val="231F20"/>
          <w:position w:val="7"/>
          <w:sz w:val="11"/>
        </w:rPr>
        <w:t>92</w:t>
      </w:r>
    </w:p>
    <w:p w14:paraId="278A117D" w14:textId="77777777" w:rsidR="00894070" w:rsidRDefault="009B7AFD">
      <w:pPr>
        <w:pStyle w:val="ListParagraph"/>
        <w:numPr>
          <w:ilvl w:val="1"/>
          <w:numId w:val="29"/>
        </w:numPr>
        <w:tabs>
          <w:tab w:val="left" w:pos="1801"/>
          <w:tab w:val="left" w:pos="1802"/>
        </w:tabs>
        <w:spacing w:before="114" w:line="206" w:lineRule="auto"/>
        <w:ind w:right="1278"/>
        <w:rPr>
          <w:sz w:val="11"/>
        </w:rPr>
      </w:pPr>
      <w:r>
        <w:rPr>
          <w:color w:val="231F20"/>
          <w:sz w:val="20"/>
        </w:rPr>
        <w:t>There</w:t>
      </w:r>
      <w:r>
        <w:rPr>
          <w:color w:val="231F20"/>
          <w:spacing w:val="-6"/>
          <w:sz w:val="20"/>
        </w:rPr>
        <w:t xml:space="preserve"> </w:t>
      </w:r>
      <w:r>
        <w:rPr>
          <w:color w:val="231F20"/>
          <w:sz w:val="20"/>
        </w:rPr>
        <w:t>is</w:t>
      </w:r>
      <w:r>
        <w:rPr>
          <w:color w:val="231F20"/>
          <w:spacing w:val="-6"/>
          <w:sz w:val="20"/>
        </w:rPr>
        <w:t xml:space="preserve"> </w:t>
      </w:r>
      <w:r>
        <w:rPr>
          <w:color w:val="231F20"/>
          <w:sz w:val="20"/>
        </w:rPr>
        <w:t>a</w:t>
      </w:r>
      <w:r>
        <w:rPr>
          <w:color w:val="231F20"/>
          <w:spacing w:val="-5"/>
          <w:sz w:val="20"/>
        </w:rPr>
        <w:t xml:space="preserve"> </w:t>
      </w:r>
      <w:r>
        <w:rPr>
          <w:color w:val="231F20"/>
          <w:sz w:val="20"/>
        </w:rPr>
        <w:t>need</w:t>
      </w:r>
      <w:r>
        <w:rPr>
          <w:color w:val="231F20"/>
          <w:spacing w:val="-6"/>
          <w:sz w:val="20"/>
        </w:rPr>
        <w:t xml:space="preserve"> </w:t>
      </w:r>
      <w:r>
        <w:rPr>
          <w:color w:val="231F20"/>
          <w:spacing w:val="-3"/>
          <w:sz w:val="20"/>
        </w:rPr>
        <w:t>for</w:t>
      </w:r>
      <w:r>
        <w:rPr>
          <w:color w:val="231F20"/>
          <w:spacing w:val="-6"/>
          <w:sz w:val="20"/>
        </w:rPr>
        <w:t xml:space="preserve"> </w:t>
      </w:r>
      <w:r>
        <w:rPr>
          <w:color w:val="231F20"/>
          <w:spacing w:val="-3"/>
          <w:sz w:val="20"/>
        </w:rPr>
        <w:t>improved</w:t>
      </w:r>
      <w:r>
        <w:rPr>
          <w:color w:val="231F20"/>
          <w:spacing w:val="-5"/>
          <w:sz w:val="20"/>
        </w:rPr>
        <w:t xml:space="preserve"> </w:t>
      </w:r>
      <w:r>
        <w:rPr>
          <w:color w:val="231F20"/>
          <w:sz w:val="20"/>
        </w:rPr>
        <w:t>prison-based</w:t>
      </w:r>
      <w:r>
        <w:rPr>
          <w:color w:val="231F20"/>
          <w:spacing w:val="-6"/>
          <w:sz w:val="20"/>
        </w:rPr>
        <w:t xml:space="preserve"> </w:t>
      </w:r>
      <w:r>
        <w:rPr>
          <w:color w:val="231F20"/>
          <w:sz w:val="20"/>
        </w:rPr>
        <w:t>services,</w:t>
      </w:r>
      <w:r>
        <w:rPr>
          <w:color w:val="231F20"/>
          <w:spacing w:val="-6"/>
          <w:sz w:val="20"/>
        </w:rPr>
        <w:t xml:space="preserve"> </w:t>
      </w:r>
      <w:r>
        <w:rPr>
          <w:color w:val="231F20"/>
          <w:sz w:val="20"/>
        </w:rPr>
        <w:t>as</w:t>
      </w:r>
      <w:r>
        <w:rPr>
          <w:color w:val="231F20"/>
          <w:spacing w:val="-5"/>
          <w:sz w:val="20"/>
        </w:rPr>
        <w:t xml:space="preserve"> </w:t>
      </w:r>
      <w:r>
        <w:rPr>
          <w:color w:val="231F20"/>
          <w:spacing w:val="-3"/>
          <w:sz w:val="20"/>
        </w:rPr>
        <w:t>well</w:t>
      </w:r>
      <w:r>
        <w:rPr>
          <w:color w:val="231F20"/>
          <w:spacing w:val="-6"/>
          <w:sz w:val="20"/>
        </w:rPr>
        <w:t xml:space="preserve"> </w:t>
      </w:r>
      <w:r>
        <w:rPr>
          <w:color w:val="231F20"/>
          <w:sz w:val="20"/>
        </w:rPr>
        <w:t>as</w:t>
      </w:r>
      <w:r>
        <w:rPr>
          <w:color w:val="231F20"/>
          <w:spacing w:val="-6"/>
          <w:sz w:val="20"/>
        </w:rPr>
        <w:t xml:space="preserve"> </w:t>
      </w:r>
      <w:r>
        <w:rPr>
          <w:color w:val="231F20"/>
          <w:spacing w:val="-3"/>
          <w:sz w:val="20"/>
        </w:rPr>
        <w:t>reintegration</w:t>
      </w:r>
      <w:r>
        <w:rPr>
          <w:color w:val="231F20"/>
          <w:spacing w:val="-5"/>
          <w:sz w:val="20"/>
        </w:rPr>
        <w:t xml:space="preserve"> </w:t>
      </w:r>
      <w:r>
        <w:rPr>
          <w:color w:val="231F20"/>
          <w:sz w:val="20"/>
        </w:rPr>
        <w:t xml:space="preserve">programs that specifically address stalking </w:t>
      </w:r>
      <w:r>
        <w:rPr>
          <w:color w:val="231F20"/>
          <w:spacing w:val="-3"/>
          <w:sz w:val="20"/>
        </w:rPr>
        <w:t>behaviour.</w:t>
      </w:r>
      <w:r>
        <w:rPr>
          <w:color w:val="231F20"/>
          <w:spacing w:val="-3"/>
          <w:position w:val="7"/>
          <w:sz w:val="11"/>
        </w:rPr>
        <w:t xml:space="preserve">93 </w:t>
      </w:r>
      <w:r>
        <w:rPr>
          <w:color w:val="231F20"/>
          <w:sz w:val="20"/>
        </w:rPr>
        <w:t xml:space="preserve">This is particularly important </w:t>
      </w:r>
      <w:r>
        <w:rPr>
          <w:color w:val="231F20"/>
          <w:spacing w:val="-3"/>
          <w:sz w:val="20"/>
        </w:rPr>
        <w:t xml:space="preserve">given </w:t>
      </w:r>
      <w:r>
        <w:rPr>
          <w:color w:val="231F20"/>
          <w:sz w:val="20"/>
        </w:rPr>
        <w:t>the high</w:t>
      </w:r>
      <w:r>
        <w:rPr>
          <w:color w:val="231F20"/>
          <w:spacing w:val="-14"/>
          <w:sz w:val="20"/>
        </w:rPr>
        <w:t xml:space="preserve"> </w:t>
      </w:r>
      <w:r>
        <w:rPr>
          <w:color w:val="231F20"/>
          <w:spacing w:val="-3"/>
          <w:sz w:val="20"/>
        </w:rPr>
        <w:t>rates</w:t>
      </w:r>
      <w:r>
        <w:rPr>
          <w:color w:val="231F20"/>
          <w:spacing w:val="-13"/>
          <w:sz w:val="20"/>
        </w:rPr>
        <w:t xml:space="preserve"> </w:t>
      </w:r>
      <w:r>
        <w:rPr>
          <w:color w:val="231F20"/>
          <w:sz w:val="20"/>
        </w:rPr>
        <w:t>of</w:t>
      </w:r>
      <w:r>
        <w:rPr>
          <w:color w:val="231F20"/>
          <w:spacing w:val="-14"/>
          <w:sz w:val="20"/>
        </w:rPr>
        <w:t xml:space="preserve"> </w:t>
      </w:r>
      <w:r>
        <w:rPr>
          <w:color w:val="231F20"/>
          <w:sz w:val="20"/>
        </w:rPr>
        <w:t>re-offending.</w:t>
      </w:r>
      <w:r>
        <w:rPr>
          <w:color w:val="231F20"/>
          <w:spacing w:val="-13"/>
          <w:sz w:val="20"/>
        </w:rPr>
        <w:t xml:space="preserve"> </w:t>
      </w:r>
      <w:r>
        <w:rPr>
          <w:color w:val="231F20"/>
          <w:sz w:val="20"/>
        </w:rPr>
        <w:t>The</w:t>
      </w:r>
      <w:r>
        <w:rPr>
          <w:color w:val="231F20"/>
          <w:spacing w:val="-14"/>
          <w:sz w:val="20"/>
        </w:rPr>
        <w:t xml:space="preserve"> </w:t>
      </w:r>
      <w:r>
        <w:rPr>
          <w:color w:val="231F20"/>
          <w:sz w:val="20"/>
        </w:rPr>
        <w:t>Sentencing</w:t>
      </w:r>
      <w:r>
        <w:rPr>
          <w:color w:val="231F20"/>
          <w:spacing w:val="-13"/>
          <w:sz w:val="20"/>
        </w:rPr>
        <w:t xml:space="preserve"> </w:t>
      </w:r>
      <w:r>
        <w:rPr>
          <w:color w:val="231F20"/>
          <w:sz w:val="20"/>
        </w:rPr>
        <w:t>Advisory</w:t>
      </w:r>
      <w:r>
        <w:rPr>
          <w:color w:val="231F20"/>
          <w:spacing w:val="-14"/>
          <w:sz w:val="20"/>
        </w:rPr>
        <w:t xml:space="preserve"> </w:t>
      </w:r>
      <w:r>
        <w:rPr>
          <w:color w:val="231F20"/>
          <w:sz w:val="20"/>
        </w:rPr>
        <w:t>Council</w:t>
      </w:r>
      <w:r>
        <w:rPr>
          <w:color w:val="231F20"/>
          <w:spacing w:val="-13"/>
          <w:sz w:val="20"/>
        </w:rPr>
        <w:t xml:space="preserve"> </w:t>
      </w:r>
      <w:r>
        <w:rPr>
          <w:color w:val="231F20"/>
          <w:sz w:val="20"/>
        </w:rPr>
        <w:t>has</w:t>
      </w:r>
      <w:r>
        <w:rPr>
          <w:color w:val="231F20"/>
          <w:spacing w:val="-14"/>
          <w:sz w:val="20"/>
        </w:rPr>
        <w:t xml:space="preserve"> </w:t>
      </w:r>
      <w:r>
        <w:rPr>
          <w:color w:val="231F20"/>
          <w:sz w:val="20"/>
        </w:rPr>
        <w:t>suggested</w:t>
      </w:r>
      <w:r>
        <w:rPr>
          <w:color w:val="231F20"/>
          <w:spacing w:val="-13"/>
          <w:sz w:val="20"/>
        </w:rPr>
        <w:t xml:space="preserve"> </w:t>
      </w:r>
      <w:r>
        <w:rPr>
          <w:color w:val="231F20"/>
          <w:sz w:val="20"/>
        </w:rPr>
        <w:t>expanding prison-based</w:t>
      </w:r>
      <w:r>
        <w:rPr>
          <w:color w:val="231F20"/>
          <w:spacing w:val="-5"/>
          <w:sz w:val="20"/>
        </w:rPr>
        <w:t xml:space="preserve"> </w:t>
      </w:r>
      <w:r>
        <w:rPr>
          <w:color w:val="231F20"/>
          <w:sz w:val="20"/>
        </w:rPr>
        <w:t>programs.</w:t>
      </w:r>
      <w:r>
        <w:rPr>
          <w:color w:val="231F20"/>
          <w:position w:val="7"/>
          <w:sz w:val="11"/>
        </w:rPr>
        <w:t>94</w:t>
      </w:r>
    </w:p>
    <w:p w14:paraId="76CDC192" w14:textId="77777777" w:rsidR="00894070" w:rsidRDefault="00894070">
      <w:pPr>
        <w:pStyle w:val="BodyText"/>
        <w:spacing w:before="12"/>
        <w:rPr>
          <w:sz w:val="15"/>
        </w:rPr>
      </w:pPr>
    </w:p>
    <w:p w14:paraId="4E880416" w14:textId="77777777" w:rsidR="00894070" w:rsidRDefault="009B7AFD">
      <w:pPr>
        <w:pStyle w:val="Heading8"/>
        <w:ind w:left="1007"/>
      </w:pPr>
      <w:r>
        <w:rPr>
          <w:color w:val="231F20"/>
        </w:rPr>
        <w:t>Building pathways to treatment and support</w:t>
      </w:r>
    </w:p>
    <w:p w14:paraId="5311982F" w14:textId="77777777" w:rsidR="00894070" w:rsidRDefault="009B7AFD">
      <w:pPr>
        <w:pStyle w:val="ListParagraph"/>
        <w:numPr>
          <w:ilvl w:val="1"/>
          <w:numId w:val="29"/>
        </w:numPr>
        <w:tabs>
          <w:tab w:val="left" w:pos="1801"/>
          <w:tab w:val="left" w:pos="1802"/>
        </w:tabs>
        <w:spacing w:before="127" w:line="206" w:lineRule="auto"/>
        <w:ind w:right="1165"/>
        <w:rPr>
          <w:sz w:val="20"/>
        </w:rPr>
      </w:pPr>
      <w:r>
        <w:rPr>
          <w:color w:val="231F20"/>
          <w:spacing w:val="-3"/>
          <w:sz w:val="20"/>
        </w:rPr>
        <w:t>Every</w:t>
      </w:r>
      <w:r>
        <w:rPr>
          <w:color w:val="231F20"/>
          <w:spacing w:val="-10"/>
          <w:sz w:val="20"/>
        </w:rPr>
        <w:t xml:space="preserve"> </w:t>
      </w:r>
      <w:r>
        <w:rPr>
          <w:color w:val="231F20"/>
          <w:sz w:val="20"/>
        </w:rPr>
        <w:t>time</w:t>
      </w:r>
      <w:r>
        <w:rPr>
          <w:color w:val="231F20"/>
          <w:spacing w:val="-10"/>
          <w:sz w:val="20"/>
        </w:rPr>
        <w:t xml:space="preserve"> </w:t>
      </w:r>
      <w:r>
        <w:rPr>
          <w:color w:val="231F20"/>
          <w:sz w:val="20"/>
        </w:rPr>
        <w:t>a</w:t>
      </w:r>
      <w:r>
        <w:rPr>
          <w:color w:val="231F20"/>
          <w:spacing w:val="-10"/>
          <w:sz w:val="20"/>
        </w:rPr>
        <w:t xml:space="preserve"> </w:t>
      </w:r>
      <w:r>
        <w:rPr>
          <w:color w:val="231F20"/>
          <w:sz w:val="20"/>
        </w:rPr>
        <w:t>person</w:t>
      </w:r>
      <w:r>
        <w:rPr>
          <w:color w:val="231F20"/>
          <w:spacing w:val="-10"/>
          <w:sz w:val="20"/>
        </w:rPr>
        <w:t xml:space="preserve"> </w:t>
      </w:r>
      <w:r>
        <w:rPr>
          <w:color w:val="231F20"/>
          <w:sz w:val="20"/>
        </w:rPr>
        <w:t>who</w:t>
      </w:r>
      <w:r>
        <w:rPr>
          <w:color w:val="231F20"/>
          <w:spacing w:val="-10"/>
          <w:sz w:val="20"/>
        </w:rPr>
        <w:t xml:space="preserve"> </w:t>
      </w:r>
      <w:r>
        <w:rPr>
          <w:color w:val="231F20"/>
          <w:sz w:val="20"/>
        </w:rPr>
        <w:t>stalks</w:t>
      </w:r>
      <w:r>
        <w:rPr>
          <w:color w:val="231F20"/>
          <w:spacing w:val="-9"/>
          <w:sz w:val="20"/>
        </w:rPr>
        <w:t xml:space="preserve"> </w:t>
      </w:r>
      <w:r>
        <w:rPr>
          <w:color w:val="231F20"/>
          <w:sz w:val="20"/>
        </w:rPr>
        <w:t>interacts</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0"/>
          <w:sz w:val="20"/>
        </w:rPr>
        <w:t xml:space="preserve"> </w:t>
      </w:r>
      <w:r>
        <w:rPr>
          <w:color w:val="231F20"/>
          <w:sz w:val="20"/>
        </w:rPr>
        <w:t>justice</w:t>
      </w:r>
      <w:r>
        <w:rPr>
          <w:color w:val="231F20"/>
          <w:spacing w:val="-10"/>
          <w:sz w:val="20"/>
        </w:rPr>
        <w:t xml:space="preserve"> </w:t>
      </w:r>
      <w:r>
        <w:rPr>
          <w:color w:val="231F20"/>
          <w:sz w:val="20"/>
        </w:rPr>
        <w:t>system,</w:t>
      </w:r>
      <w:r>
        <w:rPr>
          <w:color w:val="231F20"/>
          <w:spacing w:val="-10"/>
          <w:sz w:val="20"/>
        </w:rPr>
        <w:t xml:space="preserve"> </w:t>
      </w:r>
      <w:r>
        <w:rPr>
          <w:color w:val="231F20"/>
          <w:sz w:val="20"/>
        </w:rPr>
        <w:t>there</w:t>
      </w:r>
      <w:r>
        <w:rPr>
          <w:color w:val="231F20"/>
          <w:spacing w:val="-9"/>
          <w:sz w:val="20"/>
        </w:rPr>
        <w:t xml:space="preserve"> </w:t>
      </w:r>
      <w:r>
        <w:rPr>
          <w:color w:val="231F20"/>
          <w:sz w:val="20"/>
        </w:rPr>
        <w:t>is</w:t>
      </w:r>
      <w:r>
        <w:rPr>
          <w:color w:val="231F20"/>
          <w:spacing w:val="-10"/>
          <w:sz w:val="20"/>
        </w:rPr>
        <w:t xml:space="preserve"> </w:t>
      </w:r>
      <w:r>
        <w:rPr>
          <w:color w:val="231F20"/>
          <w:sz w:val="20"/>
        </w:rPr>
        <w:t>an</w:t>
      </w:r>
      <w:r>
        <w:rPr>
          <w:color w:val="231F20"/>
          <w:spacing w:val="-10"/>
          <w:sz w:val="20"/>
        </w:rPr>
        <w:t xml:space="preserve"> </w:t>
      </w:r>
      <w:r>
        <w:rPr>
          <w:color w:val="231F20"/>
          <w:sz w:val="20"/>
        </w:rPr>
        <w:t xml:space="preserve">opportunity to influence behaviour change. This </w:t>
      </w:r>
      <w:r>
        <w:rPr>
          <w:color w:val="231F20"/>
          <w:spacing w:val="-3"/>
          <w:sz w:val="20"/>
        </w:rPr>
        <w:t xml:space="preserve">may </w:t>
      </w:r>
      <w:r>
        <w:rPr>
          <w:color w:val="231F20"/>
          <w:spacing w:val="-4"/>
          <w:sz w:val="20"/>
        </w:rPr>
        <w:t xml:space="preserve">prevent </w:t>
      </w:r>
      <w:r>
        <w:rPr>
          <w:color w:val="231F20"/>
          <w:sz w:val="20"/>
        </w:rPr>
        <w:t xml:space="preserve">the stalking </w:t>
      </w:r>
      <w:r>
        <w:rPr>
          <w:color w:val="231F20"/>
          <w:spacing w:val="-3"/>
          <w:sz w:val="20"/>
        </w:rPr>
        <w:t xml:space="preserve">from </w:t>
      </w:r>
      <w:r>
        <w:rPr>
          <w:color w:val="231F20"/>
          <w:sz w:val="20"/>
        </w:rPr>
        <w:t>escalating</w:t>
      </w:r>
      <w:r>
        <w:rPr>
          <w:color w:val="231F20"/>
          <w:position w:val="7"/>
          <w:sz w:val="11"/>
        </w:rPr>
        <w:t xml:space="preserve">95 </w:t>
      </w:r>
      <w:r>
        <w:rPr>
          <w:color w:val="231F20"/>
          <w:sz w:val="20"/>
        </w:rPr>
        <w:t xml:space="preserve">and </w:t>
      </w:r>
      <w:r>
        <w:rPr>
          <w:color w:val="231F20"/>
          <w:spacing w:val="-4"/>
          <w:sz w:val="20"/>
        </w:rPr>
        <w:t xml:space="preserve">prevent </w:t>
      </w:r>
      <w:r>
        <w:rPr>
          <w:color w:val="231F20"/>
          <w:sz w:val="20"/>
        </w:rPr>
        <w:t>serious harm.</w:t>
      </w:r>
      <w:r>
        <w:rPr>
          <w:color w:val="231F20"/>
          <w:position w:val="7"/>
          <w:sz w:val="11"/>
        </w:rPr>
        <w:t xml:space="preserve">96 </w:t>
      </w:r>
      <w:r>
        <w:rPr>
          <w:color w:val="231F20"/>
          <w:sz w:val="20"/>
        </w:rPr>
        <w:t xml:space="preserve">It is critical that the right </w:t>
      </w:r>
      <w:r>
        <w:rPr>
          <w:color w:val="231F20"/>
          <w:spacing w:val="-2"/>
          <w:sz w:val="20"/>
        </w:rPr>
        <w:t xml:space="preserve">intervention </w:t>
      </w:r>
      <w:r>
        <w:rPr>
          <w:color w:val="231F20"/>
          <w:sz w:val="20"/>
        </w:rPr>
        <w:t>happens</w:t>
      </w:r>
      <w:r>
        <w:rPr>
          <w:color w:val="231F20"/>
          <w:spacing w:val="-26"/>
          <w:sz w:val="20"/>
        </w:rPr>
        <w:t xml:space="preserve"> </w:t>
      </w:r>
      <w:r>
        <w:rPr>
          <w:color w:val="231F20"/>
          <w:spacing w:val="-4"/>
          <w:sz w:val="20"/>
        </w:rPr>
        <w:t>early.</w:t>
      </w:r>
    </w:p>
    <w:p w14:paraId="650814E5" w14:textId="77777777" w:rsidR="00894070" w:rsidRDefault="009B7AFD">
      <w:pPr>
        <w:pStyle w:val="ListParagraph"/>
        <w:numPr>
          <w:ilvl w:val="1"/>
          <w:numId w:val="29"/>
        </w:numPr>
        <w:tabs>
          <w:tab w:val="left" w:pos="1802"/>
        </w:tabs>
        <w:spacing w:before="124" w:line="206" w:lineRule="auto"/>
        <w:ind w:right="1612"/>
        <w:jc w:val="both"/>
        <w:rPr>
          <w:sz w:val="20"/>
        </w:rPr>
      </w:pPr>
      <w:r>
        <w:rPr>
          <w:color w:val="231F20"/>
          <w:sz w:val="20"/>
        </w:rPr>
        <w:t>Once</w:t>
      </w:r>
      <w:r>
        <w:rPr>
          <w:color w:val="231F20"/>
          <w:spacing w:val="-11"/>
          <w:sz w:val="20"/>
        </w:rPr>
        <w:t xml:space="preserve"> </w:t>
      </w:r>
      <w:r>
        <w:rPr>
          <w:color w:val="231F20"/>
          <w:sz w:val="20"/>
        </w:rPr>
        <w:t>evidence-informed</w:t>
      </w:r>
      <w:r>
        <w:rPr>
          <w:color w:val="231F20"/>
          <w:spacing w:val="-11"/>
          <w:sz w:val="20"/>
        </w:rPr>
        <w:t xml:space="preserve"> </w:t>
      </w:r>
      <w:r>
        <w:rPr>
          <w:color w:val="231F20"/>
          <w:sz w:val="20"/>
        </w:rPr>
        <w:t>services</w:t>
      </w:r>
      <w:r>
        <w:rPr>
          <w:color w:val="231F20"/>
          <w:spacing w:val="-11"/>
          <w:sz w:val="20"/>
        </w:rPr>
        <w:t xml:space="preserve"> </w:t>
      </w:r>
      <w:r>
        <w:rPr>
          <w:color w:val="231F20"/>
          <w:spacing w:val="-3"/>
          <w:sz w:val="20"/>
        </w:rPr>
        <w:t>are</w:t>
      </w:r>
      <w:r>
        <w:rPr>
          <w:color w:val="231F20"/>
          <w:spacing w:val="-10"/>
          <w:sz w:val="20"/>
        </w:rPr>
        <w:t xml:space="preserve"> </w:t>
      </w:r>
      <w:r>
        <w:rPr>
          <w:color w:val="231F20"/>
          <w:sz w:val="20"/>
        </w:rPr>
        <w:t>in</w:t>
      </w:r>
      <w:r>
        <w:rPr>
          <w:color w:val="231F20"/>
          <w:spacing w:val="-11"/>
          <w:sz w:val="20"/>
        </w:rPr>
        <w:t xml:space="preserve"> </w:t>
      </w:r>
      <w:r>
        <w:rPr>
          <w:color w:val="231F20"/>
          <w:sz w:val="20"/>
        </w:rPr>
        <w:t>place,</w:t>
      </w:r>
      <w:r>
        <w:rPr>
          <w:color w:val="231F20"/>
          <w:spacing w:val="-11"/>
          <w:sz w:val="20"/>
        </w:rPr>
        <w:t xml:space="preserve"> </w:t>
      </w:r>
      <w:r>
        <w:rPr>
          <w:color w:val="231F20"/>
          <w:sz w:val="20"/>
        </w:rPr>
        <w:t>people</w:t>
      </w:r>
      <w:r>
        <w:rPr>
          <w:color w:val="231F20"/>
          <w:spacing w:val="-10"/>
          <w:sz w:val="20"/>
        </w:rPr>
        <w:t xml:space="preserve"> </w:t>
      </w:r>
      <w:r>
        <w:rPr>
          <w:color w:val="231F20"/>
          <w:sz w:val="20"/>
        </w:rPr>
        <w:t>who</w:t>
      </w:r>
      <w:r>
        <w:rPr>
          <w:color w:val="231F20"/>
          <w:spacing w:val="-11"/>
          <w:sz w:val="20"/>
        </w:rPr>
        <w:t xml:space="preserve"> </w:t>
      </w:r>
      <w:r>
        <w:rPr>
          <w:color w:val="231F20"/>
          <w:sz w:val="20"/>
        </w:rPr>
        <w:t>stalk</w:t>
      </w:r>
      <w:r>
        <w:rPr>
          <w:color w:val="231F20"/>
          <w:spacing w:val="-11"/>
          <w:sz w:val="20"/>
        </w:rPr>
        <w:t xml:space="preserve"> </w:t>
      </w:r>
      <w:r>
        <w:rPr>
          <w:color w:val="231F20"/>
          <w:sz w:val="20"/>
        </w:rPr>
        <w:t>should</w:t>
      </w:r>
      <w:r>
        <w:rPr>
          <w:color w:val="231F20"/>
          <w:spacing w:val="-10"/>
          <w:sz w:val="20"/>
        </w:rPr>
        <w:t xml:space="preserve"> </w:t>
      </w:r>
      <w:r>
        <w:rPr>
          <w:color w:val="231F20"/>
          <w:sz w:val="20"/>
        </w:rPr>
        <w:t>be</w:t>
      </w:r>
      <w:r>
        <w:rPr>
          <w:color w:val="231F20"/>
          <w:spacing w:val="-11"/>
          <w:sz w:val="20"/>
        </w:rPr>
        <w:t xml:space="preserve"> </w:t>
      </w:r>
      <w:r>
        <w:rPr>
          <w:color w:val="231F20"/>
          <w:sz w:val="20"/>
        </w:rPr>
        <w:t>able</w:t>
      </w:r>
      <w:r>
        <w:rPr>
          <w:color w:val="231F20"/>
          <w:spacing w:val="-11"/>
          <w:sz w:val="20"/>
        </w:rPr>
        <w:t xml:space="preserve"> </w:t>
      </w:r>
      <w:r>
        <w:rPr>
          <w:color w:val="231F20"/>
          <w:sz w:val="20"/>
        </w:rPr>
        <w:t>to access</w:t>
      </w:r>
      <w:r>
        <w:rPr>
          <w:color w:val="231F20"/>
          <w:spacing w:val="-11"/>
          <w:sz w:val="20"/>
        </w:rPr>
        <w:t xml:space="preserve"> </w:t>
      </w:r>
      <w:r>
        <w:rPr>
          <w:color w:val="231F20"/>
          <w:sz w:val="20"/>
        </w:rPr>
        <w:t>them</w:t>
      </w:r>
      <w:r>
        <w:rPr>
          <w:color w:val="231F20"/>
          <w:spacing w:val="-10"/>
          <w:sz w:val="20"/>
        </w:rPr>
        <w:t xml:space="preserve"> </w:t>
      </w:r>
      <w:r>
        <w:rPr>
          <w:color w:val="231F20"/>
          <w:spacing w:val="-3"/>
          <w:sz w:val="20"/>
        </w:rPr>
        <w:t>from</w:t>
      </w:r>
      <w:r>
        <w:rPr>
          <w:color w:val="231F20"/>
          <w:spacing w:val="-11"/>
          <w:sz w:val="20"/>
        </w:rPr>
        <w:t xml:space="preserve"> </w:t>
      </w:r>
      <w:r>
        <w:rPr>
          <w:color w:val="231F20"/>
          <w:sz w:val="20"/>
        </w:rPr>
        <w:t>the</w:t>
      </w:r>
      <w:r>
        <w:rPr>
          <w:color w:val="231F20"/>
          <w:spacing w:val="-10"/>
          <w:sz w:val="20"/>
        </w:rPr>
        <w:t xml:space="preserve"> </w:t>
      </w:r>
      <w:r>
        <w:rPr>
          <w:color w:val="231F20"/>
          <w:sz w:val="20"/>
        </w:rPr>
        <w:t>justice</w:t>
      </w:r>
      <w:r>
        <w:rPr>
          <w:color w:val="231F20"/>
          <w:spacing w:val="-11"/>
          <w:sz w:val="20"/>
        </w:rPr>
        <w:t xml:space="preserve"> </w:t>
      </w:r>
      <w:r>
        <w:rPr>
          <w:color w:val="231F20"/>
          <w:sz w:val="20"/>
        </w:rPr>
        <w:t>system.</w:t>
      </w:r>
      <w:r>
        <w:rPr>
          <w:color w:val="231F20"/>
          <w:spacing w:val="-10"/>
          <w:sz w:val="20"/>
        </w:rPr>
        <w:t xml:space="preserve"> </w:t>
      </w:r>
      <w:r>
        <w:rPr>
          <w:color w:val="231F20"/>
          <w:sz w:val="20"/>
        </w:rPr>
        <w:t>There</w:t>
      </w:r>
      <w:r>
        <w:rPr>
          <w:color w:val="231F20"/>
          <w:spacing w:val="-11"/>
          <w:sz w:val="20"/>
        </w:rPr>
        <w:t xml:space="preserve"> </w:t>
      </w:r>
      <w:r>
        <w:rPr>
          <w:color w:val="231F20"/>
          <w:spacing w:val="-3"/>
          <w:sz w:val="20"/>
        </w:rPr>
        <w:t>are</w:t>
      </w:r>
      <w:r>
        <w:rPr>
          <w:color w:val="231F20"/>
          <w:spacing w:val="-10"/>
          <w:sz w:val="20"/>
        </w:rPr>
        <w:t xml:space="preserve"> </w:t>
      </w:r>
      <w:r>
        <w:rPr>
          <w:color w:val="231F20"/>
          <w:sz w:val="20"/>
        </w:rPr>
        <w:t>two</w:t>
      </w:r>
      <w:r>
        <w:rPr>
          <w:color w:val="231F20"/>
          <w:spacing w:val="-11"/>
          <w:sz w:val="20"/>
        </w:rPr>
        <w:t xml:space="preserve"> </w:t>
      </w:r>
      <w:r>
        <w:rPr>
          <w:color w:val="231F20"/>
          <w:sz w:val="20"/>
        </w:rPr>
        <w:t>components</w:t>
      </w:r>
      <w:r>
        <w:rPr>
          <w:color w:val="231F20"/>
          <w:spacing w:val="-10"/>
          <w:sz w:val="20"/>
        </w:rPr>
        <w:t xml:space="preserve"> </w:t>
      </w:r>
      <w:r>
        <w:rPr>
          <w:color w:val="231F20"/>
          <w:sz w:val="20"/>
        </w:rPr>
        <w:t>to</w:t>
      </w:r>
      <w:r>
        <w:rPr>
          <w:color w:val="231F20"/>
          <w:spacing w:val="-11"/>
          <w:sz w:val="20"/>
        </w:rPr>
        <w:t xml:space="preserve"> </w:t>
      </w:r>
      <w:r>
        <w:rPr>
          <w:color w:val="231F20"/>
          <w:sz w:val="20"/>
        </w:rPr>
        <w:t>facilitating</w:t>
      </w:r>
      <w:r>
        <w:rPr>
          <w:color w:val="231F20"/>
          <w:spacing w:val="-10"/>
          <w:sz w:val="20"/>
        </w:rPr>
        <w:t xml:space="preserve"> </w:t>
      </w:r>
      <w:r>
        <w:rPr>
          <w:color w:val="231F20"/>
          <w:sz w:val="20"/>
        </w:rPr>
        <w:t>this access:</w:t>
      </w:r>
    </w:p>
    <w:p w14:paraId="02167C86" w14:textId="77777777" w:rsidR="00894070" w:rsidRDefault="009B7AFD">
      <w:pPr>
        <w:pStyle w:val="ListParagraph"/>
        <w:numPr>
          <w:ilvl w:val="2"/>
          <w:numId w:val="29"/>
        </w:numPr>
        <w:tabs>
          <w:tab w:val="left" w:pos="2141"/>
          <w:tab w:val="left" w:pos="2142"/>
        </w:tabs>
        <w:spacing w:before="92"/>
        <w:ind w:hanging="340"/>
        <w:rPr>
          <w:sz w:val="20"/>
        </w:rPr>
      </w:pPr>
      <w:r>
        <w:rPr>
          <w:color w:val="231F20"/>
          <w:sz w:val="20"/>
        </w:rPr>
        <w:t>identifying</w:t>
      </w:r>
      <w:r>
        <w:rPr>
          <w:color w:val="231F20"/>
          <w:spacing w:val="-5"/>
          <w:sz w:val="20"/>
        </w:rPr>
        <w:t xml:space="preserve"> </w:t>
      </w:r>
      <w:r>
        <w:rPr>
          <w:color w:val="231F20"/>
          <w:sz w:val="20"/>
        </w:rPr>
        <w:t>stalking</w:t>
      </w:r>
    </w:p>
    <w:p w14:paraId="33B3C04D" w14:textId="77777777" w:rsidR="00894070" w:rsidRDefault="009B7AFD">
      <w:pPr>
        <w:pStyle w:val="ListParagraph"/>
        <w:numPr>
          <w:ilvl w:val="2"/>
          <w:numId w:val="29"/>
        </w:numPr>
        <w:tabs>
          <w:tab w:val="left" w:pos="2141"/>
          <w:tab w:val="left" w:pos="2142"/>
        </w:tabs>
        <w:spacing w:before="47"/>
        <w:ind w:hanging="340"/>
        <w:rPr>
          <w:sz w:val="11"/>
        </w:rPr>
      </w:pPr>
      <w:r>
        <w:rPr>
          <w:color w:val="231F20"/>
          <w:sz w:val="20"/>
        </w:rPr>
        <w:t xml:space="preserve">making </w:t>
      </w:r>
      <w:r>
        <w:rPr>
          <w:color w:val="231F20"/>
          <w:spacing w:val="-3"/>
          <w:sz w:val="20"/>
        </w:rPr>
        <w:t xml:space="preserve">sure referral </w:t>
      </w:r>
      <w:r>
        <w:rPr>
          <w:color w:val="231F20"/>
          <w:spacing w:val="-4"/>
          <w:sz w:val="20"/>
        </w:rPr>
        <w:t xml:space="preserve">pathways </w:t>
      </w:r>
      <w:r>
        <w:rPr>
          <w:color w:val="231F20"/>
          <w:spacing w:val="-3"/>
          <w:sz w:val="20"/>
        </w:rPr>
        <w:t xml:space="preserve">are </w:t>
      </w:r>
      <w:r>
        <w:rPr>
          <w:color w:val="231F20"/>
          <w:sz w:val="20"/>
        </w:rPr>
        <w:t>in</w:t>
      </w:r>
      <w:r>
        <w:rPr>
          <w:color w:val="231F20"/>
          <w:spacing w:val="-11"/>
          <w:sz w:val="20"/>
        </w:rPr>
        <w:t xml:space="preserve"> </w:t>
      </w:r>
      <w:r>
        <w:rPr>
          <w:color w:val="231F20"/>
          <w:sz w:val="20"/>
        </w:rPr>
        <w:t>place.</w:t>
      </w:r>
      <w:r>
        <w:rPr>
          <w:color w:val="231F20"/>
          <w:position w:val="7"/>
          <w:sz w:val="11"/>
        </w:rPr>
        <w:t>97</w:t>
      </w:r>
    </w:p>
    <w:p w14:paraId="11E5167B" w14:textId="77777777" w:rsidR="00894070" w:rsidRDefault="009B7AFD">
      <w:pPr>
        <w:pStyle w:val="ListParagraph"/>
        <w:numPr>
          <w:ilvl w:val="1"/>
          <w:numId w:val="29"/>
        </w:numPr>
        <w:tabs>
          <w:tab w:val="left" w:pos="1801"/>
          <w:tab w:val="left" w:pos="1802"/>
        </w:tabs>
        <w:spacing w:before="80" w:line="206" w:lineRule="auto"/>
        <w:ind w:right="1280"/>
        <w:rPr>
          <w:sz w:val="11"/>
        </w:rPr>
      </w:pPr>
      <w:r>
        <w:rPr>
          <w:color w:val="231F20"/>
          <w:sz w:val="20"/>
        </w:rPr>
        <w:t>Without</w:t>
      </w:r>
      <w:r>
        <w:rPr>
          <w:color w:val="231F20"/>
          <w:spacing w:val="-12"/>
          <w:sz w:val="20"/>
        </w:rPr>
        <w:t xml:space="preserve"> </w:t>
      </w:r>
      <w:r>
        <w:rPr>
          <w:color w:val="231F20"/>
          <w:spacing w:val="-3"/>
          <w:sz w:val="20"/>
        </w:rPr>
        <w:t>effective</w:t>
      </w:r>
      <w:r>
        <w:rPr>
          <w:color w:val="231F20"/>
          <w:spacing w:val="-11"/>
          <w:sz w:val="20"/>
        </w:rPr>
        <w:t xml:space="preserve"> </w:t>
      </w:r>
      <w:r>
        <w:rPr>
          <w:color w:val="231F20"/>
          <w:sz w:val="20"/>
        </w:rPr>
        <w:t>identification</w:t>
      </w:r>
      <w:r>
        <w:rPr>
          <w:color w:val="231F20"/>
          <w:spacing w:val="-12"/>
          <w:sz w:val="20"/>
        </w:rPr>
        <w:t xml:space="preserve"> </w:t>
      </w:r>
      <w:r>
        <w:rPr>
          <w:color w:val="231F20"/>
          <w:sz w:val="20"/>
        </w:rPr>
        <w:t>of</w:t>
      </w:r>
      <w:r>
        <w:rPr>
          <w:color w:val="231F20"/>
          <w:spacing w:val="-11"/>
          <w:sz w:val="20"/>
        </w:rPr>
        <w:t xml:space="preserve"> </w:t>
      </w:r>
      <w:r>
        <w:rPr>
          <w:color w:val="231F20"/>
          <w:sz w:val="20"/>
        </w:rPr>
        <w:t>stalking</w:t>
      </w:r>
      <w:r>
        <w:rPr>
          <w:color w:val="231F20"/>
          <w:spacing w:val="-12"/>
          <w:sz w:val="20"/>
        </w:rPr>
        <w:t xml:space="preserve"> </w:t>
      </w:r>
      <w:r>
        <w:rPr>
          <w:color w:val="231F20"/>
          <w:spacing w:val="-3"/>
          <w:sz w:val="20"/>
        </w:rPr>
        <w:t>by</w:t>
      </w:r>
      <w:r>
        <w:rPr>
          <w:color w:val="231F20"/>
          <w:spacing w:val="-11"/>
          <w:sz w:val="20"/>
        </w:rPr>
        <w:t xml:space="preserve"> </w:t>
      </w:r>
      <w:r>
        <w:rPr>
          <w:color w:val="231F20"/>
          <w:sz w:val="20"/>
        </w:rPr>
        <w:t>police,</w:t>
      </w:r>
      <w:r>
        <w:rPr>
          <w:color w:val="231F20"/>
          <w:spacing w:val="-12"/>
          <w:sz w:val="20"/>
        </w:rPr>
        <w:t xml:space="preserve"> </w:t>
      </w:r>
      <w:r>
        <w:rPr>
          <w:color w:val="231F20"/>
          <w:sz w:val="20"/>
        </w:rPr>
        <w:t>in</w:t>
      </w:r>
      <w:r>
        <w:rPr>
          <w:color w:val="231F20"/>
          <w:spacing w:val="-11"/>
          <w:sz w:val="20"/>
        </w:rPr>
        <w:t xml:space="preserve"> </w:t>
      </w:r>
      <w:r>
        <w:rPr>
          <w:color w:val="231F20"/>
          <w:sz w:val="20"/>
        </w:rPr>
        <w:t>the</w:t>
      </w:r>
      <w:r>
        <w:rPr>
          <w:color w:val="231F20"/>
          <w:spacing w:val="-12"/>
          <w:sz w:val="20"/>
        </w:rPr>
        <w:t xml:space="preserve"> </w:t>
      </w:r>
      <w:r>
        <w:rPr>
          <w:color w:val="231F20"/>
          <w:sz w:val="20"/>
        </w:rPr>
        <w:t>first</w:t>
      </w:r>
      <w:r>
        <w:rPr>
          <w:color w:val="231F20"/>
          <w:spacing w:val="-11"/>
          <w:sz w:val="20"/>
        </w:rPr>
        <w:t xml:space="preserve"> </w:t>
      </w:r>
      <w:r>
        <w:rPr>
          <w:color w:val="231F20"/>
          <w:sz w:val="20"/>
        </w:rPr>
        <w:t>instance,</w:t>
      </w:r>
      <w:r>
        <w:rPr>
          <w:color w:val="231F20"/>
          <w:spacing w:val="-12"/>
          <w:sz w:val="20"/>
        </w:rPr>
        <w:t xml:space="preserve"> </w:t>
      </w:r>
      <w:r>
        <w:rPr>
          <w:color w:val="231F20"/>
          <w:sz w:val="20"/>
        </w:rPr>
        <w:t>and</w:t>
      </w:r>
      <w:r>
        <w:rPr>
          <w:color w:val="231F20"/>
          <w:spacing w:val="-11"/>
          <w:sz w:val="20"/>
        </w:rPr>
        <w:t xml:space="preserve"> </w:t>
      </w:r>
      <w:r>
        <w:rPr>
          <w:color w:val="231F20"/>
          <w:spacing w:val="-3"/>
          <w:sz w:val="20"/>
        </w:rPr>
        <w:t>by</w:t>
      </w:r>
      <w:r>
        <w:rPr>
          <w:color w:val="231F20"/>
          <w:spacing w:val="-12"/>
          <w:sz w:val="20"/>
        </w:rPr>
        <w:t xml:space="preserve"> </w:t>
      </w:r>
      <w:r>
        <w:rPr>
          <w:color w:val="231F20"/>
          <w:sz w:val="20"/>
        </w:rPr>
        <w:t xml:space="preserve">courts, </w:t>
      </w:r>
      <w:r>
        <w:rPr>
          <w:color w:val="231F20"/>
          <w:spacing w:val="-3"/>
          <w:sz w:val="20"/>
        </w:rPr>
        <w:t>‘many</w:t>
      </w:r>
      <w:r>
        <w:rPr>
          <w:color w:val="231F20"/>
          <w:spacing w:val="-6"/>
          <w:sz w:val="20"/>
        </w:rPr>
        <w:t xml:space="preserve"> </w:t>
      </w:r>
      <w:r>
        <w:rPr>
          <w:color w:val="231F20"/>
          <w:sz w:val="20"/>
        </w:rPr>
        <w:t>people</w:t>
      </w:r>
      <w:r>
        <w:rPr>
          <w:color w:val="231F20"/>
          <w:spacing w:val="-6"/>
          <w:sz w:val="20"/>
        </w:rPr>
        <w:t xml:space="preserve"> </w:t>
      </w:r>
      <w:r>
        <w:rPr>
          <w:color w:val="231F20"/>
          <w:sz w:val="20"/>
        </w:rPr>
        <w:t>who</w:t>
      </w:r>
      <w:r>
        <w:rPr>
          <w:color w:val="231F20"/>
          <w:spacing w:val="-6"/>
          <w:sz w:val="20"/>
        </w:rPr>
        <w:t xml:space="preserve"> </w:t>
      </w:r>
      <w:r>
        <w:rPr>
          <w:color w:val="231F20"/>
          <w:sz w:val="20"/>
        </w:rPr>
        <w:t>need</w:t>
      </w:r>
      <w:r>
        <w:rPr>
          <w:color w:val="231F20"/>
          <w:spacing w:val="-6"/>
          <w:sz w:val="20"/>
        </w:rPr>
        <w:t xml:space="preserve"> </w:t>
      </w:r>
      <w:r>
        <w:rPr>
          <w:color w:val="231F20"/>
          <w:spacing w:val="-3"/>
          <w:sz w:val="20"/>
        </w:rPr>
        <w:t>treatment</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their</w:t>
      </w:r>
      <w:r>
        <w:rPr>
          <w:color w:val="231F20"/>
          <w:spacing w:val="-6"/>
          <w:sz w:val="20"/>
        </w:rPr>
        <w:t xml:space="preserve"> </w:t>
      </w:r>
      <w:r>
        <w:rPr>
          <w:color w:val="231F20"/>
          <w:sz w:val="20"/>
        </w:rPr>
        <w:t>behaviour</w:t>
      </w:r>
      <w:r>
        <w:rPr>
          <w:color w:val="231F20"/>
          <w:spacing w:val="-5"/>
          <w:sz w:val="20"/>
        </w:rPr>
        <w:t xml:space="preserve"> </w:t>
      </w:r>
      <w:r>
        <w:rPr>
          <w:color w:val="231F20"/>
          <w:spacing w:val="-3"/>
          <w:sz w:val="20"/>
        </w:rPr>
        <w:t>are</w:t>
      </w:r>
      <w:r>
        <w:rPr>
          <w:color w:val="231F20"/>
          <w:spacing w:val="-6"/>
          <w:sz w:val="20"/>
        </w:rPr>
        <w:t xml:space="preserve"> </w:t>
      </w:r>
      <w:r>
        <w:rPr>
          <w:color w:val="231F20"/>
          <w:sz w:val="20"/>
        </w:rPr>
        <w:t>not</w:t>
      </w:r>
      <w:r>
        <w:rPr>
          <w:color w:val="231F20"/>
          <w:spacing w:val="-6"/>
          <w:sz w:val="20"/>
        </w:rPr>
        <w:t xml:space="preserve"> </w:t>
      </w:r>
      <w:r>
        <w:rPr>
          <w:color w:val="231F20"/>
          <w:sz w:val="20"/>
        </w:rPr>
        <w:t>able</w:t>
      </w:r>
      <w:r>
        <w:rPr>
          <w:color w:val="231F20"/>
          <w:spacing w:val="-6"/>
          <w:sz w:val="20"/>
        </w:rPr>
        <w:t xml:space="preserve"> </w:t>
      </w:r>
      <w:r>
        <w:rPr>
          <w:color w:val="231F20"/>
          <w:sz w:val="20"/>
        </w:rPr>
        <w:t>to</w:t>
      </w:r>
      <w:r>
        <w:rPr>
          <w:color w:val="231F20"/>
          <w:spacing w:val="-6"/>
          <w:sz w:val="20"/>
        </w:rPr>
        <w:t xml:space="preserve"> </w:t>
      </w:r>
      <w:r>
        <w:rPr>
          <w:color w:val="231F20"/>
          <w:sz w:val="20"/>
        </w:rPr>
        <w:t>access</w:t>
      </w:r>
      <w:r>
        <w:rPr>
          <w:color w:val="231F20"/>
          <w:spacing w:val="-6"/>
          <w:sz w:val="20"/>
        </w:rPr>
        <w:t xml:space="preserve"> </w:t>
      </w:r>
      <w:r>
        <w:rPr>
          <w:color w:val="231F20"/>
          <w:sz w:val="20"/>
        </w:rPr>
        <w:t>it’.</w:t>
      </w:r>
      <w:r>
        <w:rPr>
          <w:color w:val="231F20"/>
          <w:position w:val="7"/>
          <w:sz w:val="11"/>
        </w:rPr>
        <w:t>98</w:t>
      </w:r>
    </w:p>
    <w:p w14:paraId="1C9C2243" w14:textId="77777777" w:rsidR="00894070" w:rsidRDefault="009B7AFD">
      <w:pPr>
        <w:pStyle w:val="ListParagraph"/>
        <w:numPr>
          <w:ilvl w:val="1"/>
          <w:numId w:val="29"/>
        </w:numPr>
        <w:tabs>
          <w:tab w:val="left" w:pos="1801"/>
          <w:tab w:val="left" w:pos="1802"/>
        </w:tabs>
        <w:spacing w:before="122" w:line="206" w:lineRule="auto"/>
        <w:ind w:right="1408"/>
        <w:rPr>
          <w:sz w:val="20"/>
        </w:rPr>
      </w:pP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interim</w:t>
      </w:r>
      <w:r>
        <w:rPr>
          <w:color w:val="231F20"/>
          <w:spacing w:val="-8"/>
          <w:sz w:val="20"/>
        </w:rPr>
        <w:t xml:space="preserve"> </w:t>
      </w:r>
      <w:r>
        <w:rPr>
          <w:color w:val="231F20"/>
          <w:sz w:val="20"/>
        </w:rPr>
        <w:t>report</w:t>
      </w:r>
      <w:r>
        <w:rPr>
          <w:color w:val="231F20"/>
          <w:spacing w:val="-8"/>
          <w:sz w:val="20"/>
        </w:rPr>
        <w:t xml:space="preserve"> </w:t>
      </w:r>
      <w:r>
        <w:rPr>
          <w:color w:val="231F20"/>
          <w:sz w:val="20"/>
        </w:rPr>
        <w:t>and</w:t>
      </w:r>
      <w:r>
        <w:rPr>
          <w:color w:val="231F20"/>
          <w:spacing w:val="-7"/>
          <w:sz w:val="20"/>
        </w:rPr>
        <w:t xml:space="preserve"> </w:t>
      </w:r>
      <w:r>
        <w:rPr>
          <w:color w:val="231F20"/>
          <w:spacing w:val="-3"/>
          <w:sz w:val="20"/>
        </w:rPr>
        <w:t>Chapter</w:t>
      </w:r>
      <w:r>
        <w:rPr>
          <w:color w:val="231F20"/>
          <w:spacing w:val="-8"/>
          <w:sz w:val="20"/>
        </w:rPr>
        <w:t xml:space="preserve"> </w:t>
      </w:r>
      <w:r>
        <w:rPr>
          <w:color w:val="231F20"/>
          <w:sz w:val="20"/>
        </w:rPr>
        <w:t>6</w:t>
      </w:r>
      <w:r>
        <w:rPr>
          <w:color w:val="231F20"/>
          <w:spacing w:val="-8"/>
          <w:sz w:val="20"/>
        </w:rPr>
        <w:t xml:space="preserve"> </w:t>
      </w:r>
      <w:r>
        <w:rPr>
          <w:color w:val="231F20"/>
          <w:spacing w:val="-3"/>
          <w:sz w:val="20"/>
        </w:rPr>
        <w:t>we</w:t>
      </w:r>
      <w:r>
        <w:rPr>
          <w:color w:val="231F20"/>
          <w:spacing w:val="-8"/>
          <w:sz w:val="20"/>
        </w:rPr>
        <w:t xml:space="preserve"> </w:t>
      </w:r>
      <w:r>
        <w:rPr>
          <w:color w:val="231F20"/>
          <w:sz w:val="20"/>
        </w:rPr>
        <w:t>made</w:t>
      </w:r>
      <w:r>
        <w:rPr>
          <w:color w:val="231F20"/>
          <w:spacing w:val="-8"/>
          <w:sz w:val="20"/>
        </w:rPr>
        <w:t xml:space="preserve"> </w:t>
      </w:r>
      <w:r>
        <w:rPr>
          <w:color w:val="231F20"/>
          <w:sz w:val="20"/>
        </w:rPr>
        <w:t>recommendations</w:t>
      </w:r>
      <w:r>
        <w:rPr>
          <w:color w:val="231F20"/>
          <w:spacing w:val="-7"/>
          <w:sz w:val="20"/>
        </w:rPr>
        <w:t xml:space="preserve"> </w:t>
      </w:r>
      <w:r>
        <w:rPr>
          <w:color w:val="231F20"/>
          <w:sz w:val="20"/>
        </w:rPr>
        <w:t>about</w:t>
      </w:r>
      <w:r>
        <w:rPr>
          <w:color w:val="231F20"/>
          <w:spacing w:val="-8"/>
          <w:sz w:val="20"/>
        </w:rPr>
        <w:t xml:space="preserve"> </w:t>
      </w:r>
      <w:r>
        <w:rPr>
          <w:color w:val="231F20"/>
          <w:sz w:val="20"/>
        </w:rPr>
        <w:t>the</w:t>
      </w:r>
      <w:r>
        <w:rPr>
          <w:color w:val="231F20"/>
          <w:spacing w:val="-8"/>
          <w:sz w:val="20"/>
        </w:rPr>
        <w:t xml:space="preserve"> </w:t>
      </w:r>
      <w:r>
        <w:rPr>
          <w:color w:val="231F20"/>
          <w:sz w:val="20"/>
        </w:rPr>
        <w:t>police</w:t>
      </w:r>
      <w:r>
        <w:rPr>
          <w:color w:val="231F20"/>
          <w:spacing w:val="-8"/>
          <w:sz w:val="20"/>
        </w:rPr>
        <w:t xml:space="preserve"> </w:t>
      </w:r>
      <w:r>
        <w:rPr>
          <w:color w:val="231F20"/>
          <w:sz w:val="20"/>
        </w:rPr>
        <w:t xml:space="preserve">and courts </w:t>
      </w:r>
      <w:r>
        <w:rPr>
          <w:color w:val="231F20"/>
          <w:spacing w:val="-3"/>
          <w:sz w:val="20"/>
        </w:rPr>
        <w:t xml:space="preserve">improving </w:t>
      </w:r>
      <w:r>
        <w:rPr>
          <w:color w:val="231F20"/>
          <w:sz w:val="20"/>
        </w:rPr>
        <w:t>their identification of stalking. This is a crucial first step in ensuring individuals</w:t>
      </w:r>
      <w:r>
        <w:rPr>
          <w:color w:val="231F20"/>
          <w:spacing w:val="-6"/>
          <w:sz w:val="20"/>
        </w:rPr>
        <w:t xml:space="preserve"> </w:t>
      </w:r>
      <w:r>
        <w:rPr>
          <w:color w:val="231F20"/>
          <w:sz w:val="20"/>
        </w:rPr>
        <w:t>who</w:t>
      </w:r>
      <w:r>
        <w:rPr>
          <w:color w:val="231F20"/>
          <w:spacing w:val="-6"/>
          <w:sz w:val="20"/>
        </w:rPr>
        <w:t xml:space="preserve"> </w:t>
      </w:r>
      <w:r>
        <w:rPr>
          <w:color w:val="231F20"/>
          <w:sz w:val="20"/>
        </w:rPr>
        <w:t>need</w:t>
      </w:r>
      <w:r>
        <w:rPr>
          <w:color w:val="231F20"/>
          <w:spacing w:val="-5"/>
          <w:sz w:val="20"/>
        </w:rPr>
        <w:t xml:space="preserve"> </w:t>
      </w:r>
      <w:r>
        <w:rPr>
          <w:color w:val="231F20"/>
          <w:sz w:val="20"/>
        </w:rPr>
        <w:t>help</w:t>
      </w:r>
      <w:r>
        <w:rPr>
          <w:color w:val="231F20"/>
          <w:spacing w:val="-6"/>
          <w:sz w:val="20"/>
        </w:rPr>
        <w:t xml:space="preserve"> </w:t>
      </w:r>
      <w:r>
        <w:rPr>
          <w:color w:val="231F20"/>
          <w:sz w:val="20"/>
        </w:rPr>
        <w:t>to</w:t>
      </w:r>
      <w:r>
        <w:rPr>
          <w:color w:val="231F20"/>
          <w:spacing w:val="-5"/>
          <w:sz w:val="20"/>
        </w:rPr>
        <w:t xml:space="preserve"> </w:t>
      </w:r>
      <w:r>
        <w:rPr>
          <w:color w:val="231F20"/>
          <w:sz w:val="20"/>
        </w:rPr>
        <w:t>stop</w:t>
      </w:r>
      <w:r>
        <w:rPr>
          <w:color w:val="231F20"/>
          <w:spacing w:val="-6"/>
          <w:sz w:val="20"/>
        </w:rPr>
        <w:t xml:space="preserve"> </w:t>
      </w:r>
      <w:r>
        <w:rPr>
          <w:color w:val="231F20"/>
          <w:sz w:val="20"/>
        </w:rPr>
        <w:t>stalking</w:t>
      </w:r>
      <w:r>
        <w:rPr>
          <w:color w:val="231F20"/>
          <w:spacing w:val="-5"/>
          <w:sz w:val="20"/>
        </w:rPr>
        <w:t xml:space="preserve"> </w:t>
      </w:r>
      <w:r>
        <w:rPr>
          <w:color w:val="231F20"/>
          <w:spacing w:val="-3"/>
          <w:sz w:val="20"/>
        </w:rPr>
        <w:t>are</w:t>
      </w:r>
      <w:r>
        <w:rPr>
          <w:color w:val="231F20"/>
          <w:spacing w:val="-6"/>
          <w:sz w:val="20"/>
        </w:rPr>
        <w:t xml:space="preserve"> </w:t>
      </w:r>
      <w:r>
        <w:rPr>
          <w:color w:val="231F20"/>
          <w:spacing w:val="-3"/>
          <w:sz w:val="20"/>
        </w:rPr>
        <w:t>given</w:t>
      </w:r>
      <w:r>
        <w:rPr>
          <w:color w:val="231F20"/>
          <w:spacing w:val="-5"/>
          <w:sz w:val="20"/>
        </w:rPr>
        <w:t xml:space="preserve"> </w:t>
      </w:r>
      <w:r>
        <w:rPr>
          <w:color w:val="231F20"/>
          <w:spacing w:val="-3"/>
          <w:sz w:val="20"/>
        </w:rPr>
        <w:t>appropriate</w:t>
      </w:r>
      <w:r>
        <w:rPr>
          <w:color w:val="231F20"/>
          <w:spacing w:val="-6"/>
          <w:sz w:val="20"/>
        </w:rPr>
        <w:t xml:space="preserve"> </w:t>
      </w:r>
      <w:r>
        <w:rPr>
          <w:color w:val="231F20"/>
          <w:sz w:val="20"/>
        </w:rPr>
        <w:t>referrals</w:t>
      </w:r>
      <w:r>
        <w:rPr>
          <w:color w:val="231F20"/>
          <w:spacing w:val="-5"/>
          <w:sz w:val="20"/>
        </w:rPr>
        <w:t xml:space="preserve"> </w:t>
      </w:r>
      <w:r>
        <w:rPr>
          <w:color w:val="231F20"/>
          <w:spacing w:val="-4"/>
          <w:sz w:val="20"/>
        </w:rPr>
        <w:t>early.</w:t>
      </w:r>
    </w:p>
    <w:p w14:paraId="2CDB12F2" w14:textId="77777777" w:rsidR="00894070" w:rsidRDefault="009B7AFD">
      <w:pPr>
        <w:pStyle w:val="ListParagraph"/>
        <w:numPr>
          <w:ilvl w:val="1"/>
          <w:numId w:val="29"/>
        </w:numPr>
        <w:tabs>
          <w:tab w:val="left" w:pos="1801"/>
          <w:tab w:val="left" w:pos="1802"/>
        </w:tabs>
        <w:spacing w:before="92" w:line="259" w:lineRule="exact"/>
        <w:rPr>
          <w:sz w:val="20"/>
        </w:rPr>
      </w:pPr>
      <w:r>
        <w:rPr>
          <w:color w:val="231F20"/>
          <w:sz w:val="20"/>
        </w:rPr>
        <w:t>As</w:t>
      </w:r>
      <w:r>
        <w:rPr>
          <w:color w:val="231F20"/>
          <w:spacing w:val="-6"/>
          <w:sz w:val="20"/>
        </w:rPr>
        <w:t xml:space="preserve"> </w:t>
      </w:r>
      <w:r>
        <w:rPr>
          <w:color w:val="231F20"/>
          <w:sz w:val="20"/>
        </w:rPr>
        <w:t>part</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coordinated</w:t>
      </w:r>
      <w:r>
        <w:rPr>
          <w:color w:val="231F20"/>
          <w:spacing w:val="-5"/>
          <w:sz w:val="20"/>
        </w:rPr>
        <w:t xml:space="preserve"> </w:t>
      </w:r>
      <w:r>
        <w:rPr>
          <w:color w:val="231F20"/>
          <w:sz w:val="20"/>
        </w:rPr>
        <w:t>response</w:t>
      </w:r>
      <w:r>
        <w:rPr>
          <w:color w:val="231F20"/>
          <w:spacing w:val="-5"/>
          <w:sz w:val="20"/>
        </w:rPr>
        <w:t xml:space="preserve"> </w:t>
      </w:r>
      <w:r>
        <w:rPr>
          <w:color w:val="231F20"/>
          <w:sz w:val="20"/>
        </w:rPr>
        <w:t>to</w:t>
      </w:r>
      <w:r>
        <w:rPr>
          <w:color w:val="231F20"/>
          <w:spacing w:val="-5"/>
          <w:sz w:val="20"/>
        </w:rPr>
        <w:t xml:space="preserve"> </w:t>
      </w:r>
      <w:r>
        <w:rPr>
          <w:color w:val="231F20"/>
          <w:sz w:val="20"/>
        </w:rPr>
        <w:t>stalking,</w:t>
      </w:r>
      <w:r>
        <w:rPr>
          <w:color w:val="231F20"/>
          <w:spacing w:val="-5"/>
          <w:sz w:val="20"/>
        </w:rPr>
        <w:t xml:space="preserve"> </w:t>
      </w:r>
      <w:r>
        <w:rPr>
          <w:color w:val="231F20"/>
          <w:sz w:val="20"/>
        </w:rPr>
        <w:t>the</w:t>
      </w:r>
      <w:r>
        <w:rPr>
          <w:color w:val="231F20"/>
          <w:spacing w:val="-5"/>
          <w:sz w:val="20"/>
        </w:rPr>
        <w:t xml:space="preserve"> </w:t>
      </w:r>
      <w:r>
        <w:rPr>
          <w:color w:val="231F20"/>
          <w:spacing w:val="-3"/>
          <w:sz w:val="20"/>
        </w:rPr>
        <w:t>government</w:t>
      </w:r>
      <w:r>
        <w:rPr>
          <w:color w:val="231F20"/>
          <w:spacing w:val="-5"/>
          <w:sz w:val="20"/>
        </w:rPr>
        <w:t xml:space="preserve"> </w:t>
      </w:r>
      <w:r>
        <w:rPr>
          <w:color w:val="231F20"/>
          <w:sz w:val="20"/>
        </w:rPr>
        <w:t>should</w:t>
      </w:r>
      <w:r>
        <w:rPr>
          <w:color w:val="231F20"/>
          <w:spacing w:val="-5"/>
          <w:sz w:val="20"/>
        </w:rPr>
        <w:t xml:space="preserve"> </w:t>
      </w:r>
      <w:r>
        <w:rPr>
          <w:color w:val="231F20"/>
          <w:sz w:val="20"/>
        </w:rPr>
        <w:t>ensure</w:t>
      </w:r>
      <w:r>
        <w:rPr>
          <w:color w:val="231F20"/>
          <w:spacing w:val="-5"/>
          <w:sz w:val="20"/>
        </w:rPr>
        <w:t xml:space="preserve"> </w:t>
      </w:r>
      <w:r>
        <w:rPr>
          <w:color w:val="231F20"/>
          <w:sz w:val="20"/>
        </w:rPr>
        <w:t>that</w:t>
      </w:r>
    </w:p>
    <w:p w14:paraId="6B72A700" w14:textId="77777777" w:rsidR="00894070" w:rsidRDefault="009B7AFD">
      <w:pPr>
        <w:pStyle w:val="BodyText"/>
        <w:spacing w:line="259" w:lineRule="exact"/>
        <w:ind w:left="1801"/>
      </w:pPr>
      <w:r>
        <w:rPr>
          <w:color w:val="231F20"/>
        </w:rPr>
        <w:t>referral pathways to treatment and support for people who stalk are in place.</w:t>
      </w:r>
    </w:p>
    <w:p w14:paraId="287DAA15" w14:textId="77777777" w:rsidR="00894070" w:rsidRDefault="009B7AFD">
      <w:pPr>
        <w:pStyle w:val="Heading9"/>
        <w:rPr>
          <w:b/>
        </w:rPr>
      </w:pPr>
      <w:r>
        <w:rPr>
          <w:b/>
          <w:color w:val="231F20"/>
        </w:rPr>
        <w:t>Police as a point of intervention</w:t>
      </w:r>
    </w:p>
    <w:p w14:paraId="77F29D80" w14:textId="77777777" w:rsidR="00894070" w:rsidRDefault="009B7AFD">
      <w:pPr>
        <w:pStyle w:val="ListParagraph"/>
        <w:numPr>
          <w:ilvl w:val="1"/>
          <w:numId w:val="29"/>
        </w:numPr>
        <w:tabs>
          <w:tab w:val="left" w:pos="1801"/>
          <w:tab w:val="left" w:pos="1802"/>
        </w:tabs>
        <w:spacing w:before="132" w:line="206" w:lineRule="auto"/>
        <w:ind w:right="1369"/>
        <w:rPr>
          <w:sz w:val="11"/>
        </w:rPr>
      </w:pPr>
      <w:r>
        <w:rPr>
          <w:color w:val="231F20"/>
          <w:sz w:val="20"/>
        </w:rPr>
        <w:t>In</w:t>
      </w:r>
      <w:r>
        <w:rPr>
          <w:color w:val="231F20"/>
          <w:spacing w:val="-11"/>
          <w:sz w:val="20"/>
        </w:rPr>
        <w:t xml:space="preserve"> </w:t>
      </w:r>
      <w:r>
        <w:rPr>
          <w:color w:val="231F20"/>
          <w:sz w:val="20"/>
        </w:rPr>
        <w:t>our</w:t>
      </w:r>
      <w:r>
        <w:rPr>
          <w:color w:val="231F20"/>
          <w:spacing w:val="-10"/>
          <w:sz w:val="20"/>
        </w:rPr>
        <w:t xml:space="preserve"> </w:t>
      </w:r>
      <w:r>
        <w:rPr>
          <w:color w:val="231F20"/>
          <w:spacing w:val="-3"/>
          <w:sz w:val="20"/>
        </w:rPr>
        <w:t>interim</w:t>
      </w:r>
      <w:r>
        <w:rPr>
          <w:color w:val="231F20"/>
          <w:spacing w:val="-10"/>
          <w:sz w:val="20"/>
        </w:rPr>
        <w:t xml:space="preserve"> </w:t>
      </w:r>
      <w:r>
        <w:rPr>
          <w:color w:val="231F20"/>
          <w:sz w:val="20"/>
        </w:rPr>
        <w:t>report</w:t>
      </w:r>
      <w:r>
        <w:rPr>
          <w:color w:val="231F20"/>
          <w:spacing w:val="-10"/>
          <w:sz w:val="20"/>
        </w:rPr>
        <w:t xml:space="preserve"> </w:t>
      </w:r>
      <w:r>
        <w:rPr>
          <w:color w:val="231F20"/>
          <w:spacing w:val="-3"/>
          <w:sz w:val="20"/>
        </w:rPr>
        <w:t>we</w:t>
      </w:r>
      <w:r>
        <w:rPr>
          <w:color w:val="231F20"/>
          <w:spacing w:val="-10"/>
          <w:sz w:val="20"/>
        </w:rPr>
        <w:t xml:space="preserve"> </w:t>
      </w:r>
      <w:r>
        <w:rPr>
          <w:color w:val="231F20"/>
          <w:sz w:val="20"/>
        </w:rPr>
        <w:t>recommended</w:t>
      </w:r>
      <w:r>
        <w:rPr>
          <w:color w:val="231F20"/>
          <w:spacing w:val="-10"/>
          <w:sz w:val="20"/>
        </w:rPr>
        <w:t xml:space="preserve"> </w:t>
      </w:r>
      <w:r>
        <w:rPr>
          <w:color w:val="231F20"/>
          <w:sz w:val="20"/>
        </w:rPr>
        <w:t>that</w:t>
      </w:r>
      <w:r>
        <w:rPr>
          <w:color w:val="231F20"/>
          <w:spacing w:val="-10"/>
          <w:sz w:val="20"/>
        </w:rPr>
        <w:t xml:space="preserve"> </w:t>
      </w:r>
      <w:r>
        <w:rPr>
          <w:color w:val="231F20"/>
          <w:sz w:val="20"/>
        </w:rPr>
        <w:t>Victoria</w:t>
      </w:r>
      <w:r>
        <w:rPr>
          <w:color w:val="231F20"/>
          <w:spacing w:val="-10"/>
          <w:sz w:val="20"/>
        </w:rPr>
        <w:t xml:space="preserve"> </w:t>
      </w:r>
      <w:r>
        <w:rPr>
          <w:color w:val="231F20"/>
          <w:sz w:val="20"/>
        </w:rPr>
        <w:t>Police</w:t>
      </w:r>
      <w:r>
        <w:rPr>
          <w:color w:val="231F20"/>
          <w:spacing w:val="-11"/>
          <w:sz w:val="20"/>
        </w:rPr>
        <w:t xml:space="preserve"> </w:t>
      </w:r>
      <w:r>
        <w:rPr>
          <w:color w:val="231F20"/>
          <w:sz w:val="20"/>
        </w:rPr>
        <w:t>identify</w:t>
      </w:r>
      <w:r>
        <w:rPr>
          <w:color w:val="231F20"/>
          <w:spacing w:val="-10"/>
          <w:sz w:val="20"/>
        </w:rPr>
        <w:t xml:space="preserve"> </w:t>
      </w:r>
      <w:r>
        <w:rPr>
          <w:color w:val="231F20"/>
          <w:sz w:val="20"/>
        </w:rPr>
        <w:t>stalking</w:t>
      </w:r>
      <w:r>
        <w:rPr>
          <w:color w:val="231F20"/>
          <w:spacing w:val="-10"/>
          <w:sz w:val="20"/>
        </w:rPr>
        <w:t xml:space="preserve"> </w:t>
      </w:r>
      <w:r>
        <w:rPr>
          <w:color w:val="231F20"/>
          <w:sz w:val="20"/>
        </w:rPr>
        <w:t>and</w:t>
      </w:r>
      <w:r>
        <w:rPr>
          <w:color w:val="231F20"/>
          <w:spacing w:val="-10"/>
          <w:sz w:val="20"/>
        </w:rPr>
        <w:t xml:space="preserve"> </w:t>
      </w:r>
      <w:r>
        <w:rPr>
          <w:color w:val="231F20"/>
          <w:sz w:val="20"/>
        </w:rPr>
        <w:t xml:space="preserve">make </w:t>
      </w:r>
      <w:r>
        <w:rPr>
          <w:color w:val="231F20"/>
          <w:spacing w:val="-3"/>
          <w:sz w:val="20"/>
        </w:rPr>
        <w:t xml:space="preserve">appropriate </w:t>
      </w:r>
      <w:r>
        <w:rPr>
          <w:color w:val="231F20"/>
          <w:sz w:val="20"/>
        </w:rPr>
        <w:t xml:space="preserve">referrals, including </w:t>
      </w:r>
      <w:r>
        <w:rPr>
          <w:color w:val="231F20"/>
          <w:spacing w:val="-3"/>
          <w:sz w:val="20"/>
        </w:rPr>
        <w:t>for</w:t>
      </w:r>
      <w:r>
        <w:rPr>
          <w:color w:val="231F20"/>
          <w:spacing w:val="-15"/>
          <w:sz w:val="20"/>
        </w:rPr>
        <w:t xml:space="preserve"> </w:t>
      </w:r>
      <w:r>
        <w:rPr>
          <w:color w:val="231F20"/>
          <w:sz w:val="20"/>
        </w:rPr>
        <w:t>treatment.</w:t>
      </w:r>
      <w:r>
        <w:rPr>
          <w:color w:val="231F20"/>
          <w:position w:val="7"/>
          <w:sz w:val="11"/>
        </w:rPr>
        <w:t>99</w:t>
      </w:r>
    </w:p>
    <w:p w14:paraId="31912858" w14:textId="77777777" w:rsidR="00894070" w:rsidRDefault="009B7AFD">
      <w:pPr>
        <w:pStyle w:val="ListParagraph"/>
        <w:numPr>
          <w:ilvl w:val="1"/>
          <w:numId w:val="29"/>
        </w:numPr>
        <w:tabs>
          <w:tab w:val="left" w:pos="1801"/>
          <w:tab w:val="left" w:pos="1802"/>
        </w:tabs>
        <w:spacing w:before="122" w:line="206" w:lineRule="auto"/>
        <w:ind w:right="1338"/>
        <w:rPr>
          <w:sz w:val="11"/>
        </w:rPr>
      </w:pPr>
      <w:r>
        <w:rPr>
          <w:color w:val="231F20"/>
          <w:sz w:val="20"/>
        </w:rPr>
        <w:t>The</w:t>
      </w:r>
      <w:r>
        <w:rPr>
          <w:color w:val="231F20"/>
          <w:spacing w:val="-10"/>
          <w:sz w:val="20"/>
        </w:rPr>
        <w:t xml:space="preserve"> </w:t>
      </w:r>
      <w:r>
        <w:rPr>
          <w:color w:val="231F20"/>
          <w:sz w:val="20"/>
        </w:rPr>
        <w:t>police</w:t>
      </w:r>
      <w:r>
        <w:rPr>
          <w:color w:val="231F20"/>
          <w:spacing w:val="-9"/>
          <w:sz w:val="20"/>
        </w:rPr>
        <w:t xml:space="preserve"> </w:t>
      </w:r>
      <w:r>
        <w:rPr>
          <w:color w:val="231F20"/>
          <w:sz w:val="20"/>
        </w:rPr>
        <w:t>should</w:t>
      </w:r>
      <w:r>
        <w:rPr>
          <w:color w:val="231F20"/>
          <w:spacing w:val="-9"/>
          <w:sz w:val="20"/>
        </w:rPr>
        <w:t xml:space="preserve"> </w:t>
      </w:r>
      <w:r>
        <w:rPr>
          <w:color w:val="231F20"/>
          <w:sz w:val="20"/>
        </w:rPr>
        <w:t>make</w:t>
      </w:r>
      <w:r>
        <w:rPr>
          <w:color w:val="231F20"/>
          <w:spacing w:val="-9"/>
          <w:sz w:val="20"/>
        </w:rPr>
        <w:t xml:space="preserve"> </w:t>
      </w:r>
      <w:r>
        <w:rPr>
          <w:color w:val="231F20"/>
          <w:spacing w:val="-3"/>
          <w:sz w:val="20"/>
        </w:rPr>
        <w:t>appropriate</w:t>
      </w:r>
      <w:r>
        <w:rPr>
          <w:color w:val="231F20"/>
          <w:spacing w:val="-9"/>
          <w:sz w:val="20"/>
        </w:rPr>
        <w:t xml:space="preserve"> </w:t>
      </w:r>
      <w:r>
        <w:rPr>
          <w:color w:val="231F20"/>
          <w:sz w:val="20"/>
        </w:rPr>
        <w:t>referrals</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assessment.</w:t>
      </w:r>
      <w:r>
        <w:rPr>
          <w:color w:val="231F20"/>
          <w:spacing w:val="-9"/>
          <w:sz w:val="20"/>
        </w:rPr>
        <w:t xml:space="preserve"> </w:t>
      </w:r>
      <w:r>
        <w:rPr>
          <w:color w:val="231F20"/>
          <w:sz w:val="20"/>
        </w:rPr>
        <w:t>These</w:t>
      </w:r>
      <w:r>
        <w:rPr>
          <w:color w:val="231F20"/>
          <w:spacing w:val="-9"/>
          <w:sz w:val="20"/>
        </w:rPr>
        <w:t xml:space="preserve"> </w:t>
      </w:r>
      <w:r>
        <w:rPr>
          <w:color w:val="231F20"/>
          <w:sz w:val="20"/>
        </w:rPr>
        <w:t>assessments</w:t>
      </w:r>
      <w:r>
        <w:rPr>
          <w:color w:val="231F20"/>
          <w:spacing w:val="-9"/>
          <w:sz w:val="20"/>
        </w:rPr>
        <w:t xml:space="preserve"> </w:t>
      </w:r>
      <w:r>
        <w:rPr>
          <w:color w:val="231F20"/>
          <w:spacing w:val="-3"/>
          <w:sz w:val="20"/>
        </w:rPr>
        <w:t xml:space="preserve">are </w:t>
      </w:r>
      <w:r>
        <w:rPr>
          <w:color w:val="231F20"/>
          <w:sz w:val="20"/>
        </w:rPr>
        <w:t>important</w:t>
      </w:r>
      <w:r>
        <w:rPr>
          <w:color w:val="231F20"/>
          <w:spacing w:val="-6"/>
          <w:sz w:val="20"/>
        </w:rPr>
        <w:t xml:space="preserve"> </w:t>
      </w:r>
      <w:r>
        <w:rPr>
          <w:color w:val="231F20"/>
          <w:sz w:val="20"/>
        </w:rPr>
        <w:t>to</w:t>
      </w:r>
      <w:r>
        <w:rPr>
          <w:color w:val="231F20"/>
          <w:spacing w:val="-5"/>
          <w:sz w:val="20"/>
        </w:rPr>
        <w:t xml:space="preserve"> </w:t>
      </w:r>
      <w:r>
        <w:rPr>
          <w:color w:val="231F20"/>
          <w:sz w:val="20"/>
        </w:rPr>
        <w:t>identify</w:t>
      </w:r>
      <w:r>
        <w:rPr>
          <w:color w:val="231F20"/>
          <w:spacing w:val="-6"/>
          <w:sz w:val="20"/>
        </w:rPr>
        <w:t xml:space="preserve"> </w:t>
      </w:r>
      <w:r>
        <w:rPr>
          <w:color w:val="231F20"/>
          <w:sz w:val="20"/>
        </w:rPr>
        <w:t>the</w:t>
      </w:r>
      <w:r>
        <w:rPr>
          <w:color w:val="231F20"/>
          <w:spacing w:val="-5"/>
          <w:sz w:val="20"/>
        </w:rPr>
        <w:t xml:space="preserve"> </w:t>
      </w:r>
      <w:r>
        <w:rPr>
          <w:color w:val="231F20"/>
          <w:sz w:val="20"/>
        </w:rPr>
        <w:t>right</w:t>
      </w:r>
      <w:r>
        <w:rPr>
          <w:color w:val="231F20"/>
          <w:spacing w:val="-6"/>
          <w:sz w:val="20"/>
        </w:rPr>
        <w:t xml:space="preserve"> </w:t>
      </w:r>
      <w:r>
        <w:rPr>
          <w:color w:val="231F20"/>
          <w:spacing w:val="-3"/>
          <w:sz w:val="20"/>
        </w:rPr>
        <w:t>treatment</w:t>
      </w:r>
      <w:r>
        <w:rPr>
          <w:color w:val="231F20"/>
          <w:spacing w:val="-5"/>
          <w:sz w:val="20"/>
        </w:rPr>
        <w:t xml:space="preserve"> </w:t>
      </w:r>
      <w:r>
        <w:rPr>
          <w:color w:val="231F20"/>
          <w:sz w:val="20"/>
        </w:rPr>
        <w:t>programs</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the</w:t>
      </w:r>
      <w:r>
        <w:rPr>
          <w:color w:val="231F20"/>
          <w:spacing w:val="-6"/>
          <w:sz w:val="20"/>
        </w:rPr>
        <w:t xml:space="preserve"> </w:t>
      </w:r>
      <w:r>
        <w:rPr>
          <w:color w:val="231F20"/>
          <w:sz w:val="20"/>
        </w:rPr>
        <w:t>person</w:t>
      </w:r>
      <w:r>
        <w:rPr>
          <w:color w:val="231F20"/>
          <w:spacing w:val="-5"/>
          <w:sz w:val="20"/>
        </w:rPr>
        <w:t xml:space="preserve"> </w:t>
      </w:r>
      <w:r>
        <w:rPr>
          <w:color w:val="231F20"/>
          <w:sz w:val="20"/>
        </w:rPr>
        <w:t>who</w:t>
      </w:r>
      <w:r>
        <w:rPr>
          <w:color w:val="231F20"/>
          <w:spacing w:val="-6"/>
          <w:sz w:val="20"/>
        </w:rPr>
        <w:t xml:space="preserve"> </w:t>
      </w:r>
      <w:r>
        <w:rPr>
          <w:color w:val="231F20"/>
          <w:sz w:val="20"/>
        </w:rPr>
        <w:t>stalks.</w:t>
      </w:r>
      <w:r>
        <w:rPr>
          <w:color w:val="231F20"/>
          <w:position w:val="7"/>
          <w:sz w:val="11"/>
        </w:rPr>
        <w:t>100</w:t>
      </w:r>
    </w:p>
    <w:p w14:paraId="28C580BA" w14:textId="77777777" w:rsidR="00894070" w:rsidRDefault="009B7AFD">
      <w:pPr>
        <w:pStyle w:val="Heading9"/>
        <w:spacing w:before="127"/>
        <w:rPr>
          <w:b/>
        </w:rPr>
      </w:pPr>
      <w:r>
        <w:rPr>
          <w:b/>
          <w:color w:val="231F20"/>
        </w:rPr>
        <w:t>Lawyers as a point of intervention</w:t>
      </w:r>
    </w:p>
    <w:p w14:paraId="3BE8215C" w14:textId="77777777" w:rsidR="00894070" w:rsidRDefault="009B7AFD">
      <w:pPr>
        <w:pStyle w:val="ListParagraph"/>
        <w:numPr>
          <w:ilvl w:val="1"/>
          <w:numId w:val="29"/>
        </w:numPr>
        <w:tabs>
          <w:tab w:val="left" w:pos="1801"/>
          <w:tab w:val="left" w:pos="1802"/>
        </w:tabs>
        <w:spacing w:before="132" w:line="206" w:lineRule="auto"/>
        <w:ind w:right="1198"/>
        <w:rPr>
          <w:sz w:val="20"/>
        </w:rPr>
      </w:pPr>
      <w:r>
        <w:rPr>
          <w:color w:val="231F20"/>
          <w:sz w:val="20"/>
        </w:rPr>
        <w:t>Lawyers</w:t>
      </w:r>
      <w:r>
        <w:rPr>
          <w:color w:val="231F20"/>
          <w:spacing w:val="-9"/>
          <w:sz w:val="20"/>
        </w:rPr>
        <w:t xml:space="preserve"> </w:t>
      </w:r>
      <w:r>
        <w:rPr>
          <w:color w:val="231F20"/>
          <w:spacing w:val="-3"/>
          <w:sz w:val="20"/>
        </w:rPr>
        <w:t>representing</w:t>
      </w:r>
      <w:r>
        <w:rPr>
          <w:color w:val="231F20"/>
          <w:spacing w:val="-8"/>
          <w:sz w:val="20"/>
        </w:rPr>
        <w:t xml:space="preserve"> </w:t>
      </w: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z w:val="20"/>
        </w:rPr>
        <w:t>stalk</w:t>
      </w:r>
      <w:r>
        <w:rPr>
          <w:color w:val="231F20"/>
          <w:spacing w:val="-8"/>
          <w:sz w:val="20"/>
        </w:rPr>
        <w:t xml:space="preserve"> </w:t>
      </w:r>
      <w:r>
        <w:rPr>
          <w:color w:val="231F20"/>
          <w:sz w:val="20"/>
        </w:rPr>
        <w:t>can</w:t>
      </w:r>
      <w:r>
        <w:rPr>
          <w:color w:val="231F20"/>
          <w:spacing w:val="-8"/>
          <w:sz w:val="20"/>
        </w:rPr>
        <w:t xml:space="preserve"> </w:t>
      </w:r>
      <w:r>
        <w:rPr>
          <w:color w:val="231F20"/>
          <w:sz w:val="20"/>
        </w:rPr>
        <w:t>play</w:t>
      </w:r>
      <w:r>
        <w:rPr>
          <w:color w:val="231F20"/>
          <w:spacing w:val="-8"/>
          <w:sz w:val="20"/>
        </w:rPr>
        <w:t xml:space="preserve"> </w:t>
      </w:r>
      <w:r>
        <w:rPr>
          <w:color w:val="231F20"/>
          <w:sz w:val="20"/>
        </w:rPr>
        <w:t>an</w:t>
      </w:r>
      <w:r>
        <w:rPr>
          <w:color w:val="231F20"/>
          <w:spacing w:val="-8"/>
          <w:sz w:val="20"/>
        </w:rPr>
        <w:t xml:space="preserve"> </w:t>
      </w:r>
      <w:r>
        <w:rPr>
          <w:color w:val="231F20"/>
          <w:sz w:val="20"/>
        </w:rPr>
        <w:t>important</w:t>
      </w:r>
      <w:r>
        <w:rPr>
          <w:color w:val="231F20"/>
          <w:spacing w:val="-8"/>
          <w:sz w:val="20"/>
        </w:rPr>
        <w:t xml:space="preserve"> </w:t>
      </w:r>
      <w:r>
        <w:rPr>
          <w:color w:val="231F20"/>
          <w:spacing w:val="-3"/>
          <w:sz w:val="20"/>
        </w:rPr>
        <w:t>role</w:t>
      </w:r>
      <w:r>
        <w:rPr>
          <w:color w:val="231F20"/>
          <w:spacing w:val="-8"/>
          <w:sz w:val="20"/>
        </w:rPr>
        <w:t xml:space="preserve"> </w:t>
      </w:r>
      <w:r>
        <w:rPr>
          <w:color w:val="231F20"/>
          <w:sz w:val="20"/>
        </w:rPr>
        <w:t>in</w:t>
      </w:r>
      <w:r>
        <w:rPr>
          <w:color w:val="231F20"/>
          <w:spacing w:val="-8"/>
          <w:sz w:val="20"/>
        </w:rPr>
        <w:t xml:space="preserve"> </w:t>
      </w:r>
      <w:r>
        <w:rPr>
          <w:color w:val="231F20"/>
          <w:spacing w:val="-3"/>
          <w:sz w:val="20"/>
        </w:rPr>
        <w:t>early</w:t>
      </w:r>
      <w:r>
        <w:rPr>
          <w:color w:val="231F20"/>
          <w:spacing w:val="-8"/>
          <w:sz w:val="20"/>
        </w:rPr>
        <w:t xml:space="preserve"> </w:t>
      </w:r>
      <w:r>
        <w:rPr>
          <w:color w:val="231F20"/>
          <w:sz w:val="20"/>
        </w:rPr>
        <w:t xml:space="preserve">intervention. Much </w:t>
      </w:r>
      <w:r>
        <w:rPr>
          <w:color w:val="231F20"/>
          <w:spacing w:val="-3"/>
          <w:sz w:val="20"/>
        </w:rPr>
        <w:t xml:space="preserve">work </w:t>
      </w:r>
      <w:r>
        <w:rPr>
          <w:color w:val="231F20"/>
          <w:sz w:val="20"/>
        </w:rPr>
        <w:t xml:space="preserve">has been done in this area in the </w:t>
      </w:r>
      <w:r>
        <w:rPr>
          <w:color w:val="231F20"/>
          <w:spacing w:val="-3"/>
          <w:sz w:val="20"/>
        </w:rPr>
        <w:t xml:space="preserve">context </w:t>
      </w:r>
      <w:r>
        <w:rPr>
          <w:color w:val="231F20"/>
          <w:sz w:val="20"/>
        </w:rPr>
        <w:t xml:space="preserve">of </w:t>
      </w:r>
      <w:r>
        <w:rPr>
          <w:color w:val="231F20"/>
          <w:spacing w:val="-3"/>
          <w:sz w:val="20"/>
        </w:rPr>
        <w:t xml:space="preserve">family </w:t>
      </w:r>
      <w:r>
        <w:rPr>
          <w:color w:val="231F20"/>
          <w:spacing w:val="-2"/>
          <w:sz w:val="20"/>
        </w:rPr>
        <w:t xml:space="preserve">violence, </w:t>
      </w:r>
      <w:r>
        <w:rPr>
          <w:color w:val="231F20"/>
          <w:spacing w:val="-3"/>
          <w:sz w:val="20"/>
        </w:rPr>
        <w:t xml:space="preserve">following </w:t>
      </w:r>
      <w:r>
        <w:rPr>
          <w:color w:val="231F20"/>
          <w:sz w:val="20"/>
        </w:rPr>
        <w:t xml:space="preserve">the </w:t>
      </w:r>
      <w:r>
        <w:rPr>
          <w:color w:val="231F20"/>
          <w:spacing w:val="-3"/>
          <w:sz w:val="20"/>
        </w:rPr>
        <w:t xml:space="preserve">Royal </w:t>
      </w:r>
      <w:r>
        <w:rPr>
          <w:color w:val="231F20"/>
          <w:sz w:val="20"/>
        </w:rPr>
        <w:t xml:space="preserve">Commission </w:t>
      </w:r>
      <w:r>
        <w:rPr>
          <w:color w:val="231F20"/>
          <w:spacing w:val="-3"/>
          <w:sz w:val="20"/>
        </w:rPr>
        <w:t xml:space="preserve">into </w:t>
      </w:r>
      <w:r>
        <w:rPr>
          <w:color w:val="231F20"/>
          <w:spacing w:val="-4"/>
          <w:sz w:val="20"/>
        </w:rPr>
        <w:t xml:space="preserve">Family </w:t>
      </w:r>
      <w:r>
        <w:rPr>
          <w:color w:val="231F20"/>
          <w:sz w:val="20"/>
        </w:rPr>
        <w:t>Violence.</w:t>
      </w:r>
      <w:r>
        <w:rPr>
          <w:color w:val="231F20"/>
          <w:position w:val="7"/>
          <w:sz w:val="11"/>
        </w:rPr>
        <w:t xml:space="preserve">101 </w:t>
      </w:r>
      <w:r>
        <w:rPr>
          <w:color w:val="231F20"/>
          <w:sz w:val="20"/>
        </w:rPr>
        <w:t xml:space="preserve">Some of the </w:t>
      </w:r>
      <w:r>
        <w:rPr>
          <w:color w:val="231F20"/>
          <w:spacing w:val="-4"/>
          <w:sz w:val="20"/>
        </w:rPr>
        <w:t xml:space="preserve">key </w:t>
      </w:r>
      <w:r>
        <w:rPr>
          <w:color w:val="231F20"/>
          <w:sz w:val="20"/>
        </w:rPr>
        <w:t xml:space="preserve">actions </w:t>
      </w:r>
      <w:r>
        <w:rPr>
          <w:color w:val="231F20"/>
          <w:spacing w:val="-5"/>
          <w:sz w:val="20"/>
        </w:rPr>
        <w:t xml:space="preserve">involve </w:t>
      </w:r>
      <w:r>
        <w:rPr>
          <w:color w:val="231F20"/>
          <w:sz w:val="20"/>
        </w:rPr>
        <w:t>equipping lawyers</w:t>
      </w:r>
      <w:r>
        <w:rPr>
          <w:color w:val="231F20"/>
          <w:spacing w:val="-5"/>
          <w:sz w:val="20"/>
        </w:rPr>
        <w:t xml:space="preserve"> </w:t>
      </w:r>
      <w:r>
        <w:rPr>
          <w:color w:val="231F20"/>
          <w:spacing w:val="-3"/>
          <w:sz w:val="20"/>
        </w:rPr>
        <w:t>to:</w:t>
      </w:r>
    </w:p>
    <w:p w14:paraId="53548C54" w14:textId="77777777" w:rsidR="00894070" w:rsidRDefault="009B7AFD">
      <w:pPr>
        <w:pStyle w:val="ListParagraph"/>
        <w:numPr>
          <w:ilvl w:val="2"/>
          <w:numId w:val="29"/>
        </w:numPr>
        <w:tabs>
          <w:tab w:val="left" w:pos="2141"/>
          <w:tab w:val="left" w:pos="2142"/>
        </w:tabs>
        <w:spacing w:before="93"/>
        <w:ind w:hanging="340"/>
        <w:rPr>
          <w:sz w:val="20"/>
        </w:rPr>
      </w:pPr>
      <w:r>
        <w:rPr>
          <w:color w:val="231F20"/>
          <w:sz w:val="20"/>
        </w:rPr>
        <w:t>identify risk of harm to</w:t>
      </w:r>
      <w:r>
        <w:rPr>
          <w:color w:val="231F20"/>
          <w:spacing w:val="-22"/>
          <w:sz w:val="20"/>
        </w:rPr>
        <w:t xml:space="preserve"> </w:t>
      </w:r>
      <w:r>
        <w:rPr>
          <w:color w:val="231F20"/>
          <w:sz w:val="20"/>
        </w:rPr>
        <w:t>clients</w:t>
      </w:r>
    </w:p>
    <w:p w14:paraId="6D985E69" w14:textId="77777777" w:rsidR="00894070" w:rsidRDefault="009B7AFD">
      <w:pPr>
        <w:pStyle w:val="ListParagraph"/>
        <w:numPr>
          <w:ilvl w:val="2"/>
          <w:numId w:val="29"/>
        </w:numPr>
        <w:tabs>
          <w:tab w:val="left" w:pos="2141"/>
          <w:tab w:val="left" w:pos="2142"/>
        </w:tabs>
        <w:spacing w:before="47"/>
        <w:ind w:hanging="340"/>
        <w:rPr>
          <w:sz w:val="20"/>
        </w:rPr>
      </w:pPr>
      <w:r>
        <w:rPr>
          <w:color w:val="231F20"/>
          <w:spacing w:val="-3"/>
          <w:sz w:val="20"/>
        </w:rPr>
        <w:t xml:space="preserve">properly represent </w:t>
      </w:r>
      <w:r>
        <w:rPr>
          <w:color w:val="231F20"/>
          <w:sz w:val="20"/>
        </w:rPr>
        <w:t>clients without engaging in colluding</w:t>
      </w:r>
      <w:r>
        <w:rPr>
          <w:color w:val="231F20"/>
          <w:spacing w:val="-28"/>
          <w:sz w:val="20"/>
        </w:rPr>
        <w:t xml:space="preserve"> </w:t>
      </w:r>
      <w:r>
        <w:rPr>
          <w:color w:val="231F20"/>
          <w:sz w:val="20"/>
        </w:rPr>
        <w:t>behaviour</w:t>
      </w:r>
    </w:p>
    <w:p w14:paraId="096AD191" w14:textId="77777777" w:rsidR="00894070" w:rsidRDefault="009B7AFD">
      <w:pPr>
        <w:pStyle w:val="ListParagraph"/>
        <w:numPr>
          <w:ilvl w:val="2"/>
          <w:numId w:val="29"/>
        </w:numPr>
        <w:tabs>
          <w:tab w:val="left" w:pos="2141"/>
          <w:tab w:val="left" w:pos="2142"/>
        </w:tabs>
        <w:spacing w:before="80" w:line="206" w:lineRule="auto"/>
        <w:ind w:right="1551" w:hanging="340"/>
        <w:rPr>
          <w:sz w:val="20"/>
        </w:rPr>
      </w:pPr>
      <w:r>
        <w:rPr>
          <w:color w:val="231F20"/>
          <w:sz w:val="20"/>
        </w:rPr>
        <w:t>identify</w:t>
      </w:r>
      <w:r>
        <w:rPr>
          <w:color w:val="231F20"/>
          <w:spacing w:val="-10"/>
          <w:sz w:val="20"/>
        </w:rPr>
        <w:t xml:space="preserve"> </w:t>
      </w:r>
      <w:r>
        <w:rPr>
          <w:color w:val="231F20"/>
          <w:sz w:val="20"/>
        </w:rPr>
        <w:t>and</w:t>
      </w:r>
      <w:r>
        <w:rPr>
          <w:color w:val="231F20"/>
          <w:spacing w:val="-10"/>
          <w:sz w:val="20"/>
        </w:rPr>
        <w:t xml:space="preserve"> </w:t>
      </w:r>
      <w:r>
        <w:rPr>
          <w:color w:val="231F20"/>
          <w:sz w:val="20"/>
        </w:rPr>
        <w:t>make</w:t>
      </w:r>
      <w:r>
        <w:rPr>
          <w:color w:val="231F20"/>
          <w:spacing w:val="-10"/>
          <w:sz w:val="20"/>
        </w:rPr>
        <w:t xml:space="preserve"> </w:t>
      </w:r>
      <w:r>
        <w:rPr>
          <w:color w:val="231F20"/>
          <w:spacing w:val="-3"/>
          <w:sz w:val="20"/>
        </w:rPr>
        <w:t>appropriate</w:t>
      </w:r>
      <w:r>
        <w:rPr>
          <w:color w:val="231F20"/>
          <w:spacing w:val="-10"/>
          <w:sz w:val="20"/>
        </w:rPr>
        <w:t xml:space="preserve"> </w:t>
      </w:r>
      <w:r>
        <w:rPr>
          <w:color w:val="231F20"/>
          <w:sz w:val="20"/>
        </w:rPr>
        <w:t>referrals</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clients</w:t>
      </w:r>
      <w:r>
        <w:rPr>
          <w:color w:val="231F20"/>
          <w:spacing w:val="-10"/>
          <w:sz w:val="20"/>
        </w:rPr>
        <w:t xml:space="preserve"> </w:t>
      </w:r>
      <w:r>
        <w:rPr>
          <w:color w:val="231F20"/>
          <w:sz w:val="20"/>
        </w:rPr>
        <w:t>to</w:t>
      </w:r>
      <w:r>
        <w:rPr>
          <w:color w:val="231F20"/>
          <w:spacing w:val="-9"/>
          <w:sz w:val="20"/>
        </w:rPr>
        <w:t xml:space="preserve"> </w:t>
      </w:r>
      <w:r>
        <w:rPr>
          <w:color w:val="231F20"/>
          <w:sz w:val="20"/>
        </w:rPr>
        <w:t>programs</w:t>
      </w:r>
      <w:r>
        <w:rPr>
          <w:color w:val="231F20"/>
          <w:spacing w:val="-10"/>
          <w:sz w:val="20"/>
        </w:rPr>
        <w:t xml:space="preserve"> </w:t>
      </w:r>
      <w:r>
        <w:rPr>
          <w:color w:val="231F20"/>
          <w:sz w:val="20"/>
        </w:rPr>
        <w:t>that</w:t>
      </w:r>
      <w:r>
        <w:rPr>
          <w:color w:val="231F20"/>
          <w:spacing w:val="-10"/>
          <w:sz w:val="20"/>
        </w:rPr>
        <w:t xml:space="preserve"> </w:t>
      </w:r>
      <w:r>
        <w:rPr>
          <w:color w:val="231F20"/>
          <w:sz w:val="20"/>
        </w:rPr>
        <w:t>can</w:t>
      </w:r>
      <w:r>
        <w:rPr>
          <w:color w:val="231F20"/>
          <w:spacing w:val="-10"/>
          <w:sz w:val="20"/>
        </w:rPr>
        <w:t xml:space="preserve"> </w:t>
      </w:r>
      <w:r>
        <w:rPr>
          <w:color w:val="231F20"/>
          <w:sz w:val="20"/>
        </w:rPr>
        <w:t xml:space="preserve">address the underlying causes of stalking conduct (either </w:t>
      </w:r>
      <w:r>
        <w:rPr>
          <w:color w:val="231F20"/>
          <w:spacing w:val="-4"/>
          <w:sz w:val="20"/>
        </w:rPr>
        <w:t xml:space="preserve">away </w:t>
      </w:r>
      <w:r>
        <w:rPr>
          <w:color w:val="231F20"/>
          <w:spacing w:val="-3"/>
          <w:sz w:val="20"/>
        </w:rPr>
        <w:t xml:space="preserve">from </w:t>
      </w:r>
      <w:r>
        <w:rPr>
          <w:color w:val="231F20"/>
          <w:sz w:val="20"/>
        </w:rPr>
        <w:t>court or as part of community</w:t>
      </w:r>
      <w:r>
        <w:rPr>
          <w:color w:val="231F20"/>
          <w:spacing w:val="-5"/>
          <w:sz w:val="20"/>
        </w:rPr>
        <w:t xml:space="preserve"> </w:t>
      </w:r>
      <w:r>
        <w:rPr>
          <w:color w:val="231F20"/>
          <w:spacing w:val="-3"/>
          <w:sz w:val="20"/>
        </w:rPr>
        <w:t>orders).</w:t>
      </w:r>
    </w:p>
    <w:p w14:paraId="61F65F0C" w14:textId="77777777" w:rsidR="00894070" w:rsidRDefault="009B7AFD">
      <w:pPr>
        <w:pStyle w:val="Heading9"/>
        <w:spacing w:before="94"/>
        <w:rPr>
          <w:b/>
        </w:rPr>
      </w:pPr>
      <w:r>
        <w:rPr>
          <w:b/>
          <w:color w:val="231F20"/>
        </w:rPr>
        <w:t>Courts as a point of intervention</w:t>
      </w:r>
    </w:p>
    <w:p w14:paraId="43A9321D" w14:textId="77777777" w:rsidR="00894070" w:rsidRDefault="009B7AFD">
      <w:pPr>
        <w:pStyle w:val="ListParagraph"/>
        <w:numPr>
          <w:ilvl w:val="1"/>
          <w:numId w:val="29"/>
        </w:numPr>
        <w:tabs>
          <w:tab w:val="left" w:pos="1801"/>
          <w:tab w:val="left" w:pos="1802"/>
        </w:tabs>
        <w:spacing w:before="131" w:line="206" w:lineRule="auto"/>
        <w:ind w:right="1976"/>
        <w:rPr>
          <w:sz w:val="20"/>
        </w:rPr>
      </w:pPr>
      <w:r>
        <w:rPr>
          <w:color w:val="231F20"/>
          <w:sz w:val="20"/>
        </w:rPr>
        <w:t>It</w:t>
      </w:r>
      <w:r>
        <w:rPr>
          <w:color w:val="231F20"/>
          <w:spacing w:val="-6"/>
          <w:sz w:val="20"/>
        </w:rPr>
        <w:t xml:space="preserve"> </w:t>
      </w:r>
      <w:r>
        <w:rPr>
          <w:color w:val="231F20"/>
          <w:sz w:val="20"/>
        </w:rPr>
        <w:t>is</w:t>
      </w:r>
      <w:r>
        <w:rPr>
          <w:color w:val="231F20"/>
          <w:spacing w:val="-5"/>
          <w:sz w:val="20"/>
        </w:rPr>
        <w:t xml:space="preserve"> </w:t>
      </w:r>
      <w:r>
        <w:rPr>
          <w:color w:val="231F20"/>
          <w:spacing w:val="-3"/>
          <w:sz w:val="20"/>
        </w:rPr>
        <w:t>preferable</w:t>
      </w:r>
      <w:r>
        <w:rPr>
          <w:color w:val="231F20"/>
          <w:spacing w:val="-6"/>
          <w:sz w:val="20"/>
        </w:rPr>
        <w:t xml:space="preserve"> </w:t>
      </w:r>
      <w:r>
        <w:rPr>
          <w:color w:val="231F20"/>
          <w:sz w:val="20"/>
        </w:rPr>
        <w:t>that</w:t>
      </w:r>
      <w:r>
        <w:rPr>
          <w:color w:val="231F20"/>
          <w:spacing w:val="-5"/>
          <w:sz w:val="20"/>
        </w:rPr>
        <w:t xml:space="preserve"> </w:t>
      </w:r>
      <w:r>
        <w:rPr>
          <w:color w:val="231F20"/>
          <w:spacing w:val="-3"/>
          <w:sz w:val="20"/>
        </w:rPr>
        <w:t>early</w:t>
      </w:r>
      <w:r>
        <w:rPr>
          <w:color w:val="231F20"/>
          <w:spacing w:val="-6"/>
          <w:sz w:val="20"/>
        </w:rPr>
        <w:t xml:space="preserve"> </w:t>
      </w:r>
      <w:r>
        <w:rPr>
          <w:color w:val="231F20"/>
          <w:spacing w:val="-2"/>
          <w:sz w:val="20"/>
        </w:rPr>
        <w:t>intervention</w:t>
      </w:r>
      <w:r>
        <w:rPr>
          <w:color w:val="231F20"/>
          <w:spacing w:val="-5"/>
          <w:sz w:val="20"/>
        </w:rPr>
        <w:t xml:space="preserve"> </w:t>
      </w:r>
      <w:r>
        <w:rPr>
          <w:color w:val="231F20"/>
          <w:sz w:val="20"/>
        </w:rPr>
        <w:t>takes</w:t>
      </w:r>
      <w:r>
        <w:rPr>
          <w:color w:val="231F20"/>
          <w:spacing w:val="-6"/>
          <w:sz w:val="20"/>
        </w:rPr>
        <w:t xml:space="preserve"> </w:t>
      </w:r>
      <w:r>
        <w:rPr>
          <w:color w:val="231F20"/>
          <w:sz w:val="20"/>
        </w:rPr>
        <w:t>place</w:t>
      </w:r>
      <w:r>
        <w:rPr>
          <w:color w:val="231F20"/>
          <w:spacing w:val="-5"/>
          <w:sz w:val="20"/>
        </w:rPr>
        <w:t xml:space="preserve"> </w:t>
      </w:r>
      <w:r>
        <w:rPr>
          <w:color w:val="231F20"/>
          <w:spacing w:val="-3"/>
          <w:sz w:val="20"/>
        </w:rPr>
        <w:t>before</w:t>
      </w:r>
      <w:r>
        <w:rPr>
          <w:color w:val="231F20"/>
          <w:spacing w:val="-6"/>
          <w:sz w:val="20"/>
        </w:rPr>
        <w:t xml:space="preserve"> </w:t>
      </w:r>
      <w:r>
        <w:rPr>
          <w:color w:val="231F20"/>
          <w:sz w:val="20"/>
        </w:rPr>
        <w:t>a</w:t>
      </w:r>
      <w:r>
        <w:rPr>
          <w:color w:val="231F20"/>
          <w:spacing w:val="-5"/>
          <w:sz w:val="20"/>
        </w:rPr>
        <w:t xml:space="preserve"> </w:t>
      </w:r>
      <w:r>
        <w:rPr>
          <w:color w:val="231F20"/>
          <w:spacing w:val="-2"/>
          <w:sz w:val="20"/>
        </w:rPr>
        <w:t>matter</w:t>
      </w:r>
      <w:r>
        <w:rPr>
          <w:color w:val="231F20"/>
          <w:spacing w:val="-6"/>
          <w:sz w:val="20"/>
        </w:rPr>
        <w:t xml:space="preserve"> </w:t>
      </w:r>
      <w:r>
        <w:rPr>
          <w:color w:val="231F20"/>
          <w:sz w:val="20"/>
        </w:rPr>
        <w:t>gets</w:t>
      </w:r>
      <w:r>
        <w:rPr>
          <w:color w:val="231F20"/>
          <w:spacing w:val="-5"/>
          <w:sz w:val="20"/>
        </w:rPr>
        <w:t xml:space="preserve"> </w:t>
      </w:r>
      <w:r>
        <w:rPr>
          <w:color w:val="231F20"/>
          <w:sz w:val="20"/>
        </w:rPr>
        <w:t>to</w:t>
      </w:r>
      <w:r>
        <w:rPr>
          <w:color w:val="231F20"/>
          <w:spacing w:val="-6"/>
          <w:sz w:val="20"/>
        </w:rPr>
        <w:t xml:space="preserve"> </w:t>
      </w:r>
      <w:r>
        <w:rPr>
          <w:color w:val="231F20"/>
          <w:sz w:val="20"/>
        </w:rPr>
        <w:t xml:space="preserve">court. </w:t>
      </w:r>
      <w:r>
        <w:rPr>
          <w:color w:val="231F20"/>
          <w:spacing w:val="-4"/>
          <w:sz w:val="20"/>
        </w:rPr>
        <w:t>However</w:t>
      </w:r>
      <w:r>
        <w:rPr>
          <w:color w:val="231F20"/>
          <w:spacing w:val="-6"/>
          <w:sz w:val="20"/>
        </w:rPr>
        <w:t xml:space="preserve"> </w:t>
      </w:r>
      <w:r>
        <w:rPr>
          <w:color w:val="231F20"/>
          <w:sz w:val="20"/>
        </w:rPr>
        <w:t>the</w:t>
      </w:r>
      <w:r>
        <w:rPr>
          <w:color w:val="231F20"/>
          <w:spacing w:val="-5"/>
          <w:sz w:val="20"/>
        </w:rPr>
        <w:t xml:space="preserve"> </w:t>
      </w:r>
      <w:r>
        <w:rPr>
          <w:color w:val="231F20"/>
          <w:sz w:val="20"/>
        </w:rPr>
        <w:t>courts</w:t>
      </w:r>
      <w:r>
        <w:rPr>
          <w:color w:val="231F20"/>
          <w:spacing w:val="-6"/>
          <w:sz w:val="20"/>
        </w:rPr>
        <w:t xml:space="preserve"> </w:t>
      </w:r>
      <w:r>
        <w:rPr>
          <w:color w:val="231F20"/>
          <w:sz w:val="20"/>
        </w:rPr>
        <w:t>still</w:t>
      </w:r>
      <w:r>
        <w:rPr>
          <w:color w:val="231F20"/>
          <w:spacing w:val="-5"/>
          <w:sz w:val="20"/>
        </w:rPr>
        <w:t xml:space="preserve"> </w:t>
      </w:r>
      <w:r>
        <w:rPr>
          <w:color w:val="231F20"/>
          <w:spacing w:val="-4"/>
          <w:sz w:val="20"/>
        </w:rPr>
        <w:t>have</w:t>
      </w:r>
      <w:r>
        <w:rPr>
          <w:color w:val="231F20"/>
          <w:spacing w:val="-6"/>
          <w:sz w:val="20"/>
        </w:rPr>
        <w:t xml:space="preserve"> </w:t>
      </w:r>
      <w:r>
        <w:rPr>
          <w:color w:val="231F20"/>
          <w:sz w:val="20"/>
        </w:rPr>
        <w:t>a</w:t>
      </w:r>
      <w:r>
        <w:rPr>
          <w:color w:val="231F20"/>
          <w:spacing w:val="-5"/>
          <w:sz w:val="20"/>
        </w:rPr>
        <w:t xml:space="preserve"> </w:t>
      </w:r>
      <w:r>
        <w:rPr>
          <w:color w:val="231F20"/>
          <w:spacing w:val="-3"/>
          <w:sz w:val="20"/>
        </w:rPr>
        <w:t>role</w:t>
      </w:r>
      <w:r>
        <w:rPr>
          <w:color w:val="231F20"/>
          <w:spacing w:val="-6"/>
          <w:sz w:val="20"/>
        </w:rPr>
        <w:t xml:space="preserve"> </w:t>
      </w:r>
      <w:r>
        <w:rPr>
          <w:color w:val="231F20"/>
          <w:sz w:val="20"/>
        </w:rPr>
        <w:t>to</w:t>
      </w:r>
      <w:r>
        <w:rPr>
          <w:color w:val="231F20"/>
          <w:spacing w:val="-5"/>
          <w:sz w:val="20"/>
        </w:rPr>
        <w:t xml:space="preserve"> </w:t>
      </w:r>
      <w:r>
        <w:rPr>
          <w:color w:val="231F20"/>
          <w:sz w:val="20"/>
        </w:rPr>
        <w:t>play</w:t>
      </w:r>
      <w:r>
        <w:rPr>
          <w:color w:val="231F20"/>
          <w:spacing w:val="-6"/>
          <w:sz w:val="20"/>
        </w:rPr>
        <w:t xml:space="preserve"> </w:t>
      </w:r>
      <w:r>
        <w:rPr>
          <w:color w:val="231F20"/>
          <w:sz w:val="20"/>
        </w:rPr>
        <w:t>as</w:t>
      </w:r>
      <w:r>
        <w:rPr>
          <w:color w:val="231F20"/>
          <w:spacing w:val="-5"/>
          <w:sz w:val="20"/>
        </w:rPr>
        <w:t xml:space="preserve"> </w:t>
      </w:r>
      <w:r>
        <w:rPr>
          <w:color w:val="231F20"/>
          <w:sz w:val="20"/>
        </w:rPr>
        <w:t>a</w:t>
      </w:r>
      <w:r>
        <w:rPr>
          <w:color w:val="231F20"/>
          <w:spacing w:val="-6"/>
          <w:sz w:val="20"/>
        </w:rPr>
        <w:t xml:space="preserve"> </w:t>
      </w:r>
      <w:r>
        <w:rPr>
          <w:color w:val="231F20"/>
          <w:sz w:val="20"/>
        </w:rPr>
        <w:t>point</w:t>
      </w:r>
      <w:r>
        <w:rPr>
          <w:color w:val="231F20"/>
          <w:spacing w:val="-5"/>
          <w:sz w:val="20"/>
        </w:rPr>
        <w:t xml:space="preserve"> </w:t>
      </w:r>
      <w:r>
        <w:rPr>
          <w:color w:val="231F20"/>
          <w:sz w:val="20"/>
        </w:rPr>
        <w:t>of</w:t>
      </w:r>
      <w:r>
        <w:rPr>
          <w:color w:val="231F20"/>
          <w:spacing w:val="-6"/>
          <w:sz w:val="20"/>
        </w:rPr>
        <w:t xml:space="preserve"> </w:t>
      </w:r>
      <w:r>
        <w:rPr>
          <w:color w:val="231F20"/>
          <w:sz w:val="20"/>
        </w:rPr>
        <w:t>intervention.</w:t>
      </w:r>
    </w:p>
    <w:p w14:paraId="4CF46BCF" w14:textId="77777777" w:rsidR="00894070" w:rsidRDefault="009F6793">
      <w:pPr>
        <w:pStyle w:val="BodyText"/>
        <w:spacing w:before="6"/>
        <w:rPr>
          <w:sz w:val="10"/>
        </w:rPr>
      </w:pPr>
      <w:r>
        <w:pict w14:anchorId="4774D722">
          <v:line id="_x0000_s1078" style="position:absolute;z-index:251774976;mso-wrap-distance-left:0;mso-wrap-distance-right:0;mso-position-horizontal-relative:page" from="79.35pt,9.75pt" to="515.9pt,9.75pt" strokecolor="#f8cabc" strokeweight="1pt">
            <w10:wrap type="topAndBottom" anchorx="page"/>
          </v:line>
        </w:pict>
      </w:r>
    </w:p>
    <w:p w14:paraId="57D8C5E8" w14:textId="77777777" w:rsidR="00894070" w:rsidRDefault="00894070">
      <w:pPr>
        <w:pStyle w:val="BodyText"/>
        <w:rPr>
          <w:sz w:val="5"/>
        </w:rPr>
      </w:pPr>
    </w:p>
    <w:p w14:paraId="322D29BA" w14:textId="77777777" w:rsidR="00894070" w:rsidRDefault="00894070">
      <w:pPr>
        <w:rPr>
          <w:sz w:val="5"/>
        </w:rPr>
        <w:sectPr w:rsidR="00894070">
          <w:pgSz w:w="11910" w:h="16840"/>
          <w:pgMar w:top="860" w:right="420" w:bottom="280" w:left="580" w:header="567" w:footer="0" w:gutter="0"/>
          <w:cols w:space="720"/>
        </w:sectPr>
      </w:pPr>
    </w:p>
    <w:p w14:paraId="09A69340" w14:textId="77777777" w:rsidR="00894070" w:rsidRDefault="00894070">
      <w:pPr>
        <w:pStyle w:val="BodyText"/>
        <w:rPr>
          <w:sz w:val="28"/>
        </w:rPr>
      </w:pPr>
    </w:p>
    <w:p w14:paraId="566BA716" w14:textId="77777777" w:rsidR="00894070" w:rsidRDefault="00894070">
      <w:pPr>
        <w:pStyle w:val="BodyText"/>
        <w:rPr>
          <w:sz w:val="28"/>
        </w:rPr>
      </w:pPr>
    </w:p>
    <w:p w14:paraId="7AF5D09A" w14:textId="77777777" w:rsidR="00894070" w:rsidRDefault="00894070">
      <w:pPr>
        <w:pStyle w:val="BodyText"/>
        <w:rPr>
          <w:sz w:val="28"/>
        </w:rPr>
      </w:pPr>
    </w:p>
    <w:p w14:paraId="4350AD70" w14:textId="77777777" w:rsidR="00894070" w:rsidRDefault="00894070">
      <w:pPr>
        <w:pStyle w:val="BodyText"/>
        <w:rPr>
          <w:sz w:val="28"/>
        </w:rPr>
      </w:pPr>
    </w:p>
    <w:p w14:paraId="091A8785" w14:textId="77777777" w:rsidR="00894070" w:rsidRDefault="00894070">
      <w:pPr>
        <w:pStyle w:val="BodyText"/>
        <w:spacing w:before="10"/>
        <w:rPr>
          <w:sz w:val="18"/>
        </w:rPr>
      </w:pPr>
    </w:p>
    <w:p w14:paraId="59CDA705" w14:textId="77777777" w:rsidR="00894070" w:rsidRDefault="009B7AFD">
      <w:pPr>
        <w:pStyle w:val="Heading8"/>
        <w:ind w:left="140"/>
      </w:pPr>
      <w:r>
        <w:rPr>
          <w:color w:val="EA5B50"/>
        </w:rPr>
        <w:t>172</w:t>
      </w:r>
    </w:p>
    <w:p w14:paraId="418D6360" w14:textId="77777777" w:rsidR="00894070" w:rsidRDefault="009B7AFD">
      <w:pPr>
        <w:pStyle w:val="ListParagraph"/>
        <w:numPr>
          <w:ilvl w:val="0"/>
          <w:numId w:val="25"/>
        </w:numPr>
        <w:tabs>
          <w:tab w:val="left" w:pos="933"/>
          <w:tab w:val="left" w:pos="934"/>
        </w:tabs>
        <w:spacing w:before="21" w:line="170" w:lineRule="exact"/>
        <w:ind w:left="933" w:hanging="793"/>
        <w:jc w:val="left"/>
        <w:rPr>
          <w:sz w:val="13"/>
        </w:rPr>
      </w:pPr>
      <w:r>
        <w:rPr>
          <w:color w:val="231F20"/>
          <w:spacing w:val="1"/>
          <w:sz w:val="13"/>
        </w:rPr>
        <w:br w:type="column"/>
      </w:r>
      <w:r>
        <w:rPr>
          <w:color w:val="231F20"/>
          <w:spacing w:val="2"/>
          <w:sz w:val="13"/>
        </w:rPr>
        <w:t xml:space="preserve">Rosemary </w:t>
      </w:r>
      <w:r>
        <w:rPr>
          <w:color w:val="231F20"/>
          <w:sz w:val="13"/>
        </w:rPr>
        <w:t>Purcell</w:t>
      </w:r>
      <w:r>
        <w:rPr>
          <w:color w:val="231F20"/>
          <w:spacing w:val="2"/>
          <w:sz w:val="13"/>
        </w:rPr>
        <w:t xml:space="preserve"> </w:t>
      </w:r>
      <w:r>
        <w:rPr>
          <w:color w:val="231F20"/>
          <w:sz w:val="13"/>
        </w:rPr>
        <w:t>and</w:t>
      </w:r>
      <w:r>
        <w:rPr>
          <w:color w:val="231F20"/>
          <w:spacing w:val="2"/>
          <w:sz w:val="13"/>
        </w:rPr>
        <w:t xml:space="preserve"> </w:t>
      </w:r>
      <w:r>
        <w:rPr>
          <w:color w:val="231F20"/>
          <w:spacing w:val="-3"/>
          <w:sz w:val="13"/>
        </w:rPr>
        <w:t>Troy</w:t>
      </w:r>
      <w:r>
        <w:rPr>
          <w:color w:val="231F20"/>
          <w:spacing w:val="3"/>
          <w:sz w:val="13"/>
        </w:rPr>
        <w:t xml:space="preserve"> </w:t>
      </w:r>
      <w:r>
        <w:rPr>
          <w:color w:val="231F20"/>
          <w:sz w:val="13"/>
        </w:rPr>
        <w:t>McEwan,</w:t>
      </w:r>
      <w:r>
        <w:rPr>
          <w:color w:val="231F20"/>
          <w:spacing w:val="2"/>
          <w:sz w:val="13"/>
        </w:rPr>
        <w:t xml:space="preserve"> </w:t>
      </w:r>
      <w:r>
        <w:rPr>
          <w:color w:val="231F20"/>
          <w:sz w:val="13"/>
        </w:rPr>
        <w:t>‘Treatment</w:t>
      </w:r>
      <w:r>
        <w:rPr>
          <w:color w:val="231F20"/>
          <w:spacing w:val="2"/>
          <w:sz w:val="13"/>
        </w:rPr>
        <w:t xml:space="preserve"> </w:t>
      </w:r>
      <w:r>
        <w:rPr>
          <w:color w:val="231F20"/>
          <w:sz w:val="13"/>
        </w:rPr>
        <w:t>Approaches</w:t>
      </w:r>
      <w:r>
        <w:rPr>
          <w:color w:val="231F20"/>
          <w:spacing w:val="3"/>
          <w:sz w:val="13"/>
        </w:rPr>
        <w:t xml:space="preserve"> </w:t>
      </w:r>
      <w:r>
        <w:rPr>
          <w:color w:val="231F20"/>
          <w:sz w:val="13"/>
        </w:rPr>
        <w:t>for</w:t>
      </w:r>
      <w:r>
        <w:rPr>
          <w:color w:val="231F20"/>
          <w:spacing w:val="2"/>
          <w:sz w:val="13"/>
        </w:rPr>
        <w:t xml:space="preserve"> </w:t>
      </w:r>
      <w:r>
        <w:rPr>
          <w:color w:val="231F20"/>
          <w:sz w:val="13"/>
        </w:rPr>
        <w:t>Stalking’</w:t>
      </w:r>
      <w:r>
        <w:rPr>
          <w:color w:val="231F20"/>
          <w:spacing w:val="2"/>
          <w:sz w:val="13"/>
        </w:rPr>
        <w:t xml:space="preserve"> </w:t>
      </w:r>
      <w:r>
        <w:rPr>
          <w:color w:val="231F20"/>
          <w:sz w:val="13"/>
        </w:rPr>
        <w:t>in</w:t>
      </w:r>
      <w:r>
        <w:rPr>
          <w:color w:val="231F20"/>
          <w:spacing w:val="2"/>
          <w:sz w:val="13"/>
        </w:rPr>
        <w:t xml:space="preserve"> </w:t>
      </w:r>
      <w:r>
        <w:rPr>
          <w:color w:val="231F20"/>
          <w:sz w:val="13"/>
        </w:rPr>
        <w:t>Jane</w:t>
      </w:r>
      <w:r>
        <w:rPr>
          <w:color w:val="231F20"/>
          <w:spacing w:val="3"/>
          <w:sz w:val="13"/>
        </w:rPr>
        <w:t xml:space="preserve"> </w:t>
      </w:r>
      <w:r>
        <w:rPr>
          <w:color w:val="231F20"/>
          <w:sz w:val="13"/>
        </w:rPr>
        <w:t>L</w:t>
      </w:r>
      <w:r>
        <w:rPr>
          <w:color w:val="231F20"/>
          <w:spacing w:val="2"/>
          <w:sz w:val="13"/>
        </w:rPr>
        <w:t xml:space="preserve"> </w:t>
      </w:r>
      <w:r>
        <w:rPr>
          <w:color w:val="231F20"/>
          <w:sz w:val="13"/>
        </w:rPr>
        <w:t>Ireland,</w:t>
      </w:r>
      <w:r>
        <w:rPr>
          <w:color w:val="231F20"/>
          <w:spacing w:val="2"/>
          <w:sz w:val="13"/>
        </w:rPr>
        <w:t xml:space="preserve"> </w:t>
      </w:r>
      <w:r>
        <w:rPr>
          <w:color w:val="231F20"/>
          <w:sz w:val="13"/>
        </w:rPr>
        <w:t>Carol</w:t>
      </w:r>
      <w:r>
        <w:rPr>
          <w:color w:val="231F20"/>
          <w:spacing w:val="3"/>
          <w:sz w:val="13"/>
        </w:rPr>
        <w:t xml:space="preserve"> </w:t>
      </w:r>
      <w:r>
        <w:rPr>
          <w:color w:val="231F20"/>
          <w:sz w:val="13"/>
        </w:rPr>
        <w:t>A</w:t>
      </w:r>
      <w:r>
        <w:rPr>
          <w:color w:val="231F20"/>
          <w:spacing w:val="2"/>
          <w:sz w:val="13"/>
        </w:rPr>
        <w:t xml:space="preserve"> </w:t>
      </w:r>
      <w:r>
        <w:rPr>
          <w:color w:val="231F20"/>
          <w:sz w:val="13"/>
        </w:rPr>
        <w:t>Ireland</w:t>
      </w:r>
      <w:r>
        <w:rPr>
          <w:color w:val="231F20"/>
          <w:spacing w:val="2"/>
          <w:sz w:val="13"/>
        </w:rPr>
        <w:t xml:space="preserve"> </w:t>
      </w:r>
      <w:r>
        <w:rPr>
          <w:color w:val="231F20"/>
          <w:sz w:val="13"/>
        </w:rPr>
        <w:t>and</w:t>
      </w:r>
      <w:r>
        <w:rPr>
          <w:color w:val="231F20"/>
          <w:spacing w:val="2"/>
          <w:sz w:val="13"/>
        </w:rPr>
        <w:t xml:space="preserve"> </w:t>
      </w:r>
      <w:r>
        <w:rPr>
          <w:color w:val="231F20"/>
          <w:sz w:val="13"/>
        </w:rPr>
        <w:t>Philip</w:t>
      </w:r>
      <w:r>
        <w:rPr>
          <w:color w:val="231F20"/>
          <w:spacing w:val="3"/>
          <w:sz w:val="13"/>
        </w:rPr>
        <w:t xml:space="preserve"> </w:t>
      </w:r>
      <w:r>
        <w:rPr>
          <w:color w:val="231F20"/>
          <w:sz w:val="13"/>
        </w:rPr>
        <w:t>Birch</w:t>
      </w:r>
      <w:r>
        <w:rPr>
          <w:color w:val="231F20"/>
          <w:spacing w:val="2"/>
          <w:sz w:val="13"/>
        </w:rPr>
        <w:t xml:space="preserve"> </w:t>
      </w:r>
      <w:r>
        <w:rPr>
          <w:color w:val="231F20"/>
          <w:sz w:val="13"/>
        </w:rPr>
        <w:t>(eds),</w:t>
      </w:r>
    </w:p>
    <w:p w14:paraId="682A3DAD" w14:textId="77777777" w:rsidR="00894070" w:rsidRDefault="009B7AFD">
      <w:pPr>
        <w:spacing w:line="160" w:lineRule="exact"/>
        <w:ind w:left="933"/>
        <w:rPr>
          <w:sz w:val="13"/>
        </w:rPr>
      </w:pPr>
      <w:r>
        <w:rPr>
          <w:i/>
          <w:color w:val="231F20"/>
          <w:sz w:val="13"/>
        </w:rPr>
        <w:t xml:space="preserve">Violent and Sexual Offenders: Assessment, Treatment and Management </w:t>
      </w:r>
      <w:r>
        <w:rPr>
          <w:color w:val="231F20"/>
          <w:sz w:val="13"/>
        </w:rPr>
        <w:t>(Routledge, 2nd ed, 2018) 400.</w:t>
      </w:r>
    </w:p>
    <w:p w14:paraId="378D13F4" w14:textId="77777777" w:rsidR="00894070" w:rsidRDefault="009B7AFD">
      <w:pPr>
        <w:pStyle w:val="ListParagraph"/>
        <w:numPr>
          <w:ilvl w:val="0"/>
          <w:numId w:val="25"/>
        </w:numPr>
        <w:tabs>
          <w:tab w:val="left" w:pos="933"/>
          <w:tab w:val="left" w:pos="934"/>
        </w:tabs>
        <w:spacing w:line="160" w:lineRule="exact"/>
        <w:ind w:left="933" w:hanging="793"/>
        <w:jc w:val="left"/>
        <w:rPr>
          <w:sz w:val="13"/>
        </w:rPr>
      </w:pPr>
      <w:r>
        <w:rPr>
          <w:color w:val="231F20"/>
          <w:sz w:val="13"/>
        </w:rPr>
        <w:t>Consultation 33 (VACRO).</w:t>
      </w:r>
    </w:p>
    <w:p w14:paraId="3A434604" w14:textId="77777777" w:rsidR="00894070" w:rsidRDefault="009B7AFD">
      <w:pPr>
        <w:pStyle w:val="ListParagraph"/>
        <w:numPr>
          <w:ilvl w:val="0"/>
          <w:numId w:val="25"/>
        </w:numPr>
        <w:tabs>
          <w:tab w:val="left" w:pos="933"/>
          <w:tab w:val="left" w:pos="934"/>
        </w:tabs>
        <w:spacing w:line="160" w:lineRule="exact"/>
        <w:ind w:left="933" w:hanging="793"/>
        <w:jc w:val="lef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w:t>
      </w:r>
      <w:r>
        <w:rPr>
          <w:color w:val="231F20"/>
          <w:spacing w:val="5"/>
          <w:sz w:val="13"/>
        </w:rPr>
        <w:t xml:space="preserve"> </w:t>
      </w:r>
      <w:r>
        <w:rPr>
          <w:color w:val="231F20"/>
          <w:sz w:val="13"/>
        </w:rPr>
        <w:t>2022).</w:t>
      </w:r>
    </w:p>
    <w:p w14:paraId="41E1E124" w14:textId="77777777" w:rsidR="00894070" w:rsidRDefault="009B7AFD">
      <w:pPr>
        <w:pStyle w:val="ListParagraph"/>
        <w:numPr>
          <w:ilvl w:val="0"/>
          <w:numId w:val="25"/>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32 (Centre for Forensic Behavioural Science).</w:t>
      </w:r>
    </w:p>
    <w:p w14:paraId="11870C2E" w14:textId="77777777" w:rsidR="00894070" w:rsidRDefault="009B7AFD">
      <w:pPr>
        <w:pStyle w:val="ListParagraph"/>
        <w:numPr>
          <w:ilvl w:val="0"/>
          <w:numId w:val="25"/>
        </w:numPr>
        <w:tabs>
          <w:tab w:val="left" w:pos="933"/>
          <w:tab w:val="left" w:pos="934"/>
        </w:tabs>
        <w:spacing w:line="160" w:lineRule="exact"/>
        <w:ind w:left="933" w:hanging="793"/>
        <w:jc w:val="left"/>
        <w:rPr>
          <w:sz w:val="13"/>
        </w:rPr>
      </w:pPr>
      <w:r>
        <w:rPr>
          <w:color w:val="231F20"/>
          <w:sz w:val="13"/>
        </w:rPr>
        <w:t>Consultation 7 (Risk roundtable).</w:t>
      </w:r>
    </w:p>
    <w:p w14:paraId="04EAFBFC" w14:textId="77777777" w:rsidR="00894070" w:rsidRDefault="009B7AFD">
      <w:pPr>
        <w:pStyle w:val="ListParagraph"/>
        <w:numPr>
          <w:ilvl w:val="0"/>
          <w:numId w:val="25"/>
        </w:numPr>
        <w:tabs>
          <w:tab w:val="left" w:pos="933"/>
          <w:tab w:val="left" w:pos="934"/>
        </w:tabs>
        <w:spacing w:line="160" w:lineRule="exact"/>
        <w:ind w:left="933" w:hanging="793"/>
        <w:jc w:val="left"/>
        <w:rPr>
          <w:sz w:val="13"/>
        </w:rPr>
      </w:pPr>
      <w:r>
        <w:rPr>
          <w:color w:val="231F20"/>
          <w:spacing w:val="2"/>
          <w:sz w:val="13"/>
        </w:rPr>
        <w:t xml:space="preserve">Submissions </w:t>
      </w:r>
      <w:r>
        <w:rPr>
          <w:color w:val="231F20"/>
          <w:sz w:val="13"/>
        </w:rPr>
        <w:t>32 (Centre for Forensic Behavioural Science), 100</w:t>
      </w:r>
      <w:r>
        <w:rPr>
          <w:color w:val="231F20"/>
          <w:spacing w:val="2"/>
          <w:sz w:val="13"/>
        </w:rPr>
        <w:t xml:space="preserve"> </w:t>
      </w:r>
      <w:r>
        <w:rPr>
          <w:color w:val="231F20"/>
          <w:sz w:val="13"/>
        </w:rPr>
        <w:t>(Forensicare).</w:t>
      </w:r>
    </w:p>
    <w:p w14:paraId="45D199A9" w14:textId="77777777" w:rsidR="00894070" w:rsidRDefault="009B7AFD">
      <w:pPr>
        <w:pStyle w:val="ListParagraph"/>
        <w:numPr>
          <w:ilvl w:val="0"/>
          <w:numId w:val="25"/>
        </w:numPr>
        <w:tabs>
          <w:tab w:val="left" w:pos="933"/>
          <w:tab w:val="left" w:pos="934"/>
        </w:tabs>
        <w:spacing w:before="7" w:line="213" w:lineRule="auto"/>
        <w:ind w:left="933" w:right="1364" w:hanging="793"/>
        <w:jc w:val="left"/>
        <w:rPr>
          <w:sz w:val="13"/>
        </w:rPr>
      </w:pPr>
      <w:r>
        <w:rPr>
          <w:color w:val="231F20"/>
          <w:sz w:val="13"/>
        </w:rPr>
        <w:t xml:space="preserve">Kritika Jerath, Lisa Tompson and Jyoti Belur, ‘Treating and Managing Stalking Offenders: Findings from a Multi-Agency Clinical Intervention’ </w:t>
      </w:r>
      <w:r>
        <w:rPr>
          <w:i/>
          <w:color w:val="231F20"/>
          <w:sz w:val="13"/>
        </w:rPr>
        <w:t xml:space="preserve">Psychology, Crime &amp; Law </w:t>
      </w:r>
      <w:r>
        <w:rPr>
          <w:color w:val="231F20"/>
          <w:sz w:val="13"/>
        </w:rPr>
        <w:t>10.1080/1068316X.2022.2057981:1–25,</w:t>
      </w:r>
      <w:r>
        <w:rPr>
          <w:color w:val="231F20"/>
          <w:spacing w:val="4"/>
          <w:sz w:val="13"/>
        </w:rPr>
        <w:t xml:space="preserve"> </w:t>
      </w:r>
      <w:r>
        <w:rPr>
          <w:color w:val="231F20"/>
          <w:spacing w:val="3"/>
          <w:sz w:val="13"/>
        </w:rPr>
        <w:t>3.</w:t>
      </w:r>
    </w:p>
    <w:p w14:paraId="1500BB31" w14:textId="77777777" w:rsidR="00894070" w:rsidRDefault="009B7AFD">
      <w:pPr>
        <w:pStyle w:val="ListParagraph"/>
        <w:numPr>
          <w:ilvl w:val="0"/>
          <w:numId w:val="25"/>
        </w:numPr>
        <w:tabs>
          <w:tab w:val="left" w:pos="933"/>
          <w:tab w:val="left" w:pos="934"/>
        </w:tabs>
        <w:spacing w:line="153" w:lineRule="exact"/>
        <w:ind w:left="933" w:hanging="793"/>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color w:val="231F20"/>
          <w:sz w:val="13"/>
        </w:rPr>
        <w:t xml:space="preserve">(Interim </w:t>
      </w:r>
      <w:r>
        <w:rPr>
          <w:color w:val="231F20"/>
          <w:spacing w:val="2"/>
          <w:sz w:val="13"/>
        </w:rPr>
        <w:t xml:space="preserve">Report </w:t>
      </w:r>
      <w:r>
        <w:rPr>
          <w:color w:val="231F20"/>
          <w:sz w:val="13"/>
        </w:rPr>
        <w:t xml:space="preserve">No </w:t>
      </w:r>
      <w:r>
        <w:rPr>
          <w:color w:val="231F20"/>
          <w:spacing w:val="3"/>
          <w:sz w:val="13"/>
        </w:rPr>
        <w:t xml:space="preserve">44, </w:t>
      </w:r>
      <w:r>
        <w:rPr>
          <w:color w:val="231F20"/>
          <w:spacing w:val="2"/>
          <w:sz w:val="13"/>
        </w:rPr>
        <w:t>December</w:t>
      </w:r>
      <w:r>
        <w:rPr>
          <w:color w:val="231F20"/>
          <w:spacing w:val="-3"/>
          <w:sz w:val="13"/>
        </w:rPr>
        <w:t xml:space="preserve"> </w:t>
      </w:r>
      <w:r>
        <w:rPr>
          <w:color w:val="231F20"/>
          <w:sz w:val="13"/>
        </w:rPr>
        <w:t>2021).</w:t>
      </w:r>
    </w:p>
    <w:p w14:paraId="581A15A0" w14:textId="77777777" w:rsidR="00894070" w:rsidRDefault="009B7AFD">
      <w:pPr>
        <w:pStyle w:val="ListParagraph"/>
        <w:numPr>
          <w:ilvl w:val="0"/>
          <w:numId w:val="25"/>
        </w:numPr>
        <w:tabs>
          <w:tab w:val="left" w:pos="933"/>
          <w:tab w:val="left" w:pos="934"/>
        </w:tabs>
        <w:spacing w:line="160" w:lineRule="exact"/>
        <w:ind w:left="933" w:hanging="793"/>
        <w:jc w:val="left"/>
        <w:rPr>
          <w:sz w:val="13"/>
        </w:rPr>
      </w:pPr>
      <w:r>
        <w:rPr>
          <w:color w:val="231F20"/>
          <w:sz w:val="13"/>
        </w:rPr>
        <w:t xml:space="preserve">Consultation 13 (Victoria Legal Aid); Rachel Mackenzie et </w:t>
      </w:r>
      <w:r>
        <w:rPr>
          <w:color w:val="231F20"/>
          <w:spacing w:val="2"/>
          <w:sz w:val="13"/>
        </w:rPr>
        <w:t xml:space="preserve">al, </w:t>
      </w:r>
      <w:r>
        <w:rPr>
          <w:color w:val="231F20"/>
          <w:sz w:val="13"/>
        </w:rPr>
        <w:t xml:space="preserve">‘Stalkers and Intelligence: </w:t>
      </w:r>
      <w:r>
        <w:rPr>
          <w:color w:val="231F20"/>
          <w:spacing w:val="2"/>
          <w:sz w:val="13"/>
        </w:rPr>
        <w:t xml:space="preserve">Implications </w:t>
      </w:r>
      <w:r>
        <w:rPr>
          <w:color w:val="231F20"/>
          <w:sz w:val="13"/>
        </w:rPr>
        <w:t>for Treatment’ (2010)</w:t>
      </w:r>
      <w:r>
        <w:rPr>
          <w:color w:val="231F20"/>
          <w:spacing w:val="30"/>
          <w:sz w:val="13"/>
        </w:rPr>
        <w:t xml:space="preserve"> </w:t>
      </w:r>
      <w:r>
        <w:rPr>
          <w:color w:val="231F20"/>
          <w:sz w:val="13"/>
        </w:rPr>
        <w:t>21</w:t>
      </w:r>
    </w:p>
    <w:p w14:paraId="7BBC7842" w14:textId="77777777" w:rsidR="00894070" w:rsidRDefault="009B7AFD">
      <w:pPr>
        <w:spacing w:line="160" w:lineRule="exact"/>
        <w:ind w:left="933"/>
        <w:rPr>
          <w:sz w:val="13"/>
        </w:rPr>
      </w:pPr>
      <w:r>
        <w:rPr>
          <w:i/>
          <w:color w:val="231F20"/>
          <w:sz w:val="13"/>
        </w:rPr>
        <w:t xml:space="preserve">Journal of Forensic Psychiatry &amp; Psychology </w:t>
      </w:r>
      <w:r>
        <w:rPr>
          <w:color w:val="231F20"/>
          <w:sz w:val="13"/>
        </w:rPr>
        <w:t>852.</w:t>
      </w:r>
    </w:p>
    <w:p w14:paraId="085E73B7" w14:textId="77777777" w:rsidR="00894070" w:rsidRDefault="009B7AFD">
      <w:pPr>
        <w:pStyle w:val="ListParagraph"/>
        <w:numPr>
          <w:ilvl w:val="0"/>
          <w:numId w:val="25"/>
        </w:numPr>
        <w:tabs>
          <w:tab w:val="left" w:pos="933"/>
          <w:tab w:val="left" w:pos="934"/>
        </w:tabs>
        <w:spacing w:line="170" w:lineRule="exact"/>
        <w:ind w:left="933" w:hanging="793"/>
        <w:jc w:val="left"/>
        <w:rPr>
          <w:sz w:val="13"/>
        </w:rPr>
      </w:pPr>
      <w:r>
        <w:rPr>
          <w:color w:val="231F20"/>
          <w:sz w:val="13"/>
        </w:rPr>
        <w:t xml:space="preserve">See, eg, Victoria Legal Aid, </w:t>
      </w:r>
      <w:r>
        <w:rPr>
          <w:i/>
          <w:color w:val="231F20"/>
          <w:sz w:val="13"/>
        </w:rPr>
        <w:t xml:space="preserve">Family </w:t>
      </w:r>
      <w:r>
        <w:rPr>
          <w:i/>
          <w:color w:val="231F20"/>
          <w:spacing w:val="2"/>
          <w:sz w:val="13"/>
        </w:rPr>
        <w:t xml:space="preserve">Violence—Our </w:t>
      </w:r>
      <w:r>
        <w:rPr>
          <w:i/>
          <w:color w:val="231F20"/>
          <w:sz w:val="13"/>
        </w:rPr>
        <w:t xml:space="preserve">Response </w:t>
      </w:r>
      <w:r>
        <w:rPr>
          <w:color w:val="231F20"/>
          <w:sz w:val="13"/>
        </w:rPr>
        <w:t>(Web Page, 2022</w:t>
      </w:r>
      <w:hyperlink r:id="rId198">
        <w:r>
          <w:rPr>
            <w:color w:val="231F20"/>
            <w:sz w:val="13"/>
          </w:rPr>
          <w:t>)</w:t>
        </w:r>
        <w:r>
          <w:rPr>
            <w:color w:val="231F20"/>
            <w:spacing w:val="15"/>
            <w:sz w:val="13"/>
          </w:rPr>
          <w:t xml:space="preserve"> </w:t>
        </w:r>
        <w:r>
          <w:rPr>
            <w:color w:val="231F20"/>
            <w:sz w:val="13"/>
          </w:rPr>
          <w:t>&lt;http://www.legalaid.vic.gov.au/node/9836</w:t>
        </w:r>
      </w:hyperlink>
      <w:r>
        <w:rPr>
          <w:color w:val="231F20"/>
          <w:sz w:val="13"/>
        </w:rPr>
        <w:t>&gt;.</w:t>
      </w:r>
    </w:p>
    <w:p w14:paraId="2A89F126"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57" w:space="310"/>
            <w:col w:w="10043"/>
          </w:cols>
        </w:sectPr>
      </w:pPr>
    </w:p>
    <w:p w14:paraId="08F50517" w14:textId="77777777" w:rsidR="00894070" w:rsidRDefault="00894070">
      <w:pPr>
        <w:pStyle w:val="BodyText"/>
      </w:pPr>
    </w:p>
    <w:p w14:paraId="3AD1055E" w14:textId="77777777" w:rsidR="00894070" w:rsidRDefault="00894070">
      <w:pPr>
        <w:pStyle w:val="BodyText"/>
      </w:pPr>
    </w:p>
    <w:p w14:paraId="7FC7C1F5" w14:textId="77777777" w:rsidR="00894070" w:rsidRDefault="00894070">
      <w:pPr>
        <w:pStyle w:val="BodyText"/>
      </w:pPr>
    </w:p>
    <w:p w14:paraId="2D68D9E7" w14:textId="77777777" w:rsidR="00894070" w:rsidRDefault="00894070">
      <w:pPr>
        <w:pStyle w:val="BodyText"/>
        <w:spacing w:before="6"/>
        <w:rPr>
          <w:sz w:val="14"/>
        </w:rPr>
      </w:pPr>
    </w:p>
    <w:p w14:paraId="2A7C3D2C" w14:textId="77777777" w:rsidR="00894070" w:rsidRDefault="009B7AFD">
      <w:pPr>
        <w:pStyle w:val="ListParagraph"/>
        <w:numPr>
          <w:ilvl w:val="1"/>
          <w:numId w:val="29"/>
        </w:numPr>
        <w:tabs>
          <w:tab w:val="left" w:pos="1801"/>
          <w:tab w:val="left" w:pos="1802"/>
        </w:tabs>
        <w:spacing w:before="90" w:line="206" w:lineRule="auto"/>
        <w:ind w:right="1649"/>
        <w:rPr>
          <w:sz w:val="20"/>
        </w:rPr>
      </w:pPr>
      <w:r>
        <w:rPr>
          <w:color w:val="231F20"/>
          <w:sz w:val="20"/>
        </w:rPr>
        <w:t xml:space="preserve">In </w:t>
      </w:r>
      <w:r>
        <w:rPr>
          <w:color w:val="231F20"/>
          <w:spacing w:val="-3"/>
          <w:sz w:val="20"/>
        </w:rPr>
        <w:t xml:space="preserve">Chapter </w:t>
      </w:r>
      <w:r>
        <w:rPr>
          <w:color w:val="231F20"/>
          <w:sz w:val="20"/>
        </w:rPr>
        <w:t xml:space="preserve">6 </w:t>
      </w:r>
      <w:r>
        <w:rPr>
          <w:color w:val="231F20"/>
          <w:spacing w:val="-3"/>
          <w:sz w:val="20"/>
        </w:rPr>
        <w:t xml:space="preserve">we </w:t>
      </w:r>
      <w:r>
        <w:rPr>
          <w:color w:val="231F20"/>
          <w:sz w:val="20"/>
        </w:rPr>
        <w:t xml:space="preserve">recommend </w:t>
      </w:r>
      <w:r>
        <w:rPr>
          <w:color w:val="231F20"/>
          <w:spacing w:val="-3"/>
          <w:sz w:val="20"/>
        </w:rPr>
        <w:t xml:space="preserve">improving </w:t>
      </w:r>
      <w:r>
        <w:rPr>
          <w:color w:val="231F20"/>
          <w:sz w:val="20"/>
        </w:rPr>
        <w:t xml:space="preserve">the </w:t>
      </w:r>
      <w:r>
        <w:rPr>
          <w:color w:val="231F20"/>
          <w:spacing w:val="-4"/>
          <w:sz w:val="20"/>
        </w:rPr>
        <w:t xml:space="preserve">ways </w:t>
      </w:r>
      <w:r>
        <w:rPr>
          <w:color w:val="231F20"/>
          <w:sz w:val="20"/>
        </w:rPr>
        <w:t>that courts identify stalking to facilitate</w:t>
      </w:r>
      <w:r>
        <w:rPr>
          <w:color w:val="231F20"/>
          <w:spacing w:val="-11"/>
          <w:sz w:val="20"/>
        </w:rPr>
        <w:t xml:space="preserve"> </w:t>
      </w:r>
      <w:r>
        <w:rPr>
          <w:color w:val="231F20"/>
          <w:sz w:val="20"/>
        </w:rPr>
        <w:t>a</w:t>
      </w:r>
      <w:r>
        <w:rPr>
          <w:color w:val="231F20"/>
          <w:spacing w:val="-11"/>
          <w:sz w:val="20"/>
        </w:rPr>
        <w:t xml:space="preserve"> </w:t>
      </w:r>
      <w:r>
        <w:rPr>
          <w:color w:val="231F20"/>
          <w:sz w:val="20"/>
        </w:rPr>
        <w:t>range</w:t>
      </w:r>
      <w:r>
        <w:rPr>
          <w:color w:val="231F20"/>
          <w:spacing w:val="-11"/>
          <w:sz w:val="20"/>
        </w:rPr>
        <w:t xml:space="preserve"> </w:t>
      </w:r>
      <w:r>
        <w:rPr>
          <w:color w:val="231F20"/>
          <w:sz w:val="20"/>
        </w:rPr>
        <w:t>of</w:t>
      </w:r>
      <w:r>
        <w:rPr>
          <w:color w:val="231F20"/>
          <w:spacing w:val="-11"/>
          <w:sz w:val="20"/>
        </w:rPr>
        <w:t xml:space="preserve"> </w:t>
      </w:r>
      <w:r>
        <w:rPr>
          <w:color w:val="231F20"/>
          <w:sz w:val="20"/>
        </w:rPr>
        <w:t>measures,</w:t>
      </w:r>
      <w:r>
        <w:rPr>
          <w:color w:val="231F20"/>
          <w:spacing w:val="-10"/>
          <w:sz w:val="20"/>
        </w:rPr>
        <w:t xml:space="preserve"> </w:t>
      </w:r>
      <w:r>
        <w:rPr>
          <w:color w:val="231F20"/>
          <w:sz w:val="20"/>
        </w:rPr>
        <w:t>including</w:t>
      </w:r>
      <w:r>
        <w:rPr>
          <w:color w:val="231F20"/>
          <w:spacing w:val="-11"/>
          <w:sz w:val="20"/>
        </w:rPr>
        <w:t xml:space="preserve"> </w:t>
      </w:r>
      <w:r>
        <w:rPr>
          <w:color w:val="231F20"/>
          <w:sz w:val="20"/>
        </w:rPr>
        <w:t>court</w:t>
      </w:r>
      <w:r>
        <w:rPr>
          <w:color w:val="231F20"/>
          <w:spacing w:val="-11"/>
          <w:sz w:val="20"/>
        </w:rPr>
        <w:t xml:space="preserve"> </w:t>
      </w:r>
      <w:r>
        <w:rPr>
          <w:color w:val="231F20"/>
          <w:sz w:val="20"/>
        </w:rPr>
        <w:t>referrals</w:t>
      </w:r>
      <w:r>
        <w:rPr>
          <w:color w:val="231F20"/>
          <w:spacing w:val="-11"/>
          <w:sz w:val="20"/>
        </w:rPr>
        <w:t xml:space="preserve"> </w:t>
      </w:r>
      <w:r>
        <w:rPr>
          <w:color w:val="231F20"/>
          <w:sz w:val="20"/>
        </w:rPr>
        <w:t>of</w:t>
      </w:r>
      <w:r>
        <w:rPr>
          <w:color w:val="231F20"/>
          <w:spacing w:val="-10"/>
          <w:sz w:val="20"/>
        </w:rPr>
        <w:t xml:space="preserve"> </w:t>
      </w:r>
      <w:r>
        <w:rPr>
          <w:color w:val="231F20"/>
          <w:sz w:val="20"/>
        </w:rPr>
        <w:t>people</w:t>
      </w:r>
      <w:r>
        <w:rPr>
          <w:color w:val="231F20"/>
          <w:spacing w:val="-11"/>
          <w:sz w:val="20"/>
        </w:rPr>
        <w:t xml:space="preserve"> </w:t>
      </w:r>
      <w:r>
        <w:rPr>
          <w:color w:val="231F20"/>
          <w:sz w:val="20"/>
        </w:rPr>
        <w:t>to</w:t>
      </w:r>
      <w:r>
        <w:rPr>
          <w:color w:val="231F20"/>
          <w:spacing w:val="-11"/>
          <w:sz w:val="20"/>
        </w:rPr>
        <w:t xml:space="preserve"> </w:t>
      </w:r>
      <w:r>
        <w:rPr>
          <w:color w:val="231F20"/>
          <w:spacing w:val="-3"/>
          <w:sz w:val="20"/>
        </w:rPr>
        <w:t>treatment</w:t>
      </w:r>
      <w:r>
        <w:rPr>
          <w:color w:val="231F20"/>
          <w:spacing w:val="-11"/>
          <w:sz w:val="20"/>
        </w:rPr>
        <w:t xml:space="preserve"> </w:t>
      </w:r>
      <w:r>
        <w:rPr>
          <w:color w:val="231F20"/>
          <w:sz w:val="20"/>
        </w:rPr>
        <w:t>and support.</w:t>
      </w:r>
    </w:p>
    <w:p w14:paraId="7B439B0B" w14:textId="77777777" w:rsidR="00894070" w:rsidRDefault="009B7AFD">
      <w:pPr>
        <w:pStyle w:val="ListParagraph"/>
        <w:numPr>
          <w:ilvl w:val="1"/>
          <w:numId w:val="29"/>
        </w:numPr>
        <w:tabs>
          <w:tab w:val="left" w:pos="1801"/>
          <w:tab w:val="left" w:pos="1802"/>
        </w:tabs>
        <w:spacing w:before="124" w:line="206" w:lineRule="auto"/>
        <w:ind w:right="1506"/>
        <w:rPr>
          <w:sz w:val="11"/>
        </w:rPr>
      </w:pPr>
      <w:r>
        <w:rPr>
          <w:color w:val="231F20"/>
          <w:sz w:val="20"/>
        </w:rPr>
        <w:t>As</w:t>
      </w:r>
      <w:r>
        <w:rPr>
          <w:color w:val="231F20"/>
          <w:spacing w:val="-8"/>
          <w:sz w:val="20"/>
        </w:rPr>
        <w:t xml:space="preserve"> </w:t>
      </w:r>
      <w:r>
        <w:rPr>
          <w:color w:val="231F20"/>
          <w:sz w:val="20"/>
        </w:rPr>
        <w:t>the</w:t>
      </w:r>
      <w:r>
        <w:rPr>
          <w:color w:val="231F20"/>
          <w:spacing w:val="-7"/>
          <w:sz w:val="20"/>
        </w:rPr>
        <w:t xml:space="preserve"> </w:t>
      </w:r>
      <w:r>
        <w:rPr>
          <w:color w:val="231F20"/>
          <w:spacing w:val="-3"/>
          <w:sz w:val="20"/>
        </w:rPr>
        <w:t>Centre</w:t>
      </w:r>
      <w:r>
        <w:rPr>
          <w:color w:val="231F20"/>
          <w:spacing w:val="-8"/>
          <w:sz w:val="20"/>
        </w:rPr>
        <w:t xml:space="preserve"> </w:t>
      </w:r>
      <w:r>
        <w:rPr>
          <w:color w:val="231F20"/>
          <w:spacing w:val="-3"/>
          <w:sz w:val="20"/>
        </w:rPr>
        <w:t>for</w:t>
      </w:r>
      <w:r>
        <w:rPr>
          <w:color w:val="231F20"/>
          <w:spacing w:val="-7"/>
          <w:sz w:val="20"/>
        </w:rPr>
        <w:t xml:space="preserve"> </w:t>
      </w:r>
      <w:r>
        <w:rPr>
          <w:color w:val="231F20"/>
          <w:spacing w:val="-3"/>
          <w:sz w:val="20"/>
        </w:rPr>
        <w:t>Forensic</w:t>
      </w:r>
      <w:r>
        <w:rPr>
          <w:color w:val="231F20"/>
          <w:spacing w:val="-7"/>
          <w:sz w:val="20"/>
        </w:rPr>
        <w:t xml:space="preserve"> </w:t>
      </w:r>
      <w:r>
        <w:rPr>
          <w:color w:val="231F20"/>
          <w:sz w:val="20"/>
        </w:rPr>
        <w:t>Behavioural</w:t>
      </w:r>
      <w:r>
        <w:rPr>
          <w:color w:val="231F20"/>
          <w:spacing w:val="-8"/>
          <w:sz w:val="20"/>
        </w:rPr>
        <w:t xml:space="preserve"> </w:t>
      </w:r>
      <w:r>
        <w:rPr>
          <w:color w:val="231F20"/>
          <w:sz w:val="20"/>
        </w:rPr>
        <w:t>Studies</w:t>
      </w:r>
      <w:r>
        <w:rPr>
          <w:color w:val="231F20"/>
          <w:spacing w:val="-7"/>
          <w:sz w:val="20"/>
        </w:rPr>
        <w:t xml:space="preserve"> </w:t>
      </w:r>
      <w:r>
        <w:rPr>
          <w:color w:val="231F20"/>
          <w:sz w:val="20"/>
        </w:rPr>
        <w:t>submitted,</w:t>
      </w:r>
      <w:r>
        <w:rPr>
          <w:color w:val="231F20"/>
          <w:spacing w:val="-7"/>
          <w:sz w:val="20"/>
        </w:rPr>
        <w:t xml:space="preserve"> </w:t>
      </w:r>
      <w:r>
        <w:rPr>
          <w:color w:val="231F20"/>
          <w:sz w:val="20"/>
        </w:rPr>
        <w:t>in</w:t>
      </w:r>
      <w:r>
        <w:rPr>
          <w:color w:val="231F20"/>
          <w:spacing w:val="-8"/>
          <w:sz w:val="20"/>
        </w:rPr>
        <w:t xml:space="preserve"> </w:t>
      </w:r>
      <w:r>
        <w:rPr>
          <w:color w:val="231F20"/>
          <w:sz w:val="20"/>
        </w:rPr>
        <w:t>PSIO</w:t>
      </w:r>
      <w:r>
        <w:rPr>
          <w:color w:val="231F20"/>
          <w:spacing w:val="-7"/>
          <w:sz w:val="20"/>
        </w:rPr>
        <w:t xml:space="preserve"> </w:t>
      </w:r>
      <w:r>
        <w:rPr>
          <w:color w:val="231F20"/>
          <w:sz w:val="20"/>
        </w:rPr>
        <w:t>cases,</w:t>
      </w:r>
      <w:r>
        <w:rPr>
          <w:color w:val="231F20"/>
          <w:spacing w:val="-7"/>
          <w:sz w:val="20"/>
        </w:rPr>
        <w:t xml:space="preserve"> </w:t>
      </w:r>
      <w:r>
        <w:rPr>
          <w:color w:val="231F20"/>
          <w:sz w:val="20"/>
        </w:rPr>
        <w:t>if</w:t>
      </w:r>
      <w:r>
        <w:rPr>
          <w:color w:val="231F20"/>
          <w:spacing w:val="-8"/>
          <w:sz w:val="20"/>
        </w:rPr>
        <w:t xml:space="preserve"> </w:t>
      </w:r>
      <w:r>
        <w:rPr>
          <w:color w:val="231F20"/>
          <w:sz w:val="20"/>
        </w:rPr>
        <w:t>the</w:t>
      </w:r>
      <w:r>
        <w:rPr>
          <w:color w:val="231F20"/>
          <w:spacing w:val="-7"/>
          <w:sz w:val="20"/>
        </w:rPr>
        <w:t xml:space="preserve"> </w:t>
      </w:r>
      <w:r>
        <w:rPr>
          <w:color w:val="231F20"/>
          <w:sz w:val="20"/>
        </w:rPr>
        <w:t xml:space="preserve">court recognised that a person </w:t>
      </w:r>
      <w:r>
        <w:rPr>
          <w:color w:val="231F20"/>
          <w:spacing w:val="-3"/>
          <w:sz w:val="20"/>
        </w:rPr>
        <w:t xml:space="preserve">present may </w:t>
      </w:r>
      <w:r>
        <w:rPr>
          <w:color w:val="231F20"/>
          <w:sz w:val="20"/>
        </w:rPr>
        <w:t xml:space="preserve">be experiencing </w:t>
      </w:r>
      <w:r>
        <w:rPr>
          <w:color w:val="231F20"/>
          <w:spacing w:val="-4"/>
          <w:sz w:val="20"/>
        </w:rPr>
        <w:t xml:space="preserve">severe </w:t>
      </w:r>
      <w:r>
        <w:rPr>
          <w:color w:val="231F20"/>
          <w:sz w:val="20"/>
        </w:rPr>
        <w:t xml:space="preserve">mental illness, they could access the Mental Health </w:t>
      </w:r>
      <w:r>
        <w:rPr>
          <w:color w:val="231F20"/>
          <w:spacing w:val="-3"/>
          <w:sz w:val="20"/>
        </w:rPr>
        <w:t xml:space="preserve">Advice </w:t>
      </w:r>
      <w:r>
        <w:rPr>
          <w:color w:val="231F20"/>
          <w:sz w:val="20"/>
        </w:rPr>
        <w:t xml:space="preserve">and Response Service in court or make a </w:t>
      </w:r>
      <w:r>
        <w:rPr>
          <w:color w:val="231F20"/>
          <w:spacing w:val="-3"/>
          <w:sz w:val="20"/>
        </w:rPr>
        <w:t xml:space="preserve">referral </w:t>
      </w:r>
      <w:r>
        <w:rPr>
          <w:color w:val="231F20"/>
          <w:sz w:val="20"/>
        </w:rPr>
        <w:t xml:space="preserve">to the local mental health service </w:t>
      </w:r>
      <w:r>
        <w:rPr>
          <w:color w:val="231F20"/>
          <w:spacing w:val="-3"/>
          <w:sz w:val="20"/>
        </w:rPr>
        <w:t xml:space="preserve">for </w:t>
      </w:r>
      <w:r>
        <w:rPr>
          <w:color w:val="231F20"/>
          <w:sz w:val="20"/>
        </w:rPr>
        <w:t>an</w:t>
      </w:r>
      <w:r>
        <w:rPr>
          <w:color w:val="231F20"/>
          <w:spacing w:val="-37"/>
          <w:sz w:val="20"/>
        </w:rPr>
        <w:t xml:space="preserve"> </w:t>
      </w:r>
      <w:r>
        <w:rPr>
          <w:color w:val="231F20"/>
          <w:sz w:val="20"/>
        </w:rPr>
        <w:t>assessment.</w:t>
      </w:r>
      <w:r>
        <w:rPr>
          <w:color w:val="231F20"/>
          <w:position w:val="7"/>
          <w:sz w:val="11"/>
        </w:rPr>
        <w:t>102</w:t>
      </w:r>
    </w:p>
    <w:p w14:paraId="6BA001EF" w14:textId="77777777" w:rsidR="00894070" w:rsidRDefault="009B7AFD">
      <w:pPr>
        <w:pStyle w:val="ListParagraph"/>
        <w:numPr>
          <w:ilvl w:val="1"/>
          <w:numId w:val="29"/>
        </w:numPr>
        <w:tabs>
          <w:tab w:val="left" w:pos="1801"/>
          <w:tab w:val="left" w:pos="1802"/>
        </w:tabs>
        <w:spacing w:before="125" w:line="206" w:lineRule="auto"/>
        <w:ind w:right="1165"/>
        <w:rPr>
          <w:sz w:val="11"/>
        </w:rPr>
      </w:pPr>
      <w:r>
        <w:rPr>
          <w:color w:val="231F20"/>
          <w:spacing w:val="-4"/>
          <w:sz w:val="20"/>
        </w:rPr>
        <w:t xml:space="preserve">Further, </w:t>
      </w:r>
      <w:r>
        <w:rPr>
          <w:color w:val="231F20"/>
          <w:sz w:val="20"/>
        </w:rPr>
        <w:t xml:space="preserve">the </w:t>
      </w:r>
      <w:r>
        <w:rPr>
          <w:i/>
          <w:color w:val="231F20"/>
          <w:sz w:val="20"/>
        </w:rPr>
        <w:t xml:space="preserve">Personal Safety Intervention Orders Act </w:t>
      </w:r>
      <w:r>
        <w:rPr>
          <w:i/>
          <w:color w:val="231F20"/>
          <w:spacing w:val="-3"/>
          <w:sz w:val="20"/>
        </w:rPr>
        <w:t xml:space="preserve">2010 </w:t>
      </w:r>
      <w:r>
        <w:rPr>
          <w:color w:val="231F20"/>
          <w:sz w:val="20"/>
        </w:rPr>
        <w:t xml:space="preserve">(Vic) enables the court (in explaining the final </w:t>
      </w:r>
      <w:r>
        <w:rPr>
          <w:color w:val="231F20"/>
          <w:spacing w:val="-3"/>
          <w:sz w:val="20"/>
        </w:rPr>
        <w:t xml:space="preserve">order) </w:t>
      </w:r>
      <w:r>
        <w:rPr>
          <w:color w:val="231F20"/>
          <w:sz w:val="20"/>
        </w:rPr>
        <w:t xml:space="preserve">to </w:t>
      </w:r>
      <w:r>
        <w:rPr>
          <w:color w:val="231F20"/>
          <w:spacing w:val="-3"/>
          <w:sz w:val="20"/>
        </w:rPr>
        <w:t xml:space="preserve">provide information </w:t>
      </w:r>
      <w:r>
        <w:rPr>
          <w:color w:val="231F20"/>
          <w:sz w:val="20"/>
        </w:rPr>
        <w:t xml:space="preserve">about </w:t>
      </w:r>
      <w:r>
        <w:rPr>
          <w:color w:val="231F20"/>
          <w:spacing w:val="-3"/>
          <w:sz w:val="20"/>
        </w:rPr>
        <w:t xml:space="preserve">any relevant </w:t>
      </w:r>
      <w:r>
        <w:rPr>
          <w:color w:val="231F20"/>
          <w:sz w:val="20"/>
        </w:rPr>
        <w:t xml:space="preserve">services that </w:t>
      </w:r>
      <w:r>
        <w:rPr>
          <w:color w:val="231F20"/>
          <w:spacing w:val="-3"/>
          <w:sz w:val="20"/>
        </w:rPr>
        <w:t xml:space="preserve">may </w:t>
      </w:r>
      <w:r>
        <w:rPr>
          <w:color w:val="231F20"/>
          <w:sz w:val="20"/>
        </w:rPr>
        <w:t>be</w:t>
      </w:r>
      <w:r>
        <w:rPr>
          <w:color w:val="231F20"/>
          <w:spacing w:val="-12"/>
          <w:sz w:val="20"/>
        </w:rPr>
        <w:t xml:space="preserve"> </w:t>
      </w:r>
      <w:r>
        <w:rPr>
          <w:color w:val="231F20"/>
          <w:sz w:val="20"/>
        </w:rPr>
        <w:t>available</w:t>
      </w:r>
      <w:r>
        <w:rPr>
          <w:color w:val="231F20"/>
          <w:spacing w:val="-12"/>
          <w:sz w:val="20"/>
        </w:rPr>
        <w:t xml:space="preserve"> </w:t>
      </w:r>
      <w:r>
        <w:rPr>
          <w:color w:val="231F20"/>
          <w:sz w:val="20"/>
        </w:rPr>
        <w:t>to</w:t>
      </w:r>
      <w:r>
        <w:rPr>
          <w:color w:val="231F20"/>
          <w:spacing w:val="-11"/>
          <w:sz w:val="20"/>
        </w:rPr>
        <w:t xml:space="preserve"> </w:t>
      </w:r>
      <w:r>
        <w:rPr>
          <w:color w:val="231F20"/>
          <w:sz w:val="20"/>
        </w:rPr>
        <w:t>the</w:t>
      </w:r>
      <w:r>
        <w:rPr>
          <w:color w:val="231F20"/>
          <w:spacing w:val="-12"/>
          <w:sz w:val="20"/>
        </w:rPr>
        <w:t xml:space="preserve"> </w:t>
      </w:r>
      <w:r>
        <w:rPr>
          <w:color w:val="231F20"/>
          <w:sz w:val="20"/>
        </w:rPr>
        <w:t>respondent,</w:t>
      </w:r>
      <w:r>
        <w:rPr>
          <w:color w:val="231F20"/>
          <w:spacing w:val="-12"/>
          <w:sz w:val="20"/>
        </w:rPr>
        <w:t xml:space="preserve"> </w:t>
      </w:r>
      <w:r>
        <w:rPr>
          <w:color w:val="231F20"/>
          <w:sz w:val="20"/>
        </w:rPr>
        <w:t>including</w:t>
      </w:r>
      <w:r>
        <w:rPr>
          <w:color w:val="231F20"/>
          <w:spacing w:val="-11"/>
          <w:sz w:val="20"/>
        </w:rPr>
        <w:t xml:space="preserve"> </w:t>
      </w:r>
      <w:r>
        <w:rPr>
          <w:color w:val="231F20"/>
          <w:sz w:val="20"/>
        </w:rPr>
        <w:t>counselling,</w:t>
      </w:r>
      <w:r>
        <w:rPr>
          <w:color w:val="231F20"/>
          <w:spacing w:val="-12"/>
          <w:sz w:val="20"/>
        </w:rPr>
        <w:t xml:space="preserve"> </w:t>
      </w:r>
      <w:r>
        <w:rPr>
          <w:color w:val="231F20"/>
          <w:spacing w:val="-3"/>
          <w:sz w:val="20"/>
        </w:rPr>
        <w:t>disability,</w:t>
      </w:r>
      <w:r>
        <w:rPr>
          <w:color w:val="231F20"/>
          <w:spacing w:val="-12"/>
          <w:sz w:val="20"/>
        </w:rPr>
        <w:t xml:space="preserve"> </w:t>
      </w:r>
      <w:r>
        <w:rPr>
          <w:color w:val="231F20"/>
          <w:sz w:val="20"/>
        </w:rPr>
        <w:t>mental</w:t>
      </w:r>
      <w:r>
        <w:rPr>
          <w:color w:val="231F20"/>
          <w:spacing w:val="-11"/>
          <w:sz w:val="20"/>
        </w:rPr>
        <w:t xml:space="preserve"> </w:t>
      </w:r>
      <w:r>
        <w:rPr>
          <w:color w:val="231F20"/>
          <w:sz w:val="20"/>
        </w:rPr>
        <w:t>health</w:t>
      </w:r>
      <w:r>
        <w:rPr>
          <w:color w:val="231F20"/>
          <w:spacing w:val="-12"/>
          <w:sz w:val="20"/>
        </w:rPr>
        <w:t xml:space="preserve"> </w:t>
      </w:r>
      <w:r>
        <w:rPr>
          <w:color w:val="231F20"/>
          <w:sz w:val="20"/>
        </w:rPr>
        <w:t>and</w:t>
      </w:r>
      <w:r>
        <w:rPr>
          <w:color w:val="231F20"/>
          <w:spacing w:val="-12"/>
          <w:sz w:val="20"/>
        </w:rPr>
        <w:t xml:space="preserve"> </w:t>
      </w:r>
      <w:r>
        <w:rPr>
          <w:color w:val="231F20"/>
          <w:sz w:val="20"/>
        </w:rPr>
        <w:t>drug and alcohol</w:t>
      </w:r>
      <w:r>
        <w:rPr>
          <w:color w:val="231F20"/>
          <w:spacing w:val="-9"/>
          <w:sz w:val="20"/>
        </w:rPr>
        <w:t xml:space="preserve"> </w:t>
      </w:r>
      <w:r>
        <w:rPr>
          <w:color w:val="231F20"/>
          <w:sz w:val="20"/>
        </w:rPr>
        <w:t>services.</w:t>
      </w:r>
      <w:r>
        <w:rPr>
          <w:color w:val="231F20"/>
          <w:position w:val="7"/>
          <w:sz w:val="11"/>
        </w:rPr>
        <w:t>103</w:t>
      </w:r>
    </w:p>
    <w:p w14:paraId="74772149" w14:textId="77777777" w:rsidR="00894070" w:rsidRDefault="009B7AFD">
      <w:pPr>
        <w:pStyle w:val="ListParagraph"/>
        <w:numPr>
          <w:ilvl w:val="1"/>
          <w:numId w:val="29"/>
        </w:numPr>
        <w:tabs>
          <w:tab w:val="left" w:pos="1801"/>
          <w:tab w:val="left" w:pos="1802"/>
        </w:tabs>
        <w:spacing w:before="125" w:line="206" w:lineRule="auto"/>
        <w:ind w:right="1172"/>
        <w:rPr>
          <w:sz w:val="11"/>
        </w:rPr>
      </w:pPr>
      <w:r>
        <w:rPr>
          <w:color w:val="231F20"/>
          <w:sz w:val="20"/>
        </w:rPr>
        <w:t xml:space="preserve">Another point of </w:t>
      </w:r>
      <w:r>
        <w:rPr>
          <w:color w:val="231F20"/>
          <w:spacing w:val="-2"/>
          <w:sz w:val="20"/>
        </w:rPr>
        <w:t xml:space="preserve">intervention </w:t>
      </w:r>
      <w:r>
        <w:rPr>
          <w:color w:val="231F20"/>
          <w:sz w:val="20"/>
        </w:rPr>
        <w:t xml:space="preserve">is at the pre-sentence stage. The </w:t>
      </w:r>
      <w:r>
        <w:rPr>
          <w:color w:val="231F20"/>
          <w:spacing w:val="-3"/>
          <w:sz w:val="20"/>
        </w:rPr>
        <w:t xml:space="preserve">Royal </w:t>
      </w:r>
      <w:r>
        <w:rPr>
          <w:color w:val="231F20"/>
          <w:sz w:val="20"/>
        </w:rPr>
        <w:t xml:space="preserve">Australian and New Zealand College of Psychiatrists and </w:t>
      </w:r>
      <w:r>
        <w:rPr>
          <w:color w:val="231F20"/>
          <w:spacing w:val="-3"/>
          <w:sz w:val="20"/>
        </w:rPr>
        <w:t xml:space="preserve">Forensicare </w:t>
      </w:r>
      <w:r>
        <w:rPr>
          <w:color w:val="231F20"/>
          <w:sz w:val="20"/>
        </w:rPr>
        <w:t xml:space="preserve">both submitted that because of a </w:t>
      </w:r>
      <w:r>
        <w:rPr>
          <w:color w:val="231F20"/>
          <w:spacing w:val="-3"/>
          <w:sz w:val="20"/>
        </w:rPr>
        <w:t xml:space="preserve">perceived </w:t>
      </w:r>
      <w:r>
        <w:rPr>
          <w:color w:val="231F20"/>
          <w:sz w:val="20"/>
        </w:rPr>
        <w:t xml:space="preserve">association between </w:t>
      </w:r>
      <w:r>
        <w:rPr>
          <w:color w:val="231F20"/>
          <w:spacing w:val="-4"/>
          <w:sz w:val="20"/>
        </w:rPr>
        <w:t xml:space="preserve">severe </w:t>
      </w:r>
      <w:r>
        <w:rPr>
          <w:color w:val="231F20"/>
          <w:sz w:val="20"/>
        </w:rPr>
        <w:t xml:space="preserve">mental disorders and stalking, a request </w:t>
      </w:r>
      <w:r>
        <w:rPr>
          <w:color w:val="231F20"/>
          <w:spacing w:val="-3"/>
          <w:sz w:val="20"/>
        </w:rPr>
        <w:t xml:space="preserve">for </w:t>
      </w:r>
      <w:r>
        <w:rPr>
          <w:color w:val="231F20"/>
          <w:sz w:val="20"/>
        </w:rPr>
        <w:t>a pre-sentence</w:t>
      </w:r>
      <w:r>
        <w:rPr>
          <w:color w:val="231F20"/>
          <w:spacing w:val="-10"/>
          <w:sz w:val="20"/>
        </w:rPr>
        <w:t xml:space="preserve"> </w:t>
      </w:r>
      <w:r>
        <w:rPr>
          <w:color w:val="231F20"/>
          <w:spacing w:val="-3"/>
          <w:sz w:val="20"/>
        </w:rPr>
        <w:t>forensic</w:t>
      </w:r>
      <w:r>
        <w:rPr>
          <w:color w:val="231F20"/>
          <w:spacing w:val="-10"/>
          <w:sz w:val="20"/>
        </w:rPr>
        <w:t xml:space="preserve"> </w:t>
      </w:r>
      <w:r>
        <w:rPr>
          <w:color w:val="231F20"/>
          <w:sz w:val="20"/>
        </w:rPr>
        <w:t>mental</w:t>
      </w:r>
      <w:r>
        <w:rPr>
          <w:color w:val="231F20"/>
          <w:spacing w:val="-9"/>
          <w:sz w:val="20"/>
        </w:rPr>
        <w:t xml:space="preserve"> </w:t>
      </w:r>
      <w:r>
        <w:rPr>
          <w:color w:val="231F20"/>
          <w:sz w:val="20"/>
        </w:rPr>
        <w:t>health</w:t>
      </w:r>
      <w:r>
        <w:rPr>
          <w:color w:val="231F20"/>
          <w:spacing w:val="-10"/>
          <w:sz w:val="20"/>
        </w:rPr>
        <w:t xml:space="preserve"> </w:t>
      </w:r>
      <w:r>
        <w:rPr>
          <w:color w:val="231F20"/>
          <w:sz w:val="20"/>
        </w:rPr>
        <w:t>assessment</w:t>
      </w:r>
      <w:r>
        <w:rPr>
          <w:color w:val="231F20"/>
          <w:spacing w:val="-9"/>
          <w:sz w:val="20"/>
        </w:rPr>
        <w:t xml:space="preserve"> </w:t>
      </w:r>
      <w:r>
        <w:rPr>
          <w:color w:val="231F20"/>
          <w:sz w:val="20"/>
        </w:rPr>
        <w:t>should</w:t>
      </w:r>
      <w:r>
        <w:rPr>
          <w:color w:val="231F20"/>
          <w:spacing w:val="-10"/>
          <w:sz w:val="20"/>
        </w:rPr>
        <w:t xml:space="preserve"> </w:t>
      </w:r>
      <w:r>
        <w:rPr>
          <w:color w:val="231F20"/>
          <w:sz w:val="20"/>
        </w:rPr>
        <w:t>be</w:t>
      </w:r>
      <w:r>
        <w:rPr>
          <w:color w:val="231F20"/>
          <w:spacing w:val="-9"/>
          <w:sz w:val="20"/>
        </w:rPr>
        <w:t xml:space="preserve"> </w:t>
      </w:r>
      <w:r>
        <w:rPr>
          <w:color w:val="231F20"/>
          <w:spacing w:val="-3"/>
          <w:sz w:val="20"/>
        </w:rPr>
        <w:t>routine</w:t>
      </w:r>
      <w:r>
        <w:rPr>
          <w:color w:val="231F20"/>
          <w:spacing w:val="-10"/>
          <w:sz w:val="20"/>
        </w:rPr>
        <w:t xml:space="preserve"> </w:t>
      </w:r>
      <w:r>
        <w:rPr>
          <w:color w:val="231F20"/>
          <w:sz w:val="20"/>
        </w:rPr>
        <w:t>in</w:t>
      </w:r>
      <w:r>
        <w:rPr>
          <w:color w:val="231F20"/>
          <w:spacing w:val="-9"/>
          <w:sz w:val="20"/>
        </w:rPr>
        <w:t xml:space="preserve"> </w:t>
      </w:r>
      <w:r>
        <w:rPr>
          <w:color w:val="231F20"/>
          <w:sz w:val="20"/>
        </w:rPr>
        <w:t>cases</w:t>
      </w:r>
      <w:r>
        <w:rPr>
          <w:color w:val="231F20"/>
          <w:spacing w:val="-10"/>
          <w:sz w:val="20"/>
        </w:rPr>
        <w:t xml:space="preserve"> </w:t>
      </w:r>
      <w:r>
        <w:rPr>
          <w:color w:val="231F20"/>
          <w:sz w:val="20"/>
        </w:rPr>
        <w:t>of</w:t>
      </w:r>
      <w:r>
        <w:rPr>
          <w:color w:val="231F20"/>
          <w:spacing w:val="-9"/>
          <w:sz w:val="20"/>
        </w:rPr>
        <w:t xml:space="preserve"> </w:t>
      </w:r>
      <w:r>
        <w:rPr>
          <w:color w:val="231F20"/>
          <w:sz w:val="20"/>
        </w:rPr>
        <w:t>stranger or acquaintance</w:t>
      </w:r>
      <w:r>
        <w:rPr>
          <w:color w:val="231F20"/>
          <w:spacing w:val="-9"/>
          <w:sz w:val="20"/>
        </w:rPr>
        <w:t xml:space="preserve"> </w:t>
      </w:r>
      <w:r>
        <w:rPr>
          <w:color w:val="231F20"/>
          <w:sz w:val="20"/>
        </w:rPr>
        <w:t>stalking.</w:t>
      </w:r>
      <w:r>
        <w:rPr>
          <w:color w:val="231F20"/>
          <w:position w:val="7"/>
          <w:sz w:val="11"/>
        </w:rPr>
        <w:t>104</w:t>
      </w:r>
    </w:p>
    <w:p w14:paraId="1944EA47" w14:textId="77777777" w:rsidR="00894070" w:rsidRDefault="009B7AFD">
      <w:pPr>
        <w:pStyle w:val="ListParagraph"/>
        <w:numPr>
          <w:ilvl w:val="1"/>
          <w:numId w:val="29"/>
        </w:numPr>
        <w:tabs>
          <w:tab w:val="left" w:pos="1801"/>
          <w:tab w:val="left" w:pos="1802"/>
        </w:tabs>
        <w:spacing w:before="126" w:line="206" w:lineRule="auto"/>
        <w:ind w:right="1254"/>
        <w:rPr>
          <w:sz w:val="20"/>
        </w:rPr>
      </w:pPr>
      <w:r>
        <w:rPr>
          <w:color w:val="231F20"/>
          <w:sz w:val="20"/>
        </w:rPr>
        <w:t>In</w:t>
      </w:r>
      <w:r>
        <w:rPr>
          <w:color w:val="231F20"/>
          <w:spacing w:val="-11"/>
          <w:sz w:val="20"/>
        </w:rPr>
        <w:t xml:space="preserve"> </w:t>
      </w:r>
      <w:r>
        <w:rPr>
          <w:color w:val="231F20"/>
          <w:sz w:val="20"/>
        </w:rPr>
        <w:t>its</w:t>
      </w:r>
      <w:r>
        <w:rPr>
          <w:color w:val="231F20"/>
          <w:spacing w:val="-10"/>
          <w:sz w:val="20"/>
        </w:rPr>
        <w:t xml:space="preserve"> </w:t>
      </w:r>
      <w:r>
        <w:rPr>
          <w:color w:val="231F20"/>
          <w:sz w:val="20"/>
        </w:rPr>
        <w:t>report</w:t>
      </w:r>
      <w:r>
        <w:rPr>
          <w:color w:val="231F20"/>
          <w:spacing w:val="-11"/>
          <w:sz w:val="20"/>
        </w:rPr>
        <w:t xml:space="preserve"> </w:t>
      </w:r>
      <w:r>
        <w:rPr>
          <w:color w:val="231F20"/>
          <w:sz w:val="20"/>
        </w:rPr>
        <w:t>on</w:t>
      </w:r>
      <w:r>
        <w:rPr>
          <w:color w:val="231F20"/>
          <w:spacing w:val="-10"/>
          <w:sz w:val="20"/>
        </w:rPr>
        <w:t xml:space="preserve"> </w:t>
      </w:r>
      <w:r>
        <w:rPr>
          <w:color w:val="231F20"/>
          <w:sz w:val="20"/>
        </w:rPr>
        <w:t>sentencing</w:t>
      </w:r>
      <w:r>
        <w:rPr>
          <w:color w:val="231F20"/>
          <w:spacing w:val="-10"/>
          <w:sz w:val="20"/>
        </w:rPr>
        <w:t xml:space="preserve"> </w:t>
      </w:r>
      <w:r>
        <w:rPr>
          <w:color w:val="231F20"/>
          <w:sz w:val="20"/>
        </w:rPr>
        <w:t>stalking,</w:t>
      </w:r>
      <w:r>
        <w:rPr>
          <w:color w:val="231F20"/>
          <w:spacing w:val="-11"/>
          <w:sz w:val="20"/>
        </w:rPr>
        <w:t xml:space="preserve"> </w:t>
      </w:r>
      <w:r>
        <w:rPr>
          <w:color w:val="231F20"/>
          <w:sz w:val="20"/>
        </w:rPr>
        <w:t>the</w:t>
      </w:r>
      <w:r>
        <w:rPr>
          <w:color w:val="231F20"/>
          <w:spacing w:val="-10"/>
          <w:sz w:val="20"/>
        </w:rPr>
        <w:t xml:space="preserve"> </w:t>
      </w:r>
      <w:r>
        <w:rPr>
          <w:color w:val="231F20"/>
          <w:sz w:val="20"/>
        </w:rPr>
        <w:t>Sentencing</w:t>
      </w:r>
      <w:r>
        <w:rPr>
          <w:color w:val="231F20"/>
          <w:spacing w:val="-11"/>
          <w:sz w:val="20"/>
        </w:rPr>
        <w:t xml:space="preserve"> </w:t>
      </w:r>
      <w:r>
        <w:rPr>
          <w:color w:val="231F20"/>
          <w:sz w:val="20"/>
        </w:rPr>
        <w:t>Advisory</w:t>
      </w:r>
      <w:r>
        <w:rPr>
          <w:color w:val="231F20"/>
          <w:spacing w:val="-10"/>
          <w:sz w:val="20"/>
        </w:rPr>
        <w:t xml:space="preserve"> </w:t>
      </w:r>
      <w:r>
        <w:rPr>
          <w:color w:val="231F20"/>
          <w:sz w:val="20"/>
        </w:rPr>
        <w:t>Council</w:t>
      </w:r>
      <w:r>
        <w:rPr>
          <w:color w:val="231F20"/>
          <w:spacing w:val="-10"/>
          <w:sz w:val="20"/>
        </w:rPr>
        <w:t xml:space="preserve"> </w:t>
      </w:r>
      <w:r>
        <w:rPr>
          <w:color w:val="231F20"/>
          <w:spacing w:val="-3"/>
          <w:sz w:val="20"/>
        </w:rPr>
        <w:t>notes</w:t>
      </w:r>
      <w:r>
        <w:rPr>
          <w:color w:val="231F20"/>
          <w:spacing w:val="-11"/>
          <w:sz w:val="20"/>
        </w:rPr>
        <w:t xml:space="preserve"> </w:t>
      </w:r>
      <w:r>
        <w:rPr>
          <w:color w:val="231F20"/>
          <w:sz w:val="20"/>
        </w:rPr>
        <w:t>that</w:t>
      </w:r>
      <w:r>
        <w:rPr>
          <w:color w:val="231F20"/>
          <w:spacing w:val="-10"/>
          <w:sz w:val="20"/>
        </w:rPr>
        <w:t xml:space="preserve"> </w:t>
      </w:r>
      <w:r>
        <w:rPr>
          <w:color w:val="231F20"/>
          <w:sz w:val="20"/>
        </w:rPr>
        <w:t>people who</w:t>
      </w:r>
      <w:r>
        <w:rPr>
          <w:color w:val="231F20"/>
          <w:spacing w:val="-5"/>
          <w:sz w:val="20"/>
        </w:rPr>
        <w:t xml:space="preserve"> </w:t>
      </w:r>
      <w:r>
        <w:rPr>
          <w:color w:val="231F20"/>
          <w:sz w:val="20"/>
        </w:rPr>
        <w:t>stalk:</w:t>
      </w:r>
    </w:p>
    <w:p w14:paraId="03DC69E8" w14:textId="77777777" w:rsidR="00894070" w:rsidRDefault="009B7AFD">
      <w:pPr>
        <w:spacing w:before="120" w:line="208" w:lineRule="auto"/>
        <w:ind w:left="2254" w:right="1459"/>
        <w:rPr>
          <w:sz w:val="11"/>
        </w:rPr>
      </w:pPr>
      <w:r>
        <w:rPr>
          <w:color w:val="231F20"/>
          <w:sz w:val="19"/>
        </w:rPr>
        <w:t>‘are only required to be assessed for suitability to participate in the [Problem Behaviour Program] if it is an express condition of a CCO [Community Corrections Order], or if a Corrections Victoria case manager deems it appropriate that the [person] be assessed [on the basis of] a more generic CCO condition requiring participation in treatment and rehabilitation’.</w:t>
      </w:r>
      <w:r>
        <w:rPr>
          <w:color w:val="231F20"/>
          <w:position w:val="6"/>
          <w:sz w:val="11"/>
        </w:rPr>
        <w:t>105</w:t>
      </w:r>
    </w:p>
    <w:p w14:paraId="39D7A107" w14:textId="77777777" w:rsidR="00894070" w:rsidRDefault="009B7AFD">
      <w:pPr>
        <w:pStyle w:val="ListParagraph"/>
        <w:numPr>
          <w:ilvl w:val="1"/>
          <w:numId w:val="29"/>
        </w:numPr>
        <w:tabs>
          <w:tab w:val="left" w:pos="1801"/>
          <w:tab w:val="left" w:pos="1802"/>
        </w:tabs>
        <w:spacing w:before="126" w:line="206" w:lineRule="auto"/>
        <w:ind w:right="1528"/>
        <w:rPr>
          <w:sz w:val="20"/>
        </w:rPr>
      </w:pPr>
      <w:r>
        <w:rPr>
          <w:color w:val="231F20"/>
          <w:sz w:val="20"/>
        </w:rPr>
        <w:t xml:space="preserve">Making the courts </w:t>
      </w:r>
      <w:r>
        <w:rPr>
          <w:color w:val="231F20"/>
          <w:spacing w:val="-4"/>
          <w:sz w:val="20"/>
        </w:rPr>
        <w:t xml:space="preserve">aware </w:t>
      </w:r>
      <w:r>
        <w:rPr>
          <w:color w:val="231F20"/>
          <w:sz w:val="20"/>
        </w:rPr>
        <w:t xml:space="preserve">of the need </w:t>
      </w:r>
      <w:r>
        <w:rPr>
          <w:color w:val="231F20"/>
          <w:spacing w:val="-3"/>
          <w:sz w:val="20"/>
        </w:rPr>
        <w:t xml:space="preserve">for </w:t>
      </w:r>
      <w:r>
        <w:rPr>
          <w:color w:val="231F20"/>
          <w:sz w:val="20"/>
        </w:rPr>
        <w:t xml:space="preserve">assessment and </w:t>
      </w:r>
      <w:r>
        <w:rPr>
          <w:color w:val="231F20"/>
          <w:spacing w:val="-3"/>
          <w:sz w:val="20"/>
        </w:rPr>
        <w:t xml:space="preserve">referral </w:t>
      </w:r>
      <w:r>
        <w:rPr>
          <w:color w:val="231F20"/>
          <w:sz w:val="20"/>
        </w:rPr>
        <w:t xml:space="preserve">and the </w:t>
      </w:r>
      <w:r>
        <w:rPr>
          <w:color w:val="231F20"/>
          <w:spacing w:val="-4"/>
          <w:sz w:val="20"/>
        </w:rPr>
        <w:t xml:space="preserve">pathways </w:t>
      </w:r>
      <w:r>
        <w:rPr>
          <w:color w:val="231F20"/>
          <w:sz w:val="20"/>
        </w:rPr>
        <w:t>available</w:t>
      </w:r>
      <w:r>
        <w:rPr>
          <w:color w:val="231F20"/>
          <w:spacing w:val="-8"/>
          <w:sz w:val="20"/>
        </w:rPr>
        <w:t xml:space="preserve"> </w:t>
      </w:r>
      <w:r>
        <w:rPr>
          <w:color w:val="231F20"/>
          <w:spacing w:val="-3"/>
          <w:sz w:val="20"/>
        </w:rPr>
        <w:t>would</w:t>
      </w:r>
      <w:r>
        <w:rPr>
          <w:color w:val="231F20"/>
          <w:spacing w:val="-8"/>
          <w:sz w:val="20"/>
        </w:rPr>
        <w:t xml:space="preserve"> </w:t>
      </w:r>
      <w:r>
        <w:rPr>
          <w:color w:val="231F20"/>
          <w:sz w:val="20"/>
        </w:rPr>
        <w:t>help</w:t>
      </w:r>
      <w:r>
        <w:rPr>
          <w:color w:val="231F20"/>
          <w:spacing w:val="-7"/>
          <w:sz w:val="20"/>
        </w:rPr>
        <w:t xml:space="preserve"> </w:t>
      </w:r>
      <w:r>
        <w:rPr>
          <w:color w:val="231F20"/>
          <w:sz w:val="20"/>
        </w:rPr>
        <w:t>people</w:t>
      </w:r>
      <w:r>
        <w:rPr>
          <w:color w:val="231F20"/>
          <w:spacing w:val="-8"/>
          <w:sz w:val="20"/>
        </w:rPr>
        <w:t xml:space="preserve"> </w:t>
      </w:r>
      <w:r>
        <w:rPr>
          <w:color w:val="231F20"/>
          <w:sz w:val="20"/>
        </w:rPr>
        <w:t>who</w:t>
      </w:r>
      <w:r>
        <w:rPr>
          <w:color w:val="231F20"/>
          <w:spacing w:val="-7"/>
          <w:sz w:val="20"/>
        </w:rPr>
        <w:t xml:space="preserve"> </w:t>
      </w:r>
      <w:r>
        <w:rPr>
          <w:color w:val="231F20"/>
          <w:sz w:val="20"/>
        </w:rPr>
        <w:t>stalk</w:t>
      </w:r>
      <w:r>
        <w:rPr>
          <w:color w:val="231F20"/>
          <w:spacing w:val="-8"/>
          <w:sz w:val="20"/>
        </w:rPr>
        <w:t xml:space="preserve"> </w:t>
      </w:r>
      <w:r>
        <w:rPr>
          <w:color w:val="231F20"/>
          <w:sz w:val="20"/>
        </w:rPr>
        <w:t>to</w:t>
      </w:r>
      <w:r>
        <w:rPr>
          <w:color w:val="231F20"/>
          <w:spacing w:val="-7"/>
          <w:sz w:val="20"/>
        </w:rPr>
        <w:t xml:space="preserve"> </w:t>
      </w:r>
      <w:r>
        <w:rPr>
          <w:color w:val="231F20"/>
          <w:sz w:val="20"/>
        </w:rPr>
        <w:t>get</w:t>
      </w:r>
      <w:r>
        <w:rPr>
          <w:color w:val="231F20"/>
          <w:spacing w:val="-8"/>
          <w:sz w:val="20"/>
        </w:rPr>
        <w:t xml:space="preserve"> </w:t>
      </w:r>
      <w:r>
        <w:rPr>
          <w:color w:val="231F20"/>
          <w:sz w:val="20"/>
        </w:rPr>
        <w:t>the</w:t>
      </w:r>
      <w:r>
        <w:rPr>
          <w:color w:val="231F20"/>
          <w:spacing w:val="-7"/>
          <w:sz w:val="20"/>
        </w:rPr>
        <w:t xml:space="preserve"> </w:t>
      </w:r>
      <w:r>
        <w:rPr>
          <w:color w:val="231F20"/>
          <w:spacing w:val="-3"/>
          <w:sz w:val="20"/>
        </w:rPr>
        <w:t>treatment</w:t>
      </w:r>
      <w:r>
        <w:rPr>
          <w:color w:val="231F20"/>
          <w:spacing w:val="-8"/>
          <w:sz w:val="20"/>
        </w:rPr>
        <w:t xml:space="preserve"> </w:t>
      </w:r>
      <w:r>
        <w:rPr>
          <w:color w:val="231F20"/>
          <w:sz w:val="20"/>
        </w:rPr>
        <w:t>and</w:t>
      </w:r>
      <w:r>
        <w:rPr>
          <w:color w:val="231F20"/>
          <w:spacing w:val="-8"/>
          <w:sz w:val="20"/>
        </w:rPr>
        <w:t xml:space="preserve"> </w:t>
      </w:r>
      <w:r>
        <w:rPr>
          <w:color w:val="231F20"/>
          <w:sz w:val="20"/>
        </w:rPr>
        <w:t>support</w:t>
      </w:r>
      <w:r>
        <w:rPr>
          <w:color w:val="231F20"/>
          <w:spacing w:val="-7"/>
          <w:sz w:val="20"/>
        </w:rPr>
        <w:t xml:space="preserve"> </w:t>
      </w:r>
      <w:r>
        <w:rPr>
          <w:color w:val="231F20"/>
          <w:sz w:val="20"/>
        </w:rPr>
        <w:t>they</w:t>
      </w:r>
      <w:r>
        <w:rPr>
          <w:color w:val="231F20"/>
          <w:spacing w:val="-8"/>
          <w:sz w:val="20"/>
        </w:rPr>
        <w:t xml:space="preserve"> </w:t>
      </w:r>
      <w:r>
        <w:rPr>
          <w:color w:val="231F20"/>
          <w:sz w:val="20"/>
        </w:rPr>
        <w:t xml:space="preserve">need. </w:t>
      </w:r>
      <w:r>
        <w:rPr>
          <w:color w:val="231F20"/>
          <w:spacing w:val="-6"/>
          <w:sz w:val="20"/>
        </w:rPr>
        <w:t xml:space="preserve">We </w:t>
      </w:r>
      <w:r>
        <w:rPr>
          <w:color w:val="231F20"/>
          <w:sz w:val="20"/>
        </w:rPr>
        <w:t xml:space="preserve">recommend that education to </w:t>
      </w:r>
      <w:r>
        <w:rPr>
          <w:color w:val="231F20"/>
          <w:spacing w:val="-4"/>
          <w:sz w:val="20"/>
        </w:rPr>
        <w:t xml:space="preserve">improve </w:t>
      </w:r>
      <w:r>
        <w:rPr>
          <w:color w:val="231F20"/>
          <w:spacing w:val="-3"/>
          <w:sz w:val="20"/>
        </w:rPr>
        <w:t xml:space="preserve">awareness </w:t>
      </w:r>
      <w:r>
        <w:rPr>
          <w:color w:val="231F20"/>
          <w:sz w:val="20"/>
        </w:rPr>
        <w:t xml:space="preserve">of when and </w:t>
      </w:r>
      <w:r>
        <w:rPr>
          <w:color w:val="231F20"/>
          <w:spacing w:val="-3"/>
          <w:sz w:val="20"/>
        </w:rPr>
        <w:t xml:space="preserve">how </w:t>
      </w:r>
      <w:r>
        <w:rPr>
          <w:color w:val="231F20"/>
          <w:sz w:val="20"/>
        </w:rPr>
        <w:t>to get an assessment</w:t>
      </w:r>
      <w:r>
        <w:rPr>
          <w:color w:val="231F20"/>
          <w:spacing w:val="-9"/>
          <w:sz w:val="20"/>
        </w:rPr>
        <w:t xml:space="preserve"> </w:t>
      </w:r>
      <w:r>
        <w:rPr>
          <w:color w:val="231F20"/>
          <w:sz w:val="20"/>
        </w:rPr>
        <w:t>or</w:t>
      </w:r>
      <w:r>
        <w:rPr>
          <w:color w:val="231F20"/>
          <w:spacing w:val="-9"/>
          <w:sz w:val="20"/>
        </w:rPr>
        <w:t xml:space="preserve"> </w:t>
      </w:r>
      <w:r>
        <w:rPr>
          <w:color w:val="231F20"/>
          <w:sz w:val="20"/>
        </w:rPr>
        <w:t>make</w:t>
      </w:r>
      <w:r>
        <w:rPr>
          <w:color w:val="231F20"/>
          <w:spacing w:val="-9"/>
          <w:sz w:val="20"/>
        </w:rPr>
        <w:t xml:space="preserve"> </w:t>
      </w:r>
      <w:r>
        <w:rPr>
          <w:color w:val="231F20"/>
          <w:sz w:val="20"/>
        </w:rPr>
        <w:t>a</w:t>
      </w:r>
      <w:r>
        <w:rPr>
          <w:color w:val="231F20"/>
          <w:spacing w:val="-9"/>
          <w:sz w:val="20"/>
        </w:rPr>
        <w:t xml:space="preserve"> </w:t>
      </w:r>
      <w:r>
        <w:rPr>
          <w:color w:val="231F20"/>
          <w:spacing w:val="-3"/>
          <w:sz w:val="20"/>
        </w:rPr>
        <w:t>referral</w:t>
      </w:r>
      <w:r>
        <w:rPr>
          <w:color w:val="231F20"/>
          <w:spacing w:val="-9"/>
          <w:sz w:val="20"/>
        </w:rPr>
        <w:t xml:space="preserve"> </w:t>
      </w:r>
      <w:r>
        <w:rPr>
          <w:color w:val="231F20"/>
          <w:sz w:val="20"/>
        </w:rPr>
        <w:t>be</w:t>
      </w:r>
      <w:r>
        <w:rPr>
          <w:color w:val="231F20"/>
          <w:spacing w:val="-8"/>
          <w:sz w:val="20"/>
        </w:rPr>
        <w:t xml:space="preserve"> </w:t>
      </w:r>
      <w:r>
        <w:rPr>
          <w:color w:val="231F20"/>
          <w:sz w:val="20"/>
        </w:rPr>
        <w:t>implemented</w:t>
      </w:r>
      <w:r>
        <w:rPr>
          <w:color w:val="231F20"/>
          <w:spacing w:val="-9"/>
          <w:sz w:val="20"/>
        </w:rPr>
        <w:t xml:space="preserve"> </w:t>
      </w:r>
      <w:r>
        <w:rPr>
          <w:color w:val="231F20"/>
          <w:sz w:val="20"/>
        </w:rPr>
        <w:t>(see</w:t>
      </w:r>
      <w:r>
        <w:rPr>
          <w:color w:val="231F20"/>
          <w:spacing w:val="-9"/>
          <w:sz w:val="20"/>
        </w:rPr>
        <w:t xml:space="preserve"> </w:t>
      </w:r>
      <w:r>
        <w:rPr>
          <w:color w:val="231F20"/>
          <w:spacing w:val="-3"/>
          <w:sz w:val="20"/>
        </w:rPr>
        <w:t>Chapter</w:t>
      </w:r>
      <w:r>
        <w:rPr>
          <w:color w:val="231F20"/>
          <w:spacing w:val="-9"/>
          <w:sz w:val="20"/>
        </w:rPr>
        <w:t xml:space="preserve"> </w:t>
      </w:r>
      <w:r>
        <w:rPr>
          <w:color w:val="231F20"/>
          <w:spacing w:val="-3"/>
          <w:sz w:val="20"/>
        </w:rPr>
        <w:t>4).</w:t>
      </w:r>
      <w:r>
        <w:rPr>
          <w:color w:val="231F20"/>
          <w:spacing w:val="-9"/>
          <w:sz w:val="20"/>
        </w:rPr>
        <w:t xml:space="preserve"> </w:t>
      </w:r>
      <w:r>
        <w:rPr>
          <w:color w:val="231F20"/>
          <w:sz w:val="20"/>
        </w:rPr>
        <w:t>This</w:t>
      </w:r>
      <w:r>
        <w:rPr>
          <w:color w:val="231F20"/>
          <w:spacing w:val="-8"/>
          <w:sz w:val="20"/>
        </w:rPr>
        <w:t xml:space="preserve"> </w:t>
      </w:r>
      <w:r>
        <w:rPr>
          <w:color w:val="231F20"/>
          <w:sz w:val="20"/>
        </w:rPr>
        <w:t>should</w:t>
      </w:r>
      <w:r>
        <w:rPr>
          <w:color w:val="231F20"/>
          <w:spacing w:val="-9"/>
          <w:sz w:val="20"/>
        </w:rPr>
        <w:t xml:space="preserve"> </w:t>
      </w:r>
      <w:r>
        <w:rPr>
          <w:color w:val="231F20"/>
          <w:sz w:val="20"/>
        </w:rPr>
        <w:t xml:space="preserve">include </w:t>
      </w:r>
      <w:r>
        <w:rPr>
          <w:color w:val="231F20"/>
          <w:spacing w:val="-3"/>
          <w:sz w:val="20"/>
        </w:rPr>
        <w:t>pre-sentence</w:t>
      </w:r>
      <w:r>
        <w:rPr>
          <w:color w:val="231F20"/>
          <w:spacing w:val="-4"/>
          <w:sz w:val="20"/>
        </w:rPr>
        <w:t xml:space="preserve"> </w:t>
      </w:r>
      <w:r>
        <w:rPr>
          <w:color w:val="231F20"/>
          <w:sz w:val="20"/>
        </w:rPr>
        <w:t>assessments.</w:t>
      </w:r>
    </w:p>
    <w:p w14:paraId="204968C7" w14:textId="77777777" w:rsidR="00894070" w:rsidRDefault="009B7AFD">
      <w:pPr>
        <w:pStyle w:val="ListParagraph"/>
        <w:numPr>
          <w:ilvl w:val="1"/>
          <w:numId w:val="29"/>
        </w:numPr>
        <w:tabs>
          <w:tab w:val="left" w:pos="1801"/>
          <w:tab w:val="left" w:pos="1802"/>
        </w:tabs>
        <w:spacing w:before="126" w:line="206" w:lineRule="auto"/>
        <w:ind w:right="1346"/>
        <w:rPr>
          <w:sz w:val="11"/>
        </w:rPr>
      </w:pPr>
      <w:r>
        <w:rPr>
          <w:color w:val="231F20"/>
          <w:sz w:val="20"/>
        </w:rPr>
        <w:t>The</w:t>
      </w:r>
      <w:r>
        <w:rPr>
          <w:color w:val="231F20"/>
          <w:spacing w:val="-11"/>
          <w:sz w:val="20"/>
        </w:rPr>
        <w:t xml:space="preserve"> </w:t>
      </w:r>
      <w:r>
        <w:rPr>
          <w:color w:val="231F20"/>
          <w:sz w:val="20"/>
        </w:rPr>
        <w:t>Sentencing</w:t>
      </w:r>
      <w:r>
        <w:rPr>
          <w:color w:val="231F20"/>
          <w:spacing w:val="-10"/>
          <w:sz w:val="20"/>
        </w:rPr>
        <w:t xml:space="preserve"> </w:t>
      </w:r>
      <w:r>
        <w:rPr>
          <w:color w:val="231F20"/>
          <w:sz w:val="20"/>
        </w:rPr>
        <w:t>Advisory</w:t>
      </w:r>
      <w:r>
        <w:rPr>
          <w:color w:val="231F20"/>
          <w:spacing w:val="-10"/>
          <w:sz w:val="20"/>
        </w:rPr>
        <w:t xml:space="preserve"> </w:t>
      </w:r>
      <w:r>
        <w:rPr>
          <w:color w:val="231F20"/>
          <w:sz w:val="20"/>
        </w:rPr>
        <w:t>Council</w:t>
      </w:r>
      <w:r>
        <w:rPr>
          <w:color w:val="231F20"/>
          <w:spacing w:val="-11"/>
          <w:sz w:val="20"/>
        </w:rPr>
        <w:t xml:space="preserve"> </w:t>
      </w:r>
      <w:r>
        <w:rPr>
          <w:color w:val="231F20"/>
          <w:sz w:val="20"/>
        </w:rPr>
        <w:t>noted</w:t>
      </w:r>
      <w:r>
        <w:rPr>
          <w:color w:val="231F20"/>
          <w:spacing w:val="-10"/>
          <w:sz w:val="20"/>
        </w:rPr>
        <w:t xml:space="preserve"> </w:t>
      </w:r>
      <w:r>
        <w:rPr>
          <w:color w:val="231F20"/>
          <w:sz w:val="20"/>
        </w:rPr>
        <w:t>that</w:t>
      </w:r>
      <w:r>
        <w:rPr>
          <w:color w:val="231F20"/>
          <w:spacing w:val="-10"/>
          <w:sz w:val="20"/>
        </w:rPr>
        <w:t xml:space="preserve"> </w:t>
      </w:r>
      <w:r>
        <w:rPr>
          <w:color w:val="231F20"/>
          <w:sz w:val="20"/>
        </w:rPr>
        <w:t>while</w:t>
      </w:r>
      <w:r>
        <w:rPr>
          <w:color w:val="231F20"/>
          <w:spacing w:val="-11"/>
          <w:sz w:val="20"/>
        </w:rPr>
        <w:t xml:space="preserve"> </w:t>
      </w:r>
      <w:r>
        <w:rPr>
          <w:color w:val="231F20"/>
          <w:sz w:val="20"/>
        </w:rPr>
        <w:t>‘courts</w:t>
      </w:r>
      <w:r>
        <w:rPr>
          <w:color w:val="231F20"/>
          <w:spacing w:val="-10"/>
          <w:sz w:val="20"/>
        </w:rPr>
        <w:t xml:space="preserve"> </w:t>
      </w:r>
      <w:r>
        <w:rPr>
          <w:color w:val="231F20"/>
          <w:spacing w:val="-3"/>
          <w:sz w:val="20"/>
        </w:rPr>
        <w:t>are</w:t>
      </w:r>
      <w:r>
        <w:rPr>
          <w:color w:val="231F20"/>
          <w:spacing w:val="-10"/>
          <w:sz w:val="20"/>
        </w:rPr>
        <w:t xml:space="preserve"> </w:t>
      </w:r>
      <w:r>
        <w:rPr>
          <w:color w:val="231F20"/>
          <w:sz w:val="20"/>
        </w:rPr>
        <w:t>often</w:t>
      </w:r>
      <w:r>
        <w:rPr>
          <w:color w:val="231F20"/>
          <w:spacing w:val="-11"/>
          <w:sz w:val="20"/>
        </w:rPr>
        <w:t xml:space="preserve"> </w:t>
      </w:r>
      <w:r>
        <w:rPr>
          <w:color w:val="231F20"/>
          <w:sz w:val="20"/>
        </w:rPr>
        <w:t>alert</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signs</w:t>
      </w:r>
      <w:r>
        <w:rPr>
          <w:color w:val="231F20"/>
          <w:spacing w:val="-10"/>
          <w:sz w:val="20"/>
        </w:rPr>
        <w:t xml:space="preserve"> </w:t>
      </w:r>
      <w:r>
        <w:rPr>
          <w:color w:val="231F20"/>
          <w:sz w:val="20"/>
        </w:rPr>
        <w:t xml:space="preserve">that a </w:t>
      </w:r>
      <w:r>
        <w:rPr>
          <w:color w:val="231F20"/>
          <w:spacing w:val="-3"/>
          <w:sz w:val="20"/>
        </w:rPr>
        <w:t xml:space="preserve">referral </w:t>
      </w:r>
      <w:r>
        <w:rPr>
          <w:color w:val="231F20"/>
          <w:sz w:val="20"/>
        </w:rPr>
        <w:t xml:space="preserve">might be </w:t>
      </w:r>
      <w:r>
        <w:rPr>
          <w:color w:val="231F20"/>
          <w:spacing w:val="-3"/>
          <w:sz w:val="20"/>
        </w:rPr>
        <w:t xml:space="preserve">appropriate, even </w:t>
      </w:r>
      <w:r>
        <w:rPr>
          <w:color w:val="231F20"/>
          <w:sz w:val="20"/>
        </w:rPr>
        <w:t xml:space="preserve">without a stalking </w:t>
      </w:r>
      <w:r>
        <w:rPr>
          <w:color w:val="231F20"/>
          <w:spacing w:val="-3"/>
          <w:sz w:val="20"/>
        </w:rPr>
        <w:t xml:space="preserve">charge, </w:t>
      </w:r>
      <w:r>
        <w:rPr>
          <w:color w:val="231F20"/>
          <w:sz w:val="20"/>
        </w:rPr>
        <w:t xml:space="preserve">the likelihood of an </w:t>
      </w:r>
      <w:r>
        <w:rPr>
          <w:color w:val="231F20"/>
          <w:spacing w:val="-3"/>
          <w:sz w:val="20"/>
        </w:rPr>
        <w:t xml:space="preserve">appropriate referral </w:t>
      </w:r>
      <w:r>
        <w:rPr>
          <w:color w:val="231F20"/>
          <w:sz w:val="20"/>
        </w:rPr>
        <w:t xml:space="preserve">being made is increased if there is a stalking </w:t>
      </w:r>
      <w:r>
        <w:rPr>
          <w:color w:val="231F20"/>
          <w:spacing w:val="-3"/>
          <w:sz w:val="20"/>
        </w:rPr>
        <w:t>charge’.</w:t>
      </w:r>
      <w:r>
        <w:rPr>
          <w:color w:val="231F20"/>
          <w:spacing w:val="-3"/>
          <w:position w:val="7"/>
          <w:sz w:val="11"/>
        </w:rPr>
        <w:t xml:space="preserve">106 </w:t>
      </w:r>
      <w:r>
        <w:rPr>
          <w:color w:val="231F20"/>
          <w:sz w:val="20"/>
        </w:rPr>
        <w:t xml:space="preserve">In </w:t>
      </w:r>
      <w:r>
        <w:rPr>
          <w:color w:val="231F20"/>
          <w:spacing w:val="-3"/>
          <w:sz w:val="20"/>
        </w:rPr>
        <w:t xml:space="preserve">Chapter </w:t>
      </w:r>
      <w:r>
        <w:rPr>
          <w:color w:val="231F20"/>
          <w:sz w:val="20"/>
        </w:rPr>
        <w:t xml:space="preserve">4 </w:t>
      </w:r>
      <w:r>
        <w:rPr>
          <w:color w:val="231F20"/>
          <w:spacing w:val="-3"/>
          <w:sz w:val="20"/>
        </w:rPr>
        <w:t xml:space="preserve">we </w:t>
      </w:r>
      <w:r>
        <w:rPr>
          <w:color w:val="231F20"/>
          <w:sz w:val="20"/>
        </w:rPr>
        <w:t xml:space="preserve">also recommend </w:t>
      </w:r>
      <w:r>
        <w:rPr>
          <w:color w:val="231F20"/>
          <w:spacing w:val="-3"/>
          <w:sz w:val="20"/>
        </w:rPr>
        <w:t xml:space="preserve">improving awareness </w:t>
      </w:r>
      <w:r>
        <w:rPr>
          <w:color w:val="231F20"/>
          <w:sz w:val="20"/>
        </w:rPr>
        <w:t>of lawyers about the consequences of negotiating</w:t>
      </w:r>
      <w:r>
        <w:rPr>
          <w:color w:val="231F20"/>
          <w:spacing w:val="-10"/>
          <w:sz w:val="20"/>
        </w:rPr>
        <w:t xml:space="preserve"> </w:t>
      </w:r>
      <w:r>
        <w:rPr>
          <w:color w:val="231F20"/>
          <w:spacing w:val="-4"/>
          <w:sz w:val="20"/>
        </w:rPr>
        <w:t>away</w:t>
      </w:r>
      <w:r>
        <w:rPr>
          <w:color w:val="231F20"/>
          <w:spacing w:val="-10"/>
          <w:sz w:val="20"/>
        </w:rPr>
        <w:t xml:space="preserve"> </w:t>
      </w:r>
      <w:r>
        <w:rPr>
          <w:color w:val="231F20"/>
          <w:sz w:val="20"/>
        </w:rPr>
        <w:t>stalking</w:t>
      </w:r>
      <w:r>
        <w:rPr>
          <w:color w:val="231F20"/>
          <w:spacing w:val="-10"/>
          <w:sz w:val="20"/>
        </w:rPr>
        <w:t xml:space="preserve"> </w:t>
      </w:r>
      <w:r>
        <w:rPr>
          <w:color w:val="231F20"/>
          <w:sz w:val="20"/>
        </w:rPr>
        <w:t>charges,</w:t>
      </w:r>
      <w:r>
        <w:rPr>
          <w:color w:val="231F20"/>
          <w:spacing w:val="-10"/>
          <w:sz w:val="20"/>
        </w:rPr>
        <w:t xml:space="preserve"> </w:t>
      </w:r>
      <w:r>
        <w:rPr>
          <w:color w:val="231F20"/>
          <w:sz w:val="20"/>
        </w:rPr>
        <w:t>and</w:t>
      </w:r>
      <w:r>
        <w:rPr>
          <w:color w:val="231F20"/>
          <w:spacing w:val="-10"/>
          <w:sz w:val="20"/>
        </w:rPr>
        <w:t xml:space="preserve"> </w:t>
      </w:r>
      <w:r>
        <w:rPr>
          <w:color w:val="231F20"/>
          <w:sz w:val="20"/>
        </w:rPr>
        <w:t>programs</w:t>
      </w:r>
      <w:r>
        <w:rPr>
          <w:color w:val="231F20"/>
          <w:spacing w:val="-10"/>
          <w:sz w:val="20"/>
        </w:rPr>
        <w:t xml:space="preserve"> </w:t>
      </w:r>
      <w:r>
        <w:rPr>
          <w:color w:val="231F20"/>
          <w:spacing w:val="-3"/>
          <w:sz w:val="20"/>
        </w:rPr>
        <w:t>available,</w:t>
      </w:r>
      <w:r>
        <w:rPr>
          <w:color w:val="231F20"/>
          <w:spacing w:val="-10"/>
          <w:sz w:val="20"/>
        </w:rPr>
        <w:t xml:space="preserve"> </w:t>
      </w:r>
      <w:r>
        <w:rPr>
          <w:color w:val="231F20"/>
          <w:sz w:val="20"/>
        </w:rPr>
        <w:t>in</w:t>
      </w:r>
      <w:r>
        <w:rPr>
          <w:color w:val="231F20"/>
          <w:spacing w:val="-9"/>
          <w:sz w:val="20"/>
        </w:rPr>
        <w:t xml:space="preserve"> </w:t>
      </w:r>
      <w:r>
        <w:rPr>
          <w:color w:val="231F20"/>
          <w:sz w:val="20"/>
        </w:rPr>
        <w:t>line</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0"/>
          <w:sz w:val="20"/>
        </w:rPr>
        <w:t xml:space="preserve"> </w:t>
      </w:r>
      <w:r>
        <w:rPr>
          <w:color w:val="231F20"/>
          <w:sz w:val="20"/>
        </w:rPr>
        <w:t>findings</w:t>
      </w:r>
      <w:r>
        <w:rPr>
          <w:color w:val="231F20"/>
          <w:spacing w:val="-10"/>
          <w:sz w:val="20"/>
        </w:rPr>
        <w:t xml:space="preserve"> </w:t>
      </w:r>
      <w:r>
        <w:rPr>
          <w:color w:val="231F20"/>
          <w:sz w:val="20"/>
        </w:rPr>
        <w:t>of the Sentencing Advisory</w:t>
      </w:r>
      <w:r>
        <w:rPr>
          <w:color w:val="231F20"/>
          <w:spacing w:val="-13"/>
          <w:sz w:val="20"/>
        </w:rPr>
        <w:t xml:space="preserve"> </w:t>
      </w:r>
      <w:r>
        <w:rPr>
          <w:color w:val="231F20"/>
          <w:sz w:val="20"/>
        </w:rPr>
        <w:t>Council.</w:t>
      </w:r>
      <w:r>
        <w:rPr>
          <w:color w:val="231F20"/>
          <w:position w:val="7"/>
          <w:sz w:val="11"/>
        </w:rPr>
        <w:t>107</w:t>
      </w:r>
    </w:p>
    <w:p w14:paraId="3B456EF6" w14:textId="77777777" w:rsidR="00894070" w:rsidRDefault="009B7AFD">
      <w:pPr>
        <w:pStyle w:val="ListParagraph"/>
        <w:numPr>
          <w:ilvl w:val="1"/>
          <w:numId w:val="29"/>
        </w:numPr>
        <w:tabs>
          <w:tab w:val="left" w:pos="1801"/>
          <w:tab w:val="left" w:pos="1802"/>
        </w:tabs>
        <w:spacing w:before="127" w:line="206" w:lineRule="auto"/>
        <w:ind w:right="1351"/>
        <w:rPr>
          <w:sz w:val="11"/>
        </w:rPr>
      </w:pPr>
      <w:r>
        <w:rPr>
          <w:color w:val="231F20"/>
          <w:sz w:val="20"/>
        </w:rPr>
        <w:t xml:space="preserve">The </w:t>
      </w:r>
      <w:r>
        <w:rPr>
          <w:color w:val="231F20"/>
          <w:spacing w:val="-3"/>
          <w:sz w:val="20"/>
        </w:rPr>
        <w:t xml:space="preserve">Magistrates’ </w:t>
      </w:r>
      <w:r>
        <w:rPr>
          <w:color w:val="231F20"/>
          <w:sz w:val="20"/>
        </w:rPr>
        <w:t xml:space="preserve">Court suggested the need </w:t>
      </w:r>
      <w:r>
        <w:rPr>
          <w:color w:val="231F20"/>
          <w:spacing w:val="-3"/>
          <w:sz w:val="20"/>
        </w:rPr>
        <w:t xml:space="preserve">for </w:t>
      </w:r>
      <w:r>
        <w:rPr>
          <w:color w:val="231F20"/>
          <w:sz w:val="20"/>
        </w:rPr>
        <w:t>assessments (including risk assessment)</w:t>
      </w:r>
      <w:r>
        <w:rPr>
          <w:color w:val="231F20"/>
          <w:spacing w:val="-9"/>
          <w:sz w:val="20"/>
        </w:rPr>
        <w:t xml:space="preserve"> </w:t>
      </w: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z w:val="20"/>
        </w:rPr>
        <w:t>available</w:t>
      </w:r>
      <w:r>
        <w:rPr>
          <w:color w:val="231F20"/>
          <w:spacing w:val="-8"/>
          <w:sz w:val="20"/>
        </w:rPr>
        <w:t xml:space="preserve"> </w:t>
      </w:r>
      <w:r>
        <w:rPr>
          <w:color w:val="231F20"/>
          <w:sz w:val="20"/>
        </w:rPr>
        <w:t>to</w:t>
      </w:r>
      <w:r>
        <w:rPr>
          <w:color w:val="231F20"/>
          <w:spacing w:val="-8"/>
          <w:sz w:val="20"/>
        </w:rPr>
        <w:t xml:space="preserve"> </w:t>
      </w:r>
      <w:r>
        <w:rPr>
          <w:color w:val="231F20"/>
          <w:sz w:val="20"/>
        </w:rPr>
        <w:t>courts</w:t>
      </w:r>
      <w:r>
        <w:rPr>
          <w:color w:val="231F20"/>
          <w:spacing w:val="-8"/>
          <w:sz w:val="20"/>
        </w:rPr>
        <w:t xml:space="preserve"> </w:t>
      </w:r>
      <w:r>
        <w:rPr>
          <w:color w:val="231F20"/>
          <w:sz w:val="20"/>
        </w:rPr>
        <w:t>at</w:t>
      </w:r>
      <w:r>
        <w:rPr>
          <w:color w:val="231F20"/>
          <w:spacing w:val="-8"/>
          <w:sz w:val="20"/>
        </w:rPr>
        <w:t xml:space="preserve"> </w:t>
      </w:r>
      <w:r>
        <w:rPr>
          <w:color w:val="231F20"/>
          <w:sz w:val="20"/>
        </w:rPr>
        <w:t>the</w:t>
      </w:r>
      <w:r>
        <w:rPr>
          <w:color w:val="231F20"/>
          <w:spacing w:val="-8"/>
          <w:sz w:val="20"/>
        </w:rPr>
        <w:t xml:space="preserve"> </w:t>
      </w:r>
      <w:r>
        <w:rPr>
          <w:color w:val="231F20"/>
          <w:sz w:val="20"/>
        </w:rPr>
        <w:t>bail</w:t>
      </w:r>
      <w:r>
        <w:rPr>
          <w:color w:val="231F20"/>
          <w:spacing w:val="-8"/>
          <w:sz w:val="20"/>
        </w:rPr>
        <w:t xml:space="preserve"> </w:t>
      </w:r>
      <w:r>
        <w:rPr>
          <w:color w:val="231F20"/>
          <w:sz w:val="20"/>
        </w:rPr>
        <w:t>or</w:t>
      </w:r>
      <w:r>
        <w:rPr>
          <w:color w:val="231F20"/>
          <w:spacing w:val="-8"/>
          <w:sz w:val="20"/>
        </w:rPr>
        <w:t xml:space="preserve"> </w:t>
      </w:r>
      <w:r>
        <w:rPr>
          <w:color w:val="231F20"/>
          <w:sz w:val="20"/>
        </w:rPr>
        <w:t>pre-plea</w:t>
      </w:r>
      <w:r>
        <w:rPr>
          <w:color w:val="231F20"/>
          <w:spacing w:val="-9"/>
          <w:sz w:val="20"/>
        </w:rPr>
        <w:t xml:space="preserve"> </w:t>
      </w:r>
      <w:r>
        <w:rPr>
          <w:color w:val="231F20"/>
          <w:sz w:val="20"/>
        </w:rPr>
        <w:t>stage.</w:t>
      </w:r>
      <w:r>
        <w:rPr>
          <w:color w:val="231F20"/>
          <w:position w:val="7"/>
          <w:sz w:val="11"/>
        </w:rPr>
        <w:t>108</w:t>
      </w:r>
      <w:r>
        <w:rPr>
          <w:color w:val="231F20"/>
          <w:spacing w:val="16"/>
          <w:position w:val="7"/>
          <w:sz w:val="11"/>
        </w:rPr>
        <w:t xml:space="preserve"> </w:t>
      </w:r>
      <w:r>
        <w:rPr>
          <w:color w:val="231F20"/>
          <w:sz w:val="20"/>
        </w:rPr>
        <w:t>The</w:t>
      </w:r>
      <w:r>
        <w:rPr>
          <w:color w:val="231F20"/>
          <w:spacing w:val="-8"/>
          <w:sz w:val="20"/>
        </w:rPr>
        <w:t xml:space="preserve"> </w:t>
      </w:r>
      <w:r>
        <w:rPr>
          <w:i/>
          <w:color w:val="231F20"/>
          <w:sz w:val="20"/>
        </w:rPr>
        <w:t>Bail</w:t>
      </w:r>
      <w:r>
        <w:rPr>
          <w:i/>
          <w:color w:val="231F20"/>
          <w:spacing w:val="-8"/>
          <w:sz w:val="20"/>
        </w:rPr>
        <w:t xml:space="preserve"> </w:t>
      </w:r>
      <w:r>
        <w:rPr>
          <w:i/>
          <w:color w:val="231F20"/>
          <w:sz w:val="20"/>
        </w:rPr>
        <w:t>Act</w:t>
      </w:r>
      <w:r>
        <w:rPr>
          <w:i/>
          <w:color w:val="231F20"/>
          <w:spacing w:val="-8"/>
          <w:sz w:val="20"/>
        </w:rPr>
        <w:t xml:space="preserve"> </w:t>
      </w:r>
      <w:r>
        <w:rPr>
          <w:i/>
          <w:color w:val="231F20"/>
          <w:spacing w:val="-4"/>
          <w:sz w:val="20"/>
        </w:rPr>
        <w:t xml:space="preserve">1977 </w:t>
      </w:r>
      <w:r>
        <w:rPr>
          <w:color w:val="231F20"/>
          <w:sz w:val="20"/>
        </w:rPr>
        <w:t xml:space="preserve">(Vic) already </w:t>
      </w:r>
      <w:r>
        <w:rPr>
          <w:color w:val="231F20"/>
          <w:spacing w:val="-4"/>
          <w:sz w:val="20"/>
        </w:rPr>
        <w:t xml:space="preserve">involves </w:t>
      </w:r>
      <w:r>
        <w:rPr>
          <w:color w:val="231F20"/>
          <w:sz w:val="20"/>
        </w:rPr>
        <w:t xml:space="preserve">the bail decision-maker assessing risk to </w:t>
      </w:r>
      <w:r>
        <w:rPr>
          <w:color w:val="231F20"/>
          <w:spacing w:val="-3"/>
          <w:sz w:val="20"/>
        </w:rPr>
        <w:t xml:space="preserve">any </w:t>
      </w:r>
      <w:r>
        <w:rPr>
          <w:color w:val="231F20"/>
          <w:sz w:val="20"/>
        </w:rPr>
        <w:t>person, including the</w:t>
      </w:r>
      <w:r>
        <w:rPr>
          <w:color w:val="231F20"/>
          <w:spacing w:val="-5"/>
          <w:sz w:val="20"/>
        </w:rPr>
        <w:t xml:space="preserve"> </w:t>
      </w:r>
      <w:r>
        <w:rPr>
          <w:color w:val="231F20"/>
          <w:sz w:val="20"/>
        </w:rPr>
        <w:t>complainant.</w:t>
      </w:r>
      <w:r>
        <w:rPr>
          <w:color w:val="231F20"/>
          <w:position w:val="7"/>
          <w:sz w:val="11"/>
        </w:rPr>
        <w:t>109</w:t>
      </w:r>
    </w:p>
    <w:p w14:paraId="71BEB6F2" w14:textId="77777777" w:rsidR="00894070" w:rsidRDefault="009B7AFD">
      <w:pPr>
        <w:pStyle w:val="ListParagraph"/>
        <w:numPr>
          <w:ilvl w:val="1"/>
          <w:numId w:val="29"/>
        </w:numPr>
        <w:tabs>
          <w:tab w:val="left" w:pos="1801"/>
          <w:tab w:val="left" w:pos="1802"/>
        </w:tabs>
        <w:spacing w:before="125" w:line="206" w:lineRule="auto"/>
        <w:ind w:right="1271"/>
        <w:rPr>
          <w:sz w:val="11"/>
        </w:rPr>
      </w:pPr>
      <w:r>
        <w:rPr>
          <w:color w:val="231F20"/>
          <w:spacing w:val="-3"/>
          <w:sz w:val="20"/>
        </w:rPr>
        <w:t xml:space="preserve">Forensicare </w:t>
      </w:r>
      <w:r>
        <w:rPr>
          <w:color w:val="231F20"/>
          <w:sz w:val="20"/>
        </w:rPr>
        <w:t xml:space="preserve">stated that there </w:t>
      </w:r>
      <w:r>
        <w:rPr>
          <w:color w:val="231F20"/>
          <w:spacing w:val="-3"/>
          <w:sz w:val="20"/>
        </w:rPr>
        <w:t xml:space="preserve">would </w:t>
      </w:r>
      <w:r>
        <w:rPr>
          <w:color w:val="231F20"/>
          <w:sz w:val="20"/>
        </w:rPr>
        <w:t xml:space="preserve">be too many practical challenges to implement such a process, such as overwhelming demand of their service, and the </w:t>
      </w:r>
      <w:r>
        <w:rPr>
          <w:color w:val="231F20"/>
          <w:spacing w:val="-3"/>
          <w:sz w:val="20"/>
        </w:rPr>
        <w:t xml:space="preserve">potential for </w:t>
      </w:r>
      <w:r>
        <w:rPr>
          <w:color w:val="231F20"/>
          <w:spacing w:val="-2"/>
          <w:sz w:val="20"/>
        </w:rPr>
        <w:t xml:space="preserve">self-incrimination </w:t>
      </w:r>
      <w:r>
        <w:rPr>
          <w:color w:val="231F20"/>
          <w:spacing w:val="-3"/>
          <w:sz w:val="20"/>
        </w:rPr>
        <w:t xml:space="preserve">for </w:t>
      </w:r>
      <w:r>
        <w:rPr>
          <w:color w:val="231F20"/>
          <w:sz w:val="20"/>
        </w:rPr>
        <w:t>the accused.</w:t>
      </w:r>
      <w:r>
        <w:rPr>
          <w:color w:val="231F20"/>
          <w:position w:val="7"/>
          <w:sz w:val="11"/>
        </w:rPr>
        <w:t xml:space="preserve">110 </w:t>
      </w:r>
      <w:r>
        <w:rPr>
          <w:color w:val="231F20"/>
          <w:spacing w:val="-5"/>
          <w:sz w:val="20"/>
        </w:rPr>
        <w:t xml:space="preserve">However, </w:t>
      </w:r>
      <w:r>
        <w:rPr>
          <w:color w:val="231F20"/>
          <w:spacing w:val="-3"/>
          <w:sz w:val="20"/>
        </w:rPr>
        <w:t xml:space="preserve">Forensicare </w:t>
      </w:r>
      <w:r>
        <w:rPr>
          <w:color w:val="231F20"/>
          <w:sz w:val="20"/>
        </w:rPr>
        <w:t xml:space="preserve">explained that one </w:t>
      </w:r>
      <w:r>
        <w:rPr>
          <w:color w:val="231F20"/>
          <w:spacing w:val="-3"/>
          <w:sz w:val="20"/>
        </w:rPr>
        <w:t xml:space="preserve">way </w:t>
      </w:r>
      <w:r>
        <w:rPr>
          <w:color w:val="231F20"/>
          <w:sz w:val="20"/>
        </w:rPr>
        <w:t>that it</w:t>
      </w:r>
      <w:r>
        <w:rPr>
          <w:color w:val="231F20"/>
          <w:spacing w:val="-6"/>
          <w:sz w:val="20"/>
        </w:rPr>
        <w:t xml:space="preserve"> </w:t>
      </w:r>
      <w:r>
        <w:rPr>
          <w:color w:val="231F20"/>
          <w:sz w:val="20"/>
        </w:rPr>
        <w:t>can</w:t>
      </w:r>
      <w:r>
        <w:rPr>
          <w:color w:val="231F20"/>
          <w:spacing w:val="-6"/>
          <w:sz w:val="20"/>
        </w:rPr>
        <w:t xml:space="preserve"> </w:t>
      </w:r>
      <w:r>
        <w:rPr>
          <w:color w:val="231F20"/>
          <w:sz w:val="20"/>
        </w:rPr>
        <w:t>assist</w:t>
      </w:r>
      <w:r>
        <w:rPr>
          <w:color w:val="231F20"/>
          <w:spacing w:val="-6"/>
          <w:sz w:val="20"/>
        </w:rPr>
        <w:t xml:space="preserve"> </w:t>
      </w:r>
      <w:r>
        <w:rPr>
          <w:color w:val="231F20"/>
          <w:sz w:val="20"/>
        </w:rPr>
        <w:t>is</w:t>
      </w:r>
      <w:r>
        <w:rPr>
          <w:color w:val="231F20"/>
          <w:spacing w:val="-6"/>
          <w:sz w:val="20"/>
        </w:rPr>
        <w:t xml:space="preserve"> </w:t>
      </w:r>
      <w:r>
        <w:rPr>
          <w:color w:val="231F20"/>
          <w:sz w:val="20"/>
        </w:rPr>
        <w:t>where</w:t>
      </w:r>
      <w:r>
        <w:rPr>
          <w:color w:val="231F20"/>
          <w:spacing w:val="-6"/>
          <w:sz w:val="20"/>
        </w:rPr>
        <w:t xml:space="preserve"> </w:t>
      </w:r>
      <w:r>
        <w:rPr>
          <w:color w:val="231F20"/>
          <w:sz w:val="20"/>
        </w:rPr>
        <w:t>they</w:t>
      </w:r>
      <w:r>
        <w:rPr>
          <w:color w:val="231F20"/>
          <w:spacing w:val="-5"/>
          <w:sz w:val="20"/>
        </w:rPr>
        <w:t xml:space="preserve"> </w:t>
      </w:r>
      <w:r>
        <w:rPr>
          <w:color w:val="231F20"/>
          <w:spacing w:val="-3"/>
          <w:sz w:val="20"/>
        </w:rPr>
        <w:t>receive</w:t>
      </w:r>
      <w:r>
        <w:rPr>
          <w:color w:val="231F20"/>
          <w:spacing w:val="-6"/>
          <w:sz w:val="20"/>
        </w:rPr>
        <w:t xml:space="preserve"> </w:t>
      </w:r>
      <w:r>
        <w:rPr>
          <w:color w:val="231F20"/>
          <w:spacing w:val="-3"/>
          <w:sz w:val="20"/>
        </w:rPr>
        <w:t>‘referrals</w:t>
      </w:r>
      <w:r>
        <w:rPr>
          <w:color w:val="231F20"/>
          <w:spacing w:val="-6"/>
          <w:sz w:val="20"/>
        </w:rPr>
        <w:t xml:space="preserve"> </w:t>
      </w:r>
      <w:r>
        <w:rPr>
          <w:color w:val="231F20"/>
          <w:spacing w:val="-3"/>
          <w:sz w:val="20"/>
        </w:rPr>
        <w:t>from</w:t>
      </w:r>
      <w:r>
        <w:rPr>
          <w:color w:val="231F20"/>
          <w:spacing w:val="-6"/>
          <w:sz w:val="20"/>
        </w:rPr>
        <w:t xml:space="preserve"> </w:t>
      </w:r>
      <w:r>
        <w:rPr>
          <w:color w:val="231F20"/>
          <w:sz w:val="20"/>
        </w:rPr>
        <w:t>court</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pre-sentence</w:t>
      </w:r>
      <w:r>
        <w:rPr>
          <w:color w:val="231F20"/>
          <w:spacing w:val="-5"/>
          <w:sz w:val="20"/>
        </w:rPr>
        <w:t xml:space="preserve"> </w:t>
      </w:r>
      <w:r>
        <w:rPr>
          <w:color w:val="231F20"/>
          <w:sz w:val="20"/>
        </w:rPr>
        <w:t>reports’.</w:t>
      </w:r>
      <w:r>
        <w:rPr>
          <w:color w:val="231F20"/>
          <w:position w:val="7"/>
          <w:sz w:val="11"/>
        </w:rPr>
        <w:t>111</w:t>
      </w:r>
    </w:p>
    <w:p w14:paraId="3C7D4B1D" w14:textId="77777777" w:rsidR="00894070" w:rsidRDefault="00894070">
      <w:pPr>
        <w:pStyle w:val="BodyText"/>
      </w:pPr>
    </w:p>
    <w:p w14:paraId="2DB77246" w14:textId="77777777" w:rsidR="00894070" w:rsidRDefault="00894070">
      <w:pPr>
        <w:pStyle w:val="BodyText"/>
      </w:pPr>
    </w:p>
    <w:p w14:paraId="71A7BFFE" w14:textId="77777777" w:rsidR="00894070" w:rsidRDefault="00894070">
      <w:pPr>
        <w:pStyle w:val="BodyText"/>
      </w:pPr>
    </w:p>
    <w:p w14:paraId="4B7D67F0" w14:textId="77777777" w:rsidR="00894070" w:rsidRDefault="00894070">
      <w:pPr>
        <w:pStyle w:val="BodyText"/>
      </w:pPr>
    </w:p>
    <w:p w14:paraId="250934FC" w14:textId="77777777" w:rsidR="00894070" w:rsidRDefault="009F6793">
      <w:pPr>
        <w:pStyle w:val="BodyText"/>
        <w:spacing w:before="8"/>
        <w:rPr>
          <w:sz w:val="22"/>
        </w:rPr>
      </w:pPr>
      <w:r>
        <w:pict w14:anchorId="686E0ACA">
          <v:line id="_x0000_s1077" style="position:absolute;z-index:251776000;mso-wrap-distance-left:0;mso-wrap-distance-right:0;mso-position-horizontal-relative:page" from="79.35pt,18.1pt" to="515.9pt,18.1pt" strokecolor="#f8cabc" strokeweight="1pt">
            <w10:wrap type="topAndBottom" anchorx="page"/>
          </v:line>
        </w:pict>
      </w:r>
    </w:p>
    <w:p w14:paraId="6D42765E" w14:textId="77777777" w:rsidR="00894070" w:rsidRDefault="00894070">
      <w:pPr>
        <w:pStyle w:val="BodyText"/>
        <w:rPr>
          <w:sz w:val="5"/>
        </w:rPr>
      </w:pPr>
    </w:p>
    <w:p w14:paraId="29C3F7A6" w14:textId="77777777" w:rsidR="00894070" w:rsidRDefault="00894070">
      <w:pPr>
        <w:rPr>
          <w:sz w:val="5"/>
        </w:rPr>
        <w:sectPr w:rsidR="00894070">
          <w:pgSz w:w="11910" w:h="16840"/>
          <w:pgMar w:top="840" w:right="420" w:bottom="280" w:left="580" w:header="0" w:footer="0" w:gutter="0"/>
          <w:cols w:space="720"/>
        </w:sectPr>
      </w:pPr>
    </w:p>
    <w:p w14:paraId="5E006CC0" w14:textId="77777777" w:rsidR="00894070" w:rsidRDefault="009B7AFD">
      <w:pPr>
        <w:pStyle w:val="ListParagraph"/>
        <w:numPr>
          <w:ilvl w:val="0"/>
          <w:numId w:val="24"/>
        </w:numPr>
        <w:tabs>
          <w:tab w:val="left" w:pos="1801"/>
          <w:tab w:val="left" w:pos="1802"/>
        </w:tabs>
        <w:spacing w:before="21" w:line="170" w:lineRule="exact"/>
        <w:rPr>
          <w:sz w:val="13"/>
        </w:rPr>
      </w:pPr>
      <w:r>
        <w:rPr>
          <w:color w:val="231F20"/>
          <w:spacing w:val="2"/>
          <w:sz w:val="13"/>
        </w:rPr>
        <w:t xml:space="preserve">Submission </w:t>
      </w:r>
      <w:r>
        <w:rPr>
          <w:color w:val="231F20"/>
          <w:sz w:val="13"/>
        </w:rPr>
        <w:t>32 (Centre for Forensic Behavioural</w:t>
      </w:r>
      <w:r>
        <w:rPr>
          <w:color w:val="231F20"/>
          <w:spacing w:val="2"/>
          <w:sz w:val="13"/>
        </w:rPr>
        <w:t xml:space="preserve"> </w:t>
      </w:r>
      <w:r>
        <w:rPr>
          <w:color w:val="231F20"/>
          <w:sz w:val="13"/>
        </w:rPr>
        <w:t>Science).</w:t>
      </w:r>
    </w:p>
    <w:p w14:paraId="5158EC99" w14:textId="77777777" w:rsidR="00894070" w:rsidRDefault="009B7AFD">
      <w:pPr>
        <w:pStyle w:val="ListParagraph"/>
        <w:numPr>
          <w:ilvl w:val="0"/>
          <w:numId w:val="24"/>
        </w:numPr>
        <w:tabs>
          <w:tab w:val="left" w:pos="1801"/>
          <w:tab w:val="left" w:pos="1802"/>
        </w:tabs>
        <w:spacing w:line="160" w:lineRule="exact"/>
        <w:rPr>
          <w:sz w:val="13"/>
        </w:rPr>
      </w:pPr>
      <w:r>
        <w:rPr>
          <w:i/>
          <w:color w:val="231F20"/>
          <w:sz w:val="13"/>
        </w:rPr>
        <w:t xml:space="preserve">Personal Safety Intervention Orders Act 2010 </w:t>
      </w:r>
      <w:r>
        <w:rPr>
          <w:color w:val="231F20"/>
          <w:sz w:val="13"/>
        </w:rPr>
        <w:t>(Vic) s</w:t>
      </w:r>
      <w:r>
        <w:rPr>
          <w:color w:val="231F20"/>
          <w:spacing w:val="7"/>
          <w:sz w:val="13"/>
        </w:rPr>
        <w:t xml:space="preserve"> </w:t>
      </w:r>
      <w:r>
        <w:rPr>
          <w:color w:val="231F20"/>
          <w:sz w:val="13"/>
        </w:rPr>
        <w:t>76(4).</w:t>
      </w:r>
    </w:p>
    <w:p w14:paraId="5B79842B" w14:textId="77777777" w:rsidR="00894070" w:rsidRDefault="009B7AFD">
      <w:pPr>
        <w:pStyle w:val="ListParagraph"/>
        <w:numPr>
          <w:ilvl w:val="0"/>
          <w:numId w:val="24"/>
        </w:numPr>
        <w:tabs>
          <w:tab w:val="left" w:pos="1801"/>
          <w:tab w:val="left" w:pos="1802"/>
        </w:tabs>
        <w:spacing w:line="160" w:lineRule="exact"/>
        <w:rPr>
          <w:sz w:val="13"/>
        </w:rPr>
      </w:pPr>
      <w:r>
        <w:rPr>
          <w:color w:val="231F20"/>
          <w:spacing w:val="2"/>
          <w:sz w:val="13"/>
        </w:rPr>
        <w:t>Submissions</w:t>
      </w:r>
      <w:r>
        <w:rPr>
          <w:color w:val="231F20"/>
          <w:spacing w:val="7"/>
          <w:sz w:val="13"/>
        </w:rPr>
        <w:t xml:space="preserve"> </w:t>
      </w:r>
      <w:r>
        <w:rPr>
          <w:color w:val="231F20"/>
          <w:sz w:val="13"/>
        </w:rPr>
        <w:t>93</w:t>
      </w:r>
      <w:r>
        <w:rPr>
          <w:color w:val="231F20"/>
          <w:spacing w:val="7"/>
          <w:sz w:val="13"/>
        </w:rPr>
        <w:t xml:space="preserve"> </w:t>
      </w:r>
      <w:r>
        <w:rPr>
          <w:color w:val="231F20"/>
          <w:sz w:val="13"/>
        </w:rPr>
        <w:t>(Royal</w:t>
      </w:r>
      <w:r>
        <w:rPr>
          <w:color w:val="231F20"/>
          <w:spacing w:val="8"/>
          <w:sz w:val="13"/>
        </w:rPr>
        <w:t xml:space="preserve"> </w:t>
      </w:r>
      <w:r>
        <w:rPr>
          <w:color w:val="231F20"/>
          <w:sz w:val="13"/>
        </w:rPr>
        <w:t>Australian</w:t>
      </w:r>
      <w:r>
        <w:rPr>
          <w:color w:val="231F20"/>
          <w:spacing w:val="7"/>
          <w:sz w:val="13"/>
        </w:rPr>
        <w:t xml:space="preserve"> </w:t>
      </w:r>
      <w:r>
        <w:rPr>
          <w:color w:val="231F20"/>
          <w:sz w:val="13"/>
        </w:rPr>
        <w:t>and</w:t>
      </w:r>
      <w:r>
        <w:rPr>
          <w:color w:val="231F20"/>
          <w:spacing w:val="7"/>
          <w:sz w:val="13"/>
        </w:rPr>
        <w:t xml:space="preserve"> </w:t>
      </w:r>
      <w:r>
        <w:rPr>
          <w:color w:val="231F20"/>
          <w:sz w:val="13"/>
        </w:rPr>
        <w:t>New</w:t>
      </w:r>
      <w:r>
        <w:rPr>
          <w:color w:val="231F20"/>
          <w:spacing w:val="8"/>
          <w:sz w:val="13"/>
        </w:rPr>
        <w:t xml:space="preserve"> </w:t>
      </w:r>
      <w:r>
        <w:rPr>
          <w:color w:val="231F20"/>
          <w:sz w:val="13"/>
        </w:rPr>
        <w:t>Zealand</w:t>
      </w:r>
      <w:r>
        <w:rPr>
          <w:color w:val="231F20"/>
          <w:spacing w:val="7"/>
          <w:sz w:val="13"/>
        </w:rPr>
        <w:t xml:space="preserve"> </w:t>
      </w:r>
      <w:r>
        <w:rPr>
          <w:color w:val="231F20"/>
          <w:sz w:val="13"/>
        </w:rPr>
        <w:t>College</w:t>
      </w:r>
      <w:r>
        <w:rPr>
          <w:color w:val="231F20"/>
          <w:spacing w:val="8"/>
          <w:sz w:val="13"/>
        </w:rPr>
        <w:t xml:space="preserve"> </w:t>
      </w:r>
      <w:r>
        <w:rPr>
          <w:color w:val="231F20"/>
          <w:sz w:val="13"/>
        </w:rPr>
        <w:t>of</w:t>
      </w:r>
      <w:r>
        <w:rPr>
          <w:color w:val="231F20"/>
          <w:spacing w:val="7"/>
          <w:sz w:val="13"/>
        </w:rPr>
        <w:t xml:space="preserve"> </w:t>
      </w:r>
      <w:r>
        <w:rPr>
          <w:color w:val="231F20"/>
          <w:sz w:val="13"/>
        </w:rPr>
        <w:t>Psychiatrists),</w:t>
      </w:r>
      <w:r>
        <w:rPr>
          <w:color w:val="231F20"/>
          <w:spacing w:val="7"/>
          <w:sz w:val="13"/>
        </w:rPr>
        <w:t xml:space="preserve"> </w:t>
      </w:r>
      <w:r>
        <w:rPr>
          <w:color w:val="231F20"/>
          <w:sz w:val="13"/>
        </w:rPr>
        <w:t>100</w:t>
      </w:r>
      <w:r>
        <w:rPr>
          <w:color w:val="231F20"/>
          <w:spacing w:val="8"/>
          <w:sz w:val="13"/>
        </w:rPr>
        <w:t xml:space="preserve"> </w:t>
      </w:r>
      <w:r>
        <w:rPr>
          <w:color w:val="231F20"/>
          <w:sz w:val="13"/>
        </w:rPr>
        <w:t>(Forensicare).</w:t>
      </w:r>
    </w:p>
    <w:p w14:paraId="5FD0569D" w14:textId="77777777" w:rsidR="00894070" w:rsidRDefault="009B7AFD">
      <w:pPr>
        <w:pStyle w:val="ListParagraph"/>
        <w:numPr>
          <w:ilvl w:val="0"/>
          <w:numId w:val="24"/>
        </w:numPr>
        <w:tabs>
          <w:tab w:val="left" w:pos="1801"/>
          <w:tab w:val="left" w:pos="1802"/>
        </w:tabs>
        <w:spacing w:line="160" w:lineRule="exact"/>
        <w:rPr>
          <w:sz w:val="13"/>
        </w:rPr>
      </w:pPr>
      <w:r>
        <w:rPr>
          <w:color w:val="231F20"/>
          <w:sz w:val="13"/>
        </w:rPr>
        <w:t>Sentencing</w:t>
      </w:r>
      <w:r>
        <w:rPr>
          <w:color w:val="231F20"/>
          <w:spacing w:val="5"/>
          <w:sz w:val="13"/>
        </w:rPr>
        <w:t xml:space="preserve"> </w:t>
      </w:r>
      <w:r>
        <w:rPr>
          <w:color w:val="231F20"/>
          <w:sz w:val="13"/>
        </w:rPr>
        <w:t>Advisory</w:t>
      </w:r>
      <w:r>
        <w:rPr>
          <w:color w:val="231F20"/>
          <w:spacing w:val="5"/>
          <w:sz w:val="13"/>
        </w:rPr>
        <w:t xml:space="preserve"> </w:t>
      </w:r>
      <w:r>
        <w:rPr>
          <w:color w:val="231F20"/>
          <w:sz w:val="13"/>
        </w:rPr>
        <w:t>Council</w:t>
      </w:r>
      <w:r>
        <w:rPr>
          <w:color w:val="231F20"/>
          <w:spacing w:val="5"/>
          <w:sz w:val="13"/>
        </w:rPr>
        <w:t xml:space="preserve"> </w:t>
      </w:r>
      <w:r>
        <w:rPr>
          <w:color w:val="231F20"/>
          <w:sz w:val="13"/>
        </w:rPr>
        <w:t>(Vic),</w:t>
      </w:r>
      <w:r>
        <w:rPr>
          <w:color w:val="231F20"/>
          <w:spacing w:val="4"/>
          <w:sz w:val="13"/>
        </w:rPr>
        <w:t xml:space="preserve"> </w:t>
      </w:r>
      <w:r>
        <w:rPr>
          <w:i/>
          <w:color w:val="231F20"/>
          <w:sz w:val="13"/>
        </w:rPr>
        <w:t>Sentencing</w:t>
      </w:r>
      <w:r>
        <w:rPr>
          <w:i/>
          <w:color w:val="231F20"/>
          <w:spacing w:val="5"/>
          <w:sz w:val="13"/>
        </w:rPr>
        <w:t xml:space="preserve"> </w:t>
      </w:r>
      <w:r>
        <w:rPr>
          <w:i/>
          <w:color w:val="231F20"/>
          <w:sz w:val="13"/>
        </w:rPr>
        <w:t>Stalking</w:t>
      </w:r>
      <w:r>
        <w:rPr>
          <w:i/>
          <w:color w:val="231F20"/>
          <w:spacing w:val="5"/>
          <w:sz w:val="13"/>
        </w:rPr>
        <w:t xml:space="preserve"> </w:t>
      </w:r>
      <w:r>
        <w:rPr>
          <w:i/>
          <w:color w:val="231F20"/>
          <w:sz w:val="13"/>
        </w:rPr>
        <w:t>in</w:t>
      </w:r>
      <w:r>
        <w:rPr>
          <w:i/>
          <w:color w:val="231F20"/>
          <w:spacing w:val="5"/>
          <w:sz w:val="13"/>
        </w:rPr>
        <w:t xml:space="preserve"> </w:t>
      </w:r>
      <w:r>
        <w:rPr>
          <w:i/>
          <w:color w:val="231F20"/>
          <w:sz w:val="13"/>
        </w:rPr>
        <w:t>Victoria</w:t>
      </w:r>
      <w:r>
        <w:rPr>
          <w:i/>
          <w:color w:val="231F20"/>
          <w:spacing w:val="5"/>
          <w:sz w:val="13"/>
        </w:rPr>
        <w:t xml:space="preserve"> </w:t>
      </w:r>
      <w:r>
        <w:rPr>
          <w:color w:val="231F20"/>
          <w:spacing w:val="2"/>
          <w:sz w:val="13"/>
        </w:rPr>
        <w:t>(Report,</w:t>
      </w:r>
      <w:r>
        <w:rPr>
          <w:color w:val="231F20"/>
          <w:spacing w:val="5"/>
          <w:sz w:val="13"/>
        </w:rPr>
        <w:t xml:space="preserve"> </w:t>
      </w:r>
      <w:r>
        <w:rPr>
          <w:color w:val="231F20"/>
          <w:sz w:val="13"/>
        </w:rPr>
        <w:t>March</w:t>
      </w:r>
      <w:r>
        <w:rPr>
          <w:color w:val="231F20"/>
          <w:spacing w:val="5"/>
          <w:sz w:val="13"/>
        </w:rPr>
        <w:t xml:space="preserve"> </w:t>
      </w:r>
      <w:r>
        <w:rPr>
          <w:color w:val="231F20"/>
          <w:sz w:val="13"/>
        </w:rPr>
        <w:t>2022)</w:t>
      </w:r>
      <w:r>
        <w:rPr>
          <w:color w:val="231F20"/>
          <w:spacing w:val="5"/>
          <w:sz w:val="13"/>
        </w:rPr>
        <w:t xml:space="preserve"> </w:t>
      </w:r>
      <w:r>
        <w:rPr>
          <w:color w:val="231F20"/>
          <w:sz w:val="13"/>
        </w:rPr>
        <w:t>xiii.</w:t>
      </w:r>
    </w:p>
    <w:p w14:paraId="56979B94" w14:textId="77777777" w:rsidR="00894070" w:rsidRDefault="009B7AFD">
      <w:pPr>
        <w:pStyle w:val="ListParagraph"/>
        <w:numPr>
          <w:ilvl w:val="0"/>
          <w:numId w:val="24"/>
        </w:numPr>
        <w:tabs>
          <w:tab w:val="left" w:pos="1801"/>
          <w:tab w:val="left" w:pos="1802"/>
        </w:tabs>
        <w:spacing w:line="160" w:lineRule="exact"/>
        <w:rPr>
          <w:sz w:val="13"/>
        </w:rPr>
      </w:pPr>
      <w:r>
        <w:rPr>
          <w:color w:val="231F20"/>
          <w:sz w:val="13"/>
        </w:rPr>
        <w:t>Ibid</w:t>
      </w:r>
      <w:r>
        <w:rPr>
          <w:color w:val="231F20"/>
          <w:spacing w:val="-1"/>
          <w:sz w:val="13"/>
        </w:rPr>
        <w:t xml:space="preserve"> </w:t>
      </w:r>
      <w:r>
        <w:rPr>
          <w:color w:val="231F20"/>
          <w:sz w:val="13"/>
        </w:rPr>
        <w:t>xiii.</w:t>
      </w:r>
    </w:p>
    <w:p w14:paraId="11384EBE" w14:textId="77777777" w:rsidR="00894070" w:rsidRDefault="009B7AFD">
      <w:pPr>
        <w:pStyle w:val="ListParagraph"/>
        <w:numPr>
          <w:ilvl w:val="0"/>
          <w:numId w:val="24"/>
        </w:numPr>
        <w:tabs>
          <w:tab w:val="left" w:pos="1800"/>
          <w:tab w:val="left" w:pos="1802"/>
        </w:tabs>
        <w:spacing w:line="160" w:lineRule="exac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w:t>
      </w:r>
      <w:r>
        <w:rPr>
          <w:color w:val="231F20"/>
          <w:spacing w:val="1"/>
          <w:sz w:val="13"/>
        </w:rPr>
        <w:t xml:space="preserve"> </w:t>
      </w:r>
      <w:r>
        <w:rPr>
          <w:color w:val="231F20"/>
          <w:sz w:val="13"/>
        </w:rPr>
        <w:t>2022).</w:t>
      </w:r>
    </w:p>
    <w:p w14:paraId="3831778F" w14:textId="77777777" w:rsidR="00894070" w:rsidRDefault="009B7AFD">
      <w:pPr>
        <w:pStyle w:val="ListParagraph"/>
        <w:numPr>
          <w:ilvl w:val="0"/>
          <w:numId w:val="24"/>
        </w:numPr>
        <w:tabs>
          <w:tab w:val="left" w:pos="1800"/>
          <w:tab w:val="left" w:pos="1802"/>
        </w:tabs>
        <w:spacing w:line="160" w:lineRule="exact"/>
        <w:rPr>
          <w:sz w:val="13"/>
        </w:rPr>
      </w:pPr>
      <w:r>
        <w:rPr>
          <w:color w:val="231F20"/>
          <w:sz w:val="13"/>
        </w:rPr>
        <w:t xml:space="preserve">Consultation 34 (Magistrates’ </w:t>
      </w:r>
      <w:r>
        <w:rPr>
          <w:color w:val="231F20"/>
          <w:spacing w:val="2"/>
          <w:sz w:val="13"/>
        </w:rPr>
        <w:t xml:space="preserve">Court </w:t>
      </w:r>
      <w:r>
        <w:rPr>
          <w:color w:val="231F20"/>
          <w:sz w:val="13"/>
        </w:rPr>
        <w:t>of Victoria (No</w:t>
      </w:r>
      <w:r>
        <w:rPr>
          <w:color w:val="231F20"/>
          <w:spacing w:val="3"/>
          <w:sz w:val="13"/>
        </w:rPr>
        <w:t xml:space="preserve"> </w:t>
      </w:r>
      <w:r>
        <w:rPr>
          <w:color w:val="231F20"/>
          <w:sz w:val="13"/>
        </w:rPr>
        <w:t>2)).</w:t>
      </w:r>
    </w:p>
    <w:p w14:paraId="5CC48D0D" w14:textId="77777777" w:rsidR="00894070" w:rsidRDefault="009B7AFD">
      <w:pPr>
        <w:pStyle w:val="ListParagraph"/>
        <w:numPr>
          <w:ilvl w:val="0"/>
          <w:numId w:val="24"/>
        </w:numPr>
        <w:tabs>
          <w:tab w:val="left" w:pos="1801"/>
          <w:tab w:val="left" w:pos="1802"/>
        </w:tabs>
        <w:spacing w:line="160" w:lineRule="exact"/>
        <w:rPr>
          <w:sz w:val="13"/>
        </w:rPr>
      </w:pPr>
      <w:r>
        <w:rPr>
          <w:i/>
          <w:color w:val="231F20"/>
          <w:sz w:val="13"/>
        </w:rPr>
        <w:t xml:space="preserve">Bail Act 1977 </w:t>
      </w:r>
      <w:r>
        <w:rPr>
          <w:color w:val="231F20"/>
          <w:sz w:val="13"/>
        </w:rPr>
        <w:t>(Vic) s 4E.</w:t>
      </w:r>
    </w:p>
    <w:p w14:paraId="7B641F55" w14:textId="77777777" w:rsidR="00894070" w:rsidRDefault="009B7AFD">
      <w:pPr>
        <w:pStyle w:val="ListParagraph"/>
        <w:numPr>
          <w:ilvl w:val="0"/>
          <w:numId w:val="24"/>
        </w:numPr>
        <w:tabs>
          <w:tab w:val="left" w:pos="1801"/>
          <w:tab w:val="left" w:pos="1802"/>
        </w:tabs>
        <w:spacing w:line="160" w:lineRule="exact"/>
        <w:rPr>
          <w:sz w:val="13"/>
        </w:rPr>
      </w:pPr>
      <w:r>
        <w:rPr>
          <w:color w:val="231F20"/>
          <w:sz w:val="13"/>
        </w:rPr>
        <w:t>Consultation 36 (Forensicare (No</w:t>
      </w:r>
      <w:r>
        <w:rPr>
          <w:color w:val="231F20"/>
          <w:spacing w:val="1"/>
          <w:sz w:val="13"/>
        </w:rPr>
        <w:t xml:space="preserve"> </w:t>
      </w:r>
      <w:r>
        <w:rPr>
          <w:color w:val="231F20"/>
          <w:sz w:val="13"/>
        </w:rPr>
        <w:t>2)).</w:t>
      </w:r>
    </w:p>
    <w:p w14:paraId="4B130A7F" w14:textId="77777777" w:rsidR="00894070" w:rsidRDefault="009B7AFD">
      <w:pPr>
        <w:pStyle w:val="ListParagraph"/>
        <w:numPr>
          <w:ilvl w:val="0"/>
          <w:numId w:val="24"/>
        </w:numPr>
        <w:tabs>
          <w:tab w:val="left" w:pos="1801"/>
          <w:tab w:val="left" w:pos="1802"/>
        </w:tabs>
        <w:spacing w:line="170" w:lineRule="exact"/>
        <w:rPr>
          <w:sz w:val="13"/>
        </w:rPr>
      </w:pPr>
      <w:r>
        <w:rPr>
          <w:color w:val="231F20"/>
          <w:sz w:val="13"/>
        </w:rPr>
        <w:t>Ibid.</w:t>
      </w:r>
    </w:p>
    <w:p w14:paraId="3486857A" w14:textId="77777777" w:rsidR="00894070" w:rsidRDefault="009B7AFD">
      <w:pPr>
        <w:pStyle w:val="BodyText"/>
        <w:rPr>
          <w:sz w:val="28"/>
        </w:rPr>
      </w:pPr>
      <w:r>
        <w:br w:type="column"/>
      </w:r>
    </w:p>
    <w:p w14:paraId="27BB5CE8" w14:textId="77777777" w:rsidR="00894070" w:rsidRDefault="00894070">
      <w:pPr>
        <w:pStyle w:val="BodyText"/>
        <w:rPr>
          <w:sz w:val="28"/>
        </w:rPr>
      </w:pPr>
    </w:p>
    <w:p w14:paraId="59E803FA" w14:textId="77777777" w:rsidR="00894070" w:rsidRDefault="00894070">
      <w:pPr>
        <w:pStyle w:val="BodyText"/>
        <w:spacing w:before="2"/>
        <w:rPr>
          <w:sz w:val="40"/>
        </w:rPr>
      </w:pPr>
    </w:p>
    <w:p w14:paraId="34ED638A" w14:textId="77777777" w:rsidR="00894070" w:rsidRDefault="009B7AFD">
      <w:pPr>
        <w:pStyle w:val="Heading8"/>
        <w:ind w:left="1007"/>
      </w:pPr>
      <w:r>
        <w:rPr>
          <w:color w:val="EA5B50"/>
        </w:rPr>
        <w:t>173</w:t>
      </w:r>
    </w:p>
    <w:p w14:paraId="1210772F" w14:textId="77777777" w:rsidR="00894070" w:rsidRDefault="00894070">
      <w:pPr>
        <w:sectPr w:rsidR="00894070">
          <w:type w:val="continuous"/>
          <w:pgSz w:w="11910" w:h="16840"/>
          <w:pgMar w:top="560" w:right="420" w:bottom="280" w:left="580" w:header="720" w:footer="720" w:gutter="0"/>
          <w:cols w:num="2" w:space="720" w:equalWidth="0">
            <w:col w:w="7658" w:space="1679"/>
            <w:col w:w="1573"/>
          </w:cols>
        </w:sectPr>
      </w:pPr>
    </w:p>
    <w:p w14:paraId="1CB8F595" w14:textId="77777777" w:rsidR="00894070" w:rsidRDefault="00894070">
      <w:pPr>
        <w:pStyle w:val="BodyText"/>
        <w:rPr>
          <w:b/>
        </w:rPr>
      </w:pPr>
    </w:p>
    <w:p w14:paraId="7EB20EBF" w14:textId="77777777" w:rsidR="00894070" w:rsidRDefault="00894070">
      <w:pPr>
        <w:pStyle w:val="BodyText"/>
        <w:rPr>
          <w:b/>
        </w:rPr>
      </w:pPr>
    </w:p>
    <w:p w14:paraId="0FECA961" w14:textId="77777777" w:rsidR="00894070" w:rsidRDefault="00894070">
      <w:pPr>
        <w:pStyle w:val="BodyText"/>
        <w:rPr>
          <w:b/>
        </w:rPr>
      </w:pPr>
    </w:p>
    <w:p w14:paraId="052AA89D" w14:textId="77777777" w:rsidR="00894070" w:rsidRDefault="00894070">
      <w:pPr>
        <w:pStyle w:val="BodyText"/>
        <w:spacing w:before="8"/>
        <w:rPr>
          <w:b/>
          <w:sz w:val="19"/>
        </w:rPr>
      </w:pPr>
    </w:p>
    <w:p w14:paraId="50932F41" w14:textId="77777777" w:rsidR="00894070" w:rsidRDefault="009F6793">
      <w:pPr>
        <w:pStyle w:val="BodyText"/>
        <w:ind w:left="642"/>
      </w:pPr>
      <w:r>
        <w:pict w14:anchorId="17BBD8D9">
          <v:group id="_x0000_s1070" style="width:479.1pt;height:253.95pt;mso-position-horizontal-relative:char;mso-position-vertical-relative:line" coordsize="9582,5079">
            <v:rect id="_x0000_s1076" style="position:absolute;left:340;width:8731;height:5079" fillcolor="#fee7de" stroked="f"/>
            <v:line id="_x0000_s1075" style="position:absolute" from="0,808" to="9581,808" strokecolor="white" strokeweight="2.5pt"/>
            <v:shape id="_x0000_s1074" type="#_x0000_t202" style="position:absolute;left:1146;top:1838;width:7700;height:3060" filled="f" stroked="f">
              <v:textbox inset="0,0,0,0">
                <w:txbxContent>
                  <w:p w14:paraId="10A61C8A" w14:textId="77777777" w:rsidR="00894070" w:rsidRDefault="009B7AFD">
                    <w:pPr>
                      <w:numPr>
                        <w:ilvl w:val="0"/>
                        <w:numId w:val="23"/>
                      </w:numPr>
                      <w:tabs>
                        <w:tab w:val="left" w:pos="553"/>
                        <w:tab w:val="left" w:pos="554"/>
                      </w:tabs>
                      <w:spacing w:line="247" w:lineRule="auto"/>
                      <w:ind w:right="200" w:hanging="553"/>
                      <w:rPr>
                        <w:rFonts w:ascii="Trebuchet MS"/>
                        <w:sz w:val="20"/>
                      </w:rPr>
                    </w:pPr>
                    <w:bookmarkStart w:id="186" w:name="_bookmark112"/>
                    <w:bookmarkEnd w:id="186"/>
                    <w:r>
                      <w:rPr>
                        <w:rFonts w:ascii="Trebuchet MS"/>
                        <w:color w:val="231F20"/>
                        <w:w w:val="105"/>
                        <w:sz w:val="20"/>
                      </w:rPr>
                      <w:t>ongoing</w:t>
                    </w:r>
                    <w:r>
                      <w:rPr>
                        <w:rFonts w:ascii="Trebuchet MS"/>
                        <w:color w:val="231F20"/>
                        <w:spacing w:val="-11"/>
                        <w:w w:val="105"/>
                        <w:sz w:val="20"/>
                      </w:rPr>
                      <w:t xml:space="preserve"> </w:t>
                    </w:r>
                    <w:r>
                      <w:rPr>
                        <w:rFonts w:ascii="Trebuchet MS"/>
                        <w:color w:val="231F20"/>
                        <w:w w:val="105"/>
                        <w:sz w:val="20"/>
                      </w:rPr>
                      <w:t>research</w:t>
                    </w:r>
                    <w:r>
                      <w:rPr>
                        <w:rFonts w:ascii="Trebuchet MS"/>
                        <w:color w:val="231F20"/>
                        <w:spacing w:val="-11"/>
                        <w:w w:val="105"/>
                        <w:sz w:val="20"/>
                      </w:rPr>
                      <w:t xml:space="preserve"> </w:t>
                    </w:r>
                    <w:r>
                      <w:rPr>
                        <w:rFonts w:ascii="Trebuchet MS"/>
                        <w:color w:val="231F20"/>
                        <w:w w:val="105"/>
                        <w:sz w:val="20"/>
                      </w:rPr>
                      <w:t>on</w:t>
                    </w:r>
                    <w:r>
                      <w:rPr>
                        <w:rFonts w:ascii="Trebuchet MS"/>
                        <w:color w:val="231F20"/>
                        <w:spacing w:val="-10"/>
                        <w:w w:val="105"/>
                        <w:sz w:val="20"/>
                      </w:rPr>
                      <w:t xml:space="preserve"> </w:t>
                    </w:r>
                    <w:r>
                      <w:rPr>
                        <w:rFonts w:ascii="Trebuchet MS"/>
                        <w:color w:val="231F20"/>
                        <w:w w:val="105"/>
                        <w:sz w:val="20"/>
                      </w:rPr>
                      <w:t>the</w:t>
                    </w:r>
                    <w:r>
                      <w:rPr>
                        <w:rFonts w:ascii="Trebuchet MS"/>
                        <w:color w:val="231F20"/>
                        <w:spacing w:val="-11"/>
                        <w:w w:val="105"/>
                        <w:sz w:val="20"/>
                      </w:rPr>
                      <w:t xml:space="preserve"> </w:t>
                    </w:r>
                    <w:r>
                      <w:rPr>
                        <w:rFonts w:ascii="Trebuchet MS"/>
                        <w:color w:val="231F20"/>
                        <w:w w:val="105"/>
                        <w:sz w:val="20"/>
                      </w:rPr>
                      <w:t>effectiveness</w:t>
                    </w:r>
                    <w:r>
                      <w:rPr>
                        <w:rFonts w:ascii="Trebuchet MS"/>
                        <w:color w:val="231F20"/>
                        <w:spacing w:val="-11"/>
                        <w:w w:val="105"/>
                        <w:sz w:val="20"/>
                      </w:rPr>
                      <w:t xml:space="preserve"> </w:t>
                    </w:r>
                    <w:r>
                      <w:rPr>
                        <w:rFonts w:ascii="Trebuchet MS"/>
                        <w:color w:val="231F20"/>
                        <w:w w:val="105"/>
                        <w:sz w:val="20"/>
                      </w:rPr>
                      <w:t>of</w:t>
                    </w:r>
                    <w:r>
                      <w:rPr>
                        <w:rFonts w:ascii="Trebuchet MS"/>
                        <w:color w:val="231F20"/>
                        <w:spacing w:val="-10"/>
                        <w:w w:val="105"/>
                        <w:sz w:val="20"/>
                      </w:rPr>
                      <w:t xml:space="preserve"> </w:t>
                    </w:r>
                    <w:r>
                      <w:rPr>
                        <w:rFonts w:ascii="Trebuchet MS"/>
                        <w:color w:val="231F20"/>
                        <w:w w:val="105"/>
                        <w:sz w:val="20"/>
                      </w:rPr>
                      <w:t>and</w:t>
                    </w:r>
                    <w:r>
                      <w:rPr>
                        <w:rFonts w:ascii="Trebuchet MS"/>
                        <w:color w:val="231F20"/>
                        <w:spacing w:val="-11"/>
                        <w:w w:val="105"/>
                        <w:sz w:val="20"/>
                      </w:rPr>
                      <w:t xml:space="preserve"> </w:t>
                    </w:r>
                    <w:r>
                      <w:rPr>
                        <w:rFonts w:ascii="Trebuchet MS"/>
                        <w:color w:val="231F20"/>
                        <w:spacing w:val="-4"/>
                        <w:w w:val="105"/>
                        <w:sz w:val="20"/>
                      </w:rPr>
                      <w:t>ways</w:t>
                    </w:r>
                    <w:r>
                      <w:rPr>
                        <w:rFonts w:ascii="Trebuchet MS"/>
                        <w:color w:val="231F20"/>
                        <w:spacing w:val="-11"/>
                        <w:w w:val="105"/>
                        <w:sz w:val="20"/>
                      </w:rPr>
                      <w:t xml:space="preserve"> </w:t>
                    </w:r>
                    <w:r>
                      <w:rPr>
                        <w:rFonts w:ascii="Trebuchet MS"/>
                        <w:color w:val="231F20"/>
                        <w:w w:val="105"/>
                        <w:sz w:val="20"/>
                      </w:rPr>
                      <w:t>to</w:t>
                    </w:r>
                    <w:r>
                      <w:rPr>
                        <w:rFonts w:ascii="Trebuchet MS"/>
                        <w:color w:val="231F20"/>
                        <w:spacing w:val="-10"/>
                        <w:w w:val="105"/>
                        <w:sz w:val="20"/>
                      </w:rPr>
                      <w:t xml:space="preserve"> </w:t>
                    </w:r>
                    <w:r>
                      <w:rPr>
                        <w:rFonts w:ascii="Trebuchet MS"/>
                        <w:color w:val="231F20"/>
                        <w:spacing w:val="-3"/>
                        <w:w w:val="105"/>
                        <w:sz w:val="20"/>
                      </w:rPr>
                      <w:t>improve</w:t>
                    </w:r>
                    <w:r>
                      <w:rPr>
                        <w:rFonts w:ascii="Trebuchet MS"/>
                        <w:color w:val="231F20"/>
                        <w:spacing w:val="-11"/>
                        <w:w w:val="105"/>
                        <w:sz w:val="20"/>
                      </w:rPr>
                      <w:t xml:space="preserve"> </w:t>
                    </w:r>
                    <w:r>
                      <w:rPr>
                        <w:rFonts w:ascii="Trebuchet MS"/>
                        <w:color w:val="231F20"/>
                        <w:w w:val="105"/>
                        <w:sz w:val="20"/>
                      </w:rPr>
                      <w:t>responses</w:t>
                    </w:r>
                    <w:r>
                      <w:rPr>
                        <w:rFonts w:ascii="Trebuchet MS"/>
                        <w:color w:val="231F20"/>
                        <w:spacing w:val="-10"/>
                        <w:w w:val="105"/>
                        <w:sz w:val="20"/>
                      </w:rPr>
                      <w:t xml:space="preserve"> </w:t>
                    </w:r>
                    <w:r>
                      <w:rPr>
                        <w:rFonts w:ascii="Trebuchet MS"/>
                        <w:color w:val="231F20"/>
                        <w:w w:val="105"/>
                        <w:sz w:val="20"/>
                      </w:rPr>
                      <w:t>to stalking</w:t>
                    </w:r>
                    <w:r>
                      <w:rPr>
                        <w:rFonts w:ascii="Trebuchet MS"/>
                        <w:color w:val="231F20"/>
                        <w:spacing w:val="-18"/>
                        <w:w w:val="105"/>
                        <w:sz w:val="20"/>
                      </w:rPr>
                      <w:t xml:space="preserve"> </w:t>
                    </w:r>
                    <w:r>
                      <w:rPr>
                        <w:rFonts w:ascii="Trebuchet MS"/>
                        <w:color w:val="231F20"/>
                        <w:w w:val="105"/>
                        <w:sz w:val="20"/>
                      </w:rPr>
                      <w:t>behaviour</w:t>
                    </w:r>
                  </w:p>
                  <w:p w14:paraId="4FA1818B" w14:textId="77777777" w:rsidR="00894070" w:rsidRDefault="009B7AFD">
                    <w:pPr>
                      <w:numPr>
                        <w:ilvl w:val="0"/>
                        <w:numId w:val="23"/>
                      </w:numPr>
                      <w:tabs>
                        <w:tab w:val="left" w:pos="553"/>
                        <w:tab w:val="left" w:pos="554"/>
                      </w:tabs>
                      <w:spacing w:before="87" w:line="247" w:lineRule="auto"/>
                      <w:ind w:right="18" w:hanging="553"/>
                      <w:rPr>
                        <w:rFonts w:ascii="Trebuchet MS"/>
                        <w:sz w:val="20"/>
                      </w:rPr>
                    </w:pPr>
                    <w:r>
                      <w:rPr>
                        <w:rFonts w:ascii="Trebuchet MS"/>
                        <w:color w:val="231F20"/>
                        <w:w w:val="105"/>
                        <w:sz w:val="20"/>
                      </w:rPr>
                      <w:t>increasing</w:t>
                    </w:r>
                    <w:r>
                      <w:rPr>
                        <w:rFonts w:ascii="Trebuchet MS"/>
                        <w:color w:val="231F20"/>
                        <w:spacing w:val="-25"/>
                        <w:w w:val="105"/>
                        <w:sz w:val="20"/>
                      </w:rPr>
                      <w:t xml:space="preserve"> </w:t>
                    </w:r>
                    <w:r>
                      <w:rPr>
                        <w:rFonts w:ascii="Trebuchet MS"/>
                        <w:color w:val="231F20"/>
                        <w:w w:val="105"/>
                        <w:sz w:val="20"/>
                      </w:rPr>
                      <w:t>the</w:t>
                    </w:r>
                    <w:r>
                      <w:rPr>
                        <w:rFonts w:ascii="Trebuchet MS"/>
                        <w:color w:val="231F20"/>
                        <w:spacing w:val="-24"/>
                        <w:w w:val="105"/>
                        <w:sz w:val="20"/>
                      </w:rPr>
                      <w:t xml:space="preserve"> </w:t>
                    </w:r>
                    <w:r>
                      <w:rPr>
                        <w:rFonts w:ascii="Trebuchet MS"/>
                        <w:color w:val="231F20"/>
                        <w:w w:val="105"/>
                        <w:sz w:val="20"/>
                      </w:rPr>
                      <w:t>availability</w:t>
                    </w:r>
                    <w:r>
                      <w:rPr>
                        <w:rFonts w:ascii="Trebuchet MS"/>
                        <w:color w:val="231F20"/>
                        <w:spacing w:val="-25"/>
                        <w:w w:val="105"/>
                        <w:sz w:val="20"/>
                      </w:rPr>
                      <w:t xml:space="preserve"> </w:t>
                    </w:r>
                    <w:r>
                      <w:rPr>
                        <w:rFonts w:ascii="Trebuchet MS"/>
                        <w:color w:val="231F20"/>
                        <w:w w:val="105"/>
                        <w:sz w:val="20"/>
                      </w:rPr>
                      <w:t>of</w:t>
                    </w:r>
                    <w:r>
                      <w:rPr>
                        <w:rFonts w:ascii="Trebuchet MS"/>
                        <w:color w:val="231F20"/>
                        <w:spacing w:val="-24"/>
                        <w:w w:val="105"/>
                        <w:sz w:val="20"/>
                      </w:rPr>
                      <w:t xml:space="preserve"> </w:t>
                    </w:r>
                    <w:r>
                      <w:rPr>
                        <w:rFonts w:ascii="Trebuchet MS"/>
                        <w:color w:val="231F20"/>
                        <w:w w:val="105"/>
                        <w:sz w:val="20"/>
                      </w:rPr>
                      <w:t>general</w:t>
                    </w:r>
                    <w:r>
                      <w:rPr>
                        <w:rFonts w:ascii="Trebuchet MS"/>
                        <w:color w:val="231F20"/>
                        <w:spacing w:val="-24"/>
                        <w:w w:val="105"/>
                        <w:sz w:val="20"/>
                      </w:rPr>
                      <w:t xml:space="preserve"> </w:t>
                    </w:r>
                    <w:r>
                      <w:rPr>
                        <w:rFonts w:ascii="Trebuchet MS"/>
                        <w:color w:val="231F20"/>
                        <w:spacing w:val="-3"/>
                        <w:w w:val="105"/>
                        <w:sz w:val="20"/>
                      </w:rPr>
                      <w:t>treatment</w:t>
                    </w:r>
                    <w:r>
                      <w:rPr>
                        <w:rFonts w:ascii="Trebuchet MS"/>
                        <w:color w:val="231F20"/>
                        <w:spacing w:val="-25"/>
                        <w:w w:val="105"/>
                        <w:sz w:val="20"/>
                      </w:rPr>
                      <w:t xml:space="preserve"> </w:t>
                    </w:r>
                    <w:r>
                      <w:rPr>
                        <w:rFonts w:ascii="Trebuchet MS"/>
                        <w:color w:val="231F20"/>
                        <w:w w:val="105"/>
                        <w:sz w:val="20"/>
                      </w:rPr>
                      <w:t>and</w:t>
                    </w:r>
                    <w:r>
                      <w:rPr>
                        <w:rFonts w:ascii="Trebuchet MS"/>
                        <w:color w:val="231F20"/>
                        <w:spacing w:val="-24"/>
                        <w:w w:val="105"/>
                        <w:sz w:val="20"/>
                      </w:rPr>
                      <w:t xml:space="preserve"> </w:t>
                    </w:r>
                    <w:r>
                      <w:rPr>
                        <w:rFonts w:ascii="Trebuchet MS"/>
                        <w:color w:val="231F20"/>
                        <w:w w:val="105"/>
                        <w:sz w:val="20"/>
                      </w:rPr>
                      <w:t>support</w:t>
                    </w:r>
                    <w:r>
                      <w:rPr>
                        <w:rFonts w:ascii="Trebuchet MS"/>
                        <w:color w:val="231F20"/>
                        <w:spacing w:val="-25"/>
                        <w:w w:val="105"/>
                        <w:sz w:val="20"/>
                      </w:rPr>
                      <w:t xml:space="preserve"> </w:t>
                    </w:r>
                    <w:r>
                      <w:rPr>
                        <w:rFonts w:ascii="Trebuchet MS"/>
                        <w:color w:val="231F20"/>
                        <w:w w:val="105"/>
                        <w:sz w:val="20"/>
                      </w:rPr>
                      <w:t>in</w:t>
                    </w:r>
                    <w:r>
                      <w:rPr>
                        <w:rFonts w:ascii="Trebuchet MS"/>
                        <w:color w:val="231F20"/>
                        <w:spacing w:val="-24"/>
                        <w:w w:val="105"/>
                        <w:sz w:val="20"/>
                      </w:rPr>
                      <w:t xml:space="preserve"> </w:t>
                    </w:r>
                    <w:r>
                      <w:rPr>
                        <w:rFonts w:ascii="Trebuchet MS"/>
                        <w:color w:val="231F20"/>
                        <w:w w:val="105"/>
                        <w:sz w:val="20"/>
                      </w:rPr>
                      <w:t>the</w:t>
                    </w:r>
                    <w:r>
                      <w:rPr>
                        <w:rFonts w:ascii="Trebuchet MS"/>
                        <w:color w:val="231F20"/>
                        <w:spacing w:val="-24"/>
                        <w:w w:val="105"/>
                        <w:sz w:val="20"/>
                      </w:rPr>
                      <w:t xml:space="preserve"> </w:t>
                    </w:r>
                    <w:r>
                      <w:rPr>
                        <w:rFonts w:ascii="Trebuchet MS"/>
                        <w:color w:val="231F20"/>
                        <w:w w:val="105"/>
                        <w:sz w:val="20"/>
                      </w:rPr>
                      <w:t>community and justice</w:t>
                    </w:r>
                    <w:r>
                      <w:rPr>
                        <w:rFonts w:ascii="Trebuchet MS"/>
                        <w:color w:val="231F20"/>
                        <w:spacing w:val="-35"/>
                        <w:w w:val="105"/>
                        <w:sz w:val="20"/>
                      </w:rPr>
                      <w:t xml:space="preserve"> </w:t>
                    </w:r>
                    <w:r>
                      <w:rPr>
                        <w:rFonts w:ascii="Trebuchet MS"/>
                        <w:color w:val="231F20"/>
                        <w:w w:val="105"/>
                        <w:sz w:val="20"/>
                      </w:rPr>
                      <w:t>system</w:t>
                    </w:r>
                  </w:p>
                  <w:p w14:paraId="01F3A02B" w14:textId="77777777" w:rsidR="00894070" w:rsidRDefault="009B7AFD">
                    <w:pPr>
                      <w:numPr>
                        <w:ilvl w:val="0"/>
                        <w:numId w:val="23"/>
                      </w:numPr>
                      <w:tabs>
                        <w:tab w:val="left" w:pos="553"/>
                        <w:tab w:val="left" w:pos="554"/>
                      </w:tabs>
                      <w:spacing w:before="86"/>
                      <w:ind w:hanging="553"/>
                      <w:rPr>
                        <w:rFonts w:ascii="Trebuchet MS" w:hAnsi="Trebuchet MS"/>
                        <w:sz w:val="20"/>
                      </w:rPr>
                    </w:pPr>
                    <w:r>
                      <w:rPr>
                        <w:rFonts w:ascii="Trebuchet MS" w:hAnsi="Trebuchet MS"/>
                        <w:color w:val="231F20"/>
                        <w:spacing w:val="-2"/>
                        <w:w w:val="122"/>
                        <w:sz w:val="20"/>
                      </w:rPr>
                      <w:t>s</w:t>
                    </w:r>
                    <w:r>
                      <w:rPr>
                        <w:rFonts w:ascii="Trebuchet MS" w:hAnsi="Trebuchet MS"/>
                        <w:color w:val="231F20"/>
                        <w:spacing w:val="-1"/>
                        <w:w w:val="109"/>
                        <w:sz w:val="20"/>
                      </w:rPr>
                      <w:t>u</w:t>
                    </w:r>
                    <w:r>
                      <w:rPr>
                        <w:rFonts w:ascii="Trebuchet MS" w:hAnsi="Trebuchet MS"/>
                        <w:color w:val="231F20"/>
                        <w:spacing w:val="-1"/>
                        <w:w w:val="111"/>
                        <w:sz w:val="20"/>
                      </w:rPr>
                      <w:t>ppo</w:t>
                    </w:r>
                    <w:r>
                      <w:rPr>
                        <w:rFonts w:ascii="Trebuchet MS" w:hAnsi="Trebuchet MS"/>
                        <w:color w:val="231F20"/>
                        <w:spacing w:val="2"/>
                        <w:w w:val="93"/>
                        <w:sz w:val="20"/>
                      </w:rPr>
                      <w:t>r</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spacing w:val="-4"/>
                        <w:w w:val="105"/>
                        <w:sz w:val="20"/>
                      </w:rPr>
                      <w:t>a</w:t>
                    </w:r>
                    <w:r>
                      <w:rPr>
                        <w:rFonts w:ascii="Trebuchet MS" w:hAnsi="Trebuchet MS"/>
                        <w:color w:val="231F20"/>
                        <w:w w:val="88"/>
                        <w:sz w:val="20"/>
                      </w:rPr>
                      <w:t>t</w:t>
                    </w:r>
                    <w:r>
                      <w:rPr>
                        <w:rFonts w:ascii="Trebuchet MS" w:hAnsi="Trebuchet MS"/>
                        <w:color w:val="231F20"/>
                        <w:spacing w:val="-14"/>
                        <w:sz w:val="20"/>
                      </w:rPr>
                      <w:t xml:space="preserve"> </w:t>
                    </w:r>
                    <w:r>
                      <w:rPr>
                        <w:rFonts w:ascii="Trebuchet MS" w:hAnsi="Trebuchet MS"/>
                        <w:color w:val="231F20"/>
                        <w:spacing w:val="-1"/>
                        <w:w w:val="80"/>
                        <w:sz w:val="20"/>
                      </w:rPr>
                      <w:t>i</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w w:val="88"/>
                        <w:sz w:val="20"/>
                      </w:rPr>
                      <w:t>t</w:t>
                    </w:r>
                    <w:r>
                      <w:rPr>
                        <w:rFonts w:ascii="Trebuchet MS" w:hAnsi="Trebuchet MS"/>
                        <w:color w:val="231F20"/>
                        <w:spacing w:val="-2"/>
                        <w:w w:val="105"/>
                        <w:sz w:val="20"/>
                      </w:rPr>
                      <w:t>a</w:t>
                    </w:r>
                    <w:r>
                      <w:rPr>
                        <w:rFonts w:ascii="Trebuchet MS" w:hAnsi="Trebuchet MS"/>
                        <w:color w:val="231F20"/>
                        <w:spacing w:val="-2"/>
                        <w:w w:val="80"/>
                        <w:sz w:val="20"/>
                      </w:rPr>
                      <w:t>i</w:t>
                    </w:r>
                    <w:r>
                      <w:rPr>
                        <w:rFonts w:ascii="Trebuchet MS" w:hAnsi="Trebuchet MS"/>
                        <w:color w:val="231F20"/>
                        <w:spacing w:val="-3"/>
                        <w:w w:val="96"/>
                        <w:sz w:val="20"/>
                      </w:rPr>
                      <w:t>l</w:t>
                    </w:r>
                    <w:r>
                      <w:rPr>
                        <w:rFonts w:ascii="Trebuchet MS" w:hAnsi="Trebuchet MS"/>
                        <w:color w:val="231F20"/>
                        <w:spacing w:val="-1"/>
                        <w:w w:val="111"/>
                        <w:sz w:val="20"/>
                      </w:rPr>
                      <w:t>o</w:t>
                    </w:r>
                    <w:r>
                      <w:rPr>
                        <w:rFonts w:ascii="Trebuchet MS" w:hAnsi="Trebuchet MS"/>
                        <w:color w:val="231F20"/>
                        <w:spacing w:val="-4"/>
                        <w:w w:val="93"/>
                        <w:sz w:val="20"/>
                      </w:rPr>
                      <w:t>r</w:t>
                    </w:r>
                    <w:r>
                      <w:rPr>
                        <w:rFonts w:ascii="Trebuchet MS" w:hAnsi="Trebuchet MS"/>
                        <w:color w:val="231F20"/>
                        <w:w w:val="108"/>
                        <w:sz w:val="20"/>
                      </w:rPr>
                      <w:t>e</w:t>
                    </w:r>
                    <w:r>
                      <w:rPr>
                        <w:rFonts w:ascii="Trebuchet MS" w:hAnsi="Trebuchet MS"/>
                        <w:color w:val="231F20"/>
                        <w:w w:val="112"/>
                        <w:sz w:val="20"/>
                      </w:rPr>
                      <w:t>d</w:t>
                    </w:r>
                    <w:r>
                      <w:rPr>
                        <w:rFonts w:ascii="Trebuchet MS" w:hAnsi="Trebuchet MS"/>
                        <w:color w:val="231F20"/>
                        <w:spacing w:val="-14"/>
                        <w:sz w:val="20"/>
                      </w:rPr>
                      <w:t xml:space="preserve"> </w:t>
                    </w:r>
                    <w:r>
                      <w:rPr>
                        <w:rFonts w:ascii="Trebuchet MS" w:hAnsi="Trebuchet MS"/>
                        <w:color w:val="231F20"/>
                        <w:spacing w:val="-4"/>
                        <w:w w:val="88"/>
                        <w:sz w:val="20"/>
                      </w:rPr>
                      <w:t>t</w:t>
                    </w:r>
                    <w:r>
                      <w:rPr>
                        <w:rFonts w:ascii="Trebuchet MS" w:hAnsi="Trebuchet MS"/>
                        <w:color w:val="231F20"/>
                        <w:w w:val="111"/>
                        <w:sz w:val="20"/>
                      </w:rPr>
                      <w:t>o</w:t>
                    </w:r>
                    <w:r>
                      <w:rPr>
                        <w:rFonts w:ascii="Trebuchet MS" w:hAnsi="Trebuchet MS"/>
                        <w:color w:val="231F20"/>
                        <w:spacing w:val="-14"/>
                        <w:sz w:val="20"/>
                      </w:rPr>
                      <w:t xml:space="preserve"> </w:t>
                    </w:r>
                    <w:r>
                      <w:rPr>
                        <w:rFonts w:ascii="Trebuchet MS" w:hAnsi="Trebuchet MS"/>
                        <w:color w:val="231F20"/>
                        <w:spacing w:val="-2"/>
                        <w:w w:val="88"/>
                        <w:sz w:val="20"/>
                      </w:rPr>
                      <w:t>t</w:t>
                    </w:r>
                    <w:r>
                      <w:rPr>
                        <w:rFonts w:ascii="Trebuchet MS" w:hAnsi="Trebuchet MS"/>
                        <w:color w:val="231F20"/>
                        <w:spacing w:val="-1"/>
                        <w:w w:val="107"/>
                        <w:sz w:val="20"/>
                      </w:rPr>
                      <w:t>h</w:t>
                    </w:r>
                    <w:r>
                      <w:rPr>
                        <w:rFonts w:ascii="Trebuchet MS" w:hAnsi="Trebuchet MS"/>
                        <w:color w:val="231F20"/>
                        <w:w w:val="108"/>
                        <w:sz w:val="20"/>
                      </w:rPr>
                      <w:t>e</w:t>
                    </w:r>
                    <w:r>
                      <w:rPr>
                        <w:rFonts w:ascii="Trebuchet MS" w:hAnsi="Trebuchet MS"/>
                        <w:color w:val="231F20"/>
                        <w:spacing w:val="-14"/>
                        <w:sz w:val="20"/>
                      </w:rPr>
                      <w:t xml:space="preserve"> </w:t>
                    </w:r>
                    <w:r>
                      <w:rPr>
                        <w:rFonts w:ascii="Trebuchet MS" w:hAnsi="Trebuchet MS"/>
                        <w:color w:val="231F20"/>
                        <w:spacing w:val="-1"/>
                        <w:w w:val="111"/>
                        <w:sz w:val="20"/>
                      </w:rPr>
                      <w:t>p</w:t>
                    </w:r>
                    <w:r>
                      <w:rPr>
                        <w:rFonts w:ascii="Trebuchet MS" w:hAnsi="Trebuchet MS"/>
                        <w:color w:val="231F20"/>
                        <w:spacing w:val="-1"/>
                        <w:w w:val="108"/>
                        <w:sz w:val="20"/>
                      </w:rPr>
                      <w:t>e</w:t>
                    </w:r>
                    <w:r>
                      <w:rPr>
                        <w:rFonts w:ascii="Trebuchet MS" w:hAnsi="Trebuchet MS"/>
                        <w:color w:val="231F20"/>
                        <w:spacing w:val="-1"/>
                        <w:w w:val="93"/>
                        <w:sz w:val="20"/>
                      </w:rPr>
                      <w:t>r</w:t>
                    </w:r>
                    <w:r>
                      <w:rPr>
                        <w:rFonts w:ascii="Trebuchet MS" w:hAnsi="Trebuchet MS"/>
                        <w:color w:val="231F20"/>
                        <w:spacing w:val="-1"/>
                        <w:w w:val="122"/>
                        <w:sz w:val="20"/>
                      </w:rPr>
                      <w:t>s</w:t>
                    </w:r>
                    <w:r>
                      <w:rPr>
                        <w:rFonts w:ascii="Trebuchet MS" w:hAnsi="Trebuchet MS"/>
                        <w:color w:val="231F20"/>
                        <w:spacing w:val="-1"/>
                        <w:w w:val="111"/>
                        <w:sz w:val="20"/>
                      </w:rPr>
                      <w:t>o</w:t>
                    </w:r>
                    <w:r>
                      <w:rPr>
                        <w:rFonts w:ascii="Trebuchet MS" w:hAnsi="Trebuchet MS"/>
                        <w:color w:val="231F20"/>
                        <w:spacing w:val="-6"/>
                        <w:w w:val="107"/>
                        <w:sz w:val="20"/>
                      </w:rPr>
                      <w:t>n</w:t>
                    </w:r>
                    <w:r>
                      <w:rPr>
                        <w:rFonts w:ascii="Trebuchet MS" w:hAnsi="Trebuchet MS"/>
                        <w:color w:val="231F20"/>
                        <w:spacing w:val="-6"/>
                        <w:w w:val="54"/>
                        <w:sz w:val="20"/>
                      </w:rPr>
                      <w:t>’</w:t>
                    </w:r>
                    <w:r>
                      <w:rPr>
                        <w:rFonts w:ascii="Trebuchet MS" w:hAnsi="Trebuchet MS"/>
                        <w:color w:val="231F20"/>
                        <w:w w:val="122"/>
                        <w:sz w:val="20"/>
                      </w:rPr>
                      <w:t>s</w:t>
                    </w:r>
                    <w:r>
                      <w:rPr>
                        <w:rFonts w:ascii="Trebuchet MS" w:hAnsi="Trebuchet MS"/>
                        <w:color w:val="231F20"/>
                        <w:spacing w:val="-14"/>
                        <w:sz w:val="20"/>
                      </w:rPr>
                      <w:t xml:space="preserve"> </w:t>
                    </w:r>
                    <w:r>
                      <w:rPr>
                        <w:rFonts w:ascii="Trebuchet MS" w:hAnsi="Trebuchet MS"/>
                        <w:color w:val="231F20"/>
                        <w:spacing w:val="-2"/>
                        <w:w w:val="80"/>
                        <w:sz w:val="20"/>
                      </w:rPr>
                      <w:t>i</w:t>
                    </w:r>
                    <w:r>
                      <w:rPr>
                        <w:rFonts w:ascii="Trebuchet MS" w:hAnsi="Trebuchet MS"/>
                        <w:color w:val="231F20"/>
                        <w:spacing w:val="-1"/>
                        <w:w w:val="107"/>
                        <w:sz w:val="20"/>
                      </w:rPr>
                      <w:t>n</w:t>
                    </w:r>
                    <w:r>
                      <w:rPr>
                        <w:rFonts w:ascii="Trebuchet MS" w:hAnsi="Trebuchet MS"/>
                        <w:color w:val="231F20"/>
                        <w:spacing w:val="-1"/>
                        <w:w w:val="112"/>
                        <w:sz w:val="20"/>
                      </w:rPr>
                      <w:t>d</w:t>
                    </w:r>
                    <w:r>
                      <w:rPr>
                        <w:rFonts w:ascii="Trebuchet MS" w:hAnsi="Trebuchet MS"/>
                        <w:color w:val="231F20"/>
                        <w:spacing w:val="-2"/>
                        <w:w w:val="80"/>
                        <w:sz w:val="20"/>
                      </w:rPr>
                      <w:t>i</w:t>
                    </w:r>
                    <w:r>
                      <w:rPr>
                        <w:rFonts w:ascii="Trebuchet MS" w:hAnsi="Trebuchet MS"/>
                        <w:color w:val="231F20"/>
                        <w:spacing w:val="-2"/>
                        <w:w w:val="109"/>
                        <w:sz w:val="20"/>
                      </w:rPr>
                      <w:t>v</w:t>
                    </w:r>
                    <w:r>
                      <w:rPr>
                        <w:rFonts w:ascii="Trebuchet MS" w:hAnsi="Trebuchet MS"/>
                        <w:color w:val="231F20"/>
                        <w:spacing w:val="-1"/>
                        <w:w w:val="80"/>
                        <w:sz w:val="20"/>
                      </w:rPr>
                      <w:t>i</w:t>
                    </w:r>
                    <w:r>
                      <w:rPr>
                        <w:rFonts w:ascii="Trebuchet MS" w:hAnsi="Trebuchet MS"/>
                        <w:color w:val="231F20"/>
                        <w:spacing w:val="-2"/>
                        <w:w w:val="112"/>
                        <w:sz w:val="20"/>
                      </w:rPr>
                      <w:t>d</w:t>
                    </w:r>
                    <w:r>
                      <w:rPr>
                        <w:rFonts w:ascii="Trebuchet MS" w:hAnsi="Trebuchet MS"/>
                        <w:color w:val="231F20"/>
                        <w:spacing w:val="-2"/>
                        <w:w w:val="109"/>
                        <w:sz w:val="20"/>
                      </w:rPr>
                      <w:t>u</w:t>
                    </w:r>
                    <w:r>
                      <w:rPr>
                        <w:rFonts w:ascii="Trebuchet MS" w:hAnsi="Trebuchet MS"/>
                        <w:color w:val="231F20"/>
                        <w:spacing w:val="-3"/>
                        <w:w w:val="105"/>
                        <w:sz w:val="20"/>
                      </w:rPr>
                      <w:t>a</w:t>
                    </w:r>
                    <w:r>
                      <w:rPr>
                        <w:rFonts w:ascii="Trebuchet MS" w:hAnsi="Trebuchet MS"/>
                        <w:color w:val="231F20"/>
                        <w:w w:val="96"/>
                        <w:sz w:val="20"/>
                      </w:rPr>
                      <w:t>l</w:t>
                    </w:r>
                    <w:r>
                      <w:rPr>
                        <w:rFonts w:ascii="Trebuchet MS" w:hAnsi="Trebuchet MS"/>
                        <w:color w:val="231F20"/>
                        <w:spacing w:val="-14"/>
                        <w:sz w:val="20"/>
                      </w:rPr>
                      <w:t xml:space="preserve"> </w:t>
                    </w:r>
                    <w:r>
                      <w:rPr>
                        <w:rFonts w:ascii="Trebuchet MS" w:hAnsi="Trebuchet MS"/>
                        <w:color w:val="231F20"/>
                        <w:spacing w:val="-1"/>
                        <w:w w:val="107"/>
                        <w:sz w:val="20"/>
                      </w:rPr>
                      <w:t>n</w:t>
                    </w:r>
                    <w:r>
                      <w:rPr>
                        <w:rFonts w:ascii="Trebuchet MS" w:hAnsi="Trebuchet MS"/>
                        <w:color w:val="231F20"/>
                        <w:w w:val="108"/>
                        <w:sz w:val="20"/>
                      </w:rPr>
                      <w:t>ee</w:t>
                    </w:r>
                    <w:r>
                      <w:rPr>
                        <w:rFonts w:ascii="Trebuchet MS" w:hAnsi="Trebuchet MS"/>
                        <w:color w:val="231F20"/>
                        <w:spacing w:val="-1"/>
                        <w:w w:val="112"/>
                        <w:sz w:val="20"/>
                      </w:rPr>
                      <w:t>d</w:t>
                    </w:r>
                    <w:r>
                      <w:rPr>
                        <w:rFonts w:ascii="Trebuchet MS" w:hAnsi="Trebuchet MS"/>
                        <w:color w:val="231F20"/>
                        <w:w w:val="122"/>
                        <w:sz w:val="20"/>
                      </w:rPr>
                      <w:t>s</w:t>
                    </w:r>
                  </w:p>
                  <w:p w14:paraId="7A544FF5" w14:textId="77777777" w:rsidR="00894070" w:rsidRDefault="009B7AFD">
                    <w:pPr>
                      <w:numPr>
                        <w:ilvl w:val="0"/>
                        <w:numId w:val="23"/>
                      </w:numPr>
                      <w:tabs>
                        <w:tab w:val="left" w:pos="553"/>
                        <w:tab w:val="left" w:pos="554"/>
                      </w:tabs>
                      <w:spacing w:before="93" w:line="247" w:lineRule="auto"/>
                      <w:ind w:right="30" w:hanging="553"/>
                      <w:rPr>
                        <w:rFonts w:ascii="Trebuchet MS"/>
                        <w:sz w:val="20"/>
                      </w:rPr>
                    </w:pPr>
                    <w:r>
                      <w:rPr>
                        <w:rFonts w:ascii="Trebuchet MS"/>
                        <w:color w:val="231F20"/>
                        <w:spacing w:val="-3"/>
                        <w:sz w:val="20"/>
                      </w:rPr>
                      <w:t xml:space="preserve">improving </w:t>
                    </w:r>
                    <w:r>
                      <w:rPr>
                        <w:rFonts w:ascii="Trebuchet MS"/>
                        <w:color w:val="231F20"/>
                        <w:sz w:val="20"/>
                      </w:rPr>
                      <w:t xml:space="preserve">access to and availability of </w:t>
                    </w:r>
                    <w:r>
                      <w:rPr>
                        <w:rFonts w:ascii="Trebuchet MS"/>
                        <w:color w:val="231F20"/>
                        <w:spacing w:val="-3"/>
                        <w:sz w:val="20"/>
                      </w:rPr>
                      <w:t xml:space="preserve">early </w:t>
                    </w:r>
                    <w:r>
                      <w:rPr>
                        <w:rFonts w:ascii="Trebuchet MS"/>
                        <w:color w:val="231F20"/>
                        <w:sz w:val="20"/>
                      </w:rPr>
                      <w:t xml:space="preserve">intervention programs for people </w:t>
                    </w:r>
                    <w:r>
                      <w:rPr>
                        <w:rFonts w:ascii="Trebuchet MS"/>
                        <w:color w:val="231F20"/>
                        <w:spacing w:val="-2"/>
                        <w:w w:val="110"/>
                        <w:sz w:val="20"/>
                      </w:rPr>
                      <w:t>w</w:t>
                    </w:r>
                    <w:r>
                      <w:rPr>
                        <w:rFonts w:ascii="Trebuchet MS"/>
                        <w:color w:val="231F20"/>
                        <w:spacing w:val="-1"/>
                        <w:w w:val="107"/>
                        <w:sz w:val="20"/>
                      </w:rPr>
                      <w:t>h</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w w:val="106"/>
                        <w:sz w:val="20"/>
                      </w:rPr>
                      <w:t>k</w:t>
                    </w:r>
                    <w:r>
                      <w:rPr>
                        <w:rFonts w:ascii="Trebuchet MS"/>
                        <w:color w:val="231F20"/>
                        <w:w w:val="57"/>
                        <w:sz w:val="20"/>
                      </w:rPr>
                      <w:t>,</w:t>
                    </w:r>
                    <w:r>
                      <w:rPr>
                        <w:rFonts w:ascii="Trebuchet MS"/>
                        <w:color w:val="231F20"/>
                        <w:spacing w:val="-14"/>
                        <w:sz w:val="20"/>
                      </w:rPr>
                      <w:t xml:space="preserve"> </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w:t>
                    </w:r>
                    <w:r>
                      <w:rPr>
                        <w:rFonts w:ascii="Trebuchet MS"/>
                        <w:color w:val="231F20"/>
                        <w:w w:val="108"/>
                        <w:sz w:val="20"/>
                      </w:rPr>
                      <w:t>e</w:t>
                    </w:r>
                    <w:r>
                      <w:rPr>
                        <w:rFonts w:ascii="Trebuchet MS"/>
                        <w:color w:val="231F20"/>
                        <w:spacing w:val="-2"/>
                        <w:w w:val="111"/>
                        <w:sz w:val="20"/>
                      </w:rPr>
                      <w:t>c</w:t>
                    </w:r>
                    <w:r>
                      <w:rPr>
                        <w:rFonts w:ascii="Trebuchet MS"/>
                        <w:color w:val="231F20"/>
                        <w:spacing w:val="-1"/>
                        <w:w w:val="80"/>
                        <w:sz w:val="20"/>
                      </w:rPr>
                      <w:t>i</w:t>
                    </w:r>
                    <w:r>
                      <w:rPr>
                        <w:rFonts w:ascii="Trebuchet MS"/>
                        <w:color w:val="231F20"/>
                        <w:spacing w:val="-3"/>
                        <w:w w:val="105"/>
                        <w:sz w:val="20"/>
                      </w:rPr>
                      <w:t>a</w:t>
                    </w:r>
                    <w:r>
                      <w:rPr>
                        <w:rFonts w:ascii="Trebuchet MS"/>
                        <w:color w:val="231F20"/>
                        <w:spacing w:val="-2"/>
                        <w:w w:val="96"/>
                        <w:sz w:val="20"/>
                      </w:rPr>
                      <w:t>l</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93"/>
                        <w:sz w:val="20"/>
                      </w:rPr>
                      <w:t>r</w:t>
                    </w:r>
                    <w:r>
                      <w:rPr>
                        <w:rFonts w:ascii="Trebuchet MS"/>
                        <w:color w:val="231F20"/>
                        <w:spacing w:val="-1"/>
                        <w:w w:val="109"/>
                        <w:sz w:val="20"/>
                      </w:rPr>
                      <w:t>u</w:t>
                    </w:r>
                    <w:r>
                      <w:rPr>
                        <w:rFonts w:ascii="Trebuchet MS"/>
                        <w:color w:val="231F20"/>
                        <w:spacing w:val="-2"/>
                        <w:w w:val="93"/>
                        <w:sz w:val="20"/>
                      </w:rPr>
                      <w:t>r</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2"/>
                        <w:w w:val="105"/>
                        <w:sz w:val="20"/>
                      </w:rPr>
                      <w:t>a</w:t>
                    </w:r>
                    <w:r>
                      <w:rPr>
                        <w:rFonts w:ascii="Trebuchet MS"/>
                        <w:color w:val="231F20"/>
                        <w:spacing w:val="-1"/>
                        <w:w w:val="107"/>
                        <w:sz w:val="20"/>
                      </w:rPr>
                      <w:t>n</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93"/>
                        <w:sz w:val="20"/>
                      </w:rPr>
                      <w:t>r</w:t>
                    </w:r>
                    <w:r>
                      <w:rPr>
                        <w:rFonts w:ascii="Trebuchet MS"/>
                        <w:color w:val="231F20"/>
                        <w:w w:val="108"/>
                        <w:sz w:val="20"/>
                      </w:rPr>
                      <w:t>e</w:t>
                    </w:r>
                    <w:r>
                      <w:rPr>
                        <w:rFonts w:ascii="Trebuchet MS"/>
                        <w:color w:val="231F20"/>
                        <w:spacing w:val="-2"/>
                        <w:w w:val="124"/>
                        <w:sz w:val="20"/>
                      </w:rPr>
                      <w:t>g</w:t>
                    </w:r>
                    <w:r>
                      <w:rPr>
                        <w:rFonts w:ascii="Trebuchet MS"/>
                        <w:color w:val="231F20"/>
                        <w:spacing w:val="-1"/>
                        <w:w w:val="80"/>
                        <w:sz w:val="20"/>
                      </w:rPr>
                      <w:t>i</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spacing w:val="-1"/>
                        <w:w w:val="115"/>
                        <w:sz w:val="20"/>
                      </w:rPr>
                      <w:t>V</w:t>
                    </w:r>
                    <w:r>
                      <w:rPr>
                        <w:rFonts w:ascii="Trebuchet MS"/>
                        <w:color w:val="231F20"/>
                        <w:spacing w:val="-1"/>
                        <w:w w:val="80"/>
                        <w:sz w:val="20"/>
                      </w:rPr>
                      <w:t>i</w:t>
                    </w:r>
                    <w:r>
                      <w:rPr>
                        <w:rFonts w:ascii="Trebuchet MS"/>
                        <w:color w:val="231F20"/>
                        <w:spacing w:val="-2"/>
                        <w:w w:val="111"/>
                        <w:sz w:val="20"/>
                      </w:rPr>
                      <w:t>c</w:t>
                    </w:r>
                    <w:r>
                      <w:rPr>
                        <w:rFonts w:ascii="Trebuchet MS"/>
                        <w:color w:val="231F20"/>
                        <w:spacing w:val="-4"/>
                        <w:w w:val="88"/>
                        <w:sz w:val="20"/>
                      </w:rPr>
                      <w:t>t</w:t>
                    </w:r>
                    <w:r>
                      <w:rPr>
                        <w:rFonts w:ascii="Trebuchet MS"/>
                        <w:color w:val="231F20"/>
                        <w:spacing w:val="-1"/>
                        <w:w w:val="111"/>
                        <w:sz w:val="20"/>
                      </w:rPr>
                      <w:t>o</w:t>
                    </w:r>
                    <w:r>
                      <w:rPr>
                        <w:rFonts w:ascii="Trebuchet MS"/>
                        <w:color w:val="231F20"/>
                        <w:spacing w:val="-2"/>
                        <w:w w:val="93"/>
                        <w:sz w:val="20"/>
                      </w:rPr>
                      <w:t>r</w:t>
                    </w:r>
                    <w:r>
                      <w:rPr>
                        <w:rFonts w:ascii="Trebuchet MS"/>
                        <w:color w:val="231F20"/>
                        <w:spacing w:val="-1"/>
                        <w:w w:val="80"/>
                        <w:sz w:val="20"/>
                      </w:rPr>
                      <w:t>i</w:t>
                    </w:r>
                    <w:r>
                      <w:rPr>
                        <w:rFonts w:ascii="Trebuchet MS"/>
                        <w:color w:val="231F20"/>
                        <w:w w:val="105"/>
                        <w:sz w:val="20"/>
                      </w:rPr>
                      <w:t>a</w:t>
                    </w:r>
                  </w:p>
                  <w:p w14:paraId="0F8C6F02" w14:textId="77777777" w:rsidR="00894070" w:rsidRDefault="009B7AFD">
                    <w:pPr>
                      <w:numPr>
                        <w:ilvl w:val="0"/>
                        <w:numId w:val="23"/>
                      </w:numPr>
                      <w:tabs>
                        <w:tab w:val="left" w:pos="553"/>
                        <w:tab w:val="left" w:pos="554"/>
                      </w:tabs>
                      <w:spacing w:before="87" w:line="247" w:lineRule="auto"/>
                      <w:ind w:right="700" w:hanging="553"/>
                      <w:rPr>
                        <w:rFonts w:ascii="Trebuchet MS"/>
                        <w:sz w:val="20"/>
                      </w:rPr>
                    </w:pPr>
                    <w:r>
                      <w:rPr>
                        <w:rFonts w:ascii="Trebuchet MS"/>
                        <w:color w:val="231F20"/>
                        <w:spacing w:val="-3"/>
                        <w:w w:val="105"/>
                        <w:sz w:val="20"/>
                      </w:rPr>
                      <w:t>improving</w:t>
                    </w:r>
                    <w:r>
                      <w:rPr>
                        <w:rFonts w:ascii="Trebuchet MS"/>
                        <w:color w:val="231F20"/>
                        <w:spacing w:val="-22"/>
                        <w:w w:val="105"/>
                        <w:sz w:val="20"/>
                      </w:rPr>
                      <w:t xml:space="preserve"> </w:t>
                    </w:r>
                    <w:r>
                      <w:rPr>
                        <w:rFonts w:ascii="Trebuchet MS"/>
                        <w:color w:val="231F20"/>
                        <w:w w:val="105"/>
                        <w:sz w:val="20"/>
                      </w:rPr>
                      <w:t>access</w:t>
                    </w:r>
                    <w:r>
                      <w:rPr>
                        <w:rFonts w:ascii="Trebuchet MS"/>
                        <w:color w:val="231F20"/>
                        <w:spacing w:val="-22"/>
                        <w:w w:val="105"/>
                        <w:sz w:val="20"/>
                      </w:rPr>
                      <w:t xml:space="preserve"> </w:t>
                    </w:r>
                    <w:r>
                      <w:rPr>
                        <w:rFonts w:ascii="Trebuchet MS"/>
                        <w:color w:val="231F20"/>
                        <w:w w:val="105"/>
                        <w:sz w:val="20"/>
                      </w:rPr>
                      <w:t>to</w:t>
                    </w:r>
                    <w:r>
                      <w:rPr>
                        <w:rFonts w:ascii="Trebuchet MS"/>
                        <w:color w:val="231F20"/>
                        <w:spacing w:val="-22"/>
                        <w:w w:val="105"/>
                        <w:sz w:val="20"/>
                      </w:rPr>
                      <w:t xml:space="preserve"> </w:t>
                    </w:r>
                    <w:r>
                      <w:rPr>
                        <w:rFonts w:ascii="Trebuchet MS"/>
                        <w:color w:val="231F20"/>
                        <w:w w:val="105"/>
                        <w:sz w:val="20"/>
                      </w:rPr>
                      <w:t>and</w:t>
                    </w:r>
                    <w:r>
                      <w:rPr>
                        <w:rFonts w:ascii="Trebuchet MS"/>
                        <w:color w:val="231F20"/>
                        <w:spacing w:val="-22"/>
                        <w:w w:val="105"/>
                        <w:sz w:val="20"/>
                      </w:rPr>
                      <w:t xml:space="preserve"> </w:t>
                    </w:r>
                    <w:r>
                      <w:rPr>
                        <w:rFonts w:ascii="Trebuchet MS"/>
                        <w:color w:val="231F20"/>
                        <w:w w:val="105"/>
                        <w:sz w:val="20"/>
                      </w:rPr>
                      <w:t>availability</w:t>
                    </w:r>
                    <w:r>
                      <w:rPr>
                        <w:rFonts w:ascii="Trebuchet MS"/>
                        <w:color w:val="231F20"/>
                        <w:spacing w:val="-22"/>
                        <w:w w:val="105"/>
                        <w:sz w:val="20"/>
                      </w:rPr>
                      <w:t xml:space="preserve"> </w:t>
                    </w:r>
                    <w:r>
                      <w:rPr>
                        <w:rFonts w:ascii="Trebuchet MS"/>
                        <w:color w:val="231F20"/>
                        <w:w w:val="105"/>
                        <w:sz w:val="20"/>
                      </w:rPr>
                      <w:t>of</w:t>
                    </w:r>
                    <w:r>
                      <w:rPr>
                        <w:rFonts w:ascii="Trebuchet MS"/>
                        <w:color w:val="231F20"/>
                        <w:spacing w:val="-22"/>
                        <w:w w:val="105"/>
                        <w:sz w:val="20"/>
                      </w:rPr>
                      <w:t xml:space="preserve"> </w:t>
                    </w:r>
                    <w:r>
                      <w:rPr>
                        <w:rFonts w:ascii="Trebuchet MS"/>
                        <w:color w:val="231F20"/>
                        <w:w w:val="105"/>
                        <w:sz w:val="20"/>
                      </w:rPr>
                      <w:t>prison-based</w:t>
                    </w:r>
                    <w:r>
                      <w:rPr>
                        <w:rFonts w:ascii="Trebuchet MS"/>
                        <w:color w:val="231F20"/>
                        <w:spacing w:val="-22"/>
                        <w:w w:val="105"/>
                        <w:sz w:val="20"/>
                      </w:rPr>
                      <w:t xml:space="preserve"> </w:t>
                    </w:r>
                    <w:r>
                      <w:rPr>
                        <w:rFonts w:ascii="Trebuchet MS"/>
                        <w:color w:val="231F20"/>
                        <w:w w:val="105"/>
                        <w:sz w:val="20"/>
                      </w:rPr>
                      <w:t>rehabilitation</w:t>
                    </w:r>
                    <w:r>
                      <w:rPr>
                        <w:rFonts w:ascii="Trebuchet MS"/>
                        <w:color w:val="231F20"/>
                        <w:spacing w:val="-22"/>
                        <w:w w:val="105"/>
                        <w:sz w:val="20"/>
                      </w:rPr>
                      <w:t xml:space="preserve"> </w:t>
                    </w:r>
                    <w:r>
                      <w:rPr>
                        <w:rFonts w:ascii="Trebuchet MS"/>
                        <w:color w:val="231F20"/>
                        <w:w w:val="105"/>
                        <w:sz w:val="20"/>
                      </w:rPr>
                      <w:t xml:space="preserve">and </w:t>
                    </w:r>
                    <w:r>
                      <w:rPr>
                        <w:rFonts w:ascii="Trebuchet MS"/>
                        <w:color w:val="231F20"/>
                        <w:spacing w:val="-3"/>
                        <w:w w:val="105"/>
                        <w:sz w:val="20"/>
                      </w:rPr>
                      <w:t>reintegration</w:t>
                    </w:r>
                    <w:r>
                      <w:rPr>
                        <w:rFonts w:ascii="Trebuchet MS"/>
                        <w:color w:val="231F20"/>
                        <w:spacing w:val="-17"/>
                        <w:w w:val="105"/>
                        <w:sz w:val="20"/>
                      </w:rPr>
                      <w:t xml:space="preserve"> </w:t>
                    </w:r>
                    <w:r>
                      <w:rPr>
                        <w:rFonts w:ascii="Trebuchet MS"/>
                        <w:color w:val="231F20"/>
                        <w:w w:val="105"/>
                        <w:sz w:val="20"/>
                      </w:rPr>
                      <w:t>programs</w:t>
                    </w:r>
                  </w:p>
                  <w:p w14:paraId="198B53A8" w14:textId="77777777" w:rsidR="00894070" w:rsidRDefault="009B7AFD">
                    <w:pPr>
                      <w:numPr>
                        <w:ilvl w:val="0"/>
                        <w:numId w:val="23"/>
                      </w:numPr>
                      <w:tabs>
                        <w:tab w:val="left" w:pos="553"/>
                        <w:tab w:val="left" w:pos="554"/>
                      </w:tabs>
                      <w:spacing w:before="86" w:line="247" w:lineRule="auto"/>
                      <w:ind w:right="325" w:hanging="553"/>
                      <w:rPr>
                        <w:rFonts w:ascii="Trebuchet MS"/>
                        <w:sz w:val="20"/>
                      </w:rPr>
                    </w:pPr>
                    <w:r>
                      <w:rPr>
                        <w:rFonts w:ascii="Trebuchet MS"/>
                        <w:color w:val="231F20"/>
                        <w:w w:val="105"/>
                        <w:sz w:val="20"/>
                      </w:rPr>
                      <w:t>strengthening</w:t>
                    </w:r>
                    <w:r>
                      <w:rPr>
                        <w:rFonts w:ascii="Trebuchet MS"/>
                        <w:color w:val="231F20"/>
                        <w:spacing w:val="-13"/>
                        <w:w w:val="105"/>
                        <w:sz w:val="20"/>
                      </w:rPr>
                      <w:t xml:space="preserve"> </w:t>
                    </w:r>
                    <w:r>
                      <w:rPr>
                        <w:rFonts w:ascii="Trebuchet MS"/>
                        <w:color w:val="231F20"/>
                        <w:w w:val="105"/>
                        <w:sz w:val="20"/>
                      </w:rPr>
                      <w:t>assessment</w:t>
                    </w:r>
                    <w:r>
                      <w:rPr>
                        <w:rFonts w:ascii="Trebuchet MS"/>
                        <w:color w:val="231F20"/>
                        <w:spacing w:val="-13"/>
                        <w:w w:val="105"/>
                        <w:sz w:val="20"/>
                      </w:rPr>
                      <w:t xml:space="preserve"> </w:t>
                    </w:r>
                    <w:r>
                      <w:rPr>
                        <w:rFonts w:ascii="Trebuchet MS"/>
                        <w:color w:val="231F20"/>
                        <w:w w:val="105"/>
                        <w:sz w:val="20"/>
                      </w:rPr>
                      <w:t>and</w:t>
                    </w:r>
                    <w:r>
                      <w:rPr>
                        <w:rFonts w:ascii="Trebuchet MS"/>
                        <w:color w:val="231F20"/>
                        <w:spacing w:val="-13"/>
                        <w:w w:val="105"/>
                        <w:sz w:val="20"/>
                      </w:rPr>
                      <w:t xml:space="preserve"> </w:t>
                    </w:r>
                    <w:r>
                      <w:rPr>
                        <w:rFonts w:ascii="Trebuchet MS"/>
                        <w:color w:val="231F20"/>
                        <w:spacing w:val="-3"/>
                        <w:w w:val="105"/>
                        <w:sz w:val="20"/>
                      </w:rPr>
                      <w:t>referral</w:t>
                    </w:r>
                    <w:r>
                      <w:rPr>
                        <w:rFonts w:ascii="Trebuchet MS"/>
                        <w:color w:val="231F20"/>
                        <w:spacing w:val="-13"/>
                        <w:w w:val="105"/>
                        <w:sz w:val="20"/>
                      </w:rPr>
                      <w:t xml:space="preserve"> </w:t>
                    </w:r>
                    <w:r>
                      <w:rPr>
                        <w:rFonts w:ascii="Trebuchet MS"/>
                        <w:color w:val="231F20"/>
                        <w:spacing w:val="-4"/>
                        <w:w w:val="105"/>
                        <w:sz w:val="20"/>
                      </w:rPr>
                      <w:t>pathways</w:t>
                    </w:r>
                    <w:r>
                      <w:rPr>
                        <w:rFonts w:ascii="Trebuchet MS"/>
                        <w:color w:val="231F20"/>
                        <w:spacing w:val="-13"/>
                        <w:w w:val="105"/>
                        <w:sz w:val="20"/>
                      </w:rPr>
                      <w:t xml:space="preserve"> </w:t>
                    </w:r>
                    <w:r>
                      <w:rPr>
                        <w:rFonts w:ascii="Trebuchet MS"/>
                        <w:color w:val="231F20"/>
                        <w:w w:val="105"/>
                        <w:sz w:val="20"/>
                      </w:rPr>
                      <w:t>from</w:t>
                    </w:r>
                    <w:r>
                      <w:rPr>
                        <w:rFonts w:ascii="Trebuchet MS"/>
                        <w:color w:val="231F20"/>
                        <w:spacing w:val="-13"/>
                        <w:w w:val="105"/>
                        <w:sz w:val="20"/>
                      </w:rPr>
                      <w:t xml:space="preserve"> </w:t>
                    </w:r>
                    <w:r>
                      <w:rPr>
                        <w:rFonts w:ascii="Trebuchet MS"/>
                        <w:color w:val="231F20"/>
                        <w:w w:val="105"/>
                        <w:sz w:val="20"/>
                      </w:rPr>
                      <w:t>police,</w:t>
                    </w:r>
                    <w:r>
                      <w:rPr>
                        <w:rFonts w:ascii="Trebuchet MS"/>
                        <w:color w:val="231F20"/>
                        <w:spacing w:val="-13"/>
                        <w:w w:val="105"/>
                        <w:sz w:val="20"/>
                      </w:rPr>
                      <w:t xml:space="preserve"> </w:t>
                    </w:r>
                    <w:r>
                      <w:rPr>
                        <w:rFonts w:ascii="Trebuchet MS"/>
                        <w:color w:val="231F20"/>
                        <w:w w:val="105"/>
                        <w:sz w:val="20"/>
                      </w:rPr>
                      <w:t>lawyers</w:t>
                    </w:r>
                    <w:r>
                      <w:rPr>
                        <w:rFonts w:ascii="Trebuchet MS"/>
                        <w:color w:val="231F20"/>
                        <w:spacing w:val="-12"/>
                        <w:w w:val="105"/>
                        <w:sz w:val="20"/>
                      </w:rPr>
                      <w:t xml:space="preserve"> </w:t>
                    </w:r>
                    <w:r>
                      <w:rPr>
                        <w:rFonts w:ascii="Trebuchet MS"/>
                        <w:color w:val="231F20"/>
                        <w:w w:val="105"/>
                        <w:sz w:val="20"/>
                      </w:rPr>
                      <w:t xml:space="preserve">and </w:t>
                    </w:r>
                    <w:r>
                      <w:rPr>
                        <w:rFonts w:ascii="Trebuchet MS"/>
                        <w:color w:val="231F20"/>
                        <w:spacing w:val="-3"/>
                        <w:w w:val="111"/>
                        <w:sz w:val="20"/>
                      </w:rPr>
                      <w:t>c</w:t>
                    </w:r>
                    <w:r>
                      <w:rPr>
                        <w:rFonts w:ascii="Trebuchet MS"/>
                        <w:color w:val="231F20"/>
                        <w:spacing w:val="-1"/>
                        <w:w w:val="106"/>
                        <w:sz w:val="20"/>
                      </w:rPr>
                      <w:t>ou</w:t>
                    </w:r>
                    <w:r>
                      <w:rPr>
                        <w:rFonts w:ascii="Trebuchet MS"/>
                        <w:color w:val="231F20"/>
                        <w:spacing w:val="2"/>
                        <w:w w:val="106"/>
                        <w:sz w:val="20"/>
                      </w:rPr>
                      <w:t>r</w:t>
                    </w:r>
                    <w:r>
                      <w:rPr>
                        <w:rFonts w:ascii="Trebuchet MS"/>
                        <w:color w:val="231F20"/>
                        <w:spacing w:val="2"/>
                        <w:w w:val="88"/>
                        <w:sz w:val="20"/>
                      </w:rPr>
                      <w:t>t</w:t>
                    </w:r>
                    <w:r>
                      <w:rPr>
                        <w:rFonts w:ascii="Trebuchet MS"/>
                        <w:color w:val="231F20"/>
                        <w:spacing w:val="1"/>
                        <w:w w:val="122"/>
                        <w:sz w:val="20"/>
                      </w:rPr>
                      <w:t>s</w:t>
                    </w:r>
                    <w:r>
                      <w:rPr>
                        <w:rFonts w:ascii="Trebuchet MS"/>
                        <w:color w:val="231F20"/>
                        <w:w w:val="55"/>
                        <w:sz w:val="20"/>
                      </w:rPr>
                      <w:t>.</w:t>
                    </w:r>
                  </w:p>
                </w:txbxContent>
              </v:textbox>
            </v:shape>
            <v:shape id="_x0000_s1073" type="#_x0000_t202" style="position:absolute;left:1133;top:1033;width:7431;height:715" filled="f" stroked="f">
              <v:textbox inset="0,0,0,0">
                <w:txbxContent>
                  <w:p w14:paraId="6E18C00B" w14:textId="77777777" w:rsidR="00894070" w:rsidRDefault="009B7AFD">
                    <w:pPr>
                      <w:spacing w:line="247" w:lineRule="auto"/>
                      <w:rPr>
                        <w:rFonts w:ascii="Trebuchet MS"/>
                        <w:sz w:val="20"/>
                      </w:rPr>
                    </w:pPr>
                    <w:r>
                      <w:rPr>
                        <w:rFonts w:ascii="Trebuchet MS"/>
                        <w:color w:val="231F20"/>
                        <w:w w:val="105"/>
                        <w:sz w:val="20"/>
                      </w:rPr>
                      <w:t>The</w:t>
                    </w:r>
                    <w:r>
                      <w:rPr>
                        <w:rFonts w:ascii="Trebuchet MS"/>
                        <w:color w:val="231F20"/>
                        <w:spacing w:val="-9"/>
                        <w:w w:val="105"/>
                        <w:sz w:val="20"/>
                      </w:rPr>
                      <w:t xml:space="preserve"> </w:t>
                    </w:r>
                    <w:r>
                      <w:rPr>
                        <w:rFonts w:ascii="Trebuchet MS"/>
                        <w:color w:val="231F20"/>
                        <w:w w:val="105"/>
                        <w:sz w:val="20"/>
                      </w:rPr>
                      <w:t>Victorian</w:t>
                    </w:r>
                    <w:r>
                      <w:rPr>
                        <w:rFonts w:ascii="Trebuchet MS"/>
                        <w:color w:val="231F20"/>
                        <w:spacing w:val="-9"/>
                        <w:w w:val="105"/>
                        <w:sz w:val="20"/>
                      </w:rPr>
                      <w:t xml:space="preserve"> </w:t>
                    </w:r>
                    <w:r>
                      <w:rPr>
                        <w:rFonts w:ascii="Trebuchet MS"/>
                        <w:color w:val="231F20"/>
                        <w:spacing w:val="-3"/>
                        <w:w w:val="105"/>
                        <w:sz w:val="20"/>
                      </w:rPr>
                      <w:t>Government</w:t>
                    </w:r>
                    <w:r>
                      <w:rPr>
                        <w:rFonts w:ascii="Trebuchet MS"/>
                        <w:color w:val="231F20"/>
                        <w:spacing w:val="-9"/>
                        <w:w w:val="105"/>
                        <w:sz w:val="20"/>
                      </w:rPr>
                      <w:t xml:space="preserve"> </w:t>
                    </w:r>
                    <w:r>
                      <w:rPr>
                        <w:rFonts w:ascii="Trebuchet MS"/>
                        <w:color w:val="231F20"/>
                        <w:w w:val="105"/>
                        <w:sz w:val="20"/>
                      </w:rPr>
                      <w:t>should</w:t>
                    </w:r>
                    <w:r>
                      <w:rPr>
                        <w:rFonts w:ascii="Trebuchet MS"/>
                        <w:color w:val="231F20"/>
                        <w:spacing w:val="-8"/>
                        <w:w w:val="105"/>
                        <w:sz w:val="20"/>
                      </w:rPr>
                      <w:t xml:space="preserve"> </w:t>
                    </w:r>
                    <w:r>
                      <w:rPr>
                        <w:rFonts w:ascii="Trebuchet MS"/>
                        <w:color w:val="231F20"/>
                        <w:spacing w:val="-3"/>
                        <w:w w:val="105"/>
                        <w:sz w:val="20"/>
                      </w:rPr>
                      <w:t>develop</w:t>
                    </w:r>
                    <w:r>
                      <w:rPr>
                        <w:rFonts w:ascii="Trebuchet MS"/>
                        <w:color w:val="231F20"/>
                        <w:spacing w:val="-9"/>
                        <w:w w:val="105"/>
                        <w:sz w:val="20"/>
                      </w:rPr>
                      <w:t xml:space="preserve"> </w:t>
                    </w:r>
                    <w:r>
                      <w:rPr>
                        <w:rFonts w:ascii="Trebuchet MS"/>
                        <w:color w:val="231F20"/>
                        <w:w w:val="105"/>
                        <w:sz w:val="20"/>
                      </w:rPr>
                      <w:t>a</w:t>
                    </w:r>
                    <w:r>
                      <w:rPr>
                        <w:rFonts w:ascii="Trebuchet MS"/>
                        <w:color w:val="231F20"/>
                        <w:spacing w:val="-9"/>
                        <w:w w:val="105"/>
                        <w:sz w:val="20"/>
                      </w:rPr>
                      <w:t xml:space="preserve"> </w:t>
                    </w:r>
                    <w:r>
                      <w:rPr>
                        <w:rFonts w:ascii="Trebuchet MS"/>
                        <w:color w:val="231F20"/>
                        <w:w w:val="105"/>
                        <w:sz w:val="20"/>
                      </w:rPr>
                      <w:t>coordinated</w:t>
                    </w:r>
                    <w:r>
                      <w:rPr>
                        <w:rFonts w:ascii="Trebuchet MS"/>
                        <w:color w:val="231F20"/>
                        <w:spacing w:val="-9"/>
                        <w:w w:val="105"/>
                        <w:sz w:val="20"/>
                      </w:rPr>
                      <w:t xml:space="preserve"> </w:t>
                    </w:r>
                    <w:r>
                      <w:rPr>
                        <w:rFonts w:ascii="Trebuchet MS"/>
                        <w:color w:val="231F20"/>
                        <w:w w:val="105"/>
                        <w:sz w:val="20"/>
                      </w:rPr>
                      <w:t>response</w:t>
                    </w:r>
                    <w:r>
                      <w:rPr>
                        <w:rFonts w:ascii="Trebuchet MS"/>
                        <w:color w:val="231F20"/>
                        <w:spacing w:val="-8"/>
                        <w:w w:val="105"/>
                        <w:sz w:val="20"/>
                      </w:rPr>
                      <w:t xml:space="preserve"> </w:t>
                    </w:r>
                    <w:r>
                      <w:rPr>
                        <w:rFonts w:ascii="Trebuchet MS"/>
                        <w:color w:val="231F20"/>
                        <w:w w:val="105"/>
                        <w:sz w:val="20"/>
                      </w:rPr>
                      <w:t>to</w:t>
                    </w:r>
                    <w:r>
                      <w:rPr>
                        <w:rFonts w:ascii="Trebuchet MS"/>
                        <w:color w:val="231F20"/>
                        <w:spacing w:val="-9"/>
                        <w:w w:val="105"/>
                        <w:sz w:val="20"/>
                      </w:rPr>
                      <w:t xml:space="preserve"> </w:t>
                    </w:r>
                    <w:r>
                      <w:rPr>
                        <w:rFonts w:ascii="Trebuchet MS"/>
                        <w:color w:val="231F20"/>
                        <w:spacing w:val="-3"/>
                        <w:w w:val="105"/>
                        <w:sz w:val="20"/>
                      </w:rPr>
                      <w:t xml:space="preserve">non-family </w:t>
                    </w:r>
                    <w:r>
                      <w:rPr>
                        <w:rFonts w:ascii="Trebuchet MS"/>
                        <w:color w:val="231F20"/>
                        <w:w w:val="105"/>
                        <w:sz w:val="20"/>
                      </w:rPr>
                      <w:t xml:space="preserve">violence stalking to deliver accessible and </w:t>
                    </w:r>
                    <w:r>
                      <w:rPr>
                        <w:rFonts w:ascii="Trebuchet MS"/>
                        <w:color w:val="231F20"/>
                        <w:spacing w:val="-3"/>
                        <w:w w:val="105"/>
                        <w:sz w:val="20"/>
                      </w:rPr>
                      <w:t xml:space="preserve">effective treatment </w:t>
                    </w:r>
                    <w:r>
                      <w:rPr>
                        <w:rFonts w:ascii="Trebuchet MS"/>
                        <w:color w:val="231F20"/>
                        <w:w w:val="105"/>
                        <w:sz w:val="20"/>
                      </w:rPr>
                      <w:t xml:space="preserve">and support </w:t>
                    </w:r>
                    <w:r>
                      <w:rPr>
                        <w:rFonts w:ascii="Trebuchet MS"/>
                        <w:color w:val="231F20"/>
                        <w:spacing w:val="-1"/>
                        <w:w w:val="111"/>
                        <w:sz w:val="20"/>
                      </w:rPr>
                      <w:t>p</w:t>
                    </w:r>
                    <w:r>
                      <w:rPr>
                        <w:rFonts w:ascii="Trebuchet MS"/>
                        <w:color w:val="231F20"/>
                        <w:spacing w:val="-4"/>
                        <w:w w:val="93"/>
                        <w:sz w:val="20"/>
                      </w:rPr>
                      <w:t>r</w:t>
                    </w:r>
                    <w:r>
                      <w:rPr>
                        <w:rFonts w:ascii="Trebuchet MS"/>
                        <w:color w:val="231F20"/>
                        <w:spacing w:val="-1"/>
                        <w:w w:val="111"/>
                        <w:sz w:val="20"/>
                      </w:rPr>
                      <w:t>o</w:t>
                    </w:r>
                    <w:r>
                      <w:rPr>
                        <w:rFonts w:ascii="Trebuchet MS"/>
                        <w:color w:val="231F20"/>
                        <w:spacing w:val="-2"/>
                        <w:w w:val="124"/>
                        <w:sz w:val="20"/>
                      </w:rPr>
                      <w:t>g</w:t>
                    </w:r>
                    <w:r>
                      <w:rPr>
                        <w:rFonts w:ascii="Trebuchet MS"/>
                        <w:color w:val="231F20"/>
                        <w:spacing w:val="-2"/>
                        <w:w w:val="93"/>
                        <w:sz w:val="20"/>
                      </w:rPr>
                      <w:t>r</w:t>
                    </w:r>
                    <w:r>
                      <w:rPr>
                        <w:rFonts w:ascii="Trebuchet MS"/>
                        <w:color w:val="231F20"/>
                        <w:spacing w:val="-2"/>
                        <w:w w:val="105"/>
                        <w:sz w:val="20"/>
                      </w:rPr>
                      <w:t>a</w:t>
                    </w:r>
                    <w:r>
                      <w:rPr>
                        <w:rFonts w:ascii="Trebuchet MS"/>
                        <w:color w:val="231F20"/>
                        <w:spacing w:val="-2"/>
                        <w:w w:val="111"/>
                        <w:sz w:val="20"/>
                      </w:rPr>
                      <w:t>m</w:t>
                    </w:r>
                    <w:r>
                      <w:rPr>
                        <w:rFonts w:ascii="Trebuchet MS"/>
                        <w:color w:val="231F20"/>
                        <w:w w:val="122"/>
                        <w:sz w:val="20"/>
                      </w:rPr>
                      <w:t>s</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11"/>
                        <w:sz w:val="20"/>
                      </w:rPr>
                      <w:t>p</w:t>
                    </w:r>
                    <w:r>
                      <w:rPr>
                        <w:rFonts w:ascii="Trebuchet MS"/>
                        <w:color w:val="231F20"/>
                        <w:w w:val="108"/>
                        <w:sz w:val="20"/>
                      </w:rPr>
                      <w:t>e</w:t>
                    </w:r>
                    <w:r>
                      <w:rPr>
                        <w:rFonts w:ascii="Trebuchet MS"/>
                        <w:color w:val="231F20"/>
                        <w:spacing w:val="-1"/>
                        <w:w w:val="111"/>
                        <w:sz w:val="20"/>
                      </w:rPr>
                      <w:t>o</w:t>
                    </w:r>
                    <w:r>
                      <w:rPr>
                        <w:rFonts w:ascii="Trebuchet MS"/>
                        <w:color w:val="231F20"/>
                        <w:spacing w:val="-2"/>
                        <w:w w:val="111"/>
                        <w:sz w:val="20"/>
                      </w:rPr>
                      <w:t>p</w:t>
                    </w:r>
                    <w:r>
                      <w:rPr>
                        <w:rFonts w:ascii="Trebuchet MS"/>
                        <w:color w:val="231F20"/>
                        <w:spacing w:val="-3"/>
                        <w:w w:val="96"/>
                        <w:sz w:val="20"/>
                      </w:rPr>
                      <w:t>l</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10"/>
                        <w:sz w:val="20"/>
                      </w:rPr>
                      <w:t>w</w:t>
                    </w:r>
                    <w:r>
                      <w:rPr>
                        <w:rFonts w:ascii="Trebuchet MS"/>
                        <w:color w:val="231F20"/>
                        <w:spacing w:val="-1"/>
                        <w:w w:val="107"/>
                        <w:sz w:val="20"/>
                      </w:rPr>
                      <w:t>h</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w w:val="55"/>
                        <w:sz w:val="20"/>
                      </w:rPr>
                      <w:t>.</w:t>
                    </w:r>
                    <w:r>
                      <w:rPr>
                        <w:rFonts w:ascii="Trebuchet MS"/>
                        <w:color w:val="231F20"/>
                        <w:spacing w:val="-14"/>
                        <w:sz w:val="20"/>
                      </w:rPr>
                      <w:t xml:space="preserve"> </w:t>
                    </w:r>
                    <w:r>
                      <w:rPr>
                        <w:rFonts w:ascii="Trebuchet MS"/>
                        <w:color w:val="231F20"/>
                        <w:spacing w:val="-2"/>
                        <w:w w:val="105"/>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3"/>
                        <w:w w:val="111"/>
                        <w:sz w:val="20"/>
                      </w:rPr>
                      <w:t>c</w:t>
                    </w:r>
                    <w:r>
                      <w:rPr>
                        <w:rFonts w:ascii="Trebuchet MS"/>
                        <w:color w:val="231F20"/>
                        <w:spacing w:val="-1"/>
                        <w:w w:val="111"/>
                        <w:sz w:val="20"/>
                      </w:rPr>
                      <w:t>oo</w:t>
                    </w:r>
                    <w:r>
                      <w:rPr>
                        <w:rFonts w:ascii="Trebuchet MS"/>
                        <w:color w:val="231F20"/>
                        <w:spacing w:val="-4"/>
                        <w:w w:val="93"/>
                        <w:sz w:val="20"/>
                      </w:rPr>
                      <w:t>r</w:t>
                    </w:r>
                    <w:r>
                      <w:rPr>
                        <w:rFonts w:ascii="Trebuchet MS"/>
                        <w:color w:val="231F20"/>
                        <w:spacing w:val="-1"/>
                        <w:w w:val="112"/>
                        <w:sz w:val="20"/>
                      </w:rPr>
                      <w:t>d</w:t>
                    </w:r>
                    <w:r>
                      <w:rPr>
                        <w:rFonts w:ascii="Trebuchet MS"/>
                        <w:color w:val="231F20"/>
                        <w:spacing w:val="-2"/>
                        <w:w w:val="80"/>
                        <w:sz w:val="20"/>
                      </w:rPr>
                      <w:t>i</w:t>
                    </w:r>
                    <w:r>
                      <w:rPr>
                        <w:rFonts w:ascii="Trebuchet MS"/>
                        <w:color w:val="231F20"/>
                        <w:spacing w:val="-1"/>
                        <w:w w:val="107"/>
                        <w:sz w:val="20"/>
                      </w:rPr>
                      <w:t>n</w:t>
                    </w:r>
                    <w:r>
                      <w:rPr>
                        <w:rFonts w:ascii="Trebuchet MS"/>
                        <w:color w:val="231F20"/>
                        <w:spacing w:val="-4"/>
                        <w:w w:val="105"/>
                        <w:sz w:val="20"/>
                      </w:rPr>
                      <w:t>a</w:t>
                    </w:r>
                    <w:r>
                      <w:rPr>
                        <w:rFonts w:ascii="Trebuchet MS"/>
                        <w:color w:val="231F20"/>
                        <w:spacing w:val="-4"/>
                        <w:w w:val="88"/>
                        <w:sz w:val="20"/>
                      </w:rPr>
                      <w:t>t</w:t>
                    </w:r>
                    <w:r>
                      <w:rPr>
                        <w:rFonts w:ascii="Trebuchet MS"/>
                        <w:color w:val="231F20"/>
                        <w:w w:val="108"/>
                        <w:sz w:val="20"/>
                      </w:rPr>
                      <w:t>e</w:t>
                    </w:r>
                    <w:r>
                      <w:rPr>
                        <w:rFonts w:ascii="Trebuchet MS"/>
                        <w:color w:val="231F20"/>
                        <w:w w:val="112"/>
                        <w:sz w:val="20"/>
                      </w:rPr>
                      <w:t>d</w:t>
                    </w:r>
                    <w:r>
                      <w:rPr>
                        <w:rFonts w:ascii="Trebuchet MS"/>
                        <w:color w:val="231F20"/>
                        <w:spacing w:val="-14"/>
                        <w:sz w:val="20"/>
                      </w:rPr>
                      <w:t xml:space="preserve"> </w:t>
                    </w:r>
                    <w:r>
                      <w:rPr>
                        <w:rFonts w:ascii="Trebuchet MS"/>
                        <w:color w:val="231F20"/>
                        <w:spacing w:val="-4"/>
                        <w:w w:val="93"/>
                        <w:sz w:val="20"/>
                      </w:rPr>
                      <w:t>r</w:t>
                    </w:r>
                    <w:r>
                      <w:rPr>
                        <w:rFonts w:ascii="Trebuchet MS"/>
                        <w:color w:val="231F20"/>
                        <w:spacing w:val="-2"/>
                        <w:w w:val="108"/>
                        <w:sz w:val="20"/>
                      </w:rPr>
                      <w:t>e</w:t>
                    </w:r>
                    <w:r>
                      <w:rPr>
                        <w:rFonts w:ascii="Trebuchet MS"/>
                        <w:color w:val="231F20"/>
                        <w:spacing w:val="-2"/>
                        <w:w w:val="122"/>
                        <w:sz w:val="20"/>
                      </w:rPr>
                      <w:t>s</w:t>
                    </w:r>
                    <w:r>
                      <w:rPr>
                        <w:rFonts w:ascii="Trebuchet MS"/>
                        <w:color w:val="231F20"/>
                        <w:spacing w:val="-1"/>
                        <w:w w:val="111"/>
                        <w:sz w:val="20"/>
                      </w:rPr>
                      <w:t>po</w:t>
                    </w:r>
                    <w:r>
                      <w:rPr>
                        <w:rFonts w:ascii="Trebuchet MS"/>
                        <w:color w:val="231F20"/>
                        <w:spacing w:val="-2"/>
                        <w:w w:val="107"/>
                        <w:sz w:val="20"/>
                      </w:rPr>
                      <w:t>n</w:t>
                    </w:r>
                    <w:r>
                      <w:rPr>
                        <w:rFonts w:ascii="Trebuchet MS"/>
                        <w:color w:val="231F20"/>
                        <w:spacing w:val="-1"/>
                        <w:w w:val="122"/>
                        <w:sz w:val="20"/>
                      </w:rPr>
                      <w:t>s</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1"/>
                        <w:w w:val="107"/>
                        <w:sz w:val="20"/>
                      </w:rPr>
                      <w:t>h</w:t>
                    </w:r>
                    <w:r>
                      <w:rPr>
                        <w:rFonts w:ascii="Trebuchet MS"/>
                        <w:color w:val="231F20"/>
                        <w:spacing w:val="-1"/>
                        <w:w w:val="111"/>
                        <w:sz w:val="20"/>
                      </w:rPr>
                      <w:t>o</w:t>
                    </w:r>
                    <w:r>
                      <w:rPr>
                        <w:rFonts w:ascii="Trebuchet MS"/>
                        <w:color w:val="231F20"/>
                        <w:spacing w:val="-2"/>
                        <w:w w:val="109"/>
                        <w:sz w:val="20"/>
                      </w:rPr>
                      <w:t>u</w:t>
                    </w:r>
                    <w:r>
                      <w:rPr>
                        <w:rFonts w:ascii="Trebuchet MS"/>
                        <w:color w:val="231F20"/>
                        <w:spacing w:val="-3"/>
                        <w:w w:val="96"/>
                        <w:sz w:val="20"/>
                      </w:rPr>
                      <w:t>l</w:t>
                    </w:r>
                    <w:r>
                      <w:rPr>
                        <w:rFonts w:ascii="Trebuchet MS"/>
                        <w:color w:val="231F20"/>
                        <w:w w:val="112"/>
                        <w:sz w:val="20"/>
                      </w:rPr>
                      <w:t>d</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6"/>
                        <w:w w:val="107"/>
                        <w:sz w:val="20"/>
                      </w:rPr>
                      <w:t>n</w:t>
                    </w:r>
                    <w:r>
                      <w:rPr>
                        <w:rFonts w:ascii="Trebuchet MS"/>
                        <w:color w:val="231F20"/>
                        <w:spacing w:val="-6"/>
                        <w:w w:val="109"/>
                        <w:sz w:val="20"/>
                      </w:rPr>
                      <w:t>v</w:t>
                    </w:r>
                    <w:r>
                      <w:rPr>
                        <w:rFonts w:ascii="Trebuchet MS"/>
                        <w:color w:val="231F20"/>
                        <w:spacing w:val="-2"/>
                        <w:w w:val="111"/>
                        <w:sz w:val="20"/>
                      </w:rPr>
                      <w:t>o</w:t>
                    </w:r>
                    <w:r>
                      <w:rPr>
                        <w:rFonts w:ascii="Trebuchet MS"/>
                        <w:color w:val="231F20"/>
                        <w:spacing w:val="-7"/>
                        <w:w w:val="96"/>
                        <w:sz w:val="20"/>
                      </w:rPr>
                      <w:t>l</w:t>
                    </w:r>
                    <w:r>
                      <w:rPr>
                        <w:rFonts w:ascii="Trebuchet MS"/>
                        <w:color w:val="231F20"/>
                        <w:spacing w:val="-6"/>
                        <w:w w:val="109"/>
                        <w:sz w:val="20"/>
                      </w:rPr>
                      <w:t>v</w:t>
                    </w:r>
                    <w:r>
                      <w:rPr>
                        <w:rFonts w:ascii="Trebuchet MS"/>
                        <w:color w:val="231F20"/>
                        <w:spacing w:val="-4"/>
                        <w:w w:val="108"/>
                        <w:sz w:val="20"/>
                      </w:rPr>
                      <w:t>e</w:t>
                    </w:r>
                    <w:r>
                      <w:rPr>
                        <w:rFonts w:ascii="Trebuchet MS"/>
                        <w:color w:val="231F20"/>
                        <w:w w:val="54"/>
                        <w:sz w:val="20"/>
                      </w:rPr>
                      <w:t>:</w:t>
                    </w:r>
                  </w:p>
                </w:txbxContent>
              </v:textbox>
            </v:shape>
            <v:shape id="_x0000_s1072" type="#_x0000_t202" style="position:absolute;left:566;top:1033;width:280;height:235" filled="f" stroked="f">
              <v:textbox inset="0,0,0,0">
                <w:txbxContent>
                  <w:p w14:paraId="11D23485" w14:textId="77777777" w:rsidR="00894070" w:rsidRDefault="009B7AFD">
                    <w:pPr>
                      <w:rPr>
                        <w:rFonts w:ascii="Trebuchet MS"/>
                        <w:sz w:val="20"/>
                      </w:rPr>
                    </w:pPr>
                    <w:r>
                      <w:rPr>
                        <w:rFonts w:ascii="Trebuchet MS"/>
                        <w:color w:val="231F20"/>
                        <w:w w:val="95"/>
                        <w:sz w:val="20"/>
                      </w:rPr>
                      <w:t>43.</w:t>
                    </w:r>
                  </w:p>
                </w:txbxContent>
              </v:textbox>
            </v:shape>
            <v:shape id="_x0000_s1071" type="#_x0000_t202" style="position:absolute;left:566;top:226;width:2759;height:376" filled="f" stroked="f">
              <v:textbox inset="0,0,0,0">
                <w:txbxContent>
                  <w:p w14:paraId="4715BD08" w14:textId="77777777" w:rsidR="00894070" w:rsidRDefault="009B7AFD">
                    <w:pPr>
                      <w:spacing w:line="376" w:lineRule="exact"/>
                      <w:rPr>
                        <w:rFonts w:ascii="Raleway ExtraBold"/>
                        <w:b/>
                        <w:sz w:val="32"/>
                      </w:rPr>
                    </w:pPr>
                    <w:r>
                      <w:rPr>
                        <w:rFonts w:ascii="Raleway ExtraBold"/>
                        <w:b/>
                        <w:color w:val="EA5B50"/>
                        <w:spacing w:val="-3"/>
                        <w:sz w:val="32"/>
                      </w:rPr>
                      <w:t>Recommendation</w:t>
                    </w:r>
                  </w:p>
                </w:txbxContent>
              </v:textbox>
            </v:shape>
            <w10:anchorlock/>
          </v:group>
        </w:pict>
      </w:r>
    </w:p>
    <w:p w14:paraId="3988AE80" w14:textId="77777777" w:rsidR="00894070" w:rsidRDefault="00894070">
      <w:pPr>
        <w:pStyle w:val="BodyText"/>
        <w:spacing w:before="10"/>
        <w:rPr>
          <w:b/>
          <w:sz w:val="29"/>
        </w:rPr>
      </w:pPr>
    </w:p>
    <w:p w14:paraId="4B9B2ED4" w14:textId="77777777" w:rsidR="00894070" w:rsidRDefault="009B7AFD">
      <w:pPr>
        <w:spacing w:before="76" w:line="216" w:lineRule="auto"/>
        <w:ind w:left="1007" w:right="2226"/>
        <w:rPr>
          <w:b/>
          <w:sz w:val="24"/>
        </w:rPr>
      </w:pPr>
      <w:r>
        <w:rPr>
          <w:b/>
          <w:color w:val="231F20"/>
          <w:sz w:val="24"/>
        </w:rPr>
        <w:t>The use of ‘stop conversations’ by Victoria Police as a form of early intervention</w:t>
      </w:r>
    </w:p>
    <w:p w14:paraId="1B605C0D" w14:textId="77777777" w:rsidR="00894070" w:rsidRDefault="009B7AFD">
      <w:pPr>
        <w:pStyle w:val="ListParagraph"/>
        <w:numPr>
          <w:ilvl w:val="1"/>
          <w:numId w:val="29"/>
        </w:numPr>
        <w:tabs>
          <w:tab w:val="left" w:pos="1801"/>
          <w:tab w:val="left" w:pos="1802"/>
        </w:tabs>
        <w:spacing w:before="133" w:line="206" w:lineRule="auto"/>
        <w:ind w:right="1446"/>
        <w:rPr>
          <w:sz w:val="11"/>
        </w:rPr>
      </w:pPr>
      <w:r>
        <w:rPr>
          <w:color w:val="231F20"/>
          <w:spacing w:val="-6"/>
          <w:sz w:val="20"/>
        </w:rPr>
        <w:t xml:space="preserve">We </w:t>
      </w:r>
      <w:r>
        <w:rPr>
          <w:color w:val="231F20"/>
          <w:sz w:val="20"/>
        </w:rPr>
        <w:t xml:space="preserve">heard that ‘stop </w:t>
      </w:r>
      <w:r>
        <w:rPr>
          <w:color w:val="231F20"/>
          <w:spacing w:val="-3"/>
          <w:sz w:val="20"/>
        </w:rPr>
        <w:t xml:space="preserve">conversations’ may </w:t>
      </w:r>
      <w:r>
        <w:rPr>
          <w:color w:val="231F20"/>
          <w:sz w:val="20"/>
        </w:rPr>
        <w:t xml:space="preserve">be a </w:t>
      </w:r>
      <w:r>
        <w:rPr>
          <w:color w:val="231F20"/>
          <w:spacing w:val="-3"/>
          <w:sz w:val="20"/>
        </w:rPr>
        <w:t xml:space="preserve">way </w:t>
      </w:r>
      <w:r>
        <w:rPr>
          <w:color w:val="231F20"/>
          <w:sz w:val="20"/>
        </w:rPr>
        <w:t xml:space="preserve">to intervene </w:t>
      </w:r>
      <w:r>
        <w:rPr>
          <w:color w:val="231F20"/>
          <w:spacing w:val="-3"/>
          <w:sz w:val="20"/>
        </w:rPr>
        <w:t xml:space="preserve">early </w:t>
      </w:r>
      <w:r>
        <w:rPr>
          <w:color w:val="231F20"/>
          <w:sz w:val="20"/>
        </w:rPr>
        <w:t>in stalking situations.</w:t>
      </w:r>
      <w:r>
        <w:rPr>
          <w:color w:val="231F20"/>
          <w:position w:val="7"/>
          <w:sz w:val="11"/>
        </w:rPr>
        <w:t xml:space="preserve">112 </w:t>
      </w:r>
      <w:r>
        <w:rPr>
          <w:color w:val="231F20"/>
          <w:sz w:val="20"/>
        </w:rPr>
        <w:t xml:space="preserve">‘Stop </w:t>
      </w:r>
      <w:r>
        <w:rPr>
          <w:color w:val="231F20"/>
          <w:spacing w:val="-3"/>
          <w:sz w:val="20"/>
        </w:rPr>
        <w:t xml:space="preserve">conversations’ </w:t>
      </w:r>
      <w:r>
        <w:rPr>
          <w:color w:val="231F20"/>
          <w:spacing w:val="-5"/>
          <w:sz w:val="20"/>
        </w:rPr>
        <w:t xml:space="preserve">involve </w:t>
      </w:r>
      <w:r>
        <w:rPr>
          <w:color w:val="231F20"/>
          <w:sz w:val="20"/>
        </w:rPr>
        <w:t xml:space="preserve">police </w:t>
      </w:r>
      <w:r>
        <w:rPr>
          <w:color w:val="231F20"/>
          <w:spacing w:val="-3"/>
          <w:sz w:val="20"/>
        </w:rPr>
        <w:t xml:space="preserve">formally </w:t>
      </w:r>
      <w:r>
        <w:rPr>
          <w:color w:val="231F20"/>
          <w:sz w:val="20"/>
        </w:rPr>
        <w:t>notifying the person stalking that their behaviour could lead to criminal</w:t>
      </w:r>
      <w:r>
        <w:rPr>
          <w:color w:val="231F20"/>
          <w:spacing w:val="-35"/>
          <w:sz w:val="20"/>
        </w:rPr>
        <w:t xml:space="preserve"> </w:t>
      </w:r>
      <w:r>
        <w:rPr>
          <w:color w:val="231F20"/>
          <w:sz w:val="20"/>
        </w:rPr>
        <w:t>charges.</w:t>
      </w:r>
      <w:r>
        <w:rPr>
          <w:color w:val="231F20"/>
          <w:position w:val="7"/>
          <w:sz w:val="11"/>
        </w:rPr>
        <w:t>113</w:t>
      </w:r>
    </w:p>
    <w:p w14:paraId="5AB81AD0" w14:textId="77777777" w:rsidR="00894070" w:rsidRDefault="009B7AFD">
      <w:pPr>
        <w:pStyle w:val="ListParagraph"/>
        <w:numPr>
          <w:ilvl w:val="1"/>
          <w:numId w:val="29"/>
        </w:numPr>
        <w:tabs>
          <w:tab w:val="left" w:pos="1801"/>
          <w:tab w:val="left" w:pos="1802"/>
        </w:tabs>
        <w:spacing w:before="124" w:line="206" w:lineRule="auto"/>
        <w:ind w:right="1165"/>
        <w:rPr>
          <w:sz w:val="11"/>
        </w:rPr>
      </w:pPr>
      <w:r>
        <w:rPr>
          <w:color w:val="231F20"/>
          <w:sz w:val="20"/>
        </w:rPr>
        <w:t xml:space="preserve">Stop </w:t>
      </w:r>
      <w:r>
        <w:rPr>
          <w:color w:val="231F20"/>
          <w:spacing w:val="-3"/>
          <w:sz w:val="20"/>
        </w:rPr>
        <w:t xml:space="preserve">conversations are different </w:t>
      </w:r>
      <w:r>
        <w:rPr>
          <w:color w:val="231F20"/>
          <w:sz w:val="20"/>
        </w:rPr>
        <w:t>to police-issued cautions, which already exist as part of</w:t>
      </w:r>
      <w:r>
        <w:rPr>
          <w:color w:val="231F20"/>
          <w:spacing w:val="-10"/>
          <w:sz w:val="20"/>
        </w:rPr>
        <w:t xml:space="preserve"> </w:t>
      </w:r>
      <w:r>
        <w:rPr>
          <w:color w:val="231F20"/>
          <w:sz w:val="20"/>
        </w:rPr>
        <w:t>the</w:t>
      </w:r>
      <w:r>
        <w:rPr>
          <w:color w:val="231F20"/>
          <w:spacing w:val="-9"/>
          <w:sz w:val="20"/>
        </w:rPr>
        <w:t xml:space="preserve"> </w:t>
      </w:r>
      <w:r>
        <w:rPr>
          <w:color w:val="231F20"/>
          <w:sz w:val="20"/>
        </w:rPr>
        <w:t>operational</w:t>
      </w:r>
      <w:r>
        <w:rPr>
          <w:color w:val="231F20"/>
          <w:spacing w:val="-10"/>
          <w:sz w:val="20"/>
        </w:rPr>
        <w:t xml:space="preserve"> </w:t>
      </w:r>
      <w:r>
        <w:rPr>
          <w:color w:val="231F20"/>
          <w:sz w:val="20"/>
        </w:rPr>
        <w:t>policy</w:t>
      </w:r>
      <w:r>
        <w:rPr>
          <w:color w:val="231F20"/>
          <w:spacing w:val="-9"/>
          <w:sz w:val="20"/>
        </w:rPr>
        <w:t xml:space="preserve"> </w:t>
      </w:r>
      <w:r>
        <w:rPr>
          <w:color w:val="231F20"/>
          <w:sz w:val="20"/>
        </w:rPr>
        <w:t>of</w:t>
      </w:r>
      <w:r>
        <w:rPr>
          <w:color w:val="231F20"/>
          <w:spacing w:val="-9"/>
          <w:sz w:val="20"/>
        </w:rPr>
        <w:t xml:space="preserve"> </w:t>
      </w:r>
      <w:r>
        <w:rPr>
          <w:color w:val="231F20"/>
          <w:sz w:val="20"/>
        </w:rPr>
        <w:t>Victoria</w:t>
      </w:r>
      <w:r>
        <w:rPr>
          <w:color w:val="231F20"/>
          <w:spacing w:val="-10"/>
          <w:sz w:val="20"/>
        </w:rPr>
        <w:t xml:space="preserve"> </w:t>
      </w:r>
      <w:r>
        <w:rPr>
          <w:color w:val="231F20"/>
          <w:sz w:val="20"/>
        </w:rPr>
        <w:t>Police.</w:t>
      </w:r>
      <w:r>
        <w:rPr>
          <w:color w:val="231F20"/>
          <w:spacing w:val="-9"/>
          <w:sz w:val="20"/>
        </w:rPr>
        <w:t xml:space="preserve"> </w:t>
      </w:r>
      <w:r>
        <w:rPr>
          <w:color w:val="231F20"/>
          <w:sz w:val="20"/>
        </w:rPr>
        <w:t>Cautions</w:t>
      </w:r>
      <w:r>
        <w:rPr>
          <w:color w:val="231F20"/>
          <w:spacing w:val="-9"/>
          <w:sz w:val="20"/>
        </w:rPr>
        <w:t xml:space="preserve"> </w:t>
      </w:r>
      <w:r>
        <w:rPr>
          <w:color w:val="231F20"/>
          <w:spacing w:val="-3"/>
          <w:sz w:val="20"/>
        </w:rPr>
        <w:t>are</w:t>
      </w:r>
      <w:r>
        <w:rPr>
          <w:color w:val="231F20"/>
          <w:spacing w:val="-10"/>
          <w:sz w:val="20"/>
        </w:rPr>
        <w:t xml:space="preserve"> </w:t>
      </w:r>
      <w:r>
        <w:rPr>
          <w:color w:val="231F20"/>
          <w:spacing w:val="-3"/>
          <w:sz w:val="20"/>
        </w:rPr>
        <w:t>infrequently</w:t>
      </w:r>
      <w:r>
        <w:rPr>
          <w:color w:val="231F20"/>
          <w:spacing w:val="-9"/>
          <w:sz w:val="20"/>
        </w:rPr>
        <w:t xml:space="preserve"> </w:t>
      </w:r>
      <w:r>
        <w:rPr>
          <w:color w:val="231F20"/>
          <w:sz w:val="20"/>
        </w:rPr>
        <w:t>used</w:t>
      </w:r>
      <w:r>
        <w:rPr>
          <w:color w:val="231F20"/>
          <w:spacing w:val="-9"/>
          <w:sz w:val="20"/>
        </w:rPr>
        <w:t xml:space="preserve"> </w:t>
      </w:r>
      <w:r>
        <w:rPr>
          <w:color w:val="231F20"/>
          <w:sz w:val="20"/>
        </w:rPr>
        <w:t>in</w:t>
      </w:r>
      <w:r>
        <w:rPr>
          <w:color w:val="231F20"/>
          <w:spacing w:val="-10"/>
          <w:sz w:val="20"/>
        </w:rPr>
        <w:t xml:space="preserve"> </w:t>
      </w:r>
      <w:r>
        <w:rPr>
          <w:color w:val="231F20"/>
          <w:sz w:val="20"/>
        </w:rPr>
        <w:t>the</w:t>
      </w:r>
      <w:r>
        <w:rPr>
          <w:color w:val="231F20"/>
          <w:spacing w:val="-9"/>
          <w:sz w:val="20"/>
        </w:rPr>
        <w:t xml:space="preserve"> </w:t>
      </w:r>
      <w:r>
        <w:rPr>
          <w:color w:val="231F20"/>
          <w:spacing w:val="-3"/>
          <w:sz w:val="20"/>
        </w:rPr>
        <w:t xml:space="preserve">context </w:t>
      </w:r>
      <w:r>
        <w:rPr>
          <w:color w:val="231F20"/>
          <w:sz w:val="20"/>
        </w:rPr>
        <w:t>of</w:t>
      </w:r>
      <w:r>
        <w:rPr>
          <w:color w:val="231F20"/>
          <w:spacing w:val="-9"/>
          <w:sz w:val="20"/>
        </w:rPr>
        <w:t xml:space="preserve"> </w:t>
      </w:r>
      <w:r>
        <w:rPr>
          <w:color w:val="231F20"/>
          <w:sz w:val="20"/>
        </w:rPr>
        <w:t>stalking.</w:t>
      </w:r>
      <w:r>
        <w:rPr>
          <w:color w:val="231F20"/>
          <w:spacing w:val="-9"/>
          <w:sz w:val="20"/>
        </w:rPr>
        <w:t xml:space="preserve"> </w:t>
      </w:r>
      <w:r>
        <w:rPr>
          <w:color w:val="231F20"/>
          <w:sz w:val="20"/>
        </w:rPr>
        <w:t>Victoria</w:t>
      </w:r>
      <w:r>
        <w:rPr>
          <w:color w:val="231F20"/>
          <w:spacing w:val="-8"/>
          <w:sz w:val="20"/>
        </w:rPr>
        <w:t xml:space="preserve"> </w:t>
      </w:r>
      <w:r>
        <w:rPr>
          <w:color w:val="231F20"/>
          <w:sz w:val="20"/>
        </w:rPr>
        <w:t>Police</w:t>
      </w:r>
      <w:r>
        <w:rPr>
          <w:color w:val="231F20"/>
          <w:spacing w:val="-9"/>
          <w:sz w:val="20"/>
        </w:rPr>
        <w:t xml:space="preserve"> </w:t>
      </w:r>
      <w:r>
        <w:rPr>
          <w:color w:val="231F20"/>
          <w:spacing w:val="-3"/>
          <w:sz w:val="20"/>
        </w:rPr>
        <w:t>told</w:t>
      </w:r>
      <w:r>
        <w:rPr>
          <w:color w:val="231F20"/>
          <w:spacing w:val="-8"/>
          <w:sz w:val="20"/>
        </w:rPr>
        <w:t xml:space="preserve"> </w:t>
      </w:r>
      <w:r>
        <w:rPr>
          <w:color w:val="231F20"/>
          <w:sz w:val="20"/>
        </w:rPr>
        <w:t>us</w:t>
      </w:r>
      <w:r>
        <w:rPr>
          <w:color w:val="231F20"/>
          <w:spacing w:val="-9"/>
          <w:sz w:val="20"/>
        </w:rPr>
        <w:t xml:space="preserve"> </w:t>
      </w:r>
      <w:r>
        <w:rPr>
          <w:color w:val="231F20"/>
          <w:sz w:val="20"/>
        </w:rPr>
        <w:t>that</w:t>
      </w:r>
      <w:r>
        <w:rPr>
          <w:color w:val="231F20"/>
          <w:spacing w:val="-8"/>
          <w:sz w:val="20"/>
        </w:rPr>
        <w:t xml:space="preserve"> </w:t>
      </w:r>
      <w:r>
        <w:rPr>
          <w:color w:val="231F20"/>
          <w:sz w:val="20"/>
        </w:rPr>
        <w:t>PSIOs</w:t>
      </w:r>
      <w:r>
        <w:rPr>
          <w:color w:val="231F20"/>
          <w:spacing w:val="-9"/>
          <w:sz w:val="20"/>
        </w:rPr>
        <w:t xml:space="preserve"> </w:t>
      </w:r>
      <w:r>
        <w:rPr>
          <w:color w:val="231F20"/>
          <w:spacing w:val="-3"/>
          <w:sz w:val="20"/>
        </w:rPr>
        <w:t>are</w:t>
      </w:r>
      <w:r>
        <w:rPr>
          <w:color w:val="231F20"/>
          <w:spacing w:val="-8"/>
          <w:sz w:val="20"/>
        </w:rPr>
        <w:t xml:space="preserve"> </w:t>
      </w:r>
      <w:r>
        <w:rPr>
          <w:color w:val="231F20"/>
          <w:sz w:val="20"/>
        </w:rPr>
        <w:t>the</w:t>
      </w:r>
      <w:r>
        <w:rPr>
          <w:color w:val="231F20"/>
          <w:spacing w:val="-9"/>
          <w:sz w:val="20"/>
        </w:rPr>
        <w:t xml:space="preserve"> </w:t>
      </w:r>
      <w:r>
        <w:rPr>
          <w:color w:val="231F20"/>
          <w:spacing w:val="-3"/>
          <w:sz w:val="20"/>
        </w:rPr>
        <w:t>appropriate</w:t>
      </w:r>
      <w:r>
        <w:rPr>
          <w:color w:val="231F20"/>
          <w:spacing w:val="-8"/>
          <w:sz w:val="20"/>
        </w:rPr>
        <w:t xml:space="preserve"> </w:t>
      </w:r>
      <w:r>
        <w:rPr>
          <w:color w:val="231F20"/>
          <w:sz w:val="20"/>
        </w:rPr>
        <w:t>police</w:t>
      </w:r>
      <w:r>
        <w:rPr>
          <w:color w:val="231F20"/>
          <w:spacing w:val="-9"/>
          <w:sz w:val="20"/>
        </w:rPr>
        <w:t xml:space="preserve"> </w:t>
      </w:r>
      <w:r>
        <w:rPr>
          <w:color w:val="231F20"/>
          <w:sz w:val="20"/>
        </w:rPr>
        <w:t>response</w:t>
      </w:r>
      <w:r>
        <w:rPr>
          <w:color w:val="231F20"/>
          <w:spacing w:val="-8"/>
          <w:sz w:val="20"/>
        </w:rPr>
        <w:t xml:space="preserve"> </w:t>
      </w:r>
      <w:r>
        <w:rPr>
          <w:color w:val="231F20"/>
          <w:sz w:val="20"/>
        </w:rPr>
        <w:t>where there</w:t>
      </w:r>
      <w:r>
        <w:rPr>
          <w:color w:val="231F20"/>
          <w:spacing w:val="-5"/>
          <w:sz w:val="20"/>
        </w:rPr>
        <w:t xml:space="preserve"> </w:t>
      </w:r>
      <w:r>
        <w:rPr>
          <w:color w:val="231F20"/>
          <w:sz w:val="20"/>
        </w:rPr>
        <w:t>is</w:t>
      </w:r>
      <w:r>
        <w:rPr>
          <w:color w:val="231F20"/>
          <w:spacing w:val="-5"/>
          <w:sz w:val="20"/>
        </w:rPr>
        <w:t xml:space="preserve"> </w:t>
      </w:r>
      <w:r>
        <w:rPr>
          <w:color w:val="231F20"/>
          <w:sz w:val="20"/>
        </w:rPr>
        <w:t>a</w:t>
      </w:r>
      <w:r>
        <w:rPr>
          <w:color w:val="231F20"/>
          <w:spacing w:val="-5"/>
          <w:sz w:val="20"/>
        </w:rPr>
        <w:t xml:space="preserve"> </w:t>
      </w:r>
      <w:r>
        <w:rPr>
          <w:color w:val="231F20"/>
          <w:sz w:val="20"/>
        </w:rPr>
        <w:t>genuine</w:t>
      </w:r>
      <w:r>
        <w:rPr>
          <w:color w:val="231F20"/>
          <w:spacing w:val="-4"/>
          <w:sz w:val="20"/>
        </w:rPr>
        <w:t xml:space="preserve"> </w:t>
      </w:r>
      <w:r>
        <w:rPr>
          <w:color w:val="231F20"/>
          <w:sz w:val="20"/>
        </w:rPr>
        <w:t>and</w:t>
      </w:r>
      <w:r>
        <w:rPr>
          <w:color w:val="231F20"/>
          <w:spacing w:val="-5"/>
          <w:sz w:val="20"/>
        </w:rPr>
        <w:t xml:space="preserve"> </w:t>
      </w:r>
      <w:r>
        <w:rPr>
          <w:color w:val="231F20"/>
          <w:sz w:val="20"/>
        </w:rPr>
        <w:t>immediate</w:t>
      </w:r>
      <w:r>
        <w:rPr>
          <w:color w:val="231F20"/>
          <w:spacing w:val="-5"/>
          <w:sz w:val="20"/>
        </w:rPr>
        <w:t xml:space="preserve"> </w:t>
      </w:r>
      <w:r>
        <w:rPr>
          <w:color w:val="231F20"/>
          <w:sz w:val="20"/>
        </w:rPr>
        <w:t>risk</w:t>
      </w:r>
      <w:r>
        <w:rPr>
          <w:color w:val="231F20"/>
          <w:spacing w:val="-4"/>
          <w:sz w:val="20"/>
        </w:rPr>
        <w:t xml:space="preserve"> </w:t>
      </w:r>
      <w:r>
        <w:rPr>
          <w:color w:val="231F20"/>
          <w:sz w:val="20"/>
        </w:rPr>
        <w:t>to</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person’s</w:t>
      </w:r>
      <w:r>
        <w:rPr>
          <w:color w:val="231F20"/>
          <w:spacing w:val="-4"/>
          <w:sz w:val="20"/>
        </w:rPr>
        <w:t xml:space="preserve"> </w:t>
      </w:r>
      <w:r>
        <w:rPr>
          <w:color w:val="231F20"/>
          <w:sz w:val="20"/>
        </w:rPr>
        <w:t>safety.</w:t>
      </w:r>
      <w:r>
        <w:rPr>
          <w:color w:val="231F20"/>
          <w:position w:val="7"/>
          <w:sz w:val="11"/>
        </w:rPr>
        <w:t>114</w:t>
      </w:r>
    </w:p>
    <w:p w14:paraId="63E99153" w14:textId="77777777" w:rsidR="00894070" w:rsidRDefault="009B7AFD">
      <w:pPr>
        <w:pStyle w:val="ListParagraph"/>
        <w:numPr>
          <w:ilvl w:val="1"/>
          <w:numId w:val="29"/>
        </w:numPr>
        <w:tabs>
          <w:tab w:val="left" w:pos="1801"/>
          <w:tab w:val="left" w:pos="1802"/>
        </w:tabs>
        <w:spacing w:before="125" w:line="206" w:lineRule="auto"/>
        <w:ind w:right="1214"/>
        <w:rPr>
          <w:sz w:val="11"/>
        </w:rPr>
      </w:pPr>
      <w:r>
        <w:rPr>
          <w:color w:val="231F20"/>
          <w:sz w:val="20"/>
        </w:rPr>
        <w:t xml:space="preserve">The </w:t>
      </w:r>
      <w:r>
        <w:rPr>
          <w:color w:val="231F20"/>
          <w:spacing w:val="-3"/>
          <w:sz w:val="20"/>
        </w:rPr>
        <w:t xml:space="preserve">Centre for Forensic </w:t>
      </w:r>
      <w:r>
        <w:rPr>
          <w:color w:val="231F20"/>
          <w:sz w:val="20"/>
        </w:rPr>
        <w:t xml:space="preserve">Behavioural Science submitted that in </w:t>
      </w:r>
      <w:r>
        <w:rPr>
          <w:color w:val="231F20"/>
          <w:spacing w:val="-4"/>
          <w:sz w:val="20"/>
        </w:rPr>
        <w:t xml:space="preserve">‘low </w:t>
      </w:r>
      <w:r>
        <w:rPr>
          <w:color w:val="231F20"/>
          <w:sz w:val="20"/>
        </w:rPr>
        <w:t>concern cases’ it is possible</w:t>
      </w:r>
      <w:r>
        <w:rPr>
          <w:color w:val="231F20"/>
          <w:spacing w:val="-7"/>
          <w:sz w:val="20"/>
        </w:rPr>
        <w:t xml:space="preserve"> </w:t>
      </w:r>
      <w:r>
        <w:rPr>
          <w:color w:val="231F20"/>
          <w:sz w:val="20"/>
        </w:rPr>
        <w:t>that</w:t>
      </w:r>
      <w:r>
        <w:rPr>
          <w:color w:val="231F20"/>
          <w:spacing w:val="-7"/>
          <w:sz w:val="20"/>
        </w:rPr>
        <w:t xml:space="preserve"> </w:t>
      </w:r>
      <w:r>
        <w:rPr>
          <w:color w:val="231F20"/>
          <w:sz w:val="20"/>
        </w:rPr>
        <w:t>stop</w:t>
      </w:r>
      <w:r>
        <w:rPr>
          <w:color w:val="231F20"/>
          <w:spacing w:val="-6"/>
          <w:sz w:val="20"/>
        </w:rPr>
        <w:t xml:space="preserve"> </w:t>
      </w:r>
      <w:r>
        <w:rPr>
          <w:color w:val="231F20"/>
          <w:spacing w:val="-3"/>
          <w:sz w:val="20"/>
        </w:rPr>
        <w:t>conversations</w:t>
      </w:r>
      <w:r>
        <w:rPr>
          <w:color w:val="231F20"/>
          <w:spacing w:val="-7"/>
          <w:sz w:val="20"/>
        </w:rPr>
        <w:t xml:space="preserve"> </w:t>
      </w:r>
      <w:r>
        <w:rPr>
          <w:color w:val="231F20"/>
          <w:spacing w:val="-3"/>
          <w:sz w:val="20"/>
        </w:rPr>
        <w:t>‘would</w:t>
      </w:r>
      <w:r>
        <w:rPr>
          <w:color w:val="231F20"/>
          <w:spacing w:val="-6"/>
          <w:sz w:val="20"/>
        </w:rPr>
        <w:t xml:space="preserve"> </w:t>
      </w:r>
      <w:r>
        <w:rPr>
          <w:color w:val="231F20"/>
          <w:sz w:val="20"/>
        </w:rPr>
        <w:t>be</w:t>
      </w:r>
      <w:r>
        <w:rPr>
          <w:color w:val="231F20"/>
          <w:spacing w:val="-7"/>
          <w:sz w:val="20"/>
        </w:rPr>
        <w:t xml:space="preserve"> </w:t>
      </w:r>
      <w:r>
        <w:rPr>
          <w:color w:val="231F20"/>
          <w:spacing w:val="-3"/>
          <w:sz w:val="20"/>
        </w:rPr>
        <w:t>equally</w:t>
      </w:r>
      <w:r>
        <w:rPr>
          <w:color w:val="231F20"/>
          <w:spacing w:val="-6"/>
          <w:sz w:val="20"/>
        </w:rPr>
        <w:t xml:space="preserve"> </w:t>
      </w:r>
      <w:r>
        <w:rPr>
          <w:color w:val="231F20"/>
          <w:sz w:val="20"/>
        </w:rPr>
        <w:t>as</w:t>
      </w:r>
      <w:r>
        <w:rPr>
          <w:color w:val="231F20"/>
          <w:spacing w:val="-7"/>
          <w:sz w:val="20"/>
        </w:rPr>
        <w:t xml:space="preserve"> </w:t>
      </w:r>
      <w:r>
        <w:rPr>
          <w:color w:val="231F20"/>
          <w:spacing w:val="-3"/>
          <w:sz w:val="20"/>
        </w:rPr>
        <w:t>effective</w:t>
      </w:r>
      <w:r>
        <w:rPr>
          <w:color w:val="231F20"/>
          <w:spacing w:val="-7"/>
          <w:sz w:val="20"/>
        </w:rPr>
        <w:t xml:space="preserve"> </w:t>
      </w:r>
      <w:r>
        <w:rPr>
          <w:color w:val="231F20"/>
          <w:sz w:val="20"/>
        </w:rPr>
        <w:t>[as</w:t>
      </w:r>
      <w:r>
        <w:rPr>
          <w:color w:val="231F20"/>
          <w:spacing w:val="-6"/>
          <w:sz w:val="20"/>
        </w:rPr>
        <w:t xml:space="preserve"> </w:t>
      </w:r>
      <w:r>
        <w:rPr>
          <w:color w:val="231F20"/>
          <w:sz w:val="20"/>
        </w:rPr>
        <w:t>a</w:t>
      </w:r>
      <w:r>
        <w:rPr>
          <w:color w:val="231F20"/>
          <w:spacing w:val="-7"/>
          <w:sz w:val="20"/>
        </w:rPr>
        <w:t xml:space="preserve"> </w:t>
      </w:r>
      <w:r>
        <w:rPr>
          <w:color w:val="231F20"/>
          <w:sz w:val="20"/>
        </w:rPr>
        <w:t>PSIO]</w:t>
      </w:r>
      <w:r>
        <w:rPr>
          <w:color w:val="231F20"/>
          <w:spacing w:val="-6"/>
          <w:sz w:val="20"/>
        </w:rPr>
        <w:t xml:space="preserve"> </w:t>
      </w:r>
      <w:r>
        <w:rPr>
          <w:color w:val="231F20"/>
          <w:sz w:val="20"/>
        </w:rPr>
        <w:t>…</w:t>
      </w:r>
      <w:r>
        <w:rPr>
          <w:color w:val="231F20"/>
          <w:spacing w:val="-7"/>
          <w:sz w:val="20"/>
        </w:rPr>
        <w:t xml:space="preserve"> </w:t>
      </w:r>
      <w:r>
        <w:rPr>
          <w:color w:val="231F20"/>
          <w:sz w:val="20"/>
        </w:rPr>
        <w:t>without</w:t>
      </w:r>
      <w:r>
        <w:rPr>
          <w:color w:val="231F20"/>
          <w:spacing w:val="-6"/>
          <w:sz w:val="20"/>
        </w:rPr>
        <w:t xml:space="preserve"> </w:t>
      </w:r>
      <w:r>
        <w:rPr>
          <w:color w:val="231F20"/>
          <w:sz w:val="20"/>
        </w:rPr>
        <w:t xml:space="preserve">the </w:t>
      </w:r>
      <w:r>
        <w:rPr>
          <w:color w:val="231F20"/>
          <w:spacing w:val="-3"/>
          <w:sz w:val="20"/>
        </w:rPr>
        <w:t>resource</w:t>
      </w:r>
      <w:r>
        <w:rPr>
          <w:color w:val="231F20"/>
          <w:spacing w:val="-5"/>
          <w:sz w:val="20"/>
        </w:rPr>
        <w:t xml:space="preserve"> </w:t>
      </w:r>
      <w:r>
        <w:rPr>
          <w:color w:val="231F20"/>
          <w:sz w:val="20"/>
        </w:rPr>
        <w:t>implications</w:t>
      </w:r>
      <w:r>
        <w:rPr>
          <w:color w:val="231F20"/>
          <w:spacing w:val="-5"/>
          <w:sz w:val="20"/>
        </w:rPr>
        <w:t xml:space="preserve"> </w:t>
      </w:r>
      <w:r>
        <w:rPr>
          <w:color w:val="231F20"/>
          <w:sz w:val="20"/>
        </w:rPr>
        <w:t>of</w:t>
      </w:r>
      <w:r>
        <w:rPr>
          <w:color w:val="231F20"/>
          <w:spacing w:val="-5"/>
          <w:sz w:val="20"/>
        </w:rPr>
        <w:t xml:space="preserve"> </w:t>
      </w:r>
      <w:r>
        <w:rPr>
          <w:color w:val="231F20"/>
          <w:spacing w:val="-3"/>
          <w:sz w:val="20"/>
        </w:rPr>
        <w:t>having</w:t>
      </w:r>
      <w:r>
        <w:rPr>
          <w:color w:val="231F20"/>
          <w:spacing w:val="-4"/>
          <w:sz w:val="20"/>
        </w:rPr>
        <w:t xml:space="preserve"> </w:t>
      </w:r>
      <w:r>
        <w:rPr>
          <w:color w:val="231F20"/>
          <w:sz w:val="20"/>
        </w:rPr>
        <w:t>a</w:t>
      </w:r>
      <w:r>
        <w:rPr>
          <w:color w:val="231F20"/>
          <w:spacing w:val="-5"/>
          <w:sz w:val="20"/>
        </w:rPr>
        <w:t xml:space="preserve"> </w:t>
      </w:r>
      <w:r>
        <w:rPr>
          <w:color w:val="231F20"/>
          <w:sz w:val="20"/>
        </w:rPr>
        <w:t>formal</w:t>
      </w:r>
      <w:r>
        <w:rPr>
          <w:color w:val="231F20"/>
          <w:spacing w:val="-5"/>
          <w:sz w:val="20"/>
        </w:rPr>
        <w:t xml:space="preserve"> </w:t>
      </w:r>
      <w:r>
        <w:rPr>
          <w:color w:val="231F20"/>
          <w:sz w:val="20"/>
        </w:rPr>
        <w:t>order</w:t>
      </w:r>
      <w:r>
        <w:rPr>
          <w:color w:val="231F20"/>
          <w:spacing w:val="-5"/>
          <w:sz w:val="20"/>
        </w:rPr>
        <w:t xml:space="preserve"> </w:t>
      </w:r>
      <w:r>
        <w:rPr>
          <w:color w:val="231F20"/>
          <w:sz w:val="20"/>
        </w:rPr>
        <w:t>issued</w:t>
      </w:r>
      <w:r>
        <w:rPr>
          <w:color w:val="231F20"/>
          <w:spacing w:val="-4"/>
          <w:sz w:val="20"/>
        </w:rPr>
        <w:t xml:space="preserve"> </w:t>
      </w:r>
      <w:r>
        <w:rPr>
          <w:color w:val="231F20"/>
          <w:spacing w:val="-3"/>
          <w:sz w:val="20"/>
        </w:rPr>
        <w:t>by</w:t>
      </w:r>
      <w:r>
        <w:rPr>
          <w:color w:val="231F20"/>
          <w:spacing w:val="-5"/>
          <w:sz w:val="20"/>
        </w:rPr>
        <w:t xml:space="preserve"> </w:t>
      </w:r>
      <w:r>
        <w:rPr>
          <w:color w:val="231F20"/>
          <w:sz w:val="20"/>
        </w:rPr>
        <w:t>a</w:t>
      </w:r>
      <w:r>
        <w:rPr>
          <w:color w:val="231F20"/>
          <w:spacing w:val="-5"/>
          <w:sz w:val="20"/>
        </w:rPr>
        <w:t xml:space="preserve"> </w:t>
      </w:r>
      <w:r>
        <w:rPr>
          <w:color w:val="231F20"/>
          <w:sz w:val="20"/>
        </w:rPr>
        <w:t>court’.</w:t>
      </w:r>
      <w:r>
        <w:rPr>
          <w:color w:val="231F20"/>
          <w:position w:val="7"/>
          <w:sz w:val="11"/>
        </w:rPr>
        <w:t>115</w:t>
      </w:r>
    </w:p>
    <w:p w14:paraId="12790F59" w14:textId="77777777" w:rsidR="00894070" w:rsidRDefault="009B7AFD">
      <w:pPr>
        <w:pStyle w:val="ListParagraph"/>
        <w:numPr>
          <w:ilvl w:val="1"/>
          <w:numId w:val="29"/>
        </w:numPr>
        <w:tabs>
          <w:tab w:val="left" w:pos="1802"/>
        </w:tabs>
        <w:spacing w:before="124" w:line="206" w:lineRule="auto"/>
        <w:ind w:right="1312"/>
        <w:jc w:val="both"/>
        <w:rPr>
          <w:sz w:val="11"/>
        </w:rPr>
      </w:pPr>
      <w:r>
        <w:rPr>
          <w:color w:val="231F20"/>
          <w:sz w:val="20"/>
        </w:rPr>
        <w:t>There</w:t>
      </w:r>
      <w:r>
        <w:rPr>
          <w:color w:val="231F20"/>
          <w:spacing w:val="-7"/>
          <w:sz w:val="20"/>
        </w:rPr>
        <w:t xml:space="preserve"> </w:t>
      </w:r>
      <w:r>
        <w:rPr>
          <w:color w:val="231F20"/>
          <w:sz w:val="20"/>
        </w:rPr>
        <w:t>was</w:t>
      </w:r>
      <w:r>
        <w:rPr>
          <w:color w:val="231F20"/>
          <w:spacing w:val="-7"/>
          <w:sz w:val="20"/>
        </w:rPr>
        <w:t xml:space="preserve"> </w:t>
      </w:r>
      <w:r>
        <w:rPr>
          <w:color w:val="231F20"/>
          <w:sz w:val="20"/>
        </w:rPr>
        <w:t>some</w:t>
      </w:r>
      <w:r>
        <w:rPr>
          <w:color w:val="231F20"/>
          <w:spacing w:val="-6"/>
          <w:sz w:val="20"/>
        </w:rPr>
        <w:t xml:space="preserve"> </w:t>
      </w:r>
      <w:r>
        <w:rPr>
          <w:color w:val="231F20"/>
          <w:sz w:val="20"/>
        </w:rPr>
        <w:t>support</w:t>
      </w:r>
      <w:r>
        <w:rPr>
          <w:color w:val="231F20"/>
          <w:spacing w:val="-7"/>
          <w:sz w:val="20"/>
        </w:rPr>
        <w:t xml:space="preserve"> </w:t>
      </w:r>
      <w:r>
        <w:rPr>
          <w:color w:val="231F20"/>
          <w:spacing w:val="-3"/>
          <w:sz w:val="20"/>
        </w:rPr>
        <w:t>from</w:t>
      </w:r>
      <w:r>
        <w:rPr>
          <w:color w:val="231F20"/>
          <w:spacing w:val="-6"/>
          <w:sz w:val="20"/>
        </w:rPr>
        <w:t xml:space="preserve"> </w:t>
      </w:r>
      <w:r>
        <w:rPr>
          <w:color w:val="231F20"/>
          <w:sz w:val="20"/>
        </w:rPr>
        <w:t>victim</w:t>
      </w:r>
      <w:r>
        <w:rPr>
          <w:color w:val="231F20"/>
          <w:spacing w:val="-7"/>
          <w:sz w:val="20"/>
        </w:rPr>
        <w:t xml:space="preserve"> </w:t>
      </w:r>
      <w:r>
        <w:rPr>
          <w:color w:val="231F20"/>
          <w:sz w:val="20"/>
        </w:rPr>
        <w:t>survivors</w:t>
      </w:r>
      <w:r>
        <w:rPr>
          <w:color w:val="231F20"/>
          <w:spacing w:val="-7"/>
          <w:sz w:val="20"/>
        </w:rPr>
        <w:t xml:space="preserve"> </w:t>
      </w:r>
      <w:r>
        <w:rPr>
          <w:color w:val="231F20"/>
          <w:spacing w:val="-3"/>
          <w:sz w:val="20"/>
        </w:rPr>
        <w:t>for</w:t>
      </w:r>
      <w:r>
        <w:rPr>
          <w:color w:val="231F20"/>
          <w:spacing w:val="-6"/>
          <w:sz w:val="20"/>
        </w:rPr>
        <w:t xml:space="preserve"> </w:t>
      </w:r>
      <w:r>
        <w:rPr>
          <w:color w:val="231F20"/>
          <w:sz w:val="20"/>
        </w:rPr>
        <w:t>cautions</w:t>
      </w:r>
      <w:r>
        <w:rPr>
          <w:color w:val="231F20"/>
          <w:spacing w:val="-7"/>
          <w:sz w:val="20"/>
        </w:rPr>
        <w:t xml:space="preserve"> </w:t>
      </w:r>
      <w:r>
        <w:rPr>
          <w:color w:val="231F20"/>
          <w:sz w:val="20"/>
        </w:rPr>
        <w:t>or</w:t>
      </w:r>
      <w:r>
        <w:rPr>
          <w:color w:val="231F20"/>
          <w:spacing w:val="-6"/>
          <w:sz w:val="20"/>
        </w:rPr>
        <w:t xml:space="preserve"> </w:t>
      </w:r>
      <w:r>
        <w:rPr>
          <w:color w:val="231F20"/>
          <w:sz w:val="20"/>
        </w:rPr>
        <w:t>stop</w:t>
      </w:r>
      <w:r>
        <w:rPr>
          <w:color w:val="231F20"/>
          <w:spacing w:val="-7"/>
          <w:sz w:val="20"/>
        </w:rPr>
        <w:t xml:space="preserve"> </w:t>
      </w:r>
      <w:r>
        <w:rPr>
          <w:color w:val="231F20"/>
          <w:spacing w:val="-3"/>
          <w:sz w:val="20"/>
        </w:rPr>
        <w:t>conversations</w:t>
      </w:r>
      <w:r>
        <w:rPr>
          <w:color w:val="231F20"/>
          <w:spacing w:val="-6"/>
          <w:sz w:val="20"/>
        </w:rPr>
        <w:t xml:space="preserve"> </w:t>
      </w:r>
      <w:r>
        <w:rPr>
          <w:color w:val="231F20"/>
          <w:sz w:val="20"/>
        </w:rPr>
        <w:t>as</w:t>
      </w:r>
      <w:r>
        <w:rPr>
          <w:color w:val="231F20"/>
          <w:spacing w:val="-7"/>
          <w:sz w:val="20"/>
        </w:rPr>
        <w:t xml:space="preserve"> </w:t>
      </w:r>
      <w:r>
        <w:rPr>
          <w:color w:val="231F20"/>
          <w:sz w:val="20"/>
        </w:rPr>
        <w:t xml:space="preserve">a </w:t>
      </w:r>
      <w:r>
        <w:rPr>
          <w:color w:val="231F20"/>
          <w:spacing w:val="-3"/>
          <w:sz w:val="20"/>
        </w:rPr>
        <w:t>form</w:t>
      </w:r>
      <w:r>
        <w:rPr>
          <w:color w:val="231F20"/>
          <w:spacing w:val="-7"/>
          <w:sz w:val="20"/>
        </w:rPr>
        <w:t xml:space="preserve"> </w:t>
      </w:r>
      <w:r>
        <w:rPr>
          <w:color w:val="231F20"/>
          <w:sz w:val="20"/>
        </w:rPr>
        <w:t>of</w:t>
      </w:r>
      <w:r>
        <w:rPr>
          <w:color w:val="231F20"/>
          <w:spacing w:val="-7"/>
          <w:sz w:val="20"/>
        </w:rPr>
        <w:t xml:space="preserve"> </w:t>
      </w:r>
      <w:r>
        <w:rPr>
          <w:color w:val="231F20"/>
          <w:spacing w:val="-3"/>
          <w:sz w:val="20"/>
        </w:rPr>
        <w:t>early</w:t>
      </w:r>
      <w:r>
        <w:rPr>
          <w:color w:val="231F20"/>
          <w:spacing w:val="-7"/>
          <w:sz w:val="20"/>
        </w:rPr>
        <w:t xml:space="preserve"> </w:t>
      </w:r>
      <w:r>
        <w:rPr>
          <w:color w:val="231F20"/>
          <w:sz w:val="20"/>
        </w:rPr>
        <w:t>intervention.</w:t>
      </w:r>
      <w:r>
        <w:rPr>
          <w:color w:val="231F20"/>
          <w:spacing w:val="-7"/>
          <w:sz w:val="20"/>
        </w:rPr>
        <w:t xml:space="preserve"> </w:t>
      </w:r>
      <w:r>
        <w:rPr>
          <w:color w:val="231F20"/>
          <w:sz w:val="20"/>
        </w:rPr>
        <w:t>One</w:t>
      </w:r>
      <w:r>
        <w:rPr>
          <w:color w:val="231F20"/>
          <w:spacing w:val="-7"/>
          <w:sz w:val="20"/>
        </w:rPr>
        <w:t xml:space="preserve"> </w:t>
      </w:r>
      <w:r>
        <w:rPr>
          <w:color w:val="231F20"/>
          <w:sz w:val="20"/>
        </w:rPr>
        <w:t>person</w:t>
      </w:r>
      <w:r>
        <w:rPr>
          <w:color w:val="231F20"/>
          <w:spacing w:val="-7"/>
          <w:sz w:val="20"/>
        </w:rPr>
        <w:t xml:space="preserve"> </w:t>
      </w:r>
      <w:r>
        <w:rPr>
          <w:color w:val="231F20"/>
          <w:sz w:val="20"/>
        </w:rPr>
        <w:t>said,</w:t>
      </w:r>
      <w:r>
        <w:rPr>
          <w:color w:val="231F20"/>
          <w:spacing w:val="-7"/>
          <w:sz w:val="20"/>
        </w:rPr>
        <w:t xml:space="preserve"> </w:t>
      </w:r>
      <w:r>
        <w:rPr>
          <w:color w:val="231F20"/>
          <w:sz w:val="20"/>
        </w:rPr>
        <w:t>‘it</w:t>
      </w:r>
      <w:r>
        <w:rPr>
          <w:color w:val="231F20"/>
          <w:spacing w:val="-7"/>
          <w:sz w:val="20"/>
        </w:rPr>
        <w:t xml:space="preserve"> </w:t>
      </w:r>
      <w:r>
        <w:rPr>
          <w:color w:val="231F20"/>
          <w:spacing w:val="-3"/>
          <w:sz w:val="20"/>
        </w:rPr>
        <w:t>would</w:t>
      </w:r>
      <w:r>
        <w:rPr>
          <w:color w:val="231F20"/>
          <w:spacing w:val="-7"/>
          <w:sz w:val="20"/>
        </w:rPr>
        <w:t xml:space="preserve"> </w:t>
      </w:r>
      <w:r>
        <w:rPr>
          <w:color w:val="231F20"/>
          <w:sz w:val="20"/>
        </w:rPr>
        <w:t>be</w:t>
      </w:r>
      <w:r>
        <w:rPr>
          <w:color w:val="231F20"/>
          <w:spacing w:val="-7"/>
          <w:sz w:val="20"/>
        </w:rPr>
        <w:t xml:space="preserve"> </w:t>
      </w:r>
      <w:r>
        <w:rPr>
          <w:color w:val="231F20"/>
          <w:spacing w:val="-3"/>
          <w:sz w:val="20"/>
        </w:rPr>
        <w:t>great</w:t>
      </w:r>
      <w:r>
        <w:rPr>
          <w:color w:val="231F20"/>
          <w:spacing w:val="-7"/>
          <w:sz w:val="20"/>
        </w:rPr>
        <w:t xml:space="preserve"> </w:t>
      </w:r>
      <w:r>
        <w:rPr>
          <w:color w:val="231F20"/>
          <w:sz w:val="20"/>
        </w:rPr>
        <w:t>if</w:t>
      </w:r>
      <w:r>
        <w:rPr>
          <w:color w:val="231F20"/>
          <w:spacing w:val="-7"/>
          <w:sz w:val="20"/>
        </w:rPr>
        <w:t xml:space="preserve"> </w:t>
      </w:r>
      <w:r>
        <w:rPr>
          <w:color w:val="231F20"/>
          <w:sz w:val="20"/>
        </w:rPr>
        <w:t>police</w:t>
      </w:r>
      <w:r>
        <w:rPr>
          <w:color w:val="231F20"/>
          <w:spacing w:val="-7"/>
          <w:sz w:val="20"/>
        </w:rPr>
        <w:t xml:space="preserve"> </w:t>
      </w:r>
      <w:r>
        <w:rPr>
          <w:color w:val="231F20"/>
          <w:spacing w:val="-3"/>
          <w:sz w:val="20"/>
        </w:rPr>
        <w:t>would</w:t>
      </w:r>
      <w:r>
        <w:rPr>
          <w:color w:val="231F20"/>
          <w:spacing w:val="-7"/>
          <w:sz w:val="20"/>
        </w:rPr>
        <w:t xml:space="preserve"> </w:t>
      </w:r>
      <w:r>
        <w:rPr>
          <w:color w:val="231F20"/>
          <w:sz w:val="20"/>
        </w:rPr>
        <w:t>knock</w:t>
      </w:r>
      <w:r>
        <w:rPr>
          <w:color w:val="231F20"/>
          <w:spacing w:val="-7"/>
          <w:sz w:val="20"/>
        </w:rPr>
        <w:t xml:space="preserve"> </w:t>
      </w:r>
      <w:r>
        <w:rPr>
          <w:color w:val="231F20"/>
          <w:sz w:val="20"/>
        </w:rPr>
        <w:t xml:space="preserve">on </w:t>
      </w:r>
      <w:r>
        <w:rPr>
          <w:color w:val="231F20"/>
          <w:spacing w:val="-3"/>
          <w:sz w:val="20"/>
        </w:rPr>
        <w:t>[the]</w:t>
      </w:r>
      <w:r>
        <w:rPr>
          <w:color w:val="231F20"/>
          <w:spacing w:val="-6"/>
          <w:sz w:val="20"/>
        </w:rPr>
        <w:t xml:space="preserve"> </w:t>
      </w:r>
      <w:r>
        <w:rPr>
          <w:color w:val="231F20"/>
          <w:sz w:val="20"/>
        </w:rPr>
        <w:t>stalker’s</w:t>
      </w:r>
      <w:r>
        <w:rPr>
          <w:color w:val="231F20"/>
          <w:spacing w:val="-6"/>
          <w:sz w:val="20"/>
        </w:rPr>
        <w:t xml:space="preserve"> </w:t>
      </w:r>
      <w:r>
        <w:rPr>
          <w:color w:val="231F20"/>
          <w:sz w:val="20"/>
        </w:rPr>
        <w:t>door</w:t>
      </w:r>
      <w:r>
        <w:rPr>
          <w:color w:val="231F20"/>
          <w:spacing w:val="-6"/>
          <w:sz w:val="20"/>
        </w:rPr>
        <w:t xml:space="preserve"> </w:t>
      </w:r>
      <w:r>
        <w:rPr>
          <w:color w:val="231F20"/>
          <w:sz w:val="20"/>
        </w:rPr>
        <w:t>and</w:t>
      </w:r>
      <w:r>
        <w:rPr>
          <w:color w:val="231F20"/>
          <w:spacing w:val="-6"/>
          <w:sz w:val="20"/>
        </w:rPr>
        <w:t xml:space="preserve"> </w:t>
      </w:r>
      <w:r>
        <w:rPr>
          <w:color w:val="231F20"/>
          <w:sz w:val="20"/>
        </w:rPr>
        <w:t>tell</w:t>
      </w:r>
      <w:r>
        <w:rPr>
          <w:color w:val="231F20"/>
          <w:spacing w:val="-6"/>
          <w:sz w:val="20"/>
        </w:rPr>
        <w:t xml:space="preserve"> </w:t>
      </w:r>
      <w:r>
        <w:rPr>
          <w:color w:val="231F20"/>
          <w:sz w:val="20"/>
        </w:rPr>
        <w:t>them</w:t>
      </w:r>
      <w:r>
        <w:rPr>
          <w:color w:val="231F20"/>
          <w:spacing w:val="-6"/>
          <w:sz w:val="20"/>
        </w:rPr>
        <w:t xml:space="preserve"> </w:t>
      </w:r>
      <w:r>
        <w:rPr>
          <w:color w:val="231F20"/>
          <w:sz w:val="20"/>
        </w:rPr>
        <w:t>to</w:t>
      </w:r>
      <w:r>
        <w:rPr>
          <w:color w:val="231F20"/>
          <w:spacing w:val="-6"/>
          <w:sz w:val="20"/>
        </w:rPr>
        <w:t xml:space="preserve"> </w:t>
      </w:r>
      <w:r>
        <w:rPr>
          <w:color w:val="231F20"/>
          <w:sz w:val="20"/>
        </w:rPr>
        <w:t>back</w:t>
      </w:r>
      <w:r>
        <w:rPr>
          <w:color w:val="231F20"/>
          <w:spacing w:val="-6"/>
          <w:sz w:val="20"/>
        </w:rPr>
        <w:t xml:space="preserve"> </w:t>
      </w:r>
      <w:r>
        <w:rPr>
          <w:color w:val="231F20"/>
          <w:sz w:val="20"/>
        </w:rPr>
        <w:t>off</w:t>
      </w:r>
      <w:r>
        <w:rPr>
          <w:color w:val="231F20"/>
          <w:spacing w:val="-6"/>
          <w:sz w:val="20"/>
        </w:rPr>
        <w:t xml:space="preserve"> </w:t>
      </w:r>
      <w:r>
        <w:rPr>
          <w:color w:val="231F20"/>
          <w:sz w:val="20"/>
        </w:rPr>
        <w:t>or</w:t>
      </w:r>
      <w:r>
        <w:rPr>
          <w:color w:val="231F20"/>
          <w:spacing w:val="-6"/>
          <w:sz w:val="20"/>
        </w:rPr>
        <w:t xml:space="preserve"> </w:t>
      </w:r>
      <w:r>
        <w:rPr>
          <w:color w:val="231F20"/>
          <w:sz w:val="20"/>
        </w:rPr>
        <w:t>it</w:t>
      </w:r>
      <w:r>
        <w:rPr>
          <w:color w:val="231F20"/>
          <w:spacing w:val="-6"/>
          <w:sz w:val="20"/>
        </w:rPr>
        <w:t xml:space="preserve"> </w:t>
      </w:r>
      <w:r>
        <w:rPr>
          <w:color w:val="231F20"/>
          <w:spacing w:val="-3"/>
          <w:sz w:val="20"/>
        </w:rPr>
        <w:t>would</w:t>
      </w:r>
      <w:r>
        <w:rPr>
          <w:color w:val="231F20"/>
          <w:spacing w:val="-6"/>
          <w:sz w:val="20"/>
        </w:rPr>
        <w:t xml:space="preserve"> </w:t>
      </w:r>
      <w:r>
        <w:rPr>
          <w:color w:val="231F20"/>
          <w:sz w:val="20"/>
        </w:rPr>
        <w:t>be</w:t>
      </w:r>
      <w:r>
        <w:rPr>
          <w:color w:val="231F20"/>
          <w:spacing w:val="-5"/>
          <w:sz w:val="20"/>
        </w:rPr>
        <w:t xml:space="preserve"> </w:t>
      </w:r>
      <w:r>
        <w:rPr>
          <w:color w:val="231F20"/>
          <w:sz w:val="20"/>
        </w:rPr>
        <w:t>taken</w:t>
      </w:r>
      <w:r>
        <w:rPr>
          <w:color w:val="231F20"/>
          <w:spacing w:val="-6"/>
          <w:sz w:val="20"/>
        </w:rPr>
        <w:t xml:space="preserve"> </w:t>
      </w:r>
      <w:r>
        <w:rPr>
          <w:color w:val="231F20"/>
          <w:sz w:val="20"/>
        </w:rPr>
        <w:t>further’.</w:t>
      </w:r>
      <w:r>
        <w:rPr>
          <w:color w:val="231F20"/>
          <w:position w:val="7"/>
          <w:sz w:val="11"/>
        </w:rPr>
        <w:t>116</w:t>
      </w:r>
    </w:p>
    <w:p w14:paraId="494E75EA" w14:textId="77777777" w:rsidR="00894070" w:rsidRDefault="009B7AFD">
      <w:pPr>
        <w:pStyle w:val="ListParagraph"/>
        <w:numPr>
          <w:ilvl w:val="1"/>
          <w:numId w:val="29"/>
        </w:numPr>
        <w:tabs>
          <w:tab w:val="left" w:pos="1801"/>
          <w:tab w:val="left" w:pos="1802"/>
        </w:tabs>
        <w:spacing w:before="91"/>
        <w:rPr>
          <w:sz w:val="20"/>
        </w:rPr>
      </w:pPr>
      <w:r>
        <w:rPr>
          <w:color w:val="231F20"/>
          <w:sz w:val="20"/>
        </w:rPr>
        <w:t>Another</w:t>
      </w:r>
      <w:r>
        <w:rPr>
          <w:color w:val="231F20"/>
          <w:spacing w:val="-6"/>
          <w:sz w:val="20"/>
        </w:rPr>
        <w:t xml:space="preserve"> </w:t>
      </w:r>
      <w:r>
        <w:rPr>
          <w:color w:val="231F20"/>
          <w:sz w:val="20"/>
        </w:rPr>
        <w:t>person</w:t>
      </w:r>
      <w:r>
        <w:rPr>
          <w:color w:val="231F20"/>
          <w:spacing w:val="-5"/>
          <w:sz w:val="20"/>
        </w:rPr>
        <w:t xml:space="preserve"> </w:t>
      </w:r>
      <w:r>
        <w:rPr>
          <w:color w:val="231F20"/>
          <w:sz w:val="20"/>
        </w:rPr>
        <w:t>who</w:t>
      </w:r>
      <w:r>
        <w:rPr>
          <w:color w:val="231F20"/>
          <w:spacing w:val="-6"/>
          <w:sz w:val="20"/>
        </w:rPr>
        <w:t xml:space="preserve"> </w:t>
      </w:r>
      <w:r>
        <w:rPr>
          <w:color w:val="231F20"/>
          <w:sz w:val="20"/>
        </w:rPr>
        <w:t>spoke</w:t>
      </w:r>
      <w:r>
        <w:rPr>
          <w:color w:val="231F20"/>
          <w:spacing w:val="-5"/>
          <w:sz w:val="20"/>
        </w:rPr>
        <w:t xml:space="preserve"> </w:t>
      </w:r>
      <w:r>
        <w:rPr>
          <w:color w:val="231F20"/>
          <w:sz w:val="20"/>
        </w:rPr>
        <w:t>of</w:t>
      </w:r>
      <w:r>
        <w:rPr>
          <w:color w:val="231F20"/>
          <w:spacing w:val="-6"/>
          <w:sz w:val="20"/>
        </w:rPr>
        <w:t xml:space="preserve"> </w:t>
      </w:r>
      <w:r>
        <w:rPr>
          <w:color w:val="231F20"/>
          <w:sz w:val="20"/>
        </w:rPr>
        <w:t>her</w:t>
      </w:r>
      <w:r>
        <w:rPr>
          <w:color w:val="231F20"/>
          <w:spacing w:val="-5"/>
          <w:sz w:val="20"/>
        </w:rPr>
        <w:t xml:space="preserve"> </w:t>
      </w:r>
      <w:r>
        <w:rPr>
          <w:color w:val="231F20"/>
          <w:sz w:val="20"/>
        </w:rPr>
        <w:t>experience</w:t>
      </w:r>
      <w:r>
        <w:rPr>
          <w:color w:val="231F20"/>
          <w:spacing w:val="-5"/>
          <w:sz w:val="20"/>
        </w:rPr>
        <w:t xml:space="preserve"> </w:t>
      </w:r>
      <w:r>
        <w:rPr>
          <w:color w:val="231F20"/>
          <w:sz w:val="20"/>
        </w:rPr>
        <w:t>with</w:t>
      </w:r>
      <w:r>
        <w:rPr>
          <w:color w:val="231F20"/>
          <w:spacing w:val="-6"/>
          <w:sz w:val="20"/>
        </w:rPr>
        <w:t xml:space="preserve"> </w:t>
      </w:r>
      <w:r>
        <w:rPr>
          <w:color w:val="231F20"/>
          <w:sz w:val="20"/>
        </w:rPr>
        <w:t>police</w:t>
      </w:r>
      <w:r>
        <w:rPr>
          <w:color w:val="231F20"/>
          <w:spacing w:val="-5"/>
          <w:sz w:val="20"/>
        </w:rPr>
        <w:t xml:space="preserve"> </w:t>
      </w:r>
      <w:r>
        <w:rPr>
          <w:color w:val="231F20"/>
          <w:spacing w:val="-4"/>
          <w:sz w:val="20"/>
        </w:rPr>
        <w:t>5–10</w:t>
      </w:r>
      <w:r>
        <w:rPr>
          <w:color w:val="231F20"/>
          <w:spacing w:val="-6"/>
          <w:sz w:val="20"/>
        </w:rPr>
        <w:t xml:space="preserve"> </w:t>
      </w:r>
      <w:r>
        <w:rPr>
          <w:color w:val="231F20"/>
          <w:sz w:val="20"/>
        </w:rPr>
        <w:t>years</w:t>
      </w:r>
      <w:r>
        <w:rPr>
          <w:color w:val="231F20"/>
          <w:spacing w:val="-5"/>
          <w:sz w:val="20"/>
        </w:rPr>
        <w:t xml:space="preserve"> </w:t>
      </w:r>
      <w:r>
        <w:rPr>
          <w:color w:val="231F20"/>
          <w:sz w:val="20"/>
        </w:rPr>
        <w:t>ago</w:t>
      </w:r>
      <w:r>
        <w:rPr>
          <w:color w:val="231F20"/>
          <w:spacing w:val="-5"/>
          <w:sz w:val="20"/>
        </w:rPr>
        <w:t xml:space="preserve"> </w:t>
      </w:r>
      <w:r>
        <w:rPr>
          <w:color w:val="231F20"/>
          <w:sz w:val="20"/>
        </w:rPr>
        <w:t>said:</w:t>
      </w:r>
    </w:p>
    <w:p w14:paraId="620E6EC4" w14:textId="77777777" w:rsidR="00894070" w:rsidRDefault="009F6793">
      <w:pPr>
        <w:pStyle w:val="BodyText"/>
        <w:spacing w:before="12"/>
        <w:rPr>
          <w:sz w:val="22"/>
        </w:rPr>
      </w:pPr>
      <w:r>
        <w:pict w14:anchorId="1C7ABF12">
          <v:shape id="_x0000_s1069" type="#_x0000_t202" style="position:absolute;margin-left:119.3pt;margin-top:18.1pt;width:396.35pt;height:80.1pt;z-index:251777024;mso-wrap-distance-left:0;mso-wrap-distance-right:0;mso-position-horizontal-relative:page" fillcolor="#fee7de" strokecolor="#ea5b50" strokeweight=".5pt">
            <v:textbox inset="0,0,0,0">
              <w:txbxContent>
                <w:p w14:paraId="656109A7" w14:textId="77777777" w:rsidR="00894070" w:rsidRDefault="00894070">
                  <w:pPr>
                    <w:pStyle w:val="BodyText"/>
                    <w:spacing w:before="3"/>
                    <w:rPr>
                      <w:sz w:val="15"/>
                    </w:rPr>
                  </w:pPr>
                </w:p>
                <w:p w14:paraId="56BC25BB" w14:textId="77777777" w:rsidR="00894070" w:rsidRDefault="009B7AFD">
                  <w:pPr>
                    <w:pStyle w:val="BodyText"/>
                    <w:spacing w:line="206" w:lineRule="auto"/>
                    <w:ind w:left="221" w:right="455"/>
                    <w:rPr>
                      <w:sz w:val="11"/>
                    </w:rPr>
                  </w:pPr>
                  <w:r>
                    <w:rPr>
                      <w:color w:val="231F20"/>
                    </w:rPr>
                    <w:t>The police advised that they would bring the stalker into the station again and have another chat. Subsequently I was informed that the chat had occurred. Subsequently the following appears to have stopped … I do run into the stalker from time to time in shopping areas or Bunnings … but he appears to keep his distance.</w:t>
                  </w:r>
                  <w:r>
                    <w:rPr>
                      <w:color w:val="231F20"/>
                      <w:position w:val="7"/>
                      <w:sz w:val="11"/>
                    </w:rPr>
                    <w:t>117</w:t>
                  </w:r>
                </w:p>
              </w:txbxContent>
            </v:textbox>
            <w10:wrap type="topAndBottom" anchorx="page"/>
          </v:shape>
        </w:pict>
      </w:r>
    </w:p>
    <w:p w14:paraId="5EBC5075" w14:textId="77777777" w:rsidR="00894070" w:rsidRDefault="00894070">
      <w:pPr>
        <w:pStyle w:val="BodyText"/>
      </w:pPr>
    </w:p>
    <w:p w14:paraId="796790FC" w14:textId="77777777" w:rsidR="00894070" w:rsidRDefault="009F6793">
      <w:pPr>
        <w:pStyle w:val="BodyText"/>
        <w:spacing w:before="7"/>
        <w:rPr>
          <w:sz w:val="28"/>
        </w:rPr>
      </w:pPr>
      <w:r>
        <w:pict w14:anchorId="2C00DEE5">
          <v:line id="_x0000_s1068" style="position:absolute;z-index:251778048;mso-wrap-distance-left:0;mso-wrap-distance-right:0;mso-position-horizontal-relative:page" from="79.35pt,22.25pt" to="515.9pt,22.25pt" strokecolor="#f8cabc" strokeweight="1pt">
            <w10:wrap type="topAndBottom" anchorx="page"/>
          </v:line>
        </w:pict>
      </w:r>
    </w:p>
    <w:p w14:paraId="153216C0" w14:textId="77777777" w:rsidR="00894070" w:rsidRDefault="009B7AFD">
      <w:pPr>
        <w:spacing w:before="107" w:line="213" w:lineRule="auto"/>
        <w:ind w:left="1801" w:right="2216" w:hanging="1"/>
        <w:rPr>
          <w:sz w:val="13"/>
        </w:rPr>
      </w:pPr>
      <w:r>
        <w:rPr>
          <w:color w:val="231F20"/>
          <w:spacing w:val="2"/>
          <w:sz w:val="13"/>
        </w:rPr>
        <w:t xml:space="preserve">Submissions </w:t>
      </w:r>
      <w:r>
        <w:rPr>
          <w:color w:val="231F20"/>
          <w:sz w:val="13"/>
        </w:rPr>
        <w:t xml:space="preserve">32 (Centre for Forensic Behavioural Science), 51 (Matthew Raj); Consultation 7 (Risk roundtable). </w:t>
      </w:r>
      <w:r>
        <w:rPr>
          <w:color w:val="231F20"/>
          <w:spacing w:val="2"/>
          <w:sz w:val="13"/>
        </w:rPr>
        <w:t xml:space="preserve">Submission </w:t>
      </w:r>
      <w:r>
        <w:rPr>
          <w:color w:val="231F20"/>
          <w:sz w:val="13"/>
        </w:rPr>
        <w:t>32 (Centre for Forensic Behavioural</w:t>
      </w:r>
      <w:r>
        <w:rPr>
          <w:color w:val="231F20"/>
          <w:spacing w:val="1"/>
          <w:sz w:val="13"/>
        </w:rPr>
        <w:t xml:space="preserve"> </w:t>
      </w:r>
      <w:r>
        <w:rPr>
          <w:color w:val="231F20"/>
          <w:sz w:val="13"/>
        </w:rPr>
        <w:t>Science).</w:t>
      </w:r>
    </w:p>
    <w:p w14:paraId="3D9F7953" w14:textId="77777777" w:rsidR="00894070" w:rsidRDefault="009F6793">
      <w:pPr>
        <w:spacing w:line="213" w:lineRule="auto"/>
        <w:ind w:left="1801" w:right="1459"/>
        <w:rPr>
          <w:sz w:val="13"/>
        </w:rPr>
      </w:pPr>
      <w:r>
        <w:pict w14:anchorId="3873CA5D">
          <v:shape id="_x0000_s1067" type="#_x0000_t202" style="position:absolute;left:0;text-align:left;margin-left:34.3pt;margin-top:-15.45pt;width:56.5pt;height:64.95pt;z-index:2517964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42"/>
                    <w:gridCol w:w="487"/>
                  </w:tblGrid>
                  <w:tr w:rsidR="00894070" w14:paraId="5828C1F0" w14:textId="77777777">
                    <w:trPr>
                      <w:trHeight w:val="156"/>
                    </w:trPr>
                    <w:tc>
                      <w:tcPr>
                        <w:tcW w:w="642" w:type="dxa"/>
                        <w:vMerge w:val="restart"/>
                      </w:tcPr>
                      <w:p w14:paraId="2810379E" w14:textId="77777777" w:rsidR="00894070" w:rsidRDefault="00894070">
                        <w:pPr>
                          <w:pStyle w:val="TableParagraph"/>
                          <w:ind w:left="0"/>
                          <w:rPr>
                            <w:rFonts w:ascii="Times New Roman"/>
                            <w:sz w:val="18"/>
                          </w:rPr>
                        </w:pPr>
                      </w:p>
                    </w:tc>
                    <w:tc>
                      <w:tcPr>
                        <w:tcW w:w="487" w:type="dxa"/>
                      </w:tcPr>
                      <w:p w14:paraId="113277C0" w14:textId="77777777" w:rsidR="00894070" w:rsidRDefault="009B7AFD">
                        <w:pPr>
                          <w:pStyle w:val="TableParagraph"/>
                          <w:spacing w:line="136" w:lineRule="exact"/>
                          <w:ind w:left="0" w:right="39"/>
                          <w:jc w:val="right"/>
                          <w:rPr>
                            <w:sz w:val="13"/>
                          </w:rPr>
                        </w:pPr>
                        <w:r>
                          <w:rPr>
                            <w:color w:val="231F20"/>
                            <w:sz w:val="13"/>
                          </w:rPr>
                          <w:t>112</w:t>
                        </w:r>
                      </w:p>
                    </w:tc>
                  </w:tr>
                  <w:tr w:rsidR="00894070" w14:paraId="7B2165D6" w14:textId="77777777">
                    <w:trPr>
                      <w:trHeight w:val="160"/>
                    </w:trPr>
                    <w:tc>
                      <w:tcPr>
                        <w:tcW w:w="642" w:type="dxa"/>
                        <w:vMerge/>
                        <w:tcBorders>
                          <w:top w:val="nil"/>
                        </w:tcBorders>
                      </w:tcPr>
                      <w:p w14:paraId="2EA4EF14" w14:textId="77777777" w:rsidR="00894070" w:rsidRDefault="00894070">
                        <w:pPr>
                          <w:rPr>
                            <w:sz w:val="2"/>
                            <w:szCs w:val="2"/>
                          </w:rPr>
                        </w:pPr>
                      </w:p>
                    </w:tc>
                    <w:tc>
                      <w:tcPr>
                        <w:tcW w:w="487" w:type="dxa"/>
                      </w:tcPr>
                      <w:p w14:paraId="08749268" w14:textId="77777777" w:rsidR="00894070" w:rsidRDefault="009B7AFD">
                        <w:pPr>
                          <w:pStyle w:val="TableParagraph"/>
                          <w:spacing w:line="140" w:lineRule="exact"/>
                          <w:ind w:left="0" w:right="39"/>
                          <w:jc w:val="right"/>
                          <w:rPr>
                            <w:sz w:val="13"/>
                          </w:rPr>
                        </w:pPr>
                        <w:r>
                          <w:rPr>
                            <w:color w:val="231F20"/>
                            <w:sz w:val="13"/>
                          </w:rPr>
                          <w:t>113</w:t>
                        </w:r>
                      </w:p>
                    </w:tc>
                  </w:tr>
                  <w:tr w:rsidR="00894070" w14:paraId="3038DDEB" w14:textId="77777777">
                    <w:trPr>
                      <w:trHeight w:val="240"/>
                    </w:trPr>
                    <w:tc>
                      <w:tcPr>
                        <w:tcW w:w="642" w:type="dxa"/>
                        <w:vMerge/>
                        <w:tcBorders>
                          <w:top w:val="nil"/>
                        </w:tcBorders>
                      </w:tcPr>
                      <w:p w14:paraId="4B4CBC93" w14:textId="77777777" w:rsidR="00894070" w:rsidRDefault="00894070">
                        <w:pPr>
                          <w:rPr>
                            <w:sz w:val="2"/>
                            <w:szCs w:val="2"/>
                          </w:rPr>
                        </w:pPr>
                      </w:p>
                    </w:tc>
                    <w:tc>
                      <w:tcPr>
                        <w:tcW w:w="487" w:type="dxa"/>
                      </w:tcPr>
                      <w:p w14:paraId="59EB3ABA" w14:textId="77777777" w:rsidR="00894070" w:rsidRDefault="009B7AFD">
                        <w:pPr>
                          <w:pStyle w:val="TableParagraph"/>
                          <w:spacing w:line="156" w:lineRule="exact"/>
                          <w:ind w:left="0" w:right="35"/>
                          <w:jc w:val="right"/>
                          <w:rPr>
                            <w:sz w:val="13"/>
                          </w:rPr>
                        </w:pPr>
                        <w:r>
                          <w:rPr>
                            <w:color w:val="231F20"/>
                            <w:sz w:val="13"/>
                          </w:rPr>
                          <w:t>114</w:t>
                        </w:r>
                      </w:p>
                    </w:tc>
                  </w:tr>
                  <w:tr w:rsidR="00894070" w14:paraId="685F9EBB" w14:textId="77777777">
                    <w:trPr>
                      <w:trHeight w:val="240"/>
                    </w:trPr>
                    <w:tc>
                      <w:tcPr>
                        <w:tcW w:w="642" w:type="dxa"/>
                        <w:vMerge/>
                        <w:tcBorders>
                          <w:top w:val="nil"/>
                        </w:tcBorders>
                      </w:tcPr>
                      <w:p w14:paraId="10A64CE0" w14:textId="77777777" w:rsidR="00894070" w:rsidRDefault="00894070">
                        <w:pPr>
                          <w:rPr>
                            <w:sz w:val="2"/>
                            <w:szCs w:val="2"/>
                          </w:rPr>
                        </w:pPr>
                      </w:p>
                    </w:tc>
                    <w:tc>
                      <w:tcPr>
                        <w:tcW w:w="487" w:type="dxa"/>
                      </w:tcPr>
                      <w:p w14:paraId="56DFF24F" w14:textId="77777777" w:rsidR="00894070" w:rsidRDefault="009B7AFD">
                        <w:pPr>
                          <w:pStyle w:val="TableParagraph"/>
                          <w:spacing w:before="56" w:line="164" w:lineRule="exact"/>
                          <w:ind w:left="0" w:right="36"/>
                          <w:jc w:val="right"/>
                          <w:rPr>
                            <w:sz w:val="13"/>
                          </w:rPr>
                        </w:pPr>
                        <w:r>
                          <w:rPr>
                            <w:color w:val="231F20"/>
                            <w:sz w:val="13"/>
                          </w:rPr>
                          <w:t>115</w:t>
                        </w:r>
                      </w:p>
                    </w:tc>
                  </w:tr>
                  <w:tr w:rsidR="00894070" w14:paraId="21369BA7" w14:textId="77777777">
                    <w:trPr>
                      <w:trHeight w:val="188"/>
                    </w:trPr>
                    <w:tc>
                      <w:tcPr>
                        <w:tcW w:w="642" w:type="dxa"/>
                        <w:vMerge/>
                        <w:tcBorders>
                          <w:top w:val="nil"/>
                        </w:tcBorders>
                      </w:tcPr>
                      <w:p w14:paraId="37596A90" w14:textId="77777777" w:rsidR="00894070" w:rsidRDefault="00894070">
                        <w:pPr>
                          <w:rPr>
                            <w:sz w:val="2"/>
                            <w:szCs w:val="2"/>
                          </w:rPr>
                        </w:pPr>
                      </w:p>
                    </w:tc>
                    <w:tc>
                      <w:tcPr>
                        <w:tcW w:w="487" w:type="dxa"/>
                      </w:tcPr>
                      <w:p w14:paraId="7C59EF19" w14:textId="77777777" w:rsidR="00894070" w:rsidRDefault="009B7AFD">
                        <w:pPr>
                          <w:pStyle w:val="TableParagraph"/>
                          <w:spacing w:line="156" w:lineRule="exact"/>
                          <w:ind w:left="0" w:right="30"/>
                          <w:jc w:val="right"/>
                          <w:rPr>
                            <w:sz w:val="13"/>
                          </w:rPr>
                        </w:pPr>
                        <w:r>
                          <w:rPr>
                            <w:color w:val="231F20"/>
                            <w:sz w:val="13"/>
                          </w:rPr>
                          <w:t>116</w:t>
                        </w:r>
                      </w:p>
                    </w:tc>
                  </w:tr>
                  <w:tr w:rsidR="00894070" w14:paraId="38F5485F" w14:textId="77777777">
                    <w:trPr>
                      <w:trHeight w:val="313"/>
                    </w:trPr>
                    <w:tc>
                      <w:tcPr>
                        <w:tcW w:w="642" w:type="dxa"/>
                      </w:tcPr>
                      <w:p w14:paraId="46FE1C07" w14:textId="77777777" w:rsidR="00894070" w:rsidRDefault="009B7AFD">
                        <w:pPr>
                          <w:pStyle w:val="TableParagraph"/>
                          <w:spacing w:line="294" w:lineRule="exact"/>
                          <w:ind w:left="33"/>
                          <w:rPr>
                            <w:b/>
                            <w:sz w:val="24"/>
                          </w:rPr>
                        </w:pPr>
                        <w:r>
                          <w:rPr>
                            <w:b/>
                            <w:color w:val="EA5B50"/>
                            <w:sz w:val="24"/>
                          </w:rPr>
                          <w:t>174</w:t>
                        </w:r>
                      </w:p>
                    </w:tc>
                    <w:tc>
                      <w:tcPr>
                        <w:tcW w:w="487" w:type="dxa"/>
                      </w:tcPr>
                      <w:p w14:paraId="1D860187" w14:textId="77777777" w:rsidR="00894070" w:rsidRDefault="009B7AFD">
                        <w:pPr>
                          <w:pStyle w:val="TableParagraph"/>
                          <w:spacing w:before="107"/>
                          <w:ind w:left="0" w:right="45"/>
                          <w:jc w:val="right"/>
                          <w:rPr>
                            <w:sz w:val="13"/>
                          </w:rPr>
                        </w:pPr>
                        <w:r>
                          <w:rPr>
                            <w:color w:val="231F20"/>
                            <w:sz w:val="13"/>
                          </w:rPr>
                          <w:t>117</w:t>
                        </w:r>
                      </w:p>
                    </w:tc>
                  </w:tr>
                </w:tbl>
                <w:p w14:paraId="34E6446C" w14:textId="77777777" w:rsidR="00894070" w:rsidRDefault="00894070">
                  <w:pPr>
                    <w:pStyle w:val="BodyText"/>
                  </w:pPr>
                </w:p>
              </w:txbxContent>
            </v:textbox>
            <w10:wrap anchorx="page"/>
          </v:shape>
        </w:pict>
      </w:r>
      <w:r w:rsidR="009B7AFD">
        <w:rPr>
          <w:color w:val="231F20"/>
          <w:spacing w:val="2"/>
          <w:sz w:val="13"/>
        </w:rPr>
        <w:t xml:space="preserve">Submission 115 </w:t>
      </w:r>
      <w:r w:rsidR="009B7AFD">
        <w:rPr>
          <w:color w:val="231F20"/>
          <w:sz w:val="13"/>
        </w:rPr>
        <w:t xml:space="preserve">(Victoria </w:t>
      </w:r>
      <w:r w:rsidR="009B7AFD">
        <w:rPr>
          <w:color w:val="231F20"/>
          <w:spacing w:val="2"/>
          <w:sz w:val="13"/>
        </w:rPr>
        <w:t xml:space="preserve">Police—supplementary </w:t>
      </w:r>
      <w:r w:rsidR="009B7AFD">
        <w:rPr>
          <w:color w:val="231F20"/>
          <w:sz w:val="13"/>
        </w:rPr>
        <w:t xml:space="preserve">response); Sarah Bright, Lauren Barnaba and </w:t>
      </w:r>
      <w:r w:rsidR="009B7AFD">
        <w:rPr>
          <w:color w:val="231F20"/>
          <w:spacing w:val="2"/>
          <w:sz w:val="13"/>
        </w:rPr>
        <w:t xml:space="preserve">Melanie Millsteed, </w:t>
      </w:r>
      <w:r w:rsidR="009B7AFD">
        <w:rPr>
          <w:i/>
          <w:color w:val="231F20"/>
          <w:sz w:val="13"/>
        </w:rPr>
        <w:t xml:space="preserve">Attrition of Stalking Offence </w:t>
      </w:r>
      <w:r w:rsidR="009B7AFD">
        <w:rPr>
          <w:i/>
          <w:color w:val="231F20"/>
          <w:spacing w:val="2"/>
          <w:sz w:val="13"/>
        </w:rPr>
        <w:t xml:space="preserve">Incidents </w:t>
      </w:r>
      <w:r w:rsidR="009B7AFD">
        <w:rPr>
          <w:i/>
          <w:color w:val="231F20"/>
          <w:sz w:val="13"/>
        </w:rPr>
        <w:t xml:space="preserve">through the Victorian Criminal Justice System </w:t>
      </w:r>
      <w:r w:rsidR="009B7AFD">
        <w:rPr>
          <w:color w:val="231F20"/>
          <w:sz w:val="13"/>
        </w:rPr>
        <w:t xml:space="preserve">(Data </w:t>
      </w:r>
      <w:r w:rsidR="009B7AFD">
        <w:rPr>
          <w:color w:val="231F20"/>
          <w:spacing w:val="2"/>
          <w:sz w:val="13"/>
        </w:rPr>
        <w:t xml:space="preserve">Snapshot, </w:t>
      </w:r>
      <w:r w:rsidR="009B7AFD">
        <w:rPr>
          <w:color w:val="231F20"/>
          <w:sz w:val="13"/>
        </w:rPr>
        <w:t xml:space="preserve">Crime Statistics Agency, forthcoming). </w:t>
      </w:r>
      <w:r w:rsidR="009B7AFD">
        <w:rPr>
          <w:color w:val="231F20"/>
          <w:spacing w:val="2"/>
          <w:sz w:val="13"/>
        </w:rPr>
        <w:t xml:space="preserve">Submission </w:t>
      </w:r>
      <w:r w:rsidR="009B7AFD">
        <w:rPr>
          <w:color w:val="231F20"/>
          <w:sz w:val="13"/>
        </w:rPr>
        <w:t>32 (Centre for Forensic Behavioural Science).</w:t>
      </w:r>
    </w:p>
    <w:p w14:paraId="29FE3A1F" w14:textId="77777777" w:rsidR="00894070" w:rsidRDefault="009B7AFD">
      <w:pPr>
        <w:spacing w:after="8" w:line="213" w:lineRule="auto"/>
        <w:ind w:left="1801" w:right="1459"/>
        <w:rPr>
          <w:sz w:val="13"/>
        </w:rPr>
      </w:pPr>
      <w:r>
        <w:rPr>
          <w:color w:val="231F20"/>
          <w:sz w:val="13"/>
        </w:rPr>
        <w:t xml:space="preserve">Victorian Law Reform Commission, </w:t>
      </w:r>
      <w:r>
        <w:rPr>
          <w:i/>
          <w:color w:val="231F20"/>
          <w:sz w:val="13"/>
        </w:rPr>
        <w:t xml:space="preserve">Stalking: Summary of Responses to Online Feedback Form from People with Experience of Stalking </w:t>
      </w:r>
      <w:r>
        <w:rPr>
          <w:color w:val="231F20"/>
          <w:sz w:val="13"/>
        </w:rPr>
        <w:t>(Report, August 2021).</w:t>
      </w:r>
    </w:p>
    <w:p w14:paraId="1908905B" w14:textId="77777777" w:rsidR="00894070" w:rsidRDefault="009F6793">
      <w:pPr>
        <w:pStyle w:val="BodyText"/>
        <w:spacing w:line="152" w:lineRule="exact"/>
        <w:ind w:left="1801"/>
        <w:rPr>
          <w:sz w:val="15"/>
        </w:rPr>
      </w:pPr>
      <w:r>
        <w:rPr>
          <w:position w:val="-2"/>
          <w:sz w:val="15"/>
        </w:rPr>
      </w:r>
      <w:r>
        <w:rPr>
          <w:position w:val="-2"/>
          <w:sz w:val="15"/>
        </w:rPr>
        <w:pict w14:anchorId="7093C3E2">
          <v:shape id="_x0000_s1736" type="#_x0000_t202" style="width:12.95pt;height:7.65pt;mso-left-percent:-10001;mso-top-percent:-10001;mso-position-horizontal:absolute;mso-position-horizontal-relative:char;mso-position-vertical:absolute;mso-position-vertical-relative:line;mso-left-percent:-10001;mso-top-percent:-10001" filled="f" stroked="f">
            <v:textbox inset="0,0,0,0">
              <w:txbxContent>
                <w:p w14:paraId="061174AF" w14:textId="77777777" w:rsidR="00894070" w:rsidRDefault="009B7AFD">
                  <w:pPr>
                    <w:spacing w:line="153" w:lineRule="exact"/>
                    <w:rPr>
                      <w:sz w:val="13"/>
                    </w:rPr>
                  </w:pPr>
                  <w:r>
                    <w:rPr>
                      <w:color w:val="231F20"/>
                      <w:sz w:val="13"/>
                    </w:rPr>
                    <w:t>Ibid.</w:t>
                  </w:r>
                </w:p>
              </w:txbxContent>
            </v:textbox>
            <w10:anchorlock/>
          </v:shape>
        </w:pict>
      </w:r>
    </w:p>
    <w:p w14:paraId="7896A568" w14:textId="77777777" w:rsidR="00894070" w:rsidRDefault="00894070">
      <w:pPr>
        <w:spacing w:line="152" w:lineRule="exact"/>
        <w:rPr>
          <w:sz w:val="15"/>
        </w:rPr>
        <w:sectPr w:rsidR="00894070">
          <w:pgSz w:w="11910" w:h="16840"/>
          <w:pgMar w:top="860" w:right="420" w:bottom="280" w:left="580" w:header="567" w:footer="0" w:gutter="0"/>
          <w:cols w:space="720"/>
        </w:sectPr>
      </w:pPr>
    </w:p>
    <w:p w14:paraId="46548962" w14:textId="77777777" w:rsidR="00894070" w:rsidRDefault="00894070">
      <w:pPr>
        <w:pStyle w:val="BodyText"/>
      </w:pPr>
    </w:p>
    <w:p w14:paraId="34273F28" w14:textId="77777777" w:rsidR="00894070" w:rsidRDefault="00894070">
      <w:pPr>
        <w:pStyle w:val="BodyText"/>
      </w:pPr>
    </w:p>
    <w:p w14:paraId="60AEB11A" w14:textId="77777777" w:rsidR="00894070" w:rsidRDefault="00894070">
      <w:pPr>
        <w:pStyle w:val="BodyText"/>
      </w:pPr>
    </w:p>
    <w:p w14:paraId="28CD2EE7" w14:textId="77777777" w:rsidR="00894070" w:rsidRDefault="00894070">
      <w:pPr>
        <w:pStyle w:val="BodyText"/>
        <w:spacing w:before="6"/>
        <w:rPr>
          <w:sz w:val="14"/>
        </w:rPr>
      </w:pPr>
    </w:p>
    <w:p w14:paraId="628D2271" w14:textId="77777777" w:rsidR="00894070" w:rsidRDefault="009B7AFD">
      <w:pPr>
        <w:pStyle w:val="ListParagraph"/>
        <w:numPr>
          <w:ilvl w:val="1"/>
          <w:numId w:val="29"/>
        </w:numPr>
        <w:tabs>
          <w:tab w:val="left" w:pos="1801"/>
          <w:tab w:val="left" w:pos="1802"/>
        </w:tabs>
        <w:spacing w:before="90" w:line="206" w:lineRule="auto"/>
        <w:ind w:right="1291"/>
        <w:rPr>
          <w:sz w:val="20"/>
        </w:rPr>
      </w:pPr>
      <w:r>
        <w:rPr>
          <w:color w:val="231F20"/>
          <w:sz w:val="20"/>
        </w:rPr>
        <w:t xml:space="preserve">Assistant </w:t>
      </w:r>
      <w:r>
        <w:rPr>
          <w:color w:val="231F20"/>
          <w:spacing w:val="-3"/>
          <w:sz w:val="20"/>
        </w:rPr>
        <w:t xml:space="preserve">Professor </w:t>
      </w:r>
      <w:r>
        <w:rPr>
          <w:color w:val="231F20"/>
          <w:sz w:val="20"/>
        </w:rPr>
        <w:t xml:space="preserve">Matthew Raj </w:t>
      </w:r>
      <w:r>
        <w:rPr>
          <w:color w:val="231F20"/>
          <w:spacing w:val="-3"/>
          <w:sz w:val="20"/>
        </w:rPr>
        <w:t xml:space="preserve">from </w:t>
      </w:r>
      <w:r>
        <w:rPr>
          <w:color w:val="231F20"/>
          <w:sz w:val="20"/>
        </w:rPr>
        <w:t xml:space="preserve">Bond University highlighted in his submission a ‘harassment warning </w:t>
      </w:r>
      <w:r>
        <w:rPr>
          <w:color w:val="231F20"/>
          <w:spacing w:val="-3"/>
          <w:sz w:val="20"/>
        </w:rPr>
        <w:t xml:space="preserve">letter’ </w:t>
      </w:r>
      <w:r>
        <w:rPr>
          <w:color w:val="231F20"/>
          <w:sz w:val="20"/>
        </w:rPr>
        <w:t xml:space="preserve">used </w:t>
      </w:r>
      <w:r>
        <w:rPr>
          <w:color w:val="231F20"/>
          <w:spacing w:val="-3"/>
          <w:sz w:val="20"/>
        </w:rPr>
        <w:t xml:space="preserve">by </w:t>
      </w:r>
      <w:r>
        <w:rPr>
          <w:color w:val="231F20"/>
          <w:sz w:val="20"/>
        </w:rPr>
        <w:t>Hampshire Constabulary in the United Kingdom. The</w:t>
      </w:r>
      <w:r>
        <w:rPr>
          <w:color w:val="231F20"/>
          <w:spacing w:val="-8"/>
          <w:sz w:val="20"/>
        </w:rPr>
        <w:t xml:space="preserve"> </w:t>
      </w:r>
      <w:r>
        <w:rPr>
          <w:color w:val="231F20"/>
          <w:spacing w:val="-3"/>
          <w:sz w:val="20"/>
        </w:rPr>
        <w:t>letter</w:t>
      </w:r>
      <w:r>
        <w:rPr>
          <w:color w:val="231F20"/>
          <w:spacing w:val="-8"/>
          <w:sz w:val="20"/>
        </w:rPr>
        <w:t xml:space="preserve"> </w:t>
      </w:r>
      <w:r>
        <w:rPr>
          <w:color w:val="231F20"/>
          <w:spacing w:val="-3"/>
          <w:sz w:val="20"/>
        </w:rPr>
        <w:t>would</w:t>
      </w:r>
      <w:r>
        <w:rPr>
          <w:color w:val="231F20"/>
          <w:spacing w:val="-8"/>
          <w:sz w:val="20"/>
        </w:rPr>
        <w:t xml:space="preserve"> </w:t>
      </w:r>
      <w:r>
        <w:rPr>
          <w:color w:val="231F20"/>
          <w:sz w:val="20"/>
        </w:rPr>
        <w:t>make</w:t>
      </w:r>
      <w:r>
        <w:rPr>
          <w:color w:val="231F20"/>
          <w:spacing w:val="-8"/>
          <w:sz w:val="20"/>
        </w:rPr>
        <w:t xml:space="preserve"> </w:t>
      </w:r>
      <w:r>
        <w:rPr>
          <w:color w:val="231F20"/>
          <w:sz w:val="20"/>
        </w:rPr>
        <w:t>the</w:t>
      </w:r>
      <w:r>
        <w:rPr>
          <w:color w:val="231F20"/>
          <w:spacing w:val="-8"/>
          <w:sz w:val="20"/>
        </w:rPr>
        <w:t xml:space="preserve"> </w:t>
      </w:r>
      <w:r>
        <w:rPr>
          <w:color w:val="231F20"/>
          <w:sz w:val="20"/>
        </w:rPr>
        <w:t>person</w:t>
      </w:r>
      <w:r>
        <w:rPr>
          <w:color w:val="231F20"/>
          <w:spacing w:val="-8"/>
          <w:sz w:val="20"/>
        </w:rPr>
        <w:t xml:space="preserve"> </w:t>
      </w:r>
      <w:r>
        <w:rPr>
          <w:color w:val="231F20"/>
          <w:sz w:val="20"/>
        </w:rPr>
        <w:t>who</w:t>
      </w:r>
      <w:r>
        <w:rPr>
          <w:color w:val="231F20"/>
          <w:spacing w:val="-7"/>
          <w:sz w:val="20"/>
        </w:rPr>
        <w:t xml:space="preserve"> </w:t>
      </w:r>
      <w:r>
        <w:rPr>
          <w:color w:val="231F20"/>
          <w:sz w:val="20"/>
        </w:rPr>
        <w:t>was</w:t>
      </w:r>
      <w:r>
        <w:rPr>
          <w:color w:val="231F20"/>
          <w:spacing w:val="-8"/>
          <w:sz w:val="20"/>
        </w:rPr>
        <w:t xml:space="preserve"> </w:t>
      </w:r>
      <w:r>
        <w:rPr>
          <w:color w:val="231F20"/>
          <w:sz w:val="20"/>
        </w:rPr>
        <w:t>stalking</w:t>
      </w:r>
      <w:r>
        <w:rPr>
          <w:color w:val="231F20"/>
          <w:spacing w:val="-8"/>
          <w:sz w:val="20"/>
        </w:rPr>
        <w:t xml:space="preserve"> </w:t>
      </w:r>
      <w:r>
        <w:rPr>
          <w:color w:val="231F20"/>
          <w:spacing w:val="-4"/>
          <w:sz w:val="20"/>
        </w:rPr>
        <w:t>aware</w:t>
      </w:r>
      <w:r>
        <w:rPr>
          <w:color w:val="231F20"/>
          <w:spacing w:val="-8"/>
          <w:sz w:val="20"/>
        </w:rPr>
        <w:t xml:space="preserve"> </w:t>
      </w:r>
      <w:r>
        <w:rPr>
          <w:color w:val="231F20"/>
          <w:sz w:val="20"/>
        </w:rPr>
        <w:t>that</w:t>
      </w:r>
      <w:r>
        <w:rPr>
          <w:color w:val="231F20"/>
          <w:spacing w:val="-8"/>
          <w:sz w:val="20"/>
        </w:rPr>
        <w:t xml:space="preserve"> </w:t>
      </w:r>
      <w:r>
        <w:rPr>
          <w:color w:val="231F20"/>
          <w:sz w:val="20"/>
        </w:rPr>
        <w:t>their</w:t>
      </w:r>
      <w:r>
        <w:rPr>
          <w:color w:val="231F20"/>
          <w:spacing w:val="-8"/>
          <w:sz w:val="20"/>
        </w:rPr>
        <w:t xml:space="preserve"> </w:t>
      </w:r>
      <w:r>
        <w:rPr>
          <w:color w:val="231F20"/>
          <w:sz w:val="20"/>
        </w:rPr>
        <w:t>behaviour</w:t>
      </w:r>
      <w:r>
        <w:rPr>
          <w:color w:val="231F20"/>
          <w:spacing w:val="-7"/>
          <w:sz w:val="20"/>
        </w:rPr>
        <w:t xml:space="preserve"> </w:t>
      </w:r>
      <w:r>
        <w:rPr>
          <w:color w:val="231F20"/>
          <w:sz w:val="20"/>
        </w:rPr>
        <w:t>was</w:t>
      </w:r>
      <w:r>
        <w:rPr>
          <w:color w:val="231F20"/>
          <w:spacing w:val="-8"/>
          <w:sz w:val="20"/>
        </w:rPr>
        <w:t xml:space="preserve"> </w:t>
      </w:r>
      <w:r>
        <w:rPr>
          <w:color w:val="231F20"/>
          <w:sz w:val="20"/>
        </w:rPr>
        <w:t xml:space="preserve">an </w:t>
      </w:r>
      <w:r>
        <w:rPr>
          <w:color w:val="231F20"/>
          <w:spacing w:val="-3"/>
          <w:sz w:val="20"/>
        </w:rPr>
        <w:t>offence.</w:t>
      </w:r>
    </w:p>
    <w:p w14:paraId="5B6F30AD" w14:textId="77777777" w:rsidR="00894070" w:rsidRDefault="009B7AFD">
      <w:pPr>
        <w:pStyle w:val="ListParagraph"/>
        <w:numPr>
          <w:ilvl w:val="1"/>
          <w:numId w:val="29"/>
        </w:numPr>
        <w:tabs>
          <w:tab w:val="left" w:pos="1801"/>
          <w:tab w:val="left" w:pos="1802"/>
        </w:tabs>
        <w:spacing w:before="125" w:line="206" w:lineRule="auto"/>
        <w:ind w:right="1526"/>
        <w:rPr>
          <w:sz w:val="11"/>
        </w:rPr>
      </w:pPr>
      <w:r>
        <w:rPr>
          <w:color w:val="231F20"/>
          <w:sz w:val="20"/>
        </w:rPr>
        <w:t>While</w:t>
      </w:r>
      <w:r>
        <w:rPr>
          <w:color w:val="231F20"/>
          <w:spacing w:val="-7"/>
          <w:sz w:val="20"/>
        </w:rPr>
        <w:t xml:space="preserve"> </w:t>
      </w:r>
      <w:r>
        <w:rPr>
          <w:color w:val="231F20"/>
          <w:sz w:val="20"/>
        </w:rPr>
        <w:t>he</w:t>
      </w:r>
      <w:r>
        <w:rPr>
          <w:color w:val="231F20"/>
          <w:spacing w:val="-7"/>
          <w:sz w:val="20"/>
        </w:rPr>
        <w:t xml:space="preserve"> </w:t>
      </w:r>
      <w:r>
        <w:rPr>
          <w:color w:val="231F20"/>
          <w:sz w:val="20"/>
        </w:rPr>
        <w:t>said</w:t>
      </w:r>
      <w:r>
        <w:rPr>
          <w:color w:val="231F20"/>
          <w:spacing w:val="-7"/>
          <w:sz w:val="20"/>
        </w:rPr>
        <w:t xml:space="preserve"> </w:t>
      </w:r>
      <w:r>
        <w:rPr>
          <w:color w:val="231F20"/>
          <w:sz w:val="20"/>
        </w:rPr>
        <w:t>such</w:t>
      </w:r>
      <w:r>
        <w:rPr>
          <w:color w:val="231F20"/>
          <w:spacing w:val="-7"/>
          <w:sz w:val="20"/>
        </w:rPr>
        <w:t xml:space="preserve"> </w:t>
      </w:r>
      <w:r>
        <w:rPr>
          <w:color w:val="231F20"/>
          <w:spacing w:val="-3"/>
          <w:sz w:val="20"/>
        </w:rPr>
        <w:t>letters</w:t>
      </w:r>
      <w:r>
        <w:rPr>
          <w:color w:val="231F20"/>
          <w:spacing w:val="-7"/>
          <w:sz w:val="20"/>
        </w:rPr>
        <w:t xml:space="preserve"> </w:t>
      </w:r>
      <w:r>
        <w:rPr>
          <w:color w:val="231F20"/>
          <w:sz w:val="20"/>
        </w:rPr>
        <w:t>could</w:t>
      </w:r>
      <w:r>
        <w:rPr>
          <w:color w:val="231F20"/>
          <w:spacing w:val="-7"/>
          <w:sz w:val="20"/>
        </w:rPr>
        <w:t xml:space="preserve"> </w:t>
      </w:r>
      <w:r>
        <w:rPr>
          <w:color w:val="231F20"/>
          <w:spacing w:val="-4"/>
          <w:sz w:val="20"/>
        </w:rPr>
        <w:t>prevent</w:t>
      </w:r>
      <w:r>
        <w:rPr>
          <w:color w:val="231F20"/>
          <w:spacing w:val="-6"/>
          <w:sz w:val="20"/>
        </w:rPr>
        <w:t xml:space="preserve"> </w:t>
      </w:r>
      <w:r>
        <w:rPr>
          <w:color w:val="231F20"/>
          <w:sz w:val="20"/>
        </w:rPr>
        <w:t>the</w:t>
      </w:r>
      <w:r>
        <w:rPr>
          <w:color w:val="231F20"/>
          <w:spacing w:val="-7"/>
          <w:sz w:val="20"/>
        </w:rPr>
        <w:t xml:space="preserve"> </w:t>
      </w:r>
      <w:r>
        <w:rPr>
          <w:color w:val="231F20"/>
          <w:sz w:val="20"/>
        </w:rPr>
        <w:t>PSIO</w:t>
      </w:r>
      <w:r>
        <w:rPr>
          <w:color w:val="231F20"/>
          <w:spacing w:val="-7"/>
          <w:sz w:val="20"/>
        </w:rPr>
        <w:t xml:space="preserve"> </w:t>
      </w:r>
      <w:r>
        <w:rPr>
          <w:color w:val="231F20"/>
          <w:spacing w:val="-2"/>
          <w:sz w:val="20"/>
        </w:rPr>
        <w:t>system</w:t>
      </w:r>
      <w:r>
        <w:rPr>
          <w:color w:val="231F20"/>
          <w:spacing w:val="-7"/>
          <w:sz w:val="20"/>
        </w:rPr>
        <w:t xml:space="preserve"> </w:t>
      </w:r>
      <w:r>
        <w:rPr>
          <w:color w:val="231F20"/>
          <w:spacing w:val="-3"/>
          <w:sz w:val="20"/>
        </w:rPr>
        <w:t>from</w:t>
      </w:r>
      <w:r>
        <w:rPr>
          <w:color w:val="231F20"/>
          <w:spacing w:val="-7"/>
          <w:sz w:val="20"/>
        </w:rPr>
        <w:t xml:space="preserve"> </w:t>
      </w:r>
      <w:r>
        <w:rPr>
          <w:color w:val="231F20"/>
          <w:sz w:val="20"/>
        </w:rPr>
        <w:t>being</w:t>
      </w:r>
      <w:r>
        <w:rPr>
          <w:color w:val="231F20"/>
          <w:spacing w:val="-7"/>
          <w:sz w:val="20"/>
        </w:rPr>
        <w:t xml:space="preserve"> </w:t>
      </w:r>
      <w:r>
        <w:rPr>
          <w:color w:val="231F20"/>
          <w:sz w:val="20"/>
        </w:rPr>
        <w:t xml:space="preserve">overwhelmed (see </w:t>
      </w:r>
      <w:r>
        <w:rPr>
          <w:color w:val="231F20"/>
          <w:spacing w:val="-3"/>
          <w:sz w:val="20"/>
        </w:rPr>
        <w:t xml:space="preserve">Chapter </w:t>
      </w:r>
      <w:r>
        <w:rPr>
          <w:color w:val="231F20"/>
          <w:spacing w:val="-4"/>
          <w:sz w:val="20"/>
        </w:rPr>
        <w:t xml:space="preserve">6), </w:t>
      </w:r>
      <w:r>
        <w:rPr>
          <w:color w:val="231F20"/>
          <w:sz w:val="20"/>
        </w:rPr>
        <w:t xml:space="preserve">he said that police should </w:t>
      </w:r>
      <w:r>
        <w:rPr>
          <w:color w:val="231F20"/>
          <w:spacing w:val="-4"/>
          <w:sz w:val="20"/>
        </w:rPr>
        <w:t xml:space="preserve">have </w:t>
      </w:r>
      <w:r>
        <w:rPr>
          <w:color w:val="231F20"/>
          <w:sz w:val="20"/>
        </w:rPr>
        <w:t>proper guidelines to issue these letters.</w:t>
      </w:r>
      <w:r>
        <w:rPr>
          <w:color w:val="231F20"/>
          <w:position w:val="7"/>
          <w:sz w:val="11"/>
        </w:rPr>
        <w:t>118</w:t>
      </w:r>
    </w:p>
    <w:p w14:paraId="53AB3EB4" w14:textId="77777777" w:rsidR="00894070" w:rsidRDefault="009B7AFD">
      <w:pPr>
        <w:pStyle w:val="ListParagraph"/>
        <w:numPr>
          <w:ilvl w:val="1"/>
          <w:numId w:val="29"/>
        </w:numPr>
        <w:tabs>
          <w:tab w:val="left" w:pos="1801"/>
          <w:tab w:val="left" w:pos="1802"/>
        </w:tabs>
        <w:spacing w:before="124" w:line="206" w:lineRule="auto"/>
        <w:ind w:right="1230"/>
        <w:rPr>
          <w:sz w:val="11"/>
        </w:rPr>
      </w:pPr>
      <w:r>
        <w:rPr>
          <w:color w:val="231F20"/>
          <w:sz w:val="20"/>
        </w:rPr>
        <w:t>He</w:t>
      </w:r>
      <w:r>
        <w:rPr>
          <w:color w:val="231F20"/>
          <w:spacing w:val="-11"/>
          <w:sz w:val="20"/>
        </w:rPr>
        <w:t xml:space="preserve"> </w:t>
      </w:r>
      <w:r>
        <w:rPr>
          <w:color w:val="231F20"/>
          <w:sz w:val="20"/>
        </w:rPr>
        <w:t>noted</w:t>
      </w:r>
      <w:r>
        <w:rPr>
          <w:color w:val="231F20"/>
          <w:spacing w:val="-10"/>
          <w:sz w:val="20"/>
        </w:rPr>
        <w:t xml:space="preserve"> </w:t>
      </w:r>
      <w:r>
        <w:rPr>
          <w:color w:val="231F20"/>
          <w:sz w:val="20"/>
        </w:rPr>
        <w:t>that</w:t>
      </w:r>
      <w:r>
        <w:rPr>
          <w:color w:val="231F20"/>
          <w:spacing w:val="-10"/>
          <w:sz w:val="20"/>
        </w:rPr>
        <w:t xml:space="preserve"> </w:t>
      </w:r>
      <w:r>
        <w:rPr>
          <w:color w:val="231F20"/>
          <w:sz w:val="20"/>
        </w:rPr>
        <w:t>‘no</w:t>
      </w:r>
      <w:r>
        <w:rPr>
          <w:color w:val="231F20"/>
          <w:spacing w:val="-10"/>
          <w:sz w:val="20"/>
        </w:rPr>
        <w:t xml:space="preserve"> </w:t>
      </w:r>
      <w:r>
        <w:rPr>
          <w:color w:val="231F20"/>
          <w:sz w:val="20"/>
        </w:rPr>
        <w:t>robust</w:t>
      </w:r>
      <w:r>
        <w:rPr>
          <w:color w:val="231F20"/>
          <w:spacing w:val="-10"/>
          <w:sz w:val="20"/>
        </w:rPr>
        <w:t xml:space="preserve"> </w:t>
      </w:r>
      <w:r>
        <w:rPr>
          <w:color w:val="231F20"/>
          <w:sz w:val="20"/>
        </w:rPr>
        <w:t>empirical</w:t>
      </w:r>
      <w:r>
        <w:rPr>
          <w:color w:val="231F20"/>
          <w:spacing w:val="-10"/>
          <w:sz w:val="20"/>
        </w:rPr>
        <w:t xml:space="preserve"> </w:t>
      </w:r>
      <w:r>
        <w:rPr>
          <w:color w:val="231F20"/>
          <w:sz w:val="20"/>
        </w:rPr>
        <w:t>data</w:t>
      </w:r>
      <w:r>
        <w:rPr>
          <w:color w:val="231F20"/>
          <w:spacing w:val="-10"/>
          <w:sz w:val="20"/>
        </w:rPr>
        <w:t xml:space="preserve"> </w:t>
      </w:r>
      <w:r>
        <w:rPr>
          <w:color w:val="231F20"/>
          <w:sz w:val="20"/>
        </w:rPr>
        <w:t>exist</w:t>
      </w:r>
      <w:r>
        <w:rPr>
          <w:color w:val="231F20"/>
          <w:spacing w:val="-10"/>
          <w:sz w:val="20"/>
        </w:rPr>
        <w:t xml:space="preserve"> </w:t>
      </w:r>
      <w:r>
        <w:rPr>
          <w:color w:val="231F20"/>
          <w:sz w:val="20"/>
        </w:rPr>
        <w:t>in</w:t>
      </w:r>
      <w:r>
        <w:rPr>
          <w:color w:val="231F20"/>
          <w:spacing w:val="-10"/>
          <w:sz w:val="20"/>
        </w:rPr>
        <w:t xml:space="preserve"> </w:t>
      </w:r>
      <w:r>
        <w:rPr>
          <w:color w:val="231F20"/>
          <w:sz w:val="20"/>
        </w:rPr>
        <w:t>relation</w:t>
      </w:r>
      <w:r>
        <w:rPr>
          <w:color w:val="231F20"/>
          <w:spacing w:val="-10"/>
          <w:sz w:val="20"/>
        </w:rPr>
        <w:t xml:space="preserve"> </w:t>
      </w:r>
      <w:r>
        <w:rPr>
          <w:color w:val="231F20"/>
          <w:sz w:val="20"/>
        </w:rPr>
        <w:t>to</w:t>
      </w:r>
      <w:r>
        <w:rPr>
          <w:color w:val="231F20"/>
          <w:spacing w:val="-10"/>
          <w:sz w:val="20"/>
        </w:rPr>
        <w:t xml:space="preserve"> </w:t>
      </w:r>
      <w:r>
        <w:rPr>
          <w:color w:val="231F20"/>
          <w:sz w:val="20"/>
        </w:rPr>
        <w:t>its</w:t>
      </w:r>
      <w:r>
        <w:rPr>
          <w:color w:val="231F20"/>
          <w:spacing w:val="-10"/>
          <w:sz w:val="20"/>
        </w:rPr>
        <w:t xml:space="preserve"> </w:t>
      </w:r>
      <w:r>
        <w:rPr>
          <w:color w:val="231F20"/>
          <w:sz w:val="20"/>
        </w:rPr>
        <w:t>use,</w:t>
      </w:r>
      <w:r>
        <w:rPr>
          <w:color w:val="231F20"/>
          <w:spacing w:val="-10"/>
          <w:sz w:val="20"/>
        </w:rPr>
        <w:t xml:space="preserve"> </w:t>
      </w:r>
      <w:r>
        <w:rPr>
          <w:color w:val="231F20"/>
          <w:sz w:val="20"/>
        </w:rPr>
        <w:t>frequency</w:t>
      </w:r>
      <w:r>
        <w:rPr>
          <w:color w:val="231F20"/>
          <w:spacing w:val="-10"/>
          <w:sz w:val="20"/>
        </w:rPr>
        <w:t xml:space="preserve"> </w:t>
      </w:r>
      <w:r>
        <w:rPr>
          <w:color w:val="231F20"/>
          <w:sz w:val="20"/>
        </w:rPr>
        <w:t>and</w:t>
      </w:r>
      <w:r>
        <w:rPr>
          <w:color w:val="231F20"/>
          <w:spacing w:val="-10"/>
          <w:sz w:val="20"/>
        </w:rPr>
        <w:t xml:space="preserve"> </w:t>
      </w:r>
      <w:r>
        <w:rPr>
          <w:color w:val="231F20"/>
          <w:spacing w:val="-3"/>
          <w:sz w:val="20"/>
        </w:rPr>
        <w:t>rate</w:t>
      </w:r>
      <w:r>
        <w:rPr>
          <w:color w:val="231F20"/>
          <w:spacing w:val="-10"/>
          <w:sz w:val="20"/>
        </w:rPr>
        <w:t xml:space="preserve"> </w:t>
      </w:r>
      <w:r>
        <w:rPr>
          <w:color w:val="231F20"/>
          <w:sz w:val="20"/>
        </w:rPr>
        <w:t xml:space="preserve">of success in deterring </w:t>
      </w:r>
      <w:r>
        <w:rPr>
          <w:color w:val="231F20"/>
          <w:spacing w:val="-3"/>
          <w:sz w:val="20"/>
        </w:rPr>
        <w:t>unwanted</w:t>
      </w:r>
      <w:r>
        <w:rPr>
          <w:color w:val="231F20"/>
          <w:spacing w:val="-18"/>
          <w:sz w:val="20"/>
        </w:rPr>
        <w:t xml:space="preserve"> </w:t>
      </w:r>
      <w:r>
        <w:rPr>
          <w:color w:val="231F20"/>
          <w:sz w:val="20"/>
        </w:rPr>
        <w:t>behaviour’.</w:t>
      </w:r>
      <w:r>
        <w:rPr>
          <w:color w:val="231F20"/>
          <w:position w:val="7"/>
          <w:sz w:val="11"/>
        </w:rPr>
        <w:t>119</w:t>
      </w:r>
    </w:p>
    <w:p w14:paraId="6B9161C5" w14:textId="77777777" w:rsidR="00894070" w:rsidRDefault="009B7AFD">
      <w:pPr>
        <w:pStyle w:val="ListParagraph"/>
        <w:numPr>
          <w:ilvl w:val="1"/>
          <w:numId w:val="29"/>
        </w:numPr>
        <w:tabs>
          <w:tab w:val="left" w:pos="1801"/>
          <w:tab w:val="left" w:pos="1802"/>
        </w:tabs>
        <w:spacing w:before="122" w:line="206" w:lineRule="auto"/>
        <w:ind w:right="1473"/>
        <w:rPr>
          <w:sz w:val="11"/>
        </w:rPr>
      </w:pPr>
      <w:r>
        <w:rPr>
          <w:color w:val="231F20"/>
          <w:sz w:val="20"/>
        </w:rPr>
        <w:t xml:space="preserve">In </w:t>
      </w:r>
      <w:r>
        <w:rPr>
          <w:color w:val="231F20"/>
          <w:spacing w:val="-3"/>
          <w:sz w:val="20"/>
        </w:rPr>
        <w:t xml:space="preserve">2018, </w:t>
      </w:r>
      <w:r>
        <w:rPr>
          <w:color w:val="231F20"/>
          <w:sz w:val="20"/>
        </w:rPr>
        <w:t xml:space="preserve">a briefing paper published </w:t>
      </w:r>
      <w:r>
        <w:rPr>
          <w:color w:val="231F20"/>
          <w:spacing w:val="-3"/>
          <w:sz w:val="20"/>
        </w:rPr>
        <w:t xml:space="preserve">by </w:t>
      </w:r>
      <w:r>
        <w:rPr>
          <w:color w:val="231F20"/>
          <w:sz w:val="20"/>
        </w:rPr>
        <w:t xml:space="preserve">the House of Commons recommended that police-issued </w:t>
      </w:r>
      <w:r>
        <w:rPr>
          <w:color w:val="231F20"/>
          <w:spacing w:val="-3"/>
          <w:sz w:val="20"/>
        </w:rPr>
        <w:t xml:space="preserve">early </w:t>
      </w:r>
      <w:r>
        <w:rPr>
          <w:color w:val="231F20"/>
          <w:sz w:val="20"/>
        </w:rPr>
        <w:t xml:space="preserve">warning notices in England and </w:t>
      </w:r>
      <w:r>
        <w:rPr>
          <w:color w:val="231F20"/>
          <w:spacing w:val="-4"/>
          <w:sz w:val="20"/>
        </w:rPr>
        <w:t xml:space="preserve">Wales </w:t>
      </w:r>
      <w:r>
        <w:rPr>
          <w:color w:val="231F20"/>
          <w:sz w:val="20"/>
        </w:rPr>
        <w:t>should end.</w:t>
      </w:r>
      <w:r>
        <w:rPr>
          <w:color w:val="231F20"/>
          <w:position w:val="7"/>
          <w:sz w:val="11"/>
        </w:rPr>
        <w:t xml:space="preserve">120 </w:t>
      </w:r>
      <w:r>
        <w:rPr>
          <w:color w:val="231F20"/>
          <w:sz w:val="20"/>
        </w:rPr>
        <w:t xml:space="preserve">A </w:t>
      </w:r>
      <w:r>
        <w:rPr>
          <w:color w:val="231F20"/>
          <w:spacing w:val="-4"/>
          <w:sz w:val="20"/>
        </w:rPr>
        <w:t xml:space="preserve">review </w:t>
      </w:r>
      <w:r>
        <w:rPr>
          <w:color w:val="231F20"/>
          <w:sz w:val="20"/>
        </w:rPr>
        <w:t>found</w:t>
      </w:r>
      <w:r>
        <w:rPr>
          <w:color w:val="231F20"/>
          <w:spacing w:val="-6"/>
          <w:sz w:val="20"/>
        </w:rPr>
        <w:t xml:space="preserve"> </w:t>
      </w:r>
      <w:r>
        <w:rPr>
          <w:color w:val="231F20"/>
          <w:spacing w:val="-3"/>
          <w:sz w:val="20"/>
        </w:rPr>
        <w:t>‘many</w:t>
      </w:r>
      <w:r>
        <w:rPr>
          <w:color w:val="231F20"/>
          <w:spacing w:val="-5"/>
          <w:sz w:val="20"/>
        </w:rPr>
        <w:t xml:space="preserve"> </w:t>
      </w:r>
      <w:r>
        <w:rPr>
          <w:color w:val="231F20"/>
          <w:spacing w:val="-3"/>
          <w:sz w:val="20"/>
        </w:rPr>
        <w:t>examples</w:t>
      </w:r>
      <w:r>
        <w:rPr>
          <w:color w:val="231F20"/>
          <w:spacing w:val="-6"/>
          <w:sz w:val="20"/>
        </w:rPr>
        <w:t xml:space="preserve"> </w:t>
      </w:r>
      <w:r>
        <w:rPr>
          <w:color w:val="231F20"/>
          <w:sz w:val="20"/>
        </w:rPr>
        <w:t>of</w:t>
      </w:r>
      <w:r>
        <w:rPr>
          <w:color w:val="231F20"/>
          <w:spacing w:val="-5"/>
          <w:sz w:val="20"/>
        </w:rPr>
        <w:t xml:space="preserve"> </w:t>
      </w:r>
      <w:r>
        <w:rPr>
          <w:color w:val="231F20"/>
          <w:spacing w:val="-3"/>
          <w:sz w:val="20"/>
        </w:rPr>
        <w:t>inappropriate</w:t>
      </w:r>
      <w:r>
        <w:rPr>
          <w:color w:val="231F20"/>
          <w:spacing w:val="-6"/>
          <w:sz w:val="20"/>
        </w:rPr>
        <w:t xml:space="preserve"> </w:t>
      </w:r>
      <w:r>
        <w:rPr>
          <w:color w:val="231F20"/>
          <w:sz w:val="20"/>
        </w:rPr>
        <w:t>use</w:t>
      </w:r>
      <w:r>
        <w:rPr>
          <w:color w:val="231F20"/>
          <w:spacing w:val="-5"/>
          <w:sz w:val="20"/>
        </w:rPr>
        <w:t xml:space="preserve"> </w:t>
      </w:r>
      <w:r>
        <w:rPr>
          <w:color w:val="231F20"/>
          <w:sz w:val="20"/>
        </w:rPr>
        <w:t>…</w:t>
      </w:r>
      <w:r>
        <w:rPr>
          <w:color w:val="231F20"/>
          <w:spacing w:val="-6"/>
          <w:sz w:val="20"/>
        </w:rPr>
        <w:t xml:space="preserve"> </w:t>
      </w:r>
      <w:r>
        <w:rPr>
          <w:color w:val="231F20"/>
          <w:sz w:val="20"/>
        </w:rPr>
        <w:t>where</w:t>
      </w:r>
      <w:r>
        <w:rPr>
          <w:color w:val="231F20"/>
          <w:spacing w:val="-5"/>
          <w:sz w:val="20"/>
        </w:rPr>
        <w:t xml:space="preserve"> </w:t>
      </w:r>
      <w:r>
        <w:rPr>
          <w:color w:val="231F20"/>
          <w:sz w:val="20"/>
        </w:rPr>
        <w:t>what</w:t>
      </w:r>
      <w:r>
        <w:rPr>
          <w:color w:val="231F20"/>
          <w:spacing w:val="-6"/>
          <w:sz w:val="20"/>
        </w:rPr>
        <w:t xml:space="preserve"> </w:t>
      </w:r>
      <w:r>
        <w:rPr>
          <w:color w:val="231F20"/>
          <w:sz w:val="20"/>
        </w:rPr>
        <w:t>was</w:t>
      </w:r>
      <w:r>
        <w:rPr>
          <w:color w:val="231F20"/>
          <w:spacing w:val="-5"/>
          <w:sz w:val="20"/>
        </w:rPr>
        <w:t xml:space="preserve"> </w:t>
      </w:r>
      <w:r>
        <w:rPr>
          <w:color w:val="231F20"/>
          <w:spacing w:val="-3"/>
          <w:sz w:val="20"/>
        </w:rPr>
        <w:t>required</w:t>
      </w:r>
      <w:r>
        <w:rPr>
          <w:color w:val="231F20"/>
          <w:spacing w:val="-6"/>
          <w:sz w:val="20"/>
        </w:rPr>
        <w:t xml:space="preserve"> </w:t>
      </w:r>
      <w:r>
        <w:rPr>
          <w:color w:val="231F20"/>
          <w:sz w:val="20"/>
        </w:rPr>
        <w:t>was</w:t>
      </w:r>
      <w:r>
        <w:rPr>
          <w:color w:val="231F20"/>
          <w:spacing w:val="-5"/>
          <w:sz w:val="20"/>
        </w:rPr>
        <w:t xml:space="preserve"> </w:t>
      </w:r>
      <w:r>
        <w:rPr>
          <w:color w:val="231F20"/>
          <w:sz w:val="20"/>
        </w:rPr>
        <w:t>a</w:t>
      </w:r>
      <w:r>
        <w:rPr>
          <w:color w:val="231F20"/>
          <w:spacing w:val="-5"/>
          <w:sz w:val="20"/>
        </w:rPr>
        <w:t xml:space="preserve"> </w:t>
      </w:r>
      <w:r>
        <w:rPr>
          <w:color w:val="231F20"/>
          <w:sz w:val="20"/>
        </w:rPr>
        <w:t xml:space="preserve">robust </w:t>
      </w:r>
      <w:r>
        <w:rPr>
          <w:color w:val="231F20"/>
          <w:spacing w:val="-3"/>
          <w:sz w:val="20"/>
        </w:rPr>
        <w:t xml:space="preserve">investigation </w:t>
      </w:r>
      <w:r>
        <w:rPr>
          <w:color w:val="231F20"/>
          <w:sz w:val="20"/>
        </w:rPr>
        <w:t xml:space="preserve">with [action taken] to </w:t>
      </w:r>
      <w:r>
        <w:rPr>
          <w:color w:val="231F20"/>
          <w:spacing w:val="-3"/>
          <w:sz w:val="20"/>
        </w:rPr>
        <w:t xml:space="preserve">protect </w:t>
      </w:r>
      <w:r>
        <w:rPr>
          <w:color w:val="231F20"/>
          <w:sz w:val="20"/>
        </w:rPr>
        <w:t xml:space="preserve">the vulnerable </w:t>
      </w:r>
      <w:r>
        <w:rPr>
          <w:color w:val="231F20"/>
          <w:spacing w:val="-3"/>
          <w:sz w:val="20"/>
        </w:rPr>
        <w:t>victim’.</w:t>
      </w:r>
      <w:r>
        <w:rPr>
          <w:color w:val="231F20"/>
          <w:spacing w:val="-3"/>
          <w:position w:val="7"/>
          <w:sz w:val="11"/>
        </w:rPr>
        <w:t xml:space="preserve">121 </w:t>
      </w:r>
      <w:r>
        <w:rPr>
          <w:color w:val="231F20"/>
          <w:sz w:val="20"/>
        </w:rPr>
        <w:t xml:space="preserve">The </w:t>
      </w:r>
      <w:r>
        <w:rPr>
          <w:color w:val="231F20"/>
          <w:spacing w:val="-4"/>
          <w:sz w:val="20"/>
        </w:rPr>
        <w:t xml:space="preserve">review </w:t>
      </w:r>
      <w:r>
        <w:rPr>
          <w:color w:val="231F20"/>
          <w:sz w:val="20"/>
        </w:rPr>
        <w:t xml:space="preserve">noted that </w:t>
      </w:r>
      <w:r>
        <w:rPr>
          <w:color w:val="231F20"/>
          <w:spacing w:val="-3"/>
          <w:sz w:val="20"/>
        </w:rPr>
        <w:t xml:space="preserve">removing early </w:t>
      </w:r>
      <w:r>
        <w:rPr>
          <w:color w:val="231F20"/>
          <w:sz w:val="20"/>
        </w:rPr>
        <w:t xml:space="preserve">warning notices </w:t>
      </w:r>
      <w:r>
        <w:rPr>
          <w:color w:val="231F20"/>
          <w:spacing w:val="-3"/>
          <w:sz w:val="20"/>
        </w:rPr>
        <w:t xml:space="preserve">would result </w:t>
      </w:r>
      <w:r>
        <w:rPr>
          <w:color w:val="231F20"/>
          <w:sz w:val="20"/>
        </w:rPr>
        <w:t xml:space="preserve">in </w:t>
      </w:r>
      <w:r>
        <w:rPr>
          <w:color w:val="231F20"/>
          <w:spacing w:val="-3"/>
          <w:sz w:val="20"/>
        </w:rPr>
        <w:t xml:space="preserve">improved </w:t>
      </w:r>
      <w:r>
        <w:rPr>
          <w:color w:val="231F20"/>
          <w:sz w:val="20"/>
        </w:rPr>
        <w:t>police responses to stalking.</w:t>
      </w:r>
      <w:r>
        <w:rPr>
          <w:color w:val="231F20"/>
          <w:position w:val="7"/>
          <w:sz w:val="11"/>
        </w:rPr>
        <w:t>122</w:t>
      </w:r>
    </w:p>
    <w:p w14:paraId="4360AF5D" w14:textId="77777777" w:rsidR="00894070" w:rsidRDefault="009B7AFD">
      <w:pPr>
        <w:pStyle w:val="ListParagraph"/>
        <w:numPr>
          <w:ilvl w:val="1"/>
          <w:numId w:val="29"/>
        </w:numPr>
        <w:tabs>
          <w:tab w:val="left" w:pos="1801"/>
          <w:tab w:val="left" w:pos="1802"/>
        </w:tabs>
        <w:spacing w:before="128" w:line="206" w:lineRule="auto"/>
        <w:ind w:right="1308"/>
        <w:rPr>
          <w:sz w:val="11"/>
        </w:rPr>
      </w:pPr>
      <w:r>
        <w:rPr>
          <w:color w:val="231F20"/>
          <w:sz w:val="20"/>
        </w:rPr>
        <w:t xml:space="preserve">Another study reported: ‘In a number of cases, victims </w:t>
      </w:r>
      <w:r>
        <w:rPr>
          <w:color w:val="231F20"/>
          <w:spacing w:val="-3"/>
          <w:sz w:val="20"/>
        </w:rPr>
        <w:t xml:space="preserve">prefer </w:t>
      </w:r>
      <w:r>
        <w:rPr>
          <w:color w:val="231F20"/>
          <w:sz w:val="20"/>
        </w:rPr>
        <w:t xml:space="preserve">an </w:t>
      </w:r>
      <w:r>
        <w:rPr>
          <w:color w:val="231F20"/>
          <w:spacing w:val="-3"/>
          <w:sz w:val="20"/>
        </w:rPr>
        <w:t xml:space="preserve">informal </w:t>
      </w:r>
      <w:r>
        <w:rPr>
          <w:color w:val="231F20"/>
          <w:sz w:val="20"/>
        </w:rPr>
        <w:t xml:space="preserve">response </w:t>
      </w:r>
      <w:r>
        <w:rPr>
          <w:color w:val="231F20"/>
          <w:spacing w:val="-3"/>
          <w:sz w:val="20"/>
        </w:rPr>
        <w:t xml:space="preserve">from </w:t>
      </w:r>
      <w:r>
        <w:rPr>
          <w:color w:val="231F20"/>
          <w:sz w:val="20"/>
        </w:rPr>
        <w:t xml:space="preserve">police </w:t>
      </w:r>
      <w:r>
        <w:rPr>
          <w:color w:val="231F20"/>
          <w:spacing w:val="-3"/>
          <w:sz w:val="20"/>
        </w:rPr>
        <w:t xml:space="preserve">like </w:t>
      </w:r>
      <w:r>
        <w:rPr>
          <w:color w:val="231F20"/>
          <w:sz w:val="20"/>
        </w:rPr>
        <w:t xml:space="preserve">a warning or </w:t>
      </w:r>
      <w:r>
        <w:rPr>
          <w:color w:val="231F20"/>
          <w:spacing w:val="-3"/>
          <w:sz w:val="20"/>
        </w:rPr>
        <w:t xml:space="preserve">conversation </w:t>
      </w:r>
      <w:r>
        <w:rPr>
          <w:color w:val="231F20"/>
          <w:sz w:val="20"/>
        </w:rPr>
        <w:t>with the perpetrator’.</w:t>
      </w:r>
      <w:r>
        <w:rPr>
          <w:color w:val="231F20"/>
          <w:position w:val="7"/>
          <w:sz w:val="11"/>
        </w:rPr>
        <w:t xml:space="preserve">123 </w:t>
      </w:r>
      <w:r>
        <w:rPr>
          <w:color w:val="231F20"/>
          <w:sz w:val="20"/>
        </w:rPr>
        <w:t xml:space="preserve">But in </w:t>
      </w:r>
      <w:r>
        <w:rPr>
          <w:color w:val="231F20"/>
          <w:spacing w:val="-3"/>
          <w:sz w:val="20"/>
        </w:rPr>
        <w:t xml:space="preserve">interviews </w:t>
      </w:r>
      <w:r>
        <w:rPr>
          <w:color w:val="231F20"/>
          <w:sz w:val="20"/>
        </w:rPr>
        <w:t xml:space="preserve">with victim support practitioners about the practice, most </w:t>
      </w:r>
      <w:r>
        <w:rPr>
          <w:color w:val="231F20"/>
          <w:spacing w:val="-3"/>
          <w:sz w:val="20"/>
        </w:rPr>
        <w:t xml:space="preserve">felt </w:t>
      </w:r>
      <w:r>
        <w:rPr>
          <w:color w:val="231F20"/>
          <w:sz w:val="20"/>
        </w:rPr>
        <w:t xml:space="preserve">that the use of stop </w:t>
      </w:r>
      <w:r>
        <w:rPr>
          <w:color w:val="231F20"/>
          <w:spacing w:val="-3"/>
          <w:sz w:val="20"/>
        </w:rPr>
        <w:t xml:space="preserve">conversations </w:t>
      </w:r>
      <w:r>
        <w:rPr>
          <w:color w:val="231F20"/>
          <w:sz w:val="20"/>
        </w:rPr>
        <w:t xml:space="preserve">as a first </w:t>
      </w:r>
      <w:r>
        <w:rPr>
          <w:color w:val="231F20"/>
          <w:spacing w:val="-2"/>
          <w:sz w:val="20"/>
        </w:rPr>
        <w:t xml:space="preserve">intervention </w:t>
      </w:r>
      <w:r>
        <w:rPr>
          <w:color w:val="231F20"/>
          <w:sz w:val="20"/>
        </w:rPr>
        <w:t xml:space="preserve">was </w:t>
      </w:r>
      <w:r>
        <w:rPr>
          <w:color w:val="231F20"/>
          <w:spacing w:val="-3"/>
          <w:sz w:val="20"/>
        </w:rPr>
        <w:t>‘problematic’.</w:t>
      </w:r>
      <w:r>
        <w:rPr>
          <w:color w:val="231F20"/>
          <w:spacing w:val="-3"/>
          <w:position w:val="7"/>
          <w:sz w:val="11"/>
        </w:rPr>
        <w:t xml:space="preserve">124 </w:t>
      </w:r>
      <w:r>
        <w:rPr>
          <w:color w:val="231F20"/>
          <w:sz w:val="20"/>
        </w:rPr>
        <w:t>Their concerns included that the</w:t>
      </w:r>
      <w:r>
        <w:rPr>
          <w:color w:val="231F20"/>
          <w:spacing w:val="-12"/>
          <w:sz w:val="20"/>
        </w:rPr>
        <w:t xml:space="preserve"> </w:t>
      </w:r>
      <w:r>
        <w:rPr>
          <w:color w:val="231F20"/>
          <w:sz w:val="20"/>
        </w:rPr>
        <w:t>practice</w:t>
      </w:r>
      <w:r>
        <w:rPr>
          <w:color w:val="231F20"/>
          <w:spacing w:val="-11"/>
          <w:sz w:val="20"/>
        </w:rPr>
        <w:t xml:space="preserve"> </w:t>
      </w:r>
      <w:r>
        <w:rPr>
          <w:color w:val="231F20"/>
          <w:sz w:val="20"/>
        </w:rPr>
        <w:t>can</w:t>
      </w:r>
      <w:r>
        <w:rPr>
          <w:color w:val="231F20"/>
          <w:spacing w:val="-11"/>
          <w:sz w:val="20"/>
        </w:rPr>
        <w:t xml:space="preserve"> </w:t>
      </w:r>
      <w:r>
        <w:rPr>
          <w:color w:val="231F20"/>
          <w:sz w:val="20"/>
        </w:rPr>
        <w:t>minimise</w:t>
      </w:r>
      <w:r>
        <w:rPr>
          <w:color w:val="231F20"/>
          <w:spacing w:val="-12"/>
          <w:sz w:val="20"/>
        </w:rPr>
        <w:t xml:space="preserve"> </w:t>
      </w:r>
      <w:r>
        <w:rPr>
          <w:color w:val="231F20"/>
          <w:sz w:val="20"/>
        </w:rPr>
        <w:t>the</w:t>
      </w:r>
      <w:r>
        <w:rPr>
          <w:color w:val="231F20"/>
          <w:spacing w:val="-11"/>
          <w:sz w:val="20"/>
        </w:rPr>
        <w:t xml:space="preserve"> </w:t>
      </w:r>
      <w:r>
        <w:rPr>
          <w:color w:val="231F20"/>
          <w:sz w:val="20"/>
        </w:rPr>
        <w:t>experience</w:t>
      </w:r>
      <w:r>
        <w:rPr>
          <w:color w:val="231F20"/>
          <w:spacing w:val="-11"/>
          <w:sz w:val="20"/>
        </w:rPr>
        <w:t xml:space="preserve"> </w:t>
      </w:r>
      <w:r>
        <w:rPr>
          <w:color w:val="231F20"/>
          <w:sz w:val="20"/>
        </w:rPr>
        <w:t>of</w:t>
      </w:r>
      <w:r>
        <w:rPr>
          <w:color w:val="231F20"/>
          <w:spacing w:val="-12"/>
          <w:sz w:val="20"/>
        </w:rPr>
        <w:t xml:space="preserve"> </w:t>
      </w:r>
      <w:r>
        <w:rPr>
          <w:color w:val="231F20"/>
          <w:sz w:val="20"/>
        </w:rPr>
        <w:t>stalking</w:t>
      </w:r>
      <w:r>
        <w:rPr>
          <w:color w:val="231F20"/>
          <w:spacing w:val="-11"/>
          <w:sz w:val="20"/>
        </w:rPr>
        <w:t xml:space="preserve"> </w:t>
      </w:r>
      <w:r>
        <w:rPr>
          <w:color w:val="231F20"/>
          <w:sz w:val="20"/>
        </w:rPr>
        <w:t>and</w:t>
      </w:r>
      <w:r>
        <w:rPr>
          <w:color w:val="231F20"/>
          <w:spacing w:val="-11"/>
          <w:sz w:val="20"/>
        </w:rPr>
        <w:t xml:space="preserve"> </w:t>
      </w:r>
      <w:r>
        <w:rPr>
          <w:color w:val="231F20"/>
          <w:sz w:val="20"/>
        </w:rPr>
        <w:t>risk</w:t>
      </w:r>
      <w:r>
        <w:rPr>
          <w:color w:val="231F20"/>
          <w:spacing w:val="-12"/>
          <w:sz w:val="20"/>
        </w:rPr>
        <w:t xml:space="preserve"> </w:t>
      </w:r>
      <w:r>
        <w:rPr>
          <w:color w:val="231F20"/>
          <w:sz w:val="20"/>
        </w:rPr>
        <w:t>escalating</w:t>
      </w:r>
      <w:r>
        <w:rPr>
          <w:color w:val="231F20"/>
          <w:spacing w:val="-11"/>
          <w:sz w:val="20"/>
        </w:rPr>
        <w:t xml:space="preserve"> </w:t>
      </w:r>
      <w:r>
        <w:rPr>
          <w:color w:val="231F20"/>
          <w:sz w:val="20"/>
        </w:rPr>
        <w:t>the</w:t>
      </w:r>
      <w:r>
        <w:rPr>
          <w:color w:val="231F20"/>
          <w:spacing w:val="-11"/>
          <w:sz w:val="20"/>
        </w:rPr>
        <w:t xml:space="preserve"> </w:t>
      </w:r>
      <w:r>
        <w:rPr>
          <w:color w:val="231F20"/>
          <w:sz w:val="20"/>
        </w:rPr>
        <w:t xml:space="preserve">behaviour once the person stalking </w:t>
      </w:r>
      <w:r>
        <w:rPr>
          <w:color w:val="231F20"/>
          <w:spacing w:val="-3"/>
          <w:sz w:val="20"/>
        </w:rPr>
        <w:t xml:space="preserve">knows </w:t>
      </w:r>
      <w:r>
        <w:rPr>
          <w:color w:val="231F20"/>
          <w:sz w:val="20"/>
        </w:rPr>
        <w:t xml:space="preserve">police </w:t>
      </w:r>
      <w:r>
        <w:rPr>
          <w:color w:val="231F20"/>
          <w:spacing w:val="-3"/>
          <w:sz w:val="20"/>
        </w:rPr>
        <w:t>are</w:t>
      </w:r>
      <w:r>
        <w:rPr>
          <w:color w:val="231F20"/>
          <w:spacing w:val="-29"/>
          <w:sz w:val="20"/>
        </w:rPr>
        <w:t xml:space="preserve"> </w:t>
      </w:r>
      <w:r>
        <w:rPr>
          <w:color w:val="231F20"/>
          <w:sz w:val="20"/>
        </w:rPr>
        <w:t>involved.</w:t>
      </w:r>
      <w:r>
        <w:rPr>
          <w:color w:val="231F20"/>
          <w:position w:val="7"/>
          <w:sz w:val="11"/>
        </w:rPr>
        <w:t>125</w:t>
      </w:r>
    </w:p>
    <w:p w14:paraId="6F3452BB" w14:textId="77777777" w:rsidR="00894070" w:rsidRDefault="009B7AFD">
      <w:pPr>
        <w:pStyle w:val="ListParagraph"/>
        <w:numPr>
          <w:ilvl w:val="1"/>
          <w:numId w:val="29"/>
        </w:numPr>
        <w:tabs>
          <w:tab w:val="left" w:pos="1801"/>
          <w:tab w:val="left" w:pos="1802"/>
        </w:tabs>
        <w:spacing w:before="127" w:line="206" w:lineRule="auto"/>
        <w:ind w:right="1316"/>
        <w:rPr>
          <w:sz w:val="11"/>
        </w:rPr>
      </w:pPr>
      <w:r>
        <w:rPr>
          <w:color w:val="231F20"/>
          <w:spacing w:val="-3"/>
          <w:sz w:val="20"/>
        </w:rPr>
        <w:t xml:space="preserve">Forensicare </w:t>
      </w:r>
      <w:r>
        <w:rPr>
          <w:color w:val="231F20"/>
          <w:sz w:val="20"/>
        </w:rPr>
        <w:t xml:space="preserve">explained that stop </w:t>
      </w:r>
      <w:r>
        <w:rPr>
          <w:color w:val="231F20"/>
          <w:spacing w:val="-3"/>
          <w:sz w:val="20"/>
        </w:rPr>
        <w:t xml:space="preserve">conversations are only </w:t>
      </w:r>
      <w:r>
        <w:rPr>
          <w:color w:val="231F20"/>
          <w:sz w:val="20"/>
        </w:rPr>
        <w:t>useful in ‘very</w:t>
      </w:r>
      <w:r>
        <w:rPr>
          <w:color w:val="231F20"/>
          <w:spacing w:val="-37"/>
          <w:sz w:val="20"/>
        </w:rPr>
        <w:t xml:space="preserve"> </w:t>
      </w:r>
      <w:r>
        <w:rPr>
          <w:color w:val="231F20"/>
          <w:spacing w:val="-4"/>
          <w:sz w:val="20"/>
        </w:rPr>
        <w:t xml:space="preserve">low-level </w:t>
      </w:r>
      <w:r>
        <w:rPr>
          <w:color w:val="231F20"/>
          <w:spacing w:val="-3"/>
          <w:sz w:val="20"/>
        </w:rPr>
        <w:t xml:space="preserve">cases’; </w:t>
      </w:r>
      <w:r>
        <w:rPr>
          <w:color w:val="231F20"/>
          <w:sz w:val="20"/>
        </w:rPr>
        <w:t>where</w:t>
      </w:r>
      <w:r>
        <w:rPr>
          <w:color w:val="231F20"/>
          <w:spacing w:val="-9"/>
          <w:sz w:val="20"/>
        </w:rPr>
        <w:t xml:space="preserve"> </w:t>
      </w:r>
      <w:r>
        <w:rPr>
          <w:color w:val="231F20"/>
          <w:sz w:val="20"/>
        </w:rPr>
        <w:t>all</w:t>
      </w:r>
      <w:r>
        <w:rPr>
          <w:color w:val="231F20"/>
          <w:spacing w:val="-9"/>
          <w:sz w:val="20"/>
        </w:rPr>
        <w:t xml:space="preserve"> </w:t>
      </w:r>
      <w:r>
        <w:rPr>
          <w:color w:val="231F20"/>
          <w:sz w:val="20"/>
        </w:rPr>
        <w:t>the</w:t>
      </w:r>
      <w:r>
        <w:rPr>
          <w:color w:val="231F20"/>
          <w:spacing w:val="-9"/>
          <w:sz w:val="20"/>
        </w:rPr>
        <w:t xml:space="preserve"> </w:t>
      </w:r>
      <w:r>
        <w:rPr>
          <w:color w:val="231F20"/>
          <w:sz w:val="20"/>
        </w:rPr>
        <w:t>victim</w:t>
      </w:r>
      <w:r>
        <w:rPr>
          <w:color w:val="231F20"/>
          <w:spacing w:val="-8"/>
          <w:sz w:val="20"/>
        </w:rPr>
        <w:t xml:space="preserve"> </w:t>
      </w:r>
      <w:r>
        <w:rPr>
          <w:color w:val="231F20"/>
          <w:sz w:val="20"/>
        </w:rPr>
        <w:t>survivor</w:t>
      </w:r>
      <w:r>
        <w:rPr>
          <w:color w:val="231F20"/>
          <w:spacing w:val="-9"/>
          <w:sz w:val="20"/>
        </w:rPr>
        <w:t xml:space="preserve"> </w:t>
      </w:r>
      <w:r>
        <w:rPr>
          <w:color w:val="231F20"/>
          <w:sz w:val="20"/>
        </w:rPr>
        <w:t>wants</w:t>
      </w:r>
      <w:r>
        <w:rPr>
          <w:color w:val="231F20"/>
          <w:spacing w:val="-9"/>
          <w:sz w:val="20"/>
        </w:rPr>
        <w:t xml:space="preserve"> </w:t>
      </w:r>
      <w:r>
        <w:rPr>
          <w:color w:val="231F20"/>
          <w:sz w:val="20"/>
        </w:rPr>
        <w:t>is</w:t>
      </w:r>
      <w:r>
        <w:rPr>
          <w:color w:val="231F20"/>
          <w:spacing w:val="-8"/>
          <w:sz w:val="20"/>
        </w:rPr>
        <w:t xml:space="preserve"> </w:t>
      </w:r>
      <w:r>
        <w:rPr>
          <w:color w:val="231F20"/>
          <w:spacing w:val="-3"/>
          <w:sz w:val="20"/>
        </w:rPr>
        <w:t>for</w:t>
      </w:r>
      <w:r>
        <w:rPr>
          <w:color w:val="231F20"/>
          <w:spacing w:val="-9"/>
          <w:sz w:val="20"/>
        </w:rPr>
        <w:t xml:space="preserve"> </w:t>
      </w:r>
      <w:r>
        <w:rPr>
          <w:color w:val="231F20"/>
          <w:sz w:val="20"/>
        </w:rPr>
        <w:t>the</w:t>
      </w:r>
      <w:r>
        <w:rPr>
          <w:color w:val="231F20"/>
          <w:spacing w:val="-9"/>
          <w:sz w:val="20"/>
        </w:rPr>
        <w:t xml:space="preserve"> </w:t>
      </w:r>
      <w:r>
        <w:rPr>
          <w:color w:val="231F20"/>
          <w:sz w:val="20"/>
        </w:rPr>
        <w:t>police</w:t>
      </w:r>
      <w:r>
        <w:rPr>
          <w:color w:val="231F20"/>
          <w:spacing w:val="-8"/>
          <w:sz w:val="20"/>
        </w:rPr>
        <w:t xml:space="preserve"> </w:t>
      </w:r>
      <w:r>
        <w:rPr>
          <w:color w:val="231F20"/>
          <w:sz w:val="20"/>
        </w:rPr>
        <w:t>to</w:t>
      </w:r>
      <w:r>
        <w:rPr>
          <w:color w:val="231F20"/>
          <w:spacing w:val="-9"/>
          <w:sz w:val="20"/>
        </w:rPr>
        <w:t xml:space="preserve"> </w:t>
      </w:r>
      <w:r>
        <w:rPr>
          <w:color w:val="231F20"/>
          <w:sz w:val="20"/>
        </w:rPr>
        <w:t>tell</w:t>
      </w:r>
      <w:r>
        <w:rPr>
          <w:color w:val="231F20"/>
          <w:spacing w:val="-9"/>
          <w:sz w:val="20"/>
        </w:rPr>
        <w:t xml:space="preserve"> </w:t>
      </w:r>
      <w:r>
        <w:rPr>
          <w:color w:val="231F20"/>
          <w:sz w:val="20"/>
        </w:rPr>
        <w:t>the</w:t>
      </w:r>
      <w:r>
        <w:rPr>
          <w:color w:val="231F20"/>
          <w:spacing w:val="-8"/>
          <w:sz w:val="20"/>
        </w:rPr>
        <w:t xml:space="preserve"> </w:t>
      </w:r>
      <w:r>
        <w:rPr>
          <w:color w:val="231F20"/>
          <w:sz w:val="20"/>
        </w:rPr>
        <w:t>person</w:t>
      </w:r>
      <w:r>
        <w:rPr>
          <w:color w:val="231F20"/>
          <w:spacing w:val="-9"/>
          <w:sz w:val="20"/>
        </w:rPr>
        <w:t xml:space="preserve"> </w:t>
      </w:r>
      <w:r>
        <w:rPr>
          <w:color w:val="231F20"/>
          <w:sz w:val="20"/>
        </w:rPr>
        <w:t>stalking</w:t>
      </w:r>
      <w:r>
        <w:rPr>
          <w:color w:val="231F20"/>
          <w:spacing w:val="-9"/>
          <w:sz w:val="20"/>
        </w:rPr>
        <w:t xml:space="preserve"> </w:t>
      </w:r>
      <w:r>
        <w:rPr>
          <w:color w:val="231F20"/>
          <w:sz w:val="20"/>
        </w:rPr>
        <w:t>them</w:t>
      </w:r>
      <w:r>
        <w:rPr>
          <w:color w:val="231F20"/>
          <w:spacing w:val="-8"/>
          <w:sz w:val="20"/>
        </w:rPr>
        <w:t xml:space="preserve"> </w:t>
      </w:r>
      <w:r>
        <w:rPr>
          <w:color w:val="231F20"/>
          <w:sz w:val="20"/>
        </w:rPr>
        <w:t>to stop.</w:t>
      </w:r>
      <w:r>
        <w:rPr>
          <w:color w:val="231F20"/>
          <w:position w:val="7"/>
          <w:sz w:val="11"/>
        </w:rPr>
        <w:t>126</w:t>
      </w:r>
    </w:p>
    <w:p w14:paraId="4556C8DE" w14:textId="77777777" w:rsidR="00894070" w:rsidRDefault="009B7AFD">
      <w:pPr>
        <w:pStyle w:val="ListParagraph"/>
        <w:numPr>
          <w:ilvl w:val="1"/>
          <w:numId w:val="29"/>
        </w:numPr>
        <w:tabs>
          <w:tab w:val="left" w:pos="1801"/>
          <w:tab w:val="left" w:pos="1802"/>
        </w:tabs>
        <w:spacing w:before="124" w:line="206" w:lineRule="auto"/>
        <w:ind w:right="1722"/>
        <w:rPr>
          <w:sz w:val="11"/>
        </w:rPr>
      </w:pPr>
      <w:r>
        <w:rPr>
          <w:color w:val="231F20"/>
          <w:sz w:val="20"/>
        </w:rPr>
        <w:t xml:space="preserve">Victoria Police is trialling stop </w:t>
      </w:r>
      <w:r>
        <w:rPr>
          <w:color w:val="231F20"/>
          <w:spacing w:val="-3"/>
          <w:sz w:val="20"/>
        </w:rPr>
        <w:t xml:space="preserve">conversations </w:t>
      </w:r>
      <w:r>
        <w:rPr>
          <w:color w:val="231F20"/>
          <w:sz w:val="20"/>
        </w:rPr>
        <w:t>as part of its stalking pilot. Their use is</w:t>
      </w:r>
      <w:r>
        <w:rPr>
          <w:color w:val="231F20"/>
          <w:spacing w:val="-7"/>
          <w:sz w:val="20"/>
        </w:rPr>
        <w:t xml:space="preserve"> </w:t>
      </w:r>
      <w:r>
        <w:rPr>
          <w:color w:val="231F20"/>
          <w:sz w:val="20"/>
        </w:rPr>
        <w:t>being</w:t>
      </w:r>
      <w:r>
        <w:rPr>
          <w:color w:val="231F20"/>
          <w:spacing w:val="-7"/>
          <w:sz w:val="20"/>
        </w:rPr>
        <w:t xml:space="preserve"> </w:t>
      </w:r>
      <w:r>
        <w:rPr>
          <w:color w:val="231F20"/>
          <w:spacing w:val="-3"/>
          <w:sz w:val="20"/>
        </w:rPr>
        <w:t>explored</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6"/>
          <w:sz w:val="20"/>
        </w:rPr>
        <w:t xml:space="preserve"> </w:t>
      </w:r>
      <w:r>
        <w:rPr>
          <w:color w:val="231F20"/>
          <w:spacing w:val="-3"/>
          <w:sz w:val="20"/>
        </w:rPr>
        <w:t>context</w:t>
      </w:r>
      <w:r>
        <w:rPr>
          <w:color w:val="231F20"/>
          <w:spacing w:val="-7"/>
          <w:sz w:val="20"/>
        </w:rPr>
        <w:t xml:space="preserve"> </w:t>
      </w:r>
      <w:r>
        <w:rPr>
          <w:color w:val="231F20"/>
          <w:sz w:val="20"/>
        </w:rPr>
        <w:t>of</w:t>
      </w:r>
      <w:r>
        <w:rPr>
          <w:color w:val="231F20"/>
          <w:spacing w:val="-7"/>
          <w:sz w:val="20"/>
        </w:rPr>
        <w:t xml:space="preserve"> </w:t>
      </w:r>
      <w:r>
        <w:rPr>
          <w:color w:val="231F20"/>
          <w:sz w:val="20"/>
        </w:rPr>
        <w:t>broadening</w:t>
      </w:r>
      <w:r>
        <w:rPr>
          <w:color w:val="231F20"/>
          <w:spacing w:val="-7"/>
          <w:sz w:val="20"/>
        </w:rPr>
        <w:t xml:space="preserve"> </w:t>
      </w:r>
      <w:r>
        <w:rPr>
          <w:color w:val="231F20"/>
          <w:sz w:val="20"/>
        </w:rPr>
        <w:t>the</w:t>
      </w:r>
      <w:r>
        <w:rPr>
          <w:color w:val="231F20"/>
          <w:spacing w:val="-7"/>
          <w:sz w:val="20"/>
        </w:rPr>
        <w:t xml:space="preserve"> </w:t>
      </w:r>
      <w:r>
        <w:rPr>
          <w:color w:val="231F20"/>
          <w:sz w:val="20"/>
        </w:rPr>
        <w:t>tools</w:t>
      </w:r>
      <w:r>
        <w:rPr>
          <w:color w:val="231F20"/>
          <w:spacing w:val="-6"/>
          <w:sz w:val="20"/>
        </w:rPr>
        <w:t xml:space="preserve"> </w:t>
      </w:r>
      <w:r>
        <w:rPr>
          <w:color w:val="231F20"/>
          <w:sz w:val="20"/>
        </w:rPr>
        <w:t>available</w:t>
      </w:r>
      <w:r>
        <w:rPr>
          <w:color w:val="231F20"/>
          <w:spacing w:val="-7"/>
          <w:sz w:val="20"/>
        </w:rPr>
        <w:t xml:space="preserve"> </w:t>
      </w:r>
      <w:r>
        <w:rPr>
          <w:color w:val="231F20"/>
          <w:spacing w:val="-3"/>
          <w:sz w:val="20"/>
        </w:rPr>
        <w:t>for</w:t>
      </w:r>
      <w:r>
        <w:rPr>
          <w:color w:val="231F20"/>
          <w:spacing w:val="-7"/>
          <w:sz w:val="20"/>
        </w:rPr>
        <w:t xml:space="preserve"> </w:t>
      </w:r>
      <w:r>
        <w:rPr>
          <w:color w:val="231F20"/>
          <w:spacing w:val="-3"/>
          <w:sz w:val="20"/>
        </w:rPr>
        <w:t>frontline</w:t>
      </w:r>
      <w:r>
        <w:rPr>
          <w:color w:val="231F20"/>
          <w:spacing w:val="-7"/>
          <w:sz w:val="20"/>
        </w:rPr>
        <w:t xml:space="preserve"> </w:t>
      </w:r>
      <w:r>
        <w:rPr>
          <w:color w:val="231F20"/>
          <w:sz w:val="20"/>
        </w:rPr>
        <w:t xml:space="preserve">and specialist police when responding to </w:t>
      </w:r>
      <w:r>
        <w:rPr>
          <w:color w:val="231F20"/>
          <w:spacing w:val="-4"/>
          <w:sz w:val="20"/>
        </w:rPr>
        <w:t>lower-risk</w:t>
      </w:r>
      <w:r>
        <w:rPr>
          <w:color w:val="231F20"/>
          <w:spacing w:val="-28"/>
          <w:sz w:val="20"/>
        </w:rPr>
        <w:t xml:space="preserve"> </w:t>
      </w:r>
      <w:r>
        <w:rPr>
          <w:color w:val="231F20"/>
          <w:sz w:val="20"/>
        </w:rPr>
        <w:t>stalking.</w:t>
      </w:r>
      <w:r>
        <w:rPr>
          <w:color w:val="231F20"/>
          <w:position w:val="7"/>
          <w:sz w:val="11"/>
        </w:rPr>
        <w:t>127</w:t>
      </w:r>
    </w:p>
    <w:p w14:paraId="2D64CD15" w14:textId="77777777" w:rsidR="00894070" w:rsidRDefault="009B7AFD">
      <w:pPr>
        <w:pStyle w:val="ListParagraph"/>
        <w:numPr>
          <w:ilvl w:val="1"/>
          <w:numId w:val="29"/>
        </w:numPr>
        <w:tabs>
          <w:tab w:val="left" w:pos="1801"/>
          <w:tab w:val="left" w:pos="1802"/>
        </w:tabs>
        <w:spacing w:before="124" w:line="206" w:lineRule="auto"/>
        <w:ind w:right="1918"/>
        <w:rPr>
          <w:sz w:val="11"/>
        </w:rPr>
      </w:pPr>
      <w:r>
        <w:rPr>
          <w:color w:val="231F20"/>
          <w:sz w:val="20"/>
        </w:rPr>
        <w:t>Victoria</w:t>
      </w:r>
      <w:r>
        <w:rPr>
          <w:color w:val="231F20"/>
          <w:spacing w:val="-9"/>
          <w:sz w:val="20"/>
        </w:rPr>
        <w:t xml:space="preserve"> </w:t>
      </w:r>
      <w:r>
        <w:rPr>
          <w:color w:val="231F20"/>
          <w:sz w:val="20"/>
        </w:rPr>
        <w:t>Police</w:t>
      </w:r>
      <w:r>
        <w:rPr>
          <w:color w:val="231F20"/>
          <w:spacing w:val="-8"/>
          <w:sz w:val="20"/>
        </w:rPr>
        <w:t xml:space="preserve"> </w:t>
      </w:r>
      <w:r>
        <w:rPr>
          <w:color w:val="231F20"/>
          <w:sz w:val="20"/>
        </w:rPr>
        <w:t>said</w:t>
      </w:r>
      <w:r>
        <w:rPr>
          <w:color w:val="231F20"/>
          <w:spacing w:val="-8"/>
          <w:sz w:val="20"/>
        </w:rPr>
        <w:t xml:space="preserve"> </w:t>
      </w:r>
      <w:r>
        <w:rPr>
          <w:color w:val="231F20"/>
          <w:sz w:val="20"/>
        </w:rPr>
        <w:t>that</w:t>
      </w:r>
      <w:r>
        <w:rPr>
          <w:color w:val="231F20"/>
          <w:spacing w:val="-9"/>
          <w:sz w:val="20"/>
        </w:rPr>
        <w:t xml:space="preserve"> </w:t>
      </w:r>
      <w:r>
        <w:rPr>
          <w:color w:val="231F20"/>
          <w:sz w:val="20"/>
        </w:rPr>
        <w:t>as</w:t>
      </w:r>
      <w:r>
        <w:rPr>
          <w:color w:val="231F20"/>
          <w:spacing w:val="-8"/>
          <w:sz w:val="20"/>
        </w:rPr>
        <w:t xml:space="preserve"> </w:t>
      </w:r>
      <w:r>
        <w:rPr>
          <w:color w:val="231F20"/>
          <w:sz w:val="20"/>
        </w:rPr>
        <w:t>part</w:t>
      </w:r>
      <w:r>
        <w:rPr>
          <w:color w:val="231F20"/>
          <w:spacing w:val="-8"/>
          <w:sz w:val="20"/>
        </w:rPr>
        <w:t xml:space="preserve"> </w:t>
      </w:r>
      <w:r>
        <w:rPr>
          <w:color w:val="231F20"/>
          <w:sz w:val="20"/>
        </w:rPr>
        <w:t>of</w:t>
      </w:r>
      <w:r>
        <w:rPr>
          <w:color w:val="231F20"/>
          <w:spacing w:val="-9"/>
          <w:sz w:val="20"/>
        </w:rPr>
        <w:t xml:space="preserve"> </w:t>
      </w:r>
      <w:r>
        <w:rPr>
          <w:color w:val="231F20"/>
          <w:sz w:val="20"/>
        </w:rPr>
        <w:t>its</w:t>
      </w:r>
      <w:r>
        <w:rPr>
          <w:color w:val="231F20"/>
          <w:spacing w:val="-8"/>
          <w:sz w:val="20"/>
        </w:rPr>
        <w:t xml:space="preserve"> </w:t>
      </w:r>
      <w:r>
        <w:rPr>
          <w:color w:val="231F20"/>
          <w:spacing w:val="-3"/>
          <w:sz w:val="20"/>
        </w:rPr>
        <w:t>evaluation</w:t>
      </w:r>
      <w:r>
        <w:rPr>
          <w:color w:val="231F20"/>
          <w:spacing w:val="-8"/>
          <w:sz w:val="20"/>
        </w:rPr>
        <w:t xml:space="preserve"> </w:t>
      </w:r>
      <w:r>
        <w:rPr>
          <w:color w:val="231F20"/>
          <w:sz w:val="20"/>
        </w:rPr>
        <w:t>it</w:t>
      </w:r>
      <w:r>
        <w:rPr>
          <w:color w:val="231F20"/>
          <w:spacing w:val="-9"/>
          <w:sz w:val="20"/>
        </w:rPr>
        <w:t xml:space="preserve"> </w:t>
      </w:r>
      <w:r>
        <w:rPr>
          <w:color w:val="231F20"/>
          <w:sz w:val="20"/>
        </w:rPr>
        <w:t>will</w:t>
      </w:r>
      <w:r>
        <w:rPr>
          <w:color w:val="231F20"/>
          <w:spacing w:val="-8"/>
          <w:sz w:val="20"/>
        </w:rPr>
        <w:t xml:space="preserve"> </w:t>
      </w:r>
      <w:r>
        <w:rPr>
          <w:color w:val="231F20"/>
          <w:sz w:val="20"/>
        </w:rPr>
        <w:t>consider</w:t>
      </w:r>
      <w:r>
        <w:rPr>
          <w:color w:val="231F20"/>
          <w:spacing w:val="-8"/>
          <w:sz w:val="20"/>
        </w:rPr>
        <w:t xml:space="preserve"> </w:t>
      </w:r>
      <w:r>
        <w:rPr>
          <w:color w:val="231F20"/>
          <w:sz w:val="20"/>
        </w:rPr>
        <w:t>the</w:t>
      </w:r>
      <w:r>
        <w:rPr>
          <w:color w:val="231F20"/>
          <w:spacing w:val="-9"/>
          <w:sz w:val="20"/>
        </w:rPr>
        <w:t xml:space="preserve"> </w:t>
      </w:r>
      <w:r>
        <w:rPr>
          <w:color w:val="231F20"/>
          <w:sz w:val="20"/>
        </w:rPr>
        <w:t>value</w:t>
      </w:r>
      <w:r>
        <w:rPr>
          <w:color w:val="231F20"/>
          <w:spacing w:val="-8"/>
          <w:sz w:val="20"/>
        </w:rPr>
        <w:t xml:space="preserve"> </w:t>
      </w:r>
      <w:r>
        <w:rPr>
          <w:color w:val="231F20"/>
          <w:sz w:val="20"/>
        </w:rPr>
        <w:t>of</w:t>
      </w:r>
      <w:r>
        <w:rPr>
          <w:color w:val="231F20"/>
          <w:spacing w:val="-8"/>
          <w:sz w:val="20"/>
        </w:rPr>
        <w:t xml:space="preserve"> </w:t>
      </w:r>
      <w:r>
        <w:rPr>
          <w:color w:val="231F20"/>
          <w:sz w:val="20"/>
        </w:rPr>
        <w:t xml:space="preserve">stop </w:t>
      </w:r>
      <w:r>
        <w:rPr>
          <w:color w:val="231F20"/>
          <w:spacing w:val="-3"/>
          <w:sz w:val="20"/>
        </w:rPr>
        <w:t xml:space="preserve">conversations </w:t>
      </w:r>
      <w:r>
        <w:rPr>
          <w:color w:val="231F20"/>
          <w:sz w:val="20"/>
        </w:rPr>
        <w:t xml:space="preserve">and whether they </w:t>
      </w:r>
      <w:r>
        <w:rPr>
          <w:color w:val="231F20"/>
          <w:spacing w:val="-3"/>
          <w:sz w:val="20"/>
        </w:rPr>
        <w:t xml:space="preserve">are </w:t>
      </w:r>
      <w:r>
        <w:rPr>
          <w:color w:val="231F20"/>
          <w:sz w:val="20"/>
        </w:rPr>
        <w:t xml:space="preserve">an </w:t>
      </w:r>
      <w:r>
        <w:rPr>
          <w:color w:val="231F20"/>
          <w:spacing w:val="-3"/>
          <w:sz w:val="20"/>
        </w:rPr>
        <w:t xml:space="preserve">appropriate </w:t>
      </w:r>
      <w:r>
        <w:rPr>
          <w:color w:val="231F20"/>
          <w:sz w:val="20"/>
        </w:rPr>
        <w:t>response to</w:t>
      </w:r>
      <w:r>
        <w:rPr>
          <w:color w:val="231F20"/>
          <w:spacing w:val="-32"/>
          <w:sz w:val="20"/>
        </w:rPr>
        <w:t xml:space="preserve"> </w:t>
      </w:r>
      <w:r>
        <w:rPr>
          <w:color w:val="231F20"/>
          <w:sz w:val="20"/>
        </w:rPr>
        <w:t>stalking.</w:t>
      </w:r>
      <w:r>
        <w:rPr>
          <w:color w:val="231F20"/>
          <w:position w:val="7"/>
          <w:sz w:val="11"/>
        </w:rPr>
        <w:t>128</w:t>
      </w:r>
    </w:p>
    <w:p w14:paraId="0F1C6FB4" w14:textId="77777777" w:rsidR="00894070" w:rsidRDefault="009B7AFD">
      <w:pPr>
        <w:pStyle w:val="ListParagraph"/>
        <w:numPr>
          <w:ilvl w:val="1"/>
          <w:numId w:val="29"/>
        </w:numPr>
        <w:tabs>
          <w:tab w:val="left" w:pos="1801"/>
          <w:tab w:val="left" w:pos="1802"/>
        </w:tabs>
        <w:spacing w:before="123" w:line="206" w:lineRule="auto"/>
        <w:ind w:right="1207"/>
        <w:rPr>
          <w:sz w:val="20"/>
        </w:rPr>
      </w:pPr>
      <w:r>
        <w:rPr>
          <w:color w:val="231F20"/>
          <w:sz w:val="20"/>
        </w:rPr>
        <w:t>Based</w:t>
      </w:r>
      <w:r>
        <w:rPr>
          <w:color w:val="231F20"/>
          <w:spacing w:val="-7"/>
          <w:sz w:val="20"/>
        </w:rPr>
        <w:t xml:space="preserve"> </w:t>
      </w:r>
      <w:r>
        <w:rPr>
          <w:color w:val="231F20"/>
          <w:sz w:val="20"/>
        </w:rPr>
        <w:t>on</w:t>
      </w:r>
      <w:r>
        <w:rPr>
          <w:color w:val="231F20"/>
          <w:spacing w:val="-6"/>
          <w:sz w:val="20"/>
        </w:rPr>
        <w:t xml:space="preserve"> </w:t>
      </w:r>
      <w:r>
        <w:rPr>
          <w:color w:val="231F20"/>
          <w:sz w:val="20"/>
        </w:rPr>
        <w:t>the</w:t>
      </w:r>
      <w:r>
        <w:rPr>
          <w:color w:val="231F20"/>
          <w:spacing w:val="-6"/>
          <w:sz w:val="20"/>
        </w:rPr>
        <w:t xml:space="preserve"> </w:t>
      </w:r>
      <w:r>
        <w:rPr>
          <w:color w:val="231F20"/>
          <w:sz w:val="20"/>
        </w:rPr>
        <w:t>issues</w:t>
      </w:r>
      <w:r>
        <w:rPr>
          <w:color w:val="231F20"/>
          <w:spacing w:val="-6"/>
          <w:sz w:val="20"/>
        </w:rPr>
        <w:t xml:space="preserve"> </w:t>
      </w:r>
      <w:r>
        <w:rPr>
          <w:color w:val="231F20"/>
          <w:sz w:val="20"/>
        </w:rPr>
        <w:t>identified</w:t>
      </w:r>
      <w:r>
        <w:rPr>
          <w:color w:val="231F20"/>
          <w:spacing w:val="-6"/>
          <w:sz w:val="20"/>
        </w:rPr>
        <w:t xml:space="preserve"> </w:t>
      </w:r>
      <w:r>
        <w:rPr>
          <w:color w:val="231F20"/>
          <w:sz w:val="20"/>
        </w:rPr>
        <w:t>in</w:t>
      </w:r>
      <w:r>
        <w:rPr>
          <w:color w:val="231F20"/>
          <w:spacing w:val="-6"/>
          <w:sz w:val="20"/>
        </w:rPr>
        <w:t xml:space="preserve"> </w:t>
      </w:r>
      <w:r>
        <w:rPr>
          <w:color w:val="231F20"/>
          <w:sz w:val="20"/>
        </w:rPr>
        <w:t>this</w:t>
      </w:r>
      <w:r>
        <w:rPr>
          <w:color w:val="231F20"/>
          <w:spacing w:val="-7"/>
          <w:sz w:val="20"/>
        </w:rPr>
        <w:t xml:space="preserve"> </w:t>
      </w:r>
      <w:r>
        <w:rPr>
          <w:color w:val="231F20"/>
          <w:spacing w:val="-3"/>
          <w:sz w:val="20"/>
        </w:rPr>
        <w:t>inquiry,</w:t>
      </w:r>
      <w:r>
        <w:rPr>
          <w:color w:val="231F20"/>
          <w:spacing w:val="-6"/>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z w:val="20"/>
        </w:rPr>
        <w:t>lack</w:t>
      </w:r>
      <w:r>
        <w:rPr>
          <w:color w:val="231F20"/>
          <w:spacing w:val="-6"/>
          <w:sz w:val="20"/>
        </w:rPr>
        <w:t xml:space="preserve"> </w:t>
      </w:r>
      <w:r>
        <w:rPr>
          <w:color w:val="231F20"/>
          <w:sz w:val="20"/>
        </w:rPr>
        <w:t>of</w:t>
      </w:r>
      <w:r>
        <w:rPr>
          <w:color w:val="231F20"/>
          <w:spacing w:val="-6"/>
          <w:sz w:val="20"/>
        </w:rPr>
        <w:t xml:space="preserve"> </w:t>
      </w:r>
      <w:r>
        <w:rPr>
          <w:color w:val="231F20"/>
          <w:spacing w:val="-3"/>
          <w:sz w:val="20"/>
        </w:rPr>
        <w:t>research</w:t>
      </w:r>
      <w:r>
        <w:rPr>
          <w:color w:val="231F20"/>
          <w:spacing w:val="-7"/>
          <w:sz w:val="20"/>
        </w:rPr>
        <w:t xml:space="preserve"> </w:t>
      </w:r>
      <w:r>
        <w:rPr>
          <w:color w:val="231F20"/>
          <w:sz w:val="20"/>
        </w:rPr>
        <w:t>and</w:t>
      </w:r>
      <w:r>
        <w:rPr>
          <w:color w:val="231F20"/>
          <w:spacing w:val="-6"/>
          <w:sz w:val="20"/>
        </w:rPr>
        <w:t xml:space="preserve"> </w:t>
      </w:r>
      <w:r>
        <w:rPr>
          <w:color w:val="231F20"/>
          <w:spacing w:val="-3"/>
          <w:sz w:val="20"/>
        </w:rPr>
        <w:t>evaluation</w:t>
      </w:r>
      <w:r>
        <w:rPr>
          <w:color w:val="231F20"/>
          <w:spacing w:val="-6"/>
          <w:sz w:val="20"/>
        </w:rPr>
        <w:t xml:space="preserve"> </w:t>
      </w:r>
      <w:r>
        <w:rPr>
          <w:color w:val="231F20"/>
          <w:sz w:val="20"/>
        </w:rPr>
        <w:t>on stop</w:t>
      </w:r>
      <w:r>
        <w:rPr>
          <w:color w:val="231F20"/>
          <w:spacing w:val="-7"/>
          <w:sz w:val="20"/>
        </w:rPr>
        <w:t xml:space="preserve"> </w:t>
      </w:r>
      <w:r>
        <w:rPr>
          <w:color w:val="231F20"/>
          <w:spacing w:val="-3"/>
          <w:sz w:val="20"/>
        </w:rPr>
        <w:t>conversations,</w:t>
      </w:r>
      <w:r>
        <w:rPr>
          <w:color w:val="231F20"/>
          <w:spacing w:val="-6"/>
          <w:sz w:val="20"/>
        </w:rPr>
        <w:t xml:space="preserve"> </w:t>
      </w:r>
      <w:r>
        <w:rPr>
          <w:color w:val="231F20"/>
          <w:spacing w:val="-3"/>
          <w:sz w:val="20"/>
        </w:rPr>
        <w:t>we</w:t>
      </w:r>
      <w:r>
        <w:rPr>
          <w:color w:val="231F20"/>
          <w:spacing w:val="-6"/>
          <w:sz w:val="20"/>
        </w:rPr>
        <w:t xml:space="preserve"> </w:t>
      </w:r>
      <w:r>
        <w:rPr>
          <w:color w:val="231F20"/>
          <w:sz w:val="20"/>
        </w:rPr>
        <w:t>do</w:t>
      </w:r>
      <w:r>
        <w:rPr>
          <w:color w:val="231F20"/>
          <w:spacing w:val="-7"/>
          <w:sz w:val="20"/>
        </w:rPr>
        <w:t xml:space="preserve"> </w:t>
      </w:r>
      <w:r>
        <w:rPr>
          <w:color w:val="231F20"/>
          <w:sz w:val="20"/>
        </w:rPr>
        <w:t>not</w:t>
      </w:r>
      <w:r>
        <w:rPr>
          <w:color w:val="231F20"/>
          <w:spacing w:val="-6"/>
          <w:sz w:val="20"/>
        </w:rPr>
        <w:t xml:space="preserve"> </w:t>
      </w:r>
      <w:r>
        <w:rPr>
          <w:color w:val="231F20"/>
          <w:sz w:val="20"/>
        </w:rPr>
        <w:t>make</w:t>
      </w:r>
      <w:r>
        <w:rPr>
          <w:color w:val="231F20"/>
          <w:spacing w:val="-6"/>
          <w:sz w:val="20"/>
        </w:rPr>
        <w:t xml:space="preserve"> </w:t>
      </w:r>
      <w:r>
        <w:rPr>
          <w:color w:val="231F20"/>
          <w:sz w:val="20"/>
        </w:rPr>
        <w:t>recommendations</w:t>
      </w:r>
      <w:r>
        <w:rPr>
          <w:color w:val="231F20"/>
          <w:spacing w:val="-6"/>
          <w:sz w:val="20"/>
        </w:rPr>
        <w:t xml:space="preserve"> </w:t>
      </w:r>
      <w:r>
        <w:rPr>
          <w:color w:val="231F20"/>
          <w:sz w:val="20"/>
        </w:rPr>
        <w:t>endorsing</w:t>
      </w:r>
      <w:r>
        <w:rPr>
          <w:color w:val="231F20"/>
          <w:spacing w:val="-7"/>
          <w:sz w:val="20"/>
        </w:rPr>
        <w:t xml:space="preserve"> </w:t>
      </w:r>
      <w:r>
        <w:rPr>
          <w:color w:val="231F20"/>
          <w:sz w:val="20"/>
        </w:rPr>
        <w:t>the</w:t>
      </w:r>
      <w:r>
        <w:rPr>
          <w:color w:val="231F20"/>
          <w:spacing w:val="-6"/>
          <w:sz w:val="20"/>
        </w:rPr>
        <w:t xml:space="preserve"> </w:t>
      </w:r>
      <w:r>
        <w:rPr>
          <w:color w:val="231F20"/>
          <w:sz w:val="20"/>
        </w:rPr>
        <w:t>practice.</w:t>
      </w:r>
    </w:p>
    <w:p w14:paraId="50F61465" w14:textId="77777777" w:rsidR="00894070" w:rsidRDefault="009B7AFD">
      <w:pPr>
        <w:pStyle w:val="ListParagraph"/>
        <w:numPr>
          <w:ilvl w:val="1"/>
          <w:numId w:val="29"/>
        </w:numPr>
        <w:tabs>
          <w:tab w:val="left" w:pos="1801"/>
          <w:tab w:val="left" w:pos="1802"/>
        </w:tabs>
        <w:spacing w:before="122" w:line="206" w:lineRule="auto"/>
        <w:ind w:right="1390"/>
        <w:rPr>
          <w:sz w:val="20"/>
        </w:rPr>
      </w:pPr>
      <w:r>
        <w:rPr>
          <w:color w:val="231F20"/>
          <w:spacing w:val="-5"/>
          <w:sz w:val="20"/>
        </w:rPr>
        <w:t xml:space="preserve">However, </w:t>
      </w:r>
      <w:r>
        <w:rPr>
          <w:color w:val="231F20"/>
          <w:sz w:val="20"/>
        </w:rPr>
        <w:t xml:space="preserve">if stop </w:t>
      </w:r>
      <w:r>
        <w:rPr>
          <w:color w:val="231F20"/>
          <w:spacing w:val="-3"/>
          <w:sz w:val="20"/>
        </w:rPr>
        <w:t xml:space="preserve">conversations are </w:t>
      </w:r>
      <w:r>
        <w:rPr>
          <w:color w:val="231F20"/>
          <w:sz w:val="20"/>
        </w:rPr>
        <w:t>to become part of the police response to stalking in</w:t>
      </w:r>
      <w:r>
        <w:rPr>
          <w:color w:val="231F20"/>
          <w:spacing w:val="-9"/>
          <w:sz w:val="20"/>
        </w:rPr>
        <w:t xml:space="preserve"> </w:t>
      </w:r>
      <w:r>
        <w:rPr>
          <w:color w:val="231F20"/>
          <w:sz w:val="20"/>
        </w:rPr>
        <w:t>Victoria,</w:t>
      </w:r>
      <w:r>
        <w:rPr>
          <w:color w:val="231F20"/>
          <w:spacing w:val="-8"/>
          <w:sz w:val="20"/>
        </w:rPr>
        <w:t xml:space="preserve"> </w:t>
      </w:r>
      <w:r>
        <w:rPr>
          <w:color w:val="231F20"/>
          <w:spacing w:val="-3"/>
          <w:sz w:val="20"/>
        </w:rPr>
        <w:t>we</w:t>
      </w:r>
      <w:r>
        <w:rPr>
          <w:color w:val="231F20"/>
          <w:spacing w:val="-9"/>
          <w:sz w:val="20"/>
        </w:rPr>
        <w:t xml:space="preserve"> </w:t>
      </w:r>
      <w:r>
        <w:rPr>
          <w:color w:val="231F20"/>
          <w:spacing w:val="-3"/>
          <w:sz w:val="20"/>
        </w:rPr>
        <w:t>would</w:t>
      </w:r>
      <w:r>
        <w:rPr>
          <w:color w:val="231F20"/>
          <w:spacing w:val="-8"/>
          <w:sz w:val="20"/>
        </w:rPr>
        <w:t xml:space="preserve"> </w:t>
      </w:r>
      <w:r>
        <w:rPr>
          <w:color w:val="231F20"/>
          <w:sz w:val="20"/>
        </w:rPr>
        <w:t>suggest</w:t>
      </w:r>
      <w:r>
        <w:rPr>
          <w:color w:val="231F20"/>
          <w:spacing w:val="-8"/>
          <w:sz w:val="20"/>
        </w:rPr>
        <w:t xml:space="preserve"> </w:t>
      </w:r>
      <w:r>
        <w:rPr>
          <w:color w:val="231F20"/>
          <w:sz w:val="20"/>
        </w:rPr>
        <w:t>putting</w:t>
      </w:r>
      <w:r>
        <w:rPr>
          <w:color w:val="231F20"/>
          <w:spacing w:val="-9"/>
          <w:sz w:val="20"/>
        </w:rPr>
        <w:t xml:space="preserve"> </w:t>
      </w:r>
      <w:r>
        <w:rPr>
          <w:color w:val="231F20"/>
          <w:sz w:val="20"/>
        </w:rPr>
        <w:t>in</w:t>
      </w:r>
      <w:r>
        <w:rPr>
          <w:color w:val="231F20"/>
          <w:spacing w:val="-8"/>
          <w:sz w:val="20"/>
        </w:rPr>
        <w:t xml:space="preserve"> </w:t>
      </w:r>
      <w:r>
        <w:rPr>
          <w:color w:val="231F20"/>
          <w:sz w:val="20"/>
        </w:rPr>
        <w:t>place</w:t>
      </w:r>
      <w:r>
        <w:rPr>
          <w:color w:val="231F20"/>
          <w:spacing w:val="-8"/>
          <w:sz w:val="20"/>
        </w:rPr>
        <w:t xml:space="preserve"> </w:t>
      </w:r>
      <w:r>
        <w:rPr>
          <w:color w:val="231F20"/>
          <w:sz w:val="20"/>
        </w:rPr>
        <w:t>strong</w:t>
      </w:r>
      <w:r>
        <w:rPr>
          <w:color w:val="231F20"/>
          <w:spacing w:val="-9"/>
          <w:sz w:val="20"/>
        </w:rPr>
        <w:t xml:space="preserve"> </w:t>
      </w:r>
      <w:r>
        <w:rPr>
          <w:color w:val="231F20"/>
          <w:spacing w:val="-3"/>
          <w:sz w:val="20"/>
        </w:rPr>
        <w:t>oversight</w:t>
      </w:r>
      <w:r>
        <w:rPr>
          <w:color w:val="231F20"/>
          <w:spacing w:val="-8"/>
          <w:sz w:val="20"/>
        </w:rPr>
        <w:t xml:space="preserve"> </w:t>
      </w:r>
      <w:r>
        <w:rPr>
          <w:color w:val="231F20"/>
          <w:sz w:val="20"/>
        </w:rPr>
        <w:t>and</w:t>
      </w:r>
      <w:r>
        <w:rPr>
          <w:color w:val="231F20"/>
          <w:spacing w:val="-8"/>
          <w:sz w:val="20"/>
        </w:rPr>
        <w:t xml:space="preserve"> </w:t>
      </w:r>
      <w:r>
        <w:rPr>
          <w:color w:val="231F20"/>
          <w:sz w:val="20"/>
        </w:rPr>
        <w:t>guidance</w:t>
      </w:r>
      <w:r>
        <w:rPr>
          <w:color w:val="231F20"/>
          <w:spacing w:val="-9"/>
          <w:sz w:val="20"/>
        </w:rPr>
        <w:t xml:space="preserve"> </w:t>
      </w:r>
      <w:r>
        <w:rPr>
          <w:color w:val="231F20"/>
          <w:sz w:val="20"/>
        </w:rPr>
        <w:t>to</w:t>
      </w:r>
      <w:r>
        <w:rPr>
          <w:color w:val="231F20"/>
          <w:spacing w:val="-8"/>
          <w:sz w:val="20"/>
        </w:rPr>
        <w:t xml:space="preserve"> </w:t>
      </w:r>
      <w:r>
        <w:rPr>
          <w:color w:val="231F20"/>
          <w:spacing w:val="-3"/>
          <w:sz w:val="20"/>
        </w:rPr>
        <w:t xml:space="preserve">avoid </w:t>
      </w:r>
      <w:r>
        <w:rPr>
          <w:color w:val="231F20"/>
          <w:sz w:val="20"/>
        </w:rPr>
        <w:t xml:space="preserve">unintended outcomes. It </w:t>
      </w:r>
      <w:r>
        <w:rPr>
          <w:color w:val="231F20"/>
          <w:spacing w:val="-3"/>
          <w:sz w:val="20"/>
        </w:rPr>
        <w:t xml:space="preserve">would </w:t>
      </w:r>
      <w:r>
        <w:rPr>
          <w:color w:val="231F20"/>
          <w:sz w:val="20"/>
        </w:rPr>
        <w:t xml:space="preserve">be important </w:t>
      </w:r>
      <w:r>
        <w:rPr>
          <w:color w:val="231F20"/>
          <w:spacing w:val="-3"/>
          <w:sz w:val="20"/>
        </w:rPr>
        <w:t xml:space="preserve">for </w:t>
      </w:r>
      <w:r>
        <w:rPr>
          <w:color w:val="231F20"/>
          <w:sz w:val="20"/>
        </w:rPr>
        <w:t xml:space="preserve">data to be collected and published </w:t>
      </w:r>
      <w:r>
        <w:rPr>
          <w:color w:val="231F20"/>
          <w:spacing w:val="-4"/>
          <w:sz w:val="20"/>
        </w:rPr>
        <w:t>(for</w:t>
      </w:r>
      <w:r>
        <w:rPr>
          <w:color w:val="231F20"/>
          <w:spacing w:val="-8"/>
          <w:sz w:val="20"/>
        </w:rPr>
        <w:t xml:space="preserve"> </w:t>
      </w:r>
      <w:r>
        <w:rPr>
          <w:color w:val="231F20"/>
          <w:spacing w:val="-3"/>
          <w:sz w:val="20"/>
        </w:rPr>
        <w:t>example,</w:t>
      </w:r>
      <w:r>
        <w:rPr>
          <w:color w:val="231F20"/>
          <w:spacing w:val="-8"/>
          <w:sz w:val="20"/>
        </w:rPr>
        <w:t xml:space="preserve"> </w:t>
      </w:r>
      <w:r>
        <w:rPr>
          <w:color w:val="231F20"/>
          <w:sz w:val="20"/>
        </w:rPr>
        <w:t>in</w:t>
      </w:r>
      <w:r>
        <w:rPr>
          <w:color w:val="231F20"/>
          <w:spacing w:val="-7"/>
          <w:sz w:val="20"/>
        </w:rPr>
        <w:t xml:space="preserve"> </w:t>
      </w:r>
      <w:r>
        <w:rPr>
          <w:color w:val="231F20"/>
          <w:sz w:val="20"/>
        </w:rPr>
        <w:t>Crime</w:t>
      </w:r>
      <w:r>
        <w:rPr>
          <w:color w:val="231F20"/>
          <w:spacing w:val="-8"/>
          <w:sz w:val="20"/>
        </w:rPr>
        <w:t xml:space="preserve"> </w:t>
      </w:r>
      <w:r>
        <w:rPr>
          <w:color w:val="231F20"/>
          <w:sz w:val="20"/>
        </w:rPr>
        <w:t>Statistics</w:t>
      </w:r>
      <w:r>
        <w:rPr>
          <w:color w:val="231F20"/>
          <w:spacing w:val="-7"/>
          <w:sz w:val="20"/>
        </w:rPr>
        <w:t xml:space="preserve"> </w:t>
      </w:r>
      <w:r>
        <w:rPr>
          <w:color w:val="231F20"/>
          <w:sz w:val="20"/>
        </w:rPr>
        <w:t>Agency</w:t>
      </w:r>
      <w:r>
        <w:rPr>
          <w:color w:val="231F20"/>
          <w:spacing w:val="-8"/>
          <w:sz w:val="20"/>
        </w:rPr>
        <w:t xml:space="preserve"> </w:t>
      </w:r>
      <w:r>
        <w:rPr>
          <w:color w:val="231F20"/>
          <w:sz w:val="20"/>
        </w:rPr>
        <w:t>reports</w:t>
      </w:r>
      <w:r>
        <w:rPr>
          <w:color w:val="231F20"/>
          <w:spacing w:val="-7"/>
          <w:sz w:val="20"/>
        </w:rPr>
        <w:t xml:space="preserve"> </w:t>
      </w:r>
      <w:r>
        <w:rPr>
          <w:color w:val="231F20"/>
          <w:sz w:val="20"/>
        </w:rPr>
        <w:t>about</w:t>
      </w:r>
      <w:r>
        <w:rPr>
          <w:color w:val="231F20"/>
          <w:spacing w:val="-8"/>
          <w:sz w:val="20"/>
        </w:rPr>
        <w:t xml:space="preserve"> </w:t>
      </w:r>
      <w:r>
        <w:rPr>
          <w:color w:val="231F20"/>
          <w:sz w:val="20"/>
        </w:rPr>
        <w:t>the</w:t>
      </w:r>
      <w:r>
        <w:rPr>
          <w:color w:val="231F20"/>
          <w:spacing w:val="-7"/>
          <w:sz w:val="20"/>
        </w:rPr>
        <w:t xml:space="preserve"> </w:t>
      </w:r>
      <w:r>
        <w:rPr>
          <w:color w:val="231F20"/>
          <w:sz w:val="20"/>
        </w:rPr>
        <w:t>outcomes</w:t>
      </w:r>
      <w:r>
        <w:rPr>
          <w:color w:val="231F20"/>
          <w:spacing w:val="-8"/>
          <w:sz w:val="20"/>
        </w:rPr>
        <w:t xml:space="preserve"> </w:t>
      </w:r>
      <w:r>
        <w:rPr>
          <w:color w:val="231F20"/>
          <w:sz w:val="20"/>
        </w:rPr>
        <w:t>of</w:t>
      </w:r>
      <w:r>
        <w:rPr>
          <w:color w:val="231F20"/>
          <w:spacing w:val="-7"/>
          <w:sz w:val="20"/>
        </w:rPr>
        <w:t xml:space="preserve"> </w:t>
      </w:r>
      <w:r>
        <w:rPr>
          <w:color w:val="231F20"/>
          <w:spacing w:val="-3"/>
          <w:sz w:val="20"/>
        </w:rPr>
        <w:t>offences).</w:t>
      </w:r>
    </w:p>
    <w:p w14:paraId="0B7955E3" w14:textId="77777777" w:rsidR="00894070" w:rsidRDefault="009B7AFD">
      <w:pPr>
        <w:pStyle w:val="BodyText"/>
        <w:spacing w:before="5" w:line="206" w:lineRule="auto"/>
        <w:ind w:left="1801" w:right="1109"/>
        <w:rPr>
          <w:sz w:val="11"/>
        </w:rPr>
      </w:pPr>
      <w:r>
        <w:rPr>
          <w:color w:val="231F20"/>
        </w:rPr>
        <w:t xml:space="preserve">Documenting the </w:t>
      </w:r>
      <w:r>
        <w:rPr>
          <w:color w:val="231F20"/>
          <w:spacing w:val="-3"/>
        </w:rPr>
        <w:t xml:space="preserve">conversation may </w:t>
      </w:r>
      <w:r>
        <w:rPr>
          <w:color w:val="231F20"/>
        </w:rPr>
        <w:t xml:space="preserve">also assist. If the behaviour does not stop </w:t>
      </w:r>
      <w:r>
        <w:rPr>
          <w:color w:val="231F20"/>
          <w:spacing w:val="-3"/>
        </w:rPr>
        <w:t xml:space="preserve">following </w:t>
      </w:r>
      <w:r>
        <w:rPr>
          <w:color w:val="231F20"/>
        </w:rPr>
        <w:t xml:space="preserve">the </w:t>
      </w:r>
      <w:r>
        <w:rPr>
          <w:color w:val="231F20"/>
          <w:spacing w:val="-3"/>
        </w:rPr>
        <w:t xml:space="preserve">conversation, </w:t>
      </w:r>
      <w:r>
        <w:rPr>
          <w:color w:val="231F20"/>
        </w:rPr>
        <w:t xml:space="preserve">this </w:t>
      </w:r>
      <w:r>
        <w:rPr>
          <w:color w:val="231F20"/>
          <w:spacing w:val="-3"/>
        </w:rPr>
        <w:t xml:space="preserve">may </w:t>
      </w:r>
      <w:r>
        <w:rPr>
          <w:color w:val="231F20"/>
        </w:rPr>
        <w:t xml:space="preserve">assist in building a case that could </w:t>
      </w:r>
      <w:r>
        <w:rPr>
          <w:color w:val="231F20"/>
          <w:spacing w:val="-3"/>
        </w:rPr>
        <w:t xml:space="preserve">result </w:t>
      </w:r>
      <w:r>
        <w:rPr>
          <w:color w:val="231F20"/>
        </w:rPr>
        <w:t>in charges.</w:t>
      </w:r>
      <w:r>
        <w:rPr>
          <w:color w:val="231F20"/>
          <w:position w:val="7"/>
          <w:sz w:val="11"/>
        </w:rPr>
        <w:t>129</w:t>
      </w:r>
    </w:p>
    <w:p w14:paraId="48E0AE38" w14:textId="77777777" w:rsidR="00894070" w:rsidRDefault="009B7AFD">
      <w:pPr>
        <w:pStyle w:val="ListParagraph"/>
        <w:numPr>
          <w:ilvl w:val="1"/>
          <w:numId w:val="29"/>
        </w:numPr>
        <w:tabs>
          <w:tab w:val="left" w:pos="1801"/>
          <w:tab w:val="left" w:pos="1802"/>
        </w:tabs>
        <w:spacing w:before="123" w:line="206" w:lineRule="auto"/>
        <w:ind w:right="1228"/>
        <w:rPr>
          <w:sz w:val="11"/>
        </w:rPr>
      </w:pPr>
      <w:r>
        <w:rPr>
          <w:color w:val="231F20"/>
          <w:sz w:val="20"/>
        </w:rPr>
        <w:t>Victoria</w:t>
      </w:r>
      <w:r>
        <w:rPr>
          <w:color w:val="231F20"/>
          <w:spacing w:val="-13"/>
          <w:sz w:val="20"/>
        </w:rPr>
        <w:t xml:space="preserve"> </w:t>
      </w:r>
      <w:r>
        <w:rPr>
          <w:color w:val="231F20"/>
          <w:sz w:val="20"/>
        </w:rPr>
        <w:t>Police</w:t>
      </w:r>
      <w:r>
        <w:rPr>
          <w:color w:val="231F20"/>
          <w:spacing w:val="-13"/>
          <w:sz w:val="20"/>
        </w:rPr>
        <w:t xml:space="preserve"> </w:t>
      </w:r>
      <w:r>
        <w:rPr>
          <w:color w:val="231F20"/>
          <w:sz w:val="20"/>
        </w:rPr>
        <w:t>submitted</w:t>
      </w:r>
      <w:r>
        <w:rPr>
          <w:color w:val="231F20"/>
          <w:spacing w:val="-12"/>
          <w:sz w:val="20"/>
        </w:rPr>
        <w:t xml:space="preserve"> </w:t>
      </w:r>
      <w:r>
        <w:rPr>
          <w:color w:val="231F20"/>
          <w:sz w:val="20"/>
        </w:rPr>
        <w:t>that</w:t>
      </w:r>
      <w:r>
        <w:rPr>
          <w:color w:val="231F20"/>
          <w:spacing w:val="-13"/>
          <w:sz w:val="20"/>
        </w:rPr>
        <w:t xml:space="preserve"> </w:t>
      </w:r>
      <w:r>
        <w:rPr>
          <w:color w:val="231F20"/>
          <w:sz w:val="20"/>
        </w:rPr>
        <w:t>there</w:t>
      </w:r>
      <w:r>
        <w:rPr>
          <w:color w:val="231F20"/>
          <w:spacing w:val="-12"/>
          <w:sz w:val="20"/>
        </w:rPr>
        <w:t xml:space="preserve"> </w:t>
      </w:r>
      <w:r>
        <w:rPr>
          <w:color w:val="231F20"/>
          <w:sz w:val="20"/>
        </w:rPr>
        <w:t>is</w:t>
      </w:r>
      <w:r>
        <w:rPr>
          <w:color w:val="231F20"/>
          <w:spacing w:val="-13"/>
          <w:sz w:val="20"/>
        </w:rPr>
        <w:t xml:space="preserve"> </w:t>
      </w:r>
      <w:r>
        <w:rPr>
          <w:color w:val="231F20"/>
          <w:sz w:val="20"/>
        </w:rPr>
        <w:t>‘no</w:t>
      </w:r>
      <w:r>
        <w:rPr>
          <w:color w:val="231F20"/>
          <w:spacing w:val="-12"/>
          <w:sz w:val="20"/>
        </w:rPr>
        <w:t xml:space="preserve"> </w:t>
      </w:r>
      <w:r>
        <w:rPr>
          <w:color w:val="231F20"/>
          <w:sz w:val="20"/>
        </w:rPr>
        <w:t>statutory</w:t>
      </w:r>
      <w:r>
        <w:rPr>
          <w:color w:val="231F20"/>
          <w:spacing w:val="-13"/>
          <w:sz w:val="20"/>
        </w:rPr>
        <w:t xml:space="preserve"> </w:t>
      </w:r>
      <w:r>
        <w:rPr>
          <w:color w:val="231F20"/>
          <w:sz w:val="20"/>
        </w:rPr>
        <w:t>instrument’</w:t>
      </w:r>
      <w:r>
        <w:rPr>
          <w:color w:val="231F20"/>
          <w:spacing w:val="-12"/>
          <w:sz w:val="20"/>
        </w:rPr>
        <w:t xml:space="preserve"> </w:t>
      </w:r>
      <w:r>
        <w:rPr>
          <w:color w:val="231F20"/>
          <w:sz w:val="20"/>
        </w:rPr>
        <w:t>underpinning</w:t>
      </w:r>
      <w:r>
        <w:rPr>
          <w:color w:val="231F20"/>
          <w:spacing w:val="-13"/>
          <w:sz w:val="20"/>
        </w:rPr>
        <w:t xml:space="preserve"> </w:t>
      </w:r>
      <w:r>
        <w:rPr>
          <w:color w:val="231F20"/>
          <w:sz w:val="20"/>
        </w:rPr>
        <w:t>the</w:t>
      </w:r>
      <w:r>
        <w:rPr>
          <w:color w:val="231F20"/>
          <w:spacing w:val="-13"/>
          <w:sz w:val="20"/>
        </w:rPr>
        <w:t xml:space="preserve"> </w:t>
      </w:r>
      <w:r>
        <w:rPr>
          <w:color w:val="231F20"/>
          <w:sz w:val="20"/>
        </w:rPr>
        <w:t>trial</w:t>
      </w:r>
      <w:r>
        <w:rPr>
          <w:color w:val="231F20"/>
          <w:spacing w:val="-12"/>
          <w:sz w:val="20"/>
        </w:rPr>
        <w:t xml:space="preserve"> </w:t>
      </w:r>
      <w:r>
        <w:rPr>
          <w:color w:val="231F20"/>
          <w:sz w:val="20"/>
        </w:rPr>
        <w:t xml:space="preserve">of stop </w:t>
      </w:r>
      <w:r>
        <w:rPr>
          <w:color w:val="231F20"/>
          <w:spacing w:val="-2"/>
          <w:sz w:val="20"/>
        </w:rPr>
        <w:t xml:space="preserve">conversations. </w:t>
      </w:r>
      <w:r>
        <w:rPr>
          <w:color w:val="231F20"/>
          <w:sz w:val="20"/>
        </w:rPr>
        <w:t xml:space="preserve">They said such an instrument </w:t>
      </w:r>
      <w:r>
        <w:rPr>
          <w:color w:val="231F20"/>
          <w:spacing w:val="-3"/>
          <w:sz w:val="20"/>
        </w:rPr>
        <w:t xml:space="preserve">would </w:t>
      </w:r>
      <w:r>
        <w:rPr>
          <w:color w:val="231F20"/>
          <w:sz w:val="20"/>
        </w:rPr>
        <w:t xml:space="preserve">be needed if the use of such </w:t>
      </w:r>
      <w:r>
        <w:rPr>
          <w:color w:val="231F20"/>
          <w:spacing w:val="-3"/>
          <w:sz w:val="20"/>
        </w:rPr>
        <w:t xml:space="preserve">conversations </w:t>
      </w:r>
      <w:r>
        <w:rPr>
          <w:color w:val="231F20"/>
          <w:sz w:val="20"/>
        </w:rPr>
        <w:t>was formalised in police</w:t>
      </w:r>
      <w:r>
        <w:rPr>
          <w:color w:val="231F20"/>
          <w:spacing w:val="-19"/>
          <w:sz w:val="20"/>
        </w:rPr>
        <w:t xml:space="preserve"> </w:t>
      </w:r>
      <w:r>
        <w:rPr>
          <w:color w:val="231F20"/>
          <w:sz w:val="20"/>
        </w:rPr>
        <w:t>practice.</w:t>
      </w:r>
      <w:r>
        <w:rPr>
          <w:color w:val="231F20"/>
          <w:position w:val="7"/>
          <w:sz w:val="11"/>
        </w:rPr>
        <w:t>130</w:t>
      </w:r>
    </w:p>
    <w:p w14:paraId="6E88827E" w14:textId="77777777" w:rsidR="00894070" w:rsidRDefault="00894070">
      <w:pPr>
        <w:pStyle w:val="BodyText"/>
      </w:pPr>
    </w:p>
    <w:p w14:paraId="0603080C" w14:textId="77777777" w:rsidR="00894070" w:rsidRDefault="009F6793">
      <w:pPr>
        <w:pStyle w:val="BodyText"/>
        <w:spacing w:before="1"/>
        <w:rPr>
          <w:sz w:val="24"/>
        </w:rPr>
      </w:pPr>
      <w:r>
        <w:pict w14:anchorId="6FCEAEB5">
          <v:line id="_x0000_s1065" style="position:absolute;z-index:251779072;mso-wrap-distance-left:0;mso-wrap-distance-right:0;mso-position-horizontal-relative:page" from="79.35pt,19.15pt" to="515.9pt,19.15pt" strokecolor="#f8cabc" strokeweight="1pt">
            <w10:wrap type="topAndBottom" anchorx="page"/>
          </v:line>
        </w:pict>
      </w:r>
    </w:p>
    <w:p w14:paraId="3D5879F8" w14:textId="77777777" w:rsidR="00894070" w:rsidRDefault="00894070">
      <w:pPr>
        <w:pStyle w:val="BodyText"/>
        <w:rPr>
          <w:sz w:val="5"/>
        </w:rPr>
      </w:pPr>
    </w:p>
    <w:p w14:paraId="064BEF1F" w14:textId="77777777" w:rsidR="00894070" w:rsidRDefault="00894070">
      <w:pPr>
        <w:rPr>
          <w:sz w:val="5"/>
        </w:rPr>
        <w:sectPr w:rsidR="00894070">
          <w:pgSz w:w="11910" w:h="16840"/>
          <w:pgMar w:top="840" w:right="420" w:bottom="280" w:left="580" w:header="0" w:footer="0" w:gutter="0"/>
          <w:cols w:space="720"/>
        </w:sectPr>
      </w:pPr>
    </w:p>
    <w:p w14:paraId="2A212B70" w14:textId="77777777" w:rsidR="00894070" w:rsidRDefault="009B7AFD">
      <w:pPr>
        <w:pStyle w:val="ListParagraph"/>
        <w:numPr>
          <w:ilvl w:val="0"/>
          <w:numId w:val="22"/>
        </w:numPr>
        <w:tabs>
          <w:tab w:val="left" w:pos="1800"/>
          <w:tab w:val="left" w:pos="1802"/>
        </w:tabs>
        <w:spacing w:before="21" w:line="170" w:lineRule="exact"/>
        <w:jc w:val="left"/>
        <w:rPr>
          <w:sz w:val="13"/>
        </w:rPr>
      </w:pPr>
      <w:r>
        <w:rPr>
          <w:color w:val="231F20"/>
          <w:spacing w:val="2"/>
          <w:sz w:val="13"/>
        </w:rPr>
        <w:t xml:space="preserve">Submission </w:t>
      </w:r>
      <w:r>
        <w:rPr>
          <w:color w:val="231F20"/>
          <w:sz w:val="13"/>
        </w:rPr>
        <w:t>51 (Matthew</w:t>
      </w:r>
      <w:r>
        <w:rPr>
          <w:color w:val="231F20"/>
          <w:spacing w:val="-3"/>
          <w:sz w:val="13"/>
        </w:rPr>
        <w:t xml:space="preserve"> </w:t>
      </w:r>
      <w:r>
        <w:rPr>
          <w:color w:val="231F20"/>
          <w:sz w:val="13"/>
        </w:rPr>
        <w:t>Raj).</w:t>
      </w:r>
    </w:p>
    <w:p w14:paraId="558C43D9" w14:textId="77777777" w:rsidR="00894070" w:rsidRDefault="009B7AFD">
      <w:pPr>
        <w:pStyle w:val="ListParagraph"/>
        <w:numPr>
          <w:ilvl w:val="0"/>
          <w:numId w:val="22"/>
        </w:numPr>
        <w:tabs>
          <w:tab w:val="left" w:pos="1801"/>
          <w:tab w:val="left" w:pos="1802"/>
        </w:tabs>
        <w:spacing w:line="160" w:lineRule="exact"/>
        <w:jc w:val="left"/>
        <w:rPr>
          <w:sz w:val="13"/>
        </w:rPr>
      </w:pPr>
      <w:r>
        <w:rPr>
          <w:color w:val="231F20"/>
          <w:sz w:val="13"/>
        </w:rPr>
        <w:t>Ibid.</w:t>
      </w:r>
    </w:p>
    <w:p w14:paraId="0113C5B6" w14:textId="77777777" w:rsidR="00894070" w:rsidRDefault="009B7AFD">
      <w:pPr>
        <w:pStyle w:val="ListParagraph"/>
        <w:numPr>
          <w:ilvl w:val="0"/>
          <w:numId w:val="22"/>
        </w:numPr>
        <w:tabs>
          <w:tab w:val="left" w:pos="1801"/>
          <w:tab w:val="left" w:pos="1802"/>
        </w:tabs>
        <w:spacing w:before="7" w:line="213" w:lineRule="auto"/>
        <w:jc w:val="left"/>
        <w:rPr>
          <w:sz w:val="13"/>
        </w:rPr>
      </w:pPr>
      <w:r>
        <w:rPr>
          <w:color w:val="231F20"/>
          <w:sz w:val="13"/>
        </w:rPr>
        <w:t xml:space="preserve">Pat </w:t>
      </w:r>
      <w:r>
        <w:rPr>
          <w:color w:val="231F20"/>
          <w:spacing w:val="2"/>
          <w:sz w:val="13"/>
        </w:rPr>
        <w:t xml:space="preserve">Strickland, </w:t>
      </w:r>
      <w:r>
        <w:rPr>
          <w:i/>
          <w:color w:val="231F20"/>
          <w:sz w:val="13"/>
        </w:rPr>
        <w:t xml:space="preserve">Harassment: ‘Police Information Notices’ or ‘Early Harassment Notices’ in England and Wales </w:t>
      </w:r>
      <w:r>
        <w:rPr>
          <w:color w:val="231F20"/>
          <w:sz w:val="13"/>
        </w:rPr>
        <w:t xml:space="preserve">(House of Commons </w:t>
      </w:r>
      <w:r>
        <w:rPr>
          <w:color w:val="231F20"/>
          <w:spacing w:val="2"/>
          <w:sz w:val="13"/>
        </w:rPr>
        <w:t xml:space="preserve">Library </w:t>
      </w:r>
      <w:r>
        <w:rPr>
          <w:color w:val="231F20"/>
          <w:sz w:val="13"/>
        </w:rPr>
        <w:t xml:space="preserve">Research Briefing No </w:t>
      </w:r>
      <w:r>
        <w:rPr>
          <w:color w:val="231F20"/>
          <w:spacing w:val="2"/>
          <w:sz w:val="13"/>
        </w:rPr>
        <w:t xml:space="preserve">06411, </w:t>
      </w:r>
      <w:r>
        <w:rPr>
          <w:color w:val="231F20"/>
          <w:sz w:val="13"/>
        </w:rPr>
        <w:t>29 June</w:t>
      </w:r>
      <w:r>
        <w:rPr>
          <w:color w:val="231F20"/>
          <w:spacing w:val="-3"/>
          <w:sz w:val="13"/>
        </w:rPr>
        <w:t xml:space="preserve"> </w:t>
      </w:r>
      <w:r>
        <w:rPr>
          <w:color w:val="231F20"/>
          <w:sz w:val="13"/>
        </w:rPr>
        <w:t>2018).</w:t>
      </w:r>
    </w:p>
    <w:p w14:paraId="6E947D7A" w14:textId="77777777" w:rsidR="00894070" w:rsidRDefault="009B7AFD">
      <w:pPr>
        <w:pStyle w:val="ListParagraph"/>
        <w:numPr>
          <w:ilvl w:val="0"/>
          <w:numId w:val="22"/>
        </w:numPr>
        <w:tabs>
          <w:tab w:val="left" w:pos="1801"/>
          <w:tab w:val="left" w:pos="1802"/>
        </w:tabs>
        <w:spacing w:line="153" w:lineRule="exact"/>
        <w:jc w:val="left"/>
        <w:rPr>
          <w:sz w:val="13"/>
        </w:rPr>
      </w:pPr>
      <w:r>
        <w:rPr>
          <w:color w:val="231F20"/>
          <w:sz w:val="13"/>
        </w:rPr>
        <w:t xml:space="preserve">Ibid </w:t>
      </w:r>
      <w:r>
        <w:rPr>
          <w:color w:val="231F20"/>
          <w:spacing w:val="2"/>
          <w:sz w:val="13"/>
        </w:rPr>
        <w:t>12.</w:t>
      </w:r>
    </w:p>
    <w:p w14:paraId="519EB186" w14:textId="77777777" w:rsidR="00894070" w:rsidRDefault="009B7AFD">
      <w:pPr>
        <w:pStyle w:val="ListParagraph"/>
        <w:numPr>
          <w:ilvl w:val="0"/>
          <w:numId w:val="22"/>
        </w:numPr>
        <w:tabs>
          <w:tab w:val="left" w:pos="1801"/>
          <w:tab w:val="left" w:pos="1802"/>
        </w:tabs>
        <w:spacing w:before="6" w:line="213" w:lineRule="auto"/>
        <w:jc w:val="left"/>
        <w:rPr>
          <w:sz w:val="13"/>
        </w:rPr>
      </w:pPr>
      <w:r>
        <w:rPr>
          <w:color w:val="231F20"/>
          <w:sz w:val="13"/>
        </w:rPr>
        <w:t xml:space="preserve">Pat </w:t>
      </w:r>
      <w:r>
        <w:rPr>
          <w:color w:val="231F20"/>
          <w:spacing w:val="2"/>
          <w:sz w:val="13"/>
        </w:rPr>
        <w:t xml:space="preserve">Strickland, </w:t>
      </w:r>
      <w:r>
        <w:rPr>
          <w:i/>
          <w:color w:val="231F20"/>
          <w:sz w:val="13"/>
        </w:rPr>
        <w:t xml:space="preserve">Harassment: ‘Police Information Notices’ or ‘Early Harassment Notices’ in England and Wales </w:t>
      </w:r>
      <w:r>
        <w:rPr>
          <w:color w:val="231F20"/>
          <w:sz w:val="13"/>
        </w:rPr>
        <w:t xml:space="preserve">(House of Commons </w:t>
      </w:r>
      <w:r>
        <w:rPr>
          <w:color w:val="231F20"/>
          <w:spacing w:val="2"/>
          <w:sz w:val="13"/>
        </w:rPr>
        <w:t xml:space="preserve">Library </w:t>
      </w:r>
      <w:r>
        <w:rPr>
          <w:color w:val="231F20"/>
          <w:sz w:val="13"/>
        </w:rPr>
        <w:t xml:space="preserve">Research Briefing No </w:t>
      </w:r>
      <w:r>
        <w:rPr>
          <w:color w:val="231F20"/>
          <w:spacing w:val="2"/>
          <w:sz w:val="13"/>
        </w:rPr>
        <w:t xml:space="preserve">06411, </w:t>
      </w:r>
      <w:r>
        <w:rPr>
          <w:color w:val="231F20"/>
          <w:sz w:val="13"/>
        </w:rPr>
        <w:t>29 June</w:t>
      </w:r>
      <w:r>
        <w:rPr>
          <w:color w:val="231F20"/>
          <w:spacing w:val="-3"/>
          <w:sz w:val="13"/>
        </w:rPr>
        <w:t xml:space="preserve"> </w:t>
      </w:r>
      <w:r>
        <w:rPr>
          <w:color w:val="231F20"/>
          <w:sz w:val="13"/>
        </w:rPr>
        <w:t>2018).</w:t>
      </w:r>
    </w:p>
    <w:p w14:paraId="500D3EF7" w14:textId="77777777" w:rsidR="00894070" w:rsidRDefault="009B7AFD">
      <w:pPr>
        <w:pStyle w:val="ListParagraph"/>
        <w:numPr>
          <w:ilvl w:val="0"/>
          <w:numId w:val="22"/>
        </w:numPr>
        <w:tabs>
          <w:tab w:val="left" w:pos="1800"/>
          <w:tab w:val="left" w:pos="1802"/>
        </w:tabs>
        <w:spacing w:line="153" w:lineRule="exact"/>
        <w:jc w:val="left"/>
        <w:rPr>
          <w:sz w:val="13"/>
        </w:rPr>
      </w:pPr>
      <w:r>
        <w:rPr>
          <w:color w:val="231F20"/>
          <w:sz w:val="13"/>
        </w:rPr>
        <w:t>Tim</w:t>
      </w:r>
      <w:r>
        <w:rPr>
          <w:color w:val="231F20"/>
          <w:spacing w:val="5"/>
          <w:sz w:val="13"/>
        </w:rPr>
        <w:t xml:space="preserve"> </w:t>
      </w:r>
      <w:r>
        <w:rPr>
          <w:color w:val="231F20"/>
          <w:sz w:val="13"/>
        </w:rPr>
        <w:t>Boehnlein</w:t>
      </w:r>
      <w:r>
        <w:rPr>
          <w:color w:val="231F20"/>
          <w:spacing w:val="6"/>
          <w:sz w:val="13"/>
        </w:rPr>
        <w:t xml:space="preserve"> </w:t>
      </w:r>
      <w:r>
        <w:rPr>
          <w:color w:val="231F20"/>
          <w:sz w:val="13"/>
        </w:rPr>
        <w:t>et</w:t>
      </w:r>
      <w:r>
        <w:rPr>
          <w:color w:val="231F20"/>
          <w:spacing w:val="6"/>
          <w:sz w:val="13"/>
        </w:rPr>
        <w:t xml:space="preserve"> </w:t>
      </w:r>
      <w:r>
        <w:rPr>
          <w:color w:val="231F20"/>
          <w:spacing w:val="2"/>
          <w:sz w:val="13"/>
        </w:rPr>
        <w:t>al,</w:t>
      </w:r>
      <w:r>
        <w:rPr>
          <w:color w:val="231F20"/>
          <w:spacing w:val="6"/>
          <w:sz w:val="13"/>
        </w:rPr>
        <w:t xml:space="preserve"> </w:t>
      </w:r>
      <w:r>
        <w:rPr>
          <w:color w:val="231F20"/>
          <w:sz w:val="13"/>
        </w:rPr>
        <w:t>‘Responding</w:t>
      </w:r>
      <w:r>
        <w:rPr>
          <w:color w:val="231F20"/>
          <w:spacing w:val="5"/>
          <w:sz w:val="13"/>
        </w:rPr>
        <w:t xml:space="preserve"> </w:t>
      </w:r>
      <w:r>
        <w:rPr>
          <w:color w:val="231F20"/>
          <w:sz w:val="13"/>
        </w:rPr>
        <w:t>to</w:t>
      </w:r>
      <w:r>
        <w:rPr>
          <w:color w:val="231F20"/>
          <w:spacing w:val="6"/>
          <w:sz w:val="13"/>
        </w:rPr>
        <w:t xml:space="preserve"> </w:t>
      </w:r>
      <w:r>
        <w:rPr>
          <w:color w:val="231F20"/>
          <w:sz w:val="13"/>
        </w:rPr>
        <w:t>Stalking</w:t>
      </w:r>
      <w:r>
        <w:rPr>
          <w:color w:val="231F20"/>
          <w:spacing w:val="6"/>
          <w:sz w:val="13"/>
        </w:rPr>
        <w:t xml:space="preserve"> </w:t>
      </w:r>
      <w:r>
        <w:rPr>
          <w:color w:val="231F20"/>
          <w:sz w:val="13"/>
        </w:rPr>
        <w:t>Victims:</w:t>
      </w:r>
      <w:r>
        <w:rPr>
          <w:color w:val="231F20"/>
          <w:spacing w:val="6"/>
          <w:sz w:val="13"/>
        </w:rPr>
        <w:t xml:space="preserve"> </w:t>
      </w:r>
      <w:r>
        <w:rPr>
          <w:color w:val="231F20"/>
          <w:sz w:val="13"/>
        </w:rPr>
        <w:t>Perceptions,</w:t>
      </w:r>
      <w:r>
        <w:rPr>
          <w:color w:val="231F20"/>
          <w:spacing w:val="6"/>
          <w:sz w:val="13"/>
        </w:rPr>
        <w:t xml:space="preserve"> </w:t>
      </w:r>
      <w:r>
        <w:rPr>
          <w:color w:val="231F20"/>
          <w:spacing w:val="2"/>
          <w:sz w:val="13"/>
        </w:rPr>
        <w:t>Barriers,</w:t>
      </w:r>
      <w:r>
        <w:rPr>
          <w:color w:val="231F20"/>
          <w:spacing w:val="5"/>
          <w:sz w:val="13"/>
        </w:rPr>
        <w:t xml:space="preserve"> </w:t>
      </w:r>
      <w:r>
        <w:rPr>
          <w:color w:val="231F20"/>
          <w:sz w:val="13"/>
        </w:rPr>
        <w:t>and</w:t>
      </w:r>
      <w:r>
        <w:rPr>
          <w:color w:val="231F20"/>
          <w:spacing w:val="6"/>
          <w:sz w:val="13"/>
        </w:rPr>
        <w:t xml:space="preserve"> </w:t>
      </w:r>
      <w:r>
        <w:rPr>
          <w:color w:val="231F20"/>
          <w:sz w:val="13"/>
        </w:rPr>
        <w:t>Directions</w:t>
      </w:r>
      <w:r>
        <w:rPr>
          <w:color w:val="231F20"/>
          <w:spacing w:val="6"/>
          <w:sz w:val="13"/>
        </w:rPr>
        <w:t xml:space="preserve"> </w:t>
      </w:r>
      <w:r>
        <w:rPr>
          <w:color w:val="231F20"/>
          <w:sz w:val="13"/>
        </w:rPr>
        <w:t>for</w:t>
      </w:r>
      <w:r>
        <w:rPr>
          <w:color w:val="231F20"/>
          <w:spacing w:val="6"/>
          <w:sz w:val="13"/>
        </w:rPr>
        <w:t xml:space="preserve"> </w:t>
      </w:r>
      <w:r>
        <w:rPr>
          <w:color w:val="231F20"/>
          <w:sz w:val="13"/>
        </w:rPr>
        <w:t>Future</w:t>
      </w:r>
      <w:r>
        <w:rPr>
          <w:color w:val="231F20"/>
          <w:spacing w:val="6"/>
          <w:sz w:val="13"/>
        </w:rPr>
        <w:t xml:space="preserve"> </w:t>
      </w:r>
      <w:r>
        <w:rPr>
          <w:color w:val="231F20"/>
          <w:sz w:val="13"/>
        </w:rPr>
        <w:t>Research’</w:t>
      </w:r>
      <w:r>
        <w:rPr>
          <w:color w:val="231F20"/>
          <w:spacing w:val="5"/>
          <w:sz w:val="13"/>
        </w:rPr>
        <w:t xml:space="preserve"> </w:t>
      </w:r>
      <w:r>
        <w:rPr>
          <w:color w:val="231F20"/>
          <w:sz w:val="13"/>
        </w:rPr>
        <w:t>(2020)</w:t>
      </w:r>
      <w:r>
        <w:rPr>
          <w:color w:val="231F20"/>
          <w:spacing w:val="6"/>
          <w:sz w:val="13"/>
        </w:rPr>
        <w:t xml:space="preserve"> </w:t>
      </w:r>
      <w:r>
        <w:rPr>
          <w:color w:val="231F20"/>
          <w:sz w:val="13"/>
        </w:rPr>
        <w:t>35(7)</w:t>
      </w:r>
    </w:p>
    <w:p w14:paraId="2735690B" w14:textId="77777777" w:rsidR="00894070" w:rsidRDefault="009B7AFD">
      <w:pPr>
        <w:spacing w:line="160" w:lineRule="exact"/>
        <w:ind w:left="1801"/>
        <w:rPr>
          <w:sz w:val="13"/>
        </w:rPr>
      </w:pPr>
      <w:r>
        <w:rPr>
          <w:i/>
          <w:color w:val="231F20"/>
          <w:sz w:val="13"/>
        </w:rPr>
        <w:t xml:space="preserve">Journal of Family Violence </w:t>
      </w:r>
      <w:r>
        <w:rPr>
          <w:color w:val="231F20"/>
          <w:sz w:val="13"/>
        </w:rPr>
        <w:t>755, 757.</w:t>
      </w:r>
    </w:p>
    <w:p w14:paraId="470B8045" w14:textId="77777777" w:rsidR="00894070" w:rsidRDefault="009B7AFD">
      <w:pPr>
        <w:pStyle w:val="ListParagraph"/>
        <w:numPr>
          <w:ilvl w:val="0"/>
          <w:numId w:val="22"/>
        </w:numPr>
        <w:tabs>
          <w:tab w:val="left" w:pos="1800"/>
          <w:tab w:val="left" w:pos="1802"/>
        </w:tabs>
        <w:spacing w:line="160" w:lineRule="exact"/>
        <w:jc w:val="left"/>
        <w:rPr>
          <w:sz w:val="13"/>
        </w:rPr>
      </w:pPr>
      <w:r>
        <w:rPr>
          <w:color w:val="231F20"/>
          <w:sz w:val="13"/>
        </w:rPr>
        <w:t>Ibid 761.</w:t>
      </w:r>
    </w:p>
    <w:p w14:paraId="1F44B687" w14:textId="77777777" w:rsidR="00894070" w:rsidRDefault="009B7AFD">
      <w:pPr>
        <w:pStyle w:val="ListParagraph"/>
        <w:numPr>
          <w:ilvl w:val="0"/>
          <w:numId w:val="22"/>
        </w:numPr>
        <w:tabs>
          <w:tab w:val="left" w:pos="1801"/>
          <w:tab w:val="left" w:pos="1802"/>
        </w:tabs>
        <w:spacing w:line="160" w:lineRule="exact"/>
        <w:jc w:val="left"/>
        <w:rPr>
          <w:sz w:val="13"/>
        </w:rPr>
      </w:pPr>
      <w:r>
        <w:rPr>
          <w:color w:val="231F20"/>
          <w:sz w:val="13"/>
        </w:rPr>
        <w:t>Ibid.</w:t>
      </w:r>
    </w:p>
    <w:p w14:paraId="2A1B1C41" w14:textId="77777777" w:rsidR="00894070" w:rsidRDefault="009B7AFD">
      <w:pPr>
        <w:pStyle w:val="ListParagraph"/>
        <w:numPr>
          <w:ilvl w:val="0"/>
          <w:numId w:val="22"/>
        </w:numPr>
        <w:tabs>
          <w:tab w:val="left" w:pos="1801"/>
          <w:tab w:val="left" w:pos="1802"/>
        </w:tabs>
        <w:spacing w:line="160" w:lineRule="exact"/>
        <w:jc w:val="left"/>
        <w:rPr>
          <w:sz w:val="13"/>
        </w:rPr>
      </w:pPr>
      <w:r>
        <w:rPr>
          <w:color w:val="231F20"/>
          <w:sz w:val="13"/>
        </w:rPr>
        <w:t>Consultation 36 (Forensicare (No</w:t>
      </w:r>
      <w:r>
        <w:rPr>
          <w:color w:val="231F20"/>
          <w:spacing w:val="1"/>
          <w:sz w:val="13"/>
        </w:rPr>
        <w:t xml:space="preserve"> </w:t>
      </w:r>
      <w:r>
        <w:rPr>
          <w:color w:val="231F20"/>
          <w:sz w:val="13"/>
        </w:rPr>
        <w:t>2)).</w:t>
      </w:r>
    </w:p>
    <w:p w14:paraId="6D17C0D4" w14:textId="77777777" w:rsidR="00894070" w:rsidRDefault="009B7AFD">
      <w:pPr>
        <w:pStyle w:val="ListParagraph"/>
        <w:numPr>
          <w:ilvl w:val="0"/>
          <w:numId w:val="22"/>
        </w:numPr>
        <w:tabs>
          <w:tab w:val="left" w:pos="1800"/>
          <w:tab w:val="left" w:pos="1802"/>
        </w:tabs>
        <w:spacing w:line="160" w:lineRule="exact"/>
        <w:jc w:val="left"/>
        <w:rPr>
          <w:sz w:val="13"/>
        </w:rPr>
      </w:pPr>
      <w:r>
        <w:rPr>
          <w:color w:val="231F20"/>
          <w:spacing w:val="2"/>
          <w:sz w:val="13"/>
        </w:rPr>
        <w:t xml:space="preserve">Submission 115 </w:t>
      </w:r>
      <w:r>
        <w:rPr>
          <w:color w:val="231F20"/>
          <w:sz w:val="13"/>
        </w:rPr>
        <w:t xml:space="preserve">(Victoria </w:t>
      </w:r>
      <w:r>
        <w:rPr>
          <w:color w:val="231F20"/>
          <w:spacing w:val="2"/>
          <w:sz w:val="13"/>
        </w:rPr>
        <w:t>Police—supplementary</w:t>
      </w:r>
      <w:r>
        <w:rPr>
          <w:color w:val="231F20"/>
          <w:spacing w:val="-4"/>
          <w:sz w:val="13"/>
        </w:rPr>
        <w:t xml:space="preserve"> </w:t>
      </w:r>
      <w:r>
        <w:rPr>
          <w:color w:val="231F20"/>
          <w:sz w:val="13"/>
        </w:rPr>
        <w:t>response).</w:t>
      </w:r>
    </w:p>
    <w:p w14:paraId="434D6F57" w14:textId="77777777" w:rsidR="00894070" w:rsidRDefault="009B7AFD">
      <w:pPr>
        <w:pStyle w:val="ListParagraph"/>
        <w:numPr>
          <w:ilvl w:val="0"/>
          <w:numId w:val="22"/>
        </w:numPr>
        <w:tabs>
          <w:tab w:val="left" w:pos="1801"/>
          <w:tab w:val="left" w:pos="1802"/>
        </w:tabs>
        <w:spacing w:line="160" w:lineRule="exact"/>
        <w:jc w:val="left"/>
        <w:rPr>
          <w:sz w:val="13"/>
        </w:rPr>
      </w:pPr>
      <w:r>
        <w:rPr>
          <w:color w:val="231F20"/>
          <w:sz w:val="13"/>
        </w:rPr>
        <w:t>Ibid.</w:t>
      </w:r>
    </w:p>
    <w:p w14:paraId="0CB52CDB" w14:textId="77777777" w:rsidR="00894070" w:rsidRDefault="009B7AFD">
      <w:pPr>
        <w:pStyle w:val="ListParagraph"/>
        <w:numPr>
          <w:ilvl w:val="0"/>
          <w:numId w:val="22"/>
        </w:numPr>
        <w:tabs>
          <w:tab w:val="left" w:pos="1800"/>
          <w:tab w:val="left" w:pos="1802"/>
        </w:tabs>
        <w:spacing w:line="160" w:lineRule="exact"/>
        <w:jc w:val="left"/>
        <w:rPr>
          <w:sz w:val="13"/>
        </w:rPr>
      </w:pPr>
      <w:r>
        <w:rPr>
          <w:color w:val="231F20"/>
          <w:sz w:val="13"/>
        </w:rPr>
        <w:t>Tim</w:t>
      </w:r>
      <w:r>
        <w:rPr>
          <w:color w:val="231F20"/>
          <w:spacing w:val="5"/>
          <w:sz w:val="13"/>
        </w:rPr>
        <w:t xml:space="preserve"> </w:t>
      </w:r>
      <w:r>
        <w:rPr>
          <w:color w:val="231F20"/>
          <w:sz w:val="13"/>
        </w:rPr>
        <w:t>Boehnlein</w:t>
      </w:r>
      <w:r>
        <w:rPr>
          <w:color w:val="231F20"/>
          <w:spacing w:val="6"/>
          <w:sz w:val="13"/>
        </w:rPr>
        <w:t xml:space="preserve"> </w:t>
      </w:r>
      <w:r>
        <w:rPr>
          <w:color w:val="231F20"/>
          <w:sz w:val="13"/>
        </w:rPr>
        <w:t>et</w:t>
      </w:r>
      <w:r>
        <w:rPr>
          <w:color w:val="231F20"/>
          <w:spacing w:val="6"/>
          <w:sz w:val="13"/>
        </w:rPr>
        <w:t xml:space="preserve"> </w:t>
      </w:r>
      <w:r>
        <w:rPr>
          <w:color w:val="231F20"/>
          <w:spacing w:val="2"/>
          <w:sz w:val="13"/>
        </w:rPr>
        <w:t>al,</w:t>
      </w:r>
      <w:r>
        <w:rPr>
          <w:color w:val="231F20"/>
          <w:spacing w:val="6"/>
          <w:sz w:val="13"/>
        </w:rPr>
        <w:t xml:space="preserve"> </w:t>
      </w:r>
      <w:r>
        <w:rPr>
          <w:color w:val="231F20"/>
          <w:sz w:val="13"/>
        </w:rPr>
        <w:t>‘Responding</w:t>
      </w:r>
      <w:r>
        <w:rPr>
          <w:color w:val="231F20"/>
          <w:spacing w:val="5"/>
          <w:sz w:val="13"/>
        </w:rPr>
        <w:t xml:space="preserve"> </w:t>
      </w:r>
      <w:r>
        <w:rPr>
          <w:color w:val="231F20"/>
          <w:sz w:val="13"/>
        </w:rPr>
        <w:t>to</w:t>
      </w:r>
      <w:r>
        <w:rPr>
          <w:color w:val="231F20"/>
          <w:spacing w:val="6"/>
          <w:sz w:val="13"/>
        </w:rPr>
        <w:t xml:space="preserve"> </w:t>
      </w:r>
      <w:r>
        <w:rPr>
          <w:color w:val="231F20"/>
          <w:sz w:val="13"/>
        </w:rPr>
        <w:t>Stalking</w:t>
      </w:r>
      <w:r>
        <w:rPr>
          <w:color w:val="231F20"/>
          <w:spacing w:val="6"/>
          <w:sz w:val="13"/>
        </w:rPr>
        <w:t xml:space="preserve"> </w:t>
      </w:r>
      <w:r>
        <w:rPr>
          <w:color w:val="231F20"/>
          <w:sz w:val="13"/>
        </w:rPr>
        <w:t>Victims:</w:t>
      </w:r>
      <w:r>
        <w:rPr>
          <w:color w:val="231F20"/>
          <w:spacing w:val="6"/>
          <w:sz w:val="13"/>
        </w:rPr>
        <w:t xml:space="preserve"> </w:t>
      </w:r>
      <w:r>
        <w:rPr>
          <w:color w:val="231F20"/>
          <w:sz w:val="13"/>
        </w:rPr>
        <w:t>Perceptions,</w:t>
      </w:r>
      <w:r>
        <w:rPr>
          <w:color w:val="231F20"/>
          <w:spacing w:val="6"/>
          <w:sz w:val="13"/>
        </w:rPr>
        <w:t xml:space="preserve"> </w:t>
      </w:r>
      <w:r>
        <w:rPr>
          <w:color w:val="231F20"/>
          <w:spacing w:val="2"/>
          <w:sz w:val="13"/>
        </w:rPr>
        <w:t>Barriers,</w:t>
      </w:r>
      <w:r>
        <w:rPr>
          <w:color w:val="231F20"/>
          <w:spacing w:val="5"/>
          <w:sz w:val="13"/>
        </w:rPr>
        <w:t xml:space="preserve"> </w:t>
      </w:r>
      <w:r>
        <w:rPr>
          <w:color w:val="231F20"/>
          <w:sz w:val="13"/>
        </w:rPr>
        <w:t>and</w:t>
      </w:r>
      <w:r>
        <w:rPr>
          <w:color w:val="231F20"/>
          <w:spacing w:val="6"/>
          <w:sz w:val="13"/>
        </w:rPr>
        <w:t xml:space="preserve"> </w:t>
      </w:r>
      <w:r>
        <w:rPr>
          <w:color w:val="231F20"/>
          <w:sz w:val="13"/>
        </w:rPr>
        <w:t>Directions</w:t>
      </w:r>
      <w:r>
        <w:rPr>
          <w:color w:val="231F20"/>
          <w:spacing w:val="6"/>
          <w:sz w:val="13"/>
        </w:rPr>
        <w:t xml:space="preserve"> </w:t>
      </w:r>
      <w:r>
        <w:rPr>
          <w:color w:val="231F20"/>
          <w:sz w:val="13"/>
        </w:rPr>
        <w:t>for</w:t>
      </w:r>
      <w:r>
        <w:rPr>
          <w:color w:val="231F20"/>
          <w:spacing w:val="6"/>
          <w:sz w:val="13"/>
        </w:rPr>
        <w:t xml:space="preserve"> </w:t>
      </w:r>
      <w:r>
        <w:rPr>
          <w:color w:val="231F20"/>
          <w:sz w:val="13"/>
        </w:rPr>
        <w:t>Future</w:t>
      </w:r>
      <w:r>
        <w:rPr>
          <w:color w:val="231F20"/>
          <w:spacing w:val="6"/>
          <w:sz w:val="13"/>
        </w:rPr>
        <w:t xml:space="preserve"> </w:t>
      </w:r>
      <w:r>
        <w:rPr>
          <w:color w:val="231F20"/>
          <w:sz w:val="13"/>
        </w:rPr>
        <w:t>Research’</w:t>
      </w:r>
      <w:r>
        <w:rPr>
          <w:color w:val="231F20"/>
          <w:spacing w:val="5"/>
          <w:sz w:val="13"/>
        </w:rPr>
        <w:t xml:space="preserve"> </w:t>
      </w:r>
      <w:r>
        <w:rPr>
          <w:color w:val="231F20"/>
          <w:sz w:val="13"/>
        </w:rPr>
        <w:t>(2020)</w:t>
      </w:r>
      <w:r>
        <w:rPr>
          <w:color w:val="231F20"/>
          <w:spacing w:val="6"/>
          <w:sz w:val="13"/>
        </w:rPr>
        <w:t xml:space="preserve"> </w:t>
      </w:r>
      <w:r>
        <w:rPr>
          <w:color w:val="231F20"/>
          <w:sz w:val="13"/>
        </w:rPr>
        <w:t>35(7)</w:t>
      </w:r>
    </w:p>
    <w:p w14:paraId="1D8695A4" w14:textId="77777777" w:rsidR="00894070" w:rsidRDefault="009B7AFD">
      <w:pPr>
        <w:spacing w:line="160" w:lineRule="exact"/>
        <w:ind w:left="1801"/>
        <w:rPr>
          <w:sz w:val="13"/>
        </w:rPr>
      </w:pPr>
      <w:r>
        <w:rPr>
          <w:i/>
          <w:color w:val="231F20"/>
          <w:sz w:val="13"/>
        </w:rPr>
        <w:t xml:space="preserve">Journal of Family Violence </w:t>
      </w:r>
      <w:r>
        <w:rPr>
          <w:color w:val="231F20"/>
          <w:sz w:val="13"/>
        </w:rPr>
        <w:t>755, 761.</w:t>
      </w:r>
    </w:p>
    <w:p w14:paraId="4F278460" w14:textId="77777777" w:rsidR="00894070" w:rsidRDefault="009B7AFD">
      <w:pPr>
        <w:pStyle w:val="ListParagraph"/>
        <w:numPr>
          <w:ilvl w:val="0"/>
          <w:numId w:val="22"/>
        </w:numPr>
        <w:tabs>
          <w:tab w:val="left" w:pos="1800"/>
          <w:tab w:val="left" w:pos="1802"/>
        </w:tabs>
        <w:spacing w:line="170" w:lineRule="exact"/>
        <w:jc w:val="left"/>
        <w:rPr>
          <w:sz w:val="13"/>
        </w:rPr>
      </w:pPr>
      <w:r>
        <w:rPr>
          <w:color w:val="231F20"/>
          <w:spacing w:val="2"/>
          <w:sz w:val="13"/>
        </w:rPr>
        <w:t xml:space="preserve">Submission 115 </w:t>
      </w:r>
      <w:r>
        <w:rPr>
          <w:color w:val="231F20"/>
          <w:sz w:val="13"/>
        </w:rPr>
        <w:t xml:space="preserve">(Victoria </w:t>
      </w:r>
      <w:r>
        <w:rPr>
          <w:color w:val="231F20"/>
          <w:spacing w:val="2"/>
          <w:sz w:val="13"/>
        </w:rPr>
        <w:t>Police—supplementary</w:t>
      </w:r>
      <w:r>
        <w:rPr>
          <w:color w:val="231F20"/>
          <w:spacing w:val="-3"/>
          <w:sz w:val="13"/>
        </w:rPr>
        <w:t xml:space="preserve"> </w:t>
      </w:r>
      <w:r>
        <w:rPr>
          <w:color w:val="231F20"/>
          <w:sz w:val="13"/>
        </w:rPr>
        <w:t>response).</w:t>
      </w:r>
    </w:p>
    <w:p w14:paraId="3A0E41E0" w14:textId="77777777" w:rsidR="00894070" w:rsidRDefault="009B7AFD">
      <w:pPr>
        <w:pStyle w:val="BodyText"/>
        <w:rPr>
          <w:sz w:val="28"/>
        </w:rPr>
      </w:pPr>
      <w:r>
        <w:br w:type="column"/>
      </w:r>
    </w:p>
    <w:p w14:paraId="5001F089" w14:textId="77777777" w:rsidR="00894070" w:rsidRDefault="00894070">
      <w:pPr>
        <w:pStyle w:val="BodyText"/>
        <w:rPr>
          <w:sz w:val="28"/>
        </w:rPr>
      </w:pPr>
    </w:p>
    <w:p w14:paraId="7575A084" w14:textId="77777777" w:rsidR="00894070" w:rsidRDefault="00894070">
      <w:pPr>
        <w:pStyle w:val="BodyText"/>
        <w:rPr>
          <w:sz w:val="28"/>
        </w:rPr>
      </w:pPr>
    </w:p>
    <w:p w14:paraId="3C9BE59C" w14:textId="77777777" w:rsidR="00894070" w:rsidRDefault="00894070">
      <w:pPr>
        <w:pStyle w:val="BodyText"/>
        <w:rPr>
          <w:sz w:val="28"/>
        </w:rPr>
      </w:pPr>
    </w:p>
    <w:p w14:paraId="43C45CAD" w14:textId="77777777" w:rsidR="00894070" w:rsidRDefault="00894070">
      <w:pPr>
        <w:pStyle w:val="BodyText"/>
        <w:rPr>
          <w:sz w:val="28"/>
        </w:rPr>
      </w:pPr>
    </w:p>
    <w:p w14:paraId="5F242BDE" w14:textId="77777777" w:rsidR="00894070" w:rsidRDefault="00894070">
      <w:pPr>
        <w:pStyle w:val="BodyText"/>
        <w:spacing w:before="11"/>
        <w:rPr>
          <w:sz w:val="36"/>
        </w:rPr>
      </w:pPr>
    </w:p>
    <w:p w14:paraId="09B3C762" w14:textId="77777777" w:rsidR="00894070" w:rsidRDefault="009B7AFD">
      <w:pPr>
        <w:pStyle w:val="Heading8"/>
        <w:spacing w:before="1"/>
        <w:ind w:left="736"/>
      </w:pPr>
      <w:r>
        <w:rPr>
          <w:color w:val="EA5B50"/>
        </w:rPr>
        <w:t>175</w:t>
      </w:r>
    </w:p>
    <w:p w14:paraId="50F4A503" w14:textId="77777777" w:rsidR="00894070" w:rsidRDefault="00894070">
      <w:pPr>
        <w:sectPr w:rsidR="00894070">
          <w:type w:val="continuous"/>
          <w:pgSz w:w="11910" w:h="16840"/>
          <w:pgMar w:top="560" w:right="420" w:bottom="280" w:left="580" w:header="720" w:footer="720" w:gutter="0"/>
          <w:cols w:num="2" w:space="720" w:equalWidth="0">
            <w:col w:w="9572" w:space="40"/>
            <w:col w:w="1298"/>
          </w:cols>
        </w:sectPr>
      </w:pPr>
    </w:p>
    <w:p w14:paraId="546B3696" w14:textId="77777777" w:rsidR="00894070" w:rsidRDefault="00894070">
      <w:pPr>
        <w:pStyle w:val="BodyText"/>
        <w:rPr>
          <w:b/>
        </w:rPr>
      </w:pPr>
    </w:p>
    <w:p w14:paraId="3019F1CF" w14:textId="77777777" w:rsidR="00894070" w:rsidRDefault="00894070">
      <w:pPr>
        <w:pStyle w:val="BodyText"/>
        <w:rPr>
          <w:b/>
        </w:rPr>
      </w:pPr>
    </w:p>
    <w:p w14:paraId="6E5E5974" w14:textId="77777777" w:rsidR="00894070" w:rsidRDefault="00894070">
      <w:pPr>
        <w:pStyle w:val="BodyText"/>
        <w:rPr>
          <w:b/>
        </w:rPr>
      </w:pPr>
    </w:p>
    <w:p w14:paraId="349AAD61" w14:textId="77777777" w:rsidR="00894070" w:rsidRDefault="009B7AFD">
      <w:pPr>
        <w:spacing w:before="212"/>
        <w:ind w:left="1007"/>
        <w:rPr>
          <w:rFonts w:ascii="Raleway ExtraBold"/>
          <w:b/>
          <w:sz w:val="28"/>
        </w:rPr>
      </w:pPr>
      <w:bookmarkStart w:id="187" w:name="Court-ordered_therapeutic_orders_for_PSI"/>
      <w:bookmarkStart w:id="188" w:name="_bookmark113"/>
      <w:bookmarkEnd w:id="187"/>
      <w:bookmarkEnd w:id="188"/>
      <w:r>
        <w:rPr>
          <w:rFonts w:ascii="Raleway ExtraBold"/>
          <w:b/>
          <w:color w:val="EA5B50"/>
          <w:sz w:val="28"/>
        </w:rPr>
        <w:t>Court-ordered therapeutic orders for PSIOs</w:t>
      </w:r>
    </w:p>
    <w:p w14:paraId="2CFA2DFE" w14:textId="77777777" w:rsidR="00894070" w:rsidRDefault="009B7AFD">
      <w:pPr>
        <w:pStyle w:val="ListParagraph"/>
        <w:numPr>
          <w:ilvl w:val="1"/>
          <w:numId w:val="29"/>
        </w:numPr>
        <w:tabs>
          <w:tab w:val="left" w:pos="1801"/>
          <w:tab w:val="left" w:pos="1802"/>
        </w:tabs>
        <w:spacing w:before="146" w:line="206" w:lineRule="auto"/>
        <w:ind w:right="1344"/>
        <w:rPr>
          <w:sz w:val="20"/>
        </w:rPr>
      </w:pPr>
      <w:r>
        <w:rPr>
          <w:color w:val="231F20"/>
          <w:sz w:val="20"/>
        </w:rPr>
        <w:t>This</w:t>
      </w:r>
      <w:r>
        <w:rPr>
          <w:color w:val="231F20"/>
          <w:spacing w:val="-10"/>
          <w:sz w:val="20"/>
        </w:rPr>
        <w:t xml:space="preserve"> </w:t>
      </w:r>
      <w:r>
        <w:rPr>
          <w:color w:val="231F20"/>
          <w:sz w:val="20"/>
        </w:rPr>
        <w:t>section</w:t>
      </w:r>
      <w:r>
        <w:rPr>
          <w:color w:val="231F20"/>
          <w:spacing w:val="-9"/>
          <w:sz w:val="20"/>
        </w:rPr>
        <w:t xml:space="preserve"> </w:t>
      </w:r>
      <w:r>
        <w:rPr>
          <w:color w:val="231F20"/>
          <w:sz w:val="20"/>
        </w:rPr>
        <w:t>considers</w:t>
      </w:r>
      <w:r>
        <w:rPr>
          <w:color w:val="231F20"/>
          <w:spacing w:val="-9"/>
          <w:sz w:val="20"/>
        </w:rPr>
        <w:t xml:space="preserve"> </w:t>
      </w:r>
      <w:r>
        <w:rPr>
          <w:color w:val="231F20"/>
          <w:sz w:val="20"/>
        </w:rPr>
        <w:t>the</w:t>
      </w:r>
      <w:r>
        <w:rPr>
          <w:color w:val="231F20"/>
          <w:spacing w:val="-9"/>
          <w:sz w:val="20"/>
        </w:rPr>
        <w:t xml:space="preserve"> </w:t>
      </w:r>
      <w:r>
        <w:rPr>
          <w:color w:val="231F20"/>
          <w:sz w:val="20"/>
        </w:rPr>
        <w:t>making</w:t>
      </w:r>
      <w:r>
        <w:rPr>
          <w:color w:val="231F20"/>
          <w:spacing w:val="-9"/>
          <w:sz w:val="20"/>
        </w:rPr>
        <w:t xml:space="preserve"> </w:t>
      </w:r>
      <w:r>
        <w:rPr>
          <w:color w:val="231F20"/>
          <w:sz w:val="20"/>
        </w:rPr>
        <w:t>of</w:t>
      </w:r>
      <w:r>
        <w:rPr>
          <w:color w:val="231F20"/>
          <w:spacing w:val="-9"/>
          <w:sz w:val="20"/>
        </w:rPr>
        <w:t xml:space="preserve"> </w:t>
      </w:r>
      <w:r>
        <w:rPr>
          <w:color w:val="231F20"/>
          <w:sz w:val="20"/>
        </w:rPr>
        <w:t>a</w:t>
      </w:r>
      <w:r>
        <w:rPr>
          <w:color w:val="231F20"/>
          <w:spacing w:val="-9"/>
          <w:sz w:val="20"/>
        </w:rPr>
        <w:t xml:space="preserve"> </w:t>
      </w:r>
      <w:r>
        <w:rPr>
          <w:color w:val="231F20"/>
          <w:sz w:val="20"/>
        </w:rPr>
        <w:t>therapeutic</w:t>
      </w:r>
      <w:r>
        <w:rPr>
          <w:color w:val="231F20"/>
          <w:spacing w:val="-9"/>
          <w:sz w:val="20"/>
        </w:rPr>
        <w:t xml:space="preserve"> </w:t>
      </w:r>
      <w:r>
        <w:rPr>
          <w:color w:val="231F20"/>
          <w:sz w:val="20"/>
        </w:rPr>
        <w:t>order</w:t>
      </w:r>
      <w:r>
        <w:rPr>
          <w:color w:val="231F20"/>
          <w:spacing w:val="-9"/>
          <w:sz w:val="20"/>
        </w:rPr>
        <w:t xml:space="preserve"> </w:t>
      </w:r>
      <w:r>
        <w:rPr>
          <w:color w:val="231F20"/>
          <w:sz w:val="20"/>
        </w:rPr>
        <w:t>as</w:t>
      </w:r>
      <w:r>
        <w:rPr>
          <w:color w:val="231F20"/>
          <w:spacing w:val="-9"/>
          <w:sz w:val="20"/>
        </w:rPr>
        <w:t xml:space="preserve"> </w:t>
      </w:r>
      <w:r>
        <w:rPr>
          <w:color w:val="231F20"/>
          <w:sz w:val="20"/>
        </w:rPr>
        <w:t>a</w:t>
      </w:r>
      <w:r>
        <w:rPr>
          <w:color w:val="231F20"/>
          <w:spacing w:val="-9"/>
          <w:sz w:val="20"/>
        </w:rPr>
        <w:t xml:space="preserve"> </w:t>
      </w:r>
      <w:r>
        <w:rPr>
          <w:color w:val="231F20"/>
          <w:sz w:val="20"/>
        </w:rPr>
        <w:t>condition</w:t>
      </w:r>
      <w:r>
        <w:rPr>
          <w:color w:val="231F20"/>
          <w:spacing w:val="-10"/>
          <w:sz w:val="20"/>
        </w:rPr>
        <w:t xml:space="preserve"> </w:t>
      </w:r>
      <w:r>
        <w:rPr>
          <w:color w:val="231F20"/>
          <w:sz w:val="20"/>
        </w:rPr>
        <w:t>of</w:t>
      </w:r>
      <w:r>
        <w:rPr>
          <w:color w:val="231F20"/>
          <w:spacing w:val="-10"/>
          <w:sz w:val="20"/>
        </w:rPr>
        <w:t xml:space="preserve"> </w:t>
      </w:r>
      <w:r>
        <w:rPr>
          <w:color w:val="231F20"/>
          <w:sz w:val="20"/>
        </w:rPr>
        <w:t>a</w:t>
      </w:r>
      <w:r>
        <w:rPr>
          <w:color w:val="231F20"/>
          <w:spacing w:val="-9"/>
          <w:sz w:val="20"/>
        </w:rPr>
        <w:t xml:space="preserve"> </w:t>
      </w:r>
      <w:r>
        <w:rPr>
          <w:color w:val="231F20"/>
          <w:sz w:val="20"/>
        </w:rPr>
        <w:t>PSIO.</w:t>
      </w:r>
      <w:r>
        <w:rPr>
          <w:color w:val="231F20"/>
          <w:spacing w:val="-9"/>
          <w:sz w:val="20"/>
        </w:rPr>
        <w:t xml:space="preserve"> </w:t>
      </w:r>
      <w:r>
        <w:rPr>
          <w:color w:val="231F20"/>
          <w:sz w:val="20"/>
        </w:rPr>
        <w:t xml:space="preserve">This section does not consider court responses to a charge of criminal stalking under the </w:t>
      </w:r>
      <w:r>
        <w:rPr>
          <w:i/>
          <w:color w:val="231F20"/>
          <w:sz w:val="20"/>
        </w:rPr>
        <w:t>Crimes Act 1958</w:t>
      </w:r>
      <w:r>
        <w:rPr>
          <w:i/>
          <w:color w:val="231F20"/>
          <w:spacing w:val="-13"/>
          <w:sz w:val="20"/>
        </w:rPr>
        <w:t xml:space="preserve"> </w:t>
      </w:r>
      <w:r>
        <w:rPr>
          <w:color w:val="231F20"/>
          <w:spacing w:val="-3"/>
          <w:sz w:val="20"/>
        </w:rPr>
        <w:t>(Vic).</w:t>
      </w:r>
    </w:p>
    <w:p w14:paraId="14C33541" w14:textId="77777777" w:rsidR="00894070" w:rsidRDefault="009B7AFD">
      <w:pPr>
        <w:pStyle w:val="ListParagraph"/>
        <w:numPr>
          <w:ilvl w:val="1"/>
          <w:numId w:val="29"/>
        </w:numPr>
        <w:tabs>
          <w:tab w:val="left" w:pos="1801"/>
          <w:tab w:val="left" w:pos="1802"/>
        </w:tabs>
        <w:spacing w:before="124" w:line="206" w:lineRule="auto"/>
        <w:ind w:right="1290"/>
        <w:rPr>
          <w:sz w:val="20"/>
        </w:rPr>
      </w:pPr>
      <w:r>
        <w:rPr>
          <w:color w:val="231F20"/>
          <w:sz w:val="20"/>
        </w:rPr>
        <w:t xml:space="preserve">In 2009, the </w:t>
      </w:r>
      <w:r>
        <w:rPr>
          <w:i/>
          <w:color w:val="231F20"/>
          <w:spacing w:val="-3"/>
          <w:sz w:val="20"/>
        </w:rPr>
        <w:t xml:space="preserve">Family </w:t>
      </w:r>
      <w:r>
        <w:rPr>
          <w:i/>
          <w:color w:val="231F20"/>
          <w:sz w:val="20"/>
        </w:rPr>
        <w:t xml:space="preserve">Violence </w:t>
      </w:r>
      <w:r>
        <w:rPr>
          <w:i/>
          <w:color w:val="231F20"/>
          <w:spacing w:val="-3"/>
          <w:sz w:val="20"/>
        </w:rPr>
        <w:t xml:space="preserve">Protection </w:t>
      </w:r>
      <w:r>
        <w:rPr>
          <w:i/>
          <w:color w:val="231F20"/>
          <w:sz w:val="20"/>
        </w:rPr>
        <w:t xml:space="preserve">Act 2008 </w:t>
      </w:r>
      <w:r>
        <w:rPr>
          <w:color w:val="231F20"/>
          <w:sz w:val="20"/>
        </w:rPr>
        <w:t>(Vic) (FVPA) was amended to enable the</w:t>
      </w:r>
      <w:r>
        <w:rPr>
          <w:color w:val="231F20"/>
          <w:spacing w:val="-9"/>
          <w:sz w:val="20"/>
        </w:rPr>
        <w:t xml:space="preserve"> </w:t>
      </w:r>
      <w:r>
        <w:rPr>
          <w:color w:val="231F20"/>
          <w:sz w:val="20"/>
        </w:rPr>
        <w:t>court</w:t>
      </w:r>
      <w:r>
        <w:rPr>
          <w:color w:val="231F20"/>
          <w:spacing w:val="-9"/>
          <w:sz w:val="20"/>
        </w:rPr>
        <w:t xml:space="preserve"> </w:t>
      </w:r>
      <w:r>
        <w:rPr>
          <w:color w:val="231F20"/>
          <w:sz w:val="20"/>
        </w:rPr>
        <w:t>to</w:t>
      </w:r>
      <w:r>
        <w:rPr>
          <w:color w:val="231F20"/>
          <w:spacing w:val="-9"/>
          <w:sz w:val="20"/>
        </w:rPr>
        <w:t xml:space="preserve"> </w:t>
      </w:r>
      <w:r>
        <w:rPr>
          <w:color w:val="231F20"/>
          <w:sz w:val="20"/>
        </w:rPr>
        <w:t>order</w:t>
      </w:r>
      <w:r>
        <w:rPr>
          <w:color w:val="231F20"/>
          <w:spacing w:val="-9"/>
          <w:sz w:val="20"/>
        </w:rPr>
        <w:t xml:space="preserve"> </w:t>
      </w:r>
      <w:r>
        <w:rPr>
          <w:color w:val="231F20"/>
          <w:sz w:val="20"/>
        </w:rPr>
        <w:t>respondents</w:t>
      </w:r>
      <w:r>
        <w:rPr>
          <w:color w:val="231F20"/>
          <w:spacing w:val="-8"/>
          <w:sz w:val="20"/>
        </w:rPr>
        <w:t xml:space="preserve"> </w:t>
      </w:r>
      <w:r>
        <w:rPr>
          <w:color w:val="231F20"/>
          <w:sz w:val="20"/>
        </w:rPr>
        <w:t>against</w:t>
      </w:r>
      <w:r>
        <w:rPr>
          <w:color w:val="231F20"/>
          <w:spacing w:val="-9"/>
          <w:sz w:val="20"/>
        </w:rPr>
        <w:t xml:space="preserve"> </w:t>
      </w:r>
      <w:r>
        <w:rPr>
          <w:color w:val="231F20"/>
          <w:sz w:val="20"/>
        </w:rPr>
        <w:t>whom</w:t>
      </w:r>
      <w:r>
        <w:rPr>
          <w:color w:val="231F20"/>
          <w:spacing w:val="-9"/>
          <w:sz w:val="20"/>
        </w:rPr>
        <w:t xml:space="preserve"> </w:t>
      </w:r>
      <w:r>
        <w:rPr>
          <w:color w:val="231F20"/>
          <w:sz w:val="20"/>
        </w:rPr>
        <w:t>an</w:t>
      </w:r>
      <w:r>
        <w:rPr>
          <w:color w:val="231F20"/>
          <w:spacing w:val="-9"/>
          <w:sz w:val="20"/>
        </w:rPr>
        <w:t xml:space="preserve"> </w:t>
      </w:r>
      <w:r>
        <w:rPr>
          <w:color w:val="231F20"/>
          <w:spacing w:val="-2"/>
          <w:sz w:val="20"/>
        </w:rPr>
        <w:t>intervention</w:t>
      </w:r>
      <w:r>
        <w:rPr>
          <w:color w:val="231F20"/>
          <w:spacing w:val="-8"/>
          <w:sz w:val="20"/>
        </w:rPr>
        <w:t xml:space="preserve"> </w:t>
      </w:r>
      <w:r>
        <w:rPr>
          <w:color w:val="231F20"/>
          <w:sz w:val="20"/>
        </w:rPr>
        <w:t>order</w:t>
      </w:r>
      <w:r>
        <w:rPr>
          <w:color w:val="231F20"/>
          <w:spacing w:val="-9"/>
          <w:sz w:val="20"/>
        </w:rPr>
        <w:t xml:space="preserve"> </w:t>
      </w:r>
      <w:r>
        <w:rPr>
          <w:color w:val="231F20"/>
          <w:sz w:val="20"/>
        </w:rPr>
        <w:t>has</w:t>
      </w:r>
      <w:r>
        <w:rPr>
          <w:color w:val="231F20"/>
          <w:spacing w:val="-9"/>
          <w:sz w:val="20"/>
        </w:rPr>
        <w:t xml:space="preserve"> </w:t>
      </w:r>
      <w:r>
        <w:rPr>
          <w:color w:val="231F20"/>
          <w:sz w:val="20"/>
        </w:rPr>
        <w:t>been</w:t>
      </w:r>
      <w:r>
        <w:rPr>
          <w:color w:val="231F20"/>
          <w:spacing w:val="-9"/>
          <w:sz w:val="20"/>
        </w:rPr>
        <w:t xml:space="preserve"> </w:t>
      </w:r>
      <w:r>
        <w:rPr>
          <w:color w:val="231F20"/>
          <w:sz w:val="20"/>
        </w:rPr>
        <w:t>made</w:t>
      </w:r>
      <w:r>
        <w:rPr>
          <w:color w:val="231F20"/>
          <w:spacing w:val="-8"/>
          <w:sz w:val="20"/>
        </w:rPr>
        <w:t xml:space="preserve"> </w:t>
      </w:r>
      <w:r>
        <w:rPr>
          <w:color w:val="231F20"/>
          <w:spacing w:val="-3"/>
          <w:sz w:val="20"/>
        </w:rPr>
        <w:t>to:</w:t>
      </w:r>
    </w:p>
    <w:p w14:paraId="1FDEB922" w14:textId="77777777" w:rsidR="00894070" w:rsidRDefault="009B7AFD">
      <w:pPr>
        <w:pStyle w:val="ListParagraph"/>
        <w:numPr>
          <w:ilvl w:val="2"/>
          <w:numId w:val="29"/>
        </w:numPr>
        <w:tabs>
          <w:tab w:val="left" w:pos="2141"/>
          <w:tab w:val="left" w:pos="2142"/>
        </w:tabs>
        <w:spacing w:before="90"/>
        <w:ind w:hanging="340"/>
        <w:rPr>
          <w:sz w:val="20"/>
        </w:rPr>
      </w:pPr>
      <w:r>
        <w:rPr>
          <w:color w:val="231F20"/>
          <w:sz w:val="20"/>
        </w:rPr>
        <w:t xml:space="preserve">be assessed </w:t>
      </w:r>
      <w:r>
        <w:rPr>
          <w:color w:val="231F20"/>
          <w:spacing w:val="-3"/>
          <w:sz w:val="20"/>
        </w:rPr>
        <w:t>for</w:t>
      </w:r>
      <w:r>
        <w:rPr>
          <w:color w:val="231F20"/>
          <w:spacing w:val="-13"/>
          <w:sz w:val="20"/>
        </w:rPr>
        <w:t xml:space="preserve"> </w:t>
      </w:r>
      <w:r>
        <w:rPr>
          <w:color w:val="231F20"/>
          <w:sz w:val="20"/>
        </w:rPr>
        <w:t>counselling</w:t>
      </w:r>
    </w:p>
    <w:p w14:paraId="3E7121DF" w14:textId="77777777" w:rsidR="00894070" w:rsidRDefault="009B7AFD">
      <w:pPr>
        <w:pStyle w:val="ListParagraph"/>
        <w:numPr>
          <w:ilvl w:val="2"/>
          <w:numId w:val="29"/>
        </w:numPr>
        <w:tabs>
          <w:tab w:val="left" w:pos="2141"/>
          <w:tab w:val="left" w:pos="2142"/>
        </w:tabs>
        <w:spacing w:before="47"/>
        <w:ind w:hanging="340"/>
        <w:rPr>
          <w:sz w:val="11"/>
        </w:rPr>
      </w:pPr>
      <w:r>
        <w:rPr>
          <w:color w:val="231F20"/>
          <w:sz w:val="20"/>
        </w:rPr>
        <w:t xml:space="preserve">if assessed as eligible, </w:t>
      </w:r>
      <w:r>
        <w:rPr>
          <w:color w:val="231F20"/>
          <w:spacing w:val="-2"/>
          <w:sz w:val="20"/>
        </w:rPr>
        <w:t>attend</w:t>
      </w:r>
      <w:r>
        <w:rPr>
          <w:color w:val="231F20"/>
          <w:spacing w:val="-22"/>
          <w:sz w:val="20"/>
        </w:rPr>
        <w:t xml:space="preserve"> </w:t>
      </w:r>
      <w:r>
        <w:rPr>
          <w:color w:val="231F20"/>
          <w:sz w:val="20"/>
        </w:rPr>
        <w:t>counselling.</w:t>
      </w:r>
      <w:r>
        <w:rPr>
          <w:color w:val="231F20"/>
          <w:position w:val="7"/>
          <w:sz w:val="11"/>
        </w:rPr>
        <w:t>131</w:t>
      </w:r>
    </w:p>
    <w:p w14:paraId="152D3DA8" w14:textId="77777777" w:rsidR="00894070" w:rsidRDefault="009B7AFD">
      <w:pPr>
        <w:pStyle w:val="ListParagraph"/>
        <w:numPr>
          <w:ilvl w:val="1"/>
          <w:numId w:val="29"/>
        </w:numPr>
        <w:tabs>
          <w:tab w:val="left" w:pos="1801"/>
          <w:tab w:val="left" w:pos="1802"/>
        </w:tabs>
        <w:spacing w:before="80" w:line="206" w:lineRule="auto"/>
        <w:ind w:right="1379"/>
        <w:rPr>
          <w:sz w:val="11"/>
        </w:rPr>
      </w:pPr>
      <w:r>
        <w:rPr>
          <w:color w:val="231F20"/>
          <w:sz w:val="20"/>
        </w:rPr>
        <w:t xml:space="preserve">The purpose is to encourage the </w:t>
      </w:r>
      <w:r>
        <w:rPr>
          <w:color w:val="231F20"/>
          <w:spacing w:val="-2"/>
          <w:sz w:val="20"/>
        </w:rPr>
        <w:t xml:space="preserve">respondent </w:t>
      </w:r>
      <w:r>
        <w:rPr>
          <w:color w:val="231F20"/>
          <w:sz w:val="20"/>
        </w:rPr>
        <w:t xml:space="preserve">to </w:t>
      </w:r>
      <w:r>
        <w:rPr>
          <w:color w:val="231F20"/>
          <w:spacing w:val="-3"/>
          <w:sz w:val="20"/>
        </w:rPr>
        <w:t xml:space="preserve">accept </w:t>
      </w:r>
      <w:r>
        <w:rPr>
          <w:color w:val="231F20"/>
          <w:sz w:val="20"/>
        </w:rPr>
        <w:t xml:space="preserve">responsibility </w:t>
      </w:r>
      <w:r>
        <w:rPr>
          <w:color w:val="231F20"/>
          <w:spacing w:val="-3"/>
          <w:sz w:val="20"/>
        </w:rPr>
        <w:t xml:space="preserve">for </w:t>
      </w:r>
      <w:r>
        <w:rPr>
          <w:color w:val="231F20"/>
          <w:sz w:val="20"/>
        </w:rPr>
        <w:t xml:space="preserve">the </w:t>
      </w:r>
      <w:r>
        <w:rPr>
          <w:color w:val="231F20"/>
          <w:spacing w:val="-3"/>
          <w:sz w:val="20"/>
        </w:rPr>
        <w:t xml:space="preserve">family </w:t>
      </w:r>
      <w:r>
        <w:rPr>
          <w:color w:val="231F20"/>
          <w:sz w:val="20"/>
        </w:rPr>
        <w:t>violence</w:t>
      </w:r>
      <w:r>
        <w:rPr>
          <w:color w:val="231F20"/>
          <w:spacing w:val="-7"/>
          <w:sz w:val="20"/>
        </w:rPr>
        <w:t xml:space="preserve"> </w:t>
      </w:r>
      <w:r>
        <w:rPr>
          <w:color w:val="231F20"/>
          <w:sz w:val="20"/>
        </w:rPr>
        <w:t>and</w:t>
      </w:r>
      <w:r>
        <w:rPr>
          <w:color w:val="231F20"/>
          <w:spacing w:val="-6"/>
          <w:sz w:val="20"/>
        </w:rPr>
        <w:t xml:space="preserve"> </w:t>
      </w:r>
      <w:r>
        <w:rPr>
          <w:color w:val="231F20"/>
          <w:sz w:val="20"/>
        </w:rPr>
        <w:t>encourage</w:t>
      </w:r>
      <w:r>
        <w:rPr>
          <w:color w:val="231F20"/>
          <w:spacing w:val="-7"/>
          <w:sz w:val="20"/>
        </w:rPr>
        <w:t xml:space="preserve"> </w:t>
      </w:r>
      <w:r>
        <w:rPr>
          <w:color w:val="231F20"/>
          <w:sz w:val="20"/>
        </w:rPr>
        <w:t>them</w:t>
      </w:r>
      <w:r>
        <w:rPr>
          <w:color w:val="231F20"/>
          <w:spacing w:val="-6"/>
          <w:sz w:val="20"/>
        </w:rPr>
        <w:t xml:space="preserve"> </w:t>
      </w:r>
      <w:r>
        <w:rPr>
          <w:color w:val="231F20"/>
          <w:sz w:val="20"/>
        </w:rPr>
        <w:t>to</w:t>
      </w:r>
      <w:r>
        <w:rPr>
          <w:color w:val="231F20"/>
          <w:spacing w:val="-7"/>
          <w:sz w:val="20"/>
        </w:rPr>
        <w:t xml:space="preserve"> </w:t>
      </w:r>
      <w:r>
        <w:rPr>
          <w:color w:val="231F20"/>
          <w:sz w:val="20"/>
        </w:rPr>
        <w:t>change</w:t>
      </w:r>
      <w:r>
        <w:rPr>
          <w:color w:val="231F20"/>
          <w:spacing w:val="-6"/>
          <w:sz w:val="20"/>
        </w:rPr>
        <w:t xml:space="preserve"> </w:t>
      </w:r>
      <w:r>
        <w:rPr>
          <w:color w:val="231F20"/>
          <w:sz w:val="20"/>
        </w:rPr>
        <w:t>their</w:t>
      </w:r>
      <w:r>
        <w:rPr>
          <w:color w:val="231F20"/>
          <w:spacing w:val="-7"/>
          <w:sz w:val="20"/>
        </w:rPr>
        <w:t xml:space="preserve"> </w:t>
      </w:r>
      <w:r>
        <w:rPr>
          <w:color w:val="231F20"/>
          <w:spacing w:val="-3"/>
          <w:sz w:val="20"/>
        </w:rPr>
        <w:t>behaviour.</w:t>
      </w:r>
      <w:r>
        <w:rPr>
          <w:color w:val="231F20"/>
          <w:spacing w:val="-3"/>
          <w:position w:val="7"/>
          <w:sz w:val="11"/>
        </w:rPr>
        <w:t>132</w:t>
      </w:r>
      <w:r>
        <w:rPr>
          <w:color w:val="231F20"/>
          <w:spacing w:val="18"/>
          <w:position w:val="7"/>
          <w:sz w:val="11"/>
        </w:rPr>
        <w:t xml:space="preserve"> </w:t>
      </w:r>
      <w:r>
        <w:rPr>
          <w:color w:val="231F20"/>
          <w:spacing w:val="-4"/>
          <w:sz w:val="20"/>
        </w:rPr>
        <w:t>Failure</w:t>
      </w:r>
      <w:r>
        <w:rPr>
          <w:color w:val="231F20"/>
          <w:spacing w:val="-7"/>
          <w:sz w:val="20"/>
        </w:rPr>
        <w:t xml:space="preserve"> </w:t>
      </w:r>
      <w:r>
        <w:rPr>
          <w:color w:val="231F20"/>
          <w:sz w:val="20"/>
        </w:rPr>
        <w:t>to</w:t>
      </w:r>
      <w:r>
        <w:rPr>
          <w:color w:val="231F20"/>
          <w:spacing w:val="-6"/>
          <w:sz w:val="20"/>
        </w:rPr>
        <w:t xml:space="preserve"> </w:t>
      </w:r>
      <w:r>
        <w:rPr>
          <w:color w:val="231F20"/>
          <w:spacing w:val="-3"/>
          <w:sz w:val="20"/>
        </w:rPr>
        <w:t>comply</w:t>
      </w:r>
      <w:r>
        <w:rPr>
          <w:color w:val="231F20"/>
          <w:spacing w:val="-6"/>
          <w:sz w:val="20"/>
        </w:rPr>
        <w:t xml:space="preserve"> </w:t>
      </w:r>
      <w:r>
        <w:rPr>
          <w:color w:val="231F20"/>
          <w:sz w:val="20"/>
        </w:rPr>
        <w:t>with</w:t>
      </w:r>
      <w:r>
        <w:rPr>
          <w:color w:val="231F20"/>
          <w:spacing w:val="-7"/>
          <w:sz w:val="20"/>
        </w:rPr>
        <w:t xml:space="preserve"> </w:t>
      </w:r>
      <w:r>
        <w:rPr>
          <w:color w:val="231F20"/>
          <w:sz w:val="20"/>
        </w:rPr>
        <w:t>the order is an</w:t>
      </w:r>
      <w:r>
        <w:rPr>
          <w:color w:val="231F20"/>
          <w:spacing w:val="-13"/>
          <w:sz w:val="20"/>
        </w:rPr>
        <w:t xml:space="preserve"> </w:t>
      </w:r>
      <w:r>
        <w:rPr>
          <w:color w:val="231F20"/>
          <w:sz w:val="20"/>
        </w:rPr>
        <w:t>offence.</w:t>
      </w:r>
      <w:r>
        <w:rPr>
          <w:color w:val="231F20"/>
          <w:position w:val="7"/>
          <w:sz w:val="11"/>
        </w:rPr>
        <w:t>133</w:t>
      </w:r>
    </w:p>
    <w:p w14:paraId="03A3211D" w14:textId="77777777" w:rsidR="00894070" w:rsidRDefault="009B7AFD">
      <w:pPr>
        <w:pStyle w:val="ListParagraph"/>
        <w:numPr>
          <w:ilvl w:val="1"/>
          <w:numId w:val="29"/>
        </w:numPr>
        <w:tabs>
          <w:tab w:val="left" w:pos="1801"/>
          <w:tab w:val="left" w:pos="1802"/>
        </w:tabs>
        <w:spacing w:before="124" w:line="206" w:lineRule="auto"/>
        <w:ind w:right="1459"/>
        <w:rPr>
          <w:sz w:val="11"/>
        </w:rPr>
      </w:pPr>
      <w:r>
        <w:rPr>
          <w:color w:val="231F20"/>
          <w:spacing w:val="-3"/>
          <w:sz w:val="20"/>
        </w:rPr>
        <w:t xml:space="preserve">Coercive </w:t>
      </w:r>
      <w:r>
        <w:rPr>
          <w:color w:val="231F20"/>
          <w:sz w:val="20"/>
        </w:rPr>
        <w:t xml:space="preserve">measures </w:t>
      </w:r>
      <w:r>
        <w:rPr>
          <w:color w:val="231F20"/>
          <w:spacing w:val="-3"/>
          <w:sz w:val="20"/>
        </w:rPr>
        <w:t xml:space="preserve">are </w:t>
      </w:r>
      <w:r>
        <w:rPr>
          <w:color w:val="231F20"/>
          <w:sz w:val="20"/>
        </w:rPr>
        <w:t xml:space="preserve">generally reserved </w:t>
      </w:r>
      <w:r>
        <w:rPr>
          <w:color w:val="231F20"/>
          <w:spacing w:val="-3"/>
          <w:sz w:val="20"/>
        </w:rPr>
        <w:t xml:space="preserve">for </w:t>
      </w:r>
      <w:r>
        <w:rPr>
          <w:color w:val="231F20"/>
          <w:sz w:val="20"/>
        </w:rPr>
        <w:t>the criminal justice system, rather than</w:t>
      </w:r>
      <w:r>
        <w:rPr>
          <w:color w:val="231F20"/>
          <w:spacing w:val="-8"/>
          <w:sz w:val="20"/>
        </w:rPr>
        <w:t xml:space="preserve"> </w:t>
      </w:r>
      <w:r>
        <w:rPr>
          <w:color w:val="231F20"/>
          <w:spacing w:val="-3"/>
          <w:sz w:val="20"/>
        </w:rPr>
        <w:t>flowing</w:t>
      </w:r>
      <w:r>
        <w:rPr>
          <w:color w:val="231F20"/>
          <w:spacing w:val="-8"/>
          <w:sz w:val="20"/>
        </w:rPr>
        <w:t xml:space="preserve"> </w:t>
      </w:r>
      <w:r>
        <w:rPr>
          <w:color w:val="231F20"/>
          <w:spacing w:val="-3"/>
          <w:sz w:val="20"/>
        </w:rPr>
        <w:t>from</w:t>
      </w:r>
      <w:r>
        <w:rPr>
          <w:color w:val="231F20"/>
          <w:spacing w:val="-7"/>
          <w:sz w:val="20"/>
        </w:rPr>
        <w:t xml:space="preserve"> </w:t>
      </w:r>
      <w:r>
        <w:rPr>
          <w:color w:val="231F20"/>
          <w:sz w:val="20"/>
        </w:rPr>
        <w:t>civil</w:t>
      </w:r>
      <w:r>
        <w:rPr>
          <w:color w:val="231F20"/>
          <w:spacing w:val="-8"/>
          <w:sz w:val="20"/>
        </w:rPr>
        <w:t xml:space="preserve"> </w:t>
      </w:r>
      <w:r>
        <w:rPr>
          <w:color w:val="231F20"/>
          <w:sz w:val="20"/>
        </w:rPr>
        <w:t>orders,</w:t>
      </w:r>
      <w:r>
        <w:rPr>
          <w:color w:val="231F20"/>
          <w:spacing w:val="-7"/>
          <w:sz w:val="20"/>
        </w:rPr>
        <w:t xml:space="preserve"> </w:t>
      </w:r>
      <w:r>
        <w:rPr>
          <w:color w:val="231F20"/>
          <w:sz w:val="20"/>
        </w:rPr>
        <w:t>where</w:t>
      </w:r>
      <w:r>
        <w:rPr>
          <w:color w:val="231F20"/>
          <w:spacing w:val="-8"/>
          <w:sz w:val="20"/>
        </w:rPr>
        <w:t xml:space="preserve"> </w:t>
      </w:r>
      <w:r>
        <w:rPr>
          <w:color w:val="231F20"/>
          <w:sz w:val="20"/>
        </w:rPr>
        <w:t>the</w:t>
      </w:r>
      <w:r>
        <w:rPr>
          <w:color w:val="231F20"/>
          <w:spacing w:val="-8"/>
          <w:sz w:val="20"/>
        </w:rPr>
        <w:t xml:space="preserve"> </w:t>
      </w:r>
      <w:r>
        <w:rPr>
          <w:color w:val="231F20"/>
          <w:sz w:val="20"/>
        </w:rPr>
        <w:t>standard</w:t>
      </w:r>
      <w:r>
        <w:rPr>
          <w:color w:val="231F20"/>
          <w:spacing w:val="-7"/>
          <w:sz w:val="20"/>
        </w:rPr>
        <w:t xml:space="preserve"> </w:t>
      </w:r>
      <w:r>
        <w:rPr>
          <w:color w:val="231F20"/>
          <w:sz w:val="20"/>
        </w:rPr>
        <w:t>of</w:t>
      </w:r>
      <w:r>
        <w:rPr>
          <w:color w:val="231F20"/>
          <w:spacing w:val="-8"/>
          <w:sz w:val="20"/>
        </w:rPr>
        <w:t xml:space="preserve"> </w:t>
      </w:r>
      <w:r>
        <w:rPr>
          <w:color w:val="231F20"/>
          <w:spacing w:val="-3"/>
          <w:sz w:val="20"/>
        </w:rPr>
        <w:t>proof</w:t>
      </w:r>
      <w:r>
        <w:rPr>
          <w:color w:val="231F20"/>
          <w:spacing w:val="-7"/>
          <w:sz w:val="20"/>
        </w:rPr>
        <w:t xml:space="preserve"> </w:t>
      </w:r>
      <w:r>
        <w:rPr>
          <w:color w:val="231F20"/>
          <w:sz w:val="20"/>
        </w:rPr>
        <w:t>is</w:t>
      </w:r>
      <w:r>
        <w:rPr>
          <w:color w:val="231F20"/>
          <w:spacing w:val="-8"/>
          <w:sz w:val="20"/>
        </w:rPr>
        <w:t xml:space="preserve"> </w:t>
      </w:r>
      <w:r>
        <w:rPr>
          <w:color w:val="231F20"/>
          <w:spacing w:val="-6"/>
          <w:sz w:val="20"/>
        </w:rPr>
        <w:t>lower.</w:t>
      </w:r>
      <w:r>
        <w:rPr>
          <w:color w:val="231F20"/>
          <w:spacing w:val="-8"/>
          <w:sz w:val="20"/>
        </w:rPr>
        <w:t xml:space="preserve"> </w:t>
      </w:r>
      <w:r>
        <w:rPr>
          <w:color w:val="231F20"/>
          <w:sz w:val="20"/>
        </w:rPr>
        <w:t>The</w:t>
      </w:r>
      <w:r>
        <w:rPr>
          <w:color w:val="231F20"/>
          <w:spacing w:val="-7"/>
          <w:sz w:val="20"/>
        </w:rPr>
        <w:t xml:space="preserve"> </w:t>
      </w:r>
      <w:r>
        <w:rPr>
          <w:color w:val="231F20"/>
          <w:sz w:val="20"/>
        </w:rPr>
        <w:t xml:space="preserve">amendment to the </w:t>
      </w:r>
      <w:r>
        <w:rPr>
          <w:color w:val="231F20"/>
          <w:spacing w:val="-3"/>
          <w:sz w:val="20"/>
        </w:rPr>
        <w:t xml:space="preserve">FVPA </w:t>
      </w:r>
      <w:r>
        <w:rPr>
          <w:color w:val="231F20"/>
          <w:sz w:val="20"/>
        </w:rPr>
        <w:t xml:space="preserve">engaged and limited the </w:t>
      </w:r>
      <w:r>
        <w:rPr>
          <w:color w:val="231F20"/>
          <w:spacing w:val="-3"/>
          <w:sz w:val="20"/>
        </w:rPr>
        <w:t xml:space="preserve">protection from </w:t>
      </w:r>
      <w:r>
        <w:rPr>
          <w:color w:val="231F20"/>
          <w:sz w:val="20"/>
        </w:rPr>
        <w:t xml:space="preserve">torture and cruel, inhuman or degrading </w:t>
      </w:r>
      <w:r>
        <w:rPr>
          <w:color w:val="231F20"/>
          <w:spacing w:val="-3"/>
          <w:sz w:val="20"/>
        </w:rPr>
        <w:t xml:space="preserve">treatment </w:t>
      </w:r>
      <w:r>
        <w:rPr>
          <w:color w:val="231F20"/>
          <w:sz w:val="20"/>
        </w:rPr>
        <w:t xml:space="preserve">in the </w:t>
      </w:r>
      <w:r>
        <w:rPr>
          <w:i/>
          <w:color w:val="231F20"/>
          <w:sz w:val="20"/>
        </w:rPr>
        <w:t xml:space="preserve">Charter of Human Rights and Responsibilities Act 2006 </w:t>
      </w:r>
      <w:r>
        <w:rPr>
          <w:color w:val="231F20"/>
          <w:sz w:val="20"/>
        </w:rPr>
        <w:t>(Vic).</w:t>
      </w:r>
      <w:r>
        <w:rPr>
          <w:color w:val="231F20"/>
          <w:position w:val="7"/>
          <w:sz w:val="11"/>
        </w:rPr>
        <w:t>134</w:t>
      </w:r>
      <w:r>
        <w:rPr>
          <w:color w:val="231F20"/>
          <w:spacing w:val="17"/>
          <w:position w:val="7"/>
          <w:sz w:val="11"/>
        </w:rPr>
        <w:t xml:space="preserve"> </w:t>
      </w:r>
      <w:r>
        <w:rPr>
          <w:color w:val="231F20"/>
          <w:sz w:val="20"/>
        </w:rPr>
        <w:t>The</w:t>
      </w:r>
      <w:r>
        <w:rPr>
          <w:color w:val="231F20"/>
          <w:spacing w:val="-7"/>
          <w:sz w:val="20"/>
        </w:rPr>
        <w:t xml:space="preserve"> </w:t>
      </w:r>
      <w:r>
        <w:rPr>
          <w:color w:val="231F20"/>
          <w:sz w:val="20"/>
        </w:rPr>
        <w:t>Charter</w:t>
      </w:r>
      <w:r>
        <w:rPr>
          <w:color w:val="231F20"/>
          <w:spacing w:val="-7"/>
          <w:sz w:val="20"/>
        </w:rPr>
        <w:t xml:space="preserve"> </w:t>
      </w:r>
      <w:r>
        <w:rPr>
          <w:color w:val="231F20"/>
          <w:spacing w:val="-3"/>
          <w:sz w:val="20"/>
        </w:rPr>
        <w:t>provides</w:t>
      </w:r>
      <w:r>
        <w:rPr>
          <w:color w:val="231F20"/>
          <w:spacing w:val="-6"/>
          <w:sz w:val="20"/>
        </w:rPr>
        <w:t xml:space="preserve"> </w:t>
      </w:r>
      <w:r>
        <w:rPr>
          <w:color w:val="231F20"/>
          <w:sz w:val="20"/>
        </w:rPr>
        <w:t>that</w:t>
      </w:r>
      <w:r>
        <w:rPr>
          <w:color w:val="231F20"/>
          <w:spacing w:val="-7"/>
          <w:sz w:val="20"/>
        </w:rPr>
        <w:t xml:space="preserve"> </w:t>
      </w:r>
      <w:r>
        <w:rPr>
          <w:color w:val="231F20"/>
          <w:sz w:val="20"/>
        </w:rPr>
        <w:t>a</w:t>
      </w:r>
      <w:r>
        <w:rPr>
          <w:color w:val="231F20"/>
          <w:spacing w:val="-6"/>
          <w:sz w:val="20"/>
        </w:rPr>
        <w:t xml:space="preserve"> </w:t>
      </w:r>
      <w:r>
        <w:rPr>
          <w:color w:val="231F20"/>
          <w:sz w:val="20"/>
        </w:rPr>
        <w:t>person</w:t>
      </w:r>
      <w:r>
        <w:rPr>
          <w:color w:val="231F20"/>
          <w:spacing w:val="-7"/>
          <w:sz w:val="20"/>
        </w:rPr>
        <w:t xml:space="preserve"> </w:t>
      </w:r>
      <w:r>
        <w:rPr>
          <w:color w:val="231F20"/>
          <w:sz w:val="20"/>
        </w:rPr>
        <w:t>must</w:t>
      </w:r>
      <w:r>
        <w:rPr>
          <w:color w:val="231F20"/>
          <w:spacing w:val="-7"/>
          <w:sz w:val="20"/>
        </w:rPr>
        <w:t xml:space="preserve"> </w:t>
      </w:r>
      <w:r>
        <w:rPr>
          <w:color w:val="231F20"/>
          <w:sz w:val="20"/>
        </w:rPr>
        <w:t>not</w:t>
      </w:r>
      <w:r>
        <w:rPr>
          <w:color w:val="231F20"/>
          <w:spacing w:val="-6"/>
          <w:sz w:val="20"/>
        </w:rPr>
        <w:t xml:space="preserve"> </w:t>
      </w:r>
      <w:r>
        <w:rPr>
          <w:color w:val="231F20"/>
          <w:sz w:val="20"/>
        </w:rPr>
        <w:t>be</w:t>
      </w:r>
      <w:r>
        <w:rPr>
          <w:color w:val="231F20"/>
          <w:spacing w:val="-7"/>
          <w:sz w:val="20"/>
        </w:rPr>
        <w:t xml:space="preserve"> </w:t>
      </w:r>
      <w:r>
        <w:rPr>
          <w:color w:val="231F20"/>
          <w:sz w:val="20"/>
        </w:rPr>
        <w:t>subject</w:t>
      </w:r>
      <w:r>
        <w:rPr>
          <w:color w:val="231F20"/>
          <w:spacing w:val="-7"/>
          <w:sz w:val="20"/>
        </w:rPr>
        <w:t xml:space="preserve"> </w:t>
      </w:r>
      <w:r>
        <w:rPr>
          <w:color w:val="231F20"/>
          <w:sz w:val="20"/>
        </w:rPr>
        <w:t>to</w:t>
      </w:r>
      <w:r>
        <w:rPr>
          <w:color w:val="231F20"/>
          <w:spacing w:val="-6"/>
          <w:sz w:val="20"/>
        </w:rPr>
        <w:t xml:space="preserve"> </w:t>
      </w:r>
      <w:r>
        <w:rPr>
          <w:color w:val="231F20"/>
          <w:sz w:val="20"/>
        </w:rPr>
        <w:t>medical</w:t>
      </w:r>
      <w:r>
        <w:rPr>
          <w:color w:val="231F20"/>
          <w:spacing w:val="-7"/>
          <w:sz w:val="20"/>
        </w:rPr>
        <w:t xml:space="preserve"> </w:t>
      </w:r>
      <w:r>
        <w:rPr>
          <w:color w:val="231F20"/>
          <w:spacing w:val="-3"/>
          <w:sz w:val="20"/>
        </w:rPr>
        <w:t xml:space="preserve">treatment </w:t>
      </w:r>
      <w:r>
        <w:rPr>
          <w:color w:val="231F20"/>
          <w:sz w:val="20"/>
        </w:rPr>
        <w:t xml:space="preserve">without their full, </w:t>
      </w:r>
      <w:r>
        <w:rPr>
          <w:color w:val="231F20"/>
          <w:spacing w:val="-3"/>
          <w:sz w:val="20"/>
        </w:rPr>
        <w:t xml:space="preserve">free, </w:t>
      </w:r>
      <w:r>
        <w:rPr>
          <w:color w:val="231F20"/>
          <w:sz w:val="20"/>
        </w:rPr>
        <w:t>and informed</w:t>
      </w:r>
      <w:r>
        <w:rPr>
          <w:color w:val="231F20"/>
          <w:spacing w:val="-24"/>
          <w:sz w:val="20"/>
        </w:rPr>
        <w:t xml:space="preserve"> </w:t>
      </w:r>
      <w:r>
        <w:rPr>
          <w:color w:val="231F20"/>
          <w:sz w:val="20"/>
        </w:rPr>
        <w:t>consent.</w:t>
      </w:r>
      <w:r>
        <w:rPr>
          <w:color w:val="231F20"/>
          <w:position w:val="7"/>
          <w:sz w:val="11"/>
        </w:rPr>
        <w:t>135</w:t>
      </w:r>
    </w:p>
    <w:p w14:paraId="243A092A" w14:textId="77777777" w:rsidR="00894070" w:rsidRDefault="009B7AFD">
      <w:pPr>
        <w:pStyle w:val="ListParagraph"/>
        <w:numPr>
          <w:ilvl w:val="1"/>
          <w:numId w:val="29"/>
        </w:numPr>
        <w:tabs>
          <w:tab w:val="left" w:pos="1801"/>
          <w:tab w:val="left" w:pos="1802"/>
        </w:tabs>
        <w:spacing w:before="127" w:line="206" w:lineRule="auto"/>
        <w:ind w:right="1476"/>
        <w:rPr>
          <w:sz w:val="11"/>
        </w:rPr>
      </w:pPr>
      <w:r>
        <w:rPr>
          <w:color w:val="231F20"/>
          <w:spacing w:val="-5"/>
          <w:sz w:val="20"/>
        </w:rPr>
        <w:t xml:space="preserve">However, </w:t>
      </w:r>
      <w:r>
        <w:rPr>
          <w:color w:val="231F20"/>
          <w:sz w:val="20"/>
        </w:rPr>
        <w:t xml:space="preserve">in amending the FVPA, consideration was </w:t>
      </w:r>
      <w:r>
        <w:rPr>
          <w:color w:val="231F20"/>
          <w:spacing w:val="-3"/>
          <w:sz w:val="20"/>
        </w:rPr>
        <w:t xml:space="preserve">given </w:t>
      </w:r>
      <w:r>
        <w:rPr>
          <w:color w:val="231F20"/>
          <w:sz w:val="20"/>
        </w:rPr>
        <w:t>to the importance of the purpose of the limitation.</w:t>
      </w:r>
      <w:r>
        <w:rPr>
          <w:color w:val="231F20"/>
          <w:position w:val="7"/>
          <w:sz w:val="11"/>
        </w:rPr>
        <w:t xml:space="preserve">136 </w:t>
      </w:r>
      <w:r>
        <w:rPr>
          <w:color w:val="231F20"/>
          <w:sz w:val="20"/>
        </w:rPr>
        <w:t xml:space="preserve">The limitation was considered important as it operates to change a </w:t>
      </w:r>
      <w:r>
        <w:rPr>
          <w:color w:val="231F20"/>
          <w:spacing w:val="-3"/>
          <w:sz w:val="20"/>
        </w:rPr>
        <w:t xml:space="preserve">person’s </w:t>
      </w:r>
      <w:r>
        <w:rPr>
          <w:color w:val="231F20"/>
          <w:sz w:val="20"/>
        </w:rPr>
        <w:t xml:space="preserve">violent behaviour and to </w:t>
      </w:r>
      <w:r>
        <w:rPr>
          <w:color w:val="231F20"/>
          <w:spacing w:val="-3"/>
          <w:sz w:val="20"/>
        </w:rPr>
        <w:t xml:space="preserve">protect </w:t>
      </w:r>
      <w:r>
        <w:rPr>
          <w:color w:val="231F20"/>
          <w:sz w:val="20"/>
        </w:rPr>
        <w:t>families and children.</w:t>
      </w:r>
      <w:r>
        <w:rPr>
          <w:color w:val="231F20"/>
          <w:position w:val="7"/>
          <w:sz w:val="11"/>
        </w:rPr>
        <w:t xml:space="preserve">137 </w:t>
      </w:r>
      <w:r>
        <w:rPr>
          <w:color w:val="231F20"/>
          <w:sz w:val="20"/>
        </w:rPr>
        <w:t>It also operates</w:t>
      </w:r>
      <w:r>
        <w:rPr>
          <w:color w:val="231F20"/>
          <w:spacing w:val="-7"/>
          <w:sz w:val="20"/>
        </w:rPr>
        <w:t xml:space="preserve"> </w:t>
      </w:r>
      <w:r>
        <w:rPr>
          <w:color w:val="231F20"/>
          <w:spacing w:val="-3"/>
          <w:sz w:val="20"/>
        </w:rPr>
        <w:t>indirectly</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promote</w:t>
      </w:r>
      <w:r>
        <w:rPr>
          <w:color w:val="231F20"/>
          <w:spacing w:val="-7"/>
          <w:sz w:val="20"/>
        </w:rPr>
        <w:t xml:space="preserve"> </w:t>
      </w:r>
      <w:r>
        <w:rPr>
          <w:color w:val="231F20"/>
          <w:sz w:val="20"/>
        </w:rPr>
        <w:t>the</w:t>
      </w:r>
      <w:r>
        <w:rPr>
          <w:color w:val="231F20"/>
          <w:spacing w:val="-7"/>
          <w:sz w:val="20"/>
        </w:rPr>
        <w:t xml:space="preserve"> </w:t>
      </w:r>
      <w:r>
        <w:rPr>
          <w:color w:val="231F20"/>
          <w:sz w:val="20"/>
        </w:rPr>
        <w:t>right</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life.</w:t>
      </w:r>
      <w:r>
        <w:rPr>
          <w:color w:val="231F20"/>
          <w:spacing w:val="-7"/>
          <w:sz w:val="20"/>
        </w:rPr>
        <w:t xml:space="preserve"> </w:t>
      </w:r>
      <w:r>
        <w:rPr>
          <w:color w:val="231F20"/>
          <w:sz w:val="20"/>
        </w:rPr>
        <w:t>In</w:t>
      </w:r>
      <w:r>
        <w:rPr>
          <w:color w:val="231F20"/>
          <w:spacing w:val="-7"/>
          <w:sz w:val="20"/>
        </w:rPr>
        <w:t xml:space="preserve"> </w:t>
      </w:r>
      <w:r>
        <w:rPr>
          <w:color w:val="231F20"/>
          <w:sz w:val="20"/>
        </w:rPr>
        <w:t>this</w:t>
      </w:r>
      <w:r>
        <w:rPr>
          <w:color w:val="231F20"/>
          <w:spacing w:val="-7"/>
          <w:sz w:val="20"/>
        </w:rPr>
        <w:t xml:space="preserve"> </w:t>
      </w:r>
      <w:r>
        <w:rPr>
          <w:color w:val="231F20"/>
          <w:spacing w:val="-3"/>
          <w:sz w:val="20"/>
        </w:rPr>
        <w:t>regard,</w:t>
      </w:r>
      <w:r>
        <w:rPr>
          <w:color w:val="231F20"/>
          <w:spacing w:val="-7"/>
          <w:sz w:val="20"/>
        </w:rPr>
        <w:t xml:space="preserve"> </w:t>
      </w:r>
      <w:r>
        <w:rPr>
          <w:color w:val="231F20"/>
          <w:sz w:val="20"/>
        </w:rPr>
        <w:t>the</w:t>
      </w:r>
      <w:r>
        <w:rPr>
          <w:color w:val="231F20"/>
          <w:spacing w:val="-7"/>
          <w:sz w:val="20"/>
        </w:rPr>
        <w:t xml:space="preserve"> </w:t>
      </w:r>
      <w:r>
        <w:rPr>
          <w:color w:val="231F20"/>
          <w:sz w:val="20"/>
        </w:rPr>
        <w:t>limitation</w:t>
      </w:r>
      <w:r>
        <w:rPr>
          <w:color w:val="231F20"/>
          <w:spacing w:val="-7"/>
          <w:sz w:val="20"/>
        </w:rPr>
        <w:t xml:space="preserve"> </w:t>
      </w:r>
      <w:r>
        <w:rPr>
          <w:color w:val="231F20"/>
          <w:sz w:val="20"/>
        </w:rPr>
        <w:t>on</w:t>
      </w:r>
      <w:r>
        <w:rPr>
          <w:color w:val="231F20"/>
          <w:spacing w:val="-7"/>
          <w:sz w:val="20"/>
        </w:rPr>
        <w:t xml:space="preserve"> </w:t>
      </w:r>
      <w:r>
        <w:rPr>
          <w:color w:val="231F20"/>
          <w:sz w:val="20"/>
        </w:rPr>
        <w:t>human rights</w:t>
      </w:r>
      <w:r>
        <w:rPr>
          <w:color w:val="231F20"/>
          <w:spacing w:val="-6"/>
          <w:sz w:val="20"/>
        </w:rPr>
        <w:t xml:space="preserve"> </w:t>
      </w:r>
      <w:r>
        <w:rPr>
          <w:color w:val="231F20"/>
          <w:sz w:val="20"/>
        </w:rPr>
        <w:t>was</w:t>
      </w:r>
      <w:r>
        <w:rPr>
          <w:color w:val="231F20"/>
          <w:spacing w:val="-5"/>
          <w:sz w:val="20"/>
        </w:rPr>
        <w:t xml:space="preserve"> </w:t>
      </w:r>
      <w:r>
        <w:rPr>
          <w:color w:val="231F20"/>
          <w:sz w:val="20"/>
        </w:rPr>
        <w:t>deemed</w:t>
      </w:r>
      <w:r>
        <w:rPr>
          <w:color w:val="231F20"/>
          <w:spacing w:val="-6"/>
          <w:sz w:val="20"/>
        </w:rPr>
        <w:t xml:space="preserve"> </w:t>
      </w:r>
      <w:r>
        <w:rPr>
          <w:color w:val="231F20"/>
          <w:spacing w:val="-3"/>
          <w:sz w:val="20"/>
        </w:rPr>
        <w:t>‘reasonable’</w:t>
      </w:r>
      <w:r>
        <w:rPr>
          <w:color w:val="231F20"/>
          <w:spacing w:val="-5"/>
          <w:sz w:val="20"/>
        </w:rPr>
        <w:t xml:space="preserve"> </w:t>
      </w:r>
      <w:r>
        <w:rPr>
          <w:color w:val="231F20"/>
          <w:sz w:val="20"/>
        </w:rPr>
        <w:t>and</w:t>
      </w:r>
      <w:r>
        <w:rPr>
          <w:color w:val="231F20"/>
          <w:spacing w:val="-6"/>
          <w:sz w:val="20"/>
        </w:rPr>
        <w:t xml:space="preserve"> </w:t>
      </w:r>
      <w:r>
        <w:rPr>
          <w:color w:val="231F20"/>
          <w:spacing w:val="-3"/>
          <w:sz w:val="20"/>
        </w:rPr>
        <w:t>‘demonstrably</w:t>
      </w:r>
      <w:r>
        <w:rPr>
          <w:color w:val="231F20"/>
          <w:spacing w:val="-5"/>
          <w:sz w:val="20"/>
        </w:rPr>
        <w:t xml:space="preserve"> </w:t>
      </w:r>
      <w:r>
        <w:rPr>
          <w:color w:val="231F20"/>
          <w:sz w:val="20"/>
        </w:rPr>
        <w:t>justifiable’</w:t>
      </w:r>
      <w:r>
        <w:rPr>
          <w:color w:val="231F20"/>
          <w:spacing w:val="-6"/>
          <w:sz w:val="20"/>
        </w:rPr>
        <w:t xml:space="preserve"> </w:t>
      </w:r>
      <w:r>
        <w:rPr>
          <w:color w:val="231F20"/>
          <w:sz w:val="20"/>
        </w:rPr>
        <w:t>to</w:t>
      </w:r>
      <w:r>
        <w:rPr>
          <w:color w:val="231F20"/>
          <w:spacing w:val="-5"/>
          <w:sz w:val="20"/>
        </w:rPr>
        <w:t xml:space="preserve"> </w:t>
      </w:r>
      <w:r>
        <w:rPr>
          <w:color w:val="231F20"/>
          <w:sz w:val="20"/>
        </w:rPr>
        <w:t>its</w:t>
      </w:r>
      <w:r>
        <w:rPr>
          <w:color w:val="231F20"/>
          <w:spacing w:val="-6"/>
          <w:sz w:val="20"/>
        </w:rPr>
        <w:t xml:space="preserve"> </w:t>
      </w:r>
      <w:r>
        <w:rPr>
          <w:color w:val="231F20"/>
          <w:sz w:val="20"/>
        </w:rPr>
        <w:t>purpose.</w:t>
      </w:r>
      <w:r>
        <w:rPr>
          <w:color w:val="231F20"/>
          <w:position w:val="7"/>
          <w:sz w:val="11"/>
        </w:rPr>
        <w:t>138</w:t>
      </w:r>
    </w:p>
    <w:p w14:paraId="617E4980" w14:textId="77777777" w:rsidR="00894070" w:rsidRDefault="009B7AFD">
      <w:pPr>
        <w:pStyle w:val="ListParagraph"/>
        <w:numPr>
          <w:ilvl w:val="1"/>
          <w:numId w:val="29"/>
        </w:numPr>
        <w:tabs>
          <w:tab w:val="left" w:pos="1801"/>
          <w:tab w:val="left" w:pos="1802"/>
        </w:tabs>
        <w:spacing w:before="127" w:line="206" w:lineRule="auto"/>
        <w:ind w:right="1182"/>
        <w:rPr>
          <w:sz w:val="20"/>
        </w:rPr>
      </w:pPr>
      <w:r>
        <w:rPr>
          <w:color w:val="231F20"/>
          <w:spacing w:val="-3"/>
          <w:sz w:val="20"/>
        </w:rPr>
        <w:t>Unlike</w:t>
      </w:r>
      <w:r>
        <w:rPr>
          <w:color w:val="231F20"/>
          <w:spacing w:val="-6"/>
          <w:sz w:val="20"/>
        </w:rPr>
        <w:t xml:space="preserve"> </w:t>
      </w:r>
      <w:r>
        <w:rPr>
          <w:color w:val="231F20"/>
          <w:sz w:val="20"/>
        </w:rPr>
        <w:t>the</w:t>
      </w:r>
      <w:r>
        <w:rPr>
          <w:color w:val="231F20"/>
          <w:spacing w:val="-6"/>
          <w:sz w:val="20"/>
        </w:rPr>
        <w:t xml:space="preserve"> </w:t>
      </w:r>
      <w:r>
        <w:rPr>
          <w:color w:val="231F20"/>
          <w:sz w:val="20"/>
        </w:rPr>
        <w:t>FVPA,</w:t>
      </w:r>
      <w:r>
        <w:rPr>
          <w:color w:val="231F20"/>
          <w:spacing w:val="-6"/>
          <w:sz w:val="20"/>
        </w:rPr>
        <w:t xml:space="preserve"> </w:t>
      </w:r>
      <w:r>
        <w:rPr>
          <w:color w:val="231F20"/>
          <w:sz w:val="20"/>
        </w:rPr>
        <w:t>the</w:t>
      </w:r>
      <w:r>
        <w:rPr>
          <w:color w:val="231F20"/>
          <w:spacing w:val="-6"/>
          <w:sz w:val="20"/>
        </w:rPr>
        <w:t xml:space="preserve"> </w:t>
      </w:r>
      <w:r>
        <w:rPr>
          <w:color w:val="231F20"/>
          <w:sz w:val="20"/>
        </w:rPr>
        <w:t>PSIO</w:t>
      </w:r>
      <w:r>
        <w:rPr>
          <w:color w:val="231F20"/>
          <w:spacing w:val="-6"/>
          <w:sz w:val="20"/>
        </w:rPr>
        <w:t xml:space="preserve"> </w:t>
      </w:r>
      <w:r>
        <w:rPr>
          <w:color w:val="231F20"/>
          <w:spacing w:val="-2"/>
          <w:sz w:val="20"/>
        </w:rPr>
        <w:t>Act</w:t>
      </w:r>
      <w:r>
        <w:rPr>
          <w:color w:val="231F20"/>
          <w:spacing w:val="-6"/>
          <w:sz w:val="20"/>
        </w:rPr>
        <w:t xml:space="preserve"> </w:t>
      </w:r>
      <w:r>
        <w:rPr>
          <w:color w:val="231F20"/>
          <w:sz w:val="20"/>
        </w:rPr>
        <w:t>does</w:t>
      </w:r>
      <w:r>
        <w:rPr>
          <w:color w:val="231F20"/>
          <w:spacing w:val="-6"/>
          <w:sz w:val="20"/>
        </w:rPr>
        <w:t xml:space="preserve"> </w:t>
      </w:r>
      <w:r>
        <w:rPr>
          <w:color w:val="231F20"/>
          <w:sz w:val="20"/>
        </w:rPr>
        <w:t>not</w:t>
      </w:r>
      <w:r>
        <w:rPr>
          <w:color w:val="231F20"/>
          <w:spacing w:val="-6"/>
          <w:sz w:val="20"/>
        </w:rPr>
        <w:t xml:space="preserve"> </w:t>
      </w:r>
      <w:r>
        <w:rPr>
          <w:color w:val="231F20"/>
          <w:spacing w:val="-3"/>
          <w:sz w:val="20"/>
        </w:rPr>
        <w:t>provide</w:t>
      </w:r>
      <w:r>
        <w:rPr>
          <w:color w:val="231F20"/>
          <w:spacing w:val="-6"/>
          <w:sz w:val="20"/>
        </w:rPr>
        <w:t xml:space="preserve"> </w:t>
      </w:r>
      <w:r>
        <w:rPr>
          <w:color w:val="231F20"/>
          <w:spacing w:val="-3"/>
          <w:sz w:val="20"/>
        </w:rPr>
        <w:t>for</w:t>
      </w:r>
      <w:r>
        <w:rPr>
          <w:color w:val="231F20"/>
          <w:spacing w:val="-6"/>
          <w:sz w:val="20"/>
        </w:rPr>
        <w:t xml:space="preserve"> </w:t>
      </w:r>
      <w:r>
        <w:rPr>
          <w:color w:val="231F20"/>
          <w:spacing w:val="-3"/>
          <w:sz w:val="20"/>
        </w:rPr>
        <w:t>court-ordered</w:t>
      </w:r>
      <w:r>
        <w:rPr>
          <w:color w:val="231F20"/>
          <w:spacing w:val="-6"/>
          <w:sz w:val="20"/>
        </w:rPr>
        <w:t xml:space="preserve"> </w:t>
      </w:r>
      <w:r>
        <w:rPr>
          <w:color w:val="231F20"/>
          <w:sz w:val="20"/>
        </w:rPr>
        <w:t>therapeutic</w:t>
      </w:r>
      <w:r>
        <w:rPr>
          <w:color w:val="231F20"/>
          <w:spacing w:val="-6"/>
          <w:sz w:val="20"/>
        </w:rPr>
        <w:t xml:space="preserve"> </w:t>
      </w:r>
      <w:r>
        <w:rPr>
          <w:color w:val="231F20"/>
          <w:sz w:val="20"/>
        </w:rPr>
        <w:t>orders.</w:t>
      </w:r>
      <w:r>
        <w:rPr>
          <w:color w:val="231F20"/>
          <w:spacing w:val="-6"/>
          <w:sz w:val="20"/>
        </w:rPr>
        <w:t xml:space="preserve"> </w:t>
      </w:r>
      <w:r>
        <w:rPr>
          <w:color w:val="231F20"/>
          <w:sz w:val="20"/>
        </w:rPr>
        <w:t xml:space="preserve">In our consultation paper </w:t>
      </w:r>
      <w:r>
        <w:rPr>
          <w:color w:val="231F20"/>
          <w:spacing w:val="-3"/>
          <w:sz w:val="20"/>
        </w:rPr>
        <w:t xml:space="preserve">we </w:t>
      </w:r>
      <w:r>
        <w:rPr>
          <w:color w:val="231F20"/>
          <w:sz w:val="20"/>
        </w:rPr>
        <w:t xml:space="preserve">asked whether there should be an equivalent </w:t>
      </w:r>
      <w:r>
        <w:rPr>
          <w:color w:val="231F20"/>
          <w:spacing w:val="-3"/>
          <w:sz w:val="20"/>
        </w:rPr>
        <w:t xml:space="preserve">provision for court-ordered </w:t>
      </w:r>
      <w:r>
        <w:rPr>
          <w:color w:val="231F20"/>
          <w:sz w:val="20"/>
        </w:rPr>
        <w:t>therapeutic orders in the PSIO</w:t>
      </w:r>
      <w:r>
        <w:rPr>
          <w:color w:val="231F20"/>
          <w:spacing w:val="-23"/>
          <w:sz w:val="20"/>
        </w:rPr>
        <w:t xml:space="preserve"> </w:t>
      </w:r>
      <w:r>
        <w:rPr>
          <w:color w:val="231F20"/>
          <w:sz w:val="20"/>
        </w:rPr>
        <w:t>Act.</w:t>
      </w:r>
    </w:p>
    <w:p w14:paraId="44D6AB03" w14:textId="77777777" w:rsidR="00894070" w:rsidRDefault="009B7AFD">
      <w:pPr>
        <w:pStyle w:val="ListParagraph"/>
        <w:numPr>
          <w:ilvl w:val="1"/>
          <w:numId w:val="29"/>
        </w:numPr>
        <w:tabs>
          <w:tab w:val="left" w:pos="1801"/>
          <w:tab w:val="left" w:pos="1802"/>
        </w:tabs>
        <w:spacing w:before="91" w:line="259" w:lineRule="exact"/>
        <w:rPr>
          <w:sz w:val="20"/>
        </w:rPr>
      </w:pPr>
      <w:r>
        <w:rPr>
          <w:color w:val="231F20"/>
          <w:spacing w:val="-6"/>
          <w:sz w:val="20"/>
        </w:rPr>
        <w:t>We</w:t>
      </w:r>
      <w:r>
        <w:rPr>
          <w:color w:val="231F20"/>
          <w:spacing w:val="-5"/>
          <w:sz w:val="20"/>
        </w:rPr>
        <w:t xml:space="preserve"> </w:t>
      </w:r>
      <w:r>
        <w:rPr>
          <w:color w:val="231F20"/>
          <w:sz w:val="20"/>
        </w:rPr>
        <w:t>heard</w:t>
      </w:r>
      <w:r>
        <w:rPr>
          <w:color w:val="231F20"/>
          <w:spacing w:val="-5"/>
          <w:sz w:val="20"/>
        </w:rPr>
        <w:t xml:space="preserve"> </w:t>
      </w:r>
      <w:r>
        <w:rPr>
          <w:color w:val="231F20"/>
          <w:sz w:val="20"/>
        </w:rPr>
        <w:t>some</w:t>
      </w:r>
      <w:r>
        <w:rPr>
          <w:color w:val="231F20"/>
          <w:spacing w:val="-5"/>
          <w:sz w:val="20"/>
        </w:rPr>
        <w:t xml:space="preserve"> </w:t>
      </w:r>
      <w:r>
        <w:rPr>
          <w:color w:val="231F20"/>
          <w:sz w:val="20"/>
        </w:rPr>
        <w:t>support</w:t>
      </w:r>
      <w:r>
        <w:rPr>
          <w:color w:val="231F20"/>
          <w:spacing w:val="-5"/>
          <w:sz w:val="20"/>
        </w:rPr>
        <w:t xml:space="preserve"> </w:t>
      </w:r>
      <w:r>
        <w:rPr>
          <w:color w:val="231F20"/>
          <w:spacing w:val="-3"/>
          <w:sz w:val="20"/>
        </w:rPr>
        <w:t>from</w:t>
      </w:r>
      <w:r>
        <w:rPr>
          <w:color w:val="231F20"/>
          <w:spacing w:val="-5"/>
          <w:sz w:val="20"/>
        </w:rPr>
        <w:t xml:space="preserve"> </w:t>
      </w:r>
      <w:r>
        <w:rPr>
          <w:color w:val="231F20"/>
          <w:sz w:val="20"/>
        </w:rPr>
        <w:t>victim</w:t>
      </w:r>
      <w:r>
        <w:rPr>
          <w:color w:val="231F20"/>
          <w:spacing w:val="-5"/>
          <w:sz w:val="20"/>
        </w:rPr>
        <w:t xml:space="preserve"> </w:t>
      </w:r>
      <w:r>
        <w:rPr>
          <w:color w:val="231F20"/>
          <w:sz w:val="20"/>
        </w:rPr>
        <w:t>survivors</w:t>
      </w:r>
      <w:r>
        <w:rPr>
          <w:color w:val="231F20"/>
          <w:spacing w:val="-4"/>
          <w:sz w:val="20"/>
        </w:rPr>
        <w:t xml:space="preserve"> </w:t>
      </w:r>
      <w:r>
        <w:rPr>
          <w:color w:val="231F20"/>
          <w:sz w:val="20"/>
        </w:rPr>
        <w:t>and</w:t>
      </w:r>
      <w:r>
        <w:rPr>
          <w:color w:val="231F20"/>
          <w:spacing w:val="-5"/>
          <w:sz w:val="20"/>
        </w:rPr>
        <w:t xml:space="preserve"> </w:t>
      </w:r>
      <w:r>
        <w:rPr>
          <w:color w:val="231F20"/>
          <w:sz w:val="20"/>
        </w:rPr>
        <w:t>members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public</w:t>
      </w:r>
      <w:r>
        <w:rPr>
          <w:color w:val="231F20"/>
          <w:spacing w:val="-5"/>
          <w:sz w:val="20"/>
        </w:rPr>
        <w:t xml:space="preserve"> </w:t>
      </w:r>
      <w:r>
        <w:rPr>
          <w:color w:val="231F20"/>
          <w:spacing w:val="-3"/>
          <w:sz w:val="20"/>
        </w:rPr>
        <w:t>for</w:t>
      </w:r>
    </w:p>
    <w:p w14:paraId="7A6B6110" w14:textId="77777777" w:rsidR="00894070" w:rsidRDefault="009B7AFD">
      <w:pPr>
        <w:pStyle w:val="BodyText"/>
        <w:spacing w:line="259" w:lineRule="exact"/>
        <w:ind w:left="1801"/>
        <w:rPr>
          <w:sz w:val="11"/>
        </w:rPr>
      </w:pPr>
      <w:r>
        <w:rPr>
          <w:color w:val="231F20"/>
        </w:rPr>
        <w:t>compulsory treatment programs for people who stalk.</w:t>
      </w:r>
      <w:r>
        <w:rPr>
          <w:color w:val="231F20"/>
          <w:position w:val="7"/>
          <w:sz w:val="11"/>
        </w:rPr>
        <w:t>139</w:t>
      </w:r>
    </w:p>
    <w:p w14:paraId="04778DE4" w14:textId="77777777" w:rsidR="00894070" w:rsidRDefault="009B7AFD">
      <w:pPr>
        <w:pStyle w:val="ListParagraph"/>
        <w:numPr>
          <w:ilvl w:val="1"/>
          <w:numId w:val="29"/>
        </w:numPr>
        <w:tabs>
          <w:tab w:val="left" w:pos="1801"/>
          <w:tab w:val="left" w:pos="1802"/>
        </w:tabs>
        <w:spacing w:before="115" w:line="206" w:lineRule="auto"/>
        <w:ind w:right="1220"/>
        <w:rPr>
          <w:sz w:val="11"/>
        </w:rPr>
      </w:pPr>
      <w:r>
        <w:rPr>
          <w:color w:val="231F20"/>
          <w:sz w:val="20"/>
        </w:rPr>
        <w:t xml:space="preserve">The Victims of Crime Commissioner submitted that there </w:t>
      </w:r>
      <w:r>
        <w:rPr>
          <w:color w:val="231F20"/>
          <w:spacing w:val="-3"/>
          <w:sz w:val="20"/>
        </w:rPr>
        <w:t xml:space="preserve">may </w:t>
      </w:r>
      <w:r>
        <w:rPr>
          <w:color w:val="231F20"/>
          <w:sz w:val="20"/>
        </w:rPr>
        <w:t xml:space="preserve">be benefit in </w:t>
      </w:r>
      <w:r>
        <w:rPr>
          <w:color w:val="231F20"/>
          <w:spacing w:val="-3"/>
          <w:sz w:val="20"/>
        </w:rPr>
        <w:t>court- ordered</w:t>
      </w:r>
      <w:r>
        <w:rPr>
          <w:color w:val="231F20"/>
          <w:spacing w:val="-9"/>
          <w:sz w:val="20"/>
        </w:rPr>
        <w:t xml:space="preserve"> </w:t>
      </w:r>
      <w:r>
        <w:rPr>
          <w:color w:val="231F20"/>
          <w:spacing w:val="-3"/>
          <w:sz w:val="20"/>
        </w:rPr>
        <w:t>treatment</w:t>
      </w:r>
      <w:r>
        <w:rPr>
          <w:color w:val="231F20"/>
          <w:spacing w:val="-8"/>
          <w:sz w:val="20"/>
        </w:rPr>
        <w:t xml:space="preserve"> </w:t>
      </w:r>
      <w:r>
        <w:rPr>
          <w:color w:val="231F20"/>
          <w:sz w:val="20"/>
        </w:rPr>
        <w:t>but</w:t>
      </w:r>
      <w:r>
        <w:rPr>
          <w:color w:val="231F20"/>
          <w:spacing w:val="-9"/>
          <w:sz w:val="20"/>
        </w:rPr>
        <w:t xml:space="preserve"> </w:t>
      </w:r>
      <w:r>
        <w:rPr>
          <w:color w:val="231F20"/>
          <w:spacing w:val="-3"/>
          <w:sz w:val="20"/>
        </w:rPr>
        <w:t>only</w:t>
      </w:r>
      <w:r>
        <w:rPr>
          <w:color w:val="231F20"/>
          <w:spacing w:val="-8"/>
          <w:sz w:val="20"/>
        </w:rPr>
        <w:t xml:space="preserve"> </w:t>
      </w:r>
      <w:r>
        <w:rPr>
          <w:color w:val="231F20"/>
          <w:sz w:val="20"/>
        </w:rPr>
        <w:t>if</w:t>
      </w:r>
      <w:r>
        <w:rPr>
          <w:color w:val="231F20"/>
          <w:spacing w:val="-9"/>
          <w:sz w:val="20"/>
        </w:rPr>
        <w:t xml:space="preserve"> </w:t>
      </w:r>
      <w:r>
        <w:rPr>
          <w:color w:val="231F20"/>
          <w:sz w:val="20"/>
        </w:rPr>
        <w:t>there</w:t>
      </w:r>
      <w:r>
        <w:rPr>
          <w:color w:val="231F20"/>
          <w:spacing w:val="-8"/>
          <w:sz w:val="20"/>
        </w:rPr>
        <w:t xml:space="preserve"> </w:t>
      </w:r>
      <w:r>
        <w:rPr>
          <w:color w:val="231F20"/>
          <w:sz w:val="20"/>
        </w:rPr>
        <w:t>is</w:t>
      </w:r>
      <w:r>
        <w:rPr>
          <w:color w:val="231F20"/>
          <w:spacing w:val="-9"/>
          <w:sz w:val="20"/>
        </w:rPr>
        <w:t xml:space="preserve"> </w:t>
      </w:r>
      <w:r>
        <w:rPr>
          <w:color w:val="231F20"/>
          <w:sz w:val="20"/>
        </w:rPr>
        <w:t>sufficient</w:t>
      </w:r>
      <w:r>
        <w:rPr>
          <w:color w:val="231F20"/>
          <w:spacing w:val="-8"/>
          <w:sz w:val="20"/>
        </w:rPr>
        <w:t xml:space="preserve"> </w:t>
      </w:r>
      <w:r>
        <w:rPr>
          <w:color w:val="231F20"/>
          <w:sz w:val="20"/>
        </w:rPr>
        <w:t>evidence</w:t>
      </w:r>
      <w:r>
        <w:rPr>
          <w:color w:val="231F20"/>
          <w:spacing w:val="-9"/>
          <w:sz w:val="20"/>
        </w:rPr>
        <w:t xml:space="preserve"> </w:t>
      </w:r>
      <w:r>
        <w:rPr>
          <w:color w:val="231F20"/>
          <w:sz w:val="20"/>
        </w:rPr>
        <w:t>to</w:t>
      </w:r>
      <w:r>
        <w:rPr>
          <w:color w:val="231F20"/>
          <w:spacing w:val="-8"/>
          <w:sz w:val="20"/>
        </w:rPr>
        <w:t xml:space="preserve"> </w:t>
      </w:r>
      <w:r>
        <w:rPr>
          <w:color w:val="231F20"/>
          <w:sz w:val="20"/>
        </w:rPr>
        <w:t>support</w:t>
      </w:r>
      <w:r>
        <w:rPr>
          <w:color w:val="231F20"/>
          <w:spacing w:val="-9"/>
          <w:sz w:val="20"/>
        </w:rPr>
        <w:t xml:space="preserve"> </w:t>
      </w:r>
      <w:r>
        <w:rPr>
          <w:color w:val="231F20"/>
          <w:sz w:val="20"/>
        </w:rPr>
        <w:t>it.</w:t>
      </w:r>
      <w:r>
        <w:rPr>
          <w:color w:val="231F20"/>
          <w:position w:val="7"/>
          <w:sz w:val="11"/>
        </w:rPr>
        <w:t>140</w:t>
      </w:r>
      <w:r>
        <w:rPr>
          <w:color w:val="231F20"/>
          <w:spacing w:val="16"/>
          <w:position w:val="7"/>
          <w:sz w:val="11"/>
        </w:rPr>
        <w:t xml:space="preserve"> </w:t>
      </w:r>
      <w:r>
        <w:rPr>
          <w:color w:val="231F20"/>
          <w:sz w:val="20"/>
        </w:rPr>
        <w:t>She</w:t>
      </w:r>
      <w:r>
        <w:rPr>
          <w:color w:val="231F20"/>
          <w:spacing w:val="-9"/>
          <w:sz w:val="20"/>
        </w:rPr>
        <w:t xml:space="preserve"> </w:t>
      </w:r>
      <w:r>
        <w:rPr>
          <w:color w:val="231F20"/>
          <w:sz w:val="20"/>
        </w:rPr>
        <w:t>pointed</w:t>
      </w:r>
      <w:r>
        <w:rPr>
          <w:color w:val="231F20"/>
          <w:spacing w:val="-8"/>
          <w:sz w:val="20"/>
        </w:rPr>
        <w:t xml:space="preserve"> </w:t>
      </w:r>
      <w:r>
        <w:rPr>
          <w:color w:val="231F20"/>
          <w:sz w:val="20"/>
        </w:rPr>
        <w:t>to stalking</w:t>
      </w:r>
      <w:r>
        <w:rPr>
          <w:color w:val="231F20"/>
          <w:spacing w:val="-11"/>
          <w:sz w:val="20"/>
        </w:rPr>
        <w:t xml:space="preserve"> </w:t>
      </w:r>
      <w:r>
        <w:rPr>
          <w:color w:val="231F20"/>
          <w:spacing w:val="-3"/>
          <w:sz w:val="20"/>
        </w:rPr>
        <w:t>protection</w:t>
      </w:r>
      <w:r>
        <w:rPr>
          <w:color w:val="231F20"/>
          <w:spacing w:val="-11"/>
          <w:sz w:val="20"/>
        </w:rPr>
        <w:t xml:space="preserve"> </w:t>
      </w:r>
      <w:r>
        <w:rPr>
          <w:color w:val="231F20"/>
          <w:sz w:val="20"/>
        </w:rPr>
        <w:t>orders</w:t>
      </w:r>
      <w:r>
        <w:rPr>
          <w:color w:val="231F20"/>
          <w:spacing w:val="-10"/>
          <w:sz w:val="20"/>
        </w:rPr>
        <w:t xml:space="preserve"> </w:t>
      </w:r>
      <w:r>
        <w:rPr>
          <w:color w:val="231F20"/>
          <w:sz w:val="20"/>
        </w:rPr>
        <w:t>in</w:t>
      </w:r>
      <w:r>
        <w:rPr>
          <w:color w:val="231F20"/>
          <w:spacing w:val="-11"/>
          <w:sz w:val="20"/>
        </w:rPr>
        <w:t xml:space="preserve"> </w:t>
      </w:r>
      <w:r>
        <w:rPr>
          <w:color w:val="231F20"/>
          <w:sz w:val="20"/>
        </w:rPr>
        <w:t>the</w:t>
      </w:r>
      <w:r>
        <w:rPr>
          <w:color w:val="231F20"/>
          <w:spacing w:val="-10"/>
          <w:sz w:val="20"/>
        </w:rPr>
        <w:t xml:space="preserve"> </w:t>
      </w:r>
      <w:r>
        <w:rPr>
          <w:color w:val="231F20"/>
          <w:sz w:val="20"/>
        </w:rPr>
        <w:t>United</w:t>
      </w:r>
      <w:r>
        <w:rPr>
          <w:color w:val="231F20"/>
          <w:spacing w:val="-12"/>
          <w:sz w:val="20"/>
        </w:rPr>
        <w:t xml:space="preserve"> </w:t>
      </w:r>
      <w:r>
        <w:rPr>
          <w:color w:val="231F20"/>
          <w:sz w:val="20"/>
        </w:rPr>
        <w:t>Kingdom</w:t>
      </w:r>
      <w:r>
        <w:rPr>
          <w:color w:val="231F20"/>
          <w:spacing w:val="-11"/>
          <w:sz w:val="20"/>
        </w:rPr>
        <w:t xml:space="preserve"> </w:t>
      </w:r>
      <w:r>
        <w:rPr>
          <w:color w:val="231F20"/>
          <w:sz w:val="20"/>
        </w:rPr>
        <w:t>which</w:t>
      </w:r>
      <w:r>
        <w:rPr>
          <w:color w:val="231F20"/>
          <w:spacing w:val="-10"/>
          <w:sz w:val="20"/>
        </w:rPr>
        <w:t xml:space="preserve"> </w:t>
      </w:r>
      <w:r>
        <w:rPr>
          <w:color w:val="231F20"/>
          <w:sz w:val="20"/>
        </w:rPr>
        <w:t>can</w:t>
      </w:r>
      <w:r>
        <w:rPr>
          <w:color w:val="231F20"/>
          <w:spacing w:val="-11"/>
          <w:sz w:val="20"/>
        </w:rPr>
        <w:t xml:space="preserve"> </w:t>
      </w:r>
      <w:r>
        <w:rPr>
          <w:color w:val="231F20"/>
          <w:sz w:val="20"/>
        </w:rPr>
        <w:t>include</w:t>
      </w:r>
      <w:r>
        <w:rPr>
          <w:color w:val="231F20"/>
          <w:spacing w:val="-11"/>
          <w:sz w:val="20"/>
        </w:rPr>
        <w:t xml:space="preserve"> </w:t>
      </w:r>
      <w:r>
        <w:rPr>
          <w:color w:val="231F20"/>
          <w:sz w:val="20"/>
        </w:rPr>
        <w:t>requirements</w:t>
      </w:r>
      <w:r>
        <w:rPr>
          <w:color w:val="231F20"/>
          <w:spacing w:val="-11"/>
          <w:sz w:val="20"/>
        </w:rPr>
        <w:t xml:space="preserve"> </w:t>
      </w:r>
      <w:r>
        <w:rPr>
          <w:color w:val="231F20"/>
          <w:sz w:val="20"/>
        </w:rPr>
        <w:t>such as</w:t>
      </w:r>
      <w:r>
        <w:rPr>
          <w:color w:val="231F20"/>
          <w:spacing w:val="-9"/>
          <w:sz w:val="20"/>
        </w:rPr>
        <w:t xml:space="preserve"> </w:t>
      </w:r>
      <w:r>
        <w:rPr>
          <w:color w:val="231F20"/>
          <w:sz w:val="20"/>
        </w:rPr>
        <w:t>attendance</w:t>
      </w:r>
      <w:r>
        <w:rPr>
          <w:color w:val="231F20"/>
          <w:spacing w:val="-9"/>
          <w:sz w:val="20"/>
        </w:rPr>
        <w:t xml:space="preserve"> </w:t>
      </w:r>
      <w:r>
        <w:rPr>
          <w:color w:val="231F20"/>
          <w:sz w:val="20"/>
        </w:rPr>
        <w:t>at</w:t>
      </w:r>
      <w:r>
        <w:rPr>
          <w:color w:val="231F20"/>
          <w:spacing w:val="-9"/>
          <w:sz w:val="20"/>
        </w:rPr>
        <w:t xml:space="preserve"> </w:t>
      </w:r>
      <w:r>
        <w:rPr>
          <w:color w:val="231F20"/>
          <w:sz w:val="20"/>
        </w:rPr>
        <w:t>a</w:t>
      </w:r>
      <w:r>
        <w:rPr>
          <w:color w:val="231F20"/>
          <w:spacing w:val="-8"/>
          <w:sz w:val="20"/>
        </w:rPr>
        <w:t xml:space="preserve"> </w:t>
      </w:r>
      <w:r>
        <w:rPr>
          <w:color w:val="231F20"/>
          <w:sz w:val="20"/>
        </w:rPr>
        <w:t>perpetrator</w:t>
      </w:r>
      <w:r>
        <w:rPr>
          <w:color w:val="231F20"/>
          <w:spacing w:val="-9"/>
          <w:sz w:val="20"/>
        </w:rPr>
        <w:t xml:space="preserve"> </w:t>
      </w:r>
      <w:r>
        <w:rPr>
          <w:color w:val="231F20"/>
          <w:spacing w:val="-2"/>
          <w:sz w:val="20"/>
        </w:rPr>
        <w:t>intervention</w:t>
      </w:r>
      <w:r>
        <w:rPr>
          <w:color w:val="231F20"/>
          <w:spacing w:val="-9"/>
          <w:sz w:val="20"/>
        </w:rPr>
        <w:t xml:space="preserve"> </w:t>
      </w:r>
      <w:r>
        <w:rPr>
          <w:color w:val="231F20"/>
          <w:sz w:val="20"/>
        </w:rPr>
        <w:t>program</w:t>
      </w:r>
      <w:r>
        <w:rPr>
          <w:color w:val="231F20"/>
          <w:spacing w:val="-8"/>
          <w:sz w:val="20"/>
        </w:rPr>
        <w:t xml:space="preserve"> </w:t>
      </w:r>
      <w:r>
        <w:rPr>
          <w:color w:val="231F20"/>
          <w:sz w:val="20"/>
        </w:rPr>
        <w:t>or</w:t>
      </w:r>
      <w:r>
        <w:rPr>
          <w:color w:val="231F20"/>
          <w:spacing w:val="-9"/>
          <w:sz w:val="20"/>
        </w:rPr>
        <w:t xml:space="preserve"> </w:t>
      </w:r>
      <w:r>
        <w:rPr>
          <w:color w:val="231F20"/>
          <w:sz w:val="20"/>
        </w:rPr>
        <w:t>a</w:t>
      </w:r>
      <w:r>
        <w:rPr>
          <w:color w:val="231F20"/>
          <w:spacing w:val="-9"/>
          <w:sz w:val="20"/>
        </w:rPr>
        <w:t xml:space="preserve"> </w:t>
      </w:r>
      <w:r>
        <w:rPr>
          <w:color w:val="231F20"/>
          <w:sz w:val="20"/>
        </w:rPr>
        <w:t>drug</w:t>
      </w:r>
      <w:r>
        <w:rPr>
          <w:color w:val="231F20"/>
          <w:spacing w:val="-9"/>
          <w:sz w:val="20"/>
        </w:rPr>
        <w:t xml:space="preserve"> </w:t>
      </w:r>
      <w:r>
        <w:rPr>
          <w:color w:val="231F20"/>
          <w:sz w:val="20"/>
        </w:rPr>
        <w:t>and</w:t>
      </w:r>
      <w:r>
        <w:rPr>
          <w:color w:val="231F20"/>
          <w:spacing w:val="-8"/>
          <w:sz w:val="20"/>
        </w:rPr>
        <w:t xml:space="preserve"> </w:t>
      </w:r>
      <w:r>
        <w:rPr>
          <w:color w:val="231F20"/>
          <w:sz w:val="20"/>
        </w:rPr>
        <w:t>alcohol</w:t>
      </w:r>
      <w:r>
        <w:rPr>
          <w:color w:val="231F20"/>
          <w:spacing w:val="-9"/>
          <w:sz w:val="20"/>
        </w:rPr>
        <w:t xml:space="preserve"> </w:t>
      </w:r>
      <w:r>
        <w:rPr>
          <w:color w:val="231F20"/>
          <w:sz w:val="20"/>
        </w:rPr>
        <w:t>program.</w:t>
      </w:r>
      <w:r>
        <w:rPr>
          <w:color w:val="231F20"/>
          <w:position w:val="7"/>
          <w:sz w:val="11"/>
        </w:rPr>
        <w:t>141</w:t>
      </w:r>
    </w:p>
    <w:p w14:paraId="798B06AB" w14:textId="77777777" w:rsidR="00894070" w:rsidRDefault="009B7AFD">
      <w:pPr>
        <w:pStyle w:val="ListParagraph"/>
        <w:numPr>
          <w:ilvl w:val="1"/>
          <w:numId w:val="29"/>
        </w:numPr>
        <w:tabs>
          <w:tab w:val="left" w:pos="1802"/>
        </w:tabs>
        <w:spacing w:before="125" w:line="206" w:lineRule="auto"/>
        <w:ind w:right="1585"/>
        <w:jc w:val="both"/>
        <w:rPr>
          <w:sz w:val="11"/>
        </w:rPr>
      </w:pPr>
      <w:r>
        <w:rPr>
          <w:color w:val="231F20"/>
          <w:spacing w:val="-5"/>
          <w:sz w:val="20"/>
        </w:rPr>
        <w:t>However,</w:t>
      </w:r>
      <w:r>
        <w:rPr>
          <w:color w:val="231F20"/>
          <w:spacing w:val="-10"/>
          <w:sz w:val="20"/>
        </w:rPr>
        <w:t xml:space="preserve"> </w:t>
      </w:r>
      <w:r>
        <w:rPr>
          <w:color w:val="231F20"/>
          <w:sz w:val="20"/>
        </w:rPr>
        <w:t>the</w:t>
      </w:r>
      <w:r>
        <w:rPr>
          <w:color w:val="231F20"/>
          <w:spacing w:val="-9"/>
          <w:sz w:val="20"/>
        </w:rPr>
        <w:t xml:space="preserve"> </w:t>
      </w:r>
      <w:r>
        <w:rPr>
          <w:color w:val="231F20"/>
          <w:sz w:val="20"/>
        </w:rPr>
        <w:t>Victims</w:t>
      </w:r>
      <w:r>
        <w:rPr>
          <w:color w:val="231F20"/>
          <w:spacing w:val="-10"/>
          <w:sz w:val="20"/>
        </w:rPr>
        <w:t xml:space="preserve"> </w:t>
      </w:r>
      <w:r>
        <w:rPr>
          <w:color w:val="231F20"/>
          <w:sz w:val="20"/>
        </w:rPr>
        <w:t>of</w:t>
      </w:r>
      <w:r>
        <w:rPr>
          <w:color w:val="231F20"/>
          <w:spacing w:val="-9"/>
          <w:sz w:val="20"/>
        </w:rPr>
        <w:t xml:space="preserve"> </w:t>
      </w:r>
      <w:r>
        <w:rPr>
          <w:color w:val="231F20"/>
          <w:sz w:val="20"/>
        </w:rPr>
        <w:t>Crime</w:t>
      </w:r>
      <w:r>
        <w:rPr>
          <w:color w:val="231F20"/>
          <w:spacing w:val="-9"/>
          <w:sz w:val="20"/>
        </w:rPr>
        <w:t xml:space="preserve"> </w:t>
      </w:r>
      <w:r>
        <w:rPr>
          <w:color w:val="231F20"/>
          <w:sz w:val="20"/>
        </w:rPr>
        <w:t>Commissioner</w:t>
      </w:r>
      <w:r>
        <w:rPr>
          <w:color w:val="231F20"/>
          <w:spacing w:val="-10"/>
          <w:sz w:val="20"/>
        </w:rPr>
        <w:t xml:space="preserve"> </w:t>
      </w:r>
      <w:r>
        <w:rPr>
          <w:color w:val="231F20"/>
          <w:sz w:val="20"/>
        </w:rPr>
        <w:t>concluded</w:t>
      </w:r>
      <w:r>
        <w:rPr>
          <w:color w:val="231F20"/>
          <w:spacing w:val="-9"/>
          <w:sz w:val="20"/>
        </w:rPr>
        <w:t xml:space="preserve"> </w:t>
      </w:r>
      <w:r>
        <w:rPr>
          <w:color w:val="231F20"/>
          <w:sz w:val="20"/>
        </w:rPr>
        <w:t>that</w:t>
      </w:r>
      <w:r>
        <w:rPr>
          <w:color w:val="231F20"/>
          <w:spacing w:val="-9"/>
          <w:sz w:val="20"/>
        </w:rPr>
        <w:t xml:space="preserve"> </w:t>
      </w:r>
      <w:r>
        <w:rPr>
          <w:color w:val="231F20"/>
          <w:sz w:val="20"/>
        </w:rPr>
        <w:t>‘there</w:t>
      </w:r>
      <w:r>
        <w:rPr>
          <w:color w:val="231F20"/>
          <w:spacing w:val="-10"/>
          <w:sz w:val="20"/>
        </w:rPr>
        <w:t xml:space="preserve"> </w:t>
      </w:r>
      <w:r>
        <w:rPr>
          <w:color w:val="231F20"/>
          <w:spacing w:val="-3"/>
          <w:sz w:val="20"/>
        </w:rPr>
        <w:t>would</w:t>
      </w:r>
      <w:r>
        <w:rPr>
          <w:color w:val="231F20"/>
          <w:spacing w:val="-9"/>
          <w:sz w:val="20"/>
        </w:rPr>
        <w:t xml:space="preserve"> </w:t>
      </w:r>
      <w:r>
        <w:rPr>
          <w:color w:val="231F20"/>
          <w:sz w:val="20"/>
        </w:rPr>
        <w:t>need</w:t>
      </w:r>
      <w:r>
        <w:rPr>
          <w:color w:val="231F20"/>
          <w:spacing w:val="-10"/>
          <w:sz w:val="20"/>
        </w:rPr>
        <w:t xml:space="preserve"> </w:t>
      </w:r>
      <w:r>
        <w:rPr>
          <w:color w:val="231F20"/>
          <w:sz w:val="20"/>
        </w:rPr>
        <w:t>to be</w:t>
      </w:r>
      <w:r>
        <w:rPr>
          <w:color w:val="231F20"/>
          <w:spacing w:val="-11"/>
          <w:sz w:val="20"/>
        </w:rPr>
        <w:t xml:space="preserve"> </w:t>
      </w:r>
      <w:r>
        <w:rPr>
          <w:color w:val="231F20"/>
          <w:sz w:val="20"/>
        </w:rPr>
        <w:t>a</w:t>
      </w:r>
      <w:r>
        <w:rPr>
          <w:color w:val="231F20"/>
          <w:spacing w:val="-10"/>
          <w:sz w:val="20"/>
        </w:rPr>
        <w:t xml:space="preserve"> </w:t>
      </w:r>
      <w:r>
        <w:rPr>
          <w:color w:val="231F20"/>
          <w:sz w:val="20"/>
        </w:rPr>
        <w:t>sound</w:t>
      </w:r>
      <w:r>
        <w:rPr>
          <w:color w:val="231F20"/>
          <w:spacing w:val="-10"/>
          <w:sz w:val="20"/>
        </w:rPr>
        <w:t xml:space="preserve"> </w:t>
      </w:r>
      <w:r>
        <w:rPr>
          <w:color w:val="231F20"/>
          <w:sz w:val="20"/>
        </w:rPr>
        <w:t>evidence</w:t>
      </w:r>
      <w:r>
        <w:rPr>
          <w:color w:val="231F20"/>
          <w:spacing w:val="-10"/>
          <w:sz w:val="20"/>
        </w:rPr>
        <w:t xml:space="preserve"> </w:t>
      </w:r>
      <w:r>
        <w:rPr>
          <w:color w:val="231F20"/>
          <w:sz w:val="20"/>
        </w:rPr>
        <w:t>base</w:t>
      </w:r>
      <w:r>
        <w:rPr>
          <w:color w:val="231F20"/>
          <w:spacing w:val="-11"/>
          <w:sz w:val="20"/>
        </w:rPr>
        <w:t xml:space="preserve"> </w:t>
      </w:r>
      <w:r>
        <w:rPr>
          <w:color w:val="231F20"/>
          <w:spacing w:val="-3"/>
          <w:sz w:val="20"/>
        </w:rPr>
        <w:t>for</w:t>
      </w:r>
      <w:r>
        <w:rPr>
          <w:color w:val="231F20"/>
          <w:spacing w:val="-10"/>
          <w:sz w:val="20"/>
        </w:rPr>
        <w:t xml:space="preserve"> </w:t>
      </w:r>
      <w:r>
        <w:rPr>
          <w:color w:val="231F20"/>
          <w:sz w:val="20"/>
        </w:rPr>
        <w:t>compelling</w:t>
      </w:r>
      <w:r>
        <w:rPr>
          <w:color w:val="231F20"/>
          <w:spacing w:val="-10"/>
          <w:sz w:val="20"/>
        </w:rPr>
        <w:t xml:space="preserve"> </w:t>
      </w:r>
      <w:r>
        <w:rPr>
          <w:color w:val="231F20"/>
          <w:sz w:val="20"/>
        </w:rPr>
        <w:t>respondents</w:t>
      </w:r>
      <w:r>
        <w:rPr>
          <w:color w:val="231F20"/>
          <w:spacing w:val="-10"/>
          <w:sz w:val="20"/>
        </w:rPr>
        <w:t xml:space="preserve"> </w:t>
      </w:r>
      <w:r>
        <w:rPr>
          <w:color w:val="231F20"/>
          <w:sz w:val="20"/>
        </w:rPr>
        <w:t>in</w:t>
      </w:r>
      <w:r>
        <w:rPr>
          <w:color w:val="231F20"/>
          <w:spacing w:val="-10"/>
          <w:sz w:val="20"/>
        </w:rPr>
        <w:t xml:space="preserve"> </w:t>
      </w:r>
      <w:r>
        <w:rPr>
          <w:color w:val="231F20"/>
          <w:sz w:val="20"/>
        </w:rPr>
        <w:t>civil</w:t>
      </w:r>
      <w:r>
        <w:rPr>
          <w:color w:val="231F20"/>
          <w:spacing w:val="-11"/>
          <w:sz w:val="20"/>
        </w:rPr>
        <w:t xml:space="preserve"> </w:t>
      </w:r>
      <w:r>
        <w:rPr>
          <w:color w:val="231F20"/>
          <w:sz w:val="20"/>
        </w:rPr>
        <w:t>matters</w:t>
      </w:r>
      <w:r>
        <w:rPr>
          <w:color w:val="231F20"/>
          <w:spacing w:val="-10"/>
          <w:sz w:val="20"/>
        </w:rPr>
        <w:t xml:space="preserve"> </w:t>
      </w:r>
      <w:r>
        <w:rPr>
          <w:color w:val="231F20"/>
          <w:sz w:val="20"/>
        </w:rPr>
        <w:t>to</w:t>
      </w:r>
      <w:r>
        <w:rPr>
          <w:color w:val="231F20"/>
          <w:spacing w:val="-10"/>
          <w:sz w:val="20"/>
        </w:rPr>
        <w:t xml:space="preserve"> </w:t>
      </w:r>
      <w:r>
        <w:rPr>
          <w:color w:val="231F20"/>
          <w:sz w:val="20"/>
        </w:rPr>
        <w:t>engage</w:t>
      </w:r>
      <w:r>
        <w:rPr>
          <w:color w:val="231F20"/>
          <w:spacing w:val="-10"/>
          <w:sz w:val="20"/>
        </w:rPr>
        <w:t xml:space="preserve"> </w:t>
      </w:r>
      <w:r>
        <w:rPr>
          <w:color w:val="231F20"/>
          <w:sz w:val="20"/>
        </w:rPr>
        <w:t>in mandatory counselling or behaviour</w:t>
      </w:r>
      <w:r>
        <w:rPr>
          <w:color w:val="231F20"/>
          <w:spacing w:val="-19"/>
          <w:sz w:val="20"/>
        </w:rPr>
        <w:t xml:space="preserve"> </w:t>
      </w:r>
      <w:r>
        <w:rPr>
          <w:color w:val="231F20"/>
          <w:sz w:val="20"/>
        </w:rPr>
        <w:t>change’.</w:t>
      </w:r>
      <w:r>
        <w:rPr>
          <w:color w:val="231F20"/>
          <w:position w:val="7"/>
          <w:sz w:val="11"/>
        </w:rPr>
        <w:t>142</w:t>
      </w:r>
    </w:p>
    <w:p w14:paraId="658BB9B7" w14:textId="77777777" w:rsidR="00894070" w:rsidRDefault="009B7AFD">
      <w:pPr>
        <w:pStyle w:val="ListParagraph"/>
        <w:numPr>
          <w:ilvl w:val="1"/>
          <w:numId w:val="29"/>
        </w:numPr>
        <w:tabs>
          <w:tab w:val="left" w:pos="1801"/>
          <w:tab w:val="left" w:pos="1802"/>
        </w:tabs>
        <w:spacing w:before="124" w:line="206" w:lineRule="auto"/>
        <w:ind w:right="1314"/>
        <w:rPr>
          <w:sz w:val="11"/>
        </w:rPr>
      </w:pPr>
      <w:r>
        <w:rPr>
          <w:color w:val="231F20"/>
          <w:sz w:val="20"/>
        </w:rPr>
        <w:t xml:space="preserve">Victoria Police also noted the value of a mechanism in the PSIO </w:t>
      </w:r>
      <w:r>
        <w:rPr>
          <w:color w:val="231F20"/>
          <w:spacing w:val="-2"/>
          <w:sz w:val="20"/>
        </w:rPr>
        <w:t xml:space="preserve">system </w:t>
      </w:r>
      <w:r>
        <w:rPr>
          <w:color w:val="231F20"/>
          <w:sz w:val="20"/>
        </w:rPr>
        <w:t xml:space="preserve">that </w:t>
      </w:r>
      <w:r>
        <w:rPr>
          <w:color w:val="231F20"/>
          <w:spacing w:val="-3"/>
          <w:sz w:val="20"/>
        </w:rPr>
        <w:t>would provide</w:t>
      </w:r>
      <w:r>
        <w:rPr>
          <w:color w:val="231F20"/>
          <w:spacing w:val="-10"/>
          <w:sz w:val="20"/>
        </w:rPr>
        <w:t xml:space="preserve"> </w:t>
      </w:r>
      <w:r>
        <w:rPr>
          <w:color w:val="231F20"/>
          <w:sz w:val="20"/>
        </w:rPr>
        <w:t>people</w:t>
      </w:r>
      <w:r>
        <w:rPr>
          <w:color w:val="231F20"/>
          <w:spacing w:val="-9"/>
          <w:sz w:val="20"/>
        </w:rPr>
        <w:t xml:space="preserve"> </w:t>
      </w:r>
      <w:r>
        <w:rPr>
          <w:color w:val="231F20"/>
          <w:sz w:val="20"/>
        </w:rPr>
        <w:t>who</w:t>
      </w:r>
      <w:r>
        <w:rPr>
          <w:color w:val="231F20"/>
          <w:spacing w:val="-9"/>
          <w:sz w:val="20"/>
        </w:rPr>
        <w:t xml:space="preserve"> </w:t>
      </w:r>
      <w:r>
        <w:rPr>
          <w:color w:val="231F20"/>
          <w:sz w:val="20"/>
        </w:rPr>
        <w:t>stalk</w:t>
      </w:r>
      <w:r>
        <w:rPr>
          <w:color w:val="231F20"/>
          <w:spacing w:val="-10"/>
          <w:sz w:val="20"/>
        </w:rPr>
        <w:t xml:space="preserve"> </w:t>
      </w:r>
      <w:r>
        <w:rPr>
          <w:color w:val="231F20"/>
          <w:sz w:val="20"/>
        </w:rPr>
        <w:t>with</w:t>
      </w:r>
      <w:r>
        <w:rPr>
          <w:color w:val="231F20"/>
          <w:spacing w:val="-9"/>
          <w:sz w:val="20"/>
        </w:rPr>
        <w:t xml:space="preserve"> </w:t>
      </w:r>
      <w:r>
        <w:rPr>
          <w:color w:val="231F20"/>
          <w:sz w:val="20"/>
        </w:rPr>
        <w:t>access</w:t>
      </w:r>
      <w:r>
        <w:rPr>
          <w:color w:val="231F20"/>
          <w:spacing w:val="-9"/>
          <w:sz w:val="20"/>
        </w:rPr>
        <w:t xml:space="preserve"> </w:t>
      </w:r>
      <w:r>
        <w:rPr>
          <w:color w:val="231F20"/>
          <w:sz w:val="20"/>
        </w:rPr>
        <w:t>to</w:t>
      </w:r>
      <w:r>
        <w:rPr>
          <w:color w:val="231F20"/>
          <w:spacing w:val="-10"/>
          <w:sz w:val="20"/>
        </w:rPr>
        <w:t xml:space="preserve"> </w:t>
      </w:r>
      <w:r>
        <w:rPr>
          <w:color w:val="231F20"/>
          <w:sz w:val="20"/>
        </w:rPr>
        <w:t>therapeutic</w:t>
      </w:r>
      <w:r>
        <w:rPr>
          <w:color w:val="231F20"/>
          <w:spacing w:val="-9"/>
          <w:sz w:val="20"/>
        </w:rPr>
        <w:t xml:space="preserve"> </w:t>
      </w:r>
      <w:r>
        <w:rPr>
          <w:color w:val="231F20"/>
          <w:sz w:val="20"/>
        </w:rPr>
        <w:t>interventions.</w:t>
      </w:r>
      <w:r>
        <w:rPr>
          <w:color w:val="231F20"/>
          <w:position w:val="7"/>
          <w:sz w:val="11"/>
        </w:rPr>
        <w:t>143</w:t>
      </w:r>
      <w:r>
        <w:rPr>
          <w:color w:val="231F20"/>
          <w:spacing w:val="15"/>
          <w:position w:val="7"/>
          <w:sz w:val="11"/>
        </w:rPr>
        <w:t xml:space="preserve"> </w:t>
      </w:r>
      <w:r>
        <w:rPr>
          <w:color w:val="231F20"/>
          <w:sz w:val="20"/>
        </w:rPr>
        <w:t>It</w:t>
      </w:r>
      <w:r>
        <w:rPr>
          <w:color w:val="231F20"/>
          <w:spacing w:val="-10"/>
          <w:sz w:val="20"/>
        </w:rPr>
        <w:t xml:space="preserve"> </w:t>
      </w:r>
      <w:r>
        <w:rPr>
          <w:color w:val="231F20"/>
          <w:sz w:val="20"/>
        </w:rPr>
        <w:t>noted</w:t>
      </w:r>
      <w:r>
        <w:rPr>
          <w:color w:val="231F20"/>
          <w:spacing w:val="-9"/>
          <w:sz w:val="20"/>
        </w:rPr>
        <w:t xml:space="preserve"> </w:t>
      </w:r>
      <w:r>
        <w:rPr>
          <w:color w:val="231F20"/>
          <w:sz w:val="20"/>
        </w:rPr>
        <w:t>that</w:t>
      </w:r>
      <w:r>
        <w:rPr>
          <w:color w:val="231F20"/>
          <w:spacing w:val="-9"/>
          <w:sz w:val="20"/>
        </w:rPr>
        <w:t xml:space="preserve"> </w:t>
      </w:r>
      <w:r>
        <w:rPr>
          <w:color w:val="231F20"/>
          <w:sz w:val="20"/>
        </w:rPr>
        <w:t>‘it</w:t>
      </w:r>
      <w:r>
        <w:rPr>
          <w:color w:val="231F20"/>
          <w:spacing w:val="-9"/>
          <w:sz w:val="20"/>
        </w:rPr>
        <w:t xml:space="preserve"> </w:t>
      </w:r>
      <w:r>
        <w:rPr>
          <w:color w:val="231F20"/>
          <w:sz w:val="20"/>
        </w:rPr>
        <w:t>is not</w:t>
      </w:r>
      <w:r>
        <w:rPr>
          <w:color w:val="231F20"/>
          <w:spacing w:val="-8"/>
          <w:sz w:val="20"/>
        </w:rPr>
        <w:t xml:space="preserve"> </w:t>
      </w:r>
      <w:r>
        <w:rPr>
          <w:color w:val="231F20"/>
          <w:sz w:val="20"/>
        </w:rPr>
        <w:t>uncommon</w:t>
      </w:r>
      <w:r>
        <w:rPr>
          <w:color w:val="231F20"/>
          <w:spacing w:val="-7"/>
          <w:sz w:val="20"/>
        </w:rPr>
        <w:t xml:space="preserve"> </w:t>
      </w:r>
      <w:r>
        <w:rPr>
          <w:color w:val="231F20"/>
          <w:spacing w:val="-3"/>
          <w:sz w:val="20"/>
        </w:rPr>
        <w:t>for</w:t>
      </w:r>
      <w:r>
        <w:rPr>
          <w:color w:val="231F20"/>
          <w:spacing w:val="-8"/>
          <w:sz w:val="20"/>
        </w:rPr>
        <w:t xml:space="preserve"> </w:t>
      </w:r>
      <w:r>
        <w:rPr>
          <w:color w:val="231F20"/>
          <w:sz w:val="20"/>
        </w:rPr>
        <w:t>a</w:t>
      </w:r>
      <w:r>
        <w:rPr>
          <w:color w:val="231F20"/>
          <w:spacing w:val="-7"/>
          <w:sz w:val="20"/>
        </w:rPr>
        <w:t xml:space="preserve"> </w:t>
      </w:r>
      <w:r>
        <w:rPr>
          <w:color w:val="231F20"/>
          <w:sz w:val="20"/>
        </w:rPr>
        <w:t>victim</w:t>
      </w:r>
      <w:r>
        <w:rPr>
          <w:color w:val="231F20"/>
          <w:spacing w:val="-7"/>
          <w:sz w:val="20"/>
        </w:rPr>
        <w:t xml:space="preserve"> </w:t>
      </w:r>
      <w:r>
        <w:rPr>
          <w:color w:val="231F20"/>
          <w:sz w:val="20"/>
        </w:rPr>
        <w:t>of</w:t>
      </w:r>
      <w:r>
        <w:rPr>
          <w:color w:val="231F20"/>
          <w:spacing w:val="-8"/>
          <w:sz w:val="20"/>
        </w:rPr>
        <w:t xml:space="preserve"> </w:t>
      </w:r>
      <w:r>
        <w:rPr>
          <w:color w:val="231F20"/>
          <w:sz w:val="20"/>
        </w:rPr>
        <w:t>stalking</w:t>
      </w:r>
      <w:r>
        <w:rPr>
          <w:color w:val="231F20"/>
          <w:spacing w:val="-7"/>
          <w:sz w:val="20"/>
        </w:rPr>
        <w:t xml:space="preserve"> </w:t>
      </w:r>
      <w:r>
        <w:rPr>
          <w:color w:val="231F20"/>
          <w:sz w:val="20"/>
        </w:rPr>
        <w:t>…</w:t>
      </w:r>
      <w:r>
        <w:rPr>
          <w:color w:val="231F20"/>
          <w:spacing w:val="-8"/>
          <w:sz w:val="20"/>
        </w:rPr>
        <w:t xml:space="preserve"> </w:t>
      </w:r>
      <w:r>
        <w:rPr>
          <w:color w:val="231F20"/>
          <w:sz w:val="20"/>
        </w:rPr>
        <w:t>to</w:t>
      </w:r>
      <w:r>
        <w:rPr>
          <w:color w:val="231F20"/>
          <w:spacing w:val="-7"/>
          <w:sz w:val="20"/>
        </w:rPr>
        <w:t xml:space="preserve"> </w:t>
      </w:r>
      <w:r>
        <w:rPr>
          <w:color w:val="231F20"/>
          <w:spacing w:val="-3"/>
          <w:sz w:val="20"/>
        </w:rPr>
        <w:t>express</w:t>
      </w:r>
      <w:r>
        <w:rPr>
          <w:color w:val="231F20"/>
          <w:spacing w:val="-7"/>
          <w:sz w:val="20"/>
        </w:rPr>
        <w:t xml:space="preserve"> </w:t>
      </w:r>
      <w:r>
        <w:rPr>
          <w:color w:val="231F20"/>
          <w:sz w:val="20"/>
        </w:rPr>
        <w:t>a</w:t>
      </w:r>
      <w:r>
        <w:rPr>
          <w:color w:val="231F20"/>
          <w:spacing w:val="-8"/>
          <w:sz w:val="20"/>
        </w:rPr>
        <w:t xml:space="preserve"> </w:t>
      </w:r>
      <w:r>
        <w:rPr>
          <w:color w:val="231F20"/>
          <w:sz w:val="20"/>
        </w:rPr>
        <w:t>genuine</w:t>
      </w:r>
      <w:r>
        <w:rPr>
          <w:color w:val="231F20"/>
          <w:spacing w:val="-7"/>
          <w:sz w:val="20"/>
        </w:rPr>
        <w:t xml:space="preserve"> </w:t>
      </w:r>
      <w:r>
        <w:rPr>
          <w:color w:val="231F20"/>
          <w:spacing w:val="-3"/>
          <w:sz w:val="20"/>
        </w:rPr>
        <w:t>desire</w:t>
      </w:r>
      <w:r>
        <w:rPr>
          <w:color w:val="231F20"/>
          <w:spacing w:val="-8"/>
          <w:sz w:val="20"/>
        </w:rPr>
        <w:t xml:space="preserve"> </w:t>
      </w:r>
      <w:r>
        <w:rPr>
          <w:color w:val="231F20"/>
          <w:sz w:val="20"/>
        </w:rPr>
        <w:t>that</w:t>
      </w:r>
      <w:r>
        <w:rPr>
          <w:color w:val="231F20"/>
          <w:spacing w:val="-7"/>
          <w:sz w:val="20"/>
        </w:rPr>
        <w:t xml:space="preserve"> </w:t>
      </w:r>
      <w:r>
        <w:rPr>
          <w:color w:val="231F20"/>
          <w:sz w:val="20"/>
        </w:rPr>
        <w:t>they</w:t>
      </w:r>
      <w:r>
        <w:rPr>
          <w:color w:val="231F20"/>
          <w:spacing w:val="-7"/>
          <w:sz w:val="20"/>
        </w:rPr>
        <w:t xml:space="preserve"> </w:t>
      </w:r>
      <w:r>
        <w:rPr>
          <w:color w:val="231F20"/>
          <w:sz w:val="20"/>
        </w:rPr>
        <w:t>wish</w:t>
      </w:r>
      <w:r>
        <w:rPr>
          <w:color w:val="231F20"/>
          <w:spacing w:val="-8"/>
          <w:sz w:val="20"/>
        </w:rPr>
        <w:t xml:space="preserve"> </w:t>
      </w:r>
      <w:r>
        <w:rPr>
          <w:color w:val="231F20"/>
          <w:sz w:val="20"/>
        </w:rPr>
        <w:t xml:space="preserve">the offender could </w:t>
      </w:r>
      <w:r>
        <w:rPr>
          <w:color w:val="231F20"/>
          <w:spacing w:val="-3"/>
          <w:sz w:val="20"/>
        </w:rPr>
        <w:t xml:space="preserve">“get </w:t>
      </w:r>
      <w:r>
        <w:rPr>
          <w:color w:val="231F20"/>
          <w:sz w:val="20"/>
        </w:rPr>
        <w:t>the help they</w:t>
      </w:r>
      <w:r>
        <w:rPr>
          <w:color w:val="231F20"/>
          <w:spacing w:val="-25"/>
          <w:sz w:val="20"/>
        </w:rPr>
        <w:t xml:space="preserve"> </w:t>
      </w:r>
      <w:r>
        <w:rPr>
          <w:color w:val="231F20"/>
          <w:sz w:val="20"/>
        </w:rPr>
        <w:t>need”’.</w:t>
      </w:r>
      <w:r>
        <w:rPr>
          <w:color w:val="231F20"/>
          <w:position w:val="7"/>
          <w:sz w:val="11"/>
        </w:rPr>
        <w:t>144</w:t>
      </w:r>
    </w:p>
    <w:p w14:paraId="3C609B64" w14:textId="77777777" w:rsidR="00894070" w:rsidRDefault="00894070">
      <w:pPr>
        <w:pStyle w:val="BodyText"/>
      </w:pPr>
    </w:p>
    <w:p w14:paraId="6136131C" w14:textId="77777777" w:rsidR="00894070" w:rsidRDefault="00894070">
      <w:pPr>
        <w:pStyle w:val="BodyText"/>
      </w:pPr>
    </w:p>
    <w:p w14:paraId="7287F375" w14:textId="77777777" w:rsidR="00894070" w:rsidRDefault="00894070">
      <w:pPr>
        <w:pStyle w:val="BodyText"/>
      </w:pPr>
    </w:p>
    <w:p w14:paraId="6493CAFC" w14:textId="77777777" w:rsidR="00894070" w:rsidRDefault="00894070">
      <w:pPr>
        <w:pStyle w:val="BodyText"/>
      </w:pPr>
    </w:p>
    <w:p w14:paraId="14DF0C94" w14:textId="77777777" w:rsidR="00894070" w:rsidRDefault="009F6793">
      <w:pPr>
        <w:pStyle w:val="BodyText"/>
        <w:rPr>
          <w:sz w:val="12"/>
        </w:rPr>
      </w:pPr>
      <w:r>
        <w:pict w14:anchorId="67114E76">
          <v:line id="_x0000_s1064" style="position:absolute;z-index:251780096;mso-wrap-distance-left:0;mso-wrap-distance-right:0;mso-position-horizontal-relative:page" from="79.35pt,10.8pt" to="515.9pt,10.8pt" strokecolor="#f8cabc" strokeweight="1pt">
            <w10:wrap type="topAndBottom" anchorx="page"/>
          </v:line>
        </w:pict>
      </w:r>
    </w:p>
    <w:p w14:paraId="4BF233E0" w14:textId="77777777" w:rsidR="00894070" w:rsidRDefault="00894070">
      <w:pPr>
        <w:pStyle w:val="BodyText"/>
        <w:rPr>
          <w:sz w:val="5"/>
        </w:rPr>
      </w:pPr>
    </w:p>
    <w:p w14:paraId="25BCF55D" w14:textId="77777777" w:rsidR="00894070" w:rsidRDefault="00894070">
      <w:pPr>
        <w:rPr>
          <w:sz w:val="5"/>
        </w:rPr>
        <w:sectPr w:rsidR="00894070">
          <w:pgSz w:w="11910" w:h="16840"/>
          <w:pgMar w:top="860" w:right="420" w:bottom="280" w:left="580" w:header="567" w:footer="0" w:gutter="0"/>
          <w:cols w:space="720"/>
        </w:sectPr>
      </w:pPr>
    </w:p>
    <w:p w14:paraId="5D1DB438" w14:textId="77777777" w:rsidR="00894070" w:rsidRDefault="00894070">
      <w:pPr>
        <w:pStyle w:val="BodyText"/>
        <w:rPr>
          <w:sz w:val="28"/>
        </w:rPr>
      </w:pPr>
    </w:p>
    <w:p w14:paraId="5797B477" w14:textId="77777777" w:rsidR="00894070" w:rsidRDefault="00894070">
      <w:pPr>
        <w:pStyle w:val="BodyText"/>
        <w:rPr>
          <w:sz w:val="28"/>
        </w:rPr>
      </w:pPr>
    </w:p>
    <w:p w14:paraId="71F31730" w14:textId="77777777" w:rsidR="00894070" w:rsidRDefault="00894070">
      <w:pPr>
        <w:pStyle w:val="BodyText"/>
        <w:rPr>
          <w:sz w:val="28"/>
        </w:rPr>
      </w:pPr>
    </w:p>
    <w:p w14:paraId="15CD841A" w14:textId="77777777" w:rsidR="00894070" w:rsidRDefault="00894070">
      <w:pPr>
        <w:pStyle w:val="BodyText"/>
        <w:rPr>
          <w:sz w:val="28"/>
        </w:rPr>
      </w:pPr>
    </w:p>
    <w:p w14:paraId="08519012" w14:textId="77777777" w:rsidR="00894070" w:rsidRDefault="00894070">
      <w:pPr>
        <w:pStyle w:val="BodyText"/>
        <w:spacing w:before="3"/>
        <w:rPr>
          <w:sz w:val="30"/>
        </w:rPr>
      </w:pPr>
    </w:p>
    <w:p w14:paraId="3C10C5FA" w14:textId="77777777" w:rsidR="00894070" w:rsidRDefault="009B7AFD">
      <w:pPr>
        <w:pStyle w:val="Heading8"/>
        <w:ind w:left="140"/>
      </w:pPr>
      <w:r>
        <w:rPr>
          <w:color w:val="EA5B50"/>
        </w:rPr>
        <w:t>176</w:t>
      </w:r>
    </w:p>
    <w:p w14:paraId="6A87CD94" w14:textId="77777777" w:rsidR="00894070" w:rsidRDefault="009B7AFD">
      <w:pPr>
        <w:pStyle w:val="ListParagraph"/>
        <w:numPr>
          <w:ilvl w:val="0"/>
          <w:numId w:val="22"/>
        </w:numPr>
        <w:tabs>
          <w:tab w:val="left" w:pos="933"/>
          <w:tab w:val="left" w:pos="934"/>
        </w:tabs>
        <w:spacing w:before="21" w:line="170" w:lineRule="exact"/>
        <w:ind w:left="933" w:hanging="793"/>
        <w:jc w:val="left"/>
        <w:rPr>
          <w:sz w:val="13"/>
        </w:rPr>
      </w:pPr>
      <w:r>
        <w:rPr>
          <w:i/>
          <w:color w:val="231F20"/>
          <w:spacing w:val="-1"/>
          <w:sz w:val="13"/>
        </w:rPr>
        <w:br w:type="column"/>
      </w:r>
      <w:r>
        <w:rPr>
          <w:i/>
          <w:color w:val="231F20"/>
          <w:sz w:val="13"/>
        </w:rPr>
        <w:t xml:space="preserve">Family Violence Protection Act 2008 </w:t>
      </w:r>
      <w:r>
        <w:rPr>
          <w:color w:val="231F20"/>
          <w:sz w:val="13"/>
        </w:rPr>
        <w:t>(Vic) s 127(b),</w:t>
      </w:r>
      <w:r>
        <w:rPr>
          <w:color w:val="231F20"/>
          <w:spacing w:val="2"/>
          <w:sz w:val="13"/>
        </w:rPr>
        <w:t xml:space="preserve"> </w:t>
      </w:r>
      <w:r>
        <w:rPr>
          <w:color w:val="231F20"/>
          <w:sz w:val="13"/>
        </w:rPr>
        <w:t>130.</w:t>
      </w:r>
    </w:p>
    <w:p w14:paraId="76E684B9" w14:textId="77777777" w:rsidR="00894070" w:rsidRDefault="009B7AFD">
      <w:pPr>
        <w:tabs>
          <w:tab w:val="left" w:pos="933"/>
        </w:tabs>
        <w:spacing w:line="160" w:lineRule="exact"/>
        <w:ind w:left="140"/>
        <w:rPr>
          <w:sz w:val="13"/>
        </w:rPr>
      </w:pPr>
      <w:r>
        <w:rPr>
          <w:color w:val="231F20"/>
          <w:sz w:val="13"/>
        </w:rPr>
        <w:t>132</w:t>
      </w:r>
      <w:r>
        <w:rPr>
          <w:color w:val="231F20"/>
          <w:sz w:val="13"/>
        </w:rPr>
        <w:tab/>
        <w:t>Ibid s 127(b)(i), (ii).</w:t>
      </w:r>
    </w:p>
    <w:p w14:paraId="047EA4DF" w14:textId="77777777" w:rsidR="00894070" w:rsidRDefault="009B7AFD">
      <w:pPr>
        <w:tabs>
          <w:tab w:val="left" w:pos="933"/>
        </w:tabs>
        <w:spacing w:line="160" w:lineRule="exact"/>
        <w:ind w:left="140"/>
        <w:rPr>
          <w:sz w:val="13"/>
        </w:rPr>
      </w:pPr>
      <w:r>
        <w:rPr>
          <w:color w:val="231F20"/>
          <w:sz w:val="13"/>
        </w:rPr>
        <w:t>133</w:t>
      </w:r>
      <w:r>
        <w:rPr>
          <w:color w:val="231F20"/>
          <w:sz w:val="13"/>
        </w:rPr>
        <w:tab/>
        <w:t>Ibid s 130(4).</w:t>
      </w:r>
    </w:p>
    <w:p w14:paraId="0987B5A3" w14:textId="77777777" w:rsidR="00894070" w:rsidRDefault="009B7AFD">
      <w:pPr>
        <w:pStyle w:val="ListParagraph"/>
        <w:numPr>
          <w:ilvl w:val="0"/>
          <w:numId w:val="21"/>
        </w:numPr>
        <w:tabs>
          <w:tab w:val="left" w:pos="933"/>
          <w:tab w:val="left" w:pos="934"/>
        </w:tabs>
        <w:spacing w:line="160" w:lineRule="exact"/>
        <w:ind w:hanging="793"/>
        <w:rPr>
          <w:sz w:val="13"/>
        </w:rPr>
      </w:pPr>
      <w:r>
        <w:rPr>
          <w:i/>
          <w:color w:val="231F20"/>
          <w:sz w:val="13"/>
        </w:rPr>
        <w:t xml:space="preserve">Charter of Human </w:t>
      </w:r>
      <w:r>
        <w:rPr>
          <w:i/>
          <w:color w:val="231F20"/>
          <w:spacing w:val="2"/>
          <w:sz w:val="13"/>
        </w:rPr>
        <w:t xml:space="preserve">Rights </w:t>
      </w:r>
      <w:r>
        <w:rPr>
          <w:i/>
          <w:color w:val="231F20"/>
          <w:sz w:val="13"/>
        </w:rPr>
        <w:t xml:space="preserve">and Responsibilities Act 2006 </w:t>
      </w:r>
      <w:r>
        <w:rPr>
          <w:color w:val="231F20"/>
          <w:sz w:val="13"/>
        </w:rPr>
        <w:t>(Vic) s</w:t>
      </w:r>
      <w:r>
        <w:rPr>
          <w:color w:val="231F20"/>
          <w:spacing w:val="1"/>
          <w:sz w:val="13"/>
        </w:rPr>
        <w:t xml:space="preserve"> </w:t>
      </w:r>
      <w:r>
        <w:rPr>
          <w:color w:val="231F20"/>
          <w:sz w:val="13"/>
        </w:rPr>
        <w:t>7(2).</w:t>
      </w:r>
    </w:p>
    <w:p w14:paraId="364FF1A7" w14:textId="77777777" w:rsidR="00894070" w:rsidRDefault="009B7AFD">
      <w:pPr>
        <w:pStyle w:val="ListParagraph"/>
        <w:numPr>
          <w:ilvl w:val="0"/>
          <w:numId w:val="21"/>
        </w:numPr>
        <w:tabs>
          <w:tab w:val="left" w:pos="933"/>
          <w:tab w:val="left" w:pos="934"/>
        </w:tabs>
        <w:spacing w:line="160" w:lineRule="exact"/>
        <w:ind w:hanging="793"/>
        <w:rPr>
          <w:sz w:val="13"/>
        </w:rPr>
      </w:pPr>
      <w:r>
        <w:rPr>
          <w:color w:val="231F20"/>
          <w:sz w:val="13"/>
        </w:rPr>
        <w:t>Ibid s 10(c).</w:t>
      </w:r>
    </w:p>
    <w:p w14:paraId="33F6596D" w14:textId="77777777" w:rsidR="00894070" w:rsidRDefault="009B7AFD">
      <w:pPr>
        <w:pStyle w:val="ListParagraph"/>
        <w:numPr>
          <w:ilvl w:val="0"/>
          <w:numId w:val="21"/>
        </w:numPr>
        <w:tabs>
          <w:tab w:val="left" w:pos="933"/>
          <w:tab w:val="left" w:pos="934"/>
        </w:tabs>
        <w:spacing w:line="160" w:lineRule="exact"/>
        <w:ind w:hanging="793"/>
        <w:rPr>
          <w:sz w:val="13"/>
        </w:rPr>
      </w:pPr>
      <w:r>
        <w:rPr>
          <w:i/>
          <w:color w:val="231F20"/>
          <w:sz w:val="13"/>
        </w:rPr>
        <w:t>Parliamentary Debates</w:t>
      </w:r>
      <w:r>
        <w:rPr>
          <w:color w:val="231F20"/>
          <w:sz w:val="13"/>
        </w:rPr>
        <w:t xml:space="preserve">, Legislative </w:t>
      </w:r>
      <w:r>
        <w:rPr>
          <w:color w:val="231F20"/>
          <w:spacing w:val="2"/>
          <w:sz w:val="13"/>
        </w:rPr>
        <w:t xml:space="preserve">Council, </w:t>
      </w:r>
      <w:r>
        <w:rPr>
          <w:color w:val="231F20"/>
          <w:sz w:val="13"/>
        </w:rPr>
        <w:t xml:space="preserve">25 June </w:t>
      </w:r>
      <w:r>
        <w:rPr>
          <w:color w:val="231F20"/>
          <w:spacing w:val="2"/>
          <w:sz w:val="13"/>
        </w:rPr>
        <w:t xml:space="preserve">2009, </w:t>
      </w:r>
      <w:r>
        <w:rPr>
          <w:color w:val="231F20"/>
          <w:sz w:val="13"/>
        </w:rPr>
        <w:t xml:space="preserve">2158 </w:t>
      </w:r>
      <w:r>
        <w:rPr>
          <w:color w:val="231F20"/>
          <w:spacing w:val="2"/>
          <w:sz w:val="13"/>
        </w:rPr>
        <w:t>(Robert</w:t>
      </w:r>
      <w:r>
        <w:rPr>
          <w:color w:val="231F20"/>
          <w:spacing w:val="1"/>
          <w:sz w:val="13"/>
        </w:rPr>
        <w:t xml:space="preserve"> </w:t>
      </w:r>
      <w:r>
        <w:rPr>
          <w:color w:val="231F20"/>
          <w:sz w:val="13"/>
        </w:rPr>
        <w:t>Hulls).</w:t>
      </w:r>
    </w:p>
    <w:p w14:paraId="0CD18890" w14:textId="77777777" w:rsidR="00894070" w:rsidRDefault="009B7AFD">
      <w:pPr>
        <w:pStyle w:val="ListParagraph"/>
        <w:numPr>
          <w:ilvl w:val="0"/>
          <w:numId w:val="21"/>
        </w:numPr>
        <w:tabs>
          <w:tab w:val="left" w:pos="933"/>
          <w:tab w:val="left" w:pos="934"/>
        </w:tabs>
        <w:spacing w:line="160" w:lineRule="exact"/>
        <w:ind w:hanging="793"/>
        <w:rPr>
          <w:sz w:val="13"/>
        </w:rPr>
      </w:pPr>
      <w:r>
        <w:rPr>
          <w:color w:val="231F20"/>
          <w:sz w:val="13"/>
        </w:rPr>
        <w:t>Ibid.</w:t>
      </w:r>
    </w:p>
    <w:p w14:paraId="5D70A73F" w14:textId="77777777" w:rsidR="00894070" w:rsidRDefault="009B7AFD">
      <w:pPr>
        <w:pStyle w:val="ListParagraph"/>
        <w:numPr>
          <w:ilvl w:val="0"/>
          <w:numId w:val="21"/>
        </w:numPr>
        <w:tabs>
          <w:tab w:val="left" w:pos="933"/>
          <w:tab w:val="left" w:pos="934"/>
        </w:tabs>
        <w:spacing w:line="160" w:lineRule="exact"/>
        <w:ind w:hanging="793"/>
        <w:rPr>
          <w:sz w:val="13"/>
        </w:rPr>
      </w:pPr>
      <w:r>
        <w:rPr>
          <w:i/>
          <w:color w:val="231F20"/>
          <w:sz w:val="13"/>
        </w:rPr>
        <w:t xml:space="preserve">Charter of Human </w:t>
      </w:r>
      <w:r>
        <w:rPr>
          <w:i/>
          <w:color w:val="231F20"/>
          <w:spacing w:val="2"/>
          <w:sz w:val="13"/>
        </w:rPr>
        <w:t xml:space="preserve">Rights </w:t>
      </w:r>
      <w:r>
        <w:rPr>
          <w:i/>
          <w:color w:val="231F20"/>
          <w:sz w:val="13"/>
        </w:rPr>
        <w:t xml:space="preserve">and Responsibilities Act 2006 </w:t>
      </w:r>
      <w:r>
        <w:rPr>
          <w:color w:val="231F20"/>
          <w:sz w:val="13"/>
        </w:rPr>
        <w:t>(Vic) s</w:t>
      </w:r>
      <w:r>
        <w:rPr>
          <w:color w:val="231F20"/>
          <w:spacing w:val="1"/>
          <w:sz w:val="13"/>
        </w:rPr>
        <w:t xml:space="preserve"> </w:t>
      </w:r>
      <w:r>
        <w:rPr>
          <w:color w:val="231F20"/>
          <w:sz w:val="13"/>
        </w:rPr>
        <w:t>7(2).</w:t>
      </w:r>
    </w:p>
    <w:p w14:paraId="45CCF8CC" w14:textId="77777777" w:rsidR="00894070" w:rsidRDefault="009B7AFD">
      <w:pPr>
        <w:pStyle w:val="ListParagraph"/>
        <w:numPr>
          <w:ilvl w:val="0"/>
          <w:numId w:val="21"/>
        </w:numPr>
        <w:tabs>
          <w:tab w:val="left" w:pos="933"/>
          <w:tab w:val="left" w:pos="934"/>
        </w:tabs>
        <w:spacing w:line="160" w:lineRule="exact"/>
        <w:ind w:hanging="793"/>
        <w:rPr>
          <w:sz w:val="13"/>
        </w:rPr>
      </w:pPr>
      <w:r>
        <w:rPr>
          <w:color w:val="231F20"/>
          <w:spacing w:val="2"/>
          <w:sz w:val="13"/>
        </w:rPr>
        <w:t xml:space="preserve">Submissions </w:t>
      </w:r>
      <w:r>
        <w:rPr>
          <w:color w:val="231F20"/>
          <w:sz w:val="13"/>
        </w:rPr>
        <w:t>10 (Rochelle Carli), 62 (Name</w:t>
      </w:r>
      <w:r>
        <w:rPr>
          <w:color w:val="231F20"/>
          <w:spacing w:val="-1"/>
          <w:sz w:val="13"/>
        </w:rPr>
        <w:t xml:space="preserve"> </w:t>
      </w:r>
      <w:r>
        <w:rPr>
          <w:color w:val="231F20"/>
          <w:sz w:val="13"/>
        </w:rPr>
        <w:t>withheld).</w:t>
      </w:r>
    </w:p>
    <w:p w14:paraId="63718CF0" w14:textId="77777777" w:rsidR="00894070" w:rsidRDefault="009B7AFD">
      <w:pPr>
        <w:pStyle w:val="ListParagraph"/>
        <w:numPr>
          <w:ilvl w:val="0"/>
          <w:numId w:val="21"/>
        </w:numPr>
        <w:tabs>
          <w:tab w:val="left" w:pos="933"/>
          <w:tab w:val="left" w:pos="934"/>
        </w:tabs>
        <w:spacing w:line="160" w:lineRule="exact"/>
        <w:ind w:hanging="793"/>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4"/>
          <w:sz w:val="13"/>
        </w:rPr>
        <w:t xml:space="preserve"> </w:t>
      </w:r>
      <w:r>
        <w:rPr>
          <w:color w:val="231F20"/>
          <w:sz w:val="13"/>
        </w:rPr>
        <w:t>Commissioner).</w:t>
      </w:r>
    </w:p>
    <w:p w14:paraId="1638C36F" w14:textId="77777777" w:rsidR="00894070" w:rsidRDefault="009B7AFD">
      <w:pPr>
        <w:pStyle w:val="ListParagraph"/>
        <w:numPr>
          <w:ilvl w:val="0"/>
          <w:numId w:val="21"/>
        </w:numPr>
        <w:tabs>
          <w:tab w:val="left" w:pos="933"/>
          <w:tab w:val="left" w:pos="934"/>
        </w:tabs>
        <w:spacing w:line="160" w:lineRule="exact"/>
        <w:ind w:hanging="793"/>
        <w:rPr>
          <w:sz w:val="13"/>
        </w:rPr>
      </w:pPr>
      <w:r>
        <w:rPr>
          <w:i/>
          <w:color w:val="231F20"/>
          <w:sz w:val="13"/>
        </w:rPr>
        <w:t xml:space="preserve">Stalking Protection Act 2019 </w:t>
      </w:r>
      <w:r>
        <w:rPr>
          <w:color w:val="231F20"/>
          <w:sz w:val="13"/>
        </w:rPr>
        <w:t>s 2(64).</w:t>
      </w:r>
    </w:p>
    <w:p w14:paraId="1AAE308D" w14:textId="77777777" w:rsidR="00894070" w:rsidRDefault="009B7AFD">
      <w:pPr>
        <w:pStyle w:val="ListParagraph"/>
        <w:numPr>
          <w:ilvl w:val="0"/>
          <w:numId w:val="21"/>
        </w:numPr>
        <w:tabs>
          <w:tab w:val="left" w:pos="933"/>
          <w:tab w:val="left" w:pos="934"/>
        </w:tabs>
        <w:spacing w:line="160" w:lineRule="exact"/>
        <w:ind w:hanging="793"/>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27893FAE" w14:textId="77777777" w:rsidR="00894070" w:rsidRDefault="009B7AFD">
      <w:pPr>
        <w:pStyle w:val="ListParagraph"/>
        <w:numPr>
          <w:ilvl w:val="0"/>
          <w:numId w:val="21"/>
        </w:numPr>
        <w:tabs>
          <w:tab w:val="left" w:pos="933"/>
          <w:tab w:val="left" w:pos="934"/>
        </w:tabs>
        <w:spacing w:line="160" w:lineRule="exact"/>
        <w:ind w:hanging="793"/>
        <w:rPr>
          <w:sz w:val="13"/>
        </w:rPr>
      </w:pPr>
      <w:r>
        <w:rPr>
          <w:color w:val="231F20"/>
          <w:spacing w:val="2"/>
          <w:sz w:val="13"/>
        </w:rPr>
        <w:t xml:space="preserve">Submission 115 </w:t>
      </w:r>
      <w:r>
        <w:rPr>
          <w:color w:val="231F20"/>
          <w:sz w:val="13"/>
        </w:rPr>
        <w:t>(Victoria</w:t>
      </w:r>
      <w:r>
        <w:rPr>
          <w:color w:val="231F20"/>
          <w:spacing w:val="-4"/>
          <w:sz w:val="13"/>
        </w:rPr>
        <w:t xml:space="preserve"> </w:t>
      </w:r>
      <w:r>
        <w:rPr>
          <w:color w:val="231F20"/>
          <w:sz w:val="13"/>
        </w:rPr>
        <w:t>Police).</w:t>
      </w:r>
    </w:p>
    <w:p w14:paraId="575CC15D" w14:textId="77777777" w:rsidR="00894070" w:rsidRDefault="009B7AFD">
      <w:pPr>
        <w:pStyle w:val="ListParagraph"/>
        <w:numPr>
          <w:ilvl w:val="0"/>
          <w:numId w:val="21"/>
        </w:numPr>
        <w:tabs>
          <w:tab w:val="left" w:pos="933"/>
          <w:tab w:val="left" w:pos="934"/>
        </w:tabs>
        <w:spacing w:line="170" w:lineRule="exact"/>
        <w:ind w:hanging="793"/>
        <w:rPr>
          <w:sz w:val="13"/>
        </w:rPr>
      </w:pPr>
      <w:r>
        <w:rPr>
          <w:color w:val="231F20"/>
          <w:sz w:val="13"/>
        </w:rPr>
        <w:t>Ibid.</w:t>
      </w:r>
    </w:p>
    <w:p w14:paraId="1C72EDBF"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66" w:space="301"/>
            <w:col w:w="10043"/>
          </w:cols>
        </w:sectPr>
      </w:pPr>
    </w:p>
    <w:p w14:paraId="00176D84" w14:textId="77777777" w:rsidR="00894070" w:rsidRDefault="00894070">
      <w:pPr>
        <w:pStyle w:val="BodyText"/>
      </w:pPr>
    </w:p>
    <w:p w14:paraId="1DD10C1D" w14:textId="77777777" w:rsidR="00894070" w:rsidRDefault="00894070">
      <w:pPr>
        <w:pStyle w:val="BodyText"/>
      </w:pPr>
    </w:p>
    <w:p w14:paraId="77CA7FFC" w14:textId="77777777" w:rsidR="00894070" w:rsidRDefault="00894070">
      <w:pPr>
        <w:pStyle w:val="BodyText"/>
      </w:pPr>
    </w:p>
    <w:p w14:paraId="2E9CF104" w14:textId="77777777" w:rsidR="00894070" w:rsidRDefault="00894070">
      <w:pPr>
        <w:pStyle w:val="BodyText"/>
        <w:spacing w:before="6"/>
        <w:rPr>
          <w:sz w:val="14"/>
        </w:rPr>
      </w:pPr>
    </w:p>
    <w:p w14:paraId="55D6F3B4" w14:textId="77777777" w:rsidR="00894070" w:rsidRDefault="009B7AFD">
      <w:pPr>
        <w:pStyle w:val="ListParagraph"/>
        <w:numPr>
          <w:ilvl w:val="1"/>
          <w:numId w:val="29"/>
        </w:numPr>
        <w:tabs>
          <w:tab w:val="left" w:pos="1801"/>
          <w:tab w:val="left" w:pos="1802"/>
        </w:tabs>
        <w:spacing w:before="58" w:line="259" w:lineRule="exact"/>
        <w:rPr>
          <w:sz w:val="20"/>
        </w:rPr>
      </w:pPr>
      <w:r>
        <w:rPr>
          <w:color w:val="231F20"/>
          <w:sz w:val="20"/>
        </w:rPr>
        <w:t>A</w:t>
      </w:r>
      <w:r>
        <w:rPr>
          <w:color w:val="231F20"/>
          <w:spacing w:val="-6"/>
          <w:sz w:val="20"/>
        </w:rPr>
        <w:t xml:space="preserve"> </w:t>
      </w:r>
      <w:r>
        <w:rPr>
          <w:color w:val="231F20"/>
          <w:sz w:val="20"/>
        </w:rPr>
        <w:t>number</w:t>
      </w:r>
      <w:r>
        <w:rPr>
          <w:color w:val="231F20"/>
          <w:spacing w:val="-5"/>
          <w:sz w:val="20"/>
        </w:rPr>
        <w:t xml:space="preserve"> </w:t>
      </w:r>
      <w:r>
        <w:rPr>
          <w:color w:val="231F20"/>
          <w:sz w:val="20"/>
        </w:rPr>
        <w:t>of</w:t>
      </w:r>
      <w:r>
        <w:rPr>
          <w:color w:val="231F20"/>
          <w:spacing w:val="-5"/>
          <w:sz w:val="20"/>
        </w:rPr>
        <w:t xml:space="preserve"> </w:t>
      </w:r>
      <w:r>
        <w:rPr>
          <w:color w:val="231F20"/>
          <w:sz w:val="20"/>
        </w:rPr>
        <w:t>organisations</w:t>
      </w:r>
      <w:r>
        <w:rPr>
          <w:color w:val="231F20"/>
          <w:spacing w:val="-5"/>
          <w:sz w:val="20"/>
        </w:rPr>
        <w:t xml:space="preserve"> </w:t>
      </w:r>
      <w:r>
        <w:rPr>
          <w:color w:val="231F20"/>
          <w:sz w:val="20"/>
        </w:rPr>
        <w:t>opposed</w:t>
      </w:r>
      <w:r>
        <w:rPr>
          <w:color w:val="231F20"/>
          <w:spacing w:val="-5"/>
          <w:sz w:val="20"/>
        </w:rPr>
        <w:t xml:space="preserve"> </w:t>
      </w:r>
      <w:r>
        <w:rPr>
          <w:color w:val="231F20"/>
          <w:spacing w:val="-3"/>
          <w:sz w:val="20"/>
        </w:rPr>
        <w:t>court-ordered</w:t>
      </w:r>
      <w:r>
        <w:rPr>
          <w:color w:val="231F20"/>
          <w:spacing w:val="-5"/>
          <w:sz w:val="20"/>
        </w:rPr>
        <w:t xml:space="preserve"> </w:t>
      </w:r>
      <w:r>
        <w:rPr>
          <w:color w:val="231F20"/>
          <w:sz w:val="20"/>
        </w:rPr>
        <w:t>therapeutic</w:t>
      </w:r>
      <w:r>
        <w:rPr>
          <w:color w:val="231F20"/>
          <w:spacing w:val="-5"/>
          <w:sz w:val="20"/>
        </w:rPr>
        <w:t xml:space="preserve"> </w:t>
      </w:r>
      <w:r>
        <w:rPr>
          <w:color w:val="231F20"/>
          <w:sz w:val="20"/>
        </w:rPr>
        <w:t>orders</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reasons</w:t>
      </w:r>
    </w:p>
    <w:p w14:paraId="325024A5" w14:textId="77777777" w:rsidR="00894070" w:rsidRDefault="009B7AFD">
      <w:pPr>
        <w:pStyle w:val="BodyText"/>
        <w:spacing w:line="259" w:lineRule="exact"/>
        <w:ind w:left="1801"/>
      </w:pPr>
      <w:r>
        <w:rPr>
          <w:color w:val="231F20"/>
        </w:rPr>
        <w:t>including:</w:t>
      </w:r>
    </w:p>
    <w:p w14:paraId="479AA921" w14:textId="77777777" w:rsidR="00894070" w:rsidRDefault="009B7AFD">
      <w:pPr>
        <w:pStyle w:val="ListParagraph"/>
        <w:numPr>
          <w:ilvl w:val="2"/>
          <w:numId w:val="29"/>
        </w:numPr>
        <w:tabs>
          <w:tab w:val="left" w:pos="2141"/>
          <w:tab w:val="left" w:pos="2142"/>
        </w:tabs>
        <w:spacing w:before="114" w:line="206" w:lineRule="auto"/>
        <w:ind w:right="1292" w:hanging="340"/>
        <w:rPr>
          <w:sz w:val="20"/>
        </w:rPr>
      </w:pPr>
      <w:r>
        <w:rPr>
          <w:color w:val="231F20"/>
          <w:sz w:val="20"/>
        </w:rPr>
        <w:t>There</w:t>
      </w:r>
      <w:r>
        <w:rPr>
          <w:color w:val="231F20"/>
          <w:spacing w:val="-9"/>
          <w:sz w:val="20"/>
        </w:rPr>
        <w:t xml:space="preserve"> </w:t>
      </w:r>
      <w:r>
        <w:rPr>
          <w:color w:val="231F20"/>
          <w:spacing w:val="-3"/>
          <w:sz w:val="20"/>
        </w:rPr>
        <w:t>are</w:t>
      </w:r>
      <w:r>
        <w:rPr>
          <w:color w:val="231F20"/>
          <w:spacing w:val="-8"/>
          <w:sz w:val="20"/>
        </w:rPr>
        <w:t xml:space="preserve"> </w:t>
      </w:r>
      <w:r>
        <w:rPr>
          <w:color w:val="231F20"/>
          <w:sz w:val="20"/>
        </w:rPr>
        <w:t>human</w:t>
      </w:r>
      <w:r>
        <w:rPr>
          <w:color w:val="231F20"/>
          <w:spacing w:val="-8"/>
          <w:sz w:val="20"/>
        </w:rPr>
        <w:t xml:space="preserve"> </w:t>
      </w:r>
      <w:r>
        <w:rPr>
          <w:color w:val="231F20"/>
          <w:sz w:val="20"/>
        </w:rPr>
        <w:t>rights</w:t>
      </w:r>
      <w:r>
        <w:rPr>
          <w:color w:val="231F20"/>
          <w:spacing w:val="-8"/>
          <w:sz w:val="20"/>
        </w:rPr>
        <w:t xml:space="preserve"> </w:t>
      </w:r>
      <w:r>
        <w:rPr>
          <w:color w:val="231F20"/>
          <w:sz w:val="20"/>
        </w:rPr>
        <w:t>concerns</w:t>
      </w:r>
      <w:r>
        <w:rPr>
          <w:color w:val="231F20"/>
          <w:spacing w:val="-8"/>
          <w:sz w:val="20"/>
        </w:rPr>
        <w:t xml:space="preserve"> </w:t>
      </w:r>
      <w:r>
        <w:rPr>
          <w:color w:val="231F20"/>
          <w:sz w:val="20"/>
        </w:rPr>
        <w:t>about</w:t>
      </w:r>
      <w:r>
        <w:rPr>
          <w:color w:val="231F20"/>
          <w:spacing w:val="-8"/>
          <w:sz w:val="20"/>
        </w:rPr>
        <w:t xml:space="preserve"> </w:t>
      </w:r>
      <w:r>
        <w:rPr>
          <w:color w:val="231F20"/>
          <w:spacing w:val="-3"/>
          <w:sz w:val="20"/>
        </w:rPr>
        <w:t>forcing</w:t>
      </w:r>
      <w:r>
        <w:rPr>
          <w:color w:val="231F20"/>
          <w:spacing w:val="-8"/>
          <w:sz w:val="20"/>
        </w:rPr>
        <w:t xml:space="preserve"> </w:t>
      </w:r>
      <w:r>
        <w:rPr>
          <w:color w:val="231F20"/>
          <w:sz w:val="20"/>
        </w:rPr>
        <w:t>a</w:t>
      </w:r>
      <w:r>
        <w:rPr>
          <w:color w:val="231F20"/>
          <w:spacing w:val="-8"/>
          <w:sz w:val="20"/>
        </w:rPr>
        <w:t xml:space="preserve"> </w:t>
      </w:r>
      <w:r>
        <w:rPr>
          <w:color w:val="231F20"/>
          <w:spacing w:val="-2"/>
          <w:sz w:val="20"/>
        </w:rPr>
        <w:t>respondent</w:t>
      </w:r>
      <w:r>
        <w:rPr>
          <w:color w:val="231F20"/>
          <w:spacing w:val="-8"/>
          <w:sz w:val="20"/>
        </w:rPr>
        <w:t xml:space="preserve"> </w:t>
      </w:r>
      <w:r>
        <w:rPr>
          <w:color w:val="231F20"/>
          <w:sz w:val="20"/>
        </w:rPr>
        <w:t>to</w:t>
      </w:r>
      <w:r>
        <w:rPr>
          <w:color w:val="231F20"/>
          <w:spacing w:val="-8"/>
          <w:sz w:val="20"/>
        </w:rPr>
        <w:t xml:space="preserve"> </w:t>
      </w:r>
      <w:r>
        <w:rPr>
          <w:color w:val="231F20"/>
          <w:sz w:val="20"/>
        </w:rPr>
        <w:t>a</w:t>
      </w:r>
      <w:r>
        <w:rPr>
          <w:color w:val="231F20"/>
          <w:spacing w:val="-8"/>
          <w:sz w:val="20"/>
        </w:rPr>
        <w:t xml:space="preserve"> </w:t>
      </w:r>
      <w:r>
        <w:rPr>
          <w:color w:val="231F20"/>
          <w:sz w:val="20"/>
        </w:rPr>
        <w:t>PSIO</w:t>
      </w:r>
      <w:r>
        <w:rPr>
          <w:color w:val="231F20"/>
          <w:spacing w:val="-8"/>
          <w:sz w:val="20"/>
        </w:rPr>
        <w:t xml:space="preserve"> </w:t>
      </w:r>
      <w:r>
        <w:rPr>
          <w:color w:val="231F20"/>
          <w:sz w:val="20"/>
        </w:rPr>
        <w:t>to</w:t>
      </w:r>
      <w:r>
        <w:rPr>
          <w:color w:val="231F20"/>
          <w:spacing w:val="-8"/>
          <w:sz w:val="20"/>
        </w:rPr>
        <w:t xml:space="preserve"> </w:t>
      </w:r>
      <w:r>
        <w:rPr>
          <w:color w:val="231F20"/>
          <w:sz w:val="20"/>
        </w:rPr>
        <w:t>undergo treatment,</w:t>
      </w:r>
      <w:r>
        <w:rPr>
          <w:color w:val="231F20"/>
          <w:position w:val="7"/>
          <w:sz w:val="11"/>
        </w:rPr>
        <w:t xml:space="preserve">145 </w:t>
      </w:r>
      <w:r>
        <w:rPr>
          <w:color w:val="231F20"/>
          <w:spacing w:val="-3"/>
          <w:sz w:val="20"/>
        </w:rPr>
        <w:t xml:space="preserve">given </w:t>
      </w:r>
      <w:r>
        <w:rPr>
          <w:color w:val="231F20"/>
          <w:sz w:val="20"/>
        </w:rPr>
        <w:t xml:space="preserve">the </w:t>
      </w:r>
      <w:r>
        <w:rPr>
          <w:color w:val="231F20"/>
          <w:spacing w:val="-4"/>
          <w:sz w:val="20"/>
        </w:rPr>
        <w:t xml:space="preserve">lower </w:t>
      </w:r>
      <w:r>
        <w:rPr>
          <w:color w:val="231F20"/>
          <w:sz w:val="20"/>
        </w:rPr>
        <w:t xml:space="preserve">evidentiary </w:t>
      </w:r>
      <w:r>
        <w:rPr>
          <w:color w:val="231F20"/>
          <w:spacing w:val="-3"/>
          <w:sz w:val="20"/>
        </w:rPr>
        <w:t xml:space="preserve">threshold </w:t>
      </w:r>
      <w:r>
        <w:rPr>
          <w:color w:val="231F20"/>
          <w:sz w:val="20"/>
        </w:rPr>
        <w:t>in civil</w:t>
      </w:r>
      <w:r>
        <w:rPr>
          <w:color w:val="231F20"/>
          <w:spacing w:val="-36"/>
          <w:sz w:val="20"/>
        </w:rPr>
        <w:t xml:space="preserve"> </w:t>
      </w:r>
      <w:r>
        <w:rPr>
          <w:color w:val="231F20"/>
          <w:sz w:val="20"/>
        </w:rPr>
        <w:t>proceedings.</w:t>
      </w:r>
    </w:p>
    <w:p w14:paraId="13573301" w14:textId="77777777" w:rsidR="00894070" w:rsidRDefault="009B7AFD">
      <w:pPr>
        <w:pStyle w:val="ListParagraph"/>
        <w:numPr>
          <w:ilvl w:val="2"/>
          <w:numId w:val="29"/>
        </w:numPr>
        <w:tabs>
          <w:tab w:val="left" w:pos="2141"/>
          <w:tab w:val="left" w:pos="2142"/>
        </w:tabs>
        <w:spacing w:before="88" w:line="206" w:lineRule="auto"/>
        <w:ind w:right="1225" w:hanging="340"/>
        <w:rPr>
          <w:sz w:val="11"/>
        </w:rPr>
      </w:pPr>
      <w:r>
        <w:rPr>
          <w:color w:val="231F20"/>
          <w:sz w:val="20"/>
        </w:rPr>
        <w:t>There</w:t>
      </w:r>
      <w:r>
        <w:rPr>
          <w:color w:val="231F20"/>
          <w:spacing w:val="-8"/>
          <w:sz w:val="20"/>
        </w:rPr>
        <w:t xml:space="preserve"> </w:t>
      </w:r>
      <w:r>
        <w:rPr>
          <w:color w:val="231F20"/>
          <w:spacing w:val="-3"/>
          <w:sz w:val="20"/>
        </w:rPr>
        <w:t>are</w:t>
      </w:r>
      <w:r>
        <w:rPr>
          <w:color w:val="231F20"/>
          <w:spacing w:val="-8"/>
          <w:sz w:val="20"/>
        </w:rPr>
        <w:t xml:space="preserve"> </w:t>
      </w:r>
      <w:r>
        <w:rPr>
          <w:color w:val="231F20"/>
          <w:spacing w:val="-3"/>
          <w:sz w:val="20"/>
        </w:rPr>
        <w:t>resource</w:t>
      </w:r>
      <w:r>
        <w:rPr>
          <w:color w:val="231F20"/>
          <w:spacing w:val="-7"/>
          <w:sz w:val="20"/>
        </w:rPr>
        <w:t xml:space="preserve"> </w:t>
      </w:r>
      <w:r>
        <w:rPr>
          <w:color w:val="231F20"/>
          <w:sz w:val="20"/>
        </w:rPr>
        <w:t>implications,</w:t>
      </w:r>
      <w:r>
        <w:rPr>
          <w:color w:val="231F20"/>
          <w:spacing w:val="-8"/>
          <w:sz w:val="20"/>
        </w:rPr>
        <w:t xml:space="preserve"> </w:t>
      </w:r>
      <w:r>
        <w:rPr>
          <w:color w:val="231F20"/>
          <w:spacing w:val="-3"/>
          <w:sz w:val="20"/>
        </w:rPr>
        <w:t>given</w:t>
      </w:r>
      <w:r>
        <w:rPr>
          <w:color w:val="231F20"/>
          <w:spacing w:val="-7"/>
          <w:sz w:val="20"/>
        </w:rPr>
        <w:t xml:space="preserve"> </w:t>
      </w:r>
      <w:r>
        <w:rPr>
          <w:color w:val="231F20"/>
          <w:sz w:val="20"/>
        </w:rPr>
        <w:t>the</w:t>
      </w:r>
      <w:r>
        <w:rPr>
          <w:color w:val="231F20"/>
          <w:spacing w:val="-8"/>
          <w:sz w:val="20"/>
        </w:rPr>
        <w:t xml:space="preserve"> </w:t>
      </w:r>
      <w:r>
        <w:rPr>
          <w:color w:val="231F20"/>
          <w:sz w:val="20"/>
        </w:rPr>
        <w:t>high</w:t>
      </w:r>
      <w:r>
        <w:rPr>
          <w:color w:val="231F20"/>
          <w:spacing w:val="-7"/>
          <w:sz w:val="20"/>
        </w:rPr>
        <w:t xml:space="preserve"> </w:t>
      </w:r>
      <w:r>
        <w:rPr>
          <w:color w:val="231F20"/>
          <w:sz w:val="20"/>
        </w:rPr>
        <w:t>number</w:t>
      </w:r>
      <w:r>
        <w:rPr>
          <w:color w:val="231F20"/>
          <w:spacing w:val="-8"/>
          <w:sz w:val="20"/>
        </w:rPr>
        <w:t xml:space="preserve"> </w:t>
      </w:r>
      <w:r>
        <w:rPr>
          <w:color w:val="231F20"/>
          <w:sz w:val="20"/>
        </w:rPr>
        <w:t>of</w:t>
      </w:r>
      <w:r>
        <w:rPr>
          <w:color w:val="231F20"/>
          <w:spacing w:val="-7"/>
          <w:sz w:val="20"/>
        </w:rPr>
        <w:t xml:space="preserve"> </w:t>
      </w:r>
      <w:r>
        <w:rPr>
          <w:color w:val="231F20"/>
          <w:sz w:val="20"/>
        </w:rPr>
        <w:t>PSIOs</w:t>
      </w:r>
      <w:r>
        <w:rPr>
          <w:color w:val="231F20"/>
          <w:spacing w:val="-8"/>
          <w:sz w:val="20"/>
        </w:rPr>
        <w:t xml:space="preserve"> </w:t>
      </w:r>
      <w:r>
        <w:rPr>
          <w:color w:val="231F20"/>
          <w:sz w:val="20"/>
        </w:rPr>
        <w:t>issued</w:t>
      </w:r>
      <w:r>
        <w:rPr>
          <w:color w:val="231F20"/>
          <w:spacing w:val="-8"/>
          <w:sz w:val="20"/>
        </w:rPr>
        <w:t xml:space="preserve"> </w:t>
      </w:r>
      <w:r>
        <w:rPr>
          <w:color w:val="231F20"/>
          <w:sz w:val="20"/>
        </w:rPr>
        <w:t>and</w:t>
      </w:r>
      <w:r>
        <w:rPr>
          <w:color w:val="231F20"/>
          <w:spacing w:val="-7"/>
          <w:sz w:val="20"/>
        </w:rPr>
        <w:t xml:space="preserve"> </w:t>
      </w:r>
      <w:r>
        <w:rPr>
          <w:color w:val="231F20"/>
          <w:sz w:val="20"/>
        </w:rPr>
        <w:t>lack</w:t>
      </w:r>
      <w:r>
        <w:rPr>
          <w:color w:val="231F20"/>
          <w:spacing w:val="-8"/>
          <w:sz w:val="20"/>
        </w:rPr>
        <w:t xml:space="preserve"> </w:t>
      </w:r>
      <w:r>
        <w:rPr>
          <w:color w:val="231F20"/>
          <w:sz w:val="20"/>
        </w:rPr>
        <w:t>of services.</w:t>
      </w:r>
      <w:r>
        <w:rPr>
          <w:color w:val="231F20"/>
          <w:position w:val="7"/>
          <w:sz w:val="11"/>
        </w:rPr>
        <w:t>146</w:t>
      </w:r>
    </w:p>
    <w:p w14:paraId="134C62F1" w14:textId="77777777" w:rsidR="00894070" w:rsidRDefault="009B7AFD">
      <w:pPr>
        <w:pStyle w:val="ListParagraph"/>
        <w:numPr>
          <w:ilvl w:val="2"/>
          <w:numId w:val="29"/>
        </w:numPr>
        <w:tabs>
          <w:tab w:val="left" w:pos="2141"/>
          <w:tab w:val="left" w:pos="2142"/>
        </w:tabs>
        <w:spacing w:before="55" w:line="259" w:lineRule="exact"/>
        <w:ind w:hanging="340"/>
        <w:rPr>
          <w:sz w:val="20"/>
        </w:rPr>
      </w:pPr>
      <w:r>
        <w:rPr>
          <w:color w:val="231F20"/>
          <w:sz w:val="20"/>
        </w:rPr>
        <w:t>Mandated</w:t>
      </w:r>
      <w:r>
        <w:rPr>
          <w:color w:val="231F20"/>
          <w:spacing w:val="-6"/>
          <w:sz w:val="20"/>
        </w:rPr>
        <w:t xml:space="preserve"> </w:t>
      </w:r>
      <w:r>
        <w:rPr>
          <w:color w:val="231F20"/>
          <w:sz w:val="20"/>
        </w:rPr>
        <w:t>programs</w:t>
      </w:r>
      <w:r>
        <w:rPr>
          <w:color w:val="231F20"/>
          <w:spacing w:val="-5"/>
          <w:sz w:val="20"/>
        </w:rPr>
        <w:t xml:space="preserve"> </w:t>
      </w:r>
      <w:r>
        <w:rPr>
          <w:color w:val="231F20"/>
          <w:spacing w:val="-3"/>
          <w:sz w:val="20"/>
        </w:rPr>
        <w:t>may</w:t>
      </w:r>
      <w:r>
        <w:rPr>
          <w:color w:val="231F20"/>
          <w:spacing w:val="-5"/>
          <w:sz w:val="20"/>
        </w:rPr>
        <w:t xml:space="preserve"> </w:t>
      </w:r>
      <w:r>
        <w:rPr>
          <w:color w:val="231F20"/>
          <w:spacing w:val="-3"/>
          <w:sz w:val="20"/>
        </w:rPr>
        <w:t>reduce</w:t>
      </w:r>
      <w:r>
        <w:rPr>
          <w:color w:val="231F20"/>
          <w:spacing w:val="-5"/>
          <w:sz w:val="20"/>
        </w:rPr>
        <w:t xml:space="preserve"> </w:t>
      </w:r>
      <w:r>
        <w:rPr>
          <w:color w:val="231F20"/>
          <w:sz w:val="20"/>
        </w:rPr>
        <w:t>flexibility</w:t>
      </w:r>
      <w:r>
        <w:rPr>
          <w:color w:val="231F20"/>
          <w:spacing w:val="-5"/>
          <w:sz w:val="20"/>
        </w:rPr>
        <w:t xml:space="preserve"> </w:t>
      </w:r>
      <w:r>
        <w:rPr>
          <w:color w:val="231F20"/>
          <w:sz w:val="20"/>
        </w:rPr>
        <w:t>in</w:t>
      </w:r>
      <w:r>
        <w:rPr>
          <w:color w:val="231F20"/>
          <w:spacing w:val="-5"/>
          <w:sz w:val="20"/>
        </w:rPr>
        <w:t xml:space="preserve"> </w:t>
      </w:r>
      <w:r>
        <w:rPr>
          <w:color w:val="231F20"/>
          <w:sz w:val="20"/>
        </w:rPr>
        <w:t>identifying</w:t>
      </w:r>
      <w:r>
        <w:rPr>
          <w:color w:val="231F20"/>
          <w:spacing w:val="-6"/>
          <w:sz w:val="20"/>
        </w:rPr>
        <w:t xml:space="preserve"> </w:t>
      </w:r>
      <w:r>
        <w:rPr>
          <w:color w:val="231F20"/>
          <w:sz w:val="20"/>
        </w:rPr>
        <w:t>the</w:t>
      </w:r>
      <w:r>
        <w:rPr>
          <w:color w:val="231F20"/>
          <w:spacing w:val="-5"/>
          <w:sz w:val="20"/>
        </w:rPr>
        <w:t xml:space="preserve"> </w:t>
      </w:r>
      <w:r>
        <w:rPr>
          <w:color w:val="231F20"/>
          <w:sz w:val="20"/>
        </w:rPr>
        <w:t>most</w:t>
      </w:r>
      <w:r>
        <w:rPr>
          <w:color w:val="231F20"/>
          <w:spacing w:val="-5"/>
          <w:sz w:val="20"/>
        </w:rPr>
        <w:t xml:space="preserve"> </w:t>
      </w:r>
      <w:r>
        <w:rPr>
          <w:color w:val="231F20"/>
          <w:spacing w:val="-3"/>
          <w:sz w:val="20"/>
        </w:rPr>
        <w:t>appropriate</w:t>
      </w:r>
    </w:p>
    <w:p w14:paraId="747C6627" w14:textId="77777777" w:rsidR="00894070" w:rsidRDefault="009B7AFD">
      <w:pPr>
        <w:spacing w:line="259" w:lineRule="exact"/>
        <w:ind w:left="2141"/>
        <w:rPr>
          <w:sz w:val="11"/>
        </w:rPr>
      </w:pPr>
      <w:r>
        <w:rPr>
          <w:color w:val="231F20"/>
          <w:sz w:val="20"/>
        </w:rPr>
        <w:t>program.</w:t>
      </w:r>
      <w:r>
        <w:rPr>
          <w:color w:val="231F20"/>
          <w:position w:val="7"/>
          <w:sz w:val="11"/>
        </w:rPr>
        <w:t>147</w:t>
      </w:r>
    </w:p>
    <w:p w14:paraId="6367E59F" w14:textId="77777777" w:rsidR="00894070" w:rsidRDefault="009B7AFD">
      <w:pPr>
        <w:pStyle w:val="ListParagraph"/>
        <w:numPr>
          <w:ilvl w:val="2"/>
          <w:numId w:val="29"/>
        </w:numPr>
        <w:tabs>
          <w:tab w:val="left" w:pos="2141"/>
          <w:tab w:val="left" w:pos="2142"/>
        </w:tabs>
        <w:spacing w:before="48"/>
        <w:ind w:hanging="340"/>
        <w:rPr>
          <w:sz w:val="11"/>
        </w:rPr>
      </w:pPr>
      <w:r>
        <w:rPr>
          <w:color w:val="231F20"/>
          <w:sz w:val="20"/>
        </w:rPr>
        <w:t>There</w:t>
      </w:r>
      <w:r>
        <w:rPr>
          <w:color w:val="231F20"/>
          <w:spacing w:val="-6"/>
          <w:sz w:val="20"/>
        </w:rPr>
        <w:t xml:space="preserve"> </w:t>
      </w:r>
      <w:r>
        <w:rPr>
          <w:color w:val="231F20"/>
          <w:sz w:val="20"/>
        </w:rPr>
        <w:t>is</w:t>
      </w:r>
      <w:r>
        <w:rPr>
          <w:color w:val="231F20"/>
          <w:spacing w:val="-5"/>
          <w:sz w:val="20"/>
        </w:rPr>
        <w:t xml:space="preserve"> </w:t>
      </w:r>
      <w:r>
        <w:rPr>
          <w:color w:val="231F20"/>
          <w:sz w:val="20"/>
        </w:rPr>
        <w:t>a</w:t>
      </w:r>
      <w:r>
        <w:rPr>
          <w:color w:val="231F20"/>
          <w:spacing w:val="-5"/>
          <w:sz w:val="20"/>
        </w:rPr>
        <w:t xml:space="preserve"> </w:t>
      </w:r>
      <w:r>
        <w:rPr>
          <w:color w:val="231F20"/>
          <w:sz w:val="20"/>
        </w:rPr>
        <w:t>lack</w:t>
      </w:r>
      <w:r>
        <w:rPr>
          <w:color w:val="231F20"/>
          <w:spacing w:val="-5"/>
          <w:sz w:val="20"/>
        </w:rPr>
        <w:t xml:space="preserve"> </w:t>
      </w:r>
      <w:r>
        <w:rPr>
          <w:color w:val="231F20"/>
          <w:sz w:val="20"/>
        </w:rPr>
        <w:t>of</w:t>
      </w:r>
      <w:r>
        <w:rPr>
          <w:color w:val="231F20"/>
          <w:spacing w:val="-5"/>
          <w:sz w:val="20"/>
        </w:rPr>
        <w:t xml:space="preserve"> </w:t>
      </w:r>
      <w:r>
        <w:rPr>
          <w:color w:val="231F20"/>
          <w:sz w:val="20"/>
        </w:rPr>
        <w:t>evidence</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effectiveness</w:t>
      </w:r>
      <w:r>
        <w:rPr>
          <w:color w:val="231F20"/>
          <w:spacing w:val="-5"/>
          <w:sz w:val="20"/>
        </w:rPr>
        <w:t xml:space="preserve"> </w:t>
      </w:r>
      <w:r>
        <w:rPr>
          <w:color w:val="231F20"/>
          <w:sz w:val="20"/>
        </w:rPr>
        <w:t>of</w:t>
      </w:r>
      <w:r>
        <w:rPr>
          <w:color w:val="231F20"/>
          <w:spacing w:val="-5"/>
          <w:sz w:val="20"/>
        </w:rPr>
        <w:t xml:space="preserve"> </w:t>
      </w:r>
      <w:r>
        <w:rPr>
          <w:color w:val="231F20"/>
          <w:sz w:val="20"/>
        </w:rPr>
        <w:t>treatment.</w:t>
      </w:r>
      <w:r>
        <w:rPr>
          <w:color w:val="231F20"/>
          <w:position w:val="7"/>
          <w:sz w:val="11"/>
        </w:rPr>
        <w:t>148</w:t>
      </w:r>
    </w:p>
    <w:p w14:paraId="23E0DD8E" w14:textId="77777777" w:rsidR="00894070" w:rsidRDefault="009B7AFD">
      <w:pPr>
        <w:pStyle w:val="ListParagraph"/>
        <w:numPr>
          <w:ilvl w:val="2"/>
          <w:numId w:val="29"/>
        </w:numPr>
        <w:tabs>
          <w:tab w:val="left" w:pos="2141"/>
          <w:tab w:val="left" w:pos="2142"/>
        </w:tabs>
        <w:spacing w:before="47"/>
        <w:ind w:hanging="340"/>
        <w:rPr>
          <w:sz w:val="11"/>
        </w:rPr>
      </w:pPr>
      <w:r>
        <w:rPr>
          <w:color w:val="231F20"/>
          <w:sz w:val="20"/>
        </w:rPr>
        <w:t>It</w:t>
      </w:r>
      <w:r>
        <w:rPr>
          <w:color w:val="231F20"/>
          <w:spacing w:val="-6"/>
          <w:sz w:val="20"/>
        </w:rPr>
        <w:t xml:space="preserve"> </w:t>
      </w:r>
      <w:r>
        <w:rPr>
          <w:color w:val="231F20"/>
          <w:sz w:val="20"/>
        </w:rPr>
        <w:t>is</w:t>
      </w:r>
      <w:r>
        <w:rPr>
          <w:color w:val="231F20"/>
          <w:spacing w:val="-5"/>
          <w:sz w:val="20"/>
        </w:rPr>
        <w:t xml:space="preserve"> </w:t>
      </w:r>
      <w:r>
        <w:rPr>
          <w:color w:val="231F20"/>
          <w:sz w:val="20"/>
        </w:rPr>
        <w:t>unclear</w:t>
      </w:r>
      <w:r>
        <w:rPr>
          <w:color w:val="231F20"/>
          <w:spacing w:val="-5"/>
          <w:sz w:val="20"/>
        </w:rPr>
        <w:t xml:space="preserve"> </w:t>
      </w:r>
      <w:r>
        <w:rPr>
          <w:color w:val="231F20"/>
          <w:sz w:val="20"/>
        </w:rPr>
        <w:t>if</w:t>
      </w:r>
      <w:r>
        <w:rPr>
          <w:color w:val="231F20"/>
          <w:spacing w:val="-5"/>
          <w:sz w:val="20"/>
        </w:rPr>
        <w:t xml:space="preserve"> </w:t>
      </w:r>
      <w:r>
        <w:rPr>
          <w:color w:val="231F20"/>
          <w:spacing w:val="-3"/>
          <w:sz w:val="20"/>
        </w:rPr>
        <w:t>treatment</w:t>
      </w:r>
      <w:r>
        <w:rPr>
          <w:color w:val="231F20"/>
          <w:spacing w:val="-5"/>
          <w:sz w:val="20"/>
        </w:rPr>
        <w:t xml:space="preserve"> </w:t>
      </w:r>
      <w:r>
        <w:rPr>
          <w:color w:val="231F20"/>
          <w:sz w:val="20"/>
        </w:rPr>
        <w:t>is</w:t>
      </w:r>
      <w:r>
        <w:rPr>
          <w:color w:val="231F20"/>
          <w:spacing w:val="-5"/>
          <w:sz w:val="20"/>
        </w:rPr>
        <w:t xml:space="preserve"> </w:t>
      </w:r>
      <w:r>
        <w:rPr>
          <w:color w:val="231F20"/>
          <w:spacing w:val="-3"/>
          <w:sz w:val="20"/>
        </w:rPr>
        <w:t>effective</w:t>
      </w:r>
      <w:r>
        <w:rPr>
          <w:color w:val="231F20"/>
          <w:spacing w:val="-5"/>
          <w:sz w:val="20"/>
        </w:rPr>
        <w:t xml:space="preserve"> </w:t>
      </w:r>
      <w:r>
        <w:rPr>
          <w:color w:val="231F20"/>
          <w:sz w:val="20"/>
        </w:rPr>
        <w:t>if</w:t>
      </w:r>
      <w:r>
        <w:rPr>
          <w:color w:val="231F20"/>
          <w:spacing w:val="-5"/>
          <w:sz w:val="20"/>
        </w:rPr>
        <w:t xml:space="preserve"> </w:t>
      </w:r>
      <w:r>
        <w:rPr>
          <w:color w:val="231F20"/>
          <w:sz w:val="20"/>
        </w:rPr>
        <w:t>it</w:t>
      </w:r>
      <w:r>
        <w:rPr>
          <w:color w:val="231F20"/>
          <w:spacing w:val="-5"/>
          <w:sz w:val="20"/>
        </w:rPr>
        <w:t xml:space="preserve"> </w:t>
      </w:r>
      <w:r>
        <w:rPr>
          <w:color w:val="231F20"/>
          <w:sz w:val="20"/>
        </w:rPr>
        <w:t>is</w:t>
      </w:r>
      <w:r>
        <w:rPr>
          <w:color w:val="231F20"/>
          <w:spacing w:val="-5"/>
          <w:sz w:val="20"/>
        </w:rPr>
        <w:t xml:space="preserve"> </w:t>
      </w:r>
      <w:r>
        <w:rPr>
          <w:color w:val="231F20"/>
          <w:sz w:val="20"/>
        </w:rPr>
        <w:t>mandated</w:t>
      </w:r>
      <w:r>
        <w:rPr>
          <w:color w:val="231F20"/>
          <w:spacing w:val="-5"/>
          <w:sz w:val="20"/>
        </w:rPr>
        <w:t xml:space="preserve"> </w:t>
      </w:r>
      <w:r>
        <w:rPr>
          <w:color w:val="231F20"/>
          <w:sz w:val="20"/>
        </w:rPr>
        <w:t>instead</w:t>
      </w:r>
      <w:r>
        <w:rPr>
          <w:color w:val="231F20"/>
          <w:spacing w:val="-5"/>
          <w:sz w:val="20"/>
        </w:rPr>
        <w:t xml:space="preserve"> </w:t>
      </w:r>
      <w:r>
        <w:rPr>
          <w:color w:val="231F20"/>
          <w:sz w:val="20"/>
        </w:rPr>
        <w:t>of</w:t>
      </w:r>
      <w:r>
        <w:rPr>
          <w:color w:val="231F20"/>
          <w:spacing w:val="-5"/>
          <w:sz w:val="20"/>
        </w:rPr>
        <w:t xml:space="preserve"> </w:t>
      </w:r>
      <w:r>
        <w:rPr>
          <w:color w:val="231F20"/>
          <w:sz w:val="20"/>
        </w:rPr>
        <w:t>voluntary.</w:t>
      </w:r>
      <w:r>
        <w:rPr>
          <w:color w:val="231F20"/>
          <w:position w:val="7"/>
          <w:sz w:val="11"/>
        </w:rPr>
        <w:t>149</w:t>
      </w:r>
    </w:p>
    <w:p w14:paraId="04A04D6F" w14:textId="77777777" w:rsidR="00894070" w:rsidRDefault="009B7AFD">
      <w:pPr>
        <w:pStyle w:val="ListParagraph"/>
        <w:numPr>
          <w:ilvl w:val="1"/>
          <w:numId w:val="29"/>
        </w:numPr>
        <w:tabs>
          <w:tab w:val="left" w:pos="1801"/>
          <w:tab w:val="left" w:pos="1802"/>
        </w:tabs>
        <w:spacing w:before="47" w:line="259" w:lineRule="exact"/>
        <w:rPr>
          <w:sz w:val="20"/>
        </w:rPr>
      </w:pPr>
      <w:r>
        <w:rPr>
          <w:color w:val="231F20"/>
          <w:sz w:val="20"/>
        </w:rPr>
        <w:t>The</w:t>
      </w:r>
      <w:r>
        <w:rPr>
          <w:color w:val="231F20"/>
          <w:spacing w:val="-6"/>
          <w:sz w:val="20"/>
        </w:rPr>
        <w:t xml:space="preserve"> </w:t>
      </w:r>
      <w:r>
        <w:rPr>
          <w:color w:val="231F20"/>
          <w:sz w:val="20"/>
        </w:rPr>
        <w:t>community</w:t>
      </w:r>
      <w:r>
        <w:rPr>
          <w:color w:val="231F20"/>
          <w:spacing w:val="-6"/>
          <w:sz w:val="20"/>
        </w:rPr>
        <w:t xml:space="preserve"> </w:t>
      </w:r>
      <w:r>
        <w:rPr>
          <w:color w:val="231F20"/>
          <w:sz w:val="20"/>
        </w:rPr>
        <w:t>legal</w:t>
      </w:r>
      <w:r>
        <w:rPr>
          <w:color w:val="231F20"/>
          <w:spacing w:val="-6"/>
          <w:sz w:val="20"/>
        </w:rPr>
        <w:t xml:space="preserve"> </w:t>
      </w:r>
      <w:r>
        <w:rPr>
          <w:color w:val="231F20"/>
          <w:sz w:val="20"/>
        </w:rPr>
        <w:t>sector</w:t>
      </w:r>
      <w:r>
        <w:rPr>
          <w:color w:val="231F20"/>
          <w:spacing w:val="-6"/>
          <w:sz w:val="20"/>
        </w:rPr>
        <w:t xml:space="preserve"> </w:t>
      </w:r>
      <w:r>
        <w:rPr>
          <w:color w:val="231F20"/>
          <w:sz w:val="20"/>
        </w:rPr>
        <w:t>emphasised</w:t>
      </w:r>
      <w:r>
        <w:rPr>
          <w:color w:val="231F20"/>
          <w:spacing w:val="-6"/>
          <w:sz w:val="20"/>
        </w:rPr>
        <w:t xml:space="preserve"> </w:t>
      </w:r>
      <w:r>
        <w:rPr>
          <w:color w:val="231F20"/>
          <w:sz w:val="20"/>
        </w:rPr>
        <w:t>that</w:t>
      </w:r>
      <w:r>
        <w:rPr>
          <w:color w:val="231F20"/>
          <w:spacing w:val="-6"/>
          <w:sz w:val="20"/>
        </w:rPr>
        <w:t xml:space="preserve"> </w:t>
      </w:r>
      <w:r>
        <w:rPr>
          <w:color w:val="231F20"/>
          <w:sz w:val="20"/>
        </w:rPr>
        <w:t>respondents</w:t>
      </w:r>
      <w:r>
        <w:rPr>
          <w:color w:val="231F20"/>
          <w:spacing w:val="-5"/>
          <w:sz w:val="20"/>
        </w:rPr>
        <w:t xml:space="preserve"> </w:t>
      </w:r>
      <w:r>
        <w:rPr>
          <w:color w:val="231F20"/>
          <w:sz w:val="20"/>
        </w:rPr>
        <w:t>to</w:t>
      </w:r>
      <w:r>
        <w:rPr>
          <w:color w:val="231F20"/>
          <w:spacing w:val="-7"/>
          <w:sz w:val="20"/>
        </w:rPr>
        <w:t xml:space="preserve"> </w:t>
      </w:r>
      <w:r>
        <w:rPr>
          <w:color w:val="231F20"/>
          <w:sz w:val="20"/>
        </w:rPr>
        <w:t>PSIOs</w:t>
      </w:r>
      <w:r>
        <w:rPr>
          <w:color w:val="231F20"/>
          <w:spacing w:val="-6"/>
          <w:sz w:val="20"/>
        </w:rPr>
        <w:t xml:space="preserve"> </w:t>
      </w:r>
      <w:r>
        <w:rPr>
          <w:color w:val="231F20"/>
          <w:spacing w:val="-3"/>
          <w:sz w:val="20"/>
        </w:rPr>
        <w:t>would</w:t>
      </w:r>
      <w:r>
        <w:rPr>
          <w:color w:val="231F20"/>
          <w:spacing w:val="-6"/>
          <w:sz w:val="20"/>
        </w:rPr>
        <w:t xml:space="preserve"> </w:t>
      </w:r>
      <w:r>
        <w:rPr>
          <w:color w:val="231F20"/>
          <w:sz w:val="20"/>
        </w:rPr>
        <w:t>be</w:t>
      </w:r>
      <w:r>
        <w:rPr>
          <w:color w:val="231F20"/>
          <w:spacing w:val="-6"/>
          <w:sz w:val="20"/>
        </w:rPr>
        <w:t xml:space="preserve"> </w:t>
      </w:r>
      <w:r>
        <w:rPr>
          <w:color w:val="231F20"/>
          <w:sz w:val="20"/>
        </w:rPr>
        <w:t>‘better</w:t>
      </w:r>
    </w:p>
    <w:p w14:paraId="14C73B52" w14:textId="77777777" w:rsidR="00894070" w:rsidRDefault="009B7AFD">
      <w:pPr>
        <w:pStyle w:val="BodyText"/>
        <w:spacing w:line="259" w:lineRule="exact"/>
        <w:ind w:left="1801"/>
        <w:rPr>
          <w:sz w:val="11"/>
        </w:rPr>
      </w:pPr>
      <w:r>
        <w:rPr>
          <w:color w:val="231F20"/>
        </w:rPr>
        <w:t>supported by early intervention services’ than court-ordered treatment.</w:t>
      </w:r>
      <w:r>
        <w:rPr>
          <w:color w:val="231F20"/>
          <w:position w:val="7"/>
          <w:sz w:val="11"/>
        </w:rPr>
        <w:t>150</w:t>
      </w:r>
    </w:p>
    <w:p w14:paraId="3A3B81C5" w14:textId="77777777" w:rsidR="00894070" w:rsidRDefault="009B7AFD">
      <w:pPr>
        <w:pStyle w:val="ListParagraph"/>
        <w:numPr>
          <w:ilvl w:val="1"/>
          <w:numId w:val="29"/>
        </w:numPr>
        <w:tabs>
          <w:tab w:val="left" w:pos="1801"/>
          <w:tab w:val="left" w:pos="1802"/>
        </w:tabs>
        <w:spacing w:before="83" w:line="259" w:lineRule="exact"/>
        <w:rPr>
          <w:sz w:val="20"/>
        </w:rPr>
      </w:pPr>
      <w:r>
        <w:rPr>
          <w:color w:val="231F20"/>
          <w:sz w:val="20"/>
        </w:rPr>
        <w:t>Organisations</w:t>
      </w:r>
      <w:r>
        <w:rPr>
          <w:color w:val="231F20"/>
          <w:spacing w:val="-6"/>
          <w:sz w:val="20"/>
        </w:rPr>
        <w:t xml:space="preserve"> </w:t>
      </w:r>
      <w:r>
        <w:rPr>
          <w:color w:val="231F20"/>
          <w:sz w:val="20"/>
        </w:rPr>
        <w:t>working</w:t>
      </w:r>
      <w:r>
        <w:rPr>
          <w:color w:val="231F20"/>
          <w:spacing w:val="-6"/>
          <w:sz w:val="20"/>
        </w:rPr>
        <w:t xml:space="preserve"> </w:t>
      </w:r>
      <w:r>
        <w:rPr>
          <w:color w:val="231F20"/>
          <w:sz w:val="20"/>
        </w:rPr>
        <w:t>with</w:t>
      </w:r>
      <w:r>
        <w:rPr>
          <w:color w:val="231F20"/>
          <w:spacing w:val="-6"/>
          <w:sz w:val="20"/>
        </w:rPr>
        <w:t xml:space="preserve"> </w:t>
      </w:r>
      <w:r>
        <w:rPr>
          <w:color w:val="231F20"/>
          <w:sz w:val="20"/>
        </w:rPr>
        <w:t>young</w:t>
      </w:r>
      <w:r>
        <w:rPr>
          <w:color w:val="231F20"/>
          <w:spacing w:val="-6"/>
          <w:sz w:val="20"/>
        </w:rPr>
        <w:t xml:space="preserve"> </w:t>
      </w:r>
      <w:r>
        <w:rPr>
          <w:color w:val="231F20"/>
          <w:sz w:val="20"/>
        </w:rPr>
        <w:t>people</w:t>
      </w:r>
      <w:r>
        <w:rPr>
          <w:color w:val="231F20"/>
          <w:spacing w:val="-6"/>
          <w:sz w:val="20"/>
        </w:rPr>
        <w:t xml:space="preserve"> </w:t>
      </w:r>
      <w:r>
        <w:rPr>
          <w:color w:val="231F20"/>
          <w:sz w:val="20"/>
        </w:rPr>
        <w:t>said</w:t>
      </w:r>
      <w:r>
        <w:rPr>
          <w:color w:val="231F20"/>
          <w:spacing w:val="-6"/>
          <w:sz w:val="20"/>
        </w:rPr>
        <w:t xml:space="preserve"> </w:t>
      </w:r>
      <w:r>
        <w:rPr>
          <w:color w:val="231F20"/>
          <w:sz w:val="20"/>
        </w:rPr>
        <w:t>that</w:t>
      </w:r>
      <w:r>
        <w:rPr>
          <w:color w:val="231F20"/>
          <w:spacing w:val="-6"/>
          <w:sz w:val="20"/>
        </w:rPr>
        <w:t xml:space="preserve"> </w:t>
      </w:r>
      <w:r>
        <w:rPr>
          <w:color w:val="231F20"/>
          <w:sz w:val="20"/>
        </w:rPr>
        <w:t>if</w:t>
      </w:r>
      <w:r>
        <w:rPr>
          <w:color w:val="231F20"/>
          <w:spacing w:val="-5"/>
          <w:sz w:val="20"/>
        </w:rPr>
        <w:t xml:space="preserve"> </w:t>
      </w:r>
      <w:r>
        <w:rPr>
          <w:color w:val="231F20"/>
          <w:sz w:val="20"/>
        </w:rPr>
        <w:t>a</w:t>
      </w:r>
      <w:r>
        <w:rPr>
          <w:color w:val="231F20"/>
          <w:spacing w:val="-6"/>
          <w:sz w:val="20"/>
        </w:rPr>
        <w:t xml:space="preserve"> </w:t>
      </w:r>
      <w:r>
        <w:rPr>
          <w:color w:val="231F20"/>
          <w:spacing w:val="-3"/>
          <w:sz w:val="20"/>
        </w:rPr>
        <w:t>court-ordered</w:t>
      </w:r>
      <w:r>
        <w:rPr>
          <w:color w:val="231F20"/>
          <w:spacing w:val="-6"/>
          <w:sz w:val="20"/>
        </w:rPr>
        <w:t xml:space="preserve"> </w:t>
      </w:r>
      <w:r>
        <w:rPr>
          <w:color w:val="231F20"/>
          <w:sz w:val="20"/>
        </w:rPr>
        <w:t>therapeutic</w:t>
      </w:r>
      <w:r>
        <w:rPr>
          <w:color w:val="231F20"/>
          <w:spacing w:val="-6"/>
          <w:sz w:val="20"/>
        </w:rPr>
        <w:t xml:space="preserve"> </w:t>
      </w:r>
      <w:r>
        <w:rPr>
          <w:color w:val="231F20"/>
          <w:sz w:val="20"/>
        </w:rPr>
        <w:t>order</w:t>
      </w:r>
    </w:p>
    <w:p w14:paraId="17EE3943" w14:textId="77777777" w:rsidR="00894070" w:rsidRDefault="009B7AFD">
      <w:pPr>
        <w:pStyle w:val="BodyText"/>
        <w:spacing w:line="259" w:lineRule="exact"/>
        <w:ind w:left="1801"/>
        <w:rPr>
          <w:sz w:val="11"/>
        </w:rPr>
      </w:pPr>
      <w:r>
        <w:rPr>
          <w:color w:val="231F20"/>
        </w:rPr>
        <w:t>is needed, that is a sign that ‘we are not intervening early enough’.</w:t>
      </w:r>
      <w:r>
        <w:rPr>
          <w:color w:val="231F20"/>
          <w:position w:val="7"/>
          <w:sz w:val="11"/>
        </w:rPr>
        <w:t>151</w:t>
      </w:r>
    </w:p>
    <w:p w14:paraId="291778E3" w14:textId="77777777" w:rsidR="00894070" w:rsidRDefault="009B7AFD">
      <w:pPr>
        <w:pStyle w:val="ListParagraph"/>
        <w:numPr>
          <w:ilvl w:val="1"/>
          <w:numId w:val="29"/>
        </w:numPr>
        <w:tabs>
          <w:tab w:val="left" w:pos="1801"/>
          <w:tab w:val="left" w:pos="1802"/>
        </w:tabs>
        <w:spacing w:before="115" w:line="206" w:lineRule="auto"/>
        <w:ind w:right="1401"/>
        <w:rPr>
          <w:sz w:val="20"/>
        </w:rPr>
      </w:pPr>
      <w:r>
        <w:rPr>
          <w:color w:val="231F20"/>
          <w:spacing w:val="-6"/>
          <w:sz w:val="20"/>
        </w:rPr>
        <w:t>We</w:t>
      </w:r>
      <w:r>
        <w:rPr>
          <w:color w:val="231F20"/>
          <w:spacing w:val="-11"/>
          <w:sz w:val="20"/>
        </w:rPr>
        <w:t xml:space="preserve"> </w:t>
      </w:r>
      <w:r>
        <w:rPr>
          <w:color w:val="231F20"/>
          <w:sz w:val="20"/>
        </w:rPr>
        <w:t>acknowledge</w:t>
      </w:r>
      <w:r>
        <w:rPr>
          <w:color w:val="231F20"/>
          <w:spacing w:val="-11"/>
          <w:sz w:val="20"/>
        </w:rPr>
        <w:t xml:space="preserve"> </w:t>
      </w:r>
      <w:r>
        <w:rPr>
          <w:color w:val="231F20"/>
          <w:sz w:val="20"/>
        </w:rPr>
        <w:t>the</w:t>
      </w:r>
      <w:r>
        <w:rPr>
          <w:color w:val="231F20"/>
          <w:spacing w:val="-11"/>
          <w:sz w:val="20"/>
        </w:rPr>
        <w:t xml:space="preserve"> </w:t>
      </w:r>
      <w:r>
        <w:rPr>
          <w:color w:val="231F20"/>
          <w:sz w:val="20"/>
        </w:rPr>
        <w:t>lack</w:t>
      </w:r>
      <w:r>
        <w:rPr>
          <w:color w:val="231F20"/>
          <w:spacing w:val="-10"/>
          <w:sz w:val="20"/>
        </w:rPr>
        <w:t xml:space="preserve"> </w:t>
      </w:r>
      <w:r>
        <w:rPr>
          <w:color w:val="231F20"/>
          <w:sz w:val="20"/>
        </w:rPr>
        <w:t>of</w:t>
      </w:r>
      <w:r>
        <w:rPr>
          <w:color w:val="231F20"/>
          <w:spacing w:val="-11"/>
          <w:sz w:val="20"/>
        </w:rPr>
        <w:t xml:space="preserve"> </w:t>
      </w:r>
      <w:r>
        <w:rPr>
          <w:color w:val="231F20"/>
          <w:sz w:val="20"/>
        </w:rPr>
        <w:t>evidence</w:t>
      </w:r>
      <w:r>
        <w:rPr>
          <w:color w:val="231F20"/>
          <w:spacing w:val="-11"/>
          <w:sz w:val="20"/>
        </w:rPr>
        <w:t xml:space="preserve"> </w:t>
      </w:r>
      <w:r>
        <w:rPr>
          <w:color w:val="231F20"/>
          <w:sz w:val="20"/>
        </w:rPr>
        <w:t>on</w:t>
      </w:r>
      <w:r>
        <w:rPr>
          <w:color w:val="231F20"/>
          <w:spacing w:val="-10"/>
          <w:sz w:val="20"/>
        </w:rPr>
        <w:t xml:space="preserve"> </w:t>
      </w:r>
      <w:r>
        <w:rPr>
          <w:color w:val="231F20"/>
          <w:sz w:val="20"/>
        </w:rPr>
        <w:t>the</w:t>
      </w:r>
      <w:r>
        <w:rPr>
          <w:color w:val="231F20"/>
          <w:spacing w:val="-11"/>
          <w:sz w:val="20"/>
        </w:rPr>
        <w:t xml:space="preserve"> </w:t>
      </w:r>
      <w:r>
        <w:rPr>
          <w:color w:val="231F20"/>
          <w:sz w:val="20"/>
        </w:rPr>
        <w:t>effectiveness</w:t>
      </w:r>
      <w:r>
        <w:rPr>
          <w:color w:val="231F20"/>
          <w:spacing w:val="-11"/>
          <w:sz w:val="20"/>
        </w:rPr>
        <w:t xml:space="preserve"> </w:t>
      </w:r>
      <w:r>
        <w:rPr>
          <w:color w:val="231F20"/>
          <w:sz w:val="20"/>
        </w:rPr>
        <w:t>of</w:t>
      </w:r>
      <w:r>
        <w:rPr>
          <w:color w:val="231F20"/>
          <w:spacing w:val="-11"/>
          <w:sz w:val="20"/>
        </w:rPr>
        <w:t xml:space="preserve"> </w:t>
      </w:r>
      <w:r>
        <w:rPr>
          <w:color w:val="231F20"/>
          <w:spacing w:val="-3"/>
          <w:sz w:val="20"/>
        </w:rPr>
        <w:t>treatment</w:t>
      </w:r>
      <w:r>
        <w:rPr>
          <w:color w:val="231F20"/>
          <w:spacing w:val="-10"/>
          <w:sz w:val="20"/>
        </w:rPr>
        <w:t xml:space="preserve"> </w:t>
      </w:r>
      <w:r>
        <w:rPr>
          <w:color w:val="231F20"/>
          <w:spacing w:val="-3"/>
          <w:sz w:val="20"/>
        </w:rPr>
        <w:t>for</w:t>
      </w:r>
      <w:r>
        <w:rPr>
          <w:color w:val="231F20"/>
          <w:spacing w:val="-11"/>
          <w:sz w:val="20"/>
        </w:rPr>
        <w:t xml:space="preserve"> </w:t>
      </w:r>
      <w:r>
        <w:rPr>
          <w:color w:val="231F20"/>
          <w:sz w:val="20"/>
        </w:rPr>
        <w:t xml:space="preserve">stalking. </w:t>
      </w:r>
      <w:r>
        <w:rPr>
          <w:color w:val="231F20"/>
          <w:spacing w:val="-6"/>
          <w:sz w:val="20"/>
        </w:rPr>
        <w:t xml:space="preserve">We </w:t>
      </w:r>
      <w:r>
        <w:rPr>
          <w:color w:val="231F20"/>
          <w:sz w:val="20"/>
        </w:rPr>
        <w:t xml:space="preserve">consider that compelling </w:t>
      </w:r>
      <w:r>
        <w:rPr>
          <w:color w:val="231F20"/>
          <w:spacing w:val="-3"/>
          <w:sz w:val="20"/>
        </w:rPr>
        <w:t xml:space="preserve">treatment </w:t>
      </w:r>
      <w:r>
        <w:rPr>
          <w:color w:val="231F20"/>
          <w:sz w:val="20"/>
        </w:rPr>
        <w:t xml:space="preserve">in a civil </w:t>
      </w:r>
      <w:r>
        <w:rPr>
          <w:color w:val="231F20"/>
          <w:spacing w:val="-3"/>
          <w:sz w:val="20"/>
        </w:rPr>
        <w:t xml:space="preserve">context </w:t>
      </w:r>
      <w:r>
        <w:rPr>
          <w:color w:val="231F20"/>
          <w:sz w:val="20"/>
        </w:rPr>
        <w:t>cannot be justified based on</w:t>
      </w:r>
      <w:r>
        <w:rPr>
          <w:color w:val="231F20"/>
          <w:spacing w:val="-6"/>
          <w:sz w:val="20"/>
        </w:rPr>
        <w:t xml:space="preserve"> </w:t>
      </w:r>
      <w:r>
        <w:rPr>
          <w:color w:val="231F20"/>
          <w:spacing w:val="-3"/>
          <w:sz w:val="20"/>
        </w:rPr>
        <w:t>current</w:t>
      </w:r>
      <w:r>
        <w:rPr>
          <w:color w:val="231F20"/>
          <w:spacing w:val="-6"/>
          <w:sz w:val="20"/>
        </w:rPr>
        <w:t xml:space="preserve"> </w:t>
      </w:r>
      <w:r>
        <w:rPr>
          <w:color w:val="231F20"/>
          <w:spacing w:val="-3"/>
          <w:sz w:val="20"/>
        </w:rPr>
        <w:t>research</w:t>
      </w:r>
      <w:r>
        <w:rPr>
          <w:color w:val="231F20"/>
          <w:spacing w:val="-5"/>
          <w:sz w:val="20"/>
        </w:rPr>
        <w:t xml:space="preserve"> </w:t>
      </w:r>
      <w:r>
        <w:rPr>
          <w:color w:val="231F20"/>
          <w:sz w:val="20"/>
        </w:rPr>
        <w:t>and</w:t>
      </w:r>
      <w:r>
        <w:rPr>
          <w:color w:val="231F20"/>
          <w:spacing w:val="-6"/>
          <w:sz w:val="20"/>
        </w:rPr>
        <w:t xml:space="preserve"> </w:t>
      </w:r>
      <w:r>
        <w:rPr>
          <w:color w:val="231F20"/>
          <w:sz w:val="20"/>
        </w:rPr>
        <w:t>the</w:t>
      </w:r>
      <w:r>
        <w:rPr>
          <w:color w:val="231F20"/>
          <w:spacing w:val="-5"/>
          <w:sz w:val="20"/>
        </w:rPr>
        <w:t xml:space="preserve"> </w:t>
      </w:r>
      <w:r>
        <w:rPr>
          <w:color w:val="231F20"/>
          <w:spacing w:val="-3"/>
          <w:sz w:val="20"/>
        </w:rPr>
        <w:t>treatment</w:t>
      </w:r>
      <w:r>
        <w:rPr>
          <w:color w:val="231F20"/>
          <w:spacing w:val="-6"/>
          <w:sz w:val="20"/>
        </w:rPr>
        <w:t xml:space="preserve"> </w:t>
      </w:r>
      <w:r>
        <w:rPr>
          <w:color w:val="231F20"/>
          <w:sz w:val="20"/>
        </w:rPr>
        <w:t>programs</w:t>
      </w:r>
      <w:r>
        <w:rPr>
          <w:color w:val="231F20"/>
          <w:spacing w:val="-6"/>
          <w:sz w:val="20"/>
        </w:rPr>
        <w:t xml:space="preserve"> </w:t>
      </w:r>
      <w:r>
        <w:rPr>
          <w:color w:val="231F20"/>
          <w:spacing w:val="-3"/>
          <w:sz w:val="20"/>
        </w:rPr>
        <w:t>available.</w:t>
      </w:r>
      <w:r>
        <w:rPr>
          <w:color w:val="231F20"/>
          <w:spacing w:val="-5"/>
          <w:sz w:val="20"/>
        </w:rPr>
        <w:t xml:space="preserve"> </w:t>
      </w:r>
      <w:r>
        <w:rPr>
          <w:color w:val="231F20"/>
          <w:sz w:val="20"/>
        </w:rPr>
        <w:t>In</w:t>
      </w:r>
      <w:r>
        <w:rPr>
          <w:color w:val="231F20"/>
          <w:spacing w:val="-6"/>
          <w:sz w:val="20"/>
        </w:rPr>
        <w:t xml:space="preserve"> </w:t>
      </w:r>
      <w:r>
        <w:rPr>
          <w:color w:val="231F20"/>
          <w:sz w:val="20"/>
        </w:rPr>
        <w:t>the</w:t>
      </w:r>
      <w:r>
        <w:rPr>
          <w:color w:val="231F20"/>
          <w:spacing w:val="-5"/>
          <w:sz w:val="20"/>
        </w:rPr>
        <w:t xml:space="preserve"> </w:t>
      </w:r>
      <w:r>
        <w:rPr>
          <w:color w:val="231F20"/>
          <w:sz w:val="20"/>
        </w:rPr>
        <w:t>absence</w:t>
      </w:r>
      <w:r>
        <w:rPr>
          <w:color w:val="231F20"/>
          <w:spacing w:val="-6"/>
          <w:sz w:val="20"/>
        </w:rPr>
        <w:t xml:space="preserve"> </w:t>
      </w:r>
      <w:r>
        <w:rPr>
          <w:color w:val="231F20"/>
          <w:sz w:val="20"/>
        </w:rPr>
        <w:t>of</w:t>
      </w:r>
      <w:r>
        <w:rPr>
          <w:color w:val="231F20"/>
          <w:spacing w:val="-5"/>
          <w:sz w:val="20"/>
        </w:rPr>
        <w:t xml:space="preserve"> </w:t>
      </w:r>
      <w:r>
        <w:rPr>
          <w:color w:val="231F20"/>
          <w:sz w:val="20"/>
        </w:rPr>
        <w:t>a</w:t>
      </w:r>
      <w:r>
        <w:rPr>
          <w:color w:val="231F20"/>
          <w:spacing w:val="-6"/>
          <w:sz w:val="20"/>
        </w:rPr>
        <w:t xml:space="preserve"> </w:t>
      </w:r>
      <w:r>
        <w:rPr>
          <w:color w:val="231F20"/>
          <w:sz w:val="20"/>
        </w:rPr>
        <w:t xml:space="preserve">strong evidence base, the immediate </w:t>
      </w:r>
      <w:r>
        <w:rPr>
          <w:color w:val="231F20"/>
          <w:spacing w:val="-3"/>
          <w:sz w:val="20"/>
        </w:rPr>
        <w:t xml:space="preserve">focus </w:t>
      </w:r>
      <w:r>
        <w:rPr>
          <w:color w:val="231F20"/>
          <w:sz w:val="20"/>
        </w:rPr>
        <w:t>should be on connecting people who stalk to services,</w:t>
      </w:r>
      <w:r>
        <w:rPr>
          <w:color w:val="231F20"/>
          <w:spacing w:val="-7"/>
          <w:sz w:val="20"/>
        </w:rPr>
        <w:t xml:space="preserve"> </w:t>
      </w:r>
      <w:r>
        <w:rPr>
          <w:color w:val="231F20"/>
          <w:sz w:val="20"/>
        </w:rPr>
        <w:t>which</w:t>
      </w:r>
      <w:r>
        <w:rPr>
          <w:color w:val="231F20"/>
          <w:spacing w:val="-6"/>
          <w:sz w:val="20"/>
        </w:rPr>
        <w:t xml:space="preserve"> </w:t>
      </w:r>
      <w:r>
        <w:rPr>
          <w:color w:val="231F20"/>
          <w:spacing w:val="-3"/>
          <w:sz w:val="20"/>
        </w:rPr>
        <w:t>we</w:t>
      </w:r>
      <w:r>
        <w:rPr>
          <w:color w:val="231F20"/>
          <w:spacing w:val="-6"/>
          <w:sz w:val="20"/>
        </w:rPr>
        <w:t xml:space="preserve"> </w:t>
      </w:r>
      <w:r>
        <w:rPr>
          <w:color w:val="231F20"/>
          <w:sz w:val="20"/>
        </w:rPr>
        <w:t>recommend</w:t>
      </w:r>
      <w:r>
        <w:rPr>
          <w:color w:val="231F20"/>
          <w:spacing w:val="-6"/>
          <w:sz w:val="20"/>
        </w:rPr>
        <w:t xml:space="preserve"> </w:t>
      </w:r>
      <w:r>
        <w:rPr>
          <w:color w:val="231F20"/>
          <w:sz w:val="20"/>
        </w:rPr>
        <w:t>as</w:t>
      </w:r>
      <w:r>
        <w:rPr>
          <w:color w:val="231F20"/>
          <w:spacing w:val="-6"/>
          <w:sz w:val="20"/>
        </w:rPr>
        <w:t xml:space="preserve"> </w:t>
      </w:r>
      <w:r>
        <w:rPr>
          <w:color w:val="231F20"/>
          <w:sz w:val="20"/>
        </w:rPr>
        <w:t>part</w:t>
      </w:r>
      <w:r>
        <w:rPr>
          <w:color w:val="231F20"/>
          <w:spacing w:val="-7"/>
          <w:sz w:val="20"/>
        </w:rPr>
        <w:t xml:space="preserve"> </w:t>
      </w:r>
      <w:r>
        <w:rPr>
          <w:color w:val="231F20"/>
          <w:sz w:val="20"/>
        </w:rPr>
        <w:t>of</w:t>
      </w:r>
      <w:r>
        <w:rPr>
          <w:color w:val="231F20"/>
          <w:spacing w:val="-6"/>
          <w:sz w:val="20"/>
        </w:rPr>
        <w:t xml:space="preserve"> </w:t>
      </w:r>
      <w:r>
        <w:rPr>
          <w:color w:val="231F20"/>
          <w:sz w:val="20"/>
        </w:rPr>
        <w:t>our</w:t>
      </w:r>
      <w:r>
        <w:rPr>
          <w:color w:val="231F20"/>
          <w:spacing w:val="-6"/>
          <w:sz w:val="20"/>
        </w:rPr>
        <w:t xml:space="preserve"> </w:t>
      </w:r>
      <w:r>
        <w:rPr>
          <w:color w:val="231F20"/>
          <w:spacing w:val="-3"/>
          <w:sz w:val="20"/>
        </w:rPr>
        <w:t>coordinated</w:t>
      </w:r>
      <w:r>
        <w:rPr>
          <w:color w:val="231F20"/>
          <w:spacing w:val="-6"/>
          <w:sz w:val="20"/>
        </w:rPr>
        <w:t xml:space="preserve"> </w:t>
      </w:r>
      <w:r>
        <w:rPr>
          <w:color w:val="231F20"/>
          <w:sz w:val="20"/>
        </w:rPr>
        <w:t>response</w:t>
      </w:r>
      <w:r>
        <w:rPr>
          <w:color w:val="231F20"/>
          <w:spacing w:val="-6"/>
          <w:sz w:val="20"/>
        </w:rPr>
        <w:t xml:space="preserve"> </w:t>
      </w:r>
      <w:r>
        <w:rPr>
          <w:color w:val="231F20"/>
          <w:sz w:val="20"/>
        </w:rPr>
        <w:t>to</w:t>
      </w:r>
      <w:r>
        <w:rPr>
          <w:color w:val="231F20"/>
          <w:spacing w:val="-7"/>
          <w:sz w:val="20"/>
        </w:rPr>
        <w:t xml:space="preserve"> </w:t>
      </w:r>
      <w:r>
        <w:rPr>
          <w:color w:val="231F20"/>
          <w:sz w:val="20"/>
        </w:rPr>
        <w:t>stalking.</w:t>
      </w:r>
    </w:p>
    <w:p w14:paraId="04856320" w14:textId="77777777" w:rsidR="00894070" w:rsidRDefault="009B7AFD">
      <w:pPr>
        <w:pStyle w:val="ListParagraph"/>
        <w:numPr>
          <w:ilvl w:val="1"/>
          <w:numId w:val="29"/>
        </w:numPr>
        <w:tabs>
          <w:tab w:val="left" w:pos="1801"/>
          <w:tab w:val="left" w:pos="1802"/>
        </w:tabs>
        <w:spacing w:before="126" w:line="206" w:lineRule="auto"/>
        <w:ind w:right="1505"/>
        <w:rPr>
          <w:sz w:val="20"/>
        </w:rPr>
      </w:pPr>
      <w:r>
        <w:rPr>
          <w:color w:val="231F20"/>
          <w:spacing w:val="-5"/>
          <w:sz w:val="20"/>
        </w:rPr>
        <w:t xml:space="preserve">However, </w:t>
      </w:r>
      <w:r>
        <w:rPr>
          <w:color w:val="231F20"/>
          <w:sz w:val="20"/>
        </w:rPr>
        <w:t xml:space="preserve">as a </w:t>
      </w:r>
      <w:r>
        <w:rPr>
          <w:color w:val="231F20"/>
          <w:spacing w:val="-2"/>
          <w:sz w:val="20"/>
        </w:rPr>
        <w:t xml:space="preserve">matter </w:t>
      </w:r>
      <w:r>
        <w:rPr>
          <w:color w:val="231F20"/>
          <w:sz w:val="20"/>
        </w:rPr>
        <w:t xml:space="preserve">of principle, </w:t>
      </w:r>
      <w:r>
        <w:rPr>
          <w:color w:val="231F20"/>
          <w:spacing w:val="-3"/>
          <w:sz w:val="20"/>
        </w:rPr>
        <w:t xml:space="preserve">problem-solving </w:t>
      </w:r>
      <w:r>
        <w:rPr>
          <w:color w:val="231F20"/>
          <w:sz w:val="20"/>
        </w:rPr>
        <w:t xml:space="preserve">approaches in the court </w:t>
      </w:r>
      <w:r>
        <w:rPr>
          <w:color w:val="231F20"/>
          <w:spacing w:val="-2"/>
          <w:sz w:val="20"/>
        </w:rPr>
        <w:t xml:space="preserve">system </w:t>
      </w:r>
      <w:r>
        <w:rPr>
          <w:color w:val="231F20"/>
          <w:sz w:val="20"/>
        </w:rPr>
        <w:t xml:space="preserve">should be strengthened. </w:t>
      </w:r>
      <w:r>
        <w:rPr>
          <w:color w:val="231F20"/>
          <w:spacing w:val="-3"/>
          <w:sz w:val="20"/>
        </w:rPr>
        <w:t xml:space="preserve">Problem-solving </w:t>
      </w:r>
      <w:r>
        <w:rPr>
          <w:color w:val="231F20"/>
          <w:sz w:val="20"/>
        </w:rPr>
        <w:t>approaches seek to combine a justice response</w:t>
      </w:r>
      <w:r>
        <w:rPr>
          <w:color w:val="231F20"/>
          <w:spacing w:val="-14"/>
          <w:sz w:val="20"/>
        </w:rPr>
        <w:t xml:space="preserve"> </w:t>
      </w:r>
      <w:r>
        <w:rPr>
          <w:color w:val="231F20"/>
          <w:sz w:val="20"/>
        </w:rPr>
        <w:t>with</w:t>
      </w:r>
      <w:r>
        <w:rPr>
          <w:color w:val="231F20"/>
          <w:spacing w:val="-14"/>
          <w:sz w:val="20"/>
        </w:rPr>
        <w:t xml:space="preserve"> </w:t>
      </w:r>
      <w:r>
        <w:rPr>
          <w:color w:val="231F20"/>
          <w:sz w:val="20"/>
        </w:rPr>
        <w:t>a</w:t>
      </w:r>
      <w:r>
        <w:rPr>
          <w:color w:val="231F20"/>
          <w:spacing w:val="-14"/>
          <w:sz w:val="20"/>
        </w:rPr>
        <w:t xml:space="preserve"> </w:t>
      </w:r>
      <w:r>
        <w:rPr>
          <w:color w:val="231F20"/>
          <w:sz w:val="20"/>
        </w:rPr>
        <w:t>therapeutic</w:t>
      </w:r>
      <w:r>
        <w:rPr>
          <w:color w:val="231F20"/>
          <w:spacing w:val="-14"/>
          <w:sz w:val="20"/>
        </w:rPr>
        <w:t xml:space="preserve"> </w:t>
      </w:r>
      <w:r>
        <w:rPr>
          <w:color w:val="231F20"/>
          <w:sz w:val="20"/>
        </w:rPr>
        <w:t>response</w:t>
      </w:r>
      <w:r>
        <w:rPr>
          <w:color w:val="231F20"/>
          <w:spacing w:val="-14"/>
          <w:sz w:val="20"/>
        </w:rPr>
        <w:t xml:space="preserve"> </w:t>
      </w:r>
      <w:r>
        <w:rPr>
          <w:color w:val="231F20"/>
          <w:sz w:val="20"/>
        </w:rPr>
        <w:t>to</w:t>
      </w:r>
      <w:r>
        <w:rPr>
          <w:color w:val="231F20"/>
          <w:spacing w:val="-13"/>
          <w:sz w:val="20"/>
        </w:rPr>
        <w:t xml:space="preserve"> </w:t>
      </w:r>
      <w:r>
        <w:rPr>
          <w:color w:val="231F20"/>
          <w:sz w:val="20"/>
        </w:rPr>
        <w:t>address</w:t>
      </w:r>
      <w:r>
        <w:rPr>
          <w:color w:val="231F20"/>
          <w:spacing w:val="-14"/>
          <w:sz w:val="20"/>
        </w:rPr>
        <w:t xml:space="preserve"> </w:t>
      </w:r>
      <w:r>
        <w:rPr>
          <w:color w:val="231F20"/>
          <w:sz w:val="20"/>
        </w:rPr>
        <w:t>the</w:t>
      </w:r>
      <w:r>
        <w:rPr>
          <w:color w:val="231F20"/>
          <w:spacing w:val="-14"/>
          <w:sz w:val="20"/>
        </w:rPr>
        <w:t xml:space="preserve"> </w:t>
      </w:r>
      <w:r>
        <w:rPr>
          <w:color w:val="231F20"/>
          <w:sz w:val="20"/>
        </w:rPr>
        <w:t>drivers</w:t>
      </w:r>
      <w:r>
        <w:rPr>
          <w:color w:val="231F20"/>
          <w:spacing w:val="-14"/>
          <w:sz w:val="20"/>
        </w:rPr>
        <w:t xml:space="preserve"> </w:t>
      </w:r>
      <w:r>
        <w:rPr>
          <w:color w:val="231F20"/>
          <w:sz w:val="20"/>
        </w:rPr>
        <w:t>of</w:t>
      </w:r>
      <w:r>
        <w:rPr>
          <w:color w:val="231F20"/>
          <w:spacing w:val="-14"/>
          <w:sz w:val="20"/>
        </w:rPr>
        <w:t xml:space="preserve"> </w:t>
      </w:r>
      <w:r>
        <w:rPr>
          <w:color w:val="231F20"/>
          <w:sz w:val="20"/>
        </w:rPr>
        <w:t>offending.</w:t>
      </w:r>
      <w:r>
        <w:rPr>
          <w:color w:val="231F20"/>
          <w:spacing w:val="-13"/>
          <w:sz w:val="20"/>
        </w:rPr>
        <w:t xml:space="preserve"> </w:t>
      </w:r>
      <w:r>
        <w:rPr>
          <w:color w:val="231F20"/>
          <w:sz w:val="20"/>
        </w:rPr>
        <w:t>Stalking</w:t>
      </w:r>
      <w:r>
        <w:rPr>
          <w:color w:val="231F20"/>
          <w:spacing w:val="-14"/>
          <w:sz w:val="20"/>
        </w:rPr>
        <w:t xml:space="preserve"> </w:t>
      </w:r>
      <w:r>
        <w:rPr>
          <w:color w:val="231F20"/>
          <w:sz w:val="20"/>
        </w:rPr>
        <w:t>is the</w:t>
      </w:r>
      <w:r>
        <w:rPr>
          <w:color w:val="231F20"/>
          <w:spacing w:val="-7"/>
          <w:sz w:val="20"/>
        </w:rPr>
        <w:t xml:space="preserve"> </w:t>
      </w:r>
      <w:r>
        <w:rPr>
          <w:color w:val="231F20"/>
          <w:sz w:val="20"/>
        </w:rPr>
        <w:t>kind</w:t>
      </w:r>
      <w:r>
        <w:rPr>
          <w:color w:val="231F20"/>
          <w:spacing w:val="-7"/>
          <w:sz w:val="20"/>
        </w:rPr>
        <w:t xml:space="preserve"> </w:t>
      </w:r>
      <w:r>
        <w:rPr>
          <w:color w:val="231F20"/>
          <w:sz w:val="20"/>
        </w:rPr>
        <w:t>of</w:t>
      </w:r>
      <w:r>
        <w:rPr>
          <w:color w:val="231F20"/>
          <w:spacing w:val="-6"/>
          <w:sz w:val="20"/>
        </w:rPr>
        <w:t xml:space="preserve"> </w:t>
      </w:r>
      <w:r>
        <w:rPr>
          <w:color w:val="231F20"/>
          <w:sz w:val="20"/>
        </w:rPr>
        <w:t>offending</w:t>
      </w:r>
      <w:r>
        <w:rPr>
          <w:color w:val="231F20"/>
          <w:spacing w:val="-7"/>
          <w:sz w:val="20"/>
        </w:rPr>
        <w:t xml:space="preserve"> </w:t>
      </w:r>
      <w:r>
        <w:rPr>
          <w:color w:val="231F20"/>
          <w:sz w:val="20"/>
        </w:rPr>
        <w:t>that</w:t>
      </w:r>
      <w:r>
        <w:rPr>
          <w:color w:val="231F20"/>
          <w:spacing w:val="-7"/>
          <w:sz w:val="20"/>
        </w:rPr>
        <w:t xml:space="preserve"> </w:t>
      </w:r>
      <w:r>
        <w:rPr>
          <w:color w:val="231F20"/>
          <w:sz w:val="20"/>
        </w:rPr>
        <w:t>could</w:t>
      </w:r>
      <w:r>
        <w:rPr>
          <w:color w:val="231F20"/>
          <w:spacing w:val="-6"/>
          <w:sz w:val="20"/>
        </w:rPr>
        <w:t xml:space="preserve"> </w:t>
      </w:r>
      <w:r>
        <w:rPr>
          <w:color w:val="231F20"/>
          <w:sz w:val="20"/>
        </w:rPr>
        <w:t>be</w:t>
      </w:r>
      <w:r>
        <w:rPr>
          <w:color w:val="231F20"/>
          <w:spacing w:val="-7"/>
          <w:sz w:val="20"/>
        </w:rPr>
        <w:t xml:space="preserve"> </w:t>
      </w:r>
      <w:r>
        <w:rPr>
          <w:color w:val="231F20"/>
          <w:sz w:val="20"/>
        </w:rPr>
        <w:t>suitable</w:t>
      </w:r>
      <w:r>
        <w:rPr>
          <w:color w:val="231F20"/>
          <w:spacing w:val="-7"/>
          <w:sz w:val="20"/>
        </w:rPr>
        <w:t xml:space="preserve"> </w:t>
      </w:r>
      <w:r>
        <w:rPr>
          <w:color w:val="231F20"/>
          <w:spacing w:val="-3"/>
          <w:sz w:val="20"/>
        </w:rPr>
        <w:t>for</w:t>
      </w:r>
      <w:r>
        <w:rPr>
          <w:color w:val="231F20"/>
          <w:spacing w:val="-6"/>
          <w:sz w:val="20"/>
        </w:rPr>
        <w:t xml:space="preserve"> </w:t>
      </w:r>
      <w:r>
        <w:rPr>
          <w:color w:val="231F20"/>
          <w:sz w:val="20"/>
        </w:rPr>
        <w:t>a</w:t>
      </w:r>
      <w:r>
        <w:rPr>
          <w:color w:val="231F20"/>
          <w:spacing w:val="-7"/>
          <w:sz w:val="20"/>
        </w:rPr>
        <w:t xml:space="preserve"> </w:t>
      </w:r>
      <w:r>
        <w:rPr>
          <w:color w:val="231F20"/>
          <w:spacing w:val="-3"/>
          <w:sz w:val="20"/>
        </w:rPr>
        <w:t>problem-solving</w:t>
      </w:r>
      <w:r>
        <w:rPr>
          <w:color w:val="231F20"/>
          <w:spacing w:val="-6"/>
          <w:sz w:val="20"/>
        </w:rPr>
        <w:t xml:space="preserve"> </w:t>
      </w:r>
      <w:r>
        <w:rPr>
          <w:color w:val="231F20"/>
          <w:sz w:val="20"/>
        </w:rPr>
        <w:t>approach.</w:t>
      </w:r>
    </w:p>
    <w:p w14:paraId="0C38811E" w14:textId="77777777" w:rsidR="00894070" w:rsidRDefault="009B7AFD">
      <w:pPr>
        <w:pStyle w:val="ListParagraph"/>
        <w:numPr>
          <w:ilvl w:val="1"/>
          <w:numId w:val="29"/>
        </w:numPr>
        <w:tabs>
          <w:tab w:val="left" w:pos="1801"/>
          <w:tab w:val="left" w:pos="1802"/>
        </w:tabs>
        <w:spacing w:before="125" w:line="206" w:lineRule="auto"/>
        <w:ind w:right="1460"/>
        <w:rPr>
          <w:sz w:val="20"/>
        </w:rPr>
      </w:pPr>
      <w:r>
        <w:rPr>
          <w:color w:val="231F20"/>
          <w:sz w:val="20"/>
        </w:rPr>
        <w:t>If</w:t>
      </w:r>
      <w:r>
        <w:rPr>
          <w:color w:val="231F20"/>
          <w:spacing w:val="-8"/>
          <w:sz w:val="20"/>
        </w:rPr>
        <w:t xml:space="preserve"> </w:t>
      </w:r>
      <w:r>
        <w:rPr>
          <w:color w:val="231F20"/>
          <w:sz w:val="20"/>
        </w:rPr>
        <w:t>sufficient</w:t>
      </w:r>
      <w:r>
        <w:rPr>
          <w:color w:val="231F20"/>
          <w:spacing w:val="-8"/>
          <w:sz w:val="20"/>
        </w:rPr>
        <w:t xml:space="preserve"> </w:t>
      </w:r>
      <w:r>
        <w:rPr>
          <w:color w:val="231F20"/>
          <w:spacing w:val="-3"/>
          <w:sz w:val="20"/>
        </w:rPr>
        <w:t>research</w:t>
      </w:r>
      <w:r>
        <w:rPr>
          <w:color w:val="231F20"/>
          <w:spacing w:val="-8"/>
          <w:sz w:val="20"/>
        </w:rPr>
        <w:t xml:space="preserve"> </w:t>
      </w:r>
      <w:r>
        <w:rPr>
          <w:color w:val="231F20"/>
          <w:sz w:val="20"/>
        </w:rPr>
        <w:t>is</w:t>
      </w:r>
      <w:r>
        <w:rPr>
          <w:color w:val="231F20"/>
          <w:spacing w:val="-8"/>
          <w:sz w:val="20"/>
        </w:rPr>
        <w:t xml:space="preserve"> </w:t>
      </w:r>
      <w:r>
        <w:rPr>
          <w:color w:val="231F20"/>
          <w:sz w:val="20"/>
        </w:rPr>
        <w:t>undertaken</w:t>
      </w:r>
      <w:r>
        <w:rPr>
          <w:color w:val="231F20"/>
          <w:spacing w:val="-8"/>
          <w:sz w:val="20"/>
        </w:rPr>
        <w:t xml:space="preserve"> </w:t>
      </w:r>
      <w:r>
        <w:rPr>
          <w:color w:val="231F20"/>
          <w:sz w:val="20"/>
        </w:rPr>
        <w:t>and</w:t>
      </w:r>
      <w:r>
        <w:rPr>
          <w:color w:val="231F20"/>
          <w:spacing w:val="-8"/>
          <w:sz w:val="20"/>
        </w:rPr>
        <w:t xml:space="preserve"> </w:t>
      </w:r>
      <w:r>
        <w:rPr>
          <w:color w:val="231F20"/>
          <w:sz w:val="20"/>
        </w:rPr>
        <w:t>the</w:t>
      </w:r>
      <w:r>
        <w:rPr>
          <w:color w:val="231F20"/>
          <w:spacing w:val="-7"/>
          <w:sz w:val="20"/>
        </w:rPr>
        <w:t xml:space="preserve"> </w:t>
      </w:r>
      <w:r>
        <w:rPr>
          <w:color w:val="231F20"/>
          <w:spacing w:val="-3"/>
          <w:sz w:val="20"/>
        </w:rPr>
        <w:t>treatment</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stalking</w:t>
      </w:r>
      <w:r>
        <w:rPr>
          <w:color w:val="231F20"/>
          <w:spacing w:val="-8"/>
          <w:sz w:val="20"/>
        </w:rPr>
        <w:t xml:space="preserve"> </w:t>
      </w:r>
      <w:r>
        <w:rPr>
          <w:color w:val="231F20"/>
          <w:sz w:val="20"/>
        </w:rPr>
        <w:t>is</w:t>
      </w:r>
      <w:r>
        <w:rPr>
          <w:color w:val="231F20"/>
          <w:spacing w:val="-8"/>
          <w:sz w:val="20"/>
        </w:rPr>
        <w:t xml:space="preserve"> </w:t>
      </w:r>
      <w:r>
        <w:rPr>
          <w:color w:val="231F20"/>
          <w:spacing w:val="-3"/>
          <w:sz w:val="20"/>
        </w:rPr>
        <w:t>developed</w:t>
      </w:r>
      <w:r>
        <w:rPr>
          <w:color w:val="231F20"/>
          <w:spacing w:val="-8"/>
          <w:sz w:val="20"/>
        </w:rPr>
        <w:t xml:space="preserve"> </w:t>
      </w:r>
      <w:r>
        <w:rPr>
          <w:color w:val="231F20"/>
          <w:sz w:val="20"/>
        </w:rPr>
        <w:t>to</w:t>
      </w:r>
      <w:r>
        <w:rPr>
          <w:color w:val="231F20"/>
          <w:spacing w:val="-7"/>
          <w:sz w:val="20"/>
        </w:rPr>
        <w:t xml:space="preserve"> </w:t>
      </w:r>
      <w:r>
        <w:rPr>
          <w:color w:val="231F20"/>
          <w:sz w:val="20"/>
        </w:rPr>
        <w:t xml:space="preserve">the point there </w:t>
      </w:r>
      <w:r>
        <w:rPr>
          <w:color w:val="231F20"/>
          <w:spacing w:val="-3"/>
          <w:sz w:val="20"/>
        </w:rPr>
        <w:t xml:space="preserve">are </w:t>
      </w:r>
      <w:r>
        <w:rPr>
          <w:color w:val="231F20"/>
          <w:sz w:val="20"/>
        </w:rPr>
        <w:t xml:space="preserve">strong indicators that compelling such </w:t>
      </w:r>
      <w:r>
        <w:rPr>
          <w:color w:val="231F20"/>
          <w:spacing w:val="-3"/>
          <w:sz w:val="20"/>
        </w:rPr>
        <w:t xml:space="preserve">treatment </w:t>
      </w:r>
      <w:r>
        <w:rPr>
          <w:color w:val="231F20"/>
          <w:sz w:val="20"/>
        </w:rPr>
        <w:t xml:space="preserve">is </w:t>
      </w:r>
      <w:r>
        <w:rPr>
          <w:color w:val="231F20"/>
          <w:spacing w:val="-3"/>
          <w:sz w:val="20"/>
        </w:rPr>
        <w:t xml:space="preserve">effective, </w:t>
      </w:r>
      <w:r>
        <w:rPr>
          <w:color w:val="231F20"/>
          <w:sz w:val="20"/>
        </w:rPr>
        <w:t xml:space="preserve">then the Victorian </w:t>
      </w:r>
      <w:r>
        <w:rPr>
          <w:color w:val="231F20"/>
          <w:spacing w:val="-3"/>
          <w:sz w:val="20"/>
        </w:rPr>
        <w:t xml:space="preserve">Government </w:t>
      </w:r>
      <w:r>
        <w:rPr>
          <w:color w:val="231F20"/>
          <w:sz w:val="20"/>
        </w:rPr>
        <w:t xml:space="preserve">should consider connecting the PSIO response with a </w:t>
      </w:r>
      <w:r>
        <w:rPr>
          <w:color w:val="231F20"/>
          <w:spacing w:val="-3"/>
          <w:sz w:val="20"/>
        </w:rPr>
        <w:t xml:space="preserve">requirement </w:t>
      </w:r>
      <w:r>
        <w:rPr>
          <w:color w:val="231F20"/>
          <w:sz w:val="20"/>
        </w:rPr>
        <w:t xml:space="preserve">to </w:t>
      </w:r>
      <w:r>
        <w:rPr>
          <w:color w:val="231F20"/>
          <w:spacing w:val="-2"/>
          <w:sz w:val="20"/>
        </w:rPr>
        <w:t xml:space="preserve">attend </w:t>
      </w:r>
      <w:r>
        <w:rPr>
          <w:color w:val="231F20"/>
          <w:spacing w:val="-3"/>
          <w:sz w:val="20"/>
        </w:rPr>
        <w:t xml:space="preserve">treatment, </w:t>
      </w:r>
      <w:r>
        <w:rPr>
          <w:color w:val="231F20"/>
          <w:sz w:val="20"/>
        </w:rPr>
        <w:t>as is the case under the</w:t>
      </w:r>
      <w:r>
        <w:rPr>
          <w:color w:val="231F20"/>
          <w:spacing w:val="-33"/>
          <w:sz w:val="20"/>
        </w:rPr>
        <w:t xml:space="preserve"> </w:t>
      </w:r>
      <w:r>
        <w:rPr>
          <w:color w:val="231F20"/>
          <w:sz w:val="20"/>
        </w:rPr>
        <w:t>FVPA.</w:t>
      </w:r>
    </w:p>
    <w:p w14:paraId="6EBE221B" w14:textId="77777777" w:rsidR="00894070" w:rsidRDefault="009F6793">
      <w:pPr>
        <w:pStyle w:val="BodyText"/>
        <w:spacing w:before="7"/>
        <w:rPr>
          <w:sz w:val="19"/>
        </w:rPr>
      </w:pPr>
      <w:r>
        <w:pict w14:anchorId="1DFBF6B0">
          <v:group id="_x0000_s1058" style="position:absolute;margin-left:62.35pt;margin-top:15.55pt;width:479.1pt;height:108.4pt;z-index:251781120;mso-wrap-distance-left:0;mso-wrap-distance-right:0;mso-position-horizontal-relative:page" coordorigin="1247,311" coordsize="9582,2168">
            <v:rect id="_x0000_s1063" style="position:absolute;left:1587;top:310;width:8731;height:2168" fillcolor="#fee7de" stroked="f"/>
            <v:line id="_x0000_s1062" style="position:absolute" from="1247,1118" to="10828,1118" strokecolor="white" strokeweight="2.5pt"/>
            <v:shape id="_x0000_s1061" type="#_x0000_t202" style="position:absolute;left:2381;top:1343;width:7494;height:955" filled="f" stroked="f">
              <v:textbox inset="0,0,0,0">
                <w:txbxContent>
                  <w:p w14:paraId="74879C8F" w14:textId="77777777" w:rsidR="00894070" w:rsidRDefault="009B7AFD">
                    <w:pPr>
                      <w:spacing w:line="247" w:lineRule="auto"/>
                      <w:ind w:right="18"/>
                      <w:rPr>
                        <w:rFonts w:ascii="Trebuchet MS"/>
                        <w:sz w:val="20"/>
                      </w:rPr>
                    </w:pPr>
                    <w:r>
                      <w:rPr>
                        <w:rFonts w:ascii="Trebuchet MS"/>
                        <w:color w:val="231F20"/>
                        <w:w w:val="105"/>
                        <w:sz w:val="20"/>
                      </w:rPr>
                      <w:t>If</w:t>
                    </w:r>
                    <w:r>
                      <w:rPr>
                        <w:rFonts w:ascii="Trebuchet MS"/>
                        <w:color w:val="231F20"/>
                        <w:spacing w:val="-23"/>
                        <w:w w:val="105"/>
                        <w:sz w:val="20"/>
                      </w:rPr>
                      <w:t xml:space="preserve"> </w:t>
                    </w:r>
                    <w:r>
                      <w:rPr>
                        <w:rFonts w:ascii="Trebuchet MS"/>
                        <w:color w:val="231F20"/>
                        <w:w w:val="105"/>
                        <w:sz w:val="20"/>
                      </w:rPr>
                      <w:t>there</w:t>
                    </w:r>
                    <w:r>
                      <w:rPr>
                        <w:rFonts w:ascii="Trebuchet MS"/>
                        <w:color w:val="231F20"/>
                        <w:spacing w:val="-22"/>
                        <w:w w:val="105"/>
                        <w:sz w:val="20"/>
                      </w:rPr>
                      <w:t xml:space="preserve"> </w:t>
                    </w:r>
                    <w:r>
                      <w:rPr>
                        <w:rFonts w:ascii="Trebuchet MS"/>
                        <w:color w:val="231F20"/>
                        <w:spacing w:val="-2"/>
                        <w:w w:val="105"/>
                        <w:sz w:val="20"/>
                      </w:rPr>
                      <w:t>are</w:t>
                    </w:r>
                    <w:r>
                      <w:rPr>
                        <w:rFonts w:ascii="Trebuchet MS"/>
                        <w:color w:val="231F20"/>
                        <w:spacing w:val="-22"/>
                        <w:w w:val="105"/>
                        <w:sz w:val="20"/>
                      </w:rPr>
                      <w:t xml:space="preserve"> </w:t>
                    </w:r>
                    <w:r>
                      <w:rPr>
                        <w:rFonts w:ascii="Trebuchet MS"/>
                        <w:color w:val="231F20"/>
                        <w:w w:val="105"/>
                        <w:sz w:val="20"/>
                      </w:rPr>
                      <w:t>strong</w:t>
                    </w:r>
                    <w:r>
                      <w:rPr>
                        <w:rFonts w:ascii="Trebuchet MS"/>
                        <w:color w:val="231F20"/>
                        <w:spacing w:val="-22"/>
                        <w:w w:val="105"/>
                        <w:sz w:val="20"/>
                      </w:rPr>
                      <w:t xml:space="preserve"> </w:t>
                    </w:r>
                    <w:r>
                      <w:rPr>
                        <w:rFonts w:ascii="Trebuchet MS"/>
                        <w:color w:val="231F20"/>
                        <w:w w:val="105"/>
                        <w:sz w:val="20"/>
                      </w:rPr>
                      <w:t>indicators</w:t>
                    </w:r>
                    <w:r>
                      <w:rPr>
                        <w:rFonts w:ascii="Trebuchet MS"/>
                        <w:color w:val="231F20"/>
                        <w:spacing w:val="-22"/>
                        <w:w w:val="105"/>
                        <w:sz w:val="20"/>
                      </w:rPr>
                      <w:t xml:space="preserve"> </w:t>
                    </w:r>
                    <w:r>
                      <w:rPr>
                        <w:rFonts w:ascii="Trebuchet MS"/>
                        <w:color w:val="231F20"/>
                        <w:w w:val="105"/>
                        <w:sz w:val="20"/>
                      </w:rPr>
                      <w:t>that</w:t>
                    </w:r>
                    <w:r>
                      <w:rPr>
                        <w:rFonts w:ascii="Trebuchet MS"/>
                        <w:color w:val="231F20"/>
                        <w:spacing w:val="-22"/>
                        <w:w w:val="105"/>
                        <w:sz w:val="20"/>
                      </w:rPr>
                      <w:t xml:space="preserve"> </w:t>
                    </w:r>
                    <w:r>
                      <w:rPr>
                        <w:rFonts w:ascii="Trebuchet MS"/>
                        <w:color w:val="231F20"/>
                        <w:w w:val="105"/>
                        <w:sz w:val="20"/>
                      </w:rPr>
                      <w:t>compelling</w:t>
                    </w:r>
                    <w:r>
                      <w:rPr>
                        <w:rFonts w:ascii="Trebuchet MS"/>
                        <w:color w:val="231F20"/>
                        <w:spacing w:val="-22"/>
                        <w:w w:val="105"/>
                        <w:sz w:val="20"/>
                      </w:rPr>
                      <w:t xml:space="preserve"> </w:t>
                    </w:r>
                    <w:r>
                      <w:rPr>
                        <w:rFonts w:ascii="Trebuchet MS"/>
                        <w:color w:val="231F20"/>
                        <w:spacing w:val="-3"/>
                        <w:w w:val="105"/>
                        <w:sz w:val="20"/>
                      </w:rPr>
                      <w:t>treatment</w:t>
                    </w:r>
                    <w:r>
                      <w:rPr>
                        <w:rFonts w:ascii="Trebuchet MS"/>
                        <w:color w:val="231F20"/>
                        <w:spacing w:val="-22"/>
                        <w:w w:val="105"/>
                        <w:sz w:val="20"/>
                      </w:rPr>
                      <w:t xml:space="preserve"> </w:t>
                    </w:r>
                    <w:r>
                      <w:rPr>
                        <w:rFonts w:ascii="Trebuchet MS"/>
                        <w:color w:val="231F20"/>
                        <w:w w:val="105"/>
                        <w:sz w:val="20"/>
                      </w:rPr>
                      <w:t>is</w:t>
                    </w:r>
                    <w:r>
                      <w:rPr>
                        <w:rFonts w:ascii="Trebuchet MS"/>
                        <w:color w:val="231F20"/>
                        <w:spacing w:val="-22"/>
                        <w:w w:val="105"/>
                        <w:sz w:val="20"/>
                      </w:rPr>
                      <w:t xml:space="preserve"> </w:t>
                    </w:r>
                    <w:r>
                      <w:rPr>
                        <w:rFonts w:ascii="Trebuchet MS"/>
                        <w:color w:val="231F20"/>
                        <w:w w:val="105"/>
                        <w:sz w:val="20"/>
                      </w:rPr>
                      <w:t>an</w:t>
                    </w:r>
                    <w:r>
                      <w:rPr>
                        <w:rFonts w:ascii="Trebuchet MS"/>
                        <w:color w:val="231F20"/>
                        <w:spacing w:val="-22"/>
                        <w:w w:val="105"/>
                        <w:sz w:val="20"/>
                      </w:rPr>
                      <w:t xml:space="preserve"> </w:t>
                    </w:r>
                    <w:r>
                      <w:rPr>
                        <w:rFonts w:ascii="Trebuchet MS"/>
                        <w:color w:val="231F20"/>
                        <w:spacing w:val="-3"/>
                        <w:w w:val="105"/>
                        <w:sz w:val="20"/>
                      </w:rPr>
                      <w:t>effective</w:t>
                    </w:r>
                    <w:r>
                      <w:rPr>
                        <w:rFonts w:ascii="Trebuchet MS"/>
                        <w:color w:val="231F20"/>
                        <w:spacing w:val="-22"/>
                        <w:w w:val="105"/>
                        <w:sz w:val="20"/>
                      </w:rPr>
                      <w:t xml:space="preserve"> </w:t>
                    </w:r>
                    <w:r>
                      <w:rPr>
                        <w:rFonts w:ascii="Trebuchet MS"/>
                        <w:color w:val="231F20"/>
                        <w:w w:val="105"/>
                        <w:sz w:val="20"/>
                      </w:rPr>
                      <w:t xml:space="preserve">response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1"/>
                        <w:w w:val="107"/>
                        <w:sz w:val="20"/>
                      </w:rPr>
                      <w:t>n</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5"/>
                        <w:w w:val="115"/>
                        <w:sz w:val="20"/>
                      </w:rPr>
                      <w:t>-</w:t>
                    </w:r>
                    <w:r>
                      <w:rPr>
                        <w:rFonts w:ascii="Trebuchet MS"/>
                        <w:color w:val="231F20"/>
                        <w:spacing w:val="-2"/>
                        <w:w w:val="92"/>
                        <w:sz w:val="20"/>
                      </w:rPr>
                      <w:t>f</w:t>
                    </w:r>
                    <w:r>
                      <w:rPr>
                        <w:rFonts w:ascii="Trebuchet MS"/>
                        <w:color w:val="231F20"/>
                        <w:spacing w:val="-2"/>
                        <w:w w:val="105"/>
                        <w:sz w:val="20"/>
                      </w:rPr>
                      <w:t>a</w:t>
                    </w:r>
                    <w:r>
                      <w:rPr>
                        <w:rFonts w:ascii="Trebuchet MS"/>
                        <w:color w:val="231F20"/>
                        <w:spacing w:val="-2"/>
                        <w:w w:val="111"/>
                        <w:sz w:val="20"/>
                      </w:rPr>
                      <w:t>m</w:t>
                    </w:r>
                    <w:r>
                      <w:rPr>
                        <w:rFonts w:ascii="Trebuchet MS"/>
                        <w:color w:val="231F20"/>
                        <w:spacing w:val="-2"/>
                        <w:w w:val="80"/>
                        <w:sz w:val="20"/>
                      </w:rPr>
                      <w:t>i</w:t>
                    </w:r>
                    <w:r>
                      <w:rPr>
                        <w:rFonts w:ascii="Trebuchet MS"/>
                        <w:color w:val="231F20"/>
                        <w:spacing w:val="-7"/>
                        <w:w w:val="96"/>
                        <w:sz w:val="20"/>
                      </w:rPr>
                      <w:t>l</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109"/>
                        <w:sz w:val="20"/>
                      </w:rPr>
                      <w:t>v</w:t>
                    </w:r>
                    <w:r>
                      <w:rPr>
                        <w:rFonts w:ascii="Trebuchet MS"/>
                        <w:color w:val="231F20"/>
                        <w:spacing w:val="-1"/>
                        <w:w w:val="80"/>
                        <w:sz w:val="20"/>
                      </w:rPr>
                      <w:t>i</w:t>
                    </w:r>
                    <w:r>
                      <w:rPr>
                        <w:rFonts w:ascii="Trebuchet MS"/>
                        <w:color w:val="231F20"/>
                        <w:spacing w:val="-2"/>
                        <w:w w:val="111"/>
                        <w:sz w:val="20"/>
                      </w:rPr>
                      <w:t>o</w:t>
                    </w:r>
                    <w:r>
                      <w:rPr>
                        <w:rFonts w:ascii="Trebuchet MS"/>
                        <w:color w:val="231F20"/>
                        <w:spacing w:val="-3"/>
                        <w:w w:val="96"/>
                        <w:sz w:val="20"/>
                      </w:rPr>
                      <w:t>l</w:t>
                    </w:r>
                    <w:r>
                      <w:rPr>
                        <w:rFonts w:ascii="Trebuchet MS"/>
                        <w:color w:val="231F20"/>
                        <w:spacing w:val="-1"/>
                        <w:w w:val="108"/>
                        <w:sz w:val="20"/>
                      </w:rPr>
                      <w:t>e</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22"/>
                        <w:sz w:val="20"/>
                      </w:rPr>
                      <w:t>s</w:t>
                    </w:r>
                    <w:r>
                      <w:rPr>
                        <w:rFonts w:ascii="Trebuchet MS"/>
                        <w:color w:val="231F20"/>
                        <w:w w:val="88"/>
                        <w:sz w:val="20"/>
                      </w:rPr>
                      <w:t>t</w:t>
                    </w:r>
                    <w:r>
                      <w:rPr>
                        <w:rFonts w:ascii="Trebuchet MS"/>
                        <w:color w:val="231F20"/>
                        <w:spacing w:val="-3"/>
                        <w:w w:val="105"/>
                        <w:sz w:val="20"/>
                      </w:rPr>
                      <w:t>a</w:t>
                    </w:r>
                    <w:r>
                      <w:rPr>
                        <w:rFonts w:ascii="Trebuchet MS"/>
                        <w:color w:val="231F20"/>
                        <w:w w:val="96"/>
                        <w:sz w:val="20"/>
                      </w:rPr>
                      <w:t>l</w:t>
                    </w:r>
                    <w:r>
                      <w:rPr>
                        <w:rFonts w:ascii="Trebuchet MS"/>
                        <w:color w:val="231F20"/>
                        <w:spacing w:val="-1"/>
                        <w:w w:val="106"/>
                        <w:sz w:val="20"/>
                      </w:rPr>
                      <w:t>k</w:t>
                    </w:r>
                    <w:r>
                      <w:rPr>
                        <w:rFonts w:ascii="Trebuchet MS"/>
                        <w:color w:val="231F20"/>
                        <w:spacing w:val="-2"/>
                        <w:w w:val="80"/>
                        <w:sz w:val="20"/>
                      </w:rPr>
                      <w:t>i</w:t>
                    </w:r>
                    <w:r>
                      <w:rPr>
                        <w:rFonts w:ascii="Trebuchet MS"/>
                        <w:color w:val="231F20"/>
                        <w:spacing w:val="-1"/>
                        <w:w w:val="107"/>
                        <w:sz w:val="20"/>
                      </w:rPr>
                      <w:t>n</w:t>
                    </w:r>
                    <w:r>
                      <w:rPr>
                        <w:rFonts w:ascii="Trebuchet MS"/>
                        <w:color w:val="231F20"/>
                        <w:w w:val="124"/>
                        <w:sz w:val="20"/>
                      </w:rPr>
                      <w:t>g</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w w:val="93"/>
                        <w:sz w:val="20"/>
                      </w:rPr>
                      <w:t>r</w:t>
                    </w:r>
                    <w:r>
                      <w:rPr>
                        <w:rFonts w:ascii="Trebuchet MS"/>
                        <w:color w:val="231F20"/>
                        <w:spacing w:val="-14"/>
                        <w:sz w:val="20"/>
                      </w:rPr>
                      <w:t xml:space="preserve"> </w:t>
                    </w:r>
                    <w:r>
                      <w:rPr>
                        <w:rFonts w:ascii="Trebuchet MS"/>
                        <w:color w:val="231F20"/>
                        <w:spacing w:val="-1"/>
                        <w:w w:val="122"/>
                        <w:sz w:val="20"/>
                      </w:rPr>
                      <w:t>s</w:t>
                    </w:r>
                    <w:r>
                      <w:rPr>
                        <w:rFonts w:ascii="Trebuchet MS"/>
                        <w:color w:val="231F20"/>
                        <w:spacing w:val="-4"/>
                        <w:w w:val="110"/>
                        <w:sz w:val="20"/>
                      </w:rPr>
                      <w:t>y</w:t>
                    </w:r>
                    <w:r>
                      <w:rPr>
                        <w:rFonts w:ascii="Trebuchet MS"/>
                        <w:color w:val="231F20"/>
                        <w:spacing w:val="-1"/>
                        <w:w w:val="122"/>
                        <w:sz w:val="20"/>
                      </w:rPr>
                      <w:t>s</w:t>
                    </w:r>
                    <w:r>
                      <w:rPr>
                        <w:rFonts w:ascii="Trebuchet MS"/>
                        <w:color w:val="231F20"/>
                        <w:spacing w:val="-4"/>
                        <w:w w:val="88"/>
                        <w:sz w:val="20"/>
                      </w:rPr>
                      <w:t>t</w:t>
                    </w:r>
                    <w:r>
                      <w:rPr>
                        <w:rFonts w:ascii="Trebuchet MS"/>
                        <w:color w:val="231F20"/>
                        <w:spacing w:val="-1"/>
                        <w:w w:val="108"/>
                        <w:sz w:val="20"/>
                      </w:rPr>
                      <w:t>e</w:t>
                    </w:r>
                    <w:r>
                      <w:rPr>
                        <w:rFonts w:ascii="Trebuchet MS"/>
                        <w:color w:val="231F20"/>
                        <w:spacing w:val="-1"/>
                        <w:w w:val="111"/>
                        <w:sz w:val="20"/>
                      </w:rPr>
                      <w:t>m</w:t>
                    </w:r>
                    <w:r>
                      <w:rPr>
                        <w:rFonts w:ascii="Trebuchet MS"/>
                        <w:color w:val="231F20"/>
                        <w:w w:val="57"/>
                        <w:sz w:val="20"/>
                      </w:rPr>
                      <w:t xml:space="preserve">, </w:t>
                    </w:r>
                    <w:r>
                      <w:rPr>
                        <w:rFonts w:ascii="Trebuchet MS"/>
                        <w:color w:val="231F20"/>
                        <w:w w:val="105"/>
                        <w:sz w:val="20"/>
                      </w:rPr>
                      <w:t>the</w:t>
                    </w:r>
                    <w:r>
                      <w:rPr>
                        <w:rFonts w:ascii="Trebuchet MS"/>
                        <w:color w:val="231F20"/>
                        <w:spacing w:val="-23"/>
                        <w:w w:val="105"/>
                        <w:sz w:val="20"/>
                      </w:rPr>
                      <w:t xml:space="preserve"> </w:t>
                    </w:r>
                    <w:r>
                      <w:rPr>
                        <w:rFonts w:ascii="Trebuchet MS"/>
                        <w:color w:val="231F20"/>
                        <w:w w:val="105"/>
                        <w:sz w:val="20"/>
                      </w:rPr>
                      <w:t>Victorian</w:t>
                    </w:r>
                    <w:r>
                      <w:rPr>
                        <w:rFonts w:ascii="Trebuchet MS"/>
                        <w:color w:val="231F20"/>
                        <w:spacing w:val="-22"/>
                        <w:w w:val="105"/>
                        <w:sz w:val="20"/>
                      </w:rPr>
                      <w:t xml:space="preserve"> </w:t>
                    </w:r>
                    <w:r>
                      <w:rPr>
                        <w:rFonts w:ascii="Trebuchet MS"/>
                        <w:color w:val="231F20"/>
                        <w:spacing w:val="-3"/>
                        <w:w w:val="105"/>
                        <w:sz w:val="20"/>
                      </w:rPr>
                      <w:t>Government</w:t>
                    </w:r>
                    <w:r>
                      <w:rPr>
                        <w:rFonts w:ascii="Trebuchet MS"/>
                        <w:color w:val="231F20"/>
                        <w:spacing w:val="-23"/>
                        <w:w w:val="105"/>
                        <w:sz w:val="20"/>
                      </w:rPr>
                      <w:t xml:space="preserve"> </w:t>
                    </w:r>
                    <w:r>
                      <w:rPr>
                        <w:rFonts w:ascii="Trebuchet MS"/>
                        <w:color w:val="231F20"/>
                        <w:w w:val="105"/>
                        <w:sz w:val="20"/>
                      </w:rPr>
                      <w:t>should</w:t>
                    </w:r>
                    <w:r>
                      <w:rPr>
                        <w:rFonts w:ascii="Trebuchet MS"/>
                        <w:color w:val="231F20"/>
                        <w:spacing w:val="-22"/>
                        <w:w w:val="105"/>
                        <w:sz w:val="20"/>
                      </w:rPr>
                      <w:t xml:space="preserve"> </w:t>
                    </w:r>
                    <w:r>
                      <w:rPr>
                        <w:rFonts w:ascii="Trebuchet MS"/>
                        <w:color w:val="231F20"/>
                        <w:w w:val="105"/>
                        <w:sz w:val="20"/>
                      </w:rPr>
                      <w:t>consider</w:t>
                    </w:r>
                    <w:r>
                      <w:rPr>
                        <w:rFonts w:ascii="Trebuchet MS"/>
                        <w:color w:val="231F20"/>
                        <w:spacing w:val="-23"/>
                        <w:w w:val="105"/>
                        <w:sz w:val="20"/>
                      </w:rPr>
                      <w:t xml:space="preserve"> </w:t>
                    </w:r>
                    <w:r>
                      <w:rPr>
                        <w:rFonts w:ascii="Trebuchet MS"/>
                        <w:color w:val="231F20"/>
                        <w:w w:val="105"/>
                        <w:sz w:val="20"/>
                      </w:rPr>
                      <w:t>introducing</w:t>
                    </w:r>
                    <w:r>
                      <w:rPr>
                        <w:rFonts w:ascii="Trebuchet MS"/>
                        <w:color w:val="231F20"/>
                        <w:spacing w:val="-22"/>
                        <w:w w:val="105"/>
                        <w:sz w:val="20"/>
                      </w:rPr>
                      <w:t xml:space="preserve"> </w:t>
                    </w:r>
                    <w:r>
                      <w:rPr>
                        <w:rFonts w:ascii="Trebuchet MS"/>
                        <w:color w:val="231F20"/>
                        <w:w w:val="105"/>
                        <w:sz w:val="20"/>
                      </w:rPr>
                      <w:t>court-ordered</w:t>
                    </w:r>
                    <w:r>
                      <w:rPr>
                        <w:rFonts w:ascii="Trebuchet MS"/>
                        <w:color w:val="231F20"/>
                        <w:spacing w:val="-23"/>
                        <w:w w:val="105"/>
                        <w:sz w:val="20"/>
                      </w:rPr>
                      <w:t xml:space="preserve"> </w:t>
                    </w:r>
                    <w:r>
                      <w:rPr>
                        <w:rFonts w:ascii="Trebuchet MS"/>
                        <w:color w:val="231F20"/>
                        <w:w w:val="105"/>
                        <w:sz w:val="20"/>
                      </w:rPr>
                      <w:t xml:space="preserve">therapeutic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w w:val="105"/>
                        <w:sz w:val="20"/>
                      </w:rPr>
                      <w:t>a</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22"/>
                        <w:sz w:val="20"/>
                      </w:rPr>
                      <w:t>s</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w w:val="111"/>
                        <w:sz w:val="20"/>
                      </w:rPr>
                      <w:t>c</w:t>
                    </w:r>
                    <w:r>
                      <w:rPr>
                        <w:rFonts w:ascii="Trebuchet MS"/>
                        <w:color w:val="231F20"/>
                        <w:w w:val="105"/>
                        <w:sz w:val="20"/>
                      </w:rPr>
                      <w:t>a</w:t>
                    </w:r>
                    <w:r>
                      <w:rPr>
                        <w:rFonts w:ascii="Trebuchet MS"/>
                        <w:color w:val="231F20"/>
                        <w:spacing w:val="-1"/>
                        <w:w w:val="122"/>
                        <w:sz w:val="20"/>
                      </w:rPr>
                      <w:t>s</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0"/>
                        <w:sz w:val="20"/>
                      </w:rPr>
                      <w:t>i</w:t>
                    </w:r>
                    <w:r>
                      <w:rPr>
                        <w:rFonts w:ascii="Trebuchet MS"/>
                        <w:color w:val="231F20"/>
                        <w:w w:val="107"/>
                        <w:sz w:val="20"/>
                      </w:rPr>
                      <w:t>n</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Arial"/>
                        <w:i/>
                        <w:color w:val="231F20"/>
                        <w:spacing w:val="-7"/>
                        <w:w w:val="92"/>
                        <w:sz w:val="20"/>
                      </w:rPr>
                      <w:t>F</w:t>
                    </w:r>
                    <w:r>
                      <w:rPr>
                        <w:rFonts w:ascii="Arial"/>
                        <w:i/>
                        <w:color w:val="231F20"/>
                        <w:spacing w:val="-1"/>
                        <w:w w:val="108"/>
                        <w:sz w:val="20"/>
                      </w:rPr>
                      <w:t>a</w:t>
                    </w:r>
                    <w:r>
                      <w:rPr>
                        <w:rFonts w:ascii="Arial"/>
                        <w:i/>
                        <w:color w:val="231F20"/>
                        <w:spacing w:val="-1"/>
                        <w:w w:val="106"/>
                        <w:sz w:val="20"/>
                      </w:rPr>
                      <w:t>m</w:t>
                    </w:r>
                    <w:r>
                      <w:rPr>
                        <w:rFonts w:ascii="Arial"/>
                        <w:i/>
                        <w:color w:val="231F20"/>
                        <w:spacing w:val="-2"/>
                        <w:w w:val="101"/>
                        <w:sz w:val="20"/>
                      </w:rPr>
                      <w:t>i</w:t>
                    </w:r>
                    <w:r>
                      <w:rPr>
                        <w:rFonts w:ascii="Arial"/>
                        <w:i/>
                        <w:color w:val="231F20"/>
                        <w:spacing w:val="-7"/>
                        <w:w w:val="126"/>
                        <w:sz w:val="20"/>
                      </w:rPr>
                      <w:t>l</w:t>
                    </w:r>
                    <w:r>
                      <w:rPr>
                        <w:rFonts w:ascii="Arial"/>
                        <w:i/>
                        <w:color w:val="231F20"/>
                        <w:sz w:val="20"/>
                      </w:rPr>
                      <w:t>y</w:t>
                    </w:r>
                    <w:r>
                      <w:rPr>
                        <w:rFonts w:ascii="Arial"/>
                        <w:i/>
                        <w:color w:val="231F20"/>
                        <w:spacing w:val="-11"/>
                        <w:sz w:val="20"/>
                      </w:rPr>
                      <w:t xml:space="preserve"> </w:t>
                    </w:r>
                    <w:r>
                      <w:rPr>
                        <w:rFonts w:ascii="Arial"/>
                        <w:i/>
                        <w:color w:val="231F20"/>
                        <w:spacing w:val="-2"/>
                        <w:w w:val="98"/>
                        <w:sz w:val="20"/>
                      </w:rPr>
                      <w:t>V</w:t>
                    </w:r>
                    <w:r>
                      <w:rPr>
                        <w:rFonts w:ascii="Arial"/>
                        <w:i/>
                        <w:color w:val="231F20"/>
                        <w:spacing w:val="-1"/>
                        <w:w w:val="98"/>
                        <w:sz w:val="20"/>
                      </w:rPr>
                      <w:t>i</w:t>
                    </w:r>
                    <w:r>
                      <w:rPr>
                        <w:rFonts w:ascii="Arial"/>
                        <w:i/>
                        <w:color w:val="231F20"/>
                        <w:spacing w:val="-2"/>
                        <w:w w:val="103"/>
                        <w:sz w:val="20"/>
                      </w:rPr>
                      <w:t>o</w:t>
                    </w:r>
                    <w:r>
                      <w:rPr>
                        <w:rFonts w:ascii="Arial"/>
                        <w:i/>
                        <w:color w:val="231F20"/>
                        <w:spacing w:val="-4"/>
                        <w:w w:val="126"/>
                        <w:sz w:val="20"/>
                      </w:rPr>
                      <w:t>l</w:t>
                    </w:r>
                    <w:r>
                      <w:rPr>
                        <w:rFonts w:ascii="Arial"/>
                        <w:i/>
                        <w:color w:val="231F20"/>
                        <w:w w:val="96"/>
                        <w:sz w:val="20"/>
                      </w:rPr>
                      <w:t>e</w:t>
                    </w:r>
                    <w:r>
                      <w:rPr>
                        <w:rFonts w:ascii="Arial"/>
                        <w:i/>
                        <w:color w:val="231F20"/>
                        <w:spacing w:val="-2"/>
                        <w:w w:val="101"/>
                        <w:sz w:val="20"/>
                      </w:rPr>
                      <w:t>n</w:t>
                    </w:r>
                    <w:r>
                      <w:rPr>
                        <w:rFonts w:ascii="Arial"/>
                        <w:i/>
                        <w:color w:val="231F20"/>
                        <w:spacing w:val="-2"/>
                        <w:w w:val="106"/>
                        <w:sz w:val="20"/>
                      </w:rPr>
                      <w:t>c</w:t>
                    </w:r>
                    <w:r>
                      <w:rPr>
                        <w:rFonts w:ascii="Arial"/>
                        <w:i/>
                        <w:color w:val="231F20"/>
                        <w:w w:val="96"/>
                        <w:sz w:val="20"/>
                      </w:rPr>
                      <w:t>e</w:t>
                    </w:r>
                    <w:r>
                      <w:rPr>
                        <w:rFonts w:ascii="Arial"/>
                        <w:i/>
                        <w:color w:val="231F20"/>
                        <w:spacing w:val="-11"/>
                        <w:sz w:val="20"/>
                      </w:rPr>
                      <w:t xml:space="preserve"> </w:t>
                    </w:r>
                    <w:r>
                      <w:rPr>
                        <w:rFonts w:ascii="Arial"/>
                        <w:i/>
                        <w:color w:val="231F20"/>
                        <w:spacing w:val="-3"/>
                        <w:w w:val="90"/>
                        <w:sz w:val="20"/>
                      </w:rPr>
                      <w:t>P</w:t>
                    </w:r>
                    <w:r>
                      <w:rPr>
                        <w:rFonts w:ascii="Arial"/>
                        <w:i/>
                        <w:color w:val="231F20"/>
                        <w:spacing w:val="-5"/>
                        <w:w w:val="106"/>
                        <w:sz w:val="20"/>
                      </w:rPr>
                      <w:t>r</w:t>
                    </w:r>
                    <w:r>
                      <w:rPr>
                        <w:rFonts w:ascii="Arial"/>
                        <w:i/>
                        <w:color w:val="231F20"/>
                        <w:spacing w:val="-3"/>
                        <w:w w:val="103"/>
                        <w:sz w:val="20"/>
                      </w:rPr>
                      <w:t>o</w:t>
                    </w:r>
                    <w:r>
                      <w:rPr>
                        <w:rFonts w:ascii="Arial"/>
                        <w:i/>
                        <w:color w:val="231F20"/>
                        <w:spacing w:val="-6"/>
                        <w:w w:val="121"/>
                        <w:sz w:val="20"/>
                      </w:rPr>
                      <w:t>t</w:t>
                    </w:r>
                    <w:r>
                      <w:rPr>
                        <w:rFonts w:ascii="Arial"/>
                        <w:i/>
                        <w:color w:val="231F20"/>
                        <w:spacing w:val="-1"/>
                        <w:w w:val="96"/>
                        <w:sz w:val="20"/>
                      </w:rPr>
                      <w:t>e</w:t>
                    </w:r>
                    <w:r>
                      <w:rPr>
                        <w:rFonts w:ascii="Arial"/>
                        <w:i/>
                        <w:color w:val="231F20"/>
                        <w:spacing w:val="-3"/>
                        <w:w w:val="106"/>
                        <w:sz w:val="20"/>
                      </w:rPr>
                      <w:t>c</w:t>
                    </w:r>
                    <w:r>
                      <w:rPr>
                        <w:rFonts w:ascii="Arial"/>
                        <w:i/>
                        <w:color w:val="231F20"/>
                        <w:spacing w:val="-2"/>
                        <w:w w:val="121"/>
                        <w:sz w:val="20"/>
                      </w:rPr>
                      <w:t>t</w:t>
                    </w:r>
                    <w:r>
                      <w:rPr>
                        <w:rFonts w:ascii="Arial"/>
                        <w:i/>
                        <w:color w:val="231F20"/>
                        <w:spacing w:val="-1"/>
                        <w:w w:val="101"/>
                        <w:sz w:val="20"/>
                      </w:rPr>
                      <w:t>i</w:t>
                    </w:r>
                    <w:r>
                      <w:rPr>
                        <w:rFonts w:ascii="Arial"/>
                        <w:i/>
                        <w:color w:val="231F20"/>
                        <w:spacing w:val="-1"/>
                        <w:w w:val="103"/>
                        <w:sz w:val="20"/>
                      </w:rPr>
                      <w:t>o</w:t>
                    </w:r>
                    <w:r>
                      <w:rPr>
                        <w:rFonts w:ascii="Arial"/>
                        <w:i/>
                        <w:color w:val="231F20"/>
                        <w:w w:val="101"/>
                        <w:sz w:val="20"/>
                      </w:rPr>
                      <w:t>n</w:t>
                    </w:r>
                    <w:r>
                      <w:rPr>
                        <w:rFonts w:ascii="Arial"/>
                        <w:i/>
                        <w:color w:val="231F20"/>
                        <w:spacing w:val="-11"/>
                        <w:sz w:val="20"/>
                      </w:rPr>
                      <w:t xml:space="preserve"> </w:t>
                    </w:r>
                    <w:r>
                      <w:rPr>
                        <w:rFonts w:ascii="Arial"/>
                        <w:i/>
                        <w:color w:val="231F20"/>
                        <w:spacing w:val="-3"/>
                        <w:w w:val="97"/>
                        <w:sz w:val="20"/>
                      </w:rPr>
                      <w:t>A</w:t>
                    </w:r>
                    <w:r>
                      <w:rPr>
                        <w:rFonts w:ascii="Arial"/>
                        <w:i/>
                        <w:color w:val="231F20"/>
                        <w:spacing w:val="-3"/>
                        <w:w w:val="106"/>
                        <w:sz w:val="20"/>
                      </w:rPr>
                      <w:t>c</w:t>
                    </w:r>
                    <w:r>
                      <w:rPr>
                        <w:rFonts w:ascii="Arial"/>
                        <w:i/>
                        <w:color w:val="231F20"/>
                        <w:w w:val="121"/>
                        <w:sz w:val="20"/>
                      </w:rPr>
                      <w:t>t</w:t>
                    </w:r>
                    <w:r>
                      <w:rPr>
                        <w:rFonts w:ascii="Arial"/>
                        <w:i/>
                        <w:color w:val="231F20"/>
                        <w:spacing w:val="-11"/>
                        <w:sz w:val="20"/>
                      </w:rPr>
                      <w:t xml:space="preserve"> </w:t>
                    </w:r>
                    <w:r>
                      <w:rPr>
                        <w:rFonts w:ascii="Arial"/>
                        <w:i/>
                        <w:color w:val="231F20"/>
                        <w:spacing w:val="-2"/>
                        <w:w w:val="92"/>
                        <w:sz w:val="20"/>
                      </w:rPr>
                      <w:t>2</w:t>
                    </w:r>
                    <w:r>
                      <w:rPr>
                        <w:rFonts w:ascii="Arial"/>
                        <w:i/>
                        <w:color w:val="231F20"/>
                        <w:spacing w:val="-1"/>
                        <w:w w:val="106"/>
                        <w:sz w:val="20"/>
                      </w:rPr>
                      <w:t>00</w:t>
                    </w:r>
                    <w:r>
                      <w:rPr>
                        <w:rFonts w:ascii="Arial"/>
                        <w:i/>
                        <w:color w:val="231F20"/>
                        <w:w w:val="103"/>
                        <w:sz w:val="20"/>
                      </w:rPr>
                      <w:t>8</w:t>
                    </w:r>
                    <w:r>
                      <w:rPr>
                        <w:rFonts w:ascii="Arial"/>
                        <w:i/>
                        <w:color w:val="231F20"/>
                        <w:spacing w:val="-9"/>
                        <w:sz w:val="20"/>
                      </w:rPr>
                      <w:t xml:space="preserve"> </w:t>
                    </w:r>
                    <w:r>
                      <w:rPr>
                        <w:rFonts w:ascii="Trebuchet MS"/>
                        <w:color w:val="231F20"/>
                        <w:spacing w:val="3"/>
                        <w:w w:val="77"/>
                        <w:sz w:val="20"/>
                      </w:rPr>
                      <w:t>(</w:t>
                    </w:r>
                    <w:r>
                      <w:rPr>
                        <w:rFonts w:ascii="Trebuchet MS"/>
                        <w:color w:val="231F20"/>
                        <w:spacing w:val="-1"/>
                        <w:w w:val="115"/>
                        <w:sz w:val="20"/>
                      </w:rPr>
                      <w:t>V</w:t>
                    </w:r>
                    <w:r>
                      <w:rPr>
                        <w:rFonts w:ascii="Trebuchet MS"/>
                        <w:color w:val="231F20"/>
                        <w:spacing w:val="-1"/>
                        <w:w w:val="80"/>
                        <w:sz w:val="20"/>
                      </w:rPr>
                      <w:t>i</w:t>
                    </w:r>
                    <w:r>
                      <w:rPr>
                        <w:rFonts w:ascii="Trebuchet MS"/>
                        <w:color w:val="231F20"/>
                        <w:spacing w:val="-5"/>
                        <w:w w:val="111"/>
                        <w:sz w:val="20"/>
                      </w:rPr>
                      <w:t>c</w:t>
                    </w:r>
                    <w:r>
                      <w:rPr>
                        <w:rFonts w:ascii="Trebuchet MS"/>
                        <w:color w:val="231F20"/>
                        <w:spacing w:val="-7"/>
                        <w:w w:val="66"/>
                        <w:sz w:val="20"/>
                      </w:rPr>
                      <w:t>).</w:t>
                    </w:r>
                  </w:p>
                </w:txbxContent>
              </v:textbox>
            </v:shape>
            <v:shape id="_x0000_s1060" type="#_x0000_t202" style="position:absolute;left:1814;top:1343;width:291;height:235" filled="f" stroked="f">
              <v:textbox inset="0,0,0,0">
                <w:txbxContent>
                  <w:p w14:paraId="0FA0092F" w14:textId="77777777" w:rsidR="00894070" w:rsidRDefault="009B7AFD">
                    <w:pPr>
                      <w:rPr>
                        <w:rFonts w:ascii="Trebuchet MS"/>
                        <w:sz w:val="20"/>
                      </w:rPr>
                    </w:pPr>
                    <w:r>
                      <w:rPr>
                        <w:rFonts w:ascii="Trebuchet MS"/>
                        <w:color w:val="231F20"/>
                        <w:sz w:val="20"/>
                      </w:rPr>
                      <w:t>44.</w:t>
                    </w:r>
                  </w:p>
                </w:txbxContent>
              </v:textbox>
            </v:shape>
            <v:shape id="_x0000_s1059" type="#_x0000_t202" style="position:absolute;left:1587;top:310;width:8731;height:783" fillcolor="#fee7de" stroked="f">
              <v:textbox inset="0,0,0,0">
                <w:txbxContent>
                  <w:p w14:paraId="0077F94A"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wrap type="topAndBottom" anchorx="page"/>
          </v:group>
        </w:pict>
      </w:r>
    </w:p>
    <w:p w14:paraId="0F2F4738" w14:textId="77777777" w:rsidR="00894070" w:rsidRDefault="00894070">
      <w:pPr>
        <w:pStyle w:val="BodyText"/>
      </w:pPr>
    </w:p>
    <w:p w14:paraId="23CBE7EB" w14:textId="77777777" w:rsidR="00894070" w:rsidRDefault="00894070">
      <w:pPr>
        <w:pStyle w:val="BodyText"/>
      </w:pPr>
    </w:p>
    <w:p w14:paraId="608CDB2A" w14:textId="77777777" w:rsidR="00894070" w:rsidRDefault="00894070">
      <w:pPr>
        <w:pStyle w:val="BodyText"/>
      </w:pPr>
    </w:p>
    <w:p w14:paraId="16C0CE53" w14:textId="77777777" w:rsidR="00894070" w:rsidRDefault="00894070">
      <w:pPr>
        <w:pStyle w:val="BodyText"/>
      </w:pPr>
    </w:p>
    <w:p w14:paraId="7DB8077D" w14:textId="77777777" w:rsidR="00894070" w:rsidRDefault="00894070">
      <w:pPr>
        <w:pStyle w:val="BodyText"/>
      </w:pPr>
    </w:p>
    <w:p w14:paraId="18042F3D" w14:textId="77777777" w:rsidR="00894070" w:rsidRDefault="00894070">
      <w:pPr>
        <w:pStyle w:val="BodyText"/>
      </w:pPr>
    </w:p>
    <w:p w14:paraId="7394EF21" w14:textId="77777777" w:rsidR="00894070" w:rsidRDefault="00894070">
      <w:pPr>
        <w:pStyle w:val="BodyText"/>
      </w:pPr>
    </w:p>
    <w:p w14:paraId="33A6B921" w14:textId="77777777" w:rsidR="00894070" w:rsidRDefault="00894070">
      <w:pPr>
        <w:pStyle w:val="BodyText"/>
      </w:pPr>
    </w:p>
    <w:p w14:paraId="1E18EF72" w14:textId="77777777" w:rsidR="00894070" w:rsidRDefault="009F6793">
      <w:pPr>
        <w:pStyle w:val="BodyText"/>
        <w:spacing w:before="8"/>
        <w:rPr>
          <w:sz w:val="21"/>
        </w:rPr>
      </w:pPr>
      <w:r>
        <w:pict w14:anchorId="66336E0A">
          <v:line id="_x0000_s1057" style="position:absolute;z-index:251782144;mso-wrap-distance-left:0;mso-wrap-distance-right:0;mso-position-horizontal-relative:page" from="79.35pt,17.45pt" to="515.9pt,17.45pt" strokecolor="#f8cabc" strokeweight="1pt">
            <w10:wrap type="topAndBottom" anchorx="page"/>
          </v:line>
        </w:pict>
      </w:r>
    </w:p>
    <w:p w14:paraId="3DA6B4B1" w14:textId="77777777" w:rsidR="00894070" w:rsidRDefault="00894070">
      <w:pPr>
        <w:pStyle w:val="BodyText"/>
        <w:rPr>
          <w:sz w:val="5"/>
        </w:rPr>
      </w:pPr>
    </w:p>
    <w:p w14:paraId="3F6EC0B2" w14:textId="77777777" w:rsidR="00894070" w:rsidRDefault="00894070">
      <w:pPr>
        <w:rPr>
          <w:sz w:val="5"/>
        </w:rPr>
        <w:sectPr w:rsidR="00894070">
          <w:pgSz w:w="11910" w:h="16840"/>
          <w:pgMar w:top="840" w:right="420" w:bottom="280" w:left="580" w:header="0" w:footer="0" w:gutter="0"/>
          <w:cols w:space="720"/>
        </w:sectPr>
      </w:pPr>
    </w:p>
    <w:p w14:paraId="16E330B4" w14:textId="77777777" w:rsidR="00894070" w:rsidRDefault="009B7AFD">
      <w:pPr>
        <w:pStyle w:val="ListParagraph"/>
        <w:numPr>
          <w:ilvl w:val="0"/>
          <w:numId w:val="20"/>
        </w:numPr>
        <w:tabs>
          <w:tab w:val="left" w:pos="1801"/>
          <w:tab w:val="left" w:pos="1802"/>
        </w:tabs>
        <w:spacing w:before="21" w:line="170" w:lineRule="exact"/>
        <w:jc w:val="left"/>
        <w:rPr>
          <w:sz w:val="13"/>
        </w:rPr>
      </w:pPr>
      <w:r>
        <w:rPr>
          <w:color w:val="231F20"/>
          <w:spacing w:val="2"/>
          <w:sz w:val="13"/>
        </w:rPr>
        <w:t xml:space="preserve">Submission </w:t>
      </w:r>
      <w:r>
        <w:rPr>
          <w:color w:val="231F20"/>
          <w:sz w:val="13"/>
        </w:rPr>
        <w:t xml:space="preserve">47 </w:t>
      </w:r>
      <w:r>
        <w:rPr>
          <w:color w:val="231F20"/>
          <w:spacing w:val="2"/>
          <w:sz w:val="13"/>
        </w:rPr>
        <w:t xml:space="preserve">(Liberty </w:t>
      </w:r>
      <w:r>
        <w:rPr>
          <w:color w:val="231F20"/>
          <w:sz w:val="13"/>
        </w:rPr>
        <w:t>Victoria); Consultation 15 (Forensicare (No 1)).</w:t>
      </w:r>
    </w:p>
    <w:p w14:paraId="24D01A2C" w14:textId="77777777" w:rsidR="00894070" w:rsidRDefault="009B7AFD">
      <w:pPr>
        <w:pStyle w:val="ListParagraph"/>
        <w:numPr>
          <w:ilvl w:val="0"/>
          <w:numId w:val="20"/>
        </w:numPr>
        <w:tabs>
          <w:tab w:val="left" w:pos="1801"/>
          <w:tab w:val="left" w:pos="1802"/>
        </w:tabs>
        <w:spacing w:line="160" w:lineRule="exact"/>
        <w:jc w:val="left"/>
        <w:rPr>
          <w:sz w:val="13"/>
        </w:rPr>
      </w:pPr>
      <w:r>
        <w:rPr>
          <w:color w:val="231F20"/>
          <w:spacing w:val="2"/>
          <w:sz w:val="13"/>
        </w:rPr>
        <w:t xml:space="preserve">Submissions </w:t>
      </w:r>
      <w:r>
        <w:rPr>
          <w:color w:val="231F20"/>
          <w:sz w:val="13"/>
        </w:rPr>
        <w:t>98 (Law Institute of Victoria), 100</w:t>
      </w:r>
      <w:r>
        <w:rPr>
          <w:color w:val="231F20"/>
          <w:spacing w:val="1"/>
          <w:sz w:val="13"/>
        </w:rPr>
        <w:t xml:space="preserve"> </w:t>
      </w:r>
      <w:r>
        <w:rPr>
          <w:color w:val="231F20"/>
          <w:sz w:val="13"/>
        </w:rPr>
        <w:t>(Forensicare).</w:t>
      </w:r>
    </w:p>
    <w:p w14:paraId="5E88C6F9" w14:textId="77777777" w:rsidR="00894070" w:rsidRDefault="009B7AFD">
      <w:pPr>
        <w:pStyle w:val="ListParagraph"/>
        <w:numPr>
          <w:ilvl w:val="0"/>
          <w:numId w:val="20"/>
        </w:numPr>
        <w:tabs>
          <w:tab w:val="left" w:pos="1800"/>
          <w:tab w:val="left" w:pos="1802"/>
        </w:tabs>
        <w:spacing w:line="160" w:lineRule="exact"/>
        <w:jc w:val="lef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6"/>
          <w:sz w:val="13"/>
        </w:rPr>
        <w:t xml:space="preserve"> </w:t>
      </w:r>
      <w:r>
        <w:rPr>
          <w:color w:val="231F20"/>
          <w:sz w:val="13"/>
        </w:rPr>
        <w:t>Centres).</w:t>
      </w:r>
    </w:p>
    <w:p w14:paraId="4046391D" w14:textId="77777777" w:rsidR="00894070" w:rsidRDefault="009B7AFD">
      <w:pPr>
        <w:pStyle w:val="ListParagraph"/>
        <w:numPr>
          <w:ilvl w:val="0"/>
          <w:numId w:val="20"/>
        </w:numPr>
        <w:tabs>
          <w:tab w:val="left" w:pos="1801"/>
          <w:tab w:val="left" w:pos="1802"/>
        </w:tabs>
        <w:spacing w:line="160" w:lineRule="exact"/>
        <w:jc w:val="left"/>
        <w:rPr>
          <w:sz w:val="13"/>
        </w:rPr>
      </w:pPr>
      <w:r>
        <w:rPr>
          <w:color w:val="231F20"/>
          <w:sz w:val="13"/>
        </w:rPr>
        <w:t>Consultation 15 (Forensicare (No</w:t>
      </w:r>
      <w:r>
        <w:rPr>
          <w:color w:val="231F20"/>
          <w:spacing w:val="1"/>
          <w:sz w:val="13"/>
        </w:rPr>
        <w:t xml:space="preserve"> </w:t>
      </w:r>
      <w:r>
        <w:rPr>
          <w:color w:val="231F20"/>
          <w:sz w:val="13"/>
        </w:rPr>
        <w:t>1)).</w:t>
      </w:r>
    </w:p>
    <w:p w14:paraId="6109F4A3" w14:textId="77777777" w:rsidR="00894070" w:rsidRDefault="009B7AFD">
      <w:pPr>
        <w:pStyle w:val="ListParagraph"/>
        <w:numPr>
          <w:ilvl w:val="0"/>
          <w:numId w:val="20"/>
        </w:numPr>
        <w:tabs>
          <w:tab w:val="left" w:pos="1801"/>
          <w:tab w:val="left" w:pos="1802"/>
        </w:tabs>
        <w:spacing w:before="7" w:line="213" w:lineRule="auto"/>
        <w:ind w:right="14"/>
        <w:jc w:val="left"/>
        <w:rPr>
          <w:sz w:val="13"/>
        </w:rPr>
      </w:pPr>
      <w:r>
        <w:rPr>
          <w:color w:val="231F20"/>
          <w:spacing w:val="2"/>
          <w:sz w:val="13"/>
        </w:rPr>
        <w:t xml:space="preserve">Submissions </w:t>
      </w:r>
      <w:r>
        <w:rPr>
          <w:color w:val="231F20"/>
          <w:sz w:val="13"/>
        </w:rPr>
        <w:t xml:space="preserve">47 </w:t>
      </w:r>
      <w:r>
        <w:rPr>
          <w:color w:val="231F20"/>
          <w:spacing w:val="2"/>
          <w:sz w:val="13"/>
        </w:rPr>
        <w:t xml:space="preserve">(Liberty </w:t>
      </w:r>
      <w:r>
        <w:rPr>
          <w:color w:val="231F20"/>
          <w:sz w:val="13"/>
        </w:rPr>
        <w:t>Victoria), 93 (Royal Australian and New Zealand College of Psychiatrists), 95 (Springvale Monash Legal Service).</w:t>
      </w:r>
    </w:p>
    <w:p w14:paraId="55FAE8A8" w14:textId="77777777" w:rsidR="00894070" w:rsidRDefault="009B7AFD">
      <w:pPr>
        <w:pStyle w:val="ListParagraph"/>
        <w:numPr>
          <w:ilvl w:val="0"/>
          <w:numId w:val="20"/>
        </w:numPr>
        <w:tabs>
          <w:tab w:val="left" w:pos="1800"/>
          <w:tab w:val="left" w:pos="1802"/>
        </w:tabs>
        <w:spacing w:line="213" w:lineRule="auto"/>
        <w:jc w:val="left"/>
        <w:rPr>
          <w:sz w:val="13"/>
        </w:rPr>
      </w:pPr>
      <w:r>
        <w:rPr>
          <w:color w:val="231F20"/>
          <w:sz w:val="13"/>
        </w:rPr>
        <w:t xml:space="preserve">Consultation 19 (Community legal sector roundtable). Springvale Monash Legal </w:t>
      </w:r>
      <w:r>
        <w:rPr>
          <w:color w:val="231F20"/>
          <w:spacing w:val="2"/>
          <w:sz w:val="13"/>
        </w:rPr>
        <w:t xml:space="preserve">Service </w:t>
      </w:r>
      <w:r>
        <w:rPr>
          <w:color w:val="231F20"/>
          <w:sz w:val="13"/>
        </w:rPr>
        <w:t xml:space="preserve">told us that ‘court imposed treatment orders should be considered as a </w:t>
      </w:r>
      <w:r>
        <w:rPr>
          <w:color w:val="231F20"/>
          <w:spacing w:val="2"/>
          <w:sz w:val="13"/>
        </w:rPr>
        <w:t xml:space="preserve">last </w:t>
      </w:r>
      <w:r>
        <w:rPr>
          <w:color w:val="231F20"/>
          <w:sz w:val="13"/>
        </w:rPr>
        <w:t xml:space="preserve">resort and if </w:t>
      </w:r>
      <w:r>
        <w:rPr>
          <w:color w:val="231F20"/>
          <w:spacing w:val="2"/>
          <w:sz w:val="13"/>
        </w:rPr>
        <w:t xml:space="preserve">imposed, </w:t>
      </w:r>
      <w:r>
        <w:rPr>
          <w:color w:val="231F20"/>
          <w:sz w:val="13"/>
        </w:rPr>
        <w:t xml:space="preserve">be in the least restrictive form’: </w:t>
      </w:r>
      <w:r>
        <w:rPr>
          <w:color w:val="231F20"/>
          <w:spacing w:val="2"/>
          <w:sz w:val="13"/>
        </w:rPr>
        <w:t xml:space="preserve">Submission </w:t>
      </w:r>
      <w:r>
        <w:rPr>
          <w:color w:val="231F20"/>
          <w:sz w:val="13"/>
        </w:rPr>
        <w:t>95 (Springvale Monash Legal Service).</w:t>
      </w:r>
    </w:p>
    <w:p w14:paraId="15BC4DE6" w14:textId="77777777" w:rsidR="00894070" w:rsidRDefault="009B7AFD">
      <w:pPr>
        <w:pStyle w:val="ListParagraph"/>
        <w:numPr>
          <w:ilvl w:val="0"/>
          <w:numId w:val="20"/>
        </w:numPr>
        <w:tabs>
          <w:tab w:val="left" w:pos="1800"/>
          <w:tab w:val="left" w:pos="1802"/>
        </w:tabs>
        <w:spacing w:line="162" w:lineRule="exact"/>
        <w:jc w:val="left"/>
        <w:rPr>
          <w:sz w:val="13"/>
        </w:rPr>
      </w:pPr>
      <w:r>
        <w:rPr>
          <w:color w:val="231F20"/>
          <w:sz w:val="13"/>
        </w:rPr>
        <w:t xml:space="preserve">Consultation 17 (Small group meeting on </w:t>
      </w:r>
      <w:r>
        <w:rPr>
          <w:color w:val="231F20"/>
          <w:spacing w:val="2"/>
          <w:sz w:val="13"/>
        </w:rPr>
        <w:t xml:space="preserve">stalking </w:t>
      </w:r>
      <w:r>
        <w:rPr>
          <w:color w:val="231F20"/>
          <w:sz w:val="13"/>
        </w:rPr>
        <w:t>and young</w:t>
      </w:r>
      <w:r>
        <w:rPr>
          <w:color w:val="231F20"/>
          <w:spacing w:val="3"/>
          <w:sz w:val="13"/>
        </w:rPr>
        <w:t xml:space="preserve"> </w:t>
      </w:r>
      <w:r>
        <w:rPr>
          <w:color w:val="231F20"/>
          <w:sz w:val="13"/>
        </w:rPr>
        <w:t>people).</w:t>
      </w:r>
    </w:p>
    <w:p w14:paraId="7405345D" w14:textId="77777777" w:rsidR="00894070" w:rsidRDefault="009B7AFD">
      <w:pPr>
        <w:pStyle w:val="BodyText"/>
        <w:rPr>
          <w:sz w:val="28"/>
        </w:rPr>
      </w:pPr>
      <w:r>
        <w:br w:type="column"/>
      </w:r>
    </w:p>
    <w:p w14:paraId="06B6BC64" w14:textId="77777777" w:rsidR="00894070" w:rsidRDefault="00894070">
      <w:pPr>
        <w:pStyle w:val="BodyText"/>
        <w:rPr>
          <w:sz w:val="28"/>
        </w:rPr>
      </w:pPr>
    </w:p>
    <w:p w14:paraId="2B65EB52" w14:textId="77777777" w:rsidR="00894070" w:rsidRDefault="00894070">
      <w:pPr>
        <w:pStyle w:val="BodyText"/>
        <w:spacing w:before="2"/>
        <w:rPr>
          <w:sz w:val="40"/>
        </w:rPr>
      </w:pPr>
    </w:p>
    <w:p w14:paraId="00017BF7" w14:textId="77777777" w:rsidR="00894070" w:rsidRDefault="009B7AFD">
      <w:pPr>
        <w:pStyle w:val="Heading8"/>
        <w:ind w:left="700"/>
      </w:pPr>
      <w:r>
        <w:rPr>
          <w:color w:val="EA5B50"/>
        </w:rPr>
        <w:t>177</w:t>
      </w:r>
    </w:p>
    <w:p w14:paraId="53FD57AB" w14:textId="77777777" w:rsidR="00894070" w:rsidRDefault="00894070">
      <w:pPr>
        <w:sectPr w:rsidR="00894070">
          <w:type w:val="continuous"/>
          <w:pgSz w:w="11910" w:h="16840"/>
          <w:pgMar w:top="560" w:right="420" w:bottom="280" w:left="580" w:header="720" w:footer="720" w:gutter="0"/>
          <w:cols w:num="2" w:space="720" w:equalWidth="0">
            <w:col w:w="9601" w:space="40"/>
            <w:col w:w="1269"/>
          </w:cols>
        </w:sectPr>
      </w:pPr>
    </w:p>
    <w:p w14:paraId="39192A04" w14:textId="77777777" w:rsidR="00894070" w:rsidRDefault="00894070">
      <w:pPr>
        <w:pStyle w:val="BodyText"/>
        <w:rPr>
          <w:b/>
        </w:rPr>
      </w:pPr>
    </w:p>
    <w:p w14:paraId="156DBC90" w14:textId="77777777" w:rsidR="00894070" w:rsidRDefault="00894070">
      <w:pPr>
        <w:pStyle w:val="BodyText"/>
        <w:rPr>
          <w:b/>
        </w:rPr>
      </w:pPr>
    </w:p>
    <w:p w14:paraId="2DE7A360" w14:textId="77777777" w:rsidR="00894070" w:rsidRDefault="00894070">
      <w:pPr>
        <w:pStyle w:val="BodyText"/>
        <w:rPr>
          <w:b/>
        </w:rPr>
      </w:pPr>
    </w:p>
    <w:p w14:paraId="2A736328" w14:textId="77777777" w:rsidR="00894070" w:rsidRDefault="009B7AFD">
      <w:pPr>
        <w:spacing w:before="212"/>
        <w:ind w:left="1007"/>
        <w:rPr>
          <w:rFonts w:ascii="Raleway ExtraBold"/>
          <w:b/>
          <w:sz w:val="28"/>
        </w:rPr>
      </w:pPr>
      <w:bookmarkStart w:id="189" w:name="Electronic_monitoring"/>
      <w:bookmarkStart w:id="190" w:name="_bookmark114"/>
      <w:bookmarkEnd w:id="189"/>
      <w:bookmarkEnd w:id="190"/>
      <w:r>
        <w:rPr>
          <w:rFonts w:ascii="Raleway ExtraBold"/>
          <w:b/>
          <w:color w:val="EA5B50"/>
          <w:sz w:val="28"/>
        </w:rPr>
        <w:t>Electronic monitoring</w:t>
      </w:r>
    </w:p>
    <w:p w14:paraId="27AFC1BC" w14:textId="77777777" w:rsidR="00894070" w:rsidRDefault="009B7AFD">
      <w:pPr>
        <w:spacing w:before="241"/>
        <w:ind w:left="1007"/>
        <w:rPr>
          <w:b/>
          <w:sz w:val="24"/>
        </w:rPr>
      </w:pPr>
      <w:r>
        <w:rPr>
          <w:b/>
          <w:color w:val="231F20"/>
          <w:sz w:val="24"/>
        </w:rPr>
        <w:t>What is electronic monitoring?</w:t>
      </w:r>
    </w:p>
    <w:p w14:paraId="1CA818B9" w14:textId="77777777" w:rsidR="00894070" w:rsidRDefault="009B7AFD">
      <w:pPr>
        <w:pStyle w:val="ListParagraph"/>
        <w:numPr>
          <w:ilvl w:val="1"/>
          <w:numId w:val="29"/>
        </w:numPr>
        <w:tabs>
          <w:tab w:val="left" w:pos="1801"/>
          <w:tab w:val="left" w:pos="1802"/>
        </w:tabs>
        <w:spacing w:before="94"/>
        <w:rPr>
          <w:sz w:val="20"/>
        </w:rPr>
      </w:pPr>
      <w:r>
        <w:rPr>
          <w:color w:val="231F20"/>
          <w:sz w:val="20"/>
        </w:rPr>
        <w:t>This</w:t>
      </w:r>
      <w:r>
        <w:rPr>
          <w:color w:val="231F20"/>
          <w:spacing w:val="-6"/>
          <w:sz w:val="20"/>
        </w:rPr>
        <w:t xml:space="preserve"> </w:t>
      </w:r>
      <w:r>
        <w:rPr>
          <w:color w:val="231F20"/>
          <w:sz w:val="20"/>
        </w:rPr>
        <w:t>section</w:t>
      </w:r>
      <w:r>
        <w:rPr>
          <w:color w:val="231F20"/>
          <w:spacing w:val="-5"/>
          <w:sz w:val="20"/>
        </w:rPr>
        <w:t xml:space="preserve"> </w:t>
      </w:r>
      <w:r>
        <w:rPr>
          <w:color w:val="231F20"/>
          <w:sz w:val="20"/>
        </w:rPr>
        <w:t>considers</w:t>
      </w:r>
      <w:r>
        <w:rPr>
          <w:color w:val="231F20"/>
          <w:spacing w:val="-6"/>
          <w:sz w:val="20"/>
        </w:rPr>
        <w:t xml:space="preserve"> </w:t>
      </w:r>
      <w:r>
        <w:rPr>
          <w:color w:val="231F20"/>
          <w:sz w:val="20"/>
        </w:rPr>
        <w:t>the</w:t>
      </w:r>
      <w:r>
        <w:rPr>
          <w:color w:val="231F20"/>
          <w:spacing w:val="-5"/>
          <w:sz w:val="20"/>
        </w:rPr>
        <w:t xml:space="preserve"> </w:t>
      </w:r>
      <w:r>
        <w:rPr>
          <w:color w:val="231F20"/>
          <w:sz w:val="20"/>
        </w:rPr>
        <w:t>use</w:t>
      </w:r>
      <w:r>
        <w:rPr>
          <w:color w:val="231F20"/>
          <w:spacing w:val="-5"/>
          <w:sz w:val="20"/>
        </w:rPr>
        <w:t xml:space="preserve"> </w:t>
      </w:r>
      <w:r>
        <w:rPr>
          <w:color w:val="231F20"/>
          <w:sz w:val="20"/>
        </w:rPr>
        <w:t>of</w:t>
      </w:r>
      <w:r>
        <w:rPr>
          <w:color w:val="231F20"/>
          <w:spacing w:val="-6"/>
          <w:sz w:val="20"/>
        </w:rPr>
        <w:t xml:space="preserve"> </w:t>
      </w:r>
      <w:r>
        <w:rPr>
          <w:color w:val="231F20"/>
          <w:sz w:val="20"/>
        </w:rPr>
        <w:t>electronic</w:t>
      </w:r>
      <w:r>
        <w:rPr>
          <w:color w:val="231F20"/>
          <w:spacing w:val="-5"/>
          <w:sz w:val="20"/>
        </w:rPr>
        <w:t xml:space="preserve"> </w:t>
      </w:r>
      <w:r>
        <w:rPr>
          <w:color w:val="231F20"/>
          <w:sz w:val="20"/>
        </w:rPr>
        <w:t>monitoring</w:t>
      </w:r>
      <w:r>
        <w:rPr>
          <w:color w:val="231F20"/>
          <w:spacing w:val="-6"/>
          <w:sz w:val="20"/>
        </w:rPr>
        <w:t xml:space="preserve"> </w:t>
      </w:r>
      <w:r>
        <w:rPr>
          <w:color w:val="231F20"/>
          <w:sz w:val="20"/>
        </w:rPr>
        <w:t>as</w:t>
      </w:r>
      <w:r>
        <w:rPr>
          <w:color w:val="231F20"/>
          <w:spacing w:val="-5"/>
          <w:sz w:val="20"/>
        </w:rPr>
        <w:t xml:space="preserve"> </w:t>
      </w:r>
      <w:r>
        <w:rPr>
          <w:color w:val="231F20"/>
          <w:sz w:val="20"/>
        </w:rPr>
        <w:t>a</w:t>
      </w:r>
      <w:r>
        <w:rPr>
          <w:color w:val="231F20"/>
          <w:spacing w:val="-5"/>
          <w:sz w:val="20"/>
        </w:rPr>
        <w:t xml:space="preserve"> </w:t>
      </w:r>
      <w:r>
        <w:rPr>
          <w:color w:val="231F20"/>
          <w:sz w:val="20"/>
        </w:rPr>
        <w:t>condition</w:t>
      </w:r>
      <w:r>
        <w:rPr>
          <w:color w:val="231F20"/>
          <w:spacing w:val="-6"/>
          <w:sz w:val="20"/>
        </w:rPr>
        <w:t xml:space="preserve"> </w:t>
      </w:r>
      <w:r>
        <w:rPr>
          <w:color w:val="231F20"/>
          <w:sz w:val="20"/>
        </w:rPr>
        <w:t>on</w:t>
      </w:r>
      <w:r>
        <w:rPr>
          <w:color w:val="231F20"/>
          <w:spacing w:val="-5"/>
          <w:sz w:val="20"/>
        </w:rPr>
        <w:t xml:space="preserve"> </w:t>
      </w:r>
      <w:r>
        <w:rPr>
          <w:color w:val="231F20"/>
          <w:sz w:val="20"/>
        </w:rPr>
        <w:t>PSIOs.</w:t>
      </w:r>
    </w:p>
    <w:p w14:paraId="77C9395C" w14:textId="77777777" w:rsidR="00894070" w:rsidRDefault="009B7AFD">
      <w:pPr>
        <w:pStyle w:val="ListParagraph"/>
        <w:numPr>
          <w:ilvl w:val="1"/>
          <w:numId w:val="29"/>
        </w:numPr>
        <w:tabs>
          <w:tab w:val="left" w:pos="1801"/>
          <w:tab w:val="left" w:pos="1802"/>
        </w:tabs>
        <w:spacing w:before="115" w:line="206" w:lineRule="auto"/>
        <w:ind w:right="1364"/>
        <w:rPr>
          <w:sz w:val="11"/>
        </w:rPr>
      </w:pPr>
      <w:r>
        <w:rPr>
          <w:color w:val="231F20"/>
          <w:sz w:val="20"/>
        </w:rPr>
        <w:t xml:space="preserve">A person who is </w:t>
      </w:r>
      <w:r>
        <w:rPr>
          <w:color w:val="231F20"/>
          <w:spacing w:val="-3"/>
          <w:sz w:val="20"/>
        </w:rPr>
        <w:t xml:space="preserve">electronically </w:t>
      </w:r>
      <w:r>
        <w:rPr>
          <w:color w:val="231F20"/>
          <w:sz w:val="20"/>
        </w:rPr>
        <w:t xml:space="preserve">monitored wears a </w:t>
      </w:r>
      <w:r>
        <w:rPr>
          <w:color w:val="231F20"/>
          <w:spacing w:val="-3"/>
          <w:sz w:val="20"/>
        </w:rPr>
        <w:t xml:space="preserve">device </w:t>
      </w:r>
      <w:r>
        <w:rPr>
          <w:color w:val="231F20"/>
          <w:sz w:val="20"/>
        </w:rPr>
        <w:t xml:space="preserve">that cannot be </w:t>
      </w:r>
      <w:r>
        <w:rPr>
          <w:color w:val="231F20"/>
          <w:spacing w:val="-3"/>
          <w:sz w:val="20"/>
        </w:rPr>
        <w:t xml:space="preserve">removed (usually </w:t>
      </w:r>
      <w:r>
        <w:rPr>
          <w:color w:val="231F20"/>
          <w:sz w:val="20"/>
        </w:rPr>
        <w:t xml:space="preserve">around their </w:t>
      </w:r>
      <w:r>
        <w:rPr>
          <w:color w:val="231F20"/>
          <w:spacing w:val="-3"/>
          <w:sz w:val="20"/>
        </w:rPr>
        <w:t xml:space="preserve">ankle) </w:t>
      </w:r>
      <w:r>
        <w:rPr>
          <w:color w:val="231F20"/>
          <w:sz w:val="20"/>
        </w:rPr>
        <w:t xml:space="preserve">that </w:t>
      </w:r>
      <w:r>
        <w:rPr>
          <w:color w:val="231F20"/>
          <w:spacing w:val="-3"/>
          <w:sz w:val="20"/>
        </w:rPr>
        <w:t xml:space="preserve">allows </w:t>
      </w:r>
      <w:r>
        <w:rPr>
          <w:color w:val="231F20"/>
          <w:sz w:val="20"/>
        </w:rPr>
        <w:t xml:space="preserve">authorities to track their location using global positioning </w:t>
      </w:r>
      <w:r>
        <w:rPr>
          <w:color w:val="231F20"/>
          <w:spacing w:val="-2"/>
          <w:sz w:val="20"/>
        </w:rPr>
        <w:t xml:space="preserve">system </w:t>
      </w:r>
      <w:r>
        <w:rPr>
          <w:color w:val="231F20"/>
          <w:sz w:val="20"/>
        </w:rPr>
        <w:t>(GPS) and radio frequency (RF) technologies.</w:t>
      </w:r>
      <w:r>
        <w:rPr>
          <w:color w:val="231F20"/>
          <w:position w:val="7"/>
          <w:sz w:val="11"/>
        </w:rPr>
        <w:t xml:space="preserve">152 </w:t>
      </w:r>
      <w:r>
        <w:rPr>
          <w:color w:val="231F20"/>
          <w:sz w:val="20"/>
        </w:rPr>
        <w:t xml:space="preserve">The </w:t>
      </w:r>
      <w:r>
        <w:rPr>
          <w:color w:val="231F20"/>
          <w:spacing w:val="-3"/>
          <w:sz w:val="20"/>
        </w:rPr>
        <w:t xml:space="preserve">devices are </w:t>
      </w:r>
      <w:r>
        <w:rPr>
          <w:color w:val="231F20"/>
          <w:sz w:val="20"/>
        </w:rPr>
        <w:t>programmed</w:t>
      </w:r>
      <w:r>
        <w:rPr>
          <w:color w:val="231F20"/>
          <w:spacing w:val="-11"/>
          <w:sz w:val="20"/>
        </w:rPr>
        <w:t xml:space="preserve"> </w:t>
      </w:r>
      <w:r>
        <w:rPr>
          <w:color w:val="231F20"/>
          <w:sz w:val="20"/>
        </w:rPr>
        <w:t>to</w:t>
      </w:r>
      <w:r>
        <w:rPr>
          <w:color w:val="231F20"/>
          <w:spacing w:val="-10"/>
          <w:sz w:val="20"/>
        </w:rPr>
        <w:t xml:space="preserve"> </w:t>
      </w:r>
      <w:r>
        <w:rPr>
          <w:color w:val="231F20"/>
          <w:sz w:val="20"/>
        </w:rPr>
        <w:t>communicate</w:t>
      </w:r>
      <w:r>
        <w:rPr>
          <w:color w:val="231F20"/>
          <w:spacing w:val="-10"/>
          <w:sz w:val="20"/>
        </w:rPr>
        <w:t xml:space="preserve"> </w:t>
      </w:r>
      <w:r>
        <w:rPr>
          <w:color w:val="231F20"/>
          <w:sz w:val="20"/>
        </w:rPr>
        <w:t>to</w:t>
      </w:r>
      <w:r>
        <w:rPr>
          <w:color w:val="231F20"/>
          <w:spacing w:val="-10"/>
          <w:sz w:val="20"/>
        </w:rPr>
        <w:t xml:space="preserve"> </w:t>
      </w:r>
      <w:r>
        <w:rPr>
          <w:color w:val="231F20"/>
          <w:sz w:val="20"/>
        </w:rPr>
        <w:t>a</w:t>
      </w:r>
      <w:r>
        <w:rPr>
          <w:color w:val="231F20"/>
          <w:spacing w:val="-10"/>
          <w:sz w:val="20"/>
        </w:rPr>
        <w:t xml:space="preserve"> </w:t>
      </w:r>
      <w:r>
        <w:rPr>
          <w:color w:val="231F20"/>
          <w:sz w:val="20"/>
        </w:rPr>
        <w:t>monitoring</w:t>
      </w:r>
      <w:r>
        <w:rPr>
          <w:color w:val="231F20"/>
          <w:spacing w:val="-10"/>
          <w:sz w:val="20"/>
        </w:rPr>
        <w:t xml:space="preserve"> </w:t>
      </w:r>
      <w:r>
        <w:rPr>
          <w:color w:val="231F20"/>
          <w:spacing w:val="-3"/>
          <w:sz w:val="20"/>
        </w:rPr>
        <w:t>centre</w:t>
      </w:r>
      <w:r>
        <w:rPr>
          <w:color w:val="231F20"/>
          <w:spacing w:val="-10"/>
          <w:sz w:val="20"/>
        </w:rPr>
        <w:t xml:space="preserve"> </w:t>
      </w:r>
      <w:r>
        <w:rPr>
          <w:color w:val="231F20"/>
          <w:sz w:val="20"/>
        </w:rPr>
        <w:t>when</w:t>
      </w:r>
      <w:r>
        <w:rPr>
          <w:color w:val="231F20"/>
          <w:spacing w:val="-10"/>
          <w:sz w:val="20"/>
        </w:rPr>
        <w:t xml:space="preserve"> </w:t>
      </w:r>
      <w:r>
        <w:rPr>
          <w:color w:val="231F20"/>
          <w:sz w:val="20"/>
        </w:rPr>
        <w:t>certain</w:t>
      </w:r>
      <w:r>
        <w:rPr>
          <w:color w:val="231F20"/>
          <w:spacing w:val="-10"/>
          <w:sz w:val="20"/>
        </w:rPr>
        <w:t xml:space="preserve"> </w:t>
      </w:r>
      <w:r>
        <w:rPr>
          <w:color w:val="231F20"/>
          <w:sz w:val="20"/>
        </w:rPr>
        <w:t>things</w:t>
      </w:r>
      <w:r>
        <w:rPr>
          <w:color w:val="231F20"/>
          <w:spacing w:val="-10"/>
          <w:sz w:val="20"/>
        </w:rPr>
        <w:t xml:space="preserve"> </w:t>
      </w:r>
      <w:r>
        <w:rPr>
          <w:color w:val="231F20"/>
          <w:spacing w:val="-4"/>
          <w:sz w:val="20"/>
        </w:rPr>
        <w:t>occur,</w:t>
      </w:r>
      <w:r>
        <w:rPr>
          <w:color w:val="231F20"/>
          <w:spacing w:val="-10"/>
          <w:sz w:val="20"/>
        </w:rPr>
        <w:t xml:space="preserve"> </w:t>
      </w:r>
      <w:r>
        <w:rPr>
          <w:color w:val="231F20"/>
          <w:sz w:val="20"/>
        </w:rPr>
        <w:t>such as</w:t>
      </w:r>
      <w:r>
        <w:rPr>
          <w:color w:val="231F20"/>
          <w:spacing w:val="-5"/>
          <w:sz w:val="20"/>
        </w:rPr>
        <w:t xml:space="preserve"> </w:t>
      </w:r>
      <w:r>
        <w:rPr>
          <w:color w:val="231F20"/>
          <w:sz w:val="20"/>
        </w:rPr>
        <w:t>a</w:t>
      </w:r>
      <w:r>
        <w:rPr>
          <w:color w:val="231F20"/>
          <w:spacing w:val="-4"/>
          <w:sz w:val="20"/>
        </w:rPr>
        <w:t xml:space="preserve"> </w:t>
      </w:r>
      <w:r>
        <w:rPr>
          <w:color w:val="231F20"/>
          <w:sz w:val="20"/>
        </w:rPr>
        <w:t>person</w:t>
      </w:r>
      <w:r>
        <w:rPr>
          <w:color w:val="231F20"/>
          <w:spacing w:val="-4"/>
          <w:sz w:val="20"/>
        </w:rPr>
        <w:t xml:space="preserve"> </w:t>
      </w:r>
      <w:r>
        <w:rPr>
          <w:color w:val="231F20"/>
          <w:sz w:val="20"/>
        </w:rPr>
        <w:t>going</w:t>
      </w:r>
      <w:r>
        <w:rPr>
          <w:color w:val="231F20"/>
          <w:spacing w:val="-5"/>
          <w:sz w:val="20"/>
        </w:rPr>
        <w:t xml:space="preserve"> </w:t>
      </w:r>
      <w:r>
        <w:rPr>
          <w:color w:val="231F20"/>
          <w:sz w:val="20"/>
        </w:rPr>
        <w:t>to</w:t>
      </w:r>
      <w:r>
        <w:rPr>
          <w:color w:val="231F20"/>
          <w:spacing w:val="-4"/>
          <w:sz w:val="20"/>
        </w:rPr>
        <w:t xml:space="preserve"> </w:t>
      </w:r>
      <w:r>
        <w:rPr>
          <w:color w:val="231F20"/>
          <w:sz w:val="20"/>
        </w:rPr>
        <w:t>a</w:t>
      </w:r>
      <w:r>
        <w:rPr>
          <w:color w:val="231F20"/>
          <w:spacing w:val="-4"/>
          <w:sz w:val="20"/>
        </w:rPr>
        <w:t xml:space="preserve"> </w:t>
      </w:r>
      <w:r>
        <w:rPr>
          <w:color w:val="231F20"/>
          <w:sz w:val="20"/>
        </w:rPr>
        <w:t>place</w:t>
      </w:r>
      <w:r>
        <w:rPr>
          <w:color w:val="231F20"/>
          <w:spacing w:val="-5"/>
          <w:sz w:val="20"/>
        </w:rPr>
        <w:t xml:space="preserve"> </w:t>
      </w:r>
      <w:r>
        <w:rPr>
          <w:color w:val="231F20"/>
          <w:sz w:val="20"/>
        </w:rPr>
        <w:t>they</w:t>
      </w:r>
      <w:r>
        <w:rPr>
          <w:color w:val="231F20"/>
          <w:spacing w:val="-4"/>
          <w:sz w:val="20"/>
        </w:rPr>
        <w:t xml:space="preserve"> </w:t>
      </w:r>
      <w:r>
        <w:rPr>
          <w:color w:val="231F20"/>
          <w:sz w:val="20"/>
        </w:rPr>
        <w:t>should</w:t>
      </w:r>
      <w:r>
        <w:rPr>
          <w:color w:val="231F20"/>
          <w:spacing w:val="-4"/>
          <w:sz w:val="20"/>
        </w:rPr>
        <w:t xml:space="preserve"> </w:t>
      </w:r>
      <w:r>
        <w:rPr>
          <w:color w:val="231F20"/>
          <w:sz w:val="20"/>
        </w:rPr>
        <w:t>not.</w:t>
      </w:r>
      <w:r>
        <w:rPr>
          <w:color w:val="231F20"/>
          <w:position w:val="7"/>
          <w:sz w:val="11"/>
        </w:rPr>
        <w:t>153</w:t>
      </w:r>
    </w:p>
    <w:p w14:paraId="7DAA7B8C" w14:textId="77777777" w:rsidR="00894070" w:rsidRDefault="009B7AFD">
      <w:pPr>
        <w:pStyle w:val="ListParagraph"/>
        <w:numPr>
          <w:ilvl w:val="1"/>
          <w:numId w:val="29"/>
        </w:numPr>
        <w:tabs>
          <w:tab w:val="left" w:pos="1801"/>
          <w:tab w:val="left" w:pos="1802"/>
        </w:tabs>
        <w:spacing w:before="126" w:line="206" w:lineRule="auto"/>
        <w:ind w:right="1319"/>
        <w:rPr>
          <w:sz w:val="20"/>
        </w:rPr>
      </w:pPr>
      <w:r>
        <w:rPr>
          <w:color w:val="231F20"/>
          <w:spacing w:val="-3"/>
          <w:sz w:val="20"/>
        </w:rPr>
        <w:t>Electronic</w:t>
      </w:r>
      <w:r>
        <w:rPr>
          <w:color w:val="231F20"/>
          <w:spacing w:val="-11"/>
          <w:sz w:val="20"/>
        </w:rPr>
        <w:t xml:space="preserve"> </w:t>
      </w:r>
      <w:r>
        <w:rPr>
          <w:color w:val="231F20"/>
          <w:sz w:val="20"/>
        </w:rPr>
        <w:t>monitoring</w:t>
      </w:r>
      <w:r>
        <w:rPr>
          <w:color w:val="231F20"/>
          <w:spacing w:val="-10"/>
          <w:sz w:val="20"/>
        </w:rPr>
        <w:t xml:space="preserve"> </w:t>
      </w:r>
      <w:r>
        <w:rPr>
          <w:color w:val="231F20"/>
          <w:sz w:val="20"/>
        </w:rPr>
        <w:t>is</w:t>
      </w:r>
      <w:r>
        <w:rPr>
          <w:color w:val="231F20"/>
          <w:spacing w:val="-10"/>
          <w:sz w:val="20"/>
        </w:rPr>
        <w:t xml:space="preserve"> </w:t>
      </w:r>
      <w:r>
        <w:rPr>
          <w:color w:val="231F20"/>
          <w:spacing w:val="-3"/>
          <w:sz w:val="20"/>
        </w:rPr>
        <w:t>now</w:t>
      </w:r>
      <w:r>
        <w:rPr>
          <w:color w:val="231F20"/>
          <w:spacing w:val="-10"/>
          <w:sz w:val="20"/>
        </w:rPr>
        <w:t xml:space="preserve"> </w:t>
      </w:r>
      <w:r>
        <w:rPr>
          <w:color w:val="231F20"/>
          <w:sz w:val="20"/>
        </w:rPr>
        <w:t>used</w:t>
      </w:r>
      <w:r>
        <w:rPr>
          <w:color w:val="231F20"/>
          <w:spacing w:val="-11"/>
          <w:sz w:val="20"/>
        </w:rPr>
        <w:t xml:space="preserve"> </w:t>
      </w:r>
      <w:r>
        <w:rPr>
          <w:color w:val="231F20"/>
          <w:sz w:val="20"/>
        </w:rPr>
        <w:t>to</w:t>
      </w:r>
      <w:r>
        <w:rPr>
          <w:color w:val="231F20"/>
          <w:spacing w:val="-10"/>
          <w:sz w:val="20"/>
        </w:rPr>
        <w:t xml:space="preserve"> </w:t>
      </w:r>
      <w:r>
        <w:rPr>
          <w:color w:val="231F20"/>
          <w:sz w:val="20"/>
        </w:rPr>
        <w:t>monitor</w:t>
      </w:r>
      <w:r>
        <w:rPr>
          <w:color w:val="231F20"/>
          <w:spacing w:val="-10"/>
          <w:sz w:val="20"/>
        </w:rPr>
        <w:t xml:space="preserve"> </w:t>
      </w:r>
      <w:r>
        <w:rPr>
          <w:color w:val="231F20"/>
          <w:sz w:val="20"/>
        </w:rPr>
        <w:t>compliance</w:t>
      </w:r>
      <w:r>
        <w:rPr>
          <w:color w:val="231F20"/>
          <w:spacing w:val="-10"/>
          <w:sz w:val="20"/>
        </w:rPr>
        <w:t xml:space="preserve"> </w:t>
      </w:r>
      <w:r>
        <w:rPr>
          <w:color w:val="231F20"/>
          <w:sz w:val="20"/>
        </w:rPr>
        <w:t>with</w:t>
      </w:r>
      <w:r>
        <w:rPr>
          <w:color w:val="231F20"/>
          <w:spacing w:val="-11"/>
          <w:sz w:val="20"/>
        </w:rPr>
        <w:t xml:space="preserve"> </w:t>
      </w:r>
      <w:r>
        <w:rPr>
          <w:color w:val="231F20"/>
          <w:sz w:val="20"/>
        </w:rPr>
        <w:t>community</w:t>
      </w:r>
      <w:r>
        <w:rPr>
          <w:color w:val="231F20"/>
          <w:spacing w:val="-10"/>
          <w:sz w:val="20"/>
        </w:rPr>
        <w:t xml:space="preserve"> </w:t>
      </w:r>
      <w:r>
        <w:rPr>
          <w:color w:val="231F20"/>
          <w:sz w:val="20"/>
        </w:rPr>
        <w:t>corrections orders,</w:t>
      </w:r>
      <w:r>
        <w:rPr>
          <w:color w:val="231F20"/>
          <w:position w:val="7"/>
          <w:sz w:val="11"/>
        </w:rPr>
        <w:t xml:space="preserve">154 </w:t>
      </w:r>
      <w:r>
        <w:rPr>
          <w:color w:val="231F20"/>
          <w:spacing w:val="-3"/>
          <w:sz w:val="20"/>
        </w:rPr>
        <w:t xml:space="preserve">parole </w:t>
      </w:r>
      <w:r>
        <w:rPr>
          <w:color w:val="231F20"/>
          <w:sz w:val="20"/>
        </w:rPr>
        <w:t>orders,</w:t>
      </w:r>
      <w:r>
        <w:rPr>
          <w:color w:val="231F20"/>
          <w:position w:val="7"/>
          <w:sz w:val="11"/>
        </w:rPr>
        <w:t xml:space="preserve">155 </w:t>
      </w:r>
      <w:r>
        <w:rPr>
          <w:color w:val="231F20"/>
          <w:sz w:val="20"/>
        </w:rPr>
        <w:t xml:space="preserve">and </w:t>
      </w:r>
      <w:r>
        <w:rPr>
          <w:color w:val="231F20"/>
          <w:spacing w:val="-3"/>
          <w:sz w:val="20"/>
        </w:rPr>
        <w:t xml:space="preserve">post-sentence </w:t>
      </w:r>
      <w:r>
        <w:rPr>
          <w:color w:val="231F20"/>
          <w:sz w:val="20"/>
        </w:rPr>
        <w:t xml:space="preserve">supervision orders </w:t>
      </w:r>
      <w:r>
        <w:rPr>
          <w:color w:val="231F20"/>
          <w:spacing w:val="-3"/>
          <w:sz w:val="20"/>
        </w:rPr>
        <w:t xml:space="preserve">for </w:t>
      </w:r>
      <w:r>
        <w:rPr>
          <w:color w:val="231F20"/>
          <w:sz w:val="20"/>
        </w:rPr>
        <w:t>some serious sexual and violent offenders.</w:t>
      </w:r>
      <w:r>
        <w:rPr>
          <w:color w:val="231F20"/>
          <w:position w:val="7"/>
          <w:sz w:val="11"/>
        </w:rPr>
        <w:t xml:space="preserve">156 </w:t>
      </w:r>
      <w:r>
        <w:rPr>
          <w:color w:val="231F20"/>
          <w:sz w:val="20"/>
        </w:rPr>
        <w:t>People in custody can also be subject to electronic monitoring.</w:t>
      </w:r>
      <w:r>
        <w:rPr>
          <w:color w:val="231F20"/>
          <w:spacing w:val="-7"/>
          <w:sz w:val="20"/>
        </w:rPr>
        <w:t xml:space="preserve"> </w:t>
      </w:r>
      <w:r>
        <w:rPr>
          <w:color w:val="231F20"/>
          <w:sz w:val="20"/>
        </w:rPr>
        <w:t>In</w:t>
      </w:r>
      <w:r>
        <w:rPr>
          <w:color w:val="231F20"/>
          <w:spacing w:val="-6"/>
          <w:sz w:val="20"/>
        </w:rPr>
        <w:t xml:space="preserve"> </w:t>
      </w:r>
      <w:r>
        <w:rPr>
          <w:color w:val="231F20"/>
          <w:sz w:val="20"/>
        </w:rPr>
        <w:t>Victoria</w:t>
      </w:r>
      <w:r>
        <w:rPr>
          <w:color w:val="231F20"/>
          <w:spacing w:val="-6"/>
          <w:sz w:val="20"/>
        </w:rPr>
        <w:t xml:space="preserve"> </w:t>
      </w:r>
      <w:r>
        <w:rPr>
          <w:color w:val="231F20"/>
          <w:sz w:val="20"/>
        </w:rPr>
        <w:t>this</w:t>
      </w:r>
      <w:r>
        <w:rPr>
          <w:color w:val="231F20"/>
          <w:spacing w:val="-6"/>
          <w:sz w:val="20"/>
        </w:rPr>
        <w:t xml:space="preserve"> </w:t>
      </w:r>
      <w:r>
        <w:rPr>
          <w:color w:val="231F20"/>
          <w:spacing w:val="-3"/>
          <w:sz w:val="20"/>
        </w:rPr>
        <w:t>only</w:t>
      </w:r>
      <w:r>
        <w:rPr>
          <w:color w:val="231F20"/>
          <w:spacing w:val="-7"/>
          <w:sz w:val="20"/>
        </w:rPr>
        <w:t xml:space="preserve"> </w:t>
      </w:r>
      <w:r>
        <w:rPr>
          <w:color w:val="231F20"/>
          <w:sz w:val="20"/>
        </w:rPr>
        <w:t>happens</w:t>
      </w:r>
      <w:r>
        <w:rPr>
          <w:color w:val="231F20"/>
          <w:spacing w:val="-6"/>
          <w:sz w:val="20"/>
        </w:rPr>
        <w:t xml:space="preserve"> </w:t>
      </w:r>
      <w:r>
        <w:rPr>
          <w:color w:val="231F20"/>
          <w:sz w:val="20"/>
        </w:rPr>
        <w:t>after</w:t>
      </w:r>
      <w:r>
        <w:rPr>
          <w:color w:val="231F20"/>
          <w:spacing w:val="-6"/>
          <w:sz w:val="20"/>
        </w:rPr>
        <w:t xml:space="preserve"> </w:t>
      </w:r>
      <w:r>
        <w:rPr>
          <w:color w:val="231F20"/>
          <w:sz w:val="20"/>
        </w:rPr>
        <w:t>people</w:t>
      </w:r>
      <w:r>
        <w:rPr>
          <w:color w:val="231F20"/>
          <w:spacing w:val="-6"/>
          <w:sz w:val="20"/>
        </w:rPr>
        <w:t xml:space="preserve"> </w:t>
      </w:r>
      <w:r>
        <w:rPr>
          <w:color w:val="231F20"/>
          <w:spacing w:val="-4"/>
          <w:sz w:val="20"/>
        </w:rPr>
        <w:t>have</w:t>
      </w:r>
      <w:r>
        <w:rPr>
          <w:color w:val="231F20"/>
          <w:spacing w:val="-7"/>
          <w:sz w:val="20"/>
        </w:rPr>
        <w:t xml:space="preserve"> </w:t>
      </w:r>
      <w:r>
        <w:rPr>
          <w:color w:val="231F20"/>
          <w:sz w:val="20"/>
        </w:rPr>
        <w:t>been</w:t>
      </w:r>
      <w:r>
        <w:rPr>
          <w:color w:val="231F20"/>
          <w:spacing w:val="-6"/>
          <w:sz w:val="20"/>
        </w:rPr>
        <w:t xml:space="preserve"> </w:t>
      </w:r>
      <w:r>
        <w:rPr>
          <w:color w:val="231F20"/>
          <w:sz w:val="20"/>
        </w:rPr>
        <w:t>convicted.</w:t>
      </w:r>
    </w:p>
    <w:p w14:paraId="1052B741" w14:textId="77777777" w:rsidR="00894070" w:rsidRDefault="009B7AFD">
      <w:pPr>
        <w:pStyle w:val="ListParagraph"/>
        <w:numPr>
          <w:ilvl w:val="1"/>
          <w:numId w:val="29"/>
        </w:numPr>
        <w:tabs>
          <w:tab w:val="left" w:pos="1802"/>
        </w:tabs>
        <w:spacing w:before="125" w:line="206" w:lineRule="auto"/>
        <w:ind w:right="1283"/>
        <w:jc w:val="both"/>
        <w:rPr>
          <w:sz w:val="11"/>
        </w:rPr>
      </w:pPr>
      <w:r>
        <w:rPr>
          <w:color w:val="231F20"/>
          <w:sz w:val="20"/>
        </w:rPr>
        <w:t>The</w:t>
      </w:r>
      <w:r>
        <w:rPr>
          <w:color w:val="231F20"/>
          <w:spacing w:val="-9"/>
          <w:sz w:val="20"/>
        </w:rPr>
        <w:t xml:space="preserve"> </w:t>
      </w:r>
      <w:r>
        <w:rPr>
          <w:color w:val="231F20"/>
          <w:spacing w:val="-3"/>
          <w:sz w:val="20"/>
        </w:rPr>
        <w:t>Royal</w:t>
      </w:r>
      <w:r>
        <w:rPr>
          <w:color w:val="231F20"/>
          <w:spacing w:val="-9"/>
          <w:sz w:val="20"/>
        </w:rPr>
        <w:t xml:space="preserve"> </w:t>
      </w:r>
      <w:r>
        <w:rPr>
          <w:color w:val="231F20"/>
          <w:sz w:val="20"/>
        </w:rPr>
        <w:t>Commission</w:t>
      </w:r>
      <w:r>
        <w:rPr>
          <w:color w:val="231F20"/>
          <w:spacing w:val="-9"/>
          <w:sz w:val="20"/>
        </w:rPr>
        <w:t xml:space="preserve"> </w:t>
      </w:r>
      <w:r>
        <w:rPr>
          <w:color w:val="231F20"/>
          <w:spacing w:val="-3"/>
          <w:sz w:val="20"/>
        </w:rPr>
        <w:t>into</w:t>
      </w:r>
      <w:r>
        <w:rPr>
          <w:color w:val="231F20"/>
          <w:spacing w:val="-9"/>
          <w:sz w:val="20"/>
        </w:rPr>
        <w:t xml:space="preserve"> </w:t>
      </w:r>
      <w:r>
        <w:rPr>
          <w:color w:val="231F20"/>
          <w:spacing w:val="-4"/>
          <w:sz w:val="20"/>
        </w:rPr>
        <w:t>Family</w:t>
      </w:r>
      <w:r>
        <w:rPr>
          <w:color w:val="231F20"/>
          <w:spacing w:val="-8"/>
          <w:sz w:val="20"/>
        </w:rPr>
        <w:t xml:space="preserve"> </w:t>
      </w:r>
      <w:r>
        <w:rPr>
          <w:color w:val="231F20"/>
          <w:sz w:val="20"/>
        </w:rPr>
        <w:t>Violence</w:t>
      </w:r>
      <w:r>
        <w:rPr>
          <w:color w:val="231F20"/>
          <w:spacing w:val="-9"/>
          <w:sz w:val="20"/>
        </w:rPr>
        <w:t xml:space="preserve"> </w:t>
      </w:r>
      <w:r>
        <w:rPr>
          <w:color w:val="231F20"/>
          <w:sz w:val="20"/>
        </w:rPr>
        <w:t>suggested</w:t>
      </w:r>
      <w:r>
        <w:rPr>
          <w:color w:val="231F20"/>
          <w:spacing w:val="-9"/>
          <w:sz w:val="20"/>
        </w:rPr>
        <w:t xml:space="preserve"> </w:t>
      </w:r>
      <w:r>
        <w:rPr>
          <w:color w:val="231F20"/>
          <w:sz w:val="20"/>
        </w:rPr>
        <w:t>further</w:t>
      </w:r>
      <w:r>
        <w:rPr>
          <w:color w:val="231F20"/>
          <w:spacing w:val="-9"/>
          <w:sz w:val="20"/>
        </w:rPr>
        <w:t xml:space="preserve"> </w:t>
      </w:r>
      <w:r>
        <w:rPr>
          <w:color w:val="231F20"/>
          <w:sz w:val="20"/>
        </w:rPr>
        <w:t>consideration</w:t>
      </w:r>
      <w:r>
        <w:rPr>
          <w:color w:val="231F20"/>
          <w:spacing w:val="-9"/>
          <w:sz w:val="20"/>
        </w:rPr>
        <w:t xml:space="preserve"> </w:t>
      </w:r>
      <w:r>
        <w:rPr>
          <w:color w:val="231F20"/>
          <w:sz w:val="20"/>
        </w:rPr>
        <w:t>be</w:t>
      </w:r>
      <w:r>
        <w:rPr>
          <w:color w:val="231F20"/>
          <w:spacing w:val="-8"/>
          <w:sz w:val="20"/>
        </w:rPr>
        <w:t xml:space="preserve"> </w:t>
      </w:r>
      <w:r>
        <w:rPr>
          <w:color w:val="231F20"/>
          <w:spacing w:val="-3"/>
          <w:sz w:val="20"/>
        </w:rPr>
        <w:t xml:space="preserve">given </w:t>
      </w:r>
      <w:r>
        <w:rPr>
          <w:color w:val="231F20"/>
          <w:sz w:val="20"/>
        </w:rPr>
        <w:t>to</w:t>
      </w:r>
      <w:r>
        <w:rPr>
          <w:color w:val="231F20"/>
          <w:spacing w:val="-10"/>
          <w:sz w:val="20"/>
        </w:rPr>
        <w:t xml:space="preserve"> </w:t>
      </w:r>
      <w:r>
        <w:rPr>
          <w:color w:val="231F20"/>
          <w:sz w:val="20"/>
        </w:rPr>
        <w:t>electronic</w:t>
      </w:r>
      <w:r>
        <w:rPr>
          <w:color w:val="231F20"/>
          <w:spacing w:val="-9"/>
          <w:sz w:val="20"/>
        </w:rPr>
        <w:t xml:space="preserve"> </w:t>
      </w:r>
      <w:r>
        <w:rPr>
          <w:color w:val="231F20"/>
          <w:sz w:val="20"/>
        </w:rPr>
        <w:t>monitoring</w:t>
      </w:r>
      <w:r>
        <w:rPr>
          <w:color w:val="231F20"/>
          <w:spacing w:val="-9"/>
          <w:sz w:val="20"/>
        </w:rPr>
        <w:t xml:space="preserve"> </w:t>
      </w:r>
      <w:r>
        <w:rPr>
          <w:color w:val="231F20"/>
          <w:sz w:val="20"/>
        </w:rPr>
        <w:t>as</w:t>
      </w:r>
      <w:r>
        <w:rPr>
          <w:color w:val="231F20"/>
          <w:spacing w:val="-9"/>
          <w:sz w:val="20"/>
        </w:rPr>
        <w:t xml:space="preserve"> </w:t>
      </w:r>
      <w:r>
        <w:rPr>
          <w:color w:val="231F20"/>
          <w:sz w:val="20"/>
        </w:rPr>
        <w:t>part</w:t>
      </w:r>
      <w:r>
        <w:rPr>
          <w:color w:val="231F20"/>
          <w:spacing w:val="-9"/>
          <w:sz w:val="20"/>
        </w:rPr>
        <w:t xml:space="preserve"> </w:t>
      </w:r>
      <w:r>
        <w:rPr>
          <w:color w:val="231F20"/>
          <w:sz w:val="20"/>
        </w:rPr>
        <w:t>of</w:t>
      </w:r>
      <w:r>
        <w:rPr>
          <w:color w:val="231F20"/>
          <w:spacing w:val="-9"/>
          <w:sz w:val="20"/>
        </w:rPr>
        <w:t xml:space="preserve"> </w:t>
      </w:r>
      <w:r>
        <w:rPr>
          <w:color w:val="231F20"/>
          <w:sz w:val="20"/>
        </w:rPr>
        <w:t>an</w:t>
      </w:r>
      <w:r>
        <w:rPr>
          <w:color w:val="231F20"/>
          <w:spacing w:val="-9"/>
          <w:sz w:val="20"/>
        </w:rPr>
        <w:t xml:space="preserve"> </w:t>
      </w:r>
      <w:r>
        <w:rPr>
          <w:color w:val="231F20"/>
          <w:spacing w:val="-3"/>
          <w:sz w:val="20"/>
        </w:rPr>
        <w:t>overall</w:t>
      </w:r>
      <w:r>
        <w:rPr>
          <w:color w:val="231F20"/>
          <w:spacing w:val="-9"/>
          <w:sz w:val="20"/>
        </w:rPr>
        <w:t xml:space="preserve"> </w:t>
      </w:r>
      <w:r>
        <w:rPr>
          <w:color w:val="231F20"/>
          <w:sz w:val="20"/>
        </w:rPr>
        <w:t>approach</w:t>
      </w:r>
      <w:r>
        <w:rPr>
          <w:color w:val="231F20"/>
          <w:spacing w:val="-10"/>
          <w:sz w:val="20"/>
        </w:rPr>
        <w:t xml:space="preserve"> </w:t>
      </w:r>
      <w:r>
        <w:rPr>
          <w:color w:val="231F20"/>
          <w:sz w:val="20"/>
        </w:rPr>
        <w:t>to</w:t>
      </w:r>
      <w:r>
        <w:rPr>
          <w:color w:val="231F20"/>
          <w:spacing w:val="-9"/>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spacing w:val="-9"/>
          <w:sz w:val="20"/>
        </w:rPr>
        <w:t xml:space="preserve"> </w:t>
      </w:r>
      <w:r>
        <w:rPr>
          <w:color w:val="231F20"/>
          <w:sz w:val="20"/>
        </w:rPr>
        <w:t>But</w:t>
      </w:r>
      <w:r>
        <w:rPr>
          <w:color w:val="231F20"/>
          <w:spacing w:val="-9"/>
          <w:sz w:val="20"/>
        </w:rPr>
        <w:t xml:space="preserve"> </w:t>
      </w:r>
      <w:r>
        <w:rPr>
          <w:color w:val="231F20"/>
          <w:sz w:val="20"/>
        </w:rPr>
        <w:t>it</w:t>
      </w:r>
      <w:r>
        <w:rPr>
          <w:color w:val="231F20"/>
          <w:spacing w:val="-9"/>
          <w:sz w:val="20"/>
        </w:rPr>
        <w:t xml:space="preserve"> </w:t>
      </w:r>
      <w:r>
        <w:rPr>
          <w:color w:val="231F20"/>
          <w:sz w:val="20"/>
        </w:rPr>
        <w:t>did</w:t>
      </w:r>
      <w:r>
        <w:rPr>
          <w:color w:val="231F20"/>
          <w:spacing w:val="-9"/>
          <w:sz w:val="20"/>
        </w:rPr>
        <w:t xml:space="preserve"> </w:t>
      </w:r>
      <w:r>
        <w:rPr>
          <w:color w:val="231F20"/>
          <w:sz w:val="20"/>
        </w:rPr>
        <w:t>not recommend changing the</w:t>
      </w:r>
      <w:r>
        <w:rPr>
          <w:color w:val="231F20"/>
          <w:spacing w:val="-14"/>
          <w:sz w:val="20"/>
        </w:rPr>
        <w:t xml:space="preserve"> </w:t>
      </w:r>
      <w:r>
        <w:rPr>
          <w:color w:val="231F20"/>
          <w:sz w:val="20"/>
        </w:rPr>
        <w:t>law.</w:t>
      </w:r>
      <w:r>
        <w:rPr>
          <w:color w:val="231F20"/>
          <w:position w:val="7"/>
          <w:sz w:val="11"/>
        </w:rPr>
        <w:t>157</w:t>
      </w:r>
    </w:p>
    <w:p w14:paraId="504CE2CC" w14:textId="77777777" w:rsidR="00894070" w:rsidRDefault="009B7AFD">
      <w:pPr>
        <w:pStyle w:val="ListParagraph"/>
        <w:numPr>
          <w:ilvl w:val="1"/>
          <w:numId w:val="29"/>
        </w:numPr>
        <w:tabs>
          <w:tab w:val="left" w:pos="1801"/>
          <w:tab w:val="left" w:pos="1802"/>
        </w:tabs>
        <w:spacing w:before="124" w:line="206" w:lineRule="auto"/>
        <w:ind w:right="1714"/>
        <w:rPr>
          <w:sz w:val="20"/>
        </w:rPr>
      </w:pPr>
      <w:r>
        <w:rPr>
          <w:color w:val="231F20"/>
          <w:sz w:val="20"/>
        </w:rPr>
        <w:t>New South Wales,</w:t>
      </w:r>
      <w:r>
        <w:rPr>
          <w:color w:val="231F20"/>
          <w:position w:val="7"/>
          <w:sz w:val="11"/>
        </w:rPr>
        <w:t xml:space="preserve">158 </w:t>
      </w:r>
      <w:r>
        <w:rPr>
          <w:color w:val="231F20"/>
          <w:spacing w:val="-3"/>
          <w:sz w:val="20"/>
        </w:rPr>
        <w:t>Tasmania,</w:t>
      </w:r>
      <w:r>
        <w:rPr>
          <w:color w:val="231F20"/>
          <w:spacing w:val="-3"/>
          <w:position w:val="7"/>
          <w:sz w:val="11"/>
        </w:rPr>
        <w:t xml:space="preserve">159 </w:t>
      </w:r>
      <w:r>
        <w:rPr>
          <w:color w:val="231F20"/>
          <w:sz w:val="20"/>
        </w:rPr>
        <w:t>South Australia,</w:t>
      </w:r>
      <w:r>
        <w:rPr>
          <w:color w:val="231F20"/>
          <w:position w:val="7"/>
          <w:sz w:val="11"/>
        </w:rPr>
        <w:t xml:space="preserve">160 </w:t>
      </w:r>
      <w:r>
        <w:rPr>
          <w:color w:val="231F20"/>
          <w:sz w:val="20"/>
        </w:rPr>
        <w:t xml:space="preserve">and </w:t>
      </w:r>
      <w:r>
        <w:rPr>
          <w:color w:val="231F20"/>
          <w:spacing w:val="-4"/>
          <w:sz w:val="20"/>
        </w:rPr>
        <w:t xml:space="preserve">Western </w:t>
      </w:r>
      <w:r>
        <w:rPr>
          <w:color w:val="231F20"/>
          <w:sz w:val="20"/>
        </w:rPr>
        <w:t>Australia</w:t>
      </w:r>
      <w:r>
        <w:rPr>
          <w:color w:val="231F20"/>
          <w:position w:val="7"/>
          <w:sz w:val="11"/>
        </w:rPr>
        <w:t xml:space="preserve">161 </w:t>
      </w:r>
      <w:r>
        <w:rPr>
          <w:color w:val="231F20"/>
          <w:spacing w:val="-5"/>
          <w:sz w:val="20"/>
        </w:rPr>
        <w:t xml:space="preserve">have </w:t>
      </w:r>
      <w:r>
        <w:rPr>
          <w:color w:val="231F20"/>
          <w:sz w:val="20"/>
        </w:rPr>
        <w:t xml:space="preserve">trialled electronic monitoring </w:t>
      </w:r>
      <w:r>
        <w:rPr>
          <w:color w:val="231F20"/>
          <w:spacing w:val="-3"/>
          <w:sz w:val="20"/>
        </w:rPr>
        <w:t xml:space="preserve">for </w:t>
      </w:r>
      <w:r>
        <w:rPr>
          <w:color w:val="231F20"/>
          <w:sz w:val="20"/>
        </w:rPr>
        <w:t xml:space="preserve">people who </w:t>
      </w:r>
      <w:r>
        <w:rPr>
          <w:color w:val="231F20"/>
          <w:spacing w:val="-4"/>
          <w:sz w:val="20"/>
        </w:rPr>
        <w:t xml:space="preserve">have </w:t>
      </w:r>
      <w:r>
        <w:rPr>
          <w:color w:val="231F20"/>
          <w:sz w:val="20"/>
        </w:rPr>
        <w:t xml:space="preserve">committed significant </w:t>
      </w:r>
      <w:r>
        <w:rPr>
          <w:color w:val="231F20"/>
          <w:spacing w:val="-3"/>
          <w:sz w:val="20"/>
        </w:rPr>
        <w:t xml:space="preserve">family </w:t>
      </w:r>
      <w:r>
        <w:rPr>
          <w:color w:val="231F20"/>
          <w:sz w:val="20"/>
        </w:rPr>
        <w:t>violence.</w:t>
      </w:r>
    </w:p>
    <w:p w14:paraId="30A59011" w14:textId="77777777" w:rsidR="00894070" w:rsidRDefault="009B7AFD">
      <w:pPr>
        <w:pStyle w:val="ListParagraph"/>
        <w:numPr>
          <w:ilvl w:val="1"/>
          <w:numId w:val="29"/>
        </w:numPr>
        <w:tabs>
          <w:tab w:val="left" w:pos="1801"/>
          <w:tab w:val="left" w:pos="1802"/>
        </w:tabs>
        <w:spacing w:before="124" w:line="206" w:lineRule="auto"/>
        <w:ind w:right="1482"/>
        <w:rPr>
          <w:sz w:val="20"/>
        </w:rPr>
      </w:pPr>
      <w:r>
        <w:rPr>
          <w:color w:val="231F20"/>
          <w:spacing w:val="-4"/>
          <w:sz w:val="20"/>
        </w:rPr>
        <w:t xml:space="preserve">Tasmania </w:t>
      </w:r>
      <w:r>
        <w:rPr>
          <w:color w:val="231F20"/>
          <w:sz w:val="20"/>
        </w:rPr>
        <w:t xml:space="preserve">is the </w:t>
      </w:r>
      <w:r>
        <w:rPr>
          <w:color w:val="231F20"/>
          <w:spacing w:val="-3"/>
          <w:sz w:val="20"/>
        </w:rPr>
        <w:t xml:space="preserve">only </w:t>
      </w:r>
      <w:r>
        <w:rPr>
          <w:color w:val="231F20"/>
          <w:sz w:val="20"/>
        </w:rPr>
        <w:t xml:space="preserve">state that </w:t>
      </w:r>
      <w:r>
        <w:rPr>
          <w:color w:val="231F20"/>
          <w:spacing w:val="-3"/>
          <w:sz w:val="20"/>
        </w:rPr>
        <w:t xml:space="preserve">provides for </w:t>
      </w:r>
      <w:r>
        <w:rPr>
          <w:color w:val="231F20"/>
          <w:sz w:val="20"/>
        </w:rPr>
        <w:t>electronic monitoring to be included as a</w:t>
      </w:r>
      <w:r>
        <w:rPr>
          <w:color w:val="231F20"/>
          <w:spacing w:val="-8"/>
          <w:sz w:val="20"/>
        </w:rPr>
        <w:t xml:space="preserve"> </w:t>
      </w:r>
      <w:r>
        <w:rPr>
          <w:color w:val="231F20"/>
          <w:sz w:val="20"/>
        </w:rPr>
        <w:t>condition</w:t>
      </w:r>
      <w:r>
        <w:rPr>
          <w:color w:val="231F20"/>
          <w:spacing w:val="-7"/>
          <w:sz w:val="20"/>
        </w:rPr>
        <w:t xml:space="preserve"> </w:t>
      </w:r>
      <w:r>
        <w:rPr>
          <w:color w:val="231F20"/>
          <w:sz w:val="20"/>
        </w:rPr>
        <w:t>of</w:t>
      </w:r>
      <w:r>
        <w:rPr>
          <w:color w:val="231F20"/>
          <w:spacing w:val="-7"/>
          <w:sz w:val="20"/>
        </w:rPr>
        <w:t xml:space="preserve"> </w:t>
      </w:r>
      <w:r>
        <w:rPr>
          <w:color w:val="231F20"/>
          <w:sz w:val="20"/>
        </w:rPr>
        <w:t>a</w:t>
      </w:r>
      <w:r>
        <w:rPr>
          <w:color w:val="231F20"/>
          <w:spacing w:val="-8"/>
          <w:sz w:val="20"/>
        </w:rPr>
        <w:t xml:space="preserve"> </w:t>
      </w:r>
      <w:r>
        <w:rPr>
          <w:color w:val="231F20"/>
          <w:sz w:val="20"/>
        </w:rPr>
        <w:t>civil</w:t>
      </w:r>
      <w:r>
        <w:rPr>
          <w:color w:val="231F20"/>
          <w:spacing w:val="-7"/>
          <w:sz w:val="20"/>
        </w:rPr>
        <w:t xml:space="preserve"> </w:t>
      </w:r>
      <w:r>
        <w:rPr>
          <w:color w:val="231F20"/>
          <w:spacing w:val="-3"/>
          <w:sz w:val="20"/>
        </w:rPr>
        <w:t>protection</w:t>
      </w:r>
      <w:r>
        <w:rPr>
          <w:color w:val="231F20"/>
          <w:spacing w:val="-7"/>
          <w:sz w:val="20"/>
        </w:rPr>
        <w:t xml:space="preserve"> </w:t>
      </w:r>
      <w:r>
        <w:rPr>
          <w:color w:val="231F20"/>
          <w:sz w:val="20"/>
        </w:rPr>
        <w:t>order</w:t>
      </w:r>
      <w:r>
        <w:rPr>
          <w:color w:val="231F20"/>
          <w:spacing w:val="-8"/>
          <w:sz w:val="20"/>
        </w:rPr>
        <w:t xml:space="preserve"> </w:t>
      </w:r>
      <w:r>
        <w:rPr>
          <w:color w:val="231F20"/>
          <w:sz w:val="20"/>
        </w:rPr>
        <w:t>if</w:t>
      </w:r>
      <w:r>
        <w:rPr>
          <w:color w:val="231F20"/>
          <w:spacing w:val="-7"/>
          <w:sz w:val="20"/>
        </w:rPr>
        <w:t xml:space="preserve"> </w:t>
      </w:r>
      <w:r>
        <w:rPr>
          <w:color w:val="231F20"/>
          <w:sz w:val="20"/>
        </w:rPr>
        <w:t>there</w:t>
      </w:r>
      <w:r>
        <w:rPr>
          <w:color w:val="231F20"/>
          <w:spacing w:val="-7"/>
          <w:sz w:val="20"/>
        </w:rPr>
        <w:t xml:space="preserve"> </w:t>
      </w:r>
      <w:r>
        <w:rPr>
          <w:color w:val="231F20"/>
          <w:sz w:val="20"/>
        </w:rPr>
        <w:t>is</w:t>
      </w:r>
      <w:r>
        <w:rPr>
          <w:color w:val="231F20"/>
          <w:spacing w:val="-7"/>
          <w:sz w:val="20"/>
        </w:rPr>
        <w:t xml:space="preserve"> </w:t>
      </w:r>
      <w:r>
        <w:rPr>
          <w:color w:val="231F20"/>
          <w:sz w:val="20"/>
        </w:rPr>
        <w:t>a</w:t>
      </w:r>
      <w:r>
        <w:rPr>
          <w:color w:val="231F20"/>
          <w:spacing w:val="-8"/>
          <w:sz w:val="20"/>
        </w:rPr>
        <w:t xml:space="preserve"> </w:t>
      </w:r>
      <w:r>
        <w:rPr>
          <w:color w:val="231F20"/>
          <w:sz w:val="20"/>
        </w:rPr>
        <w:t>history</w:t>
      </w:r>
      <w:r>
        <w:rPr>
          <w:color w:val="231F20"/>
          <w:spacing w:val="-7"/>
          <w:sz w:val="20"/>
        </w:rPr>
        <w:t xml:space="preserve"> </w:t>
      </w:r>
      <w:r>
        <w:rPr>
          <w:color w:val="231F20"/>
          <w:sz w:val="20"/>
        </w:rPr>
        <w:t>of</w:t>
      </w:r>
      <w:r>
        <w:rPr>
          <w:color w:val="231F20"/>
          <w:spacing w:val="-7"/>
          <w:sz w:val="20"/>
        </w:rPr>
        <w:t xml:space="preserve"> </w:t>
      </w:r>
      <w:r>
        <w:rPr>
          <w:color w:val="231F20"/>
          <w:spacing w:val="-3"/>
          <w:sz w:val="20"/>
        </w:rPr>
        <w:t>family</w:t>
      </w:r>
      <w:r>
        <w:rPr>
          <w:color w:val="231F20"/>
          <w:spacing w:val="-8"/>
          <w:sz w:val="20"/>
        </w:rPr>
        <w:t xml:space="preserve"> </w:t>
      </w:r>
      <w:r>
        <w:rPr>
          <w:color w:val="231F20"/>
          <w:sz w:val="20"/>
        </w:rPr>
        <w:t>violence.</w:t>
      </w:r>
      <w:r>
        <w:rPr>
          <w:color w:val="231F20"/>
          <w:position w:val="7"/>
          <w:sz w:val="11"/>
        </w:rPr>
        <w:t>162</w:t>
      </w:r>
      <w:r>
        <w:rPr>
          <w:color w:val="231F20"/>
          <w:spacing w:val="17"/>
          <w:position w:val="7"/>
          <w:sz w:val="11"/>
        </w:rPr>
        <w:t xml:space="preserve"> </w:t>
      </w:r>
      <w:r>
        <w:rPr>
          <w:color w:val="231F20"/>
          <w:sz w:val="20"/>
        </w:rPr>
        <w:t>In</w:t>
      </w:r>
      <w:r>
        <w:rPr>
          <w:color w:val="231F20"/>
          <w:spacing w:val="-7"/>
          <w:sz w:val="20"/>
        </w:rPr>
        <w:t xml:space="preserve"> </w:t>
      </w:r>
      <w:r>
        <w:rPr>
          <w:color w:val="231F20"/>
          <w:sz w:val="20"/>
        </w:rPr>
        <w:t>other states</w:t>
      </w:r>
      <w:r>
        <w:rPr>
          <w:color w:val="231F20"/>
          <w:spacing w:val="-5"/>
          <w:sz w:val="20"/>
        </w:rPr>
        <w:t xml:space="preserve"> </w:t>
      </w:r>
      <w:r>
        <w:rPr>
          <w:color w:val="231F20"/>
          <w:sz w:val="20"/>
        </w:rPr>
        <w:t>it</w:t>
      </w:r>
      <w:r>
        <w:rPr>
          <w:color w:val="231F20"/>
          <w:spacing w:val="-5"/>
          <w:sz w:val="20"/>
        </w:rPr>
        <w:t xml:space="preserve"> </w:t>
      </w:r>
      <w:r>
        <w:rPr>
          <w:color w:val="231F20"/>
          <w:sz w:val="20"/>
        </w:rPr>
        <w:t>is</w:t>
      </w:r>
      <w:r>
        <w:rPr>
          <w:color w:val="231F20"/>
          <w:spacing w:val="-4"/>
          <w:sz w:val="20"/>
        </w:rPr>
        <w:t xml:space="preserve"> </w:t>
      </w:r>
      <w:r>
        <w:rPr>
          <w:color w:val="231F20"/>
          <w:sz w:val="20"/>
        </w:rPr>
        <w:t>used</w:t>
      </w:r>
      <w:r>
        <w:rPr>
          <w:color w:val="231F20"/>
          <w:spacing w:val="-5"/>
          <w:sz w:val="20"/>
        </w:rPr>
        <w:t xml:space="preserve"> </w:t>
      </w:r>
      <w:r>
        <w:rPr>
          <w:color w:val="231F20"/>
          <w:spacing w:val="-3"/>
          <w:sz w:val="20"/>
        </w:rPr>
        <w:t>only</w:t>
      </w:r>
      <w:r>
        <w:rPr>
          <w:color w:val="231F20"/>
          <w:spacing w:val="-4"/>
          <w:sz w:val="20"/>
        </w:rPr>
        <w:t xml:space="preserve"> </w:t>
      </w:r>
      <w:r>
        <w:rPr>
          <w:color w:val="231F20"/>
          <w:sz w:val="20"/>
        </w:rPr>
        <w:t>in</w:t>
      </w:r>
      <w:r>
        <w:rPr>
          <w:color w:val="231F20"/>
          <w:spacing w:val="-5"/>
          <w:sz w:val="20"/>
        </w:rPr>
        <w:t xml:space="preserve"> </w:t>
      </w:r>
      <w:r>
        <w:rPr>
          <w:color w:val="231F20"/>
          <w:sz w:val="20"/>
        </w:rPr>
        <w:t>the</w:t>
      </w:r>
      <w:r>
        <w:rPr>
          <w:color w:val="231F20"/>
          <w:spacing w:val="-4"/>
          <w:sz w:val="20"/>
        </w:rPr>
        <w:t xml:space="preserve"> </w:t>
      </w:r>
      <w:r>
        <w:rPr>
          <w:color w:val="231F20"/>
          <w:sz w:val="20"/>
        </w:rPr>
        <w:t>criminal</w:t>
      </w:r>
      <w:r>
        <w:rPr>
          <w:color w:val="231F20"/>
          <w:spacing w:val="-5"/>
          <w:sz w:val="20"/>
        </w:rPr>
        <w:t xml:space="preserve"> </w:t>
      </w:r>
      <w:r>
        <w:rPr>
          <w:color w:val="231F20"/>
          <w:sz w:val="20"/>
        </w:rPr>
        <w:t>law</w:t>
      </w:r>
      <w:r>
        <w:rPr>
          <w:color w:val="231F20"/>
          <w:spacing w:val="-4"/>
          <w:sz w:val="20"/>
        </w:rPr>
        <w:t xml:space="preserve"> </w:t>
      </w:r>
      <w:r>
        <w:rPr>
          <w:color w:val="231F20"/>
          <w:sz w:val="20"/>
        </w:rPr>
        <w:t>setting.</w:t>
      </w:r>
    </w:p>
    <w:p w14:paraId="5A949B7D" w14:textId="77777777" w:rsidR="00894070" w:rsidRDefault="009B7AFD">
      <w:pPr>
        <w:pStyle w:val="ListParagraph"/>
        <w:numPr>
          <w:ilvl w:val="1"/>
          <w:numId w:val="29"/>
        </w:numPr>
        <w:tabs>
          <w:tab w:val="left" w:pos="1801"/>
          <w:tab w:val="left" w:pos="1802"/>
        </w:tabs>
        <w:spacing w:before="124" w:line="206" w:lineRule="auto"/>
        <w:ind w:right="1740"/>
        <w:rPr>
          <w:sz w:val="20"/>
        </w:rPr>
      </w:pPr>
      <w:r>
        <w:rPr>
          <w:color w:val="231F20"/>
          <w:spacing w:val="-3"/>
          <w:sz w:val="20"/>
        </w:rPr>
        <w:t>International</w:t>
      </w:r>
      <w:r>
        <w:rPr>
          <w:color w:val="231F20"/>
          <w:spacing w:val="-11"/>
          <w:sz w:val="20"/>
        </w:rPr>
        <w:t xml:space="preserve"> </w:t>
      </w:r>
      <w:r>
        <w:rPr>
          <w:color w:val="231F20"/>
          <w:spacing w:val="-3"/>
          <w:sz w:val="20"/>
        </w:rPr>
        <w:t>research</w:t>
      </w:r>
      <w:r>
        <w:rPr>
          <w:color w:val="231F20"/>
          <w:spacing w:val="-10"/>
          <w:sz w:val="20"/>
        </w:rPr>
        <w:t xml:space="preserve"> </w:t>
      </w:r>
      <w:r>
        <w:rPr>
          <w:color w:val="231F20"/>
          <w:sz w:val="20"/>
        </w:rPr>
        <w:t>has</w:t>
      </w:r>
      <w:r>
        <w:rPr>
          <w:color w:val="231F20"/>
          <w:spacing w:val="-10"/>
          <w:sz w:val="20"/>
        </w:rPr>
        <w:t xml:space="preserve"> </w:t>
      </w:r>
      <w:r>
        <w:rPr>
          <w:color w:val="231F20"/>
          <w:sz w:val="20"/>
        </w:rPr>
        <w:t>identified</w:t>
      </w:r>
      <w:r>
        <w:rPr>
          <w:color w:val="231F20"/>
          <w:spacing w:val="-10"/>
          <w:sz w:val="20"/>
        </w:rPr>
        <w:t xml:space="preserve"> </w:t>
      </w:r>
      <w:r>
        <w:rPr>
          <w:color w:val="231F20"/>
          <w:sz w:val="20"/>
        </w:rPr>
        <w:t>some</w:t>
      </w:r>
      <w:r>
        <w:rPr>
          <w:color w:val="231F20"/>
          <w:spacing w:val="-10"/>
          <w:sz w:val="20"/>
        </w:rPr>
        <w:t xml:space="preserve"> </w:t>
      </w:r>
      <w:r>
        <w:rPr>
          <w:color w:val="231F20"/>
          <w:sz w:val="20"/>
        </w:rPr>
        <w:t>benefits</w:t>
      </w:r>
      <w:r>
        <w:rPr>
          <w:color w:val="231F20"/>
          <w:spacing w:val="-10"/>
          <w:sz w:val="20"/>
        </w:rPr>
        <w:t xml:space="preserve"> </w:t>
      </w:r>
      <w:r>
        <w:rPr>
          <w:color w:val="231F20"/>
          <w:sz w:val="20"/>
        </w:rPr>
        <w:t>of</w:t>
      </w:r>
      <w:r>
        <w:rPr>
          <w:color w:val="231F20"/>
          <w:spacing w:val="-10"/>
          <w:sz w:val="20"/>
        </w:rPr>
        <w:t xml:space="preserve"> </w:t>
      </w:r>
      <w:r>
        <w:rPr>
          <w:color w:val="231F20"/>
          <w:sz w:val="20"/>
        </w:rPr>
        <w:t>electronic</w:t>
      </w:r>
      <w:r>
        <w:rPr>
          <w:color w:val="231F20"/>
          <w:spacing w:val="-10"/>
          <w:sz w:val="20"/>
        </w:rPr>
        <w:t xml:space="preserve"> </w:t>
      </w:r>
      <w:r>
        <w:rPr>
          <w:color w:val="231F20"/>
          <w:sz w:val="20"/>
        </w:rPr>
        <w:t>monitoring</w:t>
      </w:r>
      <w:r>
        <w:rPr>
          <w:color w:val="231F20"/>
          <w:spacing w:val="-11"/>
          <w:sz w:val="20"/>
        </w:rPr>
        <w:t xml:space="preserve"> </w:t>
      </w:r>
      <w:r>
        <w:rPr>
          <w:color w:val="231F20"/>
          <w:sz w:val="20"/>
        </w:rPr>
        <w:t>in</w:t>
      </w:r>
      <w:r>
        <w:rPr>
          <w:color w:val="231F20"/>
          <w:spacing w:val="-10"/>
          <w:sz w:val="20"/>
        </w:rPr>
        <w:t xml:space="preserve"> </w:t>
      </w:r>
      <w:r>
        <w:rPr>
          <w:color w:val="231F20"/>
          <w:sz w:val="20"/>
        </w:rPr>
        <w:t xml:space="preserve">the </w:t>
      </w:r>
      <w:r>
        <w:rPr>
          <w:color w:val="231F20"/>
          <w:spacing w:val="-3"/>
          <w:sz w:val="20"/>
        </w:rPr>
        <w:t xml:space="preserve">context </w:t>
      </w:r>
      <w:r>
        <w:rPr>
          <w:color w:val="231F20"/>
          <w:sz w:val="20"/>
        </w:rPr>
        <w:t xml:space="preserve">of </w:t>
      </w:r>
      <w:r>
        <w:rPr>
          <w:color w:val="231F20"/>
          <w:spacing w:val="-3"/>
          <w:sz w:val="20"/>
        </w:rPr>
        <w:t>family</w:t>
      </w:r>
      <w:r>
        <w:rPr>
          <w:color w:val="231F20"/>
          <w:spacing w:val="-9"/>
          <w:sz w:val="20"/>
        </w:rPr>
        <w:t xml:space="preserve"> </w:t>
      </w:r>
      <w:r>
        <w:rPr>
          <w:color w:val="231F20"/>
          <w:spacing w:val="-2"/>
          <w:sz w:val="20"/>
        </w:rPr>
        <w:t>violence:</w:t>
      </w:r>
    </w:p>
    <w:p w14:paraId="121DF6E9" w14:textId="77777777" w:rsidR="00894070" w:rsidRDefault="009B7AFD">
      <w:pPr>
        <w:pStyle w:val="ListParagraph"/>
        <w:numPr>
          <w:ilvl w:val="2"/>
          <w:numId w:val="29"/>
        </w:numPr>
        <w:tabs>
          <w:tab w:val="left" w:pos="2141"/>
          <w:tab w:val="left" w:pos="2142"/>
        </w:tabs>
        <w:spacing w:before="90"/>
        <w:ind w:hanging="340"/>
        <w:rPr>
          <w:sz w:val="20"/>
        </w:rPr>
      </w:pPr>
      <w:r>
        <w:rPr>
          <w:color w:val="231F20"/>
          <w:sz w:val="20"/>
        </w:rPr>
        <w:t>enhanced community</w:t>
      </w:r>
      <w:r>
        <w:rPr>
          <w:color w:val="231F20"/>
          <w:spacing w:val="-38"/>
          <w:sz w:val="20"/>
        </w:rPr>
        <w:t xml:space="preserve"> </w:t>
      </w:r>
      <w:r>
        <w:rPr>
          <w:color w:val="231F20"/>
          <w:sz w:val="20"/>
        </w:rPr>
        <w:t>safety</w:t>
      </w:r>
    </w:p>
    <w:p w14:paraId="2295FCB9" w14:textId="77777777" w:rsidR="00894070" w:rsidRDefault="009B7AFD">
      <w:pPr>
        <w:pStyle w:val="ListParagraph"/>
        <w:numPr>
          <w:ilvl w:val="2"/>
          <w:numId w:val="29"/>
        </w:numPr>
        <w:tabs>
          <w:tab w:val="left" w:pos="2141"/>
          <w:tab w:val="left" w:pos="2142"/>
        </w:tabs>
        <w:spacing w:before="48"/>
        <w:ind w:hanging="340"/>
        <w:rPr>
          <w:sz w:val="20"/>
        </w:rPr>
      </w:pPr>
      <w:r>
        <w:rPr>
          <w:color w:val="231F20"/>
          <w:sz w:val="20"/>
        </w:rPr>
        <w:t>reduction</w:t>
      </w:r>
      <w:r>
        <w:rPr>
          <w:color w:val="231F20"/>
          <w:spacing w:val="-19"/>
          <w:sz w:val="20"/>
        </w:rPr>
        <w:t xml:space="preserve"> </w:t>
      </w:r>
      <w:r>
        <w:rPr>
          <w:color w:val="231F20"/>
          <w:sz w:val="20"/>
        </w:rPr>
        <w:t>in</w:t>
      </w:r>
      <w:r>
        <w:rPr>
          <w:color w:val="231F20"/>
          <w:spacing w:val="-19"/>
          <w:sz w:val="20"/>
        </w:rPr>
        <w:t xml:space="preserve"> </w:t>
      </w:r>
      <w:r>
        <w:rPr>
          <w:color w:val="231F20"/>
          <w:spacing w:val="-3"/>
          <w:sz w:val="20"/>
        </w:rPr>
        <w:t>repeat</w:t>
      </w:r>
      <w:r>
        <w:rPr>
          <w:color w:val="231F20"/>
          <w:spacing w:val="-18"/>
          <w:sz w:val="20"/>
        </w:rPr>
        <w:t xml:space="preserve"> </w:t>
      </w:r>
      <w:r>
        <w:rPr>
          <w:color w:val="231F20"/>
          <w:sz w:val="20"/>
        </w:rPr>
        <w:t>offending</w:t>
      </w:r>
    </w:p>
    <w:p w14:paraId="6F0D01E5" w14:textId="77777777" w:rsidR="00894070" w:rsidRDefault="009B7AFD">
      <w:pPr>
        <w:pStyle w:val="ListParagraph"/>
        <w:numPr>
          <w:ilvl w:val="2"/>
          <w:numId w:val="29"/>
        </w:numPr>
        <w:tabs>
          <w:tab w:val="left" w:pos="2141"/>
          <w:tab w:val="left" w:pos="2142"/>
        </w:tabs>
        <w:spacing w:before="47"/>
        <w:ind w:hanging="340"/>
        <w:rPr>
          <w:sz w:val="20"/>
        </w:rPr>
      </w:pPr>
      <w:r>
        <w:rPr>
          <w:color w:val="231F20"/>
          <w:sz w:val="20"/>
        </w:rPr>
        <w:t xml:space="preserve">reduced imprisonment </w:t>
      </w:r>
      <w:r>
        <w:rPr>
          <w:color w:val="231F20"/>
          <w:spacing w:val="-3"/>
          <w:sz w:val="20"/>
        </w:rPr>
        <w:t xml:space="preserve">rates </w:t>
      </w:r>
      <w:r>
        <w:rPr>
          <w:color w:val="231F20"/>
          <w:sz w:val="20"/>
        </w:rPr>
        <w:t>(and reduced costs of</w:t>
      </w:r>
      <w:r>
        <w:rPr>
          <w:color w:val="231F20"/>
          <w:spacing w:val="-32"/>
          <w:sz w:val="20"/>
        </w:rPr>
        <w:t xml:space="preserve"> </w:t>
      </w:r>
      <w:r>
        <w:rPr>
          <w:color w:val="231F20"/>
          <w:sz w:val="20"/>
        </w:rPr>
        <w:t>imprisonment)</w:t>
      </w:r>
    </w:p>
    <w:p w14:paraId="610EB356" w14:textId="77777777" w:rsidR="00894070" w:rsidRDefault="009B7AFD">
      <w:pPr>
        <w:pStyle w:val="ListParagraph"/>
        <w:numPr>
          <w:ilvl w:val="2"/>
          <w:numId w:val="29"/>
        </w:numPr>
        <w:tabs>
          <w:tab w:val="left" w:pos="2141"/>
          <w:tab w:val="left" w:pos="2142"/>
        </w:tabs>
        <w:spacing w:before="47"/>
        <w:ind w:hanging="340"/>
        <w:rPr>
          <w:sz w:val="11"/>
        </w:rPr>
      </w:pPr>
      <w:r>
        <w:rPr>
          <w:color w:val="231F20"/>
          <w:sz w:val="20"/>
        </w:rPr>
        <w:t>increased sense of safety in victim</w:t>
      </w:r>
      <w:r>
        <w:rPr>
          <w:color w:val="231F20"/>
          <w:spacing w:val="-27"/>
          <w:sz w:val="20"/>
        </w:rPr>
        <w:t xml:space="preserve"> </w:t>
      </w:r>
      <w:r>
        <w:rPr>
          <w:color w:val="231F20"/>
          <w:sz w:val="20"/>
        </w:rPr>
        <w:t>survivors.</w:t>
      </w:r>
      <w:r>
        <w:rPr>
          <w:color w:val="231F20"/>
          <w:position w:val="7"/>
          <w:sz w:val="11"/>
        </w:rPr>
        <w:t>163</w:t>
      </w:r>
    </w:p>
    <w:p w14:paraId="0C02E1E8" w14:textId="77777777" w:rsidR="00894070" w:rsidRDefault="009B7AFD">
      <w:pPr>
        <w:pStyle w:val="ListParagraph"/>
        <w:numPr>
          <w:ilvl w:val="1"/>
          <w:numId w:val="29"/>
        </w:numPr>
        <w:tabs>
          <w:tab w:val="left" w:pos="1801"/>
          <w:tab w:val="left" w:pos="1802"/>
        </w:tabs>
        <w:spacing w:before="80" w:line="206" w:lineRule="auto"/>
        <w:ind w:right="1576"/>
        <w:rPr>
          <w:sz w:val="11"/>
        </w:rPr>
      </w:pPr>
      <w:r>
        <w:rPr>
          <w:color w:val="231F20"/>
          <w:spacing w:val="-3"/>
          <w:sz w:val="20"/>
        </w:rPr>
        <w:t>Electronic</w:t>
      </w:r>
      <w:r>
        <w:rPr>
          <w:color w:val="231F20"/>
          <w:spacing w:val="-8"/>
          <w:sz w:val="20"/>
        </w:rPr>
        <w:t xml:space="preserve"> </w:t>
      </w:r>
      <w:r>
        <w:rPr>
          <w:color w:val="231F20"/>
          <w:sz w:val="20"/>
        </w:rPr>
        <w:t>monitoring</w:t>
      </w:r>
      <w:r>
        <w:rPr>
          <w:color w:val="231F20"/>
          <w:spacing w:val="-8"/>
          <w:sz w:val="20"/>
        </w:rPr>
        <w:t xml:space="preserve"> </w:t>
      </w:r>
      <w:r>
        <w:rPr>
          <w:color w:val="231F20"/>
          <w:sz w:val="20"/>
        </w:rPr>
        <w:t>is</w:t>
      </w:r>
      <w:r>
        <w:rPr>
          <w:color w:val="231F20"/>
          <w:spacing w:val="-8"/>
          <w:sz w:val="20"/>
        </w:rPr>
        <w:t xml:space="preserve"> </w:t>
      </w:r>
      <w:r>
        <w:rPr>
          <w:color w:val="231F20"/>
          <w:sz w:val="20"/>
        </w:rPr>
        <w:t>a</w:t>
      </w:r>
      <w:r>
        <w:rPr>
          <w:color w:val="231F20"/>
          <w:spacing w:val="-8"/>
          <w:sz w:val="20"/>
        </w:rPr>
        <w:t xml:space="preserve"> </w:t>
      </w:r>
      <w:r>
        <w:rPr>
          <w:color w:val="231F20"/>
          <w:spacing w:val="-3"/>
          <w:sz w:val="20"/>
        </w:rPr>
        <w:t>controversial</w:t>
      </w:r>
      <w:r>
        <w:rPr>
          <w:color w:val="231F20"/>
          <w:spacing w:val="-8"/>
          <w:sz w:val="20"/>
        </w:rPr>
        <w:t xml:space="preserve"> </w:t>
      </w:r>
      <w:r>
        <w:rPr>
          <w:color w:val="231F20"/>
          <w:sz w:val="20"/>
        </w:rPr>
        <w:t>criminal</w:t>
      </w:r>
      <w:r>
        <w:rPr>
          <w:color w:val="231F20"/>
          <w:spacing w:val="-8"/>
          <w:sz w:val="20"/>
        </w:rPr>
        <w:t xml:space="preserve"> </w:t>
      </w:r>
      <w:r>
        <w:rPr>
          <w:color w:val="231F20"/>
          <w:sz w:val="20"/>
        </w:rPr>
        <w:t>justice</w:t>
      </w:r>
      <w:r>
        <w:rPr>
          <w:color w:val="231F20"/>
          <w:spacing w:val="-8"/>
          <w:sz w:val="20"/>
        </w:rPr>
        <w:t xml:space="preserve"> </w:t>
      </w:r>
      <w:r>
        <w:rPr>
          <w:color w:val="231F20"/>
          <w:sz w:val="20"/>
        </w:rPr>
        <w:t>measure</w:t>
      </w:r>
      <w:r>
        <w:rPr>
          <w:color w:val="231F20"/>
          <w:spacing w:val="-8"/>
          <w:sz w:val="20"/>
        </w:rPr>
        <w:t xml:space="preserve"> </w:t>
      </w:r>
      <w:r>
        <w:rPr>
          <w:color w:val="231F20"/>
          <w:sz w:val="20"/>
        </w:rPr>
        <w:t>which</w:t>
      </w:r>
      <w:r>
        <w:rPr>
          <w:color w:val="231F20"/>
          <w:spacing w:val="-8"/>
          <w:sz w:val="20"/>
        </w:rPr>
        <w:t xml:space="preserve"> </w:t>
      </w:r>
      <w:r>
        <w:rPr>
          <w:color w:val="231F20"/>
          <w:sz w:val="20"/>
        </w:rPr>
        <w:t>can</w:t>
      </w:r>
      <w:r>
        <w:rPr>
          <w:color w:val="231F20"/>
          <w:spacing w:val="-8"/>
          <w:sz w:val="20"/>
        </w:rPr>
        <w:t xml:space="preserve"> </w:t>
      </w:r>
      <w:r>
        <w:rPr>
          <w:color w:val="231F20"/>
          <w:sz w:val="20"/>
        </w:rPr>
        <w:t>be</w:t>
      </w:r>
      <w:r>
        <w:rPr>
          <w:color w:val="231F20"/>
          <w:spacing w:val="-8"/>
          <w:sz w:val="20"/>
        </w:rPr>
        <w:t xml:space="preserve"> </w:t>
      </w:r>
      <w:r>
        <w:rPr>
          <w:color w:val="231F20"/>
          <w:sz w:val="20"/>
        </w:rPr>
        <w:t>seen as</w:t>
      </w:r>
      <w:r>
        <w:rPr>
          <w:color w:val="231F20"/>
          <w:spacing w:val="-7"/>
          <w:sz w:val="20"/>
        </w:rPr>
        <w:t xml:space="preserve"> </w:t>
      </w:r>
      <w:r>
        <w:rPr>
          <w:color w:val="231F20"/>
          <w:sz w:val="20"/>
        </w:rPr>
        <w:t>a</w:t>
      </w:r>
      <w:r>
        <w:rPr>
          <w:color w:val="231F20"/>
          <w:spacing w:val="-7"/>
          <w:sz w:val="20"/>
        </w:rPr>
        <w:t xml:space="preserve"> </w:t>
      </w:r>
      <w:r>
        <w:rPr>
          <w:color w:val="231F20"/>
          <w:spacing w:val="-3"/>
          <w:sz w:val="20"/>
        </w:rPr>
        <w:t>form</w:t>
      </w:r>
      <w:r>
        <w:rPr>
          <w:color w:val="231F20"/>
          <w:spacing w:val="-7"/>
          <w:sz w:val="20"/>
        </w:rPr>
        <w:t xml:space="preserve"> </w:t>
      </w:r>
      <w:r>
        <w:rPr>
          <w:color w:val="231F20"/>
          <w:sz w:val="20"/>
        </w:rPr>
        <w:t>of</w:t>
      </w:r>
      <w:r>
        <w:rPr>
          <w:color w:val="231F20"/>
          <w:spacing w:val="-7"/>
          <w:sz w:val="20"/>
        </w:rPr>
        <w:t xml:space="preserve"> </w:t>
      </w:r>
      <w:r>
        <w:rPr>
          <w:color w:val="231F20"/>
          <w:sz w:val="20"/>
        </w:rPr>
        <w:t>increased</w:t>
      </w:r>
      <w:r>
        <w:rPr>
          <w:color w:val="231F20"/>
          <w:spacing w:val="-7"/>
          <w:sz w:val="20"/>
        </w:rPr>
        <w:t xml:space="preserve"> </w:t>
      </w:r>
      <w:r>
        <w:rPr>
          <w:color w:val="231F20"/>
          <w:sz w:val="20"/>
        </w:rPr>
        <w:t>penalty.</w:t>
      </w:r>
      <w:r>
        <w:rPr>
          <w:color w:val="231F20"/>
          <w:position w:val="7"/>
          <w:sz w:val="11"/>
        </w:rPr>
        <w:t>164</w:t>
      </w:r>
      <w:r>
        <w:rPr>
          <w:color w:val="231F20"/>
          <w:spacing w:val="17"/>
          <w:position w:val="7"/>
          <w:sz w:val="11"/>
        </w:rPr>
        <w:t xml:space="preserve"> </w:t>
      </w:r>
      <w:r>
        <w:rPr>
          <w:color w:val="231F20"/>
          <w:sz w:val="20"/>
        </w:rPr>
        <w:t>It</w:t>
      </w:r>
      <w:r>
        <w:rPr>
          <w:color w:val="231F20"/>
          <w:spacing w:val="-7"/>
          <w:sz w:val="20"/>
        </w:rPr>
        <w:t xml:space="preserve"> </w:t>
      </w:r>
      <w:r>
        <w:rPr>
          <w:color w:val="231F20"/>
          <w:sz w:val="20"/>
        </w:rPr>
        <w:t>is</w:t>
      </w:r>
      <w:r>
        <w:rPr>
          <w:color w:val="231F20"/>
          <w:spacing w:val="-7"/>
          <w:sz w:val="20"/>
        </w:rPr>
        <w:t xml:space="preserve"> </w:t>
      </w:r>
      <w:r>
        <w:rPr>
          <w:color w:val="231F20"/>
          <w:sz w:val="20"/>
        </w:rPr>
        <w:t>used</w:t>
      </w:r>
      <w:r>
        <w:rPr>
          <w:color w:val="231F20"/>
          <w:spacing w:val="-7"/>
          <w:sz w:val="20"/>
        </w:rPr>
        <w:t xml:space="preserve"> </w:t>
      </w:r>
      <w:r>
        <w:rPr>
          <w:color w:val="231F20"/>
          <w:sz w:val="20"/>
        </w:rPr>
        <w:t>in</w:t>
      </w:r>
      <w:r>
        <w:rPr>
          <w:color w:val="231F20"/>
          <w:spacing w:val="-7"/>
          <w:sz w:val="20"/>
        </w:rPr>
        <w:t xml:space="preserve"> </w:t>
      </w:r>
      <w:r>
        <w:rPr>
          <w:color w:val="231F20"/>
          <w:sz w:val="20"/>
        </w:rPr>
        <w:t>Victoria</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pacing w:val="-3"/>
          <w:sz w:val="20"/>
        </w:rPr>
        <w:t>context</w:t>
      </w:r>
      <w:r>
        <w:rPr>
          <w:color w:val="231F20"/>
          <w:spacing w:val="-7"/>
          <w:sz w:val="20"/>
        </w:rPr>
        <w:t xml:space="preserve"> </w:t>
      </w:r>
      <w:r>
        <w:rPr>
          <w:color w:val="231F20"/>
          <w:sz w:val="20"/>
        </w:rPr>
        <w:t>of</w:t>
      </w:r>
      <w:r>
        <w:rPr>
          <w:color w:val="231F20"/>
          <w:spacing w:val="-6"/>
          <w:sz w:val="20"/>
        </w:rPr>
        <w:t xml:space="preserve"> </w:t>
      </w:r>
      <w:r>
        <w:rPr>
          <w:color w:val="231F20"/>
          <w:sz w:val="20"/>
        </w:rPr>
        <w:t>bail</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 xml:space="preserve">those suspected of </w:t>
      </w:r>
      <w:r>
        <w:rPr>
          <w:color w:val="231F20"/>
          <w:spacing w:val="-3"/>
          <w:sz w:val="20"/>
        </w:rPr>
        <w:t xml:space="preserve">terrorism, for </w:t>
      </w:r>
      <w:r>
        <w:rPr>
          <w:color w:val="231F20"/>
          <w:sz w:val="20"/>
        </w:rPr>
        <w:t xml:space="preserve">those </w:t>
      </w:r>
      <w:r>
        <w:rPr>
          <w:color w:val="231F20"/>
          <w:spacing w:val="-3"/>
          <w:sz w:val="20"/>
        </w:rPr>
        <w:t xml:space="preserve">convicted </w:t>
      </w:r>
      <w:r>
        <w:rPr>
          <w:color w:val="231F20"/>
          <w:sz w:val="20"/>
        </w:rPr>
        <w:t xml:space="preserve">of sex offences, and to monitor some requirements </w:t>
      </w:r>
      <w:r>
        <w:rPr>
          <w:color w:val="231F20"/>
          <w:spacing w:val="-3"/>
          <w:sz w:val="20"/>
        </w:rPr>
        <w:t xml:space="preserve">for </w:t>
      </w:r>
      <w:r>
        <w:rPr>
          <w:color w:val="231F20"/>
          <w:sz w:val="20"/>
        </w:rPr>
        <w:t xml:space="preserve">those </w:t>
      </w:r>
      <w:r>
        <w:rPr>
          <w:color w:val="231F20"/>
          <w:spacing w:val="-3"/>
          <w:sz w:val="20"/>
        </w:rPr>
        <w:t xml:space="preserve">convicted </w:t>
      </w:r>
      <w:r>
        <w:rPr>
          <w:color w:val="231F20"/>
          <w:sz w:val="20"/>
        </w:rPr>
        <w:t>of serious violence</w:t>
      </w:r>
      <w:r>
        <w:rPr>
          <w:color w:val="231F20"/>
          <w:spacing w:val="-32"/>
          <w:sz w:val="20"/>
        </w:rPr>
        <w:t xml:space="preserve"> </w:t>
      </w:r>
      <w:r>
        <w:rPr>
          <w:color w:val="231F20"/>
          <w:sz w:val="20"/>
        </w:rPr>
        <w:t>offences.</w:t>
      </w:r>
      <w:r>
        <w:rPr>
          <w:color w:val="231F20"/>
          <w:position w:val="7"/>
          <w:sz w:val="11"/>
        </w:rPr>
        <w:t>165</w:t>
      </w:r>
    </w:p>
    <w:p w14:paraId="65A137D4" w14:textId="77777777" w:rsidR="00894070" w:rsidRDefault="00894070">
      <w:pPr>
        <w:pStyle w:val="BodyText"/>
      </w:pPr>
    </w:p>
    <w:p w14:paraId="74E7A2D8" w14:textId="77777777" w:rsidR="00894070" w:rsidRDefault="00894070">
      <w:pPr>
        <w:pStyle w:val="BodyText"/>
      </w:pPr>
    </w:p>
    <w:p w14:paraId="755F28B5" w14:textId="77777777" w:rsidR="00894070" w:rsidRDefault="00894070">
      <w:pPr>
        <w:pStyle w:val="BodyText"/>
      </w:pPr>
    </w:p>
    <w:p w14:paraId="5EA9ABDA" w14:textId="77777777" w:rsidR="00894070" w:rsidRDefault="00894070">
      <w:pPr>
        <w:pStyle w:val="BodyText"/>
      </w:pPr>
    </w:p>
    <w:p w14:paraId="2E32AD07" w14:textId="77777777" w:rsidR="00894070" w:rsidRDefault="009F6793">
      <w:pPr>
        <w:pStyle w:val="BodyText"/>
        <w:spacing w:before="9"/>
        <w:rPr>
          <w:sz w:val="11"/>
        </w:rPr>
      </w:pPr>
      <w:r>
        <w:pict w14:anchorId="5E1166FF">
          <v:line id="_x0000_s1056" style="position:absolute;z-index:251783168;mso-wrap-distance-left:0;mso-wrap-distance-right:0;mso-position-horizontal-relative:page" from="79.35pt,10.6pt" to="515.9pt,10.6pt" strokecolor="#f8cabc" strokeweight="1pt">
            <w10:wrap type="topAndBottom" anchorx="page"/>
          </v:line>
        </w:pict>
      </w:r>
    </w:p>
    <w:p w14:paraId="6924AF6C" w14:textId="77777777" w:rsidR="00894070" w:rsidRDefault="00894070">
      <w:pPr>
        <w:pStyle w:val="BodyText"/>
        <w:rPr>
          <w:sz w:val="5"/>
        </w:rPr>
      </w:pPr>
    </w:p>
    <w:p w14:paraId="3F6A9FD2" w14:textId="77777777" w:rsidR="00894070" w:rsidRDefault="00894070">
      <w:pPr>
        <w:rPr>
          <w:sz w:val="5"/>
        </w:rPr>
        <w:sectPr w:rsidR="00894070">
          <w:pgSz w:w="11910" w:h="16840"/>
          <w:pgMar w:top="860" w:right="420" w:bottom="280" w:left="580" w:header="567" w:footer="0" w:gutter="0"/>
          <w:cols w:space="720"/>
        </w:sectPr>
      </w:pPr>
    </w:p>
    <w:p w14:paraId="7882101B" w14:textId="77777777" w:rsidR="00894070" w:rsidRDefault="00894070">
      <w:pPr>
        <w:pStyle w:val="BodyText"/>
        <w:rPr>
          <w:sz w:val="28"/>
        </w:rPr>
      </w:pPr>
    </w:p>
    <w:p w14:paraId="30B0CD54" w14:textId="77777777" w:rsidR="00894070" w:rsidRDefault="00894070">
      <w:pPr>
        <w:pStyle w:val="BodyText"/>
        <w:rPr>
          <w:sz w:val="28"/>
        </w:rPr>
      </w:pPr>
    </w:p>
    <w:p w14:paraId="09C1CA30" w14:textId="77777777" w:rsidR="00894070" w:rsidRDefault="00894070">
      <w:pPr>
        <w:pStyle w:val="BodyText"/>
        <w:rPr>
          <w:sz w:val="28"/>
        </w:rPr>
      </w:pPr>
    </w:p>
    <w:p w14:paraId="6A764F87" w14:textId="77777777" w:rsidR="00894070" w:rsidRDefault="00894070">
      <w:pPr>
        <w:pStyle w:val="BodyText"/>
        <w:rPr>
          <w:sz w:val="28"/>
        </w:rPr>
      </w:pPr>
    </w:p>
    <w:p w14:paraId="57D5E1CE" w14:textId="77777777" w:rsidR="00894070" w:rsidRDefault="00894070">
      <w:pPr>
        <w:pStyle w:val="BodyText"/>
        <w:rPr>
          <w:sz w:val="28"/>
        </w:rPr>
      </w:pPr>
    </w:p>
    <w:p w14:paraId="43448E07" w14:textId="77777777" w:rsidR="00894070" w:rsidRDefault="00894070">
      <w:pPr>
        <w:pStyle w:val="BodyText"/>
        <w:rPr>
          <w:sz w:val="28"/>
        </w:rPr>
      </w:pPr>
    </w:p>
    <w:p w14:paraId="3809757D" w14:textId="77777777" w:rsidR="00894070" w:rsidRDefault="00894070">
      <w:pPr>
        <w:pStyle w:val="BodyText"/>
        <w:rPr>
          <w:sz w:val="28"/>
        </w:rPr>
      </w:pPr>
    </w:p>
    <w:p w14:paraId="5DED192B" w14:textId="77777777" w:rsidR="00894070" w:rsidRDefault="00894070">
      <w:pPr>
        <w:pStyle w:val="BodyText"/>
        <w:rPr>
          <w:sz w:val="28"/>
        </w:rPr>
      </w:pPr>
    </w:p>
    <w:p w14:paraId="6BEB81E0" w14:textId="77777777" w:rsidR="00894070" w:rsidRDefault="00894070">
      <w:pPr>
        <w:pStyle w:val="BodyText"/>
        <w:rPr>
          <w:sz w:val="22"/>
        </w:rPr>
      </w:pPr>
    </w:p>
    <w:p w14:paraId="44E266DC" w14:textId="77777777" w:rsidR="00894070" w:rsidRDefault="009B7AFD">
      <w:pPr>
        <w:pStyle w:val="Heading8"/>
        <w:ind w:left="140"/>
      </w:pPr>
      <w:r>
        <w:rPr>
          <w:color w:val="EA5B50"/>
        </w:rPr>
        <w:t>178</w:t>
      </w:r>
    </w:p>
    <w:p w14:paraId="3C90E2C2" w14:textId="77777777" w:rsidR="00894070" w:rsidRDefault="009B7AFD">
      <w:pPr>
        <w:pStyle w:val="ListParagraph"/>
        <w:numPr>
          <w:ilvl w:val="0"/>
          <w:numId w:val="20"/>
        </w:numPr>
        <w:tabs>
          <w:tab w:val="left" w:pos="933"/>
          <w:tab w:val="left" w:pos="934"/>
        </w:tabs>
        <w:spacing w:before="38" w:line="213" w:lineRule="auto"/>
        <w:ind w:left="933" w:right="1632" w:hanging="793"/>
        <w:jc w:val="left"/>
        <w:rPr>
          <w:sz w:val="13"/>
        </w:rPr>
      </w:pPr>
      <w:r>
        <w:rPr>
          <w:color w:val="231F20"/>
          <w:spacing w:val="1"/>
          <w:sz w:val="13"/>
        </w:rPr>
        <w:br w:type="column"/>
      </w:r>
      <w:r>
        <w:rPr>
          <w:color w:val="231F20"/>
          <w:sz w:val="13"/>
        </w:rPr>
        <w:t xml:space="preserve">Lorana </w:t>
      </w:r>
      <w:r>
        <w:rPr>
          <w:color w:val="231F20"/>
          <w:spacing w:val="2"/>
          <w:sz w:val="13"/>
        </w:rPr>
        <w:t xml:space="preserve">Bartels </w:t>
      </w:r>
      <w:r>
        <w:rPr>
          <w:color w:val="231F20"/>
          <w:sz w:val="13"/>
        </w:rPr>
        <w:t xml:space="preserve">and </w:t>
      </w:r>
      <w:r>
        <w:rPr>
          <w:color w:val="231F20"/>
          <w:spacing w:val="2"/>
          <w:sz w:val="13"/>
        </w:rPr>
        <w:t xml:space="preserve">Marietta </w:t>
      </w:r>
      <w:r>
        <w:rPr>
          <w:color w:val="231F20"/>
          <w:sz w:val="13"/>
        </w:rPr>
        <w:t xml:space="preserve">Martinovic, ‘Electronic Monitoring: The </w:t>
      </w:r>
      <w:r>
        <w:rPr>
          <w:color w:val="231F20"/>
          <w:spacing w:val="2"/>
          <w:sz w:val="13"/>
        </w:rPr>
        <w:t xml:space="preserve">Experience </w:t>
      </w:r>
      <w:r>
        <w:rPr>
          <w:color w:val="231F20"/>
          <w:sz w:val="13"/>
        </w:rPr>
        <w:t xml:space="preserve">in Australia’ (2017) </w:t>
      </w:r>
      <w:r>
        <w:rPr>
          <w:color w:val="231F20"/>
          <w:spacing w:val="2"/>
          <w:sz w:val="13"/>
        </w:rPr>
        <w:t xml:space="preserve">9(1) </w:t>
      </w:r>
      <w:r>
        <w:rPr>
          <w:i/>
          <w:color w:val="231F20"/>
          <w:sz w:val="13"/>
        </w:rPr>
        <w:t xml:space="preserve">European Journal of Probation </w:t>
      </w:r>
      <w:r>
        <w:rPr>
          <w:color w:val="231F20"/>
          <w:spacing w:val="2"/>
          <w:sz w:val="13"/>
        </w:rPr>
        <w:t>90.</w:t>
      </w:r>
    </w:p>
    <w:p w14:paraId="1D580857" w14:textId="77777777" w:rsidR="00894070" w:rsidRDefault="009B7AFD">
      <w:pPr>
        <w:pStyle w:val="ListParagraph"/>
        <w:numPr>
          <w:ilvl w:val="0"/>
          <w:numId w:val="20"/>
        </w:numPr>
        <w:tabs>
          <w:tab w:val="left" w:pos="933"/>
          <w:tab w:val="left" w:pos="934"/>
        </w:tabs>
        <w:spacing w:line="153" w:lineRule="exact"/>
        <w:ind w:left="933" w:hanging="793"/>
        <w:jc w:val="left"/>
        <w:rPr>
          <w:sz w:val="13"/>
        </w:rPr>
      </w:pPr>
      <w:r>
        <w:rPr>
          <w:color w:val="231F20"/>
          <w:sz w:val="13"/>
        </w:rPr>
        <w:t>Ibid.</w:t>
      </w:r>
    </w:p>
    <w:p w14:paraId="5544BF9B" w14:textId="77777777" w:rsidR="00894070" w:rsidRDefault="009B7AFD">
      <w:pPr>
        <w:pStyle w:val="ListParagraph"/>
        <w:numPr>
          <w:ilvl w:val="0"/>
          <w:numId w:val="20"/>
        </w:numPr>
        <w:tabs>
          <w:tab w:val="left" w:pos="933"/>
          <w:tab w:val="left" w:pos="934"/>
        </w:tabs>
        <w:spacing w:line="160" w:lineRule="exact"/>
        <w:ind w:left="933" w:hanging="793"/>
        <w:jc w:val="left"/>
        <w:rPr>
          <w:sz w:val="13"/>
        </w:rPr>
      </w:pPr>
      <w:r>
        <w:rPr>
          <w:i/>
          <w:color w:val="231F20"/>
          <w:sz w:val="13"/>
        </w:rPr>
        <w:t xml:space="preserve">Sentencing Act 1991 </w:t>
      </w:r>
      <w:r>
        <w:rPr>
          <w:color w:val="231F20"/>
          <w:sz w:val="13"/>
        </w:rPr>
        <w:t xml:space="preserve">(Vic) s </w:t>
      </w:r>
      <w:r>
        <w:rPr>
          <w:color w:val="231F20"/>
          <w:spacing w:val="3"/>
          <w:sz w:val="13"/>
        </w:rPr>
        <w:t>48LA.</w:t>
      </w:r>
    </w:p>
    <w:p w14:paraId="49777A85" w14:textId="77777777" w:rsidR="00894070" w:rsidRDefault="009B7AFD">
      <w:pPr>
        <w:pStyle w:val="ListParagraph"/>
        <w:numPr>
          <w:ilvl w:val="0"/>
          <w:numId w:val="20"/>
        </w:numPr>
        <w:tabs>
          <w:tab w:val="left" w:pos="933"/>
          <w:tab w:val="left" w:pos="934"/>
        </w:tabs>
        <w:spacing w:line="160" w:lineRule="exact"/>
        <w:ind w:left="933" w:hanging="793"/>
        <w:jc w:val="left"/>
        <w:rPr>
          <w:sz w:val="13"/>
        </w:rPr>
      </w:pPr>
      <w:r>
        <w:rPr>
          <w:color w:val="231F20"/>
          <w:sz w:val="13"/>
        </w:rPr>
        <w:t xml:space="preserve">‘Parole Conditions’, </w:t>
      </w:r>
      <w:r>
        <w:rPr>
          <w:i/>
          <w:color w:val="231F20"/>
          <w:sz w:val="13"/>
        </w:rPr>
        <w:t xml:space="preserve">Adult Parole Board Victoria </w:t>
      </w:r>
      <w:r>
        <w:rPr>
          <w:color w:val="231F20"/>
          <w:sz w:val="13"/>
        </w:rPr>
        <w:t>(Web Pag</w:t>
      </w:r>
      <w:hyperlink r:id="rId199">
        <w:r>
          <w:rPr>
            <w:color w:val="231F20"/>
            <w:sz w:val="13"/>
          </w:rPr>
          <w:t>e)</w:t>
        </w:r>
        <w:r>
          <w:rPr>
            <w:color w:val="231F20"/>
            <w:spacing w:val="20"/>
            <w:sz w:val="13"/>
          </w:rPr>
          <w:t xml:space="preserve"> </w:t>
        </w:r>
        <w:r>
          <w:rPr>
            <w:color w:val="231F20"/>
            <w:sz w:val="13"/>
          </w:rPr>
          <w:t>&lt;https://www.adultparoleboard.vic.gov.au/parole-process/parole-</w:t>
        </w:r>
      </w:hyperlink>
    </w:p>
    <w:p w14:paraId="07A418A9" w14:textId="77777777" w:rsidR="00894070" w:rsidRDefault="009F6793">
      <w:pPr>
        <w:spacing w:line="160" w:lineRule="exact"/>
        <w:ind w:left="933"/>
        <w:rPr>
          <w:sz w:val="13"/>
        </w:rPr>
      </w:pPr>
      <w:hyperlink r:id="rId200">
        <w:r w:rsidR="009B7AFD">
          <w:rPr>
            <w:color w:val="231F20"/>
            <w:sz w:val="13"/>
          </w:rPr>
          <w:t>conditions</w:t>
        </w:r>
      </w:hyperlink>
      <w:r w:rsidR="009B7AFD">
        <w:rPr>
          <w:color w:val="231F20"/>
          <w:sz w:val="13"/>
        </w:rPr>
        <w:t>&gt;.</w:t>
      </w:r>
    </w:p>
    <w:p w14:paraId="3D52C4CA" w14:textId="77777777" w:rsidR="00894070" w:rsidRDefault="009B7AFD">
      <w:pPr>
        <w:pStyle w:val="ListParagraph"/>
        <w:numPr>
          <w:ilvl w:val="0"/>
          <w:numId w:val="20"/>
        </w:numPr>
        <w:tabs>
          <w:tab w:val="left" w:pos="933"/>
          <w:tab w:val="left" w:pos="934"/>
        </w:tabs>
        <w:spacing w:line="160" w:lineRule="exact"/>
        <w:ind w:left="933" w:hanging="793"/>
        <w:jc w:val="left"/>
        <w:rPr>
          <w:sz w:val="13"/>
        </w:rPr>
      </w:pPr>
      <w:r>
        <w:rPr>
          <w:i/>
          <w:color w:val="231F20"/>
          <w:sz w:val="13"/>
        </w:rPr>
        <w:t xml:space="preserve">Serious Offenders Act 2018 </w:t>
      </w:r>
      <w:r>
        <w:rPr>
          <w:color w:val="231F20"/>
          <w:sz w:val="13"/>
        </w:rPr>
        <w:t xml:space="preserve">(Vic) s </w:t>
      </w:r>
      <w:r>
        <w:rPr>
          <w:color w:val="231F20"/>
          <w:spacing w:val="3"/>
          <w:sz w:val="13"/>
        </w:rPr>
        <w:t>141.</w:t>
      </w:r>
    </w:p>
    <w:p w14:paraId="2B545878" w14:textId="77777777" w:rsidR="00894070" w:rsidRDefault="009B7AFD">
      <w:pPr>
        <w:pStyle w:val="ListParagraph"/>
        <w:numPr>
          <w:ilvl w:val="0"/>
          <w:numId w:val="20"/>
        </w:numPr>
        <w:tabs>
          <w:tab w:val="left" w:pos="933"/>
          <w:tab w:val="left" w:pos="934"/>
        </w:tabs>
        <w:spacing w:line="160" w:lineRule="exact"/>
        <w:ind w:left="933" w:hanging="793"/>
        <w:jc w:val="left"/>
        <w:rPr>
          <w:sz w:val="13"/>
        </w:rPr>
      </w:pPr>
      <w:r>
        <w:rPr>
          <w:i/>
          <w:color w:val="231F20"/>
          <w:sz w:val="13"/>
        </w:rPr>
        <w:t xml:space="preserve">Royal Commission into Family Violence: </w:t>
      </w:r>
      <w:r>
        <w:rPr>
          <w:i/>
          <w:color w:val="231F20"/>
          <w:spacing w:val="2"/>
          <w:sz w:val="13"/>
        </w:rPr>
        <w:t xml:space="preserve">Report </w:t>
      </w:r>
      <w:r>
        <w:rPr>
          <w:i/>
          <w:color w:val="231F20"/>
          <w:sz w:val="13"/>
        </w:rPr>
        <w:t xml:space="preserve">and Recommendations </w:t>
      </w:r>
      <w:r>
        <w:rPr>
          <w:color w:val="231F20"/>
          <w:sz w:val="13"/>
        </w:rPr>
        <w:t xml:space="preserve">(Final </w:t>
      </w:r>
      <w:r>
        <w:rPr>
          <w:color w:val="231F20"/>
          <w:spacing w:val="2"/>
          <w:sz w:val="13"/>
        </w:rPr>
        <w:t xml:space="preserve">Report, </w:t>
      </w:r>
      <w:r>
        <w:rPr>
          <w:color w:val="231F20"/>
          <w:sz w:val="13"/>
        </w:rPr>
        <w:t>March</w:t>
      </w:r>
      <w:r>
        <w:rPr>
          <w:color w:val="231F20"/>
          <w:spacing w:val="3"/>
          <w:sz w:val="13"/>
        </w:rPr>
        <w:t xml:space="preserve"> </w:t>
      </w:r>
      <w:r>
        <w:rPr>
          <w:color w:val="231F20"/>
          <w:sz w:val="13"/>
        </w:rPr>
        <w:t>2016).</w:t>
      </w:r>
    </w:p>
    <w:p w14:paraId="5DD2BA53" w14:textId="77777777" w:rsidR="00894070" w:rsidRDefault="009B7AFD">
      <w:pPr>
        <w:pStyle w:val="ListParagraph"/>
        <w:numPr>
          <w:ilvl w:val="0"/>
          <w:numId w:val="20"/>
        </w:numPr>
        <w:tabs>
          <w:tab w:val="left" w:pos="933"/>
          <w:tab w:val="left" w:pos="934"/>
        </w:tabs>
        <w:spacing w:before="6" w:line="213" w:lineRule="auto"/>
        <w:ind w:left="933" w:right="1306" w:hanging="793"/>
        <w:jc w:val="left"/>
        <w:rPr>
          <w:sz w:val="13"/>
        </w:rPr>
      </w:pPr>
      <w:r>
        <w:rPr>
          <w:color w:val="231F20"/>
          <w:sz w:val="13"/>
        </w:rPr>
        <w:t xml:space="preserve">Standing Committee on Social Issues, Parliament of New South Wales, </w:t>
      </w:r>
      <w:r>
        <w:rPr>
          <w:i/>
          <w:color w:val="231F20"/>
          <w:sz w:val="13"/>
        </w:rPr>
        <w:t xml:space="preserve">Domestic Violence Trends and Issues in NSW </w:t>
      </w:r>
      <w:r>
        <w:rPr>
          <w:color w:val="231F20"/>
          <w:spacing w:val="2"/>
          <w:sz w:val="13"/>
        </w:rPr>
        <w:t xml:space="preserve">(Report </w:t>
      </w:r>
      <w:r>
        <w:rPr>
          <w:color w:val="231F20"/>
          <w:sz w:val="13"/>
        </w:rPr>
        <w:t>No 46, August 2012).</w:t>
      </w:r>
    </w:p>
    <w:p w14:paraId="7842EDF9" w14:textId="77777777" w:rsidR="00894070" w:rsidRDefault="009B7AFD">
      <w:pPr>
        <w:pStyle w:val="ListParagraph"/>
        <w:numPr>
          <w:ilvl w:val="0"/>
          <w:numId w:val="20"/>
        </w:numPr>
        <w:tabs>
          <w:tab w:val="left" w:pos="933"/>
          <w:tab w:val="left" w:pos="934"/>
        </w:tabs>
        <w:spacing w:line="213" w:lineRule="auto"/>
        <w:ind w:left="933" w:right="1439" w:hanging="793"/>
        <w:jc w:val="left"/>
        <w:rPr>
          <w:sz w:val="13"/>
        </w:rPr>
      </w:pPr>
      <w:r>
        <w:rPr>
          <w:color w:val="231F20"/>
          <w:sz w:val="13"/>
        </w:rPr>
        <w:t xml:space="preserve">Mark Shelton, Minister for Police, Fire and Emergency Management (Tas), ‘Electronic Monitoring Trial Delivers Real Results in </w:t>
      </w:r>
      <w:r>
        <w:rPr>
          <w:color w:val="231F20"/>
          <w:spacing w:val="2"/>
          <w:sz w:val="13"/>
        </w:rPr>
        <w:t xml:space="preserve">Supporting </w:t>
      </w:r>
      <w:r>
        <w:rPr>
          <w:color w:val="231F20"/>
          <w:sz w:val="13"/>
        </w:rPr>
        <w:t>Victims of Family Violence’ (Media Release, 20 August</w:t>
      </w:r>
      <w:r>
        <w:rPr>
          <w:color w:val="231F20"/>
          <w:spacing w:val="3"/>
          <w:sz w:val="13"/>
        </w:rPr>
        <w:t xml:space="preserve"> </w:t>
      </w:r>
      <w:r>
        <w:rPr>
          <w:color w:val="231F20"/>
          <w:sz w:val="13"/>
        </w:rPr>
        <w:t>2020).</w:t>
      </w:r>
    </w:p>
    <w:p w14:paraId="3AB051E8" w14:textId="77777777" w:rsidR="00894070" w:rsidRDefault="009B7AFD">
      <w:pPr>
        <w:pStyle w:val="ListParagraph"/>
        <w:numPr>
          <w:ilvl w:val="0"/>
          <w:numId w:val="20"/>
        </w:numPr>
        <w:tabs>
          <w:tab w:val="left" w:pos="933"/>
          <w:tab w:val="left" w:pos="934"/>
        </w:tabs>
        <w:spacing w:line="213" w:lineRule="auto"/>
        <w:ind w:left="933" w:right="1347" w:hanging="793"/>
        <w:jc w:val="left"/>
        <w:rPr>
          <w:sz w:val="13"/>
        </w:rPr>
      </w:pPr>
      <w:r>
        <w:rPr>
          <w:color w:val="231F20"/>
          <w:spacing w:val="2"/>
          <w:sz w:val="13"/>
        </w:rPr>
        <w:t xml:space="preserve">‘Domestic </w:t>
      </w:r>
      <w:r>
        <w:rPr>
          <w:color w:val="231F20"/>
          <w:sz w:val="13"/>
        </w:rPr>
        <w:t xml:space="preserve">Violence Offenders in SA to Be GPS Tracked’, </w:t>
      </w:r>
      <w:r>
        <w:rPr>
          <w:i/>
          <w:color w:val="231F20"/>
          <w:sz w:val="13"/>
        </w:rPr>
        <w:t xml:space="preserve">ABC News </w:t>
      </w:r>
      <w:r>
        <w:rPr>
          <w:color w:val="231F20"/>
          <w:sz w:val="13"/>
        </w:rPr>
        <w:t>(online, 17 April 2017</w:t>
      </w:r>
      <w:hyperlink r:id="rId201">
        <w:r>
          <w:rPr>
            <w:color w:val="231F20"/>
            <w:sz w:val="13"/>
          </w:rPr>
          <w:t>) &lt;https://www.abc.net.au/news/2017-</w:t>
        </w:r>
      </w:hyperlink>
      <w:hyperlink r:id="rId202">
        <w:r>
          <w:rPr>
            <w:color w:val="231F20"/>
            <w:sz w:val="13"/>
          </w:rPr>
          <w:t xml:space="preserve"> 04-18/domestic-violence-offenders-to-be-gps-tracked-in-sa/8448666</w:t>
        </w:r>
      </w:hyperlink>
      <w:r>
        <w:rPr>
          <w:color w:val="231F20"/>
          <w:sz w:val="13"/>
        </w:rPr>
        <w:t>&gt;.</w:t>
      </w:r>
    </w:p>
    <w:p w14:paraId="19431337" w14:textId="77777777" w:rsidR="00894070" w:rsidRDefault="009B7AFD">
      <w:pPr>
        <w:pStyle w:val="ListParagraph"/>
        <w:numPr>
          <w:ilvl w:val="0"/>
          <w:numId w:val="20"/>
        </w:numPr>
        <w:tabs>
          <w:tab w:val="left" w:pos="933"/>
          <w:tab w:val="left" w:pos="934"/>
        </w:tabs>
        <w:spacing w:line="213" w:lineRule="auto"/>
        <w:ind w:left="933" w:right="1414" w:hanging="793"/>
        <w:jc w:val="left"/>
        <w:rPr>
          <w:sz w:val="13"/>
        </w:rPr>
      </w:pPr>
      <w:r>
        <w:rPr>
          <w:color w:val="231F20"/>
          <w:spacing w:val="2"/>
          <w:sz w:val="13"/>
        </w:rPr>
        <w:t xml:space="preserve">Department </w:t>
      </w:r>
      <w:r>
        <w:rPr>
          <w:color w:val="231F20"/>
          <w:sz w:val="13"/>
        </w:rPr>
        <w:t xml:space="preserve">of Justice (WA), ‘Family and </w:t>
      </w:r>
      <w:r>
        <w:rPr>
          <w:color w:val="231F20"/>
          <w:spacing w:val="2"/>
          <w:sz w:val="13"/>
        </w:rPr>
        <w:t xml:space="preserve">Domestic </w:t>
      </w:r>
      <w:r>
        <w:rPr>
          <w:color w:val="231F20"/>
          <w:sz w:val="13"/>
        </w:rPr>
        <w:t xml:space="preserve">Violence Offenders Face GPS Tracking’, </w:t>
      </w:r>
      <w:hyperlink r:id="rId203">
        <w:r>
          <w:rPr>
            <w:i/>
            <w:color w:val="231F20"/>
            <w:sz w:val="13"/>
          </w:rPr>
          <w:t xml:space="preserve">WA.Gov.Au </w:t>
        </w:r>
      </w:hyperlink>
      <w:r>
        <w:rPr>
          <w:color w:val="231F20"/>
          <w:sz w:val="13"/>
        </w:rPr>
        <w:t>(Web Page, 18 August 2020) &lt;</w:t>
      </w:r>
      <w:hyperlink r:id="rId204">
        <w:r>
          <w:rPr>
            <w:color w:val="231F20"/>
            <w:sz w:val="13"/>
          </w:rPr>
          <w:t>https://www.wa.gov.au/government/announcements/family-and-domestic-violence-offenders-face-gps-tracking</w:t>
        </w:r>
      </w:hyperlink>
      <w:r>
        <w:rPr>
          <w:color w:val="231F20"/>
          <w:sz w:val="13"/>
        </w:rPr>
        <w:t xml:space="preserve">&gt;; </w:t>
      </w:r>
      <w:r>
        <w:rPr>
          <w:i/>
          <w:color w:val="231F20"/>
          <w:sz w:val="13"/>
        </w:rPr>
        <w:t xml:space="preserve">Family Violence Legislation Reform (COVID-19 Response) Act </w:t>
      </w:r>
      <w:r>
        <w:rPr>
          <w:color w:val="231F20"/>
          <w:sz w:val="13"/>
        </w:rPr>
        <w:t>2020</w:t>
      </w:r>
      <w:r>
        <w:rPr>
          <w:color w:val="231F20"/>
          <w:spacing w:val="1"/>
          <w:sz w:val="13"/>
        </w:rPr>
        <w:t xml:space="preserve"> </w:t>
      </w:r>
      <w:r>
        <w:rPr>
          <w:color w:val="231F20"/>
          <w:sz w:val="13"/>
        </w:rPr>
        <w:t>(WA).</w:t>
      </w:r>
    </w:p>
    <w:p w14:paraId="3D44E7F8" w14:textId="77777777" w:rsidR="00894070" w:rsidRDefault="009B7AFD">
      <w:pPr>
        <w:pStyle w:val="ListParagraph"/>
        <w:numPr>
          <w:ilvl w:val="0"/>
          <w:numId w:val="20"/>
        </w:numPr>
        <w:tabs>
          <w:tab w:val="left" w:pos="933"/>
          <w:tab w:val="left" w:pos="934"/>
        </w:tabs>
        <w:spacing w:line="152" w:lineRule="exact"/>
        <w:ind w:left="933" w:hanging="793"/>
        <w:jc w:val="left"/>
        <w:rPr>
          <w:sz w:val="13"/>
        </w:rPr>
      </w:pPr>
      <w:r>
        <w:rPr>
          <w:i/>
          <w:color w:val="231F20"/>
          <w:sz w:val="13"/>
        </w:rPr>
        <w:t xml:space="preserve">Family Violence Act 2007 </w:t>
      </w:r>
      <w:r>
        <w:rPr>
          <w:color w:val="231F20"/>
          <w:sz w:val="13"/>
        </w:rPr>
        <w:t>(Tas) s 16(3)(c).</w:t>
      </w:r>
    </w:p>
    <w:p w14:paraId="1783D768" w14:textId="77777777" w:rsidR="00894070" w:rsidRDefault="009B7AFD">
      <w:pPr>
        <w:pStyle w:val="ListParagraph"/>
        <w:numPr>
          <w:ilvl w:val="0"/>
          <w:numId w:val="20"/>
        </w:numPr>
        <w:tabs>
          <w:tab w:val="left" w:pos="933"/>
          <w:tab w:val="left" w:pos="934"/>
        </w:tabs>
        <w:spacing w:before="3" w:line="213" w:lineRule="auto"/>
        <w:ind w:left="933" w:right="1663" w:hanging="793"/>
        <w:jc w:val="left"/>
        <w:rPr>
          <w:sz w:val="13"/>
        </w:rPr>
      </w:pPr>
      <w:r>
        <w:rPr>
          <w:color w:val="231F20"/>
          <w:sz w:val="13"/>
        </w:rPr>
        <w:t xml:space="preserve">Heather Nancarrow and Tanya Modini, </w:t>
      </w:r>
      <w:r>
        <w:rPr>
          <w:i/>
          <w:color w:val="231F20"/>
          <w:sz w:val="13"/>
        </w:rPr>
        <w:t xml:space="preserve">Electronic Monitoring in the Context of Domestic and Family Violence </w:t>
      </w:r>
      <w:r>
        <w:rPr>
          <w:color w:val="231F20"/>
          <w:spacing w:val="2"/>
          <w:sz w:val="13"/>
        </w:rPr>
        <w:t xml:space="preserve">(Report </w:t>
      </w:r>
      <w:r>
        <w:rPr>
          <w:color w:val="231F20"/>
          <w:sz w:val="13"/>
        </w:rPr>
        <w:t xml:space="preserve">for the </w:t>
      </w:r>
      <w:r>
        <w:rPr>
          <w:color w:val="231F20"/>
          <w:spacing w:val="2"/>
          <w:sz w:val="13"/>
        </w:rPr>
        <w:t xml:space="preserve">Department </w:t>
      </w:r>
      <w:r>
        <w:rPr>
          <w:color w:val="231F20"/>
          <w:sz w:val="13"/>
        </w:rPr>
        <w:t>of Justice and Attorney-General (Qld), ANROWS,</w:t>
      </w:r>
      <w:r>
        <w:rPr>
          <w:color w:val="231F20"/>
          <w:spacing w:val="2"/>
          <w:sz w:val="13"/>
        </w:rPr>
        <w:t xml:space="preserve"> </w:t>
      </w:r>
      <w:r>
        <w:rPr>
          <w:color w:val="231F20"/>
          <w:sz w:val="13"/>
        </w:rPr>
        <w:t>2018).</w:t>
      </w:r>
    </w:p>
    <w:p w14:paraId="37EB811B" w14:textId="77777777" w:rsidR="00894070" w:rsidRDefault="009B7AFD">
      <w:pPr>
        <w:pStyle w:val="ListParagraph"/>
        <w:numPr>
          <w:ilvl w:val="0"/>
          <w:numId w:val="20"/>
        </w:numPr>
        <w:tabs>
          <w:tab w:val="left" w:pos="933"/>
          <w:tab w:val="left" w:pos="934"/>
        </w:tabs>
        <w:spacing w:line="213" w:lineRule="auto"/>
        <w:ind w:left="933" w:right="1199" w:hanging="793"/>
        <w:jc w:val="left"/>
        <w:rPr>
          <w:sz w:val="13"/>
        </w:rPr>
      </w:pPr>
      <w:r>
        <w:rPr>
          <w:color w:val="231F20"/>
          <w:sz w:val="13"/>
        </w:rPr>
        <w:t xml:space="preserve">Jyoti Belur et </w:t>
      </w:r>
      <w:r>
        <w:rPr>
          <w:color w:val="231F20"/>
          <w:spacing w:val="2"/>
          <w:sz w:val="13"/>
        </w:rPr>
        <w:t xml:space="preserve">al, </w:t>
      </w:r>
      <w:r>
        <w:rPr>
          <w:color w:val="231F20"/>
          <w:spacing w:val="-4"/>
          <w:sz w:val="13"/>
        </w:rPr>
        <w:t xml:space="preserve">‘A </w:t>
      </w:r>
      <w:r>
        <w:rPr>
          <w:color w:val="231F20"/>
          <w:sz w:val="13"/>
        </w:rPr>
        <w:t xml:space="preserve">Systematic Review of the Effectiveness of the Electronic Monitoring of Offenders’ (2020) 68 </w:t>
      </w:r>
      <w:r>
        <w:rPr>
          <w:i/>
          <w:color w:val="231F20"/>
          <w:sz w:val="13"/>
        </w:rPr>
        <w:t xml:space="preserve">Journal of Criminal Justice </w:t>
      </w:r>
      <w:r>
        <w:rPr>
          <w:color w:val="231F20"/>
          <w:sz w:val="13"/>
        </w:rPr>
        <w:t>101686:1–18.</w:t>
      </w:r>
    </w:p>
    <w:p w14:paraId="60C4B7DB" w14:textId="77777777" w:rsidR="00894070" w:rsidRDefault="009B7AFD">
      <w:pPr>
        <w:pStyle w:val="ListParagraph"/>
        <w:numPr>
          <w:ilvl w:val="0"/>
          <w:numId w:val="20"/>
        </w:numPr>
        <w:tabs>
          <w:tab w:val="left" w:pos="933"/>
          <w:tab w:val="left" w:pos="934"/>
        </w:tabs>
        <w:spacing w:line="163" w:lineRule="exact"/>
        <w:ind w:left="933" w:hanging="793"/>
        <w:jc w:val="left"/>
        <w:rPr>
          <w:sz w:val="13"/>
        </w:rPr>
      </w:pPr>
      <w:r>
        <w:rPr>
          <w:color w:val="231F20"/>
          <w:sz w:val="13"/>
        </w:rPr>
        <w:t>Ibid.</w:t>
      </w:r>
    </w:p>
    <w:p w14:paraId="75CE3E99" w14:textId="77777777" w:rsidR="00894070" w:rsidRDefault="00894070">
      <w:pPr>
        <w:spacing w:line="163" w:lineRule="exact"/>
        <w:rPr>
          <w:sz w:val="13"/>
        </w:rPr>
        <w:sectPr w:rsidR="00894070">
          <w:type w:val="continuous"/>
          <w:pgSz w:w="11910" w:h="16840"/>
          <w:pgMar w:top="560" w:right="420" w:bottom="280" w:left="580" w:header="720" w:footer="720" w:gutter="0"/>
          <w:cols w:num="2" w:space="720" w:equalWidth="0">
            <w:col w:w="568" w:space="300"/>
            <w:col w:w="10042"/>
          </w:cols>
        </w:sectPr>
      </w:pPr>
    </w:p>
    <w:p w14:paraId="04445EF5" w14:textId="77777777" w:rsidR="00894070" w:rsidRDefault="00894070">
      <w:pPr>
        <w:pStyle w:val="BodyText"/>
      </w:pPr>
    </w:p>
    <w:p w14:paraId="4DFB9BB8" w14:textId="77777777" w:rsidR="00894070" w:rsidRDefault="00894070">
      <w:pPr>
        <w:pStyle w:val="BodyText"/>
      </w:pPr>
    </w:p>
    <w:p w14:paraId="4891BCF5" w14:textId="77777777" w:rsidR="00894070" w:rsidRDefault="00894070">
      <w:pPr>
        <w:pStyle w:val="BodyText"/>
      </w:pPr>
    </w:p>
    <w:p w14:paraId="1A0AD80D" w14:textId="77777777" w:rsidR="00894070" w:rsidRDefault="00894070">
      <w:pPr>
        <w:pStyle w:val="BodyText"/>
        <w:spacing w:before="6"/>
        <w:rPr>
          <w:sz w:val="14"/>
        </w:rPr>
      </w:pPr>
    </w:p>
    <w:p w14:paraId="2D0F246B" w14:textId="77777777" w:rsidR="00894070" w:rsidRDefault="009B7AFD">
      <w:pPr>
        <w:pStyle w:val="Heading8"/>
        <w:spacing w:before="49"/>
        <w:ind w:left="1007"/>
      </w:pPr>
      <w:bookmarkStart w:id="191" w:name="_bookmark115"/>
      <w:bookmarkEnd w:id="191"/>
      <w:r>
        <w:rPr>
          <w:color w:val="231F20"/>
        </w:rPr>
        <w:t>How effective is electronic monitoring?</w:t>
      </w:r>
    </w:p>
    <w:p w14:paraId="38F4F177" w14:textId="77777777" w:rsidR="00894070" w:rsidRDefault="009B7AFD">
      <w:pPr>
        <w:pStyle w:val="ListParagraph"/>
        <w:numPr>
          <w:ilvl w:val="1"/>
          <w:numId w:val="29"/>
        </w:numPr>
        <w:tabs>
          <w:tab w:val="left" w:pos="1801"/>
          <w:tab w:val="left" w:pos="1802"/>
        </w:tabs>
        <w:spacing w:before="95"/>
        <w:rPr>
          <w:sz w:val="20"/>
        </w:rPr>
      </w:pPr>
      <w:r>
        <w:rPr>
          <w:color w:val="231F20"/>
          <w:spacing w:val="-3"/>
          <w:sz w:val="20"/>
        </w:rPr>
        <w:t xml:space="preserve">Electronic </w:t>
      </w:r>
      <w:r>
        <w:rPr>
          <w:color w:val="231F20"/>
          <w:sz w:val="20"/>
        </w:rPr>
        <w:t xml:space="preserve">monitoring </w:t>
      </w:r>
      <w:r>
        <w:rPr>
          <w:color w:val="231F20"/>
          <w:spacing w:val="-3"/>
          <w:sz w:val="20"/>
        </w:rPr>
        <w:t xml:space="preserve">may </w:t>
      </w:r>
      <w:r>
        <w:rPr>
          <w:color w:val="231F20"/>
          <w:sz w:val="20"/>
        </w:rPr>
        <w:t xml:space="preserve">be used to </w:t>
      </w:r>
      <w:r>
        <w:rPr>
          <w:color w:val="231F20"/>
          <w:spacing w:val="-3"/>
          <w:sz w:val="20"/>
        </w:rPr>
        <w:t>positive</w:t>
      </w:r>
      <w:r>
        <w:rPr>
          <w:color w:val="231F20"/>
          <w:spacing w:val="-25"/>
          <w:sz w:val="20"/>
        </w:rPr>
        <w:t xml:space="preserve"> </w:t>
      </w:r>
      <w:r>
        <w:rPr>
          <w:color w:val="231F20"/>
          <w:sz w:val="20"/>
        </w:rPr>
        <w:t>effect:</w:t>
      </w:r>
    </w:p>
    <w:p w14:paraId="27E03ED8" w14:textId="77777777" w:rsidR="00894070" w:rsidRDefault="009B7AFD">
      <w:pPr>
        <w:pStyle w:val="ListParagraph"/>
        <w:numPr>
          <w:ilvl w:val="2"/>
          <w:numId w:val="29"/>
        </w:numPr>
        <w:tabs>
          <w:tab w:val="left" w:pos="2141"/>
          <w:tab w:val="left" w:pos="2142"/>
        </w:tabs>
        <w:spacing w:before="82"/>
        <w:ind w:hanging="340"/>
        <w:rPr>
          <w:sz w:val="11"/>
        </w:rPr>
      </w:pPr>
      <w:r>
        <w:rPr>
          <w:color w:val="231F20"/>
          <w:spacing w:val="-3"/>
          <w:sz w:val="20"/>
        </w:rPr>
        <w:t xml:space="preserve">for </w:t>
      </w:r>
      <w:r>
        <w:rPr>
          <w:color w:val="231F20"/>
          <w:sz w:val="20"/>
        </w:rPr>
        <w:t>certain offenders (such as sex</w:t>
      </w:r>
      <w:r>
        <w:rPr>
          <w:color w:val="231F20"/>
          <w:spacing w:val="-25"/>
          <w:sz w:val="20"/>
        </w:rPr>
        <w:t xml:space="preserve"> </w:t>
      </w:r>
      <w:r>
        <w:rPr>
          <w:color w:val="231F20"/>
          <w:sz w:val="20"/>
        </w:rPr>
        <w:t>offenders)</w:t>
      </w:r>
      <w:r>
        <w:rPr>
          <w:color w:val="231F20"/>
          <w:position w:val="7"/>
          <w:sz w:val="11"/>
        </w:rPr>
        <w:t>166</w:t>
      </w:r>
    </w:p>
    <w:p w14:paraId="60D7AB6D" w14:textId="77777777" w:rsidR="00894070" w:rsidRDefault="009B7AFD">
      <w:pPr>
        <w:pStyle w:val="ListParagraph"/>
        <w:numPr>
          <w:ilvl w:val="2"/>
          <w:numId w:val="29"/>
        </w:numPr>
        <w:tabs>
          <w:tab w:val="left" w:pos="2141"/>
          <w:tab w:val="left" w:pos="2142"/>
        </w:tabs>
        <w:spacing w:before="80" w:line="206" w:lineRule="auto"/>
        <w:ind w:right="1574" w:hanging="340"/>
        <w:rPr>
          <w:sz w:val="11"/>
        </w:rPr>
      </w:pPr>
      <w:r>
        <w:rPr>
          <w:color w:val="231F20"/>
          <w:sz w:val="20"/>
        </w:rPr>
        <w:t>at</w:t>
      </w:r>
      <w:r>
        <w:rPr>
          <w:color w:val="231F20"/>
          <w:spacing w:val="-7"/>
          <w:sz w:val="20"/>
        </w:rPr>
        <w:t xml:space="preserve"> </w:t>
      </w:r>
      <w:r>
        <w:rPr>
          <w:color w:val="231F20"/>
          <w:sz w:val="20"/>
        </w:rPr>
        <w:t>certain</w:t>
      </w:r>
      <w:r>
        <w:rPr>
          <w:color w:val="231F20"/>
          <w:spacing w:val="-7"/>
          <w:sz w:val="20"/>
        </w:rPr>
        <w:t xml:space="preserve"> </w:t>
      </w:r>
      <w:r>
        <w:rPr>
          <w:color w:val="231F20"/>
          <w:sz w:val="20"/>
        </w:rPr>
        <w:t>points</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criminal</w:t>
      </w:r>
      <w:r>
        <w:rPr>
          <w:color w:val="231F20"/>
          <w:spacing w:val="-7"/>
          <w:sz w:val="20"/>
        </w:rPr>
        <w:t xml:space="preserve"> </w:t>
      </w:r>
      <w:r>
        <w:rPr>
          <w:color w:val="231F20"/>
          <w:sz w:val="20"/>
        </w:rPr>
        <w:t>justice</w:t>
      </w:r>
      <w:r>
        <w:rPr>
          <w:color w:val="231F20"/>
          <w:spacing w:val="-7"/>
          <w:sz w:val="20"/>
        </w:rPr>
        <w:t xml:space="preserve"> </w:t>
      </w:r>
      <w:r>
        <w:rPr>
          <w:color w:val="231F20"/>
          <w:sz w:val="20"/>
        </w:rPr>
        <w:t>process</w:t>
      </w:r>
      <w:r>
        <w:rPr>
          <w:color w:val="231F20"/>
          <w:spacing w:val="-7"/>
          <w:sz w:val="20"/>
        </w:rPr>
        <w:t xml:space="preserve"> </w:t>
      </w:r>
      <w:r>
        <w:rPr>
          <w:color w:val="231F20"/>
          <w:spacing w:val="-3"/>
          <w:sz w:val="20"/>
        </w:rPr>
        <w:t>(post-trial,</w:t>
      </w:r>
      <w:r>
        <w:rPr>
          <w:color w:val="231F20"/>
          <w:spacing w:val="-7"/>
          <w:sz w:val="20"/>
        </w:rPr>
        <w:t xml:space="preserve"> </w:t>
      </w:r>
      <w:r>
        <w:rPr>
          <w:color w:val="231F20"/>
          <w:spacing w:val="-3"/>
          <w:sz w:val="20"/>
        </w:rPr>
        <w:t>for</w:t>
      </w:r>
      <w:r>
        <w:rPr>
          <w:color w:val="231F20"/>
          <w:spacing w:val="-7"/>
          <w:sz w:val="20"/>
        </w:rPr>
        <w:t xml:space="preserve"> </w:t>
      </w:r>
      <w:r>
        <w:rPr>
          <w:color w:val="231F20"/>
          <w:sz w:val="20"/>
        </w:rPr>
        <w:t>home</w:t>
      </w:r>
      <w:r>
        <w:rPr>
          <w:color w:val="231F20"/>
          <w:spacing w:val="-7"/>
          <w:sz w:val="20"/>
        </w:rPr>
        <w:t xml:space="preserve"> </w:t>
      </w:r>
      <w:r>
        <w:rPr>
          <w:color w:val="231F20"/>
          <w:spacing w:val="-3"/>
          <w:sz w:val="20"/>
        </w:rPr>
        <w:t>detention</w:t>
      </w:r>
      <w:r>
        <w:rPr>
          <w:color w:val="231F20"/>
          <w:spacing w:val="-7"/>
          <w:sz w:val="20"/>
        </w:rPr>
        <w:t xml:space="preserve"> </w:t>
      </w:r>
      <w:r>
        <w:rPr>
          <w:color w:val="231F20"/>
          <w:sz w:val="20"/>
        </w:rPr>
        <w:t>or curfews)</w:t>
      </w:r>
      <w:r>
        <w:rPr>
          <w:color w:val="231F20"/>
          <w:position w:val="7"/>
          <w:sz w:val="11"/>
        </w:rPr>
        <w:t>167</w:t>
      </w:r>
    </w:p>
    <w:p w14:paraId="4CD84EF6" w14:textId="77777777" w:rsidR="00894070" w:rsidRDefault="009B7AFD">
      <w:pPr>
        <w:pStyle w:val="ListParagraph"/>
        <w:numPr>
          <w:ilvl w:val="2"/>
          <w:numId w:val="29"/>
        </w:numPr>
        <w:tabs>
          <w:tab w:val="left" w:pos="2141"/>
          <w:tab w:val="left" w:pos="2142"/>
        </w:tabs>
        <w:spacing w:before="55"/>
        <w:ind w:hanging="340"/>
        <w:rPr>
          <w:sz w:val="11"/>
        </w:rPr>
      </w:pPr>
      <w:r>
        <w:rPr>
          <w:color w:val="231F20"/>
          <w:sz w:val="20"/>
        </w:rPr>
        <w:t xml:space="preserve">when combined with </w:t>
      </w:r>
      <w:r>
        <w:rPr>
          <w:color w:val="231F20"/>
          <w:spacing w:val="-3"/>
          <w:sz w:val="20"/>
        </w:rPr>
        <w:t xml:space="preserve">exclusion zones </w:t>
      </w:r>
      <w:r>
        <w:rPr>
          <w:color w:val="231F20"/>
          <w:sz w:val="20"/>
        </w:rPr>
        <w:t>and therapeutic</w:t>
      </w:r>
      <w:r>
        <w:rPr>
          <w:color w:val="231F20"/>
          <w:spacing w:val="-25"/>
          <w:sz w:val="20"/>
        </w:rPr>
        <w:t xml:space="preserve"> </w:t>
      </w:r>
      <w:r>
        <w:rPr>
          <w:color w:val="231F20"/>
          <w:sz w:val="20"/>
        </w:rPr>
        <w:t>components.</w:t>
      </w:r>
      <w:r>
        <w:rPr>
          <w:color w:val="231F20"/>
          <w:position w:val="7"/>
          <w:sz w:val="11"/>
        </w:rPr>
        <w:t>168</w:t>
      </w:r>
    </w:p>
    <w:p w14:paraId="215A0F75" w14:textId="77777777" w:rsidR="00894070" w:rsidRDefault="009B7AFD">
      <w:pPr>
        <w:pStyle w:val="ListParagraph"/>
        <w:numPr>
          <w:ilvl w:val="1"/>
          <w:numId w:val="29"/>
        </w:numPr>
        <w:tabs>
          <w:tab w:val="left" w:pos="1801"/>
          <w:tab w:val="left" w:pos="1802"/>
        </w:tabs>
        <w:spacing w:before="80" w:line="206" w:lineRule="auto"/>
        <w:ind w:right="1346"/>
        <w:rPr>
          <w:sz w:val="11"/>
        </w:rPr>
      </w:pPr>
      <w:r>
        <w:rPr>
          <w:color w:val="231F20"/>
          <w:spacing w:val="-5"/>
          <w:sz w:val="20"/>
        </w:rPr>
        <w:t>However,</w:t>
      </w:r>
      <w:r>
        <w:rPr>
          <w:color w:val="231F20"/>
          <w:spacing w:val="-8"/>
          <w:sz w:val="20"/>
        </w:rPr>
        <w:t xml:space="preserve"> </w:t>
      </w:r>
      <w:r>
        <w:rPr>
          <w:color w:val="231F20"/>
          <w:sz w:val="20"/>
        </w:rPr>
        <w:t>other</w:t>
      </w:r>
      <w:r>
        <w:rPr>
          <w:color w:val="231F20"/>
          <w:spacing w:val="-8"/>
          <w:sz w:val="20"/>
        </w:rPr>
        <w:t xml:space="preserve"> </w:t>
      </w:r>
      <w:r>
        <w:rPr>
          <w:color w:val="231F20"/>
          <w:sz w:val="20"/>
        </w:rPr>
        <w:t>‘studies</w:t>
      </w:r>
      <w:r>
        <w:rPr>
          <w:color w:val="231F20"/>
          <w:spacing w:val="-8"/>
          <w:sz w:val="20"/>
        </w:rPr>
        <w:t xml:space="preserve"> </w:t>
      </w:r>
      <w:r>
        <w:rPr>
          <w:color w:val="231F20"/>
          <w:sz w:val="20"/>
        </w:rPr>
        <w:t>indicate</w:t>
      </w:r>
      <w:r>
        <w:rPr>
          <w:color w:val="231F20"/>
          <w:spacing w:val="-8"/>
          <w:sz w:val="20"/>
        </w:rPr>
        <w:t xml:space="preserve"> </w:t>
      </w:r>
      <w:r>
        <w:rPr>
          <w:color w:val="231F20"/>
          <w:sz w:val="20"/>
        </w:rPr>
        <w:t>little</w:t>
      </w:r>
      <w:r>
        <w:rPr>
          <w:color w:val="231F20"/>
          <w:spacing w:val="-7"/>
          <w:sz w:val="20"/>
        </w:rPr>
        <w:t xml:space="preserve"> </w:t>
      </w:r>
      <w:r>
        <w:rPr>
          <w:color w:val="231F20"/>
          <w:sz w:val="20"/>
        </w:rPr>
        <w:t>or</w:t>
      </w:r>
      <w:r>
        <w:rPr>
          <w:color w:val="231F20"/>
          <w:spacing w:val="-8"/>
          <w:sz w:val="20"/>
        </w:rPr>
        <w:t xml:space="preserve"> </w:t>
      </w:r>
      <w:r>
        <w:rPr>
          <w:color w:val="231F20"/>
          <w:sz w:val="20"/>
        </w:rPr>
        <w:t>no</w:t>
      </w:r>
      <w:r>
        <w:rPr>
          <w:color w:val="231F20"/>
          <w:spacing w:val="-8"/>
          <w:sz w:val="20"/>
        </w:rPr>
        <w:t xml:space="preserve"> </w:t>
      </w:r>
      <w:r>
        <w:rPr>
          <w:color w:val="231F20"/>
          <w:spacing w:val="-3"/>
          <w:sz w:val="20"/>
        </w:rPr>
        <w:t>positive</w:t>
      </w:r>
      <w:r>
        <w:rPr>
          <w:color w:val="231F20"/>
          <w:spacing w:val="-8"/>
          <w:sz w:val="20"/>
        </w:rPr>
        <w:t xml:space="preserve"> </w:t>
      </w:r>
      <w:r>
        <w:rPr>
          <w:color w:val="231F20"/>
          <w:sz w:val="20"/>
        </w:rPr>
        <w:t>impact</w:t>
      </w:r>
      <w:r>
        <w:rPr>
          <w:color w:val="231F20"/>
          <w:spacing w:val="-8"/>
          <w:sz w:val="20"/>
        </w:rPr>
        <w:t xml:space="preserve"> </w:t>
      </w:r>
      <w:r>
        <w:rPr>
          <w:color w:val="231F20"/>
          <w:sz w:val="20"/>
        </w:rPr>
        <w:t>of</w:t>
      </w:r>
      <w:r>
        <w:rPr>
          <w:color w:val="231F20"/>
          <w:spacing w:val="-7"/>
          <w:sz w:val="20"/>
        </w:rPr>
        <w:t xml:space="preserve"> </w:t>
      </w:r>
      <w:r>
        <w:rPr>
          <w:color w:val="231F20"/>
          <w:sz w:val="20"/>
        </w:rPr>
        <w:t>electronic</w:t>
      </w:r>
      <w:r>
        <w:rPr>
          <w:color w:val="231F20"/>
          <w:spacing w:val="-8"/>
          <w:sz w:val="20"/>
        </w:rPr>
        <w:t xml:space="preserve"> </w:t>
      </w:r>
      <w:r>
        <w:rPr>
          <w:color w:val="231F20"/>
          <w:spacing w:val="-3"/>
          <w:sz w:val="20"/>
        </w:rPr>
        <w:t>monitoring’.</w:t>
      </w:r>
      <w:r>
        <w:rPr>
          <w:color w:val="231F20"/>
          <w:spacing w:val="-3"/>
          <w:position w:val="7"/>
          <w:sz w:val="11"/>
        </w:rPr>
        <w:t>169</w:t>
      </w:r>
      <w:r>
        <w:rPr>
          <w:color w:val="231F20"/>
          <w:spacing w:val="-3"/>
          <w:sz w:val="11"/>
        </w:rPr>
        <w:t xml:space="preserve"> </w:t>
      </w:r>
      <w:r>
        <w:rPr>
          <w:color w:val="231F20"/>
          <w:spacing w:val="-3"/>
          <w:sz w:val="20"/>
        </w:rPr>
        <w:t xml:space="preserve">For example, </w:t>
      </w:r>
      <w:r>
        <w:rPr>
          <w:color w:val="231F20"/>
          <w:sz w:val="20"/>
        </w:rPr>
        <w:t xml:space="preserve">a </w:t>
      </w:r>
      <w:r>
        <w:rPr>
          <w:color w:val="231F20"/>
          <w:spacing w:val="-3"/>
          <w:sz w:val="20"/>
        </w:rPr>
        <w:t xml:space="preserve">reconviction </w:t>
      </w:r>
      <w:r>
        <w:rPr>
          <w:color w:val="231F20"/>
          <w:sz w:val="20"/>
        </w:rPr>
        <w:t xml:space="preserve">study in England and </w:t>
      </w:r>
      <w:r>
        <w:rPr>
          <w:color w:val="231F20"/>
          <w:spacing w:val="-4"/>
          <w:sz w:val="20"/>
        </w:rPr>
        <w:t xml:space="preserve">Wales </w:t>
      </w:r>
      <w:r>
        <w:rPr>
          <w:color w:val="231F20"/>
          <w:sz w:val="20"/>
        </w:rPr>
        <w:t xml:space="preserve">with a sample of </w:t>
      </w:r>
      <w:r>
        <w:rPr>
          <w:color w:val="231F20"/>
          <w:spacing w:val="-3"/>
          <w:sz w:val="20"/>
        </w:rPr>
        <w:t xml:space="preserve">approximately </w:t>
      </w:r>
      <w:r>
        <w:rPr>
          <w:color w:val="231F20"/>
          <w:sz w:val="20"/>
        </w:rPr>
        <w:t xml:space="preserve">64,000 participants found that offenders subject to electronic monitoring while on home </w:t>
      </w:r>
      <w:r>
        <w:rPr>
          <w:color w:val="231F20"/>
          <w:spacing w:val="-3"/>
          <w:sz w:val="20"/>
        </w:rPr>
        <w:t xml:space="preserve">detention </w:t>
      </w:r>
      <w:r>
        <w:rPr>
          <w:color w:val="231F20"/>
          <w:spacing w:val="-4"/>
          <w:sz w:val="20"/>
        </w:rPr>
        <w:t xml:space="preserve">were </w:t>
      </w:r>
      <w:r>
        <w:rPr>
          <w:color w:val="231F20"/>
          <w:sz w:val="20"/>
        </w:rPr>
        <w:t xml:space="preserve">no more </w:t>
      </w:r>
      <w:r>
        <w:rPr>
          <w:color w:val="231F20"/>
          <w:spacing w:val="-3"/>
          <w:sz w:val="20"/>
        </w:rPr>
        <w:t xml:space="preserve">likely </w:t>
      </w:r>
      <w:r>
        <w:rPr>
          <w:color w:val="231F20"/>
          <w:sz w:val="20"/>
        </w:rPr>
        <w:t xml:space="preserve">to be </w:t>
      </w:r>
      <w:r>
        <w:rPr>
          <w:color w:val="231F20"/>
          <w:spacing w:val="-3"/>
          <w:sz w:val="20"/>
        </w:rPr>
        <w:t xml:space="preserve">convicted </w:t>
      </w:r>
      <w:r>
        <w:rPr>
          <w:color w:val="231F20"/>
          <w:sz w:val="20"/>
        </w:rPr>
        <w:t xml:space="preserve">again than those on home </w:t>
      </w:r>
      <w:r>
        <w:rPr>
          <w:color w:val="231F20"/>
          <w:spacing w:val="-3"/>
          <w:sz w:val="20"/>
        </w:rPr>
        <w:t xml:space="preserve">detention </w:t>
      </w:r>
      <w:r>
        <w:rPr>
          <w:color w:val="231F20"/>
          <w:sz w:val="20"/>
        </w:rPr>
        <w:t>not subject to electronic</w:t>
      </w:r>
      <w:r>
        <w:rPr>
          <w:color w:val="231F20"/>
          <w:spacing w:val="-37"/>
          <w:sz w:val="20"/>
        </w:rPr>
        <w:t xml:space="preserve"> </w:t>
      </w:r>
      <w:r>
        <w:rPr>
          <w:color w:val="231F20"/>
          <w:sz w:val="20"/>
        </w:rPr>
        <w:t>monitoring.</w:t>
      </w:r>
      <w:r>
        <w:rPr>
          <w:color w:val="231F20"/>
          <w:position w:val="7"/>
          <w:sz w:val="11"/>
        </w:rPr>
        <w:t>170</w:t>
      </w:r>
    </w:p>
    <w:p w14:paraId="170FB80C" w14:textId="77777777" w:rsidR="00894070" w:rsidRDefault="009B7AFD">
      <w:pPr>
        <w:pStyle w:val="ListParagraph"/>
        <w:numPr>
          <w:ilvl w:val="1"/>
          <w:numId w:val="29"/>
        </w:numPr>
        <w:tabs>
          <w:tab w:val="left" w:pos="1801"/>
          <w:tab w:val="left" w:pos="1802"/>
        </w:tabs>
        <w:spacing w:before="126" w:line="206" w:lineRule="auto"/>
        <w:ind w:right="2025"/>
        <w:rPr>
          <w:sz w:val="20"/>
        </w:rPr>
      </w:pPr>
      <w:r>
        <w:rPr>
          <w:color w:val="231F20"/>
          <w:sz w:val="20"/>
        </w:rPr>
        <w:t>Preliminary</w:t>
      </w:r>
      <w:r>
        <w:rPr>
          <w:color w:val="231F20"/>
          <w:spacing w:val="-10"/>
          <w:sz w:val="20"/>
        </w:rPr>
        <w:t xml:space="preserve"> </w:t>
      </w:r>
      <w:r>
        <w:rPr>
          <w:color w:val="231F20"/>
          <w:sz w:val="20"/>
        </w:rPr>
        <w:t>results</w:t>
      </w:r>
      <w:r>
        <w:rPr>
          <w:color w:val="231F20"/>
          <w:spacing w:val="-9"/>
          <w:sz w:val="20"/>
        </w:rPr>
        <w:t xml:space="preserve"> </w:t>
      </w:r>
      <w:r>
        <w:rPr>
          <w:color w:val="231F20"/>
          <w:spacing w:val="-3"/>
          <w:sz w:val="20"/>
        </w:rPr>
        <w:t>from</w:t>
      </w:r>
      <w:r>
        <w:rPr>
          <w:color w:val="231F20"/>
          <w:spacing w:val="-9"/>
          <w:sz w:val="20"/>
        </w:rPr>
        <w:t xml:space="preserve"> </w:t>
      </w:r>
      <w:r>
        <w:rPr>
          <w:color w:val="231F20"/>
          <w:sz w:val="20"/>
        </w:rPr>
        <w:t>the</w:t>
      </w:r>
      <w:r>
        <w:rPr>
          <w:color w:val="231F20"/>
          <w:spacing w:val="-9"/>
          <w:sz w:val="20"/>
        </w:rPr>
        <w:t xml:space="preserve"> </w:t>
      </w:r>
      <w:r>
        <w:rPr>
          <w:color w:val="231F20"/>
          <w:spacing w:val="-4"/>
          <w:sz w:val="20"/>
        </w:rPr>
        <w:t>Tasmanian</w:t>
      </w:r>
      <w:r>
        <w:rPr>
          <w:color w:val="231F20"/>
          <w:spacing w:val="-9"/>
          <w:sz w:val="20"/>
        </w:rPr>
        <w:t xml:space="preserve"> </w:t>
      </w:r>
      <w:r>
        <w:rPr>
          <w:color w:val="231F20"/>
          <w:spacing w:val="-3"/>
          <w:sz w:val="20"/>
        </w:rPr>
        <w:t>family</w:t>
      </w:r>
      <w:r>
        <w:rPr>
          <w:color w:val="231F20"/>
          <w:spacing w:val="-10"/>
          <w:sz w:val="20"/>
        </w:rPr>
        <w:t xml:space="preserve"> </w:t>
      </w:r>
      <w:r>
        <w:rPr>
          <w:color w:val="231F20"/>
          <w:sz w:val="20"/>
        </w:rPr>
        <w:t>violence</w:t>
      </w:r>
      <w:r>
        <w:rPr>
          <w:color w:val="231F20"/>
          <w:spacing w:val="-9"/>
          <w:sz w:val="20"/>
        </w:rPr>
        <w:t xml:space="preserve"> </w:t>
      </w:r>
      <w:r>
        <w:rPr>
          <w:color w:val="231F20"/>
          <w:sz w:val="20"/>
        </w:rPr>
        <w:t>trial,</w:t>
      </w:r>
      <w:r>
        <w:rPr>
          <w:color w:val="231F20"/>
          <w:spacing w:val="-9"/>
          <w:sz w:val="20"/>
        </w:rPr>
        <w:t xml:space="preserve"> </w:t>
      </w:r>
      <w:r>
        <w:rPr>
          <w:color w:val="231F20"/>
          <w:sz w:val="20"/>
        </w:rPr>
        <w:t>which</w:t>
      </w:r>
      <w:r>
        <w:rPr>
          <w:color w:val="231F20"/>
          <w:spacing w:val="-9"/>
          <w:sz w:val="20"/>
        </w:rPr>
        <w:t xml:space="preserve"> </w:t>
      </w:r>
      <w:r>
        <w:rPr>
          <w:color w:val="231F20"/>
          <w:sz w:val="20"/>
        </w:rPr>
        <w:t>tracked</w:t>
      </w:r>
      <w:r>
        <w:rPr>
          <w:color w:val="231F20"/>
          <w:spacing w:val="-9"/>
          <w:sz w:val="20"/>
        </w:rPr>
        <w:t xml:space="preserve"> </w:t>
      </w:r>
      <w:r>
        <w:rPr>
          <w:color w:val="231F20"/>
          <w:sz w:val="20"/>
        </w:rPr>
        <w:t>the movements</w:t>
      </w:r>
      <w:r>
        <w:rPr>
          <w:color w:val="231F20"/>
          <w:spacing w:val="-10"/>
          <w:sz w:val="20"/>
        </w:rPr>
        <w:t xml:space="preserve"> </w:t>
      </w:r>
      <w:r>
        <w:rPr>
          <w:color w:val="231F20"/>
          <w:sz w:val="20"/>
        </w:rPr>
        <w:t>of</w:t>
      </w:r>
      <w:r>
        <w:rPr>
          <w:color w:val="231F20"/>
          <w:spacing w:val="-9"/>
          <w:sz w:val="20"/>
        </w:rPr>
        <w:t xml:space="preserve"> </w:t>
      </w:r>
      <w:r>
        <w:rPr>
          <w:color w:val="231F20"/>
          <w:sz w:val="20"/>
        </w:rPr>
        <w:t>52</w:t>
      </w:r>
      <w:r>
        <w:rPr>
          <w:color w:val="231F20"/>
          <w:spacing w:val="-10"/>
          <w:sz w:val="20"/>
        </w:rPr>
        <w:t xml:space="preserve"> </w:t>
      </w:r>
      <w:r>
        <w:rPr>
          <w:color w:val="231F20"/>
          <w:spacing w:val="-3"/>
          <w:sz w:val="20"/>
        </w:rPr>
        <w:t>family</w:t>
      </w:r>
      <w:r>
        <w:rPr>
          <w:color w:val="231F20"/>
          <w:spacing w:val="-9"/>
          <w:sz w:val="20"/>
        </w:rPr>
        <w:t xml:space="preserve"> </w:t>
      </w:r>
      <w:r>
        <w:rPr>
          <w:color w:val="231F20"/>
          <w:sz w:val="20"/>
        </w:rPr>
        <w:t>violence</w:t>
      </w:r>
      <w:r>
        <w:rPr>
          <w:color w:val="231F20"/>
          <w:spacing w:val="-10"/>
          <w:sz w:val="20"/>
        </w:rPr>
        <w:t xml:space="preserve"> </w:t>
      </w:r>
      <w:r>
        <w:rPr>
          <w:color w:val="231F20"/>
          <w:spacing w:val="-2"/>
          <w:sz w:val="20"/>
        </w:rPr>
        <w:t>intervention</w:t>
      </w:r>
      <w:r>
        <w:rPr>
          <w:color w:val="231F20"/>
          <w:spacing w:val="-9"/>
          <w:sz w:val="20"/>
        </w:rPr>
        <w:t xml:space="preserve"> </w:t>
      </w:r>
      <w:r>
        <w:rPr>
          <w:color w:val="231F20"/>
          <w:sz w:val="20"/>
        </w:rPr>
        <w:t>order</w:t>
      </w:r>
      <w:r>
        <w:rPr>
          <w:color w:val="231F20"/>
          <w:spacing w:val="-10"/>
          <w:sz w:val="20"/>
        </w:rPr>
        <w:t xml:space="preserve"> </w:t>
      </w:r>
      <w:r>
        <w:rPr>
          <w:color w:val="231F20"/>
          <w:sz w:val="20"/>
        </w:rPr>
        <w:t>respondents,</w:t>
      </w:r>
      <w:r>
        <w:rPr>
          <w:color w:val="231F20"/>
          <w:spacing w:val="-9"/>
          <w:sz w:val="20"/>
        </w:rPr>
        <w:t xml:space="preserve"> </w:t>
      </w:r>
      <w:r>
        <w:rPr>
          <w:color w:val="231F20"/>
          <w:sz w:val="20"/>
        </w:rPr>
        <w:t>indicated:</w:t>
      </w:r>
    </w:p>
    <w:p w14:paraId="51147535" w14:textId="77777777" w:rsidR="00894070" w:rsidRDefault="009B7AFD">
      <w:pPr>
        <w:pStyle w:val="ListParagraph"/>
        <w:numPr>
          <w:ilvl w:val="2"/>
          <w:numId w:val="29"/>
        </w:numPr>
        <w:tabs>
          <w:tab w:val="left" w:pos="2141"/>
          <w:tab w:val="left" w:pos="2142"/>
        </w:tabs>
        <w:spacing w:before="91"/>
        <w:ind w:hanging="340"/>
        <w:rPr>
          <w:sz w:val="20"/>
        </w:rPr>
      </w:pPr>
      <w:r>
        <w:rPr>
          <w:color w:val="231F20"/>
          <w:spacing w:val="-4"/>
          <w:sz w:val="20"/>
        </w:rPr>
        <w:t xml:space="preserve">70 </w:t>
      </w:r>
      <w:r>
        <w:rPr>
          <w:color w:val="231F20"/>
          <w:sz w:val="20"/>
        </w:rPr>
        <w:t>per cent reduction of</w:t>
      </w:r>
      <w:r>
        <w:rPr>
          <w:color w:val="231F20"/>
          <w:spacing w:val="-18"/>
          <w:sz w:val="20"/>
        </w:rPr>
        <w:t xml:space="preserve"> </w:t>
      </w:r>
      <w:r>
        <w:rPr>
          <w:color w:val="231F20"/>
          <w:sz w:val="20"/>
        </w:rPr>
        <w:t>assaults</w:t>
      </w:r>
    </w:p>
    <w:p w14:paraId="18E14BB9" w14:textId="77777777" w:rsidR="00894070" w:rsidRDefault="009B7AFD">
      <w:pPr>
        <w:pStyle w:val="ListParagraph"/>
        <w:numPr>
          <w:ilvl w:val="2"/>
          <w:numId w:val="29"/>
        </w:numPr>
        <w:tabs>
          <w:tab w:val="left" w:pos="2141"/>
          <w:tab w:val="left" w:pos="2142"/>
        </w:tabs>
        <w:spacing w:before="47"/>
        <w:ind w:hanging="340"/>
        <w:rPr>
          <w:sz w:val="20"/>
        </w:rPr>
      </w:pPr>
      <w:r>
        <w:rPr>
          <w:color w:val="231F20"/>
          <w:sz w:val="20"/>
        </w:rPr>
        <w:t>80 per cent reduction of</w:t>
      </w:r>
      <w:r>
        <w:rPr>
          <w:color w:val="231F20"/>
          <w:spacing w:val="-22"/>
          <w:sz w:val="20"/>
        </w:rPr>
        <w:t xml:space="preserve"> </w:t>
      </w:r>
      <w:r>
        <w:rPr>
          <w:color w:val="231F20"/>
          <w:sz w:val="20"/>
        </w:rPr>
        <w:t>threats</w:t>
      </w:r>
    </w:p>
    <w:p w14:paraId="1622A70A" w14:textId="77777777" w:rsidR="00894070" w:rsidRDefault="009B7AFD">
      <w:pPr>
        <w:pStyle w:val="ListParagraph"/>
        <w:numPr>
          <w:ilvl w:val="2"/>
          <w:numId w:val="29"/>
        </w:numPr>
        <w:tabs>
          <w:tab w:val="left" w:pos="2141"/>
          <w:tab w:val="left" w:pos="2142"/>
        </w:tabs>
        <w:spacing w:before="47"/>
        <w:ind w:hanging="340"/>
        <w:rPr>
          <w:sz w:val="20"/>
        </w:rPr>
      </w:pPr>
      <w:r>
        <w:rPr>
          <w:color w:val="231F20"/>
          <w:sz w:val="20"/>
        </w:rPr>
        <w:t>89</w:t>
      </w:r>
      <w:r>
        <w:rPr>
          <w:color w:val="231F20"/>
          <w:spacing w:val="-5"/>
          <w:sz w:val="20"/>
        </w:rPr>
        <w:t xml:space="preserve"> </w:t>
      </w:r>
      <w:r>
        <w:rPr>
          <w:color w:val="231F20"/>
          <w:sz w:val="20"/>
        </w:rPr>
        <w:t>per</w:t>
      </w:r>
      <w:r>
        <w:rPr>
          <w:color w:val="231F20"/>
          <w:spacing w:val="-5"/>
          <w:sz w:val="20"/>
        </w:rPr>
        <w:t xml:space="preserve"> </w:t>
      </w:r>
      <w:r>
        <w:rPr>
          <w:color w:val="231F20"/>
          <w:sz w:val="20"/>
        </w:rPr>
        <w:t>cent</w:t>
      </w:r>
      <w:r>
        <w:rPr>
          <w:color w:val="231F20"/>
          <w:spacing w:val="-5"/>
          <w:sz w:val="20"/>
        </w:rPr>
        <w:t xml:space="preserve"> </w:t>
      </w:r>
      <w:r>
        <w:rPr>
          <w:color w:val="231F20"/>
          <w:sz w:val="20"/>
        </w:rPr>
        <w:t>decrease</w:t>
      </w:r>
      <w:r>
        <w:rPr>
          <w:color w:val="231F20"/>
          <w:spacing w:val="-4"/>
          <w:sz w:val="20"/>
        </w:rPr>
        <w:t xml:space="preserve"> </w:t>
      </w:r>
      <w:r>
        <w:rPr>
          <w:color w:val="231F20"/>
          <w:sz w:val="20"/>
        </w:rPr>
        <w:t>in</w:t>
      </w:r>
      <w:r>
        <w:rPr>
          <w:color w:val="231F20"/>
          <w:spacing w:val="-5"/>
          <w:sz w:val="20"/>
        </w:rPr>
        <w:t xml:space="preserve"> </w:t>
      </w:r>
      <w:r>
        <w:rPr>
          <w:color w:val="231F20"/>
          <w:sz w:val="20"/>
        </w:rPr>
        <w:t>allegations</w:t>
      </w:r>
      <w:r>
        <w:rPr>
          <w:color w:val="231F20"/>
          <w:spacing w:val="-5"/>
          <w:sz w:val="20"/>
        </w:rPr>
        <w:t xml:space="preserve"> </w:t>
      </w:r>
      <w:r>
        <w:rPr>
          <w:color w:val="231F20"/>
          <w:sz w:val="20"/>
        </w:rPr>
        <w:t>of</w:t>
      </w:r>
      <w:r>
        <w:rPr>
          <w:color w:val="231F20"/>
          <w:spacing w:val="-4"/>
          <w:sz w:val="20"/>
        </w:rPr>
        <w:t xml:space="preserve"> </w:t>
      </w:r>
      <w:r>
        <w:rPr>
          <w:color w:val="231F20"/>
          <w:sz w:val="20"/>
        </w:rPr>
        <w:t>emotional</w:t>
      </w:r>
      <w:r>
        <w:rPr>
          <w:color w:val="231F20"/>
          <w:spacing w:val="-5"/>
          <w:sz w:val="20"/>
        </w:rPr>
        <w:t xml:space="preserve"> </w:t>
      </w:r>
      <w:r>
        <w:rPr>
          <w:color w:val="231F20"/>
          <w:sz w:val="20"/>
        </w:rPr>
        <w:t>abuse</w:t>
      </w:r>
    </w:p>
    <w:p w14:paraId="4A6EF244" w14:textId="77777777" w:rsidR="00894070" w:rsidRDefault="009B7AFD">
      <w:pPr>
        <w:pStyle w:val="ListParagraph"/>
        <w:numPr>
          <w:ilvl w:val="2"/>
          <w:numId w:val="29"/>
        </w:numPr>
        <w:tabs>
          <w:tab w:val="left" w:pos="2141"/>
          <w:tab w:val="left" w:pos="2142"/>
        </w:tabs>
        <w:spacing w:before="48"/>
        <w:ind w:hanging="340"/>
        <w:rPr>
          <w:sz w:val="11"/>
        </w:rPr>
      </w:pPr>
      <w:r>
        <w:rPr>
          <w:color w:val="231F20"/>
          <w:spacing w:val="-3"/>
          <w:sz w:val="20"/>
        </w:rPr>
        <w:t xml:space="preserve">100 </w:t>
      </w:r>
      <w:r>
        <w:rPr>
          <w:color w:val="231F20"/>
          <w:sz w:val="20"/>
        </w:rPr>
        <w:t>per cent decrease in reports of</w:t>
      </w:r>
      <w:r>
        <w:rPr>
          <w:color w:val="231F20"/>
          <w:spacing w:val="-28"/>
          <w:sz w:val="20"/>
        </w:rPr>
        <w:t xml:space="preserve"> </w:t>
      </w:r>
      <w:r>
        <w:rPr>
          <w:color w:val="231F20"/>
          <w:sz w:val="20"/>
        </w:rPr>
        <w:t>stalking.</w:t>
      </w:r>
      <w:r>
        <w:rPr>
          <w:color w:val="231F20"/>
          <w:position w:val="7"/>
          <w:sz w:val="11"/>
        </w:rPr>
        <w:t>171</w:t>
      </w:r>
    </w:p>
    <w:p w14:paraId="1D50E70F" w14:textId="77777777" w:rsidR="00894070" w:rsidRDefault="009B7AFD">
      <w:pPr>
        <w:pStyle w:val="ListParagraph"/>
        <w:numPr>
          <w:ilvl w:val="1"/>
          <w:numId w:val="29"/>
        </w:numPr>
        <w:tabs>
          <w:tab w:val="left" w:pos="1801"/>
          <w:tab w:val="left" w:pos="1802"/>
        </w:tabs>
        <w:spacing w:before="80" w:line="206" w:lineRule="auto"/>
        <w:ind w:right="1696"/>
        <w:rPr>
          <w:sz w:val="11"/>
        </w:rPr>
      </w:pPr>
      <w:r>
        <w:rPr>
          <w:color w:val="231F20"/>
          <w:sz w:val="20"/>
        </w:rPr>
        <w:t>Despite</w:t>
      </w:r>
      <w:r>
        <w:rPr>
          <w:color w:val="231F20"/>
          <w:spacing w:val="-11"/>
          <w:sz w:val="20"/>
        </w:rPr>
        <w:t xml:space="preserve"> </w:t>
      </w:r>
      <w:r>
        <w:rPr>
          <w:color w:val="231F20"/>
          <w:sz w:val="20"/>
        </w:rPr>
        <w:t>the</w:t>
      </w:r>
      <w:r>
        <w:rPr>
          <w:color w:val="231F20"/>
          <w:spacing w:val="-11"/>
          <w:sz w:val="20"/>
        </w:rPr>
        <w:t xml:space="preserve"> </w:t>
      </w:r>
      <w:r>
        <w:rPr>
          <w:color w:val="231F20"/>
          <w:sz w:val="20"/>
        </w:rPr>
        <w:t>promising</w:t>
      </w:r>
      <w:r>
        <w:rPr>
          <w:color w:val="231F20"/>
          <w:spacing w:val="-10"/>
          <w:sz w:val="20"/>
        </w:rPr>
        <w:t xml:space="preserve"> </w:t>
      </w:r>
      <w:r>
        <w:rPr>
          <w:color w:val="231F20"/>
          <w:sz w:val="20"/>
        </w:rPr>
        <w:t>results,</w:t>
      </w:r>
      <w:r>
        <w:rPr>
          <w:color w:val="231F20"/>
          <w:spacing w:val="-11"/>
          <w:sz w:val="20"/>
        </w:rPr>
        <w:t xml:space="preserve"> </w:t>
      </w:r>
      <w:r>
        <w:rPr>
          <w:color w:val="231F20"/>
          <w:sz w:val="20"/>
        </w:rPr>
        <w:t>the</w:t>
      </w:r>
      <w:r>
        <w:rPr>
          <w:color w:val="231F20"/>
          <w:spacing w:val="-10"/>
          <w:sz w:val="20"/>
        </w:rPr>
        <w:t xml:space="preserve"> </w:t>
      </w:r>
      <w:r>
        <w:rPr>
          <w:color w:val="231F20"/>
          <w:sz w:val="20"/>
        </w:rPr>
        <w:t>author</w:t>
      </w:r>
      <w:r>
        <w:rPr>
          <w:color w:val="231F20"/>
          <w:spacing w:val="-11"/>
          <w:sz w:val="20"/>
        </w:rPr>
        <w:t xml:space="preserve"> </w:t>
      </w:r>
      <w:r>
        <w:rPr>
          <w:color w:val="231F20"/>
          <w:sz w:val="20"/>
        </w:rPr>
        <w:t>of</w:t>
      </w:r>
      <w:r>
        <w:rPr>
          <w:color w:val="231F20"/>
          <w:spacing w:val="-10"/>
          <w:sz w:val="20"/>
        </w:rPr>
        <w:t xml:space="preserve"> </w:t>
      </w:r>
      <w:r>
        <w:rPr>
          <w:color w:val="231F20"/>
          <w:sz w:val="20"/>
        </w:rPr>
        <w:t>the</w:t>
      </w:r>
      <w:r>
        <w:rPr>
          <w:color w:val="231F20"/>
          <w:spacing w:val="-11"/>
          <w:sz w:val="20"/>
        </w:rPr>
        <w:t xml:space="preserve"> </w:t>
      </w:r>
      <w:r>
        <w:rPr>
          <w:color w:val="231F20"/>
          <w:spacing w:val="-3"/>
          <w:sz w:val="20"/>
        </w:rPr>
        <w:t>evaluation</w:t>
      </w:r>
      <w:r>
        <w:rPr>
          <w:color w:val="231F20"/>
          <w:spacing w:val="-11"/>
          <w:sz w:val="20"/>
        </w:rPr>
        <w:t xml:space="preserve"> </w:t>
      </w:r>
      <w:r>
        <w:rPr>
          <w:color w:val="231F20"/>
          <w:sz w:val="20"/>
        </w:rPr>
        <w:t>concluded</w:t>
      </w:r>
      <w:r>
        <w:rPr>
          <w:color w:val="231F20"/>
          <w:spacing w:val="-10"/>
          <w:sz w:val="20"/>
        </w:rPr>
        <w:t xml:space="preserve"> </w:t>
      </w:r>
      <w:r>
        <w:rPr>
          <w:color w:val="231F20"/>
          <w:sz w:val="20"/>
        </w:rPr>
        <w:t>that</w:t>
      </w:r>
      <w:r>
        <w:rPr>
          <w:color w:val="231F20"/>
          <w:spacing w:val="-11"/>
          <w:sz w:val="20"/>
        </w:rPr>
        <w:t xml:space="preserve"> </w:t>
      </w:r>
      <w:r>
        <w:rPr>
          <w:color w:val="231F20"/>
          <w:sz w:val="20"/>
        </w:rPr>
        <w:t xml:space="preserve">‘further </w:t>
      </w:r>
      <w:r>
        <w:rPr>
          <w:color w:val="231F20"/>
          <w:spacing w:val="-3"/>
          <w:sz w:val="20"/>
        </w:rPr>
        <w:t xml:space="preserve">research </w:t>
      </w:r>
      <w:r>
        <w:rPr>
          <w:color w:val="231F20"/>
          <w:sz w:val="20"/>
        </w:rPr>
        <w:t xml:space="preserve">and data </w:t>
      </w:r>
      <w:r>
        <w:rPr>
          <w:color w:val="231F20"/>
          <w:spacing w:val="-3"/>
          <w:sz w:val="20"/>
        </w:rPr>
        <w:t xml:space="preserve">analysis </w:t>
      </w:r>
      <w:r>
        <w:rPr>
          <w:color w:val="231F20"/>
          <w:spacing w:val="-4"/>
          <w:sz w:val="20"/>
        </w:rPr>
        <w:t xml:space="preserve">over </w:t>
      </w:r>
      <w:r>
        <w:rPr>
          <w:color w:val="231F20"/>
          <w:sz w:val="20"/>
        </w:rPr>
        <w:t xml:space="preserve">a longer period of </w:t>
      </w:r>
      <w:r>
        <w:rPr>
          <w:color w:val="231F20"/>
          <w:spacing w:val="-3"/>
          <w:sz w:val="20"/>
        </w:rPr>
        <w:t xml:space="preserve">time’ </w:t>
      </w:r>
      <w:r>
        <w:rPr>
          <w:color w:val="231F20"/>
          <w:sz w:val="20"/>
        </w:rPr>
        <w:t>is</w:t>
      </w:r>
      <w:r>
        <w:rPr>
          <w:color w:val="231F20"/>
          <w:spacing w:val="-36"/>
          <w:sz w:val="20"/>
        </w:rPr>
        <w:t xml:space="preserve"> </w:t>
      </w:r>
      <w:r>
        <w:rPr>
          <w:color w:val="231F20"/>
          <w:sz w:val="20"/>
        </w:rPr>
        <w:t>required.</w:t>
      </w:r>
      <w:r>
        <w:rPr>
          <w:color w:val="231F20"/>
          <w:position w:val="7"/>
          <w:sz w:val="11"/>
        </w:rPr>
        <w:t>172</w:t>
      </w:r>
    </w:p>
    <w:p w14:paraId="43BCE172" w14:textId="77777777" w:rsidR="00894070" w:rsidRDefault="009B7AFD">
      <w:pPr>
        <w:pStyle w:val="ListParagraph"/>
        <w:numPr>
          <w:ilvl w:val="1"/>
          <w:numId w:val="29"/>
        </w:numPr>
        <w:tabs>
          <w:tab w:val="left" w:pos="1801"/>
          <w:tab w:val="left" w:pos="1802"/>
        </w:tabs>
        <w:spacing w:before="122" w:line="206" w:lineRule="auto"/>
        <w:ind w:right="1175"/>
        <w:rPr>
          <w:sz w:val="20"/>
        </w:rPr>
      </w:pPr>
      <w:r>
        <w:rPr>
          <w:color w:val="231F20"/>
          <w:sz w:val="20"/>
        </w:rPr>
        <w:t>While</w:t>
      </w:r>
      <w:r>
        <w:rPr>
          <w:color w:val="231F20"/>
          <w:spacing w:val="-8"/>
          <w:sz w:val="20"/>
        </w:rPr>
        <w:t xml:space="preserve"> </w:t>
      </w:r>
      <w:r>
        <w:rPr>
          <w:color w:val="231F20"/>
          <w:sz w:val="20"/>
        </w:rPr>
        <w:t>there</w:t>
      </w:r>
      <w:r>
        <w:rPr>
          <w:color w:val="231F20"/>
          <w:spacing w:val="-7"/>
          <w:sz w:val="20"/>
        </w:rPr>
        <w:t xml:space="preserve"> </w:t>
      </w:r>
      <w:r>
        <w:rPr>
          <w:color w:val="231F20"/>
          <w:sz w:val="20"/>
        </w:rPr>
        <w:t>has</w:t>
      </w:r>
      <w:r>
        <w:rPr>
          <w:color w:val="231F20"/>
          <w:spacing w:val="-8"/>
          <w:sz w:val="20"/>
        </w:rPr>
        <w:t xml:space="preserve"> </w:t>
      </w:r>
      <w:r>
        <w:rPr>
          <w:color w:val="231F20"/>
          <w:sz w:val="20"/>
        </w:rPr>
        <w:t>been</w:t>
      </w:r>
      <w:r>
        <w:rPr>
          <w:color w:val="231F20"/>
          <w:spacing w:val="-7"/>
          <w:sz w:val="20"/>
        </w:rPr>
        <w:t xml:space="preserve"> </w:t>
      </w:r>
      <w:r>
        <w:rPr>
          <w:color w:val="231F20"/>
          <w:sz w:val="20"/>
        </w:rPr>
        <w:t>some</w:t>
      </w:r>
      <w:r>
        <w:rPr>
          <w:color w:val="231F20"/>
          <w:spacing w:val="-8"/>
          <w:sz w:val="20"/>
        </w:rPr>
        <w:t xml:space="preserve"> </w:t>
      </w:r>
      <w:r>
        <w:rPr>
          <w:color w:val="231F20"/>
          <w:spacing w:val="-3"/>
          <w:sz w:val="20"/>
        </w:rPr>
        <w:t>research</w:t>
      </w:r>
      <w:r>
        <w:rPr>
          <w:color w:val="231F20"/>
          <w:spacing w:val="-7"/>
          <w:sz w:val="20"/>
        </w:rPr>
        <w:t xml:space="preserve"> </w:t>
      </w:r>
      <w:r>
        <w:rPr>
          <w:color w:val="231F20"/>
          <w:sz w:val="20"/>
        </w:rPr>
        <w:t>and</w:t>
      </w:r>
      <w:r>
        <w:rPr>
          <w:color w:val="231F20"/>
          <w:spacing w:val="-8"/>
          <w:sz w:val="20"/>
        </w:rPr>
        <w:t xml:space="preserve"> </w:t>
      </w:r>
      <w:r>
        <w:rPr>
          <w:color w:val="231F20"/>
          <w:spacing w:val="-3"/>
          <w:sz w:val="20"/>
        </w:rPr>
        <w:t>evaluation</w:t>
      </w:r>
      <w:r>
        <w:rPr>
          <w:color w:val="231F20"/>
          <w:spacing w:val="-7"/>
          <w:sz w:val="20"/>
        </w:rPr>
        <w:t xml:space="preserve"> </w:t>
      </w:r>
      <w:r>
        <w:rPr>
          <w:color w:val="231F20"/>
          <w:sz w:val="20"/>
        </w:rPr>
        <w:t>of</w:t>
      </w:r>
      <w:r>
        <w:rPr>
          <w:color w:val="231F20"/>
          <w:spacing w:val="-8"/>
          <w:sz w:val="20"/>
        </w:rPr>
        <w:t xml:space="preserve"> </w:t>
      </w:r>
      <w:r>
        <w:rPr>
          <w:color w:val="231F20"/>
          <w:sz w:val="20"/>
        </w:rPr>
        <w:t>electronic</w:t>
      </w:r>
      <w:r>
        <w:rPr>
          <w:color w:val="231F20"/>
          <w:spacing w:val="-7"/>
          <w:sz w:val="20"/>
        </w:rPr>
        <w:t xml:space="preserve"> </w:t>
      </w:r>
      <w:r>
        <w:rPr>
          <w:color w:val="231F20"/>
          <w:sz w:val="20"/>
        </w:rPr>
        <w:t>monitoring</w:t>
      </w:r>
      <w:r>
        <w:rPr>
          <w:color w:val="231F20"/>
          <w:spacing w:val="-8"/>
          <w:sz w:val="20"/>
        </w:rPr>
        <w:t xml:space="preserve"> </w:t>
      </w:r>
      <w:r>
        <w:rPr>
          <w:color w:val="231F20"/>
          <w:sz w:val="20"/>
        </w:rPr>
        <w:t>in</w:t>
      </w:r>
      <w:r>
        <w:rPr>
          <w:color w:val="231F20"/>
          <w:spacing w:val="-7"/>
          <w:sz w:val="20"/>
        </w:rPr>
        <w:t xml:space="preserve"> </w:t>
      </w:r>
      <w:r>
        <w:rPr>
          <w:color w:val="231F20"/>
          <w:sz w:val="20"/>
        </w:rPr>
        <w:t>a</w:t>
      </w:r>
      <w:r>
        <w:rPr>
          <w:color w:val="231F20"/>
          <w:spacing w:val="-8"/>
          <w:sz w:val="20"/>
        </w:rPr>
        <w:t xml:space="preserve"> </w:t>
      </w:r>
      <w:r>
        <w:rPr>
          <w:color w:val="231F20"/>
          <w:spacing w:val="-3"/>
          <w:sz w:val="20"/>
        </w:rPr>
        <w:t xml:space="preserve">family </w:t>
      </w:r>
      <w:r>
        <w:rPr>
          <w:color w:val="231F20"/>
          <w:sz w:val="20"/>
        </w:rPr>
        <w:t xml:space="preserve">violence context, no </w:t>
      </w:r>
      <w:r>
        <w:rPr>
          <w:color w:val="231F20"/>
          <w:spacing w:val="-3"/>
          <w:sz w:val="20"/>
        </w:rPr>
        <w:t xml:space="preserve">research </w:t>
      </w:r>
      <w:r>
        <w:rPr>
          <w:color w:val="231F20"/>
          <w:sz w:val="20"/>
        </w:rPr>
        <w:t xml:space="preserve">has been conducted about its use in the </w:t>
      </w:r>
      <w:r>
        <w:rPr>
          <w:color w:val="231F20"/>
          <w:spacing w:val="-3"/>
          <w:sz w:val="20"/>
        </w:rPr>
        <w:t xml:space="preserve">context </w:t>
      </w:r>
      <w:r>
        <w:rPr>
          <w:color w:val="231F20"/>
          <w:sz w:val="20"/>
        </w:rPr>
        <w:t xml:space="preserve">of non- </w:t>
      </w:r>
      <w:r>
        <w:rPr>
          <w:color w:val="231F20"/>
          <w:spacing w:val="-3"/>
          <w:sz w:val="20"/>
        </w:rPr>
        <w:t xml:space="preserve">family </w:t>
      </w:r>
      <w:r>
        <w:rPr>
          <w:color w:val="231F20"/>
          <w:sz w:val="20"/>
        </w:rPr>
        <w:t>violence</w:t>
      </w:r>
      <w:r>
        <w:rPr>
          <w:color w:val="231F20"/>
          <w:spacing w:val="-6"/>
          <w:sz w:val="20"/>
        </w:rPr>
        <w:t xml:space="preserve"> </w:t>
      </w:r>
      <w:r>
        <w:rPr>
          <w:color w:val="231F20"/>
          <w:sz w:val="20"/>
        </w:rPr>
        <w:t>stalking.</w:t>
      </w:r>
    </w:p>
    <w:p w14:paraId="4021B8B1" w14:textId="77777777" w:rsidR="00894070" w:rsidRDefault="00894070">
      <w:pPr>
        <w:pStyle w:val="BodyText"/>
        <w:spacing w:before="10"/>
        <w:rPr>
          <w:sz w:val="15"/>
        </w:rPr>
      </w:pPr>
    </w:p>
    <w:p w14:paraId="68B735D1" w14:textId="77777777" w:rsidR="00894070" w:rsidRDefault="009B7AFD">
      <w:pPr>
        <w:pStyle w:val="Heading8"/>
        <w:spacing w:before="1"/>
        <w:ind w:left="1007"/>
      </w:pPr>
      <w:r>
        <w:rPr>
          <w:color w:val="231F20"/>
        </w:rPr>
        <w:t>Support for electronic monitoring</w:t>
      </w:r>
    </w:p>
    <w:p w14:paraId="579872C2" w14:textId="77777777" w:rsidR="00894070" w:rsidRDefault="009B7AFD">
      <w:pPr>
        <w:pStyle w:val="ListParagraph"/>
        <w:numPr>
          <w:ilvl w:val="1"/>
          <w:numId w:val="29"/>
        </w:numPr>
        <w:tabs>
          <w:tab w:val="left" w:pos="1801"/>
          <w:tab w:val="left" w:pos="1802"/>
        </w:tabs>
        <w:spacing w:before="127" w:line="206" w:lineRule="auto"/>
        <w:ind w:right="1559"/>
        <w:rPr>
          <w:sz w:val="20"/>
        </w:rPr>
      </w:pPr>
      <w:r>
        <w:rPr>
          <w:color w:val="231F20"/>
          <w:sz w:val="20"/>
        </w:rPr>
        <w:t>Di McDonald, a person who experienced stalking, pointed out that instead of the person</w:t>
      </w:r>
      <w:r>
        <w:rPr>
          <w:color w:val="231F20"/>
          <w:spacing w:val="-8"/>
          <w:sz w:val="20"/>
        </w:rPr>
        <w:t xml:space="preserve"> </w:t>
      </w:r>
      <w:r>
        <w:rPr>
          <w:color w:val="231F20"/>
          <w:sz w:val="20"/>
        </w:rPr>
        <w:t>who</w:t>
      </w:r>
      <w:r>
        <w:rPr>
          <w:color w:val="231F20"/>
          <w:spacing w:val="-8"/>
          <w:sz w:val="20"/>
        </w:rPr>
        <w:t xml:space="preserve"> </w:t>
      </w:r>
      <w:r>
        <w:rPr>
          <w:color w:val="231F20"/>
          <w:sz w:val="20"/>
        </w:rPr>
        <w:t>stalked</w:t>
      </w:r>
      <w:r>
        <w:rPr>
          <w:color w:val="231F20"/>
          <w:spacing w:val="-8"/>
          <w:sz w:val="20"/>
        </w:rPr>
        <w:t xml:space="preserve"> </w:t>
      </w:r>
      <w:r>
        <w:rPr>
          <w:color w:val="231F20"/>
          <w:sz w:val="20"/>
        </w:rPr>
        <w:t>her</w:t>
      </w:r>
      <w:r>
        <w:rPr>
          <w:color w:val="231F20"/>
          <w:spacing w:val="-8"/>
          <w:sz w:val="20"/>
        </w:rPr>
        <w:t xml:space="preserve"> </w:t>
      </w:r>
      <w:r>
        <w:rPr>
          <w:color w:val="231F20"/>
          <w:sz w:val="20"/>
        </w:rPr>
        <w:t>being</w:t>
      </w:r>
      <w:r>
        <w:rPr>
          <w:color w:val="231F20"/>
          <w:spacing w:val="-8"/>
          <w:sz w:val="20"/>
        </w:rPr>
        <w:t xml:space="preserve"> </w:t>
      </w:r>
      <w:r>
        <w:rPr>
          <w:color w:val="231F20"/>
          <w:spacing w:val="-3"/>
          <w:sz w:val="20"/>
        </w:rPr>
        <w:t>electronically</w:t>
      </w:r>
      <w:r>
        <w:rPr>
          <w:color w:val="231F20"/>
          <w:spacing w:val="-8"/>
          <w:sz w:val="20"/>
        </w:rPr>
        <w:t xml:space="preserve"> </w:t>
      </w:r>
      <w:r>
        <w:rPr>
          <w:color w:val="231F20"/>
          <w:sz w:val="20"/>
        </w:rPr>
        <w:t>monitored,</w:t>
      </w:r>
      <w:r>
        <w:rPr>
          <w:color w:val="231F20"/>
          <w:spacing w:val="-8"/>
          <w:sz w:val="20"/>
        </w:rPr>
        <w:t xml:space="preserve"> </w:t>
      </w:r>
      <w:r>
        <w:rPr>
          <w:color w:val="231F20"/>
          <w:sz w:val="20"/>
        </w:rPr>
        <w:t>she</w:t>
      </w:r>
      <w:r>
        <w:rPr>
          <w:color w:val="231F20"/>
          <w:spacing w:val="-8"/>
          <w:sz w:val="20"/>
        </w:rPr>
        <w:t xml:space="preserve"> </w:t>
      </w:r>
      <w:r>
        <w:rPr>
          <w:color w:val="231F20"/>
          <w:sz w:val="20"/>
        </w:rPr>
        <w:t>has</w:t>
      </w:r>
      <w:r>
        <w:rPr>
          <w:color w:val="231F20"/>
          <w:spacing w:val="-8"/>
          <w:sz w:val="20"/>
        </w:rPr>
        <w:t xml:space="preserve"> </w:t>
      </w:r>
      <w:r>
        <w:rPr>
          <w:color w:val="231F20"/>
          <w:sz w:val="20"/>
        </w:rPr>
        <w:t>needed</w:t>
      </w:r>
      <w:r>
        <w:rPr>
          <w:color w:val="231F20"/>
          <w:spacing w:val="-8"/>
          <w:sz w:val="20"/>
        </w:rPr>
        <w:t xml:space="preserve"> </w:t>
      </w:r>
      <w:r>
        <w:rPr>
          <w:color w:val="231F20"/>
          <w:sz w:val="20"/>
        </w:rPr>
        <w:t>to</w:t>
      </w:r>
      <w:r>
        <w:rPr>
          <w:color w:val="231F20"/>
          <w:spacing w:val="-8"/>
          <w:sz w:val="20"/>
        </w:rPr>
        <w:t xml:space="preserve"> </w:t>
      </w:r>
      <w:r>
        <w:rPr>
          <w:color w:val="231F20"/>
          <w:sz w:val="20"/>
        </w:rPr>
        <w:t>wear</w:t>
      </w:r>
      <w:r>
        <w:rPr>
          <w:color w:val="231F20"/>
          <w:spacing w:val="-7"/>
          <w:sz w:val="20"/>
        </w:rPr>
        <w:t xml:space="preserve"> </w:t>
      </w:r>
      <w:r>
        <w:rPr>
          <w:color w:val="231F20"/>
          <w:sz w:val="20"/>
        </w:rPr>
        <w:t xml:space="preserve">an electronic monitor to </w:t>
      </w:r>
      <w:r>
        <w:rPr>
          <w:color w:val="231F20"/>
          <w:spacing w:val="-3"/>
          <w:sz w:val="20"/>
        </w:rPr>
        <w:t>protect</w:t>
      </w:r>
      <w:r>
        <w:rPr>
          <w:color w:val="231F20"/>
          <w:spacing w:val="-18"/>
          <w:sz w:val="20"/>
        </w:rPr>
        <w:t xml:space="preserve"> </w:t>
      </w:r>
      <w:r>
        <w:rPr>
          <w:color w:val="231F20"/>
          <w:sz w:val="20"/>
        </w:rPr>
        <w:t>herself:</w:t>
      </w:r>
    </w:p>
    <w:p w14:paraId="0E776288" w14:textId="77777777" w:rsidR="00894070" w:rsidRDefault="009F6793">
      <w:pPr>
        <w:pStyle w:val="BodyText"/>
        <w:spacing w:before="7"/>
        <w:rPr>
          <w:sz w:val="23"/>
        </w:rPr>
      </w:pPr>
      <w:r>
        <w:pict w14:anchorId="5CA93E05">
          <v:shape id="_x0000_s1055" type="#_x0000_t202" style="position:absolute;margin-left:119.3pt;margin-top:18.55pt;width:395.8pt;height:80.1pt;z-index:251784192;mso-wrap-distance-left:0;mso-wrap-distance-right:0;mso-position-horizontal-relative:page" fillcolor="#fee7de" strokecolor="#ea5b50" strokeweight=".5pt">
            <v:textbox inset="0,0,0,0">
              <w:txbxContent>
                <w:p w14:paraId="31722D3A" w14:textId="77777777" w:rsidR="00894070" w:rsidRDefault="00894070">
                  <w:pPr>
                    <w:pStyle w:val="BodyText"/>
                    <w:spacing w:before="3"/>
                    <w:rPr>
                      <w:sz w:val="15"/>
                    </w:rPr>
                  </w:pPr>
                </w:p>
                <w:p w14:paraId="043DDE68" w14:textId="77777777" w:rsidR="00894070" w:rsidRDefault="009B7AFD">
                  <w:pPr>
                    <w:pStyle w:val="BodyText"/>
                    <w:spacing w:line="206" w:lineRule="auto"/>
                    <w:ind w:left="221" w:right="101"/>
                    <w:rPr>
                      <w:sz w:val="11"/>
                    </w:rPr>
                  </w:pPr>
                  <w:r>
                    <w:rPr>
                      <w:color w:val="231F20"/>
                    </w:rPr>
                    <w:t xml:space="preserve">So instead of the criminal wearing a </w:t>
                  </w:r>
                  <w:r>
                    <w:rPr>
                      <w:color w:val="231F20"/>
                      <w:spacing w:val="-3"/>
                    </w:rPr>
                    <w:t xml:space="preserve">monitor, </w:t>
                  </w:r>
                  <w:r>
                    <w:rPr>
                      <w:color w:val="231F20"/>
                    </w:rPr>
                    <w:t xml:space="preserve">I do </w:t>
                  </w:r>
                  <w:r>
                    <w:rPr>
                      <w:color w:val="231F20"/>
                      <w:spacing w:val="-5"/>
                    </w:rPr>
                    <w:t xml:space="preserve">now. </w:t>
                  </w:r>
                  <w:r>
                    <w:rPr>
                      <w:color w:val="231F20"/>
                    </w:rPr>
                    <w:t>It’s a safety watch which alerts 5 people that I am in</w:t>
                  </w:r>
                  <w:r>
                    <w:rPr>
                      <w:color w:val="231F20"/>
                      <w:spacing w:val="-3"/>
                    </w:rPr>
                    <w:t xml:space="preserve"> danger, </w:t>
                  </w:r>
                  <w:r>
                    <w:rPr>
                      <w:color w:val="231F20"/>
                    </w:rPr>
                    <w:t xml:space="preserve">for them to call police. … This is so I can feel safe knowing that if I’m attacked, I </w:t>
                  </w:r>
                  <w:r>
                    <w:rPr>
                      <w:color w:val="231F20"/>
                      <w:spacing w:val="-3"/>
                    </w:rPr>
                    <w:t xml:space="preserve">have </w:t>
                  </w:r>
                  <w:r>
                    <w:rPr>
                      <w:color w:val="231F20"/>
                    </w:rPr>
                    <w:t xml:space="preserve">help at hand, and hopefully police will attend before I’m hurt. So </w:t>
                  </w:r>
                  <w:r>
                    <w:rPr>
                      <w:color w:val="231F20"/>
                      <w:spacing w:val="-3"/>
                    </w:rPr>
                    <w:t xml:space="preserve">even </w:t>
                  </w:r>
                  <w:r>
                    <w:rPr>
                      <w:color w:val="231F20"/>
                    </w:rPr>
                    <w:t>given his extensive history, the laws are still protecting him not me.</w:t>
                  </w:r>
                  <w:r>
                    <w:rPr>
                      <w:color w:val="231F20"/>
                      <w:position w:val="7"/>
                      <w:sz w:val="11"/>
                    </w:rPr>
                    <w:t>173</w:t>
                  </w:r>
                </w:p>
              </w:txbxContent>
            </v:textbox>
            <w10:wrap type="topAndBottom" anchorx="page"/>
          </v:shape>
        </w:pict>
      </w:r>
    </w:p>
    <w:p w14:paraId="150BBE05" w14:textId="77777777" w:rsidR="00894070" w:rsidRDefault="00894070">
      <w:pPr>
        <w:pStyle w:val="BodyText"/>
        <w:spacing w:before="6"/>
        <w:rPr>
          <w:sz w:val="19"/>
        </w:rPr>
      </w:pPr>
    </w:p>
    <w:p w14:paraId="7E858BA5" w14:textId="77777777" w:rsidR="00894070" w:rsidRDefault="009B7AFD">
      <w:pPr>
        <w:pStyle w:val="ListParagraph"/>
        <w:numPr>
          <w:ilvl w:val="1"/>
          <w:numId w:val="29"/>
        </w:numPr>
        <w:tabs>
          <w:tab w:val="left" w:pos="1801"/>
          <w:tab w:val="left" w:pos="1802"/>
        </w:tabs>
        <w:spacing w:before="57" w:line="259" w:lineRule="exact"/>
        <w:rPr>
          <w:sz w:val="20"/>
        </w:rPr>
      </w:pPr>
      <w:r>
        <w:rPr>
          <w:color w:val="231F20"/>
          <w:sz w:val="20"/>
        </w:rPr>
        <w:t>Di</w:t>
      </w:r>
      <w:r>
        <w:rPr>
          <w:color w:val="231F20"/>
          <w:spacing w:val="-7"/>
          <w:sz w:val="20"/>
        </w:rPr>
        <w:t xml:space="preserve"> </w:t>
      </w:r>
      <w:r>
        <w:rPr>
          <w:color w:val="231F20"/>
          <w:sz w:val="20"/>
        </w:rPr>
        <w:t>McDonald</w:t>
      </w:r>
      <w:r>
        <w:rPr>
          <w:color w:val="231F20"/>
          <w:spacing w:val="-6"/>
          <w:sz w:val="20"/>
        </w:rPr>
        <w:t xml:space="preserve"> </w:t>
      </w:r>
      <w:r>
        <w:rPr>
          <w:color w:val="231F20"/>
          <w:sz w:val="20"/>
        </w:rPr>
        <w:t>suggested</w:t>
      </w:r>
      <w:r>
        <w:rPr>
          <w:color w:val="231F20"/>
          <w:spacing w:val="-7"/>
          <w:sz w:val="20"/>
        </w:rPr>
        <w:t xml:space="preserve"> </w:t>
      </w:r>
      <w:r>
        <w:rPr>
          <w:color w:val="231F20"/>
          <w:sz w:val="20"/>
        </w:rPr>
        <w:t>that</w:t>
      </w:r>
      <w:r>
        <w:rPr>
          <w:color w:val="231F20"/>
          <w:spacing w:val="-6"/>
          <w:sz w:val="20"/>
        </w:rPr>
        <w:t xml:space="preserve"> </w:t>
      </w:r>
      <w:r>
        <w:rPr>
          <w:color w:val="231F20"/>
          <w:sz w:val="20"/>
        </w:rPr>
        <w:t>electronic</w:t>
      </w:r>
      <w:r>
        <w:rPr>
          <w:color w:val="231F20"/>
          <w:spacing w:val="-7"/>
          <w:sz w:val="20"/>
        </w:rPr>
        <w:t xml:space="preserve"> </w:t>
      </w:r>
      <w:r>
        <w:rPr>
          <w:color w:val="231F20"/>
          <w:sz w:val="20"/>
        </w:rPr>
        <w:t>monitoring</w:t>
      </w:r>
      <w:r>
        <w:rPr>
          <w:color w:val="231F20"/>
          <w:spacing w:val="-6"/>
          <w:sz w:val="20"/>
        </w:rPr>
        <w:t xml:space="preserve"> </w:t>
      </w:r>
      <w:r>
        <w:rPr>
          <w:color w:val="231F20"/>
          <w:spacing w:val="-3"/>
          <w:sz w:val="20"/>
        </w:rPr>
        <w:t>would</w:t>
      </w:r>
      <w:r>
        <w:rPr>
          <w:color w:val="231F20"/>
          <w:spacing w:val="-7"/>
          <w:sz w:val="20"/>
        </w:rPr>
        <w:t xml:space="preserve"> </w:t>
      </w:r>
      <w:r>
        <w:rPr>
          <w:color w:val="231F20"/>
          <w:sz w:val="20"/>
        </w:rPr>
        <w:t>free</w:t>
      </w:r>
      <w:r>
        <w:rPr>
          <w:color w:val="231F20"/>
          <w:spacing w:val="-6"/>
          <w:sz w:val="20"/>
        </w:rPr>
        <w:t xml:space="preserve"> </w:t>
      </w:r>
      <w:r>
        <w:rPr>
          <w:color w:val="231F20"/>
          <w:sz w:val="20"/>
        </w:rPr>
        <w:t>up</w:t>
      </w:r>
      <w:r>
        <w:rPr>
          <w:color w:val="231F20"/>
          <w:spacing w:val="-7"/>
          <w:sz w:val="20"/>
        </w:rPr>
        <w:t xml:space="preserve"> </w:t>
      </w:r>
      <w:r>
        <w:rPr>
          <w:color w:val="231F20"/>
          <w:sz w:val="20"/>
        </w:rPr>
        <w:t>police</w:t>
      </w:r>
      <w:r>
        <w:rPr>
          <w:color w:val="231F20"/>
          <w:spacing w:val="-6"/>
          <w:sz w:val="20"/>
        </w:rPr>
        <w:t xml:space="preserve"> </w:t>
      </w:r>
      <w:r>
        <w:rPr>
          <w:color w:val="231F20"/>
          <w:sz w:val="20"/>
        </w:rPr>
        <w:t>time,</w:t>
      </w:r>
      <w:r>
        <w:rPr>
          <w:color w:val="231F20"/>
          <w:spacing w:val="-7"/>
          <w:sz w:val="20"/>
        </w:rPr>
        <w:t xml:space="preserve"> </w:t>
      </w:r>
      <w:r>
        <w:rPr>
          <w:color w:val="231F20"/>
          <w:sz w:val="20"/>
        </w:rPr>
        <w:t>as</w:t>
      </w:r>
      <w:r>
        <w:rPr>
          <w:color w:val="231F20"/>
          <w:spacing w:val="-6"/>
          <w:sz w:val="20"/>
        </w:rPr>
        <w:t xml:space="preserve"> </w:t>
      </w:r>
      <w:r>
        <w:rPr>
          <w:color w:val="231F20"/>
          <w:sz w:val="20"/>
        </w:rPr>
        <w:t>there</w:t>
      </w:r>
    </w:p>
    <w:p w14:paraId="644B443B" w14:textId="77777777" w:rsidR="00894070" w:rsidRDefault="009B7AFD">
      <w:pPr>
        <w:pStyle w:val="BodyText"/>
        <w:spacing w:line="259" w:lineRule="exact"/>
        <w:ind w:left="1801"/>
        <w:rPr>
          <w:sz w:val="11"/>
        </w:rPr>
      </w:pPr>
      <w:r>
        <w:rPr>
          <w:color w:val="231F20"/>
        </w:rPr>
        <w:t>were three police stations needing to keep an eye on the person who stalked her.</w:t>
      </w:r>
      <w:r>
        <w:rPr>
          <w:color w:val="231F20"/>
          <w:position w:val="7"/>
          <w:sz w:val="11"/>
        </w:rPr>
        <w:t>174</w:t>
      </w:r>
    </w:p>
    <w:p w14:paraId="36857F0D" w14:textId="77777777" w:rsidR="00894070" w:rsidRDefault="00894070">
      <w:pPr>
        <w:pStyle w:val="BodyText"/>
      </w:pPr>
    </w:p>
    <w:p w14:paraId="3A67D39D" w14:textId="77777777" w:rsidR="00894070" w:rsidRDefault="00894070">
      <w:pPr>
        <w:pStyle w:val="BodyText"/>
      </w:pPr>
    </w:p>
    <w:p w14:paraId="3C2E0939" w14:textId="77777777" w:rsidR="00894070" w:rsidRDefault="00894070">
      <w:pPr>
        <w:pStyle w:val="BodyText"/>
      </w:pPr>
    </w:p>
    <w:p w14:paraId="4D24ABB8" w14:textId="77777777" w:rsidR="00894070" w:rsidRDefault="00894070">
      <w:pPr>
        <w:pStyle w:val="BodyText"/>
      </w:pPr>
    </w:p>
    <w:p w14:paraId="12DC8DC9" w14:textId="77777777" w:rsidR="00894070" w:rsidRDefault="009F6793">
      <w:pPr>
        <w:pStyle w:val="BodyText"/>
        <w:spacing w:before="8"/>
        <w:rPr>
          <w:sz w:val="11"/>
        </w:rPr>
      </w:pPr>
      <w:r>
        <w:pict w14:anchorId="63BD298B">
          <v:line id="_x0000_s1054" style="position:absolute;z-index:251786240;mso-wrap-distance-left:0;mso-wrap-distance-right:0;mso-position-horizontal-relative:page" from="79.35pt,10.5pt" to="515.9pt,10.5pt" strokecolor="#f8cabc" strokeweight="1pt">
            <w10:wrap type="topAndBottom" anchorx="page"/>
          </v:line>
        </w:pict>
      </w:r>
    </w:p>
    <w:p w14:paraId="323806A0" w14:textId="77777777" w:rsidR="00894070" w:rsidRDefault="00894070">
      <w:pPr>
        <w:pStyle w:val="BodyText"/>
        <w:rPr>
          <w:sz w:val="5"/>
        </w:rPr>
      </w:pPr>
    </w:p>
    <w:p w14:paraId="2A630137" w14:textId="77777777" w:rsidR="00894070" w:rsidRDefault="00894070">
      <w:pPr>
        <w:rPr>
          <w:sz w:val="5"/>
        </w:rPr>
        <w:sectPr w:rsidR="00894070">
          <w:pgSz w:w="11910" w:h="16840"/>
          <w:pgMar w:top="840" w:right="420" w:bottom="280" w:left="580" w:header="0" w:footer="0" w:gutter="0"/>
          <w:cols w:space="720"/>
        </w:sectPr>
      </w:pPr>
    </w:p>
    <w:p w14:paraId="333273B2" w14:textId="77777777" w:rsidR="00894070" w:rsidRDefault="009B7AFD">
      <w:pPr>
        <w:pStyle w:val="ListParagraph"/>
        <w:numPr>
          <w:ilvl w:val="0"/>
          <w:numId w:val="19"/>
        </w:numPr>
        <w:tabs>
          <w:tab w:val="left" w:pos="1800"/>
          <w:tab w:val="left" w:pos="1802"/>
        </w:tabs>
        <w:spacing w:before="21" w:line="170" w:lineRule="exact"/>
        <w:jc w:val="left"/>
        <w:rPr>
          <w:sz w:val="13"/>
        </w:rPr>
      </w:pPr>
      <w:r>
        <w:rPr>
          <w:color w:val="231F20"/>
          <w:sz w:val="13"/>
        </w:rPr>
        <w:t>Ibid.</w:t>
      </w:r>
    </w:p>
    <w:p w14:paraId="318D4FE7" w14:textId="77777777" w:rsidR="00894070" w:rsidRDefault="009B7AFD">
      <w:pPr>
        <w:pStyle w:val="ListParagraph"/>
        <w:numPr>
          <w:ilvl w:val="0"/>
          <w:numId w:val="19"/>
        </w:numPr>
        <w:tabs>
          <w:tab w:val="left" w:pos="1800"/>
          <w:tab w:val="left" w:pos="1802"/>
        </w:tabs>
        <w:spacing w:before="7" w:line="213" w:lineRule="auto"/>
        <w:ind w:right="462"/>
        <w:jc w:val="left"/>
        <w:rPr>
          <w:sz w:val="13"/>
        </w:rPr>
      </w:pPr>
      <w:r>
        <w:rPr>
          <w:color w:val="231F20"/>
          <w:sz w:val="13"/>
        </w:rPr>
        <w:t xml:space="preserve">Heather Nancarrow and Tanya Modini, </w:t>
      </w:r>
      <w:r>
        <w:rPr>
          <w:i/>
          <w:color w:val="231F20"/>
          <w:sz w:val="13"/>
        </w:rPr>
        <w:t xml:space="preserve">Electronic Monitoring in the Context of Domestic and Family Violence </w:t>
      </w:r>
      <w:r>
        <w:rPr>
          <w:color w:val="231F20"/>
          <w:spacing w:val="2"/>
          <w:sz w:val="13"/>
        </w:rPr>
        <w:t xml:space="preserve">(Report </w:t>
      </w:r>
      <w:r>
        <w:rPr>
          <w:color w:val="231F20"/>
          <w:sz w:val="13"/>
        </w:rPr>
        <w:t xml:space="preserve">for the </w:t>
      </w:r>
      <w:r>
        <w:rPr>
          <w:color w:val="231F20"/>
          <w:spacing w:val="2"/>
          <w:sz w:val="13"/>
        </w:rPr>
        <w:t xml:space="preserve">Department </w:t>
      </w:r>
      <w:r>
        <w:rPr>
          <w:color w:val="231F20"/>
          <w:sz w:val="13"/>
        </w:rPr>
        <w:t>of Justice and Attorney-General (Qld), ANROWS, 2018)</w:t>
      </w:r>
      <w:r>
        <w:rPr>
          <w:color w:val="231F20"/>
          <w:spacing w:val="3"/>
          <w:sz w:val="13"/>
        </w:rPr>
        <w:t xml:space="preserve"> </w:t>
      </w:r>
      <w:r>
        <w:rPr>
          <w:color w:val="231F20"/>
          <w:sz w:val="13"/>
        </w:rPr>
        <w:t>2.</w:t>
      </w:r>
    </w:p>
    <w:p w14:paraId="153F1B66" w14:textId="77777777" w:rsidR="00894070" w:rsidRDefault="009B7AFD">
      <w:pPr>
        <w:pStyle w:val="ListParagraph"/>
        <w:numPr>
          <w:ilvl w:val="0"/>
          <w:numId w:val="19"/>
        </w:numPr>
        <w:tabs>
          <w:tab w:val="left" w:pos="1801"/>
          <w:tab w:val="left" w:pos="1802"/>
        </w:tabs>
        <w:spacing w:line="213" w:lineRule="auto"/>
        <w:jc w:val="left"/>
        <w:rPr>
          <w:sz w:val="13"/>
        </w:rPr>
      </w:pPr>
      <w:r>
        <w:rPr>
          <w:color w:val="231F20"/>
          <w:sz w:val="13"/>
        </w:rPr>
        <w:t xml:space="preserve">Jyoti Belur et </w:t>
      </w:r>
      <w:r>
        <w:rPr>
          <w:color w:val="231F20"/>
          <w:spacing w:val="2"/>
          <w:sz w:val="13"/>
        </w:rPr>
        <w:t xml:space="preserve">al, </w:t>
      </w:r>
      <w:r>
        <w:rPr>
          <w:color w:val="231F20"/>
          <w:spacing w:val="-4"/>
          <w:sz w:val="13"/>
        </w:rPr>
        <w:t xml:space="preserve">‘A </w:t>
      </w:r>
      <w:r>
        <w:rPr>
          <w:color w:val="231F20"/>
          <w:sz w:val="13"/>
        </w:rPr>
        <w:t xml:space="preserve">Systematic Review of the Effectiveness of the Electronic Monitoring of Offenders’ (2020) 68 </w:t>
      </w:r>
      <w:r>
        <w:rPr>
          <w:i/>
          <w:color w:val="231F20"/>
          <w:sz w:val="13"/>
        </w:rPr>
        <w:t xml:space="preserve">Journal of Criminal Justice </w:t>
      </w:r>
      <w:r>
        <w:rPr>
          <w:color w:val="231F20"/>
          <w:sz w:val="13"/>
        </w:rPr>
        <w:t>101686:1–18.</w:t>
      </w:r>
    </w:p>
    <w:p w14:paraId="310AE0A9" w14:textId="77777777" w:rsidR="00894070" w:rsidRDefault="009B7AFD">
      <w:pPr>
        <w:pStyle w:val="ListParagraph"/>
        <w:numPr>
          <w:ilvl w:val="0"/>
          <w:numId w:val="19"/>
        </w:numPr>
        <w:tabs>
          <w:tab w:val="left" w:pos="1801"/>
          <w:tab w:val="left" w:pos="1802"/>
        </w:tabs>
        <w:spacing w:line="213" w:lineRule="auto"/>
        <w:ind w:right="171"/>
        <w:jc w:val="left"/>
        <w:rPr>
          <w:sz w:val="13"/>
        </w:rPr>
      </w:pPr>
      <w:r>
        <w:rPr>
          <w:color w:val="231F20"/>
          <w:sz w:val="13"/>
        </w:rPr>
        <w:t xml:space="preserve">Ibid; Heather Nancarrow and Tanya Modini, </w:t>
      </w:r>
      <w:r>
        <w:rPr>
          <w:i/>
          <w:color w:val="231F20"/>
          <w:sz w:val="13"/>
        </w:rPr>
        <w:t xml:space="preserve">Electronic Monitoring in the Context of Domestic and Family Violence </w:t>
      </w:r>
      <w:r>
        <w:rPr>
          <w:color w:val="231F20"/>
          <w:spacing w:val="2"/>
          <w:sz w:val="13"/>
        </w:rPr>
        <w:t xml:space="preserve">(Report </w:t>
      </w:r>
      <w:r>
        <w:rPr>
          <w:color w:val="231F20"/>
          <w:sz w:val="13"/>
        </w:rPr>
        <w:t xml:space="preserve">for the </w:t>
      </w:r>
      <w:r>
        <w:rPr>
          <w:color w:val="231F20"/>
          <w:spacing w:val="2"/>
          <w:sz w:val="13"/>
        </w:rPr>
        <w:t xml:space="preserve">Department </w:t>
      </w:r>
      <w:r>
        <w:rPr>
          <w:color w:val="231F20"/>
          <w:sz w:val="13"/>
        </w:rPr>
        <w:t>of Justice and Attorney-General (Qld), ANROWS, 2018)</w:t>
      </w:r>
      <w:r>
        <w:rPr>
          <w:color w:val="231F20"/>
          <w:spacing w:val="3"/>
          <w:sz w:val="13"/>
        </w:rPr>
        <w:t xml:space="preserve"> </w:t>
      </w:r>
      <w:r>
        <w:rPr>
          <w:color w:val="231F20"/>
          <w:spacing w:val="2"/>
          <w:sz w:val="13"/>
        </w:rPr>
        <w:t>29.</w:t>
      </w:r>
    </w:p>
    <w:p w14:paraId="09598D9D" w14:textId="77777777" w:rsidR="00894070" w:rsidRDefault="009B7AFD">
      <w:pPr>
        <w:pStyle w:val="ListParagraph"/>
        <w:numPr>
          <w:ilvl w:val="0"/>
          <w:numId w:val="19"/>
        </w:numPr>
        <w:tabs>
          <w:tab w:val="left" w:pos="1801"/>
          <w:tab w:val="left" w:pos="1802"/>
        </w:tabs>
        <w:spacing w:line="153" w:lineRule="exact"/>
        <w:jc w:val="left"/>
        <w:rPr>
          <w:sz w:val="13"/>
        </w:rPr>
      </w:pPr>
      <w:r>
        <w:rPr>
          <w:color w:val="231F20"/>
          <w:sz w:val="13"/>
        </w:rPr>
        <w:t xml:space="preserve">A Hucklesby and E Holdsworth, </w:t>
      </w:r>
      <w:r>
        <w:rPr>
          <w:i/>
          <w:color w:val="231F20"/>
          <w:sz w:val="13"/>
        </w:rPr>
        <w:t xml:space="preserve">Electronic Monitoring in England and Wales </w:t>
      </w:r>
      <w:r>
        <w:rPr>
          <w:color w:val="231F20"/>
          <w:spacing w:val="2"/>
          <w:sz w:val="13"/>
        </w:rPr>
        <w:t>(Report,</w:t>
      </w:r>
      <w:r>
        <w:rPr>
          <w:color w:val="231F20"/>
          <w:spacing w:val="11"/>
          <w:sz w:val="13"/>
        </w:rPr>
        <w:t xml:space="preserve"> </w:t>
      </w:r>
      <w:r>
        <w:rPr>
          <w:color w:val="231F20"/>
          <w:sz w:val="13"/>
        </w:rPr>
        <w:t>2016).</w:t>
      </w:r>
    </w:p>
    <w:p w14:paraId="4B9A67D2" w14:textId="77777777" w:rsidR="00894070" w:rsidRDefault="009B7AFD">
      <w:pPr>
        <w:pStyle w:val="ListParagraph"/>
        <w:numPr>
          <w:ilvl w:val="0"/>
          <w:numId w:val="19"/>
        </w:numPr>
        <w:tabs>
          <w:tab w:val="left" w:pos="1800"/>
          <w:tab w:val="left" w:pos="1802"/>
        </w:tabs>
        <w:spacing w:before="4" w:line="213" w:lineRule="auto"/>
        <w:ind w:right="174"/>
        <w:jc w:val="left"/>
        <w:rPr>
          <w:sz w:val="13"/>
        </w:rPr>
      </w:pPr>
      <w:r>
        <w:rPr>
          <w:color w:val="231F20"/>
          <w:sz w:val="13"/>
        </w:rPr>
        <w:t xml:space="preserve">Romy Winter et </w:t>
      </w:r>
      <w:r>
        <w:rPr>
          <w:color w:val="231F20"/>
          <w:spacing w:val="2"/>
          <w:sz w:val="13"/>
        </w:rPr>
        <w:t xml:space="preserve">al, </w:t>
      </w:r>
      <w:r>
        <w:rPr>
          <w:i/>
          <w:color w:val="231F20"/>
          <w:sz w:val="13"/>
        </w:rPr>
        <w:t xml:space="preserve">Evaluation of Project Vigilance: Electronic Monitoring of Family Violence Offenders </w:t>
      </w:r>
      <w:r>
        <w:rPr>
          <w:color w:val="231F20"/>
          <w:sz w:val="13"/>
        </w:rPr>
        <w:t xml:space="preserve">(Final </w:t>
      </w:r>
      <w:r>
        <w:rPr>
          <w:color w:val="231F20"/>
          <w:spacing w:val="2"/>
          <w:sz w:val="13"/>
        </w:rPr>
        <w:t xml:space="preserve">Report, </w:t>
      </w:r>
      <w:r>
        <w:rPr>
          <w:color w:val="231F20"/>
          <w:sz w:val="13"/>
        </w:rPr>
        <w:t>University of Tasmania, Tasmanian Institute of Law Enforcement Studies, July 2021)</w:t>
      </w:r>
      <w:r>
        <w:rPr>
          <w:color w:val="231F20"/>
          <w:spacing w:val="5"/>
          <w:sz w:val="13"/>
        </w:rPr>
        <w:t xml:space="preserve"> </w:t>
      </w:r>
      <w:r>
        <w:rPr>
          <w:color w:val="231F20"/>
          <w:spacing w:val="2"/>
          <w:sz w:val="13"/>
        </w:rPr>
        <w:t>49.</w:t>
      </w:r>
    </w:p>
    <w:p w14:paraId="7D8DCE6F" w14:textId="77777777" w:rsidR="00894070" w:rsidRDefault="009B7AFD">
      <w:pPr>
        <w:pStyle w:val="ListParagraph"/>
        <w:numPr>
          <w:ilvl w:val="0"/>
          <w:numId w:val="19"/>
        </w:numPr>
        <w:tabs>
          <w:tab w:val="left" w:pos="1800"/>
          <w:tab w:val="left" w:pos="1802"/>
        </w:tabs>
        <w:spacing w:line="153" w:lineRule="exact"/>
        <w:jc w:val="left"/>
        <w:rPr>
          <w:sz w:val="13"/>
        </w:rPr>
      </w:pPr>
      <w:r>
        <w:rPr>
          <w:color w:val="231F20"/>
          <w:sz w:val="13"/>
        </w:rPr>
        <w:t>Ibid.</w:t>
      </w:r>
    </w:p>
    <w:p w14:paraId="44356EC9" w14:textId="77777777" w:rsidR="00894070" w:rsidRDefault="009B7AFD">
      <w:pPr>
        <w:pStyle w:val="ListParagraph"/>
        <w:numPr>
          <w:ilvl w:val="0"/>
          <w:numId w:val="19"/>
        </w:numPr>
        <w:tabs>
          <w:tab w:val="left" w:pos="1801"/>
          <w:tab w:val="left" w:pos="1802"/>
        </w:tabs>
        <w:spacing w:line="160" w:lineRule="exact"/>
        <w:jc w:val="left"/>
        <w:rPr>
          <w:sz w:val="13"/>
        </w:rPr>
      </w:pPr>
      <w:r>
        <w:rPr>
          <w:color w:val="231F20"/>
          <w:spacing w:val="2"/>
          <w:sz w:val="13"/>
        </w:rPr>
        <w:t xml:space="preserve">Submission </w:t>
      </w:r>
      <w:r>
        <w:rPr>
          <w:color w:val="231F20"/>
          <w:sz w:val="13"/>
        </w:rPr>
        <w:t>70 (Di</w:t>
      </w:r>
      <w:r>
        <w:rPr>
          <w:color w:val="231F20"/>
          <w:spacing w:val="-2"/>
          <w:sz w:val="13"/>
        </w:rPr>
        <w:t xml:space="preserve"> </w:t>
      </w:r>
      <w:r>
        <w:rPr>
          <w:color w:val="231F20"/>
          <w:sz w:val="13"/>
        </w:rPr>
        <w:t>McDonald).</w:t>
      </w:r>
    </w:p>
    <w:p w14:paraId="50E7F59A" w14:textId="77777777" w:rsidR="00894070" w:rsidRDefault="009B7AFD">
      <w:pPr>
        <w:pStyle w:val="ListParagraph"/>
        <w:numPr>
          <w:ilvl w:val="0"/>
          <w:numId w:val="19"/>
        </w:numPr>
        <w:tabs>
          <w:tab w:val="left" w:pos="1800"/>
          <w:tab w:val="left" w:pos="1802"/>
        </w:tabs>
        <w:spacing w:line="170" w:lineRule="exact"/>
        <w:jc w:val="left"/>
        <w:rPr>
          <w:sz w:val="13"/>
        </w:rPr>
      </w:pPr>
      <w:r>
        <w:rPr>
          <w:color w:val="231F20"/>
          <w:sz w:val="13"/>
        </w:rPr>
        <w:t>Ibid.</w:t>
      </w:r>
    </w:p>
    <w:p w14:paraId="6DC5F3F4" w14:textId="77777777" w:rsidR="00894070" w:rsidRDefault="009B7AFD">
      <w:pPr>
        <w:pStyle w:val="BodyText"/>
        <w:rPr>
          <w:sz w:val="28"/>
        </w:rPr>
      </w:pPr>
      <w:r>
        <w:br w:type="column"/>
      </w:r>
    </w:p>
    <w:p w14:paraId="5E2CBDC4" w14:textId="77777777" w:rsidR="00894070" w:rsidRDefault="00894070">
      <w:pPr>
        <w:pStyle w:val="BodyText"/>
        <w:rPr>
          <w:sz w:val="28"/>
        </w:rPr>
      </w:pPr>
    </w:p>
    <w:p w14:paraId="7578F838" w14:textId="77777777" w:rsidR="00894070" w:rsidRDefault="00894070">
      <w:pPr>
        <w:pStyle w:val="BodyText"/>
        <w:rPr>
          <w:sz w:val="28"/>
        </w:rPr>
      </w:pPr>
    </w:p>
    <w:p w14:paraId="3CD76B63" w14:textId="77777777" w:rsidR="00894070" w:rsidRDefault="00894070">
      <w:pPr>
        <w:pStyle w:val="BodyText"/>
        <w:rPr>
          <w:sz w:val="28"/>
        </w:rPr>
      </w:pPr>
    </w:p>
    <w:p w14:paraId="2F3F964C" w14:textId="77777777" w:rsidR="00894070" w:rsidRDefault="00894070">
      <w:pPr>
        <w:pStyle w:val="BodyText"/>
        <w:spacing w:before="10"/>
        <w:rPr>
          <w:sz w:val="18"/>
        </w:rPr>
      </w:pPr>
    </w:p>
    <w:p w14:paraId="3575B993" w14:textId="77777777" w:rsidR="00894070" w:rsidRDefault="009B7AFD">
      <w:pPr>
        <w:pStyle w:val="Heading8"/>
        <w:ind w:left="598"/>
      </w:pPr>
      <w:r>
        <w:rPr>
          <w:color w:val="EA5B50"/>
        </w:rPr>
        <w:t>179</w:t>
      </w:r>
    </w:p>
    <w:p w14:paraId="005D1FB0" w14:textId="77777777" w:rsidR="00894070" w:rsidRDefault="00894070">
      <w:pPr>
        <w:sectPr w:rsidR="00894070">
          <w:type w:val="continuous"/>
          <w:pgSz w:w="11910" w:h="16840"/>
          <w:pgMar w:top="560" w:right="420" w:bottom="280" w:left="580" w:header="720" w:footer="720" w:gutter="0"/>
          <w:cols w:num="2" w:space="720" w:equalWidth="0">
            <w:col w:w="9705" w:space="40"/>
            <w:col w:w="1165"/>
          </w:cols>
        </w:sectPr>
      </w:pPr>
    </w:p>
    <w:p w14:paraId="0F9549E7" w14:textId="77777777" w:rsidR="00894070" w:rsidRDefault="00894070">
      <w:pPr>
        <w:pStyle w:val="BodyText"/>
        <w:rPr>
          <w:b/>
        </w:rPr>
      </w:pPr>
    </w:p>
    <w:p w14:paraId="6D40E7C7" w14:textId="77777777" w:rsidR="00894070" w:rsidRDefault="00894070">
      <w:pPr>
        <w:pStyle w:val="BodyText"/>
        <w:rPr>
          <w:b/>
        </w:rPr>
      </w:pPr>
    </w:p>
    <w:p w14:paraId="6E08A2BA" w14:textId="77777777" w:rsidR="00894070" w:rsidRDefault="00894070">
      <w:pPr>
        <w:pStyle w:val="BodyText"/>
        <w:rPr>
          <w:b/>
        </w:rPr>
      </w:pPr>
    </w:p>
    <w:p w14:paraId="5C57991A" w14:textId="77777777" w:rsidR="00894070" w:rsidRDefault="00894070">
      <w:pPr>
        <w:pStyle w:val="BodyText"/>
        <w:spacing w:before="11"/>
        <w:rPr>
          <w:b/>
          <w:sz w:val="18"/>
        </w:rPr>
      </w:pPr>
    </w:p>
    <w:p w14:paraId="27996B10" w14:textId="77777777" w:rsidR="00894070" w:rsidRDefault="009B7AFD">
      <w:pPr>
        <w:pStyle w:val="ListParagraph"/>
        <w:numPr>
          <w:ilvl w:val="1"/>
          <w:numId w:val="29"/>
        </w:numPr>
        <w:tabs>
          <w:tab w:val="left" w:pos="1801"/>
          <w:tab w:val="left" w:pos="1802"/>
        </w:tabs>
        <w:spacing w:line="206" w:lineRule="auto"/>
        <w:ind w:right="1753"/>
        <w:rPr>
          <w:sz w:val="11"/>
        </w:rPr>
      </w:pPr>
      <w:bookmarkStart w:id="192" w:name="_bookmark116"/>
      <w:bookmarkEnd w:id="192"/>
      <w:r>
        <w:rPr>
          <w:color w:val="231F20"/>
          <w:sz w:val="20"/>
        </w:rPr>
        <w:t>There</w:t>
      </w:r>
      <w:r>
        <w:rPr>
          <w:color w:val="231F20"/>
          <w:spacing w:val="-11"/>
          <w:sz w:val="20"/>
        </w:rPr>
        <w:t xml:space="preserve"> </w:t>
      </w:r>
      <w:r>
        <w:rPr>
          <w:color w:val="231F20"/>
          <w:sz w:val="20"/>
        </w:rPr>
        <w:t>was</w:t>
      </w:r>
      <w:r>
        <w:rPr>
          <w:color w:val="231F20"/>
          <w:spacing w:val="-11"/>
          <w:sz w:val="20"/>
        </w:rPr>
        <w:t xml:space="preserve"> </w:t>
      </w:r>
      <w:r>
        <w:rPr>
          <w:color w:val="231F20"/>
          <w:sz w:val="20"/>
        </w:rPr>
        <w:t>support</w:t>
      </w:r>
      <w:r>
        <w:rPr>
          <w:color w:val="231F20"/>
          <w:spacing w:val="-10"/>
          <w:sz w:val="20"/>
        </w:rPr>
        <w:t xml:space="preserve"> </w:t>
      </w:r>
      <w:r>
        <w:rPr>
          <w:color w:val="231F20"/>
          <w:spacing w:val="-3"/>
          <w:sz w:val="20"/>
        </w:rPr>
        <w:t>for</w:t>
      </w:r>
      <w:r>
        <w:rPr>
          <w:color w:val="231F20"/>
          <w:spacing w:val="-11"/>
          <w:sz w:val="20"/>
        </w:rPr>
        <w:t xml:space="preserve"> </w:t>
      </w:r>
      <w:r>
        <w:rPr>
          <w:color w:val="231F20"/>
          <w:sz w:val="20"/>
        </w:rPr>
        <w:t>electronic</w:t>
      </w:r>
      <w:r>
        <w:rPr>
          <w:color w:val="231F20"/>
          <w:spacing w:val="-11"/>
          <w:sz w:val="20"/>
        </w:rPr>
        <w:t xml:space="preserve"> </w:t>
      </w:r>
      <w:r>
        <w:rPr>
          <w:color w:val="231F20"/>
          <w:sz w:val="20"/>
        </w:rPr>
        <w:t>monitoring</w:t>
      </w:r>
      <w:r>
        <w:rPr>
          <w:color w:val="231F20"/>
          <w:spacing w:val="-10"/>
          <w:sz w:val="20"/>
        </w:rPr>
        <w:t xml:space="preserve"> </w:t>
      </w:r>
      <w:r>
        <w:rPr>
          <w:color w:val="231F20"/>
          <w:sz w:val="20"/>
        </w:rPr>
        <w:t>in</w:t>
      </w:r>
      <w:r>
        <w:rPr>
          <w:color w:val="231F20"/>
          <w:spacing w:val="-11"/>
          <w:sz w:val="20"/>
        </w:rPr>
        <w:t xml:space="preserve"> </w:t>
      </w:r>
      <w:r>
        <w:rPr>
          <w:color w:val="231F20"/>
          <w:sz w:val="20"/>
        </w:rPr>
        <w:t>some</w:t>
      </w:r>
      <w:r>
        <w:rPr>
          <w:color w:val="231F20"/>
          <w:spacing w:val="-10"/>
          <w:sz w:val="20"/>
        </w:rPr>
        <w:t xml:space="preserve"> </w:t>
      </w:r>
      <w:r>
        <w:rPr>
          <w:color w:val="231F20"/>
          <w:sz w:val="20"/>
        </w:rPr>
        <w:t>submissions</w:t>
      </w:r>
      <w:r>
        <w:rPr>
          <w:color w:val="231F20"/>
          <w:spacing w:val="-11"/>
          <w:sz w:val="20"/>
        </w:rPr>
        <w:t xml:space="preserve"> </w:t>
      </w:r>
      <w:r>
        <w:rPr>
          <w:color w:val="231F20"/>
          <w:sz w:val="20"/>
        </w:rPr>
        <w:t>received.</w:t>
      </w:r>
      <w:r>
        <w:rPr>
          <w:color w:val="231F20"/>
          <w:position w:val="7"/>
          <w:sz w:val="11"/>
        </w:rPr>
        <w:t>175</w:t>
      </w:r>
      <w:r>
        <w:rPr>
          <w:color w:val="231F20"/>
          <w:spacing w:val="13"/>
          <w:position w:val="7"/>
          <w:sz w:val="11"/>
        </w:rPr>
        <w:t xml:space="preserve"> </w:t>
      </w:r>
      <w:r>
        <w:rPr>
          <w:color w:val="231F20"/>
          <w:spacing w:val="-3"/>
          <w:sz w:val="20"/>
        </w:rPr>
        <w:t xml:space="preserve">For example, </w:t>
      </w:r>
      <w:r>
        <w:rPr>
          <w:color w:val="231F20"/>
          <w:sz w:val="20"/>
        </w:rPr>
        <w:t xml:space="preserve">Derryn </w:t>
      </w:r>
      <w:r>
        <w:rPr>
          <w:color w:val="231F20"/>
          <w:spacing w:val="-4"/>
          <w:sz w:val="20"/>
        </w:rPr>
        <w:t xml:space="preserve">Hinch’s </w:t>
      </w:r>
      <w:r>
        <w:rPr>
          <w:color w:val="231F20"/>
          <w:sz w:val="20"/>
        </w:rPr>
        <w:t xml:space="preserve">Justice Party suggested using the </w:t>
      </w:r>
      <w:r>
        <w:rPr>
          <w:color w:val="231F20"/>
          <w:spacing w:val="-4"/>
          <w:sz w:val="20"/>
        </w:rPr>
        <w:t xml:space="preserve">Tasmanian </w:t>
      </w:r>
      <w:r>
        <w:rPr>
          <w:color w:val="231F20"/>
          <w:sz w:val="20"/>
        </w:rPr>
        <w:t>‘Project Vigilance’</w:t>
      </w:r>
      <w:r>
        <w:rPr>
          <w:color w:val="231F20"/>
          <w:spacing w:val="-6"/>
          <w:sz w:val="20"/>
        </w:rPr>
        <w:t xml:space="preserve"> </w:t>
      </w:r>
      <w:r>
        <w:rPr>
          <w:color w:val="231F20"/>
          <w:sz w:val="20"/>
        </w:rPr>
        <w:t>model</w:t>
      </w:r>
      <w:r>
        <w:rPr>
          <w:color w:val="231F20"/>
          <w:spacing w:val="-6"/>
          <w:sz w:val="20"/>
        </w:rPr>
        <w:t xml:space="preserve"> </w:t>
      </w:r>
      <w:r>
        <w:rPr>
          <w:color w:val="231F20"/>
          <w:spacing w:val="-3"/>
          <w:sz w:val="20"/>
        </w:rPr>
        <w:t>for</w:t>
      </w:r>
      <w:r>
        <w:rPr>
          <w:color w:val="231F20"/>
          <w:spacing w:val="-5"/>
          <w:sz w:val="20"/>
        </w:rPr>
        <w:t xml:space="preserve"> </w:t>
      </w:r>
      <w:r>
        <w:rPr>
          <w:color w:val="231F20"/>
          <w:sz w:val="20"/>
        </w:rPr>
        <w:t>‘certain</w:t>
      </w:r>
      <w:r>
        <w:rPr>
          <w:color w:val="231F20"/>
          <w:spacing w:val="-6"/>
          <w:sz w:val="20"/>
        </w:rPr>
        <w:t xml:space="preserve"> </w:t>
      </w:r>
      <w:r>
        <w:rPr>
          <w:color w:val="231F20"/>
          <w:sz w:val="20"/>
        </w:rPr>
        <w:t>high-risk</w:t>
      </w:r>
      <w:r>
        <w:rPr>
          <w:color w:val="231F20"/>
          <w:spacing w:val="-6"/>
          <w:sz w:val="20"/>
        </w:rPr>
        <w:t xml:space="preserve"> </w:t>
      </w:r>
      <w:r>
        <w:rPr>
          <w:color w:val="231F20"/>
          <w:sz w:val="20"/>
        </w:rPr>
        <w:t>stalkers</w:t>
      </w:r>
      <w:r>
        <w:rPr>
          <w:color w:val="231F20"/>
          <w:spacing w:val="-5"/>
          <w:sz w:val="20"/>
        </w:rPr>
        <w:t xml:space="preserve"> </w:t>
      </w:r>
      <w:r>
        <w:rPr>
          <w:color w:val="231F20"/>
          <w:sz w:val="20"/>
        </w:rPr>
        <w:t>or</w:t>
      </w:r>
      <w:r>
        <w:rPr>
          <w:color w:val="231F20"/>
          <w:spacing w:val="-6"/>
          <w:sz w:val="20"/>
        </w:rPr>
        <w:t xml:space="preserve"> </w:t>
      </w:r>
      <w:r>
        <w:rPr>
          <w:color w:val="231F20"/>
          <w:sz w:val="20"/>
        </w:rPr>
        <w:t>suspected</w:t>
      </w:r>
      <w:r>
        <w:rPr>
          <w:color w:val="231F20"/>
          <w:spacing w:val="-6"/>
          <w:sz w:val="20"/>
        </w:rPr>
        <w:t xml:space="preserve"> </w:t>
      </w:r>
      <w:r>
        <w:rPr>
          <w:color w:val="231F20"/>
          <w:spacing w:val="-3"/>
          <w:sz w:val="20"/>
        </w:rPr>
        <w:t>stalkers’.</w:t>
      </w:r>
      <w:r>
        <w:rPr>
          <w:color w:val="231F20"/>
          <w:spacing w:val="-3"/>
          <w:position w:val="7"/>
          <w:sz w:val="11"/>
        </w:rPr>
        <w:t>176</w:t>
      </w:r>
    </w:p>
    <w:p w14:paraId="43AD1EE0" w14:textId="77777777" w:rsidR="00894070" w:rsidRDefault="009B7AFD">
      <w:pPr>
        <w:pStyle w:val="ListParagraph"/>
        <w:numPr>
          <w:ilvl w:val="1"/>
          <w:numId w:val="29"/>
        </w:numPr>
        <w:tabs>
          <w:tab w:val="left" w:pos="1801"/>
          <w:tab w:val="left" w:pos="1802"/>
        </w:tabs>
        <w:spacing w:before="92" w:line="259" w:lineRule="exact"/>
        <w:rPr>
          <w:sz w:val="20"/>
        </w:rPr>
      </w:pPr>
      <w:r>
        <w:rPr>
          <w:color w:val="231F20"/>
          <w:sz w:val="20"/>
        </w:rPr>
        <w:t>The</w:t>
      </w:r>
      <w:r>
        <w:rPr>
          <w:color w:val="231F20"/>
          <w:spacing w:val="-6"/>
          <w:sz w:val="20"/>
        </w:rPr>
        <w:t xml:space="preserve"> </w:t>
      </w:r>
      <w:r>
        <w:rPr>
          <w:color w:val="231F20"/>
          <w:sz w:val="20"/>
        </w:rPr>
        <w:t>Victims</w:t>
      </w:r>
      <w:r>
        <w:rPr>
          <w:color w:val="231F20"/>
          <w:spacing w:val="-6"/>
          <w:sz w:val="20"/>
        </w:rPr>
        <w:t xml:space="preserve"> </w:t>
      </w:r>
      <w:r>
        <w:rPr>
          <w:color w:val="231F20"/>
          <w:sz w:val="20"/>
        </w:rPr>
        <w:t>of</w:t>
      </w:r>
      <w:r>
        <w:rPr>
          <w:color w:val="231F20"/>
          <w:spacing w:val="-5"/>
          <w:sz w:val="20"/>
        </w:rPr>
        <w:t xml:space="preserve"> </w:t>
      </w:r>
      <w:r>
        <w:rPr>
          <w:color w:val="231F20"/>
          <w:sz w:val="20"/>
        </w:rPr>
        <w:t>Crime</w:t>
      </w:r>
      <w:r>
        <w:rPr>
          <w:color w:val="231F20"/>
          <w:spacing w:val="-6"/>
          <w:sz w:val="20"/>
        </w:rPr>
        <w:t xml:space="preserve"> </w:t>
      </w:r>
      <w:r>
        <w:rPr>
          <w:color w:val="231F20"/>
          <w:sz w:val="20"/>
        </w:rPr>
        <w:t>Commissioner</w:t>
      </w:r>
      <w:r>
        <w:rPr>
          <w:color w:val="231F20"/>
          <w:spacing w:val="-5"/>
          <w:sz w:val="20"/>
        </w:rPr>
        <w:t xml:space="preserve"> </w:t>
      </w:r>
      <w:r>
        <w:rPr>
          <w:color w:val="231F20"/>
          <w:sz w:val="20"/>
        </w:rPr>
        <w:t>suggested</w:t>
      </w:r>
      <w:r>
        <w:rPr>
          <w:color w:val="231F20"/>
          <w:spacing w:val="-6"/>
          <w:sz w:val="20"/>
        </w:rPr>
        <w:t xml:space="preserve"> </w:t>
      </w:r>
      <w:r>
        <w:rPr>
          <w:color w:val="231F20"/>
          <w:sz w:val="20"/>
        </w:rPr>
        <w:t>that</w:t>
      </w:r>
      <w:r>
        <w:rPr>
          <w:color w:val="231F20"/>
          <w:spacing w:val="-5"/>
          <w:sz w:val="20"/>
        </w:rPr>
        <w:t xml:space="preserve"> </w:t>
      </w:r>
      <w:r>
        <w:rPr>
          <w:color w:val="231F20"/>
          <w:sz w:val="20"/>
        </w:rPr>
        <w:t>electronic</w:t>
      </w:r>
      <w:r>
        <w:rPr>
          <w:color w:val="231F20"/>
          <w:spacing w:val="-6"/>
          <w:sz w:val="20"/>
        </w:rPr>
        <w:t xml:space="preserve"> </w:t>
      </w:r>
      <w:r>
        <w:rPr>
          <w:color w:val="231F20"/>
          <w:sz w:val="20"/>
        </w:rPr>
        <w:t>monitoring</w:t>
      </w:r>
      <w:r>
        <w:rPr>
          <w:color w:val="231F20"/>
          <w:spacing w:val="-5"/>
          <w:sz w:val="20"/>
        </w:rPr>
        <w:t xml:space="preserve"> </w:t>
      </w:r>
      <w:r>
        <w:rPr>
          <w:color w:val="231F20"/>
          <w:sz w:val="20"/>
        </w:rPr>
        <w:t>be</w:t>
      </w:r>
    </w:p>
    <w:p w14:paraId="63865DF3" w14:textId="77777777" w:rsidR="00894070" w:rsidRDefault="009B7AFD">
      <w:pPr>
        <w:pStyle w:val="BodyText"/>
        <w:spacing w:before="13" w:line="206" w:lineRule="auto"/>
        <w:ind w:left="1801" w:right="1219"/>
        <w:jc w:val="both"/>
        <w:rPr>
          <w:sz w:val="11"/>
        </w:rPr>
      </w:pPr>
      <w:r>
        <w:rPr>
          <w:color w:val="231F20"/>
          <w:spacing w:val="-3"/>
        </w:rPr>
        <w:t xml:space="preserve">‘explored </w:t>
      </w:r>
      <w:r>
        <w:rPr>
          <w:color w:val="231F20"/>
        </w:rPr>
        <w:t xml:space="preserve">as a </w:t>
      </w:r>
      <w:r>
        <w:rPr>
          <w:color w:val="231F20"/>
          <w:spacing w:val="-3"/>
        </w:rPr>
        <w:t xml:space="preserve">potential </w:t>
      </w:r>
      <w:r>
        <w:rPr>
          <w:color w:val="231F20"/>
        </w:rPr>
        <w:t xml:space="preserve">option to increase the safety of </w:t>
      </w:r>
      <w:r>
        <w:rPr>
          <w:color w:val="231F20"/>
          <w:spacing w:val="-3"/>
        </w:rPr>
        <w:t>victims’.</w:t>
      </w:r>
      <w:r>
        <w:rPr>
          <w:color w:val="231F20"/>
          <w:spacing w:val="-3"/>
          <w:position w:val="7"/>
          <w:sz w:val="11"/>
        </w:rPr>
        <w:t xml:space="preserve">177 </w:t>
      </w:r>
      <w:r>
        <w:rPr>
          <w:color w:val="231F20"/>
        </w:rPr>
        <w:t>The Victims of Crime Commissioner</w:t>
      </w:r>
      <w:r>
        <w:rPr>
          <w:color w:val="231F20"/>
          <w:spacing w:val="-13"/>
        </w:rPr>
        <w:t xml:space="preserve"> </w:t>
      </w:r>
      <w:r>
        <w:rPr>
          <w:color w:val="231F20"/>
        </w:rPr>
        <w:t>noted</w:t>
      </w:r>
      <w:r>
        <w:rPr>
          <w:color w:val="231F20"/>
          <w:spacing w:val="-13"/>
        </w:rPr>
        <w:t xml:space="preserve"> </w:t>
      </w:r>
      <w:r>
        <w:rPr>
          <w:color w:val="231F20"/>
        </w:rPr>
        <w:t>that</w:t>
      </w:r>
      <w:r>
        <w:rPr>
          <w:color w:val="231F20"/>
          <w:spacing w:val="-12"/>
        </w:rPr>
        <w:t xml:space="preserve"> </w:t>
      </w:r>
      <w:r>
        <w:rPr>
          <w:color w:val="231F20"/>
        </w:rPr>
        <w:t>‘benefits</w:t>
      </w:r>
      <w:r>
        <w:rPr>
          <w:color w:val="231F20"/>
          <w:spacing w:val="-13"/>
        </w:rPr>
        <w:t xml:space="preserve"> </w:t>
      </w:r>
      <w:r>
        <w:rPr>
          <w:color w:val="231F20"/>
        </w:rPr>
        <w:t>to</w:t>
      </w:r>
      <w:r>
        <w:rPr>
          <w:color w:val="231F20"/>
          <w:spacing w:val="-13"/>
        </w:rPr>
        <w:t xml:space="preserve"> </w:t>
      </w:r>
      <w:r>
        <w:rPr>
          <w:color w:val="231F20"/>
        </w:rPr>
        <w:t>victim</w:t>
      </w:r>
      <w:r>
        <w:rPr>
          <w:color w:val="231F20"/>
          <w:spacing w:val="-12"/>
        </w:rPr>
        <w:t xml:space="preserve"> </w:t>
      </w:r>
      <w:r>
        <w:rPr>
          <w:color w:val="231F20"/>
        </w:rPr>
        <w:t>survivors</w:t>
      </w:r>
      <w:r>
        <w:rPr>
          <w:color w:val="231F20"/>
          <w:spacing w:val="-13"/>
        </w:rPr>
        <w:t xml:space="preserve"> </w:t>
      </w:r>
      <w:r>
        <w:rPr>
          <w:color w:val="231F20"/>
        </w:rPr>
        <w:t>include</w:t>
      </w:r>
      <w:r>
        <w:rPr>
          <w:color w:val="231F20"/>
          <w:spacing w:val="-13"/>
        </w:rPr>
        <w:t xml:space="preserve"> </w:t>
      </w:r>
      <w:r>
        <w:rPr>
          <w:color w:val="231F20"/>
        </w:rPr>
        <w:t>peace</w:t>
      </w:r>
      <w:r>
        <w:rPr>
          <w:color w:val="231F20"/>
          <w:spacing w:val="-12"/>
        </w:rPr>
        <w:t xml:space="preserve"> </w:t>
      </w:r>
      <w:r>
        <w:rPr>
          <w:color w:val="231F20"/>
        </w:rPr>
        <w:t>of</w:t>
      </w:r>
      <w:r>
        <w:rPr>
          <w:color w:val="231F20"/>
          <w:spacing w:val="-13"/>
        </w:rPr>
        <w:t xml:space="preserve"> </w:t>
      </w:r>
      <w:r>
        <w:rPr>
          <w:color w:val="231F20"/>
        </w:rPr>
        <w:t>mind</w:t>
      </w:r>
      <w:r>
        <w:rPr>
          <w:color w:val="231F20"/>
          <w:spacing w:val="-13"/>
        </w:rPr>
        <w:t xml:space="preserve"> </w:t>
      </w:r>
      <w:r>
        <w:rPr>
          <w:color w:val="231F20"/>
        </w:rPr>
        <w:t>knowing</w:t>
      </w:r>
      <w:r>
        <w:rPr>
          <w:color w:val="231F20"/>
          <w:spacing w:val="-12"/>
        </w:rPr>
        <w:t xml:space="preserve"> </w:t>
      </w:r>
      <w:r>
        <w:rPr>
          <w:color w:val="231F20"/>
        </w:rPr>
        <w:t>a perpetrator</w:t>
      </w:r>
      <w:r>
        <w:rPr>
          <w:color w:val="231F20"/>
          <w:spacing w:val="-6"/>
        </w:rPr>
        <w:t xml:space="preserve"> </w:t>
      </w:r>
      <w:r>
        <w:rPr>
          <w:color w:val="231F20"/>
        </w:rPr>
        <w:t>is</w:t>
      </w:r>
      <w:r>
        <w:rPr>
          <w:color w:val="231F20"/>
          <w:spacing w:val="-5"/>
        </w:rPr>
        <w:t xml:space="preserve"> </w:t>
      </w:r>
      <w:r>
        <w:rPr>
          <w:color w:val="231F20"/>
        </w:rPr>
        <w:t>being</w:t>
      </w:r>
      <w:r>
        <w:rPr>
          <w:color w:val="231F20"/>
          <w:spacing w:val="-6"/>
        </w:rPr>
        <w:t xml:space="preserve"> </w:t>
      </w:r>
      <w:r>
        <w:rPr>
          <w:color w:val="231F20"/>
        </w:rPr>
        <w:t>monitored</w:t>
      </w:r>
      <w:r>
        <w:rPr>
          <w:color w:val="231F20"/>
          <w:spacing w:val="-5"/>
        </w:rPr>
        <w:t xml:space="preserve"> </w:t>
      </w:r>
      <w:r>
        <w:rPr>
          <w:color w:val="231F20"/>
        </w:rPr>
        <w:t>and</w:t>
      </w:r>
      <w:r>
        <w:rPr>
          <w:color w:val="231F20"/>
          <w:spacing w:val="-5"/>
        </w:rPr>
        <w:t xml:space="preserve"> </w:t>
      </w:r>
      <w:r>
        <w:rPr>
          <w:color w:val="231F20"/>
        </w:rPr>
        <w:t>relief</w:t>
      </w:r>
      <w:r>
        <w:rPr>
          <w:color w:val="231F20"/>
          <w:spacing w:val="-6"/>
        </w:rPr>
        <w:t xml:space="preserve"> </w:t>
      </w:r>
      <w:r>
        <w:rPr>
          <w:color w:val="231F20"/>
          <w:spacing w:val="-3"/>
        </w:rPr>
        <w:t>from</w:t>
      </w:r>
      <w:r>
        <w:rPr>
          <w:color w:val="231F20"/>
          <w:spacing w:val="-5"/>
        </w:rPr>
        <w:t xml:space="preserve"> </w:t>
      </w:r>
      <w:r>
        <w:rPr>
          <w:color w:val="231F20"/>
        </w:rPr>
        <w:t>cessation</w:t>
      </w:r>
      <w:r>
        <w:rPr>
          <w:color w:val="231F20"/>
          <w:spacing w:val="-5"/>
        </w:rPr>
        <w:t xml:space="preserve"> </w:t>
      </w:r>
      <w:r>
        <w:rPr>
          <w:color w:val="231F20"/>
        </w:rPr>
        <w:t>of</w:t>
      </w:r>
      <w:r>
        <w:rPr>
          <w:color w:val="231F20"/>
          <w:spacing w:val="-6"/>
        </w:rPr>
        <w:t xml:space="preserve"> </w:t>
      </w:r>
      <w:r>
        <w:rPr>
          <w:color w:val="231F20"/>
          <w:spacing w:val="-3"/>
        </w:rPr>
        <w:t>behaviours’.</w:t>
      </w:r>
      <w:r>
        <w:rPr>
          <w:color w:val="231F20"/>
          <w:spacing w:val="-3"/>
          <w:position w:val="7"/>
          <w:sz w:val="11"/>
        </w:rPr>
        <w:t>178</w:t>
      </w:r>
    </w:p>
    <w:p w14:paraId="34CF26AB" w14:textId="77777777" w:rsidR="00894070" w:rsidRDefault="009B7AFD">
      <w:pPr>
        <w:pStyle w:val="ListParagraph"/>
        <w:numPr>
          <w:ilvl w:val="1"/>
          <w:numId w:val="29"/>
        </w:numPr>
        <w:tabs>
          <w:tab w:val="left" w:pos="1801"/>
          <w:tab w:val="left" w:pos="1802"/>
        </w:tabs>
        <w:spacing w:before="124" w:line="206" w:lineRule="auto"/>
        <w:ind w:right="1569"/>
        <w:rPr>
          <w:sz w:val="11"/>
        </w:rPr>
      </w:pPr>
      <w:r>
        <w:rPr>
          <w:color w:val="231F20"/>
          <w:sz w:val="20"/>
        </w:rPr>
        <w:t xml:space="preserve">In relation to electronic monitoring, victim survivors who expressed support </w:t>
      </w:r>
      <w:r>
        <w:rPr>
          <w:color w:val="231F20"/>
          <w:spacing w:val="-3"/>
          <w:sz w:val="20"/>
        </w:rPr>
        <w:t xml:space="preserve">for </w:t>
      </w:r>
      <w:r>
        <w:rPr>
          <w:color w:val="231F20"/>
          <w:sz w:val="20"/>
        </w:rPr>
        <w:t>it thought</w:t>
      </w:r>
      <w:r>
        <w:rPr>
          <w:color w:val="231F20"/>
          <w:spacing w:val="-10"/>
          <w:sz w:val="20"/>
        </w:rPr>
        <w:t xml:space="preserve"> </w:t>
      </w:r>
      <w:r>
        <w:rPr>
          <w:color w:val="231F20"/>
          <w:sz w:val="20"/>
        </w:rPr>
        <w:t>it</w:t>
      </w:r>
      <w:r>
        <w:rPr>
          <w:color w:val="231F20"/>
          <w:spacing w:val="-9"/>
          <w:sz w:val="20"/>
        </w:rPr>
        <w:t xml:space="preserve"> </w:t>
      </w:r>
      <w:r>
        <w:rPr>
          <w:color w:val="231F20"/>
          <w:spacing w:val="-3"/>
          <w:sz w:val="20"/>
        </w:rPr>
        <w:t>would</w:t>
      </w:r>
      <w:r>
        <w:rPr>
          <w:color w:val="231F20"/>
          <w:spacing w:val="-10"/>
          <w:sz w:val="20"/>
        </w:rPr>
        <w:t xml:space="preserve"> </w:t>
      </w:r>
      <w:r>
        <w:rPr>
          <w:color w:val="231F20"/>
          <w:sz w:val="20"/>
        </w:rPr>
        <w:t>ensure</w:t>
      </w:r>
      <w:r>
        <w:rPr>
          <w:color w:val="231F20"/>
          <w:spacing w:val="-9"/>
          <w:sz w:val="20"/>
        </w:rPr>
        <w:t xml:space="preserve"> </w:t>
      </w:r>
      <w:r>
        <w:rPr>
          <w:color w:val="231F20"/>
          <w:sz w:val="20"/>
        </w:rPr>
        <w:t>victims</w:t>
      </w:r>
      <w:r>
        <w:rPr>
          <w:color w:val="231F20"/>
          <w:spacing w:val="-9"/>
          <w:sz w:val="20"/>
        </w:rPr>
        <w:t xml:space="preserve"> </w:t>
      </w:r>
      <w:r>
        <w:rPr>
          <w:color w:val="231F20"/>
          <w:spacing w:val="-3"/>
          <w:sz w:val="20"/>
        </w:rPr>
        <w:t>felt</w:t>
      </w:r>
      <w:r>
        <w:rPr>
          <w:color w:val="231F20"/>
          <w:spacing w:val="-10"/>
          <w:sz w:val="20"/>
        </w:rPr>
        <w:t xml:space="preserve"> </w:t>
      </w:r>
      <w:r>
        <w:rPr>
          <w:color w:val="231F20"/>
          <w:sz w:val="20"/>
        </w:rPr>
        <w:t>or</w:t>
      </w:r>
      <w:r>
        <w:rPr>
          <w:color w:val="231F20"/>
          <w:spacing w:val="-9"/>
          <w:sz w:val="20"/>
        </w:rPr>
        <w:t xml:space="preserve"> </w:t>
      </w:r>
      <w:r>
        <w:rPr>
          <w:color w:val="231F20"/>
          <w:spacing w:val="-4"/>
          <w:sz w:val="20"/>
        </w:rPr>
        <w:t>were</w:t>
      </w:r>
      <w:r>
        <w:rPr>
          <w:color w:val="231F20"/>
          <w:spacing w:val="-10"/>
          <w:sz w:val="20"/>
        </w:rPr>
        <w:t xml:space="preserve"> </w:t>
      </w:r>
      <w:r>
        <w:rPr>
          <w:color w:val="231F20"/>
          <w:sz w:val="20"/>
        </w:rPr>
        <w:t>protected.</w:t>
      </w:r>
      <w:r>
        <w:rPr>
          <w:color w:val="231F20"/>
          <w:position w:val="7"/>
          <w:sz w:val="11"/>
        </w:rPr>
        <w:t>179</w:t>
      </w:r>
      <w:r>
        <w:rPr>
          <w:color w:val="231F20"/>
          <w:spacing w:val="15"/>
          <w:position w:val="7"/>
          <w:sz w:val="11"/>
        </w:rPr>
        <w:t xml:space="preserve"> </w:t>
      </w:r>
      <w:r>
        <w:rPr>
          <w:color w:val="231F20"/>
          <w:sz w:val="20"/>
        </w:rPr>
        <w:t>They</w:t>
      </w:r>
      <w:r>
        <w:rPr>
          <w:color w:val="231F20"/>
          <w:spacing w:val="-9"/>
          <w:sz w:val="20"/>
        </w:rPr>
        <w:t xml:space="preserve"> </w:t>
      </w:r>
      <w:r>
        <w:rPr>
          <w:color w:val="231F20"/>
          <w:sz w:val="20"/>
        </w:rPr>
        <w:t>also</w:t>
      </w:r>
      <w:r>
        <w:rPr>
          <w:color w:val="231F20"/>
          <w:spacing w:val="-10"/>
          <w:sz w:val="20"/>
        </w:rPr>
        <w:t xml:space="preserve"> </w:t>
      </w:r>
      <w:r>
        <w:rPr>
          <w:color w:val="231F20"/>
          <w:sz w:val="20"/>
        </w:rPr>
        <w:t>thought</w:t>
      </w:r>
      <w:r>
        <w:rPr>
          <w:color w:val="231F20"/>
          <w:spacing w:val="-9"/>
          <w:sz w:val="20"/>
        </w:rPr>
        <w:t xml:space="preserve"> </w:t>
      </w:r>
      <w:r>
        <w:rPr>
          <w:color w:val="231F20"/>
          <w:sz w:val="20"/>
        </w:rPr>
        <w:t>it</w:t>
      </w:r>
      <w:r>
        <w:rPr>
          <w:color w:val="231F20"/>
          <w:spacing w:val="-10"/>
          <w:sz w:val="20"/>
        </w:rPr>
        <w:t xml:space="preserve"> </w:t>
      </w:r>
      <w:r>
        <w:rPr>
          <w:color w:val="231F20"/>
          <w:sz w:val="20"/>
        </w:rPr>
        <w:t xml:space="preserve">might </w:t>
      </w:r>
      <w:r>
        <w:rPr>
          <w:color w:val="231F20"/>
          <w:spacing w:val="-3"/>
          <w:sz w:val="20"/>
        </w:rPr>
        <w:t xml:space="preserve">deter </w:t>
      </w:r>
      <w:r>
        <w:rPr>
          <w:color w:val="231F20"/>
          <w:sz w:val="20"/>
        </w:rPr>
        <w:t xml:space="preserve">people who stalked </w:t>
      </w:r>
      <w:r>
        <w:rPr>
          <w:color w:val="231F20"/>
          <w:spacing w:val="-3"/>
          <w:sz w:val="20"/>
        </w:rPr>
        <w:t xml:space="preserve">from </w:t>
      </w:r>
      <w:r>
        <w:rPr>
          <w:color w:val="231F20"/>
          <w:sz w:val="20"/>
        </w:rPr>
        <w:t>becoming</w:t>
      </w:r>
      <w:r>
        <w:rPr>
          <w:color w:val="231F20"/>
          <w:spacing w:val="-21"/>
          <w:sz w:val="20"/>
        </w:rPr>
        <w:t xml:space="preserve"> </w:t>
      </w:r>
      <w:r>
        <w:rPr>
          <w:color w:val="231F20"/>
          <w:sz w:val="20"/>
        </w:rPr>
        <w:t>violent.</w:t>
      </w:r>
      <w:r>
        <w:rPr>
          <w:color w:val="231F20"/>
          <w:position w:val="7"/>
          <w:sz w:val="11"/>
        </w:rPr>
        <w:t>180</w:t>
      </w:r>
    </w:p>
    <w:p w14:paraId="0A0B3D79" w14:textId="77777777" w:rsidR="00894070" w:rsidRDefault="009B7AFD">
      <w:pPr>
        <w:pStyle w:val="ListParagraph"/>
        <w:numPr>
          <w:ilvl w:val="1"/>
          <w:numId w:val="29"/>
        </w:numPr>
        <w:tabs>
          <w:tab w:val="left" w:pos="1801"/>
          <w:tab w:val="left" w:pos="1802"/>
        </w:tabs>
        <w:spacing w:before="124" w:line="206" w:lineRule="auto"/>
        <w:ind w:right="1329"/>
        <w:rPr>
          <w:sz w:val="11"/>
        </w:rPr>
      </w:pPr>
      <w:r>
        <w:rPr>
          <w:color w:val="231F20"/>
          <w:sz w:val="20"/>
        </w:rPr>
        <w:t xml:space="preserve">Concerned members of the community </w:t>
      </w:r>
      <w:r>
        <w:rPr>
          <w:color w:val="231F20"/>
          <w:spacing w:val="-3"/>
          <w:sz w:val="20"/>
        </w:rPr>
        <w:t xml:space="preserve">felt </w:t>
      </w:r>
      <w:r>
        <w:rPr>
          <w:color w:val="231F20"/>
          <w:sz w:val="20"/>
        </w:rPr>
        <w:t xml:space="preserve">that electronic monitoring could be a </w:t>
      </w:r>
      <w:r>
        <w:rPr>
          <w:color w:val="231F20"/>
          <w:spacing w:val="-3"/>
          <w:sz w:val="20"/>
        </w:rPr>
        <w:t xml:space="preserve">form </w:t>
      </w:r>
      <w:r>
        <w:rPr>
          <w:color w:val="231F20"/>
          <w:sz w:val="20"/>
        </w:rPr>
        <w:t xml:space="preserve">of </w:t>
      </w:r>
      <w:r>
        <w:rPr>
          <w:color w:val="231F20"/>
          <w:spacing w:val="-3"/>
          <w:sz w:val="20"/>
        </w:rPr>
        <w:t xml:space="preserve">‘early </w:t>
      </w:r>
      <w:r>
        <w:rPr>
          <w:color w:val="231F20"/>
          <w:sz w:val="20"/>
        </w:rPr>
        <w:t>intervention’</w:t>
      </w:r>
      <w:r>
        <w:rPr>
          <w:color w:val="231F20"/>
          <w:position w:val="7"/>
          <w:sz w:val="11"/>
        </w:rPr>
        <w:t xml:space="preserve">181 </w:t>
      </w:r>
      <w:r>
        <w:rPr>
          <w:color w:val="231F20"/>
          <w:sz w:val="20"/>
        </w:rPr>
        <w:t>or serve as a surveillance system,</w:t>
      </w:r>
      <w:r>
        <w:rPr>
          <w:color w:val="231F20"/>
          <w:position w:val="7"/>
          <w:sz w:val="11"/>
        </w:rPr>
        <w:t xml:space="preserve">182 </w:t>
      </w:r>
      <w:r>
        <w:rPr>
          <w:color w:val="231F20"/>
          <w:sz w:val="20"/>
        </w:rPr>
        <w:t xml:space="preserve">especially </w:t>
      </w:r>
      <w:r>
        <w:rPr>
          <w:color w:val="231F20"/>
          <w:spacing w:val="-3"/>
          <w:sz w:val="20"/>
        </w:rPr>
        <w:t xml:space="preserve">for </w:t>
      </w:r>
      <w:r>
        <w:rPr>
          <w:color w:val="231F20"/>
          <w:sz w:val="20"/>
        </w:rPr>
        <w:t xml:space="preserve">‘high- risk </w:t>
      </w:r>
      <w:r>
        <w:rPr>
          <w:color w:val="231F20"/>
          <w:spacing w:val="-3"/>
          <w:sz w:val="20"/>
        </w:rPr>
        <w:t>offenders’,</w:t>
      </w:r>
      <w:r>
        <w:rPr>
          <w:color w:val="231F20"/>
          <w:spacing w:val="-3"/>
          <w:position w:val="7"/>
          <w:sz w:val="11"/>
        </w:rPr>
        <w:t xml:space="preserve">183 </w:t>
      </w:r>
      <w:r>
        <w:rPr>
          <w:color w:val="231F20"/>
          <w:sz w:val="20"/>
        </w:rPr>
        <w:t xml:space="preserve">and </w:t>
      </w:r>
      <w:r>
        <w:rPr>
          <w:color w:val="231F20"/>
          <w:spacing w:val="-3"/>
          <w:sz w:val="20"/>
        </w:rPr>
        <w:t>‘repeat offenders’.</w:t>
      </w:r>
      <w:r>
        <w:rPr>
          <w:color w:val="231F20"/>
          <w:spacing w:val="-3"/>
          <w:position w:val="7"/>
          <w:sz w:val="11"/>
        </w:rPr>
        <w:t xml:space="preserve">184 </w:t>
      </w:r>
      <w:r>
        <w:rPr>
          <w:color w:val="231F20"/>
          <w:sz w:val="20"/>
        </w:rPr>
        <w:t xml:space="preserve">One </w:t>
      </w:r>
      <w:r>
        <w:rPr>
          <w:color w:val="231F20"/>
          <w:spacing w:val="-3"/>
          <w:sz w:val="20"/>
        </w:rPr>
        <w:t xml:space="preserve">went </w:t>
      </w:r>
      <w:r>
        <w:rPr>
          <w:color w:val="231F20"/>
          <w:sz w:val="20"/>
        </w:rPr>
        <w:t xml:space="preserve">so far as to </w:t>
      </w:r>
      <w:r>
        <w:rPr>
          <w:color w:val="231F20"/>
          <w:spacing w:val="-5"/>
          <w:sz w:val="20"/>
        </w:rPr>
        <w:t xml:space="preserve">say, </w:t>
      </w:r>
      <w:r>
        <w:rPr>
          <w:color w:val="231F20"/>
          <w:sz w:val="20"/>
        </w:rPr>
        <w:t xml:space="preserve">‘this is the </w:t>
      </w:r>
      <w:r>
        <w:rPr>
          <w:color w:val="231F20"/>
          <w:spacing w:val="-3"/>
          <w:sz w:val="20"/>
        </w:rPr>
        <w:t xml:space="preserve">only way </w:t>
      </w:r>
      <w:r>
        <w:rPr>
          <w:color w:val="231F20"/>
          <w:sz w:val="20"/>
        </w:rPr>
        <w:t xml:space="preserve">I can see </w:t>
      </w:r>
      <w:r>
        <w:rPr>
          <w:color w:val="231F20"/>
          <w:spacing w:val="-3"/>
          <w:sz w:val="20"/>
        </w:rPr>
        <w:t xml:space="preserve">how </w:t>
      </w:r>
      <w:r>
        <w:rPr>
          <w:color w:val="231F20"/>
          <w:sz w:val="20"/>
        </w:rPr>
        <w:t xml:space="preserve">to </w:t>
      </w:r>
      <w:r>
        <w:rPr>
          <w:color w:val="231F20"/>
          <w:spacing w:val="-4"/>
          <w:sz w:val="20"/>
        </w:rPr>
        <w:t xml:space="preserve">prevent </w:t>
      </w:r>
      <w:r>
        <w:rPr>
          <w:color w:val="231F20"/>
          <w:sz w:val="20"/>
        </w:rPr>
        <w:t xml:space="preserve">and </w:t>
      </w:r>
      <w:r>
        <w:rPr>
          <w:color w:val="231F20"/>
          <w:spacing w:val="-3"/>
          <w:sz w:val="20"/>
        </w:rPr>
        <w:t xml:space="preserve">protect </w:t>
      </w:r>
      <w:r>
        <w:rPr>
          <w:color w:val="231F20"/>
          <w:sz w:val="20"/>
        </w:rPr>
        <w:t xml:space="preserve">these </w:t>
      </w:r>
      <w:r>
        <w:rPr>
          <w:color w:val="231F20"/>
          <w:spacing w:val="-3"/>
          <w:sz w:val="20"/>
        </w:rPr>
        <w:t>women’.</w:t>
      </w:r>
      <w:r>
        <w:rPr>
          <w:color w:val="231F20"/>
          <w:spacing w:val="-3"/>
          <w:position w:val="7"/>
          <w:sz w:val="11"/>
        </w:rPr>
        <w:t xml:space="preserve">185 </w:t>
      </w:r>
      <w:r>
        <w:rPr>
          <w:color w:val="231F20"/>
          <w:sz w:val="20"/>
        </w:rPr>
        <w:t xml:space="preserve">Another </w:t>
      </w:r>
      <w:r>
        <w:rPr>
          <w:color w:val="231F20"/>
          <w:spacing w:val="-3"/>
          <w:sz w:val="20"/>
        </w:rPr>
        <w:t xml:space="preserve">felt </w:t>
      </w:r>
      <w:r>
        <w:rPr>
          <w:color w:val="231F20"/>
          <w:sz w:val="20"/>
        </w:rPr>
        <w:t>that</w:t>
      </w:r>
      <w:r>
        <w:rPr>
          <w:color w:val="231F20"/>
          <w:spacing w:val="-32"/>
          <w:sz w:val="20"/>
        </w:rPr>
        <w:t xml:space="preserve"> </w:t>
      </w:r>
      <w:r>
        <w:rPr>
          <w:color w:val="231F20"/>
          <w:sz w:val="20"/>
        </w:rPr>
        <w:t xml:space="preserve">electronic monitoring ‘has the </w:t>
      </w:r>
      <w:r>
        <w:rPr>
          <w:color w:val="231F20"/>
          <w:spacing w:val="-3"/>
          <w:sz w:val="20"/>
        </w:rPr>
        <w:t xml:space="preserve">potential </w:t>
      </w:r>
      <w:r>
        <w:rPr>
          <w:color w:val="231F20"/>
          <w:sz w:val="20"/>
        </w:rPr>
        <w:t xml:space="preserve">to </w:t>
      </w:r>
      <w:r>
        <w:rPr>
          <w:color w:val="231F20"/>
          <w:spacing w:val="-3"/>
          <w:sz w:val="20"/>
        </w:rPr>
        <w:t>save</w:t>
      </w:r>
      <w:r>
        <w:rPr>
          <w:color w:val="231F20"/>
          <w:spacing w:val="-22"/>
          <w:sz w:val="20"/>
        </w:rPr>
        <w:t xml:space="preserve"> </w:t>
      </w:r>
      <w:r>
        <w:rPr>
          <w:color w:val="231F20"/>
          <w:spacing w:val="-3"/>
          <w:sz w:val="20"/>
        </w:rPr>
        <w:t>lives’.</w:t>
      </w:r>
      <w:r>
        <w:rPr>
          <w:color w:val="231F20"/>
          <w:spacing w:val="-3"/>
          <w:position w:val="7"/>
          <w:sz w:val="11"/>
        </w:rPr>
        <w:t>186</w:t>
      </w:r>
    </w:p>
    <w:p w14:paraId="6C420C24" w14:textId="77777777" w:rsidR="00894070" w:rsidRDefault="00894070">
      <w:pPr>
        <w:pStyle w:val="BodyText"/>
        <w:spacing w:before="13"/>
        <w:rPr>
          <w:sz w:val="15"/>
        </w:rPr>
      </w:pPr>
    </w:p>
    <w:p w14:paraId="3CD8C254" w14:textId="77777777" w:rsidR="00894070" w:rsidRDefault="009B7AFD">
      <w:pPr>
        <w:pStyle w:val="Heading8"/>
        <w:ind w:left="1007"/>
      </w:pPr>
      <w:r>
        <w:rPr>
          <w:color w:val="231F20"/>
        </w:rPr>
        <w:t>Opposition to electronic monitoring</w:t>
      </w:r>
    </w:p>
    <w:p w14:paraId="62A3F717" w14:textId="77777777" w:rsidR="00894070" w:rsidRDefault="009B7AFD">
      <w:pPr>
        <w:pStyle w:val="ListParagraph"/>
        <w:numPr>
          <w:ilvl w:val="1"/>
          <w:numId w:val="29"/>
        </w:numPr>
        <w:tabs>
          <w:tab w:val="left" w:pos="1801"/>
          <w:tab w:val="left" w:pos="1802"/>
        </w:tabs>
        <w:spacing w:before="127" w:line="206" w:lineRule="auto"/>
        <w:ind w:right="1403"/>
        <w:rPr>
          <w:sz w:val="20"/>
        </w:rPr>
      </w:pPr>
      <w:r>
        <w:rPr>
          <w:color w:val="231F20"/>
          <w:spacing w:val="-5"/>
          <w:sz w:val="20"/>
        </w:rPr>
        <w:t>However,</w:t>
      </w:r>
      <w:r>
        <w:rPr>
          <w:color w:val="231F20"/>
          <w:spacing w:val="-13"/>
          <w:sz w:val="20"/>
        </w:rPr>
        <w:t xml:space="preserve"> </w:t>
      </w:r>
      <w:r>
        <w:rPr>
          <w:color w:val="231F20"/>
          <w:sz w:val="20"/>
        </w:rPr>
        <w:t>many</w:t>
      </w:r>
      <w:r>
        <w:rPr>
          <w:color w:val="231F20"/>
          <w:spacing w:val="-13"/>
          <w:sz w:val="20"/>
        </w:rPr>
        <w:t xml:space="preserve"> </w:t>
      </w:r>
      <w:r>
        <w:rPr>
          <w:color w:val="231F20"/>
          <w:sz w:val="20"/>
        </w:rPr>
        <w:t>organisations</w:t>
      </w:r>
      <w:r>
        <w:rPr>
          <w:color w:val="231F20"/>
          <w:spacing w:val="-12"/>
          <w:sz w:val="20"/>
        </w:rPr>
        <w:t xml:space="preserve"> </w:t>
      </w:r>
      <w:r>
        <w:rPr>
          <w:color w:val="231F20"/>
          <w:sz w:val="20"/>
        </w:rPr>
        <w:t>opposed</w:t>
      </w:r>
      <w:r>
        <w:rPr>
          <w:color w:val="231F20"/>
          <w:spacing w:val="-13"/>
          <w:sz w:val="20"/>
        </w:rPr>
        <w:t xml:space="preserve"> </w:t>
      </w:r>
      <w:r>
        <w:rPr>
          <w:color w:val="231F20"/>
          <w:sz w:val="20"/>
        </w:rPr>
        <w:t>electronic</w:t>
      </w:r>
      <w:r>
        <w:rPr>
          <w:color w:val="231F20"/>
          <w:spacing w:val="-13"/>
          <w:sz w:val="20"/>
        </w:rPr>
        <w:t xml:space="preserve"> </w:t>
      </w:r>
      <w:r>
        <w:rPr>
          <w:color w:val="231F20"/>
          <w:sz w:val="20"/>
        </w:rPr>
        <w:t>monitoring,</w:t>
      </w:r>
      <w:r>
        <w:rPr>
          <w:color w:val="231F20"/>
          <w:spacing w:val="-12"/>
          <w:sz w:val="20"/>
        </w:rPr>
        <w:t xml:space="preserve"> </w:t>
      </w:r>
      <w:r>
        <w:rPr>
          <w:color w:val="231F20"/>
          <w:sz w:val="20"/>
        </w:rPr>
        <w:t>reporting</w:t>
      </w:r>
      <w:r>
        <w:rPr>
          <w:color w:val="231F20"/>
          <w:spacing w:val="-13"/>
          <w:sz w:val="20"/>
        </w:rPr>
        <w:t xml:space="preserve"> </w:t>
      </w:r>
      <w:r>
        <w:rPr>
          <w:color w:val="231F20"/>
          <w:sz w:val="20"/>
        </w:rPr>
        <w:t>the</w:t>
      </w:r>
      <w:r>
        <w:rPr>
          <w:color w:val="231F20"/>
          <w:spacing w:val="-13"/>
          <w:sz w:val="20"/>
        </w:rPr>
        <w:t xml:space="preserve"> </w:t>
      </w:r>
      <w:r>
        <w:rPr>
          <w:color w:val="231F20"/>
          <w:spacing w:val="-3"/>
          <w:sz w:val="20"/>
        </w:rPr>
        <w:t xml:space="preserve">following </w:t>
      </w:r>
      <w:r>
        <w:rPr>
          <w:color w:val="231F20"/>
          <w:sz w:val="20"/>
        </w:rPr>
        <w:t>concerns:</w:t>
      </w:r>
    </w:p>
    <w:p w14:paraId="474B20BF" w14:textId="77777777" w:rsidR="00894070" w:rsidRDefault="009B7AFD">
      <w:pPr>
        <w:pStyle w:val="ListParagraph"/>
        <w:numPr>
          <w:ilvl w:val="2"/>
          <w:numId w:val="29"/>
        </w:numPr>
        <w:tabs>
          <w:tab w:val="left" w:pos="2141"/>
          <w:tab w:val="left" w:pos="2142"/>
        </w:tabs>
        <w:spacing w:before="90" w:line="259" w:lineRule="exact"/>
        <w:ind w:hanging="340"/>
        <w:rPr>
          <w:sz w:val="20"/>
        </w:rPr>
      </w:pPr>
      <w:r>
        <w:rPr>
          <w:color w:val="231F20"/>
          <w:spacing w:val="-3"/>
          <w:sz w:val="20"/>
        </w:rPr>
        <w:t>Analysis</w:t>
      </w:r>
      <w:r>
        <w:rPr>
          <w:color w:val="231F20"/>
          <w:spacing w:val="-6"/>
          <w:sz w:val="20"/>
        </w:rPr>
        <w:t xml:space="preserve"> </w:t>
      </w:r>
      <w:r>
        <w:rPr>
          <w:color w:val="231F20"/>
          <w:sz w:val="20"/>
        </w:rPr>
        <w:t>of</w:t>
      </w:r>
      <w:r>
        <w:rPr>
          <w:color w:val="231F20"/>
          <w:spacing w:val="-5"/>
          <w:sz w:val="20"/>
        </w:rPr>
        <w:t xml:space="preserve"> </w:t>
      </w:r>
      <w:r>
        <w:rPr>
          <w:color w:val="231F20"/>
          <w:sz w:val="20"/>
        </w:rPr>
        <w:t>electronic</w:t>
      </w:r>
      <w:r>
        <w:rPr>
          <w:color w:val="231F20"/>
          <w:spacing w:val="-6"/>
          <w:sz w:val="20"/>
        </w:rPr>
        <w:t xml:space="preserve"> </w:t>
      </w:r>
      <w:r>
        <w:rPr>
          <w:color w:val="231F20"/>
          <w:sz w:val="20"/>
        </w:rPr>
        <w:t>monitoring</w:t>
      </w:r>
      <w:r>
        <w:rPr>
          <w:color w:val="231F20"/>
          <w:spacing w:val="-5"/>
          <w:sz w:val="20"/>
        </w:rPr>
        <w:t xml:space="preserve"> </w:t>
      </w:r>
      <w:r>
        <w:rPr>
          <w:color w:val="231F20"/>
          <w:sz w:val="20"/>
        </w:rPr>
        <w:t>data</w:t>
      </w:r>
      <w:r>
        <w:rPr>
          <w:color w:val="231F20"/>
          <w:spacing w:val="-6"/>
          <w:sz w:val="20"/>
        </w:rPr>
        <w:t xml:space="preserve"> </w:t>
      </w:r>
      <w:r>
        <w:rPr>
          <w:color w:val="231F20"/>
          <w:sz w:val="20"/>
        </w:rPr>
        <w:t>is</w:t>
      </w:r>
      <w:r>
        <w:rPr>
          <w:color w:val="231F20"/>
          <w:spacing w:val="-5"/>
          <w:sz w:val="20"/>
        </w:rPr>
        <w:t xml:space="preserve"> </w:t>
      </w:r>
      <w:r>
        <w:rPr>
          <w:color w:val="231F20"/>
          <w:sz w:val="20"/>
        </w:rPr>
        <w:t>not</w:t>
      </w:r>
      <w:r>
        <w:rPr>
          <w:color w:val="231F20"/>
          <w:spacing w:val="-5"/>
          <w:sz w:val="20"/>
        </w:rPr>
        <w:t xml:space="preserve"> </w:t>
      </w:r>
      <w:r>
        <w:rPr>
          <w:color w:val="231F20"/>
          <w:spacing w:val="-4"/>
          <w:sz w:val="20"/>
        </w:rPr>
        <w:t>always</w:t>
      </w:r>
      <w:r>
        <w:rPr>
          <w:color w:val="231F20"/>
          <w:spacing w:val="-6"/>
          <w:sz w:val="20"/>
        </w:rPr>
        <w:t xml:space="preserve"> </w:t>
      </w:r>
      <w:r>
        <w:rPr>
          <w:color w:val="231F20"/>
          <w:sz w:val="20"/>
        </w:rPr>
        <w:t>immediate,</w:t>
      </w:r>
      <w:r>
        <w:rPr>
          <w:color w:val="231F20"/>
          <w:spacing w:val="-5"/>
          <w:sz w:val="20"/>
        </w:rPr>
        <w:t xml:space="preserve"> </w:t>
      </w:r>
      <w:r>
        <w:rPr>
          <w:color w:val="231F20"/>
          <w:sz w:val="20"/>
        </w:rPr>
        <w:t>which</w:t>
      </w:r>
      <w:r>
        <w:rPr>
          <w:color w:val="231F20"/>
          <w:spacing w:val="-6"/>
          <w:sz w:val="20"/>
        </w:rPr>
        <w:t xml:space="preserve"> </w:t>
      </w:r>
      <w:r>
        <w:rPr>
          <w:color w:val="231F20"/>
          <w:sz w:val="20"/>
        </w:rPr>
        <w:t>limits</w:t>
      </w:r>
      <w:r>
        <w:rPr>
          <w:color w:val="231F20"/>
          <w:spacing w:val="-5"/>
          <w:sz w:val="20"/>
        </w:rPr>
        <w:t xml:space="preserve"> </w:t>
      </w:r>
      <w:r>
        <w:rPr>
          <w:color w:val="231F20"/>
          <w:sz w:val="20"/>
        </w:rPr>
        <w:t>the</w:t>
      </w:r>
    </w:p>
    <w:p w14:paraId="28340EBD" w14:textId="77777777" w:rsidR="00894070" w:rsidRDefault="009B7AFD">
      <w:pPr>
        <w:pStyle w:val="BodyText"/>
        <w:spacing w:line="259" w:lineRule="exact"/>
        <w:ind w:left="2141"/>
        <w:rPr>
          <w:sz w:val="11"/>
        </w:rPr>
      </w:pPr>
      <w:r>
        <w:rPr>
          <w:color w:val="231F20"/>
        </w:rPr>
        <w:t>ability of the technology to keep victim survivors safe.</w:t>
      </w:r>
      <w:r>
        <w:rPr>
          <w:color w:val="231F20"/>
          <w:position w:val="7"/>
          <w:sz w:val="11"/>
        </w:rPr>
        <w:t>187</w:t>
      </w:r>
    </w:p>
    <w:p w14:paraId="702629D8" w14:textId="77777777" w:rsidR="00894070" w:rsidRDefault="009B7AFD">
      <w:pPr>
        <w:pStyle w:val="ListParagraph"/>
        <w:numPr>
          <w:ilvl w:val="2"/>
          <w:numId w:val="29"/>
        </w:numPr>
        <w:tabs>
          <w:tab w:val="left" w:pos="2141"/>
          <w:tab w:val="left" w:pos="2142"/>
        </w:tabs>
        <w:spacing w:before="80" w:line="206" w:lineRule="auto"/>
        <w:ind w:right="1305" w:hanging="340"/>
        <w:rPr>
          <w:sz w:val="11"/>
        </w:rPr>
      </w:pPr>
      <w:r>
        <w:rPr>
          <w:color w:val="231F20"/>
          <w:sz w:val="20"/>
        </w:rPr>
        <w:t>There</w:t>
      </w:r>
      <w:r>
        <w:rPr>
          <w:color w:val="231F20"/>
          <w:spacing w:val="-10"/>
          <w:sz w:val="20"/>
        </w:rPr>
        <w:t xml:space="preserve"> </w:t>
      </w:r>
      <w:r>
        <w:rPr>
          <w:color w:val="231F20"/>
          <w:sz w:val="20"/>
        </w:rPr>
        <w:t>is</w:t>
      </w:r>
      <w:r>
        <w:rPr>
          <w:color w:val="231F20"/>
          <w:spacing w:val="-10"/>
          <w:sz w:val="20"/>
        </w:rPr>
        <w:t xml:space="preserve"> </w:t>
      </w:r>
      <w:r>
        <w:rPr>
          <w:color w:val="231F20"/>
          <w:sz w:val="20"/>
        </w:rPr>
        <w:t>a</w:t>
      </w:r>
      <w:r>
        <w:rPr>
          <w:color w:val="231F20"/>
          <w:spacing w:val="-9"/>
          <w:sz w:val="20"/>
        </w:rPr>
        <w:t xml:space="preserve"> </w:t>
      </w:r>
      <w:r>
        <w:rPr>
          <w:color w:val="231F20"/>
          <w:sz w:val="20"/>
        </w:rPr>
        <w:t>possibility</w:t>
      </w:r>
      <w:r>
        <w:rPr>
          <w:color w:val="231F20"/>
          <w:spacing w:val="-10"/>
          <w:sz w:val="20"/>
        </w:rPr>
        <w:t xml:space="preserve"> </w:t>
      </w:r>
      <w:r>
        <w:rPr>
          <w:color w:val="231F20"/>
          <w:sz w:val="20"/>
        </w:rPr>
        <w:t>of</w:t>
      </w:r>
      <w:r>
        <w:rPr>
          <w:color w:val="231F20"/>
          <w:spacing w:val="-9"/>
          <w:sz w:val="20"/>
        </w:rPr>
        <w:t xml:space="preserve"> </w:t>
      </w:r>
      <w:r>
        <w:rPr>
          <w:color w:val="231F20"/>
          <w:sz w:val="20"/>
        </w:rPr>
        <w:t>alerting</w:t>
      </w:r>
      <w:r>
        <w:rPr>
          <w:color w:val="231F20"/>
          <w:spacing w:val="-10"/>
          <w:sz w:val="20"/>
        </w:rPr>
        <w:t xml:space="preserve"> </w:t>
      </w:r>
      <w:r>
        <w:rPr>
          <w:color w:val="231F20"/>
          <w:sz w:val="20"/>
        </w:rPr>
        <w:t>the</w:t>
      </w:r>
      <w:r>
        <w:rPr>
          <w:color w:val="231F20"/>
          <w:spacing w:val="-9"/>
          <w:sz w:val="20"/>
        </w:rPr>
        <w:t xml:space="preserve"> </w:t>
      </w:r>
      <w:r>
        <w:rPr>
          <w:color w:val="231F20"/>
          <w:sz w:val="20"/>
        </w:rPr>
        <w:t>person</w:t>
      </w:r>
      <w:r>
        <w:rPr>
          <w:color w:val="231F20"/>
          <w:spacing w:val="-10"/>
          <w:sz w:val="20"/>
        </w:rPr>
        <w:t xml:space="preserve"> </w:t>
      </w:r>
      <w:r>
        <w:rPr>
          <w:color w:val="231F20"/>
          <w:sz w:val="20"/>
        </w:rPr>
        <w:t>wearing</w:t>
      </w:r>
      <w:r>
        <w:rPr>
          <w:color w:val="231F20"/>
          <w:spacing w:val="-9"/>
          <w:sz w:val="20"/>
        </w:rPr>
        <w:t xml:space="preserve"> </w:t>
      </w:r>
      <w:r>
        <w:rPr>
          <w:color w:val="231F20"/>
          <w:sz w:val="20"/>
        </w:rPr>
        <w:t>the</w:t>
      </w:r>
      <w:r>
        <w:rPr>
          <w:color w:val="231F20"/>
          <w:spacing w:val="-10"/>
          <w:sz w:val="20"/>
        </w:rPr>
        <w:t xml:space="preserve"> </w:t>
      </w:r>
      <w:r>
        <w:rPr>
          <w:color w:val="231F20"/>
          <w:spacing w:val="-3"/>
          <w:sz w:val="20"/>
        </w:rPr>
        <w:t>device</w:t>
      </w:r>
      <w:r>
        <w:rPr>
          <w:color w:val="231F20"/>
          <w:spacing w:val="-9"/>
          <w:sz w:val="20"/>
        </w:rPr>
        <w:t xml:space="preserve"> </w:t>
      </w:r>
      <w:r>
        <w:rPr>
          <w:color w:val="231F20"/>
          <w:sz w:val="20"/>
        </w:rPr>
        <w:t>of</w:t>
      </w:r>
      <w:r>
        <w:rPr>
          <w:color w:val="231F20"/>
          <w:spacing w:val="-10"/>
          <w:sz w:val="20"/>
        </w:rPr>
        <w:t xml:space="preserve"> </w:t>
      </w:r>
      <w:r>
        <w:rPr>
          <w:color w:val="231F20"/>
          <w:sz w:val="20"/>
        </w:rPr>
        <w:t>the</w:t>
      </w:r>
      <w:r>
        <w:rPr>
          <w:color w:val="231F20"/>
          <w:spacing w:val="-9"/>
          <w:sz w:val="20"/>
        </w:rPr>
        <w:t xml:space="preserve"> </w:t>
      </w:r>
      <w:r>
        <w:rPr>
          <w:color w:val="231F20"/>
          <w:sz w:val="20"/>
        </w:rPr>
        <w:t xml:space="preserve">whereabouts of the victim </w:t>
      </w:r>
      <w:r>
        <w:rPr>
          <w:color w:val="231F20"/>
          <w:spacing w:val="-3"/>
          <w:sz w:val="20"/>
        </w:rPr>
        <w:t xml:space="preserve">through </w:t>
      </w:r>
      <w:r>
        <w:rPr>
          <w:color w:val="231F20"/>
          <w:sz w:val="20"/>
        </w:rPr>
        <w:t xml:space="preserve">the use of </w:t>
      </w:r>
      <w:r>
        <w:rPr>
          <w:color w:val="231F20"/>
          <w:spacing w:val="-3"/>
          <w:sz w:val="20"/>
        </w:rPr>
        <w:t>exclusion</w:t>
      </w:r>
      <w:r>
        <w:rPr>
          <w:color w:val="231F20"/>
          <w:spacing w:val="-31"/>
          <w:sz w:val="20"/>
        </w:rPr>
        <w:t xml:space="preserve"> </w:t>
      </w:r>
      <w:r>
        <w:rPr>
          <w:color w:val="231F20"/>
          <w:sz w:val="20"/>
        </w:rPr>
        <w:t>zones.</w:t>
      </w:r>
      <w:r>
        <w:rPr>
          <w:color w:val="231F20"/>
          <w:position w:val="7"/>
          <w:sz w:val="11"/>
        </w:rPr>
        <w:t>188</w:t>
      </w:r>
    </w:p>
    <w:p w14:paraId="032044B9" w14:textId="77777777" w:rsidR="00894070" w:rsidRDefault="009B7AFD">
      <w:pPr>
        <w:pStyle w:val="ListParagraph"/>
        <w:numPr>
          <w:ilvl w:val="2"/>
          <w:numId w:val="29"/>
        </w:numPr>
        <w:tabs>
          <w:tab w:val="left" w:pos="2141"/>
          <w:tab w:val="left" w:pos="2142"/>
        </w:tabs>
        <w:spacing w:before="87" w:line="206" w:lineRule="auto"/>
        <w:ind w:right="1335" w:hanging="340"/>
        <w:rPr>
          <w:sz w:val="11"/>
        </w:rPr>
      </w:pPr>
      <w:r>
        <w:rPr>
          <w:color w:val="231F20"/>
          <w:sz w:val="20"/>
        </w:rPr>
        <w:t>It</w:t>
      </w:r>
      <w:r>
        <w:rPr>
          <w:color w:val="231F20"/>
          <w:spacing w:val="-9"/>
          <w:sz w:val="20"/>
        </w:rPr>
        <w:t xml:space="preserve"> </w:t>
      </w:r>
      <w:r>
        <w:rPr>
          <w:color w:val="231F20"/>
          <w:sz w:val="20"/>
        </w:rPr>
        <w:t>can</w:t>
      </w:r>
      <w:r>
        <w:rPr>
          <w:color w:val="231F20"/>
          <w:spacing w:val="-8"/>
          <w:sz w:val="20"/>
        </w:rPr>
        <w:t xml:space="preserve"> </w:t>
      </w:r>
      <w:r>
        <w:rPr>
          <w:color w:val="231F20"/>
          <w:spacing w:val="-3"/>
          <w:sz w:val="20"/>
        </w:rPr>
        <w:t>create</w:t>
      </w:r>
      <w:r>
        <w:rPr>
          <w:color w:val="231F20"/>
          <w:spacing w:val="-9"/>
          <w:sz w:val="20"/>
        </w:rPr>
        <w:t xml:space="preserve"> </w:t>
      </w:r>
      <w:r>
        <w:rPr>
          <w:color w:val="231F20"/>
          <w:sz w:val="20"/>
        </w:rPr>
        <w:t>a</w:t>
      </w:r>
      <w:r>
        <w:rPr>
          <w:color w:val="231F20"/>
          <w:spacing w:val="-9"/>
          <w:sz w:val="20"/>
        </w:rPr>
        <w:t xml:space="preserve"> </w:t>
      </w:r>
      <w:r>
        <w:rPr>
          <w:color w:val="231F20"/>
          <w:sz w:val="20"/>
        </w:rPr>
        <w:t>false</w:t>
      </w:r>
      <w:r>
        <w:rPr>
          <w:color w:val="231F20"/>
          <w:spacing w:val="-8"/>
          <w:sz w:val="20"/>
        </w:rPr>
        <w:t xml:space="preserve"> </w:t>
      </w:r>
      <w:r>
        <w:rPr>
          <w:color w:val="231F20"/>
          <w:sz w:val="20"/>
        </w:rPr>
        <w:t>sense</w:t>
      </w:r>
      <w:r>
        <w:rPr>
          <w:color w:val="231F20"/>
          <w:spacing w:val="-9"/>
          <w:sz w:val="20"/>
        </w:rPr>
        <w:t xml:space="preserve"> </w:t>
      </w:r>
      <w:r>
        <w:rPr>
          <w:color w:val="231F20"/>
          <w:sz w:val="20"/>
        </w:rPr>
        <w:t>of</w:t>
      </w:r>
      <w:r>
        <w:rPr>
          <w:color w:val="231F20"/>
          <w:spacing w:val="-8"/>
          <w:sz w:val="20"/>
        </w:rPr>
        <w:t xml:space="preserve"> </w:t>
      </w:r>
      <w:r>
        <w:rPr>
          <w:color w:val="231F20"/>
          <w:sz w:val="20"/>
        </w:rPr>
        <w:t>security</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8"/>
          <w:sz w:val="20"/>
        </w:rPr>
        <w:t xml:space="preserve"> </w:t>
      </w:r>
      <w:r>
        <w:rPr>
          <w:color w:val="231F20"/>
          <w:sz w:val="20"/>
        </w:rPr>
        <w:t>if</w:t>
      </w:r>
      <w:r>
        <w:rPr>
          <w:color w:val="231F20"/>
          <w:spacing w:val="-9"/>
          <w:sz w:val="20"/>
        </w:rPr>
        <w:t xml:space="preserve"> </w:t>
      </w:r>
      <w:r>
        <w:rPr>
          <w:color w:val="231F20"/>
          <w:sz w:val="20"/>
        </w:rPr>
        <w:t>they</w:t>
      </w:r>
      <w:r>
        <w:rPr>
          <w:color w:val="231F20"/>
          <w:spacing w:val="-8"/>
          <w:sz w:val="20"/>
        </w:rPr>
        <w:t xml:space="preserve"> </w:t>
      </w:r>
      <w:r>
        <w:rPr>
          <w:color w:val="231F20"/>
          <w:spacing w:val="-4"/>
          <w:sz w:val="20"/>
        </w:rPr>
        <w:t>have</w:t>
      </w:r>
      <w:r>
        <w:rPr>
          <w:color w:val="231F20"/>
          <w:spacing w:val="-9"/>
          <w:sz w:val="20"/>
        </w:rPr>
        <w:t xml:space="preserve"> </w:t>
      </w:r>
      <w:r>
        <w:rPr>
          <w:color w:val="231F20"/>
          <w:sz w:val="20"/>
        </w:rPr>
        <w:t xml:space="preserve">expectations of the technology that </w:t>
      </w:r>
      <w:r>
        <w:rPr>
          <w:color w:val="231F20"/>
          <w:spacing w:val="-3"/>
          <w:sz w:val="20"/>
        </w:rPr>
        <w:t xml:space="preserve">exceed </w:t>
      </w:r>
      <w:r>
        <w:rPr>
          <w:color w:val="231F20"/>
          <w:sz w:val="20"/>
        </w:rPr>
        <w:t>its</w:t>
      </w:r>
      <w:r>
        <w:rPr>
          <w:color w:val="231F20"/>
          <w:spacing w:val="-25"/>
          <w:sz w:val="20"/>
        </w:rPr>
        <w:t xml:space="preserve"> </w:t>
      </w:r>
      <w:r>
        <w:rPr>
          <w:color w:val="231F20"/>
          <w:sz w:val="20"/>
        </w:rPr>
        <w:t>capability.</w:t>
      </w:r>
      <w:r>
        <w:rPr>
          <w:color w:val="231F20"/>
          <w:position w:val="7"/>
          <w:sz w:val="11"/>
        </w:rPr>
        <w:t>189</w:t>
      </w:r>
    </w:p>
    <w:p w14:paraId="07F92D6D" w14:textId="77777777" w:rsidR="00894070" w:rsidRDefault="009B7AFD">
      <w:pPr>
        <w:pStyle w:val="ListParagraph"/>
        <w:numPr>
          <w:ilvl w:val="2"/>
          <w:numId w:val="29"/>
        </w:numPr>
        <w:tabs>
          <w:tab w:val="left" w:pos="2141"/>
          <w:tab w:val="left" w:pos="2142"/>
        </w:tabs>
        <w:spacing w:before="56"/>
        <w:ind w:hanging="340"/>
        <w:rPr>
          <w:sz w:val="11"/>
        </w:rPr>
      </w:pPr>
      <w:r>
        <w:rPr>
          <w:color w:val="231F20"/>
          <w:sz w:val="20"/>
        </w:rPr>
        <w:t xml:space="preserve">The possibility of ‘false’ alerts and other </w:t>
      </w:r>
      <w:r>
        <w:rPr>
          <w:color w:val="231F20"/>
          <w:spacing w:val="-2"/>
          <w:sz w:val="20"/>
        </w:rPr>
        <w:t>system</w:t>
      </w:r>
      <w:r>
        <w:rPr>
          <w:color w:val="231F20"/>
          <w:spacing w:val="-37"/>
          <w:sz w:val="20"/>
        </w:rPr>
        <w:t xml:space="preserve"> </w:t>
      </w:r>
      <w:r>
        <w:rPr>
          <w:color w:val="231F20"/>
          <w:sz w:val="20"/>
        </w:rPr>
        <w:t>deficiencies.</w:t>
      </w:r>
      <w:r>
        <w:rPr>
          <w:color w:val="231F20"/>
          <w:position w:val="7"/>
          <w:sz w:val="11"/>
        </w:rPr>
        <w:t>190</w:t>
      </w:r>
    </w:p>
    <w:p w14:paraId="7D505542" w14:textId="77777777" w:rsidR="00894070" w:rsidRDefault="009B7AFD">
      <w:pPr>
        <w:pStyle w:val="ListParagraph"/>
        <w:numPr>
          <w:ilvl w:val="2"/>
          <w:numId w:val="29"/>
        </w:numPr>
        <w:tabs>
          <w:tab w:val="left" w:pos="2141"/>
          <w:tab w:val="left" w:pos="2142"/>
        </w:tabs>
        <w:spacing w:before="47" w:line="259" w:lineRule="exact"/>
        <w:ind w:hanging="340"/>
        <w:rPr>
          <w:sz w:val="20"/>
        </w:rPr>
      </w:pPr>
      <w:r>
        <w:rPr>
          <w:color w:val="231F20"/>
          <w:sz w:val="20"/>
        </w:rPr>
        <w:t>Exclusion</w:t>
      </w:r>
      <w:r>
        <w:rPr>
          <w:color w:val="231F20"/>
          <w:spacing w:val="-7"/>
          <w:sz w:val="20"/>
        </w:rPr>
        <w:t xml:space="preserve"> </w:t>
      </w:r>
      <w:r>
        <w:rPr>
          <w:color w:val="231F20"/>
          <w:spacing w:val="-3"/>
          <w:sz w:val="20"/>
        </w:rPr>
        <w:t>zones</w:t>
      </w:r>
      <w:r>
        <w:rPr>
          <w:color w:val="231F20"/>
          <w:spacing w:val="-7"/>
          <w:sz w:val="20"/>
        </w:rPr>
        <w:t xml:space="preserve"> </w:t>
      </w:r>
      <w:r>
        <w:rPr>
          <w:color w:val="231F20"/>
          <w:spacing w:val="-3"/>
          <w:sz w:val="20"/>
        </w:rPr>
        <w:t>are</w:t>
      </w:r>
      <w:r>
        <w:rPr>
          <w:color w:val="231F20"/>
          <w:spacing w:val="-7"/>
          <w:sz w:val="20"/>
        </w:rPr>
        <w:t xml:space="preserve"> </w:t>
      </w:r>
      <w:r>
        <w:rPr>
          <w:color w:val="231F20"/>
          <w:sz w:val="20"/>
        </w:rPr>
        <w:t>difficult</w:t>
      </w:r>
      <w:r>
        <w:rPr>
          <w:color w:val="231F20"/>
          <w:spacing w:val="-7"/>
          <w:sz w:val="20"/>
        </w:rPr>
        <w:t xml:space="preserve"> </w:t>
      </w:r>
      <w:r>
        <w:rPr>
          <w:color w:val="231F20"/>
          <w:sz w:val="20"/>
        </w:rPr>
        <w:t>to</w:t>
      </w:r>
      <w:r>
        <w:rPr>
          <w:color w:val="231F20"/>
          <w:spacing w:val="-6"/>
          <w:sz w:val="20"/>
        </w:rPr>
        <w:t xml:space="preserve"> </w:t>
      </w:r>
      <w:r>
        <w:rPr>
          <w:color w:val="231F20"/>
          <w:sz w:val="20"/>
        </w:rPr>
        <w:t>impose</w:t>
      </w:r>
      <w:r>
        <w:rPr>
          <w:color w:val="231F20"/>
          <w:spacing w:val="-7"/>
          <w:sz w:val="20"/>
        </w:rPr>
        <w:t xml:space="preserve"> </w:t>
      </w:r>
      <w:r>
        <w:rPr>
          <w:color w:val="231F20"/>
          <w:sz w:val="20"/>
        </w:rPr>
        <w:t>in</w:t>
      </w:r>
      <w:r>
        <w:rPr>
          <w:color w:val="231F20"/>
          <w:spacing w:val="-7"/>
          <w:sz w:val="20"/>
        </w:rPr>
        <w:t xml:space="preserve"> </w:t>
      </w:r>
      <w:r>
        <w:rPr>
          <w:color w:val="231F20"/>
          <w:sz w:val="20"/>
        </w:rPr>
        <w:t>regional</w:t>
      </w:r>
      <w:r>
        <w:rPr>
          <w:color w:val="231F20"/>
          <w:spacing w:val="-7"/>
          <w:sz w:val="20"/>
        </w:rPr>
        <w:t xml:space="preserve"> </w:t>
      </w:r>
      <w:r>
        <w:rPr>
          <w:color w:val="231F20"/>
          <w:sz w:val="20"/>
        </w:rPr>
        <w:t>and</w:t>
      </w:r>
      <w:r>
        <w:rPr>
          <w:color w:val="231F20"/>
          <w:spacing w:val="-6"/>
          <w:sz w:val="20"/>
        </w:rPr>
        <w:t xml:space="preserve"> </w:t>
      </w:r>
      <w:r>
        <w:rPr>
          <w:color w:val="231F20"/>
          <w:sz w:val="20"/>
        </w:rPr>
        <w:t>rural</w:t>
      </w:r>
      <w:r>
        <w:rPr>
          <w:color w:val="231F20"/>
          <w:spacing w:val="-7"/>
          <w:sz w:val="20"/>
        </w:rPr>
        <w:t xml:space="preserve"> </w:t>
      </w:r>
      <w:r>
        <w:rPr>
          <w:color w:val="231F20"/>
          <w:sz w:val="20"/>
        </w:rPr>
        <w:t>areas,</w:t>
      </w:r>
      <w:r>
        <w:rPr>
          <w:color w:val="231F20"/>
          <w:spacing w:val="-7"/>
          <w:sz w:val="20"/>
        </w:rPr>
        <w:t xml:space="preserve"> </w:t>
      </w:r>
      <w:r>
        <w:rPr>
          <w:color w:val="231F20"/>
          <w:sz w:val="20"/>
        </w:rPr>
        <w:t>where</w:t>
      </w:r>
      <w:r>
        <w:rPr>
          <w:color w:val="231F20"/>
          <w:spacing w:val="-7"/>
          <w:sz w:val="20"/>
        </w:rPr>
        <w:t xml:space="preserve"> </w:t>
      </w:r>
      <w:r>
        <w:rPr>
          <w:color w:val="231F20"/>
          <w:sz w:val="20"/>
        </w:rPr>
        <w:t>people</w:t>
      </w:r>
      <w:r>
        <w:rPr>
          <w:color w:val="231F20"/>
          <w:spacing w:val="-6"/>
          <w:sz w:val="20"/>
        </w:rPr>
        <w:t xml:space="preserve"> </w:t>
      </w:r>
      <w:r>
        <w:rPr>
          <w:color w:val="231F20"/>
          <w:spacing w:val="-3"/>
          <w:sz w:val="20"/>
        </w:rPr>
        <w:t>are</w:t>
      </w:r>
    </w:p>
    <w:p w14:paraId="0DE3D1B0" w14:textId="77777777" w:rsidR="00894070" w:rsidRDefault="009B7AFD">
      <w:pPr>
        <w:pStyle w:val="BodyText"/>
        <w:spacing w:line="259" w:lineRule="exact"/>
        <w:ind w:left="2141"/>
        <w:rPr>
          <w:sz w:val="11"/>
        </w:rPr>
      </w:pPr>
      <w:r>
        <w:rPr>
          <w:color w:val="231F20"/>
        </w:rPr>
        <w:t>more likely to come across each other.</w:t>
      </w:r>
      <w:r>
        <w:rPr>
          <w:color w:val="231F20"/>
          <w:position w:val="7"/>
          <w:sz w:val="11"/>
        </w:rPr>
        <w:t>191</w:t>
      </w:r>
    </w:p>
    <w:p w14:paraId="77EFF5EC" w14:textId="77777777" w:rsidR="00894070" w:rsidRDefault="009B7AFD">
      <w:pPr>
        <w:pStyle w:val="ListParagraph"/>
        <w:numPr>
          <w:ilvl w:val="2"/>
          <w:numId w:val="29"/>
        </w:numPr>
        <w:tabs>
          <w:tab w:val="left" w:pos="2141"/>
          <w:tab w:val="left" w:pos="2142"/>
        </w:tabs>
        <w:spacing w:before="48"/>
        <w:ind w:hanging="340"/>
        <w:rPr>
          <w:sz w:val="11"/>
        </w:rPr>
      </w:pPr>
      <w:r>
        <w:rPr>
          <w:color w:val="231F20"/>
          <w:sz w:val="20"/>
        </w:rPr>
        <w:t>It can cause hypervigilance in victim</w:t>
      </w:r>
      <w:r>
        <w:rPr>
          <w:color w:val="231F20"/>
          <w:spacing w:val="-27"/>
          <w:sz w:val="20"/>
        </w:rPr>
        <w:t xml:space="preserve"> </w:t>
      </w:r>
      <w:r>
        <w:rPr>
          <w:color w:val="231F20"/>
          <w:sz w:val="20"/>
        </w:rPr>
        <w:t>survivors.</w:t>
      </w:r>
      <w:r>
        <w:rPr>
          <w:color w:val="231F20"/>
          <w:position w:val="7"/>
          <w:sz w:val="11"/>
        </w:rPr>
        <w:t>192</w:t>
      </w:r>
    </w:p>
    <w:p w14:paraId="4BBA4649" w14:textId="77777777" w:rsidR="00894070" w:rsidRDefault="009B7AFD">
      <w:pPr>
        <w:pStyle w:val="ListParagraph"/>
        <w:numPr>
          <w:ilvl w:val="2"/>
          <w:numId w:val="29"/>
        </w:numPr>
        <w:tabs>
          <w:tab w:val="left" w:pos="2141"/>
          <w:tab w:val="left" w:pos="2142"/>
        </w:tabs>
        <w:spacing w:before="79" w:line="206" w:lineRule="auto"/>
        <w:ind w:right="1317" w:hanging="340"/>
        <w:rPr>
          <w:sz w:val="11"/>
        </w:rPr>
      </w:pPr>
      <w:r>
        <w:rPr>
          <w:color w:val="231F20"/>
          <w:sz w:val="20"/>
        </w:rPr>
        <w:t>Further</w:t>
      </w:r>
      <w:r>
        <w:rPr>
          <w:color w:val="231F20"/>
          <w:spacing w:val="-11"/>
          <w:sz w:val="20"/>
        </w:rPr>
        <w:t xml:space="preserve"> </w:t>
      </w:r>
      <w:r>
        <w:rPr>
          <w:color w:val="231F20"/>
          <w:spacing w:val="-3"/>
          <w:sz w:val="20"/>
        </w:rPr>
        <w:t>evaluation</w:t>
      </w:r>
      <w:r>
        <w:rPr>
          <w:color w:val="231F20"/>
          <w:spacing w:val="-10"/>
          <w:sz w:val="20"/>
        </w:rPr>
        <w:t xml:space="preserve"> </w:t>
      </w:r>
      <w:r>
        <w:rPr>
          <w:color w:val="231F20"/>
          <w:sz w:val="20"/>
        </w:rPr>
        <w:t>of</w:t>
      </w:r>
      <w:r>
        <w:rPr>
          <w:color w:val="231F20"/>
          <w:spacing w:val="-11"/>
          <w:sz w:val="20"/>
        </w:rPr>
        <w:t xml:space="preserve"> </w:t>
      </w:r>
      <w:r>
        <w:rPr>
          <w:color w:val="231F20"/>
          <w:sz w:val="20"/>
        </w:rPr>
        <w:t>electronic</w:t>
      </w:r>
      <w:r>
        <w:rPr>
          <w:color w:val="231F20"/>
          <w:spacing w:val="-10"/>
          <w:sz w:val="20"/>
        </w:rPr>
        <w:t xml:space="preserve"> </w:t>
      </w:r>
      <w:r>
        <w:rPr>
          <w:color w:val="231F20"/>
          <w:sz w:val="20"/>
        </w:rPr>
        <w:t>monitoring</w:t>
      </w:r>
      <w:r>
        <w:rPr>
          <w:color w:val="231F20"/>
          <w:spacing w:val="-11"/>
          <w:sz w:val="20"/>
        </w:rPr>
        <w:t xml:space="preserve"> </w:t>
      </w:r>
      <w:r>
        <w:rPr>
          <w:color w:val="231F20"/>
          <w:sz w:val="20"/>
        </w:rPr>
        <w:t>is</w:t>
      </w:r>
      <w:r>
        <w:rPr>
          <w:color w:val="231F20"/>
          <w:spacing w:val="-10"/>
          <w:sz w:val="20"/>
        </w:rPr>
        <w:t xml:space="preserve"> </w:t>
      </w:r>
      <w:r>
        <w:rPr>
          <w:color w:val="231F20"/>
          <w:sz w:val="20"/>
        </w:rPr>
        <w:t>needed</w:t>
      </w:r>
      <w:r>
        <w:rPr>
          <w:color w:val="231F20"/>
          <w:spacing w:val="-11"/>
          <w:sz w:val="20"/>
        </w:rPr>
        <w:t xml:space="preserve"> </w:t>
      </w:r>
      <w:r>
        <w:rPr>
          <w:color w:val="231F20"/>
          <w:spacing w:val="-3"/>
          <w:sz w:val="20"/>
        </w:rPr>
        <w:t>before</w:t>
      </w:r>
      <w:r>
        <w:rPr>
          <w:color w:val="231F20"/>
          <w:spacing w:val="-10"/>
          <w:sz w:val="20"/>
        </w:rPr>
        <w:t xml:space="preserve"> </w:t>
      </w:r>
      <w:r>
        <w:rPr>
          <w:color w:val="231F20"/>
          <w:sz w:val="20"/>
        </w:rPr>
        <w:t>implementing</w:t>
      </w:r>
      <w:r>
        <w:rPr>
          <w:color w:val="231F20"/>
          <w:spacing w:val="-11"/>
          <w:sz w:val="20"/>
        </w:rPr>
        <w:t xml:space="preserve"> </w:t>
      </w:r>
      <w:r>
        <w:rPr>
          <w:color w:val="231F20"/>
          <w:sz w:val="20"/>
        </w:rPr>
        <w:t>such</w:t>
      </w:r>
      <w:r>
        <w:rPr>
          <w:color w:val="231F20"/>
          <w:spacing w:val="-10"/>
          <w:sz w:val="20"/>
        </w:rPr>
        <w:t xml:space="preserve"> </w:t>
      </w:r>
      <w:r>
        <w:rPr>
          <w:color w:val="231F20"/>
          <w:sz w:val="20"/>
        </w:rPr>
        <w:t xml:space="preserve">a </w:t>
      </w:r>
      <w:r>
        <w:rPr>
          <w:color w:val="231F20"/>
          <w:spacing w:val="-3"/>
          <w:sz w:val="20"/>
        </w:rPr>
        <w:t>reform,</w:t>
      </w:r>
      <w:r>
        <w:rPr>
          <w:color w:val="231F20"/>
          <w:spacing w:val="-6"/>
          <w:sz w:val="20"/>
        </w:rPr>
        <w:t xml:space="preserve"> </w:t>
      </w:r>
      <w:r>
        <w:rPr>
          <w:color w:val="231F20"/>
          <w:sz w:val="20"/>
        </w:rPr>
        <w:t>to</w:t>
      </w:r>
      <w:r>
        <w:rPr>
          <w:color w:val="231F20"/>
          <w:spacing w:val="-6"/>
          <w:sz w:val="20"/>
        </w:rPr>
        <w:t xml:space="preserve"> </w:t>
      </w:r>
      <w:r>
        <w:rPr>
          <w:color w:val="231F20"/>
          <w:spacing w:val="-4"/>
          <w:sz w:val="20"/>
        </w:rPr>
        <w:t>improve</w:t>
      </w:r>
      <w:r>
        <w:rPr>
          <w:color w:val="231F20"/>
          <w:spacing w:val="-6"/>
          <w:sz w:val="20"/>
        </w:rPr>
        <w:t xml:space="preserve"> </w:t>
      </w:r>
      <w:r>
        <w:rPr>
          <w:color w:val="231F20"/>
          <w:sz w:val="20"/>
        </w:rPr>
        <w:t>understanding</w:t>
      </w:r>
      <w:r>
        <w:rPr>
          <w:color w:val="231F20"/>
          <w:spacing w:val="-6"/>
          <w:sz w:val="20"/>
        </w:rPr>
        <w:t xml:space="preserve"> </w:t>
      </w:r>
      <w:r>
        <w:rPr>
          <w:color w:val="231F20"/>
          <w:sz w:val="20"/>
        </w:rPr>
        <w:t>of</w:t>
      </w:r>
      <w:r>
        <w:rPr>
          <w:color w:val="231F20"/>
          <w:spacing w:val="-5"/>
          <w:sz w:val="20"/>
        </w:rPr>
        <w:t xml:space="preserve"> </w:t>
      </w:r>
      <w:r>
        <w:rPr>
          <w:color w:val="231F20"/>
          <w:spacing w:val="-3"/>
          <w:sz w:val="20"/>
        </w:rPr>
        <w:t>how</w:t>
      </w:r>
      <w:r>
        <w:rPr>
          <w:color w:val="231F20"/>
          <w:spacing w:val="-6"/>
          <w:sz w:val="20"/>
        </w:rPr>
        <w:t xml:space="preserve"> </w:t>
      </w:r>
      <w:r>
        <w:rPr>
          <w:color w:val="231F20"/>
          <w:sz w:val="20"/>
        </w:rPr>
        <w:t>and</w:t>
      </w:r>
      <w:r>
        <w:rPr>
          <w:color w:val="231F20"/>
          <w:spacing w:val="-6"/>
          <w:sz w:val="20"/>
        </w:rPr>
        <w:t xml:space="preserve"> </w:t>
      </w:r>
      <w:r>
        <w:rPr>
          <w:color w:val="231F20"/>
          <w:sz w:val="20"/>
        </w:rPr>
        <w:t>when</w:t>
      </w:r>
      <w:r>
        <w:rPr>
          <w:color w:val="231F20"/>
          <w:spacing w:val="-6"/>
          <w:sz w:val="20"/>
        </w:rPr>
        <w:t xml:space="preserve"> </w:t>
      </w:r>
      <w:r>
        <w:rPr>
          <w:color w:val="231F20"/>
          <w:sz w:val="20"/>
        </w:rPr>
        <w:t>it</w:t>
      </w:r>
      <w:r>
        <w:rPr>
          <w:color w:val="231F20"/>
          <w:spacing w:val="-5"/>
          <w:sz w:val="20"/>
        </w:rPr>
        <w:t xml:space="preserve"> </w:t>
      </w:r>
      <w:r>
        <w:rPr>
          <w:color w:val="231F20"/>
          <w:sz w:val="20"/>
        </w:rPr>
        <w:t>is</w:t>
      </w:r>
      <w:r>
        <w:rPr>
          <w:color w:val="231F20"/>
          <w:spacing w:val="-6"/>
          <w:sz w:val="20"/>
        </w:rPr>
        <w:t xml:space="preserve"> </w:t>
      </w:r>
      <w:r>
        <w:rPr>
          <w:color w:val="231F20"/>
          <w:sz w:val="20"/>
        </w:rPr>
        <w:t>most</w:t>
      </w:r>
      <w:r>
        <w:rPr>
          <w:color w:val="231F20"/>
          <w:spacing w:val="-6"/>
          <w:sz w:val="20"/>
        </w:rPr>
        <w:t xml:space="preserve"> </w:t>
      </w:r>
      <w:r>
        <w:rPr>
          <w:color w:val="231F20"/>
          <w:sz w:val="20"/>
        </w:rPr>
        <w:t>effective.</w:t>
      </w:r>
      <w:r>
        <w:rPr>
          <w:color w:val="231F20"/>
          <w:position w:val="7"/>
          <w:sz w:val="11"/>
        </w:rPr>
        <w:t>193</w:t>
      </w:r>
    </w:p>
    <w:p w14:paraId="4427398F" w14:textId="77777777" w:rsidR="00894070" w:rsidRDefault="009B7AFD">
      <w:pPr>
        <w:pStyle w:val="ListParagraph"/>
        <w:numPr>
          <w:ilvl w:val="2"/>
          <w:numId w:val="29"/>
        </w:numPr>
        <w:tabs>
          <w:tab w:val="left" w:pos="2141"/>
          <w:tab w:val="left" w:pos="2142"/>
        </w:tabs>
        <w:spacing w:before="88" w:line="206" w:lineRule="auto"/>
        <w:ind w:right="1449" w:hanging="340"/>
        <w:rPr>
          <w:sz w:val="11"/>
        </w:rPr>
      </w:pPr>
      <w:r>
        <w:rPr>
          <w:color w:val="231F20"/>
          <w:spacing w:val="-3"/>
          <w:sz w:val="20"/>
        </w:rPr>
        <w:t>Electronic</w:t>
      </w:r>
      <w:r>
        <w:rPr>
          <w:color w:val="231F20"/>
          <w:spacing w:val="-9"/>
          <w:sz w:val="20"/>
        </w:rPr>
        <w:t xml:space="preserve"> </w:t>
      </w:r>
      <w:r>
        <w:rPr>
          <w:color w:val="231F20"/>
          <w:sz w:val="20"/>
        </w:rPr>
        <w:t>monitoring</w:t>
      </w:r>
      <w:r>
        <w:rPr>
          <w:color w:val="231F20"/>
          <w:spacing w:val="-9"/>
          <w:sz w:val="20"/>
        </w:rPr>
        <w:t xml:space="preserve"> </w:t>
      </w:r>
      <w:r>
        <w:rPr>
          <w:color w:val="231F20"/>
          <w:sz w:val="20"/>
        </w:rPr>
        <w:t>can</w:t>
      </w:r>
      <w:r>
        <w:rPr>
          <w:color w:val="231F20"/>
          <w:spacing w:val="-8"/>
          <w:sz w:val="20"/>
        </w:rPr>
        <w:t xml:space="preserve"> </w:t>
      </w:r>
      <w:r>
        <w:rPr>
          <w:color w:val="231F20"/>
          <w:sz w:val="20"/>
        </w:rPr>
        <w:t>be</w:t>
      </w:r>
      <w:r>
        <w:rPr>
          <w:color w:val="231F20"/>
          <w:spacing w:val="-9"/>
          <w:sz w:val="20"/>
        </w:rPr>
        <w:t xml:space="preserve"> </w:t>
      </w:r>
      <w:r>
        <w:rPr>
          <w:color w:val="231F20"/>
          <w:sz w:val="20"/>
        </w:rPr>
        <w:t>very</w:t>
      </w:r>
      <w:r>
        <w:rPr>
          <w:color w:val="231F20"/>
          <w:spacing w:val="-9"/>
          <w:sz w:val="20"/>
        </w:rPr>
        <w:t xml:space="preserve"> </w:t>
      </w:r>
      <w:r>
        <w:rPr>
          <w:color w:val="231F20"/>
          <w:spacing w:val="-3"/>
          <w:sz w:val="20"/>
        </w:rPr>
        <w:t>expensive</w:t>
      </w:r>
      <w:r>
        <w:rPr>
          <w:color w:val="231F20"/>
          <w:spacing w:val="-8"/>
          <w:sz w:val="20"/>
        </w:rPr>
        <w:t xml:space="preserve"> </w:t>
      </w:r>
      <w:r>
        <w:rPr>
          <w:color w:val="231F20"/>
          <w:sz w:val="20"/>
        </w:rPr>
        <w:t>and</w:t>
      </w:r>
      <w:r>
        <w:rPr>
          <w:color w:val="231F20"/>
          <w:spacing w:val="-9"/>
          <w:sz w:val="20"/>
        </w:rPr>
        <w:t xml:space="preserve"> </w:t>
      </w:r>
      <w:r>
        <w:rPr>
          <w:color w:val="231F20"/>
          <w:sz w:val="20"/>
        </w:rPr>
        <w:t>Corrections</w:t>
      </w:r>
      <w:r>
        <w:rPr>
          <w:color w:val="231F20"/>
          <w:spacing w:val="-8"/>
          <w:sz w:val="20"/>
        </w:rPr>
        <w:t xml:space="preserve"> </w:t>
      </w:r>
      <w:r>
        <w:rPr>
          <w:color w:val="231F20"/>
          <w:sz w:val="20"/>
        </w:rPr>
        <w:t>Victoria</w:t>
      </w:r>
      <w:r>
        <w:rPr>
          <w:color w:val="231F20"/>
          <w:spacing w:val="-9"/>
          <w:sz w:val="20"/>
        </w:rPr>
        <w:t xml:space="preserve"> </w:t>
      </w:r>
      <w:r>
        <w:rPr>
          <w:color w:val="231F20"/>
          <w:sz w:val="20"/>
        </w:rPr>
        <w:t>has</w:t>
      </w:r>
      <w:r>
        <w:rPr>
          <w:color w:val="231F20"/>
          <w:spacing w:val="-9"/>
          <w:sz w:val="20"/>
        </w:rPr>
        <w:t xml:space="preserve"> </w:t>
      </w:r>
      <w:r>
        <w:rPr>
          <w:color w:val="231F20"/>
          <w:sz w:val="20"/>
        </w:rPr>
        <w:t>limited capacity to expand this measure</w:t>
      </w:r>
      <w:r>
        <w:rPr>
          <w:color w:val="231F20"/>
          <w:spacing w:val="-23"/>
          <w:sz w:val="20"/>
        </w:rPr>
        <w:t xml:space="preserve"> </w:t>
      </w:r>
      <w:r>
        <w:rPr>
          <w:color w:val="231F20"/>
          <w:sz w:val="20"/>
        </w:rPr>
        <w:t>further.</w:t>
      </w:r>
      <w:r>
        <w:rPr>
          <w:color w:val="231F20"/>
          <w:position w:val="7"/>
          <w:sz w:val="11"/>
        </w:rPr>
        <w:t>194</w:t>
      </w:r>
    </w:p>
    <w:p w14:paraId="2FD7F107" w14:textId="77777777" w:rsidR="00894070" w:rsidRDefault="00894070">
      <w:pPr>
        <w:pStyle w:val="BodyText"/>
      </w:pPr>
    </w:p>
    <w:p w14:paraId="0A46575D" w14:textId="77777777" w:rsidR="00894070" w:rsidRDefault="00894070">
      <w:pPr>
        <w:pStyle w:val="BodyText"/>
      </w:pPr>
    </w:p>
    <w:p w14:paraId="479238A4" w14:textId="77777777" w:rsidR="00894070" w:rsidRDefault="00894070">
      <w:pPr>
        <w:pStyle w:val="BodyText"/>
      </w:pPr>
    </w:p>
    <w:p w14:paraId="4F93CBB6" w14:textId="77777777" w:rsidR="00894070" w:rsidRDefault="009F6793">
      <w:pPr>
        <w:pStyle w:val="BodyText"/>
        <w:spacing w:before="3"/>
        <w:rPr>
          <w:sz w:val="19"/>
        </w:rPr>
      </w:pPr>
      <w:r>
        <w:pict w14:anchorId="6AEFB0A1">
          <v:line id="_x0000_s1053" style="position:absolute;z-index:251787264;mso-wrap-distance-left:0;mso-wrap-distance-right:0;mso-position-horizontal-relative:page" from="79.35pt,15.85pt" to="515.9pt,15.85pt" strokecolor="#f8cabc" strokeweight="1pt">
            <w10:wrap type="topAndBottom" anchorx="page"/>
          </v:line>
        </w:pict>
      </w:r>
    </w:p>
    <w:p w14:paraId="73FAE0AD" w14:textId="77777777" w:rsidR="00894070" w:rsidRDefault="00894070">
      <w:pPr>
        <w:pStyle w:val="BodyText"/>
        <w:rPr>
          <w:sz w:val="5"/>
        </w:rPr>
      </w:pPr>
    </w:p>
    <w:p w14:paraId="7A8A4BB3" w14:textId="77777777" w:rsidR="00894070" w:rsidRDefault="00894070">
      <w:pPr>
        <w:rPr>
          <w:sz w:val="5"/>
        </w:rPr>
        <w:sectPr w:rsidR="00894070">
          <w:pgSz w:w="11910" w:h="16840"/>
          <w:pgMar w:top="860" w:right="420" w:bottom="280" w:left="580" w:header="567" w:footer="0" w:gutter="0"/>
          <w:cols w:space="720"/>
        </w:sectPr>
      </w:pPr>
    </w:p>
    <w:p w14:paraId="2686FFCD" w14:textId="77777777" w:rsidR="00894070" w:rsidRDefault="00894070">
      <w:pPr>
        <w:pStyle w:val="BodyText"/>
        <w:rPr>
          <w:sz w:val="28"/>
        </w:rPr>
      </w:pPr>
    </w:p>
    <w:p w14:paraId="241012FF" w14:textId="77777777" w:rsidR="00894070" w:rsidRDefault="00894070">
      <w:pPr>
        <w:pStyle w:val="BodyText"/>
        <w:rPr>
          <w:sz w:val="28"/>
        </w:rPr>
      </w:pPr>
    </w:p>
    <w:p w14:paraId="17B58AF8" w14:textId="77777777" w:rsidR="00894070" w:rsidRDefault="00894070">
      <w:pPr>
        <w:pStyle w:val="BodyText"/>
        <w:rPr>
          <w:sz w:val="28"/>
        </w:rPr>
      </w:pPr>
    </w:p>
    <w:p w14:paraId="2AA106C4" w14:textId="77777777" w:rsidR="00894070" w:rsidRDefault="00894070">
      <w:pPr>
        <w:pStyle w:val="BodyText"/>
        <w:rPr>
          <w:sz w:val="28"/>
        </w:rPr>
      </w:pPr>
    </w:p>
    <w:p w14:paraId="7E8D494B" w14:textId="77777777" w:rsidR="00894070" w:rsidRDefault="00894070">
      <w:pPr>
        <w:pStyle w:val="BodyText"/>
        <w:rPr>
          <w:sz w:val="28"/>
        </w:rPr>
      </w:pPr>
    </w:p>
    <w:p w14:paraId="0D41B604" w14:textId="77777777" w:rsidR="00894070" w:rsidRDefault="00894070">
      <w:pPr>
        <w:pStyle w:val="BodyText"/>
        <w:rPr>
          <w:sz w:val="28"/>
        </w:rPr>
      </w:pPr>
    </w:p>
    <w:p w14:paraId="2CF05CFE" w14:textId="77777777" w:rsidR="00894070" w:rsidRDefault="00894070">
      <w:pPr>
        <w:pStyle w:val="BodyText"/>
        <w:rPr>
          <w:sz w:val="28"/>
        </w:rPr>
      </w:pPr>
    </w:p>
    <w:p w14:paraId="1C2C5631" w14:textId="77777777" w:rsidR="00894070" w:rsidRDefault="00894070">
      <w:pPr>
        <w:pStyle w:val="BodyText"/>
        <w:rPr>
          <w:sz w:val="28"/>
        </w:rPr>
      </w:pPr>
    </w:p>
    <w:p w14:paraId="6BF34813" w14:textId="77777777" w:rsidR="00894070" w:rsidRDefault="00894070">
      <w:pPr>
        <w:pStyle w:val="BodyText"/>
        <w:spacing w:before="7"/>
        <w:rPr>
          <w:sz w:val="33"/>
        </w:rPr>
      </w:pPr>
    </w:p>
    <w:p w14:paraId="6F20FC88" w14:textId="77777777" w:rsidR="00894070" w:rsidRDefault="009B7AFD">
      <w:pPr>
        <w:pStyle w:val="Heading8"/>
        <w:ind w:left="140"/>
      </w:pPr>
      <w:r>
        <w:rPr>
          <w:color w:val="EA5B50"/>
        </w:rPr>
        <w:t>180</w:t>
      </w:r>
    </w:p>
    <w:p w14:paraId="5F84E284" w14:textId="77777777" w:rsidR="00894070" w:rsidRDefault="009B7AFD">
      <w:pPr>
        <w:pStyle w:val="ListParagraph"/>
        <w:numPr>
          <w:ilvl w:val="0"/>
          <w:numId w:val="19"/>
        </w:numPr>
        <w:tabs>
          <w:tab w:val="left" w:pos="933"/>
          <w:tab w:val="left" w:pos="934"/>
        </w:tabs>
        <w:spacing w:before="38" w:line="213" w:lineRule="auto"/>
        <w:ind w:left="933" w:right="1166" w:hanging="793"/>
        <w:jc w:val="left"/>
        <w:rPr>
          <w:sz w:val="13"/>
        </w:rPr>
      </w:pPr>
      <w:r>
        <w:rPr>
          <w:color w:val="231F20"/>
          <w:spacing w:val="3"/>
          <w:sz w:val="13"/>
        </w:rPr>
        <w:br w:type="column"/>
      </w:r>
      <w:r>
        <w:rPr>
          <w:color w:val="231F20"/>
          <w:spacing w:val="2"/>
          <w:sz w:val="13"/>
        </w:rPr>
        <w:t xml:space="preserve">Submissions </w:t>
      </w:r>
      <w:r>
        <w:rPr>
          <w:color w:val="231F20"/>
          <w:sz w:val="13"/>
        </w:rPr>
        <w:t xml:space="preserve">10 (Rochelle Carli), 54 (Riana Leonardi, Hannah Smith, Dahlia Mahmoud, </w:t>
      </w:r>
      <w:r>
        <w:rPr>
          <w:color w:val="231F20"/>
          <w:spacing w:val="2"/>
          <w:sz w:val="13"/>
        </w:rPr>
        <w:t xml:space="preserve">Melissa </w:t>
      </w:r>
      <w:r>
        <w:rPr>
          <w:color w:val="231F20"/>
          <w:sz w:val="13"/>
        </w:rPr>
        <w:t xml:space="preserve">Caligiore), 55 (Bianca Adams), 56 </w:t>
      </w:r>
      <w:r>
        <w:rPr>
          <w:color w:val="231F20"/>
          <w:spacing w:val="2"/>
          <w:sz w:val="13"/>
        </w:rPr>
        <w:t xml:space="preserve">(Derryn </w:t>
      </w:r>
      <w:r>
        <w:rPr>
          <w:color w:val="231F20"/>
          <w:sz w:val="13"/>
        </w:rPr>
        <w:t xml:space="preserve">Hinch’s Justice Party), 60 (Dianne Russell), 61 (Naciyelara Erel), 63 (Madison), 64 (Phillip Castagna), 67 (Erin Scrimshaw), 68 (Natasha Walters), 72 (Sarah Pervaiz), 85 (John Raphael Violeta), 90 </w:t>
      </w:r>
      <w:r>
        <w:rPr>
          <w:color w:val="231F20"/>
          <w:spacing w:val="2"/>
          <w:sz w:val="13"/>
        </w:rPr>
        <w:t xml:space="preserve">(Carmela </w:t>
      </w:r>
      <w:r>
        <w:rPr>
          <w:color w:val="231F20"/>
          <w:sz w:val="13"/>
        </w:rPr>
        <w:t>Melinda</w:t>
      </w:r>
      <w:r>
        <w:rPr>
          <w:color w:val="231F20"/>
          <w:spacing w:val="14"/>
          <w:sz w:val="13"/>
        </w:rPr>
        <w:t xml:space="preserve"> </w:t>
      </w:r>
      <w:r>
        <w:rPr>
          <w:color w:val="231F20"/>
          <w:sz w:val="13"/>
        </w:rPr>
        <w:t>DiMauro).</w:t>
      </w:r>
    </w:p>
    <w:p w14:paraId="07F2DE90" w14:textId="77777777" w:rsidR="00894070" w:rsidRDefault="009B7AFD">
      <w:pPr>
        <w:pStyle w:val="ListParagraph"/>
        <w:numPr>
          <w:ilvl w:val="0"/>
          <w:numId w:val="19"/>
        </w:numPr>
        <w:tabs>
          <w:tab w:val="left" w:pos="933"/>
          <w:tab w:val="left" w:pos="934"/>
        </w:tabs>
        <w:spacing w:line="152" w:lineRule="exact"/>
        <w:ind w:left="933" w:hanging="793"/>
        <w:jc w:val="lef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4"/>
          <w:sz w:val="13"/>
        </w:rPr>
        <w:t xml:space="preserve"> </w:t>
      </w:r>
      <w:r>
        <w:rPr>
          <w:color w:val="231F20"/>
          <w:sz w:val="13"/>
        </w:rPr>
        <w:t>Party).</w:t>
      </w:r>
    </w:p>
    <w:p w14:paraId="0B50F06A"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 xml:space="preserve">of Crime </w:t>
      </w:r>
      <w:r>
        <w:rPr>
          <w:color w:val="231F20"/>
          <w:spacing w:val="2"/>
          <w:sz w:val="13"/>
        </w:rPr>
        <w:t xml:space="preserve"> </w:t>
      </w:r>
      <w:r>
        <w:rPr>
          <w:color w:val="231F20"/>
          <w:sz w:val="13"/>
        </w:rPr>
        <w:t>Commissioner).</w:t>
      </w:r>
    </w:p>
    <w:p w14:paraId="3B23CB87"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 xml:space="preserve">49 </w:t>
      </w:r>
      <w:r>
        <w:rPr>
          <w:color w:val="231F20"/>
          <w:spacing w:val="2"/>
          <w:sz w:val="13"/>
        </w:rPr>
        <w:t xml:space="preserve">(Victims </w:t>
      </w:r>
      <w:r>
        <w:rPr>
          <w:color w:val="231F20"/>
          <w:sz w:val="13"/>
        </w:rPr>
        <w:t xml:space="preserve">of Crime </w:t>
      </w:r>
      <w:r>
        <w:rPr>
          <w:color w:val="231F20"/>
          <w:spacing w:val="2"/>
          <w:sz w:val="13"/>
        </w:rPr>
        <w:t xml:space="preserve"> </w:t>
      </w:r>
      <w:r>
        <w:rPr>
          <w:color w:val="231F20"/>
          <w:sz w:val="13"/>
        </w:rPr>
        <w:t>Commissioner).</w:t>
      </w:r>
    </w:p>
    <w:p w14:paraId="6743DCA6" w14:textId="77777777" w:rsidR="00894070" w:rsidRDefault="009B7AFD">
      <w:pPr>
        <w:pStyle w:val="ListParagraph"/>
        <w:numPr>
          <w:ilvl w:val="0"/>
          <w:numId w:val="19"/>
        </w:numPr>
        <w:tabs>
          <w:tab w:val="left" w:pos="933"/>
          <w:tab w:val="left" w:pos="934"/>
        </w:tabs>
        <w:spacing w:before="6" w:line="213" w:lineRule="auto"/>
        <w:ind w:left="933" w:right="1521" w:hanging="793"/>
        <w:jc w:val="left"/>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3174A7A5" w14:textId="77777777" w:rsidR="00894070" w:rsidRDefault="009B7AFD">
      <w:pPr>
        <w:pStyle w:val="ListParagraph"/>
        <w:numPr>
          <w:ilvl w:val="0"/>
          <w:numId w:val="19"/>
        </w:numPr>
        <w:tabs>
          <w:tab w:val="left" w:pos="933"/>
          <w:tab w:val="left" w:pos="934"/>
        </w:tabs>
        <w:spacing w:line="153" w:lineRule="exact"/>
        <w:ind w:left="933" w:hanging="793"/>
        <w:jc w:val="left"/>
        <w:rPr>
          <w:sz w:val="13"/>
        </w:rPr>
      </w:pPr>
      <w:r>
        <w:rPr>
          <w:color w:val="231F20"/>
          <w:sz w:val="13"/>
        </w:rPr>
        <w:t>Ibid.</w:t>
      </w:r>
    </w:p>
    <w:p w14:paraId="63502886"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26</w:t>
      </w:r>
      <w:r>
        <w:rPr>
          <w:color w:val="231F20"/>
          <w:spacing w:val="-4"/>
          <w:sz w:val="13"/>
        </w:rPr>
        <w:t xml:space="preserve"> </w:t>
      </w:r>
      <w:r>
        <w:rPr>
          <w:color w:val="231F20"/>
          <w:sz w:val="13"/>
        </w:rPr>
        <w:t>(KB).</w:t>
      </w:r>
    </w:p>
    <w:p w14:paraId="152F96BE"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pacing w:val="2"/>
          <w:sz w:val="13"/>
        </w:rPr>
        <w:t xml:space="preserve">Submissions </w:t>
      </w:r>
      <w:r>
        <w:rPr>
          <w:color w:val="231F20"/>
          <w:sz w:val="13"/>
        </w:rPr>
        <w:t>10 (Rochelle Carli), 60 (Dianne Russell), 64 (Phillip Castagna), 85 (John Raphael</w:t>
      </w:r>
      <w:r>
        <w:rPr>
          <w:color w:val="231F20"/>
          <w:spacing w:val="14"/>
          <w:sz w:val="13"/>
        </w:rPr>
        <w:t xml:space="preserve"> </w:t>
      </w:r>
      <w:r>
        <w:rPr>
          <w:color w:val="231F20"/>
          <w:sz w:val="13"/>
        </w:rPr>
        <w:t>Violeta).</w:t>
      </w:r>
    </w:p>
    <w:p w14:paraId="5DB6A660" w14:textId="77777777" w:rsidR="00894070" w:rsidRDefault="009B7AFD">
      <w:pPr>
        <w:pStyle w:val="ListParagraph"/>
        <w:numPr>
          <w:ilvl w:val="0"/>
          <w:numId w:val="19"/>
        </w:numPr>
        <w:tabs>
          <w:tab w:val="left" w:pos="933"/>
          <w:tab w:val="left" w:pos="934"/>
        </w:tabs>
        <w:spacing w:before="6" w:line="213" w:lineRule="auto"/>
        <w:ind w:left="933" w:right="1220" w:hanging="793"/>
        <w:jc w:val="left"/>
        <w:rPr>
          <w:sz w:val="13"/>
        </w:rPr>
      </w:pPr>
      <w:r>
        <w:rPr>
          <w:color w:val="231F20"/>
          <w:spacing w:val="2"/>
          <w:sz w:val="13"/>
        </w:rPr>
        <w:t xml:space="preserve">Submissions </w:t>
      </w:r>
      <w:r>
        <w:rPr>
          <w:color w:val="231F20"/>
          <w:sz w:val="13"/>
        </w:rPr>
        <w:t xml:space="preserve">54 (Riana Leonardi, Hannah Smith, Dahlia Mahmoud, </w:t>
      </w:r>
      <w:r>
        <w:rPr>
          <w:color w:val="231F20"/>
          <w:spacing w:val="2"/>
          <w:sz w:val="13"/>
        </w:rPr>
        <w:t xml:space="preserve">Melissa </w:t>
      </w:r>
      <w:r>
        <w:rPr>
          <w:color w:val="231F20"/>
          <w:sz w:val="13"/>
        </w:rPr>
        <w:t xml:space="preserve">Caligiore), 68 (Natasha Walters), 72 (Sarah Pervaiz), 90 </w:t>
      </w:r>
      <w:r>
        <w:rPr>
          <w:color w:val="231F20"/>
          <w:spacing w:val="2"/>
          <w:sz w:val="13"/>
        </w:rPr>
        <w:t xml:space="preserve">(Carmela </w:t>
      </w:r>
      <w:r>
        <w:rPr>
          <w:color w:val="231F20"/>
          <w:sz w:val="13"/>
        </w:rPr>
        <w:t>Melinda</w:t>
      </w:r>
      <w:r>
        <w:rPr>
          <w:color w:val="231F20"/>
          <w:spacing w:val="-2"/>
          <w:sz w:val="13"/>
        </w:rPr>
        <w:t xml:space="preserve"> </w:t>
      </w:r>
      <w:r>
        <w:rPr>
          <w:color w:val="231F20"/>
          <w:sz w:val="13"/>
        </w:rPr>
        <w:t>DiMauro).</w:t>
      </w:r>
    </w:p>
    <w:p w14:paraId="4319A949" w14:textId="77777777" w:rsidR="00894070" w:rsidRDefault="009B7AFD">
      <w:pPr>
        <w:pStyle w:val="ListParagraph"/>
        <w:numPr>
          <w:ilvl w:val="0"/>
          <w:numId w:val="19"/>
        </w:numPr>
        <w:tabs>
          <w:tab w:val="left" w:pos="933"/>
          <w:tab w:val="left" w:pos="934"/>
        </w:tabs>
        <w:spacing w:line="153" w:lineRule="exact"/>
        <w:ind w:left="933" w:hanging="793"/>
        <w:jc w:val="left"/>
        <w:rPr>
          <w:sz w:val="13"/>
        </w:rPr>
      </w:pPr>
      <w:r>
        <w:rPr>
          <w:color w:val="231F20"/>
          <w:spacing w:val="2"/>
          <w:sz w:val="13"/>
        </w:rPr>
        <w:t xml:space="preserve">Submission </w:t>
      </w:r>
      <w:r>
        <w:rPr>
          <w:color w:val="231F20"/>
          <w:sz w:val="13"/>
        </w:rPr>
        <w:t xml:space="preserve">36 </w:t>
      </w:r>
      <w:r>
        <w:rPr>
          <w:color w:val="231F20"/>
          <w:spacing w:val="2"/>
          <w:sz w:val="13"/>
        </w:rPr>
        <w:t>(Ahmad</w:t>
      </w:r>
      <w:r>
        <w:rPr>
          <w:color w:val="231F20"/>
          <w:spacing w:val="13"/>
          <w:sz w:val="13"/>
        </w:rPr>
        <w:t xml:space="preserve"> </w:t>
      </w:r>
      <w:r>
        <w:rPr>
          <w:color w:val="231F20"/>
          <w:sz w:val="13"/>
        </w:rPr>
        <w:t>Masri).</w:t>
      </w:r>
    </w:p>
    <w:p w14:paraId="4A802B63"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60  (Dianne Russell).</w:t>
      </w:r>
    </w:p>
    <w:p w14:paraId="320D54F3"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67 (Erin</w:t>
      </w:r>
      <w:r>
        <w:rPr>
          <w:color w:val="231F20"/>
          <w:spacing w:val="18"/>
          <w:sz w:val="13"/>
        </w:rPr>
        <w:t xml:space="preserve"> </w:t>
      </w:r>
      <w:r>
        <w:rPr>
          <w:color w:val="231F20"/>
          <w:sz w:val="13"/>
        </w:rPr>
        <w:t>Scrimshaw).</w:t>
      </w:r>
    </w:p>
    <w:p w14:paraId="4480BBE7"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z w:val="13"/>
        </w:rPr>
        <w:t>Consultation 3 (Victoria Police (No</w:t>
      </w:r>
      <w:r>
        <w:rPr>
          <w:color w:val="231F20"/>
          <w:spacing w:val="1"/>
          <w:sz w:val="13"/>
        </w:rPr>
        <w:t xml:space="preserve"> </w:t>
      </w:r>
      <w:r>
        <w:rPr>
          <w:color w:val="231F20"/>
          <w:sz w:val="13"/>
        </w:rPr>
        <w:t>1)).</w:t>
      </w:r>
    </w:p>
    <w:p w14:paraId="19B56DA7"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z w:val="13"/>
        </w:rPr>
        <w:t>Ibid.</w:t>
      </w:r>
    </w:p>
    <w:p w14:paraId="603C6640"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z w:val="13"/>
        </w:rPr>
        <w:t>Ibid.</w:t>
      </w:r>
    </w:p>
    <w:p w14:paraId="082B8324"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z w:val="13"/>
        </w:rPr>
        <w:t>Ibid.</w:t>
      </w:r>
    </w:p>
    <w:p w14:paraId="0852A00C"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z w:val="13"/>
        </w:rPr>
        <w:t>Consultation 26 (Victoria Police (No</w:t>
      </w:r>
      <w:r>
        <w:rPr>
          <w:color w:val="231F20"/>
          <w:spacing w:val="1"/>
          <w:sz w:val="13"/>
        </w:rPr>
        <w:t xml:space="preserve"> </w:t>
      </w:r>
      <w:r>
        <w:rPr>
          <w:color w:val="231F20"/>
          <w:sz w:val="13"/>
        </w:rPr>
        <w:t>3)).</w:t>
      </w:r>
    </w:p>
    <w:p w14:paraId="64D2A707"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z w:val="13"/>
        </w:rPr>
        <w:t>Ibid.</w:t>
      </w:r>
    </w:p>
    <w:p w14:paraId="005E9A01" w14:textId="77777777" w:rsidR="00894070" w:rsidRDefault="009B7AFD">
      <w:pPr>
        <w:pStyle w:val="ListParagraph"/>
        <w:numPr>
          <w:ilvl w:val="0"/>
          <w:numId w:val="19"/>
        </w:numPr>
        <w:tabs>
          <w:tab w:val="left" w:pos="933"/>
          <w:tab w:val="left" w:pos="934"/>
        </w:tabs>
        <w:spacing w:line="160" w:lineRule="exact"/>
        <w:ind w:left="933" w:hanging="793"/>
        <w:jc w:val="left"/>
        <w:rPr>
          <w:sz w:val="13"/>
        </w:rPr>
      </w:pPr>
      <w:r>
        <w:rPr>
          <w:color w:val="231F20"/>
          <w:spacing w:val="2"/>
          <w:sz w:val="13"/>
        </w:rPr>
        <w:t xml:space="preserve">Submission </w:t>
      </w:r>
      <w:r>
        <w:rPr>
          <w:color w:val="231F20"/>
          <w:sz w:val="13"/>
        </w:rPr>
        <w:t xml:space="preserve">97 (Federation of </w:t>
      </w:r>
      <w:r>
        <w:rPr>
          <w:color w:val="231F20"/>
          <w:spacing w:val="2"/>
          <w:sz w:val="13"/>
        </w:rPr>
        <w:t xml:space="preserve">Community </w:t>
      </w:r>
      <w:r>
        <w:rPr>
          <w:color w:val="231F20"/>
          <w:sz w:val="13"/>
        </w:rPr>
        <w:t>Legal</w:t>
      </w:r>
      <w:r>
        <w:rPr>
          <w:color w:val="231F20"/>
          <w:spacing w:val="-5"/>
          <w:sz w:val="13"/>
        </w:rPr>
        <w:t xml:space="preserve"> </w:t>
      </w:r>
      <w:r>
        <w:rPr>
          <w:color w:val="231F20"/>
          <w:sz w:val="13"/>
        </w:rPr>
        <w:t>Centres).</w:t>
      </w:r>
    </w:p>
    <w:p w14:paraId="4846BF67" w14:textId="77777777" w:rsidR="00894070" w:rsidRDefault="009B7AFD">
      <w:pPr>
        <w:pStyle w:val="ListParagraph"/>
        <w:numPr>
          <w:ilvl w:val="0"/>
          <w:numId w:val="19"/>
        </w:numPr>
        <w:tabs>
          <w:tab w:val="left" w:pos="933"/>
          <w:tab w:val="left" w:pos="934"/>
        </w:tabs>
        <w:spacing w:line="170" w:lineRule="exact"/>
        <w:ind w:left="933" w:hanging="793"/>
        <w:jc w:val="left"/>
        <w:rPr>
          <w:sz w:val="13"/>
        </w:rPr>
      </w:pPr>
      <w:r>
        <w:rPr>
          <w:color w:val="231F20"/>
          <w:sz w:val="13"/>
        </w:rPr>
        <w:t>Consultation 26 (Victoria Police (No</w:t>
      </w:r>
      <w:r>
        <w:rPr>
          <w:color w:val="231F20"/>
          <w:spacing w:val="1"/>
          <w:sz w:val="13"/>
        </w:rPr>
        <w:t xml:space="preserve"> </w:t>
      </w:r>
      <w:r>
        <w:rPr>
          <w:color w:val="231F20"/>
          <w:sz w:val="13"/>
        </w:rPr>
        <w:t>3)).</w:t>
      </w:r>
    </w:p>
    <w:p w14:paraId="5D299E3F"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89" w:space="279"/>
            <w:col w:w="10042"/>
          </w:cols>
        </w:sectPr>
      </w:pPr>
    </w:p>
    <w:p w14:paraId="20A8B839" w14:textId="77777777" w:rsidR="00894070" w:rsidRDefault="00894070">
      <w:pPr>
        <w:pStyle w:val="BodyText"/>
      </w:pPr>
    </w:p>
    <w:p w14:paraId="03B01450" w14:textId="77777777" w:rsidR="00894070" w:rsidRDefault="00894070">
      <w:pPr>
        <w:pStyle w:val="BodyText"/>
      </w:pPr>
    </w:p>
    <w:p w14:paraId="1507FDFB" w14:textId="77777777" w:rsidR="00894070" w:rsidRDefault="00894070">
      <w:pPr>
        <w:pStyle w:val="BodyText"/>
      </w:pPr>
    </w:p>
    <w:p w14:paraId="6EA75382" w14:textId="77777777" w:rsidR="00894070" w:rsidRDefault="00894070">
      <w:pPr>
        <w:pStyle w:val="BodyText"/>
        <w:spacing w:before="6"/>
        <w:rPr>
          <w:sz w:val="14"/>
        </w:rPr>
      </w:pPr>
    </w:p>
    <w:p w14:paraId="243B8D73" w14:textId="77777777" w:rsidR="00894070" w:rsidRDefault="009B7AFD">
      <w:pPr>
        <w:pStyle w:val="ListParagraph"/>
        <w:numPr>
          <w:ilvl w:val="1"/>
          <w:numId w:val="19"/>
        </w:numPr>
        <w:tabs>
          <w:tab w:val="left" w:pos="2141"/>
          <w:tab w:val="left" w:pos="2142"/>
        </w:tabs>
        <w:spacing w:before="90" w:line="206" w:lineRule="auto"/>
        <w:ind w:right="1232" w:hanging="340"/>
        <w:rPr>
          <w:sz w:val="11"/>
        </w:rPr>
      </w:pPr>
      <w:bookmarkStart w:id="193" w:name="_bookmark117"/>
      <w:bookmarkEnd w:id="193"/>
      <w:r>
        <w:rPr>
          <w:color w:val="231F20"/>
          <w:sz w:val="20"/>
        </w:rPr>
        <w:t xml:space="preserve">There </w:t>
      </w:r>
      <w:r>
        <w:rPr>
          <w:color w:val="231F20"/>
          <w:spacing w:val="-3"/>
          <w:sz w:val="20"/>
        </w:rPr>
        <w:t xml:space="preserve">are </w:t>
      </w:r>
      <w:r>
        <w:rPr>
          <w:color w:val="231F20"/>
          <w:sz w:val="20"/>
        </w:rPr>
        <w:t xml:space="preserve">human rights concerns in relation to limiting the liberty of people who </w:t>
      </w:r>
      <w:r>
        <w:rPr>
          <w:color w:val="231F20"/>
          <w:spacing w:val="-4"/>
          <w:sz w:val="20"/>
        </w:rPr>
        <w:t>have</w:t>
      </w:r>
      <w:r>
        <w:rPr>
          <w:color w:val="231F20"/>
          <w:spacing w:val="-8"/>
          <w:sz w:val="20"/>
        </w:rPr>
        <w:t xml:space="preserve"> </w:t>
      </w:r>
      <w:r>
        <w:rPr>
          <w:color w:val="231F20"/>
          <w:sz w:val="20"/>
        </w:rPr>
        <w:t>not</w:t>
      </w:r>
      <w:r>
        <w:rPr>
          <w:color w:val="231F20"/>
          <w:spacing w:val="-8"/>
          <w:sz w:val="20"/>
        </w:rPr>
        <w:t xml:space="preserve"> </w:t>
      </w:r>
      <w:r>
        <w:rPr>
          <w:color w:val="231F20"/>
          <w:sz w:val="20"/>
        </w:rPr>
        <w:t>been</w:t>
      </w:r>
      <w:r>
        <w:rPr>
          <w:color w:val="231F20"/>
          <w:spacing w:val="-8"/>
          <w:sz w:val="20"/>
        </w:rPr>
        <w:t xml:space="preserve"> </w:t>
      </w:r>
      <w:r>
        <w:rPr>
          <w:color w:val="231F20"/>
          <w:spacing w:val="-3"/>
          <w:sz w:val="20"/>
        </w:rPr>
        <w:t>convicted</w:t>
      </w:r>
      <w:r>
        <w:rPr>
          <w:color w:val="231F20"/>
          <w:spacing w:val="-8"/>
          <w:sz w:val="20"/>
        </w:rPr>
        <w:t xml:space="preserve"> </w:t>
      </w:r>
      <w:r>
        <w:rPr>
          <w:color w:val="231F20"/>
          <w:sz w:val="20"/>
        </w:rPr>
        <w:t>of</w:t>
      </w:r>
      <w:r>
        <w:rPr>
          <w:color w:val="231F20"/>
          <w:spacing w:val="-8"/>
          <w:sz w:val="20"/>
        </w:rPr>
        <w:t xml:space="preserve"> </w:t>
      </w:r>
      <w:r>
        <w:rPr>
          <w:color w:val="231F20"/>
          <w:sz w:val="20"/>
        </w:rPr>
        <w:t>a</w:t>
      </w:r>
      <w:r>
        <w:rPr>
          <w:color w:val="231F20"/>
          <w:spacing w:val="-8"/>
          <w:sz w:val="20"/>
        </w:rPr>
        <w:t xml:space="preserve"> </w:t>
      </w:r>
      <w:r>
        <w:rPr>
          <w:color w:val="231F20"/>
          <w:sz w:val="20"/>
        </w:rPr>
        <w:t>crime.</w:t>
      </w:r>
      <w:r>
        <w:rPr>
          <w:color w:val="231F20"/>
          <w:position w:val="7"/>
          <w:sz w:val="11"/>
        </w:rPr>
        <w:t>195</w:t>
      </w:r>
      <w:r>
        <w:rPr>
          <w:color w:val="231F20"/>
          <w:spacing w:val="16"/>
          <w:position w:val="7"/>
          <w:sz w:val="11"/>
        </w:rPr>
        <w:t xml:space="preserve"> </w:t>
      </w:r>
      <w:r>
        <w:rPr>
          <w:color w:val="231F20"/>
          <w:sz w:val="20"/>
        </w:rPr>
        <w:t>The</w:t>
      </w:r>
      <w:r>
        <w:rPr>
          <w:color w:val="231F20"/>
          <w:spacing w:val="-8"/>
          <w:sz w:val="20"/>
        </w:rPr>
        <w:t xml:space="preserve"> </w:t>
      </w:r>
      <w:r>
        <w:rPr>
          <w:color w:val="231F20"/>
          <w:sz w:val="20"/>
        </w:rPr>
        <w:t>Victorian</w:t>
      </w:r>
      <w:r>
        <w:rPr>
          <w:color w:val="231F20"/>
          <w:spacing w:val="-8"/>
          <w:sz w:val="20"/>
        </w:rPr>
        <w:t xml:space="preserve"> </w:t>
      </w:r>
      <w:r>
        <w:rPr>
          <w:color w:val="231F20"/>
          <w:sz w:val="20"/>
        </w:rPr>
        <w:t>Aboriginal</w:t>
      </w:r>
      <w:r>
        <w:rPr>
          <w:color w:val="231F20"/>
          <w:spacing w:val="-8"/>
          <w:sz w:val="20"/>
        </w:rPr>
        <w:t xml:space="preserve"> </w:t>
      </w:r>
      <w:r>
        <w:rPr>
          <w:color w:val="231F20"/>
          <w:sz w:val="20"/>
        </w:rPr>
        <w:t>Legal</w:t>
      </w:r>
      <w:r>
        <w:rPr>
          <w:color w:val="231F20"/>
          <w:spacing w:val="-8"/>
          <w:sz w:val="20"/>
        </w:rPr>
        <w:t xml:space="preserve"> </w:t>
      </w:r>
      <w:r>
        <w:rPr>
          <w:color w:val="231F20"/>
          <w:sz w:val="20"/>
        </w:rPr>
        <w:t>Service</w:t>
      </w:r>
      <w:r>
        <w:rPr>
          <w:color w:val="231F20"/>
          <w:spacing w:val="-8"/>
          <w:sz w:val="20"/>
        </w:rPr>
        <w:t xml:space="preserve"> </w:t>
      </w:r>
      <w:r>
        <w:rPr>
          <w:color w:val="231F20"/>
          <w:sz w:val="20"/>
        </w:rPr>
        <w:t xml:space="preserve">noted the ‘scant </w:t>
      </w:r>
      <w:r>
        <w:rPr>
          <w:color w:val="231F20"/>
          <w:spacing w:val="-3"/>
          <w:sz w:val="20"/>
        </w:rPr>
        <w:t xml:space="preserve">evidence’ </w:t>
      </w:r>
      <w:r>
        <w:rPr>
          <w:color w:val="231F20"/>
          <w:sz w:val="20"/>
        </w:rPr>
        <w:t xml:space="preserve">being produced at the PSIO stage and the </w:t>
      </w:r>
      <w:r>
        <w:rPr>
          <w:color w:val="231F20"/>
          <w:spacing w:val="-4"/>
          <w:sz w:val="20"/>
        </w:rPr>
        <w:t xml:space="preserve">low </w:t>
      </w:r>
      <w:r>
        <w:rPr>
          <w:color w:val="231F20"/>
          <w:spacing w:val="-3"/>
          <w:sz w:val="20"/>
        </w:rPr>
        <w:t xml:space="preserve">threshold for </w:t>
      </w:r>
      <w:r>
        <w:rPr>
          <w:color w:val="231F20"/>
          <w:sz w:val="20"/>
        </w:rPr>
        <w:t>making an</w:t>
      </w:r>
      <w:r>
        <w:rPr>
          <w:color w:val="231F20"/>
          <w:spacing w:val="-8"/>
          <w:sz w:val="20"/>
        </w:rPr>
        <w:t xml:space="preserve"> </w:t>
      </w:r>
      <w:r>
        <w:rPr>
          <w:color w:val="231F20"/>
          <w:spacing w:val="-3"/>
          <w:sz w:val="20"/>
        </w:rPr>
        <w:t>order.</w:t>
      </w:r>
      <w:r>
        <w:rPr>
          <w:color w:val="231F20"/>
          <w:spacing w:val="-3"/>
          <w:position w:val="7"/>
          <w:sz w:val="11"/>
        </w:rPr>
        <w:t>196</w:t>
      </w:r>
    </w:p>
    <w:p w14:paraId="1BAE4BEC" w14:textId="77777777" w:rsidR="00894070" w:rsidRDefault="009B7AFD">
      <w:pPr>
        <w:pStyle w:val="ListParagraph"/>
        <w:numPr>
          <w:ilvl w:val="1"/>
          <w:numId w:val="19"/>
        </w:numPr>
        <w:tabs>
          <w:tab w:val="left" w:pos="2141"/>
          <w:tab w:val="left" w:pos="2142"/>
        </w:tabs>
        <w:spacing w:before="90" w:line="206" w:lineRule="auto"/>
        <w:ind w:right="1376" w:hanging="340"/>
        <w:rPr>
          <w:sz w:val="11"/>
        </w:rPr>
      </w:pPr>
      <w:r>
        <w:rPr>
          <w:color w:val="231F20"/>
          <w:spacing w:val="-3"/>
          <w:sz w:val="20"/>
        </w:rPr>
        <w:t xml:space="preserve">Wearing </w:t>
      </w:r>
      <w:r>
        <w:rPr>
          <w:color w:val="231F20"/>
          <w:sz w:val="20"/>
        </w:rPr>
        <w:t xml:space="preserve">an electronic monitoring </w:t>
      </w:r>
      <w:r>
        <w:rPr>
          <w:color w:val="231F20"/>
          <w:spacing w:val="-3"/>
          <w:sz w:val="20"/>
        </w:rPr>
        <w:t xml:space="preserve">device may </w:t>
      </w:r>
      <w:r>
        <w:rPr>
          <w:color w:val="231F20"/>
          <w:sz w:val="20"/>
        </w:rPr>
        <w:t>be stigmatising,</w:t>
      </w:r>
      <w:r>
        <w:rPr>
          <w:color w:val="231F20"/>
          <w:position w:val="7"/>
          <w:sz w:val="11"/>
        </w:rPr>
        <w:t xml:space="preserve">197 </w:t>
      </w:r>
      <w:r>
        <w:rPr>
          <w:color w:val="231F20"/>
          <w:sz w:val="20"/>
        </w:rPr>
        <w:t xml:space="preserve">and can affect access to </w:t>
      </w:r>
      <w:r>
        <w:rPr>
          <w:color w:val="231F20"/>
          <w:spacing w:val="-3"/>
          <w:sz w:val="20"/>
        </w:rPr>
        <w:t xml:space="preserve">treatment </w:t>
      </w:r>
      <w:r>
        <w:rPr>
          <w:color w:val="231F20"/>
          <w:sz w:val="20"/>
        </w:rPr>
        <w:t>and housing.</w:t>
      </w:r>
      <w:r>
        <w:rPr>
          <w:color w:val="231F20"/>
          <w:position w:val="7"/>
          <w:sz w:val="11"/>
        </w:rPr>
        <w:t xml:space="preserve">198 </w:t>
      </w:r>
      <w:r>
        <w:rPr>
          <w:color w:val="231F20"/>
          <w:spacing w:val="-3"/>
          <w:sz w:val="20"/>
        </w:rPr>
        <w:t xml:space="preserve">For example, </w:t>
      </w:r>
      <w:r>
        <w:rPr>
          <w:color w:val="231F20"/>
          <w:sz w:val="20"/>
        </w:rPr>
        <w:t xml:space="preserve">some housing </w:t>
      </w:r>
      <w:r>
        <w:rPr>
          <w:color w:val="231F20"/>
          <w:spacing w:val="-3"/>
          <w:sz w:val="20"/>
        </w:rPr>
        <w:t xml:space="preserve">providers </w:t>
      </w:r>
      <w:r>
        <w:rPr>
          <w:color w:val="231F20"/>
          <w:sz w:val="20"/>
        </w:rPr>
        <w:t xml:space="preserve">will not </w:t>
      </w:r>
      <w:r>
        <w:rPr>
          <w:color w:val="231F20"/>
          <w:spacing w:val="-3"/>
          <w:sz w:val="20"/>
        </w:rPr>
        <w:t xml:space="preserve">accept </w:t>
      </w:r>
      <w:r>
        <w:rPr>
          <w:color w:val="231F20"/>
          <w:sz w:val="20"/>
        </w:rPr>
        <w:t xml:space="preserve">people who </w:t>
      </w:r>
      <w:r>
        <w:rPr>
          <w:color w:val="231F20"/>
          <w:spacing w:val="-3"/>
          <w:sz w:val="20"/>
        </w:rPr>
        <w:t xml:space="preserve">are </w:t>
      </w:r>
      <w:r>
        <w:rPr>
          <w:color w:val="231F20"/>
          <w:sz w:val="20"/>
        </w:rPr>
        <w:t>being electronically</w:t>
      </w:r>
      <w:r>
        <w:rPr>
          <w:color w:val="231F20"/>
          <w:spacing w:val="-23"/>
          <w:sz w:val="20"/>
        </w:rPr>
        <w:t xml:space="preserve"> </w:t>
      </w:r>
      <w:r>
        <w:rPr>
          <w:color w:val="231F20"/>
          <w:sz w:val="20"/>
        </w:rPr>
        <w:t>monitored.</w:t>
      </w:r>
      <w:r>
        <w:rPr>
          <w:color w:val="231F20"/>
          <w:position w:val="7"/>
          <w:sz w:val="11"/>
        </w:rPr>
        <w:t>199</w:t>
      </w:r>
    </w:p>
    <w:p w14:paraId="08A359BB" w14:textId="77777777" w:rsidR="00894070" w:rsidRDefault="009B7AFD">
      <w:pPr>
        <w:pStyle w:val="ListParagraph"/>
        <w:numPr>
          <w:ilvl w:val="1"/>
          <w:numId w:val="29"/>
        </w:numPr>
        <w:tabs>
          <w:tab w:val="left" w:pos="1801"/>
          <w:tab w:val="left" w:pos="1802"/>
        </w:tabs>
        <w:spacing w:before="89" w:line="206" w:lineRule="auto"/>
        <w:ind w:right="1370"/>
        <w:rPr>
          <w:sz w:val="11"/>
        </w:rPr>
      </w:pPr>
      <w:r>
        <w:rPr>
          <w:color w:val="231F20"/>
          <w:sz w:val="20"/>
        </w:rPr>
        <w:t>It</w:t>
      </w:r>
      <w:r>
        <w:rPr>
          <w:color w:val="231F20"/>
          <w:spacing w:val="-10"/>
          <w:sz w:val="20"/>
        </w:rPr>
        <w:t xml:space="preserve"> </w:t>
      </w:r>
      <w:r>
        <w:rPr>
          <w:color w:val="231F20"/>
          <w:sz w:val="20"/>
        </w:rPr>
        <w:t>was</w:t>
      </w:r>
      <w:r>
        <w:rPr>
          <w:color w:val="231F20"/>
          <w:spacing w:val="-9"/>
          <w:sz w:val="20"/>
        </w:rPr>
        <w:t xml:space="preserve"> </w:t>
      </w:r>
      <w:r>
        <w:rPr>
          <w:color w:val="231F20"/>
          <w:sz w:val="20"/>
        </w:rPr>
        <w:t>submitted</w:t>
      </w:r>
      <w:r>
        <w:rPr>
          <w:color w:val="231F20"/>
          <w:spacing w:val="-10"/>
          <w:sz w:val="20"/>
        </w:rPr>
        <w:t xml:space="preserve"> </w:t>
      </w:r>
      <w:r>
        <w:rPr>
          <w:color w:val="231F20"/>
          <w:sz w:val="20"/>
        </w:rPr>
        <w:t>that</w:t>
      </w:r>
      <w:r>
        <w:rPr>
          <w:color w:val="231F20"/>
          <w:spacing w:val="-9"/>
          <w:sz w:val="20"/>
        </w:rPr>
        <w:t xml:space="preserve"> </w:t>
      </w:r>
      <w:r>
        <w:rPr>
          <w:color w:val="231F20"/>
          <w:sz w:val="20"/>
        </w:rPr>
        <w:t>electronic</w:t>
      </w:r>
      <w:r>
        <w:rPr>
          <w:color w:val="231F20"/>
          <w:spacing w:val="-9"/>
          <w:sz w:val="20"/>
        </w:rPr>
        <w:t xml:space="preserve"> </w:t>
      </w:r>
      <w:r>
        <w:rPr>
          <w:color w:val="231F20"/>
          <w:sz w:val="20"/>
        </w:rPr>
        <w:t>monitoring</w:t>
      </w:r>
      <w:r>
        <w:rPr>
          <w:color w:val="231F20"/>
          <w:spacing w:val="-10"/>
          <w:sz w:val="20"/>
        </w:rPr>
        <w:t xml:space="preserve"> </w:t>
      </w:r>
      <w:r>
        <w:rPr>
          <w:color w:val="231F20"/>
          <w:sz w:val="20"/>
        </w:rPr>
        <w:t>is</w:t>
      </w:r>
      <w:r>
        <w:rPr>
          <w:color w:val="231F20"/>
          <w:spacing w:val="-9"/>
          <w:sz w:val="20"/>
        </w:rPr>
        <w:t xml:space="preserve"> </w:t>
      </w:r>
      <w:r>
        <w:rPr>
          <w:color w:val="231F20"/>
          <w:spacing w:val="-4"/>
          <w:sz w:val="20"/>
        </w:rPr>
        <w:t>‘only</w:t>
      </w:r>
      <w:r>
        <w:rPr>
          <w:color w:val="231F20"/>
          <w:spacing w:val="-9"/>
          <w:sz w:val="20"/>
        </w:rPr>
        <w:t xml:space="preserve"> </w:t>
      </w:r>
      <w:r>
        <w:rPr>
          <w:color w:val="231F20"/>
          <w:spacing w:val="-3"/>
          <w:sz w:val="20"/>
        </w:rPr>
        <w:t>appropriate</w:t>
      </w:r>
      <w:r>
        <w:rPr>
          <w:color w:val="231F20"/>
          <w:spacing w:val="-10"/>
          <w:sz w:val="20"/>
        </w:rPr>
        <w:t xml:space="preserve"> </w:t>
      </w:r>
      <w:r>
        <w:rPr>
          <w:color w:val="231F20"/>
          <w:sz w:val="20"/>
        </w:rPr>
        <w:t>once</w:t>
      </w:r>
      <w:r>
        <w:rPr>
          <w:color w:val="231F20"/>
          <w:spacing w:val="-9"/>
          <w:sz w:val="20"/>
        </w:rPr>
        <w:t xml:space="preserve"> </w:t>
      </w:r>
      <w:r>
        <w:rPr>
          <w:color w:val="231F20"/>
          <w:sz w:val="20"/>
        </w:rPr>
        <w:t>an</w:t>
      </w:r>
      <w:r>
        <w:rPr>
          <w:color w:val="231F20"/>
          <w:spacing w:val="-9"/>
          <w:sz w:val="20"/>
        </w:rPr>
        <w:t xml:space="preserve"> </w:t>
      </w:r>
      <w:r>
        <w:rPr>
          <w:color w:val="231F20"/>
          <w:sz w:val="20"/>
        </w:rPr>
        <w:t>individual</w:t>
      </w:r>
      <w:r>
        <w:rPr>
          <w:color w:val="231F20"/>
          <w:spacing w:val="-10"/>
          <w:sz w:val="20"/>
        </w:rPr>
        <w:t xml:space="preserve"> </w:t>
      </w:r>
      <w:r>
        <w:rPr>
          <w:color w:val="231F20"/>
          <w:sz w:val="20"/>
        </w:rPr>
        <w:t xml:space="preserve">has been </w:t>
      </w:r>
      <w:r>
        <w:rPr>
          <w:color w:val="231F20"/>
          <w:spacing w:val="-3"/>
          <w:sz w:val="20"/>
        </w:rPr>
        <w:t xml:space="preserve">convicted </w:t>
      </w:r>
      <w:r>
        <w:rPr>
          <w:color w:val="231F20"/>
          <w:sz w:val="20"/>
        </w:rPr>
        <w:t>of serious criminal</w:t>
      </w:r>
      <w:r>
        <w:rPr>
          <w:color w:val="231F20"/>
          <w:spacing w:val="-20"/>
          <w:sz w:val="20"/>
        </w:rPr>
        <w:t xml:space="preserve"> </w:t>
      </w:r>
      <w:r>
        <w:rPr>
          <w:color w:val="231F20"/>
          <w:sz w:val="20"/>
        </w:rPr>
        <w:t>offending’.</w:t>
      </w:r>
      <w:r>
        <w:rPr>
          <w:color w:val="231F20"/>
          <w:position w:val="7"/>
          <w:sz w:val="11"/>
        </w:rPr>
        <w:t>200</w:t>
      </w:r>
    </w:p>
    <w:p w14:paraId="7DB608DC" w14:textId="77777777" w:rsidR="00894070" w:rsidRDefault="009B7AFD">
      <w:pPr>
        <w:pStyle w:val="ListParagraph"/>
        <w:numPr>
          <w:ilvl w:val="1"/>
          <w:numId w:val="29"/>
        </w:numPr>
        <w:tabs>
          <w:tab w:val="left" w:pos="1801"/>
          <w:tab w:val="left" w:pos="1802"/>
        </w:tabs>
        <w:spacing w:before="122" w:line="206" w:lineRule="auto"/>
        <w:ind w:right="1229"/>
        <w:rPr>
          <w:sz w:val="11"/>
        </w:rPr>
      </w:pPr>
      <w:r>
        <w:rPr>
          <w:color w:val="231F20"/>
          <w:sz w:val="20"/>
        </w:rPr>
        <w:t>Victoria</w:t>
      </w:r>
      <w:r>
        <w:rPr>
          <w:color w:val="231F20"/>
          <w:spacing w:val="-16"/>
          <w:sz w:val="20"/>
        </w:rPr>
        <w:t xml:space="preserve"> </w:t>
      </w:r>
      <w:r>
        <w:rPr>
          <w:color w:val="231F20"/>
          <w:sz w:val="20"/>
        </w:rPr>
        <w:t>Police</w:t>
      </w:r>
      <w:r>
        <w:rPr>
          <w:color w:val="231F20"/>
          <w:spacing w:val="-16"/>
          <w:sz w:val="20"/>
        </w:rPr>
        <w:t xml:space="preserve"> </w:t>
      </w:r>
      <w:r>
        <w:rPr>
          <w:color w:val="231F20"/>
          <w:sz w:val="20"/>
        </w:rPr>
        <w:t>submitted</w:t>
      </w:r>
      <w:r>
        <w:rPr>
          <w:color w:val="231F20"/>
          <w:spacing w:val="-16"/>
          <w:sz w:val="20"/>
        </w:rPr>
        <w:t xml:space="preserve"> </w:t>
      </w:r>
      <w:r>
        <w:rPr>
          <w:color w:val="231F20"/>
          <w:sz w:val="20"/>
        </w:rPr>
        <w:t>that</w:t>
      </w:r>
      <w:r>
        <w:rPr>
          <w:color w:val="231F20"/>
          <w:spacing w:val="-16"/>
          <w:sz w:val="20"/>
        </w:rPr>
        <w:t xml:space="preserve"> </w:t>
      </w:r>
      <w:r>
        <w:rPr>
          <w:color w:val="231F20"/>
          <w:sz w:val="20"/>
        </w:rPr>
        <w:t>‘Implementation</w:t>
      </w:r>
      <w:r>
        <w:rPr>
          <w:color w:val="231F20"/>
          <w:spacing w:val="-16"/>
          <w:sz w:val="20"/>
        </w:rPr>
        <w:t xml:space="preserve"> </w:t>
      </w:r>
      <w:r>
        <w:rPr>
          <w:color w:val="231F20"/>
          <w:sz w:val="20"/>
        </w:rPr>
        <w:t>of</w:t>
      </w:r>
      <w:r>
        <w:rPr>
          <w:color w:val="231F20"/>
          <w:spacing w:val="-16"/>
          <w:sz w:val="20"/>
        </w:rPr>
        <w:t xml:space="preserve"> </w:t>
      </w:r>
      <w:r>
        <w:rPr>
          <w:color w:val="231F20"/>
          <w:sz w:val="20"/>
        </w:rPr>
        <w:t>electronic</w:t>
      </w:r>
      <w:r>
        <w:rPr>
          <w:color w:val="231F20"/>
          <w:spacing w:val="-16"/>
          <w:sz w:val="20"/>
        </w:rPr>
        <w:t xml:space="preserve"> </w:t>
      </w:r>
      <w:r>
        <w:rPr>
          <w:color w:val="231F20"/>
          <w:sz w:val="20"/>
        </w:rPr>
        <w:t>monitoring</w:t>
      </w:r>
      <w:r>
        <w:rPr>
          <w:color w:val="231F20"/>
          <w:spacing w:val="-16"/>
          <w:sz w:val="20"/>
        </w:rPr>
        <w:t xml:space="preserve"> </w:t>
      </w:r>
      <w:r>
        <w:rPr>
          <w:color w:val="231F20"/>
          <w:sz w:val="20"/>
        </w:rPr>
        <w:t>conditions</w:t>
      </w:r>
      <w:r>
        <w:rPr>
          <w:color w:val="231F20"/>
          <w:spacing w:val="-16"/>
          <w:sz w:val="20"/>
        </w:rPr>
        <w:t xml:space="preserve"> </w:t>
      </w:r>
      <w:r>
        <w:rPr>
          <w:color w:val="231F20"/>
          <w:sz w:val="20"/>
        </w:rPr>
        <w:t xml:space="preserve">pre- </w:t>
      </w:r>
      <w:r>
        <w:rPr>
          <w:color w:val="231F20"/>
          <w:spacing w:val="-2"/>
          <w:sz w:val="20"/>
        </w:rPr>
        <w:t xml:space="preserve">sentence </w:t>
      </w:r>
      <w:r>
        <w:rPr>
          <w:color w:val="231F20"/>
          <w:sz w:val="20"/>
        </w:rPr>
        <w:t xml:space="preserve">or in a civil setting without charge </w:t>
      </w:r>
      <w:r>
        <w:rPr>
          <w:color w:val="231F20"/>
          <w:spacing w:val="-3"/>
          <w:sz w:val="20"/>
        </w:rPr>
        <w:t xml:space="preserve">would </w:t>
      </w:r>
      <w:r>
        <w:rPr>
          <w:color w:val="231F20"/>
          <w:sz w:val="20"/>
        </w:rPr>
        <w:t xml:space="preserve">be a significant departure </w:t>
      </w:r>
      <w:r>
        <w:rPr>
          <w:color w:val="231F20"/>
          <w:spacing w:val="-3"/>
          <w:sz w:val="20"/>
        </w:rPr>
        <w:t xml:space="preserve">from </w:t>
      </w:r>
      <w:r>
        <w:rPr>
          <w:color w:val="231F20"/>
          <w:sz w:val="20"/>
        </w:rPr>
        <w:t xml:space="preserve">the </w:t>
      </w:r>
      <w:r>
        <w:rPr>
          <w:color w:val="231F20"/>
          <w:spacing w:val="-3"/>
          <w:sz w:val="20"/>
        </w:rPr>
        <w:t>current</w:t>
      </w:r>
      <w:r>
        <w:rPr>
          <w:color w:val="231F20"/>
          <w:spacing w:val="-6"/>
          <w:sz w:val="20"/>
        </w:rPr>
        <w:t xml:space="preserve"> </w:t>
      </w:r>
      <w:r>
        <w:rPr>
          <w:color w:val="231F20"/>
          <w:sz w:val="20"/>
        </w:rPr>
        <w:t>model’.</w:t>
      </w:r>
      <w:r>
        <w:rPr>
          <w:color w:val="231F20"/>
          <w:position w:val="7"/>
          <w:sz w:val="11"/>
        </w:rPr>
        <w:t>201</w:t>
      </w:r>
    </w:p>
    <w:p w14:paraId="4B7EED63" w14:textId="77777777" w:rsidR="00894070" w:rsidRDefault="00894070">
      <w:pPr>
        <w:pStyle w:val="BodyText"/>
        <w:spacing w:before="11"/>
        <w:rPr>
          <w:sz w:val="15"/>
        </w:rPr>
      </w:pPr>
    </w:p>
    <w:p w14:paraId="5F65C668" w14:textId="77777777" w:rsidR="00894070" w:rsidRDefault="009B7AFD">
      <w:pPr>
        <w:pStyle w:val="Heading8"/>
        <w:ind w:left="1007"/>
      </w:pPr>
      <w:r>
        <w:rPr>
          <w:color w:val="231F20"/>
        </w:rPr>
        <w:t>Conclusion on electronic monitoring</w:t>
      </w:r>
    </w:p>
    <w:p w14:paraId="5E795CA5" w14:textId="77777777" w:rsidR="00894070" w:rsidRDefault="009B7AFD">
      <w:pPr>
        <w:pStyle w:val="ListParagraph"/>
        <w:numPr>
          <w:ilvl w:val="1"/>
          <w:numId w:val="29"/>
        </w:numPr>
        <w:tabs>
          <w:tab w:val="left" w:pos="1801"/>
          <w:tab w:val="left" w:pos="1802"/>
        </w:tabs>
        <w:spacing w:before="127" w:line="206" w:lineRule="auto"/>
        <w:ind w:right="1406"/>
        <w:rPr>
          <w:sz w:val="11"/>
        </w:rPr>
      </w:pPr>
      <w:r>
        <w:rPr>
          <w:color w:val="231F20"/>
          <w:spacing w:val="-3"/>
          <w:sz w:val="20"/>
        </w:rPr>
        <w:t xml:space="preserve">Electronic </w:t>
      </w:r>
      <w:r>
        <w:rPr>
          <w:color w:val="231F20"/>
          <w:sz w:val="20"/>
        </w:rPr>
        <w:t xml:space="preserve">monitoring is primarily used after sentencing, and after </w:t>
      </w:r>
      <w:r>
        <w:rPr>
          <w:color w:val="231F20"/>
          <w:spacing w:val="-3"/>
          <w:sz w:val="20"/>
        </w:rPr>
        <w:t xml:space="preserve">proof </w:t>
      </w:r>
      <w:r>
        <w:rPr>
          <w:color w:val="231F20"/>
          <w:sz w:val="20"/>
        </w:rPr>
        <w:t xml:space="preserve">of a criminal </w:t>
      </w:r>
      <w:r>
        <w:rPr>
          <w:color w:val="231F20"/>
          <w:spacing w:val="-3"/>
          <w:sz w:val="20"/>
        </w:rPr>
        <w:t>offence,</w:t>
      </w:r>
      <w:r>
        <w:rPr>
          <w:color w:val="231F20"/>
          <w:spacing w:val="-9"/>
          <w:sz w:val="20"/>
        </w:rPr>
        <w:t xml:space="preserve"> </w:t>
      </w:r>
      <w:r>
        <w:rPr>
          <w:color w:val="231F20"/>
          <w:sz w:val="20"/>
        </w:rPr>
        <w:t>which</w:t>
      </w:r>
      <w:r>
        <w:rPr>
          <w:color w:val="231F20"/>
          <w:spacing w:val="-9"/>
          <w:sz w:val="20"/>
        </w:rPr>
        <w:t xml:space="preserve"> </w:t>
      </w:r>
      <w:r>
        <w:rPr>
          <w:color w:val="231F20"/>
          <w:sz w:val="20"/>
        </w:rPr>
        <w:t>uses</w:t>
      </w:r>
      <w:r>
        <w:rPr>
          <w:color w:val="231F20"/>
          <w:spacing w:val="-9"/>
          <w:sz w:val="20"/>
        </w:rPr>
        <w:t xml:space="preserve"> </w:t>
      </w:r>
      <w:r>
        <w:rPr>
          <w:color w:val="231F20"/>
          <w:sz w:val="20"/>
        </w:rPr>
        <w:t>a</w:t>
      </w:r>
      <w:r>
        <w:rPr>
          <w:color w:val="231F20"/>
          <w:spacing w:val="-9"/>
          <w:sz w:val="20"/>
        </w:rPr>
        <w:t xml:space="preserve"> </w:t>
      </w:r>
      <w:r>
        <w:rPr>
          <w:color w:val="231F20"/>
          <w:sz w:val="20"/>
        </w:rPr>
        <w:t>higher</w:t>
      </w:r>
      <w:r>
        <w:rPr>
          <w:color w:val="231F20"/>
          <w:spacing w:val="-9"/>
          <w:sz w:val="20"/>
        </w:rPr>
        <w:t xml:space="preserve"> </w:t>
      </w:r>
      <w:r>
        <w:rPr>
          <w:color w:val="231F20"/>
          <w:sz w:val="20"/>
        </w:rPr>
        <w:t>standard</w:t>
      </w:r>
      <w:r>
        <w:rPr>
          <w:color w:val="231F20"/>
          <w:spacing w:val="-9"/>
          <w:sz w:val="20"/>
        </w:rPr>
        <w:t xml:space="preserve"> </w:t>
      </w:r>
      <w:r>
        <w:rPr>
          <w:color w:val="231F20"/>
          <w:sz w:val="20"/>
        </w:rPr>
        <w:t>than</w:t>
      </w:r>
      <w:r>
        <w:rPr>
          <w:color w:val="231F20"/>
          <w:spacing w:val="-9"/>
          <w:sz w:val="20"/>
        </w:rPr>
        <w:t xml:space="preserve"> </w:t>
      </w:r>
      <w:r>
        <w:rPr>
          <w:color w:val="231F20"/>
          <w:sz w:val="20"/>
        </w:rPr>
        <w:t>what</w:t>
      </w:r>
      <w:r>
        <w:rPr>
          <w:color w:val="231F20"/>
          <w:spacing w:val="-9"/>
          <w:sz w:val="20"/>
        </w:rPr>
        <w:t xml:space="preserve"> </w:t>
      </w:r>
      <w:r>
        <w:rPr>
          <w:color w:val="231F20"/>
          <w:sz w:val="20"/>
        </w:rPr>
        <w:t>is</w:t>
      </w:r>
      <w:r>
        <w:rPr>
          <w:color w:val="231F20"/>
          <w:spacing w:val="-9"/>
          <w:sz w:val="20"/>
        </w:rPr>
        <w:t xml:space="preserve"> </w:t>
      </w:r>
      <w:r>
        <w:rPr>
          <w:color w:val="231F20"/>
          <w:sz w:val="20"/>
        </w:rPr>
        <w:t>needed</w:t>
      </w:r>
      <w:r>
        <w:rPr>
          <w:color w:val="231F20"/>
          <w:spacing w:val="-8"/>
          <w:sz w:val="20"/>
        </w:rPr>
        <w:t xml:space="preserve"> </w:t>
      </w:r>
      <w:r>
        <w:rPr>
          <w:color w:val="231F20"/>
          <w:sz w:val="20"/>
        </w:rPr>
        <w:t>to</w:t>
      </w:r>
      <w:r>
        <w:rPr>
          <w:color w:val="231F20"/>
          <w:spacing w:val="-9"/>
          <w:sz w:val="20"/>
        </w:rPr>
        <w:t xml:space="preserve"> </w:t>
      </w:r>
      <w:r>
        <w:rPr>
          <w:color w:val="231F20"/>
          <w:sz w:val="20"/>
        </w:rPr>
        <w:t>establish</w:t>
      </w:r>
      <w:r>
        <w:rPr>
          <w:color w:val="231F20"/>
          <w:spacing w:val="-9"/>
          <w:sz w:val="20"/>
        </w:rPr>
        <w:t xml:space="preserve"> </w:t>
      </w:r>
      <w:r>
        <w:rPr>
          <w:color w:val="231F20"/>
          <w:sz w:val="20"/>
        </w:rPr>
        <w:t>grounds</w:t>
      </w:r>
      <w:r>
        <w:rPr>
          <w:color w:val="231F20"/>
          <w:spacing w:val="-9"/>
          <w:sz w:val="20"/>
        </w:rPr>
        <w:t xml:space="preserve"> </w:t>
      </w:r>
      <w:r>
        <w:rPr>
          <w:color w:val="231F20"/>
          <w:spacing w:val="-3"/>
          <w:sz w:val="20"/>
        </w:rPr>
        <w:t>for</w:t>
      </w:r>
      <w:r>
        <w:rPr>
          <w:color w:val="231F20"/>
          <w:spacing w:val="-9"/>
          <w:sz w:val="20"/>
        </w:rPr>
        <w:t xml:space="preserve"> </w:t>
      </w:r>
      <w:r>
        <w:rPr>
          <w:color w:val="231F20"/>
          <w:sz w:val="20"/>
        </w:rPr>
        <w:t xml:space="preserve">a personal safety </w:t>
      </w:r>
      <w:r>
        <w:rPr>
          <w:color w:val="231F20"/>
          <w:spacing w:val="-2"/>
          <w:sz w:val="20"/>
        </w:rPr>
        <w:t xml:space="preserve">intervention </w:t>
      </w:r>
      <w:r>
        <w:rPr>
          <w:color w:val="231F20"/>
          <w:sz w:val="20"/>
        </w:rPr>
        <w:t>order in the civil</w:t>
      </w:r>
      <w:r>
        <w:rPr>
          <w:color w:val="231F20"/>
          <w:spacing w:val="-30"/>
          <w:sz w:val="20"/>
        </w:rPr>
        <w:t xml:space="preserve"> </w:t>
      </w:r>
      <w:r>
        <w:rPr>
          <w:color w:val="231F20"/>
          <w:sz w:val="20"/>
        </w:rPr>
        <w:t>system.</w:t>
      </w:r>
      <w:r>
        <w:rPr>
          <w:color w:val="231F20"/>
          <w:position w:val="7"/>
          <w:sz w:val="11"/>
        </w:rPr>
        <w:t>202</w:t>
      </w:r>
    </w:p>
    <w:p w14:paraId="70E4101D" w14:textId="77777777" w:rsidR="00894070" w:rsidRDefault="009B7AFD">
      <w:pPr>
        <w:pStyle w:val="ListParagraph"/>
        <w:numPr>
          <w:ilvl w:val="1"/>
          <w:numId w:val="29"/>
        </w:numPr>
        <w:tabs>
          <w:tab w:val="left" w:pos="1801"/>
          <w:tab w:val="left" w:pos="1802"/>
        </w:tabs>
        <w:spacing w:before="124" w:line="206" w:lineRule="auto"/>
        <w:ind w:right="1171"/>
        <w:rPr>
          <w:sz w:val="11"/>
        </w:rPr>
      </w:pPr>
      <w:r>
        <w:rPr>
          <w:color w:val="231F20"/>
          <w:spacing w:val="-6"/>
          <w:sz w:val="20"/>
        </w:rPr>
        <w:t>We</w:t>
      </w:r>
      <w:r>
        <w:rPr>
          <w:color w:val="231F20"/>
          <w:spacing w:val="-10"/>
          <w:sz w:val="20"/>
        </w:rPr>
        <w:t xml:space="preserve"> </w:t>
      </w:r>
      <w:r>
        <w:rPr>
          <w:color w:val="231F20"/>
          <w:spacing w:val="-3"/>
          <w:sz w:val="20"/>
        </w:rPr>
        <w:t>are</w:t>
      </w:r>
      <w:r>
        <w:rPr>
          <w:color w:val="231F20"/>
          <w:spacing w:val="-10"/>
          <w:sz w:val="20"/>
        </w:rPr>
        <w:t xml:space="preserve"> </w:t>
      </w:r>
      <w:r>
        <w:rPr>
          <w:color w:val="231F20"/>
          <w:sz w:val="20"/>
        </w:rPr>
        <w:t>concerned</w:t>
      </w:r>
      <w:r>
        <w:rPr>
          <w:color w:val="231F20"/>
          <w:spacing w:val="-9"/>
          <w:sz w:val="20"/>
        </w:rPr>
        <w:t xml:space="preserve"> </w:t>
      </w:r>
      <w:r>
        <w:rPr>
          <w:color w:val="231F20"/>
          <w:sz w:val="20"/>
        </w:rPr>
        <w:t>about</w:t>
      </w:r>
      <w:r>
        <w:rPr>
          <w:color w:val="231F20"/>
          <w:spacing w:val="-10"/>
          <w:sz w:val="20"/>
        </w:rPr>
        <w:t xml:space="preserve"> </w:t>
      </w:r>
      <w:r>
        <w:rPr>
          <w:color w:val="231F20"/>
          <w:sz w:val="20"/>
        </w:rPr>
        <w:t>its</w:t>
      </w:r>
      <w:r>
        <w:rPr>
          <w:color w:val="231F20"/>
          <w:spacing w:val="-9"/>
          <w:sz w:val="20"/>
        </w:rPr>
        <w:t xml:space="preserve"> </w:t>
      </w:r>
      <w:r>
        <w:rPr>
          <w:color w:val="231F20"/>
          <w:sz w:val="20"/>
        </w:rPr>
        <w:t>use</w:t>
      </w:r>
      <w:r>
        <w:rPr>
          <w:color w:val="231F20"/>
          <w:spacing w:val="-10"/>
          <w:sz w:val="20"/>
        </w:rPr>
        <w:t xml:space="preserve"> </w:t>
      </w:r>
      <w:r>
        <w:rPr>
          <w:color w:val="231F20"/>
          <w:sz w:val="20"/>
        </w:rPr>
        <w:t>in</w:t>
      </w:r>
      <w:r>
        <w:rPr>
          <w:color w:val="231F20"/>
          <w:spacing w:val="-9"/>
          <w:sz w:val="20"/>
        </w:rPr>
        <w:t xml:space="preserve"> </w:t>
      </w:r>
      <w:r>
        <w:rPr>
          <w:color w:val="231F20"/>
          <w:sz w:val="20"/>
        </w:rPr>
        <w:t>a</w:t>
      </w:r>
      <w:r>
        <w:rPr>
          <w:color w:val="231F20"/>
          <w:spacing w:val="-10"/>
          <w:sz w:val="20"/>
        </w:rPr>
        <w:t xml:space="preserve"> </w:t>
      </w:r>
      <w:r>
        <w:rPr>
          <w:color w:val="231F20"/>
          <w:sz w:val="20"/>
        </w:rPr>
        <w:t>civil</w:t>
      </w:r>
      <w:r>
        <w:rPr>
          <w:color w:val="231F20"/>
          <w:spacing w:val="-9"/>
          <w:sz w:val="20"/>
        </w:rPr>
        <w:t xml:space="preserve"> </w:t>
      </w:r>
      <w:r>
        <w:rPr>
          <w:color w:val="231F20"/>
          <w:sz w:val="20"/>
        </w:rPr>
        <w:t>context,</w:t>
      </w:r>
      <w:r>
        <w:rPr>
          <w:color w:val="231F20"/>
          <w:spacing w:val="-10"/>
          <w:sz w:val="20"/>
        </w:rPr>
        <w:t xml:space="preserve"> </w:t>
      </w:r>
      <w:r>
        <w:rPr>
          <w:color w:val="231F20"/>
          <w:sz w:val="20"/>
        </w:rPr>
        <w:t>and</w:t>
      </w:r>
      <w:r>
        <w:rPr>
          <w:color w:val="231F20"/>
          <w:spacing w:val="-9"/>
          <w:sz w:val="20"/>
        </w:rPr>
        <w:t xml:space="preserve"> </w:t>
      </w:r>
      <w:r>
        <w:rPr>
          <w:color w:val="231F20"/>
          <w:sz w:val="20"/>
        </w:rPr>
        <w:t>its</w:t>
      </w:r>
      <w:r>
        <w:rPr>
          <w:color w:val="231F20"/>
          <w:spacing w:val="-10"/>
          <w:sz w:val="20"/>
        </w:rPr>
        <w:t xml:space="preserve"> </w:t>
      </w:r>
      <w:r>
        <w:rPr>
          <w:color w:val="231F20"/>
          <w:spacing w:val="-3"/>
          <w:sz w:val="20"/>
        </w:rPr>
        <w:t>net-widening</w:t>
      </w:r>
      <w:r>
        <w:rPr>
          <w:color w:val="231F20"/>
          <w:spacing w:val="-9"/>
          <w:sz w:val="20"/>
        </w:rPr>
        <w:t xml:space="preserve"> </w:t>
      </w:r>
      <w:r>
        <w:rPr>
          <w:color w:val="231F20"/>
          <w:sz w:val="20"/>
        </w:rPr>
        <w:t>effect,</w:t>
      </w:r>
      <w:r>
        <w:rPr>
          <w:color w:val="231F20"/>
          <w:spacing w:val="-10"/>
          <w:sz w:val="20"/>
        </w:rPr>
        <w:t xml:space="preserve"> </w:t>
      </w:r>
      <w:r>
        <w:rPr>
          <w:color w:val="231F20"/>
          <w:sz w:val="20"/>
        </w:rPr>
        <w:t>especially of</w:t>
      </w:r>
      <w:r>
        <w:rPr>
          <w:color w:val="231F20"/>
          <w:spacing w:val="-6"/>
          <w:sz w:val="20"/>
        </w:rPr>
        <w:t xml:space="preserve"> </w:t>
      </w:r>
      <w:r>
        <w:rPr>
          <w:color w:val="231F20"/>
          <w:sz w:val="20"/>
        </w:rPr>
        <w:t>people</w:t>
      </w:r>
      <w:r>
        <w:rPr>
          <w:color w:val="231F20"/>
          <w:spacing w:val="-5"/>
          <w:sz w:val="20"/>
        </w:rPr>
        <w:t xml:space="preserve"> </w:t>
      </w:r>
      <w:r>
        <w:rPr>
          <w:color w:val="231F20"/>
          <w:sz w:val="20"/>
        </w:rPr>
        <w:t>who</w:t>
      </w:r>
      <w:r>
        <w:rPr>
          <w:color w:val="231F20"/>
          <w:spacing w:val="-5"/>
          <w:sz w:val="20"/>
        </w:rPr>
        <w:t xml:space="preserve"> </w:t>
      </w:r>
      <w:r>
        <w:rPr>
          <w:color w:val="231F20"/>
          <w:sz w:val="20"/>
        </w:rPr>
        <w:t>do</w:t>
      </w:r>
      <w:r>
        <w:rPr>
          <w:color w:val="231F20"/>
          <w:spacing w:val="-5"/>
          <w:sz w:val="20"/>
        </w:rPr>
        <w:t xml:space="preserve"> </w:t>
      </w:r>
      <w:r>
        <w:rPr>
          <w:color w:val="231F20"/>
          <w:sz w:val="20"/>
        </w:rPr>
        <w:t>not</w:t>
      </w:r>
      <w:r>
        <w:rPr>
          <w:color w:val="231F20"/>
          <w:spacing w:val="-5"/>
          <w:sz w:val="20"/>
        </w:rPr>
        <w:t xml:space="preserve"> </w:t>
      </w:r>
      <w:r>
        <w:rPr>
          <w:color w:val="231F20"/>
          <w:sz w:val="20"/>
        </w:rPr>
        <w:t>pose</w:t>
      </w:r>
      <w:r>
        <w:rPr>
          <w:color w:val="231F20"/>
          <w:spacing w:val="-5"/>
          <w:sz w:val="20"/>
        </w:rPr>
        <w:t xml:space="preserve"> </w:t>
      </w:r>
      <w:r>
        <w:rPr>
          <w:color w:val="231F20"/>
          <w:sz w:val="20"/>
        </w:rPr>
        <w:t>a</w:t>
      </w:r>
      <w:r>
        <w:rPr>
          <w:color w:val="231F20"/>
          <w:spacing w:val="-5"/>
          <w:sz w:val="20"/>
        </w:rPr>
        <w:t xml:space="preserve"> </w:t>
      </w:r>
      <w:r>
        <w:rPr>
          <w:color w:val="231F20"/>
          <w:sz w:val="20"/>
        </w:rPr>
        <w:t>risk</w:t>
      </w:r>
      <w:r>
        <w:rPr>
          <w:color w:val="231F20"/>
          <w:spacing w:val="-6"/>
          <w:sz w:val="20"/>
        </w:rPr>
        <w:t xml:space="preserve"> </w:t>
      </w:r>
      <w:r>
        <w:rPr>
          <w:color w:val="231F20"/>
          <w:sz w:val="20"/>
        </w:rPr>
        <w:t>of</w:t>
      </w:r>
      <w:r>
        <w:rPr>
          <w:color w:val="231F20"/>
          <w:spacing w:val="-5"/>
          <w:sz w:val="20"/>
        </w:rPr>
        <w:t xml:space="preserve"> </w:t>
      </w:r>
      <w:r>
        <w:rPr>
          <w:color w:val="231F20"/>
          <w:sz w:val="20"/>
        </w:rPr>
        <w:t>escalation</w:t>
      </w:r>
      <w:r>
        <w:rPr>
          <w:color w:val="231F20"/>
          <w:spacing w:val="-5"/>
          <w:sz w:val="20"/>
        </w:rPr>
        <w:t xml:space="preserve"> </w:t>
      </w:r>
      <w:r>
        <w:rPr>
          <w:color w:val="231F20"/>
          <w:sz w:val="20"/>
        </w:rPr>
        <w:t>or</w:t>
      </w:r>
      <w:r>
        <w:rPr>
          <w:color w:val="231F20"/>
          <w:spacing w:val="-5"/>
          <w:sz w:val="20"/>
        </w:rPr>
        <w:t xml:space="preserve"> </w:t>
      </w:r>
      <w:r>
        <w:rPr>
          <w:color w:val="231F20"/>
          <w:sz w:val="20"/>
        </w:rPr>
        <w:t>reoffending.</w:t>
      </w:r>
      <w:r>
        <w:rPr>
          <w:color w:val="231F20"/>
          <w:position w:val="7"/>
          <w:sz w:val="11"/>
        </w:rPr>
        <w:t>203</w:t>
      </w:r>
    </w:p>
    <w:p w14:paraId="784B1122" w14:textId="77777777" w:rsidR="00894070" w:rsidRDefault="009B7AFD">
      <w:pPr>
        <w:pStyle w:val="ListParagraph"/>
        <w:numPr>
          <w:ilvl w:val="1"/>
          <w:numId w:val="29"/>
        </w:numPr>
        <w:tabs>
          <w:tab w:val="left" w:pos="1801"/>
          <w:tab w:val="left" w:pos="1802"/>
        </w:tabs>
        <w:spacing w:before="122" w:line="206" w:lineRule="auto"/>
        <w:ind w:right="1192"/>
        <w:rPr>
          <w:sz w:val="20"/>
        </w:rPr>
      </w:pPr>
      <w:r>
        <w:rPr>
          <w:color w:val="231F20"/>
          <w:sz w:val="20"/>
        </w:rPr>
        <w:t xml:space="preserve">While </w:t>
      </w:r>
      <w:r>
        <w:rPr>
          <w:color w:val="231F20"/>
          <w:spacing w:val="-3"/>
          <w:sz w:val="20"/>
        </w:rPr>
        <w:t xml:space="preserve">we </w:t>
      </w:r>
      <w:r>
        <w:rPr>
          <w:color w:val="231F20"/>
          <w:sz w:val="20"/>
        </w:rPr>
        <w:t xml:space="preserve">acknowledge that an electronic monitoring condition could be applied </w:t>
      </w:r>
      <w:r>
        <w:rPr>
          <w:color w:val="231F20"/>
          <w:spacing w:val="-3"/>
          <w:sz w:val="20"/>
        </w:rPr>
        <w:t xml:space="preserve">only </w:t>
      </w:r>
      <w:r>
        <w:rPr>
          <w:color w:val="231F20"/>
          <w:sz w:val="20"/>
        </w:rPr>
        <w:t xml:space="preserve">to the most risky or serious cases, there is not enough evidence to </w:t>
      </w:r>
      <w:r>
        <w:rPr>
          <w:color w:val="231F20"/>
          <w:spacing w:val="-3"/>
          <w:sz w:val="20"/>
        </w:rPr>
        <w:t xml:space="preserve">show </w:t>
      </w:r>
      <w:r>
        <w:rPr>
          <w:color w:val="231F20"/>
          <w:sz w:val="20"/>
        </w:rPr>
        <w:t xml:space="preserve">that it </w:t>
      </w:r>
      <w:r>
        <w:rPr>
          <w:color w:val="231F20"/>
          <w:spacing w:val="-3"/>
          <w:sz w:val="20"/>
        </w:rPr>
        <w:t>would work</w:t>
      </w:r>
      <w:r>
        <w:rPr>
          <w:color w:val="231F20"/>
          <w:spacing w:val="-9"/>
          <w:sz w:val="20"/>
        </w:rPr>
        <w:t xml:space="preserve"> </w:t>
      </w:r>
      <w:r>
        <w:rPr>
          <w:color w:val="231F20"/>
          <w:sz w:val="20"/>
        </w:rPr>
        <w:t>in</w:t>
      </w:r>
      <w:r>
        <w:rPr>
          <w:color w:val="231F20"/>
          <w:spacing w:val="-8"/>
          <w:sz w:val="20"/>
        </w:rPr>
        <w:t xml:space="preserve"> </w:t>
      </w:r>
      <w:r>
        <w:rPr>
          <w:color w:val="231F20"/>
          <w:sz w:val="20"/>
        </w:rPr>
        <w:t>a</w:t>
      </w:r>
      <w:r>
        <w:rPr>
          <w:color w:val="231F20"/>
          <w:spacing w:val="-9"/>
          <w:sz w:val="20"/>
        </w:rPr>
        <w:t xml:space="preserve"> </w:t>
      </w:r>
      <w:r>
        <w:rPr>
          <w:color w:val="231F20"/>
          <w:sz w:val="20"/>
        </w:rPr>
        <w:t>stalking</w:t>
      </w:r>
      <w:r>
        <w:rPr>
          <w:color w:val="231F20"/>
          <w:spacing w:val="-8"/>
          <w:sz w:val="20"/>
        </w:rPr>
        <w:t xml:space="preserve"> </w:t>
      </w:r>
      <w:r>
        <w:rPr>
          <w:color w:val="231F20"/>
          <w:sz w:val="20"/>
        </w:rPr>
        <w:t>context.</w:t>
      </w:r>
      <w:r>
        <w:rPr>
          <w:color w:val="231F20"/>
          <w:spacing w:val="-9"/>
          <w:sz w:val="20"/>
        </w:rPr>
        <w:t xml:space="preserve"> </w:t>
      </w:r>
      <w:r>
        <w:rPr>
          <w:color w:val="231F20"/>
          <w:sz w:val="20"/>
        </w:rPr>
        <w:t>It</w:t>
      </w:r>
      <w:r>
        <w:rPr>
          <w:color w:val="231F20"/>
          <w:spacing w:val="-8"/>
          <w:sz w:val="20"/>
        </w:rPr>
        <w:t xml:space="preserve"> </w:t>
      </w:r>
      <w:r>
        <w:rPr>
          <w:color w:val="231F20"/>
          <w:sz w:val="20"/>
        </w:rPr>
        <w:t>might</w:t>
      </w:r>
      <w:r>
        <w:rPr>
          <w:color w:val="231F20"/>
          <w:spacing w:val="-9"/>
          <w:sz w:val="20"/>
        </w:rPr>
        <w:t xml:space="preserve"> </w:t>
      </w:r>
      <w:r>
        <w:rPr>
          <w:color w:val="231F20"/>
          <w:sz w:val="20"/>
        </w:rPr>
        <w:t>not</w:t>
      </w:r>
      <w:r>
        <w:rPr>
          <w:color w:val="231F20"/>
          <w:spacing w:val="-8"/>
          <w:sz w:val="20"/>
        </w:rPr>
        <w:t xml:space="preserve"> </w:t>
      </w:r>
      <w:r>
        <w:rPr>
          <w:color w:val="231F20"/>
          <w:spacing w:val="-3"/>
          <w:sz w:val="20"/>
        </w:rPr>
        <w:t>achieve</w:t>
      </w:r>
      <w:r>
        <w:rPr>
          <w:color w:val="231F20"/>
          <w:spacing w:val="-9"/>
          <w:sz w:val="20"/>
        </w:rPr>
        <w:t xml:space="preserve"> </w:t>
      </w:r>
      <w:r>
        <w:rPr>
          <w:color w:val="231F20"/>
          <w:sz w:val="20"/>
        </w:rPr>
        <w:t>the</w:t>
      </w:r>
      <w:r>
        <w:rPr>
          <w:color w:val="231F20"/>
          <w:spacing w:val="-8"/>
          <w:sz w:val="20"/>
        </w:rPr>
        <w:t xml:space="preserve"> </w:t>
      </w:r>
      <w:r>
        <w:rPr>
          <w:color w:val="231F20"/>
          <w:sz w:val="20"/>
        </w:rPr>
        <w:t>aims</w:t>
      </w:r>
      <w:r>
        <w:rPr>
          <w:color w:val="231F20"/>
          <w:spacing w:val="-8"/>
          <w:sz w:val="20"/>
        </w:rPr>
        <w:t xml:space="preserve"> </w:t>
      </w:r>
      <w:r>
        <w:rPr>
          <w:color w:val="231F20"/>
          <w:sz w:val="20"/>
        </w:rPr>
        <w:t>of</w:t>
      </w:r>
      <w:r>
        <w:rPr>
          <w:color w:val="231F20"/>
          <w:spacing w:val="-9"/>
          <w:sz w:val="20"/>
        </w:rPr>
        <w:t xml:space="preserve"> </w:t>
      </w:r>
      <w:r>
        <w:rPr>
          <w:color w:val="231F20"/>
          <w:sz w:val="20"/>
        </w:rPr>
        <w:t>keeping</w:t>
      </w:r>
      <w:r>
        <w:rPr>
          <w:color w:val="231F20"/>
          <w:spacing w:val="-8"/>
          <w:sz w:val="20"/>
        </w:rPr>
        <w:t xml:space="preserve"> </w:t>
      </w:r>
      <w:r>
        <w:rPr>
          <w:color w:val="231F20"/>
          <w:sz w:val="20"/>
        </w:rPr>
        <w:t>victim</w:t>
      </w:r>
      <w:r>
        <w:rPr>
          <w:color w:val="231F20"/>
          <w:spacing w:val="-9"/>
          <w:sz w:val="20"/>
        </w:rPr>
        <w:t xml:space="preserve"> </w:t>
      </w:r>
      <w:r>
        <w:rPr>
          <w:color w:val="231F20"/>
          <w:sz w:val="20"/>
        </w:rPr>
        <w:t>survivors</w:t>
      </w:r>
      <w:r>
        <w:rPr>
          <w:color w:val="231F20"/>
          <w:spacing w:val="-8"/>
          <w:sz w:val="20"/>
        </w:rPr>
        <w:t xml:space="preserve"> </w:t>
      </w:r>
      <w:r>
        <w:rPr>
          <w:color w:val="231F20"/>
          <w:spacing w:val="-3"/>
          <w:sz w:val="20"/>
        </w:rPr>
        <w:t xml:space="preserve">safe </w:t>
      </w:r>
      <w:r>
        <w:rPr>
          <w:color w:val="231F20"/>
          <w:sz w:val="20"/>
        </w:rPr>
        <w:t>or</w:t>
      </w:r>
      <w:r>
        <w:rPr>
          <w:color w:val="231F20"/>
          <w:spacing w:val="-6"/>
          <w:sz w:val="20"/>
        </w:rPr>
        <w:t xml:space="preserve"> </w:t>
      </w:r>
      <w:r>
        <w:rPr>
          <w:color w:val="231F20"/>
          <w:sz w:val="20"/>
        </w:rPr>
        <w:t>deterring</w:t>
      </w:r>
      <w:r>
        <w:rPr>
          <w:color w:val="231F20"/>
          <w:spacing w:val="-5"/>
          <w:sz w:val="20"/>
        </w:rPr>
        <w:t xml:space="preserve"> </w:t>
      </w:r>
      <w:r>
        <w:rPr>
          <w:color w:val="231F20"/>
          <w:sz w:val="20"/>
        </w:rPr>
        <w:t>people</w:t>
      </w:r>
      <w:r>
        <w:rPr>
          <w:color w:val="231F20"/>
          <w:spacing w:val="-5"/>
          <w:sz w:val="20"/>
        </w:rPr>
        <w:t xml:space="preserve"> </w:t>
      </w:r>
      <w:r>
        <w:rPr>
          <w:color w:val="231F20"/>
          <w:sz w:val="20"/>
        </w:rPr>
        <w:t>who</w:t>
      </w:r>
      <w:r>
        <w:rPr>
          <w:color w:val="231F20"/>
          <w:spacing w:val="-5"/>
          <w:sz w:val="20"/>
        </w:rPr>
        <w:t xml:space="preserve"> </w:t>
      </w:r>
      <w:r>
        <w:rPr>
          <w:color w:val="231F20"/>
          <w:sz w:val="20"/>
        </w:rPr>
        <w:t>stalk.</w:t>
      </w:r>
      <w:r>
        <w:rPr>
          <w:color w:val="231F20"/>
          <w:spacing w:val="-5"/>
          <w:sz w:val="20"/>
        </w:rPr>
        <w:t xml:space="preserve"> </w:t>
      </w:r>
      <w:r>
        <w:rPr>
          <w:color w:val="231F20"/>
          <w:sz w:val="20"/>
        </w:rPr>
        <w:t>It</w:t>
      </w:r>
      <w:r>
        <w:rPr>
          <w:color w:val="231F20"/>
          <w:spacing w:val="-6"/>
          <w:sz w:val="20"/>
        </w:rPr>
        <w:t xml:space="preserve"> </w:t>
      </w:r>
      <w:r>
        <w:rPr>
          <w:color w:val="231F20"/>
          <w:sz w:val="20"/>
        </w:rPr>
        <w:t>could</w:t>
      </w:r>
      <w:r>
        <w:rPr>
          <w:color w:val="231F20"/>
          <w:spacing w:val="-5"/>
          <w:sz w:val="20"/>
        </w:rPr>
        <w:t xml:space="preserve"> </w:t>
      </w:r>
      <w:r>
        <w:rPr>
          <w:color w:val="231F20"/>
          <w:sz w:val="20"/>
        </w:rPr>
        <w:t>in</w:t>
      </w:r>
      <w:r>
        <w:rPr>
          <w:color w:val="231F20"/>
          <w:spacing w:val="-5"/>
          <w:sz w:val="20"/>
        </w:rPr>
        <w:t xml:space="preserve"> </w:t>
      </w:r>
      <w:r>
        <w:rPr>
          <w:color w:val="231F20"/>
          <w:sz w:val="20"/>
        </w:rPr>
        <w:t>fact</w:t>
      </w:r>
      <w:r>
        <w:rPr>
          <w:color w:val="231F20"/>
          <w:spacing w:val="-5"/>
          <w:sz w:val="20"/>
        </w:rPr>
        <w:t xml:space="preserve"> </w:t>
      </w:r>
      <w:r>
        <w:rPr>
          <w:color w:val="231F20"/>
          <w:sz w:val="20"/>
        </w:rPr>
        <w:t>do</w:t>
      </w:r>
      <w:r>
        <w:rPr>
          <w:color w:val="231F20"/>
          <w:spacing w:val="-5"/>
          <w:sz w:val="20"/>
        </w:rPr>
        <w:t xml:space="preserve"> </w:t>
      </w:r>
      <w:r>
        <w:rPr>
          <w:color w:val="231F20"/>
          <w:sz w:val="20"/>
        </w:rPr>
        <w:t>the</w:t>
      </w:r>
      <w:r>
        <w:rPr>
          <w:color w:val="231F20"/>
          <w:spacing w:val="-6"/>
          <w:sz w:val="20"/>
        </w:rPr>
        <w:t xml:space="preserve"> </w:t>
      </w:r>
      <w:r>
        <w:rPr>
          <w:color w:val="231F20"/>
          <w:sz w:val="20"/>
        </w:rPr>
        <w:t>opposite.</w:t>
      </w:r>
    </w:p>
    <w:p w14:paraId="72DD3511" w14:textId="77777777" w:rsidR="00894070" w:rsidRDefault="009B7AFD">
      <w:pPr>
        <w:pStyle w:val="ListParagraph"/>
        <w:numPr>
          <w:ilvl w:val="1"/>
          <w:numId w:val="29"/>
        </w:numPr>
        <w:tabs>
          <w:tab w:val="left" w:pos="1801"/>
          <w:tab w:val="left" w:pos="1802"/>
        </w:tabs>
        <w:spacing w:before="125" w:line="206" w:lineRule="auto"/>
        <w:ind w:right="1333"/>
        <w:rPr>
          <w:sz w:val="20"/>
        </w:rPr>
      </w:pPr>
      <w:r>
        <w:rPr>
          <w:color w:val="231F20"/>
          <w:spacing w:val="-3"/>
          <w:sz w:val="20"/>
        </w:rPr>
        <w:t>Electronic</w:t>
      </w:r>
      <w:r>
        <w:rPr>
          <w:color w:val="231F20"/>
          <w:spacing w:val="-9"/>
          <w:sz w:val="20"/>
        </w:rPr>
        <w:t xml:space="preserve"> </w:t>
      </w:r>
      <w:r>
        <w:rPr>
          <w:color w:val="231F20"/>
          <w:sz w:val="20"/>
        </w:rPr>
        <w:t>monitoring</w:t>
      </w:r>
      <w:r>
        <w:rPr>
          <w:color w:val="231F20"/>
          <w:spacing w:val="-8"/>
          <w:sz w:val="20"/>
        </w:rPr>
        <w:t xml:space="preserve"> </w:t>
      </w:r>
      <w:r>
        <w:rPr>
          <w:color w:val="231F20"/>
          <w:sz w:val="20"/>
        </w:rPr>
        <w:t>is</w:t>
      </w:r>
      <w:r>
        <w:rPr>
          <w:color w:val="231F20"/>
          <w:spacing w:val="-8"/>
          <w:sz w:val="20"/>
        </w:rPr>
        <w:t xml:space="preserve"> </w:t>
      </w:r>
      <w:r>
        <w:rPr>
          <w:color w:val="231F20"/>
          <w:sz w:val="20"/>
        </w:rPr>
        <w:t>an</w:t>
      </w:r>
      <w:r>
        <w:rPr>
          <w:color w:val="231F20"/>
          <w:spacing w:val="-9"/>
          <w:sz w:val="20"/>
        </w:rPr>
        <w:t xml:space="preserve"> </w:t>
      </w:r>
      <w:r>
        <w:rPr>
          <w:color w:val="231F20"/>
          <w:sz w:val="20"/>
        </w:rPr>
        <w:t>intelligence</w:t>
      </w:r>
      <w:r>
        <w:rPr>
          <w:color w:val="231F20"/>
          <w:spacing w:val="-8"/>
          <w:sz w:val="20"/>
        </w:rPr>
        <w:t xml:space="preserve"> </w:t>
      </w:r>
      <w:r>
        <w:rPr>
          <w:color w:val="231F20"/>
          <w:sz w:val="20"/>
        </w:rPr>
        <w:t>tool,</w:t>
      </w:r>
      <w:r>
        <w:rPr>
          <w:color w:val="231F20"/>
          <w:spacing w:val="-8"/>
          <w:sz w:val="20"/>
        </w:rPr>
        <w:t xml:space="preserve"> </w:t>
      </w:r>
      <w:r>
        <w:rPr>
          <w:color w:val="231F20"/>
          <w:sz w:val="20"/>
        </w:rPr>
        <w:t>which</w:t>
      </w:r>
      <w:r>
        <w:rPr>
          <w:color w:val="231F20"/>
          <w:spacing w:val="-8"/>
          <w:sz w:val="20"/>
        </w:rPr>
        <w:t xml:space="preserve"> </w:t>
      </w:r>
      <w:r>
        <w:rPr>
          <w:color w:val="231F20"/>
          <w:spacing w:val="-3"/>
          <w:sz w:val="20"/>
        </w:rPr>
        <w:t>only</w:t>
      </w:r>
      <w:r>
        <w:rPr>
          <w:color w:val="231F20"/>
          <w:spacing w:val="-9"/>
          <w:sz w:val="20"/>
        </w:rPr>
        <w:t xml:space="preserve"> </w:t>
      </w:r>
      <w:r>
        <w:rPr>
          <w:color w:val="231F20"/>
          <w:spacing w:val="-3"/>
          <w:sz w:val="20"/>
        </w:rPr>
        <w:t>provides</w:t>
      </w:r>
      <w:r>
        <w:rPr>
          <w:color w:val="231F20"/>
          <w:spacing w:val="-8"/>
          <w:sz w:val="20"/>
        </w:rPr>
        <w:t xml:space="preserve"> </w:t>
      </w:r>
      <w:r>
        <w:rPr>
          <w:color w:val="231F20"/>
          <w:spacing w:val="-3"/>
          <w:sz w:val="20"/>
        </w:rPr>
        <w:t>real-time</w:t>
      </w:r>
      <w:r>
        <w:rPr>
          <w:color w:val="231F20"/>
          <w:spacing w:val="-8"/>
          <w:sz w:val="20"/>
        </w:rPr>
        <w:t xml:space="preserve"> </w:t>
      </w:r>
      <w:r>
        <w:rPr>
          <w:color w:val="231F20"/>
          <w:sz w:val="20"/>
        </w:rPr>
        <w:t xml:space="preserve">monitoring of people wearing monitoring devices, if there </w:t>
      </w:r>
      <w:r>
        <w:rPr>
          <w:color w:val="231F20"/>
          <w:spacing w:val="-3"/>
          <w:sz w:val="20"/>
        </w:rPr>
        <w:t xml:space="preserve">are </w:t>
      </w:r>
      <w:r>
        <w:rPr>
          <w:color w:val="231F20"/>
          <w:sz w:val="20"/>
        </w:rPr>
        <w:t xml:space="preserve">people monitoring those wearing the devices, in </w:t>
      </w:r>
      <w:r>
        <w:rPr>
          <w:color w:val="231F20"/>
          <w:spacing w:val="-3"/>
          <w:sz w:val="20"/>
        </w:rPr>
        <w:t xml:space="preserve">real </w:t>
      </w:r>
      <w:r>
        <w:rPr>
          <w:color w:val="231F20"/>
          <w:sz w:val="20"/>
        </w:rPr>
        <w:t>time.</w:t>
      </w:r>
      <w:r>
        <w:rPr>
          <w:color w:val="231F20"/>
          <w:position w:val="7"/>
          <w:sz w:val="11"/>
        </w:rPr>
        <w:t xml:space="preserve">204 </w:t>
      </w:r>
      <w:r>
        <w:rPr>
          <w:color w:val="231F20"/>
          <w:spacing w:val="-3"/>
          <w:sz w:val="20"/>
        </w:rPr>
        <w:t xml:space="preserve">Real-time </w:t>
      </w:r>
      <w:r>
        <w:rPr>
          <w:color w:val="231F20"/>
          <w:sz w:val="20"/>
        </w:rPr>
        <w:t xml:space="preserve">monitoring of those subject to a PSIO </w:t>
      </w:r>
      <w:r>
        <w:rPr>
          <w:color w:val="231F20"/>
          <w:spacing w:val="-3"/>
          <w:sz w:val="20"/>
        </w:rPr>
        <w:t xml:space="preserve">would </w:t>
      </w:r>
      <w:r>
        <w:rPr>
          <w:color w:val="231F20"/>
          <w:sz w:val="20"/>
        </w:rPr>
        <w:t xml:space="preserve">be </w:t>
      </w:r>
      <w:r>
        <w:rPr>
          <w:color w:val="231F20"/>
          <w:spacing w:val="-3"/>
          <w:sz w:val="20"/>
        </w:rPr>
        <w:t xml:space="preserve">prohibitively expensive </w:t>
      </w:r>
      <w:r>
        <w:rPr>
          <w:color w:val="231F20"/>
          <w:sz w:val="20"/>
        </w:rPr>
        <w:t xml:space="preserve">and </w:t>
      </w:r>
      <w:r>
        <w:rPr>
          <w:color w:val="231F20"/>
          <w:spacing w:val="-3"/>
          <w:sz w:val="20"/>
        </w:rPr>
        <w:t xml:space="preserve">resource-intensive. </w:t>
      </w:r>
      <w:r>
        <w:rPr>
          <w:color w:val="231F20"/>
          <w:sz w:val="20"/>
        </w:rPr>
        <w:t xml:space="preserve">This means that electronic monitoring is </w:t>
      </w:r>
      <w:r>
        <w:rPr>
          <w:color w:val="231F20"/>
          <w:spacing w:val="-3"/>
          <w:sz w:val="20"/>
        </w:rPr>
        <w:t xml:space="preserve">unlikely </w:t>
      </w:r>
      <w:r>
        <w:rPr>
          <w:color w:val="231F20"/>
          <w:sz w:val="20"/>
        </w:rPr>
        <w:t xml:space="preserve">to </w:t>
      </w:r>
      <w:r>
        <w:rPr>
          <w:color w:val="231F20"/>
          <w:spacing w:val="-3"/>
          <w:sz w:val="20"/>
        </w:rPr>
        <w:t xml:space="preserve">protect </w:t>
      </w:r>
      <w:r>
        <w:rPr>
          <w:color w:val="231F20"/>
          <w:sz w:val="20"/>
        </w:rPr>
        <w:t xml:space="preserve">victims of stalking or </w:t>
      </w:r>
      <w:r>
        <w:rPr>
          <w:color w:val="231F20"/>
          <w:spacing w:val="-4"/>
          <w:sz w:val="20"/>
        </w:rPr>
        <w:t xml:space="preserve">prevent </w:t>
      </w:r>
      <w:r>
        <w:rPr>
          <w:color w:val="231F20"/>
          <w:sz w:val="20"/>
        </w:rPr>
        <w:t xml:space="preserve">a crisis situation </w:t>
      </w:r>
      <w:r>
        <w:rPr>
          <w:color w:val="231F20"/>
          <w:spacing w:val="-3"/>
          <w:sz w:val="20"/>
        </w:rPr>
        <w:t xml:space="preserve">from </w:t>
      </w:r>
      <w:r>
        <w:rPr>
          <w:color w:val="231F20"/>
          <w:sz w:val="20"/>
        </w:rPr>
        <w:t xml:space="preserve">occurring. The best </w:t>
      </w:r>
      <w:r>
        <w:rPr>
          <w:color w:val="231F20"/>
          <w:spacing w:val="-4"/>
          <w:sz w:val="20"/>
        </w:rPr>
        <w:t xml:space="preserve">way </w:t>
      </w:r>
      <w:r>
        <w:rPr>
          <w:color w:val="231F20"/>
          <w:sz w:val="20"/>
        </w:rPr>
        <w:t xml:space="preserve">to do this is </w:t>
      </w:r>
      <w:r>
        <w:rPr>
          <w:color w:val="231F20"/>
          <w:spacing w:val="-3"/>
          <w:sz w:val="20"/>
        </w:rPr>
        <w:t xml:space="preserve">by </w:t>
      </w:r>
      <w:r>
        <w:rPr>
          <w:color w:val="231F20"/>
          <w:sz w:val="20"/>
        </w:rPr>
        <w:t xml:space="preserve">intervening </w:t>
      </w:r>
      <w:r>
        <w:rPr>
          <w:color w:val="231F20"/>
          <w:spacing w:val="-3"/>
          <w:sz w:val="20"/>
        </w:rPr>
        <w:t xml:space="preserve">early </w:t>
      </w:r>
      <w:r>
        <w:rPr>
          <w:color w:val="231F20"/>
          <w:sz w:val="20"/>
        </w:rPr>
        <w:t xml:space="preserve">and identifying the most </w:t>
      </w:r>
      <w:r>
        <w:rPr>
          <w:color w:val="231F20"/>
          <w:spacing w:val="-3"/>
          <w:sz w:val="20"/>
        </w:rPr>
        <w:t xml:space="preserve">appropriate </w:t>
      </w:r>
      <w:r>
        <w:rPr>
          <w:color w:val="231F20"/>
          <w:sz w:val="20"/>
        </w:rPr>
        <w:t>individual</w:t>
      </w:r>
      <w:r>
        <w:rPr>
          <w:color w:val="231F20"/>
          <w:spacing w:val="-6"/>
          <w:sz w:val="20"/>
        </w:rPr>
        <w:t xml:space="preserve"> </w:t>
      </w:r>
      <w:r>
        <w:rPr>
          <w:color w:val="231F20"/>
          <w:spacing w:val="-2"/>
          <w:sz w:val="20"/>
        </w:rPr>
        <w:t>response.</w:t>
      </w:r>
      <w:r>
        <w:rPr>
          <w:color w:val="231F20"/>
          <w:spacing w:val="-6"/>
          <w:sz w:val="20"/>
        </w:rPr>
        <w:t xml:space="preserve"> </w:t>
      </w:r>
      <w:r>
        <w:rPr>
          <w:color w:val="231F20"/>
          <w:sz w:val="20"/>
        </w:rPr>
        <w:t>If</w:t>
      </w:r>
      <w:r>
        <w:rPr>
          <w:color w:val="231F20"/>
          <w:spacing w:val="-6"/>
          <w:sz w:val="20"/>
        </w:rPr>
        <w:t xml:space="preserve"> </w:t>
      </w:r>
      <w:r>
        <w:rPr>
          <w:color w:val="231F20"/>
          <w:sz w:val="20"/>
        </w:rPr>
        <w:t>a</w:t>
      </w:r>
      <w:r>
        <w:rPr>
          <w:color w:val="231F20"/>
          <w:spacing w:val="-6"/>
          <w:sz w:val="20"/>
        </w:rPr>
        <w:t xml:space="preserve"> </w:t>
      </w:r>
      <w:r>
        <w:rPr>
          <w:color w:val="231F20"/>
          <w:sz w:val="20"/>
        </w:rPr>
        <w:t>person</w:t>
      </w:r>
      <w:r>
        <w:rPr>
          <w:color w:val="231F20"/>
          <w:spacing w:val="-6"/>
          <w:sz w:val="20"/>
        </w:rPr>
        <w:t xml:space="preserve"> </w:t>
      </w:r>
      <w:r>
        <w:rPr>
          <w:color w:val="231F20"/>
          <w:sz w:val="20"/>
        </w:rPr>
        <w:t>who</w:t>
      </w:r>
      <w:r>
        <w:rPr>
          <w:color w:val="231F20"/>
          <w:spacing w:val="-6"/>
          <w:sz w:val="20"/>
        </w:rPr>
        <w:t xml:space="preserve"> </w:t>
      </w:r>
      <w:r>
        <w:rPr>
          <w:color w:val="231F20"/>
          <w:sz w:val="20"/>
        </w:rPr>
        <w:t>stalks</w:t>
      </w:r>
      <w:r>
        <w:rPr>
          <w:color w:val="231F20"/>
          <w:spacing w:val="-6"/>
          <w:sz w:val="20"/>
        </w:rPr>
        <w:t xml:space="preserve"> </w:t>
      </w:r>
      <w:r>
        <w:rPr>
          <w:color w:val="231F20"/>
          <w:sz w:val="20"/>
        </w:rPr>
        <w:t>needs</w:t>
      </w:r>
      <w:r>
        <w:rPr>
          <w:color w:val="231F20"/>
          <w:spacing w:val="-6"/>
          <w:sz w:val="20"/>
        </w:rPr>
        <w:t xml:space="preserve"> </w:t>
      </w:r>
      <w:r>
        <w:rPr>
          <w:color w:val="231F20"/>
          <w:sz w:val="20"/>
        </w:rPr>
        <w:t>to</w:t>
      </w:r>
      <w:r>
        <w:rPr>
          <w:color w:val="231F20"/>
          <w:spacing w:val="-6"/>
          <w:sz w:val="20"/>
        </w:rPr>
        <w:t xml:space="preserve"> </w:t>
      </w:r>
      <w:r>
        <w:rPr>
          <w:color w:val="231F20"/>
          <w:sz w:val="20"/>
        </w:rPr>
        <w:t>be</w:t>
      </w:r>
      <w:r>
        <w:rPr>
          <w:color w:val="231F20"/>
          <w:spacing w:val="-6"/>
          <w:sz w:val="20"/>
        </w:rPr>
        <w:t xml:space="preserve"> </w:t>
      </w:r>
      <w:r>
        <w:rPr>
          <w:color w:val="231F20"/>
          <w:spacing w:val="-3"/>
          <w:sz w:val="20"/>
        </w:rPr>
        <w:t>restricted</w:t>
      </w:r>
      <w:r>
        <w:rPr>
          <w:color w:val="231F20"/>
          <w:spacing w:val="-6"/>
          <w:sz w:val="20"/>
        </w:rPr>
        <w:t xml:space="preserve"> </w:t>
      </w:r>
      <w:r>
        <w:rPr>
          <w:color w:val="231F20"/>
          <w:spacing w:val="-3"/>
          <w:sz w:val="20"/>
        </w:rPr>
        <w:t>beyond</w:t>
      </w:r>
      <w:r>
        <w:rPr>
          <w:color w:val="231F20"/>
          <w:spacing w:val="-6"/>
          <w:sz w:val="20"/>
        </w:rPr>
        <w:t xml:space="preserve"> </w:t>
      </w:r>
      <w:r>
        <w:rPr>
          <w:color w:val="231F20"/>
          <w:sz w:val="20"/>
        </w:rPr>
        <w:t>what</w:t>
      </w:r>
      <w:r>
        <w:rPr>
          <w:color w:val="231F20"/>
          <w:spacing w:val="-6"/>
          <w:sz w:val="20"/>
        </w:rPr>
        <w:t xml:space="preserve"> </w:t>
      </w:r>
      <w:r>
        <w:rPr>
          <w:color w:val="231F20"/>
          <w:sz w:val="20"/>
        </w:rPr>
        <w:t>a</w:t>
      </w:r>
      <w:r>
        <w:rPr>
          <w:color w:val="231F20"/>
          <w:spacing w:val="-6"/>
          <w:sz w:val="20"/>
        </w:rPr>
        <w:t xml:space="preserve"> </w:t>
      </w:r>
      <w:r>
        <w:rPr>
          <w:color w:val="231F20"/>
          <w:sz w:val="20"/>
        </w:rPr>
        <w:t xml:space="preserve">PSIO can </w:t>
      </w:r>
      <w:r>
        <w:rPr>
          <w:color w:val="231F20"/>
          <w:spacing w:val="-3"/>
          <w:sz w:val="20"/>
        </w:rPr>
        <w:t xml:space="preserve">achieve, </w:t>
      </w:r>
      <w:r>
        <w:rPr>
          <w:color w:val="231F20"/>
          <w:sz w:val="20"/>
        </w:rPr>
        <w:t>then criminal charges should be</w:t>
      </w:r>
      <w:r>
        <w:rPr>
          <w:color w:val="231F20"/>
          <w:spacing w:val="-30"/>
          <w:sz w:val="20"/>
        </w:rPr>
        <w:t xml:space="preserve"> </w:t>
      </w:r>
      <w:r>
        <w:rPr>
          <w:color w:val="231F20"/>
          <w:sz w:val="20"/>
        </w:rPr>
        <w:t>filed.</w:t>
      </w:r>
    </w:p>
    <w:p w14:paraId="2B49C6C9" w14:textId="77777777" w:rsidR="00894070" w:rsidRDefault="009B7AFD">
      <w:pPr>
        <w:pStyle w:val="ListParagraph"/>
        <w:numPr>
          <w:ilvl w:val="1"/>
          <w:numId w:val="29"/>
        </w:numPr>
        <w:tabs>
          <w:tab w:val="left" w:pos="1801"/>
          <w:tab w:val="left" w:pos="1802"/>
        </w:tabs>
        <w:spacing w:before="130" w:line="206" w:lineRule="auto"/>
        <w:ind w:right="1531"/>
        <w:rPr>
          <w:sz w:val="20"/>
        </w:rPr>
      </w:pPr>
      <w:r>
        <w:rPr>
          <w:color w:val="231F20"/>
          <w:spacing w:val="-4"/>
          <w:sz w:val="20"/>
        </w:rPr>
        <w:t>Further,</w:t>
      </w:r>
      <w:r>
        <w:rPr>
          <w:color w:val="231F20"/>
          <w:spacing w:val="-11"/>
          <w:sz w:val="20"/>
        </w:rPr>
        <w:t xml:space="preserve"> </w:t>
      </w:r>
      <w:r>
        <w:rPr>
          <w:color w:val="231F20"/>
          <w:sz w:val="20"/>
        </w:rPr>
        <w:t>electronic</w:t>
      </w:r>
      <w:r>
        <w:rPr>
          <w:color w:val="231F20"/>
          <w:spacing w:val="-10"/>
          <w:sz w:val="20"/>
        </w:rPr>
        <w:t xml:space="preserve"> </w:t>
      </w:r>
      <w:r>
        <w:rPr>
          <w:color w:val="231F20"/>
          <w:sz w:val="20"/>
        </w:rPr>
        <w:t>monitoring</w:t>
      </w:r>
      <w:r>
        <w:rPr>
          <w:color w:val="231F20"/>
          <w:spacing w:val="-10"/>
          <w:sz w:val="20"/>
        </w:rPr>
        <w:t xml:space="preserve"> </w:t>
      </w:r>
      <w:r>
        <w:rPr>
          <w:color w:val="231F20"/>
          <w:sz w:val="20"/>
        </w:rPr>
        <w:t>is</w:t>
      </w:r>
      <w:r>
        <w:rPr>
          <w:color w:val="231F20"/>
          <w:spacing w:val="-10"/>
          <w:sz w:val="20"/>
        </w:rPr>
        <w:t xml:space="preserve"> </w:t>
      </w:r>
      <w:r>
        <w:rPr>
          <w:color w:val="231F20"/>
          <w:sz w:val="20"/>
        </w:rPr>
        <w:t>a</w:t>
      </w:r>
      <w:r>
        <w:rPr>
          <w:color w:val="231F20"/>
          <w:spacing w:val="-10"/>
          <w:sz w:val="20"/>
        </w:rPr>
        <w:t xml:space="preserve"> </w:t>
      </w:r>
      <w:r>
        <w:rPr>
          <w:color w:val="231F20"/>
          <w:sz w:val="20"/>
        </w:rPr>
        <w:t>significant</w:t>
      </w:r>
      <w:r>
        <w:rPr>
          <w:color w:val="231F20"/>
          <w:spacing w:val="-10"/>
          <w:sz w:val="20"/>
        </w:rPr>
        <w:t xml:space="preserve"> </w:t>
      </w:r>
      <w:r>
        <w:rPr>
          <w:color w:val="231F20"/>
          <w:sz w:val="20"/>
        </w:rPr>
        <w:t>limitation</w:t>
      </w:r>
      <w:r>
        <w:rPr>
          <w:color w:val="231F20"/>
          <w:spacing w:val="-10"/>
          <w:sz w:val="20"/>
        </w:rPr>
        <w:t xml:space="preserve"> </w:t>
      </w:r>
      <w:r>
        <w:rPr>
          <w:color w:val="231F20"/>
          <w:sz w:val="20"/>
        </w:rPr>
        <w:t>on</w:t>
      </w:r>
      <w:r>
        <w:rPr>
          <w:color w:val="231F20"/>
          <w:spacing w:val="-10"/>
          <w:sz w:val="20"/>
        </w:rPr>
        <w:t xml:space="preserve"> </w:t>
      </w:r>
      <w:r>
        <w:rPr>
          <w:color w:val="231F20"/>
          <w:sz w:val="20"/>
        </w:rPr>
        <w:t>the</w:t>
      </w:r>
      <w:r>
        <w:rPr>
          <w:color w:val="231F20"/>
          <w:spacing w:val="-11"/>
          <w:sz w:val="20"/>
        </w:rPr>
        <w:t xml:space="preserve"> </w:t>
      </w:r>
      <w:r>
        <w:rPr>
          <w:color w:val="231F20"/>
          <w:sz w:val="20"/>
        </w:rPr>
        <w:t>right</w:t>
      </w:r>
      <w:r>
        <w:rPr>
          <w:color w:val="231F20"/>
          <w:spacing w:val="-10"/>
          <w:sz w:val="20"/>
        </w:rPr>
        <w:t xml:space="preserve"> </w:t>
      </w:r>
      <w:r>
        <w:rPr>
          <w:color w:val="231F20"/>
          <w:sz w:val="20"/>
        </w:rPr>
        <w:t>to</w:t>
      </w:r>
      <w:r>
        <w:rPr>
          <w:color w:val="231F20"/>
          <w:spacing w:val="-10"/>
          <w:sz w:val="20"/>
        </w:rPr>
        <w:t xml:space="preserve"> </w:t>
      </w:r>
      <w:r>
        <w:rPr>
          <w:color w:val="231F20"/>
          <w:sz w:val="20"/>
        </w:rPr>
        <w:t>privacy</w:t>
      </w:r>
      <w:r>
        <w:rPr>
          <w:color w:val="231F20"/>
          <w:spacing w:val="-10"/>
          <w:sz w:val="20"/>
        </w:rPr>
        <w:t xml:space="preserve"> </w:t>
      </w:r>
      <w:r>
        <w:rPr>
          <w:color w:val="231F20"/>
          <w:sz w:val="20"/>
        </w:rPr>
        <w:t>in</w:t>
      </w:r>
      <w:r>
        <w:rPr>
          <w:color w:val="231F20"/>
          <w:spacing w:val="-10"/>
          <w:sz w:val="20"/>
        </w:rPr>
        <w:t xml:space="preserve"> </w:t>
      </w:r>
      <w:r>
        <w:rPr>
          <w:color w:val="231F20"/>
          <w:sz w:val="20"/>
        </w:rPr>
        <w:t xml:space="preserve">the </w:t>
      </w:r>
      <w:r>
        <w:rPr>
          <w:i/>
          <w:color w:val="231F20"/>
          <w:sz w:val="20"/>
        </w:rPr>
        <w:t>Charter</w:t>
      </w:r>
      <w:r>
        <w:rPr>
          <w:i/>
          <w:color w:val="231F20"/>
          <w:spacing w:val="-10"/>
          <w:sz w:val="20"/>
        </w:rPr>
        <w:t xml:space="preserve"> </w:t>
      </w:r>
      <w:r>
        <w:rPr>
          <w:i/>
          <w:color w:val="231F20"/>
          <w:sz w:val="20"/>
        </w:rPr>
        <w:t>of</w:t>
      </w:r>
      <w:r>
        <w:rPr>
          <w:i/>
          <w:color w:val="231F20"/>
          <w:spacing w:val="-9"/>
          <w:sz w:val="20"/>
        </w:rPr>
        <w:t xml:space="preserve"> </w:t>
      </w:r>
      <w:r>
        <w:rPr>
          <w:i/>
          <w:color w:val="231F20"/>
          <w:sz w:val="20"/>
        </w:rPr>
        <w:t>Human</w:t>
      </w:r>
      <w:r>
        <w:rPr>
          <w:i/>
          <w:color w:val="231F20"/>
          <w:spacing w:val="-9"/>
          <w:sz w:val="20"/>
        </w:rPr>
        <w:t xml:space="preserve"> </w:t>
      </w:r>
      <w:r>
        <w:rPr>
          <w:i/>
          <w:color w:val="231F20"/>
          <w:sz w:val="20"/>
        </w:rPr>
        <w:t>Rights</w:t>
      </w:r>
      <w:r>
        <w:rPr>
          <w:i/>
          <w:color w:val="231F20"/>
          <w:spacing w:val="-9"/>
          <w:sz w:val="20"/>
        </w:rPr>
        <w:t xml:space="preserve"> </w:t>
      </w:r>
      <w:r>
        <w:rPr>
          <w:i/>
          <w:color w:val="231F20"/>
          <w:sz w:val="20"/>
        </w:rPr>
        <w:t>and</w:t>
      </w:r>
      <w:r>
        <w:rPr>
          <w:i/>
          <w:color w:val="231F20"/>
          <w:spacing w:val="-9"/>
          <w:sz w:val="20"/>
        </w:rPr>
        <w:t xml:space="preserve"> </w:t>
      </w:r>
      <w:r>
        <w:rPr>
          <w:i/>
          <w:color w:val="231F20"/>
          <w:sz w:val="20"/>
        </w:rPr>
        <w:t>Responsibilities</w:t>
      </w:r>
      <w:r>
        <w:rPr>
          <w:i/>
          <w:color w:val="231F20"/>
          <w:spacing w:val="-9"/>
          <w:sz w:val="20"/>
        </w:rPr>
        <w:t xml:space="preserve"> </w:t>
      </w:r>
      <w:r>
        <w:rPr>
          <w:i/>
          <w:color w:val="231F20"/>
          <w:sz w:val="20"/>
        </w:rPr>
        <w:t>Act</w:t>
      </w:r>
      <w:r>
        <w:rPr>
          <w:i/>
          <w:color w:val="231F20"/>
          <w:spacing w:val="-9"/>
          <w:sz w:val="20"/>
        </w:rPr>
        <w:t xml:space="preserve"> </w:t>
      </w:r>
      <w:r>
        <w:rPr>
          <w:i/>
          <w:color w:val="231F20"/>
          <w:sz w:val="20"/>
        </w:rPr>
        <w:t>2006</w:t>
      </w:r>
      <w:r>
        <w:rPr>
          <w:i/>
          <w:color w:val="231F20"/>
          <w:spacing w:val="-10"/>
          <w:sz w:val="20"/>
        </w:rPr>
        <w:t xml:space="preserve"> </w:t>
      </w:r>
      <w:r>
        <w:rPr>
          <w:color w:val="231F20"/>
          <w:sz w:val="20"/>
        </w:rPr>
        <w:t>(Vic).</w:t>
      </w:r>
      <w:r>
        <w:rPr>
          <w:color w:val="231F20"/>
          <w:position w:val="7"/>
          <w:sz w:val="11"/>
        </w:rPr>
        <w:t>205</w:t>
      </w:r>
      <w:r>
        <w:rPr>
          <w:color w:val="231F20"/>
          <w:spacing w:val="15"/>
          <w:position w:val="7"/>
          <w:sz w:val="11"/>
        </w:rPr>
        <w:t xml:space="preserve"> </w:t>
      </w:r>
      <w:r>
        <w:rPr>
          <w:color w:val="231F20"/>
          <w:sz w:val="20"/>
        </w:rPr>
        <w:t>Such</w:t>
      </w:r>
      <w:r>
        <w:rPr>
          <w:color w:val="231F20"/>
          <w:spacing w:val="-9"/>
          <w:sz w:val="20"/>
        </w:rPr>
        <w:t xml:space="preserve"> </w:t>
      </w:r>
      <w:r>
        <w:rPr>
          <w:color w:val="231F20"/>
          <w:sz w:val="20"/>
        </w:rPr>
        <w:t>a</w:t>
      </w:r>
      <w:r>
        <w:rPr>
          <w:color w:val="231F20"/>
          <w:spacing w:val="-9"/>
          <w:sz w:val="20"/>
        </w:rPr>
        <w:t xml:space="preserve"> </w:t>
      </w:r>
      <w:r>
        <w:rPr>
          <w:color w:val="231F20"/>
          <w:sz w:val="20"/>
        </w:rPr>
        <w:t>limitation</w:t>
      </w:r>
      <w:r>
        <w:rPr>
          <w:color w:val="231F20"/>
          <w:spacing w:val="-10"/>
          <w:sz w:val="20"/>
        </w:rPr>
        <w:t xml:space="preserve"> </w:t>
      </w:r>
      <w:r>
        <w:rPr>
          <w:color w:val="231F20"/>
          <w:sz w:val="20"/>
        </w:rPr>
        <w:t>must be</w:t>
      </w:r>
      <w:r>
        <w:rPr>
          <w:color w:val="231F20"/>
          <w:spacing w:val="-9"/>
          <w:sz w:val="20"/>
        </w:rPr>
        <w:t xml:space="preserve"> </w:t>
      </w:r>
      <w:r>
        <w:rPr>
          <w:color w:val="231F20"/>
          <w:sz w:val="20"/>
        </w:rPr>
        <w:t>justified,</w:t>
      </w:r>
      <w:r>
        <w:rPr>
          <w:color w:val="231F20"/>
          <w:spacing w:val="-9"/>
          <w:sz w:val="20"/>
        </w:rPr>
        <w:t xml:space="preserve"> </w:t>
      </w:r>
      <w:r>
        <w:rPr>
          <w:color w:val="231F20"/>
          <w:sz w:val="20"/>
        </w:rPr>
        <w:t>taking</w:t>
      </w:r>
      <w:r>
        <w:rPr>
          <w:color w:val="231F20"/>
          <w:spacing w:val="-8"/>
          <w:sz w:val="20"/>
        </w:rPr>
        <w:t xml:space="preserve"> </w:t>
      </w:r>
      <w:r>
        <w:rPr>
          <w:color w:val="231F20"/>
          <w:spacing w:val="-3"/>
          <w:sz w:val="20"/>
        </w:rPr>
        <w:t>into</w:t>
      </w:r>
      <w:r>
        <w:rPr>
          <w:color w:val="231F20"/>
          <w:spacing w:val="-9"/>
          <w:sz w:val="20"/>
        </w:rPr>
        <w:t xml:space="preserve"> </w:t>
      </w:r>
      <w:r>
        <w:rPr>
          <w:color w:val="231F20"/>
          <w:sz w:val="20"/>
        </w:rPr>
        <w:t>account</w:t>
      </w:r>
      <w:r>
        <w:rPr>
          <w:color w:val="231F20"/>
          <w:spacing w:val="-8"/>
          <w:sz w:val="20"/>
        </w:rPr>
        <w:t xml:space="preserve"> </w:t>
      </w:r>
      <w:r>
        <w:rPr>
          <w:color w:val="231F20"/>
          <w:sz w:val="20"/>
        </w:rPr>
        <w:t>factors</w:t>
      </w:r>
      <w:r>
        <w:rPr>
          <w:color w:val="231F20"/>
          <w:spacing w:val="-9"/>
          <w:sz w:val="20"/>
        </w:rPr>
        <w:t xml:space="preserve"> </w:t>
      </w:r>
      <w:r>
        <w:rPr>
          <w:color w:val="231F20"/>
          <w:sz w:val="20"/>
        </w:rPr>
        <w:t>such</w:t>
      </w:r>
      <w:r>
        <w:rPr>
          <w:color w:val="231F20"/>
          <w:spacing w:val="-8"/>
          <w:sz w:val="20"/>
        </w:rPr>
        <w:t xml:space="preserve"> </w:t>
      </w:r>
      <w:r>
        <w:rPr>
          <w:color w:val="231F20"/>
          <w:sz w:val="20"/>
        </w:rPr>
        <w:t>as</w:t>
      </w:r>
      <w:r>
        <w:rPr>
          <w:color w:val="231F20"/>
          <w:spacing w:val="-9"/>
          <w:sz w:val="20"/>
        </w:rPr>
        <w:t xml:space="preserve"> </w:t>
      </w:r>
      <w:r>
        <w:rPr>
          <w:color w:val="231F20"/>
          <w:sz w:val="20"/>
        </w:rPr>
        <w:t>the</w:t>
      </w:r>
      <w:r>
        <w:rPr>
          <w:color w:val="231F20"/>
          <w:spacing w:val="-8"/>
          <w:sz w:val="20"/>
        </w:rPr>
        <w:t xml:space="preserve"> </w:t>
      </w:r>
      <w:r>
        <w:rPr>
          <w:color w:val="231F20"/>
          <w:sz w:val="20"/>
        </w:rPr>
        <w:t>purpose</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8"/>
          <w:sz w:val="20"/>
        </w:rPr>
        <w:t xml:space="preserve"> </w:t>
      </w:r>
      <w:r>
        <w:rPr>
          <w:color w:val="231F20"/>
          <w:sz w:val="20"/>
        </w:rPr>
        <w:t>limitation.</w:t>
      </w:r>
      <w:r>
        <w:rPr>
          <w:color w:val="231F20"/>
          <w:position w:val="7"/>
          <w:sz w:val="11"/>
        </w:rPr>
        <w:t>206</w:t>
      </w:r>
      <w:r>
        <w:rPr>
          <w:color w:val="231F20"/>
          <w:spacing w:val="15"/>
          <w:position w:val="7"/>
          <w:sz w:val="11"/>
        </w:rPr>
        <w:t xml:space="preserve"> </w:t>
      </w:r>
      <w:r>
        <w:rPr>
          <w:color w:val="231F20"/>
          <w:sz w:val="20"/>
        </w:rPr>
        <w:t>The</w:t>
      </w:r>
    </w:p>
    <w:p w14:paraId="485BDF5E" w14:textId="77777777" w:rsidR="00894070" w:rsidRDefault="009B7AFD">
      <w:pPr>
        <w:pStyle w:val="BodyText"/>
        <w:spacing w:before="4" w:line="206" w:lineRule="auto"/>
        <w:ind w:left="1801" w:right="1219"/>
        <w:rPr>
          <w:sz w:val="11"/>
        </w:rPr>
      </w:pPr>
      <w:r>
        <w:rPr>
          <w:color w:val="231F20"/>
        </w:rPr>
        <w:t>purpose</w:t>
      </w:r>
      <w:r>
        <w:rPr>
          <w:color w:val="231F20"/>
          <w:spacing w:val="-11"/>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limitation</w:t>
      </w:r>
      <w:r>
        <w:rPr>
          <w:color w:val="231F20"/>
          <w:spacing w:val="-11"/>
        </w:rPr>
        <w:t xml:space="preserve"> </w:t>
      </w:r>
      <w:r>
        <w:rPr>
          <w:color w:val="231F20"/>
        </w:rPr>
        <w:t>in</w:t>
      </w:r>
      <w:r>
        <w:rPr>
          <w:color w:val="231F20"/>
          <w:spacing w:val="-10"/>
        </w:rPr>
        <w:t xml:space="preserve"> </w:t>
      </w:r>
      <w:r>
        <w:rPr>
          <w:color w:val="231F20"/>
        </w:rPr>
        <w:t>this</w:t>
      </w:r>
      <w:r>
        <w:rPr>
          <w:color w:val="231F20"/>
          <w:spacing w:val="-11"/>
        </w:rPr>
        <w:t xml:space="preserve"> </w:t>
      </w:r>
      <w:r>
        <w:rPr>
          <w:color w:val="231F20"/>
        </w:rPr>
        <w:t>context,</w:t>
      </w:r>
      <w:r>
        <w:rPr>
          <w:color w:val="231F20"/>
          <w:spacing w:val="-11"/>
        </w:rPr>
        <w:t xml:space="preserve"> </w:t>
      </w:r>
      <w:r>
        <w:rPr>
          <w:color w:val="231F20"/>
        </w:rPr>
        <w:t>the</w:t>
      </w:r>
      <w:r>
        <w:rPr>
          <w:color w:val="231F20"/>
          <w:spacing w:val="-10"/>
        </w:rPr>
        <w:t xml:space="preserve"> </w:t>
      </w:r>
      <w:r>
        <w:rPr>
          <w:color w:val="231F20"/>
        </w:rPr>
        <w:t>safety</w:t>
      </w:r>
      <w:r>
        <w:rPr>
          <w:color w:val="231F20"/>
          <w:spacing w:val="-11"/>
        </w:rPr>
        <w:t xml:space="preserve"> </w:t>
      </w:r>
      <w:r>
        <w:rPr>
          <w:color w:val="231F20"/>
        </w:rPr>
        <w:t>of</w:t>
      </w:r>
      <w:r>
        <w:rPr>
          <w:color w:val="231F20"/>
          <w:spacing w:val="-10"/>
        </w:rPr>
        <w:t xml:space="preserve"> </w:t>
      </w:r>
      <w:r>
        <w:rPr>
          <w:color w:val="231F20"/>
        </w:rPr>
        <w:t>victim</w:t>
      </w:r>
      <w:r>
        <w:rPr>
          <w:color w:val="231F20"/>
          <w:spacing w:val="-11"/>
        </w:rPr>
        <w:t xml:space="preserve"> </w:t>
      </w:r>
      <w:r>
        <w:rPr>
          <w:color w:val="231F20"/>
        </w:rPr>
        <w:t>survivors,</w:t>
      </w:r>
      <w:r>
        <w:rPr>
          <w:color w:val="231F20"/>
          <w:spacing w:val="-10"/>
        </w:rPr>
        <w:t xml:space="preserve"> </w:t>
      </w:r>
      <w:r>
        <w:rPr>
          <w:color w:val="231F20"/>
        </w:rPr>
        <w:t>is</w:t>
      </w:r>
      <w:r>
        <w:rPr>
          <w:color w:val="231F20"/>
          <w:spacing w:val="-11"/>
        </w:rPr>
        <w:t xml:space="preserve"> </w:t>
      </w:r>
      <w:r>
        <w:rPr>
          <w:color w:val="231F20"/>
        </w:rPr>
        <w:t>very</w:t>
      </w:r>
      <w:r>
        <w:rPr>
          <w:color w:val="231F20"/>
          <w:spacing w:val="-11"/>
        </w:rPr>
        <w:t xml:space="preserve"> </w:t>
      </w:r>
      <w:r>
        <w:rPr>
          <w:color w:val="231F20"/>
        </w:rPr>
        <w:t xml:space="preserve">important. </w:t>
      </w:r>
      <w:r>
        <w:rPr>
          <w:color w:val="231F20"/>
          <w:spacing w:val="-5"/>
        </w:rPr>
        <w:t xml:space="preserve">However, </w:t>
      </w:r>
      <w:r>
        <w:rPr>
          <w:color w:val="231F20"/>
        </w:rPr>
        <w:t xml:space="preserve">on the limited available evidence and the balance of submissions </w:t>
      </w:r>
      <w:r>
        <w:rPr>
          <w:color w:val="231F20"/>
          <w:spacing w:val="-3"/>
        </w:rPr>
        <w:t xml:space="preserve">received, we </w:t>
      </w:r>
      <w:r>
        <w:rPr>
          <w:color w:val="231F20"/>
        </w:rPr>
        <w:t xml:space="preserve">do not consider electronic monitoring to be a </w:t>
      </w:r>
      <w:r>
        <w:rPr>
          <w:color w:val="231F20"/>
          <w:spacing w:val="-3"/>
        </w:rPr>
        <w:t xml:space="preserve">‘reasonable’ </w:t>
      </w:r>
      <w:r>
        <w:rPr>
          <w:color w:val="231F20"/>
        </w:rPr>
        <w:t xml:space="preserve">and </w:t>
      </w:r>
      <w:r>
        <w:rPr>
          <w:color w:val="231F20"/>
          <w:spacing w:val="-3"/>
        </w:rPr>
        <w:t xml:space="preserve">‘demonstrably </w:t>
      </w:r>
      <w:r>
        <w:rPr>
          <w:color w:val="231F20"/>
        </w:rPr>
        <w:t xml:space="preserve">justifiable’ </w:t>
      </w:r>
      <w:r>
        <w:rPr>
          <w:color w:val="231F20"/>
          <w:spacing w:val="-3"/>
        </w:rPr>
        <w:t xml:space="preserve">way </w:t>
      </w:r>
      <w:r>
        <w:rPr>
          <w:color w:val="231F20"/>
        </w:rPr>
        <w:t>of achieving that</w:t>
      </w:r>
      <w:r>
        <w:rPr>
          <w:color w:val="231F20"/>
          <w:spacing w:val="-21"/>
        </w:rPr>
        <w:t xml:space="preserve"> </w:t>
      </w:r>
      <w:r>
        <w:rPr>
          <w:color w:val="231F20"/>
        </w:rPr>
        <w:t>purpose.</w:t>
      </w:r>
      <w:r>
        <w:rPr>
          <w:color w:val="231F20"/>
          <w:position w:val="7"/>
          <w:sz w:val="11"/>
        </w:rPr>
        <w:t>207</w:t>
      </w:r>
    </w:p>
    <w:p w14:paraId="0794E488" w14:textId="77777777" w:rsidR="00894070" w:rsidRDefault="009B7AFD">
      <w:pPr>
        <w:pStyle w:val="ListParagraph"/>
        <w:numPr>
          <w:ilvl w:val="1"/>
          <w:numId w:val="29"/>
        </w:numPr>
        <w:tabs>
          <w:tab w:val="left" w:pos="1801"/>
          <w:tab w:val="left" w:pos="1802"/>
        </w:tabs>
        <w:spacing w:before="125" w:line="206" w:lineRule="auto"/>
        <w:ind w:right="1420"/>
        <w:rPr>
          <w:sz w:val="20"/>
        </w:rPr>
      </w:pPr>
      <w:r>
        <w:rPr>
          <w:color w:val="231F20"/>
          <w:spacing w:val="-6"/>
          <w:sz w:val="20"/>
        </w:rPr>
        <w:t xml:space="preserve">We </w:t>
      </w:r>
      <w:r>
        <w:rPr>
          <w:color w:val="231F20"/>
          <w:sz w:val="20"/>
        </w:rPr>
        <w:t xml:space="preserve">acknowledge the need </w:t>
      </w:r>
      <w:r>
        <w:rPr>
          <w:color w:val="231F20"/>
          <w:spacing w:val="-3"/>
          <w:sz w:val="20"/>
        </w:rPr>
        <w:t xml:space="preserve">for </w:t>
      </w:r>
      <w:r>
        <w:rPr>
          <w:color w:val="231F20"/>
          <w:sz w:val="20"/>
        </w:rPr>
        <w:t xml:space="preserve">enhanced </w:t>
      </w:r>
      <w:r>
        <w:rPr>
          <w:color w:val="231F20"/>
          <w:spacing w:val="-3"/>
          <w:sz w:val="20"/>
        </w:rPr>
        <w:t xml:space="preserve">protections for </w:t>
      </w:r>
      <w:r>
        <w:rPr>
          <w:color w:val="231F20"/>
          <w:sz w:val="20"/>
        </w:rPr>
        <w:t xml:space="preserve">victim survivors of non- </w:t>
      </w:r>
      <w:r>
        <w:rPr>
          <w:color w:val="231F20"/>
          <w:spacing w:val="-3"/>
          <w:sz w:val="20"/>
        </w:rPr>
        <w:t>family</w:t>
      </w:r>
      <w:r>
        <w:rPr>
          <w:color w:val="231F20"/>
          <w:spacing w:val="-8"/>
          <w:sz w:val="20"/>
        </w:rPr>
        <w:t xml:space="preserve"> </w:t>
      </w:r>
      <w:r>
        <w:rPr>
          <w:color w:val="231F20"/>
          <w:sz w:val="20"/>
        </w:rPr>
        <w:t>violence</w:t>
      </w:r>
      <w:r>
        <w:rPr>
          <w:color w:val="231F20"/>
          <w:spacing w:val="-8"/>
          <w:sz w:val="20"/>
        </w:rPr>
        <w:t xml:space="preserve"> </w:t>
      </w:r>
      <w:r>
        <w:rPr>
          <w:color w:val="231F20"/>
          <w:sz w:val="20"/>
        </w:rPr>
        <w:t>stalking.</w:t>
      </w:r>
      <w:r>
        <w:rPr>
          <w:color w:val="231F20"/>
          <w:spacing w:val="-8"/>
          <w:sz w:val="20"/>
        </w:rPr>
        <w:t xml:space="preserve"> </w:t>
      </w:r>
      <w:r>
        <w:rPr>
          <w:color w:val="231F20"/>
          <w:spacing w:val="-2"/>
          <w:sz w:val="20"/>
        </w:rPr>
        <w:t>All</w:t>
      </w:r>
      <w:r>
        <w:rPr>
          <w:color w:val="231F20"/>
          <w:spacing w:val="-8"/>
          <w:sz w:val="20"/>
        </w:rPr>
        <w:t xml:space="preserve"> </w:t>
      </w:r>
      <w:r>
        <w:rPr>
          <w:color w:val="231F20"/>
          <w:sz w:val="20"/>
        </w:rPr>
        <w:t>Victorians</w:t>
      </w:r>
      <w:r>
        <w:rPr>
          <w:color w:val="231F20"/>
          <w:spacing w:val="-8"/>
          <w:sz w:val="20"/>
        </w:rPr>
        <w:t xml:space="preserve"> </w:t>
      </w:r>
      <w:r>
        <w:rPr>
          <w:color w:val="231F20"/>
          <w:spacing w:val="-4"/>
          <w:sz w:val="20"/>
        </w:rPr>
        <w:t>have</w:t>
      </w:r>
      <w:r>
        <w:rPr>
          <w:color w:val="231F20"/>
          <w:spacing w:val="-8"/>
          <w:sz w:val="20"/>
        </w:rPr>
        <w:t xml:space="preserve"> </w:t>
      </w:r>
      <w:r>
        <w:rPr>
          <w:color w:val="231F20"/>
          <w:sz w:val="20"/>
        </w:rPr>
        <w:t>a</w:t>
      </w:r>
      <w:r>
        <w:rPr>
          <w:color w:val="231F20"/>
          <w:spacing w:val="-8"/>
          <w:sz w:val="20"/>
        </w:rPr>
        <w:t xml:space="preserve"> </w:t>
      </w:r>
      <w:r>
        <w:rPr>
          <w:color w:val="231F20"/>
          <w:sz w:val="20"/>
        </w:rPr>
        <w:t>right</w:t>
      </w:r>
      <w:r>
        <w:rPr>
          <w:color w:val="231F20"/>
          <w:spacing w:val="-8"/>
          <w:sz w:val="20"/>
        </w:rPr>
        <w:t xml:space="preserve"> </w:t>
      </w:r>
      <w:r>
        <w:rPr>
          <w:color w:val="231F20"/>
          <w:sz w:val="20"/>
        </w:rPr>
        <w:t>to</w:t>
      </w:r>
      <w:r>
        <w:rPr>
          <w:color w:val="231F20"/>
          <w:spacing w:val="-8"/>
          <w:sz w:val="20"/>
        </w:rPr>
        <w:t xml:space="preserve"> </w:t>
      </w:r>
      <w:r>
        <w:rPr>
          <w:color w:val="231F20"/>
          <w:spacing w:val="-3"/>
          <w:sz w:val="20"/>
        </w:rPr>
        <w:t>live</w:t>
      </w:r>
      <w:r>
        <w:rPr>
          <w:color w:val="231F20"/>
          <w:spacing w:val="-8"/>
          <w:sz w:val="20"/>
        </w:rPr>
        <w:t xml:space="preserve"> </w:t>
      </w:r>
      <w:r>
        <w:rPr>
          <w:color w:val="231F20"/>
          <w:sz w:val="20"/>
        </w:rPr>
        <w:t>free</w:t>
      </w:r>
      <w:r>
        <w:rPr>
          <w:color w:val="231F20"/>
          <w:spacing w:val="-7"/>
          <w:sz w:val="20"/>
        </w:rPr>
        <w:t xml:space="preserve"> </w:t>
      </w:r>
      <w:r>
        <w:rPr>
          <w:color w:val="231F20"/>
          <w:spacing w:val="-3"/>
          <w:sz w:val="20"/>
        </w:rPr>
        <w:t>from</w:t>
      </w:r>
      <w:r>
        <w:rPr>
          <w:color w:val="231F20"/>
          <w:spacing w:val="-8"/>
          <w:sz w:val="20"/>
        </w:rPr>
        <w:t xml:space="preserve"> </w:t>
      </w:r>
      <w:r>
        <w:rPr>
          <w:color w:val="231F20"/>
          <w:sz w:val="20"/>
        </w:rPr>
        <w:t>violence</w:t>
      </w:r>
      <w:r>
        <w:rPr>
          <w:color w:val="231F20"/>
          <w:spacing w:val="-8"/>
          <w:sz w:val="20"/>
        </w:rPr>
        <w:t xml:space="preserve"> </w:t>
      </w:r>
      <w:r>
        <w:rPr>
          <w:color w:val="231F20"/>
          <w:sz w:val="20"/>
        </w:rPr>
        <w:t>and</w:t>
      </w:r>
      <w:r>
        <w:rPr>
          <w:color w:val="231F20"/>
          <w:spacing w:val="-8"/>
          <w:sz w:val="20"/>
        </w:rPr>
        <w:t xml:space="preserve"> </w:t>
      </w:r>
      <w:r>
        <w:rPr>
          <w:color w:val="231F20"/>
          <w:spacing w:val="-3"/>
          <w:sz w:val="20"/>
        </w:rPr>
        <w:t xml:space="preserve">from </w:t>
      </w:r>
      <w:r>
        <w:rPr>
          <w:color w:val="231F20"/>
          <w:sz w:val="20"/>
        </w:rPr>
        <w:t xml:space="preserve">the perpetual fear of violence that is so often experienced </w:t>
      </w:r>
      <w:r>
        <w:rPr>
          <w:color w:val="231F20"/>
          <w:spacing w:val="-3"/>
          <w:sz w:val="20"/>
        </w:rPr>
        <w:t xml:space="preserve">by </w:t>
      </w:r>
      <w:r>
        <w:rPr>
          <w:color w:val="231F20"/>
          <w:sz w:val="20"/>
        </w:rPr>
        <w:t xml:space="preserve">victim survivors in the aftermath of being stalked. </w:t>
      </w:r>
      <w:r>
        <w:rPr>
          <w:color w:val="231F20"/>
          <w:spacing w:val="-6"/>
          <w:sz w:val="20"/>
        </w:rPr>
        <w:t xml:space="preserve">We </w:t>
      </w:r>
      <w:r>
        <w:rPr>
          <w:color w:val="231F20"/>
          <w:sz w:val="20"/>
        </w:rPr>
        <w:t>acknowledge the appeal of electronic monitoring in achieving</w:t>
      </w:r>
      <w:r>
        <w:rPr>
          <w:color w:val="231F20"/>
          <w:spacing w:val="-6"/>
          <w:sz w:val="20"/>
        </w:rPr>
        <w:t xml:space="preserve"> </w:t>
      </w:r>
      <w:r>
        <w:rPr>
          <w:color w:val="231F20"/>
          <w:sz w:val="20"/>
        </w:rPr>
        <w:t>the</w:t>
      </w:r>
      <w:r>
        <w:rPr>
          <w:color w:val="231F20"/>
          <w:spacing w:val="-6"/>
          <w:sz w:val="20"/>
        </w:rPr>
        <w:t xml:space="preserve"> </w:t>
      </w:r>
      <w:r>
        <w:rPr>
          <w:color w:val="231F20"/>
          <w:sz w:val="20"/>
        </w:rPr>
        <w:t>goal</w:t>
      </w:r>
      <w:r>
        <w:rPr>
          <w:color w:val="231F20"/>
          <w:spacing w:val="-6"/>
          <w:sz w:val="20"/>
        </w:rPr>
        <w:t xml:space="preserve"> </w:t>
      </w:r>
      <w:r>
        <w:rPr>
          <w:color w:val="231F20"/>
          <w:sz w:val="20"/>
        </w:rPr>
        <w:t>of</w:t>
      </w:r>
      <w:r>
        <w:rPr>
          <w:color w:val="231F20"/>
          <w:spacing w:val="-6"/>
          <w:sz w:val="20"/>
        </w:rPr>
        <w:t xml:space="preserve"> </w:t>
      </w:r>
      <w:r>
        <w:rPr>
          <w:color w:val="231F20"/>
          <w:sz w:val="20"/>
        </w:rPr>
        <w:t>keeping</w:t>
      </w:r>
      <w:r>
        <w:rPr>
          <w:color w:val="231F20"/>
          <w:spacing w:val="-6"/>
          <w:sz w:val="20"/>
        </w:rPr>
        <w:t xml:space="preserve"> </w:t>
      </w:r>
      <w:r>
        <w:rPr>
          <w:color w:val="231F20"/>
          <w:sz w:val="20"/>
        </w:rPr>
        <w:t>victim</w:t>
      </w:r>
      <w:r>
        <w:rPr>
          <w:color w:val="231F20"/>
          <w:spacing w:val="-6"/>
          <w:sz w:val="20"/>
        </w:rPr>
        <w:t xml:space="preserve"> </w:t>
      </w:r>
      <w:r>
        <w:rPr>
          <w:color w:val="231F20"/>
          <w:sz w:val="20"/>
        </w:rPr>
        <w:t>survivors</w:t>
      </w:r>
      <w:r>
        <w:rPr>
          <w:color w:val="231F20"/>
          <w:spacing w:val="-6"/>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z w:val="20"/>
        </w:rPr>
        <w:t>community</w:t>
      </w:r>
      <w:r>
        <w:rPr>
          <w:color w:val="231F20"/>
          <w:spacing w:val="-6"/>
          <w:sz w:val="20"/>
        </w:rPr>
        <w:t xml:space="preserve"> </w:t>
      </w:r>
      <w:r>
        <w:rPr>
          <w:color w:val="231F20"/>
          <w:spacing w:val="-3"/>
          <w:sz w:val="20"/>
        </w:rPr>
        <w:t>safe.</w:t>
      </w:r>
    </w:p>
    <w:p w14:paraId="760FDE8A" w14:textId="77777777" w:rsidR="00894070" w:rsidRDefault="009F6793">
      <w:pPr>
        <w:pStyle w:val="BodyText"/>
        <w:spacing w:before="3"/>
        <w:rPr>
          <w:sz w:val="12"/>
        </w:rPr>
      </w:pPr>
      <w:r>
        <w:pict w14:anchorId="0858095A">
          <v:line id="_x0000_s1052" style="position:absolute;z-index:251788288;mso-wrap-distance-left:0;mso-wrap-distance-right:0;mso-position-horizontal-relative:page" from="79.35pt,10.95pt" to="515.9pt,10.95pt" strokecolor="#f8cabc" strokeweight="1pt">
            <w10:wrap type="topAndBottom" anchorx="page"/>
          </v:line>
        </w:pict>
      </w:r>
    </w:p>
    <w:p w14:paraId="59D9499E" w14:textId="77777777" w:rsidR="00894070" w:rsidRDefault="00894070">
      <w:pPr>
        <w:pStyle w:val="BodyText"/>
        <w:rPr>
          <w:sz w:val="5"/>
        </w:rPr>
      </w:pPr>
    </w:p>
    <w:p w14:paraId="7FEA2B67" w14:textId="77777777" w:rsidR="00894070" w:rsidRDefault="00894070">
      <w:pPr>
        <w:rPr>
          <w:sz w:val="5"/>
        </w:rPr>
        <w:sectPr w:rsidR="00894070">
          <w:pgSz w:w="11910" w:h="16840"/>
          <w:pgMar w:top="840" w:right="420" w:bottom="280" w:left="580" w:header="0" w:footer="0" w:gutter="0"/>
          <w:cols w:space="720"/>
        </w:sectPr>
      </w:pPr>
    </w:p>
    <w:p w14:paraId="55901C08" w14:textId="77777777" w:rsidR="00894070" w:rsidRDefault="009B7AFD">
      <w:pPr>
        <w:pStyle w:val="ListParagraph"/>
        <w:numPr>
          <w:ilvl w:val="0"/>
          <w:numId w:val="18"/>
        </w:numPr>
        <w:tabs>
          <w:tab w:val="left" w:pos="1801"/>
          <w:tab w:val="left" w:pos="1802"/>
        </w:tabs>
        <w:spacing w:before="38" w:line="213" w:lineRule="auto"/>
        <w:ind w:right="268"/>
        <w:jc w:val="left"/>
        <w:rPr>
          <w:sz w:val="13"/>
        </w:rPr>
      </w:pPr>
      <w:r>
        <w:rPr>
          <w:color w:val="231F20"/>
          <w:spacing w:val="2"/>
          <w:sz w:val="13"/>
        </w:rPr>
        <w:t xml:space="preserve">Submissions </w:t>
      </w:r>
      <w:r>
        <w:rPr>
          <w:color w:val="231F20"/>
          <w:sz w:val="13"/>
        </w:rPr>
        <w:t xml:space="preserve">47 </w:t>
      </w:r>
      <w:r>
        <w:rPr>
          <w:color w:val="231F20"/>
          <w:spacing w:val="2"/>
          <w:sz w:val="13"/>
        </w:rPr>
        <w:t xml:space="preserve">(Liberty </w:t>
      </w:r>
      <w:r>
        <w:rPr>
          <w:color w:val="231F20"/>
          <w:sz w:val="13"/>
        </w:rPr>
        <w:t>Victoria), 98 (Law Institute of Victoria), 95 (Springvale Monash Legal Service), 97 (Federation of Community Legal Centres); Consultations 13 (Victoria Legal Aid), 10 (Victorian Aboriginal Legal Service), 30 (Roundtable with multicultural and multifaith lawyers and legal</w:t>
      </w:r>
      <w:r>
        <w:rPr>
          <w:color w:val="231F20"/>
          <w:spacing w:val="4"/>
          <w:sz w:val="13"/>
        </w:rPr>
        <w:t xml:space="preserve"> </w:t>
      </w:r>
      <w:r>
        <w:rPr>
          <w:color w:val="231F20"/>
          <w:sz w:val="13"/>
        </w:rPr>
        <w:t>stakeholders).</w:t>
      </w:r>
    </w:p>
    <w:p w14:paraId="14904470" w14:textId="77777777" w:rsidR="00894070" w:rsidRDefault="009B7AFD">
      <w:pPr>
        <w:pStyle w:val="ListParagraph"/>
        <w:numPr>
          <w:ilvl w:val="0"/>
          <w:numId w:val="18"/>
        </w:numPr>
        <w:tabs>
          <w:tab w:val="left" w:pos="1800"/>
          <w:tab w:val="left" w:pos="1802"/>
        </w:tabs>
        <w:spacing w:line="152" w:lineRule="exact"/>
        <w:jc w:val="left"/>
        <w:rPr>
          <w:sz w:val="13"/>
        </w:rPr>
      </w:pPr>
      <w:r>
        <w:rPr>
          <w:color w:val="231F20"/>
          <w:sz w:val="13"/>
        </w:rPr>
        <w:t>Consultation 10 (Victorian Aboriginal Legal</w:t>
      </w:r>
      <w:r>
        <w:rPr>
          <w:color w:val="231F20"/>
          <w:spacing w:val="2"/>
          <w:sz w:val="13"/>
        </w:rPr>
        <w:t xml:space="preserve"> </w:t>
      </w:r>
      <w:r>
        <w:rPr>
          <w:color w:val="231F20"/>
          <w:sz w:val="13"/>
        </w:rPr>
        <w:t>Service).</w:t>
      </w:r>
    </w:p>
    <w:p w14:paraId="7D9E34E1" w14:textId="77777777" w:rsidR="00894070" w:rsidRDefault="009B7AFD">
      <w:pPr>
        <w:pStyle w:val="ListParagraph"/>
        <w:numPr>
          <w:ilvl w:val="0"/>
          <w:numId w:val="18"/>
        </w:numPr>
        <w:tabs>
          <w:tab w:val="left" w:pos="1800"/>
          <w:tab w:val="left" w:pos="1802"/>
        </w:tabs>
        <w:spacing w:line="160" w:lineRule="exact"/>
        <w:jc w:val="left"/>
        <w:rPr>
          <w:sz w:val="13"/>
        </w:rPr>
      </w:pPr>
      <w:r>
        <w:rPr>
          <w:color w:val="231F20"/>
          <w:sz w:val="13"/>
        </w:rPr>
        <w:t>Ibid; Consultation 13 (Victoria Legal</w:t>
      </w:r>
      <w:r>
        <w:rPr>
          <w:color w:val="231F20"/>
          <w:spacing w:val="1"/>
          <w:sz w:val="13"/>
        </w:rPr>
        <w:t xml:space="preserve"> </w:t>
      </w:r>
      <w:r>
        <w:rPr>
          <w:color w:val="231F20"/>
          <w:sz w:val="13"/>
        </w:rPr>
        <w:t>Aid).</w:t>
      </w:r>
    </w:p>
    <w:p w14:paraId="395FA4C8" w14:textId="77777777" w:rsidR="00894070" w:rsidRDefault="009B7AFD">
      <w:pPr>
        <w:pStyle w:val="ListParagraph"/>
        <w:numPr>
          <w:ilvl w:val="0"/>
          <w:numId w:val="18"/>
        </w:numPr>
        <w:tabs>
          <w:tab w:val="left" w:pos="1801"/>
          <w:tab w:val="left" w:pos="1802"/>
        </w:tabs>
        <w:spacing w:line="160" w:lineRule="exact"/>
        <w:jc w:val="left"/>
        <w:rPr>
          <w:sz w:val="13"/>
        </w:rPr>
      </w:pPr>
      <w:r>
        <w:rPr>
          <w:color w:val="231F20"/>
          <w:sz w:val="13"/>
        </w:rPr>
        <w:t>Consultation 13 (Victoria Legal</w:t>
      </w:r>
      <w:r>
        <w:rPr>
          <w:color w:val="231F20"/>
          <w:spacing w:val="1"/>
          <w:sz w:val="13"/>
        </w:rPr>
        <w:t xml:space="preserve"> </w:t>
      </w:r>
      <w:r>
        <w:rPr>
          <w:color w:val="231F20"/>
          <w:sz w:val="13"/>
        </w:rPr>
        <w:t>Aid).</w:t>
      </w:r>
    </w:p>
    <w:p w14:paraId="25416F0A" w14:textId="77777777" w:rsidR="00894070" w:rsidRDefault="009B7AFD">
      <w:pPr>
        <w:pStyle w:val="ListParagraph"/>
        <w:numPr>
          <w:ilvl w:val="0"/>
          <w:numId w:val="18"/>
        </w:numPr>
        <w:tabs>
          <w:tab w:val="left" w:pos="1800"/>
          <w:tab w:val="left" w:pos="1802"/>
        </w:tabs>
        <w:spacing w:line="160" w:lineRule="exact"/>
        <w:jc w:val="left"/>
        <w:rPr>
          <w:sz w:val="13"/>
        </w:rPr>
      </w:pPr>
      <w:r>
        <w:rPr>
          <w:color w:val="231F20"/>
          <w:spacing w:val="2"/>
          <w:sz w:val="13"/>
        </w:rPr>
        <w:t xml:space="preserve">Submission </w:t>
      </w:r>
      <w:r>
        <w:rPr>
          <w:color w:val="231F20"/>
          <w:sz w:val="13"/>
        </w:rPr>
        <w:t>27 (Victoria Legal Aid); Consultation 10 (Victorian Aboriginal Legal</w:t>
      </w:r>
      <w:r>
        <w:rPr>
          <w:color w:val="231F20"/>
          <w:spacing w:val="11"/>
          <w:sz w:val="13"/>
        </w:rPr>
        <w:t xml:space="preserve"> </w:t>
      </w:r>
      <w:r>
        <w:rPr>
          <w:color w:val="231F20"/>
          <w:sz w:val="13"/>
        </w:rPr>
        <w:t>Service).</w:t>
      </w:r>
    </w:p>
    <w:p w14:paraId="5A4D9910" w14:textId="77777777" w:rsidR="00894070" w:rsidRDefault="009B7AFD">
      <w:pPr>
        <w:pStyle w:val="ListParagraph"/>
        <w:numPr>
          <w:ilvl w:val="0"/>
          <w:numId w:val="18"/>
        </w:numPr>
        <w:tabs>
          <w:tab w:val="left" w:pos="1800"/>
          <w:tab w:val="left" w:pos="1802"/>
        </w:tabs>
        <w:spacing w:line="160" w:lineRule="exact"/>
        <w:jc w:val="left"/>
        <w:rPr>
          <w:sz w:val="13"/>
        </w:rPr>
      </w:pPr>
      <w:r>
        <w:rPr>
          <w:color w:val="231F20"/>
          <w:spacing w:val="2"/>
          <w:sz w:val="13"/>
        </w:rPr>
        <w:t xml:space="preserve">Submission </w:t>
      </w:r>
      <w:r>
        <w:rPr>
          <w:color w:val="231F20"/>
          <w:sz w:val="13"/>
        </w:rPr>
        <w:t>27 (Victoria Legal</w:t>
      </w:r>
      <w:r>
        <w:rPr>
          <w:color w:val="231F20"/>
          <w:spacing w:val="-3"/>
          <w:sz w:val="13"/>
        </w:rPr>
        <w:t xml:space="preserve"> </w:t>
      </w:r>
      <w:r>
        <w:rPr>
          <w:color w:val="231F20"/>
          <w:sz w:val="13"/>
        </w:rPr>
        <w:t>Aid).</w:t>
      </w:r>
    </w:p>
    <w:p w14:paraId="6DF5F11F" w14:textId="77777777" w:rsidR="00894070" w:rsidRDefault="009B7AFD">
      <w:pPr>
        <w:pStyle w:val="ListParagraph"/>
        <w:numPr>
          <w:ilvl w:val="0"/>
          <w:numId w:val="18"/>
        </w:numPr>
        <w:tabs>
          <w:tab w:val="left" w:pos="1801"/>
          <w:tab w:val="left" w:pos="1802"/>
        </w:tabs>
        <w:spacing w:line="160" w:lineRule="exact"/>
        <w:jc w:val="left"/>
        <w:rPr>
          <w:sz w:val="13"/>
        </w:rPr>
      </w:pPr>
      <w:r>
        <w:rPr>
          <w:color w:val="231F20"/>
          <w:sz w:val="13"/>
        </w:rPr>
        <w:t>Consultation 3 (Victoria Police (No</w:t>
      </w:r>
      <w:r>
        <w:rPr>
          <w:color w:val="231F20"/>
          <w:spacing w:val="1"/>
          <w:sz w:val="13"/>
        </w:rPr>
        <w:t xml:space="preserve"> </w:t>
      </w:r>
      <w:r>
        <w:rPr>
          <w:color w:val="231F20"/>
          <w:sz w:val="13"/>
        </w:rPr>
        <w:t>1)).</w:t>
      </w:r>
    </w:p>
    <w:p w14:paraId="0F302B33" w14:textId="77777777" w:rsidR="00894070" w:rsidRDefault="009B7AFD">
      <w:pPr>
        <w:pStyle w:val="ListParagraph"/>
        <w:numPr>
          <w:ilvl w:val="0"/>
          <w:numId w:val="18"/>
        </w:numPr>
        <w:tabs>
          <w:tab w:val="left" w:pos="1800"/>
          <w:tab w:val="left" w:pos="1802"/>
        </w:tabs>
        <w:spacing w:before="6" w:line="213" w:lineRule="auto"/>
        <w:jc w:val="left"/>
        <w:rPr>
          <w:sz w:val="13"/>
        </w:rPr>
      </w:pPr>
      <w:r>
        <w:rPr>
          <w:color w:val="231F20"/>
          <w:sz w:val="13"/>
        </w:rPr>
        <w:t xml:space="preserve">Jyoti Belur et </w:t>
      </w:r>
      <w:r>
        <w:rPr>
          <w:color w:val="231F20"/>
          <w:spacing w:val="2"/>
          <w:sz w:val="13"/>
        </w:rPr>
        <w:t xml:space="preserve">al, </w:t>
      </w:r>
      <w:r>
        <w:rPr>
          <w:color w:val="231F20"/>
          <w:spacing w:val="-4"/>
          <w:sz w:val="13"/>
        </w:rPr>
        <w:t xml:space="preserve">‘A </w:t>
      </w:r>
      <w:r>
        <w:rPr>
          <w:color w:val="231F20"/>
          <w:sz w:val="13"/>
        </w:rPr>
        <w:t xml:space="preserve">Systematic Review of the Effectiveness of the Electronic Monitoring of Offenders’ (2020) 68 </w:t>
      </w:r>
      <w:r>
        <w:rPr>
          <w:i/>
          <w:color w:val="231F20"/>
          <w:sz w:val="13"/>
        </w:rPr>
        <w:t xml:space="preserve">Journal of Criminal Justice </w:t>
      </w:r>
      <w:r>
        <w:rPr>
          <w:color w:val="231F20"/>
          <w:sz w:val="13"/>
        </w:rPr>
        <w:t>101686:1–18.</w:t>
      </w:r>
    </w:p>
    <w:p w14:paraId="45F5FD99" w14:textId="77777777" w:rsidR="00894070" w:rsidRDefault="009B7AFD">
      <w:pPr>
        <w:pStyle w:val="ListParagraph"/>
        <w:numPr>
          <w:ilvl w:val="0"/>
          <w:numId w:val="18"/>
        </w:numPr>
        <w:tabs>
          <w:tab w:val="left" w:pos="1800"/>
          <w:tab w:val="left" w:pos="1802"/>
        </w:tabs>
        <w:spacing w:line="153" w:lineRule="exact"/>
        <w:jc w:val="left"/>
        <w:rPr>
          <w:sz w:val="13"/>
        </w:rPr>
      </w:pPr>
      <w:r>
        <w:rPr>
          <w:color w:val="231F20"/>
          <w:sz w:val="13"/>
        </w:rPr>
        <w:t>Ibid.</w:t>
      </w:r>
    </w:p>
    <w:p w14:paraId="090EA7A8" w14:textId="77777777" w:rsidR="00894070" w:rsidRDefault="009B7AFD">
      <w:pPr>
        <w:pStyle w:val="ListParagraph"/>
        <w:numPr>
          <w:ilvl w:val="0"/>
          <w:numId w:val="18"/>
        </w:numPr>
        <w:tabs>
          <w:tab w:val="left" w:pos="1800"/>
          <w:tab w:val="left" w:pos="1802"/>
        </w:tabs>
        <w:spacing w:line="160" w:lineRule="exact"/>
        <w:jc w:val="left"/>
        <w:rPr>
          <w:sz w:val="13"/>
        </w:rPr>
      </w:pPr>
      <w:r>
        <w:rPr>
          <w:color w:val="231F20"/>
          <w:sz w:val="13"/>
        </w:rPr>
        <w:t>Consultation 3 (Victoria Police (No</w:t>
      </w:r>
      <w:r>
        <w:rPr>
          <w:color w:val="231F20"/>
          <w:spacing w:val="1"/>
          <w:sz w:val="13"/>
        </w:rPr>
        <w:t xml:space="preserve"> </w:t>
      </w:r>
      <w:r>
        <w:rPr>
          <w:color w:val="231F20"/>
          <w:sz w:val="13"/>
        </w:rPr>
        <w:t>1)).</w:t>
      </w:r>
    </w:p>
    <w:p w14:paraId="1242A00A" w14:textId="77777777" w:rsidR="00894070" w:rsidRDefault="009B7AFD">
      <w:pPr>
        <w:pStyle w:val="ListParagraph"/>
        <w:numPr>
          <w:ilvl w:val="0"/>
          <w:numId w:val="18"/>
        </w:numPr>
        <w:tabs>
          <w:tab w:val="left" w:pos="1801"/>
          <w:tab w:val="left" w:pos="1802"/>
        </w:tabs>
        <w:spacing w:line="160" w:lineRule="exact"/>
        <w:jc w:val="left"/>
        <w:rPr>
          <w:sz w:val="13"/>
        </w:rPr>
      </w:pPr>
      <w:r>
        <w:rPr>
          <w:i/>
          <w:color w:val="231F20"/>
          <w:sz w:val="13"/>
        </w:rPr>
        <w:t xml:space="preserve">Charter of Human </w:t>
      </w:r>
      <w:r>
        <w:rPr>
          <w:i/>
          <w:color w:val="231F20"/>
          <w:spacing w:val="2"/>
          <w:sz w:val="13"/>
        </w:rPr>
        <w:t xml:space="preserve">Rights </w:t>
      </w:r>
      <w:r>
        <w:rPr>
          <w:i/>
          <w:color w:val="231F20"/>
          <w:sz w:val="13"/>
        </w:rPr>
        <w:t xml:space="preserve">and Responsibilities Act 2006 </w:t>
      </w:r>
      <w:r>
        <w:rPr>
          <w:color w:val="231F20"/>
          <w:sz w:val="13"/>
        </w:rPr>
        <w:t>(Vic) s</w:t>
      </w:r>
      <w:r>
        <w:rPr>
          <w:color w:val="231F20"/>
          <w:spacing w:val="2"/>
          <w:sz w:val="13"/>
        </w:rPr>
        <w:t xml:space="preserve"> 13.</w:t>
      </w:r>
    </w:p>
    <w:p w14:paraId="21026877" w14:textId="77777777" w:rsidR="00894070" w:rsidRDefault="009B7AFD">
      <w:pPr>
        <w:pStyle w:val="ListParagraph"/>
        <w:numPr>
          <w:ilvl w:val="0"/>
          <w:numId w:val="18"/>
        </w:numPr>
        <w:tabs>
          <w:tab w:val="left" w:pos="1800"/>
          <w:tab w:val="left" w:pos="1802"/>
        </w:tabs>
        <w:spacing w:line="160" w:lineRule="exact"/>
        <w:jc w:val="left"/>
        <w:rPr>
          <w:sz w:val="13"/>
        </w:rPr>
      </w:pPr>
      <w:r>
        <w:rPr>
          <w:color w:val="231F20"/>
          <w:sz w:val="13"/>
        </w:rPr>
        <w:t>Ibid s 7(2).</w:t>
      </w:r>
    </w:p>
    <w:p w14:paraId="746E65FC" w14:textId="77777777" w:rsidR="00894070" w:rsidRDefault="009B7AFD">
      <w:pPr>
        <w:pStyle w:val="ListParagraph"/>
        <w:numPr>
          <w:ilvl w:val="0"/>
          <w:numId w:val="18"/>
        </w:numPr>
        <w:tabs>
          <w:tab w:val="left" w:pos="1800"/>
          <w:tab w:val="left" w:pos="1802"/>
        </w:tabs>
        <w:spacing w:line="170" w:lineRule="exact"/>
        <w:jc w:val="left"/>
        <w:rPr>
          <w:sz w:val="13"/>
        </w:rPr>
      </w:pPr>
      <w:r>
        <w:rPr>
          <w:color w:val="231F20"/>
          <w:sz w:val="13"/>
        </w:rPr>
        <w:t>Ibid.</w:t>
      </w:r>
    </w:p>
    <w:p w14:paraId="4A4B5CB2" w14:textId="77777777" w:rsidR="00894070" w:rsidRDefault="009B7AFD">
      <w:pPr>
        <w:pStyle w:val="BodyText"/>
        <w:rPr>
          <w:sz w:val="28"/>
        </w:rPr>
      </w:pPr>
      <w:r>
        <w:br w:type="column"/>
      </w:r>
    </w:p>
    <w:p w14:paraId="48300516" w14:textId="77777777" w:rsidR="00894070" w:rsidRDefault="00894070">
      <w:pPr>
        <w:pStyle w:val="BodyText"/>
        <w:rPr>
          <w:sz w:val="28"/>
        </w:rPr>
      </w:pPr>
    </w:p>
    <w:p w14:paraId="753FF076" w14:textId="77777777" w:rsidR="00894070" w:rsidRDefault="00894070">
      <w:pPr>
        <w:pStyle w:val="BodyText"/>
        <w:rPr>
          <w:sz w:val="28"/>
        </w:rPr>
      </w:pPr>
    </w:p>
    <w:p w14:paraId="30F8C60B" w14:textId="77777777" w:rsidR="00894070" w:rsidRDefault="00894070">
      <w:pPr>
        <w:pStyle w:val="BodyText"/>
        <w:rPr>
          <w:sz w:val="28"/>
        </w:rPr>
      </w:pPr>
    </w:p>
    <w:p w14:paraId="52D2727B" w14:textId="77777777" w:rsidR="00894070" w:rsidRDefault="00894070">
      <w:pPr>
        <w:pStyle w:val="BodyText"/>
        <w:rPr>
          <w:sz w:val="28"/>
        </w:rPr>
      </w:pPr>
    </w:p>
    <w:p w14:paraId="6E7EB465" w14:textId="77777777" w:rsidR="00894070" w:rsidRDefault="00894070">
      <w:pPr>
        <w:pStyle w:val="BodyText"/>
        <w:spacing w:before="4"/>
        <w:rPr>
          <w:sz w:val="25"/>
        </w:rPr>
      </w:pPr>
    </w:p>
    <w:p w14:paraId="0DDB6D1F" w14:textId="77777777" w:rsidR="00894070" w:rsidRDefault="009B7AFD">
      <w:pPr>
        <w:pStyle w:val="Heading8"/>
        <w:ind w:left="597"/>
      </w:pPr>
      <w:r>
        <w:rPr>
          <w:color w:val="EA5B50"/>
        </w:rPr>
        <w:t>181</w:t>
      </w:r>
    </w:p>
    <w:p w14:paraId="35F5FD6D" w14:textId="77777777" w:rsidR="00894070" w:rsidRDefault="00894070">
      <w:pPr>
        <w:sectPr w:rsidR="00894070">
          <w:type w:val="continuous"/>
          <w:pgSz w:w="11910" w:h="16840"/>
          <w:pgMar w:top="560" w:right="420" w:bottom="280" w:left="580" w:header="720" w:footer="720" w:gutter="0"/>
          <w:cols w:num="2" w:space="720" w:equalWidth="0">
            <w:col w:w="9705" w:space="40"/>
            <w:col w:w="1165"/>
          </w:cols>
        </w:sectPr>
      </w:pPr>
    </w:p>
    <w:p w14:paraId="39081D28" w14:textId="77777777" w:rsidR="00894070" w:rsidRDefault="00894070">
      <w:pPr>
        <w:pStyle w:val="BodyText"/>
        <w:rPr>
          <w:b/>
        </w:rPr>
      </w:pPr>
    </w:p>
    <w:p w14:paraId="07536A37" w14:textId="77777777" w:rsidR="00894070" w:rsidRDefault="00894070">
      <w:pPr>
        <w:pStyle w:val="BodyText"/>
        <w:rPr>
          <w:b/>
        </w:rPr>
      </w:pPr>
    </w:p>
    <w:p w14:paraId="261E7BED" w14:textId="77777777" w:rsidR="00894070" w:rsidRDefault="00894070">
      <w:pPr>
        <w:pStyle w:val="BodyText"/>
        <w:rPr>
          <w:b/>
        </w:rPr>
      </w:pPr>
    </w:p>
    <w:p w14:paraId="7A84F28F" w14:textId="77777777" w:rsidR="00894070" w:rsidRDefault="00894070">
      <w:pPr>
        <w:pStyle w:val="BodyText"/>
        <w:spacing w:before="11"/>
        <w:rPr>
          <w:b/>
          <w:sz w:val="18"/>
        </w:rPr>
      </w:pPr>
    </w:p>
    <w:p w14:paraId="595A5261" w14:textId="77777777" w:rsidR="00894070" w:rsidRDefault="009B7AFD">
      <w:pPr>
        <w:pStyle w:val="ListParagraph"/>
        <w:numPr>
          <w:ilvl w:val="1"/>
          <w:numId w:val="29"/>
        </w:numPr>
        <w:tabs>
          <w:tab w:val="left" w:pos="1801"/>
          <w:tab w:val="left" w:pos="1802"/>
        </w:tabs>
        <w:spacing w:line="206" w:lineRule="auto"/>
        <w:ind w:right="1610"/>
        <w:rPr>
          <w:sz w:val="20"/>
        </w:rPr>
      </w:pPr>
      <w:bookmarkStart w:id="194" w:name="Sentencing_stalking"/>
      <w:bookmarkStart w:id="195" w:name="_bookmark118"/>
      <w:bookmarkEnd w:id="194"/>
      <w:bookmarkEnd w:id="195"/>
      <w:r>
        <w:rPr>
          <w:color w:val="231F20"/>
          <w:sz w:val="20"/>
        </w:rPr>
        <w:t>But</w:t>
      </w:r>
      <w:r>
        <w:rPr>
          <w:color w:val="231F20"/>
          <w:spacing w:val="-11"/>
          <w:sz w:val="20"/>
        </w:rPr>
        <w:t xml:space="preserve"> </w:t>
      </w:r>
      <w:r>
        <w:rPr>
          <w:color w:val="231F20"/>
          <w:sz w:val="20"/>
        </w:rPr>
        <w:t>electronic</w:t>
      </w:r>
      <w:r>
        <w:rPr>
          <w:color w:val="231F20"/>
          <w:spacing w:val="-11"/>
          <w:sz w:val="20"/>
        </w:rPr>
        <w:t xml:space="preserve"> </w:t>
      </w:r>
      <w:r>
        <w:rPr>
          <w:color w:val="231F20"/>
          <w:sz w:val="20"/>
        </w:rPr>
        <w:t>monitoring</w:t>
      </w:r>
      <w:r>
        <w:rPr>
          <w:color w:val="231F20"/>
          <w:spacing w:val="-10"/>
          <w:sz w:val="20"/>
        </w:rPr>
        <w:t xml:space="preserve"> </w:t>
      </w:r>
      <w:r>
        <w:rPr>
          <w:color w:val="231F20"/>
          <w:sz w:val="20"/>
        </w:rPr>
        <w:t>is</w:t>
      </w:r>
      <w:r>
        <w:rPr>
          <w:color w:val="231F20"/>
          <w:spacing w:val="-11"/>
          <w:sz w:val="20"/>
        </w:rPr>
        <w:t xml:space="preserve"> </w:t>
      </w:r>
      <w:r>
        <w:rPr>
          <w:color w:val="231F20"/>
          <w:sz w:val="20"/>
        </w:rPr>
        <w:t>a</w:t>
      </w:r>
      <w:r>
        <w:rPr>
          <w:color w:val="231F20"/>
          <w:spacing w:val="-10"/>
          <w:sz w:val="20"/>
        </w:rPr>
        <w:t xml:space="preserve"> </w:t>
      </w:r>
      <w:r>
        <w:rPr>
          <w:color w:val="231F20"/>
          <w:spacing w:val="-3"/>
          <w:sz w:val="20"/>
        </w:rPr>
        <w:t>controversial</w:t>
      </w:r>
      <w:r>
        <w:rPr>
          <w:color w:val="231F20"/>
          <w:spacing w:val="-11"/>
          <w:sz w:val="20"/>
        </w:rPr>
        <w:t xml:space="preserve"> </w:t>
      </w:r>
      <w:r>
        <w:rPr>
          <w:color w:val="231F20"/>
          <w:sz w:val="20"/>
        </w:rPr>
        <w:t>criminal</w:t>
      </w:r>
      <w:r>
        <w:rPr>
          <w:color w:val="231F20"/>
          <w:spacing w:val="-10"/>
          <w:sz w:val="20"/>
        </w:rPr>
        <w:t xml:space="preserve"> </w:t>
      </w:r>
      <w:r>
        <w:rPr>
          <w:color w:val="231F20"/>
          <w:sz w:val="20"/>
        </w:rPr>
        <w:t>justice</w:t>
      </w:r>
      <w:r>
        <w:rPr>
          <w:color w:val="231F20"/>
          <w:spacing w:val="-11"/>
          <w:sz w:val="20"/>
        </w:rPr>
        <w:t xml:space="preserve"> </w:t>
      </w:r>
      <w:r>
        <w:rPr>
          <w:color w:val="231F20"/>
          <w:sz w:val="20"/>
        </w:rPr>
        <w:t>measure</w:t>
      </w:r>
      <w:r>
        <w:rPr>
          <w:color w:val="231F20"/>
          <w:spacing w:val="-10"/>
          <w:sz w:val="20"/>
        </w:rPr>
        <w:t xml:space="preserve"> </w:t>
      </w:r>
      <w:r>
        <w:rPr>
          <w:color w:val="231F20"/>
          <w:sz w:val="20"/>
        </w:rPr>
        <w:t>and</w:t>
      </w:r>
      <w:r>
        <w:rPr>
          <w:color w:val="231F20"/>
          <w:spacing w:val="-11"/>
          <w:sz w:val="20"/>
        </w:rPr>
        <w:t xml:space="preserve"> </w:t>
      </w:r>
      <w:r>
        <w:rPr>
          <w:color w:val="231F20"/>
          <w:sz w:val="20"/>
        </w:rPr>
        <w:t>at</w:t>
      </w:r>
      <w:r>
        <w:rPr>
          <w:color w:val="231F20"/>
          <w:spacing w:val="-10"/>
          <w:sz w:val="20"/>
        </w:rPr>
        <w:t xml:space="preserve"> </w:t>
      </w:r>
      <w:r>
        <w:rPr>
          <w:color w:val="231F20"/>
          <w:sz w:val="20"/>
        </w:rPr>
        <w:t>the</w:t>
      </w:r>
      <w:r>
        <w:rPr>
          <w:color w:val="231F20"/>
          <w:spacing w:val="-11"/>
          <w:sz w:val="20"/>
        </w:rPr>
        <w:t xml:space="preserve"> </w:t>
      </w:r>
      <w:r>
        <w:rPr>
          <w:color w:val="231F20"/>
          <w:sz w:val="20"/>
        </w:rPr>
        <w:t xml:space="preserve">civil </w:t>
      </w:r>
      <w:r>
        <w:rPr>
          <w:color w:val="231F20"/>
          <w:spacing w:val="-2"/>
          <w:sz w:val="20"/>
        </w:rPr>
        <w:t xml:space="preserve">intervention </w:t>
      </w:r>
      <w:r>
        <w:rPr>
          <w:color w:val="231F20"/>
          <w:sz w:val="20"/>
        </w:rPr>
        <w:t xml:space="preserve">order stage the disadvantages outweigh the benefits. </w:t>
      </w:r>
      <w:r>
        <w:rPr>
          <w:color w:val="231F20"/>
          <w:spacing w:val="-6"/>
          <w:sz w:val="20"/>
        </w:rPr>
        <w:t xml:space="preserve">We </w:t>
      </w:r>
      <w:r>
        <w:rPr>
          <w:color w:val="231F20"/>
          <w:sz w:val="20"/>
        </w:rPr>
        <w:t>make no recommendation in relation to electronic</w:t>
      </w:r>
      <w:r>
        <w:rPr>
          <w:color w:val="231F20"/>
          <w:spacing w:val="-26"/>
          <w:sz w:val="20"/>
        </w:rPr>
        <w:t xml:space="preserve"> </w:t>
      </w:r>
      <w:r>
        <w:rPr>
          <w:color w:val="231F20"/>
          <w:sz w:val="20"/>
        </w:rPr>
        <w:t>monitoring.</w:t>
      </w:r>
    </w:p>
    <w:p w14:paraId="79174BF2" w14:textId="77777777" w:rsidR="00894070" w:rsidRDefault="00894070">
      <w:pPr>
        <w:pStyle w:val="BodyText"/>
        <w:spacing w:before="7"/>
        <w:rPr>
          <w:sz w:val="16"/>
        </w:rPr>
      </w:pPr>
    </w:p>
    <w:p w14:paraId="0DC974A9" w14:textId="77777777" w:rsidR="00894070" w:rsidRDefault="009B7AFD">
      <w:pPr>
        <w:pStyle w:val="Heading7"/>
      </w:pPr>
      <w:r>
        <w:rPr>
          <w:color w:val="EA5B50"/>
        </w:rPr>
        <w:t>Sentencing stalking</w:t>
      </w:r>
    </w:p>
    <w:p w14:paraId="048D20AF" w14:textId="77777777" w:rsidR="00894070" w:rsidRDefault="009B7AFD">
      <w:pPr>
        <w:pStyle w:val="Heading8"/>
        <w:spacing w:before="241"/>
        <w:ind w:left="1007"/>
      </w:pPr>
      <w:r>
        <w:rPr>
          <w:color w:val="231F20"/>
        </w:rPr>
        <w:t>How is stalking sentenced in Victoria?</w:t>
      </w:r>
    </w:p>
    <w:p w14:paraId="352B9046" w14:textId="77777777" w:rsidR="00894070" w:rsidRDefault="009B7AFD">
      <w:pPr>
        <w:pStyle w:val="ListParagraph"/>
        <w:numPr>
          <w:ilvl w:val="1"/>
          <w:numId w:val="29"/>
        </w:numPr>
        <w:tabs>
          <w:tab w:val="left" w:pos="1801"/>
          <w:tab w:val="left" w:pos="1802"/>
        </w:tabs>
        <w:spacing w:before="127" w:line="206" w:lineRule="auto"/>
        <w:ind w:right="2404"/>
        <w:rPr>
          <w:sz w:val="20"/>
        </w:rPr>
      </w:pPr>
      <w:r>
        <w:rPr>
          <w:color w:val="231F20"/>
          <w:sz w:val="20"/>
        </w:rPr>
        <w:t>The</w:t>
      </w:r>
      <w:r>
        <w:rPr>
          <w:color w:val="231F20"/>
          <w:spacing w:val="-11"/>
          <w:sz w:val="20"/>
        </w:rPr>
        <w:t xml:space="preserve"> </w:t>
      </w:r>
      <w:r>
        <w:rPr>
          <w:color w:val="231F20"/>
          <w:sz w:val="20"/>
        </w:rPr>
        <w:t>offence</w:t>
      </w:r>
      <w:r>
        <w:rPr>
          <w:color w:val="231F20"/>
          <w:spacing w:val="-10"/>
          <w:sz w:val="20"/>
        </w:rPr>
        <w:t xml:space="preserve"> </w:t>
      </w:r>
      <w:r>
        <w:rPr>
          <w:color w:val="231F20"/>
          <w:sz w:val="20"/>
        </w:rPr>
        <w:t>of</w:t>
      </w:r>
      <w:r>
        <w:rPr>
          <w:color w:val="231F20"/>
          <w:spacing w:val="-10"/>
          <w:sz w:val="20"/>
        </w:rPr>
        <w:t xml:space="preserve"> </w:t>
      </w:r>
      <w:r>
        <w:rPr>
          <w:color w:val="231F20"/>
          <w:sz w:val="20"/>
        </w:rPr>
        <w:t>stalking</w:t>
      </w:r>
      <w:r>
        <w:rPr>
          <w:color w:val="231F20"/>
          <w:spacing w:val="-10"/>
          <w:sz w:val="20"/>
        </w:rPr>
        <w:t xml:space="preserve"> </w:t>
      </w:r>
      <w:r>
        <w:rPr>
          <w:color w:val="231F20"/>
          <w:sz w:val="20"/>
        </w:rPr>
        <w:t>is</w:t>
      </w:r>
      <w:r>
        <w:rPr>
          <w:color w:val="231F20"/>
          <w:spacing w:val="-10"/>
          <w:sz w:val="20"/>
        </w:rPr>
        <w:t xml:space="preserve"> </w:t>
      </w:r>
      <w:r>
        <w:rPr>
          <w:color w:val="231F20"/>
          <w:sz w:val="20"/>
        </w:rPr>
        <w:t>set</w:t>
      </w:r>
      <w:r>
        <w:rPr>
          <w:color w:val="231F20"/>
          <w:spacing w:val="-11"/>
          <w:sz w:val="20"/>
        </w:rPr>
        <w:t xml:space="preserve"> </w:t>
      </w:r>
      <w:r>
        <w:rPr>
          <w:color w:val="231F20"/>
          <w:sz w:val="20"/>
        </w:rPr>
        <w:t>out</w:t>
      </w:r>
      <w:r>
        <w:rPr>
          <w:color w:val="231F20"/>
          <w:spacing w:val="-10"/>
          <w:sz w:val="20"/>
        </w:rPr>
        <w:t xml:space="preserve"> </w:t>
      </w:r>
      <w:r>
        <w:rPr>
          <w:color w:val="231F20"/>
          <w:sz w:val="20"/>
        </w:rPr>
        <w:t>in</w:t>
      </w:r>
      <w:r>
        <w:rPr>
          <w:color w:val="231F20"/>
          <w:spacing w:val="-10"/>
          <w:sz w:val="20"/>
        </w:rPr>
        <w:t xml:space="preserve"> </w:t>
      </w:r>
      <w:r>
        <w:rPr>
          <w:color w:val="231F20"/>
          <w:sz w:val="20"/>
        </w:rPr>
        <w:t>section</w:t>
      </w:r>
      <w:r>
        <w:rPr>
          <w:color w:val="231F20"/>
          <w:spacing w:val="-10"/>
          <w:sz w:val="20"/>
        </w:rPr>
        <w:t xml:space="preserve"> </w:t>
      </w:r>
      <w:r>
        <w:rPr>
          <w:color w:val="231F20"/>
          <w:sz w:val="20"/>
        </w:rPr>
        <w:t>21A</w:t>
      </w:r>
      <w:r>
        <w:rPr>
          <w:color w:val="231F20"/>
          <w:spacing w:val="-10"/>
          <w:sz w:val="20"/>
        </w:rPr>
        <w:t xml:space="preserve"> </w:t>
      </w:r>
      <w:r>
        <w:rPr>
          <w:color w:val="231F20"/>
          <w:sz w:val="20"/>
        </w:rPr>
        <w:t>of</w:t>
      </w:r>
      <w:r>
        <w:rPr>
          <w:color w:val="231F20"/>
          <w:spacing w:val="-11"/>
          <w:sz w:val="20"/>
        </w:rPr>
        <w:t xml:space="preserve"> </w:t>
      </w:r>
      <w:r>
        <w:rPr>
          <w:color w:val="231F20"/>
          <w:sz w:val="20"/>
        </w:rPr>
        <w:t>the</w:t>
      </w:r>
      <w:r>
        <w:rPr>
          <w:color w:val="231F20"/>
          <w:spacing w:val="-10"/>
          <w:sz w:val="20"/>
        </w:rPr>
        <w:t xml:space="preserve"> </w:t>
      </w:r>
      <w:r>
        <w:rPr>
          <w:i/>
          <w:color w:val="231F20"/>
          <w:sz w:val="20"/>
        </w:rPr>
        <w:t>Crimes</w:t>
      </w:r>
      <w:r>
        <w:rPr>
          <w:i/>
          <w:color w:val="231F20"/>
          <w:spacing w:val="-10"/>
          <w:sz w:val="20"/>
        </w:rPr>
        <w:t xml:space="preserve"> </w:t>
      </w:r>
      <w:r>
        <w:rPr>
          <w:i/>
          <w:color w:val="231F20"/>
          <w:sz w:val="20"/>
        </w:rPr>
        <w:t>Act</w:t>
      </w:r>
      <w:r>
        <w:rPr>
          <w:i/>
          <w:color w:val="231F20"/>
          <w:spacing w:val="-10"/>
          <w:sz w:val="20"/>
        </w:rPr>
        <w:t xml:space="preserve"> </w:t>
      </w:r>
      <w:r>
        <w:rPr>
          <w:i/>
          <w:color w:val="231F20"/>
          <w:sz w:val="20"/>
        </w:rPr>
        <w:t>1958</w:t>
      </w:r>
      <w:r>
        <w:rPr>
          <w:i/>
          <w:color w:val="231F20"/>
          <w:spacing w:val="-9"/>
          <w:sz w:val="20"/>
        </w:rPr>
        <w:t xml:space="preserve"> </w:t>
      </w:r>
      <w:r>
        <w:rPr>
          <w:color w:val="231F20"/>
          <w:sz w:val="20"/>
        </w:rPr>
        <w:t xml:space="preserve">(Vic) (see </w:t>
      </w:r>
      <w:r>
        <w:rPr>
          <w:color w:val="231F20"/>
          <w:spacing w:val="-3"/>
          <w:sz w:val="20"/>
        </w:rPr>
        <w:t>Chapter</w:t>
      </w:r>
      <w:r>
        <w:rPr>
          <w:color w:val="231F20"/>
          <w:spacing w:val="-8"/>
          <w:sz w:val="20"/>
        </w:rPr>
        <w:t xml:space="preserve"> </w:t>
      </w:r>
      <w:r>
        <w:rPr>
          <w:color w:val="231F20"/>
          <w:spacing w:val="-4"/>
          <w:sz w:val="20"/>
        </w:rPr>
        <w:t>7).</w:t>
      </w:r>
    </w:p>
    <w:p w14:paraId="634A97D5" w14:textId="77777777" w:rsidR="00894070" w:rsidRDefault="009B7AFD">
      <w:pPr>
        <w:pStyle w:val="ListParagraph"/>
        <w:numPr>
          <w:ilvl w:val="1"/>
          <w:numId w:val="29"/>
        </w:numPr>
        <w:tabs>
          <w:tab w:val="left" w:pos="1801"/>
          <w:tab w:val="left" w:pos="1802"/>
        </w:tabs>
        <w:spacing w:before="123" w:line="206" w:lineRule="auto"/>
        <w:ind w:right="1227"/>
        <w:rPr>
          <w:sz w:val="20"/>
        </w:rPr>
      </w:pPr>
      <w:r>
        <w:rPr>
          <w:color w:val="231F20"/>
          <w:sz w:val="20"/>
        </w:rPr>
        <w:t xml:space="preserve">The maximum penalty </w:t>
      </w:r>
      <w:r>
        <w:rPr>
          <w:color w:val="231F20"/>
          <w:spacing w:val="-3"/>
          <w:sz w:val="20"/>
        </w:rPr>
        <w:t xml:space="preserve">for </w:t>
      </w:r>
      <w:r>
        <w:rPr>
          <w:color w:val="231F20"/>
          <w:sz w:val="20"/>
        </w:rPr>
        <w:t xml:space="preserve">stalking in Victoria is </w:t>
      </w:r>
      <w:r>
        <w:rPr>
          <w:color w:val="231F20"/>
          <w:spacing w:val="-3"/>
          <w:sz w:val="20"/>
        </w:rPr>
        <w:t xml:space="preserve">10 </w:t>
      </w:r>
      <w:r>
        <w:rPr>
          <w:color w:val="231F20"/>
          <w:sz w:val="20"/>
        </w:rPr>
        <w:t>years imprisonment.</w:t>
      </w:r>
      <w:r>
        <w:rPr>
          <w:color w:val="231F20"/>
          <w:position w:val="7"/>
          <w:sz w:val="11"/>
        </w:rPr>
        <w:t xml:space="preserve">208 </w:t>
      </w:r>
      <w:r>
        <w:rPr>
          <w:color w:val="231F20"/>
          <w:spacing w:val="-5"/>
          <w:sz w:val="20"/>
        </w:rPr>
        <w:t xml:space="preserve">However, </w:t>
      </w:r>
      <w:r>
        <w:rPr>
          <w:color w:val="231F20"/>
          <w:sz w:val="20"/>
        </w:rPr>
        <w:t xml:space="preserve">the maximum </w:t>
      </w:r>
      <w:r>
        <w:rPr>
          <w:color w:val="231F20"/>
          <w:spacing w:val="-3"/>
          <w:sz w:val="20"/>
        </w:rPr>
        <w:t xml:space="preserve">10 </w:t>
      </w:r>
      <w:r>
        <w:rPr>
          <w:color w:val="231F20"/>
          <w:sz w:val="20"/>
        </w:rPr>
        <w:t xml:space="preserve">years imprisonment applies </w:t>
      </w:r>
      <w:r>
        <w:rPr>
          <w:color w:val="231F20"/>
          <w:spacing w:val="-3"/>
          <w:sz w:val="20"/>
        </w:rPr>
        <w:t xml:space="preserve">only </w:t>
      </w:r>
      <w:r>
        <w:rPr>
          <w:color w:val="231F20"/>
          <w:sz w:val="20"/>
        </w:rPr>
        <w:t xml:space="preserve">in the higher courts. If heard summarily in the </w:t>
      </w:r>
      <w:r>
        <w:rPr>
          <w:color w:val="231F20"/>
          <w:spacing w:val="-3"/>
          <w:sz w:val="20"/>
        </w:rPr>
        <w:t xml:space="preserve">Magistrates’ </w:t>
      </w:r>
      <w:r>
        <w:rPr>
          <w:color w:val="231F20"/>
          <w:sz w:val="20"/>
        </w:rPr>
        <w:t xml:space="preserve">Court, the maximum penalty that can be imposed </w:t>
      </w:r>
      <w:r>
        <w:rPr>
          <w:color w:val="231F20"/>
          <w:spacing w:val="-3"/>
          <w:sz w:val="20"/>
        </w:rPr>
        <w:t xml:space="preserve">following </w:t>
      </w:r>
      <w:r>
        <w:rPr>
          <w:color w:val="231F20"/>
          <w:sz w:val="20"/>
        </w:rPr>
        <w:t>conviction is two years imprisonment.</w:t>
      </w:r>
      <w:r>
        <w:rPr>
          <w:color w:val="231F20"/>
          <w:position w:val="7"/>
          <w:sz w:val="11"/>
        </w:rPr>
        <w:t xml:space="preserve">209 </w:t>
      </w:r>
      <w:r>
        <w:rPr>
          <w:color w:val="231F20"/>
          <w:sz w:val="20"/>
        </w:rPr>
        <w:t xml:space="preserve">Decisions made </w:t>
      </w:r>
      <w:r>
        <w:rPr>
          <w:color w:val="231F20"/>
          <w:spacing w:val="-3"/>
          <w:sz w:val="20"/>
        </w:rPr>
        <w:t xml:space="preserve">by prosecutors </w:t>
      </w:r>
      <w:r>
        <w:rPr>
          <w:color w:val="231F20"/>
          <w:sz w:val="20"/>
        </w:rPr>
        <w:t>on whether a charge</w:t>
      </w:r>
      <w:r>
        <w:rPr>
          <w:color w:val="231F20"/>
          <w:spacing w:val="-8"/>
          <w:sz w:val="20"/>
        </w:rPr>
        <w:t xml:space="preserve"> </w:t>
      </w:r>
      <w:r>
        <w:rPr>
          <w:color w:val="231F20"/>
          <w:sz w:val="20"/>
        </w:rPr>
        <w:t>should</w:t>
      </w:r>
      <w:r>
        <w:rPr>
          <w:color w:val="231F20"/>
          <w:spacing w:val="-8"/>
          <w:sz w:val="20"/>
        </w:rPr>
        <w:t xml:space="preserve"> </w:t>
      </w:r>
      <w:r>
        <w:rPr>
          <w:color w:val="231F20"/>
          <w:sz w:val="20"/>
        </w:rPr>
        <w:t>be</w:t>
      </w:r>
      <w:r>
        <w:rPr>
          <w:color w:val="231F20"/>
          <w:spacing w:val="-8"/>
          <w:sz w:val="20"/>
        </w:rPr>
        <w:t xml:space="preserve"> </w:t>
      </w:r>
      <w:r>
        <w:rPr>
          <w:color w:val="231F20"/>
          <w:sz w:val="20"/>
        </w:rPr>
        <w:t>determined</w:t>
      </w:r>
      <w:r>
        <w:rPr>
          <w:color w:val="231F20"/>
          <w:spacing w:val="-7"/>
          <w:sz w:val="20"/>
        </w:rPr>
        <w:t xml:space="preserve"> </w:t>
      </w:r>
      <w:r>
        <w:rPr>
          <w:color w:val="231F20"/>
          <w:sz w:val="20"/>
        </w:rPr>
        <w:t>summarily</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pacing w:val="-3"/>
          <w:sz w:val="20"/>
        </w:rPr>
        <w:t>Magistrates’</w:t>
      </w:r>
      <w:r>
        <w:rPr>
          <w:color w:val="231F20"/>
          <w:spacing w:val="-8"/>
          <w:sz w:val="20"/>
        </w:rPr>
        <w:t xml:space="preserve"> </w:t>
      </w:r>
      <w:r>
        <w:rPr>
          <w:color w:val="231F20"/>
          <w:sz w:val="20"/>
        </w:rPr>
        <w:t>Court</w:t>
      </w:r>
      <w:r>
        <w:rPr>
          <w:color w:val="231F20"/>
          <w:spacing w:val="-7"/>
          <w:sz w:val="20"/>
        </w:rPr>
        <w:t xml:space="preserve"> </w:t>
      </w:r>
      <w:r>
        <w:rPr>
          <w:color w:val="231F20"/>
          <w:sz w:val="20"/>
        </w:rPr>
        <w:t>can</w:t>
      </w:r>
      <w:r>
        <w:rPr>
          <w:color w:val="231F20"/>
          <w:spacing w:val="-8"/>
          <w:sz w:val="20"/>
        </w:rPr>
        <w:t xml:space="preserve"> </w:t>
      </w:r>
      <w:r>
        <w:rPr>
          <w:color w:val="231F20"/>
          <w:spacing w:val="-3"/>
          <w:sz w:val="20"/>
        </w:rPr>
        <w:t>therefore</w:t>
      </w:r>
      <w:r>
        <w:rPr>
          <w:color w:val="231F20"/>
          <w:spacing w:val="-8"/>
          <w:sz w:val="20"/>
        </w:rPr>
        <w:t xml:space="preserve"> </w:t>
      </w:r>
      <w:r>
        <w:rPr>
          <w:color w:val="231F20"/>
          <w:spacing w:val="-4"/>
          <w:sz w:val="20"/>
        </w:rPr>
        <w:t>have</w:t>
      </w:r>
      <w:r>
        <w:rPr>
          <w:color w:val="231F20"/>
          <w:spacing w:val="-8"/>
          <w:sz w:val="20"/>
        </w:rPr>
        <w:t xml:space="preserve"> </w:t>
      </w:r>
      <w:r>
        <w:rPr>
          <w:color w:val="231F20"/>
          <w:sz w:val="20"/>
        </w:rPr>
        <w:t>a major effect on</w:t>
      </w:r>
      <w:r>
        <w:rPr>
          <w:color w:val="231F20"/>
          <w:spacing w:val="-14"/>
          <w:sz w:val="20"/>
        </w:rPr>
        <w:t xml:space="preserve"> </w:t>
      </w:r>
      <w:r>
        <w:rPr>
          <w:color w:val="231F20"/>
          <w:sz w:val="20"/>
        </w:rPr>
        <w:t>sentencing.</w:t>
      </w:r>
    </w:p>
    <w:p w14:paraId="3FAFAE61" w14:textId="77777777" w:rsidR="00894070" w:rsidRDefault="009B7AFD">
      <w:pPr>
        <w:pStyle w:val="ListParagraph"/>
        <w:numPr>
          <w:ilvl w:val="1"/>
          <w:numId w:val="29"/>
        </w:numPr>
        <w:tabs>
          <w:tab w:val="left" w:pos="1801"/>
          <w:tab w:val="left" w:pos="1802"/>
        </w:tabs>
        <w:spacing w:before="128" w:line="206" w:lineRule="auto"/>
        <w:ind w:right="1176"/>
        <w:rPr>
          <w:sz w:val="11"/>
        </w:rPr>
      </w:pPr>
      <w:r>
        <w:rPr>
          <w:color w:val="231F20"/>
          <w:sz w:val="20"/>
        </w:rPr>
        <w:t xml:space="preserve">The maximum penalties </w:t>
      </w:r>
      <w:r>
        <w:rPr>
          <w:color w:val="231F20"/>
          <w:spacing w:val="-3"/>
          <w:sz w:val="20"/>
        </w:rPr>
        <w:t xml:space="preserve">for </w:t>
      </w:r>
      <w:r>
        <w:rPr>
          <w:color w:val="231F20"/>
          <w:sz w:val="20"/>
        </w:rPr>
        <w:t xml:space="preserve">stalking offences </w:t>
      </w:r>
      <w:r>
        <w:rPr>
          <w:color w:val="231F20"/>
          <w:spacing w:val="-3"/>
          <w:sz w:val="20"/>
        </w:rPr>
        <w:t xml:space="preserve">are different across </w:t>
      </w:r>
      <w:r>
        <w:rPr>
          <w:color w:val="231F20"/>
          <w:sz w:val="20"/>
        </w:rPr>
        <w:t xml:space="preserve">Australia: five years imprisonment in the Northern </w:t>
      </w:r>
      <w:r>
        <w:rPr>
          <w:color w:val="231F20"/>
          <w:spacing w:val="-5"/>
          <w:sz w:val="20"/>
        </w:rPr>
        <w:t xml:space="preserve">Territory, </w:t>
      </w:r>
      <w:r>
        <w:rPr>
          <w:color w:val="231F20"/>
          <w:sz w:val="20"/>
        </w:rPr>
        <w:t xml:space="preserve">South Australia, New South </w:t>
      </w:r>
      <w:r>
        <w:rPr>
          <w:color w:val="231F20"/>
          <w:spacing w:val="-4"/>
          <w:sz w:val="20"/>
        </w:rPr>
        <w:t xml:space="preserve">Wales </w:t>
      </w:r>
      <w:r>
        <w:rPr>
          <w:color w:val="231F20"/>
          <w:sz w:val="20"/>
        </w:rPr>
        <w:t>and the Australian</w:t>
      </w:r>
      <w:r>
        <w:rPr>
          <w:color w:val="231F20"/>
          <w:spacing w:val="-10"/>
          <w:sz w:val="20"/>
        </w:rPr>
        <w:t xml:space="preserve"> </w:t>
      </w:r>
      <w:r>
        <w:rPr>
          <w:color w:val="231F20"/>
          <w:sz w:val="20"/>
        </w:rPr>
        <w:t>Capital</w:t>
      </w:r>
      <w:r>
        <w:rPr>
          <w:color w:val="231F20"/>
          <w:spacing w:val="-9"/>
          <w:sz w:val="20"/>
        </w:rPr>
        <w:t xml:space="preserve"> </w:t>
      </w:r>
      <w:r>
        <w:rPr>
          <w:color w:val="231F20"/>
          <w:spacing w:val="-3"/>
          <w:sz w:val="20"/>
        </w:rPr>
        <w:t>Territory;</w:t>
      </w:r>
      <w:r>
        <w:rPr>
          <w:color w:val="231F20"/>
          <w:spacing w:val="-10"/>
          <w:sz w:val="20"/>
        </w:rPr>
        <w:t xml:space="preserve"> </w:t>
      </w:r>
      <w:r>
        <w:rPr>
          <w:color w:val="231F20"/>
          <w:sz w:val="20"/>
        </w:rPr>
        <w:t>up</w:t>
      </w:r>
      <w:r>
        <w:rPr>
          <w:color w:val="231F20"/>
          <w:spacing w:val="-9"/>
          <w:sz w:val="20"/>
        </w:rPr>
        <w:t xml:space="preserve"> </w:t>
      </w:r>
      <w:r>
        <w:rPr>
          <w:color w:val="231F20"/>
          <w:sz w:val="20"/>
        </w:rPr>
        <w:t>to</w:t>
      </w:r>
      <w:r>
        <w:rPr>
          <w:color w:val="231F20"/>
          <w:spacing w:val="-10"/>
          <w:sz w:val="20"/>
        </w:rPr>
        <w:t xml:space="preserve"> </w:t>
      </w:r>
      <w:r>
        <w:rPr>
          <w:color w:val="231F20"/>
          <w:sz w:val="20"/>
        </w:rPr>
        <w:t>eight</w:t>
      </w:r>
      <w:r>
        <w:rPr>
          <w:color w:val="231F20"/>
          <w:spacing w:val="-9"/>
          <w:sz w:val="20"/>
        </w:rPr>
        <w:t xml:space="preserve"> </w:t>
      </w:r>
      <w:r>
        <w:rPr>
          <w:color w:val="231F20"/>
          <w:sz w:val="20"/>
        </w:rPr>
        <w:t>years</w:t>
      </w:r>
      <w:r>
        <w:rPr>
          <w:color w:val="231F20"/>
          <w:spacing w:val="-10"/>
          <w:sz w:val="20"/>
        </w:rPr>
        <w:t xml:space="preserve"> </w:t>
      </w:r>
      <w:r>
        <w:rPr>
          <w:color w:val="231F20"/>
          <w:sz w:val="20"/>
        </w:rPr>
        <w:t>imprisonment</w:t>
      </w:r>
      <w:r>
        <w:rPr>
          <w:color w:val="231F20"/>
          <w:spacing w:val="-9"/>
          <w:sz w:val="20"/>
        </w:rPr>
        <w:t xml:space="preserve"> </w:t>
      </w:r>
      <w:r>
        <w:rPr>
          <w:color w:val="231F20"/>
          <w:sz w:val="20"/>
        </w:rPr>
        <w:t>in</w:t>
      </w:r>
      <w:r>
        <w:rPr>
          <w:color w:val="231F20"/>
          <w:spacing w:val="-9"/>
          <w:sz w:val="20"/>
        </w:rPr>
        <w:t xml:space="preserve"> </w:t>
      </w:r>
      <w:r>
        <w:rPr>
          <w:color w:val="231F20"/>
          <w:spacing w:val="-4"/>
          <w:sz w:val="20"/>
        </w:rPr>
        <w:t>Western</w:t>
      </w:r>
      <w:r>
        <w:rPr>
          <w:color w:val="231F20"/>
          <w:spacing w:val="-10"/>
          <w:sz w:val="20"/>
        </w:rPr>
        <w:t xml:space="preserve"> </w:t>
      </w:r>
      <w:r>
        <w:rPr>
          <w:color w:val="231F20"/>
          <w:sz w:val="20"/>
        </w:rPr>
        <w:t>Australia;</w:t>
      </w:r>
      <w:r>
        <w:rPr>
          <w:color w:val="231F20"/>
          <w:spacing w:val="-9"/>
          <w:sz w:val="20"/>
        </w:rPr>
        <w:t xml:space="preserve"> </w:t>
      </w:r>
      <w:r>
        <w:rPr>
          <w:color w:val="231F20"/>
          <w:sz w:val="20"/>
        </w:rPr>
        <w:t>and</w:t>
      </w:r>
      <w:r>
        <w:rPr>
          <w:color w:val="231F20"/>
          <w:spacing w:val="-10"/>
          <w:sz w:val="20"/>
        </w:rPr>
        <w:t xml:space="preserve"> </w:t>
      </w:r>
      <w:r>
        <w:rPr>
          <w:color w:val="231F20"/>
          <w:sz w:val="20"/>
        </w:rPr>
        <w:t xml:space="preserve">up to </w:t>
      </w:r>
      <w:r>
        <w:rPr>
          <w:color w:val="231F20"/>
          <w:spacing w:val="-3"/>
          <w:sz w:val="20"/>
        </w:rPr>
        <w:t xml:space="preserve">10 </w:t>
      </w:r>
      <w:r>
        <w:rPr>
          <w:color w:val="231F20"/>
          <w:sz w:val="20"/>
        </w:rPr>
        <w:t>years imprisonment in</w:t>
      </w:r>
      <w:r>
        <w:rPr>
          <w:color w:val="231F20"/>
          <w:spacing w:val="-19"/>
          <w:sz w:val="20"/>
        </w:rPr>
        <w:t xml:space="preserve"> </w:t>
      </w:r>
      <w:r>
        <w:rPr>
          <w:color w:val="231F20"/>
          <w:sz w:val="20"/>
        </w:rPr>
        <w:t>Queensland.</w:t>
      </w:r>
      <w:r>
        <w:rPr>
          <w:color w:val="231F20"/>
          <w:position w:val="7"/>
          <w:sz w:val="11"/>
        </w:rPr>
        <w:t>210</w:t>
      </w:r>
    </w:p>
    <w:p w14:paraId="51C19D92" w14:textId="77777777" w:rsidR="00894070" w:rsidRDefault="009B7AFD">
      <w:pPr>
        <w:pStyle w:val="ListParagraph"/>
        <w:numPr>
          <w:ilvl w:val="1"/>
          <w:numId w:val="29"/>
        </w:numPr>
        <w:tabs>
          <w:tab w:val="left" w:pos="1801"/>
          <w:tab w:val="left" w:pos="1802"/>
        </w:tabs>
        <w:spacing w:before="125" w:line="206" w:lineRule="auto"/>
        <w:ind w:right="1830"/>
        <w:rPr>
          <w:sz w:val="20"/>
        </w:rPr>
      </w:pPr>
      <w:r>
        <w:rPr>
          <w:color w:val="231F20"/>
          <w:sz w:val="20"/>
        </w:rPr>
        <w:t>The</w:t>
      </w:r>
      <w:r>
        <w:rPr>
          <w:color w:val="231F20"/>
          <w:spacing w:val="-13"/>
          <w:sz w:val="20"/>
        </w:rPr>
        <w:t xml:space="preserve"> </w:t>
      </w:r>
      <w:r>
        <w:rPr>
          <w:color w:val="231F20"/>
          <w:sz w:val="20"/>
        </w:rPr>
        <w:t>Sentencing</w:t>
      </w:r>
      <w:r>
        <w:rPr>
          <w:color w:val="231F20"/>
          <w:spacing w:val="-13"/>
          <w:sz w:val="20"/>
        </w:rPr>
        <w:t xml:space="preserve"> </w:t>
      </w:r>
      <w:r>
        <w:rPr>
          <w:color w:val="231F20"/>
          <w:sz w:val="20"/>
        </w:rPr>
        <w:t>Advisory</w:t>
      </w:r>
      <w:r>
        <w:rPr>
          <w:color w:val="231F20"/>
          <w:spacing w:val="-12"/>
          <w:sz w:val="20"/>
        </w:rPr>
        <w:t xml:space="preserve"> </w:t>
      </w:r>
      <w:r>
        <w:rPr>
          <w:color w:val="231F20"/>
          <w:sz w:val="20"/>
        </w:rPr>
        <w:t>Council</w:t>
      </w:r>
      <w:r>
        <w:rPr>
          <w:color w:val="231F20"/>
          <w:spacing w:val="-13"/>
          <w:sz w:val="20"/>
        </w:rPr>
        <w:t xml:space="preserve"> </w:t>
      </w:r>
      <w:r>
        <w:rPr>
          <w:color w:val="231F20"/>
          <w:sz w:val="20"/>
        </w:rPr>
        <w:t>report</w:t>
      </w:r>
      <w:r>
        <w:rPr>
          <w:color w:val="231F20"/>
          <w:spacing w:val="-12"/>
          <w:sz w:val="20"/>
        </w:rPr>
        <w:t xml:space="preserve"> </w:t>
      </w:r>
      <w:r>
        <w:rPr>
          <w:color w:val="231F20"/>
          <w:sz w:val="20"/>
        </w:rPr>
        <w:t>on</w:t>
      </w:r>
      <w:r>
        <w:rPr>
          <w:color w:val="231F20"/>
          <w:spacing w:val="-13"/>
          <w:sz w:val="20"/>
        </w:rPr>
        <w:t xml:space="preserve"> </w:t>
      </w:r>
      <w:r>
        <w:rPr>
          <w:color w:val="231F20"/>
          <w:sz w:val="20"/>
        </w:rPr>
        <w:t>sentencing</w:t>
      </w:r>
      <w:r>
        <w:rPr>
          <w:color w:val="231F20"/>
          <w:spacing w:val="-12"/>
          <w:sz w:val="20"/>
        </w:rPr>
        <w:t xml:space="preserve"> </w:t>
      </w:r>
      <w:r>
        <w:rPr>
          <w:color w:val="231F20"/>
          <w:sz w:val="20"/>
        </w:rPr>
        <w:t>stalking</w:t>
      </w:r>
      <w:r>
        <w:rPr>
          <w:color w:val="231F20"/>
          <w:spacing w:val="-13"/>
          <w:sz w:val="20"/>
        </w:rPr>
        <w:t xml:space="preserve"> </w:t>
      </w:r>
      <w:r>
        <w:rPr>
          <w:color w:val="231F20"/>
          <w:sz w:val="20"/>
        </w:rPr>
        <w:t>in</w:t>
      </w:r>
      <w:r>
        <w:rPr>
          <w:color w:val="231F20"/>
          <w:spacing w:val="-13"/>
          <w:sz w:val="20"/>
        </w:rPr>
        <w:t xml:space="preserve"> </w:t>
      </w:r>
      <w:r>
        <w:rPr>
          <w:color w:val="231F20"/>
          <w:sz w:val="20"/>
        </w:rPr>
        <w:t>Victoria</w:t>
      </w:r>
      <w:r>
        <w:rPr>
          <w:color w:val="231F20"/>
          <w:spacing w:val="-12"/>
          <w:sz w:val="20"/>
        </w:rPr>
        <w:t xml:space="preserve"> </w:t>
      </w:r>
      <w:r>
        <w:rPr>
          <w:color w:val="231F20"/>
          <w:sz w:val="20"/>
        </w:rPr>
        <w:t>states that</w:t>
      </w:r>
      <w:r>
        <w:rPr>
          <w:color w:val="231F20"/>
          <w:spacing w:val="-8"/>
          <w:sz w:val="20"/>
        </w:rPr>
        <w:t xml:space="preserve"> </w:t>
      </w:r>
      <w:r>
        <w:rPr>
          <w:color w:val="231F20"/>
          <w:sz w:val="20"/>
        </w:rPr>
        <w:t>‘most</w:t>
      </w:r>
      <w:r>
        <w:rPr>
          <w:color w:val="231F20"/>
          <w:spacing w:val="-8"/>
          <w:sz w:val="20"/>
        </w:rPr>
        <w:t xml:space="preserve"> </w:t>
      </w:r>
      <w:r>
        <w:rPr>
          <w:color w:val="231F20"/>
          <w:sz w:val="20"/>
        </w:rPr>
        <w:t>jurisdictions’</w:t>
      </w:r>
      <w:r>
        <w:rPr>
          <w:color w:val="231F20"/>
          <w:spacing w:val="-7"/>
          <w:sz w:val="20"/>
        </w:rPr>
        <w:t xml:space="preserve"> </w:t>
      </w:r>
      <w:r>
        <w:rPr>
          <w:color w:val="231F20"/>
          <w:sz w:val="20"/>
        </w:rPr>
        <w:t>maximum</w:t>
      </w:r>
      <w:r>
        <w:rPr>
          <w:color w:val="231F20"/>
          <w:spacing w:val="-8"/>
          <w:sz w:val="20"/>
        </w:rPr>
        <w:t xml:space="preserve"> </w:t>
      </w:r>
      <w:r>
        <w:rPr>
          <w:color w:val="231F20"/>
          <w:sz w:val="20"/>
        </w:rPr>
        <w:t>penalties</w:t>
      </w:r>
      <w:r>
        <w:rPr>
          <w:color w:val="231F20"/>
          <w:spacing w:val="-7"/>
          <w:sz w:val="20"/>
        </w:rPr>
        <w:t xml:space="preserve"> </w:t>
      </w:r>
      <w:r>
        <w:rPr>
          <w:color w:val="231F20"/>
          <w:spacing w:val="-3"/>
          <w:sz w:val="20"/>
        </w:rPr>
        <w:t>only</w:t>
      </w:r>
      <w:r>
        <w:rPr>
          <w:color w:val="231F20"/>
          <w:spacing w:val="-8"/>
          <w:sz w:val="20"/>
        </w:rPr>
        <w:t xml:space="preserve"> </w:t>
      </w:r>
      <w:r>
        <w:rPr>
          <w:color w:val="231F20"/>
          <w:spacing w:val="-3"/>
          <w:sz w:val="20"/>
        </w:rPr>
        <w:t>apply</w:t>
      </w:r>
      <w:r>
        <w:rPr>
          <w:color w:val="231F20"/>
          <w:spacing w:val="-7"/>
          <w:sz w:val="20"/>
        </w:rPr>
        <w:t xml:space="preserve"> </w:t>
      </w:r>
      <w:r>
        <w:rPr>
          <w:color w:val="231F20"/>
          <w:sz w:val="20"/>
        </w:rPr>
        <w:t>if</w:t>
      </w:r>
      <w:r>
        <w:rPr>
          <w:color w:val="231F20"/>
          <w:spacing w:val="-8"/>
          <w:sz w:val="20"/>
        </w:rPr>
        <w:t xml:space="preserve"> </w:t>
      </w:r>
      <w:r>
        <w:rPr>
          <w:color w:val="231F20"/>
          <w:sz w:val="20"/>
        </w:rPr>
        <w:t>there</w:t>
      </w:r>
      <w:r>
        <w:rPr>
          <w:color w:val="231F20"/>
          <w:spacing w:val="-8"/>
          <w:sz w:val="20"/>
        </w:rPr>
        <w:t xml:space="preserve"> </w:t>
      </w:r>
      <w:r>
        <w:rPr>
          <w:color w:val="231F20"/>
          <w:spacing w:val="-3"/>
          <w:sz w:val="20"/>
        </w:rPr>
        <w:t>are</w:t>
      </w:r>
      <w:r>
        <w:rPr>
          <w:color w:val="231F20"/>
          <w:spacing w:val="-7"/>
          <w:sz w:val="20"/>
        </w:rPr>
        <w:t xml:space="preserve"> </w:t>
      </w:r>
      <w:r>
        <w:rPr>
          <w:color w:val="231F20"/>
          <w:spacing w:val="-3"/>
          <w:sz w:val="20"/>
        </w:rPr>
        <w:t>aggravating</w:t>
      </w:r>
    </w:p>
    <w:p w14:paraId="0BC6DE2E" w14:textId="77777777" w:rsidR="00894070" w:rsidRDefault="009B7AFD">
      <w:pPr>
        <w:pStyle w:val="BodyText"/>
        <w:spacing w:before="2" w:line="206" w:lineRule="auto"/>
        <w:ind w:left="1801" w:right="1219"/>
        <w:rPr>
          <w:sz w:val="11"/>
        </w:rPr>
      </w:pPr>
      <w:r>
        <w:rPr>
          <w:color w:val="231F20"/>
        </w:rPr>
        <w:t>circumstances</w:t>
      </w:r>
      <w:r>
        <w:rPr>
          <w:color w:val="231F20"/>
          <w:spacing w:val="-13"/>
        </w:rPr>
        <w:t xml:space="preserve"> </w:t>
      </w:r>
      <w:r>
        <w:rPr>
          <w:color w:val="231F20"/>
        </w:rPr>
        <w:t>present,</w:t>
      </w:r>
      <w:r>
        <w:rPr>
          <w:color w:val="231F20"/>
          <w:spacing w:val="-12"/>
        </w:rPr>
        <w:t xml:space="preserve"> </w:t>
      </w:r>
      <w:r>
        <w:rPr>
          <w:color w:val="231F20"/>
        </w:rPr>
        <w:t>such</w:t>
      </w:r>
      <w:r>
        <w:rPr>
          <w:color w:val="231F20"/>
          <w:spacing w:val="-12"/>
        </w:rPr>
        <w:t xml:space="preserve"> </w:t>
      </w:r>
      <w:r>
        <w:rPr>
          <w:color w:val="231F20"/>
        </w:rPr>
        <w:t>as</w:t>
      </w:r>
      <w:r>
        <w:rPr>
          <w:color w:val="231F20"/>
          <w:spacing w:val="-13"/>
        </w:rPr>
        <w:t xml:space="preserve"> </w:t>
      </w:r>
      <w:r>
        <w:rPr>
          <w:color w:val="231F20"/>
        </w:rPr>
        <w:t>if</w:t>
      </w:r>
      <w:r>
        <w:rPr>
          <w:color w:val="231F20"/>
          <w:spacing w:val="-12"/>
        </w:rPr>
        <w:t xml:space="preserve"> </w:t>
      </w:r>
      <w:r>
        <w:rPr>
          <w:color w:val="231F20"/>
        </w:rPr>
        <w:t>the</w:t>
      </w:r>
      <w:r>
        <w:rPr>
          <w:color w:val="231F20"/>
          <w:spacing w:val="-12"/>
        </w:rPr>
        <w:t xml:space="preserve"> </w:t>
      </w:r>
      <w:r>
        <w:rPr>
          <w:color w:val="231F20"/>
        </w:rPr>
        <w:t>offending</w:t>
      </w:r>
      <w:r>
        <w:rPr>
          <w:color w:val="231F20"/>
          <w:spacing w:val="-13"/>
        </w:rPr>
        <w:t xml:space="preserve"> </w:t>
      </w:r>
      <w:r>
        <w:rPr>
          <w:color w:val="231F20"/>
        </w:rPr>
        <w:t>occurred</w:t>
      </w:r>
      <w:r>
        <w:rPr>
          <w:color w:val="231F20"/>
          <w:spacing w:val="-12"/>
        </w:rPr>
        <w:t xml:space="preserve"> </w:t>
      </w:r>
      <w:r>
        <w:rPr>
          <w:color w:val="231F20"/>
        </w:rPr>
        <w:t>in</w:t>
      </w:r>
      <w:r>
        <w:rPr>
          <w:color w:val="231F20"/>
          <w:spacing w:val="-12"/>
        </w:rPr>
        <w:t xml:space="preserve"> </w:t>
      </w:r>
      <w:r>
        <w:rPr>
          <w:color w:val="231F20"/>
        </w:rPr>
        <w:t>breach</w:t>
      </w:r>
      <w:r>
        <w:rPr>
          <w:color w:val="231F20"/>
          <w:spacing w:val="-13"/>
        </w:rPr>
        <w:t xml:space="preserve"> </w:t>
      </w:r>
      <w:r>
        <w:rPr>
          <w:color w:val="231F20"/>
        </w:rPr>
        <w:t>of</w:t>
      </w:r>
      <w:r>
        <w:rPr>
          <w:color w:val="231F20"/>
          <w:spacing w:val="-12"/>
        </w:rPr>
        <w:t xml:space="preserve"> </w:t>
      </w:r>
      <w:r>
        <w:rPr>
          <w:color w:val="231F20"/>
        </w:rPr>
        <w:t>a</w:t>
      </w:r>
      <w:r>
        <w:rPr>
          <w:color w:val="231F20"/>
          <w:spacing w:val="-12"/>
        </w:rPr>
        <w:t xml:space="preserve"> </w:t>
      </w:r>
      <w:r>
        <w:rPr>
          <w:color w:val="231F20"/>
        </w:rPr>
        <w:t>court</w:t>
      </w:r>
      <w:r>
        <w:rPr>
          <w:color w:val="231F20"/>
          <w:spacing w:val="-13"/>
        </w:rPr>
        <w:t xml:space="preserve"> </w:t>
      </w:r>
      <w:r>
        <w:rPr>
          <w:color w:val="231F20"/>
        </w:rPr>
        <w:t>order</w:t>
      </w:r>
      <w:r>
        <w:rPr>
          <w:color w:val="231F20"/>
          <w:spacing w:val="-12"/>
        </w:rPr>
        <w:t xml:space="preserve"> </w:t>
      </w:r>
      <w:r>
        <w:rPr>
          <w:color w:val="231F20"/>
        </w:rPr>
        <w:t>or while</w:t>
      </w:r>
      <w:r>
        <w:rPr>
          <w:color w:val="231F20"/>
          <w:spacing w:val="-5"/>
        </w:rPr>
        <w:t xml:space="preserve"> </w:t>
      </w:r>
      <w:r>
        <w:rPr>
          <w:color w:val="231F20"/>
        </w:rPr>
        <w:t>the</w:t>
      </w:r>
      <w:r>
        <w:rPr>
          <w:color w:val="231F20"/>
          <w:spacing w:val="-5"/>
        </w:rPr>
        <w:t xml:space="preserve"> </w:t>
      </w:r>
      <w:r>
        <w:rPr>
          <w:color w:val="231F20"/>
        </w:rPr>
        <w:t>offender</w:t>
      </w:r>
      <w:r>
        <w:rPr>
          <w:color w:val="231F20"/>
          <w:spacing w:val="-5"/>
        </w:rPr>
        <w:t xml:space="preserve"> </w:t>
      </w:r>
      <w:r>
        <w:rPr>
          <w:color w:val="231F20"/>
        </w:rPr>
        <w:t>was</w:t>
      </w:r>
      <w:r>
        <w:rPr>
          <w:color w:val="231F20"/>
          <w:spacing w:val="-5"/>
        </w:rPr>
        <w:t xml:space="preserve"> </w:t>
      </w:r>
      <w:r>
        <w:rPr>
          <w:color w:val="231F20"/>
        </w:rPr>
        <w:t>in</w:t>
      </w:r>
      <w:r>
        <w:rPr>
          <w:color w:val="231F20"/>
          <w:spacing w:val="-5"/>
        </w:rPr>
        <w:t xml:space="preserve"> </w:t>
      </w:r>
      <w:r>
        <w:rPr>
          <w:color w:val="231F20"/>
        </w:rPr>
        <w:t>possession</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weapon’.</w:t>
      </w:r>
      <w:r>
        <w:rPr>
          <w:color w:val="231F20"/>
          <w:position w:val="7"/>
          <w:sz w:val="11"/>
        </w:rPr>
        <w:t>211</w:t>
      </w:r>
    </w:p>
    <w:p w14:paraId="67465304" w14:textId="77777777" w:rsidR="00894070" w:rsidRDefault="009B7AFD">
      <w:pPr>
        <w:pStyle w:val="ListParagraph"/>
        <w:numPr>
          <w:ilvl w:val="1"/>
          <w:numId w:val="29"/>
        </w:numPr>
        <w:tabs>
          <w:tab w:val="left" w:pos="1801"/>
          <w:tab w:val="left" w:pos="1802"/>
        </w:tabs>
        <w:spacing w:before="123" w:line="206" w:lineRule="auto"/>
        <w:ind w:right="1183"/>
        <w:rPr>
          <w:sz w:val="11"/>
        </w:rPr>
      </w:pPr>
      <w:r>
        <w:rPr>
          <w:color w:val="231F20"/>
          <w:sz w:val="20"/>
        </w:rPr>
        <w:t>In</w:t>
      </w:r>
      <w:r>
        <w:rPr>
          <w:color w:val="231F20"/>
          <w:spacing w:val="-11"/>
          <w:sz w:val="20"/>
        </w:rPr>
        <w:t xml:space="preserve"> </w:t>
      </w:r>
      <w:r>
        <w:rPr>
          <w:color w:val="231F20"/>
          <w:sz w:val="20"/>
        </w:rPr>
        <w:t>Victoria,</w:t>
      </w:r>
      <w:r>
        <w:rPr>
          <w:color w:val="231F20"/>
          <w:spacing w:val="-10"/>
          <w:sz w:val="20"/>
        </w:rPr>
        <w:t xml:space="preserve"> </w:t>
      </w:r>
      <w:r>
        <w:rPr>
          <w:color w:val="231F20"/>
          <w:spacing w:val="-5"/>
          <w:sz w:val="20"/>
        </w:rPr>
        <w:t>however,</w:t>
      </w:r>
      <w:r>
        <w:rPr>
          <w:color w:val="231F20"/>
          <w:spacing w:val="-10"/>
          <w:sz w:val="20"/>
        </w:rPr>
        <w:t xml:space="preserve"> </w:t>
      </w:r>
      <w:r>
        <w:rPr>
          <w:color w:val="231F20"/>
          <w:sz w:val="20"/>
        </w:rPr>
        <w:t>the</w:t>
      </w:r>
      <w:r>
        <w:rPr>
          <w:color w:val="231F20"/>
          <w:spacing w:val="-10"/>
          <w:sz w:val="20"/>
        </w:rPr>
        <w:t xml:space="preserve"> </w:t>
      </w:r>
      <w:r>
        <w:rPr>
          <w:color w:val="231F20"/>
          <w:spacing w:val="-3"/>
          <w:sz w:val="20"/>
        </w:rPr>
        <w:t>10-year</w:t>
      </w:r>
      <w:r>
        <w:rPr>
          <w:color w:val="231F20"/>
          <w:spacing w:val="-10"/>
          <w:sz w:val="20"/>
        </w:rPr>
        <w:t xml:space="preserve"> </w:t>
      </w:r>
      <w:r>
        <w:rPr>
          <w:color w:val="231F20"/>
          <w:sz w:val="20"/>
        </w:rPr>
        <w:t>maximum</w:t>
      </w:r>
      <w:r>
        <w:rPr>
          <w:color w:val="231F20"/>
          <w:spacing w:val="-10"/>
          <w:sz w:val="20"/>
        </w:rPr>
        <w:t xml:space="preserve"> </w:t>
      </w:r>
      <w:r>
        <w:rPr>
          <w:color w:val="231F20"/>
          <w:sz w:val="20"/>
        </w:rPr>
        <w:t>penalty</w:t>
      </w:r>
      <w:r>
        <w:rPr>
          <w:color w:val="231F20"/>
          <w:spacing w:val="-11"/>
          <w:sz w:val="20"/>
        </w:rPr>
        <w:t xml:space="preserve"> </w:t>
      </w:r>
      <w:r>
        <w:rPr>
          <w:color w:val="231F20"/>
          <w:sz w:val="20"/>
        </w:rPr>
        <w:t>applies</w:t>
      </w:r>
      <w:r>
        <w:rPr>
          <w:color w:val="231F20"/>
          <w:spacing w:val="-10"/>
          <w:sz w:val="20"/>
        </w:rPr>
        <w:t xml:space="preserve"> </w:t>
      </w:r>
      <w:r>
        <w:rPr>
          <w:color w:val="231F20"/>
          <w:sz w:val="20"/>
        </w:rPr>
        <w:t>in</w:t>
      </w:r>
      <w:r>
        <w:rPr>
          <w:color w:val="231F20"/>
          <w:spacing w:val="-10"/>
          <w:sz w:val="20"/>
        </w:rPr>
        <w:t xml:space="preserve"> </w:t>
      </w:r>
      <w:r>
        <w:rPr>
          <w:color w:val="231F20"/>
          <w:sz w:val="20"/>
        </w:rPr>
        <w:t>all</w:t>
      </w:r>
      <w:r>
        <w:rPr>
          <w:color w:val="231F20"/>
          <w:spacing w:val="-10"/>
          <w:sz w:val="20"/>
        </w:rPr>
        <w:t xml:space="preserve"> </w:t>
      </w:r>
      <w:r>
        <w:rPr>
          <w:color w:val="231F20"/>
          <w:sz w:val="20"/>
        </w:rPr>
        <w:t>circumstances,</w:t>
      </w:r>
      <w:r>
        <w:rPr>
          <w:color w:val="231F20"/>
          <w:spacing w:val="-10"/>
          <w:sz w:val="20"/>
        </w:rPr>
        <w:t xml:space="preserve"> </w:t>
      </w:r>
      <w:r>
        <w:rPr>
          <w:color w:val="231F20"/>
          <w:sz w:val="20"/>
        </w:rPr>
        <w:t xml:space="preserve">making it </w:t>
      </w:r>
      <w:r>
        <w:rPr>
          <w:color w:val="231F20"/>
          <w:spacing w:val="-3"/>
          <w:sz w:val="20"/>
        </w:rPr>
        <w:t xml:space="preserve">effectively </w:t>
      </w:r>
      <w:r>
        <w:rPr>
          <w:color w:val="231F20"/>
          <w:sz w:val="20"/>
        </w:rPr>
        <w:t xml:space="preserve">the highest maximum penalty </w:t>
      </w:r>
      <w:r>
        <w:rPr>
          <w:color w:val="231F20"/>
          <w:spacing w:val="-3"/>
          <w:sz w:val="20"/>
        </w:rPr>
        <w:t xml:space="preserve">for </w:t>
      </w:r>
      <w:r>
        <w:rPr>
          <w:color w:val="231F20"/>
          <w:sz w:val="20"/>
        </w:rPr>
        <w:t>stalking in Australia. The maximum penalty</w:t>
      </w:r>
      <w:r>
        <w:rPr>
          <w:color w:val="231F20"/>
          <w:spacing w:val="-6"/>
          <w:sz w:val="20"/>
        </w:rPr>
        <w:t xml:space="preserve"> </w:t>
      </w:r>
      <w:r>
        <w:rPr>
          <w:color w:val="231F20"/>
          <w:spacing w:val="-3"/>
          <w:sz w:val="20"/>
        </w:rPr>
        <w:t>for</w:t>
      </w:r>
      <w:r>
        <w:rPr>
          <w:color w:val="231F20"/>
          <w:spacing w:val="-6"/>
          <w:sz w:val="20"/>
        </w:rPr>
        <w:t xml:space="preserve"> </w:t>
      </w:r>
      <w:r>
        <w:rPr>
          <w:color w:val="231F20"/>
          <w:sz w:val="20"/>
        </w:rPr>
        <w:t>stalking</w:t>
      </w:r>
      <w:r>
        <w:rPr>
          <w:color w:val="231F20"/>
          <w:spacing w:val="-6"/>
          <w:sz w:val="20"/>
        </w:rPr>
        <w:t xml:space="preserve"> </w:t>
      </w:r>
      <w:r>
        <w:rPr>
          <w:color w:val="231F20"/>
          <w:sz w:val="20"/>
        </w:rPr>
        <w:t>in</w:t>
      </w:r>
      <w:r>
        <w:rPr>
          <w:color w:val="231F20"/>
          <w:spacing w:val="-6"/>
          <w:sz w:val="20"/>
        </w:rPr>
        <w:t xml:space="preserve"> </w:t>
      </w:r>
      <w:r>
        <w:rPr>
          <w:color w:val="231F20"/>
          <w:sz w:val="20"/>
        </w:rPr>
        <w:t>Victoria</w:t>
      </w:r>
      <w:r>
        <w:rPr>
          <w:color w:val="231F20"/>
          <w:spacing w:val="-5"/>
          <w:sz w:val="20"/>
        </w:rPr>
        <w:t xml:space="preserve"> </w:t>
      </w:r>
      <w:r>
        <w:rPr>
          <w:color w:val="231F20"/>
          <w:sz w:val="20"/>
        </w:rPr>
        <w:t>is</w:t>
      </w:r>
      <w:r>
        <w:rPr>
          <w:color w:val="231F20"/>
          <w:spacing w:val="-6"/>
          <w:sz w:val="20"/>
        </w:rPr>
        <w:t xml:space="preserve"> </w:t>
      </w:r>
      <w:r>
        <w:rPr>
          <w:color w:val="231F20"/>
          <w:sz w:val="20"/>
        </w:rPr>
        <w:t>higher</w:t>
      </w:r>
      <w:r>
        <w:rPr>
          <w:color w:val="231F20"/>
          <w:spacing w:val="-5"/>
          <w:sz w:val="20"/>
        </w:rPr>
        <w:t xml:space="preserve"> </w:t>
      </w:r>
      <w:r>
        <w:rPr>
          <w:color w:val="231F20"/>
          <w:sz w:val="20"/>
        </w:rPr>
        <w:t>than</w:t>
      </w:r>
      <w:r>
        <w:rPr>
          <w:color w:val="231F20"/>
          <w:spacing w:val="-6"/>
          <w:sz w:val="20"/>
        </w:rPr>
        <w:t xml:space="preserve"> </w:t>
      </w:r>
      <w:r>
        <w:rPr>
          <w:color w:val="231F20"/>
          <w:sz w:val="20"/>
        </w:rPr>
        <w:t>in</w:t>
      </w:r>
      <w:r>
        <w:rPr>
          <w:color w:val="231F20"/>
          <w:spacing w:val="-5"/>
          <w:sz w:val="20"/>
        </w:rPr>
        <w:t xml:space="preserve"> </w:t>
      </w:r>
      <w:r>
        <w:rPr>
          <w:color w:val="231F20"/>
          <w:sz w:val="20"/>
        </w:rPr>
        <w:t>most</w:t>
      </w:r>
      <w:r>
        <w:rPr>
          <w:color w:val="231F20"/>
          <w:spacing w:val="-6"/>
          <w:sz w:val="20"/>
        </w:rPr>
        <w:t xml:space="preserve"> </w:t>
      </w:r>
      <w:r>
        <w:rPr>
          <w:color w:val="231F20"/>
          <w:sz w:val="20"/>
        </w:rPr>
        <w:t>common</w:t>
      </w:r>
      <w:r>
        <w:rPr>
          <w:color w:val="231F20"/>
          <w:spacing w:val="-5"/>
          <w:sz w:val="20"/>
        </w:rPr>
        <w:t xml:space="preserve"> </w:t>
      </w:r>
      <w:r>
        <w:rPr>
          <w:color w:val="231F20"/>
          <w:sz w:val="20"/>
        </w:rPr>
        <w:t>law</w:t>
      </w:r>
      <w:r>
        <w:rPr>
          <w:color w:val="231F20"/>
          <w:spacing w:val="-6"/>
          <w:sz w:val="20"/>
        </w:rPr>
        <w:t xml:space="preserve"> </w:t>
      </w:r>
      <w:r>
        <w:rPr>
          <w:color w:val="231F20"/>
          <w:sz w:val="20"/>
        </w:rPr>
        <w:t>countries.</w:t>
      </w:r>
      <w:r>
        <w:rPr>
          <w:color w:val="231F20"/>
          <w:position w:val="7"/>
          <w:sz w:val="11"/>
        </w:rPr>
        <w:t>212</w:t>
      </w:r>
    </w:p>
    <w:p w14:paraId="0FEBA529" w14:textId="77777777" w:rsidR="00894070" w:rsidRDefault="009B7AFD">
      <w:pPr>
        <w:pStyle w:val="ListParagraph"/>
        <w:numPr>
          <w:ilvl w:val="1"/>
          <w:numId w:val="29"/>
        </w:numPr>
        <w:tabs>
          <w:tab w:val="left" w:pos="1801"/>
          <w:tab w:val="left" w:pos="1802"/>
        </w:tabs>
        <w:spacing w:before="91"/>
        <w:rPr>
          <w:sz w:val="20"/>
        </w:rPr>
      </w:pPr>
      <w:r>
        <w:rPr>
          <w:color w:val="231F20"/>
          <w:sz w:val="20"/>
        </w:rPr>
        <w:t xml:space="preserve">The </w:t>
      </w:r>
      <w:r>
        <w:rPr>
          <w:color w:val="231F20"/>
          <w:spacing w:val="-4"/>
          <w:sz w:val="20"/>
        </w:rPr>
        <w:t xml:space="preserve">SAC </w:t>
      </w:r>
      <w:r>
        <w:rPr>
          <w:color w:val="231F20"/>
          <w:sz w:val="20"/>
        </w:rPr>
        <w:t xml:space="preserve">report </w:t>
      </w:r>
      <w:r>
        <w:rPr>
          <w:color w:val="231F20"/>
          <w:spacing w:val="-3"/>
          <w:sz w:val="20"/>
        </w:rPr>
        <w:t>reveals</w:t>
      </w:r>
      <w:r>
        <w:rPr>
          <w:color w:val="231F20"/>
          <w:spacing w:val="-13"/>
          <w:sz w:val="20"/>
        </w:rPr>
        <w:t xml:space="preserve"> </w:t>
      </w:r>
      <w:r>
        <w:rPr>
          <w:color w:val="231F20"/>
          <w:sz w:val="20"/>
        </w:rPr>
        <w:t>that:</w:t>
      </w:r>
    </w:p>
    <w:p w14:paraId="5E2BCE2A" w14:textId="77777777" w:rsidR="00894070" w:rsidRDefault="009B7AFD">
      <w:pPr>
        <w:pStyle w:val="ListParagraph"/>
        <w:numPr>
          <w:ilvl w:val="2"/>
          <w:numId w:val="29"/>
        </w:numPr>
        <w:tabs>
          <w:tab w:val="left" w:pos="2142"/>
        </w:tabs>
        <w:spacing w:before="115" w:line="206" w:lineRule="auto"/>
        <w:ind w:right="1655" w:hanging="340"/>
        <w:jc w:val="both"/>
        <w:rPr>
          <w:sz w:val="11"/>
        </w:rPr>
      </w:pPr>
      <w:r>
        <w:rPr>
          <w:color w:val="231F20"/>
          <w:sz w:val="20"/>
        </w:rPr>
        <w:t>immediate</w:t>
      </w:r>
      <w:r>
        <w:rPr>
          <w:color w:val="231F20"/>
          <w:spacing w:val="-10"/>
          <w:sz w:val="20"/>
        </w:rPr>
        <w:t xml:space="preserve"> </w:t>
      </w:r>
      <w:r>
        <w:rPr>
          <w:color w:val="231F20"/>
          <w:sz w:val="20"/>
        </w:rPr>
        <w:t>custodial</w:t>
      </w:r>
      <w:r>
        <w:rPr>
          <w:color w:val="231F20"/>
          <w:spacing w:val="-11"/>
          <w:sz w:val="20"/>
        </w:rPr>
        <w:t xml:space="preserve"> </w:t>
      </w:r>
      <w:r>
        <w:rPr>
          <w:color w:val="231F20"/>
          <w:spacing w:val="-2"/>
          <w:sz w:val="20"/>
        </w:rPr>
        <w:t>sentences</w:t>
      </w:r>
      <w:r>
        <w:rPr>
          <w:color w:val="231F20"/>
          <w:spacing w:val="-10"/>
          <w:sz w:val="20"/>
        </w:rPr>
        <w:t xml:space="preserve"> </w:t>
      </w:r>
      <w:r>
        <w:rPr>
          <w:color w:val="231F20"/>
          <w:spacing w:val="-4"/>
          <w:sz w:val="20"/>
        </w:rPr>
        <w:t>were</w:t>
      </w:r>
      <w:r>
        <w:rPr>
          <w:color w:val="231F20"/>
          <w:spacing w:val="-10"/>
          <w:sz w:val="20"/>
        </w:rPr>
        <w:t xml:space="preserve"> </w:t>
      </w:r>
      <w:r>
        <w:rPr>
          <w:color w:val="231F20"/>
          <w:sz w:val="20"/>
        </w:rPr>
        <w:t>the</w:t>
      </w:r>
      <w:r>
        <w:rPr>
          <w:color w:val="231F20"/>
          <w:spacing w:val="-9"/>
          <w:sz w:val="20"/>
        </w:rPr>
        <w:t xml:space="preserve"> </w:t>
      </w:r>
      <w:r>
        <w:rPr>
          <w:color w:val="231F20"/>
          <w:sz w:val="20"/>
        </w:rPr>
        <w:t>most</w:t>
      </w:r>
      <w:r>
        <w:rPr>
          <w:color w:val="231F20"/>
          <w:spacing w:val="-10"/>
          <w:sz w:val="20"/>
        </w:rPr>
        <w:t xml:space="preserve"> </w:t>
      </w:r>
      <w:r>
        <w:rPr>
          <w:color w:val="231F20"/>
          <w:sz w:val="20"/>
        </w:rPr>
        <w:t>common</w:t>
      </w:r>
      <w:r>
        <w:rPr>
          <w:color w:val="231F20"/>
          <w:spacing w:val="-10"/>
          <w:sz w:val="20"/>
        </w:rPr>
        <w:t xml:space="preserve"> </w:t>
      </w:r>
      <w:r>
        <w:rPr>
          <w:color w:val="231F20"/>
          <w:sz w:val="20"/>
        </w:rPr>
        <w:t>outcomes</w:t>
      </w:r>
      <w:r>
        <w:rPr>
          <w:color w:val="231F20"/>
          <w:spacing w:val="-10"/>
          <w:sz w:val="20"/>
        </w:rPr>
        <w:t xml:space="preserve"> </w:t>
      </w:r>
      <w:r>
        <w:rPr>
          <w:color w:val="231F20"/>
          <w:spacing w:val="-3"/>
          <w:sz w:val="20"/>
        </w:rPr>
        <w:t>for</w:t>
      </w:r>
      <w:r>
        <w:rPr>
          <w:color w:val="231F20"/>
          <w:spacing w:val="-10"/>
          <w:sz w:val="20"/>
        </w:rPr>
        <w:t xml:space="preserve"> </w:t>
      </w:r>
      <w:r>
        <w:rPr>
          <w:color w:val="231F20"/>
          <w:sz w:val="20"/>
        </w:rPr>
        <w:t xml:space="preserve">stalking charges in the </w:t>
      </w:r>
      <w:r>
        <w:rPr>
          <w:color w:val="231F20"/>
          <w:spacing w:val="-3"/>
          <w:sz w:val="20"/>
        </w:rPr>
        <w:t xml:space="preserve">Magistrates’ </w:t>
      </w:r>
      <w:r>
        <w:rPr>
          <w:color w:val="231F20"/>
          <w:sz w:val="20"/>
        </w:rPr>
        <w:t xml:space="preserve">Court (32 per cent) and in the higher courts </w:t>
      </w:r>
      <w:r>
        <w:rPr>
          <w:color w:val="231F20"/>
          <w:spacing w:val="-3"/>
          <w:sz w:val="20"/>
        </w:rPr>
        <w:t xml:space="preserve">(82 </w:t>
      </w:r>
      <w:r>
        <w:rPr>
          <w:color w:val="231F20"/>
          <w:sz w:val="20"/>
        </w:rPr>
        <w:t>per cent)</w:t>
      </w:r>
      <w:r>
        <w:rPr>
          <w:color w:val="231F20"/>
          <w:position w:val="7"/>
          <w:sz w:val="11"/>
        </w:rPr>
        <w:t>213</w:t>
      </w:r>
    </w:p>
    <w:p w14:paraId="51910AE8" w14:textId="77777777" w:rsidR="00894070" w:rsidRDefault="009B7AFD">
      <w:pPr>
        <w:pStyle w:val="ListParagraph"/>
        <w:numPr>
          <w:ilvl w:val="2"/>
          <w:numId w:val="29"/>
        </w:numPr>
        <w:tabs>
          <w:tab w:val="left" w:pos="2141"/>
          <w:tab w:val="left" w:pos="2142"/>
        </w:tabs>
        <w:spacing w:before="89" w:line="206" w:lineRule="auto"/>
        <w:ind w:right="1446" w:hanging="340"/>
        <w:rPr>
          <w:sz w:val="11"/>
        </w:rPr>
      </w:pPr>
      <w:r>
        <w:rPr>
          <w:color w:val="231F20"/>
          <w:sz w:val="20"/>
        </w:rPr>
        <w:t xml:space="preserve">the </w:t>
      </w:r>
      <w:r>
        <w:rPr>
          <w:color w:val="231F20"/>
          <w:spacing w:val="-3"/>
          <w:sz w:val="20"/>
        </w:rPr>
        <w:t xml:space="preserve">average </w:t>
      </w:r>
      <w:r>
        <w:rPr>
          <w:color w:val="231F20"/>
          <w:sz w:val="20"/>
        </w:rPr>
        <w:t xml:space="preserve">prison </w:t>
      </w:r>
      <w:r>
        <w:rPr>
          <w:color w:val="231F20"/>
          <w:spacing w:val="-3"/>
          <w:sz w:val="20"/>
        </w:rPr>
        <w:t xml:space="preserve">sentence for </w:t>
      </w:r>
      <w:r>
        <w:rPr>
          <w:color w:val="231F20"/>
          <w:sz w:val="20"/>
        </w:rPr>
        <w:t>the stalking offence in the higher courts was 14 months</w:t>
      </w:r>
      <w:r>
        <w:rPr>
          <w:color w:val="231F20"/>
          <w:spacing w:val="-11"/>
          <w:sz w:val="20"/>
        </w:rPr>
        <w:t xml:space="preserve"> </w:t>
      </w:r>
      <w:r>
        <w:rPr>
          <w:color w:val="231F20"/>
          <w:sz w:val="20"/>
        </w:rPr>
        <w:t>imprisonment</w:t>
      </w:r>
      <w:r>
        <w:rPr>
          <w:color w:val="231F20"/>
          <w:spacing w:val="-10"/>
          <w:sz w:val="20"/>
        </w:rPr>
        <w:t xml:space="preserve"> </w:t>
      </w:r>
      <w:r>
        <w:rPr>
          <w:color w:val="231F20"/>
          <w:sz w:val="20"/>
        </w:rPr>
        <w:t>(half</w:t>
      </w:r>
      <w:r>
        <w:rPr>
          <w:color w:val="231F20"/>
          <w:spacing w:val="-10"/>
          <w:sz w:val="20"/>
        </w:rPr>
        <w:t xml:space="preserve"> </w:t>
      </w:r>
      <w:r>
        <w:rPr>
          <w:color w:val="231F20"/>
          <w:spacing w:val="-4"/>
          <w:sz w:val="20"/>
        </w:rPr>
        <w:t>were</w:t>
      </w:r>
      <w:r>
        <w:rPr>
          <w:color w:val="231F20"/>
          <w:spacing w:val="-10"/>
          <w:sz w:val="20"/>
        </w:rPr>
        <w:t xml:space="preserve"> </w:t>
      </w:r>
      <w:r>
        <w:rPr>
          <w:color w:val="231F20"/>
          <w:sz w:val="20"/>
        </w:rPr>
        <w:t>between</w:t>
      </w:r>
      <w:r>
        <w:rPr>
          <w:color w:val="231F20"/>
          <w:spacing w:val="-10"/>
          <w:sz w:val="20"/>
        </w:rPr>
        <w:t xml:space="preserve"> </w:t>
      </w:r>
      <w:r>
        <w:rPr>
          <w:color w:val="231F20"/>
          <w:sz w:val="20"/>
        </w:rPr>
        <w:t>six</w:t>
      </w:r>
      <w:r>
        <w:rPr>
          <w:color w:val="231F20"/>
          <w:spacing w:val="-10"/>
          <w:sz w:val="20"/>
        </w:rPr>
        <w:t xml:space="preserve"> </w:t>
      </w:r>
      <w:r>
        <w:rPr>
          <w:color w:val="231F20"/>
          <w:sz w:val="20"/>
        </w:rPr>
        <w:t>months</w:t>
      </w:r>
      <w:r>
        <w:rPr>
          <w:color w:val="231F20"/>
          <w:spacing w:val="-11"/>
          <w:sz w:val="20"/>
        </w:rPr>
        <w:t xml:space="preserve"> </w:t>
      </w:r>
      <w:r>
        <w:rPr>
          <w:color w:val="231F20"/>
          <w:sz w:val="20"/>
        </w:rPr>
        <w:t>and</w:t>
      </w:r>
      <w:r>
        <w:rPr>
          <w:color w:val="231F20"/>
          <w:spacing w:val="-10"/>
          <w:sz w:val="20"/>
        </w:rPr>
        <w:t xml:space="preserve"> </w:t>
      </w:r>
      <w:r>
        <w:rPr>
          <w:color w:val="231F20"/>
          <w:sz w:val="20"/>
        </w:rPr>
        <w:t>less</w:t>
      </w:r>
      <w:r>
        <w:rPr>
          <w:color w:val="231F20"/>
          <w:spacing w:val="-10"/>
          <w:sz w:val="20"/>
        </w:rPr>
        <w:t xml:space="preserve"> </w:t>
      </w:r>
      <w:r>
        <w:rPr>
          <w:color w:val="231F20"/>
          <w:sz w:val="20"/>
        </w:rPr>
        <w:t>than</w:t>
      </w:r>
      <w:r>
        <w:rPr>
          <w:color w:val="231F20"/>
          <w:spacing w:val="-10"/>
          <w:sz w:val="20"/>
        </w:rPr>
        <w:t xml:space="preserve"> </w:t>
      </w:r>
      <w:r>
        <w:rPr>
          <w:color w:val="231F20"/>
          <w:sz w:val="20"/>
        </w:rPr>
        <w:t>18</w:t>
      </w:r>
      <w:r>
        <w:rPr>
          <w:color w:val="231F20"/>
          <w:spacing w:val="-10"/>
          <w:sz w:val="20"/>
        </w:rPr>
        <w:t xml:space="preserve"> </w:t>
      </w:r>
      <w:r>
        <w:rPr>
          <w:color w:val="231F20"/>
          <w:sz w:val="20"/>
        </w:rPr>
        <w:t>months)</w:t>
      </w:r>
      <w:r>
        <w:rPr>
          <w:color w:val="231F20"/>
          <w:position w:val="7"/>
          <w:sz w:val="11"/>
        </w:rPr>
        <w:t>214</w:t>
      </w:r>
    </w:p>
    <w:p w14:paraId="445C4477" w14:textId="77777777" w:rsidR="00894070" w:rsidRDefault="009B7AFD">
      <w:pPr>
        <w:pStyle w:val="ListParagraph"/>
        <w:numPr>
          <w:ilvl w:val="2"/>
          <w:numId w:val="29"/>
        </w:numPr>
        <w:tabs>
          <w:tab w:val="left" w:pos="2141"/>
          <w:tab w:val="left" w:pos="2142"/>
        </w:tabs>
        <w:spacing w:before="87" w:line="206" w:lineRule="auto"/>
        <w:ind w:right="1207" w:hanging="340"/>
        <w:rPr>
          <w:sz w:val="11"/>
        </w:rPr>
      </w:pPr>
      <w:r>
        <w:rPr>
          <w:color w:val="231F20"/>
          <w:sz w:val="20"/>
        </w:rPr>
        <w:t xml:space="preserve">prison </w:t>
      </w:r>
      <w:r>
        <w:rPr>
          <w:color w:val="231F20"/>
          <w:spacing w:val="-2"/>
          <w:sz w:val="20"/>
        </w:rPr>
        <w:t xml:space="preserve">sentences </w:t>
      </w:r>
      <w:r>
        <w:rPr>
          <w:color w:val="231F20"/>
          <w:spacing w:val="-4"/>
          <w:sz w:val="20"/>
        </w:rPr>
        <w:t xml:space="preserve">were </w:t>
      </w:r>
      <w:r>
        <w:rPr>
          <w:color w:val="231F20"/>
          <w:sz w:val="20"/>
        </w:rPr>
        <w:t>more common where a stalking charge was co-sentenced with</w:t>
      </w:r>
      <w:r>
        <w:rPr>
          <w:color w:val="231F20"/>
          <w:spacing w:val="-10"/>
          <w:sz w:val="20"/>
        </w:rPr>
        <w:t xml:space="preserve"> </w:t>
      </w:r>
      <w:r>
        <w:rPr>
          <w:color w:val="231F20"/>
          <w:sz w:val="20"/>
        </w:rPr>
        <w:t>an</w:t>
      </w:r>
      <w:r>
        <w:rPr>
          <w:color w:val="231F20"/>
          <w:spacing w:val="-9"/>
          <w:sz w:val="20"/>
        </w:rPr>
        <w:t xml:space="preserve"> </w:t>
      </w:r>
      <w:r>
        <w:rPr>
          <w:color w:val="231F20"/>
          <w:sz w:val="20"/>
        </w:rPr>
        <w:t>assault</w:t>
      </w:r>
      <w:r>
        <w:rPr>
          <w:color w:val="231F20"/>
          <w:spacing w:val="-10"/>
          <w:sz w:val="20"/>
        </w:rPr>
        <w:t xml:space="preserve"> </w:t>
      </w:r>
      <w:r>
        <w:rPr>
          <w:color w:val="231F20"/>
          <w:sz w:val="20"/>
        </w:rPr>
        <w:t>offence</w:t>
      </w:r>
      <w:r>
        <w:rPr>
          <w:color w:val="231F20"/>
          <w:spacing w:val="-9"/>
          <w:sz w:val="20"/>
        </w:rPr>
        <w:t xml:space="preserve"> </w:t>
      </w:r>
      <w:r>
        <w:rPr>
          <w:color w:val="231F20"/>
          <w:spacing w:val="-3"/>
          <w:sz w:val="20"/>
        </w:rPr>
        <w:t>(47</w:t>
      </w:r>
      <w:r>
        <w:rPr>
          <w:color w:val="231F20"/>
          <w:spacing w:val="-10"/>
          <w:sz w:val="20"/>
        </w:rPr>
        <w:t xml:space="preserve"> </w:t>
      </w:r>
      <w:r>
        <w:rPr>
          <w:color w:val="231F20"/>
          <w:sz w:val="20"/>
        </w:rPr>
        <w:t>per</w:t>
      </w:r>
      <w:r>
        <w:rPr>
          <w:color w:val="231F20"/>
          <w:spacing w:val="-9"/>
          <w:sz w:val="20"/>
        </w:rPr>
        <w:t xml:space="preserve"> </w:t>
      </w:r>
      <w:r>
        <w:rPr>
          <w:color w:val="231F20"/>
          <w:spacing w:val="-3"/>
          <w:sz w:val="20"/>
        </w:rPr>
        <w:t>cent),</w:t>
      </w:r>
      <w:r>
        <w:rPr>
          <w:color w:val="231F20"/>
          <w:spacing w:val="-9"/>
          <w:sz w:val="20"/>
        </w:rPr>
        <w:t xml:space="preserve"> </w:t>
      </w:r>
      <w:r>
        <w:rPr>
          <w:color w:val="231F20"/>
          <w:sz w:val="20"/>
        </w:rPr>
        <w:t>a</w:t>
      </w:r>
      <w:r>
        <w:rPr>
          <w:color w:val="231F20"/>
          <w:spacing w:val="-10"/>
          <w:sz w:val="20"/>
        </w:rPr>
        <w:t xml:space="preserve"> </w:t>
      </w:r>
      <w:r>
        <w:rPr>
          <w:color w:val="231F20"/>
          <w:spacing w:val="-3"/>
          <w:sz w:val="20"/>
        </w:rPr>
        <w:t>bail-related</w:t>
      </w:r>
      <w:r>
        <w:rPr>
          <w:color w:val="231F20"/>
          <w:spacing w:val="-9"/>
          <w:sz w:val="20"/>
        </w:rPr>
        <w:t xml:space="preserve"> </w:t>
      </w:r>
      <w:r>
        <w:rPr>
          <w:color w:val="231F20"/>
          <w:sz w:val="20"/>
        </w:rPr>
        <w:t>offence</w:t>
      </w:r>
      <w:r>
        <w:rPr>
          <w:color w:val="231F20"/>
          <w:spacing w:val="-10"/>
          <w:sz w:val="20"/>
        </w:rPr>
        <w:t xml:space="preserve"> </w:t>
      </w:r>
      <w:r>
        <w:rPr>
          <w:color w:val="231F20"/>
          <w:sz w:val="20"/>
        </w:rPr>
        <w:t>(46</w:t>
      </w:r>
      <w:r>
        <w:rPr>
          <w:color w:val="231F20"/>
          <w:spacing w:val="-9"/>
          <w:sz w:val="20"/>
        </w:rPr>
        <w:t xml:space="preserve"> </w:t>
      </w:r>
      <w:r>
        <w:rPr>
          <w:color w:val="231F20"/>
          <w:sz w:val="20"/>
        </w:rPr>
        <w:t>per</w:t>
      </w:r>
      <w:r>
        <w:rPr>
          <w:color w:val="231F20"/>
          <w:spacing w:val="-10"/>
          <w:sz w:val="20"/>
        </w:rPr>
        <w:t xml:space="preserve"> </w:t>
      </w:r>
      <w:r>
        <w:rPr>
          <w:color w:val="231F20"/>
          <w:sz w:val="20"/>
        </w:rPr>
        <w:t>cent)</w:t>
      </w:r>
      <w:r>
        <w:rPr>
          <w:color w:val="231F20"/>
          <w:spacing w:val="-9"/>
          <w:sz w:val="20"/>
        </w:rPr>
        <w:t xml:space="preserve"> </w:t>
      </w:r>
      <w:r>
        <w:rPr>
          <w:color w:val="231F20"/>
          <w:sz w:val="20"/>
        </w:rPr>
        <w:t>or</w:t>
      </w:r>
      <w:r>
        <w:rPr>
          <w:color w:val="231F20"/>
          <w:spacing w:val="-9"/>
          <w:sz w:val="20"/>
        </w:rPr>
        <w:t xml:space="preserve"> </w:t>
      </w:r>
      <w:r>
        <w:rPr>
          <w:color w:val="231F20"/>
          <w:sz w:val="20"/>
        </w:rPr>
        <w:t>a</w:t>
      </w:r>
      <w:r>
        <w:rPr>
          <w:color w:val="231F20"/>
          <w:spacing w:val="-10"/>
          <w:sz w:val="20"/>
        </w:rPr>
        <w:t xml:space="preserve"> </w:t>
      </w:r>
      <w:r>
        <w:rPr>
          <w:color w:val="231F20"/>
          <w:sz w:val="20"/>
        </w:rPr>
        <w:t xml:space="preserve">breach of an </w:t>
      </w:r>
      <w:r>
        <w:rPr>
          <w:color w:val="231F20"/>
          <w:spacing w:val="-2"/>
          <w:sz w:val="20"/>
        </w:rPr>
        <w:t xml:space="preserve">intervention </w:t>
      </w:r>
      <w:r>
        <w:rPr>
          <w:color w:val="231F20"/>
          <w:sz w:val="20"/>
        </w:rPr>
        <w:t>order (41 per</w:t>
      </w:r>
      <w:r>
        <w:rPr>
          <w:color w:val="231F20"/>
          <w:spacing w:val="-23"/>
          <w:sz w:val="20"/>
        </w:rPr>
        <w:t xml:space="preserve"> </w:t>
      </w:r>
      <w:r>
        <w:rPr>
          <w:color w:val="231F20"/>
          <w:sz w:val="20"/>
        </w:rPr>
        <w:t>cent)</w:t>
      </w:r>
      <w:r>
        <w:rPr>
          <w:color w:val="231F20"/>
          <w:position w:val="7"/>
          <w:sz w:val="11"/>
        </w:rPr>
        <w:t>215</w:t>
      </w:r>
    </w:p>
    <w:p w14:paraId="22BB6F6F" w14:textId="77777777" w:rsidR="00894070" w:rsidRDefault="009B7AFD">
      <w:pPr>
        <w:pStyle w:val="ListParagraph"/>
        <w:numPr>
          <w:ilvl w:val="2"/>
          <w:numId w:val="29"/>
        </w:numPr>
        <w:tabs>
          <w:tab w:val="left" w:pos="2141"/>
          <w:tab w:val="left" w:pos="2142"/>
        </w:tabs>
        <w:spacing w:before="89" w:line="206" w:lineRule="auto"/>
        <w:ind w:right="1261" w:hanging="340"/>
        <w:rPr>
          <w:sz w:val="11"/>
        </w:rPr>
      </w:pPr>
      <w:r>
        <w:rPr>
          <w:color w:val="231F20"/>
          <w:sz w:val="20"/>
        </w:rPr>
        <w:t xml:space="preserve">community correction orders </w:t>
      </w:r>
      <w:r>
        <w:rPr>
          <w:color w:val="231F20"/>
          <w:spacing w:val="-4"/>
          <w:sz w:val="20"/>
        </w:rPr>
        <w:t xml:space="preserve">(CCOs) were </w:t>
      </w:r>
      <w:r>
        <w:rPr>
          <w:color w:val="231F20"/>
          <w:sz w:val="20"/>
        </w:rPr>
        <w:t xml:space="preserve">the next most common outcomes in both the </w:t>
      </w:r>
      <w:r>
        <w:rPr>
          <w:color w:val="231F20"/>
          <w:spacing w:val="-3"/>
          <w:sz w:val="20"/>
        </w:rPr>
        <w:t xml:space="preserve">Magistrates’ </w:t>
      </w:r>
      <w:r>
        <w:rPr>
          <w:color w:val="231F20"/>
          <w:sz w:val="20"/>
        </w:rPr>
        <w:t xml:space="preserve">Court (31 per cent) and the higher courts (13 per </w:t>
      </w:r>
      <w:r>
        <w:rPr>
          <w:color w:val="231F20"/>
          <w:spacing w:val="-3"/>
          <w:sz w:val="20"/>
        </w:rPr>
        <w:t xml:space="preserve">cent), </w:t>
      </w:r>
      <w:r>
        <w:rPr>
          <w:color w:val="231F20"/>
          <w:sz w:val="20"/>
        </w:rPr>
        <w:t>with most</w:t>
      </w:r>
      <w:r>
        <w:rPr>
          <w:color w:val="231F20"/>
          <w:spacing w:val="-7"/>
          <w:sz w:val="20"/>
        </w:rPr>
        <w:t xml:space="preserve"> </w:t>
      </w:r>
      <w:r>
        <w:rPr>
          <w:color w:val="231F20"/>
          <w:spacing w:val="-3"/>
          <w:sz w:val="20"/>
        </w:rPr>
        <w:t>CCOs</w:t>
      </w:r>
      <w:r>
        <w:rPr>
          <w:color w:val="231F20"/>
          <w:spacing w:val="-7"/>
          <w:sz w:val="20"/>
        </w:rPr>
        <w:t xml:space="preserve"> </w:t>
      </w:r>
      <w:r>
        <w:rPr>
          <w:color w:val="231F20"/>
          <w:spacing w:val="-3"/>
          <w:sz w:val="20"/>
        </w:rPr>
        <w:t>having</w:t>
      </w:r>
      <w:r>
        <w:rPr>
          <w:color w:val="231F20"/>
          <w:spacing w:val="-7"/>
          <w:sz w:val="20"/>
        </w:rPr>
        <w:t xml:space="preserve"> </w:t>
      </w:r>
      <w:r>
        <w:rPr>
          <w:color w:val="231F20"/>
          <w:sz w:val="20"/>
        </w:rPr>
        <w:t>an</w:t>
      </w:r>
      <w:r>
        <w:rPr>
          <w:color w:val="231F20"/>
          <w:spacing w:val="-7"/>
          <w:sz w:val="20"/>
        </w:rPr>
        <w:t xml:space="preserve"> </w:t>
      </w:r>
      <w:r>
        <w:rPr>
          <w:color w:val="231F20"/>
          <w:sz w:val="20"/>
        </w:rPr>
        <w:t>assessment</w:t>
      </w:r>
      <w:r>
        <w:rPr>
          <w:color w:val="231F20"/>
          <w:spacing w:val="-7"/>
          <w:sz w:val="20"/>
        </w:rPr>
        <w:t xml:space="preserve"> </w:t>
      </w:r>
      <w:r>
        <w:rPr>
          <w:color w:val="231F20"/>
          <w:sz w:val="20"/>
        </w:rPr>
        <w:t>and</w:t>
      </w:r>
      <w:r>
        <w:rPr>
          <w:color w:val="231F20"/>
          <w:spacing w:val="-7"/>
          <w:sz w:val="20"/>
        </w:rPr>
        <w:t xml:space="preserve"> </w:t>
      </w:r>
      <w:r>
        <w:rPr>
          <w:color w:val="231F20"/>
          <w:spacing w:val="-3"/>
          <w:sz w:val="20"/>
        </w:rPr>
        <w:t>treatment</w:t>
      </w:r>
      <w:r>
        <w:rPr>
          <w:color w:val="231F20"/>
          <w:spacing w:val="-7"/>
          <w:sz w:val="20"/>
        </w:rPr>
        <w:t xml:space="preserve"> </w:t>
      </w:r>
      <w:r>
        <w:rPr>
          <w:color w:val="231F20"/>
          <w:sz w:val="20"/>
        </w:rPr>
        <w:t>condition</w:t>
      </w:r>
      <w:r>
        <w:rPr>
          <w:color w:val="231F20"/>
          <w:spacing w:val="-7"/>
          <w:sz w:val="20"/>
        </w:rPr>
        <w:t xml:space="preserve"> </w:t>
      </w:r>
      <w:r>
        <w:rPr>
          <w:color w:val="231F20"/>
          <w:sz w:val="20"/>
        </w:rPr>
        <w:t>(91</w:t>
      </w:r>
      <w:r>
        <w:rPr>
          <w:color w:val="231F20"/>
          <w:spacing w:val="-7"/>
          <w:sz w:val="20"/>
        </w:rPr>
        <w:t xml:space="preserve"> </w:t>
      </w:r>
      <w:r>
        <w:rPr>
          <w:color w:val="231F20"/>
          <w:sz w:val="20"/>
        </w:rPr>
        <w:t>per</w:t>
      </w:r>
      <w:r>
        <w:rPr>
          <w:color w:val="231F20"/>
          <w:spacing w:val="-7"/>
          <w:sz w:val="20"/>
        </w:rPr>
        <w:t xml:space="preserve"> </w:t>
      </w:r>
      <w:r>
        <w:rPr>
          <w:color w:val="231F20"/>
          <w:spacing w:val="-3"/>
          <w:sz w:val="20"/>
        </w:rPr>
        <w:t>cent),</w:t>
      </w:r>
      <w:r>
        <w:rPr>
          <w:color w:val="231F20"/>
          <w:spacing w:val="-7"/>
          <w:sz w:val="20"/>
        </w:rPr>
        <w:t xml:space="preserve"> </w:t>
      </w:r>
      <w:r>
        <w:rPr>
          <w:color w:val="231F20"/>
          <w:sz w:val="20"/>
        </w:rPr>
        <w:t xml:space="preserve">especially when the </w:t>
      </w:r>
      <w:r>
        <w:rPr>
          <w:color w:val="231F20"/>
          <w:spacing w:val="-3"/>
          <w:sz w:val="20"/>
        </w:rPr>
        <w:t xml:space="preserve">CCOs </w:t>
      </w:r>
      <w:r>
        <w:rPr>
          <w:color w:val="231F20"/>
          <w:spacing w:val="-4"/>
          <w:sz w:val="20"/>
        </w:rPr>
        <w:t xml:space="preserve">were </w:t>
      </w:r>
      <w:r>
        <w:rPr>
          <w:color w:val="231F20"/>
          <w:sz w:val="20"/>
        </w:rPr>
        <w:t xml:space="preserve">combined with imprisonment </w:t>
      </w:r>
      <w:r>
        <w:rPr>
          <w:color w:val="231F20"/>
          <w:spacing w:val="-4"/>
          <w:sz w:val="20"/>
        </w:rPr>
        <w:t xml:space="preserve">(97 </w:t>
      </w:r>
      <w:r>
        <w:rPr>
          <w:color w:val="231F20"/>
          <w:sz w:val="20"/>
        </w:rPr>
        <w:t>per</w:t>
      </w:r>
      <w:r>
        <w:rPr>
          <w:color w:val="231F20"/>
          <w:spacing w:val="-31"/>
          <w:sz w:val="20"/>
        </w:rPr>
        <w:t xml:space="preserve"> </w:t>
      </w:r>
      <w:r>
        <w:rPr>
          <w:color w:val="231F20"/>
          <w:sz w:val="20"/>
        </w:rPr>
        <w:t>cent).</w:t>
      </w:r>
      <w:r>
        <w:rPr>
          <w:color w:val="231F20"/>
          <w:position w:val="7"/>
          <w:sz w:val="11"/>
        </w:rPr>
        <w:t>216</w:t>
      </w:r>
    </w:p>
    <w:p w14:paraId="0BAEC5E0" w14:textId="77777777" w:rsidR="00894070" w:rsidRDefault="00894070">
      <w:pPr>
        <w:pStyle w:val="BodyText"/>
      </w:pPr>
    </w:p>
    <w:p w14:paraId="4AE9DFF7" w14:textId="77777777" w:rsidR="00894070" w:rsidRDefault="00894070">
      <w:pPr>
        <w:pStyle w:val="BodyText"/>
      </w:pPr>
    </w:p>
    <w:p w14:paraId="0941EC69" w14:textId="77777777" w:rsidR="00894070" w:rsidRDefault="00894070">
      <w:pPr>
        <w:pStyle w:val="BodyText"/>
      </w:pPr>
    </w:p>
    <w:p w14:paraId="41173E47" w14:textId="77777777" w:rsidR="00894070" w:rsidRDefault="00894070">
      <w:pPr>
        <w:pStyle w:val="BodyText"/>
      </w:pPr>
    </w:p>
    <w:p w14:paraId="33BD043C" w14:textId="77777777" w:rsidR="00894070" w:rsidRDefault="009F6793">
      <w:pPr>
        <w:pStyle w:val="BodyText"/>
        <w:spacing w:before="2"/>
        <w:rPr>
          <w:sz w:val="18"/>
        </w:rPr>
      </w:pPr>
      <w:r>
        <w:pict w14:anchorId="346B74B9">
          <v:line id="_x0000_s1051" style="position:absolute;z-index:251789312;mso-wrap-distance-left:0;mso-wrap-distance-right:0;mso-position-horizontal-relative:page" from="79.35pt,15.1pt" to="515.9pt,15.1pt" strokecolor="#f8cabc" strokeweight="1pt">
            <w10:wrap type="topAndBottom" anchorx="page"/>
          </v:line>
        </w:pict>
      </w:r>
    </w:p>
    <w:p w14:paraId="75582E7C" w14:textId="77777777" w:rsidR="00894070" w:rsidRDefault="00894070">
      <w:pPr>
        <w:pStyle w:val="BodyText"/>
        <w:rPr>
          <w:sz w:val="5"/>
        </w:rPr>
      </w:pPr>
    </w:p>
    <w:p w14:paraId="52FC5032" w14:textId="77777777" w:rsidR="00894070" w:rsidRDefault="00894070">
      <w:pPr>
        <w:rPr>
          <w:sz w:val="5"/>
        </w:rPr>
        <w:sectPr w:rsidR="00894070">
          <w:pgSz w:w="11910" w:h="16840"/>
          <w:pgMar w:top="860" w:right="420" w:bottom="280" w:left="580" w:header="567" w:footer="0" w:gutter="0"/>
          <w:cols w:space="720"/>
        </w:sectPr>
      </w:pPr>
    </w:p>
    <w:p w14:paraId="349D5F76" w14:textId="77777777" w:rsidR="00894070" w:rsidRDefault="00894070">
      <w:pPr>
        <w:pStyle w:val="BodyText"/>
        <w:rPr>
          <w:sz w:val="28"/>
        </w:rPr>
      </w:pPr>
    </w:p>
    <w:p w14:paraId="14640EC8" w14:textId="77777777" w:rsidR="00894070" w:rsidRDefault="00894070">
      <w:pPr>
        <w:pStyle w:val="BodyText"/>
        <w:rPr>
          <w:sz w:val="28"/>
        </w:rPr>
      </w:pPr>
    </w:p>
    <w:p w14:paraId="5D97CB1F" w14:textId="77777777" w:rsidR="00894070" w:rsidRDefault="00894070">
      <w:pPr>
        <w:pStyle w:val="BodyText"/>
        <w:rPr>
          <w:sz w:val="28"/>
        </w:rPr>
      </w:pPr>
    </w:p>
    <w:p w14:paraId="23585482" w14:textId="77777777" w:rsidR="00894070" w:rsidRDefault="00894070">
      <w:pPr>
        <w:pStyle w:val="BodyText"/>
        <w:rPr>
          <w:sz w:val="28"/>
        </w:rPr>
      </w:pPr>
    </w:p>
    <w:p w14:paraId="0EAEB674" w14:textId="77777777" w:rsidR="00894070" w:rsidRDefault="00894070">
      <w:pPr>
        <w:pStyle w:val="BodyText"/>
        <w:spacing w:before="10"/>
        <w:rPr>
          <w:sz w:val="18"/>
        </w:rPr>
      </w:pPr>
    </w:p>
    <w:p w14:paraId="5F9A2E98" w14:textId="77777777" w:rsidR="00894070" w:rsidRDefault="009B7AFD">
      <w:pPr>
        <w:pStyle w:val="Heading8"/>
        <w:ind w:left="140"/>
      </w:pPr>
      <w:r>
        <w:rPr>
          <w:color w:val="EA5B50"/>
        </w:rPr>
        <w:t>182</w:t>
      </w:r>
    </w:p>
    <w:p w14:paraId="38FA6EBC" w14:textId="77777777" w:rsidR="00894070" w:rsidRDefault="009B7AFD">
      <w:pPr>
        <w:pStyle w:val="ListParagraph"/>
        <w:numPr>
          <w:ilvl w:val="0"/>
          <w:numId w:val="18"/>
        </w:numPr>
        <w:tabs>
          <w:tab w:val="left" w:pos="933"/>
          <w:tab w:val="left" w:pos="934"/>
        </w:tabs>
        <w:spacing w:before="38" w:line="213" w:lineRule="auto"/>
        <w:ind w:left="933" w:right="1262" w:hanging="793"/>
        <w:jc w:val="left"/>
        <w:rPr>
          <w:sz w:val="13"/>
        </w:rPr>
      </w:pPr>
      <w:r>
        <w:rPr>
          <w:i/>
          <w:color w:val="231F20"/>
          <w:spacing w:val="2"/>
          <w:sz w:val="13"/>
        </w:rPr>
        <w:br w:type="column"/>
      </w:r>
      <w:r>
        <w:rPr>
          <w:i/>
          <w:color w:val="231F20"/>
          <w:sz w:val="13"/>
        </w:rPr>
        <w:t xml:space="preserve">Crimes Act 1958 </w:t>
      </w:r>
      <w:r>
        <w:rPr>
          <w:color w:val="231F20"/>
          <w:sz w:val="13"/>
        </w:rPr>
        <w:t xml:space="preserve">(Vic) s 21A(1). When the offence is tried summarily (in the Magistrates’ Court), it is subject to the standard restrictions for offences tried summarily. That is, the maximum penalty for a single charge is two years’ imprisonment, and the maximum cumulation or aggregate sentence where there are multiple charges in a case is five years’ imprisonment: </w:t>
      </w:r>
      <w:r>
        <w:rPr>
          <w:i/>
          <w:color w:val="231F20"/>
          <w:sz w:val="13"/>
        </w:rPr>
        <w:t xml:space="preserve">Sentencing Act 1991 </w:t>
      </w:r>
      <w:r>
        <w:rPr>
          <w:color w:val="231F20"/>
          <w:sz w:val="13"/>
        </w:rPr>
        <w:t xml:space="preserve">(Vic) ss </w:t>
      </w:r>
      <w:r>
        <w:rPr>
          <w:color w:val="231F20"/>
          <w:spacing w:val="2"/>
          <w:sz w:val="13"/>
        </w:rPr>
        <w:t>113A,</w:t>
      </w:r>
      <w:r>
        <w:rPr>
          <w:color w:val="231F20"/>
          <w:sz w:val="13"/>
        </w:rPr>
        <w:t xml:space="preserve"> </w:t>
      </w:r>
      <w:r>
        <w:rPr>
          <w:color w:val="231F20"/>
          <w:spacing w:val="2"/>
          <w:sz w:val="13"/>
        </w:rPr>
        <w:t>113B.</w:t>
      </w:r>
    </w:p>
    <w:p w14:paraId="7A770340" w14:textId="77777777" w:rsidR="00894070" w:rsidRDefault="009B7AFD">
      <w:pPr>
        <w:pStyle w:val="ListParagraph"/>
        <w:numPr>
          <w:ilvl w:val="0"/>
          <w:numId w:val="18"/>
        </w:numPr>
        <w:tabs>
          <w:tab w:val="left" w:pos="933"/>
          <w:tab w:val="left" w:pos="934"/>
        </w:tabs>
        <w:spacing w:line="151" w:lineRule="exact"/>
        <w:ind w:left="933" w:hanging="793"/>
        <w:jc w:val="left"/>
        <w:rPr>
          <w:sz w:val="13"/>
        </w:rPr>
      </w:pPr>
      <w:r>
        <w:rPr>
          <w:i/>
          <w:color w:val="231F20"/>
          <w:sz w:val="13"/>
        </w:rPr>
        <w:t xml:space="preserve">Sentencing Act 1991 </w:t>
      </w:r>
      <w:r>
        <w:rPr>
          <w:color w:val="231F20"/>
          <w:sz w:val="13"/>
        </w:rPr>
        <w:t xml:space="preserve">(Vic) s </w:t>
      </w:r>
      <w:r>
        <w:rPr>
          <w:color w:val="231F20"/>
          <w:spacing w:val="2"/>
          <w:sz w:val="13"/>
        </w:rPr>
        <w:t>113.</w:t>
      </w:r>
    </w:p>
    <w:p w14:paraId="42C4B01A" w14:textId="77777777" w:rsidR="00894070" w:rsidRDefault="009B7AFD">
      <w:pPr>
        <w:pStyle w:val="ListParagraph"/>
        <w:numPr>
          <w:ilvl w:val="0"/>
          <w:numId w:val="18"/>
        </w:numPr>
        <w:tabs>
          <w:tab w:val="left" w:pos="933"/>
          <w:tab w:val="left" w:pos="934"/>
        </w:tabs>
        <w:spacing w:line="160" w:lineRule="exact"/>
        <w:ind w:left="933" w:hanging="793"/>
        <w:jc w:val="left"/>
        <w:rPr>
          <w:sz w:val="13"/>
        </w:rPr>
      </w:pPr>
      <w:r>
        <w:rPr>
          <w:color w:val="231F20"/>
          <w:sz w:val="13"/>
        </w:rPr>
        <w:t xml:space="preserve">Sentencing Advisory Council (Vic), </w:t>
      </w:r>
      <w:r>
        <w:rPr>
          <w:i/>
          <w:color w:val="231F20"/>
          <w:sz w:val="13"/>
        </w:rPr>
        <w:t xml:space="preserve">Sentencing Stalking in Victoria </w:t>
      </w:r>
      <w:r>
        <w:rPr>
          <w:color w:val="231F20"/>
          <w:spacing w:val="2"/>
          <w:sz w:val="13"/>
        </w:rPr>
        <w:t xml:space="preserve">(Report, </w:t>
      </w:r>
      <w:r>
        <w:rPr>
          <w:color w:val="231F20"/>
          <w:sz w:val="13"/>
        </w:rPr>
        <w:t>March</w:t>
      </w:r>
      <w:r>
        <w:rPr>
          <w:color w:val="231F20"/>
          <w:spacing w:val="5"/>
          <w:sz w:val="13"/>
        </w:rPr>
        <w:t xml:space="preserve"> </w:t>
      </w:r>
      <w:r>
        <w:rPr>
          <w:color w:val="231F20"/>
          <w:sz w:val="13"/>
        </w:rPr>
        <w:t>2022).</w:t>
      </w:r>
    </w:p>
    <w:p w14:paraId="0EA4A70C" w14:textId="77777777" w:rsidR="00894070" w:rsidRDefault="009B7AFD">
      <w:pPr>
        <w:pStyle w:val="ListParagraph"/>
        <w:numPr>
          <w:ilvl w:val="0"/>
          <w:numId w:val="18"/>
        </w:numPr>
        <w:tabs>
          <w:tab w:val="left" w:pos="933"/>
          <w:tab w:val="left" w:pos="934"/>
        </w:tabs>
        <w:spacing w:line="160" w:lineRule="exact"/>
        <w:ind w:left="933" w:hanging="793"/>
        <w:jc w:val="left"/>
        <w:rPr>
          <w:sz w:val="13"/>
        </w:rPr>
      </w:pPr>
      <w:r>
        <w:rPr>
          <w:color w:val="231F20"/>
          <w:sz w:val="13"/>
        </w:rPr>
        <w:t xml:space="preserve">Ibid 8. See, eg, </w:t>
      </w:r>
      <w:r>
        <w:rPr>
          <w:i/>
          <w:color w:val="231F20"/>
          <w:sz w:val="13"/>
        </w:rPr>
        <w:t xml:space="preserve">Criminal Code Act 1983 </w:t>
      </w:r>
      <w:r>
        <w:rPr>
          <w:color w:val="231F20"/>
          <w:sz w:val="13"/>
        </w:rPr>
        <w:t>(NT) s</w:t>
      </w:r>
      <w:r>
        <w:rPr>
          <w:color w:val="231F20"/>
          <w:spacing w:val="3"/>
          <w:sz w:val="13"/>
        </w:rPr>
        <w:t xml:space="preserve"> </w:t>
      </w:r>
      <w:r>
        <w:rPr>
          <w:color w:val="231F20"/>
          <w:sz w:val="13"/>
        </w:rPr>
        <w:t>189(2)(b)</w:t>
      </w:r>
    </w:p>
    <w:p w14:paraId="5DA9236A" w14:textId="77777777" w:rsidR="00894070" w:rsidRDefault="009B7AFD">
      <w:pPr>
        <w:pStyle w:val="ListParagraph"/>
        <w:numPr>
          <w:ilvl w:val="0"/>
          <w:numId w:val="18"/>
        </w:numPr>
        <w:tabs>
          <w:tab w:val="left" w:pos="933"/>
          <w:tab w:val="left" w:pos="934"/>
        </w:tabs>
        <w:spacing w:line="160" w:lineRule="exact"/>
        <w:ind w:left="933" w:hanging="793"/>
        <w:jc w:val="left"/>
        <w:rPr>
          <w:sz w:val="13"/>
        </w:rPr>
      </w:pPr>
      <w:r>
        <w:rPr>
          <w:color w:val="231F20"/>
          <w:sz w:val="13"/>
        </w:rPr>
        <w:t xml:space="preserve">Ibid </w:t>
      </w:r>
      <w:r>
        <w:rPr>
          <w:color w:val="231F20"/>
          <w:spacing w:val="2"/>
          <w:sz w:val="13"/>
        </w:rPr>
        <w:t>9.</w:t>
      </w:r>
    </w:p>
    <w:p w14:paraId="3CC09238" w14:textId="77777777" w:rsidR="00894070" w:rsidRDefault="009B7AFD">
      <w:pPr>
        <w:pStyle w:val="ListParagraph"/>
        <w:numPr>
          <w:ilvl w:val="0"/>
          <w:numId w:val="18"/>
        </w:numPr>
        <w:tabs>
          <w:tab w:val="left" w:pos="933"/>
          <w:tab w:val="left" w:pos="934"/>
        </w:tabs>
        <w:spacing w:line="160" w:lineRule="exact"/>
        <w:ind w:left="933" w:hanging="793"/>
        <w:jc w:val="left"/>
        <w:rPr>
          <w:sz w:val="13"/>
        </w:rPr>
      </w:pPr>
      <w:r>
        <w:rPr>
          <w:color w:val="231F20"/>
          <w:sz w:val="13"/>
        </w:rPr>
        <w:t xml:space="preserve">Ibid </w:t>
      </w:r>
      <w:r>
        <w:rPr>
          <w:color w:val="231F20"/>
          <w:spacing w:val="3"/>
          <w:sz w:val="13"/>
        </w:rPr>
        <w:t>55.</w:t>
      </w:r>
    </w:p>
    <w:p w14:paraId="42B639B9" w14:textId="77777777" w:rsidR="00894070" w:rsidRDefault="009B7AFD">
      <w:pPr>
        <w:pStyle w:val="ListParagraph"/>
        <w:numPr>
          <w:ilvl w:val="0"/>
          <w:numId w:val="18"/>
        </w:numPr>
        <w:tabs>
          <w:tab w:val="left" w:pos="933"/>
          <w:tab w:val="left" w:pos="934"/>
        </w:tabs>
        <w:spacing w:line="160" w:lineRule="exact"/>
        <w:ind w:left="933" w:hanging="793"/>
        <w:jc w:val="left"/>
        <w:rPr>
          <w:sz w:val="13"/>
        </w:rPr>
      </w:pPr>
      <w:r>
        <w:rPr>
          <w:color w:val="231F20"/>
          <w:sz w:val="13"/>
        </w:rPr>
        <w:t>Ibid</w:t>
      </w:r>
      <w:r>
        <w:rPr>
          <w:color w:val="231F20"/>
          <w:spacing w:val="2"/>
          <w:sz w:val="13"/>
        </w:rPr>
        <w:t xml:space="preserve"> </w:t>
      </w:r>
      <w:r>
        <w:rPr>
          <w:color w:val="231F20"/>
          <w:sz w:val="13"/>
        </w:rPr>
        <w:t>56</w:t>
      </w:r>
      <w:r>
        <w:rPr>
          <w:color w:val="231F20"/>
          <w:spacing w:val="3"/>
          <w:sz w:val="13"/>
        </w:rPr>
        <w:t xml:space="preserve"> </w:t>
      </w:r>
      <w:r>
        <w:rPr>
          <w:color w:val="231F20"/>
          <w:sz w:val="13"/>
        </w:rPr>
        <w:t>Due</w:t>
      </w:r>
      <w:r>
        <w:rPr>
          <w:color w:val="231F20"/>
          <w:spacing w:val="3"/>
          <w:sz w:val="13"/>
        </w:rPr>
        <w:t xml:space="preserve"> </w:t>
      </w:r>
      <w:r>
        <w:rPr>
          <w:color w:val="231F20"/>
          <w:sz w:val="13"/>
        </w:rPr>
        <w:t>to</w:t>
      </w:r>
      <w:r>
        <w:rPr>
          <w:color w:val="231F20"/>
          <w:spacing w:val="2"/>
          <w:sz w:val="13"/>
        </w:rPr>
        <w:t xml:space="preserve"> </w:t>
      </w:r>
      <w:r>
        <w:rPr>
          <w:color w:val="231F20"/>
          <w:sz w:val="13"/>
        </w:rPr>
        <w:t>data</w:t>
      </w:r>
      <w:r>
        <w:rPr>
          <w:color w:val="231F20"/>
          <w:spacing w:val="3"/>
          <w:sz w:val="13"/>
        </w:rPr>
        <w:t xml:space="preserve"> </w:t>
      </w:r>
      <w:r>
        <w:rPr>
          <w:color w:val="231F20"/>
          <w:sz w:val="13"/>
        </w:rPr>
        <w:t>availability</w:t>
      </w:r>
      <w:r>
        <w:rPr>
          <w:color w:val="231F20"/>
          <w:spacing w:val="3"/>
          <w:sz w:val="13"/>
        </w:rPr>
        <w:t xml:space="preserve"> </w:t>
      </w:r>
      <w:r>
        <w:rPr>
          <w:color w:val="231F20"/>
          <w:sz w:val="13"/>
        </w:rPr>
        <w:t>and</w:t>
      </w:r>
      <w:r>
        <w:rPr>
          <w:color w:val="231F20"/>
          <w:spacing w:val="3"/>
          <w:sz w:val="13"/>
        </w:rPr>
        <w:t xml:space="preserve"> </w:t>
      </w:r>
      <w:r>
        <w:rPr>
          <w:color w:val="231F20"/>
          <w:sz w:val="13"/>
        </w:rPr>
        <w:t>reliability,</w:t>
      </w:r>
      <w:r>
        <w:rPr>
          <w:color w:val="231F20"/>
          <w:spacing w:val="2"/>
          <w:sz w:val="13"/>
        </w:rPr>
        <w:t xml:space="preserve"> </w:t>
      </w:r>
      <w:r>
        <w:rPr>
          <w:color w:val="231F20"/>
          <w:sz w:val="13"/>
        </w:rPr>
        <w:t>this</w:t>
      </w:r>
      <w:r>
        <w:rPr>
          <w:color w:val="231F20"/>
          <w:spacing w:val="3"/>
          <w:sz w:val="13"/>
        </w:rPr>
        <w:t xml:space="preserve"> </w:t>
      </w:r>
      <w:r>
        <w:rPr>
          <w:color w:val="231F20"/>
          <w:spacing w:val="2"/>
          <w:sz w:val="13"/>
        </w:rPr>
        <w:t>report</w:t>
      </w:r>
      <w:r>
        <w:rPr>
          <w:color w:val="231F20"/>
          <w:spacing w:val="3"/>
          <w:sz w:val="13"/>
        </w:rPr>
        <w:t xml:space="preserve"> </w:t>
      </w:r>
      <w:r>
        <w:rPr>
          <w:color w:val="231F20"/>
          <w:sz w:val="13"/>
        </w:rPr>
        <w:t>does</w:t>
      </w:r>
      <w:r>
        <w:rPr>
          <w:color w:val="231F20"/>
          <w:spacing w:val="2"/>
          <w:sz w:val="13"/>
        </w:rPr>
        <w:t xml:space="preserve"> </w:t>
      </w:r>
      <w:r>
        <w:rPr>
          <w:color w:val="231F20"/>
          <w:sz w:val="13"/>
        </w:rPr>
        <w:t>not</w:t>
      </w:r>
      <w:r>
        <w:rPr>
          <w:color w:val="231F20"/>
          <w:spacing w:val="3"/>
          <w:sz w:val="13"/>
        </w:rPr>
        <w:t xml:space="preserve"> </w:t>
      </w:r>
      <w:r>
        <w:rPr>
          <w:color w:val="231F20"/>
          <w:sz w:val="13"/>
        </w:rPr>
        <w:t>provide</w:t>
      </w:r>
      <w:r>
        <w:rPr>
          <w:color w:val="231F20"/>
          <w:spacing w:val="3"/>
          <w:sz w:val="13"/>
        </w:rPr>
        <w:t xml:space="preserve"> </w:t>
      </w:r>
      <w:r>
        <w:rPr>
          <w:color w:val="231F20"/>
          <w:sz w:val="13"/>
        </w:rPr>
        <w:t>sentence</w:t>
      </w:r>
      <w:r>
        <w:rPr>
          <w:color w:val="231F20"/>
          <w:spacing w:val="3"/>
          <w:sz w:val="13"/>
        </w:rPr>
        <w:t xml:space="preserve"> </w:t>
      </w:r>
      <w:r>
        <w:rPr>
          <w:color w:val="231F20"/>
          <w:sz w:val="13"/>
        </w:rPr>
        <w:t>lengths</w:t>
      </w:r>
      <w:r>
        <w:rPr>
          <w:color w:val="231F20"/>
          <w:spacing w:val="2"/>
          <w:sz w:val="13"/>
        </w:rPr>
        <w:t xml:space="preserve"> </w:t>
      </w:r>
      <w:r>
        <w:rPr>
          <w:color w:val="231F20"/>
          <w:sz w:val="13"/>
        </w:rPr>
        <w:t>for</w:t>
      </w:r>
      <w:r>
        <w:rPr>
          <w:color w:val="231F20"/>
          <w:spacing w:val="3"/>
          <w:sz w:val="13"/>
        </w:rPr>
        <w:t xml:space="preserve"> </w:t>
      </w:r>
      <w:r>
        <w:rPr>
          <w:color w:val="231F20"/>
          <w:sz w:val="13"/>
        </w:rPr>
        <w:t>prison</w:t>
      </w:r>
      <w:r>
        <w:rPr>
          <w:color w:val="231F20"/>
          <w:spacing w:val="3"/>
          <w:sz w:val="13"/>
        </w:rPr>
        <w:t xml:space="preserve"> </w:t>
      </w:r>
      <w:r>
        <w:rPr>
          <w:color w:val="231F20"/>
          <w:sz w:val="13"/>
        </w:rPr>
        <w:t>sentences</w:t>
      </w:r>
      <w:r>
        <w:rPr>
          <w:color w:val="231F20"/>
          <w:spacing w:val="2"/>
          <w:sz w:val="13"/>
        </w:rPr>
        <w:t xml:space="preserve"> </w:t>
      </w:r>
      <w:r>
        <w:rPr>
          <w:color w:val="231F20"/>
          <w:sz w:val="13"/>
        </w:rPr>
        <w:t>imposed</w:t>
      </w:r>
      <w:r>
        <w:rPr>
          <w:color w:val="231F20"/>
          <w:spacing w:val="3"/>
          <w:sz w:val="13"/>
        </w:rPr>
        <w:t xml:space="preserve"> </w:t>
      </w:r>
      <w:r>
        <w:rPr>
          <w:color w:val="231F20"/>
          <w:sz w:val="13"/>
        </w:rPr>
        <w:t>in</w:t>
      </w:r>
      <w:r>
        <w:rPr>
          <w:color w:val="231F20"/>
          <w:spacing w:val="3"/>
          <w:sz w:val="13"/>
        </w:rPr>
        <w:t xml:space="preserve"> </w:t>
      </w:r>
      <w:r>
        <w:rPr>
          <w:color w:val="231F20"/>
          <w:sz w:val="13"/>
        </w:rPr>
        <w:t>the</w:t>
      </w:r>
    </w:p>
    <w:p w14:paraId="63D13DB4" w14:textId="77777777" w:rsidR="00894070" w:rsidRDefault="009B7AFD">
      <w:pPr>
        <w:spacing w:line="160" w:lineRule="exact"/>
        <w:ind w:left="933"/>
        <w:rPr>
          <w:sz w:val="13"/>
        </w:rPr>
      </w:pPr>
      <w:r>
        <w:rPr>
          <w:color w:val="231F20"/>
          <w:sz w:val="13"/>
        </w:rPr>
        <w:t>Magistrates’ Court.</w:t>
      </w:r>
    </w:p>
    <w:p w14:paraId="6D3917E0" w14:textId="77777777" w:rsidR="00894070" w:rsidRDefault="009B7AFD">
      <w:pPr>
        <w:pStyle w:val="ListParagraph"/>
        <w:numPr>
          <w:ilvl w:val="0"/>
          <w:numId w:val="18"/>
        </w:numPr>
        <w:tabs>
          <w:tab w:val="left" w:pos="933"/>
          <w:tab w:val="left" w:pos="934"/>
        </w:tabs>
        <w:spacing w:line="160" w:lineRule="exact"/>
        <w:ind w:left="933" w:hanging="793"/>
        <w:jc w:val="left"/>
        <w:rPr>
          <w:sz w:val="13"/>
        </w:rPr>
      </w:pPr>
      <w:r>
        <w:rPr>
          <w:color w:val="231F20"/>
          <w:sz w:val="13"/>
        </w:rPr>
        <w:t>Ibid</w:t>
      </w:r>
      <w:r>
        <w:rPr>
          <w:color w:val="231F20"/>
          <w:spacing w:val="11"/>
          <w:sz w:val="13"/>
        </w:rPr>
        <w:t xml:space="preserve"> </w:t>
      </w:r>
      <w:r>
        <w:rPr>
          <w:color w:val="231F20"/>
          <w:sz w:val="13"/>
        </w:rPr>
        <w:t>46.</w:t>
      </w:r>
    </w:p>
    <w:p w14:paraId="4255E562" w14:textId="77777777" w:rsidR="00894070" w:rsidRDefault="009B7AFD">
      <w:pPr>
        <w:pStyle w:val="ListParagraph"/>
        <w:numPr>
          <w:ilvl w:val="0"/>
          <w:numId w:val="18"/>
        </w:numPr>
        <w:tabs>
          <w:tab w:val="left" w:pos="933"/>
          <w:tab w:val="left" w:pos="934"/>
        </w:tabs>
        <w:spacing w:line="170" w:lineRule="exact"/>
        <w:ind w:left="933" w:hanging="793"/>
        <w:jc w:val="left"/>
        <w:rPr>
          <w:sz w:val="13"/>
        </w:rPr>
      </w:pPr>
      <w:r>
        <w:rPr>
          <w:color w:val="231F20"/>
          <w:sz w:val="13"/>
        </w:rPr>
        <w:t>Ibid</w:t>
      </w:r>
      <w:r>
        <w:rPr>
          <w:color w:val="231F20"/>
          <w:spacing w:val="1"/>
          <w:sz w:val="13"/>
        </w:rPr>
        <w:t xml:space="preserve"> </w:t>
      </w:r>
      <w:r>
        <w:rPr>
          <w:color w:val="231F20"/>
          <w:sz w:val="13"/>
        </w:rPr>
        <w:t>67.</w:t>
      </w:r>
    </w:p>
    <w:p w14:paraId="744DC7ED" w14:textId="77777777" w:rsidR="00894070" w:rsidRDefault="00894070">
      <w:pPr>
        <w:spacing w:line="170" w:lineRule="exact"/>
        <w:rPr>
          <w:sz w:val="13"/>
        </w:rPr>
        <w:sectPr w:rsidR="00894070">
          <w:type w:val="continuous"/>
          <w:pgSz w:w="11910" w:h="16840"/>
          <w:pgMar w:top="560" w:right="420" w:bottom="280" w:left="580" w:header="720" w:footer="720" w:gutter="0"/>
          <w:cols w:num="2" w:space="720" w:equalWidth="0">
            <w:col w:w="576" w:space="292"/>
            <w:col w:w="10042"/>
          </w:cols>
        </w:sectPr>
      </w:pPr>
    </w:p>
    <w:p w14:paraId="66FBBB71" w14:textId="77777777" w:rsidR="00894070" w:rsidRDefault="00894070">
      <w:pPr>
        <w:pStyle w:val="BodyText"/>
      </w:pPr>
    </w:p>
    <w:p w14:paraId="6252D110" w14:textId="77777777" w:rsidR="00894070" w:rsidRDefault="00894070">
      <w:pPr>
        <w:pStyle w:val="BodyText"/>
      </w:pPr>
    </w:p>
    <w:p w14:paraId="1E2B4C0D" w14:textId="77777777" w:rsidR="00894070" w:rsidRDefault="00894070">
      <w:pPr>
        <w:pStyle w:val="BodyText"/>
      </w:pPr>
    </w:p>
    <w:p w14:paraId="7E113E26" w14:textId="77777777" w:rsidR="00894070" w:rsidRDefault="00894070">
      <w:pPr>
        <w:pStyle w:val="BodyText"/>
        <w:spacing w:before="6"/>
        <w:rPr>
          <w:sz w:val="14"/>
        </w:rPr>
      </w:pPr>
    </w:p>
    <w:p w14:paraId="768A372E" w14:textId="77777777" w:rsidR="00894070" w:rsidRDefault="009B7AFD">
      <w:pPr>
        <w:pStyle w:val="Heading8"/>
        <w:spacing w:before="49"/>
        <w:ind w:left="1007"/>
      </w:pPr>
      <w:bookmarkStart w:id="196" w:name="_bookmark119"/>
      <w:bookmarkEnd w:id="196"/>
      <w:r>
        <w:rPr>
          <w:color w:val="231F20"/>
        </w:rPr>
        <w:t>Support for increased sentences</w:t>
      </w:r>
    </w:p>
    <w:p w14:paraId="2F73D7D3" w14:textId="77777777" w:rsidR="00894070" w:rsidRDefault="009B7AFD">
      <w:pPr>
        <w:pStyle w:val="ListParagraph"/>
        <w:numPr>
          <w:ilvl w:val="1"/>
          <w:numId w:val="29"/>
        </w:numPr>
        <w:tabs>
          <w:tab w:val="left" w:pos="1801"/>
          <w:tab w:val="left" w:pos="1802"/>
        </w:tabs>
        <w:spacing w:before="127" w:line="206" w:lineRule="auto"/>
        <w:ind w:right="1299"/>
        <w:rPr>
          <w:sz w:val="11"/>
        </w:rPr>
      </w:pPr>
      <w:r>
        <w:rPr>
          <w:color w:val="231F20"/>
          <w:spacing w:val="-6"/>
          <w:sz w:val="20"/>
        </w:rPr>
        <w:t xml:space="preserve">We </w:t>
      </w:r>
      <w:r>
        <w:rPr>
          <w:color w:val="231F20"/>
          <w:sz w:val="20"/>
        </w:rPr>
        <w:t xml:space="preserve">heard about the need </w:t>
      </w:r>
      <w:r>
        <w:rPr>
          <w:color w:val="231F20"/>
          <w:spacing w:val="-3"/>
          <w:sz w:val="20"/>
        </w:rPr>
        <w:t xml:space="preserve">for </w:t>
      </w:r>
      <w:r>
        <w:rPr>
          <w:color w:val="231F20"/>
          <w:sz w:val="20"/>
        </w:rPr>
        <w:t xml:space="preserve">stronger outcomes </w:t>
      </w:r>
      <w:r>
        <w:rPr>
          <w:color w:val="231F20"/>
          <w:spacing w:val="-3"/>
          <w:sz w:val="20"/>
        </w:rPr>
        <w:t xml:space="preserve">for </w:t>
      </w:r>
      <w:r>
        <w:rPr>
          <w:color w:val="231F20"/>
          <w:sz w:val="20"/>
        </w:rPr>
        <w:t xml:space="preserve">people who stalk </w:t>
      </w:r>
      <w:r>
        <w:rPr>
          <w:color w:val="231F20"/>
          <w:spacing w:val="-3"/>
          <w:sz w:val="20"/>
        </w:rPr>
        <w:t xml:space="preserve">from </w:t>
      </w:r>
      <w:r>
        <w:rPr>
          <w:color w:val="231F20"/>
          <w:sz w:val="20"/>
        </w:rPr>
        <w:t>victim survivors</w:t>
      </w:r>
      <w:r>
        <w:rPr>
          <w:color w:val="231F20"/>
          <w:spacing w:val="-8"/>
          <w:sz w:val="20"/>
        </w:rPr>
        <w:t xml:space="preserve"> </w:t>
      </w:r>
      <w:r>
        <w:rPr>
          <w:color w:val="231F20"/>
          <w:sz w:val="20"/>
        </w:rPr>
        <w:t>and</w:t>
      </w:r>
      <w:r>
        <w:rPr>
          <w:color w:val="231F20"/>
          <w:spacing w:val="-8"/>
          <w:sz w:val="20"/>
        </w:rPr>
        <w:t xml:space="preserve"> </w:t>
      </w:r>
      <w:r>
        <w:rPr>
          <w:color w:val="231F20"/>
          <w:sz w:val="20"/>
        </w:rPr>
        <w:t>the</w:t>
      </w:r>
      <w:r>
        <w:rPr>
          <w:color w:val="231F20"/>
          <w:spacing w:val="-8"/>
          <w:sz w:val="20"/>
        </w:rPr>
        <w:t xml:space="preserve"> </w:t>
      </w:r>
      <w:r>
        <w:rPr>
          <w:color w:val="231F20"/>
          <w:sz w:val="20"/>
        </w:rPr>
        <w:t>people</w:t>
      </w:r>
      <w:r>
        <w:rPr>
          <w:color w:val="231F20"/>
          <w:spacing w:val="-8"/>
          <w:sz w:val="20"/>
        </w:rPr>
        <w:t xml:space="preserve"> </w:t>
      </w:r>
      <w:r>
        <w:rPr>
          <w:color w:val="231F20"/>
          <w:sz w:val="20"/>
        </w:rPr>
        <w:t>who</w:t>
      </w:r>
      <w:r>
        <w:rPr>
          <w:color w:val="231F20"/>
          <w:spacing w:val="-8"/>
          <w:sz w:val="20"/>
        </w:rPr>
        <w:t xml:space="preserve"> </w:t>
      </w:r>
      <w:r>
        <w:rPr>
          <w:color w:val="231F20"/>
          <w:sz w:val="20"/>
        </w:rPr>
        <w:t>support</w:t>
      </w:r>
      <w:r>
        <w:rPr>
          <w:color w:val="231F20"/>
          <w:spacing w:val="-8"/>
          <w:sz w:val="20"/>
        </w:rPr>
        <w:t xml:space="preserve"> </w:t>
      </w:r>
      <w:r>
        <w:rPr>
          <w:color w:val="231F20"/>
          <w:sz w:val="20"/>
        </w:rPr>
        <w:t>them.</w:t>
      </w:r>
      <w:r>
        <w:rPr>
          <w:color w:val="231F20"/>
          <w:spacing w:val="-8"/>
          <w:sz w:val="20"/>
        </w:rPr>
        <w:t xml:space="preserve"> </w:t>
      </w:r>
      <w:r>
        <w:rPr>
          <w:color w:val="231F20"/>
          <w:sz w:val="20"/>
        </w:rPr>
        <w:t>There</w:t>
      </w:r>
      <w:r>
        <w:rPr>
          <w:color w:val="231F20"/>
          <w:spacing w:val="-8"/>
          <w:sz w:val="20"/>
        </w:rPr>
        <w:t xml:space="preserve"> </w:t>
      </w:r>
      <w:r>
        <w:rPr>
          <w:color w:val="231F20"/>
          <w:sz w:val="20"/>
        </w:rPr>
        <w:t>was</w:t>
      </w:r>
      <w:r>
        <w:rPr>
          <w:color w:val="231F20"/>
          <w:spacing w:val="-8"/>
          <w:sz w:val="20"/>
        </w:rPr>
        <w:t xml:space="preserve"> </w:t>
      </w:r>
      <w:r>
        <w:rPr>
          <w:color w:val="231F20"/>
          <w:sz w:val="20"/>
        </w:rPr>
        <w:t>support</w:t>
      </w:r>
      <w:r>
        <w:rPr>
          <w:color w:val="231F20"/>
          <w:spacing w:val="-8"/>
          <w:sz w:val="20"/>
        </w:rPr>
        <w:t xml:space="preserve"> </w:t>
      </w:r>
      <w:r>
        <w:rPr>
          <w:color w:val="231F20"/>
          <w:spacing w:val="-3"/>
          <w:sz w:val="20"/>
        </w:rPr>
        <w:t>from</w:t>
      </w:r>
      <w:r>
        <w:rPr>
          <w:color w:val="231F20"/>
          <w:spacing w:val="-8"/>
          <w:sz w:val="20"/>
        </w:rPr>
        <w:t xml:space="preserve"> </w:t>
      </w:r>
      <w:r>
        <w:rPr>
          <w:color w:val="231F20"/>
          <w:sz w:val="20"/>
        </w:rPr>
        <w:t>this</w:t>
      </w:r>
      <w:r>
        <w:rPr>
          <w:color w:val="231F20"/>
          <w:spacing w:val="-8"/>
          <w:sz w:val="20"/>
        </w:rPr>
        <w:t xml:space="preserve"> </w:t>
      </w:r>
      <w:r>
        <w:rPr>
          <w:color w:val="231F20"/>
          <w:sz w:val="20"/>
        </w:rPr>
        <w:t>group</w:t>
      </w:r>
      <w:r>
        <w:rPr>
          <w:color w:val="231F20"/>
          <w:spacing w:val="-8"/>
          <w:sz w:val="20"/>
        </w:rPr>
        <w:t xml:space="preserve"> </w:t>
      </w:r>
      <w:r>
        <w:rPr>
          <w:color w:val="231F20"/>
          <w:spacing w:val="-3"/>
          <w:sz w:val="20"/>
        </w:rPr>
        <w:t>for</w:t>
      </w:r>
      <w:r>
        <w:rPr>
          <w:color w:val="231F20"/>
          <w:spacing w:val="-8"/>
          <w:sz w:val="20"/>
        </w:rPr>
        <w:t xml:space="preserve"> </w:t>
      </w:r>
      <w:r>
        <w:rPr>
          <w:color w:val="231F20"/>
          <w:sz w:val="20"/>
        </w:rPr>
        <w:t>an increase in sentences.</w:t>
      </w:r>
      <w:r>
        <w:rPr>
          <w:color w:val="231F20"/>
          <w:position w:val="7"/>
          <w:sz w:val="11"/>
        </w:rPr>
        <w:t xml:space="preserve">217 </w:t>
      </w:r>
      <w:r>
        <w:rPr>
          <w:color w:val="231F20"/>
          <w:sz w:val="20"/>
        </w:rPr>
        <w:t xml:space="preserve">Other suggestions include requirements to </w:t>
      </w:r>
      <w:r>
        <w:rPr>
          <w:color w:val="231F20"/>
          <w:spacing w:val="-3"/>
          <w:sz w:val="20"/>
        </w:rPr>
        <w:t xml:space="preserve">regularly </w:t>
      </w:r>
      <w:r>
        <w:rPr>
          <w:color w:val="231F20"/>
          <w:sz w:val="20"/>
        </w:rPr>
        <w:t xml:space="preserve">report to a local police station, </w:t>
      </w:r>
      <w:r>
        <w:rPr>
          <w:color w:val="231F20"/>
          <w:spacing w:val="-3"/>
          <w:sz w:val="20"/>
        </w:rPr>
        <w:t xml:space="preserve">curfews, </w:t>
      </w:r>
      <w:r>
        <w:rPr>
          <w:color w:val="231F20"/>
          <w:sz w:val="20"/>
        </w:rPr>
        <w:t>and a stalking offenders register.</w:t>
      </w:r>
      <w:r>
        <w:rPr>
          <w:color w:val="231F20"/>
          <w:position w:val="7"/>
          <w:sz w:val="11"/>
        </w:rPr>
        <w:t xml:space="preserve">218 </w:t>
      </w:r>
      <w:r>
        <w:rPr>
          <w:color w:val="231F20"/>
          <w:sz w:val="20"/>
        </w:rPr>
        <w:t xml:space="preserve">The Victims of Crime Commissioner also suggested the </w:t>
      </w:r>
      <w:r>
        <w:rPr>
          <w:color w:val="231F20"/>
          <w:spacing w:val="-3"/>
          <w:sz w:val="20"/>
        </w:rPr>
        <w:t xml:space="preserve">government </w:t>
      </w:r>
      <w:r>
        <w:rPr>
          <w:color w:val="231F20"/>
          <w:sz w:val="20"/>
        </w:rPr>
        <w:t>consider expanding the sexual offenders register to include</w:t>
      </w:r>
      <w:r>
        <w:rPr>
          <w:color w:val="231F20"/>
          <w:spacing w:val="-19"/>
          <w:sz w:val="20"/>
        </w:rPr>
        <w:t xml:space="preserve"> </w:t>
      </w:r>
      <w:r>
        <w:rPr>
          <w:color w:val="231F20"/>
          <w:sz w:val="20"/>
        </w:rPr>
        <w:t>stalking.</w:t>
      </w:r>
      <w:r>
        <w:rPr>
          <w:color w:val="231F20"/>
          <w:position w:val="7"/>
          <w:sz w:val="11"/>
        </w:rPr>
        <w:t>219</w:t>
      </w:r>
    </w:p>
    <w:p w14:paraId="0A2B73BA" w14:textId="77777777" w:rsidR="00894070" w:rsidRDefault="009B7AFD">
      <w:pPr>
        <w:pStyle w:val="ListParagraph"/>
        <w:numPr>
          <w:ilvl w:val="1"/>
          <w:numId w:val="29"/>
        </w:numPr>
        <w:tabs>
          <w:tab w:val="left" w:pos="1801"/>
          <w:tab w:val="left" w:pos="1802"/>
        </w:tabs>
        <w:spacing w:before="128" w:line="206" w:lineRule="auto"/>
        <w:ind w:right="2176"/>
        <w:rPr>
          <w:sz w:val="20"/>
        </w:rPr>
      </w:pPr>
      <w:r>
        <w:rPr>
          <w:color w:val="231F20"/>
          <w:sz w:val="20"/>
        </w:rPr>
        <w:t>Derryn</w:t>
      </w:r>
      <w:r>
        <w:rPr>
          <w:color w:val="231F20"/>
          <w:spacing w:val="-9"/>
          <w:sz w:val="20"/>
        </w:rPr>
        <w:t xml:space="preserve"> </w:t>
      </w:r>
      <w:r>
        <w:rPr>
          <w:color w:val="231F20"/>
          <w:spacing w:val="-4"/>
          <w:sz w:val="20"/>
        </w:rPr>
        <w:t>Hinch’s</w:t>
      </w:r>
      <w:r>
        <w:rPr>
          <w:color w:val="231F20"/>
          <w:spacing w:val="-9"/>
          <w:sz w:val="20"/>
        </w:rPr>
        <w:t xml:space="preserve"> </w:t>
      </w:r>
      <w:r>
        <w:rPr>
          <w:color w:val="231F20"/>
          <w:sz w:val="20"/>
        </w:rPr>
        <w:t>Justice</w:t>
      </w:r>
      <w:r>
        <w:rPr>
          <w:color w:val="231F20"/>
          <w:spacing w:val="-9"/>
          <w:sz w:val="20"/>
        </w:rPr>
        <w:t xml:space="preserve"> </w:t>
      </w:r>
      <w:r>
        <w:rPr>
          <w:color w:val="231F20"/>
          <w:sz w:val="20"/>
        </w:rPr>
        <w:t>Party</w:t>
      </w:r>
      <w:r>
        <w:rPr>
          <w:color w:val="231F20"/>
          <w:spacing w:val="-9"/>
          <w:sz w:val="20"/>
        </w:rPr>
        <w:t xml:space="preserve"> </w:t>
      </w:r>
      <w:r>
        <w:rPr>
          <w:color w:val="231F20"/>
          <w:spacing w:val="-3"/>
          <w:sz w:val="20"/>
        </w:rPr>
        <w:t>‘strongly</w:t>
      </w:r>
      <w:r>
        <w:rPr>
          <w:color w:val="231F20"/>
          <w:spacing w:val="-9"/>
          <w:sz w:val="20"/>
        </w:rPr>
        <w:t xml:space="preserve"> </w:t>
      </w:r>
      <w:r>
        <w:rPr>
          <w:color w:val="231F20"/>
          <w:sz w:val="20"/>
        </w:rPr>
        <w:t>recommend[ed]</w:t>
      </w:r>
      <w:r>
        <w:rPr>
          <w:color w:val="231F20"/>
          <w:spacing w:val="-8"/>
          <w:sz w:val="20"/>
        </w:rPr>
        <w:t xml:space="preserve"> </w:t>
      </w:r>
      <w:r>
        <w:rPr>
          <w:color w:val="231F20"/>
          <w:sz w:val="20"/>
        </w:rPr>
        <w:t>that</w:t>
      </w:r>
      <w:r>
        <w:rPr>
          <w:color w:val="231F20"/>
          <w:spacing w:val="-9"/>
          <w:sz w:val="20"/>
        </w:rPr>
        <w:t xml:space="preserve"> </w:t>
      </w:r>
      <w:r>
        <w:rPr>
          <w:color w:val="231F20"/>
          <w:sz w:val="20"/>
        </w:rPr>
        <w:t>the</w:t>
      </w:r>
      <w:r>
        <w:rPr>
          <w:color w:val="231F20"/>
          <w:spacing w:val="-9"/>
          <w:sz w:val="20"/>
        </w:rPr>
        <w:t xml:space="preserve"> </w:t>
      </w:r>
      <w:r>
        <w:rPr>
          <w:color w:val="231F20"/>
          <w:sz w:val="20"/>
        </w:rPr>
        <w:t>penalties</w:t>
      </w:r>
      <w:r>
        <w:rPr>
          <w:color w:val="231F20"/>
          <w:spacing w:val="-9"/>
          <w:sz w:val="20"/>
        </w:rPr>
        <w:t xml:space="preserve"> </w:t>
      </w:r>
      <w:r>
        <w:rPr>
          <w:color w:val="231F20"/>
          <w:sz w:val="20"/>
        </w:rPr>
        <w:t>and the</w:t>
      </w:r>
      <w:r>
        <w:rPr>
          <w:color w:val="231F20"/>
          <w:spacing w:val="-10"/>
          <w:sz w:val="20"/>
        </w:rPr>
        <w:t xml:space="preserve"> </w:t>
      </w:r>
      <w:r>
        <w:rPr>
          <w:color w:val="231F20"/>
          <w:sz w:val="20"/>
        </w:rPr>
        <w:t>sentencing</w:t>
      </w:r>
      <w:r>
        <w:rPr>
          <w:color w:val="231F20"/>
          <w:spacing w:val="-9"/>
          <w:sz w:val="20"/>
        </w:rPr>
        <w:t xml:space="preserve"> </w:t>
      </w:r>
      <w:r>
        <w:rPr>
          <w:color w:val="231F20"/>
          <w:sz w:val="20"/>
        </w:rPr>
        <w:t>guidelines</w:t>
      </w:r>
      <w:r>
        <w:rPr>
          <w:color w:val="231F20"/>
          <w:spacing w:val="-10"/>
          <w:sz w:val="20"/>
        </w:rPr>
        <w:t xml:space="preserve"> </w:t>
      </w:r>
      <w:r>
        <w:rPr>
          <w:color w:val="231F20"/>
          <w:spacing w:val="-3"/>
          <w:sz w:val="20"/>
        </w:rPr>
        <w:t>for</w:t>
      </w:r>
      <w:r>
        <w:rPr>
          <w:color w:val="231F20"/>
          <w:spacing w:val="-9"/>
          <w:sz w:val="20"/>
        </w:rPr>
        <w:t xml:space="preserve"> </w:t>
      </w:r>
      <w:r>
        <w:rPr>
          <w:color w:val="231F20"/>
          <w:sz w:val="20"/>
        </w:rPr>
        <w:t>stalking</w:t>
      </w:r>
      <w:r>
        <w:rPr>
          <w:color w:val="231F20"/>
          <w:spacing w:val="-10"/>
          <w:sz w:val="20"/>
        </w:rPr>
        <w:t xml:space="preserve"> </w:t>
      </w:r>
      <w:r>
        <w:rPr>
          <w:color w:val="231F20"/>
          <w:sz w:val="20"/>
        </w:rPr>
        <w:t>offences</w:t>
      </w:r>
      <w:r>
        <w:rPr>
          <w:color w:val="231F20"/>
          <w:spacing w:val="-9"/>
          <w:sz w:val="20"/>
        </w:rPr>
        <w:t xml:space="preserve"> </w:t>
      </w:r>
      <w:r>
        <w:rPr>
          <w:color w:val="231F20"/>
          <w:sz w:val="20"/>
        </w:rPr>
        <w:t>be</w:t>
      </w:r>
      <w:r>
        <w:rPr>
          <w:color w:val="231F20"/>
          <w:spacing w:val="-9"/>
          <w:sz w:val="20"/>
        </w:rPr>
        <w:t xml:space="preserve"> </w:t>
      </w:r>
      <w:r>
        <w:rPr>
          <w:color w:val="231F20"/>
          <w:spacing w:val="-3"/>
          <w:sz w:val="20"/>
        </w:rPr>
        <w:t>urgently</w:t>
      </w:r>
      <w:r>
        <w:rPr>
          <w:color w:val="231F20"/>
          <w:spacing w:val="-10"/>
          <w:sz w:val="20"/>
        </w:rPr>
        <w:t xml:space="preserve"> </w:t>
      </w:r>
      <w:r>
        <w:rPr>
          <w:color w:val="231F20"/>
          <w:spacing w:val="-3"/>
          <w:sz w:val="20"/>
        </w:rPr>
        <w:t>revisited’.</w:t>
      </w:r>
      <w:r>
        <w:rPr>
          <w:color w:val="231F20"/>
          <w:spacing w:val="-3"/>
          <w:position w:val="7"/>
          <w:sz w:val="11"/>
        </w:rPr>
        <w:t>220</w:t>
      </w:r>
      <w:r>
        <w:rPr>
          <w:color w:val="231F20"/>
          <w:spacing w:val="15"/>
          <w:position w:val="7"/>
          <w:sz w:val="11"/>
        </w:rPr>
        <w:t xml:space="preserve"> </w:t>
      </w:r>
      <w:r>
        <w:rPr>
          <w:color w:val="231F20"/>
          <w:sz w:val="20"/>
        </w:rPr>
        <w:t>Their</w:t>
      </w:r>
    </w:p>
    <w:p w14:paraId="40035148" w14:textId="77777777" w:rsidR="00894070" w:rsidRDefault="009B7AFD">
      <w:pPr>
        <w:pStyle w:val="BodyText"/>
        <w:spacing w:before="2" w:line="206" w:lineRule="auto"/>
        <w:ind w:left="1801" w:right="1225"/>
        <w:rPr>
          <w:sz w:val="11"/>
        </w:rPr>
      </w:pPr>
      <w:r>
        <w:rPr>
          <w:color w:val="231F20"/>
        </w:rPr>
        <w:t xml:space="preserve">recommendations included that the maximum penalty in the </w:t>
      </w:r>
      <w:r>
        <w:rPr>
          <w:color w:val="231F20"/>
          <w:spacing w:val="-3"/>
        </w:rPr>
        <w:t xml:space="preserve">Magistrates’ </w:t>
      </w:r>
      <w:r>
        <w:rPr>
          <w:color w:val="231F20"/>
        </w:rPr>
        <w:t>Court ‘be significantly increased’.</w:t>
      </w:r>
      <w:r>
        <w:rPr>
          <w:color w:val="231F20"/>
          <w:position w:val="7"/>
          <w:sz w:val="11"/>
        </w:rPr>
        <w:t xml:space="preserve">221 </w:t>
      </w:r>
      <w:r>
        <w:rPr>
          <w:color w:val="231F20"/>
        </w:rPr>
        <w:t xml:space="preserve">It submitted that strong sentences </w:t>
      </w:r>
      <w:r>
        <w:rPr>
          <w:color w:val="231F20"/>
          <w:spacing w:val="-3"/>
        </w:rPr>
        <w:t xml:space="preserve">would </w:t>
      </w:r>
      <w:r>
        <w:rPr>
          <w:color w:val="231F20"/>
        </w:rPr>
        <w:t xml:space="preserve">help </w:t>
      </w:r>
      <w:r>
        <w:rPr>
          <w:color w:val="231F20"/>
          <w:spacing w:val="-3"/>
        </w:rPr>
        <w:t xml:space="preserve">deter </w:t>
      </w:r>
      <w:r>
        <w:rPr>
          <w:color w:val="231F20"/>
        </w:rPr>
        <w:t>stalking behaviour.</w:t>
      </w:r>
      <w:r>
        <w:rPr>
          <w:color w:val="231F20"/>
          <w:position w:val="7"/>
          <w:sz w:val="11"/>
        </w:rPr>
        <w:t>222</w:t>
      </w:r>
    </w:p>
    <w:p w14:paraId="5A51FF29" w14:textId="77777777" w:rsidR="00894070" w:rsidRDefault="009B7AFD">
      <w:pPr>
        <w:pStyle w:val="ListParagraph"/>
        <w:numPr>
          <w:ilvl w:val="1"/>
          <w:numId w:val="29"/>
        </w:numPr>
        <w:tabs>
          <w:tab w:val="left" w:pos="1801"/>
          <w:tab w:val="left" w:pos="1802"/>
        </w:tabs>
        <w:spacing w:before="124" w:line="206" w:lineRule="auto"/>
        <w:ind w:right="1617"/>
        <w:rPr>
          <w:sz w:val="11"/>
        </w:rPr>
      </w:pPr>
      <w:r>
        <w:rPr>
          <w:color w:val="231F20"/>
          <w:sz w:val="20"/>
        </w:rPr>
        <w:t xml:space="preserve">Members of the public called </w:t>
      </w:r>
      <w:r>
        <w:rPr>
          <w:color w:val="231F20"/>
          <w:spacing w:val="-3"/>
          <w:sz w:val="20"/>
        </w:rPr>
        <w:t xml:space="preserve">for </w:t>
      </w:r>
      <w:r>
        <w:rPr>
          <w:color w:val="231F20"/>
          <w:sz w:val="20"/>
        </w:rPr>
        <w:t>the response to stalking to be strengthened, including</w:t>
      </w:r>
      <w:r>
        <w:rPr>
          <w:color w:val="231F20"/>
          <w:spacing w:val="-11"/>
          <w:sz w:val="20"/>
        </w:rPr>
        <w:t xml:space="preserve"> </w:t>
      </w:r>
      <w:r>
        <w:rPr>
          <w:color w:val="231F20"/>
          <w:sz w:val="20"/>
        </w:rPr>
        <w:t>through</w:t>
      </w:r>
      <w:r>
        <w:rPr>
          <w:color w:val="231F20"/>
          <w:spacing w:val="-10"/>
          <w:sz w:val="20"/>
        </w:rPr>
        <w:t xml:space="preserve"> </w:t>
      </w:r>
      <w:r>
        <w:rPr>
          <w:color w:val="231F20"/>
          <w:sz w:val="20"/>
        </w:rPr>
        <w:t>an</w:t>
      </w:r>
      <w:r>
        <w:rPr>
          <w:color w:val="231F20"/>
          <w:spacing w:val="-10"/>
          <w:sz w:val="20"/>
        </w:rPr>
        <w:t xml:space="preserve"> </w:t>
      </w:r>
      <w:r>
        <w:rPr>
          <w:color w:val="231F20"/>
          <w:sz w:val="20"/>
        </w:rPr>
        <w:t>increase</w:t>
      </w:r>
      <w:r>
        <w:rPr>
          <w:color w:val="231F20"/>
          <w:spacing w:val="-11"/>
          <w:sz w:val="20"/>
        </w:rPr>
        <w:t xml:space="preserve"> </w:t>
      </w:r>
      <w:r>
        <w:rPr>
          <w:color w:val="231F20"/>
          <w:sz w:val="20"/>
        </w:rPr>
        <w:t>in</w:t>
      </w:r>
      <w:r>
        <w:rPr>
          <w:color w:val="231F20"/>
          <w:spacing w:val="-10"/>
          <w:sz w:val="20"/>
        </w:rPr>
        <w:t xml:space="preserve"> </w:t>
      </w:r>
      <w:r>
        <w:rPr>
          <w:color w:val="231F20"/>
          <w:sz w:val="20"/>
        </w:rPr>
        <w:t>punishment,</w:t>
      </w:r>
      <w:r>
        <w:rPr>
          <w:color w:val="231F20"/>
          <w:spacing w:val="-10"/>
          <w:sz w:val="20"/>
        </w:rPr>
        <w:t xml:space="preserve"> </w:t>
      </w:r>
      <w:r>
        <w:rPr>
          <w:color w:val="231F20"/>
          <w:sz w:val="20"/>
        </w:rPr>
        <w:t>such</w:t>
      </w:r>
      <w:r>
        <w:rPr>
          <w:color w:val="231F20"/>
          <w:spacing w:val="-10"/>
          <w:sz w:val="20"/>
        </w:rPr>
        <w:t xml:space="preserve"> </w:t>
      </w:r>
      <w:r>
        <w:rPr>
          <w:color w:val="231F20"/>
          <w:sz w:val="20"/>
        </w:rPr>
        <w:t>as</w:t>
      </w:r>
      <w:r>
        <w:rPr>
          <w:color w:val="231F20"/>
          <w:spacing w:val="-10"/>
          <w:sz w:val="20"/>
        </w:rPr>
        <w:t xml:space="preserve"> </w:t>
      </w:r>
      <w:r>
        <w:rPr>
          <w:color w:val="231F20"/>
          <w:sz w:val="20"/>
        </w:rPr>
        <w:t>prison</w:t>
      </w:r>
      <w:r>
        <w:rPr>
          <w:color w:val="231F20"/>
          <w:spacing w:val="-11"/>
          <w:sz w:val="20"/>
        </w:rPr>
        <w:t xml:space="preserve"> </w:t>
      </w:r>
      <w:r>
        <w:rPr>
          <w:color w:val="231F20"/>
          <w:sz w:val="20"/>
        </w:rPr>
        <w:t>sentences,</w:t>
      </w:r>
      <w:r>
        <w:rPr>
          <w:color w:val="231F20"/>
          <w:position w:val="7"/>
          <w:sz w:val="11"/>
        </w:rPr>
        <w:t>223</w:t>
      </w:r>
      <w:r>
        <w:rPr>
          <w:color w:val="231F20"/>
          <w:spacing w:val="14"/>
          <w:position w:val="7"/>
          <w:sz w:val="11"/>
        </w:rPr>
        <w:t xml:space="preserve"> </w:t>
      </w:r>
      <w:r>
        <w:rPr>
          <w:color w:val="231F20"/>
          <w:sz w:val="20"/>
        </w:rPr>
        <w:t>with</w:t>
      </w:r>
      <w:r>
        <w:rPr>
          <w:color w:val="231F20"/>
          <w:spacing w:val="-11"/>
          <w:sz w:val="20"/>
        </w:rPr>
        <w:t xml:space="preserve"> </w:t>
      </w:r>
      <w:r>
        <w:rPr>
          <w:color w:val="231F20"/>
          <w:spacing w:val="-4"/>
          <w:sz w:val="20"/>
        </w:rPr>
        <w:t xml:space="preserve">two </w:t>
      </w:r>
      <w:r>
        <w:rPr>
          <w:color w:val="231F20"/>
          <w:sz w:val="20"/>
        </w:rPr>
        <w:t>submissions</w:t>
      </w:r>
      <w:r>
        <w:rPr>
          <w:color w:val="231F20"/>
          <w:spacing w:val="-6"/>
          <w:sz w:val="20"/>
        </w:rPr>
        <w:t xml:space="preserve"> </w:t>
      </w:r>
      <w:r>
        <w:rPr>
          <w:color w:val="231F20"/>
          <w:sz w:val="20"/>
        </w:rPr>
        <w:t>calling</w:t>
      </w:r>
      <w:r>
        <w:rPr>
          <w:color w:val="231F20"/>
          <w:spacing w:val="-5"/>
          <w:sz w:val="20"/>
        </w:rPr>
        <w:t xml:space="preserve"> </w:t>
      </w:r>
      <w:r>
        <w:rPr>
          <w:color w:val="231F20"/>
          <w:spacing w:val="-3"/>
          <w:sz w:val="20"/>
        </w:rPr>
        <w:t>for</w:t>
      </w:r>
      <w:r>
        <w:rPr>
          <w:color w:val="231F20"/>
          <w:spacing w:val="-6"/>
          <w:sz w:val="20"/>
        </w:rPr>
        <w:t xml:space="preserve"> </w:t>
      </w:r>
      <w:r>
        <w:rPr>
          <w:color w:val="231F20"/>
          <w:sz w:val="20"/>
        </w:rPr>
        <w:t>the</w:t>
      </w:r>
      <w:r>
        <w:rPr>
          <w:color w:val="231F20"/>
          <w:spacing w:val="-5"/>
          <w:sz w:val="20"/>
        </w:rPr>
        <w:t xml:space="preserve"> </w:t>
      </w:r>
      <w:r>
        <w:rPr>
          <w:color w:val="231F20"/>
          <w:sz w:val="20"/>
        </w:rPr>
        <w:t>re-introduction</w:t>
      </w:r>
      <w:r>
        <w:rPr>
          <w:color w:val="231F20"/>
          <w:spacing w:val="-6"/>
          <w:sz w:val="20"/>
        </w:rPr>
        <w:t xml:space="preserve"> </w:t>
      </w:r>
      <w:r>
        <w:rPr>
          <w:color w:val="231F20"/>
          <w:sz w:val="20"/>
        </w:rPr>
        <w:t>of</w:t>
      </w:r>
      <w:r>
        <w:rPr>
          <w:color w:val="231F20"/>
          <w:spacing w:val="-5"/>
          <w:sz w:val="20"/>
        </w:rPr>
        <w:t xml:space="preserve"> </w:t>
      </w:r>
      <w:r>
        <w:rPr>
          <w:color w:val="231F20"/>
          <w:sz w:val="20"/>
        </w:rPr>
        <w:t>the</w:t>
      </w:r>
      <w:r>
        <w:rPr>
          <w:color w:val="231F20"/>
          <w:spacing w:val="-7"/>
          <w:sz w:val="20"/>
        </w:rPr>
        <w:t xml:space="preserve"> </w:t>
      </w:r>
      <w:r>
        <w:rPr>
          <w:color w:val="231F20"/>
          <w:sz w:val="20"/>
        </w:rPr>
        <w:t>death</w:t>
      </w:r>
      <w:r>
        <w:rPr>
          <w:color w:val="231F20"/>
          <w:spacing w:val="-5"/>
          <w:sz w:val="20"/>
        </w:rPr>
        <w:t xml:space="preserve"> </w:t>
      </w:r>
      <w:r>
        <w:rPr>
          <w:color w:val="231F20"/>
          <w:sz w:val="20"/>
        </w:rPr>
        <w:t>penalty.</w:t>
      </w:r>
      <w:r>
        <w:rPr>
          <w:color w:val="231F20"/>
          <w:position w:val="7"/>
          <w:sz w:val="11"/>
        </w:rPr>
        <w:t>224</w:t>
      </w:r>
    </w:p>
    <w:p w14:paraId="16B6B717" w14:textId="77777777" w:rsidR="00894070" w:rsidRDefault="009B7AFD">
      <w:pPr>
        <w:pStyle w:val="ListParagraph"/>
        <w:numPr>
          <w:ilvl w:val="1"/>
          <w:numId w:val="29"/>
        </w:numPr>
        <w:tabs>
          <w:tab w:val="left" w:pos="1801"/>
          <w:tab w:val="left" w:pos="1802"/>
        </w:tabs>
        <w:spacing w:before="124" w:line="206" w:lineRule="auto"/>
        <w:ind w:right="1704"/>
        <w:rPr>
          <w:sz w:val="20"/>
        </w:rPr>
      </w:pPr>
      <w:r>
        <w:rPr>
          <w:color w:val="231F20"/>
          <w:sz w:val="20"/>
        </w:rPr>
        <w:t xml:space="preserve">One mother who </w:t>
      </w:r>
      <w:r>
        <w:rPr>
          <w:color w:val="231F20"/>
          <w:spacing w:val="-3"/>
          <w:sz w:val="20"/>
        </w:rPr>
        <w:t xml:space="preserve">told </w:t>
      </w:r>
      <w:r>
        <w:rPr>
          <w:color w:val="231F20"/>
          <w:sz w:val="20"/>
        </w:rPr>
        <w:t xml:space="preserve">us about her </w:t>
      </w:r>
      <w:r>
        <w:rPr>
          <w:color w:val="231F20"/>
          <w:spacing w:val="-3"/>
          <w:sz w:val="20"/>
        </w:rPr>
        <w:t xml:space="preserve">daughter’s </w:t>
      </w:r>
      <w:r>
        <w:rPr>
          <w:color w:val="231F20"/>
          <w:sz w:val="20"/>
        </w:rPr>
        <w:t>experience of being stalked was disappointed</w:t>
      </w:r>
      <w:r>
        <w:rPr>
          <w:color w:val="231F20"/>
          <w:spacing w:val="-12"/>
          <w:sz w:val="20"/>
        </w:rPr>
        <w:t xml:space="preserve"> </w:t>
      </w:r>
      <w:r>
        <w:rPr>
          <w:color w:val="231F20"/>
          <w:sz w:val="20"/>
        </w:rPr>
        <w:t>in</w:t>
      </w:r>
      <w:r>
        <w:rPr>
          <w:color w:val="231F20"/>
          <w:spacing w:val="-12"/>
          <w:sz w:val="20"/>
        </w:rPr>
        <w:t xml:space="preserve"> </w:t>
      </w:r>
      <w:r>
        <w:rPr>
          <w:color w:val="231F20"/>
          <w:sz w:val="20"/>
        </w:rPr>
        <w:t>the</w:t>
      </w:r>
      <w:r>
        <w:rPr>
          <w:color w:val="231F20"/>
          <w:spacing w:val="-12"/>
          <w:sz w:val="20"/>
        </w:rPr>
        <w:t xml:space="preserve"> </w:t>
      </w:r>
      <w:r>
        <w:rPr>
          <w:color w:val="231F20"/>
          <w:sz w:val="20"/>
        </w:rPr>
        <w:t>sentencing</w:t>
      </w:r>
      <w:r>
        <w:rPr>
          <w:color w:val="231F20"/>
          <w:spacing w:val="-12"/>
          <w:sz w:val="20"/>
        </w:rPr>
        <w:t xml:space="preserve"> </w:t>
      </w:r>
      <w:r>
        <w:rPr>
          <w:color w:val="231F20"/>
          <w:sz w:val="20"/>
        </w:rPr>
        <w:t>outcome</w:t>
      </w:r>
      <w:r>
        <w:rPr>
          <w:color w:val="231F20"/>
          <w:spacing w:val="-11"/>
          <w:sz w:val="20"/>
        </w:rPr>
        <w:t xml:space="preserve"> </w:t>
      </w:r>
      <w:r>
        <w:rPr>
          <w:color w:val="231F20"/>
          <w:sz w:val="20"/>
        </w:rPr>
        <w:t>(this</w:t>
      </w:r>
      <w:r>
        <w:rPr>
          <w:color w:val="231F20"/>
          <w:spacing w:val="-12"/>
          <w:sz w:val="20"/>
        </w:rPr>
        <w:t xml:space="preserve"> </w:t>
      </w:r>
      <w:r>
        <w:rPr>
          <w:color w:val="231F20"/>
          <w:sz w:val="20"/>
        </w:rPr>
        <w:t>person</w:t>
      </w:r>
      <w:r>
        <w:rPr>
          <w:color w:val="231F20"/>
          <w:spacing w:val="-12"/>
          <w:sz w:val="20"/>
        </w:rPr>
        <w:t xml:space="preserve"> </w:t>
      </w:r>
      <w:r>
        <w:rPr>
          <w:color w:val="231F20"/>
          <w:sz w:val="20"/>
        </w:rPr>
        <w:t>was</w:t>
      </w:r>
      <w:r>
        <w:rPr>
          <w:color w:val="231F20"/>
          <w:spacing w:val="-12"/>
          <w:sz w:val="20"/>
        </w:rPr>
        <w:t xml:space="preserve"> </w:t>
      </w:r>
      <w:r>
        <w:rPr>
          <w:color w:val="231F20"/>
          <w:sz w:val="20"/>
        </w:rPr>
        <w:t>charged</w:t>
      </w:r>
      <w:r>
        <w:rPr>
          <w:color w:val="231F20"/>
          <w:spacing w:val="-12"/>
          <w:sz w:val="20"/>
        </w:rPr>
        <w:t xml:space="preserve"> </w:t>
      </w:r>
      <w:r>
        <w:rPr>
          <w:color w:val="231F20"/>
          <w:sz w:val="20"/>
        </w:rPr>
        <w:t>2–5</w:t>
      </w:r>
      <w:r>
        <w:rPr>
          <w:color w:val="231F20"/>
          <w:spacing w:val="-11"/>
          <w:sz w:val="20"/>
        </w:rPr>
        <w:t xml:space="preserve"> </w:t>
      </w:r>
      <w:r>
        <w:rPr>
          <w:color w:val="231F20"/>
          <w:sz w:val="20"/>
        </w:rPr>
        <w:t>years</w:t>
      </w:r>
      <w:r>
        <w:rPr>
          <w:color w:val="231F20"/>
          <w:spacing w:val="-12"/>
          <w:sz w:val="20"/>
        </w:rPr>
        <w:t xml:space="preserve"> </w:t>
      </w:r>
      <w:r>
        <w:rPr>
          <w:color w:val="231F20"/>
          <w:spacing w:val="-3"/>
          <w:sz w:val="20"/>
        </w:rPr>
        <w:t>ago):</w:t>
      </w:r>
    </w:p>
    <w:p w14:paraId="7A9AB61C" w14:textId="77777777" w:rsidR="00894070" w:rsidRDefault="009F6793">
      <w:pPr>
        <w:pStyle w:val="BodyText"/>
        <w:spacing w:before="6"/>
        <w:rPr>
          <w:sz w:val="23"/>
        </w:rPr>
      </w:pPr>
      <w:r>
        <w:pict w14:anchorId="1969AB6F">
          <v:shape id="_x0000_s1050" type="#_x0000_t202" style="position:absolute;margin-left:119.3pt;margin-top:18.5pt;width:396.35pt;height:86.1pt;z-index:251790336;mso-wrap-distance-left:0;mso-wrap-distance-right:0;mso-position-horizontal-relative:page" fillcolor="#fee7de" strokecolor="#ea5b50" strokeweight=".5pt">
            <v:textbox inset="0,0,0,0">
              <w:txbxContent>
                <w:p w14:paraId="4A4F1CDA" w14:textId="77777777" w:rsidR="00894070" w:rsidRDefault="00894070">
                  <w:pPr>
                    <w:pStyle w:val="BodyText"/>
                    <w:spacing w:before="3"/>
                    <w:rPr>
                      <w:sz w:val="15"/>
                    </w:rPr>
                  </w:pPr>
                </w:p>
                <w:p w14:paraId="5812B035" w14:textId="77777777" w:rsidR="00894070" w:rsidRDefault="009B7AFD">
                  <w:pPr>
                    <w:pStyle w:val="BodyText"/>
                    <w:spacing w:line="206" w:lineRule="auto"/>
                    <w:ind w:left="221" w:right="379"/>
                  </w:pPr>
                  <w:r>
                    <w:rPr>
                      <w:color w:val="231F20"/>
                    </w:rPr>
                    <w:t>The legal system is pathetic. It failed my daughter and her three friends who were also stalked.</w:t>
                  </w:r>
                </w:p>
                <w:p w14:paraId="5FFED95D" w14:textId="77777777" w:rsidR="00894070" w:rsidRDefault="009B7AFD">
                  <w:pPr>
                    <w:pStyle w:val="BodyText"/>
                    <w:spacing w:before="122" w:line="206" w:lineRule="auto"/>
                    <w:ind w:left="221" w:right="379"/>
                    <w:rPr>
                      <w:sz w:val="11"/>
                    </w:rPr>
                  </w:pPr>
                  <w:r>
                    <w:rPr>
                      <w:color w:val="231F20"/>
                    </w:rPr>
                    <w:t>He was sentenced to eight months jail by the Magistrate and after he appealed and the matter was heard in the County Court it was overturned by the Judge. Very disappointing outcome and total waste of taxpayers’ money.</w:t>
                  </w:r>
                  <w:r>
                    <w:rPr>
                      <w:color w:val="231F20"/>
                      <w:position w:val="7"/>
                      <w:sz w:val="11"/>
                    </w:rPr>
                    <w:t>225</w:t>
                  </w:r>
                </w:p>
              </w:txbxContent>
            </v:textbox>
            <w10:wrap type="topAndBottom" anchorx="page"/>
          </v:shape>
        </w:pict>
      </w:r>
    </w:p>
    <w:p w14:paraId="1C493853" w14:textId="77777777" w:rsidR="00894070" w:rsidRDefault="00894070">
      <w:pPr>
        <w:pStyle w:val="BodyText"/>
        <w:spacing w:before="3"/>
        <w:rPr>
          <w:sz w:val="29"/>
        </w:rPr>
      </w:pPr>
    </w:p>
    <w:p w14:paraId="40028E36" w14:textId="77777777" w:rsidR="00894070" w:rsidRDefault="009B7AFD">
      <w:pPr>
        <w:pStyle w:val="Heading8"/>
        <w:spacing w:before="48"/>
        <w:ind w:left="1007"/>
      </w:pPr>
      <w:r>
        <w:rPr>
          <w:color w:val="231F20"/>
        </w:rPr>
        <w:t>Guidance on sentencing should be introduced</w:t>
      </w:r>
    </w:p>
    <w:p w14:paraId="3D168116" w14:textId="77777777" w:rsidR="00894070" w:rsidRDefault="009B7AFD">
      <w:pPr>
        <w:pStyle w:val="ListParagraph"/>
        <w:numPr>
          <w:ilvl w:val="1"/>
          <w:numId w:val="29"/>
        </w:numPr>
        <w:tabs>
          <w:tab w:val="left" w:pos="1801"/>
          <w:tab w:val="left" w:pos="1802"/>
        </w:tabs>
        <w:spacing w:before="127" w:line="206" w:lineRule="auto"/>
        <w:ind w:right="1375"/>
        <w:rPr>
          <w:sz w:val="20"/>
        </w:rPr>
      </w:pPr>
      <w:r>
        <w:rPr>
          <w:color w:val="231F20"/>
          <w:sz w:val="20"/>
        </w:rPr>
        <w:t xml:space="preserve">While </w:t>
      </w:r>
      <w:r>
        <w:rPr>
          <w:color w:val="231F20"/>
          <w:spacing w:val="-3"/>
          <w:sz w:val="20"/>
        </w:rPr>
        <w:t xml:space="preserve">we </w:t>
      </w:r>
      <w:r>
        <w:rPr>
          <w:color w:val="231F20"/>
          <w:sz w:val="20"/>
        </w:rPr>
        <w:t>acknowledge the sentiment of some victim survivors and members of the public</w:t>
      </w:r>
      <w:r>
        <w:rPr>
          <w:color w:val="231F20"/>
          <w:spacing w:val="-9"/>
          <w:sz w:val="20"/>
        </w:rPr>
        <w:t xml:space="preserve"> </w:t>
      </w:r>
      <w:r>
        <w:rPr>
          <w:color w:val="231F20"/>
          <w:sz w:val="20"/>
        </w:rPr>
        <w:t>on</w:t>
      </w:r>
      <w:r>
        <w:rPr>
          <w:color w:val="231F20"/>
          <w:spacing w:val="-8"/>
          <w:sz w:val="20"/>
        </w:rPr>
        <w:t xml:space="preserve"> </w:t>
      </w:r>
      <w:r>
        <w:rPr>
          <w:color w:val="231F20"/>
          <w:sz w:val="20"/>
        </w:rPr>
        <w:t>this</w:t>
      </w:r>
      <w:r>
        <w:rPr>
          <w:color w:val="231F20"/>
          <w:spacing w:val="-8"/>
          <w:sz w:val="20"/>
        </w:rPr>
        <w:t xml:space="preserve"> </w:t>
      </w:r>
      <w:r>
        <w:rPr>
          <w:color w:val="231F20"/>
          <w:sz w:val="20"/>
        </w:rPr>
        <w:t>issue,</w:t>
      </w:r>
      <w:r>
        <w:rPr>
          <w:color w:val="231F20"/>
          <w:spacing w:val="-8"/>
          <w:sz w:val="20"/>
        </w:rPr>
        <w:t xml:space="preserve"> </w:t>
      </w:r>
      <w:r>
        <w:rPr>
          <w:color w:val="231F20"/>
          <w:sz w:val="20"/>
        </w:rPr>
        <w:t>changes</w:t>
      </w:r>
      <w:r>
        <w:rPr>
          <w:color w:val="231F20"/>
          <w:spacing w:val="-9"/>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maximum</w:t>
      </w:r>
      <w:r>
        <w:rPr>
          <w:color w:val="231F20"/>
          <w:spacing w:val="-8"/>
          <w:sz w:val="20"/>
        </w:rPr>
        <w:t xml:space="preserve"> </w:t>
      </w:r>
      <w:r>
        <w:rPr>
          <w:color w:val="231F20"/>
          <w:spacing w:val="-2"/>
          <w:sz w:val="20"/>
        </w:rPr>
        <w:t>sentence</w:t>
      </w:r>
      <w:r>
        <w:rPr>
          <w:color w:val="231F20"/>
          <w:spacing w:val="-9"/>
          <w:sz w:val="20"/>
        </w:rPr>
        <w:t xml:space="preserve"> </w:t>
      </w:r>
      <w:r>
        <w:rPr>
          <w:color w:val="231F20"/>
          <w:spacing w:val="-3"/>
          <w:sz w:val="20"/>
        </w:rPr>
        <w:t>for</w:t>
      </w:r>
      <w:r>
        <w:rPr>
          <w:color w:val="231F20"/>
          <w:spacing w:val="-8"/>
          <w:sz w:val="20"/>
        </w:rPr>
        <w:t xml:space="preserve"> </w:t>
      </w:r>
      <w:r>
        <w:rPr>
          <w:color w:val="231F20"/>
          <w:sz w:val="20"/>
        </w:rPr>
        <w:t>stalking</w:t>
      </w:r>
      <w:r>
        <w:rPr>
          <w:color w:val="231F20"/>
          <w:spacing w:val="-8"/>
          <w:sz w:val="20"/>
        </w:rPr>
        <w:t xml:space="preserve"> </w:t>
      </w:r>
      <w:r>
        <w:rPr>
          <w:color w:val="231F20"/>
          <w:sz w:val="20"/>
        </w:rPr>
        <w:t>in</w:t>
      </w:r>
      <w:r>
        <w:rPr>
          <w:color w:val="231F20"/>
          <w:spacing w:val="-8"/>
          <w:sz w:val="20"/>
        </w:rPr>
        <w:t xml:space="preserve"> </w:t>
      </w:r>
      <w:r>
        <w:rPr>
          <w:color w:val="231F20"/>
          <w:sz w:val="20"/>
        </w:rPr>
        <w:t>Victoria</w:t>
      </w:r>
      <w:r>
        <w:rPr>
          <w:color w:val="231F20"/>
          <w:spacing w:val="-8"/>
          <w:sz w:val="20"/>
        </w:rPr>
        <w:t xml:space="preserve"> </w:t>
      </w:r>
      <w:r>
        <w:rPr>
          <w:color w:val="231F20"/>
          <w:spacing w:val="-3"/>
          <w:sz w:val="20"/>
        </w:rPr>
        <w:t>are</w:t>
      </w:r>
      <w:r>
        <w:rPr>
          <w:color w:val="231F20"/>
          <w:spacing w:val="-9"/>
          <w:sz w:val="20"/>
        </w:rPr>
        <w:t xml:space="preserve"> </w:t>
      </w:r>
      <w:r>
        <w:rPr>
          <w:color w:val="231F20"/>
          <w:sz w:val="20"/>
        </w:rPr>
        <w:t>not needed.</w:t>
      </w:r>
    </w:p>
    <w:p w14:paraId="2363102C" w14:textId="77777777" w:rsidR="00894070" w:rsidRDefault="009B7AFD">
      <w:pPr>
        <w:pStyle w:val="ListParagraph"/>
        <w:numPr>
          <w:ilvl w:val="1"/>
          <w:numId w:val="29"/>
        </w:numPr>
        <w:tabs>
          <w:tab w:val="left" w:pos="1801"/>
          <w:tab w:val="left" w:pos="1802"/>
        </w:tabs>
        <w:spacing w:before="124" w:line="206" w:lineRule="auto"/>
        <w:ind w:right="1503"/>
        <w:rPr>
          <w:sz w:val="20"/>
        </w:rPr>
      </w:pPr>
      <w:r>
        <w:rPr>
          <w:color w:val="231F20"/>
          <w:sz w:val="20"/>
        </w:rPr>
        <w:t>Stalking</w:t>
      </w:r>
      <w:r>
        <w:rPr>
          <w:color w:val="231F20"/>
          <w:spacing w:val="-9"/>
          <w:sz w:val="20"/>
        </w:rPr>
        <w:t xml:space="preserve"> </w:t>
      </w:r>
      <w:r>
        <w:rPr>
          <w:color w:val="231F20"/>
          <w:sz w:val="20"/>
        </w:rPr>
        <w:t>has</w:t>
      </w:r>
      <w:r>
        <w:rPr>
          <w:color w:val="231F20"/>
          <w:spacing w:val="-9"/>
          <w:sz w:val="20"/>
        </w:rPr>
        <w:t xml:space="preserve"> </w:t>
      </w:r>
      <w:r>
        <w:rPr>
          <w:color w:val="231F20"/>
          <w:sz w:val="20"/>
        </w:rPr>
        <w:t>a</w:t>
      </w:r>
      <w:r>
        <w:rPr>
          <w:color w:val="231F20"/>
          <w:spacing w:val="-9"/>
          <w:sz w:val="20"/>
        </w:rPr>
        <w:t xml:space="preserve"> </w:t>
      </w:r>
      <w:r>
        <w:rPr>
          <w:color w:val="231F20"/>
          <w:sz w:val="20"/>
        </w:rPr>
        <w:t>high</w:t>
      </w:r>
      <w:r>
        <w:rPr>
          <w:color w:val="231F20"/>
          <w:spacing w:val="-9"/>
          <w:sz w:val="20"/>
        </w:rPr>
        <w:t xml:space="preserve"> </w:t>
      </w:r>
      <w:r>
        <w:rPr>
          <w:color w:val="231F20"/>
          <w:sz w:val="20"/>
        </w:rPr>
        <w:t>penalty</w:t>
      </w:r>
      <w:r>
        <w:rPr>
          <w:color w:val="231F20"/>
          <w:spacing w:val="-9"/>
          <w:sz w:val="20"/>
        </w:rPr>
        <w:t xml:space="preserve"> </w:t>
      </w:r>
      <w:r>
        <w:rPr>
          <w:color w:val="231F20"/>
          <w:sz w:val="20"/>
        </w:rPr>
        <w:t>in</w:t>
      </w:r>
      <w:r>
        <w:rPr>
          <w:color w:val="231F20"/>
          <w:spacing w:val="-9"/>
          <w:sz w:val="20"/>
        </w:rPr>
        <w:t xml:space="preserve"> </w:t>
      </w:r>
      <w:r>
        <w:rPr>
          <w:color w:val="231F20"/>
          <w:sz w:val="20"/>
        </w:rPr>
        <w:t>Victoria.</w:t>
      </w:r>
      <w:r>
        <w:rPr>
          <w:color w:val="231F20"/>
          <w:spacing w:val="-9"/>
          <w:sz w:val="20"/>
        </w:rPr>
        <w:t xml:space="preserve"> </w:t>
      </w:r>
      <w:r>
        <w:rPr>
          <w:color w:val="231F20"/>
          <w:sz w:val="20"/>
        </w:rPr>
        <w:t>Other</w:t>
      </w:r>
      <w:r>
        <w:rPr>
          <w:color w:val="231F20"/>
          <w:spacing w:val="-9"/>
          <w:sz w:val="20"/>
        </w:rPr>
        <w:t xml:space="preserve"> </w:t>
      </w:r>
      <w:r>
        <w:rPr>
          <w:color w:val="231F20"/>
          <w:sz w:val="20"/>
        </w:rPr>
        <w:t>things</w:t>
      </w:r>
      <w:r>
        <w:rPr>
          <w:color w:val="231F20"/>
          <w:spacing w:val="-9"/>
          <w:sz w:val="20"/>
        </w:rPr>
        <w:t xml:space="preserve"> </w:t>
      </w:r>
      <w:r>
        <w:rPr>
          <w:color w:val="231F20"/>
          <w:spacing w:val="-3"/>
          <w:sz w:val="20"/>
        </w:rPr>
        <w:t>we</w:t>
      </w:r>
      <w:r>
        <w:rPr>
          <w:color w:val="231F20"/>
          <w:spacing w:val="-9"/>
          <w:sz w:val="20"/>
        </w:rPr>
        <w:t xml:space="preserve"> </w:t>
      </w:r>
      <w:r>
        <w:rPr>
          <w:color w:val="231F20"/>
          <w:spacing w:val="-4"/>
          <w:sz w:val="20"/>
        </w:rPr>
        <w:t>have</w:t>
      </w:r>
      <w:r>
        <w:rPr>
          <w:color w:val="231F20"/>
          <w:spacing w:val="-9"/>
          <w:sz w:val="20"/>
        </w:rPr>
        <w:t xml:space="preserve"> </w:t>
      </w:r>
      <w:r>
        <w:rPr>
          <w:color w:val="231F20"/>
          <w:sz w:val="20"/>
        </w:rPr>
        <w:t>recommended</w:t>
      </w:r>
      <w:r>
        <w:rPr>
          <w:color w:val="231F20"/>
          <w:spacing w:val="-9"/>
          <w:sz w:val="20"/>
        </w:rPr>
        <w:t xml:space="preserve"> </w:t>
      </w:r>
      <w:r>
        <w:rPr>
          <w:color w:val="231F20"/>
          <w:sz w:val="20"/>
        </w:rPr>
        <w:t>such</w:t>
      </w:r>
      <w:r>
        <w:rPr>
          <w:color w:val="231F20"/>
          <w:spacing w:val="-9"/>
          <w:sz w:val="20"/>
        </w:rPr>
        <w:t xml:space="preserve"> </w:t>
      </w:r>
      <w:r>
        <w:rPr>
          <w:color w:val="231F20"/>
          <w:sz w:val="20"/>
        </w:rPr>
        <w:t xml:space="preserve">as </w:t>
      </w:r>
      <w:r>
        <w:rPr>
          <w:color w:val="231F20"/>
          <w:spacing w:val="-3"/>
          <w:sz w:val="20"/>
        </w:rPr>
        <w:t>early</w:t>
      </w:r>
      <w:r>
        <w:rPr>
          <w:color w:val="231F20"/>
          <w:spacing w:val="-7"/>
          <w:sz w:val="20"/>
        </w:rPr>
        <w:t xml:space="preserve"> </w:t>
      </w:r>
      <w:r>
        <w:rPr>
          <w:color w:val="231F20"/>
          <w:spacing w:val="-2"/>
          <w:sz w:val="20"/>
        </w:rPr>
        <w:t>intervention</w:t>
      </w:r>
      <w:r>
        <w:rPr>
          <w:color w:val="231F20"/>
          <w:spacing w:val="-6"/>
          <w:sz w:val="20"/>
        </w:rPr>
        <w:t xml:space="preserve"> </w:t>
      </w:r>
      <w:r>
        <w:rPr>
          <w:color w:val="231F20"/>
          <w:spacing w:val="-3"/>
          <w:sz w:val="20"/>
        </w:rPr>
        <w:t>are</w:t>
      </w:r>
      <w:r>
        <w:rPr>
          <w:color w:val="231F20"/>
          <w:spacing w:val="-6"/>
          <w:sz w:val="20"/>
        </w:rPr>
        <w:t xml:space="preserve"> </w:t>
      </w:r>
      <w:r>
        <w:rPr>
          <w:color w:val="231F20"/>
          <w:sz w:val="20"/>
        </w:rPr>
        <w:t>more</w:t>
      </w:r>
      <w:r>
        <w:rPr>
          <w:color w:val="231F20"/>
          <w:spacing w:val="-6"/>
          <w:sz w:val="20"/>
        </w:rPr>
        <w:t xml:space="preserve"> </w:t>
      </w:r>
      <w:r>
        <w:rPr>
          <w:color w:val="231F20"/>
          <w:spacing w:val="-3"/>
          <w:sz w:val="20"/>
        </w:rPr>
        <w:t>likely</w:t>
      </w:r>
      <w:r>
        <w:rPr>
          <w:color w:val="231F20"/>
          <w:spacing w:val="-7"/>
          <w:sz w:val="20"/>
        </w:rPr>
        <w:t xml:space="preserve"> </w:t>
      </w:r>
      <w:r>
        <w:rPr>
          <w:color w:val="231F20"/>
          <w:sz w:val="20"/>
        </w:rPr>
        <w:t>to</w:t>
      </w:r>
      <w:r>
        <w:rPr>
          <w:color w:val="231F20"/>
          <w:spacing w:val="-6"/>
          <w:sz w:val="20"/>
        </w:rPr>
        <w:t xml:space="preserve"> </w:t>
      </w:r>
      <w:r>
        <w:rPr>
          <w:color w:val="231F20"/>
          <w:spacing w:val="-3"/>
          <w:sz w:val="20"/>
        </w:rPr>
        <w:t>achieve</w:t>
      </w:r>
      <w:r>
        <w:rPr>
          <w:color w:val="231F20"/>
          <w:spacing w:val="-6"/>
          <w:sz w:val="20"/>
        </w:rPr>
        <w:t xml:space="preserve"> </w:t>
      </w:r>
      <w:r>
        <w:rPr>
          <w:color w:val="231F20"/>
          <w:sz w:val="20"/>
        </w:rPr>
        <w:t>the</w:t>
      </w:r>
      <w:r>
        <w:rPr>
          <w:color w:val="231F20"/>
          <w:spacing w:val="-6"/>
          <w:sz w:val="20"/>
        </w:rPr>
        <w:t xml:space="preserve"> </w:t>
      </w:r>
      <w:r>
        <w:rPr>
          <w:color w:val="231F20"/>
          <w:sz w:val="20"/>
        </w:rPr>
        <w:t>aims</w:t>
      </w:r>
      <w:r>
        <w:rPr>
          <w:color w:val="231F20"/>
          <w:spacing w:val="-7"/>
          <w:sz w:val="20"/>
        </w:rPr>
        <w:t xml:space="preserve"> </w:t>
      </w:r>
      <w:r>
        <w:rPr>
          <w:color w:val="231F20"/>
          <w:sz w:val="20"/>
        </w:rPr>
        <w:t>of</w:t>
      </w:r>
      <w:r>
        <w:rPr>
          <w:color w:val="231F20"/>
          <w:spacing w:val="-6"/>
          <w:sz w:val="20"/>
        </w:rPr>
        <w:t xml:space="preserve"> </w:t>
      </w:r>
      <w:r>
        <w:rPr>
          <w:color w:val="231F20"/>
          <w:sz w:val="20"/>
        </w:rPr>
        <w:t>stopping</w:t>
      </w:r>
      <w:r>
        <w:rPr>
          <w:color w:val="231F20"/>
          <w:spacing w:val="-6"/>
          <w:sz w:val="20"/>
        </w:rPr>
        <w:t xml:space="preserve"> </w:t>
      </w:r>
      <w:r>
        <w:rPr>
          <w:color w:val="231F20"/>
          <w:sz w:val="20"/>
        </w:rPr>
        <w:t>stalking</w:t>
      </w:r>
      <w:r>
        <w:rPr>
          <w:color w:val="231F20"/>
          <w:spacing w:val="-6"/>
          <w:sz w:val="20"/>
        </w:rPr>
        <w:t xml:space="preserve"> </w:t>
      </w:r>
      <w:r>
        <w:rPr>
          <w:color w:val="231F20"/>
          <w:spacing w:val="-3"/>
          <w:sz w:val="20"/>
        </w:rPr>
        <w:t>behaviour.</w:t>
      </w:r>
    </w:p>
    <w:p w14:paraId="2A702008" w14:textId="77777777" w:rsidR="00894070" w:rsidRDefault="009B7AFD">
      <w:pPr>
        <w:pStyle w:val="ListParagraph"/>
        <w:numPr>
          <w:ilvl w:val="1"/>
          <w:numId w:val="29"/>
        </w:numPr>
        <w:tabs>
          <w:tab w:val="left" w:pos="1801"/>
          <w:tab w:val="left" w:pos="1802"/>
        </w:tabs>
        <w:spacing w:before="123" w:line="206" w:lineRule="auto"/>
        <w:ind w:right="1324"/>
        <w:rPr>
          <w:sz w:val="11"/>
        </w:rPr>
      </w:pPr>
      <w:r>
        <w:rPr>
          <w:color w:val="231F20"/>
          <w:spacing w:val="-5"/>
          <w:sz w:val="20"/>
        </w:rPr>
        <w:t xml:space="preserve">However, </w:t>
      </w:r>
      <w:r>
        <w:rPr>
          <w:color w:val="231F20"/>
          <w:sz w:val="20"/>
        </w:rPr>
        <w:t xml:space="preserve">the Sentencing Advisory Council noted that </w:t>
      </w:r>
      <w:r>
        <w:rPr>
          <w:color w:val="231F20"/>
          <w:spacing w:val="-3"/>
          <w:sz w:val="20"/>
        </w:rPr>
        <w:t xml:space="preserve">Magistrates’ </w:t>
      </w:r>
      <w:r>
        <w:rPr>
          <w:color w:val="231F20"/>
          <w:sz w:val="20"/>
        </w:rPr>
        <w:t xml:space="preserve">Courts </w:t>
      </w:r>
      <w:r>
        <w:rPr>
          <w:color w:val="231F20"/>
          <w:spacing w:val="-3"/>
          <w:sz w:val="20"/>
        </w:rPr>
        <w:t xml:space="preserve">now </w:t>
      </w:r>
      <w:r>
        <w:rPr>
          <w:color w:val="231F20"/>
          <w:spacing w:val="-4"/>
          <w:sz w:val="20"/>
        </w:rPr>
        <w:t xml:space="preserve">have </w:t>
      </w:r>
      <w:r>
        <w:rPr>
          <w:color w:val="231F20"/>
          <w:sz w:val="20"/>
        </w:rPr>
        <w:t>significant</w:t>
      </w:r>
      <w:r>
        <w:rPr>
          <w:color w:val="231F20"/>
          <w:spacing w:val="-14"/>
          <w:sz w:val="20"/>
        </w:rPr>
        <w:t xml:space="preserve"> </w:t>
      </w:r>
      <w:r>
        <w:rPr>
          <w:color w:val="231F20"/>
          <w:sz w:val="20"/>
        </w:rPr>
        <w:t>guidance</w:t>
      </w:r>
      <w:r>
        <w:rPr>
          <w:color w:val="231F20"/>
          <w:spacing w:val="-13"/>
          <w:sz w:val="20"/>
        </w:rPr>
        <w:t xml:space="preserve"> </w:t>
      </w:r>
      <w:r>
        <w:rPr>
          <w:color w:val="231F20"/>
          <w:sz w:val="20"/>
        </w:rPr>
        <w:t>about</w:t>
      </w:r>
      <w:r>
        <w:rPr>
          <w:color w:val="231F20"/>
          <w:spacing w:val="-14"/>
          <w:sz w:val="20"/>
        </w:rPr>
        <w:t xml:space="preserve"> </w:t>
      </w:r>
      <w:r>
        <w:rPr>
          <w:color w:val="231F20"/>
          <w:sz w:val="20"/>
        </w:rPr>
        <w:t>sentencing</w:t>
      </w:r>
      <w:r>
        <w:rPr>
          <w:color w:val="231F20"/>
          <w:spacing w:val="-13"/>
          <w:sz w:val="20"/>
        </w:rPr>
        <w:t xml:space="preserve"> </w:t>
      </w:r>
      <w:r>
        <w:rPr>
          <w:color w:val="231F20"/>
          <w:sz w:val="20"/>
        </w:rPr>
        <w:t>breaches</w:t>
      </w:r>
      <w:r>
        <w:rPr>
          <w:color w:val="231F20"/>
          <w:spacing w:val="-14"/>
          <w:sz w:val="20"/>
        </w:rPr>
        <w:t xml:space="preserve"> </w:t>
      </w:r>
      <w:r>
        <w:rPr>
          <w:color w:val="231F20"/>
          <w:sz w:val="20"/>
        </w:rPr>
        <w:t>of</w:t>
      </w:r>
      <w:r>
        <w:rPr>
          <w:color w:val="231F20"/>
          <w:spacing w:val="-13"/>
          <w:sz w:val="20"/>
        </w:rPr>
        <w:t xml:space="preserve"> </w:t>
      </w:r>
      <w:r>
        <w:rPr>
          <w:color w:val="231F20"/>
          <w:spacing w:val="-3"/>
          <w:sz w:val="20"/>
        </w:rPr>
        <w:t>family</w:t>
      </w:r>
      <w:r>
        <w:rPr>
          <w:color w:val="231F20"/>
          <w:spacing w:val="-14"/>
          <w:sz w:val="20"/>
        </w:rPr>
        <w:t xml:space="preserve"> </w:t>
      </w:r>
      <w:r>
        <w:rPr>
          <w:color w:val="231F20"/>
          <w:sz w:val="20"/>
        </w:rPr>
        <w:t>violence</w:t>
      </w:r>
      <w:r>
        <w:rPr>
          <w:color w:val="231F20"/>
          <w:spacing w:val="-13"/>
          <w:sz w:val="20"/>
        </w:rPr>
        <w:t xml:space="preserve"> </w:t>
      </w:r>
      <w:r>
        <w:rPr>
          <w:color w:val="231F20"/>
          <w:spacing w:val="-2"/>
          <w:sz w:val="20"/>
        </w:rPr>
        <w:t>intervention</w:t>
      </w:r>
      <w:r>
        <w:rPr>
          <w:color w:val="231F20"/>
          <w:spacing w:val="-14"/>
          <w:sz w:val="20"/>
        </w:rPr>
        <w:t xml:space="preserve"> </w:t>
      </w:r>
      <w:r>
        <w:rPr>
          <w:color w:val="231F20"/>
          <w:sz w:val="20"/>
        </w:rPr>
        <w:t>orders (FVIOs) and safety notices</w:t>
      </w:r>
      <w:r>
        <w:rPr>
          <w:color w:val="231F20"/>
          <w:spacing w:val="-18"/>
          <w:sz w:val="20"/>
        </w:rPr>
        <w:t xml:space="preserve"> </w:t>
      </w:r>
      <w:r>
        <w:rPr>
          <w:color w:val="231F20"/>
          <w:sz w:val="20"/>
        </w:rPr>
        <w:t>(FVSNs).</w:t>
      </w:r>
      <w:r>
        <w:rPr>
          <w:color w:val="231F20"/>
          <w:position w:val="7"/>
          <w:sz w:val="11"/>
        </w:rPr>
        <w:t>226</w:t>
      </w:r>
    </w:p>
    <w:p w14:paraId="2A89A7A7" w14:textId="77777777" w:rsidR="00894070" w:rsidRDefault="009B7AFD">
      <w:pPr>
        <w:pStyle w:val="ListParagraph"/>
        <w:numPr>
          <w:ilvl w:val="1"/>
          <w:numId w:val="29"/>
        </w:numPr>
        <w:tabs>
          <w:tab w:val="left" w:pos="1801"/>
          <w:tab w:val="left" w:pos="1802"/>
        </w:tabs>
        <w:spacing w:before="124" w:line="206" w:lineRule="auto"/>
        <w:ind w:right="1165"/>
        <w:rPr>
          <w:sz w:val="20"/>
        </w:rPr>
      </w:pPr>
      <w:r>
        <w:rPr>
          <w:color w:val="231F20"/>
          <w:sz w:val="20"/>
        </w:rPr>
        <w:t>In contrast, there is less guidance on sentencing breaches of PSIOs. Although some of the</w:t>
      </w:r>
      <w:r>
        <w:rPr>
          <w:color w:val="231F20"/>
          <w:spacing w:val="-11"/>
          <w:sz w:val="20"/>
        </w:rPr>
        <w:t xml:space="preserve"> </w:t>
      </w:r>
      <w:r>
        <w:rPr>
          <w:color w:val="231F20"/>
          <w:spacing w:val="-3"/>
          <w:sz w:val="20"/>
        </w:rPr>
        <w:t>family</w:t>
      </w:r>
      <w:r>
        <w:rPr>
          <w:color w:val="231F20"/>
          <w:spacing w:val="-11"/>
          <w:sz w:val="20"/>
        </w:rPr>
        <w:t xml:space="preserve"> </w:t>
      </w:r>
      <w:r>
        <w:rPr>
          <w:color w:val="231F20"/>
          <w:sz w:val="20"/>
        </w:rPr>
        <w:t>violence-specific</w:t>
      </w:r>
      <w:r>
        <w:rPr>
          <w:color w:val="231F20"/>
          <w:spacing w:val="-11"/>
          <w:sz w:val="20"/>
        </w:rPr>
        <w:t xml:space="preserve"> </w:t>
      </w:r>
      <w:r>
        <w:rPr>
          <w:color w:val="231F20"/>
          <w:sz w:val="20"/>
        </w:rPr>
        <w:t>guidance</w:t>
      </w:r>
      <w:r>
        <w:rPr>
          <w:color w:val="231F20"/>
          <w:spacing w:val="-10"/>
          <w:sz w:val="20"/>
        </w:rPr>
        <w:t xml:space="preserve"> </w:t>
      </w:r>
      <w:r>
        <w:rPr>
          <w:color w:val="231F20"/>
          <w:spacing w:val="-3"/>
          <w:sz w:val="20"/>
        </w:rPr>
        <w:t>may</w:t>
      </w:r>
      <w:r>
        <w:rPr>
          <w:color w:val="231F20"/>
          <w:spacing w:val="-11"/>
          <w:sz w:val="20"/>
        </w:rPr>
        <w:t xml:space="preserve"> </w:t>
      </w:r>
      <w:r>
        <w:rPr>
          <w:color w:val="231F20"/>
          <w:sz w:val="20"/>
        </w:rPr>
        <w:t>be</w:t>
      </w:r>
      <w:r>
        <w:rPr>
          <w:color w:val="231F20"/>
          <w:spacing w:val="-11"/>
          <w:sz w:val="20"/>
        </w:rPr>
        <w:t xml:space="preserve"> </w:t>
      </w:r>
      <w:r>
        <w:rPr>
          <w:color w:val="231F20"/>
          <w:spacing w:val="-3"/>
          <w:sz w:val="20"/>
        </w:rPr>
        <w:t>relevant</w:t>
      </w:r>
      <w:r>
        <w:rPr>
          <w:color w:val="231F20"/>
          <w:spacing w:val="-11"/>
          <w:sz w:val="20"/>
        </w:rPr>
        <w:t xml:space="preserve"> </w:t>
      </w:r>
      <w:r>
        <w:rPr>
          <w:color w:val="231F20"/>
          <w:sz w:val="20"/>
        </w:rPr>
        <w:t>to</w:t>
      </w:r>
      <w:r>
        <w:rPr>
          <w:color w:val="231F20"/>
          <w:spacing w:val="-10"/>
          <w:sz w:val="20"/>
        </w:rPr>
        <w:t xml:space="preserve"> </w:t>
      </w:r>
      <w:r>
        <w:rPr>
          <w:color w:val="231F20"/>
          <w:sz w:val="20"/>
        </w:rPr>
        <w:t>sentencing</w:t>
      </w:r>
      <w:r>
        <w:rPr>
          <w:color w:val="231F20"/>
          <w:spacing w:val="-11"/>
          <w:sz w:val="20"/>
        </w:rPr>
        <w:t xml:space="preserve"> </w:t>
      </w:r>
      <w:r>
        <w:rPr>
          <w:color w:val="231F20"/>
          <w:sz w:val="20"/>
        </w:rPr>
        <w:t>breaches</w:t>
      </w:r>
      <w:r>
        <w:rPr>
          <w:color w:val="231F20"/>
          <w:spacing w:val="-11"/>
          <w:sz w:val="20"/>
        </w:rPr>
        <w:t xml:space="preserve"> </w:t>
      </w:r>
      <w:r>
        <w:rPr>
          <w:color w:val="231F20"/>
          <w:sz w:val="20"/>
        </w:rPr>
        <w:t>of</w:t>
      </w:r>
      <w:r>
        <w:rPr>
          <w:color w:val="231F20"/>
          <w:spacing w:val="-11"/>
          <w:sz w:val="20"/>
        </w:rPr>
        <w:t xml:space="preserve"> </w:t>
      </w:r>
      <w:r>
        <w:rPr>
          <w:color w:val="231F20"/>
          <w:sz w:val="20"/>
        </w:rPr>
        <w:t xml:space="preserve">PSIOs </w:t>
      </w:r>
      <w:r>
        <w:rPr>
          <w:color w:val="231F20"/>
          <w:spacing w:val="-3"/>
          <w:sz w:val="20"/>
        </w:rPr>
        <w:t>(especially</w:t>
      </w:r>
      <w:r>
        <w:rPr>
          <w:color w:val="231F20"/>
          <w:spacing w:val="-9"/>
          <w:sz w:val="20"/>
        </w:rPr>
        <w:t xml:space="preserve"> </w:t>
      </w:r>
      <w:r>
        <w:rPr>
          <w:color w:val="231F20"/>
          <w:sz w:val="20"/>
        </w:rPr>
        <w:t>where</w:t>
      </w:r>
      <w:r>
        <w:rPr>
          <w:color w:val="231F20"/>
          <w:spacing w:val="-9"/>
          <w:sz w:val="20"/>
        </w:rPr>
        <w:t xml:space="preserve"> </w:t>
      </w:r>
      <w:r>
        <w:rPr>
          <w:color w:val="231F20"/>
          <w:sz w:val="20"/>
        </w:rPr>
        <w:t>they</w:t>
      </w:r>
      <w:r>
        <w:rPr>
          <w:color w:val="231F20"/>
          <w:spacing w:val="-9"/>
          <w:sz w:val="20"/>
        </w:rPr>
        <w:t xml:space="preserve"> </w:t>
      </w:r>
      <w:r>
        <w:rPr>
          <w:color w:val="231F20"/>
          <w:spacing w:val="-5"/>
          <w:sz w:val="20"/>
        </w:rPr>
        <w:t>involve</w:t>
      </w:r>
      <w:r>
        <w:rPr>
          <w:color w:val="231F20"/>
          <w:spacing w:val="-9"/>
          <w:sz w:val="20"/>
        </w:rPr>
        <w:t xml:space="preserve"> </w:t>
      </w:r>
      <w:r>
        <w:rPr>
          <w:color w:val="231F20"/>
          <w:spacing w:val="-3"/>
          <w:sz w:val="20"/>
        </w:rPr>
        <w:t>family</w:t>
      </w:r>
      <w:r>
        <w:rPr>
          <w:color w:val="231F20"/>
          <w:spacing w:val="-9"/>
          <w:sz w:val="20"/>
        </w:rPr>
        <w:t xml:space="preserve"> </w:t>
      </w:r>
      <w:r>
        <w:rPr>
          <w:color w:val="231F20"/>
          <w:spacing w:val="-3"/>
          <w:sz w:val="20"/>
        </w:rPr>
        <w:t>violence),</w:t>
      </w:r>
      <w:r>
        <w:rPr>
          <w:color w:val="231F20"/>
          <w:spacing w:val="-9"/>
          <w:sz w:val="20"/>
        </w:rPr>
        <w:t xml:space="preserve"> </w:t>
      </w:r>
      <w:r>
        <w:rPr>
          <w:color w:val="231F20"/>
          <w:sz w:val="20"/>
        </w:rPr>
        <w:t>they</w:t>
      </w:r>
      <w:r>
        <w:rPr>
          <w:color w:val="231F20"/>
          <w:spacing w:val="-9"/>
          <w:sz w:val="20"/>
        </w:rPr>
        <w:t xml:space="preserve"> </w:t>
      </w:r>
      <w:r>
        <w:rPr>
          <w:color w:val="231F20"/>
          <w:spacing w:val="-3"/>
          <w:sz w:val="20"/>
        </w:rPr>
        <w:t>are</w:t>
      </w:r>
      <w:r>
        <w:rPr>
          <w:color w:val="231F20"/>
          <w:spacing w:val="-9"/>
          <w:sz w:val="20"/>
        </w:rPr>
        <w:t xml:space="preserve"> </w:t>
      </w:r>
      <w:r>
        <w:rPr>
          <w:color w:val="231F20"/>
          <w:sz w:val="20"/>
        </w:rPr>
        <w:t>typically</w:t>
      </w:r>
      <w:r>
        <w:rPr>
          <w:color w:val="231F20"/>
          <w:spacing w:val="-9"/>
          <w:sz w:val="20"/>
        </w:rPr>
        <w:t xml:space="preserve"> </w:t>
      </w:r>
      <w:r>
        <w:rPr>
          <w:color w:val="231F20"/>
          <w:sz w:val="20"/>
        </w:rPr>
        <w:t>directed</w:t>
      </w:r>
      <w:r>
        <w:rPr>
          <w:color w:val="231F20"/>
          <w:spacing w:val="-9"/>
          <w:sz w:val="20"/>
        </w:rPr>
        <w:t xml:space="preserve"> </w:t>
      </w:r>
      <w:r>
        <w:rPr>
          <w:color w:val="231F20"/>
          <w:sz w:val="20"/>
        </w:rPr>
        <w:t>to</w:t>
      </w:r>
      <w:r>
        <w:rPr>
          <w:color w:val="231F20"/>
          <w:spacing w:val="-9"/>
          <w:sz w:val="20"/>
        </w:rPr>
        <w:t xml:space="preserve"> </w:t>
      </w:r>
      <w:r>
        <w:rPr>
          <w:color w:val="231F20"/>
          <w:sz w:val="20"/>
        </w:rPr>
        <w:t>the</w:t>
      </w:r>
      <w:r>
        <w:rPr>
          <w:color w:val="231F20"/>
          <w:spacing w:val="-8"/>
          <w:sz w:val="20"/>
        </w:rPr>
        <w:t xml:space="preserve"> </w:t>
      </w:r>
      <w:r>
        <w:rPr>
          <w:color w:val="231F20"/>
          <w:sz w:val="20"/>
        </w:rPr>
        <w:t xml:space="preserve">‘unique dynamics of </w:t>
      </w:r>
      <w:r>
        <w:rPr>
          <w:color w:val="231F20"/>
          <w:spacing w:val="-3"/>
          <w:sz w:val="20"/>
        </w:rPr>
        <w:t xml:space="preserve">family violence’ </w:t>
      </w:r>
      <w:r>
        <w:rPr>
          <w:color w:val="231F20"/>
          <w:sz w:val="20"/>
        </w:rPr>
        <w:t xml:space="preserve">and </w:t>
      </w:r>
      <w:r>
        <w:rPr>
          <w:color w:val="231F20"/>
          <w:spacing w:val="-3"/>
          <w:sz w:val="20"/>
        </w:rPr>
        <w:t xml:space="preserve">are </w:t>
      </w:r>
      <w:r>
        <w:rPr>
          <w:color w:val="231F20"/>
          <w:sz w:val="20"/>
        </w:rPr>
        <w:t xml:space="preserve">not </w:t>
      </w:r>
      <w:r>
        <w:rPr>
          <w:color w:val="231F20"/>
          <w:spacing w:val="-4"/>
          <w:sz w:val="20"/>
        </w:rPr>
        <w:t xml:space="preserve">always </w:t>
      </w:r>
      <w:r>
        <w:rPr>
          <w:color w:val="231F20"/>
          <w:sz w:val="20"/>
        </w:rPr>
        <w:t>applicable.</w:t>
      </w:r>
      <w:r>
        <w:rPr>
          <w:color w:val="231F20"/>
          <w:position w:val="7"/>
          <w:sz w:val="11"/>
        </w:rPr>
        <w:t xml:space="preserve">227 </w:t>
      </w:r>
      <w:r>
        <w:rPr>
          <w:color w:val="231F20"/>
          <w:sz w:val="20"/>
        </w:rPr>
        <w:t xml:space="preserve">Given the increasing </w:t>
      </w:r>
      <w:r>
        <w:rPr>
          <w:color w:val="231F20"/>
          <w:spacing w:val="-3"/>
          <w:sz w:val="20"/>
        </w:rPr>
        <w:t>prevalence</w:t>
      </w:r>
      <w:r>
        <w:rPr>
          <w:color w:val="231F20"/>
          <w:spacing w:val="-7"/>
          <w:sz w:val="20"/>
        </w:rPr>
        <w:t xml:space="preserve"> </w:t>
      </w:r>
      <w:r>
        <w:rPr>
          <w:color w:val="231F20"/>
          <w:sz w:val="20"/>
        </w:rPr>
        <w:t>of</w:t>
      </w:r>
      <w:r>
        <w:rPr>
          <w:color w:val="231F20"/>
          <w:spacing w:val="-7"/>
          <w:sz w:val="20"/>
        </w:rPr>
        <w:t xml:space="preserve"> </w:t>
      </w:r>
      <w:r>
        <w:rPr>
          <w:color w:val="231F20"/>
          <w:sz w:val="20"/>
        </w:rPr>
        <w:t>sentenced</w:t>
      </w:r>
      <w:r>
        <w:rPr>
          <w:color w:val="231F20"/>
          <w:spacing w:val="-7"/>
          <w:sz w:val="20"/>
        </w:rPr>
        <w:t xml:space="preserve"> </w:t>
      </w:r>
      <w:r>
        <w:rPr>
          <w:color w:val="231F20"/>
          <w:sz w:val="20"/>
        </w:rPr>
        <w:t>non-family</w:t>
      </w:r>
      <w:r>
        <w:rPr>
          <w:color w:val="231F20"/>
          <w:spacing w:val="-7"/>
          <w:sz w:val="20"/>
        </w:rPr>
        <w:t xml:space="preserve"> </w:t>
      </w:r>
      <w:r>
        <w:rPr>
          <w:color w:val="231F20"/>
          <w:sz w:val="20"/>
        </w:rPr>
        <w:t>violence</w:t>
      </w:r>
      <w:r>
        <w:rPr>
          <w:color w:val="231F20"/>
          <w:spacing w:val="-7"/>
          <w:sz w:val="20"/>
        </w:rPr>
        <w:t xml:space="preserve"> </w:t>
      </w:r>
      <w:r>
        <w:rPr>
          <w:color w:val="231F20"/>
          <w:sz w:val="20"/>
        </w:rPr>
        <w:t>breaches,</w:t>
      </w:r>
      <w:r>
        <w:rPr>
          <w:color w:val="231F20"/>
          <w:spacing w:val="-6"/>
          <w:sz w:val="20"/>
        </w:rPr>
        <w:t xml:space="preserve"> </w:t>
      </w:r>
      <w:r>
        <w:rPr>
          <w:color w:val="231F20"/>
          <w:sz w:val="20"/>
        </w:rPr>
        <w:t>there</w:t>
      </w:r>
      <w:r>
        <w:rPr>
          <w:color w:val="231F20"/>
          <w:spacing w:val="-7"/>
          <w:sz w:val="20"/>
        </w:rPr>
        <w:t xml:space="preserve"> </w:t>
      </w:r>
      <w:r>
        <w:rPr>
          <w:color w:val="231F20"/>
          <w:spacing w:val="-3"/>
          <w:sz w:val="20"/>
        </w:rPr>
        <w:t>may</w:t>
      </w:r>
      <w:r>
        <w:rPr>
          <w:color w:val="231F20"/>
          <w:spacing w:val="-7"/>
          <w:sz w:val="20"/>
        </w:rPr>
        <w:t xml:space="preserve"> </w:t>
      </w:r>
      <w:r>
        <w:rPr>
          <w:color w:val="231F20"/>
          <w:sz w:val="20"/>
        </w:rPr>
        <w:t>be</w:t>
      </w:r>
      <w:r>
        <w:rPr>
          <w:color w:val="231F20"/>
          <w:spacing w:val="-7"/>
          <w:sz w:val="20"/>
        </w:rPr>
        <w:t xml:space="preserve"> </w:t>
      </w:r>
      <w:r>
        <w:rPr>
          <w:color w:val="231F20"/>
          <w:sz w:val="20"/>
        </w:rPr>
        <w:t>a</w:t>
      </w:r>
      <w:r>
        <w:rPr>
          <w:color w:val="231F20"/>
          <w:spacing w:val="-7"/>
          <w:sz w:val="20"/>
        </w:rPr>
        <w:t xml:space="preserve"> </w:t>
      </w:r>
      <w:r>
        <w:rPr>
          <w:color w:val="231F20"/>
          <w:sz w:val="20"/>
        </w:rPr>
        <w:t>need</w:t>
      </w:r>
      <w:r>
        <w:rPr>
          <w:color w:val="231F20"/>
          <w:spacing w:val="-6"/>
          <w:sz w:val="20"/>
        </w:rPr>
        <w:t xml:space="preserve"> </w:t>
      </w:r>
      <w:r>
        <w:rPr>
          <w:color w:val="231F20"/>
          <w:spacing w:val="-3"/>
          <w:sz w:val="20"/>
        </w:rPr>
        <w:t>for</w:t>
      </w:r>
    </w:p>
    <w:p w14:paraId="7DF175D9" w14:textId="77777777" w:rsidR="00894070" w:rsidRDefault="009F6793">
      <w:pPr>
        <w:pStyle w:val="BodyText"/>
        <w:spacing w:before="7"/>
        <w:rPr>
          <w:sz w:val="8"/>
        </w:rPr>
      </w:pPr>
      <w:r>
        <w:pict w14:anchorId="05E28D15">
          <v:line id="_x0000_s1049" style="position:absolute;z-index:251791360;mso-wrap-distance-left:0;mso-wrap-distance-right:0;mso-position-horizontal-relative:page" from="79.35pt,8.35pt" to="515.9pt,8.35pt" strokecolor="#f8cabc" strokeweight="1pt">
            <w10:wrap type="topAndBottom" anchorx="page"/>
          </v:line>
        </w:pict>
      </w:r>
    </w:p>
    <w:p w14:paraId="33431146" w14:textId="77777777" w:rsidR="00894070" w:rsidRDefault="00894070">
      <w:pPr>
        <w:pStyle w:val="BodyText"/>
        <w:rPr>
          <w:sz w:val="5"/>
        </w:rPr>
      </w:pPr>
    </w:p>
    <w:p w14:paraId="2EFA859E" w14:textId="77777777" w:rsidR="00894070" w:rsidRDefault="00894070">
      <w:pPr>
        <w:rPr>
          <w:sz w:val="5"/>
        </w:rPr>
        <w:sectPr w:rsidR="00894070">
          <w:pgSz w:w="11910" w:h="16840"/>
          <w:pgMar w:top="840" w:right="420" w:bottom="280" w:left="580" w:header="0" w:footer="0" w:gutter="0"/>
          <w:cols w:space="720"/>
        </w:sectPr>
      </w:pPr>
    </w:p>
    <w:p w14:paraId="5BE4DA69" w14:textId="77777777" w:rsidR="00894070" w:rsidRDefault="009B7AFD">
      <w:pPr>
        <w:pStyle w:val="ListParagraph"/>
        <w:numPr>
          <w:ilvl w:val="0"/>
          <w:numId w:val="17"/>
        </w:numPr>
        <w:tabs>
          <w:tab w:val="left" w:pos="1801"/>
          <w:tab w:val="left" w:pos="1802"/>
        </w:tabs>
        <w:spacing w:before="38" w:line="213" w:lineRule="auto"/>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of Stalking</w:t>
      </w:r>
      <w:r>
        <w:rPr>
          <w:i/>
          <w:color w:val="231F20"/>
          <w:spacing w:val="6"/>
          <w:sz w:val="13"/>
        </w:rPr>
        <w:t xml:space="preserve"> </w:t>
      </w:r>
      <w:r>
        <w:rPr>
          <w:color w:val="231F20"/>
          <w:spacing w:val="2"/>
          <w:sz w:val="13"/>
        </w:rPr>
        <w:t>(Report,</w:t>
      </w:r>
      <w:r>
        <w:rPr>
          <w:color w:val="231F20"/>
          <w:spacing w:val="6"/>
          <w:sz w:val="13"/>
        </w:rPr>
        <w:t xml:space="preserve"> </w:t>
      </w:r>
      <w:r>
        <w:rPr>
          <w:color w:val="231F20"/>
          <w:sz w:val="13"/>
        </w:rPr>
        <w:t>August</w:t>
      </w:r>
      <w:r>
        <w:rPr>
          <w:color w:val="231F20"/>
          <w:spacing w:val="7"/>
          <w:sz w:val="13"/>
        </w:rPr>
        <w:t xml:space="preserve"> </w:t>
      </w:r>
      <w:r>
        <w:rPr>
          <w:color w:val="231F20"/>
          <w:sz w:val="13"/>
        </w:rPr>
        <w:t>2021);</w:t>
      </w:r>
      <w:r>
        <w:rPr>
          <w:color w:val="231F20"/>
          <w:spacing w:val="7"/>
          <w:sz w:val="13"/>
        </w:rPr>
        <w:t xml:space="preserve"> </w:t>
      </w:r>
      <w:r>
        <w:rPr>
          <w:color w:val="231F20"/>
          <w:spacing w:val="2"/>
          <w:sz w:val="13"/>
        </w:rPr>
        <w:t>Submissions</w:t>
      </w:r>
      <w:r>
        <w:rPr>
          <w:color w:val="231F20"/>
          <w:spacing w:val="6"/>
          <w:sz w:val="13"/>
        </w:rPr>
        <w:t xml:space="preserve"> </w:t>
      </w:r>
      <w:r>
        <w:rPr>
          <w:color w:val="231F20"/>
          <w:sz w:val="13"/>
        </w:rPr>
        <w:t>26</w:t>
      </w:r>
      <w:r>
        <w:rPr>
          <w:color w:val="231F20"/>
          <w:spacing w:val="7"/>
          <w:sz w:val="13"/>
        </w:rPr>
        <w:t xml:space="preserve"> </w:t>
      </w:r>
      <w:r>
        <w:rPr>
          <w:color w:val="231F20"/>
          <w:sz w:val="13"/>
        </w:rPr>
        <w:t>(KB),</w:t>
      </w:r>
      <w:r>
        <w:rPr>
          <w:color w:val="231F20"/>
          <w:spacing w:val="6"/>
          <w:sz w:val="13"/>
        </w:rPr>
        <w:t xml:space="preserve"> </w:t>
      </w:r>
      <w:r>
        <w:rPr>
          <w:color w:val="231F20"/>
          <w:sz w:val="13"/>
        </w:rPr>
        <w:t>31</w:t>
      </w:r>
      <w:r>
        <w:rPr>
          <w:color w:val="231F20"/>
          <w:spacing w:val="7"/>
          <w:sz w:val="13"/>
        </w:rPr>
        <w:t xml:space="preserve"> </w:t>
      </w:r>
      <w:r>
        <w:rPr>
          <w:color w:val="231F20"/>
          <w:sz w:val="13"/>
        </w:rPr>
        <w:t>(Name</w:t>
      </w:r>
      <w:r>
        <w:rPr>
          <w:color w:val="231F20"/>
          <w:spacing w:val="6"/>
          <w:sz w:val="13"/>
        </w:rPr>
        <w:t xml:space="preserve"> </w:t>
      </w:r>
      <w:r>
        <w:rPr>
          <w:color w:val="231F20"/>
          <w:sz w:val="13"/>
        </w:rPr>
        <w:t>withheld),</w:t>
      </w:r>
      <w:r>
        <w:rPr>
          <w:color w:val="231F20"/>
          <w:spacing w:val="7"/>
          <w:sz w:val="13"/>
        </w:rPr>
        <w:t xml:space="preserve"> </w:t>
      </w:r>
      <w:r>
        <w:rPr>
          <w:color w:val="231F20"/>
          <w:sz w:val="13"/>
        </w:rPr>
        <w:t>36</w:t>
      </w:r>
      <w:r>
        <w:rPr>
          <w:color w:val="231F20"/>
          <w:spacing w:val="7"/>
          <w:sz w:val="13"/>
        </w:rPr>
        <w:t xml:space="preserve"> </w:t>
      </w:r>
      <w:r>
        <w:rPr>
          <w:color w:val="231F20"/>
          <w:spacing w:val="2"/>
          <w:sz w:val="13"/>
        </w:rPr>
        <w:t>(Ahmad</w:t>
      </w:r>
      <w:r>
        <w:rPr>
          <w:color w:val="231F20"/>
          <w:spacing w:val="6"/>
          <w:sz w:val="13"/>
        </w:rPr>
        <w:t xml:space="preserve"> </w:t>
      </w:r>
      <w:r>
        <w:rPr>
          <w:color w:val="231F20"/>
          <w:sz w:val="13"/>
        </w:rPr>
        <w:t>Masri),</w:t>
      </w:r>
      <w:r>
        <w:rPr>
          <w:color w:val="231F20"/>
          <w:spacing w:val="7"/>
          <w:sz w:val="13"/>
        </w:rPr>
        <w:t xml:space="preserve"> </w:t>
      </w:r>
      <w:r>
        <w:rPr>
          <w:color w:val="231F20"/>
          <w:sz w:val="13"/>
        </w:rPr>
        <w:t>60</w:t>
      </w:r>
      <w:r>
        <w:rPr>
          <w:color w:val="231F20"/>
          <w:spacing w:val="6"/>
          <w:sz w:val="13"/>
        </w:rPr>
        <w:t xml:space="preserve"> </w:t>
      </w:r>
      <w:r>
        <w:rPr>
          <w:color w:val="231F20"/>
          <w:sz w:val="13"/>
        </w:rPr>
        <w:t>(Dianne</w:t>
      </w:r>
      <w:r>
        <w:rPr>
          <w:color w:val="231F20"/>
          <w:spacing w:val="7"/>
          <w:sz w:val="13"/>
        </w:rPr>
        <w:t xml:space="preserve"> </w:t>
      </w:r>
      <w:r>
        <w:rPr>
          <w:color w:val="231F20"/>
          <w:sz w:val="13"/>
        </w:rPr>
        <w:t>Russell),</w:t>
      </w:r>
      <w:r>
        <w:rPr>
          <w:color w:val="231F20"/>
          <w:spacing w:val="6"/>
          <w:sz w:val="13"/>
        </w:rPr>
        <w:t xml:space="preserve"> </w:t>
      </w:r>
      <w:r>
        <w:rPr>
          <w:color w:val="231F20"/>
          <w:sz w:val="13"/>
        </w:rPr>
        <w:t>70</w:t>
      </w:r>
      <w:r>
        <w:rPr>
          <w:color w:val="231F20"/>
          <w:spacing w:val="7"/>
          <w:sz w:val="13"/>
        </w:rPr>
        <w:t xml:space="preserve"> </w:t>
      </w:r>
      <w:r>
        <w:rPr>
          <w:color w:val="231F20"/>
          <w:sz w:val="13"/>
        </w:rPr>
        <w:t>(Di</w:t>
      </w:r>
      <w:r>
        <w:rPr>
          <w:color w:val="231F20"/>
          <w:spacing w:val="7"/>
          <w:sz w:val="13"/>
        </w:rPr>
        <w:t xml:space="preserve"> </w:t>
      </w:r>
      <w:r>
        <w:rPr>
          <w:color w:val="231F20"/>
          <w:sz w:val="13"/>
        </w:rPr>
        <w:t>McDonald).</w:t>
      </w:r>
    </w:p>
    <w:p w14:paraId="759BCA14" w14:textId="77777777" w:rsidR="00894070" w:rsidRDefault="009B7AFD">
      <w:pPr>
        <w:pStyle w:val="ListParagraph"/>
        <w:numPr>
          <w:ilvl w:val="0"/>
          <w:numId w:val="17"/>
        </w:numPr>
        <w:tabs>
          <w:tab w:val="left" w:pos="1800"/>
          <w:tab w:val="left" w:pos="1802"/>
        </w:tabs>
        <w:spacing w:line="213" w:lineRule="auto"/>
        <w:ind w:right="330"/>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74A45C98" w14:textId="77777777" w:rsidR="00894070" w:rsidRDefault="009B7AFD">
      <w:pPr>
        <w:pStyle w:val="ListParagraph"/>
        <w:numPr>
          <w:ilvl w:val="0"/>
          <w:numId w:val="17"/>
        </w:numPr>
        <w:tabs>
          <w:tab w:val="left" w:pos="1800"/>
          <w:tab w:val="left" w:pos="1802"/>
        </w:tabs>
        <w:spacing w:line="153" w:lineRule="exact"/>
        <w:rPr>
          <w:sz w:val="13"/>
        </w:rPr>
      </w:pPr>
      <w:r>
        <w:rPr>
          <w:color w:val="231F20"/>
          <w:spacing w:val="2"/>
          <w:sz w:val="13"/>
        </w:rPr>
        <w:t xml:space="preserve">Submission </w:t>
      </w:r>
      <w:r>
        <w:rPr>
          <w:color w:val="231F20"/>
          <w:sz w:val="13"/>
        </w:rPr>
        <w:t xml:space="preserve">33 </w:t>
      </w:r>
      <w:r>
        <w:rPr>
          <w:color w:val="231F20"/>
          <w:spacing w:val="2"/>
          <w:sz w:val="13"/>
        </w:rPr>
        <w:t xml:space="preserve">(Victims </w:t>
      </w:r>
      <w:r>
        <w:rPr>
          <w:color w:val="231F20"/>
          <w:sz w:val="13"/>
        </w:rPr>
        <w:t>of Crime</w:t>
      </w:r>
      <w:r>
        <w:rPr>
          <w:color w:val="231F20"/>
          <w:spacing w:val="-5"/>
          <w:sz w:val="13"/>
        </w:rPr>
        <w:t xml:space="preserve"> </w:t>
      </w:r>
      <w:r>
        <w:rPr>
          <w:color w:val="231F20"/>
          <w:sz w:val="13"/>
        </w:rPr>
        <w:t>Commissioner).</w:t>
      </w:r>
    </w:p>
    <w:p w14:paraId="608132D2" w14:textId="77777777" w:rsidR="00894070" w:rsidRDefault="009B7AFD">
      <w:pPr>
        <w:pStyle w:val="ListParagraph"/>
        <w:numPr>
          <w:ilvl w:val="0"/>
          <w:numId w:val="17"/>
        </w:numPr>
        <w:tabs>
          <w:tab w:val="left" w:pos="1801"/>
          <w:tab w:val="left" w:pos="1802"/>
        </w:tabs>
        <w:spacing w:line="160" w:lineRule="exact"/>
        <w:rPr>
          <w:sz w:val="13"/>
        </w:rPr>
      </w:pPr>
      <w:r>
        <w:rPr>
          <w:color w:val="231F20"/>
          <w:spacing w:val="2"/>
          <w:sz w:val="13"/>
        </w:rPr>
        <w:t xml:space="preserve">Submission </w:t>
      </w:r>
      <w:r>
        <w:rPr>
          <w:color w:val="231F20"/>
          <w:sz w:val="13"/>
        </w:rPr>
        <w:t xml:space="preserve">56 </w:t>
      </w:r>
      <w:r>
        <w:rPr>
          <w:color w:val="231F20"/>
          <w:spacing w:val="2"/>
          <w:sz w:val="13"/>
        </w:rPr>
        <w:t xml:space="preserve">(Derryn </w:t>
      </w:r>
      <w:r>
        <w:rPr>
          <w:color w:val="231F20"/>
          <w:sz w:val="13"/>
        </w:rPr>
        <w:t>Hinch’s Justice</w:t>
      </w:r>
      <w:r>
        <w:rPr>
          <w:color w:val="231F20"/>
          <w:spacing w:val="-3"/>
          <w:sz w:val="13"/>
        </w:rPr>
        <w:t xml:space="preserve"> </w:t>
      </w:r>
      <w:r>
        <w:rPr>
          <w:color w:val="231F20"/>
          <w:sz w:val="13"/>
        </w:rPr>
        <w:t>Party).</w:t>
      </w:r>
    </w:p>
    <w:p w14:paraId="57878904" w14:textId="77777777" w:rsidR="00894070" w:rsidRDefault="009B7AFD">
      <w:pPr>
        <w:pStyle w:val="ListParagraph"/>
        <w:numPr>
          <w:ilvl w:val="0"/>
          <w:numId w:val="17"/>
        </w:numPr>
        <w:tabs>
          <w:tab w:val="left" w:pos="1801"/>
          <w:tab w:val="left" w:pos="1802"/>
        </w:tabs>
        <w:spacing w:line="160" w:lineRule="exact"/>
        <w:rPr>
          <w:sz w:val="13"/>
        </w:rPr>
      </w:pPr>
      <w:r>
        <w:rPr>
          <w:color w:val="231F20"/>
          <w:sz w:val="13"/>
        </w:rPr>
        <w:t>Ibid.</w:t>
      </w:r>
    </w:p>
    <w:p w14:paraId="05A0396C" w14:textId="77777777" w:rsidR="00894070" w:rsidRDefault="009B7AFD">
      <w:pPr>
        <w:pStyle w:val="ListParagraph"/>
        <w:numPr>
          <w:ilvl w:val="0"/>
          <w:numId w:val="17"/>
        </w:numPr>
        <w:tabs>
          <w:tab w:val="left" w:pos="1800"/>
          <w:tab w:val="left" w:pos="1802"/>
        </w:tabs>
        <w:spacing w:line="160" w:lineRule="exact"/>
        <w:rPr>
          <w:sz w:val="13"/>
        </w:rPr>
      </w:pPr>
      <w:r>
        <w:rPr>
          <w:color w:val="231F20"/>
          <w:sz w:val="13"/>
        </w:rPr>
        <w:t>Ibid.</w:t>
      </w:r>
    </w:p>
    <w:p w14:paraId="6EC784FA" w14:textId="77777777" w:rsidR="00894070" w:rsidRDefault="009B7AFD">
      <w:pPr>
        <w:pStyle w:val="ListParagraph"/>
        <w:numPr>
          <w:ilvl w:val="0"/>
          <w:numId w:val="17"/>
        </w:numPr>
        <w:tabs>
          <w:tab w:val="left" w:pos="1800"/>
          <w:tab w:val="left" w:pos="1802"/>
        </w:tabs>
        <w:spacing w:before="5" w:line="213" w:lineRule="auto"/>
        <w:ind w:right="24"/>
        <w:rPr>
          <w:sz w:val="13"/>
        </w:rPr>
      </w:pPr>
      <w:r>
        <w:rPr>
          <w:color w:val="231F20"/>
          <w:spacing w:val="2"/>
          <w:sz w:val="13"/>
        </w:rPr>
        <w:t xml:space="preserve">Submissions </w:t>
      </w:r>
      <w:r>
        <w:rPr>
          <w:color w:val="231F20"/>
          <w:sz w:val="13"/>
        </w:rPr>
        <w:t xml:space="preserve">30 (Name withheld), 54 (Riana Leonardi, Hannah Smith, Dahlia Mahmoud, </w:t>
      </w:r>
      <w:r>
        <w:rPr>
          <w:color w:val="231F20"/>
          <w:spacing w:val="2"/>
          <w:sz w:val="13"/>
        </w:rPr>
        <w:t xml:space="preserve">Melissa </w:t>
      </w:r>
      <w:r>
        <w:rPr>
          <w:color w:val="231F20"/>
          <w:sz w:val="13"/>
        </w:rPr>
        <w:t xml:space="preserve">Caligiore), 57 (Name withheld), 61 (Naciyelara Erel), 82 (Tring Nguyen), 90 </w:t>
      </w:r>
      <w:r>
        <w:rPr>
          <w:color w:val="231F20"/>
          <w:spacing w:val="2"/>
          <w:sz w:val="13"/>
        </w:rPr>
        <w:t xml:space="preserve">(Carmela </w:t>
      </w:r>
      <w:r>
        <w:rPr>
          <w:color w:val="231F20"/>
          <w:sz w:val="13"/>
        </w:rPr>
        <w:t>Melinda</w:t>
      </w:r>
      <w:r>
        <w:rPr>
          <w:color w:val="231F20"/>
          <w:spacing w:val="2"/>
          <w:sz w:val="13"/>
        </w:rPr>
        <w:t xml:space="preserve"> </w:t>
      </w:r>
      <w:r>
        <w:rPr>
          <w:color w:val="231F20"/>
          <w:sz w:val="13"/>
        </w:rPr>
        <w:t>DiMauro).</w:t>
      </w:r>
    </w:p>
    <w:p w14:paraId="7745531E" w14:textId="77777777" w:rsidR="00894070" w:rsidRDefault="009B7AFD">
      <w:pPr>
        <w:pStyle w:val="ListParagraph"/>
        <w:numPr>
          <w:ilvl w:val="0"/>
          <w:numId w:val="17"/>
        </w:numPr>
        <w:tabs>
          <w:tab w:val="left" w:pos="1801"/>
          <w:tab w:val="left" w:pos="1802"/>
        </w:tabs>
        <w:spacing w:line="153" w:lineRule="exact"/>
        <w:rPr>
          <w:sz w:val="13"/>
        </w:rPr>
      </w:pPr>
      <w:r>
        <w:rPr>
          <w:color w:val="231F20"/>
          <w:spacing w:val="2"/>
          <w:sz w:val="13"/>
        </w:rPr>
        <w:t xml:space="preserve">Submissions </w:t>
      </w:r>
      <w:r>
        <w:rPr>
          <w:color w:val="231F20"/>
          <w:sz w:val="13"/>
        </w:rPr>
        <w:t xml:space="preserve">64 (Phillip Castagna), 90 </w:t>
      </w:r>
      <w:r>
        <w:rPr>
          <w:color w:val="231F20"/>
          <w:spacing w:val="2"/>
          <w:sz w:val="13"/>
        </w:rPr>
        <w:t xml:space="preserve">(Carmela </w:t>
      </w:r>
      <w:r>
        <w:rPr>
          <w:color w:val="231F20"/>
          <w:sz w:val="13"/>
        </w:rPr>
        <w:t>Melinda</w:t>
      </w:r>
      <w:r>
        <w:rPr>
          <w:color w:val="231F20"/>
          <w:spacing w:val="-1"/>
          <w:sz w:val="13"/>
        </w:rPr>
        <w:t xml:space="preserve"> </w:t>
      </w:r>
      <w:r>
        <w:rPr>
          <w:color w:val="231F20"/>
          <w:sz w:val="13"/>
        </w:rPr>
        <w:t>DiMauro).</w:t>
      </w:r>
    </w:p>
    <w:p w14:paraId="3992A01B" w14:textId="77777777" w:rsidR="00894070" w:rsidRDefault="009B7AFD">
      <w:pPr>
        <w:pStyle w:val="ListParagraph"/>
        <w:numPr>
          <w:ilvl w:val="0"/>
          <w:numId w:val="17"/>
        </w:numPr>
        <w:tabs>
          <w:tab w:val="left" w:pos="1801"/>
          <w:tab w:val="left" w:pos="1802"/>
        </w:tabs>
        <w:spacing w:before="6" w:line="213" w:lineRule="auto"/>
        <w:ind w:right="330"/>
        <w:rPr>
          <w:sz w:val="13"/>
        </w:rPr>
      </w:pPr>
      <w:r>
        <w:rPr>
          <w:color w:val="231F20"/>
          <w:sz w:val="13"/>
        </w:rPr>
        <w:t xml:space="preserve">Victorian Law Reform </w:t>
      </w:r>
      <w:r>
        <w:rPr>
          <w:color w:val="231F20"/>
          <w:spacing w:val="2"/>
          <w:sz w:val="13"/>
        </w:rPr>
        <w:t xml:space="preserve">Commission, </w:t>
      </w:r>
      <w:r>
        <w:rPr>
          <w:i/>
          <w:color w:val="231F20"/>
          <w:sz w:val="13"/>
        </w:rPr>
        <w:t xml:space="preserve">Stalking: </w:t>
      </w:r>
      <w:r>
        <w:rPr>
          <w:i/>
          <w:color w:val="231F20"/>
          <w:spacing w:val="2"/>
          <w:sz w:val="13"/>
        </w:rPr>
        <w:t xml:space="preserve">Summary </w:t>
      </w:r>
      <w:r>
        <w:rPr>
          <w:i/>
          <w:color w:val="231F20"/>
          <w:sz w:val="13"/>
        </w:rPr>
        <w:t xml:space="preserve">of Responses to Online Feedback Form from People with </w:t>
      </w:r>
      <w:r>
        <w:rPr>
          <w:i/>
          <w:color w:val="231F20"/>
          <w:spacing w:val="2"/>
          <w:sz w:val="13"/>
        </w:rPr>
        <w:t xml:space="preserve">Experience </w:t>
      </w:r>
      <w:r>
        <w:rPr>
          <w:i/>
          <w:color w:val="231F20"/>
          <w:sz w:val="13"/>
        </w:rPr>
        <w:t xml:space="preserve">of Stalking </w:t>
      </w:r>
      <w:r>
        <w:rPr>
          <w:color w:val="231F20"/>
          <w:spacing w:val="2"/>
          <w:sz w:val="13"/>
        </w:rPr>
        <w:t xml:space="preserve">(Report, </w:t>
      </w:r>
      <w:r>
        <w:rPr>
          <w:color w:val="231F20"/>
          <w:sz w:val="13"/>
        </w:rPr>
        <w:t>August</w:t>
      </w:r>
      <w:r>
        <w:rPr>
          <w:color w:val="231F20"/>
          <w:spacing w:val="-2"/>
          <w:sz w:val="13"/>
        </w:rPr>
        <w:t xml:space="preserve"> </w:t>
      </w:r>
      <w:r>
        <w:rPr>
          <w:color w:val="231F20"/>
          <w:sz w:val="13"/>
        </w:rPr>
        <w:t>2021).</w:t>
      </w:r>
    </w:p>
    <w:p w14:paraId="49150F8A" w14:textId="77777777" w:rsidR="00894070" w:rsidRDefault="009B7AFD">
      <w:pPr>
        <w:pStyle w:val="ListParagraph"/>
        <w:numPr>
          <w:ilvl w:val="0"/>
          <w:numId w:val="17"/>
        </w:numPr>
        <w:tabs>
          <w:tab w:val="left" w:pos="1801"/>
          <w:tab w:val="left" w:pos="1802"/>
        </w:tabs>
        <w:spacing w:line="213" w:lineRule="auto"/>
        <w:ind w:right="85"/>
        <w:rPr>
          <w:sz w:val="13"/>
        </w:rPr>
      </w:pPr>
      <w:r>
        <w:rPr>
          <w:color w:val="231F20"/>
          <w:sz w:val="13"/>
        </w:rPr>
        <w:t xml:space="preserve">Sentencing Advisory Council (Vic), </w:t>
      </w:r>
      <w:r>
        <w:rPr>
          <w:i/>
          <w:color w:val="231F20"/>
          <w:sz w:val="13"/>
        </w:rPr>
        <w:t xml:space="preserve">Sentencing Breaches of Personal Safety Intervention Orders in Victoria </w:t>
      </w:r>
      <w:r>
        <w:rPr>
          <w:color w:val="231F20"/>
          <w:spacing w:val="2"/>
          <w:sz w:val="13"/>
        </w:rPr>
        <w:t xml:space="preserve">(Report, </w:t>
      </w:r>
      <w:r>
        <w:rPr>
          <w:color w:val="231F20"/>
          <w:sz w:val="13"/>
        </w:rPr>
        <w:t xml:space="preserve">February 2022)   </w:t>
      </w:r>
      <w:r>
        <w:rPr>
          <w:color w:val="231F20"/>
          <w:spacing w:val="2"/>
          <w:sz w:val="13"/>
        </w:rPr>
        <w:t xml:space="preserve">14; </w:t>
      </w:r>
      <w:r>
        <w:rPr>
          <w:color w:val="231F20"/>
          <w:sz w:val="13"/>
        </w:rPr>
        <w:t xml:space="preserve">Judicial College Victoria, </w:t>
      </w:r>
      <w:r>
        <w:rPr>
          <w:i/>
          <w:color w:val="231F20"/>
          <w:sz w:val="13"/>
        </w:rPr>
        <w:t xml:space="preserve">Family Violence Bench Book </w:t>
      </w:r>
      <w:r>
        <w:rPr>
          <w:color w:val="231F20"/>
          <w:sz w:val="13"/>
        </w:rPr>
        <w:t xml:space="preserve">(Online </w:t>
      </w:r>
      <w:r>
        <w:rPr>
          <w:color w:val="231F20"/>
          <w:spacing w:val="2"/>
          <w:sz w:val="13"/>
        </w:rPr>
        <w:t>Manual</w:t>
      </w:r>
      <w:hyperlink r:id="rId205">
        <w:r>
          <w:rPr>
            <w:color w:val="231F20"/>
            <w:spacing w:val="2"/>
            <w:sz w:val="13"/>
          </w:rPr>
          <w:t xml:space="preserve">) </w:t>
        </w:r>
        <w:r>
          <w:rPr>
            <w:color w:val="231F20"/>
            <w:sz w:val="13"/>
          </w:rPr>
          <w:t>&lt;https://www.judicialcollege.vic.edu.au/eManuals/</w:t>
        </w:r>
      </w:hyperlink>
      <w:hyperlink r:id="rId206">
        <w:r>
          <w:rPr>
            <w:color w:val="231F20"/>
            <w:sz w:val="13"/>
          </w:rPr>
          <w:t xml:space="preserve"> FVBB</w:t>
        </w:r>
      </w:hyperlink>
      <w:r>
        <w:rPr>
          <w:color w:val="231F20"/>
          <w:sz w:val="13"/>
        </w:rPr>
        <w:t>&gt;.</w:t>
      </w:r>
    </w:p>
    <w:p w14:paraId="4801F1E8" w14:textId="77777777" w:rsidR="00894070" w:rsidRDefault="009B7AFD">
      <w:pPr>
        <w:pStyle w:val="ListParagraph"/>
        <w:numPr>
          <w:ilvl w:val="0"/>
          <w:numId w:val="17"/>
        </w:numPr>
        <w:tabs>
          <w:tab w:val="left" w:pos="1800"/>
          <w:tab w:val="left" w:pos="1802"/>
        </w:tabs>
        <w:spacing w:line="152" w:lineRule="exact"/>
        <w:rPr>
          <w:sz w:val="13"/>
        </w:rPr>
      </w:pPr>
      <w:r>
        <w:rPr>
          <w:color w:val="231F20"/>
          <w:sz w:val="13"/>
        </w:rPr>
        <w:t>Sentencing</w:t>
      </w:r>
      <w:r>
        <w:rPr>
          <w:color w:val="231F20"/>
          <w:spacing w:val="9"/>
          <w:sz w:val="13"/>
        </w:rPr>
        <w:t xml:space="preserve"> </w:t>
      </w:r>
      <w:r>
        <w:rPr>
          <w:color w:val="231F20"/>
          <w:sz w:val="13"/>
        </w:rPr>
        <w:t>Advisory</w:t>
      </w:r>
      <w:r>
        <w:rPr>
          <w:color w:val="231F20"/>
          <w:spacing w:val="9"/>
          <w:sz w:val="13"/>
        </w:rPr>
        <w:t xml:space="preserve"> </w:t>
      </w:r>
      <w:r>
        <w:rPr>
          <w:color w:val="231F20"/>
          <w:sz w:val="13"/>
        </w:rPr>
        <w:t>Council</w:t>
      </w:r>
      <w:r>
        <w:rPr>
          <w:color w:val="231F20"/>
          <w:spacing w:val="9"/>
          <w:sz w:val="13"/>
        </w:rPr>
        <w:t xml:space="preserve"> </w:t>
      </w:r>
      <w:r>
        <w:rPr>
          <w:color w:val="231F20"/>
          <w:sz w:val="13"/>
        </w:rPr>
        <w:t>(Vic),</w:t>
      </w:r>
      <w:r>
        <w:rPr>
          <w:color w:val="231F20"/>
          <w:spacing w:val="8"/>
          <w:sz w:val="13"/>
        </w:rPr>
        <w:t xml:space="preserve"> </w:t>
      </w:r>
      <w:r>
        <w:rPr>
          <w:i/>
          <w:color w:val="231F20"/>
          <w:sz w:val="13"/>
        </w:rPr>
        <w:t>Sentencing</w:t>
      </w:r>
      <w:r>
        <w:rPr>
          <w:i/>
          <w:color w:val="231F20"/>
          <w:spacing w:val="9"/>
          <w:sz w:val="13"/>
        </w:rPr>
        <w:t xml:space="preserve"> </w:t>
      </w:r>
      <w:r>
        <w:rPr>
          <w:i/>
          <w:color w:val="231F20"/>
          <w:sz w:val="13"/>
        </w:rPr>
        <w:t>Breaches</w:t>
      </w:r>
      <w:r>
        <w:rPr>
          <w:i/>
          <w:color w:val="231F20"/>
          <w:spacing w:val="9"/>
          <w:sz w:val="13"/>
        </w:rPr>
        <w:t xml:space="preserve"> </w:t>
      </w:r>
      <w:r>
        <w:rPr>
          <w:i/>
          <w:color w:val="231F20"/>
          <w:sz w:val="13"/>
        </w:rPr>
        <w:t>of</w:t>
      </w:r>
      <w:r>
        <w:rPr>
          <w:i/>
          <w:color w:val="231F20"/>
          <w:spacing w:val="9"/>
          <w:sz w:val="13"/>
        </w:rPr>
        <w:t xml:space="preserve"> </w:t>
      </w:r>
      <w:r>
        <w:rPr>
          <w:i/>
          <w:color w:val="231F20"/>
          <w:sz w:val="13"/>
        </w:rPr>
        <w:t>Personal</w:t>
      </w:r>
      <w:r>
        <w:rPr>
          <w:i/>
          <w:color w:val="231F20"/>
          <w:spacing w:val="9"/>
          <w:sz w:val="13"/>
        </w:rPr>
        <w:t xml:space="preserve"> </w:t>
      </w:r>
      <w:r>
        <w:rPr>
          <w:i/>
          <w:color w:val="231F20"/>
          <w:sz w:val="13"/>
        </w:rPr>
        <w:t>Safety</w:t>
      </w:r>
      <w:r>
        <w:rPr>
          <w:i/>
          <w:color w:val="231F20"/>
          <w:spacing w:val="9"/>
          <w:sz w:val="13"/>
        </w:rPr>
        <w:t xml:space="preserve"> </w:t>
      </w:r>
      <w:r>
        <w:rPr>
          <w:i/>
          <w:color w:val="231F20"/>
          <w:sz w:val="13"/>
        </w:rPr>
        <w:t>Intervention</w:t>
      </w:r>
      <w:r>
        <w:rPr>
          <w:i/>
          <w:color w:val="231F20"/>
          <w:spacing w:val="8"/>
          <w:sz w:val="13"/>
        </w:rPr>
        <w:t xml:space="preserve"> </w:t>
      </w:r>
      <w:r>
        <w:rPr>
          <w:i/>
          <w:color w:val="231F20"/>
          <w:sz w:val="13"/>
        </w:rPr>
        <w:t>Orders</w:t>
      </w:r>
      <w:r>
        <w:rPr>
          <w:i/>
          <w:color w:val="231F20"/>
          <w:spacing w:val="9"/>
          <w:sz w:val="13"/>
        </w:rPr>
        <w:t xml:space="preserve"> </w:t>
      </w:r>
      <w:r>
        <w:rPr>
          <w:i/>
          <w:color w:val="231F20"/>
          <w:sz w:val="13"/>
        </w:rPr>
        <w:t>in</w:t>
      </w:r>
      <w:r>
        <w:rPr>
          <w:i/>
          <w:color w:val="231F20"/>
          <w:spacing w:val="9"/>
          <w:sz w:val="13"/>
        </w:rPr>
        <w:t xml:space="preserve"> </w:t>
      </w:r>
      <w:r>
        <w:rPr>
          <w:i/>
          <w:color w:val="231F20"/>
          <w:sz w:val="13"/>
        </w:rPr>
        <w:t>Victoria</w:t>
      </w:r>
      <w:r>
        <w:rPr>
          <w:i/>
          <w:color w:val="231F20"/>
          <w:spacing w:val="9"/>
          <w:sz w:val="13"/>
        </w:rPr>
        <w:t xml:space="preserve"> </w:t>
      </w:r>
      <w:r>
        <w:rPr>
          <w:color w:val="231F20"/>
          <w:spacing w:val="2"/>
          <w:sz w:val="13"/>
        </w:rPr>
        <w:t>(Report,</w:t>
      </w:r>
      <w:r>
        <w:rPr>
          <w:color w:val="231F20"/>
          <w:spacing w:val="9"/>
          <w:sz w:val="13"/>
        </w:rPr>
        <w:t xml:space="preserve"> </w:t>
      </w:r>
      <w:r>
        <w:rPr>
          <w:color w:val="231F20"/>
          <w:sz w:val="13"/>
        </w:rPr>
        <w:t>February</w:t>
      </w:r>
      <w:r>
        <w:rPr>
          <w:color w:val="231F20"/>
          <w:spacing w:val="10"/>
          <w:sz w:val="13"/>
        </w:rPr>
        <w:t xml:space="preserve"> </w:t>
      </w:r>
      <w:r>
        <w:rPr>
          <w:color w:val="231F20"/>
          <w:sz w:val="13"/>
        </w:rPr>
        <w:t>2022)</w:t>
      </w:r>
    </w:p>
    <w:p w14:paraId="0DAA23C8" w14:textId="77777777" w:rsidR="00894070" w:rsidRDefault="009B7AFD">
      <w:pPr>
        <w:spacing w:line="170" w:lineRule="exact"/>
        <w:ind w:left="1801"/>
        <w:rPr>
          <w:sz w:val="13"/>
        </w:rPr>
      </w:pPr>
      <w:r>
        <w:rPr>
          <w:color w:val="231F20"/>
          <w:sz w:val="13"/>
        </w:rPr>
        <w:t>14.</w:t>
      </w:r>
    </w:p>
    <w:p w14:paraId="532B629B" w14:textId="77777777" w:rsidR="00894070" w:rsidRDefault="009B7AFD">
      <w:pPr>
        <w:pStyle w:val="BodyText"/>
        <w:rPr>
          <w:sz w:val="28"/>
        </w:rPr>
      </w:pPr>
      <w:r>
        <w:br w:type="column"/>
      </w:r>
    </w:p>
    <w:p w14:paraId="4272C1EE" w14:textId="77777777" w:rsidR="00894070" w:rsidRDefault="00894070">
      <w:pPr>
        <w:pStyle w:val="BodyText"/>
        <w:rPr>
          <w:sz w:val="28"/>
        </w:rPr>
      </w:pPr>
    </w:p>
    <w:p w14:paraId="47869756" w14:textId="77777777" w:rsidR="00894070" w:rsidRDefault="00894070">
      <w:pPr>
        <w:pStyle w:val="BodyText"/>
        <w:rPr>
          <w:sz w:val="28"/>
        </w:rPr>
      </w:pPr>
    </w:p>
    <w:p w14:paraId="116889D9" w14:textId="77777777" w:rsidR="00894070" w:rsidRDefault="00894070">
      <w:pPr>
        <w:pStyle w:val="BodyText"/>
        <w:rPr>
          <w:sz w:val="28"/>
        </w:rPr>
      </w:pPr>
    </w:p>
    <w:p w14:paraId="727D07DF" w14:textId="77777777" w:rsidR="00894070" w:rsidRDefault="00894070">
      <w:pPr>
        <w:pStyle w:val="BodyText"/>
        <w:rPr>
          <w:sz w:val="28"/>
        </w:rPr>
      </w:pPr>
    </w:p>
    <w:p w14:paraId="41A3DF23" w14:textId="77777777" w:rsidR="00894070" w:rsidRDefault="00894070">
      <w:pPr>
        <w:pStyle w:val="BodyText"/>
        <w:rPr>
          <w:sz w:val="28"/>
        </w:rPr>
      </w:pPr>
    </w:p>
    <w:p w14:paraId="46B4158F" w14:textId="77777777" w:rsidR="00894070" w:rsidRDefault="00894070">
      <w:pPr>
        <w:pStyle w:val="BodyText"/>
        <w:spacing w:before="5"/>
      </w:pPr>
    </w:p>
    <w:p w14:paraId="05ABF29C" w14:textId="77777777" w:rsidR="00894070" w:rsidRDefault="009B7AFD">
      <w:pPr>
        <w:pStyle w:val="Heading8"/>
        <w:ind w:left="582"/>
      </w:pPr>
      <w:r>
        <w:rPr>
          <w:color w:val="EA5B50"/>
        </w:rPr>
        <w:t>183</w:t>
      </w:r>
    </w:p>
    <w:p w14:paraId="3086EE1D" w14:textId="77777777" w:rsidR="00894070" w:rsidRDefault="00894070">
      <w:pPr>
        <w:sectPr w:rsidR="00894070">
          <w:type w:val="continuous"/>
          <w:pgSz w:w="11910" w:h="16840"/>
          <w:pgMar w:top="560" w:right="420" w:bottom="280" w:left="580" w:header="720" w:footer="720" w:gutter="0"/>
          <w:cols w:num="2" w:space="720" w:equalWidth="0">
            <w:col w:w="9714" w:space="40"/>
            <w:col w:w="1156"/>
          </w:cols>
        </w:sectPr>
      </w:pPr>
    </w:p>
    <w:p w14:paraId="4369A527" w14:textId="77777777" w:rsidR="00894070" w:rsidRDefault="00894070">
      <w:pPr>
        <w:pStyle w:val="BodyText"/>
        <w:rPr>
          <w:b/>
        </w:rPr>
      </w:pPr>
    </w:p>
    <w:p w14:paraId="46F1A21C" w14:textId="77777777" w:rsidR="00894070" w:rsidRDefault="00894070">
      <w:pPr>
        <w:pStyle w:val="BodyText"/>
        <w:rPr>
          <w:b/>
        </w:rPr>
      </w:pPr>
    </w:p>
    <w:p w14:paraId="3EE4D6F3" w14:textId="77777777" w:rsidR="00894070" w:rsidRDefault="00894070">
      <w:pPr>
        <w:pStyle w:val="BodyText"/>
        <w:rPr>
          <w:b/>
        </w:rPr>
      </w:pPr>
    </w:p>
    <w:p w14:paraId="6C170CC1" w14:textId="77777777" w:rsidR="00894070" w:rsidRDefault="00894070">
      <w:pPr>
        <w:pStyle w:val="BodyText"/>
        <w:spacing w:before="11"/>
        <w:rPr>
          <w:b/>
          <w:sz w:val="18"/>
        </w:rPr>
      </w:pPr>
    </w:p>
    <w:p w14:paraId="4B513835" w14:textId="77777777" w:rsidR="00894070" w:rsidRDefault="009B7AFD">
      <w:pPr>
        <w:pStyle w:val="BodyText"/>
        <w:spacing w:line="206" w:lineRule="auto"/>
        <w:ind w:left="1801" w:right="1121" w:hanging="1"/>
      </w:pPr>
      <w:r>
        <w:rPr>
          <w:color w:val="231F20"/>
        </w:rPr>
        <w:t xml:space="preserve">similar guidance to be </w:t>
      </w:r>
      <w:r>
        <w:rPr>
          <w:color w:val="231F20"/>
          <w:spacing w:val="-3"/>
        </w:rPr>
        <w:t xml:space="preserve">developed for </w:t>
      </w:r>
      <w:r>
        <w:rPr>
          <w:color w:val="231F20"/>
        </w:rPr>
        <w:t>the non-family violence context.</w:t>
      </w:r>
      <w:r>
        <w:rPr>
          <w:color w:val="231F20"/>
          <w:position w:val="7"/>
          <w:sz w:val="11"/>
        </w:rPr>
        <w:t xml:space="preserve">228 </w:t>
      </w:r>
      <w:r>
        <w:rPr>
          <w:color w:val="231F20"/>
          <w:spacing w:val="-6"/>
        </w:rPr>
        <w:t xml:space="preserve">We </w:t>
      </w:r>
      <w:r>
        <w:rPr>
          <w:color w:val="231F20"/>
        </w:rPr>
        <w:t xml:space="preserve">agree with the Sentencing Advisory Council and recommend specific guidance </w:t>
      </w:r>
      <w:r>
        <w:rPr>
          <w:color w:val="231F20"/>
          <w:spacing w:val="-3"/>
        </w:rPr>
        <w:t xml:space="preserve">for </w:t>
      </w:r>
      <w:r>
        <w:rPr>
          <w:color w:val="231F20"/>
        </w:rPr>
        <w:t>sentencing breaches of PSIOs.</w:t>
      </w:r>
    </w:p>
    <w:p w14:paraId="05E618E8" w14:textId="77777777" w:rsidR="00894070" w:rsidRDefault="009F6793">
      <w:pPr>
        <w:pStyle w:val="BodyText"/>
        <w:spacing w:before="6"/>
        <w:rPr>
          <w:sz w:val="19"/>
        </w:rPr>
      </w:pPr>
      <w:r>
        <w:pict w14:anchorId="5F4B043E">
          <v:group id="_x0000_s1043" style="position:absolute;margin-left:62.35pt;margin-top:15.5pt;width:479.1pt;height:108.4pt;z-index:251792384;mso-wrap-distance-left:0;mso-wrap-distance-right:0;mso-position-horizontal-relative:page" coordorigin="1247,310" coordsize="9582,2168">
            <v:rect id="_x0000_s1048" style="position:absolute;left:1587;top:309;width:8731;height:2168" fillcolor="#fee7de" stroked="f"/>
            <v:line id="_x0000_s1047" style="position:absolute" from="1247,1117" to="10828,1117" strokecolor="white" strokeweight="2.5pt"/>
            <v:shape id="_x0000_s1046" type="#_x0000_t202" style="position:absolute;left:2381;top:1342;width:7559;height:955" filled="f" stroked="f">
              <v:textbox inset="0,0,0,0">
                <w:txbxContent>
                  <w:p w14:paraId="5AFD468B" w14:textId="77777777" w:rsidR="00894070" w:rsidRDefault="009B7AFD">
                    <w:pPr>
                      <w:spacing w:line="247" w:lineRule="auto"/>
                      <w:rPr>
                        <w:rFonts w:ascii="Trebuchet MS"/>
                        <w:sz w:val="20"/>
                      </w:rPr>
                    </w:pPr>
                    <w:r>
                      <w:rPr>
                        <w:rFonts w:ascii="Trebuchet MS"/>
                        <w:color w:val="231F20"/>
                        <w:w w:val="105"/>
                        <w:sz w:val="20"/>
                      </w:rPr>
                      <w:t>The</w:t>
                    </w:r>
                    <w:r>
                      <w:rPr>
                        <w:rFonts w:ascii="Trebuchet MS"/>
                        <w:color w:val="231F20"/>
                        <w:spacing w:val="-12"/>
                        <w:w w:val="105"/>
                        <w:sz w:val="20"/>
                      </w:rPr>
                      <w:t xml:space="preserve"> </w:t>
                    </w:r>
                    <w:r>
                      <w:rPr>
                        <w:rFonts w:ascii="Trebuchet MS"/>
                        <w:color w:val="231F20"/>
                        <w:w w:val="105"/>
                        <w:sz w:val="20"/>
                      </w:rPr>
                      <w:t>Judicial</w:t>
                    </w:r>
                    <w:r>
                      <w:rPr>
                        <w:rFonts w:ascii="Trebuchet MS"/>
                        <w:color w:val="231F20"/>
                        <w:spacing w:val="-11"/>
                        <w:w w:val="105"/>
                        <w:sz w:val="20"/>
                      </w:rPr>
                      <w:t xml:space="preserve"> </w:t>
                    </w:r>
                    <w:r>
                      <w:rPr>
                        <w:rFonts w:ascii="Trebuchet MS"/>
                        <w:color w:val="231F20"/>
                        <w:w w:val="105"/>
                        <w:sz w:val="20"/>
                      </w:rPr>
                      <w:t>College</w:t>
                    </w:r>
                    <w:r>
                      <w:rPr>
                        <w:rFonts w:ascii="Trebuchet MS"/>
                        <w:color w:val="231F20"/>
                        <w:spacing w:val="-12"/>
                        <w:w w:val="105"/>
                        <w:sz w:val="20"/>
                      </w:rPr>
                      <w:t xml:space="preserve"> </w:t>
                    </w:r>
                    <w:r>
                      <w:rPr>
                        <w:rFonts w:ascii="Trebuchet MS"/>
                        <w:color w:val="231F20"/>
                        <w:w w:val="105"/>
                        <w:sz w:val="20"/>
                      </w:rPr>
                      <w:t>of</w:t>
                    </w:r>
                    <w:r>
                      <w:rPr>
                        <w:rFonts w:ascii="Trebuchet MS"/>
                        <w:color w:val="231F20"/>
                        <w:spacing w:val="-11"/>
                        <w:w w:val="105"/>
                        <w:sz w:val="20"/>
                      </w:rPr>
                      <w:t xml:space="preserve"> </w:t>
                    </w:r>
                    <w:r>
                      <w:rPr>
                        <w:rFonts w:ascii="Trebuchet MS"/>
                        <w:color w:val="231F20"/>
                        <w:w w:val="105"/>
                        <w:sz w:val="20"/>
                      </w:rPr>
                      <w:t>Victoria</w:t>
                    </w:r>
                    <w:r>
                      <w:rPr>
                        <w:rFonts w:ascii="Trebuchet MS"/>
                        <w:color w:val="231F20"/>
                        <w:spacing w:val="-11"/>
                        <w:w w:val="105"/>
                        <w:sz w:val="20"/>
                      </w:rPr>
                      <w:t xml:space="preserve"> </w:t>
                    </w:r>
                    <w:r>
                      <w:rPr>
                        <w:rFonts w:ascii="Trebuchet MS"/>
                        <w:color w:val="231F20"/>
                        <w:w w:val="105"/>
                        <w:sz w:val="20"/>
                      </w:rPr>
                      <w:t>should</w:t>
                    </w:r>
                    <w:r>
                      <w:rPr>
                        <w:rFonts w:ascii="Trebuchet MS"/>
                        <w:color w:val="231F20"/>
                        <w:spacing w:val="-12"/>
                        <w:w w:val="105"/>
                        <w:sz w:val="20"/>
                      </w:rPr>
                      <w:t xml:space="preserve"> </w:t>
                    </w:r>
                    <w:r>
                      <w:rPr>
                        <w:rFonts w:ascii="Trebuchet MS"/>
                        <w:color w:val="231F20"/>
                        <w:spacing w:val="-3"/>
                        <w:w w:val="105"/>
                        <w:sz w:val="20"/>
                      </w:rPr>
                      <w:t>develop</w:t>
                    </w:r>
                    <w:r>
                      <w:rPr>
                        <w:rFonts w:ascii="Trebuchet MS"/>
                        <w:color w:val="231F20"/>
                        <w:spacing w:val="-11"/>
                        <w:w w:val="105"/>
                        <w:sz w:val="20"/>
                      </w:rPr>
                      <w:t xml:space="preserve"> </w:t>
                    </w:r>
                    <w:r>
                      <w:rPr>
                        <w:rFonts w:ascii="Trebuchet MS"/>
                        <w:color w:val="231F20"/>
                        <w:w w:val="105"/>
                        <w:sz w:val="20"/>
                      </w:rPr>
                      <w:t>guidance</w:t>
                    </w:r>
                    <w:r>
                      <w:rPr>
                        <w:rFonts w:ascii="Trebuchet MS"/>
                        <w:color w:val="231F20"/>
                        <w:spacing w:val="-12"/>
                        <w:w w:val="105"/>
                        <w:sz w:val="20"/>
                      </w:rPr>
                      <w:t xml:space="preserve"> </w:t>
                    </w:r>
                    <w:r>
                      <w:rPr>
                        <w:rFonts w:ascii="Trebuchet MS"/>
                        <w:color w:val="231F20"/>
                        <w:w w:val="105"/>
                        <w:sz w:val="20"/>
                      </w:rPr>
                      <w:t>for</w:t>
                    </w:r>
                    <w:r>
                      <w:rPr>
                        <w:rFonts w:ascii="Trebuchet MS"/>
                        <w:color w:val="231F20"/>
                        <w:spacing w:val="-11"/>
                        <w:w w:val="105"/>
                        <w:sz w:val="20"/>
                      </w:rPr>
                      <w:t xml:space="preserve"> </w:t>
                    </w:r>
                    <w:r>
                      <w:rPr>
                        <w:rFonts w:ascii="Trebuchet MS"/>
                        <w:color w:val="231F20"/>
                        <w:w w:val="105"/>
                        <w:sz w:val="20"/>
                      </w:rPr>
                      <w:t>sentencing</w:t>
                    </w:r>
                    <w:r>
                      <w:rPr>
                        <w:rFonts w:ascii="Trebuchet MS"/>
                        <w:color w:val="231F20"/>
                        <w:spacing w:val="-11"/>
                        <w:w w:val="105"/>
                        <w:sz w:val="20"/>
                      </w:rPr>
                      <w:t xml:space="preserve"> </w:t>
                    </w:r>
                    <w:r>
                      <w:rPr>
                        <w:rFonts w:ascii="Trebuchet MS"/>
                        <w:color w:val="231F20"/>
                        <w:w w:val="105"/>
                        <w:sz w:val="20"/>
                      </w:rPr>
                      <w:t xml:space="preserve">breaches </w:t>
                    </w:r>
                    <w:r>
                      <w:rPr>
                        <w:rFonts w:ascii="Trebuchet MS"/>
                        <w:color w:val="231F20"/>
                        <w:spacing w:val="-4"/>
                        <w:w w:val="111"/>
                        <w:sz w:val="20"/>
                      </w:rPr>
                      <w:t>o</w:t>
                    </w:r>
                    <w:r>
                      <w:rPr>
                        <w:rFonts w:ascii="Trebuchet MS"/>
                        <w:color w:val="231F20"/>
                        <w:w w:val="92"/>
                        <w:sz w:val="20"/>
                      </w:rPr>
                      <w:t>f</w:t>
                    </w:r>
                    <w:r>
                      <w:rPr>
                        <w:rFonts w:ascii="Trebuchet MS"/>
                        <w:color w:val="231F20"/>
                        <w:spacing w:val="-14"/>
                        <w:sz w:val="20"/>
                      </w:rPr>
                      <w:t xml:space="preserve"> </w:t>
                    </w:r>
                    <w:r>
                      <w:rPr>
                        <w:rFonts w:ascii="Trebuchet MS"/>
                        <w:color w:val="231F20"/>
                        <w:spacing w:val="-1"/>
                        <w:w w:val="111"/>
                        <w:sz w:val="20"/>
                      </w:rPr>
                      <w:t>p</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spacing w:val="-1"/>
                        <w:w w:val="111"/>
                        <w:sz w:val="20"/>
                      </w:rPr>
                      <w:t>o</w:t>
                    </w:r>
                    <w:r>
                      <w:rPr>
                        <w:rFonts w:ascii="Trebuchet MS"/>
                        <w:color w:val="231F20"/>
                        <w:spacing w:val="-1"/>
                        <w:w w:val="107"/>
                        <w:sz w:val="20"/>
                      </w:rPr>
                      <w:t>n</w:t>
                    </w:r>
                    <w:r>
                      <w:rPr>
                        <w:rFonts w:ascii="Trebuchet MS"/>
                        <w:color w:val="231F20"/>
                        <w:spacing w:val="-3"/>
                        <w:w w:val="105"/>
                        <w:sz w:val="20"/>
                      </w:rPr>
                      <w:t>a</w:t>
                    </w:r>
                    <w:r>
                      <w:rPr>
                        <w:rFonts w:ascii="Trebuchet MS"/>
                        <w:color w:val="231F20"/>
                        <w:w w:val="96"/>
                        <w:sz w:val="20"/>
                      </w:rPr>
                      <w:t>l</w:t>
                    </w:r>
                    <w:r>
                      <w:rPr>
                        <w:rFonts w:ascii="Trebuchet MS"/>
                        <w:color w:val="231F20"/>
                        <w:spacing w:val="-14"/>
                        <w:sz w:val="20"/>
                      </w:rPr>
                      <w:t xml:space="preserve"> </w:t>
                    </w:r>
                    <w:r>
                      <w:rPr>
                        <w:rFonts w:ascii="Trebuchet MS"/>
                        <w:color w:val="231F20"/>
                        <w:w w:val="122"/>
                        <w:sz w:val="20"/>
                      </w:rPr>
                      <w:t>s</w:t>
                    </w:r>
                    <w:r>
                      <w:rPr>
                        <w:rFonts w:ascii="Trebuchet MS"/>
                        <w:color w:val="231F20"/>
                        <w:spacing w:val="-4"/>
                        <w:w w:val="105"/>
                        <w:sz w:val="20"/>
                      </w:rPr>
                      <w:t>a</w:t>
                    </w:r>
                    <w:r>
                      <w:rPr>
                        <w:rFonts w:ascii="Trebuchet MS"/>
                        <w:color w:val="231F20"/>
                        <w:spacing w:val="-5"/>
                        <w:w w:val="92"/>
                        <w:sz w:val="20"/>
                      </w:rPr>
                      <w:t>f</w:t>
                    </w:r>
                    <w:r>
                      <w:rPr>
                        <w:rFonts w:ascii="Trebuchet MS"/>
                        <w:color w:val="231F20"/>
                        <w:spacing w:val="-3"/>
                        <w:w w:val="108"/>
                        <w:sz w:val="20"/>
                      </w:rPr>
                      <w:t>e</w:t>
                    </w:r>
                    <w:r>
                      <w:rPr>
                        <w:rFonts w:ascii="Trebuchet MS"/>
                        <w:color w:val="231F20"/>
                        <w:w w:val="88"/>
                        <w:sz w:val="20"/>
                      </w:rPr>
                      <w:t>t</w:t>
                    </w:r>
                    <w:r>
                      <w:rPr>
                        <w:rFonts w:ascii="Trebuchet MS"/>
                        <w:color w:val="231F20"/>
                        <w:w w:val="110"/>
                        <w:sz w:val="20"/>
                      </w:rPr>
                      <w:t>y</w:t>
                    </w:r>
                    <w:r>
                      <w:rPr>
                        <w:rFonts w:ascii="Trebuchet MS"/>
                        <w:color w:val="231F20"/>
                        <w:spacing w:val="-14"/>
                        <w:sz w:val="20"/>
                      </w:rPr>
                      <w:t xml:space="preserve"> </w:t>
                    </w:r>
                    <w:r>
                      <w:rPr>
                        <w:rFonts w:ascii="Trebuchet MS"/>
                        <w:color w:val="231F20"/>
                        <w:spacing w:val="-2"/>
                        <w:w w:val="80"/>
                        <w:sz w:val="20"/>
                      </w:rPr>
                      <w:t>i</w:t>
                    </w:r>
                    <w:r>
                      <w:rPr>
                        <w:rFonts w:ascii="Trebuchet MS"/>
                        <w:color w:val="231F20"/>
                        <w:spacing w:val="-4"/>
                        <w:w w:val="107"/>
                        <w:sz w:val="20"/>
                      </w:rPr>
                      <w:t>n</w:t>
                    </w:r>
                    <w:r>
                      <w:rPr>
                        <w:rFonts w:ascii="Trebuchet MS"/>
                        <w:color w:val="231F20"/>
                        <w:spacing w:val="-4"/>
                        <w:w w:val="88"/>
                        <w:sz w:val="20"/>
                      </w:rPr>
                      <w:t>t</w:t>
                    </w:r>
                    <w:r>
                      <w:rPr>
                        <w:rFonts w:ascii="Trebuchet MS"/>
                        <w:color w:val="231F20"/>
                        <w:spacing w:val="-1"/>
                        <w:w w:val="108"/>
                        <w:sz w:val="20"/>
                      </w:rPr>
                      <w:t>e</w:t>
                    </w:r>
                    <w:r>
                      <w:rPr>
                        <w:rFonts w:ascii="Trebuchet MS"/>
                        <w:color w:val="231F20"/>
                        <w:spacing w:val="3"/>
                        <w:w w:val="93"/>
                        <w:sz w:val="20"/>
                      </w:rPr>
                      <w:t>r</w:t>
                    </w:r>
                    <w:r>
                      <w:rPr>
                        <w:rFonts w:ascii="Trebuchet MS"/>
                        <w:color w:val="231F20"/>
                        <w:spacing w:val="-6"/>
                        <w:w w:val="109"/>
                        <w:sz w:val="20"/>
                      </w:rPr>
                      <w:t>v</w:t>
                    </w:r>
                    <w:r>
                      <w:rPr>
                        <w:rFonts w:ascii="Trebuchet MS"/>
                        <w:color w:val="231F20"/>
                        <w:spacing w:val="-1"/>
                        <w:w w:val="108"/>
                        <w:sz w:val="20"/>
                      </w:rPr>
                      <w:t>e</w:t>
                    </w:r>
                    <w:r>
                      <w:rPr>
                        <w:rFonts w:ascii="Trebuchet MS"/>
                        <w:color w:val="231F20"/>
                        <w:spacing w:val="-4"/>
                        <w:w w:val="107"/>
                        <w:sz w:val="20"/>
                      </w:rPr>
                      <w:t>n</w:t>
                    </w:r>
                    <w:r>
                      <w:rPr>
                        <w:rFonts w:ascii="Trebuchet MS"/>
                        <w:color w:val="231F20"/>
                        <w:spacing w:val="-2"/>
                        <w:w w:val="88"/>
                        <w:sz w:val="20"/>
                      </w:rPr>
                      <w:t>t</w:t>
                    </w:r>
                    <w:r>
                      <w:rPr>
                        <w:rFonts w:ascii="Trebuchet MS"/>
                        <w:color w:val="231F20"/>
                        <w:spacing w:val="-1"/>
                        <w:w w:val="80"/>
                        <w:sz w:val="20"/>
                      </w:rPr>
                      <w:t>i</w:t>
                    </w:r>
                    <w:r>
                      <w:rPr>
                        <w:rFonts w:ascii="Trebuchet MS"/>
                        <w:color w:val="231F20"/>
                        <w:spacing w:val="-1"/>
                        <w:w w:val="111"/>
                        <w:sz w:val="20"/>
                      </w:rPr>
                      <w:t>o</w:t>
                    </w:r>
                    <w:r>
                      <w:rPr>
                        <w:rFonts w:ascii="Trebuchet MS"/>
                        <w:color w:val="231F20"/>
                        <w:w w:val="107"/>
                        <w:sz w:val="20"/>
                      </w:rPr>
                      <w:t>n</w:t>
                    </w:r>
                    <w:r>
                      <w:rPr>
                        <w:rFonts w:ascii="Trebuchet MS"/>
                        <w:color w:val="231F20"/>
                        <w:spacing w:val="-14"/>
                        <w:sz w:val="20"/>
                      </w:rPr>
                      <w:t xml:space="preserve"> </w:t>
                    </w:r>
                    <w:r>
                      <w:rPr>
                        <w:rFonts w:ascii="Trebuchet MS"/>
                        <w:color w:val="231F20"/>
                        <w:spacing w:val="-1"/>
                        <w:w w:val="111"/>
                        <w:sz w:val="20"/>
                      </w:rPr>
                      <w:t>o</w:t>
                    </w:r>
                    <w:r>
                      <w:rPr>
                        <w:rFonts w:ascii="Trebuchet MS"/>
                        <w:color w:val="231F20"/>
                        <w:spacing w:val="-4"/>
                        <w:w w:val="93"/>
                        <w:sz w:val="20"/>
                      </w:rPr>
                      <w:t>r</w:t>
                    </w:r>
                    <w:r>
                      <w:rPr>
                        <w:rFonts w:ascii="Trebuchet MS"/>
                        <w:color w:val="231F20"/>
                        <w:spacing w:val="-2"/>
                        <w:w w:val="112"/>
                        <w:sz w:val="20"/>
                      </w:rPr>
                      <w:t>d</w:t>
                    </w:r>
                    <w:r>
                      <w:rPr>
                        <w:rFonts w:ascii="Trebuchet MS"/>
                        <w:color w:val="231F20"/>
                        <w:spacing w:val="-1"/>
                        <w:w w:val="108"/>
                        <w:sz w:val="20"/>
                      </w:rPr>
                      <w:t>e</w:t>
                    </w:r>
                    <w:r>
                      <w:rPr>
                        <w:rFonts w:ascii="Trebuchet MS"/>
                        <w:color w:val="231F20"/>
                        <w:spacing w:val="-1"/>
                        <w:w w:val="93"/>
                        <w:sz w:val="20"/>
                      </w:rPr>
                      <w:t>r</w:t>
                    </w:r>
                    <w:r>
                      <w:rPr>
                        <w:rFonts w:ascii="Trebuchet MS"/>
                        <w:color w:val="231F20"/>
                        <w:spacing w:val="1"/>
                        <w:w w:val="122"/>
                        <w:sz w:val="20"/>
                      </w:rPr>
                      <w:t>s</w:t>
                    </w:r>
                    <w:r>
                      <w:rPr>
                        <w:rFonts w:ascii="Trebuchet MS"/>
                        <w:color w:val="231F20"/>
                        <w:w w:val="57"/>
                        <w:sz w:val="20"/>
                      </w:rPr>
                      <w:t>,</w:t>
                    </w:r>
                    <w:r>
                      <w:rPr>
                        <w:rFonts w:ascii="Trebuchet MS"/>
                        <w:color w:val="231F20"/>
                        <w:spacing w:val="-14"/>
                        <w:sz w:val="20"/>
                      </w:rPr>
                      <w:t xml:space="preserve"> </w:t>
                    </w:r>
                    <w:r>
                      <w:rPr>
                        <w:rFonts w:ascii="Trebuchet MS"/>
                        <w:color w:val="231F20"/>
                        <w:spacing w:val="-2"/>
                        <w:w w:val="122"/>
                        <w:sz w:val="20"/>
                      </w:rPr>
                      <w:t>s</w:t>
                    </w:r>
                    <w:r>
                      <w:rPr>
                        <w:rFonts w:ascii="Trebuchet MS"/>
                        <w:color w:val="231F20"/>
                        <w:spacing w:val="-2"/>
                        <w:w w:val="80"/>
                        <w:sz w:val="20"/>
                      </w:rPr>
                      <w:t>i</w:t>
                    </w:r>
                    <w:r>
                      <w:rPr>
                        <w:rFonts w:ascii="Trebuchet MS"/>
                        <w:color w:val="231F20"/>
                        <w:spacing w:val="-2"/>
                        <w:w w:val="111"/>
                        <w:sz w:val="20"/>
                      </w:rPr>
                      <w:t>m</w:t>
                    </w:r>
                    <w:r>
                      <w:rPr>
                        <w:rFonts w:ascii="Trebuchet MS"/>
                        <w:color w:val="231F20"/>
                        <w:spacing w:val="-2"/>
                        <w:w w:val="80"/>
                        <w:sz w:val="20"/>
                      </w:rPr>
                      <w:t>i</w:t>
                    </w:r>
                    <w:r>
                      <w:rPr>
                        <w:rFonts w:ascii="Trebuchet MS"/>
                        <w:color w:val="231F20"/>
                        <w:spacing w:val="1"/>
                        <w:w w:val="96"/>
                        <w:sz w:val="20"/>
                      </w:rPr>
                      <w:t>l</w:t>
                    </w:r>
                    <w:r>
                      <w:rPr>
                        <w:rFonts w:ascii="Trebuchet MS"/>
                        <w:color w:val="231F20"/>
                        <w:spacing w:val="-2"/>
                        <w:w w:val="105"/>
                        <w:sz w:val="20"/>
                      </w:rPr>
                      <w:t>a</w:t>
                    </w:r>
                    <w:r>
                      <w:rPr>
                        <w:rFonts w:ascii="Trebuchet MS"/>
                        <w:color w:val="231F20"/>
                        <w:w w:val="93"/>
                        <w:sz w:val="20"/>
                      </w:rPr>
                      <w:t>r</w:t>
                    </w:r>
                    <w:r>
                      <w:rPr>
                        <w:rFonts w:ascii="Trebuchet MS"/>
                        <w:color w:val="231F20"/>
                        <w:spacing w:val="-14"/>
                        <w:sz w:val="20"/>
                      </w:rPr>
                      <w:t xml:space="preserve"> </w:t>
                    </w:r>
                    <w:r>
                      <w:rPr>
                        <w:rFonts w:ascii="Trebuchet MS"/>
                        <w:color w:val="231F20"/>
                        <w:spacing w:val="-4"/>
                        <w:w w:val="88"/>
                        <w:sz w:val="20"/>
                      </w:rPr>
                      <w:t>t</w:t>
                    </w:r>
                    <w:r>
                      <w:rPr>
                        <w:rFonts w:ascii="Trebuchet MS"/>
                        <w:color w:val="231F20"/>
                        <w:w w:val="111"/>
                        <w:sz w:val="20"/>
                      </w:rPr>
                      <w:t>o</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124"/>
                        <w:sz w:val="20"/>
                      </w:rPr>
                      <w:t>g</w:t>
                    </w:r>
                    <w:r>
                      <w:rPr>
                        <w:rFonts w:ascii="Trebuchet MS"/>
                        <w:color w:val="231F20"/>
                        <w:spacing w:val="-1"/>
                        <w:w w:val="109"/>
                        <w:sz w:val="20"/>
                      </w:rPr>
                      <w:t>u</w:t>
                    </w:r>
                    <w:r>
                      <w:rPr>
                        <w:rFonts w:ascii="Trebuchet MS"/>
                        <w:color w:val="231F20"/>
                        <w:spacing w:val="-1"/>
                        <w:w w:val="80"/>
                        <w:sz w:val="20"/>
                      </w:rPr>
                      <w:t>i</w:t>
                    </w:r>
                    <w:r>
                      <w:rPr>
                        <w:rFonts w:ascii="Trebuchet MS"/>
                        <w:color w:val="231F20"/>
                        <w:spacing w:val="-2"/>
                        <w:w w:val="112"/>
                        <w:sz w:val="20"/>
                      </w:rPr>
                      <w:t>d</w:t>
                    </w:r>
                    <w:r>
                      <w:rPr>
                        <w:rFonts w:ascii="Trebuchet MS"/>
                        <w:color w:val="231F20"/>
                        <w:spacing w:val="-2"/>
                        <w:w w:val="105"/>
                        <w:sz w:val="20"/>
                      </w:rPr>
                      <w:t>a</w:t>
                    </w:r>
                    <w:r>
                      <w:rPr>
                        <w:rFonts w:ascii="Trebuchet MS"/>
                        <w:color w:val="231F20"/>
                        <w:spacing w:val="-1"/>
                        <w:w w:val="107"/>
                        <w:sz w:val="20"/>
                      </w:rPr>
                      <w:t>n</w:t>
                    </w:r>
                    <w:r>
                      <w:rPr>
                        <w:rFonts w:ascii="Trebuchet MS"/>
                        <w:color w:val="231F20"/>
                        <w:spacing w:val="-3"/>
                        <w:w w:val="111"/>
                        <w:sz w:val="20"/>
                      </w:rPr>
                      <w:t>c</w:t>
                    </w:r>
                    <w:r>
                      <w:rPr>
                        <w:rFonts w:ascii="Trebuchet MS"/>
                        <w:color w:val="231F20"/>
                        <w:w w:val="108"/>
                        <w:sz w:val="20"/>
                      </w:rPr>
                      <w:t>e</w:t>
                    </w:r>
                    <w:r>
                      <w:rPr>
                        <w:rFonts w:ascii="Trebuchet MS"/>
                        <w:color w:val="231F20"/>
                        <w:spacing w:val="-14"/>
                        <w:sz w:val="20"/>
                      </w:rPr>
                      <w:t xml:space="preserve"> </w:t>
                    </w:r>
                    <w:r>
                      <w:rPr>
                        <w:rFonts w:ascii="Trebuchet MS"/>
                        <w:color w:val="231F20"/>
                        <w:spacing w:val="-2"/>
                        <w:w w:val="88"/>
                        <w:sz w:val="20"/>
                      </w:rPr>
                      <w:t>t</w:t>
                    </w:r>
                    <w:r>
                      <w:rPr>
                        <w:rFonts w:ascii="Trebuchet MS"/>
                        <w:color w:val="231F20"/>
                        <w:spacing w:val="-1"/>
                        <w:w w:val="107"/>
                        <w:sz w:val="20"/>
                      </w:rPr>
                      <w:t>h</w:t>
                    </w:r>
                    <w:r>
                      <w:rPr>
                        <w:rFonts w:ascii="Trebuchet MS"/>
                        <w:color w:val="231F20"/>
                        <w:spacing w:val="-4"/>
                        <w:w w:val="105"/>
                        <w:sz w:val="20"/>
                      </w:rPr>
                      <w:t>a</w:t>
                    </w:r>
                    <w:r>
                      <w:rPr>
                        <w:rFonts w:ascii="Trebuchet MS"/>
                        <w:color w:val="231F20"/>
                        <w:w w:val="88"/>
                        <w:sz w:val="20"/>
                      </w:rPr>
                      <w:t>t</w:t>
                    </w:r>
                    <w:r>
                      <w:rPr>
                        <w:rFonts w:ascii="Trebuchet MS"/>
                        <w:color w:val="231F20"/>
                        <w:spacing w:val="-14"/>
                        <w:sz w:val="20"/>
                      </w:rPr>
                      <w:t xml:space="preserve"> </w:t>
                    </w:r>
                    <w:r>
                      <w:rPr>
                        <w:rFonts w:ascii="Trebuchet MS"/>
                        <w:color w:val="231F20"/>
                        <w:spacing w:val="-5"/>
                        <w:w w:val="108"/>
                        <w:sz w:val="20"/>
                      </w:rPr>
                      <w:t>e</w:t>
                    </w:r>
                    <w:r>
                      <w:rPr>
                        <w:rFonts w:ascii="Trebuchet MS"/>
                        <w:color w:val="231F20"/>
                        <w:spacing w:val="-2"/>
                        <w:w w:val="102"/>
                        <w:sz w:val="20"/>
                      </w:rPr>
                      <w:t>x</w:t>
                    </w:r>
                    <w:r>
                      <w:rPr>
                        <w:rFonts w:ascii="Trebuchet MS"/>
                        <w:color w:val="231F20"/>
                        <w:spacing w:val="-1"/>
                        <w:w w:val="80"/>
                        <w:sz w:val="20"/>
                      </w:rPr>
                      <w:t>i</w:t>
                    </w:r>
                    <w:r>
                      <w:rPr>
                        <w:rFonts w:ascii="Trebuchet MS"/>
                        <w:color w:val="231F20"/>
                        <w:spacing w:val="-1"/>
                        <w:w w:val="122"/>
                        <w:sz w:val="20"/>
                      </w:rPr>
                      <w:t>s</w:t>
                    </w:r>
                    <w:r>
                      <w:rPr>
                        <w:rFonts w:ascii="Trebuchet MS"/>
                        <w:color w:val="231F20"/>
                        <w:spacing w:val="2"/>
                        <w:w w:val="88"/>
                        <w:sz w:val="20"/>
                      </w:rPr>
                      <w:t>t</w:t>
                    </w:r>
                    <w:r>
                      <w:rPr>
                        <w:rFonts w:ascii="Trebuchet MS"/>
                        <w:color w:val="231F20"/>
                        <w:w w:val="122"/>
                        <w:sz w:val="20"/>
                      </w:rPr>
                      <w:t>s</w:t>
                    </w:r>
                    <w:r>
                      <w:rPr>
                        <w:rFonts w:ascii="Trebuchet MS"/>
                        <w:color w:val="231F20"/>
                        <w:spacing w:val="-14"/>
                        <w:sz w:val="20"/>
                      </w:rPr>
                      <w:t xml:space="preserve"> </w:t>
                    </w:r>
                    <w:r>
                      <w:rPr>
                        <w:rFonts w:ascii="Trebuchet MS"/>
                        <w:color w:val="231F20"/>
                        <w:spacing w:val="-5"/>
                        <w:w w:val="92"/>
                        <w:sz w:val="20"/>
                      </w:rPr>
                      <w:t>f</w:t>
                    </w:r>
                    <w:r>
                      <w:rPr>
                        <w:rFonts w:ascii="Trebuchet MS"/>
                        <w:color w:val="231F20"/>
                        <w:spacing w:val="-1"/>
                        <w:w w:val="111"/>
                        <w:sz w:val="20"/>
                      </w:rPr>
                      <w:t>o</w:t>
                    </w:r>
                    <w:r>
                      <w:rPr>
                        <w:rFonts w:ascii="Trebuchet MS"/>
                        <w:color w:val="231F20"/>
                        <w:w w:val="93"/>
                        <w:sz w:val="20"/>
                      </w:rPr>
                      <w:t xml:space="preserve">r </w:t>
                    </w:r>
                    <w:r>
                      <w:rPr>
                        <w:rFonts w:ascii="Trebuchet MS"/>
                        <w:color w:val="231F20"/>
                        <w:w w:val="105"/>
                        <w:sz w:val="20"/>
                      </w:rPr>
                      <w:t xml:space="preserve">sentencing breaches of </w:t>
                    </w:r>
                    <w:r>
                      <w:rPr>
                        <w:rFonts w:ascii="Trebuchet MS"/>
                        <w:color w:val="231F20"/>
                        <w:spacing w:val="-3"/>
                        <w:w w:val="105"/>
                        <w:sz w:val="20"/>
                      </w:rPr>
                      <w:t xml:space="preserve">family </w:t>
                    </w:r>
                    <w:r>
                      <w:rPr>
                        <w:rFonts w:ascii="Trebuchet MS"/>
                        <w:color w:val="231F20"/>
                        <w:w w:val="105"/>
                        <w:sz w:val="20"/>
                      </w:rPr>
                      <w:t xml:space="preserve">violence intervention orders and </w:t>
                    </w:r>
                    <w:r>
                      <w:rPr>
                        <w:rFonts w:ascii="Trebuchet MS"/>
                        <w:color w:val="231F20"/>
                        <w:spacing w:val="-3"/>
                        <w:w w:val="105"/>
                        <w:sz w:val="20"/>
                      </w:rPr>
                      <w:t xml:space="preserve">family </w:t>
                    </w:r>
                    <w:r>
                      <w:rPr>
                        <w:rFonts w:ascii="Trebuchet MS"/>
                        <w:color w:val="231F20"/>
                        <w:w w:val="105"/>
                        <w:sz w:val="20"/>
                      </w:rPr>
                      <w:t>violence safety</w:t>
                    </w:r>
                    <w:r>
                      <w:rPr>
                        <w:rFonts w:ascii="Trebuchet MS"/>
                        <w:color w:val="231F20"/>
                        <w:spacing w:val="-21"/>
                        <w:w w:val="105"/>
                        <w:sz w:val="20"/>
                      </w:rPr>
                      <w:t xml:space="preserve"> </w:t>
                    </w:r>
                    <w:r>
                      <w:rPr>
                        <w:rFonts w:ascii="Trebuchet MS"/>
                        <w:color w:val="231F20"/>
                        <w:w w:val="105"/>
                        <w:sz w:val="20"/>
                      </w:rPr>
                      <w:t>notices</w:t>
                    </w:r>
                    <w:r>
                      <w:rPr>
                        <w:rFonts w:ascii="Trebuchet MS"/>
                        <w:color w:val="231F20"/>
                        <w:spacing w:val="-21"/>
                        <w:w w:val="105"/>
                        <w:sz w:val="20"/>
                      </w:rPr>
                      <w:t xml:space="preserve"> </w:t>
                    </w:r>
                    <w:r>
                      <w:rPr>
                        <w:rFonts w:ascii="Trebuchet MS"/>
                        <w:color w:val="231F20"/>
                        <w:w w:val="105"/>
                        <w:sz w:val="20"/>
                      </w:rPr>
                      <w:t>under</w:t>
                    </w:r>
                    <w:r>
                      <w:rPr>
                        <w:rFonts w:ascii="Trebuchet MS"/>
                        <w:color w:val="231F20"/>
                        <w:spacing w:val="-21"/>
                        <w:w w:val="105"/>
                        <w:sz w:val="20"/>
                      </w:rPr>
                      <w:t xml:space="preserve"> </w:t>
                    </w:r>
                    <w:r>
                      <w:rPr>
                        <w:rFonts w:ascii="Trebuchet MS"/>
                        <w:color w:val="231F20"/>
                        <w:w w:val="105"/>
                        <w:sz w:val="20"/>
                      </w:rPr>
                      <w:t>the</w:t>
                    </w:r>
                    <w:r>
                      <w:rPr>
                        <w:rFonts w:ascii="Trebuchet MS"/>
                        <w:color w:val="231F20"/>
                        <w:spacing w:val="-21"/>
                        <w:w w:val="105"/>
                        <w:sz w:val="20"/>
                      </w:rPr>
                      <w:t xml:space="preserve"> </w:t>
                    </w:r>
                    <w:r>
                      <w:rPr>
                        <w:rFonts w:ascii="Arial"/>
                        <w:i/>
                        <w:color w:val="231F20"/>
                        <w:spacing w:val="-3"/>
                        <w:w w:val="105"/>
                        <w:sz w:val="20"/>
                      </w:rPr>
                      <w:t>Family</w:t>
                    </w:r>
                    <w:r>
                      <w:rPr>
                        <w:rFonts w:ascii="Arial"/>
                        <w:i/>
                        <w:color w:val="231F20"/>
                        <w:spacing w:val="-17"/>
                        <w:w w:val="105"/>
                        <w:sz w:val="20"/>
                      </w:rPr>
                      <w:t xml:space="preserve"> </w:t>
                    </w:r>
                    <w:r>
                      <w:rPr>
                        <w:rFonts w:ascii="Arial"/>
                        <w:i/>
                        <w:color w:val="231F20"/>
                        <w:w w:val="105"/>
                        <w:sz w:val="20"/>
                      </w:rPr>
                      <w:t>Violence</w:t>
                    </w:r>
                    <w:r>
                      <w:rPr>
                        <w:rFonts w:ascii="Arial"/>
                        <w:i/>
                        <w:color w:val="231F20"/>
                        <w:spacing w:val="-17"/>
                        <w:w w:val="105"/>
                        <w:sz w:val="20"/>
                      </w:rPr>
                      <w:t xml:space="preserve"> </w:t>
                    </w:r>
                    <w:r>
                      <w:rPr>
                        <w:rFonts w:ascii="Arial"/>
                        <w:i/>
                        <w:color w:val="231F20"/>
                        <w:spacing w:val="-3"/>
                        <w:w w:val="105"/>
                        <w:sz w:val="20"/>
                      </w:rPr>
                      <w:t>Protection</w:t>
                    </w:r>
                    <w:r>
                      <w:rPr>
                        <w:rFonts w:ascii="Arial"/>
                        <w:i/>
                        <w:color w:val="231F20"/>
                        <w:spacing w:val="-18"/>
                        <w:w w:val="105"/>
                        <w:sz w:val="20"/>
                      </w:rPr>
                      <w:t xml:space="preserve"> </w:t>
                    </w:r>
                    <w:r>
                      <w:rPr>
                        <w:rFonts w:ascii="Arial"/>
                        <w:i/>
                        <w:color w:val="231F20"/>
                        <w:w w:val="105"/>
                        <w:sz w:val="20"/>
                      </w:rPr>
                      <w:t>Act</w:t>
                    </w:r>
                    <w:r>
                      <w:rPr>
                        <w:rFonts w:ascii="Arial"/>
                        <w:i/>
                        <w:color w:val="231F20"/>
                        <w:spacing w:val="-17"/>
                        <w:w w:val="105"/>
                        <w:sz w:val="20"/>
                      </w:rPr>
                      <w:t xml:space="preserve"> </w:t>
                    </w:r>
                    <w:r>
                      <w:rPr>
                        <w:rFonts w:ascii="Arial"/>
                        <w:i/>
                        <w:color w:val="231F20"/>
                        <w:w w:val="105"/>
                        <w:sz w:val="20"/>
                      </w:rPr>
                      <w:t>2008</w:t>
                    </w:r>
                    <w:r>
                      <w:rPr>
                        <w:rFonts w:ascii="Arial"/>
                        <w:i/>
                        <w:color w:val="231F20"/>
                        <w:spacing w:val="-19"/>
                        <w:w w:val="105"/>
                        <w:sz w:val="20"/>
                      </w:rPr>
                      <w:t xml:space="preserve"> </w:t>
                    </w:r>
                    <w:r>
                      <w:rPr>
                        <w:rFonts w:ascii="Trebuchet MS"/>
                        <w:color w:val="231F20"/>
                        <w:spacing w:val="-3"/>
                        <w:w w:val="105"/>
                        <w:sz w:val="20"/>
                      </w:rPr>
                      <w:t>(Vic).</w:t>
                    </w:r>
                  </w:p>
                </w:txbxContent>
              </v:textbox>
            </v:shape>
            <v:shape id="_x0000_s1045" type="#_x0000_t202" style="position:absolute;left:1814;top:1342;width:286;height:235" filled="f" stroked="f">
              <v:textbox inset="0,0,0,0">
                <w:txbxContent>
                  <w:p w14:paraId="2165965E" w14:textId="77777777" w:rsidR="00894070" w:rsidRDefault="009B7AFD">
                    <w:pPr>
                      <w:rPr>
                        <w:rFonts w:ascii="Trebuchet MS"/>
                        <w:sz w:val="20"/>
                      </w:rPr>
                    </w:pPr>
                    <w:r>
                      <w:rPr>
                        <w:rFonts w:ascii="Trebuchet MS"/>
                        <w:color w:val="231F20"/>
                        <w:w w:val="95"/>
                        <w:sz w:val="20"/>
                      </w:rPr>
                      <w:t>45.</w:t>
                    </w:r>
                  </w:p>
                </w:txbxContent>
              </v:textbox>
            </v:shape>
            <v:shape id="_x0000_s1044" type="#_x0000_t202" style="position:absolute;left:1587;top:309;width:8731;height:783" fillcolor="#fee7de" stroked="f">
              <v:textbox inset="0,0,0,0">
                <w:txbxContent>
                  <w:p w14:paraId="13EE0BFE" w14:textId="77777777" w:rsidR="00894070" w:rsidRDefault="009B7AFD">
                    <w:pPr>
                      <w:spacing w:before="158"/>
                      <w:ind w:left="226"/>
                      <w:rPr>
                        <w:rFonts w:ascii="Raleway ExtraBold"/>
                        <w:b/>
                        <w:sz w:val="32"/>
                      </w:rPr>
                    </w:pPr>
                    <w:r>
                      <w:rPr>
                        <w:rFonts w:ascii="Raleway ExtraBold"/>
                        <w:b/>
                        <w:color w:val="EA5B50"/>
                        <w:sz w:val="32"/>
                      </w:rPr>
                      <w:t>Recommendation</w:t>
                    </w:r>
                  </w:p>
                </w:txbxContent>
              </v:textbox>
            </v:shape>
            <w10:wrap type="topAndBottom" anchorx="page"/>
          </v:group>
        </w:pict>
      </w:r>
    </w:p>
    <w:p w14:paraId="675632FA" w14:textId="77777777" w:rsidR="00894070" w:rsidRDefault="00894070">
      <w:pPr>
        <w:pStyle w:val="BodyText"/>
      </w:pPr>
    </w:p>
    <w:p w14:paraId="70EE9196" w14:textId="77777777" w:rsidR="00894070" w:rsidRDefault="00894070">
      <w:pPr>
        <w:pStyle w:val="BodyText"/>
      </w:pPr>
    </w:p>
    <w:p w14:paraId="0B540F7F" w14:textId="77777777" w:rsidR="00894070" w:rsidRDefault="00894070">
      <w:pPr>
        <w:pStyle w:val="BodyText"/>
      </w:pPr>
    </w:p>
    <w:p w14:paraId="32E3331C" w14:textId="77777777" w:rsidR="00894070" w:rsidRDefault="00894070">
      <w:pPr>
        <w:pStyle w:val="BodyText"/>
      </w:pPr>
    </w:p>
    <w:p w14:paraId="512C86F2" w14:textId="77777777" w:rsidR="00894070" w:rsidRDefault="00894070">
      <w:pPr>
        <w:pStyle w:val="BodyText"/>
      </w:pPr>
    </w:p>
    <w:p w14:paraId="3441E096" w14:textId="77777777" w:rsidR="00894070" w:rsidRDefault="00894070">
      <w:pPr>
        <w:pStyle w:val="BodyText"/>
      </w:pPr>
    </w:p>
    <w:p w14:paraId="5E5198D5" w14:textId="77777777" w:rsidR="00894070" w:rsidRDefault="00894070">
      <w:pPr>
        <w:pStyle w:val="BodyText"/>
      </w:pPr>
    </w:p>
    <w:p w14:paraId="7B610203" w14:textId="77777777" w:rsidR="00894070" w:rsidRDefault="00894070">
      <w:pPr>
        <w:pStyle w:val="BodyText"/>
      </w:pPr>
    </w:p>
    <w:p w14:paraId="539716BD" w14:textId="77777777" w:rsidR="00894070" w:rsidRDefault="00894070">
      <w:pPr>
        <w:pStyle w:val="BodyText"/>
      </w:pPr>
    </w:p>
    <w:p w14:paraId="66502EFE" w14:textId="77777777" w:rsidR="00894070" w:rsidRDefault="00894070">
      <w:pPr>
        <w:pStyle w:val="BodyText"/>
      </w:pPr>
    </w:p>
    <w:p w14:paraId="2D27BA6A" w14:textId="77777777" w:rsidR="00894070" w:rsidRDefault="00894070">
      <w:pPr>
        <w:pStyle w:val="BodyText"/>
      </w:pPr>
    </w:p>
    <w:p w14:paraId="68273CD0" w14:textId="77777777" w:rsidR="00894070" w:rsidRDefault="00894070">
      <w:pPr>
        <w:pStyle w:val="BodyText"/>
      </w:pPr>
    </w:p>
    <w:p w14:paraId="4454DC44" w14:textId="77777777" w:rsidR="00894070" w:rsidRDefault="00894070">
      <w:pPr>
        <w:pStyle w:val="BodyText"/>
      </w:pPr>
    </w:p>
    <w:p w14:paraId="0692FB57" w14:textId="77777777" w:rsidR="00894070" w:rsidRDefault="00894070">
      <w:pPr>
        <w:pStyle w:val="BodyText"/>
      </w:pPr>
    </w:p>
    <w:p w14:paraId="4FC0FBE4" w14:textId="77777777" w:rsidR="00894070" w:rsidRDefault="00894070">
      <w:pPr>
        <w:pStyle w:val="BodyText"/>
      </w:pPr>
    </w:p>
    <w:p w14:paraId="398C3804" w14:textId="77777777" w:rsidR="00894070" w:rsidRDefault="00894070">
      <w:pPr>
        <w:pStyle w:val="BodyText"/>
      </w:pPr>
    </w:p>
    <w:p w14:paraId="534DB14B" w14:textId="77777777" w:rsidR="00894070" w:rsidRDefault="00894070">
      <w:pPr>
        <w:pStyle w:val="BodyText"/>
      </w:pPr>
    </w:p>
    <w:p w14:paraId="66975ACB" w14:textId="77777777" w:rsidR="00894070" w:rsidRDefault="00894070">
      <w:pPr>
        <w:pStyle w:val="BodyText"/>
      </w:pPr>
    </w:p>
    <w:p w14:paraId="578301B3" w14:textId="77777777" w:rsidR="00894070" w:rsidRDefault="00894070">
      <w:pPr>
        <w:pStyle w:val="BodyText"/>
      </w:pPr>
    </w:p>
    <w:p w14:paraId="57E515B4" w14:textId="77777777" w:rsidR="00894070" w:rsidRDefault="00894070">
      <w:pPr>
        <w:pStyle w:val="BodyText"/>
      </w:pPr>
    </w:p>
    <w:p w14:paraId="0A7E86E4" w14:textId="77777777" w:rsidR="00894070" w:rsidRDefault="00894070">
      <w:pPr>
        <w:pStyle w:val="BodyText"/>
      </w:pPr>
    </w:p>
    <w:p w14:paraId="33098CE8" w14:textId="77777777" w:rsidR="00894070" w:rsidRDefault="00894070">
      <w:pPr>
        <w:pStyle w:val="BodyText"/>
      </w:pPr>
    </w:p>
    <w:p w14:paraId="106F5CFA" w14:textId="77777777" w:rsidR="00894070" w:rsidRDefault="00894070">
      <w:pPr>
        <w:pStyle w:val="BodyText"/>
      </w:pPr>
    </w:p>
    <w:p w14:paraId="1B4E9B3E" w14:textId="77777777" w:rsidR="00894070" w:rsidRDefault="00894070">
      <w:pPr>
        <w:pStyle w:val="BodyText"/>
      </w:pPr>
    </w:p>
    <w:p w14:paraId="31A66ABF" w14:textId="77777777" w:rsidR="00894070" w:rsidRDefault="00894070">
      <w:pPr>
        <w:pStyle w:val="BodyText"/>
      </w:pPr>
    </w:p>
    <w:p w14:paraId="5859F754" w14:textId="77777777" w:rsidR="00894070" w:rsidRDefault="00894070">
      <w:pPr>
        <w:pStyle w:val="BodyText"/>
      </w:pPr>
    </w:p>
    <w:p w14:paraId="0E723878" w14:textId="77777777" w:rsidR="00894070" w:rsidRDefault="00894070">
      <w:pPr>
        <w:pStyle w:val="BodyText"/>
      </w:pPr>
    </w:p>
    <w:p w14:paraId="4EED1D19" w14:textId="77777777" w:rsidR="00894070" w:rsidRDefault="00894070">
      <w:pPr>
        <w:pStyle w:val="BodyText"/>
      </w:pPr>
    </w:p>
    <w:p w14:paraId="79822930" w14:textId="77777777" w:rsidR="00894070" w:rsidRDefault="00894070">
      <w:pPr>
        <w:pStyle w:val="BodyText"/>
      </w:pPr>
    </w:p>
    <w:p w14:paraId="1172FFDD" w14:textId="77777777" w:rsidR="00894070" w:rsidRDefault="00894070">
      <w:pPr>
        <w:pStyle w:val="BodyText"/>
      </w:pPr>
    </w:p>
    <w:p w14:paraId="03CE8AA5" w14:textId="77777777" w:rsidR="00894070" w:rsidRDefault="00894070">
      <w:pPr>
        <w:pStyle w:val="BodyText"/>
      </w:pPr>
    </w:p>
    <w:p w14:paraId="25A988C0" w14:textId="77777777" w:rsidR="00894070" w:rsidRDefault="00894070">
      <w:pPr>
        <w:pStyle w:val="BodyText"/>
      </w:pPr>
    </w:p>
    <w:p w14:paraId="73EFF90D" w14:textId="77777777" w:rsidR="00894070" w:rsidRDefault="00894070">
      <w:pPr>
        <w:pStyle w:val="BodyText"/>
      </w:pPr>
    </w:p>
    <w:p w14:paraId="5832569E" w14:textId="77777777" w:rsidR="00894070" w:rsidRDefault="00894070">
      <w:pPr>
        <w:pStyle w:val="BodyText"/>
      </w:pPr>
    </w:p>
    <w:p w14:paraId="1E31BEA5" w14:textId="77777777" w:rsidR="00894070" w:rsidRDefault="00894070">
      <w:pPr>
        <w:pStyle w:val="BodyText"/>
      </w:pPr>
    </w:p>
    <w:p w14:paraId="756B9236" w14:textId="77777777" w:rsidR="00894070" w:rsidRDefault="00894070">
      <w:pPr>
        <w:pStyle w:val="BodyText"/>
      </w:pPr>
    </w:p>
    <w:p w14:paraId="3AD50C64" w14:textId="77777777" w:rsidR="00894070" w:rsidRDefault="00894070">
      <w:pPr>
        <w:pStyle w:val="BodyText"/>
      </w:pPr>
    </w:p>
    <w:p w14:paraId="1A492C07" w14:textId="77777777" w:rsidR="00894070" w:rsidRDefault="00894070">
      <w:pPr>
        <w:pStyle w:val="BodyText"/>
      </w:pPr>
    </w:p>
    <w:p w14:paraId="042AB7E7" w14:textId="77777777" w:rsidR="00894070" w:rsidRDefault="009F6793">
      <w:pPr>
        <w:pStyle w:val="BodyText"/>
        <w:spacing w:before="2"/>
        <w:rPr>
          <w:sz w:val="14"/>
        </w:rPr>
      </w:pPr>
      <w:r>
        <w:pict w14:anchorId="5BEE9F68">
          <v:line id="_x0000_s1042" style="position:absolute;z-index:251793408;mso-wrap-distance-left:0;mso-wrap-distance-right:0;mso-position-horizontal-relative:page" from="79.35pt,12.3pt" to="515.9pt,12.3pt" strokecolor="#f8cabc" strokeweight="1pt">
            <w10:wrap type="topAndBottom" anchorx="page"/>
          </v:line>
        </w:pict>
      </w:r>
    </w:p>
    <w:p w14:paraId="75DDC499" w14:textId="77777777" w:rsidR="00894070" w:rsidRDefault="009B7AFD">
      <w:pPr>
        <w:tabs>
          <w:tab w:val="left" w:pos="1007"/>
          <w:tab w:val="left" w:pos="1801"/>
        </w:tabs>
        <w:spacing w:line="297" w:lineRule="exact"/>
        <w:ind w:left="140"/>
        <w:rPr>
          <w:sz w:val="13"/>
        </w:rPr>
      </w:pPr>
      <w:r>
        <w:rPr>
          <w:b/>
          <w:color w:val="EA5B50"/>
          <w:sz w:val="24"/>
        </w:rPr>
        <w:t>184</w:t>
      </w:r>
      <w:r>
        <w:rPr>
          <w:b/>
          <w:color w:val="EA5B50"/>
          <w:sz w:val="24"/>
        </w:rPr>
        <w:tab/>
      </w:r>
      <w:r>
        <w:rPr>
          <w:color w:val="231F20"/>
          <w:sz w:val="13"/>
        </w:rPr>
        <w:t>228</w:t>
      </w:r>
      <w:r>
        <w:rPr>
          <w:color w:val="231F20"/>
          <w:sz w:val="13"/>
        </w:rPr>
        <w:tab/>
        <w:t xml:space="preserve">Ibid </w:t>
      </w:r>
      <w:r>
        <w:rPr>
          <w:color w:val="231F20"/>
          <w:spacing w:val="2"/>
          <w:sz w:val="13"/>
        </w:rPr>
        <w:t>73.</w:t>
      </w:r>
    </w:p>
    <w:p w14:paraId="57CC1DD0" w14:textId="77777777" w:rsidR="00894070" w:rsidRDefault="00894070">
      <w:pPr>
        <w:spacing w:line="297" w:lineRule="exact"/>
        <w:rPr>
          <w:sz w:val="13"/>
        </w:rPr>
        <w:sectPr w:rsidR="00894070">
          <w:pgSz w:w="11910" w:h="16840"/>
          <w:pgMar w:top="860" w:right="420" w:bottom="280" w:left="580" w:header="567" w:footer="0" w:gutter="0"/>
          <w:cols w:space="720"/>
        </w:sectPr>
      </w:pPr>
    </w:p>
    <w:p w14:paraId="4CA094B2" w14:textId="77777777" w:rsidR="00894070" w:rsidRDefault="009F6793">
      <w:pPr>
        <w:pStyle w:val="BodyText"/>
      </w:pPr>
      <w:r>
        <w:lastRenderedPageBreak/>
        <w:pict w14:anchorId="6C662D4C">
          <v:rect id="_x0000_s1041" style="position:absolute;margin-left:0;margin-top:0;width:595.3pt;height:841.9pt;z-index:-251485184;mso-position-horizontal-relative:page;mso-position-vertical-relative:page" fillcolor="#ea5b50" stroked="f">
            <w10:wrap anchorx="page" anchory="page"/>
          </v:rect>
        </w:pict>
      </w:r>
    </w:p>
    <w:p w14:paraId="47754C3A" w14:textId="77777777" w:rsidR="00894070" w:rsidRDefault="00894070">
      <w:pPr>
        <w:pStyle w:val="BodyText"/>
      </w:pPr>
    </w:p>
    <w:p w14:paraId="79FA258F" w14:textId="77777777" w:rsidR="00894070" w:rsidRDefault="00894070">
      <w:pPr>
        <w:pStyle w:val="BodyText"/>
      </w:pPr>
    </w:p>
    <w:p w14:paraId="0C7FCCA6" w14:textId="77777777" w:rsidR="00894070" w:rsidRDefault="00894070">
      <w:pPr>
        <w:pStyle w:val="BodyText"/>
      </w:pPr>
    </w:p>
    <w:p w14:paraId="1DDAACC9" w14:textId="77777777" w:rsidR="00894070" w:rsidRDefault="00894070">
      <w:pPr>
        <w:pStyle w:val="BodyText"/>
      </w:pPr>
    </w:p>
    <w:p w14:paraId="69236280" w14:textId="77777777" w:rsidR="00894070" w:rsidRDefault="00894070">
      <w:pPr>
        <w:pStyle w:val="BodyText"/>
      </w:pPr>
    </w:p>
    <w:p w14:paraId="0D86AD48" w14:textId="77777777" w:rsidR="00894070" w:rsidRDefault="00894070">
      <w:pPr>
        <w:pStyle w:val="BodyText"/>
      </w:pPr>
    </w:p>
    <w:p w14:paraId="02B26266" w14:textId="77777777" w:rsidR="00894070" w:rsidRDefault="00894070">
      <w:pPr>
        <w:pStyle w:val="BodyText"/>
      </w:pPr>
    </w:p>
    <w:p w14:paraId="1075A239" w14:textId="77777777" w:rsidR="00894070" w:rsidRDefault="00894070">
      <w:pPr>
        <w:pStyle w:val="BodyText"/>
      </w:pPr>
    </w:p>
    <w:p w14:paraId="0BDD1CE9" w14:textId="77777777" w:rsidR="00894070" w:rsidRDefault="00894070">
      <w:pPr>
        <w:pStyle w:val="BodyText"/>
      </w:pPr>
    </w:p>
    <w:p w14:paraId="3CAAC39A" w14:textId="77777777" w:rsidR="00894070" w:rsidRDefault="00894070">
      <w:pPr>
        <w:pStyle w:val="BodyText"/>
      </w:pPr>
    </w:p>
    <w:p w14:paraId="7E1EC42E" w14:textId="77777777" w:rsidR="00894070" w:rsidRDefault="00894070">
      <w:pPr>
        <w:pStyle w:val="BodyText"/>
      </w:pPr>
    </w:p>
    <w:p w14:paraId="7D5925B9" w14:textId="77777777" w:rsidR="00894070" w:rsidRDefault="00894070">
      <w:pPr>
        <w:pStyle w:val="BodyText"/>
      </w:pPr>
    </w:p>
    <w:p w14:paraId="600924B7" w14:textId="77777777" w:rsidR="00894070" w:rsidRDefault="00894070">
      <w:pPr>
        <w:pStyle w:val="BodyText"/>
      </w:pPr>
    </w:p>
    <w:p w14:paraId="59D259B8" w14:textId="77777777" w:rsidR="00894070" w:rsidRDefault="00894070">
      <w:pPr>
        <w:pStyle w:val="BodyText"/>
      </w:pPr>
    </w:p>
    <w:p w14:paraId="75C8CE7E" w14:textId="77777777" w:rsidR="00894070" w:rsidRDefault="00894070">
      <w:pPr>
        <w:pStyle w:val="BodyText"/>
        <w:spacing w:before="13"/>
        <w:rPr>
          <w:sz w:val="24"/>
        </w:rPr>
      </w:pPr>
    </w:p>
    <w:p w14:paraId="33A6B222" w14:textId="77777777" w:rsidR="00894070" w:rsidRDefault="009B7AFD">
      <w:pPr>
        <w:pStyle w:val="Heading2"/>
        <w:spacing w:line="1134" w:lineRule="exact"/>
      </w:pPr>
      <w:r>
        <w:rPr>
          <w:color w:val="FFFFFF"/>
        </w:rPr>
        <w:t>Appendices</w:t>
      </w:r>
    </w:p>
    <w:p w14:paraId="1D0C8DA8" w14:textId="77777777" w:rsidR="00894070" w:rsidRDefault="00894070">
      <w:pPr>
        <w:pStyle w:val="BodyText"/>
        <w:rPr>
          <w:rFonts w:ascii="Raleway ExtraBold"/>
          <w:b/>
        </w:rPr>
      </w:pPr>
    </w:p>
    <w:p w14:paraId="05A32E91" w14:textId="77777777" w:rsidR="00894070" w:rsidRDefault="00894070">
      <w:pPr>
        <w:pStyle w:val="BodyText"/>
        <w:rPr>
          <w:rFonts w:ascii="Raleway ExtraBold"/>
          <w:b/>
        </w:rPr>
      </w:pPr>
    </w:p>
    <w:p w14:paraId="603E1D8E" w14:textId="77777777" w:rsidR="00894070" w:rsidRDefault="00894070">
      <w:pPr>
        <w:pStyle w:val="BodyText"/>
        <w:spacing w:before="6"/>
        <w:rPr>
          <w:rFonts w:ascii="Raleway ExtraBold"/>
          <w:b/>
          <w:sz w:val="28"/>
        </w:rPr>
      </w:pPr>
    </w:p>
    <w:tbl>
      <w:tblPr>
        <w:tblW w:w="0" w:type="auto"/>
        <w:tblInd w:w="1029" w:type="dxa"/>
        <w:tblLayout w:type="fixed"/>
        <w:tblCellMar>
          <w:left w:w="0" w:type="dxa"/>
          <w:right w:w="0" w:type="dxa"/>
        </w:tblCellMar>
        <w:tblLook w:val="01E0" w:firstRow="1" w:lastRow="1" w:firstColumn="1" w:lastColumn="1" w:noHBand="0" w:noVBand="0"/>
      </w:tblPr>
      <w:tblGrid>
        <w:gridCol w:w="510"/>
        <w:gridCol w:w="7785"/>
      </w:tblGrid>
      <w:tr w:rsidR="00894070" w14:paraId="418BD685" w14:textId="77777777">
        <w:trPr>
          <w:trHeight w:val="336"/>
        </w:trPr>
        <w:tc>
          <w:tcPr>
            <w:tcW w:w="510" w:type="dxa"/>
            <w:tcBorders>
              <w:bottom w:val="single" w:sz="18" w:space="0" w:color="F4A997"/>
            </w:tcBorders>
            <w:shd w:val="clear" w:color="auto" w:fill="EA5B50"/>
          </w:tcPr>
          <w:p w14:paraId="4A00C938" w14:textId="77777777" w:rsidR="00894070" w:rsidRDefault="009F6793">
            <w:pPr>
              <w:pStyle w:val="TableParagraph"/>
              <w:spacing w:line="282" w:lineRule="exact"/>
              <w:ind w:left="-1"/>
              <w:rPr>
                <w:b/>
                <w:sz w:val="24"/>
              </w:rPr>
            </w:pPr>
            <w:hyperlink w:anchor="_bookmark120" w:history="1">
              <w:r w:rsidR="009B7AFD">
                <w:rPr>
                  <w:b/>
                  <w:color w:val="FFFFFF"/>
                  <w:sz w:val="24"/>
                </w:rPr>
                <w:t>186</w:t>
              </w:r>
            </w:hyperlink>
          </w:p>
        </w:tc>
        <w:tc>
          <w:tcPr>
            <w:tcW w:w="7785" w:type="dxa"/>
            <w:shd w:val="clear" w:color="auto" w:fill="EA5B50"/>
          </w:tcPr>
          <w:p w14:paraId="1B34541E" w14:textId="77777777" w:rsidR="00894070" w:rsidRDefault="009F6793">
            <w:pPr>
              <w:pStyle w:val="TableParagraph"/>
              <w:spacing w:line="282" w:lineRule="exact"/>
              <w:ind w:left="56"/>
              <w:rPr>
                <w:b/>
                <w:sz w:val="24"/>
              </w:rPr>
            </w:pPr>
            <w:hyperlink w:anchor="_bookmark120" w:history="1">
              <w:r w:rsidR="009B7AFD">
                <w:rPr>
                  <w:b/>
                  <w:color w:val="FFFFFF"/>
                  <w:sz w:val="24"/>
                </w:rPr>
                <w:t>Appendix A: Submissions</w:t>
              </w:r>
            </w:hyperlink>
          </w:p>
        </w:tc>
      </w:tr>
      <w:tr w:rsidR="00894070" w14:paraId="1C653277" w14:textId="77777777">
        <w:trPr>
          <w:trHeight w:val="428"/>
        </w:trPr>
        <w:tc>
          <w:tcPr>
            <w:tcW w:w="510" w:type="dxa"/>
            <w:tcBorders>
              <w:top w:val="single" w:sz="18" w:space="0" w:color="F4A997"/>
              <w:bottom w:val="single" w:sz="18" w:space="0" w:color="F4A997"/>
            </w:tcBorders>
            <w:shd w:val="clear" w:color="auto" w:fill="EA5B50"/>
          </w:tcPr>
          <w:p w14:paraId="2CB17B11" w14:textId="77777777" w:rsidR="00894070" w:rsidRDefault="009F6793">
            <w:pPr>
              <w:pStyle w:val="TableParagraph"/>
              <w:spacing w:before="40"/>
              <w:ind w:left="-1"/>
              <w:rPr>
                <w:b/>
                <w:sz w:val="24"/>
              </w:rPr>
            </w:pPr>
            <w:hyperlink w:anchor="_bookmark121" w:history="1">
              <w:r w:rsidR="009B7AFD">
                <w:rPr>
                  <w:b/>
                  <w:color w:val="FFFFFF"/>
                  <w:sz w:val="24"/>
                </w:rPr>
                <w:t>189</w:t>
              </w:r>
            </w:hyperlink>
          </w:p>
        </w:tc>
        <w:tc>
          <w:tcPr>
            <w:tcW w:w="7785" w:type="dxa"/>
            <w:shd w:val="clear" w:color="auto" w:fill="EA5B50"/>
          </w:tcPr>
          <w:p w14:paraId="2FCB1158" w14:textId="77777777" w:rsidR="00894070" w:rsidRDefault="009F6793">
            <w:pPr>
              <w:pStyle w:val="TableParagraph"/>
              <w:spacing w:before="40"/>
              <w:ind w:left="56"/>
              <w:rPr>
                <w:b/>
                <w:sz w:val="24"/>
              </w:rPr>
            </w:pPr>
            <w:hyperlink w:anchor="_bookmark121" w:history="1">
              <w:r w:rsidR="009B7AFD">
                <w:rPr>
                  <w:b/>
                  <w:color w:val="FFFFFF"/>
                  <w:sz w:val="24"/>
                </w:rPr>
                <w:t>Appendix B: Consultations</w:t>
              </w:r>
            </w:hyperlink>
          </w:p>
        </w:tc>
      </w:tr>
      <w:tr w:rsidR="00894070" w14:paraId="30F56B2A" w14:textId="77777777">
        <w:trPr>
          <w:trHeight w:val="788"/>
        </w:trPr>
        <w:tc>
          <w:tcPr>
            <w:tcW w:w="510" w:type="dxa"/>
            <w:tcBorders>
              <w:top w:val="single" w:sz="18" w:space="0" w:color="F4A997"/>
              <w:bottom w:val="single" w:sz="18" w:space="0" w:color="F4A997"/>
            </w:tcBorders>
            <w:shd w:val="clear" w:color="auto" w:fill="EA5B50"/>
          </w:tcPr>
          <w:p w14:paraId="714DBC5F" w14:textId="77777777" w:rsidR="00894070" w:rsidRDefault="009F6793">
            <w:pPr>
              <w:pStyle w:val="TableParagraph"/>
              <w:spacing w:before="40"/>
              <w:ind w:left="-1"/>
              <w:rPr>
                <w:b/>
                <w:sz w:val="24"/>
              </w:rPr>
            </w:pPr>
            <w:hyperlink w:anchor="_bookmark122" w:history="1">
              <w:r w:rsidR="009B7AFD">
                <w:rPr>
                  <w:b/>
                  <w:color w:val="FFFFFF"/>
                  <w:sz w:val="24"/>
                </w:rPr>
                <w:t>190</w:t>
              </w:r>
            </w:hyperlink>
          </w:p>
        </w:tc>
        <w:tc>
          <w:tcPr>
            <w:tcW w:w="7785" w:type="dxa"/>
            <w:shd w:val="clear" w:color="auto" w:fill="EA5B50"/>
          </w:tcPr>
          <w:p w14:paraId="4E406ABE" w14:textId="77777777" w:rsidR="00894070" w:rsidRDefault="009F6793">
            <w:pPr>
              <w:pStyle w:val="TableParagraph"/>
              <w:spacing w:before="40"/>
              <w:ind w:left="56"/>
              <w:rPr>
                <w:b/>
                <w:sz w:val="24"/>
              </w:rPr>
            </w:pPr>
            <w:hyperlink w:anchor="_bookmark122" w:history="1">
              <w:r w:rsidR="009B7AFD">
                <w:rPr>
                  <w:b/>
                  <w:color w:val="FFFFFF"/>
                  <w:sz w:val="24"/>
                </w:rPr>
                <w:t>Appendix</w:t>
              </w:r>
              <w:r w:rsidR="009B7AFD">
                <w:rPr>
                  <w:b/>
                  <w:color w:val="FFFFFF"/>
                  <w:spacing w:val="-8"/>
                  <w:sz w:val="24"/>
                </w:rPr>
                <w:t xml:space="preserve"> </w:t>
              </w:r>
              <w:r w:rsidR="009B7AFD">
                <w:rPr>
                  <w:b/>
                  <w:color w:val="FFFFFF"/>
                  <w:sz w:val="24"/>
                </w:rPr>
                <w:t>C:</w:t>
              </w:r>
              <w:r w:rsidR="009B7AFD">
                <w:rPr>
                  <w:b/>
                  <w:color w:val="FFFFFF"/>
                  <w:spacing w:val="-7"/>
                  <w:sz w:val="24"/>
                </w:rPr>
                <w:t xml:space="preserve"> </w:t>
              </w:r>
              <w:r w:rsidR="009B7AFD">
                <w:rPr>
                  <w:b/>
                  <w:color w:val="FFFFFF"/>
                  <w:sz w:val="24"/>
                </w:rPr>
                <w:t>‘Course</w:t>
              </w:r>
              <w:r w:rsidR="009B7AFD">
                <w:rPr>
                  <w:b/>
                  <w:color w:val="FFFFFF"/>
                  <w:spacing w:val="-7"/>
                  <w:sz w:val="24"/>
                </w:rPr>
                <w:t xml:space="preserve"> </w:t>
              </w:r>
              <w:r w:rsidR="009B7AFD">
                <w:rPr>
                  <w:b/>
                  <w:color w:val="FFFFFF"/>
                  <w:sz w:val="24"/>
                </w:rPr>
                <w:t>of</w:t>
              </w:r>
              <w:r w:rsidR="009B7AFD">
                <w:rPr>
                  <w:b/>
                  <w:color w:val="FFFFFF"/>
                  <w:spacing w:val="-7"/>
                  <w:sz w:val="24"/>
                </w:rPr>
                <w:t xml:space="preserve"> </w:t>
              </w:r>
              <w:r w:rsidR="009B7AFD">
                <w:rPr>
                  <w:b/>
                  <w:color w:val="FFFFFF"/>
                  <w:sz w:val="24"/>
                </w:rPr>
                <w:t>conduct’</w:t>
              </w:r>
              <w:r w:rsidR="009B7AFD">
                <w:rPr>
                  <w:b/>
                  <w:color w:val="FFFFFF"/>
                  <w:spacing w:val="-7"/>
                  <w:sz w:val="24"/>
                </w:rPr>
                <w:t xml:space="preserve"> </w:t>
              </w:r>
              <w:r w:rsidR="009B7AFD">
                <w:rPr>
                  <w:b/>
                  <w:color w:val="FFFFFF"/>
                  <w:sz w:val="24"/>
                </w:rPr>
                <w:t>element</w:t>
              </w:r>
              <w:r w:rsidR="009B7AFD">
                <w:rPr>
                  <w:b/>
                  <w:color w:val="FFFFFF"/>
                  <w:spacing w:val="-7"/>
                  <w:sz w:val="24"/>
                </w:rPr>
                <w:t xml:space="preserve"> </w:t>
              </w:r>
              <w:r w:rsidR="009B7AFD">
                <w:rPr>
                  <w:b/>
                  <w:color w:val="FFFFFF"/>
                  <w:sz w:val="24"/>
                </w:rPr>
                <w:t>for</w:t>
              </w:r>
              <w:r w:rsidR="009B7AFD">
                <w:rPr>
                  <w:b/>
                  <w:color w:val="FFFFFF"/>
                  <w:spacing w:val="-7"/>
                  <w:sz w:val="24"/>
                </w:rPr>
                <w:t xml:space="preserve"> </w:t>
              </w:r>
              <w:r w:rsidR="009B7AFD">
                <w:rPr>
                  <w:b/>
                  <w:color w:val="FFFFFF"/>
                  <w:sz w:val="24"/>
                </w:rPr>
                <w:t>stalking</w:t>
              </w:r>
              <w:r w:rsidR="009B7AFD">
                <w:rPr>
                  <w:b/>
                  <w:color w:val="FFFFFF"/>
                  <w:spacing w:val="-8"/>
                  <w:sz w:val="24"/>
                </w:rPr>
                <w:t xml:space="preserve"> </w:t>
              </w:r>
              <w:r w:rsidR="009B7AFD">
                <w:rPr>
                  <w:b/>
                  <w:color w:val="FFFFFF"/>
                  <w:sz w:val="24"/>
                </w:rPr>
                <w:t>offence</w:t>
              </w:r>
              <w:r w:rsidR="009B7AFD">
                <w:rPr>
                  <w:b/>
                  <w:color w:val="FFFFFF"/>
                  <w:spacing w:val="-7"/>
                  <w:sz w:val="24"/>
                </w:rPr>
                <w:t xml:space="preserve"> </w:t>
              </w:r>
              <w:r w:rsidR="009B7AFD">
                <w:rPr>
                  <w:b/>
                  <w:color w:val="FFFFFF"/>
                  <w:sz w:val="24"/>
                </w:rPr>
                <w:t>under</w:t>
              </w:r>
            </w:hyperlink>
          </w:p>
          <w:p w14:paraId="184BD9F6" w14:textId="77777777" w:rsidR="00894070" w:rsidRDefault="009F6793">
            <w:pPr>
              <w:pStyle w:val="TableParagraph"/>
              <w:spacing w:before="27"/>
              <w:ind w:left="56"/>
              <w:rPr>
                <w:b/>
                <w:sz w:val="24"/>
              </w:rPr>
            </w:pPr>
            <w:hyperlink w:anchor="_bookmark122" w:history="1">
              <w:r w:rsidR="009B7AFD">
                <w:rPr>
                  <w:b/>
                  <w:color w:val="FFFFFF"/>
                  <w:sz w:val="24"/>
                </w:rPr>
                <w:t xml:space="preserve">s 21A of the </w:t>
              </w:r>
              <w:r w:rsidR="009B7AFD">
                <w:rPr>
                  <w:rFonts w:ascii="Raleway ExtraBold"/>
                  <w:b/>
                  <w:i/>
                  <w:color w:val="FFFFFF"/>
                  <w:sz w:val="24"/>
                </w:rPr>
                <w:t xml:space="preserve">Crimes Act 1958 </w:t>
              </w:r>
              <w:r w:rsidR="009B7AFD">
                <w:rPr>
                  <w:b/>
                  <w:color w:val="FFFFFF"/>
                  <w:sz w:val="24"/>
                </w:rPr>
                <w:t>(Vic)</w:t>
              </w:r>
            </w:hyperlink>
          </w:p>
        </w:tc>
      </w:tr>
    </w:tbl>
    <w:p w14:paraId="521CF7F5" w14:textId="77777777" w:rsidR="00894070" w:rsidRDefault="00894070">
      <w:pPr>
        <w:rPr>
          <w:sz w:val="24"/>
        </w:rPr>
        <w:sectPr w:rsidR="00894070">
          <w:headerReference w:type="even" r:id="rId207"/>
          <w:headerReference w:type="default" r:id="rId208"/>
          <w:pgSz w:w="11910" w:h="16840"/>
          <w:pgMar w:top="1580" w:right="420" w:bottom="280" w:left="580" w:header="0" w:footer="0" w:gutter="0"/>
          <w:cols w:space="720"/>
        </w:sectPr>
      </w:pPr>
    </w:p>
    <w:p w14:paraId="3C6159B5" w14:textId="77777777" w:rsidR="00894070" w:rsidRDefault="00894070">
      <w:pPr>
        <w:pStyle w:val="BodyText"/>
        <w:rPr>
          <w:rFonts w:ascii="Raleway ExtraBold"/>
          <w:b/>
        </w:rPr>
      </w:pPr>
    </w:p>
    <w:p w14:paraId="7DBB3736" w14:textId="77777777" w:rsidR="00894070" w:rsidRDefault="00894070">
      <w:pPr>
        <w:pStyle w:val="BodyText"/>
        <w:rPr>
          <w:rFonts w:ascii="Raleway ExtraBold"/>
          <w:b/>
        </w:rPr>
      </w:pPr>
    </w:p>
    <w:p w14:paraId="1242173E" w14:textId="77777777" w:rsidR="00894070" w:rsidRDefault="00894070">
      <w:pPr>
        <w:pStyle w:val="BodyText"/>
        <w:spacing w:before="2"/>
        <w:rPr>
          <w:rFonts w:ascii="Raleway ExtraBold"/>
          <w:b/>
          <w:sz w:val="25"/>
        </w:rPr>
      </w:pPr>
    </w:p>
    <w:p w14:paraId="0C826C7C" w14:textId="77777777" w:rsidR="00894070" w:rsidRDefault="009B7AFD">
      <w:pPr>
        <w:pStyle w:val="Heading3"/>
        <w:spacing w:before="129" w:line="184" w:lineRule="auto"/>
        <w:ind w:right="4820"/>
      </w:pPr>
      <w:bookmarkStart w:id="197" w:name="Appendix_A:_Submissions"/>
      <w:bookmarkStart w:id="198" w:name="_bookmark120"/>
      <w:bookmarkEnd w:id="197"/>
      <w:bookmarkEnd w:id="198"/>
      <w:r>
        <w:rPr>
          <w:color w:val="EA5B50"/>
        </w:rPr>
        <w:t>Appendix A: Submissions</w:t>
      </w:r>
    </w:p>
    <w:p w14:paraId="0288850D" w14:textId="77777777" w:rsidR="00894070" w:rsidRDefault="00894070">
      <w:pPr>
        <w:pStyle w:val="BodyText"/>
        <w:rPr>
          <w:rFonts w:ascii="Raleway ExtraBold"/>
          <w:b/>
        </w:rPr>
      </w:pPr>
    </w:p>
    <w:p w14:paraId="4A64F972" w14:textId="77777777" w:rsidR="00894070" w:rsidRDefault="00894070">
      <w:pPr>
        <w:pStyle w:val="BodyText"/>
        <w:rPr>
          <w:rFonts w:ascii="Raleway ExtraBold"/>
          <w:b/>
        </w:rPr>
      </w:pPr>
    </w:p>
    <w:p w14:paraId="1EC26D53" w14:textId="77777777" w:rsidR="00894070" w:rsidRDefault="00894070">
      <w:pPr>
        <w:pStyle w:val="BodyText"/>
        <w:rPr>
          <w:rFonts w:ascii="Raleway ExtraBold"/>
          <w:b/>
        </w:rPr>
      </w:pPr>
    </w:p>
    <w:p w14:paraId="23E8CAA4" w14:textId="77777777" w:rsidR="00894070" w:rsidRDefault="00894070">
      <w:pPr>
        <w:pStyle w:val="BodyText"/>
        <w:rPr>
          <w:rFonts w:ascii="Raleway ExtraBold"/>
          <w:b/>
        </w:rPr>
      </w:pPr>
    </w:p>
    <w:p w14:paraId="34B2C5FA" w14:textId="77777777" w:rsidR="00894070" w:rsidRDefault="00894070">
      <w:pPr>
        <w:pStyle w:val="BodyText"/>
        <w:rPr>
          <w:rFonts w:ascii="Raleway ExtraBold"/>
          <w:b/>
        </w:rPr>
      </w:pPr>
    </w:p>
    <w:p w14:paraId="4961DDD6" w14:textId="77777777" w:rsidR="00894070" w:rsidRDefault="00894070">
      <w:pPr>
        <w:pStyle w:val="BodyText"/>
        <w:rPr>
          <w:rFonts w:ascii="Raleway ExtraBold"/>
          <w:b/>
        </w:rPr>
      </w:pPr>
    </w:p>
    <w:p w14:paraId="4A8848A9" w14:textId="77777777" w:rsidR="00894070" w:rsidRDefault="00894070">
      <w:pPr>
        <w:pStyle w:val="BodyText"/>
        <w:rPr>
          <w:rFonts w:ascii="Raleway ExtraBold"/>
          <w:b/>
        </w:rPr>
      </w:pPr>
    </w:p>
    <w:p w14:paraId="69586724" w14:textId="77777777" w:rsidR="00894070" w:rsidRDefault="00894070">
      <w:pPr>
        <w:pStyle w:val="BodyText"/>
        <w:rPr>
          <w:rFonts w:ascii="Raleway ExtraBold"/>
          <w:b/>
        </w:rPr>
      </w:pPr>
    </w:p>
    <w:p w14:paraId="7F79B18E" w14:textId="77777777" w:rsidR="00894070" w:rsidRDefault="00894070">
      <w:pPr>
        <w:rPr>
          <w:rFonts w:ascii="Raleway ExtraBold"/>
        </w:rPr>
        <w:sectPr w:rsidR="00894070">
          <w:pgSz w:w="11910" w:h="16840"/>
          <w:pgMar w:top="860" w:right="420" w:bottom="280" w:left="580" w:header="567" w:footer="0" w:gutter="0"/>
          <w:cols w:space="720"/>
        </w:sectPr>
      </w:pPr>
    </w:p>
    <w:p w14:paraId="7A9DA0D9" w14:textId="77777777" w:rsidR="00894070" w:rsidRDefault="009F6793">
      <w:pPr>
        <w:pStyle w:val="BodyText"/>
        <w:rPr>
          <w:rFonts w:ascii="Raleway ExtraBold"/>
          <w:b/>
          <w:sz w:val="28"/>
        </w:rPr>
      </w:pPr>
      <w:r>
        <w:pict w14:anchorId="26E4B89E">
          <v:rect id="_x0000_s1040" style="position:absolute;margin-left:0;margin-top:99.2pt;width:14.15pt;height:85.75pt;z-index:251797504;mso-position-horizontal-relative:page;mso-position-vertical-relative:page" fillcolor="#ea5b50" stroked="f">
            <w10:wrap anchorx="page" anchory="page"/>
          </v:rect>
        </w:pict>
      </w:r>
    </w:p>
    <w:p w14:paraId="0C30A63D" w14:textId="77777777" w:rsidR="00894070" w:rsidRDefault="00894070">
      <w:pPr>
        <w:pStyle w:val="BodyText"/>
        <w:rPr>
          <w:rFonts w:ascii="Raleway ExtraBold"/>
          <w:b/>
          <w:sz w:val="28"/>
        </w:rPr>
      </w:pPr>
    </w:p>
    <w:p w14:paraId="416619F3" w14:textId="77777777" w:rsidR="00894070" w:rsidRDefault="00894070">
      <w:pPr>
        <w:pStyle w:val="BodyText"/>
        <w:rPr>
          <w:rFonts w:ascii="Raleway ExtraBold"/>
          <w:b/>
          <w:sz w:val="28"/>
        </w:rPr>
      </w:pPr>
    </w:p>
    <w:p w14:paraId="04FE4411" w14:textId="77777777" w:rsidR="00894070" w:rsidRDefault="00894070">
      <w:pPr>
        <w:pStyle w:val="BodyText"/>
        <w:rPr>
          <w:rFonts w:ascii="Raleway ExtraBold"/>
          <w:b/>
          <w:sz w:val="28"/>
        </w:rPr>
      </w:pPr>
    </w:p>
    <w:p w14:paraId="2985E9EA" w14:textId="77777777" w:rsidR="00894070" w:rsidRDefault="00894070">
      <w:pPr>
        <w:pStyle w:val="BodyText"/>
        <w:rPr>
          <w:rFonts w:ascii="Raleway ExtraBold"/>
          <w:b/>
          <w:sz w:val="28"/>
        </w:rPr>
      </w:pPr>
    </w:p>
    <w:p w14:paraId="116B7028" w14:textId="77777777" w:rsidR="00894070" w:rsidRDefault="00894070">
      <w:pPr>
        <w:pStyle w:val="BodyText"/>
        <w:rPr>
          <w:rFonts w:ascii="Raleway ExtraBold"/>
          <w:b/>
          <w:sz w:val="28"/>
        </w:rPr>
      </w:pPr>
    </w:p>
    <w:p w14:paraId="61BA6035" w14:textId="77777777" w:rsidR="00894070" w:rsidRDefault="00894070">
      <w:pPr>
        <w:pStyle w:val="BodyText"/>
        <w:rPr>
          <w:rFonts w:ascii="Raleway ExtraBold"/>
          <w:b/>
          <w:sz w:val="28"/>
        </w:rPr>
      </w:pPr>
    </w:p>
    <w:p w14:paraId="4609BB81" w14:textId="77777777" w:rsidR="00894070" w:rsidRDefault="00894070">
      <w:pPr>
        <w:pStyle w:val="BodyText"/>
        <w:rPr>
          <w:rFonts w:ascii="Raleway ExtraBold"/>
          <w:b/>
          <w:sz w:val="28"/>
        </w:rPr>
      </w:pPr>
    </w:p>
    <w:p w14:paraId="7E6B0D11" w14:textId="77777777" w:rsidR="00894070" w:rsidRDefault="00894070">
      <w:pPr>
        <w:pStyle w:val="BodyText"/>
        <w:rPr>
          <w:rFonts w:ascii="Raleway ExtraBold"/>
          <w:b/>
          <w:sz w:val="28"/>
        </w:rPr>
      </w:pPr>
    </w:p>
    <w:p w14:paraId="6BE130C5" w14:textId="77777777" w:rsidR="00894070" w:rsidRDefault="00894070">
      <w:pPr>
        <w:pStyle w:val="BodyText"/>
        <w:rPr>
          <w:rFonts w:ascii="Raleway ExtraBold"/>
          <w:b/>
          <w:sz w:val="28"/>
        </w:rPr>
      </w:pPr>
    </w:p>
    <w:p w14:paraId="3918EF7A" w14:textId="77777777" w:rsidR="00894070" w:rsidRDefault="00894070">
      <w:pPr>
        <w:pStyle w:val="BodyText"/>
        <w:rPr>
          <w:rFonts w:ascii="Raleway ExtraBold"/>
          <w:b/>
          <w:sz w:val="28"/>
        </w:rPr>
      </w:pPr>
    </w:p>
    <w:p w14:paraId="0CA7E32E" w14:textId="77777777" w:rsidR="00894070" w:rsidRDefault="00894070">
      <w:pPr>
        <w:pStyle w:val="BodyText"/>
        <w:rPr>
          <w:rFonts w:ascii="Raleway ExtraBold"/>
          <w:b/>
          <w:sz w:val="28"/>
        </w:rPr>
      </w:pPr>
    </w:p>
    <w:p w14:paraId="1FC3169B" w14:textId="77777777" w:rsidR="00894070" w:rsidRDefault="00894070">
      <w:pPr>
        <w:pStyle w:val="BodyText"/>
        <w:rPr>
          <w:rFonts w:ascii="Raleway ExtraBold"/>
          <w:b/>
          <w:sz w:val="28"/>
        </w:rPr>
      </w:pPr>
    </w:p>
    <w:p w14:paraId="1A47094F" w14:textId="77777777" w:rsidR="00894070" w:rsidRDefault="00894070">
      <w:pPr>
        <w:pStyle w:val="BodyText"/>
        <w:rPr>
          <w:rFonts w:ascii="Raleway ExtraBold"/>
          <w:b/>
          <w:sz w:val="28"/>
        </w:rPr>
      </w:pPr>
    </w:p>
    <w:p w14:paraId="323CDCBD" w14:textId="77777777" w:rsidR="00894070" w:rsidRDefault="00894070">
      <w:pPr>
        <w:pStyle w:val="BodyText"/>
        <w:rPr>
          <w:rFonts w:ascii="Raleway ExtraBold"/>
          <w:b/>
          <w:sz w:val="28"/>
        </w:rPr>
      </w:pPr>
    </w:p>
    <w:p w14:paraId="63ED0B9C" w14:textId="77777777" w:rsidR="00894070" w:rsidRDefault="00894070">
      <w:pPr>
        <w:pStyle w:val="BodyText"/>
        <w:rPr>
          <w:rFonts w:ascii="Raleway ExtraBold"/>
          <w:b/>
          <w:sz w:val="28"/>
        </w:rPr>
      </w:pPr>
    </w:p>
    <w:p w14:paraId="17E34E6B" w14:textId="77777777" w:rsidR="00894070" w:rsidRDefault="00894070">
      <w:pPr>
        <w:pStyle w:val="BodyText"/>
        <w:rPr>
          <w:rFonts w:ascii="Raleway ExtraBold"/>
          <w:b/>
          <w:sz w:val="28"/>
        </w:rPr>
      </w:pPr>
    </w:p>
    <w:p w14:paraId="0644242F" w14:textId="77777777" w:rsidR="00894070" w:rsidRDefault="00894070">
      <w:pPr>
        <w:pStyle w:val="BodyText"/>
        <w:rPr>
          <w:rFonts w:ascii="Raleway ExtraBold"/>
          <w:b/>
          <w:sz w:val="28"/>
        </w:rPr>
      </w:pPr>
    </w:p>
    <w:p w14:paraId="7F2CD339" w14:textId="77777777" w:rsidR="00894070" w:rsidRDefault="00894070">
      <w:pPr>
        <w:pStyle w:val="BodyText"/>
        <w:rPr>
          <w:rFonts w:ascii="Raleway ExtraBold"/>
          <w:b/>
          <w:sz w:val="28"/>
        </w:rPr>
      </w:pPr>
    </w:p>
    <w:p w14:paraId="75B01BBA" w14:textId="77777777" w:rsidR="00894070" w:rsidRDefault="00894070">
      <w:pPr>
        <w:pStyle w:val="BodyText"/>
        <w:rPr>
          <w:rFonts w:ascii="Raleway ExtraBold"/>
          <w:b/>
          <w:sz w:val="28"/>
        </w:rPr>
      </w:pPr>
    </w:p>
    <w:p w14:paraId="0024AFAD" w14:textId="77777777" w:rsidR="00894070" w:rsidRDefault="00894070">
      <w:pPr>
        <w:pStyle w:val="BodyText"/>
        <w:rPr>
          <w:rFonts w:ascii="Raleway ExtraBold"/>
          <w:b/>
          <w:sz w:val="28"/>
        </w:rPr>
      </w:pPr>
    </w:p>
    <w:p w14:paraId="1A743221" w14:textId="77777777" w:rsidR="00894070" w:rsidRDefault="00894070">
      <w:pPr>
        <w:pStyle w:val="BodyText"/>
        <w:rPr>
          <w:rFonts w:ascii="Raleway ExtraBold"/>
          <w:b/>
          <w:sz w:val="28"/>
        </w:rPr>
      </w:pPr>
    </w:p>
    <w:p w14:paraId="76B3CAE4" w14:textId="77777777" w:rsidR="00894070" w:rsidRDefault="00894070">
      <w:pPr>
        <w:pStyle w:val="BodyText"/>
        <w:rPr>
          <w:rFonts w:ascii="Raleway ExtraBold"/>
          <w:b/>
          <w:sz w:val="28"/>
        </w:rPr>
      </w:pPr>
    </w:p>
    <w:p w14:paraId="6A7B9028" w14:textId="77777777" w:rsidR="00894070" w:rsidRDefault="00894070">
      <w:pPr>
        <w:pStyle w:val="BodyText"/>
        <w:rPr>
          <w:rFonts w:ascii="Raleway ExtraBold"/>
          <w:b/>
          <w:sz w:val="28"/>
        </w:rPr>
      </w:pPr>
    </w:p>
    <w:p w14:paraId="21564033" w14:textId="77777777" w:rsidR="00894070" w:rsidRDefault="00894070">
      <w:pPr>
        <w:pStyle w:val="BodyText"/>
        <w:rPr>
          <w:rFonts w:ascii="Raleway ExtraBold"/>
          <w:b/>
          <w:sz w:val="28"/>
        </w:rPr>
      </w:pPr>
    </w:p>
    <w:p w14:paraId="04E9AD10" w14:textId="77777777" w:rsidR="00894070" w:rsidRDefault="00894070">
      <w:pPr>
        <w:pStyle w:val="BodyText"/>
        <w:rPr>
          <w:rFonts w:ascii="Raleway ExtraBold"/>
          <w:b/>
          <w:sz w:val="28"/>
        </w:rPr>
      </w:pPr>
    </w:p>
    <w:p w14:paraId="13A0EBB3" w14:textId="77777777" w:rsidR="00894070" w:rsidRDefault="00894070">
      <w:pPr>
        <w:pStyle w:val="BodyText"/>
        <w:spacing w:before="3"/>
        <w:rPr>
          <w:rFonts w:ascii="Raleway ExtraBold"/>
          <w:b/>
          <w:sz w:val="40"/>
        </w:rPr>
      </w:pPr>
    </w:p>
    <w:p w14:paraId="1F7EDDF0" w14:textId="77777777" w:rsidR="00894070" w:rsidRDefault="009B7AFD">
      <w:pPr>
        <w:pStyle w:val="Heading8"/>
        <w:ind w:left="140"/>
      </w:pPr>
      <w:r>
        <w:rPr>
          <w:color w:val="EA5B50"/>
        </w:rPr>
        <w:t>186</w:t>
      </w:r>
    </w:p>
    <w:p w14:paraId="61150498" w14:textId="77777777" w:rsidR="00894070" w:rsidRDefault="009B7AFD">
      <w:pPr>
        <w:pStyle w:val="BodyText"/>
        <w:spacing w:before="2"/>
        <w:rPr>
          <w:b/>
          <w:sz w:val="15"/>
        </w:rPr>
      </w:pPr>
      <w:r>
        <w:br w:type="column"/>
      </w:r>
    </w:p>
    <w:p w14:paraId="7E5E3533" w14:textId="77777777" w:rsidR="00894070" w:rsidRDefault="009B7AFD">
      <w:pPr>
        <w:pStyle w:val="ListParagraph"/>
        <w:numPr>
          <w:ilvl w:val="0"/>
          <w:numId w:val="16"/>
        </w:numPr>
        <w:tabs>
          <w:tab w:val="left" w:pos="933"/>
          <w:tab w:val="left" w:pos="934"/>
        </w:tabs>
        <w:ind w:hanging="793"/>
        <w:jc w:val="left"/>
        <w:rPr>
          <w:sz w:val="20"/>
        </w:rPr>
      </w:pPr>
      <w:r>
        <w:rPr>
          <w:color w:val="231F20"/>
          <w:sz w:val="20"/>
        </w:rPr>
        <w:t>Confidential</w:t>
      </w:r>
    </w:p>
    <w:p w14:paraId="7F2BDAA3"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506F9BD2" w14:textId="77777777" w:rsidR="00894070" w:rsidRDefault="009B7AFD">
      <w:pPr>
        <w:pStyle w:val="ListParagraph"/>
        <w:numPr>
          <w:ilvl w:val="0"/>
          <w:numId w:val="16"/>
        </w:numPr>
        <w:tabs>
          <w:tab w:val="left" w:pos="933"/>
          <w:tab w:val="left" w:pos="934"/>
        </w:tabs>
        <w:spacing w:before="20"/>
        <w:ind w:hanging="793"/>
        <w:jc w:val="left"/>
        <w:rPr>
          <w:sz w:val="20"/>
        </w:rPr>
      </w:pPr>
      <w:r>
        <w:rPr>
          <w:color w:val="231F20"/>
          <w:sz w:val="20"/>
        </w:rPr>
        <w:t>Confidential</w:t>
      </w:r>
    </w:p>
    <w:p w14:paraId="64B9A3D3"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Name</w:t>
      </w:r>
      <w:r>
        <w:rPr>
          <w:color w:val="231F20"/>
          <w:spacing w:val="-3"/>
          <w:sz w:val="20"/>
        </w:rPr>
        <w:t xml:space="preserve"> </w:t>
      </w:r>
      <w:r>
        <w:rPr>
          <w:color w:val="231F20"/>
          <w:sz w:val="20"/>
        </w:rPr>
        <w:t>withheld</w:t>
      </w:r>
    </w:p>
    <w:p w14:paraId="40CEBC01"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Cheryl</w:t>
      </w:r>
      <w:r>
        <w:rPr>
          <w:color w:val="231F20"/>
          <w:spacing w:val="-3"/>
          <w:sz w:val="20"/>
        </w:rPr>
        <w:t xml:space="preserve"> </w:t>
      </w:r>
      <w:r>
        <w:rPr>
          <w:color w:val="231F20"/>
          <w:sz w:val="20"/>
        </w:rPr>
        <w:t>Brown</w:t>
      </w:r>
    </w:p>
    <w:p w14:paraId="560F50D9"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Name</w:t>
      </w:r>
      <w:r>
        <w:rPr>
          <w:color w:val="231F20"/>
          <w:spacing w:val="-3"/>
          <w:sz w:val="20"/>
        </w:rPr>
        <w:t xml:space="preserve"> </w:t>
      </w:r>
      <w:r>
        <w:rPr>
          <w:color w:val="231F20"/>
          <w:sz w:val="20"/>
        </w:rPr>
        <w:t>withheld</w:t>
      </w:r>
    </w:p>
    <w:p w14:paraId="249D708C"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46F36AEC"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Name</w:t>
      </w:r>
      <w:r>
        <w:rPr>
          <w:color w:val="231F20"/>
          <w:spacing w:val="-3"/>
          <w:sz w:val="20"/>
        </w:rPr>
        <w:t xml:space="preserve"> </w:t>
      </w:r>
      <w:r>
        <w:rPr>
          <w:color w:val="231F20"/>
          <w:sz w:val="20"/>
        </w:rPr>
        <w:t>withheld</w:t>
      </w:r>
    </w:p>
    <w:p w14:paraId="0359C531"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25EE9A08"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Rochelle</w:t>
      </w:r>
      <w:r>
        <w:rPr>
          <w:color w:val="231F20"/>
          <w:spacing w:val="-3"/>
          <w:sz w:val="20"/>
        </w:rPr>
        <w:t xml:space="preserve"> </w:t>
      </w:r>
      <w:r>
        <w:rPr>
          <w:color w:val="231F20"/>
          <w:sz w:val="20"/>
        </w:rPr>
        <w:t>Carli</w:t>
      </w:r>
    </w:p>
    <w:p w14:paraId="4D97E558"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Anonymous</w:t>
      </w:r>
    </w:p>
    <w:p w14:paraId="574642E6"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3D815AE8"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26893898" w14:textId="77777777" w:rsidR="00894070" w:rsidRDefault="009B7AFD">
      <w:pPr>
        <w:pStyle w:val="ListParagraph"/>
        <w:numPr>
          <w:ilvl w:val="0"/>
          <w:numId w:val="16"/>
        </w:numPr>
        <w:tabs>
          <w:tab w:val="left" w:pos="933"/>
          <w:tab w:val="left" w:pos="934"/>
        </w:tabs>
        <w:spacing w:before="20"/>
        <w:ind w:hanging="793"/>
        <w:jc w:val="left"/>
        <w:rPr>
          <w:sz w:val="20"/>
        </w:rPr>
      </w:pPr>
      <w:r>
        <w:rPr>
          <w:color w:val="231F20"/>
          <w:sz w:val="20"/>
        </w:rPr>
        <w:t>George Hart</w:t>
      </w:r>
    </w:p>
    <w:p w14:paraId="794CEF8A"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178E768C"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4F66A49C"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2FC5E704"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563C3EF9"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pacing w:val="-5"/>
          <w:sz w:val="20"/>
        </w:rPr>
        <w:t>Lyn</w:t>
      </w:r>
      <w:r>
        <w:rPr>
          <w:color w:val="231F20"/>
          <w:spacing w:val="-15"/>
          <w:sz w:val="20"/>
        </w:rPr>
        <w:t xml:space="preserve"> </w:t>
      </w:r>
      <w:r>
        <w:rPr>
          <w:color w:val="231F20"/>
          <w:sz w:val="20"/>
        </w:rPr>
        <w:t>Crocker</w:t>
      </w:r>
    </w:p>
    <w:p w14:paraId="6048AAF9"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Jennifer</w:t>
      </w:r>
      <w:r>
        <w:rPr>
          <w:color w:val="231F20"/>
          <w:spacing w:val="-3"/>
          <w:sz w:val="20"/>
        </w:rPr>
        <w:t xml:space="preserve"> </w:t>
      </w:r>
      <w:r>
        <w:rPr>
          <w:color w:val="231F20"/>
          <w:sz w:val="20"/>
        </w:rPr>
        <w:t>Rosewarne</w:t>
      </w:r>
    </w:p>
    <w:p w14:paraId="5ED40E76"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Antoinette</w:t>
      </w:r>
      <w:r>
        <w:rPr>
          <w:color w:val="231F20"/>
          <w:spacing w:val="-3"/>
          <w:sz w:val="20"/>
        </w:rPr>
        <w:t xml:space="preserve"> </w:t>
      </w:r>
      <w:r>
        <w:rPr>
          <w:color w:val="231F20"/>
          <w:sz w:val="20"/>
        </w:rPr>
        <w:t>Lim</w:t>
      </w:r>
    </w:p>
    <w:p w14:paraId="083BB650"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Name</w:t>
      </w:r>
      <w:r>
        <w:rPr>
          <w:color w:val="231F20"/>
          <w:spacing w:val="-3"/>
          <w:sz w:val="20"/>
        </w:rPr>
        <w:t xml:space="preserve"> </w:t>
      </w:r>
      <w:r>
        <w:rPr>
          <w:color w:val="231F20"/>
          <w:sz w:val="20"/>
        </w:rPr>
        <w:t>withheld</w:t>
      </w:r>
    </w:p>
    <w:p w14:paraId="75CDCEAF"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737F158B"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6D6A6D01" w14:textId="77777777" w:rsidR="00894070" w:rsidRDefault="009B7AFD">
      <w:pPr>
        <w:pStyle w:val="ListParagraph"/>
        <w:numPr>
          <w:ilvl w:val="0"/>
          <w:numId w:val="16"/>
        </w:numPr>
        <w:tabs>
          <w:tab w:val="left" w:pos="933"/>
          <w:tab w:val="left" w:pos="934"/>
        </w:tabs>
        <w:spacing w:before="20"/>
        <w:ind w:hanging="793"/>
        <w:jc w:val="left"/>
        <w:rPr>
          <w:sz w:val="20"/>
        </w:rPr>
      </w:pPr>
      <w:r>
        <w:rPr>
          <w:color w:val="231F20"/>
          <w:sz w:val="20"/>
        </w:rPr>
        <w:t>Deborah</w:t>
      </w:r>
    </w:p>
    <w:p w14:paraId="26E4B4C7"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KB</w:t>
      </w:r>
    </w:p>
    <w:p w14:paraId="2EF8020C"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Name</w:t>
      </w:r>
      <w:r>
        <w:rPr>
          <w:color w:val="231F20"/>
          <w:spacing w:val="-7"/>
          <w:sz w:val="20"/>
        </w:rPr>
        <w:t xml:space="preserve"> </w:t>
      </w:r>
      <w:r>
        <w:rPr>
          <w:color w:val="231F20"/>
          <w:sz w:val="20"/>
        </w:rPr>
        <w:t>withheld</w:t>
      </w:r>
    </w:p>
    <w:p w14:paraId="7B735255"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Name</w:t>
      </w:r>
      <w:r>
        <w:rPr>
          <w:color w:val="231F20"/>
          <w:spacing w:val="-7"/>
          <w:sz w:val="20"/>
        </w:rPr>
        <w:t xml:space="preserve"> </w:t>
      </w:r>
      <w:r>
        <w:rPr>
          <w:color w:val="231F20"/>
          <w:sz w:val="20"/>
        </w:rPr>
        <w:t>withheld</w:t>
      </w:r>
    </w:p>
    <w:p w14:paraId="122A8E21"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059B3639"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Name</w:t>
      </w:r>
      <w:r>
        <w:rPr>
          <w:color w:val="231F20"/>
          <w:spacing w:val="-7"/>
          <w:sz w:val="20"/>
        </w:rPr>
        <w:t xml:space="preserve"> </w:t>
      </w:r>
      <w:r>
        <w:rPr>
          <w:color w:val="231F20"/>
          <w:sz w:val="20"/>
        </w:rPr>
        <w:t>withheld</w:t>
      </w:r>
    </w:p>
    <w:p w14:paraId="2E7BDEF5"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Name</w:t>
      </w:r>
      <w:r>
        <w:rPr>
          <w:color w:val="231F20"/>
          <w:spacing w:val="-7"/>
          <w:sz w:val="20"/>
        </w:rPr>
        <w:t xml:space="preserve"> </w:t>
      </w:r>
      <w:r>
        <w:rPr>
          <w:color w:val="231F20"/>
          <w:sz w:val="20"/>
        </w:rPr>
        <w:t>withheld</w:t>
      </w:r>
    </w:p>
    <w:p w14:paraId="612523F6"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Centre for Forensic Behavioural</w:t>
      </w:r>
      <w:r>
        <w:rPr>
          <w:color w:val="231F20"/>
          <w:spacing w:val="-10"/>
          <w:sz w:val="20"/>
        </w:rPr>
        <w:t xml:space="preserve"> </w:t>
      </w:r>
      <w:r>
        <w:rPr>
          <w:color w:val="231F20"/>
          <w:sz w:val="20"/>
        </w:rPr>
        <w:t>Science</w:t>
      </w:r>
    </w:p>
    <w:p w14:paraId="68E16EBB"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Name</w:t>
      </w:r>
      <w:r>
        <w:rPr>
          <w:color w:val="231F20"/>
          <w:spacing w:val="-3"/>
          <w:sz w:val="20"/>
        </w:rPr>
        <w:t xml:space="preserve"> </w:t>
      </w:r>
      <w:r>
        <w:rPr>
          <w:color w:val="231F20"/>
          <w:sz w:val="20"/>
        </w:rPr>
        <w:t>withheld</w:t>
      </w:r>
    </w:p>
    <w:p w14:paraId="2B61D806"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Confidential</w:t>
      </w:r>
    </w:p>
    <w:p w14:paraId="63A91AB8" w14:textId="77777777" w:rsidR="00894070" w:rsidRDefault="009B7AFD">
      <w:pPr>
        <w:pStyle w:val="ListParagraph"/>
        <w:numPr>
          <w:ilvl w:val="0"/>
          <w:numId w:val="16"/>
        </w:numPr>
        <w:tabs>
          <w:tab w:val="left" w:pos="933"/>
          <w:tab w:val="left" w:pos="934"/>
        </w:tabs>
        <w:spacing w:before="20"/>
        <w:ind w:hanging="793"/>
        <w:jc w:val="left"/>
        <w:rPr>
          <w:sz w:val="20"/>
        </w:rPr>
      </w:pPr>
      <w:r>
        <w:rPr>
          <w:color w:val="231F20"/>
          <w:sz w:val="20"/>
        </w:rPr>
        <w:t>Confidential</w:t>
      </w:r>
    </w:p>
    <w:p w14:paraId="6972FC0D" w14:textId="77777777" w:rsidR="00894070" w:rsidRDefault="009B7AFD">
      <w:pPr>
        <w:pStyle w:val="ListParagraph"/>
        <w:numPr>
          <w:ilvl w:val="0"/>
          <w:numId w:val="16"/>
        </w:numPr>
        <w:tabs>
          <w:tab w:val="left" w:pos="933"/>
          <w:tab w:val="left" w:pos="934"/>
        </w:tabs>
        <w:spacing w:before="19"/>
        <w:ind w:hanging="793"/>
        <w:jc w:val="left"/>
        <w:rPr>
          <w:sz w:val="20"/>
        </w:rPr>
      </w:pPr>
      <w:r>
        <w:rPr>
          <w:color w:val="231F20"/>
          <w:sz w:val="20"/>
        </w:rPr>
        <w:t>Ahmad</w:t>
      </w:r>
      <w:r>
        <w:rPr>
          <w:color w:val="231F20"/>
          <w:spacing w:val="-3"/>
          <w:sz w:val="20"/>
        </w:rPr>
        <w:t xml:space="preserve"> </w:t>
      </w:r>
      <w:r>
        <w:rPr>
          <w:color w:val="231F20"/>
          <w:sz w:val="20"/>
        </w:rPr>
        <w:t>Masri</w:t>
      </w:r>
    </w:p>
    <w:p w14:paraId="7B3C7E8C" w14:textId="77777777" w:rsidR="00894070" w:rsidRDefault="00894070">
      <w:pPr>
        <w:rPr>
          <w:sz w:val="20"/>
        </w:rPr>
        <w:sectPr w:rsidR="00894070">
          <w:type w:val="continuous"/>
          <w:pgSz w:w="11910" w:h="16840"/>
          <w:pgMar w:top="560" w:right="420" w:bottom="280" w:left="580" w:header="720" w:footer="720" w:gutter="0"/>
          <w:cols w:num="2" w:space="720" w:equalWidth="0">
            <w:col w:w="587" w:space="281"/>
            <w:col w:w="10042"/>
          </w:cols>
        </w:sectPr>
      </w:pPr>
    </w:p>
    <w:p w14:paraId="5ACFBC6A" w14:textId="77777777" w:rsidR="00894070" w:rsidRDefault="00894070">
      <w:pPr>
        <w:pStyle w:val="BodyText"/>
      </w:pPr>
    </w:p>
    <w:p w14:paraId="6E7C1C93" w14:textId="77777777" w:rsidR="00894070" w:rsidRDefault="00894070">
      <w:pPr>
        <w:pStyle w:val="BodyText"/>
      </w:pPr>
    </w:p>
    <w:p w14:paraId="2A612D16" w14:textId="77777777" w:rsidR="00894070" w:rsidRDefault="00894070">
      <w:pPr>
        <w:pStyle w:val="BodyText"/>
      </w:pPr>
    </w:p>
    <w:p w14:paraId="6D0B7E3B" w14:textId="77777777" w:rsidR="00894070" w:rsidRDefault="00894070">
      <w:pPr>
        <w:pStyle w:val="BodyText"/>
        <w:spacing w:before="6"/>
        <w:rPr>
          <w:sz w:val="14"/>
        </w:rPr>
      </w:pPr>
    </w:p>
    <w:p w14:paraId="6CF68415" w14:textId="77777777" w:rsidR="00894070" w:rsidRDefault="00894070">
      <w:pPr>
        <w:rPr>
          <w:sz w:val="14"/>
        </w:rPr>
        <w:sectPr w:rsidR="00894070">
          <w:headerReference w:type="even" r:id="rId209"/>
          <w:headerReference w:type="default" r:id="rId210"/>
          <w:pgSz w:w="11910" w:h="16840"/>
          <w:pgMar w:top="840" w:right="420" w:bottom="280" w:left="580" w:header="0" w:footer="0" w:gutter="0"/>
          <w:cols w:space="720"/>
        </w:sectPr>
      </w:pPr>
    </w:p>
    <w:p w14:paraId="48361423" w14:textId="77777777" w:rsidR="00894070" w:rsidRDefault="009B7AFD">
      <w:pPr>
        <w:pStyle w:val="ListParagraph"/>
        <w:numPr>
          <w:ilvl w:val="0"/>
          <w:numId w:val="16"/>
        </w:numPr>
        <w:tabs>
          <w:tab w:val="left" w:pos="1801"/>
          <w:tab w:val="left" w:pos="1802"/>
        </w:tabs>
        <w:spacing w:before="58"/>
        <w:ind w:left="1801"/>
        <w:jc w:val="left"/>
        <w:rPr>
          <w:sz w:val="20"/>
        </w:rPr>
      </w:pPr>
      <w:r>
        <w:rPr>
          <w:color w:val="231F20"/>
          <w:sz w:val="20"/>
        </w:rPr>
        <w:t>Confidential</w:t>
      </w:r>
    </w:p>
    <w:p w14:paraId="5DAF5BF4"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2B67864B"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Victorian Pride</w:t>
      </w:r>
      <w:r>
        <w:rPr>
          <w:color w:val="231F20"/>
          <w:spacing w:val="-5"/>
          <w:sz w:val="20"/>
        </w:rPr>
        <w:t xml:space="preserve"> </w:t>
      </w:r>
      <w:r>
        <w:rPr>
          <w:color w:val="231F20"/>
          <w:sz w:val="20"/>
        </w:rPr>
        <w:t>Lobby</w:t>
      </w:r>
    </w:p>
    <w:p w14:paraId="3D97BF3E"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3"/>
          <w:sz w:val="20"/>
        </w:rPr>
        <w:t xml:space="preserve"> </w:t>
      </w:r>
      <w:r>
        <w:rPr>
          <w:color w:val="231F20"/>
          <w:sz w:val="20"/>
        </w:rPr>
        <w:t>withheld</w:t>
      </w:r>
    </w:p>
    <w:p w14:paraId="019078C1"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Djirra</w:t>
      </w:r>
    </w:p>
    <w:p w14:paraId="1E7545AE"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7"/>
          <w:sz w:val="20"/>
        </w:rPr>
        <w:t xml:space="preserve"> </w:t>
      </w:r>
      <w:r>
        <w:rPr>
          <w:color w:val="231F20"/>
          <w:sz w:val="20"/>
        </w:rPr>
        <w:t>withheld</w:t>
      </w:r>
    </w:p>
    <w:p w14:paraId="13FED538"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7"/>
          <w:sz w:val="20"/>
        </w:rPr>
        <w:t xml:space="preserve"> </w:t>
      </w:r>
      <w:r>
        <w:rPr>
          <w:color w:val="231F20"/>
          <w:sz w:val="20"/>
        </w:rPr>
        <w:t>withheld</w:t>
      </w:r>
    </w:p>
    <w:p w14:paraId="32467C61"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551E6BD1"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0B1B1991"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29B0895F" w14:textId="77777777" w:rsidR="00894070" w:rsidRDefault="009B7AFD">
      <w:pPr>
        <w:pStyle w:val="ListParagraph"/>
        <w:numPr>
          <w:ilvl w:val="0"/>
          <w:numId w:val="16"/>
        </w:numPr>
        <w:tabs>
          <w:tab w:val="left" w:pos="1801"/>
          <w:tab w:val="left" w:pos="1802"/>
        </w:tabs>
        <w:spacing w:before="20"/>
        <w:ind w:left="1801"/>
        <w:jc w:val="left"/>
        <w:rPr>
          <w:sz w:val="20"/>
        </w:rPr>
      </w:pPr>
      <w:r>
        <w:rPr>
          <w:color w:val="231F20"/>
          <w:sz w:val="20"/>
        </w:rPr>
        <w:t>Liberty</w:t>
      </w:r>
      <w:r>
        <w:rPr>
          <w:color w:val="231F20"/>
          <w:spacing w:val="-3"/>
          <w:sz w:val="20"/>
        </w:rPr>
        <w:t xml:space="preserve"> </w:t>
      </w:r>
      <w:r>
        <w:rPr>
          <w:color w:val="231F20"/>
          <w:sz w:val="20"/>
        </w:rPr>
        <w:t>Victoria</w:t>
      </w:r>
    </w:p>
    <w:p w14:paraId="7492D61A"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402CA66C"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Victims of Crime</w:t>
      </w:r>
      <w:r>
        <w:rPr>
          <w:color w:val="231F20"/>
          <w:spacing w:val="-8"/>
          <w:sz w:val="20"/>
        </w:rPr>
        <w:t xml:space="preserve"> </w:t>
      </w:r>
      <w:r>
        <w:rPr>
          <w:color w:val="231F20"/>
          <w:sz w:val="20"/>
        </w:rPr>
        <w:t>Commissioner</w:t>
      </w:r>
    </w:p>
    <w:p w14:paraId="0BF94432"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74B9E629"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Matthew</w:t>
      </w:r>
      <w:r>
        <w:rPr>
          <w:color w:val="231F20"/>
          <w:spacing w:val="-14"/>
          <w:sz w:val="20"/>
        </w:rPr>
        <w:t xml:space="preserve"> </w:t>
      </w:r>
      <w:r>
        <w:rPr>
          <w:color w:val="231F20"/>
          <w:sz w:val="20"/>
        </w:rPr>
        <w:t>Raj</w:t>
      </w:r>
    </w:p>
    <w:p w14:paraId="1ABFB559"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479CD3F3"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Barbara</w:t>
      </w:r>
      <w:r>
        <w:rPr>
          <w:color w:val="231F20"/>
          <w:spacing w:val="-3"/>
          <w:sz w:val="20"/>
        </w:rPr>
        <w:t xml:space="preserve"> </w:t>
      </w:r>
      <w:r>
        <w:rPr>
          <w:color w:val="231F20"/>
          <w:sz w:val="20"/>
        </w:rPr>
        <w:t>Jackson</w:t>
      </w:r>
    </w:p>
    <w:p w14:paraId="667BE917"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Dahlia Mahmoud, Riana Leonardi, Hannah Smith, Melissa</w:t>
      </w:r>
      <w:r>
        <w:rPr>
          <w:color w:val="231F20"/>
          <w:spacing w:val="-29"/>
          <w:sz w:val="20"/>
        </w:rPr>
        <w:t xml:space="preserve"> </w:t>
      </w:r>
      <w:r>
        <w:rPr>
          <w:color w:val="231F20"/>
          <w:sz w:val="20"/>
        </w:rPr>
        <w:t>Caligiore</w:t>
      </w:r>
    </w:p>
    <w:p w14:paraId="3AAA1310"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Bianca</w:t>
      </w:r>
      <w:r>
        <w:rPr>
          <w:color w:val="231F20"/>
          <w:spacing w:val="-3"/>
          <w:sz w:val="20"/>
        </w:rPr>
        <w:t xml:space="preserve"> </w:t>
      </w:r>
      <w:r>
        <w:rPr>
          <w:color w:val="231F20"/>
          <w:sz w:val="20"/>
        </w:rPr>
        <w:t>Adams</w:t>
      </w:r>
    </w:p>
    <w:p w14:paraId="29AA2262"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 xml:space="preserve">Derryn </w:t>
      </w:r>
      <w:r>
        <w:rPr>
          <w:color w:val="231F20"/>
          <w:spacing w:val="-3"/>
          <w:sz w:val="20"/>
        </w:rPr>
        <w:t xml:space="preserve">Hinch’s </w:t>
      </w:r>
      <w:r>
        <w:rPr>
          <w:color w:val="231F20"/>
          <w:sz w:val="20"/>
        </w:rPr>
        <w:t>Justice</w:t>
      </w:r>
      <w:r>
        <w:rPr>
          <w:color w:val="231F20"/>
          <w:spacing w:val="-3"/>
          <w:sz w:val="20"/>
        </w:rPr>
        <w:t xml:space="preserve"> </w:t>
      </w:r>
      <w:r>
        <w:rPr>
          <w:color w:val="231F20"/>
          <w:sz w:val="20"/>
        </w:rPr>
        <w:t>Party</w:t>
      </w:r>
    </w:p>
    <w:p w14:paraId="7EF5CDB5"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3"/>
          <w:sz w:val="20"/>
        </w:rPr>
        <w:t xml:space="preserve"> </w:t>
      </w:r>
      <w:r>
        <w:rPr>
          <w:color w:val="231F20"/>
          <w:sz w:val="20"/>
        </w:rPr>
        <w:t>withheld</w:t>
      </w:r>
    </w:p>
    <w:p w14:paraId="36E19D3A" w14:textId="77777777" w:rsidR="00894070" w:rsidRDefault="009B7AFD">
      <w:pPr>
        <w:pStyle w:val="ListParagraph"/>
        <w:numPr>
          <w:ilvl w:val="0"/>
          <w:numId w:val="16"/>
        </w:numPr>
        <w:tabs>
          <w:tab w:val="left" w:pos="1801"/>
          <w:tab w:val="left" w:pos="1802"/>
        </w:tabs>
        <w:spacing w:before="20"/>
        <w:ind w:left="1801"/>
        <w:jc w:val="left"/>
        <w:rPr>
          <w:sz w:val="20"/>
        </w:rPr>
      </w:pPr>
      <w:r>
        <w:rPr>
          <w:color w:val="231F20"/>
          <w:sz w:val="20"/>
        </w:rPr>
        <w:t>Confidential</w:t>
      </w:r>
    </w:p>
    <w:p w14:paraId="0859994F"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3"/>
          <w:sz w:val="20"/>
        </w:rPr>
        <w:t xml:space="preserve"> </w:t>
      </w:r>
      <w:r>
        <w:rPr>
          <w:color w:val="231F20"/>
          <w:sz w:val="20"/>
        </w:rPr>
        <w:t>withheld</w:t>
      </w:r>
    </w:p>
    <w:p w14:paraId="705B1A01"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Dianne</w:t>
      </w:r>
      <w:r>
        <w:rPr>
          <w:color w:val="231F20"/>
          <w:spacing w:val="-3"/>
          <w:sz w:val="20"/>
        </w:rPr>
        <w:t xml:space="preserve"> </w:t>
      </w:r>
      <w:r>
        <w:rPr>
          <w:color w:val="231F20"/>
          <w:sz w:val="20"/>
        </w:rPr>
        <w:t>Russell</w:t>
      </w:r>
    </w:p>
    <w:p w14:paraId="72017BF1"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Naciyelara</w:t>
      </w:r>
      <w:r>
        <w:rPr>
          <w:color w:val="231F20"/>
          <w:spacing w:val="-17"/>
          <w:sz w:val="20"/>
        </w:rPr>
        <w:t xml:space="preserve"> </w:t>
      </w:r>
      <w:r>
        <w:rPr>
          <w:color w:val="231F20"/>
          <w:sz w:val="20"/>
        </w:rPr>
        <w:t>Erel</w:t>
      </w:r>
    </w:p>
    <w:p w14:paraId="3DFCB5D3"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7"/>
          <w:sz w:val="20"/>
        </w:rPr>
        <w:t xml:space="preserve"> </w:t>
      </w:r>
      <w:r>
        <w:rPr>
          <w:color w:val="231F20"/>
          <w:sz w:val="20"/>
        </w:rPr>
        <w:t>withheld</w:t>
      </w:r>
    </w:p>
    <w:p w14:paraId="22D84170"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Madison</w:t>
      </w:r>
    </w:p>
    <w:p w14:paraId="5D531ABC"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Phillip</w:t>
      </w:r>
      <w:r>
        <w:rPr>
          <w:color w:val="231F20"/>
          <w:spacing w:val="-3"/>
          <w:sz w:val="20"/>
        </w:rPr>
        <w:t xml:space="preserve"> </w:t>
      </w:r>
      <w:r>
        <w:rPr>
          <w:color w:val="231F20"/>
          <w:sz w:val="20"/>
        </w:rPr>
        <w:t>Castagna</w:t>
      </w:r>
    </w:p>
    <w:p w14:paraId="58358F36"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Code Black Threat</w:t>
      </w:r>
      <w:r>
        <w:rPr>
          <w:color w:val="231F20"/>
          <w:spacing w:val="-8"/>
          <w:sz w:val="20"/>
        </w:rPr>
        <w:t xml:space="preserve"> </w:t>
      </w:r>
      <w:r>
        <w:rPr>
          <w:color w:val="231F20"/>
          <w:sz w:val="20"/>
        </w:rPr>
        <w:t>Management</w:t>
      </w:r>
    </w:p>
    <w:p w14:paraId="19C4008F"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0F561DAF"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Erin</w:t>
      </w:r>
      <w:r>
        <w:rPr>
          <w:color w:val="231F20"/>
          <w:spacing w:val="-3"/>
          <w:sz w:val="20"/>
        </w:rPr>
        <w:t xml:space="preserve"> </w:t>
      </w:r>
      <w:r>
        <w:rPr>
          <w:color w:val="231F20"/>
          <w:sz w:val="20"/>
        </w:rPr>
        <w:t>Scrimshaw</w:t>
      </w:r>
    </w:p>
    <w:p w14:paraId="75BD6ABC" w14:textId="77777777" w:rsidR="00894070" w:rsidRDefault="009B7AFD">
      <w:pPr>
        <w:pStyle w:val="ListParagraph"/>
        <w:numPr>
          <w:ilvl w:val="0"/>
          <w:numId w:val="16"/>
        </w:numPr>
        <w:tabs>
          <w:tab w:val="left" w:pos="1801"/>
          <w:tab w:val="left" w:pos="1802"/>
        </w:tabs>
        <w:spacing w:before="20"/>
        <w:ind w:left="1801"/>
        <w:jc w:val="left"/>
        <w:rPr>
          <w:sz w:val="20"/>
        </w:rPr>
      </w:pPr>
      <w:r>
        <w:rPr>
          <w:color w:val="231F20"/>
          <w:sz w:val="20"/>
        </w:rPr>
        <w:t>Natasha</w:t>
      </w:r>
      <w:r>
        <w:rPr>
          <w:color w:val="231F20"/>
          <w:spacing w:val="-2"/>
          <w:sz w:val="20"/>
        </w:rPr>
        <w:t xml:space="preserve"> </w:t>
      </w:r>
      <w:r>
        <w:rPr>
          <w:color w:val="231F20"/>
          <w:spacing w:val="-3"/>
          <w:sz w:val="20"/>
        </w:rPr>
        <w:t>Walters</w:t>
      </w:r>
    </w:p>
    <w:p w14:paraId="7EB495EB"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Daniel</w:t>
      </w:r>
      <w:r>
        <w:rPr>
          <w:color w:val="231F20"/>
          <w:spacing w:val="-4"/>
          <w:sz w:val="20"/>
        </w:rPr>
        <w:t xml:space="preserve"> </w:t>
      </w:r>
      <w:r>
        <w:rPr>
          <w:color w:val="231F20"/>
          <w:sz w:val="20"/>
        </w:rPr>
        <w:t>Petrovski</w:t>
      </w:r>
    </w:p>
    <w:p w14:paraId="70E860AA"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Di</w:t>
      </w:r>
      <w:r>
        <w:rPr>
          <w:color w:val="231F20"/>
          <w:spacing w:val="-3"/>
          <w:sz w:val="20"/>
        </w:rPr>
        <w:t xml:space="preserve"> </w:t>
      </w:r>
      <w:r>
        <w:rPr>
          <w:color w:val="231F20"/>
          <w:sz w:val="20"/>
        </w:rPr>
        <w:t>McDonald</w:t>
      </w:r>
    </w:p>
    <w:p w14:paraId="1DD1432F"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000B2B6F"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Sarah</w:t>
      </w:r>
      <w:r>
        <w:rPr>
          <w:color w:val="231F20"/>
          <w:spacing w:val="-3"/>
          <w:sz w:val="20"/>
        </w:rPr>
        <w:t xml:space="preserve"> </w:t>
      </w:r>
      <w:r>
        <w:rPr>
          <w:color w:val="231F20"/>
          <w:sz w:val="20"/>
        </w:rPr>
        <w:t>Pervaiz</w:t>
      </w:r>
    </w:p>
    <w:p w14:paraId="478DEE22"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2AF559A8"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217D5833"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60AD7205"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Australian Association of Social</w:t>
      </w:r>
      <w:r>
        <w:rPr>
          <w:color w:val="231F20"/>
          <w:spacing w:val="-9"/>
          <w:sz w:val="20"/>
        </w:rPr>
        <w:t xml:space="preserve"> </w:t>
      </w:r>
      <w:r>
        <w:rPr>
          <w:color w:val="231F20"/>
          <w:spacing w:val="-3"/>
          <w:sz w:val="20"/>
        </w:rPr>
        <w:t>Workers</w:t>
      </w:r>
    </w:p>
    <w:p w14:paraId="78FC0D51"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7897E504"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7639CFBF" w14:textId="77777777" w:rsidR="00894070" w:rsidRDefault="009B7AFD">
      <w:pPr>
        <w:pStyle w:val="ListParagraph"/>
        <w:numPr>
          <w:ilvl w:val="0"/>
          <w:numId w:val="16"/>
        </w:numPr>
        <w:tabs>
          <w:tab w:val="left" w:pos="1801"/>
          <w:tab w:val="left" w:pos="1802"/>
        </w:tabs>
        <w:spacing w:before="20"/>
        <w:ind w:left="1801"/>
        <w:jc w:val="left"/>
        <w:rPr>
          <w:sz w:val="20"/>
        </w:rPr>
      </w:pPr>
      <w:r>
        <w:rPr>
          <w:color w:val="231F20"/>
          <w:sz w:val="20"/>
        </w:rPr>
        <w:t>Confidential</w:t>
      </w:r>
    </w:p>
    <w:p w14:paraId="22E3D7FC"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19E1B34B"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02A8086F"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pacing w:val="-4"/>
          <w:sz w:val="20"/>
        </w:rPr>
        <w:t>Tring</w:t>
      </w:r>
      <w:r>
        <w:rPr>
          <w:color w:val="231F20"/>
          <w:spacing w:val="-3"/>
          <w:sz w:val="20"/>
        </w:rPr>
        <w:t xml:space="preserve"> </w:t>
      </w:r>
      <w:r>
        <w:rPr>
          <w:color w:val="231F20"/>
          <w:sz w:val="20"/>
        </w:rPr>
        <w:t>Nguyen</w:t>
      </w:r>
    </w:p>
    <w:p w14:paraId="0358490B"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6CF6DFBF"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55F28E6C" w14:textId="77777777" w:rsidR="00894070" w:rsidRDefault="009B7AFD">
      <w:pPr>
        <w:pStyle w:val="BodyText"/>
        <w:rPr>
          <w:sz w:val="28"/>
        </w:rPr>
      </w:pPr>
      <w:r>
        <w:br w:type="column"/>
      </w:r>
    </w:p>
    <w:p w14:paraId="554EB374" w14:textId="77777777" w:rsidR="00894070" w:rsidRDefault="00894070">
      <w:pPr>
        <w:pStyle w:val="BodyText"/>
        <w:rPr>
          <w:sz w:val="28"/>
        </w:rPr>
      </w:pPr>
    </w:p>
    <w:p w14:paraId="47474A66" w14:textId="77777777" w:rsidR="00894070" w:rsidRDefault="00894070">
      <w:pPr>
        <w:pStyle w:val="BodyText"/>
        <w:rPr>
          <w:sz w:val="28"/>
        </w:rPr>
      </w:pPr>
    </w:p>
    <w:p w14:paraId="14FDFC0E" w14:textId="77777777" w:rsidR="00894070" w:rsidRDefault="00894070">
      <w:pPr>
        <w:pStyle w:val="BodyText"/>
        <w:rPr>
          <w:sz w:val="28"/>
        </w:rPr>
      </w:pPr>
    </w:p>
    <w:p w14:paraId="6EBB661F" w14:textId="77777777" w:rsidR="00894070" w:rsidRDefault="00894070">
      <w:pPr>
        <w:pStyle w:val="BodyText"/>
        <w:rPr>
          <w:sz w:val="28"/>
        </w:rPr>
      </w:pPr>
    </w:p>
    <w:p w14:paraId="2649A694" w14:textId="77777777" w:rsidR="00894070" w:rsidRDefault="00894070">
      <w:pPr>
        <w:pStyle w:val="BodyText"/>
        <w:rPr>
          <w:sz w:val="28"/>
        </w:rPr>
      </w:pPr>
    </w:p>
    <w:p w14:paraId="72884438" w14:textId="77777777" w:rsidR="00894070" w:rsidRDefault="00894070">
      <w:pPr>
        <w:pStyle w:val="BodyText"/>
        <w:rPr>
          <w:sz w:val="28"/>
        </w:rPr>
      </w:pPr>
    </w:p>
    <w:p w14:paraId="70AE0AFB" w14:textId="77777777" w:rsidR="00894070" w:rsidRDefault="00894070">
      <w:pPr>
        <w:pStyle w:val="BodyText"/>
        <w:rPr>
          <w:sz w:val="28"/>
        </w:rPr>
      </w:pPr>
    </w:p>
    <w:p w14:paraId="5FE83C16" w14:textId="77777777" w:rsidR="00894070" w:rsidRDefault="00894070">
      <w:pPr>
        <w:pStyle w:val="BodyText"/>
        <w:rPr>
          <w:sz w:val="28"/>
        </w:rPr>
      </w:pPr>
    </w:p>
    <w:p w14:paraId="6B561066" w14:textId="77777777" w:rsidR="00894070" w:rsidRDefault="00894070">
      <w:pPr>
        <w:pStyle w:val="BodyText"/>
        <w:rPr>
          <w:sz w:val="28"/>
        </w:rPr>
      </w:pPr>
    </w:p>
    <w:p w14:paraId="5FC01549" w14:textId="77777777" w:rsidR="00894070" w:rsidRDefault="00894070">
      <w:pPr>
        <w:pStyle w:val="BodyText"/>
        <w:rPr>
          <w:sz w:val="28"/>
        </w:rPr>
      </w:pPr>
    </w:p>
    <w:p w14:paraId="66FD71A7" w14:textId="77777777" w:rsidR="00894070" w:rsidRDefault="00894070">
      <w:pPr>
        <w:pStyle w:val="BodyText"/>
        <w:rPr>
          <w:sz w:val="28"/>
        </w:rPr>
      </w:pPr>
    </w:p>
    <w:p w14:paraId="23FDEF3B" w14:textId="77777777" w:rsidR="00894070" w:rsidRDefault="00894070">
      <w:pPr>
        <w:pStyle w:val="BodyText"/>
        <w:rPr>
          <w:sz w:val="28"/>
        </w:rPr>
      </w:pPr>
    </w:p>
    <w:p w14:paraId="5FCF82EC" w14:textId="77777777" w:rsidR="00894070" w:rsidRDefault="00894070">
      <w:pPr>
        <w:pStyle w:val="BodyText"/>
        <w:rPr>
          <w:sz w:val="28"/>
        </w:rPr>
      </w:pPr>
    </w:p>
    <w:p w14:paraId="36DE856E" w14:textId="77777777" w:rsidR="00894070" w:rsidRDefault="00894070">
      <w:pPr>
        <w:pStyle w:val="BodyText"/>
        <w:rPr>
          <w:sz w:val="28"/>
        </w:rPr>
      </w:pPr>
    </w:p>
    <w:p w14:paraId="11B1A3CE" w14:textId="77777777" w:rsidR="00894070" w:rsidRDefault="00894070">
      <w:pPr>
        <w:pStyle w:val="BodyText"/>
        <w:rPr>
          <w:sz w:val="28"/>
        </w:rPr>
      </w:pPr>
    </w:p>
    <w:p w14:paraId="66E5DD51" w14:textId="77777777" w:rsidR="00894070" w:rsidRDefault="00894070">
      <w:pPr>
        <w:pStyle w:val="BodyText"/>
        <w:rPr>
          <w:sz w:val="28"/>
        </w:rPr>
      </w:pPr>
    </w:p>
    <w:p w14:paraId="1B685135" w14:textId="77777777" w:rsidR="00894070" w:rsidRDefault="00894070">
      <w:pPr>
        <w:pStyle w:val="BodyText"/>
        <w:rPr>
          <w:sz w:val="28"/>
        </w:rPr>
      </w:pPr>
    </w:p>
    <w:p w14:paraId="0C001D7F" w14:textId="77777777" w:rsidR="00894070" w:rsidRDefault="00894070">
      <w:pPr>
        <w:pStyle w:val="BodyText"/>
        <w:rPr>
          <w:sz w:val="28"/>
        </w:rPr>
      </w:pPr>
    </w:p>
    <w:p w14:paraId="7B78504C" w14:textId="77777777" w:rsidR="00894070" w:rsidRDefault="00894070">
      <w:pPr>
        <w:pStyle w:val="BodyText"/>
        <w:rPr>
          <w:sz w:val="28"/>
        </w:rPr>
      </w:pPr>
    </w:p>
    <w:p w14:paraId="51AD7888" w14:textId="77777777" w:rsidR="00894070" w:rsidRDefault="00894070">
      <w:pPr>
        <w:pStyle w:val="BodyText"/>
        <w:rPr>
          <w:sz w:val="28"/>
        </w:rPr>
      </w:pPr>
    </w:p>
    <w:p w14:paraId="06F5DC3E" w14:textId="77777777" w:rsidR="00894070" w:rsidRDefault="00894070">
      <w:pPr>
        <w:pStyle w:val="BodyText"/>
        <w:rPr>
          <w:sz w:val="28"/>
        </w:rPr>
      </w:pPr>
    </w:p>
    <w:p w14:paraId="210EDA0B" w14:textId="77777777" w:rsidR="00894070" w:rsidRDefault="00894070">
      <w:pPr>
        <w:pStyle w:val="BodyText"/>
        <w:rPr>
          <w:sz w:val="28"/>
        </w:rPr>
      </w:pPr>
    </w:p>
    <w:p w14:paraId="51CF8F38" w14:textId="77777777" w:rsidR="00894070" w:rsidRDefault="00894070">
      <w:pPr>
        <w:pStyle w:val="BodyText"/>
        <w:rPr>
          <w:sz w:val="28"/>
        </w:rPr>
      </w:pPr>
    </w:p>
    <w:p w14:paraId="22B62C2A" w14:textId="77777777" w:rsidR="00894070" w:rsidRDefault="00894070">
      <w:pPr>
        <w:pStyle w:val="BodyText"/>
        <w:rPr>
          <w:sz w:val="28"/>
        </w:rPr>
      </w:pPr>
    </w:p>
    <w:p w14:paraId="41C91269" w14:textId="77777777" w:rsidR="00894070" w:rsidRDefault="00894070">
      <w:pPr>
        <w:pStyle w:val="BodyText"/>
        <w:rPr>
          <w:sz w:val="28"/>
        </w:rPr>
      </w:pPr>
    </w:p>
    <w:p w14:paraId="59D4271A" w14:textId="77777777" w:rsidR="00894070" w:rsidRDefault="00894070">
      <w:pPr>
        <w:pStyle w:val="BodyText"/>
        <w:rPr>
          <w:sz w:val="28"/>
        </w:rPr>
      </w:pPr>
    </w:p>
    <w:p w14:paraId="3AECEBEF" w14:textId="77777777" w:rsidR="00894070" w:rsidRDefault="00894070">
      <w:pPr>
        <w:pStyle w:val="BodyText"/>
        <w:rPr>
          <w:sz w:val="28"/>
        </w:rPr>
      </w:pPr>
    </w:p>
    <w:p w14:paraId="2E240159" w14:textId="77777777" w:rsidR="00894070" w:rsidRDefault="00894070">
      <w:pPr>
        <w:pStyle w:val="BodyText"/>
        <w:rPr>
          <w:sz w:val="28"/>
        </w:rPr>
      </w:pPr>
    </w:p>
    <w:p w14:paraId="36547EC9" w14:textId="77777777" w:rsidR="00894070" w:rsidRDefault="00894070">
      <w:pPr>
        <w:pStyle w:val="BodyText"/>
        <w:rPr>
          <w:sz w:val="28"/>
        </w:rPr>
      </w:pPr>
    </w:p>
    <w:p w14:paraId="6290BB7C" w14:textId="77777777" w:rsidR="00894070" w:rsidRDefault="00894070">
      <w:pPr>
        <w:pStyle w:val="BodyText"/>
        <w:rPr>
          <w:sz w:val="28"/>
        </w:rPr>
      </w:pPr>
    </w:p>
    <w:p w14:paraId="65757569" w14:textId="77777777" w:rsidR="00894070" w:rsidRDefault="00894070">
      <w:pPr>
        <w:pStyle w:val="BodyText"/>
        <w:rPr>
          <w:sz w:val="28"/>
        </w:rPr>
      </w:pPr>
    </w:p>
    <w:p w14:paraId="66263687" w14:textId="77777777" w:rsidR="00894070" w:rsidRDefault="00894070">
      <w:pPr>
        <w:pStyle w:val="BodyText"/>
        <w:rPr>
          <w:sz w:val="28"/>
        </w:rPr>
      </w:pPr>
    </w:p>
    <w:p w14:paraId="6306BCC5" w14:textId="77777777" w:rsidR="00894070" w:rsidRDefault="00894070">
      <w:pPr>
        <w:pStyle w:val="BodyText"/>
        <w:rPr>
          <w:sz w:val="28"/>
        </w:rPr>
      </w:pPr>
    </w:p>
    <w:p w14:paraId="1484C8B5" w14:textId="77777777" w:rsidR="00894070" w:rsidRDefault="00894070">
      <w:pPr>
        <w:pStyle w:val="BodyText"/>
        <w:rPr>
          <w:sz w:val="28"/>
        </w:rPr>
      </w:pPr>
    </w:p>
    <w:p w14:paraId="451473E3" w14:textId="77777777" w:rsidR="00894070" w:rsidRDefault="00894070">
      <w:pPr>
        <w:pStyle w:val="BodyText"/>
        <w:spacing w:before="8"/>
        <w:rPr>
          <w:sz w:val="36"/>
        </w:rPr>
      </w:pPr>
    </w:p>
    <w:p w14:paraId="3CAEA4C8" w14:textId="77777777" w:rsidR="00894070" w:rsidRDefault="009B7AFD">
      <w:pPr>
        <w:pStyle w:val="Heading8"/>
        <w:ind w:left="1007"/>
      </w:pPr>
      <w:r>
        <w:rPr>
          <w:color w:val="EA5B50"/>
        </w:rPr>
        <w:t>187</w:t>
      </w:r>
    </w:p>
    <w:p w14:paraId="12F453EB" w14:textId="77777777" w:rsidR="00894070" w:rsidRDefault="00894070">
      <w:pPr>
        <w:sectPr w:rsidR="00894070">
          <w:type w:val="continuous"/>
          <w:pgSz w:w="11910" w:h="16840"/>
          <w:pgMar w:top="560" w:right="420" w:bottom="280" w:left="580" w:header="720" w:footer="720" w:gutter="0"/>
          <w:cols w:num="2" w:space="720" w:equalWidth="0">
            <w:col w:w="7930" w:space="1399"/>
            <w:col w:w="1581"/>
          </w:cols>
        </w:sectPr>
      </w:pPr>
    </w:p>
    <w:p w14:paraId="424407E2" w14:textId="77777777" w:rsidR="00894070" w:rsidRDefault="00894070">
      <w:pPr>
        <w:pStyle w:val="BodyText"/>
        <w:rPr>
          <w:b/>
        </w:rPr>
      </w:pPr>
    </w:p>
    <w:p w14:paraId="46EF34B4" w14:textId="77777777" w:rsidR="00894070" w:rsidRDefault="00894070">
      <w:pPr>
        <w:pStyle w:val="BodyText"/>
        <w:rPr>
          <w:b/>
        </w:rPr>
      </w:pPr>
    </w:p>
    <w:p w14:paraId="61C5C1CB" w14:textId="77777777" w:rsidR="00894070" w:rsidRDefault="00894070">
      <w:pPr>
        <w:pStyle w:val="BodyText"/>
        <w:rPr>
          <w:b/>
        </w:rPr>
      </w:pPr>
    </w:p>
    <w:p w14:paraId="7AA871DE" w14:textId="77777777" w:rsidR="00894070" w:rsidRDefault="00894070">
      <w:pPr>
        <w:pStyle w:val="BodyText"/>
        <w:spacing w:before="7"/>
        <w:rPr>
          <w:b/>
          <w:sz w:val="16"/>
        </w:rPr>
      </w:pPr>
    </w:p>
    <w:p w14:paraId="2B254BC8" w14:textId="77777777" w:rsidR="00894070" w:rsidRDefault="009B7AFD">
      <w:pPr>
        <w:pStyle w:val="ListParagraph"/>
        <w:numPr>
          <w:ilvl w:val="0"/>
          <w:numId w:val="16"/>
        </w:numPr>
        <w:tabs>
          <w:tab w:val="left" w:pos="1801"/>
          <w:tab w:val="left" w:pos="1802"/>
        </w:tabs>
        <w:ind w:left="1801"/>
        <w:jc w:val="left"/>
        <w:rPr>
          <w:sz w:val="20"/>
        </w:rPr>
      </w:pPr>
      <w:r>
        <w:rPr>
          <w:color w:val="231F20"/>
          <w:sz w:val="20"/>
        </w:rPr>
        <w:t>John Raphael</w:t>
      </w:r>
      <w:r>
        <w:rPr>
          <w:color w:val="231F20"/>
          <w:spacing w:val="-5"/>
          <w:sz w:val="20"/>
        </w:rPr>
        <w:t xml:space="preserve"> </w:t>
      </w:r>
      <w:r>
        <w:rPr>
          <w:color w:val="231F20"/>
          <w:sz w:val="20"/>
        </w:rPr>
        <w:t>Violeta</w:t>
      </w:r>
    </w:p>
    <w:p w14:paraId="50D9147E"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32F401A3"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55EF9837"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3"/>
          <w:sz w:val="20"/>
        </w:rPr>
        <w:t xml:space="preserve"> </w:t>
      </w:r>
      <w:r>
        <w:rPr>
          <w:color w:val="231F20"/>
          <w:sz w:val="20"/>
        </w:rPr>
        <w:t>withheld</w:t>
      </w:r>
    </w:p>
    <w:p w14:paraId="63AF5330"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58175724"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Carmela Melinda Di</w:t>
      </w:r>
      <w:r>
        <w:rPr>
          <w:color w:val="231F20"/>
          <w:spacing w:val="-7"/>
          <w:sz w:val="20"/>
        </w:rPr>
        <w:t xml:space="preserve"> </w:t>
      </w:r>
      <w:r>
        <w:rPr>
          <w:color w:val="231F20"/>
          <w:sz w:val="20"/>
        </w:rPr>
        <w:t>Mauro</w:t>
      </w:r>
    </w:p>
    <w:p w14:paraId="1276DFD7"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7"/>
          <w:sz w:val="20"/>
        </w:rPr>
        <w:t xml:space="preserve"> </w:t>
      </w:r>
      <w:r>
        <w:rPr>
          <w:color w:val="231F20"/>
          <w:sz w:val="20"/>
        </w:rPr>
        <w:t>withheld</w:t>
      </w:r>
    </w:p>
    <w:p w14:paraId="7575F3D3"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7"/>
          <w:sz w:val="20"/>
        </w:rPr>
        <w:t xml:space="preserve"> </w:t>
      </w:r>
      <w:r>
        <w:rPr>
          <w:color w:val="231F20"/>
          <w:sz w:val="20"/>
        </w:rPr>
        <w:t>withheld</w:t>
      </w:r>
    </w:p>
    <w:p w14:paraId="4917D2BF"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Royal Australian and New Zealand College of</w:t>
      </w:r>
      <w:r>
        <w:rPr>
          <w:color w:val="231F20"/>
          <w:spacing w:val="-17"/>
          <w:sz w:val="20"/>
        </w:rPr>
        <w:t xml:space="preserve"> </w:t>
      </w:r>
      <w:r>
        <w:rPr>
          <w:color w:val="231F20"/>
          <w:sz w:val="20"/>
        </w:rPr>
        <w:t>Psychiatrists</w:t>
      </w:r>
    </w:p>
    <w:p w14:paraId="31FCD536" w14:textId="77777777" w:rsidR="00894070" w:rsidRDefault="009B7AFD">
      <w:pPr>
        <w:pStyle w:val="ListParagraph"/>
        <w:numPr>
          <w:ilvl w:val="0"/>
          <w:numId w:val="16"/>
        </w:numPr>
        <w:tabs>
          <w:tab w:val="left" w:pos="1801"/>
          <w:tab w:val="left" w:pos="1802"/>
        </w:tabs>
        <w:spacing w:before="20"/>
        <w:ind w:left="1801"/>
        <w:jc w:val="left"/>
        <w:rPr>
          <w:sz w:val="20"/>
        </w:rPr>
      </w:pPr>
      <w:r>
        <w:rPr>
          <w:color w:val="231F20"/>
          <w:sz w:val="20"/>
        </w:rPr>
        <w:t>Name</w:t>
      </w:r>
      <w:r>
        <w:rPr>
          <w:color w:val="231F20"/>
          <w:spacing w:val="-3"/>
          <w:sz w:val="20"/>
        </w:rPr>
        <w:t xml:space="preserve"> </w:t>
      </w:r>
      <w:r>
        <w:rPr>
          <w:color w:val="231F20"/>
          <w:sz w:val="20"/>
        </w:rPr>
        <w:t>withheld</w:t>
      </w:r>
    </w:p>
    <w:p w14:paraId="4B8C3AB4"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Springvale Monash Legal</w:t>
      </w:r>
      <w:r>
        <w:rPr>
          <w:color w:val="231F20"/>
          <w:spacing w:val="-7"/>
          <w:sz w:val="20"/>
        </w:rPr>
        <w:t xml:space="preserve"> </w:t>
      </w:r>
      <w:r>
        <w:rPr>
          <w:color w:val="231F20"/>
          <w:sz w:val="20"/>
        </w:rPr>
        <w:t>Service</w:t>
      </w:r>
    </w:p>
    <w:p w14:paraId="5DB4ED2C"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00FB8C67"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Federation of Community Legal</w:t>
      </w:r>
      <w:r>
        <w:rPr>
          <w:color w:val="231F20"/>
          <w:spacing w:val="-10"/>
          <w:sz w:val="20"/>
        </w:rPr>
        <w:t xml:space="preserve"> </w:t>
      </w:r>
      <w:r>
        <w:rPr>
          <w:color w:val="231F20"/>
          <w:sz w:val="20"/>
        </w:rPr>
        <w:t>Centres</w:t>
      </w:r>
    </w:p>
    <w:p w14:paraId="4D45EF9C"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Law Institute of</w:t>
      </w:r>
      <w:r>
        <w:rPr>
          <w:color w:val="231F20"/>
          <w:spacing w:val="-7"/>
          <w:sz w:val="20"/>
        </w:rPr>
        <w:t xml:space="preserve"> </w:t>
      </w:r>
      <w:r>
        <w:rPr>
          <w:color w:val="231F20"/>
          <w:sz w:val="20"/>
        </w:rPr>
        <w:t>Victoria</w:t>
      </w:r>
    </w:p>
    <w:p w14:paraId="0F060340"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74B76971"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Forensicare</w:t>
      </w:r>
    </w:p>
    <w:p w14:paraId="3B5500EC"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Michael</w:t>
      </w:r>
      <w:r>
        <w:rPr>
          <w:color w:val="231F20"/>
          <w:spacing w:val="-3"/>
          <w:sz w:val="20"/>
        </w:rPr>
        <w:t xml:space="preserve"> </w:t>
      </w:r>
      <w:r>
        <w:rPr>
          <w:color w:val="231F20"/>
          <w:sz w:val="20"/>
        </w:rPr>
        <w:t>Buckman</w:t>
      </w:r>
    </w:p>
    <w:p w14:paraId="471134BA"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7A2098FC"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4F99FE72"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Alannah and Madeline</w:t>
      </w:r>
      <w:r>
        <w:rPr>
          <w:color w:val="231F20"/>
          <w:spacing w:val="-7"/>
          <w:sz w:val="20"/>
        </w:rPr>
        <w:t xml:space="preserve"> </w:t>
      </w:r>
      <w:r>
        <w:rPr>
          <w:color w:val="231F20"/>
          <w:sz w:val="20"/>
        </w:rPr>
        <w:t>Foundation</w:t>
      </w:r>
    </w:p>
    <w:p w14:paraId="61C341D7" w14:textId="77777777" w:rsidR="00894070" w:rsidRDefault="009B7AFD">
      <w:pPr>
        <w:pStyle w:val="ListParagraph"/>
        <w:numPr>
          <w:ilvl w:val="0"/>
          <w:numId w:val="16"/>
        </w:numPr>
        <w:tabs>
          <w:tab w:val="left" w:pos="1801"/>
          <w:tab w:val="left" w:pos="1802"/>
        </w:tabs>
        <w:spacing w:before="20"/>
        <w:ind w:left="1801"/>
        <w:jc w:val="left"/>
        <w:rPr>
          <w:sz w:val="20"/>
        </w:rPr>
      </w:pPr>
      <w:r>
        <w:rPr>
          <w:color w:val="231F20"/>
          <w:sz w:val="20"/>
        </w:rPr>
        <w:t>Name</w:t>
      </w:r>
      <w:r>
        <w:rPr>
          <w:color w:val="231F20"/>
          <w:spacing w:val="-3"/>
          <w:sz w:val="20"/>
        </w:rPr>
        <w:t xml:space="preserve"> </w:t>
      </w:r>
      <w:r>
        <w:rPr>
          <w:color w:val="231F20"/>
          <w:sz w:val="20"/>
        </w:rPr>
        <w:t>withheld</w:t>
      </w:r>
    </w:p>
    <w:p w14:paraId="1AC1BA90"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 xml:space="preserve">Dr </w:t>
      </w:r>
      <w:r>
        <w:rPr>
          <w:color w:val="231F20"/>
          <w:spacing w:val="-3"/>
          <w:sz w:val="20"/>
        </w:rPr>
        <w:t xml:space="preserve">Steven </w:t>
      </w:r>
      <w:r>
        <w:rPr>
          <w:color w:val="231F20"/>
          <w:spacing w:val="-4"/>
          <w:sz w:val="20"/>
        </w:rPr>
        <w:t xml:space="preserve">Tudor </w:t>
      </w:r>
      <w:r>
        <w:rPr>
          <w:color w:val="231F20"/>
          <w:sz w:val="20"/>
        </w:rPr>
        <w:t>&amp; Greg Byrne</w:t>
      </w:r>
      <w:r>
        <w:rPr>
          <w:color w:val="231F20"/>
          <w:spacing w:val="-5"/>
          <w:sz w:val="20"/>
        </w:rPr>
        <w:t xml:space="preserve"> </w:t>
      </w:r>
      <w:r>
        <w:rPr>
          <w:color w:val="231F20"/>
          <w:sz w:val="20"/>
        </w:rPr>
        <w:t>PSM</w:t>
      </w:r>
    </w:p>
    <w:p w14:paraId="151ED78B"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J</w:t>
      </w:r>
      <w:r>
        <w:rPr>
          <w:color w:val="231F20"/>
          <w:spacing w:val="-3"/>
          <w:sz w:val="20"/>
        </w:rPr>
        <w:t xml:space="preserve"> </w:t>
      </w:r>
      <w:r>
        <w:rPr>
          <w:color w:val="231F20"/>
          <w:sz w:val="20"/>
        </w:rPr>
        <w:t>Starr</w:t>
      </w:r>
    </w:p>
    <w:p w14:paraId="5B3FAFEF"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354D45C2"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3"/>
          <w:sz w:val="20"/>
        </w:rPr>
        <w:t xml:space="preserve"> </w:t>
      </w:r>
      <w:r>
        <w:rPr>
          <w:color w:val="231F20"/>
          <w:sz w:val="20"/>
        </w:rPr>
        <w:t>withheld</w:t>
      </w:r>
    </w:p>
    <w:p w14:paraId="7079E676"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Name</w:t>
      </w:r>
      <w:r>
        <w:rPr>
          <w:color w:val="231F20"/>
          <w:spacing w:val="-3"/>
          <w:sz w:val="20"/>
        </w:rPr>
        <w:t xml:space="preserve"> </w:t>
      </w:r>
      <w:r>
        <w:rPr>
          <w:color w:val="231F20"/>
          <w:sz w:val="20"/>
        </w:rPr>
        <w:t>Withheld</w:t>
      </w:r>
    </w:p>
    <w:p w14:paraId="0F8B258C"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682C15E4"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7E50C835"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7C1D872C"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Confidential</w:t>
      </w:r>
    </w:p>
    <w:p w14:paraId="13D78ECF" w14:textId="77777777" w:rsidR="00894070" w:rsidRDefault="009B7AFD">
      <w:pPr>
        <w:pStyle w:val="ListParagraph"/>
        <w:numPr>
          <w:ilvl w:val="0"/>
          <w:numId w:val="16"/>
        </w:numPr>
        <w:tabs>
          <w:tab w:val="left" w:pos="1801"/>
          <w:tab w:val="left" w:pos="1802"/>
        </w:tabs>
        <w:spacing w:before="19"/>
        <w:ind w:left="1801"/>
        <w:jc w:val="left"/>
        <w:rPr>
          <w:sz w:val="20"/>
        </w:rPr>
      </w:pPr>
      <w:r>
        <w:rPr>
          <w:color w:val="231F20"/>
          <w:sz w:val="20"/>
        </w:rPr>
        <w:t>Victoria</w:t>
      </w:r>
      <w:r>
        <w:rPr>
          <w:color w:val="231F20"/>
          <w:spacing w:val="-3"/>
          <w:sz w:val="20"/>
        </w:rPr>
        <w:t xml:space="preserve"> </w:t>
      </w:r>
      <w:r>
        <w:rPr>
          <w:color w:val="231F20"/>
          <w:sz w:val="20"/>
        </w:rPr>
        <w:t>Police</w:t>
      </w:r>
    </w:p>
    <w:p w14:paraId="4F8E5D5C" w14:textId="77777777" w:rsidR="00894070" w:rsidRDefault="009B7AFD">
      <w:pPr>
        <w:pStyle w:val="BodyText"/>
        <w:spacing w:before="20"/>
        <w:ind w:left="1801"/>
      </w:pPr>
      <w:r>
        <w:rPr>
          <w:color w:val="231F20"/>
        </w:rPr>
        <w:t>Victoria Police—supplementary response</w:t>
      </w:r>
    </w:p>
    <w:p w14:paraId="23A07B2C" w14:textId="77777777" w:rsidR="00894070" w:rsidRDefault="00894070">
      <w:pPr>
        <w:pStyle w:val="BodyText"/>
      </w:pPr>
    </w:p>
    <w:p w14:paraId="5EA21E46" w14:textId="77777777" w:rsidR="00894070" w:rsidRDefault="00894070">
      <w:pPr>
        <w:pStyle w:val="BodyText"/>
      </w:pPr>
    </w:p>
    <w:p w14:paraId="0C7054BA" w14:textId="77777777" w:rsidR="00894070" w:rsidRDefault="00894070">
      <w:pPr>
        <w:pStyle w:val="BodyText"/>
      </w:pPr>
    </w:p>
    <w:p w14:paraId="4C6F0942" w14:textId="77777777" w:rsidR="00894070" w:rsidRDefault="00894070">
      <w:pPr>
        <w:pStyle w:val="BodyText"/>
      </w:pPr>
    </w:p>
    <w:p w14:paraId="5AC310D3" w14:textId="77777777" w:rsidR="00894070" w:rsidRDefault="00894070">
      <w:pPr>
        <w:pStyle w:val="BodyText"/>
      </w:pPr>
    </w:p>
    <w:p w14:paraId="0869656B" w14:textId="77777777" w:rsidR="00894070" w:rsidRDefault="00894070">
      <w:pPr>
        <w:pStyle w:val="BodyText"/>
      </w:pPr>
    </w:p>
    <w:p w14:paraId="4E646986" w14:textId="77777777" w:rsidR="00894070" w:rsidRDefault="00894070">
      <w:pPr>
        <w:pStyle w:val="BodyText"/>
      </w:pPr>
    </w:p>
    <w:p w14:paraId="7D312799" w14:textId="77777777" w:rsidR="00894070" w:rsidRDefault="00894070">
      <w:pPr>
        <w:pStyle w:val="BodyText"/>
      </w:pPr>
    </w:p>
    <w:p w14:paraId="61C90454" w14:textId="77777777" w:rsidR="00894070" w:rsidRDefault="00894070">
      <w:pPr>
        <w:pStyle w:val="BodyText"/>
      </w:pPr>
    </w:p>
    <w:p w14:paraId="77B7EC25" w14:textId="77777777" w:rsidR="00894070" w:rsidRDefault="00894070">
      <w:pPr>
        <w:pStyle w:val="BodyText"/>
      </w:pPr>
    </w:p>
    <w:p w14:paraId="65EB3B47" w14:textId="77777777" w:rsidR="00894070" w:rsidRDefault="00894070">
      <w:pPr>
        <w:pStyle w:val="BodyText"/>
      </w:pPr>
    </w:p>
    <w:p w14:paraId="0C4E0C1B" w14:textId="77777777" w:rsidR="00894070" w:rsidRDefault="00894070">
      <w:pPr>
        <w:pStyle w:val="BodyText"/>
      </w:pPr>
    </w:p>
    <w:p w14:paraId="29331E35" w14:textId="77777777" w:rsidR="00894070" w:rsidRDefault="00894070">
      <w:pPr>
        <w:pStyle w:val="BodyText"/>
      </w:pPr>
    </w:p>
    <w:p w14:paraId="291AAC26" w14:textId="77777777" w:rsidR="00894070" w:rsidRDefault="00894070">
      <w:pPr>
        <w:pStyle w:val="BodyText"/>
      </w:pPr>
    </w:p>
    <w:p w14:paraId="7F4AFFEC" w14:textId="77777777" w:rsidR="00894070" w:rsidRDefault="00894070">
      <w:pPr>
        <w:pStyle w:val="BodyText"/>
      </w:pPr>
    </w:p>
    <w:p w14:paraId="7B4903EE" w14:textId="77777777" w:rsidR="00894070" w:rsidRDefault="00894070">
      <w:pPr>
        <w:pStyle w:val="BodyText"/>
        <w:spacing w:before="3"/>
        <w:rPr>
          <w:sz w:val="26"/>
        </w:rPr>
      </w:pPr>
    </w:p>
    <w:p w14:paraId="3B28C3C3" w14:textId="77777777" w:rsidR="00894070" w:rsidRDefault="009B7AFD">
      <w:pPr>
        <w:pStyle w:val="Heading8"/>
        <w:spacing w:before="49"/>
        <w:ind w:left="140"/>
      </w:pPr>
      <w:r>
        <w:rPr>
          <w:color w:val="EA5B50"/>
        </w:rPr>
        <w:t>188</w:t>
      </w:r>
    </w:p>
    <w:p w14:paraId="25EAE4E3" w14:textId="77777777" w:rsidR="00894070" w:rsidRDefault="00894070">
      <w:pPr>
        <w:sectPr w:rsidR="00894070">
          <w:pgSz w:w="11910" w:h="16840"/>
          <w:pgMar w:top="860" w:right="420" w:bottom="280" w:left="580" w:header="567" w:footer="0" w:gutter="0"/>
          <w:cols w:space="720"/>
        </w:sectPr>
      </w:pPr>
    </w:p>
    <w:p w14:paraId="3F5B9229" w14:textId="77777777" w:rsidR="00894070" w:rsidRDefault="00894070">
      <w:pPr>
        <w:pStyle w:val="BodyText"/>
        <w:rPr>
          <w:b/>
        </w:rPr>
      </w:pPr>
    </w:p>
    <w:p w14:paraId="3703037D" w14:textId="77777777" w:rsidR="00894070" w:rsidRDefault="00894070">
      <w:pPr>
        <w:pStyle w:val="BodyText"/>
        <w:rPr>
          <w:b/>
        </w:rPr>
      </w:pPr>
    </w:p>
    <w:p w14:paraId="09A9AF06" w14:textId="77777777" w:rsidR="00894070" w:rsidRDefault="00894070">
      <w:pPr>
        <w:pStyle w:val="BodyText"/>
        <w:spacing w:before="11"/>
        <w:rPr>
          <w:b/>
          <w:sz w:val="25"/>
        </w:rPr>
      </w:pPr>
    </w:p>
    <w:p w14:paraId="4DAC4023" w14:textId="77777777" w:rsidR="00894070" w:rsidRDefault="009B7AFD">
      <w:pPr>
        <w:spacing w:before="129" w:line="184" w:lineRule="auto"/>
        <w:ind w:left="270" w:right="6841"/>
        <w:rPr>
          <w:rFonts w:ascii="Raleway ExtraBold"/>
          <w:b/>
          <w:sz w:val="56"/>
        </w:rPr>
      </w:pPr>
      <w:bookmarkStart w:id="199" w:name="Appendix_B:_Consultations"/>
      <w:bookmarkStart w:id="200" w:name="_bookmark121"/>
      <w:bookmarkEnd w:id="199"/>
      <w:bookmarkEnd w:id="200"/>
      <w:r>
        <w:rPr>
          <w:rFonts w:ascii="Raleway ExtraBold"/>
          <w:b/>
          <w:color w:val="EA5B50"/>
          <w:sz w:val="56"/>
        </w:rPr>
        <w:t>Appendix B: Consultations</w:t>
      </w:r>
    </w:p>
    <w:p w14:paraId="64255914" w14:textId="77777777" w:rsidR="00894070" w:rsidRDefault="00894070">
      <w:pPr>
        <w:pStyle w:val="BodyText"/>
        <w:rPr>
          <w:rFonts w:ascii="Raleway ExtraBold"/>
          <w:b/>
        </w:rPr>
      </w:pPr>
    </w:p>
    <w:p w14:paraId="07D7305B" w14:textId="77777777" w:rsidR="00894070" w:rsidRDefault="00894070">
      <w:pPr>
        <w:pStyle w:val="BodyText"/>
        <w:rPr>
          <w:rFonts w:ascii="Raleway ExtraBold"/>
          <w:b/>
        </w:rPr>
      </w:pPr>
    </w:p>
    <w:p w14:paraId="6566CF99" w14:textId="77777777" w:rsidR="00894070" w:rsidRDefault="00894070">
      <w:pPr>
        <w:pStyle w:val="BodyText"/>
        <w:rPr>
          <w:rFonts w:ascii="Raleway ExtraBold"/>
          <w:b/>
        </w:rPr>
      </w:pPr>
    </w:p>
    <w:p w14:paraId="343717CB" w14:textId="77777777" w:rsidR="00894070" w:rsidRDefault="00894070">
      <w:pPr>
        <w:pStyle w:val="BodyText"/>
        <w:rPr>
          <w:rFonts w:ascii="Raleway ExtraBold"/>
          <w:b/>
        </w:rPr>
      </w:pPr>
    </w:p>
    <w:p w14:paraId="4098A036" w14:textId="77777777" w:rsidR="00894070" w:rsidRDefault="00894070">
      <w:pPr>
        <w:pStyle w:val="BodyText"/>
        <w:rPr>
          <w:rFonts w:ascii="Raleway ExtraBold"/>
          <w:b/>
        </w:rPr>
      </w:pPr>
    </w:p>
    <w:p w14:paraId="3A470CD0" w14:textId="77777777" w:rsidR="00894070" w:rsidRDefault="00894070">
      <w:pPr>
        <w:pStyle w:val="BodyText"/>
        <w:rPr>
          <w:rFonts w:ascii="Raleway ExtraBold"/>
          <w:b/>
        </w:rPr>
      </w:pPr>
    </w:p>
    <w:p w14:paraId="52C34F31" w14:textId="77777777" w:rsidR="00894070" w:rsidRDefault="00894070">
      <w:pPr>
        <w:pStyle w:val="BodyText"/>
        <w:rPr>
          <w:rFonts w:ascii="Raleway ExtraBold"/>
          <w:b/>
        </w:rPr>
      </w:pPr>
    </w:p>
    <w:p w14:paraId="29C1FD85" w14:textId="77777777" w:rsidR="00894070" w:rsidRDefault="00894070">
      <w:pPr>
        <w:pStyle w:val="BodyText"/>
        <w:rPr>
          <w:rFonts w:ascii="Raleway ExtraBold"/>
          <w:b/>
        </w:rPr>
      </w:pPr>
    </w:p>
    <w:p w14:paraId="12278E51" w14:textId="77777777" w:rsidR="00894070" w:rsidRDefault="00894070">
      <w:pPr>
        <w:pStyle w:val="BodyText"/>
        <w:spacing w:before="7"/>
        <w:rPr>
          <w:rFonts w:ascii="Raleway ExtraBold"/>
          <w:b/>
          <w:sz w:val="14"/>
        </w:rPr>
      </w:pPr>
    </w:p>
    <w:p w14:paraId="128B7958" w14:textId="77777777" w:rsidR="00894070" w:rsidRDefault="00894070">
      <w:pPr>
        <w:rPr>
          <w:rFonts w:ascii="Raleway ExtraBold"/>
          <w:sz w:val="14"/>
        </w:rPr>
        <w:sectPr w:rsidR="00894070">
          <w:headerReference w:type="even" r:id="rId211"/>
          <w:headerReference w:type="default" r:id="rId212"/>
          <w:pgSz w:w="11910" w:h="16840"/>
          <w:pgMar w:top="840" w:right="420" w:bottom="280" w:left="580" w:header="0" w:footer="0" w:gutter="0"/>
          <w:cols w:space="720"/>
        </w:sectPr>
      </w:pPr>
    </w:p>
    <w:p w14:paraId="0BBAD620" w14:textId="77777777" w:rsidR="00894070" w:rsidRDefault="009F6793">
      <w:pPr>
        <w:pStyle w:val="ListParagraph"/>
        <w:numPr>
          <w:ilvl w:val="0"/>
          <w:numId w:val="15"/>
        </w:numPr>
        <w:tabs>
          <w:tab w:val="left" w:pos="1801"/>
          <w:tab w:val="left" w:pos="1802"/>
        </w:tabs>
        <w:spacing w:before="58"/>
        <w:rPr>
          <w:sz w:val="20"/>
        </w:rPr>
      </w:pPr>
      <w:r>
        <w:pict w14:anchorId="2F8B508E">
          <v:rect id="_x0000_s1039" style="position:absolute;left:0;text-align:left;margin-left:0;margin-top:99.2pt;width:14.15pt;height:85.75pt;z-index:251798528;mso-position-horizontal-relative:page;mso-position-vertical-relative:page" fillcolor="#ea5b50" stroked="f">
            <w10:wrap anchorx="page" anchory="page"/>
          </v:rect>
        </w:pict>
      </w:r>
      <w:r w:rsidR="009B7AFD">
        <w:rPr>
          <w:color w:val="231F20"/>
          <w:sz w:val="20"/>
        </w:rPr>
        <w:t>Centre for Forensic Behavioural</w:t>
      </w:r>
      <w:r w:rsidR="009B7AFD">
        <w:rPr>
          <w:color w:val="231F20"/>
          <w:spacing w:val="-10"/>
          <w:sz w:val="20"/>
        </w:rPr>
        <w:t xml:space="preserve"> </w:t>
      </w:r>
      <w:r w:rsidR="009B7AFD">
        <w:rPr>
          <w:color w:val="231F20"/>
          <w:sz w:val="20"/>
        </w:rPr>
        <w:t>Science</w:t>
      </w:r>
    </w:p>
    <w:p w14:paraId="19B54319" w14:textId="77777777" w:rsidR="00894070" w:rsidRDefault="009B7AFD">
      <w:pPr>
        <w:pStyle w:val="ListParagraph"/>
        <w:numPr>
          <w:ilvl w:val="0"/>
          <w:numId w:val="15"/>
        </w:numPr>
        <w:tabs>
          <w:tab w:val="left" w:pos="1801"/>
          <w:tab w:val="left" w:pos="1802"/>
        </w:tabs>
        <w:spacing w:before="19"/>
        <w:rPr>
          <w:sz w:val="20"/>
        </w:rPr>
      </w:pPr>
      <w:r>
        <w:rPr>
          <w:color w:val="231F20"/>
          <w:sz w:val="20"/>
        </w:rPr>
        <w:t>Children’s Court of Victoria (No</w:t>
      </w:r>
      <w:r>
        <w:rPr>
          <w:color w:val="231F20"/>
          <w:spacing w:val="-12"/>
          <w:sz w:val="20"/>
        </w:rPr>
        <w:t xml:space="preserve"> </w:t>
      </w:r>
      <w:r>
        <w:rPr>
          <w:color w:val="231F20"/>
          <w:sz w:val="20"/>
        </w:rPr>
        <w:t>1)</w:t>
      </w:r>
    </w:p>
    <w:p w14:paraId="59DBD5C5" w14:textId="77777777" w:rsidR="00894070" w:rsidRDefault="009B7AFD">
      <w:pPr>
        <w:pStyle w:val="ListParagraph"/>
        <w:numPr>
          <w:ilvl w:val="0"/>
          <w:numId w:val="15"/>
        </w:numPr>
        <w:tabs>
          <w:tab w:val="left" w:pos="1801"/>
          <w:tab w:val="left" w:pos="1802"/>
        </w:tabs>
        <w:spacing w:before="19"/>
        <w:rPr>
          <w:sz w:val="20"/>
        </w:rPr>
      </w:pPr>
      <w:r>
        <w:rPr>
          <w:color w:val="231F20"/>
          <w:sz w:val="20"/>
        </w:rPr>
        <w:t>Victoria Police (No</w:t>
      </w:r>
      <w:r>
        <w:rPr>
          <w:color w:val="231F20"/>
          <w:spacing w:val="-7"/>
          <w:sz w:val="20"/>
        </w:rPr>
        <w:t xml:space="preserve"> </w:t>
      </w:r>
      <w:r>
        <w:rPr>
          <w:color w:val="231F20"/>
          <w:sz w:val="20"/>
        </w:rPr>
        <w:t>1)</w:t>
      </w:r>
    </w:p>
    <w:p w14:paraId="61A4CF8A" w14:textId="77777777" w:rsidR="00894070" w:rsidRDefault="009B7AFD">
      <w:pPr>
        <w:pStyle w:val="ListParagraph"/>
        <w:numPr>
          <w:ilvl w:val="0"/>
          <w:numId w:val="15"/>
        </w:numPr>
        <w:tabs>
          <w:tab w:val="left" w:pos="1801"/>
          <w:tab w:val="left" w:pos="1802"/>
        </w:tabs>
        <w:spacing w:before="19"/>
        <w:rPr>
          <w:sz w:val="20"/>
        </w:rPr>
      </w:pPr>
      <w:r>
        <w:rPr>
          <w:color w:val="231F20"/>
          <w:sz w:val="20"/>
        </w:rPr>
        <w:t>Sexual Assault Services</w:t>
      </w:r>
      <w:r>
        <w:rPr>
          <w:color w:val="231F20"/>
          <w:spacing w:val="-7"/>
          <w:sz w:val="20"/>
        </w:rPr>
        <w:t xml:space="preserve"> </w:t>
      </w:r>
      <w:r>
        <w:rPr>
          <w:color w:val="231F20"/>
          <w:sz w:val="20"/>
        </w:rPr>
        <w:t>Network</w:t>
      </w:r>
    </w:p>
    <w:p w14:paraId="0ABACD55" w14:textId="77777777" w:rsidR="00894070" w:rsidRDefault="009B7AFD">
      <w:pPr>
        <w:pStyle w:val="ListParagraph"/>
        <w:numPr>
          <w:ilvl w:val="0"/>
          <w:numId w:val="15"/>
        </w:numPr>
        <w:tabs>
          <w:tab w:val="left" w:pos="1801"/>
          <w:tab w:val="left" w:pos="1802"/>
        </w:tabs>
        <w:spacing w:before="19"/>
        <w:rPr>
          <w:sz w:val="20"/>
        </w:rPr>
      </w:pPr>
      <w:r>
        <w:rPr>
          <w:color w:val="231F20"/>
          <w:sz w:val="20"/>
        </w:rPr>
        <w:t>Harmful Sexual Behaviours</w:t>
      </w:r>
      <w:r>
        <w:rPr>
          <w:color w:val="231F20"/>
          <w:spacing w:val="-7"/>
          <w:sz w:val="20"/>
        </w:rPr>
        <w:t xml:space="preserve"> </w:t>
      </w:r>
      <w:r>
        <w:rPr>
          <w:color w:val="231F20"/>
          <w:sz w:val="20"/>
        </w:rPr>
        <w:t>Network</w:t>
      </w:r>
    </w:p>
    <w:p w14:paraId="3B63F472" w14:textId="77777777" w:rsidR="00894070" w:rsidRDefault="009B7AFD">
      <w:pPr>
        <w:pStyle w:val="ListParagraph"/>
        <w:numPr>
          <w:ilvl w:val="0"/>
          <w:numId w:val="15"/>
        </w:numPr>
        <w:tabs>
          <w:tab w:val="left" w:pos="1801"/>
          <w:tab w:val="left" w:pos="1802"/>
        </w:tabs>
        <w:spacing w:before="19"/>
        <w:rPr>
          <w:sz w:val="20"/>
        </w:rPr>
      </w:pPr>
      <w:r>
        <w:rPr>
          <w:color w:val="231F20"/>
          <w:sz w:val="20"/>
        </w:rPr>
        <w:t>Magistrates’ Court of Victoria (No</w:t>
      </w:r>
      <w:r>
        <w:rPr>
          <w:color w:val="231F20"/>
          <w:spacing w:val="-12"/>
          <w:sz w:val="20"/>
        </w:rPr>
        <w:t xml:space="preserve"> </w:t>
      </w:r>
      <w:r>
        <w:rPr>
          <w:color w:val="231F20"/>
          <w:sz w:val="20"/>
        </w:rPr>
        <w:t>1)</w:t>
      </w:r>
    </w:p>
    <w:p w14:paraId="04A58698" w14:textId="77777777" w:rsidR="00894070" w:rsidRDefault="009B7AFD">
      <w:pPr>
        <w:pStyle w:val="ListParagraph"/>
        <w:numPr>
          <w:ilvl w:val="0"/>
          <w:numId w:val="15"/>
        </w:numPr>
        <w:tabs>
          <w:tab w:val="left" w:pos="1801"/>
          <w:tab w:val="left" w:pos="1802"/>
        </w:tabs>
        <w:spacing w:before="19"/>
        <w:rPr>
          <w:sz w:val="20"/>
        </w:rPr>
      </w:pPr>
      <w:r>
        <w:rPr>
          <w:color w:val="231F20"/>
          <w:sz w:val="20"/>
        </w:rPr>
        <w:t>Risk</w:t>
      </w:r>
      <w:r>
        <w:rPr>
          <w:color w:val="231F20"/>
          <w:spacing w:val="-3"/>
          <w:sz w:val="20"/>
        </w:rPr>
        <w:t xml:space="preserve"> </w:t>
      </w:r>
      <w:r>
        <w:rPr>
          <w:color w:val="231F20"/>
          <w:sz w:val="20"/>
        </w:rPr>
        <w:t>roundtable</w:t>
      </w:r>
    </w:p>
    <w:p w14:paraId="5D292C24" w14:textId="77777777" w:rsidR="00894070" w:rsidRDefault="009B7AFD">
      <w:pPr>
        <w:pStyle w:val="ListParagraph"/>
        <w:numPr>
          <w:ilvl w:val="0"/>
          <w:numId w:val="15"/>
        </w:numPr>
        <w:tabs>
          <w:tab w:val="left" w:pos="1801"/>
          <w:tab w:val="left" w:pos="1802"/>
        </w:tabs>
        <w:spacing w:before="19"/>
        <w:rPr>
          <w:sz w:val="20"/>
        </w:rPr>
      </w:pPr>
      <w:r>
        <w:rPr>
          <w:color w:val="231F20"/>
          <w:sz w:val="20"/>
        </w:rPr>
        <w:t>eSafety</w:t>
      </w:r>
      <w:r>
        <w:rPr>
          <w:color w:val="231F20"/>
          <w:spacing w:val="-3"/>
          <w:sz w:val="20"/>
        </w:rPr>
        <w:t xml:space="preserve"> </w:t>
      </w:r>
      <w:r>
        <w:rPr>
          <w:color w:val="231F20"/>
          <w:sz w:val="20"/>
        </w:rPr>
        <w:t>Commissioner</w:t>
      </w:r>
    </w:p>
    <w:p w14:paraId="0F8F4064" w14:textId="77777777" w:rsidR="00894070" w:rsidRDefault="009B7AFD">
      <w:pPr>
        <w:pStyle w:val="ListParagraph"/>
        <w:numPr>
          <w:ilvl w:val="0"/>
          <w:numId w:val="15"/>
        </w:numPr>
        <w:tabs>
          <w:tab w:val="left" w:pos="1801"/>
          <w:tab w:val="left" w:pos="1802"/>
        </w:tabs>
        <w:spacing w:before="20"/>
        <w:rPr>
          <w:sz w:val="20"/>
        </w:rPr>
      </w:pPr>
      <w:r>
        <w:rPr>
          <w:color w:val="231F20"/>
          <w:sz w:val="20"/>
        </w:rPr>
        <w:t>Judicial College of</w:t>
      </w:r>
      <w:r>
        <w:rPr>
          <w:color w:val="231F20"/>
          <w:spacing w:val="-8"/>
          <w:sz w:val="20"/>
        </w:rPr>
        <w:t xml:space="preserve"> </w:t>
      </w:r>
      <w:r>
        <w:rPr>
          <w:color w:val="231F20"/>
          <w:sz w:val="20"/>
        </w:rPr>
        <w:t>Victoria</w:t>
      </w:r>
    </w:p>
    <w:p w14:paraId="05A5F19B" w14:textId="77777777" w:rsidR="00894070" w:rsidRDefault="009B7AFD">
      <w:pPr>
        <w:pStyle w:val="ListParagraph"/>
        <w:numPr>
          <w:ilvl w:val="0"/>
          <w:numId w:val="15"/>
        </w:numPr>
        <w:tabs>
          <w:tab w:val="left" w:pos="1801"/>
          <w:tab w:val="left" w:pos="1802"/>
        </w:tabs>
        <w:spacing w:before="19"/>
        <w:rPr>
          <w:sz w:val="20"/>
        </w:rPr>
      </w:pPr>
      <w:r>
        <w:rPr>
          <w:color w:val="231F20"/>
          <w:sz w:val="20"/>
        </w:rPr>
        <w:t>Victorian Aboriginal Legal</w:t>
      </w:r>
      <w:r>
        <w:rPr>
          <w:color w:val="231F20"/>
          <w:spacing w:val="-7"/>
          <w:sz w:val="20"/>
        </w:rPr>
        <w:t xml:space="preserve"> </w:t>
      </w:r>
      <w:r>
        <w:rPr>
          <w:color w:val="231F20"/>
          <w:sz w:val="20"/>
        </w:rPr>
        <w:t>Service</w:t>
      </w:r>
    </w:p>
    <w:p w14:paraId="4A328067" w14:textId="77777777" w:rsidR="00894070" w:rsidRDefault="009B7AFD">
      <w:pPr>
        <w:pStyle w:val="ListParagraph"/>
        <w:numPr>
          <w:ilvl w:val="0"/>
          <w:numId w:val="15"/>
        </w:numPr>
        <w:tabs>
          <w:tab w:val="left" w:pos="1801"/>
          <w:tab w:val="left" w:pos="1802"/>
        </w:tabs>
        <w:spacing w:before="19"/>
        <w:rPr>
          <w:sz w:val="20"/>
        </w:rPr>
      </w:pPr>
      <w:r>
        <w:rPr>
          <w:color w:val="231F20"/>
          <w:sz w:val="20"/>
        </w:rPr>
        <w:t>Members of the Victims of Crime Consultative</w:t>
      </w:r>
      <w:r>
        <w:rPr>
          <w:color w:val="231F20"/>
          <w:spacing w:val="-19"/>
          <w:sz w:val="20"/>
        </w:rPr>
        <w:t xml:space="preserve"> </w:t>
      </w:r>
      <w:r>
        <w:rPr>
          <w:color w:val="231F20"/>
          <w:sz w:val="20"/>
        </w:rPr>
        <w:t>Committee</w:t>
      </w:r>
    </w:p>
    <w:p w14:paraId="0E74D8FF" w14:textId="77777777" w:rsidR="00894070" w:rsidRDefault="009B7AFD">
      <w:pPr>
        <w:pStyle w:val="ListParagraph"/>
        <w:numPr>
          <w:ilvl w:val="0"/>
          <w:numId w:val="15"/>
        </w:numPr>
        <w:tabs>
          <w:tab w:val="left" w:pos="1801"/>
          <w:tab w:val="left" w:pos="1802"/>
        </w:tabs>
        <w:spacing w:before="19"/>
        <w:rPr>
          <w:sz w:val="20"/>
        </w:rPr>
      </w:pPr>
      <w:r>
        <w:rPr>
          <w:color w:val="231F20"/>
          <w:sz w:val="20"/>
        </w:rPr>
        <w:t>Domestic</w:t>
      </w:r>
      <w:r>
        <w:rPr>
          <w:color w:val="231F20"/>
          <w:spacing w:val="-6"/>
          <w:sz w:val="20"/>
        </w:rPr>
        <w:t xml:space="preserve"> </w:t>
      </w:r>
      <w:r>
        <w:rPr>
          <w:color w:val="231F20"/>
          <w:sz w:val="20"/>
        </w:rPr>
        <w:t>Violence</w:t>
      </w:r>
      <w:r>
        <w:rPr>
          <w:color w:val="231F20"/>
          <w:spacing w:val="-6"/>
          <w:sz w:val="20"/>
        </w:rPr>
        <w:t xml:space="preserve"> </w:t>
      </w:r>
      <w:r>
        <w:rPr>
          <w:color w:val="231F20"/>
          <w:sz w:val="20"/>
        </w:rPr>
        <w:t>Victoria</w:t>
      </w:r>
      <w:r>
        <w:rPr>
          <w:color w:val="231F20"/>
          <w:spacing w:val="-5"/>
          <w:sz w:val="20"/>
        </w:rPr>
        <w:t xml:space="preserve"> </w:t>
      </w:r>
      <w:r>
        <w:rPr>
          <w:color w:val="231F20"/>
          <w:sz w:val="20"/>
        </w:rPr>
        <w:t>and</w:t>
      </w:r>
      <w:r>
        <w:rPr>
          <w:color w:val="231F20"/>
          <w:spacing w:val="-6"/>
          <w:sz w:val="20"/>
        </w:rPr>
        <w:t xml:space="preserve"> </w:t>
      </w:r>
      <w:r>
        <w:rPr>
          <w:color w:val="231F20"/>
          <w:sz w:val="20"/>
        </w:rPr>
        <w:t>Domestic</w:t>
      </w:r>
      <w:r>
        <w:rPr>
          <w:color w:val="231F20"/>
          <w:spacing w:val="-6"/>
          <w:sz w:val="20"/>
        </w:rPr>
        <w:t xml:space="preserve"> </w:t>
      </w:r>
      <w:r>
        <w:rPr>
          <w:color w:val="231F20"/>
          <w:sz w:val="20"/>
        </w:rPr>
        <w:t>Violence</w:t>
      </w:r>
      <w:r>
        <w:rPr>
          <w:color w:val="231F20"/>
          <w:spacing w:val="-5"/>
          <w:sz w:val="20"/>
        </w:rPr>
        <w:t xml:space="preserve"> </w:t>
      </w:r>
      <w:r>
        <w:rPr>
          <w:color w:val="231F20"/>
          <w:sz w:val="20"/>
        </w:rPr>
        <w:t>Resource</w:t>
      </w:r>
      <w:r>
        <w:rPr>
          <w:color w:val="231F20"/>
          <w:spacing w:val="-6"/>
          <w:sz w:val="20"/>
        </w:rPr>
        <w:t xml:space="preserve"> </w:t>
      </w:r>
      <w:r>
        <w:rPr>
          <w:color w:val="231F20"/>
          <w:sz w:val="20"/>
        </w:rPr>
        <w:t>Centre</w:t>
      </w:r>
      <w:r>
        <w:rPr>
          <w:color w:val="231F20"/>
          <w:spacing w:val="-6"/>
          <w:sz w:val="20"/>
        </w:rPr>
        <w:t xml:space="preserve"> </w:t>
      </w:r>
      <w:r>
        <w:rPr>
          <w:color w:val="231F20"/>
          <w:sz w:val="20"/>
        </w:rPr>
        <w:t>Victoria</w:t>
      </w:r>
    </w:p>
    <w:p w14:paraId="33B55F7E" w14:textId="77777777" w:rsidR="00894070" w:rsidRDefault="009B7AFD">
      <w:pPr>
        <w:pStyle w:val="ListParagraph"/>
        <w:numPr>
          <w:ilvl w:val="0"/>
          <w:numId w:val="15"/>
        </w:numPr>
        <w:tabs>
          <w:tab w:val="left" w:pos="1801"/>
          <w:tab w:val="left" w:pos="1802"/>
        </w:tabs>
        <w:spacing w:before="19"/>
        <w:rPr>
          <w:sz w:val="20"/>
        </w:rPr>
      </w:pPr>
      <w:r>
        <w:rPr>
          <w:color w:val="231F20"/>
          <w:sz w:val="20"/>
        </w:rPr>
        <w:t>Victoria Legal</w:t>
      </w:r>
      <w:r>
        <w:rPr>
          <w:color w:val="231F20"/>
          <w:spacing w:val="-5"/>
          <w:sz w:val="20"/>
        </w:rPr>
        <w:t xml:space="preserve"> </w:t>
      </w:r>
      <w:r>
        <w:rPr>
          <w:color w:val="231F20"/>
          <w:sz w:val="20"/>
        </w:rPr>
        <w:t>Aid</w:t>
      </w:r>
    </w:p>
    <w:p w14:paraId="501D28BC" w14:textId="77777777" w:rsidR="00894070" w:rsidRDefault="009B7AFD">
      <w:pPr>
        <w:pStyle w:val="ListParagraph"/>
        <w:numPr>
          <w:ilvl w:val="0"/>
          <w:numId w:val="15"/>
        </w:numPr>
        <w:tabs>
          <w:tab w:val="left" w:pos="1801"/>
          <w:tab w:val="left" w:pos="1802"/>
        </w:tabs>
        <w:spacing w:before="19"/>
        <w:rPr>
          <w:sz w:val="20"/>
        </w:rPr>
      </w:pPr>
      <w:r>
        <w:rPr>
          <w:color w:val="231F20"/>
          <w:sz w:val="20"/>
        </w:rPr>
        <w:t>Confidential</w:t>
      </w:r>
    </w:p>
    <w:p w14:paraId="09B08479" w14:textId="77777777" w:rsidR="00894070" w:rsidRDefault="009B7AFD">
      <w:pPr>
        <w:pStyle w:val="ListParagraph"/>
        <w:numPr>
          <w:ilvl w:val="0"/>
          <w:numId w:val="15"/>
        </w:numPr>
        <w:tabs>
          <w:tab w:val="left" w:pos="1801"/>
          <w:tab w:val="left" w:pos="1802"/>
        </w:tabs>
        <w:spacing w:before="19"/>
        <w:rPr>
          <w:sz w:val="20"/>
        </w:rPr>
      </w:pPr>
      <w:r>
        <w:rPr>
          <w:color w:val="231F20"/>
          <w:sz w:val="20"/>
        </w:rPr>
        <w:t>Forensicare (No</w:t>
      </w:r>
      <w:r>
        <w:rPr>
          <w:color w:val="231F20"/>
          <w:spacing w:val="-5"/>
          <w:sz w:val="20"/>
        </w:rPr>
        <w:t xml:space="preserve"> </w:t>
      </w:r>
      <w:r>
        <w:rPr>
          <w:color w:val="231F20"/>
          <w:sz w:val="20"/>
        </w:rPr>
        <w:t>1)</w:t>
      </w:r>
    </w:p>
    <w:p w14:paraId="53D6D712" w14:textId="77777777" w:rsidR="00894070" w:rsidRDefault="009B7AFD">
      <w:pPr>
        <w:pStyle w:val="ListParagraph"/>
        <w:numPr>
          <w:ilvl w:val="0"/>
          <w:numId w:val="15"/>
        </w:numPr>
        <w:tabs>
          <w:tab w:val="left" w:pos="1801"/>
          <w:tab w:val="left" w:pos="1802"/>
        </w:tabs>
        <w:spacing w:before="19"/>
        <w:rPr>
          <w:sz w:val="20"/>
        </w:rPr>
      </w:pPr>
      <w:r>
        <w:rPr>
          <w:color w:val="231F20"/>
          <w:sz w:val="20"/>
        </w:rPr>
        <w:t xml:space="preserve">Centre for Excellence in Child and </w:t>
      </w:r>
      <w:r>
        <w:rPr>
          <w:color w:val="231F20"/>
          <w:spacing w:val="-4"/>
          <w:sz w:val="20"/>
        </w:rPr>
        <w:t xml:space="preserve">Family </w:t>
      </w:r>
      <w:r>
        <w:rPr>
          <w:color w:val="231F20"/>
          <w:spacing w:val="-3"/>
          <w:sz w:val="20"/>
        </w:rPr>
        <w:t xml:space="preserve">Welfare: </w:t>
      </w:r>
      <w:r>
        <w:rPr>
          <w:color w:val="231F20"/>
          <w:spacing w:val="-4"/>
          <w:sz w:val="20"/>
        </w:rPr>
        <w:t xml:space="preserve">Young </w:t>
      </w:r>
      <w:r>
        <w:rPr>
          <w:color w:val="231F20"/>
          <w:sz w:val="20"/>
        </w:rPr>
        <w:t>People and</w:t>
      </w:r>
      <w:r>
        <w:rPr>
          <w:color w:val="231F20"/>
          <w:spacing w:val="-37"/>
          <w:sz w:val="20"/>
        </w:rPr>
        <w:t xml:space="preserve"> </w:t>
      </w:r>
      <w:r>
        <w:rPr>
          <w:color w:val="231F20"/>
          <w:sz w:val="20"/>
        </w:rPr>
        <w:t>Stalking</w:t>
      </w:r>
    </w:p>
    <w:p w14:paraId="7405A175" w14:textId="77777777" w:rsidR="00894070" w:rsidRDefault="009B7AFD">
      <w:pPr>
        <w:pStyle w:val="ListParagraph"/>
        <w:numPr>
          <w:ilvl w:val="0"/>
          <w:numId w:val="15"/>
        </w:numPr>
        <w:tabs>
          <w:tab w:val="left" w:pos="1801"/>
          <w:tab w:val="left" w:pos="1802"/>
        </w:tabs>
        <w:spacing w:before="19"/>
        <w:rPr>
          <w:sz w:val="20"/>
        </w:rPr>
      </w:pPr>
      <w:r>
        <w:rPr>
          <w:color w:val="231F20"/>
          <w:sz w:val="20"/>
        </w:rPr>
        <w:t>Small group meeting on stalking and young</w:t>
      </w:r>
      <w:r>
        <w:rPr>
          <w:color w:val="231F20"/>
          <w:spacing w:val="-18"/>
          <w:sz w:val="20"/>
        </w:rPr>
        <w:t xml:space="preserve"> </w:t>
      </w:r>
      <w:r>
        <w:rPr>
          <w:color w:val="231F20"/>
          <w:sz w:val="20"/>
        </w:rPr>
        <w:t>people</w:t>
      </w:r>
    </w:p>
    <w:p w14:paraId="170FF021" w14:textId="77777777" w:rsidR="00894070" w:rsidRDefault="009B7AFD">
      <w:pPr>
        <w:pStyle w:val="ListParagraph"/>
        <w:numPr>
          <w:ilvl w:val="0"/>
          <w:numId w:val="15"/>
        </w:numPr>
        <w:tabs>
          <w:tab w:val="left" w:pos="1801"/>
          <w:tab w:val="left" w:pos="1802"/>
        </w:tabs>
        <w:spacing w:before="19"/>
        <w:rPr>
          <w:sz w:val="20"/>
        </w:rPr>
      </w:pPr>
      <w:r>
        <w:rPr>
          <w:color w:val="231F20"/>
          <w:sz w:val="20"/>
        </w:rPr>
        <w:t>County Court of</w:t>
      </w:r>
      <w:r>
        <w:rPr>
          <w:color w:val="231F20"/>
          <w:spacing w:val="-7"/>
          <w:sz w:val="20"/>
        </w:rPr>
        <w:t xml:space="preserve"> </w:t>
      </w:r>
      <w:r>
        <w:rPr>
          <w:color w:val="231F20"/>
          <w:sz w:val="20"/>
        </w:rPr>
        <w:t>Victoria</w:t>
      </w:r>
    </w:p>
    <w:p w14:paraId="597BE7BF" w14:textId="77777777" w:rsidR="00894070" w:rsidRDefault="009B7AFD">
      <w:pPr>
        <w:pStyle w:val="ListParagraph"/>
        <w:numPr>
          <w:ilvl w:val="0"/>
          <w:numId w:val="15"/>
        </w:numPr>
        <w:tabs>
          <w:tab w:val="left" w:pos="1801"/>
          <w:tab w:val="left" w:pos="1802"/>
        </w:tabs>
        <w:spacing w:before="19"/>
        <w:rPr>
          <w:sz w:val="20"/>
        </w:rPr>
      </w:pPr>
      <w:r>
        <w:rPr>
          <w:color w:val="231F20"/>
          <w:sz w:val="20"/>
        </w:rPr>
        <w:t>Community legal sector</w:t>
      </w:r>
      <w:r>
        <w:rPr>
          <w:color w:val="231F20"/>
          <w:spacing w:val="-7"/>
          <w:sz w:val="20"/>
        </w:rPr>
        <w:t xml:space="preserve"> </w:t>
      </w:r>
      <w:r>
        <w:rPr>
          <w:color w:val="231F20"/>
          <w:sz w:val="20"/>
        </w:rPr>
        <w:t>roundtable</w:t>
      </w:r>
    </w:p>
    <w:p w14:paraId="0176685A" w14:textId="77777777" w:rsidR="00894070" w:rsidRDefault="009B7AFD">
      <w:pPr>
        <w:pStyle w:val="ListParagraph"/>
        <w:numPr>
          <w:ilvl w:val="0"/>
          <w:numId w:val="15"/>
        </w:numPr>
        <w:tabs>
          <w:tab w:val="left" w:pos="1801"/>
          <w:tab w:val="left" w:pos="1802"/>
        </w:tabs>
        <w:spacing w:before="20"/>
        <w:rPr>
          <w:sz w:val="20"/>
        </w:rPr>
      </w:pPr>
      <w:r>
        <w:rPr>
          <w:color w:val="231F20"/>
          <w:sz w:val="20"/>
        </w:rPr>
        <w:t>Law Institute of</w:t>
      </w:r>
      <w:r>
        <w:rPr>
          <w:color w:val="231F20"/>
          <w:spacing w:val="-7"/>
          <w:sz w:val="20"/>
        </w:rPr>
        <w:t xml:space="preserve"> </w:t>
      </w:r>
      <w:r>
        <w:rPr>
          <w:color w:val="231F20"/>
          <w:sz w:val="20"/>
        </w:rPr>
        <w:t>Victoria</w:t>
      </w:r>
    </w:p>
    <w:p w14:paraId="368DEFA1" w14:textId="77777777" w:rsidR="00894070" w:rsidRDefault="009B7AFD">
      <w:pPr>
        <w:pStyle w:val="ListParagraph"/>
        <w:numPr>
          <w:ilvl w:val="0"/>
          <w:numId w:val="15"/>
        </w:numPr>
        <w:tabs>
          <w:tab w:val="left" w:pos="1801"/>
          <w:tab w:val="left" w:pos="1802"/>
        </w:tabs>
        <w:spacing w:before="19"/>
        <w:rPr>
          <w:sz w:val="20"/>
        </w:rPr>
      </w:pPr>
      <w:r>
        <w:rPr>
          <w:color w:val="231F20"/>
          <w:sz w:val="20"/>
        </w:rPr>
        <w:t>Small</w:t>
      </w:r>
      <w:r>
        <w:rPr>
          <w:color w:val="231F20"/>
          <w:spacing w:val="-5"/>
          <w:sz w:val="20"/>
        </w:rPr>
        <w:t xml:space="preserve"> </w:t>
      </w:r>
      <w:r>
        <w:rPr>
          <w:color w:val="231F20"/>
          <w:sz w:val="20"/>
        </w:rPr>
        <w:t>group</w:t>
      </w:r>
      <w:r>
        <w:rPr>
          <w:color w:val="231F20"/>
          <w:spacing w:val="-5"/>
          <w:sz w:val="20"/>
        </w:rPr>
        <w:t xml:space="preserve"> </w:t>
      </w:r>
      <w:r>
        <w:rPr>
          <w:color w:val="231F20"/>
          <w:sz w:val="20"/>
        </w:rPr>
        <w:t>meeting</w:t>
      </w:r>
      <w:r>
        <w:rPr>
          <w:color w:val="231F20"/>
          <w:spacing w:val="-5"/>
          <w:sz w:val="20"/>
        </w:rPr>
        <w:t xml:space="preserve"> </w:t>
      </w:r>
      <w:r>
        <w:rPr>
          <w:color w:val="231F20"/>
          <w:sz w:val="20"/>
        </w:rPr>
        <w:t>on</w:t>
      </w:r>
      <w:r>
        <w:rPr>
          <w:color w:val="231F20"/>
          <w:spacing w:val="-4"/>
          <w:sz w:val="20"/>
        </w:rPr>
        <w:t xml:space="preserve"> </w:t>
      </w:r>
      <w:r>
        <w:rPr>
          <w:color w:val="231F20"/>
          <w:sz w:val="20"/>
        </w:rPr>
        <w:t>stalking</w:t>
      </w:r>
      <w:r>
        <w:rPr>
          <w:color w:val="231F20"/>
          <w:spacing w:val="-5"/>
          <w:sz w:val="20"/>
        </w:rPr>
        <w:t xml:space="preserve"> </w:t>
      </w:r>
      <w:r>
        <w:rPr>
          <w:color w:val="231F20"/>
          <w:sz w:val="20"/>
        </w:rPr>
        <w:t>and</w:t>
      </w:r>
      <w:r>
        <w:rPr>
          <w:color w:val="231F20"/>
          <w:spacing w:val="-5"/>
          <w:sz w:val="20"/>
        </w:rPr>
        <w:t xml:space="preserve"> </w:t>
      </w:r>
      <w:r>
        <w:rPr>
          <w:color w:val="231F20"/>
          <w:sz w:val="20"/>
        </w:rPr>
        <w:t>women</w:t>
      </w:r>
      <w:r>
        <w:rPr>
          <w:color w:val="231F20"/>
          <w:spacing w:val="-4"/>
          <w:sz w:val="20"/>
        </w:rPr>
        <w:t xml:space="preserve"> </w:t>
      </w:r>
      <w:r>
        <w:rPr>
          <w:color w:val="231F20"/>
          <w:sz w:val="20"/>
        </w:rPr>
        <w:t>with</w:t>
      </w:r>
      <w:r>
        <w:rPr>
          <w:color w:val="231F20"/>
          <w:spacing w:val="-5"/>
          <w:sz w:val="20"/>
        </w:rPr>
        <w:t xml:space="preserve"> </w:t>
      </w:r>
      <w:r>
        <w:rPr>
          <w:color w:val="231F20"/>
          <w:sz w:val="20"/>
        </w:rPr>
        <w:t>disabilities</w:t>
      </w:r>
    </w:p>
    <w:p w14:paraId="7E2ED066" w14:textId="77777777" w:rsidR="00894070" w:rsidRDefault="009B7AFD">
      <w:pPr>
        <w:pStyle w:val="ListParagraph"/>
        <w:numPr>
          <w:ilvl w:val="0"/>
          <w:numId w:val="15"/>
        </w:numPr>
        <w:tabs>
          <w:tab w:val="left" w:pos="1801"/>
          <w:tab w:val="left" w:pos="1802"/>
        </w:tabs>
        <w:spacing w:before="19"/>
        <w:rPr>
          <w:sz w:val="20"/>
        </w:rPr>
      </w:pPr>
      <w:r>
        <w:rPr>
          <w:color w:val="231F20"/>
          <w:sz w:val="20"/>
        </w:rPr>
        <w:t>Small group meeting on stalking and people with</w:t>
      </w:r>
      <w:r>
        <w:rPr>
          <w:color w:val="231F20"/>
          <w:spacing w:val="-32"/>
          <w:sz w:val="20"/>
        </w:rPr>
        <w:t xml:space="preserve"> </w:t>
      </w:r>
      <w:r>
        <w:rPr>
          <w:color w:val="231F20"/>
          <w:sz w:val="20"/>
        </w:rPr>
        <w:t>disabilities</w:t>
      </w:r>
    </w:p>
    <w:p w14:paraId="64FDC759" w14:textId="77777777" w:rsidR="00894070" w:rsidRDefault="009B7AFD">
      <w:pPr>
        <w:pStyle w:val="ListParagraph"/>
        <w:numPr>
          <w:ilvl w:val="0"/>
          <w:numId w:val="15"/>
        </w:numPr>
        <w:tabs>
          <w:tab w:val="left" w:pos="1801"/>
          <w:tab w:val="left" w:pos="1802"/>
        </w:tabs>
        <w:spacing w:before="19"/>
        <w:rPr>
          <w:sz w:val="20"/>
        </w:rPr>
      </w:pPr>
      <w:r>
        <w:rPr>
          <w:color w:val="231F20"/>
          <w:sz w:val="20"/>
        </w:rPr>
        <w:t>Cyberstalking</w:t>
      </w:r>
      <w:r>
        <w:rPr>
          <w:color w:val="231F20"/>
          <w:spacing w:val="-3"/>
          <w:sz w:val="20"/>
        </w:rPr>
        <w:t xml:space="preserve"> </w:t>
      </w:r>
      <w:r>
        <w:rPr>
          <w:color w:val="231F20"/>
          <w:sz w:val="20"/>
        </w:rPr>
        <w:t>roundtable</w:t>
      </w:r>
    </w:p>
    <w:p w14:paraId="76D5898E" w14:textId="77777777" w:rsidR="00894070" w:rsidRDefault="009B7AFD">
      <w:pPr>
        <w:pStyle w:val="ListParagraph"/>
        <w:numPr>
          <w:ilvl w:val="0"/>
          <w:numId w:val="15"/>
        </w:numPr>
        <w:tabs>
          <w:tab w:val="left" w:pos="1801"/>
          <w:tab w:val="left" w:pos="1802"/>
        </w:tabs>
        <w:spacing w:before="19"/>
        <w:rPr>
          <w:sz w:val="20"/>
        </w:rPr>
      </w:pPr>
      <w:r>
        <w:rPr>
          <w:color w:val="231F20"/>
          <w:sz w:val="20"/>
        </w:rPr>
        <w:t>Criminal Bar</w:t>
      </w:r>
      <w:r>
        <w:rPr>
          <w:color w:val="231F20"/>
          <w:spacing w:val="-5"/>
          <w:sz w:val="20"/>
        </w:rPr>
        <w:t xml:space="preserve"> </w:t>
      </w:r>
      <w:r>
        <w:rPr>
          <w:color w:val="231F20"/>
          <w:sz w:val="20"/>
        </w:rPr>
        <w:t>Association</w:t>
      </w:r>
    </w:p>
    <w:p w14:paraId="790AFFD3" w14:textId="77777777" w:rsidR="00894070" w:rsidRDefault="009B7AFD">
      <w:pPr>
        <w:pStyle w:val="ListParagraph"/>
        <w:numPr>
          <w:ilvl w:val="0"/>
          <w:numId w:val="15"/>
        </w:numPr>
        <w:tabs>
          <w:tab w:val="left" w:pos="1801"/>
          <w:tab w:val="left" w:pos="1802"/>
        </w:tabs>
        <w:spacing w:before="19"/>
        <w:rPr>
          <w:sz w:val="20"/>
        </w:rPr>
      </w:pPr>
      <w:r>
        <w:rPr>
          <w:color w:val="231F20"/>
          <w:sz w:val="20"/>
        </w:rPr>
        <w:t>Victoria Police (No</w:t>
      </w:r>
      <w:r>
        <w:rPr>
          <w:color w:val="231F20"/>
          <w:spacing w:val="-18"/>
          <w:sz w:val="20"/>
        </w:rPr>
        <w:t xml:space="preserve"> </w:t>
      </w:r>
      <w:r>
        <w:rPr>
          <w:color w:val="231F20"/>
          <w:sz w:val="20"/>
        </w:rPr>
        <w:t>2)</w:t>
      </w:r>
    </w:p>
    <w:p w14:paraId="36052994" w14:textId="77777777" w:rsidR="00894070" w:rsidRDefault="009B7AFD">
      <w:pPr>
        <w:pStyle w:val="ListParagraph"/>
        <w:numPr>
          <w:ilvl w:val="0"/>
          <w:numId w:val="15"/>
        </w:numPr>
        <w:tabs>
          <w:tab w:val="left" w:pos="1801"/>
          <w:tab w:val="left" w:pos="1802"/>
        </w:tabs>
        <w:spacing w:before="19"/>
        <w:rPr>
          <w:sz w:val="20"/>
        </w:rPr>
      </w:pPr>
      <w:r>
        <w:rPr>
          <w:color w:val="231F20"/>
          <w:sz w:val="20"/>
        </w:rPr>
        <w:t>Victoria Police (No</w:t>
      </w:r>
      <w:r>
        <w:rPr>
          <w:color w:val="231F20"/>
          <w:spacing w:val="-18"/>
          <w:sz w:val="20"/>
        </w:rPr>
        <w:t xml:space="preserve"> </w:t>
      </w:r>
      <w:r>
        <w:rPr>
          <w:color w:val="231F20"/>
          <w:sz w:val="20"/>
        </w:rPr>
        <w:t>3)</w:t>
      </w:r>
    </w:p>
    <w:p w14:paraId="7F18EA34" w14:textId="77777777" w:rsidR="00894070" w:rsidRDefault="009B7AFD">
      <w:pPr>
        <w:pStyle w:val="ListParagraph"/>
        <w:numPr>
          <w:ilvl w:val="0"/>
          <w:numId w:val="15"/>
        </w:numPr>
        <w:tabs>
          <w:tab w:val="left" w:pos="1801"/>
          <w:tab w:val="left" w:pos="1802"/>
        </w:tabs>
        <w:spacing w:before="19"/>
        <w:rPr>
          <w:sz w:val="20"/>
        </w:rPr>
      </w:pPr>
      <w:r>
        <w:rPr>
          <w:color w:val="231F20"/>
          <w:sz w:val="20"/>
        </w:rPr>
        <w:t>Kulturbrille</w:t>
      </w:r>
    </w:p>
    <w:p w14:paraId="79DDCC1E" w14:textId="77777777" w:rsidR="00894070" w:rsidRDefault="009B7AFD">
      <w:pPr>
        <w:pStyle w:val="ListParagraph"/>
        <w:numPr>
          <w:ilvl w:val="0"/>
          <w:numId w:val="15"/>
        </w:numPr>
        <w:tabs>
          <w:tab w:val="left" w:pos="1801"/>
          <w:tab w:val="left" w:pos="1802"/>
        </w:tabs>
        <w:spacing w:before="19"/>
        <w:rPr>
          <w:sz w:val="20"/>
        </w:rPr>
      </w:pPr>
      <w:r>
        <w:rPr>
          <w:color w:val="231F20"/>
          <w:sz w:val="20"/>
        </w:rPr>
        <w:t>Victorian Pride</w:t>
      </w:r>
      <w:r>
        <w:rPr>
          <w:color w:val="231F20"/>
          <w:spacing w:val="-5"/>
          <w:sz w:val="20"/>
        </w:rPr>
        <w:t xml:space="preserve"> </w:t>
      </w:r>
      <w:r>
        <w:rPr>
          <w:color w:val="231F20"/>
          <w:sz w:val="20"/>
        </w:rPr>
        <w:t>Lobby</w:t>
      </w:r>
    </w:p>
    <w:p w14:paraId="4CEC8539" w14:textId="77777777" w:rsidR="00894070" w:rsidRDefault="009B7AFD">
      <w:pPr>
        <w:pStyle w:val="ListParagraph"/>
        <w:numPr>
          <w:ilvl w:val="0"/>
          <w:numId w:val="15"/>
        </w:numPr>
        <w:tabs>
          <w:tab w:val="left" w:pos="1801"/>
          <w:tab w:val="left" w:pos="1802"/>
        </w:tabs>
        <w:spacing w:before="19"/>
        <w:rPr>
          <w:sz w:val="20"/>
        </w:rPr>
      </w:pPr>
      <w:r>
        <w:rPr>
          <w:color w:val="231F20"/>
          <w:sz w:val="20"/>
        </w:rPr>
        <w:t>Alannah &amp; Madeline</w:t>
      </w:r>
      <w:r>
        <w:rPr>
          <w:color w:val="231F20"/>
          <w:spacing w:val="-7"/>
          <w:sz w:val="20"/>
        </w:rPr>
        <w:t xml:space="preserve"> </w:t>
      </w:r>
      <w:r>
        <w:rPr>
          <w:color w:val="231F20"/>
          <w:sz w:val="20"/>
        </w:rPr>
        <w:t>Foundation</w:t>
      </w:r>
    </w:p>
    <w:p w14:paraId="28BFABF5" w14:textId="77777777" w:rsidR="00894070" w:rsidRDefault="009B7AFD">
      <w:pPr>
        <w:pStyle w:val="ListParagraph"/>
        <w:numPr>
          <w:ilvl w:val="0"/>
          <w:numId w:val="15"/>
        </w:numPr>
        <w:tabs>
          <w:tab w:val="left" w:pos="1801"/>
          <w:tab w:val="left" w:pos="1802"/>
        </w:tabs>
        <w:spacing w:before="19"/>
        <w:rPr>
          <w:sz w:val="20"/>
        </w:rPr>
      </w:pPr>
      <w:r>
        <w:rPr>
          <w:color w:val="231F20"/>
          <w:sz w:val="20"/>
        </w:rPr>
        <w:t>Roundtable</w:t>
      </w:r>
      <w:r>
        <w:rPr>
          <w:color w:val="231F20"/>
          <w:spacing w:val="-6"/>
          <w:sz w:val="20"/>
        </w:rPr>
        <w:t xml:space="preserve"> </w:t>
      </w:r>
      <w:r>
        <w:rPr>
          <w:color w:val="231F20"/>
          <w:sz w:val="20"/>
        </w:rPr>
        <w:t>with</w:t>
      </w:r>
      <w:r>
        <w:rPr>
          <w:color w:val="231F20"/>
          <w:spacing w:val="-6"/>
          <w:sz w:val="20"/>
        </w:rPr>
        <w:t xml:space="preserve"> </w:t>
      </w:r>
      <w:r>
        <w:rPr>
          <w:color w:val="231F20"/>
          <w:sz w:val="20"/>
        </w:rPr>
        <w:t>multicultural</w:t>
      </w:r>
      <w:r>
        <w:rPr>
          <w:color w:val="231F20"/>
          <w:spacing w:val="-5"/>
          <w:sz w:val="20"/>
        </w:rPr>
        <w:t xml:space="preserve"> </w:t>
      </w:r>
      <w:r>
        <w:rPr>
          <w:color w:val="231F20"/>
          <w:sz w:val="20"/>
        </w:rPr>
        <w:t>and</w:t>
      </w:r>
      <w:r>
        <w:rPr>
          <w:color w:val="231F20"/>
          <w:spacing w:val="-6"/>
          <w:sz w:val="20"/>
        </w:rPr>
        <w:t xml:space="preserve"> </w:t>
      </w:r>
      <w:r>
        <w:rPr>
          <w:color w:val="231F20"/>
          <w:sz w:val="20"/>
        </w:rPr>
        <w:t>multifaith</w:t>
      </w:r>
      <w:r>
        <w:rPr>
          <w:color w:val="231F20"/>
          <w:spacing w:val="-7"/>
          <w:sz w:val="20"/>
        </w:rPr>
        <w:t xml:space="preserve"> </w:t>
      </w:r>
      <w:r>
        <w:rPr>
          <w:color w:val="231F20"/>
          <w:sz w:val="20"/>
        </w:rPr>
        <w:t>lawyers</w:t>
      </w:r>
      <w:r>
        <w:rPr>
          <w:color w:val="231F20"/>
          <w:spacing w:val="-5"/>
          <w:sz w:val="20"/>
        </w:rPr>
        <w:t xml:space="preserve"> </w:t>
      </w:r>
      <w:r>
        <w:rPr>
          <w:color w:val="231F20"/>
          <w:sz w:val="20"/>
        </w:rPr>
        <w:t>and</w:t>
      </w:r>
      <w:r>
        <w:rPr>
          <w:color w:val="231F20"/>
          <w:spacing w:val="-6"/>
          <w:sz w:val="20"/>
        </w:rPr>
        <w:t xml:space="preserve"> </w:t>
      </w:r>
      <w:r>
        <w:rPr>
          <w:color w:val="231F20"/>
          <w:sz w:val="20"/>
        </w:rPr>
        <w:t>legal</w:t>
      </w:r>
      <w:r>
        <w:rPr>
          <w:color w:val="231F20"/>
          <w:spacing w:val="-7"/>
          <w:sz w:val="20"/>
        </w:rPr>
        <w:t xml:space="preserve"> </w:t>
      </w:r>
      <w:r>
        <w:rPr>
          <w:color w:val="231F20"/>
          <w:sz w:val="20"/>
        </w:rPr>
        <w:t>stakeholders</w:t>
      </w:r>
    </w:p>
    <w:p w14:paraId="5C349E15" w14:textId="77777777" w:rsidR="00894070" w:rsidRDefault="009B7AFD">
      <w:pPr>
        <w:pStyle w:val="ListParagraph"/>
        <w:numPr>
          <w:ilvl w:val="0"/>
          <w:numId w:val="15"/>
        </w:numPr>
        <w:tabs>
          <w:tab w:val="left" w:pos="1801"/>
          <w:tab w:val="left" w:pos="1802"/>
        </w:tabs>
        <w:spacing w:before="20"/>
        <w:rPr>
          <w:sz w:val="20"/>
        </w:rPr>
      </w:pPr>
      <w:r>
        <w:rPr>
          <w:color w:val="231F20"/>
          <w:sz w:val="20"/>
        </w:rPr>
        <w:t>Roundtable with multicultural and multifaith community</w:t>
      </w:r>
      <w:r>
        <w:rPr>
          <w:color w:val="231F20"/>
          <w:spacing w:val="-24"/>
          <w:sz w:val="20"/>
        </w:rPr>
        <w:t xml:space="preserve"> </w:t>
      </w:r>
      <w:r>
        <w:rPr>
          <w:color w:val="231F20"/>
          <w:sz w:val="20"/>
        </w:rPr>
        <w:t>organisations</w:t>
      </w:r>
    </w:p>
    <w:p w14:paraId="69A181CA" w14:textId="77777777" w:rsidR="00894070" w:rsidRDefault="009B7AFD">
      <w:pPr>
        <w:pStyle w:val="ListParagraph"/>
        <w:numPr>
          <w:ilvl w:val="0"/>
          <w:numId w:val="15"/>
        </w:numPr>
        <w:tabs>
          <w:tab w:val="left" w:pos="1801"/>
          <w:tab w:val="left" w:pos="1802"/>
        </w:tabs>
        <w:spacing w:before="19"/>
        <w:rPr>
          <w:sz w:val="20"/>
        </w:rPr>
      </w:pPr>
      <w:r>
        <w:rPr>
          <w:color w:val="231F20"/>
          <w:sz w:val="20"/>
        </w:rPr>
        <w:t>Dispute Settlement Centre of</w:t>
      </w:r>
      <w:r>
        <w:rPr>
          <w:color w:val="231F20"/>
          <w:spacing w:val="-10"/>
          <w:sz w:val="20"/>
        </w:rPr>
        <w:t xml:space="preserve"> </w:t>
      </w:r>
      <w:r>
        <w:rPr>
          <w:color w:val="231F20"/>
          <w:sz w:val="20"/>
        </w:rPr>
        <w:t>Victoria</w:t>
      </w:r>
    </w:p>
    <w:p w14:paraId="73FD0D61" w14:textId="77777777" w:rsidR="00894070" w:rsidRDefault="009B7AFD">
      <w:pPr>
        <w:pStyle w:val="ListParagraph"/>
        <w:numPr>
          <w:ilvl w:val="0"/>
          <w:numId w:val="15"/>
        </w:numPr>
        <w:tabs>
          <w:tab w:val="left" w:pos="1801"/>
          <w:tab w:val="left" w:pos="1802"/>
        </w:tabs>
        <w:spacing w:before="19"/>
        <w:rPr>
          <w:sz w:val="20"/>
        </w:rPr>
      </w:pPr>
      <w:r>
        <w:rPr>
          <w:color w:val="231F20"/>
          <w:spacing w:val="-5"/>
          <w:sz w:val="20"/>
        </w:rPr>
        <w:t>VACRO</w:t>
      </w:r>
    </w:p>
    <w:p w14:paraId="4DF72AC3" w14:textId="77777777" w:rsidR="00894070" w:rsidRDefault="009B7AFD">
      <w:pPr>
        <w:pStyle w:val="ListParagraph"/>
        <w:numPr>
          <w:ilvl w:val="0"/>
          <w:numId w:val="15"/>
        </w:numPr>
        <w:tabs>
          <w:tab w:val="left" w:pos="1801"/>
          <w:tab w:val="left" w:pos="1802"/>
        </w:tabs>
        <w:spacing w:before="19"/>
        <w:rPr>
          <w:sz w:val="20"/>
        </w:rPr>
      </w:pPr>
      <w:r>
        <w:rPr>
          <w:color w:val="231F20"/>
          <w:sz w:val="20"/>
        </w:rPr>
        <w:t>Magistrates’ Court of Victoria (No</w:t>
      </w:r>
      <w:r>
        <w:rPr>
          <w:color w:val="231F20"/>
          <w:spacing w:val="-12"/>
          <w:sz w:val="20"/>
        </w:rPr>
        <w:t xml:space="preserve"> </w:t>
      </w:r>
      <w:r>
        <w:rPr>
          <w:color w:val="231F20"/>
          <w:sz w:val="20"/>
        </w:rPr>
        <w:t>2)</w:t>
      </w:r>
    </w:p>
    <w:p w14:paraId="1E3063AB" w14:textId="77777777" w:rsidR="00894070" w:rsidRDefault="009B7AFD">
      <w:pPr>
        <w:pStyle w:val="ListParagraph"/>
        <w:numPr>
          <w:ilvl w:val="0"/>
          <w:numId w:val="15"/>
        </w:numPr>
        <w:tabs>
          <w:tab w:val="left" w:pos="1801"/>
          <w:tab w:val="left" w:pos="1802"/>
        </w:tabs>
        <w:spacing w:before="19"/>
        <w:rPr>
          <w:sz w:val="20"/>
        </w:rPr>
      </w:pPr>
      <w:r>
        <w:rPr>
          <w:color w:val="231F20"/>
          <w:sz w:val="20"/>
        </w:rPr>
        <w:t>Children’s Court of Victoria (No</w:t>
      </w:r>
      <w:r>
        <w:rPr>
          <w:color w:val="231F20"/>
          <w:spacing w:val="-12"/>
          <w:sz w:val="20"/>
        </w:rPr>
        <w:t xml:space="preserve"> </w:t>
      </w:r>
      <w:r>
        <w:rPr>
          <w:color w:val="231F20"/>
          <w:sz w:val="20"/>
        </w:rPr>
        <w:t>2)</w:t>
      </w:r>
    </w:p>
    <w:p w14:paraId="416C4F05" w14:textId="77777777" w:rsidR="00894070" w:rsidRDefault="009B7AFD">
      <w:pPr>
        <w:pStyle w:val="ListParagraph"/>
        <w:numPr>
          <w:ilvl w:val="0"/>
          <w:numId w:val="15"/>
        </w:numPr>
        <w:tabs>
          <w:tab w:val="left" w:pos="1801"/>
          <w:tab w:val="left" w:pos="1802"/>
        </w:tabs>
        <w:spacing w:before="19"/>
        <w:rPr>
          <w:sz w:val="20"/>
        </w:rPr>
      </w:pPr>
      <w:r>
        <w:rPr>
          <w:color w:val="231F20"/>
          <w:sz w:val="20"/>
        </w:rPr>
        <w:t>Forensicare (No</w:t>
      </w:r>
      <w:r>
        <w:rPr>
          <w:color w:val="231F20"/>
          <w:spacing w:val="-5"/>
          <w:sz w:val="20"/>
        </w:rPr>
        <w:t xml:space="preserve"> </w:t>
      </w:r>
      <w:r>
        <w:rPr>
          <w:color w:val="231F20"/>
          <w:sz w:val="20"/>
        </w:rPr>
        <w:t>2)</w:t>
      </w:r>
    </w:p>
    <w:p w14:paraId="7320399F" w14:textId="77777777" w:rsidR="00894070" w:rsidRDefault="009B7AFD">
      <w:pPr>
        <w:pStyle w:val="BodyText"/>
        <w:rPr>
          <w:sz w:val="28"/>
        </w:rPr>
      </w:pPr>
      <w:r>
        <w:br w:type="column"/>
      </w:r>
    </w:p>
    <w:p w14:paraId="364F7B8E" w14:textId="77777777" w:rsidR="00894070" w:rsidRDefault="00894070">
      <w:pPr>
        <w:pStyle w:val="BodyText"/>
        <w:rPr>
          <w:sz w:val="28"/>
        </w:rPr>
      </w:pPr>
    </w:p>
    <w:p w14:paraId="2243B48E" w14:textId="77777777" w:rsidR="00894070" w:rsidRDefault="00894070">
      <w:pPr>
        <w:pStyle w:val="BodyText"/>
        <w:rPr>
          <w:sz w:val="28"/>
        </w:rPr>
      </w:pPr>
    </w:p>
    <w:p w14:paraId="1A726762" w14:textId="77777777" w:rsidR="00894070" w:rsidRDefault="00894070">
      <w:pPr>
        <w:pStyle w:val="BodyText"/>
        <w:rPr>
          <w:sz w:val="28"/>
        </w:rPr>
      </w:pPr>
    </w:p>
    <w:p w14:paraId="31F4CC21" w14:textId="77777777" w:rsidR="00894070" w:rsidRDefault="00894070">
      <w:pPr>
        <w:pStyle w:val="BodyText"/>
        <w:rPr>
          <w:sz w:val="28"/>
        </w:rPr>
      </w:pPr>
    </w:p>
    <w:p w14:paraId="1747EA4E" w14:textId="77777777" w:rsidR="00894070" w:rsidRDefault="00894070">
      <w:pPr>
        <w:pStyle w:val="BodyText"/>
        <w:rPr>
          <w:sz w:val="28"/>
        </w:rPr>
      </w:pPr>
    </w:p>
    <w:p w14:paraId="3CF45D6C" w14:textId="77777777" w:rsidR="00894070" w:rsidRDefault="00894070">
      <w:pPr>
        <w:pStyle w:val="BodyText"/>
        <w:rPr>
          <w:sz w:val="28"/>
        </w:rPr>
      </w:pPr>
    </w:p>
    <w:p w14:paraId="05B0BCB9" w14:textId="77777777" w:rsidR="00894070" w:rsidRDefault="00894070">
      <w:pPr>
        <w:pStyle w:val="BodyText"/>
        <w:rPr>
          <w:sz w:val="28"/>
        </w:rPr>
      </w:pPr>
    </w:p>
    <w:p w14:paraId="6844B96E" w14:textId="77777777" w:rsidR="00894070" w:rsidRDefault="00894070">
      <w:pPr>
        <w:pStyle w:val="BodyText"/>
        <w:rPr>
          <w:sz w:val="28"/>
        </w:rPr>
      </w:pPr>
    </w:p>
    <w:p w14:paraId="2F8AA1F4" w14:textId="77777777" w:rsidR="00894070" w:rsidRDefault="00894070">
      <w:pPr>
        <w:pStyle w:val="BodyText"/>
        <w:rPr>
          <w:sz w:val="28"/>
        </w:rPr>
      </w:pPr>
    </w:p>
    <w:p w14:paraId="7473E42E" w14:textId="77777777" w:rsidR="00894070" w:rsidRDefault="00894070">
      <w:pPr>
        <w:pStyle w:val="BodyText"/>
        <w:rPr>
          <w:sz w:val="28"/>
        </w:rPr>
      </w:pPr>
    </w:p>
    <w:p w14:paraId="1D05B10C" w14:textId="77777777" w:rsidR="00894070" w:rsidRDefault="00894070">
      <w:pPr>
        <w:pStyle w:val="BodyText"/>
        <w:rPr>
          <w:sz w:val="28"/>
        </w:rPr>
      </w:pPr>
    </w:p>
    <w:p w14:paraId="7E65E868" w14:textId="77777777" w:rsidR="00894070" w:rsidRDefault="00894070">
      <w:pPr>
        <w:pStyle w:val="BodyText"/>
        <w:rPr>
          <w:sz w:val="28"/>
        </w:rPr>
      </w:pPr>
    </w:p>
    <w:p w14:paraId="2691CFD3" w14:textId="77777777" w:rsidR="00894070" w:rsidRDefault="00894070">
      <w:pPr>
        <w:pStyle w:val="BodyText"/>
        <w:rPr>
          <w:sz w:val="28"/>
        </w:rPr>
      </w:pPr>
    </w:p>
    <w:p w14:paraId="42DE96D0" w14:textId="77777777" w:rsidR="00894070" w:rsidRDefault="00894070">
      <w:pPr>
        <w:pStyle w:val="BodyText"/>
        <w:rPr>
          <w:sz w:val="28"/>
        </w:rPr>
      </w:pPr>
    </w:p>
    <w:p w14:paraId="704C7623" w14:textId="77777777" w:rsidR="00894070" w:rsidRDefault="00894070">
      <w:pPr>
        <w:pStyle w:val="BodyText"/>
        <w:rPr>
          <w:sz w:val="28"/>
        </w:rPr>
      </w:pPr>
    </w:p>
    <w:p w14:paraId="405D0EFB" w14:textId="77777777" w:rsidR="00894070" w:rsidRDefault="00894070">
      <w:pPr>
        <w:pStyle w:val="BodyText"/>
        <w:rPr>
          <w:sz w:val="28"/>
        </w:rPr>
      </w:pPr>
    </w:p>
    <w:p w14:paraId="4D148D2C" w14:textId="77777777" w:rsidR="00894070" w:rsidRDefault="00894070">
      <w:pPr>
        <w:pStyle w:val="BodyText"/>
        <w:rPr>
          <w:sz w:val="28"/>
        </w:rPr>
      </w:pPr>
    </w:p>
    <w:p w14:paraId="2878B098" w14:textId="77777777" w:rsidR="00894070" w:rsidRDefault="00894070">
      <w:pPr>
        <w:pStyle w:val="BodyText"/>
        <w:rPr>
          <w:sz w:val="28"/>
        </w:rPr>
      </w:pPr>
    </w:p>
    <w:p w14:paraId="391B885E" w14:textId="77777777" w:rsidR="00894070" w:rsidRDefault="00894070">
      <w:pPr>
        <w:pStyle w:val="BodyText"/>
        <w:rPr>
          <w:sz w:val="28"/>
        </w:rPr>
      </w:pPr>
    </w:p>
    <w:p w14:paraId="704B4D1F" w14:textId="77777777" w:rsidR="00894070" w:rsidRDefault="00894070">
      <w:pPr>
        <w:pStyle w:val="BodyText"/>
        <w:rPr>
          <w:sz w:val="28"/>
        </w:rPr>
      </w:pPr>
    </w:p>
    <w:p w14:paraId="13DA8956" w14:textId="77777777" w:rsidR="00894070" w:rsidRDefault="00894070">
      <w:pPr>
        <w:pStyle w:val="BodyText"/>
        <w:rPr>
          <w:sz w:val="28"/>
        </w:rPr>
      </w:pPr>
    </w:p>
    <w:p w14:paraId="41D37173" w14:textId="77777777" w:rsidR="00894070" w:rsidRDefault="00894070">
      <w:pPr>
        <w:pStyle w:val="BodyText"/>
        <w:rPr>
          <w:sz w:val="28"/>
        </w:rPr>
      </w:pPr>
    </w:p>
    <w:p w14:paraId="67B40E02" w14:textId="77777777" w:rsidR="00894070" w:rsidRDefault="00894070">
      <w:pPr>
        <w:pStyle w:val="BodyText"/>
        <w:rPr>
          <w:sz w:val="28"/>
        </w:rPr>
      </w:pPr>
    </w:p>
    <w:p w14:paraId="018A5CA4" w14:textId="77777777" w:rsidR="00894070" w:rsidRDefault="00894070">
      <w:pPr>
        <w:pStyle w:val="BodyText"/>
        <w:rPr>
          <w:sz w:val="28"/>
        </w:rPr>
      </w:pPr>
    </w:p>
    <w:p w14:paraId="3410A0FF" w14:textId="77777777" w:rsidR="00894070" w:rsidRDefault="00894070">
      <w:pPr>
        <w:pStyle w:val="BodyText"/>
        <w:rPr>
          <w:sz w:val="28"/>
        </w:rPr>
      </w:pPr>
    </w:p>
    <w:p w14:paraId="7CFD30EC" w14:textId="77777777" w:rsidR="00894070" w:rsidRDefault="00894070">
      <w:pPr>
        <w:pStyle w:val="BodyText"/>
        <w:spacing w:before="2"/>
        <w:rPr>
          <w:sz w:val="27"/>
        </w:rPr>
      </w:pPr>
    </w:p>
    <w:p w14:paraId="184AD4B8" w14:textId="77777777" w:rsidR="00894070" w:rsidRDefault="009B7AFD">
      <w:pPr>
        <w:pStyle w:val="Heading8"/>
        <w:ind w:left="1007"/>
      </w:pPr>
      <w:r>
        <w:rPr>
          <w:color w:val="EA5B50"/>
        </w:rPr>
        <w:t>189</w:t>
      </w:r>
    </w:p>
    <w:p w14:paraId="09CF6632" w14:textId="77777777" w:rsidR="00894070" w:rsidRDefault="00894070">
      <w:pPr>
        <w:sectPr w:rsidR="00894070">
          <w:type w:val="continuous"/>
          <w:pgSz w:w="11910" w:h="16840"/>
          <w:pgMar w:top="560" w:right="420" w:bottom="280" w:left="580" w:header="720" w:footer="720" w:gutter="0"/>
          <w:cols w:num="2" w:space="720" w:equalWidth="0">
            <w:col w:w="8949" w:space="374"/>
            <w:col w:w="1587"/>
          </w:cols>
        </w:sectPr>
      </w:pPr>
    </w:p>
    <w:p w14:paraId="74904D59" w14:textId="77777777" w:rsidR="00894070" w:rsidRDefault="009F6793">
      <w:pPr>
        <w:pStyle w:val="BodyText"/>
        <w:rPr>
          <w:b/>
        </w:rPr>
      </w:pPr>
      <w:r>
        <w:lastRenderedPageBreak/>
        <w:pict w14:anchorId="0E9E122F">
          <v:rect id="_x0000_s1038" style="position:absolute;margin-left:0;margin-top:99.2pt;width:14.15pt;height:85.75pt;z-index:251799552;mso-position-horizontal-relative:page;mso-position-vertical-relative:page" fillcolor="#ea5b50" stroked="f">
            <w10:wrap anchorx="page" anchory="page"/>
          </v:rect>
        </w:pict>
      </w:r>
    </w:p>
    <w:p w14:paraId="5EF45095" w14:textId="77777777" w:rsidR="00894070" w:rsidRDefault="00894070">
      <w:pPr>
        <w:pStyle w:val="BodyText"/>
        <w:rPr>
          <w:b/>
        </w:rPr>
      </w:pPr>
    </w:p>
    <w:p w14:paraId="5DC44AB4" w14:textId="77777777" w:rsidR="00894070" w:rsidRDefault="00894070">
      <w:pPr>
        <w:pStyle w:val="BodyText"/>
        <w:spacing w:before="10"/>
        <w:rPr>
          <w:b/>
          <w:sz w:val="23"/>
        </w:rPr>
      </w:pPr>
    </w:p>
    <w:p w14:paraId="4E72CEC8" w14:textId="77777777" w:rsidR="00894070" w:rsidRDefault="009B7AFD">
      <w:pPr>
        <w:spacing w:before="129" w:line="184" w:lineRule="auto"/>
        <w:ind w:left="251" w:right="1219"/>
        <w:rPr>
          <w:rFonts w:ascii="Raleway ExtraBold" w:hAnsi="Raleway ExtraBold"/>
          <w:b/>
          <w:sz w:val="56"/>
        </w:rPr>
      </w:pPr>
      <w:bookmarkStart w:id="201" w:name="Appendix_C:_‘Course_of_conduct’element_f"/>
      <w:bookmarkStart w:id="202" w:name="_bookmark122"/>
      <w:bookmarkEnd w:id="201"/>
      <w:bookmarkEnd w:id="202"/>
      <w:r>
        <w:rPr>
          <w:rFonts w:ascii="Raleway ExtraBold" w:hAnsi="Raleway ExtraBold"/>
          <w:b/>
          <w:color w:val="EA5B50"/>
          <w:spacing w:val="-3"/>
          <w:sz w:val="56"/>
        </w:rPr>
        <w:t xml:space="preserve">Appendix </w:t>
      </w:r>
      <w:r>
        <w:rPr>
          <w:rFonts w:ascii="Raleway ExtraBold" w:hAnsi="Raleway ExtraBold"/>
          <w:b/>
          <w:color w:val="EA5B50"/>
          <w:spacing w:val="-6"/>
          <w:sz w:val="56"/>
        </w:rPr>
        <w:t xml:space="preserve">C: </w:t>
      </w:r>
      <w:r>
        <w:rPr>
          <w:rFonts w:ascii="Raleway ExtraBold" w:hAnsi="Raleway ExtraBold"/>
          <w:b/>
          <w:color w:val="EA5B50"/>
          <w:spacing w:val="-3"/>
          <w:sz w:val="56"/>
        </w:rPr>
        <w:t xml:space="preserve">‘Course of </w:t>
      </w:r>
      <w:r>
        <w:rPr>
          <w:rFonts w:ascii="Raleway ExtraBold" w:hAnsi="Raleway ExtraBold"/>
          <w:b/>
          <w:color w:val="EA5B50"/>
          <w:spacing w:val="-4"/>
          <w:sz w:val="56"/>
        </w:rPr>
        <w:t xml:space="preserve">conduct’ element </w:t>
      </w:r>
      <w:r>
        <w:rPr>
          <w:rFonts w:ascii="Raleway ExtraBold" w:hAnsi="Raleway ExtraBold"/>
          <w:b/>
          <w:color w:val="EA5B50"/>
          <w:spacing w:val="-3"/>
          <w:sz w:val="56"/>
        </w:rPr>
        <w:t xml:space="preserve">for </w:t>
      </w:r>
      <w:r>
        <w:rPr>
          <w:rFonts w:ascii="Raleway ExtraBold" w:hAnsi="Raleway ExtraBold"/>
          <w:b/>
          <w:color w:val="EA5B50"/>
          <w:spacing w:val="-4"/>
          <w:sz w:val="56"/>
        </w:rPr>
        <w:t xml:space="preserve">stalking offence </w:t>
      </w:r>
      <w:r>
        <w:rPr>
          <w:rFonts w:ascii="Raleway ExtraBold" w:hAnsi="Raleway ExtraBold"/>
          <w:b/>
          <w:color w:val="EA5B50"/>
          <w:spacing w:val="-3"/>
          <w:sz w:val="56"/>
        </w:rPr>
        <w:t xml:space="preserve">under </w:t>
      </w:r>
      <w:r>
        <w:rPr>
          <w:rFonts w:ascii="Raleway ExtraBold" w:hAnsi="Raleway ExtraBold"/>
          <w:b/>
          <w:color w:val="EA5B50"/>
          <w:sz w:val="56"/>
        </w:rPr>
        <w:t xml:space="preserve">s 21A </w:t>
      </w:r>
      <w:r>
        <w:rPr>
          <w:rFonts w:ascii="Raleway ExtraBold" w:hAnsi="Raleway ExtraBold"/>
          <w:b/>
          <w:color w:val="EA5B50"/>
          <w:spacing w:val="-3"/>
          <w:sz w:val="56"/>
        </w:rPr>
        <w:t xml:space="preserve">of the </w:t>
      </w:r>
      <w:r>
        <w:rPr>
          <w:rFonts w:ascii="Raleway ExtraBold" w:hAnsi="Raleway ExtraBold"/>
          <w:b/>
          <w:i/>
          <w:color w:val="EA5B50"/>
          <w:spacing w:val="-6"/>
          <w:sz w:val="56"/>
        </w:rPr>
        <w:t xml:space="preserve">Crimes Act </w:t>
      </w:r>
      <w:r>
        <w:rPr>
          <w:rFonts w:ascii="Raleway ExtraBold" w:hAnsi="Raleway ExtraBold"/>
          <w:b/>
          <w:i/>
          <w:color w:val="EA5B50"/>
          <w:spacing w:val="-7"/>
          <w:sz w:val="56"/>
        </w:rPr>
        <w:t xml:space="preserve">1958 </w:t>
      </w:r>
      <w:r>
        <w:rPr>
          <w:rFonts w:ascii="Raleway ExtraBold" w:hAnsi="Raleway ExtraBold"/>
          <w:b/>
          <w:color w:val="EA5B50"/>
          <w:spacing w:val="-7"/>
          <w:sz w:val="56"/>
        </w:rPr>
        <w:t>(Vic)</w:t>
      </w:r>
    </w:p>
    <w:p w14:paraId="25739E02" w14:textId="77777777" w:rsidR="00894070" w:rsidRDefault="00894070">
      <w:pPr>
        <w:pStyle w:val="BodyText"/>
        <w:rPr>
          <w:rFonts w:ascii="Raleway ExtraBold"/>
          <w:b/>
          <w:sz w:val="66"/>
        </w:rPr>
      </w:pPr>
    </w:p>
    <w:p w14:paraId="5F8173EA" w14:textId="77777777" w:rsidR="00894070" w:rsidRDefault="00894070">
      <w:pPr>
        <w:pStyle w:val="BodyText"/>
        <w:spacing w:before="12"/>
        <w:rPr>
          <w:rFonts w:ascii="Raleway ExtraBold"/>
          <w:b/>
          <w:sz w:val="71"/>
        </w:rPr>
      </w:pPr>
    </w:p>
    <w:p w14:paraId="0448B2E6" w14:textId="77777777" w:rsidR="00894070" w:rsidRDefault="009B7AFD">
      <w:pPr>
        <w:pStyle w:val="ListParagraph"/>
        <w:numPr>
          <w:ilvl w:val="0"/>
          <w:numId w:val="14"/>
        </w:numPr>
        <w:tabs>
          <w:tab w:val="left" w:pos="1801"/>
          <w:tab w:val="left" w:pos="1802"/>
        </w:tabs>
        <w:spacing w:line="206" w:lineRule="auto"/>
        <w:ind w:right="1346"/>
        <w:rPr>
          <w:sz w:val="20"/>
        </w:rPr>
      </w:pPr>
      <w:r>
        <w:rPr>
          <w:color w:val="231F20"/>
          <w:sz w:val="20"/>
        </w:rPr>
        <w:t>A</w:t>
      </w:r>
      <w:r>
        <w:rPr>
          <w:color w:val="231F20"/>
          <w:spacing w:val="-8"/>
          <w:sz w:val="20"/>
        </w:rPr>
        <w:t xml:space="preserve"> </w:t>
      </w:r>
      <w:r>
        <w:rPr>
          <w:color w:val="231F20"/>
          <w:sz w:val="20"/>
        </w:rPr>
        <w:t>person</w:t>
      </w:r>
      <w:r>
        <w:rPr>
          <w:color w:val="231F20"/>
          <w:spacing w:val="-7"/>
          <w:sz w:val="20"/>
        </w:rPr>
        <w:t xml:space="preserve"> </w:t>
      </w:r>
      <w:r>
        <w:rPr>
          <w:color w:val="231F20"/>
          <w:sz w:val="20"/>
        </w:rPr>
        <w:t>(the</w:t>
      </w:r>
      <w:r>
        <w:rPr>
          <w:color w:val="231F20"/>
          <w:spacing w:val="-7"/>
          <w:sz w:val="20"/>
        </w:rPr>
        <w:t xml:space="preserve"> </w:t>
      </w:r>
      <w:r>
        <w:rPr>
          <w:color w:val="231F20"/>
          <w:sz w:val="20"/>
        </w:rPr>
        <w:t>offender)</w:t>
      </w:r>
      <w:r>
        <w:rPr>
          <w:color w:val="231F20"/>
          <w:spacing w:val="-7"/>
          <w:sz w:val="20"/>
        </w:rPr>
        <w:t xml:space="preserve"> </w:t>
      </w:r>
      <w:r>
        <w:rPr>
          <w:color w:val="231F20"/>
          <w:sz w:val="20"/>
        </w:rPr>
        <w:t>stalks</w:t>
      </w:r>
      <w:r>
        <w:rPr>
          <w:color w:val="231F20"/>
          <w:spacing w:val="-7"/>
          <w:sz w:val="20"/>
        </w:rPr>
        <w:t xml:space="preserve"> </w:t>
      </w:r>
      <w:r>
        <w:rPr>
          <w:color w:val="231F20"/>
          <w:sz w:val="20"/>
        </w:rPr>
        <w:t>another</w:t>
      </w:r>
      <w:r>
        <w:rPr>
          <w:color w:val="231F20"/>
          <w:spacing w:val="-7"/>
          <w:sz w:val="20"/>
        </w:rPr>
        <w:t xml:space="preserve"> </w:t>
      </w:r>
      <w:r>
        <w:rPr>
          <w:color w:val="231F20"/>
          <w:sz w:val="20"/>
        </w:rPr>
        <w:t>person</w:t>
      </w:r>
      <w:r>
        <w:rPr>
          <w:color w:val="231F20"/>
          <w:spacing w:val="-8"/>
          <w:sz w:val="20"/>
        </w:rPr>
        <w:t xml:space="preserve"> </w:t>
      </w:r>
      <w:r>
        <w:rPr>
          <w:color w:val="231F20"/>
          <w:sz w:val="20"/>
        </w:rPr>
        <w:t>(the</w:t>
      </w:r>
      <w:r>
        <w:rPr>
          <w:color w:val="231F20"/>
          <w:spacing w:val="-7"/>
          <w:sz w:val="20"/>
        </w:rPr>
        <w:t xml:space="preserve"> </w:t>
      </w:r>
      <w:r>
        <w:rPr>
          <w:color w:val="231F20"/>
          <w:sz w:val="20"/>
        </w:rPr>
        <w:t>victim)</w:t>
      </w:r>
      <w:r>
        <w:rPr>
          <w:color w:val="231F20"/>
          <w:spacing w:val="-7"/>
          <w:sz w:val="20"/>
        </w:rPr>
        <w:t xml:space="preserve"> </w:t>
      </w:r>
      <w:r>
        <w:rPr>
          <w:color w:val="231F20"/>
          <w:sz w:val="20"/>
        </w:rPr>
        <w:t>if</w:t>
      </w:r>
      <w:r>
        <w:rPr>
          <w:color w:val="231F20"/>
          <w:spacing w:val="-7"/>
          <w:sz w:val="20"/>
        </w:rPr>
        <w:t xml:space="preserve"> </w:t>
      </w:r>
      <w:r>
        <w:rPr>
          <w:color w:val="231F20"/>
          <w:sz w:val="20"/>
        </w:rPr>
        <w:t>the</w:t>
      </w:r>
      <w:r>
        <w:rPr>
          <w:color w:val="231F20"/>
          <w:spacing w:val="-7"/>
          <w:sz w:val="20"/>
        </w:rPr>
        <w:t xml:space="preserve"> </w:t>
      </w:r>
      <w:r>
        <w:rPr>
          <w:color w:val="231F20"/>
          <w:sz w:val="20"/>
        </w:rPr>
        <w:t>offender</w:t>
      </w:r>
      <w:r>
        <w:rPr>
          <w:color w:val="231F20"/>
          <w:spacing w:val="-7"/>
          <w:sz w:val="20"/>
        </w:rPr>
        <w:t xml:space="preserve"> </w:t>
      </w:r>
      <w:r>
        <w:rPr>
          <w:color w:val="231F20"/>
          <w:sz w:val="20"/>
        </w:rPr>
        <w:t>engages</w:t>
      </w:r>
      <w:r>
        <w:rPr>
          <w:color w:val="231F20"/>
          <w:spacing w:val="-8"/>
          <w:sz w:val="20"/>
        </w:rPr>
        <w:t xml:space="preserve"> </w:t>
      </w:r>
      <w:r>
        <w:rPr>
          <w:color w:val="231F20"/>
          <w:sz w:val="20"/>
        </w:rPr>
        <w:t>in</w:t>
      </w:r>
      <w:r>
        <w:rPr>
          <w:color w:val="231F20"/>
          <w:spacing w:val="-7"/>
          <w:sz w:val="20"/>
        </w:rPr>
        <w:t xml:space="preserve"> </w:t>
      </w:r>
      <w:r>
        <w:rPr>
          <w:color w:val="231F20"/>
          <w:sz w:val="20"/>
        </w:rPr>
        <w:t>a course of conduct which includes any of the</w:t>
      </w:r>
      <w:r>
        <w:rPr>
          <w:color w:val="231F20"/>
          <w:spacing w:val="-22"/>
          <w:sz w:val="20"/>
        </w:rPr>
        <w:t xml:space="preserve"> </w:t>
      </w:r>
      <w:r>
        <w:rPr>
          <w:color w:val="231F20"/>
          <w:sz w:val="20"/>
        </w:rPr>
        <w:t>following—</w:t>
      </w:r>
    </w:p>
    <w:p w14:paraId="7403E1B1" w14:textId="77777777" w:rsidR="00894070" w:rsidRDefault="009B7AFD">
      <w:pPr>
        <w:pStyle w:val="ListParagraph"/>
        <w:numPr>
          <w:ilvl w:val="1"/>
          <w:numId w:val="14"/>
        </w:numPr>
        <w:tabs>
          <w:tab w:val="left" w:pos="2198"/>
        </w:tabs>
        <w:spacing w:before="90"/>
        <w:ind w:hanging="396"/>
        <w:rPr>
          <w:sz w:val="20"/>
        </w:rPr>
      </w:pPr>
      <w:r>
        <w:rPr>
          <w:color w:val="231F20"/>
          <w:sz w:val="20"/>
        </w:rPr>
        <w:t>following the victim or any other</w:t>
      </w:r>
      <w:r>
        <w:rPr>
          <w:color w:val="231F20"/>
          <w:spacing w:val="-14"/>
          <w:sz w:val="20"/>
        </w:rPr>
        <w:t xml:space="preserve"> </w:t>
      </w:r>
      <w:r>
        <w:rPr>
          <w:color w:val="231F20"/>
          <w:sz w:val="20"/>
        </w:rPr>
        <w:t>person;</w:t>
      </w:r>
    </w:p>
    <w:p w14:paraId="53F62FB9" w14:textId="77777777" w:rsidR="00894070" w:rsidRDefault="009B7AFD">
      <w:pPr>
        <w:pStyle w:val="ListParagraph"/>
        <w:numPr>
          <w:ilvl w:val="1"/>
          <w:numId w:val="14"/>
        </w:numPr>
        <w:tabs>
          <w:tab w:val="left" w:pos="2198"/>
        </w:tabs>
        <w:spacing w:before="115" w:line="206" w:lineRule="auto"/>
        <w:ind w:right="1396" w:hanging="396"/>
        <w:rPr>
          <w:sz w:val="20"/>
        </w:rPr>
      </w:pPr>
      <w:r>
        <w:rPr>
          <w:color w:val="231F20"/>
          <w:sz w:val="20"/>
        </w:rPr>
        <w:t>contacting</w:t>
      </w:r>
      <w:r>
        <w:rPr>
          <w:color w:val="231F20"/>
          <w:spacing w:val="-5"/>
          <w:sz w:val="20"/>
        </w:rPr>
        <w:t xml:space="preserve"> </w:t>
      </w:r>
      <w:r>
        <w:rPr>
          <w:color w:val="231F20"/>
          <w:sz w:val="20"/>
        </w:rPr>
        <w:t>the</w:t>
      </w:r>
      <w:r>
        <w:rPr>
          <w:color w:val="231F20"/>
          <w:spacing w:val="-5"/>
          <w:sz w:val="20"/>
        </w:rPr>
        <w:t xml:space="preserve"> </w:t>
      </w:r>
      <w:r>
        <w:rPr>
          <w:color w:val="231F20"/>
          <w:sz w:val="20"/>
        </w:rPr>
        <w:t>victim</w:t>
      </w:r>
      <w:r>
        <w:rPr>
          <w:color w:val="231F20"/>
          <w:spacing w:val="-5"/>
          <w:sz w:val="20"/>
        </w:rPr>
        <w:t xml:space="preserve"> </w:t>
      </w:r>
      <w:r>
        <w:rPr>
          <w:color w:val="231F20"/>
          <w:sz w:val="20"/>
        </w:rPr>
        <w:t>or</w:t>
      </w:r>
      <w:r>
        <w:rPr>
          <w:color w:val="231F20"/>
          <w:spacing w:val="-4"/>
          <w:sz w:val="20"/>
        </w:rPr>
        <w:t xml:space="preserve"> </w:t>
      </w:r>
      <w:r>
        <w:rPr>
          <w:color w:val="231F20"/>
          <w:sz w:val="20"/>
        </w:rPr>
        <w:t>any</w:t>
      </w:r>
      <w:r>
        <w:rPr>
          <w:color w:val="231F20"/>
          <w:spacing w:val="-5"/>
          <w:sz w:val="20"/>
        </w:rPr>
        <w:t xml:space="preserve"> </w:t>
      </w:r>
      <w:r>
        <w:rPr>
          <w:color w:val="231F20"/>
          <w:sz w:val="20"/>
        </w:rPr>
        <w:t>other</w:t>
      </w:r>
      <w:r>
        <w:rPr>
          <w:color w:val="231F20"/>
          <w:spacing w:val="-5"/>
          <w:sz w:val="20"/>
        </w:rPr>
        <w:t xml:space="preserve"> </w:t>
      </w:r>
      <w:r>
        <w:rPr>
          <w:color w:val="231F20"/>
          <w:sz w:val="20"/>
        </w:rPr>
        <w:t>person</w:t>
      </w:r>
      <w:r>
        <w:rPr>
          <w:color w:val="231F20"/>
          <w:spacing w:val="-5"/>
          <w:sz w:val="20"/>
        </w:rPr>
        <w:t xml:space="preserve"> </w:t>
      </w:r>
      <w:r>
        <w:rPr>
          <w:color w:val="231F20"/>
          <w:spacing w:val="-3"/>
          <w:sz w:val="20"/>
        </w:rPr>
        <w:t>by</w:t>
      </w:r>
      <w:r>
        <w:rPr>
          <w:color w:val="231F20"/>
          <w:spacing w:val="-4"/>
          <w:sz w:val="20"/>
        </w:rPr>
        <w:t xml:space="preserve"> </w:t>
      </w:r>
      <w:r>
        <w:rPr>
          <w:color w:val="231F20"/>
          <w:sz w:val="20"/>
        </w:rPr>
        <w:t>post,</w:t>
      </w:r>
      <w:r>
        <w:rPr>
          <w:color w:val="231F20"/>
          <w:spacing w:val="-5"/>
          <w:sz w:val="20"/>
        </w:rPr>
        <w:t xml:space="preserve"> </w:t>
      </w:r>
      <w:r>
        <w:rPr>
          <w:color w:val="231F20"/>
          <w:sz w:val="20"/>
        </w:rPr>
        <w:t>telephone,</w:t>
      </w:r>
      <w:r>
        <w:rPr>
          <w:color w:val="231F20"/>
          <w:spacing w:val="-5"/>
          <w:sz w:val="20"/>
        </w:rPr>
        <w:t xml:space="preserve"> </w:t>
      </w:r>
      <w:r>
        <w:rPr>
          <w:color w:val="231F20"/>
          <w:sz w:val="20"/>
        </w:rPr>
        <w:t>fax,</w:t>
      </w:r>
      <w:r>
        <w:rPr>
          <w:color w:val="231F20"/>
          <w:spacing w:val="-5"/>
          <w:sz w:val="20"/>
        </w:rPr>
        <w:t xml:space="preserve"> </w:t>
      </w:r>
      <w:r>
        <w:rPr>
          <w:color w:val="231F20"/>
          <w:sz w:val="20"/>
        </w:rPr>
        <w:t>text</w:t>
      </w:r>
      <w:r>
        <w:rPr>
          <w:color w:val="231F20"/>
          <w:spacing w:val="-4"/>
          <w:sz w:val="20"/>
        </w:rPr>
        <w:t xml:space="preserve"> </w:t>
      </w:r>
      <w:r>
        <w:rPr>
          <w:color w:val="231F20"/>
          <w:sz w:val="20"/>
        </w:rPr>
        <w:t>message, e-mail</w:t>
      </w:r>
      <w:r>
        <w:rPr>
          <w:color w:val="231F20"/>
          <w:spacing w:val="-5"/>
          <w:sz w:val="20"/>
        </w:rPr>
        <w:t xml:space="preserve"> </w:t>
      </w:r>
      <w:r>
        <w:rPr>
          <w:color w:val="231F20"/>
          <w:sz w:val="20"/>
        </w:rPr>
        <w:t>or</w:t>
      </w:r>
      <w:r>
        <w:rPr>
          <w:color w:val="231F20"/>
          <w:spacing w:val="-4"/>
          <w:sz w:val="20"/>
        </w:rPr>
        <w:t xml:space="preserve"> </w:t>
      </w:r>
      <w:r>
        <w:rPr>
          <w:color w:val="231F20"/>
          <w:sz w:val="20"/>
        </w:rPr>
        <w:t>other</w:t>
      </w:r>
      <w:r>
        <w:rPr>
          <w:color w:val="231F20"/>
          <w:spacing w:val="-4"/>
          <w:sz w:val="20"/>
        </w:rPr>
        <w:t xml:space="preserve"> </w:t>
      </w:r>
      <w:r>
        <w:rPr>
          <w:color w:val="231F20"/>
          <w:sz w:val="20"/>
        </w:rPr>
        <w:t>electronic</w:t>
      </w:r>
      <w:r>
        <w:rPr>
          <w:color w:val="231F20"/>
          <w:spacing w:val="-5"/>
          <w:sz w:val="20"/>
        </w:rPr>
        <w:t xml:space="preserve"> </w:t>
      </w:r>
      <w:r>
        <w:rPr>
          <w:color w:val="231F20"/>
          <w:sz w:val="20"/>
        </w:rPr>
        <w:t>communication</w:t>
      </w:r>
      <w:r>
        <w:rPr>
          <w:color w:val="231F20"/>
          <w:spacing w:val="-4"/>
          <w:sz w:val="20"/>
        </w:rPr>
        <w:t xml:space="preserve"> </w:t>
      </w:r>
      <w:r>
        <w:rPr>
          <w:color w:val="231F20"/>
          <w:sz w:val="20"/>
        </w:rPr>
        <w:t>or</w:t>
      </w:r>
      <w:r>
        <w:rPr>
          <w:color w:val="231F20"/>
          <w:spacing w:val="-4"/>
          <w:sz w:val="20"/>
        </w:rPr>
        <w:t xml:space="preserve"> </w:t>
      </w:r>
      <w:r>
        <w:rPr>
          <w:color w:val="231F20"/>
          <w:spacing w:val="-3"/>
          <w:sz w:val="20"/>
        </w:rPr>
        <w:t>by</w:t>
      </w:r>
      <w:r>
        <w:rPr>
          <w:color w:val="231F20"/>
          <w:spacing w:val="-5"/>
          <w:sz w:val="20"/>
        </w:rPr>
        <w:t xml:space="preserve"> </w:t>
      </w:r>
      <w:r>
        <w:rPr>
          <w:color w:val="231F20"/>
          <w:sz w:val="20"/>
        </w:rPr>
        <w:t>any</w:t>
      </w:r>
      <w:r>
        <w:rPr>
          <w:color w:val="231F20"/>
          <w:spacing w:val="-4"/>
          <w:sz w:val="20"/>
        </w:rPr>
        <w:t xml:space="preserve"> </w:t>
      </w:r>
      <w:r>
        <w:rPr>
          <w:color w:val="231F20"/>
          <w:sz w:val="20"/>
        </w:rPr>
        <w:t>other</w:t>
      </w:r>
      <w:r>
        <w:rPr>
          <w:color w:val="231F20"/>
          <w:spacing w:val="-4"/>
          <w:sz w:val="20"/>
        </w:rPr>
        <w:t xml:space="preserve"> </w:t>
      </w:r>
      <w:r>
        <w:rPr>
          <w:color w:val="231F20"/>
          <w:sz w:val="20"/>
        </w:rPr>
        <w:t>means</w:t>
      </w:r>
      <w:r>
        <w:rPr>
          <w:color w:val="231F20"/>
          <w:spacing w:val="-5"/>
          <w:sz w:val="20"/>
        </w:rPr>
        <w:t xml:space="preserve"> </w:t>
      </w:r>
      <w:r>
        <w:rPr>
          <w:color w:val="231F20"/>
          <w:sz w:val="20"/>
        </w:rPr>
        <w:t>whatsoever;</w:t>
      </w:r>
    </w:p>
    <w:p w14:paraId="26919FC1" w14:textId="77777777" w:rsidR="00894070" w:rsidRDefault="009B7AFD">
      <w:pPr>
        <w:pStyle w:val="BodyText"/>
        <w:spacing w:before="122" w:line="206" w:lineRule="auto"/>
        <w:ind w:left="2197" w:right="1219" w:hanging="397"/>
      </w:pPr>
      <w:r>
        <w:rPr>
          <w:color w:val="231F20"/>
        </w:rPr>
        <w:t>(ba) publishing on the Internet or by an e-mail or other electronic communication to any person a statement or other material—</w:t>
      </w:r>
    </w:p>
    <w:p w14:paraId="3BAA76E5" w14:textId="77777777" w:rsidR="00894070" w:rsidRDefault="009B7AFD">
      <w:pPr>
        <w:pStyle w:val="ListParagraph"/>
        <w:numPr>
          <w:ilvl w:val="2"/>
          <w:numId w:val="14"/>
        </w:numPr>
        <w:tabs>
          <w:tab w:val="left" w:pos="2594"/>
          <w:tab w:val="left" w:pos="2595"/>
        </w:tabs>
        <w:spacing w:before="90"/>
        <w:rPr>
          <w:sz w:val="20"/>
        </w:rPr>
      </w:pPr>
      <w:r>
        <w:rPr>
          <w:color w:val="231F20"/>
          <w:sz w:val="20"/>
        </w:rPr>
        <w:t>relating to the victim or any other person;</w:t>
      </w:r>
      <w:r>
        <w:rPr>
          <w:color w:val="231F20"/>
          <w:spacing w:val="-19"/>
          <w:sz w:val="20"/>
        </w:rPr>
        <w:t xml:space="preserve"> </w:t>
      </w:r>
      <w:r>
        <w:rPr>
          <w:color w:val="231F20"/>
          <w:sz w:val="20"/>
        </w:rPr>
        <w:t>or</w:t>
      </w:r>
    </w:p>
    <w:p w14:paraId="15A0097C" w14:textId="77777777" w:rsidR="00894070" w:rsidRDefault="009B7AFD">
      <w:pPr>
        <w:pStyle w:val="ListParagraph"/>
        <w:numPr>
          <w:ilvl w:val="2"/>
          <w:numId w:val="14"/>
        </w:numPr>
        <w:tabs>
          <w:tab w:val="left" w:pos="2594"/>
          <w:tab w:val="left" w:pos="2595"/>
        </w:tabs>
        <w:spacing w:line="360" w:lineRule="atLeast"/>
        <w:ind w:left="1801" w:right="1215" w:firstLine="396"/>
        <w:rPr>
          <w:sz w:val="20"/>
        </w:rPr>
      </w:pPr>
      <w:r>
        <w:rPr>
          <w:color w:val="231F20"/>
          <w:sz w:val="20"/>
        </w:rPr>
        <w:t>purporting to relate to, or to originate from, the victim or any other person; (bb)</w:t>
      </w:r>
      <w:r>
        <w:rPr>
          <w:color w:val="231F20"/>
          <w:spacing w:val="-6"/>
          <w:sz w:val="20"/>
        </w:rPr>
        <w:t xml:space="preserve"> </w:t>
      </w:r>
      <w:r>
        <w:rPr>
          <w:color w:val="231F20"/>
          <w:sz w:val="20"/>
        </w:rPr>
        <w:t>causing</w:t>
      </w:r>
      <w:r>
        <w:rPr>
          <w:color w:val="231F20"/>
          <w:spacing w:val="-6"/>
          <w:sz w:val="20"/>
        </w:rPr>
        <w:t xml:space="preserve"> </w:t>
      </w:r>
      <w:r>
        <w:rPr>
          <w:color w:val="231F20"/>
          <w:sz w:val="20"/>
        </w:rPr>
        <w:t>an</w:t>
      </w:r>
      <w:r>
        <w:rPr>
          <w:color w:val="231F20"/>
          <w:spacing w:val="-6"/>
          <w:sz w:val="20"/>
        </w:rPr>
        <w:t xml:space="preserve"> </w:t>
      </w:r>
      <w:r>
        <w:rPr>
          <w:color w:val="231F20"/>
          <w:sz w:val="20"/>
        </w:rPr>
        <w:t>unauthorised</w:t>
      </w:r>
      <w:r>
        <w:rPr>
          <w:color w:val="231F20"/>
          <w:spacing w:val="-6"/>
          <w:sz w:val="20"/>
        </w:rPr>
        <w:t xml:space="preserve"> </w:t>
      </w:r>
      <w:r>
        <w:rPr>
          <w:color w:val="231F20"/>
          <w:sz w:val="20"/>
        </w:rPr>
        <w:t>computer</w:t>
      </w:r>
      <w:r>
        <w:rPr>
          <w:color w:val="231F20"/>
          <w:spacing w:val="-6"/>
          <w:sz w:val="20"/>
        </w:rPr>
        <w:t xml:space="preserve"> </w:t>
      </w:r>
      <w:r>
        <w:rPr>
          <w:color w:val="231F20"/>
          <w:sz w:val="20"/>
        </w:rPr>
        <w:t>function</w:t>
      </w:r>
      <w:r>
        <w:rPr>
          <w:color w:val="231F20"/>
          <w:spacing w:val="-6"/>
          <w:sz w:val="20"/>
        </w:rPr>
        <w:t xml:space="preserve"> </w:t>
      </w:r>
      <w:r>
        <w:rPr>
          <w:color w:val="231F20"/>
          <w:sz w:val="20"/>
        </w:rPr>
        <w:t>(within</w:t>
      </w:r>
      <w:r>
        <w:rPr>
          <w:color w:val="231F20"/>
          <w:spacing w:val="-6"/>
          <w:sz w:val="20"/>
        </w:rPr>
        <w:t xml:space="preserve"> </w:t>
      </w:r>
      <w:r>
        <w:rPr>
          <w:color w:val="231F20"/>
          <w:sz w:val="20"/>
        </w:rPr>
        <w:t>the</w:t>
      </w:r>
      <w:r>
        <w:rPr>
          <w:color w:val="231F20"/>
          <w:spacing w:val="-6"/>
          <w:sz w:val="20"/>
        </w:rPr>
        <w:t xml:space="preserve"> </w:t>
      </w:r>
      <w:r>
        <w:rPr>
          <w:color w:val="231F20"/>
          <w:sz w:val="20"/>
        </w:rPr>
        <w:t>meaning</w:t>
      </w:r>
      <w:r>
        <w:rPr>
          <w:color w:val="231F20"/>
          <w:spacing w:val="-6"/>
          <w:sz w:val="20"/>
        </w:rPr>
        <w:t xml:space="preserve"> </w:t>
      </w:r>
      <w:r>
        <w:rPr>
          <w:color w:val="231F20"/>
          <w:sz w:val="20"/>
        </w:rPr>
        <w:t>of</w:t>
      </w:r>
      <w:r>
        <w:rPr>
          <w:color w:val="231F20"/>
          <w:spacing w:val="-6"/>
          <w:sz w:val="20"/>
        </w:rPr>
        <w:t xml:space="preserve"> </w:t>
      </w:r>
      <w:r>
        <w:rPr>
          <w:color w:val="231F20"/>
          <w:sz w:val="20"/>
        </w:rPr>
        <w:t>Subdivision</w:t>
      </w:r>
      <w:r>
        <w:rPr>
          <w:color w:val="231F20"/>
          <w:spacing w:val="-6"/>
          <w:sz w:val="20"/>
        </w:rPr>
        <w:t xml:space="preserve"> </w:t>
      </w:r>
      <w:r>
        <w:rPr>
          <w:color w:val="231F20"/>
          <w:sz w:val="20"/>
        </w:rPr>
        <w:t>(6)</w:t>
      </w:r>
    </w:p>
    <w:p w14:paraId="379888CE" w14:textId="77777777" w:rsidR="00894070" w:rsidRDefault="009B7AFD">
      <w:pPr>
        <w:pStyle w:val="BodyText"/>
        <w:spacing w:line="240" w:lineRule="exact"/>
        <w:ind w:left="2197"/>
      </w:pPr>
      <w:r>
        <w:rPr>
          <w:color w:val="231F20"/>
        </w:rPr>
        <w:t>of Division 3) in a computer owned or used by the victim or any other person;</w:t>
      </w:r>
    </w:p>
    <w:p w14:paraId="71C5077F" w14:textId="77777777" w:rsidR="00894070" w:rsidRDefault="009B7AFD">
      <w:pPr>
        <w:pStyle w:val="BodyText"/>
        <w:spacing w:before="83" w:line="259" w:lineRule="exact"/>
        <w:ind w:left="1801"/>
      </w:pPr>
      <w:r>
        <w:rPr>
          <w:color w:val="231F20"/>
        </w:rPr>
        <w:t>(bc) tracing the victim’s or any other person’s use of the Internet or of e-mail or other</w:t>
      </w:r>
    </w:p>
    <w:p w14:paraId="2EBD89F9" w14:textId="77777777" w:rsidR="00894070" w:rsidRDefault="009B7AFD">
      <w:pPr>
        <w:pStyle w:val="BodyText"/>
        <w:spacing w:line="259" w:lineRule="exact"/>
        <w:ind w:left="2197"/>
      </w:pPr>
      <w:r>
        <w:rPr>
          <w:color w:val="231F20"/>
        </w:rPr>
        <w:t>electronic communications;</w:t>
      </w:r>
    </w:p>
    <w:p w14:paraId="3862F298" w14:textId="77777777" w:rsidR="00894070" w:rsidRDefault="009B7AFD">
      <w:pPr>
        <w:pStyle w:val="ListParagraph"/>
        <w:numPr>
          <w:ilvl w:val="1"/>
          <w:numId w:val="14"/>
        </w:numPr>
        <w:tabs>
          <w:tab w:val="left" w:pos="2198"/>
        </w:tabs>
        <w:spacing w:before="114" w:line="206" w:lineRule="auto"/>
        <w:ind w:right="1309" w:hanging="396"/>
        <w:rPr>
          <w:sz w:val="20"/>
        </w:rPr>
      </w:pPr>
      <w:r>
        <w:rPr>
          <w:color w:val="231F20"/>
          <w:sz w:val="20"/>
        </w:rPr>
        <w:t>entering or loitering outside or near the victim’s or any other person’s place of residence</w:t>
      </w:r>
      <w:r>
        <w:rPr>
          <w:color w:val="231F20"/>
          <w:spacing w:val="-5"/>
          <w:sz w:val="20"/>
        </w:rPr>
        <w:t xml:space="preserve"> </w:t>
      </w:r>
      <w:r>
        <w:rPr>
          <w:color w:val="231F20"/>
          <w:sz w:val="20"/>
        </w:rPr>
        <w:t>or</w:t>
      </w:r>
      <w:r>
        <w:rPr>
          <w:color w:val="231F20"/>
          <w:spacing w:val="-5"/>
          <w:sz w:val="20"/>
        </w:rPr>
        <w:t xml:space="preserve"> </w:t>
      </w:r>
      <w:r>
        <w:rPr>
          <w:color w:val="231F20"/>
          <w:sz w:val="20"/>
        </w:rPr>
        <w:t>of</w:t>
      </w:r>
      <w:r>
        <w:rPr>
          <w:color w:val="231F20"/>
          <w:spacing w:val="-5"/>
          <w:sz w:val="20"/>
        </w:rPr>
        <w:t xml:space="preserve"> </w:t>
      </w:r>
      <w:r>
        <w:rPr>
          <w:color w:val="231F20"/>
          <w:sz w:val="20"/>
        </w:rPr>
        <w:t>business</w:t>
      </w:r>
      <w:r>
        <w:rPr>
          <w:color w:val="231F20"/>
          <w:spacing w:val="-5"/>
          <w:sz w:val="20"/>
        </w:rPr>
        <w:t xml:space="preserve"> </w:t>
      </w:r>
      <w:r>
        <w:rPr>
          <w:color w:val="231F20"/>
          <w:sz w:val="20"/>
        </w:rPr>
        <w:t>or</w:t>
      </w:r>
      <w:r>
        <w:rPr>
          <w:color w:val="231F20"/>
          <w:spacing w:val="-5"/>
          <w:sz w:val="20"/>
        </w:rPr>
        <w:t xml:space="preserve"> </w:t>
      </w:r>
      <w:r>
        <w:rPr>
          <w:color w:val="231F20"/>
          <w:sz w:val="20"/>
        </w:rPr>
        <w:t>any</w:t>
      </w:r>
      <w:r>
        <w:rPr>
          <w:color w:val="231F20"/>
          <w:spacing w:val="-5"/>
          <w:sz w:val="20"/>
        </w:rPr>
        <w:t xml:space="preserve"> </w:t>
      </w:r>
      <w:r>
        <w:rPr>
          <w:color w:val="231F20"/>
          <w:sz w:val="20"/>
        </w:rPr>
        <w:t>other</w:t>
      </w:r>
      <w:r>
        <w:rPr>
          <w:color w:val="231F20"/>
          <w:spacing w:val="-5"/>
          <w:sz w:val="20"/>
        </w:rPr>
        <w:t xml:space="preserve"> </w:t>
      </w:r>
      <w:r>
        <w:rPr>
          <w:color w:val="231F20"/>
          <w:sz w:val="20"/>
        </w:rPr>
        <w:t>place</w:t>
      </w:r>
      <w:r>
        <w:rPr>
          <w:color w:val="231F20"/>
          <w:spacing w:val="-5"/>
          <w:sz w:val="20"/>
        </w:rPr>
        <w:t xml:space="preserve"> </w:t>
      </w:r>
      <w:r>
        <w:rPr>
          <w:color w:val="231F20"/>
          <w:sz w:val="20"/>
        </w:rPr>
        <w:t>frequented</w:t>
      </w:r>
      <w:r>
        <w:rPr>
          <w:color w:val="231F20"/>
          <w:spacing w:val="-5"/>
          <w:sz w:val="20"/>
        </w:rPr>
        <w:t xml:space="preserve"> </w:t>
      </w:r>
      <w:r>
        <w:rPr>
          <w:color w:val="231F20"/>
          <w:spacing w:val="-3"/>
          <w:sz w:val="20"/>
        </w:rPr>
        <w:t>by</w:t>
      </w:r>
      <w:r>
        <w:rPr>
          <w:color w:val="231F20"/>
          <w:spacing w:val="-5"/>
          <w:sz w:val="20"/>
        </w:rPr>
        <w:t xml:space="preserve"> </w:t>
      </w:r>
      <w:r>
        <w:rPr>
          <w:color w:val="231F20"/>
          <w:sz w:val="20"/>
        </w:rPr>
        <w:t>the</w:t>
      </w:r>
      <w:r>
        <w:rPr>
          <w:color w:val="231F20"/>
          <w:spacing w:val="-5"/>
          <w:sz w:val="20"/>
        </w:rPr>
        <w:t xml:space="preserve"> </w:t>
      </w:r>
      <w:r>
        <w:rPr>
          <w:color w:val="231F20"/>
          <w:sz w:val="20"/>
        </w:rPr>
        <w:t>victim</w:t>
      </w:r>
      <w:r>
        <w:rPr>
          <w:color w:val="231F20"/>
          <w:spacing w:val="-5"/>
          <w:sz w:val="20"/>
        </w:rPr>
        <w:t xml:space="preserve"> </w:t>
      </w:r>
      <w:r>
        <w:rPr>
          <w:color w:val="231F20"/>
          <w:sz w:val="20"/>
        </w:rPr>
        <w:t>or</w:t>
      </w:r>
      <w:r>
        <w:rPr>
          <w:color w:val="231F20"/>
          <w:spacing w:val="-5"/>
          <w:sz w:val="20"/>
        </w:rPr>
        <w:t xml:space="preserve"> </w:t>
      </w:r>
      <w:r>
        <w:rPr>
          <w:color w:val="231F20"/>
          <w:sz w:val="20"/>
        </w:rPr>
        <w:t>the</w:t>
      </w:r>
      <w:r>
        <w:rPr>
          <w:color w:val="231F20"/>
          <w:spacing w:val="-5"/>
          <w:sz w:val="20"/>
        </w:rPr>
        <w:t xml:space="preserve"> </w:t>
      </w:r>
      <w:r>
        <w:rPr>
          <w:color w:val="231F20"/>
          <w:sz w:val="20"/>
        </w:rPr>
        <w:t>other person;</w:t>
      </w:r>
    </w:p>
    <w:p w14:paraId="47018297" w14:textId="77777777" w:rsidR="00894070" w:rsidRDefault="009B7AFD">
      <w:pPr>
        <w:pStyle w:val="ListParagraph"/>
        <w:numPr>
          <w:ilvl w:val="1"/>
          <w:numId w:val="14"/>
        </w:numPr>
        <w:tabs>
          <w:tab w:val="left" w:pos="2198"/>
        </w:tabs>
        <w:spacing w:before="124" w:line="206" w:lineRule="auto"/>
        <w:ind w:right="1260" w:hanging="396"/>
        <w:rPr>
          <w:sz w:val="20"/>
        </w:rPr>
      </w:pPr>
      <w:r>
        <w:rPr>
          <w:color w:val="231F20"/>
          <w:sz w:val="20"/>
        </w:rPr>
        <w:t>interfering</w:t>
      </w:r>
      <w:r>
        <w:rPr>
          <w:color w:val="231F20"/>
          <w:spacing w:val="-7"/>
          <w:sz w:val="20"/>
        </w:rPr>
        <w:t xml:space="preserve"> </w:t>
      </w:r>
      <w:r>
        <w:rPr>
          <w:color w:val="231F20"/>
          <w:sz w:val="20"/>
        </w:rPr>
        <w:t>with</w:t>
      </w:r>
      <w:r>
        <w:rPr>
          <w:color w:val="231F20"/>
          <w:spacing w:val="-7"/>
          <w:sz w:val="20"/>
        </w:rPr>
        <w:t xml:space="preserve"> </w:t>
      </w:r>
      <w:r>
        <w:rPr>
          <w:color w:val="231F20"/>
          <w:sz w:val="20"/>
        </w:rPr>
        <w:t>property</w:t>
      </w:r>
      <w:r>
        <w:rPr>
          <w:color w:val="231F20"/>
          <w:spacing w:val="-6"/>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victim’s</w:t>
      </w:r>
      <w:r>
        <w:rPr>
          <w:color w:val="231F20"/>
          <w:spacing w:val="-6"/>
          <w:sz w:val="20"/>
        </w:rPr>
        <w:t xml:space="preserve"> </w:t>
      </w:r>
      <w:r>
        <w:rPr>
          <w:color w:val="231F20"/>
          <w:sz w:val="20"/>
        </w:rPr>
        <w:t>or</w:t>
      </w:r>
      <w:r>
        <w:rPr>
          <w:color w:val="231F20"/>
          <w:spacing w:val="-7"/>
          <w:sz w:val="20"/>
        </w:rPr>
        <w:t xml:space="preserve"> </w:t>
      </w:r>
      <w:r>
        <w:rPr>
          <w:color w:val="231F20"/>
          <w:sz w:val="20"/>
        </w:rPr>
        <w:t>any</w:t>
      </w:r>
      <w:r>
        <w:rPr>
          <w:color w:val="231F20"/>
          <w:spacing w:val="-6"/>
          <w:sz w:val="20"/>
        </w:rPr>
        <w:t xml:space="preserve"> </w:t>
      </w:r>
      <w:r>
        <w:rPr>
          <w:color w:val="231F20"/>
          <w:sz w:val="20"/>
        </w:rPr>
        <w:t>other</w:t>
      </w:r>
      <w:r>
        <w:rPr>
          <w:color w:val="231F20"/>
          <w:spacing w:val="-7"/>
          <w:sz w:val="20"/>
        </w:rPr>
        <w:t xml:space="preserve"> </w:t>
      </w:r>
      <w:r>
        <w:rPr>
          <w:color w:val="231F20"/>
          <w:sz w:val="20"/>
        </w:rPr>
        <w:t>person’s</w:t>
      </w:r>
      <w:r>
        <w:rPr>
          <w:color w:val="231F20"/>
          <w:spacing w:val="-7"/>
          <w:sz w:val="20"/>
        </w:rPr>
        <w:t xml:space="preserve"> </w:t>
      </w:r>
      <w:r>
        <w:rPr>
          <w:color w:val="231F20"/>
          <w:sz w:val="20"/>
        </w:rPr>
        <w:t>possession</w:t>
      </w:r>
      <w:r>
        <w:rPr>
          <w:color w:val="231F20"/>
          <w:spacing w:val="-6"/>
          <w:sz w:val="20"/>
        </w:rPr>
        <w:t xml:space="preserve"> </w:t>
      </w:r>
      <w:r>
        <w:rPr>
          <w:color w:val="231F20"/>
          <w:sz w:val="20"/>
        </w:rPr>
        <w:t>(whether or not the offender has an interest in the</w:t>
      </w:r>
      <w:r>
        <w:rPr>
          <w:color w:val="231F20"/>
          <w:spacing w:val="-25"/>
          <w:sz w:val="20"/>
        </w:rPr>
        <w:t xml:space="preserve"> </w:t>
      </w:r>
      <w:r>
        <w:rPr>
          <w:color w:val="231F20"/>
          <w:sz w:val="20"/>
        </w:rPr>
        <w:t>property);</w:t>
      </w:r>
    </w:p>
    <w:p w14:paraId="1FFBBEBD" w14:textId="77777777" w:rsidR="00894070" w:rsidRDefault="009B7AFD">
      <w:pPr>
        <w:pStyle w:val="BodyText"/>
        <w:spacing w:before="91"/>
        <w:ind w:left="1801"/>
      </w:pPr>
      <w:r>
        <w:rPr>
          <w:color w:val="231F20"/>
        </w:rPr>
        <w:t>(da) making threats to the victim;</w:t>
      </w:r>
    </w:p>
    <w:p w14:paraId="17D11102" w14:textId="77777777" w:rsidR="00894070" w:rsidRDefault="009B7AFD">
      <w:pPr>
        <w:pStyle w:val="BodyText"/>
        <w:spacing w:before="82" w:line="312" w:lineRule="auto"/>
        <w:ind w:left="1801" w:right="2458"/>
      </w:pPr>
      <w:r>
        <w:rPr>
          <w:color w:val="231F20"/>
        </w:rPr>
        <w:t>(db) using abusive or offensive words to or in the presence of the victim; (dc) performing abusive or offensive acts in the presence of the victim; (dd) directing abusive or offensive acts towards the victim;</w:t>
      </w:r>
    </w:p>
    <w:p w14:paraId="4A8643FB" w14:textId="77777777" w:rsidR="00894070" w:rsidRDefault="009B7AFD">
      <w:pPr>
        <w:pStyle w:val="ListParagraph"/>
        <w:numPr>
          <w:ilvl w:val="1"/>
          <w:numId w:val="14"/>
        </w:numPr>
        <w:tabs>
          <w:tab w:val="left" w:pos="2198"/>
        </w:tabs>
        <w:spacing w:before="30" w:line="206" w:lineRule="auto"/>
        <w:ind w:right="1185" w:hanging="396"/>
        <w:rPr>
          <w:sz w:val="20"/>
        </w:rPr>
      </w:pPr>
      <w:r>
        <w:rPr>
          <w:color w:val="231F20"/>
          <w:sz w:val="20"/>
        </w:rPr>
        <w:t>giving</w:t>
      </w:r>
      <w:r>
        <w:rPr>
          <w:color w:val="231F20"/>
          <w:spacing w:val="-8"/>
          <w:sz w:val="20"/>
        </w:rPr>
        <w:t xml:space="preserve"> </w:t>
      </w:r>
      <w:r>
        <w:rPr>
          <w:color w:val="231F20"/>
          <w:sz w:val="20"/>
        </w:rPr>
        <w:t>offensive</w:t>
      </w:r>
      <w:r>
        <w:rPr>
          <w:color w:val="231F20"/>
          <w:spacing w:val="-7"/>
          <w:sz w:val="20"/>
        </w:rPr>
        <w:t xml:space="preserve"> </w:t>
      </w:r>
      <w:r>
        <w:rPr>
          <w:color w:val="231F20"/>
          <w:sz w:val="20"/>
        </w:rPr>
        <w:t>material</w:t>
      </w:r>
      <w:r>
        <w:rPr>
          <w:color w:val="231F20"/>
          <w:spacing w:val="-7"/>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z w:val="20"/>
        </w:rPr>
        <w:t>victim</w:t>
      </w:r>
      <w:r>
        <w:rPr>
          <w:color w:val="231F20"/>
          <w:spacing w:val="-7"/>
          <w:sz w:val="20"/>
        </w:rPr>
        <w:t xml:space="preserve"> </w:t>
      </w:r>
      <w:r>
        <w:rPr>
          <w:color w:val="231F20"/>
          <w:sz w:val="20"/>
        </w:rPr>
        <w:t>or</w:t>
      </w:r>
      <w:r>
        <w:rPr>
          <w:color w:val="231F20"/>
          <w:spacing w:val="-7"/>
          <w:sz w:val="20"/>
        </w:rPr>
        <w:t xml:space="preserve"> </w:t>
      </w:r>
      <w:r>
        <w:rPr>
          <w:color w:val="231F20"/>
          <w:sz w:val="20"/>
        </w:rPr>
        <w:t>any</w:t>
      </w:r>
      <w:r>
        <w:rPr>
          <w:color w:val="231F20"/>
          <w:spacing w:val="-7"/>
          <w:sz w:val="20"/>
        </w:rPr>
        <w:t xml:space="preserve"> </w:t>
      </w:r>
      <w:r>
        <w:rPr>
          <w:color w:val="231F20"/>
          <w:sz w:val="20"/>
        </w:rPr>
        <w:t>other</w:t>
      </w:r>
      <w:r>
        <w:rPr>
          <w:color w:val="231F20"/>
          <w:spacing w:val="-7"/>
          <w:sz w:val="20"/>
        </w:rPr>
        <w:t xml:space="preserve"> </w:t>
      </w:r>
      <w:r>
        <w:rPr>
          <w:color w:val="231F20"/>
          <w:sz w:val="20"/>
        </w:rPr>
        <w:t>person</w:t>
      </w:r>
      <w:r>
        <w:rPr>
          <w:color w:val="231F20"/>
          <w:spacing w:val="-8"/>
          <w:sz w:val="20"/>
        </w:rPr>
        <w:t xml:space="preserve"> </w:t>
      </w:r>
      <w:r>
        <w:rPr>
          <w:color w:val="231F20"/>
          <w:sz w:val="20"/>
        </w:rPr>
        <w:t>or</w:t>
      </w:r>
      <w:r>
        <w:rPr>
          <w:color w:val="231F20"/>
          <w:spacing w:val="-7"/>
          <w:sz w:val="20"/>
        </w:rPr>
        <w:t xml:space="preserve"> </w:t>
      </w:r>
      <w:r>
        <w:rPr>
          <w:color w:val="231F20"/>
          <w:sz w:val="20"/>
        </w:rPr>
        <w:t>leaving</w:t>
      </w:r>
      <w:r>
        <w:rPr>
          <w:color w:val="231F20"/>
          <w:spacing w:val="-7"/>
          <w:sz w:val="20"/>
        </w:rPr>
        <w:t xml:space="preserve"> </w:t>
      </w:r>
      <w:r>
        <w:rPr>
          <w:color w:val="231F20"/>
          <w:sz w:val="20"/>
        </w:rPr>
        <w:t>it</w:t>
      </w:r>
      <w:r>
        <w:rPr>
          <w:color w:val="231F20"/>
          <w:spacing w:val="-7"/>
          <w:sz w:val="20"/>
        </w:rPr>
        <w:t xml:space="preserve"> </w:t>
      </w:r>
      <w:r>
        <w:rPr>
          <w:color w:val="231F20"/>
          <w:sz w:val="20"/>
        </w:rPr>
        <w:t>where</w:t>
      </w:r>
      <w:r>
        <w:rPr>
          <w:color w:val="231F20"/>
          <w:spacing w:val="-7"/>
          <w:sz w:val="20"/>
        </w:rPr>
        <w:t xml:space="preserve"> </w:t>
      </w:r>
      <w:r>
        <w:rPr>
          <w:color w:val="231F20"/>
          <w:sz w:val="20"/>
        </w:rPr>
        <w:t>it</w:t>
      </w:r>
      <w:r>
        <w:rPr>
          <w:color w:val="231F20"/>
          <w:spacing w:val="-7"/>
          <w:sz w:val="20"/>
        </w:rPr>
        <w:t xml:space="preserve"> </w:t>
      </w:r>
      <w:r>
        <w:rPr>
          <w:color w:val="231F20"/>
          <w:sz w:val="20"/>
        </w:rPr>
        <w:t>will be</w:t>
      </w:r>
      <w:r>
        <w:rPr>
          <w:color w:val="231F20"/>
          <w:spacing w:val="-5"/>
          <w:sz w:val="20"/>
        </w:rPr>
        <w:t xml:space="preserve"> </w:t>
      </w:r>
      <w:r>
        <w:rPr>
          <w:color w:val="231F20"/>
          <w:sz w:val="20"/>
        </w:rPr>
        <w:t>found</w:t>
      </w:r>
      <w:r>
        <w:rPr>
          <w:color w:val="231F20"/>
          <w:spacing w:val="-5"/>
          <w:sz w:val="20"/>
        </w:rPr>
        <w:t xml:space="preserve"> </w:t>
      </w:r>
      <w:r>
        <w:rPr>
          <w:color w:val="231F20"/>
          <w:spacing w:val="-6"/>
          <w:sz w:val="20"/>
        </w:rPr>
        <w:t>by,</w:t>
      </w:r>
      <w:r>
        <w:rPr>
          <w:color w:val="231F20"/>
          <w:spacing w:val="-5"/>
          <w:sz w:val="20"/>
        </w:rPr>
        <w:t xml:space="preserve"> </w:t>
      </w:r>
      <w:r>
        <w:rPr>
          <w:color w:val="231F20"/>
          <w:sz w:val="20"/>
        </w:rPr>
        <w:t>given</w:t>
      </w:r>
      <w:r>
        <w:rPr>
          <w:color w:val="231F20"/>
          <w:spacing w:val="-5"/>
          <w:sz w:val="20"/>
        </w:rPr>
        <w:t xml:space="preserve"> </w:t>
      </w:r>
      <w:r>
        <w:rPr>
          <w:color w:val="231F20"/>
          <w:sz w:val="20"/>
        </w:rPr>
        <w:t>to</w:t>
      </w:r>
      <w:r>
        <w:rPr>
          <w:color w:val="231F20"/>
          <w:spacing w:val="-5"/>
          <w:sz w:val="20"/>
        </w:rPr>
        <w:t xml:space="preserve"> </w:t>
      </w:r>
      <w:r>
        <w:rPr>
          <w:color w:val="231F20"/>
          <w:sz w:val="20"/>
        </w:rPr>
        <w:t>or</w:t>
      </w:r>
      <w:r>
        <w:rPr>
          <w:color w:val="231F20"/>
          <w:spacing w:val="-5"/>
          <w:sz w:val="20"/>
        </w:rPr>
        <w:t xml:space="preserve"> </w:t>
      </w:r>
      <w:r>
        <w:rPr>
          <w:color w:val="231F20"/>
          <w:sz w:val="20"/>
        </w:rPr>
        <w:t>brought</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5"/>
          <w:sz w:val="20"/>
        </w:rPr>
        <w:t xml:space="preserve"> </w:t>
      </w:r>
      <w:r>
        <w:rPr>
          <w:color w:val="231F20"/>
          <w:sz w:val="20"/>
        </w:rPr>
        <w:t>attention</w:t>
      </w:r>
      <w:r>
        <w:rPr>
          <w:color w:val="231F20"/>
          <w:spacing w:val="-4"/>
          <w:sz w:val="20"/>
        </w:rPr>
        <w:t xml:space="preserve"> of,</w:t>
      </w:r>
      <w:r>
        <w:rPr>
          <w:color w:val="231F20"/>
          <w:spacing w:val="-5"/>
          <w:sz w:val="20"/>
        </w:rPr>
        <w:t xml:space="preserve"> </w:t>
      </w:r>
      <w:r>
        <w:rPr>
          <w:color w:val="231F20"/>
          <w:sz w:val="20"/>
        </w:rPr>
        <w:t>the</w:t>
      </w:r>
      <w:r>
        <w:rPr>
          <w:color w:val="231F20"/>
          <w:spacing w:val="-5"/>
          <w:sz w:val="20"/>
        </w:rPr>
        <w:t xml:space="preserve"> </w:t>
      </w:r>
      <w:r>
        <w:rPr>
          <w:color w:val="231F20"/>
          <w:sz w:val="20"/>
        </w:rPr>
        <w:t>victim</w:t>
      </w:r>
      <w:r>
        <w:rPr>
          <w:color w:val="231F20"/>
          <w:spacing w:val="-5"/>
          <w:sz w:val="20"/>
        </w:rPr>
        <w:t xml:space="preserve"> </w:t>
      </w:r>
      <w:r>
        <w:rPr>
          <w:color w:val="231F20"/>
          <w:sz w:val="20"/>
        </w:rPr>
        <w:t>or</w:t>
      </w:r>
      <w:r>
        <w:rPr>
          <w:color w:val="231F20"/>
          <w:spacing w:val="-5"/>
          <w:sz w:val="20"/>
        </w:rPr>
        <w:t xml:space="preserve"> </w:t>
      </w:r>
      <w:r>
        <w:rPr>
          <w:color w:val="231F20"/>
          <w:sz w:val="20"/>
        </w:rPr>
        <w:t>the</w:t>
      </w:r>
      <w:r>
        <w:rPr>
          <w:color w:val="231F20"/>
          <w:spacing w:val="-5"/>
          <w:sz w:val="20"/>
        </w:rPr>
        <w:t xml:space="preserve"> </w:t>
      </w:r>
      <w:r>
        <w:rPr>
          <w:color w:val="231F20"/>
          <w:sz w:val="20"/>
        </w:rPr>
        <w:t>other</w:t>
      </w:r>
      <w:r>
        <w:rPr>
          <w:color w:val="231F20"/>
          <w:spacing w:val="-5"/>
          <w:sz w:val="20"/>
        </w:rPr>
        <w:t xml:space="preserve"> </w:t>
      </w:r>
      <w:r>
        <w:rPr>
          <w:color w:val="231F20"/>
          <w:sz w:val="20"/>
        </w:rPr>
        <w:t>person;</w:t>
      </w:r>
    </w:p>
    <w:p w14:paraId="1BEACE40" w14:textId="77777777" w:rsidR="00894070" w:rsidRDefault="009B7AFD">
      <w:pPr>
        <w:pStyle w:val="ListParagraph"/>
        <w:numPr>
          <w:ilvl w:val="1"/>
          <w:numId w:val="14"/>
        </w:numPr>
        <w:tabs>
          <w:tab w:val="left" w:pos="2197"/>
          <w:tab w:val="left" w:pos="2198"/>
        </w:tabs>
        <w:spacing w:before="90"/>
        <w:ind w:hanging="396"/>
        <w:rPr>
          <w:sz w:val="20"/>
        </w:rPr>
      </w:pPr>
      <w:r>
        <w:rPr>
          <w:color w:val="231F20"/>
          <w:sz w:val="20"/>
        </w:rPr>
        <w:t>keeping the victim or any other person under</w:t>
      </w:r>
      <w:r>
        <w:rPr>
          <w:color w:val="231F20"/>
          <w:spacing w:val="-19"/>
          <w:sz w:val="20"/>
        </w:rPr>
        <w:t xml:space="preserve"> </w:t>
      </w:r>
      <w:r>
        <w:rPr>
          <w:color w:val="231F20"/>
          <w:sz w:val="20"/>
        </w:rPr>
        <w:t>surveillance;</w:t>
      </w:r>
    </w:p>
    <w:p w14:paraId="19F72D77" w14:textId="77777777" w:rsidR="00894070" w:rsidRDefault="009B7AFD">
      <w:pPr>
        <w:pStyle w:val="ListParagraph"/>
        <w:numPr>
          <w:ilvl w:val="1"/>
          <w:numId w:val="14"/>
        </w:numPr>
        <w:tabs>
          <w:tab w:val="left" w:pos="2198"/>
        </w:tabs>
        <w:spacing w:before="82"/>
        <w:ind w:hanging="396"/>
        <w:rPr>
          <w:sz w:val="20"/>
        </w:rPr>
      </w:pPr>
      <w:r>
        <w:rPr>
          <w:color w:val="231F20"/>
          <w:sz w:val="20"/>
        </w:rPr>
        <w:t xml:space="preserve">acting in any other </w:t>
      </w:r>
      <w:r>
        <w:rPr>
          <w:color w:val="231F20"/>
          <w:spacing w:val="-3"/>
          <w:sz w:val="20"/>
        </w:rPr>
        <w:t xml:space="preserve">way </w:t>
      </w:r>
      <w:r>
        <w:rPr>
          <w:color w:val="231F20"/>
          <w:sz w:val="20"/>
        </w:rPr>
        <w:t>that could reasonably be</w:t>
      </w:r>
      <w:r>
        <w:rPr>
          <w:color w:val="231F20"/>
          <w:spacing w:val="-21"/>
          <w:sz w:val="20"/>
        </w:rPr>
        <w:t xml:space="preserve"> </w:t>
      </w:r>
      <w:r>
        <w:rPr>
          <w:color w:val="231F20"/>
          <w:sz w:val="20"/>
        </w:rPr>
        <w:t>expected—</w:t>
      </w:r>
    </w:p>
    <w:p w14:paraId="3A97FB42" w14:textId="77777777" w:rsidR="00894070" w:rsidRDefault="009B7AFD">
      <w:pPr>
        <w:pStyle w:val="ListParagraph"/>
        <w:numPr>
          <w:ilvl w:val="2"/>
          <w:numId w:val="14"/>
        </w:numPr>
        <w:tabs>
          <w:tab w:val="left" w:pos="2594"/>
          <w:tab w:val="left" w:pos="2595"/>
        </w:tabs>
        <w:spacing w:before="83"/>
        <w:rPr>
          <w:sz w:val="20"/>
        </w:rPr>
      </w:pPr>
      <w:r>
        <w:rPr>
          <w:color w:val="231F20"/>
          <w:sz w:val="20"/>
        </w:rPr>
        <w:t>to cause physical or mental harm to the victim, including self-harm;</w:t>
      </w:r>
      <w:r>
        <w:rPr>
          <w:color w:val="231F20"/>
          <w:spacing w:val="-33"/>
          <w:sz w:val="20"/>
        </w:rPr>
        <w:t xml:space="preserve"> </w:t>
      </w:r>
      <w:r>
        <w:rPr>
          <w:color w:val="231F20"/>
          <w:sz w:val="20"/>
        </w:rPr>
        <w:t>or</w:t>
      </w:r>
    </w:p>
    <w:p w14:paraId="738EE253" w14:textId="77777777" w:rsidR="00894070" w:rsidRDefault="009B7AFD">
      <w:pPr>
        <w:pStyle w:val="ListParagraph"/>
        <w:numPr>
          <w:ilvl w:val="2"/>
          <w:numId w:val="14"/>
        </w:numPr>
        <w:tabs>
          <w:tab w:val="left" w:pos="2594"/>
          <w:tab w:val="left" w:pos="2595"/>
        </w:tabs>
        <w:spacing w:before="114" w:line="206" w:lineRule="auto"/>
        <w:ind w:right="1195"/>
        <w:rPr>
          <w:sz w:val="20"/>
        </w:rPr>
      </w:pPr>
      <w:r>
        <w:rPr>
          <w:color w:val="231F20"/>
          <w:sz w:val="20"/>
        </w:rPr>
        <w:t>to</w:t>
      </w:r>
      <w:r>
        <w:rPr>
          <w:color w:val="231F20"/>
          <w:spacing w:val="-5"/>
          <w:sz w:val="20"/>
        </w:rPr>
        <w:t xml:space="preserve"> </w:t>
      </w:r>
      <w:r>
        <w:rPr>
          <w:color w:val="231F20"/>
          <w:sz w:val="20"/>
        </w:rPr>
        <w:t>arouse</w:t>
      </w:r>
      <w:r>
        <w:rPr>
          <w:color w:val="231F20"/>
          <w:spacing w:val="-5"/>
          <w:sz w:val="20"/>
        </w:rPr>
        <w:t xml:space="preserve"> </w:t>
      </w:r>
      <w:r>
        <w:rPr>
          <w:color w:val="231F20"/>
          <w:sz w:val="20"/>
        </w:rPr>
        <w:t>apprehension</w:t>
      </w:r>
      <w:r>
        <w:rPr>
          <w:color w:val="231F20"/>
          <w:spacing w:val="-5"/>
          <w:sz w:val="20"/>
        </w:rPr>
        <w:t xml:space="preserve"> </w:t>
      </w:r>
      <w:r>
        <w:rPr>
          <w:color w:val="231F20"/>
          <w:sz w:val="20"/>
        </w:rPr>
        <w:t>or</w:t>
      </w:r>
      <w:r>
        <w:rPr>
          <w:color w:val="231F20"/>
          <w:spacing w:val="-5"/>
          <w:sz w:val="20"/>
        </w:rPr>
        <w:t xml:space="preserve"> </w:t>
      </w:r>
      <w:r>
        <w:rPr>
          <w:color w:val="231F20"/>
          <w:sz w:val="20"/>
        </w:rPr>
        <w:t>fear</w:t>
      </w:r>
      <w:r>
        <w:rPr>
          <w:color w:val="231F20"/>
          <w:spacing w:val="-5"/>
          <w:sz w:val="20"/>
        </w:rPr>
        <w:t xml:space="preserve"> </w:t>
      </w: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z w:val="20"/>
        </w:rPr>
        <w:t>victim</w:t>
      </w:r>
      <w:r>
        <w:rPr>
          <w:color w:val="231F20"/>
          <w:spacing w:val="-5"/>
          <w:sz w:val="20"/>
        </w:rPr>
        <w:t xml:space="preserve"> </w:t>
      </w:r>
      <w:r>
        <w:rPr>
          <w:color w:val="231F20"/>
          <w:sz w:val="20"/>
        </w:rPr>
        <w:t>for</w:t>
      </w:r>
      <w:r>
        <w:rPr>
          <w:color w:val="231F20"/>
          <w:spacing w:val="-5"/>
          <w:sz w:val="20"/>
        </w:rPr>
        <w:t xml:space="preserve"> </w:t>
      </w:r>
      <w:r>
        <w:rPr>
          <w:color w:val="231F20"/>
          <w:sz w:val="20"/>
        </w:rPr>
        <w:t>his</w:t>
      </w:r>
      <w:r>
        <w:rPr>
          <w:color w:val="231F20"/>
          <w:spacing w:val="-5"/>
          <w:sz w:val="20"/>
        </w:rPr>
        <w:t xml:space="preserve"> </w:t>
      </w:r>
      <w:r>
        <w:rPr>
          <w:color w:val="231F20"/>
          <w:sz w:val="20"/>
        </w:rPr>
        <w:t>or</w:t>
      </w:r>
      <w:r>
        <w:rPr>
          <w:color w:val="231F20"/>
          <w:spacing w:val="-5"/>
          <w:sz w:val="20"/>
        </w:rPr>
        <w:t xml:space="preserve"> </w:t>
      </w:r>
      <w:r>
        <w:rPr>
          <w:color w:val="231F20"/>
          <w:sz w:val="20"/>
        </w:rPr>
        <w:t>her</w:t>
      </w:r>
      <w:r>
        <w:rPr>
          <w:color w:val="231F20"/>
          <w:spacing w:val="-5"/>
          <w:sz w:val="20"/>
        </w:rPr>
        <w:t xml:space="preserve"> </w:t>
      </w:r>
      <w:r>
        <w:rPr>
          <w:color w:val="231F20"/>
          <w:sz w:val="20"/>
        </w:rPr>
        <w:t>own</w:t>
      </w:r>
      <w:r>
        <w:rPr>
          <w:color w:val="231F20"/>
          <w:spacing w:val="-5"/>
          <w:sz w:val="20"/>
        </w:rPr>
        <w:t xml:space="preserve"> </w:t>
      </w:r>
      <w:r>
        <w:rPr>
          <w:color w:val="231F20"/>
          <w:sz w:val="20"/>
        </w:rPr>
        <w:t>safety</w:t>
      </w:r>
      <w:r>
        <w:rPr>
          <w:color w:val="231F20"/>
          <w:spacing w:val="-5"/>
          <w:sz w:val="20"/>
        </w:rPr>
        <w:t xml:space="preserve"> </w:t>
      </w:r>
      <w:r>
        <w:rPr>
          <w:color w:val="231F20"/>
          <w:sz w:val="20"/>
        </w:rPr>
        <w:t>or</w:t>
      </w:r>
      <w:r>
        <w:rPr>
          <w:color w:val="231F20"/>
          <w:spacing w:val="-5"/>
          <w:sz w:val="20"/>
        </w:rPr>
        <w:t xml:space="preserve"> </w:t>
      </w:r>
      <w:r>
        <w:rPr>
          <w:color w:val="231F20"/>
          <w:sz w:val="20"/>
        </w:rPr>
        <w:t>that</w:t>
      </w:r>
      <w:r>
        <w:rPr>
          <w:color w:val="231F20"/>
          <w:spacing w:val="-5"/>
          <w:sz w:val="20"/>
        </w:rPr>
        <w:t xml:space="preserve"> </w:t>
      </w:r>
      <w:r>
        <w:rPr>
          <w:color w:val="231F20"/>
          <w:sz w:val="20"/>
        </w:rPr>
        <w:t>of any other</w:t>
      </w:r>
      <w:r>
        <w:rPr>
          <w:color w:val="231F20"/>
          <w:spacing w:val="-5"/>
          <w:sz w:val="20"/>
        </w:rPr>
        <w:t xml:space="preserve"> </w:t>
      </w:r>
      <w:r>
        <w:rPr>
          <w:color w:val="231F20"/>
          <w:sz w:val="20"/>
        </w:rPr>
        <w:t>person—</w:t>
      </w:r>
    </w:p>
    <w:p w14:paraId="4B8D71B4" w14:textId="77777777" w:rsidR="00894070" w:rsidRDefault="009B7AFD">
      <w:pPr>
        <w:pStyle w:val="BodyText"/>
        <w:spacing w:before="123" w:line="206" w:lineRule="auto"/>
        <w:ind w:left="2594" w:right="1294" w:hanging="1"/>
        <w:jc w:val="both"/>
      </w:pPr>
      <w:r>
        <w:rPr>
          <w:color w:val="231F20"/>
        </w:rPr>
        <w:t>with</w:t>
      </w:r>
      <w:r>
        <w:rPr>
          <w:color w:val="231F20"/>
          <w:spacing w:val="-6"/>
        </w:rPr>
        <w:t xml:space="preserve"> </w:t>
      </w:r>
      <w:r>
        <w:rPr>
          <w:color w:val="231F20"/>
        </w:rPr>
        <w:t>the</w:t>
      </w:r>
      <w:r>
        <w:rPr>
          <w:color w:val="231F20"/>
          <w:spacing w:val="-6"/>
        </w:rPr>
        <w:t xml:space="preserve"> </w:t>
      </w:r>
      <w:r>
        <w:rPr>
          <w:color w:val="231F20"/>
        </w:rPr>
        <w:t>intention</w:t>
      </w:r>
      <w:r>
        <w:rPr>
          <w:color w:val="231F20"/>
          <w:spacing w:val="-6"/>
        </w:rPr>
        <w:t xml:space="preserve"> </w:t>
      </w:r>
      <w:r>
        <w:rPr>
          <w:color w:val="231F20"/>
        </w:rPr>
        <w:t>of</w:t>
      </w:r>
      <w:r>
        <w:rPr>
          <w:color w:val="231F20"/>
          <w:spacing w:val="-5"/>
        </w:rPr>
        <w:t xml:space="preserve"> </w:t>
      </w:r>
      <w:r>
        <w:rPr>
          <w:color w:val="231F20"/>
        </w:rPr>
        <w:t>causing</w:t>
      </w:r>
      <w:r>
        <w:rPr>
          <w:color w:val="231F20"/>
          <w:spacing w:val="-6"/>
        </w:rPr>
        <w:t xml:space="preserve"> </w:t>
      </w:r>
      <w:r>
        <w:rPr>
          <w:color w:val="231F20"/>
        </w:rPr>
        <w:t>physical</w:t>
      </w:r>
      <w:r>
        <w:rPr>
          <w:color w:val="231F20"/>
          <w:spacing w:val="-6"/>
        </w:rPr>
        <w:t xml:space="preserve"> </w:t>
      </w:r>
      <w:r>
        <w:rPr>
          <w:color w:val="231F20"/>
        </w:rPr>
        <w:t>or</w:t>
      </w:r>
      <w:r>
        <w:rPr>
          <w:color w:val="231F20"/>
          <w:spacing w:val="-5"/>
        </w:rPr>
        <w:t xml:space="preserve"> </w:t>
      </w:r>
      <w:r>
        <w:rPr>
          <w:color w:val="231F20"/>
        </w:rPr>
        <w:t>mental</w:t>
      </w:r>
      <w:r>
        <w:rPr>
          <w:color w:val="231F20"/>
          <w:spacing w:val="-6"/>
        </w:rPr>
        <w:t xml:space="preserve"> </w:t>
      </w:r>
      <w:r>
        <w:rPr>
          <w:color w:val="231F20"/>
        </w:rPr>
        <w:t>harm</w:t>
      </w:r>
      <w:r>
        <w:rPr>
          <w:color w:val="231F20"/>
          <w:spacing w:val="-6"/>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rPr>
        <w:t>victim,</w:t>
      </w:r>
      <w:r>
        <w:rPr>
          <w:color w:val="231F20"/>
          <w:spacing w:val="-6"/>
        </w:rPr>
        <w:t xml:space="preserve"> </w:t>
      </w:r>
      <w:r>
        <w:rPr>
          <w:color w:val="231F20"/>
        </w:rPr>
        <w:t>including self-harm,</w:t>
      </w:r>
      <w:r>
        <w:rPr>
          <w:color w:val="231F20"/>
          <w:spacing w:val="-6"/>
        </w:rPr>
        <w:t xml:space="preserve"> </w:t>
      </w:r>
      <w:r>
        <w:rPr>
          <w:color w:val="231F20"/>
        </w:rPr>
        <w:t>or</w:t>
      </w:r>
      <w:r>
        <w:rPr>
          <w:color w:val="231F20"/>
          <w:spacing w:val="-5"/>
        </w:rPr>
        <w:t xml:space="preserve"> </w:t>
      </w:r>
      <w:r>
        <w:rPr>
          <w:color w:val="231F20"/>
        </w:rPr>
        <w:t>of</w:t>
      </w:r>
      <w:r>
        <w:rPr>
          <w:color w:val="231F20"/>
          <w:spacing w:val="-6"/>
        </w:rPr>
        <w:t xml:space="preserve"> </w:t>
      </w:r>
      <w:r>
        <w:rPr>
          <w:color w:val="231F20"/>
        </w:rPr>
        <w:t>arousing</w:t>
      </w:r>
      <w:r>
        <w:rPr>
          <w:color w:val="231F20"/>
          <w:spacing w:val="-5"/>
        </w:rPr>
        <w:t xml:space="preserve"> </w:t>
      </w:r>
      <w:r>
        <w:rPr>
          <w:color w:val="231F20"/>
        </w:rPr>
        <w:t>apprehension</w:t>
      </w:r>
      <w:r>
        <w:rPr>
          <w:color w:val="231F20"/>
          <w:spacing w:val="-5"/>
        </w:rPr>
        <w:t xml:space="preserve"> </w:t>
      </w:r>
      <w:r>
        <w:rPr>
          <w:color w:val="231F20"/>
        </w:rPr>
        <w:t>or</w:t>
      </w:r>
      <w:r>
        <w:rPr>
          <w:color w:val="231F20"/>
          <w:spacing w:val="-6"/>
        </w:rPr>
        <w:t xml:space="preserve"> </w:t>
      </w:r>
      <w:r>
        <w:rPr>
          <w:color w:val="231F20"/>
        </w:rPr>
        <w:t>fear</w:t>
      </w:r>
      <w:r>
        <w:rPr>
          <w:color w:val="231F20"/>
          <w:spacing w:val="-5"/>
        </w:rPr>
        <w:t xml:space="preserve"> </w:t>
      </w:r>
      <w:r>
        <w:rPr>
          <w:color w:val="231F20"/>
        </w:rPr>
        <w:t>in</w:t>
      </w:r>
      <w:r>
        <w:rPr>
          <w:color w:val="231F20"/>
          <w:spacing w:val="-5"/>
        </w:rPr>
        <w:t xml:space="preserve"> </w:t>
      </w:r>
      <w:r>
        <w:rPr>
          <w:color w:val="231F20"/>
        </w:rPr>
        <w:t>the</w:t>
      </w:r>
      <w:r>
        <w:rPr>
          <w:color w:val="231F20"/>
          <w:spacing w:val="-6"/>
        </w:rPr>
        <w:t xml:space="preserve"> </w:t>
      </w:r>
      <w:r>
        <w:rPr>
          <w:color w:val="231F20"/>
        </w:rPr>
        <w:t>victim</w:t>
      </w:r>
      <w:r>
        <w:rPr>
          <w:color w:val="231F20"/>
          <w:spacing w:val="-5"/>
        </w:rPr>
        <w:t xml:space="preserve"> </w:t>
      </w:r>
      <w:r>
        <w:rPr>
          <w:color w:val="231F20"/>
        </w:rPr>
        <w:t>for</w:t>
      </w:r>
      <w:r>
        <w:rPr>
          <w:color w:val="231F20"/>
          <w:spacing w:val="-5"/>
        </w:rPr>
        <w:t xml:space="preserve"> </w:t>
      </w:r>
      <w:r>
        <w:rPr>
          <w:color w:val="231F20"/>
        </w:rPr>
        <w:t>his</w:t>
      </w:r>
      <w:r>
        <w:rPr>
          <w:color w:val="231F20"/>
          <w:spacing w:val="-6"/>
        </w:rPr>
        <w:t xml:space="preserve"> </w:t>
      </w:r>
      <w:r>
        <w:rPr>
          <w:color w:val="231F20"/>
        </w:rPr>
        <w:t>or</w:t>
      </w:r>
      <w:r>
        <w:rPr>
          <w:color w:val="231F20"/>
          <w:spacing w:val="-5"/>
        </w:rPr>
        <w:t xml:space="preserve"> </w:t>
      </w:r>
      <w:r>
        <w:rPr>
          <w:color w:val="231F20"/>
        </w:rPr>
        <w:t>her</w:t>
      </w:r>
      <w:r>
        <w:rPr>
          <w:color w:val="231F20"/>
          <w:spacing w:val="-5"/>
        </w:rPr>
        <w:t xml:space="preserve"> </w:t>
      </w:r>
      <w:r>
        <w:rPr>
          <w:color w:val="231F20"/>
        </w:rPr>
        <w:t>own safety or that of any other</w:t>
      </w:r>
      <w:r>
        <w:rPr>
          <w:color w:val="231F20"/>
          <w:spacing w:val="-14"/>
        </w:rPr>
        <w:t xml:space="preserve"> </w:t>
      </w:r>
      <w:r>
        <w:rPr>
          <w:color w:val="231F20"/>
        </w:rPr>
        <w:t>person.</w:t>
      </w:r>
    </w:p>
    <w:p w14:paraId="0C4FE16F" w14:textId="77777777" w:rsidR="00894070" w:rsidRDefault="00894070">
      <w:pPr>
        <w:pStyle w:val="BodyText"/>
        <w:spacing w:before="12"/>
        <w:rPr>
          <w:sz w:val="27"/>
        </w:rPr>
      </w:pPr>
    </w:p>
    <w:p w14:paraId="6F880709" w14:textId="77777777" w:rsidR="00894070" w:rsidRDefault="009B7AFD">
      <w:pPr>
        <w:pStyle w:val="Heading8"/>
        <w:spacing w:before="49"/>
        <w:ind w:left="140"/>
      </w:pPr>
      <w:r>
        <w:rPr>
          <w:color w:val="EA5B50"/>
        </w:rPr>
        <w:t>190</w:t>
      </w:r>
    </w:p>
    <w:p w14:paraId="5082C873" w14:textId="77777777" w:rsidR="00894070" w:rsidRDefault="00894070">
      <w:pPr>
        <w:sectPr w:rsidR="00894070">
          <w:pgSz w:w="11910" w:h="16840"/>
          <w:pgMar w:top="860" w:right="420" w:bottom="280" w:left="580" w:header="567" w:footer="0" w:gutter="0"/>
          <w:cols w:space="720"/>
        </w:sectPr>
      </w:pPr>
    </w:p>
    <w:p w14:paraId="4450B812" w14:textId="77777777" w:rsidR="00894070" w:rsidRDefault="00894070">
      <w:pPr>
        <w:pStyle w:val="BodyText"/>
        <w:rPr>
          <w:b/>
        </w:rPr>
      </w:pPr>
    </w:p>
    <w:p w14:paraId="67B271A3" w14:textId="77777777" w:rsidR="00894070" w:rsidRDefault="00894070">
      <w:pPr>
        <w:pStyle w:val="BodyText"/>
        <w:rPr>
          <w:b/>
        </w:rPr>
      </w:pPr>
    </w:p>
    <w:p w14:paraId="43BE7805" w14:textId="77777777" w:rsidR="00894070" w:rsidRDefault="00894070">
      <w:pPr>
        <w:pStyle w:val="BodyText"/>
        <w:rPr>
          <w:b/>
        </w:rPr>
      </w:pPr>
    </w:p>
    <w:p w14:paraId="7D0F30AE" w14:textId="77777777" w:rsidR="00894070" w:rsidRDefault="00894070">
      <w:pPr>
        <w:pStyle w:val="BodyText"/>
        <w:spacing w:before="6"/>
        <w:rPr>
          <w:b/>
          <w:sz w:val="14"/>
        </w:rPr>
      </w:pPr>
    </w:p>
    <w:p w14:paraId="4ACB6D62" w14:textId="77777777" w:rsidR="00894070" w:rsidRDefault="009B7AFD">
      <w:pPr>
        <w:pStyle w:val="ListParagraph"/>
        <w:numPr>
          <w:ilvl w:val="0"/>
          <w:numId w:val="14"/>
        </w:numPr>
        <w:tabs>
          <w:tab w:val="left" w:pos="1801"/>
          <w:tab w:val="left" w:pos="1802"/>
        </w:tabs>
        <w:spacing w:before="90" w:line="206" w:lineRule="auto"/>
        <w:ind w:right="1257"/>
        <w:rPr>
          <w:sz w:val="20"/>
        </w:rPr>
      </w:pPr>
      <w:r>
        <w:rPr>
          <w:color w:val="231F20"/>
          <w:sz w:val="20"/>
        </w:rPr>
        <w:t>For the purposes of this section an offender also has the intention to cause physical or</w:t>
      </w:r>
      <w:r>
        <w:rPr>
          <w:color w:val="231F20"/>
          <w:spacing w:val="-6"/>
          <w:sz w:val="20"/>
        </w:rPr>
        <w:t xml:space="preserve"> </w:t>
      </w:r>
      <w:r>
        <w:rPr>
          <w:color w:val="231F20"/>
          <w:sz w:val="20"/>
        </w:rPr>
        <w:t>mental</w:t>
      </w:r>
      <w:r>
        <w:rPr>
          <w:color w:val="231F20"/>
          <w:spacing w:val="-6"/>
          <w:sz w:val="20"/>
        </w:rPr>
        <w:t xml:space="preserve"> </w:t>
      </w:r>
      <w:r>
        <w:rPr>
          <w:color w:val="231F20"/>
          <w:sz w:val="20"/>
        </w:rPr>
        <w:t>harm</w:t>
      </w:r>
      <w:r>
        <w:rPr>
          <w:color w:val="231F20"/>
          <w:spacing w:val="-5"/>
          <w:sz w:val="20"/>
        </w:rPr>
        <w:t xml:space="preserve"> </w:t>
      </w:r>
      <w:r>
        <w:rPr>
          <w:color w:val="231F20"/>
          <w:sz w:val="20"/>
        </w:rPr>
        <w:t>to</w:t>
      </w:r>
      <w:r>
        <w:rPr>
          <w:color w:val="231F20"/>
          <w:spacing w:val="-6"/>
          <w:sz w:val="20"/>
        </w:rPr>
        <w:t xml:space="preserve"> </w:t>
      </w:r>
      <w:r>
        <w:rPr>
          <w:color w:val="231F20"/>
          <w:sz w:val="20"/>
        </w:rPr>
        <w:t>the</w:t>
      </w:r>
      <w:r>
        <w:rPr>
          <w:color w:val="231F20"/>
          <w:spacing w:val="-5"/>
          <w:sz w:val="20"/>
        </w:rPr>
        <w:t xml:space="preserve"> </w:t>
      </w:r>
      <w:r>
        <w:rPr>
          <w:color w:val="231F20"/>
          <w:sz w:val="20"/>
        </w:rPr>
        <w:t>victim,</w:t>
      </w:r>
      <w:r>
        <w:rPr>
          <w:color w:val="231F20"/>
          <w:spacing w:val="-6"/>
          <w:sz w:val="20"/>
        </w:rPr>
        <w:t xml:space="preserve"> </w:t>
      </w:r>
      <w:r>
        <w:rPr>
          <w:color w:val="231F20"/>
          <w:sz w:val="20"/>
        </w:rPr>
        <w:t>including</w:t>
      </w:r>
      <w:r>
        <w:rPr>
          <w:color w:val="231F20"/>
          <w:spacing w:val="-5"/>
          <w:sz w:val="20"/>
        </w:rPr>
        <w:t xml:space="preserve"> </w:t>
      </w:r>
      <w:r>
        <w:rPr>
          <w:color w:val="231F20"/>
          <w:sz w:val="20"/>
        </w:rPr>
        <w:t>self-harm,</w:t>
      </w:r>
      <w:r>
        <w:rPr>
          <w:color w:val="231F20"/>
          <w:spacing w:val="-6"/>
          <w:sz w:val="20"/>
        </w:rPr>
        <w:t xml:space="preserve"> </w:t>
      </w:r>
      <w:r>
        <w:rPr>
          <w:color w:val="231F20"/>
          <w:sz w:val="20"/>
        </w:rPr>
        <w:t>or</w:t>
      </w:r>
      <w:r>
        <w:rPr>
          <w:color w:val="231F20"/>
          <w:spacing w:val="-5"/>
          <w:sz w:val="20"/>
        </w:rPr>
        <w:t xml:space="preserve"> </w:t>
      </w:r>
      <w:r>
        <w:rPr>
          <w:color w:val="231F20"/>
          <w:sz w:val="20"/>
        </w:rPr>
        <w:t>to</w:t>
      </w:r>
      <w:r>
        <w:rPr>
          <w:color w:val="231F20"/>
          <w:spacing w:val="-6"/>
          <w:sz w:val="20"/>
        </w:rPr>
        <w:t xml:space="preserve"> </w:t>
      </w:r>
      <w:r>
        <w:rPr>
          <w:color w:val="231F20"/>
          <w:sz w:val="20"/>
        </w:rPr>
        <w:t>arouse</w:t>
      </w:r>
      <w:r>
        <w:rPr>
          <w:color w:val="231F20"/>
          <w:spacing w:val="-5"/>
          <w:sz w:val="20"/>
        </w:rPr>
        <w:t xml:space="preserve"> </w:t>
      </w:r>
      <w:r>
        <w:rPr>
          <w:color w:val="231F20"/>
          <w:sz w:val="20"/>
        </w:rPr>
        <w:t>apprehension</w:t>
      </w:r>
      <w:r>
        <w:rPr>
          <w:color w:val="231F20"/>
          <w:spacing w:val="-6"/>
          <w:sz w:val="20"/>
        </w:rPr>
        <w:t xml:space="preserve"> </w:t>
      </w:r>
      <w:r>
        <w:rPr>
          <w:color w:val="231F20"/>
          <w:sz w:val="20"/>
        </w:rPr>
        <w:t>or</w:t>
      </w:r>
      <w:r>
        <w:rPr>
          <w:color w:val="231F20"/>
          <w:spacing w:val="-5"/>
          <w:sz w:val="20"/>
        </w:rPr>
        <w:t xml:space="preserve"> </w:t>
      </w:r>
      <w:r>
        <w:rPr>
          <w:color w:val="231F20"/>
          <w:sz w:val="20"/>
        </w:rPr>
        <w:t>fear</w:t>
      </w:r>
      <w:r>
        <w:rPr>
          <w:color w:val="231F20"/>
          <w:spacing w:val="-6"/>
          <w:sz w:val="20"/>
        </w:rPr>
        <w:t xml:space="preserve"> </w:t>
      </w:r>
      <w:r>
        <w:rPr>
          <w:color w:val="231F20"/>
          <w:sz w:val="20"/>
        </w:rPr>
        <w:t>in the</w:t>
      </w:r>
      <w:r>
        <w:rPr>
          <w:color w:val="231F20"/>
          <w:spacing w:val="-3"/>
          <w:sz w:val="20"/>
        </w:rPr>
        <w:t xml:space="preserve"> </w:t>
      </w:r>
      <w:r>
        <w:rPr>
          <w:color w:val="231F20"/>
          <w:sz w:val="20"/>
        </w:rPr>
        <w:t>victim</w:t>
      </w:r>
      <w:r>
        <w:rPr>
          <w:color w:val="231F20"/>
          <w:spacing w:val="-3"/>
          <w:sz w:val="20"/>
        </w:rPr>
        <w:t xml:space="preserve"> </w:t>
      </w:r>
      <w:r>
        <w:rPr>
          <w:color w:val="231F20"/>
          <w:sz w:val="20"/>
        </w:rPr>
        <w:t>for</w:t>
      </w:r>
      <w:r>
        <w:rPr>
          <w:color w:val="231F20"/>
          <w:spacing w:val="-3"/>
          <w:sz w:val="20"/>
        </w:rPr>
        <w:t xml:space="preserve"> </w:t>
      </w:r>
      <w:r>
        <w:rPr>
          <w:color w:val="231F20"/>
          <w:sz w:val="20"/>
        </w:rPr>
        <w:t>his</w:t>
      </w:r>
      <w:r>
        <w:rPr>
          <w:color w:val="231F20"/>
          <w:spacing w:val="-2"/>
          <w:sz w:val="20"/>
        </w:rPr>
        <w:t xml:space="preserve"> </w:t>
      </w:r>
      <w:r>
        <w:rPr>
          <w:color w:val="231F20"/>
          <w:sz w:val="20"/>
        </w:rPr>
        <w:t>or</w:t>
      </w:r>
      <w:r>
        <w:rPr>
          <w:color w:val="231F20"/>
          <w:spacing w:val="-3"/>
          <w:sz w:val="20"/>
        </w:rPr>
        <w:t xml:space="preserve"> </w:t>
      </w:r>
      <w:r>
        <w:rPr>
          <w:color w:val="231F20"/>
          <w:sz w:val="20"/>
        </w:rPr>
        <w:t>her</w:t>
      </w:r>
      <w:r>
        <w:rPr>
          <w:color w:val="231F20"/>
          <w:spacing w:val="-3"/>
          <w:sz w:val="20"/>
        </w:rPr>
        <w:t xml:space="preserve"> </w:t>
      </w:r>
      <w:r>
        <w:rPr>
          <w:color w:val="231F20"/>
          <w:sz w:val="20"/>
        </w:rPr>
        <w:t>own</w:t>
      </w:r>
      <w:r>
        <w:rPr>
          <w:color w:val="231F20"/>
          <w:spacing w:val="-2"/>
          <w:sz w:val="20"/>
        </w:rPr>
        <w:t xml:space="preserve"> </w:t>
      </w:r>
      <w:r>
        <w:rPr>
          <w:color w:val="231F20"/>
          <w:sz w:val="20"/>
        </w:rPr>
        <w:t>safety</w:t>
      </w:r>
      <w:r>
        <w:rPr>
          <w:color w:val="231F20"/>
          <w:spacing w:val="-3"/>
          <w:sz w:val="20"/>
        </w:rPr>
        <w:t xml:space="preserve"> </w:t>
      </w:r>
      <w:r>
        <w:rPr>
          <w:color w:val="231F20"/>
          <w:sz w:val="20"/>
        </w:rPr>
        <w:t>or</w:t>
      </w:r>
      <w:r>
        <w:rPr>
          <w:color w:val="231F20"/>
          <w:spacing w:val="-3"/>
          <w:sz w:val="20"/>
        </w:rPr>
        <w:t xml:space="preserve"> </w:t>
      </w:r>
      <w:r>
        <w:rPr>
          <w:color w:val="231F20"/>
          <w:sz w:val="20"/>
        </w:rPr>
        <w:t>that</w:t>
      </w:r>
      <w:r>
        <w:rPr>
          <w:color w:val="231F20"/>
          <w:spacing w:val="-2"/>
          <w:sz w:val="20"/>
        </w:rPr>
        <w:t xml:space="preserve"> </w:t>
      </w:r>
      <w:r>
        <w:rPr>
          <w:color w:val="231F20"/>
          <w:sz w:val="20"/>
        </w:rPr>
        <w:t>of</w:t>
      </w:r>
      <w:r>
        <w:rPr>
          <w:color w:val="231F20"/>
          <w:spacing w:val="-3"/>
          <w:sz w:val="20"/>
        </w:rPr>
        <w:t xml:space="preserve"> </w:t>
      </w:r>
      <w:r>
        <w:rPr>
          <w:color w:val="231F20"/>
          <w:sz w:val="20"/>
        </w:rPr>
        <w:t>any</w:t>
      </w:r>
      <w:r>
        <w:rPr>
          <w:color w:val="231F20"/>
          <w:spacing w:val="-3"/>
          <w:sz w:val="20"/>
        </w:rPr>
        <w:t xml:space="preserve"> </w:t>
      </w:r>
      <w:r>
        <w:rPr>
          <w:color w:val="231F20"/>
          <w:sz w:val="20"/>
        </w:rPr>
        <w:t>other</w:t>
      </w:r>
      <w:r>
        <w:rPr>
          <w:color w:val="231F20"/>
          <w:spacing w:val="-2"/>
          <w:sz w:val="20"/>
        </w:rPr>
        <w:t xml:space="preserve"> </w:t>
      </w:r>
      <w:r>
        <w:rPr>
          <w:color w:val="231F20"/>
          <w:sz w:val="20"/>
        </w:rPr>
        <w:t>person</w:t>
      </w:r>
      <w:r>
        <w:rPr>
          <w:color w:val="231F20"/>
          <w:spacing w:val="-3"/>
          <w:sz w:val="20"/>
        </w:rPr>
        <w:t xml:space="preserve"> </w:t>
      </w:r>
      <w:r>
        <w:rPr>
          <w:color w:val="231F20"/>
          <w:spacing w:val="-4"/>
          <w:sz w:val="20"/>
        </w:rPr>
        <w:t>if—</w:t>
      </w:r>
    </w:p>
    <w:p w14:paraId="79303146" w14:textId="77777777" w:rsidR="00894070" w:rsidRDefault="009B7AFD">
      <w:pPr>
        <w:pStyle w:val="ListParagraph"/>
        <w:numPr>
          <w:ilvl w:val="1"/>
          <w:numId w:val="14"/>
        </w:numPr>
        <w:tabs>
          <w:tab w:val="left" w:pos="2198"/>
        </w:tabs>
        <w:spacing w:before="91" w:line="259" w:lineRule="exact"/>
        <w:ind w:hanging="396"/>
        <w:rPr>
          <w:sz w:val="20"/>
        </w:rPr>
      </w:pPr>
      <w:r>
        <w:rPr>
          <w:color w:val="231F20"/>
          <w:sz w:val="20"/>
        </w:rPr>
        <w:t>the</w:t>
      </w:r>
      <w:r>
        <w:rPr>
          <w:color w:val="231F20"/>
          <w:spacing w:val="-4"/>
          <w:sz w:val="20"/>
        </w:rPr>
        <w:t xml:space="preserve"> </w:t>
      </w:r>
      <w:r>
        <w:rPr>
          <w:color w:val="231F20"/>
          <w:sz w:val="20"/>
        </w:rPr>
        <w:t>offender</w:t>
      </w:r>
      <w:r>
        <w:rPr>
          <w:color w:val="231F20"/>
          <w:spacing w:val="-4"/>
          <w:sz w:val="20"/>
        </w:rPr>
        <w:t xml:space="preserve"> </w:t>
      </w:r>
      <w:r>
        <w:rPr>
          <w:color w:val="231F20"/>
          <w:sz w:val="20"/>
        </w:rPr>
        <w:t>knows</w:t>
      </w:r>
      <w:r>
        <w:rPr>
          <w:color w:val="231F20"/>
          <w:spacing w:val="-3"/>
          <w:sz w:val="20"/>
        </w:rPr>
        <w:t xml:space="preserve"> </w:t>
      </w:r>
      <w:r>
        <w:rPr>
          <w:color w:val="231F20"/>
          <w:sz w:val="20"/>
        </w:rPr>
        <w:t>that</w:t>
      </w:r>
      <w:r>
        <w:rPr>
          <w:color w:val="231F20"/>
          <w:spacing w:val="-4"/>
          <w:sz w:val="20"/>
        </w:rPr>
        <w:t xml:space="preserve"> </w:t>
      </w:r>
      <w:r>
        <w:rPr>
          <w:color w:val="231F20"/>
          <w:sz w:val="20"/>
        </w:rPr>
        <w:t>engaging</w:t>
      </w:r>
      <w:r>
        <w:rPr>
          <w:color w:val="231F20"/>
          <w:spacing w:val="-3"/>
          <w:sz w:val="20"/>
        </w:rPr>
        <w:t xml:space="preserve"> </w:t>
      </w:r>
      <w:r>
        <w:rPr>
          <w:color w:val="231F20"/>
          <w:sz w:val="20"/>
        </w:rPr>
        <w:t>in</w:t>
      </w:r>
      <w:r>
        <w:rPr>
          <w:color w:val="231F20"/>
          <w:spacing w:val="-4"/>
          <w:sz w:val="20"/>
        </w:rPr>
        <w:t xml:space="preserve"> </w:t>
      </w:r>
      <w:r>
        <w:rPr>
          <w:color w:val="231F20"/>
          <w:sz w:val="20"/>
        </w:rPr>
        <w:t>a</w:t>
      </w:r>
      <w:r>
        <w:rPr>
          <w:color w:val="231F20"/>
          <w:spacing w:val="-3"/>
          <w:sz w:val="20"/>
        </w:rPr>
        <w:t xml:space="preserve"> </w:t>
      </w:r>
      <w:r>
        <w:rPr>
          <w:color w:val="231F20"/>
          <w:sz w:val="20"/>
        </w:rPr>
        <w:t>course</w:t>
      </w:r>
      <w:r>
        <w:rPr>
          <w:color w:val="231F20"/>
          <w:spacing w:val="-4"/>
          <w:sz w:val="20"/>
        </w:rPr>
        <w:t xml:space="preserve"> </w:t>
      </w:r>
      <w:r>
        <w:rPr>
          <w:color w:val="231F20"/>
          <w:sz w:val="20"/>
        </w:rPr>
        <w:t>of</w:t>
      </w:r>
      <w:r>
        <w:rPr>
          <w:color w:val="231F20"/>
          <w:spacing w:val="-3"/>
          <w:sz w:val="20"/>
        </w:rPr>
        <w:t xml:space="preserve"> </w:t>
      </w:r>
      <w:r>
        <w:rPr>
          <w:color w:val="231F20"/>
          <w:sz w:val="20"/>
        </w:rPr>
        <w:t>conduct</w:t>
      </w:r>
      <w:r>
        <w:rPr>
          <w:color w:val="231F20"/>
          <w:spacing w:val="-4"/>
          <w:sz w:val="20"/>
        </w:rPr>
        <w:t xml:space="preserve"> </w:t>
      </w:r>
      <w:r>
        <w:rPr>
          <w:color w:val="231F20"/>
          <w:sz w:val="20"/>
        </w:rPr>
        <w:t>of</w:t>
      </w:r>
      <w:r>
        <w:rPr>
          <w:color w:val="231F20"/>
          <w:spacing w:val="-4"/>
          <w:sz w:val="20"/>
        </w:rPr>
        <w:t xml:space="preserve"> </w:t>
      </w:r>
      <w:r>
        <w:rPr>
          <w:color w:val="231F20"/>
          <w:sz w:val="20"/>
        </w:rPr>
        <w:t>that</w:t>
      </w:r>
      <w:r>
        <w:rPr>
          <w:color w:val="231F20"/>
          <w:spacing w:val="-3"/>
          <w:sz w:val="20"/>
        </w:rPr>
        <w:t xml:space="preserve"> </w:t>
      </w:r>
      <w:r>
        <w:rPr>
          <w:color w:val="231F20"/>
          <w:sz w:val="20"/>
        </w:rPr>
        <w:t>kind</w:t>
      </w:r>
      <w:r>
        <w:rPr>
          <w:color w:val="231F20"/>
          <w:spacing w:val="-4"/>
          <w:sz w:val="20"/>
        </w:rPr>
        <w:t xml:space="preserve"> </w:t>
      </w:r>
      <w:r>
        <w:rPr>
          <w:color w:val="231F20"/>
          <w:sz w:val="20"/>
        </w:rPr>
        <w:t>would</w:t>
      </w:r>
      <w:r>
        <w:rPr>
          <w:color w:val="231F20"/>
          <w:spacing w:val="-3"/>
          <w:sz w:val="20"/>
        </w:rPr>
        <w:t xml:space="preserve"> </w:t>
      </w:r>
      <w:r>
        <w:rPr>
          <w:color w:val="231F20"/>
          <w:sz w:val="20"/>
        </w:rPr>
        <w:t>be</w:t>
      </w:r>
    </w:p>
    <w:p w14:paraId="48DF411E" w14:textId="77777777" w:rsidR="00894070" w:rsidRDefault="009B7AFD">
      <w:pPr>
        <w:pStyle w:val="BodyText"/>
        <w:spacing w:line="259" w:lineRule="exact"/>
        <w:ind w:left="2197"/>
      </w:pPr>
      <w:r>
        <w:rPr>
          <w:color w:val="231F20"/>
        </w:rPr>
        <w:t>likely to cause such harm or arouse such apprehension or fear; or</w:t>
      </w:r>
    </w:p>
    <w:p w14:paraId="37D1EAF3" w14:textId="77777777" w:rsidR="00894070" w:rsidRDefault="009B7AFD">
      <w:pPr>
        <w:pStyle w:val="ListParagraph"/>
        <w:numPr>
          <w:ilvl w:val="1"/>
          <w:numId w:val="14"/>
        </w:numPr>
        <w:tabs>
          <w:tab w:val="left" w:pos="2198"/>
        </w:tabs>
        <w:spacing w:before="115" w:line="206" w:lineRule="auto"/>
        <w:ind w:right="1375" w:hanging="396"/>
        <w:rPr>
          <w:sz w:val="20"/>
        </w:rPr>
      </w:pPr>
      <w:r>
        <w:rPr>
          <w:color w:val="231F20"/>
          <w:sz w:val="20"/>
        </w:rPr>
        <w:t xml:space="preserve">the offender in all the particular circumstances ought to </w:t>
      </w:r>
      <w:r>
        <w:rPr>
          <w:color w:val="231F20"/>
          <w:spacing w:val="-3"/>
          <w:sz w:val="20"/>
        </w:rPr>
        <w:t xml:space="preserve">have </w:t>
      </w:r>
      <w:r>
        <w:rPr>
          <w:color w:val="231F20"/>
          <w:sz w:val="20"/>
        </w:rPr>
        <w:t>understood that engaging</w:t>
      </w:r>
      <w:r>
        <w:rPr>
          <w:color w:val="231F20"/>
          <w:spacing w:val="-6"/>
          <w:sz w:val="20"/>
        </w:rPr>
        <w:t xml:space="preserve"> </w:t>
      </w:r>
      <w:r>
        <w:rPr>
          <w:color w:val="231F20"/>
          <w:sz w:val="20"/>
        </w:rPr>
        <w:t>in</w:t>
      </w:r>
      <w:r>
        <w:rPr>
          <w:color w:val="231F20"/>
          <w:spacing w:val="-5"/>
          <w:sz w:val="20"/>
        </w:rPr>
        <w:t xml:space="preserve"> </w:t>
      </w:r>
      <w:r>
        <w:rPr>
          <w:color w:val="231F20"/>
          <w:sz w:val="20"/>
        </w:rPr>
        <w:t>a</w:t>
      </w:r>
      <w:r>
        <w:rPr>
          <w:color w:val="231F20"/>
          <w:spacing w:val="-6"/>
          <w:sz w:val="20"/>
        </w:rPr>
        <w:t xml:space="preserve"> </w:t>
      </w:r>
      <w:r>
        <w:rPr>
          <w:color w:val="231F20"/>
          <w:sz w:val="20"/>
        </w:rPr>
        <w:t>course</w:t>
      </w:r>
      <w:r>
        <w:rPr>
          <w:color w:val="231F20"/>
          <w:spacing w:val="-5"/>
          <w:sz w:val="20"/>
        </w:rPr>
        <w:t xml:space="preserve"> </w:t>
      </w:r>
      <w:r>
        <w:rPr>
          <w:color w:val="231F20"/>
          <w:sz w:val="20"/>
        </w:rPr>
        <w:t>of</w:t>
      </w:r>
      <w:r>
        <w:rPr>
          <w:color w:val="231F20"/>
          <w:spacing w:val="-5"/>
          <w:sz w:val="20"/>
        </w:rPr>
        <w:t xml:space="preserve"> </w:t>
      </w:r>
      <w:r>
        <w:rPr>
          <w:color w:val="231F20"/>
          <w:sz w:val="20"/>
        </w:rPr>
        <w:t>conduct</w:t>
      </w:r>
      <w:r>
        <w:rPr>
          <w:color w:val="231F20"/>
          <w:spacing w:val="-6"/>
          <w:sz w:val="20"/>
        </w:rPr>
        <w:t xml:space="preserve"> </w:t>
      </w:r>
      <w:r>
        <w:rPr>
          <w:color w:val="231F20"/>
          <w:sz w:val="20"/>
        </w:rPr>
        <w:t>of</w:t>
      </w:r>
      <w:r>
        <w:rPr>
          <w:color w:val="231F20"/>
          <w:spacing w:val="-5"/>
          <w:sz w:val="20"/>
        </w:rPr>
        <w:t xml:space="preserve"> </w:t>
      </w:r>
      <w:r>
        <w:rPr>
          <w:color w:val="231F20"/>
          <w:sz w:val="20"/>
        </w:rPr>
        <w:t>that</w:t>
      </w:r>
      <w:r>
        <w:rPr>
          <w:color w:val="231F20"/>
          <w:spacing w:val="-5"/>
          <w:sz w:val="20"/>
        </w:rPr>
        <w:t xml:space="preserve"> </w:t>
      </w:r>
      <w:r>
        <w:rPr>
          <w:color w:val="231F20"/>
          <w:sz w:val="20"/>
        </w:rPr>
        <w:t>kind</w:t>
      </w:r>
      <w:r>
        <w:rPr>
          <w:color w:val="231F20"/>
          <w:spacing w:val="-6"/>
          <w:sz w:val="20"/>
        </w:rPr>
        <w:t xml:space="preserve"> </w:t>
      </w:r>
      <w:r>
        <w:rPr>
          <w:color w:val="231F20"/>
          <w:sz w:val="20"/>
        </w:rPr>
        <w:t>would</w:t>
      </w:r>
      <w:r>
        <w:rPr>
          <w:color w:val="231F20"/>
          <w:spacing w:val="-5"/>
          <w:sz w:val="20"/>
        </w:rPr>
        <w:t xml:space="preserve"> </w:t>
      </w:r>
      <w:r>
        <w:rPr>
          <w:color w:val="231F20"/>
          <w:sz w:val="20"/>
        </w:rPr>
        <w:t>be</w:t>
      </w:r>
      <w:r>
        <w:rPr>
          <w:color w:val="231F20"/>
          <w:spacing w:val="-5"/>
          <w:sz w:val="20"/>
        </w:rPr>
        <w:t xml:space="preserve"> </w:t>
      </w:r>
      <w:r>
        <w:rPr>
          <w:color w:val="231F20"/>
          <w:sz w:val="20"/>
        </w:rPr>
        <w:t>likely</w:t>
      </w:r>
      <w:r>
        <w:rPr>
          <w:color w:val="231F20"/>
          <w:spacing w:val="-6"/>
          <w:sz w:val="20"/>
        </w:rPr>
        <w:t xml:space="preserve"> </w:t>
      </w:r>
      <w:r>
        <w:rPr>
          <w:color w:val="231F20"/>
          <w:sz w:val="20"/>
        </w:rPr>
        <w:t>to</w:t>
      </w:r>
      <w:r>
        <w:rPr>
          <w:color w:val="231F20"/>
          <w:spacing w:val="-5"/>
          <w:sz w:val="20"/>
        </w:rPr>
        <w:t xml:space="preserve"> </w:t>
      </w:r>
      <w:r>
        <w:rPr>
          <w:color w:val="231F20"/>
          <w:sz w:val="20"/>
        </w:rPr>
        <w:t>cause</w:t>
      </w:r>
      <w:r>
        <w:rPr>
          <w:color w:val="231F20"/>
          <w:spacing w:val="-6"/>
          <w:sz w:val="20"/>
        </w:rPr>
        <w:t xml:space="preserve"> </w:t>
      </w:r>
      <w:r>
        <w:rPr>
          <w:color w:val="231F20"/>
          <w:sz w:val="20"/>
        </w:rPr>
        <w:t>such</w:t>
      </w:r>
      <w:r>
        <w:rPr>
          <w:color w:val="231F20"/>
          <w:spacing w:val="-5"/>
          <w:sz w:val="20"/>
        </w:rPr>
        <w:t xml:space="preserve"> </w:t>
      </w:r>
      <w:r>
        <w:rPr>
          <w:color w:val="231F20"/>
          <w:sz w:val="20"/>
        </w:rPr>
        <w:t>harm or</w:t>
      </w:r>
      <w:r>
        <w:rPr>
          <w:color w:val="231F20"/>
          <w:spacing w:val="-4"/>
          <w:sz w:val="20"/>
        </w:rPr>
        <w:t xml:space="preserve"> </w:t>
      </w:r>
      <w:r>
        <w:rPr>
          <w:color w:val="231F20"/>
          <w:sz w:val="20"/>
        </w:rPr>
        <w:t>arouse</w:t>
      </w:r>
      <w:r>
        <w:rPr>
          <w:color w:val="231F20"/>
          <w:spacing w:val="-4"/>
          <w:sz w:val="20"/>
        </w:rPr>
        <w:t xml:space="preserve"> </w:t>
      </w:r>
      <w:r>
        <w:rPr>
          <w:color w:val="231F20"/>
          <w:sz w:val="20"/>
        </w:rPr>
        <w:t>such</w:t>
      </w:r>
      <w:r>
        <w:rPr>
          <w:color w:val="231F20"/>
          <w:spacing w:val="-3"/>
          <w:sz w:val="20"/>
        </w:rPr>
        <w:t xml:space="preserve"> </w:t>
      </w:r>
      <w:r>
        <w:rPr>
          <w:color w:val="231F20"/>
          <w:sz w:val="20"/>
        </w:rPr>
        <w:t>apprehension</w:t>
      </w:r>
      <w:r>
        <w:rPr>
          <w:color w:val="231F20"/>
          <w:spacing w:val="-4"/>
          <w:sz w:val="20"/>
        </w:rPr>
        <w:t xml:space="preserve"> </w:t>
      </w:r>
      <w:r>
        <w:rPr>
          <w:color w:val="231F20"/>
          <w:sz w:val="20"/>
        </w:rPr>
        <w:t>or</w:t>
      </w:r>
      <w:r>
        <w:rPr>
          <w:color w:val="231F20"/>
          <w:spacing w:val="-3"/>
          <w:sz w:val="20"/>
        </w:rPr>
        <w:t xml:space="preserve"> </w:t>
      </w:r>
      <w:r>
        <w:rPr>
          <w:color w:val="231F20"/>
          <w:sz w:val="20"/>
        </w:rPr>
        <w:t>fear</w:t>
      </w:r>
      <w:r>
        <w:rPr>
          <w:color w:val="231F20"/>
          <w:spacing w:val="-4"/>
          <w:sz w:val="20"/>
        </w:rPr>
        <w:t xml:space="preserve"> </w:t>
      </w:r>
      <w:r>
        <w:rPr>
          <w:color w:val="231F20"/>
          <w:sz w:val="20"/>
        </w:rPr>
        <w:t>and</w:t>
      </w:r>
      <w:r>
        <w:rPr>
          <w:color w:val="231F20"/>
          <w:spacing w:val="-3"/>
          <w:sz w:val="20"/>
        </w:rPr>
        <w:t xml:space="preserve"> </w:t>
      </w:r>
      <w:r>
        <w:rPr>
          <w:color w:val="231F20"/>
          <w:sz w:val="20"/>
        </w:rPr>
        <w:t>it</w:t>
      </w:r>
      <w:r>
        <w:rPr>
          <w:color w:val="231F20"/>
          <w:spacing w:val="-4"/>
          <w:sz w:val="20"/>
        </w:rPr>
        <w:t xml:space="preserve"> </w:t>
      </w:r>
      <w:r>
        <w:rPr>
          <w:color w:val="231F20"/>
          <w:sz w:val="20"/>
        </w:rPr>
        <w:t>actually</w:t>
      </w:r>
      <w:r>
        <w:rPr>
          <w:color w:val="231F20"/>
          <w:spacing w:val="-3"/>
          <w:sz w:val="20"/>
        </w:rPr>
        <w:t xml:space="preserve"> </w:t>
      </w:r>
      <w:r>
        <w:rPr>
          <w:color w:val="231F20"/>
          <w:sz w:val="20"/>
        </w:rPr>
        <w:t>did</w:t>
      </w:r>
      <w:r>
        <w:rPr>
          <w:color w:val="231F20"/>
          <w:spacing w:val="-4"/>
          <w:sz w:val="20"/>
        </w:rPr>
        <w:t xml:space="preserve"> </w:t>
      </w:r>
      <w:r>
        <w:rPr>
          <w:color w:val="231F20"/>
          <w:spacing w:val="-3"/>
          <w:sz w:val="20"/>
        </w:rPr>
        <w:t xml:space="preserve">have </w:t>
      </w:r>
      <w:r>
        <w:rPr>
          <w:color w:val="231F20"/>
          <w:sz w:val="20"/>
        </w:rPr>
        <w:t>that</w:t>
      </w:r>
      <w:r>
        <w:rPr>
          <w:color w:val="231F20"/>
          <w:spacing w:val="-4"/>
          <w:sz w:val="20"/>
        </w:rPr>
        <w:t xml:space="preserve"> </w:t>
      </w:r>
      <w:r>
        <w:rPr>
          <w:color w:val="231F20"/>
          <w:sz w:val="20"/>
        </w:rPr>
        <w:t>result.</w:t>
      </w:r>
    </w:p>
    <w:p w14:paraId="0B2F37F5" w14:textId="77777777" w:rsidR="00894070" w:rsidRDefault="009B7AFD">
      <w:pPr>
        <w:pStyle w:val="BodyText"/>
        <w:spacing w:before="124" w:line="206" w:lineRule="auto"/>
        <w:ind w:left="1007" w:right="1382"/>
      </w:pPr>
      <w:r>
        <w:rPr>
          <w:color w:val="231F20"/>
        </w:rPr>
        <w:t>Note that under s 21A(4A), it is a defence to a stalking charge where the accused engaged in a course of conduct ‘without malice’. For example, engaging in the normal course of lawful business, trade, profession or enterprise; or engaging in political activities or discussion. The accused bears the burden of proof in establishing this defence.</w:t>
      </w:r>
    </w:p>
    <w:p w14:paraId="2D827704" w14:textId="77777777" w:rsidR="00894070" w:rsidRDefault="00894070">
      <w:pPr>
        <w:pStyle w:val="BodyText"/>
      </w:pPr>
    </w:p>
    <w:p w14:paraId="011C9319" w14:textId="77777777" w:rsidR="00894070" w:rsidRDefault="00894070">
      <w:pPr>
        <w:pStyle w:val="BodyText"/>
      </w:pPr>
    </w:p>
    <w:p w14:paraId="4043D3DD" w14:textId="77777777" w:rsidR="00894070" w:rsidRDefault="00894070">
      <w:pPr>
        <w:pStyle w:val="BodyText"/>
      </w:pPr>
    </w:p>
    <w:p w14:paraId="05239E74" w14:textId="77777777" w:rsidR="00894070" w:rsidRDefault="00894070">
      <w:pPr>
        <w:pStyle w:val="BodyText"/>
      </w:pPr>
    </w:p>
    <w:p w14:paraId="42828CED" w14:textId="77777777" w:rsidR="00894070" w:rsidRDefault="00894070">
      <w:pPr>
        <w:pStyle w:val="BodyText"/>
      </w:pPr>
    </w:p>
    <w:p w14:paraId="25653033" w14:textId="77777777" w:rsidR="00894070" w:rsidRDefault="00894070">
      <w:pPr>
        <w:pStyle w:val="BodyText"/>
      </w:pPr>
    </w:p>
    <w:p w14:paraId="35F6CEAC" w14:textId="77777777" w:rsidR="00894070" w:rsidRDefault="00894070">
      <w:pPr>
        <w:pStyle w:val="BodyText"/>
      </w:pPr>
    </w:p>
    <w:p w14:paraId="58637486" w14:textId="77777777" w:rsidR="00894070" w:rsidRDefault="00894070">
      <w:pPr>
        <w:pStyle w:val="BodyText"/>
      </w:pPr>
    </w:p>
    <w:p w14:paraId="7A7A22ED" w14:textId="77777777" w:rsidR="00894070" w:rsidRDefault="00894070">
      <w:pPr>
        <w:pStyle w:val="BodyText"/>
      </w:pPr>
    </w:p>
    <w:p w14:paraId="3A9ACDAB" w14:textId="77777777" w:rsidR="00894070" w:rsidRDefault="00894070">
      <w:pPr>
        <w:pStyle w:val="BodyText"/>
      </w:pPr>
    </w:p>
    <w:p w14:paraId="5FD0DE6E" w14:textId="77777777" w:rsidR="00894070" w:rsidRDefault="00894070">
      <w:pPr>
        <w:pStyle w:val="BodyText"/>
      </w:pPr>
    </w:p>
    <w:p w14:paraId="6AF1FC79" w14:textId="77777777" w:rsidR="00894070" w:rsidRDefault="00894070">
      <w:pPr>
        <w:pStyle w:val="BodyText"/>
      </w:pPr>
    </w:p>
    <w:p w14:paraId="606F97FB" w14:textId="77777777" w:rsidR="00894070" w:rsidRDefault="00894070">
      <w:pPr>
        <w:pStyle w:val="BodyText"/>
      </w:pPr>
    </w:p>
    <w:p w14:paraId="342652EC" w14:textId="77777777" w:rsidR="00894070" w:rsidRDefault="00894070">
      <w:pPr>
        <w:pStyle w:val="BodyText"/>
      </w:pPr>
    </w:p>
    <w:p w14:paraId="3D48004D" w14:textId="77777777" w:rsidR="00894070" w:rsidRDefault="00894070">
      <w:pPr>
        <w:pStyle w:val="BodyText"/>
      </w:pPr>
    </w:p>
    <w:p w14:paraId="0E405847" w14:textId="77777777" w:rsidR="00894070" w:rsidRDefault="00894070">
      <w:pPr>
        <w:pStyle w:val="BodyText"/>
      </w:pPr>
    </w:p>
    <w:p w14:paraId="55874826" w14:textId="77777777" w:rsidR="00894070" w:rsidRDefault="00894070">
      <w:pPr>
        <w:pStyle w:val="BodyText"/>
      </w:pPr>
    </w:p>
    <w:p w14:paraId="41E7C806" w14:textId="77777777" w:rsidR="00894070" w:rsidRDefault="00894070">
      <w:pPr>
        <w:pStyle w:val="BodyText"/>
      </w:pPr>
    </w:p>
    <w:p w14:paraId="73F16F6F" w14:textId="77777777" w:rsidR="00894070" w:rsidRDefault="00894070">
      <w:pPr>
        <w:pStyle w:val="BodyText"/>
      </w:pPr>
    </w:p>
    <w:p w14:paraId="104CECB0" w14:textId="77777777" w:rsidR="00894070" w:rsidRDefault="00894070">
      <w:pPr>
        <w:pStyle w:val="BodyText"/>
      </w:pPr>
    </w:p>
    <w:p w14:paraId="7220DD0C" w14:textId="77777777" w:rsidR="00894070" w:rsidRDefault="00894070">
      <w:pPr>
        <w:pStyle w:val="BodyText"/>
      </w:pPr>
    </w:p>
    <w:p w14:paraId="71CD0FA4" w14:textId="77777777" w:rsidR="00894070" w:rsidRDefault="00894070">
      <w:pPr>
        <w:pStyle w:val="BodyText"/>
      </w:pPr>
    </w:p>
    <w:p w14:paraId="62DDF133" w14:textId="77777777" w:rsidR="00894070" w:rsidRDefault="00894070">
      <w:pPr>
        <w:pStyle w:val="BodyText"/>
      </w:pPr>
    </w:p>
    <w:p w14:paraId="777B1DA5" w14:textId="77777777" w:rsidR="00894070" w:rsidRDefault="00894070">
      <w:pPr>
        <w:pStyle w:val="BodyText"/>
      </w:pPr>
    </w:p>
    <w:p w14:paraId="492D4744" w14:textId="77777777" w:rsidR="00894070" w:rsidRDefault="00894070">
      <w:pPr>
        <w:pStyle w:val="BodyText"/>
      </w:pPr>
    </w:p>
    <w:p w14:paraId="6913CD26" w14:textId="77777777" w:rsidR="00894070" w:rsidRDefault="00894070">
      <w:pPr>
        <w:pStyle w:val="BodyText"/>
      </w:pPr>
    </w:p>
    <w:p w14:paraId="37B215A7" w14:textId="77777777" w:rsidR="00894070" w:rsidRDefault="00894070">
      <w:pPr>
        <w:pStyle w:val="BodyText"/>
      </w:pPr>
    </w:p>
    <w:p w14:paraId="45F58242" w14:textId="77777777" w:rsidR="00894070" w:rsidRDefault="00894070">
      <w:pPr>
        <w:pStyle w:val="BodyText"/>
      </w:pPr>
    </w:p>
    <w:p w14:paraId="7692E89A" w14:textId="77777777" w:rsidR="00894070" w:rsidRDefault="00894070">
      <w:pPr>
        <w:pStyle w:val="BodyText"/>
      </w:pPr>
    </w:p>
    <w:p w14:paraId="7CF258D9" w14:textId="77777777" w:rsidR="00894070" w:rsidRDefault="00894070">
      <w:pPr>
        <w:pStyle w:val="BodyText"/>
      </w:pPr>
    </w:p>
    <w:p w14:paraId="7847753D" w14:textId="77777777" w:rsidR="00894070" w:rsidRDefault="00894070">
      <w:pPr>
        <w:pStyle w:val="BodyText"/>
      </w:pPr>
    </w:p>
    <w:p w14:paraId="6869A177" w14:textId="77777777" w:rsidR="00894070" w:rsidRDefault="00894070">
      <w:pPr>
        <w:pStyle w:val="BodyText"/>
      </w:pPr>
    </w:p>
    <w:p w14:paraId="37643942" w14:textId="77777777" w:rsidR="00894070" w:rsidRDefault="00894070">
      <w:pPr>
        <w:pStyle w:val="BodyText"/>
      </w:pPr>
    </w:p>
    <w:p w14:paraId="1AF56974" w14:textId="77777777" w:rsidR="00894070" w:rsidRDefault="00894070">
      <w:pPr>
        <w:pStyle w:val="BodyText"/>
      </w:pPr>
    </w:p>
    <w:p w14:paraId="53DB3DC3" w14:textId="77777777" w:rsidR="00894070" w:rsidRDefault="00894070">
      <w:pPr>
        <w:pStyle w:val="BodyText"/>
      </w:pPr>
    </w:p>
    <w:p w14:paraId="1CDD4BA4" w14:textId="77777777" w:rsidR="00894070" w:rsidRDefault="00894070">
      <w:pPr>
        <w:pStyle w:val="BodyText"/>
      </w:pPr>
    </w:p>
    <w:p w14:paraId="70AB9855" w14:textId="77777777" w:rsidR="00894070" w:rsidRDefault="00894070">
      <w:pPr>
        <w:pStyle w:val="BodyText"/>
      </w:pPr>
    </w:p>
    <w:p w14:paraId="01FFF935" w14:textId="77777777" w:rsidR="00894070" w:rsidRDefault="00894070">
      <w:pPr>
        <w:pStyle w:val="BodyText"/>
      </w:pPr>
    </w:p>
    <w:p w14:paraId="54081156" w14:textId="77777777" w:rsidR="00894070" w:rsidRDefault="00894070">
      <w:pPr>
        <w:pStyle w:val="BodyText"/>
        <w:spacing w:before="7"/>
        <w:rPr>
          <w:sz w:val="13"/>
        </w:rPr>
      </w:pPr>
    </w:p>
    <w:p w14:paraId="548DFB17" w14:textId="77777777" w:rsidR="00894070" w:rsidRDefault="009B7AFD">
      <w:pPr>
        <w:pStyle w:val="Heading8"/>
        <w:spacing w:before="49"/>
        <w:ind w:right="183"/>
        <w:jc w:val="right"/>
      </w:pPr>
      <w:r>
        <w:rPr>
          <w:color w:val="EA5B50"/>
        </w:rPr>
        <w:t>191</w:t>
      </w:r>
    </w:p>
    <w:p w14:paraId="65E692F2" w14:textId="77777777" w:rsidR="00894070" w:rsidRDefault="00894070">
      <w:pPr>
        <w:jc w:val="right"/>
        <w:sectPr w:rsidR="00894070">
          <w:headerReference w:type="default" r:id="rId213"/>
          <w:pgSz w:w="11910" w:h="16840"/>
          <w:pgMar w:top="840" w:right="420" w:bottom="280" w:left="580" w:header="0" w:footer="0" w:gutter="0"/>
          <w:cols w:space="720"/>
        </w:sectPr>
      </w:pPr>
    </w:p>
    <w:p w14:paraId="59A035D7" w14:textId="77777777" w:rsidR="00894070" w:rsidRDefault="009F6793">
      <w:pPr>
        <w:pStyle w:val="BodyText"/>
        <w:rPr>
          <w:b/>
        </w:rPr>
      </w:pPr>
      <w:r>
        <w:lastRenderedPageBreak/>
        <w:pict w14:anchorId="612C4A32">
          <v:rect id="_x0000_s1037" style="position:absolute;margin-left:79.35pt;margin-top:0;width:515.9pt;height:841.9pt;z-index:251800576;mso-position-horizontal-relative:page;mso-position-vertical-relative:page" fillcolor="#ea5b50" stroked="f">
            <w10:wrap anchorx="page" anchory="page"/>
          </v:rect>
        </w:pict>
      </w:r>
    </w:p>
    <w:p w14:paraId="723E5078" w14:textId="77777777" w:rsidR="00894070" w:rsidRDefault="00894070">
      <w:pPr>
        <w:pStyle w:val="BodyText"/>
        <w:rPr>
          <w:b/>
        </w:rPr>
      </w:pPr>
    </w:p>
    <w:p w14:paraId="5BA203DA" w14:textId="77777777" w:rsidR="00894070" w:rsidRDefault="00894070">
      <w:pPr>
        <w:pStyle w:val="BodyText"/>
        <w:rPr>
          <w:b/>
        </w:rPr>
      </w:pPr>
    </w:p>
    <w:p w14:paraId="717AB090" w14:textId="77777777" w:rsidR="00894070" w:rsidRDefault="00894070">
      <w:pPr>
        <w:pStyle w:val="BodyText"/>
        <w:rPr>
          <w:b/>
        </w:rPr>
      </w:pPr>
    </w:p>
    <w:p w14:paraId="0AD47382" w14:textId="77777777" w:rsidR="00894070" w:rsidRDefault="00894070">
      <w:pPr>
        <w:pStyle w:val="BodyText"/>
        <w:rPr>
          <w:b/>
        </w:rPr>
      </w:pPr>
    </w:p>
    <w:p w14:paraId="13600AFC" w14:textId="77777777" w:rsidR="00894070" w:rsidRDefault="00894070">
      <w:pPr>
        <w:pStyle w:val="BodyText"/>
        <w:rPr>
          <w:b/>
        </w:rPr>
      </w:pPr>
    </w:p>
    <w:p w14:paraId="66922755" w14:textId="77777777" w:rsidR="00894070" w:rsidRDefault="00894070">
      <w:pPr>
        <w:pStyle w:val="BodyText"/>
        <w:rPr>
          <w:b/>
        </w:rPr>
      </w:pPr>
    </w:p>
    <w:p w14:paraId="0FFBD427" w14:textId="77777777" w:rsidR="00894070" w:rsidRDefault="00894070">
      <w:pPr>
        <w:pStyle w:val="BodyText"/>
        <w:rPr>
          <w:b/>
        </w:rPr>
      </w:pPr>
    </w:p>
    <w:p w14:paraId="4B06A1B3" w14:textId="77777777" w:rsidR="00894070" w:rsidRDefault="00894070">
      <w:pPr>
        <w:pStyle w:val="BodyText"/>
        <w:rPr>
          <w:b/>
        </w:rPr>
      </w:pPr>
    </w:p>
    <w:p w14:paraId="58763F72" w14:textId="77777777" w:rsidR="00894070" w:rsidRDefault="00894070">
      <w:pPr>
        <w:pStyle w:val="BodyText"/>
        <w:rPr>
          <w:b/>
        </w:rPr>
      </w:pPr>
    </w:p>
    <w:p w14:paraId="4B6CD613" w14:textId="77777777" w:rsidR="00894070" w:rsidRDefault="00894070">
      <w:pPr>
        <w:pStyle w:val="BodyText"/>
        <w:rPr>
          <w:b/>
        </w:rPr>
      </w:pPr>
    </w:p>
    <w:p w14:paraId="295D72B1" w14:textId="77777777" w:rsidR="00894070" w:rsidRDefault="00894070">
      <w:pPr>
        <w:pStyle w:val="BodyText"/>
        <w:rPr>
          <w:b/>
        </w:rPr>
      </w:pPr>
    </w:p>
    <w:p w14:paraId="0105B756" w14:textId="77777777" w:rsidR="00894070" w:rsidRDefault="00894070">
      <w:pPr>
        <w:pStyle w:val="BodyText"/>
        <w:rPr>
          <w:b/>
        </w:rPr>
      </w:pPr>
    </w:p>
    <w:p w14:paraId="53571936" w14:textId="77777777" w:rsidR="00894070" w:rsidRDefault="00894070">
      <w:pPr>
        <w:pStyle w:val="BodyText"/>
        <w:rPr>
          <w:b/>
        </w:rPr>
      </w:pPr>
    </w:p>
    <w:p w14:paraId="4F6F0495" w14:textId="77777777" w:rsidR="00894070" w:rsidRDefault="00894070">
      <w:pPr>
        <w:pStyle w:val="BodyText"/>
        <w:rPr>
          <w:b/>
        </w:rPr>
      </w:pPr>
    </w:p>
    <w:p w14:paraId="710FB6DF" w14:textId="77777777" w:rsidR="00894070" w:rsidRDefault="00894070">
      <w:pPr>
        <w:pStyle w:val="BodyText"/>
        <w:rPr>
          <w:b/>
        </w:rPr>
      </w:pPr>
    </w:p>
    <w:p w14:paraId="02E774B0" w14:textId="77777777" w:rsidR="00894070" w:rsidRDefault="00894070">
      <w:pPr>
        <w:pStyle w:val="BodyText"/>
        <w:rPr>
          <w:b/>
        </w:rPr>
      </w:pPr>
    </w:p>
    <w:p w14:paraId="0474382B" w14:textId="77777777" w:rsidR="00894070" w:rsidRDefault="00894070">
      <w:pPr>
        <w:pStyle w:val="BodyText"/>
        <w:rPr>
          <w:b/>
        </w:rPr>
      </w:pPr>
    </w:p>
    <w:p w14:paraId="799B6DE3" w14:textId="77777777" w:rsidR="00894070" w:rsidRDefault="00894070">
      <w:pPr>
        <w:pStyle w:val="BodyText"/>
        <w:rPr>
          <w:b/>
        </w:rPr>
      </w:pPr>
    </w:p>
    <w:p w14:paraId="5AD38B00" w14:textId="77777777" w:rsidR="00894070" w:rsidRDefault="00894070">
      <w:pPr>
        <w:pStyle w:val="BodyText"/>
        <w:rPr>
          <w:b/>
        </w:rPr>
      </w:pPr>
    </w:p>
    <w:p w14:paraId="00885F23" w14:textId="77777777" w:rsidR="00894070" w:rsidRDefault="00894070">
      <w:pPr>
        <w:pStyle w:val="BodyText"/>
        <w:rPr>
          <w:b/>
        </w:rPr>
      </w:pPr>
    </w:p>
    <w:p w14:paraId="0AB676EB" w14:textId="77777777" w:rsidR="00894070" w:rsidRDefault="00894070">
      <w:pPr>
        <w:pStyle w:val="BodyText"/>
        <w:rPr>
          <w:b/>
        </w:rPr>
      </w:pPr>
    </w:p>
    <w:p w14:paraId="14FCC781" w14:textId="77777777" w:rsidR="00894070" w:rsidRDefault="00894070">
      <w:pPr>
        <w:pStyle w:val="BodyText"/>
        <w:rPr>
          <w:b/>
        </w:rPr>
      </w:pPr>
    </w:p>
    <w:p w14:paraId="407E4C55" w14:textId="77777777" w:rsidR="00894070" w:rsidRDefault="00894070">
      <w:pPr>
        <w:pStyle w:val="BodyText"/>
        <w:rPr>
          <w:b/>
        </w:rPr>
      </w:pPr>
    </w:p>
    <w:p w14:paraId="48433E5E" w14:textId="77777777" w:rsidR="00894070" w:rsidRDefault="00894070">
      <w:pPr>
        <w:pStyle w:val="BodyText"/>
        <w:rPr>
          <w:b/>
        </w:rPr>
      </w:pPr>
    </w:p>
    <w:p w14:paraId="56BC8A71" w14:textId="77777777" w:rsidR="00894070" w:rsidRDefault="00894070">
      <w:pPr>
        <w:pStyle w:val="BodyText"/>
        <w:rPr>
          <w:b/>
        </w:rPr>
      </w:pPr>
    </w:p>
    <w:p w14:paraId="1A17F947" w14:textId="77777777" w:rsidR="00894070" w:rsidRDefault="00894070">
      <w:pPr>
        <w:pStyle w:val="BodyText"/>
        <w:rPr>
          <w:b/>
        </w:rPr>
      </w:pPr>
    </w:p>
    <w:p w14:paraId="24C2E5AC" w14:textId="77777777" w:rsidR="00894070" w:rsidRDefault="00894070">
      <w:pPr>
        <w:pStyle w:val="BodyText"/>
        <w:rPr>
          <w:b/>
        </w:rPr>
      </w:pPr>
    </w:p>
    <w:p w14:paraId="63F1B8E5" w14:textId="77777777" w:rsidR="00894070" w:rsidRDefault="00894070">
      <w:pPr>
        <w:pStyle w:val="BodyText"/>
        <w:rPr>
          <w:b/>
        </w:rPr>
      </w:pPr>
    </w:p>
    <w:p w14:paraId="4B4F18FC" w14:textId="77777777" w:rsidR="00894070" w:rsidRDefault="00894070">
      <w:pPr>
        <w:pStyle w:val="BodyText"/>
        <w:rPr>
          <w:b/>
        </w:rPr>
      </w:pPr>
    </w:p>
    <w:p w14:paraId="347E55B0" w14:textId="77777777" w:rsidR="00894070" w:rsidRDefault="00894070">
      <w:pPr>
        <w:pStyle w:val="BodyText"/>
        <w:rPr>
          <w:b/>
        </w:rPr>
      </w:pPr>
    </w:p>
    <w:p w14:paraId="6DAA081E" w14:textId="77777777" w:rsidR="00894070" w:rsidRDefault="00894070">
      <w:pPr>
        <w:pStyle w:val="BodyText"/>
        <w:rPr>
          <w:b/>
        </w:rPr>
      </w:pPr>
    </w:p>
    <w:p w14:paraId="2F06562B" w14:textId="77777777" w:rsidR="00894070" w:rsidRDefault="00894070">
      <w:pPr>
        <w:pStyle w:val="BodyText"/>
        <w:rPr>
          <w:b/>
        </w:rPr>
      </w:pPr>
    </w:p>
    <w:p w14:paraId="21247F6C" w14:textId="77777777" w:rsidR="00894070" w:rsidRDefault="00894070">
      <w:pPr>
        <w:pStyle w:val="BodyText"/>
        <w:rPr>
          <w:b/>
        </w:rPr>
      </w:pPr>
    </w:p>
    <w:p w14:paraId="103916DF" w14:textId="77777777" w:rsidR="00894070" w:rsidRDefault="00894070">
      <w:pPr>
        <w:pStyle w:val="BodyText"/>
        <w:rPr>
          <w:b/>
        </w:rPr>
      </w:pPr>
    </w:p>
    <w:p w14:paraId="792F2B2C" w14:textId="77777777" w:rsidR="00894070" w:rsidRDefault="00894070">
      <w:pPr>
        <w:pStyle w:val="BodyText"/>
        <w:rPr>
          <w:b/>
        </w:rPr>
      </w:pPr>
    </w:p>
    <w:p w14:paraId="21981FBC" w14:textId="77777777" w:rsidR="00894070" w:rsidRDefault="00894070">
      <w:pPr>
        <w:pStyle w:val="BodyText"/>
        <w:rPr>
          <w:b/>
        </w:rPr>
      </w:pPr>
    </w:p>
    <w:p w14:paraId="640646BC" w14:textId="77777777" w:rsidR="00894070" w:rsidRDefault="00894070">
      <w:pPr>
        <w:pStyle w:val="BodyText"/>
        <w:rPr>
          <w:b/>
        </w:rPr>
      </w:pPr>
    </w:p>
    <w:p w14:paraId="5FD49986" w14:textId="77777777" w:rsidR="00894070" w:rsidRDefault="00894070">
      <w:pPr>
        <w:pStyle w:val="BodyText"/>
        <w:rPr>
          <w:b/>
        </w:rPr>
      </w:pPr>
    </w:p>
    <w:p w14:paraId="7A1293DA" w14:textId="77777777" w:rsidR="00894070" w:rsidRDefault="00894070">
      <w:pPr>
        <w:pStyle w:val="BodyText"/>
        <w:rPr>
          <w:b/>
        </w:rPr>
      </w:pPr>
    </w:p>
    <w:p w14:paraId="35BEFACC" w14:textId="77777777" w:rsidR="00894070" w:rsidRDefault="00894070">
      <w:pPr>
        <w:pStyle w:val="BodyText"/>
        <w:rPr>
          <w:b/>
        </w:rPr>
      </w:pPr>
    </w:p>
    <w:p w14:paraId="7AA82D76" w14:textId="77777777" w:rsidR="00894070" w:rsidRDefault="00894070">
      <w:pPr>
        <w:pStyle w:val="BodyText"/>
        <w:rPr>
          <w:b/>
        </w:rPr>
      </w:pPr>
    </w:p>
    <w:p w14:paraId="20E50167" w14:textId="77777777" w:rsidR="00894070" w:rsidRDefault="00894070">
      <w:pPr>
        <w:pStyle w:val="BodyText"/>
        <w:rPr>
          <w:b/>
        </w:rPr>
      </w:pPr>
    </w:p>
    <w:p w14:paraId="0C7397E0" w14:textId="77777777" w:rsidR="00894070" w:rsidRDefault="00894070">
      <w:pPr>
        <w:pStyle w:val="BodyText"/>
        <w:rPr>
          <w:b/>
        </w:rPr>
      </w:pPr>
    </w:p>
    <w:p w14:paraId="49961C7B" w14:textId="77777777" w:rsidR="00894070" w:rsidRDefault="00894070">
      <w:pPr>
        <w:pStyle w:val="BodyText"/>
        <w:rPr>
          <w:b/>
        </w:rPr>
      </w:pPr>
    </w:p>
    <w:p w14:paraId="1ECF65B0" w14:textId="77777777" w:rsidR="00894070" w:rsidRDefault="00894070">
      <w:pPr>
        <w:pStyle w:val="BodyText"/>
        <w:rPr>
          <w:b/>
        </w:rPr>
      </w:pPr>
    </w:p>
    <w:p w14:paraId="157CE3F6" w14:textId="77777777" w:rsidR="00894070" w:rsidRDefault="00894070">
      <w:pPr>
        <w:pStyle w:val="BodyText"/>
        <w:rPr>
          <w:b/>
        </w:rPr>
      </w:pPr>
    </w:p>
    <w:p w14:paraId="734211BB" w14:textId="77777777" w:rsidR="00894070" w:rsidRDefault="00894070">
      <w:pPr>
        <w:pStyle w:val="BodyText"/>
        <w:rPr>
          <w:b/>
        </w:rPr>
      </w:pPr>
    </w:p>
    <w:p w14:paraId="48AF2A12" w14:textId="77777777" w:rsidR="00894070" w:rsidRDefault="00894070">
      <w:pPr>
        <w:pStyle w:val="BodyText"/>
        <w:rPr>
          <w:b/>
        </w:rPr>
      </w:pPr>
    </w:p>
    <w:p w14:paraId="02EDC730" w14:textId="77777777" w:rsidR="00894070" w:rsidRDefault="00894070">
      <w:pPr>
        <w:pStyle w:val="BodyText"/>
        <w:rPr>
          <w:b/>
        </w:rPr>
      </w:pPr>
    </w:p>
    <w:p w14:paraId="76FF3D53" w14:textId="77777777" w:rsidR="00894070" w:rsidRDefault="00894070">
      <w:pPr>
        <w:pStyle w:val="BodyText"/>
        <w:rPr>
          <w:b/>
        </w:rPr>
      </w:pPr>
    </w:p>
    <w:p w14:paraId="38E07E89" w14:textId="77777777" w:rsidR="00894070" w:rsidRDefault="00894070">
      <w:pPr>
        <w:pStyle w:val="BodyText"/>
        <w:spacing w:before="10"/>
        <w:rPr>
          <w:b/>
          <w:sz w:val="14"/>
        </w:rPr>
      </w:pPr>
    </w:p>
    <w:p w14:paraId="17630F09" w14:textId="77777777" w:rsidR="00894070" w:rsidRDefault="009B7AFD">
      <w:pPr>
        <w:spacing w:before="49"/>
        <w:ind w:left="140"/>
        <w:rPr>
          <w:b/>
          <w:sz w:val="24"/>
        </w:rPr>
      </w:pPr>
      <w:r>
        <w:rPr>
          <w:b/>
          <w:color w:val="EA5B50"/>
          <w:sz w:val="24"/>
        </w:rPr>
        <w:t>192</w:t>
      </w:r>
    </w:p>
    <w:p w14:paraId="4E4487C3" w14:textId="77777777" w:rsidR="00894070" w:rsidRDefault="00894070">
      <w:pPr>
        <w:rPr>
          <w:sz w:val="24"/>
        </w:rPr>
        <w:sectPr w:rsidR="00894070">
          <w:headerReference w:type="even" r:id="rId214"/>
          <w:pgSz w:w="11910" w:h="16840"/>
          <w:pgMar w:top="1580" w:right="420" w:bottom="280" w:left="580" w:header="0" w:footer="0" w:gutter="0"/>
          <w:cols w:space="720"/>
        </w:sectPr>
      </w:pPr>
    </w:p>
    <w:p w14:paraId="36192639" w14:textId="77777777" w:rsidR="00894070" w:rsidRDefault="009F6793">
      <w:pPr>
        <w:pStyle w:val="BodyText"/>
        <w:rPr>
          <w:b/>
        </w:rPr>
      </w:pPr>
      <w:r>
        <w:lastRenderedPageBreak/>
        <w:pict w14:anchorId="7B27580C">
          <v:rect id="_x0000_s1036" style="position:absolute;margin-left:0;margin-top:0;width:595.3pt;height:841.9pt;z-index:-251484160;mso-position-horizontal-relative:page;mso-position-vertical-relative:page" fillcolor="#ea5b50" stroked="f">
            <w10:wrap anchorx="page" anchory="page"/>
          </v:rect>
        </w:pict>
      </w:r>
    </w:p>
    <w:p w14:paraId="7DDC1F23" w14:textId="77777777" w:rsidR="00894070" w:rsidRDefault="00894070">
      <w:pPr>
        <w:pStyle w:val="BodyText"/>
        <w:rPr>
          <w:b/>
        </w:rPr>
      </w:pPr>
    </w:p>
    <w:p w14:paraId="00A37808" w14:textId="77777777" w:rsidR="00894070" w:rsidRDefault="00894070">
      <w:pPr>
        <w:pStyle w:val="BodyText"/>
        <w:rPr>
          <w:b/>
        </w:rPr>
      </w:pPr>
    </w:p>
    <w:p w14:paraId="1A407731" w14:textId="77777777" w:rsidR="00894070" w:rsidRDefault="00894070">
      <w:pPr>
        <w:pStyle w:val="BodyText"/>
        <w:rPr>
          <w:b/>
        </w:rPr>
      </w:pPr>
    </w:p>
    <w:p w14:paraId="362953B1" w14:textId="77777777" w:rsidR="00894070" w:rsidRDefault="00894070">
      <w:pPr>
        <w:pStyle w:val="BodyText"/>
        <w:rPr>
          <w:b/>
        </w:rPr>
      </w:pPr>
    </w:p>
    <w:p w14:paraId="6A7C77D1" w14:textId="77777777" w:rsidR="00894070" w:rsidRDefault="00894070">
      <w:pPr>
        <w:pStyle w:val="BodyText"/>
        <w:rPr>
          <w:b/>
        </w:rPr>
      </w:pPr>
    </w:p>
    <w:p w14:paraId="440D6C3C" w14:textId="77777777" w:rsidR="00894070" w:rsidRDefault="00894070">
      <w:pPr>
        <w:pStyle w:val="BodyText"/>
        <w:rPr>
          <w:b/>
        </w:rPr>
      </w:pPr>
    </w:p>
    <w:p w14:paraId="51FE156F" w14:textId="77777777" w:rsidR="00894070" w:rsidRDefault="00894070">
      <w:pPr>
        <w:pStyle w:val="BodyText"/>
        <w:rPr>
          <w:b/>
        </w:rPr>
      </w:pPr>
    </w:p>
    <w:p w14:paraId="1B8922C9" w14:textId="77777777" w:rsidR="00894070" w:rsidRDefault="00894070">
      <w:pPr>
        <w:pStyle w:val="BodyText"/>
        <w:rPr>
          <w:b/>
        </w:rPr>
      </w:pPr>
    </w:p>
    <w:p w14:paraId="77083C3A" w14:textId="77777777" w:rsidR="00894070" w:rsidRDefault="00894070">
      <w:pPr>
        <w:pStyle w:val="BodyText"/>
        <w:rPr>
          <w:b/>
        </w:rPr>
      </w:pPr>
    </w:p>
    <w:p w14:paraId="11FB7AA7" w14:textId="77777777" w:rsidR="00894070" w:rsidRDefault="00894070">
      <w:pPr>
        <w:pStyle w:val="BodyText"/>
        <w:rPr>
          <w:b/>
        </w:rPr>
      </w:pPr>
    </w:p>
    <w:p w14:paraId="779D1CA0" w14:textId="77777777" w:rsidR="00894070" w:rsidRDefault="00894070">
      <w:pPr>
        <w:pStyle w:val="BodyText"/>
        <w:rPr>
          <w:b/>
        </w:rPr>
      </w:pPr>
    </w:p>
    <w:p w14:paraId="61601CA9" w14:textId="77777777" w:rsidR="00894070" w:rsidRDefault="00894070">
      <w:pPr>
        <w:pStyle w:val="BodyText"/>
        <w:rPr>
          <w:b/>
        </w:rPr>
      </w:pPr>
    </w:p>
    <w:p w14:paraId="3F386705" w14:textId="77777777" w:rsidR="00894070" w:rsidRDefault="00894070">
      <w:pPr>
        <w:pStyle w:val="BodyText"/>
        <w:rPr>
          <w:b/>
        </w:rPr>
      </w:pPr>
    </w:p>
    <w:p w14:paraId="71D50CAC" w14:textId="77777777" w:rsidR="00894070" w:rsidRDefault="00894070">
      <w:pPr>
        <w:pStyle w:val="BodyText"/>
        <w:rPr>
          <w:b/>
        </w:rPr>
      </w:pPr>
    </w:p>
    <w:p w14:paraId="155404DE" w14:textId="77777777" w:rsidR="00894070" w:rsidRDefault="00894070">
      <w:pPr>
        <w:pStyle w:val="BodyText"/>
        <w:spacing w:before="13"/>
        <w:rPr>
          <w:b/>
          <w:sz w:val="24"/>
        </w:rPr>
      </w:pPr>
    </w:p>
    <w:p w14:paraId="534B7F28" w14:textId="77777777" w:rsidR="00894070" w:rsidRDefault="009B7AFD">
      <w:pPr>
        <w:spacing w:line="1134" w:lineRule="exact"/>
        <w:ind w:left="1007"/>
        <w:rPr>
          <w:rFonts w:ascii="Raleway ExtraBold"/>
          <w:b/>
          <w:sz w:val="88"/>
        </w:rPr>
      </w:pPr>
      <w:r>
        <w:rPr>
          <w:rFonts w:ascii="Raleway ExtraBold"/>
          <w:b/>
          <w:color w:val="FFFFFF"/>
          <w:sz w:val="88"/>
        </w:rPr>
        <w:t>Bibliography</w:t>
      </w:r>
    </w:p>
    <w:p w14:paraId="1259F874" w14:textId="77777777" w:rsidR="00894070" w:rsidRDefault="00894070">
      <w:pPr>
        <w:spacing w:line="1134" w:lineRule="exact"/>
        <w:rPr>
          <w:rFonts w:ascii="Raleway ExtraBold"/>
          <w:sz w:val="88"/>
        </w:rPr>
        <w:sectPr w:rsidR="00894070">
          <w:headerReference w:type="even" r:id="rId215"/>
          <w:headerReference w:type="default" r:id="rId216"/>
          <w:pgSz w:w="11910" w:h="16840"/>
          <w:pgMar w:top="1580" w:right="420" w:bottom="280" w:left="580" w:header="0" w:footer="0" w:gutter="0"/>
          <w:cols w:space="720"/>
        </w:sectPr>
      </w:pPr>
    </w:p>
    <w:p w14:paraId="209D223B" w14:textId="77777777" w:rsidR="00894070" w:rsidRDefault="009F6793">
      <w:pPr>
        <w:pStyle w:val="BodyText"/>
        <w:rPr>
          <w:rFonts w:ascii="Raleway ExtraBold"/>
          <w:b/>
        </w:rPr>
      </w:pPr>
      <w:r>
        <w:lastRenderedPageBreak/>
        <w:pict w14:anchorId="2F69B62D">
          <v:rect id="_x0000_s1035" style="position:absolute;margin-left:0;margin-top:99.2pt;width:14.15pt;height:85.75pt;z-index:251801600;mso-position-horizontal-relative:page;mso-position-vertical-relative:page" fillcolor="#ea5b50" stroked="f">
            <w10:wrap anchorx="page" anchory="page"/>
          </v:rect>
        </w:pict>
      </w:r>
    </w:p>
    <w:p w14:paraId="4736EBBA" w14:textId="77777777" w:rsidR="00894070" w:rsidRDefault="00894070">
      <w:pPr>
        <w:pStyle w:val="BodyText"/>
        <w:rPr>
          <w:rFonts w:ascii="Raleway ExtraBold"/>
          <w:b/>
        </w:rPr>
      </w:pPr>
    </w:p>
    <w:p w14:paraId="20FE248D" w14:textId="77777777" w:rsidR="00894070" w:rsidRDefault="00894070">
      <w:pPr>
        <w:pStyle w:val="BodyText"/>
        <w:spacing w:before="2"/>
        <w:rPr>
          <w:rFonts w:ascii="Raleway ExtraBold"/>
          <w:b/>
          <w:sz w:val="25"/>
        </w:rPr>
      </w:pPr>
    </w:p>
    <w:p w14:paraId="50CCF0DD" w14:textId="77777777" w:rsidR="00894070" w:rsidRDefault="009B7AFD">
      <w:pPr>
        <w:spacing w:line="758" w:lineRule="exact"/>
        <w:ind w:left="251"/>
        <w:rPr>
          <w:rFonts w:ascii="Raleway ExtraBold"/>
          <w:b/>
          <w:sz w:val="56"/>
        </w:rPr>
      </w:pPr>
      <w:bookmarkStart w:id="203" w:name="Bibliography"/>
      <w:bookmarkStart w:id="204" w:name="_bookmark123"/>
      <w:bookmarkEnd w:id="203"/>
      <w:bookmarkEnd w:id="204"/>
      <w:r>
        <w:rPr>
          <w:rFonts w:ascii="Raleway ExtraBold"/>
          <w:b/>
          <w:color w:val="EA5B50"/>
          <w:sz w:val="56"/>
        </w:rPr>
        <w:t>Bibliography</w:t>
      </w:r>
    </w:p>
    <w:p w14:paraId="61413E9A" w14:textId="77777777" w:rsidR="00894070" w:rsidRDefault="00894070">
      <w:pPr>
        <w:pStyle w:val="BodyText"/>
        <w:rPr>
          <w:rFonts w:ascii="Raleway ExtraBold"/>
          <w:b/>
          <w:sz w:val="66"/>
        </w:rPr>
      </w:pPr>
    </w:p>
    <w:p w14:paraId="1F0B7E80" w14:textId="77777777" w:rsidR="00894070" w:rsidRDefault="00894070">
      <w:pPr>
        <w:pStyle w:val="BodyText"/>
        <w:rPr>
          <w:rFonts w:ascii="Raleway ExtraBold"/>
          <w:b/>
          <w:sz w:val="66"/>
        </w:rPr>
      </w:pPr>
    </w:p>
    <w:p w14:paraId="1700C533" w14:textId="77777777" w:rsidR="00894070" w:rsidRDefault="00894070">
      <w:pPr>
        <w:pStyle w:val="BodyText"/>
        <w:spacing w:before="6"/>
        <w:rPr>
          <w:rFonts w:ascii="Raleway ExtraBold"/>
          <w:b/>
          <w:sz w:val="88"/>
        </w:rPr>
      </w:pPr>
    </w:p>
    <w:p w14:paraId="139A010F" w14:textId="77777777" w:rsidR="00894070" w:rsidRDefault="009B7AFD">
      <w:pPr>
        <w:pStyle w:val="BodyText"/>
        <w:spacing w:before="1" w:line="206" w:lineRule="auto"/>
        <w:ind w:left="1007" w:right="1137"/>
      </w:pPr>
      <w:r>
        <w:rPr>
          <w:color w:val="231F20"/>
        </w:rPr>
        <w:t xml:space="preserve">Abreu, Roberto L and Maureen C Kenny, ‘Cyberbullying and LGBTQ Youth: A Systematic Literature Review and Recommendations for Prevention and Intervention’ (2018) 11(1) </w:t>
      </w:r>
      <w:r>
        <w:rPr>
          <w:i/>
          <w:color w:val="231F20"/>
        </w:rPr>
        <w:t xml:space="preserve">Journal of Child and Adolescent Trauma </w:t>
      </w:r>
      <w:r>
        <w:rPr>
          <w:color w:val="231F20"/>
        </w:rPr>
        <w:t>81</w:t>
      </w:r>
    </w:p>
    <w:p w14:paraId="16275386" w14:textId="77777777" w:rsidR="00894070" w:rsidRDefault="009B7AFD">
      <w:pPr>
        <w:pStyle w:val="BodyText"/>
        <w:spacing w:before="117" w:line="206" w:lineRule="auto"/>
        <w:ind w:left="1007" w:right="1321"/>
      </w:pPr>
      <w:r>
        <w:rPr>
          <w:color w:val="231F20"/>
        </w:rPr>
        <w:t xml:space="preserve">Ahlgrim, Billea and Cheryl Terrance, ‘Perceptions of Cyberstalking: Impact of Perpetrator Gender and Cyberstalker/Victim Relationship’ (2021) 36(7–8) </w:t>
      </w:r>
      <w:r>
        <w:rPr>
          <w:i/>
          <w:color w:val="231F20"/>
        </w:rPr>
        <w:t xml:space="preserve">Journal of Interpersonal Violence </w:t>
      </w:r>
      <w:r>
        <w:rPr>
          <w:color w:val="231F20"/>
        </w:rPr>
        <w:t>NP4074</w:t>
      </w:r>
    </w:p>
    <w:p w14:paraId="7DBC028F" w14:textId="77777777" w:rsidR="00894070" w:rsidRDefault="009B7AFD">
      <w:pPr>
        <w:pStyle w:val="BodyText"/>
        <w:spacing w:before="117" w:line="206" w:lineRule="auto"/>
        <w:ind w:left="1007" w:right="1501"/>
      </w:pPr>
      <w:r>
        <w:rPr>
          <w:color w:val="231F20"/>
        </w:rPr>
        <w:t xml:space="preserve">Al-Alosi, Hadeel, ‘Cyber-Violence: Digital Abuse in the Context of Domestic Violence’ (2017) 40(4) </w:t>
      </w:r>
      <w:r>
        <w:rPr>
          <w:i/>
          <w:color w:val="231F20"/>
        </w:rPr>
        <w:t xml:space="preserve">UNSW Law Journal </w:t>
      </w:r>
      <w:r>
        <w:rPr>
          <w:color w:val="231F20"/>
        </w:rPr>
        <w:t>1573</w:t>
      </w:r>
    </w:p>
    <w:p w14:paraId="30BB21B5" w14:textId="77777777" w:rsidR="00894070" w:rsidRDefault="009B7AFD">
      <w:pPr>
        <w:pStyle w:val="BodyText"/>
        <w:spacing w:before="84"/>
        <w:ind w:left="1007"/>
      </w:pPr>
      <w:r>
        <w:rPr>
          <w:color w:val="231F20"/>
        </w:rPr>
        <w:t>Alannah &amp; Madeline Foundation,</w:t>
      </w:r>
    </w:p>
    <w:p w14:paraId="1608FD0A" w14:textId="77777777" w:rsidR="00894070" w:rsidRDefault="009B7AFD">
      <w:pPr>
        <w:pStyle w:val="ListParagraph"/>
        <w:numPr>
          <w:ilvl w:val="0"/>
          <w:numId w:val="13"/>
        </w:numPr>
        <w:tabs>
          <w:tab w:val="left" w:pos="1347"/>
          <w:tab w:val="left" w:pos="1348"/>
        </w:tabs>
        <w:spacing w:before="108" w:line="206" w:lineRule="auto"/>
        <w:ind w:right="1283" w:hanging="340"/>
        <w:rPr>
          <w:sz w:val="20"/>
        </w:rPr>
      </w:pPr>
      <w:r>
        <w:rPr>
          <w:color w:val="231F20"/>
          <w:sz w:val="20"/>
        </w:rPr>
        <w:t xml:space="preserve">‘Cyber and Digital Literacy </w:t>
      </w:r>
      <w:r>
        <w:rPr>
          <w:color w:val="231F20"/>
          <w:spacing w:val="-3"/>
          <w:sz w:val="20"/>
        </w:rPr>
        <w:t xml:space="preserve">Resources’, </w:t>
      </w:r>
      <w:r>
        <w:rPr>
          <w:i/>
          <w:color w:val="231F20"/>
          <w:sz w:val="20"/>
        </w:rPr>
        <w:t xml:space="preserve">ESmart </w:t>
      </w:r>
      <w:r>
        <w:rPr>
          <w:color w:val="231F20"/>
          <w:sz w:val="20"/>
        </w:rPr>
        <w:t xml:space="preserve">(Web Page, 2022) </w:t>
      </w:r>
      <w:r>
        <w:rPr>
          <w:color w:val="231F20"/>
          <w:spacing w:val="-3"/>
          <w:sz w:val="20"/>
        </w:rPr>
        <w:t>&lt;</w:t>
      </w:r>
      <w:hyperlink r:id="rId217">
        <w:r>
          <w:rPr>
            <w:color w:val="231F20"/>
            <w:spacing w:val="-3"/>
            <w:sz w:val="20"/>
          </w:rPr>
          <w:t>https://www.esmart.org.</w:t>
        </w:r>
      </w:hyperlink>
      <w:hyperlink r:id="rId218">
        <w:r>
          <w:rPr>
            <w:color w:val="231F20"/>
            <w:spacing w:val="-3"/>
            <w:sz w:val="20"/>
          </w:rPr>
          <w:t xml:space="preserve"> au/esmart-libraries/cyber-and-digital-literacy-resources/</w:t>
        </w:r>
      </w:hyperlink>
      <w:r>
        <w:rPr>
          <w:color w:val="231F20"/>
          <w:spacing w:val="-3"/>
          <w:sz w:val="20"/>
        </w:rPr>
        <w:t>&gt;</w:t>
      </w:r>
    </w:p>
    <w:p w14:paraId="71E02BC4" w14:textId="77777777" w:rsidR="00894070" w:rsidRDefault="009B7AFD">
      <w:pPr>
        <w:pStyle w:val="ListParagraph"/>
        <w:numPr>
          <w:ilvl w:val="0"/>
          <w:numId w:val="13"/>
        </w:numPr>
        <w:tabs>
          <w:tab w:val="left" w:pos="1347"/>
          <w:tab w:val="left" w:pos="1348"/>
        </w:tabs>
        <w:spacing w:before="55"/>
        <w:ind w:hanging="340"/>
        <w:rPr>
          <w:sz w:val="20"/>
        </w:rPr>
      </w:pPr>
      <w:r>
        <w:rPr>
          <w:color w:val="231F20"/>
          <w:sz w:val="20"/>
        </w:rPr>
        <w:t xml:space="preserve">‘eSmart Digital </w:t>
      </w:r>
      <w:r>
        <w:rPr>
          <w:color w:val="231F20"/>
          <w:spacing w:val="-3"/>
          <w:sz w:val="20"/>
        </w:rPr>
        <w:t xml:space="preserve">Licence+’, </w:t>
      </w:r>
      <w:r>
        <w:rPr>
          <w:i/>
          <w:color w:val="231F20"/>
          <w:sz w:val="20"/>
        </w:rPr>
        <w:t xml:space="preserve">ESmart </w:t>
      </w:r>
      <w:r>
        <w:rPr>
          <w:color w:val="231F20"/>
          <w:sz w:val="20"/>
        </w:rPr>
        <w:t>(Web Page, 2022)</w:t>
      </w:r>
      <w:r>
        <w:rPr>
          <w:color w:val="231F20"/>
          <w:spacing w:val="-11"/>
          <w:sz w:val="20"/>
        </w:rPr>
        <w:t xml:space="preserve"> </w:t>
      </w:r>
      <w:r>
        <w:rPr>
          <w:color w:val="231F20"/>
          <w:spacing w:val="-3"/>
          <w:sz w:val="20"/>
        </w:rPr>
        <w:t>&lt;</w:t>
      </w:r>
      <w:hyperlink r:id="rId219">
        <w:r>
          <w:rPr>
            <w:color w:val="231F20"/>
            <w:spacing w:val="-3"/>
            <w:sz w:val="20"/>
          </w:rPr>
          <w:t>https://digitallicenceplus.org/</w:t>
        </w:r>
      </w:hyperlink>
      <w:r>
        <w:rPr>
          <w:color w:val="231F20"/>
          <w:spacing w:val="-3"/>
          <w:sz w:val="20"/>
        </w:rPr>
        <w:t>&gt;</w:t>
      </w:r>
    </w:p>
    <w:p w14:paraId="3FFBF4D1" w14:textId="77777777" w:rsidR="00894070" w:rsidRDefault="009B7AFD">
      <w:pPr>
        <w:spacing w:before="80" w:line="206" w:lineRule="auto"/>
        <w:ind w:left="1007" w:right="1639"/>
        <w:rPr>
          <w:sz w:val="20"/>
        </w:rPr>
      </w:pPr>
      <w:r>
        <w:rPr>
          <w:color w:val="231F20"/>
          <w:sz w:val="20"/>
        </w:rPr>
        <w:t xml:space="preserve">Allen, Graham, </w:t>
      </w:r>
      <w:r>
        <w:rPr>
          <w:i/>
          <w:color w:val="231F20"/>
          <w:sz w:val="20"/>
        </w:rPr>
        <w:t xml:space="preserve">Early Intervention: Smart Investment, Massive Savings </w:t>
      </w:r>
      <w:r>
        <w:rPr>
          <w:color w:val="231F20"/>
          <w:sz w:val="20"/>
        </w:rPr>
        <w:t>(Second Independent Report to Her Majesty’s Government, July 2011) &lt;</w:t>
      </w:r>
      <w:hyperlink r:id="rId220">
        <w:r>
          <w:rPr>
            <w:color w:val="231F20"/>
            <w:sz w:val="20"/>
          </w:rPr>
          <w:t>https://www.gov.uk/government/</w:t>
        </w:r>
      </w:hyperlink>
      <w:r>
        <w:rPr>
          <w:color w:val="231F20"/>
          <w:sz w:val="20"/>
        </w:rPr>
        <w:t xml:space="preserve"> </w:t>
      </w:r>
      <w:hyperlink r:id="rId221">
        <w:r>
          <w:rPr>
            <w:color w:val="231F20"/>
            <w:sz w:val="20"/>
          </w:rPr>
          <w:t>publications/early-intervention-smart-investment-massive-savings</w:t>
        </w:r>
      </w:hyperlink>
      <w:r>
        <w:rPr>
          <w:color w:val="231F20"/>
          <w:sz w:val="20"/>
        </w:rPr>
        <w:t>&gt;</w:t>
      </w:r>
    </w:p>
    <w:p w14:paraId="3FEBBE15" w14:textId="77777777" w:rsidR="00894070" w:rsidRDefault="009B7AFD">
      <w:pPr>
        <w:pStyle w:val="BodyText"/>
        <w:spacing w:before="84"/>
        <w:ind w:left="1007"/>
      </w:pPr>
      <w:r>
        <w:rPr>
          <w:color w:val="231F20"/>
        </w:rPr>
        <w:t>Australian Bureau of Statistics,</w:t>
      </w:r>
    </w:p>
    <w:p w14:paraId="51E80265" w14:textId="77777777" w:rsidR="00894070" w:rsidRDefault="009B7AFD">
      <w:pPr>
        <w:pStyle w:val="ListParagraph"/>
        <w:numPr>
          <w:ilvl w:val="0"/>
          <w:numId w:val="13"/>
        </w:numPr>
        <w:tabs>
          <w:tab w:val="left" w:pos="1347"/>
          <w:tab w:val="left" w:pos="1348"/>
        </w:tabs>
        <w:spacing w:before="76" w:line="259" w:lineRule="exact"/>
        <w:ind w:hanging="340"/>
        <w:rPr>
          <w:sz w:val="20"/>
        </w:rPr>
      </w:pPr>
      <w:r>
        <w:rPr>
          <w:i/>
          <w:color w:val="231F20"/>
          <w:sz w:val="20"/>
        </w:rPr>
        <w:t xml:space="preserve">Crime Victimisation, Australia, 2020–21 Financial </w:t>
      </w:r>
      <w:r>
        <w:rPr>
          <w:i/>
          <w:color w:val="231F20"/>
          <w:spacing w:val="-4"/>
          <w:sz w:val="20"/>
        </w:rPr>
        <w:t xml:space="preserve">Year </w:t>
      </w:r>
      <w:r>
        <w:rPr>
          <w:color w:val="231F20"/>
          <w:sz w:val="20"/>
        </w:rPr>
        <w:t>(Web Page, 22 February</w:t>
      </w:r>
      <w:r>
        <w:rPr>
          <w:color w:val="231F20"/>
          <w:spacing w:val="-26"/>
          <w:sz w:val="20"/>
        </w:rPr>
        <w:t xml:space="preserve"> </w:t>
      </w:r>
      <w:r>
        <w:rPr>
          <w:color w:val="231F20"/>
          <w:sz w:val="20"/>
        </w:rPr>
        <w:t>2022)</w:t>
      </w:r>
    </w:p>
    <w:p w14:paraId="4CB0C391" w14:textId="77777777" w:rsidR="00894070" w:rsidRDefault="009B7AFD">
      <w:pPr>
        <w:pStyle w:val="BodyText"/>
        <w:spacing w:before="14" w:line="206" w:lineRule="auto"/>
        <w:ind w:left="1347" w:right="1914"/>
      </w:pPr>
      <w:r>
        <w:rPr>
          <w:color w:val="231F20"/>
          <w:spacing w:val="-3"/>
        </w:rPr>
        <w:t>&lt;</w:t>
      </w:r>
      <w:hyperlink r:id="rId222">
        <w:r>
          <w:rPr>
            <w:color w:val="231F20"/>
            <w:spacing w:val="-3"/>
          </w:rPr>
          <w:t>https://www.abs.gov.au/statistics/people/crime-and-justice/crime-victimisation-</w:t>
        </w:r>
      </w:hyperlink>
      <w:r>
        <w:rPr>
          <w:color w:val="231F20"/>
          <w:spacing w:val="-3"/>
        </w:rPr>
        <w:t xml:space="preserve"> </w:t>
      </w:r>
      <w:hyperlink r:id="rId223">
        <w:r>
          <w:rPr>
            <w:color w:val="231F20"/>
          </w:rPr>
          <w:t>australia/latest-release</w:t>
        </w:r>
      </w:hyperlink>
      <w:r>
        <w:rPr>
          <w:color w:val="231F20"/>
        </w:rPr>
        <w:t>&gt;</w:t>
      </w:r>
    </w:p>
    <w:p w14:paraId="344B7A94" w14:textId="77777777" w:rsidR="00894070" w:rsidRDefault="009B7AFD">
      <w:pPr>
        <w:pStyle w:val="ListParagraph"/>
        <w:numPr>
          <w:ilvl w:val="0"/>
          <w:numId w:val="13"/>
        </w:numPr>
        <w:tabs>
          <w:tab w:val="left" w:pos="1347"/>
          <w:tab w:val="left" w:pos="1348"/>
        </w:tabs>
        <w:spacing w:before="87" w:line="206" w:lineRule="auto"/>
        <w:ind w:right="1318" w:hanging="340"/>
        <w:rPr>
          <w:sz w:val="20"/>
        </w:rPr>
      </w:pPr>
      <w:r>
        <w:rPr>
          <w:i/>
          <w:color w:val="231F20"/>
          <w:sz w:val="20"/>
        </w:rPr>
        <w:t xml:space="preserve">Experience of Stalking—Personal </w:t>
      </w:r>
      <w:r>
        <w:rPr>
          <w:i/>
          <w:color w:val="231F20"/>
          <w:spacing w:val="-3"/>
          <w:sz w:val="20"/>
        </w:rPr>
        <w:t xml:space="preserve">Safety, </w:t>
      </w:r>
      <w:r>
        <w:rPr>
          <w:i/>
          <w:color w:val="231F20"/>
          <w:sz w:val="20"/>
        </w:rPr>
        <w:t xml:space="preserve">Australia, 2016 </w:t>
      </w:r>
      <w:r>
        <w:rPr>
          <w:color w:val="231F20"/>
          <w:sz w:val="20"/>
        </w:rPr>
        <w:t xml:space="preserve">(Data </w:t>
      </w:r>
      <w:r>
        <w:rPr>
          <w:color w:val="231F20"/>
          <w:spacing w:val="-5"/>
          <w:sz w:val="20"/>
        </w:rPr>
        <w:t xml:space="preserve">Table </w:t>
      </w:r>
      <w:r>
        <w:rPr>
          <w:color w:val="231F20"/>
          <w:sz w:val="20"/>
        </w:rPr>
        <w:t xml:space="preserve">No 49060DO0007, 8 November </w:t>
      </w:r>
      <w:r>
        <w:rPr>
          <w:color w:val="231F20"/>
          <w:spacing w:val="-4"/>
          <w:sz w:val="20"/>
        </w:rPr>
        <w:t xml:space="preserve">2017) </w:t>
      </w:r>
      <w:r>
        <w:rPr>
          <w:color w:val="231F20"/>
          <w:spacing w:val="-3"/>
          <w:sz w:val="20"/>
        </w:rPr>
        <w:t>&lt;</w:t>
      </w:r>
      <w:hyperlink r:id="rId224" w:anchor="data-download">
        <w:r>
          <w:rPr>
            <w:color w:val="231F20"/>
            <w:spacing w:val="-3"/>
            <w:sz w:val="20"/>
          </w:rPr>
          <w:t>https://www.abs.gov.au/statistics/people/crime-and-justice/personal-</w:t>
        </w:r>
      </w:hyperlink>
      <w:hyperlink r:id="rId225" w:anchor="data-download">
        <w:r>
          <w:rPr>
            <w:color w:val="231F20"/>
            <w:spacing w:val="-3"/>
            <w:sz w:val="20"/>
          </w:rPr>
          <w:t xml:space="preserve"> </w:t>
        </w:r>
        <w:r>
          <w:rPr>
            <w:color w:val="231F20"/>
            <w:sz w:val="20"/>
          </w:rPr>
          <w:t>safety-australia/latest-release#data-download</w:t>
        </w:r>
      </w:hyperlink>
      <w:r>
        <w:rPr>
          <w:color w:val="231F20"/>
          <w:sz w:val="20"/>
        </w:rPr>
        <w:t>&gt;</w:t>
      </w:r>
    </w:p>
    <w:p w14:paraId="4EAA3EA1" w14:textId="77777777" w:rsidR="00894070" w:rsidRDefault="009B7AFD">
      <w:pPr>
        <w:pStyle w:val="ListParagraph"/>
        <w:numPr>
          <w:ilvl w:val="0"/>
          <w:numId w:val="13"/>
        </w:numPr>
        <w:tabs>
          <w:tab w:val="left" w:pos="1347"/>
          <w:tab w:val="left" w:pos="1348"/>
        </w:tabs>
        <w:spacing w:before="57" w:line="259" w:lineRule="exact"/>
        <w:ind w:hanging="340"/>
        <w:rPr>
          <w:sz w:val="20"/>
        </w:rPr>
      </w:pPr>
      <w:r>
        <w:rPr>
          <w:i/>
          <w:color w:val="231F20"/>
          <w:sz w:val="20"/>
        </w:rPr>
        <w:t xml:space="preserve">Estimates of Aboriginal and </w:t>
      </w:r>
      <w:r>
        <w:rPr>
          <w:i/>
          <w:color w:val="231F20"/>
          <w:spacing w:val="-4"/>
          <w:sz w:val="20"/>
        </w:rPr>
        <w:t xml:space="preserve">Torres </w:t>
      </w:r>
      <w:r>
        <w:rPr>
          <w:i/>
          <w:color w:val="231F20"/>
          <w:sz w:val="20"/>
        </w:rPr>
        <w:t xml:space="preserve">Strait Islander Australians </w:t>
      </w:r>
      <w:r>
        <w:rPr>
          <w:color w:val="231F20"/>
          <w:sz w:val="20"/>
        </w:rPr>
        <w:t>(Web Page, 31 August</w:t>
      </w:r>
      <w:r>
        <w:rPr>
          <w:color w:val="231F20"/>
          <w:spacing w:val="-36"/>
          <w:sz w:val="20"/>
        </w:rPr>
        <w:t xml:space="preserve"> </w:t>
      </w:r>
      <w:r>
        <w:rPr>
          <w:color w:val="231F20"/>
          <w:spacing w:val="-3"/>
          <w:sz w:val="20"/>
        </w:rPr>
        <w:t>2018)</w:t>
      </w:r>
    </w:p>
    <w:p w14:paraId="74318F89" w14:textId="77777777" w:rsidR="00894070" w:rsidRDefault="009B7AFD">
      <w:pPr>
        <w:pStyle w:val="BodyText"/>
        <w:spacing w:before="13" w:line="206" w:lineRule="auto"/>
        <w:ind w:left="1347" w:right="1243"/>
      </w:pPr>
      <w:r>
        <w:rPr>
          <w:color w:val="231F20"/>
          <w:spacing w:val="-3"/>
        </w:rPr>
        <w:t>&lt;</w:t>
      </w:r>
      <w:hyperlink r:id="rId226">
        <w:r>
          <w:rPr>
            <w:color w:val="231F20"/>
            <w:spacing w:val="-3"/>
          </w:rPr>
          <w:t>https://www.abs.gov.au/statistics/people/aboriginal-and-torres-strait-islander-peoples/</w:t>
        </w:r>
      </w:hyperlink>
      <w:r>
        <w:rPr>
          <w:color w:val="231F20"/>
          <w:spacing w:val="-3"/>
        </w:rPr>
        <w:t xml:space="preserve"> </w:t>
      </w:r>
      <w:hyperlink r:id="rId227">
        <w:r>
          <w:rPr>
            <w:color w:val="231F20"/>
          </w:rPr>
          <w:t>estimates-aboriginal-and-torres-strait-islander-australians/latest-release</w:t>
        </w:r>
      </w:hyperlink>
      <w:r>
        <w:rPr>
          <w:color w:val="231F20"/>
        </w:rPr>
        <w:t>&gt;</w:t>
      </w:r>
    </w:p>
    <w:p w14:paraId="2C5C6DF0" w14:textId="77777777" w:rsidR="00894070" w:rsidRDefault="009B7AFD">
      <w:pPr>
        <w:pStyle w:val="ListParagraph"/>
        <w:numPr>
          <w:ilvl w:val="0"/>
          <w:numId w:val="13"/>
        </w:numPr>
        <w:tabs>
          <w:tab w:val="left" w:pos="1347"/>
          <w:tab w:val="left" w:pos="1348"/>
        </w:tabs>
        <w:spacing w:before="88" w:line="206" w:lineRule="auto"/>
        <w:ind w:right="1748" w:hanging="340"/>
        <w:rPr>
          <w:sz w:val="20"/>
        </w:rPr>
      </w:pPr>
      <w:r>
        <w:rPr>
          <w:i/>
          <w:color w:val="231F20"/>
          <w:sz w:val="20"/>
        </w:rPr>
        <w:t xml:space="preserve">Personal </w:t>
      </w:r>
      <w:r>
        <w:rPr>
          <w:i/>
          <w:color w:val="231F20"/>
          <w:spacing w:val="-3"/>
          <w:sz w:val="20"/>
        </w:rPr>
        <w:t xml:space="preserve">Safety, </w:t>
      </w:r>
      <w:r>
        <w:rPr>
          <w:i/>
          <w:color w:val="231F20"/>
          <w:sz w:val="20"/>
        </w:rPr>
        <w:t xml:space="preserve">Australia, 2016 </w:t>
      </w:r>
      <w:r>
        <w:rPr>
          <w:color w:val="231F20"/>
          <w:sz w:val="20"/>
        </w:rPr>
        <w:t xml:space="preserve">(Web Page, 11 August </w:t>
      </w:r>
      <w:r>
        <w:rPr>
          <w:color w:val="231F20"/>
          <w:spacing w:val="-4"/>
          <w:sz w:val="20"/>
        </w:rPr>
        <w:t xml:space="preserve">2017) </w:t>
      </w:r>
      <w:r>
        <w:rPr>
          <w:color w:val="231F20"/>
          <w:spacing w:val="-3"/>
          <w:sz w:val="20"/>
        </w:rPr>
        <w:t>&lt;</w:t>
      </w:r>
      <w:hyperlink r:id="rId228">
        <w:r>
          <w:rPr>
            <w:color w:val="231F20"/>
            <w:spacing w:val="-3"/>
            <w:sz w:val="20"/>
          </w:rPr>
          <w:t>https://www.abs.gov.au/</w:t>
        </w:r>
      </w:hyperlink>
      <w:hyperlink r:id="rId229">
        <w:r>
          <w:rPr>
            <w:color w:val="231F20"/>
            <w:spacing w:val="-3"/>
            <w:sz w:val="20"/>
          </w:rPr>
          <w:t xml:space="preserve"> </w:t>
        </w:r>
        <w:r>
          <w:rPr>
            <w:color w:val="231F20"/>
            <w:sz w:val="20"/>
          </w:rPr>
          <w:t>statistics/people/crime-and-justice/personal-safety-australia/latest-release</w:t>
        </w:r>
      </w:hyperlink>
      <w:r>
        <w:rPr>
          <w:color w:val="231F20"/>
          <w:sz w:val="20"/>
        </w:rPr>
        <w:t>&gt;</w:t>
      </w:r>
    </w:p>
    <w:p w14:paraId="70F24AB4" w14:textId="77777777" w:rsidR="00894070" w:rsidRDefault="009B7AFD">
      <w:pPr>
        <w:pStyle w:val="ListParagraph"/>
        <w:numPr>
          <w:ilvl w:val="0"/>
          <w:numId w:val="13"/>
        </w:numPr>
        <w:tabs>
          <w:tab w:val="left" w:pos="1347"/>
          <w:tab w:val="left" w:pos="1348"/>
        </w:tabs>
        <w:spacing w:before="87" w:line="206" w:lineRule="auto"/>
        <w:ind w:right="1284" w:hanging="340"/>
        <w:rPr>
          <w:i/>
          <w:sz w:val="20"/>
        </w:rPr>
      </w:pPr>
      <w:r>
        <w:rPr>
          <w:i/>
          <w:color w:val="231F20"/>
          <w:sz w:val="20"/>
        </w:rPr>
        <w:t xml:space="preserve">Personal </w:t>
      </w:r>
      <w:r>
        <w:rPr>
          <w:i/>
          <w:color w:val="231F20"/>
          <w:spacing w:val="-3"/>
          <w:sz w:val="20"/>
        </w:rPr>
        <w:t xml:space="preserve">Safety, </w:t>
      </w:r>
      <w:r>
        <w:rPr>
          <w:i/>
          <w:color w:val="231F20"/>
          <w:sz w:val="20"/>
        </w:rPr>
        <w:t xml:space="preserve">Australia Methodology 2016 (Web Page, 8 November </w:t>
      </w:r>
      <w:r>
        <w:rPr>
          <w:i/>
          <w:color w:val="231F20"/>
          <w:spacing w:val="-4"/>
          <w:sz w:val="20"/>
        </w:rPr>
        <w:t xml:space="preserve">2017) </w:t>
      </w:r>
      <w:hyperlink r:id="rId230">
        <w:r>
          <w:rPr>
            <w:i/>
            <w:color w:val="231F20"/>
            <w:spacing w:val="-4"/>
            <w:sz w:val="20"/>
          </w:rPr>
          <w:t>https://www.abs.</w:t>
        </w:r>
      </w:hyperlink>
      <w:hyperlink r:id="rId231">
        <w:r>
          <w:rPr>
            <w:i/>
            <w:color w:val="231F20"/>
            <w:spacing w:val="-4"/>
            <w:sz w:val="20"/>
          </w:rPr>
          <w:t xml:space="preserve"> </w:t>
        </w:r>
        <w:r>
          <w:rPr>
            <w:i/>
            <w:color w:val="231F20"/>
            <w:sz w:val="20"/>
          </w:rPr>
          <w:t>gov.au/methodologies/personal-safety-australia-methodology/2016</w:t>
        </w:r>
      </w:hyperlink>
    </w:p>
    <w:p w14:paraId="1A28D647" w14:textId="77777777" w:rsidR="00894070" w:rsidRDefault="009B7AFD">
      <w:pPr>
        <w:pStyle w:val="ListParagraph"/>
        <w:numPr>
          <w:ilvl w:val="0"/>
          <w:numId w:val="13"/>
        </w:numPr>
        <w:tabs>
          <w:tab w:val="left" w:pos="1347"/>
          <w:tab w:val="left" w:pos="1348"/>
        </w:tabs>
        <w:spacing w:before="88" w:line="206" w:lineRule="auto"/>
        <w:ind w:right="1220" w:hanging="340"/>
        <w:rPr>
          <w:sz w:val="20"/>
        </w:rPr>
      </w:pPr>
      <w:r>
        <w:rPr>
          <w:i/>
          <w:color w:val="231F20"/>
          <w:sz w:val="20"/>
        </w:rPr>
        <w:t xml:space="preserve">Stalking—In Focus: Crime and Justice Statistics </w:t>
      </w:r>
      <w:r>
        <w:rPr>
          <w:color w:val="231F20"/>
          <w:sz w:val="20"/>
        </w:rPr>
        <w:t xml:space="preserve">(Web Page, 14 June </w:t>
      </w:r>
      <w:r>
        <w:rPr>
          <w:color w:val="231F20"/>
          <w:spacing w:val="-4"/>
          <w:sz w:val="20"/>
        </w:rPr>
        <w:t>2017) &lt;</w:t>
      </w:r>
      <w:hyperlink r:id="rId232">
        <w:r>
          <w:rPr>
            <w:color w:val="231F20"/>
            <w:spacing w:val="-4"/>
            <w:sz w:val="20"/>
          </w:rPr>
          <w:t>https://www.abs.</w:t>
        </w:r>
      </w:hyperlink>
      <w:hyperlink r:id="rId233">
        <w:r>
          <w:rPr>
            <w:color w:val="231F20"/>
            <w:spacing w:val="-4"/>
            <w:sz w:val="20"/>
          </w:rPr>
          <w:t xml:space="preserve"> </w:t>
        </w:r>
        <w:r>
          <w:rPr>
            <w:color w:val="231F20"/>
            <w:spacing w:val="-2"/>
            <w:sz w:val="20"/>
          </w:rPr>
          <w:t>gov.au/statistics/people/crime-and-justice/focus-crime-and-justice-statistics/june-2017</w:t>
        </w:r>
      </w:hyperlink>
      <w:r>
        <w:rPr>
          <w:color w:val="231F20"/>
          <w:spacing w:val="-2"/>
          <w:sz w:val="20"/>
        </w:rPr>
        <w:t>&gt;</w:t>
      </w:r>
    </w:p>
    <w:p w14:paraId="2BB11113" w14:textId="77777777" w:rsidR="00894070" w:rsidRDefault="009B7AFD">
      <w:pPr>
        <w:spacing w:before="88" w:line="206" w:lineRule="auto"/>
        <w:ind w:left="1007" w:right="1331"/>
        <w:rPr>
          <w:sz w:val="20"/>
        </w:rPr>
      </w:pPr>
      <w:r>
        <w:rPr>
          <w:color w:val="231F20"/>
          <w:sz w:val="20"/>
        </w:rPr>
        <w:t xml:space="preserve">Australian Law Reform Commission, </w:t>
      </w:r>
      <w:r>
        <w:rPr>
          <w:i/>
          <w:color w:val="231F20"/>
          <w:sz w:val="20"/>
        </w:rPr>
        <w:t xml:space="preserve">Serious Invasions Of Privacy In The Digital Era </w:t>
      </w:r>
      <w:r>
        <w:rPr>
          <w:color w:val="231F20"/>
          <w:sz w:val="20"/>
        </w:rPr>
        <w:t>(Discussion Paper No 80, 2014)</w:t>
      </w:r>
    </w:p>
    <w:p w14:paraId="42E8D0FB" w14:textId="77777777" w:rsidR="00894070" w:rsidRDefault="009B7AFD">
      <w:pPr>
        <w:pStyle w:val="BodyText"/>
        <w:spacing w:before="116" w:line="206" w:lineRule="auto"/>
        <w:ind w:left="1007" w:right="1536"/>
      </w:pPr>
      <w:r>
        <w:rPr>
          <w:color w:val="231F20"/>
        </w:rPr>
        <w:t xml:space="preserve">Backes, Bethany L, Lisa Fedina and Jennifer Lynne Holmes, ‘The Criminal Justice System Response to Intimate Partner Stalking: A Systematic Review of Quantitative and Qualitative Research’ (2020) 35(7) </w:t>
      </w:r>
      <w:r>
        <w:rPr>
          <w:i/>
          <w:color w:val="231F20"/>
        </w:rPr>
        <w:t xml:space="preserve">Journal of Family Violence </w:t>
      </w:r>
      <w:r>
        <w:rPr>
          <w:color w:val="231F20"/>
        </w:rPr>
        <w:t>665</w:t>
      </w:r>
    </w:p>
    <w:p w14:paraId="78A6072B" w14:textId="77777777" w:rsidR="00894070" w:rsidRDefault="00894070">
      <w:pPr>
        <w:pStyle w:val="BodyText"/>
        <w:spacing w:before="10"/>
        <w:rPr>
          <w:sz w:val="16"/>
        </w:rPr>
      </w:pPr>
    </w:p>
    <w:p w14:paraId="146E0299" w14:textId="77777777" w:rsidR="00894070" w:rsidRDefault="009B7AFD">
      <w:pPr>
        <w:pStyle w:val="Heading8"/>
        <w:spacing w:before="49"/>
        <w:ind w:left="140"/>
      </w:pPr>
      <w:r>
        <w:rPr>
          <w:color w:val="EA5B50"/>
        </w:rPr>
        <w:t>194</w:t>
      </w:r>
    </w:p>
    <w:p w14:paraId="5B66525D" w14:textId="77777777" w:rsidR="00894070" w:rsidRDefault="00894070">
      <w:pPr>
        <w:sectPr w:rsidR="00894070">
          <w:pgSz w:w="11910" w:h="16840"/>
          <w:pgMar w:top="860" w:right="420" w:bottom="280" w:left="580" w:header="567" w:footer="0" w:gutter="0"/>
          <w:cols w:space="720"/>
        </w:sectPr>
      </w:pPr>
    </w:p>
    <w:p w14:paraId="7F72AF1F" w14:textId="77777777" w:rsidR="00894070" w:rsidRDefault="00894070">
      <w:pPr>
        <w:pStyle w:val="BodyText"/>
        <w:rPr>
          <w:b/>
        </w:rPr>
      </w:pPr>
    </w:p>
    <w:p w14:paraId="6DB52355" w14:textId="77777777" w:rsidR="00894070" w:rsidRDefault="00894070">
      <w:pPr>
        <w:pStyle w:val="BodyText"/>
        <w:rPr>
          <w:b/>
        </w:rPr>
      </w:pPr>
    </w:p>
    <w:p w14:paraId="59196372" w14:textId="77777777" w:rsidR="00894070" w:rsidRDefault="00894070">
      <w:pPr>
        <w:pStyle w:val="BodyText"/>
        <w:rPr>
          <w:b/>
        </w:rPr>
      </w:pPr>
    </w:p>
    <w:p w14:paraId="3E08F816" w14:textId="77777777" w:rsidR="00894070" w:rsidRDefault="00894070">
      <w:pPr>
        <w:pStyle w:val="BodyText"/>
        <w:spacing w:before="6"/>
        <w:rPr>
          <w:b/>
          <w:sz w:val="14"/>
        </w:rPr>
      </w:pPr>
    </w:p>
    <w:p w14:paraId="79223E81" w14:textId="77777777" w:rsidR="00894070" w:rsidRDefault="009B7AFD">
      <w:pPr>
        <w:spacing w:before="90" w:line="206" w:lineRule="auto"/>
        <w:ind w:left="1007" w:right="1459"/>
        <w:rPr>
          <w:sz w:val="20"/>
        </w:rPr>
      </w:pPr>
      <w:r>
        <w:rPr>
          <w:color w:val="231F20"/>
          <w:sz w:val="20"/>
        </w:rPr>
        <w:t xml:space="preserve">Bartels, Lorana and Marietta Martinovic, ‘Electronic Monitoring: The Experience in Australia’ (2017) 9(1) </w:t>
      </w:r>
      <w:r>
        <w:rPr>
          <w:i/>
          <w:color w:val="231F20"/>
          <w:sz w:val="20"/>
        </w:rPr>
        <w:t xml:space="preserve">European Journal of Probation </w:t>
      </w:r>
      <w:r>
        <w:rPr>
          <w:color w:val="231F20"/>
          <w:sz w:val="20"/>
        </w:rPr>
        <w:t>90</w:t>
      </w:r>
    </w:p>
    <w:p w14:paraId="31C4C4E3" w14:textId="77777777" w:rsidR="00894070" w:rsidRDefault="009B7AFD">
      <w:pPr>
        <w:spacing w:before="116" w:line="206" w:lineRule="auto"/>
        <w:ind w:left="1007" w:right="1443"/>
        <w:rPr>
          <w:sz w:val="20"/>
        </w:rPr>
      </w:pPr>
      <w:r>
        <w:rPr>
          <w:color w:val="231F20"/>
          <w:sz w:val="20"/>
        </w:rPr>
        <w:t xml:space="preserve">Bartlett, Luke and Annabel Chan, ‘Hashtag You’re It: Limitations of Psycho-Legal Responses to Online Interpersonal Harm’ in Heng Choon Chan and Lorraine Sheridan (eds), </w:t>
      </w:r>
      <w:r>
        <w:rPr>
          <w:i/>
          <w:color w:val="231F20"/>
          <w:sz w:val="20"/>
        </w:rPr>
        <w:t xml:space="preserve">Psycho- Criminological Approaches to Stalking Behavior: An International Perspective </w:t>
      </w:r>
      <w:r>
        <w:rPr>
          <w:color w:val="231F20"/>
          <w:sz w:val="20"/>
        </w:rPr>
        <w:t>(John Wiley and Sons, 2020) 287</w:t>
      </w:r>
    </w:p>
    <w:p w14:paraId="64C21333" w14:textId="77777777" w:rsidR="00894070" w:rsidRDefault="009B7AFD">
      <w:pPr>
        <w:pStyle w:val="BodyText"/>
        <w:spacing w:before="118" w:line="206" w:lineRule="auto"/>
        <w:ind w:left="1007" w:right="1647"/>
      </w:pPr>
      <w:r>
        <w:rPr>
          <w:color w:val="231F20"/>
          <w:spacing w:val="-3"/>
        </w:rPr>
        <w:t xml:space="preserve">Belur, </w:t>
      </w:r>
      <w:r>
        <w:rPr>
          <w:color w:val="231F20"/>
        </w:rPr>
        <w:t xml:space="preserve">Jyoti et al, </w:t>
      </w:r>
      <w:r>
        <w:rPr>
          <w:color w:val="231F20"/>
          <w:spacing w:val="-8"/>
        </w:rPr>
        <w:t xml:space="preserve">‘A </w:t>
      </w:r>
      <w:r>
        <w:rPr>
          <w:color w:val="231F20"/>
        </w:rPr>
        <w:t xml:space="preserve">Systematic Review of the Effectiveness of the Electronic Monitoring of Offenders’ </w:t>
      </w:r>
      <w:r>
        <w:rPr>
          <w:color w:val="231F20"/>
          <w:spacing w:val="-3"/>
        </w:rPr>
        <w:t xml:space="preserve">(2020) </w:t>
      </w:r>
      <w:r>
        <w:rPr>
          <w:color w:val="231F20"/>
        </w:rPr>
        <w:t xml:space="preserve">68 </w:t>
      </w:r>
      <w:r>
        <w:rPr>
          <w:i/>
          <w:color w:val="231F20"/>
        </w:rPr>
        <w:t xml:space="preserve">Journal of Criminal Justice </w:t>
      </w:r>
      <w:r>
        <w:rPr>
          <w:color w:val="231F20"/>
          <w:spacing w:val="-3"/>
        </w:rPr>
        <w:t>101686:1–18</w:t>
      </w:r>
    </w:p>
    <w:p w14:paraId="04678A76" w14:textId="77777777" w:rsidR="00894070" w:rsidRDefault="009B7AFD">
      <w:pPr>
        <w:pStyle w:val="BodyText"/>
        <w:spacing w:before="116" w:line="206" w:lineRule="auto"/>
        <w:ind w:left="1007" w:right="1219"/>
      </w:pPr>
      <w:r>
        <w:rPr>
          <w:color w:val="231F20"/>
        </w:rPr>
        <w:t xml:space="preserve">Bennett Cattaneo, Lauren, Sarah Cho and Shelly Botuck, ‘Describing Intimate Partner Stalking Over Time: An Effort to Inform Victim-Centered Service Provision’ (2011) 26(17) </w:t>
      </w:r>
      <w:r>
        <w:rPr>
          <w:i/>
          <w:color w:val="231F20"/>
        </w:rPr>
        <w:t xml:space="preserve">Journal of Interpersonal Violence </w:t>
      </w:r>
      <w:r>
        <w:rPr>
          <w:color w:val="231F20"/>
        </w:rPr>
        <w:t>3428</w:t>
      </w:r>
    </w:p>
    <w:p w14:paraId="133778CF" w14:textId="77777777" w:rsidR="00894070" w:rsidRDefault="009B7AFD">
      <w:pPr>
        <w:spacing w:before="117" w:line="206" w:lineRule="auto"/>
        <w:ind w:left="1007" w:right="1121"/>
        <w:rPr>
          <w:sz w:val="20"/>
        </w:rPr>
      </w:pPr>
      <w:r>
        <w:rPr>
          <w:color w:val="231F20"/>
          <w:sz w:val="20"/>
        </w:rPr>
        <w:t xml:space="preserve">Bluett-Boyd, Nicole and Bianca Fileborn, </w:t>
      </w:r>
      <w:r>
        <w:rPr>
          <w:i/>
          <w:color w:val="231F20"/>
          <w:sz w:val="20"/>
        </w:rPr>
        <w:t xml:space="preserve">Victim/Survivor-Focused Justice Responses and Reforms </w:t>
      </w:r>
      <w:r>
        <w:rPr>
          <w:i/>
          <w:color w:val="231F20"/>
          <w:spacing w:val="-3"/>
          <w:sz w:val="20"/>
        </w:rPr>
        <w:t xml:space="preserve">to </w:t>
      </w:r>
      <w:r>
        <w:rPr>
          <w:i/>
          <w:color w:val="231F20"/>
          <w:sz w:val="20"/>
        </w:rPr>
        <w:t xml:space="preserve">Criminal Court Practice </w:t>
      </w:r>
      <w:r>
        <w:rPr>
          <w:color w:val="231F20"/>
          <w:sz w:val="20"/>
        </w:rPr>
        <w:t xml:space="preserve">(Research Report No </w:t>
      </w:r>
      <w:r>
        <w:rPr>
          <w:color w:val="231F20"/>
          <w:spacing w:val="-7"/>
          <w:sz w:val="20"/>
        </w:rPr>
        <w:t xml:space="preserve">27, </w:t>
      </w:r>
      <w:r>
        <w:rPr>
          <w:color w:val="231F20"/>
          <w:sz w:val="20"/>
        </w:rPr>
        <w:t xml:space="preserve">Australian Institute of </w:t>
      </w:r>
      <w:r>
        <w:rPr>
          <w:color w:val="231F20"/>
          <w:spacing w:val="-4"/>
          <w:sz w:val="20"/>
        </w:rPr>
        <w:t xml:space="preserve">Family </w:t>
      </w:r>
      <w:r>
        <w:rPr>
          <w:color w:val="231F20"/>
          <w:sz w:val="20"/>
        </w:rPr>
        <w:t xml:space="preserve">Studies </w:t>
      </w:r>
      <w:r>
        <w:rPr>
          <w:color w:val="231F20"/>
          <w:spacing w:val="-3"/>
          <w:sz w:val="20"/>
        </w:rPr>
        <w:t xml:space="preserve">(Cth), </w:t>
      </w:r>
      <w:r>
        <w:rPr>
          <w:color w:val="231F20"/>
          <w:sz w:val="20"/>
        </w:rPr>
        <w:t>April 2014)</w:t>
      </w:r>
    </w:p>
    <w:p w14:paraId="5222498E" w14:textId="77777777" w:rsidR="00894070" w:rsidRDefault="009B7AFD">
      <w:pPr>
        <w:pStyle w:val="BodyText"/>
        <w:spacing w:before="118" w:line="206" w:lineRule="auto"/>
        <w:ind w:left="1007" w:right="1219"/>
      </w:pPr>
      <w:r>
        <w:rPr>
          <w:color w:val="231F20"/>
        </w:rPr>
        <w:t xml:space="preserve">Boehnlein, Tim et al, ‘Responding to Stalking Victims: Perceptions, Barriers, and Directions for Future Research’ (2020) 35(7) </w:t>
      </w:r>
      <w:r>
        <w:rPr>
          <w:i/>
          <w:color w:val="231F20"/>
        </w:rPr>
        <w:t xml:space="preserve">Journal of Family Violence </w:t>
      </w:r>
      <w:r>
        <w:rPr>
          <w:color w:val="231F20"/>
        </w:rPr>
        <w:t>755</w:t>
      </w:r>
    </w:p>
    <w:p w14:paraId="086CBACF" w14:textId="77777777" w:rsidR="00894070" w:rsidRDefault="009B7AFD">
      <w:pPr>
        <w:pStyle w:val="BodyText"/>
        <w:spacing w:before="116" w:line="206" w:lineRule="auto"/>
        <w:ind w:left="1007" w:right="1456"/>
      </w:pPr>
      <w:r>
        <w:rPr>
          <w:color w:val="231F20"/>
        </w:rPr>
        <w:t xml:space="preserve">Bouffard, Leana A et al, ‘Still in the Shadows: The Unresponsiveness of Stalking Prosecution Rates to Increased Legislative Attention’ (2021) 73 </w:t>
      </w:r>
      <w:r>
        <w:rPr>
          <w:i/>
          <w:color w:val="231F20"/>
        </w:rPr>
        <w:t xml:space="preserve">Journal of Criminal Justice </w:t>
      </w:r>
      <w:r>
        <w:rPr>
          <w:color w:val="231F20"/>
        </w:rPr>
        <w:t>101794:1–10</w:t>
      </w:r>
    </w:p>
    <w:p w14:paraId="4E475218" w14:textId="77777777" w:rsidR="00894070" w:rsidRDefault="009B7AFD">
      <w:pPr>
        <w:spacing w:before="116" w:line="206" w:lineRule="auto"/>
        <w:ind w:left="1007" w:right="1166"/>
        <w:rPr>
          <w:sz w:val="20"/>
        </w:rPr>
      </w:pPr>
      <w:r>
        <w:rPr>
          <w:color w:val="231F20"/>
          <w:sz w:val="20"/>
        </w:rPr>
        <w:t xml:space="preserve">Brady, Patrick Q and Matt R Nobles, ‘The Dark Figure of Stalking—Examining Law Enforcement Response’ (2017) 32(20) </w:t>
      </w:r>
      <w:r>
        <w:rPr>
          <w:i/>
          <w:color w:val="231F20"/>
          <w:sz w:val="20"/>
        </w:rPr>
        <w:t xml:space="preserve">Journal of Interpersonal Violence </w:t>
      </w:r>
      <w:r>
        <w:rPr>
          <w:color w:val="231F20"/>
          <w:sz w:val="20"/>
        </w:rPr>
        <w:t>3149</w:t>
      </w:r>
    </w:p>
    <w:p w14:paraId="212533B8" w14:textId="77777777" w:rsidR="00894070" w:rsidRDefault="009B7AFD">
      <w:pPr>
        <w:pStyle w:val="BodyText"/>
        <w:spacing w:before="115" w:line="206" w:lineRule="auto"/>
        <w:ind w:left="1007" w:right="1082"/>
      </w:pPr>
      <w:r>
        <w:rPr>
          <w:color w:val="231F20"/>
        </w:rPr>
        <w:t xml:space="preserve">Brandl, Bonnie, Candace J Heisler and Lori A Stiegel, ‘The Parallels between Undue Influence, Domestic Violence, Stalking, and Sexual Assault’ (2005) 17(3) </w:t>
      </w:r>
      <w:r>
        <w:rPr>
          <w:i/>
          <w:color w:val="231F20"/>
        </w:rPr>
        <w:t xml:space="preserve">Journal of Elder Abuse and Neglect </w:t>
      </w:r>
      <w:r>
        <w:rPr>
          <w:color w:val="231F20"/>
        </w:rPr>
        <w:t>37</w:t>
      </w:r>
    </w:p>
    <w:p w14:paraId="2B3DDAE2" w14:textId="77777777" w:rsidR="00894070" w:rsidRDefault="009B7AFD">
      <w:pPr>
        <w:spacing w:before="118" w:line="206" w:lineRule="auto"/>
        <w:ind w:left="1007" w:right="1292"/>
        <w:rPr>
          <w:sz w:val="20"/>
        </w:rPr>
      </w:pPr>
      <w:r>
        <w:rPr>
          <w:color w:val="231F20"/>
          <w:sz w:val="20"/>
        </w:rPr>
        <w:t xml:space="preserve">Brandt, Cleo and Bianca Voerman, ‘The Dutch Model: A New Approach to Policing Stalking’ in Heng Choon (Oliver) Chan and Lorraine Sheridan (eds), </w:t>
      </w:r>
      <w:r>
        <w:rPr>
          <w:i/>
          <w:color w:val="231F20"/>
          <w:sz w:val="20"/>
        </w:rPr>
        <w:t xml:space="preserve">Psycho-Criminological Approaches to Stalking Behavior: An International Perspective </w:t>
      </w:r>
      <w:r>
        <w:rPr>
          <w:color w:val="231F20"/>
          <w:sz w:val="20"/>
        </w:rPr>
        <w:t>(John Wiley and Sons, 2020) 251</w:t>
      </w:r>
    </w:p>
    <w:p w14:paraId="7F02DD0D" w14:textId="77777777" w:rsidR="00894070" w:rsidRDefault="009B7AFD">
      <w:pPr>
        <w:spacing w:before="117" w:line="206" w:lineRule="auto"/>
        <w:ind w:left="1007" w:right="1700"/>
        <w:rPr>
          <w:sz w:val="20"/>
        </w:rPr>
      </w:pPr>
      <w:r>
        <w:rPr>
          <w:color w:val="231F20"/>
          <w:sz w:val="20"/>
        </w:rPr>
        <w:t xml:space="preserve">Brewster, Mary P, </w:t>
      </w:r>
      <w:r>
        <w:rPr>
          <w:i/>
          <w:color w:val="231F20"/>
          <w:sz w:val="20"/>
        </w:rPr>
        <w:t xml:space="preserve">An Exploration of the Experiences and Needs of Former Intimate Stalking Victims </w:t>
      </w:r>
      <w:r>
        <w:rPr>
          <w:color w:val="231F20"/>
          <w:sz w:val="20"/>
        </w:rPr>
        <w:t>(Final Report, National Institute of Justice, US Department of Justice, May 1999)</w:t>
      </w:r>
    </w:p>
    <w:p w14:paraId="2BE72A78" w14:textId="77777777" w:rsidR="00894070" w:rsidRDefault="009B7AFD">
      <w:pPr>
        <w:spacing w:before="116" w:line="206" w:lineRule="auto"/>
        <w:ind w:left="1007" w:right="1459"/>
        <w:rPr>
          <w:sz w:val="20"/>
        </w:rPr>
      </w:pPr>
      <w:r>
        <w:rPr>
          <w:color w:val="231F20"/>
          <w:sz w:val="20"/>
        </w:rPr>
        <w:t xml:space="preserve">Bright, Sarah, Lauren Barnaba and Melanie Millsteed, </w:t>
      </w:r>
      <w:r>
        <w:rPr>
          <w:i/>
          <w:color w:val="231F20"/>
          <w:sz w:val="20"/>
        </w:rPr>
        <w:t xml:space="preserve">Attrition of Stalking Offence Incidents through the Victorian Criminal Justice System </w:t>
      </w:r>
      <w:r>
        <w:rPr>
          <w:color w:val="231F20"/>
          <w:sz w:val="20"/>
        </w:rPr>
        <w:t>(Data Snapshot, Crime Statistics Agency, forthcoming)</w:t>
      </w:r>
    </w:p>
    <w:p w14:paraId="5E55030D" w14:textId="77777777" w:rsidR="00894070" w:rsidRDefault="009B7AFD">
      <w:pPr>
        <w:spacing w:before="85" w:line="259" w:lineRule="exact"/>
        <w:ind w:left="1007"/>
        <w:rPr>
          <w:i/>
          <w:sz w:val="20"/>
        </w:rPr>
      </w:pPr>
      <w:r>
        <w:rPr>
          <w:color w:val="231F20"/>
          <w:sz w:val="20"/>
        </w:rPr>
        <w:t xml:space="preserve">Brooks-Hay, Oona et al, </w:t>
      </w:r>
      <w:r>
        <w:rPr>
          <w:i/>
          <w:color w:val="231F20"/>
          <w:sz w:val="20"/>
        </w:rPr>
        <w:t>Evaluation of the Rape Crisis Scotland National Advocacy Project</w:t>
      </w:r>
    </w:p>
    <w:p w14:paraId="7E62F22B" w14:textId="77777777" w:rsidR="00894070" w:rsidRDefault="009B7AFD">
      <w:pPr>
        <w:pStyle w:val="BodyText"/>
        <w:spacing w:line="240" w:lineRule="exact"/>
        <w:ind w:left="1007"/>
      </w:pPr>
      <w:r>
        <w:rPr>
          <w:color w:val="231F20"/>
        </w:rPr>
        <w:t>(Briefing No 01/2018, Scottish Centre for Crime and Justice Research, January 2018)</w:t>
      </w:r>
    </w:p>
    <w:p w14:paraId="34F163C4" w14:textId="77777777" w:rsidR="00894070" w:rsidRDefault="009B7AFD">
      <w:pPr>
        <w:pStyle w:val="BodyText"/>
        <w:spacing w:before="13" w:line="206" w:lineRule="auto"/>
        <w:ind w:left="1007" w:right="1855"/>
      </w:pPr>
      <w:r>
        <w:rPr>
          <w:color w:val="231F20"/>
          <w:spacing w:val="-2"/>
        </w:rPr>
        <w:t>&lt;</w:t>
      </w:r>
      <w:hyperlink r:id="rId234">
        <w:r>
          <w:rPr>
            <w:color w:val="231F20"/>
            <w:spacing w:val="-2"/>
          </w:rPr>
          <w:t>https://www.sccjr.ac.uk/publications/evaluation-of-the-rape-crisis-scotland-national-</w:t>
        </w:r>
      </w:hyperlink>
      <w:r>
        <w:rPr>
          <w:color w:val="231F20"/>
          <w:spacing w:val="-2"/>
        </w:rPr>
        <w:t xml:space="preserve"> </w:t>
      </w:r>
      <w:hyperlink r:id="rId235">
        <w:r>
          <w:rPr>
            <w:color w:val="231F20"/>
          </w:rPr>
          <w:t>advocacy-project-summary-report-jan-2018/</w:t>
        </w:r>
      </w:hyperlink>
      <w:r>
        <w:rPr>
          <w:color w:val="231F20"/>
        </w:rPr>
        <w:t>&gt;</w:t>
      </w:r>
    </w:p>
    <w:p w14:paraId="2B8D31B1" w14:textId="77777777" w:rsidR="00894070" w:rsidRDefault="009B7AFD">
      <w:pPr>
        <w:spacing w:before="116" w:line="206" w:lineRule="auto"/>
        <w:ind w:left="1007" w:right="1376"/>
        <w:rPr>
          <w:sz w:val="20"/>
        </w:rPr>
      </w:pPr>
      <w:r>
        <w:rPr>
          <w:color w:val="231F20"/>
          <w:sz w:val="20"/>
        </w:rPr>
        <w:t xml:space="preserve">Campbell, Elena, Centre for Innovative Justice, RMIT University, </w:t>
      </w:r>
      <w:r>
        <w:rPr>
          <w:i/>
          <w:color w:val="231F20"/>
          <w:sz w:val="20"/>
        </w:rPr>
        <w:t xml:space="preserve">Integrating the Indefensible— What Role Should the Community Play? </w:t>
      </w:r>
      <w:r>
        <w:rPr>
          <w:color w:val="231F20"/>
          <w:sz w:val="20"/>
        </w:rPr>
        <w:t>(Issues Paper, December 2017)</w:t>
      </w:r>
    </w:p>
    <w:p w14:paraId="62B824D2" w14:textId="77777777" w:rsidR="00894070" w:rsidRDefault="009B7AFD">
      <w:pPr>
        <w:pStyle w:val="BodyText"/>
        <w:spacing w:before="116" w:line="206" w:lineRule="auto"/>
        <w:ind w:left="1007" w:right="1553"/>
      </w:pPr>
      <w:r>
        <w:rPr>
          <w:color w:val="231F20"/>
        </w:rPr>
        <w:t xml:space="preserve">Cavezza, Cristina and Troy E McEwan, ‘Cyberstalking versus Off-Line Stalking in a Forensic Sample’ (2014) 20(10) </w:t>
      </w:r>
      <w:r>
        <w:rPr>
          <w:i/>
          <w:color w:val="231F20"/>
        </w:rPr>
        <w:t xml:space="preserve">Psychology, Crime and Law </w:t>
      </w:r>
      <w:r>
        <w:rPr>
          <w:color w:val="231F20"/>
        </w:rPr>
        <w:t>955</w:t>
      </w:r>
    </w:p>
    <w:p w14:paraId="4D697E1B" w14:textId="77777777" w:rsidR="00894070" w:rsidRDefault="009B7AFD">
      <w:pPr>
        <w:pStyle w:val="BodyText"/>
        <w:spacing w:before="84"/>
        <w:ind w:left="1007"/>
      </w:pPr>
      <w:r>
        <w:rPr>
          <w:color w:val="231F20"/>
        </w:rPr>
        <w:t>Centre for Innovative Justice, RMIT University,</w:t>
      </w:r>
    </w:p>
    <w:p w14:paraId="6317A846" w14:textId="77777777" w:rsidR="00894070" w:rsidRDefault="009B7AFD">
      <w:pPr>
        <w:pStyle w:val="ListParagraph"/>
        <w:numPr>
          <w:ilvl w:val="0"/>
          <w:numId w:val="12"/>
        </w:numPr>
        <w:tabs>
          <w:tab w:val="left" w:pos="1347"/>
          <w:tab w:val="left" w:pos="1348"/>
        </w:tabs>
        <w:spacing w:before="107" w:line="206" w:lineRule="auto"/>
        <w:ind w:right="1185" w:hanging="340"/>
        <w:rPr>
          <w:sz w:val="20"/>
        </w:rPr>
      </w:pPr>
      <w:r>
        <w:rPr>
          <w:i/>
          <w:color w:val="231F20"/>
          <w:sz w:val="20"/>
        </w:rPr>
        <w:t>Opportunities</w:t>
      </w:r>
      <w:r>
        <w:rPr>
          <w:i/>
          <w:color w:val="231F20"/>
          <w:spacing w:val="-8"/>
          <w:sz w:val="20"/>
        </w:rPr>
        <w:t xml:space="preserve"> </w:t>
      </w:r>
      <w:r>
        <w:rPr>
          <w:i/>
          <w:color w:val="231F20"/>
          <w:sz w:val="20"/>
        </w:rPr>
        <w:t>for</w:t>
      </w:r>
      <w:r>
        <w:rPr>
          <w:i/>
          <w:color w:val="231F20"/>
          <w:spacing w:val="-8"/>
          <w:sz w:val="20"/>
        </w:rPr>
        <w:t xml:space="preserve"> </w:t>
      </w:r>
      <w:r>
        <w:rPr>
          <w:i/>
          <w:color w:val="231F20"/>
          <w:spacing w:val="-3"/>
          <w:sz w:val="20"/>
        </w:rPr>
        <w:t>Early</w:t>
      </w:r>
      <w:r>
        <w:rPr>
          <w:i/>
          <w:color w:val="231F20"/>
          <w:spacing w:val="-8"/>
          <w:sz w:val="20"/>
        </w:rPr>
        <w:t xml:space="preserve"> </w:t>
      </w:r>
      <w:r>
        <w:rPr>
          <w:i/>
          <w:color w:val="231F20"/>
          <w:sz w:val="20"/>
        </w:rPr>
        <w:t>Intervention:</w:t>
      </w:r>
      <w:r>
        <w:rPr>
          <w:i/>
          <w:color w:val="231F20"/>
          <w:spacing w:val="-7"/>
          <w:sz w:val="20"/>
        </w:rPr>
        <w:t xml:space="preserve"> </w:t>
      </w:r>
      <w:r>
        <w:rPr>
          <w:i/>
          <w:color w:val="231F20"/>
          <w:sz w:val="20"/>
        </w:rPr>
        <w:t>Bringing</w:t>
      </w:r>
      <w:r>
        <w:rPr>
          <w:i/>
          <w:color w:val="231F20"/>
          <w:spacing w:val="-8"/>
          <w:sz w:val="20"/>
        </w:rPr>
        <w:t xml:space="preserve"> </w:t>
      </w:r>
      <w:r>
        <w:rPr>
          <w:i/>
          <w:color w:val="231F20"/>
          <w:sz w:val="20"/>
        </w:rPr>
        <w:t>Perpetrators</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Family</w:t>
      </w:r>
      <w:r>
        <w:rPr>
          <w:i/>
          <w:color w:val="231F20"/>
          <w:spacing w:val="-7"/>
          <w:sz w:val="20"/>
        </w:rPr>
        <w:t xml:space="preserve"> </w:t>
      </w:r>
      <w:r>
        <w:rPr>
          <w:i/>
          <w:color w:val="231F20"/>
          <w:sz w:val="20"/>
        </w:rPr>
        <w:t>Violence</w:t>
      </w:r>
      <w:r>
        <w:rPr>
          <w:i/>
          <w:color w:val="231F20"/>
          <w:spacing w:val="-8"/>
          <w:sz w:val="20"/>
        </w:rPr>
        <w:t xml:space="preserve"> </w:t>
      </w:r>
      <w:r>
        <w:rPr>
          <w:i/>
          <w:color w:val="231F20"/>
          <w:sz w:val="20"/>
        </w:rPr>
        <w:t>into</w:t>
      </w:r>
      <w:r>
        <w:rPr>
          <w:i/>
          <w:color w:val="231F20"/>
          <w:spacing w:val="-8"/>
          <w:sz w:val="20"/>
        </w:rPr>
        <w:t xml:space="preserve"> </w:t>
      </w:r>
      <w:r>
        <w:rPr>
          <w:i/>
          <w:color w:val="231F20"/>
          <w:sz w:val="20"/>
        </w:rPr>
        <w:t>View</w:t>
      </w:r>
      <w:r>
        <w:rPr>
          <w:i/>
          <w:color w:val="231F20"/>
          <w:spacing w:val="-7"/>
          <w:sz w:val="20"/>
        </w:rPr>
        <w:t xml:space="preserve"> </w:t>
      </w:r>
      <w:r>
        <w:rPr>
          <w:color w:val="231F20"/>
          <w:sz w:val="20"/>
        </w:rPr>
        <w:t>(Report, March</w:t>
      </w:r>
      <w:r>
        <w:rPr>
          <w:color w:val="231F20"/>
          <w:spacing w:val="-3"/>
          <w:sz w:val="20"/>
        </w:rPr>
        <w:t xml:space="preserve"> </w:t>
      </w:r>
      <w:r>
        <w:rPr>
          <w:color w:val="231F20"/>
          <w:sz w:val="20"/>
        </w:rPr>
        <w:t>2015)</w:t>
      </w:r>
    </w:p>
    <w:p w14:paraId="1D9F76CC" w14:textId="77777777" w:rsidR="00894070" w:rsidRDefault="009B7AFD">
      <w:pPr>
        <w:pStyle w:val="ListParagraph"/>
        <w:numPr>
          <w:ilvl w:val="0"/>
          <w:numId w:val="12"/>
        </w:numPr>
        <w:tabs>
          <w:tab w:val="left" w:pos="1347"/>
          <w:tab w:val="left" w:pos="1348"/>
        </w:tabs>
        <w:spacing w:before="88" w:line="206" w:lineRule="auto"/>
        <w:ind w:right="2018" w:hanging="340"/>
        <w:rPr>
          <w:sz w:val="20"/>
        </w:rPr>
      </w:pPr>
      <w:r>
        <w:rPr>
          <w:i/>
          <w:color w:val="231F20"/>
          <w:sz w:val="20"/>
        </w:rPr>
        <w:t>Strengthening</w:t>
      </w:r>
      <w:r>
        <w:rPr>
          <w:i/>
          <w:color w:val="231F20"/>
          <w:spacing w:val="-7"/>
          <w:sz w:val="20"/>
        </w:rPr>
        <w:t xml:space="preserve"> </w:t>
      </w:r>
      <w:r>
        <w:rPr>
          <w:i/>
          <w:color w:val="231F20"/>
          <w:sz w:val="20"/>
        </w:rPr>
        <w:t>Victoria’s</w:t>
      </w:r>
      <w:r>
        <w:rPr>
          <w:i/>
          <w:color w:val="231F20"/>
          <w:spacing w:val="-6"/>
          <w:sz w:val="20"/>
        </w:rPr>
        <w:t xml:space="preserve"> </w:t>
      </w:r>
      <w:r>
        <w:rPr>
          <w:i/>
          <w:color w:val="231F20"/>
          <w:sz w:val="20"/>
        </w:rPr>
        <w:t>Victim</w:t>
      </w:r>
      <w:r>
        <w:rPr>
          <w:i/>
          <w:color w:val="231F20"/>
          <w:spacing w:val="-7"/>
          <w:sz w:val="20"/>
        </w:rPr>
        <w:t xml:space="preserve"> </w:t>
      </w:r>
      <w:r>
        <w:rPr>
          <w:i/>
          <w:color w:val="231F20"/>
          <w:sz w:val="20"/>
        </w:rPr>
        <w:t>Support</w:t>
      </w:r>
      <w:r>
        <w:rPr>
          <w:i/>
          <w:color w:val="231F20"/>
          <w:spacing w:val="-6"/>
          <w:sz w:val="20"/>
        </w:rPr>
        <w:t xml:space="preserve"> </w:t>
      </w:r>
      <w:r>
        <w:rPr>
          <w:i/>
          <w:color w:val="231F20"/>
          <w:spacing w:val="-3"/>
          <w:sz w:val="20"/>
        </w:rPr>
        <w:t>System:</w:t>
      </w:r>
      <w:r>
        <w:rPr>
          <w:i/>
          <w:color w:val="231F20"/>
          <w:spacing w:val="-6"/>
          <w:sz w:val="20"/>
        </w:rPr>
        <w:t xml:space="preserve"> </w:t>
      </w:r>
      <w:r>
        <w:rPr>
          <w:i/>
          <w:color w:val="231F20"/>
          <w:sz w:val="20"/>
        </w:rPr>
        <w:t>Victim</w:t>
      </w:r>
      <w:r>
        <w:rPr>
          <w:i/>
          <w:color w:val="231F20"/>
          <w:spacing w:val="-6"/>
          <w:sz w:val="20"/>
        </w:rPr>
        <w:t xml:space="preserve"> </w:t>
      </w:r>
      <w:r>
        <w:rPr>
          <w:i/>
          <w:color w:val="231F20"/>
          <w:sz w:val="20"/>
        </w:rPr>
        <w:t>Services</w:t>
      </w:r>
      <w:r>
        <w:rPr>
          <w:i/>
          <w:color w:val="231F20"/>
          <w:spacing w:val="-6"/>
          <w:sz w:val="20"/>
        </w:rPr>
        <w:t xml:space="preserve"> </w:t>
      </w:r>
      <w:r>
        <w:rPr>
          <w:i/>
          <w:color w:val="231F20"/>
          <w:sz w:val="20"/>
        </w:rPr>
        <w:t>Review</w:t>
      </w:r>
      <w:r>
        <w:rPr>
          <w:i/>
          <w:color w:val="231F20"/>
          <w:spacing w:val="-6"/>
          <w:sz w:val="20"/>
        </w:rPr>
        <w:t xml:space="preserve"> </w:t>
      </w:r>
      <w:r>
        <w:rPr>
          <w:color w:val="231F20"/>
          <w:sz w:val="20"/>
        </w:rPr>
        <w:t>(Final</w:t>
      </w:r>
      <w:r>
        <w:rPr>
          <w:color w:val="231F20"/>
          <w:spacing w:val="-6"/>
          <w:sz w:val="20"/>
        </w:rPr>
        <w:t xml:space="preserve"> </w:t>
      </w:r>
      <w:r>
        <w:rPr>
          <w:color w:val="231F20"/>
          <w:sz w:val="20"/>
        </w:rPr>
        <w:t>Report, November</w:t>
      </w:r>
      <w:r>
        <w:rPr>
          <w:color w:val="231F20"/>
          <w:spacing w:val="-3"/>
          <w:sz w:val="20"/>
        </w:rPr>
        <w:t xml:space="preserve"> 2020)</w:t>
      </w:r>
    </w:p>
    <w:p w14:paraId="099D4322" w14:textId="77777777" w:rsidR="00894070" w:rsidRDefault="009B7AFD">
      <w:pPr>
        <w:spacing w:before="88" w:line="206" w:lineRule="auto"/>
        <w:ind w:left="1007" w:right="1219"/>
        <w:rPr>
          <w:sz w:val="20"/>
        </w:rPr>
      </w:pPr>
      <w:r>
        <w:rPr>
          <w:color w:val="231F20"/>
          <w:sz w:val="20"/>
        </w:rPr>
        <w:t xml:space="preserve">Chan, Heng Choon and Lorraine Sheridan (eds), </w:t>
      </w:r>
      <w:r>
        <w:rPr>
          <w:i/>
          <w:color w:val="231F20"/>
          <w:sz w:val="20"/>
        </w:rPr>
        <w:t xml:space="preserve">Psycho-Criminological Approaches to Stalking Behavior: An International Perspective </w:t>
      </w:r>
      <w:r>
        <w:rPr>
          <w:color w:val="231F20"/>
          <w:sz w:val="20"/>
        </w:rPr>
        <w:t>(Wiley, 2020)</w:t>
      </w:r>
    </w:p>
    <w:p w14:paraId="71252CB7" w14:textId="77777777" w:rsidR="00894070" w:rsidRDefault="009B7AFD">
      <w:pPr>
        <w:spacing w:before="83" w:line="259" w:lineRule="exact"/>
        <w:ind w:left="1007"/>
        <w:rPr>
          <w:i/>
          <w:sz w:val="20"/>
        </w:rPr>
      </w:pPr>
      <w:r>
        <w:rPr>
          <w:color w:val="231F20"/>
          <w:sz w:val="20"/>
        </w:rPr>
        <w:t xml:space="preserve">Chang, Wei-Jung, ‘Cyberstalking and Law Enforcement’ (2020) 176 </w:t>
      </w:r>
      <w:r>
        <w:rPr>
          <w:i/>
          <w:color w:val="231F20"/>
          <w:sz w:val="20"/>
        </w:rPr>
        <w:t>Procedia Computer Science</w:t>
      </w:r>
    </w:p>
    <w:p w14:paraId="3A315F9E" w14:textId="77777777" w:rsidR="00894070" w:rsidRDefault="009B7AFD">
      <w:pPr>
        <w:pStyle w:val="BodyText"/>
        <w:spacing w:line="259" w:lineRule="exact"/>
        <w:ind w:left="1007"/>
      </w:pPr>
      <w:r>
        <w:rPr>
          <w:color w:val="231F20"/>
        </w:rPr>
        <w:t>1188</w:t>
      </w:r>
    </w:p>
    <w:p w14:paraId="132E030C" w14:textId="77777777" w:rsidR="00894070" w:rsidRDefault="00894070">
      <w:pPr>
        <w:pStyle w:val="BodyText"/>
        <w:spacing w:before="2"/>
        <w:rPr>
          <w:sz w:val="25"/>
        </w:rPr>
      </w:pPr>
    </w:p>
    <w:p w14:paraId="6737A43F" w14:textId="77777777" w:rsidR="00894070" w:rsidRDefault="009B7AFD">
      <w:pPr>
        <w:pStyle w:val="Heading8"/>
        <w:spacing w:before="48"/>
        <w:ind w:right="176"/>
        <w:jc w:val="right"/>
      </w:pPr>
      <w:r>
        <w:rPr>
          <w:color w:val="EA5B50"/>
        </w:rPr>
        <w:t>195</w:t>
      </w:r>
    </w:p>
    <w:p w14:paraId="5CA4EA43" w14:textId="77777777" w:rsidR="00894070" w:rsidRDefault="00894070">
      <w:pPr>
        <w:jc w:val="right"/>
        <w:sectPr w:rsidR="00894070">
          <w:headerReference w:type="even" r:id="rId236"/>
          <w:headerReference w:type="default" r:id="rId237"/>
          <w:pgSz w:w="11910" w:h="16840"/>
          <w:pgMar w:top="840" w:right="420" w:bottom="280" w:left="580" w:header="0" w:footer="0" w:gutter="0"/>
          <w:cols w:space="720"/>
        </w:sectPr>
      </w:pPr>
    </w:p>
    <w:p w14:paraId="3DBC0354" w14:textId="77777777" w:rsidR="00894070" w:rsidRDefault="00894070">
      <w:pPr>
        <w:pStyle w:val="BodyText"/>
        <w:rPr>
          <w:b/>
        </w:rPr>
      </w:pPr>
    </w:p>
    <w:p w14:paraId="70D87213" w14:textId="77777777" w:rsidR="00894070" w:rsidRDefault="00894070">
      <w:pPr>
        <w:pStyle w:val="BodyText"/>
        <w:rPr>
          <w:b/>
        </w:rPr>
      </w:pPr>
    </w:p>
    <w:p w14:paraId="3A9D2476" w14:textId="77777777" w:rsidR="00894070" w:rsidRDefault="00894070">
      <w:pPr>
        <w:pStyle w:val="BodyText"/>
        <w:rPr>
          <w:b/>
        </w:rPr>
      </w:pPr>
    </w:p>
    <w:p w14:paraId="398C8986" w14:textId="77777777" w:rsidR="00894070" w:rsidRDefault="00894070">
      <w:pPr>
        <w:pStyle w:val="BodyText"/>
        <w:spacing w:before="11"/>
        <w:rPr>
          <w:b/>
          <w:sz w:val="18"/>
        </w:rPr>
      </w:pPr>
    </w:p>
    <w:p w14:paraId="5F84BE88" w14:textId="77777777" w:rsidR="00894070" w:rsidRDefault="009B7AFD">
      <w:pPr>
        <w:pStyle w:val="BodyText"/>
        <w:spacing w:line="206" w:lineRule="auto"/>
        <w:ind w:left="1007" w:right="1208"/>
      </w:pPr>
      <w:r>
        <w:rPr>
          <w:color w:val="231F20"/>
        </w:rPr>
        <w:t xml:space="preserve">‘Child Witness Service’, </w:t>
      </w:r>
      <w:r>
        <w:rPr>
          <w:i/>
          <w:color w:val="231F20"/>
        </w:rPr>
        <w:t xml:space="preserve">Victims of Crime </w:t>
      </w:r>
      <w:r>
        <w:rPr>
          <w:color w:val="231F20"/>
        </w:rPr>
        <w:t xml:space="preserve">(Web Page, </w:t>
      </w:r>
      <w:r>
        <w:rPr>
          <w:color w:val="231F20"/>
          <w:spacing w:val="-3"/>
        </w:rPr>
        <w:t xml:space="preserve">10 </w:t>
      </w:r>
      <w:r>
        <w:rPr>
          <w:color w:val="231F20"/>
        </w:rPr>
        <w:t>June 2021)</w:t>
      </w:r>
      <w:r>
        <w:rPr>
          <w:color w:val="231F20"/>
          <w:spacing w:val="-4"/>
        </w:rPr>
        <w:t xml:space="preserve"> &lt;</w:t>
      </w:r>
      <w:hyperlink r:id="rId238">
        <w:r>
          <w:rPr>
            <w:color w:val="231F20"/>
            <w:spacing w:val="-4"/>
          </w:rPr>
          <w:t>http://www.victimsofcrime.</w:t>
        </w:r>
      </w:hyperlink>
      <w:r>
        <w:rPr>
          <w:color w:val="231F20"/>
          <w:spacing w:val="-4"/>
        </w:rPr>
        <w:t xml:space="preserve"> </w:t>
      </w:r>
      <w:hyperlink r:id="rId239">
        <w:r>
          <w:rPr>
            <w:color w:val="231F20"/>
          </w:rPr>
          <w:t>vic.gov.au/going-to-court/child-witness-service</w:t>
        </w:r>
      </w:hyperlink>
      <w:r>
        <w:rPr>
          <w:color w:val="231F20"/>
        </w:rPr>
        <w:t>&gt;</w:t>
      </w:r>
    </w:p>
    <w:p w14:paraId="028E53FB" w14:textId="77777777" w:rsidR="00894070" w:rsidRDefault="009B7AFD">
      <w:pPr>
        <w:spacing w:before="84" w:line="259" w:lineRule="exact"/>
        <w:ind w:left="1007"/>
        <w:rPr>
          <w:i/>
          <w:sz w:val="20"/>
        </w:rPr>
      </w:pPr>
      <w:r>
        <w:rPr>
          <w:color w:val="231F20"/>
          <w:sz w:val="20"/>
        </w:rPr>
        <w:t xml:space="preserve">Chung, Donna et al, </w:t>
      </w:r>
      <w:r>
        <w:rPr>
          <w:i/>
          <w:color w:val="231F20"/>
          <w:sz w:val="20"/>
        </w:rPr>
        <w:t>Improved Accountability: The Role of Perpetrator Intervention Systems</w:t>
      </w:r>
    </w:p>
    <w:p w14:paraId="29387F3B" w14:textId="77777777" w:rsidR="00894070" w:rsidRDefault="009B7AFD">
      <w:pPr>
        <w:pStyle w:val="BodyText"/>
        <w:spacing w:line="259" w:lineRule="exact"/>
        <w:ind w:left="1007"/>
      </w:pPr>
      <w:r>
        <w:rPr>
          <w:color w:val="231F20"/>
        </w:rPr>
        <w:t>(Research Report No 20, ANROWS, June 2020)</w:t>
      </w:r>
    </w:p>
    <w:p w14:paraId="7775B301" w14:textId="77777777" w:rsidR="00894070" w:rsidRDefault="009B7AFD">
      <w:pPr>
        <w:pStyle w:val="BodyText"/>
        <w:spacing w:before="108" w:line="206" w:lineRule="auto"/>
        <w:ind w:left="1007" w:right="1147"/>
      </w:pPr>
      <w:r>
        <w:rPr>
          <w:color w:val="231F20"/>
        </w:rPr>
        <w:t xml:space="preserve">Cloonan-Thomas, Sinead, Elizabeth S Daff and Troy E McEwan, ‘Post-Relationship Stalking and Intimate Partner Abuse in a Sample of Australian Adolescents’ [2021] </w:t>
      </w:r>
      <w:r>
        <w:rPr>
          <w:i/>
          <w:color w:val="231F20"/>
        </w:rPr>
        <w:t xml:space="preserve">Legal and Criminological Psychology </w:t>
      </w:r>
      <w:r>
        <w:rPr>
          <w:color w:val="231F20"/>
        </w:rPr>
        <w:t>10.1111/lcrp.12206:1–22</w:t>
      </w:r>
    </w:p>
    <w:p w14:paraId="79612386" w14:textId="77777777" w:rsidR="00894070" w:rsidRDefault="009B7AFD">
      <w:pPr>
        <w:spacing w:before="117" w:line="206" w:lineRule="auto"/>
        <w:ind w:left="1007" w:right="2214"/>
        <w:rPr>
          <w:sz w:val="20"/>
        </w:rPr>
      </w:pPr>
      <w:r>
        <w:rPr>
          <w:color w:val="231F20"/>
          <w:sz w:val="20"/>
        </w:rPr>
        <w:t xml:space="preserve">College of Policing (UK), </w:t>
      </w:r>
      <w:r>
        <w:rPr>
          <w:i/>
          <w:color w:val="231F20"/>
          <w:sz w:val="20"/>
        </w:rPr>
        <w:t xml:space="preserve">Stalking or Harassment: Advice for Investigators on Effective Investigation </w:t>
      </w:r>
      <w:r>
        <w:rPr>
          <w:color w:val="231F20"/>
          <w:sz w:val="20"/>
        </w:rPr>
        <w:t>(Report, November 2020)</w:t>
      </w:r>
    </w:p>
    <w:p w14:paraId="1E9CB6C1" w14:textId="77777777" w:rsidR="00894070" w:rsidRDefault="009B7AFD">
      <w:pPr>
        <w:spacing w:before="84"/>
        <w:ind w:left="1007"/>
        <w:rPr>
          <w:sz w:val="20"/>
        </w:rPr>
      </w:pPr>
      <w:r>
        <w:rPr>
          <w:color w:val="231F20"/>
          <w:sz w:val="20"/>
        </w:rPr>
        <w:t xml:space="preserve">Commonwealth of Australia, </w:t>
      </w:r>
      <w:r>
        <w:rPr>
          <w:i/>
          <w:color w:val="231F20"/>
          <w:sz w:val="20"/>
        </w:rPr>
        <w:t xml:space="preserve">Online Safety Charter </w:t>
      </w:r>
      <w:r>
        <w:rPr>
          <w:color w:val="231F20"/>
          <w:sz w:val="20"/>
        </w:rPr>
        <w:t>(Charter, 2019)</w:t>
      </w:r>
    </w:p>
    <w:p w14:paraId="7D1BD351" w14:textId="77777777" w:rsidR="00894070" w:rsidRDefault="009B7AFD">
      <w:pPr>
        <w:pStyle w:val="BodyText"/>
        <w:spacing w:before="108" w:line="206" w:lineRule="auto"/>
        <w:ind w:left="1007" w:right="1166"/>
      </w:pPr>
      <w:r>
        <w:rPr>
          <w:color w:val="231F20"/>
        </w:rPr>
        <w:t xml:space="preserve">Corrections Victoria, ‘Transition and Reintegration Unit </w:t>
      </w:r>
      <w:r>
        <w:rPr>
          <w:color w:val="231F20"/>
          <w:spacing w:val="-3"/>
        </w:rPr>
        <w:t xml:space="preserve">Brochures’, </w:t>
      </w:r>
      <w:r>
        <w:rPr>
          <w:i/>
          <w:color w:val="231F20"/>
        </w:rPr>
        <w:t>Corrections, Prisons and Parole</w:t>
      </w:r>
      <w:r>
        <w:rPr>
          <w:i/>
          <w:color w:val="231F20"/>
          <w:spacing w:val="-25"/>
        </w:rPr>
        <w:t xml:space="preserve"> </w:t>
      </w:r>
      <w:r>
        <w:rPr>
          <w:color w:val="231F20"/>
        </w:rPr>
        <w:t>(Web</w:t>
      </w:r>
      <w:r>
        <w:rPr>
          <w:color w:val="231F20"/>
          <w:spacing w:val="-26"/>
        </w:rPr>
        <w:t xml:space="preserve"> </w:t>
      </w:r>
      <w:r>
        <w:rPr>
          <w:color w:val="231F20"/>
        </w:rPr>
        <w:t>Page,</w:t>
      </w:r>
      <w:r>
        <w:rPr>
          <w:color w:val="231F20"/>
          <w:spacing w:val="-26"/>
        </w:rPr>
        <w:t xml:space="preserve"> </w:t>
      </w:r>
      <w:r>
        <w:rPr>
          <w:color w:val="231F20"/>
        </w:rPr>
        <w:t>May</w:t>
      </w:r>
      <w:r>
        <w:rPr>
          <w:color w:val="231F20"/>
          <w:spacing w:val="-26"/>
        </w:rPr>
        <w:t xml:space="preserve"> </w:t>
      </w:r>
      <w:r>
        <w:rPr>
          <w:color w:val="231F20"/>
          <w:spacing w:val="-3"/>
        </w:rPr>
        <w:t>2018)</w:t>
      </w:r>
      <w:r>
        <w:rPr>
          <w:color w:val="231F20"/>
          <w:spacing w:val="-26"/>
        </w:rPr>
        <w:t xml:space="preserve"> </w:t>
      </w:r>
      <w:r>
        <w:rPr>
          <w:color w:val="231F20"/>
        </w:rPr>
        <w:t>&lt;</w:t>
      </w:r>
      <w:hyperlink r:id="rId240">
        <w:r>
          <w:rPr>
            <w:color w:val="231F20"/>
          </w:rPr>
          <w:t>https://www.corrections.vic.gov.au/transition-and-reintegration-</w:t>
        </w:r>
      </w:hyperlink>
      <w:r>
        <w:rPr>
          <w:color w:val="231F20"/>
        </w:rPr>
        <w:t xml:space="preserve"> </w:t>
      </w:r>
      <w:hyperlink r:id="rId241">
        <w:r>
          <w:rPr>
            <w:color w:val="231F20"/>
          </w:rPr>
          <w:t>unit-brochures</w:t>
        </w:r>
      </w:hyperlink>
      <w:r>
        <w:rPr>
          <w:color w:val="231F20"/>
        </w:rPr>
        <w:t>&gt;</w:t>
      </w:r>
    </w:p>
    <w:p w14:paraId="2F86B606" w14:textId="77777777" w:rsidR="00894070" w:rsidRDefault="009B7AFD">
      <w:pPr>
        <w:spacing w:before="85" w:line="259" w:lineRule="exact"/>
        <w:ind w:left="1007"/>
        <w:rPr>
          <w:i/>
          <w:sz w:val="20"/>
        </w:rPr>
      </w:pPr>
      <w:r>
        <w:rPr>
          <w:color w:val="231F20"/>
          <w:sz w:val="20"/>
        </w:rPr>
        <w:t xml:space="preserve">Corrective Services Administrators’ Council (Cth), </w:t>
      </w:r>
      <w:r>
        <w:rPr>
          <w:i/>
          <w:color w:val="231F20"/>
          <w:sz w:val="20"/>
        </w:rPr>
        <w:t>Guiding Principles for Corrections in Australia</w:t>
      </w:r>
    </w:p>
    <w:p w14:paraId="5E01D7B9" w14:textId="77777777" w:rsidR="00894070" w:rsidRDefault="009B7AFD">
      <w:pPr>
        <w:pStyle w:val="BodyText"/>
        <w:spacing w:line="259" w:lineRule="exact"/>
        <w:ind w:left="1007"/>
      </w:pPr>
      <w:r>
        <w:rPr>
          <w:color w:val="231F20"/>
        </w:rPr>
        <w:t>(Guidelines, 2018)</w:t>
      </w:r>
    </w:p>
    <w:p w14:paraId="07BDC25B" w14:textId="77777777" w:rsidR="00894070" w:rsidRDefault="009B7AFD">
      <w:pPr>
        <w:spacing w:before="76" w:line="259" w:lineRule="exact"/>
        <w:ind w:left="1007"/>
        <w:rPr>
          <w:i/>
          <w:sz w:val="20"/>
        </w:rPr>
      </w:pPr>
      <w:r>
        <w:rPr>
          <w:color w:val="231F20"/>
          <w:sz w:val="20"/>
        </w:rPr>
        <w:t xml:space="preserve">Council of Australian Governments, </w:t>
      </w:r>
      <w:r>
        <w:rPr>
          <w:i/>
          <w:color w:val="231F20"/>
          <w:sz w:val="20"/>
        </w:rPr>
        <w:t>National Outcome Standards for Perpetrator Interventions</w:t>
      </w:r>
    </w:p>
    <w:p w14:paraId="15D5D0FD" w14:textId="77777777" w:rsidR="00894070" w:rsidRDefault="009B7AFD">
      <w:pPr>
        <w:pStyle w:val="BodyText"/>
        <w:spacing w:line="259" w:lineRule="exact"/>
        <w:ind w:left="1007"/>
      </w:pPr>
      <w:r>
        <w:rPr>
          <w:color w:val="231F20"/>
        </w:rPr>
        <w:t>(Policy, 21 November 2015)</w:t>
      </w:r>
    </w:p>
    <w:p w14:paraId="46BF28AA" w14:textId="77777777" w:rsidR="00894070" w:rsidRDefault="009B7AFD">
      <w:pPr>
        <w:pStyle w:val="BodyText"/>
        <w:spacing w:before="108" w:line="206" w:lineRule="auto"/>
        <w:ind w:left="1007" w:right="1283"/>
      </w:pPr>
      <w:r>
        <w:rPr>
          <w:color w:val="231F20"/>
        </w:rPr>
        <w:t xml:space="preserve">Cox, Pamela, J et al, ‘The Rape Prevention and Education (RPE) Theory Model of Community Change: Connecting Individual and Social Change’ (2010) 13 </w:t>
      </w:r>
      <w:r>
        <w:rPr>
          <w:i/>
          <w:color w:val="231F20"/>
        </w:rPr>
        <w:t xml:space="preserve">Journal of Family Social Work </w:t>
      </w:r>
      <w:r>
        <w:rPr>
          <w:color w:val="231F20"/>
        </w:rPr>
        <w:t>297</w:t>
      </w:r>
    </w:p>
    <w:p w14:paraId="2E87E8C9" w14:textId="77777777" w:rsidR="00894070" w:rsidRDefault="009B7AFD">
      <w:pPr>
        <w:spacing w:before="116" w:line="206" w:lineRule="auto"/>
        <w:ind w:left="1007" w:right="1103"/>
        <w:rPr>
          <w:sz w:val="20"/>
        </w:rPr>
      </w:pPr>
      <w:r>
        <w:rPr>
          <w:color w:val="231F20"/>
          <w:sz w:val="20"/>
        </w:rPr>
        <w:t xml:space="preserve">Cripps, K et al, </w:t>
      </w:r>
      <w:r>
        <w:rPr>
          <w:i/>
          <w:color w:val="231F20"/>
          <w:sz w:val="20"/>
        </w:rPr>
        <w:t xml:space="preserve">Attitudes towards Violence against Women and Gender Equality among Aboriginal People and Torres Strait Islanders—Findings from the 2017 National Community Attitudes towards Violence against Women Survey (NCAS) </w:t>
      </w:r>
      <w:r>
        <w:rPr>
          <w:color w:val="231F20"/>
          <w:sz w:val="20"/>
        </w:rPr>
        <w:t>(ANROWS Insights No 3, 2019)</w:t>
      </w:r>
    </w:p>
    <w:p w14:paraId="2EFA377E" w14:textId="77777777" w:rsidR="00894070" w:rsidRDefault="009B7AFD">
      <w:pPr>
        <w:pStyle w:val="BodyText"/>
        <w:spacing w:before="84" w:line="259" w:lineRule="exact"/>
        <w:ind w:left="1007"/>
      </w:pPr>
      <w:r>
        <w:rPr>
          <w:color w:val="231F20"/>
        </w:rPr>
        <w:t>Crofts, Thomas, ‘A Brighter Tomorrow: Raise the Age of Criminal Responsibility’ (2015) 27(1)</w:t>
      </w:r>
    </w:p>
    <w:p w14:paraId="502FB9C2" w14:textId="77777777" w:rsidR="00894070" w:rsidRDefault="009B7AFD">
      <w:pPr>
        <w:spacing w:line="259" w:lineRule="exact"/>
        <w:ind w:left="1007"/>
        <w:rPr>
          <w:sz w:val="20"/>
        </w:rPr>
      </w:pPr>
      <w:r>
        <w:rPr>
          <w:i/>
          <w:color w:val="231F20"/>
          <w:sz w:val="20"/>
        </w:rPr>
        <w:t xml:space="preserve">Current Issues in Criminal Justice </w:t>
      </w:r>
      <w:r>
        <w:rPr>
          <w:color w:val="231F20"/>
          <w:sz w:val="20"/>
        </w:rPr>
        <w:t>123</w:t>
      </w:r>
    </w:p>
    <w:p w14:paraId="51F63146" w14:textId="77777777" w:rsidR="00894070" w:rsidRDefault="009B7AFD">
      <w:pPr>
        <w:spacing w:before="109" w:line="206" w:lineRule="auto"/>
        <w:ind w:left="1007" w:right="1459"/>
        <w:rPr>
          <w:sz w:val="20"/>
        </w:rPr>
      </w:pPr>
      <w:r>
        <w:rPr>
          <w:color w:val="231F20"/>
          <w:sz w:val="20"/>
        </w:rPr>
        <w:t xml:space="preserve">Cross, Cassandra and Thomas Holt, </w:t>
      </w:r>
      <w:r>
        <w:rPr>
          <w:i/>
          <w:color w:val="231F20"/>
          <w:sz w:val="20"/>
        </w:rPr>
        <w:t xml:space="preserve">Responding to Cybercrime: Results of a Comparison between Community Members and Police Personnel </w:t>
      </w:r>
      <w:r>
        <w:rPr>
          <w:color w:val="231F20"/>
          <w:sz w:val="20"/>
        </w:rPr>
        <w:t>(Trends &amp; Issues in Crime and Criminal Justice No. 635 August 2021, Australian Institute of Criminology, 19 August 2021)</w:t>
      </w:r>
    </w:p>
    <w:p w14:paraId="6CCD368C" w14:textId="77777777" w:rsidR="00894070" w:rsidRDefault="009B7AFD">
      <w:pPr>
        <w:pStyle w:val="BodyText"/>
        <w:spacing w:line="249" w:lineRule="exact"/>
        <w:ind w:left="1007"/>
      </w:pPr>
      <w:r>
        <w:rPr>
          <w:color w:val="231F20"/>
        </w:rPr>
        <w:t>&lt;</w:t>
      </w:r>
      <w:hyperlink r:id="rId242">
        <w:r>
          <w:rPr>
            <w:color w:val="231F20"/>
          </w:rPr>
          <w:t>https://www.aic.gov.au/publications/tandi/tandi635</w:t>
        </w:r>
      </w:hyperlink>
      <w:r>
        <w:rPr>
          <w:color w:val="231F20"/>
        </w:rPr>
        <w:t>&gt;</w:t>
      </w:r>
    </w:p>
    <w:p w14:paraId="17B29D2F" w14:textId="77777777" w:rsidR="00894070" w:rsidRDefault="009B7AFD">
      <w:pPr>
        <w:spacing w:before="108" w:line="206" w:lineRule="auto"/>
        <w:ind w:left="1007" w:right="1279"/>
        <w:rPr>
          <w:sz w:val="20"/>
        </w:rPr>
      </w:pPr>
      <w:r>
        <w:rPr>
          <w:color w:val="231F20"/>
          <w:sz w:val="20"/>
        </w:rPr>
        <w:t xml:space="preserve">Cunneen, Chris, </w:t>
      </w:r>
      <w:r>
        <w:rPr>
          <w:i/>
          <w:color w:val="231F20"/>
          <w:sz w:val="20"/>
        </w:rPr>
        <w:t xml:space="preserve">Arguments for Raising the Minimum Age of Criminal Responsibility </w:t>
      </w:r>
      <w:r>
        <w:rPr>
          <w:color w:val="231F20"/>
          <w:sz w:val="20"/>
        </w:rPr>
        <w:t>(Research Report, Comparative Youth Penalty Project, Jumbunna Institute for Indigenous Education and Research, University of Technology Sydney, February 2020)</w:t>
      </w:r>
    </w:p>
    <w:p w14:paraId="3A44E586" w14:textId="77777777" w:rsidR="00894070" w:rsidRDefault="009B7AFD">
      <w:pPr>
        <w:spacing w:before="85"/>
        <w:ind w:left="1007"/>
        <w:rPr>
          <w:sz w:val="20"/>
        </w:rPr>
      </w:pPr>
      <w:r>
        <w:rPr>
          <w:color w:val="231F20"/>
          <w:sz w:val="20"/>
        </w:rPr>
        <w:t xml:space="preserve">David, Andrea et al, </w:t>
      </w:r>
      <w:r>
        <w:rPr>
          <w:i/>
          <w:color w:val="231F20"/>
          <w:sz w:val="20"/>
        </w:rPr>
        <w:t xml:space="preserve">Breaching Intervention Orders </w:t>
      </w:r>
      <w:r>
        <w:rPr>
          <w:color w:val="231F20"/>
          <w:sz w:val="20"/>
        </w:rPr>
        <w:t>(Report, Sentencing Advisory Council, 2008)</w:t>
      </w:r>
    </w:p>
    <w:p w14:paraId="00260A2B" w14:textId="77777777" w:rsidR="00894070" w:rsidRDefault="009B7AFD">
      <w:pPr>
        <w:pStyle w:val="BodyText"/>
        <w:spacing w:before="108" w:line="206" w:lineRule="auto"/>
        <w:ind w:left="1007" w:right="1488"/>
      </w:pPr>
      <w:r>
        <w:rPr>
          <w:color w:val="231F20"/>
        </w:rPr>
        <w:t xml:space="preserve">Davis, Gianna E, Denise A Hines and Kathleen M Palm Reed, ‘Routine Activities and Stalking Victimization in Sexual Minority College Students’ [2021] </w:t>
      </w:r>
      <w:r>
        <w:rPr>
          <w:i/>
          <w:color w:val="231F20"/>
        </w:rPr>
        <w:t xml:space="preserve">Journal of Interpersonal Violence </w:t>
      </w:r>
      <w:r>
        <w:rPr>
          <w:color w:val="231F20"/>
        </w:rPr>
        <w:t>10.1177/0886260521991879:1-29</w:t>
      </w:r>
    </w:p>
    <w:p w14:paraId="4E60C7D8" w14:textId="77777777" w:rsidR="00894070" w:rsidRDefault="009B7AFD">
      <w:pPr>
        <w:pStyle w:val="BodyText"/>
        <w:spacing w:before="117" w:line="206" w:lineRule="auto"/>
        <w:ind w:left="1007" w:right="1459"/>
      </w:pPr>
      <w:r>
        <w:rPr>
          <w:color w:val="231F20"/>
        </w:rPr>
        <w:t xml:space="preserve">Delmage, Enys, ‘The Minimum Age of Criminal Responsibility: A Medico-Legal Perspective’ (2013) 13(2) </w:t>
      </w:r>
      <w:r>
        <w:rPr>
          <w:i/>
          <w:color w:val="231F20"/>
        </w:rPr>
        <w:t xml:space="preserve">Youth Justice </w:t>
      </w:r>
      <w:r>
        <w:rPr>
          <w:color w:val="231F20"/>
        </w:rPr>
        <w:t>102</w:t>
      </w:r>
    </w:p>
    <w:p w14:paraId="71DF9A76" w14:textId="77777777" w:rsidR="00894070" w:rsidRDefault="009B7AFD">
      <w:pPr>
        <w:pStyle w:val="BodyText"/>
        <w:spacing w:before="84"/>
        <w:ind w:left="1007"/>
      </w:pPr>
      <w:r>
        <w:rPr>
          <w:color w:val="231F20"/>
        </w:rPr>
        <w:t>Department of Health (Vic),</w:t>
      </w:r>
    </w:p>
    <w:p w14:paraId="2A3585CC" w14:textId="77777777" w:rsidR="00894070" w:rsidRDefault="009B7AFD">
      <w:pPr>
        <w:pStyle w:val="ListParagraph"/>
        <w:numPr>
          <w:ilvl w:val="0"/>
          <w:numId w:val="11"/>
        </w:numPr>
        <w:tabs>
          <w:tab w:val="left" w:pos="1348"/>
        </w:tabs>
        <w:spacing w:before="107" w:line="206" w:lineRule="auto"/>
        <w:ind w:right="1345" w:hanging="340"/>
        <w:jc w:val="both"/>
        <w:rPr>
          <w:sz w:val="20"/>
        </w:rPr>
      </w:pPr>
      <w:r>
        <w:rPr>
          <w:color w:val="231F20"/>
          <w:spacing w:val="-8"/>
          <w:sz w:val="20"/>
        </w:rPr>
        <w:t>‘A</w:t>
      </w:r>
      <w:r>
        <w:rPr>
          <w:color w:val="231F20"/>
          <w:spacing w:val="-7"/>
          <w:sz w:val="20"/>
        </w:rPr>
        <w:t xml:space="preserve"> </w:t>
      </w:r>
      <w:r>
        <w:rPr>
          <w:color w:val="231F20"/>
          <w:sz w:val="20"/>
        </w:rPr>
        <w:t>New</w:t>
      </w:r>
      <w:r>
        <w:rPr>
          <w:color w:val="231F20"/>
          <w:spacing w:val="-6"/>
          <w:sz w:val="20"/>
        </w:rPr>
        <w:t xml:space="preserve"> </w:t>
      </w:r>
      <w:r>
        <w:rPr>
          <w:color w:val="231F20"/>
          <w:sz w:val="20"/>
        </w:rPr>
        <w:t>Mental</w:t>
      </w:r>
      <w:r>
        <w:rPr>
          <w:color w:val="231F20"/>
          <w:spacing w:val="-7"/>
          <w:sz w:val="20"/>
        </w:rPr>
        <w:t xml:space="preserve"> </w:t>
      </w:r>
      <w:r>
        <w:rPr>
          <w:color w:val="231F20"/>
          <w:sz w:val="20"/>
        </w:rPr>
        <w:t>Health</w:t>
      </w:r>
      <w:r>
        <w:rPr>
          <w:color w:val="231F20"/>
          <w:spacing w:val="-6"/>
          <w:sz w:val="20"/>
        </w:rPr>
        <w:t xml:space="preserve"> </w:t>
      </w:r>
      <w:r>
        <w:rPr>
          <w:color w:val="231F20"/>
          <w:sz w:val="20"/>
        </w:rPr>
        <w:t>and</w:t>
      </w:r>
      <w:r>
        <w:rPr>
          <w:color w:val="231F20"/>
          <w:spacing w:val="-6"/>
          <w:sz w:val="20"/>
        </w:rPr>
        <w:t xml:space="preserve"> </w:t>
      </w:r>
      <w:r>
        <w:rPr>
          <w:color w:val="231F20"/>
          <w:sz w:val="20"/>
        </w:rPr>
        <w:t>Wellbeing</w:t>
      </w:r>
      <w:r>
        <w:rPr>
          <w:color w:val="231F20"/>
          <w:spacing w:val="-7"/>
          <w:sz w:val="20"/>
        </w:rPr>
        <w:t xml:space="preserve"> </w:t>
      </w:r>
      <w:r>
        <w:rPr>
          <w:color w:val="231F20"/>
          <w:sz w:val="20"/>
        </w:rPr>
        <w:t>Act</w:t>
      </w:r>
      <w:r>
        <w:rPr>
          <w:color w:val="231F20"/>
          <w:spacing w:val="-6"/>
          <w:sz w:val="20"/>
        </w:rPr>
        <w:t xml:space="preserve"> </w:t>
      </w:r>
      <w:r>
        <w:rPr>
          <w:color w:val="231F20"/>
          <w:sz w:val="20"/>
        </w:rPr>
        <w:t>for</w:t>
      </w:r>
      <w:r>
        <w:rPr>
          <w:color w:val="231F20"/>
          <w:spacing w:val="-6"/>
          <w:sz w:val="20"/>
        </w:rPr>
        <w:t xml:space="preserve"> </w:t>
      </w:r>
      <w:r>
        <w:rPr>
          <w:color w:val="231F20"/>
          <w:spacing w:val="-3"/>
          <w:sz w:val="20"/>
        </w:rPr>
        <w:t>Victoria’,</w:t>
      </w:r>
      <w:r>
        <w:rPr>
          <w:color w:val="231F20"/>
          <w:spacing w:val="-7"/>
          <w:sz w:val="20"/>
        </w:rPr>
        <w:t xml:space="preserve"> </w:t>
      </w:r>
      <w:r>
        <w:rPr>
          <w:i/>
          <w:color w:val="231F20"/>
          <w:sz w:val="20"/>
        </w:rPr>
        <w:t>Mental</w:t>
      </w:r>
      <w:r>
        <w:rPr>
          <w:i/>
          <w:color w:val="231F20"/>
          <w:spacing w:val="-6"/>
          <w:sz w:val="20"/>
        </w:rPr>
        <w:t xml:space="preserve"> </w:t>
      </w:r>
      <w:r>
        <w:rPr>
          <w:i/>
          <w:color w:val="231F20"/>
          <w:sz w:val="20"/>
        </w:rPr>
        <w:t>Health</w:t>
      </w:r>
      <w:r>
        <w:rPr>
          <w:i/>
          <w:color w:val="231F20"/>
          <w:spacing w:val="-6"/>
          <w:sz w:val="20"/>
        </w:rPr>
        <w:t xml:space="preserve"> </w:t>
      </w:r>
      <w:r>
        <w:rPr>
          <w:i/>
          <w:color w:val="231F20"/>
          <w:sz w:val="20"/>
        </w:rPr>
        <w:t>and</w:t>
      </w:r>
      <w:r>
        <w:rPr>
          <w:i/>
          <w:color w:val="231F20"/>
          <w:spacing w:val="-6"/>
          <w:sz w:val="20"/>
        </w:rPr>
        <w:t xml:space="preserve"> </w:t>
      </w:r>
      <w:r>
        <w:rPr>
          <w:i/>
          <w:color w:val="231F20"/>
          <w:sz w:val="20"/>
        </w:rPr>
        <w:t>Wellbeing</w:t>
      </w:r>
      <w:r>
        <w:rPr>
          <w:i/>
          <w:color w:val="231F20"/>
          <w:spacing w:val="-6"/>
          <w:sz w:val="20"/>
        </w:rPr>
        <w:t xml:space="preserve"> </w:t>
      </w:r>
      <w:r>
        <w:rPr>
          <w:i/>
          <w:color w:val="231F20"/>
          <w:sz w:val="20"/>
        </w:rPr>
        <w:t xml:space="preserve">Reform </w:t>
      </w:r>
      <w:r>
        <w:rPr>
          <w:color w:val="231F20"/>
          <w:sz w:val="20"/>
        </w:rPr>
        <w:t xml:space="preserve">(Web Page, 18 March 2022) </w:t>
      </w:r>
      <w:r>
        <w:rPr>
          <w:color w:val="231F20"/>
          <w:spacing w:val="-3"/>
          <w:sz w:val="20"/>
        </w:rPr>
        <w:t>&lt;</w:t>
      </w:r>
      <w:hyperlink r:id="rId243">
        <w:r>
          <w:rPr>
            <w:color w:val="231F20"/>
            <w:spacing w:val="-3"/>
            <w:sz w:val="20"/>
          </w:rPr>
          <w:t>http://www.health.vic.gov.au/mental-health-reform/a-new-</w:t>
        </w:r>
      </w:hyperlink>
      <w:hyperlink r:id="rId244">
        <w:r>
          <w:rPr>
            <w:color w:val="231F20"/>
            <w:spacing w:val="-3"/>
            <w:sz w:val="20"/>
          </w:rPr>
          <w:t xml:space="preserve"> </w:t>
        </w:r>
        <w:r>
          <w:rPr>
            <w:color w:val="231F20"/>
            <w:sz w:val="20"/>
          </w:rPr>
          <w:t>mental-health-and-wellbeing-act-for-victoria</w:t>
        </w:r>
      </w:hyperlink>
      <w:r>
        <w:rPr>
          <w:color w:val="231F20"/>
          <w:sz w:val="20"/>
        </w:rPr>
        <w:t>&gt;</w:t>
      </w:r>
    </w:p>
    <w:p w14:paraId="625AB05C" w14:textId="77777777" w:rsidR="00894070" w:rsidRDefault="009B7AFD">
      <w:pPr>
        <w:pStyle w:val="ListParagraph"/>
        <w:numPr>
          <w:ilvl w:val="0"/>
          <w:numId w:val="11"/>
        </w:numPr>
        <w:tabs>
          <w:tab w:val="left" w:pos="1347"/>
          <w:tab w:val="left" w:pos="1348"/>
        </w:tabs>
        <w:spacing w:before="89" w:line="206" w:lineRule="auto"/>
        <w:ind w:right="1420" w:hanging="340"/>
        <w:rPr>
          <w:sz w:val="20"/>
        </w:rPr>
      </w:pPr>
      <w:r>
        <w:rPr>
          <w:color w:val="231F20"/>
          <w:sz w:val="20"/>
        </w:rPr>
        <w:t>‘Good</w:t>
      </w:r>
      <w:r>
        <w:rPr>
          <w:color w:val="231F20"/>
          <w:spacing w:val="-6"/>
          <w:sz w:val="20"/>
        </w:rPr>
        <w:t xml:space="preserve"> </w:t>
      </w:r>
      <w:r>
        <w:rPr>
          <w:color w:val="231F20"/>
          <w:sz w:val="20"/>
        </w:rPr>
        <w:t>Mental</w:t>
      </w:r>
      <w:r>
        <w:rPr>
          <w:color w:val="231F20"/>
          <w:spacing w:val="-6"/>
          <w:sz w:val="20"/>
        </w:rPr>
        <w:t xml:space="preserve"> </w:t>
      </w:r>
      <w:r>
        <w:rPr>
          <w:color w:val="231F20"/>
          <w:sz w:val="20"/>
        </w:rPr>
        <w:t>Health</w:t>
      </w:r>
      <w:r>
        <w:rPr>
          <w:color w:val="231F20"/>
          <w:spacing w:val="-6"/>
          <w:sz w:val="20"/>
        </w:rPr>
        <w:t xml:space="preserve"> </w:t>
      </w:r>
      <w:r>
        <w:rPr>
          <w:color w:val="231F20"/>
          <w:sz w:val="20"/>
        </w:rPr>
        <w:t>Where</w:t>
      </w:r>
      <w:r>
        <w:rPr>
          <w:color w:val="231F20"/>
          <w:spacing w:val="-6"/>
          <w:sz w:val="20"/>
        </w:rPr>
        <w:t xml:space="preserve"> </w:t>
      </w:r>
      <w:r>
        <w:rPr>
          <w:color w:val="231F20"/>
          <w:sz w:val="20"/>
        </w:rPr>
        <w:t>People</w:t>
      </w:r>
      <w:r>
        <w:rPr>
          <w:color w:val="231F20"/>
          <w:spacing w:val="-6"/>
          <w:sz w:val="20"/>
        </w:rPr>
        <w:t xml:space="preserve"> </w:t>
      </w:r>
      <w:r>
        <w:rPr>
          <w:color w:val="231F20"/>
          <w:sz w:val="20"/>
        </w:rPr>
        <w:t>Live,</w:t>
      </w:r>
      <w:r>
        <w:rPr>
          <w:color w:val="231F20"/>
          <w:spacing w:val="-6"/>
          <w:sz w:val="20"/>
        </w:rPr>
        <w:t xml:space="preserve"> </w:t>
      </w:r>
      <w:r>
        <w:rPr>
          <w:color w:val="231F20"/>
          <w:spacing w:val="-3"/>
          <w:sz w:val="20"/>
        </w:rPr>
        <w:t>Work,</w:t>
      </w:r>
      <w:r>
        <w:rPr>
          <w:color w:val="231F20"/>
          <w:spacing w:val="-6"/>
          <w:sz w:val="20"/>
        </w:rPr>
        <w:t xml:space="preserve"> </w:t>
      </w:r>
      <w:r>
        <w:rPr>
          <w:color w:val="231F20"/>
          <w:sz w:val="20"/>
        </w:rPr>
        <w:t>and</w:t>
      </w:r>
      <w:r>
        <w:rPr>
          <w:color w:val="231F20"/>
          <w:spacing w:val="-6"/>
          <w:sz w:val="20"/>
        </w:rPr>
        <w:t xml:space="preserve"> </w:t>
      </w:r>
      <w:r>
        <w:rPr>
          <w:color w:val="231F20"/>
          <w:sz w:val="20"/>
        </w:rPr>
        <w:t>Learn—Recommendation</w:t>
      </w:r>
      <w:r>
        <w:rPr>
          <w:color w:val="231F20"/>
          <w:spacing w:val="-6"/>
          <w:sz w:val="20"/>
        </w:rPr>
        <w:t xml:space="preserve"> </w:t>
      </w:r>
      <w:r>
        <w:rPr>
          <w:color w:val="231F20"/>
          <w:spacing w:val="-4"/>
          <w:sz w:val="20"/>
        </w:rPr>
        <w:t>17’,</w:t>
      </w:r>
      <w:r>
        <w:rPr>
          <w:color w:val="231F20"/>
          <w:spacing w:val="-6"/>
          <w:sz w:val="20"/>
        </w:rPr>
        <w:t xml:space="preserve"> </w:t>
      </w:r>
      <w:r>
        <w:rPr>
          <w:i/>
          <w:color w:val="231F20"/>
          <w:sz w:val="20"/>
        </w:rPr>
        <w:t xml:space="preserve">Health. vic </w:t>
      </w:r>
      <w:r>
        <w:rPr>
          <w:color w:val="231F20"/>
          <w:sz w:val="20"/>
        </w:rPr>
        <w:t xml:space="preserve">(Web Page, </w:t>
      </w:r>
      <w:r>
        <w:rPr>
          <w:color w:val="231F20"/>
          <w:spacing w:val="-4"/>
          <w:sz w:val="20"/>
        </w:rPr>
        <w:t xml:space="preserve">17 </w:t>
      </w:r>
      <w:r>
        <w:rPr>
          <w:color w:val="231F20"/>
          <w:sz w:val="20"/>
        </w:rPr>
        <w:t xml:space="preserve">March 2022) </w:t>
      </w:r>
      <w:r>
        <w:rPr>
          <w:color w:val="231F20"/>
          <w:spacing w:val="-3"/>
          <w:sz w:val="20"/>
        </w:rPr>
        <w:t>&lt;</w:t>
      </w:r>
      <w:hyperlink r:id="rId245">
        <w:r>
          <w:rPr>
            <w:color w:val="231F20"/>
            <w:spacing w:val="-3"/>
            <w:sz w:val="20"/>
          </w:rPr>
          <w:t>http://www.health.vic.gov.au/mental-health-reform/</w:t>
        </w:r>
      </w:hyperlink>
      <w:hyperlink r:id="rId246">
        <w:r>
          <w:rPr>
            <w:color w:val="231F20"/>
            <w:spacing w:val="-3"/>
            <w:sz w:val="20"/>
          </w:rPr>
          <w:t xml:space="preserve"> </w:t>
        </w:r>
        <w:r>
          <w:rPr>
            <w:color w:val="231F20"/>
            <w:sz w:val="20"/>
          </w:rPr>
          <w:t>recommendation-17</w:t>
        </w:r>
      </w:hyperlink>
      <w:r>
        <w:rPr>
          <w:color w:val="231F20"/>
          <w:sz w:val="20"/>
        </w:rPr>
        <w:t>&gt;</w:t>
      </w:r>
    </w:p>
    <w:p w14:paraId="4C2C9DAD" w14:textId="77777777" w:rsidR="00894070" w:rsidRDefault="009B7AFD">
      <w:pPr>
        <w:pStyle w:val="BodyText"/>
        <w:spacing w:before="89" w:line="206" w:lineRule="auto"/>
        <w:ind w:left="1007" w:right="1760"/>
      </w:pPr>
      <w:r>
        <w:rPr>
          <w:color w:val="231F20"/>
        </w:rPr>
        <w:t xml:space="preserve">Department of Justice </w:t>
      </w:r>
      <w:r>
        <w:rPr>
          <w:color w:val="231F20"/>
          <w:spacing w:val="-3"/>
        </w:rPr>
        <w:t xml:space="preserve">(WA), ‘Family </w:t>
      </w:r>
      <w:r>
        <w:rPr>
          <w:color w:val="231F20"/>
        </w:rPr>
        <w:t xml:space="preserve">and Domestic Violence Offenders </w:t>
      </w:r>
      <w:r>
        <w:rPr>
          <w:color w:val="231F20"/>
          <w:spacing w:val="-4"/>
        </w:rPr>
        <w:t xml:space="preserve">Face </w:t>
      </w:r>
      <w:r>
        <w:rPr>
          <w:color w:val="231F20"/>
        </w:rPr>
        <w:t xml:space="preserve">GPS </w:t>
      </w:r>
      <w:r>
        <w:rPr>
          <w:color w:val="231F20"/>
          <w:spacing w:val="-4"/>
        </w:rPr>
        <w:t xml:space="preserve">Tracking’, </w:t>
      </w:r>
      <w:hyperlink r:id="rId247">
        <w:r>
          <w:rPr>
            <w:i/>
            <w:color w:val="231F20"/>
          </w:rPr>
          <w:t xml:space="preserve">WA.Gov.Au </w:t>
        </w:r>
      </w:hyperlink>
      <w:r>
        <w:rPr>
          <w:color w:val="231F20"/>
        </w:rPr>
        <w:t xml:space="preserve">(Web Page, 18 August </w:t>
      </w:r>
      <w:r>
        <w:rPr>
          <w:color w:val="231F20"/>
          <w:spacing w:val="-3"/>
        </w:rPr>
        <w:t xml:space="preserve">2020) </w:t>
      </w:r>
      <w:r>
        <w:rPr>
          <w:color w:val="231F20"/>
          <w:spacing w:val="-4"/>
        </w:rPr>
        <w:t>&lt;</w:t>
      </w:r>
      <w:hyperlink r:id="rId248">
        <w:r>
          <w:rPr>
            <w:color w:val="231F20"/>
            <w:spacing w:val="-4"/>
          </w:rPr>
          <w:t>https://www.wa.gov.au/government/</w:t>
        </w:r>
      </w:hyperlink>
      <w:r>
        <w:rPr>
          <w:color w:val="231F20"/>
          <w:spacing w:val="-4"/>
        </w:rPr>
        <w:t xml:space="preserve"> </w:t>
      </w:r>
      <w:hyperlink r:id="rId249">
        <w:r>
          <w:rPr>
            <w:color w:val="231F20"/>
          </w:rPr>
          <w:t>announcements/family-and-domestic-violence-offenders-face-gps-tracking</w:t>
        </w:r>
      </w:hyperlink>
      <w:r>
        <w:rPr>
          <w:color w:val="231F20"/>
        </w:rPr>
        <w:t>&gt;</w:t>
      </w:r>
    </w:p>
    <w:p w14:paraId="66A9D109" w14:textId="77777777" w:rsidR="00894070" w:rsidRDefault="00894070">
      <w:pPr>
        <w:pStyle w:val="BodyText"/>
      </w:pPr>
    </w:p>
    <w:p w14:paraId="1BC52249" w14:textId="77777777" w:rsidR="00894070" w:rsidRDefault="00894070">
      <w:pPr>
        <w:pStyle w:val="BodyText"/>
        <w:spacing w:before="1"/>
        <w:rPr>
          <w:sz w:val="23"/>
        </w:rPr>
      </w:pPr>
    </w:p>
    <w:p w14:paraId="74C10017" w14:textId="77777777" w:rsidR="00894070" w:rsidRDefault="009B7AFD">
      <w:pPr>
        <w:pStyle w:val="Heading8"/>
        <w:spacing w:before="49"/>
        <w:ind w:left="140"/>
      </w:pPr>
      <w:r>
        <w:rPr>
          <w:color w:val="EA5B50"/>
        </w:rPr>
        <w:t>196</w:t>
      </w:r>
    </w:p>
    <w:p w14:paraId="2B2D6DB0" w14:textId="77777777" w:rsidR="00894070" w:rsidRDefault="00894070">
      <w:pPr>
        <w:sectPr w:rsidR="00894070">
          <w:pgSz w:w="11910" w:h="16840"/>
          <w:pgMar w:top="860" w:right="420" w:bottom="280" w:left="580" w:header="567" w:footer="0" w:gutter="0"/>
          <w:cols w:space="720"/>
        </w:sectPr>
      </w:pPr>
    </w:p>
    <w:p w14:paraId="08D5D22E" w14:textId="77777777" w:rsidR="00894070" w:rsidRDefault="00894070">
      <w:pPr>
        <w:pStyle w:val="BodyText"/>
        <w:rPr>
          <w:b/>
        </w:rPr>
      </w:pPr>
    </w:p>
    <w:p w14:paraId="0DECEF01" w14:textId="77777777" w:rsidR="00894070" w:rsidRDefault="00894070">
      <w:pPr>
        <w:pStyle w:val="BodyText"/>
        <w:rPr>
          <w:b/>
        </w:rPr>
      </w:pPr>
    </w:p>
    <w:p w14:paraId="5599A6FE" w14:textId="77777777" w:rsidR="00894070" w:rsidRDefault="00894070">
      <w:pPr>
        <w:pStyle w:val="BodyText"/>
        <w:rPr>
          <w:b/>
        </w:rPr>
      </w:pPr>
    </w:p>
    <w:p w14:paraId="02A84FDE" w14:textId="77777777" w:rsidR="00894070" w:rsidRDefault="00894070">
      <w:pPr>
        <w:pStyle w:val="BodyText"/>
        <w:spacing w:before="6"/>
        <w:rPr>
          <w:b/>
          <w:sz w:val="14"/>
        </w:rPr>
      </w:pPr>
    </w:p>
    <w:p w14:paraId="0E0CB937" w14:textId="77777777" w:rsidR="00894070" w:rsidRDefault="00894070">
      <w:pPr>
        <w:rPr>
          <w:sz w:val="14"/>
        </w:rPr>
        <w:sectPr w:rsidR="00894070">
          <w:pgSz w:w="11910" w:h="16840"/>
          <w:pgMar w:top="840" w:right="420" w:bottom="280" w:left="580" w:header="0" w:footer="0" w:gutter="0"/>
          <w:cols w:space="720"/>
        </w:sectPr>
      </w:pPr>
    </w:p>
    <w:p w14:paraId="192A23FD" w14:textId="77777777" w:rsidR="00894070" w:rsidRDefault="009B7AFD">
      <w:pPr>
        <w:pStyle w:val="BodyText"/>
        <w:spacing w:before="58"/>
        <w:ind w:left="1007"/>
      </w:pPr>
      <w:r>
        <w:rPr>
          <w:color w:val="231F20"/>
        </w:rPr>
        <w:t>Department of Justice and Community Safety (Vic),</w:t>
      </w:r>
    </w:p>
    <w:p w14:paraId="00B36373" w14:textId="77777777" w:rsidR="00894070" w:rsidRDefault="009B7AFD">
      <w:pPr>
        <w:pStyle w:val="ListParagraph"/>
        <w:numPr>
          <w:ilvl w:val="0"/>
          <w:numId w:val="10"/>
        </w:numPr>
        <w:tabs>
          <w:tab w:val="left" w:pos="1347"/>
          <w:tab w:val="left" w:pos="1348"/>
        </w:tabs>
        <w:spacing w:before="75"/>
        <w:ind w:hanging="340"/>
        <w:rPr>
          <w:sz w:val="20"/>
        </w:rPr>
      </w:pPr>
      <w:r>
        <w:rPr>
          <w:i/>
          <w:color w:val="231F20"/>
          <w:sz w:val="20"/>
        </w:rPr>
        <w:t xml:space="preserve">Improving Victims’ Experience of Summary Proceedings </w:t>
      </w:r>
      <w:r>
        <w:rPr>
          <w:color w:val="231F20"/>
          <w:sz w:val="20"/>
        </w:rPr>
        <w:t>(Final Report,</w:t>
      </w:r>
      <w:r>
        <w:rPr>
          <w:color w:val="231F20"/>
          <w:spacing w:val="-23"/>
          <w:sz w:val="20"/>
        </w:rPr>
        <w:t xml:space="preserve"> </w:t>
      </w:r>
      <w:r>
        <w:rPr>
          <w:color w:val="231F20"/>
          <w:sz w:val="20"/>
        </w:rPr>
        <w:t>2021)</w:t>
      </w:r>
    </w:p>
    <w:p w14:paraId="7CFAF1A4" w14:textId="77777777" w:rsidR="00894070" w:rsidRDefault="009B7AFD">
      <w:pPr>
        <w:pStyle w:val="ListParagraph"/>
        <w:numPr>
          <w:ilvl w:val="0"/>
          <w:numId w:val="10"/>
        </w:numPr>
        <w:tabs>
          <w:tab w:val="left" w:pos="1347"/>
          <w:tab w:val="left" w:pos="1348"/>
        </w:tabs>
        <w:spacing w:before="48"/>
        <w:ind w:hanging="340"/>
        <w:rPr>
          <w:sz w:val="20"/>
        </w:rPr>
      </w:pPr>
      <w:r>
        <w:rPr>
          <w:i/>
          <w:color w:val="231F20"/>
          <w:sz w:val="20"/>
        </w:rPr>
        <w:t xml:space="preserve">Victim Support Update </w:t>
      </w:r>
      <w:r>
        <w:rPr>
          <w:color w:val="231F20"/>
          <w:sz w:val="20"/>
        </w:rPr>
        <w:t>(Report, December</w:t>
      </w:r>
      <w:r>
        <w:rPr>
          <w:color w:val="231F20"/>
          <w:spacing w:val="-10"/>
          <w:sz w:val="20"/>
        </w:rPr>
        <w:t xml:space="preserve"> </w:t>
      </w:r>
      <w:r>
        <w:rPr>
          <w:color w:val="231F20"/>
          <w:sz w:val="20"/>
        </w:rPr>
        <w:t>2021)</w:t>
      </w:r>
    </w:p>
    <w:p w14:paraId="421509A1" w14:textId="77777777" w:rsidR="00894070" w:rsidRDefault="009B7AFD">
      <w:pPr>
        <w:pStyle w:val="ListParagraph"/>
        <w:numPr>
          <w:ilvl w:val="0"/>
          <w:numId w:val="10"/>
        </w:numPr>
        <w:tabs>
          <w:tab w:val="left" w:pos="1347"/>
          <w:tab w:val="left" w:pos="1348"/>
        </w:tabs>
        <w:spacing w:before="80" w:line="206" w:lineRule="auto"/>
        <w:ind w:right="332" w:hanging="340"/>
        <w:rPr>
          <w:sz w:val="20"/>
        </w:rPr>
      </w:pPr>
      <w:r>
        <w:rPr>
          <w:color w:val="231F20"/>
          <w:sz w:val="20"/>
        </w:rPr>
        <w:t>‘What</w:t>
      </w:r>
      <w:r>
        <w:rPr>
          <w:color w:val="231F20"/>
          <w:spacing w:val="-6"/>
          <w:sz w:val="20"/>
        </w:rPr>
        <w:t xml:space="preserve"> </w:t>
      </w:r>
      <w:r>
        <w:rPr>
          <w:color w:val="231F20"/>
          <w:sz w:val="20"/>
        </w:rPr>
        <w:t>Is</w:t>
      </w:r>
      <w:r>
        <w:rPr>
          <w:color w:val="231F20"/>
          <w:spacing w:val="-5"/>
          <w:sz w:val="20"/>
        </w:rPr>
        <w:t xml:space="preserve"> </w:t>
      </w:r>
      <w:r>
        <w:rPr>
          <w:color w:val="231F20"/>
          <w:sz w:val="20"/>
        </w:rPr>
        <w:t>Brodie’s</w:t>
      </w:r>
      <w:r>
        <w:rPr>
          <w:color w:val="231F20"/>
          <w:spacing w:val="-5"/>
          <w:sz w:val="20"/>
        </w:rPr>
        <w:t xml:space="preserve"> </w:t>
      </w:r>
      <w:r>
        <w:rPr>
          <w:color w:val="231F20"/>
          <w:spacing w:val="-3"/>
          <w:sz w:val="20"/>
        </w:rPr>
        <w:t>Law’,</w:t>
      </w:r>
      <w:r>
        <w:rPr>
          <w:color w:val="231F20"/>
          <w:spacing w:val="-5"/>
          <w:sz w:val="20"/>
        </w:rPr>
        <w:t xml:space="preserve"> </w:t>
      </w:r>
      <w:r>
        <w:rPr>
          <w:i/>
          <w:color w:val="231F20"/>
          <w:sz w:val="20"/>
        </w:rPr>
        <w:t>Bullying—Brodie’s</w:t>
      </w:r>
      <w:r>
        <w:rPr>
          <w:i/>
          <w:color w:val="231F20"/>
          <w:spacing w:val="-5"/>
          <w:sz w:val="20"/>
        </w:rPr>
        <w:t xml:space="preserve"> </w:t>
      </w:r>
      <w:r>
        <w:rPr>
          <w:i/>
          <w:color w:val="231F20"/>
          <w:spacing w:val="-3"/>
          <w:sz w:val="20"/>
        </w:rPr>
        <w:t>Law</w:t>
      </w:r>
      <w:r>
        <w:rPr>
          <w:i/>
          <w:color w:val="231F20"/>
          <w:spacing w:val="-5"/>
          <w:sz w:val="20"/>
        </w:rPr>
        <w:t xml:space="preserve"> </w:t>
      </w:r>
      <w:r>
        <w:rPr>
          <w:color w:val="231F20"/>
          <w:sz w:val="20"/>
        </w:rPr>
        <w:t>(Web</w:t>
      </w:r>
      <w:r>
        <w:rPr>
          <w:color w:val="231F20"/>
          <w:spacing w:val="-5"/>
          <w:sz w:val="20"/>
        </w:rPr>
        <w:t xml:space="preserve"> </w:t>
      </w:r>
      <w:r>
        <w:rPr>
          <w:color w:val="231F20"/>
          <w:sz w:val="20"/>
        </w:rPr>
        <w:t>Page,</w:t>
      </w:r>
      <w:r>
        <w:rPr>
          <w:color w:val="231F20"/>
          <w:spacing w:val="-5"/>
          <w:sz w:val="20"/>
        </w:rPr>
        <w:t xml:space="preserve"> </w:t>
      </w:r>
      <w:r>
        <w:rPr>
          <w:color w:val="231F20"/>
          <w:sz w:val="20"/>
        </w:rPr>
        <w:t>13</w:t>
      </w:r>
      <w:r>
        <w:rPr>
          <w:color w:val="231F20"/>
          <w:spacing w:val="-5"/>
          <w:sz w:val="20"/>
        </w:rPr>
        <w:t xml:space="preserve"> </w:t>
      </w:r>
      <w:r>
        <w:rPr>
          <w:color w:val="231F20"/>
          <w:sz w:val="20"/>
        </w:rPr>
        <w:t>August</w:t>
      </w:r>
      <w:r>
        <w:rPr>
          <w:color w:val="231F20"/>
          <w:spacing w:val="-5"/>
          <w:sz w:val="20"/>
        </w:rPr>
        <w:t xml:space="preserve"> </w:t>
      </w:r>
      <w:r>
        <w:rPr>
          <w:color w:val="231F20"/>
          <w:sz w:val="20"/>
        </w:rPr>
        <w:t>2021)</w:t>
      </w:r>
      <w:r>
        <w:rPr>
          <w:color w:val="231F20"/>
          <w:spacing w:val="-6"/>
          <w:sz w:val="20"/>
        </w:rPr>
        <w:t xml:space="preserve"> </w:t>
      </w:r>
      <w:r>
        <w:rPr>
          <w:color w:val="231F20"/>
          <w:spacing w:val="-5"/>
          <w:sz w:val="20"/>
        </w:rPr>
        <w:t>&lt;</w:t>
      </w:r>
      <w:hyperlink r:id="rId250">
        <w:r>
          <w:rPr>
            <w:color w:val="231F20"/>
            <w:spacing w:val="-5"/>
            <w:sz w:val="20"/>
          </w:rPr>
          <w:t>https://www.</w:t>
        </w:r>
      </w:hyperlink>
      <w:hyperlink r:id="rId251">
        <w:r>
          <w:rPr>
            <w:color w:val="231F20"/>
            <w:spacing w:val="-5"/>
            <w:sz w:val="20"/>
          </w:rPr>
          <w:t xml:space="preserve"> </w:t>
        </w:r>
        <w:r>
          <w:rPr>
            <w:color w:val="231F20"/>
            <w:spacing w:val="-3"/>
            <w:sz w:val="20"/>
          </w:rPr>
          <w:t>justice.vic.gov.au/saynotobullying</w:t>
        </w:r>
      </w:hyperlink>
      <w:r>
        <w:rPr>
          <w:color w:val="231F20"/>
          <w:spacing w:val="-3"/>
          <w:sz w:val="20"/>
        </w:rPr>
        <w:t>&gt;</w:t>
      </w:r>
    </w:p>
    <w:p w14:paraId="3C1F3DD4" w14:textId="77777777" w:rsidR="00894070" w:rsidRDefault="009B7AFD">
      <w:pPr>
        <w:spacing w:before="55" w:line="259" w:lineRule="exact"/>
        <w:ind w:left="1007"/>
        <w:rPr>
          <w:i/>
          <w:sz w:val="20"/>
        </w:rPr>
      </w:pPr>
      <w:r>
        <w:rPr>
          <w:color w:val="231F20"/>
          <w:sz w:val="20"/>
        </w:rPr>
        <w:t xml:space="preserve">Department of Justice and Regulation (Vic), </w:t>
      </w:r>
      <w:r>
        <w:rPr>
          <w:i/>
          <w:color w:val="231F20"/>
          <w:sz w:val="20"/>
        </w:rPr>
        <w:t>Victoria’s New Sexual Offence Laws: An Introduction</w:t>
      </w:r>
    </w:p>
    <w:p w14:paraId="1593CDC7" w14:textId="77777777" w:rsidR="00894070" w:rsidRDefault="009B7AFD">
      <w:pPr>
        <w:pStyle w:val="BodyText"/>
        <w:spacing w:line="259" w:lineRule="exact"/>
        <w:ind w:left="1007"/>
      </w:pPr>
      <w:r>
        <w:rPr>
          <w:color w:val="231F20"/>
        </w:rPr>
        <w:t>(Report, Criminal Law Review, June 2015)</w:t>
      </w:r>
    </w:p>
    <w:p w14:paraId="624A0403" w14:textId="77777777" w:rsidR="00894070" w:rsidRDefault="009B7AFD">
      <w:pPr>
        <w:spacing w:before="76" w:line="259" w:lineRule="exact"/>
        <w:ind w:left="1007"/>
        <w:rPr>
          <w:sz w:val="20"/>
        </w:rPr>
      </w:pPr>
      <w:r>
        <w:rPr>
          <w:color w:val="231F20"/>
          <w:sz w:val="20"/>
        </w:rPr>
        <w:t xml:space="preserve">Department of Premier and Cabinet (Vic), </w:t>
      </w:r>
      <w:r>
        <w:rPr>
          <w:i/>
          <w:color w:val="231F20"/>
          <w:sz w:val="20"/>
        </w:rPr>
        <w:t xml:space="preserve">Victoria’s Cyber Strategy 2021 </w:t>
      </w:r>
      <w:r>
        <w:rPr>
          <w:color w:val="231F20"/>
          <w:sz w:val="20"/>
        </w:rPr>
        <w:t>(Strategy, 2021)</w:t>
      </w:r>
    </w:p>
    <w:p w14:paraId="4C88D42F" w14:textId="77777777" w:rsidR="00894070" w:rsidRDefault="009B7AFD">
      <w:pPr>
        <w:pStyle w:val="BodyText"/>
        <w:spacing w:line="259" w:lineRule="exact"/>
        <w:ind w:left="1007"/>
      </w:pPr>
      <w:r>
        <w:rPr>
          <w:color w:val="231F20"/>
        </w:rPr>
        <w:t>&lt;</w:t>
      </w:r>
      <w:hyperlink r:id="rId252">
        <w:r>
          <w:rPr>
            <w:color w:val="231F20"/>
          </w:rPr>
          <w:t>https://www.vic.gov.au/victorias-cyber-strategy-2021-introduction</w:t>
        </w:r>
      </w:hyperlink>
      <w:r>
        <w:rPr>
          <w:color w:val="231F20"/>
        </w:rPr>
        <w:t>&gt;</w:t>
      </w:r>
    </w:p>
    <w:p w14:paraId="3840FAE6" w14:textId="77777777" w:rsidR="00894070" w:rsidRDefault="009B7AFD">
      <w:pPr>
        <w:pStyle w:val="BodyText"/>
        <w:spacing w:before="108" w:line="206" w:lineRule="auto"/>
        <w:ind w:left="1007" w:right="118"/>
      </w:pPr>
      <w:r>
        <w:rPr>
          <w:color w:val="231F20"/>
        </w:rPr>
        <w:t xml:space="preserve">‘Development of National Principles on Addressing Coercive Control: </w:t>
      </w:r>
      <w:r>
        <w:rPr>
          <w:color w:val="231F20"/>
          <w:spacing w:val="-4"/>
        </w:rPr>
        <w:t xml:space="preserve">Terms </w:t>
      </w:r>
      <w:r>
        <w:rPr>
          <w:color w:val="231F20"/>
        </w:rPr>
        <w:t xml:space="preserve">of </w:t>
      </w:r>
      <w:r>
        <w:rPr>
          <w:color w:val="231F20"/>
          <w:spacing w:val="-3"/>
        </w:rPr>
        <w:t xml:space="preserve">Reference’, </w:t>
      </w:r>
      <w:r>
        <w:rPr>
          <w:i/>
          <w:color w:val="231F20"/>
        </w:rPr>
        <w:t xml:space="preserve">Attorney-General’s Department </w:t>
      </w:r>
      <w:r>
        <w:rPr>
          <w:color w:val="231F20"/>
        </w:rPr>
        <w:t xml:space="preserve">(Web Page, 9 July 2021) </w:t>
      </w:r>
      <w:r>
        <w:rPr>
          <w:color w:val="231F20"/>
          <w:spacing w:val="-3"/>
        </w:rPr>
        <w:t>&lt;</w:t>
      </w:r>
      <w:hyperlink r:id="rId253">
        <w:r>
          <w:rPr>
            <w:color w:val="231F20"/>
            <w:spacing w:val="-3"/>
          </w:rPr>
          <w:t>https://www.ag.gov.au/families-and-</w:t>
        </w:r>
      </w:hyperlink>
      <w:r>
        <w:rPr>
          <w:color w:val="231F20"/>
          <w:spacing w:val="-3"/>
        </w:rPr>
        <w:t xml:space="preserve"> </w:t>
      </w:r>
      <w:hyperlink r:id="rId254">
        <w:r>
          <w:rPr>
            <w:color w:val="231F20"/>
          </w:rPr>
          <w:t>marriage/publications/development-national-principles-addressing-coercive-control</w:t>
        </w:r>
      </w:hyperlink>
      <w:r>
        <w:rPr>
          <w:color w:val="231F20"/>
        </w:rPr>
        <w:t>&gt;</w:t>
      </w:r>
    </w:p>
    <w:p w14:paraId="2FE60BA5" w14:textId="77777777" w:rsidR="00894070" w:rsidRDefault="009B7AFD">
      <w:pPr>
        <w:pStyle w:val="BodyText"/>
        <w:spacing w:before="85"/>
        <w:ind w:left="1007"/>
      </w:pPr>
      <w:r>
        <w:rPr>
          <w:color w:val="231F20"/>
        </w:rPr>
        <w:t>Director of Public Prosecutions (UK),</w:t>
      </w:r>
    </w:p>
    <w:p w14:paraId="2759745D" w14:textId="77777777" w:rsidR="00894070" w:rsidRDefault="009B7AFD">
      <w:pPr>
        <w:pStyle w:val="ListParagraph"/>
        <w:numPr>
          <w:ilvl w:val="0"/>
          <w:numId w:val="10"/>
        </w:numPr>
        <w:tabs>
          <w:tab w:val="left" w:pos="1347"/>
          <w:tab w:val="left" w:pos="1348"/>
        </w:tabs>
        <w:spacing w:before="75" w:line="259" w:lineRule="exact"/>
        <w:ind w:hanging="340"/>
        <w:rPr>
          <w:sz w:val="20"/>
        </w:rPr>
      </w:pPr>
      <w:r>
        <w:rPr>
          <w:color w:val="231F20"/>
          <w:sz w:val="20"/>
        </w:rPr>
        <w:t xml:space="preserve">‘Stalking and Harassment’, </w:t>
      </w:r>
      <w:r>
        <w:rPr>
          <w:i/>
          <w:color w:val="231F20"/>
          <w:sz w:val="20"/>
        </w:rPr>
        <w:t xml:space="preserve">Prosecution Guidance </w:t>
      </w:r>
      <w:r>
        <w:rPr>
          <w:color w:val="231F20"/>
          <w:sz w:val="20"/>
        </w:rPr>
        <w:t>(Online, 23 May</w:t>
      </w:r>
      <w:r>
        <w:rPr>
          <w:color w:val="231F20"/>
          <w:spacing w:val="-24"/>
          <w:sz w:val="20"/>
        </w:rPr>
        <w:t xml:space="preserve"> </w:t>
      </w:r>
      <w:r>
        <w:rPr>
          <w:color w:val="231F20"/>
          <w:spacing w:val="-3"/>
          <w:sz w:val="20"/>
        </w:rPr>
        <w:t>2018)</w:t>
      </w:r>
    </w:p>
    <w:p w14:paraId="2DD1C8D6" w14:textId="77777777" w:rsidR="00894070" w:rsidRDefault="009B7AFD">
      <w:pPr>
        <w:pStyle w:val="BodyText"/>
        <w:spacing w:line="259" w:lineRule="exact"/>
        <w:ind w:left="1174" w:right="1866"/>
        <w:jc w:val="center"/>
      </w:pPr>
      <w:r>
        <w:rPr>
          <w:color w:val="231F20"/>
        </w:rPr>
        <w:t>&lt;</w:t>
      </w:r>
      <w:hyperlink r:id="rId255">
        <w:r>
          <w:rPr>
            <w:color w:val="231F20"/>
          </w:rPr>
          <w:t>https://www.cps.gov.uk/legal-guidance/stalking-and-harassment</w:t>
        </w:r>
      </w:hyperlink>
      <w:r>
        <w:rPr>
          <w:color w:val="231F20"/>
        </w:rPr>
        <w:t>&gt;</w:t>
      </w:r>
    </w:p>
    <w:p w14:paraId="6412844B" w14:textId="77777777" w:rsidR="00894070" w:rsidRDefault="009B7AFD">
      <w:pPr>
        <w:pStyle w:val="ListParagraph"/>
        <w:numPr>
          <w:ilvl w:val="0"/>
          <w:numId w:val="10"/>
        </w:numPr>
        <w:tabs>
          <w:tab w:val="left" w:pos="1347"/>
          <w:tab w:val="left" w:pos="1348"/>
        </w:tabs>
        <w:spacing w:before="48" w:line="259" w:lineRule="exact"/>
        <w:ind w:hanging="340"/>
        <w:rPr>
          <w:sz w:val="20"/>
        </w:rPr>
      </w:pPr>
      <w:r>
        <w:rPr>
          <w:color w:val="231F20"/>
          <w:sz w:val="20"/>
        </w:rPr>
        <w:t xml:space="preserve">‘Stalking Protection </w:t>
      </w:r>
      <w:r>
        <w:rPr>
          <w:color w:val="231F20"/>
          <w:spacing w:val="-3"/>
          <w:sz w:val="20"/>
        </w:rPr>
        <w:t xml:space="preserve">Orders’, </w:t>
      </w:r>
      <w:r>
        <w:rPr>
          <w:i/>
          <w:color w:val="231F20"/>
          <w:sz w:val="20"/>
        </w:rPr>
        <w:t xml:space="preserve">Prosecution Guidance </w:t>
      </w:r>
      <w:r>
        <w:rPr>
          <w:color w:val="231F20"/>
          <w:sz w:val="20"/>
        </w:rPr>
        <w:t>(Online, 20 January</w:t>
      </w:r>
      <w:r>
        <w:rPr>
          <w:color w:val="231F20"/>
          <w:spacing w:val="-20"/>
          <w:sz w:val="20"/>
        </w:rPr>
        <w:t xml:space="preserve"> </w:t>
      </w:r>
      <w:r>
        <w:rPr>
          <w:color w:val="231F20"/>
          <w:spacing w:val="-3"/>
          <w:sz w:val="20"/>
        </w:rPr>
        <w:t>2020)</w:t>
      </w:r>
    </w:p>
    <w:p w14:paraId="356A272F" w14:textId="77777777" w:rsidR="00894070" w:rsidRDefault="009B7AFD">
      <w:pPr>
        <w:pStyle w:val="BodyText"/>
        <w:spacing w:line="259" w:lineRule="exact"/>
        <w:ind w:left="1281" w:right="1866"/>
        <w:jc w:val="center"/>
      </w:pPr>
      <w:r>
        <w:rPr>
          <w:color w:val="231F20"/>
        </w:rPr>
        <w:t>&lt;</w:t>
      </w:r>
      <w:hyperlink r:id="rId256">
        <w:r>
          <w:rPr>
            <w:color w:val="231F20"/>
          </w:rPr>
          <w:t>https://www.cps.gov.uk/legal-guidance/stalking-protection-orders</w:t>
        </w:r>
      </w:hyperlink>
      <w:r>
        <w:rPr>
          <w:color w:val="231F20"/>
        </w:rPr>
        <w:t>&gt;</w:t>
      </w:r>
    </w:p>
    <w:p w14:paraId="446E0C2B" w14:textId="77777777" w:rsidR="00894070" w:rsidRDefault="009B7AFD">
      <w:pPr>
        <w:spacing w:before="47"/>
        <w:ind w:left="1007"/>
        <w:rPr>
          <w:sz w:val="20"/>
        </w:rPr>
      </w:pPr>
      <w:r>
        <w:rPr>
          <w:color w:val="231F20"/>
          <w:sz w:val="20"/>
        </w:rPr>
        <w:t xml:space="preserve">Dispute Settlement Centre of Victoria, </w:t>
      </w:r>
      <w:r>
        <w:rPr>
          <w:i/>
          <w:color w:val="231F20"/>
          <w:sz w:val="20"/>
        </w:rPr>
        <w:t xml:space="preserve">DSCV Assessing Suitability Criteria </w:t>
      </w:r>
      <w:r>
        <w:rPr>
          <w:color w:val="231F20"/>
          <w:sz w:val="20"/>
        </w:rPr>
        <w:t>(Guideline, undated)</w:t>
      </w:r>
    </w:p>
    <w:p w14:paraId="4CD59C25" w14:textId="77777777" w:rsidR="00894070" w:rsidRDefault="009B7AFD">
      <w:pPr>
        <w:pStyle w:val="BodyText"/>
        <w:spacing w:before="76" w:line="259" w:lineRule="exact"/>
        <w:ind w:left="1007"/>
      </w:pPr>
      <w:r>
        <w:rPr>
          <w:color w:val="231F20"/>
        </w:rPr>
        <w:t xml:space="preserve">‘Domestic Violence Offenders in SA to Be GPS Tracked’, </w:t>
      </w:r>
      <w:r>
        <w:rPr>
          <w:i/>
          <w:color w:val="231F20"/>
        </w:rPr>
        <w:t xml:space="preserve">ABC News </w:t>
      </w:r>
      <w:r>
        <w:rPr>
          <w:color w:val="231F20"/>
        </w:rPr>
        <w:t>(online, 17 April 2017)</w:t>
      </w:r>
    </w:p>
    <w:p w14:paraId="39D41F11" w14:textId="77777777" w:rsidR="00894070" w:rsidRDefault="009B7AFD">
      <w:pPr>
        <w:pStyle w:val="BodyText"/>
        <w:spacing w:before="14" w:line="206" w:lineRule="auto"/>
        <w:ind w:left="1007" w:right="45"/>
      </w:pPr>
      <w:r>
        <w:rPr>
          <w:color w:val="231F20"/>
          <w:spacing w:val="-3"/>
        </w:rPr>
        <w:t>&lt;</w:t>
      </w:r>
      <w:hyperlink r:id="rId257">
        <w:r>
          <w:rPr>
            <w:color w:val="231F20"/>
            <w:spacing w:val="-3"/>
          </w:rPr>
          <w:t>https://www.abc.net.au/news/2017-04-18/domestic-violence-offenders-to-be-gps-tracked-</w:t>
        </w:r>
      </w:hyperlink>
      <w:r>
        <w:rPr>
          <w:color w:val="231F20"/>
          <w:spacing w:val="-3"/>
        </w:rPr>
        <w:t xml:space="preserve"> </w:t>
      </w:r>
      <w:hyperlink r:id="rId258">
        <w:r>
          <w:rPr>
            <w:color w:val="231F20"/>
          </w:rPr>
          <w:t>in-sa/8448666</w:t>
        </w:r>
      </w:hyperlink>
      <w:r>
        <w:rPr>
          <w:color w:val="231F20"/>
        </w:rPr>
        <w:t>&gt;</w:t>
      </w:r>
    </w:p>
    <w:p w14:paraId="19B8B109" w14:textId="77777777" w:rsidR="00894070" w:rsidRDefault="009B7AFD">
      <w:pPr>
        <w:spacing w:before="115" w:line="206" w:lineRule="auto"/>
        <w:ind w:left="1007"/>
        <w:rPr>
          <w:sz w:val="20"/>
        </w:rPr>
      </w:pPr>
      <w:r>
        <w:rPr>
          <w:color w:val="231F20"/>
          <w:sz w:val="20"/>
        </w:rPr>
        <w:t xml:space="preserve">Douglas, Heather, ‘Do We Need a Specific Domestic Violence Offence?’ (2015) 39 </w:t>
      </w:r>
      <w:r>
        <w:rPr>
          <w:i/>
          <w:color w:val="231F20"/>
          <w:sz w:val="20"/>
        </w:rPr>
        <w:t xml:space="preserve">Melbourne University Law Review </w:t>
      </w:r>
      <w:r>
        <w:rPr>
          <w:color w:val="231F20"/>
          <w:sz w:val="20"/>
        </w:rPr>
        <w:t>434</w:t>
      </w:r>
    </w:p>
    <w:p w14:paraId="5D6C6249" w14:textId="77777777" w:rsidR="00894070" w:rsidRDefault="009B7AFD">
      <w:pPr>
        <w:spacing w:before="116" w:line="206" w:lineRule="auto"/>
        <w:ind w:left="1007" w:right="156"/>
        <w:rPr>
          <w:sz w:val="20"/>
        </w:rPr>
      </w:pPr>
      <w:r>
        <w:rPr>
          <w:color w:val="231F20"/>
          <w:sz w:val="20"/>
        </w:rPr>
        <w:t xml:space="preserve">Dressing, Harald et al, ‘Cyberstalking in a Large Sample of Social Network Users: Prevalence, Characteristics, and Impact upon Victims’ (2014) 17(2) </w:t>
      </w:r>
      <w:r>
        <w:rPr>
          <w:i/>
          <w:color w:val="231F20"/>
          <w:sz w:val="20"/>
        </w:rPr>
        <w:t xml:space="preserve">Cyberpsychology, Behavior and Social Networking </w:t>
      </w:r>
      <w:r>
        <w:rPr>
          <w:color w:val="231F20"/>
          <w:sz w:val="20"/>
        </w:rPr>
        <w:t>61</w:t>
      </w:r>
    </w:p>
    <w:p w14:paraId="22037751" w14:textId="77777777" w:rsidR="00894070" w:rsidRDefault="009B7AFD">
      <w:pPr>
        <w:spacing w:before="118" w:line="206" w:lineRule="auto"/>
        <w:ind w:left="1007" w:right="727"/>
        <w:rPr>
          <w:sz w:val="20"/>
        </w:rPr>
      </w:pPr>
      <w:r>
        <w:rPr>
          <w:color w:val="231F20"/>
          <w:sz w:val="20"/>
        </w:rPr>
        <w:t xml:space="preserve">Dressing, Harald et al, ‘The Prevalence and Effects of Stalking’ (2020) 117(20) </w:t>
      </w:r>
      <w:r>
        <w:rPr>
          <w:i/>
          <w:color w:val="231F20"/>
          <w:sz w:val="20"/>
        </w:rPr>
        <w:t xml:space="preserve">Deutsches Ärzteblatt International </w:t>
      </w:r>
      <w:r>
        <w:rPr>
          <w:color w:val="231F20"/>
          <w:sz w:val="20"/>
        </w:rPr>
        <w:t>347</w:t>
      </w:r>
    </w:p>
    <w:p w14:paraId="7A052E5F" w14:textId="77777777" w:rsidR="00894070" w:rsidRDefault="009B7AFD">
      <w:pPr>
        <w:spacing w:before="116" w:line="206" w:lineRule="auto"/>
        <w:ind w:left="1007"/>
        <w:rPr>
          <w:sz w:val="20"/>
        </w:rPr>
      </w:pPr>
      <w:r>
        <w:rPr>
          <w:color w:val="231F20"/>
          <w:sz w:val="20"/>
        </w:rPr>
        <w:t xml:space="preserve">Dubravka Šimonović, Special Rapporteur, </w:t>
      </w:r>
      <w:r>
        <w:rPr>
          <w:i/>
          <w:color w:val="231F20"/>
          <w:sz w:val="20"/>
        </w:rPr>
        <w:t xml:space="preserve">Report of the Special Rapporteur on Violence Against Women, Its Causes and Consequences on Online Violence Against Women and Girls from a Human Rights Perspective, </w:t>
      </w:r>
      <w:r>
        <w:rPr>
          <w:color w:val="231F20"/>
          <w:sz w:val="20"/>
        </w:rPr>
        <w:t>Human Rights Council, UN Doc A/HRC/38/47 (14 June 2018)</w:t>
      </w:r>
    </w:p>
    <w:p w14:paraId="33D0EB72" w14:textId="77777777" w:rsidR="00894070" w:rsidRDefault="009B7AFD">
      <w:pPr>
        <w:pStyle w:val="BodyText"/>
        <w:spacing w:before="117" w:line="206" w:lineRule="auto"/>
        <w:ind w:left="1007"/>
      </w:pPr>
      <w:r>
        <w:rPr>
          <w:color w:val="231F20"/>
        </w:rPr>
        <w:t>Dunn, Suzie, ‘Technology-Facilitated Gender-Based Violence: An Overview’ (Centre for International Governance Innovation: Supporting a Safer Internet Paper No 1, Social Science Research Network, 2020) &lt;</w:t>
      </w:r>
      <w:hyperlink r:id="rId259">
        <w:r>
          <w:rPr>
            <w:color w:val="231F20"/>
          </w:rPr>
          <w:t>https://papers.ssrn.com/abstract=3772042</w:t>
        </w:r>
      </w:hyperlink>
      <w:r>
        <w:rPr>
          <w:color w:val="231F20"/>
        </w:rPr>
        <w:t>&gt;</w:t>
      </w:r>
    </w:p>
    <w:p w14:paraId="70E554D8" w14:textId="77777777" w:rsidR="00894070" w:rsidRDefault="009B7AFD">
      <w:pPr>
        <w:spacing w:before="117" w:line="206" w:lineRule="auto"/>
        <w:ind w:left="1007" w:right="348"/>
        <w:rPr>
          <w:sz w:val="20"/>
        </w:rPr>
      </w:pPr>
      <w:r>
        <w:rPr>
          <w:color w:val="231F20"/>
          <w:sz w:val="20"/>
        </w:rPr>
        <w:t xml:space="preserve">Fazio, Laura, ‘Young People and Cyberspace: Introduction’ (2016) 22(2) </w:t>
      </w:r>
      <w:r>
        <w:rPr>
          <w:i/>
          <w:color w:val="231F20"/>
          <w:sz w:val="20"/>
        </w:rPr>
        <w:t xml:space="preserve">European Journal on Criminal Policy and Research </w:t>
      </w:r>
      <w:r>
        <w:rPr>
          <w:color w:val="231F20"/>
          <w:sz w:val="20"/>
        </w:rPr>
        <w:t>211</w:t>
      </w:r>
    </w:p>
    <w:p w14:paraId="28F4D9E8" w14:textId="77777777" w:rsidR="00894070" w:rsidRDefault="009B7AFD">
      <w:pPr>
        <w:spacing w:before="116" w:line="206" w:lineRule="auto"/>
        <w:ind w:left="1007"/>
        <w:rPr>
          <w:sz w:val="20"/>
        </w:rPr>
      </w:pPr>
      <w:r>
        <w:rPr>
          <w:color w:val="231F20"/>
          <w:sz w:val="20"/>
        </w:rPr>
        <w:t xml:space="preserve">Fissel, Erica R and Bradford W Reyns, ‘The Aftermath of Cyberstalking: School, Work, Social, and Health Costs of Victimization’ (2020) 45(1) </w:t>
      </w:r>
      <w:r>
        <w:rPr>
          <w:i/>
          <w:color w:val="231F20"/>
          <w:sz w:val="20"/>
        </w:rPr>
        <w:t xml:space="preserve">American Journal of Criminal Justice </w:t>
      </w:r>
      <w:r>
        <w:rPr>
          <w:color w:val="231F20"/>
          <w:sz w:val="20"/>
        </w:rPr>
        <w:t>70</w:t>
      </w:r>
    </w:p>
    <w:p w14:paraId="54586170" w14:textId="77777777" w:rsidR="00894070" w:rsidRDefault="009B7AFD">
      <w:pPr>
        <w:spacing w:before="116" w:line="206" w:lineRule="auto"/>
        <w:ind w:left="1007"/>
        <w:rPr>
          <w:sz w:val="20"/>
        </w:rPr>
      </w:pPr>
      <w:r>
        <w:rPr>
          <w:color w:val="231F20"/>
          <w:sz w:val="20"/>
        </w:rPr>
        <w:t>Fissel,</w:t>
      </w:r>
      <w:r>
        <w:rPr>
          <w:color w:val="231F20"/>
          <w:spacing w:val="-5"/>
          <w:sz w:val="20"/>
        </w:rPr>
        <w:t xml:space="preserve"> </w:t>
      </w:r>
      <w:r>
        <w:rPr>
          <w:color w:val="231F20"/>
          <w:sz w:val="20"/>
        </w:rPr>
        <w:t>Erica</w:t>
      </w:r>
      <w:r>
        <w:rPr>
          <w:color w:val="231F20"/>
          <w:spacing w:val="-4"/>
          <w:sz w:val="20"/>
        </w:rPr>
        <w:t xml:space="preserve"> </w:t>
      </w:r>
      <w:r>
        <w:rPr>
          <w:color w:val="231F20"/>
          <w:sz w:val="20"/>
        </w:rPr>
        <w:t>R,</w:t>
      </w:r>
      <w:r>
        <w:rPr>
          <w:color w:val="231F20"/>
          <w:spacing w:val="-4"/>
          <w:sz w:val="20"/>
        </w:rPr>
        <w:t xml:space="preserve"> </w:t>
      </w:r>
      <w:r>
        <w:rPr>
          <w:color w:val="231F20"/>
          <w:sz w:val="20"/>
        </w:rPr>
        <w:t>Bradford</w:t>
      </w:r>
      <w:r>
        <w:rPr>
          <w:color w:val="231F20"/>
          <w:spacing w:val="-4"/>
          <w:sz w:val="20"/>
        </w:rPr>
        <w:t xml:space="preserve"> </w:t>
      </w:r>
      <w:r>
        <w:rPr>
          <w:color w:val="231F20"/>
          <w:sz w:val="20"/>
        </w:rPr>
        <w:t>W</w:t>
      </w:r>
      <w:r>
        <w:rPr>
          <w:color w:val="231F20"/>
          <w:spacing w:val="-4"/>
          <w:sz w:val="20"/>
        </w:rPr>
        <w:t xml:space="preserve"> </w:t>
      </w:r>
      <w:r>
        <w:rPr>
          <w:color w:val="231F20"/>
          <w:sz w:val="20"/>
        </w:rPr>
        <w:t>Reyns</w:t>
      </w:r>
      <w:r>
        <w:rPr>
          <w:color w:val="231F20"/>
          <w:spacing w:val="-5"/>
          <w:sz w:val="20"/>
        </w:rPr>
        <w:t xml:space="preserve"> </w:t>
      </w:r>
      <w:r>
        <w:rPr>
          <w:color w:val="231F20"/>
          <w:sz w:val="20"/>
        </w:rPr>
        <w:t>and</w:t>
      </w:r>
      <w:r>
        <w:rPr>
          <w:color w:val="231F20"/>
          <w:spacing w:val="-4"/>
          <w:sz w:val="20"/>
        </w:rPr>
        <w:t xml:space="preserve"> </w:t>
      </w:r>
      <w:r>
        <w:rPr>
          <w:color w:val="231F20"/>
          <w:sz w:val="20"/>
        </w:rPr>
        <w:t>Bonnie</w:t>
      </w:r>
      <w:r>
        <w:rPr>
          <w:color w:val="231F20"/>
          <w:spacing w:val="-4"/>
          <w:sz w:val="20"/>
        </w:rPr>
        <w:t xml:space="preserve"> </w:t>
      </w:r>
      <w:r>
        <w:rPr>
          <w:color w:val="231F20"/>
          <w:sz w:val="20"/>
        </w:rPr>
        <w:t>S</w:t>
      </w:r>
      <w:r>
        <w:rPr>
          <w:color w:val="231F20"/>
          <w:spacing w:val="-4"/>
          <w:sz w:val="20"/>
        </w:rPr>
        <w:t xml:space="preserve"> </w:t>
      </w:r>
      <w:r>
        <w:rPr>
          <w:color w:val="231F20"/>
          <w:spacing w:val="-3"/>
          <w:sz w:val="20"/>
        </w:rPr>
        <w:t>Fisher,</w:t>
      </w:r>
      <w:r>
        <w:rPr>
          <w:color w:val="231F20"/>
          <w:spacing w:val="-4"/>
          <w:sz w:val="20"/>
        </w:rPr>
        <w:t xml:space="preserve"> </w:t>
      </w:r>
      <w:r>
        <w:rPr>
          <w:color w:val="231F20"/>
          <w:sz w:val="20"/>
        </w:rPr>
        <w:t>‘Stalking</w:t>
      </w:r>
      <w:r>
        <w:rPr>
          <w:color w:val="231F20"/>
          <w:spacing w:val="-5"/>
          <w:sz w:val="20"/>
        </w:rPr>
        <w:t xml:space="preserve"> </w:t>
      </w:r>
      <w:r>
        <w:rPr>
          <w:color w:val="231F20"/>
          <w:sz w:val="20"/>
        </w:rPr>
        <w:t>and</w:t>
      </w:r>
      <w:r>
        <w:rPr>
          <w:color w:val="231F20"/>
          <w:spacing w:val="-4"/>
          <w:sz w:val="20"/>
        </w:rPr>
        <w:t xml:space="preserve"> </w:t>
      </w:r>
      <w:r>
        <w:rPr>
          <w:color w:val="231F20"/>
          <w:sz w:val="20"/>
        </w:rPr>
        <w:t>Cyberstalking</w:t>
      </w:r>
      <w:r>
        <w:rPr>
          <w:color w:val="231F20"/>
          <w:spacing w:val="-4"/>
          <w:sz w:val="20"/>
        </w:rPr>
        <w:t xml:space="preserve"> </w:t>
      </w:r>
      <w:r>
        <w:rPr>
          <w:color w:val="231F20"/>
          <w:sz w:val="20"/>
        </w:rPr>
        <w:t xml:space="preserve">Victimization Research: </w:t>
      </w:r>
      <w:r>
        <w:rPr>
          <w:color w:val="231F20"/>
          <w:spacing w:val="-4"/>
          <w:sz w:val="20"/>
        </w:rPr>
        <w:t xml:space="preserve">Taking </w:t>
      </w:r>
      <w:r>
        <w:rPr>
          <w:color w:val="231F20"/>
          <w:sz w:val="20"/>
        </w:rPr>
        <w:t xml:space="preserve">Stock of </w:t>
      </w:r>
      <w:r>
        <w:rPr>
          <w:color w:val="231F20"/>
          <w:spacing w:val="-4"/>
          <w:sz w:val="20"/>
        </w:rPr>
        <w:t xml:space="preserve">Key </w:t>
      </w:r>
      <w:r>
        <w:rPr>
          <w:color w:val="231F20"/>
          <w:sz w:val="20"/>
        </w:rPr>
        <w:t xml:space="preserve">Conceptual, Definitional, Prevalence, and Theoretical Issues’ in Heng Choon (Oliver) Chan and Lorraine Sheridan </w:t>
      </w:r>
      <w:r>
        <w:rPr>
          <w:color w:val="231F20"/>
          <w:spacing w:val="-3"/>
          <w:sz w:val="20"/>
        </w:rPr>
        <w:t xml:space="preserve">(eds), </w:t>
      </w:r>
      <w:r>
        <w:rPr>
          <w:i/>
          <w:color w:val="231F20"/>
          <w:sz w:val="20"/>
        </w:rPr>
        <w:t xml:space="preserve">Psycho-Criminological Approaches </w:t>
      </w:r>
      <w:r>
        <w:rPr>
          <w:i/>
          <w:color w:val="231F20"/>
          <w:spacing w:val="-3"/>
          <w:sz w:val="20"/>
        </w:rPr>
        <w:t xml:space="preserve">to </w:t>
      </w:r>
      <w:r>
        <w:rPr>
          <w:i/>
          <w:color w:val="231F20"/>
          <w:sz w:val="20"/>
        </w:rPr>
        <w:t xml:space="preserve">Stalking Behavior: An International Perspective </w:t>
      </w:r>
      <w:r>
        <w:rPr>
          <w:color w:val="231F20"/>
          <w:sz w:val="20"/>
        </w:rPr>
        <w:t xml:space="preserve">(John Wiley and Sons, </w:t>
      </w:r>
      <w:r>
        <w:rPr>
          <w:color w:val="231F20"/>
          <w:spacing w:val="-3"/>
          <w:sz w:val="20"/>
        </w:rPr>
        <w:t>2020)</w:t>
      </w:r>
      <w:r>
        <w:rPr>
          <w:color w:val="231F20"/>
          <w:spacing w:val="-29"/>
          <w:sz w:val="20"/>
        </w:rPr>
        <w:t xml:space="preserve"> </w:t>
      </w:r>
      <w:r>
        <w:rPr>
          <w:color w:val="231F20"/>
          <w:sz w:val="20"/>
        </w:rPr>
        <w:t>11</w:t>
      </w:r>
    </w:p>
    <w:p w14:paraId="5D9EDC74" w14:textId="77777777" w:rsidR="00894070" w:rsidRDefault="009B7AFD">
      <w:pPr>
        <w:spacing w:before="118" w:line="206" w:lineRule="auto"/>
        <w:ind w:left="1007" w:right="217"/>
        <w:rPr>
          <w:sz w:val="20"/>
        </w:rPr>
      </w:pPr>
      <w:r>
        <w:rPr>
          <w:color w:val="231F20"/>
          <w:sz w:val="20"/>
        </w:rPr>
        <w:t xml:space="preserve">Flynn, Asher, Anastasia Powell and Sophie Hindes, </w:t>
      </w:r>
      <w:r>
        <w:rPr>
          <w:i/>
          <w:color w:val="231F20"/>
          <w:sz w:val="20"/>
        </w:rPr>
        <w:t xml:space="preserve">Technology-Facilitated Abuse: A Survey of Support Services Stakeholders </w:t>
      </w:r>
      <w:r>
        <w:rPr>
          <w:color w:val="231F20"/>
          <w:sz w:val="20"/>
        </w:rPr>
        <w:t>(Research Report No 2, ANROWS, July 2021)</w:t>
      </w:r>
    </w:p>
    <w:p w14:paraId="327C3505" w14:textId="77777777" w:rsidR="00894070" w:rsidRDefault="009B7AFD">
      <w:pPr>
        <w:pStyle w:val="BodyText"/>
        <w:spacing w:before="116" w:line="206" w:lineRule="auto"/>
        <w:ind w:left="1007"/>
        <w:rPr>
          <w:i/>
        </w:rPr>
      </w:pPr>
      <w:r>
        <w:rPr>
          <w:color w:val="231F20"/>
        </w:rPr>
        <w:t>Gavin, Jeff and Adrian J Scott, ‘The Influence of the Sex of and Prior Relationship between the Perpetrator</w:t>
      </w:r>
      <w:r>
        <w:rPr>
          <w:color w:val="231F20"/>
          <w:spacing w:val="-7"/>
        </w:rPr>
        <w:t xml:space="preserve"> </w:t>
      </w:r>
      <w:r>
        <w:rPr>
          <w:color w:val="231F20"/>
        </w:rPr>
        <w:t>and</w:t>
      </w:r>
      <w:r>
        <w:rPr>
          <w:color w:val="231F20"/>
          <w:spacing w:val="-7"/>
        </w:rPr>
        <w:t xml:space="preserve"> </w:t>
      </w:r>
      <w:r>
        <w:rPr>
          <w:color w:val="231F20"/>
        </w:rPr>
        <w:t>Victim</w:t>
      </w:r>
      <w:r>
        <w:rPr>
          <w:color w:val="231F20"/>
          <w:spacing w:val="-7"/>
        </w:rPr>
        <w:t xml:space="preserve"> </w:t>
      </w:r>
      <w:r>
        <w:rPr>
          <w:color w:val="231F20"/>
        </w:rPr>
        <w:t>on</w:t>
      </w:r>
      <w:r>
        <w:rPr>
          <w:color w:val="231F20"/>
          <w:spacing w:val="-7"/>
        </w:rPr>
        <w:t xml:space="preserve"> </w:t>
      </w:r>
      <w:r>
        <w:rPr>
          <w:color w:val="231F20"/>
        </w:rPr>
        <w:t>Perceptions</w:t>
      </w:r>
      <w:r>
        <w:rPr>
          <w:color w:val="231F20"/>
          <w:spacing w:val="-7"/>
        </w:rPr>
        <w:t xml:space="preserve"> </w:t>
      </w:r>
      <w:r>
        <w:rPr>
          <w:color w:val="231F20"/>
        </w:rPr>
        <w:t>of</w:t>
      </w:r>
      <w:r>
        <w:rPr>
          <w:color w:val="231F20"/>
          <w:spacing w:val="-7"/>
        </w:rPr>
        <w:t xml:space="preserve"> </w:t>
      </w:r>
      <w:r>
        <w:rPr>
          <w:color w:val="231F20"/>
        </w:rPr>
        <w:t>Stalking:</w:t>
      </w:r>
      <w:r>
        <w:rPr>
          <w:color w:val="231F20"/>
          <w:spacing w:val="-6"/>
        </w:rPr>
        <w:t xml:space="preserve"> </w:t>
      </w:r>
      <w:r>
        <w:rPr>
          <w:color w:val="231F20"/>
        </w:rPr>
        <w:t>A</w:t>
      </w:r>
      <w:r>
        <w:rPr>
          <w:color w:val="231F20"/>
          <w:spacing w:val="-7"/>
        </w:rPr>
        <w:t xml:space="preserve"> </w:t>
      </w:r>
      <w:r>
        <w:rPr>
          <w:color w:val="231F20"/>
        </w:rPr>
        <w:t>Qualitative</w:t>
      </w:r>
      <w:r>
        <w:rPr>
          <w:color w:val="231F20"/>
          <w:spacing w:val="-7"/>
        </w:rPr>
        <w:t xml:space="preserve"> </w:t>
      </w:r>
      <w:r>
        <w:rPr>
          <w:color w:val="231F20"/>
          <w:spacing w:val="-2"/>
        </w:rPr>
        <w:t>Analysis’</w:t>
      </w:r>
      <w:r>
        <w:rPr>
          <w:color w:val="231F20"/>
          <w:spacing w:val="-7"/>
        </w:rPr>
        <w:t xml:space="preserve"> </w:t>
      </w:r>
      <w:r>
        <w:rPr>
          <w:color w:val="231F20"/>
        </w:rPr>
        <w:t>(2016)</w:t>
      </w:r>
      <w:r>
        <w:rPr>
          <w:color w:val="231F20"/>
          <w:spacing w:val="-7"/>
        </w:rPr>
        <w:t xml:space="preserve"> </w:t>
      </w:r>
      <w:r>
        <w:rPr>
          <w:color w:val="231F20"/>
        </w:rPr>
        <w:t>23(5)</w:t>
      </w:r>
      <w:r>
        <w:rPr>
          <w:color w:val="231F20"/>
          <w:spacing w:val="-7"/>
        </w:rPr>
        <w:t xml:space="preserve"> </w:t>
      </w:r>
      <w:r>
        <w:rPr>
          <w:i/>
          <w:color w:val="231F20"/>
        </w:rPr>
        <w:t>Psychiatry,</w:t>
      </w:r>
    </w:p>
    <w:p w14:paraId="620AC35A" w14:textId="77777777" w:rsidR="00894070" w:rsidRDefault="009B7AFD">
      <w:pPr>
        <w:spacing w:line="248" w:lineRule="exact"/>
        <w:ind w:left="1007"/>
        <w:rPr>
          <w:sz w:val="20"/>
        </w:rPr>
      </w:pPr>
      <w:r>
        <w:rPr>
          <w:i/>
          <w:color w:val="231F20"/>
          <w:sz w:val="20"/>
        </w:rPr>
        <w:t xml:space="preserve">Psychology and Law </w:t>
      </w:r>
      <w:r>
        <w:rPr>
          <w:color w:val="231F20"/>
          <w:sz w:val="20"/>
        </w:rPr>
        <w:t>716</w:t>
      </w:r>
    </w:p>
    <w:p w14:paraId="51F538EC" w14:textId="77777777" w:rsidR="00894070" w:rsidRDefault="009B7AFD">
      <w:pPr>
        <w:spacing w:before="76" w:line="259" w:lineRule="exact"/>
        <w:ind w:left="1007"/>
        <w:rPr>
          <w:sz w:val="20"/>
        </w:rPr>
      </w:pPr>
      <w:r>
        <w:rPr>
          <w:color w:val="231F20"/>
          <w:sz w:val="20"/>
        </w:rPr>
        <w:t xml:space="preserve">‘Get Stalking Advice and Help’, </w:t>
      </w:r>
      <w:r>
        <w:rPr>
          <w:i/>
          <w:color w:val="231F20"/>
          <w:sz w:val="20"/>
        </w:rPr>
        <w:t xml:space="preserve">Suzy Lamplugh Trust </w:t>
      </w:r>
      <w:r>
        <w:rPr>
          <w:color w:val="231F20"/>
          <w:sz w:val="20"/>
        </w:rPr>
        <w:t>(Web Page, 2019)</w:t>
      </w:r>
    </w:p>
    <w:p w14:paraId="47959EC9" w14:textId="77777777" w:rsidR="00894070" w:rsidRDefault="009B7AFD">
      <w:pPr>
        <w:pStyle w:val="BodyText"/>
        <w:spacing w:line="259" w:lineRule="exact"/>
        <w:ind w:left="1007"/>
      </w:pPr>
      <w:r>
        <w:rPr>
          <w:color w:val="231F20"/>
        </w:rPr>
        <w:t>&lt;</w:t>
      </w:r>
      <w:hyperlink r:id="rId260">
        <w:r>
          <w:rPr>
            <w:color w:val="231F20"/>
          </w:rPr>
          <w:t>https://www.suzylamplugh.org/Pages/Category/get-stalking-advice-and-help</w:t>
        </w:r>
      </w:hyperlink>
      <w:r>
        <w:rPr>
          <w:color w:val="231F20"/>
        </w:rPr>
        <w:t>&gt;</w:t>
      </w:r>
    </w:p>
    <w:p w14:paraId="51F951D2" w14:textId="77777777" w:rsidR="00894070" w:rsidRDefault="009B7AFD">
      <w:pPr>
        <w:pStyle w:val="BodyText"/>
        <w:rPr>
          <w:sz w:val="28"/>
        </w:rPr>
      </w:pPr>
      <w:r>
        <w:br w:type="column"/>
      </w:r>
    </w:p>
    <w:p w14:paraId="64C4C618" w14:textId="77777777" w:rsidR="00894070" w:rsidRDefault="00894070">
      <w:pPr>
        <w:pStyle w:val="BodyText"/>
        <w:rPr>
          <w:sz w:val="28"/>
        </w:rPr>
      </w:pPr>
    </w:p>
    <w:p w14:paraId="6BF07AA1" w14:textId="77777777" w:rsidR="00894070" w:rsidRDefault="00894070">
      <w:pPr>
        <w:pStyle w:val="BodyText"/>
        <w:rPr>
          <w:sz w:val="28"/>
        </w:rPr>
      </w:pPr>
    </w:p>
    <w:p w14:paraId="039D729F" w14:textId="77777777" w:rsidR="00894070" w:rsidRDefault="00894070">
      <w:pPr>
        <w:pStyle w:val="BodyText"/>
        <w:rPr>
          <w:sz w:val="28"/>
        </w:rPr>
      </w:pPr>
    </w:p>
    <w:p w14:paraId="4A42E240" w14:textId="77777777" w:rsidR="00894070" w:rsidRDefault="00894070">
      <w:pPr>
        <w:pStyle w:val="BodyText"/>
        <w:rPr>
          <w:sz w:val="28"/>
        </w:rPr>
      </w:pPr>
    </w:p>
    <w:p w14:paraId="02EE9CB4" w14:textId="77777777" w:rsidR="00894070" w:rsidRDefault="00894070">
      <w:pPr>
        <w:pStyle w:val="BodyText"/>
        <w:rPr>
          <w:sz w:val="28"/>
        </w:rPr>
      </w:pPr>
    </w:p>
    <w:p w14:paraId="16FE44A3" w14:textId="77777777" w:rsidR="00894070" w:rsidRDefault="00894070">
      <w:pPr>
        <w:pStyle w:val="BodyText"/>
        <w:rPr>
          <w:sz w:val="28"/>
        </w:rPr>
      </w:pPr>
    </w:p>
    <w:p w14:paraId="339BF13E" w14:textId="77777777" w:rsidR="00894070" w:rsidRDefault="00894070">
      <w:pPr>
        <w:pStyle w:val="BodyText"/>
        <w:rPr>
          <w:sz w:val="28"/>
        </w:rPr>
      </w:pPr>
    </w:p>
    <w:p w14:paraId="0082A1B5" w14:textId="77777777" w:rsidR="00894070" w:rsidRDefault="00894070">
      <w:pPr>
        <w:pStyle w:val="BodyText"/>
        <w:rPr>
          <w:sz w:val="28"/>
        </w:rPr>
      </w:pPr>
    </w:p>
    <w:p w14:paraId="2E82497D" w14:textId="77777777" w:rsidR="00894070" w:rsidRDefault="00894070">
      <w:pPr>
        <w:pStyle w:val="BodyText"/>
        <w:rPr>
          <w:sz w:val="28"/>
        </w:rPr>
      </w:pPr>
    </w:p>
    <w:p w14:paraId="574A04BF" w14:textId="77777777" w:rsidR="00894070" w:rsidRDefault="00894070">
      <w:pPr>
        <w:pStyle w:val="BodyText"/>
        <w:rPr>
          <w:sz w:val="28"/>
        </w:rPr>
      </w:pPr>
    </w:p>
    <w:p w14:paraId="4DA4EB8A" w14:textId="77777777" w:rsidR="00894070" w:rsidRDefault="00894070">
      <w:pPr>
        <w:pStyle w:val="BodyText"/>
        <w:rPr>
          <w:sz w:val="28"/>
        </w:rPr>
      </w:pPr>
    </w:p>
    <w:p w14:paraId="4AECEEB0" w14:textId="77777777" w:rsidR="00894070" w:rsidRDefault="00894070">
      <w:pPr>
        <w:pStyle w:val="BodyText"/>
        <w:rPr>
          <w:sz w:val="28"/>
        </w:rPr>
      </w:pPr>
    </w:p>
    <w:p w14:paraId="7E8DC2CE" w14:textId="77777777" w:rsidR="00894070" w:rsidRDefault="00894070">
      <w:pPr>
        <w:pStyle w:val="BodyText"/>
        <w:rPr>
          <w:sz w:val="28"/>
        </w:rPr>
      </w:pPr>
    </w:p>
    <w:p w14:paraId="1F77561E" w14:textId="77777777" w:rsidR="00894070" w:rsidRDefault="00894070">
      <w:pPr>
        <w:pStyle w:val="BodyText"/>
        <w:rPr>
          <w:sz w:val="28"/>
        </w:rPr>
      </w:pPr>
    </w:p>
    <w:p w14:paraId="402F8B59" w14:textId="77777777" w:rsidR="00894070" w:rsidRDefault="00894070">
      <w:pPr>
        <w:pStyle w:val="BodyText"/>
        <w:rPr>
          <w:sz w:val="28"/>
        </w:rPr>
      </w:pPr>
    </w:p>
    <w:p w14:paraId="7B01B5FC" w14:textId="77777777" w:rsidR="00894070" w:rsidRDefault="00894070">
      <w:pPr>
        <w:pStyle w:val="BodyText"/>
        <w:rPr>
          <w:sz w:val="28"/>
        </w:rPr>
      </w:pPr>
    </w:p>
    <w:p w14:paraId="0BAF90E4" w14:textId="77777777" w:rsidR="00894070" w:rsidRDefault="00894070">
      <w:pPr>
        <w:pStyle w:val="BodyText"/>
        <w:rPr>
          <w:sz w:val="28"/>
        </w:rPr>
      </w:pPr>
    </w:p>
    <w:p w14:paraId="6956368B" w14:textId="77777777" w:rsidR="00894070" w:rsidRDefault="00894070">
      <w:pPr>
        <w:pStyle w:val="BodyText"/>
        <w:rPr>
          <w:sz w:val="28"/>
        </w:rPr>
      </w:pPr>
    </w:p>
    <w:p w14:paraId="2B7769C9" w14:textId="77777777" w:rsidR="00894070" w:rsidRDefault="00894070">
      <w:pPr>
        <w:pStyle w:val="BodyText"/>
        <w:rPr>
          <w:sz w:val="28"/>
        </w:rPr>
      </w:pPr>
    </w:p>
    <w:p w14:paraId="1F21FE17" w14:textId="77777777" w:rsidR="00894070" w:rsidRDefault="00894070">
      <w:pPr>
        <w:pStyle w:val="BodyText"/>
        <w:rPr>
          <w:sz w:val="28"/>
        </w:rPr>
      </w:pPr>
    </w:p>
    <w:p w14:paraId="761D896D" w14:textId="77777777" w:rsidR="00894070" w:rsidRDefault="00894070">
      <w:pPr>
        <w:pStyle w:val="BodyText"/>
        <w:rPr>
          <w:sz w:val="28"/>
        </w:rPr>
      </w:pPr>
    </w:p>
    <w:p w14:paraId="662E08F7" w14:textId="77777777" w:rsidR="00894070" w:rsidRDefault="00894070">
      <w:pPr>
        <w:pStyle w:val="BodyText"/>
        <w:rPr>
          <w:sz w:val="28"/>
        </w:rPr>
      </w:pPr>
    </w:p>
    <w:p w14:paraId="0F1ADB01" w14:textId="77777777" w:rsidR="00894070" w:rsidRDefault="00894070">
      <w:pPr>
        <w:pStyle w:val="BodyText"/>
        <w:rPr>
          <w:sz w:val="28"/>
        </w:rPr>
      </w:pPr>
    </w:p>
    <w:p w14:paraId="14505EBA" w14:textId="77777777" w:rsidR="00894070" w:rsidRDefault="00894070">
      <w:pPr>
        <w:pStyle w:val="BodyText"/>
        <w:rPr>
          <w:sz w:val="28"/>
        </w:rPr>
      </w:pPr>
    </w:p>
    <w:p w14:paraId="6A4EC33C" w14:textId="77777777" w:rsidR="00894070" w:rsidRDefault="00894070">
      <w:pPr>
        <w:pStyle w:val="BodyText"/>
        <w:rPr>
          <w:sz w:val="28"/>
        </w:rPr>
      </w:pPr>
    </w:p>
    <w:p w14:paraId="6AA4C171" w14:textId="77777777" w:rsidR="00894070" w:rsidRDefault="00894070">
      <w:pPr>
        <w:pStyle w:val="BodyText"/>
        <w:rPr>
          <w:sz w:val="28"/>
        </w:rPr>
      </w:pPr>
    </w:p>
    <w:p w14:paraId="4D9DF46D" w14:textId="77777777" w:rsidR="00894070" w:rsidRDefault="00894070">
      <w:pPr>
        <w:pStyle w:val="BodyText"/>
        <w:rPr>
          <w:sz w:val="28"/>
        </w:rPr>
      </w:pPr>
    </w:p>
    <w:p w14:paraId="3FB6D469" w14:textId="77777777" w:rsidR="00894070" w:rsidRDefault="00894070">
      <w:pPr>
        <w:pStyle w:val="BodyText"/>
        <w:rPr>
          <w:sz w:val="28"/>
        </w:rPr>
      </w:pPr>
    </w:p>
    <w:p w14:paraId="63FF9FAD" w14:textId="77777777" w:rsidR="00894070" w:rsidRDefault="00894070">
      <w:pPr>
        <w:pStyle w:val="BodyText"/>
        <w:rPr>
          <w:sz w:val="28"/>
        </w:rPr>
      </w:pPr>
    </w:p>
    <w:p w14:paraId="609DA063" w14:textId="77777777" w:rsidR="00894070" w:rsidRDefault="00894070">
      <w:pPr>
        <w:pStyle w:val="BodyText"/>
        <w:rPr>
          <w:sz w:val="28"/>
        </w:rPr>
      </w:pPr>
    </w:p>
    <w:p w14:paraId="1A1EEF6D" w14:textId="77777777" w:rsidR="00894070" w:rsidRDefault="00894070">
      <w:pPr>
        <w:pStyle w:val="BodyText"/>
        <w:rPr>
          <w:sz w:val="28"/>
        </w:rPr>
      </w:pPr>
    </w:p>
    <w:p w14:paraId="2FD3ECEF" w14:textId="77777777" w:rsidR="00894070" w:rsidRDefault="00894070">
      <w:pPr>
        <w:pStyle w:val="BodyText"/>
        <w:rPr>
          <w:sz w:val="28"/>
        </w:rPr>
      </w:pPr>
    </w:p>
    <w:p w14:paraId="70355979" w14:textId="77777777" w:rsidR="00894070" w:rsidRDefault="00894070">
      <w:pPr>
        <w:pStyle w:val="BodyText"/>
        <w:rPr>
          <w:sz w:val="28"/>
        </w:rPr>
      </w:pPr>
    </w:p>
    <w:p w14:paraId="49B67031" w14:textId="77777777" w:rsidR="00894070" w:rsidRDefault="00894070">
      <w:pPr>
        <w:pStyle w:val="BodyText"/>
        <w:rPr>
          <w:sz w:val="28"/>
        </w:rPr>
      </w:pPr>
    </w:p>
    <w:p w14:paraId="76FADDBE" w14:textId="77777777" w:rsidR="00894070" w:rsidRDefault="00894070">
      <w:pPr>
        <w:pStyle w:val="BodyText"/>
        <w:spacing w:before="8"/>
        <w:rPr>
          <w:sz w:val="36"/>
        </w:rPr>
      </w:pPr>
    </w:p>
    <w:p w14:paraId="1119A8FA" w14:textId="77777777" w:rsidR="00894070" w:rsidRDefault="009B7AFD">
      <w:pPr>
        <w:pStyle w:val="Heading8"/>
        <w:ind w:left="568"/>
      </w:pPr>
      <w:r>
        <w:rPr>
          <w:color w:val="EA5B50"/>
        </w:rPr>
        <w:t>197</w:t>
      </w:r>
    </w:p>
    <w:p w14:paraId="2074487A" w14:textId="77777777" w:rsidR="00894070" w:rsidRDefault="00894070">
      <w:pPr>
        <w:sectPr w:rsidR="00894070">
          <w:type w:val="continuous"/>
          <w:pgSz w:w="11910" w:h="16840"/>
          <w:pgMar w:top="560" w:right="420" w:bottom="280" w:left="580" w:header="720" w:footer="720" w:gutter="0"/>
          <w:cols w:num="2" w:space="720" w:equalWidth="0">
            <w:col w:w="9731" w:space="40"/>
            <w:col w:w="1139"/>
          </w:cols>
        </w:sectPr>
      </w:pPr>
    </w:p>
    <w:p w14:paraId="280D3901" w14:textId="77777777" w:rsidR="00894070" w:rsidRDefault="00894070">
      <w:pPr>
        <w:pStyle w:val="BodyText"/>
        <w:rPr>
          <w:b/>
        </w:rPr>
      </w:pPr>
    </w:p>
    <w:p w14:paraId="1E50962F" w14:textId="77777777" w:rsidR="00894070" w:rsidRDefault="00894070">
      <w:pPr>
        <w:pStyle w:val="BodyText"/>
        <w:rPr>
          <w:b/>
        </w:rPr>
      </w:pPr>
    </w:p>
    <w:p w14:paraId="149E531B" w14:textId="77777777" w:rsidR="00894070" w:rsidRDefault="00894070">
      <w:pPr>
        <w:pStyle w:val="BodyText"/>
        <w:rPr>
          <w:b/>
        </w:rPr>
      </w:pPr>
    </w:p>
    <w:p w14:paraId="18E6F7F8" w14:textId="77777777" w:rsidR="00894070" w:rsidRDefault="00894070">
      <w:pPr>
        <w:pStyle w:val="BodyText"/>
        <w:rPr>
          <w:b/>
          <w:sz w:val="13"/>
        </w:rPr>
      </w:pPr>
    </w:p>
    <w:p w14:paraId="6FC3B1AB" w14:textId="77777777" w:rsidR="00894070" w:rsidRDefault="009B7AFD">
      <w:pPr>
        <w:pStyle w:val="BodyText"/>
        <w:spacing w:before="90" w:line="206" w:lineRule="auto"/>
        <w:ind w:left="1007" w:right="1518"/>
      </w:pPr>
      <w:r>
        <w:rPr>
          <w:color w:val="231F20"/>
        </w:rPr>
        <w:t xml:space="preserve">Goldson, Barry, ‘“Unsafe, Unjust and Harmful to Wider Society”: Grounds for Raising the Minimum Age of Criminal Responsibility in England and Wales’ (2013) 13(2) </w:t>
      </w:r>
      <w:r>
        <w:rPr>
          <w:i/>
          <w:color w:val="231F20"/>
        </w:rPr>
        <w:t xml:space="preserve">Youth Justice </w:t>
      </w:r>
      <w:r>
        <w:rPr>
          <w:color w:val="231F20"/>
        </w:rPr>
        <w:t>111</w:t>
      </w:r>
    </w:p>
    <w:p w14:paraId="4183DF63" w14:textId="77777777" w:rsidR="00894070" w:rsidRDefault="009B7AFD">
      <w:pPr>
        <w:pStyle w:val="BodyText"/>
        <w:spacing w:before="116" w:line="206" w:lineRule="auto"/>
        <w:ind w:left="1007" w:right="1334"/>
      </w:pPr>
      <w:r>
        <w:rPr>
          <w:color w:val="231F20"/>
        </w:rPr>
        <w:t xml:space="preserve">Harmon, Ronnie B et al, ‘The Impact of Anti-Stalking Training on Front Line Service Providers: Using the Anti-Stalking Training Evaluation Protocol (ASTEP)’ (2004) 49(5) </w:t>
      </w:r>
      <w:r>
        <w:rPr>
          <w:i/>
          <w:color w:val="231F20"/>
        </w:rPr>
        <w:t xml:space="preserve">Journal of Forensic Sciences </w:t>
      </w:r>
      <w:r>
        <w:rPr>
          <w:color w:val="231F20"/>
        </w:rPr>
        <w:t>JFS2003354:1–7</w:t>
      </w:r>
    </w:p>
    <w:p w14:paraId="7B1DB2F3" w14:textId="77777777" w:rsidR="00894070" w:rsidRDefault="009B7AFD">
      <w:pPr>
        <w:pStyle w:val="BodyText"/>
        <w:spacing w:before="117" w:line="206" w:lineRule="auto"/>
        <w:ind w:left="1007" w:right="1145"/>
      </w:pPr>
      <w:r>
        <w:rPr>
          <w:color w:val="231F20"/>
        </w:rPr>
        <w:t xml:space="preserve">Hendry, Natalie, Jenny Walsh and Sharyn Leahy Hatton, </w:t>
      </w:r>
      <w:r>
        <w:rPr>
          <w:i/>
          <w:color w:val="231F20"/>
        </w:rPr>
        <w:t xml:space="preserve">The YeS Project </w:t>
      </w:r>
      <w:r>
        <w:rPr>
          <w:color w:val="231F20"/>
        </w:rPr>
        <w:t>(Workshop Handbook, Office of the eSafety Commissioner (Cth), 2018)</w:t>
      </w:r>
    </w:p>
    <w:p w14:paraId="3D671A40" w14:textId="77777777" w:rsidR="00894070" w:rsidRDefault="009B7AFD">
      <w:pPr>
        <w:pStyle w:val="BodyText"/>
        <w:spacing w:before="116" w:line="206" w:lineRule="auto"/>
        <w:ind w:left="1007" w:right="2457"/>
        <w:jc w:val="both"/>
      </w:pPr>
      <w:r>
        <w:rPr>
          <w:color w:val="231F20"/>
        </w:rPr>
        <w:t xml:space="preserve">Henry, Nicola et al, </w:t>
      </w:r>
      <w:r>
        <w:rPr>
          <w:color w:val="231F20"/>
          <w:spacing w:val="-3"/>
        </w:rPr>
        <w:t xml:space="preserve">‘Technology-Facilitated </w:t>
      </w:r>
      <w:r>
        <w:rPr>
          <w:color w:val="231F20"/>
        </w:rPr>
        <w:t xml:space="preserve">Domestic Violence against Immigrant and Refugee </w:t>
      </w:r>
      <w:r>
        <w:rPr>
          <w:color w:val="231F20"/>
          <w:spacing w:val="-3"/>
        </w:rPr>
        <w:t xml:space="preserve">Women: </w:t>
      </w:r>
      <w:r>
        <w:rPr>
          <w:color w:val="231F20"/>
        </w:rPr>
        <w:t xml:space="preserve">A Qualitative Study’ [2021] </w:t>
      </w:r>
      <w:r>
        <w:rPr>
          <w:i/>
          <w:color w:val="231F20"/>
        </w:rPr>
        <w:t xml:space="preserve">Journal of Interpersonal Violence </w:t>
      </w:r>
      <w:r>
        <w:rPr>
          <w:color w:val="231F20"/>
          <w:spacing w:val="-3"/>
        </w:rPr>
        <w:t>10.1177/08862605211001465:1–27</w:t>
      </w:r>
    </w:p>
    <w:p w14:paraId="3766DA66" w14:textId="77777777" w:rsidR="00894070" w:rsidRDefault="009B7AFD">
      <w:pPr>
        <w:spacing w:before="117" w:line="206" w:lineRule="auto"/>
        <w:ind w:left="1007" w:right="1347"/>
        <w:rPr>
          <w:sz w:val="20"/>
        </w:rPr>
      </w:pPr>
      <w:r>
        <w:rPr>
          <w:color w:val="231F20"/>
          <w:sz w:val="20"/>
        </w:rPr>
        <w:t xml:space="preserve">Her Majesty’s Inspectorate of Constabulary and Her Majesty’s Crown Prosecution Service Inspectorate, </w:t>
      </w:r>
      <w:r>
        <w:rPr>
          <w:i/>
          <w:color w:val="231F20"/>
          <w:sz w:val="20"/>
        </w:rPr>
        <w:t xml:space="preserve">Living in Fear: The Police and CPS Response to Harassment and Stalking </w:t>
      </w:r>
      <w:r>
        <w:rPr>
          <w:color w:val="231F20"/>
          <w:sz w:val="20"/>
        </w:rPr>
        <w:t>(Report, July 2017)</w:t>
      </w:r>
    </w:p>
    <w:p w14:paraId="7FD54A07" w14:textId="77777777" w:rsidR="00894070" w:rsidRDefault="009B7AFD">
      <w:pPr>
        <w:pStyle w:val="BodyText"/>
        <w:spacing w:before="85" w:line="259" w:lineRule="exact"/>
        <w:ind w:left="1007"/>
      </w:pPr>
      <w:r>
        <w:rPr>
          <w:color w:val="231F20"/>
        </w:rPr>
        <w:t>House of Representatives Select Committee on Social Media and Online Safety, Parliament of</w:t>
      </w:r>
    </w:p>
    <w:p w14:paraId="3485D99E" w14:textId="77777777" w:rsidR="00894070" w:rsidRDefault="009B7AFD">
      <w:pPr>
        <w:spacing w:line="259" w:lineRule="exact"/>
        <w:ind w:left="1007"/>
        <w:rPr>
          <w:sz w:val="20"/>
        </w:rPr>
      </w:pPr>
      <w:r>
        <w:rPr>
          <w:color w:val="231F20"/>
          <w:sz w:val="20"/>
        </w:rPr>
        <w:t xml:space="preserve">the Commonwealth of Australia, </w:t>
      </w:r>
      <w:r>
        <w:rPr>
          <w:i/>
          <w:color w:val="231F20"/>
          <w:sz w:val="20"/>
        </w:rPr>
        <w:t xml:space="preserve">Social Media and Online Safety </w:t>
      </w:r>
      <w:r>
        <w:rPr>
          <w:color w:val="231F20"/>
          <w:sz w:val="20"/>
        </w:rPr>
        <w:t>(Report, March 2022)</w:t>
      </w:r>
    </w:p>
    <w:p w14:paraId="0DFA4B9B" w14:textId="77777777" w:rsidR="00894070" w:rsidRDefault="009B7AFD">
      <w:pPr>
        <w:spacing w:before="76"/>
        <w:ind w:left="1007"/>
        <w:rPr>
          <w:sz w:val="20"/>
        </w:rPr>
      </w:pPr>
      <w:r>
        <w:rPr>
          <w:color w:val="231F20"/>
          <w:sz w:val="20"/>
        </w:rPr>
        <w:t xml:space="preserve">Hucklesby, A and E Holdsworth, </w:t>
      </w:r>
      <w:r>
        <w:rPr>
          <w:i/>
          <w:color w:val="231F20"/>
          <w:sz w:val="20"/>
        </w:rPr>
        <w:t xml:space="preserve">Electronic Monitoring in England and Wales </w:t>
      </w:r>
      <w:r>
        <w:rPr>
          <w:color w:val="231F20"/>
          <w:sz w:val="20"/>
        </w:rPr>
        <w:t>(Report, 2016)</w:t>
      </w:r>
    </w:p>
    <w:p w14:paraId="56333E8B" w14:textId="77777777" w:rsidR="00894070" w:rsidRDefault="009B7AFD">
      <w:pPr>
        <w:spacing w:before="108" w:line="206" w:lineRule="auto"/>
        <w:ind w:left="1007" w:right="1818"/>
        <w:rPr>
          <w:sz w:val="20"/>
        </w:rPr>
      </w:pPr>
      <w:r>
        <w:rPr>
          <w:color w:val="231F20"/>
          <w:sz w:val="20"/>
        </w:rPr>
        <w:t xml:space="preserve">IDCARE, </w:t>
      </w:r>
      <w:r>
        <w:rPr>
          <w:i/>
          <w:color w:val="231F20"/>
          <w:sz w:val="20"/>
        </w:rPr>
        <w:t xml:space="preserve">Individual Support Services </w:t>
      </w:r>
      <w:r>
        <w:rPr>
          <w:color w:val="231F20"/>
          <w:sz w:val="20"/>
        </w:rPr>
        <w:t xml:space="preserve">(Web Page, 2022) </w:t>
      </w:r>
      <w:r>
        <w:rPr>
          <w:color w:val="231F20"/>
          <w:spacing w:val="-3"/>
          <w:sz w:val="20"/>
        </w:rPr>
        <w:t>&lt;</w:t>
      </w:r>
      <w:hyperlink r:id="rId261">
        <w:r>
          <w:rPr>
            <w:color w:val="231F20"/>
            <w:spacing w:val="-3"/>
            <w:sz w:val="20"/>
          </w:rPr>
          <w:t>https://www.idcare.org/support-</w:t>
        </w:r>
      </w:hyperlink>
      <w:r>
        <w:rPr>
          <w:color w:val="231F20"/>
          <w:spacing w:val="-3"/>
          <w:sz w:val="20"/>
        </w:rPr>
        <w:t xml:space="preserve"> </w:t>
      </w:r>
      <w:hyperlink r:id="rId262">
        <w:r>
          <w:rPr>
            <w:color w:val="231F20"/>
            <w:sz w:val="20"/>
          </w:rPr>
          <w:t>services/individual-support-services</w:t>
        </w:r>
      </w:hyperlink>
      <w:r>
        <w:rPr>
          <w:color w:val="231F20"/>
          <w:sz w:val="20"/>
        </w:rPr>
        <w:t>&gt;</w:t>
      </w:r>
    </w:p>
    <w:p w14:paraId="06F32E0C" w14:textId="77777777" w:rsidR="00894070" w:rsidRDefault="009B7AFD">
      <w:pPr>
        <w:pStyle w:val="BodyText"/>
        <w:spacing w:before="84"/>
        <w:ind w:left="1007"/>
      </w:pPr>
      <w:r>
        <w:rPr>
          <w:color w:val="231F20"/>
        </w:rPr>
        <w:t>Jerath, Kritika, Lisa Tompson and Jyoti Belur,</w:t>
      </w:r>
    </w:p>
    <w:p w14:paraId="3A3A23C7" w14:textId="77777777" w:rsidR="00894070" w:rsidRDefault="009B7AFD">
      <w:pPr>
        <w:pStyle w:val="ListParagraph"/>
        <w:numPr>
          <w:ilvl w:val="0"/>
          <w:numId w:val="9"/>
        </w:numPr>
        <w:tabs>
          <w:tab w:val="left" w:pos="1347"/>
          <w:tab w:val="left" w:pos="1348"/>
        </w:tabs>
        <w:spacing w:before="75" w:line="259" w:lineRule="exact"/>
        <w:ind w:hanging="340"/>
        <w:rPr>
          <w:sz w:val="20"/>
        </w:rPr>
      </w:pPr>
      <w:r>
        <w:rPr>
          <w:color w:val="231F20"/>
          <w:sz w:val="20"/>
        </w:rPr>
        <w:t>‘Risk Management in Stalking Victims: A Multi-Agency Approach to Victim Advocacy’</w:t>
      </w:r>
      <w:r>
        <w:rPr>
          <w:color w:val="231F20"/>
          <w:spacing w:val="-36"/>
          <w:sz w:val="20"/>
        </w:rPr>
        <w:t xml:space="preserve"> </w:t>
      </w:r>
      <w:r>
        <w:rPr>
          <w:color w:val="231F20"/>
          <w:spacing w:val="-3"/>
          <w:sz w:val="20"/>
        </w:rPr>
        <w:t>[2020]</w:t>
      </w:r>
    </w:p>
    <w:p w14:paraId="637B6394" w14:textId="77777777" w:rsidR="00894070" w:rsidRDefault="009B7AFD">
      <w:pPr>
        <w:spacing w:line="259" w:lineRule="exact"/>
        <w:ind w:left="1347"/>
        <w:rPr>
          <w:sz w:val="20"/>
        </w:rPr>
      </w:pPr>
      <w:r>
        <w:rPr>
          <w:i/>
          <w:color w:val="231F20"/>
          <w:sz w:val="20"/>
        </w:rPr>
        <w:t xml:space="preserve">Journal of Interpersonal Violence </w:t>
      </w:r>
      <w:r>
        <w:rPr>
          <w:color w:val="231F20"/>
          <w:sz w:val="20"/>
        </w:rPr>
        <w:t>10.1177/0886260520980402:1–27</w:t>
      </w:r>
    </w:p>
    <w:p w14:paraId="0FA82040" w14:textId="77777777" w:rsidR="00894070" w:rsidRDefault="009B7AFD">
      <w:pPr>
        <w:pStyle w:val="ListParagraph"/>
        <w:numPr>
          <w:ilvl w:val="0"/>
          <w:numId w:val="9"/>
        </w:numPr>
        <w:tabs>
          <w:tab w:val="left" w:pos="1347"/>
          <w:tab w:val="left" w:pos="1348"/>
        </w:tabs>
        <w:spacing w:before="80" w:line="206" w:lineRule="auto"/>
        <w:ind w:right="2117" w:hanging="340"/>
        <w:rPr>
          <w:sz w:val="20"/>
        </w:rPr>
      </w:pPr>
      <w:r>
        <w:rPr>
          <w:color w:val="231F20"/>
          <w:spacing w:val="-4"/>
          <w:sz w:val="20"/>
        </w:rPr>
        <w:t>‘Treating</w:t>
      </w:r>
      <w:r>
        <w:rPr>
          <w:color w:val="231F20"/>
          <w:spacing w:val="-6"/>
          <w:sz w:val="20"/>
        </w:rPr>
        <w:t xml:space="preserve"> </w:t>
      </w:r>
      <w:r>
        <w:rPr>
          <w:color w:val="231F20"/>
          <w:sz w:val="20"/>
        </w:rPr>
        <w:t>and</w:t>
      </w:r>
      <w:r>
        <w:rPr>
          <w:color w:val="231F20"/>
          <w:spacing w:val="-5"/>
          <w:sz w:val="20"/>
        </w:rPr>
        <w:t xml:space="preserve"> </w:t>
      </w:r>
      <w:r>
        <w:rPr>
          <w:color w:val="231F20"/>
          <w:sz w:val="20"/>
        </w:rPr>
        <w:t>Managing</w:t>
      </w:r>
      <w:r>
        <w:rPr>
          <w:color w:val="231F20"/>
          <w:spacing w:val="-5"/>
          <w:sz w:val="20"/>
        </w:rPr>
        <w:t xml:space="preserve"> </w:t>
      </w:r>
      <w:r>
        <w:rPr>
          <w:color w:val="231F20"/>
          <w:sz w:val="20"/>
        </w:rPr>
        <w:t>Stalking</w:t>
      </w:r>
      <w:r>
        <w:rPr>
          <w:color w:val="231F20"/>
          <w:spacing w:val="-5"/>
          <w:sz w:val="20"/>
        </w:rPr>
        <w:t xml:space="preserve"> </w:t>
      </w:r>
      <w:r>
        <w:rPr>
          <w:color w:val="231F20"/>
          <w:sz w:val="20"/>
        </w:rPr>
        <w:t>Offenders:</w:t>
      </w:r>
      <w:r>
        <w:rPr>
          <w:color w:val="231F20"/>
          <w:spacing w:val="-5"/>
          <w:sz w:val="20"/>
        </w:rPr>
        <w:t xml:space="preserve"> </w:t>
      </w:r>
      <w:r>
        <w:rPr>
          <w:color w:val="231F20"/>
          <w:sz w:val="20"/>
        </w:rPr>
        <w:t>Findings</w:t>
      </w:r>
      <w:r>
        <w:rPr>
          <w:color w:val="231F20"/>
          <w:spacing w:val="-5"/>
          <w:sz w:val="20"/>
        </w:rPr>
        <w:t xml:space="preserve"> </w:t>
      </w:r>
      <w:r>
        <w:rPr>
          <w:color w:val="231F20"/>
          <w:sz w:val="20"/>
        </w:rPr>
        <w:t>from</w:t>
      </w:r>
      <w:r>
        <w:rPr>
          <w:color w:val="231F20"/>
          <w:spacing w:val="-5"/>
          <w:sz w:val="20"/>
        </w:rPr>
        <w:t xml:space="preserve"> </w:t>
      </w:r>
      <w:r>
        <w:rPr>
          <w:color w:val="231F20"/>
          <w:sz w:val="20"/>
        </w:rPr>
        <w:t>a</w:t>
      </w:r>
      <w:r>
        <w:rPr>
          <w:color w:val="231F20"/>
          <w:spacing w:val="-5"/>
          <w:sz w:val="20"/>
        </w:rPr>
        <w:t xml:space="preserve"> </w:t>
      </w:r>
      <w:r>
        <w:rPr>
          <w:color w:val="231F20"/>
          <w:sz w:val="20"/>
        </w:rPr>
        <w:t>Multi-Agency</w:t>
      </w:r>
      <w:r>
        <w:rPr>
          <w:color w:val="231F20"/>
          <w:spacing w:val="-6"/>
          <w:sz w:val="20"/>
        </w:rPr>
        <w:t xml:space="preserve"> </w:t>
      </w:r>
      <w:r>
        <w:rPr>
          <w:color w:val="231F20"/>
          <w:sz w:val="20"/>
        </w:rPr>
        <w:t xml:space="preserve">Clinical Intervention’ </w:t>
      </w:r>
      <w:r>
        <w:rPr>
          <w:i/>
          <w:color w:val="231F20"/>
          <w:sz w:val="20"/>
        </w:rPr>
        <w:t>Psychology, Crime &amp; Law</w:t>
      </w:r>
      <w:r>
        <w:rPr>
          <w:i/>
          <w:color w:val="231F20"/>
          <w:spacing w:val="-15"/>
          <w:sz w:val="20"/>
        </w:rPr>
        <w:t xml:space="preserve"> </w:t>
      </w:r>
      <w:r>
        <w:rPr>
          <w:color w:val="231F20"/>
          <w:spacing w:val="-3"/>
          <w:sz w:val="20"/>
        </w:rPr>
        <w:t>10.1080/1068316X.2022.2057981:1–25</w:t>
      </w:r>
    </w:p>
    <w:p w14:paraId="3FE9F7EA" w14:textId="77777777" w:rsidR="00894070" w:rsidRDefault="009B7AFD">
      <w:pPr>
        <w:pStyle w:val="BodyText"/>
        <w:spacing w:before="55"/>
        <w:ind w:left="1007"/>
      </w:pPr>
      <w:r>
        <w:rPr>
          <w:color w:val="231F20"/>
        </w:rPr>
        <w:t>Judicial College of Victoria,</w:t>
      </w:r>
    </w:p>
    <w:p w14:paraId="0DD89C7C" w14:textId="77777777" w:rsidR="00894070" w:rsidRDefault="009B7AFD">
      <w:pPr>
        <w:pStyle w:val="ListParagraph"/>
        <w:numPr>
          <w:ilvl w:val="0"/>
          <w:numId w:val="9"/>
        </w:numPr>
        <w:tabs>
          <w:tab w:val="left" w:pos="1347"/>
          <w:tab w:val="left" w:pos="1348"/>
        </w:tabs>
        <w:spacing w:before="76" w:line="259" w:lineRule="exact"/>
        <w:ind w:hanging="340"/>
        <w:rPr>
          <w:sz w:val="20"/>
        </w:rPr>
      </w:pPr>
      <w:r>
        <w:rPr>
          <w:color w:val="231F20"/>
          <w:sz w:val="20"/>
        </w:rPr>
        <w:t xml:space="preserve">‘7.4.12 Stalking’, </w:t>
      </w:r>
      <w:r>
        <w:rPr>
          <w:i/>
          <w:color w:val="231F20"/>
          <w:sz w:val="20"/>
        </w:rPr>
        <w:t xml:space="preserve">Victorian Criminal Charge Book </w:t>
      </w:r>
      <w:r>
        <w:rPr>
          <w:color w:val="231F20"/>
          <w:sz w:val="20"/>
        </w:rPr>
        <w:t>(Online Manual, 12 September</w:t>
      </w:r>
      <w:r>
        <w:rPr>
          <w:color w:val="231F20"/>
          <w:spacing w:val="-32"/>
          <w:sz w:val="20"/>
        </w:rPr>
        <w:t xml:space="preserve"> </w:t>
      </w:r>
      <w:r>
        <w:rPr>
          <w:color w:val="231F20"/>
          <w:sz w:val="20"/>
        </w:rPr>
        <w:t>2013)</w:t>
      </w:r>
    </w:p>
    <w:p w14:paraId="49F7F7AB" w14:textId="77777777" w:rsidR="00894070" w:rsidRDefault="009B7AFD">
      <w:pPr>
        <w:pStyle w:val="BodyText"/>
        <w:spacing w:line="259" w:lineRule="exact"/>
        <w:ind w:left="1347"/>
      </w:pPr>
      <w:r>
        <w:rPr>
          <w:color w:val="231F20"/>
        </w:rPr>
        <w:t>&lt;</w:t>
      </w:r>
      <w:hyperlink r:id="rId263">
        <w:r>
          <w:rPr>
            <w:color w:val="231F20"/>
          </w:rPr>
          <w:t>https://www.judicialcollege.vic.edu.au/eManuals/CCB</w:t>
        </w:r>
      </w:hyperlink>
      <w:r>
        <w:rPr>
          <w:color w:val="231F20"/>
        </w:rPr>
        <w:t>&gt;</w:t>
      </w:r>
    </w:p>
    <w:p w14:paraId="48E544EB" w14:textId="77777777" w:rsidR="00894070" w:rsidRDefault="009B7AFD">
      <w:pPr>
        <w:pStyle w:val="ListParagraph"/>
        <w:numPr>
          <w:ilvl w:val="0"/>
          <w:numId w:val="9"/>
        </w:numPr>
        <w:tabs>
          <w:tab w:val="left" w:pos="1347"/>
          <w:tab w:val="left" w:pos="1348"/>
        </w:tabs>
        <w:spacing w:before="80" w:line="206" w:lineRule="auto"/>
        <w:ind w:right="1736" w:hanging="340"/>
        <w:rPr>
          <w:sz w:val="20"/>
        </w:rPr>
      </w:pPr>
      <w:r>
        <w:rPr>
          <w:i/>
          <w:color w:val="231F20"/>
          <w:sz w:val="20"/>
        </w:rPr>
        <w:t xml:space="preserve">Family Violence Bench Book </w:t>
      </w:r>
      <w:r>
        <w:rPr>
          <w:color w:val="231F20"/>
          <w:sz w:val="20"/>
        </w:rPr>
        <w:t xml:space="preserve">(Online Manual) </w:t>
      </w:r>
      <w:r>
        <w:rPr>
          <w:color w:val="231F20"/>
          <w:spacing w:val="-3"/>
          <w:sz w:val="20"/>
        </w:rPr>
        <w:t>&lt;</w:t>
      </w:r>
      <w:hyperlink r:id="rId264">
        <w:r>
          <w:rPr>
            <w:color w:val="231F20"/>
            <w:spacing w:val="-3"/>
            <w:sz w:val="20"/>
          </w:rPr>
          <w:t>https://www.judicialcollege.vic.edu.au/</w:t>
        </w:r>
      </w:hyperlink>
      <w:hyperlink r:id="rId265">
        <w:r>
          <w:rPr>
            <w:color w:val="231F20"/>
            <w:spacing w:val="-3"/>
            <w:sz w:val="20"/>
          </w:rPr>
          <w:t xml:space="preserve"> </w:t>
        </w:r>
        <w:r>
          <w:rPr>
            <w:color w:val="231F20"/>
            <w:sz w:val="20"/>
          </w:rPr>
          <w:t>eManuals/FVBB</w:t>
        </w:r>
      </w:hyperlink>
      <w:r>
        <w:rPr>
          <w:color w:val="231F20"/>
          <w:sz w:val="20"/>
        </w:rPr>
        <w:t>&gt;</w:t>
      </w:r>
    </w:p>
    <w:p w14:paraId="1E91D77F" w14:textId="77777777" w:rsidR="00894070" w:rsidRDefault="009B7AFD">
      <w:pPr>
        <w:pStyle w:val="ListParagraph"/>
        <w:numPr>
          <w:ilvl w:val="0"/>
          <w:numId w:val="9"/>
        </w:numPr>
        <w:tabs>
          <w:tab w:val="left" w:pos="1347"/>
          <w:tab w:val="left" w:pos="1348"/>
        </w:tabs>
        <w:spacing w:before="55" w:line="259" w:lineRule="exact"/>
        <w:ind w:hanging="340"/>
        <w:rPr>
          <w:sz w:val="20"/>
        </w:rPr>
      </w:pPr>
      <w:r>
        <w:rPr>
          <w:i/>
          <w:color w:val="231F20"/>
          <w:sz w:val="20"/>
        </w:rPr>
        <w:t xml:space="preserve">Personal Safety Intervention Orders Bench Book </w:t>
      </w:r>
      <w:r>
        <w:rPr>
          <w:color w:val="231F20"/>
          <w:sz w:val="20"/>
        </w:rPr>
        <w:t>(Online Manual, 1 September</w:t>
      </w:r>
      <w:r>
        <w:rPr>
          <w:color w:val="231F20"/>
          <w:spacing w:val="-27"/>
          <w:sz w:val="20"/>
        </w:rPr>
        <w:t xml:space="preserve"> </w:t>
      </w:r>
      <w:r>
        <w:rPr>
          <w:color w:val="231F20"/>
          <w:sz w:val="20"/>
        </w:rPr>
        <w:t>2011)</w:t>
      </w:r>
    </w:p>
    <w:p w14:paraId="5C04DABB" w14:textId="77777777" w:rsidR="00894070" w:rsidRDefault="009B7AFD">
      <w:pPr>
        <w:pStyle w:val="BodyText"/>
        <w:spacing w:line="259" w:lineRule="exact"/>
        <w:ind w:left="1347"/>
      </w:pPr>
      <w:r>
        <w:rPr>
          <w:color w:val="231F20"/>
        </w:rPr>
        <w:t>&lt;</w:t>
      </w:r>
      <w:hyperlink r:id="rId266">
        <w:r>
          <w:rPr>
            <w:color w:val="231F20"/>
          </w:rPr>
          <w:t>https://www.judicialcollege.vic.edu.au/eManuals/PSIO</w:t>
        </w:r>
      </w:hyperlink>
      <w:r>
        <w:rPr>
          <w:color w:val="231F20"/>
        </w:rPr>
        <w:t>&gt;</w:t>
      </w:r>
    </w:p>
    <w:p w14:paraId="41482F98" w14:textId="77777777" w:rsidR="00894070" w:rsidRDefault="009B7AFD">
      <w:pPr>
        <w:pStyle w:val="ListParagraph"/>
        <w:numPr>
          <w:ilvl w:val="0"/>
          <w:numId w:val="9"/>
        </w:numPr>
        <w:tabs>
          <w:tab w:val="left" w:pos="1347"/>
          <w:tab w:val="left" w:pos="1348"/>
        </w:tabs>
        <w:spacing w:before="48" w:line="259" w:lineRule="exact"/>
        <w:ind w:hanging="340"/>
        <w:rPr>
          <w:sz w:val="20"/>
        </w:rPr>
      </w:pPr>
      <w:r>
        <w:rPr>
          <w:i/>
          <w:color w:val="231F20"/>
          <w:sz w:val="20"/>
        </w:rPr>
        <w:t xml:space="preserve">Victims of Crime in the Courtroom: A Guide for Judicial Officers </w:t>
      </w:r>
      <w:r>
        <w:rPr>
          <w:color w:val="231F20"/>
          <w:sz w:val="20"/>
        </w:rPr>
        <w:t>(Online Guide,</w:t>
      </w:r>
      <w:r>
        <w:rPr>
          <w:color w:val="231F20"/>
          <w:spacing w:val="-36"/>
          <w:sz w:val="20"/>
        </w:rPr>
        <w:t xml:space="preserve"> </w:t>
      </w:r>
      <w:r>
        <w:rPr>
          <w:color w:val="231F20"/>
          <w:sz w:val="20"/>
        </w:rPr>
        <w:t>2019)</w:t>
      </w:r>
    </w:p>
    <w:p w14:paraId="0956B722" w14:textId="77777777" w:rsidR="00894070" w:rsidRDefault="009B7AFD">
      <w:pPr>
        <w:pStyle w:val="BodyText"/>
        <w:spacing w:line="259" w:lineRule="exact"/>
        <w:ind w:left="1347"/>
      </w:pPr>
      <w:r>
        <w:rPr>
          <w:color w:val="231F20"/>
        </w:rPr>
        <w:t>&lt;</w:t>
      </w:r>
      <w:hyperlink r:id="rId267">
        <w:r>
          <w:rPr>
            <w:color w:val="231F20"/>
          </w:rPr>
          <w:t>https://www.judicialcollege.vic.edu.au/resources/victims-crime-courtroom</w:t>
        </w:r>
      </w:hyperlink>
      <w:r>
        <w:rPr>
          <w:color w:val="231F20"/>
        </w:rPr>
        <w:t>&gt;</w:t>
      </w:r>
    </w:p>
    <w:p w14:paraId="5EBC4FD1" w14:textId="77777777" w:rsidR="00894070" w:rsidRDefault="009B7AFD">
      <w:pPr>
        <w:pStyle w:val="ListParagraph"/>
        <w:numPr>
          <w:ilvl w:val="0"/>
          <w:numId w:val="9"/>
        </w:numPr>
        <w:tabs>
          <w:tab w:val="left" w:pos="1347"/>
          <w:tab w:val="left" w:pos="1348"/>
        </w:tabs>
        <w:spacing w:before="79" w:line="206" w:lineRule="auto"/>
        <w:ind w:right="1330" w:hanging="340"/>
        <w:rPr>
          <w:sz w:val="20"/>
        </w:rPr>
      </w:pPr>
      <w:r>
        <w:rPr>
          <w:i/>
          <w:color w:val="231F20"/>
          <w:sz w:val="20"/>
        </w:rPr>
        <w:t xml:space="preserve">Victorian Criminal Charge Book </w:t>
      </w:r>
      <w:r>
        <w:rPr>
          <w:color w:val="231F20"/>
          <w:sz w:val="20"/>
        </w:rPr>
        <w:t xml:space="preserve">(Online Manual, </w:t>
      </w:r>
      <w:r>
        <w:rPr>
          <w:color w:val="231F20"/>
          <w:spacing w:val="-4"/>
          <w:sz w:val="20"/>
        </w:rPr>
        <w:t xml:space="preserve">2017) </w:t>
      </w:r>
      <w:r>
        <w:rPr>
          <w:color w:val="231F20"/>
          <w:spacing w:val="-3"/>
          <w:sz w:val="20"/>
        </w:rPr>
        <w:t>&lt;</w:t>
      </w:r>
      <w:hyperlink r:id="rId268">
        <w:r>
          <w:rPr>
            <w:color w:val="231F20"/>
            <w:spacing w:val="-3"/>
            <w:sz w:val="20"/>
          </w:rPr>
          <w:t>https://www.judicialcollege.vic.edu.</w:t>
        </w:r>
      </w:hyperlink>
      <w:hyperlink r:id="rId269">
        <w:r>
          <w:rPr>
            <w:color w:val="231F20"/>
            <w:spacing w:val="-3"/>
            <w:sz w:val="20"/>
          </w:rPr>
          <w:t xml:space="preserve"> au/eManuals/CCB</w:t>
        </w:r>
      </w:hyperlink>
      <w:r>
        <w:rPr>
          <w:color w:val="231F20"/>
          <w:spacing w:val="-3"/>
          <w:sz w:val="20"/>
        </w:rPr>
        <w:t>&gt;</w:t>
      </w:r>
    </w:p>
    <w:p w14:paraId="794EF52A" w14:textId="77777777" w:rsidR="00894070" w:rsidRDefault="009B7AFD">
      <w:pPr>
        <w:spacing w:before="88" w:line="206" w:lineRule="auto"/>
        <w:ind w:left="1007" w:right="1219"/>
        <w:rPr>
          <w:sz w:val="20"/>
        </w:rPr>
      </w:pPr>
      <w:r>
        <w:rPr>
          <w:color w:val="231F20"/>
          <w:sz w:val="20"/>
        </w:rPr>
        <w:t xml:space="preserve">Kamphuis, Jan H et al, ‘Stalking—Perceptions and Attitudes amongst Helping Professions. An EU Cross-National Comparison’ (2005) 12(3) </w:t>
      </w:r>
      <w:r>
        <w:rPr>
          <w:i/>
          <w:color w:val="231F20"/>
          <w:sz w:val="20"/>
        </w:rPr>
        <w:t xml:space="preserve">Clinical Psychology and Psychotherapy </w:t>
      </w:r>
      <w:r>
        <w:rPr>
          <w:color w:val="231F20"/>
          <w:sz w:val="20"/>
        </w:rPr>
        <w:t>215</w:t>
      </w:r>
    </w:p>
    <w:p w14:paraId="65205034" w14:textId="77777777" w:rsidR="00894070" w:rsidRDefault="009B7AFD">
      <w:pPr>
        <w:spacing w:before="116" w:line="206" w:lineRule="auto"/>
        <w:ind w:left="1007" w:right="1469"/>
        <w:rPr>
          <w:sz w:val="20"/>
        </w:rPr>
      </w:pPr>
      <w:r>
        <w:rPr>
          <w:color w:val="231F20"/>
          <w:spacing w:val="-4"/>
          <w:sz w:val="20"/>
        </w:rPr>
        <w:t xml:space="preserve">Kaur, </w:t>
      </w:r>
      <w:r>
        <w:rPr>
          <w:color w:val="231F20"/>
          <w:sz w:val="20"/>
        </w:rPr>
        <w:t xml:space="preserve">Puneet et al, </w:t>
      </w:r>
      <w:r>
        <w:rPr>
          <w:color w:val="231F20"/>
          <w:spacing w:val="-8"/>
          <w:sz w:val="20"/>
        </w:rPr>
        <w:t xml:space="preserve">‘A </w:t>
      </w:r>
      <w:r>
        <w:rPr>
          <w:color w:val="231F20"/>
          <w:sz w:val="20"/>
        </w:rPr>
        <w:t xml:space="preserve">Systematic Literature Review on Cyberstalking. An Analysis of Past Achievements and </w:t>
      </w:r>
      <w:r>
        <w:rPr>
          <w:color w:val="231F20"/>
          <w:spacing w:val="-3"/>
          <w:sz w:val="20"/>
        </w:rPr>
        <w:t xml:space="preserve">Future </w:t>
      </w:r>
      <w:r>
        <w:rPr>
          <w:color w:val="231F20"/>
          <w:sz w:val="20"/>
        </w:rPr>
        <w:t xml:space="preserve">Promises’ (2021) </w:t>
      </w:r>
      <w:r>
        <w:rPr>
          <w:color w:val="231F20"/>
          <w:spacing w:val="-5"/>
          <w:sz w:val="20"/>
        </w:rPr>
        <w:t xml:space="preserve">163 </w:t>
      </w:r>
      <w:r>
        <w:rPr>
          <w:i/>
          <w:color w:val="231F20"/>
          <w:sz w:val="20"/>
        </w:rPr>
        <w:t xml:space="preserve">Technological Forecasting and Social Change </w:t>
      </w:r>
      <w:r>
        <w:rPr>
          <w:color w:val="231F20"/>
          <w:sz w:val="20"/>
        </w:rPr>
        <w:t>120426:1–15</w:t>
      </w:r>
    </w:p>
    <w:p w14:paraId="23B1D626" w14:textId="77777777" w:rsidR="00894070" w:rsidRDefault="009B7AFD">
      <w:pPr>
        <w:spacing w:before="117" w:line="206" w:lineRule="auto"/>
        <w:ind w:left="1007" w:right="1789"/>
        <w:rPr>
          <w:sz w:val="20"/>
        </w:rPr>
      </w:pPr>
      <w:r>
        <w:rPr>
          <w:color w:val="231F20"/>
          <w:spacing w:val="-3"/>
          <w:sz w:val="20"/>
        </w:rPr>
        <w:t xml:space="preserve">Kezelman, </w:t>
      </w:r>
      <w:r>
        <w:rPr>
          <w:color w:val="231F20"/>
          <w:sz w:val="20"/>
        </w:rPr>
        <w:t xml:space="preserve">Cathy and Pam Stavropoulos, </w:t>
      </w:r>
      <w:r>
        <w:rPr>
          <w:i/>
          <w:color w:val="231F20"/>
          <w:spacing w:val="-4"/>
          <w:sz w:val="20"/>
        </w:rPr>
        <w:t xml:space="preserve">Trauma </w:t>
      </w:r>
      <w:r>
        <w:rPr>
          <w:i/>
          <w:color w:val="231F20"/>
          <w:sz w:val="20"/>
        </w:rPr>
        <w:t xml:space="preserve">and the </w:t>
      </w:r>
      <w:r>
        <w:rPr>
          <w:i/>
          <w:color w:val="231F20"/>
          <w:spacing w:val="-3"/>
          <w:sz w:val="20"/>
        </w:rPr>
        <w:t xml:space="preserve">Law: </w:t>
      </w:r>
      <w:r>
        <w:rPr>
          <w:i/>
          <w:color w:val="231F20"/>
          <w:sz w:val="20"/>
        </w:rPr>
        <w:t xml:space="preserve">Applying </w:t>
      </w:r>
      <w:r>
        <w:rPr>
          <w:i/>
          <w:color w:val="231F20"/>
          <w:spacing w:val="-3"/>
          <w:sz w:val="20"/>
        </w:rPr>
        <w:t xml:space="preserve">Trauma-Informed </w:t>
      </w:r>
      <w:r>
        <w:rPr>
          <w:i/>
          <w:color w:val="231F20"/>
          <w:sz w:val="20"/>
        </w:rPr>
        <w:t xml:space="preserve">Practice </w:t>
      </w:r>
      <w:r>
        <w:rPr>
          <w:i/>
          <w:color w:val="231F20"/>
          <w:spacing w:val="-3"/>
          <w:sz w:val="20"/>
        </w:rPr>
        <w:t xml:space="preserve">to </w:t>
      </w:r>
      <w:r>
        <w:rPr>
          <w:i/>
          <w:color w:val="231F20"/>
          <w:sz w:val="20"/>
        </w:rPr>
        <w:t xml:space="preserve">Legal and Judicial Contexts </w:t>
      </w:r>
      <w:r>
        <w:rPr>
          <w:color w:val="231F20"/>
          <w:sz w:val="20"/>
        </w:rPr>
        <w:t xml:space="preserve">(Background </w:t>
      </w:r>
      <w:r>
        <w:rPr>
          <w:color w:val="231F20"/>
          <w:spacing w:val="-3"/>
          <w:sz w:val="20"/>
        </w:rPr>
        <w:t xml:space="preserve">Paper, </w:t>
      </w:r>
      <w:r>
        <w:rPr>
          <w:color w:val="231F20"/>
          <w:sz w:val="20"/>
        </w:rPr>
        <w:t xml:space="preserve">Blue Knot Foundation, </w:t>
      </w:r>
      <w:r>
        <w:rPr>
          <w:color w:val="231F20"/>
          <w:spacing w:val="-3"/>
          <w:sz w:val="20"/>
        </w:rPr>
        <w:t>2016)</w:t>
      </w:r>
    </w:p>
    <w:p w14:paraId="787141EC" w14:textId="77777777" w:rsidR="00894070" w:rsidRDefault="009B7AFD">
      <w:pPr>
        <w:spacing w:before="116" w:line="206" w:lineRule="auto"/>
        <w:ind w:left="1007" w:right="1312"/>
        <w:rPr>
          <w:sz w:val="20"/>
        </w:rPr>
      </w:pPr>
      <w:r>
        <w:rPr>
          <w:color w:val="231F20"/>
          <w:sz w:val="20"/>
        </w:rPr>
        <w:t xml:space="preserve">Khader, Majeed and Stephanie Chan, ‘Unwanted Attention: A Survey on Cyberstalking Victimization’ in Heng Choon (Oliver) Chan and Lorraine Sheridan (eds), </w:t>
      </w:r>
      <w:r>
        <w:rPr>
          <w:i/>
          <w:color w:val="231F20"/>
          <w:sz w:val="20"/>
        </w:rPr>
        <w:t xml:space="preserve">Psycho-Criminological Approaches to Stalking Behavior: An International Perspective </w:t>
      </w:r>
      <w:r>
        <w:rPr>
          <w:color w:val="231F20"/>
          <w:sz w:val="20"/>
        </w:rPr>
        <w:t>(John Wiley and Sons, 2020) 77</w:t>
      </w:r>
    </w:p>
    <w:p w14:paraId="2BFAFDEF" w14:textId="77777777" w:rsidR="00894070" w:rsidRDefault="00894070">
      <w:pPr>
        <w:pStyle w:val="BodyText"/>
      </w:pPr>
    </w:p>
    <w:p w14:paraId="56EC95C3" w14:textId="77777777" w:rsidR="00894070" w:rsidRDefault="00894070">
      <w:pPr>
        <w:pStyle w:val="BodyText"/>
      </w:pPr>
    </w:p>
    <w:p w14:paraId="4D3A2ECF" w14:textId="77777777" w:rsidR="00894070" w:rsidRDefault="00894070">
      <w:pPr>
        <w:pStyle w:val="BodyText"/>
      </w:pPr>
    </w:p>
    <w:p w14:paraId="4C22944A" w14:textId="77777777" w:rsidR="00894070" w:rsidRDefault="00894070">
      <w:pPr>
        <w:pStyle w:val="BodyText"/>
      </w:pPr>
    </w:p>
    <w:p w14:paraId="659FB399" w14:textId="77777777" w:rsidR="00894070" w:rsidRDefault="00894070">
      <w:pPr>
        <w:pStyle w:val="BodyText"/>
        <w:spacing w:before="4"/>
        <w:rPr>
          <w:sz w:val="16"/>
        </w:rPr>
      </w:pPr>
    </w:p>
    <w:p w14:paraId="3AB9D0D2" w14:textId="77777777" w:rsidR="00894070" w:rsidRDefault="009B7AFD">
      <w:pPr>
        <w:pStyle w:val="Heading8"/>
        <w:spacing w:before="49"/>
        <w:ind w:left="140"/>
      </w:pPr>
      <w:r>
        <w:rPr>
          <w:color w:val="EA5B50"/>
        </w:rPr>
        <w:t>198</w:t>
      </w:r>
    </w:p>
    <w:p w14:paraId="058CD2C6" w14:textId="77777777" w:rsidR="00894070" w:rsidRDefault="00894070">
      <w:pPr>
        <w:sectPr w:rsidR="00894070">
          <w:pgSz w:w="11910" w:h="16840"/>
          <w:pgMar w:top="860" w:right="420" w:bottom="280" w:left="580" w:header="567" w:footer="0" w:gutter="0"/>
          <w:cols w:space="720"/>
        </w:sectPr>
      </w:pPr>
    </w:p>
    <w:p w14:paraId="067E982D" w14:textId="77777777" w:rsidR="00894070" w:rsidRDefault="00894070">
      <w:pPr>
        <w:pStyle w:val="BodyText"/>
        <w:rPr>
          <w:b/>
        </w:rPr>
      </w:pPr>
    </w:p>
    <w:p w14:paraId="41A0AA33" w14:textId="77777777" w:rsidR="00894070" w:rsidRDefault="00894070">
      <w:pPr>
        <w:pStyle w:val="BodyText"/>
        <w:rPr>
          <w:b/>
        </w:rPr>
      </w:pPr>
    </w:p>
    <w:p w14:paraId="4BAE34AD" w14:textId="77777777" w:rsidR="00894070" w:rsidRDefault="00894070">
      <w:pPr>
        <w:pStyle w:val="BodyText"/>
        <w:rPr>
          <w:b/>
        </w:rPr>
      </w:pPr>
    </w:p>
    <w:p w14:paraId="7527BBFE" w14:textId="77777777" w:rsidR="00894070" w:rsidRDefault="00894070">
      <w:pPr>
        <w:pStyle w:val="BodyText"/>
        <w:spacing w:before="6"/>
        <w:rPr>
          <w:b/>
          <w:sz w:val="14"/>
        </w:rPr>
      </w:pPr>
    </w:p>
    <w:p w14:paraId="1063F5BD" w14:textId="77777777" w:rsidR="00894070" w:rsidRDefault="009B7AFD">
      <w:pPr>
        <w:pStyle w:val="BodyText"/>
        <w:spacing w:before="58"/>
        <w:ind w:left="1007"/>
      </w:pPr>
      <w:r>
        <w:rPr>
          <w:color w:val="231F20"/>
        </w:rPr>
        <w:t>Korkodeilou, Jenny,</w:t>
      </w:r>
    </w:p>
    <w:p w14:paraId="65D70DE1" w14:textId="77777777" w:rsidR="00894070" w:rsidRDefault="009B7AFD">
      <w:pPr>
        <w:pStyle w:val="ListParagraph"/>
        <w:numPr>
          <w:ilvl w:val="0"/>
          <w:numId w:val="8"/>
        </w:numPr>
        <w:tabs>
          <w:tab w:val="left" w:pos="1347"/>
          <w:tab w:val="left" w:pos="1348"/>
        </w:tabs>
        <w:spacing w:before="108" w:line="206" w:lineRule="auto"/>
        <w:ind w:right="1286" w:hanging="340"/>
        <w:rPr>
          <w:sz w:val="20"/>
        </w:rPr>
      </w:pPr>
      <w:r>
        <w:rPr>
          <w:color w:val="231F20"/>
          <w:spacing w:val="-3"/>
          <w:sz w:val="20"/>
        </w:rPr>
        <w:t xml:space="preserve">‘“And </w:t>
      </w:r>
      <w:r>
        <w:rPr>
          <w:color w:val="231F20"/>
          <w:sz w:val="20"/>
        </w:rPr>
        <w:t xml:space="preserve">Where </w:t>
      </w:r>
      <w:r>
        <w:rPr>
          <w:color w:val="231F20"/>
          <w:spacing w:val="-6"/>
          <w:sz w:val="20"/>
        </w:rPr>
        <w:t xml:space="preserve">You </w:t>
      </w:r>
      <w:r>
        <w:rPr>
          <w:color w:val="231F20"/>
          <w:sz w:val="20"/>
        </w:rPr>
        <w:t xml:space="preserve">Go, I’ll </w:t>
      </w:r>
      <w:r>
        <w:rPr>
          <w:color w:val="231F20"/>
          <w:spacing w:val="-3"/>
          <w:sz w:val="20"/>
        </w:rPr>
        <w:t xml:space="preserve">Follow”: </w:t>
      </w:r>
      <w:r>
        <w:rPr>
          <w:color w:val="231F20"/>
          <w:sz w:val="20"/>
        </w:rPr>
        <w:t xml:space="preserve">Stalking and the Complex </w:t>
      </w:r>
      <w:r>
        <w:rPr>
          <w:color w:val="231F20"/>
          <w:spacing w:val="-5"/>
          <w:sz w:val="20"/>
        </w:rPr>
        <w:t xml:space="preserve">Task </w:t>
      </w:r>
      <w:r>
        <w:rPr>
          <w:color w:val="231F20"/>
          <w:sz w:val="20"/>
        </w:rPr>
        <w:t xml:space="preserve">of </w:t>
      </w:r>
      <w:r>
        <w:rPr>
          <w:color w:val="231F20"/>
          <w:spacing w:val="-3"/>
          <w:sz w:val="20"/>
        </w:rPr>
        <w:t xml:space="preserve">Preventing </w:t>
      </w:r>
      <w:r>
        <w:rPr>
          <w:color w:val="231F20"/>
          <w:sz w:val="20"/>
        </w:rPr>
        <w:t>It’ in Stephanie</w:t>
      </w:r>
      <w:r>
        <w:rPr>
          <w:color w:val="231F20"/>
          <w:spacing w:val="-8"/>
          <w:sz w:val="20"/>
        </w:rPr>
        <w:t xml:space="preserve"> </w:t>
      </w:r>
      <w:r>
        <w:rPr>
          <w:color w:val="231F20"/>
          <w:spacing w:val="-3"/>
          <w:sz w:val="20"/>
        </w:rPr>
        <w:t>Kewley</w:t>
      </w:r>
      <w:r>
        <w:rPr>
          <w:color w:val="231F20"/>
          <w:spacing w:val="-8"/>
          <w:sz w:val="20"/>
        </w:rPr>
        <w:t xml:space="preserve"> </w:t>
      </w:r>
      <w:r>
        <w:rPr>
          <w:color w:val="231F20"/>
          <w:sz w:val="20"/>
        </w:rPr>
        <w:t>and</w:t>
      </w:r>
      <w:r>
        <w:rPr>
          <w:color w:val="231F20"/>
          <w:spacing w:val="-8"/>
          <w:sz w:val="20"/>
        </w:rPr>
        <w:t xml:space="preserve"> </w:t>
      </w:r>
      <w:r>
        <w:rPr>
          <w:color w:val="231F20"/>
          <w:sz w:val="20"/>
        </w:rPr>
        <w:t>Charlotte</w:t>
      </w:r>
      <w:r>
        <w:rPr>
          <w:color w:val="231F20"/>
          <w:spacing w:val="-8"/>
          <w:sz w:val="20"/>
        </w:rPr>
        <w:t xml:space="preserve"> </w:t>
      </w:r>
      <w:r>
        <w:rPr>
          <w:color w:val="231F20"/>
          <w:sz w:val="20"/>
        </w:rPr>
        <w:t>Barlow</w:t>
      </w:r>
      <w:r>
        <w:rPr>
          <w:color w:val="231F20"/>
          <w:spacing w:val="-8"/>
          <w:sz w:val="20"/>
        </w:rPr>
        <w:t xml:space="preserve"> </w:t>
      </w:r>
      <w:r>
        <w:rPr>
          <w:color w:val="231F20"/>
          <w:spacing w:val="-3"/>
          <w:sz w:val="20"/>
        </w:rPr>
        <w:t>(eds),</w:t>
      </w:r>
      <w:r>
        <w:rPr>
          <w:color w:val="231F20"/>
          <w:spacing w:val="-8"/>
          <w:sz w:val="20"/>
        </w:rPr>
        <w:t xml:space="preserve"> </w:t>
      </w:r>
      <w:r>
        <w:rPr>
          <w:i/>
          <w:color w:val="231F20"/>
          <w:sz w:val="20"/>
        </w:rPr>
        <w:t>Preventing</w:t>
      </w:r>
      <w:r>
        <w:rPr>
          <w:i/>
          <w:color w:val="231F20"/>
          <w:spacing w:val="-8"/>
          <w:sz w:val="20"/>
        </w:rPr>
        <w:t xml:space="preserve"> </w:t>
      </w:r>
      <w:r>
        <w:rPr>
          <w:i/>
          <w:color w:val="231F20"/>
          <w:sz w:val="20"/>
        </w:rPr>
        <w:t>Sexual</w:t>
      </w:r>
      <w:r>
        <w:rPr>
          <w:i/>
          <w:color w:val="231F20"/>
          <w:spacing w:val="-8"/>
          <w:sz w:val="20"/>
        </w:rPr>
        <w:t xml:space="preserve"> </w:t>
      </w:r>
      <w:r>
        <w:rPr>
          <w:i/>
          <w:color w:val="231F20"/>
          <w:sz w:val="20"/>
        </w:rPr>
        <w:t>Violence</w:t>
      </w:r>
      <w:r>
        <w:rPr>
          <w:i/>
          <w:color w:val="231F20"/>
          <w:spacing w:val="-7"/>
          <w:sz w:val="20"/>
        </w:rPr>
        <w:t xml:space="preserve"> </w:t>
      </w:r>
      <w:r>
        <w:rPr>
          <w:color w:val="231F20"/>
          <w:sz w:val="20"/>
        </w:rPr>
        <w:t>(Bristol</w:t>
      </w:r>
      <w:r>
        <w:rPr>
          <w:color w:val="231F20"/>
          <w:spacing w:val="-8"/>
          <w:sz w:val="20"/>
        </w:rPr>
        <w:t xml:space="preserve"> </w:t>
      </w:r>
      <w:r>
        <w:rPr>
          <w:color w:val="231F20"/>
          <w:sz w:val="20"/>
        </w:rPr>
        <w:t xml:space="preserve">University Press, 1st ed, </w:t>
      </w:r>
      <w:r>
        <w:rPr>
          <w:color w:val="231F20"/>
          <w:spacing w:val="-3"/>
          <w:sz w:val="20"/>
        </w:rPr>
        <w:t>2020)</w:t>
      </w:r>
      <w:r>
        <w:rPr>
          <w:color w:val="231F20"/>
          <w:spacing w:val="-8"/>
          <w:sz w:val="20"/>
        </w:rPr>
        <w:t xml:space="preserve"> </w:t>
      </w:r>
      <w:r>
        <w:rPr>
          <w:color w:val="231F20"/>
          <w:spacing w:val="-5"/>
          <w:sz w:val="20"/>
        </w:rPr>
        <w:t>63</w:t>
      </w:r>
    </w:p>
    <w:p w14:paraId="063C4FC0" w14:textId="77777777" w:rsidR="00894070" w:rsidRDefault="009B7AFD">
      <w:pPr>
        <w:pStyle w:val="ListParagraph"/>
        <w:numPr>
          <w:ilvl w:val="0"/>
          <w:numId w:val="8"/>
        </w:numPr>
        <w:tabs>
          <w:tab w:val="left" w:pos="1347"/>
          <w:tab w:val="left" w:pos="1348"/>
        </w:tabs>
        <w:spacing w:before="89" w:line="206" w:lineRule="auto"/>
        <w:ind w:right="1311" w:hanging="340"/>
        <w:rPr>
          <w:sz w:val="20"/>
        </w:rPr>
      </w:pPr>
      <w:r>
        <w:rPr>
          <w:color w:val="231F20"/>
          <w:sz w:val="20"/>
        </w:rPr>
        <w:t>‘Dealing</w:t>
      </w:r>
      <w:r>
        <w:rPr>
          <w:color w:val="231F20"/>
          <w:spacing w:val="-7"/>
          <w:sz w:val="20"/>
        </w:rPr>
        <w:t xml:space="preserve"> </w:t>
      </w:r>
      <w:r>
        <w:rPr>
          <w:color w:val="231F20"/>
          <w:sz w:val="20"/>
        </w:rPr>
        <w:t>with</w:t>
      </w:r>
      <w:r>
        <w:rPr>
          <w:color w:val="231F20"/>
          <w:spacing w:val="-6"/>
          <w:sz w:val="20"/>
        </w:rPr>
        <w:t xml:space="preserve"> </w:t>
      </w:r>
      <w:r>
        <w:rPr>
          <w:color w:val="231F20"/>
          <w:sz w:val="20"/>
        </w:rPr>
        <w:t>the</w:t>
      </w:r>
      <w:r>
        <w:rPr>
          <w:color w:val="231F20"/>
          <w:spacing w:val="-7"/>
          <w:sz w:val="20"/>
        </w:rPr>
        <w:t xml:space="preserve"> </w:t>
      </w:r>
      <w:r>
        <w:rPr>
          <w:color w:val="231F20"/>
          <w:sz w:val="20"/>
        </w:rPr>
        <w:t>Unknown:</w:t>
      </w:r>
      <w:r>
        <w:rPr>
          <w:color w:val="231F20"/>
          <w:spacing w:val="-6"/>
          <w:sz w:val="20"/>
        </w:rPr>
        <w:t xml:space="preserve"> </w:t>
      </w:r>
      <w:r>
        <w:rPr>
          <w:color w:val="231F20"/>
          <w:sz w:val="20"/>
        </w:rPr>
        <w:t>Learning</w:t>
      </w:r>
      <w:r>
        <w:rPr>
          <w:color w:val="231F20"/>
          <w:spacing w:val="-7"/>
          <w:sz w:val="20"/>
        </w:rPr>
        <w:t xml:space="preserve"> </w:t>
      </w:r>
      <w:r>
        <w:rPr>
          <w:color w:val="231F20"/>
          <w:sz w:val="20"/>
        </w:rPr>
        <w:t>from</w:t>
      </w:r>
      <w:r>
        <w:rPr>
          <w:color w:val="231F20"/>
          <w:spacing w:val="-6"/>
          <w:sz w:val="20"/>
        </w:rPr>
        <w:t xml:space="preserve"> </w:t>
      </w:r>
      <w:r>
        <w:rPr>
          <w:color w:val="231F20"/>
          <w:sz w:val="20"/>
        </w:rPr>
        <w:t>Stalking</w:t>
      </w:r>
      <w:r>
        <w:rPr>
          <w:color w:val="231F20"/>
          <w:spacing w:val="-7"/>
          <w:sz w:val="20"/>
        </w:rPr>
        <w:t xml:space="preserve"> </w:t>
      </w:r>
      <w:r>
        <w:rPr>
          <w:color w:val="231F20"/>
          <w:sz w:val="20"/>
        </w:rPr>
        <w:t>Victims’</w:t>
      </w:r>
      <w:r>
        <w:rPr>
          <w:color w:val="231F20"/>
          <w:spacing w:val="-6"/>
          <w:sz w:val="20"/>
        </w:rPr>
        <w:t xml:space="preserve"> </w:t>
      </w:r>
      <w:r>
        <w:rPr>
          <w:color w:val="231F20"/>
          <w:sz w:val="20"/>
        </w:rPr>
        <w:t>Experiences’</w:t>
      </w:r>
      <w:r>
        <w:rPr>
          <w:color w:val="231F20"/>
          <w:spacing w:val="-7"/>
          <w:sz w:val="20"/>
        </w:rPr>
        <w:t xml:space="preserve"> </w:t>
      </w:r>
      <w:r>
        <w:rPr>
          <w:color w:val="231F20"/>
          <w:sz w:val="20"/>
        </w:rPr>
        <w:t>(2014)</w:t>
      </w:r>
      <w:r>
        <w:rPr>
          <w:color w:val="231F20"/>
          <w:spacing w:val="-6"/>
          <w:sz w:val="20"/>
        </w:rPr>
        <w:t xml:space="preserve"> </w:t>
      </w:r>
      <w:r>
        <w:rPr>
          <w:color w:val="231F20"/>
          <w:sz w:val="20"/>
        </w:rPr>
        <w:t>16(4)</w:t>
      </w:r>
      <w:r>
        <w:rPr>
          <w:color w:val="231F20"/>
          <w:spacing w:val="-6"/>
          <w:sz w:val="20"/>
        </w:rPr>
        <w:t xml:space="preserve"> </w:t>
      </w:r>
      <w:r>
        <w:rPr>
          <w:i/>
          <w:color w:val="231F20"/>
          <w:sz w:val="20"/>
        </w:rPr>
        <w:t>Crime Prevention and Community Safety</w:t>
      </w:r>
      <w:r>
        <w:rPr>
          <w:i/>
          <w:color w:val="231F20"/>
          <w:spacing w:val="-8"/>
          <w:sz w:val="20"/>
        </w:rPr>
        <w:t xml:space="preserve"> </w:t>
      </w:r>
      <w:r>
        <w:rPr>
          <w:color w:val="231F20"/>
          <w:sz w:val="20"/>
        </w:rPr>
        <w:t>253</w:t>
      </w:r>
    </w:p>
    <w:p w14:paraId="52CC3883" w14:textId="77777777" w:rsidR="00894070" w:rsidRDefault="009B7AFD">
      <w:pPr>
        <w:pStyle w:val="ListParagraph"/>
        <w:numPr>
          <w:ilvl w:val="0"/>
          <w:numId w:val="8"/>
        </w:numPr>
        <w:tabs>
          <w:tab w:val="left" w:pos="1347"/>
          <w:tab w:val="left" w:pos="1348"/>
        </w:tabs>
        <w:spacing w:before="55" w:line="259" w:lineRule="exact"/>
        <w:ind w:hanging="340"/>
        <w:rPr>
          <w:sz w:val="20"/>
        </w:rPr>
      </w:pPr>
      <w:r>
        <w:rPr>
          <w:color w:val="231F20"/>
          <w:sz w:val="20"/>
        </w:rPr>
        <w:t xml:space="preserve">‘“No Place to Hide”—Stalking Victimisation and Its Psycho-Social Effects’ </w:t>
      </w:r>
      <w:r>
        <w:rPr>
          <w:color w:val="231F20"/>
          <w:spacing w:val="-3"/>
          <w:sz w:val="20"/>
        </w:rPr>
        <w:t>(2017)</w:t>
      </w:r>
      <w:r>
        <w:rPr>
          <w:color w:val="231F20"/>
          <w:spacing w:val="-28"/>
          <w:sz w:val="20"/>
        </w:rPr>
        <w:t xml:space="preserve"> </w:t>
      </w:r>
      <w:r>
        <w:rPr>
          <w:color w:val="231F20"/>
          <w:sz w:val="20"/>
        </w:rPr>
        <w:t>23(1)</w:t>
      </w:r>
    </w:p>
    <w:p w14:paraId="7FA0E987" w14:textId="77777777" w:rsidR="00894070" w:rsidRDefault="009B7AFD">
      <w:pPr>
        <w:spacing w:line="259" w:lineRule="exact"/>
        <w:ind w:left="1347"/>
        <w:rPr>
          <w:sz w:val="20"/>
        </w:rPr>
      </w:pPr>
      <w:r>
        <w:rPr>
          <w:i/>
          <w:color w:val="231F20"/>
          <w:sz w:val="20"/>
        </w:rPr>
        <w:t xml:space="preserve">International Review of Victimology </w:t>
      </w:r>
      <w:r>
        <w:rPr>
          <w:color w:val="231F20"/>
          <w:sz w:val="20"/>
        </w:rPr>
        <w:t>17</w:t>
      </w:r>
    </w:p>
    <w:p w14:paraId="5B2BEE7B" w14:textId="77777777" w:rsidR="00894070" w:rsidRDefault="009B7AFD">
      <w:pPr>
        <w:spacing w:before="80" w:line="206" w:lineRule="auto"/>
        <w:ind w:left="1007" w:right="1219"/>
        <w:rPr>
          <w:sz w:val="20"/>
        </w:rPr>
      </w:pPr>
      <w:r>
        <w:rPr>
          <w:color w:val="231F20"/>
          <w:sz w:val="20"/>
        </w:rPr>
        <w:t xml:space="preserve">Larsen, Lise Linn, Dianna Bomholt and Helle Hundahl, ‘Stalking as a Phenomenon in a Danish Context’ in Heng Choon (Oliver) Chan and Lorraine Sheridan (eds), </w:t>
      </w:r>
      <w:r>
        <w:rPr>
          <w:i/>
          <w:color w:val="231F20"/>
          <w:sz w:val="20"/>
        </w:rPr>
        <w:t xml:space="preserve">Psycho-Criminological Approaches to Stalking Behavior: International Perspectives </w:t>
      </w:r>
      <w:r>
        <w:rPr>
          <w:color w:val="231F20"/>
          <w:sz w:val="20"/>
        </w:rPr>
        <w:t>(John Wiley and Sons, 2020) 195</w:t>
      </w:r>
    </w:p>
    <w:p w14:paraId="3F68CA10" w14:textId="77777777" w:rsidR="00894070" w:rsidRDefault="009B7AFD">
      <w:pPr>
        <w:spacing w:before="84" w:line="259" w:lineRule="exact"/>
        <w:ind w:left="1007"/>
        <w:rPr>
          <w:i/>
          <w:sz w:val="20"/>
        </w:rPr>
      </w:pPr>
      <w:r>
        <w:rPr>
          <w:color w:val="231F20"/>
          <w:sz w:val="20"/>
        </w:rPr>
        <w:t xml:space="preserve">Law Reform Committee, Parliament of Victoria, </w:t>
      </w:r>
      <w:r>
        <w:rPr>
          <w:i/>
          <w:color w:val="231F20"/>
          <w:sz w:val="20"/>
        </w:rPr>
        <w:t>De Novo Appeals to the County Court</w:t>
      </w:r>
    </w:p>
    <w:p w14:paraId="321C9870" w14:textId="77777777" w:rsidR="00894070" w:rsidRDefault="009B7AFD">
      <w:pPr>
        <w:pStyle w:val="BodyText"/>
        <w:spacing w:line="259" w:lineRule="exact"/>
        <w:ind w:left="1007"/>
      </w:pPr>
      <w:r>
        <w:rPr>
          <w:color w:val="231F20"/>
        </w:rPr>
        <w:t>(Parliamentary Paper No 230, October 2006)</w:t>
      </w:r>
    </w:p>
    <w:p w14:paraId="0E10C540" w14:textId="77777777" w:rsidR="00894070" w:rsidRDefault="009B7AFD">
      <w:pPr>
        <w:spacing w:before="109" w:line="206" w:lineRule="auto"/>
        <w:ind w:left="1007" w:right="1121"/>
        <w:rPr>
          <w:sz w:val="20"/>
        </w:rPr>
      </w:pPr>
      <w:r>
        <w:rPr>
          <w:color w:val="231F20"/>
          <w:sz w:val="20"/>
        </w:rPr>
        <w:t xml:space="preserve">Legal and Social Issues Committee, Parliament of Victoria, </w:t>
      </w:r>
      <w:r>
        <w:rPr>
          <w:i/>
          <w:color w:val="231F20"/>
          <w:sz w:val="20"/>
        </w:rPr>
        <w:t xml:space="preserve">Inquiry into Victoria’s Criminal Justice System </w:t>
      </w:r>
      <w:r>
        <w:rPr>
          <w:color w:val="231F20"/>
          <w:sz w:val="20"/>
        </w:rPr>
        <w:t>(Report No 326, Session 2018–2022, March 2022)</w:t>
      </w:r>
    </w:p>
    <w:p w14:paraId="346BE372" w14:textId="77777777" w:rsidR="00894070" w:rsidRDefault="009B7AFD">
      <w:pPr>
        <w:spacing w:before="115" w:line="206" w:lineRule="auto"/>
        <w:ind w:left="1007" w:right="1219"/>
        <w:rPr>
          <w:sz w:val="20"/>
        </w:rPr>
      </w:pPr>
      <w:r>
        <w:rPr>
          <w:color w:val="231F20"/>
          <w:sz w:val="20"/>
        </w:rPr>
        <w:t xml:space="preserve">Lennings, Nicholas J and Chris J Lennings, ‘Assessing Serious Harm under the Doctrine of </w:t>
      </w:r>
      <w:r>
        <w:rPr>
          <w:i/>
          <w:color w:val="231F20"/>
          <w:sz w:val="20"/>
        </w:rPr>
        <w:t>Doli Incapax</w:t>
      </w:r>
      <w:r>
        <w:rPr>
          <w:color w:val="231F20"/>
          <w:sz w:val="20"/>
        </w:rPr>
        <w:t xml:space="preserve">: A Case Study’ (2014) 21(5) </w:t>
      </w:r>
      <w:r>
        <w:rPr>
          <w:i/>
          <w:color w:val="231F20"/>
          <w:sz w:val="20"/>
        </w:rPr>
        <w:t xml:space="preserve">Psychiatry, Psychology and Law </w:t>
      </w:r>
      <w:r>
        <w:rPr>
          <w:color w:val="231F20"/>
          <w:sz w:val="20"/>
        </w:rPr>
        <w:t>791</w:t>
      </w:r>
    </w:p>
    <w:p w14:paraId="2A0152EC" w14:textId="77777777" w:rsidR="00894070" w:rsidRDefault="009B7AFD">
      <w:pPr>
        <w:spacing w:before="116" w:line="206" w:lineRule="auto"/>
        <w:ind w:left="1007" w:right="1722"/>
        <w:rPr>
          <w:sz w:val="20"/>
        </w:rPr>
      </w:pPr>
      <w:r>
        <w:rPr>
          <w:color w:val="231F20"/>
          <w:sz w:val="20"/>
        </w:rPr>
        <w:t xml:space="preserve">Lievore, Denise, </w:t>
      </w:r>
      <w:r>
        <w:rPr>
          <w:i/>
          <w:color w:val="231F20"/>
          <w:sz w:val="20"/>
        </w:rPr>
        <w:t xml:space="preserve">No Longer Silent: A Study of Women’s Help-Seeking Decisions and Service Responses to Sexual Assault </w:t>
      </w:r>
      <w:r>
        <w:rPr>
          <w:color w:val="231F20"/>
          <w:sz w:val="20"/>
        </w:rPr>
        <w:t>(Report, Australian Institute of Criminology (Cth), June 2005)</w:t>
      </w:r>
    </w:p>
    <w:p w14:paraId="0FD6FEA8" w14:textId="77777777" w:rsidR="00894070" w:rsidRDefault="009B7AFD">
      <w:pPr>
        <w:pStyle w:val="BodyText"/>
        <w:spacing w:before="116" w:line="206" w:lineRule="auto"/>
        <w:ind w:left="1007" w:right="1346"/>
      </w:pPr>
      <w:r>
        <w:rPr>
          <w:color w:val="231F20"/>
        </w:rPr>
        <w:t xml:space="preserve">‘Lincolnshire Stalking Campaign’, </w:t>
      </w:r>
      <w:r>
        <w:rPr>
          <w:i/>
          <w:color w:val="231F20"/>
        </w:rPr>
        <w:t xml:space="preserve">Crime Stoppers (UK) </w:t>
      </w:r>
      <w:r>
        <w:rPr>
          <w:color w:val="231F20"/>
        </w:rPr>
        <w:t xml:space="preserve">(Web Page) </w:t>
      </w:r>
      <w:r>
        <w:rPr>
          <w:color w:val="231F20"/>
          <w:spacing w:val="-3"/>
        </w:rPr>
        <w:t>&lt;</w:t>
      </w:r>
      <w:hyperlink r:id="rId270">
        <w:r>
          <w:rPr>
            <w:color w:val="231F20"/>
            <w:spacing w:val="-3"/>
          </w:rPr>
          <w:t>https://crimestoppers-uk.</w:t>
        </w:r>
      </w:hyperlink>
      <w:r>
        <w:rPr>
          <w:color w:val="231F20"/>
          <w:spacing w:val="-3"/>
        </w:rPr>
        <w:t xml:space="preserve"> </w:t>
      </w:r>
      <w:hyperlink r:id="rId271">
        <w:r>
          <w:rPr>
            <w:color w:val="231F20"/>
          </w:rPr>
          <w:t>org/campaigns-media/campaigns/lincolnshire-stalking-campaign</w:t>
        </w:r>
      </w:hyperlink>
      <w:r>
        <w:rPr>
          <w:color w:val="231F20"/>
        </w:rPr>
        <w:t>&gt;</w:t>
      </w:r>
    </w:p>
    <w:p w14:paraId="45F41B1E" w14:textId="77777777" w:rsidR="00894070" w:rsidRDefault="009B7AFD">
      <w:pPr>
        <w:pStyle w:val="BodyText"/>
        <w:spacing w:before="116" w:line="206" w:lineRule="auto"/>
        <w:ind w:left="1007" w:right="1219"/>
      </w:pPr>
      <w:r>
        <w:rPr>
          <w:color w:val="231F20"/>
        </w:rPr>
        <w:t xml:space="preserve">Logan, TK et al, ‘Victim Service and Justice System Representative Responses About Partner Stalking: What Do Professionals Recommend?’ (2006) 21(1) </w:t>
      </w:r>
      <w:r>
        <w:rPr>
          <w:i/>
          <w:color w:val="231F20"/>
        </w:rPr>
        <w:t xml:space="preserve">Violence and Victims </w:t>
      </w:r>
      <w:r>
        <w:rPr>
          <w:color w:val="231F20"/>
        </w:rPr>
        <w:t>49</w:t>
      </w:r>
    </w:p>
    <w:p w14:paraId="40C12E8E" w14:textId="77777777" w:rsidR="00894070" w:rsidRDefault="009B7AFD">
      <w:pPr>
        <w:pStyle w:val="BodyText"/>
        <w:spacing w:before="116" w:line="206" w:lineRule="auto"/>
        <w:ind w:left="1007" w:right="1274"/>
      </w:pPr>
      <w:r>
        <w:rPr>
          <w:color w:val="231F20"/>
        </w:rPr>
        <w:t xml:space="preserve">MacKenzie, Rachel D and David V James, ‘Management and Treatment of Stalkers: Problems, Options, and Solutions’ (2011) 29(2) </w:t>
      </w:r>
      <w:r>
        <w:rPr>
          <w:i/>
          <w:color w:val="231F20"/>
        </w:rPr>
        <w:t xml:space="preserve">Behavioral Sciences &amp; the Law </w:t>
      </w:r>
      <w:r>
        <w:rPr>
          <w:color w:val="231F20"/>
        </w:rPr>
        <w:t>220</w:t>
      </w:r>
    </w:p>
    <w:p w14:paraId="4E23E390" w14:textId="77777777" w:rsidR="00894070" w:rsidRDefault="009B7AFD">
      <w:pPr>
        <w:spacing w:before="116" w:line="206" w:lineRule="auto"/>
        <w:ind w:left="1007" w:right="1158"/>
        <w:rPr>
          <w:sz w:val="20"/>
        </w:rPr>
      </w:pPr>
      <w:r>
        <w:rPr>
          <w:color w:val="231F20"/>
          <w:sz w:val="20"/>
        </w:rPr>
        <w:t xml:space="preserve">Mackenzie, Rachel et al, ‘Stalkers and Intelligence: Implications for Treatment’ (2010) 21 </w:t>
      </w:r>
      <w:r>
        <w:rPr>
          <w:i/>
          <w:color w:val="231F20"/>
          <w:sz w:val="20"/>
        </w:rPr>
        <w:t xml:space="preserve">Journal of Forensic Psychiatry &amp; Psychology </w:t>
      </w:r>
      <w:r>
        <w:rPr>
          <w:color w:val="231F20"/>
          <w:sz w:val="20"/>
        </w:rPr>
        <w:t>852</w:t>
      </w:r>
    </w:p>
    <w:p w14:paraId="51DDED51" w14:textId="77777777" w:rsidR="00894070" w:rsidRDefault="009B7AFD">
      <w:pPr>
        <w:pStyle w:val="BodyText"/>
        <w:spacing w:before="116" w:line="206" w:lineRule="auto"/>
        <w:ind w:left="1007" w:right="1546"/>
      </w:pPr>
      <w:r>
        <w:rPr>
          <w:color w:val="231F20"/>
        </w:rPr>
        <w:t xml:space="preserve">Malsch, Marijke, Jan W de Keijser and Sofia EC Debets, ‘Are Stalkers Recidivists? Repeated Offending by Convicted Stalkers’ (2011) 26(1) </w:t>
      </w:r>
      <w:r>
        <w:rPr>
          <w:i/>
          <w:color w:val="231F20"/>
        </w:rPr>
        <w:t xml:space="preserve">Violence and Victims </w:t>
      </w:r>
      <w:r>
        <w:rPr>
          <w:color w:val="231F20"/>
        </w:rPr>
        <w:t>3</w:t>
      </w:r>
    </w:p>
    <w:p w14:paraId="49E62CBE" w14:textId="77777777" w:rsidR="00894070" w:rsidRDefault="009B7AFD">
      <w:pPr>
        <w:spacing w:before="116" w:line="206" w:lineRule="auto"/>
        <w:ind w:left="1007" w:right="1459"/>
        <w:rPr>
          <w:sz w:val="20"/>
        </w:rPr>
      </w:pPr>
      <w:r>
        <w:rPr>
          <w:color w:val="231F20"/>
          <w:sz w:val="20"/>
        </w:rPr>
        <w:t xml:space="preserve">Marcum, Catherine D and George E Higgins, ‘A Systematic Review of Cyberstalking Victimization and Offending Behaviors’ (2021) 46(6) </w:t>
      </w:r>
      <w:r>
        <w:rPr>
          <w:i/>
          <w:color w:val="231F20"/>
          <w:sz w:val="20"/>
        </w:rPr>
        <w:t xml:space="preserve">American Journal of Criminal Justice </w:t>
      </w:r>
      <w:r>
        <w:rPr>
          <w:color w:val="231F20"/>
          <w:sz w:val="20"/>
        </w:rPr>
        <w:t>882</w:t>
      </w:r>
    </w:p>
    <w:p w14:paraId="1E4F5994" w14:textId="77777777" w:rsidR="00894070" w:rsidRDefault="009B7AFD">
      <w:pPr>
        <w:pStyle w:val="BodyText"/>
        <w:spacing w:before="116" w:line="206" w:lineRule="auto"/>
        <w:ind w:left="1007" w:right="1165"/>
      </w:pPr>
      <w:r>
        <w:rPr>
          <w:color w:val="231F20"/>
        </w:rPr>
        <w:t xml:space="preserve">McCarthy, </w:t>
      </w:r>
      <w:r>
        <w:rPr>
          <w:color w:val="231F20"/>
          <w:spacing w:val="-3"/>
        </w:rPr>
        <w:t xml:space="preserve">Jennifer, </w:t>
      </w:r>
      <w:r>
        <w:rPr>
          <w:color w:val="231F20"/>
        </w:rPr>
        <w:t xml:space="preserve">James Ogloff and </w:t>
      </w:r>
      <w:r>
        <w:rPr>
          <w:color w:val="231F20"/>
          <w:spacing w:val="-7"/>
        </w:rPr>
        <w:t xml:space="preserve">Troy </w:t>
      </w:r>
      <w:r>
        <w:rPr>
          <w:color w:val="231F20"/>
        </w:rPr>
        <w:t xml:space="preserve">McEwan, </w:t>
      </w:r>
      <w:r>
        <w:rPr>
          <w:color w:val="231F20"/>
          <w:spacing w:val="-5"/>
        </w:rPr>
        <w:t xml:space="preserve">‘An </w:t>
      </w:r>
      <w:r>
        <w:rPr>
          <w:color w:val="231F20"/>
        </w:rPr>
        <w:t xml:space="preserve">Evaluation of the Problem Behaviour Program: A Community Based Model for the Assessment and </w:t>
      </w:r>
      <w:r>
        <w:rPr>
          <w:color w:val="231F20"/>
          <w:spacing w:val="-4"/>
        </w:rPr>
        <w:t xml:space="preserve">Treatment </w:t>
      </w:r>
      <w:r>
        <w:rPr>
          <w:color w:val="231F20"/>
        </w:rPr>
        <w:t xml:space="preserve">of Problem Behaviours’, </w:t>
      </w:r>
      <w:r>
        <w:rPr>
          <w:i/>
          <w:color w:val="231F20"/>
        </w:rPr>
        <w:t xml:space="preserve">Forensicare </w:t>
      </w:r>
      <w:r>
        <w:rPr>
          <w:color w:val="231F20"/>
        </w:rPr>
        <w:t xml:space="preserve">(Web Page) </w:t>
      </w:r>
      <w:r>
        <w:rPr>
          <w:color w:val="231F20"/>
          <w:spacing w:val="-3"/>
        </w:rPr>
        <w:t>&lt;</w:t>
      </w:r>
      <w:hyperlink r:id="rId272">
        <w:r>
          <w:rPr>
            <w:color w:val="231F20"/>
            <w:spacing w:val="-3"/>
          </w:rPr>
          <w:t>https://www.forensicare.vic.gov.au/an-evaluation-of-the-</w:t>
        </w:r>
      </w:hyperlink>
      <w:r>
        <w:rPr>
          <w:color w:val="231F20"/>
          <w:spacing w:val="-3"/>
        </w:rPr>
        <w:t xml:space="preserve"> </w:t>
      </w:r>
      <w:hyperlink r:id="rId273">
        <w:r>
          <w:rPr>
            <w:color w:val="231F20"/>
            <w:spacing w:val="-1"/>
          </w:rPr>
          <w:t>problem-behaviour-program-a-community-based-model-for-the-assessment-and-treatment-</w:t>
        </w:r>
      </w:hyperlink>
      <w:r>
        <w:rPr>
          <w:color w:val="231F20"/>
          <w:spacing w:val="-1"/>
        </w:rPr>
        <w:t xml:space="preserve"> </w:t>
      </w:r>
      <w:hyperlink r:id="rId274">
        <w:r>
          <w:rPr>
            <w:color w:val="231F20"/>
          </w:rPr>
          <w:t>of-problem-behaviours/</w:t>
        </w:r>
      </w:hyperlink>
      <w:r>
        <w:rPr>
          <w:color w:val="231F20"/>
        </w:rPr>
        <w:t>&gt;</w:t>
      </w:r>
    </w:p>
    <w:p w14:paraId="652C5376" w14:textId="77777777" w:rsidR="00894070" w:rsidRDefault="009B7AFD">
      <w:pPr>
        <w:spacing w:before="120" w:line="206" w:lineRule="auto"/>
        <w:ind w:left="1007" w:right="1412"/>
        <w:rPr>
          <w:sz w:val="20"/>
        </w:rPr>
      </w:pPr>
      <w:r>
        <w:rPr>
          <w:color w:val="231F20"/>
          <w:sz w:val="20"/>
        </w:rPr>
        <w:t xml:space="preserve">McEwan, Troy E and Michael R Davis, ‘Is There a “Best” Stalking Typology?: Parsing the Heterogeneity of Stalking and Stalkers in an Australian Sample’ in Heng Choon (Oliver) Chan and Lorraine Sheridan (eds), </w:t>
      </w:r>
      <w:r>
        <w:rPr>
          <w:i/>
          <w:color w:val="231F20"/>
          <w:sz w:val="20"/>
        </w:rPr>
        <w:t xml:space="preserve">Psycho-Criminological Approaches to Stalking Behavior: An International Perspective </w:t>
      </w:r>
      <w:r>
        <w:rPr>
          <w:color w:val="231F20"/>
          <w:sz w:val="20"/>
        </w:rPr>
        <w:t>(John Wiley and Sons, 2020) 115</w:t>
      </w:r>
    </w:p>
    <w:p w14:paraId="708AC7C1" w14:textId="77777777" w:rsidR="00894070" w:rsidRDefault="009B7AFD">
      <w:pPr>
        <w:pStyle w:val="BodyText"/>
        <w:spacing w:before="86" w:line="259" w:lineRule="exact"/>
        <w:ind w:left="1007"/>
      </w:pPr>
      <w:r>
        <w:rPr>
          <w:color w:val="231F20"/>
        </w:rPr>
        <w:t>McEwan, Troy E and Susanne Strand, ‘The Role of Psychopathology in Stalking by Adult</w:t>
      </w:r>
    </w:p>
    <w:p w14:paraId="171E3AEA" w14:textId="77777777" w:rsidR="00894070" w:rsidRDefault="009B7AFD">
      <w:pPr>
        <w:spacing w:line="259" w:lineRule="exact"/>
        <w:ind w:left="1007"/>
        <w:rPr>
          <w:sz w:val="20"/>
        </w:rPr>
      </w:pPr>
      <w:r>
        <w:rPr>
          <w:color w:val="231F20"/>
          <w:sz w:val="20"/>
        </w:rPr>
        <w:t xml:space="preserve">Strangers and Acquaintances’ (2013) 47(6) </w:t>
      </w:r>
      <w:r>
        <w:rPr>
          <w:i/>
          <w:color w:val="231F20"/>
          <w:sz w:val="20"/>
        </w:rPr>
        <w:t xml:space="preserve">Australian and New Zealand Journal of Psychiatry </w:t>
      </w:r>
      <w:r>
        <w:rPr>
          <w:color w:val="231F20"/>
          <w:sz w:val="20"/>
        </w:rPr>
        <w:t>546</w:t>
      </w:r>
    </w:p>
    <w:p w14:paraId="7DC6E9F6" w14:textId="77777777" w:rsidR="00894070" w:rsidRDefault="009B7AFD">
      <w:pPr>
        <w:pStyle w:val="BodyText"/>
        <w:spacing w:before="108" w:line="206" w:lineRule="auto"/>
        <w:ind w:left="1007" w:right="1129"/>
      </w:pPr>
      <w:r>
        <w:rPr>
          <w:color w:val="231F20"/>
        </w:rPr>
        <w:t xml:space="preserve">McEwan, </w:t>
      </w:r>
      <w:r>
        <w:rPr>
          <w:color w:val="231F20"/>
          <w:spacing w:val="-7"/>
        </w:rPr>
        <w:t xml:space="preserve">Troy </w:t>
      </w:r>
      <w:r>
        <w:rPr>
          <w:color w:val="231F20"/>
        </w:rPr>
        <w:t xml:space="preserve">E, Paul E Mullen and Rachel Mackenzie, ‘Anti-Stalking Legislation in Practice: Are </w:t>
      </w:r>
      <w:r>
        <w:rPr>
          <w:color w:val="231F20"/>
          <w:spacing w:val="-6"/>
        </w:rPr>
        <w:t xml:space="preserve">We </w:t>
      </w:r>
      <w:r>
        <w:rPr>
          <w:color w:val="231F20"/>
        </w:rPr>
        <w:t xml:space="preserve">Meeting Community Needs?’ (2007) 14(2) </w:t>
      </w:r>
      <w:r>
        <w:rPr>
          <w:i/>
          <w:color w:val="231F20"/>
        </w:rPr>
        <w:t xml:space="preserve">Psychiatry, Psychology and Law </w:t>
      </w:r>
      <w:r>
        <w:rPr>
          <w:color w:val="231F20"/>
          <w:spacing w:val="-6"/>
        </w:rPr>
        <w:t>207</w:t>
      </w:r>
    </w:p>
    <w:p w14:paraId="530A8318" w14:textId="77777777" w:rsidR="00894070" w:rsidRDefault="009B7AFD">
      <w:pPr>
        <w:spacing w:before="116" w:line="206" w:lineRule="auto"/>
        <w:ind w:left="1007" w:right="1833"/>
        <w:rPr>
          <w:sz w:val="20"/>
        </w:rPr>
      </w:pPr>
      <w:r>
        <w:rPr>
          <w:color w:val="231F20"/>
          <w:sz w:val="20"/>
        </w:rPr>
        <w:t xml:space="preserve">McEwan, </w:t>
      </w:r>
      <w:r>
        <w:rPr>
          <w:color w:val="231F20"/>
          <w:spacing w:val="-9"/>
          <w:sz w:val="20"/>
        </w:rPr>
        <w:t xml:space="preserve">Troy, </w:t>
      </w:r>
      <w:r>
        <w:rPr>
          <w:color w:val="231F20"/>
          <w:sz w:val="20"/>
        </w:rPr>
        <w:t xml:space="preserve">Paul E Mullen and Rosemary Purcell, ‘Identifying Risk </w:t>
      </w:r>
      <w:r>
        <w:rPr>
          <w:color w:val="231F20"/>
          <w:spacing w:val="-3"/>
          <w:sz w:val="20"/>
        </w:rPr>
        <w:t xml:space="preserve">Factors </w:t>
      </w:r>
      <w:r>
        <w:rPr>
          <w:color w:val="231F20"/>
          <w:sz w:val="20"/>
        </w:rPr>
        <w:t xml:space="preserve">in Stalking: A Review of Current Research’ (2007) 30(1) </w:t>
      </w:r>
      <w:r>
        <w:rPr>
          <w:i/>
          <w:color w:val="231F20"/>
          <w:sz w:val="20"/>
        </w:rPr>
        <w:t xml:space="preserve">International Journal of </w:t>
      </w:r>
      <w:r>
        <w:rPr>
          <w:i/>
          <w:color w:val="231F20"/>
          <w:spacing w:val="-3"/>
          <w:sz w:val="20"/>
        </w:rPr>
        <w:t xml:space="preserve">Law </w:t>
      </w:r>
      <w:r>
        <w:rPr>
          <w:i/>
          <w:color w:val="231F20"/>
          <w:sz w:val="20"/>
        </w:rPr>
        <w:t xml:space="preserve">and Psychiatry </w:t>
      </w:r>
      <w:r>
        <w:rPr>
          <w:color w:val="231F20"/>
          <w:sz w:val="20"/>
        </w:rPr>
        <w:t>1</w:t>
      </w:r>
    </w:p>
    <w:p w14:paraId="55540BF4" w14:textId="77777777" w:rsidR="00894070" w:rsidRDefault="009B7AFD">
      <w:pPr>
        <w:spacing w:before="116" w:line="206" w:lineRule="auto"/>
        <w:ind w:left="1007" w:right="1486"/>
        <w:jc w:val="both"/>
        <w:rPr>
          <w:sz w:val="20"/>
        </w:rPr>
      </w:pPr>
      <w:r>
        <w:rPr>
          <w:color w:val="231F20"/>
          <w:sz w:val="20"/>
        </w:rPr>
        <w:t>McGrath,</w:t>
      </w:r>
      <w:r>
        <w:rPr>
          <w:color w:val="231F20"/>
          <w:spacing w:val="-8"/>
          <w:sz w:val="20"/>
        </w:rPr>
        <w:t xml:space="preserve"> </w:t>
      </w:r>
      <w:r>
        <w:rPr>
          <w:color w:val="231F20"/>
          <w:spacing w:val="-4"/>
          <w:sz w:val="20"/>
        </w:rPr>
        <w:t>Andrew,</w:t>
      </w:r>
      <w:r>
        <w:rPr>
          <w:color w:val="231F20"/>
          <w:spacing w:val="-8"/>
          <w:sz w:val="20"/>
        </w:rPr>
        <w:t xml:space="preserve"> </w:t>
      </w:r>
      <w:r>
        <w:rPr>
          <w:color w:val="231F20"/>
          <w:sz w:val="20"/>
        </w:rPr>
        <w:t>‘Offenders’</w:t>
      </w:r>
      <w:r>
        <w:rPr>
          <w:color w:val="231F20"/>
          <w:spacing w:val="-8"/>
          <w:sz w:val="20"/>
        </w:rPr>
        <w:t xml:space="preserve"> </w:t>
      </w:r>
      <w:r>
        <w:rPr>
          <w:color w:val="231F20"/>
          <w:sz w:val="20"/>
        </w:rPr>
        <w:t>Perceptions</w:t>
      </w:r>
      <w:r>
        <w:rPr>
          <w:color w:val="231F20"/>
          <w:spacing w:val="-7"/>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Sentencing</w:t>
      </w:r>
      <w:r>
        <w:rPr>
          <w:color w:val="231F20"/>
          <w:spacing w:val="-7"/>
          <w:sz w:val="20"/>
        </w:rPr>
        <w:t xml:space="preserve"> </w:t>
      </w:r>
      <w:r>
        <w:rPr>
          <w:color w:val="231F20"/>
          <w:sz w:val="20"/>
        </w:rPr>
        <w:t>Process:</w:t>
      </w:r>
      <w:r>
        <w:rPr>
          <w:color w:val="231F20"/>
          <w:spacing w:val="-8"/>
          <w:sz w:val="20"/>
        </w:rPr>
        <w:t xml:space="preserve"> </w:t>
      </w:r>
      <w:r>
        <w:rPr>
          <w:color w:val="231F20"/>
          <w:sz w:val="20"/>
        </w:rPr>
        <w:t>A</w:t>
      </w:r>
      <w:r>
        <w:rPr>
          <w:color w:val="231F20"/>
          <w:spacing w:val="-8"/>
          <w:sz w:val="20"/>
        </w:rPr>
        <w:t xml:space="preserve"> </w:t>
      </w:r>
      <w:r>
        <w:rPr>
          <w:color w:val="231F20"/>
          <w:sz w:val="20"/>
        </w:rPr>
        <w:t>Study</w:t>
      </w:r>
      <w:r>
        <w:rPr>
          <w:color w:val="231F20"/>
          <w:spacing w:val="-7"/>
          <w:sz w:val="20"/>
        </w:rPr>
        <w:t xml:space="preserve"> </w:t>
      </w:r>
      <w:r>
        <w:rPr>
          <w:color w:val="231F20"/>
          <w:sz w:val="20"/>
        </w:rPr>
        <w:t>of</w:t>
      </w:r>
      <w:r>
        <w:rPr>
          <w:color w:val="231F20"/>
          <w:spacing w:val="-8"/>
          <w:sz w:val="20"/>
        </w:rPr>
        <w:t xml:space="preserve"> </w:t>
      </w:r>
      <w:r>
        <w:rPr>
          <w:color w:val="231F20"/>
          <w:sz w:val="20"/>
        </w:rPr>
        <w:t xml:space="preserve">Deterrence and Stigmatisation in the New South </w:t>
      </w:r>
      <w:r>
        <w:rPr>
          <w:color w:val="231F20"/>
          <w:spacing w:val="-3"/>
          <w:sz w:val="20"/>
        </w:rPr>
        <w:t xml:space="preserve">Wales Children’s </w:t>
      </w:r>
      <w:r>
        <w:rPr>
          <w:color w:val="231F20"/>
          <w:sz w:val="20"/>
        </w:rPr>
        <w:t xml:space="preserve">Court’ (2009) 42(1) </w:t>
      </w:r>
      <w:r>
        <w:rPr>
          <w:i/>
          <w:color w:val="231F20"/>
          <w:sz w:val="20"/>
        </w:rPr>
        <w:t>Australian and New Zealand Journal of Criminology</w:t>
      </w:r>
      <w:r>
        <w:rPr>
          <w:i/>
          <w:color w:val="231F20"/>
          <w:spacing w:val="-8"/>
          <w:sz w:val="20"/>
        </w:rPr>
        <w:t xml:space="preserve"> </w:t>
      </w:r>
      <w:r>
        <w:rPr>
          <w:color w:val="231F20"/>
          <w:sz w:val="20"/>
        </w:rPr>
        <w:t>24</w:t>
      </w:r>
    </w:p>
    <w:p w14:paraId="145B807C" w14:textId="77777777" w:rsidR="00894070" w:rsidRDefault="009B7AFD">
      <w:pPr>
        <w:pStyle w:val="Heading8"/>
        <w:spacing w:before="81"/>
        <w:ind w:right="171"/>
        <w:jc w:val="right"/>
      </w:pPr>
      <w:r>
        <w:rPr>
          <w:color w:val="EA5B50"/>
        </w:rPr>
        <w:t>199</w:t>
      </w:r>
    </w:p>
    <w:p w14:paraId="155CDDA8" w14:textId="77777777" w:rsidR="00894070" w:rsidRDefault="00894070">
      <w:pPr>
        <w:jc w:val="right"/>
        <w:sectPr w:rsidR="00894070">
          <w:pgSz w:w="11910" w:h="16840"/>
          <w:pgMar w:top="840" w:right="420" w:bottom="280" w:left="580" w:header="0" w:footer="0" w:gutter="0"/>
          <w:cols w:space="720"/>
        </w:sectPr>
      </w:pPr>
    </w:p>
    <w:p w14:paraId="26B029E2" w14:textId="77777777" w:rsidR="00894070" w:rsidRDefault="00894070">
      <w:pPr>
        <w:pStyle w:val="BodyText"/>
        <w:rPr>
          <w:b/>
        </w:rPr>
      </w:pPr>
    </w:p>
    <w:p w14:paraId="4F439140" w14:textId="77777777" w:rsidR="00894070" w:rsidRDefault="00894070">
      <w:pPr>
        <w:pStyle w:val="BodyText"/>
        <w:rPr>
          <w:b/>
        </w:rPr>
      </w:pPr>
    </w:p>
    <w:p w14:paraId="6E282F65" w14:textId="77777777" w:rsidR="00894070" w:rsidRDefault="00894070">
      <w:pPr>
        <w:pStyle w:val="BodyText"/>
        <w:rPr>
          <w:b/>
        </w:rPr>
      </w:pPr>
    </w:p>
    <w:p w14:paraId="16AF2C28" w14:textId="77777777" w:rsidR="00894070" w:rsidRDefault="00894070">
      <w:pPr>
        <w:pStyle w:val="BodyText"/>
        <w:spacing w:before="5"/>
        <w:rPr>
          <w:b/>
          <w:sz w:val="14"/>
        </w:rPr>
      </w:pPr>
    </w:p>
    <w:p w14:paraId="593DB4C0" w14:textId="77777777" w:rsidR="00894070" w:rsidRDefault="009B7AFD">
      <w:pPr>
        <w:spacing w:before="90" w:line="206" w:lineRule="auto"/>
        <w:ind w:left="1007" w:right="1369"/>
        <w:rPr>
          <w:sz w:val="20"/>
        </w:rPr>
      </w:pPr>
      <w:r>
        <w:rPr>
          <w:color w:val="231F20"/>
          <w:sz w:val="20"/>
        </w:rPr>
        <w:t xml:space="preserve">McKenna, Nicole C and Kristy Holtfreter, ‘Trauma-Informed Courts: A Review and Integration of Justice Perspectives and Gender Responsiveness’ (2021) 30(4) </w:t>
      </w:r>
      <w:r>
        <w:rPr>
          <w:i/>
          <w:color w:val="231F20"/>
          <w:sz w:val="20"/>
        </w:rPr>
        <w:t xml:space="preserve">Journal of Aggression, Maltreatment and Trauma </w:t>
      </w:r>
      <w:r>
        <w:rPr>
          <w:color w:val="231F20"/>
          <w:sz w:val="20"/>
        </w:rPr>
        <w:t>450</w:t>
      </w:r>
    </w:p>
    <w:p w14:paraId="2F4C08C3" w14:textId="77777777" w:rsidR="00894070" w:rsidRDefault="009B7AFD">
      <w:pPr>
        <w:pStyle w:val="BodyText"/>
        <w:spacing w:before="117" w:line="206" w:lineRule="auto"/>
        <w:ind w:left="1007" w:right="1219"/>
      </w:pPr>
      <w:r>
        <w:rPr>
          <w:color w:val="231F20"/>
        </w:rPr>
        <w:t xml:space="preserve">McKeon, Bronwyn, </w:t>
      </w:r>
      <w:r>
        <w:rPr>
          <w:color w:val="231F20"/>
          <w:spacing w:val="-7"/>
        </w:rPr>
        <w:t xml:space="preserve">Troy </w:t>
      </w:r>
      <w:r>
        <w:rPr>
          <w:color w:val="231F20"/>
        </w:rPr>
        <w:t>E McEwan and Stefan Luebbers, ‘“It’s Not Really Stalking If</w:t>
      </w:r>
      <w:r>
        <w:rPr>
          <w:color w:val="231F20"/>
          <w:spacing w:val="-6"/>
        </w:rPr>
        <w:t xml:space="preserve"> You </w:t>
      </w:r>
      <w:r>
        <w:rPr>
          <w:color w:val="231F20"/>
        </w:rPr>
        <w:t xml:space="preserve">Know the Person”: Measuring Community Attitudes That Normalize, Justify and Minimise Stalking’ (2015) 22(2) </w:t>
      </w:r>
      <w:r>
        <w:rPr>
          <w:i/>
          <w:color w:val="231F20"/>
        </w:rPr>
        <w:t xml:space="preserve">Psychiatry, Psychology and Law </w:t>
      </w:r>
      <w:r>
        <w:rPr>
          <w:color w:val="231F20"/>
        </w:rPr>
        <w:t>291</w:t>
      </w:r>
    </w:p>
    <w:p w14:paraId="12F8E09B" w14:textId="77777777" w:rsidR="00894070" w:rsidRDefault="009B7AFD">
      <w:pPr>
        <w:pStyle w:val="BodyText"/>
        <w:spacing w:before="85" w:line="259" w:lineRule="exact"/>
        <w:ind w:left="1007"/>
      </w:pPr>
      <w:r>
        <w:rPr>
          <w:color w:val="231F20"/>
        </w:rPr>
        <w:t>McMahon, Marilyn, Paul McGorrery and Kelley Burton, ‘Prosecuting Non-Physical Abuse</w:t>
      </w:r>
    </w:p>
    <w:p w14:paraId="70CD63E3" w14:textId="77777777" w:rsidR="00894070" w:rsidRDefault="009B7AFD">
      <w:pPr>
        <w:pStyle w:val="BodyText"/>
        <w:spacing w:line="240" w:lineRule="exact"/>
        <w:ind w:left="1007"/>
      </w:pPr>
      <w:r>
        <w:rPr>
          <w:color w:val="231F20"/>
        </w:rPr>
        <w:t>between Current Intimate Partners: Are Stalking Laws an Under-Utilised Resource?’ (2019) 42(2)</w:t>
      </w:r>
    </w:p>
    <w:p w14:paraId="127DE38B" w14:textId="77777777" w:rsidR="00894070" w:rsidRDefault="009B7AFD">
      <w:pPr>
        <w:spacing w:line="259" w:lineRule="exact"/>
        <w:ind w:left="1007"/>
        <w:rPr>
          <w:sz w:val="20"/>
        </w:rPr>
      </w:pPr>
      <w:r>
        <w:rPr>
          <w:i/>
          <w:color w:val="231F20"/>
          <w:sz w:val="20"/>
        </w:rPr>
        <w:t xml:space="preserve">Melbourne University Law Review </w:t>
      </w:r>
      <w:r>
        <w:rPr>
          <w:color w:val="231F20"/>
          <w:sz w:val="20"/>
        </w:rPr>
        <w:t>551</w:t>
      </w:r>
    </w:p>
    <w:p w14:paraId="028F0A84" w14:textId="77777777" w:rsidR="00894070" w:rsidRDefault="009B7AFD">
      <w:pPr>
        <w:spacing w:before="76" w:line="259" w:lineRule="exact"/>
        <w:ind w:left="1007"/>
        <w:rPr>
          <w:sz w:val="20"/>
        </w:rPr>
      </w:pPr>
      <w:r>
        <w:rPr>
          <w:color w:val="231F20"/>
          <w:sz w:val="20"/>
        </w:rPr>
        <w:t xml:space="preserve">‘Mental Impairment and Sentencing’, </w:t>
      </w:r>
      <w:r>
        <w:rPr>
          <w:i/>
          <w:color w:val="231F20"/>
          <w:sz w:val="20"/>
        </w:rPr>
        <w:t xml:space="preserve">Sentencing Advisory Council </w:t>
      </w:r>
      <w:r>
        <w:rPr>
          <w:color w:val="231F20"/>
          <w:sz w:val="20"/>
        </w:rPr>
        <w:t>(Web Page, February 2021)</w:t>
      </w:r>
    </w:p>
    <w:p w14:paraId="44931436" w14:textId="77777777" w:rsidR="00894070" w:rsidRDefault="009B7AFD">
      <w:pPr>
        <w:pStyle w:val="BodyText"/>
        <w:spacing w:line="240" w:lineRule="exact"/>
        <w:ind w:left="1007"/>
      </w:pPr>
      <w:r>
        <w:rPr>
          <w:color w:val="231F20"/>
        </w:rPr>
        <w:t>&lt;</w:t>
      </w:r>
      <w:hyperlink r:id="rId275">
        <w:r>
          <w:rPr>
            <w:color w:val="231F20"/>
          </w:rPr>
          <w:t>https://www.sentencingcouncil.vic.gov.au/about-sentencing/mental-impairment-and-</w:t>
        </w:r>
      </w:hyperlink>
    </w:p>
    <w:p w14:paraId="597B468A" w14:textId="77777777" w:rsidR="00894070" w:rsidRDefault="009F6793">
      <w:pPr>
        <w:pStyle w:val="BodyText"/>
        <w:spacing w:line="259" w:lineRule="exact"/>
        <w:ind w:left="1007"/>
      </w:pPr>
      <w:hyperlink r:id="rId276">
        <w:r w:rsidR="009B7AFD">
          <w:rPr>
            <w:color w:val="231F20"/>
          </w:rPr>
          <w:t>sentencing</w:t>
        </w:r>
      </w:hyperlink>
      <w:r w:rsidR="009B7AFD">
        <w:rPr>
          <w:color w:val="231F20"/>
        </w:rPr>
        <w:t>&gt;</w:t>
      </w:r>
    </w:p>
    <w:p w14:paraId="694E14B1" w14:textId="77777777" w:rsidR="00894070" w:rsidRDefault="009B7AFD">
      <w:pPr>
        <w:spacing w:before="108" w:line="206" w:lineRule="auto"/>
        <w:ind w:left="1007" w:right="1345"/>
        <w:rPr>
          <w:sz w:val="20"/>
        </w:rPr>
      </w:pPr>
      <w:r>
        <w:rPr>
          <w:color w:val="231F20"/>
          <w:sz w:val="20"/>
        </w:rPr>
        <w:t xml:space="preserve">Miller, Laurence, ‘Stalking: Patterns, Motives, and Intervention Strategies’ (2012) 17 </w:t>
      </w:r>
      <w:r>
        <w:rPr>
          <w:i/>
          <w:color w:val="231F20"/>
          <w:sz w:val="20"/>
        </w:rPr>
        <w:t xml:space="preserve">Aggression and Violent Behavior </w:t>
      </w:r>
      <w:r>
        <w:rPr>
          <w:color w:val="231F20"/>
          <w:sz w:val="20"/>
        </w:rPr>
        <w:t>495</w:t>
      </w:r>
    </w:p>
    <w:p w14:paraId="737CAE1A" w14:textId="77777777" w:rsidR="00894070" w:rsidRDefault="009B7AFD">
      <w:pPr>
        <w:pStyle w:val="BodyText"/>
        <w:spacing w:before="116" w:line="206" w:lineRule="auto"/>
        <w:ind w:left="1007" w:right="1410"/>
      </w:pPr>
      <w:r>
        <w:rPr>
          <w:color w:val="231F20"/>
        </w:rPr>
        <w:t xml:space="preserve">‘Mission Statement’, </w:t>
      </w:r>
      <w:r>
        <w:rPr>
          <w:i/>
          <w:color w:val="231F20"/>
          <w:spacing w:val="-4"/>
        </w:rPr>
        <w:t xml:space="preserve">STOP—STALKING </w:t>
      </w:r>
      <w:r>
        <w:rPr>
          <w:color w:val="231F20"/>
        </w:rPr>
        <w:t xml:space="preserve">(Web Page) </w:t>
      </w:r>
      <w:r>
        <w:rPr>
          <w:color w:val="231F20"/>
          <w:spacing w:val="-3"/>
        </w:rPr>
        <w:t>&lt;</w:t>
      </w:r>
      <w:hyperlink r:id="rId277">
        <w:r>
          <w:rPr>
            <w:color w:val="231F20"/>
            <w:spacing w:val="-3"/>
          </w:rPr>
          <w:t>https://www.stop-stalking-berlin.de/en/</w:t>
        </w:r>
      </w:hyperlink>
      <w:r>
        <w:rPr>
          <w:color w:val="231F20"/>
          <w:spacing w:val="-3"/>
        </w:rPr>
        <w:t xml:space="preserve"> </w:t>
      </w:r>
      <w:hyperlink r:id="rId278">
        <w:r>
          <w:rPr>
            <w:color w:val="231F20"/>
          </w:rPr>
          <w:t>general-information-2/mission-statement-2/</w:t>
        </w:r>
      </w:hyperlink>
      <w:r>
        <w:rPr>
          <w:color w:val="231F20"/>
        </w:rPr>
        <w:t>&gt;</w:t>
      </w:r>
    </w:p>
    <w:p w14:paraId="1130198E" w14:textId="77777777" w:rsidR="00894070" w:rsidRDefault="009B7AFD">
      <w:pPr>
        <w:spacing w:before="116" w:line="206" w:lineRule="auto"/>
        <w:ind w:left="1007" w:right="1219"/>
        <w:rPr>
          <w:sz w:val="20"/>
        </w:rPr>
      </w:pPr>
      <w:r>
        <w:rPr>
          <w:color w:val="231F20"/>
          <w:sz w:val="20"/>
        </w:rPr>
        <w:t xml:space="preserve">Mullen, Paul E, Michele Pathé and Rosemary Purcell, ‘Stalking: New Constructions of Human Behaviour’ (2001) 35(1) </w:t>
      </w:r>
      <w:r>
        <w:rPr>
          <w:i/>
          <w:color w:val="231F20"/>
          <w:sz w:val="20"/>
        </w:rPr>
        <w:t xml:space="preserve">Australian and New Zealand Journal of Psychiatry </w:t>
      </w:r>
      <w:r>
        <w:rPr>
          <w:color w:val="231F20"/>
          <w:sz w:val="20"/>
        </w:rPr>
        <w:t>9</w:t>
      </w:r>
    </w:p>
    <w:p w14:paraId="7D5104AB" w14:textId="77777777" w:rsidR="00894070" w:rsidRDefault="009B7AFD">
      <w:pPr>
        <w:spacing w:before="116" w:line="206" w:lineRule="auto"/>
        <w:ind w:left="1007" w:right="1219"/>
        <w:rPr>
          <w:sz w:val="20"/>
        </w:rPr>
      </w:pPr>
      <w:r>
        <w:rPr>
          <w:color w:val="231F20"/>
          <w:spacing w:val="-3"/>
          <w:sz w:val="20"/>
        </w:rPr>
        <w:t xml:space="preserve">Nancarrow, </w:t>
      </w:r>
      <w:r>
        <w:rPr>
          <w:color w:val="231F20"/>
          <w:sz w:val="20"/>
        </w:rPr>
        <w:t xml:space="preserve">Heather and </w:t>
      </w:r>
      <w:r>
        <w:rPr>
          <w:color w:val="231F20"/>
          <w:spacing w:val="-6"/>
          <w:sz w:val="20"/>
        </w:rPr>
        <w:t xml:space="preserve">Tanya </w:t>
      </w:r>
      <w:r>
        <w:rPr>
          <w:color w:val="231F20"/>
          <w:sz w:val="20"/>
        </w:rPr>
        <w:t xml:space="preserve">Modini, </w:t>
      </w:r>
      <w:r>
        <w:rPr>
          <w:i/>
          <w:color w:val="231F20"/>
          <w:sz w:val="20"/>
        </w:rPr>
        <w:t>Electronic Monitoring in the Context of Domestic and Family</w:t>
      </w:r>
      <w:r>
        <w:rPr>
          <w:i/>
          <w:color w:val="231F20"/>
          <w:spacing w:val="-8"/>
          <w:sz w:val="20"/>
        </w:rPr>
        <w:t xml:space="preserve"> </w:t>
      </w:r>
      <w:r>
        <w:rPr>
          <w:i/>
          <w:color w:val="231F20"/>
          <w:sz w:val="20"/>
        </w:rPr>
        <w:t>Violence</w:t>
      </w:r>
      <w:r>
        <w:rPr>
          <w:i/>
          <w:color w:val="231F20"/>
          <w:spacing w:val="-6"/>
          <w:sz w:val="20"/>
        </w:rPr>
        <w:t xml:space="preserve"> </w:t>
      </w:r>
      <w:r>
        <w:rPr>
          <w:color w:val="231F20"/>
          <w:sz w:val="20"/>
        </w:rPr>
        <w:t>(Report</w:t>
      </w:r>
      <w:r>
        <w:rPr>
          <w:color w:val="231F20"/>
          <w:spacing w:val="-8"/>
          <w:sz w:val="20"/>
        </w:rPr>
        <w:t xml:space="preserve"> </w:t>
      </w:r>
      <w:r>
        <w:rPr>
          <w:color w:val="231F20"/>
          <w:sz w:val="20"/>
        </w:rPr>
        <w:t>for</w:t>
      </w:r>
      <w:r>
        <w:rPr>
          <w:color w:val="231F20"/>
          <w:spacing w:val="-7"/>
          <w:sz w:val="20"/>
        </w:rPr>
        <w:t xml:space="preserve"> </w:t>
      </w:r>
      <w:r>
        <w:rPr>
          <w:color w:val="231F20"/>
          <w:sz w:val="20"/>
        </w:rPr>
        <w:t>the</w:t>
      </w:r>
      <w:r>
        <w:rPr>
          <w:color w:val="231F20"/>
          <w:spacing w:val="-8"/>
          <w:sz w:val="20"/>
        </w:rPr>
        <w:t xml:space="preserve"> </w:t>
      </w:r>
      <w:r>
        <w:rPr>
          <w:color w:val="231F20"/>
          <w:sz w:val="20"/>
        </w:rPr>
        <w:t>Department</w:t>
      </w:r>
      <w:r>
        <w:rPr>
          <w:color w:val="231F20"/>
          <w:spacing w:val="-8"/>
          <w:sz w:val="20"/>
        </w:rPr>
        <w:t xml:space="preserve"> </w:t>
      </w:r>
      <w:r>
        <w:rPr>
          <w:color w:val="231F20"/>
          <w:sz w:val="20"/>
        </w:rPr>
        <w:t>of</w:t>
      </w:r>
      <w:r>
        <w:rPr>
          <w:color w:val="231F20"/>
          <w:spacing w:val="-7"/>
          <w:sz w:val="20"/>
        </w:rPr>
        <w:t xml:space="preserve"> </w:t>
      </w:r>
      <w:r>
        <w:rPr>
          <w:color w:val="231F20"/>
          <w:sz w:val="20"/>
        </w:rPr>
        <w:t>Justice</w:t>
      </w:r>
      <w:r>
        <w:rPr>
          <w:color w:val="231F20"/>
          <w:spacing w:val="-8"/>
          <w:sz w:val="20"/>
        </w:rPr>
        <w:t xml:space="preserve"> </w:t>
      </w:r>
      <w:r>
        <w:rPr>
          <w:color w:val="231F20"/>
          <w:sz w:val="20"/>
        </w:rPr>
        <w:t>and</w:t>
      </w:r>
      <w:r>
        <w:rPr>
          <w:color w:val="231F20"/>
          <w:spacing w:val="-7"/>
          <w:sz w:val="20"/>
        </w:rPr>
        <w:t xml:space="preserve"> </w:t>
      </w:r>
      <w:r>
        <w:rPr>
          <w:color w:val="231F20"/>
          <w:sz w:val="20"/>
        </w:rPr>
        <w:t>Attorney-General</w:t>
      </w:r>
      <w:r>
        <w:rPr>
          <w:color w:val="231F20"/>
          <w:spacing w:val="-8"/>
          <w:sz w:val="20"/>
        </w:rPr>
        <w:t xml:space="preserve"> </w:t>
      </w:r>
      <w:r>
        <w:rPr>
          <w:color w:val="231F20"/>
          <w:sz w:val="20"/>
        </w:rPr>
        <w:t>(Qld),</w:t>
      </w:r>
      <w:r>
        <w:rPr>
          <w:color w:val="231F20"/>
          <w:spacing w:val="-7"/>
          <w:sz w:val="20"/>
        </w:rPr>
        <w:t xml:space="preserve"> </w:t>
      </w:r>
      <w:r>
        <w:rPr>
          <w:color w:val="231F20"/>
          <w:sz w:val="20"/>
        </w:rPr>
        <w:t xml:space="preserve">ANROWS, </w:t>
      </w:r>
      <w:r>
        <w:rPr>
          <w:color w:val="231F20"/>
          <w:spacing w:val="-3"/>
          <w:sz w:val="20"/>
        </w:rPr>
        <w:t>2018)</w:t>
      </w:r>
    </w:p>
    <w:p w14:paraId="282D1B25" w14:textId="77777777" w:rsidR="00894070" w:rsidRDefault="009B7AFD">
      <w:pPr>
        <w:pStyle w:val="BodyText"/>
        <w:spacing w:before="117" w:line="206" w:lineRule="auto"/>
        <w:ind w:left="1007" w:right="1219"/>
      </w:pPr>
      <w:r>
        <w:rPr>
          <w:color w:val="231F20"/>
        </w:rPr>
        <w:t>Natalie</w:t>
      </w:r>
      <w:r>
        <w:rPr>
          <w:color w:val="231F20"/>
          <w:spacing w:val="-7"/>
        </w:rPr>
        <w:t xml:space="preserve"> </w:t>
      </w:r>
      <w:r>
        <w:rPr>
          <w:color w:val="231F20"/>
        </w:rPr>
        <w:t>Hutchins,</w:t>
      </w:r>
      <w:r>
        <w:rPr>
          <w:color w:val="231F20"/>
          <w:spacing w:val="-6"/>
        </w:rPr>
        <w:t xml:space="preserve"> </w:t>
      </w:r>
      <w:r>
        <w:rPr>
          <w:color w:val="231F20"/>
        </w:rPr>
        <w:t>Minister</w:t>
      </w:r>
      <w:r>
        <w:rPr>
          <w:color w:val="231F20"/>
          <w:spacing w:val="-7"/>
        </w:rPr>
        <w:t xml:space="preserve"> </w:t>
      </w:r>
      <w:r>
        <w:rPr>
          <w:color w:val="231F20"/>
        </w:rPr>
        <w:t>for</w:t>
      </w:r>
      <w:r>
        <w:rPr>
          <w:color w:val="231F20"/>
          <w:spacing w:val="-6"/>
        </w:rPr>
        <w:t xml:space="preserve"> </w:t>
      </w:r>
      <w:r>
        <w:rPr>
          <w:color w:val="231F20"/>
        </w:rPr>
        <w:t>Corrections,</w:t>
      </w:r>
      <w:r>
        <w:rPr>
          <w:color w:val="231F20"/>
          <w:spacing w:val="-7"/>
        </w:rPr>
        <w:t xml:space="preserve"> </w:t>
      </w:r>
      <w:r>
        <w:rPr>
          <w:color w:val="231F20"/>
        </w:rPr>
        <w:t>Crime</w:t>
      </w:r>
      <w:r>
        <w:rPr>
          <w:color w:val="231F20"/>
          <w:spacing w:val="-6"/>
        </w:rPr>
        <w:t xml:space="preserve"> </w:t>
      </w:r>
      <w:r>
        <w:rPr>
          <w:color w:val="231F20"/>
        </w:rPr>
        <w:t>Prevention,</w:t>
      </w:r>
      <w:r>
        <w:rPr>
          <w:color w:val="231F20"/>
          <w:spacing w:val="-7"/>
        </w:rPr>
        <w:t xml:space="preserve"> </w:t>
      </w:r>
      <w:r>
        <w:rPr>
          <w:color w:val="231F20"/>
        </w:rPr>
        <w:t>Victim</w:t>
      </w:r>
      <w:r>
        <w:rPr>
          <w:color w:val="231F20"/>
          <w:spacing w:val="-6"/>
        </w:rPr>
        <w:t xml:space="preserve"> </w:t>
      </w:r>
      <w:r>
        <w:rPr>
          <w:color w:val="231F20"/>
        </w:rPr>
        <w:t>Support</w:t>
      </w:r>
      <w:r>
        <w:rPr>
          <w:color w:val="231F20"/>
          <w:spacing w:val="-7"/>
        </w:rPr>
        <w:t xml:space="preserve"> </w:t>
      </w:r>
      <w:r>
        <w:rPr>
          <w:color w:val="231F20"/>
        </w:rPr>
        <w:t>and</w:t>
      </w:r>
      <w:r>
        <w:rPr>
          <w:color w:val="231F20"/>
          <w:spacing w:val="-6"/>
        </w:rPr>
        <w:t xml:space="preserve"> </w:t>
      </w:r>
      <w:r>
        <w:rPr>
          <w:color w:val="231F20"/>
          <w:spacing w:val="-4"/>
        </w:rPr>
        <w:t>Youth</w:t>
      </w:r>
      <w:r>
        <w:rPr>
          <w:color w:val="231F20"/>
          <w:spacing w:val="-6"/>
        </w:rPr>
        <w:t xml:space="preserve"> </w:t>
      </w:r>
      <w:r>
        <w:rPr>
          <w:color w:val="231F20"/>
        </w:rPr>
        <w:t>Justice (Vic),</w:t>
      </w:r>
    </w:p>
    <w:p w14:paraId="65771A34" w14:textId="77777777" w:rsidR="00894070" w:rsidRDefault="009B7AFD">
      <w:pPr>
        <w:pStyle w:val="ListParagraph"/>
        <w:numPr>
          <w:ilvl w:val="0"/>
          <w:numId w:val="7"/>
        </w:numPr>
        <w:tabs>
          <w:tab w:val="left" w:pos="1347"/>
          <w:tab w:val="left" w:pos="1348"/>
        </w:tabs>
        <w:spacing w:before="84"/>
        <w:ind w:hanging="340"/>
        <w:rPr>
          <w:sz w:val="20"/>
        </w:rPr>
      </w:pPr>
      <w:r>
        <w:rPr>
          <w:color w:val="231F20"/>
          <w:sz w:val="20"/>
        </w:rPr>
        <w:t>‘Better</w:t>
      </w:r>
      <w:r>
        <w:rPr>
          <w:color w:val="231F20"/>
          <w:spacing w:val="-7"/>
          <w:sz w:val="20"/>
        </w:rPr>
        <w:t xml:space="preserve"> </w:t>
      </w:r>
      <w:r>
        <w:rPr>
          <w:color w:val="231F20"/>
          <w:sz w:val="20"/>
        </w:rPr>
        <w:t>Outcomes</w:t>
      </w:r>
      <w:r>
        <w:rPr>
          <w:color w:val="231F20"/>
          <w:spacing w:val="-6"/>
          <w:sz w:val="20"/>
        </w:rPr>
        <w:t xml:space="preserve"> </w:t>
      </w:r>
      <w:r>
        <w:rPr>
          <w:color w:val="231F20"/>
          <w:sz w:val="20"/>
        </w:rPr>
        <w:t>for</w:t>
      </w:r>
      <w:r>
        <w:rPr>
          <w:color w:val="231F20"/>
          <w:spacing w:val="-6"/>
          <w:sz w:val="20"/>
        </w:rPr>
        <w:t xml:space="preserve"> </w:t>
      </w:r>
      <w:r>
        <w:rPr>
          <w:color w:val="231F20"/>
          <w:sz w:val="20"/>
        </w:rPr>
        <w:t>Victims</w:t>
      </w:r>
      <w:r>
        <w:rPr>
          <w:color w:val="231F20"/>
          <w:spacing w:val="-6"/>
          <w:sz w:val="20"/>
        </w:rPr>
        <w:t xml:space="preserve"> </w:t>
      </w:r>
      <w:r>
        <w:rPr>
          <w:color w:val="231F20"/>
          <w:sz w:val="20"/>
        </w:rPr>
        <w:t>and</w:t>
      </w:r>
      <w:r>
        <w:rPr>
          <w:color w:val="231F20"/>
          <w:spacing w:val="-6"/>
          <w:sz w:val="20"/>
        </w:rPr>
        <w:t xml:space="preserve"> </w:t>
      </w:r>
      <w:r>
        <w:rPr>
          <w:color w:val="231F20"/>
          <w:spacing w:val="-4"/>
          <w:sz w:val="20"/>
        </w:rPr>
        <w:t>Young</w:t>
      </w:r>
      <w:r>
        <w:rPr>
          <w:color w:val="231F20"/>
          <w:spacing w:val="-6"/>
          <w:sz w:val="20"/>
        </w:rPr>
        <w:t xml:space="preserve"> </w:t>
      </w:r>
      <w:r>
        <w:rPr>
          <w:color w:val="231F20"/>
          <w:sz w:val="20"/>
        </w:rPr>
        <w:t>People’</w:t>
      </w:r>
      <w:r>
        <w:rPr>
          <w:color w:val="231F20"/>
          <w:spacing w:val="-7"/>
          <w:sz w:val="20"/>
        </w:rPr>
        <w:t xml:space="preserve"> </w:t>
      </w:r>
      <w:r>
        <w:rPr>
          <w:color w:val="231F20"/>
          <w:sz w:val="20"/>
        </w:rPr>
        <w:t>(Media</w:t>
      </w:r>
      <w:r>
        <w:rPr>
          <w:color w:val="231F20"/>
          <w:spacing w:val="-6"/>
          <w:sz w:val="20"/>
        </w:rPr>
        <w:t xml:space="preserve"> </w:t>
      </w:r>
      <w:r>
        <w:rPr>
          <w:color w:val="231F20"/>
          <w:sz w:val="20"/>
        </w:rPr>
        <w:t>Release,</w:t>
      </w:r>
      <w:r>
        <w:rPr>
          <w:color w:val="231F20"/>
          <w:spacing w:val="-6"/>
          <w:sz w:val="20"/>
        </w:rPr>
        <w:t xml:space="preserve"> </w:t>
      </w:r>
      <w:r>
        <w:rPr>
          <w:color w:val="231F20"/>
          <w:sz w:val="20"/>
        </w:rPr>
        <w:t>20</w:t>
      </w:r>
      <w:r>
        <w:rPr>
          <w:color w:val="231F20"/>
          <w:spacing w:val="-6"/>
          <w:sz w:val="20"/>
        </w:rPr>
        <w:t xml:space="preserve"> </w:t>
      </w:r>
      <w:r>
        <w:rPr>
          <w:color w:val="231F20"/>
          <w:sz w:val="20"/>
        </w:rPr>
        <w:t>May</w:t>
      </w:r>
      <w:r>
        <w:rPr>
          <w:color w:val="231F20"/>
          <w:spacing w:val="-6"/>
          <w:sz w:val="20"/>
        </w:rPr>
        <w:t xml:space="preserve"> </w:t>
      </w:r>
      <w:r>
        <w:rPr>
          <w:color w:val="231F20"/>
          <w:sz w:val="20"/>
        </w:rPr>
        <w:t>2021)</w:t>
      </w:r>
    </w:p>
    <w:p w14:paraId="25352CD6" w14:textId="77777777" w:rsidR="00894070" w:rsidRDefault="009B7AFD">
      <w:pPr>
        <w:pStyle w:val="ListParagraph"/>
        <w:numPr>
          <w:ilvl w:val="0"/>
          <w:numId w:val="7"/>
        </w:numPr>
        <w:tabs>
          <w:tab w:val="left" w:pos="1347"/>
          <w:tab w:val="left" w:pos="1348"/>
        </w:tabs>
        <w:spacing w:before="47"/>
        <w:ind w:hanging="340"/>
        <w:rPr>
          <w:sz w:val="20"/>
        </w:rPr>
      </w:pPr>
      <w:r>
        <w:rPr>
          <w:color w:val="231F20"/>
          <w:sz w:val="20"/>
        </w:rPr>
        <w:t>‘Landmark</w:t>
      </w:r>
      <w:r>
        <w:rPr>
          <w:color w:val="231F20"/>
          <w:spacing w:val="-5"/>
          <w:sz w:val="20"/>
        </w:rPr>
        <w:t xml:space="preserve"> </w:t>
      </w:r>
      <w:r>
        <w:rPr>
          <w:color w:val="231F20"/>
          <w:sz w:val="20"/>
        </w:rPr>
        <w:t>Reforms</w:t>
      </w:r>
      <w:r>
        <w:rPr>
          <w:color w:val="231F20"/>
          <w:spacing w:val="-5"/>
          <w:sz w:val="20"/>
        </w:rPr>
        <w:t xml:space="preserve"> </w:t>
      </w:r>
      <w:r>
        <w:rPr>
          <w:color w:val="231F20"/>
          <w:spacing w:val="-9"/>
          <w:sz w:val="20"/>
        </w:rPr>
        <w:t>To</w:t>
      </w:r>
      <w:r>
        <w:rPr>
          <w:color w:val="231F20"/>
          <w:spacing w:val="-5"/>
          <w:sz w:val="20"/>
        </w:rPr>
        <w:t xml:space="preserve"> </w:t>
      </w:r>
      <w:r>
        <w:rPr>
          <w:color w:val="231F20"/>
          <w:sz w:val="20"/>
        </w:rPr>
        <w:t>Support</w:t>
      </w:r>
      <w:r>
        <w:rPr>
          <w:color w:val="231F20"/>
          <w:spacing w:val="-5"/>
          <w:sz w:val="20"/>
        </w:rPr>
        <w:t xml:space="preserve"> </w:t>
      </w:r>
      <w:r>
        <w:rPr>
          <w:color w:val="231F20"/>
          <w:sz w:val="20"/>
        </w:rPr>
        <w:t>Victims</w:t>
      </w:r>
      <w:r>
        <w:rPr>
          <w:color w:val="231F20"/>
          <w:spacing w:val="-4"/>
          <w:sz w:val="20"/>
        </w:rPr>
        <w:t xml:space="preserve"> </w:t>
      </w:r>
      <w:r>
        <w:rPr>
          <w:color w:val="231F20"/>
          <w:sz w:val="20"/>
        </w:rPr>
        <w:t>Of</w:t>
      </w:r>
      <w:r>
        <w:rPr>
          <w:color w:val="231F20"/>
          <w:spacing w:val="-5"/>
          <w:sz w:val="20"/>
        </w:rPr>
        <w:t xml:space="preserve"> </w:t>
      </w:r>
      <w:r>
        <w:rPr>
          <w:color w:val="231F20"/>
          <w:sz w:val="20"/>
        </w:rPr>
        <w:t>Crime’</w:t>
      </w:r>
      <w:r>
        <w:rPr>
          <w:color w:val="231F20"/>
          <w:spacing w:val="-5"/>
          <w:sz w:val="20"/>
        </w:rPr>
        <w:t xml:space="preserve"> </w:t>
      </w:r>
      <w:r>
        <w:rPr>
          <w:color w:val="231F20"/>
          <w:sz w:val="20"/>
        </w:rPr>
        <w:t>(Media</w:t>
      </w:r>
      <w:r>
        <w:rPr>
          <w:color w:val="231F20"/>
          <w:spacing w:val="-5"/>
          <w:sz w:val="20"/>
        </w:rPr>
        <w:t xml:space="preserve"> </w:t>
      </w:r>
      <w:r>
        <w:rPr>
          <w:color w:val="231F20"/>
          <w:sz w:val="20"/>
        </w:rPr>
        <w:t>Release,</w:t>
      </w:r>
      <w:r>
        <w:rPr>
          <w:color w:val="231F20"/>
          <w:spacing w:val="-5"/>
          <w:sz w:val="20"/>
        </w:rPr>
        <w:t xml:space="preserve"> </w:t>
      </w:r>
      <w:r>
        <w:rPr>
          <w:color w:val="231F20"/>
          <w:sz w:val="20"/>
        </w:rPr>
        <w:t>6</w:t>
      </w:r>
      <w:r>
        <w:rPr>
          <w:color w:val="231F20"/>
          <w:spacing w:val="-4"/>
          <w:sz w:val="20"/>
        </w:rPr>
        <w:t xml:space="preserve"> </w:t>
      </w:r>
      <w:r>
        <w:rPr>
          <w:color w:val="231F20"/>
          <w:sz w:val="20"/>
        </w:rPr>
        <w:t>April</w:t>
      </w:r>
      <w:r>
        <w:rPr>
          <w:color w:val="231F20"/>
          <w:spacing w:val="-5"/>
          <w:sz w:val="20"/>
        </w:rPr>
        <w:t xml:space="preserve"> </w:t>
      </w:r>
      <w:r>
        <w:rPr>
          <w:color w:val="231F20"/>
          <w:sz w:val="20"/>
        </w:rPr>
        <w:t>2022)</w:t>
      </w:r>
    </w:p>
    <w:p w14:paraId="0405CF75" w14:textId="77777777" w:rsidR="00894070" w:rsidRDefault="009B7AFD">
      <w:pPr>
        <w:pStyle w:val="BodyText"/>
        <w:spacing w:before="80" w:line="206" w:lineRule="auto"/>
        <w:ind w:left="1007" w:right="1469"/>
      </w:pPr>
      <w:r>
        <w:rPr>
          <w:color w:val="231F20"/>
        </w:rPr>
        <w:t xml:space="preserve">Nation, Maury et al, ‘What Works in Prevention: Principles of Effective Prevention Programs’ (2003) 58(6/7) </w:t>
      </w:r>
      <w:r>
        <w:rPr>
          <w:i/>
          <w:color w:val="231F20"/>
        </w:rPr>
        <w:t xml:space="preserve">American Psychologist </w:t>
      </w:r>
      <w:r>
        <w:rPr>
          <w:color w:val="231F20"/>
        </w:rPr>
        <w:t>449</w:t>
      </w:r>
    </w:p>
    <w:p w14:paraId="6DF47A71" w14:textId="77777777" w:rsidR="00894070" w:rsidRDefault="009B7AFD">
      <w:pPr>
        <w:spacing w:before="116" w:line="206" w:lineRule="auto"/>
        <w:ind w:left="1007" w:right="1259"/>
        <w:rPr>
          <w:sz w:val="20"/>
        </w:rPr>
      </w:pPr>
      <w:r>
        <w:rPr>
          <w:color w:val="231F20"/>
          <w:sz w:val="20"/>
        </w:rPr>
        <w:t xml:space="preserve">National Legal Aid, </w:t>
      </w:r>
      <w:r>
        <w:rPr>
          <w:i/>
          <w:color w:val="231F20"/>
          <w:sz w:val="20"/>
        </w:rPr>
        <w:t xml:space="preserve">Council of Attorneys-General—Age of Criminal Responsibility Working Group Review </w:t>
      </w:r>
      <w:r>
        <w:rPr>
          <w:color w:val="231F20"/>
          <w:sz w:val="20"/>
        </w:rPr>
        <w:t>(Submission, 28 February 2020)</w:t>
      </w:r>
    </w:p>
    <w:p w14:paraId="570A3111" w14:textId="77777777" w:rsidR="00894070" w:rsidRDefault="009B7AFD">
      <w:pPr>
        <w:spacing w:before="116" w:line="206" w:lineRule="auto"/>
        <w:ind w:left="1007" w:right="1100"/>
        <w:rPr>
          <w:sz w:val="20"/>
        </w:rPr>
      </w:pPr>
      <w:r>
        <w:rPr>
          <w:color w:val="231F20"/>
          <w:sz w:val="20"/>
        </w:rPr>
        <w:t xml:space="preserve">Newton, Nicola C and Kay Bussey, ‘The Age of Reason: An Examination of Psychosocial Factors Involved in Delinquent Behaviour’ (2012) 17(1) </w:t>
      </w:r>
      <w:r>
        <w:rPr>
          <w:i/>
          <w:color w:val="231F20"/>
          <w:sz w:val="20"/>
        </w:rPr>
        <w:t xml:space="preserve">Legal and Criminological Psychology </w:t>
      </w:r>
      <w:r>
        <w:rPr>
          <w:color w:val="231F20"/>
          <w:sz w:val="20"/>
        </w:rPr>
        <w:t>1</w:t>
      </w:r>
    </w:p>
    <w:p w14:paraId="3D09484C" w14:textId="77777777" w:rsidR="00894070" w:rsidRDefault="009B7AFD">
      <w:pPr>
        <w:pStyle w:val="BodyText"/>
        <w:spacing w:before="115" w:line="206" w:lineRule="auto"/>
        <w:ind w:left="1007" w:right="1219"/>
      </w:pPr>
      <w:r>
        <w:rPr>
          <w:color w:val="231F20"/>
        </w:rPr>
        <w:t xml:space="preserve">O’Brien, Wendy and Kate Fitz-Gibbon, ‘The Minimum Age of Criminal Responsibility in Victoria (Australia): Examining Stakeholders’ Views and the Need for Principled Reform’ (2017) 17(2) </w:t>
      </w:r>
      <w:r>
        <w:rPr>
          <w:i/>
          <w:color w:val="231F20"/>
        </w:rPr>
        <w:t xml:space="preserve">Youth Justice </w:t>
      </w:r>
      <w:r>
        <w:rPr>
          <w:color w:val="231F20"/>
        </w:rPr>
        <w:t>134</w:t>
      </w:r>
    </w:p>
    <w:p w14:paraId="28274D66" w14:textId="77777777" w:rsidR="00894070" w:rsidRDefault="009B7AFD">
      <w:pPr>
        <w:spacing w:before="118" w:line="206" w:lineRule="auto"/>
        <w:ind w:left="1007" w:right="1577"/>
        <w:rPr>
          <w:sz w:val="20"/>
        </w:rPr>
      </w:pPr>
      <w:r>
        <w:rPr>
          <w:color w:val="231F20"/>
          <w:sz w:val="20"/>
        </w:rPr>
        <w:t xml:space="preserve">Office of Public Prosecutions (Vic), </w:t>
      </w:r>
      <w:r>
        <w:rPr>
          <w:i/>
          <w:color w:val="231F20"/>
          <w:sz w:val="20"/>
        </w:rPr>
        <w:t xml:space="preserve">Witness Assistance Service: We Can Help You </w:t>
      </w:r>
      <w:r>
        <w:rPr>
          <w:color w:val="231F20"/>
          <w:sz w:val="20"/>
        </w:rPr>
        <w:t>(Brochure, 2014)</w:t>
      </w:r>
    </w:p>
    <w:p w14:paraId="06D107F7" w14:textId="77777777" w:rsidR="00894070" w:rsidRDefault="009B7AFD">
      <w:pPr>
        <w:pStyle w:val="BodyText"/>
        <w:spacing w:before="83"/>
        <w:ind w:left="1007"/>
      </w:pPr>
      <w:r>
        <w:rPr>
          <w:color w:val="231F20"/>
        </w:rPr>
        <w:t>Office of the eSafety Commissioner (Cth),</w:t>
      </w:r>
    </w:p>
    <w:p w14:paraId="1C2B5444" w14:textId="77777777" w:rsidR="00894070" w:rsidRDefault="009B7AFD">
      <w:pPr>
        <w:pStyle w:val="ListParagraph"/>
        <w:numPr>
          <w:ilvl w:val="0"/>
          <w:numId w:val="7"/>
        </w:numPr>
        <w:tabs>
          <w:tab w:val="left" w:pos="1347"/>
          <w:tab w:val="left" w:pos="1348"/>
        </w:tabs>
        <w:spacing w:before="76"/>
        <w:ind w:hanging="340"/>
        <w:rPr>
          <w:sz w:val="20"/>
        </w:rPr>
      </w:pPr>
      <w:r>
        <w:rPr>
          <w:i/>
          <w:color w:val="231F20"/>
          <w:sz w:val="20"/>
        </w:rPr>
        <w:t xml:space="preserve">Adult Cyber Abuse Scheme </w:t>
      </w:r>
      <w:r>
        <w:rPr>
          <w:color w:val="231F20"/>
          <w:sz w:val="20"/>
        </w:rPr>
        <w:t>(Regulatory Guidance No eSC RG 3, December</w:t>
      </w:r>
      <w:r>
        <w:rPr>
          <w:color w:val="231F20"/>
          <w:spacing w:val="-25"/>
          <w:sz w:val="20"/>
        </w:rPr>
        <w:t xml:space="preserve"> </w:t>
      </w:r>
      <w:r>
        <w:rPr>
          <w:color w:val="231F20"/>
          <w:sz w:val="20"/>
        </w:rPr>
        <w:t>2021)</w:t>
      </w:r>
    </w:p>
    <w:p w14:paraId="454C7DC2" w14:textId="77777777" w:rsidR="00894070" w:rsidRDefault="009B7AFD">
      <w:pPr>
        <w:pStyle w:val="ListParagraph"/>
        <w:numPr>
          <w:ilvl w:val="0"/>
          <w:numId w:val="7"/>
        </w:numPr>
        <w:tabs>
          <w:tab w:val="left" w:pos="1347"/>
          <w:tab w:val="left" w:pos="1348"/>
        </w:tabs>
        <w:spacing w:before="47"/>
        <w:ind w:hanging="340"/>
        <w:rPr>
          <w:sz w:val="20"/>
        </w:rPr>
      </w:pPr>
      <w:r>
        <w:rPr>
          <w:i/>
          <w:color w:val="231F20"/>
          <w:sz w:val="20"/>
        </w:rPr>
        <w:t xml:space="preserve">Adults’ Negative Online Experiences </w:t>
      </w:r>
      <w:r>
        <w:rPr>
          <w:color w:val="231F20"/>
          <w:sz w:val="20"/>
        </w:rPr>
        <w:t>(Report,</w:t>
      </w:r>
      <w:r>
        <w:rPr>
          <w:color w:val="231F20"/>
          <w:spacing w:val="-31"/>
          <w:sz w:val="20"/>
        </w:rPr>
        <w:t xml:space="preserve"> </w:t>
      </w:r>
      <w:r>
        <w:rPr>
          <w:color w:val="231F20"/>
          <w:spacing w:val="-3"/>
          <w:sz w:val="20"/>
        </w:rPr>
        <w:t>2020)</w:t>
      </w:r>
    </w:p>
    <w:p w14:paraId="22815924" w14:textId="77777777" w:rsidR="00894070" w:rsidRDefault="009B7AFD">
      <w:pPr>
        <w:pStyle w:val="ListParagraph"/>
        <w:numPr>
          <w:ilvl w:val="0"/>
          <w:numId w:val="7"/>
        </w:numPr>
        <w:tabs>
          <w:tab w:val="left" w:pos="1347"/>
          <w:tab w:val="left" w:pos="1348"/>
        </w:tabs>
        <w:spacing w:before="80" w:line="206" w:lineRule="auto"/>
        <w:ind w:right="1473" w:hanging="340"/>
        <w:rPr>
          <w:sz w:val="20"/>
        </w:rPr>
      </w:pPr>
      <w:r>
        <w:rPr>
          <w:color w:val="231F20"/>
          <w:sz w:val="20"/>
        </w:rPr>
        <w:t xml:space="preserve">‘Classroom </w:t>
      </w:r>
      <w:r>
        <w:rPr>
          <w:color w:val="231F20"/>
          <w:spacing w:val="-3"/>
          <w:sz w:val="20"/>
        </w:rPr>
        <w:t xml:space="preserve">Resources’, </w:t>
      </w:r>
      <w:r>
        <w:rPr>
          <w:i/>
          <w:color w:val="231F20"/>
          <w:sz w:val="20"/>
        </w:rPr>
        <w:t xml:space="preserve">ESafety Commissioner </w:t>
      </w:r>
      <w:r>
        <w:rPr>
          <w:color w:val="231F20"/>
          <w:sz w:val="20"/>
        </w:rPr>
        <w:t xml:space="preserve">(Web Page) </w:t>
      </w:r>
      <w:r>
        <w:rPr>
          <w:color w:val="231F20"/>
          <w:spacing w:val="-4"/>
          <w:sz w:val="20"/>
        </w:rPr>
        <w:t>&lt;</w:t>
      </w:r>
      <w:hyperlink r:id="rId279">
        <w:r>
          <w:rPr>
            <w:color w:val="231F20"/>
            <w:spacing w:val="-4"/>
            <w:sz w:val="20"/>
          </w:rPr>
          <w:t>https://www.esafety.gov.au/</w:t>
        </w:r>
      </w:hyperlink>
      <w:hyperlink r:id="rId280">
        <w:r>
          <w:rPr>
            <w:color w:val="231F20"/>
            <w:spacing w:val="-4"/>
            <w:sz w:val="20"/>
          </w:rPr>
          <w:t xml:space="preserve"> </w:t>
        </w:r>
        <w:r>
          <w:rPr>
            <w:color w:val="231F20"/>
            <w:sz w:val="20"/>
          </w:rPr>
          <w:t>educators/classroom-resources</w:t>
        </w:r>
      </w:hyperlink>
      <w:r>
        <w:rPr>
          <w:color w:val="231F20"/>
          <w:sz w:val="20"/>
        </w:rPr>
        <w:t>&gt;</w:t>
      </w:r>
    </w:p>
    <w:p w14:paraId="57456F80" w14:textId="77777777" w:rsidR="00894070" w:rsidRDefault="009B7AFD">
      <w:pPr>
        <w:pStyle w:val="ListParagraph"/>
        <w:numPr>
          <w:ilvl w:val="0"/>
          <w:numId w:val="7"/>
        </w:numPr>
        <w:tabs>
          <w:tab w:val="left" w:pos="1347"/>
          <w:tab w:val="left" w:pos="1348"/>
        </w:tabs>
        <w:spacing w:before="55"/>
        <w:ind w:hanging="340"/>
        <w:rPr>
          <w:sz w:val="20"/>
        </w:rPr>
      </w:pPr>
      <w:r>
        <w:rPr>
          <w:i/>
          <w:color w:val="231F20"/>
          <w:sz w:val="20"/>
        </w:rPr>
        <w:t xml:space="preserve">Cyberbullying Scheme </w:t>
      </w:r>
      <w:r>
        <w:rPr>
          <w:color w:val="231F20"/>
          <w:sz w:val="20"/>
        </w:rPr>
        <w:t>(Regulatory Guidance No eSC RG 1, November</w:t>
      </w:r>
      <w:r>
        <w:rPr>
          <w:color w:val="231F20"/>
          <w:spacing w:val="-22"/>
          <w:sz w:val="20"/>
        </w:rPr>
        <w:t xml:space="preserve"> </w:t>
      </w:r>
      <w:r>
        <w:rPr>
          <w:color w:val="231F20"/>
          <w:sz w:val="20"/>
        </w:rPr>
        <w:t>2021)</w:t>
      </w:r>
    </w:p>
    <w:p w14:paraId="1DD36EE6" w14:textId="77777777" w:rsidR="00894070" w:rsidRDefault="009B7AFD">
      <w:pPr>
        <w:pStyle w:val="ListParagraph"/>
        <w:numPr>
          <w:ilvl w:val="0"/>
          <w:numId w:val="7"/>
        </w:numPr>
        <w:tabs>
          <w:tab w:val="left" w:pos="1347"/>
          <w:tab w:val="left" w:pos="1348"/>
        </w:tabs>
        <w:spacing w:before="80" w:line="206" w:lineRule="auto"/>
        <w:ind w:right="1796" w:hanging="340"/>
        <w:rPr>
          <w:sz w:val="20"/>
        </w:rPr>
      </w:pPr>
      <w:r>
        <w:rPr>
          <w:color w:val="231F20"/>
          <w:sz w:val="20"/>
        </w:rPr>
        <w:t xml:space="preserve">‘Cyberstalking’, </w:t>
      </w:r>
      <w:r>
        <w:rPr>
          <w:i/>
          <w:color w:val="231F20"/>
          <w:sz w:val="20"/>
        </w:rPr>
        <w:t xml:space="preserve">ESafety Commissioner </w:t>
      </w:r>
      <w:r>
        <w:rPr>
          <w:color w:val="231F20"/>
          <w:sz w:val="20"/>
        </w:rPr>
        <w:t xml:space="preserve">(Web Page) </w:t>
      </w:r>
      <w:r>
        <w:rPr>
          <w:color w:val="231F20"/>
          <w:spacing w:val="-4"/>
          <w:sz w:val="20"/>
        </w:rPr>
        <w:t>&lt;</w:t>
      </w:r>
      <w:hyperlink r:id="rId281">
        <w:r>
          <w:rPr>
            <w:color w:val="231F20"/>
            <w:spacing w:val="-4"/>
            <w:sz w:val="20"/>
          </w:rPr>
          <w:t>https://www.esafety.gov.au/key-</w:t>
        </w:r>
      </w:hyperlink>
      <w:hyperlink r:id="rId282">
        <w:r>
          <w:rPr>
            <w:color w:val="231F20"/>
            <w:spacing w:val="-4"/>
            <w:sz w:val="20"/>
          </w:rPr>
          <w:t xml:space="preserve"> </w:t>
        </w:r>
        <w:r>
          <w:rPr>
            <w:color w:val="231F20"/>
            <w:sz w:val="20"/>
          </w:rPr>
          <w:t>issues/domestic-family-violence/technology-facilitated-abuse/cyberstalking</w:t>
        </w:r>
      </w:hyperlink>
      <w:r>
        <w:rPr>
          <w:color w:val="231F20"/>
          <w:sz w:val="20"/>
        </w:rPr>
        <w:t>&gt;</w:t>
      </w:r>
    </w:p>
    <w:p w14:paraId="53522886" w14:textId="77777777" w:rsidR="00894070" w:rsidRDefault="009B7AFD">
      <w:pPr>
        <w:pStyle w:val="ListParagraph"/>
        <w:numPr>
          <w:ilvl w:val="0"/>
          <w:numId w:val="7"/>
        </w:numPr>
        <w:tabs>
          <w:tab w:val="left" w:pos="1347"/>
          <w:tab w:val="left" w:pos="1348"/>
        </w:tabs>
        <w:spacing w:before="56"/>
        <w:ind w:hanging="340"/>
        <w:rPr>
          <w:sz w:val="20"/>
        </w:rPr>
      </w:pPr>
      <w:r>
        <w:rPr>
          <w:i/>
          <w:color w:val="231F20"/>
          <w:sz w:val="20"/>
        </w:rPr>
        <w:t xml:space="preserve">Digital Lives of Aussie </w:t>
      </w:r>
      <w:r>
        <w:rPr>
          <w:i/>
          <w:color w:val="231F20"/>
          <w:spacing w:val="-4"/>
          <w:sz w:val="20"/>
        </w:rPr>
        <w:t xml:space="preserve">Teens </w:t>
      </w:r>
      <w:r>
        <w:rPr>
          <w:color w:val="231F20"/>
          <w:sz w:val="20"/>
        </w:rPr>
        <w:t>(Report, February</w:t>
      </w:r>
      <w:r>
        <w:rPr>
          <w:color w:val="231F20"/>
          <w:spacing w:val="-11"/>
          <w:sz w:val="20"/>
        </w:rPr>
        <w:t xml:space="preserve"> </w:t>
      </w:r>
      <w:r>
        <w:rPr>
          <w:color w:val="231F20"/>
          <w:sz w:val="20"/>
        </w:rPr>
        <w:t>2021)</w:t>
      </w:r>
    </w:p>
    <w:p w14:paraId="11E974A6" w14:textId="77777777" w:rsidR="00894070" w:rsidRDefault="009B7AFD">
      <w:pPr>
        <w:pStyle w:val="ListParagraph"/>
        <w:numPr>
          <w:ilvl w:val="0"/>
          <w:numId w:val="7"/>
        </w:numPr>
        <w:tabs>
          <w:tab w:val="left" w:pos="1347"/>
          <w:tab w:val="left" w:pos="1348"/>
        </w:tabs>
        <w:spacing w:before="79" w:line="206" w:lineRule="auto"/>
        <w:ind w:right="1402" w:hanging="340"/>
        <w:rPr>
          <w:sz w:val="20"/>
        </w:rPr>
      </w:pPr>
      <w:r>
        <w:rPr>
          <w:color w:val="231F20"/>
          <w:sz w:val="20"/>
        </w:rPr>
        <w:t xml:space="preserve">‘Domestic and </w:t>
      </w:r>
      <w:r>
        <w:rPr>
          <w:color w:val="231F20"/>
          <w:spacing w:val="-4"/>
          <w:sz w:val="20"/>
        </w:rPr>
        <w:t xml:space="preserve">Family </w:t>
      </w:r>
      <w:r>
        <w:rPr>
          <w:color w:val="231F20"/>
          <w:spacing w:val="-3"/>
          <w:sz w:val="20"/>
        </w:rPr>
        <w:t xml:space="preserve">Violence’, </w:t>
      </w:r>
      <w:r>
        <w:rPr>
          <w:i/>
          <w:color w:val="231F20"/>
          <w:sz w:val="20"/>
        </w:rPr>
        <w:t xml:space="preserve">ESafety Commissioner </w:t>
      </w:r>
      <w:r>
        <w:rPr>
          <w:color w:val="231F20"/>
          <w:sz w:val="20"/>
        </w:rPr>
        <w:t xml:space="preserve">(Web Page) </w:t>
      </w:r>
      <w:r>
        <w:rPr>
          <w:color w:val="231F20"/>
          <w:spacing w:val="-4"/>
          <w:sz w:val="20"/>
        </w:rPr>
        <w:t>&lt;</w:t>
      </w:r>
      <w:hyperlink r:id="rId283">
        <w:r>
          <w:rPr>
            <w:color w:val="231F20"/>
            <w:spacing w:val="-4"/>
            <w:sz w:val="20"/>
          </w:rPr>
          <w:t>https://www.esafety.</w:t>
        </w:r>
      </w:hyperlink>
      <w:hyperlink r:id="rId284">
        <w:r>
          <w:rPr>
            <w:color w:val="231F20"/>
            <w:spacing w:val="-4"/>
            <w:sz w:val="20"/>
          </w:rPr>
          <w:t xml:space="preserve"> </w:t>
        </w:r>
        <w:r>
          <w:rPr>
            <w:color w:val="231F20"/>
            <w:spacing w:val="-3"/>
            <w:sz w:val="20"/>
          </w:rPr>
          <w:t>gov.au/key-issues/domestic-family-violence</w:t>
        </w:r>
      </w:hyperlink>
      <w:r>
        <w:rPr>
          <w:color w:val="231F20"/>
          <w:spacing w:val="-3"/>
          <w:sz w:val="20"/>
        </w:rPr>
        <w:t>&gt;</w:t>
      </w:r>
    </w:p>
    <w:p w14:paraId="442CC139" w14:textId="77777777" w:rsidR="00894070" w:rsidRDefault="00894070">
      <w:pPr>
        <w:pStyle w:val="BodyText"/>
        <w:spacing w:before="7"/>
      </w:pPr>
    </w:p>
    <w:p w14:paraId="03FD7509" w14:textId="77777777" w:rsidR="00894070" w:rsidRDefault="009B7AFD">
      <w:pPr>
        <w:pStyle w:val="Heading8"/>
        <w:spacing w:before="49"/>
        <w:ind w:left="140"/>
      </w:pPr>
      <w:r>
        <w:rPr>
          <w:color w:val="EA5B50"/>
        </w:rPr>
        <w:t>200</w:t>
      </w:r>
    </w:p>
    <w:p w14:paraId="2D7F9F21" w14:textId="77777777" w:rsidR="00894070" w:rsidRDefault="00894070">
      <w:pPr>
        <w:sectPr w:rsidR="00894070">
          <w:pgSz w:w="11910" w:h="16840"/>
          <w:pgMar w:top="860" w:right="420" w:bottom="280" w:left="580" w:header="567" w:footer="0" w:gutter="0"/>
          <w:cols w:space="720"/>
        </w:sectPr>
      </w:pPr>
    </w:p>
    <w:p w14:paraId="14088C0F" w14:textId="77777777" w:rsidR="00894070" w:rsidRDefault="00894070">
      <w:pPr>
        <w:pStyle w:val="BodyText"/>
        <w:rPr>
          <w:b/>
        </w:rPr>
      </w:pPr>
    </w:p>
    <w:p w14:paraId="26F1D179" w14:textId="77777777" w:rsidR="00894070" w:rsidRDefault="00894070">
      <w:pPr>
        <w:pStyle w:val="BodyText"/>
        <w:rPr>
          <w:b/>
        </w:rPr>
      </w:pPr>
    </w:p>
    <w:p w14:paraId="25FDE760" w14:textId="77777777" w:rsidR="00894070" w:rsidRDefault="00894070">
      <w:pPr>
        <w:pStyle w:val="BodyText"/>
        <w:rPr>
          <w:b/>
        </w:rPr>
      </w:pPr>
    </w:p>
    <w:p w14:paraId="18A20E3E" w14:textId="77777777" w:rsidR="00894070" w:rsidRDefault="00894070">
      <w:pPr>
        <w:pStyle w:val="BodyText"/>
        <w:spacing w:before="6"/>
        <w:rPr>
          <w:b/>
          <w:sz w:val="14"/>
        </w:rPr>
      </w:pPr>
    </w:p>
    <w:p w14:paraId="1C091520" w14:textId="77777777" w:rsidR="00894070" w:rsidRDefault="009B7AFD">
      <w:pPr>
        <w:pStyle w:val="ListParagraph"/>
        <w:numPr>
          <w:ilvl w:val="0"/>
          <w:numId w:val="6"/>
        </w:numPr>
        <w:tabs>
          <w:tab w:val="left" w:pos="1347"/>
          <w:tab w:val="left" w:pos="1348"/>
        </w:tabs>
        <w:spacing w:before="90" w:line="206" w:lineRule="auto"/>
        <w:ind w:right="1188" w:hanging="340"/>
        <w:rPr>
          <w:sz w:val="20"/>
        </w:rPr>
      </w:pPr>
      <w:r>
        <w:rPr>
          <w:i/>
          <w:color w:val="231F20"/>
          <w:sz w:val="20"/>
        </w:rPr>
        <w:t>ESafety</w:t>
      </w:r>
      <w:r>
        <w:rPr>
          <w:i/>
          <w:color w:val="231F20"/>
          <w:spacing w:val="-6"/>
          <w:sz w:val="20"/>
        </w:rPr>
        <w:t xml:space="preserve"> </w:t>
      </w:r>
      <w:r>
        <w:rPr>
          <w:i/>
          <w:color w:val="231F20"/>
          <w:sz w:val="20"/>
        </w:rPr>
        <w:t>for</w:t>
      </w:r>
      <w:r>
        <w:rPr>
          <w:i/>
          <w:color w:val="231F20"/>
          <w:spacing w:val="-6"/>
          <w:sz w:val="20"/>
        </w:rPr>
        <w:t xml:space="preserve"> </w:t>
      </w:r>
      <w:r>
        <w:rPr>
          <w:i/>
          <w:color w:val="231F20"/>
          <w:sz w:val="20"/>
        </w:rPr>
        <w:t>Women</w:t>
      </w:r>
      <w:r>
        <w:rPr>
          <w:i/>
          <w:color w:val="231F20"/>
          <w:spacing w:val="-5"/>
          <w:sz w:val="20"/>
        </w:rPr>
        <w:t xml:space="preserve"> </w:t>
      </w:r>
      <w:r>
        <w:rPr>
          <w:i/>
          <w:color w:val="231F20"/>
          <w:sz w:val="20"/>
        </w:rPr>
        <w:t>from</w:t>
      </w:r>
      <w:r>
        <w:rPr>
          <w:i/>
          <w:color w:val="231F20"/>
          <w:spacing w:val="-6"/>
          <w:sz w:val="20"/>
        </w:rPr>
        <w:t xml:space="preserve"> </w:t>
      </w:r>
      <w:r>
        <w:rPr>
          <w:i/>
          <w:color w:val="231F20"/>
          <w:spacing w:val="-3"/>
          <w:sz w:val="20"/>
        </w:rPr>
        <w:t>Culturally</w:t>
      </w:r>
      <w:r>
        <w:rPr>
          <w:i/>
          <w:color w:val="231F20"/>
          <w:spacing w:val="-6"/>
          <w:sz w:val="20"/>
        </w:rPr>
        <w:t xml:space="preserve"> </w:t>
      </w:r>
      <w:r>
        <w:rPr>
          <w:i/>
          <w:color w:val="231F20"/>
          <w:sz w:val="20"/>
        </w:rPr>
        <w:t>and</w:t>
      </w:r>
      <w:r>
        <w:rPr>
          <w:i/>
          <w:color w:val="231F20"/>
          <w:spacing w:val="-5"/>
          <w:sz w:val="20"/>
        </w:rPr>
        <w:t xml:space="preserve"> </w:t>
      </w:r>
      <w:r>
        <w:rPr>
          <w:i/>
          <w:color w:val="231F20"/>
          <w:sz w:val="20"/>
        </w:rPr>
        <w:t>Linguistically</w:t>
      </w:r>
      <w:r>
        <w:rPr>
          <w:i/>
          <w:color w:val="231F20"/>
          <w:spacing w:val="-6"/>
          <w:sz w:val="20"/>
        </w:rPr>
        <w:t xml:space="preserve"> </w:t>
      </w:r>
      <w:r>
        <w:rPr>
          <w:i/>
          <w:color w:val="231F20"/>
          <w:sz w:val="20"/>
        </w:rPr>
        <w:t>Diverse</w:t>
      </w:r>
      <w:r>
        <w:rPr>
          <w:i/>
          <w:color w:val="231F20"/>
          <w:spacing w:val="-6"/>
          <w:sz w:val="20"/>
        </w:rPr>
        <w:t xml:space="preserve"> </w:t>
      </w:r>
      <w:r>
        <w:rPr>
          <w:i/>
          <w:color w:val="231F20"/>
          <w:sz w:val="20"/>
        </w:rPr>
        <w:t>Backgrounds</w:t>
      </w:r>
      <w:r>
        <w:rPr>
          <w:i/>
          <w:color w:val="231F20"/>
          <w:spacing w:val="-4"/>
          <w:sz w:val="20"/>
        </w:rPr>
        <w:t xml:space="preserve"> </w:t>
      </w:r>
      <w:r>
        <w:rPr>
          <w:color w:val="231F20"/>
          <w:sz w:val="20"/>
        </w:rPr>
        <w:t>(Summary</w:t>
      </w:r>
      <w:r>
        <w:rPr>
          <w:color w:val="231F20"/>
          <w:spacing w:val="-7"/>
          <w:sz w:val="20"/>
        </w:rPr>
        <w:t xml:space="preserve"> </w:t>
      </w:r>
      <w:r>
        <w:rPr>
          <w:color w:val="231F20"/>
          <w:sz w:val="20"/>
        </w:rPr>
        <w:t>Report, 18 February</w:t>
      </w:r>
      <w:r>
        <w:rPr>
          <w:color w:val="231F20"/>
          <w:spacing w:val="-5"/>
          <w:sz w:val="20"/>
        </w:rPr>
        <w:t xml:space="preserve"> </w:t>
      </w:r>
      <w:r>
        <w:rPr>
          <w:color w:val="231F20"/>
          <w:sz w:val="20"/>
        </w:rPr>
        <w:t>2019)</w:t>
      </w:r>
    </w:p>
    <w:p w14:paraId="237C33BC" w14:textId="77777777" w:rsidR="00894070" w:rsidRDefault="009B7AFD">
      <w:pPr>
        <w:pStyle w:val="ListParagraph"/>
        <w:numPr>
          <w:ilvl w:val="0"/>
          <w:numId w:val="6"/>
        </w:numPr>
        <w:tabs>
          <w:tab w:val="left" w:pos="1347"/>
          <w:tab w:val="left" w:pos="1348"/>
        </w:tabs>
        <w:spacing w:before="55"/>
        <w:ind w:hanging="340"/>
        <w:rPr>
          <w:sz w:val="20"/>
        </w:rPr>
      </w:pPr>
      <w:r>
        <w:rPr>
          <w:i/>
          <w:color w:val="231F20"/>
          <w:sz w:val="20"/>
        </w:rPr>
        <w:t xml:space="preserve">Image-Based Abuse Scheme </w:t>
      </w:r>
      <w:r>
        <w:rPr>
          <w:color w:val="231F20"/>
          <w:sz w:val="20"/>
        </w:rPr>
        <w:t>(Regulatory Guidance No eSC RG 2, November</w:t>
      </w:r>
      <w:r>
        <w:rPr>
          <w:color w:val="231F20"/>
          <w:spacing w:val="-25"/>
          <w:sz w:val="20"/>
        </w:rPr>
        <w:t xml:space="preserve"> </w:t>
      </w:r>
      <w:r>
        <w:rPr>
          <w:color w:val="231F20"/>
          <w:sz w:val="20"/>
        </w:rPr>
        <w:t>2021)</w:t>
      </w:r>
    </w:p>
    <w:p w14:paraId="6ED9753B" w14:textId="77777777" w:rsidR="00894070" w:rsidRDefault="009B7AFD">
      <w:pPr>
        <w:pStyle w:val="ListParagraph"/>
        <w:numPr>
          <w:ilvl w:val="0"/>
          <w:numId w:val="6"/>
        </w:numPr>
        <w:tabs>
          <w:tab w:val="left" w:pos="1347"/>
          <w:tab w:val="left" w:pos="1348"/>
        </w:tabs>
        <w:spacing w:before="80" w:line="206" w:lineRule="auto"/>
        <w:ind w:right="1358" w:hanging="340"/>
        <w:rPr>
          <w:sz w:val="20"/>
        </w:rPr>
      </w:pPr>
      <w:r>
        <w:rPr>
          <w:i/>
          <w:color w:val="231F20"/>
          <w:sz w:val="20"/>
        </w:rPr>
        <w:t>Online</w:t>
      </w:r>
      <w:r>
        <w:rPr>
          <w:i/>
          <w:color w:val="231F20"/>
          <w:spacing w:val="-6"/>
          <w:sz w:val="20"/>
        </w:rPr>
        <w:t xml:space="preserve"> </w:t>
      </w:r>
      <w:r>
        <w:rPr>
          <w:i/>
          <w:color w:val="231F20"/>
          <w:sz w:val="20"/>
        </w:rPr>
        <w:t>Safety</w:t>
      </w:r>
      <w:r>
        <w:rPr>
          <w:i/>
          <w:color w:val="231F20"/>
          <w:spacing w:val="-6"/>
          <w:sz w:val="20"/>
        </w:rPr>
        <w:t xml:space="preserve"> </w:t>
      </w:r>
      <w:r>
        <w:rPr>
          <w:i/>
          <w:color w:val="231F20"/>
          <w:sz w:val="20"/>
        </w:rPr>
        <w:t>for</w:t>
      </w:r>
      <w:r>
        <w:rPr>
          <w:i/>
          <w:color w:val="231F20"/>
          <w:spacing w:val="-6"/>
          <w:sz w:val="20"/>
        </w:rPr>
        <w:t xml:space="preserve"> </w:t>
      </w:r>
      <w:r>
        <w:rPr>
          <w:i/>
          <w:color w:val="231F20"/>
          <w:sz w:val="20"/>
        </w:rPr>
        <w:t>Aboriginal</w:t>
      </w:r>
      <w:r>
        <w:rPr>
          <w:i/>
          <w:color w:val="231F20"/>
          <w:spacing w:val="-5"/>
          <w:sz w:val="20"/>
        </w:rPr>
        <w:t xml:space="preserve"> </w:t>
      </w:r>
      <w:r>
        <w:rPr>
          <w:i/>
          <w:color w:val="231F20"/>
          <w:sz w:val="20"/>
        </w:rPr>
        <w:t>and</w:t>
      </w:r>
      <w:r>
        <w:rPr>
          <w:i/>
          <w:color w:val="231F20"/>
          <w:spacing w:val="-6"/>
          <w:sz w:val="20"/>
        </w:rPr>
        <w:t xml:space="preserve"> </w:t>
      </w:r>
      <w:r>
        <w:rPr>
          <w:i/>
          <w:color w:val="231F20"/>
          <w:spacing w:val="-4"/>
          <w:sz w:val="20"/>
        </w:rPr>
        <w:t>Torres</w:t>
      </w:r>
      <w:r>
        <w:rPr>
          <w:i/>
          <w:color w:val="231F20"/>
          <w:spacing w:val="-6"/>
          <w:sz w:val="20"/>
        </w:rPr>
        <w:t xml:space="preserve"> </w:t>
      </w:r>
      <w:r>
        <w:rPr>
          <w:i/>
          <w:color w:val="231F20"/>
          <w:sz w:val="20"/>
        </w:rPr>
        <w:t>Strait</w:t>
      </w:r>
      <w:r>
        <w:rPr>
          <w:i/>
          <w:color w:val="231F20"/>
          <w:spacing w:val="-6"/>
          <w:sz w:val="20"/>
        </w:rPr>
        <w:t xml:space="preserve"> </w:t>
      </w:r>
      <w:r>
        <w:rPr>
          <w:i/>
          <w:color w:val="231F20"/>
          <w:sz w:val="20"/>
        </w:rPr>
        <w:t>Islander</w:t>
      </w:r>
      <w:r>
        <w:rPr>
          <w:i/>
          <w:color w:val="231F20"/>
          <w:spacing w:val="-5"/>
          <w:sz w:val="20"/>
        </w:rPr>
        <w:t xml:space="preserve"> </w:t>
      </w:r>
      <w:r>
        <w:rPr>
          <w:i/>
          <w:color w:val="231F20"/>
          <w:sz w:val="20"/>
        </w:rPr>
        <w:t>Women</w:t>
      </w:r>
      <w:r>
        <w:rPr>
          <w:i/>
          <w:color w:val="231F20"/>
          <w:spacing w:val="-6"/>
          <w:sz w:val="20"/>
        </w:rPr>
        <w:t xml:space="preserve"> </w:t>
      </w:r>
      <w:r>
        <w:rPr>
          <w:i/>
          <w:color w:val="231F20"/>
          <w:sz w:val="20"/>
        </w:rPr>
        <w:t>Living</w:t>
      </w:r>
      <w:r>
        <w:rPr>
          <w:i/>
          <w:color w:val="231F20"/>
          <w:spacing w:val="-6"/>
          <w:sz w:val="20"/>
        </w:rPr>
        <w:t xml:space="preserve"> </w:t>
      </w:r>
      <w:r>
        <w:rPr>
          <w:i/>
          <w:color w:val="231F20"/>
          <w:sz w:val="20"/>
        </w:rPr>
        <w:t>in</w:t>
      </w:r>
      <w:r>
        <w:rPr>
          <w:i/>
          <w:color w:val="231F20"/>
          <w:spacing w:val="-5"/>
          <w:sz w:val="20"/>
        </w:rPr>
        <w:t xml:space="preserve"> </w:t>
      </w:r>
      <w:r>
        <w:rPr>
          <w:i/>
          <w:color w:val="231F20"/>
          <w:sz w:val="20"/>
        </w:rPr>
        <w:t>Urban</w:t>
      </w:r>
      <w:r>
        <w:rPr>
          <w:i/>
          <w:color w:val="231F20"/>
          <w:spacing w:val="-6"/>
          <w:sz w:val="20"/>
        </w:rPr>
        <w:t xml:space="preserve"> </w:t>
      </w:r>
      <w:r>
        <w:rPr>
          <w:i/>
          <w:color w:val="231F20"/>
          <w:sz w:val="20"/>
        </w:rPr>
        <w:t>Areas</w:t>
      </w:r>
      <w:r>
        <w:rPr>
          <w:i/>
          <w:color w:val="231F20"/>
          <w:spacing w:val="-6"/>
          <w:sz w:val="20"/>
        </w:rPr>
        <w:t xml:space="preserve"> </w:t>
      </w:r>
      <w:r>
        <w:rPr>
          <w:color w:val="231F20"/>
          <w:sz w:val="20"/>
        </w:rPr>
        <w:t>(Report, October</w:t>
      </w:r>
      <w:r>
        <w:rPr>
          <w:color w:val="231F20"/>
          <w:spacing w:val="-3"/>
          <w:sz w:val="20"/>
        </w:rPr>
        <w:t xml:space="preserve"> </w:t>
      </w:r>
      <w:r>
        <w:rPr>
          <w:color w:val="231F20"/>
          <w:sz w:val="20"/>
        </w:rPr>
        <w:t>2019)</w:t>
      </w:r>
    </w:p>
    <w:p w14:paraId="277352A5" w14:textId="77777777" w:rsidR="00894070" w:rsidRDefault="009B7AFD">
      <w:pPr>
        <w:pStyle w:val="ListParagraph"/>
        <w:numPr>
          <w:ilvl w:val="0"/>
          <w:numId w:val="6"/>
        </w:numPr>
        <w:tabs>
          <w:tab w:val="left" w:pos="1347"/>
          <w:tab w:val="left" w:pos="1348"/>
        </w:tabs>
        <w:spacing w:before="88" w:line="206" w:lineRule="auto"/>
        <w:ind w:right="1386" w:hanging="340"/>
        <w:rPr>
          <w:sz w:val="20"/>
        </w:rPr>
      </w:pPr>
      <w:r>
        <w:rPr>
          <w:color w:val="231F20"/>
          <w:sz w:val="20"/>
        </w:rPr>
        <w:t>‘Online</w:t>
      </w:r>
      <w:r>
        <w:rPr>
          <w:color w:val="231F20"/>
          <w:spacing w:val="-6"/>
          <w:sz w:val="20"/>
        </w:rPr>
        <w:t xml:space="preserve"> </w:t>
      </w:r>
      <w:r>
        <w:rPr>
          <w:color w:val="231F20"/>
          <w:sz w:val="20"/>
        </w:rPr>
        <w:t>Safety</w:t>
      </w:r>
      <w:r>
        <w:rPr>
          <w:color w:val="231F20"/>
          <w:spacing w:val="-6"/>
          <w:sz w:val="20"/>
        </w:rPr>
        <w:t xml:space="preserve"> </w:t>
      </w:r>
      <w:r>
        <w:rPr>
          <w:color w:val="231F20"/>
          <w:sz w:val="20"/>
        </w:rPr>
        <w:t>Planning’,</w:t>
      </w:r>
      <w:r>
        <w:rPr>
          <w:color w:val="231F20"/>
          <w:spacing w:val="-6"/>
          <w:sz w:val="20"/>
        </w:rPr>
        <w:t xml:space="preserve"> </w:t>
      </w:r>
      <w:r>
        <w:rPr>
          <w:i/>
          <w:color w:val="231F20"/>
          <w:sz w:val="20"/>
        </w:rPr>
        <w:t>ESafety</w:t>
      </w:r>
      <w:r>
        <w:rPr>
          <w:i/>
          <w:color w:val="231F20"/>
          <w:spacing w:val="-6"/>
          <w:sz w:val="20"/>
        </w:rPr>
        <w:t xml:space="preserve"> </w:t>
      </w:r>
      <w:r>
        <w:rPr>
          <w:i/>
          <w:color w:val="231F20"/>
          <w:sz w:val="20"/>
        </w:rPr>
        <w:t>Commissioner</w:t>
      </w:r>
      <w:r>
        <w:rPr>
          <w:i/>
          <w:color w:val="231F20"/>
          <w:spacing w:val="-5"/>
          <w:sz w:val="20"/>
        </w:rPr>
        <w:t xml:space="preserve"> </w:t>
      </w:r>
      <w:r>
        <w:rPr>
          <w:color w:val="231F20"/>
          <w:sz w:val="20"/>
        </w:rPr>
        <w:t>(Web</w:t>
      </w:r>
      <w:r>
        <w:rPr>
          <w:color w:val="231F20"/>
          <w:spacing w:val="-5"/>
          <w:sz w:val="20"/>
        </w:rPr>
        <w:t xml:space="preserve"> </w:t>
      </w:r>
      <w:r>
        <w:rPr>
          <w:color w:val="231F20"/>
          <w:sz w:val="20"/>
        </w:rPr>
        <w:t>Page)</w:t>
      </w:r>
      <w:r>
        <w:rPr>
          <w:color w:val="231F20"/>
          <w:spacing w:val="-6"/>
          <w:sz w:val="20"/>
        </w:rPr>
        <w:t xml:space="preserve"> </w:t>
      </w:r>
      <w:r>
        <w:rPr>
          <w:color w:val="231F20"/>
          <w:spacing w:val="-4"/>
          <w:sz w:val="20"/>
        </w:rPr>
        <w:t>&lt;</w:t>
      </w:r>
      <w:hyperlink r:id="rId285">
        <w:r>
          <w:rPr>
            <w:color w:val="231F20"/>
            <w:spacing w:val="-4"/>
            <w:sz w:val="20"/>
          </w:rPr>
          <w:t>https://www.esafety.gov.au/</w:t>
        </w:r>
      </w:hyperlink>
      <w:hyperlink r:id="rId286">
        <w:r>
          <w:rPr>
            <w:color w:val="231F20"/>
            <w:spacing w:val="-4"/>
            <w:sz w:val="20"/>
          </w:rPr>
          <w:t xml:space="preserve"> </w:t>
        </w:r>
        <w:r>
          <w:rPr>
            <w:color w:val="231F20"/>
            <w:spacing w:val="-3"/>
            <w:sz w:val="20"/>
          </w:rPr>
          <w:t>key-issues/domestic-family-violence/onlineSafety-planning</w:t>
        </w:r>
      </w:hyperlink>
      <w:r>
        <w:rPr>
          <w:color w:val="231F20"/>
          <w:spacing w:val="-3"/>
          <w:sz w:val="20"/>
        </w:rPr>
        <w:t>&gt;</w:t>
      </w:r>
    </w:p>
    <w:p w14:paraId="0E364150" w14:textId="77777777" w:rsidR="00894070" w:rsidRDefault="009B7AFD">
      <w:pPr>
        <w:pStyle w:val="ListParagraph"/>
        <w:numPr>
          <w:ilvl w:val="0"/>
          <w:numId w:val="6"/>
        </w:numPr>
        <w:tabs>
          <w:tab w:val="left" w:pos="1347"/>
          <w:tab w:val="left" w:pos="1348"/>
        </w:tabs>
        <w:spacing w:before="55"/>
        <w:ind w:hanging="340"/>
        <w:rPr>
          <w:sz w:val="20"/>
        </w:rPr>
      </w:pPr>
      <w:r>
        <w:rPr>
          <w:i/>
          <w:color w:val="231F20"/>
          <w:sz w:val="20"/>
        </w:rPr>
        <w:t xml:space="preserve">Safety by Design </w:t>
      </w:r>
      <w:r>
        <w:rPr>
          <w:color w:val="231F20"/>
          <w:sz w:val="20"/>
        </w:rPr>
        <w:t>(Report,</w:t>
      </w:r>
      <w:r>
        <w:rPr>
          <w:color w:val="231F20"/>
          <w:spacing w:val="-8"/>
          <w:sz w:val="20"/>
        </w:rPr>
        <w:t xml:space="preserve"> </w:t>
      </w:r>
      <w:r>
        <w:rPr>
          <w:color w:val="231F20"/>
          <w:sz w:val="20"/>
        </w:rPr>
        <w:t>2019)</w:t>
      </w:r>
    </w:p>
    <w:p w14:paraId="52744479" w14:textId="77777777" w:rsidR="00894070" w:rsidRDefault="009B7AFD">
      <w:pPr>
        <w:pStyle w:val="ListParagraph"/>
        <w:numPr>
          <w:ilvl w:val="0"/>
          <w:numId w:val="6"/>
        </w:numPr>
        <w:tabs>
          <w:tab w:val="left" w:pos="1347"/>
          <w:tab w:val="left" w:pos="1348"/>
        </w:tabs>
        <w:spacing w:before="80" w:line="206" w:lineRule="auto"/>
        <w:ind w:right="1433" w:hanging="340"/>
        <w:rPr>
          <w:sz w:val="20"/>
        </w:rPr>
      </w:pPr>
      <w:r>
        <w:rPr>
          <w:i/>
          <w:color w:val="231F20"/>
          <w:sz w:val="20"/>
        </w:rPr>
        <w:t>Technology-Facilitated</w:t>
      </w:r>
      <w:r>
        <w:rPr>
          <w:i/>
          <w:color w:val="231F20"/>
          <w:spacing w:val="-10"/>
          <w:sz w:val="20"/>
        </w:rPr>
        <w:t xml:space="preserve"> </w:t>
      </w:r>
      <w:r>
        <w:rPr>
          <w:i/>
          <w:color w:val="231F20"/>
          <w:sz w:val="20"/>
        </w:rPr>
        <w:t>Abuse</w:t>
      </w:r>
      <w:r>
        <w:rPr>
          <w:i/>
          <w:color w:val="231F20"/>
          <w:spacing w:val="-9"/>
          <w:sz w:val="20"/>
        </w:rPr>
        <w:t xml:space="preserve"> </w:t>
      </w:r>
      <w:r>
        <w:rPr>
          <w:i/>
          <w:color w:val="231F20"/>
          <w:sz w:val="20"/>
        </w:rPr>
        <w:t>among</w:t>
      </w:r>
      <w:r>
        <w:rPr>
          <w:i/>
          <w:color w:val="231F20"/>
          <w:spacing w:val="-10"/>
          <w:sz w:val="20"/>
        </w:rPr>
        <w:t xml:space="preserve"> </w:t>
      </w:r>
      <w:r>
        <w:rPr>
          <w:i/>
          <w:color w:val="231F20"/>
          <w:sz w:val="20"/>
        </w:rPr>
        <w:t>Aboriginal</w:t>
      </w:r>
      <w:r>
        <w:rPr>
          <w:i/>
          <w:color w:val="231F20"/>
          <w:spacing w:val="-9"/>
          <w:sz w:val="20"/>
        </w:rPr>
        <w:t xml:space="preserve"> </w:t>
      </w:r>
      <w:r>
        <w:rPr>
          <w:i/>
          <w:color w:val="231F20"/>
          <w:sz w:val="20"/>
        </w:rPr>
        <w:t>and</w:t>
      </w:r>
      <w:r>
        <w:rPr>
          <w:i/>
          <w:color w:val="231F20"/>
          <w:spacing w:val="-9"/>
          <w:sz w:val="20"/>
        </w:rPr>
        <w:t xml:space="preserve"> </w:t>
      </w:r>
      <w:r>
        <w:rPr>
          <w:i/>
          <w:color w:val="231F20"/>
          <w:spacing w:val="-4"/>
          <w:sz w:val="20"/>
        </w:rPr>
        <w:t>Torres</w:t>
      </w:r>
      <w:r>
        <w:rPr>
          <w:i/>
          <w:color w:val="231F20"/>
          <w:spacing w:val="-10"/>
          <w:sz w:val="20"/>
        </w:rPr>
        <w:t xml:space="preserve"> </w:t>
      </w:r>
      <w:r>
        <w:rPr>
          <w:i/>
          <w:color w:val="231F20"/>
          <w:sz w:val="20"/>
        </w:rPr>
        <w:t>Strait</w:t>
      </w:r>
      <w:r>
        <w:rPr>
          <w:i/>
          <w:color w:val="231F20"/>
          <w:spacing w:val="-9"/>
          <w:sz w:val="20"/>
        </w:rPr>
        <w:t xml:space="preserve"> </w:t>
      </w:r>
      <w:r>
        <w:rPr>
          <w:i/>
          <w:color w:val="231F20"/>
          <w:sz w:val="20"/>
        </w:rPr>
        <w:t>Islander</w:t>
      </w:r>
      <w:r>
        <w:rPr>
          <w:i/>
          <w:color w:val="231F20"/>
          <w:spacing w:val="-10"/>
          <w:sz w:val="20"/>
        </w:rPr>
        <w:t xml:space="preserve"> </w:t>
      </w:r>
      <w:r>
        <w:rPr>
          <w:i/>
          <w:color w:val="231F20"/>
          <w:sz w:val="20"/>
        </w:rPr>
        <w:t>Women</w:t>
      </w:r>
      <w:r>
        <w:rPr>
          <w:i/>
          <w:color w:val="231F20"/>
          <w:spacing w:val="-9"/>
          <w:sz w:val="20"/>
        </w:rPr>
        <w:t xml:space="preserve"> </w:t>
      </w:r>
      <w:r>
        <w:rPr>
          <w:color w:val="231F20"/>
          <w:sz w:val="20"/>
        </w:rPr>
        <w:t>(Report, 2021)</w:t>
      </w:r>
    </w:p>
    <w:p w14:paraId="5173A874" w14:textId="77777777" w:rsidR="00894070" w:rsidRDefault="009B7AFD">
      <w:pPr>
        <w:pStyle w:val="ListParagraph"/>
        <w:numPr>
          <w:ilvl w:val="0"/>
          <w:numId w:val="6"/>
        </w:numPr>
        <w:tabs>
          <w:tab w:val="left" w:pos="1347"/>
          <w:tab w:val="left" w:pos="1348"/>
        </w:tabs>
        <w:spacing w:before="55"/>
        <w:ind w:hanging="340"/>
        <w:rPr>
          <w:sz w:val="20"/>
        </w:rPr>
      </w:pPr>
      <w:r>
        <w:rPr>
          <w:i/>
          <w:color w:val="231F20"/>
          <w:sz w:val="20"/>
        </w:rPr>
        <w:t>Technology-Facilitated</w:t>
      </w:r>
      <w:r>
        <w:rPr>
          <w:i/>
          <w:color w:val="231F20"/>
          <w:spacing w:val="-5"/>
          <w:sz w:val="20"/>
        </w:rPr>
        <w:t xml:space="preserve"> </w:t>
      </w:r>
      <w:r>
        <w:rPr>
          <w:i/>
          <w:color w:val="231F20"/>
          <w:sz w:val="20"/>
        </w:rPr>
        <w:t>Abuse</w:t>
      </w:r>
      <w:r>
        <w:rPr>
          <w:i/>
          <w:color w:val="231F20"/>
          <w:spacing w:val="-5"/>
          <w:sz w:val="20"/>
        </w:rPr>
        <w:t xml:space="preserve"> </w:t>
      </w:r>
      <w:r>
        <w:rPr>
          <w:i/>
          <w:color w:val="231F20"/>
          <w:sz w:val="20"/>
        </w:rPr>
        <w:t>of</w:t>
      </w:r>
      <w:r>
        <w:rPr>
          <w:i/>
          <w:color w:val="231F20"/>
          <w:spacing w:val="-5"/>
          <w:sz w:val="20"/>
        </w:rPr>
        <w:t xml:space="preserve"> </w:t>
      </w:r>
      <w:r>
        <w:rPr>
          <w:i/>
          <w:color w:val="231F20"/>
          <w:sz w:val="20"/>
        </w:rPr>
        <w:t>Women</w:t>
      </w:r>
      <w:r>
        <w:rPr>
          <w:i/>
          <w:color w:val="231F20"/>
          <w:spacing w:val="-4"/>
          <w:sz w:val="20"/>
        </w:rPr>
        <w:t xml:space="preserve"> </w:t>
      </w:r>
      <w:r>
        <w:rPr>
          <w:i/>
          <w:color w:val="231F20"/>
          <w:sz w:val="20"/>
        </w:rPr>
        <w:t>with</w:t>
      </w:r>
      <w:r>
        <w:rPr>
          <w:i/>
          <w:color w:val="231F20"/>
          <w:spacing w:val="-5"/>
          <w:sz w:val="20"/>
        </w:rPr>
        <w:t xml:space="preserve"> </w:t>
      </w:r>
      <w:r>
        <w:rPr>
          <w:i/>
          <w:color w:val="231F20"/>
          <w:sz w:val="20"/>
        </w:rPr>
        <w:t>Intellectual</w:t>
      </w:r>
      <w:r>
        <w:rPr>
          <w:i/>
          <w:color w:val="231F20"/>
          <w:spacing w:val="-5"/>
          <w:sz w:val="20"/>
        </w:rPr>
        <w:t xml:space="preserve"> </w:t>
      </w:r>
      <w:r>
        <w:rPr>
          <w:i/>
          <w:color w:val="231F20"/>
          <w:sz w:val="20"/>
        </w:rPr>
        <w:t>or</w:t>
      </w:r>
      <w:r>
        <w:rPr>
          <w:i/>
          <w:color w:val="231F20"/>
          <w:spacing w:val="-5"/>
          <w:sz w:val="20"/>
        </w:rPr>
        <w:t xml:space="preserve"> </w:t>
      </w:r>
      <w:r>
        <w:rPr>
          <w:i/>
          <w:color w:val="231F20"/>
          <w:sz w:val="20"/>
        </w:rPr>
        <w:t>Cognitive</w:t>
      </w:r>
      <w:r>
        <w:rPr>
          <w:i/>
          <w:color w:val="231F20"/>
          <w:spacing w:val="-4"/>
          <w:sz w:val="20"/>
        </w:rPr>
        <w:t xml:space="preserve"> </w:t>
      </w:r>
      <w:r>
        <w:rPr>
          <w:i/>
          <w:color w:val="231F20"/>
          <w:sz w:val="20"/>
        </w:rPr>
        <w:t>Disability</w:t>
      </w:r>
      <w:r>
        <w:rPr>
          <w:i/>
          <w:color w:val="231F20"/>
          <w:spacing w:val="-4"/>
          <w:sz w:val="20"/>
        </w:rPr>
        <w:t xml:space="preserve"> </w:t>
      </w:r>
      <w:r>
        <w:rPr>
          <w:color w:val="231F20"/>
          <w:sz w:val="20"/>
        </w:rPr>
        <w:t>(Report,</w:t>
      </w:r>
      <w:r>
        <w:rPr>
          <w:color w:val="231F20"/>
          <w:spacing w:val="-5"/>
          <w:sz w:val="20"/>
        </w:rPr>
        <w:t xml:space="preserve"> </w:t>
      </w:r>
      <w:r>
        <w:rPr>
          <w:color w:val="231F20"/>
          <w:sz w:val="20"/>
        </w:rPr>
        <w:t>2021)</w:t>
      </w:r>
    </w:p>
    <w:p w14:paraId="5D124374" w14:textId="77777777" w:rsidR="00894070" w:rsidRDefault="009B7AFD">
      <w:pPr>
        <w:pStyle w:val="ListParagraph"/>
        <w:numPr>
          <w:ilvl w:val="0"/>
          <w:numId w:val="6"/>
        </w:numPr>
        <w:tabs>
          <w:tab w:val="left" w:pos="1347"/>
          <w:tab w:val="left" w:pos="1348"/>
        </w:tabs>
        <w:spacing w:before="80" w:line="206" w:lineRule="auto"/>
        <w:ind w:right="1202" w:hanging="340"/>
        <w:rPr>
          <w:sz w:val="20"/>
        </w:rPr>
      </w:pPr>
      <w:r>
        <w:rPr>
          <w:color w:val="231F20"/>
          <w:sz w:val="20"/>
        </w:rPr>
        <w:t>‘What</w:t>
      </w:r>
      <w:r>
        <w:rPr>
          <w:color w:val="231F20"/>
          <w:spacing w:val="-5"/>
          <w:sz w:val="20"/>
        </w:rPr>
        <w:t xml:space="preserve"> </w:t>
      </w:r>
      <w:r>
        <w:rPr>
          <w:color w:val="231F20"/>
          <w:spacing w:val="-6"/>
          <w:sz w:val="20"/>
        </w:rPr>
        <w:t>You</w:t>
      </w:r>
      <w:r>
        <w:rPr>
          <w:color w:val="231F20"/>
          <w:spacing w:val="-5"/>
          <w:sz w:val="20"/>
        </w:rPr>
        <w:t xml:space="preserve"> </w:t>
      </w:r>
      <w:r>
        <w:rPr>
          <w:color w:val="231F20"/>
          <w:sz w:val="20"/>
        </w:rPr>
        <w:t>Can</w:t>
      </w:r>
      <w:r>
        <w:rPr>
          <w:color w:val="231F20"/>
          <w:spacing w:val="-4"/>
          <w:sz w:val="20"/>
        </w:rPr>
        <w:t xml:space="preserve"> </w:t>
      </w:r>
      <w:r>
        <w:rPr>
          <w:color w:val="231F20"/>
          <w:sz w:val="20"/>
        </w:rPr>
        <w:t>Report</w:t>
      </w:r>
      <w:r>
        <w:rPr>
          <w:color w:val="231F20"/>
          <w:spacing w:val="-5"/>
          <w:sz w:val="20"/>
        </w:rPr>
        <w:t xml:space="preserve"> </w:t>
      </w:r>
      <w:r>
        <w:rPr>
          <w:color w:val="231F20"/>
          <w:sz w:val="20"/>
        </w:rPr>
        <w:t>to</w:t>
      </w:r>
      <w:r>
        <w:rPr>
          <w:color w:val="231F20"/>
          <w:spacing w:val="-5"/>
          <w:sz w:val="20"/>
        </w:rPr>
        <w:t xml:space="preserve"> </w:t>
      </w:r>
      <w:r>
        <w:rPr>
          <w:color w:val="231F20"/>
          <w:sz w:val="20"/>
        </w:rPr>
        <w:t>ESafety’,</w:t>
      </w:r>
      <w:r>
        <w:rPr>
          <w:color w:val="231F20"/>
          <w:spacing w:val="-4"/>
          <w:sz w:val="20"/>
        </w:rPr>
        <w:t xml:space="preserve"> </w:t>
      </w:r>
      <w:r>
        <w:rPr>
          <w:i/>
          <w:color w:val="231F20"/>
          <w:sz w:val="20"/>
        </w:rPr>
        <w:t>ESafety</w:t>
      </w:r>
      <w:r>
        <w:rPr>
          <w:i/>
          <w:color w:val="231F20"/>
          <w:spacing w:val="-5"/>
          <w:sz w:val="20"/>
        </w:rPr>
        <w:t xml:space="preserve"> </w:t>
      </w:r>
      <w:r>
        <w:rPr>
          <w:i/>
          <w:color w:val="231F20"/>
          <w:sz w:val="20"/>
        </w:rPr>
        <w:t>Commissioner</w:t>
      </w:r>
      <w:r>
        <w:rPr>
          <w:i/>
          <w:color w:val="231F20"/>
          <w:spacing w:val="-3"/>
          <w:sz w:val="20"/>
        </w:rPr>
        <w:t xml:space="preserve"> </w:t>
      </w:r>
      <w:r>
        <w:rPr>
          <w:color w:val="231F20"/>
          <w:sz w:val="20"/>
        </w:rPr>
        <w:t>(Web</w:t>
      </w:r>
      <w:r>
        <w:rPr>
          <w:color w:val="231F20"/>
          <w:spacing w:val="-5"/>
          <w:sz w:val="20"/>
        </w:rPr>
        <w:t xml:space="preserve"> </w:t>
      </w:r>
      <w:r>
        <w:rPr>
          <w:color w:val="231F20"/>
          <w:sz w:val="20"/>
        </w:rPr>
        <w:t>Page)</w:t>
      </w:r>
      <w:r>
        <w:rPr>
          <w:color w:val="231F20"/>
          <w:spacing w:val="-4"/>
          <w:sz w:val="20"/>
        </w:rPr>
        <w:t xml:space="preserve"> &lt;</w:t>
      </w:r>
      <w:hyperlink r:id="rId287">
        <w:r>
          <w:rPr>
            <w:color w:val="231F20"/>
            <w:spacing w:val="-4"/>
            <w:sz w:val="20"/>
          </w:rPr>
          <w:t>https://www.esafety.</w:t>
        </w:r>
      </w:hyperlink>
      <w:hyperlink r:id="rId288">
        <w:r>
          <w:rPr>
            <w:color w:val="231F20"/>
            <w:spacing w:val="-4"/>
            <w:sz w:val="20"/>
          </w:rPr>
          <w:t xml:space="preserve"> </w:t>
        </w:r>
        <w:r>
          <w:rPr>
            <w:color w:val="231F20"/>
            <w:sz w:val="20"/>
          </w:rPr>
          <w:t>gov.au/report/what-you-can-report-to-esafety</w:t>
        </w:r>
      </w:hyperlink>
      <w:r>
        <w:rPr>
          <w:color w:val="231F20"/>
          <w:sz w:val="20"/>
        </w:rPr>
        <w:t>&gt;</w:t>
      </w:r>
    </w:p>
    <w:p w14:paraId="20B2A6C3" w14:textId="77777777" w:rsidR="00894070" w:rsidRDefault="009B7AFD">
      <w:pPr>
        <w:spacing w:before="87" w:line="206" w:lineRule="auto"/>
        <w:ind w:left="1007" w:right="1143"/>
        <w:rPr>
          <w:sz w:val="20"/>
        </w:rPr>
      </w:pPr>
      <w:r>
        <w:rPr>
          <w:color w:val="231F20"/>
          <w:sz w:val="20"/>
        </w:rPr>
        <w:t xml:space="preserve">Office of the Family Violence Reform Implementation Monitor, </w:t>
      </w:r>
      <w:r>
        <w:rPr>
          <w:i/>
          <w:color w:val="231F20"/>
          <w:sz w:val="20"/>
        </w:rPr>
        <w:t xml:space="preserve">Monitoring Victoria’s Family Violence Reforms: Accurate Identification of the Predominant Aggressor </w:t>
      </w:r>
      <w:r>
        <w:rPr>
          <w:color w:val="231F20"/>
          <w:sz w:val="20"/>
        </w:rPr>
        <w:t>(Report, December 2021)</w:t>
      </w:r>
    </w:p>
    <w:p w14:paraId="00B456B8" w14:textId="77777777" w:rsidR="00894070" w:rsidRDefault="009B7AFD">
      <w:pPr>
        <w:pStyle w:val="BodyText"/>
        <w:spacing w:line="248" w:lineRule="exact"/>
        <w:ind w:left="1007"/>
      </w:pPr>
      <w:r>
        <w:rPr>
          <w:color w:val="231F20"/>
        </w:rPr>
        <w:t>&lt;</w:t>
      </w:r>
      <w:hyperlink r:id="rId289">
        <w:r>
          <w:rPr>
            <w:color w:val="231F20"/>
          </w:rPr>
          <w:t>www.fvrim.vic.gov.au</w:t>
        </w:r>
      </w:hyperlink>
      <w:r>
        <w:rPr>
          <w:color w:val="231F20"/>
        </w:rPr>
        <w:t>&gt;</w:t>
      </w:r>
    </w:p>
    <w:p w14:paraId="216F7616" w14:textId="77777777" w:rsidR="00894070" w:rsidRDefault="009B7AFD">
      <w:pPr>
        <w:spacing w:before="108" w:line="206" w:lineRule="auto"/>
        <w:ind w:left="1007" w:right="1118"/>
        <w:rPr>
          <w:sz w:val="20"/>
        </w:rPr>
      </w:pPr>
      <w:r>
        <w:rPr>
          <w:color w:val="231F20"/>
          <w:sz w:val="20"/>
        </w:rPr>
        <w:t xml:space="preserve">Ogilvie, Emma, </w:t>
      </w:r>
      <w:r>
        <w:rPr>
          <w:i/>
          <w:color w:val="231F20"/>
          <w:sz w:val="20"/>
        </w:rPr>
        <w:t xml:space="preserve">Stalking: Legislation, Policing and Prosecution Patterns in Australia </w:t>
      </w:r>
      <w:r>
        <w:rPr>
          <w:color w:val="231F20"/>
          <w:sz w:val="20"/>
        </w:rPr>
        <w:t>(Research and Public Policy Series Report No 34, Australian Institute of Criminology, 2000)</w:t>
      </w:r>
    </w:p>
    <w:p w14:paraId="4C11E809" w14:textId="77777777" w:rsidR="00894070" w:rsidRDefault="009B7AFD">
      <w:pPr>
        <w:spacing w:before="84"/>
        <w:ind w:left="1007"/>
        <w:rPr>
          <w:sz w:val="20"/>
        </w:rPr>
      </w:pPr>
      <w:r>
        <w:rPr>
          <w:color w:val="231F20"/>
          <w:sz w:val="20"/>
        </w:rPr>
        <w:t xml:space="preserve">Ostermeyer, Britta et al, ‘Stalking and Violence’ (2016) 39(4) </w:t>
      </w:r>
      <w:r>
        <w:rPr>
          <w:i/>
          <w:color w:val="231F20"/>
          <w:sz w:val="20"/>
        </w:rPr>
        <w:t xml:space="preserve">Psychiatric Clinics </w:t>
      </w:r>
      <w:r>
        <w:rPr>
          <w:color w:val="231F20"/>
          <w:sz w:val="20"/>
        </w:rPr>
        <w:t>663</w:t>
      </w:r>
    </w:p>
    <w:p w14:paraId="65FF6F88" w14:textId="77777777" w:rsidR="00894070" w:rsidRDefault="009B7AFD">
      <w:pPr>
        <w:pStyle w:val="BodyText"/>
        <w:spacing w:before="76" w:line="259" w:lineRule="exact"/>
        <w:ind w:left="1007"/>
      </w:pPr>
      <w:r>
        <w:rPr>
          <w:color w:val="231F20"/>
        </w:rPr>
        <w:t xml:space="preserve">Paladin Service, </w:t>
      </w:r>
      <w:r>
        <w:rPr>
          <w:i/>
          <w:color w:val="231F20"/>
        </w:rPr>
        <w:t xml:space="preserve">Paladin Vision </w:t>
      </w:r>
      <w:r>
        <w:rPr>
          <w:color w:val="231F20"/>
        </w:rPr>
        <w:t>(Web Page, 2022) &lt;</w:t>
      </w:r>
      <w:hyperlink r:id="rId290">
        <w:r>
          <w:rPr>
            <w:color w:val="231F20"/>
          </w:rPr>
          <w:t>https://www.paladinservice.co.uk/our-</w:t>
        </w:r>
      </w:hyperlink>
    </w:p>
    <w:p w14:paraId="136696DD" w14:textId="77777777" w:rsidR="00894070" w:rsidRDefault="009F6793">
      <w:pPr>
        <w:pStyle w:val="BodyText"/>
        <w:spacing w:line="259" w:lineRule="exact"/>
        <w:ind w:left="1007"/>
      </w:pPr>
      <w:hyperlink r:id="rId291">
        <w:r w:rsidR="009B7AFD">
          <w:rPr>
            <w:color w:val="231F20"/>
          </w:rPr>
          <w:t>mission</w:t>
        </w:r>
      </w:hyperlink>
      <w:r w:rsidR="009B7AFD">
        <w:rPr>
          <w:color w:val="231F20"/>
        </w:rPr>
        <w:t>&gt;</w:t>
      </w:r>
    </w:p>
    <w:p w14:paraId="61B669AF" w14:textId="77777777" w:rsidR="00894070" w:rsidRDefault="009B7AFD">
      <w:pPr>
        <w:spacing w:before="108" w:line="206" w:lineRule="auto"/>
        <w:ind w:left="1007" w:right="1232"/>
        <w:rPr>
          <w:sz w:val="20"/>
        </w:rPr>
      </w:pPr>
      <w:r>
        <w:rPr>
          <w:color w:val="231F20"/>
          <w:sz w:val="20"/>
        </w:rPr>
        <w:t xml:space="preserve">Parkinson, Patrick, </w:t>
      </w:r>
      <w:r>
        <w:rPr>
          <w:i/>
          <w:color w:val="231F20"/>
          <w:sz w:val="20"/>
        </w:rPr>
        <w:t xml:space="preserve">Specialist Prosecution Units and Courts: A Review of the Literature </w:t>
      </w:r>
      <w:r>
        <w:rPr>
          <w:color w:val="231F20"/>
          <w:sz w:val="20"/>
        </w:rPr>
        <w:t>(Report for the Royal Commission into Institutional Responses to Child Sexual Abuse, March 2016)</w:t>
      </w:r>
    </w:p>
    <w:p w14:paraId="2E0150C4" w14:textId="77777777" w:rsidR="00894070" w:rsidRDefault="009B7AFD">
      <w:pPr>
        <w:spacing w:before="116" w:line="206" w:lineRule="auto"/>
        <w:ind w:left="1007" w:right="1215"/>
        <w:rPr>
          <w:sz w:val="20"/>
        </w:rPr>
      </w:pPr>
      <w:r>
        <w:rPr>
          <w:color w:val="231F20"/>
          <w:sz w:val="20"/>
        </w:rPr>
        <w:t xml:space="preserve">‘Parole Conditions’, </w:t>
      </w:r>
      <w:r>
        <w:rPr>
          <w:i/>
          <w:color w:val="231F20"/>
          <w:sz w:val="20"/>
        </w:rPr>
        <w:t xml:space="preserve">Adult Parole Board Victoria </w:t>
      </w:r>
      <w:r>
        <w:rPr>
          <w:color w:val="231F20"/>
          <w:sz w:val="20"/>
        </w:rPr>
        <w:t xml:space="preserve">(Web Page) </w:t>
      </w:r>
      <w:r>
        <w:rPr>
          <w:color w:val="231F20"/>
          <w:spacing w:val="-3"/>
          <w:sz w:val="20"/>
        </w:rPr>
        <w:t>&lt;</w:t>
      </w:r>
      <w:hyperlink r:id="rId292">
        <w:r>
          <w:rPr>
            <w:color w:val="231F20"/>
            <w:spacing w:val="-3"/>
            <w:sz w:val="20"/>
          </w:rPr>
          <w:t>https://www.adultparoleboard.vic.</w:t>
        </w:r>
      </w:hyperlink>
      <w:r>
        <w:rPr>
          <w:color w:val="231F20"/>
          <w:spacing w:val="-3"/>
          <w:sz w:val="20"/>
        </w:rPr>
        <w:t xml:space="preserve"> </w:t>
      </w:r>
      <w:hyperlink r:id="rId293">
        <w:r>
          <w:rPr>
            <w:color w:val="231F20"/>
            <w:sz w:val="20"/>
          </w:rPr>
          <w:t>gov.au/parole-process/parole-conditions</w:t>
        </w:r>
      </w:hyperlink>
      <w:r>
        <w:rPr>
          <w:color w:val="231F20"/>
          <w:sz w:val="20"/>
        </w:rPr>
        <w:t>&gt;</w:t>
      </w:r>
    </w:p>
    <w:p w14:paraId="03844227" w14:textId="77777777" w:rsidR="00894070" w:rsidRDefault="009B7AFD">
      <w:pPr>
        <w:pStyle w:val="BodyText"/>
        <w:spacing w:before="83" w:line="259" w:lineRule="exact"/>
        <w:ind w:left="1007"/>
      </w:pPr>
      <w:r>
        <w:rPr>
          <w:color w:val="231F20"/>
        </w:rPr>
        <w:t>Pathé, Michele and Paul E Mullen, ‘The Impact of Stalkers on Their Victims’ (1997) 170(1)</w:t>
      </w:r>
    </w:p>
    <w:p w14:paraId="03EA8892" w14:textId="77777777" w:rsidR="00894070" w:rsidRDefault="009B7AFD">
      <w:pPr>
        <w:spacing w:line="259" w:lineRule="exact"/>
        <w:ind w:left="1007"/>
        <w:rPr>
          <w:sz w:val="20"/>
        </w:rPr>
      </w:pPr>
      <w:r>
        <w:rPr>
          <w:i/>
          <w:color w:val="231F20"/>
          <w:sz w:val="20"/>
        </w:rPr>
        <w:t xml:space="preserve">The British Journal of Psychiatry </w:t>
      </w:r>
      <w:r>
        <w:rPr>
          <w:color w:val="231F20"/>
          <w:sz w:val="20"/>
        </w:rPr>
        <w:t>12</w:t>
      </w:r>
    </w:p>
    <w:p w14:paraId="5785F792" w14:textId="77777777" w:rsidR="00894070" w:rsidRDefault="009B7AFD">
      <w:pPr>
        <w:pStyle w:val="BodyText"/>
        <w:spacing w:before="108" w:line="206" w:lineRule="auto"/>
        <w:ind w:left="1007" w:right="1542"/>
      </w:pPr>
      <w:r>
        <w:rPr>
          <w:color w:val="231F20"/>
        </w:rPr>
        <w:t xml:space="preserve">Plan International, </w:t>
      </w:r>
      <w:r>
        <w:rPr>
          <w:i/>
          <w:color w:val="231F20"/>
          <w:spacing w:val="-3"/>
        </w:rPr>
        <w:t xml:space="preserve">Free to </w:t>
      </w:r>
      <w:r>
        <w:rPr>
          <w:i/>
          <w:color w:val="231F20"/>
        </w:rPr>
        <w:t xml:space="preserve">Be Online </w:t>
      </w:r>
      <w:r>
        <w:rPr>
          <w:color w:val="231F20"/>
        </w:rPr>
        <w:t xml:space="preserve">(Report, </w:t>
      </w:r>
      <w:r>
        <w:rPr>
          <w:color w:val="231F20"/>
          <w:spacing w:val="-3"/>
        </w:rPr>
        <w:t xml:space="preserve">2020) </w:t>
      </w:r>
      <w:r>
        <w:rPr>
          <w:color w:val="231F20"/>
        </w:rPr>
        <w:t>&lt;</w:t>
      </w:r>
      <w:hyperlink r:id="rId294">
        <w:r>
          <w:rPr>
            <w:color w:val="231F20"/>
          </w:rPr>
          <w:t>https://www.plan.org.au/publications/</w:t>
        </w:r>
      </w:hyperlink>
      <w:r>
        <w:rPr>
          <w:color w:val="231F20"/>
        </w:rPr>
        <w:t xml:space="preserve"> </w:t>
      </w:r>
      <w:hyperlink r:id="rId295">
        <w:r>
          <w:rPr>
            <w:color w:val="231F20"/>
          </w:rPr>
          <w:t>free-to-be-online/</w:t>
        </w:r>
      </w:hyperlink>
      <w:r>
        <w:rPr>
          <w:color w:val="231F20"/>
        </w:rPr>
        <w:t>&gt;</w:t>
      </w:r>
    </w:p>
    <w:p w14:paraId="49776E29" w14:textId="77777777" w:rsidR="00894070" w:rsidRDefault="009B7AFD">
      <w:pPr>
        <w:pStyle w:val="BodyText"/>
        <w:spacing w:before="116" w:line="206" w:lineRule="auto"/>
        <w:ind w:left="1007" w:right="2057"/>
      </w:pPr>
      <w:r>
        <w:rPr>
          <w:color w:val="231F20"/>
        </w:rPr>
        <w:t xml:space="preserve">Powell, Anastasia, Adrian J Scott and Nicola Henry, ‘Digital Harassment and Abuse: Experiences of Sexuality and Gender Minority Adults’ (2020) 17(2) </w:t>
      </w:r>
      <w:r>
        <w:rPr>
          <w:i/>
          <w:color w:val="231F20"/>
        </w:rPr>
        <w:t xml:space="preserve">European Journal of Criminology </w:t>
      </w:r>
      <w:r>
        <w:rPr>
          <w:color w:val="231F20"/>
        </w:rPr>
        <w:t>199</w:t>
      </w:r>
    </w:p>
    <w:p w14:paraId="05C9F7BC" w14:textId="77777777" w:rsidR="00894070" w:rsidRDefault="009B7AFD">
      <w:pPr>
        <w:spacing w:before="117" w:line="206" w:lineRule="auto"/>
        <w:ind w:left="1007" w:right="1245"/>
        <w:rPr>
          <w:sz w:val="20"/>
        </w:rPr>
      </w:pPr>
      <w:r>
        <w:rPr>
          <w:color w:val="231F20"/>
          <w:sz w:val="20"/>
        </w:rPr>
        <w:t xml:space="preserve">Purcell, Rosemary and Troy McEwan, ‘Treatment Approaches for Stalking’ in Jane L Ireland, Carol A Ireland and Philip Birch (eds), </w:t>
      </w:r>
      <w:r>
        <w:rPr>
          <w:i/>
          <w:color w:val="231F20"/>
          <w:sz w:val="20"/>
        </w:rPr>
        <w:t xml:space="preserve">Violent and Sexual Offenders: Assessment, Treatment and Management </w:t>
      </w:r>
      <w:r>
        <w:rPr>
          <w:color w:val="231F20"/>
          <w:sz w:val="20"/>
        </w:rPr>
        <w:t>(Routledge, 2nd ed, 2018) 400</w:t>
      </w:r>
    </w:p>
    <w:p w14:paraId="30319CCC" w14:textId="77777777" w:rsidR="00894070" w:rsidRDefault="009B7AFD">
      <w:pPr>
        <w:spacing w:before="85"/>
        <w:ind w:left="1007"/>
        <w:rPr>
          <w:sz w:val="20"/>
        </w:rPr>
      </w:pPr>
      <w:r>
        <w:rPr>
          <w:color w:val="231F20"/>
          <w:sz w:val="20"/>
        </w:rPr>
        <w:t xml:space="preserve">Purcell, Rosemary et al, ‘Stalking among Juveniles’ (2009) 194(5) </w:t>
      </w:r>
      <w:r>
        <w:rPr>
          <w:i/>
          <w:color w:val="231F20"/>
          <w:sz w:val="20"/>
        </w:rPr>
        <w:t xml:space="preserve">British Journal of Psychiatry </w:t>
      </w:r>
      <w:r>
        <w:rPr>
          <w:color w:val="231F20"/>
          <w:sz w:val="20"/>
        </w:rPr>
        <w:t>451</w:t>
      </w:r>
    </w:p>
    <w:p w14:paraId="7A590C1B" w14:textId="77777777" w:rsidR="00894070" w:rsidRDefault="009B7AFD">
      <w:pPr>
        <w:spacing w:before="108" w:line="206" w:lineRule="auto"/>
        <w:ind w:left="1007" w:right="1401"/>
        <w:rPr>
          <w:sz w:val="20"/>
        </w:rPr>
      </w:pPr>
      <w:r>
        <w:rPr>
          <w:color w:val="231F20"/>
          <w:sz w:val="20"/>
        </w:rPr>
        <w:t xml:space="preserve">Purcell, Rosemary, Teresa Flower and Paul E Mullen, </w:t>
      </w:r>
      <w:r>
        <w:rPr>
          <w:i/>
          <w:color w:val="231F20"/>
          <w:sz w:val="20"/>
        </w:rPr>
        <w:t xml:space="preserve">Adolescent Stalking: Offence Characteristics and Effectiveness of Criminal Justice Interventions </w:t>
      </w:r>
      <w:r>
        <w:rPr>
          <w:color w:val="231F20"/>
          <w:sz w:val="20"/>
        </w:rPr>
        <w:t>(Final Report to Criminology Research Council, November 2008)</w:t>
      </w:r>
    </w:p>
    <w:p w14:paraId="45326B62" w14:textId="77777777" w:rsidR="00894070" w:rsidRDefault="009B7AFD">
      <w:pPr>
        <w:pStyle w:val="BodyText"/>
        <w:spacing w:before="118" w:line="206" w:lineRule="auto"/>
        <w:ind w:left="1007" w:right="1412"/>
      </w:pPr>
      <w:r>
        <w:rPr>
          <w:color w:val="231F20"/>
        </w:rPr>
        <w:t xml:space="preserve">‘Recorded </w:t>
      </w:r>
      <w:r>
        <w:rPr>
          <w:color w:val="231F20"/>
          <w:spacing w:val="-3"/>
        </w:rPr>
        <w:t xml:space="preserve">Offences’, </w:t>
      </w:r>
      <w:r>
        <w:rPr>
          <w:i/>
          <w:color w:val="231F20"/>
        </w:rPr>
        <w:t xml:space="preserve">Crime Statistics Agency (Vic) </w:t>
      </w:r>
      <w:r>
        <w:rPr>
          <w:color w:val="231F20"/>
        </w:rPr>
        <w:t xml:space="preserve">(Web Page, March 2022) </w:t>
      </w:r>
      <w:r>
        <w:rPr>
          <w:color w:val="231F20"/>
          <w:spacing w:val="-5"/>
        </w:rPr>
        <w:t>&lt;</w:t>
      </w:r>
      <w:hyperlink r:id="rId296">
        <w:r>
          <w:rPr>
            <w:color w:val="231F20"/>
            <w:spacing w:val="-5"/>
          </w:rPr>
          <w:t>https://www.</w:t>
        </w:r>
      </w:hyperlink>
      <w:r>
        <w:rPr>
          <w:color w:val="231F20"/>
          <w:spacing w:val="-5"/>
        </w:rPr>
        <w:t xml:space="preserve"> </w:t>
      </w:r>
      <w:hyperlink r:id="rId297">
        <w:r>
          <w:rPr>
            <w:color w:val="231F20"/>
            <w:spacing w:val="-2"/>
          </w:rPr>
          <w:t>crimestatistics.vic.gov.au/crime-statistics/latest-victorian-crime-data/recorded-offences-2</w:t>
        </w:r>
      </w:hyperlink>
      <w:r>
        <w:rPr>
          <w:color w:val="231F20"/>
          <w:spacing w:val="-2"/>
        </w:rPr>
        <w:t>&gt;</w:t>
      </w:r>
    </w:p>
    <w:p w14:paraId="3A4E66F1" w14:textId="77777777" w:rsidR="00894070" w:rsidRDefault="009B7AFD">
      <w:pPr>
        <w:pStyle w:val="BodyText"/>
        <w:spacing w:before="116" w:line="206" w:lineRule="auto"/>
        <w:ind w:left="1007" w:right="1300"/>
      </w:pPr>
      <w:r>
        <w:rPr>
          <w:color w:val="231F20"/>
        </w:rPr>
        <w:t xml:space="preserve">‘Recorded </w:t>
      </w:r>
      <w:r>
        <w:rPr>
          <w:color w:val="231F20"/>
          <w:spacing w:val="-3"/>
        </w:rPr>
        <w:t xml:space="preserve">Offences’, </w:t>
      </w:r>
      <w:r>
        <w:rPr>
          <w:i/>
          <w:color w:val="231F20"/>
        </w:rPr>
        <w:t xml:space="preserve">Crime Statistics Agency (Vic) </w:t>
      </w:r>
      <w:r>
        <w:rPr>
          <w:color w:val="231F20"/>
        </w:rPr>
        <w:t xml:space="preserve">(Web Page, September </w:t>
      </w:r>
      <w:r>
        <w:rPr>
          <w:color w:val="231F20"/>
          <w:spacing w:val="-3"/>
        </w:rPr>
        <w:t xml:space="preserve">2020) </w:t>
      </w:r>
      <w:r>
        <w:rPr>
          <w:color w:val="231F20"/>
          <w:spacing w:val="-5"/>
        </w:rPr>
        <w:t>&lt;</w:t>
      </w:r>
      <w:hyperlink r:id="rId298">
        <w:r>
          <w:rPr>
            <w:color w:val="231F20"/>
            <w:spacing w:val="-5"/>
          </w:rPr>
          <w:t>https://www.</w:t>
        </w:r>
      </w:hyperlink>
      <w:r>
        <w:rPr>
          <w:color w:val="231F20"/>
          <w:spacing w:val="-5"/>
        </w:rPr>
        <w:t xml:space="preserve"> </w:t>
      </w:r>
      <w:hyperlink r:id="rId299">
        <w:r>
          <w:rPr>
            <w:color w:val="231F20"/>
            <w:spacing w:val="-1"/>
          </w:rPr>
          <w:t>crimestatistics.vic.gov.au/crime-statistics/latest-victorian-crime-data/recorded-offences-2</w:t>
        </w:r>
      </w:hyperlink>
      <w:r>
        <w:rPr>
          <w:color w:val="231F20"/>
          <w:spacing w:val="-1"/>
        </w:rPr>
        <w:t>&gt;</w:t>
      </w:r>
    </w:p>
    <w:p w14:paraId="6CD00B4F" w14:textId="77777777" w:rsidR="00894070" w:rsidRDefault="009B7AFD">
      <w:pPr>
        <w:pStyle w:val="BodyText"/>
        <w:spacing w:before="83" w:line="259" w:lineRule="exact"/>
        <w:ind w:left="1007"/>
      </w:pPr>
      <w:r>
        <w:rPr>
          <w:color w:val="231F20"/>
        </w:rPr>
        <w:t>Reyns, Bradford W and Bonnie S Fisher, ‘The Relationship Between Offline and Online Stalking</w:t>
      </w:r>
    </w:p>
    <w:p w14:paraId="044EB4CA" w14:textId="77777777" w:rsidR="00894070" w:rsidRDefault="009B7AFD">
      <w:pPr>
        <w:spacing w:line="259" w:lineRule="exact"/>
        <w:ind w:left="1007"/>
        <w:rPr>
          <w:sz w:val="20"/>
        </w:rPr>
      </w:pPr>
      <w:r>
        <w:rPr>
          <w:color w:val="231F20"/>
          <w:sz w:val="20"/>
        </w:rPr>
        <w:t xml:space="preserve">Victimization: A Gender-Specific Analysis’ (2018) 33(4) </w:t>
      </w:r>
      <w:r>
        <w:rPr>
          <w:i/>
          <w:color w:val="231F20"/>
          <w:sz w:val="20"/>
        </w:rPr>
        <w:t xml:space="preserve">Violence and Victims </w:t>
      </w:r>
      <w:r>
        <w:rPr>
          <w:color w:val="231F20"/>
          <w:sz w:val="20"/>
        </w:rPr>
        <w:t>769</w:t>
      </w:r>
    </w:p>
    <w:p w14:paraId="5A7A49D3" w14:textId="77777777" w:rsidR="00894070" w:rsidRDefault="00894070">
      <w:pPr>
        <w:pStyle w:val="BodyText"/>
      </w:pPr>
    </w:p>
    <w:p w14:paraId="206F1672" w14:textId="77777777" w:rsidR="00894070" w:rsidRDefault="00894070">
      <w:pPr>
        <w:pStyle w:val="BodyText"/>
      </w:pPr>
    </w:p>
    <w:p w14:paraId="60BCD161" w14:textId="77777777" w:rsidR="00894070" w:rsidRDefault="00894070">
      <w:pPr>
        <w:pStyle w:val="BodyText"/>
        <w:spacing w:before="10"/>
        <w:rPr>
          <w:sz w:val="24"/>
        </w:rPr>
      </w:pPr>
    </w:p>
    <w:p w14:paraId="46B95865" w14:textId="77777777" w:rsidR="00894070" w:rsidRDefault="009B7AFD">
      <w:pPr>
        <w:pStyle w:val="Heading8"/>
        <w:spacing w:before="49"/>
        <w:ind w:right="172"/>
        <w:jc w:val="right"/>
      </w:pPr>
      <w:r>
        <w:rPr>
          <w:color w:val="EA5B50"/>
        </w:rPr>
        <w:t>201</w:t>
      </w:r>
    </w:p>
    <w:p w14:paraId="4F80F295" w14:textId="77777777" w:rsidR="00894070" w:rsidRDefault="00894070">
      <w:pPr>
        <w:jc w:val="right"/>
        <w:sectPr w:rsidR="00894070">
          <w:pgSz w:w="11910" w:h="16840"/>
          <w:pgMar w:top="840" w:right="420" w:bottom="280" w:left="580" w:header="0" w:footer="0" w:gutter="0"/>
          <w:cols w:space="720"/>
        </w:sectPr>
      </w:pPr>
    </w:p>
    <w:p w14:paraId="20E71A71" w14:textId="77777777" w:rsidR="00894070" w:rsidRDefault="00894070">
      <w:pPr>
        <w:pStyle w:val="BodyText"/>
        <w:rPr>
          <w:b/>
        </w:rPr>
      </w:pPr>
    </w:p>
    <w:p w14:paraId="5CEE327F" w14:textId="77777777" w:rsidR="00894070" w:rsidRDefault="00894070">
      <w:pPr>
        <w:pStyle w:val="BodyText"/>
        <w:rPr>
          <w:b/>
        </w:rPr>
      </w:pPr>
    </w:p>
    <w:p w14:paraId="39141CFC" w14:textId="77777777" w:rsidR="00894070" w:rsidRDefault="00894070">
      <w:pPr>
        <w:pStyle w:val="BodyText"/>
        <w:rPr>
          <w:b/>
        </w:rPr>
      </w:pPr>
    </w:p>
    <w:p w14:paraId="53A8CA22" w14:textId="77777777" w:rsidR="00894070" w:rsidRDefault="00894070">
      <w:pPr>
        <w:pStyle w:val="BodyText"/>
        <w:spacing w:before="5"/>
        <w:rPr>
          <w:b/>
          <w:sz w:val="14"/>
        </w:rPr>
      </w:pPr>
    </w:p>
    <w:p w14:paraId="0D5F6B59" w14:textId="77777777" w:rsidR="00894070" w:rsidRDefault="009B7AFD">
      <w:pPr>
        <w:pStyle w:val="BodyText"/>
        <w:spacing w:before="58"/>
        <w:ind w:left="1007"/>
      </w:pPr>
      <w:r>
        <w:rPr>
          <w:color w:val="231F20"/>
        </w:rPr>
        <w:t>Reyns, Bradford W and Christine M Englebrecht,</w:t>
      </w:r>
    </w:p>
    <w:p w14:paraId="20A5E583" w14:textId="77777777" w:rsidR="00894070" w:rsidRDefault="009B7AFD">
      <w:pPr>
        <w:pStyle w:val="ListParagraph"/>
        <w:numPr>
          <w:ilvl w:val="0"/>
          <w:numId w:val="5"/>
        </w:numPr>
        <w:tabs>
          <w:tab w:val="left" w:pos="1347"/>
          <w:tab w:val="left" w:pos="1348"/>
        </w:tabs>
        <w:spacing w:before="108" w:line="206" w:lineRule="auto"/>
        <w:ind w:right="1179" w:hanging="340"/>
        <w:rPr>
          <w:sz w:val="20"/>
        </w:rPr>
      </w:pPr>
      <w:r>
        <w:rPr>
          <w:color w:val="231F20"/>
          <w:sz w:val="20"/>
        </w:rPr>
        <w:t>‘Informal</w:t>
      </w:r>
      <w:r>
        <w:rPr>
          <w:color w:val="231F20"/>
          <w:spacing w:val="-5"/>
          <w:sz w:val="20"/>
        </w:rPr>
        <w:t xml:space="preserve"> </w:t>
      </w:r>
      <w:r>
        <w:rPr>
          <w:color w:val="231F20"/>
          <w:sz w:val="20"/>
        </w:rPr>
        <w:t>and</w:t>
      </w:r>
      <w:r>
        <w:rPr>
          <w:color w:val="231F20"/>
          <w:spacing w:val="-4"/>
          <w:sz w:val="20"/>
        </w:rPr>
        <w:t xml:space="preserve"> </w:t>
      </w:r>
      <w:r>
        <w:rPr>
          <w:color w:val="231F20"/>
          <w:sz w:val="20"/>
        </w:rPr>
        <w:t>Formal</w:t>
      </w:r>
      <w:r>
        <w:rPr>
          <w:color w:val="231F20"/>
          <w:spacing w:val="-4"/>
          <w:sz w:val="20"/>
        </w:rPr>
        <w:t xml:space="preserve"> </w:t>
      </w:r>
      <w:r>
        <w:rPr>
          <w:color w:val="231F20"/>
          <w:sz w:val="20"/>
        </w:rPr>
        <w:t>Help-Seeking</w:t>
      </w:r>
      <w:r>
        <w:rPr>
          <w:color w:val="231F20"/>
          <w:spacing w:val="-4"/>
          <w:sz w:val="20"/>
        </w:rPr>
        <w:t xml:space="preserve"> </w:t>
      </w:r>
      <w:r>
        <w:rPr>
          <w:color w:val="231F20"/>
          <w:sz w:val="20"/>
        </w:rPr>
        <w:t>Decisions</w:t>
      </w:r>
      <w:r>
        <w:rPr>
          <w:color w:val="231F20"/>
          <w:spacing w:val="-4"/>
          <w:sz w:val="20"/>
        </w:rPr>
        <w:t xml:space="preserve"> </w:t>
      </w:r>
      <w:r>
        <w:rPr>
          <w:color w:val="231F20"/>
          <w:sz w:val="20"/>
        </w:rPr>
        <w:t>of</w:t>
      </w:r>
      <w:r>
        <w:rPr>
          <w:color w:val="231F20"/>
          <w:spacing w:val="-5"/>
          <w:sz w:val="20"/>
        </w:rPr>
        <w:t xml:space="preserve"> </w:t>
      </w:r>
      <w:r>
        <w:rPr>
          <w:color w:val="231F20"/>
          <w:sz w:val="20"/>
        </w:rPr>
        <w:t>Stalking</w:t>
      </w:r>
      <w:r>
        <w:rPr>
          <w:color w:val="231F20"/>
          <w:spacing w:val="-4"/>
          <w:sz w:val="20"/>
        </w:rPr>
        <w:t xml:space="preserve"> </w:t>
      </w:r>
      <w:r>
        <w:rPr>
          <w:color w:val="231F20"/>
          <w:sz w:val="20"/>
        </w:rPr>
        <w:t>Victims</w:t>
      </w:r>
      <w:r>
        <w:rPr>
          <w:color w:val="231F20"/>
          <w:spacing w:val="-4"/>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United</w:t>
      </w:r>
      <w:r>
        <w:rPr>
          <w:color w:val="231F20"/>
          <w:spacing w:val="-4"/>
          <w:sz w:val="20"/>
        </w:rPr>
        <w:t xml:space="preserve"> </w:t>
      </w:r>
      <w:r>
        <w:rPr>
          <w:color w:val="231F20"/>
          <w:spacing w:val="-3"/>
          <w:sz w:val="20"/>
        </w:rPr>
        <w:t>States’</w:t>
      </w:r>
      <w:r>
        <w:rPr>
          <w:color w:val="231F20"/>
          <w:spacing w:val="-5"/>
          <w:sz w:val="20"/>
        </w:rPr>
        <w:t xml:space="preserve"> </w:t>
      </w:r>
      <w:r>
        <w:rPr>
          <w:color w:val="231F20"/>
          <w:sz w:val="20"/>
        </w:rPr>
        <w:t xml:space="preserve">(2014) </w:t>
      </w:r>
      <w:r>
        <w:rPr>
          <w:color w:val="231F20"/>
          <w:spacing w:val="-3"/>
          <w:sz w:val="20"/>
        </w:rPr>
        <w:t xml:space="preserve">41(10) </w:t>
      </w:r>
      <w:r>
        <w:rPr>
          <w:i/>
          <w:color w:val="231F20"/>
          <w:sz w:val="20"/>
        </w:rPr>
        <w:t>Criminal Justice and Behavior</w:t>
      </w:r>
      <w:r>
        <w:rPr>
          <w:i/>
          <w:color w:val="231F20"/>
          <w:spacing w:val="-8"/>
          <w:sz w:val="20"/>
        </w:rPr>
        <w:t xml:space="preserve"> </w:t>
      </w:r>
      <w:r>
        <w:rPr>
          <w:color w:val="231F20"/>
          <w:sz w:val="20"/>
        </w:rPr>
        <w:t>1178</w:t>
      </w:r>
    </w:p>
    <w:p w14:paraId="1762A490" w14:textId="77777777" w:rsidR="00894070" w:rsidRDefault="009B7AFD">
      <w:pPr>
        <w:pStyle w:val="ListParagraph"/>
        <w:numPr>
          <w:ilvl w:val="0"/>
          <w:numId w:val="5"/>
        </w:numPr>
        <w:tabs>
          <w:tab w:val="left" w:pos="1347"/>
          <w:tab w:val="left" w:pos="1348"/>
        </w:tabs>
        <w:spacing w:before="87" w:line="206" w:lineRule="auto"/>
        <w:ind w:right="1460" w:hanging="340"/>
        <w:rPr>
          <w:sz w:val="20"/>
        </w:rPr>
      </w:pPr>
      <w:r>
        <w:rPr>
          <w:color w:val="231F20"/>
          <w:sz w:val="20"/>
        </w:rPr>
        <w:t xml:space="preserve">‘The Stalking Victim’s Decision to Contact the Police: A </w:t>
      </w:r>
      <w:r>
        <w:rPr>
          <w:color w:val="231F20"/>
          <w:spacing w:val="-5"/>
          <w:sz w:val="20"/>
        </w:rPr>
        <w:t xml:space="preserve">Test </w:t>
      </w:r>
      <w:r>
        <w:rPr>
          <w:color w:val="231F20"/>
          <w:sz w:val="20"/>
        </w:rPr>
        <w:t>of Gottfredson and Gottfredson’s</w:t>
      </w:r>
      <w:r>
        <w:rPr>
          <w:color w:val="231F20"/>
          <w:spacing w:val="-5"/>
          <w:sz w:val="20"/>
        </w:rPr>
        <w:t xml:space="preserve"> </w:t>
      </w:r>
      <w:r>
        <w:rPr>
          <w:color w:val="231F20"/>
          <w:sz w:val="20"/>
        </w:rPr>
        <w:t>Theory</w:t>
      </w:r>
      <w:r>
        <w:rPr>
          <w:color w:val="231F20"/>
          <w:spacing w:val="-4"/>
          <w:sz w:val="20"/>
        </w:rPr>
        <w:t xml:space="preserve"> </w:t>
      </w:r>
      <w:r>
        <w:rPr>
          <w:color w:val="231F20"/>
          <w:sz w:val="20"/>
        </w:rPr>
        <w:t>of</w:t>
      </w:r>
      <w:r>
        <w:rPr>
          <w:color w:val="231F20"/>
          <w:spacing w:val="-4"/>
          <w:sz w:val="20"/>
        </w:rPr>
        <w:t xml:space="preserve"> </w:t>
      </w:r>
      <w:r>
        <w:rPr>
          <w:color w:val="231F20"/>
          <w:sz w:val="20"/>
        </w:rPr>
        <w:t>Criminal</w:t>
      </w:r>
      <w:r>
        <w:rPr>
          <w:color w:val="231F20"/>
          <w:spacing w:val="-4"/>
          <w:sz w:val="20"/>
        </w:rPr>
        <w:t xml:space="preserve"> </w:t>
      </w:r>
      <w:r>
        <w:rPr>
          <w:color w:val="231F20"/>
          <w:sz w:val="20"/>
        </w:rPr>
        <w:t>Justice</w:t>
      </w:r>
      <w:r>
        <w:rPr>
          <w:color w:val="231F20"/>
          <w:spacing w:val="-4"/>
          <w:sz w:val="20"/>
        </w:rPr>
        <w:t xml:space="preserve"> </w:t>
      </w:r>
      <w:r>
        <w:rPr>
          <w:color w:val="231F20"/>
          <w:sz w:val="20"/>
        </w:rPr>
        <w:t>Decision</w:t>
      </w:r>
      <w:r>
        <w:rPr>
          <w:color w:val="231F20"/>
          <w:spacing w:val="-4"/>
          <w:sz w:val="20"/>
        </w:rPr>
        <w:t xml:space="preserve"> </w:t>
      </w:r>
      <w:r>
        <w:rPr>
          <w:color w:val="231F20"/>
          <w:sz w:val="20"/>
        </w:rPr>
        <w:t>Making’</w:t>
      </w:r>
      <w:r>
        <w:rPr>
          <w:color w:val="231F20"/>
          <w:spacing w:val="-4"/>
          <w:sz w:val="20"/>
        </w:rPr>
        <w:t xml:space="preserve"> </w:t>
      </w:r>
      <w:r>
        <w:rPr>
          <w:color w:val="231F20"/>
          <w:spacing w:val="-3"/>
          <w:sz w:val="20"/>
        </w:rPr>
        <w:t>(2010)</w:t>
      </w:r>
      <w:r>
        <w:rPr>
          <w:color w:val="231F20"/>
          <w:spacing w:val="-4"/>
          <w:sz w:val="20"/>
        </w:rPr>
        <w:t xml:space="preserve"> </w:t>
      </w:r>
      <w:r>
        <w:rPr>
          <w:color w:val="231F20"/>
          <w:sz w:val="20"/>
        </w:rPr>
        <w:t>38(5)</w:t>
      </w:r>
      <w:r>
        <w:rPr>
          <w:color w:val="231F20"/>
          <w:spacing w:val="-5"/>
          <w:sz w:val="20"/>
        </w:rPr>
        <w:t xml:space="preserve"> </w:t>
      </w:r>
      <w:r>
        <w:rPr>
          <w:i/>
          <w:color w:val="231F20"/>
          <w:sz w:val="20"/>
        </w:rPr>
        <w:t>Journal</w:t>
      </w:r>
      <w:r>
        <w:rPr>
          <w:i/>
          <w:color w:val="231F20"/>
          <w:spacing w:val="-5"/>
          <w:sz w:val="20"/>
        </w:rPr>
        <w:t xml:space="preserve"> </w:t>
      </w:r>
      <w:r>
        <w:rPr>
          <w:i/>
          <w:color w:val="231F20"/>
          <w:sz w:val="20"/>
        </w:rPr>
        <w:t>of</w:t>
      </w:r>
      <w:r>
        <w:rPr>
          <w:i/>
          <w:color w:val="231F20"/>
          <w:spacing w:val="-4"/>
          <w:sz w:val="20"/>
        </w:rPr>
        <w:t xml:space="preserve"> </w:t>
      </w:r>
      <w:r>
        <w:rPr>
          <w:i/>
          <w:color w:val="231F20"/>
          <w:sz w:val="20"/>
        </w:rPr>
        <w:t>Criminal Justice</w:t>
      </w:r>
      <w:r>
        <w:rPr>
          <w:i/>
          <w:color w:val="231F20"/>
          <w:spacing w:val="-2"/>
          <w:sz w:val="20"/>
        </w:rPr>
        <w:t xml:space="preserve"> </w:t>
      </w:r>
      <w:r>
        <w:rPr>
          <w:color w:val="231F20"/>
          <w:spacing w:val="2"/>
          <w:sz w:val="20"/>
        </w:rPr>
        <w:t>998</w:t>
      </w:r>
    </w:p>
    <w:p w14:paraId="3E4FF736" w14:textId="77777777" w:rsidR="00894070" w:rsidRDefault="009B7AFD">
      <w:pPr>
        <w:spacing w:before="89" w:line="206" w:lineRule="auto"/>
        <w:ind w:left="1007" w:right="1133"/>
        <w:rPr>
          <w:sz w:val="20"/>
        </w:rPr>
      </w:pPr>
      <w:r>
        <w:rPr>
          <w:color w:val="231F20"/>
          <w:sz w:val="20"/>
        </w:rPr>
        <w:t xml:space="preserve">Roberts, Karl, Marina Tolou-Shams and Kaila Madera, ‘Adolescent versus Adult Stalking: A Brief Review’ (2016) 16(4) </w:t>
      </w:r>
      <w:r>
        <w:rPr>
          <w:i/>
          <w:color w:val="231F20"/>
          <w:sz w:val="20"/>
        </w:rPr>
        <w:t xml:space="preserve">Journal of Forensic Psychology Practice </w:t>
      </w:r>
      <w:r>
        <w:rPr>
          <w:color w:val="231F20"/>
          <w:sz w:val="20"/>
        </w:rPr>
        <w:t>236</w:t>
      </w:r>
    </w:p>
    <w:p w14:paraId="1CCBB6B9" w14:textId="77777777" w:rsidR="00894070" w:rsidRDefault="009B7AFD">
      <w:pPr>
        <w:pStyle w:val="BodyText"/>
        <w:spacing w:before="116" w:line="206" w:lineRule="auto"/>
        <w:ind w:left="1007" w:right="1319"/>
      </w:pPr>
      <w:r>
        <w:rPr>
          <w:color w:val="231F20"/>
        </w:rPr>
        <w:t xml:space="preserve">Rooney, Kieran, ‘New Changes Introduced to Provide Protection to Victims of Stalking and Threats to Kill’, </w:t>
      </w:r>
      <w:r>
        <w:rPr>
          <w:i/>
          <w:color w:val="231F20"/>
        </w:rPr>
        <w:t xml:space="preserve">Herald Sun </w:t>
      </w:r>
      <w:r>
        <w:rPr>
          <w:color w:val="231F20"/>
        </w:rPr>
        <w:t>(online, 9 March 2022) &lt;</w:t>
      </w:r>
      <w:hyperlink r:id="rId300">
        <w:r>
          <w:rPr>
            <w:color w:val="231F20"/>
          </w:rPr>
          <w:t>https://www.heraldsun.com.au/news/</w:t>
        </w:r>
      </w:hyperlink>
      <w:r>
        <w:rPr>
          <w:color w:val="231F20"/>
        </w:rPr>
        <w:t xml:space="preserve"> </w:t>
      </w:r>
      <w:hyperlink r:id="rId301">
        <w:r>
          <w:rPr>
            <w:color w:val="231F20"/>
          </w:rPr>
          <w:t>victoria/new-changes-introduced-to-provide-protection-to-victims-of-stalking-and-threats-</w:t>
        </w:r>
      </w:hyperlink>
      <w:r>
        <w:rPr>
          <w:color w:val="231F20"/>
        </w:rPr>
        <w:t xml:space="preserve"> </w:t>
      </w:r>
      <w:hyperlink r:id="rId302">
        <w:r>
          <w:rPr>
            <w:color w:val="231F20"/>
          </w:rPr>
          <w:t>to-kill/news-story/cd9d2339eb8b2c5d3d74ebc62ec9a8bc</w:t>
        </w:r>
      </w:hyperlink>
      <w:r>
        <w:rPr>
          <w:color w:val="231F20"/>
        </w:rPr>
        <w:t>&gt;</w:t>
      </w:r>
    </w:p>
    <w:p w14:paraId="4E2DA475" w14:textId="77777777" w:rsidR="00894070" w:rsidRDefault="009B7AFD">
      <w:pPr>
        <w:pStyle w:val="BodyText"/>
        <w:spacing w:before="119" w:line="206" w:lineRule="auto"/>
        <w:ind w:left="1007" w:right="1858"/>
      </w:pPr>
      <w:r>
        <w:rPr>
          <w:color w:val="231F20"/>
        </w:rPr>
        <w:t xml:space="preserve">Rosenfeld, Barry et al, ‘Dialectical Behavior Therapy (DBT) for the Treatment of Stalking Offenders: A Randomized Controlled Study’ (2019) 43(4) </w:t>
      </w:r>
      <w:r>
        <w:rPr>
          <w:i/>
          <w:color w:val="231F20"/>
        </w:rPr>
        <w:t xml:space="preserve">Law and Human Behavior </w:t>
      </w:r>
      <w:r>
        <w:rPr>
          <w:color w:val="231F20"/>
        </w:rPr>
        <w:t>319</w:t>
      </w:r>
    </w:p>
    <w:p w14:paraId="480B00C2" w14:textId="77777777" w:rsidR="00894070" w:rsidRDefault="009B7AFD">
      <w:pPr>
        <w:spacing w:before="116" w:line="206" w:lineRule="auto"/>
        <w:ind w:left="1007" w:right="1459"/>
        <w:rPr>
          <w:sz w:val="20"/>
        </w:rPr>
      </w:pPr>
      <w:r>
        <w:rPr>
          <w:i/>
          <w:color w:val="231F20"/>
          <w:sz w:val="20"/>
        </w:rPr>
        <w:t xml:space="preserve">Royal Commission into Aged Care Quality and Safety </w:t>
      </w:r>
      <w:r>
        <w:rPr>
          <w:color w:val="231F20"/>
          <w:sz w:val="20"/>
        </w:rPr>
        <w:t>(Final Report, Summary and Recommendations, 1 March 2021)</w:t>
      </w:r>
    </w:p>
    <w:p w14:paraId="6928EDA9" w14:textId="77777777" w:rsidR="00894070" w:rsidRDefault="009B7AFD">
      <w:pPr>
        <w:spacing w:before="83"/>
        <w:ind w:left="1007"/>
        <w:rPr>
          <w:sz w:val="20"/>
        </w:rPr>
      </w:pPr>
      <w:r>
        <w:rPr>
          <w:i/>
          <w:color w:val="231F20"/>
          <w:sz w:val="20"/>
        </w:rPr>
        <w:t xml:space="preserve">Royal Commission into Family Violence: Report and Recommendations </w:t>
      </w:r>
      <w:r>
        <w:rPr>
          <w:color w:val="231F20"/>
          <w:sz w:val="20"/>
        </w:rPr>
        <w:t>(Final Report, March 2016)</w:t>
      </w:r>
    </w:p>
    <w:p w14:paraId="62326EC5" w14:textId="77777777" w:rsidR="00894070" w:rsidRDefault="009B7AFD">
      <w:pPr>
        <w:spacing w:before="76"/>
        <w:ind w:left="1007"/>
        <w:rPr>
          <w:sz w:val="20"/>
        </w:rPr>
      </w:pPr>
      <w:r>
        <w:rPr>
          <w:i/>
          <w:color w:val="231F20"/>
          <w:sz w:val="20"/>
        </w:rPr>
        <w:t xml:space="preserve">Royal Commission into Family Violence: Summary and Recommendations </w:t>
      </w:r>
      <w:r>
        <w:rPr>
          <w:color w:val="231F20"/>
          <w:sz w:val="20"/>
        </w:rPr>
        <w:t>(Report, March 2016)</w:t>
      </w:r>
    </w:p>
    <w:p w14:paraId="43D05781" w14:textId="77777777" w:rsidR="00894070" w:rsidRDefault="009B7AFD">
      <w:pPr>
        <w:spacing w:before="108" w:line="206" w:lineRule="auto"/>
        <w:ind w:left="1007" w:right="1303"/>
        <w:rPr>
          <w:sz w:val="20"/>
        </w:rPr>
      </w:pPr>
      <w:r>
        <w:rPr>
          <w:i/>
          <w:color w:val="231F20"/>
          <w:sz w:val="20"/>
        </w:rPr>
        <w:t xml:space="preserve">Royal Commission into the Protection and Detention of Children in the Northern Territory </w:t>
      </w:r>
      <w:r>
        <w:rPr>
          <w:color w:val="231F20"/>
          <w:sz w:val="20"/>
        </w:rPr>
        <w:t>(Report Overview, November 2017)</w:t>
      </w:r>
    </w:p>
    <w:p w14:paraId="2AB9C4D5" w14:textId="77777777" w:rsidR="00894070" w:rsidRDefault="009B7AFD">
      <w:pPr>
        <w:spacing w:before="84"/>
        <w:ind w:left="1007"/>
        <w:rPr>
          <w:sz w:val="20"/>
        </w:rPr>
      </w:pPr>
      <w:r>
        <w:rPr>
          <w:i/>
          <w:color w:val="231F20"/>
          <w:sz w:val="20"/>
        </w:rPr>
        <w:t xml:space="preserve">Royal Commission into Victoria’s Mental Health System </w:t>
      </w:r>
      <w:r>
        <w:rPr>
          <w:color w:val="231F20"/>
          <w:sz w:val="20"/>
        </w:rPr>
        <w:t>(Final Report, 3 February 2021)</w:t>
      </w:r>
    </w:p>
    <w:p w14:paraId="33C0F878" w14:textId="77777777" w:rsidR="00894070" w:rsidRDefault="009B7AFD">
      <w:pPr>
        <w:pStyle w:val="BodyText"/>
        <w:spacing w:before="108" w:line="206" w:lineRule="auto"/>
        <w:ind w:left="1007" w:right="1247"/>
      </w:pPr>
      <w:r>
        <w:rPr>
          <w:color w:val="231F20"/>
        </w:rPr>
        <w:t>‘Safety</w:t>
      </w:r>
      <w:r>
        <w:rPr>
          <w:color w:val="231F20"/>
          <w:spacing w:val="-19"/>
        </w:rPr>
        <w:t xml:space="preserve"> </w:t>
      </w:r>
      <w:r>
        <w:rPr>
          <w:color w:val="231F20"/>
        </w:rPr>
        <w:t>Planning</w:t>
      </w:r>
      <w:r>
        <w:rPr>
          <w:color w:val="231F20"/>
          <w:spacing w:val="-19"/>
        </w:rPr>
        <w:t xml:space="preserve"> </w:t>
      </w:r>
      <w:r>
        <w:rPr>
          <w:color w:val="231F20"/>
        </w:rPr>
        <w:t>Checklist’,</w:t>
      </w:r>
      <w:r>
        <w:rPr>
          <w:color w:val="231F20"/>
          <w:spacing w:val="-19"/>
        </w:rPr>
        <w:t xml:space="preserve"> </w:t>
      </w:r>
      <w:r>
        <w:rPr>
          <w:i/>
          <w:color w:val="231F20"/>
        </w:rPr>
        <w:t>1800RESPECT</w:t>
      </w:r>
      <w:r>
        <w:rPr>
          <w:i/>
          <w:color w:val="231F20"/>
          <w:spacing w:val="-17"/>
        </w:rPr>
        <w:t xml:space="preserve"> </w:t>
      </w:r>
      <w:r>
        <w:rPr>
          <w:color w:val="231F20"/>
        </w:rPr>
        <w:t>(Web</w:t>
      </w:r>
      <w:r>
        <w:rPr>
          <w:color w:val="231F20"/>
          <w:spacing w:val="-19"/>
        </w:rPr>
        <w:t xml:space="preserve"> </w:t>
      </w:r>
      <w:r>
        <w:rPr>
          <w:color w:val="231F20"/>
        </w:rPr>
        <w:t>Page)</w:t>
      </w:r>
      <w:r>
        <w:rPr>
          <w:color w:val="231F20"/>
          <w:spacing w:val="-18"/>
        </w:rPr>
        <w:t xml:space="preserve"> </w:t>
      </w:r>
      <w:r>
        <w:rPr>
          <w:color w:val="231F20"/>
        </w:rPr>
        <w:t>&lt;https://www.1800</w:t>
      </w:r>
      <w:hyperlink r:id="rId303">
        <w:r>
          <w:rPr>
            <w:color w:val="231F20"/>
          </w:rPr>
          <w:t>respect.org.au/help-</w:t>
        </w:r>
      </w:hyperlink>
      <w:r>
        <w:rPr>
          <w:color w:val="231F20"/>
        </w:rPr>
        <w:t xml:space="preserve"> </w:t>
      </w:r>
      <w:hyperlink r:id="rId304">
        <w:r>
          <w:rPr>
            <w:color w:val="231F20"/>
          </w:rPr>
          <w:t>and-support/safety-planning/checklist</w:t>
        </w:r>
      </w:hyperlink>
      <w:r>
        <w:rPr>
          <w:color w:val="231F20"/>
        </w:rPr>
        <w:t>&gt;</w:t>
      </w:r>
    </w:p>
    <w:p w14:paraId="0D08EC50" w14:textId="77777777" w:rsidR="00894070" w:rsidRDefault="009B7AFD">
      <w:pPr>
        <w:pStyle w:val="BodyText"/>
        <w:spacing w:before="116" w:line="206" w:lineRule="auto"/>
        <w:ind w:left="1007" w:right="1219"/>
      </w:pPr>
      <w:r>
        <w:rPr>
          <w:color w:val="231F20"/>
        </w:rPr>
        <w:t xml:space="preserve">Scott, Adrian J et al, ‘International Perceptions of Stalking and Responsibility: The Influence of Prior Relationship and Severity of Behavior’ (2014) 41(2) </w:t>
      </w:r>
      <w:r>
        <w:rPr>
          <w:i/>
          <w:color w:val="231F20"/>
        </w:rPr>
        <w:t xml:space="preserve">Criminal Justice and Behavior </w:t>
      </w:r>
      <w:r>
        <w:rPr>
          <w:color w:val="231F20"/>
        </w:rPr>
        <w:t>220</w:t>
      </w:r>
    </w:p>
    <w:p w14:paraId="2A5E6EF0" w14:textId="77777777" w:rsidR="00894070" w:rsidRDefault="009B7AFD">
      <w:pPr>
        <w:spacing w:before="116" w:line="206" w:lineRule="auto"/>
        <w:ind w:left="1007" w:right="1135"/>
        <w:rPr>
          <w:sz w:val="20"/>
        </w:rPr>
      </w:pPr>
      <w:r>
        <w:rPr>
          <w:color w:val="231F20"/>
          <w:sz w:val="20"/>
        </w:rPr>
        <w:t xml:space="preserve">Scott, Adrian J et al, ‘Public Familiarity and Understanding of Stalking/Harassment Legislation in Australia, the United Kingdom, and the United States’ in Heng Choon (Oliver) Chan and Lorraine Sheridan (eds), </w:t>
      </w:r>
      <w:r>
        <w:rPr>
          <w:i/>
          <w:color w:val="231F20"/>
          <w:sz w:val="20"/>
        </w:rPr>
        <w:t xml:space="preserve">Psycho-Criminological Approaches to Stalking Behavior: An International Perspective </w:t>
      </w:r>
      <w:r>
        <w:rPr>
          <w:color w:val="231F20"/>
          <w:sz w:val="20"/>
        </w:rPr>
        <w:t>(John Wiley and Sons, 2020) 137</w:t>
      </w:r>
    </w:p>
    <w:p w14:paraId="03D2B7AC" w14:textId="77777777" w:rsidR="00894070" w:rsidRDefault="009B7AFD">
      <w:pPr>
        <w:pStyle w:val="BodyText"/>
        <w:spacing w:before="118" w:line="206" w:lineRule="auto"/>
        <w:ind w:left="1007" w:right="1219"/>
      </w:pPr>
      <w:r>
        <w:rPr>
          <w:color w:val="231F20"/>
        </w:rPr>
        <w:t xml:space="preserve">Scott, Adrian J and Lorraine Sheridan, ‘“Reasonable” Perceptions of Stalking: The Influence of Conduct Severity and the Perpetrator–Target Relationship’ (2011) 17(4) </w:t>
      </w:r>
      <w:r>
        <w:rPr>
          <w:i/>
          <w:color w:val="231F20"/>
        </w:rPr>
        <w:t xml:space="preserve">Psychology, Crime and Law </w:t>
      </w:r>
      <w:r>
        <w:rPr>
          <w:color w:val="231F20"/>
        </w:rPr>
        <w:t>331</w:t>
      </w:r>
    </w:p>
    <w:p w14:paraId="45DCE3BA" w14:textId="77777777" w:rsidR="00894070" w:rsidRDefault="009B7AFD">
      <w:pPr>
        <w:pStyle w:val="BodyText"/>
        <w:spacing w:before="85"/>
        <w:ind w:left="1007"/>
      </w:pPr>
      <w:r>
        <w:rPr>
          <w:color w:val="231F20"/>
        </w:rPr>
        <w:t>Sentencing Advisory Council (Vic),</w:t>
      </w:r>
    </w:p>
    <w:p w14:paraId="461930C9" w14:textId="77777777" w:rsidR="00894070" w:rsidRDefault="009B7AFD">
      <w:pPr>
        <w:pStyle w:val="ListParagraph"/>
        <w:numPr>
          <w:ilvl w:val="0"/>
          <w:numId w:val="5"/>
        </w:numPr>
        <w:tabs>
          <w:tab w:val="left" w:pos="1347"/>
          <w:tab w:val="left" w:pos="1348"/>
        </w:tabs>
        <w:spacing w:before="76"/>
        <w:ind w:hanging="340"/>
        <w:rPr>
          <w:sz w:val="20"/>
        </w:rPr>
      </w:pPr>
      <w:r>
        <w:rPr>
          <w:i/>
          <w:color w:val="231F20"/>
          <w:sz w:val="20"/>
        </w:rPr>
        <w:t xml:space="preserve">Reoffending by Children and </w:t>
      </w:r>
      <w:r>
        <w:rPr>
          <w:i/>
          <w:color w:val="231F20"/>
          <w:spacing w:val="-3"/>
          <w:sz w:val="20"/>
        </w:rPr>
        <w:t xml:space="preserve">Young </w:t>
      </w:r>
      <w:r>
        <w:rPr>
          <w:i/>
          <w:color w:val="231F20"/>
          <w:sz w:val="20"/>
        </w:rPr>
        <w:t xml:space="preserve">People in Victoria </w:t>
      </w:r>
      <w:r>
        <w:rPr>
          <w:color w:val="231F20"/>
          <w:sz w:val="20"/>
        </w:rPr>
        <w:t>(Report, December</w:t>
      </w:r>
      <w:r>
        <w:rPr>
          <w:color w:val="231F20"/>
          <w:spacing w:val="-22"/>
          <w:sz w:val="20"/>
        </w:rPr>
        <w:t xml:space="preserve"> </w:t>
      </w:r>
      <w:r>
        <w:rPr>
          <w:color w:val="231F20"/>
          <w:spacing w:val="-3"/>
          <w:sz w:val="20"/>
        </w:rPr>
        <w:t>2016)</w:t>
      </w:r>
    </w:p>
    <w:p w14:paraId="4F715D2B" w14:textId="77777777" w:rsidR="00894070" w:rsidRDefault="009B7AFD">
      <w:pPr>
        <w:pStyle w:val="ListParagraph"/>
        <w:numPr>
          <w:ilvl w:val="0"/>
          <w:numId w:val="5"/>
        </w:numPr>
        <w:tabs>
          <w:tab w:val="left" w:pos="1347"/>
          <w:tab w:val="left" w:pos="1348"/>
        </w:tabs>
        <w:spacing w:before="79" w:line="206" w:lineRule="auto"/>
        <w:ind w:right="1301" w:hanging="340"/>
        <w:rPr>
          <w:sz w:val="20"/>
        </w:rPr>
      </w:pPr>
      <w:r>
        <w:rPr>
          <w:i/>
          <w:color w:val="231F20"/>
          <w:sz w:val="20"/>
        </w:rPr>
        <w:t>Sentencing</w:t>
      </w:r>
      <w:r>
        <w:rPr>
          <w:i/>
          <w:color w:val="231F20"/>
          <w:spacing w:val="-7"/>
          <w:sz w:val="20"/>
        </w:rPr>
        <w:t xml:space="preserve"> </w:t>
      </w:r>
      <w:r>
        <w:rPr>
          <w:i/>
          <w:color w:val="231F20"/>
          <w:sz w:val="20"/>
        </w:rPr>
        <w:t>Breaches</w:t>
      </w:r>
      <w:r>
        <w:rPr>
          <w:i/>
          <w:color w:val="231F20"/>
          <w:spacing w:val="-7"/>
          <w:sz w:val="20"/>
        </w:rPr>
        <w:t xml:space="preserve"> </w:t>
      </w:r>
      <w:r>
        <w:rPr>
          <w:i/>
          <w:color w:val="231F20"/>
          <w:sz w:val="20"/>
        </w:rPr>
        <w:t>of</w:t>
      </w:r>
      <w:r>
        <w:rPr>
          <w:i/>
          <w:color w:val="231F20"/>
          <w:spacing w:val="-7"/>
          <w:sz w:val="20"/>
        </w:rPr>
        <w:t xml:space="preserve"> </w:t>
      </w:r>
      <w:r>
        <w:rPr>
          <w:i/>
          <w:color w:val="231F20"/>
          <w:sz w:val="20"/>
        </w:rPr>
        <w:t>Family</w:t>
      </w:r>
      <w:r>
        <w:rPr>
          <w:i/>
          <w:color w:val="231F20"/>
          <w:spacing w:val="-7"/>
          <w:sz w:val="20"/>
        </w:rPr>
        <w:t xml:space="preserve"> </w:t>
      </w:r>
      <w:r>
        <w:rPr>
          <w:i/>
          <w:color w:val="231F20"/>
          <w:sz w:val="20"/>
        </w:rPr>
        <w:t>Violence</w:t>
      </w:r>
      <w:r>
        <w:rPr>
          <w:i/>
          <w:color w:val="231F20"/>
          <w:spacing w:val="-7"/>
          <w:sz w:val="20"/>
        </w:rPr>
        <w:t xml:space="preserve"> </w:t>
      </w:r>
      <w:r>
        <w:rPr>
          <w:i/>
          <w:color w:val="231F20"/>
          <w:sz w:val="20"/>
        </w:rPr>
        <w:t>Intervention</w:t>
      </w:r>
      <w:r>
        <w:rPr>
          <w:i/>
          <w:color w:val="231F20"/>
          <w:spacing w:val="-7"/>
          <w:sz w:val="20"/>
        </w:rPr>
        <w:t xml:space="preserve"> </w:t>
      </w:r>
      <w:r>
        <w:rPr>
          <w:i/>
          <w:color w:val="231F20"/>
          <w:sz w:val="20"/>
        </w:rPr>
        <w:t>Orders</w:t>
      </w:r>
      <w:r>
        <w:rPr>
          <w:i/>
          <w:color w:val="231F20"/>
          <w:spacing w:val="-7"/>
          <w:sz w:val="20"/>
        </w:rPr>
        <w:t xml:space="preserve"> </w:t>
      </w:r>
      <w:r>
        <w:rPr>
          <w:i/>
          <w:color w:val="231F20"/>
          <w:sz w:val="20"/>
        </w:rPr>
        <w:t>and</w:t>
      </w:r>
      <w:r>
        <w:rPr>
          <w:i/>
          <w:color w:val="231F20"/>
          <w:spacing w:val="-7"/>
          <w:sz w:val="20"/>
        </w:rPr>
        <w:t xml:space="preserve"> </w:t>
      </w:r>
      <w:r>
        <w:rPr>
          <w:i/>
          <w:color w:val="231F20"/>
          <w:sz w:val="20"/>
        </w:rPr>
        <w:t>Safety</w:t>
      </w:r>
      <w:r>
        <w:rPr>
          <w:i/>
          <w:color w:val="231F20"/>
          <w:spacing w:val="-7"/>
          <w:sz w:val="20"/>
        </w:rPr>
        <w:t xml:space="preserve"> </w:t>
      </w:r>
      <w:r>
        <w:rPr>
          <w:i/>
          <w:color w:val="231F20"/>
          <w:sz w:val="20"/>
        </w:rPr>
        <w:t>Notices</w:t>
      </w:r>
      <w:r>
        <w:rPr>
          <w:i/>
          <w:color w:val="231F20"/>
          <w:spacing w:val="-5"/>
          <w:sz w:val="20"/>
        </w:rPr>
        <w:t xml:space="preserve"> </w:t>
      </w:r>
      <w:r>
        <w:rPr>
          <w:color w:val="231F20"/>
          <w:sz w:val="20"/>
        </w:rPr>
        <w:t>(Report,</w:t>
      </w:r>
      <w:r>
        <w:rPr>
          <w:color w:val="231F20"/>
          <w:spacing w:val="-8"/>
          <w:sz w:val="20"/>
        </w:rPr>
        <w:t xml:space="preserve"> </w:t>
      </w:r>
      <w:r>
        <w:rPr>
          <w:color w:val="231F20"/>
          <w:sz w:val="20"/>
        </w:rPr>
        <w:t>May 2022)</w:t>
      </w:r>
    </w:p>
    <w:p w14:paraId="4B1025C5" w14:textId="77777777" w:rsidR="00894070" w:rsidRDefault="009B7AFD">
      <w:pPr>
        <w:pStyle w:val="ListParagraph"/>
        <w:numPr>
          <w:ilvl w:val="0"/>
          <w:numId w:val="5"/>
        </w:numPr>
        <w:tabs>
          <w:tab w:val="left" w:pos="1347"/>
          <w:tab w:val="left" w:pos="1348"/>
        </w:tabs>
        <w:spacing w:before="56"/>
        <w:ind w:hanging="340"/>
        <w:rPr>
          <w:sz w:val="20"/>
        </w:rPr>
      </w:pPr>
      <w:r>
        <w:rPr>
          <w:i/>
          <w:color w:val="231F20"/>
          <w:spacing w:val="-3"/>
          <w:sz w:val="20"/>
        </w:rPr>
        <w:t>Sentencing</w:t>
      </w:r>
      <w:r>
        <w:rPr>
          <w:i/>
          <w:color w:val="231F20"/>
          <w:spacing w:val="-7"/>
          <w:sz w:val="20"/>
        </w:rPr>
        <w:t xml:space="preserve"> </w:t>
      </w:r>
      <w:r>
        <w:rPr>
          <w:i/>
          <w:color w:val="231F20"/>
          <w:sz w:val="20"/>
        </w:rPr>
        <w:t>Breaches</w:t>
      </w:r>
      <w:r>
        <w:rPr>
          <w:i/>
          <w:color w:val="231F20"/>
          <w:spacing w:val="-7"/>
          <w:sz w:val="20"/>
        </w:rPr>
        <w:t xml:space="preserve"> </w:t>
      </w:r>
      <w:r>
        <w:rPr>
          <w:i/>
          <w:color w:val="231F20"/>
          <w:sz w:val="20"/>
        </w:rPr>
        <w:t>of</w:t>
      </w:r>
      <w:r>
        <w:rPr>
          <w:i/>
          <w:color w:val="231F20"/>
          <w:spacing w:val="-7"/>
          <w:sz w:val="20"/>
        </w:rPr>
        <w:t xml:space="preserve"> </w:t>
      </w:r>
      <w:r>
        <w:rPr>
          <w:i/>
          <w:color w:val="231F20"/>
          <w:sz w:val="20"/>
        </w:rPr>
        <w:t>Personal</w:t>
      </w:r>
      <w:r>
        <w:rPr>
          <w:i/>
          <w:color w:val="231F20"/>
          <w:spacing w:val="-7"/>
          <w:sz w:val="20"/>
        </w:rPr>
        <w:t xml:space="preserve"> </w:t>
      </w:r>
      <w:r>
        <w:rPr>
          <w:i/>
          <w:color w:val="231F20"/>
          <w:spacing w:val="-3"/>
          <w:sz w:val="20"/>
        </w:rPr>
        <w:t>Safety</w:t>
      </w:r>
      <w:r>
        <w:rPr>
          <w:i/>
          <w:color w:val="231F20"/>
          <w:spacing w:val="-7"/>
          <w:sz w:val="20"/>
        </w:rPr>
        <w:t xml:space="preserve"> </w:t>
      </w:r>
      <w:r>
        <w:rPr>
          <w:i/>
          <w:color w:val="231F20"/>
          <w:sz w:val="20"/>
        </w:rPr>
        <w:t>Intervention</w:t>
      </w:r>
      <w:r>
        <w:rPr>
          <w:i/>
          <w:color w:val="231F20"/>
          <w:spacing w:val="-7"/>
          <w:sz w:val="20"/>
        </w:rPr>
        <w:t xml:space="preserve"> </w:t>
      </w:r>
      <w:r>
        <w:rPr>
          <w:i/>
          <w:color w:val="231F20"/>
          <w:sz w:val="20"/>
        </w:rPr>
        <w:t>Orders</w:t>
      </w:r>
      <w:r>
        <w:rPr>
          <w:i/>
          <w:color w:val="231F20"/>
          <w:spacing w:val="-7"/>
          <w:sz w:val="20"/>
        </w:rPr>
        <w:t xml:space="preserve"> </w:t>
      </w:r>
      <w:r>
        <w:rPr>
          <w:i/>
          <w:color w:val="231F20"/>
          <w:sz w:val="20"/>
        </w:rPr>
        <w:t>in</w:t>
      </w:r>
      <w:r>
        <w:rPr>
          <w:i/>
          <w:color w:val="231F20"/>
          <w:spacing w:val="-7"/>
          <w:sz w:val="20"/>
        </w:rPr>
        <w:t xml:space="preserve"> </w:t>
      </w:r>
      <w:r>
        <w:rPr>
          <w:i/>
          <w:color w:val="231F20"/>
          <w:spacing w:val="-3"/>
          <w:sz w:val="20"/>
        </w:rPr>
        <w:t>Victoria</w:t>
      </w:r>
      <w:r>
        <w:rPr>
          <w:i/>
          <w:color w:val="231F20"/>
          <w:spacing w:val="-5"/>
          <w:sz w:val="20"/>
        </w:rPr>
        <w:t xml:space="preserve"> </w:t>
      </w:r>
      <w:r>
        <w:rPr>
          <w:color w:val="231F20"/>
          <w:sz w:val="20"/>
        </w:rPr>
        <w:t>(Report,</w:t>
      </w:r>
      <w:r>
        <w:rPr>
          <w:color w:val="231F20"/>
          <w:spacing w:val="-7"/>
          <w:sz w:val="20"/>
        </w:rPr>
        <w:t xml:space="preserve"> </w:t>
      </w:r>
      <w:r>
        <w:rPr>
          <w:color w:val="231F20"/>
          <w:sz w:val="20"/>
        </w:rPr>
        <w:t>February</w:t>
      </w:r>
      <w:r>
        <w:rPr>
          <w:color w:val="231F20"/>
          <w:spacing w:val="-7"/>
          <w:sz w:val="20"/>
        </w:rPr>
        <w:t xml:space="preserve"> </w:t>
      </w:r>
      <w:r>
        <w:rPr>
          <w:color w:val="231F20"/>
          <w:spacing w:val="-3"/>
          <w:sz w:val="20"/>
        </w:rPr>
        <w:t>2022)</w:t>
      </w:r>
    </w:p>
    <w:p w14:paraId="4585C6AA" w14:textId="77777777" w:rsidR="00894070" w:rsidRDefault="009B7AFD">
      <w:pPr>
        <w:pStyle w:val="ListParagraph"/>
        <w:numPr>
          <w:ilvl w:val="0"/>
          <w:numId w:val="5"/>
        </w:numPr>
        <w:tabs>
          <w:tab w:val="left" w:pos="1347"/>
          <w:tab w:val="left" w:pos="1348"/>
        </w:tabs>
        <w:spacing w:before="47"/>
        <w:ind w:hanging="340"/>
        <w:rPr>
          <w:sz w:val="20"/>
        </w:rPr>
      </w:pPr>
      <w:r>
        <w:rPr>
          <w:i/>
          <w:color w:val="231F20"/>
          <w:sz w:val="20"/>
        </w:rPr>
        <w:t xml:space="preserve">Sentencing Children and </w:t>
      </w:r>
      <w:r>
        <w:rPr>
          <w:i/>
          <w:color w:val="231F20"/>
          <w:spacing w:val="-3"/>
          <w:sz w:val="20"/>
        </w:rPr>
        <w:t xml:space="preserve">Young </w:t>
      </w:r>
      <w:r>
        <w:rPr>
          <w:i/>
          <w:color w:val="231F20"/>
          <w:sz w:val="20"/>
        </w:rPr>
        <w:t xml:space="preserve">People in Victoria </w:t>
      </w:r>
      <w:r>
        <w:rPr>
          <w:color w:val="231F20"/>
          <w:sz w:val="20"/>
        </w:rPr>
        <w:t>(Report, April</w:t>
      </w:r>
      <w:r>
        <w:rPr>
          <w:color w:val="231F20"/>
          <w:spacing w:val="-19"/>
          <w:sz w:val="20"/>
        </w:rPr>
        <w:t xml:space="preserve"> </w:t>
      </w:r>
      <w:r>
        <w:rPr>
          <w:color w:val="231F20"/>
          <w:sz w:val="20"/>
        </w:rPr>
        <w:t>2012)</w:t>
      </w:r>
    </w:p>
    <w:p w14:paraId="38234844" w14:textId="77777777" w:rsidR="00894070" w:rsidRDefault="009B7AFD">
      <w:pPr>
        <w:pStyle w:val="ListParagraph"/>
        <w:numPr>
          <w:ilvl w:val="0"/>
          <w:numId w:val="5"/>
        </w:numPr>
        <w:tabs>
          <w:tab w:val="left" w:pos="1347"/>
          <w:tab w:val="left" w:pos="1348"/>
        </w:tabs>
        <w:spacing w:before="48"/>
        <w:ind w:hanging="340"/>
        <w:rPr>
          <w:sz w:val="20"/>
        </w:rPr>
      </w:pPr>
      <w:r>
        <w:rPr>
          <w:i/>
          <w:color w:val="231F20"/>
          <w:sz w:val="20"/>
        </w:rPr>
        <w:t xml:space="preserve">Sentencing Stalking in Victoria </w:t>
      </w:r>
      <w:r>
        <w:rPr>
          <w:color w:val="231F20"/>
          <w:sz w:val="20"/>
        </w:rPr>
        <w:t>(Report, March</w:t>
      </w:r>
      <w:r>
        <w:rPr>
          <w:color w:val="231F20"/>
          <w:spacing w:val="-13"/>
          <w:sz w:val="20"/>
        </w:rPr>
        <w:t xml:space="preserve"> </w:t>
      </w:r>
      <w:r>
        <w:rPr>
          <w:color w:val="231F20"/>
          <w:sz w:val="20"/>
        </w:rPr>
        <w:t>2022)</w:t>
      </w:r>
    </w:p>
    <w:p w14:paraId="3C9830BF" w14:textId="77777777" w:rsidR="00894070" w:rsidRDefault="009B7AFD">
      <w:pPr>
        <w:spacing w:before="47" w:line="259" w:lineRule="exact"/>
        <w:ind w:left="1007"/>
        <w:rPr>
          <w:sz w:val="20"/>
        </w:rPr>
      </w:pPr>
      <w:r>
        <w:rPr>
          <w:color w:val="231F20"/>
          <w:sz w:val="20"/>
        </w:rPr>
        <w:t xml:space="preserve">‘Sexual Harassment’, </w:t>
      </w:r>
      <w:r>
        <w:rPr>
          <w:i/>
          <w:color w:val="231F20"/>
          <w:sz w:val="20"/>
        </w:rPr>
        <w:t xml:space="preserve">Victorian Equal Opportunity and Human Rights Commission </w:t>
      </w:r>
      <w:r>
        <w:rPr>
          <w:color w:val="231F20"/>
          <w:sz w:val="20"/>
        </w:rPr>
        <w:t>(Web Page)</w:t>
      </w:r>
    </w:p>
    <w:p w14:paraId="3592D346" w14:textId="77777777" w:rsidR="00894070" w:rsidRDefault="009B7AFD">
      <w:pPr>
        <w:pStyle w:val="BodyText"/>
        <w:spacing w:line="259" w:lineRule="exact"/>
        <w:ind w:left="1007"/>
      </w:pPr>
      <w:r>
        <w:rPr>
          <w:color w:val="231F20"/>
        </w:rPr>
        <w:t>&lt;</w:t>
      </w:r>
      <w:hyperlink r:id="rId305">
        <w:r>
          <w:rPr>
            <w:color w:val="231F20"/>
          </w:rPr>
          <w:t>https://www.humanrights.vic.gov.au/for-individuals/sexual-harassment/</w:t>
        </w:r>
      </w:hyperlink>
      <w:r>
        <w:rPr>
          <w:color w:val="231F20"/>
        </w:rPr>
        <w:t>&gt;</w:t>
      </w:r>
    </w:p>
    <w:p w14:paraId="5CBFEDA2" w14:textId="77777777" w:rsidR="00894070" w:rsidRDefault="009B7AFD">
      <w:pPr>
        <w:pStyle w:val="BodyText"/>
        <w:spacing w:before="76"/>
        <w:ind w:left="1007"/>
      </w:pPr>
      <w:r>
        <w:rPr>
          <w:color w:val="231F20"/>
        </w:rPr>
        <w:t>Shea, Daniel, ‘Stalking Recidivism and Risk Assessment’ (PhD Thesis, Monash University, 2015)</w:t>
      </w:r>
    </w:p>
    <w:p w14:paraId="4A0C4B73" w14:textId="77777777" w:rsidR="00894070" w:rsidRDefault="009B7AFD">
      <w:pPr>
        <w:pStyle w:val="BodyText"/>
        <w:spacing w:before="108" w:line="206" w:lineRule="auto"/>
        <w:ind w:left="1007" w:right="1102"/>
      </w:pPr>
      <w:r>
        <w:rPr>
          <w:color w:val="231F20"/>
        </w:rPr>
        <w:t>Shelton, Mark, Minister for Police, Fire and Emergency Management (Tas), ‘Electronic Monitoring Trial Delivers Real Results in Supporting Victims of Family Violence’ (Media Release, 20 August 2020)</w:t>
      </w:r>
    </w:p>
    <w:p w14:paraId="54B74E52" w14:textId="77777777" w:rsidR="00894070" w:rsidRDefault="00894070">
      <w:pPr>
        <w:pStyle w:val="BodyText"/>
      </w:pPr>
    </w:p>
    <w:p w14:paraId="17448DF0" w14:textId="77777777" w:rsidR="00894070" w:rsidRDefault="00894070">
      <w:pPr>
        <w:pStyle w:val="BodyText"/>
      </w:pPr>
    </w:p>
    <w:p w14:paraId="3C05E41D" w14:textId="77777777" w:rsidR="00894070" w:rsidRDefault="00894070">
      <w:pPr>
        <w:pStyle w:val="BodyText"/>
        <w:spacing w:before="2"/>
        <w:rPr>
          <w:sz w:val="13"/>
        </w:rPr>
      </w:pPr>
    </w:p>
    <w:p w14:paraId="490D01A7" w14:textId="77777777" w:rsidR="00894070" w:rsidRDefault="009B7AFD">
      <w:pPr>
        <w:pStyle w:val="Heading8"/>
        <w:spacing w:before="48"/>
        <w:ind w:left="140"/>
      </w:pPr>
      <w:r>
        <w:rPr>
          <w:color w:val="EA5B50"/>
        </w:rPr>
        <w:t>202</w:t>
      </w:r>
    </w:p>
    <w:p w14:paraId="13054AB3" w14:textId="77777777" w:rsidR="00894070" w:rsidRDefault="00894070">
      <w:pPr>
        <w:sectPr w:rsidR="00894070">
          <w:pgSz w:w="11910" w:h="16840"/>
          <w:pgMar w:top="860" w:right="420" w:bottom="280" w:left="580" w:header="567" w:footer="0" w:gutter="0"/>
          <w:cols w:space="720"/>
        </w:sectPr>
      </w:pPr>
    </w:p>
    <w:p w14:paraId="4D0F5F23" w14:textId="77777777" w:rsidR="00894070" w:rsidRDefault="00894070">
      <w:pPr>
        <w:pStyle w:val="BodyText"/>
        <w:rPr>
          <w:b/>
        </w:rPr>
      </w:pPr>
    </w:p>
    <w:p w14:paraId="61C19EB3" w14:textId="77777777" w:rsidR="00894070" w:rsidRDefault="00894070">
      <w:pPr>
        <w:pStyle w:val="BodyText"/>
        <w:rPr>
          <w:b/>
        </w:rPr>
      </w:pPr>
    </w:p>
    <w:p w14:paraId="5BF222D3" w14:textId="77777777" w:rsidR="00894070" w:rsidRDefault="00894070">
      <w:pPr>
        <w:pStyle w:val="BodyText"/>
        <w:rPr>
          <w:b/>
        </w:rPr>
      </w:pPr>
    </w:p>
    <w:p w14:paraId="732EE4C5" w14:textId="77777777" w:rsidR="00894070" w:rsidRDefault="00894070">
      <w:pPr>
        <w:pStyle w:val="BodyText"/>
        <w:spacing w:before="6"/>
        <w:rPr>
          <w:b/>
          <w:sz w:val="14"/>
        </w:rPr>
      </w:pPr>
    </w:p>
    <w:p w14:paraId="690B5DE3" w14:textId="77777777" w:rsidR="00894070" w:rsidRDefault="009B7AFD">
      <w:pPr>
        <w:pStyle w:val="BodyText"/>
        <w:spacing w:before="58" w:line="259" w:lineRule="exact"/>
        <w:ind w:left="1007"/>
      </w:pPr>
      <w:r>
        <w:rPr>
          <w:color w:val="231F20"/>
        </w:rPr>
        <w:t>Sibenik, Michelle, ‘A Critical Analysis of the Applications of Anti-Stalking Legislation in Victoria,</w:t>
      </w:r>
    </w:p>
    <w:p w14:paraId="741DC546" w14:textId="77777777" w:rsidR="00894070" w:rsidRDefault="009B7AFD">
      <w:pPr>
        <w:pStyle w:val="BodyText"/>
        <w:spacing w:line="259" w:lineRule="exact"/>
        <w:ind w:left="1007"/>
      </w:pPr>
      <w:r>
        <w:rPr>
          <w:color w:val="231F20"/>
        </w:rPr>
        <w:t>Australia’ (PhD Thesis, Monash University, 2018)</w:t>
      </w:r>
    </w:p>
    <w:p w14:paraId="3525F947" w14:textId="77777777" w:rsidR="00894070" w:rsidRDefault="009B7AFD">
      <w:pPr>
        <w:pStyle w:val="BodyText"/>
        <w:spacing w:before="108" w:line="206" w:lineRule="auto"/>
        <w:ind w:left="1007" w:right="1206"/>
      </w:pPr>
      <w:r>
        <w:rPr>
          <w:color w:val="231F20"/>
          <w:spacing w:val="-3"/>
        </w:rPr>
        <w:t xml:space="preserve">Silvester, </w:t>
      </w:r>
      <w:r>
        <w:rPr>
          <w:color w:val="231F20"/>
        </w:rPr>
        <w:t xml:space="preserve">John, ‘Cyber-Crime: How Police Are Rebooting Methods for a New </w:t>
      </w:r>
      <w:r>
        <w:rPr>
          <w:color w:val="231F20"/>
          <w:spacing w:val="-4"/>
        </w:rPr>
        <w:t xml:space="preserve">Era’, </w:t>
      </w:r>
      <w:r>
        <w:rPr>
          <w:i/>
          <w:color w:val="231F20"/>
        </w:rPr>
        <w:t xml:space="preserve">The Age </w:t>
      </w:r>
      <w:r>
        <w:rPr>
          <w:color w:val="231F20"/>
        </w:rPr>
        <w:t xml:space="preserve">(online, 15 October 2021) </w:t>
      </w:r>
      <w:r>
        <w:rPr>
          <w:color w:val="231F20"/>
          <w:spacing w:val="-3"/>
        </w:rPr>
        <w:t>&lt;</w:t>
      </w:r>
      <w:hyperlink r:id="rId306">
        <w:r>
          <w:rPr>
            <w:color w:val="231F20"/>
            <w:spacing w:val="-3"/>
          </w:rPr>
          <w:t>https://www.theage.com.au/national/victoria/cyber-cops-the-new-</w:t>
        </w:r>
      </w:hyperlink>
      <w:r>
        <w:rPr>
          <w:color w:val="231F20"/>
          <w:spacing w:val="-3"/>
        </w:rPr>
        <w:t xml:space="preserve"> </w:t>
      </w:r>
      <w:hyperlink r:id="rId307">
        <w:r>
          <w:rPr>
            <w:color w:val="231F20"/>
            <w:spacing w:val="-3"/>
          </w:rPr>
          <w:t>frontier-20211014-p58zuv.html</w:t>
        </w:r>
      </w:hyperlink>
      <w:r>
        <w:rPr>
          <w:color w:val="231F20"/>
          <w:spacing w:val="-3"/>
        </w:rPr>
        <w:t>&gt;</w:t>
      </w:r>
    </w:p>
    <w:p w14:paraId="0CD8F389" w14:textId="77777777" w:rsidR="00894070" w:rsidRDefault="009B7AFD">
      <w:pPr>
        <w:spacing w:before="117" w:line="206" w:lineRule="auto"/>
        <w:ind w:left="1007" w:right="2041"/>
        <w:rPr>
          <w:sz w:val="20"/>
        </w:rPr>
      </w:pPr>
      <w:r>
        <w:rPr>
          <w:color w:val="231F20"/>
          <w:sz w:val="20"/>
        </w:rPr>
        <w:t xml:space="preserve">Spence-Diehl, Emily, ‘Intensive Case Management for Victims of Stalking: A Pilot Test Evaluation’ (2004) 4(4) </w:t>
      </w:r>
      <w:r>
        <w:rPr>
          <w:i/>
          <w:color w:val="231F20"/>
          <w:sz w:val="20"/>
        </w:rPr>
        <w:t xml:space="preserve">Brief Treatment and Crisis Intervention </w:t>
      </w:r>
      <w:r>
        <w:rPr>
          <w:color w:val="231F20"/>
          <w:sz w:val="20"/>
        </w:rPr>
        <w:t>323</w:t>
      </w:r>
    </w:p>
    <w:p w14:paraId="7A0380F8" w14:textId="77777777" w:rsidR="00894070" w:rsidRDefault="009B7AFD">
      <w:pPr>
        <w:pStyle w:val="BodyText"/>
        <w:spacing w:before="116" w:line="206" w:lineRule="auto"/>
        <w:ind w:left="1007" w:right="1459"/>
      </w:pPr>
      <w:r>
        <w:rPr>
          <w:color w:val="231F20"/>
        </w:rPr>
        <w:t>Spencer Scott, W, ‘Electronic Boundary Violations Among Gay and Bisexual Men’ (Doctoral Project, Roosevelt University, 2016)</w:t>
      </w:r>
    </w:p>
    <w:p w14:paraId="73779EC1" w14:textId="77777777" w:rsidR="00894070" w:rsidRDefault="009B7AFD">
      <w:pPr>
        <w:pStyle w:val="BodyText"/>
        <w:spacing w:before="83" w:line="259" w:lineRule="exact"/>
        <w:ind w:left="1007"/>
      </w:pPr>
      <w:r>
        <w:rPr>
          <w:color w:val="231F20"/>
        </w:rPr>
        <w:t xml:space="preserve">‘Stalking’, </w:t>
      </w:r>
      <w:r>
        <w:rPr>
          <w:i/>
          <w:color w:val="231F20"/>
        </w:rPr>
        <w:t xml:space="preserve">1800RESPECT </w:t>
      </w:r>
      <w:r>
        <w:rPr>
          <w:color w:val="231F20"/>
        </w:rPr>
        <w:t>(Web Page) &lt;https://www.1800</w:t>
      </w:r>
      <w:hyperlink r:id="rId308">
        <w:r>
          <w:rPr>
            <w:color w:val="231F20"/>
          </w:rPr>
          <w:t>respect.org.au/violence-and-abuse/</w:t>
        </w:r>
      </w:hyperlink>
    </w:p>
    <w:p w14:paraId="4F124B46" w14:textId="77777777" w:rsidR="00894070" w:rsidRDefault="009F6793">
      <w:pPr>
        <w:pStyle w:val="BodyText"/>
        <w:spacing w:line="259" w:lineRule="exact"/>
        <w:ind w:left="1007"/>
      </w:pPr>
      <w:hyperlink r:id="rId309">
        <w:r w:rsidR="009B7AFD">
          <w:rPr>
            <w:color w:val="231F20"/>
          </w:rPr>
          <w:t>stalking</w:t>
        </w:r>
      </w:hyperlink>
      <w:r w:rsidR="009B7AFD">
        <w:rPr>
          <w:color w:val="231F20"/>
        </w:rPr>
        <w:t>&gt;</w:t>
      </w:r>
    </w:p>
    <w:p w14:paraId="0BDE8B55" w14:textId="77777777" w:rsidR="00894070" w:rsidRDefault="009B7AFD">
      <w:pPr>
        <w:spacing w:before="109" w:line="206" w:lineRule="auto"/>
        <w:ind w:left="1007" w:right="1234"/>
        <w:rPr>
          <w:sz w:val="20"/>
        </w:rPr>
      </w:pPr>
      <w:r>
        <w:rPr>
          <w:color w:val="231F20"/>
          <w:sz w:val="20"/>
        </w:rPr>
        <w:t xml:space="preserve">‘Stalking’, </w:t>
      </w:r>
      <w:r>
        <w:rPr>
          <w:i/>
          <w:color w:val="231F20"/>
          <w:sz w:val="20"/>
        </w:rPr>
        <w:t xml:space="preserve">Victim Connect Resource Center </w:t>
      </w:r>
      <w:r>
        <w:rPr>
          <w:color w:val="231F20"/>
          <w:sz w:val="20"/>
        </w:rPr>
        <w:t xml:space="preserve">(Web Page, 2022) </w:t>
      </w:r>
      <w:r>
        <w:rPr>
          <w:color w:val="231F20"/>
          <w:spacing w:val="-3"/>
          <w:sz w:val="20"/>
        </w:rPr>
        <w:t>&lt;</w:t>
      </w:r>
      <w:hyperlink r:id="rId310">
        <w:r>
          <w:rPr>
            <w:color w:val="231F20"/>
            <w:spacing w:val="-3"/>
            <w:sz w:val="20"/>
          </w:rPr>
          <w:t>https://victimconnect.org/learn/</w:t>
        </w:r>
      </w:hyperlink>
      <w:r>
        <w:rPr>
          <w:color w:val="231F20"/>
          <w:spacing w:val="-3"/>
          <w:sz w:val="20"/>
        </w:rPr>
        <w:t xml:space="preserve"> </w:t>
      </w:r>
      <w:hyperlink r:id="rId311">
        <w:r>
          <w:rPr>
            <w:color w:val="231F20"/>
            <w:spacing w:val="-3"/>
            <w:sz w:val="20"/>
          </w:rPr>
          <w:t>types-of-crime/stalking/</w:t>
        </w:r>
      </w:hyperlink>
      <w:r>
        <w:rPr>
          <w:color w:val="231F20"/>
          <w:spacing w:val="-3"/>
          <w:sz w:val="20"/>
        </w:rPr>
        <w:t>&gt;</w:t>
      </w:r>
    </w:p>
    <w:p w14:paraId="7393F99E" w14:textId="77777777" w:rsidR="00894070" w:rsidRDefault="009B7AFD">
      <w:pPr>
        <w:pStyle w:val="BodyText"/>
        <w:spacing w:before="116" w:line="206" w:lineRule="auto"/>
        <w:ind w:left="1007" w:right="1524"/>
      </w:pPr>
      <w:r>
        <w:rPr>
          <w:color w:val="231F20"/>
        </w:rPr>
        <w:t xml:space="preserve">‘Stalking and Harassment’, </w:t>
      </w:r>
      <w:r>
        <w:rPr>
          <w:i/>
          <w:color w:val="231F20"/>
        </w:rPr>
        <w:t xml:space="preserve">Victim Support </w:t>
      </w:r>
      <w:r>
        <w:rPr>
          <w:color w:val="231F20"/>
        </w:rPr>
        <w:t>(Web Page) &lt;</w:t>
      </w:r>
      <w:hyperlink r:id="rId312">
        <w:r>
          <w:rPr>
            <w:color w:val="231F20"/>
          </w:rPr>
          <w:t>https://www.victimsupport.org.uk/</w:t>
        </w:r>
      </w:hyperlink>
      <w:r>
        <w:rPr>
          <w:color w:val="231F20"/>
        </w:rPr>
        <w:t xml:space="preserve"> </w:t>
      </w:r>
      <w:hyperlink r:id="rId313">
        <w:r>
          <w:rPr>
            <w:color w:val="231F20"/>
          </w:rPr>
          <w:t>crime-info/types-crime/stalking-and-harassment/</w:t>
        </w:r>
      </w:hyperlink>
      <w:r>
        <w:rPr>
          <w:color w:val="231F20"/>
        </w:rPr>
        <w:t>&gt;</w:t>
      </w:r>
    </w:p>
    <w:p w14:paraId="0EDC1604" w14:textId="77777777" w:rsidR="00894070" w:rsidRDefault="009B7AFD">
      <w:pPr>
        <w:spacing w:before="115" w:line="206" w:lineRule="auto"/>
        <w:ind w:left="1007" w:right="1459"/>
        <w:rPr>
          <w:sz w:val="20"/>
        </w:rPr>
      </w:pPr>
      <w:r>
        <w:rPr>
          <w:color w:val="231F20"/>
          <w:sz w:val="20"/>
        </w:rPr>
        <w:t xml:space="preserve">Standing Committee on Social Issues, Parliament of New South Wales, </w:t>
      </w:r>
      <w:r>
        <w:rPr>
          <w:i/>
          <w:color w:val="231F20"/>
          <w:sz w:val="20"/>
        </w:rPr>
        <w:t xml:space="preserve">Domestic Violence Trends and Issues in NSW </w:t>
      </w:r>
      <w:r>
        <w:rPr>
          <w:color w:val="231F20"/>
          <w:sz w:val="20"/>
        </w:rPr>
        <w:t>(Report No 46, August 2012).</w:t>
      </w:r>
    </w:p>
    <w:p w14:paraId="2C45556C" w14:textId="77777777" w:rsidR="00894070" w:rsidRDefault="009B7AFD">
      <w:pPr>
        <w:pStyle w:val="BodyText"/>
        <w:spacing w:before="116" w:line="206" w:lineRule="auto"/>
        <w:ind w:left="1007" w:right="1899"/>
      </w:pPr>
      <w:r>
        <w:rPr>
          <w:color w:val="231F20"/>
        </w:rPr>
        <w:t xml:space="preserve">Stanton, Michael and Paul Smallwood, ‘Pause for Thought? The Case for Reversing the Abolition of De Novo Criminal Appeals’ (2021) 169 </w:t>
      </w:r>
      <w:r>
        <w:rPr>
          <w:i/>
          <w:color w:val="231F20"/>
        </w:rPr>
        <w:t xml:space="preserve">Victorian Bar News </w:t>
      </w:r>
      <w:r>
        <w:rPr>
          <w:color w:val="231F20"/>
        </w:rPr>
        <w:t>46</w:t>
      </w:r>
    </w:p>
    <w:p w14:paraId="7AEACC06" w14:textId="77777777" w:rsidR="00894070" w:rsidRDefault="009B7AFD">
      <w:pPr>
        <w:spacing w:before="116" w:line="206" w:lineRule="auto"/>
        <w:ind w:left="1007" w:right="1168"/>
        <w:rPr>
          <w:sz w:val="20"/>
        </w:rPr>
      </w:pPr>
      <w:r>
        <w:rPr>
          <w:color w:val="231F20"/>
          <w:sz w:val="20"/>
        </w:rPr>
        <w:t xml:space="preserve">Strickland, Pat, </w:t>
      </w:r>
      <w:r>
        <w:rPr>
          <w:i/>
          <w:color w:val="231F20"/>
          <w:sz w:val="20"/>
        </w:rPr>
        <w:t xml:space="preserve">Harassment: ‘Police Information Notices’ or ‘Early Harassment Notices’ in England and Wales </w:t>
      </w:r>
      <w:r>
        <w:rPr>
          <w:color w:val="231F20"/>
          <w:sz w:val="20"/>
        </w:rPr>
        <w:t>(House of Commons Library Research Briefing No 06411, 29 June 2018)</w:t>
      </w:r>
    </w:p>
    <w:p w14:paraId="1CA20070" w14:textId="77777777" w:rsidR="00894070" w:rsidRDefault="009B7AFD">
      <w:pPr>
        <w:spacing w:before="84"/>
        <w:ind w:left="1007"/>
        <w:rPr>
          <w:sz w:val="20"/>
        </w:rPr>
      </w:pPr>
      <w:r>
        <w:rPr>
          <w:color w:val="231F20"/>
          <w:sz w:val="20"/>
        </w:rPr>
        <w:t xml:space="preserve">Suzy Lamplugh Trust, </w:t>
      </w:r>
      <w:r>
        <w:rPr>
          <w:i/>
          <w:color w:val="231F20"/>
          <w:sz w:val="20"/>
        </w:rPr>
        <w:t xml:space="preserve">Unmasking Stalking: A Changing Landscape </w:t>
      </w:r>
      <w:r>
        <w:rPr>
          <w:color w:val="231F20"/>
          <w:sz w:val="20"/>
        </w:rPr>
        <w:t>(Report, April 2021)</w:t>
      </w:r>
    </w:p>
    <w:p w14:paraId="0DF77EB7" w14:textId="77777777" w:rsidR="00894070" w:rsidRDefault="009B7AFD">
      <w:pPr>
        <w:pStyle w:val="BodyText"/>
        <w:spacing w:before="108" w:line="206" w:lineRule="auto"/>
        <w:ind w:left="1007" w:right="1870"/>
      </w:pPr>
      <w:r>
        <w:rPr>
          <w:color w:val="231F20"/>
        </w:rPr>
        <w:t>Symes Jaclyn, Attorney-General (Vic), ‘Supporting Our Courts To Drive Down COVID-19 Backlogs’ (Media Release, 13 May 2021)</w:t>
      </w:r>
    </w:p>
    <w:p w14:paraId="6AC4E488" w14:textId="77777777" w:rsidR="00894070" w:rsidRDefault="009B7AFD">
      <w:pPr>
        <w:spacing w:before="116" w:line="206" w:lineRule="auto"/>
        <w:ind w:left="1007" w:right="1763"/>
        <w:rPr>
          <w:sz w:val="20"/>
        </w:rPr>
      </w:pPr>
      <w:r>
        <w:rPr>
          <w:color w:val="231F20"/>
          <w:sz w:val="20"/>
        </w:rPr>
        <w:t xml:space="preserve">Tavani, Herman T and Frances S Grodzinsky, ‘Cyberstalking, Personal Privacy, and Moral Responsibility’ (2002) 4(2) </w:t>
      </w:r>
      <w:r>
        <w:rPr>
          <w:i/>
          <w:color w:val="231F20"/>
          <w:sz w:val="20"/>
        </w:rPr>
        <w:t xml:space="preserve">Ethics and Information Technology </w:t>
      </w:r>
      <w:r>
        <w:rPr>
          <w:color w:val="231F20"/>
          <w:sz w:val="20"/>
        </w:rPr>
        <w:t>123</w:t>
      </w:r>
    </w:p>
    <w:p w14:paraId="1E801C23" w14:textId="77777777" w:rsidR="00894070" w:rsidRDefault="009B7AFD">
      <w:pPr>
        <w:pStyle w:val="BodyText"/>
        <w:spacing w:before="116" w:line="206" w:lineRule="auto"/>
        <w:ind w:left="1007" w:right="1461"/>
      </w:pPr>
      <w:r>
        <w:rPr>
          <w:color w:val="231F20"/>
        </w:rPr>
        <w:t xml:space="preserve">Taylor-Dunn, Holly, Erica Bowen and Elizabeth A Gilchrist, ‘Reporting Harassment and Stalking to the Police: A Qualitative Study of Victims’ Experiences’ (2021) 36(11–12) </w:t>
      </w:r>
      <w:r>
        <w:rPr>
          <w:i/>
          <w:color w:val="231F20"/>
        </w:rPr>
        <w:t xml:space="preserve">Journal of Interpersonal Violence </w:t>
      </w:r>
      <w:r>
        <w:rPr>
          <w:color w:val="231F20"/>
        </w:rPr>
        <w:t>10.1177/0886260518811423:1–29</w:t>
      </w:r>
    </w:p>
    <w:p w14:paraId="33C41F64" w14:textId="77777777" w:rsidR="00894070" w:rsidRDefault="009B7AFD">
      <w:pPr>
        <w:spacing w:before="117" w:line="206" w:lineRule="auto"/>
        <w:ind w:left="1007" w:right="1121"/>
        <w:rPr>
          <w:sz w:val="20"/>
        </w:rPr>
      </w:pPr>
      <w:r>
        <w:rPr>
          <w:color w:val="231F20"/>
          <w:sz w:val="20"/>
        </w:rPr>
        <w:t xml:space="preserve">Taylor-Dunn, Holly, Erica Bowen and Liz Gilchrist, </w:t>
      </w:r>
      <w:r>
        <w:rPr>
          <w:i/>
          <w:color w:val="231F20"/>
          <w:sz w:val="20"/>
        </w:rPr>
        <w:t xml:space="preserve">The Victim Journey : A Participatory Research Project Seeking the Views and Experiences of Victims of Stalking and Harassment </w:t>
      </w:r>
      <w:r>
        <w:rPr>
          <w:color w:val="231F20"/>
          <w:sz w:val="20"/>
        </w:rPr>
        <w:t>(Report, Centre for Violence Prevention, University of Worcester, July 2017)</w:t>
      </w:r>
    </w:p>
    <w:p w14:paraId="05F50D68" w14:textId="77777777" w:rsidR="00894070" w:rsidRDefault="009B7AFD">
      <w:pPr>
        <w:spacing w:before="12" w:line="350" w:lineRule="atLeast"/>
        <w:ind w:left="1007" w:right="1459"/>
        <w:rPr>
          <w:sz w:val="20"/>
        </w:rPr>
      </w:pPr>
      <w:r>
        <w:rPr>
          <w:color w:val="231F20"/>
          <w:spacing w:val="-4"/>
          <w:sz w:val="20"/>
        </w:rPr>
        <w:t xml:space="preserve">‘Tech </w:t>
      </w:r>
      <w:r>
        <w:rPr>
          <w:color w:val="231F20"/>
          <w:sz w:val="20"/>
        </w:rPr>
        <w:t xml:space="preserve">Safety </w:t>
      </w:r>
      <w:r>
        <w:rPr>
          <w:color w:val="231F20"/>
          <w:spacing w:val="-4"/>
          <w:sz w:val="20"/>
        </w:rPr>
        <w:t xml:space="preserve">App’, </w:t>
      </w:r>
      <w:r>
        <w:rPr>
          <w:i/>
          <w:color w:val="231F20"/>
          <w:spacing w:val="-5"/>
          <w:sz w:val="20"/>
        </w:rPr>
        <w:t xml:space="preserve">Tech </w:t>
      </w:r>
      <w:r>
        <w:rPr>
          <w:i/>
          <w:color w:val="231F20"/>
          <w:sz w:val="20"/>
        </w:rPr>
        <w:t xml:space="preserve">Safety </w:t>
      </w:r>
      <w:r>
        <w:rPr>
          <w:color w:val="231F20"/>
          <w:sz w:val="20"/>
        </w:rPr>
        <w:t xml:space="preserve">(Web Page) </w:t>
      </w:r>
      <w:r>
        <w:rPr>
          <w:color w:val="231F20"/>
          <w:spacing w:val="-3"/>
          <w:sz w:val="20"/>
        </w:rPr>
        <w:t>&lt;</w:t>
      </w:r>
      <w:hyperlink r:id="rId314">
        <w:r>
          <w:rPr>
            <w:color w:val="231F20"/>
            <w:spacing w:val="-3"/>
            <w:sz w:val="20"/>
          </w:rPr>
          <w:t>https://www.techsafetyapp.org/home</w:t>
        </w:r>
      </w:hyperlink>
      <w:r>
        <w:rPr>
          <w:color w:val="231F20"/>
          <w:spacing w:val="-3"/>
          <w:sz w:val="20"/>
        </w:rPr>
        <w:t xml:space="preserve">&gt; ‘Technology Safety’, </w:t>
      </w:r>
      <w:r>
        <w:rPr>
          <w:i/>
          <w:color w:val="231F20"/>
          <w:sz w:val="20"/>
        </w:rPr>
        <w:t xml:space="preserve">National Network </w:t>
      </w:r>
      <w:r>
        <w:rPr>
          <w:i/>
          <w:color w:val="231F20"/>
          <w:spacing w:val="-3"/>
          <w:sz w:val="20"/>
        </w:rPr>
        <w:t xml:space="preserve">to </w:t>
      </w:r>
      <w:r>
        <w:rPr>
          <w:i/>
          <w:color w:val="231F20"/>
          <w:sz w:val="20"/>
        </w:rPr>
        <w:t xml:space="preserve">End Domestic Violence </w:t>
      </w:r>
      <w:r>
        <w:rPr>
          <w:color w:val="231F20"/>
          <w:sz w:val="20"/>
        </w:rPr>
        <w:t>(Web Page)</w:t>
      </w:r>
    </w:p>
    <w:p w14:paraId="25100C99" w14:textId="77777777" w:rsidR="00894070" w:rsidRDefault="009B7AFD">
      <w:pPr>
        <w:pStyle w:val="BodyText"/>
        <w:spacing w:line="243" w:lineRule="exact"/>
        <w:ind w:left="1007"/>
      </w:pPr>
      <w:r>
        <w:rPr>
          <w:color w:val="231F20"/>
        </w:rPr>
        <w:t>&lt;</w:t>
      </w:r>
      <w:hyperlink r:id="rId315">
        <w:r>
          <w:rPr>
            <w:color w:val="231F20"/>
          </w:rPr>
          <w:t>https://www.techsafety.org</w:t>
        </w:r>
      </w:hyperlink>
      <w:r>
        <w:rPr>
          <w:color w:val="231F20"/>
        </w:rPr>
        <w:t>&gt;</w:t>
      </w:r>
    </w:p>
    <w:p w14:paraId="73C01DCC" w14:textId="77777777" w:rsidR="00894070" w:rsidRDefault="009B7AFD">
      <w:pPr>
        <w:spacing w:before="108" w:line="206" w:lineRule="auto"/>
        <w:ind w:left="1007" w:right="1459"/>
        <w:rPr>
          <w:sz w:val="20"/>
        </w:rPr>
      </w:pPr>
      <w:r>
        <w:rPr>
          <w:color w:val="231F20"/>
          <w:spacing w:val="-3"/>
          <w:sz w:val="20"/>
        </w:rPr>
        <w:t xml:space="preserve">‘Technology </w:t>
      </w:r>
      <w:r>
        <w:rPr>
          <w:color w:val="231F20"/>
          <w:sz w:val="20"/>
        </w:rPr>
        <w:t xml:space="preserve">Safety &amp; Privacy: A </w:t>
      </w:r>
      <w:r>
        <w:rPr>
          <w:color w:val="231F20"/>
          <w:spacing w:val="-3"/>
          <w:sz w:val="20"/>
        </w:rPr>
        <w:t xml:space="preserve">Toolkit </w:t>
      </w:r>
      <w:r>
        <w:rPr>
          <w:color w:val="231F20"/>
          <w:sz w:val="20"/>
        </w:rPr>
        <w:t xml:space="preserve">for Survivors’, </w:t>
      </w:r>
      <w:r>
        <w:rPr>
          <w:i/>
          <w:color w:val="231F20"/>
          <w:sz w:val="20"/>
        </w:rPr>
        <w:t xml:space="preserve">National Network </w:t>
      </w:r>
      <w:r>
        <w:rPr>
          <w:i/>
          <w:color w:val="231F20"/>
          <w:spacing w:val="-3"/>
          <w:sz w:val="20"/>
        </w:rPr>
        <w:t xml:space="preserve">to </w:t>
      </w:r>
      <w:r>
        <w:rPr>
          <w:i/>
          <w:color w:val="231F20"/>
          <w:sz w:val="20"/>
        </w:rPr>
        <w:t xml:space="preserve">End Domestic Violence </w:t>
      </w:r>
      <w:r>
        <w:rPr>
          <w:color w:val="231F20"/>
          <w:sz w:val="20"/>
        </w:rPr>
        <w:t xml:space="preserve">(Web Page) </w:t>
      </w:r>
      <w:r>
        <w:rPr>
          <w:color w:val="231F20"/>
          <w:spacing w:val="-3"/>
          <w:sz w:val="20"/>
        </w:rPr>
        <w:t>&lt;</w:t>
      </w:r>
      <w:hyperlink r:id="rId316">
        <w:r>
          <w:rPr>
            <w:color w:val="231F20"/>
            <w:spacing w:val="-3"/>
            <w:sz w:val="20"/>
          </w:rPr>
          <w:t>https://www.techsafety.org/resources-survivors</w:t>
        </w:r>
      </w:hyperlink>
      <w:r>
        <w:rPr>
          <w:color w:val="231F20"/>
          <w:spacing w:val="-3"/>
          <w:sz w:val="20"/>
        </w:rPr>
        <w:t>&gt;</w:t>
      </w:r>
    </w:p>
    <w:p w14:paraId="2C44219B" w14:textId="77777777" w:rsidR="00894070" w:rsidRDefault="009B7AFD">
      <w:pPr>
        <w:spacing w:before="84" w:line="259" w:lineRule="exact"/>
        <w:ind w:left="1007"/>
        <w:rPr>
          <w:sz w:val="20"/>
        </w:rPr>
      </w:pPr>
      <w:r>
        <w:rPr>
          <w:color w:val="231F20"/>
          <w:sz w:val="20"/>
        </w:rPr>
        <w:t xml:space="preserve">‘The Safety Net Project’, </w:t>
      </w:r>
      <w:r>
        <w:rPr>
          <w:i/>
          <w:color w:val="231F20"/>
          <w:sz w:val="20"/>
        </w:rPr>
        <w:t xml:space="preserve">National Network to End Domestic Violence (NNEDV) </w:t>
      </w:r>
      <w:r>
        <w:rPr>
          <w:color w:val="231F20"/>
          <w:sz w:val="20"/>
        </w:rPr>
        <w:t>(Web Page)</w:t>
      </w:r>
    </w:p>
    <w:p w14:paraId="4CCA12F2" w14:textId="77777777" w:rsidR="00894070" w:rsidRDefault="009B7AFD">
      <w:pPr>
        <w:pStyle w:val="BodyText"/>
        <w:spacing w:line="259" w:lineRule="exact"/>
        <w:ind w:left="1007"/>
      </w:pPr>
      <w:r>
        <w:rPr>
          <w:color w:val="231F20"/>
        </w:rPr>
        <w:t>&lt;</w:t>
      </w:r>
      <w:hyperlink r:id="rId317">
        <w:r>
          <w:rPr>
            <w:color w:val="231F20"/>
          </w:rPr>
          <w:t>https://nnedv.org/content/technology-safety/</w:t>
        </w:r>
      </w:hyperlink>
      <w:r>
        <w:rPr>
          <w:color w:val="231F20"/>
        </w:rPr>
        <w:t>&gt;</w:t>
      </w:r>
    </w:p>
    <w:p w14:paraId="7F45AD5F" w14:textId="77777777" w:rsidR="00894070" w:rsidRDefault="009B7AFD">
      <w:pPr>
        <w:pStyle w:val="BodyText"/>
        <w:spacing w:before="108" w:line="206" w:lineRule="auto"/>
        <w:ind w:left="1007" w:right="1387"/>
      </w:pPr>
      <w:r>
        <w:rPr>
          <w:color w:val="231F20"/>
        </w:rPr>
        <w:t>Tidmarsh, Patrick, ‘Training Sexual Crime Investigators to Get the “Whole Story”’ (PhD Thesis, Deakin University, 2016)</w:t>
      </w:r>
    </w:p>
    <w:p w14:paraId="2F18FF16" w14:textId="77777777" w:rsidR="00894070" w:rsidRDefault="009B7AFD">
      <w:pPr>
        <w:pStyle w:val="BodyText"/>
        <w:spacing w:before="116" w:line="206" w:lineRule="auto"/>
        <w:ind w:left="1007" w:right="1472"/>
      </w:pPr>
      <w:r>
        <w:rPr>
          <w:color w:val="231F20"/>
        </w:rPr>
        <w:t xml:space="preserve">Todd, Chris, Joanne Bryce and Virginia NL Franqueira, ‘Technology, Cyberstalking and Domestic Homicide: Informing Prevention and Response Strategies’ (2021) 31(1) </w:t>
      </w:r>
      <w:r>
        <w:rPr>
          <w:i/>
          <w:color w:val="231F20"/>
        </w:rPr>
        <w:t xml:space="preserve">Policing and Society </w:t>
      </w:r>
      <w:r>
        <w:rPr>
          <w:color w:val="231F20"/>
        </w:rPr>
        <w:t>82</w:t>
      </w:r>
    </w:p>
    <w:p w14:paraId="6CFEC648" w14:textId="77777777" w:rsidR="00894070" w:rsidRDefault="009B7AFD">
      <w:pPr>
        <w:pStyle w:val="BodyText"/>
        <w:spacing w:before="85"/>
        <w:ind w:left="1007"/>
      </w:pPr>
      <w:r>
        <w:rPr>
          <w:color w:val="231F20"/>
        </w:rPr>
        <w:t>Tompson, Lisa, Jyoti Belur and Kritika Jerath,</w:t>
      </w:r>
    </w:p>
    <w:p w14:paraId="0509A974" w14:textId="77777777" w:rsidR="00894070" w:rsidRDefault="00894070">
      <w:pPr>
        <w:pStyle w:val="BodyText"/>
      </w:pPr>
    </w:p>
    <w:p w14:paraId="5EB66CD4" w14:textId="77777777" w:rsidR="00894070" w:rsidRDefault="00894070">
      <w:pPr>
        <w:pStyle w:val="BodyText"/>
      </w:pPr>
    </w:p>
    <w:p w14:paraId="1779E8DE" w14:textId="77777777" w:rsidR="00894070" w:rsidRDefault="00894070">
      <w:pPr>
        <w:pStyle w:val="BodyText"/>
        <w:spacing w:before="8"/>
        <w:rPr>
          <w:sz w:val="16"/>
        </w:rPr>
      </w:pPr>
    </w:p>
    <w:p w14:paraId="3AE75D0C" w14:textId="77777777" w:rsidR="00894070" w:rsidRDefault="009B7AFD">
      <w:pPr>
        <w:pStyle w:val="Heading8"/>
        <w:spacing w:before="48"/>
        <w:ind w:right="175"/>
        <w:jc w:val="right"/>
      </w:pPr>
      <w:r>
        <w:rPr>
          <w:color w:val="EA5B50"/>
        </w:rPr>
        <w:t>203</w:t>
      </w:r>
    </w:p>
    <w:p w14:paraId="58E96B60" w14:textId="77777777" w:rsidR="00894070" w:rsidRDefault="00894070">
      <w:pPr>
        <w:jc w:val="right"/>
        <w:sectPr w:rsidR="00894070">
          <w:pgSz w:w="11910" w:h="16840"/>
          <w:pgMar w:top="840" w:right="420" w:bottom="280" w:left="580" w:header="0" w:footer="0" w:gutter="0"/>
          <w:cols w:space="720"/>
        </w:sectPr>
      </w:pPr>
    </w:p>
    <w:p w14:paraId="0DC92FCC" w14:textId="77777777" w:rsidR="00894070" w:rsidRDefault="00894070">
      <w:pPr>
        <w:pStyle w:val="BodyText"/>
        <w:rPr>
          <w:b/>
        </w:rPr>
      </w:pPr>
    </w:p>
    <w:p w14:paraId="7A3B6A7D" w14:textId="77777777" w:rsidR="00894070" w:rsidRDefault="00894070">
      <w:pPr>
        <w:pStyle w:val="BodyText"/>
        <w:rPr>
          <w:b/>
        </w:rPr>
      </w:pPr>
    </w:p>
    <w:p w14:paraId="54714541" w14:textId="77777777" w:rsidR="00894070" w:rsidRDefault="00894070">
      <w:pPr>
        <w:pStyle w:val="BodyText"/>
        <w:rPr>
          <w:b/>
        </w:rPr>
      </w:pPr>
    </w:p>
    <w:p w14:paraId="187AB498" w14:textId="77777777" w:rsidR="00894070" w:rsidRDefault="00894070">
      <w:pPr>
        <w:pStyle w:val="BodyText"/>
        <w:spacing w:before="7"/>
        <w:rPr>
          <w:b/>
          <w:sz w:val="16"/>
        </w:rPr>
      </w:pPr>
    </w:p>
    <w:p w14:paraId="366EE6DD" w14:textId="77777777" w:rsidR="00894070" w:rsidRDefault="009B7AFD">
      <w:pPr>
        <w:pStyle w:val="ListParagraph"/>
        <w:numPr>
          <w:ilvl w:val="0"/>
          <w:numId w:val="4"/>
        </w:numPr>
        <w:tabs>
          <w:tab w:val="left" w:pos="1347"/>
          <w:tab w:val="left" w:pos="1348"/>
        </w:tabs>
        <w:spacing w:line="259" w:lineRule="exact"/>
        <w:ind w:hanging="340"/>
        <w:rPr>
          <w:sz w:val="20"/>
        </w:rPr>
      </w:pPr>
      <w:r>
        <w:rPr>
          <w:color w:val="231F20"/>
          <w:spacing w:val="-8"/>
          <w:sz w:val="20"/>
        </w:rPr>
        <w:t xml:space="preserve">‘A </w:t>
      </w:r>
      <w:r>
        <w:rPr>
          <w:color w:val="231F20"/>
          <w:sz w:val="20"/>
        </w:rPr>
        <w:t>Victim-Centred Cost–Benefit Analysis of a Stalking Prevention Programme’ (2021)</w:t>
      </w:r>
      <w:r>
        <w:rPr>
          <w:color w:val="231F20"/>
          <w:spacing w:val="-30"/>
          <w:sz w:val="20"/>
        </w:rPr>
        <w:t xml:space="preserve"> </w:t>
      </w:r>
      <w:r>
        <w:rPr>
          <w:color w:val="231F20"/>
          <w:sz w:val="20"/>
        </w:rPr>
        <w:t>10(1)</w:t>
      </w:r>
    </w:p>
    <w:p w14:paraId="579B763D" w14:textId="77777777" w:rsidR="00894070" w:rsidRDefault="009B7AFD">
      <w:pPr>
        <w:spacing w:line="259" w:lineRule="exact"/>
        <w:ind w:left="1347"/>
        <w:rPr>
          <w:sz w:val="20"/>
        </w:rPr>
      </w:pPr>
      <w:r>
        <w:rPr>
          <w:i/>
          <w:color w:val="231F20"/>
          <w:sz w:val="20"/>
        </w:rPr>
        <w:t xml:space="preserve">Crime Science </w:t>
      </w:r>
      <w:r>
        <w:rPr>
          <w:color w:val="231F20"/>
          <w:sz w:val="20"/>
        </w:rPr>
        <w:t>21</w:t>
      </w:r>
    </w:p>
    <w:p w14:paraId="0213E6B8" w14:textId="77777777" w:rsidR="00894070" w:rsidRDefault="009B7AFD">
      <w:pPr>
        <w:pStyle w:val="ListParagraph"/>
        <w:numPr>
          <w:ilvl w:val="0"/>
          <w:numId w:val="4"/>
        </w:numPr>
        <w:tabs>
          <w:tab w:val="left" w:pos="1347"/>
          <w:tab w:val="left" w:pos="1348"/>
        </w:tabs>
        <w:spacing w:before="79" w:line="206" w:lineRule="auto"/>
        <w:ind w:right="1625" w:hanging="340"/>
        <w:rPr>
          <w:sz w:val="20"/>
        </w:rPr>
      </w:pPr>
      <w:r>
        <w:rPr>
          <w:i/>
          <w:color w:val="231F20"/>
          <w:sz w:val="20"/>
        </w:rPr>
        <w:t>MASIP</w:t>
      </w:r>
      <w:r>
        <w:rPr>
          <w:i/>
          <w:color w:val="231F20"/>
          <w:spacing w:val="-10"/>
          <w:sz w:val="20"/>
        </w:rPr>
        <w:t xml:space="preserve"> </w:t>
      </w:r>
      <w:r>
        <w:rPr>
          <w:i/>
          <w:color w:val="231F20"/>
          <w:sz w:val="20"/>
        </w:rPr>
        <w:t>Evaluation</w:t>
      </w:r>
      <w:r>
        <w:rPr>
          <w:i/>
          <w:color w:val="231F20"/>
          <w:spacing w:val="-9"/>
          <w:sz w:val="20"/>
        </w:rPr>
        <w:t xml:space="preserve"> </w:t>
      </w:r>
      <w:r>
        <w:rPr>
          <w:color w:val="231F20"/>
          <w:sz w:val="20"/>
        </w:rPr>
        <w:t>(Final</w:t>
      </w:r>
      <w:r>
        <w:rPr>
          <w:color w:val="231F20"/>
          <w:spacing w:val="-10"/>
          <w:sz w:val="20"/>
        </w:rPr>
        <w:t xml:space="preserve"> </w:t>
      </w:r>
      <w:r>
        <w:rPr>
          <w:color w:val="231F20"/>
          <w:sz w:val="20"/>
        </w:rPr>
        <w:t>Report,</w:t>
      </w:r>
      <w:r>
        <w:rPr>
          <w:color w:val="231F20"/>
          <w:spacing w:val="-10"/>
          <w:sz w:val="20"/>
        </w:rPr>
        <w:t xml:space="preserve"> </w:t>
      </w:r>
      <w:r>
        <w:rPr>
          <w:color w:val="231F20"/>
          <w:sz w:val="20"/>
        </w:rPr>
        <w:t>Multi-Agency</w:t>
      </w:r>
      <w:r>
        <w:rPr>
          <w:color w:val="231F20"/>
          <w:spacing w:val="-10"/>
          <w:sz w:val="20"/>
        </w:rPr>
        <w:t xml:space="preserve"> </w:t>
      </w:r>
      <w:r>
        <w:rPr>
          <w:color w:val="231F20"/>
          <w:sz w:val="20"/>
        </w:rPr>
        <w:t>Stalking</w:t>
      </w:r>
      <w:r>
        <w:rPr>
          <w:color w:val="231F20"/>
          <w:spacing w:val="-11"/>
          <w:sz w:val="20"/>
        </w:rPr>
        <w:t xml:space="preserve"> </w:t>
      </w:r>
      <w:r>
        <w:rPr>
          <w:color w:val="231F20"/>
          <w:sz w:val="20"/>
        </w:rPr>
        <w:t>Intervention</w:t>
      </w:r>
      <w:r>
        <w:rPr>
          <w:color w:val="231F20"/>
          <w:spacing w:val="-10"/>
          <w:sz w:val="20"/>
        </w:rPr>
        <w:t xml:space="preserve"> </w:t>
      </w:r>
      <w:r>
        <w:rPr>
          <w:color w:val="231F20"/>
          <w:sz w:val="20"/>
        </w:rPr>
        <w:t>Program,</w:t>
      </w:r>
      <w:r>
        <w:rPr>
          <w:color w:val="231F20"/>
          <w:spacing w:val="-10"/>
          <w:sz w:val="20"/>
        </w:rPr>
        <w:t xml:space="preserve"> </w:t>
      </w:r>
      <w:r>
        <w:rPr>
          <w:color w:val="231F20"/>
          <w:sz w:val="20"/>
        </w:rPr>
        <w:t>University College London,</w:t>
      </w:r>
      <w:r>
        <w:rPr>
          <w:color w:val="231F20"/>
          <w:spacing w:val="-5"/>
          <w:sz w:val="20"/>
        </w:rPr>
        <w:t xml:space="preserve"> </w:t>
      </w:r>
      <w:r>
        <w:rPr>
          <w:color w:val="231F20"/>
          <w:spacing w:val="-3"/>
          <w:sz w:val="20"/>
        </w:rPr>
        <w:t>2020)</w:t>
      </w:r>
    </w:p>
    <w:p w14:paraId="5086CB2D" w14:textId="77777777" w:rsidR="00894070" w:rsidRDefault="009B7AFD">
      <w:pPr>
        <w:pStyle w:val="BodyText"/>
        <w:spacing w:before="88" w:line="206" w:lineRule="auto"/>
        <w:ind w:left="1007" w:right="1364"/>
      </w:pPr>
      <w:r>
        <w:rPr>
          <w:color w:val="231F20"/>
        </w:rPr>
        <w:t xml:space="preserve">Topsfield, Jewel, ‘Debate Rages among </w:t>
      </w:r>
      <w:r>
        <w:rPr>
          <w:color w:val="231F20"/>
          <w:spacing w:val="-4"/>
        </w:rPr>
        <w:t xml:space="preserve">Family </w:t>
      </w:r>
      <w:r>
        <w:rPr>
          <w:color w:val="231F20"/>
        </w:rPr>
        <w:t xml:space="preserve">Violence Campaigners </w:t>
      </w:r>
      <w:r>
        <w:rPr>
          <w:color w:val="231F20"/>
          <w:spacing w:val="-3"/>
        </w:rPr>
        <w:t xml:space="preserve">over </w:t>
      </w:r>
      <w:r>
        <w:rPr>
          <w:color w:val="231F20"/>
        </w:rPr>
        <w:t xml:space="preserve">Criminalising Coercive </w:t>
      </w:r>
      <w:r>
        <w:rPr>
          <w:color w:val="231F20"/>
          <w:spacing w:val="-4"/>
        </w:rPr>
        <w:t xml:space="preserve">Control’, </w:t>
      </w:r>
      <w:r>
        <w:rPr>
          <w:i/>
          <w:color w:val="231F20"/>
        </w:rPr>
        <w:t xml:space="preserve">The Sydney Morning Herald </w:t>
      </w:r>
      <w:r>
        <w:rPr>
          <w:color w:val="231F20"/>
        </w:rPr>
        <w:t xml:space="preserve">(online, 26 November </w:t>
      </w:r>
      <w:r>
        <w:rPr>
          <w:color w:val="231F20"/>
          <w:spacing w:val="-3"/>
        </w:rPr>
        <w:t xml:space="preserve">2020) </w:t>
      </w:r>
      <w:r>
        <w:rPr>
          <w:color w:val="231F20"/>
          <w:spacing w:val="-4"/>
        </w:rPr>
        <w:t>&lt;</w:t>
      </w:r>
      <w:hyperlink r:id="rId318">
        <w:r>
          <w:rPr>
            <w:color w:val="231F20"/>
            <w:spacing w:val="-4"/>
          </w:rPr>
          <w:t>https://www.smh.</w:t>
        </w:r>
      </w:hyperlink>
      <w:r>
        <w:rPr>
          <w:color w:val="231F20"/>
          <w:spacing w:val="-4"/>
        </w:rPr>
        <w:t xml:space="preserve"> </w:t>
      </w:r>
      <w:hyperlink r:id="rId319">
        <w:r>
          <w:rPr>
            <w:color w:val="231F20"/>
          </w:rPr>
          <w:t>com.au/national/debate-rages-among-family-violence-campaigners-over-criminalising-</w:t>
        </w:r>
      </w:hyperlink>
      <w:r>
        <w:rPr>
          <w:color w:val="231F20"/>
        </w:rPr>
        <w:t xml:space="preserve"> </w:t>
      </w:r>
      <w:hyperlink r:id="rId320">
        <w:r>
          <w:rPr>
            <w:color w:val="231F20"/>
          </w:rPr>
          <w:t>coercive-control-20201126-p56i9l.html</w:t>
        </w:r>
      </w:hyperlink>
      <w:r>
        <w:rPr>
          <w:color w:val="231F20"/>
        </w:rPr>
        <w:t>&gt;</w:t>
      </w:r>
    </w:p>
    <w:p w14:paraId="5E2D6F3D" w14:textId="77777777" w:rsidR="00894070" w:rsidRDefault="009B7AFD">
      <w:pPr>
        <w:spacing w:before="118" w:line="206" w:lineRule="auto"/>
        <w:ind w:left="1007" w:right="1219"/>
        <w:rPr>
          <w:sz w:val="20"/>
        </w:rPr>
      </w:pPr>
      <w:r>
        <w:rPr>
          <w:color w:val="231F20"/>
          <w:sz w:val="20"/>
        </w:rPr>
        <w:t xml:space="preserve">UK Home Office, </w:t>
      </w:r>
      <w:r>
        <w:rPr>
          <w:i/>
          <w:color w:val="231F20"/>
          <w:sz w:val="20"/>
        </w:rPr>
        <w:t xml:space="preserve">Stalking Protection Orders: Statutory Guidance for the Police </w:t>
      </w:r>
      <w:r>
        <w:rPr>
          <w:color w:val="231F20"/>
          <w:sz w:val="20"/>
        </w:rPr>
        <w:t>(Report, January 2021)</w:t>
      </w:r>
    </w:p>
    <w:p w14:paraId="10116B9A" w14:textId="77777777" w:rsidR="00894070" w:rsidRDefault="009B7AFD">
      <w:pPr>
        <w:pStyle w:val="BodyText"/>
        <w:spacing w:before="116" w:line="206" w:lineRule="auto"/>
        <w:ind w:left="1007" w:right="1459"/>
      </w:pPr>
      <w:r>
        <w:rPr>
          <w:color w:val="231F20"/>
        </w:rPr>
        <w:t xml:space="preserve">van der Aa, Suzan and Anne Groenen, ‘Identifying the Needs of Stalking Victims and the Responsiveness of the Criminal Justice System: A Qualitative Study in Belgium and the Netherlands’ (2010) 6(1) </w:t>
      </w:r>
      <w:r>
        <w:rPr>
          <w:i/>
          <w:color w:val="231F20"/>
        </w:rPr>
        <w:t xml:space="preserve">Victims &amp; Offenders </w:t>
      </w:r>
      <w:r>
        <w:rPr>
          <w:color w:val="231F20"/>
        </w:rPr>
        <w:t>19</w:t>
      </w:r>
    </w:p>
    <w:p w14:paraId="0759B0C4" w14:textId="77777777" w:rsidR="00894070" w:rsidRDefault="009B7AFD">
      <w:pPr>
        <w:spacing w:before="118" w:line="206" w:lineRule="auto"/>
        <w:ind w:left="1007" w:right="1201"/>
        <w:rPr>
          <w:sz w:val="20"/>
        </w:rPr>
      </w:pPr>
      <w:r>
        <w:rPr>
          <w:color w:val="231F20"/>
          <w:sz w:val="20"/>
        </w:rPr>
        <w:t xml:space="preserve">Victims’ Commissioner for England and Wales, </w:t>
      </w:r>
      <w:r>
        <w:rPr>
          <w:i/>
          <w:color w:val="231F20"/>
          <w:sz w:val="20"/>
        </w:rPr>
        <w:t xml:space="preserve">Victim Advocates: A Rapid Evidence Assessment </w:t>
      </w:r>
      <w:r>
        <w:rPr>
          <w:color w:val="231F20"/>
          <w:sz w:val="20"/>
        </w:rPr>
        <w:t>(Report, February 2019) &lt;</w:t>
      </w:r>
      <w:hyperlink r:id="rId321">
        <w:r>
          <w:rPr>
            <w:color w:val="231F20"/>
            <w:sz w:val="20"/>
          </w:rPr>
          <w:t>https://victimscommissioner.org.uk/published-reviews/victim-</w:t>
        </w:r>
      </w:hyperlink>
      <w:r>
        <w:rPr>
          <w:color w:val="231F20"/>
          <w:sz w:val="20"/>
        </w:rPr>
        <w:t xml:space="preserve"> </w:t>
      </w:r>
      <w:hyperlink r:id="rId322">
        <w:r>
          <w:rPr>
            <w:color w:val="231F20"/>
            <w:sz w:val="20"/>
          </w:rPr>
          <w:t>advocates-a-rapid-evidence-assessment/</w:t>
        </w:r>
      </w:hyperlink>
      <w:r>
        <w:rPr>
          <w:color w:val="231F20"/>
          <w:sz w:val="20"/>
        </w:rPr>
        <w:t>&gt;</w:t>
      </w:r>
    </w:p>
    <w:p w14:paraId="16DEFD10" w14:textId="77777777" w:rsidR="00894070" w:rsidRDefault="009B7AFD">
      <w:pPr>
        <w:spacing w:before="117" w:line="206" w:lineRule="auto"/>
        <w:ind w:left="1007" w:right="1426"/>
        <w:rPr>
          <w:sz w:val="20"/>
        </w:rPr>
      </w:pPr>
      <w:r>
        <w:rPr>
          <w:color w:val="231F20"/>
          <w:sz w:val="20"/>
        </w:rPr>
        <w:t xml:space="preserve">Victims of Crime, Department of Justice and Community Safety (Vic), </w:t>
      </w:r>
      <w:r>
        <w:rPr>
          <w:i/>
          <w:color w:val="231F20"/>
          <w:sz w:val="20"/>
        </w:rPr>
        <w:t xml:space="preserve">Applying for Financial Assistance from Victims of Crime Assistance </w:t>
      </w:r>
      <w:r>
        <w:rPr>
          <w:i/>
          <w:color w:val="231F20"/>
          <w:spacing w:val="-3"/>
          <w:sz w:val="20"/>
        </w:rPr>
        <w:t xml:space="preserve">Tribunal </w:t>
      </w:r>
      <w:r>
        <w:rPr>
          <w:color w:val="231F20"/>
          <w:sz w:val="20"/>
        </w:rPr>
        <w:t xml:space="preserve">(Web Page, 2022) </w:t>
      </w:r>
      <w:r>
        <w:rPr>
          <w:color w:val="231F20"/>
          <w:spacing w:val="-5"/>
          <w:sz w:val="20"/>
        </w:rPr>
        <w:t>&lt;</w:t>
      </w:r>
      <w:hyperlink r:id="rId323">
        <w:r>
          <w:rPr>
            <w:color w:val="231F20"/>
            <w:spacing w:val="-5"/>
            <w:sz w:val="20"/>
          </w:rPr>
          <w:t>https://www.</w:t>
        </w:r>
      </w:hyperlink>
      <w:r>
        <w:rPr>
          <w:color w:val="231F20"/>
          <w:spacing w:val="-5"/>
          <w:sz w:val="20"/>
        </w:rPr>
        <w:t xml:space="preserve"> </w:t>
      </w:r>
      <w:hyperlink r:id="rId324">
        <w:r>
          <w:rPr>
            <w:color w:val="231F20"/>
            <w:spacing w:val="-2"/>
            <w:sz w:val="20"/>
          </w:rPr>
          <w:t>victimsofcrime.vic.gov.au/going-to-court/applying-for-financial-assistance-from-victims-of-</w:t>
        </w:r>
      </w:hyperlink>
      <w:r>
        <w:rPr>
          <w:color w:val="231F20"/>
          <w:spacing w:val="-2"/>
          <w:sz w:val="20"/>
        </w:rPr>
        <w:t xml:space="preserve"> </w:t>
      </w:r>
      <w:hyperlink r:id="rId325">
        <w:r>
          <w:rPr>
            <w:color w:val="231F20"/>
            <w:sz w:val="20"/>
          </w:rPr>
          <w:t>crime-assistance-tribunal</w:t>
        </w:r>
      </w:hyperlink>
      <w:r>
        <w:rPr>
          <w:color w:val="231F20"/>
          <w:sz w:val="20"/>
        </w:rPr>
        <w:t>&gt;</w:t>
      </w:r>
    </w:p>
    <w:p w14:paraId="039F0896" w14:textId="77777777" w:rsidR="00894070" w:rsidRDefault="009B7AFD">
      <w:pPr>
        <w:pStyle w:val="BodyText"/>
        <w:spacing w:before="86"/>
        <w:ind w:left="1007"/>
      </w:pPr>
      <w:r>
        <w:rPr>
          <w:color w:val="231F20"/>
        </w:rPr>
        <w:t>Victoria Legal Aid,</w:t>
      </w:r>
    </w:p>
    <w:p w14:paraId="071917B2" w14:textId="77777777" w:rsidR="00894070" w:rsidRDefault="009B7AFD">
      <w:pPr>
        <w:pStyle w:val="ListParagraph"/>
        <w:numPr>
          <w:ilvl w:val="0"/>
          <w:numId w:val="4"/>
        </w:numPr>
        <w:tabs>
          <w:tab w:val="left" w:pos="1347"/>
          <w:tab w:val="left" w:pos="1348"/>
        </w:tabs>
        <w:spacing w:before="76" w:line="259" w:lineRule="exact"/>
        <w:ind w:hanging="340"/>
        <w:rPr>
          <w:i/>
          <w:sz w:val="20"/>
        </w:rPr>
      </w:pPr>
      <w:r>
        <w:rPr>
          <w:color w:val="231F20"/>
          <w:sz w:val="20"/>
        </w:rPr>
        <w:t xml:space="preserve">‘15 Special Circumstances—The </w:t>
      </w:r>
      <w:r>
        <w:rPr>
          <w:color w:val="231F20"/>
          <w:spacing w:val="-3"/>
          <w:sz w:val="20"/>
        </w:rPr>
        <w:t xml:space="preserve">State’s </w:t>
      </w:r>
      <w:r>
        <w:rPr>
          <w:color w:val="231F20"/>
          <w:sz w:val="20"/>
        </w:rPr>
        <w:t xml:space="preserve">Special Circumstances’, </w:t>
      </w:r>
      <w:r>
        <w:rPr>
          <w:i/>
          <w:color w:val="231F20"/>
          <w:sz w:val="20"/>
        </w:rPr>
        <w:t>Handbook for</w:t>
      </w:r>
      <w:r>
        <w:rPr>
          <w:i/>
          <w:color w:val="231F20"/>
          <w:spacing w:val="-26"/>
          <w:sz w:val="20"/>
        </w:rPr>
        <w:t xml:space="preserve"> </w:t>
      </w:r>
      <w:r>
        <w:rPr>
          <w:i/>
          <w:color w:val="231F20"/>
          <w:sz w:val="20"/>
        </w:rPr>
        <w:t>Lawyers</w:t>
      </w:r>
    </w:p>
    <w:p w14:paraId="68AEB9CA" w14:textId="77777777" w:rsidR="00894070" w:rsidRDefault="009B7AFD">
      <w:pPr>
        <w:pStyle w:val="BodyText"/>
        <w:spacing w:line="259" w:lineRule="exact"/>
        <w:ind w:left="1347"/>
      </w:pPr>
      <w:r>
        <w:rPr>
          <w:color w:val="231F20"/>
        </w:rPr>
        <w:t>(Online Handbook, 18 February 2022) &lt;</w:t>
      </w:r>
      <w:hyperlink r:id="rId326">
        <w:r>
          <w:rPr>
            <w:color w:val="231F20"/>
          </w:rPr>
          <w:t>https://www.handbook.vla.vic.gov.au</w:t>
        </w:r>
      </w:hyperlink>
      <w:r>
        <w:rPr>
          <w:color w:val="231F20"/>
        </w:rPr>
        <w:t>&gt;</w:t>
      </w:r>
    </w:p>
    <w:p w14:paraId="121A6815" w14:textId="77777777" w:rsidR="00894070" w:rsidRDefault="009B7AFD">
      <w:pPr>
        <w:pStyle w:val="ListParagraph"/>
        <w:numPr>
          <w:ilvl w:val="0"/>
          <w:numId w:val="4"/>
        </w:numPr>
        <w:tabs>
          <w:tab w:val="left" w:pos="1347"/>
          <w:tab w:val="left" w:pos="1348"/>
        </w:tabs>
        <w:spacing w:before="79" w:line="206" w:lineRule="auto"/>
        <w:ind w:right="2009" w:hanging="340"/>
        <w:rPr>
          <w:sz w:val="20"/>
        </w:rPr>
      </w:pPr>
      <w:r>
        <w:rPr>
          <w:i/>
          <w:color w:val="231F20"/>
          <w:sz w:val="20"/>
        </w:rPr>
        <w:t xml:space="preserve">Family Violence—Our Response </w:t>
      </w:r>
      <w:r>
        <w:rPr>
          <w:color w:val="231F20"/>
          <w:sz w:val="20"/>
        </w:rPr>
        <w:t xml:space="preserve">(Web Page, 2022) </w:t>
      </w:r>
      <w:r>
        <w:rPr>
          <w:color w:val="231F20"/>
          <w:spacing w:val="-3"/>
          <w:sz w:val="20"/>
        </w:rPr>
        <w:t>&lt;</w:t>
      </w:r>
      <w:hyperlink r:id="rId327">
        <w:r>
          <w:rPr>
            <w:color w:val="231F20"/>
            <w:spacing w:val="-3"/>
            <w:sz w:val="20"/>
          </w:rPr>
          <w:t>http://www.legalaid.vic.gov.au/</w:t>
        </w:r>
      </w:hyperlink>
      <w:hyperlink r:id="rId328">
        <w:r>
          <w:rPr>
            <w:color w:val="231F20"/>
            <w:spacing w:val="-3"/>
            <w:sz w:val="20"/>
          </w:rPr>
          <w:t xml:space="preserve"> node/9836</w:t>
        </w:r>
      </w:hyperlink>
      <w:r>
        <w:rPr>
          <w:color w:val="231F20"/>
          <w:spacing w:val="-3"/>
          <w:sz w:val="20"/>
        </w:rPr>
        <w:t>&gt;</w:t>
      </w:r>
    </w:p>
    <w:p w14:paraId="1A179E1C" w14:textId="77777777" w:rsidR="00894070" w:rsidRDefault="009B7AFD">
      <w:pPr>
        <w:pStyle w:val="ListParagraph"/>
        <w:numPr>
          <w:ilvl w:val="0"/>
          <w:numId w:val="4"/>
        </w:numPr>
        <w:tabs>
          <w:tab w:val="left" w:pos="1347"/>
          <w:tab w:val="left" w:pos="1348"/>
        </w:tabs>
        <w:spacing w:before="88" w:line="206" w:lineRule="auto"/>
        <w:ind w:right="1536" w:hanging="340"/>
        <w:rPr>
          <w:sz w:val="20"/>
        </w:rPr>
      </w:pPr>
      <w:r>
        <w:rPr>
          <w:i/>
          <w:color w:val="231F20"/>
          <w:sz w:val="20"/>
        </w:rPr>
        <w:t xml:space="preserve">Personal Safety Intervention Orders: Mention Hearing </w:t>
      </w:r>
      <w:r>
        <w:rPr>
          <w:color w:val="231F20"/>
          <w:sz w:val="20"/>
        </w:rPr>
        <w:t xml:space="preserve">(Self-Help Guide for Applicants, </w:t>
      </w:r>
      <w:r>
        <w:rPr>
          <w:color w:val="231F20"/>
          <w:spacing w:val="-1"/>
          <w:sz w:val="20"/>
        </w:rPr>
        <w:t xml:space="preserve">July </w:t>
      </w:r>
      <w:r>
        <w:rPr>
          <w:color w:val="231F20"/>
          <w:spacing w:val="-3"/>
          <w:sz w:val="20"/>
        </w:rPr>
        <w:t>2020)</w:t>
      </w:r>
      <w:r>
        <w:rPr>
          <w:color w:val="231F20"/>
          <w:spacing w:val="-42"/>
          <w:sz w:val="20"/>
        </w:rPr>
        <w:t xml:space="preserve"> </w:t>
      </w:r>
      <w:r>
        <w:rPr>
          <w:color w:val="231F20"/>
          <w:spacing w:val="-1"/>
          <w:sz w:val="20"/>
        </w:rPr>
        <w:t>&lt;</w:t>
      </w:r>
      <w:hyperlink r:id="rId329">
        <w:r>
          <w:rPr>
            <w:color w:val="231F20"/>
            <w:spacing w:val="-1"/>
            <w:sz w:val="20"/>
          </w:rPr>
          <w:t>https://www.legalaid.vic.gov.au/find-legal-answers/free-publications-and-</w:t>
        </w:r>
      </w:hyperlink>
      <w:hyperlink r:id="rId330">
        <w:r>
          <w:rPr>
            <w:color w:val="231F20"/>
            <w:spacing w:val="-1"/>
            <w:sz w:val="20"/>
          </w:rPr>
          <w:t xml:space="preserve"> </w:t>
        </w:r>
        <w:r>
          <w:rPr>
            <w:color w:val="231F20"/>
            <w:sz w:val="20"/>
          </w:rPr>
          <w:t>resources/personal-safety-intervention-order-mention-hearings-self-help-guide-for-</w:t>
        </w:r>
      </w:hyperlink>
      <w:hyperlink r:id="rId331">
        <w:r>
          <w:rPr>
            <w:color w:val="231F20"/>
            <w:sz w:val="20"/>
          </w:rPr>
          <w:t xml:space="preserve"> applicants</w:t>
        </w:r>
      </w:hyperlink>
      <w:r>
        <w:rPr>
          <w:color w:val="231F20"/>
          <w:sz w:val="20"/>
        </w:rPr>
        <w:t>&gt;</w:t>
      </w:r>
    </w:p>
    <w:p w14:paraId="17195FA8" w14:textId="77777777" w:rsidR="00894070" w:rsidRDefault="009B7AFD">
      <w:pPr>
        <w:pStyle w:val="ListParagraph"/>
        <w:numPr>
          <w:ilvl w:val="0"/>
          <w:numId w:val="4"/>
        </w:numPr>
        <w:tabs>
          <w:tab w:val="left" w:pos="1347"/>
          <w:tab w:val="left" w:pos="1348"/>
        </w:tabs>
        <w:spacing w:before="90" w:line="206" w:lineRule="auto"/>
        <w:ind w:right="1582" w:hanging="340"/>
        <w:rPr>
          <w:sz w:val="20"/>
        </w:rPr>
      </w:pPr>
      <w:r>
        <w:rPr>
          <w:i/>
          <w:color w:val="231F20"/>
          <w:sz w:val="20"/>
        </w:rPr>
        <w:t xml:space="preserve">Prioritising Help for Children in Personal Safety Intervention Order Matters </w:t>
      </w:r>
      <w:r>
        <w:rPr>
          <w:color w:val="231F20"/>
          <w:sz w:val="20"/>
        </w:rPr>
        <w:t xml:space="preserve">(Web Page, 21 </w:t>
      </w:r>
      <w:r>
        <w:rPr>
          <w:color w:val="231F20"/>
          <w:spacing w:val="-1"/>
          <w:sz w:val="20"/>
        </w:rPr>
        <w:t xml:space="preserve">July </w:t>
      </w:r>
      <w:r>
        <w:rPr>
          <w:color w:val="231F20"/>
          <w:spacing w:val="-3"/>
          <w:sz w:val="20"/>
        </w:rPr>
        <w:t>2020)</w:t>
      </w:r>
      <w:r>
        <w:rPr>
          <w:color w:val="231F20"/>
          <w:spacing w:val="-38"/>
          <w:sz w:val="20"/>
        </w:rPr>
        <w:t xml:space="preserve"> </w:t>
      </w:r>
      <w:r>
        <w:rPr>
          <w:color w:val="231F20"/>
          <w:spacing w:val="-1"/>
          <w:sz w:val="20"/>
        </w:rPr>
        <w:t>&lt;</w:t>
      </w:r>
      <w:hyperlink r:id="rId332">
        <w:r>
          <w:rPr>
            <w:color w:val="231F20"/>
            <w:spacing w:val="-1"/>
            <w:sz w:val="20"/>
          </w:rPr>
          <w:t>https://www.legalaid.vic.gov.au/prioritising-help-children-personal-safety-</w:t>
        </w:r>
      </w:hyperlink>
      <w:hyperlink r:id="rId333">
        <w:r>
          <w:rPr>
            <w:color w:val="231F20"/>
            <w:spacing w:val="-1"/>
            <w:sz w:val="20"/>
          </w:rPr>
          <w:t xml:space="preserve"> </w:t>
        </w:r>
        <w:r>
          <w:rPr>
            <w:color w:val="231F20"/>
            <w:sz w:val="20"/>
          </w:rPr>
          <w:t>intervention-order-matters</w:t>
        </w:r>
      </w:hyperlink>
      <w:r>
        <w:rPr>
          <w:color w:val="231F20"/>
          <w:sz w:val="20"/>
        </w:rPr>
        <w:t>&gt;</w:t>
      </w:r>
    </w:p>
    <w:p w14:paraId="43776E72" w14:textId="77777777" w:rsidR="00894070" w:rsidRDefault="009B7AFD">
      <w:pPr>
        <w:pStyle w:val="ListParagraph"/>
        <w:numPr>
          <w:ilvl w:val="0"/>
          <w:numId w:val="4"/>
        </w:numPr>
        <w:tabs>
          <w:tab w:val="left" w:pos="1347"/>
          <w:tab w:val="left" w:pos="1348"/>
        </w:tabs>
        <w:spacing w:before="89" w:line="206" w:lineRule="auto"/>
        <w:ind w:right="1257" w:hanging="340"/>
        <w:rPr>
          <w:sz w:val="20"/>
        </w:rPr>
      </w:pPr>
      <w:r>
        <w:rPr>
          <w:color w:val="231F20"/>
          <w:sz w:val="20"/>
        </w:rPr>
        <w:t>‘Violence,</w:t>
      </w:r>
      <w:r>
        <w:rPr>
          <w:color w:val="231F20"/>
          <w:spacing w:val="-6"/>
          <w:sz w:val="20"/>
        </w:rPr>
        <w:t xml:space="preserve"> </w:t>
      </w:r>
      <w:r>
        <w:rPr>
          <w:color w:val="231F20"/>
          <w:sz w:val="20"/>
        </w:rPr>
        <w:t>Abuse</w:t>
      </w:r>
      <w:r>
        <w:rPr>
          <w:color w:val="231F20"/>
          <w:spacing w:val="-5"/>
          <w:sz w:val="20"/>
        </w:rPr>
        <w:t xml:space="preserve"> </w:t>
      </w:r>
      <w:r>
        <w:rPr>
          <w:color w:val="231F20"/>
          <w:sz w:val="20"/>
        </w:rPr>
        <w:t>and</w:t>
      </w:r>
      <w:r>
        <w:rPr>
          <w:color w:val="231F20"/>
          <w:spacing w:val="-6"/>
          <w:sz w:val="20"/>
        </w:rPr>
        <w:t xml:space="preserve"> </w:t>
      </w:r>
      <w:r>
        <w:rPr>
          <w:color w:val="231F20"/>
          <w:sz w:val="20"/>
        </w:rPr>
        <w:t>Personal</w:t>
      </w:r>
      <w:r>
        <w:rPr>
          <w:color w:val="231F20"/>
          <w:spacing w:val="-5"/>
          <w:sz w:val="20"/>
        </w:rPr>
        <w:t xml:space="preserve"> </w:t>
      </w:r>
      <w:r>
        <w:rPr>
          <w:color w:val="231F20"/>
          <w:spacing w:val="-3"/>
          <w:sz w:val="20"/>
        </w:rPr>
        <w:t>Safety’,</w:t>
      </w:r>
      <w:r>
        <w:rPr>
          <w:color w:val="231F20"/>
          <w:spacing w:val="-5"/>
          <w:sz w:val="20"/>
        </w:rPr>
        <w:t xml:space="preserve"> </w:t>
      </w:r>
      <w:r>
        <w:rPr>
          <w:i/>
          <w:color w:val="231F20"/>
          <w:sz w:val="20"/>
        </w:rPr>
        <w:t>Helping</w:t>
      </w:r>
      <w:r>
        <w:rPr>
          <w:i/>
          <w:color w:val="231F20"/>
          <w:spacing w:val="-5"/>
          <w:sz w:val="20"/>
        </w:rPr>
        <w:t xml:space="preserve"> </w:t>
      </w:r>
      <w:r>
        <w:rPr>
          <w:i/>
          <w:color w:val="231F20"/>
          <w:sz w:val="20"/>
        </w:rPr>
        <w:t>Victorians</w:t>
      </w:r>
      <w:r>
        <w:rPr>
          <w:i/>
          <w:color w:val="231F20"/>
          <w:spacing w:val="-5"/>
          <w:sz w:val="20"/>
        </w:rPr>
        <w:t xml:space="preserve"> </w:t>
      </w:r>
      <w:r>
        <w:rPr>
          <w:i/>
          <w:color w:val="231F20"/>
          <w:sz w:val="20"/>
        </w:rPr>
        <w:t>with</w:t>
      </w:r>
      <w:r>
        <w:rPr>
          <w:i/>
          <w:color w:val="231F20"/>
          <w:spacing w:val="-4"/>
          <w:sz w:val="20"/>
        </w:rPr>
        <w:t xml:space="preserve"> </w:t>
      </w:r>
      <w:r>
        <w:rPr>
          <w:i/>
          <w:color w:val="231F20"/>
          <w:sz w:val="20"/>
        </w:rPr>
        <w:t>their</w:t>
      </w:r>
      <w:r>
        <w:rPr>
          <w:i/>
          <w:color w:val="231F20"/>
          <w:spacing w:val="-5"/>
          <w:sz w:val="20"/>
        </w:rPr>
        <w:t xml:space="preserve"> </w:t>
      </w:r>
      <w:r>
        <w:rPr>
          <w:i/>
          <w:color w:val="231F20"/>
          <w:sz w:val="20"/>
        </w:rPr>
        <w:t>Legal</w:t>
      </w:r>
      <w:r>
        <w:rPr>
          <w:i/>
          <w:color w:val="231F20"/>
          <w:spacing w:val="-5"/>
          <w:sz w:val="20"/>
        </w:rPr>
        <w:t xml:space="preserve"> </w:t>
      </w:r>
      <w:r>
        <w:rPr>
          <w:i/>
          <w:color w:val="231F20"/>
          <w:sz w:val="20"/>
        </w:rPr>
        <w:t>Issues</w:t>
      </w:r>
      <w:r>
        <w:rPr>
          <w:i/>
          <w:color w:val="231F20"/>
          <w:spacing w:val="-4"/>
          <w:sz w:val="20"/>
        </w:rPr>
        <w:t xml:space="preserve"> </w:t>
      </w:r>
      <w:r>
        <w:rPr>
          <w:color w:val="231F20"/>
          <w:sz w:val="20"/>
        </w:rPr>
        <w:t>(Web</w:t>
      </w:r>
      <w:r>
        <w:rPr>
          <w:color w:val="231F20"/>
          <w:spacing w:val="-5"/>
          <w:sz w:val="20"/>
        </w:rPr>
        <w:t xml:space="preserve"> </w:t>
      </w:r>
      <w:r>
        <w:rPr>
          <w:color w:val="231F20"/>
          <w:sz w:val="20"/>
        </w:rPr>
        <w:t>Page, 18 May 2022)</w:t>
      </w:r>
      <w:r>
        <w:rPr>
          <w:color w:val="231F20"/>
          <w:spacing w:val="-35"/>
          <w:sz w:val="20"/>
        </w:rPr>
        <w:t xml:space="preserve"> </w:t>
      </w:r>
      <w:r>
        <w:rPr>
          <w:color w:val="231F20"/>
          <w:sz w:val="20"/>
        </w:rPr>
        <w:t>&lt;</w:t>
      </w:r>
      <w:hyperlink r:id="rId334">
        <w:r>
          <w:rPr>
            <w:color w:val="231F20"/>
            <w:sz w:val="20"/>
          </w:rPr>
          <w:t>https://www.legalaid.vic.gov.au/violence-abuse-and-personal-safety</w:t>
        </w:r>
      </w:hyperlink>
      <w:r>
        <w:rPr>
          <w:color w:val="231F20"/>
          <w:sz w:val="20"/>
        </w:rPr>
        <w:t>&gt;</w:t>
      </w:r>
    </w:p>
    <w:p w14:paraId="57D4F104" w14:textId="77777777" w:rsidR="00894070" w:rsidRDefault="009B7AFD">
      <w:pPr>
        <w:pStyle w:val="BodyText"/>
        <w:spacing w:before="55"/>
        <w:ind w:left="1007"/>
      </w:pPr>
      <w:r>
        <w:rPr>
          <w:color w:val="231F20"/>
        </w:rPr>
        <w:t>Victoria Police,</w:t>
      </w:r>
    </w:p>
    <w:p w14:paraId="1F2F0BFC" w14:textId="77777777" w:rsidR="00894070" w:rsidRDefault="009B7AFD">
      <w:pPr>
        <w:pStyle w:val="ListParagraph"/>
        <w:numPr>
          <w:ilvl w:val="0"/>
          <w:numId w:val="4"/>
        </w:numPr>
        <w:tabs>
          <w:tab w:val="left" w:pos="1347"/>
          <w:tab w:val="left" w:pos="1348"/>
        </w:tabs>
        <w:spacing w:before="76"/>
        <w:ind w:hanging="340"/>
        <w:rPr>
          <w:sz w:val="20"/>
        </w:rPr>
      </w:pPr>
      <w:r>
        <w:rPr>
          <w:color w:val="231F20"/>
          <w:spacing w:val="-3"/>
          <w:sz w:val="20"/>
        </w:rPr>
        <w:t xml:space="preserve">‘Family Violence’, </w:t>
      </w:r>
      <w:r>
        <w:rPr>
          <w:i/>
          <w:color w:val="231F20"/>
          <w:sz w:val="20"/>
        </w:rPr>
        <w:t xml:space="preserve">Victoria Police Manual </w:t>
      </w:r>
      <w:r>
        <w:rPr>
          <w:color w:val="231F20"/>
          <w:sz w:val="20"/>
        </w:rPr>
        <w:t>(Electronic Manual, January</w:t>
      </w:r>
      <w:r>
        <w:rPr>
          <w:color w:val="231F20"/>
          <w:spacing w:val="-13"/>
          <w:sz w:val="20"/>
        </w:rPr>
        <w:t xml:space="preserve"> </w:t>
      </w:r>
      <w:r>
        <w:rPr>
          <w:color w:val="231F20"/>
          <w:sz w:val="20"/>
        </w:rPr>
        <w:t>2022)</w:t>
      </w:r>
    </w:p>
    <w:p w14:paraId="6AEB7ABE" w14:textId="77777777" w:rsidR="00894070" w:rsidRDefault="009B7AFD">
      <w:pPr>
        <w:pStyle w:val="ListParagraph"/>
        <w:numPr>
          <w:ilvl w:val="0"/>
          <w:numId w:val="4"/>
        </w:numPr>
        <w:tabs>
          <w:tab w:val="left" w:pos="1397"/>
          <w:tab w:val="left" w:pos="1398"/>
        </w:tabs>
        <w:spacing w:before="80" w:line="206" w:lineRule="auto"/>
        <w:ind w:right="1499" w:hanging="340"/>
        <w:rPr>
          <w:sz w:val="20"/>
        </w:rPr>
      </w:pPr>
      <w:r>
        <w:tab/>
      </w:r>
      <w:r>
        <w:rPr>
          <w:color w:val="231F20"/>
          <w:sz w:val="20"/>
        </w:rPr>
        <w:t>‘Responses</w:t>
      </w:r>
      <w:r>
        <w:rPr>
          <w:color w:val="231F20"/>
          <w:spacing w:val="-5"/>
          <w:sz w:val="20"/>
        </w:rPr>
        <w:t xml:space="preserve"> </w:t>
      </w:r>
      <w:r>
        <w:rPr>
          <w:color w:val="231F20"/>
          <w:sz w:val="20"/>
        </w:rPr>
        <w:t>to</w:t>
      </w:r>
      <w:r>
        <w:rPr>
          <w:color w:val="231F20"/>
          <w:spacing w:val="-5"/>
          <w:sz w:val="20"/>
        </w:rPr>
        <w:t xml:space="preserve"> </w:t>
      </w:r>
      <w:r>
        <w:rPr>
          <w:color w:val="231F20"/>
          <w:sz w:val="20"/>
        </w:rPr>
        <w:t>Non</w:t>
      </w:r>
      <w:r>
        <w:rPr>
          <w:color w:val="231F20"/>
          <w:spacing w:val="-5"/>
          <w:sz w:val="20"/>
        </w:rPr>
        <w:t xml:space="preserve"> </w:t>
      </w:r>
      <w:r>
        <w:rPr>
          <w:color w:val="231F20"/>
          <w:spacing w:val="-4"/>
          <w:sz w:val="20"/>
        </w:rPr>
        <w:t xml:space="preserve">Family </w:t>
      </w:r>
      <w:r>
        <w:rPr>
          <w:color w:val="231F20"/>
          <w:sz w:val="20"/>
        </w:rPr>
        <w:t>Violence</w:t>
      </w:r>
      <w:r>
        <w:rPr>
          <w:color w:val="231F20"/>
          <w:spacing w:val="-5"/>
          <w:sz w:val="20"/>
        </w:rPr>
        <w:t xml:space="preserve"> </w:t>
      </w:r>
      <w:r>
        <w:rPr>
          <w:color w:val="231F20"/>
          <w:spacing w:val="-3"/>
          <w:sz w:val="20"/>
        </w:rPr>
        <w:t>Disputes’,</w:t>
      </w:r>
      <w:r>
        <w:rPr>
          <w:color w:val="231F20"/>
          <w:spacing w:val="-5"/>
          <w:sz w:val="20"/>
        </w:rPr>
        <w:t xml:space="preserve"> </w:t>
      </w:r>
      <w:r>
        <w:rPr>
          <w:i/>
          <w:color w:val="231F20"/>
          <w:sz w:val="20"/>
        </w:rPr>
        <w:t>Victoria</w:t>
      </w:r>
      <w:r>
        <w:rPr>
          <w:i/>
          <w:color w:val="231F20"/>
          <w:spacing w:val="-5"/>
          <w:sz w:val="20"/>
        </w:rPr>
        <w:t xml:space="preserve"> </w:t>
      </w:r>
      <w:r>
        <w:rPr>
          <w:i/>
          <w:color w:val="231F20"/>
          <w:sz w:val="20"/>
        </w:rPr>
        <w:t>Police</w:t>
      </w:r>
      <w:r>
        <w:rPr>
          <w:i/>
          <w:color w:val="231F20"/>
          <w:spacing w:val="-4"/>
          <w:sz w:val="20"/>
        </w:rPr>
        <w:t xml:space="preserve"> </w:t>
      </w:r>
      <w:r>
        <w:rPr>
          <w:i/>
          <w:color w:val="231F20"/>
          <w:sz w:val="20"/>
        </w:rPr>
        <w:t>Manual</w:t>
      </w:r>
      <w:r>
        <w:rPr>
          <w:i/>
          <w:color w:val="231F20"/>
          <w:spacing w:val="-4"/>
          <w:sz w:val="20"/>
        </w:rPr>
        <w:t xml:space="preserve"> </w:t>
      </w:r>
      <w:r>
        <w:rPr>
          <w:color w:val="231F20"/>
          <w:sz w:val="20"/>
        </w:rPr>
        <w:t>(Electronic</w:t>
      </w:r>
      <w:r>
        <w:rPr>
          <w:color w:val="231F20"/>
          <w:spacing w:val="-5"/>
          <w:sz w:val="20"/>
        </w:rPr>
        <w:t xml:space="preserve"> </w:t>
      </w:r>
      <w:r>
        <w:rPr>
          <w:color w:val="231F20"/>
          <w:sz w:val="20"/>
        </w:rPr>
        <w:t>Manual, January</w:t>
      </w:r>
      <w:r>
        <w:rPr>
          <w:color w:val="231F20"/>
          <w:spacing w:val="-3"/>
          <w:sz w:val="20"/>
        </w:rPr>
        <w:t xml:space="preserve"> </w:t>
      </w:r>
      <w:r>
        <w:rPr>
          <w:color w:val="231F20"/>
          <w:sz w:val="20"/>
        </w:rPr>
        <w:t>2022)</w:t>
      </w:r>
    </w:p>
    <w:p w14:paraId="66D0ADB4" w14:textId="77777777" w:rsidR="00894070" w:rsidRDefault="009B7AFD">
      <w:pPr>
        <w:pStyle w:val="ListParagraph"/>
        <w:numPr>
          <w:ilvl w:val="0"/>
          <w:numId w:val="4"/>
        </w:numPr>
        <w:tabs>
          <w:tab w:val="left" w:pos="1347"/>
          <w:tab w:val="left" w:pos="1348"/>
        </w:tabs>
        <w:spacing w:before="55" w:line="280" w:lineRule="auto"/>
        <w:ind w:left="1007" w:right="2751" w:firstLine="0"/>
        <w:rPr>
          <w:sz w:val="20"/>
        </w:rPr>
      </w:pPr>
      <w:r>
        <w:rPr>
          <w:i/>
          <w:color w:val="231F20"/>
          <w:sz w:val="20"/>
        </w:rPr>
        <w:t xml:space="preserve">Stalking </w:t>
      </w:r>
      <w:r>
        <w:rPr>
          <w:color w:val="231F20"/>
          <w:sz w:val="20"/>
        </w:rPr>
        <w:t xml:space="preserve">(Web Page, 4 April 2022) </w:t>
      </w:r>
      <w:r>
        <w:rPr>
          <w:color w:val="231F20"/>
          <w:spacing w:val="-3"/>
          <w:sz w:val="20"/>
        </w:rPr>
        <w:t>&lt;</w:t>
      </w:r>
      <w:hyperlink r:id="rId335">
        <w:r>
          <w:rPr>
            <w:color w:val="231F20"/>
            <w:spacing w:val="-3"/>
            <w:sz w:val="20"/>
          </w:rPr>
          <w:t>https://www.police.vic.gov.au/stalking</w:t>
        </w:r>
      </w:hyperlink>
      <w:r>
        <w:rPr>
          <w:color w:val="231F20"/>
          <w:spacing w:val="-3"/>
          <w:sz w:val="20"/>
        </w:rPr>
        <w:t xml:space="preserve">&gt; </w:t>
      </w:r>
      <w:r>
        <w:rPr>
          <w:color w:val="231F20"/>
          <w:sz w:val="20"/>
        </w:rPr>
        <w:t>Victorian</w:t>
      </w:r>
      <w:r>
        <w:rPr>
          <w:color w:val="231F20"/>
          <w:spacing w:val="-3"/>
          <w:sz w:val="20"/>
        </w:rPr>
        <w:t xml:space="preserve"> </w:t>
      </w:r>
      <w:r>
        <w:rPr>
          <w:color w:val="231F20"/>
          <w:sz w:val="20"/>
        </w:rPr>
        <w:t>Government,</w:t>
      </w:r>
    </w:p>
    <w:p w14:paraId="6EA4B4C5" w14:textId="77777777" w:rsidR="00894070" w:rsidRDefault="009B7AFD">
      <w:pPr>
        <w:pStyle w:val="ListParagraph"/>
        <w:numPr>
          <w:ilvl w:val="0"/>
          <w:numId w:val="4"/>
        </w:numPr>
        <w:tabs>
          <w:tab w:val="left" w:pos="1347"/>
          <w:tab w:val="left" w:pos="1348"/>
        </w:tabs>
        <w:spacing w:before="29"/>
        <w:ind w:hanging="340"/>
        <w:rPr>
          <w:sz w:val="20"/>
        </w:rPr>
      </w:pPr>
      <w:r>
        <w:rPr>
          <w:color w:val="231F20"/>
          <w:sz w:val="20"/>
        </w:rPr>
        <w:t xml:space="preserve">‘Modernising Victoria’s Appeals </w:t>
      </w:r>
      <w:r>
        <w:rPr>
          <w:color w:val="231F20"/>
          <w:spacing w:val="-3"/>
          <w:sz w:val="20"/>
        </w:rPr>
        <w:t xml:space="preserve">System’ </w:t>
      </w:r>
      <w:r>
        <w:rPr>
          <w:color w:val="231F20"/>
          <w:sz w:val="20"/>
        </w:rPr>
        <w:t>(Press Release, 16 October</w:t>
      </w:r>
      <w:r>
        <w:rPr>
          <w:color w:val="231F20"/>
          <w:spacing w:val="-18"/>
          <w:sz w:val="20"/>
        </w:rPr>
        <w:t xml:space="preserve"> </w:t>
      </w:r>
      <w:r>
        <w:rPr>
          <w:color w:val="231F20"/>
          <w:sz w:val="20"/>
        </w:rPr>
        <w:t>2019)</w:t>
      </w:r>
    </w:p>
    <w:p w14:paraId="3FB7D65D" w14:textId="77777777" w:rsidR="00894070" w:rsidRDefault="009B7AFD">
      <w:pPr>
        <w:pStyle w:val="ListParagraph"/>
        <w:numPr>
          <w:ilvl w:val="0"/>
          <w:numId w:val="4"/>
        </w:numPr>
        <w:tabs>
          <w:tab w:val="left" w:pos="1347"/>
          <w:tab w:val="left" w:pos="1348"/>
        </w:tabs>
        <w:spacing w:before="80" w:line="206" w:lineRule="auto"/>
        <w:ind w:right="1485" w:hanging="340"/>
        <w:rPr>
          <w:sz w:val="20"/>
        </w:rPr>
      </w:pPr>
      <w:r>
        <w:rPr>
          <w:color w:val="231F20"/>
          <w:sz w:val="20"/>
        </w:rPr>
        <w:t>‘Stalking’,</w:t>
      </w:r>
      <w:r>
        <w:rPr>
          <w:color w:val="231F20"/>
          <w:spacing w:val="-9"/>
          <w:sz w:val="20"/>
        </w:rPr>
        <w:t xml:space="preserve"> </w:t>
      </w:r>
      <w:r>
        <w:rPr>
          <w:i/>
          <w:color w:val="231F20"/>
          <w:sz w:val="20"/>
        </w:rPr>
        <w:t>Victims</w:t>
      </w:r>
      <w:r>
        <w:rPr>
          <w:i/>
          <w:color w:val="231F20"/>
          <w:spacing w:val="-8"/>
          <w:sz w:val="20"/>
        </w:rPr>
        <w:t xml:space="preserve"> </w:t>
      </w:r>
      <w:r>
        <w:rPr>
          <w:i/>
          <w:color w:val="231F20"/>
          <w:sz w:val="20"/>
        </w:rPr>
        <w:t>of</w:t>
      </w:r>
      <w:r>
        <w:rPr>
          <w:i/>
          <w:color w:val="231F20"/>
          <w:spacing w:val="-9"/>
          <w:sz w:val="20"/>
        </w:rPr>
        <w:t xml:space="preserve"> </w:t>
      </w:r>
      <w:r>
        <w:rPr>
          <w:i/>
          <w:color w:val="231F20"/>
          <w:sz w:val="20"/>
        </w:rPr>
        <w:t>Crime—Victorian</w:t>
      </w:r>
      <w:r>
        <w:rPr>
          <w:i/>
          <w:color w:val="231F20"/>
          <w:spacing w:val="-8"/>
          <w:sz w:val="20"/>
        </w:rPr>
        <w:t xml:space="preserve"> </w:t>
      </w:r>
      <w:r>
        <w:rPr>
          <w:i/>
          <w:color w:val="231F20"/>
          <w:sz w:val="20"/>
        </w:rPr>
        <w:t>Government</w:t>
      </w:r>
      <w:r>
        <w:rPr>
          <w:i/>
          <w:color w:val="231F20"/>
          <w:spacing w:val="-8"/>
          <w:sz w:val="20"/>
        </w:rPr>
        <w:t xml:space="preserve"> </w:t>
      </w:r>
      <w:r>
        <w:rPr>
          <w:i/>
          <w:color w:val="231F20"/>
          <w:sz w:val="20"/>
        </w:rPr>
        <w:t>Support</w:t>
      </w:r>
      <w:r>
        <w:rPr>
          <w:i/>
          <w:color w:val="231F20"/>
          <w:spacing w:val="-8"/>
          <w:sz w:val="20"/>
        </w:rPr>
        <w:t xml:space="preserve"> </w:t>
      </w:r>
      <w:r>
        <w:rPr>
          <w:i/>
          <w:color w:val="231F20"/>
          <w:sz w:val="20"/>
        </w:rPr>
        <w:t>for</w:t>
      </w:r>
      <w:r>
        <w:rPr>
          <w:i/>
          <w:color w:val="231F20"/>
          <w:spacing w:val="-8"/>
          <w:sz w:val="20"/>
        </w:rPr>
        <w:t xml:space="preserve"> </w:t>
      </w:r>
      <w:r>
        <w:rPr>
          <w:i/>
          <w:color w:val="231F20"/>
          <w:sz w:val="20"/>
        </w:rPr>
        <w:t>Victims</w:t>
      </w:r>
      <w:r>
        <w:rPr>
          <w:i/>
          <w:color w:val="231F20"/>
          <w:spacing w:val="-7"/>
          <w:sz w:val="20"/>
        </w:rPr>
        <w:t xml:space="preserve"> </w:t>
      </w:r>
      <w:r>
        <w:rPr>
          <w:color w:val="231F20"/>
          <w:sz w:val="20"/>
        </w:rPr>
        <w:t>(Web</w:t>
      </w:r>
      <w:r>
        <w:rPr>
          <w:color w:val="231F20"/>
          <w:spacing w:val="-8"/>
          <w:sz w:val="20"/>
        </w:rPr>
        <w:t xml:space="preserve"> </w:t>
      </w:r>
      <w:r>
        <w:rPr>
          <w:color w:val="231F20"/>
          <w:sz w:val="20"/>
        </w:rPr>
        <w:t>Page,</w:t>
      </w:r>
      <w:r>
        <w:rPr>
          <w:color w:val="231F20"/>
          <w:spacing w:val="-8"/>
          <w:sz w:val="20"/>
        </w:rPr>
        <w:t xml:space="preserve"> </w:t>
      </w:r>
      <w:r>
        <w:rPr>
          <w:color w:val="231F20"/>
          <w:spacing w:val="-3"/>
          <w:sz w:val="20"/>
        </w:rPr>
        <w:t>10</w:t>
      </w:r>
      <w:r>
        <w:rPr>
          <w:color w:val="231F20"/>
          <w:spacing w:val="-8"/>
          <w:sz w:val="20"/>
        </w:rPr>
        <w:t xml:space="preserve"> </w:t>
      </w:r>
      <w:r>
        <w:rPr>
          <w:color w:val="231F20"/>
          <w:sz w:val="20"/>
        </w:rPr>
        <w:t>June 2021)</w:t>
      </w:r>
      <w:r>
        <w:rPr>
          <w:color w:val="231F20"/>
          <w:spacing w:val="1"/>
          <w:sz w:val="20"/>
        </w:rPr>
        <w:t xml:space="preserve"> </w:t>
      </w:r>
      <w:r>
        <w:rPr>
          <w:color w:val="231F20"/>
          <w:spacing w:val="-3"/>
          <w:sz w:val="20"/>
        </w:rPr>
        <w:t>&lt;</w:t>
      </w:r>
      <w:hyperlink r:id="rId336">
        <w:r>
          <w:rPr>
            <w:color w:val="231F20"/>
            <w:spacing w:val="-3"/>
            <w:sz w:val="20"/>
          </w:rPr>
          <w:t>https://www.victimsofcrime.vic.gov.au/the-crime/types-of-crime/stalking</w:t>
        </w:r>
      </w:hyperlink>
      <w:r>
        <w:rPr>
          <w:color w:val="231F20"/>
          <w:spacing w:val="-3"/>
          <w:sz w:val="20"/>
        </w:rPr>
        <w:t>&gt;</w:t>
      </w:r>
    </w:p>
    <w:p w14:paraId="0AA77DBD" w14:textId="77777777" w:rsidR="00894070" w:rsidRDefault="009B7AFD">
      <w:pPr>
        <w:pStyle w:val="BodyText"/>
        <w:spacing w:before="55"/>
        <w:ind w:left="1007"/>
      </w:pPr>
      <w:r>
        <w:rPr>
          <w:color w:val="231F20"/>
        </w:rPr>
        <w:t>Victorian Law Reform Commission,</w:t>
      </w:r>
    </w:p>
    <w:p w14:paraId="568F67DE" w14:textId="77777777" w:rsidR="00894070" w:rsidRDefault="009B7AFD">
      <w:pPr>
        <w:pStyle w:val="ListParagraph"/>
        <w:numPr>
          <w:ilvl w:val="0"/>
          <w:numId w:val="4"/>
        </w:numPr>
        <w:tabs>
          <w:tab w:val="left" w:pos="1347"/>
          <w:tab w:val="left" w:pos="1348"/>
        </w:tabs>
        <w:spacing w:before="76"/>
        <w:ind w:hanging="340"/>
        <w:rPr>
          <w:sz w:val="20"/>
        </w:rPr>
      </w:pPr>
      <w:r>
        <w:rPr>
          <w:i/>
          <w:color w:val="231F20"/>
          <w:sz w:val="20"/>
        </w:rPr>
        <w:t xml:space="preserve">Committals </w:t>
      </w:r>
      <w:r>
        <w:rPr>
          <w:color w:val="231F20"/>
          <w:sz w:val="20"/>
        </w:rPr>
        <w:t>(Report No 41, March</w:t>
      </w:r>
      <w:r>
        <w:rPr>
          <w:color w:val="231F20"/>
          <w:spacing w:val="-10"/>
          <w:sz w:val="20"/>
        </w:rPr>
        <w:t xml:space="preserve"> </w:t>
      </w:r>
      <w:r>
        <w:rPr>
          <w:color w:val="231F20"/>
          <w:spacing w:val="-3"/>
          <w:sz w:val="20"/>
        </w:rPr>
        <w:t>2020)</w:t>
      </w:r>
    </w:p>
    <w:p w14:paraId="56908FEE" w14:textId="77777777" w:rsidR="00894070" w:rsidRDefault="009B7AFD">
      <w:pPr>
        <w:pStyle w:val="ListParagraph"/>
        <w:numPr>
          <w:ilvl w:val="0"/>
          <w:numId w:val="4"/>
        </w:numPr>
        <w:tabs>
          <w:tab w:val="left" w:pos="1347"/>
          <w:tab w:val="left" w:pos="1348"/>
        </w:tabs>
        <w:spacing w:before="47"/>
        <w:ind w:hanging="340"/>
        <w:rPr>
          <w:sz w:val="20"/>
        </w:rPr>
      </w:pPr>
      <w:r>
        <w:rPr>
          <w:i/>
          <w:color w:val="231F20"/>
          <w:sz w:val="20"/>
        </w:rPr>
        <w:t xml:space="preserve">Improving the Justice System Response </w:t>
      </w:r>
      <w:r>
        <w:rPr>
          <w:i/>
          <w:color w:val="231F20"/>
          <w:spacing w:val="-3"/>
          <w:sz w:val="20"/>
        </w:rPr>
        <w:t xml:space="preserve">to </w:t>
      </w:r>
      <w:r>
        <w:rPr>
          <w:i/>
          <w:color w:val="231F20"/>
          <w:sz w:val="20"/>
        </w:rPr>
        <w:t xml:space="preserve">Sexual Offences </w:t>
      </w:r>
      <w:r>
        <w:rPr>
          <w:color w:val="231F20"/>
          <w:sz w:val="20"/>
        </w:rPr>
        <w:t>(Report No 42, September</w:t>
      </w:r>
      <w:r>
        <w:rPr>
          <w:color w:val="231F20"/>
          <w:spacing w:val="-34"/>
          <w:sz w:val="20"/>
        </w:rPr>
        <w:t xml:space="preserve"> </w:t>
      </w:r>
      <w:r>
        <w:rPr>
          <w:color w:val="231F20"/>
          <w:sz w:val="20"/>
        </w:rPr>
        <w:t>2021)</w:t>
      </w:r>
    </w:p>
    <w:p w14:paraId="02EE86F7" w14:textId="77777777" w:rsidR="00894070" w:rsidRDefault="009B7AFD">
      <w:pPr>
        <w:pStyle w:val="ListParagraph"/>
        <w:numPr>
          <w:ilvl w:val="0"/>
          <w:numId w:val="4"/>
        </w:numPr>
        <w:tabs>
          <w:tab w:val="left" w:pos="1347"/>
          <w:tab w:val="left" w:pos="1348"/>
        </w:tabs>
        <w:spacing w:before="47"/>
        <w:ind w:hanging="340"/>
        <w:rPr>
          <w:sz w:val="20"/>
        </w:rPr>
      </w:pPr>
      <w:r>
        <w:rPr>
          <w:i/>
          <w:color w:val="231F20"/>
          <w:sz w:val="20"/>
        </w:rPr>
        <w:t xml:space="preserve">Review of Family Violence </w:t>
      </w:r>
      <w:r>
        <w:rPr>
          <w:i/>
          <w:color w:val="231F20"/>
          <w:spacing w:val="-3"/>
          <w:sz w:val="20"/>
        </w:rPr>
        <w:t xml:space="preserve">Laws </w:t>
      </w:r>
      <w:r>
        <w:rPr>
          <w:color w:val="231F20"/>
          <w:sz w:val="20"/>
        </w:rPr>
        <w:t xml:space="preserve">(Report No </w:t>
      </w:r>
      <w:r>
        <w:rPr>
          <w:color w:val="231F20"/>
          <w:spacing w:val="-3"/>
          <w:sz w:val="20"/>
        </w:rPr>
        <w:t>10,</w:t>
      </w:r>
      <w:r>
        <w:rPr>
          <w:color w:val="231F20"/>
          <w:spacing w:val="-15"/>
          <w:sz w:val="20"/>
        </w:rPr>
        <w:t xml:space="preserve"> </w:t>
      </w:r>
      <w:r>
        <w:rPr>
          <w:color w:val="231F20"/>
          <w:sz w:val="20"/>
        </w:rPr>
        <w:t>2006)</w:t>
      </w:r>
    </w:p>
    <w:p w14:paraId="13BC5B9E" w14:textId="77777777" w:rsidR="00894070" w:rsidRDefault="00894070">
      <w:pPr>
        <w:pStyle w:val="BodyText"/>
      </w:pPr>
    </w:p>
    <w:p w14:paraId="3C13847B" w14:textId="77777777" w:rsidR="00894070" w:rsidRDefault="00894070">
      <w:pPr>
        <w:pStyle w:val="BodyText"/>
        <w:spacing w:before="4"/>
        <w:rPr>
          <w:sz w:val="14"/>
        </w:rPr>
      </w:pPr>
    </w:p>
    <w:p w14:paraId="53CE497C" w14:textId="77777777" w:rsidR="00894070" w:rsidRDefault="009B7AFD">
      <w:pPr>
        <w:pStyle w:val="Heading8"/>
        <w:spacing w:before="48"/>
        <w:ind w:left="140"/>
      </w:pPr>
      <w:r>
        <w:rPr>
          <w:color w:val="EA5B50"/>
        </w:rPr>
        <w:t>204</w:t>
      </w:r>
    </w:p>
    <w:p w14:paraId="2BE5FBFB" w14:textId="77777777" w:rsidR="00894070" w:rsidRDefault="00894070">
      <w:pPr>
        <w:sectPr w:rsidR="00894070">
          <w:pgSz w:w="11910" w:h="16840"/>
          <w:pgMar w:top="860" w:right="420" w:bottom="280" w:left="580" w:header="567" w:footer="0" w:gutter="0"/>
          <w:cols w:space="720"/>
        </w:sectPr>
      </w:pPr>
    </w:p>
    <w:p w14:paraId="31008F2C" w14:textId="77777777" w:rsidR="00894070" w:rsidRDefault="00894070">
      <w:pPr>
        <w:pStyle w:val="BodyText"/>
        <w:rPr>
          <w:b/>
        </w:rPr>
      </w:pPr>
    </w:p>
    <w:p w14:paraId="7D814D4B" w14:textId="77777777" w:rsidR="00894070" w:rsidRDefault="00894070">
      <w:pPr>
        <w:pStyle w:val="BodyText"/>
        <w:rPr>
          <w:b/>
        </w:rPr>
      </w:pPr>
    </w:p>
    <w:p w14:paraId="647F2CEE" w14:textId="77777777" w:rsidR="00894070" w:rsidRDefault="00894070">
      <w:pPr>
        <w:pStyle w:val="BodyText"/>
        <w:rPr>
          <w:b/>
        </w:rPr>
      </w:pPr>
    </w:p>
    <w:p w14:paraId="7DEB9BDF" w14:textId="77777777" w:rsidR="00894070" w:rsidRDefault="00894070">
      <w:pPr>
        <w:pStyle w:val="BodyText"/>
        <w:spacing w:before="6"/>
        <w:rPr>
          <w:b/>
          <w:sz w:val="14"/>
        </w:rPr>
      </w:pPr>
    </w:p>
    <w:p w14:paraId="52C7AC0D" w14:textId="77777777" w:rsidR="00894070" w:rsidRDefault="009B7AFD">
      <w:pPr>
        <w:pStyle w:val="ListParagraph"/>
        <w:numPr>
          <w:ilvl w:val="0"/>
          <w:numId w:val="3"/>
        </w:numPr>
        <w:tabs>
          <w:tab w:val="left" w:pos="1347"/>
          <w:tab w:val="left" w:pos="1348"/>
        </w:tabs>
        <w:spacing w:before="58"/>
        <w:ind w:hanging="340"/>
        <w:rPr>
          <w:sz w:val="20"/>
        </w:rPr>
      </w:pPr>
      <w:r>
        <w:rPr>
          <w:i/>
          <w:color w:val="231F20"/>
          <w:sz w:val="20"/>
        </w:rPr>
        <w:t xml:space="preserve">Review of the Victims of Crime Assistance Act 1996 </w:t>
      </w:r>
      <w:r>
        <w:rPr>
          <w:color w:val="231F20"/>
          <w:sz w:val="20"/>
        </w:rPr>
        <w:t>(Report No 36, July</w:t>
      </w:r>
      <w:r>
        <w:rPr>
          <w:color w:val="231F20"/>
          <w:spacing w:val="-32"/>
          <w:sz w:val="20"/>
        </w:rPr>
        <w:t xml:space="preserve"> </w:t>
      </w:r>
      <w:r>
        <w:rPr>
          <w:color w:val="231F20"/>
          <w:spacing w:val="-3"/>
          <w:sz w:val="20"/>
        </w:rPr>
        <w:t>2018)</w:t>
      </w:r>
    </w:p>
    <w:p w14:paraId="51205A3E" w14:textId="77777777" w:rsidR="00894070" w:rsidRDefault="009B7AFD">
      <w:pPr>
        <w:pStyle w:val="ListParagraph"/>
        <w:numPr>
          <w:ilvl w:val="0"/>
          <w:numId w:val="3"/>
        </w:numPr>
        <w:tabs>
          <w:tab w:val="left" w:pos="1347"/>
          <w:tab w:val="left" w:pos="1348"/>
        </w:tabs>
        <w:spacing w:before="47"/>
        <w:ind w:hanging="340"/>
        <w:rPr>
          <w:sz w:val="20"/>
        </w:rPr>
      </w:pPr>
      <w:r>
        <w:rPr>
          <w:i/>
          <w:color w:val="231F20"/>
          <w:sz w:val="20"/>
        </w:rPr>
        <w:t xml:space="preserve">Stalking </w:t>
      </w:r>
      <w:r>
        <w:rPr>
          <w:color w:val="231F20"/>
          <w:sz w:val="20"/>
        </w:rPr>
        <w:t xml:space="preserve">(Interim Report No </w:t>
      </w:r>
      <w:r>
        <w:rPr>
          <w:color w:val="231F20"/>
          <w:spacing w:val="2"/>
          <w:sz w:val="20"/>
        </w:rPr>
        <w:t xml:space="preserve">44, </w:t>
      </w:r>
      <w:r>
        <w:rPr>
          <w:color w:val="231F20"/>
          <w:sz w:val="20"/>
        </w:rPr>
        <w:t>December</w:t>
      </w:r>
      <w:r>
        <w:rPr>
          <w:color w:val="231F20"/>
          <w:spacing w:val="-15"/>
          <w:sz w:val="20"/>
        </w:rPr>
        <w:t xml:space="preserve"> </w:t>
      </w:r>
      <w:r>
        <w:rPr>
          <w:color w:val="231F20"/>
          <w:sz w:val="20"/>
        </w:rPr>
        <w:t>2021)</w:t>
      </w:r>
    </w:p>
    <w:p w14:paraId="6132EF76" w14:textId="77777777" w:rsidR="00894070" w:rsidRDefault="009B7AFD">
      <w:pPr>
        <w:pStyle w:val="ListParagraph"/>
        <w:numPr>
          <w:ilvl w:val="0"/>
          <w:numId w:val="3"/>
        </w:numPr>
        <w:tabs>
          <w:tab w:val="left" w:pos="1347"/>
          <w:tab w:val="left" w:pos="1348"/>
        </w:tabs>
        <w:spacing w:before="48"/>
        <w:ind w:hanging="340"/>
        <w:rPr>
          <w:sz w:val="20"/>
        </w:rPr>
      </w:pPr>
      <w:r>
        <w:rPr>
          <w:i/>
          <w:color w:val="231F20"/>
          <w:sz w:val="20"/>
        </w:rPr>
        <w:t xml:space="preserve">Stalking </w:t>
      </w:r>
      <w:r>
        <w:rPr>
          <w:color w:val="231F20"/>
          <w:sz w:val="20"/>
        </w:rPr>
        <w:t xml:space="preserve">(Consultation </w:t>
      </w:r>
      <w:r>
        <w:rPr>
          <w:color w:val="231F20"/>
          <w:spacing w:val="-3"/>
          <w:sz w:val="20"/>
        </w:rPr>
        <w:t xml:space="preserve">Paper, </w:t>
      </w:r>
      <w:r>
        <w:rPr>
          <w:color w:val="231F20"/>
          <w:sz w:val="20"/>
        </w:rPr>
        <w:t>June</w:t>
      </w:r>
      <w:r>
        <w:rPr>
          <w:color w:val="231F20"/>
          <w:spacing w:val="-5"/>
          <w:sz w:val="20"/>
        </w:rPr>
        <w:t xml:space="preserve"> </w:t>
      </w:r>
      <w:r>
        <w:rPr>
          <w:color w:val="231F20"/>
          <w:sz w:val="20"/>
        </w:rPr>
        <w:t>2021)</w:t>
      </w:r>
    </w:p>
    <w:p w14:paraId="7A197421" w14:textId="77777777" w:rsidR="00894070" w:rsidRDefault="009B7AFD">
      <w:pPr>
        <w:pStyle w:val="ListParagraph"/>
        <w:numPr>
          <w:ilvl w:val="0"/>
          <w:numId w:val="3"/>
        </w:numPr>
        <w:tabs>
          <w:tab w:val="left" w:pos="1347"/>
          <w:tab w:val="left" w:pos="1348"/>
        </w:tabs>
        <w:spacing w:before="79" w:line="206" w:lineRule="auto"/>
        <w:ind w:right="1533" w:hanging="340"/>
        <w:rPr>
          <w:sz w:val="20"/>
        </w:rPr>
      </w:pPr>
      <w:r>
        <w:rPr>
          <w:i/>
          <w:color w:val="231F20"/>
          <w:sz w:val="20"/>
        </w:rPr>
        <w:t>Stalking:</w:t>
      </w:r>
      <w:r>
        <w:rPr>
          <w:i/>
          <w:color w:val="231F20"/>
          <w:spacing w:val="-6"/>
          <w:sz w:val="20"/>
        </w:rPr>
        <w:t xml:space="preserve"> </w:t>
      </w:r>
      <w:r>
        <w:rPr>
          <w:i/>
          <w:color w:val="231F20"/>
          <w:sz w:val="20"/>
        </w:rPr>
        <w:t>Summary</w:t>
      </w:r>
      <w:r>
        <w:rPr>
          <w:i/>
          <w:color w:val="231F20"/>
          <w:spacing w:val="-6"/>
          <w:sz w:val="20"/>
        </w:rPr>
        <w:t xml:space="preserve"> </w:t>
      </w:r>
      <w:r>
        <w:rPr>
          <w:i/>
          <w:color w:val="231F20"/>
          <w:sz w:val="20"/>
        </w:rPr>
        <w:t>of</w:t>
      </w:r>
      <w:r>
        <w:rPr>
          <w:i/>
          <w:color w:val="231F20"/>
          <w:spacing w:val="-5"/>
          <w:sz w:val="20"/>
        </w:rPr>
        <w:t xml:space="preserve"> </w:t>
      </w:r>
      <w:r>
        <w:rPr>
          <w:i/>
          <w:color w:val="231F20"/>
          <w:sz w:val="20"/>
        </w:rPr>
        <w:t>Responses</w:t>
      </w:r>
      <w:r>
        <w:rPr>
          <w:i/>
          <w:color w:val="231F20"/>
          <w:spacing w:val="-6"/>
          <w:sz w:val="20"/>
        </w:rPr>
        <w:t xml:space="preserve"> </w:t>
      </w:r>
      <w:r>
        <w:rPr>
          <w:i/>
          <w:color w:val="231F20"/>
          <w:spacing w:val="-3"/>
          <w:sz w:val="20"/>
        </w:rPr>
        <w:t>to</w:t>
      </w:r>
      <w:r>
        <w:rPr>
          <w:i/>
          <w:color w:val="231F20"/>
          <w:spacing w:val="-6"/>
          <w:sz w:val="20"/>
        </w:rPr>
        <w:t xml:space="preserve"> </w:t>
      </w:r>
      <w:r>
        <w:rPr>
          <w:i/>
          <w:color w:val="231F20"/>
          <w:sz w:val="20"/>
        </w:rPr>
        <w:t>Online</w:t>
      </w:r>
      <w:r>
        <w:rPr>
          <w:i/>
          <w:color w:val="231F20"/>
          <w:spacing w:val="-5"/>
          <w:sz w:val="20"/>
        </w:rPr>
        <w:t xml:space="preserve"> </w:t>
      </w:r>
      <w:r>
        <w:rPr>
          <w:i/>
          <w:color w:val="231F20"/>
          <w:sz w:val="20"/>
        </w:rPr>
        <w:t>Feedback</w:t>
      </w:r>
      <w:r>
        <w:rPr>
          <w:i/>
          <w:color w:val="231F20"/>
          <w:spacing w:val="-6"/>
          <w:sz w:val="20"/>
        </w:rPr>
        <w:t xml:space="preserve"> </w:t>
      </w:r>
      <w:r>
        <w:rPr>
          <w:i/>
          <w:color w:val="231F20"/>
          <w:sz w:val="20"/>
        </w:rPr>
        <w:t>Form</w:t>
      </w:r>
      <w:r>
        <w:rPr>
          <w:i/>
          <w:color w:val="231F20"/>
          <w:spacing w:val="-6"/>
          <w:sz w:val="20"/>
        </w:rPr>
        <w:t xml:space="preserve"> </w:t>
      </w:r>
      <w:r>
        <w:rPr>
          <w:i/>
          <w:color w:val="231F20"/>
          <w:sz w:val="20"/>
        </w:rPr>
        <w:t>from</w:t>
      </w:r>
      <w:r>
        <w:rPr>
          <w:i/>
          <w:color w:val="231F20"/>
          <w:spacing w:val="-5"/>
          <w:sz w:val="20"/>
        </w:rPr>
        <w:t xml:space="preserve"> </w:t>
      </w:r>
      <w:r>
        <w:rPr>
          <w:i/>
          <w:color w:val="231F20"/>
          <w:sz w:val="20"/>
        </w:rPr>
        <w:t>People</w:t>
      </w:r>
      <w:r>
        <w:rPr>
          <w:i/>
          <w:color w:val="231F20"/>
          <w:spacing w:val="-6"/>
          <w:sz w:val="20"/>
        </w:rPr>
        <w:t xml:space="preserve"> </w:t>
      </w:r>
      <w:r>
        <w:rPr>
          <w:i/>
          <w:color w:val="231F20"/>
          <w:sz w:val="20"/>
        </w:rPr>
        <w:t>with</w:t>
      </w:r>
      <w:r>
        <w:rPr>
          <w:i/>
          <w:color w:val="231F20"/>
          <w:spacing w:val="-5"/>
          <w:sz w:val="20"/>
        </w:rPr>
        <w:t xml:space="preserve"> </w:t>
      </w:r>
      <w:r>
        <w:rPr>
          <w:i/>
          <w:color w:val="231F20"/>
          <w:sz w:val="20"/>
        </w:rPr>
        <w:t>Experience</w:t>
      </w:r>
      <w:r>
        <w:rPr>
          <w:i/>
          <w:color w:val="231F20"/>
          <w:spacing w:val="-6"/>
          <w:sz w:val="20"/>
        </w:rPr>
        <w:t xml:space="preserve"> </w:t>
      </w:r>
      <w:r>
        <w:rPr>
          <w:i/>
          <w:color w:val="231F20"/>
          <w:sz w:val="20"/>
        </w:rPr>
        <w:t xml:space="preserve">of Stalking </w:t>
      </w:r>
      <w:r>
        <w:rPr>
          <w:color w:val="231F20"/>
          <w:sz w:val="20"/>
        </w:rPr>
        <w:t>(Report, August</w:t>
      </w:r>
      <w:r>
        <w:rPr>
          <w:color w:val="231F20"/>
          <w:spacing w:val="-6"/>
          <w:sz w:val="20"/>
        </w:rPr>
        <w:t xml:space="preserve"> </w:t>
      </w:r>
      <w:r>
        <w:rPr>
          <w:color w:val="231F20"/>
          <w:sz w:val="20"/>
        </w:rPr>
        <w:t>2021)</w:t>
      </w:r>
    </w:p>
    <w:p w14:paraId="3D891644" w14:textId="77777777" w:rsidR="00894070" w:rsidRDefault="009B7AFD">
      <w:pPr>
        <w:pStyle w:val="ListParagraph"/>
        <w:numPr>
          <w:ilvl w:val="0"/>
          <w:numId w:val="3"/>
        </w:numPr>
        <w:tabs>
          <w:tab w:val="left" w:pos="1347"/>
          <w:tab w:val="left" w:pos="1348"/>
        </w:tabs>
        <w:spacing w:before="56"/>
        <w:ind w:hanging="340"/>
        <w:rPr>
          <w:sz w:val="20"/>
        </w:rPr>
      </w:pPr>
      <w:r>
        <w:rPr>
          <w:i/>
          <w:color w:val="231F20"/>
          <w:sz w:val="20"/>
        </w:rPr>
        <w:t xml:space="preserve">The Role of Victims of Crime in the Criminal </w:t>
      </w:r>
      <w:r>
        <w:rPr>
          <w:i/>
          <w:color w:val="231F20"/>
          <w:spacing w:val="-4"/>
          <w:sz w:val="20"/>
        </w:rPr>
        <w:t xml:space="preserve">Trial </w:t>
      </w:r>
      <w:r>
        <w:rPr>
          <w:i/>
          <w:color w:val="231F20"/>
          <w:sz w:val="20"/>
        </w:rPr>
        <w:t xml:space="preserve">Process </w:t>
      </w:r>
      <w:r>
        <w:rPr>
          <w:color w:val="231F20"/>
          <w:sz w:val="20"/>
        </w:rPr>
        <w:t xml:space="preserve">(Report No </w:t>
      </w:r>
      <w:r>
        <w:rPr>
          <w:color w:val="231F20"/>
          <w:spacing w:val="2"/>
          <w:sz w:val="20"/>
        </w:rPr>
        <w:t xml:space="preserve">34, </w:t>
      </w:r>
      <w:r>
        <w:rPr>
          <w:color w:val="231F20"/>
          <w:sz w:val="20"/>
        </w:rPr>
        <w:t>August</w:t>
      </w:r>
      <w:r>
        <w:rPr>
          <w:color w:val="231F20"/>
          <w:spacing w:val="-36"/>
          <w:sz w:val="20"/>
        </w:rPr>
        <w:t xml:space="preserve"> </w:t>
      </w:r>
      <w:r>
        <w:rPr>
          <w:color w:val="231F20"/>
          <w:spacing w:val="-3"/>
          <w:sz w:val="20"/>
        </w:rPr>
        <w:t>2016)</w:t>
      </w:r>
    </w:p>
    <w:p w14:paraId="4F280758" w14:textId="77777777" w:rsidR="00894070" w:rsidRDefault="009B7AFD">
      <w:pPr>
        <w:spacing w:before="79" w:line="206" w:lineRule="auto"/>
        <w:ind w:left="1007" w:right="1219"/>
        <w:rPr>
          <w:sz w:val="20"/>
        </w:rPr>
      </w:pPr>
      <w:r>
        <w:rPr>
          <w:color w:val="231F20"/>
          <w:sz w:val="20"/>
        </w:rPr>
        <w:t xml:space="preserve">Villacampa, Carolina and Marc Salat, ‘Stalking: Victims’ and Professionals’ Views of Legal and Institutional Treatment’ (2019) 59 </w:t>
      </w:r>
      <w:r>
        <w:rPr>
          <w:i/>
          <w:color w:val="231F20"/>
          <w:sz w:val="20"/>
        </w:rPr>
        <w:t xml:space="preserve">International Journal of Law, Crime and Justice </w:t>
      </w:r>
      <w:r>
        <w:rPr>
          <w:color w:val="231F20"/>
          <w:sz w:val="20"/>
        </w:rPr>
        <w:t>100345:1–14</w:t>
      </w:r>
    </w:p>
    <w:p w14:paraId="4DAE903D" w14:textId="77777777" w:rsidR="00894070" w:rsidRDefault="009B7AFD">
      <w:pPr>
        <w:pStyle w:val="BodyText"/>
        <w:spacing w:before="116" w:line="206" w:lineRule="auto"/>
        <w:ind w:left="1007" w:right="1219"/>
      </w:pPr>
      <w:r>
        <w:rPr>
          <w:color w:val="231F20"/>
        </w:rPr>
        <w:t xml:space="preserve">Weller, Michelle, Lorraine Hope and Lorraine Sheridan, ‘Police and Public Perceptions of Stalking: The Role of Prior Victim–Offender Relationship’ (2013) 28(2) </w:t>
      </w:r>
      <w:r>
        <w:rPr>
          <w:i/>
          <w:color w:val="231F20"/>
        </w:rPr>
        <w:t xml:space="preserve">Journal of Interpersonal Violence </w:t>
      </w:r>
      <w:r>
        <w:rPr>
          <w:color w:val="231F20"/>
        </w:rPr>
        <w:t>320</w:t>
      </w:r>
    </w:p>
    <w:p w14:paraId="3CE042C3" w14:textId="77777777" w:rsidR="00894070" w:rsidRDefault="009B7AFD">
      <w:pPr>
        <w:pStyle w:val="BodyText"/>
        <w:spacing w:before="117" w:line="206" w:lineRule="auto"/>
        <w:ind w:left="1007" w:right="1220"/>
      </w:pPr>
      <w:r>
        <w:rPr>
          <w:color w:val="231F20"/>
        </w:rPr>
        <w:t xml:space="preserve">Wheatley, R, B Winder and DJ Kuss, ‘What Are the Features of Psychopathology for Men Who Commit Stalking Offences? A Systematic Review’ (2020) 55 </w:t>
      </w:r>
      <w:r>
        <w:rPr>
          <w:i/>
          <w:color w:val="231F20"/>
        </w:rPr>
        <w:t xml:space="preserve">Aggression and Violent Behavior </w:t>
      </w:r>
      <w:r>
        <w:rPr>
          <w:color w:val="231F20"/>
        </w:rPr>
        <w:t>101461:1–15</w:t>
      </w:r>
    </w:p>
    <w:p w14:paraId="026DFB13" w14:textId="77777777" w:rsidR="00894070" w:rsidRDefault="009B7AFD">
      <w:pPr>
        <w:spacing w:before="118" w:line="206" w:lineRule="auto"/>
        <w:ind w:left="1007" w:right="1162"/>
        <w:rPr>
          <w:sz w:val="20"/>
        </w:rPr>
      </w:pPr>
      <w:r>
        <w:rPr>
          <w:color w:val="231F20"/>
          <w:sz w:val="20"/>
        </w:rPr>
        <w:t xml:space="preserve">Wilson, Chanelle, Lorraine Sheridan and David Garratt-Reed, ‘What Is Cyberstalking? A Review of Measurements’ (2022) 37(11–12) </w:t>
      </w:r>
      <w:r>
        <w:rPr>
          <w:i/>
          <w:color w:val="231F20"/>
          <w:sz w:val="20"/>
        </w:rPr>
        <w:t xml:space="preserve">Journal of Interpersonal Violence </w:t>
      </w:r>
      <w:r>
        <w:rPr>
          <w:color w:val="231F20"/>
          <w:sz w:val="20"/>
        </w:rPr>
        <w:t>NP9763</w:t>
      </w:r>
    </w:p>
    <w:p w14:paraId="5045BF46" w14:textId="77777777" w:rsidR="00894070" w:rsidRDefault="009B7AFD">
      <w:pPr>
        <w:spacing w:before="115" w:line="206" w:lineRule="auto"/>
        <w:ind w:left="1007" w:right="1689"/>
        <w:rPr>
          <w:sz w:val="20"/>
        </w:rPr>
      </w:pPr>
      <w:r>
        <w:rPr>
          <w:color w:val="231F20"/>
          <w:spacing w:val="-4"/>
          <w:sz w:val="20"/>
        </w:rPr>
        <w:t xml:space="preserve">Winter, </w:t>
      </w:r>
      <w:r>
        <w:rPr>
          <w:color w:val="231F20"/>
          <w:sz w:val="20"/>
        </w:rPr>
        <w:t xml:space="preserve">Romy et al, </w:t>
      </w:r>
      <w:r>
        <w:rPr>
          <w:i/>
          <w:color w:val="231F20"/>
          <w:sz w:val="20"/>
        </w:rPr>
        <w:t xml:space="preserve">Evaluation of Project Vigilance: Electronic Monitoring of Family Violence Offenders </w:t>
      </w:r>
      <w:r>
        <w:rPr>
          <w:color w:val="231F20"/>
          <w:sz w:val="20"/>
        </w:rPr>
        <w:t xml:space="preserve">(Final Report, University of </w:t>
      </w:r>
      <w:r>
        <w:rPr>
          <w:color w:val="231F20"/>
          <w:spacing w:val="-3"/>
          <w:sz w:val="20"/>
        </w:rPr>
        <w:t xml:space="preserve">Tasmania, Tasmanian </w:t>
      </w:r>
      <w:r>
        <w:rPr>
          <w:color w:val="231F20"/>
          <w:sz w:val="20"/>
        </w:rPr>
        <w:t>Institute of Law Enforcement Studies, July 2021) 49</w:t>
      </w:r>
    </w:p>
    <w:p w14:paraId="1EC7C331" w14:textId="77777777" w:rsidR="00894070" w:rsidRDefault="009B7AFD">
      <w:pPr>
        <w:pStyle w:val="BodyText"/>
        <w:spacing w:before="85"/>
        <w:ind w:left="1007"/>
      </w:pPr>
      <w:r>
        <w:rPr>
          <w:color w:val="231F20"/>
        </w:rPr>
        <w:t>Women’s Services Network (WESNET),</w:t>
      </w:r>
    </w:p>
    <w:p w14:paraId="7097E259" w14:textId="77777777" w:rsidR="00894070" w:rsidRDefault="009B7AFD">
      <w:pPr>
        <w:pStyle w:val="ListParagraph"/>
        <w:numPr>
          <w:ilvl w:val="0"/>
          <w:numId w:val="3"/>
        </w:numPr>
        <w:tabs>
          <w:tab w:val="left" w:pos="1347"/>
          <w:tab w:val="left" w:pos="1348"/>
        </w:tabs>
        <w:spacing w:before="108" w:line="206" w:lineRule="auto"/>
        <w:ind w:right="1220" w:hanging="340"/>
        <w:rPr>
          <w:sz w:val="20"/>
        </w:rPr>
      </w:pPr>
      <w:r>
        <w:rPr>
          <w:color w:val="231F20"/>
          <w:spacing w:val="-3"/>
          <w:sz w:val="20"/>
        </w:rPr>
        <w:t>‘About</w:t>
      </w:r>
      <w:r>
        <w:rPr>
          <w:color w:val="231F20"/>
          <w:spacing w:val="-7"/>
          <w:sz w:val="20"/>
        </w:rPr>
        <w:t xml:space="preserve"> </w:t>
      </w:r>
      <w:r>
        <w:rPr>
          <w:color w:val="231F20"/>
          <w:sz w:val="20"/>
        </w:rPr>
        <w:t>Safe</w:t>
      </w:r>
      <w:r>
        <w:rPr>
          <w:color w:val="231F20"/>
          <w:spacing w:val="-6"/>
          <w:sz w:val="20"/>
        </w:rPr>
        <w:t xml:space="preserve"> </w:t>
      </w:r>
      <w:r>
        <w:rPr>
          <w:color w:val="231F20"/>
          <w:sz w:val="20"/>
        </w:rPr>
        <w:t>Connections’,</w:t>
      </w:r>
      <w:r>
        <w:rPr>
          <w:color w:val="231F20"/>
          <w:spacing w:val="-6"/>
          <w:sz w:val="20"/>
        </w:rPr>
        <w:t xml:space="preserve"> </w:t>
      </w:r>
      <w:r>
        <w:rPr>
          <w:i/>
          <w:color w:val="231F20"/>
          <w:sz w:val="20"/>
        </w:rPr>
        <w:t>Safe</w:t>
      </w:r>
      <w:r>
        <w:rPr>
          <w:i/>
          <w:color w:val="231F20"/>
          <w:spacing w:val="-6"/>
          <w:sz w:val="20"/>
        </w:rPr>
        <w:t xml:space="preserve"> </w:t>
      </w:r>
      <w:r>
        <w:rPr>
          <w:i/>
          <w:color w:val="231F20"/>
          <w:sz w:val="20"/>
        </w:rPr>
        <w:t>Connections</w:t>
      </w:r>
      <w:r>
        <w:rPr>
          <w:i/>
          <w:color w:val="231F20"/>
          <w:spacing w:val="-6"/>
          <w:sz w:val="20"/>
        </w:rPr>
        <w:t xml:space="preserve"> </w:t>
      </w:r>
      <w:r>
        <w:rPr>
          <w:i/>
          <w:color w:val="231F20"/>
          <w:sz w:val="20"/>
        </w:rPr>
        <w:t>2.0</w:t>
      </w:r>
      <w:r>
        <w:rPr>
          <w:i/>
          <w:color w:val="231F20"/>
          <w:spacing w:val="-5"/>
          <w:sz w:val="20"/>
        </w:rPr>
        <w:t xml:space="preserve"> </w:t>
      </w:r>
      <w:r>
        <w:rPr>
          <w:color w:val="231F20"/>
          <w:sz w:val="20"/>
        </w:rPr>
        <w:t>(Web</w:t>
      </w:r>
      <w:r>
        <w:rPr>
          <w:color w:val="231F20"/>
          <w:spacing w:val="-6"/>
          <w:sz w:val="20"/>
        </w:rPr>
        <w:t xml:space="preserve"> </w:t>
      </w:r>
      <w:r>
        <w:rPr>
          <w:color w:val="231F20"/>
          <w:sz w:val="20"/>
        </w:rPr>
        <w:t>Page)</w:t>
      </w:r>
      <w:r>
        <w:rPr>
          <w:color w:val="231F20"/>
          <w:spacing w:val="-6"/>
          <w:sz w:val="20"/>
        </w:rPr>
        <w:t xml:space="preserve"> </w:t>
      </w:r>
      <w:r>
        <w:rPr>
          <w:color w:val="231F20"/>
          <w:spacing w:val="-3"/>
          <w:sz w:val="20"/>
        </w:rPr>
        <w:t>&lt;</w:t>
      </w:r>
      <w:hyperlink r:id="rId337">
        <w:r>
          <w:rPr>
            <w:color w:val="231F20"/>
            <w:spacing w:val="-3"/>
            <w:sz w:val="20"/>
          </w:rPr>
          <w:t>https://phones.wesnet.org.au/</w:t>
        </w:r>
      </w:hyperlink>
      <w:hyperlink r:id="rId338">
        <w:r>
          <w:rPr>
            <w:color w:val="231F20"/>
            <w:spacing w:val="-3"/>
            <w:sz w:val="20"/>
          </w:rPr>
          <w:t xml:space="preserve"> </w:t>
        </w:r>
        <w:r>
          <w:rPr>
            <w:color w:val="231F20"/>
            <w:sz w:val="20"/>
          </w:rPr>
          <w:t>safeconnections/</w:t>
        </w:r>
      </w:hyperlink>
      <w:r>
        <w:rPr>
          <w:color w:val="231F20"/>
          <w:sz w:val="20"/>
        </w:rPr>
        <w:t>&gt;</w:t>
      </w:r>
    </w:p>
    <w:p w14:paraId="0DD36F57" w14:textId="77777777" w:rsidR="00894070" w:rsidRDefault="009B7AFD">
      <w:pPr>
        <w:pStyle w:val="ListParagraph"/>
        <w:numPr>
          <w:ilvl w:val="0"/>
          <w:numId w:val="3"/>
        </w:numPr>
        <w:tabs>
          <w:tab w:val="left" w:pos="1397"/>
          <w:tab w:val="left" w:pos="1398"/>
        </w:tabs>
        <w:spacing w:before="56" w:line="259" w:lineRule="exact"/>
        <w:ind w:left="1397" w:hanging="390"/>
        <w:rPr>
          <w:sz w:val="20"/>
        </w:rPr>
      </w:pPr>
      <w:r>
        <w:rPr>
          <w:color w:val="231F20"/>
          <w:sz w:val="20"/>
        </w:rPr>
        <w:t xml:space="preserve">‘WESNET Safety Net Australia Service’, </w:t>
      </w:r>
      <w:r>
        <w:rPr>
          <w:i/>
          <w:color w:val="231F20"/>
          <w:spacing w:val="-3"/>
          <w:sz w:val="20"/>
        </w:rPr>
        <w:t xml:space="preserve">Technology </w:t>
      </w:r>
      <w:r>
        <w:rPr>
          <w:i/>
          <w:color w:val="231F20"/>
          <w:sz w:val="20"/>
        </w:rPr>
        <w:t xml:space="preserve">Safety Australia </w:t>
      </w:r>
      <w:r>
        <w:rPr>
          <w:color w:val="231F20"/>
          <w:sz w:val="20"/>
        </w:rPr>
        <w:t>(Web</w:t>
      </w:r>
      <w:r>
        <w:rPr>
          <w:color w:val="231F20"/>
          <w:spacing w:val="-21"/>
          <w:sz w:val="20"/>
        </w:rPr>
        <w:t xml:space="preserve"> </w:t>
      </w:r>
      <w:r>
        <w:rPr>
          <w:color w:val="231F20"/>
          <w:sz w:val="20"/>
        </w:rPr>
        <w:t>Page)</w:t>
      </w:r>
    </w:p>
    <w:p w14:paraId="03630B97" w14:textId="77777777" w:rsidR="00894070" w:rsidRDefault="009B7AFD">
      <w:pPr>
        <w:pStyle w:val="BodyText"/>
        <w:spacing w:line="259" w:lineRule="exact"/>
        <w:ind w:left="1288" w:right="6257"/>
        <w:jc w:val="center"/>
      </w:pPr>
      <w:r>
        <w:rPr>
          <w:color w:val="231F20"/>
        </w:rPr>
        <w:t>&lt;</w:t>
      </w:r>
      <w:hyperlink r:id="rId339">
        <w:r>
          <w:rPr>
            <w:color w:val="231F20"/>
          </w:rPr>
          <w:t>https://techsafety.org.au/about/</w:t>
        </w:r>
      </w:hyperlink>
      <w:r>
        <w:rPr>
          <w:color w:val="231F20"/>
        </w:rPr>
        <w:t>&gt;</w:t>
      </w:r>
    </w:p>
    <w:p w14:paraId="09C04F10" w14:textId="77777777" w:rsidR="00894070" w:rsidRDefault="009B7AFD">
      <w:pPr>
        <w:pStyle w:val="BodyText"/>
        <w:spacing w:before="47" w:line="259" w:lineRule="exact"/>
        <w:ind w:left="1007"/>
      </w:pPr>
      <w:r>
        <w:rPr>
          <w:color w:val="231F20"/>
        </w:rPr>
        <w:t>Woodlock, Delanie, ‘The Abuse of Technology in Domestic Violence and Stalking’ (2017) 23(5)</w:t>
      </w:r>
    </w:p>
    <w:p w14:paraId="31A5DCEC" w14:textId="77777777" w:rsidR="00894070" w:rsidRDefault="009B7AFD">
      <w:pPr>
        <w:spacing w:line="259" w:lineRule="exact"/>
        <w:ind w:left="1007"/>
        <w:rPr>
          <w:sz w:val="20"/>
        </w:rPr>
      </w:pPr>
      <w:r>
        <w:rPr>
          <w:i/>
          <w:color w:val="231F20"/>
          <w:sz w:val="20"/>
        </w:rPr>
        <w:t xml:space="preserve">Violence Against Women </w:t>
      </w:r>
      <w:r>
        <w:rPr>
          <w:color w:val="231F20"/>
          <w:sz w:val="20"/>
        </w:rPr>
        <w:t>584</w:t>
      </w:r>
    </w:p>
    <w:p w14:paraId="431927D8" w14:textId="77777777" w:rsidR="00894070" w:rsidRDefault="009B7AFD">
      <w:pPr>
        <w:spacing w:before="108" w:line="206" w:lineRule="auto"/>
        <w:ind w:left="1007" w:right="1341"/>
        <w:rPr>
          <w:sz w:val="20"/>
        </w:rPr>
      </w:pPr>
      <w:r>
        <w:rPr>
          <w:color w:val="231F20"/>
          <w:sz w:val="20"/>
        </w:rPr>
        <w:t xml:space="preserve">Woodlock, Delanie et al, </w:t>
      </w:r>
      <w:r>
        <w:rPr>
          <w:i/>
          <w:color w:val="231F20"/>
          <w:sz w:val="20"/>
        </w:rPr>
        <w:t xml:space="preserve">Second National Survey on Technology Abuse in Australia </w:t>
      </w:r>
      <w:r>
        <w:rPr>
          <w:color w:val="231F20"/>
          <w:sz w:val="20"/>
        </w:rPr>
        <w:t>(Report, 24 November 2020)</w:t>
      </w:r>
    </w:p>
    <w:p w14:paraId="371A68B4" w14:textId="77777777" w:rsidR="00894070" w:rsidRDefault="009B7AFD">
      <w:pPr>
        <w:pStyle w:val="BodyText"/>
        <w:spacing w:before="116" w:line="206" w:lineRule="auto"/>
        <w:ind w:left="1007" w:right="1109"/>
      </w:pPr>
      <w:r>
        <w:rPr>
          <w:color w:val="231F20"/>
        </w:rPr>
        <w:t xml:space="preserve">Worsley, Joanne D et al, ‘Victims’ Voices: Understanding the Emotional Impact of Cyberstalking and Individuals’ Coping Responses’ (2017) 7(2) </w:t>
      </w:r>
      <w:r>
        <w:rPr>
          <w:i/>
          <w:color w:val="231F20"/>
        </w:rPr>
        <w:t xml:space="preserve">SAGE Open </w:t>
      </w:r>
      <w:r>
        <w:rPr>
          <w:color w:val="231F20"/>
        </w:rPr>
        <w:t>10.1177/215824401771029:1</w:t>
      </w:r>
      <w:r>
        <w:t>–</w:t>
      </w:r>
      <w:r>
        <w:rPr>
          <w:color w:val="231F20"/>
        </w:rPr>
        <w:t>13</w:t>
      </w:r>
    </w:p>
    <w:p w14:paraId="0B2F9610" w14:textId="77777777" w:rsidR="00894070" w:rsidRDefault="00894070">
      <w:pPr>
        <w:pStyle w:val="BodyText"/>
        <w:rPr>
          <w:sz w:val="22"/>
        </w:rPr>
      </w:pPr>
    </w:p>
    <w:p w14:paraId="3B9CA108" w14:textId="77777777" w:rsidR="00894070" w:rsidRDefault="00894070">
      <w:pPr>
        <w:pStyle w:val="BodyText"/>
        <w:spacing w:before="6"/>
        <w:rPr>
          <w:sz w:val="19"/>
        </w:rPr>
      </w:pPr>
    </w:p>
    <w:p w14:paraId="02DA72BF" w14:textId="77777777" w:rsidR="00894070" w:rsidRDefault="009B7AFD">
      <w:pPr>
        <w:ind w:left="1007"/>
        <w:rPr>
          <w:rFonts w:ascii="Raleway ExtraBold"/>
          <w:b/>
          <w:sz w:val="28"/>
        </w:rPr>
      </w:pPr>
      <w:r>
        <w:rPr>
          <w:rFonts w:ascii="Raleway ExtraBold"/>
          <w:b/>
          <w:color w:val="EA5B50"/>
          <w:sz w:val="28"/>
        </w:rPr>
        <w:t>Case law</w:t>
      </w:r>
    </w:p>
    <w:p w14:paraId="1170BDC4" w14:textId="77777777" w:rsidR="00894070" w:rsidRDefault="009B7AFD">
      <w:pPr>
        <w:pStyle w:val="Heading8"/>
        <w:spacing w:before="241"/>
        <w:ind w:left="1007"/>
      </w:pPr>
      <w:r>
        <w:rPr>
          <w:color w:val="231F20"/>
        </w:rPr>
        <w:t>Victoria</w:t>
      </w:r>
    </w:p>
    <w:p w14:paraId="2D2CBA69" w14:textId="77777777" w:rsidR="00894070" w:rsidRDefault="009B7AFD">
      <w:pPr>
        <w:spacing w:before="95"/>
        <w:ind w:left="1007"/>
        <w:rPr>
          <w:sz w:val="20"/>
        </w:rPr>
      </w:pPr>
      <w:r>
        <w:rPr>
          <w:i/>
          <w:color w:val="231F20"/>
          <w:sz w:val="20"/>
        </w:rPr>
        <w:t xml:space="preserve">Berlyn v Brouskos </w:t>
      </w:r>
      <w:r>
        <w:rPr>
          <w:color w:val="231F20"/>
          <w:sz w:val="20"/>
        </w:rPr>
        <w:t>[2002] VSC 377, (2002) 134 A Crim R 111</w:t>
      </w:r>
    </w:p>
    <w:p w14:paraId="27F80D16" w14:textId="77777777" w:rsidR="00894070" w:rsidRDefault="009B7AFD">
      <w:pPr>
        <w:spacing w:before="75"/>
        <w:ind w:left="1007"/>
        <w:rPr>
          <w:sz w:val="20"/>
        </w:rPr>
      </w:pPr>
      <w:r>
        <w:rPr>
          <w:i/>
          <w:color w:val="231F20"/>
          <w:sz w:val="20"/>
        </w:rPr>
        <w:t xml:space="preserve">DPP v Banks (a pseudonym) </w:t>
      </w:r>
      <w:r>
        <w:rPr>
          <w:color w:val="231F20"/>
          <w:sz w:val="20"/>
        </w:rPr>
        <w:t>[2019] VCC 1185</w:t>
      </w:r>
    </w:p>
    <w:p w14:paraId="721ACEA5" w14:textId="77777777" w:rsidR="00894070" w:rsidRDefault="009B7AFD">
      <w:pPr>
        <w:spacing w:before="76"/>
        <w:ind w:left="1007"/>
        <w:rPr>
          <w:sz w:val="20"/>
        </w:rPr>
      </w:pPr>
      <w:r>
        <w:rPr>
          <w:i/>
          <w:color w:val="231F20"/>
          <w:sz w:val="20"/>
        </w:rPr>
        <w:t xml:space="preserve">DPP v Sutcliffe </w:t>
      </w:r>
      <w:r>
        <w:rPr>
          <w:color w:val="231F20"/>
          <w:sz w:val="20"/>
        </w:rPr>
        <w:t>[2001] VSC 43</w:t>
      </w:r>
    </w:p>
    <w:p w14:paraId="09767EFD" w14:textId="77777777" w:rsidR="00894070" w:rsidRDefault="009B7AFD">
      <w:pPr>
        <w:pStyle w:val="BodyText"/>
        <w:spacing w:before="108" w:line="206" w:lineRule="auto"/>
        <w:ind w:left="1007" w:right="1427"/>
      </w:pPr>
      <w:r>
        <w:rPr>
          <w:i/>
          <w:color w:val="231F20"/>
        </w:rPr>
        <w:t xml:space="preserve">Gunes v Pearson </w:t>
      </w:r>
      <w:r>
        <w:rPr>
          <w:color w:val="231F20"/>
        </w:rPr>
        <w:t>(1996) 89 A Crim R 297, (Supreme Court of Victoria, McDonald J, 31 October 1996)</w:t>
      </w:r>
    </w:p>
    <w:p w14:paraId="21F26AE2" w14:textId="77777777" w:rsidR="00894070" w:rsidRDefault="009B7AFD">
      <w:pPr>
        <w:pStyle w:val="BodyText"/>
        <w:spacing w:before="84"/>
        <w:ind w:left="1007"/>
      </w:pPr>
      <w:r>
        <w:rPr>
          <w:i/>
          <w:color w:val="231F20"/>
        </w:rPr>
        <w:t xml:space="preserve">R v ALH </w:t>
      </w:r>
      <w:r>
        <w:rPr>
          <w:color w:val="231F20"/>
        </w:rPr>
        <w:t>[2003] VSCA 129, (2003) 6 VR 276</w:t>
      </w:r>
    </w:p>
    <w:p w14:paraId="6BFB11B4" w14:textId="77777777" w:rsidR="00894070" w:rsidRDefault="00894070">
      <w:pPr>
        <w:pStyle w:val="BodyText"/>
      </w:pPr>
    </w:p>
    <w:p w14:paraId="19E309AC" w14:textId="77777777" w:rsidR="00894070" w:rsidRDefault="00894070">
      <w:pPr>
        <w:pStyle w:val="BodyText"/>
      </w:pPr>
    </w:p>
    <w:p w14:paraId="35F6D8E3" w14:textId="77777777" w:rsidR="00894070" w:rsidRDefault="00894070">
      <w:pPr>
        <w:pStyle w:val="BodyText"/>
      </w:pPr>
    </w:p>
    <w:p w14:paraId="59EB484B" w14:textId="77777777" w:rsidR="00894070" w:rsidRDefault="00894070">
      <w:pPr>
        <w:pStyle w:val="BodyText"/>
      </w:pPr>
    </w:p>
    <w:p w14:paraId="32413831" w14:textId="77777777" w:rsidR="00894070" w:rsidRDefault="00894070">
      <w:pPr>
        <w:pStyle w:val="BodyText"/>
      </w:pPr>
    </w:p>
    <w:p w14:paraId="0B158C91" w14:textId="77777777" w:rsidR="00894070" w:rsidRDefault="00894070">
      <w:pPr>
        <w:pStyle w:val="BodyText"/>
        <w:spacing w:before="1"/>
        <w:rPr>
          <w:sz w:val="23"/>
        </w:rPr>
      </w:pPr>
    </w:p>
    <w:p w14:paraId="54BE4535" w14:textId="77777777" w:rsidR="00894070" w:rsidRDefault="009B7AFD">
      <w:pPr>
        <w:pStyle w:val="Heading8"/>
        <w:spacing w:before="48"/>
        <w:ind w:right="167"/>
        <w:jc w:val="right"/>
      </w:pPr>
      <w:r>
        <w:rPr>
          <w:color w:val="EA5B50"/>
        </w:rPr>
        <w:t>205</w:t>
      </w:r>
    </w:p>
    <w:p w14:paraId="2271D461" w14:textId="77777777" w:rsidR="00894070" w:rsidRDefault="00894070">
      <w:pPr>
        <w:jc w:val="right"/>
        <w:sectPr w:rsidR="00894070">
          <w:pgSz w:w="11910" w:h="16840"/>
          <w:pgMar w:top="840" w:right="420" w:bottom="280" w:left="580" w:header="0" w:footer="0" w:gutter="0"/>
          <w:cols w:space="720"/>
        </w:sectPr>
      </w:pPr>
    </w:p>
    <w:p w14:paraId="03ED43B7" w14:textId="77777777" w:rsidR="00894070" w:rsidRDefault="00894070">
      <w:pPr>
        <w:pStyle w:val="BodyText"/>
        <w:rPr>
          <w:b/>
        </w:rPr>
      </w:pPr>
    </w:p>
    <w:p w14:paraId="404B78FB" w14:textId="77777777" w:rsidR="00894070" w:rsidRDefault="00894070">
      <w:pPr>
        <w:pStyle w:val="BodyText"/>
        <w:rPr>
          <w:b/>
        </w:rPr>
      </w:pPr>
    </w:p>
    <w:p w14:paraId="2A6D0330" w14:textId="77777777" w:rsidR="00894070" w:rsidRDefault="00894070">
      <w:pPr>
        <w:pStyle w:val="BodyText"/>
        <w:rPr>
          <w:b/>
        </w:rPr>
      </w:pPr>
    </w:p>
    <w:p w14:paraId="331FFF49" w14:textId="77777777" w:rsidR="00894070" w:rsidRDefault="009B7AFD">
      <w:pPr>
        <w:spacing w:before="220"/>
        <w:ind w:left="1007"/>
        <w:rPr>
          <w:b/>
          <w:sz w:val="24"/>
        </w:rPr>
      </w:pPr>
      <w:r>
        <w:rPr>
          <w:b/>
          <w:color w:val="231F20"/>
          <w:sz w:val="24"/>
        </w:rPr>
        <w:t>Commonwealth</w:t>
      </w:r>
    </w:p>
    <w:p w14:paraId="6D916BDC" w14:textId="77777777" w:rsidR="00894070" w:rsidRDefault="009B7AFD">
      <w:pPr>
        <w:spacing w:before="95"/>
        <w:ind w:left="1007"/>
        <w:rPr>
          <w:sz w:val="20"/>
        </w:rPr>
      </w:pPr>
      <w:r>
        <w:rPr>
          <w:i/>
          <w:color w:val="231F20"/>
          <w:sz w:val="20"/>
        </w:rPr>
        <w:t xml:space="preserve">Kozarov v Victoria </w:t>
      </w:r>
      <w:r>
        <w:rPr>
          <w:color w:val="231F20"/>
          <w:sz w:val="20"/>
        </w:rPr>
        <w:t>[2022] HCA 12, (2022) 399 ALR 573</w:t>
      </w:r>
    </w:p>
    <w:p w14:paraId="7EE3B6AD" w14:textId="77777777" w:rsidR="00894070" w:rsidRDefault="009B7AFD">
      <w:pPr>
        <w:spacing w:before="76"/>
        <w:ind w:left="1007"/>
        <w:rPr>
          <w:sz w:val="20"/>
        </w:rPr>
      </w:pPr>
      <w:r>
        <w:rPr>
          <w:i/>
          <w:color w:val="231F20"/>
          <w:sz w:val="20"/>
        </w:rPr>
        <w:t xml:space="preserve">RP v The Queen </w:t>
      </w:r>
      <w:r>
        <w:rPr>
          <w:color w:val="231F20"/>
          <w:sz w:val="20"/>
        </w:rPr>
        <w:t>[2016] HCA 53, (2016) 259 CLR 641</w:t>
      </w:r>
    </w:p>
    <w:p w14:paraId="00E41073" w14:textId="77777777" w:rsidR="00894070" w:rsidRDefault="00894070">
      <w:pPr>
        <w:pStyle w:val="BodyText"/>
        <w:spacing w:before="5"/>
        <w:rPr>
          <w:sz w:val="15"/>
        </w:rPr>
      </w:pPr>
    </w:p>
    <w:p w14:paraId="4857BA28" w14:textId="77777777" w:rsidR="00894070" w:rsidRDefault="009B7AFD">
      <w:pPr>
        <w:pStyle w:val="Heading7"/>
      </w:pPr>
      <w:r>
        <w:rPr>
          <w:color w:val="EA5B50"/>
        </w:rPr>
        <w:t>Legislation</w:t>
      </w:r>
    </w:p>
    <w:p w14:paraId="688D7B14" w14:textId="77777777" w:rsidR="00894070" w:rsidRDefault="00894070">
      <w:pPr>
        <w:pStyle w:val="BodyText"/>
        <w:spacing w:before="12"/>
        <w:rPr>
          <w:rFonts w:ascii="Raleway ExtraBold"/>
          <w:b/>
          <w:sz w:val="13"/>
        </w:rPr>
      </w:pPr>
    </w:p>
    <w:p w14:paraId="16B79ED0" w14:textId="77777777" w:rsidR="00894070" w:rsidRDefault="00894070">
      <w:pPr>
        <w:rPr>
          <w:rFonts w:ascii="Raleway ExtraBold"/>
          <w:sz w:val="13"/>
        </w:rPr>
        <w:sectPr w:rsidR="00894070">
          <w:pgSz w:w="11910" w:h="16840"/>
          <w:pgMar w:top="860" w:right="420" w:bottom="280" w:left="580" w:header="567" w:footer="0" w:gutter="0"/>
          <w:cols w:space="720"/>
        </w:sectPr>
      </w:pPr>
    </w:p>
    <w:p w14:paraId="1D543E4C" w14:textId="77777777" w:rsidR="00894070" w:rsidRDefault="00894070">
      <w:pPr>
        <w:pStyle w:val="BodyText"/>
        <w:rPr>
          <w:rFonts w:ascii="Raleway ExtraBold"/>
          <w:b/>
          <w:sz w:val="28"/>
        </w:rPr>
      </w:pPr>
    </w:p>
    <w:p w14:paraId="43E6ADF2" w14:textId="77777777" w:rsidR="00894070" w:rsidRDefault="00894070">
      <w:pPr>
        <w:pStyle w:val="BodyText"/>
        <w:rPr>
          <w:rFonts w:ascii="Raleway ExtraBold"/>
          <w:b/>
          <w:sz w:val="28"/>
        </w:rPr>
      </w:pPr>
    </w:p>
    <w:p w14:paraId="03ABE992" w14:textId="77777777" w:rsidR="00894070" w:rsidRDefault="00894070">
      <w:pPr>
        <w:pStyle w:val="BodyText"/>
        <w:rPr>
          <w:rFonts w:ascii="Raleway ExtraBold"/>
          <w:b/>
          <w:sz w:val="28"/>
        </w:rPr>
      </w:pPr>
    </w:p>
    <w:p w14:paraId="752C328B" w14:textId="77777777" w:rsidR="00894070" w:rsidRDefault="00894070">
      <w:pPr>
        <w:pStyle w:val="BodyText"/>
        <w:rPr>
          <w:rFonts w:ascii="Raleway ExtraBold"/>
          <w:b/>
          <w:sz w:val="28"/>
        </w:rPr>
      </w:pPr>
    </w:p>
    <w:p w14:paraId="3B9BFAA7" w14:textId="77777777" w:rsidR="00894070" w:rsidRDefault="00894070">
      <w:pPr>
        <w:pStyle w:val="BodyText"/>
        <w:rPr>
          <w:rFonts w:ascii="Raleway ExtraBold"/>
          <w:b/>
          <w:sz w:val="28"/>
        </w:rPr>
      </w:pPr>
    </w:p>
    <w:p w14:paraId="69EBB1C1" w14:textId="77777777" w:rsidR="00894070" w:rsidRDefault="00894070">
      <w:pPr>
        <w:pStyle w:val="BodyText"/>
        <w:rPr>
          <w:rFonts w:ascii="Raleway ExtraBold"/>
          <w:b/>
          <w:sz w:val="28"/>
        </w:rPr>
      </w:pPr>
    </w:p>
    <w:p w14:paraId="120F3832" w14:textId="77777777" w:rsidR="00894070" w:rsidRDefault="00894070">
      <w:pPr>
        <w:pStyle w:val="BodyText"/>
        <w:rPr>
          <w:rFonts w:ascii="Raleway ExtraBold"/>
          <w:b/>
          <w:sz w:val="28"/>
        </w:rPr>
      </w:pPr>
    </w:p>
    <w:p w14:paraId="6CEB8C09" w14:textId="77777777" w:rsidR="00894070" w:rsidRDefault="00894070">
      <w:pPr>
        <w:pStyle w:val="BodyText"/>
        <w:rPr>
          <w:rFonts w:ascii="Raleway ExtraBold"/>
          <w:b/>
          <w:sz w:val="28"/>
        </w:rPr>
      </w:pPr>
    </w:p>
    <w:p w14:paraId="2368261D" w14:textId="77777777" w:rsidR="00894070" w:rsidRDefault="00894070">
      <w:pPr>
        <w:pStyle w:val="BodyText"/>
        <w:rPr>
          <w:rFonts w:ascii="Raleway ExtraBold"/>
          <w:b/>
          <w:sz w:val="28"/>
        </w:rPr>
      </w:pPr>
    </w:p>
    <w:p w14:paraId="6D8AEF4A" w14:textId="77777777" w:rsidR="00894070" w:rsidRDefault="00894070">
      <w:pPr>
        <w:pStyle w:val="BodyText"/>
        <w:rPr>
          <w:rFonts w:ascii="Raleway ExtraBold"/>
          <w:b/>
          <w:sz w:val="28"/>
        </w:rPr>
      </w:pPr>
    </w:p>
    <w:p w14:paraId="060AD209" w14:textId="77777777" w:rsidR="00894070" w:rsidRDefault="00894070">
      <w:pPr>
        <w:pStyle w:val="BodyText"/>
        <w:rPr>
          <w:rFonts w:ascii="Raleway ExtraBold"/>
          <w:b/>
          <w:sz w:val="28"/>
        </w:rPr>
      </w:pPr>
    </w:p>
    <w:p w14:paraId="68286953" w14:textId="77777777" w:rsidR="00894070" w:rsidRDefault="00894070">
      <w:pPr>
        <w:pStyle w:val="BodyText"/>
        <w:rPr>
          <w:rFonts w:ascii="Raleway ExtraBold"/>
          <w:b/>
          <w:sz w:val="28"/>
        </w:rPr>
      </w:pPr>
    </w:p>
    <w:p w14:paraId="715D8EFC" w14:textId="77777777" w:rsidR="00894070" w:rsidRDefault="00894070">
      <w:pPr>
        <w:pStyle w:val="BodyText"/>
        <w:rPr>
          <w:rFonts w:ascii="Raleway ExtraBold"/>
          <w:b/>
          <w:sz w:val="28"/>
        </w:rPr>
      </w:pPr>
    </w:p>
    <w:p w14:paraId="2D4340B9" w14:textId="77777777" w:rsidR="00894070" w:rsidRDefault="00894070">
      <w:pPr>
        <w:pStyle w:val="BodyText"/>
        <w:rPr>
          <w:rFonts w:ascii="Raleway ExtraBold"/>
          <w:b/>
          <w:sz w:val="28"/>
        </w:rPr>
      </w:pPr>
    </w:p>
    <w:p w14:paraId="0816D7B2" w14:textId="77777777" w:rsidR="00894070" w:rsidRDefault="00894070">
      <w:pPr>
        <w:pStyle w:val="BodyText"/>
        <w:rPr>
          <w:rFonts w:ascii="Raleway ExtraBold"/>
          <w:b/>
          <w:sz w:val="28"/>
        </w:rPr>
      </w:pPr>
    </w:p>
    <w:p w14:paraId="6F5D7D03" w14:textId="77777777" w:rsidR="00894070" w:rsidRDefault="00894070">
      <w:pPr>
        <w:pStyle w:val="BodyText"/>
        <w:rPr>
          <w:rFonts w:ascii="Raleway ExtraBold"/>
          <w:b/>
          <w:sz w:val="28"/>
        </w:rPr>
      </w:pPr>
    </w:p>
    <w:p w14:paraId="7091C284" w14:textId="77777777" w:rsidR="00894070" w:rsidRDefault="00894070">
      <w:pPr>
        <w:pStyle w:val="BodyText"/>
        <w:rPr>
          <w:rFonts w:ascii="Raleway ExtraBold"/>
          <w:b/>
          <w:sz w:val="28"/>
        </w:rPr>
      </w:pPr>
    </w:p>
    <w:p w14:paraId="22E0277C" w14:textId="77777777" w:rsidR="00894070" w:rsidRDefault="00894070">
      <w:pPr>
        <w:pStyle w:val="BodyText"/>
        <w:rPr>
          <w:rFonts w:ascii="Raleway ExtraBold"/>
          <w:b/>
          <w:sz w:val="28"/>
        </w:rPr>
      </w:pPr>
    </w:p>
    <w:p w14:paraId="0C577852" w14:textId="77777777" w:rsidR="00894070" w:rsidRDefault="00894070">
      <w:pPr>
        <w:pStyle w:val="BodyText"/>
        <w:rPr>
          <w:rFonts w:ascii="Raleway ExtraBold"/>
          <w:b/>
          <w:sz w:val="28"/>
        </w:rPr>
      </w:pPr>
    </w:p>
    <w:p w14:paraId="12AFA514" w14:textId="77777777" w:rsidR="00894070" w:rsidRDefault="00894070">
      <w:pPr>
        <w:pStyle w:val="BodyText"/>
        <w:rPr>
          <w:rFonts w:ascii="Raleway ExtraBold"/>
          <w:b/>
          <w:sz w:val="28"/>
        </w:rPr>
      </w:pPr>
    </w:p>
    <w:p w14:paraId="775CA816" w14:textId="77777777" w:rsidR="00894070" w:rsidRDefault="00894070">
      <w:pPr>
        <w:pStyle w:val="BodyText"/>
        <w:rPr>
          <w:rFonts w:ascii="Raleway ExtraBold"/>
          <w:b/>
          <w:sz w:val="28"/>
        </w:rPr>
      </w:pPr>
    </w:p>
    <w:p w14:paraId="38A93A32" w14:textId="77777777" w:rsidR="00894070" w:rsidRDefault="00894070">
      <w:pPr>
        <w:pStyle w:val="BodyText"/>
        <w:rPr>
          <w:rFonts w:ascii="Raleway ExtraBold"/>
          <w:b/>
          <w:sz w:val="28"/>
        </w:rPr>
      </w:pPr>
    </w:p>
    <w:p w14:paraId="4F2A60B6" w14:textId="77777777" w:rsidR="00894070" w:rsidRDefault="00894070">
      <w:pPr>
        <w:pStyle w:val="BodyText"/>
        <w:rPr>
          <w:rFonts w:ascii="Raleway ExtraBold"/>
          <w:b/>
          <w:sz w:val="28"/>
        </w:rPr>
      </w:pPr>
    </w:p>
    <w:p w14:paraId="27CD0A13" w14:textId="77777777" w:rsidR="00894070" w:rsidRDefault="00894070">
      <w:pPr>
        <w:pStyle w:val="BodyText"/>
        <w:rPr>
          <w:rFonts w:ascii="Raleway ExtraBold"/>
          <w:b/>
          <w:sz w:val="28"/>
        </w:rPr>
      </w:pPr>
    </w:p>
    <w:p w14:paraId="00083A39" w14:textId="77777777" w:rsidR="00894070" w:rsidRDefault="00894070">
      <w:pPr>
        <w:pStyle w:val="BodyText"/>
        <w:rPr>
          <w:rFonts w:ascii="Raleway ExtraBold"/>
          <w:b/>
          <w:sz w:val="28"/>
        </w:rPr>
      </w:pPr>
    </w:p>
    <w:p w14:paraId="56AE3C7A" w14:textId="77777777" w:rsidR="00894070" w:rsidRDefault="00894070">
      <w:pPr>
        <w:pStyle w:val="BodyText"/>
        <w:rPr>
          <w:rFonts w:ascii="Raleway ExtraBold"/>
          <w:b/>
          <w:sz w:val="28"/>
        </w:rPr>
      </w:pPr>
    </w:p>
    <w:p w14:paraId="7552EEC2" w14:textId="77777777" w:rsidR="00894070" w:rsidRDefault="00894070">
      <w:pPr>
        <w:pStyle w:val="BodyText"/>
        <w:rPr>
          <w:rFonts w:ascii="Raleway ExtraBold"/>
          <w:b/>
          <w:sz w:val="28"/>
        </w:rPr>
      </w:pPr>
    </w:p>
    <w:p w14:paraId="099E792C" w14:textId="77777777" w:rsidR="00894070" w:rsidRDefault="00894070">
      <w:pPr>
        <w:pStyle w:val="BodyText"/>
        <w:rPr>
          <w:rFonts w:ascii="Raleway ExtraBold"/>
          <w:b/>
          <w:sz w:val="28"/>
        </w:rPr>
      </w:pPr>
    </w:p>
    <w:p w14:paraId="1F9B47A8" w14:textId="77777777" w:rsidR="00894070" w:rsidRDefault="00894070">
      <w:pPr>
        <w:pStyle w:val="BodyText"/>
        <w:rPr>
          <w:rFonts w:ascii="Raleway ExtraBold"/>
          <w:b/>
          <w:sz w:val="28"/>
        </w:rPr>
      </w:pPr>
    </w:p>
    <w:p w14:paraId="2318B420" w14:textId="77777777" w:rsidR="00894070" w:rsidRDefault="00894070">
      <w:pPr>
        <w:pStyle w:val="BodyText"/>
        <w:rPr>
          <w:rFonts w:ascii="Raleway ExtraBold"/>
          <w:b/>
          <w:sz w:val="28"/>
        </w:rPr>
      </w:pPr>
    </w:p>
    <w:p w14:paraId="05C2FD08" w14:textId="77777777" w:rsidR="00894070" w:rsidRDefault="00894070">
      <w:pPr>
        <w:pStyle w:val="BodyText"/>
        <w:spacing w:before="7"/>
        <w:rPr>
          <w:rFonts w:ascii="Raleway ExtraBold"/>
          <w:b/>
          <w:sz w:val="39"/>
        </w:rPr>
      </w:pPr>
    </w:p>
    <w:p w14:paraId="2471C15F" w14:textId="77777777" w:rsidR="00894070" w:rsidRDefault="009B7AFD">
      <w:pPr>
        <w:pStyle w:val="Heading8"/>
        <w:ind w:left="140"/>
      </w:pPr>
      <w:r>
        <w:rPr>
          <w:color w:val="EA5B50"/>
        </w:rPr>
        <w:t>206</w:t>
      </w:r>
    </w:p>
    <w:p w14:paraId="3B142C75" w14:textId="77777777" w:rsidR="00894070" w:rsidRDefault="009B7AFD">
      <w:pPr>
        <w:spacing w:before="49"/>
        <w:ind w:left="140"/>
        <w:rPr>
          <w:b/>
          <w:sz w:val="24"/>
        </w:rPr>
      </w:pPr>
      <w:r>
        <w:br w:type="column"/>
      </w:r>
      <w:r>
        <w:rPr>
          <w:b/>
          <w:color w:val="231F20"/>
          <w:sz w:val="24"/>
        </w:rPr>
        <w:t>Victoria</w:t>
      </w:r>
    </w:p>
    <w:p w14:paraId="0FFA6145" w14:textId="77777777" w:rsidR="00894070" w:rsidRDefault="009B7AFD">
      <w:pPr>
        <w:spacing w:before="94"/>
        <w:ind w:left="140"/>
        <w:rPr>
          <w:sz w:val="20"/>
        </w:rPr>
      </w:pPr>
      <w:r>
        <w:rPr>
          <w:i/>
          <w:color w:val="231F20"/>
          <w:sz w:val="20"/>
        </w:rPr>
        <w:t xml:space="preserve">Bail Act 1977 </w:t>
      </w:r>
      <w:r>
        <w:rPr>
          <w:color w:val="231F20"/>
          <w:sz w:val="20"/>
        </w:rPr>
        <w:t>(Vic)</w:t>
      </w:r>
    </w:p>
    <w:p w14:paraId="1372429A" w14:textId="77777777" w:rsidR="00894070" w:rsidRDefault="009B7AFD">
      <w:pPr>
        <w:spacing w:before="76"/>
        <w:ind w:left="140"/>
        <w:rPr>
          <w:sz w:val="20"/>
        </w:rPr>
      </w:pPr>
      <w:r>
        <w:rPr>
          <w:i/>
          <w:color w:val="231F20"/>
          <w:sz w:val="20"/>
        </w:rPr>
        <w:t xml:space="preserve">Charter of Human Rights and Responsibilities Act 2006 </w:t>
      </w:r>
      <w:r>
        <w:rPr>
          <w:color w:val="231F20"/>
          <w:sz w:val="20"/>
        </w:rPr>
        <w:t>(Vic)</w:t>
      </w:r>
    </w:p>
    <w:p w14:paraId="2171B9B5" w14:textId="77777777" w:rsidR="00894070" w:rsidRDefault="009B7AFD">
      <w:pPr>
        <w:spacing w:before="76"/>
        <w:ind w:left="140"/>
        <w:rPr>
          <w:sz w:val="20"/>
        </w:rPr>
      </w:pPr>
      <w:r>
        <w:rPr>
          <w:i/>
          <w:color w:val="231F20"/>
          <w:sz w:val="20"/>
        </w:rPr>
        <w:t xml:space="preserve">Children, Youth and Families Act 2005 </w:t>
      </w:r>
      <w:r>
        <w:rPr>
          <w:color w:val="231F20"/>
          <w:sz w:val="20"/>
        </w:rPr>
        <w:t>(Vic)</w:t>
      </w:r>
    </w:p>
    <w:p w14:paraId="22EE0B3B" w14:textId="77777777" w:rsidR="00894070" w:rsidRDefault="009B7AFD">
      <w:pPr>
        <w:spacing w:before="76"/>
        <w:ind w:left="140"/>
        <w:rPr>
          <w:sz w:val="20"/>
        </w:rPr>
      </w:pPr>
      <w:r>
        <w:rPr>
          <w:i/>
          <w:color w:val="231F20"/>
          <w:sz w:val="20"/>
        </w:rPr>
        <w:t xml:space="preserve">Crimes Act 1958 </w:t>
      </w:r>
      <w:r>
        <w:rPr>
          <w:color w:val="231F20"/>
          <w:sz w:val="20"/>
        </w:rPr>
        <w:t>(Vic)</w:t>
      </w:r>
    </w:p>
    <w:p w14:paraId="21318BEF" w14:textId="77777777" w:rsidR="00894070" w:rsidRDefault="009B7AFD">
      <w:pPr>
        <w:spacing w:before="76"/>
        <w:ind w:left="140"/>
        <w:rPr>
          <w:sz w:val="20"/>
        </w:rPr>
      </w:pPr>
      <w:r>
        <w:rPr>
          <w:i/>
          <w:color w:val="231F20"/>
          <w:sz w:val="20"/>
        </w:rPr>
        <w:t xml:space="preserve">Crimes Act 1900 </w:t>
      </w:r>
      <w:r>
        <w:rPr>
          <w:color w:val="231F20"/>
          <w:sz w:val="20"/>
        </w:rPr>
        <w:t>(ACT)</w:t>
      </w:r>
    </w:p>
    <w:p w14:paraId="04D21DD4" w14:textId="77777777" w:rsidR="00894070" w:rsidRDefault="009B7AFD">
      <w:pPr>
        <w:spacing w:before="75" w:line="304" w:lineRule="auto"/>
        <w:ind w:left="140" w:right="6386"/>
        <w:rPr>
          <w:sz w:val="20"/>
        </w:rPr>
      </w:pPr>
      <w:r>
        <w:rPr>
          <w:i/>
          <w:color w:val="231F20"/>
          <w:sz w:val="20"/>
        </w:rPr>
        <w:t xml:space="preserve">Crimes (Stalking) Act 2003 </w:t>
      </w:r>
      <w:r>
        <w:rPr>
          <w:color w:val="231F20"/>
          <w:sz w:val="20"/>
        </w:rPr>
        <w:t xml:space="preserve">(Vic) </w:t>
      </w:r>
      <w:r>
        <w:rPr>
          <w:i/>
          <w:color w:val="231F20"/>
          <w:sz w:val="20"/>
        </w:rPr>
        <w:t xml:space="preserve">Criminal Procedure Act 2009 </w:t>
      </w:r>
      <w:r>
        <w:rPr>
          <w:color w:val="231F20"/>
          <w:sz w:val="20"/>
        </w:rPr>
        <w:t xml:space="preserve">(Vic) </w:t>
      </w:r>
      <w:r>
        <w:rPr>
          <w:i/>
          <w:color w:val="231F20"/>
          <w:sz w:val="20"/>
        </w:rPr>
        <w:t xml:space="preserve">Evidence Act 2008 </w:t>
      </w:r>
      <w:r>
        <w:rPr>
          <w:color w:val="231F20"/>
          <w:sz w:val="20"/>
        </w:rPr>
        <w:t>(Vic)</w:t>
      </w:r>
    </w:p>
    <w:p w14:paraId="0BCF04DE" w14:textId="77777777" w:rsidR="00894070" w:rsidRDefault="009B7AFD">
      <w:pPr>
        <w:spacing w:before="3"/>
        <w:ind w:left="140"/>
        <w:rPr>
          <w:sz w:val="20"/>
        </w:rPr>
      </w:pPr>
      <w:r>
        <w:rPr>
          <w:i/>
          <w:color w:val="231F20"/>
          <w:sz w:val="20"/>
        </w:rPr>
        <w:t xml:space="preserve">Family Violence Protection Act 2008 </w:t>
      </w:r>
      <w:r>
        <w:rPr>
          <w:color w:val="231F20"/>
          <w:sz w:val="20"/>
        </w:rPr>
        <w:t>(Vic)</w:t>
      </w:r>
    </w:p>
    <w:p w14:paraId="1FFA6AA1" w14:textId="77777777" w:rsidR="00894070" w:rsidRDefault="009B7AFD">
      <w:pPr>
        <w:spacing w:before="76"/>
        <w:ind w:left="140"/>
        <w:rPr>
          <w:sz w:val="20"/>
        </w:rPr>
      </w:pPr>
      <w:r>
        <w:rPr>
          <w:i/>
          <w:color w:val="231F20"/>
          <w:sz w:val="20"/>
        </w:rPr>
        <w:t xml:space="preserve">Magistrates’ Court Act 1989 </w:t>
      </w:r>
      <w:r>
        <w:rPr>
          <w:color w:val="231F20"/>
          <w:sz w:val="20"/>
        </w:rPr>
        <w:t>(Vic)</w:t>
      </w:r>
    </w:p>
    <w:p w14:paraId="64D95BE2" w14:textId="77777777" w:rsidR="00894070" w:rsidRDefault="009B7AFD">
      <w:pPr>
        <w:spacing w:before="76" w:line="304" w:lineRule="auto"/>
        <w:ind w:left="140" w:right="5168"/>
        <w:rPr>
          <w:sz w:val="20"/>
        </w:rPr>
      </w:pPr>
      <w:r>
        <w:rPr>
          <w:i/>
          <w:color w:val="231F20"/>
          <w:sz w:val="20"/>
        </w:rPr>
        <w:t xml:space="preserve">Personal Safety Intervention Orders Act 2010 </w:t>
      </w:r>
      <w:r>
        <w:rPr>
          <w:color w:val="231F20"/>
          <w:sz w:val="20"/>
        </w:rPr>
        <w:t xml:space="preserve">(Vic) </w:t>
      </w:r>
      <w:r>
        <w:rPr>
          <w:i/>
          <w:color w:val="231F20"/>
          <w:sz w:val="20"/>
        </w:rPr>
        <w:t xml:space="preserve">Privacy and Data Protection Act 2014 </w:t>
      </w:r>
      <w:r>
        <w:rPr>
          <w:color w:val="231F20"/>
          <w:sz w:val="20"/>
        </w:rPr>
        <w:t xml:space="preserve">(Vic) </w:t>
      </w:r>
      <w:r>
        <w:rPr>
          <w:i/>
          <w:color w:val="231F20"/>
          <w:sz w:val="20"/>
        </w:rPr>
        <w:t xml:space="preserve">Sentencing Act 1991 </w:t>
      </w:r>
      <w:r>
        <w:rPr>
          <w:color w:val="231F20"/>
          <w:sz w:val="20"/>
        </w:rPr>
        <w:t>(Vic)</w:t>
      </w:r>
    </w:p>
    <w:p w14:paraId="01A6CC31" w14:textId="77777777" w:rsidR="00894070" w:rsidRDefault="009B7AFD">
      <w:pPr>
        <w:spacing w:before="2"/>
        <w:ind w:left="140"/>
        <w:rPr>
          <w:sz w:val="20"/>
        </w:rPr>
      </w:pPr>
      <w:r>
        <w:rPr>
          <w:i/>
          <w:color w:val="231F20"/>
          <w:sz w:val="20"/>
        </w:rPr>
        <w:t xml:space="preserve">Serious Offenders Act 2018 </w:t>
      </w:r>
      <w:r>
        <w:rPr>
          <w:color w:val="231F20"/>
          <w:sz w:val="20"/>
        </w:rPr>
        <w:t>(Vic)</w:t>
      </w:r>
    </w:p>
    <w:p w14:paraId="76F4142B" w14:textId="77777777" w:rsidR="00894070" w:rsidRDefault="009B7AFD">
      <w:pPr>
        <w:spacing w:before="76" w:line="304" w:lineRule="auto"/>
        <w:ind w:left="140" w:right="6104"/>
        <w:rPr>
          <w:sz w:val="20"/>
        </w:rPr>
      </w:pPr>
      <w:r>
        <w:rPr>
          <w:i/>
          <w:color w:val="231F20"/>
          <w:sz w:val="20"/>
        </w:rPr>
        <w:t xml:space="preserve">Stalking Intervention Orders Act 2008 </w:t>
      </w:r>
      <w:r>
        <w:rPr>
          <w:color w:val="231F20"/>
          <w:sz w:val="20"/>
        </w:rPr>
        <w:t xml:space="preserve">(Vic) </w:t>
      </w:r>
      <w:r>
        <w:rPr>
          <w:i/>
          <w:color w:val="231F20"/>
          <w:sz w:val="20"/>
        </w:rPr>
        <w:t xml:space="preserve">Summary Offences Act 1966 </w:t>
      </w:r>
      <w:r>
        <w:rPr>
          <w:color w:val="231F20"/>
          <w:sz w:val="20"/>
        </w:rPr>
        <w:t xml:space="preserve">(Vic) </w:t>
      </w:r>
      <w:r>
        <w:rPr>
          <w:i/>
          <w:color w:val="231F20"/>
          <w:sz w:val="20"/>
        </w:rPr>
        <w:t xml:space="preserve">Surveillance Devices Act 1999 </w:t>
      </w:r>
      <w:r>
        <w:rPr>
          <w:color w:val="231F20"/>
          <w:sz w:val="20"/>
        </w:rPr>
        <w:t xml:space="preserve">(Vic) </w:t>
      </w:r>
      <w:r>
        <w:rPr>
          <w:i/>
          <w:color w:val="231F20"/>
          <w:sz w:val="20"/>
        </w:rPr>
        <w:t xml:space="preserve">Victims’ Charter Act 2006 </w:t>
      </w:r>
      <w:r>
        <w:rPr>
          <w:color w:val="231F20"/>
          <w:sz w:val="20"/>
        </w:rPr>
        <w:t>(Vic)</w:t>
      </w:r>
    </w:p>
    <w:p w14:paraId="0CB6A173" w14:textId="77777777" w:rsidR="00894070" w:rsidRDefault="009B7AFD">
      <w:pPr>
        <w:spacing w:before="3"/>
        <w:ind w:left="140"/>
        <w:rPr>
          <w:sz w:val="20"/>
        </w:rPr>
      </w:pPr>
      <w:r>
        <w:rPr>
          <w:i/>
          <w:color w:val="231F20"/>
          <w:sz w:val="20"/>
        </w:rPr>
        <w:t xml:space="preserve">Victims of Crime Assistance Act 1996 </w:t>
      </w:r>
      <w:r>
        <w:rPr>
          <w:color w:val="231F20"/>
          <w:sz w:val="20"/>
        </w:rPr>
        <w:t>(Vic)</w:t>
      </w:r>
    </w:p>
    <w:p w14:paraId="555C601D" w14:textId="77777777" w:rsidR="00894070" w:rsidRDefault="00894070">
      <w:pPr>
        <w:pStyle w:val="BodyText"/>
        <w:spacing w:before="9"/>
        <w:rPr>
          <w:sz w:val="14"/>
        </w:rPr>
      </w:pPr>
    </w:p>
    <w:p w14:paraId="53E0203C" w14:textId="77777777" w:rsidR="00894070" w:rsidRDefault="009B7AFD">
      <w:pPr>
        <w:spacing w:line="307" w:lineRule="auto"/>
        <w:ind w:left="140" w:right="7349"/>
        <w:rPr>
          <w:sz w:val="20"/>
        </w:rPr>
      </w:pPr>
      <w:r>
        <w:rPr>
          <w:b/>
          <w:color w:val="231F20"/>
          <w:spacing w:val="-3"/>
          <w:sz w:val="24"/>
        </w:rPr>
        <w:t xml:space="preserve">Commonwealth </w:t>
      </w:r>
      <w:r>
        <w:rPr>
          <w:i/>
          <w:color w:val="231F20"/>
          <w:sz w:val="20"/>
        </w:rPr>
        <w:t>Criminal Code Act 1995</w:t>
      </w:r>
      <w:r>
        <w:rPr>
          <w:i/>
          <w:color w:val="231F20"/>
          <w:spacing w:val="-22"/>
          <w:sz w:val="20"/>
        </w:rPr>
        <w:t xml:space="preserve"> </w:t>
      </w:r>
      <w:r>
        <w:rPr>
          <w:color w:val="231F20"/>
          <w:sz w:val="20"/>
        </w:rPr>
        <w:t xml:space="preserve">(Cth) </w:t>
      </w:r>
      <w:r>
        <w:rPr>
          <w:i/>
          <w:color w:val="231F20"/>
          <w:sz w:val="20"/>
        </w:rPr>
        <w:t>Online Safety Act 2021</w:t>
      </w:r>
      <w:r>
        <w:rPr>
          <w:i/>
          <w:color w:val="231F20"/>
          <w:spacing w:val="-21"/>
          <w:sz w:val="20"/>
        </w:rPr>
        <w:t xml:space="preserve"> </w:t>
      </w:r>
      <w:r>
        <w:rPr>
          <w:color w:val="231F20"/>
          <w:sz w:val="20"/>
        </w:rPr>
        <w:t>(Cth)</w:t>
      </w:r>
    </w:p>
    <w:p w14:paraId="5841869F" w14:textId="77777777" w:rsidR="00894070" w:rsidRDefault="009B7AFD">
      <w:pPr>
        <w:spacing w:line="275" w:lineRule="exact"/>
        <w:ind w:left="140"/>
        <w:rPr>
          <w:sz w:val="20"/>
        </w:rPr>
      </w:pPr>
      <w:r>
        <w:rPr>
          <w:i/>
          <w:color w:val="231F20"/>
          <w:sz w:val="20"/>
        </w:rPr>
        <w:t xml:space="preserve">Telecommunications (Interception and Access) Act 1979 </w:t>
      </w:r>
      <w:r>
        <w:rPr>
          <w:color w:val="231F20"/>
          <w:sz w:val="20"/>
        </w:rPr>
        <w:t>(Cth)</w:t>
      </w:r>
    </w:p>
    <w:p w14:paraId="64D66005" w14:textId="77777777" w:rsidR="00894070" w:rsidRDefault="00894070">
      <w:pPr>
        <w:pStyle w:val="BodyText"/>
        <w:spacing w:before="8"/>
        <w:rPr>
          <w:sz w:val="14"/>
        </w:rPr>
      </w:pPr>
    </w:p>
    <w:p w14:paraId="0F2E8CFD" w14:textId="77777777" w:rsidR="00894070" w:rsidRDefault="009B7AFD">
      <w:pPr>
        <w:pStyle w:val="Heading8"/>
        <w:ind w:left="140"/>
      </w:pPr>
      <w:r>
        <w:rPr>
          <w:color w:val="231F20"/>
        </w:rPr>
        <w:t>Other Australian jurisdictions</w:t>
      </w:r>
    </w:p>
    <w:p w14:paraId="07E39257" w14:textId="77777777" w:rsidR="00894070" w:rsidRDefault="009B7AFD">
      <w:pPr>
        <w:spacing w:before="95"/>
        <w:ind w:left="140"/>
        <w:rPr>
          <w:sz w:val="20"/>
        </w:rPr>
      </w:pPr>
      <w:r>
        <w:rPr>
          <w:i/>
          <w:color w:val="231F20"/>
          <w:sz w:val="20"/>
        </w:rPr>
        <w:t xml:space="preserve">Criminal Code Act 1899 </w:t>
      </w:r>
      <w:r>
        <w:rPr>
          <w:color w:val="231F20"/>
          <w:sz w:val="20"/>
        </w:rPr>
        <w:t>(Qld)</w:t>
      </w:r>
    </w:p>
    <w:p w14:paraId="4071D192" w14:textId="77777777" w:rsidR="00894070" w:rsidRDefault="009B7AFD">
      <w:pPr>
        <w:spacing w:before="76"/>
        <w:ind w:left="140"/>
        <w:rPr>
          <w:sz w:val="20"/>
        </w:rPr>
      </w:pPr>
      <w:r>
        <w:rPr>
          <w:i/>
          <w:color w:val="231F20"/>
          <w:sz w:val="20"/>
        </w:rPr>
        <w:t xml:space="preserve">Criminal Code Act Compilation Act 1913 </w:t>
      </w:r>
      <w:r>
        <w:rPr>
          <w:color w:val="231F20"/>
          <w:sz w:val="20"/>
        </w:rPr>
        <w:t>(WA)</w:t>
      </w:r>
    </w:p>
    <w:p w14:paraId="6981B031" w14:textId="77777777" w:rsidR="00894070" w:rsidRDefault="009B7AFD">
      <w:pPr>
        <w:spacing w:before="76"/>
        <w:ind w:left="140"/>
        <w:rPr>
          <w:sz w:val="20"/>
        </w:rPr>
      </w:pPr>
      <w:r>
        <w:rPr>
          <w:i/>
          <w:color w:val="231F20"/>
          <w:sz w:val="20"/>
        </w:rPr>
        <w:t xml:space="preserve">Criminal Law Consolidation Act 1935 </w:t>
      </w:r>
      <w:r>
        <w:rPr>
          <w:color w:val="231F20"/>
          <w:sz w:val="20"/>
        </w:rPr>
        <w:t>(SA)</w:t>
      </w:r>
    </w:p>
    <w:p w14:paraId="2F51460E" w14:textId="77777777" w:rsidR="00894070" w:rsidRDefault="009B7AFD">
      <w:pPr>
        <w:spacing w:before="76"/>
        <w:ind w:left="140"/>
        <w:rPr>
          <w:sz w:val="20"/>
        </w:rPr>
      </w:pPr>
      <w:r>
        <w:rPr>
          <w:i/>
          <w:color w:val="231F20"/>
          <w:sz w:val="20"/>
        </w:rPr>
        <w:t xml:space="preserve">Evidence Act (Miscellaneous Provisions) Act 1991 </w:t>
      </w:r>
      <w:r>
        <w:rPr>
          <w:color w:val="231F20"/>
          <w:sz w:val="20"/>
        </w:rPr>
        <w:t>(ACT)</w:t>
      </w:r>
    </w:p>
    <w:p w14:paraId="5BF96365" w14:textId="77777777" w:rsidR="00894070" w:rsidRDefault="009B7AFD">
      <w:pPr>
        <w:spacing w:before="75"/>
        <w:ind w:left="140"/>
        <w:rPr>
          <w:sz w:val="20"/>
        </w:rPr>
      </w:pPr>
      <w:r>
        <w:rPr>
          <w:i/>
          <w:color w:val="231F20"/>
          <w:sz w:val="20"/>
        </w:rPr>
        <w:t xml:space="preserve">Family Violence Legislation Reform (COVID-19 Response) Act 2020 </w:t>
      </w:r>
      <w:r>
        <w:rPr>
          <w:color w:val="231F20"/>
          <w:sz w:val="20"/>
        </w:rPr>
        <w:t>(WA)</w:t>
      </w:r>
    </w:p>
    <w:p w14:paraId="09671181" w14:textId="77777777" w:rsidR="00894070" w:rsidRDefault="00894070">
      <w:pPr>
        <w:pStyle w:val="BodyText"/>
        <w:spacing w:before="9"/>
        <w:rPr>
          <w:sz w:val="14"/>
        </w:rPr>
      </w:pPr>
    </w:p>
    <w:p w14:paraId="52174659" w14:textId="77777777" w:rsidR="00894070" w:rsidRDefault="009B7AFD">
      <w:pPr>
        <w:pStyle w:val="Heading8"/>
        <w:ind w:left="140"/>
      </w:pPr>
      <w:r>
        <w:rPr>
          <w:color w:val="231F20"/>
        </w:rPr>
        <w:t>International</w:t>
      </w:r>
    </w:p>
    <w:p w14:paraId="61F29EEB" w14:textId="77777777" w:rsidR="00894070" w:rsidRDefault="009B7AFD">
      <w:pPr>
        <w:spacing w:before="95"/>
        <w:ind w:left="140"/>
        <w:rPr>
          <w:sz w:val="20"/>
        </w:rPr>
      </w:pPr>
      <w:r>
        <w:rPr>
          <w:i/>
          <w:color w:val="231F20"/>
          <w:sz w:val="20"/>
        </w:rPr>
        <w:t xml:space="preserve">Protection from Harassment Act 1997 </w:t>
      </w:r>
      <w:r>
        <w:rPr>
          <w:color w:val="231F20"/>
          <w:sz w:val="20"/>
        </w:rPr>
        <w:t>(UK)</w:t>
      </w:r>
    </w:p>
    <w:p w14:paraId="33C78E5D" w14:textId="77777777" w:rsidR="00894070" w:rsidRDefault="009B7AFD">
      <w:pPr>
        <w:spacing w:before="76"/>
        <w:ind w:left="140"/>
        <w:rPr>
          <w:sz w:val="20"/>
        </w:rPr>
      </w:pPr>
      <w:r>
        <w:rPr>
          <w:i/>
          <w:color w:val="231F20"/>
          <w:sz w:val="20"/>
        </w:rPr>
        <w:t xml:space="preserve">Stalking Protection Act 2019 </w:t>
      </w:r>
      <w:r>
        <w:rPr>
          <w:color w:val="231F20"/>
          <w:sz w:val="20"/>
        </w:rPr>
        <w:t>(UK)</w:t>
      </w:r>
    </w:p>
    <w:p w14:paraId="09AD5C55" w14:textId="77777777" w:rsidR="00894070" w:rsidRDefault="00894070">
      <w:pPr>
        <w:rPr>
          <w:sz w:val="20"/>
        </w:rPr>
        <w:sectPr w:rsidR="00894070">
          <w:type w:val="continuous"/>
          <w:pgSz w:w="11910" w:h="16840"/>
          <w:pgMar w:top="560" w:right="420" w:bottom="280" w:left="580" w:header="720" w:footer="720" w:gutter="0"/>
          <w:cols w:num="2" w:space="720" w:equalWidth="0">
            <w:col w:w="609" w:space="258"/>
            <w:col w:w="10043"/>
          </w:cols>
        </w:sectPr>
      </w:pPr>
    </w:p>
    <w:p w14:paraId="5ABBD47C" w14:textId="77777777" w:rsidR="00894070" w:rsidRDefault="009B7AFD">
      <w:pPr>
        <w:pStyle w:val="BodyText"/>
        <w:ind w:left="106"/>
      </w:pPr>
      <w:r>
        <w:rPr>
          <w:noProof/>
        </w:rPr>
        <w:lastRenderedPageBreak/>
        <w:drawing>
          <wp:inline distT="0" distB="0" distL="0" distR="0" wp14:anchorId="057EB2E5" wp14:editId="78BD1A88">
            <wp:extent cx="981147" cy="500062"/>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340" cstate="print"/>
                    <a:stretch>
                      <a:fillRect/>
                    </a:stretch>
                  </pic:blipFill>
                  <pic:spPr>
                    <a:xfrm>
                      <a:off x="0" y="0"/>
                      <a:ext cx="981147" cy="500062"/>
                    </a:xfrm>
                    <a:prstGeom prst="rect">
                      <a:avLst/>
                    </a:prstGeom>
                  </pic:spPr>
                </pic:pic>
              </a:graphicData>
            </a:graphic>
          </wp:inline>
        </w:drawing>
      </w:r>
    </w:p>
    <w:p w14:paraId="72D38E4F" w14:textId="77777777" w:rsidR="00894070" w:rsidRDefault="00894070">
      <w:pPr>
        <w:pStyle w:val="BodyText"/>
      </w:pPr>
    </w:p>
    <w:p w14:paraId="390750CE" w14:textId="77777777" w:rsidR="00894070" w:rsidRDefault="00894070">
      <w:pPr>
        <w:pStyle w:val="BodyText"/>
      </w:pPr>
    </w:p>
    <w:p w14:paraId="68B3BC16" w14:textId="77777777" w:rsidR="00894070" w:rsidRDefault="00894070">
      <w:pPr>
        <w:pStyle w:val="BodyText"/>
      </w:pPr>
    </w:p>
    <w:p w14:paraId="52437C3F" w14:textId="77777777" w:rsidR="00894070" w:rsidRDefault="00894070">
      <w:pPr>
        <w:pStyle w:val="BodyText"/>
        <w:spacing w:before="8"/>
        <w:rPr>
          <w:sz w:val="28"/>
        </w:rPr>
      </w:pPr>
    </w:p>
    <w:p w14:paraId="02025814" w14:textId="77777777" w:rsidR="00894070" w:rsidRDefault="009B7AFD">
      <w:pPr>
        <w:spacing w:before="61"/>
        <w:ind w:left="106"/>
        <w:rPr>
          <w:b/>
          <w:sz w:val="18"/>
        </w:rPr>
      </w:pPr>
      <w:r>
        <w:rPr>
          <w:b/>
          <w:color w:val="231F20"/>
          <w:sz w:val="18"/>
        </w:rPr>
        <w:t>Reports published by the Victorian Law Reform Commission</w:t>
      </w:r>
    </w:p>
    <w:p w14:paraId="2EF9ACEA" w14:textId="77777777" w:rsidR="00894070" w:rsidRDefault="00894070">
      <w:pPr>
        <w:pStyle w:val="BodyText"/>
        <w:spacing w:before="5"/>
        <w:rPr>
          <w:b/>
          <w:sz w:val="12"/>
        </w:rPr>
      </w:pPr>
    </w:p>
    <w:p w14:paraId="3B6B68F3" w14:textId="77777777" w:rsidR="00894070" w:rsidRDefault="00894070">
      <w:pPr>
        <w:rPr>
          <w:sz w:val="12"/>
        </w:rPr>
        <w:sectPr w:rsidR="00894070">
          <w:headerReference w:type="default" r:id="rId341"/>
          <w:pgSz w:w="11940" w:h="16850"/>
          <w:pgMar w:top="720" w:right="1380" w:bottom="280" w:left="1620" w:header="0" w:footer="0" w:gutter="0"/>
          <w:cols w:space="720"/>
        </w:sectPr>
      </w:pPr>
    </w:p>
    <w:p w14:paraId="22A5F7E3" w14:textId="77777777" w:rsidR="00894070" w:rsidRDefault="009F6793">
      <w:pPr>
        <w:pStyle w:val="ListParagraph"/>
        <w:numPr>
          <w:ilvl w:val="0"/>
          <w:numId w:val="2"/>
        </w:numPr>
        <w:tabs>
          <w:tab w:val="left" w:pos="507"/>
        </w:tabs>
        <w:spacing w:before="69" w:line="230" w:lineRule="auto"/>
        <w:ind w:right="896" w:hanging="249"/>
        <w:jc w:val="left"/>
        <w:rPr>
          <w:sz w:val="18"/>
        </w:rPr>
      </w:pPr>
      <w:r>
        <w:pict w14:anchorId="1C88D560">
          <v:line id="_x0000_s1034" style="position:absolute;left:0;text-align:left;z-index:251802624;mso-position-horizontal-relative:page;mso-position-vertical-relative:page" from="86.3pt,137.15pt" to="539.85pt,137.15pt" strokecolor="#231f20" strokeweight=".25pt">
            <w10:wrap anchorx="page" anchory="page"/>
          </v:line>
        </w:pict>
      </w:r>
      <w:r w:rsidR="009B7AFD">
        <w:rPr>
          <w:color w:val="231F20"/>
          <w:spacing w:val="-6"/>
          <w:sz w:val="18"/>
        </w:rPr>
        <w:t>Criminal</w:t>
      </w:r>
      <w:r w:rsidR="009B7AFD">
        <w:rPr>
          <w:color w:val="231F20"/>
          <w:spacing w:val="-17"/>
          <w:sz w:val="18"/>
        </w:rPr>
        <w:t xml:space="preserve"> </w:t>
      </w:r>
      <w:r w:rsidR="009B7AFD">
        <w:rPr>
          <w:color w:val="231F20"/>
          <w:spacing w:val="-6"/>
          <w:sz w:val="18"/>
        </w:rPr>
        <w:t>Liability</w:t>
      </w:r>
      <w:r w:rsidR="009B7AFD">
        <w:rPr>
          <w:color w:val="231F20"/>
          <w:spacing w:val="-16"/>
          <w:sz w:val="18"/>
        </w:rPr>
        <w:t xml:space="preserve"> </w:t>
      </w:r>
      <w:r w:rsidR="009B7AFD">
        <w:rPr>
          <w:color w:val="231F20"/>
          <w:spacing w:val="-5"/>
          <w:sz w:val="18"/>
        </w:rPr>
        <w:t>for</w:t>
      </w:r>
      <w:r w:rsidR="009B7AFD">
        <w:rPr>
          <w:color w:val="231F20"/>
          <w:spacing w:val="-22"/>
          <w:sz w:val="18"/>
        </w:rPr>
        <w:t xml:space="preserve"> </w:t>
      </w:r>
      <w:r w:rsidR="009B7AFD">
        <w:rPr>
          <w:color w:val="231F20"/>
          <w:spacing w:val="-7"/>
          <w:sz w:val="18"/>
        </w:rPr>
        <w:t>Workplace</w:t>
      </w:r>
      <w:r w:rsidR="009B7AFD">
        <w:rPr>
          <w:color w:val="231F20"/>
          <w:spacing w:val="-10"/>
          <w:sz w:val="18"/>
        </w:rPr>
        <w:t xml:space="preserve"> </w:t>
      </w:r>
      <w:r w:rsidR="009B7AFD">
        <w:rPr>
          <w:color w:val="231F20"/>
          <w:spacing w:val="-5"/>
          <w:sz w:val="18"/>
        </w:rPr>
        <w:t>Death</w:t>
      </w:r>
      <w:r w:rsidR="009B7AFD">
        <w:rPr>
          <w:color w:val="231F20"/>
          <w:spacing w:val="-11"/>
          <w:sz w:val="18"/>
        </w:rPr>
        <w:t xml:space="preserve"> </w:t>
      </w:r>
      <w:r w:rsidR="009B7AFD">
        <w:rPr>
          <w:color w:val="231F20"/>
          <w:spacing w:val="-6"/>
          <w:sz w:val="18"/>
        </w:rPr>
        <w:t xml:space="preserve">and Serious </w:t>
      </w:r>
      <w:r w:rsidR="009B7AFD">
        <w:rPr>
          <w:color w:val="231F20"/>
          <w:spacing w:val="-5"/>
          <w:sz w:val="18"/>
        </w:rPr>
        <w:t xml:space="preserve">Injury </w:t>
      </w:r>
      <w:r w:rsidR="009B7AFD">
        <w:rPr>
          <w:color w:val="231F20"/>
          <w:spacing w:val="-3"/>
          <w:sz w:val="18"/>
        </w:rPr>
        <w:t xml:space="preserve">in </w:t>
      </w:r>
      <w:r w:rsidR="009B7AFD">
        <w:rPr>
          <w:color w:val="231F20"/>
          <w:spacing w:val="-4"/>
          <w:sz w:val="18"/>
        </w:rPr>
        <w:t xml:space="preserve">the </w:t>
      </w:r>
      <w:r w:rsidR="009B7AFD">
        <w:rPr>
          <w:color w:val="231F20"/>
          <w:spacing w:val="-5"/>
          <w:sz w:val="18"/>
        </w:rPr>
        <w:t xml:space="preserve">Public </w:t>
      </w:r>
      <w:r w:rsidR="009B7AFD">
        <w:rPr>
          <w:color w:val="231F20"/>
          <w:spacing w:val="-6"/>
          <w:sz w:val="18"/>
        </w:rPr>
        <w:t>Sector</w:t>
      </w:r>
      <w:r w:rsidR="009B7AFD">
        <w:rPr>
          <w:color w:val="231F20"/>
          <w:spacing w:val="-25"/>
          <w:sz w:val="18"/>
        </w:rPr>
        <w:t xml:space="preserve"> </w:t>
      </w:r>
      <w:r w:rsidR="009B7AFD">
        <w:rPr>
          <w:color w:val="231F20"/>
          <w:spacing w:val="-6"/>
          <w:sz w:val="18"/>
        </w:rPr>
        <w:t>(2002)</w:t>
      </w:r>
    </w:p>
    <w:p w14:paraId="54238F7D" w14:textId="77777777" w:rsidR="00894070" w:rsidRDefault="009B7AFD">
      <w:pPr>
        <w:pStyle w:val="ListParagraph"/>
        <w:numPr>
          <w:ilvl w:val="0"/>
          <w:numId w:val="2"/>
        </w:numPr>
        <w:tabs>
          <w:tab w:val="left" w:pos="507"/>
        </w:tabs>
        <w:spacing w:before="47"/>
        <w:ind w:hanging="279"/>
        <w:jc w:val="left"/>
        <w:rPr>
          <w:sz w:val="18"/>
        </w:rPr>
      </w:pPr>
      <w:r>
        <w:rPr>
          <w:color w:val="231F20"/>
          <w:spacing w:val="-6"/>
          <w:sz w:val="18"/>
        </w:rPr>
        <w:t>Disputes between Co-owners</w:t>
      </w:r>
      <w:r>
        <w:rPr>
          <w:color w:val="231F20"/>
          <w:spacing w:val="-18"/>
          <w:sz w:val="18"/>
        </w:rPr>
        <w:t xml:space="preserve"> </w:t>
      </w:r>
      <w:r>
        <w:rPr>
          <w:color w:val="231F20"/>
          <w:spacing w:val="-6"/>
          <w:sz w:val="18"/>
        </w:rPr>
        <w:t>(2002)</w:t>
      </w:r>
    </w:p>
    <w:p w14:paraId="734487F2" w14:textId="77777777" w:rsidR="00894070" w:rsidRDefault="009B7AFD">
      <w:pPr>
        <w:pStyle w:val="ListParagraph"/>
        <w:numPr>
          <w:ilvl w:val="0"/>
          <w:numId w:val="2"/>
        </w:numPr>
        <w:tabs>
          <w:tab w:val="left" w:pos="507"/>
        </w:tabs>
        <w:spacing w:before="46"/>
        <w:ind w:hanging="279"/>
        <w:jc w:val="left"/>
        <w:rPr>
          <w:sz w:val="18"/>
        </w:rPr>
      </w:pPr>
      <w:r>
        <w:rPr>
          <w:color w:val="231F20"/>
          <w:spacing w:val="-8"/>
          <w:sz w:val="18"/>
        </w:rPr>
        <w:t>Failure</w:t>
      </w:r>
      <w:r>
        <w:rPr>
          <w:color w:val="231F20"/>
          <w:spacing w:val="-7"/>
          <w:sz w:val="18"/>
        </w:rPr>
        <w:t xml:space="preserve"> </w:t>
      </w:r>
      <w:r>
        <w:rPr>
          <w:color w:val="231F20"/>
          <w:spacing w:val="-4"/>
          <w:sz w:val="18"/>
        </w:rPr>
        <w:t>to</w:t>
      </w:r>
      <w:r>
        <w:rPr>
          <w:color w:val="231F20"/>
          <w:spacing w:val="-14"/>
          <w:sz w:val="18"/>
        </w:rPr>
        <w:t xml:space="preserve"> </w:t>
      </w:r>
      <w:r>
        <w:rPr>
          <w:color w:val="231F20"/>
          <w:spacing w:val="-5"/>
          <w:sz w:val="18"/>
        </w:rPr>
        <w:t>Appear</w:t>
      </w:r>
      <w:r>
        <w:rPr>
          <w:color w:val="231F20"/>
          <w:spacing w:val="-12"/>
          <w:sz w:val="18"/>
        </w:rPr>
        <w:t xml:space="preserve"> </w:t>
      </w:r>
      <w:r>
        <w:rPr>
          <w:color w:val="231F20"/>
          <w:spacing w:val="-3"/>
          <w:sz w:val="18"/>
        </w:rPr>
        <w:t>in</w:t>
      </w:r>
      <w:r>
        <w:rPr>
          <w:color w:val="231F20"/>
          <w:spacing w:val="-7"/>
          <w:sz w:val="18"/>
        </w:rPr>
        <w:t xml:space="preserve"> </w:t>
      </w:r>
      <w:r>
        <w:rPr>
          <w:color w:val="231F20"/>
          <w:spacing w:val="-5"/>
          <w:sz w:val="18"/>
        </w:rPr>
        <w:t>Court</w:t>
      </w:r>
      <w:r>
        <w:rPr>
          <w:color w:val="231F20"/>
          <w:spacing w:val="-7"/>
          <w:sz w:val="18"/>
        </w:rPr>
        <w:t xml:space="preserve"> </w:t>
      </w:r>
      <w:r>
        <w:rPr>
          <w:color w:val="231F20"/>
          <w:spacing w:val="-3"/>
          <w:sz w:val="18"/>
        </w:rPr>
        <w:t>in</w:t>
      </w:r>
      <w:r>
        <w:rPr>
          <w:color w:val="231F20"/>
          <w:spacing w:val="-7"/>
          <w:sz w:val="18"/>
        </w:rPr>
        <w:t xml:space="preserve"> </w:t>
      </w:r>
      <w:r>
        <w:rPr>
          <w:color w:val="231F20"/>
          <w:spacing w:val="-6"/>
          <w:sz w:val="18"/>
        </w:rPr>
        <w:t xml:space="preserve">Response </w:t>
      </w:r>
      <w:r>
        <w:rPr>
          <w:color w:val="231F20"/>
          <w:spacing w:val="-4"/>
          <w:sz w:val="18"/>
        </w:rPr>
        <w:t>to</w:t>
      </w:r>
      <w:r>
        <w:rPr>
          <w:color w:val="231F20"/>
          <w:spacing w:val="-7"/>
          <w:sz w:val="18"/>
        </w:rPr>
        <w:t xml:space="preserve"> </w:t>
      </w:r>
      <w:r>
        <w:rPr>
          <w:color w:val="231F20"/>
          <w:spacing w:val="-5"/>
          <w:sz w:val="18"/>
        </w:rPr>
        <w:t>Bail</w:t>
      </w:r>
      <w:r>
        <w:rPr>
          <w:color w:val="231F20"/>
          <w:spacing w:val="-14"/>
          <w:sz w:val="18"/>
        </w:rPr>
        <w:t xml:space="preserve"> </w:t>
      </w:r>
      <w:r>
        <w:rPr>
          <w:color w:val="231F20"/>
          <w:spacing w:val="-6"/>
          <w:sz w:val="18"/>
        </w:rPr>
        <w:t>(2002)*</w:t>
      </w:r>
    </w:p>
    <w:p w14:paraId="27205171" w14:textId="77777777" w:rsidR="00894070" w:rsidRDefault="009B7AFD">
      <w:pPr>
        <w:pStyle w:val="ListParagraph"/>
        <w:numPr>
          <w:ilvl w:val="0"/>
          <w:numId w:val="2"/>
        </w:numPr>
        <w:tabs>
          <w:tab w:val="left" w:pos="507"/>
        </w:tabs>
        <w:spacing w:before="54" w:line="230" w:lineRule="auto"/>
        <w:ind w:right="415" w:hanging="277"/>
        <w:jc w:val="left"/>
        <w:rPr>
          <w:sz w:val="18"/>
        </w:rPr>
      </w:pPr>
      <w:r>
        <w:rPr>
          <w:color w:val="231F20"/>
          <w:spacing w:val="-6"/>
          <w:sz w:val="18"/>
        </w:rPr>
        <w:t>People</w:t>
      </w:r>
      <w:r>
        <w:rPr>
          <w:color w:val="231F20"/>
          <w:spacing w:val="33"/>
          <w:sz w:val="18"/>
        </w:rPr>
        <w:t xml:space="preserve"> </w:t>
      </w:r>
      <w:r>
        <w:rPr>
          <w:color w:val="231F20"/>
          <w:spacing w:val="-5"/>
          <w:sz w:val="18"/>
        </w:rPr>
        <w:t xml:space="preserve">with  </w:t>
      </w:r>
      <w:r>
        <w:rPr>
          <w:color w:val="231F20"/>
          <w:spacing w:val="-6"/>
          <w:sz w:val="18"/>
        </w:rPr>
        <w:t xml:space="preserve">Intellectual   Disabilities   </w:t>
      </w:r>
      <w:r>
        <w:rPr>
          <w:color w:val="231F20"/>
          <w:spacing w:val="-4"/>
          <w:sz w:val="18"/>
        </w:rPr>
        <w:t xml:space="preserve">at   </w:t>
      </w:r>
      <w:r>
        <w:rPr>
          <w:color w:val="231F20"/>
          <w:spacing w:val="-7"/>
          <w:sz w:val="18"/>
        </w:rPr>
        <w:t xml:space="preserve">Risk: </w:t>
      </w:r>
      <w:r>
        <w:rPr>
          <w:color w:val="231F20"/>
          <w:sz w:val="18"/>
        </w:rPr>
        <w:t xml:space="preserve">A </w:t>
      </w:r>
      <w:r>
        <w:rPr>
          <w:color w:val="231F20"/>
          <w:spacing w:val="-6"/>
          <w:sz w:val="18"/>
        </w:rPr>
        <w:t xml:space="preserve">Legal </w:t>
      </w:r>
      <w:r>
        <w:rPr>
          <w:color w:val="231F20"/>
          <w:spacing w:val="-7"/>
          <w:sz w:val="18"/>
        </w:rPr>
        <w:t xml:space="preserve">Framework </w:t>
      </w:r>
      <w:r>
        <w:rPr>
          <w:color w:val="231F20"/>
          <w:spacing w:val="-5"/>
          <w:sz w:val="18"/>
        </w:rPr>
        <w:t xml:space="preserve">for </w:t>
      </w:r>
      <w:r>
        <w:rPr>
          <w:color w:val="231F20"/>
          <w:spacing w:val="-6"/>
          <w:sz w:val="18"/>
        </w:rPr>
        <w:t>Compulsory Care</w:t>
      </w:r>
      <w:r>
        <w:rPr>
          <w:color w:val="231F20"/>
          <w:spacing w:val="-22"/>
          <w:sz w:val="18"/>
        </w:rPr>
        <w:t xml:space="preserve"> </w:t>
      </w:r>
      <w:r>
        <w:rPr>
          <w:color w:val="231F20"/>
          <w:spacing w:val="-6"/>
          <w:sz w:val="18"/>
        </w:rPr>
        <w:t>(2003)</w:t>
      </w:r>
    </w:p>
    <w:p w14:paraId="1DE11FB7" w14:textId="77777777" w:rsidR="00894070" w:rsidRDefault="009B7AFD">
      <w:pPr>
        <w:pStyle w:val="ListParagraph"/>
        <w:numPr>
          <w:ilvl w:val="0"/>
          <w:numId w:val="2"/>
        </w:numPr>
        <w:tabs>
          <w:tab w:val="left" w:pos="507"/>
        </w:tabs>
        <w:spacing w:before="47"/>
        <w:ind w:hanging="274"/>
        <w:jc w:val="left"/>
        <w:rPr>
          <w:sz w:val="18"/>
        </w:rPr>
      </w:pPr>
      <w:r>
        <w:rPr>
          <w:color w:val="231F20"/>
          <w:spacing w:val="-6"/>
          <w:sz w:val="18"/>
        </w:rPr>
        <w:t xml:space="preserve">Sexual </w:t>
      </w:r>
      <w:r>
        <w:rPr>
          <w:color w:val="231F20"/>
          <w:spacing w:val="-5"/>
          <w:sz w:val="18"/>
        </w:rPr>
        <w:t>Offences</w:t>
      </w:r>
      <w:r>
        <w:rPr>
          <w:color w:val="231F20"/>
          <w:spacing w:val="-22"/>
          <w:sz w:val="18"/>
        </w:rPr>
        <w:t xml:space="preserve"> </w:t>
      </w:r>
      <w:r>
        <w:rPr>
          <w:color w:val="231F20"/>
          <w:spacing w:val="-6"/>
          <w:sz w:val="18"/>
        </w:rPr>
        <w:t>(2004)</w:t>
      </w:r>
    </w:p>
    <w:p w14:paraId="608A63C7" w14:textId="77777777" w:rsidR="00894070" w:rsidRDefault="009B7AFD">
      <w:pPr>
        <w:pStyle w:val="ListParagraph"/>
        <w:numPr>
          <w:ilvl w:val="0"/>
          <w:numId w:val="2"/>
        </w:numPr>
        <w:tabs>
          <w:tab w:val="left" w:pos="507"/>
        </w:tabs>
        <w:spacing w:before="46"/>
        <w:ind w:hanging="283"/>
        <w:jc w:val="left"/>
        <w:rPr>
          <w:sz w:val="18"/>
        </w:rPr>
      </w:pPr>
      <w:r>
        <w:rPr>
          <w:color w:val="231F20"/>
          <w:spacing w:val="-6"/>
          <w:sz w:val="18"/>
        </w:rPr>
        <w:t xml:space="preserve">Defences </w:t>
      </w:r>
      <w:r>
        <w:rPr>
          <w:color w:val="231F20"/>
          <w:spacing w:val="-4"/>
          <w:sz w:val="18"/>
        </w:rPr>
        <w:t xml:space="preserve">to </w:t>
      </w:r>
      <w:r>
        <w:rPr>
          <w:color w:val="231F20"/>
          <w:spacing w:val="-6"/>
          <w:sz w:val="18"/>
        </w:rPr>
        <w:t>Homicide</w:t>
      </w:r>
      <w:r>
        <w:rPr>
          <w:color w:val="231F20"/>
          <w:spacing w:val="-21"/>
          <w:sz w:val="18"/>
        </w:rPr>
        <w:t xml:space="preserve"> </w:t>
      </w:r>
      <w:r>
        <w:rPr>
          <w:color w:val="231F20"/>
          <w:spacing w:val="-6"/>
          <w:sz w:val="18"/>
        </w:rPr>
        <w:t>(2004)</w:t>
      </w:r>
    </w:p>
    <w:p w14:paraId="3822C141" w14:textId="77777777" w:rsidR="00894070" w:rsidRDefault="009B7AFD">
      <w:pPr>
        <w:pStyle w:val="ListParagraph"/>
        <w:numPr>
          <w:ilvl w:val="0"/>
          <w:numId w:val="2"/>
        </w:numPr>
        <w:tabs>
          <w:tab w:val="left" w:pos="507"/>
        </w:tabs>
        <w:spacing w:before="46"/>
        <w:ind w:hanging="268"/>
        <w:jc w:val="left"/>
        <w:rPr>
          <w:sz w:val="18"/>
        </w:rPr>
      </w:pPr>
      <w:r>
        <w:rPr>
          <w:color w:val="231F20"/>
          <w:spacing w:val="-7"/>
          <w:sz w:val="18"/>
        </w:rPr>
        <w:t xml:space="preserve">Workplace </w:t>
      </w:r>
      <w:r>
        <w:rPr>
          <w:color w:val="231F20"/>
          <w:spacing w:val="-6"/>
          <w:sz w:val="18"/>
        </w:rPr>
        <w:t>Privacy</w:t>
      </w:r>
      <w:r>
        <w:rPr>
          <w:color w:val="231F20"/>
          <w:spacing w:val="-19"/>
          <w:sz w:val="18"/>
        </w:rPr>
        <w:t xml:space="preserve"> </w:t>
      </w:r>
      <w:r>
        <w:rPr>
          <w:color w:val="231F20"/>
          <w:spacing w:val="-6"/>
          <w:sz w:val="18"/>
        </w:rPr>
        <w:t>(2005)</w:t>
      </w:r>
    </w:p>
    <w:p w14:paraId="285CAD09" w14:textId="77777777" w:rsidR="00894070" w:rsidRDefault="009B7AFD">
      <w:pPr>
        <w:pStyle w:val="ListParagraph"/>
        <w:numPr>
          <w:ilvl w:val="0"/>
          <w:numId w:val="2"/>
        </w:numPr>
        <w:tabs>
          <w:tab w:val="left" w:pos="507"/>
        </w:tabs>
        <w:spacing w:before="46"/>
        <w:ind w:hanging="281"/>
        <w:jc w:val="left"/>
        <w:rPr>
          <w:sz w:val="18"/>
        </w:rPr>
      </w:pPr>
      <w:r>
        <w:rPr>
          <w:color w:val="231F20"/>
          <w:spacing w:val="-6"/>
          <w:sz w:val="18"/>
        </w:rPr>
        <w:t xml:space="preserve">Implementing </w:t>
      </w:r>
      <w:r>
        <w:rPr>
          <w:color w:val="231F20"/>
          <w:spacing w:val="-4"/>
          <w:sz w:val="18"/>
        </w:rPr>
        <w:t xml:space="preserve">the </w:t>
      </w:r>
      <w:r>
        <w:rPr>
          <w:color w:val="231F20"/>
          <w:spacing w:val="-6"/>
          <w:sz w:val="18"/>
        </w:rPr>
        <w:t xml:space="preserve">Uniform Evidence </w:t>
      </w:r>
      <w:r>
        <w:rPr>
          <w:color w:val="231F20"/>
          <w:spacing w:val="-5"/>
          <w:sz w:val="18"/>
        </w:rPr>
        <w:t>Act 1995</w:t>
      </w:r>
      <w:r>
        <w:rPr>
          <w:color w:val="231F20"/>
          <w:spacing w:val="-16"/>
          <w:sz w:val="18"/>
        </w:rPr>
        <w:t xml:space="preserve"> </w:t>
      </w:r>
      <w:r>
        <w:rPr>
          <w:color w:val="231F20"/>
          <w:spacing w:val="-6"/>
          <w:sz w:val="18"/>
        </w:rPr>
        <w:t>(2006)</w:t>
      </w:r>
    </w:p>
    <w:p w14:paraId="0667049F" w14:textId="77777777" w:rsidR="00894070" w:rsidRDefault="009B7AFD">
      <w:pPr>
        <w:pStyle w:val="ListParagraph"/>
        <w:numPr>
          <w:ilvl w:val="0"/>
          <w:numId w:val="2"/>
        </w:numPr>
        <w:tabs>
          <w:tab w:val="left" w:pos="507"/>
        </w:tabs>
        <w:spacing w:before="46"/>
        <w:ind w:hanging="283"/>
        <w:jc w:val="left"/>
        <w:rPr>
          <w:sz w:val="18"/>
        </w:rPr>
      </w:pPr>
      <w:r>
        <w:rPr>
          <w:color w:val="231F20"/>
          <w:spacing w:val="-6"/>
          <w:sz w:val="18"/>
        </w:rPr>
        <w:t xml:space="preserve">Uniform Evidence </w:t>
      </w:r>
      <w:r>
        <w:rPr>
          <w:color w:val="231F20"/>
          <w:spacing w:val="-5"/>
          <w:sz w:val="18"/>
        </w:rPr>
        <w:t>Law</w:t>
      </w:r>
      <w:r>
        <w:rPr>
          <w:color w:val="231F20"/>
          <w:spacing w:val="-25"/>
          <w:sz w:val="18"/>
        </w:rPr>
        <w:t xml:space="preserve"> </w:t>
      </w:r>
      <w:r>
        <w:rPr>
          <w:color w:val="231F20"/>
          <w:spacing w:val="-6"/>
          <w:sz w:val="18"/>
        </w:rPr>
        <w:t>(2006)</w:t>
      </w:r>
    </w:p>
    <w:p w14:paraId="3928ECC7" w14:textId="77777777" w:rsidR="00894070" w:rsidRDefault="009B7AFD">
      <w:pPr>
        <w:pStyle w:val="ListParagraph"/>
        <w:numPr>
          <w:ilvl w:val="0"/>
          <w:numId w:val="2"/>
        </w:numPr>
        <w:tabs>
          <w:tab w:val="left" w:pos="507"/>
        </w:tabs>
        <w:spacing w:before="45"/>
        <w:ind w:hanging="366"/>
        <w:jc w:val="left"/>
        <w:rPr>
          <w:sz w:val="18"/>
        </w:rPr>
      </w:pPr>
      <w:r>
        <w:rPr>
          <w:color w:val="231F20"/>
          <w:spacing w:val="-7"/>
          <w:sz w:val="18"/>
        </w:rPr>
        <w:t>Review</w:t>
      </w:r>
      <w:r>
        <w:rPr>
          <w:color w:val="231F20"/>
          <w:spacing w:val="-16"/>
          <w:sz w:val="18"/>
        </w:rPr>
        <w:t xml:space="preserve"> </w:t>
      </w:r>
      <w:r>
        <w:rPr>
          <w:color w:val="231F20"/>
          <w:spacing w:val="-4"/>
          <w:sz w:val="18"/>
        </w:rPr>
        <w:t>of</w:t>
      </w:r>
      <w:r>
        <w:rPr>
          <w:color w:val="231F20"/>
          <w:spacing w:val="-14"/>
          <w:sz w:val="18"/>
        </w:rPr>
        <w:t xml:space="preserve"> </w:t>
      </w:r>
      <w:r>
        <w:rPr>
          <w:color w:val="231F20"/>
          <w:spacing w:val="-8"/>
          <w:sz w:val="18"/>
        </w:rPr>
        <w:t>Family</w:t>
      </w:r>
      <w:r>
        <w:rPr>
          <w:color w:val="231F20"/>
          <w:spacing w:val="-21"/>
          <w:sz w:val="18"/>
        </w:rPr>
        <w:t xml:space="preserve"> </w:t>
      </w:r>
      <w:r>
        <w:rPr>
          <w:color w:val="231F20"/>
          <w:spacing w:val="-6"/>
          <w:sz w:val="18"/>
        </w:rPr>
        <w:t>Violence</w:t>
      </w:r>
      <w:r>
        <w:rPr>
          <w:color w:val="231F20"/>
          <w:spacing w:val="-10"/>
          <w:sz w:val="18"/>
        </w:rPr>
        <w:t xml:space="preserve"> </w:t>
      </w:r>
      <w:r>
        <w:rPr>
          <w:color w:val="231F20"/>
          <w:spacing w:val="-6"/>
          <w:sz w:val="18"/>
        </w:rPr>
        <w:t>Laws</w:t>
      </w:r>
      <w:r>
        <w:rPr>
          <w:color w:val="231F20"/>
          <w:spacing w:val="-10"/>
          <w:sz w:val="18"/>
        </w:rPr>
        <w:t xml:space="preserve"> </w:t>
      </w:r>
      <w:r>
        <w:rPr>
          <w:color w:val="231F20"/>
          <w:spacing w:val="-6"/>
          <w:sz w:val="18"/>
        </w:rPr>
        <w:t>(2006)</w:t>
      </w:r>
    </w:p>
    <w:p w14:paraId="72105DCA" w14:textId="77777777" w:rsidR="00894070" w:rsidRDefault="009B7AFD">
      <w:pPr>
        <w:pStyle w:val="ListParagraph"/>
        <w:numPr>
          <w:ilvl w:val="0"/>
          <w:numId w:val="2"/>
        </w:numPr>
        <w:tabs>
          <w:tab w:val="left" w:pos="507"/>
        </w:tabs>
        <w:spacing w:before="46"/>
        <w:ind w:hanging="319"/>
        <w:jc w:val="left"/>
        <w:rPr>
          <w:sz w:val="18"/>
        </w:rPr>
      </w:pPr>
      <w:r>
        <w:rPr>
          <w:color w:val="231F20"/>
          <w:spacing w:val="-6"/>
          <w:sz w:val="18"/>
        </w:rPr>
        <w:t xml:space="preserve">Residential </w:t>
      </w:r>
      <w:r>
        <w:rPr>
          <w:color w:val="231F20"/>
          <w:spacing w:val="-9"/>
          <w:sz w:val="18"/>
        </w:rPr>
        <w:t xml:space="preserve">Tenancy </w:t>
      </w:r>
      <w:r>
        <w:rPr>
          <w:color w:val="231F20"/>
          <w:spacing w:val="-6"/>
          <w:sz w:val="18"/>
        </w:rPr>
        <w:t>Databases</w:t>
      </w:r>
      <w:r>
        <w:rPr>
          <w:color w:val="231F20"/>
          <w:spacing w:val="-32"/>
          <w:sz w:val="18"/>
        </w:rPr>
        <w:t xml:space="preserve"> </w:t>
      </w:r>
      <w:r>
        <w:rPr>
          <w:color w:val="231F20"/>
          <w:spacing w:val="-6"/>
          <w:sz w:val="18"/>
        </w:rPr>
        <w:t>(2006)*</w:t>
      </w:r>
    </w:p>
    <w:p w14:paraId="78EB03DE" w14:textId="77777777" w:rsidR="00894070" w:rsidRDefault="009B7AFD">
      <w:pPr>
        <w:pStyle w:val="ListParagraph"/>
        <w:numPr>
          <w:ilvl w:val="0"/>
          <w:numId w:val="2"/>
        </w:numPr>
        <w:tabs>
          <w:tab w:val="left" w:pos="507"/>
        </w:tabs>
        <w:spacing w:before="55" w:line="230" w:lineRule="auto"/>
        <w:ind w:right="1106" w:hanging="348"/>
        <w:jc w:val="left"/>
        <w:rPr>
          <w:sz w:val="18"/>
        </w:rPr>
      </w:pPr>
      <w:r>
        <w:rPr>
          <w:color w:val="231F20"/>
          <w:spacing w:val="-6"/>
          <w:sz w:val="18"/>
        </w:rPr>
        <w:t xml:space="preserve">Assisted </w:t>
      </w:r>
      <w:r>
        <w:rPr>
          <w:color w:val="231F20"/>
          <w:spacing w:val="-7"/>
          <w:sz w:val="18"/>
        </w:rPr>
        <w:t xml:space="preserve">Reproductive </w:t>
      </w:r>
      <w:r>
        <w:rPr>
          <w:color w:val="231F20"/>
          <w:spacing w:val="-8"/>
          <w:sz w:val="18"/>
        </w:rPr>
        <w:t xml:space="preserve">Technology </w:t>
      </w:r>
      <w:r>
        <w:rPr>
          <w:color w:val="231F20"/>
          <w:spacing w:val="-6"/>
          <w:sz w:val="18"/>
        </w:rPr>
        <w:t>and Adoption</w:t>
      </w:r>
      <w:r>
        <w:rPr>
          <w:color w:val="231F20"/>
          <w:spacing w:val="-11"/>
          <w:sz w:val="18"/>
        </w:rPr>
        <w:t xml:space="preserve"> </w:t>
      </w:r>
      <w:r>
        <w:rPr>
          <w:color w:val="231F20"/>
          <w:spacing w:val="-6"/>
          <w:sz w:val="18"/>
        </w:rPr>
        <w:t>(2007)</w:t>
      </w:r>
    </w:p>
    <w:p w14:paraId="6B0054A8" w14:textId="77777777" w:rsidR="00894070" w:rsidRDefault="009B7AFD">
      <w:pPr>
        <w:pStyle w:val="ListParagraph"/>
        <w:numPr>
          <w:ilvl w:val="0"/>
          <w:numId w:val="2"/>
        </w:numPr>
        <w:tabs>
          <w:tab w:val="left" w:pos="507"/>
        </w:tabs>
        <w:spacing w:before="47"/>
        <w:ind w:hanging="349"/>
        <w:jc w:val="left"/>
        <w:rPr>
          <w:sz w:val="18"/>
        </w:rPr>
      </w:pPr>
      <w:r>
        <w:rPr>
          <w:color w:val="231F20"/>
          <w:spacing w:val="-7"/>
          <w:sz w:val="18"/>
        </w:rPr>
        <w:t>Review</w:t>
      </w:r>
      <w:r>
        <w:rPr>
          <w:color w:val="231F20"/>
          <w:spacing w:val="-16"/>
          <w:sz w:val="18"/>
        </w:rPr>
        <w:t xml:space="preserve"> </w:t>
      </w:r>
      <w:r>
        <w:rPr>
          <w:color w:val="231F20"/>
          <w:spacing w:val="-4"/>
          <w:sz w:val="18"/>
        </w:rPr>
        <w:t>of</w:t>
      </w:r>
      <w:r>
        <w:rPr>
          <w:color w:val="231F20"/>
          <w:spacing w:val="-14"/>
          <w:sz w:val="18"/>
        </w:rPr>
        <w:t xml:space="preserve"> </w:t>
      </w:r>
      <w:r>
        <w:rPr>
          <w:color w:val="231F20"/>
          <w:spacing w:val="-4"/>
          <w:sz w:val="18"/>
        </w:rPr>
        <w:t>the</w:t>
      </w:r>
      <w:r>
        <w:rPr>
          <w:color w:val="231F20"/>
          <w:spacing w:val="-10"/>
          <w:sz w:val="18"/>
        </w:rPr>
        <w:t xml:space="preserve"> </w:t>
      </w:r>
      <w:r>
        <w:rPr>
          <w:color w:val="231F20"/>
          <w:spacing w:val="-5"/>
          <w:sz w:val="18"/>
        </w:rPr>
        <w:t>Bail</w:t>
      </w:r>
      <w:r>
        <w:rPr>
          <w:color w:val="231F20"/>
          <w:spacing w:val="-22"/>
          <w:sz w:val="18"/>
        </w:rPr>
        <w:t xml:space="preserve"> </w:t>
      </w:r>
      <w:r>
        <w:rPr>
          <w:color w:val="231F20"/>
          <w:spacing w:val="-5"/>
          <w:sz w:val="18"/>
        </w:rPr>
        <w:t>Act</w:t>
      </w:r>
      <w:r>
        <w:rPr>
          <w:color w:val="231F20"/>
          <w:spacing w:val="-10"/>
          <w:sz w:val="18"/>
        </w:rPr>
        <w:t xml:space="preserve"> </w:t>
      </w:r>
      <w:r>
        <w:rPr>
          <w:color w:val="231F20"/>
          <w:spacing w:val="-5"/>
          <w:sz w:val="18"/>
        </w:rPr>
        <w:t>1997</w:t>
      </w:r>
      <w:r>
        <w:rPr>
          <w:color w:val="231F20"/>
          <w:spacing w:val="-10"/>
          <w:sz w:val="18"/>
        </w:rPr>
        <w:t xml:space="preserve"> </w:t>
      </w:r>
      <w:r>
        <w:rPr>
          <w:color w:val="231F20"/>
          <w:spacing w:val="-6"/>
          <w:sz w:val="18"/>
        </w:rPr>
        <w:t>(2007)</w:t>
      </w:r>
    </w:p>
    <w:p w14:paraId="06BC985C" w14:textId="77777777" w:rsidR="00894070" w:rsidRDefault="009B7AFD">
      <w:pPr>
        <w:pStyle w:val="ListParagraph"/>
        <w:numPr>
          <w:ilvl w:val="0"/>
          <w:numId w:val="2"/>
        </w:numPr>
        <w:tabs>
          <w:tab w:val="left" w:pos="507"/>
        </w:tabs>
        <w:spacing w:before="46"/>
        <w:ind w:hanging="345"/>
        <w:jc w:val="left"/>
        <w:rPr>
          <w:sz w:val="18"/>
        </w:rPr>
      </w:pPr>
      <w:r>
        <w:rPr>
          <w:color w:val="231F20"/>
          <w:spacing w:val="-5"/>
          <w:sz w:val="18"/>
        </w:rPr>
        <w:t xml:space="preserve">Civil </w:t>
      </w:r>
      <w:r>
        <w:rPr>
          <w:color w:val="231F20"/>
          <w:spacing w:val="-6"/>
          <w:sz w:val="18"/>
        </w:rPr>
        <w:t xml:space="preserve">Justice </w:t>
      </w:r>
      <w:r>
        <w:rPr>
          <w:color w:val="231F20"/>
          <w:spacing w:val="-7"/>
          <w:sz w:val="18"/>
        </w:rPr>
        <w:t>Review</w:t>
      </w:r>
      <w:r>
        <w:rPr>
          <w:color w:val="231F20"/>
          <w:spacing w:val="-37"/>
          <w:sz w:val="18"/>
        </w:rPr>
        <w:t xml:space="preserve"> </w:t>
      </w:r>
      <w:r>
        <w:rPr>
          <w:color w:val="231F20"/>
          <w:spacing w:val="-6"/>
          <w:sz w:val="18"/>
        </w:rPr>
        <w:t>(2008)</w:t>
      </w:r>
    </w:p>
    <w:p w14:paraId="0C2DC77C" w14:textId="77777777" w:rsidR="00894070" w:rsidRDefault="009B7AFD">
      <w:pPr>
        <w:pStyle w:val="ListParagraph"/>
        <w:numPr>
          <w:ilvl w:val="0"/>
          <w:numId w:val="2"/>
        </w:numPr>
        <w:tabs>
          <w:tab w:val="left" w:pos="507"/>
        </w:tabs>
        <w:spacing w:before="46"/>
        <w:ind w:hanging="344"/>
        <w:jc w:val="left"/>
        <w:rPr>
          <w:sz w:val="18"/>
        </w:rPr>
      </w:pPr>
      <w:r>
        <w:rPr>
          <w:color w:val="231F20"/>
          <w:spacing w:val="-5"/>
          <w:sz w:val="18"/>
        </w:rPr>
        <w:t xml:space="preserve">Law </w:t>
      </w:r>
      <w:r>
        <w:rPr>
          <w:color w:val="231F20"/>
          <w:spacing w:val="-4"/>
          <w:sz w:val="18"/>
        </w:rPr>
        <w:t>of</w:t>
      </w:r>
      <w:r>
        <w:rPr>
          <w:color w:val="231F20"/>
          <w:spacing w:val="-36"/>
          <w:sz w:val="18"/>
        </w:rPr>
        <w:t xml:space="preserve"> </w:t>
      </w:r>
      <w:r>
        <w:rPr>
          <w:color w:val="231F20"/>
          <w:spacing w:val="-6"/>
          <w:sz w:val="18"/>
        </w:rPr>
        <w:t>Abortion (2008)</w:t>
      </w:r>
    </w:p>
    <w:p w14:paraId="534A8D27" w14:textId="77777777" w:rsidR="00894070" w:rsidRDefault="009B7AFD">
      <w:pPr>
        <w:pStyle w:val="ListParagraph"/>
        <w:numPr>
          <w:ilvl w:val="0"/>
          <w:numId w:val="2"/>
        </w:numPr>
        <w:tabs>
          <w:tab w:val="left" w:pos="507"/>
        </w:tabs>
        <w:spacing w:before="46"/>
        <w:ind w:hanging="352"/>
        <w:jc w:val="left"/>
        <w:rPr>
          <w:sz w:val="18"/>
        </w:rPr>
      </w:pPr>
      <w:r>
        <w:rPr>
          <w:color w:val="231F20"/>
          <w:spacing w:val="-6"/>
          <w:sz w:val="18"/>
        </w:rPr>
        <w:t>Assistance Animals</w:t>
      </w:r>
      <w:r>
        <w:rPr>
          <w:color w:val="231F20"/>
          <w:spacing w:val="-21"/>
          <w:sz w:val="18"/>
        </w:rPr>
        <w:t xml:space="preserve"> </w:t>
      </w:r>
      <w:r>
        <w:rPr>
          <w:color w:val="231F20"/>
          <w:spacing w:val="-6"/>
          <w:sz w:val="18"/>
        </w:rPr>
        <w:t>(2008)*</w:t>
      </w:r>
    </w:p>
    <w:p w14:paraId="6E15F857" w14:textId="77777777" w:rsidR="00894070" w:rsidRDefault="009B7AFD">
      <w:pPr>
        <w:pStyle w:val="ListParagraph"/>
        <w:numPr>
          <w:ilvl w:val="0"/>
          <w:numId w:val="2"/>
        </w:numPr>
        <w:tabs>
          <w:tab w:val="left" w:pos="507"/>
        </w:tabs>
        <w:spacing w:before="45"/>
        <w:ind w:hanging="337"/>
        <w:jc w:val="left"/>
        <w:rPr>
          <w:sz w:val="18"/>
        </w:rPr>
      </w:pPr>
      <w:r>
        <w:rPr>
          <w:color w:val="231F20"/>
          <w:spacing w:val="-5"/>
          <w:sz w:val="18"/>
        </w:rPr>
        <w:t xml:space="preserve">Jury </w:t>
      </w:r>
      <w:r>
        <w:rPr>
          <w:color w:val="231F20"/>
          <w:spacing w:val="-6"/>
          <w:sz w:val="18"/>
        </w:rPr>
        <w:t>Directions</w:t>
      </w:r>
      <w:r>
        <w:rPr>
          <w:color w:val="231F20"/>
          <w:spacing w:val="-21"/>
          <w:sz w:val="18"/>
        </w:rPr>
        <w:t xml:space="preserve"> </w:t>
      </w:r>
      <w:r>
        <w:rPr>
          <w:color w:val="231F20"/>
          <w:spacing w:val="-6"/>
          <w:sz w:val="18"/>
        </w:rPr>
        <w:t>(2009)</w:t>
      </w:r>
    </w:p>
    <w:p w14:paraId="5BE52661" w14:textId="77777777" w:rsidR="00894070" w:rsidRDefault="009B7AFD">
      <w:pPr>
        <w:pStyle w:val="ListParagraph"/>
        <w:numPr>
          <w:ilvl w:val="0"/>
          <w:numId w:val="2"/>
        </w:numPr>
        <w:tabs>
          <w:tab w:val="left" w:pos="507"/>
        </w:tabs>
        <w:spacing w:before="46"/>
        <w:ind w:hanging="350"/>
        <w:jc w:val="left"/>
        <w:rPr>
          <w:sz w:val="18"/>
        </w:rPr>
      </w:pPr>
      <w:r>
        <w:rPr>
          <w:color w:val="231F20"/>
          <w:spacing w:val="-6"/>
          <w:sz w:val="18"/>
        </w:rPr>
        <w:t xml:space="preserve">Surveillance </w:t>
      </w:r>
      <w:r>
        <w:rPr>
          <w:color w:val="231F20"/>
          <w:spacing w:val="-3"/>
          <w:sz w:val="18"/>
        </w:rPr>
        <w:t xml:space="preserve">in </w:t>
      </w:r>
      <w:r>
        <w:rPr>
          <w:color w:val="231F20"/>
          <w:spacing w:val="-5"/>
          <w:sz w:val="18"/>
        </w:rPr>
        <w:t xml:space="preserve">Public </w:t>
      </w:r>
      <w:r>
        <w:rPr>
          <w:color w:val="231F20"/>
          <w:spacing w:val="-6"/>
          <w:sz w:val="18"/>
        </w:rPr>
        <w:t>Places</w:t>
      </w:r>
      <w:r>
        <w:rPr>
          <w:color w:val="231F20"/>
          <w:spacing w:val="-28"/>
          <w:sz w:val="18"/>
        </w:rPr>
        <w:t xml:space="preserve"> </w:t>
      </w:r>
      <w:r>
        <w:rPr>
          <w:color w:val="231F20"/>
          <w:spacing w:val="-6"/>
          <w:sz w:val="18"/>
        </w:rPr>
        <w:t>(2010)</w:t>
      </w:r>
    </w:p>
    <w:p w14:paraId="00FE2BFD" w14:textId="77777777" w:rsidR="00894070" w:rsidRDefault="009B7AFD">
      <w:pPr>
        <w:pStyle w:val="ListParagraph"/>
        <w:numPr>
          <w:ilvl w:val="0"/>
          <w:numId w:val="2"/>
        </w:numPr>
        <w:tabs>
          <w:tab w:val="left" w:pos="507"/>
        </w:tabs>
        <w:spacing w:before="46"/>
        <w:ind w:hanging="352"/>
        <w:jc w:val="left"/>
        <w:rPr>
          <w:sz w:val="18"/>
        </w:rPr>
      </w:pPr>
      <w:r>
        <w:rPr>
          <w:color w:val="231F20"/>
          <w:spacing w:val="-6"/>
          <w:sz w:val="18"/>
        </w:rPr>
        <w:t xml:space="preserve">Protection Applications </w:t>
      </w:r>
      <w:r>
        <w:rPr>
          <w:color w:val="231F20"/>
          <w:spacing w:val="-3"/>
          <w:sz w:val="18"/>
        </w:rPr>
        <w:t xml:space="preserve">in </w:t>
      </w:r>
      <w:r>
        <w:rPr>
          <w:color w:val="231F20"/>
          <w:spacing w:val="-4"/>
          <w:sz w:val="18"/>
        </w:rPr>
        <w:t xml:space="preserve">the </w:t>
      </w:r>
      <w:r>
        <w:rPr>
          <w:color w:val="231F20"/>
          <w:spacing w:val="-8"/>
          <w:sz w:val="18"/>
        </w:rPr>
        <w:t xml:space="preserve">Children’s </w:t>
      </w:r>
      <w:r>
        <w:rPr>
          <w:color w:val="231F20"/>
          <w:spacing w:val="-5"/>
          <w:sz w:val="18"/>
        </w:rPr>
        <w:t>Court</w:t>
      </w:r>
      <w:r>
        <w:rPr>
          <w:color w:val="231F20"/>
          <w:spacing w:val="-26"/>
          <w:sz w:val="18"/>
        </w:rPr>
        <w:t xml:space="preserve"> </w:t>
      </w:r>
      <w:r>
        <w:rPr>
          <w:color w:val="231F20"/>
          <w:spacing w:val="-6"/>
          <w:sz w:val="18"/>
        </w:rPr>
        <w:t>(2010)</w:t>
      </w:r>
    </w:p>
    <w:p w14:paraId="31EA26BC" w14:textId="77777777" w:rsidR="00894070" w:rsidRDefault="009B7AFD">
      <w:pPr>
        <w:pStyle w:val="ListParagraph"/>
        <w:numPr>
          <w:ilvl w:val="0"/>
          <w:numId w:val="2"/>
        </w:numPr>
        <w:tabs>
          <w:tab w:val="left" w:pos="507"/>
        </w:tabs>
        <w:spacing w:before="46"/>
        <w:ind w:hanging="396"/>
        <w:jc w:val="left"/>
        <w:rPr>
          <w:sz w:val="18"/>
        </w:rPr>
      </w:pPr>
      <w:r>
        <w:rPr>
          <w:color w:val="231F20"/>
          <w:spacing w:val="-7"/>
          <w:sz w:val="18"/>
        </w:rPr>
        <w:t>Review</w:t>
      </w:r>
      <w:r>
        <w:rPr>
          <w:color w:val="231F20"/>
          <w:spacing w:val="-15"/>
          <w:sz w:val="18"/>
        </w:rPr>
        <w:t xml:space="preserve"> </w:t>
      </w:r>
      <w:r>
        <w:rPr>
          <w:color w:val="231F20"/>
          <w:spacing w:val="-4"/>
          <w:sz w:val="18"/>
        </w:rPr>
        <w:t>of</w:t>
      </w:r>
      <w:r>
        <w:rPr>
          <w:color w:val="231F20"/>
          <w:spacing w:val="-14"/>
          <w:sz w:val="18"/>
        </w:rPr>
        <w:t xml:space="preserve"> </w:t>
      </w:r>
      <w:r>
        <w:rPr>
          <w:color w:val="231F20"/>
          <w:spacing w:val="-4"/>
          <w:sz w:val="18"/>
        </w:rPr>
        <w:t>the</w:t>
      </w:r>
      <w:r>
        <w:rPr>
          <w:color w:val="231F20"/>
          <w:spacing w:val="-10"/>
          <w:sz w:val="18"/>
        </w:rPr>
        <w:t xml:space="preserve"> </w:t>
      </w:r>
      <w:r>
        <w:rPr>
          <w:color w:val="231F20"/>
          <w:spacing w:val="-6"/>
          <w:sz w:val="18"/>
        </w:rPr>
        <w:t>Property</w:t>
      </w:r>
      <w:r>
        <w:rPr>
          <w:color w:val="231F20"/>
          <w:spacing w:val="-15"/>
          <w:sz w:val="18"/>
        </w:rPr>
        <w:t xml:space="preserve"> </w:t>
      </w:r>
      <w:r>
        <w:rPr>
          <w:color w:val="231F20"/>
          <w:spacing w:val="-5"/>
          <w:sz w:val="18"/>
        </w:rPr>
        <w:t>Law</w:t>
      </w:r>
      <w:r>
        <w:rPr>
          <w:color w:val="231F20"/>
          <w:spacing w:val="-21"/>
          <w:sz w:val="18"/>
        </w:rPr>
        <w:t xml:space="preserve"> </w:t>
      </w:r>
      <w:r>
        <w:rPr>
          <w:color w:val="231F20"/>
          <w:spacing w:val="-5"/>
          <w:sz w:val="18"/>
        </w:rPr>
        <w:t>Act</w:t>
      </w:r>
      <w:r>
        <w:rPr>
          <w:color w:val="231F20"/>
          <w:spacing w:val="-10"/>
          <w:sz w:val="18"/>
        </w:rPr>
        <w:t xml:space="preserve"> </w:t>
      </w:r>
      <w:r>
        <w:rPr>
          <w:color w:val="231F20"/>
          <w:spacing w:val="-5"/>
          <w:sz w:val="18"/>
        </w:rPr>
        <w:t>1958</w:t>
      </w:r>
      <w:r>
        <w:rPr>
          <w:color w:val="231F20"/>
          <w:spacing w:val="-9"/>
          <w:sz w:val="18"/>
        </w:rPr>
        <w:t xml:space="preserve"> </w:t>
      </w:r>
      <w:r>
        <w:rPr>
          <w:color w:val="231F20"/>
          <w:spacing w:val="-6"/>
          <w:sz w:val="18"/>
        </w:rPr>
        <w:t>(2010)</w:t>
      </w:r>
    </w:p>
    <w:p w14:paraId="7EDCB902" w14:textId="77777777" w:rsidR="00894070" w:rsidRDefault="009B7AFD">
      <w:pPr>
        <w:pStyle w:val="ListParagraph"/>
        <w:numPr>
          <w:ilvl w:val="0"/>
          <w:numId w:val="2"/>
        </w:numPr>
        <w:tabs>
          <w:tab w:val="left" w:pos="507"/>
        </w:tabs>
        <w:spacing w:before="46"/>
        <w:ind w:hanging="348"/>
        <w:jc w:val="left"/>
        <w:rPr>
          <w:sz w:val="18"/>
        </w:rPr>
      </w:pPr>
      <w:r>
        <w:rPr>
          <w:color w:val="231F20"/>
          <w:spacing w:val="-6"/>
          <w:sz w:val="18"/>
        </w:rPr>
        <w:t xml:space="preserve">Supporting </w:t>
      </w:r>
      <w:r>
        <w:rPr>
          <w:color w:val="231F20"/>
          <w:spacing w:val="-8"/>
          <w:sz w:val="18"/>
        </w:rPr>
        <w:t xml:space="preserve">Young </w:t>
      </w:r>
      <w:r>
        <w:rPr>
          <w:color w:val="231F20"/>
          <w:spacing w:val="-6"/>
          <w:sz w:val="18"/>
        </w:rPr>
        <w:t xml:space="preserve">People </w:t>
      </w:r>
      <w:r>
        <w:rPr>
          <w:color w:val="231F20"/>
          <w:spacing w:val="-3"/>
          <w:sz w:val="18"/>
        </w:rPr>
        <w:t xml:space="preserve">in </w:t>
      </w:r>
      <w:r>
        <w:rPr>
          <w:color w:val="231F20"/>
          <w:spacing w:val="-6"/>
          <w:sz w:val="18"/>
        </w:rPr>
        <w:t>Police Interviews</w:t>
      </w:r>
      <w:r>
        <w:rPr>
          <w:color w:val="231F20"/>
          <w:spacing w:val="-18"/>
          <w:sz w:val="18"/>
        </w:rPr>
        <w:t xml:space="preserve"> </w:t>
      </w:r>
      <w:r>
        <w:rPr>
          <w:color w:val="231F20"/>
          <w:spacing w:val="-7"/>
          <w:sz w:val="18"/>
        </w:rPr>
        <w:t>(2010)*</w:t>
      </w:r>
    </w:p>
    <w:p w14:paraId="74B28EB4" w14:textId="77777777" w:rsidR="00894070" w:rsidRDefault="009B7AFD">
      <w:pPr>
        <w:pStyle w:val="ListParagraph"/>
        <w:numPr>
          <w:ilvl w:val="0"/>
          <w:numId w:val="2"/>
        </w:numPr>
        <w:tabs>
          <w:tab w:val="left" w:pos="507"/>
        </w:tabs>
        <w:spacing w:before="46"/>
        <w:ind w:hanging="378"/>
        <w:jc w:val="left"/>
        <w:rPr>
          <w:sz w:val="18"/>
        </w:rPr>
      </w:pPr>
      <w:r>
        <w:rPr>
          <w:color w:val="231F20"/>
          <w:spacing w:val="-6"/>
          <w:sz w:val="18"/>
        </w:rPr>
        <w:t xml:space="preserve">Easements </w:t>
      </w:r>
      <w:r>
        <w:rPr>
          <w:color w:val="231F20"/>
          <w:spacing w:val="-4"/>
          <w:sz w:val="18"/>
        </w:rPr>
        <w:t xml:space="preserve">and </w:t>
      </w:r>
      <w:r>
        <w:rPr>
          <w:color w:val="231F20"/>
          <w:spacing w:val="-7"/>
          <w:sz w:val="18"/>
        </w:rPr>
        <w:t>Covenants</w:t>
      </w:r>
      <w:r>
        <w:rPr>
          <w:color w:val="231F20"/>
          <w:spacing w:val="-21"/>
          <w:sz w:val="18"/>
        </w:rPr>
        <w:t xml:space="preserve"> </w:t>
      </w:r>
      <w:r>
        <w:rPr>
          <w:color w:val="231F20"/>
          <w:spacing w:val="-6"/>
          <w:sz w:val="18"/>
        </w:rPr>
        <w:t>(2010)</w:t>
      </w:r>
    </w:p>
    <w:p w14:paraId="01197320" w14:textId="77777777" w:rsidR="00894070" w:rsidRDefault="009B7AFD">
      <w:pPr>
        <w:pStyle w:val="ListParagraph"/>
        <w:numPr>
          <w:ilvl w:val="0"/>
          <w:numId w:val="2"/>
        </w:numPr>
        <w:tabs>
          <w:tab w:val="left" w:pos="507"/>
        </w:tabs>
        <w:spacing w:before="46"/>
        <w:ind w:hanging="378"/>
        <w:jc w:val="left"/>
        <w:rPr>
          <w:sz w:val="18"/>
        </w:rPr>
      </w:pPr>
      <w:r>
        <w:rPr>
          <w:color w:val="231F20"/>
          <w:spacing w:val="-5"/>
          <w:sz w:val="18"/>
        </w:rPr>
        <w:t xml:space="preserve">Sex Offenders </w:t>
      </w:r>
      <w:r>
        <w:rPr>
          <w:color w:val="231F20"/>
          <w:spacing w:val="-6"/>
          <w:sz w:val="18"/>
        </w:rPr>
        <w:t>Registration</w:t>
      </w:r>
      <w:r>
        <w:rPr>
          <w:color w:val="231F20"/>
          <w:spacing w:val="-24"/>
          <w:sz w:val="18"/>
        </w:rPr>
        <w:t xml:space="preserve"> </w:t>
      </w:r>
      <w:r>
        <w:rPr>
          <w:color w:val="231F20"/>
          <w:spacing w:val="-6"/>
          <w:sz w:val="18"/>
        </w:rPr>
        <w:t>(2011)</w:t>
      </w:r>
    </w:p>
    <w:p w14:paraId="48623D1C" w14:textId="77777777" w:rsidR="00894070" w:rsidRDefault="009B7AFD">
      <w:pPr>
        <w:pStyle w:val="ListParagraph"/>
        <w:numPr>
          <w:ilvl w:val="0"/>
          <w:numId w:val="2"/>
        </w:numPr>
        <w:tabs>
          <w:tab w:val="left" w:pos="507"/>
        </w:tabs>
        <w:spacing w:before="46"/>
        <w:ind w:hanging="373"/>
        <w:jc w:val="left"/>
        <w:rPr>
          <w:sz w:val="18"/>
        </w:rPr>
      </w:pPr>
      <w:r>
        <w:rPr>
          <w:color w:val="231F20"/>
          <w:spacing w:val="-6"/>
          <w:w w:val="105"/>
          <w:sz w:val="18"/>
        </w:rPr>
        <w:t>Guardianship</w:t>
      </w:r>
      <w:r>
        <w:rPr>
          <w:color w:val="231F20"/>
          <w:spacing w:val="-14"/>
          <w:w w:val="105"/>
          <w:sz w:val="18"/>
        </w:rPr>
        <w:t xml:space="preserve"> </w:t>
      </w:r>
      <w:r>
        <w:rPr>
          <w:color w:val="231F20"/>
          <w:spacing w:val="-6"/>
          <w:w w:val="105"/>
          <w:sz w:val="18"/>
        </w:rPr>
        <w:t>(2012)</w:t>
      </w:r>
    </w:p>
    <w:p w14:paraId="7BCF34A2" w14:textId="77777777" w:rsidR="00894070" w:rsidRDefault="009B7AFD">
      <w:pPr>
        <w:pStyle w:val="ListParagraph"/>
        <w:numPr>
          <w:ilvl w:val="0"/>
          <w:numId w:val="2"/>
        </w:numPr>
        <w:tabs>
          <w:tab w:val="left" w:pos="507"/>
        </w:tabs>
        <w:spacing w:before="45"/>
        <w:ind w:hanging="373"/>
        <w:jc w:val="left"/>
        <w:rPr>
          <w:sz w:val="18"/>
        </w:rPr>
      </w:pPr>
      <w:r>
        <w:rPr>
          <w:color w:val="231F20"/>
          <w:spacing w:val="-5"/>
          <w:sz w:val="18"/>
        </w:rPr>
        <w:t xml:space="preserve">Birth </w:t>
      </w:r>
      <w:r>
        <w:rPr>
          <w:color w:val="231F20"/>
          <w:spacing w:val="-6"/>
          <w:sz w:val="18"/>
        </w:rPr>
        <w:t xml:space="preserve">Registration </w:t>
      </w:r>
      <w:r>
        <w:rPr>
          <w:color w:val="231F20"/>
          <w:spacing w:val="-4"/>
          <w:sz w:val="18"/>
        </w:rPr>
        <w:t xml:space="preserve">and </w:t>
      </w:r>
      <w:r>
        <w:rPr>
          <w:color w:val="231F20"/>
          <w:spacing w:val="-5"/>
          <w:sz w:val="18"/>
        </w:rPr>
        <w:t xml:space="preserve">Birth </w:t>
      </w:r>
      <w:r>
        <w:rPr>
          <w:color w:val="231F20"/>
          <w:spacing w:val="-6"/>
          <w:sz w:val="18"/>
        </w:rPr>
        <w:t>Certificates</w:t>
      </w:r>
      <w:r>
        <w:rPr>
          <w:color w:val="231F20"/>
          <w:spacing w:val="-30"/>
          <w:sz w:val="18"/>
        </w:rPr>
        <w:t xml:space="preserve"> </w:t>
      </w:r>
      <w:r>
        <w:rPr>
          <w:color w:val="231F20"/>
          <w:spacing w:val="-6"/>
          <w:sz w:val="18"/>
        </w:rPr>
        <w:t>(2013)*</w:t>
      </w:r>
    </w:p>
    <w:p w14:paraId="572331DF" w14:textId="77777777" w:rsidR="00894070" w:rsidRDefault="009B7AFD">
      <w:pPr>
        <w:pStyle w:val="ListParagraph"/>
        <w:numPr>
          <w:ilvl w:val="0"/>
          <w:numId w:val="2"/>
        </w:numPr>
        <w:tabs>
          <w:tab w:val="left" w:pos="511"/>
        </w:tabs>
        <w:spacing w:before="63"/>
        <w:ind w:left="510" w:hanging="382"/>
        <w:jc w:val="left"/>
        <w:rPr>
          <w:sz w:val="18"/>
        </w:rPr>
      </w:pPr>
      <w:r>
        <w:rPr>
          <w:color w:val="231F20"/>
          <w:spacing w:val="-6"/>
          <w:w w:val="99"/>
          <w:sz w:val="18"/>
        </w:rPr>
        <w:br w:type="column"/>
      </w:r>
      <w:r>
        <w:rPr>
          <w:color w:val="231F20"/>
          <w:spacing w:val="-6"/>
          <w:sz w:val="18"/>
        </w:rPr>
        <w:t>Succession Laws</w:t>
      </w:r>
      <w:r>
        <w:rPr>
          <w:color w:val="231F20"/>
          <w:spacing w:val="-15"/>
          <w:sz w:val="18"/>
        </w:rPr>
        <w:t xml:space="preserve"> </w:t>
      </w:r>
      <w:r>
        <w:rPr>
          <w:color w:val="231F20"/>
          <w:spacing w:val="-6"/>
          <w:sz w:val="18"/>
        </w:rPr>
        <w:t>(2013)</w:t>
      </w:r>
    </w:p>
    <w:p w14:paraId="7C3D1E23" w14:textId="77777777" w:rsidR="00894070" w:rsidRDefault="009B7AFD">
      <w:pPr>
        <w:pStyle w:val="ListParagraph"/>
        <w:numPr>
          <w:ilvl w:val="0"/>
          <w:numId w:val="2"/>
        </w:numPr>
        <w:tabs>
          <w:tab w:val="left" w:pos="511"/>
        </w:tabs>
        <w:spacing w:before="45"/>
        <w:ind w:left="510" w:hanging="367"/>
        <w:jc w:val="left"/>
        <w:rPr>
          <w:sz w:val="18"/>
        </w:rPr>
      </w:pPr>
      <w:r>
        <w:rPr>
          <w:color w:val="231F20"/>
          <w:spacing w:val="-5"/>
          <w:sz w:val="18"/>
        </w:rPr>
        <w:t xml:space="preserve">Jury </w:t>
      </w:r>
      <w:r>
        <w:rPr>
          <w:color w:val="231F20"/>
          <w:spacing w:val="-6"/>
          <w:sz w:val="18"/>
        </w:rPr>
        <w:t>Empanelment</w:t>
      </w:r>
      <w:r>
        <w:rPr>
          <w:color w:val="231F20"/>
          <w:spacing w:val="-21"/>
          <w:sz w:val="18"/>
        </w:rPr>
        <w:t xml:space="preserve"> </w:t>
      </w:r>
      <w:r>
        <w:rPr>
          <w:color w:val="231F20"/>
          <w:spacing w:val="-7"/>
          <w:sz w:val="18"/>
        </w:rPr>
        <w:t>(2014)</w:t>
      </w:r>
    </w:p>
    <w:p w14:paraId="4FBA14A8" w14:textId="77777777" w:rsidR="00894070" w:rsidRDefault="009B7AFD">
      <w:pPr>
        <w:pStyle w:val="ListParagraph"/>
        <w:numPr>
          <w:ilvl w:val="0"/>
          <w:numId w:val="2"/>
        </w:numPr>
        <w:tabs>
          <w:tab w:val="left" w:pos="511"/>
        </w:tabs>
        <w:spacing w:before="55" w:line="230" w:lineRule="auto"/>
        <w:ind w:left="510" w:right="378" w:hanging="380"/>
        <w:jc w:val="left"/>
        <w:rPr>
          <w:sz w:val="18"/>
        </w:rPr>
      </w:pPr>
      <w:r>
        <w:rPr>
          <w:color w:val="231F20"/>
          <w:spacing w:val="-7"/>
          <w:sz w:val="18"/>
        </w:rPr>
        <w:t>Review</w:t>
      </w:r>
      <w:r>
        <w:rPr>
          <w:color w:val="231F20"/>
          <w:spacing w:val="-16"/>
          <w:sz w:val="18"/>
        </w:rPr>
        <w:t xml:space="preserve"> </w:t>
      </w:r>
      <w:r>
        <w:rPr>
          <w:color w:val="231F20"/>
          <w:spacing w:val="-4"/>
          <w:sz w:val="18"/>
        </w:rPr>
        <w:t>of</w:t>
      </w:r>
      <w:r>
        <w:rPr>
          <w:color w:val="231F20"/>
          <w:spacing w:val="-15"/>
          <w:sz w:val="18"/>
        </w:rPr>
        <w:t xml:space="preserve"> </w:t>
      </w:r>
      <w:r>
        <w:rPr>
          <w:color w:val="231F20"/>
          <w:spacing w:val="-4"/>
          <w:sz w:val="18"/>
        </w:rPr>
        <w:t>the</w:t>
      </w:r>
      <w:r>
        <w:rPr>
          <w:color w:val="231F20"/>
          <w:spacing w:val="-10"/>
          <w:sz w:val="18"/>
        </w:rPr>
        <w:t xml:space="preserve"> </w:t>
      </w:r>
      <w:r>
        <w:rPr>
          <w:color w:val="231F20"/>
          <w:spacing w:val="-5"/>
          <w:sz w:val="18"/>
        </w:rPr>
        <w:t>Crimes</w:t>
      </w:r>
      <w:r>
        <w:rPr>
          <w:color w:val="231F20"/>
          <w:spacing w:val="-10"/>
          <w:sz w:val="18"/>
        </w:rPr>
        <w:t xml:space="preserve"> </w:t>
      </w:r>
      <w:r>
        <w:rPr>
          <w:color w:val="231F20"/>
          <w:spacing w:val="-6"/>
          <w:sz w:val="18"/>
        </w:rPr>
        <w:t>(Mental</w:t>
      </w:r>
      <w:r>
        <w:rPr>
          <w:color w:val="231F20"/>
          <w:spacing w:val="-17"/>
          <w:sz w:val="18"/>
        </w:rPr>
        <w:t xml:space="preserve"> </w:t>
      </w:r>
      <w:r>
        <w:rPr>
          <w:color w:val="231F20"/>
          <w:spacing w:val="-6"/>
          <w:sz w:val="18"/>
        </w:rPr>
        <w:t xml:space="preserve">Impairment </w:t>
      </w:r>
      <w:r>
        <w:rPr>
          <w:color w:val="231F20"/>
          <w:spacing w:val="-4"/>
          <w:sz w:val="18"/>
        </w:rPr>
        <w:t>and</w:t>
      </w:r>
      <w:r>
        <w:rPr>
          <w:color w:val="231F20"/>
          <w:spacing w:val="-9"/>
          <w:sz w:val="18"/>
        </w:rPr>
        <w:t xml:space="preserve"> </w:t>
      </w:r>
      <w:r>
        <w:rPr>
          <w:color w:val="231F20"/>
          <w:spacing w:val="-5"/>
          <w:sz w:val="18"/>
        </w:rPr>
        <w:t>Unfitness</w:t>
      </w:r>
      <w:r>
        <w:rPr>
          <w:color w:val="231F20"/>
          <w:spacing w:val="-9"/>
          <w:sz w:val="18"/>
        </w:rPr>
        <w:t xml:space="preserve"> </w:t>
      </w:r>
      <w:r>
        <w:rPr>
          <w:color w:val="231F20"/>
          <w:spacing w:val="-4"/>
          <w:sz w:val="18"/>
        </w:rPr>
        <w:t>to</w:t>
      </w:r>
      <w:r>
        <w:rPr>
          <w:color w:val="231F20"/>
          <w:spacing w:val="-9"/>
          <w:sz w:val="18"/>
        </w:rPr>
        <w:t xml:space="preserve"> </w:t>
      </w:r>
      <w:r>
        <w:rPr>
          <w:color w:val="231F20"/>
          <w:spacing w:val="-3"/>
          <w:sz w:val="18"/>
        </w:rPr>
        <w:t>be</w:t>
      </w:r>
      <w:r>
        <w:rPr>
          <w:color w:val="231F20"/>
          <w:spacing w:val="-15"/>
          <w:sz w:val="18"/>
        </w:rPr>
        <w:t xml:space="preserve"> </w:t>
      </w:r>
      <w:r>
        <w:rPr>
          <w:color w:val="231F20"/>
          <w:spacing w:val="-8"/>
          <w:sz w:val="18"/>
        </w:rPr>
        <w:t>Tried)</w:t>
      </w:r>
      <w:r>
        <w:rPr>
          <w:color w:val="231F20"/>
          <w:spacing w:val="-15"/>
          <w:sz w:val="18"/>
        </w:rPr>
        <w:t xml:space="preserve"> </w:t>
      </w:r>
      <w:r>
        <w:rPr>
          <w:color w:val="231F20"/>
          <w:spacing w:val="-5"/>
          <w:sz w:val="18"/>
        </w:rPr>
        <w:t>Act</w:t>
      </w:r>
      <w:r>
        <w:rPr>
          <w:color w:val="231F20"/>
          <w:spacing w:val="-9"/>
          <w:sz w:val="18"/>
        </w:rPr>
        <w:t xml:space="preserve"> </w:t>
      </w:r>
      <w:r>
        <w:rPr>
          <w:color w:val="231F20"/>
          <w:spacing w:val="-5"/>
          <w:sz w:val="18"/>
        </w:rPr>
        <w:t>1997</w:t>
      </w:r>
      <w:r>
        <w:rPr>
          <w:color w:val="231F20"/>
          <w:spacing w:val="-9"/>
          <w:sz w:val="18"/>
        </w:rPr>
        <w:t xml:space="preserve"> </w:t>
      </w:r>
      <w:r>
        <w:rPr>
          <w:color w:val="231F20"/>
          <w:spacing w:val="-7"/>
          <w:sz w:val="18"/>
        </w:rPr>
        <w:t>(2014)</w:t>
      </w:r>
    </w:p>
    <w:p w14:paraId="30B75942" w14:textId="77777777" w:rsidR="00894070" w:rsidRDefault="009B7AFD">
      <w:pPr>
        <w:pStyle w:val="ListParagraph"/>
        <w:numPr>
          <w:ilvl w:val="0"/>
          <w:numId w:val="2"/>
        </w:numPr>
        <w:tabs>
          <w:tab w:val="left" w:pos="511"/>
        </w:tabs>
        <w:spacing w:before="48"/>
        <w:ind w:left="510" w:hanging="400"/>
        <w:jc w:val="left"/>
        <w:rPr>
          <w:sz w:val="18"/>
        </w:rPr>
      </w:pPr>
      <w:r>
        <w:rPr>
          <w:color w:val="231F20"/>
          <w:spacing w:val="-4"/>
          <w:sz w:val="18"/>
        </w:rPr>
        <w:t xml:space="preserve">The </w:t>
      </w:r>
      <w:r>
        <w:rPr>
          <w:color w:val="231F20"/>
          <w:spacing w:val="-7"/>
          <w:sz w:val="18"/>
        </w:rPr>
        <w:t xml:space="preserve">Forfeiture </w:t>
      </w:r>
      <w:r>
        <w:rPr>
          <w:color w:val="231F20"/>
          <w:spacing w:val="-5"/>
          <w:sz w:val="18"/>
        </w:rPr>
        <w:t>Rule</w:t>
      </w:r>
      <w:r>
        <w:rPr>
          <w:color w:val="231F20"/>
          <w:spacing w:val="-21"/>
          <w:sz w:val="18"/>
        </w:rPr>
        <w:t xml:space="preserve"> </w:t>
      </w:r>
      <w:r>
        <w:rPr>
          <w:color w:val="231F20"/>
          <w:spacing w:val="-7"/>
          <w:sz w:val="18"/>
        </w:rPr>
        <w:t>(2014)</w:t>
      </w:r>
    </w:p>
    <w:p w14:paraId="04E805DB" w14:textId="77777777" w:rsidR="00894070" w:rsidRDefault="009B7AFD">
      <w:pPr>
        <w:pStyle w:val="ListParagraph"/>
        <w:numPr>
          <w:ilvl w:val="0"/>
          <w:numId w:val="2"/>
        </w:numPr>
        <w:tabs>
          <w:tab w:val="left" w:pos="511"/>
        </w:tabs>
        <w:spacing w:before="46"/>
        <w:ind w:left="510" w:hanging="400"/>
        <w:jc w:val="left"/>
        <w:rPr>
          <w:sz w:val="18"/>
        </w:rPr>
      </w:pPr>
      <w:r>
        <w:rPr>
          <w:color w:val="231F20"/>
          <w:spacing w:val="-8"/>
          <w:sz w:val="18"/>
        </w:rPr>
        <w:t xml:space="preserve">Trading </w:t>
      </w:r>
      <w:r>
        <w:rPr>
          <w:color w:val="231F20"/>
          <w:spacing w:val="-7"/>
          <w:sz w:val="18"/>
        </w:rPr>
        <w:t xml:space="preserve">Trusts—Oppression </w:t>
      </w:r>
      <w:r>
        <w:rPr>
          <w:color w:val="231F20"/>
          <w:spacing w:val="-6"/>
          <w:sz w:val="18"/>
        </w:rPr>
        <w:t>Remedies</w:t>
      </w:r>
      <w:r>
        <w:rPr>
          <w:color w:val="231F20"/>
          <w:spacing w:val="-16"/>
          <w:sz w:val="18"/>
        </w:rPr>
        <w:t xml:space="preserve"> </w:t>
      </w:r>
      <w:r>
        <w:rPr>
          <w:color w:val="231F20"/>
          <w:spacing w:val="-6"/>
          <w:sz w:val="18"/>
        </w:rPr>
        <w:t>(2015)</w:t>
      </w:r>
    </w:p>
    <w:p w14:paraId="543563F8" w14:textId="77777777" w:rsidR="00894070" w:rsidRDefault="009B7AFD">
      <w:pPr>
        <w:pStyle w:val="ListParagraph"/>
        <w:numPr>
          <w:ilvl w:val="0"/>
          <w:numId w:val="2"/>
        </w:numPr>
        <w:tabs>
          <w:tab w:val="left" w:pos="511"/>
        </w:tabs>
        <w:spacing w:before="54" w:line="230" w:lineRule="auto"/>
        <w:ind w:left="510" w:right="147" w:hanging="349"/>
        <w:jc w:val="left"/>
        <w:rPr>
          <w:sz w:val="18"/>
        </w:rPr>
      </w:pPr>
      <w:r>
        <w:rPr>
          <w:color w:val="231F20"/>
          <w:spacing w:val="-6"/>
          <w:sz w:val="18"/>
        </w:rPr>
        <w:t xml:space="preserve">Photographing </w:t>
      </w:r>
      <w:r>
        <w:rPr>
          <w:color w:val="231F20"/>
          <w:spacing w:val="-4"/>
          <w:sz w:val="18"/>
        </w:rPr>
        <w:t xml:space="preserve">and </w:t>
      </w:r>
      <w:r>
        <w:rPr>
          <w:color w:val="231F20"/>
          <w:spacing w:val="-6"/>
          <w:sz w:val="18"/>
        </w:rPr>
        <w:t xml:space="preserve">Filming </w:t>
      </w:r>
      <w:r>
        <w:rPr>
          <w:color w:val="231F20"/>
          <w:spacing w:val="-9"/>
          <w:sz w:val="18"/>
        </w:rPr>
        <w:t xml:space="preserve">Tenants’ </w:t>
      </w:r>
      <w:r>
        <w:rPr>
          <w:color w:val="231F20"/>
          <w:spacing w:val="-6"/>
          <w:sz w:val="18"/>
        </w:rPr>
        <w:t xml:space="preserve">Possessions </w:t>
      </w:r>
      <w:r>
        <w:rPr>
          <w:color w:val="231F20"/>
          <w:spacing w:val="-5"/>
          <w:sz w:val="18"/>
        </w:rPr>
        <w:t xml:space="preserve">for </w:t>
      </w:r>
      <w:r>
        <w:rPr>
          <w:color w:val="231F20"/>
          <w:spacing w:val="-6"/>
          <w:sz w:val="18"/>
        </w:rPr>
        <w:t>Advertising Purposes</w:t>
      </w:r>
      <w:r>
        <w:rPr>
          <w:color w:val="231F20"/>
          <w:spacing w:val="-21"/>
          <w:sz w:val="18"/>
        </w:rPr>
        <w:t xml:space="preserve"> </w:t>
      </w:r>
      <w:r>
        <w:rPr>
          <w:color w:val="231F20"/>
          <w:spacing w:val="-6"/>
          <w:sz w:val="18"/>
        </w:rPr>
        <w:t>(2015)*</w:t>
      </w:r>
    </w:p>
    <w:p w14:paraId="1F4910E4" w14:textId="77777777" w:rsidR="00894070" w:rsidRDefault="009B7AFD">
      <w:pPr>
        <w:pStyle w:val="ListParagraph"/>
        <w:numPr>
          <w:ilvl w:val="0"/>
          <w:numId w:val="2"/>
        </w:numPr>
        <w:tabs>
          <w:tab w:val="left" w:pos="511"/>
        </w:tabs>
        <w:spacing w:before="47"/>
        <w:ind w:left="510" w:hanging="378"/>
        <w:jc w:val="left"/>
        <w:rPr>
          <w:sz w:val="18"/>
        </w:rPr>
      </w:pPr>
      <w:r>
        <w:rPr>
          <w:color w:val="231F20"/>
          <w:spacing w:val="-6"/>
          <w:sz w:val="18"/>
        </w:rPr>
        <w:t>Medicinal Cannabis</w:t>
      </w:r>
      <w:r>
        <w:rPr>
          <w:color w:val="231F20"/>
          <w:spacing w:val="-21"/>
          <w:sz w:val="18"/>
        </w:rPr>
        <w:t xml:space="preserve"> </w:t>
      </w:r>
      <w:r>
        <w:rPr>
          <w:color w:val="231F20"/>
          <w:spacing w:val="-6"/>
          <w:sz w:val="18"/>
        </w:rPr>
        <w:t>(2015)</w:t>
      </w:r>
    </w:p>
    <w:p w14:paraId="5119AE9A" w14:textId="77777777" w:rsidR="00894070" w:rsidRDefault="009B7AFD">
      <w:pPr>
        <w:pStyle w:val="ListParagraph"/>
        <w:numPr>
          <w:ilvl w:val="0"/>
          <w:numId w:val="2"/>
        </w:numPr>
        <w:tabs>
          <w:tab w:val="left" w:pos="511"/>
        </w:tabs>
        <w:spacing w:before="54" w:line="230" w:lineRule="auto"/>
        <w:ind w:left="510" w:right="116" w:hanging="379"/>
        <w:jc w:val="left"/>
        <w:rPr>
          <w:sz w:val="18"/>
        </w:rPr>
      </w:pPr>
      <w:r>
        <w:rPr>
          <w:color w:val="231F20"/>
          <w:spacing w:val="-5"/>
          <w:sz w:val="18"/>
        </w:rPr>
        <w:t>Use</w:t>
      </w:r>
      <w:r>
        <w:rPr>
          <w:color w:val="231F20"/>
          <w:spacing w:val="-11"/>
          <w:sz w:val="18"/>
        </w:rPr>
        <w:t xml:space="preserve"> </w:t>
      </w:r>
      <w:r>
        <w:rPr>
          <w:color w:val="231F20"/>
          <w:spacing w:val="-4"/>
          <w:sz w:val="18"/>
        </w:rPr>
        <w:t>of</w:t>
      </w:r>
      <w:r>
        <w:rPr>
          <w:color w:val="231F20"/>
          <w:spacing w:val="-15"/>
          <w:sz w:val="18"/>
        </w:rPr>
        <w:t xml:space="preserve"> </w:t>
      </w:r>
      <w:r>
        <w:rPr>
          <w:color w:val="231F20"/>
          <w:spacing w:val="-6"/>
          <w:sz w:val="18"/>
        </w:rPr>
        <w:t>Regulatory</w:t>
      </w:r>
      <w:r>
        <w:rPr>
          <w:color w:val="231F20"/>
          <w:spacing w:val="-16"/>
          <w:sz w:val="18"/>
        </w:rPr>
        <w:t xml:space="preserve"> </w:t>
      </w:r>
      <w:r>
        <w:rPr>
          <w:color w:val="231F20"/>
          <w:spacing w:val="-6"/>
          <w:sz w:val="18"/>
        </w:rPr>
        <w:t>Regimes</w:t>
      </w:r>
      <w:r>
        <w:rPr>
          <w:color w:val="231F20"/>
          <w:spacing w:val="-11"/>
          <w:sz w:val="18"/>
        </w:rPr>
        <w:t xml:space="preserve"> </w:t>
      </w:r>
      <w:r>
        <w:rPr>
          <w:color w:val="231F20"/>
          <w:spacing w:val="-3"/>
          <w:sz w:val="18"/>
        </w:rPr>
        <w:t>in</w:t>
      </w:r>
      <w:r>
        <w:rPr>
          <w:color w:val="231F20"/>
          <w:spacing w:val="-11"/>
          <w:sz w:val="18"/>
        </w:rPr>
        <w:t xml:space="preserve"> </w:t>
      </w:r>
      <w:r>
        <w:rPr>
          <w:color w:val="231F20"/>
          <w:spacing w:val="-7"/>
          <w:sz w:val="18"/>
        </w:rPr>
        <w:t>Preventing</w:t>
      </w:r>
      <w:r>
        <w:rPr>
          <w:color w:val="231F20"/>
          <w:spacing w:val="-11"/>
          <w:sz w:val="18"/>
        </w:rPr>
        <w:t xml:space="preserve"> </w:t>
      </w:r>
      <w:r>
        <w:rPr>
          <w:color w:val="231F20"/>
          <w:spacing w:val="-6"/>
          <w:sz w:val="18"/>
        </w:rPr>
        <w:t xml:space="preserve">the Infiltration </w:t>
      </w:r>
      <w:r>
        <w:rPr>
          <w:color w:val="231F20"/>
          <w:spacing w:val="-4"/>
          <w:sz w:val="18"/>
        </w:rPr>
        <w:t xml:space="preserve">of </w:t>
      </w:r>
      <w:r>
        <w:rPr>
          <w:color w:val="231F20"/>
          <w:spacing w:val="-6"/>
          <w:sz w:val="18"/>
        </w:rPr>
        <w:t xml:space="preserve">Organised </w:t>
      </w:r>
      <w:r>
        <w:rPr>
          <w:color w:val="231F20"/>
          <w:spacing w:val="-5"/>
          <w:sz w:val="18"/>
        </w:rPr>
        <w:t xml:space="preserve">Crime into </w:t>
      </w:r>
      <w:r>
        <w:rPr>
          <w:color w:val="231F20"/>
          <w:spacing w:val="-7"/>
          <w:sz w:val="18"/>
        </w:rPr>
        <w:t xml:space="preserve">Lawful </w:t>
      </w:r>
      <w:r>
        <w:rPr>
          <w:color w:val="231F20"/>
          <w:spacing w:val="-6"/>
          <w:sz w:val="18"/>
        </w:rPr>
        <w:t xml:space="preserve">Occupations </w:t>
      </w:r>
      <w:r>
        <w:rPr>
          <w:color w:val="231F20"/>
          <w:spacing w:val="-4"/>
          <w:sz w:val="18"/>
        </w:rPr>
        <w:t xml:space="preserve">and </w:t>
      </w:r>
      <w:r>
        <w:rPr>
          <w:color w:val="231F20"/>
          <w:spacing w:val="-6"/>
          <w:sz w:val="18"/>
        </w:rPr>
        <w:t>Industries</w:t>
      </w:r>
      <w:r>
        <w:rPr>
          <w:color w:val="231F20"/>
          <w:spacing w:val="-21"/>
          <w:sz w:val="18"/>
        </w:rPr>
        <w:t xml:space="preserve"> </w:t>
      </w:r>
      <w:r>
        <w:rPr>
          <w:color w:val="231F20"/>
          <w:spacing w:val="-6"/>
          <w:sz w:val="18"/>
        </w:rPr>
        <w:t>(2016)</w:t>
      </w:r>
    </w:p>
    <w:p w14:paraId="614C377D" w14:textId="77777777" w:rsidR="00894070" w:rsidRDefault="009B7AFD">
      <w:pPr>
        <w:pStyle w:val="ListParagraph"/>
        <w:numPr>
          <w:ilvl w:val="0"/>
          <w:numId w:val="2"/>
        </w:numPr>
        <w:tabs>
          <w:tab w:val="left" w:pos="511"/>
        </w:tabs>
        <w:spacing w:before="55" w:line="230" w:lineRule="auto"/>
        <w:ind w:left="510" w:right="241" w:hanging="376"/>
        <w:jc w:val="left"/>
        <w:rPr>
          <w:sz w:val="18"/>
        </w:rPr>
      </w:pPr>
      <w:r>
        <w:rPr>
          <w:color w:val="231F20"/>
          <w:spacing w:val="-4"/>
          <w:sz w:val="18"/>
        </w:rPr>
        <w:t>The</w:t>
      </w:r>
      <w:r>
        <w:rPr>
          <w:color w:val="231F20"/>
          <w:spacing w:val="-11"/>
          <w:sz w:val="18"/>
        </w:rPr>
        <w:t xml:space="preserve"> </w:t>
      </w:r>
      <w:r>
        <w:rPr>
          <w:color w:val="231F20"/>
          <w:spacing w:val="-6"/>
          <w:sz w:val="18"/>
        </w:rPr>
        <w:t>Role</w:t>
      </w:r>
      <w:r>
        <w:rPr>
          <w:color w:val="231F20"/>
          <w:spacing w:val="-12"/>
          <w:sz w:val="18"/>
        </w:rPr>
        <w:t xml:space="preserve"> </w:t>
      </w:r>
      <w:r>
        <w:rPr>
          <w:color w:val="231F20"/>
          <w:spacing w:val="-4"/>
          <w:sz w:val="18"/>
        </w:rPr>
        <w:t>of</w:t>
      </w:r>
      <w:r>
        <w:rPr>
          <w:color w:val="231F20"/>
          <w:spacing w:val="-21"/>
          <w:sz w:val="18"/>
        </w:rPr>
        <w:t xml:space="preserve"> </w:t>
      </w:r>
      <w:r>
        <w:rPr>
          <w:color w:val="231F20"/>
          <w:spacing w:val="-6"/>
          <w:sz w:val="18"/>
        </w:rPr>
        <w:t>Victims</w:t>
      </w:r>
      <w:r>
        <w:rPr>
          <w:color w:val="231F20"/>
          <w:spacing w:val="-11"/>
          <w:sz w:val="18"/>
        </w:rPr>
        <w:t xml:space="preserve"> </w:t>
      </w:r>
      <w:r>
        <w:rPr>
          <w:color w:val="231F20"/>
          <w:spacing w:val="-4"/>
          <w:sz w:val="18"/>
        </w:rPr>
        <w:t>of</w:t>
      </w:r>
      <w:r>
        <w:rPr>
          <w:color w:val="231F20"/>
          <w:spacing w:val="-15"/>
          <w:sz w:val="18"/>
        </w:rPr>
        <w:t xml:space="preserve"> </w:t>
      </w:r>
      <w:r>
        <w:rPr>
          <w:color w:val="231F20"/>
          <w:spacing w:val="-5"/>
          <w:sz w:val="18"/>
        </w:rPr>
        <w:t>Crime</w:t>
      </w:r>
      <w:r>
        <w:rPr>
          <w:color w:val="231F20"/>
          <w:spacing w:val="-11"/>
          <w:sz w:val="18"/>
        </w:rPr>
        <w:t xml:space="preserve"> </w:t>
      </w:r>
      <w:r>
        <w:rPr>
          <w:color w:val="231F20"/>
          <w:spacing w:val="-3"/>
          <w:sz w:val="18"/>
        </w:rPr>
        <w:t>in</w:t>
      </w:r>
      <w:r>
        <w:rPr>
          <w:color w:val="231F20"/>
          <w:spacing w:val="-11"/>
          <w:sz w:val="18"/>
        </w:rPr>
        <w:t xml:space="preserve"> </w:t>
      </w:r>
      <w:r>
        <w:rPr>
          <w:color w:val="231F20"/>
          <w:spacing w:val="-4"/>
          <w:sz w:val="18"/>
        </w:rPr>
        <w:t>the</w:t>
      </w:r>
      <w:r>
        <w:rPr>
          <w:color w:val="231F20"/>
          <w:spacing w:val="-11"/>
          <w:sz w:val="18"/>
        </w:rPr>
        <w:t xml:space="preserve"> </w:t>
      </w:r>
      <w:r>
        <w:rPr>
          <w:color w:val="231F20"/>
          <w:spacing w:val="-6"/>
          <w:sz w:val="18"/>
        </w:rPr>
        <w:t xml:space="preserve">Criminal </w:t>
      </w:r>
      <w:r>
        <w:rPr>
          <w:color w:val="231F20"/>
          <w:spacing w:val="-8"/>
          <w:sz w:val="18"/>
        </w:rPr>
        <w:t xml:space="preserve">Trial </w:t>
      </w:r>
      <w:r>
        <w:rPr>
          <w:color w:val="231F20"/>
          <w:spacing w:val="-6"/>
          <w:sz w:val="18"/>
        </w:rPr>
        <w:t>Process</w:t>
      </w:r>
      <w:r>
        <w:rPr>
          <w:color w:val="231F20"/>
          <w:spacing w:val="-20"/>
          <w:sz w:val="18"/>
        </w:rPr>
        <w:t xml:space="preserve"> </w:t>
      </w:r>
      <w:r>
        <w:rPr>
          <w:color w:val="231F20"/>
          <w:spacing w:val="-6"/>
          <w:sz w:val="18"/>
        </w:rPr>
        <w:t>(2016)</w:t>
      </w:r>
    </w:p>
    <w:p w14:paraId="43F9A5AE" w14:textId="77777777" w:rsidR="00894070" w:rsidRDefault="009B7AFD">
      <w:pPr>
        <w:pStyle w:val="ListParagraph"/>
        <w:numPr>
          <w:ilvl w:val="0"/>
          <w:numId w:val="2"/>
        </w:numPr>
        <w:tabs>
          <w:tab w:val="left" w:pos="511"/>
        </w:tabs>
        <w:spacing w:before="46"/>
        <w:ind w:left="510" w:hanging="374"/>
        <w:jc w:val="left"/>
        <w:rPr>
          <w:sz w:val="18"/>
        </w:rPr>
      </w:pPr>
      <w:r>
        <w:rPr>
          <w:color w:val="231F20"/>
          <w:spacing w:val="-6"/>
          <w:sz w:val="18"/>
        </w:rPr>
        <w:t>Funeral</w:t>
      </w:r>
      <w:r>
        <w:rPr>
          <w:color w:val="231F20"/>
          <w:spacing w:val="-17"/>
          <w:sz w:val="18"/>
        </w:rPr>
        <w:t xml:space="preserve"> </w:t>
      </w:r>
      <w:r>
        <w:rPr>
          <w:color w:val="231F20"/>
          <w:spacing w:val="-4"/>
          <w:sz w:val="18"/>
        </w:rPr>
        <w:t>and</w:t>
      </w:r>
      <w:r>
        <w:rPr>
          <w:color w:val="231F20"/>
          <w:spacing w:val="-10"/>
          <w:sz w:val="18"/>
        </w:rPr>
        <w:t xml:space="preserve"> </w:t>
      </w:r>
      <w:r>
        <w:rPr>
          <w:color w:val="231F20"/>
          <w:spacing w:val="-5"/>
          <w:sz w:val="18"/>
        </w:rPr>
        <w:t>Burial</w:t>
      </w:r>
      <w:r>
        <w:rPr>
          <w:color w:val="231F20"/>
          <w:spacing w:val="-17"/>
          <w:sz w:val="18"/>
        </w:rPr>
        <w:t xml:space="preserve"> </w:t>
      </w:r>
      <w:r>
        <w:rPr>
          <w:color w:val="231F20"/>
          <w:spacing w:val="-6"/>
          <w:sz w:val="18"/>
        </w:rPr>
        <w:t>Instructions</w:t>
      </w:r>
      <w:r>
        <w:rPr>
          <w:color w:val="231F20"/>
          <w:spacing w:val="-10"/>
          <w:sz w:val="18"/>
        </w:rPr>
        <w:t xml:space="preserve"> </w:t>
      </w:r>
      <w:r>
        <w:rPr>
          <w:color w:val="231F20"/>
          <w:spacing w:val="-6"/>
          <w:sz w:val="18"/>
        </w:rPr>
        <w:t>(2016)*</w:t>
      </w:r>
    </w:p>
    <w:p w14:paraId="5B55D3EF" w14:textId="77777777" w:rsidR="00894070" w:rsidRDefault="009B7AFD">
      <w:pPr>
        <w:pStyle w:val="ListParagraph"/>
        <w:numPr>
          <w:ilvl w:val="0"/>
          <w:numId w:val="2"/>
        </w:numPr>
        <w:tabs>
          <w:tab w:val="left" w:pos="511"/>
        </w:tabs>
        <w:spacing w:before="46"/>
        <w:ind w:left="510" w:hanging="382"/>
        <w:jc w:val="left"/>
        <w:rPr>
          <w:sz w:val="18"/>
        </w:rPr>
      </w:pPr>
      <w:r>
        <w:rPr>
          <w:color w:val="231F20"/>
          <w:spacing w:val="-7"/>
          <w:sz w:val="18"/>
        </w:rPr>
        <w:t xml:space="preserve">Review </w:t>
      </w:r>
      <w:r>
        <w:rPr>
          <w:color w:val="231F20"/>
          <w:spacing w:val="-4"/>
          <w:sz w:val="18"/>
        </w:rPr>
        <w:t>of the</w:t>
      </w:r>
      <w:r>
        <w:rPr>
          <w:color w:val="231F20"/>
          <w:spacing w:val="-36"/>
          <w:sz w:val="18"/>
        </w:rPr>
        <w:t xml:space="preserve"> </w:t>
      </w:r>
      <w:r>
        <w:rPr>
          <w:color w:val="231F20"/>
          <w:spacing w:val="-6"/>
          <w:sz w:val="18"/>
        </w:rPr>
        <w:t xml:space="preserve">Adoption </w:t>
      </w:r>
      <w:r>
        <w:rPr>
          <w:color w:val="231F20"/>
          <w:spacing w:val="-5"/>
          <w:sz w:val="18"/>
        </w:rPr>
        <w:t>Act 1984 (2017)</w:t>
      </w:r>
    </w:p>
    <w:p w14:paraId="06B05BDB" w14:textId="77777777" w:rsidR="00894070" w:rsidRDefault="009B7AFD">
      <w:pPr>
        <w:pStyle w:val="ListParagraph"/>
        <w:numPr>
          <w:ilvl w:val="0"/>
          <w:numId w:val="2"/>
        </w:numPr>
        <w:tabs>
          <w:tab w:val="left" w:pos="511"/>
        </w:tabs>
        <w:spacing w:before="55" w:line="230" w:lineRule="auto"/>
        <w:ind w:left="510" w:right="701" w:hanging="368"/>
        <w:jc w:val="left"/>
        <w:rPr>
          <w:sz w:val="18"/>
        </w:rPr>
      </w:pPr>
      <w:r>
        <w:rPr>
          <w:color w:val="231F20"/>
          <w:spacing w:val="-6"/>
          <w:sz w:val="18"/>
        </w:rPr>
        <w:t xml:space="preserve">Access </w:t>
      </w:r>
      <w:r>
        <w:rPr>
          <w:color w:val="231F20"/>
          <w:spacing w:val="-4"/>
          <w:sz w:val="18"/>
        </w:rPr>
        <w:t xml:space="preserve">to </w:t>
      </w:r>
      <w:r>
        <w:rPr>
          <w:color w:val="231F20"/>
          <w:spacing w:val="-6"/>
          <w:sz w:val="18"/>
        </w:rPr>
        <w:t xml:space="preserve">Justice—Litigation </w:t>
      </w:r>
      <w:r>
        <w:rPr>
          <w:color w:val="231F20"/>
          <w:spacing w:val="-7"/>
          <w:sz w:val="18"/>
        </w:rPr>
        <w:t xml:space="preserve">Funding </w:t>
      </w:r>
      <w:r>
        <w:rPr>
          <w:color w:val="231F20"/>
          <w:spacing w:val="-4"/>
          <w:sz w:val="18"/>
        </w:rPr>
        <w:t xml:space="preserve">and </w:t>
      </w:r>
      <w:r>
        <w:rPr>
          <w:color w:val="231F20"/>
          <w:spacing w:val="-6"/>
          <w:sz w:val="18"/>
        </w:rPr>
        <w:t>Group Proceedings</w:t>
      </w:r>
      <w:r>
        <w:rPr>
          <w:color w:val="231F20"/>
          <w:spacing w:val="-21"/>
          <w:sz w:val="18"/>
        </w:rPr>
        <w:t xml:space="preserve"> </w:t>
      </w:r>
      <w:r>
        <w:rPr>
          <w:color w:val="231F20"/>
          <w:spacing w:val="-6"/>
          <w:sz w:val="18"/>
        </w:rPr>
        <w:t>(2018)</w:t>
      </w:r>
    </w:p>
    <w:p w14:paraId="36C0A6D8" w14:textId="77777777" w:rsidR="00894070" w:rsidRDefault="009B7AFD">
      <w:pPr>
        <w:pStyle w:val="ListParagraph"/>
        <w:numPr>
          <w:ilvl w:val="0"/>
          <w:numId w:val="2"/>
        </w:numPr>
        <w:tabs>
          <w:tab w:val="left" w:pos="511"/>
        </w:tabs>
        <w:spacing w:before="55" w:line="230" w:lineRule="auto"/>
        <w:ind w:left="510" w:right="355" w:hanging="381"/>
        <w:jc w:val="left"/>
        <w:rPr>
          <w:sz w:val="18"/>
        </w:rPr>
      </w:pPr>
      <w:r>
        <w:rPr>
          <w:color w:val="231F20"/>
          <w:spacing w:val="-7"/>
          <w:sz w:val="18"/>
        </w:rPr>
        <w:t>Review</w:t>
      </w:r>
      <w:r>
        <w:rPr>
          <w:color w:val="231F20"/>
          <w:spacing w:val="-16"/>
          <w:sz w:val="18"/>
        </w:rPr>
        <w:t xml:space="preserve"> </w:t>
      </w:r>
      <w:r>
        <w:rPr>
          <w:color w:val="231F20"/>
          <w:spacing w:val="-4"/>
          <w:sz w:val="18"/>
        </w:rPr>
        <w:t>of</w:t>
      </w:r>
      <w:r>
        <w:rPr>
          <w:color w:val="231F20"/>
          <w:spacing w:val="-14"/>
          <w:sz w:val="18"/>
        </w:rPr>
        <w:t xml:space="preserve"> </w:t>
      </w:r>
      <w:r>
        <w:rPr>
          <w:color w:val="231F20"/>
          <w:spacing w:val="-4"/>
          <w:sz w:val="18"/>
        </w:rPr>
        <w:t>the</w:t>
      </w:r>
      <w:r>
        <w:rPr>
          <w:color w:val="231F20"/>
          <w:spacing w:val="-17"/>
          <w:sz w:val="18"/>
        </w:rPr>
        <w:t xml:space="preserve"> </w:t>
      </w:r>
      <w:r>
        <w:rPr>
          <w:color w:val="231F20"/>
          <w:spacing w:val="-6"/>
          <w:sz w:val="18"/>
        </w:rPr>
        <w:t>Victims</w:t>
      </w:r>
      <w:r>
        <w:rPr>
          <w:color w:val="231F20"/>
          <w:spacing w:val="-10"/>
          <w:sz w:val="18"/>
        </w:rPr>
        <w:t xml:space="preserve"> </w:t>
      </w:r>
      <w:r>
        <w:rPr>
          <w:color w:val="231F20"/>
          <w:spacing w:val="-4"/>
          <w:sz w:val="18"/>
        </w:rPr>
        <w:t>of</w:t>
      </w:r>
      <w:r>
        <w:rPr>
          <w:color w:val="231F20"/>
          <w:spacing w:val="-14"/>
          <w:sz w:val="18"/>
        </w:rPr>
        <w:t xml:space="preserve"> </w:t>
      </w:r>
      <w:r>
        <w:rPr>
          <w:color w:val="231F20"/>
          <w:spacing w:val="-5"/>
          <w:sz w:val="18"/>
        </w:rPr>
        <w:t>Crime</w:t>
      </w:r>
      <w:r>
        <w:rPr>
          <w:color w:val="231F20"/>
          <w:spacing w:val="-16"/>
          <w:sz w:val="18"/>
        </w:rPr>
        <w:t xml:space="preserve"> </w:t>
      </w:r>
      <w:r>
        <w:rPr>
          <w:color w:val="231F20"/>
          <w:spacing w:val="-6"/>
          <w:sz w:val="18"/>
        </w:rPr>
        <w:t xml:space="preserve">Assistance </w:t>
      </w:r>
      <w:r>
        <w:rPr>
          <w:color w:val="231F20"/>
          <w:spacing w:val="-5"/>
          <w:sz w:val="18"/>
        </w:rPr>
        <w:t>Act 1996</w:t>
      </w:r>
      <w:r>
        <w:rPr>
          <w:color w:val="231F20"/>
          <w:spacing w:val="-17"/>
          <w:sz w:val="18"/>
        </w:rPr>
        <w:t xml:space="preserve"> </w:t>
      </w:r>
      <w:r>
        <w:rPr>
          <w:color w:val="231F20"/>
          <w:spacing w:val="-6"/>
          <w:sz w:val="18"/>
        </w:rPr>
        <w:t>(2018)</w:t>
      </w:r>
    </w:p>
    <w:p w14:paraId="17CD6E7C" w14:textId="77777777" w:rsidR="00894070" w:rsidRDefault="009B7AFD">
      <w:pPr>
        <w:pStyle w:val="ListParagraph"/>
        <w:numPr>
          <w:ilvl w:val="0"/>
          <w:numId w:val="2"/>
        </w:numPr>
        <w:tabs>
          <w:tab w:val="left" w:pos="511"/>
        </w:tabs>
        <w:spacing w:before="47"/>
        <w:ind w:left="510" w:hanging="382"/>
        <w:jc w:val="left"/>
        <w:rPr>
          <w:sz w:val="18"/>
        </w:rPr>
      </w:pPr>
      <w:r>
        <w:rPr>
          <w:color w:val="231F20"/>
          <w:spacing w:val="-6"/>
          <w:sz w:val="18"/>
        </w:rPr>
        <w:t xml:space="preserve">Neighbourhood </w:t>
      </w:r>
      <w:r>
        <w:rPr>
          <w:color w:val="231F20"/>
          <w:spacing w:val="-10"/>
          <w:sz w:val="18"/>
        </w:rPr>
        <w:t xml:space="preserve">Tree </w:t>
      </w:r>
      <w:r>
        <w:rPr>
          <w:color w:val="231F20"/>
          <w:spacing w:val="-6"/>
          <w:sz w:val="18"/>
        </w:rPr>
        <w:t>Disputes</w:t>
      </w:r>
      <w:r>
        <w:rPr>
          <w:color w:val="231F20"/>
          <w:spacing w:val="-20"/>
          <w:sz w:val="18"/>
        </w:rPr>
        <w:t xml:space="preserve"> </w:t>
      </w:r>
      <w:r>
        <w:rPr>
          <w:color w:val="231F20"/>
          <w:spacing w:val="-7"/>
          <w:sz w:val="18"/>
        </w:rPr>
        <w:t>(2019)*</w:t>
      </w:r>
    </w:p>
    <w:p w14:paraId="3F143F7F" w14:textId="77777777" w:rsidR="00894070" w:rsidRDefault="009B7AFD">
      <w:pPr>
        <w:pStyle w:val="ListParagraph"/>
        <w:numPr>
          <w:ilvl w:val="0"/>
          <w:numId w:val="2"/>
        </w:numPr>
        <w:tabs>
          <w:tab w:val="left" w:pos="511"/>
        </w:tabs>
        <w:spacing w:before="46"/>
        <w:ind w:left="510" w:hanging="394"/>
        <w:jc w:val="left"/>
        <w:rPr>
          <w:sz w:val="18"/>
        </w:rPr>
      </w:pPr>
      <w:r>
        <w:rPr>
          <w:color w:val="231F20"/>
          <w:spacing w:val="-6"/>
          <w:sz w:val="18"/>
        </w:rPr>
        <w:t xml:space="preserve">Contempt </w:t>
      </w:r>
      <w:r>
        <w:rPr>
          <w:color w:val="231F20"/>
          <w:spacing w:val="-4"/>
          <w:sz w:val="18"/>
        </w:rPr>
        <w:t xml:space="preserve">of </w:t>
      </w:r>
      <w:r>
        <w:rPr>
          <w:color w:val="231F20"/>
          <w:spacing w:val="-5"/>
          <w:sz w:val="18"/>
        </w:rPr>
        <w:t>Court</w:t>
      </w:r>
      <w:r>
        <w:rPr>
          <w:color w:val="231F20"/>
          <w:spacing w:val="-25"/>
          <w:sz w:val="18"/>
        </w:rPr>
        <w:t xml:space="preserve"> </w:t>
      </w:r>
      <w:r>
        <w:rPr>
          <w:color w:val="231F20"/>
          <w:spacing w:val="-6"/>
          <w:sz w:val="18"/>
        </w:rPr>
        <w:t>(2020)</w:t>
      </w:r>
    </w:p>
    <w:p w14:paraId="06D4CAAD" w14:textId="77777777" w:rsidR="00894070" w:rsidRDefault="009B7AFD">
      <w:pPr>
        <w:pStyle w:val="ListParagraph"/>
        <w:numPr>
          <w:ilvl w:val="0"/>
          <w:numId w:val="2"/>
        </w:numPr>
        <w:tabs>
          <w:tab w:val="left" w:pos="511"/>
        </w:tabs>
        <w:spacing w:before="46"/>
        <w:ind w:left="510" w:hanging="346"/>
        <w:jc w:val="left"/>
        <w:rPr>
          <w:sz w:val="18"/>
        </w:rPr>
      </w:pPr>
      <w:r>
        <w:rPr>
          <w:color w:val="231F20"/>
          <w:spacing w:val="-6"/>
          <w:w w:val="105"/>
          <w:sz w:val="18"/>
        </w:rPr>
        <w:t>Committals</w:t>
      </w:r>
      <w:r>
        <w:rPr>
          <w:color w:val="231F20"/>
          <w:spacing w:val="-14"/>
          <w:w w:val="105"/>
          <w:sz w:val="18"/>
        </w:rPr>
        <w:t xml:space="preserve"> </w:t>
      </w:r>
      <w:r>
        <w:rPr>
          <w:color w:val="231F20"/>
          <w:spacing w:val="-6"/>
          <w:w w:val="105"/>
          <w:sz w:val="18"/>
        </w:rPr>
        <w:t>(2020)</w:t>
      </w:r>
    </w:p>
    <w:p w14:paraId="2C6FF2AA" w14:textId="77777777" w:rsidR="00894070" w:rsidRDefault="009B7AFD">
      <w:pPr>
        <w:pStyle w:val="ListParagraph"/>
        <w:numPr>
          <w:ilvl w:val="0"/>
          <w:numId w:val="2"/>
        </w:numPr>
        <w:tabs>
          <w:tab w:val="left" w:pos="511"/>
        </w:tabs>
        <w:spacing w:before="54" w:line="230" w:lineRule="auto"/>
        <w:ind w:left="510" w:right="479" w:hanging="376"/>
        <w:jc w:val="left"/>
        <w:rPr>
          <w:sz w:val="18"/>
        </w:rPr>
      </w:pPr>
      <w:r>
        <w:rPr>
          <w:color w:val="231F20"/>
          <w:spacing w:val="-6"/>
          <w:sz w:val="18"/>
        </w:rPr>
        <w:t xml:space="preserve">Improving </w:t>
      </w:r>
      <w:r>
        <w:rPr>
          <w:color w:val="231F20"/>
          <w:spacing w:val="-4"/>
          <w:sz w:val="18"/>
        </w:rPr>
        <w:t xml:space="preserve">the </w:t>
      </w:r>
      <w:r>
        <w:rPr>
          <w:color w:val="231F20"/>
          <w:spacing w:val="-6"/>
          <w:sz w:val="18"/>
        </w:rPr>
        <w:t>Justice System</w:t>
      </w:r>
      <w:r>
        <w:rPr>
          <w:color w:val="231F20"/>
          <w:spacing w:val="-36"/>
          <w:sz w:val="18"/>
        </w:rPr>
        <w:t xml:space="preserve"> </w:t>
      </w:r>
      <w:r>
        <w:rPr>
          <w:color w:val="231F20"/>
          <w:spacing w:val="-7"/>
          <w:sz w:val="18"/>
        </w:rPr>
        <w:t xml:space="preserve">Response </w:t>
      </w:r>
      <w:r>
        <w:rPr>
          <w:color w:val="231F20"/>
          <w:spacing w:val="-4"/>
          <w:sz w:val="18"/>
        </w:rPr>
        <w:t xml:space="preserve">to </w:t>
      </w:r>
      <w:r>
        <w:rPr>
          <w:color w:val="231F20"/>
          <w:spacing w:val="-6"/>
          <w:sz w:val="18"/>
        </w:rPr>
        <w:t xml:space="preserve">Sexual </w:t>
      </w:r>
      <w:r>
        <w:rPr>
          <w:color w:val="231F20"/>
          <w:spacing w:val="-5"/>
          <w:sz w:val="18"/>
        </w:rPr>
        <w:t>Offences</w:t>
      </w:r>
      <w:r>
        <w:rPr>
          <w:color w:val="231F20"/>
          <w:spacing w:val="-28"/>
          <w:sz w:val="18"/>
        </w:rPr>
        <w:t xml:space="preserve"> </w:t>
      </w:r>
      <w:r>
        <w:rPr>
          <w:color w:val="231F20"/>
          <w:spacing w:val="-6"/>
          <w:sz w:val="18"/>
        </w:rPr>
        <w:t>(2021)</w:t>
      </w:r>
    </w:p>
    <w:p w14:paraId="5DBD36DA" w14:textId="77777777" w:rsidR="00894070" w:rsidRDefault="009B7AFD">
      <w:pPr>
        <w:pStyle w:val="ListParagraph"/>
        <w:numPr>
          <w:ilvl w:val="0"/>
          <w:numId w:val="2"/>
        </w:numPr>
        <w:tabs>
          <w:tab w:val="left" w:pos="511"/>
        </w:tabs>
        <w:spacing w:before="55" w:line="230" w:lineRule="auto"/>
        <w:ind w:left="510" w:right="498" w:hanging="400"/>
        <w:jc w:val="left"/>
        <w:rPr>
          <w:sz w:val="18"/>
        </w:rPr>
      </w:pPr>
      <w:r>
        <w:rPr>
          <w:color w:val="231F20"/>
          <w:spacing w:val="-4"/>
          <w:sz w:val="18"/>
        </w:rPr>
        <w:t>The</w:t>
      </w:r>
      <w:r>
        <w:rPr>
          <w:color w:val="231F20"/>
          <w:spacing w:val="-17"/>
          <w:sz w:val="18"/>
        </w:rPr>
        <w:t xml:space="preserve"> </w:t>
      </w:r>
      <w:r>
        <w:rPr>
          <w:color w:val="231F20"/>
          <w:spacing w:val="-6"/>
          <w:sz w:val="18"/>
        </w:rPr>
        <w:t>Justice</w:t>
      </w:r>
      <w:r>
        <w:rPr>
          <w:color w:val="231F20"/>
          <w:spacing w:val="-11"/>
          <w:sz w:val="18"/>
        </w:rPr>
        <w:t xml:space="preserve"> </w:t>
      </w:r>
      <w:r>
        <w:rPr>
          <w:color w:val="231F20"/>
          <w:spacing w:val="-6"/>
          <w:sz w:val="18"/>
        </w:rPr>
        <w:t>System</w:t>
      </w:r>
      <w:r>
        <w:rPr>
          <w:color w:val="231F20"/>
          <w:spacing w:val="-11"/>
          <w:sz w:val="18"/>
        </w:rPr>
        <w:t xml:space="preserve"> </w:t>
      </w:r>
      <w:r>
        <w:rPr>
          <w:color w:val="231F20"/>
          <w:spacing w:val="-6"/>
          <w:sz w:val="18"/>
        </w:rPr>
        <w:t>Response</w:t>
      </w:r>
      <w:r>
        <w:rPr>
          <w:color w:val="231F20"/>
          <w:spacing w:val="-11"/>
          <w:sz w:val="18"/>
        </w:rPr>
        <w:t xml:space="preserve"> </w:t>
      </w:r>
      <w:r>
        <w:rPr>
          <w:color w:val="231F20"/>
          <w:spacing w:val="-4"/>
          <w:sz w:val="18"/>
        </w:rPr>
        <w:t>to</w:t>
      </w:r>
      <w:r>
        <w:rPr>
          <w:color w:val="231F20"/>
          <w:spacing w:val="-11"/>
          <w:sz w:val="18"/>
        </w:rPr>
        <w:t xml:space="preserve"> </w:t>
      </w:r>
      <w:r>
        <w:rPr>
          <w:color w:val="231F20"/>
          <w:spacing w:val="-7"/>
          <w:sz w:val="18"/>
        </w:rPr>
        <w:t xml:space="preserve">Sexual </w:t>
      </w:r>
      <w:r>
        <w:rPr>
          <w:color w:val="231F20"/>
          <w:spacing w:val="-6"/>
          <w:sz w:val="18"/>
        </w:rPr>
        <w:t xml:space="preserve">Offences: Supplementary Report on </w:t>
      </w:r>
      <w:r>
        <w:rPr>
          <w:color w:val="231F20"/>
          <w:spacing w:val="-5"/>
          <w:sz w:val="18"/>
        </w:rPr>
        <w:t xml:space="preserve">‘Grab </w:t>
      </w:r>
      <w:r>
        <w:rPr>
          <w:color w:val="231F20"/>
          <w:spacing w:val="-4"/>
          <w:sz w:val="18"/>
        </w:rPr>
        <w:t xml:space="preserve">and </w:t>
      </w:r>
      <w:r>
        <w:rPr>
          <w:color w:val="231F20"/>
          <w:spacing w:val="-7"/>
          <w:sz w:val="18"/>
        </w:rPr>
        <w:t xml:space="preserve">Drag’ </w:t>
      </w:r>
      <w:r>
        <w:rPr>
          <w:color w:val="231F20"/>
          <w:spacing w:val="-6"/>
          <w:sz w:val="18"/>
        </w:rPr>
        <w:t>Conduct</w:t>
      </w:r>
      <w:r>
        <w:rPr>
          <w:color w:val="231F20"/>
          <w:spacing w:val="-27"/>
          <w:sz w:val="18"/>
        </w:rPr>
        <w:t xml:space="preserve"> </w:t>
      </w:r>
      <w:r>
        <w:rPr>
          <w:color w:val="231F20"/>
          <w:spacing w:val="-6"/>
          <w:sz w:val="18"/>
        </w:rPr>
        <w:t>(2021)</w:t>
      </w:r>
    </w:p>
    <w:p w14:paraId="3EEE33E5" w14:textId="77777777" w:rsidR="00894070" w:rsidRDefault="009B7AFD">
      <w:pPr>
        <w:pStyle w:val="ListParagraph"/>
        <w:numPr>
          <w:ilvl w:val="0"/>
          <w:numId w:val="2"/>
        </w:numPr>
        <w:tabs>
          <w:tab w:val="left" w:pos="510"/>
          <w:tab w:val="left" w:pos="511"/>
        </w:tabs>
        <w:spacing w:before="46"/>
        <w:ind w:left="510" w:hanging="400"/>
        <w:jc w:val="left"/>
        <w:rPr>
          <w:sz w:val="18"/>
        </w:rPr>
      </w:pPr>
      <w:r>
        <w:rPr>
          <w:color w:val="231F20"/>
          <w:spacing w:val="-6"/>
          <w:sz w:val="18"/>
        </w:rPr>
        <w:t>Stalking: Interim Report</w:t>
      </w:r>
      <w:r>
        <w:rPr>
          <w:color w:val="231F20"/>
          <w:spacing w:val="-19"/>
          <w:sz w:val="18"/>
        </w:rPr>
        <w:t xml:space="preserve"> </w:t>
      </w:r>
      <w:r>
        <w:rPr>
          <w:color w:val="231F20"/>
          <w:spacing w:val="-6"/>
          <w:sz w:val="18"/>
        </w:rPr>
        <w:t>(2021)</w:t>
      </w:r>
    </w:p>
    <w:p w14:paraId="5349A4D8" w14:textId="77777777" w:rsidR="00894070" w:rsidRDefault="009B7AFD">
      <w:pPr>
        <w:pStyle w:val="ListParagraph"/>
        <w:numPr>
          <w:ilvl w:val="0"/>
          <w:numId w:val="2"/>
        </w:numPr>
        <w:tabs>
          <w:tab w:val="left" w:pos="510"/>
          <w:tab w:val="left" w:pos="511"/>
        </w:tabs>
        <w:spacing w:before="46"/>
        <w:ind w:left="510" w:hanging="400"/>
        <w:jc w:val="left"/>
        <w:rPr>
          <w:sz w:val="18"/>
        </w:rPr>
      </w:pPr>
      <w:r>
        <w:rPr>
          <w:color w:val="231F20"/>
          <w:spacing w:val="-6"/>
          <w:sz w:val="18"/>
        </w:rPr>
        <w:t xml:space="preserve">Stalking: </w:t>
      </w:r>
      <w:r>
        <w:rPr>
          <w:color w:val="231F20"/>
          <w:spacing w:val="-5"/>
          <w:sz w:val="18"/>
        </w:rPr>
        <w:t xml:space="preserve">Final </w:t>
      </w:r>
      <w:r>
        <w:rPr>
          <w:color w:val="231F20"/>
          <w:spacing w:val="-6"/>
          <w:sz w:val="18"/>
        </w:rPr>
        <w:t>Report</w:t>
      </w:r>
      <w:r>
        <w:rPr>
          <w:color w:val="231F20"/>
          <w:spacing w:val="-26"/>
          <w:sz w:val="18"/>
        </w:rPr>
        <w:t xml:space="preserve"> </w:t>
      </w:r>
      <w:r>
        <w:rPr>
          <w:color w:val="231F20"/>
          <w:spacing w:val="-6"/>
          <w:sz w:val="18"/>
        </w:rPr>
        <w:t>(2022)</w:t>
      </w:r>
    </w:p>
    <w:p w14:paraId="4B45C557" w14:textId="77777777" w:rsidR="00894070" w:rsidRDefault="00894070">
      <w:pPr>
        <w:pStyle w:val="BodyText"/>
      </w:pPr>
    </w:p>
    <w:p w14:paraId="4EB07066" w14:textId="77777777" w:rsidR="00894070" w:rsidRDefault="00894070">
      <w:pPr>
        <w:pStyle w:val="BodyText"/>
      </w:pPr>
    </w:p>
    <w:p w14:paraId="61D4D211" w14:textId="77777777" w:rsidR="00894070" w:rsidRDefault="00894070">
      <w:pPr>
        <w:pStyle w:val="BodyText"/>
        <w:spacing w:before="1"/>
        <w:rPr>
          <w:sz w:val="19"/>
        </w:rPr>
      </w:pPr>
    </w:p>
    <w:p w14:paraId="3C8BCE49" w14:textId="77777777" w:rsidR="00894070" w:rsidRDefault="009B7AFD">
      <w:pPr>
        <w:ind w:left="110"/>
        <w:rPr>
          <w:i/>
          <w:sz w:val="18"/>
        </w:rPr>
      </w:pPr>
      <w:r>
        <w:rPr>
          <w:i/>
          <w:color w:val="231F20"/>
          <w:sz w:val="18"/>
        </w:rPr>
        <w:t>* Community law reform project.</w:t>
      </w:r>
    </w:p>
    <w:p w14:paraId="5A75A6E0" w14:textId="77777777" w:rsidR="00894070" w:rsidRDefault="00894070">
      <w:pPr>
        <w:pStyle w:val="BodyText"/>
        <w:spacing w:before="3"/>
        <w:rPr>
          <w:i/>
          <w:sz w:val="25"/>
        </w:rPr>
      </w:pPr>
    </w:p>
    <w:p w14:paraId="6E8FCFD7" w14:textId="77777777" w:rsidR="00894070" w:rsidRDefault="009B7AFD">
      <w:pPr>
        <w:spacing w:line="230" w:lineRule="auto"/>
        <w:ind w:left="110"/>
        <w:rPr>
          <w:rFonts w:ascii="Raleway SemiBold"/>
          <w:b/>
          <w:sz w:val="18"/>
        </w:rPr>
      </w:pPr>
      <w:r>
        <w:rPr>
          <w:rFonts w:ascii="Raleway SemiBold"/>
          <w:b/>
          <w:color w:val="231F20"/>
          <w:spacing w:val="-6"/>
          <w:sz w:val="18"/>
        </w:rPr>
        <w:t xml:space="preserve">For </w:t>
      </w:r>
      <w:r>
        <w:rPr>
          <w:rFonts w:ascii="Raleway SemiBold"/>
          <w:b/>
          <w:color w:val="231F20"/>
          <w:sz w:val="18"/>
        </w:rPr>
        <w:t xml:space="preserve">a </w:t>
      </w:r>
      <w:r>
        <w:rPr>
          <w:rFonts w:ascii="Raleway SemiBold"/>
          <w:b/>
          <w:color w:val="231F20"/>
          <w:spacing w:val="-5"/>
          <w:sz w:val="18"/>
        </w:rPr>
        <w:t xml:space="preserve">full list </w:t>
      </w:r>
      <w:r>
        <w:rPr>
          <w:rFonts w:ascii="Raleway SemiBold"/>
          <w:b/>
          <w:color w:val="231F20"/>
          <w:spacing w:val="-4"/>
          <w:sz w:val="18"/>
        </w:rPr>
        <w:t xml:space="preserve">of </w:t>
      </w:r>
      <w:r>
        <w:rPr>
          <w:rFonts w:ascii="Raleway SemiBold"/>
          <w:b/>
          <w:color w:val="231F20"/>
          <w:spacing w:val="-6"/>
          <w:sz w:val="18"/>
        </w:rPr>
        <w:t xml:space="preserve">publications, </w:t>
      </w:r>
      <w:r>
        <w:rPr>
          <w:rFonts w:ascii="Raleway SemiBold"/>
          <w:b/>
          <w:color w:val="231F20"/>
          <w:spacing w:val="-4"/>
          <w:sz w:val="18"/>
        </w:rPr>
        <w:t xml:space="preserve">and to </w:t>
      </w:r>
      <w:r>
        <w:rPr>
          <w:rFonts w:ascii="Raleway SemiBold"/>
          <w:b/>
          <w:color w:val="231F20"/>
          <w:spacing w:val="-6"/>
          <w:sz w:val="18"/>
        </w:rPr>
        <w:t xml:space="preserve">access the above reports, </w:t>
      </w:r>
      <w:r>
        <w:rPr>
          <w:rFonts w:ascii="Raleway SemiBold"/>
          <w:b/>
          <w:color w:val="231F20"/>
          <w:spacing w:val="-4"/>
          <w:sz w:val="18"/>
        </w:rPr>
        <w:t xml:space="preserve">see </w:t>
      </w:r>
      <w:hyperlink r:id="rId342">
        <w:r>
          <w:rPr>
            <w:rFonts w:ascii="Raleway SemiBold"/>
            <w:b/>
            <w:color w:val="005B85"/>
            <w:spacing w:val="-8"/>
            <w:sz w:val="18"/>
          </w:rPr>
          <w:t>www.lawreform.vic.gov.au</w:t>
        </w:r>
      </w:hyperlink>
    </w:p>
    <w:p w14:paraId="1E255D99" w14:textId="77777777" w:rsidR="00894070" w:rsidRDefault="00894070">
      <w:pPr>
        <w:spacing w:line="230" w:lineRule="auto"/>
        <w:rPr>
          <w:rFonts w:ascii="Raleway SemiBold"/>
          <w:sz w:val="18"/>
        </w:rPr>
        <w:sectPr w:rsidR="00894070">
          <w:type w:val="continuous"/>
          <w:pgSz w:w="11940" w:h="16850"/>
          <w:pgMar w:top="560" w:right="1380" w:bottom="280" w:left="1620" w:header="720" w:footer="720" w:gutter="0"/>
          <w:cols w:num="2" w:space="720" w:equalWidth="0">
            <w:col w:w="4639" w:space="204"/>
            <w:col w:w="4097"/>
          </w:cols>
        </w:sectPr>
      </w:pPr>
    </w:p>
    <w:p w14:paraId="680A6EE8" w14:textId="77777777" w:rsidR="00894070" w:rsidRDefault="009B7AFD">
      <w:pPr>
        <w:spacing w:before="280"/>
        <w:ind w:left="137"/>
        <w:rPr>
          <w:rFonts w:ascii="Arial"/>
          <w:i/>
          <w:sz w:val="18"/>
        </w:rPr>
      </w:pPr>
      <w:r>
        <w:rPr>
          <w:rFonts w:ascii="Arial"/>
          <w:i/>
          <w:color w:val="FFFFFF"/>
          <w:w w:val="105"/>
          <w:sz w:val="18"/>
        </w:rPr>
        <w:lastRenderedPageBreak/>
        <w:t>Final Report</w:t>
      </w:r>
    </w:p>
    <w:sectPr w:rsidR="00894070" w:rsidSect="009B7AFD">
      <w:pgSz w:w="11920" w:h="16820"/>
      <w:pgMar w:top="0" w:right="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74E98" w14:textId="77777777" w:rsidR="00DD4CD8" w:rsidRDefault="009B7AFD">
      <w:r>
        <w:separator/>
      </w:r>
    </w:p>
  </w:endnote>
  <w:endnote w:type="continuationSeparator" w:id="0">
    <w:p w14:paraId="46C3C0DE" w14:textId="77777777" w:rsidR="00DD4CD8" w:rsidRDefault="009B7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aleway">
    <w:panose1 w:val="00000000000000000000"/>
    <w:charset w:val="00"/>
    <w:family w:val="auto"/>
    <w:pitch w:val="variable"/>
    <w:sig w:usb0="A00002FF" w:usb1="5000205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aleway ExtraBold">
    <w:panose1 w:val="00000000000000000000"/>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Raleway Thin">
    <w:panose1 w:val="00000000000000000000"/>
    <w:charset w:val="00"/>
    <w:family w:val="auto"/>
    <w:pitch w:val="variable"/>
    <w:sig w:usb0="A00002FF" w:usb1="5000205B" w:usb2="00000000" w:usb3="00000000" w:csb0="00000197" w:csb1="00000000"/>
  </w:font>
  <w:font w:name="Raleway SemiBold">
    <w:panose1 w:val="00000000000000000000"/>
    <w:charset w:val="00"/>
    <w:family w:val="auto"/>
    <w:pitch w:val="variable"/>
    <w:sig w:usb0="A00002FF" w:usb1="5000205B" w:usb2="00000000" w:usb3="00000000" w:csb0="00000197" w:csb1="00000000"/>
  </w:font>
  <w:font w:name="Raleway Light">
    <w:panose1 w:val="00000000000000000000"/>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10D2" w14:textId="77777777" w:rsidR="007C3BD6" w:rsidRDefault="007C3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423FA" w14:textId="77777777" w:rsidR="007C3BD6" w:rsidRDefault="007C3B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3A397" w14:textId="77777777" w:rsidR="007C3BD6" w:rsidRDefault="007C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2A533" w14:textId="77777777" w:rsidR="00DD4CD8" w:rsidRDefault="009B7AFD">
      <w:r>
        <w:separator/>
      </w:r>
    </w:p>
  </w:footnote>
  <w:footnote w:type="continuationSeparator" w:id="0">
    <w:p w14:paraId="1E38BE55" w14:textId="77777777" w:rsidR="00DD4CD8" w:rsidRDefault="009B7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E8B5" w14:textId="77777777" w:rsidR="007C3BD6" w:rsidRDefault="007C3BD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3A53" w14:textId="77777777" w:rsidR="00894070" w:rsidRDefault="009F6793">
    <w:pPr>
      <w:pStyle w:val="BodyText"/>
      <w:spacing w:line="14" w:lineRule="auto"/>
    </w:pPr>
    <w:r>
      <w:pict w14:anchorId="02EB16CB">
        <v:rect id="_x0000_s2100" style="position:absolute;margin-left:538.6pt;margin-top:0;width:28.35pt;height:42.5pt;z-index:-337432;mso-position-horizontal-relative:page;mso-position-vertical-relative:page" fillcolor="#ea5b50" stroked="f">
          <w10:wrap anchorx="page" anchory="page"/>
        </v:rect>
      </w:pict>
    </w:r>
    <w:r>
      <w:pict w14:anchorId="0FD6295D">
        <v:shapetype id="_x0000_t202" coordsize="21600,21600" o:spt="202" path="m,l,21600r21600,l21600,xe">
          <v:stroke joinstyle="miter"/>
          <v:path gradientshapeok="t" o:connecttype="rect"/>
        </v:shapetype>
        <v:shape id="_x0000_s2099" type="#_x0000_t202" style="position:absolute;margin-left:547.5pt;margin-top:11.8pt;width:10.5pt;height:23.15pt;z-index:-337408;mso-position-horizontal-relative:page;mso-position-vertical-relative:page" filled="f" stroked="f">
          <v:textbox inset="0,0,0,0">
            <w:txbxContent>
              <w:p w14:paraId="1D0D104D" w14:textId="77777777" w:rsidR="00894070" w:rsidRDefault="009B7AFD">
                <w:pPr>
                  <w:spacing w:line="443" w:lineRule="exact"/>
                  <w:ind w:left="20"/>
                  <w:rPr>
                    <w:rFonts w:ascii="Raleway SemiBold"/>
                    <w:b/>
                    <w:sz w:val="36"/>
                  </w:rPr>
                </w:pPr>
                <w:r>
                  <w:rPr>
                    <w:rFonts w:ascii="Raleway SemiBold"/>
                    <w:b/>
                    <w:color w:val="FFFFFF"/>
                    <w:sz w:val="36"/>
                  </w:rPr>
                  <w:t>1</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40BA" w14:textId="77777777" w:rsidR="00894070" w:rsidRDefault="00894070">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3ED3" w14:textId="77777777" w:rsidR="00894070" w:rsidRDefault="009F6793">
    <w:pPr>
      <w:pStyle w:val="BodyText"/>
      <w:spacing w:line="14" w:lineRule="auto"/>
    </w:pPr>
    <w:r>
      <w:pict w14:anchorId="25FD906F">
        <v:shapetype id="_x0000_t202" coordsize="21600,21600" o:spt="202" path="m,l,21600r21600,l21600,xe">
          <v:stroke joinstyle="miter"/>
          <v:path gradientshapeok="t" o:connecttype="rect"/>
        </v:shapetype>
        <v:shape id="_x0000_s2096" type="#_x0000_t202" style="position:absolute;margin-left:41.5pt;margin-top:27.35pt;width:108.5pt;height:17.65pt;z-index:-337336;mso-position-horizontal-relative:page;mso-position-vertical-relative:page" filled="f" stroked="f">
          <v:textbox inset="0,0,0,0">
            <w:txbxContent>
              <w:p w14:paraId="2098E9A9" w14:textId="77777777" w:rsidR="00894070" w:rsidRDefault="009B7AFD">
                <w:pPr>
                  <w:spacing w:line="162" w:lineRule="exact"/>
                  <w:ind w:left="20"/>
                  <w:rPr>
                    <w:sz w:val="13"/>
                  </w:rPr>
                </w:pPr>
                <w:r>
                  <w:rPr>
                    <w:color w:val="231F20"/>
                    <w:sz w:val="13"/>
                  </w:rPr>
                  <w:t>Victorian Law Reform Commission</w:t>
                </w:r>
              </w:p>
              <w:p w14:paraId="2548B10B"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C490" w14:textId="77777777" w:rsidR="00894070" w:rsidRDefault="009F6793">
    <w:pPr>
      <w:pStyle w:val="BodyText"/>
      <w:spacing w:line="14" w:lineRule="auto"/>
      <w:rPr>
        <w:sz w:val="2"/>
      </w:rPr>
    </w:pPr>
    <w:r>
      <w:pict w14:anchorId="0B9AACEC">
        <v:rect id="_x0000_s2097" style="position:absolute;margin-left:0;margin-top:0;width:595.3pt;height:841.9pt;z-index:-337360;mso-position-horizontal-relative:page;mso-position-vertical-relative:page" fillcolor="#ea5b50" stroked="f">
          <w10:wrap anchorx="page" anchory="page"/>
        </v:rect>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B2B3" w14:textId="77777777" w:rsidR="00894070" w:rsidRDefault="009F6793">
    <w:pPr>
      <w:pStyle w:val="BodyText"/>
      <w:spacing w:line="14" w:lineRule="auto"/>
    </w:pPr>
    <w:r>
      <w:pict w14:anchorId="47E88EDC">
        <v:shapetype id="_x0000_t202" coordsize="21600,21600" o:spt="202" path="m,l,21600r21600,l21600,xe">
          <v:stroke joinstyle="miter"/>
          <v:path gradientshapeok="t" o:connecttype="rect"/>
        </v:shapetype>
        <v:shape id="_x0000_s2093" type="#_x0000_t202" style="position:absolute;margin-left:41.5pt;margin-top:27.35pt;width:108.5pt;height:17.65pt;z-index:-337264;mso-position-horizontal-relative:page;mso-position-vertical-relative:page" filled="f" stroked="f">
          <v:textbox inset="0,0,0,0">
            <w:txbxContent>
              <w:p w14:paraId="6A8F24F5" w14:textId="77777777" w:rsidR="00894070" w:rsidRDefault="009B7AFD">
                <w:pPr>
                  <w:spacing w:line="162" w:lineRule="exact"/>
                  <w:ind w:left="20"/>
                  <w:rPr>
                    <w:sz w:val="13"/>
                  </w:rPr>
                </w:pPr>
                <w:r>
                  <w:rPr>
                    <w:color w:val="231F20"/>
                    <w:sz w:val="13"/>
                  </w:rPr>
                  <w:t>Victorian Law Reform Commission</w:t>
                </w:r>
              </w:p>
              <w:p w14:paraId="1089B2C8"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0798" w14:textId="77777777" w:rsidR="00894070" w:rsidRDefault="009F6793">
    <w:pPr>
      <w:pStyle w:val="BodyText"/>
      <w:spacing w:line="14" w:lineRule="auto"/>
    </w:pPr>
    <w:r>
      <w:pict w14:anchorId="3FBD5F72">
        <v:rect id="_x0000_s2095" style="position:absolute;margin-left:538.6pt;margin-top:0;width:28.35pt;height:42.5pt;z-index:-337312;mso-position-horizontal-relative:page;mso-position-vertical-relative:page" fillcolor="#ea5b50" stroked="f">
          <w10:wrap anchorx="page" anchory="page"/>
        </v:rect>
      </w:pict>
    </w:r>
    <w:r>
      <w:pict w14:anchorId="5F0363DE">
        <v:shapetype id="_x0000_t202" coordsize="21600,21600" o:spt="202" path="m,l,21600r21600,l21600,xe">
          <v:stroke joinstyle="miter"/>
          <v:path gradientshapeok="t" o:connecttype="rect"/>
        </v:shapetype>
        <v:shape id="_x0000_s2094" type="#_x0000_t202" style="position:absolute;margin-left:546.8pt;margin-top:11.8pt;width:11.9pt;height:23.15pt;z-index:-337288;mso-position-horizontal-relative:page;mso-position-vertical-relative:page" filled="f" stroked="f">
          <v:textbox inset="0,0,0,0">
            <w:txbxContent>
              <w:p w14:paraId="1222AC6C" w14:textId="77777777" w:rsidR="00894070" w:rsidRDefault="009B7AFD">
                <w:pPr>
                  <w:spacing w:line="443" w:lineRule="exact"/>
                  <w:ind w:left="20"/>
                  <w:rPr>
                    <w:rFonts w:ascii="Raleway SemiBold"/>
                    <w:b/>
                    <w:sz w:val="36"/>
                  </w:rPr>
                </w:pPr>
                <w:r>
                  <w:rPr>
                    <w:rFonts w:ascii="Raleway SemiBold"/>
                    <w:b/>
                    <w:color w:val="FFFFFF"/>
                    <w:sz w:val="36"/>
                  </w:rPr>
                  <w:t>2</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AFBA" w14:textId="77777777" w:rsidR="00894070" w:rsidRDefault="00894070">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5757" w14:textId="77777777" w:rsidR="00894070" w:rsidRDefault="009F6793">
    <w:pPr>
      <w:pStyle w:val="BodyText"/>
      <w:spacing w:line="14" w:lineRule="auto"/>
    </w:pPr>
    <w:r>
      <w:pict w14:anchorId="201B121E">
        <v:shapetype id="_x0000_t202" coordsize="21600,21600" o:spt="202" path="m,l,21600r21600,l21600,xe">
          <v:stroke joinstyle="miter"/>
          <v:path gradientshapeok="t" o:connecttype="rect"/>
        </v:shapetype>
        <v:shape id="_x0000_s2091" type="#_x0000_t202" style="position:absolute;margin-left:41.5pt;margin-top:27.35pt;width:108.5pt;height:17.65pt;z-index:-337216;mso-position-horizontal-relative:page;mso-position-vertical-relative:page" filled="f" stroked="f">
          <v:textbox inset="0,0,0,0">
            <w:txbxContent>
              <w:p w14:paraId="44EB6222" w14:textId="77777777" w:rsidR="00894070" w:rsidRDefault="009B7AFD">
                <w:pPr>
                  <w:spacing w:line="162" w:lineRule="exact"/>
                  <w:ind w:left="20"/>
                  <w:rPr>
                    <w:sz w:val="13"/>
                  </w:rPr>
                </w:pPr>
                <w:r>
                  <w:rPr>
                    <w:color w:val="231F20"/>
                    <w:sz w:val="13"/>
                  </w:rPr>
                  <w:t>Victorian Law Reform Commission</w:t>
                </w:r>
              </w:p>
              <w:p w14:paraId="15207989"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93A05" w14:textId="77777777" w:rsidR="00894070" w:rsidRDefault="009F6793">
    <w:pPr>
      <w:pStyle w:val="BodyText"/>
      <w:spacing w:line="14" w:lineRule="auto"/>
      <w:rPr>
        <w:sz w:val="2"/>
      </w:rPr>
    </w:pPr>
    <w:r>
      <w:pict w14:anchorId="4992D3E7">
        <v:rect id="_x0000_s2092" style="position:absolute;margin-left:0;margin-top:0;width:595.3pt;height:841.9pt;z-index:-337240;mso-position-horizontal-relative:page;mso-position-vertical-relative:page" fillcolor="#ea5b50" stroked="f">
          <w10:wrap anchorx="page" anchory="page"/>
        </v:rect>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06F8C" w14:textId="77777777" w:rsidR="00894070" w:rsidRDefault="009F6793">
    <w:pPr>
      <w:pStyle w:val="BodyText"/>
      <w:spacing w:line="14" w:lineRule="auto"/>
    </w:pPr>
    <w:r>
      <w:pict w14:anchorId="20D817F1">
        <v:shapetype id="_x0000_t202" coordsize="21600,21600" o:spt="202" path="m,l,21600r21600,l21600,xe">
          <v:stroke joinstyle="miter"/>
          <v:path gradientshapeok="t" o:connecttype="rect"/>
        </v:shapetype>
        <v:shape id="_x0000_s2088" type="#_x0000_t202" style="position:absolute;margin-left:41.5pt;margin-top:27.35pt;width:108.5pt;height:17.65pt;z-index:-337144;mso-position-horizontal-relative:page;mso-position-vertical-relative:page" filled="f" stroked="f">
          <v:textbox inset="0,0,0,0">
            <w:txbxContent>
              <w:p w14:paraId="3C7CFED3" w14:textId="77777777" w:rsidR="00894070" w:rsidRDefault="009B7AFD">
                <w:pPr>
                  <w:spacing w:line="162" w:lineRule="exact"/>
                  <w:ind w:left="20"/>
                  <w:rPr>
                    <w:sz w:val="13"/>
                  </w:rPr>
                </w:pPr>
                <w:r>
                  <w:rPr>
                    <w:color w:val="231F20"/>
                    <w:sz w:val="13"/>
                  </w:rPr>
                  <w:t>Victorian Law Reform Commission</w:t>
                </w:r>
              </w:p>
              <w:p w14:paraId="2248A6AB"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8FF6" w14:textId="77777777" w:rsidR="007C3BD6" w:rsidRDefault="007C3BD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99FA" w14:textId="77777777" w:rsidR="00894070" w:rsidRDefault="009F6793">
    <w:pPr>
      <w:pStyle w:val="BodyText"/>
      <w:spacing w:line="14" w:lineRule="auto"/>
    </w:pPr>
    <w:r>
      <w:pict w14:anchorId="1D1B35EB">
        <v:rect id="_x0000_s2090" style="position:absolute;margin-left:538.6pt;margin-top:0;width:28.35pt;height:42.5pt;z-index:-337192;mso-position-horizontal-relative:page;mso-position-vertical-relative:page" fillcolor="#ea5b50" stroked="f">
          <w10:wrap anchorx="page" anchory="page"/>
        </v:rect>
      </w:pict>
    </w:r>
    <w:r>
      <w:pict w14:anchorId="37F04925">
        <v:shapetype id="_x0000_t202" coordsize="21600,21600" o:spt="202" path="m,l,21600r21600,l21600,xe">
          <v:stroke joinstyle="miter"/>
          <v:path gradientshapeok="t" o:connecttype="rect"/>
        </v:shapetype>
        <v:shape id="_x0000_s2089" type="#_x0000_t202" style="position:absolute;margin-left:546.8pt;margin-top:11.8pt;width:11.9pt;height:23.15pt;z-index:-337168;mso-position-horizontal-relative:page;mso-position-vertical-relative:page" filled="f" stroked="f">
          <v:textbox inset="0,0,0,0">
            <w:txbxContent>
              <w:p w14:paraId="3EF4CD92" w14:textId="77777777" w:rsidR="00894070" w:rsidRDefault="009B7AFD">
                <w:pPr>
                  <w:spacing w:line="443" w:lineRule="exact"/>
                  <w:ind w:left="20"/>
                  <w:rPr>
                    <w:rFonts w:ascii="Raleway SemiBold"/>
                    <w:b/>
                    <w:sz w:val="36"/>
                  </w:rPr>
                </w:pPr>
                <w:r>
                  <w:rPr>
                    <w:rFonts w:ascii="Raleway SemiBold"/>
                    <w:b/>
                    <w:color w:val="FFFFFF"/>
                    <w:sz w:val="36"/>
                  </w:rPr>
                  <w:t>3</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9857" w14:textId="77777777" w:rsidR="00894070" w:rsidRDefault="009F6793">
    <w:pPr>
      <w:pStyle w:val="BodyText"/>
      <w:spacing w:line="14" w:lineRule="auto"/>
    </w:pPr>
    <w:r>
      <w:pict w14:anchorId="1832E2F1">
        <v:shapetype id="_x0000_t202" coordsize="21600,21600" o:spt="202" path="m,l,21600r21600,l21600,xe">
          <v:stroke joinstyle="miter"/>
          <v:path gradientshapeok="t" o:connecttype="rect"/>
        </v:shapetype>
        <v:shape id="_x0000_s2086" type="#_x0000_t202" style="position:absolute;margin-left:41.5pt;margin-top:27.35pt;width:108.5pt;height:17.65pt;z-index:-337096;mso-position-horizontal-relative:page;mso-position-vertical-relative:page" filled="f" stroked="f">
          <v:textbox inset="0,0,0,0">
            <w:txbxContent>
              <w:p w14:paraId="101F9A93" w14:textId="77777777" w:rsidR="00894070" w:rsidRDefault="009B7AFD">
                <w:pPr>
                  <w:spacing w:line="162" w:lineRule="exact"/>
                  <w:ind w:left="20"/>
                  <w:rPr>
                    <w:sz w:val="13"/>
                  </w:rPr>
                </w:pPr>
                <w:r>
                  <w:rPr>
                    <w:color w:val="231F20"/>
                    <w:sz w:val="13"/>
                  </w:rPr>
                  <w:t>Victorian Law Reform Commission</w:t>
                </w:r>
              </w:p>
              <w:p w14:paraId="2779C395"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69A0A" w14:textId="77777777" w:rsidR="00894070" w:rsidRDefault="009F6793">
    <w:pPr>
      <w:pStyle w:val="BodyText"/>
      <w:spacing w:line="14" w:lineRule="auto"/>
      <w:rPr>
        <w:sz w:val="2"/>
      </w:rPr>
    </w:pPr>
    <w:r>
      <w:pict w14:anchorId="7338EA80">
        <v:rect id="_x0000_s2087" style="position:absolute;margin-left:0;margin-top:0;width:595.3pt;height:841.9pt;z-index:-337120;mso-position-horizontal-relative:page;mso-position-vertical-relative:page" fillcolor="#ea5b50" stroked="f">
          <w10:wrap anchorx="page" anchory="page"/>
        </v:rect>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BC76" w14:textId="77777777" w:rsidR="00894070" w:rsidRDefault="009F6793">
    <w:pPr>
      <w:pStyle w:val="BodyText"/>
      <w:spacing w:line="14" w:lineRule="auto"/>
    </w:pPr>
    <w:r>
      <w:pict w14:anchorId="69891E1E">
        <v:shapetype id="_x0000_t202" coordsize="21600,21600" o:spt="202" path="m,l,21600r21600,l21600,xe">
          <v:stroke joinstyle="miter"/>
          <v:path gradientshapeok="t" o:connecttype="rect"/>
        </v:shapetype>
        <v:shape id="_x0000_s2083" type="#_x0000_t202" style="position:absolute;margin-left:41.5pt;margin-top:27.35pt;width:108.5pt;height:17.65pt;z-index:-337024;mso-position-horizontal-relative:page;mso-position-vertical-relative:page" filled="f" stroked="f">
          <v:textbox inset="0,0,0,0">
            <w:txbxContent>
              <w:p w14:paraId="4C37E232" w14:textId="77777777" w:rsidR="00894070" w:rsidRDefault="009B7AFD">
                <w:pPr>
                  <w:spacing w:line="162" w:lineRule="exact"/>
                  <w:ind w:left="20"/>
                  <w:rPr>
                    <w:sz w:val="13"/>
                  </w:rPr>
                </w:pPr>
                <w:r>
                  <w:rPr>
                    <w:color w:val="231F20"/>
                    <w:sz w:val="13"/>
                  </w:rPr>
                  <w:t>Victorian Law Reform Commission</w:t>
                </w:r>
              </w:p>
              <w:p w14:paraId="16ED6DF6"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6D8D" w14:textId="77777777" w:rsidR="00894070" w:rsidRDefault="009F6793">
    <w:pPr>
      <w:pStyle w:val="BodyText"/>
      <w:spacing w:line="14" w:lineRule="auto"/>
    </w:pPr>
    <w:r>
      <w:pict w14:anchorId="4C555B36">
        <v:rect id="_x0000_s2085" style="position:absolute;margin-left:538.6pt;margin-top:0;width:28.35pt;height:42.5pt;z-index:-337072;mso-position-horizontal-relative:page;mso-position-vertical-relative:page" fillcolor="#ea5b50" stroked="f">
          <w10:wrap anchorx="page" anchory="page"/>
        </v:rect>
      </w:pict>
    </w:r>
    <w:r>
      <w:pict w14:anchorId="0198F931">
        <v:shapetype id="_x0000_t202" coordsize="21600,21600" o:spt="202" path="m,l,21600r21600,l21600,xe">
          <v:stroke joinstyle="miter"/>
          <v:path gradientshapeok="t" o:connecttype="rect"/>
        </v:shapetype>
        <v:shape id="_x0000_s2084" type="#_x0000_t202" style="position:absolute;margin-left:546.7pt;margin-top:11.8pt;width:12.2pt;height:23.15pt;z-index:-337048;mso-position-horizontal-relative:page;mso-position-vertical-relative:page" filled="f" stroked="f">
          <v:textbox inset="0,0,0,0">
            <w:txbxContent>
              <w:p w14:paraId="0F35BB69" w14:textId="77777777" w:rsidR="00894070" w:rsidRDefault="009B7AFD">
                <w:pPr>
                  <w:spacing w:line="443" w:lineRule="exact"/>
                  <w:ind w:left="20"/>
                  <w:rPr>
                    <w:rFonts w:ascii="Raleway SemiBold"/>
                    <w:b/>
                    <w:sz w:val="36"/>
                  </w:rPr>
                </w:pPr>
                <w:r>
                  <w:rPr>
                    <w:rFonts w:ascii="Raleway SemiBold"/>
                    <w:b/>
                    <w:color w:val="FFFFFF"/>
                    <w:sz w:val="36"/>
                  </w:rPr>
                  <w:t>4</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D322" w14:textId="77777777" w:rsidR="00894070" w:rsidRDefault="00894070">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5F2E" w14:textId="77777777" w:rsidR="00894070" w:rsidRDefault="009F6793">
    <w:pPr>
      <w:pStyle w:val="BodyText"/>
      <w:spacing w:line="14" w:lineRule="auto"/>
    </w:pPr>
    <w:r>
      <w:pict w14:anchorId="649C86B8">
        <v:shapetype id="_x0000_t202" coordsize="21600,21600" o:spt="202" path="m,l,21600r21600,l21600,xe">
          <v:stroke joinstyle="miter"/>
          <v:path gradientshapeok="t" o:connecttype="rect"/>
        </v:shapetype>
        <v:shape id="_x0000_s2081" type="#_x0000_t202" style="position:absolute;margin-left:41.5pt;margin-top:27.35pt;width:108.5pt;height:17.65pt;z-index:-336976;mso-position-horizontal-relative:page;mso-position-vertical-relative:page" filled="f" stroked="f">
          <v:textbox inset="0,0,0,0">
            <w:txbxContent>
              <w:p w14:paraId="7452768F" w14:textId="77777777" w:rsidR="00894070" w:rsidRDefault="009B7AFD">
                <w:pPr>
                  <w:spacing w:line="162" w:lineRule="exact"/>
                  <w:ind w:left="20"/>
                  <w:rPr>
                    <w:sz w:val="13"/>
                  </w:rPr>
                </w:pPr>
                <w:r>
                  <w:rPr>
                    <w:color w:val="231F20"/>
                    <w:sz w:val="13"/>
                  </w:rPr>
                  <w:t>Victorian Law Reform Commission</w:t>
                </w:r>
              </w:p>
              <w:p w14:paraId="1A9B52AC"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52A0" w14:textId="77777777" w:rsidR="00894070" w:rsidRDefault="009F6793">
    <w:pPr>
      <w:pStyle w:val="BodyText"/>
      <w:spacing w:line="14" w:lineRule="auto"/>
      <w:rPr>
        <w:sz w:val="2"/>
      </w:rPr>
    </w:pPr>
    <w:r>
      <w:pict w14:anchorId="63E92A58">
        <v:rect id="_x0000_s2082" style="position:absolute;margin-left:0;margin-top:0;width:595.3pt;height:841.9pt;z-index:-337000;mso-position-horizontal-relative:page;mso-position-vertical-relative:page" fillcolor="#ea5b50" stroked="f">
          <w10:wrap anchorx="page" anchory="page"/>
        </v:rect>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302CD" w14:textId="77777777" w:rsidR="00894070" w:rsidRDefault="009F6793">
    <w:pPr>
      <w:pStyle w:val="BodyText"/>
      <w:spacing w:line="14" w:lineRule="auto"/>
    </w:pPr>
    <w:r>
      <w:pict w14:anchorId="030A4DAF">
        <v:shapetype id="_x0000_t202" coordsize="21600,21600" o:spt="202" path="m,l,21600r21600,l21600,xe">
          <v:stroke joinstyle="miter"/>
          <v:path gradientshapeok="t" o:connecttype="rect"/>
        </v:shapetype>
        <v:shape id="_x0000_s2078" type="#_x0000_t202" style="position:absolute;margin-left:41.5pt;margin-top:27.35pt;width:108.5pt;height:17.65pt;z-index:-336904;mso-position-horizontal-relative:page;mso-position-vertical-relative:page" filled="f" stroked="f">
          <v:textbox inset="0,0,0,0">
            <w:txbxContent>
              <w:p w14:paraId="5C62FD1F" w14:textId="77777777" w:rsidR="00894070" w:rsidRDefault="009B7AFD">
                <w:pPr>
                  <w:spacing w:line="162" w:lineRule="exact"/>
                  <w:ind w:left="20"/>
                  <w:rPr>
                    <w:sz w:val="13"/>
                  </w:rPr>
                </w:pPr>
                <w:r>
                  <w:rPr>
                    <w:color w:val="231F20"/>
                    <w:sz w:val="13"/>
                  </w:rPr>
                  <w:t>Victorian Law Reform Commission</w:t>
                </w:r>
              </w:p>
              <w:p w14:paraId="5C956494"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D9E93" w14:textId="77777777" w:rsidR="00894070" w:rsidRDefault="009F6793">
    <w:pPr>
      <w:pStyle w:val="BodyText"/>
      <w:spacing w:line="14" w:lineRule="auto"/>
    </w:pPr>
    <w:r>
      <w:pict w14:anchorId="3D52F2A3">
        <v:rect id="_x0000_s2080" style="position:absolute;margin-left:538.6pt;margin-top:0;width:28.35pt;height:42.5pt;z-index:-336952;mso-position-horizontal-relative:page;mso-position-vertical-relative:page" fillcolor="#ea5b50" stroked="f">
          <w10:wrap anchorx="page" anchory="page"/>
        </v:rect>
      </w:pict>
    </w:r>
    <w:r>
      <w:pict w14:anchorId="32333CAC">
        <v:shapetype id="_x0000_t202" coordsize="21600,21600" o:spt="202" path="m,l,21600r21600,l21600,xe">
          <v:stroke joinstyle="miter"/>
          <v:path gradientshapeok="t" o:connecttype="rect"/>
        </v:shapetype>
        <v:shape id="_x0000_s2079" type="#_x0000_t202" style="position:absolute;margin-left:546.8pt;margin-top:11.8pt;width:11.95pt;height:23.15pt;z-index:-336928;mso-position-horizontal-relative:page;mso-position-vertical-relative:page" filled="f" stroked="f">
          <v:textbox inset="0,0,0,0">
            <w:txbxContent>
              <w:p w14:paraId="6F08DEB9" w14:textId="77777777" w:rsidR="00894070" w:rsidRDefault="009B7AFD">
                <w:pPr>
                  <w:spacing w:line="443" w:lineRule="exact"/>
                  <w:ind w:left="20"/>
                  <w:rPr>
                    <w:rFonts w:ascii="Raleway SemiBold"/>
                    <w:b/>
                    <w:sz w:val="36"/>
                  </w:rPr>
                </w:pPr>
                <w:r>
                  <w:rPr>
                    <w:rFonts w:ascii="Raleway SemiBold"/>
                    <w:b/>
                    <w:color w:val="FFFFFF"/>
                    <w:sz w:val="36"/>
                  </w:rPr>
                  <w:t>5</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68C2" w14:textId="77777777" w:rsidR="007C3BD6" w:rsidRDefault="007C3BD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AC4D" w14:textId="77777777" w:rsidR="00894070" w:rsidRDefault="009F6793">
    <w:pPr>
      <w:pStyle w:val="BodyText"/>
      <w:spacing w:line="14" w:lineRule="auto"/>
    </w:pPr>
    <w:r>
      <w:pict w14:anchorId="72AB5AB6">
        <v:shapetype id="_x0000_t202" coordsize="21600,21600" o:spt="202" path="m,l,21600r21600,l21600,xe">
          <v:stroke joinstyle="miter"/>
          <v:path gradientshapeok="t" o:connecttype="rect"/>
        </v:shapetype>
        <v:shape id="_x0000_s2076" type="#_x0000_t202" style="position:absolute;margin-left:41.5pt;margin-top:27.35pt;width:108.5pt;height:17.65pt;z-index:-336856;mso-position-horizontal-relative:page;mso-position-vertical-relative:page" filled="f" stroked="f">
          <v:textbox inset="0,0,0,0">
            <w:txbxContent>
              <w:p w14:paraId="43770A6D" w14:textId="77777777" w:rsidR="00894070" w:rsidRDefault="009B7AFD">
                <w:pPr>
                  <w:spacing w:line="162" w:lineRule="exact"/>
                  <w:ind w:left="20"/>
                  <w:rPr>
                    <w:sz w:val="13"/>
                  </w:rPr>
                </w:pPr>
                <w:r>
                  <w:rPr>
                    <w:color w:val="231F20"/>
                    <w:sz w:val="13"/>
                  </w:rPr>
                  <w:t>Victorian Law Reform Commission</w:t>
                </w:r>
              </w:p>
              <w:p w14:paraId="48D7DA94"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3562B" w14:textId="77777777" w:rsidR="00894070" w:rsidRDefault="009F6793">
    <w:pPr>
      <w:pStyle w:val="BodyText"/>
      <w:spacing w:line="14" w:lineRule="auto"/>
      <w:rPr>
        <w:sz w:val="2"/>
      </w:rPr>
    </w:pPr>
    <w:r>
      <w:pict w14:anchorId="32C3FC38">
        <v:rect id="_x0000_s2077" style="position:absolute;margin-left:0;margin-top:0;width:595.3pt;height:841.9pt;z-index:-336880;mso-position-horizontal-relative:page;mso-position-vertical-relative:page" fillcolor="#ea5b50" stroked="f">
          <w10:wrap anchorx="page" anchory="page"/>
        </v:rect>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761D" w14:textId="77777777" w:rsidR="00894070" w:rsidRDefault="009F6793">
    <w:pPr>
      <w:pStyle w:val="BodyText"/>
      <w:spacing w:line="14" w:lineRule="auto"/>
    </w:pPr>
    <w:r>
      <w:pict w14:anchorId="23AFACD0">
        <v:shapetype id="_x0000_t202" coordsize="21600,21600" o:spt="202" path="m,l,21600r21600,l21600,xe">
          <v:stroke joinstyle="miter"/>
          <v:path gradientshapeok="t" o:connecttype="rect"/>
        </v:shapetype>
        <v:shape id="_x0000_s2073" type="#_x0000_t202" style="position:absolute;margin-left:41.5pt;margin-top:27.35pt;width:108.5pt;height:17.65pt;z-index:-336784;mso-position-horizontal-relative:page;mso-position-vertical-relative:page" filled="f" stroked="f">
          <v:textbox inset="0,0,0,0">
            <w:txbxContent>
              <w:p w14:paraId="7C70FE26" w14:textId="77777777" w:rsidR="00894070" w:rsidRDefault="009B7AFD">
                <w:pPr>
                  <w:spacing w:line="162" w:lineRule="exact"/>
                  <w:ind w:left="20"/>
                  <w:rPr>
                    <w:sz w:val="13"/>
                  </w:rPr>
                </w:pPr>
                <w:r>
                  <w:rPr>
                    <w:color w:val="231F20"/>
                    <w:sz w:val="13"/>
                  </w:rPr>
                  <w:t>Victorian Law Reform Commission</w:t>
                </w:r>
              </w:p>
              <w:p w14:paraId="15D2FC48"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CC73" w14:textId="77777777" w:rsidR="00894070" w:rsidRDefault="009F6793">
    <w:pPr>
      <w:pStyle w:val="BodyText"/>
      <w:spacing w:line="14" w:lineRule="auto"/>
    </w:pPr>
    <w:r>
      <w:pict w14:anchorId="25857172">
        <v:rect id="_x0000_s2075" style="position:absolute;margin-left:538.6pt;margin-top:0;width:28.35pt;height:42.5pt;z-index:-336832;mso-position-horizontal-relative:page;mso-position-vertical-relative:page" fillcolor="#ea5b50" stroked="f">
          <w10:wrap anchorx="page" anchory="page"/>
        </v:rect>
      </w:pict>
    </w:r>
    <w:r>
      <w:pict w14:anchorId="0B5DD9A4">
        <v:shapetype id="_x0000_t202" coordsize="21600,21600" o:spt="202" path="m,l,21600r21600,l21600,xe">
          <v:stroke joinstyle="miter"/>
          <v:path gradientshapeok="t" o:connecttype="rect"/>
        </v:shapetype>
        <v:shape id="_x0000_s2074" type="#_x0000_t202" style="position:absolute;margin-left:546.3pt;margin-top:11.8pt;width:12.95pt;height:23.15pt;z-index:-336808;mso-position-horizontal-relative:page;mso-position-vertical-relative:page" filled="f" stroked="f">
          <v:textbox inset="0,0,0,0">
            <w:txbxContent>
              <w:p w14:paraId="5D062479" w14:textId="77777777" w:rsidR="00894070" w:rsidRDefault="009B7AFD">
                <w:pPr>
                  <w:spacing w:line="443" w:lineRule="exact"/>
                  <w:ind w:left="20"/>
                  <w:rPr>
                    <w:rFonts w:ascii="Raleway SemiBold"/>
                    <w:b/>
                    <w:sz w:val="36"/>
                  </w:rPr>
                </w:pPr>
                <w:r>
                  <w:rPr>
                    <w:rFonts w:ascii="Raleway SemiBold"/>
                    <w:b/>
                    <w:color w:val="FFFFFF"/>
                    <w:sz w:val="36"/>
                  </w:rPr>
                  <w:t>6</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5CD1" w14:textId="77777777" w:rsidR="00894070" w:rsidRDefault="009F6793">
    <w:pPr>
      <w:pStyle w:val="BodyText"/>
      <w:spacing w:line="14" w:lineRule="auto"/>
    </w:pPr>
    <w:r>
      <w:pict w14:anchorId="2A731709">
        <v:shapetype id="_x0000_t202" coordsize="21600,21600" o:spt="202" path="m,l,21600r21600,l21600,xe">
          <v:stroke joinstyle="miter"/>
          <v:path gradientshapeok="t" o:connecttype="rect"/>
        </v:shapetype>
        <v:shape id="_x0000_s2071" type="#_x0000_t202" style="position:absolute;margin-left:41.5pt;margin-top:27.35pt;width:108.5pt;height:17.65pt;z-index:-336736;mso-position-horizontal-relative:page;mso-position-vertical-relative:page" filled="f" stroked="f">
          <v:textbox inset="0,0,0,0">
            <w:txbxContent>
              <w:p w14:paraId="5ABE5436" w14:textId="77777777" w:rsidR="00894070" w:rsidRDefault="009B7AFD">
                <w:pPr>
                  <w:spacing w:line="162" w:lineRule="exact"/>
                  <w:ind w:left="20"/>
                  <w:rPr>
                    <w:sz w:val="13"/>
                  </w:rPr>
                </w:pPr>
                <w:r>
                  <w:rPr>
                    <w:color w:val="231F20"/>
                    <w:sz w:val="13"/>
                  </w:rPr>
                  <w:t>Victorian Law Reform Commission</w:t>
                </w:r>
              </w:p>
              <w:p w14:paraId="52B17F32"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B7CA" w14:textId="77777777" w:rsidR="00894070" w:rsidRDefault="009F6793">
    <w:pPr>
      <w:pStyle w:val="BodyText"/>
      <w:spacing w:line="14" w:lineRule="auto"/>
      <w:rPr>
        <w:sz w:val="2"/>
      </w:rPr>
    </w:pPr>
    <w:r>
      <w:pict w14:anchorId="1C477F6D">
        <v:rect id="_x0000_s2072" style="position:absolute;margin-left:0;margin-top:0;width:595.3pt;height:841.9pt;z-index:-336760;mso-position-horizontal-relative:page;mso-position-vertical-relative:page" fillcolor="#ea5b50" stroked="f">
          <w10:wrap anchorx="page" anchory="page"/>
        </v:rect>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4B47" w14:textId="77777777" w:rsidR="00894070" w:rsidRDefault="009F6793">
    <w:pPr>
      <w:pStyle w:val="BodyText"/>
      <w:spacing w:line="14" w:lineRule="auto"/>
    </w:pPr>
    <w:r>
      <w:pict w14:anchorId="7DF03330">
        <v:shapetype id="_x0000_t202" coordsize="21600,21600" o:spt="202" path="m,l,21600r21600,l21600,xe">
          <v:stroke joinstyle="miter"/>
          <v:path gradientshapeok="t" o:connecttype="rect"/>
        </v:shapetype>
        <v:shape id="_x0000_s2068" type="#_x0000_t202" style="position:absolute;margin-left:41.5pt;margin-top:27.35pt;width:108.5pt;height:17.65pt;z-index:-336664;mso-position-horizontal-relative:page;mso-position-vertical-relative:page" filled="f" stroked="f">
          <v:textbox inset="0,0,0,0">
            <w:txbxContent>
              <w:p w14:paraId="4847840F" w14:textId="77777777" w:rsidR="00894070" w:rsidRDefault="009B7AFD">
                <w:pPr>
                  <w:spacing w:line="162" w:lineRule="exact"/>
                  <w:ind w:left="20"/>
                  <w:rPr>
                    <w:sz w:val="13"/>
                  </w:rPr>
                </w:pPr>
                <w:r>
                  <w:rPr>
                    <w:color w:val="231F20"/>
                    <w:sz w:val="13"/>
                  </w:rPr>
                  <w:t>Victorian Law Reform Commission</w:t>
                </w:r>
              </w:p>
              <w:p w14:paraId="7AA2020C"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5716" w14:textId="77777777" w:rsidR="00894070" w:rsidRDefault="009F6793">
    <w:pPr>
      <w:pStyle w:val="BodyText"/>
      <w:spacing w:line="14" w:lineRule="auto"/>
    </w:pPr>
    <w:r>
      <w:pict w14:anchorId="02E8BA4B">
        <v:rect id="_x0000_s2070" style="position:absolute;margin-left:538.6pt;margin-top:0;width:28.35pt;height:42.5pt;z-index:-336712;mso-position-horizontal-relative:page;mso-position-vertical-relative:page" fillcolor="#ea5b50" stroked="f">
          <w10:wrap anchorx="page" anchory="page"/>
        </v:rect>
      </w:pict>
    </w:r>
    <w:r>
      <w:pict w14:anchorId="353F7A7B">
        <v:shapetype id="_x0000_t202" coordsize="21600,21600" o:spt="202" path="m,l,21600r21600,l21600,xe">
          <v:stroke joinstyle="miter"/>
          <v:path gradientshapeok="t" o:connecttype="rect"/>
        </v:shapetype>
        <v:shape id="_x0000_s2069" type="#_x0000_t202" style="position:absolute;margin-left:546.8pt;margin-top:11.8pt;width:11.9pt;height:23.15pt;z-index:-336688;mso-position-horizontal-relative:page;mso-position-vertical-relative:page" filled="f" stroked="f">
          <v:textbox inset="0,0,0,0">
            <w:txbxContent>
              <w:p w14:paraId="31EDEC86" w14:textId="77777777" w:rsidR="00894070" w:rsidRDefault="009B7AFD">
                <w:pPr>
                  <w:spacing w:line="443" w:lineRule="exact"/>
                  <w:ind w:left="20"/>
                  <w:rPr>
                    <w:rFonts w:ascii="Raleway SemiBold"/>
                    <w:b/>
                    <w:sz w:val="36"/>
                  </w:rPr>
                </w:pPr>
                <w:r>
                  <w:rPr>
                    <w:rFonts w:ascii="Raleway SemiBold"/>
                    <w:b/>
                    <w:color w:val="FFFFFF"/>
                    <w:sz w:val="36"/>
                  </w:rPr>
                  <w:t>7</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5BBF" w14:textId="77777777" w:rsidR="00894070" w:rsidRDefault="009F6793">
    <w:pPr>
      <w:pStyle w:val="BodyText"/>
      <w:spacing w:line="14" w:lineRule="auto"/>
    </w:pPr>
    <w:r>
      <w:pict w14:anchorId="5F4A931B">
        <v:shapetype id="_x0000_t202" coordsize="21600,21600" o:spt="202" path="m,l,21600r21600,l21600,xe">
          <v:stroke joinstyle="miter"/>
          <v:path gradientshapeok="t" o:connecttype="rect"/>
        </v:shapetype>
        <v:shape id="_x0000_s2066" type="#_x0000_t202" style="position:absolute;margin-left:41.5pt;margin-top:27.35pt;width:108.5pt;height:17.65pt;z-index:-336616;mso-position-horizontal-relative:page;mso-position-vertical-relative:page" filled="f" stroked="f">
          <v:textbox inset="0,0,0,0">
            <w:txbxContent>
              <w:p w14:paraId="01D49261" w14:textId="77777777" w:rsidR="00894070" w:rsidRDefault="009B7AFD">
                <w:pPr>
                  <w:spacing w:line="162" w:lineRule="exact"/>
                  <w:ind w:left="20"/>
                  <w:rPr>
                    <w:sz w:val="13"/>
                  </w:rPr>
                </w:pPr>
                <w:r>
                  <w:rPr>
                    <w:color w:val="231F20"/>
                    <w:sz w:val="13"/>
                  </w:rPr>
                  <w:t>Victorian Law Reform Commission</w:t>
                </w:r>
              </w:p>
              <w:p w14:paraId="53004FA1"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5471" w14:textId="77777777" w:rsidR="00894070" w:rsidRDefault="009F6793">
    <w:pPr>
      <w:pStyle w:val="BodyText"/>
      <w:spacing w:line="14" w:lineRule="auto"/>
      <w:rPr>
        <w:sz w:val="2"/>
      </w:rPr>
    </w:pPr>
    <w:r>
      <w:pict w14:anchorId="4AFA5C28">
        <v:rect id="_x0000_s2067" style="position:absolute;margin-left:0;margin-top:0;width:595.3pt;height:841.9pt;z-index:-336640;mso-position-horizontal-relative:page;mso-position-vertical-relative:page" fillcolor="#ea5b50" stroked="f">
          <w10:wrap anchorx="page" anchory="page"/>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B4B1" w14:textId="77777777" w:rsidR="00894070" w:rsidRDefault="009F6793">
    <w:pPr>
      <w:pStyle w:val="BodyText"/>
      <w:spacing w:line="14" w:lineRule="auto"/>
    </w:pPr>
    <w:r>
      <w:pict w14:anchorId="0D9D4127">
        <v:shapetype id="_x0000_t202" coordsize="21600,21600" o:spt="202" path="m,l,21600r21600,l21600,xe">
          <v:stroke joinstyle="miter"/>
          <v:path gradientshapeok="t" o:connecttype="rect"/>
        </v:shapetype>
        <v:shape id="_x0000_s2104" type="#_x0000_t202" style="position:absolute;margin-left:41.5pt;margin-top:27.35pt;width:108.5pt;height:17.65pt;z-index:-337528;mso-position-horizontal-relative:page;mso-position-vertical-relative:page" filled="f" stroked="f">
          <v:textbox inset="0,0,0,0">
            <w:txbxContent>
              <w:p w14:paraId="798DB966" w14:textId="77777777" w:rsidR="00894070" w:rsidRDefault="009B7AFD">
                <w:pPr>
                  <w:spacing w:line="162" w:lineRule="exact"/>
                  <w:ind w:left="20"/>
                  <w:rPr>
                    <w:sz w:val="13"/>
                  </w:rPr>
                </w:pPr>
                <w:r>
                  <w:rPr>
                    <w:color w:val="231F20"/>
                    <w:sz w:val="13"/>
                  </w:rPr>
                  <w:t>Victorian Law Reform Commission</w:t>
                </w:r>
              </w:p>
              <w:p w14:paraId="4D0E7A96"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B586" w14:textId="77777777" w:rsidR="00894070" w:rsidRDefault="009F6793">
    <w:pPr>
      <w:pStyle w:val="BodyText"/>
      <w:spacing w:line="14" w:lineRule="auto"/>
    </w:pPr>
    <w:r>
      <w:pict w14:anchorId="01AE5336">
        <v:shapetype id="_x0000_t202" coordsize="21600,21600" o:spt="202" path="m,l,21600r21600,l21600,xe">
          <v:stroke joinstyle="miter"/>
          <v:path gradientshapeok="t" o:connecttype="rect"/>
        </v:shapetype>
        <v:shape id="_x0000_s2063" type="#_x0000_t202" style="position:absolute;margin-left:41.5pt;margin-top:27.35pt;width:108.5pt;height:17.65pt;z-index:-336544;mso-position-horizontal-relative:page;mso-position-vertical-relative:page" filled="f" stroked="f">
          <v:textbox inset="0,0,0,0">
            <w:txbxContent>
              <w:p w14:paraId="2D96C472" w14:textId="77777777" w:rsidR="00894070" w:rsidRDefault="009B7AFD">
                <w:pPr>
                  <w:spacing w:line="162" w:lineRule="exact"/>
                  <w:ind w:left="20"/>
                  <w:rPr>
                    <w:sz w:val="13"/>
                  </w:rPr>
                </w:pPr>
                <w:r>
                  <w:rPr>
                    <w:color w:val="231F20"/>
                    <w:sz w:val="13"/>
                  </w:rPr>
                  <w:t>Victorian Law Reform Commission</w:t>
                </w:r>
              </w:p>
              <w:p w14:paraId="0BFB188B"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10B8" w14:textId="77777777" w:rsidR="00894070" w:rsidRDefault="009F6793">
    <w:pPr>
      <w:pStyle w:val="BodyText"/>
      <w:spacing w:line="14" w:lineRule="auto"/>
    </w:pPr>
    <w:r>
      <w:pict w14:anchorId="17BAE894">
        <v:rect id="_x0000_s2065" style="position:absolute;margin-left:538.6pt;margin-top:0;width:28.35pt;height:42.5pt;z-index:-336592;mso-position-horizontal-relative:page;mso-position-vertical-relative:page" fillcolor="#ea5b50" stroked="f">
          <w10:wrap anchorx="page" anchory="page"/>
        </v:rect>
      </w:pict>
    </w:r>
    <w:r>
      <w:pict w14:anchorId="787944D0">
        <v:shapetype id="_x0000_t202" coordsize="21600,21600" o:spt="202" path="m,l,21600r21600,l21600,xe">
          <v:stroke joinstyle="miter"/>
          <v:path gradientshapeok="t" o:connecttype="rect"/>
        </v:shapetype>
        <v:shape id="_x0000_s2064" type="#_x0000_t202" style="position:absolute;margin-left:546.35pt;margin-top:11.8pt;width:12.85pt;height:23.15pt;z-index:-336568;mso-position-horizontal-relative:page;mso-position-vertical-relative:page" filled="f" stroked="f">
          <v:textbox inset="0,0,0,0">
            <w:txbxContent>
              <w:p w14:paraId="4D857D8C" w14:textId="77777777" w:rsidR="00894070" w:rsidRDefault="009B7AFD">
                <w:pPr>
                  <w:spacing w:line="443" w:lineRule="exact"/>
                  <w:ind w:left="20"/>
                  <w:rPr>
                    <w:rFonts w:ascii="Raleway SemiBold"/>
                    <w:b/>
                    <w:sz w:val="36"/>
                  </w:rPr>
                </w:pPr>
                <w:r>
                  <w:rPr>
                    <w:rFonts w:ascii="Raleway SemiBold"/>
                    <w:b/>
                    <w:color w:val="FFFFFF"/>
                    <w:sz w:val="36"/>
                  </w:rPr>
                  <w:t>8</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96EF" w14:textId="77777777" w:rsidR="00894070" w:rsidRDefault="009F6793">
    <w:pPr>
      <w:pStyle w:val="BodyText"/>
      <w:spacing w:line="14" w:lineRule="auto"/>
    </w:pPr>
    <w:r>
      <w:pict w14:anchorId="5F51E89B">
        <v:shapetype id="_x0000_t202" coordsize="21600,21600" o:spt="202" path="m,l,21600r21600,l21600,xe">
          <v:stroke joinstyle="miter"/>
          <v:path gradientshapeok="t" o:connecttype="rect"/>
        </v:shapetype>
        <v:shape id="_x0000_s2061" type="#_x0000_t202" style="position:absolute;margin-left:41.5pt;margin-top:27.35pt;width:108.5pt;height:17.65pt;z-index:-336496;mso-position-horizontal-relative:page;mso-position-vertical-relative:page" filled="f" stroked="f">
          <v:textbox inset="0,0,0,0">
            <w:txbxContent>
              <w:p w14:paraId="2034118C" w14:textId="77777777" w:rsidR="00894070" w:rsidRDefault="009B7AFD">
                <w:pPr>
                  <w:spacing w:line="162" w:lineRule="exact"/>
                  <w:ind w:left="20"/>
                  <w:rPr>
                    <w:sz w:val="13"/>
                  </w:rPr>
                </w:pPr>
                <w:r>
                  <w:rPr>
                    <w:color w:val="231F20"/>
                    <w:sz w:val="13"/>
                  </w:rPr>
                  <w:t>Victorian Law Reform Commission</w:t>
                </w:r>
              </w:p>
              <w:p w14:paraId="0891E6E1"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4137" w14:textId="77777777" w:rsidR="00894070" w:rsidRDefault="009F6793">
    <w:pPr>
      <w:pStyle w:val="BodyText"/>
      <w:spacing w:line="14" w:lineRule="auto"/>
      <w:rPr>
        <w:sz w:val="2"/>
      </w:rPr>
    </w:pPr>
    <w:r>
      <w:pict w14:anchorId="645564B0">
        <v:rect id="_x0000_s2062" style="position:absolute;margin-left:0;margin-top:0;width:595.3pt;height:841.9pt;z-index:-336520;mso-position-horizontal-relative:page;mso-position-vertical-relative:page" fillcolor="#ea5b50" stroked="f">
          <w10:wrap anchorx="page" anchory="page"/>
        </v:rect>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EF25" w14:textId="77777777" w:rsidR="00894070" w:rsidRDefault="009F6793">
    <w:pPr>
      <w:pStyle w:val="BodyText"/>
      <w:spacing w:line="14" w:lineRule="auto"/>
    </w:pPr>
    <w:r>
      <w:pict w14:anchorId="3B04A0BC">
        <v:shapetype id="_x0000_t202" coordsize="21600,21600" o:spt="202" path="m,l,21600r21600,l21600,xe">
          <v:stroke joinstyle="miter"/>
          <v:path gradientshapeok="t" o:connecttype="rect"/>
        </v:shapetype>
        <v:shape id="_x0000_s2058" type="#_x0000_t202" style="position:absolute;margin-left:41.5pt;margin-top:27.35pt;width:108.5pt;height:17.65pt;z-index:-336424;mso-position-horizontal-relative:page;mso-position-vertical-relative:page" filled="f" stroked="f">
          <v:textbox inset="0,0,0,0">
            <w:txbxContent>
              <w:p w14:paraId="712988BB" w14:textId="77777777" w:rsidR="00894070" w:rsidRDefault="009B7AFD">
                <w:pPr>
                  <w:spacing w:line="162" w:lineRule="exact"/>
                  <w:ind w:left="20"/>
                  <w:rPr>
                    <w:sz w:val="13"/>
                  </w:rPr>
                </w:pPr>
                <w:r>
                  <w:rPr>
                    <w:color w:val="231F20"/>
                    <w:sz w:val="13"/>
                  </w:rPr>
                  <w:t>Victorian Law Reform Commission</w:t>
                </w:r>
              </w:p>
              <w:p w14:paraId="616F6B36"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3ED81" w14:textId="77777777" w:rsidR="00894070" w:rsidRDefault="009F6793">
    <w:pPr>
      <w:pStyle w:val="BodyText"/>
      <w:spacing w:line="14" w:lineRule="auto"/>
    </w:pPr>
    <w:r>
      <w:pict w14:anchorId="3B971C3F">
        <v:rect id="_x0000_s2060" style="position:absolute;margin-left:538.6pt;margin-top:0;width:28.35pt;height:42.5pt;z-index:-336472;mso-position-horizontal-relative:page;mso-position-vertical-relative:page" fillcolor="#ea5b50" stroked="f">
          <w10:wrap anchorx="page" anchory="page"/>
        </v:rect>
      </w:pict>
    </w:r>
    <w:r>
      <w:pict w14:anchorId="2F236F76">
        <v:shapetype id="_x0000_t202" coordsize="21600,21600" o:spt="202" path="m,l,21600r21600,l21600,xe">
          <v:stroke joinstyle="miter"/>
          <v:path gradientshapeok="t" o:connecttype="rect"/>
        </v:shapetype>
        <v:shape id="_x0000_s2059" type="#_x0000_t202" style="position:absolute;margin-left:545.7pt;margin-top:11.8pt;width:14.15pt;height:23.15pt;z-index:-336448;mso-position-horizontal-relative:page;mso-position-vertical-relative:page" filled="f" stroked="f">
          <v:textbox inset="0,0,0,0">
            <w:txbxContent>
              <w:p w14:paraId="68CDF48F" w14:textId="77777777" w:rsidR="00894070" w:rsidRDefault="009B7AFD">
                <w:pPr>
                  <w:spacing w:line="443" w:lineRule="exact"/>
                  <w:ind w:left="20"/>
                  <w:rPr>
                    <w:rFonts w:ascii="Raleway SemiBold"/>
                    <w:b/>
                    <w:sz w:val="36"/>
                  </w:rPr>
                </w:pPr>
                <w:r>
                  <w:rPr>
                    <w:rFonts w:ascii="Raleway SemiBold"/>
                    <w:b/>
                    <w:color w:val="FFFFFF"/>
                    <w:sz w:val="36"/>
                  </w:rPr>
                  <w:t>A</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DA92" w14:textId="77777777" w:rsidR="00894070" w:rsidRDefault="009F6793">
    <w:pPr>
      <w:pStyle w:val="BodyText"/>
      <w:spacing w:line="14" w:lineRule="auto"/>
    </w:pPr>
    <w:r>
      <w:pict w14:anchorId="7D77BBC9">
        <v:shapetype id="_x0000_t202" coordsize="21600,21600" o:spt="202" path="m,l,21600r21600,l21600,xe">
          <v:stroke joinstyle="miter"/>
          <v:path gradientshapeok="t" o:connecttype="rect"/>
        </v:shapetype>
        <v:shape id="_x0000_s2055" type="#_x0000_t202" style="position:absolute;margin-left:41.5pt;margin-top:27.35pt;width:108.5pt;height:17.65pt;z-index:-336352;mso-position-horizontal-relative:page;mso-position-vertical-relative:page" filled="f" stroked="f">
          <v:textbox inset="0,0,0,0">
            <w:txbxContent>
              <w:p w14:paraId="1CFC7EE2" w14:textId="77777777" w:rsidR="00894070" w:rsidRDefault="009B7AFD">
                <w:pPr>
                  <w:spacing w:line="162" w:lineRule="exact"/>
                  <w:ind w:left="20"/>
                  <w:rPr>
                    <w:sz w:val="13"/>
                  </w:rPr>
                </w:pPr>
                <w:r>
                  <w:rPr>
                    <w:color w:val="231F20"/>
                    <w:sz w:val="13"/>
                  </w:rPr>
                  <w:t>Victorian Law Reform Commission</w:t>
                </w:r>
              </w:p>
              <w:p w14:paraId="1D9C6E0F"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5F63" w14:textId="77777777" w:rsidR="00894070" w:rsidRDefault="009F6793">
    <w:pPr>
      <w:pStyle w:val="BodyText"/>
      <w:spacing w:line="14" w:lineRule="auto"/>
    </w:pPr>
    <w:r>
      <w:pict w14:anchorId="756BF784">
        <v:rect id="_x0000_s2057" style="position:absolute;margin-left:538.6pt;margin-top:0;width:28.35pt;height:42.5pt;z-index:-336400;mso-position-horizontal-relative:page;mso-position-vertical-relative:page" fillcolor="#ea5b50" stroked="f">
          <w10:wrap anchorx="page" anchory="page"/>
        </v:rect>
      </w:pict>
    </w:r>
    <w:r>
      <w:pict w14:anchorId="4A037990">
        <v:shapetype id="_x0000_t202" coordsize="21600,21600" o:spt="202" path="m,l,21600r21600,l21600,xe">
          <v:stroke joinstyle="miter"/>
          <v:path gradientshapeok="t" o:connecttype="rect"/>
        </v:shapetype>
        <v:shape id="_x0000_s2056" type="#_x0000_t202" style="position:absolute;margin-left:545.7pt;margin-top:11.8pt;width:14.15pt;height:23.15pt;z-index:-336376;mso-position-horizontal-relative:page;mso-position-vertical-relative:page" filled="f" stroked="f">
          <v:textbox inset="0,0,0,0">
            <w:txbxContent>
              <w:p w14:paraId="2904BB9F" w14:textId="77777777" w:rsidR="00894070" w:rsidRDefault="009B7AFD">
                <w:pPr>
                  <w:spacing w:line="443" w:lineRule="exact"/>
                  <w:ind w:left="20"/>
                  <w:rPr>
                    <w:rFonts w:ascii="Raleway SemiBold"/>
                    <w:b/>
                    <w:sz w:val="36"/>
                  </w:rPr>
                </w:pPr>
                <w:r>
                  <w:rPr>
                    <w:rFonts w:ascii="Raleway SemiBold"/>
                    <w:b/>
                    <w:color w:val="FFFFFF"/>
                    <w:sz w:val="36"/>
                  </w:rPr>
                  <w:t>B</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BF9B" w14:textId="77777777" w:rsidR="00894070" w:rsidRDefault="009F6793">
    <w:pPr>
      <w:pStyle w:val="BodyText"/>
      <w:spacing w:line="14" w:lineRule="auto"/>
    </w:pPr>
    <w:r>
      <w:pict w14:anchorId="025B77D6">
        <v:rect id="_x0000_s2054" style="position:absolute;margin-left:538.6pt;margin-top:0;width:28.35pt;height:42.5pt;z-index:-336328;mso-position-horizontal-relative:page;mso-position-vertical-relative:page" fillcolor="#ea5b50" stroked="f">
          <w10:wrap anchorx="page" anchory="page"/>
        </v:rect>
      </w:pict>
    </w:r>
    <w:r>
      <w:pict w14:anchorId="0A10FD26">
        <v:shapetype id="_x0000_t202" coordsize="21600,21600" o:spt="202" path="m,l,21600r21600,l21600,xe">
          <v:stroke joinstyle="miter"/>
          <v:path gradientshapeok="t" o:connecttype="rect"/>
        </v:shapetype>
        <v:shape id="_x0000_s2053" type="#_x0000_t202" style="position:absolute;margin-left:545.6pt;margin-top:11.8pt;width:14.35pt;height:23.15pt;z-index:-336304;mso-position-horizontal-relative:page;mso-position-vertical-relative:page" filled="f" stroked="f">
          <v:textbox inset="0,0,0,0">
            <w:txbxContent>
              <w:p w14:paraId="782DAB46" w14:textId="77777777" w:rsidR="00894070" w:rsidRDefault="009B7AFD">
                <w:pPr>
                  <w:spacing w:line="443" w:lineRule="exact"/>
                  <w:ind w:left="20"/>
                  <w:rPr>
                    <w:rFonts w:ascii="Raleway SemiBold"/>
                    <w:b/>
                    <w:sz w:val="36"/>
                  </w:rPr>
                </w:pPr>
                <w:r>
                  <w:rPr>
                    <w:rFonts w:ascii="Raleway SemiBold"/>
                    <w:b/>
                    <w:color w:val="FFFFFF"/>
                    <w:sz w:val="36"/>
                  </w:rPr>
                  <w:t>C</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853DF" w14:textId="77777777" w:rsidR="00894070" w:rsidRDefault="0089407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DBB0" w14:textId="77777777" w:rsidR="00894070" w:rsidRDefault="009F6793">
    <w:pPr>
      <w:pStyle w:val="BodyText"/>
      <w:spacing w:line="14" w:lineRule="auto"/>
    </w:pPr>
    <w:r>
      <w:pict w14:anchorId="64D93801">
        <v:rect id="_x0000_s2103" style="position:absolute;margin-left:538.6pt;margin-top:0;width:28.35pt;height:42.5pt;z-index:-337504;mso-position-horizontal-relative:page;mso-position-vertical-relative:page" fillcolor="#ea5b50" stroked="f">
          <w10:wrap anchorx="page" anchory="page"/>
        </v:rect>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0C26" w14:textId="77777777" w:rsidR="00894070" w:rsidRDefault="009F6793">
    <w:pPr>
      <w:pStyle w:val="BodyText"/>
      <w:spacing w:line="14" w:lineRule="auto"/>
    </w:pPr>
    <w:r>
      <w:pict w14:anchorId="48CC5B52">
        <v:shapetype id="_x0000_t202" coordsize="21600,21600" o:spt="202" path="m,l,21600r21600,l21600,xe">
          <v:stroke joinstyle="miter"/>
          <v:path gradientshapeok="t" o:connecttype="rect"/>
        </v:shapetype>
        <v:shape id="_x0000_s2051" type="#_x0000_t202" style="position:absolute;margin-left:41.5pt;margin-top:27.35pt;width:108.5pt;height:17.65pt;z-index:-336256;mso-position-horizontal-relative:page;mso-position-vertical-relative:page" filled="f" stroked="f">
          <v:textbox inset="0,0,0,0">
            <w:txbxContent>
              <w:p w14:paraId="1530BD3A" w14:textId="77777777" w:rsidR="00894070" w:rsidRDefault="009B7AFD">
                <w:pPr>
                  <w:spacing w:line="162" w:lineRule="exact"/>
                  <w:ind w:left="20"/>
                  <w:rPr>
                    <w:sz w:val="13"/>
                  </w:rPr>
                </w:pPr>
                <w:r>
                  <w:rPr>
                    <w:color w:val="231F20"/>
                    <w:sz w:val="13"/>
                  </w:rPr>
                  <w:t>Victorian Law Reform Commission</w:t>
                </w:r>
              </w:p>
              <w:p w14:paraId="09D820F5"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D41AD" w14:textId="77777777" w:rsidR="00894070" w:rsidRDefault="009F6793">
    <w:pPr>
      <w:pStyle w:val="BodyText"/>
      <w:spacing w:line="14" w:lineRule="auto"/>
      <w:rPr>
        <w:sz w:val="2"/>
      </w:rPr>
    </w:pPr>
    <w:r>
      <w:pict w14:anchorId="62D83251">
        <v:rect id="_x0000_s2052" style="position:absolute;margin-left:0;margin-top:0;width:595.3pt;height:841.9pt;z-index:-336280;mso-position-horizontal-relative:page;mso-position-vertical-relative:page" fillcolor="#ea5b50" stroked="f">
          <w10:wrap anchorx="page" anchory="page"/>
        </v:rect>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564C" w14:textId="77777777" w:rsidR="00894070" w:rsidRDefault="009F6793">
    <w:pPr>
      <w:pStyle w:val="BodyText"/>
      <w:spacing w:line="14" w:lineRule="auto"/>
    </w:pPr>
    <w:r>
      <w:pict w14:anchorId="1B0F40AB">
        <v:shapetype id="_x0000_t202" coordsize="21600,21600" o:spt="202" path="m,l,21600r21600,l21600,xe">
          <v:stroke joinstyle="miter"/>
          <v:path gradientshapeok="t" o:connecttype="rect"/>
        </v:shapetype>
        <v:shape id="_x0000_s2049" type="#_x0000_t202" style="position:absolute;margin-left:41.5pt;margin-top:27.35pt;width:108.5pt;height:17.65pt;z-index:-336208;mso-position-horizontal-relative:page;mso-position-vertical-relative:page" filled="f" stroked="f">
          <v:textbox inset="0,0,0,0">
            <w:txbxContent>
              <w:p w14:paraId="7B28AD79" w14:textId="77777777" w:rsidR="00894070" w:rsidRDefault="009B7AFD">
                <w:pPr>
                  <w:spacing w:line="162" w:lineRule="exact"/>
                  <w:ind w:left="20"/>
                  <w:rPr>
                    <w:sz w:val="13"/>
                  </w:rPr>
                </w:pPr>
                <w:r>
                  <w:rPr>
                    <w:color w:val="231F20"/>
                    <w:sz w:val="13"/>
                  </w:rPr>
                  <w:t>Victorian Law Reform Commission</w:t>
                </w:r>
              </w:p>
              <w:p w14:paraId="629403D9"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8D11" w14:textId="77777777" w:rsidR="00894070" w:rsidRDefault="009F6793">
    <w:pPr>
      <w:pStyle w:val="BodyText"/>
      <w:spacing w:line="14" w:lineRule="auto"/>
    </w:pPr>
    <w:r>
      <w:pict w14:anchorId="3330A189">
        <v:rect id="_x0000_s2050" style="position:absolute;margin-left:538.6pt;margin-top:0;width:28.35pt;height:42.5pt;z-index:-336232;mso-position-horizontal-relative:page;mso-position-vertical-relative:page" fillcolor="#ea5b50" stroked="f">
          <w10:wrap anchorx="page" anchory="page"/>
        </v:rect>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FD54" w14:textId="77777777" w:rsidR="00894070" w:rsidRDefault="0089407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25E5" w14:textId="77777777" w:rsidR="00894070" w:rsidRDefault="0089407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713E" w14:textId="77777777" w:rsidR="00894070" w:rsidRDefault="009F6793">
    <w:pPr>
      <w:pStyle w:val="BodyText"/>
      <w:spacing w:line="14" w:lineRule="auto"/>
    </w:pPr>
    <w:r>
      <w:pict w14:anchorId="7C465919">
        <v:shapetype id="_x0000_t202" coordsize="21600,21600" o:spt="202" path="m,l,21600r21600,l21600,xe">
          <v:stroke joinstyle="miter"/>
          <v:path gradientshapeok="t" o:connecttype="rect"/>
        </v:shapetype>
        <v:shape id="_x0000_s2101" type="#_x0000_t202" style="position:absolute;margin-left:41.5pt;margin-top:27.35pt;width:108.5pt;height:17.65pt;z-index:-337456;mso-position-horizontal-relative:page;mso-position-vertical-relative:page" filled="f" stroked="f">
          <v:textbox inset="0,0,0,0">
            <w:txbxContent>
              <w:p w14:paraId="6B35E3CA" w14:textId="77777777" w:rsidR="00894070" w:rsidRDefault="009B7AFD">
                <w:pPr>
                  <w:spacing w:line="162" w:lineRule="exact"/>
                  <w:ind w:left="20"/>
                  <w:rPr>
                    <w:sz w:val="13"/>
                  </w:rPr>
                </w:pPr>
                <w:r>
                  <w:rPr>
                    <w:color w:val="231F20"/>
                    <w:sz w:val="13"/>
                  </w:rPr>
                  <w:t>Victorian Law Reform Commission</w:t>
                </w:r>
              </w:p>
              <w:p w14:paraId="0D70BCBD"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A21E" w14:textId="77777777" w:rsidR="00894070" w:rsidRDefault="009F6793">
    <w:pPr>
      <w:pStyle w:val="BodyText"/>
      <w:spacing w:line="14" w:lineRule="auto"/>
      <w:rPr>
        <w:sz w:val="2"/>
      </w:rPr>
    </w:pPr>
    <w:r>
      <w:pict w14:anchorId="31D51303">
        <v:rect id="_x0000_s2102" style="position:absolute;margin-left:0;margin-top:0;width:595.3pt;height:841.9pt;z-index:-337480;mso-position-horizontal-relative:page;mso-position-vertical-relative:page" fillcolor="#ea5b50" stroked="f">
          <w10:wrap anchorx="page" anchory="page"/>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3B99" w14:textId="77777777" w:rsidR="00894070" w:rsidRDefault="009F6793">
    <w:pPr>
      <w:pStyle w:val="BodyText"/>
      <w:spacing w:line="14" w:lineRule="auto"/>
    </w:pPr>
    <w:r>
      <w:pict w14:anchorId="5647288A">
        <v:shapetype id="_x0000_t202" coordsize="21600,21600" o:spt="202" path="m,l,21600r21600,l21600,xe">
          <v:stroke joinstyle="miter"/>
          <v:path gradientshapeok="t" o:connecttype="rect"/>
        </v:shapetype>
        <v:shape id="_x0000_s2098" type="#_x0000_t202" style="position:absolute;margin-left:41.5pt;margin-top:27.35pt;width:108.5pt;height:17.65pt;z-index:-337384;mso-position-horizontal-relative:page;mso-position-vertical-relative:page" filled="f" stroked="f">
          <v:textbox inset="0,0,0,0">
            <w:txbxContent>
              <w:p w14:paraId="738C9E19" w14:textId="77777777" w:rsidR="00894070" w:rsidRDefault="009B7AFD">
                <w:pPr>
                  <w:spacing w:line="162" w:lineRule="exact"/>
                  <w:ind w:left="20"/>
                  <w:rPr>
                    <w:sz w:val="13"/>
                  </w:rPr>
                </w:pPr>
                <w:r>
                  <w:rPr>
                    <w:color w:val="231F20"/>
                    <w:sz w:val="13"/>
                  </w:rPr>
                  <w:t>Victorian Law Reform Commission</w:t>
                </w:r>
              </w:p>
              <w:p w14:paraId="749A110D" w14:textId="77777777" w:rsidR="00894070" w:rsidRDefault="009B7AFD">
                <w:pPr>
                  <w:spacing w:line="170" w:lineRule="exact"/>
                  <w:ind w:left="20"/>
                  <w:rPr>
                    <w:b/>
                    <w:sz w:val="13"/>
                  </w:rPr>
                </w:pPr>
                <w:r>
                  <w:rPr>
                    <w:b/>
                    <w:color w:val="231F20"/>
                    <w:sz w:val="13"/>
                  </w:rPr>
                  <w:t>Stalking: Final Report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022F"/>
    <w:multiLevelType w:val="hybridMultilevel"/>
    <w:tmpl w:val="CCBE2012"/>
    <w:lvl w:ilvl="0" w:tplc="A5D0CA20">
      <w:start w:val="15"/>
      <w:numFmt w:val="decimal"/>
      <w:lvlText w:val="%1"/>
      <w:lvlJc w:val="left"/>
      <w:pPr>
        <w:ind w:left="1801" w:hanging="794"/>
        <w:jc w:val="left"/>
      </w:pPr>
      <w:rPr>
        <w:rFonts w:ascii="Raleway" w:eastAsia="Raleway" w:hAnsi="Raleway" w:cs="Raleway" w:hint="default"/>
        <w:color w:val="231F20"/>
        <w:spacing w:val="-9"/>
        <w:w w:val="99"/>
        <w:sz w:val="13"/>
        <w:szCs w:val="13"/>
        <w:lang w:val="en-US" w:eastAsia="en-US" w:bidi="en-US"/>
      </w:rPr>
    </w:lvl>
    <w:lvl w:ilvl="1" w:tplc="BE8CB3A6">
      <w:numFmt w:val="bullet"/>
      <w:lvlText w:val="•"/>
      <w:lvlJc w:val="left"/>
      <w:pPr>
        <w:ind w:left="2710" w:hanging="794"/>
      </w:pPr>
      <w:rPr>
        <w:rFonts w:hint="default"/>
        <w:lang w:val="en-US" w:eastAsia="en-US" w:bidi="en-US"/>
      </w:rPr>
    </w:lvl>
    <w:lvl w:ilvl="2" w:tplc="69265B70">
      <w:numFmt w:val="bullet"/>
      <w:lvlText w:val="•"/>
      <w:lvlJc w:val="left"/>
      <w:pPr>
        <w:ind w:left="3621" w:hanging="794"/>
      </w:pPr>
      <w:rPr>
        <w:rFonts w:hint="default"/>
        <w:lang w:val="en-US" w:eastAsia="en-US" w:bidi="en-US"/>
      </w:rPr>
    </w:lvl>
    <w:lvl w:ilvl="3" w:tplc="56685876">
      <w:numFmt w:val="bullet"/>
      <w:lvlText w:val="•"/>
      <w:lvlJc w:val="left"/>
      <w:pPr>
        <w:ind w:left="4531" w:hanging="794"/>
      </w:pPr>
      <w:rPr>
        <w:rFonts w:hint="default"/>
        <w:lang w:val="en-US" w:eastAsia="en-US" w:bidi="en-US"/>
      </w:rPr>
    </w:lvl>
    <w:lvl w:ilvl="4" w:tplc="30DE4416">
      <w:numFmt w:val="bullet"/>
      <w:lvlText w:val="•"/>
      <w:lvlJc w:val="left"/>
      <w:pPr>
        <w:ind w:left="5442" w:hanging="794"/>
      </w:pPr>
      <w:rPr>
        <w:rFonts w:hint="default"/>
        <w:lang w:val="en-US" w:eastAsia="en-US" w:bidi="en-US"/>
      </w:rPr>
    </w:lvl>
    <w:lvl w:ilvl="5" w:tplc="9718F0B8">
      <w:numFmt w:val="bullet"/>
      <w:lvlText w:val="•"/>
      <w:lvlJc w:val="left"/>
      <w:pPr>
        <w:ind w:left="6352" w:hanging="794"/>
      </w:pPr>
      <w:rPr>
        <w:rFonts w:hint="default"/>
        <w:lang w:val="en-US" w:eastAsia="en-US" w:bidi="en-US"/>
      </w:rPr>
    </w:lvl>
    <w:lvl w:ilvl="6" w:tplc="8D64ADDC">
      <w:numFmt w:val="bullet"/>
      <w:lvlText w:val="•"/>
      <w:lvlJc w:val="left"/>
      <w:pPr>
        <w:ind w:left="7263" w:hanging="794"/>
      </w:pPr>
      <w:rPr>
        <w:rFonts w:hint="default"/>
        <w:lang w:val="en-US" w:eastAsia="en-US" w:bidi="en-US"/>
      </w:rPr>
    </w:lvl>
    <w:lvl w:ilvl="7" w:tplc="5BF2DAA8">
      <w:numFmt w:val="bullet"/>
      <w:lvlText w:val="•"/>
      <w:lvlJc w:val="left"/>
      <w:pPr>
        <w:ind w:left="8173" w:hanging="794"/>
      </w:pPr>
      <w:rPr>
        <w:rFonts w:hint="default"/>
        <w:lang w:val="en-US" w:eastAsia="en-US" w:bidi="en-US"/>
      </w:rPr>
    </w:lvl>
    <w:lvl w:ilvl="8" w:tplc="FB5241A4">
      <w:numFmt w:val="bullet"/>
      <w:lvlText w:val="•"/>
      <w:lvlJc w:val="left"/>
      <w:pPr>
        <w:ind w:left="9084" w:hanging="794"/>
      </w:pPr>
      <w:rPr>
        <w:rFonts w:hint="default"/>
        <w:lang w:val="en-US" w:eastAsia="en-US" w:bidi="en-US"/>
      </w:rPr>
    </w:lvl>
  </w:abstractNum>
  <w:abstractNum w:abstractNumId="1" w15:restartNumberingAfterBreak="0">
    <w:nsid w:val="00E20AA4"/>
    <w:multiLevelType w:val="hybridMultilevel"/>
    <w:tmpl w:val="D4F0BAEE"/>
    <w:lvl w:ilvl="0" w:tplc="B3F42D26">
      <w:start w:val="207"/>
      <w:numFmt w:val="decimal"/>
      <w:lvlText w:val="%1"/>
      <w:lvlJc w:val="left"/>
      <w:pPr>
        <w:ind w:left="933" w:hanging="794"/>
        <w:jc w:val="left"/>
      </w:pPr>
      <w:rPr>
        <w:rFonts w:ascii="Raleway" w:eastAsia="Raleway" w:hAnsi="Raleway" w:cs="Raleway" w:hint="default"/>
        <w:color w:val="231F20"/>
        <w:spacing w:val="-4"/>
        <w:w w:val="99"/>
        <w:sz w:val="13"/>
        <w:szCs w:val="13"/>
        <w:lang w:val="en-US" w:eastAsia="en-US" w:bidi="en-US"/>
      </w:rPr>
    </w:lvl>
    <w:lvl w:ilvl="1" w:tplc="8E724276">
      <w:numFmt w:val="bullet"/>
      <w:lvlText w:val="•"/>
      <w:lvlJc w:val="left"/>
      <w:pPr>
        <w:ind w:left="1849" w:hanging="794"/>
      </w:pPr>
      <w:rPr>
        <w:rFonts w:hint="default"/>
        <w:lang w:val="en-US" w:eastAsia="en-US" w:bidi="en-US"/>
      </w:rPr>
    </w:lvl>
    <w:lvl w:ilvl="2" w:tplc="1C9CDDA4">
      <w:numFmt w:val="bullet"/>
      <w:lvlText w:val="•"/>
      <w:lvlJc w:val="left"/>
      <w:pPr>
        <w:ind w:left="2759" w:hanging="794"/>
      </w:pPr>
      <w:rPr>
        <w:rFonts w:hint="default"/>
        <w:lang w:val="en-US" w:eastAsia="en-US" w:bidi="en-US"/>
      </w:rPr>
    </w:lvl>
    <w:lvl w:ilvl="3" w:tplc="8814EBEA">
      <w:numFmt w:val="bullet"/>
      <w:lvlText w:val="•"/>
      <w:lvlJc w:val="left"/>
      <w:pPr>
        <w:ind w:left="3669" w:hanging="794"/>
      </w:pPr>
      <w:rPr>
        <w:rFonts w:hint="default"/>
        <w:lang w:val="en-US" w:eastAsia="en-US" w:bidi="en-US"/>
      </w:rPr>
    </w:lvl>
    <w:lvl w:ilvl="4" w:tplc="27B25D9C">
      <w:numFmt w:val="bullet"/>
      <w:lvlText w:val="•"/>
      <w:lvlJc w:val="left"/>
      <w:pPr>
        <w:ind w:left="4579" w:hanging="794"/>
      </w:pPr>
      <w:rPr>
        <w:rFonts w:hint="default"/>
        <w:lang w:val="en-US" w:eastAsia="en-US" w:bidi="en-US"/>
      </w:rPr>
    </w:lvl>
    <w:lvl w:ilvl="5" w:tplc="A1969D9C">
      <w:numFmt w:val="bullet"/>
      <w:lvlText w:val="•"/>
      <w:lvlJc w:val="left"/>
      <w:pPr>
        <w:ind w:left="5489" w:hanging="794"/>
      </w:pPr>
      <w:rPr>
        <w:rFonts w:hint="default"/>
        <w:lang w:val="en-US" w:eastAsia="en-US" w:bidi="en-US"/>
      </w:rPr>
    </w:lvl>
    <w:lvl w:ilvl="6" w:tplc="E760F1C4">
      <w:numFmt w:val="bullet"/>
      <w:lvlText w:val="•"/>
      <w:lvlJc w:val="left"/>
      <w:pPr>
        <w:ind w:left="6398" w:hanging="794"/>
      </w:pPr>
      <w:rPr>
        <w:rFonts w:hint="default"/>
        <w:lang w:val="en-US" w:eastAsia="en-US" w:bidi="en-US"/>
      </w:rPr>
    </w:lvl>
    <w:lvl w:ilvl="7" w:tplc="AA2874D0">
      <w:numFmt w:val="bullet"/>
      <w:lvlText w:val="•"/>
      <w:lvlJc w:val="left"/>
      <w:pPr>
        <w:ind w:left="7308" w:hanging="794"/>
      </w:pPr>
      <w:rPr>
        <w:rFonts w:hint="default"/>
        <w:lang w:val="en-US" w:eastAsia="en-US" w:bidi="en-US"/>
      </w:rPr>
    </w:lvl>
    <w:lvl w:ilvl="8" w:tplc="F44A435E">
      <w:numFmt w:val="bullet"/>
      <w:lvlText w:val="•"/>
      <w:lvlJc w:val="left"/>
      <w:pPr>
        <w:ind w:left="8218" w:hanging="794"/>
      </w:pPr>
      <w:rPr>
        <w:rFonts w:hint="default"/>
        <w:lang w:val="en-US" w:eastAsia="en-US" w:bidi="en-US"/>
      </w:rPr>
    </w:lvl>
  </w:abstractNum>
  <w:abstractNum w:abstractNumId="2" w15:restartNumberingAfterBreak="0">
    <w:nsid w:val="0278762C"/>
    <w:multiLevelType w:val="hybridMultilevel"/>
    <w:tmpl w:val="6BD09C1A"/>
    <w:lvl w:ilvl="0" w:tplc="126CF940">
      <w:start w:val="76"/>
      <w:numFmt w:val="decimal"/>
      <w:lvlText w:val="%1"/>
      <w:lvlJc w:val="left"/>
      <w:pPr>
        <w:ind w:left="1588" w:hanging="567"/>
        <w:jc w:val="left"/>
      </w:pPr>
      <w:rPr>
        <w:rFonts w:ascii="Raleway" w:eastAsia="Raleway" w:hAnsi="Raleway" w:cs="Raleway" w:hint="default"/>
        <w:b/>
        <w:bCs/>
        <w:color w:val="FFFFFF"/>
        <w:spacing w:val="-6"/>
        <w:w w:val="99"/>
        <w:sz w:val="24"/>
        <w:szCs w:val="24"/>
        <w:lang w:val="en-US" w:eastAsia="en-US" w:bidi="en-US"/>
      </w:rPr>
    </w:lvl>
    <w:lvl w:ilvl="1" w:tplc="A80C5A04">
      <w:numFmt w:val="bullet"/>
      <w:lvlText w:val="•"/>
      <w:lvlJc w:val="left"/>
      <w:pPr>
        <w:ind w:left="2512" w:hanging="567"/>
      </w:pPr>
      <w:rPr>
        <w:rFonts w:hint="default"/>
        <w:lang w:val="en-US" w:eastAsia="en-US" w:bidi="en-US"/>
      </w:rPr>
    </w:lvl>
    <w:lvl w:ilvl="2" w:tplc="DB224038">
      <w:numFmt w:val="bullet"/>
      <w:lvlText w:val="•"/>
      <w:lvlJc w:val="left"/>
      <w:pPr>
        <w:ind w:left="3445" w:hanging="567"/>
      </w:pPr>
      <w:rPr>
        <w:rFonts w:hint="default"/>
        <w:lang w:val="en-US" w:eastAsia="en-US" w:bidi="en-US"/>
      </w:rPr>
    </w:lvl>
    <w:lvl w:ilvl="3" w:tplc="EDE87E36">
      <w:numFmt w:val="bullet"/>
      <w:lvlText w:val="•"/>
      <w:lvlJc w:val="left"/>
      <w:pPr>
        <w:ind w:left="4377" w:hanging="567"/>
      </w:pPr>
      <w:rPr>
        <w:rFonts w:hint="default"/>
        <w:lang w:val="en-US" w:eastAsia="en-US" w:bidi="en-US"/>
      </w:rPr>
    </w:lvl>
    <w:lvl w:ilvl="4" w:tplc="3A7C1ECE">
      <w:numFmt w:val="bullet"/>
      <w:lvlText w:val="•"/>
      <w:lvlJc w:val="left"/>
      <w:pPr>
        <w:ind w:left="5310" w:hanging="567"/>
      </w:pPr>
      <w:rPr>
        <w:rFonts w:hint="default"/>
        <w:lang w:val="en-US" w:eastAsia="en-US" w:bidi="en-US"/>
      </w:rPr>
    </w:lvl>
    <w:lvl w:ilvl="5" w:tplc="0DE46A3C">
      <w:numFmt w:val="bullet"/>
      <w:lvlText w:val="•"/>
      <w:lvlJc w:val="left"/>
      <w:pPr>
        <w:ind w:left="6242" w:hanging="567"/>
      </w:pPr>
      <w:rPr>
        <w:rFonts w:hint="default"/>
        <w:lang w:val="en-US" w:eastAsia="en-US" w:bidi="en-US"/>
      </w:rPr>
    </w:lvl>
    <w:lvl w:ilvl="6" w:tplc="F2A09630">
      <w:numFmt w:val="bullet"/>
      <w:lvlText w:val="•"/>
      <w:lvlJc w:val="left"/>
      <w:pPr>
        <w:ind w:left="7175" w:hanging="567"/>
      </w:pPr>
      <w:rPr>
        <w:rFonts w:hint="default"/>
        <w:lang w:val="en-US" w:eastAsia="en-US" w:bidi="en-US"/>
      </w:rPr>
    </w:lvl>
    <w:lvl w:ilvl="7" w:tplc="186088C2">
      <w:numFmt w:val="bullet"/>
      <w:lvlText w:val="•"/>
      <w:lvlJc w:val="left"/>
      <w:pPr>
        <w:ind w:left="8107" w:hanging="567"/>
      </w:pPr>
      <w:rPr>
        <w:rFonts w:hint="default"/>
        <w:lang w:val="en-US" w:eastAsia="en-US" w:bidi="en-US"/>
      </w:rPr>
    </w:lvl>
    <w:lvl w:ilvl="8" w:tplc="EE70FA3E">
      <w:numFmt w:val="bullet"/>
      <w:lvlText w:val="•"/>
      <w:lvlJc w:val="left"/>
      <w:pPr>
        <w:ind w:left="9040" w:hanging="567"/>
      </w:pPr>
      <w:rPr>
        <w:rFonts w:hint="default"/>
        <w:lang w:val="en-US" w:eastAsia="en-US" w:bidi="en-US"/>
      </w:rPr>
    </w:lvl>
  </w:abstractNum>
  <w:abstractNum w:abstractNumId="3" w15:restartNumberingAfterBreak="0">
    <w:nsid w:val="0307635C"/>
    <w:multiLevelType w:val="hybridMultilevel"/>
    <w:tmpl w:val="36246D9E"/>
    <w:lvl w:ilvl="0" w:tplc="D9F6358E">
      <w:start w:val="23"/>
      <w:numFmt w:val="decimal"/>
      <w:lvlText w:val="%1"/>
      <w:lvlJc w:val="left"/>
      <w:pPr>
        <w:ind w:left="1801" w:hanging="794"/>
        <w:jc w:val="left"/>
      </w:pPr>
      <w:rPr>
        <w:rFonts w:ascii="Raleway" w:eastAsia="Raleway" w:hAnsi="Raleway" w:cs="Raleway" w:hint="default"/>
        <w:color w:val="231F20"/>
        <w:spacing w:val="-9"/>
        <w:w w:val="99"/>
        <w:sz w:val="13"/>
        <w:szCs w:val="13"/>
        <w:lang w:val="en-US" w:eastAsia="en-US" w:bidi="en-US"/>
      </w:rPr>
    </w:lvl>
    <w:lvl w:ilvl="1" w:tplc="D57238F4">
      <w:numFmt w:val="bullet"/>
      <w:lvlText w:val="•"/>
      <w:lvlJc w:val="left"/>
      <w:pPr>
        <w:ind w:left="2710" w:hanging="794"/>
      </w:pPr>
      <w:rPr>
        <w:rFonts w:hint="default"/>
        <w:lang w:val="en-US" w:eastAsia="en-US" w:bidi="en-US"/>
      </w:rPr>
    </w:lvl>
    <w:lvl w:ilvl="2" w:tplc="4F04B530">
      <w:numFmt w:val="bullet"/>
      <w:lvlText w:val="•"/>
      <w:lvlJc w:val="left"/>
      <w:pPr>
        <w:ind w:left="3621" w:hanging="794"/>
      </w:pPr>
      <w:rPr>
        <w:rFonts w:hint="default"/>
        <w:lang w:val="en-US" w:eastAsia="en-US" w:bidi="en-US"/>
      </w:rPr>
    </w:lvl>
    <w:lvl w:ilvl="3" w:tplc="8C2CD5E0">
      <w:numFmt w:val="bullet"/>
      <w:lvlText w:val="•"/>
      <w:lvlJc w:val="left"/>
      <w:pPr>
        <w:ind w:left="4531" w:hanging="794"/>
      </w:pPr>
      <w:rPr>
        <w:rFonts w:hint="default"/>
        <w:lang w:val="en-US" w:eastAsia="en-US" w:bidi="en-US"/>
      </w:rPr>
    </w:lvl>
    <w:lvl w:ilvl="4" w:tplc="9C46A6CE">
      <w:numFmt w:val="bullet"/>
      <w:lvlText w:val="•"/>
      <w:lvlJc w:val="left"/>
      <w:pPr>
        <w:ind w:left="5442" w:hanging="794"/>
      </w:pPr>
      <w:rPr>
        <w:rFonts w:hint="default"/>
        <w:lang w:val="en-US" w:eastAsia="en-US" w:bidi="en-US"/>
      </w:rPr>
    </w:lvl>
    <w:lvl w:ilvl="5" w:tplc="DA64D164">
      <w:numFmt w:val="bullet"/>
      <w:lvlText w:val="•"/>
      <w:lvlJc w:val="left"/>
      <w:pPr>
        <w:ind w:left="6352" w:hanging="794"/>
      </w:pPr>
      <w:rPr>
        <w:rFonts w:hint="default"/>
        <w:lang w:val="en-US" w:eastAsia="en-US" w:bidi="en-US"/>
      </w:rPr>
    </w:lvl>
    <w:lvl w:ilvl="6" w:tplc="71623110">
      <w:numFmt w:val="bullet"/>
      <w:lvlText w:val="•"/>
      <w:lvlJc w:val="left"/>
      <w:pPr>
        <w:ind w:left="7263" w:hanging="794"/>
      </w:pPr>
      <w:rPr>
        <w:rFonts w:hint="default"/>
        <w:lang w:val="en-US" w:eastAsia="en-US" w:bidi="en-US"/>
      </w:rPr>
    </w:lvl>
    <w:lvl w:ilvl="7" w:tplc="90BC2170">
      <w:numFmt w:val="bullet"/>
      <w:lvlText w:val="•"/>
      <w:lvlJc w:val="left"/>
      <w:pPr>
        <w:ind w:left="8173" w:hanging="794"/>
      </w:pPr>
      <w:rPr>
        <w:rFonts w:hint="default"/>
        <w:lang w:val="en-US" w:eastAsia="en-US" w:bidi="en-US"/>
      </w:rPr>
    </w:lvl>
    <w:lvl w:ilvl="8" w:tplc="1F9ABBE6">
      <w:numFmt w:val="bullet"/>
      <w:lvlText w:val="•"/>
      <w:lvlJc w:val="left"/>
      <w:pPr>
        <w:ind w:left="9084" w:hanging="794"/>
      </w:pPr>
      <w:rPr>
        <w:rFonts w:hint="default"/>
        <w:lang w:val="en-US" w:eastAsia="en-US" w:bidi="en-US"/>
      </w:rPr>
    </w:lvl>
  </w:abstractNum>
  <w:abstractNum w:abstractNumId="4" w15:restartNumberingAfterBreak="0">
    <w:nsid w:val="03A63517"/>
    <w:multiLevelType w:val="hybridMultilevel"/>
    <w:tmpl w:val="F190C344"/>
    <w:lvl w:ilvl="0" w:tplc="AE26552E">
      <w:start w:val="54"/>
      <w:numFmt w:val="decimal"/>
      <w:lvlText w:val="%1"/>
      <w:lvlJc w:val="left"/>
      <w:pPr>
        <w:ind w:left="1588" w:hanging="567"/>
        <w:jc w:val="left"/>
      </w:pPr>
      <w:rPr>
        <w:rFonts w:ascii="Raleway" w:eastAsia="Raleway" w:hAnsi="Raleway" w:cs="Raleway" w:hint="default"/>
        <w:b/>
        <w:bCs/>
        <w:color w:val="FFFFFF"/>
        <w:spacing w:val="-4"/>
        <w:w w:val="100"/>
        <w:sz w:val="24"/>
        <w:szCs w:val="24"/>
        <w:lang w:val="en-US" w:eastAsia="en-US" w:bidi="en-US"/>
      </w:rPr>
    </w:lvl>
    <w:lvl w:ilvl="1" w:tplc="4CE2D658">
      <w:numFmt w:val="bullet"/>
      <w:lvlText w:val="•"/>
      <w:lvlJc w:val="left"/>
      <w:pPr>
        <w:ind w:left="2512" w:hanging="567"/>
      </w:pPr>
      <w:rPr>
        <w:rFonts w:hint="default"/>
        <w:lang w:val="en-US" w:eastAsia="en-US" w:bidi="en-US"/>
      </w:rPr>
    </w:lvl>
    <w:lvl w:ilvl="2" w:tplc="8BBE6F10">
      <w:numFmt w:val="bullet"/>
      <w:lvlText w:val="•"/>
      <w:lvlJc w:val="left"/>
      <w:pPr>
        <w:ind w:left="3445" w:hanging="567"/>
      </w:pPr>
      <w:rPr>
        <w:rFonts w:hint="default"/>
        <w:lang w:val="en-US" w:eastAsia="en-US" w:bidi="en-US"/>
      </w:rPr>
    </w:lvl>
    <w:lvl w:ilvl="3" w:tplc="4A8C3F56">
      <w:numFmt w:val="bullet"/>
      <w:lvlText w:val="•"/>
      <w:lvlJc w:val="left"/>
      <w:pPr>
        <w:ind w:left="4377" w:hanging="567"/>
      </w:pPr>
      <w:rPr>
        <w:rFonts w:hint="default"/>
        <w:lang w:val="en-US" w:eastAsia="en-US" w:bidi="en-US"/>
      </w:rPr>
    </w:lvl>
    <w:lvl w:ilvl="4" w:tplc="25D0E7E0">
      <w:numFmt w:val="bullet"/>
      <w:lvlText w:val="•"/>
      <w:lvlJc w:val="left"/>
      <w:pPr>
        <w:ind w:left="5310" w:hanging="567"/>
      </w:pPr>
      <w:rPr>
        <w:rFonts w:hint="default"/>
        <w:lang w:val="en-US" w:eastAsia="en-US" w:bidi="en-US"/>
      </w:rPr>
    </w:lvl>
    <w:lvl w:ilvl="5" w:tplc="1FFC8EE4">
      <w:numFmt w:val="bullet"/>
      <w:lvlText w:val="•"/>
      <w:lvlJc w:val="left"/>
      <w:pPr>
        <w:ind w:left="6242" w:hanging="567"/>
      </w:pPr>
      <w:rPr>
        <w:rFonts w:hint="default"/>
        <w:lang w:val="en-US" w:eastAsia="en-US" w:bidi="en-US"/>
      </w:rPr>
    </w:lvl>
    <w:lvl w:ilvl="6" w:tplc="4C3C0116">
      <w:numFmt w:val="bullet"/>
      <w:lvlText w:val="•"/>
      <w:lvlJc w:val="left"/>
      <w:pPr>
        <w:ind w:left="7175" w:hanging="567"/>
      </w:pPr>
      <w:rPr>
        <w:rFonts w:hint="default"/>
        <w:lang w:val="en-US" w:eastAsia="en-US" w:bidi="en-US"/>
      </w:rPr>
    </w:lvl>
    <w:lvl w:ilvl="7" w:tplc="049296E6">
      <w:numFmt w:val="bullet"/>
      <w:lvlText w:val="•"/>
      <w:lvlJc w:val="left"/>
      <w:pPr>
        <w:ind w:left="8107" w:hanging="567"/>
      </w:pPr>
      <w:rPr>
        <w:rFonts w:hint="default"/>
        <w:lang w:val="en-US" w:eastAsia="en-US" w:bidi="en-US"/>
      </w:rPr>
    </w:lvl>
    <w:lvl w:ilvl="8" w:tplc="5B8209DA">
      <w:numFmt w:val="bullet"/>
      <w:lvlText w:val="•"/>
      <w:lvlJc w:val="left"/>
      <w:pPr>
        <w:ind w:left="9040" w:hanging="567"/>
      </w:pPr>
      <w:rPr>
        <w:rFonts w:hint="default"/>
        <w:lang w:val="en-US" w:eastAsia="en-US" w:bidi="en-US"/>
      </w:rPr>
    </w:lvl>
  </w:abstractNum>
  <w:abstractNum w:abstractNumId="5" w15:restartNumberingAfterBreak="0">
    <w:nsid w:val="03E8039A"/>
    <w:multiLevelType w:val="hybridMultilevel"/>
    <w:tmpl w:val="97447D7E"/>
    <w:lvl w:ilvl="0" w:tplc="ECF4CBCC">
      <w:start w:val="4"/>
      <w:numFmt w:val="decimal"/>
      <w:lvlText w:val="%1"/>
      <w:lvlJc w:val="left"/>
      <w:pPr>
        <w:ind w:left="1801" w:hanging="794"/>
        <w:jc w:val="left"/>
      </w:pPr>
      <w:rPr>
        <w:rFonts w:ascii="Raleway" w:eastAsia="Raleway" w:hAnsi="Raleway" w:cs="Raleway" w:hint="default"/>
        <w:color w:val="231F20"/>
        <w:spacing w:val="-6"/>
        <w:w w:val="88"/>
        <w:sz w:val="13"/>
        <w:szCs w:val="13"/>
        <w:lang w:val="en-US" w:eastAsia="en-US" w:bidi="en-US"/>
      </w:rPr>
    </w:lvl>
    <w:lvl w:ilvl="1" w:tplc="D7C654C8">
      <w:numFmt w:val="bullet"/>
      <w:lvlText w:val="•"/>
      <w:lvlJc w:val="left"/>
      <w:pPr>
        <w:ind w:left="2584" w:hanging="794"/>
      </w:pPr>
      <w:rPr>
        <w:rFonts w:hint="default"/>
        <w:lang w:val="en-US" w:eastAsia="en-US" w:bidi="en-US"/>
      </w:rPr>
    </w:lvl>
    <w:lvl w:ilvl="2" w:tplc="0CE89622">
      <w:numFmt w:val="bullet"/>
      <w:lvlText w:val="•"/>
      <w:lvlJc w:val="left"/>
      <w:pPr>
        <w:ind w:left="3368" w:hanging="794"/>
      </w:pPr>
      <w:rPr>
        <w:rFonts w:hint="default"/>
        <w:lang w:val="en-US" w:eastAsia="en-US" w:bidi="en-US"/>
      </w:rPr>
    </w:lvl>
    <w:lvl w:ilvl="3" w:tplc="394A5B90">
      <w:numFmt w:val="bullet"/>
      <w:lvlText w:val="•"/>
      <w:lvlJc w:val="left"/>
      <w:pPr>
        <w:ind w:left="4152" w:hanging="794"/>
      </w:pPr>
      <w:rPr>
        <w:rFonts w:hint="default"/>
        <w:lang w:val="en-US" w:eastAsia="en-US" w:bidi="en-US"/>
      </w:rPr>
    </w:lvl>
    <w:lvl w:ilvl="4" w:tplc="26AAA346">
      <w:numFmt w:val="bullet"/>
      <w:lvlText w:val="•"/>
      <w:lvlJc w:val="left"/>
      <w:pPr>
        <w:ind w:left="4937" w:hanging="794"/>
      </w:pPr>
      <w:rPr>
        <w:rFonts w:hint="default"/>
        <w:lang w:val="en-US" w:eastAsia="en-US" w:bidi="en-US"/>
      </w:rPr>
    </w:lvl>
    <w:lvl w:ilvl="5" w:tplc="412EDDF0">
      <w:numFmt w:val="bullet"/>
      <w:lvlText w:val="•"/>
      <w:lvlJc w:val="left"/>
      <w:pPr>
        <w:ind w:left="5721" w:hanging="794"/>
      </w:pPr>
      <w:rPr>
        <w:rFonts w:hint="default"/>
        <w:lang w:val="en-US" w:eastAsia="en-US" w:bidi="en-US"/>
      </w:rPr>
    </w:lvl>
    <w:lvl w:ilvl="6" w:tplc="E8ACBC12">
      <w:numFmt w:val="bullet"/>
      <w:lvlText w:val="•"/>
      <w:lvlJc w:val="left"/>
      <w:pPr>
        <w:ind w:left="6505" w:hanging="794"/>
      </w:pPr>
      <w:rPr>
        <w:rFonts w:hint="default"/>
        <w:lang w:val="en-US" w:eastAsia="en-US" w:bidi="en-US"/>
      </w:rPr>
    </w:lvl>
    <w:lvl w:ilvl="7" w:tplc="8B2816F2">
      <w:numFmt w:val="bullet"/>
      <w:lvlText w:val="•"/>
      <w:lvlJc w:val="left"/>
      <w:pPr>
        <w:ind w:left="7289" w:hanging="794"/>
      </w:pPr>
      <w:rPr>
        <w:rFonts w:hint="default"/>
        <w:lang w:val="en-US" w:eastAsia="en-US" w:bidi="en-US"/>
      </w:rPr>
    </w:lvl>
    <w:lvl w:ilvl="8" w:tplc="87DCAE50">
      <w:numFmt w:val="bullet"/>
      <w:lvlText w:val="•"/>
      <w:lvlJc w:val="left"/>
      <w:pPr>
        <w:ind w:left="8074" w:hanging="794"/>
      </w:pPr>
      <w:rPr>
        <w:rFonts w:hint="default"/>
        <w:lang w:val="en-US" w:eastAsia="en-US" w:bidi="en-US"/>
      </w:rPr>
    </w:lvl>
  </w:abstractNum>
  <w:abstractNum w:abstractNumId="6" w15:restartNumberingAfterBreak="0">
    <w:nsid w:val="04A43DF6"/>
    <w:multiLevelType w:val="hybridMultilevel"/>
    <w:tmpl w:val="97AC1DCA"/>
    <w:lvl w:ilvl="0" w:tplc="56FC6E58">
      <w:numFmt w:val="bullet"/>
      <w:lvlText w:val="•"/>
      <w:lvlJc w:val="left"/>
      <w:pPr>
        <w:ind w:left="453" w:hanging="341"/>
      </w:pPr>
      <w:rPr>
        <w:rFonts w:ascii="Raleway" w:eastAsia="Raleway" w:hAnsi="Raleway" w:cs="Raleway" w:hint="default"/>
        <w:color w:val="231F20"/>
        <w:spacing w:val="-8"/>
        <w:w w:val="88"/>
        <w:sz w:val="20"/>
        <w:szCs w:val="20"/>
        <w:lang w:val="en-US" w:eastAsia="en-US" w:bidi="en-US"/>
      </w:rPr>
    </w:lvl>
    <w:lvl w:ilvl="1" w:tplc="BBB81938">
      <w:numFmt w:val="bullet"/>
      <w:lvlText w:val="•"/>
      <w:lvlJc w:val="left"/>
      <w:pPr>
        <w:ind w:left="594" w:hanging="341"/>
      </w:pPr>
      <w:rPr>
        <w:rFonts w:hint="default"/>
        <w:lang w:val="en-US" w:eastAsia="en-US" w:bidi="en-US"/>
      </w:rPr>
    </w:lvl>
    <w:lvl w:ilvl="2" w:tplc="BDF02FFA">
      <w:numFmt w:val="bullet"/>
      <w:lvlText w:val="•"/>
      <w:lvlJc w:val="left"/>
      <w:pPr>
        <w:ind w:left="728" w:hanging="341"/>
      </w:pPr>
      <w:rPr>
        <w:rFonts w:hint="default"/>
        <w:lang w:val="en-US" w:eastAsia="en-US" w:bidi="en-US"/>
      </w:rPr>
    </w:lvl>
    <w:lvl w:ilvl="3" w:tplc="F95E5292">
      <w:numFmt w:val="bullet"/>
      <w:lvlText w:val="•"/>
      <w:lvlJc w:val="left"/>
      <w:pPr>
        <w:ind w:left="863" w:hanging="341"/>
      </w:pPr>
      <w:rPr>
        <w:rFonts w:hint="default"/>
        <w:lang w:val="en-US" w:eastAsia="en-US" w:bidi="en-US"/>
      </w:rPr>
    </w:lvl>
    <w:lvl w:ilvl="4" w:tplc="18C6DCFA">
      <w:numFmt w:val="bullet"/>
      <w:lvlText w:val="•"/>
      <w:lvlJc w:val="left"/>
      <w:pPr>
        <w:ind w:left="997" w:hanging="341"/>
      </w:pPr>
      <w:rPr>
        <w:rFonts w:hint="default"/>
        <w:lang w:val="en-US" w:eastAsia="en-US" w:bidi="en-US"/>
      </w:rPr>
    </w:lvl>
    <w:lvl w:ilvl="5" w:tplc="0F6293B4">
      <w:numFmt w:val="bullet"/>
      <w:lvlText w:val="•"/>
      <w:lvlJc w:val="left"/>
      <w:pPr>
        <w:ind w:left="1132" w:hanging="341"/>
      </w:pPr>
      <w:rPr>
        <w:rFonts w:hint="default"/>
        <w:lang w:val="en-US" w:eastAsia="en-US" w:bidi="en-US"/>
      </w:rPr>
    </w:lvl>
    <w:lvl w:ilvl="6" w:tplc="E4A66810">
      <w:numFmt w:val="bullet"/>
      <w:lvlText w:val="•"/>
      <w:lvlJc w:val="left"/>
      <w:pPr>
        <w:ind w:left="1266" w:hanging="341"/>
      </w:pPr>
      <w:rPr>
        <w:rFonts w:hint="default"/>
        <w:lang w:val="en-US" w:eastAsia="en-US" w:bidi="en-US"/>
      </w:rPr>
    </w:lvl>
    <w:lvl w:ilvl="7" w:tplc="B4C4506C">
      <w:numFmt w:val="bullet"/>
      <w:lvlText w:val="•"/>
      <w:lvlJc w:val="left"/>
      <w:pPr>
        <w:ind w:left="1400" w:hanging="341"/>
      </w:pPr>
      <w:rPr>
        <w:rFonts w:hint="default"/>
        <w:lang w:val="en-US" w:eastAsia="en-US" w:bidi="en-US"/>
      </w:rPr>
    </w:lvl>
    <w:lvl w:ilvl="8" w:tplc="C7FE08A4">
      <w:numFmt w:val="bullet"/>
      <w:lvlText w:val="•"/>
      <w:lvlJc w:val="left"/>
      <w:pPr>
        <w:ind w:left="1535" w:hanging="341"/>
      </w:pPr>
      <w:rPr>
        <w:rFonts w:hint="default"/>
        <w:lang w:val="en-US" w:eastAsia="en-US" w:bidi="en-US"/>
      </w:rPr>
    </w:lvl>
  </w:abstractNum>
  <w:abstractNum w:abstractNumId="7" w15:restartNumberingAfterBreak="0">
    <w:nsid w:val="04B96E2D"/>
    <w:multiLevelType w:val="hybridMultilevel"/>
    <w:tmpl w:val="17F809DE"/>
    <w:lvl w:ilvl="0" w:tplc="CBB6B3BA">
      <w:numFmt w:val="bullet"/>
      <w:lvlText w:val="•"/>
      <w:lvlJc w:val="left"/>
      <w:pPr>
        <w:ind w:left="453" w:hanging="341"/>
      </w:pPr>
      <w:rPr>
        <w:rFonts w:ascii="Raleway" w:eastAsia="Raleway" w:hAnsi="Raleway" w:cs="Raleway" w:hint="default"/>
        <w:color w:val="231F20"/>
        <w:spacing w:val="-7"/>
        <w:w w:val="100"/>
        <w:sz w:val="20"/>
        <w:szCs w:val="20"/>
        <w:lang w:val="en-US" w:eastAsia="en-US" w:bidi="en-US"/>
      </w:rPr>
    </w:lvl>
    <w:lvl w:ilvl="1" w:tplc="6B8A1876">
      <w:numFmt w:val="bullet"/>
      <w:lvlText w:val="•"/>
      <w:lvlJc w:val="left"/>
      <w:pPr>
        <w:ind w:left="688" w:hanging="341"/>
      </w:pPr>
      <w:rPr>
        <w:rFonts w:hint="default"/>
        <w:lang w:val="en-US" w:eastAsia="en-US" w:bidi="en-US"/>
      </w:rPr>
    </w:lvl>
    <w:lvl w:ilvl="2" w:tplc="A85085F0">
      <w:numFmt w:val="bullet"/>
      <w:lvlText w:val="•"/>
      <w:lvlJc w:val="left"/>
      <w:pPr>
        <w:ind w:left="916" w:hanging="341"/>
      </w:pPr>
      <w:rPr>
        <w:rFonts w:hint="default"/>
        <w:lang w:val="en-US" w:eastAsia="en-US" w:bidi="en-US"/>
      </w:rPr>
    </w:lvl>
    <w:lvl w:ilvl="3" w:tplc="C4240BCE">
      <w:numFmt w:val="bullet"/>
      <w:lvlText w:val="•"/>
      <w:lvlJc w:val="left"/>
      <w:pPr>
        <w:ind w:left="1145" w:hanging="341"/>
      </w:pPr>
      <w:rPr>
        <w:rFonts w:hint="default"/>
        <w:lang w:val="en-US" w:eastAsia="en-US" w:bidi="en-US"/>
      </w:rPr>
    </w:lvl>
    <w:lvl w:ilvl="4" w:tplc="60A402F4">
      <w:numFmt w:val="bullet"/>
      <w:lvlText w:val="•"/>
      <w:lvlJc w:val="left"/>
      <w:pPr>
        <w:ind w:left="1373" w:hanging="341"/>
      </w:pPr>
      <w:rPr>
        <w:rFonts w:hint="default"/>
        <w:lang w:val="en-US" w:eastAsia="en-US" w:bidi="en-US"/>
      </w:rPr>
    </w:lvl>
    <w:lvl w:ilvl="5" w:tplc="A002D95E">
      <w:numFmt w:val="bullet"/>
      <w:lvlText w:val="•"/>
      <w:lvlJc w:val="left"/>
      <w:pPr>
        <w:ind w:left="1602" w:hanging="341"/>
      </w:pPr>
      <w:rPr>
        <w:rFonts w:hint="default"/>
        <w:lang w:val="en-US" w:eastAsia="en-US" w:bidi="en-US"/>
      </w:rPr>
    </w:lvl>
    <w:lvl w:ilvl="6" w:tplc="871A5BB8">
      <w:numFmt w:val="bullet"/>
      <w:lvlText w:val="•"/>
      <w:lvlJc w:val="left"/>
      <w:pPr>
        <w:ind w:left="1830" w:hanging="341"/>
      </w:pPr>
      <w:rPr>
        <w:rFonts w:hint="default"/>
        <w:lang w:val="en-US" w:eastAsia="en-US" w:bidi="en-US"/>
      </w:rPr>
    </w:lvl>
    <w:lvl w:ilvl="7" w:tplc="0734D2FE">
      <w:numFmt w:val="bullet"/>
      <w:lvlText w:val="•"/>
      <w:lvlJc w:val="left"/>
      <w:pPr>
        <w:ind w:left="2058" w:hanging="341"/>
      </w:pPr>
      <w:rPr>
        <w:rFonts w:hint="default"/>
        <w:lang w:val="en-US" w:eastAsia="en-US" w:bidi="en-US"/>
      </w:rPr>
    </w:lvl>
    <w:lvl w:ilvl="8" w:tplc="0ABC18B8">
      <w:numFmt w:val="bullet"/>
      <w:lvlText w:val="•"/>
      <w:lvlJc w:val="left"/>
      <w:pPr>
        <w:ind w:left="2287" w:hanging="341"/>
      </w:pPr>
      <w:rPr>
        <w:rFonts w:hint="default"/>
        <w:lang w:val="en-US" w:eastAsia="en-US" w:bidi="en-US"/>
      </w:rPr>
    </w:lvl>
  </w:abstractNum>
  <w:abstractNum w:abstractNumId="8" w15:restartNumberingAfterBreak="0">
    <w:nsid w:val="065B77EE"/>
    <w:multiLevelType w:val="hybridMultilevel"/>
    <w:tmpl w:val="569ABDD0"/>
    <w:lvl w:ilvl="0" w:tplc="4BF2D370">
      <w:numFmt w:val="none"/>
      <w:lvlText w:val=""/>
      <w:lvlJc w:val="left"/>
      <w:pPr>
        <w:tabs>
          <w:tab w:val="num" w:pos="360"/>
        </w:tabs>
      </w:pPr>
    </w:lvl>
    <w:lvl w:ilvl="1" w:tplc="2A3EEE20">
      <w:numFmt w:val="bullet"/>
      <w:lvlText w:val="•"/>
      <w:lvlJc w:val="left"/>
      <w:pPr>
        <w:ind w:left="2141" w:hanging="341"/>
      </w:pPr>
      <w:rPr>
        <w:rFonts w:ascii="Raleway" w:eastAsia="Raleway" w:hAnsi="Raleway" w:cs="Raleway" w:hint="default"/>
        <w:color w:val="231F20"/>
        <w:spacing w:val="-6"/>
        <w:w w:val="88"/>
        <w:sz w:val="20"/>
        <w:szCs w:val="20"/>
        <w:lang w:val="en-US" w:eastAsia="en-US" w:bidi="en-US"/>
      </w:rPr>
    </w:lvl>
    <w:lvl w:ilvl="2" w:tplc="C34269A8">
      <w:numFmt w:val="bullet"/>
      <w:lvlText w:val="•"/>
      <w:lvlJc w:val="left"/>
      <w:pPr>
        <w:ind w:left="3113" w:hanging="341"/>
      </w:pPr>
      <w:rPr>
        <w:rFonts w:hint="default"/>
        <w:lang w:val="en-US" w:eastAsia="en-US" w:bidi="en-US"/>
      </w:rPr>
    </w:lvl>
    <w:lvl w:ilvl="3" w:tplc="B6683B36">
      <w:numFmt w:val="bullet"/>
      <w:lvlText w:val="•"/>
      <w:lvlJc w:val="left"/>
      <w:pPr>
        <w:ind w:left="4087" w:hanging="341"/>
      </w:pPr>
      <w:rPr>
        <w:rFonts w:hint="default"/>
        <w:lang w:val="en-US" w:eastAsia="en-US" w:bidi="en-US"/>
      </w:rPr>
    </w:lvl>
    <w:lvl w:ilvl="4" w:tplc="FD00A99C">
      <w:numFmt w:val="bullet"/>
      <w:lvlText w:val="•"/>
      <w:lvlJc w:val="left"/>
      <w:pPr>
        <w:ind w:left="5061" w:hanging="341"/>
      </w:pPr>
      <w:rPr>
        <w:rFonts w:hint="default"/>
        <w:lang w:val="en-US" w:eastAsia="en-US" w:bidi="en-US"/>
      </w:rPr>
    </w:lvl>
    <w:lvl w:ilvl="5" w:tplc="3F7AA7EE">
      <w:numFmt w:val="bullet"/>
      <w:lvlText w:val="•"/>
      <w:lvlJc w:val="left"/>
      <w:pPr>
        <w:ind w:left="6035" w:hanging="341"/>
      </w:pPr>
      <w:rPr>
        <w:rFonts w:hint="default"/>
        <w:lang w:val="en-US" w:eastAsia="en-US" w:bidi="en-US"/>
      </w:rPr>
    </w:lvl>
    <w:lvl w:ilvl="6" w:tplc="DC34784E">
      <w:numFmt w:val="bullet"/>
      <w:lvlText w:val="•"/>
      <w:lvlJc w:val="left"/>
      <w:pPr>
        <w:ind w:left="7009" w:hanging="341"/>
      </w:pPr>
      <w:rPr>
        <w:rFonts w:hint="default"/>
        <w:lang w:val="en-US" w:eastAsia="en-US" w:bidi="en-US"/>
      </w:rPr>
    </w:lvl>
    <w:lvl w:ilvl="7" w:tplc="CB8E7A68">
      <w:numFmt w:val="bullet"/>
      <w:lvlText w:val="•"/>
      <w:lvlJc w:val="left"/>
      <w:pPr>
        <w:ind w:left="7983" w:hanging="341"/>
      </w:pPr>
      <w:rPr>
        <w:rFonts w:hint="default"/>
        <w:lang w:val="en-US" w:eastAsia="en-US" w:bidi="en-US"/>
      </w:rPr>
    </w:lvl>
    <w:lvl w:ilvl="8" w:tplc="64D017CC">
      <w:numFmt w:val="bullet"/>
      <w:lvlText w:val="•"/>
      <w:lvlJc w:val="left"/>
      <w:pPr>
        <w:ind w:left="8957" w:hanging="341"/>
      </w:pPr>
      <w:rPr>
        <w:rFonts w:hint="default"/>
        <w:lang w:val="en-US" w:eastAsia="en-US" w:bidi="en-US"/>
      </w:rPr>
    </w:lvl>
  </w:abstractNum>
  <w:abstractNum w:abstractNumId="9" w15:restartNumberingAfterBreak="0">
    <w:nsid w:val="06D829C6"/>
    <w:multiLevelType w:val="hybridMultilevel"/>
    <w:tmpl w:val="77A0A4DA"/>
    <w:lvl w:ilvl="0" w:tplc="D3D88BB2">
      <w:start w:val="181"/>
      <w:numFmt w:val="decimal"/>
      <w:lvlText w:val="%1"/>
      <w:lvlJc w:val="left"/>
      <w:pPr>
        <w:ind w:left="1801" w:hanging="794"/>
        <w:jc w:val="right"/>
      </w:pPr>
      <w:rPr>
        <w:rFonts w:ascii="Raleway" w:eastAsia="Raleway" w:hAnsi="Raleway" w:cs="Raleway" w:hint="default"/>
        <w:color w:val="231F20"/>
        <w:spacing w:val="-2"/>
        <w:w w:val="100"/>
        <w:sz w:val="13"/>
        <w:szCs w:val="13"/>
        <w:lang w:val="en-US" w:eastAsia="en-US" w:bidi="en-US"/>
      </w:rPr>
    </w:lvl>
    <w:lvl w:ilvl="1" w:tplc="A9E09A62">
      <w:numFmt w:val="bullet"/>
      <w:lvlText w:val="•"/>
      <w:lvlJc w:val="left"/>
      <w:pPr>
        <w:ind w:left="2450" w:hanging="794"/>
      </w:pPr>
      <w:rPr>
        <w:rFonts w:hint="default"/>
        <w:lang w:val="en-US" w:eastAsia="en-US" w:bidi="en-US"/>
      </w:rPr>
    </w:lvl>
    <w:lvl w:ilvl="2" w:tplc="2A74FCB2">
      <w:numFmt w:val="bullet"/>
      <w:lvlText w:val="•"/>
      <w:lvlJc w:val="left"/>
      <w:pPr>
        <w:ind w:left="3101" w:hanging="794"/>
      </w:pPr>
      <w:rPr>
        <w:rFonts w:hint="default"/>
        <w:lang w:val="en-US" w:eastAsia="en-US" w:bidi="en-US"/>
      </w:rPr>
    </w:lvl>
    <w:lvl w:ilvl="3" w:tplc="F2BCD302">
      <w:numFmt w:val="bullet"/>
      <w:lvlText w:val="•"/>
      <w:lvlJc w:val="left"/>
      <w:pPr>
        <w:ind w:left="3751" w:hanging="794"/>
      </w:pPr>
      <w:rPr>
        <w:rFonts w:hint="default"/>
        <w:lang w:val="en-US" w:eastAsia="en-US" w:bidi="en-US"/>
      </w:rPr>
    </w:lvl>
    <w:lvl w:ilvl="4" w:tplc="98D21D66">
      <w:numFmt w:val="bullet"/>
      <w:lvlText w:val="•"/>
      <w:lvlJc w:val="left"/>
      <w:pPr>
        <w:ind w:left="4402" w:hanging="794"/>
      </w:pPr>
      <w:rPr>
        <w:rFonts w:hint="default"/>
        <w:lang w:val="en-US" w:eastAsia="en-US" w:bidi="en-US"/>
      </w:rPr>
    </w:lvl>
    <w:lvl w:ilvl="5" w:tplc="146E079C">
      <w:numFmt w:val="bullet"/>
      <w:lvlText w:val="•"/>
      <w:lvlJc w:val="left"/>
      <w:pPr>
        <w:ind w:left="5052" w:hanging="794"/>
      </w:pPr>
      <w:rPr>
        <w:rFonts w:hint="default"/>
        <w:lang w:val="en-US" w:eastAsia="en-US" w:bidi="en-US"/>
      </w:rPr>
    </w:lvl>
    <w:lvl w:ilvl="6" w:tplc="42B8F5AA">
      <w:numFmt w:val="bullet"/>
      <w:lvlText w:val="•"/>
      <w:lvlJc w:val="left"/>
      <w:pPr>
        <w:ind w:left="5703" w:hanging="794"/>
      </w:pPr>
      <w:rPr>
        <w:rFonts w:hint="default"/>
        <w:lang w:val="en-US" w:eastAsia="en-US" w:bidi="en-US"/>
      </w:rPr>
    </w:lvl>
    <w:lvl w:ilvl="7" w:tplc="20108E5A">
      <w:numFmt w:val="bullet"/>
      <w:lvlText w:val="•"/>
      <w:lvlJc w:val="left"/>
      <w:pPr>
        <w:ind w:left="6353" w:hanging="794"/>
      </w:pPr>
      <w:rPr>
        <w:rFonts w:hint="default"/>
        <w:lang w:val="en-US" w:eastAsia="en-US" w:bidi="en-US"/>
      </w:rPr>
    </w:lvl>
    <w:lvl w:ilvl="8" w:tplc="A42E29E8">
      <w:numFmt w:val="bullet"/>
      <w:lvlText w:val="•"/>
      <w:lvlJc w:val="left"/>
      <w:pPr>
        <w:ind w:left="7004" w:hanging="794"/>
      </w:pPr>
      <w:rPr>
        <w:rFonts w:hint="default"/>
        <w:lang w:val="en-US" w:eastAsia="en-US" w:bidi="en-US"/>
      </w:rPr>
    </w:lvl>
  </w:abstractNum>
  <w:abstractNum w:abstractNumId="10" w15:restartNumberingAfterBreak="0">
    <w:nsid w:val="099F3AAF"/>
    <w:multiLevelType w:val="hybridMultilevel"/>
    <w:tmpl w:val="F0FC827E"/>
    <w:lvl w:ilvl="0" w:tplc="BE2AE9D4">
      <w:start w:val="68"/>
      <w:numFmt w:val="decimal"/>
      <w:lvlText w:val="%1"/>
      <w:lvlJc w:val="left"/>
      <w:pPr>
        <w:ind w:left="1801" w:hanging="794"/>
        <w:jc w:val="left"/>
      </w:pPr>
      <w:rPr>
        <w:rFonts w:ascii="Raleway" w:eastAsia="Raleway" w:hAnsi="Raleway" w:cs="Raleway" w:hint="default"/>
        <w:color w:val="231F20"/>
        <w:spacing w:val="-2"/>
        <w:w w:val="83"/>
        <w:sz w:val="13"/>
        <w:szCs w:val="13"/>
        <w:lang w:val="en-US" w:eastAsia="en-US" w:bidi="en-US"/>
      </w:rPr>
    </w:lvl>
    <w:lvl w:ilvl="1" w:tplc="09BA7AAC">
      <w:numFmt w:val="bullet"/>
      <w:lvlText w:val="•"/>
      <w:lvlJc w:val="left"/>
      <w:pPr>
        <w:ind w:left="2710" w:hanging="794"/>
      </w:pPr>
      <w:rPr>
        <w:rFonts w:hint="default"/>
        <w:lang w:val="en-US" w:eastAsia="en-US" w:bidi="en-US"/>
      </w:rPr>
    </w:lvl>
    <w:lvl w:ilvl="2" w:tplc="7F928D4E">
      <w:numFmt w:val="bullet"/>
      <w:lvlText w:val="•"/>
      <w:lvlJc w:val="left"/>
      <w:pPr>
        <w:ind w:left="3621" w:hanging="794"/>
      </w:pPr>
      <w:rPr>
        <w:rFonts w:hint="default"/>
        <w:lang w:val="en-US" w:eastAsia="en-US" w:bidi="en-US"/>
      </w:rPr>
    </w:lvl>
    <w:lvl w:ilvl="3" w:tplc="4F7EE2C8">
      <w:numFmt w:val="bullet"/>
      <w:lvlText w:val="•"/>
      <w:lvlJc w:val="left"/>
      <w:pPr>
        <w:ind w:left="4531" w:hanging="794"/>
      </w:pPr>
      <w:rPr>
        <w:rFonts w:hint="default"/>
        <w:lang w:val="en-US" w:eastAsia="en-US" w:bidi="en-US"/>
      </w:rPr>
    </w:lvl>
    <w:lvl w:ilvl="4" w:tplc="9D5C4EA4">
      <w:numFmt w:val="bullet"/>
      <w:lvlText w:val="•"/>
      <w:lvlJc w:val="left"/>
      <w:pPr>
        <w:ind w:left="5442" w:hanging="794"/>
      </w:pPr>
      <w:rPr>
        <w:rFonts w:hint="default"/>
        <w:lang w:val="en-US" w:eastAsia="en-US" w:bidi="en-US"/>
      </w:rPr>
    </w:lvl>
    <w:lvl w:ilvl="5" w:tplc="4E42D082">
      <w:numFmt w:val="bullet"/>
      <w:lvlText w:val="•"/>
      <w:lvlJc w:val="left"/>
      <w:pPr>
        <w:ind w:left="6352" w:hanging="794"/>
      </w:pPr>
      <w:rPr>
        <w:rFonts w:hint="default"/>
        <w:lang w:val="en-US" w:eastAsia="en-US" w:bidi="en-US"/>
      </w:rPr>
    </w:lvl>
    <w:lvl w:ilvl="6" w:tplc="9C32A220">
      <w:numFmt w:val="bullet"/>
      <w:lvlText w:val="•"/>
      <w:lvlJc w:val="left"/>
      <w:pPr>
        <w:ind w:left="7263" w:hanging="794"/>
      </w:pPr>
      <w:rPr>
        <w:rFonts w:hint="default"/>
        <w:lang w:val="en-US" w:eastAsia="en-US" w:bidi="en-US"/>
      </w:rPr>
    </w:lvl>
    <w:lvl w:ilvl="7" w:tplc="24F8B374">
      <w:numFmt w:val="bullet"/>
      <w:lvlText w:val="•"/>
      <w:lvlJc w:val="left"/>
      <w:pPr>
        <w:ind w:left="8173" w:hanging="794"/>
      </w:pPr>
      <w:rPr>
        <w:rFonts w:hint="default"/>
        <w:lang w:val="en-US" w:eastAsia="en-US" w:bidi="en-US"/>
      </w:rPr>
    </w:lvl>
    <w:lvl w:ilvl="8" w:tplc="1AA8E4AA">
      <w:numFmt w:val="bullet"/>
      <w:lvlText w:val="•"/>
      <w:lvlJc w:val="left"/>
      <w:pPr>
        <w:ind w:left="9084" w:hanging="794"/>
      </w:pPr>
      <w:rPr>
        <w:rFonts w:hint="default"/>
        <w:lang w:val="en-US" w:eastAsia="en-US" w:bidi="en-US"/>
      </w:rPr>
    </w:lvl>
  </w:abstractNum>
  <w:abstractNum w:abstractNumId="11" w15:restartNumberingAfterBreak="0">
    <w:nsid w:val="09E12736"/>
    <w:multiLevelType w:val="hybridMultilevel"/>
    <w:tmpl w:val="D700D830"/>
    <w:lvl w:ilvl="0" w:tplc="4EBE3906">
      <w:start w:val="1"/>
      <w:numFmt w:val="lowerLetter"/>
      <w:lvlText w:val="(%1)"/>
      <w:lvlJc w:val="left"/>
      <w:pPr>
        <w:ind w:left="907" w:hanging="794"/>
        <w:jc w:val="left"/>
      </w:pPr>
      <w:rPr>
        <w:rFonts w:ascii="Raleway" w:eastAsia="Raleway" w:hAnsi="Raleway" w:cs="Raleway" w:hint="default"/>
        <w:color w:val="231F20"/>
        <w:spacing w:val="-4"/>
        <w:w w:val="100"/>
        <w:sz w:val="20"/>
        <w:szCs w:val="20"/>
        <w:lang w:val="en-US" w:eastAsia="en-US" w:bidi="en-US"/>
      </w:rPr>
    </w:lvl>
    <w:lvl w:ilvl="1" w:tplc="14A8F878">
      <w:start w:val="1"/>
      <w:numFmt w:val="lowerRoman"/>
      <w:lvlText w:val="%2."/>
      <w:lvlJc w:val="left"/>
      <w:pPr>
        <w:ind w:left="1303" w:hanging="397"/>
        <w:jc w:val="left"/>
      </w:pPr>
      <w:rPr>
        <w:rFonts w:ascii="Raleway" w:eastAsia="Raleway" w:hAnsi="Raleway" w:cs="Raleway" w:hint="default"/>
        <w:color w:val="231F20"/>
        <w:spacing w:val="-5"/>
        <w:w w:val="100"/>
        <w:sz w:val="20"/>
        <w:szCs w:val="20"/>
        <w:lang w:val="en-US" w:eastAsia="en-US" w:bidi="en-US"/>
      </w:rPr>
    </w:lvl>
    <w:lvl w:ilvl="2" w:tplc="A3CC38A6">
      <w:numFmt w:val="bullet"/>
      <w:lvlText w:val="•"/>
      <w:lvlJc w:val="left"/>
      <w:pPr>
        <w:ind w:left="1688" w:hanging="397"/>
      </w:pPr>
      <w:rPr>
        <w:rFonts w:hint="default"/>
        <w:lang w:val="en-US" w:eastAsia="en-US" w:bidi="en-US"/>
      </w:rPr>
    </w:lvl>
    <w:lvl w:ilvl="3" w:tplc="980213C6">
      <w:numFmt w:val="bullet"/>
      <w:lvlText w:val="•"/>
      <w:lvlJc w:val="left"/>
      <w:pPr>
        <w:ind w:left="2077" w:hanging="397"/>
      </w:pPr>
      <w:rPr>
        <w:rFonts w:hint="default"/>
        <w:lang w:val="en-US" w:eastAsia="en-US" w:bidi="en-US"/>
      </w:rPr>
    </w:lvl>
    <w:lvl w:ilvl="4" w:tplc="E0F48FB0">
      <w:numFmt w:val="bullet"/>
      <w:lvlText w:val="•"/>
      <w:lvlJc w:val="left"/>
      <w:pPr>
        <w:ind w:left="2466" w:hanging="397"/>
      </w:pPr>
      <w:rPr>
        <w:rFonts w:hint="default"/>
        <w:lang w:val="en-US" w:eastAsia="en-US" w:bidi="en-US"/>
      </w:rPr>
    </w:lvl>
    <w:lvl w:ilvl="5" w:tplc="B952ED08">
      <w:numFmt w:val="bullet"/>
      <w:lvlText w:val="•"/>
      <w:lvlJc w:val="left"/>
      <w:pPr>
        <w:ind w:left="2854" w:hanging="397"/>
      </w:pPr>
      <w:rPr>
        <w:rFonts w:hint="default"/>
        <w:lang w:val="en-US" w:eastAsia="en-US" w:bidi="en-US"/>
      </w:rPr>
    </w:lvl>
    <w:lvl w:ilvl="6" w:tplc="0456A4A4">
      <w:numFmt w:val="bullet"/>
      <w:lvlText w:val="•"/>
      <w:lvlJc w:val="left"/>
      <w:pPr>
        <w:ind w:left="3243" w:hanging="397"/>
      </w:pPr>
      <w:rPr>
        <w:rFonts w:hint="default"/>
        <w:lang w:val="en-US" w:eastAsia="en-US" w:bidi="en-US"/>
      </w:rPr>
    </w:lvl>
    <w:lvl w:ilvl="7" w:tplc="99E8095C">
      <w:numFmt w:val="bullet"/>
      <w:lvlText w:val="•"/>
      <w:lvlJc w:val="left"/>
      <w:pPr>
        <w:ind w:left="3632" w:hanging="397"/>
      </w:pPr>
      <w:rPr>
        <w:rFonts w:hint="default"/>
        <w:lang w:val="en-US" w:eastAsia="en-US" w:bidi="en-US"/>
      </w:rPr>
    </w:lvl>
    <w:lvl w:ilvl="8" w:tplc="4EF21FAE">
      <w:numFmt w:val="bullet"/>
      <w:lvlText w:val="•"/>
      <w:lvlJc w:val="left"/>
      <w:pPr>
        <w:ind w:left="4020" w:hanging="397"/>
      </w:pPr>
      <w:rPr>
        <w:rFonts w:hint="default"/>
        <w:lang w:val="en-US" w:eastAsia="en-US" w:bidi="en-US"/>
      </w:rPr>
    </w:lvl>
  </w:abstractNum>
  <w:abstractNum w:abstractNumId="12" w15:restartNumberingAfterBreak="0">
    <w:nsid w:val="0A115E21"/>
    <w:multiLevelType w:val="hybridMultilevel"/>
    <w:tmpl w:val="C78A71EE"/>
    <w:lvl w:ilvl="0" w:tplc="494EA334">
      <w:start w:val="60"/>
      <w:numFmt w:val="decimal"/>
      <w:lvlText w:val="%1"/>
      <w:lvlJc w:val="left"/>
      <w:pPr>
        <w:ind w:left="933" w:hanging="794"/>
        <w:jc w:val="left"/>
      </w:pPr>
      <w:rPr>
        <w:rFonts w:ascii="Raleway" w:eastAsia="Raleway" w:hAnsi="Raleway" w:cs="Raleway" w:hint="default"/>
        <w:color w:val="231F20"/>
        <w:spacing w:val="-1"/>
        <w:w w:val="100"/>
        <w:sz w:val="13"/>
        <w:szCs w:val="13"/>
        <w:lang w:val="en-US" w:eastAsia="en-US" w:bidi="en-US"/>
      </w:rPr>
    </w:lvl>
    <w:lvl w:ilvl="1" w:tplc="B44A1D50">
      <w:numFmt w:val="bullet"/>
      <w:lvlText w:val="•"/>
      <w:lvlJc w:val="left"/>
      <w:pPr>
        <w:ind w:left="1849" w:hanging="794"/>
      </w:pPr>
      <w:rPr>
        <w:rFonts w:hint="default"/>
        <w:lang w:val="en-US" w:eastAsia="en-US" w:bidi="en-US"/>
      </w:rPr>
    </w:lvl>
    <w:lvl w:ilvl="2" w:tplc="063A5236">
      <w:numFmt w:val="bullet"/>
      <w:lvlText w:val="•"/>
      <w:lvlJc w:val="left"/>
      <w:pPr>
        <w:ind w:left="2759" w:hanging="794"/>
      </w:pPr>
      <w:rPr>
        <w:rFonts w:hint="default"/>
        <w:lang w:val="en-US" w:eastAsia="en-US" w:bidi="en-US"/>
      </w:rPr>
    </w:lvl>
    <w:lvl w:ilvl="3" w:tplc="5EFEBD8A">
      <w:numFmt w:val="bullet"/>
      <w:lvlText w:val="•"/>
      <w:lvlJc w:val="left"/>
      <w:pPr>
        <w:ind w:left="3669" w:hanging="794"/>
      </w:pPr>
      <w:rPr>
        <w:rFonts w:hint="default"/>
        <w:lang w:val="en-US" w:eastAsia="en-US" w:bidi="en-US"/>
      </w:rPr>
    </w:lvl>
    <w:lvl w:ilvl="4" w:tplc="000C18B0">
      <w:numFmt w:val="bullet"/>
      <w:lvlText w:val="•"/>
      <w:lvlJc w:val="left"/>
      <w:pPr>
        <w:ind w:left="4579" w:hanging="794"/>
      </w:pPr>
      <w:rPr>
        <w:rFonts w:hint="default"/>
        <w:lang w:val="en-US" w:eastAsia="en-US" w:bidi="en-US"/>
      </w:rPr>
    </w:lvl>
    <w:lvl w:ilvl="5" w:tplc="7ECCFC3C">
      <w:numFmt w:val="bullet"/>
      <w:lvlText w:val="•"/>
      <w:lvlJc w:val="left"/>
      <w:pPr>
        <w:ind w:left="5489" w:hanging="794"/>
      </w:pPr>
      <w:rPr>
        <w:rFonts w:hint="default"/>
        <w:lang w:val="en-US" w:eastAsia="en-US" w:bidi="en-US"/>
      </w:rPr>
    </w:lvl>
    <w:lvl w:ilvl="6" w:tplc="467C5E80">
      <w:numFmt w:val="bullet"/>
      <w:lvlText w:val="•"/>
      <w:lvlJc w:val="left"/>
      <w:pPr>
        <w:ind w:left="6398" w:hanging="794"/>
      </w:pPr>
      <w:rPr>
        <w:rFonts w:hint="default"/>
        <w:lang w:val="en-US" w:eastAsia="en-US" w:bidi="en-US"/>
      </w:rPr>
    </w:lvl>
    <w:lvl w:ilvl="7" w:tplc="BE869A84">
      <w:numFmt w:val="bullet"/>
      <w:lvlText w:val="•"/>
      <w:lvlJc w:val="left"/>
      <w:pPr>
        <w:ind w:left="7308" w:hanging="794"/>
      </w:pPr>
      <w:rPr>
        <w:rFonts w:hint="default"/>
        <w:lang w:val="en-US" w:eastAsia="en-US" w:bidi="en-US"/>
      </w:rPr>
    </w:lvl>
    <w:lvl w:ilvl="8" w:tplc="4588F4EC">
      <w:numFmt w:val="bullet"/>
      <w:lvlText w:val="•"/>
      <w:lvlJc w:val="left"/>
      <w:pPr>
        <w:ind w:left="8218" w:hanging="794"/>
      </w:pPr>
      <w:rPr>
        <w:rFonts w:hint="default"/>
        <w:lang w:val="en-US" w:eastAsia="en-US" w:bidi="en-US"/>
      </w:rPr>
    </w:lvl>
  </w:abstractNum>
  <w:abstractNum w:abstractNumId="13" w15:restartNumberingAfterBreak="0">
    <w:nsid w:val="0A6208DE"/>
    <w:multiLevelType w:val="hybridMultilevel"/>
    <w:tmpl w:val="CFA0B412"/>
    <w:lvl w:ilvl="0" w:tplc="87124F9C">
      <w:start w:val="264"/>
      <w:numFmt w:val="decimal"/>
      <w:lvlText w:val="%1"/>
      <w:lvlJc w:val="left"/>
      <w:pPr>
        <w:ind w:left="933" w:hanging="794"/>
        <w:jc w:val="left"/>
      </w:pPr>
      <w:rPr>
        <w:rFonts w:ascii="Raleway" w:eastAsia="Raleway" w:hAnsi="Raleway" w:cs="Raleway" w:hint="default"/>
        <w:color w:val="231F20"/>
        <w:spacing w:val="0"/>
        <w:w w:val="100"/>
        <w:sz w:val="13"/>
        <w:szCs w:val="13"/>
        <w:lang w:val="en-US" w:eastAsia="en-US" w:bidi="en-US"/>
      </w:rPr>
    </w:lvl>
    <w:lvl w:ilvl="1" w:tplc="92A65E48">
      <w:numFmt w:val="bullet"/>
      <w:lvlText w:val="•"/>
      <w:lvlJc w:val="left"/>
      <w:pPr>
        <w:ind w:left="1849" w:hanging="794"/>
      </w:pPr>
      <w:rPr>
        <w:rFonts w:hint="default"/>
        <w:lang w:val="en-US" w:eastAsia="en-US" w:bidi="en-US"/>
      </w:rPr>
    </w:lvl>
    <w:lvl w:ilvl="2" w:tplc="73DC4086">
      <w:numFmt w:val="bullet"/>
      <w:lvlText w:val="•"/>
      <w:lvlJc w:val="left"/>
      <w:pPr>
        <w:ind w:left="2759" w:hanging="794"/>
      </w:pPr>
      <w:rPr>
        <w:rFonts w:hint="default"/>
        <w:lang w:val="en-US" w:eastAsia="en-US" w:bidi="en-US"/>
      </w:rPr>
    </w:lvl>
    <w:lvl w:ilvl="3" w:tplc="E8FA52E8">
      <w:numFmt w:val="bullet"/>
      <w:lvlText w:val="•"/>
      <w:lvlJc w:val="left"/>
      <w:pPr>
        <w:ind w:left="3669" w:hanging="794"/>
      </w:pPr>
      <w:rPr>
        <w:rFonts w:hint="default"/>
        <w:lang w:val="en-US" w:eastAsia="en-US" w:bidi="en-US"/>
      </w:rPr>
    </w:lvl>
    <w:lvl w:ilvl="4" w:tplc="EE6C4A18">
      <w:numFmt w:val="bullet"/>
      <w:lvlText w:val="•"/>
      <w:lvlJc w:val="left"/>
      <w:pPr>
        <w:ind w:left="4579" w:hanging="794"/>
      </w:pPr>
      <w:rPr>
        <w:rFonts w:hint="default"/>
        <w:lang w:val="en-US" w:eastAsia="en-US" w:bidi="en-US"/>
      </w:rPr>
    </w:lvl>
    <w:lvl w:ilvl="5" w:tplc="DA487502">
      <w:numFmt w:val="bullet"/>
      <w:lvlText w:val="•"/>
      <w:lvlJc w:val="left"/>
      <w:pPr>
        <w:ind w:left="5489" w:hanging="794"/>
      </w:pPr>
      <w:rPr>
        <w:rFonts w:hint="default"/>
        <w:lang w:val="en-US" w:eastAsia="en-US" w:bidi="en-US"/>
      </w:rPr>
    </w:lvl>
    <w:lvl w:ilvl="6" w:tplc="3DAE9B34">
      <w:numFmt w:val="bullet"/>
      <w:lvlText w:val="•"/>
      <w:lvlJc w:val="left"/>
      <w:pPr>
        <w:ind w:left="6398" w:hanging="794"/>
      </w:pPr>
      <w:rPr>
        <w:rFonts w:hint="default"/>
        <w:lang w:val="en-US" w:eastAsia="en-US" w:bidi="en-US"/>
      </w:rPr>
    </w:lvl>
    <w:lvl w:ilvl="7" w:tplc="85825C6C">
      <w:numFmt w:val="bullet"/>
      <w:lvlText w:val="•"/>
      <w:lvlJc w:val="left"/>
      <w:pPr>
        <w:ind w:left="7308" w:hanging="794"/>
      </w:pPr>
      <w:rPr>
        <w:rFonts w:hint="default"/>
        <w:lang w:val="en-US" w:eastAsia="en-US" w:bidi="en-US"/>
      </w:rPr>
    </w:lvl>
    <w:lvl w:ilvl="8" w:tplc="32A089E2">
      <w:numFmt w:val="bullet"/>
      <w:lvlText w:val="•"/>
      <w:lvlJc w:val="left"/>
      <w:pPr>
        <w:ind w:left="8218" w:hanging="794"/>
      </w:pPr>
      <w:rPr>
        <w:rFonts w:hint="default"/>
        <w:lang w:val="en-US" w:eastAsia="en-US" w:bidi="en-US"/>
      </w:rPr>
    </w:lvl>
  </w:abstractNum>
  <w:abstractNum w:abstractNumId="14" w15:restartNumberingAfterBreak="0">
    <w:nsid w:val="0A964269"/>
    <w:multiLevelType w:val="hybridMultilevel"/>
    <w:tmpl w:val="DBA27D94"/>
    <w:lvl w:ilvl="0" w:tplc="01BCCCB0">
      <w:start w:val="4"/>
      <w:numFmt w:val="decimal"/>
      <w:lvlText w:val="%1."/>
      <w:lvlJc w:val="left"/>
      <w:pPr>
        <w:ind w:left="2368" w:hanging="567"/>
        <w:jc w:val="left"/>
      </w:pPr>
      <w:rPr>
        <w:rFonts w:ascii="Trebuchet MS" w:eastAsia="Trebuchet MS" w:hAnsi="Trebuchet MS" w:cs="Trebuchet MS" w:hint="default"/>
        <w:color w:val="231F20"/>
        <w:spacing w:val="0"/>
        <w:w w:val="55"/>
        <w:sz w:val="20"/>
        <w:szCs w:val="20"/>
        <w:lang w:val="en-US" w:eastAsia="en-US" w:bidi="en-US"/>
      </w:rPr>
    </w:lvl>
    <w:lvl w:ilvl="1" w:tplc="FF0612BE">
      <w:numFmt w:val="bullet"/>
      <w:lvlText w:val="•"/>
      <w:lvlJc w:val="left"/>
      <w:pPr>
        <w:ind w:left="2934" w:hanging="567"/>
      </w:pPr>
      <w:rPr>
        <w:rFonts w:ascii="Trebuchet MS" w:eastAsia="Trebuchet MS" w:hAnsi="Trebuchet MS" w:cs="Trebuchet MS" w:hint="default"/>
        <w:color w:val="231F20"/>
        <w:w w:val="67"/>
        <w:sz w:val="20"/>
        <w:szCs w:val="20"/>
        <w:lang w:val="en-US" w:eastAsia="en-US" w:bidi="en-US"/>
      </w:rPr>
    </w:lvl>
    <w:lvl w:ilvl="2" w:tplc="8B629AC4">
      <w:numFmt w:val="bullet"/>
      <w:lvlText w:val="•"/>
      <w:lvlJc w:val="left"/>
      <w:pPr>
        <w:ind w:left="3825" w:hanging="567"/>
      </w:pPr>
      <w:rPr>
        <w:rFonts w:hint="default"/>
        <w:lang w:val="en-US" w:eastAsia="en-US" w:bidi="en-US"/>
      </w:rPr>
    </w:lvl>
    <w:lvl w:ilvl="3" w:tplc="B88C7B74">
      <w:numFmt w:val="bullet"/>
      <w:lvlText w:val="•"/>
      <w:lvlJc w:val="left"/>
      <w:pPr>
        <w:ind w:left="4710" w:hanging="567"/>
      </w:pPr>
      <w:rPr>
        <w:rFonts w:hint="default"/>
        <w:lang w:val="en-US" w:eastAsia="en-US" w:bidi="en-US"/>
      </w:rPr>
    </w:lvl>
    <w:lvl w:ilvl="4" w:tplc="9AC4CC28">
      <w:numFmt w:val="bullet"/>
      <w:lvlText w:val="•"/>
      <w:lvlJc w:val="left"/>
      <w:pPr>
        <w:ind w:left="5595" w:hanging="567"/>
      </w:pPr>
      <w:rPr>
        <w:rFonts w:hint="default"/>
        <w:lang w:val="en-US" w:eastAsia="en-US" w:bidi="en-US"/>
      </w:rPr>
    </w:lvl>
    <w:lvl w:ilvl="5" w:tplc="AC8A97BE">
      <w:numFmt w:val="bullet"/>
      <w:lvlText w:val="•"/>
      <w:lvlJc w:val="left"/>
      <w:pPr>
        <w:ind w:left="6480" w:hanging="567"/>
      </w:pPr>
      <w:rPr>
        <w:rFonts w:hint="default"/>
        <w:lang w:val="en-US" w:eastAsia="en-US" w:bidi="en-US"/>
      </w:rPr>
    </w:lvl>
    <w:lvl w:ilvl="6" w:tplc="EA6A8418">
      <w:numFmt w:val="bullet"/>
      <w:lvlText w:val="•"/>
      <w:lvlJc w:val="left"/>
      <w:pPr>
        <w:ind w:left="7365" w:hanging="567"/>
      </w:pPr>
      <w:rPr>
        <w:rFonts w:hint="default"/>
        <w:lang w:val="en-US" w:eastAsia="en-US" w:bidi="en-US"/>
      </w:rPr>
    </w:lvl>
    <w:lvl w:ilvl="7" w:tplc="F0AA31C6">
      <w:numFmt w:val="bullet"/>
      <w:lvlText w:val="•"/>
      <w:lvlJc w:val="left"/>
      <w:pPr>
        <w:ind w:left="8250" w:hanging="567"/>
      </w:pPr>
      <w:rPr>
        <w:rFonts w:hint="default"/>
        <w:lang w:val="en-US" w:eastAsia="en-US" w:bidi="en-US"/>
      </w:rPr>
    </w:lvl>
    <w:lvl w:ilvl="8" w:tplc="DF542350">
      <w:numFmt w:val="bullet"/>
      <w:lvlText w:val="•"/>
      <w:lvlJc w:val="left"/>
      <w:pPr>
        <w:ind w:left="9135" w:hanging="567"/>
      </w:pPr>
      <w:rPr>
        <w:rFonts w:hint="default"/>
        <w:lang w:val="en-US" w:eastAsia="en-US" w:bidi="en-US"/>
      </w:rPr>
    </w:lvl>
  </w:abstractNum>
  <w:abstractNum w:abstractNumId="15" w15:restartNumberingAfterBreak="0">
    <w:nsid w:val="0A9A58A8"/>
    <w:multiLevelType w:val="hybridMultilevel"/>
    <w:tmpl w:val="DD10728A"/>
    <w:lvl w:ilvl="0" w:tplc="AD7AC118">
      <w:start w:val="1"/>
      <w:numFmt w:val="lowerLetter"/>
      <w:lvlText w:val="(%1)"/>
      <w:lvlJc w:val="left"/>
      <w:pPr>
        <w:ind w:left="907" w:hanging="794"/>
        <w:jc w:val="left"/>
      </w:pPr>
      <w:rPr>
        <w:rFonts w:ascii="Raleway" w:eastAsia="Raleway" w:hAnsi="Raleway" w:cs="Raleway" w:hint="default"/>
        <w:color w:val="231F20"/>
        <w:spacing w:val="-4"/>
        <w:w w:val="100"/>
        <w:sz w:val="20"/>
        <w:szCs w:val="20"/>
        <w:lang w:val="en-US" w:eastAsia="en-US" w:bidi="en-US"/>
      </w:rPr>
    </w:lvl>
    <w:lvl w:ilvl="1" w:tplc="2F14A184">
      <w:start w:val="1"/>
      <w:numFmt w:val="lowerRoman"/>
      <w:lvlText w:val="%2."/>
      <w:lvlJc w:val="left"/>
      <w:pPr>
        <w:ind w:left="1303" w:hanging="397"/>
        <w:jc w:val="left"/>
      </w:pPr>
      <w:rPr>
        <w:rFonts w:ascii="Raleway" w:eastAsia="Raleway" w:hAnsi="Raleway" w:cs="Raleway" w:hint="default"/>
        <w:color w:val="231F20"/>
        <w:spacing w:val="-5"/>
        <w:w w:val="100"/>
        <w:sz w:val="20"/>
        <w:szCs w:val="20"/>
        <w:lang w:val="en-US" w:eastAsia="en-US" w:bidi="en-US"/>
      </w:rPr>
    </w:lvl>
    <w:lvl w:ilvl="2" w:tplc="EF2C044A">
      <w:numFmt w:val="bullet"/>
      <w:lvlText w:val="•"/>
      <w:lvlJc w:val="left"/>
      <w:pPr>
        <w:ind w:left="1688" w:hanging="397"/>
      </w:pPr>
      <w:rPr>
        <w:rFonts w:hint="default"/>
        <w:lang w:val="en-US" w:eastAsia="en-US" w:bidi="en-US"/>
      </w:rPr>
    </w:lvl>
    <w:lvl w:ilvl="3" w:tplc="F3D49AC2">
      <w:numFmt w:val="bullet"/>
      <w:lvlText w:val="•"/>
      <w:lvlJc w:val="left"/>
      <w:pPr>
        <w:ind w:left="2077" w:hanging="397"/>
      </w:pPr>
      <w:rPr>
        <w:rFonts w:hint="default"/>
        <w:lang w:val="en-US" w:eastAsia="en-US" w:bidi="en-US"/>
      </w:rPr>
    </w:lvl>
    <w:lvl w:ilvl="4" w:tplc="A17817D6">
      <w:numFmt w:val="bullet"/>
      <w:lvlText w:val="•"/>
      <w:lvlJc w:val="left"/>
      <w:pPr>
        <w:ind w:left="2466" w:hanging="397"/>
      </w:pPr>
      <w:rPr>
        <w:rFonts w:hint="default"/>
        <w:lang w:val="en-US" w:eastAsia="en-US" w:bidi="en-US"/>
      </w:rPr>
    </w:lvl>
    <w:lvl w:ilvl="5" w:tplc="D3E229A6">
      <w:numFmt w:val="bullet"/>
      <w:lvlText w:val="•"/>
      <w:lvlJc w:val="left"/>
      <w:pPr>
        <w:ind w:left="2854" w:hanging="397"/>
      </w:pPr>
      <w:rPr>
        <w:rFonts w:hint="default"/>
        <w:lang w:val="en-US" w:eastAsia="en-US" w:bidi="en-US"/>
      </w:rPr>
    </w:lvl>
    <w:lvl w:ilvl="6" w:tplc="260AA11C">
      <w:numFmt w:val="bullet"/>
      <w:lvlText w:val="•"/>
      <w:lvlJc w:val="left"/>
      <w:pPr>
        <w:ind w:left="3243" w:hanging="397"/>
      </w:pPr>
      <w:rPr>
        <w:rFonts w:hint="default"/>
        <w:lang w:val="en-US" w:eastAsia="en-US" w:bidi="en-US"/>
      </w:rPr>
    </w:lvl>
    <w:lvl w:ilvl="7" w:tplc="542A6552">
      <w:numFmt w:val="bullet"/>
      <w:lvlText w:val="•"/>
      <w:lvlJc w:val="left"/>
      <w:pPr>
        <w:ind w:left="3632" w:hanging="397"/>
      </w:pPr>
      <w:rPr>
        <w:rFonts w:hint="default"/>
        <w:lang w:val="en-US" w:eastAsia="en-US" w:bidi="en-US"/>
      </w:rPr>
    </w:lvl>
    <w:lvl w:ilvl="8" w:tplc="64CC4F96">
      <w:numFmt w:val="bullet"/>
      <w:lvlText w:val="•"/>
      <w:lvlJc w:val="left"/>
      <w:pPr>
        <w:ind w:left="4020" w:hanging="397"/>
      </w:pPr>
      <w:rPr>
        <w:rFonts w:hint="default"/>
        <w:lang w:val="en-US" w:eastAsia="en-US" w:bidi="en-US"/>
      </w:rPr>
    </w:lvl>
  </w:abstractNum>
  <w:abstractNum w:abstractNumId="16" w15:restartNumberingAfterBreak="0">
    <w:nsid w:val="0AE07660"/>
    <w:multiLevelType w:val="hybridMultilevel"/>
    <w:tmpl w:val="49F25ADC"/>
    <w:lvl w:ilvl="0" w:tplc="3AE60DB8">
      <w:start w:val="63"/>
      <w:numFmt w:val="decimal"/>
      <w:lvlText w:val="%1"/>
      <w:lvlJc w:val="left"/>
      <w:pPr>
        <w:ind w:left="1801" w:hanging="794"/>
        <w:jc w:val="right"/>
      </w:pPr>
      <w:rPr>
        <w:rFonts w:ascii="Raleway" w:eastAsia="Raleway" w:hAnsi="Raleway" w:cs="Raleway" w:hint="default"/>
        <w:color w:val="231F20"/>
        <w:spacing w:val="-7"/>
        <w:w w:val="100"/>
        <w:sz w:val="13"/>
        <w:szCs w:val="13"/>
        <w:lang w:val="en-US" w:eastAsia="en-US" w:bidi="en-US"/>
      </w:rPr>
    </w:lvl>
    <w:lvl w:ilvl="1" w:tplc="CB26E5E0">
      <w:numFmt w:val="bullet"/>
      <w:lvlText w:val="•"/>
      <w:lvlJc w:val="left"/>
      <w:pPr>
        <w:ind w:left="2569" w:hanging="794"/>
      </w:pPr>
      <w:rPr>
        <w:rFonts w:hint="default"/>
        <w:lang w:val="en-US" w:eastAsia="en-US" w:bidi="en-US"/>
      </w:rPr>
    </w:lvl>
    <w:lvl w:ilvl="2" w:tplc="5800632A">
      <w:numFmt w:val="bullet"/>
      <w:lvlText w:val="•"/>
      <w:lvlJc w:val="left"/>
      <w:pPr>
        <w:ind w:left="3338" w:hanging="794"/>
      </w:pPr>
      <w:rPr>
        <w:rFonts w:hint="default"/>
        <w:lang w:val="en-US" w:eastAsia="en-US" w:bidi="en-US"/>
      </w:rPr>
    </w:lvl>
    <w:lvl w:ilvl="3" w:tplc="C8DC3CF4">
      <w:numFmt w:val="bullet"/>
      <w:lvlText w:val="•"/>
      <w:lvlJc w:val="left"/>
      <w:pPr>
        <w:ind w:left="4107" w:hanging="794"/>
      </w:pPr>
      <w:rPr>
        <w:rFonts w:hint="default"/>
        <w:lang w:val="en-US" w:eastAsia="en-US" w:bidi="en-US"/>
      </w:rPr>
    </w:lvl>
    <w:lvl w:ilvl="4" w:tplc="CD8C2100">
      <w:numFmt w:val="bullet"/>
      <w:lvlText w:val="•"/>
      <w:lvlJc w:val="left"/>
      <w:pPr>
        <w:ind w:left="4876" w:hanging="794"/>
      </w:pPr>
      <w:rPr>
        <w:rFonts w:hint="default"/>
        <w:lang w:val="en-US" w:eastAsia="en-US" w:bidi="en-US"/>
      </w:rPr>
    </w:lvl>
    <w:lvl w:ilvl="5" w:tplc="45C2B5D2">
      <w:numFmt w:val="bullet"/>
      <w:lvlText w:val="•"/>
      <w:lvlJc w:val="left"/>
      <w:pPr>
        <w:ind w:left="5645" w:hanging="794"/>
      </w:pPr>
      <w:rPr>
        <w:rFonts w:hint="default"/>
        <w:lang w:val="en-US" w:eastAsia="en-US" w:bidi="en-US"/>
      </w:rPr>
    </w:lvl>
    <w:lvl w:ilvl="6" w:tplc="E162ED40">
      <w:numFmt w:val="bullet"/>
      <w:lvlText w:val="•"/>
      <w:lvlJc w:val="left"/>
      <w:pPr>
        <w:ind w:left="6414" w:hanging="794"/>
      </w:pPr>
      <w:rPr>
        <w:rFonts w:hint="default"/>
        <w:lang w:val="en-US" w:eastAsia="en-US" w:bidi="en-US"/>
      </w:rPr>
    </w:lvl>
    <w:lvl w:ilvl="7" w:tplc="4B182C7A">
      <w:numFmt w:val="bullet"/>
      <w:lvlText w:val="•"/>
      <w:lvlJc w:val="left"/>
      <w:pPr>
        <w:ind w:left="7183" w:hanging="794"/>
      </w:pPr>
      <w:rPr>
        <w:rFonts w:hint="default"/>
        <w:lang w:val="en-US" w:eastAsia="en-US" w:bidi="en-US"/>
      </w:rPr>
    </w:lvl>
    <w:lvl w:ilvl="8" w:tplc="8AD46516">
      <w:numFmt w:val="bullet"/>
      <w:lvlText w:val="•"/>
      <w:lvlJc w:val="left"/>
      <w:pPr>
        <w:ind w:left="7952" w:hanging="794"/>
      </w:pPr>
      <w:rPr>
        <w:rFonts w:hint="default"/>
        <w:lang w:val="en-US" w:eastAsia="en-US" w:bidi="en-US"/>
      </w:rPr>
    </w:lvl>
  </w:abstractNum>
  <w:abstractNum w:abstractNumId="17" w15:restartNumberingAfterBreak="0">
    <w:nsid w:val="0B474A9A"/>
    <w:multiLevelType w:val="hybridMultilevel"/>
    <w:tmpl w:val="7C36CB74"/>
    <w:lvl w:ilvl="0" w:tplc="9B2A0D5A">
      <w:start w:val="94"/>
      <w:numFmt w:val="decimal"/>
      <w:lvlText w:val="%1"/>
      <w:lvlJc w:val="left"/>
      <w:pPr>
        <w:ind w:left="1801" w:hanging="794"/>
        <w:jc w:val="left"/>
      </w:pPr>
      <w:rPr>
        <w:rFonts w:ascii="Raleway" w:eastAsia="Raleway" w:hAnsi="Raleway" w:cs="Raleway" w:hint="default"/>
        <w:color w:val="231F20"/>
        <w:spacing w:val="-2"/>
        <w:w w:val="99"/>
        <w:sz w:val="13"/>
        <w:szCs w:val="13"/>
        <w:lang w:val="en-US" w:eastAsia="en-US" w:bidi="en-US"/>
      </w:rPr>
    </w:lvl>
    <w:lvl w:ilvl="1" w:tplc="AA20061C">
      <w:numFmt w:val="bullet"/>
      <w:lvlText w:val="•"/>
      <w:lvlJc w:val="left"/>
      <w:pPr>
        <w:ind w:left="2710" w:hanging="794"/>
      </w:pPr>
      <w:rPr>
        <w:rFonts w:hint="default"/>
        <w:lang w:val="en-US" w:eastAsia="en-US" w:bidi="en-US"/>
      </w:rPr>
    </w:lvl>
    <w:lvl w:ilvl="2" w:tplc="A9BE9222">
      <w:numFmt w:val="bullet"/>
      <w:lvlText w:val="•"/>
      <w:lvlJc w:val="left"/>
      <w:pPr>
        <w:ind w:left="3621" w:hanging="794"/>
      </w:pPr>
      <w:rPr>
        <w:rFonts w:hint="default"/>
        <w:lang w:val="en-US" w:eastAsia="en-US" w:bidi="en-US"/>
      </w:rPr>
    </w:lvl>
    <w:lvl w:ilvl="3" w:tplc="C9707D32">
      <w:numFmt w:val="bullet"/>
      <w:lvlText w:val="•"/>
      <w:lvlJc w:val="left"/>
      <w:pPr>
        <w:ind w:left="4531" w:hanging="794"/>
      </w:pPr>
      <w:rPr>
        <w:rFonts w:hint="default"/>
        <w:lang w:val="en-US" w:eastAsia="en-US" w:bidi="en-US"/>
      </w:rPr>
    </w:lvl>
    <w:lvl w:ilvl="4" w:tplc="59ACAAB4">
      <w:numFmt w:val="bullet"/>
      <w:lvlText w:val="•"/>
      <w:lvlJc w:val="left"/>
      <w:pPr>
        <w:ind w:left="5442" w:hanging="794"/>
      </w:pPr>
      <w:rPr>
        <w:rFonts w:hint="default"/>
        <w:lang w:val="en-US" w:eastAsia="en-US" w:bidi="en-US"/>
      </w:rPr>
    </w:lvl>
    <w:lvl w:ilvl="5" w:tplc="4E7EA4E4">
      <w:numFmt w:val="bullet"/>
      <w:lvlText w:val="•"/>
      <w:lvlJc w:val="left"/>
      <w:pPr>
        <w:ind w:left="6352" w:hanging="794"/>
      </w:pPr>
      <w:rPr>
        <w:rFonts w:hint="default"/>
        <w:lang w:val="en-US" w:eastAsia="en-US" w:bidi="en-US"/>
      </w:rPr>
    </w:lvl>
    <w:lvl w:ilvl="6" w:tplc="3834A6E4">
      <w:numFmt w:val="bullet"/>
      <w:lvlText w:val="•"/>
      <w:lvlJc w:val="left"/>
      <w:pPr>
        <w:ind w:left="7263" w:hanging="794"/>
      </w:pPr>
      <w:rPr>
        <w:rFonts w:hint="default"/>
        <w:lang w:val="en-US" w:eastAsia="en-US" w:bidi="en-US"/>
      </w:rPr>
    </w:lvl>
    <w:lvl w:ilvl="7" w:tplc="ED6E38F6">
      <w:numFmt w:val="bullet"/>
      <w:lvlText w:val="•"/>
      <w:lvlJc w:val="left"/>
      <w:pPr>
        <w:ind w:left="8173" w:hanging="794"/>
      </w:pPr>
      <w:rPr>
        <w:rFonts w:hint="default"/>
        <w:lang w:val="en-US" w:eastAsia="en-US" w:bidi="en-US"/>
      </w:rPr>
    </w:lvl>
    <w:lvl w:ilvl="8" w:tplc="8C4E1C6E">
      <w:numFmt w:val="bullet"/>
      <w:lvlText w:val="•"/>
      <w:lvlJc w:val="left"/>
      <w:pPr>
        <w:ind w:left="9084" w:hanging="794"/>
      </w:pPr>
      <w:rPr>
        <w:rFonts w:hint="default"/>
        <w:lang w:val="en-US" w:eastAsia="en-US" w:bidi="en-US"/>
      </w:rPr>
    </w:lvl>
  </w:abstractNum>
  <w:abstractNum w:abstractNumId="18" w15:restartNumberingAfterBreak="0">
    <w:nsid w:val="0C9B4326"/>
    <w:multiLevelType w:val="hybridMultilevel"/>
    <w:tmpl w:val="76ECC79C"/>
    <w:lvl w:ilvl="0" w:tplc="246825CC">
      <w:start w:val="53"/>
      <w:numFmt w:val="decimal"/>
      <w:lvlText w:val="%1"/>
      <w:lvlJc w:val="left"/>
      <w:pPr>
        <w:ind w:left="1801" w:hanging="794"/>
        <w:jc w:val="right"/>
      </w:pPr>
      <w:rPr>
        <w:rFonts w:ascii="Raleway" w:eastAsia="Raleway" w:hAnsi="Raleway" w:cs="Raleway" w:hint="default"/>
        <w:color w:val="231F20"/>
        <w:spacing w:val="-2"/>
        <w:w w:val="100"/>
        <w:sz w:val="13"/>
        <w:szCs w:val="13"/>
        <w:lang w:val="en-US" w:eastAsia="en-US" w:bidi="en-US"/>
      </w:rPr>
    </w:lvl>
    <w:lvl w:ilvl="1" w:tplc="44CCAF9C">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2" w:tplc="AAB0C2A4">
      <w:numFmt w:val="bullet"/>
      <w:lvlText w:val="•"/>
      <w:lvlJc w:val="left"/>
      <w:pPr>
        <w:ind w:left="2966" w:hanging="341"/>
      </w:pPr>
      <w:rPr>
        <w:rFonts w:hint="default"/>
        <w:lang w:val="en-US" w:eastAsia="en-US" w:bidi="en-US"/>
      </w:rPr>
    </w:lvl>
    <w:lvl w:ilvl="3" w:tplc="9F0C19F4">
      <w:numFmt w:val="bullet"/>
      <w:lvlText w:val="•"/>
      <w:lvlJc w:val="left"/>
      <w:pPr>
        <w:ind w:left="3793" w:hanging="341"/>
      </w:pPr>
      <w:rPr>
        <w:rFonts w:hint="default"/>
        <w:lang w:val="en-US" w:eastAsia="en-US" w:bidi="en-US"/>
      </w:rPr>
    </w:lvl>
    <w:lvl w:ilvl="4" w:tplc="079E93D2">
      <w:numFmt w:val="bullet"/>
      <w:lvlText w:val="•"/>
      <w:lvlJc w:val="left"/>
      <w:pPr>
        <w:ind w:left="4620" w:hanging="341"/>
      </w:pPr>
      <w:rPr>
        <w:rFonts w:hint="default"/>
        <w:lang w:val="en-US" w:eastAsia="en-US" w:bidi="en-US"/>
      </w:rPr>
    </w:lvl>
    <w:lvl w:ilvl="5" w:tplc="4BC065D6">
      <w:numFmt w:val="bullet"/>
      <w:lvlText w:val="•"/>
      <w:lvlJc w:val="left"/>
      <w:pPr>
        <w:ind w:left="5447" w:hanging="341"/>
      </w:pPr>
      <w:rPr>
        <w:rFonts w:hint="default"/>
        <w:lang w:val="en-US" w:eastAsia="en-US" w:bidi="en-US"/>
      </w:rPr>
    </w:lvl>
    <w:lvl w:ilvl="6" w:tplc="490CA4CA">
      <w:numFmt w:val="bullet"/>
      <w:lvlText w:val="•"/>
      <w:lvlJc w:val="left"/>
      <w:pPr>
        <w:ind w:left="6274" w:hanging="341"/>
      </w:pPr>
      <w:rPr>
        <w:rFonts w:hint="default"/>
        <w:lang w:val="en-US" w:eastAsia="en-US" w:bidi="en-US"/>
      </w:rPr>
    </w:lvl>
    <w:lvl w:ilvl="7" w:tplc="8354CCBE">
      <w:numFmt w:val="bullet"/>
      <w:lvlText w:val="•"/>
      <w:lvlJc w:val="left"/>
      <w:pPr>
        <w:ind w:left="7101" w:hanging="341"/>
      </w:pPr>
      <w:rPr>
        <w:rFonts w:hint="default"/>
        <w:lang w:val="en-US" w:eastAsia="en-US" w:bidi="en-US"/>
      </w:rPr>
    </w:lvl>
    <w:lvl w:ilvl="8" w:tplc="43241268">
      <w:numFmt w:val="bullet"/>
      <w:lvlText w:val="•"/>
      <w:lvlJc w:val="left"/>
      <w:pPr>
        <w:ind w:left="7928" w:hanging="341"/>
      </w:pPr>
      <w:rPr>
        <w:rFonts w:hint="default"/>
        <w:lang w:val="en-US" w:eastAsia="en-US" w:bidi="en-US"/>
      </w:rPr>
    </w:lvl>
  </w:abstractNum>
  <w:abstractNum w:abstractNumId="19" w15:restartNumberingAfterBreak="0">
    <w:nsid w:val="0E143FA8"/>
    <w:multiLevelType w:val="hybridMultilevel"/>
    <w:tmpl w:val="BE660476"/>
    <w:lvl w:ilvl="0" w:tplc="5A781286">
      <w:start w:val="27"/>
      <w:numFmt w:val="decimal"/>
      <w:lvlText w:val="%1"/>
      <w:lvlJc w:val="left"/>
      <w:pPr>
        <w:ind w:left="1801" w:hanging="794"/>
        <w:jc w:val="right"/>
      </w:pPr>
      <w:rPr>
        <w:rFonts w:ascii="Raleway" w:eastAsia="Raleway" w:hAnsi="Raleway" w:cs="Raleway" w:hint="default"/>
        <w:color w:val="231F20"/>
        <w:spacing w:val="-1"/>
        <w:w w:val="100"/>
        <w:sz w:val="13"/>
        <w:szCs w:val="13"/>
        <w:lang w:val="en-US" w:eastAsia="en-US" w:bidi="en-US"/>
      </w:rPr>
    </w:lvl>
    <w:lvl w:ilvl="1" w:tplc="F4DE7DDE">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2" w:tplc="51DCDF8A">
      <w:numFmt w:val="bullet"/>
      <w:lvlText w:val="•"/>
      <w:lvlJc w:val="left"/>
      <w:pPr>
        <w:ind w:left="3113" w:hanging="341"/>
      </w:pPr>
      <w:rPr>
        <w:rFonts w:hint="default"/>
        <w:lang w:val="en-US" w:eastAsia="en-US" w:bidi="en-US"/>
      </w:rPr>
    </w:lvl>
    <w:lvl w:ilvl="3" w:tplc="3EF6C28A">
      <w:numFmt w:val="bullet"/>
      <w:lvlText w:val="•"/>
      <w:lvlJc w:val="left"/>
      <w:pPr>
        <w:ind w:left="4087" w:hanging="341"/>
      </w:pPr>
      <w:rPr>
        <w:rFonts w:hint="default"/>
        <w:lang w:val="en-US" w:eastAsia="en-US" w:bidi="en-US"/>
      </w:rPr>
    </w:lvl>
    <w:lvl w:ilvl="4" w:tplc="D05E280A">
      <w:numFmt w:val="bullet"/>
      <w:lvlText w:val="•"/>
      <w:lvlJc w:val="left"/>
      <w:pPr>
        <w:ind w:left="5061" w:hanging="341"/>
      </w:pPr>
      <w:rPr>
        <w:rFonts w:hint="default"/>
        <w:lang w:val="en-US" w:eastAsia="en-US" w:bidi="en-US"/>
      </w:rPr>
    </w:lvl>
    <w:lvl w:ilvl="5" w:tplc="87F09D04">
      <w:numFmt w:val="bullet"/>
      <w:lvlText w:val="•"/>
      <w:lvlJc w:val="left"/>
      <w:pPr>
        <w:ind w:left="6035" w:hanging="341"/>
      </w:pPr>
      <w:rPr>
        <w:rFonts w:hint="default"/>
        <w:lang w:val="en-US" w:eastAsia="en-US" w:bidi="en-US"/>
      </w:rPr>
    </w:lvl>
    <w:lvl w:ilvl="6" w:tplc="0FAC786E">
      <w:numFmt w:val="bullet"/>
      <w:lvlText w:val="•"/>
      <w:lvlJc w:val="left"/>
      <w:pPr>
        <w:ind w:left="7009" w:hanging="341"/>
      </w:pPr>
      <w:rPr>
        <w:rFonts w:hint="default"/>
        <w:lang w:val="en-US" w:eastAsia="en-US" w:bidi="en-US"/>
      </w:rPr>
    </w:lvl>
    <w:lvl w:ilvl="7" w:tplc="A1A8583E">
      <w:numFmt w:val="bullet"/>
      <w:lvlText w:val="•"/>
      <w:lvlJc w:val="left"/>
      <w:pPr>
        <w:ind w:left="7983" w:hanging="341"/>
      </w:pPr>
      <w:rPr>
        <w:rFonts w:hint="default"/>
        <w:lang w:val="en-US" w:eastAsia="en-US" w:bidi="en-US"/>
      </w:rPr>
    </w:lvl>
    <w:lvl w:ilvl="8" w:tplc="9956F54C">
      <w:numFmt w:val="bullet"/>
      <w:lvlText w:val="•"/>
      <w:lvlJc w:val="left"/>
      <w:pPr>
        <w:ind w:left="8957" w:hanging="341"/>
      </w:pPr>
      <w:rPr>
        <w:rFonts w:hint="default"/>
        <w:lang w:val="en-US" w:eastAsia="en-US" w:bidi="en-US"/>
      </w:rPr>
    </w:lvl>
  </w:abstractNum>
  <w:abstractNum w:abstractNumId="20" w15:restartNumberingAfterBreak="0">
    <w:nsid w:val="0E1919F7"/>
    <w:multiLevelType w:val="hybridMultilevel"/>
    <w:tmpl w:val="BBB0F152"/>
    <w:lvl w:ilvl="0" w:tplc="65D61ABE">
      <w:numFmt w:val="bullet"/>
      <w:lvlText w:val="-"/>
      <w:lvlJc w:val="left"/>
      <w:pPr>
        <w:ind w:left="1347" w:hanging="341"/>
      </w:pPr>
      <w:rPr>
        <w:rFonts w:ascii="Raleway" w:eastAsia="Raleway" w:hAnsi="Raleway" w:cs="Raleway" w:hint="default"/>
        <w:color w:val="231F20"/>
        <w:spacing w:val="-5"/>
        <w:w w:val="100"/>
        <w:sz w:val="20"/>
        <w:szCs w:val="20"/>
        <w:lang w:val="en-US" w:eastAsia="en-US" w:bidi="en-US"/>
      </w:rPr>
    </w:lvl>
    <w:lvl w:ilvl="1" w:tplc="528420E6">
      <w:numFmt w:val="bullet"/>
      <w:lvlText w:val="•"/>
      <w:lvlJc w:val="left"/>
      <w:pPr>
        <w:ind w:left="2296" w:hanging="341"/>
      </w:pPr>
      <w:rPr>
        <w:rFonts w:hint="default"/>
        <w:lang w:val="en-US" w:eastAsia="en-US" w:bidi="en-US"/>
      </w:rPr>
    </w:lvl>
    <w:lvl w:ilvl="2" w:tplc="60981092">
      <w:numFmt w:val="bullet"/>
      <w:lvlText w:val="•"/>
      <w:lvlJc w:val="left"/>
      <w:pPr>
        <w:ind w:left="3253" w:hanging="341"/>
      </w:pPr>
      <w:rPr>
        <w:rFonts w:hint="default"/>
        <w:lang w:val="en-US" w:eastAsia="en-US" w:bidi="en-US"/>
      </w:rPr>
    </w:lvl>
    <w:lvl w:ilvl="3" w:tplc="22628C7A">
      <w:numFmt w:val="bullet"/>
      <w:lvlText w:val="•"/>
      <w:lvlJc w:val="left"/>
      <w:pPr>
        <w:ind w:left="4209" w:hanging="341"/>
      </w:pPr>
      <w:rPr>
        <w:rFonts w:hint="default"/>
        <w:lang w:val="en-US" w:eastAsia="en-US" w:bidi="en-US"/>
      </w:rPr>
    </w:lvl>
    <w:lvl w:ilvl="4" w:tplc="D06C7042">
      <w:numFmt w:val="bullet"/>
      <w:lvlText w:val="•"/>
      <w:lvlJc w:val="left"/>
      <w:pPr>
        <w:ind w:left="5166" w:hanging="341"/>
      </w:pPr>
      <w:rPr>
        <w:rFonts w:hint="default"/>
        <w:lang w:val="en-US" w:eastAsia="en-US" w:bidi="en-US"/>
      </w:rPr>
    </w:lvl>
    <w:lvl w:ilvl="5" w:tplc="19D0B0E0">
      <w:numFmt w:val="bullet"/>
      <w:lvlText w:val="•"/>
      <w:lvlJc w:val="left"/>
      <w:pPr>
        <w:ind w:left="6122" w:hanging="341"/>
      </w:pPr>
      <w:rPr>
        <w:rFonts w:hint="default"/>
        <w:lang w:val="en-US" w:eastAsia="en-US" w:bidi="en-US"/>
      </w:rPr>
    </w:lvl>
    <w:lvl w:ilvl="6" w:tplc="113EE380">
      <w:numFmt w:val="bullet"/>
      <w:lvlText w:val="•"/>
      <w:lvlJc w:val="left"/>
      <w:pPr>
        <w:ind w:left="7079" w:hanging="341"/>
      </w:pPr>
      <w:rPr>
        <w:rFonts w:hint="default"/>
        <w:lang w:val="en-US" w:eastAsia="en-US" w:bidi="en-US"/>
      </w:rPr>
    </w:lvl>
    <w:lvl w:ilvl="7" w:tplc="68BA3B9A">
      <w:numFmt w:val="bullet"/>
      <w:lvlText w:val="•"/>
      <w:lvlJc w:val="left"/>
      <w:pPr>
        <w:ind w:left="8035" w:hanging="341"/>
      </w:pPr>
      <w:rPr>
        <w:rFonts w:hint="default"/>
        <w:lang w:val="en-US" w:eastAsia="en-US" w:bidi="en-US"/>
      </w:rPr>
    </w:lvl>
    <w:lvl w:ilvl="8" w:tplc="056AFD08">
      <w:numFmt w:val="bullet"/>
      <w:lvlText w:val="•"/>
      <w:lvlJc w:val="left"/>
      <w:pPr>
        <w:ind w:left="8992" w:hanging="341"/>
      </w:pPr>
      <w:rPr>
        <w:rFonts w:hint="default"/>
        <w:lang w:val="en-US" w:eastAsia="en-US" w:bidi="en-US"/>
      </w:rPr>
    </w:lvl>
  </w:abstractNum>
  <w:abstractNum w:abstractNumId="21" w15:restartNumberingAfterBreak="0">
    <w:nsid w:val="0E6605AC"/>
    <w:multiLevelType w:val="hybridMultilevel"/>
    <w:tmpl w:val="982C72B8"/>
    <w:lvl w:ilvl="0" w:tplc="8DC0800C">
      <w:numFmt w:val="bullet"/>
      <w:lvlText w:val="•"/>
      <w:lvlJc w:val="left"/>
      <w:pPr>
        <w:ind w:left="453" w:hanging="341"/>
      </w:pPr>
      <w:rPr>
        <w:rFonts w:ascii="Raleway" w:eastAsia="Raleway" w:hAnsi="Raleway" w:cs="Raleway" w:hint="default"/>
        <w:color w:val="231F20"/>
        <w:spacing w:val="-6"/>
        <w:w w:val="100"/>
        <w:sz w:val="20"/>
        <w:szCs w:val="20"/>
        <w:lang w:val="en-US" w:eastAsia="en-US" w:bidi="en-US"/>
      </w:rPr>
    </w:lvl>
    <w:lvl w:ilvl="1" w:tplc="DCCE4DB2">
      <w:numFmt w:val="bullet"/>
      <w:lvlText w:val="•"/>
      <w:lvlJc w:val="left"/>
      <w:pPr>
        <w:ind w:left="599" w:hanging="341"/>
      </w:pPr>
      <w:rPr>
        <w:rFonts w:hint="default"/>
        <w:lang w:val="en-US" w:eastAsia="en-US" w:bidi="en-US"/>
      </w:rPr>
    </w:lvl>
    <w:lvl w:ilvl="2" w:tplc="137CCB7E">
      <w:numFmt w:val="bullet"/>
      <w:lvlText w:val="•"/>
      <w:lvlJc w:val="left"/>
      <w:pPr>
        <w:ind w:left="739" w:hanging="341"/>
      </w:pPr>
      <w:rPr>
        <w:rFonts w:hint="default"/>
        <w:lang w:val="en-US" w:eastAsia="en-US" w:bidi="en-US"/>
      </w:rPr>
    </w:lvl>
    <w:lvl w:ilvl="3" w:tplc="36501AF8">
      <w:numFmt w:val="bullet"/>
      <w:lvlText w:val="•"/>
      <w:lvlJc w:val="left"/>
      <w:pPr>
        <w:ind w:left="878" w:hanging="341"/>
      </w:pPr>
      <w:rPr>
        <w:rFonts w:hint="default"/>
        <w:lang w:val="en-US" w:eastAsia="en-US" w:bidi="en-US"/>
      </w:rPr>
    </w:lvl>
    <w:lvl w:ilvl="4" w:tplc="1A98B2F0">
      <w:numFmt w:val="bullet"/>
      <w:lvlText w:val="•"/>
      <w:lvlJc w:val="left"/>
      <w:pPr>
        <w:ind w:left="1018" w:hanging="341"/>
      </w:pPr>
      <w:rPr>
        <w:rFonts w:hint="default"/>
        <w:lang w:val="en-US" w:eastAsia="en-US" w:bidi="en-US"/>
      </w:rPr>
    </w:lvl>
    <w:lvl w:ilvl="5" w:tplc="1422D5EE">
      <w:numFmt w:val="bullet"/>
      <w:lvlText w:val="•"/>
      <w:lvlJc w:val="left"/>
      <w:pPr>
        <w:ind w:left="1158" w:hanging="341"/>
      </w:pPr>
      <w:rPr>
        <w:rFonts w:hint="default"/>
        <w:lang w:val="en-US" w:eastAsia="en-US" w:bidi="en-US"/>
      </w:rPr>
    </w:lvl>
    <w:lvl w:ilvl="6" w:tplc="A4C802C4">
      <w:numFmt w:val="bullet"/>
      <w:lvlText w:val="•"/>
      <w:lvlJc w:val="left"/>
      <w:pPr>
        <w:ind w:left="1297" w:hanging="341"/>
      </w:pPr>
      <w:rPr>
        <w:rFonts w:hint="default"/>
        <w:lang w:val="en-US" w:eastAsia="en-US" w:bidi="en-US"/>
      </w:rPr>
    </w:lvl>
    <w:lvl w:ilvl="7" w:tplc="51D01998">
      <w:numFmt w:val="bullet"/>
      <w:lvlText w:val="•"/>
      <w:lvlJc w:val="left"/>
      <w:pPr>
        <w:ind w:left="1437" w:hanging="341"/>
      </w:pPr>
      <w:rPr>
        <w:rFonts w:hint="default"/>
        <w:lang w:val="en-US" w:eastAsia="en-US" w:bidi="en-US"/>
      </w:rPr>
    </w:lvl>
    <w:lvl w:ilvl="8" w:tplc="5FA00B46">
      <w:numFmt w:val="bullet"/>
      <w:lvlText w:val="•"/>
      <w:lvlJc w:val="left"/>
      <w:pPr>
        <w:ind w:left="1576" w:hanging="341"/>
      </w:pPr>
      <w:rPr>
        <w:rFonts w:hint="default"/>
        <w:lang w:val="en-US" w:eastAsia="en-US" w:bidi="en-US"/>
      </w:rPr>
    </w:lvl>
  </w:abstractNum>
  <w:abstractNum w:abstractNumId="22" w15:restartNumberingAfterBreak="0">
    <w:nsid w:val="0FD6349E"/>
    <w:multiLevelType w:val="hybridMultilevel"/>
    <w:tmpl w:val="C254AD08"/>
    <w:lvl w:ilvl="0" w:tplc="B53E93F0">
      <w:start w:val="2"/>
      <w:numFmt w:val="lowerLetter"/>
      <w:lvlText w:val="%1."/>
      <w:lvlJc w:val="left"/>
      <w:pPr>
        <w:ind w:left="2481" w:hanging="674"/>
        <w:jc w:val="left"/>
      </w:pPr>
      <w:rPr>
        <w:rFonts w:ascii="Trebuchet MS" w:eastAsia="Trebuchet MS" w:hAnsi="Trebuchet MS" w:cs="Trebuchet MS" w:hint="default"/>
        <w:color w:val="231F20"/>
        <w:spacing w:val="-3"/>
        <w:w w:val="55"/>
        <w:sz w:val="20"/>
        <w:szCs w:val="20"/>
        <w:lang w:val="en-US" w:eastAsia="en-US" w:bidi="en-US"/>
      </w:rPr>
    </w:lvl>
    <w:lvl w:ilvl="1" w:tplc="C0CCF39A">
      <w:numFmt w:val="bullet"/>
      <w:lvlText w:val="•"/>
      <w:lvlJc w:val="left"/>
      <w:pPr>
        <w:ind w:left="3322" w:hanging="674"/>
      </w:pPr>
      <w:rPr>
        <w:rFonts w:hint="default"/>
        <w:lang w:val="en-US" w:eastAsia="en-US" w:bidi="en-US"/>
      </w:rPr>
    </w:lvl>
    <w:lvl w:ilvl="2" w:tplc="ED3A7D6A">
      <w:numFmt w:val="bullet"/>
      <w:lvlText w:val="•"/>
      <w:lvlJc w:val="left"/>
      <w:pPr>
        <w:ind w:left="4165" w:hanging="674"/>
      </w:pPr>
      <w:rPr>
        <w:rFonts w:hint="default"/>
        <w:lang w:val="en-US" w:eastAsia="en-US" w:bidi="en-US"/>
      </w:rPr>
    </w:lvl>
    <w:lvl w:ilvl="3" w:tplc="AA089FD4">
      <w:numFmt w:val="bullet"/>
      <w:lvlText w:val="•"/>
      <w:lvlJc w:val="left"/>
      <w:pPr>
        <w:ind w:left="5007" w:hanging="674"/>
      </w:pPr>
      <w:rPr>
        <w:rFonts w:hint="default"/>
        <w:lang w:val="en-US" w:eastAsia="en-US" w:bidi="en-US"/>
      </w:rPr>
    </w:lvl>
    <w:lvl w:ilvl="4" w:tplc="2C367FAA">
      <w:numFmt w:val="bullet"/>
      <w:lvlText w:val="•"/>
      <w:lvlJc w:val="left"/>
      <w:pPr>
        <w:ind w:left="5850" w:hanging="674"/>
      </w:pPr>
      <w:rPr>
        <w:rFonts w:hint="default"/>
        <w:lang w:val="en-US" w:eastAsia="en-US" w:bidi="en-US"/>
      </w:rPr>
    </w:lvl>
    <w:lvl w:ilvl="5" w:tplc="2CDEADA0">
      <w:numFmt w:val="bullet"/>
      <w:lvlText w:val="•"/>
      <w:lvlJc w:val="left"/>
      <w:pPr>
        <w:ind w:left="6692" w:hanging="674"/>
      </w:pPr>
      <w:rPr>
        <w:rFonts w:hint="default"/>
        <w:lang w:val="en-US" w:eastAsia="en-US" w:bidi="en-US"/>
      </w:rPr>
    </w:lvl>
    <w:lvl w:ilvl="6" w:tplc="776A8304">
      <w:numFmt w:val="bullet"/>
      <w:lvlText w:val="•"/>
      <w:lvlJc w:val="left"/>
      <w:pPr>
        <w:ind w:left="7535" w:hanging="674"/>
      </w:pPr>
      <w:rPr>
        <w:rFonts w:hint="default"/>
        <w:lang w:val="en-US" w:eastAsia="en-US" w:bidi="en-US"/>
      </w:rPr>
    </w:lvl>
    <w:lvl w:ilvl="7" w:tplc="BB96EB30">
      <w:numFmt w:val="bullet"/>
      <w:lvlText w:val="•"/>
      <w:lvlJc w:val="left"/>
      <w:pPr>
        <w:ind w:left="8377" w:hanging="674"/>
      </w:pPr>
      <w:rPr>
        <w:rFonts w:hint="default"/>
        <w:lang w:val="en-US" w:eastAsia="en-US" w:bidi="en-US"/>
      </w:rPr>
    </w:lvl>
    <w:lvl w:ilvl="8" w:tplc="0DD4E63E">
      <w:numFmt w:val="bullet"/>
      <w:lvlText w:val="•"/>
      <w:lvlJc w:val="left"/>
      <w:pPr>
        <w:ind w:left="9220" w:hanging="674"/>
      </w:pPr>
      <w:rPr>
        <w:rFonts w:hint="default"/>
        <w:lang w:val="en-US" w:eastAsia="en-US" w:bidi="en-US"/>
      </w:rPr>
    </w:lvl>
  </w:abstractNum>
  <w:abstractNum w:abstractNumId="23" w15:restartNumberingAfterBreak="0">
    <w:nsid w:val="10803D62"/>
    <w:multiLevelType w:val="hybridMultilevel"/>
    <w:tmpl w:val="1B087C9A"/>
    <w:lvl w:ilvl="0" w:tplc="998AA7B2">
      <w:start w:val="138"/>
      <w:numFmt w:val="decimal"/>
      <w:lvlText w:val="%1"/>
      <w:lvlJc w:val="left"/>
      <w:pPr>
        <w:ind w:left="1801" w:hanging="794"/>
        <w:jc w:val="right"/>
      </w:pPr>
      <w:rPr>
        <w:rFonts w:ascii="Raleway" w:eastAsia="Raleway" w:hAnsi="Raleway" w:cs="Raleway" w:hint="default"/>
        <w:color w:val="231F20"/>
        <w:spacing w:val="0"/>
        <w:w w:val="100"/>
        <w:sz w:val="13"/>
        <w:szCs w:val="13"/>
        <w:lang w:val="en-US" w:eastAsia="en-US" w:bidi="en-US"/>
      </w:rPr>
    </w:lvl>
    <w:lvl w:ilvl="1" w:tplc="DFC66D1C">
      <w:numFmt w:val="bullet"/>
      <w:lvlText w:val="•"/>
      <w:lvlJc w:val="left"/>
      <w:pPr>
        <w:ind w:left="2590" w:hanging="794"/>
      </w:pPr>
      <w:rPr>
        <w:rFonts w:hint="default"/>
        <w:lang w:val="en-US" w:eastAsia="en-US" w:bidi="en-US"/>
      </w:rPr>
    </w:lvl>
    <w:lvl w:ilvl="2" w:tplc="469C4B1E">
      <w:numFmt w:val="bullet"/>
      <w:lvlText w:val="•"/>
      <w:lvlJc w:val="left"/>
      <w:pPr>
        <w:ind w:left="3380" w:hanging="794"/>
      </w:pPr>
      <w:rPr>
        <w:rFonts w:hint="default"/>
        <w:lang w:val="en-US" w:eastAsia="en-US" w:bidi="en-US"/>
      </w:rPr>
    </w:lvl>
    <w:lvl w:ilvl="3" w:tplc="1FE261DA">
      <w:numFmt w:val="bullet"/>
      <w:lvlText w:val="•"/>
      <w:lvlJc w:val="left"/>
      <w:pPr>
        <w:ind w:left="4170" w:hanging="794"/>
      </w:pPr>
      <w:rPr>
        <w:rFonts w:hint="default"/>
        <w:lang w:val="en-US" w:eastAsia="en-US" w:bidi="en-US"/>
      </w:rPr>
    </w:lvl>
    <w:lvl w:ilvl="4" w:tplc="67C2DE0C">
      <w:numFmt w:val="bullet"/>
      <w:lvlText w:val="•"/>
      <w:lvlJc w:val="left"/>
      <w:pPr>
        <w:ind w:left="4960" w:hanging="794"/>
      </w:pPr>
      <w:rPr>
        <w:rFonts w:hint="default"/>
        <w:lang w:val="en-US" w:eastAsia="en-US" w:bidi="en-US"/>
      </w:rPr>
    </w:lvl>
    <w:lvl w:ilvl="5" w:tplc="11D456AE">
      <w:numFmt w:val="bullet"/>
      <w:lvlText w:val="•"/>
      <w:lvlJc w:val="left"/>
      <w:pPr>
        <w:ind w:left="5751" w:hanging="794"/>
      </w:pPr>
      <w:rPr>
        <w:rFonts w:hint="default"/>
        <w:lang w:val="en-US" w:eastAsia="en-US" w:bidi="en-US"/>
      </w:rPr>
    </w:lvl>
    <w:lvl w:ilvl="6" w:tplc="D92623B0">
      <w:numFmt w:val="bullet"/>
      <w:lvlText w:val="•"/>
      <w:lvlJc w:val="left"/>
      <w:pPr>
        <w:ind w:left="6541" w:hanging="794"/>
      </w:pPr>
      <w:rPr>
        <w:rFonts w:hint="default"/>
        <w:lang w:val="en-US" w:eastAsia="en-US" w:bidi="en-US"/>
      </w:rPr>
    </w:lvl>
    <w:lvl w:ilvl="7" w:tplc="7CF8997E">
      <w:numFmt w:val="bullet"/>
      <w:lvlText w:val="•"/>
      <w:lvlJc w:val="left"/>
      <w:pPr>
        <w:ind w:left="7331" w:hanging="794"/>
      </w:pPr>
      <w:rPr>
        <w:rFonts w:hint="default"/>
        <w:lang w:val="en-US" w:eastAsia="en-US" w:bidi="en-US"/>
      </w:rPr>
    </w:lvl>
    <w:lvl w:ilvl="8" w:tplc="15688516">
      <w:numFmt w:val="bullet"/>
      <w:lvlText w:val="•"/>
      <w:lvlJc w:val="left"/>
      <w:pPr>
        <w:ind w:left="8121" w:hanging="794"/>
      </w:pPr>
      <w:rPr>
        <w:rFonts w:hint="default"/>
        <w:lang w:val="en-US" w:eastAsia="en-US" w:bidi="en-US"/>
      </w:rPr>
    </w:lvl>
  </w:abstractNum>
  <w:abstractNum w:abstractNumId="24" w15:restartNumberingAfterBreak="0">
    <w:nsid w:val="11940481"/>
    <w:multiLevelType w:val="hybridMultilevel"/>
    <w:tmpl w:val="01928CCE"/>
    <w:lvl w:ilvl="0" w:tplc="1F161A0E">
      <w:start w:val="1"/>
      <w:numFmt w:val="lowerLetter"/>
      <w:lvlText w:val="%1."/>
      <w:lvlJc w:val="left"/>
      <w:pPr>
        <w:ind w:left="553" w:hanging="554"/>
        <w:jc w:val="left"/>
      </w:pPr>
      <w:rPr>
        <w:rFonts w:ascii="Trebuchet MS" w:eastAsia="Trebuchet MS" w:hAnsi="Trebuchet MS" w:cs="Trebuchet MS" w:hint="default"/>
        <w:color w:val="231F20"/>
        <w:spacing w:val="0"/>
        <w:w w:val="55"/>
        <w:sz w:val="20"/>
        <w:szCs w:val="20"/>
        <w:lang w:val="en-US" w:eastAsia="en-US" w:bidi="en-US"/>
      </w:rPr>
    </w:lvl>
    <w:lvl w:ilvl="1" w:tplc="E12C16A6">
      <w:numFmt w:val="bullet"/>
      <w:lvlText w:val="•"/>
      <w:lvlJc w:val="left"/>
      <w:pPr>
        <w:ind w:left="1273" w:hanging="554"/>
      </w:pPr>
      <w:rPr>
        <w:rFonts w:hint="default"/>
        <w:lang w:val="en-US" w:eastAsia="en-US" w:bidi="en-US"/>
      </w:rPr>
    </w:lvl>
    <w:lvl w:ilvl="2" w:tplc="3AA64AB6">
      <w:numFmt w:val="bullet"/>
      <w:lvlText w:val="•"/>
      <w:lvlJc w:val="left"/>
      <w:pPr>
        <w:ind w:left="1987" w:hanging="554"/>
      </w:pPr>
      <w:rPr>
        <w:rFonts w:hint="default"/>
        <w:lang w:val="en-US" w:eastAsia="en-US" w:bidi="en-US"/>
      </w:rPr>
    </w:lvl>
    <w:lvl w:ilvl="3" w:tplc="B224B898">
      <w:numFmt w:val="bullet"/>
      <w:lvlText w:val="•"/>
      <w:lvlJc w:val="left"/>
      <w:pPr>
        <w:ind w:left="2701" w:hanging="554"/>
      </w:pPr>
      <w:rPr>
        <w:rFonts w:hint="default"/>
        <w:lang w:val="en-US" w:eastAsia="en-US" w:bidi="en-US"/>
      </w:rPr>
    </w:lvl>
    <w:lvl w:ilvl="4" w:tplc="2B9C7C30">
      <w:numFmt w:val="bullet"/>
      <w:lvlText w:val="•"/>
      <w:lvlJc w:val="left"/>
      <w:pPr>
        <w:ind w:left="3415" w:hanging="554"/>
      </w:pPr>
      <w:rPr>
        <w:rFonts w:hint="default"/>
        <w:lang w:val="en-US" w:eastAsia="en-US" w:bidi="en-US"/>
      </w:rPr>
    </w:lvl>
    <w:lvl w:ilvl="5" w:tplc="B964A28C">
      <w:numFmt w:val="bullet"/>
      <w:lvlText w:val="•"/>
      <w:lvlJc w:val="left"/>
      <w:pPr>
        <w:ind w:left="4129" w:hanging="554"/>
      </w:pPr>
      <w:rPr>
        <w:rFonts w:hint="default"/>
        <w:lang w:val="en-US" w:eastAsia="en-US" w:bidi="en-US"/>
      </w:rPr>
    </w:lvl>
    <w:lvl w:ilvl="6" w:tplc="77081342">
      <w:numFmt w:val="bullet"/>
      <w:lvlText w:val="•"/>
      <w:lvlJc w:val="left"/>
      <w:pPr>
        <w:ind w:left="4843" w:hanging="554"/>
      </w:pPr>
      <w:rPr>
        <w:rFonts w:hint="default"/>
        <w:lang w:val="en-US" w:eastAsia="en-US" w:bidi="en-US"/>
      </w:rPr>
    </w:lvl>
    <w:lvl w:ilvl="7" w:tplc="21120018">
      <w:numFmt w:val="bullet"/>
      <w:lvlText w:val="•"/>
      <w:lvlJc w:val="left"/>
      <w:pPr>
        <w:ind w:left="5557" w:hanging="554"/>
      </w:pPr>
      <w:rPr>
        <w:rFonts w:hint="default"/>
        <w:lang w:val="en-US" w:eastAsia="en-US" w:bidi="en-US"/>
      </w:rPr>
    </w:lvl>
    <w:lvl w:ilvl="8" w:tplc="0D7EEC52">
      <w:numFmt w:val="bullet"/>
      <w:lvlText w:val="•"/>
      <w:lvlJc w:val="left"/>
      <w:pPr>
        <w:ind w:left="6271" w:hanging="554"/>
      </w:pPr>
      <w:rPr>
        <w:rFonts w:hint="default"/>
        <w:lang w:val="en-US" w:eastAsia="en-US" w:bidi="en-US"/>
      </w:rPr>
    </w:lvl>
  </w:abstractNum>
  <w:abstractNum w:abstractNumId="25" w15:restartNumberingAfterBreak="0">
    <w:nsid w:val="11947D0C"/>
    <w:multiLevelType w:val="hybridMultilevel"/>
    <w:tmpl w:val="1C74D884"/>
    <w:lvl w:ilvl="0" w:tplc="CEB81E52">
      <w:start w:val="77"/>
      <w:numFmt w:val="decimal"/>
      <w:lvlText w:val="%1"/>
      <w:lvlJc w:val="left"/>
      <w:pPr>
        <w:ind w:left="1801" w:hanging="794"/>
        <w:jc w:val="left"/>
      </w:pPr>
      <w:rPr>
        <w:rFonts w:ascii="Raleway" w:eastAsia="Raleway" w:hAnsi="Raleway" w:cs="Raleway" w:hint="default"/>
        <w:color w:val="231F20"/>
        <w:spacing w:val="-2"/>
        <w:w w:val="99"/>
        <w:sz w:val="13"/>
        <w:szCs w:val="13"/>
        <w:lang w:val="en-US" w:eastAsia="en-US" w:bidi="en-US"/>
      </w:rPr>
    </w:lvl>
    <w:lvl w:ilvl="1" w:tplc="B69AE81E">
      <w:numFmt w:val="bullet"/>
      <w:lvlText w:val="•"/>
      <w:lvlJc w:val="left"/>
      <w:pPr>
        <w:ind w:left="2710" w:hanging="794"/>
      </w:pPr>
      <w:rPr>
        <w:rFonts w:hint="default"/>
        <w:lang w:val="en-US" w:eastAsia="en-US" w:bidi="en-US"/>
      </w:rPr>
    </w:lvl>
    <w:lvl w:ilvl="2" w:tplc="77AEC66C">
      <w:numFmt w:val="bullet"/>
      <w:lvlText w:val="•"/>
      <w:lvlJc w:val="left"/>
      <w:pPr>
        <w:ind w:left="3621" w:hanging="794"/>
      </w:pPr>
      <w:rPr>
        <w:rFonts w:hint="default"/>
        <w:lang w:val="en-US" w:eastAsia="en-US" w:bidi="en-US"/>
      </w:rPr>
    </w:lvl>
    <w:lvl w:ilvl="3" w:tplc="D5745E00">
      <w:numFmt w:val="bullet"/>
      <w:lvlText w:val="•"/>
      <w:lvlJc w:val="left"/>
      <w:pPr>
        <w:ind w:left="4531" w:hanging="794"/>
      </w:pPr>
      <w:rPr>
        <w:rFonts w:hint="default"/>
        <w:lang w:val="en-US" w:eastAsia="en-US" w:bidi="en-US"/>
      </w:rPr>
    </w:lvl>
    <w:lvl w:ilvl="4" w:tplc="83EEDBB0">
      <w:numFmt w:val="bullet"/>
      <w:lvlText w:val="•"/>
      <w:lvlJc w:val="left"/>
      <w:pPr>
        <w:ind w:left="5442" w:hanging="794"/>
      </w:pPr>
      <w:rPr>
        <w:rFonts w:hint="default"/>
        <w:lang w:val="en-US" w:eastAsia="en-US" w:bidi="en-US"/>
      </w:rPr>
    </w:lvl>
    <w:lvl w:ilvl="5" w:tplc="A0A6814A">
      <w:numFmt w:val="bullet"/>
      <w:lvlText w:val="•"/>
      <w:lvlJc w:val="left"/>
      <w:pPr>
        <w:ind w:left="6352" w:hanging="794"/>
      </w:pPr>
      <w:rPr>
        <w:rFonts w:hint="default"/>
        <w:lang w:val="en-US" w:eastAsia="en-US" w:bidi="en-US"/>
      </w:rPr>
    </w:lvl>
    <w:lvl w:ilvl="6" w:tplc="9202BB70">
      <w:numFmt w:val="bullet"/>
      <w:lvlText w:val="•"/>
      <w:lvlJc w:val="left"/>
      <w:pPr>
        <w:ind w:left="7263" w:hanging="794"/>
      </w:pPr>
      <w:rPr>
        <w:rFonts w:hint="default"/>
        <w:lang w:val="en-US" w:eastAsia="en-US" w:bidi="en-US"/>
      </w:rPr>
    </w:lvl>
    <w:lvl w:ilvl="7" w:tplc="6596CB72">
      <w:numFmt w:val="bullet"/>
      <w:lvlText w:val="•"/>
      <w:lvlJc w:val="left"/>
      <w:pPr>
        <w:ind w:left="8173" w:hanging="794"/>
      </w:pPr>
      <w:rPr>
        <w:rFonts w:hint="default"/>
        <w:lang w:val="en-US" w:eastAsia="en-US" w:bidi="en-US"/>
      </w:rPr>
    </w:lvl>
    <w:lvl w:ilvl="8" w:tplc="66261F68">
      <w:numFmt w:val="bullet"/>
      <w:lvlText w:val="•"/>
      <w:lvlJc w:val="left"/>
      <w:pPr>
        <w:ind w:left="9084" w:hanging="794"/>
      </w:pPr>
      <w:rPr>
        <w:rFonts w:hint="default"/>
        <w:lang w:val="en-US" w:eastAsia="en-US" w:bidi="en-US"/>
      </w:rPr>
    </w:lvl>
  </w:abstractNum>
  <w:abstractNum w:abstractNumId="26" w15:restartNumberingAfterBreak="0">
    <w:nsid w:val="11F067DA"/>
    <w:multiLevelType w:val="hybridMultilevel"/>
    <w:tmpl w:val="B770B584"/>
    <w:lvl w:ilvl="0" w:tplc="2A3CC01E">
      <w:numFmt w:val="bullet"/>
      <w:lvlText w:val="-"/>
      <w:lvlJc w:val="left"/>
      <w:pPr>
        <w:ind w:left="1347" w:hanging="341"/>
      </w:pPr>
      <w:rPr>
        <w:rFonts w:ascii="Raleway" w:eastAsia="Raleway" w:hAnsi="Raleway" w:cs="Raleway" w:hint="default"/>
        <w:color w:val="231F20"/>
        <w:spacing w:val="-35"/>
        <w:w w:val="100"/>
        <w:sz w:val="20"/>
        <w:szCs w:val="20"/>
        <w:lang w:val="en-US" w:eastAsia="en-US" w:bidi="en-US"/>
      </w:rPr>
    </w:lvl>
    <w:lvl w:ilvl="1" w:tplc="F2B0F93C">
      <w:numFmt w:val="bullet"/>
      <w:lvlText w:val="•"/>
      <w:lvlJc w:val="left"/>
      <w:pPr>
        <w:ind w:left="2296" w:hanging="341"/>
      </w:pPr>
      <w:rPr>
        <w:rFonts w:hint="default"/>
        <w:lang w:val="en-US" w:eastAsia="en-US" w:bidi="en-US"/>
      </w:rPr>
    </w:lvl>
    <w:lvl w:ilvl="2" w:tplc="180CCD70">
      <w:numFmt w:val="bullet"/>
      <w:lvlText w:val="•"/>
      <w:lvlJc w:val="left"/>
      <w:pPr>
        <w:ind w:left="3253" w:hanging="341"/>
      </w:pPr>
      <w:rPr>
        <w:rFonts w:hint="default"/>
        <w:lang w:val="en-US" w:eastAsia="en-US" w:bidi="en-US"/>
      </w:rPr>
    </w:lvl>
    <w:lvl w:ilvl="3" w:tplc="E716C694">
      <w:numFmt w:val="bullet"/>
      <w:lvlText w:val="•"/>
      <w:lvlJc w:val="left"/>
      <w:pPr>
        <w:ind w:left="4209" w:hanging="341"/>
      </w:pPr>
      <w:rPr>
        <w:rFonts w:hint="default"/>
        <w:lang w:val="en-US" w:eastAsia="en-US" w:bidi="en-US"/>
      </w:rPr>
    </w:lvl>
    <w:lvl w:ilvl="4" w:tplc="AD949CBC">
      <w:numFmt w:val="bullet"/>
      <w:lvlText w:val="•"/>
      <w:lvlJc w:val="left"/>
      <w:pPr>
        <w:ind w:left="5166" w:hanging="341"/>
      </w:pPr>
      <w:rPr>
        <w:rFonts w:hint="default"/>
        <w:lang w:val="en-US" w:eastAsia="en-US" w:bidi="en-US"/>
      </w:rPr>
    </w:lvl>
    <w:lvl w:ilvl="5" w:tplc="47B8E168">
      <w:numFmt w:val="bullet"/>
      <w:lvlText w:val="•"/>
      <w:lvlJc w:val="left"/>
      <w:pPr>
        <w:ind w:left="6122" w:hanging="341"/>
      </w:pPr>
      <w:rPr>
        <w:rFonts w:hint="default"/>
        <w:lang w:val="en-US" w:eastAsia="en-US" w:bidi="en-US"/>
      </w:rPr>
    </w:lvl>
    <w:lvl w:ilvl="6" w:tplc="0E92527E">
      <w:numFmt w:val="bullet"/>
      <w:lvlText w:val="•"/>
      <w:lvlJc w:val="left"/>
      <w:pPr>
        <w:ind w:left="7079" w:hanging="341"/>
      </w:pPr>
      <w:rPr>
        <w:rFonts w:hint="default"/>
        <w:lang w:val="en-US" w:eastAsia="en-US" w:bidi="en-US"/>
      </w:rPr>
    </w:lvl>
    <w:lvl w:ilvl="7" w:tplc="1E8EB17C">
      <w:numFmt w:val="bullet"/>
      <w:lvlText w:val="•"/>
      <w:lvlJc w:val="left"/>
      <w:pPr>
        <w:ind w:left="8035" w:hanging="341"/>
      </w:pPr>
      <w:rPr>
        <w:rFonts w:hint="default"/>
        <w:lang w:val="en-US" w:eastAsia="en-US" w:bidi="en-US"/>
      </w:rPr>
    </w:lvl>
    <w:lvl w:ilvl="8" w:tplc="86028B5C">
      <w:numFmt w:val="bullet"/>
      <w:lvlText w:val="•"/>
      <w:lvlJc w:val="left"/>
      <w:pPr>
        <w:ind w:left="8992" w:hanging="341"/>
      </w:pPr>
      <w:rPr>
        <w:rFonts w:hint="default"/>
        <w:lang w:val="en-US" w:eastAsia="en-US" w:bidi="en-US"/>
      </w:rPr>
    </w:lvl>
  </w:abstractNum>
  <w:abstractNum w:abstractNumId="27" w15:restartNumberingAfterBreak="0">
    <w:nsid w:val="12B964B4"/>
    <w:multiLevelType w:val="hybridMultilevel"/>
    <w:tmpl w:val="2F78722C"/>
    <w:lvl w:ilvl="0" w:tplc="654EFD38">
      <w:start w:val="167"/>
      <w:numFmt w:val="decimal"/>
      <w:lvlText w:val="%1"/>
      <w:lvlJc w:val="left"/>
      <w:pPr>
        <w:ind w:left="1801" w:hanging="794"/>
        <w:jc w:val="left"/>
      </w:pPr>
      <w:rPr>
        <w:rFonts w:ascii="Raleway" w:eastAsia="Raleway" w:hAnsi="Raleway" w:cs="Raleway" w:hint="default"/>
        <w:color w:val="231F20"/>
        <w:spacing w:val="-1"/>
        <w:w w:val="100"/>
        <w:sz w:val="13"/>
        <w:szCs w:val="13"/>
        <w:lang w:val="en-US" w:eastAsia="en-US" w:bidi="en-US"/>
      </w:rPr>
    </w:lvl>
    <w:lvl w:ilvl="1" w:tplc="010EADBC">
      <w:numFmt w:val="bullet"/>
      <w:lvlText w:val="•"/>
      <w:lvlJc w:val="left"/>
      <w:pPr>
        <w:ind w:left="2710" w:hanging="794"/>
      </w:pPr>
      <w:rPr>
        <w:rFonts w:hint="default"/>
        <w:lang w:val="en-US" w:eastAsia="en-US" w:bidi="en-US"/>
      </w:rPr>
    </w:lvl>
    <w:lvl w:ilvl="2" w:tplc="93B04086">
      <w:numFmt w:val="bullet"/>
      <w:lvlText w:val="•"/>
      <w:lvlJc w:val="left"/>
      <w:pPr>
        <w:ind w:left="3621" w:hanging="794"/>
      </w:pPr>
      <w:rPr>
        <w:rFonts w:hint="default"/>
        <w:lang w:val="en-US" w:eastAsia="en-US" w:bidi="en-US"/>
      </w:rPr>
    </w:lvl>
    <w:lvl w:ilvl="3" w:tplc="A122453C">
      <w:numFmt w:val="bullet"/>
      <w:lvlText w:val="•"/>
      <w:lvlJc w:val="left"/>
      <w:pPr>
        <w:ind w:left="4531" w:hanging="794"/>
      </w:pPr>
      <w:rPr>
        <w:rFonts w:hint="default"/>
        <w:lang w:val="en-US" w:eastAsia="en-US" w:bidi="en-US"/>
      </w:rPr>
    </w:lvl>
    <w:lvl w:ilvl="4" w:tplc="6F244BF8">
      <w:numFmt w:val="bullet"/>
      <w:lvlText w:val="•"/>
      <w:lvlJc w:val="left"/>
      <w:pPr>
        <w:ind w:left="5442" w:hanging="794"/>
      </w:pPr>
      <w:rPr>
        <w:rFonts w:hint="default"/>
        <w:lang w:val="en-US" w:eastAsia="en-US" w:bidi="en-US"/>
      </w:rPr>
    </w:lvl>
    <w:lvl w:ilvl="5" w:tplc="C91A7E3E">
      <w:numFmt w:val="bullet"/>
      <w:lvlText w:val="•"/>
      <w:lvlJc w:val="left"/>
      <w:pPr>
        <w:ind w:left="6352" w:hanging="794"/>
      </w:pPr>
      <w:rPr>
        <w:rFonts w:hint="default"/>
        <w:lang w:val="en-US" w:eastAsia="en-US" w:bidi="en-US"/>
      </w:rPr>
    </w:lvl>
    <w:lvl w:ilvl="6" w:tplc="6E3A1592">
      <w:numFmt w:val="bullet"/>
      <w:lvlText w:val="•"/>
      <w:lvlJc w:val="left"/>
      <w:pPr>
        <w:ind w:left="7263" w:hanging="794"/>
      </w:pPr>
      <w:rPr>
        <w:rFonts w:hint="default"/>
        <w:lang w:val="en-US" w:eastAsia="en-US" w:bidi="en-US"/>
      </w:rPr>
    </w:lvl>
    <w:lvl w:ilvl="7" w:tplc="CD269EAA">
      <w:numFmt w:val="bullet"/>
      <w:lvlText w:val="•"/>
      <w:lvlJc w:val="left"/>
      <w:pPr>
        <w:ind w:left="8173" w:hanging="794"/>
      </w:pPr>
      <w:rPr>
        <w:rFonts w:hint="default"/>
        <w:lang w:val="en-US" w:eastAsia="en-US" w:bidi="en-US"/>
      </w:rPr>
    </w:lvl>
    <w:lvl w:ilvl="8" w:tplc="51186EA2">
      <w:numFmt w:val="bullet"/>
      <w:lvlText w:val="•"/>
      <w:lvlJc w:val="left"/>
      <w:pPr>
        <w:ind w:left="9084" w:hanging="794"/>
      </w:pPr>
      <w:rPr>
        <w:rFonts w:hint="default"/>
        <w:lang w:val="en-US" w:eastAsia="en-US" w:bidi="en-US"/>
      </w:rPr>
    </w:lvl>
  </w:abstractNum>
  <w:abstractNum w:abstractNumId="28" w15:restartNumberingAfterBreak="0">
    <w:nsid w:val="13BE0CE6"/>
    <w:multiLevelType w:val="multilevel"/>
    <w:tmpl w:val="134481FC"/>
    <w:lvl w:ilvl="0">
      <w:start w:val="7"/>
      <w:numFmt w:val="decimal"/>
      <w:lvlText w:val="%1"/>
      <w:lvlJc w:val="left"/>
      <w:pPr>
        <w:ind w:left="1801" w:hanging="794"/>
        <w:jc w:val="left"/>
      </w:pPr>
      <w:rPr>
        <w:rFonts w:hint="default"/>
        <w:lang w:val="en-US" w:eastAsia="en-US" w:bidi="en-US"/>
      </w:rPr>
    </w:lvl>
    <w:lvl w:ilvl="1">
      <w:start w:val="16"/>
      <w:numFmt w:val="decimal"/>
      <w:lvlText w:val="%1.%2"/>
      <w:lvlJc w:val="left"/>
      <w:pPr>
        <w:ind w:left="1801" w:hanging="794"/>
        <w:jc w:val="left"/>
      </w:pPr>
      <w:rPr>
        <w:rFonts w:ascii="Raleway" w:eastAsia="Raleway" w:hAnsi="Raleway" w:cs="Raleway" w:hint="default"/>
        <w:color w:val="231F20"/>
        <w:spacing w:val="-16"/>
        <w:w w:val="83"/>
        <w:sz w:val="20"/>
        <w:szCs w:val="20"/>
        <w:lang w:val="en-US" w:eastAsia="en-US" w:bidi="en-US"/>
      </w:rPr>
    </w:lvl>
    <w:lvl w:ilvl="2">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3">
      <w:numFmt w:val="bullet"/>
      <w:lvlText w:val="•"/>
      <w:lvlJc w:val="left"/>
      <w:pPr>
        <w:ind w:left="4087" w:hanging="341"/>
      </w:pPr>
      <w:rPr>
        <w:rFonts w:hint="default"/>
        <w:lang w:val="en-US" w:eastAsia="en-US" w:bidi="en-US"/>
      </w:rPr>
    </w:lvl>
    <w:lvl w:ilvl="4">
      <w:numFmt w:val="bullet"/>
      <w:lvlText w:val="•"/>
      <w:lvlJc w:val="left"/>
      <w:pPr>
        <w:ind w:left="5061" w:hanging="341"/>
      </w:pPr>
      <w:rPr>
        <w:rFonts w:hint="default"/>
        <w:lang w:val="en-US" w:eastAsia="en-US" w:bidi="en-US"/>
      </w:rPr>
    </w:lvl>
    <w:lvl w:ilvl="5">
      <w:numFmt w:val="bullet"/>
      <w:lvlText w:val="•"/>
      <w:lvlJc w:val="left"/>
      <w:pPr>
        <w:ind w:left="6035" w:hanging="341"/>
      </w:pPr>
      <w:rPr>
        <w:rFonts w:hint="default"/>
        <w:lang w:val="en-US" w:eastAsia="en-US" w:bidi="en-US"/>
      </w:rPr>
    </w:lvl>
    <w:lvl w:ilvl="6">
      <w:numFmt w:val="bullet"/>
      <w:lvlText w:val="•"/>
      <w:lvlJc w:val="left"/>
      <w:pPr>
        <w:ind w:left="7009" w:hanging="341"/>
      </w:pPr>
      <w:rPr>
        <w:rFonts w:hint="default"/>
        <w:lang w:val="en-US" w:eastAsia="en-US" w:bidi="en-US"/>
      </w:rPr>
    </w:lvl>
    <w:lvl w:ilvl="7">
      <w:numFmt w:val="bullet"/>
      <w:lvlText w:val="•"/>
      <w:lvlJc w:val="left"/>
      <w:pPr>
        <w:ind w:left="7983" w:hanging="341"/>
      </w:pPr>
      <w:rPr>
        <w:rFonts w:hint="default"/>
        <w:lang w:val="en-US" w:eastAsia="en-US" w:bidi="en-US"/>
      </w:rPr>
    </w:lvl>
    <w:lvl w:ilvl="8">
      <w:numFmt w:val="bullet"/>
      <w:lvlText w:val="•"/>
      <w:lvlJc w:val="left"/>
      <w:pPr>
        <w:ind w:left="8957" w:hanging="341"/>
      </w:pPr>
      <w:rPr>
        <w:rFonts w:hint="default"/>
        <w:lang w:val="en-US" w:eastAsia="en-US" w:bidi="en-US"/>
      </w:rPr>
    </w:lvl>
  </w:abstractNum>
  <w:abstractNum w:abstractNumId="29" w15:restartNumberingAfterBreak="0">
    <w:nsid w:val="141D6046"/>
    <w:multiLevelType w:val="hybridMultilevel"/>
    <w:tmpl w:val="388E2EAE"/>
    <w:lvl w:ilvl="0" w:tplc="3FBCA372">
      <w:start w:val="72"/>
      <w:numFmt w:val="decimal"/>
      <w:lvlText w:val="%1"/>
      <w:lvlJc w:val="left"/>
      <w:pPr>
        <w:ind w:left="1801" w:hanging="794"/>
        <w:jc w:val="right"/>
      </w:pPr>
      <w:rPr>
        <w:rFonts w:ascii="Raleway" w:eastAsia="Raleway" w:hAnsi="Raleway" w:cs="Raleway" w:hint="default"/>
        <w:color w:val="231F20"/>
        <w:spacing w:val="-19"/>
        <w:w w:val="100"/>
        <w:sz w:val="13"/>
        <w:szCs w:val="13"/>
        <w:lang w:val="en-US" w:eastAsia="en-US" w:bidi="en-US"/>
      </w:rPr>
    </w:lvl>
    <w:lvl w:ilvl="1" w:tplc="CA9C4BF6">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2" w:tplc="9FB2E728">
      <w:numFmt w:val="bullet"/>
      <w:lvlText w:val="•"/>
      <w:lvlJc w:val="left"/>
      <w:pPr>
        <w:ind w:left="2972" w:hanging="341"/>
      </w:pPr>
      <w:rPr>
        <w:rFonts w:hint="default"/>
        <w:lang w:val="en-US" w:eastAsia="en-US" w:bidi="en-US"/>
      </w:rPr>
    </w:lvl>
    <w:lvl w:ilvl="3" w:tplc="7A022B0E">
      <w:numFmt w:val="bullet"/>
      <w:lvlText w:val="•"/>
      <w:lvlJc w:val="left"/>
      <w:pPr>
        <w:ind w:left="3804" w:hanging="341"/>
      </w:pPr>
      <w:rPr>
        <w:rFonts w:hint="default"/>
        <w:lang w:val="en-US" w:eastAsia="en-US" w:bidi="en-US"/>
      </w:rPr>
    </w:lvl>
    <w:lvl w:ilvl="4" w:tplc="1CF41924">
      <w:numFmt w:val="bullet"/>
      <w:lvlText w:val="•"/>
      <w:lvlJc w:val="left"/>
      <w:pPr>
        <w:ind w:left="4637" w:hanging="341"/>
      </w:pPr>
      <w:rPr>
        <w:rFonts w:hint="default"/>
        <w:lang w:val="en-US" w:eastAsia="en-US" w:bidi="en-US"/>
      </w:rPr>
    </w:lvl>
    <w:lvl w:ilvl="5" w:tplc="C86C711A">
      <w:numFmt w:val="bullet"/>
      <w:lvlText w:val="•"/>
      <w:lvlJc w:val="left"/>
      <w:pPr>
        <w:ind w:left="5469" w:hanging="341"/>
      </w:pPr>
      <w:rPr>
        <w:rFonts w:hint="default"/>
        <w:lang w:val="en-US" w:eastAsia="en-US" w:bidi="en-US"/>
      </w:rPr>
    </w:lvl>
    <w:lvl w:ilvl="6" w:tplc="608E8EFE">
      <w:numFmt w:val="bullet"/>
      <w:lvlText w:val="•"/>
      <w:lvlJc w:val="left"/>
      <w:pPr>
        <w:ind w:left="6302" w:hanging="341"/>
      </w:pPr>
      <w:rPr>
        <w:rFonts w:hint="default"/>
        <w:lang w:val="en-US" w:eastAsia="en-US" w:bidi="en-US"/>
      </w:rPr>
    </w:lvl>
    <w:lvl w:ilvl="7" w:tplc="137A94BE">
      <w:numFmt w:val="bullet"/>
      <w:lvlText w:val="•"/>
      <w:lvlJc w:val="left"/>
      <w:pPr>
        <w:ind w:left="7134" w:hanging="341"/>
      </w:pPr>
      <w:rPr>
        <w:rFonts w:hint="default"/>
        <w:lang w:val="en-US" w:eastAsia="en-US" w:bidi="en-US"/>
      </w:rPr>
    </w:lvl>
    <w:lvl w:ilvl="8" w:tplc="AB008ECE">
      <w:numFmt w:val="bullet"/>
      <w:lvlText w:val="•"/>
      <w:lvlJc w:val="left"/>
      <w:pPr>
        <w:ind w:left="7967" w:hanging="341"/>
      </w:pPr>
      <w:rPr>
        <w:rFonts w:hint="default"/>
        <w:lang w:val="en-US" w:eastAsia="en-US" w:bidi="en-US"/>
      </w:rPr>
    </w:lvl>
  </w:abstractNum>
  <w:abstractNum w:abstractNumId="30" w15:restartNumberingAfterBreak="0">
    <w:nsid w:val="144375F3"/>
    <w:multiLevelType w:val="hybridMultilevel"/>
    <w:tmpl w:val="868E8F16"/>
    <w:lvl w:ilvl="0" w:tplc="B2447C12">
      <w:start w:val="84"/>
      <w:numFmt w:val="decimal"/>
      <w:lvlText w:val="%1"/>
      <w:lvlJc w:val="left"/>
      <w:pPr>
        <w:ind w:left="1801" w:hanging="794"/>
        <w:jc w:val="right"/>
      </w:pPr>
      <w:rPr>
        <w:rFonts w:ascii="Raleway" w:eastAsia="Raleway" w:hAnsi="Raleway" w:cs="Raleway" w:hint="default"/>
        <w:color w:val="231F20"/>
        <w:spacing w:val="-1"/>
        <w:w w:val="100"/>
        <w:sz w:val="13"/>
        <w:szCs w:val="13"/>
        <w:lang w:val="en-US" w:eastAsia="en-US" w:bidi="en-US"/>
      </w:rPr>
    </w:lvl>
    <w:lvl w:ilvl="1" w:tplc="56F216D0">
      <w:numFmt w:val="bullet"/>
      <w:lvlText w:val="•"/>
      <w:lvlJc w:val="left"/>
      <w:pPr>
        <w:ind w:left="2558" w:hanging="794"/>
      </w:pPr>
      <w:rPr>
        <w:rFonts w:hint="default"/>
        <w:lang w:val="en-US" w:eastAsia="en-US" w:bidi="en-US"/>
      </w:rPr>
    </w:lvl>
    <w:lvl w:ilvl="2" w:tplc="9202C69A">
      <w:numFmt w:val="bullet"/>
      <w:lvlText w:val="•"/>
      <w:lvlJc w:val="left"/>
      <w:pPr>
        <w:ind w:left="3316" w:hanging="794"/>
      </w:pPr>
      <w:rPr>
        <w:rFonts w:hint="default"/>
        <w:lang w:val="en-US" w:eastAsia="en-US" w:bidi="en-US"/>
      </w:rPr>
    </w:lvl>
    <w:lvl w:ilvl="3" w:tplc="8E4C8AC8">
      <w:numFmt w:val="bullet"/>
      <w:lvlText w:val="•"/>
      <w:lvlJc w:val="left"/>
      <w:pPr>
        <w:ind w:left="4074" w:hanging="794"/>
      </w:pPr>
      <w:rPr>
        <w:rFonts w:hint="default"/>
        <w:lang w:val="en-US" w:eastAsia="en-US" w:bidi="en-US"/>
      </w:rPr>
    </w:lvl>
    <w:lvl w:ilvl="4" w:tplc="C00E69D8">
      <w:numFmt w:val="bullet"/>
      <w:lvlText w:val="•"/>
      <w:lvlJc w:val="left"/>
      <w:pPr>
        <w:ind w:left="4832" w:hanging="794"/>
      </w:pPr>
      <w:rPr>
        <w:rFonts w:hint="default"/>
        <w:lang w:val="en-US" w:eastAsia="en-US" w:bidi="en-US"/>
      </w:rPr>
    </w:lvl>
    <w:lvl w:ilvl="5" w:tplc="ECE6F08E">
      <w:numFmt w:val="bullet"/>
      <w:lvlText w:val="•"/>
      <w:lvlJc w:val="left"/>
      <w:pPr>
        <w:ind w:left="5590" w:hanging="794"/>
      </w:pPr>
      <w:rPr>
        <w:rFonts w:hint="default"/>
        <w:lang w:val="en-US" w:eastAsia="en-US" w:bidi="en-US"/>
      </w:rPr>
    </w:lvl>
    <w:lvl w:ilvl="6" w:tplc="06FC41FA">
      <w:numFmt w:val="bullet"/>
      <w:lvlText w:val="•"/>
      <w:lvlJc w:val="left"/>
      <w:pPr>
        <w:ind w:left="6348" w:hanging="794"/>
      </w:pPr>
      <w:rPr>
        <w:rFonts w:hint="default"/>
        <w:lang w:val="en-US" w:eastAsia="en-US" w:bidi="en-US"/>
      </w:rPr>
    </w:lvl>
    <w:lvl w:ilvl="7" w:tplc="8E88778C">
      <w:numFmt w:val="bullet"/>
      <w:lvlText w:val="•"/>
      <w:lvlJc w:val="left"/>
      <w:pPr>
        <w:ind w:left="7107" w:hanging="794"/>
      </w:pPr>
      <w:rPr>
        <w:rFonts w:hint="default"/>
        <w:lang w:val="en-US" w:eastAsia="en-US" w:bidi="en-US"/>
      </w:rPr>
    </w:lvl>
    <w:lvl w:ilvl="8" w:tplc="D5EE9F42">
      <w:numFmt w:val="bullet"/>
      <w:lvlText w:val="•"/>
      <w:lvlJc w:val="left"/>
      <w:pPr>
        <w:ind w:left="7865" w:hanging="794"/>
      </w:pPr>
      <w:rPr>
        <w:rFonts w:hint="default"/>
        <w:lang w:val="en-US" w:eastAsia="en-US" w:bidi="en-US"/>
      </w:rPr>
    </w:lvl>
  </w:abstractNum>
  <w:abstractNum w:abstractNumId="31" w15:restartNumberingAfterBreak="0">
    <w:nsid w:val="14791E52"/>
    <w:multiLevelType w:val="hybridMultilevel"/>
    <w:tmpl w:val="DECE18D6"/>
    <w:lvl w:ilvl="0" w:tplc="212ACB1C">
      <w:start w:val="12"/>
      <w:numFmt w:val="decimal"/>
      <w:lvlText w:val="%1"/>
      <w:lvlJc w:val="left"/>
      <w:pPr>
        <w:ind w:left="1801" w:hanging="794"/>
        <w:jc w:val="left"/>
      </w:pPr>
      <w:rPr>
        <w:rFonts w:ascii="Raleway" w:eastAsia="Raleway" w:hAnsi="Raleway" w:cs="Raleway" w:hint="default"/>
        <w:color w:val="231F20"/>
        <w:spacing w:val="-1"/>
        <w:w w:val="99"/>
        <w:sz w:val="13"/>
        <w:szCs w:val="13"/>
        <w:lang w:val="en-US" w:eastAsia="en-US" w:bidi="en-US"/>
      </w:rPr>
    </w:lvl>
    <w:lvl w:ilvl="1" w:tplc="9B966E50">
      <w:numFmt w:val="bullet"/>
      <w:lvlText w:val="•"/>
      <w:lvlJc w:val="left"/>
      <w:pPr>
        <w:ind w:left="2710" w:hanging="794"/>
      </w:pPr>
      <w:rPr>
        <w:rFonts w:hint="default"/>
        <w:lang w:val="en-US" w:eastAsia="en-US" w:bidi="en-US"/>
      </w:rPr>
    </w:lvl>
    <w:lvl w:ilvl="2" w:tplc="895AC5EC">
      <w:numFmt w:val="bullet"/>
      <w:lvlText w:val="•"/>
      <w:lvlJc w:val="left"/>
      <w:pPr>
        <w:ind w:left="3621" w:hanging="794"/>
      </w:pPr>
      <w:rPr>
        <w:rFonts w:hint="default"/>
        <w:lang w:val="en-US" w:eastAsia="en-US" w:bidi="en-US"/>
      </w:rPr>
    </w:lvl>
    <w:lvl w:ilvl="3" w:tplc="69F44A16">
      <w:numFmt w:val="bullet"/>
      <w:lvlText w:val="•"/>
      <w:lvlJc w:val="left"/>
      <w:pPr>
        <w:ind w:left="4531" w:hanging="794"/>
      </w:pPr>
      <w:rPr>
        <w:rFonts w:hint="default"/>
        <w:lang w:val="en-US" w:eastAsia="en-US" w:bidi="en-US"/>
      </w:rPr>
    </w:lvl>
    <w:lvl w:ilvl="4" w:tplc="A6102DC2">
      <w:numFmt w:val="bullet"/>
      <w:lvlText w:val="•"/>
      <w:lvlJc w:val="left"/>
      <w:pPr>
        <w:ind w:left="5442" w:hanging="794"/>
      </w:pPr>
      <w:rPr>
        <w:rFonts w:hint="default"/>
        <w:lang w:val="en-US" w:eastAsia="en-US" w:bidi="en-US"/>
      </w:rPr>
    </w:lvl>
    <w:lvl w:ilvl="5" w:tplc="DD941408">
      <w:numFmt w:val="bullet"/>
      <w:lvlText w:val="•"/>
      <w:lvlJc w:val="left"/>
      <w:pPr>
        <w:ind w:left="6352" w:hanging="794"/>
      </w:pPr>
      <w:rPr>
        <w:rFonts w:hint="default"/>
        <w:lang w:val="en-US" w:eastAsia="en-US" w:bidi="en-US"/>
      </w:rPr>
    </w:lvl>
    <w:lvl w:ilvl="6" w:tplc="CB8A18D4">
      <w:numFmt w:val="bullet"/>
      <w:lvlText w:val="•"/>
      <w:lvlJc w:val="left"/>
      <w:pPr>
        <w:ind w:left="7263" w:hanging="794"/>
      </w:pPr>
      <w:rPr>
        <w:rFonts w:hint="default"/>
        <w:lang w:val="en-US" w:eastAsia="en-US" w:bidi="en-US"/>
      </w:rPr>
    </w:lvl>
    <w:lvl w:ilvl="7" w:tplc="C86C8650">
      <w:numFmt w:val="bullet"/>
      <w:lvlText w:val="•"/>
      <w:lvlJc w:val="left"/>
      <w:pPr>
        <w:ind w:left="8173" w:hanging="794"/>
      </w:pPr>
      <w:rPr>
        <w:rFonts w:hint="default"/>
        <w:lang w:val="en-US" w:eastAsia="en-US" w:bidi="en-US"/>
      </w:rPr>
    </w:lvl>
    <w:lvl w:ilvl="8" w:tplc="48E4DE9C">
      <w:numFmt w:val="bullet"/>
      <w:lvlText w:val="•"/>
      <w:lvlJc w:val="left"/>
      <w:pPr>
        <w:ind w:left="9084" w:hanging="794"/>
      </w:pPr>
      <w:rPr>
        <w:rFonts w:hint="default"/>
        <w:lang w:val="en-US" w:eastAsia="en-US" w:bidi="en-US"/>
      </w:rPr>
    </w:lvl>
  </w:abstractNum>
  <w:abstractNum w:abstractNumId="32" w15:restartNumberingAfterBreak="0">
    <w:nsid w:val="1487378A"/>
    <w:multiLevelType w:val="hybridMultilevel"/>
    <w:tmpl w:val="BFB2B444"/>
    <w:lvl w:ilvl="0" w:tplc="3488D252">
      <w:numFmt w:val="bullet"/>
      <w:lvlText w:val="-"/>
      <w:lvlJc w:val="left"/>
      <w:pPr>
        <w:ind w:left="1347" w:hanging="341"/>
      </w:pPr>
      <w:rPr>
        <w:rFonts w:ascii="Raleway" w:eastAsia="Raleway" w:hAnsi="Raleway" w:cs="Raleway" w:hint="default"/>
        <w:color w:val="231F20"/>
        <w:spacing w:val="-15"/>
        <w:w w:val="100"/>
        <w:sz w:val="20"/>
        <w:szCs w:val="20"/>
        <w:lang w:val="en-US" w:eastAsia="en-US" w:bidi="en-US"/>
      </w:rPr>
    </w:lvl>
    <w:lvl w:ilvl="1" w:tplc="2AF66C0A">
      <w:numFmt w:val="bullet"/>
      <w:lvlText w:val="•"/>
      <w:lvlJc w:val="left"/>
      <w:pPr>
        <w:ind w:left="2296" w:hanging="341"/>
      </w:pPr>
      <w:rPr>
        <w:rFonts w:hint="default"/>
        <w:lang w:val="en-US" w:eastAsia="en-US" w:bidi="en-US"/>
      </w:rPr>
    </w:lvl>
    <w:lvl w:ilvl="2" w:tplc="33F6C84E">
      <w:numFmt w:val="bullet"/>
      <w:lvlText w:val="•"/>
      <w:lvlJc w:val="left"/>
      <w:pPr>
        <w:ind w:left="3253" w:hanging="341"/>
      </w:pPr>
      <w:rPr>
        <w:rFonts w:hint="default"/>
        <w:lang w:val="en-US" w:eastAsia="en-US" w:bidi="en-US"/>
      </w:rPr>
    </w:lvl>
    <w:lvl w:ilvl="3" w:tplc="F3A6D40A">
      <w:numFmt w:val="bullet"/>
      <w:lvlText w:val="•"/>
      <w:lvlJc w:val="left"/>
      <w:pPr>
        <w:ind w:left="4209" w:hanging="341"/>
      </w:pPr>
      <w:rPr>
        <w:rFonts w:hint="default"/>
        <w:lang w:val="en-US" w:eastAsia="en-US" w:bidi="en-US"/>
      </w:rPr>
    </w:lvl>
    <w:lvl w:ilvl="4" w:tplc="270AF6FC">
      <w:numFmt w:val="bullet"/>
      <w:lvlText w:val="•"/>
      <w:lvlJc w:val="left"/>
      <w:pPr>
        <w:ind w:left="5166" w:hanging="341"/>
      </w:pPr>
      <w:rPr>
        <w:rFonts w:hint="default"/>
        <w:lang w:val="en-US" w:eastAsia="en-US" w:bidi="en-US"/>
      </w:rPr>
    </w:lvl>
    <w:lvl w:ilvl="5" w:tplc="B49C4868">
      <w:numFmt w:val="bullet"/>
      <w:lvlText w:val="•"/>
      <w:lvlJc w:val="left"/>
      <w:pPr>
        <w:ind w:left="6122" w:hanging="341"/>
      </w:pPr>
      <w:rPr>
        <w:rFonts w:hint="default"/>
        <w:lang w:val="en-US" w:eastAsia="en-US" w:bidi="en-US"/>
      </w:rPr>
    </w:lvl>
    <w:lvl w:ilvl="6" w:tplc="1A2089C0">
      <w:numFmt w:val="bullet"/>
      <w:lvlText w:val="•"/>
      <w:lvlJc w:val="left"/>
      <w:pPr>
        <w:ind w:left="7079" w:hanging="341"/>
      </w:pPr>
      <w:rPr>
        <w:rFonts w:hint="default"/>
        <w:lang w:val="en-US" w:eastAsia="en-US" w:bidi="en-US"/>
      </w:rPr>
    </w:lvl>
    <w:lvl w:ilvl="7" w:tplc="FA064DDC">
      <w:numFmt w:val="bullet"/>
      <w:lvlText w:val="•"/>
      <w:lvlJc w:val="left"/>
      <w:pPr>
        <w:ind w:left="8035" w:hanging="341"/>
      </w:pPr>
      <w:rPr>
        <w:rFonts w:hint="default"/>
        <w:lang w:val="en-US" w:eastAsia="en-US" w:bidi="en-US"/>
      </w:rPr>
    </w:lvl>
    <w:lvl w:ilvl="8" w:tplc="60DE9326">
      <w:numFmt w:val="bullet"/>
      <w:lvlText w:val="•"/>
      <w:lvlJc w:val="left"/>
      <w:pPr>
        <w:ind w:left="8992" w:hanging="341"/>
      </w:pPr>
      <w:rPr>
        <w:rFonts w:hint="default"/>
        <w:lang w:val="en-US" w:eastAsia="en-US" w:bidi="en-US"/>
      </w:rPr>
    </w:lvl>
  </w:abstractNum>
  <w:abstractNum w:abstractNumId="33" w15:restartNumberingAfterBreak="0">
    <w:nsid w:val="14912EB4"/>
    <w:multiLevelType w:val="hybridMultilevel"/>
    <w:tmpl w:val="EDEE775C"/>
    <w:lvl w:ilvl="0" w:tplc="6B7E3CA8">
      <w:start w:val="1"/>
      <w:numFmt w:val="lowerLetter"/>
      <w:lvlText w:val="%1."/>
      <w:lvlJc w:val="left"/>
      <w:pPr>
        <w:ind w:left="553" w:hanging="554"/>
        <w:jc w:val="left"/>
      </w:pPr>
      <w:rPr>
        <w:rFonts w:ascii="Trebuchet MS" w:eastAsia="Trebuchet MS" w:hAnsi="Trebuchet MS" w:cs="Trebuchet MS" w:hint="default"/>
        <w:color w:val="231F20"/>
        <w:spacing w:val="0"/>
        <w:w w:val="55"/>
        <w:sz w:val="20"/>
        <w:szCs w:val="20"/>
        <w:lang w:val="en-US" w:eastAsia="en-US" w:bidi="en-US"/>
      </w:rPr>
    </w:lvl>
    <w:lvl w:ilvl="1" w:tplc="7C2E9352">
      <w:numFmt w:val="bullet"/>
      <w:lvlText w:val="•"/>
      <w:lvlJc w:val="left"/>
      <w:pPr>
        <w:ind w:left="1264" w:hanging="554"/>
      </w:pPr>
      <w:rPr>
        <w:rFonts w:hint="default"/>
        <w:lang w:val="en-US" w:eastAsia="en-US" w:bidi="en-US"/>
      </w:rPr>
    </w:lvl>
    <w:lvl w:ilvl="2" w:tplc="1938FCAC">
      <w:numFmt w:val="bullet"/>
      <w:lvlText w:val="•"/>
      <w:lvlJc w:val="left"/>
      <w:pPr>
        <w:ind w:left="1968" w:hanging="554"/>
      </w:pPr>
      <w:rPr>
        <w:rFonts w:hint="default"/>
        <w:lang w:val="en-US" w:eastAsia="en-US" w:bidi="en-US"/>
      </w:rPr>
    </w:lvl>
    <w:lvl w:ilvl="3" w:tplc="D65ABF68">
      <w:numFmt w:val="bullet"/>
      <w:lvlText w:val="•"/>
      <w:lvlJc w:val="left"/>
      <w:pPr>
        <w:ind w:left="2672" w:hanging="554"/>
      </w:pPr>
      <w:rPr>
        <w:rFonts w:hint="default"/>
        <w:lang w:val="en-US" w:eastAsia="en-US" w:bidi="en-US"/>
      </w:rPr>
    </w:lvl>
    <w:lvl w:ilvl="4" w:tplc="7E76FFF8">
      <w:numFmt w:val="bullet"/>
      <w:lvlText w:val="•"/>
      <w:lvlJc w:val="left"/>
      <w:pPr>
        <w:ind w:left="3376" w:hanging="554"/>
      </w:pPr>
      <w:rPr>
        <w:rFonts w:hint="default"/>
        <w:lang w:val="en-US" w:eastAsia="en-US" w:bidi="en-US"/>
      </w:rPr>
    </w:lvl>
    <w:lvl w:ilvl="5" w:tplc="7362DD6A">
      <w:numFmt w:val="bullet"/>
      <w:lvlText w:val="•"/>
      <w:lvlJc w:val="left"/>
      <w:pPr>
        <w:ind w:left="4081" w:hanging="554"/>
      </w:pPr>
      <w:rPr>
        <w:rFonts w:hint="default"/>
        <w:lang w:val="en-US" w:eastAsia="en-US" w:bidi="en-US"/>
      </w:rPr>
    </w:lvl>
    <w:lvl w:ilvl="6" w:tplc="E5E87C62">
      <w:numFmt w:val="bullet"/>
      <w:lvlText w:val="•"/>
      <w:lvlJc w:val="left"/>
      <w:pPr>
        <w:ind w:left="4785" w:hanging="554"/>
      </w:pPr>
      <w:rPr>
        <w:rFonts w:hint="default"/>
        <w:lang w:val="en-US" w:eastAsia="en-US" w:bidi="en-US"/>
      </w:rPr>
    </w:lvl>
    <w:lvl w:ilvl="7" w:tplc="5DFE3A28">
      <w:numFmt w:val="bullet"/>
      <w:lvlText w:val="•"/>
      <w:lvlJc w:val="left"/>
      <w:pPr>
        <w:ind w:left="5489" w:hanging="554"/>
      </w:pPr>
      <w:rPr>
        <w:rFonts w:hint="default"/>
        <w:lang w:val="en-US" w:eastAsia="en-US" w:bidi="en-US"/>
      </w:rPr>
    </w:lvl>
    <w:lvl w:ilvl="8" w:tplc="76EA533E">
      <w:numFmt w:val="bullet"/>
      <w:lvlText w:val="•"/>
      <w:lvlJc w:val="left"/>
      <w:pPr>
        <w:ind w:left="6193" w:hanging="554"/>
      </w:pPr>
      <w:rPr>
        <w:rFonts w:hint="default"/>
        <w:lang w:val="en-US" w:eastAsia="en-US" w:bidi="en-US"/>
      </w:rPr>
    </w:lvl>
  </w:abstractNum>
  <w:abstractNum w:abstractNumId="34" w15:restartNumberingAfterBreak="0">
    <w:nsid w:val="14CA2C4A"/>
    <w:multiLevelType w:val="hybridMultilevel"/>
    <w:tmpl w:val="AA4E24DA"/>
    <w:lvl w:ilvl="0" w:tplc="0458F100">
      <w:start w:val="19"/>
      <w:numFmt w:val="decimal"/>
      <w:lvlText w:val="%1."/>
      <w:lvlJc w:val="left"/>
      <w:pPr>
        <w:ind w:left="2368" w:hanging="567"/>
        <w:jc w:val="left"/>
      </w:pPr>
      <w:rPr>
        <w:rFonts w:ascii="Trebuchet MS" w:eastAsia="Trebuchet MS" w:hAnsi="Trebuchet MS" w:cs="Trebuchet MS" w:hint="default"/>
        <w:color w:val="231F20"/>
        <w:spacing w:val="-4"/>
        <w:w w:val="55"/>
        <w:sz w:val="20"/>
        <w:szCs w:val="20"/>
        <w:lang w:val="en-US" w:eastAsia="en-US" w:bidi="en-US"/>
      </w:rPr>
    </w:lvl>
    <w:lvl w:ilvl="1" w:tplc="0C5EC858">
      <w:numFmt w:val="bullet"/>
      <w:lvlText w:val="•"/>
      <w:lvlJc w:val="left"/>
      <w:pPr>
        <w:ind w:left="3214" w:hanging="567"/>
      </w:pPr>
      <w:rPr>
        <w:rFonts w:hint="default"/>
        <w:lang w:val="en-US" w:eastAsia="en-US" w:bidi="en-US"/>
      </w:rPr>
    </w:lvl>
    <w:lvl w:ilvl="2" w:tplc="7EFC1A7A">
      <w:numFmt w:val="bullet"/>
      <w:lvlText w:val="•"/>
      <w:lvlJc w:val="left"/>
      <w:pPr>
        <w:ind w:left="4069" w:hanging="567"/>
      </w:pPr>
      <w:rPr>
        <w:rFonts w:hint="default"/>
        <w:lang w:val="en-US" w:eastAsia="en-US" w:bidi="en-US"/>
      </w:rPr>
    </w:lvl>
    <w:lvl w:ilvl="3" w:tplc="3442444A">
      <w:numFmt w:val="bullet"/>
      <w:lvlText w:val="•"/>
      <w:lvlJc w:val="left"/>
      <w:pPr>
        <w:ind w:left="4923" w:hanging="567"/>
      </w:pPr>
      <w:rPr>
        <w:rFonts w:hint="default"/>
        <w:lang w:val="en-US" w:eastAsia="en-US" w:bidi="en-US"/>
      </w:rPr>
    </w:lvl>
    <w:lvl w:ilvl="4" w:tplc="54AE2A26">
      <w:numFmt w:val="bullet"/>
      <w:lvlText w:val="•"/>
      <w:lvlJc w:val="left"/>
      <w:pPr>
        <w:ind w:left="5778" w:hanging="567"/>
      </w:pPr>
      <w:rPr>
        <w:rFonts w:hint="default"/>
        <w:lang w:val="en-US" w:eastAsia="en-US" w:bidi="en-US"/>
      </w:rPr>
    </w:lvl>
    <w:lvl w:ilvl="5" w:tplc="54FEE862">
      <w:numFmt w:val="bullet"/>
      <w:lvlText w:val="•"/>
      <w:lvlJc w:val="left"/>
      <w:pPr>
        <w:ind w:left="6632" w:hanging="567"/>
      </w:pPr>
      <w:rPr>
        <w:rFonts w:hint="default"/>
        <w:lang w:val="en-US" w:eastAsia="en-US" w:bidi="en-US"/>
      </w:rPr>
    </w:lvl>
    <w:lvl w:ilvl="6" w:tplc="9CD4F8D0">
      <w:numFmt w:val="bullet"/>
      <w:lvlText w:val="•"/>
      <w:lvlJc w:val="left"/>
      <w:pPr>
        <w:ind w:left="7487" w:hanging="567"/>
      </w:pPr>
      <w:rPr>
        <w:rFonts w:hint="default"/>
        <w:lang w:val="en-US" w:eastAsia="en-US" w:bidi="en-US"/>
      </w:rPr>
    </w:lvl>
    <w:lvl w:ilvl="7" w:tplc="E0B40750">
      <w:numFmt w:val="bullet"/>
      <w:lvlText w:val="•"/>
      <w:lvlJc w:val="left"/>
      <w:pPr>
        <w:ind w:left="8341" w:hanging="567"/>
      </w:pPr>
      <w:rPr>
        <w:rFonts w:hint="default"/>
        <w:lang w:val="en-US" w:eastAsia="en-US" w:bidi="en-US"/>
      </w:rPr>
    </w:lvl>
    <w:lvl w:ilvl="8" w:tplc="DC22C846">
      <w:numFmt w:val="bullet"/>
      <w:lvlText w:val="•"/>
      <w:lvlJc w:val="left"/>
      <w:pPr>
        <w:ind w:left="9196" w:hanging="567"/>
      </w:pPr>
      <w:rPr>
        <w:rFonts w:hint="default"/>
        <w:lang w:val="en-US" w:eastAsia="en-US" w:bidi="en-US"/>
      </w:rPr>
    </w:lvl>
  </w:abstractNum>
  <w:abstractNum w:abstractNumId="35" w15:restartNumberingAfterBreak="0">
    <w:nsid w:val="1595321A"/>
    <w:multiLevelType w:val="hybridMultilevel"/>
    <w:tmpl w:val="B86488B2"/>
    <w:lvl w:ilvl="0" w:tplc="A0CC4490">
      <w:start w:val="27"/>
      <w:numFmt w:val="decimal"/>
      <w:lvlText w:val="%1"/>
      <w:lvlJc w:val="left"/>
      <w:pPr>
        <w:ind w:left="1801" w:hanging="794"/>
        <w:jc w:val="left"/>
      </w:pPr>
      <w:rPr>
        <w:rFonts w:ascii="Raleway" w:eastAsia="Raleway" w:hAnsi="Raleway" w:cs="Raleway" w:hint="default"/>
        <w:color w:val="231F20"/>
        <w:spacing w:val="-8"/>
        <w:w w:val="99"/>
        <w:sz w:val="13"/>
        <w:szCs w:val="13"/>
        <w:lang w:val="en-US" w:eastAsia="en-US" w:bidi="en-US"/>
      </w:rPr>
    </w:lvl>
    <w:lvl w:ilvl="1" w:tplc="B7F00E2E">
      <w:numFmt w:val="bullet"/>
      <w:lvlText w:val="•"/>
      <w:lvlJc w:val="left"/>
      <w:pPr>
        <w:ind w:left="2710" w:hanging="794"/>
      </w:pPr>
      <w:rPr>
        <w:rFonts w:hint="default"/>
        <w:lang w:val="en-US" w:eastAsia="en-US" w:bidi="en-US"/>
      </w:rPr>
    </w:lvl>
    <w:lvl w:ilvl="2" w:tplc="52BC8610">
      <w:numFmt w:val="bullet"/>
      <w:lvlText w:val="•"/>
      <w:lvlJc w:val="left"/>
      <w:pPr>
        <w:ind w:left="3621" w:hanging="794"/>
      </w:pPr>
      <w:rPr>
        <w:rFonts w:hint="default"/>
        <w:lang w:val="en-US" w:eastAsia="en-US" w:bidi="en-US"/>
      </w:rPr>
    </w:lvl>
    <w:lvl w:ilvl="3" w:tplc="7F8C8672">
      <w:numFmt w:val="bullet"/>
      <w:lvlText w:val="•"/>
      <w:lvlJc w:val="left"/>
      <w:pPr>
        <w:ind w:left="4531" w:hanging="794"/>
      </w:pPr>
      <w:rPr>
        <w:rFonts w:hint="default"/>
        <w:lang w:val="en-US" w:eastAsia="en-US" w:bidi="en-US"/>
      </w:rPr>
    </w:lvl>
    <w:lvl w:ilvl="4" w:tplc="2AF2D854">
      <w:numFmt w:val="bullet"/>
      <w:lvlText w:val="•"/>
      <w:lvlJc w:val="left"/>
      <w:pPr>
        <w:ind w:left="5442" w:hanging="794"/>
      </w:pPr>
      <w:rPr>
        <w:rFonts w:hint="default"/>
        <w:lang w:val="en-US" w:eastAsia="en-US" w:bidi="en-US"/>
      </w:rPr>
    </w:lvl>
    <w:lvl w:ilvl="5" w:tplc="B60A249E">
      <w:numFmt w:val="bullet"/>
      <w:lvlText w:val="•"/>
      <w:lvlJc w:val="left"/>
      <w:pPr>
        <w:ind w:left="6352" w:hanging="794"/>
      </w:pPr>
      <w:rPr>
        <w:rFonts w:hint="default"/>
        <w:lang w:val="en-US" w:eastAsia="en-US" w:bidi="en-US"/>
      </w:rPr>
    </w:lvl>
    <w:lvl w:ilvl="6" w:tplc="17A430FA">
      <w:numFmt w:val="bullet"/>
      <w:lvlText w:val="•"/>
      <w:lvlJc w:val="left"/>
      <w:pPr>
        <w:ind w:left="7263" w:hanging="794"/>
      </w:pPr>
      <w:rPr>
        <w:rFonts w:hint="default"/>
        <w:lang w:val="en-US" w:eastAsia="en-US" w:bidi="en-US"/>
      </w:rPr>
    </w:lvl>
    <w:lvl w:ilvl="7" w:tplc="53E28100">
      <w:numFmt w:val="bullet"/>
      <w:lvlText w:val="•"/>
      <w:lvlJc w:val="left"/>
      <w:pPr>
        <w:ind w:left="8173" w:hanging="794"/>
      </w:pPr>
      <w:rPr>
        <w:rFonts w:hint="default"/>
        <w:lang w:val="en-US" w:eastAsia="en-US" w:bidi="en-US"/>
      </w:rPr>
    </w:lvl>
    <w:lvl w:ilvl="8" w:tplc="3C9460C8">
      <w:numFmt w:val="bullet"/>
      <w:lvlText w:val="•"/>
      <w:lvlJc w:val="left"/>
      <w:pPr>
        <w:ind w:left="9084" w:hanging="794"/>
      </w:pPr>
      <w:rPr>
        <w:rFonts w:hint="default"/>
        <w:lang w:val="en-US" w:eastAsia="en-US" w:bidi="en-US"/>
      </w:rPr>
    </w:lvl>
  </w:abstractNum>
  <w:abstractNum w:abstractNumId="36" w15:restartNumberingAfterBreak="0">
    <w:nsid w:val="166C64FF"/>
    <w:multiLevelType w:val="hybridMultilevel"/>
    <w:tmpl w:val="CCCAE50A"/>
    <w:lvl w:ilvl="0" w:tplc="4712E2D4">
      <w:start w:val="184"/>
      <w:numFmt w:val="decimal"/>
      <w:lvlText w:val="%1"/>
      <w:lvlJc w:val="left"/>
      <w:pPr>
        <w:ind w:left="1801" w:hanging="794"/>
        <w:jc w:val="left"/>
      </w:pPr>
      <w:rPr>
        <w:rFonts w:ascii="Raleway" w:eastAsia="Raleway" w:hAnsi="Raleway" w:cs="Raleway" w:hint="default"/>
        <w:color w:val="231F20"/>
        <w:spacing w:val="-6"/>
        <w:w w:val="99"/>
        <w:sz w:val="13"/>
        <w:szCs w:val="13"/>
        <w:lang w:val="en-US" w:eastAsia="en-US" w:bidi="en-US"/>
      </w:rPr>
    </w:lvl>
    <w:lvl w:ilvl="1" w:tplc="8C480FB2">
      <w:numFmt w:val="bullet"/>
      <w:lvlText w:val="•"/>
      <w:lvlJc w:val="left"/>
      <w:pPr>
        <w:ind w:left="2710" w:hanging="794"/>
      </w:pPr>
      <w:rPr>
        <w:rFonts w:hint="default"/>
        <w:lang w:val="en-US" w:eastAsia="en-US" w:bidi="en-US"/>
      </w:rPr>
    </w:lvl>
    <w:lvl w:ilvl="2" w:tplc="66F65CC2">
      <w:numFmt w:val="bullet"/>
      <w:lvlText w:val="•"/>
      <w:lvlJc w:val="left"/>
      <w:pPr>
        <w:ind w:left="3621" w:hanging="794"/>
      </w:pPr>
      <w:rPr>
        <w:rFonts w:hint="default"/>
        <w:lang w:val="en-US" w:eastAsia="en-US" w:bidi="en-US"/>
      </w:rPr>
    </w:lvl>
    <w:lvl w:ilvl="3" w:tplc="DA0A5654">
      <w:numFmt w:val="bullet"/>
      <w:lvlText w:val="•"/>
      <w:lvlJc w:val="left"/>
      <w:pPr>
        <w:ind w:left="4531" w:hanging="794"/>
      </w:pPr>
      <w:rPr>
        <w:rFonts w:hint="default"/>
        <w:lang w:val="en-US" w:eastAsia="en-US" w:bidi="en-US"/>
      </w:rPr>
    </w:lvl>
    <w:lvl w:ilvl="4" w:tplc="4C0267E4">
      <w:numFmt w:val="bullet"/>
      <w:lvlText w:val="•"/>
      <w:lvlJc w:val="left"/>
      <w:pPr>
        <w:ind w:left="5442" w:hanging="794"/>
      </w:pPr>
      <w:rPr>
        <w:rFonts w:hint="default"/>
        <w:lang w:val="en-US" w:eastAsia="en-US" w:bidi="en-US"/>
      </w:rPr>
    </w:lvl>
    <w:lvl w:ilvl="5" w:tplc="10168784">
      <w:numFmt w:val="bullet"/>
      <w:lvlText w:val="•"/>
      <w:lvlJc w:val="left"/>
      <w:pPr>
        <w:ind w:left="6352" w:hanging="794"/>
      </w:pPr>
      <w:rPr>
        <w:rFonts w:hint="default"/>
        <w:lang w:val="en-US" w:eastAsia="en-US" w:bidi="en-US"/>
      </w:rPr>
    </w:lvl>
    <w:lvl w:ilvl="6" w:tplc="5BBE1FB0">
      <w:numFmt w:val="bullet"/>
      <w:lvlText w:val="•"/>
      <w:lvlJc w:val="left"/>
      <w:pPr>
        <w:ind w:left="7263" w:hanging="794"/>
      </w:pPr>
      <w:rPr>
        <w:rFonts w:hint="default"/>
        <w:lang w:val="en-US" w:eastAsia="en-US" w:bidi="en-US"/>
      </w:rPr>
    </w:lvl>
    <w:lvl w:ilvl="7" w:tplc="FE243B38">
      <w:numFmt w:val="bullet"/>
      <w:lvlText w:val="•"/>
      <w:lvlJc w:val="left"/>
      <w:pPr>
        <w:ind w:left="8173" w:hanging="794"/>
      </w:pPr>
      <w:rPr>
        <w:rFonts w:hint="default"/>
        <w:lang w:val="en-US" w:eastAsia="en-US" w:bidi="en-US"/>
      </w:rPr>
    </w:lvl>
    <w:lvl w:ilvl="8" w:tplc="365E2DDA">
      <w:numFmt w:val="bullet"/>
      <w:lvlText w:val="•"/>
      <w:lvlJc w:val="left"/>
      <w:pPr>
        <w:ind w:left="9084" w:hanging="794"/>
      </w:pPr>
      <w:rPr>
        <w:rFonts w:hint="default"/>
        <w:lang w:val="en-US" w:eastAsia="en-US" w:bidi="en-US"/>
      </w:rPr>
    </w:lvl>
  </w:abstractNum>
  <w:abstractNum w:abstractNumId="37" w15:restartNumberingAfterBreak="0">
    <w:nsid w:val="169514F2"/>
    <w:multiLevelType w:val="hybridMultilevel"/>
    <w:tmpl w:val="7408C232"/>
    <w:lvl w:ilvl="0" w:tplc="B022BA5E">
      <w:start w:val="127"/>
      <w:numFmt w:val="decimal"/>
      <w:lvlText w:val="%1"/>
      <w:lvlJc w:val="left"/>
      <w:pPr>
        <w:ind w:left="1801" w:hanging="794"/>
        <w:jc w:val="left"/>
      </w:pPr>
      <w:rPr>
        <w:rFonts w:ascii="Raleway" w:eastAsia="Raleway" w:hAnsi="Raleway" w:cs="Raleway" w:hint="default"/>
        <w:color w:val="231F20"/>
        <w:spacing w:val="-1"/>
        <w:w w:val="100"/>
        <w:sz w:val="13"/>
        <w:szCs w:val="13"/>
        <w:lang w:val="en-US" w:eastAsia="en-US" w:bidi="en-US"/>
      </w:rPr>
    </w:lvl>
    <w:lvl w:ilvl="1" w:tplc="16449224">
      <w:numFmt w:val="bullet"/>
      <w:lvlText w:val="•"/>
      <w:lvlJc w:val="left"/>
      <w:pPr>
        <w:ind w:left="2710" w:hanging="794"/>
      </w:pPr>
      <w:rPr>
        <w:rFonts w:hint="default"/>
        <w:lang w:val="en-US" w:eastAsia="en-US" w:bidi="en-US"/>
      </w:rPr>
    </w:lvl>
    <w:lvl w:ilvl="2" w:tplc="F8243CF0">
      <w:numFmt w:val="bullet"/>
      <w:lvlText w:val="•"/>
      <w:lvlJc w:val="left"/>
      <w:pPr>
        <w:ind w:left="3621" w:hanging="794"/>
      </w:pPr>
      <w:rPr>
        <w:rFonts w:hint="default"/>
        <w:lang w:val="en-US" w:eastAsia="en-US" w:bidi="en-US"/>
      </w:rPr>
    </w:lvl>
    <w:lvl w:ilvl="3" w:tplc="364092F6">
      <w:numFmt w:val="bullet"/>
      <w:lvlText w:val="•"/>
      <w:lvlJc w:val="left"/>
      <w:pPr>
        <w:ind w:left="4531" w:hanging="794"/>
      </w:pPr>
      <w:rPr>
        <w:rFonts w:hint="default"/>
        <w:lang w:val="en-US" w:eastAsia="en-US" w:bidi="en-US"/>
      </w:rPr>
    </w:lvl>
    <w:lvl w:ilvl="4" w:tplc="6C823368">
      <w:numFmt w:val="bullet"/>
      <w:lvlText w:val="•"/>
      <w:lvlJc w:val="left"/>
      <w:pPr>
        <w:ind w:left="5442" w:hanging="794"/>
      </w:pPr>
      <w:rPr>
        <w:rFonts w:hint="default"/>
        <w:lang w:val="en-US" w:eastAsia="en-US" w:bidi="en-US"/>
      </w:rPr>
    </w:lvl>
    <w:lvl w:ilvl="5" w:tplc="AA784748">
      <w:numFmt w:val="bullet"/>
      <w:lvlText w:val="•"/>
      <w:lvlJc w:val="left"/>
      <w:pPr>
        <w:ind w:left="6352" w:hanging="794"/>
      </w:pPr>
      <w:rPr>
        <w:rFonts w:hint="default"/>
        <w:lang w:val="en-US" w:eastAsia="en-US" w:bidi="en-US"/>
      </w:rPr>
    </w:lvl>
    <w:lvl w:ilvl="6" w:tplc="E60840C8">
      <w:numFmt w:val="bullet"/>
      <w:lvlText w:val="•"/>
      <w:lvlJc w:val="left"/>
      <w:pPr>
        <w:ind w:left="7263" w:hanging="794"/>
      </w:pPr>
      <w:rPr>
        <w:rFonts w:hint="default"/>
        <w:lang w:val="en-US" w:eastAsia="en-US" w:bidi="en-US"/>
      </w:rPr>
    </w:lvl>
    <w:lvl w:ilvl="7" w:tplc="929ABC3E">
      <w:numFmt w:val="bullet"/>
      <w:lvlText w:val="•"/>
      <w:lvlJc w:val="left"/>
      <w:pPr>
        <w:ind w:left="8173" w:hanging="794"/>
      </w:pPr>
      <w:rPr>
        <w:rFonts w:hint="default"/>
        <w:lang w:val="en-US" w:eastAsia="en-US" w:bidi="en-US"/>
      </w:rPr>
    </w:lvl>
    <w:lvl w:ilvl="8" w:tplc="3834B672">
      <w:numFmt w:val="bullet"/>
      <w:lvlText w:val="•"/>
      <w:lvlJc w:val="left"/>
      <w:pPr>
        <w:ind w:left="9084" w:hanging="794"/>
      </w:pPr>
      <w:rPr>
        <w:rFonts w:hint="default"/>
        <w:lang w:val="en-US" w:eastAsia="en-US" w:bidi="en-US"/>
      </w:rPr>
    </w:lvl>
  </w:abstractNum>
  <w:abstractNum w:abstractNumId="38" w15:restartNumberingAfterBreak="0">
    <w:nsid w:val="1740357E"/>
    <w:multiLevelType w:val="hybridMultilevel"/>
    <w:tmpl w:val="E54AF862"/>
    <w:lvl w:ilvl="0" w:tplc="59D01656">
      <w:start w:val="88"/>
      <w:numFmt w:val="decimal"/>
      <w:lvlText w:val="%1"/>
      <w:lvlJc w:val="left"/>
      <w:pPr>
        <w:ind w:left="1801" w:hanging="794"/>
        <w:jc w:val="left"/>
      </w:pPr>
      <w:rPr>
        <w:rFonts w:ascii="Raleway" w:eastAsia="Raleway" w:hAnsi="Raleway" w:cs="Raleway" w:hint="default"/>
        <w:color w:val="231F20"/>
        <w:spacing w:val="-8"/>
        <w:w w:val="99"/>
        <w:sz w:val="13"/>
        <w:szCs w:val="13"/>
        <w:lang w:val="en-US" w:eastAsia="en-US" w:bidi="en-US"/>
      </w:rPr>
    </w:lvl>
    <w:lvl w:ilvl="1" w:tplc="623AC56A">
      <w:numFmt w:val="bullet"/>
      <w:lvlText w:val="•"/>
      <w:lvlJc w:val="left"/>
      <w:pPr>
        <w:ind w:left="2710" w:hanging="794"/>
      </w:pPr>
      <w:rPr>
        <w:rFonts w:hint="default"/>
        <w:lang w:val="en-US" w:eastAsia="en-US" w:bidi="en-US"/>
      </w:rPr>
    </w:lvl>
    <w:lvl w:ilvl="2" w:tplc="1F903E8A">
      <w:numFmt w:val="bullet"/>
      <w:lvlText w:val="•"/>
      <w:lvlJc w:val="left"/>
      <w:pPr>
        <w:ind w:left="3621" w:hanging="794"/>
      </w:pPr>
      <w:rPr>
        <w:rFonts w:hint="default"/>
        <w:lang w:val="en-US" w:eastAsia="en-US" w:bidi="en-US"/>
      </w:rPr>
    </w:lvl>
    <w:lvl w:ilvl="3" w:tplc="81AADBA8">
      <w:numFmt w:val="bullet"/>
      <w:lvlText w:val="•"/>
      <w:lvlJc w:val="left"/>
      <w:pPr>
        <w:ind w:left="4531" w:hanging="794"/>
      </w:pPr>
      <w:rPr>
        <w:rFonts w:hint="default"/>
        <w:lang w:val="en-US" w:eastAsia="en-US" w:bidi="en-US"/>
      </w:rPr>
    </w:lvl>
    <w:lvl w:ilvl="4" w:tplc="4E9897E8">
      <w:numFmt w:val="bullet"/>
      <w:lvlText w:val="•"/>
      <w:lvlJc w:val="left"/>
      <w:pPr>
        <w:ind w:left="5442" w:hanging="794"/>
      </w:pPr>
      <w:rPr>
        <w:rFonts w:hint="default"/>
        <w:lang w:val="en-US" w:eastAsia="en-US" w:bidi="en-US"/>
      </w:rPr>
    </w:lvl>
    <w:lvl w:ilvl="5" w:tplc="38600D98">
      <w:numFmt w:val="bullet"/>
      <w:lvlText w:val="•"/>
      <w:lvlJc w:val="left"/>
      <w:pPr>
        <w:ind w:left="6352" w:hanging="794"/>
      </w:pPr>
      <w:rPr>
        <w:rFonts w:hint="default"/>
        <w:lang w:val="en-US" w:eastAsia="en-US" w:bidi="en-US"/>
      </w:rPr>
    </w:lvl>
    <w:lvl w:ilvl="6" w:tplc="039A9EAE">
      <w:numFmt w:val="bullet"/>
      <w:lvlText w:val="•"/>
      <w:lvlJc w:val="left"/>
      <w:pPr>
        <w:ind w:left="7263" w:hanging="794"/>
      </w:pPr>
      <w:rPr>
        <w:rFonts w:hint="default"/>
        <w:lang w:val="en-US" w:eastAsia="en-US" w:bidi="en-US"/>
      </w:rPr>
    </w:lvl>
    <w:lvl w:ilvl="7" w:tplc="26A85B68">
      <w:numFmt w:val="bullet"/>
      <w:lvlText w:val="•"/>
      <w:lvlJc w:val="left"/>
      <w:pPr>
        <w:ind w:left="8173" w:hanging="794"/>
      </w:pPr>
      <w:rPr>
        <w:rFonts w:hint="default"/>
        <w:lang w:val="en-US" w:eastAsia="en-US" w:bidi="en-US"/>
      </w:rPr>
    </w:lvl>
    <w:lvl w:ilvl="8" w:tplc="2D242FC4">
      <w:numFmt w:val="bullet"/>
      <w:lvlText w:val="•"/>
      <w:lvlJc w:val="left"/>
      <w:pPr>
        <w:ind w:left="9084" w:hanging="794"/>
      </w:pPr>
      <w:rPr>
        <w:rFonts w:hint="default"/>
        <w:lang w:val="en-US" w:eastAsia="en-US" w:bidi="en-US"/>
      </w:rPr>
    </w:lvl>
  </w:abstractNum>
  <w:abstractNum w:abstractNumId="39" w15:restartNumberingAfterBreak="0">
    <w:nsid w:val="17567333"/>
    <w:multiLevelType w:val="hybridMultilevel"/>
    <w:tmpl w:val="9092B25E"/>
    <w:lvl w:ilvl="0" w:tplc="5296AE82">
      <w:numFmt w:val="bullet"/>
      <w:lvlText w:val="•"/>
      <w:lvlJc w:val="left"/>
      <w:pPr>
        <w:ind w:left="3161" w:hanging="681"/>
      </w:pPr>
      <w:rPr>
        <w:rFonts w:ascii="Trebuchet MS" w:eastAsia="Trebuchet MS" w:hAnsi="Trebuchet MS" w:cs="Trebuchet MS" w:hint="default"/>
        <w:color w:val="231F20"/>
        <w:w w:val="67"/>
        <w:sz w:val="20"/>
        <w:szCs w:val="20"/>
        <w:lang w:val="en-US" w:eastAsia="en-US" w:bidi="en-US"/>
      </w:rPr>
    </w:lvl>
    <w:lvl w:ilvl="1" w:tplc="49A0E810">
      <w:numFmt w:val="bullet"/>
      <w:lvlText w:val="•"/>
      <w:lvlJc w:val="left"/>
      <w:pPr>
        <w:ind w:left="3934" w:hanging="681"/>
      </w:pPr>
      <w:rPr>
        <w:rFonts w:hint="default"/>
        <w:lang w:val="en-US" w:eastAsia="en-US" w:bidi="en-US"/>
      </w:rPr>
    </w:lvl>
    <w:lvl w:ilvl="2" w:tplc="39EC8C12">
      <w:numFmt w:val="bullet"/>
      <w:lvlText w:val="•"/>
      <w:lvlJc w:val="left"/>
      <w:pPr>
        <w:ind w:left="4709" w:hanging="681"/>
      </w:pPr>
      <w:rPr>
        <w:rFonts w:hint="default"/>
        <w:lang w:val="en-US" w:eastAsia="en-US" w:bidi="en-US"/>
      </w:rPr>
    </w:lvl>
    <w:lvl w:ilvl="3" w:tplc="372AD258">
      <w:numFmt w:val="bullet"/>
      <w:lvlText w:val="•"/>
      <w:lvlJc w:val="left"/>
      <w:pPr>
        <w:ind w:left="5483" w:hanging="681"/>
      </w:pPr>
      <w:rPr>
        <w:rFonts w:hint="default"/>
        <w:lang w:val="en-US" w:eastAsia="en-US" w:bidi="en-US"/>
      </w:rPr>
    </w:lvl>
    <w:lvl w:ilvl="4" w:tplc="F80A3C28">
      <w:numFmt w:val="bullet"/>
      <w:lvlText w:val="•"/>
      <w:lvlJc w:val="left"/>
      <w:pPr>
        <w:ind w:left="6258" w:hanging="681"/>
      </w:pPr>
      <w:rPr>
        <w:rFonts w:hint="default"/>
        <w:lang w:val="en-US" w:eastAsia="en-US" w:bidi="en-US"/>
      </w:rPr>
    </w:lvl>
    <w:lvl w:ilvl="5" w:tplc="31587068">
      <w:numFmt w:val="bullet"/>
      <w:lvlText w:val="•"/>
      <w:lvlJc w:val="left"/>
      <w:pPr>
        <w:ind w:left="7032" w:hanging="681"/>
      </w:pPr>
      <w:rPr>
        <w:rFonts w:hint="default"/>
        <w:lang w:val="en-US" w:eastAsia="en-US" w:bidi="en-US"/>
      </w:rPr>
    </w:lvl>
    <w:lvl w:ilvl="6" w:tplc="ADEA859C">
      <w:numFmt w:val="bullet"/>
      <w:lvlText w:val="•"/>
      <w:lvlJc w:val="left"/>
      <w:pPr>
        <w:ind w:left="7807" w:hanging="681"/>
      </w:pPr>
      <w:rPr>
        <w:rFonts w:hint="default"/>
        <w:lang w:val="en-US" w:eastAsia="en-US" w:bidi="en-US"/>
      </w:rPr>
    </w:lvl>
    <w:lvl w:ilvl="7" w:tplc="2592ABEE">
      <w:numFmt w:val="bullet"/>
      <w:lvlText w:val="•"/>
      <w:lvlJc w:val="left"/>
      <w:pPr>
        <w:ind w:left="8581" w:hanging="681"/>
      </w:pPr>
      <w:rPr>
        <w:rFonts w:hint="default"/>
        <w:lang w:val="en-US" w:eastAsia="en-US" w:bidi="en-US"/>
      </w:rPr>
    </w:lvl>
    <w:lvl w:ilvl="8" w:tplc="3418EE02">
      <w:numFmt w:val="bullet"/>
      <w:lvlText w:val="•"/>
      <w:lvlJc w:val="left"/>
      <w:pPr>
        <w:ind w:left="9356" w:hanging="681"/>
      </w:pPr>
      <w:rPr>
        <w:rFonts w:hint="default"/>
        <w:lang w:val="en-US" w:eastAsia="en-US" w:bidi="en-US"/>
      </w:rPr>
    </w:lvl>
  </w:abstractNum>
  <w:abstractNum w:abstractNumId="40" w15:restartNumberingAfterBreak="0">
    <w:nsid w:val="17816934"/>
    <w:multiLevelType w:val="multilevel"/>
    <w:tmpl w:val="6A363724"/>
    <w:lvl w:ilvl="0">
      <w:start w:val="6"/>
      <w:numFmt w:val="decimal"/>
      <w:lvlText w:val="%1"/>
      <w:lvlJc w:val="left"/>
      <w:pPr>
        <w:ind w:left="1801" w:hanging="794"/>
        <w:jc w:val="left"/>
      </w:pPr>
      <w:rPr>
        <w:rFonts w:hint="default"/>
        <w:lang w:val="en-US" w:eastAsia="en-US" w:bidi="en-US"/>
      </w:rPr>
    </w:lvl>
    <w:lvl w:ilvl="1">
      <w:start w:val="1"/>
      <w:numFmt w:val="decimal"/>
      <w:lvlText w:val="%1.%2"/>
      <w:lvlJc w:val="left"/>
      <w:pPr>
        <w:ind w:left="1801" w:hanging="794"/>
        <w:jc w:val="left"/>
      </w:pPr>
      <w:rPr>
        <w:rFonts w:ascii="Raleway" w:eastAsia="Raleway" w:hAnsi="Raleway" w:cs="Raleway" w:hint="default"/>
        <w:color w:val="231F20"/>
        <w:spacing w:val="-14"/>
        <w:w w:val="100"/>
        <w:sz w:val="20"/>
        <w:szCs w:val="20"/>
        <w:lang w:val="en-US" w:eastAsia="en-US" w:bidi="en-US"/>
      </w:rPr>
    </w:lvl>
    <w:lvl w:ilvl="2">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3">
      <w:numFmt w:val="bullet"/>
      <w:lvlText w:val="•"/>
      <w:lvlJc w:val="left"/>
      <w:pPr>
        <w:ind w:left="4087" w:hanging="341"/>
      </w:pPr>
      <w:rPr>
        <w:rFonts w:hint="default"/>
        <w:lang w:val="en-US" w:eastAsia="en-US" w:bidi="en-US"/>
      </w:rPr>
    </w:lvl>
    <w:lvl w:ilvl="4">
      <w:numFmt w:val="bullet"/>
      <w:lvlText w:val="•"/>
      <w:lvlJc w:val="left"/>
      <w:pPr>
        <w:ind w:left="5061" w:hanging="341"/>
      </w:pPr>
      <w:rPr>
        <w:rFonts w:hint="default"/>
        <w:lang w:val="en-US" w:eastAsia="en-US" w:bidi="en-US"/>
      </w:rPr>
    </w:lvl>
    <w:lvl w:ilvl="5">
      <w:numFmt w:val="bullet"/>
      <w:lvlText w:val="•"/>
      <w:lvlJc w:val="left"/>
      <w:pPr>
        <w:ind w:left="6035" w:hanging="341"/>
      </w:pPr>
      <w:rPr>
        <w:rFonts w:hint="default"/>
        <w:lang w:val="en-US" w:eastAsia="en-US" w:bidi="en-US"/>
      </w:rPr>
    </w:lvl>
    <w:lvl w:ilvl="6">
      <w:numFmt w:val="bullet"/>
      <w:lvlText w:val="•"/>
      <w:lvlJc w:val="left"/>
      <w:pPr>
        <w:ind w:left="7009" w:hanging="341"/>
      </w:pPr>
      <w:rPr>
        <w:rFonts w:hint="default"/>
        <w:lang w:val="en-US" w:eastAsia="en-US" w:bidi="en-US"/>
      </w:rPr>
    </w:lvl>
    <w:lvl w:ilvl="7">
      <w:numFmt w:val="bullet"/>
      <w:lvlText w:val="•"/>
      <w:lvlJc w:val="left"/>
      <w:pPr>
        <w:ind w:left="7983" w:hanging="341"/>
      </w:pPr>
      <w:rPr>
        <w:rFonts w:hint="default"/>
        <w:lang w:val="en-US" w:eastAsia="en-US" w:bidi="en-US"/>
      </w:rPr>
    </w:lvl>
    <w:lvl w:ilvl="8">
      <w:numFmt w:val="bullet"/>
      <w:lvlText w:val="•"/>
      <w:lvlJc w:val="left"/>
      <w:pPr>
        <w:ind w:left="8957" w:hanging="341"/>
      </w:pPr>
      <w:rPr>
        <w:rFonts w:hint="default"/>
        <w:lang w:val="en-US" w:eastAsia="en-US" w:bidi="en-US"/>
      </w:rPr>
    </w:lvl>
  </w:abstractNum>
  <w:abstractNum w:abstractNumId="41" w15:restartNumberingAfterBreak="0">
    <w:nsid w:val="182F0B48"/>
    <w:multiLevelType w:val="hybridMultilevel"/>
    <w:tmpl w:val="051448E6"/>
    <w:lvl w:ilvl="0" w:tplc="2356DCF0">
      <w:start w:val="115"/>
      <w:numFmt w:val="decimal"/>
      <w:lvlText w:val="%1"/>
      <w:lvlJc w:val="left"/>
      <w:pPr>
        <w:ind w:left="1801" w:hanging="794"/>
        <w:jc w:val="left"/>
      </w:pPr>
      <w:rPr>
        <w:rFonts w:ascii="Raleway" w:eastAsia="Raleway" w:hAnsi="Raleway" w:cs="Raleway" w:hint="default"/>
        <w:color w:val="231F20"/>
        <w:spacing w:val="-9"/>
        <w:w w:val="91"/>
        <w:sz w:val="13"/>
        <w:szCs w:val="13"/>
        <w:lang w:val="en-US" w:eastAsia="en-US" w:bidi="en-US"/>
      </w:rPr>
    </w:lvl>
    <w:lvl w:ilvl="1" w:tplc="A70C1684">
      <w:numFmt w:val="bullet"/>
      <w:lvlText w:val="•"/>
      <w:lvlJc w:val="left"/>
      <w:pPr>
        <w:ind w:left="2710" w:hanging="794"/>
      </w:pPr>
      <w:rPr>
        <w:rFonts w:hint="default"/>
        <w:lang w:val="en-US" w:eastAsia="en-US" w:bidi="en-US"/>
      </w:rPr>
    </w:lvl>
    <w:lvl w:ilvl="2" w:tplc="44222B4C">
      <w:numFmt w:val="bullet"/>
      <w:lvlText w:val="•"/>
      <w:lvlJc w:val="left"/>
      <w:pPr>
        <w:ind w:left="3621" w:hanging="794"/>
      </w:pPr>
      <w:rPr>
        <w:rFonts w:hint="default"/>
        <w:lang w:val="en-US" w:eastAsia="en-US" w:bidi="en-US"/>
      </w:rPr>
    </w:lvl>
    <w:lvl w:ilvl="3" w:tplc="4EAC6E9C">
      <w:numFmt w:val="bullet"/>
      <w:lvlText w:val="•"/>
      <w:lvlJc w:val="left"/>
      <w:pPr>
        <w:ind w:left="4531" w:hanging="794"/>
      </w:pPr>
      <w:rPr>
        <w:rFonts w:hint="default"/>
        <w:lang w:val="en-US" w:eastAsia="en-US" w:bidi="en-US"/>
      </w:rPr>
    </w:lvl>
    <w:lvl w:ilvl="4" w:tplc="B99E620E">
      <w:numFmt w:val="bullet"/>
      <w:lvlText w:val="•"/>
      <w:lvlJc w:val="left"/>
      <w:pPr>
        <w:ind w:left="5442" w:hanging="794"/>
      </w:pPr>
      <w:rPr>
        <w:rFonts w:hint="default"/>
        <w:lang w:val="en-US" w:eastAsia="en-US" w:bidi="en-US"/>
      </w:rPr>
    </w:lvl>
    <w:lvl w:ilvl="5" w:tplc="2BEED522">
      <w:numFmt w:val="bullet"/>
      <w:lvlText w:val="•"/>
      <w:lvlJc w:val="left"/>
      <w:pPr>
        <w:ind w:left="6352" w:hanging="794"/>
      </w:pPr>
      <w:rPr>
        <w:rFonts w:hint="default"/>
        <w:lang w:val="en-US" w:eastAsia="en-US" w:bidi="en-US"/>
      </w:rPr>
    </w:lvl>
    <w:lvl w:ilvl="6" w:tplc="19B21628">
      <w:numFmt w:val="bullet"/>
      <w:lvlText w:val="•"/>
      <w:lvlJc w:val="left"/>
      <w:pPr>
        <w:ind w:left="7263" w:hanging="794"/>
      </w:pPr>
      <w:rPr>
        <w:rFonts w:hint="default"/>
        <w:lang w:val="en-US" w:eastAsia="en-US" w:bidi="en-US"/>
      </w:rPr>
    </w:lvl>
    <w:lvl w:ilvl="7" w:tplc="6BB20B36">
      <w:numFmt w:val="bullet"/>
      <w:lvlText w:val="•"/>
      <w:lvlJc w:val="left"/>
      <w:pPr>
        <w:ind w:left="8173" w:hanging="794"/>
      </w:pPr>
      <w:rPr>
        <w:rFonts w:hint="default"/>
        <w:lang w:val="en-US" w:eastAsia="en-US" w:bidi="en-US"/>
      </w:rPr>
    </w:lvl>
    <w:lvl w:ilvl="8" w:tplc="7FCC2EDC">
      <w:numFmt w:val="bullet"/>
      <w:lvlText w:val="•"/>
      <w:lvlJc w:val="left"/>
      <w:pPr>
        <w:ind w:left="9084" w:hanging="794"/>
      </w:pPr>
      <w:rPr>
        <w:rFonts w:hint="default"/>
        <w:lang w:val="en-US" w:eastAsia="en-US" w:bidi="en-US"/>
      </w:rPr>
    </w:lvl>
  </w:abstractNum>
  <w:abstractNum w:abstractNumId="42" w15:restartNumberingAfterBreak="0">
    <w:nsid w:val="1A2C3E5B"/>
    <w:multiLevelType w:val="hybridMultilevel"/>
    <w:tmpl w:val="B5EA62E0"/>
    <w:lvl w:ilvl="0" w:tplc="C8FE3500">
      <w:start w:val="2"/>
      <w:numFmt w:val="lowerLetter"/>
      <w:lvlText w:val="%1."/>
      <w:lvlJc w:val="left"/>
      <w:pPr>
        <w:ind w:left="2368" w:hanging="554"/>
        <w:jc w:val="left"/>
      </w:pPr>
      <w:rPr>
        <w:rFonts w:ascii="Trebuchet MS" w:eastAsia="Trebuchet MS" w:hAnsi="Trebuchet MS" w:cs="Trebuchet MS" w:hint="default"/>
        <w:color w:val="231F20"/>
        <w:spacing w:val="-3"/>
        <w:w w:val="55"/>
        <w:sz w:val="20"/>
        <w:szCs w:val="20"/>
        <w:lang w:val="en-US" w:eastAsia="en-US" w:bidi="en-US"/>
      </w:rPr>
    </w:lvl>
    <w:lvl w:ilvl="1" w:tplc="9A7AAF46">
      <w:numFmt w:val="bullet"/>
      <w:lvlText w:val="•"/>
      <w:lvlJc w:val="left"/>
      <w:pPr>
        <w:ind w:left="2934" w:hanging="567"/>
      </w:pPr>
      <w:rPr>
        <w:rFonts w:ascii="Trebuchet MS" w:eastAsia="Trebuchet MS" w:hAnsi="Trebuchet MS" w:cs="Trebuchet MS" w:hint="default"/>
        <w:color w:val="231F20"/>
        <w:w w:val="67"/>
        <w:sz w:val="20"/>
        <w:szCs w:val="20"/>
        <w:lang w:val="en-US" w:eastAsia="en-US" w:bidi="en-US"/>
      </w:rPr>
    </w:lvl>
    <w:lvl w:ilvl="2" w:tplc="BAEA2E72">
      <w:numFmt w:val="bullet"/>
      <w:lvlText w:val="•"/>
      <w:lvlJc w:val="left"/>
      <w:pPr>
        <w:ind w:left="3825" w:hanging="567"/>
      </w:pPr>
      <w:rPr>
        <w:rFonts w:hint="default"/>
        <w:lang w:val="en-US" w:eastAsia="en-US" w:bidi="en-US"/>
      </w:rPr>
    </w:lvl>
    <w:lvl w:ilvl="3" w:tplc="47C81EFE">
      <w:numFmt w:val="bullet"/>
      <w:lvlText w:val="•"/>
      <w:lvlJc w:val="left"/>
      <w:pPr>
        <w:ind w:left="4710" w:hanging="567"/>
      </w:pPr>
      <w:rPr>
        <w:rFonts w:hint="default"/>
        <w:lang w:val="en-US" w:eastAsia="en-US" w:bidi="en-US"/>
      </w:rPr>
    </w:lvl>
    <w:lvl w:ilvl="4" w:tplc="4342D14E">
      <w:numFmt w:val="bullet"/>
      <w:lvlText w:val="•"/>
      <w:lvlJc w:val="left"/>
      <w:pPr>
        <w:ind w:left="5595" w:hanging="567"/>
      </w:pPr>
      <w:rPr>
        <w:rFonts w:hint="default"/>
        <w:lang w:val="en-US" w:eastAsia="en-US" w:bidi="en-US"/>
      </w:rPr>
    </w:lvl>
    <w:lvl w:ilvl="5" w:tplc="172A2974">
      <w:numFmt w:val="bullet"/>
      <w:lvlText w:val="•"/>
      <w:lvlJc w:val="left"/>
      <w:pPr>
        <w:ind w:left="6480" w:hanging="567"/>
      </w:pPr>
      <w:rPr>
        <w:rFonts w:hint="default"/>
        <w:lang w:val="en-US" w:eastAsia="en-US" w:bidi="en-US"/>
      </w:rPr>
    </w:lvl>
    <w:lvl w:ilvl="6" w:tplc="BE762656">
      <w:numFmt w:val="bullet"/>
      <w:lvlText w:val="•"/>
      <w:lvlJc w:val="left"/>
      <w:pPr>
        <w:ind w:left="7365" w:hanging="567"/>
      </w:pPr>
      <w:rPr>
        <w:rFonts w:hint="default"/>
        <w:lang w:val="en-US" w:eastAsia="en-US" w:bidi="en-US"/>
      </w:rPr>
    </w:lvl>
    <w:lvl w:ilvl="7" w:tplc="376451C6">
      <w:numFmt w:val="bullet"/>
      <w:lvlText w:val="•"/>
      <w:lvlJc w:val="left"/>
      <w:pPr>
        <w:ind w:left="8250" w:hanging="567"/>
      </w:pPr>
      <w:rPr>
        <w:rFonts w:hint="default"/>
        <w:lang w:val="en-US" w:eastAsia="en-US" w:bidi="en-US"/>
      </w:rPr>
    </w:lvl>
    <w:lvl w:ilvl="8" w:tplc="6B96D3E2">
      <w:numFmt w:val="bullet"/>
      <w:lvlText w:val="•"/>
      <w:lvlJc w:val="left"/>
      <w:pPr>
        <w:ind w:left="9135" w:hanging="567"/>
      </w:pPr>
      <w:rPr>
        <w:rFonts w:hint="default"/>
        <w:lang w:val="en-US" w:eastAsia="en-US" w:bidi="en-US"/>
      </w:rPr>
    </w:lvl>
  </w:abstractNum>
  <w:abstractNum w:abstractNumId="43" w15:restartNumberingAfterBreak="0">
    <w:nsid w:val="1B705B5D"/>
    <w:multiLevelType w:val="hybridMultilevel"/>
    <w:tmpl w:val="9B54595A"/>
    <w:lvl w:ilvl="0" w:tplc="3EE441B8">
      <w:start w:val="251"/>
      <w:numFmt w:val="decimal"/>
      <w:lvlText w:val="%1"/>
      <w:lvlJc w:val="left"/>
      <w:pPr>
        <w:ind w:left="1801" w:hanging="794"/>
        <w:jc w:val="right"/>
      </w:pPr>
      <w:rPr>
        <w:rFonts w:ascii="Raleway" w:eastAsia="Raleway" w:hAnsi="Raleway" w:cs="Raleway" w:hint="default"/>
        <w:color w:val="231F20"/>
        <w:spacing w:val="-2"/>
        <w:w w:val="100"/>
        <w:sz w:val="13"/>
        <w:szCs w:val="13"/>
        <w:lang w:val="en-US" w:eastAsia="en-US" w:bidi="en-US"/>
      </w:rPr>
    </w:lvl>
    <w:lvl w:ilvl="1" w:tplc="94169EF2">
      <w:numFmt w:val="bullet"/>
      <w:lvlText w:val="•"/>
      <w:lvlJc w:val="left"/>
      <w:pPr>
        <w:ind w:left="2586" w:hanging="794"/>
      </w:pPr>
      <w:rPr>
        <w:rFonts w:hint="default"/>
        <w:lang w:val="en-US" w:eastAsia="en-US" w:bidi="en-US"/>
      </w:rPr>
    </w:lvl>
    <w:lvl w:ilvl="2" w:tplc="4A52900C">
      <w:numFmt w:val="bullet"/>
      <w:lvlText w:val="•"/>
      <w:lvlJc w:val="left"/>
      <w:pPr>
        <w:ind w:left="3373" w:hanging="794"/>
      </w:pPr>
      <w:rPr>
        <w:rFonts w:hint="default"/>
        <w:lang w:val="en-US" w:eastAsia="en-US" w:bidi="en-US"/>
      </w:rPr>
    </w:lvl>
    <w:lvl w:ilvl="3" w:tplc="AEFEDA6A">
      <w:numFmt w:val="bullet"/>
      <w:lvlText w:val="•"/>
      <w:lvlJc w:val="left"/>
      <w:pPr>
        <w:ind w:left="4160" w:hanging="794"/>
      </w:pPr>
      <w:rPr>
        <w:rFonts w:hint="default"/>
        <w:lang w:val="en-US" w:eastAsia="en-US" w:bidi="en-US"/>
      </w:rPr>
    </w:lvl>
    <w:lvl w:ilvl="4" w:tplc="D55E11CE">
      <w:numFmt w:val="bullet"/>
      <w:lvlText w:val="•"/>
      <w:lvlJc w:val="left"/>
      <w:pPr>
        <w:ind w:left="4947" w:hanging="794"/>
      </w:pPr>
      <w:rPr>
        <w:rFonts w:hint="default"/>
        <w:lang w:val="en-US" w:eastAsia="en-US" w:bidi="en-US"/>
      </w:rPr>
    </w:lvl>
    <w:lvl w:ilvl="5" w:tplc="778008DE">
      <w:numFmt w:val="bullet"/>
      <w:lvlText w:val="•"/>
      <w:lvlJc w:val="left"/>
      <w:pPr>
        <w:ind w:left="5733" w:hanging="794"/>
      </w:pPr>
      <w:rPr>
        <w:rFonts w:hint="default"/>
        <w:lang w:val="en-US" w:eastAsia="en-US" w:bidi="en-US"/>
      </w:rPr>
    </w:lvl>
    <w:lvl w:ilvl="6" w:tplc="9822EE18">
      <w:numFmt w:val="bullet"/>
      <w:lvlText w:val="•"/>
      <w:lvlJc w:val="left"/>
      <w:pPr>
        <w:ind w:left="6520" w:hanging="794"/>
      </w:pPr>
      <w:rPr>
        <w:rFonts w:hint="default"/>
        <w:lang w:val="en-US" w:eastAsia="en-US" w:bidi="en-US"/>
      </w:rPr>
    </w:lvl>
    <w:lvl w:ilvl="7" w:tplc="9F5E70D6">
      <w:numFmt w:val="bullet"/>
      <w:lvlText w:val="•"/>
      <w:lvlJc w:val="left"/>
      <w:pPr>
        <w:ind w:left="7307" w:hanging="794"/>
      </w:pPr>
      <w:rPr>
        <w:rFonts w:hint="default"/>
        <w:lang w:val="en-US" w:eastAsia="en-US" w:bidi="en-US"/>
      </w:rPr>
    </w:lvl>
    <w:lvl w:ilvl="8" w:tplc="1EBA3B64">
      <w:numFmt w:val="bullet"/>
      <w:lvlText w:val="•"/>
      <w:lvlJc w:val="left"/>
      <w:pPr>
        <w:ind w:left="8094" w:hanging="794"/>
      </w:pPr>
      <w:rPr>
        <w:rFonts w:hint="default"/>
        <w:lang w:val="en-US" w:eastAsia="en-US" w:bidi="en-US"/>
      </w:rPr>
    </w:lvl>
  </w:abstractNum>
  <w:abstractNum w:abstractNumId="44" w15:restartNumberingAfterBreak="0">
    <w:nsid w:val="1D074590"/>
    <w:multiLevelType w:val="hybridMultilevel"/>
    <w:tmpl w:val="F50A44EC"/>
    <w:lvl w:ilvl="0" w:tplc="68223E7C">
      <w:start w:val="59"/>
      <w:numFmt w:val="decimal"/>
      <w:lvlText w:val="%1"/>
      <w:lvlJc w:val="left"/>
      <w:pPr>
        <w:ind w:left="1588" w:hanging="567"/>
        <w:jc w:val="left"/>
      </w:pPr>
      <w:rPr>
        <w:rFonts w:ascii="Raleway" w:eastAsia="Raleway" w:hAnsi="Raleway" w:cs="Raleway" w:hint="default"/>
        <w:b/>
        <w:bCs/>
        <w:color w:val="FFFFFF"/>
        <w:spacing w:val="-4"/>
        <w:w w:val="100"/>
        <w:sz w:val="24"/>
        <w:szCs w:val="24"/>
        <w:lang w:val="en-US" w:eastAsia="en-US" w:bidi="en-US"/>
      </w:rPr>
    </w:lvl>
    <w:lvl w:ilvl="1" w:tplc="86AAC05A">
      <w:numFmt w:val="bullet"/>
      <w:lvlText w:val="•"/>
      <w:lvlJc w:val="left"/>
      <w:pPr>
        <w:ind w:left="2512" w:hanging="567"/>
      </w:pPr>
      <w:rPr>
        <w:rFonts w:hint="default"/>
        <w:lang w:val="en-US" w:eastAsia="en-US" w:bidi="en-US"/>
      </w:rPr>
    </w:lvl>
    <w:lvl w:ilvl="2" w:tplc="D8C472A4">
      <w:numFmt w:val="bullet"/>
      <w:lvlText w:val="•"/>
      <w:lvlJc w:val="left"/>
      <w:pPr>
        <w:ind w:left="3445" w:hanging="567"/>
      </w:pPr>
      <w:rPr>
        <w:rFonts w:hint="default"/>
        <w:lang w:val="en-US" w:eastAsia="en-US" w:bidi="en-US"/>
      </w:rPr>
    </w:lvl>
    <w:lvl w:ilvl="3" w:tplc="9E7EB38E">
      <w:numFmt w:val="bullet"/>
      <w:lvlText w:val="•"/>
      <w:lvlJc w:val="left"/>
      <w:pPr>
        <w:ind w:left="4377" w:hanging="567"/>
      </w:pPr>
      <w:rPr>
        <w:rFonts w:hint="default"/>
        <w:lang w:val="en-US" w:eastAsia="en-US" w:bidi="en-US"/>
      </w:rPr>
    </w:lvl>
    <w:lvl w:ilvl="4" w:tplc="D8DC1B70">
      <w:numFmt w:val="bullet"/>
      <w:lvlText w:val="•"/>
      <w:lvlJc w:val="left"/>
      <w:pPr>
        <w:ind w:left="5310" w:hanging="567"/>
      </w:pPr>
      <w:rPr>
        <w:rFonts w:hint="default"/>
        <w:lang w:val="en-US" w:eastAsia="en-US" w:bidi="en-US"/>
      </w:rPr>
    </w:lvl>
    <w:lvl w:ilvl="5" w:tplc="E87A5878">
      <w:numFmt w:val="bullet"/>
      <w:lvlText w:val="•"/>
      <w:lvlJc w:val="left"/>
      <w:pPr>
        <w:ind w:left="6242" w:hanging="567"/>
      </w:pPr>
      <w:rPr>
        <w:rFonts w:hint="default"/>
        <w:lang w:val="en-US" w:eastAsia="en-US" w:bidi="en-US"/>
      </w:rPr>
    </w:lvl>
    <w:lvl w:ilvl="6" w:tplc="8F86992A">
      <w:numFmt w:val="bullet"/>
      <w:lvlText w:val="•"/>
      <w:lvlJc w:val="left"/>
      <w:pPr>
        <w:ind w:left="7175" w:hanging="567"/>
      </w:pPr>
      <w:rPr>
        <w:rFonts w:hint="default"/>
        <w:lang w:val="en-US" w:eastAsia="en-US" w:bidi="en-US"/>
      </w:rPr>
    </w:lvl>
    <w:lvl w:ilvl="7" w:tplc="8460F060">
      <w:numFmt w:val="bullet"/>
      <w:lvlText w:val="•"/>
      <w:lvlJc w:val="left"/>
      <w:pPr>
        <w:ind w:left="8107" w:hanging="567"/>
      </w:pPr>
      <w:rPr>
        <w:rFonts w:hint="default"/>
        <w:lang w:val="en-US" w:eastAsia="en-US" w:bidi="en-US"/>
      </w:rPr>
    </w:lvl>
    <w:lvl w:ilvl="8" w:tplc="2206A7DA">
      <w:numFmt w:val="bullet"/>
      <w:lvlText w:val="•"/>
      <w:lvlJc w:val="left"/>
      <w:pPr>
        <w:ind w:left="9040" w:hanging="567"/>
      </w:pPr>
      <w:rPr>
        <w:rFonts w:hint="default"/>
        <w:lang w:val="en-US" w:eastAsia="en-US" w:bidi="en-US"/>
      </w:rPr>
    </w:lvl>
  </w:abstractNum>
  <w:abstractNum w:abstractNumId="45" w15:restartNumberingAfterBreak="0">
    <w:nsid w:val="1D655EC3"/>
    <w:multiLevelType w:val="hybridMultilevel"/>
    <w:tmpl w:val="401028C0"/>
    <w:lvl w:ilvl="0" w:tplc="DB62E638">
      <w:numFmt w:val="bullet"/>
      <w:lvlText w:val="•"/>
      <w:lvlJc w:val="left"/>
      <w:pPr>
        <w:ind w:left="453" w:hanging="341"/>
      </w:pPr>
      <w:rPr>
        <w:rFonts w:ascii="Raleway" w:eastAsia="Raleway" w:hAnsi="Raleway" w:cs="Raleway" w:hint="default"/>
        <w:color w:val="231F20"/>
        <w:spacing w:val="-6"/>
        <w:w w:val="88"/>
        <w:sz w:val="20"/>
        <w:szCs w:val="20"/>
        <w:lang w:val="en-US" w:eastAsia="en-US" w:bidi="en-US"/>
      </w:rPr>
    </w:lvl>
    <w:lvl w:ilvl="1" w:tplc="A5B213B8">
      <w:numFmt w:val="bullet"/>
      <w:lvlText w:val="•"/>
      <w:lvlJc w:val="left"/>
      <w:pPr>
        <w:ind w:left="1015" w:hanging="341"/>
      </w:pPr>
      <w:rPr>
        <w:rFonts w:hint="default"/>
        <w:lang w:val="en-US" w:eastAsia="en-US" w:bidi="en-US"/>
      </w:rPr>
    </w:lvl>
    <w:lvl w:ilvl="2" w:tplc="C478AB00">
      <w:numFmt w:val="bullet"/>
      <w:lvlText w:val="•"/>
      <w:lvlJc w:val="left"/>
      <w:pPr>
        <w:ind w:left="1571" w:hanging="341"/>
      </w:pPr>
      <w:rPr>
        <w:rFonts w:hint="default"/>
        <w:lang w:val="en-US" w:eastAsia="en-US" w:bidi="en-US"/>
      </w:rPr>
    </w:lvl>
    <w:lvl w:ilvl="3" w:tplc="B426CC08">
      <w:numFmt w:val="bullet"/>
      <w:lvlText w:val="•"/>
      <w:lvlJc w:val="left"/>
      <w:pPr>
        <w:ind w:left="2127" w:hanging="341"/>
      </w:pPr>
      <w:rPr>
        <w:rFonts w:hint="default"/>
        <w:lang w:val="en-US" w:eastAsia="en-US" w:bidi="en-US"/>
      </w:rPr>
    </w:lvl>
    <w:lvl w:ilvl="4" w:tplc="F02421D6">
      <w:numFmt w:val="bullet"/>
      <w:lvlText w:val="•"/>
      <w:lvlJc w:val="left"/>
      <w:pPr>
        <w:ind w:left="2682" w:hanging="341"/>
      </w:pPr>
      <w:rPr>
        <w:rFonts w:hint="default"/>
        <w:lang w:val="en-US" w:eastAsia="en-US" w:bidi="en-US"/>
      </w:rPr>
    </w:lvl>
    <w:lvl w:ilvl="5" w:tplc="8ED88744">
      <w:numFmt w:val="bullet"/>
      <w:lvlText w:val="•"/>
      <w:lvlJc w:val="left"/>
      <w:pPr>
        <w:ind w:left="3238" w:hanging="341"/>
      </w:pPr>
      <w:rPr>
        <w:rFonts w:hint="default"/>
        <w:lang w:val="en-US" w:eastAsia="en-US" w:bidi="en-US"/>
      </w:rPr>
    </w:lvl>
    <w:lvl w:ilvl="6" w:tplc="DD3267B6">
      <w:numFmt w:val="bullet"/>
      <w:lvlText w:val="•"/>
      <w:lvlJc w:val="left"/>
      <w:pPr>
        <w:ind w:left="3794" w:hanging="341"/>
      </w:pPr>
      <w:rPr>
        <w:rFonts w:hint="default"/>
        <w:lang w:val="en-US" w:eastAsia="en-US" w:bidi="en-US"/>
      </w:rPr>
    </w:lvl>
    <w:lvl w:ilvl="7" w:tplc="2F145692">
      <w:numFmt w:val="bullet"/>
      <w:lvlText w:val="•"/>
      <w:lvlJc w:val="left"/>
      <w:pPr>
        <w:ind w:left="4349" w:hanging="341"/>
      </w:pPr>
      <w:rPr>
        <w:rFonts w:hint="default"/>
        <w:lang w:val="en-US" w:eastAsia="en-US" w:bidi="en-US"/>
      </w:rPr>
    </w:lvl>
    <w:lvl w:ilvl="8" w:tplc="82465618">
      <w:numFmt w:val="bullet"/>
      <w:lvlText w:val="•"/>
      <w:lvlJc w:val="left"/>
      <w:pPr>
        <w:ind w:left="4905" w:hanging="341"/>
      </w:pPr>
      <w:rPr>
        <w:rFonts w:hint="default"/>
        <w:lang w:val="en-US" w:eastAsia="en-US" w:bidi="en-US"/>
      </w:rPr>
    </w:lvl>
  </w:abstractNum>
  <w:abstractNum w:abstractNumId="46" w15:restartNumberingAfterBreak="0">
    <w:nsid w:val="1D8E0880"/>
    <w:multiLevelType w:val="hybridMultilevel"/>
    <w:tmpl w:val="6E900B42"/>
    <w:lvl w:ilvl="0" w:tplc="40E60ECA">
      <w:start w:val="1"/>
      <w:numFmt w:val="lowerLetter"/>
      <w:lvlText w:val="%1."/>
      <w:lvlJc w:val="left"/>
      <w:pPr>
        <w:ind w:left="553" w:hanging="554"/>
        <w:jc w:val="left"/>
      </w:pPr>
      <w:rPr>
        <w:rFonts w:ascii="Trebuchet MS" w:eastAsia="Trebuchet MS" w:hAnsi="Trebuchet MS" w:cs="Trebuchet MS" w:hint="default"/>
        <w:color w:val="231F20"/>
        <w:spacing w:val="0"/>
        <w:w w:val="55"/>
        <w:sz w:val="20"/>
        <w:szCs w:val="20"/>
        <w:lang w:val="en-US" w:eastAsia="en-US" w:bidi="en-US"/>
      </w:rPr>
    </w:lvl>
    <w:lvl w:ilvl="1" w:tplc="D2409A82">
      <w:numFmt w:val="bullet"/>
      <w:lvlText w:val="•"/>
      <w:lvlJc w:val="left"/>
      <w:pPr>
        <w:ind w:left="1245" w:hanging="554"/>
      </w:pPr>
      <w:rPr>
        <w:rFonts w:hint="default"/>
        <w:lang w:val="en-US" w:eastAsia="en-US" w:bidi="en-US"/>
      </w:rPr>
    </w:lvl>
    <w:lvl w:ilvl="2" w:tplc="060094B8">
      <w:numFmt w:val="bullet"/>
      <w:lvlText w:val="•"/>
      <w:lvlJc w:val="left"/>
      <w:pPr>
        <w:ind w:left="1931" w:hanging="554"/>
      </w:pPr>
      <w:rPr>
        <w:rFonts w:hint="default"/>
        <w:lang w:val="en-US" w:eastAsia="en-US" w:bidi="en-US"/>
      </w:rPr>
    </w:lvl>
    <w:lvl w:ilvl="3" w:tplc="DF4847AC">
      <w:numFmt w:val="bullet"/>
      <w:lvlText w:val="•"/>
      <w:lvlJc w:val="left"/>
      <w:pPr>
        <w:ind w:left="2616" w:hanging="554"/>
      </w:pPr>
      <w:rPr>
        <w:rFonts w:hint="default"/>
        <w:lang w:val="en-US" w:eastAsia="en-US" w:bidi="en-US"/>
      </w:rPr>
    </w:lvl>
    <w:lvl w:ilvl="4" w:tplc="EFC87818">
      <w:numFmt w:val="bullet"/>
      <w:lvlText w:val="•"/>
      <w:lvlJc w:val="left"/>
      <w:pPr>
        <w:ind w:left="3302" w:hanging="554"/>
      </w:pPr>
      <w:rPr>
        <w:rFonts w:hint="default"/>
        <w:lang w:val="en-US" w:eastAsia="en-US" w:bidi="en-US"/>
      </w:rPr>
    </w:lvl>
    <w:lvl w:ilvl="5" w:tplc="C340F1AE">
      <w:numFmt w:val="bullet"/>
      <w:lvlText w:val="•"/>
      <w:lvlJc w:val="left"/>
      <w:pPr>
        <w:ind w:left="3988" w:hanging="554"/>
      </w:pPr>
      <w:rPr>
        <w:rFonts w:hint="default"/>
        <w:lang w:val="en-US" w:eastAsia="en-US" w:bidi="en-US"/>
      </w:rPr>
    </w:lvl>
    <w:lvl w:ilvl="6" w:tplc="52CCBB50">
      <w:numFmt w:val="bullet"/>
      <w:lvlText w:val="•"/>
      <w:lvlJc w:val="left"/>
      <w:pPr>
        <w:ind w:left="4673" w:hanging="554"/>
      </w:pPr>
      <w:rPr>
        <w:rFonts w:hint="default"/>
        <w:lang w:val="en-US" w:eastAsia="en-US" w:bidi="en-US"/>
      </w:rPr>
    </w:lvl>
    <w:lvl w:ilvl="7" w:tplc="8FCC02F4">
      <w:numFmt w:val="bullet"/>
      <w:lvlText w:val="•"/>
      <w:lvlJc w:val="left"/>
      <w:pPr>
        <w:ind w:left="5359" w:hanging="554"/>
      </w:pPr>
      <w:rPr>
        <w:rFonts w:hint="default"/>
        <w:lang w:val="en-US" w:eastAsia="en-US" w:bidi="en-US"/>
      </w:rPr>
    </w:lvl>
    <w:lvl w:ilvl="8" w:tplc="CC0C7324">
      <w:numFmt w:val="bullet"/>
      <w:lvlText w:val="•"/>
      <w:lvlJc w:val="left"/>
      <w:pPr>
        <w:ind w:left="6044" w:hanging="554"/>
      </w:pPr>
      <w:rPr>
        <w:rFonts w:hint="default"/>
        <w:lang w:val="en-US" w:eastAsia="en-US" w:bidi="en-US"/>
      </w:rPr>
    </w:lvl>
  </w:abstractNum>
  <w:abstractNum w:abstractNumId="47" w15:restartNumberingAfterBreak="0">
    <w:nsid w:val="1D9F136C"/>
    <w:multiLevelType w:val="hybridMultilevel"/>
    <w:tmpl w:val="AD4853CA"/>
    <w:lvl w:ilvl="0" w:tplc="DEF2927C">
      <w:numFmt w:val="bullet"/>
      <w:lvlText w:val="•"/>
      <w:lvlJc w:val="left"/>
      <w:pPr>
        <w:ind w:left="453" w:hanging="341"/>
      </w:pPr>
      <w:rPr>
        <w:rFonts w:ascii="Raleway" w:eastAsia="Raleway" w:hAnsi="Raleway" w:cs="Raleway" w:hint="default"/>
        <w:color w:val="231F20"/>
        <w:spacing w:val="-19"/>
        <w:w w:val="100"/>
        <w:sz w:val="20"/>
        <w:szCs w:val="20"/>
        <w:lang w:val="en-US" w:eastAsia="en-US" w:bidi="en-US"/>
      </w:rPr>
    </w:lvl>
    <w:lvl w:ilvl="1" w:tplc="1CE250C6">
      <w:numFmt w:val="bullet"/>
      <w:lvlText w:val="•"/>
      <w:lvlJc w:val="left"/>
      <w:pPr>
        <w:ind w:left="722" w:hanging="341"/>
      </w:pPr>
      <w:rPr>
        <w:rFonts w:hint="default"/>
        <w:lang w:val="en-US" w:eastAsia="en-US" w:bidi="en-US"/>
      </w:rPr>
    </w:lvl>
    <w:lvl w:ilvl="2" w:tplc="4A561B34">
      <w:numFmt w:val="bullet"/>
      <w:lvlText w:val="•"/>
      <w:lvlJc w:val="left"/>
      <w:pPr>
        <w:ind w:left="985" w:hanging="341"/>
      </w:pPr>
      <w:rPr>
        <w:rFonts w:hint="default"/>
        <w:lang w:val="en-US" w:eastAsia="en-US" w:bidi="en-US"/>
      </w:rPr>
    </w:lvl>
    <w:lvl w:ilvl="3" w:tplc="0750C87A">
      <w:numFmt w:val="bullet"/>
      <w:lvlText w:val="•"/>
      <w:lvlJc w:val="left"/>
      <w:pPr>
        <w:ind w:left="1248" w:hanging="341"/>
      </w:pPr>
      <w:rPr>
        <w:rFonts w:hint="default"/>
        <w:lang w:val="en-US" w:eastAsia="en-US" w:bidi="en-US"/>
      </w:rPr>
    </w:lvl>
    <w:lvl w:ilvl="4" w:tplc="7B6C3B9A">
      <w:numFmt w:val="bullet"/>
      <w:lvlText w:val="•"/>
      <w:lvlJc w:val="left"/>
      <w:pPr>
        <w:ind w:left="1511" w:hanging="341"/>
      </w:pPr>
      <w:rPr>
        <w:rFonts w:hint="default"/>
        <w:lang w:val="en-US" w:eastAsia="en-US" w:bidi="en-US"/>
      </w:rPr>
    </w:lvl>
    <w:lvl w:ilvl="5" w:tplc="114E454C">
      <w:numFmt w:val="bullet"/>
      <w:lvlText w:val="•"/>
      <w:lvlJc w:val="left"/>
      <w:pPr>
        <w:ind w:left="1774" w:hanging="341"/>
      </w:pPr>
      <w:rPr>
        <w:rFonts w:hint="default"/>
        <w:lang w:val="en-US" w:eastAsia="en-US" w:bidi="en-US"/>
      </w:rPr>
    </w:lvl>
    <w:lvl w:ilvl="6" w:tplc="F1723FA8">
      <w:numFmt w:val="bullet"/>
      <w:lvlText w:val="•"/>
      <w:lvlJc w:val="left"/>
      <w:pPr>
        <w:ind w:left="2037" w:hanging="341"/>
      </w:pPr>
      <w:rPr>
        <w:rFonts w:hint="default"/>
        <w:lang w:val="en-US" w:eastAsia="en-US" w:bidi="en-US"/>
      </w:rPr>
    </w:lvl>
    <w:lvl w:ilvl="7" w:tplc="89B8D13E">
      <w:numFmt w:val="bullet"/>
      <w:lvlText w:val="•"/>
      <w:lvlJc w:val="left"/>
      <w:pPr>
        <w:ind w:left="2300" w:hanging="341"/>
      </w:pPr>
      <w:rPr>
        <w:rFonts w:hint="default"/>
        <w:lang w:val="en-US" w:eastAsia="en-US" w:bidi="en-US"/>
      </w:rPr>
    </w:lvl>
    <w:lvl w:ilvl="8" w:tplc="BB5E9C50">
      <w:numFmt w:val="bullet"/>
      <w:lvlText w:val="•"/>
      <w:lvlJc w:val="left"/>
      <w:pPr>
        <w:ind w:left="2563" w:hanging="341"/>
      </w:pPr>
      <w:rPr>
        <w:rFonts w:hint="default"/>
        <w:lang w:val="en-US" w:eastAsia="en-US" w:bidi="en-US"/>
      </w:rPr>
    </w:lvl>
  </w:abstractNum>
  <w:abstractNum w:abstractNumId="48" w15:restartNumberingAfterBreak="0">
    <w:nsid w:val="1EA83AC9"/>
    <w:multiLevelType w:val="hybridMultilevel"/>
    <w:tmpl w:val="FDDECE32"/>
    <w:lvl w:ilvl="0" w:tplc="097A01F8">
      <w:start w:val="69"/>
      <w:numFmt w:val="decimal"/>
      <w:lvlText w:val="%1"/>
      <w:lvlJc w:val="left"/>
      <w:pPr>
        <w:ind w:left="1801" w:hanging="794"/>
        <w:jc w:val="left"/>
      </w:pPr>
      <w:rPr>
        <w:rFonts w:ascii="Raleway" w:eastAsia="Raleway" w:hAnsi="Raleway" w:cs="Raleway" w:hint="default"/>
        <w:color w:val="231F20"/>
        <w:spacing w:val="-1"/>
        <w:w w:val="100"/>
        <w:sz w:val="13"/>
        <w:szCs w:val="13"/>
        <w:lang w:val="en-US" w:eastAsia="en-US" w:bidi="en-US"/>
      </w:rPr>
    </w:lvl>
    <w:lvl w:ilvl="1" w:tplc="C2E09160">
      <w:numFmt w:val="bullet"/>
      <w:lvlText w:val="•"/>
      <w:lvlJc w:val="left"/>
      <w:pPr>
        <w:ind w:left="2710" w:hanging="794"/>
      </w:pPr>
      <w:rPr>
        <w:rFonts w:hint="default"/>
        <w:lang w:val="en-US" w:eastAsia="en-US" w:bidi="en-US"/>
      </w:rPr>
    </w:lvl>
    <w:lvl w:ilvl="2" w:tplc="93FC9C00">
      <w:numFmt w:val="bullet"/>
      <w:lvlText w:val="•"/>
      <w:lvlJc w:val="left"/>
      <w:pPr>
        <w:ind w:left="3621" w:hanging="794"/>
      </w:pPr>
      <w:rPr>
        <w:rFonts w:hint="default"/>
        <w:lang w:val="en-US" w:eastAsia="en-US" w:bidi="en-US"/>
      </w:rPr>
    </w:lvl>
    <w:lvl w:ilvl="3" w:tplc="2280E714">
      <w:numFmt w:val="bullet"/>
      <w:lvlText w:val="•"/>
      <w:lvlJc w:val="left"/>
      <w:pPr>
        <w:ind w:left="4531" w:hanging="794"/>
      </w:pPr>
      <w:rPr>
        <w:rFonts w:hint="default"/>
        <w:lang w:val="en-US" w:eastAsia="en-US" w:bidi="en-US"/>
      </w:rPr>
    </w:lvl>
    <w:lvl w:ilvl="4" w:tplc="A29EFAF2">
      <w:numFmt w:val="bullet"/>
      <w:lvlText w:val="•"/>
      <w:lvlJc w:val="left"/>
      <w:pPr>
        <w:ind w:left="5442" w:hanging="794"/>
      </w:pPr>
      <w:rPr>
        <w:rFonts w:hint="default"/>
        <w:lang w:val="en-US" w:eastAsia="en-US" w:bidi="en-US"/>
      </w:rPr>
    </w:lvl>
    <w:lvl w:ilvl="5" w:tplc="C3DC4EF4">
      <w:numFmt w:val="bullet"/>
      <w:lvlText w:val="•"/>
      <w:lvlJc w:val="left"/>
      <w:pPr>
        <w:ind w:left="6352" w:hanging="794"/>
      </w:pPr>
      <w:rPr>
        <w:rFonts w:hint="default"/>
        <w:lang w:val="en-US" w:eastAsia="en-US" w:bidi="en-US"/>
      </w:rPr>
    </w:lvl>
    <w:lvl w:ilvl="6" w:tplc="5AAA91E4">
      <w:numFmt w:val="bullet"/>
      <w:lvlText w:val="•"/>
      <w:lvlJc w:val="left"/>
      <w:pPr>
        <w:ind w:left="7263" w:hanging="794"/>
      </w:pPr>
      <w:rPr>
        <w:rFonts w:hint="default"/>
        <w:lang w:val="en-US" w:eastAsia="en-US" w:bidi="en-US"/>
      </w:rPr>
    </w:lvl>
    <w:lvl w:ilvl="7" w:tplc="7ABE4D84">
      <w:numFmt w:val="bullet"/>
      <w:lvlText w:val="•"/>
      <w:lvlJc w:val="left"/>
      <w:pPr>
        <w:ind w:left="8173" w:hanging="794"/>
      </w:pPr>
      <w:rPr>
        <w:rFonts w:hint="default"/>
        <w:lang w:val="en-US" w:eastAsia="en-US" w:bidi="en-US"/>
      </w:rPr>
    </w:lvl>
    <w:lvl w:ilvl="8" w:tplc="4BF2FFA8">
      <w:numFmt w:val="bullet"/>
      <w:lvlText w:val="•"/>
      <w:lvlJc w:val="left"/>
      <w:pPr>
        <w:ind w:left="9084" w:hanging="794"/>
      </w:pPr>
      <w:rPr>
        <w:rFonts w:hint="default"/>
        <w:lang w:val="en-US" w:eastAsia="en-US" w:bidi="en-US"/>
      </w:rPr>
    </w:lvl>
  </w:abstractNum>
  <w:abstractNum w:abstractNumId="49" w15:restartNumberingAfterBreak="0">
    <w:nsid w:val="1EB113B9"/>
    <w:multiLevelType w:val="hybridMultilevel"/>
    <w:tmpl w:val="907438F6"/>
    <w:lvl w:ilvl="0" w:tplc="87AA0730">
      <w:start w:val="2"/>
      <w:numFmt w:val="lowerLetter"/>
      <w:lvlText w:val="%1."/>
      <w:lvlJc w:val="left"/>
      <w:pPr>
        <w:ind w:left="2481" w:hanging="674"/>
        <w:jc w:val="left"/>
      </w:pPr>
      <w:rPr>
        <w:rFonts w:ascii="Trebuchet MS" w:eastAsia="Trebuchet MS" w:hAnsi="Trebuchet MS" w:cs="Trebuchet MS" w:hint="default"/>
        <w:color w:val="231F20"/>
        <w:spacing w:val="-3"/>
        <w:w w:val="55"/>
        <w:sz w:val="20"/>
        <w:szCs w:val="20"/>
        <w:lang w:val="en-US" w:eastAsia="en-US" w:bidi="en-US"/>
      </w:rPr>
    </w:lvl>
    <w:lvl w:ilvl="1" w:tplc="11821368">
      <w:numFmt w:val="bullet"/>
      <w:lvlText w:val="•"/>
      <w:lvlJc w:val="left"/>
      <w:pPr>
        <w:ind w:left="3161" w:hanging="681"/>
      </w:pPr>
      <w:rPr>
        <w:rFonts w:ascii="Trebuchet MS" w:eastAsia="Trebuchet MS" w:hAnsi="Trebuchet MS" w:cs="Trebuchet MS" w:hint="default"/>
        <w:color w:val="231F20"/>
        <w:w w:val="67"/>
        <w:sz w:val="20"/>
        <w:szCs w:val="20"/>
        <w:lang w:val="en-US" w:eastAsia="en-US" w:bidi="en-US"/>
      </w:rPr>
    </w:lvl>
    <w:lvl w:ilvl="2" w:tplc="FBA2FD94">
      <w:numFmt w:val="bullet"/>
      <w:lvlText w:val="•"/>
      <w:lvlJc w:val="left"/>
      <w:pPr>
        <w:ind w:left="4020" w:hanging="681"/>
      </w:pPr>
      <w:rPr>
        <w:rFonts w:hint="default"/>
        <w:lang w:val="en-US" w:eastAsia="en-US" w:bidi="en-US"/>
      </w:rPr>
    </w:lvl>
    <w:lvl w:ilvl="3" w:tplc="BAD04F04">
      <w:numFmt w:val="bullet"/>
      <w:lvlText w:val="•"/>
      <w:lvlJc w:val="left"/>
      <w:pPr>
        <w:ind w:left="4881" w:hanging="681"/>
      </w:pPr>
      <w:rPr>
        <w:rFonts w:hint="default"/>
        <w:lang w:val="en-US" w:eastAsia="en-US" w:bidi="en-US"/>
      </w:rPr>
    </w:lvl>
    <w:lvl w:ilvl="4" w:tplc="9F669A6E">
      <w:numFmt w:val="bullet"/>
      <w:lvlText w:val="•"/>
      <w:lvlJc w:val="left"/>
      <w:pPr>
        <w:ind w:left="5741" w:hanging="681"/>
      </w:pPr>
      <w:rPr>
        <w:rFonts w:hint="default"/>
        <w:lang w:val="en-US" w:eastAsia="en-US" w:bidi="en-US"/>
      </w:rPr>
    </w:lvl>
    <w:lvl w:ilvl="5" w:tplc="FA8A348A">
      <w:numFmt w:val="bullet"/>
      <w:lvlText w:val="•"/>
      <w:lvlJc w:val="left"/>
      <w:pPr>
        <w:ind w:left="6602" w:hanging="681"/>
      </w:pPr>
      <w:rPr>
        <w:rFonts w:hint="default"/>
        <w:lang w:val="en-US" w:eastAsia="en-US" w:bidi="en-US"/>
      </w:rPr>
    </w:lvl>
    <w:lvl w:ilvl="6" w:tplc="E36A093C">
      <w:numFmt w:val="bullet"/>
      <w:lvlText w:val="•"/>
      <w:lvlJc w:val="left"/>
      <w:pPr>
        <w:ind w:left="7463" w:hanging="681"/>
      </w:pPr>
      <w:rPr>
        <w:rFonts w:hint="default"/>
        <w:lang w:val="en-US" w:eastAsia="en-US" w:bidi="en-US"/>
      </w:rPr>
    </w:lvl>
    <w:lvl w:ilvl="7" w:tplc="96BEA1D6">
      <w:numFmt w:val="bullet"/>
      <w:lvlText w:val="•"/>
      <w:lvlJc w:val="left"/>
      <w:pPr>
        <w:ind w:left="8323" w:hanging="681"/>
      </w:pPr>
      <w:rPr>
        <w:rFonts w:hint="default"/>
        <w:lang w:val="en-US" w:eastAsia="en-US" w:bidi="en-US"/>
      </w:rPr>
    </w:lvl>
    <w:lvl w:ilvl="8" w:tplc="F968AD26">
      <w:numFmt w:val="bullet"/>
      <w:lvlText w:val="•"/>
      <w:lvlJc w:val="left"/>
      <w:pPr>
        <w:ind w:left="9184" w:hanging="681"/>
      </w:pPr>
      <w:rPr>
        <w:rFonts w:hint="default"/>
        <w:lang w:val="en-US" w:eastAsia="en-US" w:bidi="en-US"/>
      </w:rPr>
    </w:lvl>
  </w:abstractNum>
  <w:abstractNum w:abstractNumId="50" w15:restartNumberingAfterBreak="0">
    <w:nsid w:val="1FB63283"/>
    <w:multiLevelType w:val="hybridMultilevel"/>
    <w:tmpl w:val="2E061216"/>
    <w:lvl w:ilvl="0" w:tplc="5CD6E150">
      <w:start w:val="5"/>
      <w:numFmt w:val="decimal"/>
      <w:lvlText w:val="%1."/>
      <w:lvlJc w:val="left"/>
      <w:pPr>
        <w:ind w:left="298" w:hanging="591"/>
        <w:jc w:val="right"/>
      </w:pPr>
      <w:rPr>
        <w:rFonts w:hint="default"/>
        <w:b/>
        <w:bCs/>
        <w:spacing w:val="-15"/>
        <w:w w:val="100"/>
        <w:lang w:val="en-US" w:eastAsia="en-US" w:bidi="en-US"/>
      </w:rPr>
    </w:lvl>
    <w:lvl w:ilvl="1" w:tplc="40F80044">
      <w:numFmt w:val="bullet"/>
      <w:lvlText w:val="•"/>
      <w:lvlJc w:val="left"/>
      <w:pPr>
        <w:ind w:left="2141" w:hanging="341"/>
      </w:pPr>
      <w:rPr>
        <w:rFonts w:ascii="Raleway" w:eastAsia="Raleway" w:hAnsi="Raleway" w:cs="Raleway" w:hint="default"/>
        <w:color w:val="231F20"/>
        <w:spacing w:val="-7"/>
        <w:w w:val="91"/>
        <w:sz w:val="20"/>
        <w:szCs w:val="20"/>
        <w:lang w:val="en-US" w:eastAsia="en-US" w:bidi="en-US"/>
      </w:rPr>
    </w:lvl>
    <w:lvl w:ilvl="2" w:tplc="A88ED7B8">
      <w:numFmt w:val="bullet"/>
      <w:lvlText w:val="•"/>
      <w:lvlJc w:val="left"/>
      <w:pPr>
        <w:ind w:left="3113" w:hanging="341"/>
      </w:pPr>
      <w:rPr>
        <w:rFonts w:hint="default"/>
        <w:lang w:val="en-US" w:eastAsia="en-US" w:bidi="en-US"/>
      </w:rPr>
    </w:lvl>
    <w:lvl w:ilvl="3" w:tplc="2A36AD72">
      <w:numFmt w:val="bullet"/>
      <w:lvlText w:val="•"/>
      <w:lvlJc w:val="left"/>
      <w:pPr>
        <w:ind w:left="4087" w:hanging="341"/>
      </w:pPr>
      <w:rPr>
        <w:rFonts w:hint="default"/>
        <w:lang w:val="en-US" w:eastAsia="en-US" w:bidi="en-US"/>
      </w:rPr>
    </w:lvl>
    <w:lvl w:ilvl="4" w:tplc="81E49252">
      <w:numFmt w:val="bullet"/>
      <w:lvlText w:val="•"/>
      <w:lvlJc w:val="left"/>
      <w:pPr>
        <w:ind w:left="5061" w:hanging="341"/>
      </w:pPr>
      <w:rPr>
        <w:rFonts w:hint="default"/>
        <w:lang w:val="en-US" w:eastAsia="en-US" w:bidi="en-US"/>
      </w:rPr>
    </w:lvl>
    <w:lvl w:ilvl="5" w:tplc="E946A672">
      <w:numFmt w:val="bullet"/>
      <w:lvlText w:val="•"/>
      <w:lvlJc w:val="left"/>
      <w:pPr>
        <w:ind w:left="6035" w:hanging="341"/>
      </w:pPr>
      <w:rPr>
        <w:rFonts w:hint="default"/>
        <w:lang w:val="en-US" w:eastAsia="en-US" w:bidi="en-US"/>
      </w:rPr>
    </w:lvl>
    <w:lvl w:ilvl="6" w:tplc="1110CE7A">
      <w:numFmt w:val="bullet"/>
      <w:lvlText w:val="•"/>
      <w:lvlJc w:val="left"/>
      <w:pPr>
        <w:ind w:left="7009" w:hanging="341"/>
      </w:pPr>
      <w:rPr>
        <w:rFonts w:hint="default"/>
        <w:lang w:val="en-US" w:eastAsia="en-US" w:bidi="en-US"/>
      </w:rPr>
    </w:lvl>
    <w:lvl w:ilvl="7" w:tplc="B8B6A68A">
      <w:numFmt w:val="bullet"/>
      <w:lvlText w:val="•"/>
      <w:lvlJc w:val="left"/>
      <w:pPr>
        <w:ind w:left="7983" w:hanging="341"/>
      </w:pPr>
      <w:rPr>
        <w:rFonts w:hint="default"/>
        <w:lang w:val="en-US" w:eastAsia="en-US" w:bidi="en-US"/>
      </w:rPr>
    </w:lvl>
    <w:lvl w:ilvl="8" w:tplc="77FA1670">
      <w:numFmt w:val="bullet"/>
      <w:lvlText w:val="•"/>
      <w:lvlJc w:val="left"/>
      <w:pPr>
        <w:ind w:left="8957" w:hanging="341"/>
      </w:pPr>
      <w:rPr>
        <w:rFonts w:hint="default"/>
        <w:lang w:val="en-US" w:eastAsia="en-US" w:bidi="en-US"/>
      </w:rPr>
    </w:lvl>
  </w:abstractNum>
  <w:abstractNum w:abstractNumId="51" w15:restartNumberingAfterBreak="0">
    <w:nsid w:val="1FE71C3B"/>
    <w:multiLevelType w:val="hybridMultilevel"/>
    <w:tmpl w:val="87AAEF92"/>
    <w:lvl w:ilvl="0" w:tplc="61E05B14">
      <w:start w:val="112"/>
      <w:numFmt w:val="decimal"/>
      <w:lvlText w:val="%1"/>
      <w:lvlJc w:val="left"/>
      <w:pPr>
        <w:ind w:left="1801" w:hanging="794"/>
        <w:jc w:val="left"/>
      </w:pPr>
      <w:rPr>
        <w:rFonts w:ascii="Raleway" w:eastAsia="Raleway" w:hAnsi="Raleway" w:cs="Raleway" w:hint="default"/>
        <w:color w:val="231F20"/>
        <w:spacing w:val="-2"/>
        <w:w w:val="99"/>
        <w:sz w:val="13"/>
        <w:szCs w:val="13"/>
        <w:lang w:val="en-US" w:eastAsia="en-US" w:bidi="en-US"/>
      </w:rPr>
    </w:lvl>
    <w:lvl w:ilvl="1" w:tplc="9F5ABB72">
      <w:numFmt w:val="bullet"/>
      <w:lvlText w:val="•"/>
      <w:lvlJc w:val="left"/>
      <w:pPr>
        <w:ind w:left="2710" w:hanging="794"/>
      </w:pPr>
      <w:rPr>
        <w:rFonts w:hint="default"/>
        <w:lang w:val="en-US" w:eastAsia="en-US" w:bidi="en-US"/>
      </w:rPr>
    </w:lvl>
    <w:lvl w:ilvl="2" w:tplc="BF326DF2">
      <w:numFmt w:val="bullet"/>
      <w:lvlText w:val="•"/>
      <w:lvlJc w:val="left"/>
      <w:pPr>
        <w:ind w:left="3621" w:hanging="794"/>
      </w:pPr>
      <w:rPr>
        <w:rFonts w:hint="default"/>
        <w:lang w:val="en-US" w:eastAsia="en-US" w:bidi="en-US"/>
      </w:rPr>
    </w:lvl>
    <w:lvl w:ilvl="3" w:tplc="364423A2">
      <w:numFmt w:val="bullet"/>
      <w:lvlText w:val="•"/>
      <w:lvlJc w:val="left"/>
      <w:pPr>
        <w:ind w:left="4531" w:hanging="794"/>
      </w:pPr>
      <w:rPr>
        <w:rFonts w:hint="default"/>
        <w:lang w:val="en-US" w:eastAsia="en-US" w:bidi="en-US"/>
      </w:rPr>
    </w:lvl>
    <w:lvl w:ilvl="4" w:tplc="4F12C018">
      <w:numFmt w:val="bullet"/>
      <w:lvlText w:val="•"/>
      <w:lvlJc w:val="left"/>
      <w:pPr>
        <w:ind w:left="5442" w:hanging="794"/>
      </w:pPr>
      <w:rPr>
        <w:rFonts w:hint="default"/>
        <w:lang w:val="en-US" w:eastAsia="en-US" w:bidi="en-US"/>
      </w:rPr>
    </w:lvl>
    <w:lvl w:ilvl="5" w:tplc="142881C6">
      <w:numFmt w:val="bullet"/>
      <w:lvlText w:val="•"/>
      <w:lvlJc w:val="left"/>
      <w:pPr>
        <w:ind w:left="6352" w:hanging="794"/>
      </w:pPr>
      <w:rPr>
        <w:rFonts w:hint="default"/>
        <w:lang w:val="en-US" w:eastAsia="en-US" w:bidi="en-US"/>
      </w:rPr>
    </w:lvl>
    <w:lvl w:ilvl="6" w:tplc="2FD09436">
      <w:numFmt w:val="bullet"/>
      <w:lvlText w:val="•"/>
      <w:lvlJc w:val="left"/>
      <w:pPr>
        <w:ind w:left="7263" w:hanging="794"/>
      </w:pPr>
      <w:rPr>
        <w:rFonts w:hint="default"/>
        <w:lang w:val="en-US" w:eastAsia="en-US" w:bidi="en-US"/>
      </w:rPr>
    </w:lvl>
    <w:lvl w:ilvl="7" w:tplc="4FD652CA">
      <w:numFmt w:val="bullet"/>
      <w:lvlText w:val="•"/>
      <w:lvlJc w:val="left"/>
      <w:pPr>
        <w:ind w:left="8173" w:hanging="794"/>
      </w:pPr>
      <w:rPr>
        <w:rFonts w:hint="default"/>
        <w:lang w:val="en-US" w:eastAsia="en-US" w:bidi="en-US"/>
      </w:rPr>
    </w:lvl>
    <w:lvl w:ilvl="8" w:tplc="61EC0610">
      <w:numFmt w:val="bullet"/>
      <w:lvlText w:val="•"/>
      <w:lvlJc w:val="left"/>
      <w:pPr>
        <w:ind w:left="9084" w:hanging="794"/>
      </w:pPr>
      <w:rPr>
        <w:rFonts w:hint="default"/>
        <w:lang w:val="en-US" w:eastAsia="en-US" w:bidi="en-US"/>
      </w:rPr>
    </w:lvl>
  </w:abstractNum>
  <w:abstractNum w:abstractNumId="52" w15:restartNumberingAfterBreak="0">
    <w:nsid w:val="204F4000"/>
    <w:multiLevelType w:val="hybridMultilevel"/>
    <w:tmpl w:val="E954D568"/>
    <w:lvl w:ilvl="0" w:tplc="B46ABA0A">
      <w:start w:val="1"/>
      <w:numFmt w:val="decimal"/>
      <w:lvlText w:val="%1"/>
      <w:lvlJc w:val="left"/>
      <w:pPr>
        <w:ind w:left="1801" w:hanging="794"/>
        <w:jc w:val="left"/>
      </w:pPr>
      <w:rPr>
        <w:rFonts w:ascii="Raleway" w:eastAsia="Raleway" w:hAnsi="Raleway" w:cs="Raleway" w:hint="default"/>
        <w:color w:val="231F20"/>
        <w:spacing w:val="-4"/>
        <w:w w:val="100"/>
        <w:sz w:val="13"/>
        <w:szCs w:val="13"/>
        <w:lang w:val="en-US" w:eastAsia="en-US" w:bidi="en-US"/>
      </w:rPr>
    </w:lvl>
    <w:lvl w:ilvl="1" w:tplc="A10A90EA">
      <w:numFmt w:val="bullet"/>
      <w:lvlText w:val="•"/>
      <w:lvlJc w:val="left"/>
      <w:pPr>
        <w:ind w:left="2141" w:hanging="341"/>
      </w:pPr>
      <w:rPr>
        <w:rFonts w:ascii="Raleway" w:eastAsia="Raleway" w:hAnsi="Raleway" w:cs="Raleway" w:hint="default"/>
        <w:color w:val="231F20"/>
        <w:spacing w:val="-7"/>
        <w:w w:val="100"/>
        <w:sz w:val="20"/>
        <w:szCs w:val="20"/>
        <w:lang w:val="en-US" w:eastAsia="en-US" w:bidi="en-US"/>
      </w:rPr>
    </w:lvl>
    <w:lvl w:ilvl="2" w:tplc="DB84DF8E">
      <w:numFmt w:val="bullet"/>
      <w:lvlText w:val="•"/>
      <w:lvlJc w:val="left"/>
      <w:pPr>
        <w:ind w:left="3113" w:hanging="341"/>
      </w:pPr>
      <w:rPr>
        <w:rFonts w:hint="default"/>
        <w:lang w:val="en-US" w:eastAsia="en-US" w:bidi="en-US"/>
      </w:rPr>
    </w:lvl>
    <w:lvl w:ilvl="3" w:tplc="C8F27696">
      <w:numFmt w:val="bullet"/>
      <w:lvlText w:val="•"/>
      <w:lvlJc w:val="left"/>
      <w:pPr>
        <w:ind w:left="4087" w:hanging="341"/>
      </w:pPr>
      <w:rPr>
        <w:rFonts w:hint="default"/>
        <w:lang w:val="en-US" w:eastAsia="en-US" w:bidi="en-US"/>
      </w:rPr>
    </w:lvl>
    <w:lvl w:ilvl="4" w:tplc="B36A6384">
      <w:numFmt w:val="bullet"/>
      <w:lvlText w:val="•"/>
      <w:lvlJc w:val="left"/>
      <w:pPr>
        <w:ind w:left="5061" w:hanging="341"/>
      </w:pPr>
      <w:rPr>
        <w:rFonts w:hint="default"/>
        <w:lang w:val="en-US" w:eastAsia="en-US" w:bidi="en-US"/>
      </w:rPr>
    </w:lvl>
    <w:lvl w:ilvl="5" w:tplc="49001144">
      <w:numFmt w:val="bullet"/>
      <w:lvlText w:val="•"/>
      <w:lvlJc w:val="left"/>
      <w:pPr>
        <w:ind w:left="6035" w:hanging="341"/>
      </w:pPr>
      <w:rPr>
        <w:rFonts w:hint="default"/>
        <w:lang w:val="en-US" w:eastAsia="en-US" w:bidi="en-US"/>
      </w:rPr>
    </w:lvl>
    <w:lvl w:ilvl="6" w:tplc="A570268C">
      <w:numFmt w:val="bullet"/>
      <w:lvlText w:val="•"/>
      <w:lvlJc w:val="left"/>
      <w:pPr>
        <w:ind w:left="7009" w:hanging="341"/>
      </w:pPr>
      <w:rPr>
        <w:rFonts w:hint="default"/>
        <w:lang w:val="en-US" w:eastAsia="en-US" w:bidi="en-US"/>
      </w:rPr>
    </w:lvl>
    <w:lvl w:ilvl="7" w:tplc="46A80A94">
      <w:numFmt w:val="bullet"/>
      <w:lvlText w:val="•"/>
      <w:lvlJc w:val="left"/>
      <w:pPr>
        <w:ind w:left="7983" w:hanging="341"/>
      </w:pPr>
      <w:rPr>
        <w:rFonts w:hint="default"/>
        <w:lang w:val="en-US" w:eastAsia="en-US" w:bidi="en-US"/>
      </w:rPr>
    </w:lvl>
    <w:lvl w:ilvl="8" w:tplc="3E5E2680">
      <w:numFmt w:val="bullet"/>
      <w:lvlText w:val="•"/>
      <w:lvlJc w:val="left"/>
      <w:pPr>
        <w:ind w:left="8957" w:hanging="341"/>
      </w:pPr>
      <w:rPr>
        <w:rFonts w:hint="default"/>
        <w:lang w:val="en-US" w:eastAsia="en-US" w:bidi="en-US"/>
      </w:rPr>
    </w:lvl>
  </w:abstractNum>
  <w:abstractNum w:abstractNumId="53" w15:restartNumberingAfterBreak="0">
    <w:nsid w:val="206D2C8A"/>
    <w:multiLevelType w:val="hybridMultilevel"/>
    <w:tmpl w:val="A9A0D2D4"/>
    <w:lvl w:ilvl="0" w:tplc="C34A9B00">
      <w:start w:val="2"/>
      <w:numFmt w:val="lowerLetter"/>
      <w:lvlText w:val="%1."/>
      <w:lvlJc w:val="left"/>
      <w:pPr>
        <w:ind w:left="2481" w:hanging="674"/>
        <w:jc w:val="left"/>
      </w:pPr>
      <w:rPr>
        <w:rFonts w:ascii="Trebuchet MS" w:eastAsia="Trebuchet MS" w:hAnsi="Trebuchet MS" w:cs="Trebuchet MS" w:hint="default"/>
        <w:color w:val="231F20"/>
        <w:spacing w:val="-3"/>
        <w:w w:val="55"/>
        <w:sz w:val="20"/>
        <w:szCs w:val="20"/>
        <w:lang w:val="en-US" w:eastAsia="en-US" w:bidi="en-US"/>
      </w:rPr>
    </w:lvl>
    <w:lvl w:ilvl="1" w:tplc="D0C0E01C">
      <w:numFmt w:val="bullet"/>
      <w:lvlText w:val="•"/>
      <w:lvlJc w:val="left"/>
      <w:pPr>
        <w:ind w:left="3161" w:hanging="681"/>
      </w:pPr>
      <w:rPr>
        <w:rFonts w:ascii="Trebuchet MS" w:eastAsia="Trebuchet MS" w:hAnsi="Trebuchet MS" w:cs="Trebuchet MS" w:hint="default"/>
        <w:color w:val="231F20"/>
        <w:w w:val="67"/>
        <w:sz w:val="20"/>
        <w:szCs w:val="20"/>
        <w:lang w:val="en-US" w:eastAsia="en-US" w:bidi="en-US"/>
      </w:rPr>
    </w:lvl>
    <w:lvl w:ilvl="2" w:tplc="3DA09B76">
      <w:numFmt w:val="bullet"/>
      <w:lvlText w:val="•"/>
      <w:lvlJc w:val="left"/>
      <w:pPr>
        <w:ind w:left="4020" w:hanging="681"/>
      </w:pPr>
      <w:rPr>
        <w:rFonts w:hint="default"/>
        <w:lang w:val="en-US" w:eastAsia="en-US" w:bidi="en-US"/>
      </w:rPr>
    </w:lvl>
    <w:lvl w:ilvl="3" w:tplc="996654D0">
      <w:numFmt w:val="bullet"/>
      <w:lvlText w:val="•"/>
      <w:lvlJc w:val="left"/>
      <w:pPr>
        <w:ind w:left="4881" w:hanging="681"/>
      </w:pPr>
      <w:rPr>
        <w:rFonts w:hint="default"/>
        <w:lang w:val="en-US" w:eastAsia="en-US" w:bidi="en-US"/>
      </w:rPr>
    </w:lvl>
    <w:lvl w:ilvl="4" w:tplc="1A4E72A0">
      <w:numFmt w:val="bullet"/>
      <w:lvlText w:val="•"/>
      <w:lvlJc w:val="left"/>
      <w:pPr>
        <w:ind w:left="5741" w:hanging="681"/>
      </w:pPr>
      <w:rPr>
        <w:rFonts w:hint="default"/>
        <w:lang w:val="en-US" w:eastAsia="en-US" w:bidi="en-US"/>
      </w:rPr>
    </w:lvl>
    <w:lvl w:ilvl="5" w:tplc="F1DAC316">
      <w:numFmt w:val="bullet"/>
      <w:lvlText w:val="•"/>
      <w:lvlJc w:val="left"/>
      <w:pPr>
        <w:ind w:left="6602" w:hanging="681"/>
      </w:pPr>
      <w:rPr>
        <w:rFonts w:hint="default"/>
        <w:lang w:val="en-US" w:eastAsia="en-US" w:bidi="en-US"/>
      </w:rPr>
    </w:lvl>
    <w:lvl w:ilvl="6" w:tplc="D14CF48E">
      <w:numFmt w:val="bullet"/>
      <w:lvlText w:val="•"/>
      <w:lvlJc w:val="left"/>
      <w:pPr>
        <w:ind w:left="7463" w:hanging="681"/>
      </w:pPr>
      <w:rPr>
        <w:rFonts w:hint="default"/>
        <w:lang w:val="en-US" w:eastAsia="en-US" w:bidi="en-US"/>
      </w:rPr>
    </w:lvl>
    <w:lvl w:ilvl="7" w:tplc="7FE27A4E">
      <w:numFmt w:val="bullet"/>
      <w:lvlText w:val="•"/>
      <w:lvlJc w:val="left"/>
      <w:pPr>
        <w:ind w:left="8323" w:hanging="681"/>
      </w:pPr>
      <w:rPr>
        <w:rFonts w:hint="default"/>
        <w:lang w:val="en-US" w:eastAsia="en-US" w:bidi="en-US"/>
      </w:rPr>
    </w:lvl>
    <w:lvl w:ilvl="8" w:tplc="74208180">
      <w:numFmt w:val="bullet"/>
      <w:lvlText w:val="•"/>
      <w:lvlJc w:val="left"/>
      <w:pPr>
        <w:ind w:left="9184" w:hanging="681"/>
      </w:pPr>
      <w:rPr>
        <w:rFonts w:hint="default"/>
        <w:lang w:val="en-US" w:eastAsia="en-US" w:bidi="en-US"/>
      </w:rPr>
    </w:lvl>
  </w:abstractNum>
  <w:abstractNum w:abstractNumId="54" w15:restartNumberingAfterBreak="0">
    <w:nsid w:val="21723FD2"/>
    <w:multiLevelType w:val="hybridMultilevel"/>
    <w:tmpl w:val="5C6E7FA4"/>
    <w:lvl w:ilvl="0" w:tplc="15663E1A">
      <w:numFmt w:val="bullet"/>
      <w:lvlText w:val="•"/>
      <w:lvlJc w:val="left"/>
      <w:pPr>
        <w:ind w:left="453" w:hanging="341"/>
      </w:pPr>
      <w:rPr>
        <w:rFonts w:ascii="Raleway" w:eastAsia="Raleway" w:hAnsi="Raleway" w:cs="Raleway" w:hint="default"/>
        <w:color w:val="231F20"/>
        <w:spacing w:val="-6"/>
        <w:w w:val="100"/>
        <w:sz w:val="20"/>
        <w:szCs w:val="20"/>
        <w:lang w:val="en-US" w:eastAsia="en-US" w:bidi="en-US"/>
      </w:rPr>
    </w:lvl>
    <w:lvl w:ilvl="1" w:tplc="CBDC3D42">
      <w:numFmt w:val="bullet"/>
      <w:lvlText w:val="•"/>
      <w:lvlJc w:val="left"/>
      <w:pPr>
        <w:ind w:left="821" w:hanging="341"/>
      </w:pPr>
      <w:rPr>
        <w:rFonts w:hint="default"/>
        <w:lang w:val="en-US" w:eastAsia="en-US" w:bidi="en-US"/>
      </w:rPr>
    </w:lvl>
    <w:lvl w:ilvl="2" w:tplc="94F4BE74">
      <w:numFmt w:val="bullet"/>
      <w:lvlText w:val="•"/>
      <w:lvlJc w:val="left"/>
      <w:pPr>
        <w:ind w:left="1182" w:hanging="341"/>
      </w:pPr>
      <w:rPr>
        <w:rFonts w:hint="default"/>
        <w:lang w:val="en-US" w:eastAsia="en-US" w:bidi="en-US"/>
      </w:rPr>
    </w:lvl>
    <w:lvl w:ilvl="3" w:tplc="EC62F764">
      <w:numFmt w:val="bullet"/>
      <w:lvlText w:val="•"/>
      <w:lvlJc w:val="left"/>
      <w:pPr>
        <w:ind w:left="1543" w:hanging="341"/>
      </w:pPr>
      <w:rPr>
        <w:rFonts w:hint="default"/>
        <w:lang w:val="en-US" w:eastAsia="en-US" w:bidi="en-US"/>
      </w:rPr>
    </w:lvl>
    <w:lvl w:ilvl="4" w:tplc="3C748A1A">
      <w:numFmt w:val="bullet"/>
      <w:lvlText w:val="•"/>
      <w:lvlJc w:val="left"/>
      <w:pPr>
        <w:ind w:left="1904" w:hanging="341"/>
      </w:pPr>
      <w:rPr>
        <w:rFonts w:hint="default"/>
        <w:lang w:val="en-US" w:eastAsia="en-US" w:bidi="en-US"/>
      </w:rPr>
    </w:lvl>
    <w:lvl w:ilvl="5" w:tplc="7C5C5A46">
      <w:numFmt w:val="bullet"/>
      <w:lvlText w:val="•"/>
      <w:lvlJc w:val="left"/>
      <w:pPr>
        <w:ind w:left="2266" w:hanging="341"/>
      </w:pPr>
      <w:rPr>
        <w:rFonts w:hint="default"/>
        <w:lang w:val="en-US" w:eastAsia="en-US" w:bidi="en-US"/>
      </w:rPr>
    </w:lvl>
    <w:lvl w:ilvl="6" w:tplc="891EEF54">
      <w:numFmt w:val="bullet"/>
      <w:lvlText w:val="•"/>
      <w:lvlJc w:val="left"/>
      <w:pPr>
        <w:ind w:left="2627" w:hanging="341"/>
      </w:pPr>
      <w:rPr>
        <w:rFonts w:hint="default"/>
        <w:lang w:val="en-US" w:eastAsia="en-US" w:bidi="en-US"/>
      </w:rPr>
    </w:lvl>
    <w:lvl w:ilvl="7" w:tplc="0E122F02">
      <w:numFmt w:val="bullet"/>
      <w:lvlText w:val="•"/>
      <w:lvlJc w:val="left"/>
      <w:pPr>
        <w:ind w:left="2988" w:hanging="341"/>
      </w:pPr>
      <w:rPr>
        <w:rFonts w:hint="default"/>
        <w:lang w:val="en-US" w:eastAsia="en-US" w:bidi="en-US"/>
      </w:rPr>
    </w:lvl>
    <w:lvl w:ilvl="8" w:tplc="BE60F092">
      <w:numFmt w:val="bullet"/>
      <w:lvlText w:val="•"/>
      <w:lvlJc w:val="left"/>
      <w:pPr>
        <w:ind w:left="3349" w:hanging="341"/>
      </w:pPr>
      <w:rPr>
        <w:rFonts w:hint="default"/>
        <w:lang w:val="en-US" w:eastAsia="en-US" w:bidi="en-US"/>
      </w:rPr>
    </w:lvl>
  </w:abstractNum>
  <w:abstractNum w:abstractNumId="55" w15:restartNumberingAfterBreak="0">
    <w:nsid w:val="23F0583E"/>
    <w:multiLevelType w:val="hybridMultilevel"/>
    <w:tmpl w:val="FC9213C4"/>
    <w:lvl w:ilvl="0" w:tplc="A9E8C05A">
      <w:start w:val="134"/>
      <w:numFmt w:val="decimal"/>
      <w:lvlText w:val="%1"/>
      <w:lvlJc w:val="left"/>
      <w:pPr>
        <w:ind w:left="933" w:hanging="794"/>
        <w:jc w:val="left"/>
      </w:pPr>
      <w:rPr>
        <w:rFonts w:ascii="Raleway" w:eastAsia="Raleway" w:hAnsi="Raleway" w:cs="Raleway" w:hint="default"/>
        <w:color w:val="231F20"/>
        <w:spacing w:val="-1"/>
        <w:w w:val="99"/>
        <w:sz w:val="13"/>
        <w:szCs w:val="13"/>
        <w:lang w:val="en-US" w:eastAsia="en-US" w:bidi="en-US"/>
      </w:rPr>
    </w:lvl>
    <w:lvl w:ilvl="1" w:tplc="D646E078">
      <w:numFmt w:val="bullet"/>
      <w:lvlText w:val="•"/>
      <w:lvlJc w:val="left"/>
      <w:pPr>
        <w:ind w:left="1849" w:hanging="794"/>
      </w:pPr>
      <w:rPr>
        <w:rFonts w:hint="default"/>
        <w:lang w:val="en-US" w:eastAsia="en-US" w:bidi="en-US"/>
      </w:rPr>
    </w:lvl>
    <w:lvl w:ilvl="2" w:tplc="F308095C">
      <w:numFmt w:val="bullet"/>
      <w:lvlText w:val="•"/>
      <w:lvlJc w:val="left"/>
      <w:pPr>
        <w:ind w:left="2759" w:hanging="794"/>
      </w:pPr>
      <w:rPr>
        <w:rFonts w:hint="default"/>
        <w:lang w:val="en-US" w:eastAsia="en-US" w:bidi="en-US"/>
      </w:rPr>
    </w:lvl>
    <w:lvl w:ilvl="3" w:tplc="65503DB2">
      <w:numFmt w:val="bullet"/>
      <w:lvlText w:val="•"/>
      <w:lvlJc w:val="left"/>
      <w:pPr>
        <w:ind w:left="3669" w:hanging="794"/>
      </w:pPr>
      <w:rPr>
        <w:rFonts w:hint="default"/>
        <w:lang w:val="en-US" w:eastAsia="en-US" w:bidi="en-US"/>
      </w:rPr>
    </w:lvl>
    <w:lvl w:ilvl="4" w:tplc="398616F6">
      <w:numFmt w:val="bullet"/>
      <w:lvlText w:val="•"/>
      <w:lvlJc w:val="left"/>
      <w:pPr>
        <w:ind w:left="4579" w:hanging="794"/>
      </w:pPr>
      <w:rPr>
        <w:rFonts w:hint="default"/>
        <w:lang w:val="en-US" w:eastAsia="en-US" w:bidi="en-US"/>
      </w:rPr>
    </w:lvl>
    <w:lvl w:ilvl="5" w:tplc="4628DE0A">
      <w:numFmt w:val="bullet"/>
      <w:lvlText w:val="•"/>
      <w:lvlJc w:val="left"/>
      <w:pPr>
        <w:ind w:left="5489" w:hanging="794"/>
      </w:pPr>
      <w:rPr>
        <w:rFonts w:hint="default"/>
        <w:lang w:val="en-US" w:eastAsia="en-US" w:bidi="en-US"/>
      </w:rPr>
    </w:lvl>
    <w:lvl w:ilvl="6" w:tplc="DB62DFF0">
      <w:numFmt w:val="bullet"/>
      <w:lvlText w:val="•"/>
      <w:lvlJc w:val="left"/>
      <w:pPr>
        <w:ind w:left="6398" w:hanging="794"/>
      </w:pPr>
      <w:rPr>
        <w:rFonts w:hint="default"/>
        <w:lang w:val="en-US" w:eastAsia="en-US" w:bidi="en-US"/>
      </w:rPr>
    </w:lvl>
    <w:lvl w:ilvl="7" w:tplc="9CB66E36">
      <w:numFmt w:val="bullet"/>
      <w:lvlText w:val="•"/>
      <w:lvlJc w:val="left"/>
      <w:pPr>
        <w:ind w:left="7308" w:hanging="794"/>
      </w:pPr>
      <w:rPr>
        <w:rFonts w:hint="default"/>
        <w:lang w:val="en-US" w:eastAsia="en-US" w:bidi="en-US"/>
      </w:rPr>
    </w:lvl>
    <w:lvl w:ilvl="8" w:tplc="8ABA63AA">
      <w:numFmt w:val="bullet"/>
      <w:lvlText w:val="•"/>
      <w:lvlJc w:val="left"/>
      <w:pPr>
        <w:ind w:left="8218" w:hanging="794"/>
      </w:pPr>
      <w:rPr>
        <w:rFonts w:hint="default"/>
        <w:lang w:val="en-US" w:eastAsia="en-US" w:bidi="en-US"/>
      </w:rPr>
    </w:lvl>
  </w:abstractNum>
  <w:abstractNum w:abstractNumId="56" w15:restartNumberingAfterBreak="0">
    <w:nsid w:val="24447C28"/>
    <w:multiLevelType w:val="hybridMultilevel"/>
    <w:tmpl w:val="97180554"/>
    <w:lvl w:ilvl="0" w:tplc="AF5E35F8">
      <w:numFmt w:val="bullet"/>
      <w:lvlText w:val="-"/>
      <w:lvlJc w:val="left"/>
      <w:pPr>
        <w:ind w:left="1347" w:hanging="341"/>
      </w:pPr>
      <w:rPr>
        <w:rFonts w:ascii="Raleway" w:eastAsia="Raleway" w:hAnsi="Raleway" w:cs="Raleway" w:hint="default"/>
        <w:color w:val="231F20"/>
        <w:spacing w:val="-6"/>
        <w:w w:val="99"/>
        <w:sz w:val="20"/>
        <w:szCs w:val="20"/>
        <w:lang w:val="en-US" w:eastAsia="en-US" w:bidi="en-US"/>
      </w:rPr>
    </w:lvl>
    <w:lvl w:ilvl="1" w:tplc="BA2EED72">
      <w:numFmt w:val="bullet"/>
      <w:lvlText w:val="•"/>
      <w:lvlJc w:val="left"/>
      <w:pPr>
        <w:ind w:left="2296" w:hanging="341"/>
      </w:pPr>
      <w:rPr>
        <w:rFonts w:hint="default"/>
        <w:lang w:val="en-US" w:eastAsia="en-US" w:bidi="en-US"/>
      </w:rPr>
    </w:lvl>
    <w:lvl w:ilvl="2" w:tplc="F84045A4">
      <w:numFmt w:val="bullet"/>
      <w:lvlText w:val="•"/>
      <w:lvlJc w:val="left"/>
      <w:pPr>
        <w:ind w:left="3253" w:hanging="341"/>
      </w:pPr>
      <w:rPr>
        <w:rFonts w:hint="default"/>
        <w:lang w:val="en-US" w:eastAsia="en-US" w:bidi="en-US"/>
      </w:rPr>
    </w:lvl>
    <w:lvl w:ilvl="3" w:tplc="31085E8A">
      <w:numFmt w:val="bullet"/>
      <w:lvlText w:val="•"/>
      <w:lvlJc w:val="left"/>
      <w:pPr>
        <w:ind w:left="4209" w:hanging="341"/>
      </w:pPr>
      <w:rPr>
        <w:rFonts w:hint="default"/>
        <w:lang w:val="en-US" w:eastAsia="en-US" w:bidi="en-US"/>
      </w:rPr>
    </w:lvl>
    <w:lvl w:ilvl="4" w:tplc="327E97AE">
      <w:numFmt w:val="bullet"/>
      <w:lvlText w:val="•"/>
      <w:lvlJc w:val="left"/>
      <w:pPr>
        <w:ind w:left="5166" w:hanging="341"/>
      </w:pPr>
      <w:rPr>
        <w:rFonts w:hint="default"/>
        <w:lang w:val="en-US" w:eastAsia="en-US" w:bidi="en-US"/>
      </w:rPr>
    </w:lvl>
    <w:lvl w:ilvl="5" w:tplc="548CDEDC">
      <w:numFmt w:val="bullet"/>
      <w:lvlText w:val="•"/>
      <w:lvlJc w:val="left"/>
      <w:pPr>
        <w:ind w:left="6122" w:hanging="341"/>
      </w:pPr>
      <w:rPr>
        <w:rFonts w:hint="default"/>
        <w:lang w:val="en-US" w:eastAsia="en-US" w:bidi="en-US"/>
      </w:rPr>
    </w:lvl>
    <w:lvl w:ilvl="6" w:tplc="2A58D0F6">
      <w:numFmt w:val="bullet"/>
      <w:lvlText w:val="•"/>
      <w:lvlJc w:val="left"/>
      <w:pPr>
        <w:ind w:left="7079" w:hanging="341"/>
      </w:pPr>
      <w:rPr>
        <w:rFonts w:hint="default"/>
        <w:lang w:val="en-US" w:eastAsia="en-US" w:bidi="en-US"/>
      </w:rPr>
    </w:lvl>
    <w:lvl w:ilvl="7" w:tplc="23A85CDA">
      <w:numFmt w:val="bullet"/>
      <w:lvlText w:val="•"/>
      <w:lvlJc w:val="left"/>
      <w:pPr>
        <w:ind w:left="8035" w:hanging="341"/>
      </w:pPr>
      <w:rPr>
        <w:rFonts w:hint="default"/>
        <w:lang w:val="en-US" w:eastAsia="en-US" w:bidi="en-US"/>
      </w:rPr>
    </w:lvl>
    <w:lvl w:ilvl="8" w:tplc="7BC4A95E">
      <w:numFmt w:val="bullet"/>
      <w:lvlText w:val="•"/>
      <w:lvlJc w:val="left"/>
      <w:pPr>
        <w:ind w:left="8992" w:hanging="341"/>
      </w:pPr>
      <w:rPr>
        <w:rFonts w:hint="default"/>
        <w:lang w:val="en-US" w:eastAsia="en-US" w:bidi="en-US"/>
      </w:rPr>
    </w:lvl>
  </w:abstractNum>
  <w:abstractNum w:abstractNumId="57" w15:restartNumberingAfterBreak="0">
    <w:nsid w:val="244521D1"/>
    <w:multiLevelType w:val="hybridMultilevel"/>
    <w:tmpl w:val="F200A894"/>
    <w:lvl w:ilvl="0" w:tplc="D48EF28C">
      <w:start w:val="3"/>
      <w:numFmt w:val="decimal"/>
      <w:lvlText w:val="%1"/>
      <w:lvlJc w:val="left"/>
      <w:pPr>
        <w:ind w:left="1568" w:hanging="567"/>
        <w:jc w:val="left"/>
      </w:pPr>
      <w:rPr>
        <w:rFonts w:ascii="Raleway" w:eastAsia="Raleway" w:hAnsi="Raleway" w:cs="Raleway" w:hint="default"/>
        <w:b/>
        <w:bCs/>
        <w:color w:val="FFFFFF"/>
        <w:spacing w:val="-3"/>
        <w:w w:val="100"/>
        <w:sz w:val="24"/>
        <w:szCs w:val="24"/>
        <w:lang w:val="en-US" w:eastAsia="en-US" w:bidi="en-US"/>
      </w:rPr>
    </w:lvl>
    <w:lvl w:ilvl="1" w:tplc="79D67FFC">
      <w:numFmt w:val="bullet"/>
      <w:lvlText w:val="•"/>
      <w:lvlJc w:val="left"/>
      <w:pPr>
        <w:ind w:left="2494" w:hanging="567"/>
      </w:pPr>
      <w:rPr>
        <w:rFonts w:hint="default"/>
        <w:lang w:val="en-US" w:eastAsia="en-US" w:bidi="en-US"/>
      </w:rPr>
    </w:lvl>
    <w:lvl w:ilvl="2" w:tplc="5F0E0538">
      <w:numFmt w:val="bullet"/>
      <w:lvlText w:val="•"/>
      <w:lvlJc w:val="left"/>
      <w:pPr>
        <w:ind w:left="3429" w:hanging="567"/>
      </w:pPr>
      <w:rPr>
        <w:rFonts w:hint="default"/>
        <w:lang w:val="en-US" w:eastAsia="en-US" w:bidi="en-US"/>
      </w:rPr>
    </w:lvl>
    <w:lvl w:ilvl="3" w:tplc="AEEC34BC">
      <w:numFmt w:val="bullet"/>
      <w:lvlText w:val="•"/>
      <w:lvlJc w:val="left"/>
      <w:pPr>
        <w:ind w:left="4363" w:hanging="567"/>
      </w:pPr>
      <w:rPr>
        <w:rFonts w:hint="default"/>
        <w:lang w:val="en-US" w:eastAsia="en-US" w:bidi="en-US"/>
      </w:rPr>
    </w:lvl>
    <w:lvl w:ilvl="4" w:tplc="8C54D58A">
      <w:numFmt w:val="bullet"/>
      <w:lvlText w:val="•"/>
      <w:lvlJc w:val="left"/>
      <w:pPr>
        <w:ind w:left="5298" w:hanging="567"/>
      </w:pPr>
      <w:rPr>
        <w:rFonts w:hint="default"/>
        <w:lang w:val="en-US" w:eastAsia="en-US" w:bidi="en-US"/>
      </w:rPr>
    </w:lvl>
    <w:lvl w:ilvl="5" w:tplc="C90A1E72">
      <w:numFmt w:val="bullet"/>
      <w:lvlText w:val="•"/>
      <w:lvlJc w:val="left"/>
      <w:pPr>
        <w:ind w:left="6232" w:hanging="567"/>
      </w:pPr>
      <w:rPr>
        <w:rFonts w:hint="default"/>
        <w:lang w:val="en-US" w:eastAsia="en-US" w:bidi="en-US"/>
      </w:rPr>
    </w:lvl>
    <w:lvl w:ilvl="6" w:tplc="4C9A2932">
      <w:numFmt w:val="bullet"/>
      <w:lvlText w:val="•"/>
      <w:lvlJc w:val="left"/>
      <w:pPr>
        <w:ind w:left="7167" w:hanging="567"/>
      </w:pPr>
      <w:rPr>
        <w:rFonts w:hint="default"/>
        <w:lang w:val="en-US" w:eastAsia="en-US" w:bidi="en-US"/>
      </w:rPr>
    </w:lvl>
    <w:lvl w:ilvl="7" w:tplc="BBE6085C">
      <w:numFmt w:val="bullet"/>
      <w:lvlText w:val="•"/>
      <w:lvlJc w:val="left"/>
      <w:pPr>
        <w:ind w:left="8101" w:hanging="567"/>
      </w:pPr>
      <w:rPr>
        <w:rFonts w:hint="default"/>
        <w:lang w:val="en-US" w:eastAsia="en-US" w:bidi="en-US"/>
      </w:rPr>
    </w:lvl>
    <w:lvl w:ilvl="8" w:tplc="3288EFD8">
      <w:numFmt w:val="bullet"/>
      <w:lvlText w:val="•"/>
      <w:lvlJc w:val="left"/>
      <w:pPr>
        <w:ind w:left="9036" w:hanging="567"/>
      </w:pPr>
      <w:rPr>
        <w:rFonts w:hint="default"/>
        <w:lang w:val="en-US" w:eastAsia="en-US" w:bidi="en-US"/>
      </w:rPr>
    </w:lvl>
  </w:abstractNum>
  <w:abstractNum w:abstractNumId="58" w15:restartNumberingAfterBreak="0">
    <w:nsid w:val="25F43A9A"/>
    <w:multiLevelType w:val="hybridMultilevel"/>
    <w:tmpl w:val="B5B20D86"/>
    <w:lvl w:ilvl="0" w:tplc="3190B6D0">
      <w:numFmt w:val="bullet"/>
      <w:lvlText w:val="-"/>
      <w:lvlJc w:val="left"/>
      <w:pPr>
        <w:ind w:left="1347" w:hanging="341"/>
      </w:pPr>
      <w:rPr>
        <w:rFonts w:ascii="Raleway" w:eastAsia="Raleway" w:hAnsi="Raleway" w:cs="Raleway" w:hint="default"/>
        <w:color w:val="231F20"/>
        <w:spacing w:val="-11"/>
        <w:w w:val="99"/>
        <w:sz w:val="20"/>
        <w:szCs w:val="20"/>
        <w:lang w:val="en-US" w:eastAsia="en-US" w:bidi="en-US"/>
      </w:rPr>
    </w:lvl>
    <w:lvl w:ilvl="1" w:tplc="E53A5F5C">
      <w:numFmt w:val="bullet"/>
      <w:lvlText w:val="•"/>
      <w:lvlJc w:val="left"/>
      <w:pPr>
        <w:ind w:left="2296" w:hanging="341"/>
      </w:pPr>
      <w:rPr>
        <w:rFonts w:hint="default"/>
        <w:lang w:val="en-US" w:eastAsia="en-US" w:bidi="en-US"/>
      </w:rPr>
    </w:lvl>
    <w:lvl w:ilvl="2" w:tplc="AE6C0CFE">
      <w:numFmt w:val="bullet"/>
      <w:lvlText w:val="•"/>
      <w:lvlJc w:val="left"/>
      <w:pPr>
        <w:ind w:left="3253" w:hanging="341"/>
      </w:pPr>
      <w:rPr>
        <w:rFonts w:hint="default"/>
        <w:lang w:val="en-US" w:eastAsia="en-US" w:bidi="en-US"/>
      </w:rPr>
    </w:lvl>
    <w:lvl w:ilvl="3" w:tplc="D72E973E">
      <w:numFmt w:val="bullet"/>
      <w:lvlText w:val="•"/>
      <w:lvlJc w:val="left"/>
      <w:pPr>
        <w:ind w:left="4209" w:hanging="341"/>
      </w:pPr>
      <w:rPr>
        <w:rFonts w:hint="default"/>
        <w:lang w:val="en-US" w:eastAsia="en-US" w:bidi="en-US"/>
      </w:rPr>
    </w:lvl>
    <w:lvl w:ilvl="4" w:tplc="B548145E">
      <w:numFmt w:val="bullet"/>
      <w:lvlText w:val="•"/>
      <w:lvlJc w:val="left"/>
      <w:pPr>
        <w:ind w:left="5166" w:hanging="341"/>
      </w:pPr>
      <w:rPr>
        <w:rFonts w:hint="default"/>
        <w:lang w:val="en-US" w:eastAsia="en-US" w:bidi="en-US"/>
      </w:rPr>
    </w:lvl>
    <w:lvl w:ilvl="5" w:tplc="C78E30AE">
      <w:numFmt w:val="bullet"/>
      <w:lvlText w:val="•"/>
      <w:lvlJc w:val="left"/>
      <w:pPr>
        <w:ind w:left="6122" w:hanging="341"/>
      </w:pPr>
      <w:rPr>
        <w:rFonts w:hint="default"/>
        <w:lang w:val="en-US" w:eastAsia="en-US" w:bidi="en-US"/>
      </w:rPr>
    </w:lvl>
    <w:lvl w:ilvl="6" w:tplc="C8DAF5D0">
      <w:numFmt w:val="bullet"/>
      <w:lvlText w:val="•"/>
      <w:lvlJc w:val="left"/>
      <w:pPr>
        <w:ind w:left="7079" w:hanging="341"/>
      </w:pPr>
      <w:rPr>
        <w:rFonts w:hint="default"/>
        <w:lang w:val="en-US" w:eastAsia="en-US" w:bidi="en-US"/>
      </w:rPr>
    </w:lvl>
    <w:lvl w:ilvl="7" w:tplc="BC300BB0">
      <w:numFmt w:val="bullet"/>
      <w:lvlText w:val="•"/>
      <w:lvlJc w:val="left"/>
      <w:pPr>
        <w:ind w:left="8035" w:hanging="341"/>
      </w:pPr>
      <w:rPr>
        <w:rFonts w:hint="default"/>
        <w:lang w:val="en-US" w:eastAsia="en-US" w:bidi="en-US"/>
      </w:rPr>
    </w:lvl>
    <w:lvl w:ilvl="8" w:tplc="A45E359E">
      <w:numFmt w:val="bullet"/>
      <w:lvlText w:val="•"/>
      <w:lvlJc w:val="left"/>
      <w:pPr>
        <w:ind w:left="8992" w:hanging="341"/>
      </w:pPr>
      <w:rPr>
        <w:rFonts w:hint="default"/>
        <w:lang w:val="en-US" w:eastAsia="en-US" w:bidi="en-US"/>
      </w:rPr>
    </w:lvl>
  </w:abstractNum>
  <w:abstractNum w:abstractNumId="59" w15:restartNumberingAfterBreak="0">
    <w:nsid w:val="26D43DB2"/>
    <w:multiLevelType w:val="hybridMultilevel"/>
    <w:tmpl w:val="1BE0B09E"/>
    <w:lvl w:ilvl="0" w:tplc="31C4A096">
      <w:start w:val="1"/>
      <w:numFmt w:val="decimal"/>
      <w:lvlText w:val="%1."/>
      <w:lvlJc w:val="left"/>
      <w:pPr>
        <w:ind w:left="1795" w:hanging="794"/>
        <w:jc w:val="left"/>
      </w:pPr>
      <w:rPr>
        <w:rFonts w:ascii="Trebuchet MS" w:eastAsia="Trebuchet MS" w:hAnsi="Trebuchet MS" w:cs="Trebuchet MS" w:hint="default"/>
        <w:color w:val="231F20"/>
        <w:spacing w:val="0"/>
        <w:w w:val="55"/>
        <w:sz w:val="20"/>
        <w:szCs w:val="20"/>
        <w:lang w:val="en-US" w:eastAsia="en-US" w:bidi="en-US"/>
      </w:rPr>
    </w:lvl>
    <w:lvl w:ilvl="1" w:tplc="41EC64E8">
      <w:start w:val="1"/>
      <w:numFmt w:val="lowerLetter"/>
      <w:lvlText w:val="%2."/>
      <w:lvlJc w:val="left"/>
      <w:pPr>
        <w:ind w:left="2475" w:hanging="681"/>
        <w:jc w:val="left"/>
      </w:pPr>
      <w:rPr>
        <w:rFonts w:ascii="Trebuchet MS" w:eastAsia="Trebuchet MS" w:hAnsi="Trebuchet MS" w:cs="Trebuchet MS" w:hint="default"/>
        <w:color w:val="231F20"/>
        <w:spacing w:val="0"/>
        <w:w w:val="55"/>
        <w:sz w:val="20"/>
        <w:szCs w:val="20"/>
        <w:lang w:val="en-US" w:eastAsia="en-US" w:bidi="en-US"/>
      </w:rPr>
    </w:lvl>
    <w:lvl w:ilvl="2" w:tplc="9D460F56">
      <w:numFmt w:val="bullet"/>
      <w:lvlText w:val="•"/>
      <w:lvlJc w:val="left"/>
      <w:pPr>
        <w:ind w:left="3416" w:hanging="681"/>
      </w:pPr>
      <w:rPr>
        <w:rFonts w:hint="default"/>
        <w:lang w:val="en-US" w:eastAsia="en-US" w:bidi="en-US"/>
      </w:rPr>
    </w:lvl>
    <w:lvl w:ilvl="3" w:tplc="A1640122">
      <w:numFmt w:val="bullet"/>
      <w:lvlText w:val="•"/>
      <w:lvlJc w:val="left"/>
      <w:pPr>
        <w:ind w:left="4352" w:hanging="681"/>
      </w:pPr>
      <w:rPr>
        <w:rFonts w:hint="default"/>
        <w:lang w:val="en-US" w:eastAsia="en-US" w:bidi="en-US"/>
      </w:rPr>
    </w:lvl>
    <w:lvl w:ilvl="4" w:tplc="C3E23FEA">
      <w:numFmt w:val="bullet"/>
      <w:lvlText w:val="•"/>
      <w:lvlJc w:val="left"/>
      <w:pPr>
        <w:ind w:left="5288" w:hanging="681"/>
      </w:pPr>
      <w:rPr>
        <w:rFonts w:hint="default"/>
        <w:lang w:val="en-US" w:eastAsia="en-US" w:bidi="en-US"/>
      </w:rPr>
    </w:lvl>
    <w:lvl w:ilvl="5" w:tplc="5B94B25A">
      <w:numFmt w:val="bullet"/>
      <w:lvlText w:val="•"/>
      <w:lvlJc w:val="left"/>
      <w:pPr>
        <w:ind w:left="6224" w:hanging="681"/>
      </w:pPr>
      <w:rPr>
        <w:rFonts w:hint="default"/>
        <w:lang w:val="en-US" w:eastAsia="en-US" w:bidi="en-US"/>
      </w:rPr>
    </w:lvl>
    <w:lvl w:ilvl="6" w:tplc="A4525C12">
      <w:numFmt w:val="bullet"/>
      <w:lvlText w:val="•"/>
      <w:lvlJc w:val="left"/>
      <w:pPr>
        <w:ind w:left="7160" w:hanging="681"/>
      </w:pPr>
      <w:rPr>
        <w:rFonts w:hint="default"/>
        <w:lang w:val="en-US" w:eastAsia="en-US" w:bidi="en-US"/>
      </w:rPr>
    </w:lvl>
    <w:lvl w:ilvl="7" w:tplc="A1805798">
      <w:numFmt w:val="bullet"/>
      <w:lvlText w:val="•"/>
      <w:lvlJc w:val="left"/>
      <w:pPr>
        <w:ind w:left="8097" w:hanging="681"/>
      </w:pPr>
      <w:rPr>
        <w:rFonts w:hint="default"/>
        <w:lang w:val="en-US" w:eastAsia="en-US" w:bidi="en-US"/>
      </w:rPr>
    </w:lvl>
    <w:lvl w:ilvl="8" w:tplc="DACC5CCC">
      <w:numFmt w:val="bullet"/>
      <w:lvlText w:val="•"/>
      <w:lvlJc w:val="left"/>
      <w:pPr>
        <w:ind w:left="9033" w:hanging="681"/>
      </w:pPr>
      <w:rPr>
        <w:rFonts w:hint="default"/>
        <w:lang w:val="en-US" w:eastAsia="en-US" w:bidi="en-US"/>
      </w:rPr>
    </w:lvl>
  </w:abstractNum>
  <w:abstractNum w:abstractNumId="60" w15:restartNumberingAfterBreak="0">
    <w:nsid w:val="27273080"/>
    <w:multiLevelType w:val="hybridMultilevel"/>
    <w:tmpl w:val="B9A2F48A"/>
    <w:lvl w:ilvl="0" w:tplc="1E260DC2">
      <w:start w:val="16"/>
      <w:numFmt w:val="decimal"/>
      <w:lvlText w:val="%1"/>
      <w:lvlJc w:val="left"/>
      <w:pPr>
        <w:ind w:left="1801" w:hanging="794"/>
        <w:jc w:val="left"/>
      </w:pPr>
      <w:rPr>
        <w:rFonts w:ascii="Raleway" w:eastAsia="Raleway" w:hAnsi="Raleway" w:cs="Raleway" w:hint="default"/>
        <w:color w:val="231F20"/>
        <w:spacing w:val="0"/>
        <w:w w:val="100"/>
        <w:sz w:val="13"/>
        <w:szCs w:val="13"/>
        <w:lang w:val="en-US" w:eastAsia="en-US" w:bidi="en-US"/>
      </w:rPr>
    </w:lvl>
    <w:lvl w:ilvl="1" w:tplc="48B813AE">
      <w:numFmt w:val="bullet"/>
      <w:lvlText w:val="•"/>
      <w:lvlJc w:val="left"/>
      <w:pPr>
        <w:ind w:left="2710" w:hanging="794"/>
      </w:pPr>
      <w:rPr>
        <w:rFonts w:hint="default"/>
        <w:lang w:val="en-US" w:eastAsia="en-US" w:bidi="en-US"/>
      </w:rPr>
    </w:lvl>
    <w:lvl w:ilvl="2" w:tplc="59FA33D0">
      <w:numFmt w:val="bullet"/>
      <w:lvlText w:val="•"/>
      <w:lvlJc w:val="left"/>
      <w:pPr>
        <w:ind w:left="3621" w:hanging="794"/>
      </w:pPr>
      <w:rPr>
        <w:rFonts w:hint="default"/>
        <w:lang w:val="en-US" w:eastAsia="en-US" w:bidi="en-US"/>
      </w:rPr>
    </w:lvl>
    <w:lvl w:ilvl="3" w:tplc="3F8A104C">
      <w:numFmt w:val="bullet"/>
      <w:lvlText w:val="•"/>
      <w:lvlJc w:val="left"/>
      <w:pPr>
        <w:ind w:left="4531" w:hanging="794"/>
      </w:pPr>
      <w:rPr>
        <w:rFonts w:hint="default"/>
        <w:lang w:val="en-US" w:eastAsia="en-US" w:bidi="en-US"/>
      </w:rPr>
    </w:lvl>
    <w:lvl w:ilvl="4" w:tplc="B8705046">
      <w:numFmt w:val="bullet"/>
      <w:lvlText w:val="•"/>
      <w:lvlJc w:val="left"/>
      <w:pPr>
        <w:ind w:left="5442" w:hanging="794"/>
      </w:pPr>
      <w:rPr>
        <w:rFonts w:hint="default"/>
        <w:lang w:val="en-US" w:eastAsia="en-US" w:bidi="en-US"/>
      </w:rPr>
    </w:lvl>
    <w:lvl w:ilvl="5" w:tplc="0896D86E">
      <w:numFmt w:val="bullet"/>
      <w:lvlText w:val="•"/>
      <w:lvlJc w:val="left"/>
      <w:pPr>
        <w:ind w:left="6352" w:hanging="794"/>
      </w:pPr>
      <w:rPr>
        <w:rFonts w:hint="default"/>
        <w:lang w:val="en-US" w:eastAsia="en-US" w:bidi="en-US"/>
      </w:rPr>
    </w:lvl>
    <w:lvl w:ilvl="6" w:tplc="AEB613BC">
      <w:numFmt w:val="bullet"/>
      <w:lvlText w:val="•"/>
      <w:lvlJc w:val="left"/>
      <w:pPr>
        <w:ind w:left="7263" w:hanging="794"/>
      </w:pPr>
      <w:rPr>
        <w:rFonts w:hint="default"/>
        <w:lang w:val="en-US" w:eastAsia="en-US" w:bidi="en-US"/>
      </w:rPr>
    </w:lvl>
    <w:lvl w:ilvl="7" w:tplc="52947D18">
      <w:numFmt w:val="bullet"/>
      <w:lvlText w:val="•"/>
      <w:lvlJc w:val="left"/>
      <w:pPr>
        <w:ind w:left="8173" w:hanging="794"/>
      </w:pPr>
      <w:rPr>
        <w:rFonts w:hint="default"/>
        <w:lang w:val="en-US" w:eastAsia="en-US" w:bidi="en-US"/>
      </w:rPr>
    </w:lvl>
    <w:lvl w:ilvl="8" w:tplc="7DB62FCA">
      <w:numFmt w:val="bullet"/>
      <w:lvlText w:val="•"/>
      <w:lvlJc w:val="left"/>
      <w:pPr>
        <w:ind w:left="9084" w:hanging="794"/>
      </w:pPr>
      <w:rPr>
        <w:rFonts w:hint="default"/>
        <w:lang w:val="en-US" w:eastAsia="en-US" w:bidi="en-US"/>
      </w:rPr>
    </w:lvl>
  </w:abstractNum>
  <w:abstractNum w:abstractNumId="61" w15:restartNumberingAfterBreak="0">
    <w:nsid w:val="27B214C0"/>
    <w:multiLevelType w:val="hybridMultilevel"/>
    <w:tmpl w:val="5DB696C8"/>
    <w:lvl w:ilvl="0" w:tplc="08225662">
      <w:numFmt w:val="bullet"/>
      <w:lvlText w:val="•"/>
      <w:lvlJc w:val="left"/>
      <w:pPr>
        <w:ind w:left="1361" w:hanging="341"/>
      </w:pPr>
      <w:rPr>
        <w:rFonts w:ascii="Raleway" w:eastAsia="Raleway" w:hAnsi="Raleway" w:cs="Raleway" w:hint="default"/>
        <w:color w:val="231F20"/>
        <w:spacing w:val="-6"/>
        <w:w w:val="100"/>
        <w:sz w:val="20"/>
        <w:szCs w:val="20"/>
        <w:lang w:val="en-US" w:eastAsia="en-US" w:bidi="en-US"/>
      </w:rPr>
    </w:lvl>
    <w:lvl w:ilvl="1" w:tplc="4C3CFAB6">
      <w:numFmt w:val="bullet"/>
      <w:lvlText w:val="-"/>
      <w:lvlJc w:val="left"/>
      <w:pPr>
        <w:ind w:left="1698" w:hanging="341"/>
      </w:pPr>
      <w:rPr>
        <w:rFonts w:ascii="Raleway" w:eastAsia="Raleway" w:hAnsi="Raleway" w:cs="Raleway" w:hint="default"/>
        <w:color w:val="231F20"/>
        <w:spacing w:val="-13"/>
        <w:w w:val="88"/>
        <w:sz w:val="20"/>
        <w:szCs w:val="20"/>
        <w:lang w:val="en-US" w:eastAsia="en-US" w:bidi="en-US"/>
      </w:rPr>
    </w:lvl>
    <w:lvl w:ilvl="2" w:tplc="D924F8FC">
      <w:numFmt w:val="bullet"/>
      <w:lvlText w:val="•"/>
      <w:lvlJc w:val="left"/>
      <w:pPr>
        <w:ind w:left="2722" w:hanging="341"/>
      </w:pPr>
      <w:rPr>
        <w:rFonts w:hint="default"/>
        <w:lang w:val="en-US" w:eastAsia="en-US" w:bidi="en-US"/>
      </w:rPr>
    </w:lvl>
    <w:lvl w:ilvl="3" w:tplc="726E6B3A">
      <w:numFmt w:val="bullet"/>
      <w:lvlText w:val="•"/>
      <w:lvlJc w:val="left"/>
      <w:pPr>
        <w:ind w:left="3745" w:hanging="341"/>
      </w:pPr>
      <w:rPr>
        <w:rFonts w:hint="default"/>
        <w:lang w:val="en-US" w:eastAsia="en-US" w:bidi="en-US"/>
      </w:rPr>
    </w:lvl>
    <w:lvl w:ilvl="4" w:tplc="22684E58">
      <w:numFmt w:val="bullet"/>
      <w:lvlText w:val="•"/>
      <w:lvlJc w:val="left"/>
      <w:pPr>
        <w:ind w:left="4768" w:hanging="341"/>
      </w:pPr>
      <w:rPr>
        <w:rFonts w:hint="default"/>
        <w:lang w:val="en-US" w:eastAsia="en-US" w:bidi="en-US"/>
      </w:rPr>
    </w:lvl>
    <w:lvl w:ilvl="5" w:tplc="F3D4C2E6">
      <w:numFmt w:val="bullet"/>
      <w:lvlText w:val="•"/>
      <w:lvlJc w:val="left"/>
      <w:pPr>
        <w:ind w:left="5791" w:hanging="341"/>
      </w:pPr>
      <w:rPr>
        <w:rFonts w:hint="default"/>
        <w:lang w:val="en-US" w:eastAsia="en-US" w:bidi="en-US"/>
      </w:rPr>
    </w:lvl>
    <w:lvl w:ilvl="6" w:tplc="80D04572">
      <w:numFmt w:val="bullet"/>
      <w:lvlText w:val="•"/>
      <w:lvlJc w:val="left"/>
      <w:pPr>
        <w:ind w:left="6814" w:hanging="341"/>
      </w:pPr>
      <w:rPr>
        <w:rFonts w:hint="default"/>
        <w:lang w:val="en-US" w:eastAsia="en-US" w:bidi="en-US"/>
      </w:rPr>
    </w:lvl>
    <w:lvl w:ilvl="7" w:tplc="9AA06974">
      <w:numFmt w:val="bullet"/>
      <w:lvlText w:val="•"/>
      <w:lvlJc w:val="left"/>
      <w:pPr>
        <w:ind w:left="7837" w:hanging="341"/>
      </w:pPr>
      <w:rPr>
        <w:rFonts w:hint="default"/>
        <w:lang w:val="en-US" w:eastAsia="en-US" w:bidi="en-US"/>
      </w:rPr>
    </w:lvl>
    <w:lvl w:ilvl="8" w:tplc="EB18A544">
      <w:numFmt w:val="bullet"/>
      <w:lvlText w:val="•"/>
      <w:lvlJc w:val="left"/>
      <w:pPr>
        <w:ind w:left="8859" w:hanging="341"/>
      </w:pPr>
      <w:rPr>
        <w:rFonts w:hint="default"/>
        <w:lang w:val="en-US" w:eastAsia="en-US" w:bidi="en-US"/>
      </w:rPr>
    </w:lvl>
  </w:abstractNum>
  <w:abstractNum w:abstractNumId="62" w15:restartNumberingAfterBreak="0">
    <w:nsid w:val="28CC5C1B"/>
    <w:multiLevelType w:val="hybridMultilevel"/>
    <w:tmpl w:val="5E0A1FD0"/>
    <w:lvl w:ilvl="0" w:tplc="DEAAC7C4">
      <w:start w:val="118"/>
      <w:numFmt w:val="decimal"/>
      <w:lvlText w:val="%1"/>
      <w:lvlJc w:val="left"/>
      <w:pPr>
        <w:ind w:left="1801" w:hanging="794"/>
        <w:jc w:val="left"/>
      </w:pPr>
      <w:rPr>
        <w:rFonts w:ascii="Raleway" w:eastAsia="Raleway" w:hAnsi="Raleway" w:cs="Raleway" w:hint="default"/>
        <w:color w:val="231F20"/>
        <w:spacing w:val="-3"/>
        <w:w w:val="99"/>
        <w:sz w:val="13"/>
        <w:szCs w:val="13"/>
        <w:lang w:val="en-US" w:eastAsia="en-US" w:bidi="en-US"/>
      </w:rPr>
    </w:lvl>
    <w:lvl w:ilvl="1" w:tplc="4AA61BA2">
      <w:numFmt w:val="bullet"/>
      <w:lvlText w:val="•"/>
      <w:lvlJc w:val="left"/>
      <w:pPr>
        <w:ind w:left="2710" w:hanging="794"/>
      </w:pPr>
      <w:rPr>
        <w:rFonts w:hint="default"/>
        <w:lang w:val="en-US" w:eastAsia="en-US" w:bidi="en-US"/>
      </w:rPr>
    </w:lvl>
    <w:lvl w:ilvl="2" w:tplc="64AA4A5C">
      <w:numFmt w:val="bullet"/>
      <w:lvlText w:val="•"/>
      <w:lvlJc w:val="left"/>
      <w:pPr>
        <w:ind w:left="3621" w:hanging="794"/>
      </w:pPr>
      <w:rPr>
        <w:rFonts w:hint="default"/>
        <w:lang w:val="en-US" w:eastAsia="en-US" w:bidi="en-US"/>
      </w:rPr>
    </w:lvl>
    <w:lvl w:ilvl="3" w:tplc="3DDEB922">
      <w:numFmt w:val="bullet"/>
      <w:lvlText w:val="•"/>
      <w:lvlJc w:val="left"/>
      <w:pPr>
        <w:ind w:left="4531" w:hanging="794"/>
      </w:pPr>
      <w:rPr>
        <w:rFonts w:hint="default"/>
        <w:lang w:val="en-US" w:eastAsia="en-US" w:bidi="en-US"/>
      </w:rPr>
    </w:lvl>
    <w:lvl w:ilvl="4" w:tplc="D92630D0">
      <w:numFmt w:val="bullet"/>
      <w:lvlText w:val="•"/>
      <w:lvlJc w:val="left"/>
      <w:pPr>
        <w:ind w:left="5442" w:hanging="794"/>
      </w:pPr>
      <w:rPr>
        <w:rFonts w:hint="default"/>
        <w:lang w:val="en-US" w:eastAsia="en-US" w:bidi="en-US"/>
      </w:rPr>
    </w:lvl>
    <w:lvl w:ilvl="5" w:tplc="FCD63F4C">
      <w:numFmt w:val="bullet"/>
      <w:lvlText w:val="•"/>
      <w:lvlJc w:val="left"/>
      <w:pPr>
        <w:ind w:left="6352" w:hanging="794"/>
      </w:pPr>
      <w:rPr>
        <w:rFonts w:hint="default"/>
        <w:lang w:val="en-US" w:eastAsia="en-US" w:bidi="en-US"/>
      </w:rPr>
    </w:lvl>
    <w:lvl w:ilvl="6" w:tplc="BD92083C">
      <w:numFmt w:val="bullet"/>
      <w:lvlText w:val="•"/>
      <w:lvlJc w:val="left"/>
      <w:pPr>
        <w:ind w:left="7263" w:hanging="794"/>
      </w:pPr>
      <w:rPr>
        <w:rFonts w:hint="default"/>
        <w:lang w:val="en-US" w:eastAsia="en-US" w:bidi="en-US"/>
      </w:rPr>
    </w:lvl>
    <w:lvl w:ilvl="7" w:tplc="57941E5C">
      <w:numFmt w:val="bullet"/>
      <w:lvlText w:val="•"/>
      <w:lvlJc w:val="left"/>
      <w:pPr>
        <w:ind w:left="8173" w:hanging="794"/>
      </w:pPr>
      <w:rPr>
        <w:rFonts w:hint="default"/>
        <w:lang w:val="en-US" w:eastAsia="en-US" w:bidi="en-US"/>
      </w:rPr>
    </w:lvl>
    <w:lvl w:ilvl="8" w:tplc="2112F200">
      <w:numFmt w:val="bullet"/>
      <w:lvlText w:val="•"/>
      <w:lvlJc w:val="left"/>
      <w:pPr>
        <w:ind w:left="9084" w:hanging="794"/>
      </w:pPr>
      <w:rPr>
        <w:rFonts w:hint="default"/>
        <w:lang w:val="en-US" w:eastAsia="en-US" w:bidi="en-US"/>
      </w:rPr>
    </w:lvl>
  </w:abstractNum>
  <w:abstractNum w:abstractNumId="63" w15:restartNumberingAfterBreak="0">
    <w:nsid w:val="29637B7D"/>
    <w:multiLevelType w:val="hybridMultilevel"/>
    <w:tmpl w:val="7C3EE9DE"/>
    <w:lvl w:ilvl="0" w:tplc="A26EE5BC">
      <w:numFmt w:val="bullet"/>
      <w:lvlText w:val="•"/>
      <w:lvlJc w:val="left"/>
      <w:pPr>
        <w:ind w:left="453" w:hanging="341"/>
      </w:pPr>
      <w:rPr>
        <w:rFonts w:ascii="Raleway" w:eastAsia="Raleway" w:hAnsi="Raleway" w:cs="Raleway" w:hint="default"/>
        <w:color w:val="231F20"/>
        <w:spacing w:val="-6"/>
        <w:w w:val="100"/>
        <w:sz w:val="20"/>
        <w:szCs w:val="20"/>
        <w:lang w:val="en-US" w:eastAsia="en-US" w:bidi="en-US"/>
      </w:rPr>
    </w:lvl>
    <w:lvl w:ilvl="1" w:tplc="196A5D78">
      <w:numFmt w:val="bullet"/>
      <w:lvlText w:val="•"/>
      <w:lvlJc w:val="left"/>
      <w:pPr>
        <w:ind w:left="722" w:hanging="341"/>
      </w:pPr>
      <w:rPr>
        <w:rFonts w:hint="default"/>
        <w:lang w:val="en-US" w:eastAsia="en-US" w:bidi="en-US"/>
      </w:rPr>
    </w:lvl>
    <w:lvl w:ilvl="2" w:tplc="1C4E5834">
      <w:numFmt w:val="bullet"/>
      <w:lvlText w:val="•"/>
      <w:lvlJc w:val="left"/>
      <w:pPr>
        <w:ind w:left="985" w:hanging="341"/>
      </w:pPr>
      <w:rPr>
        <w:rFonts w:hint="default"/>
        <w:lang w:val="en-US" w:eastAsia="en-US" w:bidi="en-US"/>
      </w:rPr>
    </w:lvl>
    <w:lvl w:ilvl="3" w:tplc="40D6DCE0">
      <w:numFmt w:val="bullet"/>
      <w:lvlText w:val="•"/>
      <w:lvlJc w:val="left"/>
      <w:pPr>
        <w:ind w:left="1248" w:hanging="341"/>
      </w:pPr>
      <w:rPr>
        <w:rFonts w:hint="default"/>
        <w:lang w:val="en-US" w:eastAsia="en-US" w:bidi="en-US"/>
      </w:rPr>
    </w:lvl>
    <w:lvl w:ilvl="4" w:tplc="18E6938C">
      <w:numFmt w:val="bullet"/>
      <w:lvlText w:val="•"/>
      <w:lvlJc w:val="left"/>
      <w:pPr>
        <w:ind w:left="1511" w:hanging="341"/>
      </w:pPr>
      <w:rPr>
        <w:rFonts w:hint="default"/>
        <w:lang w:val="en-US" w:eastAsia="en-US" w:bidi="en-US"/>
      </w:rPr>
    </w:lvl>
    <w:lvl w:ilvl="5" w:tplc="FE5CAA3C">
      <w:numFmt w:val="bullet"/>
      <w:lvlText w:val="•"/>
      <w:lvlJc w:val="left"/>
      <w:pPr>
        <w:ind w:left="1774" w:hanging="341"/>
      </w:pPr>
      <w:rPr>
        <w:rFonts w:hint="default"/>
        <w:lang w:val="en-US" w:eastAsia="en-US" w:bidi="en-US"/>
      </w:rPr>
    </w:lvl>
    <w:lvl w:ilvl="6" w:tplc="373C5BFC">
      <w:numFmt w:val="bullet"/>
      <w:lvlText w:val="•"/>
      <w:lvlJc w:val="left"/>
      <w:pPr>
        <w:ind w:left="2037" w:hanging="341"/>
      </w:pPr>
      <w:rPr>
        <w:rFonts w:hint="default"/>
        <w:lang w:val="en-US" w:eastAsia="en-US" w:bidi="en-US"/>
      </w:rPr>
    </w:lvl>
    <w:lvl w:ilvl="7" w:tplc="49D60A66">
      <w:numFmt w:val="bullet"/>
      <w:lvlText w:val="•"/>
      <w:lvlJc w:val="left"/>
      <w:pPr>
        <w:ind w:left="2300" w:hanging="341"/>
      </w:pPr>
      <w:rPr>
        <w:rFonts w:hint="default"/>
        <w:lang w:val="en-US" w:eastAsia="en-US" w:bidi="en-US"/>
      </w:rPr>
    </w:lvl>
    <w:lvl w:ilvl="8" w:tplc="6FA6AAFE">
      <w:numFmt w:val="bullet"/>
      <w:lvlText w:val="•"/>
      <w:lvlJc w:val="left"/>
      <w:pPr>
        <w:ind w:left="2563" w:hanging="341"/>
      </w:pPr>
      <w:rPr>
        <w:rFonts w:hint="default"/>
        <w:lang w:val="en-US" w:eastAsia="en-US" w:bidi="en-US"/>
      </w:rPr>
    </w:lvl>
  </w:abstractNum>
  <w:abstractNum w:abstractNumId="64" w15:restartNumberingAfterBreak="0">
    <w:nsid w:val="2A27533B"/>
    <w:multiLevelType w:val="hybridMultilevel"/>
    <w:tmpl w:val="AA4CD6F2"/>
    <w:lvl w:ilvl="0" w:tplc="8D6858A4">
      <w:start w:val="145"/>
      <w:numFmt w:val="decimal"/>
      <w:lvlText w:val="%1"/>
      <w:lvlJc w:val="left"/>
      <w:pPr>
        <w:ind w:left="1801" w:hanging="794"/>
        <w:jc w:val="right"/>
      </w:pPr>
      <w:rPr>
        <w:rFonts w:ascii="Raleway" w:eastAsia="Raleway" w:hAnsi="Raleway" w:cs="Raleway" w:hint="default"/>
        <w:color w:val="231F20"/>
        <w:spacing w:val="-1"/>
        <w:w w:val="100"/>
        <w:sz w:val="13"/>
        <w:szCs w:val="13"/>
        <w:lang w:val="en-US" w:eastAsia="en-US" w:bidi="en-US"/>
      </w:rPr>
    </w:lvl>
    <w:lvl w:ilvl="1" w:tplc="E61A14C6">
      <w:numFmt w:val="bullet"/>
      <w:lvlText w:val="•"/>
      <w:lvlJc w:val="left"/>
      <w:pPr>
        <w:ind w:left="2580" w:hanging="794"/>
      </w:pPr>
      <w:rPr>
        <w:rFonts w:hint="default"/>
        <w:lang w:val="en-US" w:eastAsia="en-US" w:bidi="en-US"/>
      </w:rPr>
    </w:lvl>
    <w:lvl w:ilvl="2" w:tplc="381AA702">
      <w:numFmt w:val="bullet"/>
      <w:lvlText w:val="•"/>
      <w:lvlJc w:val="left"/>
      <w:pPr>
        <w:ind w:left="3360" w:hanging="794"/>
      </w:pPr>
      <w:rPr>
        <w:rFonts w:hint="default"/>
        <w:lang w:val="en-US" w:eastAsia="en-US" w:bidi="en-US"/>
      </w:rPr>
    </w:lvl>
    <w:lvl w:ilvl="3" w:tplc="9F364E8E">
      <w:numFmt w:val="bullet"/>
      <w:lvlText w:val="•"/>
      <w:lvlJc w:val="left"/>
      <w:pPr>
        <w:ind w:left="4140" w:hanging="794"/>
      </w:pPr>
      <w:rPr>
        <w:rFonts w:hint="default"/>
        <w:lang w:val="en-US" w:eastAsia="en-US" w:bidi="en-US"/>
      </w:rPr>
    </w:lvl>
    <w:lvl w:ilvl="4" w:tplc="15083184">
      <w:numFmt w:val="bullet"/>
      <w:lvlText w:val="•"/>
      <w:lvlJc w:val="left"/>
      <w:pPr>
        <w:ind w:left="4920" w:hanging="794"/>
      </w:pPr>
      <w:rPr>
        <w:rFonts w:hint="default"/>
        <w:lang w:val="en-US" w:eastAsia="en-US" w:bidi="en-US"/>
      </w:rPr>
    </w:lvl>
    <w:lvl w:ilvl="5" w:tplc="DE2CD018">
      <w:numFmt w:val="bullet"/>
      <w:lvlText w:val="•"/>
      <w:lvlJc w:val="left"/>
      <w:pPr>
        <w:ind w:left="5700" w:hanging="794"/>
      </w:pPr>
      <w:rPr>
        <w:rFonts w:hint="default"/>
        <w:lang w:val="en-US" w:eastAsia="en-US" w:bidi="en-US"/>
      </w:rPr>
    </w:lvl>
    <w:lvl w:ilvl="6" w:tplc="D4623A04">
      <w:numFmt w:val="bullet"/>
      <w:lvlText w:val="•"/>
      <w:lvlJc w:val="left"/>
      <w:pPr>
        <w:ind w:left="6480" w:hanging="794"/>
      </w:pPr>
      <w:rPr>
        <w:rFonts w:hint="default"/>
        <w:lang w:val="en-US" w:eastAsia="en-US" w:bidi="en-US"/>
      </w:rPr>
    </w:lvl>
    <w:lvl w:ilvl="7" w:tplc="3078B364">
      <w:numFmt w:val="bullet"/>
      <w:lvlText w:val="•"/>
      <w:lvlJc w:val="left"/>
      <w:pPr>
        <w:ind w:left="7260" w:hanging="794"/>
      </w:pPr>
      <w:rPr>
        <w:rFonts w:hint="default"/>
        <w:lang w:val="en-US" w:eastAsia="en-US" w:bidi="en-US"/>
      </w:rPr>
    </w:lvl>
    <w:lvl w:ilvl="8" w:tplc="BAC4A9A2">
      <w:numFmt w:val="bullet"/>
      <w:lvlText w:val="•"/>
      <w:lvlJc w:val="left"/>
      <w:pPr>
        <w:ind w:left="8040" w:hanging="794"/>
      </w:pPr>
      <w:rPr>
        <w:rFonts w:hint="default"/>
        <w:lang w:val="en-US" w:eastAsia="en-US" w:bidi="en-US"/>
      </w:rPr>
    </w:lvl>
  </w:abstractNum>
  <w:abstractNum w:abstractNumId="65" w15:restartNumberingAfterBreak="0">
    <w:nsid w:val="2A4D0006"/>
    <w:multiLevelType w:val="hybridMultilevel"/>
    <w:tmpl w:val="2C201EC2"/>
    <w:lvl w:ilvl="0" w:tplc="4C408564">
      <w:numFmt w:val="bullet"/>
      <w:lvlText w:val="•"/>
      <w:lvlJc w:val="left"/>
      <w:pPr>
        <w:ind w:left="453" w:hanging="341"/>
      </w:pPr>
      <w:rPr>
        <w:rFonts w:ascii="Raleway" w:eastAsia="Raleway" w:hAnsi="Raleway" w:cs="Raleway" w:hint="default"/>
        <w:color w:val="231F20"/>
        <w:spacing w:val="-6"/>
        <w:w w:val="88"/>
        <w:sz w:val="20"/>
        <w:szCs w:val="20"/>
        <w:lang w:val="en-US" w:eastAsia="en-US" w:bidi="en-US"/>
      </w:rPr>
    </w:lvl>
    <w:lvl w:ilvl="1" w:tplc="B308EF9E">
      <w:numFmt w:val="bullet"/>
      <w:lvlText w:val="•"/>
      <w:lvlJc w:val="left"/>
      <w:pPr>
        <w:ind w:left="1015" w:hanging="341"/>
      </w:pPr>
      <w:rPr>
        <w:rFonts w:hint="default"/>
        <w:lang w:val="en-US" w:eastAsia="en-US" w:bidi="en-US"/>
      </w:rPr>
    </w:lvl>
    <w:lvl w:ilvl="2" w:tplc="036CBD88">
      <w:numFmt w:val="bullet"/>
      <w:lvlText w:val="•"/>
      <w:lvlJc w:val="left"/>
      <w:pPr>
        <w:ind w:left="1571" w:hanging="341"/>
      </w:pPr>
      <w:rPr>
        <w:rFonts w:hint="default"/>
        <w:lang w:val="en-US" w:eastAsia="en-US" w:bidi="en-US"/>
      </w:rPr>
    </w:lvl>
    <w:lvl w:ilvl="3" w:tplc="B350B4DA">
      <w:numFmt w:val="bullet"/>
      <w:lvlText w:val="•"/>
      <w:lvlJc w:val="left"/>
      <w:pPr>
        <w:ind w:left="2127" w:hanging="341"/>
      </w:pPr>
      <w:rPr>
        <w:rFonts w:hint="default"/>
        <w:lang w:val="en-US" w:eastAsia="en-US" w:bidi="en-US"/>
      </w:rPr>
    </w:lvl>
    <w:lvl w:ilvl="4" w:tplc="971EE5AA">
      <w:numFmt w:val="bullet"/>
      <w:lvlText w:val="•"/>
      <w:lvlJc w:val="left"/>
      <w:pPr>
        <w:ind w:left="2682" w:hanging="341"/>
      </w:pPr>
      <w:rPr>
        <w:rFonts w:hint="default"/>
        <w:lang w:val="en-US" w:eastAsia="en-US" w:bidi="en-US"/>
      </w:rPr>
    </w:lvl>
    <w:lvl w:ilvl="5" w:tplc="6DC47D46">
      <w:numFmt w:val="bullet"/>
      <w:lvlText w:val="•"/>
      <w:lvlJc w:val="left"/>
      <w:pPr>
        <w:ind w:left="3238" w:hanging="341"/>
      </w:pPr>
      <w:rPr>
        <w:rFonts w:hint="default"/>
        <w:lang w:val="en-US" w:eastAsia="en-US" w:bidi="en-US"/>
      </w:rPr>
    </w:lvl>
    <w:lvl w:ilvl="6" w:tplc="6BF06990">
      <w:numFmt w:val="bullet"/>
      <w:lvlText w:val="•"/>
      <w:lvlJc w:val="left"/>
      <w:pPr>
        <w:ind w:left="3794" w:hanging="341"/>
      </w:pPr>
      <w:rPr>
        <w:rFonts w:hint="default"/>
        <w:lang w:val="en-US" w:eastAsia="en-US" w:bidi="en-US"/>
      </w:rPr>
    </w:lvl>
    <w:lvl w:ilvl="7" w:tplc="3266F1DE">
      <w:numFmt w:val="bullet"/>
      <w:lvlText w:val="•"/>
      <w:lvlJc w:val="left"/>
      <w:pPr>
        <w:ind w:left="4349" w:hanging="341"/>
      </w:pPr>
      <w:rPr>
        <w:rFonts w:hint="default"/>
        <w:lang w:val="en-US" w:eastAsia="en-US" w:bidi="en-US"/>
      </w:rPr>
    </w:lvl>
    <w:lvl w:ilvl="8" w:tplc="748ECDEE">
      <w:numFmt w:val="bullet"/>
      <w:lvlText w:val="•"/>
      <w:lvlJc w:val="left"/>
      <w:pPr>
        <w:ind w:left="4905" w:hanging="341"/>
      </w:pPr>
      <w:rPr>
        <w:rFonts w:hint="default"/>
        <w:lang w:val="en-US" w:eastAsia="en-US" w:bidi="en-US"/>
      </w:rPr>
    </w:lvl>
  </w:abstractNum>
  <w:abstractNum w:abstractNumId="66" w15:restartNumberingAfterBreak="0">
    <w:nsid w:val="2A5A7B67"/>
    <w:multiLevelType w:val="hybridMultilevel"/>
    <w:tmpl w:val="D10C4B24"/>
    <w:lvl w:ilvl="0" w:tplc="3718EDB0">
      <w:numFmt w:val="bullet"/>
      <w:lvlText w:val="-"/>
      <w:lvlJc w:val="left"/>
      <w:pPr>
        <w:ind w:left="1347" w:hanging="341"/>
      </w:pPr>
      <w:rPr>
        <w:rFonts w:ascii="Raleway" w:eastAsia="Raleway" w:hAnsi="Raleway" w:cs="Raleway" w:hint="default"/>
        <w:color w:val="231F20"/>
        <w:spacing w:val="-35"/>
        <w:w w:val="99"/>
        <w:sz w:val="20"/>
        <w:szCs w:val="20"/>
        <w:lang w:val="en-US" w:eastAsia="en-US" w:bidi="en-US"/>
      </w:rPr>
    </w:lvl>
    <w:lvl w:ilvl="1" w:tplc="2F0C5D7A">
      <w:numFmt w:val="bullet"/>
      <w:lvlText w:val="•"/>
      <w:lvlJc w:val="left"/>
      <w:pPr>
        <w:ind w:left="2296" w:hanging="341"/>
      </w:pPr>
      <w:rPr>
        <w:rFonts w:hint="default"/>
        <w:lang w:val="en-US" w:eastAsia="en-US" w:bidi="en-US"/>
      </w:rPr>
    </w:lvl>
    <w:lvl w:ilvl="2" w:tplc="68C24188">
      <w:numFmt w:val="bullet"/>
      <w:lvlText w:val="•"/>
      <w:lvlJc w:val="left"/>
      <w:pPr>
        <w:ind w:left="3253" w:hanging="341"/>
      </w:pPr>
      <w:rPr>
        <w:rFonts w:hint="default"/>
        <w:lang w:val="en-US" w:eastAsia="en-US" w:bidi="en-US"/>
      </w:rPr>
    </w:lvl>
    <w:lvl w:ilvl="3" w:tplc="4CA49DEE">
      <w:numFmt w:val="bullet"/>
      <w:lvlText w:val="•"/>
      <w:lvlJc w:val="left"/>
      <w:pPr>
        <w:ind w:left="4209" w:hanging="341"/>
      </w:pPr>
      <w:rPr>
        <w:rFonts w:hint="default"/>
        <w:lang w:val="en-US" w:eastAsia="en-US" w:bidi="en-US"/>
      </w:rPr>
    </w:lvl>
    <w:lvl w:ilvl="4" w:tplc="3FB45FE0">
      <w:numFmt w:val="bullet"/>
      <w:lvlText w:val="•"/>
      <w:lvlJc w:val="left"/>
      <w:pPr>
        <w:ind w:left="5166" w:hanging="341"/>
      </w:pPr>
      <w:rPr>
        <w:rFonts w:hint="default"/>
        <w:lang w:val="en-US" w:eastAsia="en-US" w:bidi="en-US"/>
      </w:rPr>
    </w:lvl>
    <w:lvl w:ilvl="5" w:tplc="A470D46A">
      <w:numFmt w:val="bullet"/>
      <w:lvlText w:val="•"/>
      <w:lvlJc w:val="left"/>
      <w:pPr>
        <w:ind w:left="6122" w:hanging="341"/>
      </w:pPr>
      <w:rPr>
        <w:rFonts w:hint="default"/>
        <w:lang w:val="en-US" w:eastAsia="en-US" w:bidi="en-US"/>
      </w:rPr>
    </w:lvl>
    <w:lvl w:ilvl="6" w:tplc="76C86AA2">
      <w:numFmt w:val="bullet"/>
      <w:lvlText w:val="•"/>
      <w:lvlJc w:val="left"/>
      <w:pPr>
        <w:ind w:left="7079" w:hanging="341"/>
      </w:pPr>
      <w:rPr>
        <w:rFonts w:hint="default"/>
        <w:lang w:val="en-US" w:eastAsia="en-US" w:bidi="en-US"/>
      </w:rPr>
    </w:lvl>
    <w:lvl w:ilvl="7" w:tplc="33BE6558">
      <w:numFmt w:val="bullet"/>
      <w:lvlText w:val="•"/>
      <w:lvlJc w:val="left"/>
      <w:pPr>
        <w:ind w:left="8035" w:hanging="341"/>
      </w:pPr>
      <w:rPr>
        <w:rFonts w:hint="default"/>
        <w:lang w:val="en-US" w:eastAsia="en-US" w:bidi="en-US"/>
      </w:rPr>
    </w:lvl>
    <w:lvl w:ilvl="8" w:tplc="8092D656">
      <w:numFmt w:val="bullet"/>
      <w:lvlText w:val="•"/>
      <w:lvlJc w:val="left"/>
      <w:pPr>
        <w:ind w:left="8992" w:hanging="341"/>
      </w:pPr>
      <w:rPr>
        <w:rFonts w:hint="default"/>
        <w:lang w:val="en-US" w:eastAsia="en-US" w:bidi="en-US"/>
      </w:rPr>
    </w:lvl>
  </w:abstractNum>
  <w:abstractNum w:abstractNumId="67" w15:restartNumberingAfterBreak="0">
    <w:nsid w:val="2B731C94"/>
    <w:multiLevelType w:val="hybridMultilevel"/>
    <w:tmpl w:val="0D06140C"/>
    <w:lvl w:ilvl="0" w:tplc="6860A088">
      <w:start w:val="1"/>
      <w:numFmt w:val="decimal"/>
      <w:lvlText w:val="%1"/>
      <w:lvlJc w:val="left"/>
      <w:pPr>
        <w:ind w:left="1801" w:hanging="794"/>
        <w:jc w:val="left"/>
      </w:pPr>
      <w:rPr>
        <w:rFonts w:ascii="Raleway" w:eastAsia="Raleway" w:hAnsi="Raleway" w:cs="Raleway" w:hint="default"/>
        <w:color w:val="231F20"/>
        <w:spacing w:val="-6"/>
        <w:w w:val="96"/>
        <w:sz w:val="13"/>
        <w:szCs w:val="13"/>
        <w:lang w:val="en-US" w:eastAsia="en-US" w:bidi="en-US"/>
      </w:rPr>
    </w:lvl>
    <w:lvl w:ilvl="1" w:tplc="21F2A6B2">
      <w:numFmt w:val="bullet"/>
      <w:lvlText w:val="•"/>
      <w:lvlJc w:val="left"/>
      <w:pPr>
        <w:ind w:left="2710" w:hanging="794"/>
      </w:pPr>
      <w:rPr>
        <w:rFonts w:hint="default"/>
        <w:lang w:val="en-US" w:eastAsia="en-US" w:bidi="en-US"/>
      </w:rPr>
    </w:lvl>
    <w:lvl w:ilvl="2" w:tplc="839ED0C4">
      <w:numFmt w:val="bullet"/>
      <w:lvlText w:val="•"/>
      <w:lvlJc w:val="left"/>
      <w:pPr>
        <w:ind w:left="3621" w:hanging="794"/>
      </w:pPr>
      <w:rPr>
        <w:rFonts w:hint="default"/>
        <w:lang w:val="en-US" w:eastAsia="en-US" w:bidi="en-US"/>
      </w:rPr>
    </w:lvl>
    <w:lvl w:ilvl="3" w:tplc="AAEEF276">
      <w:numFmt w:val="bullet"/>
      <w:lvlText w:val="•"/>
      <w:lvlJc w:val="left"/>
      <w:pPr>
        <w:ind w:left="4531" w:hanging="794"/>
      </w:pPr>
      <w:rPr>
        <w:rFonts w:hint="default"/>
        <w:lang w:val="en-US" w:eastAsia="en-US" w:bidi="en-US"/>
      </w:rPr>
    </w:lvl>
    <w:lvl w:ilvl="4" w:tplc="39B8D0F8">
      <w:numFmt w:val="bullet"/>
      <w:lvlText w:val="•"/>
      <w:lvlJc w:val="left"/>
      <w:pPr>
        <w:ind w:left="5442" w:hanging="794"/>
      </w:pPr>
      <w:rPr>
        <w:rFonts w:hint="default"/>
        <w:lang w:val="en-US" w:eastAsia="en-US" w:bidi="en-US"/>
      </w:rPr>
    </w:lvl>
    <w:lvl w:ilvl="5" w:tplc="62EA37CA">
      <w:numFmt w:val="bullet"/>
      <w:lvlText w:val="•"/>
      <w:lvlJc w:val="left"/>
      <w:pPr>
        <w:ind w:left="6352" w:hanging="794"/>
      </w:pPr>
      <w:rPr>
        <w:rFonts w:hint="default"/>
        <w:lang w:val="en-US" w:eastAsia="en-US" w:bidi="en-US"/>
      </w:rPr>
    </w:lvl>
    <w:lvl w:ilvl="6" w:tplc="C4F0A8A0">
      <w:numFmt w:val="bullet"/>
      <w:lvlText w:val="•"/>
      <w:lvlJc w:val="left"/>
      <w:pPr>
        <w:ind w:left="7263" w:hanging="794"/>
      </w:pPr>
      <w:rPr>
        <w:rFonts w:hint="default"/>
        <w:lang w:val="en-US" w:eastAsia="en-US" w:bidi="en-US"/>
      </w:rPr>
    </w:lvl>
    <w:lvl w:ilvl="7" w:tplc="935E1318">
      <w:numFmt w:val="bullet"/>
      <w:lvlText w:val="•"/>
      <w:lvlJc w:val="left"/>
      <w:pPr>
        <w:ind w:left="8173" w:hanging="794"/>
      </w:pPr>
      <w:rPr>
        <w:rFonts w:hint="default"/>
        <w:lang w:val="en-US" w:eastAsia="en-US" w:bidi="en-US"/>
      </w:rPr>
    </w:lvl>
    <w:lvl w:ilvl="8" w:tplc="D23CC7C6">
      <w:numFmt w:val="bullet"/>
      <w:lvlText w:val="•"/>
      <w:lvlJc w:val="left"/>
      <w:pPr>
        <w:ind w:left="9084" w:hanging="794"/>
      </w:pPr>
      <w:rPr>
        <w:rFonts w:hint="default"/>
        <w:lang w:val="en-US" w:eastAsia="en-US" w:bidi="en-US"/>
      </w:rPr>
    </w:lvl>
  </w:abstractNum>
  <w:abstractNum w:abstractNumId="68" w15:restartNumberingAfterBreak="0">
    <w:nsid w:val="2D3A3588"/>
    <w:multiLevelType w:val="hybridMultilevel"/>
    <w:tmpl w:val="A140BB0C"/>
    <w:lvl w:ilvl="0" w:tplc="5A74A1F6">
      <w:start w:val="2"/>
      <w:numFmt w:val="lowerLetter"/>
      <w:lvlText w:val="%1."/>
      <w:lvlJc w:val="left"/>
      <w:pPr>
        <w:ind w:left="2481" w:hanging="674"/>
        <w:jc w:val="left"/>
      </w:pPr>
      <w:rPr>
        <w:rFonts w:ascii="Trebuchet MS" w:eastAsia="Trebuchet MS" w:hAnsi="Trebuchet MS" w:cs="Trebuchet MS" w:hint="default"/>
        <w:color w:val="231F20"/>
        <w:spacing w:val="-3"/>
        <w:w w:val="55"/>
        <w:sz w:val="20"/>
        <w:szCs w:val="20"/>
        <w:lang w:val="en-US" w:eastAsia="en-US" w:bidi="en-US"/>
      </w:rPr>
    </w:lvl>
    <w:lvl w:ilvl="1" w:tplc="02A8525A">
      <w:numFmt w:val="bullet"/>
      <w:lvlText w:val="•"/>
      <w:lvlJc w:val="left"/>
      <w:pPr>
        <w:ind w:left="3161" w:hanging="681"/>
      </w:pPr>
      <w:rPr>
        <w:rFonts w:ascii="Trebuchet MS" w:eastAsia="Trebuchet MS" w:hAnsi="Trebuchet MS" w:cs="Trebuchet MS" w:hint="default"/>
        <w:color w:val="231F20"/>
        <w:w w:val="67"/>
        <w:sz w:val="20"/>
        <w:szCs w:val="20"/>
        <w:lang w:val="en-US" w:eastAsia="en-US" w:bidi="en-US"/>
      </w:rPr>
    </w:lvl>
    <w:lvl w:ilvl="2" w:tplc="A48ACDAA">
      <w:numFmt w:val="bullet"/>
      <w:lvlText w:val="•"/>
      <w:lvlJc w:val="left"/>
      <w:pPr>
        <w:ind w:left="4020" w:hanging="681"/>
      </w:pPr>
      <w:rPr>
        <w:rFonts w:hint="default"/>
        <w:lang w:val="en-US" w:eastAsia="en-US" w:bidi="en-US"/>
      </w:rPr>
    </w:lvl>
    <w:lvl w:ilvl="3" w:tplc="A36E3864">
      <w:numFmt w:val="bullet"/>
      <w:lvlText w:val="•"/>
      <w:lvlJc w:val="left"/>
      <w:pPr>
        <w:ind w:left="4881" w:hanging="681"/>
      </w:pPr>
      <w:rPr>
        <w:rFonts w:hint="default"/>
        <w:lang w:val="en-US" w:eastAsia="en-US" w:bidi="en-US"/>
      </w:rPr>
    </w:lvl>
    <w:lvl w:ilvl="4" w:tplc="DBF4CA88">
      <w:numFmt w:val="bullet"/>
      <w:lvlText w:val="•"/>
      <w:lvlJc w:val="left"/>
      <w:pPr>
        <w:ind w:left="5741" w:hanging="681"/>
      </w:pPr>
      <w:rPr>
        <w:rFonts w:hint="default"/>
        <w:lang w:val="en-US" w:eastAsia="en-US" w:bidi="en-US"/>
      </w:rPr>
    </w:lvl>
    <w:lvl w:ilvl="5" w:tplc="6108D65C">
      <w:numFmt w:val="bullet"/>
      <w:lvlText w:val="•"/>
      <w:lvlJc w:val="left"/>
      <w:pPr>
        <w:ind w:left="6602" w:hanging="681"/>
      </w:pPr>
      <w:rPr>
        <w:rFonts w:hint="default"/>
        <w:lang w:val="en-US" w:eastAsia="en-US" w:bidi="en-US"/>
      </w:rPr>
    </w:lvl>
    <w:lvl w:ilvl="6" w:tplc="12C46336">
      <w:numFmt w:val="bullet"/>
      <w:lvlText w:val="•"/>
      <w:lvlJc w:val="left"/>
      <w:pPr>
        <w:ind w:left="7463" w:hanging="681"/>
      </w:pPr>
      <w:rPr>
        <w:rFonts w:hint="default"/>
        <w:lang w:val="en-US" w:eastAsia="en-US" w:bidi="en-US"/>
      </w:rPr>
    </w:lvl>
    <w:lvl w:ilvl="7" w:tplc="A4A84BC6">
      <w:numFmt w:val="bullet"/>
      <w:lvlText w:val="•"/>
      <w:lvlJc w:val="left"/>
      <w:pPr>
        <w:ind w:left="8323" w:hanging="681"/>
      </w:pPr>
      <w:rPr>
        <w:rFonts w:hint="default"/>
        <w:lang w:val="en-US" w:eastAsia="en-US" w:bidi="en-US"/>
      </w:rPr>
    </w:lvl>
    <w:lvl w:ilvl="8" w:tplc="76482BE2">
      <w:numFmt w:val="bullet"/>
      <w:lvlText w:val="•"/>
      <w:lvlJc w:val="left"/>
      <w:pPr>
        <w:ind w:left="9184" w:hanging="681"/>
      </w:pPr>
      <w:rPr>
        <w:rFonts w:hint="default"/>
        <w:lang w:val="en-US" w:eastAsia="en-US" w:bidi="en-US"/>
      </w:rPr>
    </w:lvl>
  </w:abstractNum>
  <w:abstractNum w:abstractNumId="69" w15:restartNumberingAfterBreak="0">
    <w:nsid w:val="2DD33C31"/>
    <w:multiLevelType w:val="hybridMultilevel"/>
    <w:tmpl w:val="C8D892F8"/>
    <w:lvl w:ilvl="0" w:tplc="9DB00C26">
      <w:start w:val="44"/>
      <w:numFmt w:val="decimal"/>
      <w:lvlText w:val="%1"/>
      <w:lvlJc w:val="left"/>
      <w:pPr>
        <w:ind w:left="1801" w:hanging="794"/>
        <w:jc w:val="right"/>
      </w:pPr>
      <w:rPr>
        <w:rFonts w:ascii="Raleway" w:eastAsia="Raleway" w:hAnsi="Raleway" w:cs="Raleway" w:hint="default"/>
        <w:color w:val="231F20"/>
        <w:spacing w:val="-3"/>
        <w:w w:val="100"/>
        <w:sz w:val="13"/>
        <w:szCs w:val="13"/>
        <w:lang w:val="en-US" w:eastAsia="en-US" w:bidi="en-US"/>
      </w:rPr>
    </w:lvl>
    <w:lvl w:ilvl="1" w:tplc="6A20D0A0">
      <w:numFmt w:val="bullet"/>
      <w:lvlText w:val="•"/>
      <w:lvlJc w:val="left"/>
      <w:pPr>
        <w:ind w:left="2574" w:hanging="794"/>
      </w:pPr>
      <w:rPr>
        <w:rFonts w:hint="default"/>
        <w:lang w:val="en-US" w:eastAsia="en-US" w:bidi="en-US"/>
      </w:rPr>
    </w:lvl>
    <w:lvl w:ilvl="2" w:tplc="2E9C6C0E">
      <w:numFmt w:val="bullet"/>
      <w:lvlText w:val="•"/>
      <w:lvlJc w:val="left"/>
      <w:pPr>
        <w:ind w:left="3348" w:hanging="794"/>
      </w:pPr>
      <w:rPr>
        <w:rFonts w:hint="default"/>
        <w:lang w:val="en-US" w:eastAsia="en-US" w:bidi="en-US"/>
      </w:rPr>
    </w:lvl>
    <w:lvl w:ilvl="3" w:tplc="E6F4D454">
      <w:numFmt w:val="bullet"/>
      <w:lvlText w:val="•"/>
      <w:lvlJc w:val="left"/>
      <w:pPr>
        <w:ind w:left="4122" w:hanging="794"/>
      </w:pPr>
      <w:rPr>
        <w:rFonts w:hint="default"/>
        <w:lang w:val="en-US" w:eastAsia="en-US" w:bidi="en-US"/>
      </w:rPr>
    </w:lvl>
    <w:lvl w:ilvl="4" w:tplc="5CC0B320">
      <w:numFmt w:val="bullet"/>
      <w:lvlText w:val="•"/>
      <w:lvlJc w:val="left"/>
      <w:pPr>
        <w:ind w:left="4897" w:hanging="794"/>
      </w:pPr>
      <w:rPr>
        <w:rFonts w:hint="default"/>
        <w:lang w:val="en-US" w:eastAsia="en-US" w:bidi="en-US"/>
      </w:rPr>
    </w:lvl>
    <w:lvl w:ilvl="5" w:tplc="54CA3DC4">
      <w:numFmt w:val="bullet"/>
      <w:lvlText w:val="•"/>
      <w:lvlJc w:val="left"/>
      <w:pPr>
        <w:ind w:left="5671" w:hanging="794"/>
      </w:pPr>
      <w:rPr>
        <w:rFonts w:hint="default"/>
        <w:lang w:val="en-US" w:eastAsia="en-US" w:bidi="en-US"/>
      </w:rPr>
    </w:lvl>
    <w:lvl w:ilvl="6" w:tplc="04FCBB5E">
      <w:numFmt w:val="bullet"/>
      <w:lvlText w:val="•"/>
      <w:lvlJc w:val="left"/>
      <w:pPr>
        <w:ind w:left="6445" w:hanging="794"/>
      </w:pPr>
      <w:rPr>
        <w:rFonts w:hint="default"/>
        <w:lang w:val="en-US" w:eastAsia="en-US" w:bidi="en-US"/>
      </w:rPr>
    </w:lvl>
    <w:lvl w:ilvl="7" w:tplc="B0FE8DA8">
      <w:numFmt w:val="bullet"/>
      <w:lvlText w:val="•"/>
      <w:lvlJc w:val="left"/>
      <w:pPr>
        <w:ind w:left="7219" w:hanging="794"/>
      </w:pPr>
      <w:rPr>
        <w:rFonts w:hint="default"/>
        <w:lang w:val="en-US" w:eastAsia="en-US" w:bidi="en-US"/>
      </w:rPr>
    </w:lvl>
    <w:lvl w:ilvl="8" w:tplc="D6BA31A6">
      <w:numFmt w:val="bullet"/>
      <w:lvlText w:val="•"/>
      <w:lvlJc w:val="left"/>
      <w:pPr>
        <w:ind w:left="7994" w:hanging="794"/>
      </w:pPr>
      <w:rPr>
        <w:rFonts w:hint="default"/>
        <w:lang w:val="en-US" w:eastAsia="en-US" w:bidi="en-US"/>
      </w:rPr>
    </w:lvl>
  </w:abstractNum>
  <w:abstractNum w:abstractNumId="70" w15:restartNumberingAfterBreak="0">
    <w:nsid w:val="2FCF61EC"/>
    <w:multiLevelType w:val="hybridMultilevel"/>
    <w:tmpl w:val="D8280AD8"/>
    <w:lvl w:ilvl="0" w:tplc="70D86CD2">
      <w:start w:val="14"/>
      <w:numFmt w:val="decimal"/>
      <w:lvlText w:val="%1"/>
      <w:lvlJc w:val="left"/>
      <w:pPr>
        <w:ind w:left="1588" w:hanging="567"/>
        <w:jc w:val="left"/>
      </w:pPr>
      <w:rPr>
        <w:rFonts w:ascii="Raleway" w:eastAsia="Raleway" w:hAnsi="Raleway" w:cs="Raleway" w:hint="default"/>
        <w:b/>
        <w:bCs/>
        <w:color w:val="FFFFFF"/>
        <w:spacing w:val="-9"/>
        <w:w w:val="86"/>
        <w:sz w:val="24"/>
        <w:szCs w:val="24"/>
        <w:lang w:val="en-US" w:eastAsia="en-US" w:bidi="en-US"/>
      </w:rPr>
    </w:lvl>
    <w:lvl w:ilvl="1" w:tplc="37BEDD82">
      <w:numFmt w:val="bullet"/>
      <w:lvlText w:val="•"/>
      <w:lvlJc w:val="left"/>
      <w:pPr>
        <w:ind w:left="2512" w:hanging="567"/>
      </w:pPr>
      <w:rPr>
        <w:rFonts w:hint="default"/>
        <w:lang w:val="en-US" w:eastAsia="en-US" w:bidi="en-US"/>
      </w:rPr>
    </w:lvl>
    <w:lvl w:ilvl="2" w:tplc="772AFA5E">
      <w:numFmt w:val="bullet"/>
      <w:lvlText w:val="•"/>
      <w:lvlJc w:val="left"/>
      <w:pPr>
        <w:ind w:left="3445" w:hanging="567"/>
      </w:pPr>
      <w:rPr>
        <w:rFonts w:hint="default"/>
        <w:lang w:val="en-US" w:eastAsia="en-US" w:bidi="en-US"/>
      </w:rPr>
    </w:lvl>
    <w:lvl w:ilvl="3" w:tplc="945055B0">
      <w:numFmt w:val="bullet"/>
      <w:lvlText w:val="•"/>
      <w:lvlJc w:val="left"/>
      <w:pPr>
        <w:ind w:left="4377" w:hanging="567"/>
      </w:pPr>
      <w:rPr>
        <w:rFonts w:hint="default"/>
        <w:lang w:val="en-US" w:eastAsia="en-US" w:bidi="en-US"/>
      </w:rPr>
    </w:lvl>
    <w:lvl w:ilvl="4" w:tplc="937C8ACC">
      <w:numFmt w:val="bullet"/>
      <w:lvlText w:val="•"/>
      <w:lvlJc w:val="left"/>
      <w:pPr>
        <w:ind w:left="5310" w:hanging="567"/>
      </w:pPr>
      <w:rPr>
        <w:rFonts w:hint="default"/>
        <w:lang w:val="en-US" w:eastAsia="en-US" w:bidi="en-US"/>
      </w:rPr>
    </w:lvl>
    <w:lvl w:ilvl="5" w:tplc="2ED89372">
      <w:numFmt w:val="bullet"/>
      <w:lvlText w:val="•"/>
      <w:lvlJc w:val="left"/>
      <w:pPr>
        <w:ind w:left="6242" w:hanging="567"/>
      </w:pPr>
      <w:rPr>
        <w:rFonts w:hint="default"/>
        <w:lang w:val="en-US" w:eastAsia="en-US" w:bidi="en-US"/>
      </w:rPr>
    </w:lvl>
    <w:lvl w:ilvl="6" w:tplc="240654BA">
      <w:numFmt w:val="bullet"/>
      <w:lvlText w:val="•"/>
      <w:lvlJc w:val="left"/>
      <w:pPr>
        <w:ind w:left="7175" w:hanging="567"/>
      </w:pPr>
      <w:rPr>
        <w:rFonts w:hint="default"/>
        <w:lang w:val="en-US" w:eastAsia="en-US" w:bidi="en-US"/>
      </w:rPr>
    </w:lvl>
    <w:lvl w:ilvl="7" w:tplc="E12AB062">
      <w:numFmt w:val="bullet"/>
      <w:lvlText w:val="•"/>
      <w:lvlJc w:val="left"/>
      <w:pPr>
        <w:ind w:left="8107" w:hanging="567"/>
      </w:pPr>
      <w:rPr>
        <w:rFonts w:hint="default"/>
        <w:lang w:val="en-US" w:eastAsia="en-US" w:bidi="en-US"/>
      </w:rPr>
    </w:lvl>
    <w:lvl w:ilvl="8" w:tplc="3C7A6912">
      <w:numFmt w:val="bullet"/>
      <w:lvlText w:val="•"/>
      <w:lvlJc w:val="left"/>
      <w:pPr>
        <w:ind w:left="9040" w:hanging="567"/>
      </w:pPr>
      <w:rPr>
        <w:rFonts w:hint="default"/>
        <w:lang w:val="en-US" w:eastAsia="en-US" w:bidi="en-US"/>
      </w:rPr>
    </w:lvl>
  </w:abstractNum>
  <w:abstractNum w:abstractNumId="71" w15:restartNumberingAfterBreak="0">
    <w:nsid w:val="31024F1D"/>
    <w:multiLevelType w:val="hybridMultilevel"/>
    <w:tmpl w:val="A516BDDE"/>
    <w:lvl w:ilvl="0" w:tplc="6B204114">
      <w:start w:val="184"/>
      <w:numFmt w:val="decimal"/>
      <w:lvlText w:val="%1"/>
      <w:lvlJc w:val="left"/>
      <w:pPr>
        <w:ind w:left="933" w:hanging="794"/>
        <w:jc w:val="left"/>
      </w:pPr>
      <w:rPr>
        <w:rFonts w:ascii="Raleway" w:eastAsia="Raleway" w:hAnsi="Raleway" w:cs="Raleway" w:hint="default"/>
        <w:color w:val="231F20"/>
        <w:spacing w:val="-1"/>
        <w:w w:val="100"/>
        <w:sz w:val="13"/>
        <w:szCs w:val="13"/>
        <w:lang w:val="en-US" w:eastAsia="en-US" w:bidi="en-US"/>
      </w:rPr>
    </w:lvl>
    <w:lvl w:ilvl="1" w:tplc="28D6F3B2">
      <w:numFmt w:val="bullet"/>
      <w:lvlText w:val="•"/>
      <w:lvlJc w:val="left"/>
      <w:pPr>
        <w:ind w:left="1849" w:hanging="794"/>
      </w:pPr>
      <w:rPr>
        <w:rFonts w:hint="default"/>
        <w:lang w:val="en-US" w:eastAsia="en-US" w:bidi="en-US"/>
      </w:rPr>
    </w:lvl>
    <w:lvl w:ilvl="2" w:tplc="A5AA12A4">
      <w:numFmt w:val="bullet"/>
      <w:lvlText w:val="•"/>
      <w:lvlJc w:val="left"/>
      <w:pPr>
        <w:ind w:left="2759" w:hanging="794"/>
      </w:pPr>
      <w:rPr>
        <w:rFonts w:hint="default"/>
        <w:lang w:val="en-US" w:eastAsia="en-US" w:bidi="en-US"/>
      </w:rPr>
    </w:lvl>
    <w:lvl w:ilvl="3" w:tplc="6FF44650">
      <w:numFmt w:val="bullet"/>
      <w:lvlText w:val="•"/>
      <w:lvlJc w:val="left"/>
      <w:pPr>
        <w:ind w:left="3669" w:hanging="794"/>
      </w:pPr>
      <w:rPr>
        <w:rFonts w:hint="default"/>
        <w:lang w:val="en-US" w:eastAsia="en-US" w:bidi="en-US"/>
      </w:rPr>
    </w:lvl>
    <w:lvl w:ilvl="4" w:tplc="E2FEB320">
      <w:numFmt w:val="bullet"/>
      <w:lvlText w:val="•"/>
      <w:lvlJc w:val="left"/>
      <w:pPr>
        <w:ind w:left="4579" w:hanging="794"/>
      </w:pPr>
      <w:rPr>
        <w:rFonts w:hint="default"/>
        <w:lang w:val="en-US" w:eastAsia="en-US" w:bidi="en-US"/>
      </w:rPr>
    </w:lvl>
    <w:lvl w:ilvl="5" w:tplc="4CFCD5B8">
      <w:numFmt w:val="bullet"/>
      <w:lvlText w:val="•"/>
      <w:lvlJc w:val="left"/>
      <w:pPr>
        <w:ind w:left="5489" w:hanging="794"/>
      </w:pPr>
      <w:rPr>
        <w:rFonts w:hint="default"/>
        <w:lang w:val="en-US" w:eastAsia="en-US" w:bidi="en-US"/>
      </w:rPr>
    </w:lvl>
    <w:lvl w:ilvl="6" w:tplc="823256FA">
      <w:numFmt w:val="bullet"/>
      <w:lvlText w:val="•"/>
      <w:lvlJc w:val="left"/>
      <w:pPr>
        <w:ind w:left="6398" w:hanging="794"/>
      </w:pPr>
      <w:rPr>
        <w:rFonts w:hint="default"/>
        <w:lang w:val="en-US" w:eastAsia="en-US" w:bidi="en-US"/>
      </w:rPr>
    </w:lvl>
    <w:lvl w:ilvl="7" w:tplc="4442E800">
      <w:numFmt w:val="bullet"/>
      <w:lvlText w:val="•"/>
      <w:lvlJc w:val="left"/>
      <w:pPr>
        <w:ind w:left="7308" w:hanging="794"/>
      </w:pPr>
      <w:rPr>
        <w:rFonts w:hint="default"/>
        <w:lang w:val="en-US" w:eastAsia="en-US" w:bidi="en-US"/>
      </w:rPr>
    </w:lvl>
    <w:lvl w:ilvl="8" w:tplc="D62E6148">
      <w:numFmt w:val="bullet"/>
      <w:lvlText w:val="•"/>
      <w:lvlJc w:val="left"/>
      <w:pPr>
        <w:ind w:left="8218" w:hanging="794"/>
      </w:pPr>
      <w:rPr>
        <w:rFonts w:hint="default"/>
        <w:lang w:val="en-US" w:eastAsia="en-US" w:bidi="en-US"/>
      </w:rPr>
    </w:lvl>
  </w:abstractNum>
  <w:abstractNum w:abstractNumId="72" w15:restartNumberingAfterBreak="0">
    <w:nsid w:val="31F8442F"/>
    <w:multiLevelType w:val="hybridMultilevel"/>
    <w:tmpl w:val="003AE95E"/>
    <w:lvl w:ilvl="0" w:tplc="65027744">
      <w:start w:val="122"/>
      <w:numFmt w:val="decimal"/>
      <w:lvlText w:val="%1"/>
      <w:lvlJc w:val="left"/>
      <w:pPr>
        <w:ind w:left="933" w:hanging="794"/>
        <w:jc w:val="left"/>
      </w:pPr>
      <w:rPr>
        <w:rFonts w:ascii="Raleway" w:eastAsia="Raleway" w:hAnsi="Raleway" w:cs="Raleway" w:hint="default"/>
        <w:color w:val="231F20"/>
        <w:spacing w:val="-2"/>
        <w:w w:val="100"/>
        <w:sz w:val="13"/>
        <w:szCs w:val="13"/>
        <w:lang w:val="en-US" w:eastAsia="en-US" w:bidi="en-US"/>
      </w:rPr>
    </w:lvl>
    <w:lvl w:ilvl="1" w:tplc="F4A04416">
      <w:numFmt w:val="bullet"/>
      <w:lvlText w:val="•"/>
      <w:lvlJc w:val="left"/>
      <w:pPr>
        <w:ind w:left="1849" w:hanging="794"/>
      </w:pPr>
      <w:rPr>
        <w:rFonts w:hint="default"/>
        <w:lang w:val="en-US" w:eastAsia="en-US" w:bidi="en-US"/>
      </w:rPr>
    </w:lvl>
    <w:lvl w:ilvl="2" w:tplc="7E98311E">
      <w:numFmt w:val="bullet"/>
      <w:lvlText w:val="•"/>
      <w:lvlJc w:val="left"/>
      <w:pPr>
        <w:ind w:left="2759" w:hanging="794"/>
      </w:pPr>
      <w:rPr>
        <w:rFonts w:hint="default"/>
        <w:lang w:val="en-US" w:eastAsia="en-US" w:bidi="en-US"/>
      </w:rPr>
    </w:lvl>
    <w:lvl w:ilvl="3" w:tplc="B45A4DCC">
      <w:numFmt w:val="bullet"/>
      <w:lvlText w:val="•"/>
      <w:lvlJc w:val="left"/>
      <w:pPr>
        <w:ind w:left="3669" w:hanging="794"/>
      </w:pPr>
      <w:rPr>
        <w:rFonts w:hint="default"/>
        <w:lang w:val="en-US" w:eastAsia="en-US" w:bidi="en-US"/>
      </w:rPr>
    </w:lvl>
    <w:lvl w:ilvl="4" w:tplc="01543FBE">
      <w:numFmt w:val="bullet"/>
      <w:lvlText w:val="•"/>
      <w:lvlJc w:val="left"/>
      <w:pPr>
        <w:ind w:left="4579" w:hanging="794"/>
      </w:pPr>
      <w:rPr>
        <w:rFonts w:hint="default"/>
        <w:lang w:val="en-US" w:eastAsia="en-US" w:bidi="en-US"/>
      </w:rPr>
    </w:lvl>
    <w:lvl w:ilvl="5" w:tplc="E828F24A">
      <w:numFmt w:val="bullet"/>
      <w:lvlText w:val="•"/>
      <w:lvlJc w:val="left"/>
      <w:pPr>
        <w:ind w:left="5489" w:hanging="794"/>
      </w:pPr>
      <w:rPr>
        <w:rFonts w:hint="default"/>
        <w:lang w:val="en-US" w:eastAsia="en-US" w:bidi="en-US"/>
      </w:rPr>
    </w:lvl>
    <w:lvl w:ilvl="6" w:tplc="9E989B56">
      <w:numFmt w:val="bullet"/>
      <w:lvlText w:val="•"/>
      <w:lvlJc w:val="left"/>
      <w:pPr>
        <w:ind w:left="6398" w:hanging="794"/>
      </w:pPr>
      <w:rPr>
        <w:rFonts w:hint="default"/>
        <w:lang w:val="en-US" w:eastAsia="en-US" w:bidi="en-US"/>
      </w:rPr>
    </w:lvl>
    <w:lvl w:ilvl="7" w:tplc="D7D0ED58">
      <w:numFmt w:val="bullet"/>
      <w:lvlText w:val="•"/>
      <w:lvlJc w:val="left"/>
      <w:pPr>
        <w:ind w:left="7308" w:hanging="794"/>
      </w:pPr>
      <w:rPr>
        <w:rFonts w:hint="default"/>
        <w:lang w:val="en-US" w:eastAsia="en-US" w:bidi="en-US"/>
      </w:rPr>
    </w:lvl>
    <w:lvl w:ilvl="8" w:tplc="C8169892">
      <w:numFmt w:val="bullet"/>
      <w:lvlText w:val="•"/>
      <w:lvlJc w:val="left"/>
      <w:pPr>
        <w:ind w:left="8218" w:hanging="794"/>
      </w:pPr>
      <w:rPr>
        <w:rFonts w:hint="default"/>
        <w:lang w:val="en-US" w:eastAsia="en-US" w:bidi="en-US"/>
      </w:rPr>
    </w:lvl>
  </w:abstractNum>
  <w:abstractNum w:abstractNumId="73" w15:restartNumberingAfterBreak="0">
    <w:nsid w:val="32D55BB2"/>
    <w:multiLevelType w:val="hybridMultilevel"/>
    <w:tmpl w:val="1D328804"/>
    <w:lvl w:ilvl="0" w:tplc="A81CE3EE">
      <w:numFmt w:val="bullet"/>
      <w:lvlText w:val="•"/>
      <w:lvlJc w:val="left"/>
      <w:pPr>
        <w:ind w:left="2141" w:hanging="341"/>
      </w:pPr>
      <w:rPr>
        <w:rFonts w:ascii="Raleway" w:eastAsia="Raleway" w:hAnsi="Raleway" w:cs="Raleway" w:hint="default"/>
        <w:color w:val="231F20"/>
        <w:spacing w:val="-12"/>
        <w:w w:val="88"/>
        <w:sz w:val="20"/>
        <w:szCs w:val="20"/>
        <w:lang w:val="en-US" w:eastAsia="en-US" w:bidi="en-US"/>
      </w:rPr>
    </w:lvl>
    <w:lvl w:ilvl="1" w:tplc="A218E64E">
      <w:numFmt w:val="bullet"/>
      <w:lvlText w:val="•"/>
      <w:lvlJc w:val="left"/>
      <w:pPr>
        <w:ind w:left="3016" w:hanging="341"/>
      </w:pPr>
      <w:rPr>
        <w:rFonts w:hint="default"/>
        <w:lang w:val="en-US" w:eastAsia="en-US" w:bidi="en-US"/>
      </w:rPr>
    </w:lvl>
    <w:lvl w:ilvl="2" w:tplc="DCC2B5AE">
      <w:numFmt w:val="bullet"/>
      <w:lvlText w:val="•"/>
      <w:lvlJc w:val="left"/>
      <w:pPr>
        <w:ind w:left="3893" w:hanging="341"/>
      </w:pPr>
      <w:rPr>
        <w:rFonts w:hint="default"/>
        <w:lang w:val="en-US" w:eastAsia="en-US" w:bidi="en-US"/>
      </w:rPr>
    </w:lvl>
    <w:lvl w:ilvl="3" w:tplc="6022839A">
      <w:numFmt w:val="bullet"/>
      <w:lvlText w:val="•"/>
      <w:lvlJc w:val="left"/>
      <w:pPr>
        <w:ind w:left="4769" w:hanging="341"/>
      </w:pPr>
      <w:rPr>
        <w:rFonts w:hint="default"/>
        <w:lang w:val="en-US" w:eastAsia="en-US" w:bidi="en-US"/>
      </w:rPr>
    </w:lvl>
    <w:lvl w:ilvl="4" w:tplc="120E0080">
      <w:numFmt w:val="bullet"/>
      <w:lvlText w:val="•"/>
      <w:lvlJc w:val="left"/>
      <w:pPr>
        <w:ind w:left="5646" w:hanging="341"/>
      </w:pPr>
      <w:rPr>
        <w:rFonts w:hint="default"/>
        <w:lang w:val="en-US" w:eastAsia="en-US" w:bidi="en-US"/>
      </w:rPr>
    </w:lvl>
    <w:lvl w:ilvl="5" w:tplc="7C5EB7BC">
      <w:numFmt w:val="bullet"/>
      <w:lvlText w:val="•"/>
      <w:lvlJc w:val="left"/>
      <w:pPr>
        <w:ind w:left="6522" w:hanging="341"/>
      </w:pPr>
      <w:rPr>
        <w:rFonts w:hint="default"/>
        <w:lang w:val="en-US" w:eastAsia="en-US" w:bidi="en-US"/>
      </w:rPr>
    </w:lvl>
    <w:lvl w:ilvl="6" w:tplc="4F7A86CE">
      <w:numFmt w:val="bullet"/>
      <w:lvlText w:val="•"/>
      <w:lvlJc w:val="left"/>
      <w:pPr>
        <w:ind w:left="7399" w:hanging="341"/>
      </w:pPr>
      <w:rPr>
        <w:rFonts w:hint="default"/>
        <w:lang w:val="en-US" w:eastAsia="en-US" w:bidi="en-US"/>
      </w:rPr>
    </w:lvl>
    <w:lvl w:ilvl="7" w:tplc="0C78AEC0">
      <w:numFmt w:val="bullet"/>
      <w:lvlText w:val="•"/>
      <w:lvlJc w:val="left"/>
      <w:pPr>
        <w:ind w:left="8275" w:hanging="341"/>
      </w:pPr>
      <w:rPr>
        <w:rFonts w:hint="default"/>
        <w:lang w:val="en-US" w:eastAsia="en-US" w:bidi="en-US"/>
      </w:rPr>
    </w:lvl>
    <w:lvl w:ilvl="8" w:tplc="6F522C90">
      <w:numFmt w:val="bullet"/>
      <w:lvlText w:val="•"/>
      <w:lvlJc w:val="left"/>
      <w:pPr>
        <w:ind w:left="9152" w:hanging="341"/>
      </w:pPr>
      <w:rPr>
        <w:rFonts w:hint="default"/>
        <w:lang w:val="en-US" w:eastAsia="en-US" w:bidi="en-US"/>
      </w:rPr>
    </w:lvl>
  </w:abstractNum>
  <w:abstractNum w:abstractNumId="74" w15:restartNumberingAfterBreak="0">
    <w:nsid w:val="35680B33"/>
    <w:multiLevelType w:val="hybridMultilevel"/>
    <w:tmpl w:val="9C3AF6EA"/>
    <w:lvl w:ilvl="0" w:tplc="28581E48">
      <w:start w:val="39"/>
      <w:numFmt w:val="decimal"/>
      <w:lvlText w:val="%1"/>
      <w:lvlJc w:val="left"/>
      <w:pPr>
        <w:ind w:left="1801" w:hanging="794"/>
        <w:jc w:val="right"/>
      </w:pPr>
      <w:rPr>
        <w:rFonts w:ascii="Raleway" w:eastAsia="Raleway" w:hAnsi="Raleway" w:cs="Raleway" w:hint="default"/>
        <w:color w:val="231F20"/>
        <w:spacing w:val="-1"/>
        <w:w w:val="100"/>
        <w:sz w:val="13"/>
        <w:szCs w:val="13"/>
        <w:lang w:val="en-US" w:eastAsia="en-US" w:bidi="en-US"/>
      </w:rPr>
    </w:lvl>
    <w:lvl w:ilvl="1" w:tplc="16E4A41A">
      <w:numFmt w:val="bullet"/>
      <w:lvlText w:val="•"/>
      <w:lvlJc w:val="left"/>
      <w:pPr>
        <w:ind w:left="2586" w:hanging="794"/>
      </w:pPr>
      <w:rPr>
        <w:rFonts w:hint="default"/>
        <w:lang w:val="en-US" w:eastAsia="en-US" w:bidi="en-US"/>
      </w:rPr>
    </w:lvl>
    <w:lvl w:ilvl="2" w:tplc="F196AA1E">
      <w:numFmt w:val="bullet"/>
      <w:lvlText w:val="•"/>
      <w:lvlJc w:val="left"/>
      <w:pPr>
        <w:ind w:left="3373" w:hanging="794"/>
      </w:pPr>
      <w:rPr>
        <w:rFonts w:hint="default"/>
        <w:lang w:val="en-US" w:eastAsia="en-US" w:bidi="en-US"/>
      </w:rPr>
    </w:lvl>
    <w:lvl w:ilvl="3" w:tplc="D3AC281C">
      <w:numFmt w:val="bullet"/>
      <w:lvlText w:val="•"/>
      <w:lvlJc w:val="left"/>
      <w:pPr>
        <w:ind w:left="4160" w:hanging="794"/>
      </w:pPr>
      <w:rPr>
        <w:rFonts w:hint="default"/>
        <w:lang w:val="en-US" w:eastAsia="en-US" w:bidi="en-US"/>
      </w:rPr>
    </w:lvl>
    <w:lvl w:ilvl="4" w:tplc="0D0E5758">
      <w:numFmt w:val="bullet"/>
      <w:lvlText w:val="•"/>
      <w:lvlJc w:val="left"/>
      <w:pPr>
        <w:ind w:left="4947" w:hanging="794"/>
      </w:pPr>
      <w:rPr>
        <w:rFonts w:hint="default"/>
        <w:lang w:val="en-US" w:eastAsia="en-US" w:bidi="en-US"/>
      </w:rPr>
    </w:lvl>
    <w:lvl w:ilvl="5" w:tplc="289C5D34">
      <w:numFmt w:val="bullet"/>
      <w:lvlText w:val="•"/>
      <w:lvlJc w:val="left"/>
      <w:pPr>
        <w:ind w:left="5733" w:hanging="794"/>
      </w:pPr>
      <w:rPr>
        <w:rFonts w:hint="default"/>
        <w:lang w:val="en-US" w:eastAsia="en-US" w:bidi="en-US"/>
      </w:rPr>
    </w:lvl>
    <w:lvl w:ilvl="6" w:tplc="1294FB64">
      <w:numFmt w:val="bullet"/>
      <w:lvlText w:val="•"/>
      <w:lvlJc w:val="left"/>
      <w:pPr>
        <w:ind w:left="6520" w:hanging="794"/>
      </w:pPr>
      <w:rPr>
        <w:rFonts w:hint="default"/>
        <w:lang w:val="en-US" w:eastAsia="en-US" w:bidi="en-US"/>
      </w:rPr>
    </w:lvl>
    <w:lvl w:ilvl="7" w:tplc="EE48CC48">
      <w:numFmt w:val="bullet"/>
      <w:lvlText w:val="•"/>
      <w:lvlJc w:val="left"/>
      <w:pPr>
        <w:ind w:left="7307" w:hanging="794"/>
      </w:pPr>
      <w:rPr>
        <w:rFonts w:hint="default"/>
        <w:lang w:val="en-US" w:eastAsia="en-US" w:bidi="en-US"/>
      </w:rPr>
    </w:lvl>
    <w:lvl w:ilvl="8" w:tplc="78F6D8FA">
      <w:numFmt w:val="bullet"/>
      <w:lvlText w:val="•"/>
      <w:lvlJc w:val="left"/>
      <w:pPr>
        <w:ind w:left="8094" w:hanging="794"/>
      </w:pPr>
      <w:rPr>
        <w:rFonts w:hint="default"/>
        <w:lang w:val="en-US" w:eastAsia="en-US" w:bidi="en-US"/>
      </w:rPr>
    </w:lvl>
  </w:abstractNum>
  <w:abstractNum w:abstractNumId="75" w15:restartNumberingAfterBreak="0">
    <w:nsid w:val="357328AF"/>
    <w:multiLevelType w:val="hybridMultilevel"/>
    <w:tmpl w:val="DB2CE78C"/>
    <w:lvl w:ilvl="0" w:tplc="66DEAE2A">
      <w:start w:val="272"/>
      <w:numFmt w:val="decimal"/>
      <w:lvlText w:val="%1"/>
      <w:lvlJc w:val="left"/>
      <w:pPr>
        <w:ind w:left="1801" w:hanging="794"/>
        <w:jc w:val="right"/>
      </w:pPr>
      <w:rPr>
        <w:rFonts w:ascii="Raleway" w:eastAsia="Raleway" w:hAnsi="Raleway" w:cs="Raleway" w:hint="default"/>
        <w:color w:val="231F20"/>
        <w:spacing w:val="-1"/>
        <w:w w:val="99"/>
        <w:sz w:val="13"/>
        <w:szCs w:val="13"/>
        <w:lang w:val="en-US" w:eastAsia="en-US" w:bidi="en-US"/>
      </w:rPr>
    </w:lvl>
    <w:lvl w:ilvl="1" w:tplc="24F05C9E">
      <w:numFmt w:val="bullet"/>
      <w:lvlText w:val="•"/>
      <w:lvlJc w:val="left"/>
      <w:pPr>
        <w:ind w:left="2564" w:hanging="794"/>
      </w:pPr>
      <w:rPr>
        <w:rFonts w:hint="default"/>
        <w:lang w:val="en-US" w:eastAsia="en-US" w:bidi="en-US"/>
      </w:rPr>
    </w:lvl>
    <w:lvl w:ilvl="2" w:tplc="8DD83B2C">
      <w:numFmt w:val="bullet"/>
      <w:lvlText w:val="•"/>
      <w:lvlJc w:val="left"/>
      <w:pPr>
        <w:ind w:left="3328" w:hanging="794"/>
      </w:pPr>
      <w:rPr>
        <w:rFonts w:hint="default"/>
        <w:lang w:val="en-US" w:eastAsia="en-US" w:bidi="en-US"/>
      </w:rPr>
    </w:lvl>
    <w:lvl w:ilvl="3" w:tplc="8FE84E26">
      <w:numFmt w:val="bullet"/>
      <w:lvlText w:val="•"/>
      <w:lvlJc w:val="left"/>
      <w:pPr>
        <w:ind w:left="4093" w:hanging="794"/>
      </w:pPr>
      <w:rPr>
        <w:rFonts w:hint="default"/>
        <w:lang w:val="en-US" w:eastAsia="en-US" w:bidi="en-US"/>
      </w:rPr>
    </w:lvl>
    <w:lvl w:ilvl="4" w:tplc="A07428DC">
      <w:numFmt w:val="bullet"/>
      <w:lvlText w:val="•"/>
      <w:lvlJc w:val="left"/>
      <w:pPr>
        <w:ind w:left="4857" w:hanging="794"/>
      </w:pPr>
      <w:rPr>
        <w:rFonts w:hint="default"/>
        <w:lang w:val="en-US" w:eastAsia="en-US" w:bidi="en-US"/>
      </w:rPr>
    </w:lvl>
    <w:lvl w:ilvl="5" w:tplc="C92ACFFC">
      <w:numFmt w:val="bullet"/>
      <w:lvlText w:val="•"/>
      <w:lvlJc w:val="left"/>
      <w:pPr>
        <w:ind w:left="5621" w:hanging="794"/>
      </w:pPr>
      <w:rPr>
        <w:rFonts w:hint="default"/>
        <w:lang w:val="en-US" w:eastAsia="en-US" w:bidi="en-US"/>
      </w:rPr>
    </w:lvl>
    <w:lvl w:ilvl="6" w:tplc="7128918E">
      <w:numFmt w:val="bullet"/>
      <w:lvlText w:val="•"/>
      <w:lvlJc w:val="left"/>
      <w:pPr>
        <w:ind w:left="6386" w:hanging="794"/>
      </w:pPr>
      <w:rPr>
        <w:rFonts w:hint="default"/>
        <w:lang w:val="en-US" w:eastAsia="en-US" w:bidi="en-US"/>
      </w:rPr>
    </w:lvl>
    <w:lvl w:ilvl="7" w:tplc="7292AC62">
      <w:numFmt w:val="bullet"/>
      <w:lvlText w:val="•"/>
      <w:lvlJc w:val="left"/>
      <w:pPr>
        <w:ind w:left="7150" w:hanging="794"/>
      </w:pPr>
      <w:rPr>
        <w:rFonts w:hint="default"/>
        <w:lang w:val="en-US" w:eastAsia="en-US" w:bidi="en-US"/>
      </w:rPr>
    </w:lvl>
    <w:lvl w:ilvl="8" w:tplc="A560D358">
      <w:numFmt w:val="bullet"/>
      <w:lvlText w:val="•"/>
      <w:lvlJc w:val="left"/>
      <w:pPr>
        <w:ind w:left="7915" w:hanging="794"/>
      </w:pPr>
      <w:rPr>
        <w:rFonts w:hint="default"/>
        <w:lang w:val="en-US" w:eastAsia="en-US" w:bidi="en-US"/>
      </w:rPr>
    </w:lvl>
  </w:abstractNum>
  <w:abstractNum w:abstractNumId="76" w15:restartNumberingAfterBreak="0">
    <w:nsid w:val="36882D55"/>
    <w:multiLevelType w:val="hybridMultilevel"/>
    <w:tmpl w:val="B900CC62"/>
    <w:lvl w:ilvl="0" w:tplc="6ED8AC3E">
      <w:numFmt w:val="bullet"/>
      <w:lvlText w:val="•"/>
      <w:lvlJc w:val="left"/>
      <w:pPr>
        <w:ind w:left="453" w:hanging="341"/>
      </w:pPr>
      <w:rPr>
        <w:rFonts w:ascii="Raleway" w:eastAsia="Raleway" w:hAnsi="Raleway" w:cs="Raleway" w:hint="default"/>
        <w:color w:val="231F20"/>
        <w:spacing w:val="-6"/>
        <w:w w:val="100"/>
        <w:sz w:val="20"/>
        <w:szCs w:val="20"/>
        <w:lang w:val="en-US" w:eastAsia="en-US" w:bidi="en-US"/>
      </w:rPr>
    </w:lvl>
    <w:lvl w:ilvl="1" w:tplc="58BED720">
      <w:numFmt w:val="bullet"/>
      <w:lvlText w:val="•"/>
      <w:lvlJc w:val="left"/>
      <w:pPr>
        <w:ind w:left="821" w:hanging="341"/>
      </w:pPr>
      <w:rPr>
        <w:rFonts w:hint="default"/>
        <w:lang w:val="en-US" w:eastAsia="en-US" w:bidi="en-US"/>
      </w:rPr>
    </w:lvl>
    <w:lvl w:ilvl="2" w:tplc="95569AF4">
      <w:numFmt w:val="bullet"/>
      <w:lvlText w:val="•"/>
      <w:lvlJc w:val="left"/>
      <w:pPr>
        <w:ind w:left="1182" w:hanging="341"/>
      </w:pPr>
      <w:rPr>
        <w:rFonts w:hint="default"/>
        <w:lang w:val="en-US" w:eastAsia="en-US" w:bidi="en-US"/>
      </w:rPr>
    </w:lvl>
    <w:lvl w:ilvl="3" w:tplc="2DAA481C">
      <w:numFmt w:val="bullet"/>
      <w:lvlText w:val="•"/>
      <w:lvlJc w:val="left"/>
      <w:pPr>
        <w:ind w:left="1543" w:hanging="341"/>
      </w:pPr>
      <w:rPr>
        <w:rFonts w:hint="default"/>
        <w:lang w:val="en-US" w:eastAsia="en-US" w:bidi="en-US"/>
      </w:rPr>
    </w:lvl>
    <w:lvl w:ilvl="4" w:tplc="E2488294">
      <w:numFmt w:val="bullet"/>
      <w:lvlText w:val="•"/>
      <w:lvlJc w:val="left"/>
      <w:pPr>
        <w:ind w:left="1904" w:hanging="341"/>
      </w:pPr>
      <w:rPr>
        <w:rFonts w:hint="default"/>
        <w:lang w:val="en-US" w:eastAsia="en-US" w:bidi="en-US"/>
      </w:rPr>
    </w:lvl>
    <w:lvl w:ilvl="5" w:tplc="06D678A2">
      <w:numFmt w:val="bullet"/>
      <w:lvlText w:val="•"/>
      <w:lvlJc w:val="left"/>
      <w:pPr>
        <w:ind w:left="2266" w:hanging="341"/>
      </w:pPr>
      <w:rPr>
        <w:rFonts w:hint="default"/>
        <w:lang w:val="en-US" w:eastAsia="en-US" w:bidi="en-US"/>
      </w:rPr>
    </w:lvl>
    <w:lvl w:ilvl="6" w:tplc="4138628A">
      <w:numFmt w:val="bullet"/>
      <w:lvlText w:val="•"/>
      <w:lvlJc w:val="left"/>
      <w:pPr>
        <w:ind w:left="2627" w:hanging="341"/>
      </w:pPr>
      <w:rPr>
        <w:rFonts w:hint="default"/>
        <w:lang w:val="en-US" w:eastAsia="en-US" w:bidi="en-US"/>
      </w:rPr>
    </w:lvl>
    <w:lvl w:ilvl="7" w:tplc="9D38FF8C">
      <w:numFmt w:val="bullet"/>
      <w:lvlText w:val="•"/>
      <w:lvlJc w:val="left"/>
      <w:pPr>
        <w:ind w:left="2988" w:hanging="341"/>
      </w:pPr>
      <w:rPr>
        <w:rFonts w:hint="default"/>
        <w:lang w:val="en-US" w:eastAsia="en-US" w:bidi="en-US"/>
      </w:rPr>
    </w:lvl>
    <w:lvl w:ilvl="8" w:tplc="335CA012">
      <w:numFmt w:val="bullet"/>
      <w:lvlText w:val="•"/>
      <w:lvlJc w:val="left"/>
      <w:pPr>
        <w:ind w:left="3349" w:hanging="341"/>
      </w:pPr>
      <w:rPr>
        <w:rFonts w:hint="default"/>
        <w:lang w:val="en-US" w:eastAsia="en-US" w:bidi="en-US"/>
      </w:rPr>
    </w:lvl>
  </w:abstractNum>
  <w:abstractNum w:abstractNumId="77" w15:restartNumberingAfterBreak="0">
    <w:nsid w:val="37184604"/>
    <w:multiLevelType w:val="hybridMultilevel"/>
    <w:tmpl w:val="AC1EAF34"/>
    <w:lvl w:ilvl="0" w:tplc="04326A46">
      <w:start w:val="1"/>
      <w:numFmt w:val="lowerLetter"/>
      <w:lvlText w:val="%1."/>
      <w:lvlJc w:val="left"/>
      <w:pPr>
        <w:ind w:left="553" w:hanging="554"/>
        <w:jc w:val="left"/>
      </w:pPr>
      <w:rPr>
        <w:rFonts w:ascii="Trebuchet MS" w:eastAsia="Trebuchet MS" w:hAnsi="Trebuchet MS" w:cs="Trebuchet MS" w:hint="default"/>
        <w:color w:val="231F20"/>
        <w:spacing w:val="0"/>
        <w:w w:val="55"/>
        <w:sz w:val="20"/>
        <w:szCs w:val="20"/>
        <w:lang w:val="en-US" w:eastAsia="en-US" w:bidi="en-US"/>
      </w:rPr>
    </w:lvl>
    <w:lvl w:ilvl="1" w:tplc="5C84BAB6">
      <w:numFmt w:val="bullet"/>
      <w:lvlText w:val="•"/>
      <w:lvlJc w:val="left"/>
      <w:pPr>
        <w:ind w:left="880" w:hanging="554"/>
      </w:pPr>
      <w:rPr>
        <w:rFonts w:hint="default"/>
        <w:lang w:val="en-US" w:eastAsia="en-US" w:bidi="en-US"/>
      </w:rPr>
    </w:lvl>
    <w:lvl w:ilvl="2" w:tplc="5E8237AE">
      <w:numFmt w:val="bullet"/>
      <w:lvlText w:val="•"/>
      <w:lvlJc w:val="left"/>
      <w:pPr>
        <w:ind w:left="1613" w:hanging="554"/>
      </w:pPr>
      <w:rPr>
        <w:rFonts w:hint="default"/>
        <w:lang w:val="en-US" w:eastAsia="en-US" w:bidi="en-US"/>
      </w:rPr>
    </w:lvl>
    <w:lvl w:ilvl="3" w:tplc="9BE07B92">
      <w:numFmt w:val="bullet"/>
      <w:lvlText w:val="•"/>
      <w:lvlJc w:val="left"/>
      <w:pPr>
        <w:ind w:left="2347" w:hanging="554"/>
      </w:pPr>
      <w:rPr>
        <w:rFonts w:hint="default"/>
        <w:lang w:val="en-US" w:eastAsia="en-US" w:bidi="en-US"/>
      </w:rPr>
    </w:lvl>
    <w:lvl w:ilvl="4" w:tplc="09E4E5EE">
      <w:numFmt w:val="bullet"/>
      <w:lvlText w:val="•"/>
      <w:lvlJc w:val="left"/>
      <w:pPr>
        <w:ind w:left="3081" w:hanging="554"/>
      </w:pPr>
      <w:rPr>
        <w:rFonts w:hint="default"/>
        <w:lang w:val="en-US" w:eastAsia="en-US" w:bidi="en-US"/>
      </w:rPr>
    </w:lvl>
    <w:lvl w:ilvl="5" w:tplc="8BAA994C">
      <w:numFmt w:val="bullet"/>
      <w:lvlText w:val="•"/>
      <w:lvlJc w:val="left"/>
      <w:pPr>
        <w:ind w:left="3815" w:hanging="554"/>
      </w:pPr>
      <w:rPr>
        <w:rFonts w:hint="default"/>
        <w:lang w:val="en-US" w:eastAsia="en-US" w:bidi="en-US"/>
      </w:rPr>
    </w:lvl>
    <w:lvl w:ilvl="6" w:tplc="5FA6EA16">
      <w:numFmt w:val="bullet"/>
      <w:lvlText w:val="•"/>
      <w:lvlJc w:val="left"/>
      <w:pPr>
        <w:ind w:left="4549" w:hanging="554"/>
      </w:pPr>
      <w:rPr>
        <w:rFonts w:hint="default"/>
        <w:lang w:val="en-US" w:eastAsia="en-US" w:bidi="en-US"/>
      </w:rPr>
    </w:lvl>
    <w:lvl w:ilvl="7" w:tplc="E6EA37C6">
      <w:numFmt w:val="bullet"/>
      <w:lvlText w:val="•"/>
      <w:lvlJc w:val="left"/>
      <w:pPr>
        <w:ind w:left="5283" w:hanging="554"/>
      </w:pPr>
      <w:rPr>
        <w:rFonts w:hint="default"/>
        <w:lang w:val="en-US" w:eastAsia="en-US" w:bidi="en-US"/>
      </w:rPr>
    </w:lvl>
    <w:lvl w:ilvl="8" w:tplc="3586DA9C">
      <w:numFmt w:val="bullet"/>
      <w:lvlText w:val="•"/>
      <w:lvlJc w:val="left"/>
      <w:pPr>
        <w:ind w:left="6017" w:hanging="554"/>
      </w:pPr>
      <w:rPr>
        <w:rFonts w:hint="default"/>
        <w:lang w:val="en-US" w:eastAsia="en-US" w:bidi="en-US"/>
      </w:rPr>
    </w:lvl>
  </w:abstractNum>
  <w:abstractNum w:abstractNumId="78" w15:restartNumberingAfterBreak="0">
    <w:nsid w:val="3857332A"/>
    <w:multiLevelType w:val="hybridMultilevel"/>
    <w:tmpl w:val="19702024"/>
    <w:lvl w:ilvl="0" w:tplc="734EEAEE">
      <w:start w:val="2"/>
      <w:numFmt w:val="lowerLetter"/>
      <w:lvlText w:val="%1."/>
      <w:lvlJc w:val="left"/>
      <w:pPr>
        <w:ind w:left="2481" w:hanging="674"/>
        <w:jc w:val="left"/>
      </w:pPr>
      <w:rPr>
        <w:rFonts w:ascii="Trebuchet MS" w:eastAsia="Trebuchet MS" w:hAnsi="Trebuchet MS" w:cs="Trebuchet MS" w:hint="default"/>
        <w:color w:val="231F20"/>
        <w:spacing w:val="-3"/>
        <w:w w:val="55"/>
        <w:sz w:val="20"/>
        <w:szCs w:val="20"/>
        <w:lang w:val="en-US" w:eastAsia="en-US" w:bidi="en-US"/>
      </w:rPr>
    </w:lvl>
    <w:lvl w:ilvl="1" w:tplc="59CA002C">
      <w:numFmt w:val="bullet"/>
      <w:lvlText w:val="•"/>
      <w:lvlJc w:val="left"/>
      <w:pPr>
        <w:ind w:left="3161" w:hanging="681"/>
      </w:pPr>
      <w:rPr>
        <w:rFonts w:ascii="Trebuchet MS" w:eastAsia="Trebuchet MS" w:hAnsi="Trebuchet MS" w:cs="Trebuchet MS" w:hint="default"/>
        <w:color w:val="231F20"/>
        <w:w w:val="67"/>
        <w:sz w:val="20"/>
        <w:szCs w:val="20"/>
        <w:lang w:val="en-US" w:eastAsia="en-US" w:bidi="en-US"/>
      </w:rPr>
    </w:lvl>
    <w:lvl w:ilvl="2" w:tplc="07B62164">
      <w:numFmt w:val="bullet"/>
      <w:lvlText w:val="•"/>
      <w:lvlJc w:val="left"/>
      <w:pPr>
        <w:ind w:left="4020" w:hanging="681"/>
      </w:pPr>
      <w:rPr>
        <w:rFonts w:hint="default"/>
        <w:lang w:val="en-US" w:eastAsia="en-US" w:bidi="en-US"/>
      </w:rPr>
    </w:lvl>
    <w:lvl w:ilvl="3" w:tplc="3F5C06DA">
      <w:numFmt w:val="bullet"/>
      <w:lvlText w:val="•"/>
      <w:lvlJc w:val="left"/>
      <w:pPr>
        <w:ind w:left="4881" w:hanging="681"/>
      </w:pPr>
      <w:rPr>
        <w:rFonts w:hint="default"/>
        <w:lang w:val="en-US" w:eastAsia="en-US" w:bidi="en-US"/>
      </w:rPr>
    </w:lvl>
    <w:lvl w:ilvl="4" w:tplc="28FEE192">
      <w:numFmt w:val="bullet"/>
      <w:lvlText w:val="•"/>
      <w:lvlJc w:val="left"/>
      <w:pPr>
        <w:ind w:left="5741" w:hanging="681"/>
      </w:pPr>
      <w:rPr>
        <w:rFonts w:hint="default"/>
        <w:lang w:val="en-US" w:eastAsia="en-US" w:bidi="en-US"/>
      </w:rPr>
    </w:lvl>
    <w:lvl w:ilvl="5" w:tplc="216CA3D6">
      <w:numFmt w:val="bullet"/>
      <w:lvlText w:val="•"/>
      <w:lvlJc w:val="left"/>
      <w:pPr>
        <w:ind w:left="6602" w:hanging="681"/>
      </w:pPr>
      <w:rPr>
        <w:rFonts w:hint="default"/>
        <w:lang w:val="en-US" w:eastAsia="en-US" w:bidi="en-US"/>
      </w:rPr>
    </w:lvl>
    <w:lvl w:ilvl="6" w:tplc="C9266F0E">
      <w:numFmt w:val="bullet"/>
      <w:lvlText w:val="•"/>
      <w:lvlJc w:val="left"/>
      <w:pPr>
        <w:ind w:left="7463" w:hanging="681"/>
      </w:pPr>
      <w:rPr>
        <w:rFonts w:hint="default"/>
        <w:lang w:val="en-US" w:eastAsia="en-US" w:bidi="en-US"/>
      </w:rPr>
    </w:lvl>
    <w:lvl w:ilvl="7" w:tplc="E4D2CFB4">
      <w:numFmt w:val="bullet"/>
      <w:lvlText w:val="•"/>
      <w:lvlJc w:val="left"/>
      <w:pPr>
        <w:ind w:left="8323" w:hanging="681"/>
      </w:pPr>
      <w:rPr>
        <w:rFonts w:hint="default"/>
        <w:lang w:val="en-US" w:eastAsia="en-US" w:bidi="en-US"/>
      </w:rPr>
    </w:lvl>
    <w:lvl w:ilvl="8" w:tplc="E78EC274">
      <w:numFmt w:val="bullet"/>
      <w:lvlText w:val="•"/>
      <w:lvlJc w:val="left"/>
      <w:pPr>
        <w:ind w:left="9184" w:hanging="681"/>
      </w:pPr>
      <w:rPr>
        <w:rFonts w:hint="default"/>
        <w:lang w:val="en-US" w:eastAsia="en-US" w:bidi="en-US"/>
      </w:rPr>
    </w:lvl>
  </w:abstractNum>
  <w:abstractNum w:abstractNumId="79" w15:restartNumberingAfterBreak="0">
    <w:nsid w:val="38C21691"/>
    <w:multiLevelType w:val="hybridMultilevel"/>
    <w:tmpl w:val="C55AC244"/>
    <w:lvl w:ilvl="0" w:tplc="548CF5EE">
      <w:numFmt w:val="bullet"/>
      <w:lvlText w:val="•"/>
      <w:lvlJc w:val="left"/>
      <w:pPr>
        <w:ind w:left="453" w:hanging="341"/>
      </w:pPr>
      <w:rPr>
        <w:rFonts w:ascii="Raleway" w:eastAsia="Raleway" w:hAnsi="Raleway" w:cs="Raleway" w:hint="default"/>
        <w:color w:val="231F20"/>
        <w:spacing w:val="-6"/>
        <w:w w:val="100"/>
        <w:sz w:val="20"/>
        <w:szCs w:val="20"/>
        <w:lang w:val="en-US" w:eastAsia="en-US" w:bidi="en-US"/>
      </w:rPr>
    </w:lvl>
    <w:lvl w:ilvl="1" w:tplc="4D66B64A">
      <w:numFmt w:val="bullet"/>
      <w:lvlText w:val="•"/>
      <w:lvlJc w:val="left"/>
      <w:pPr>
        <w:ind w:left="682" w:hanging="341"/>
      </w:pPr>
      <w:rPr>
        <w:rFonts w:hint="default"/>
        <w:lang w:val="en-US" w:eastAsia="en-US" w:bidi="en-US"/>
      </w:rPr>
    </w:lvl>
    <w:lvl w:ilvl="2" w:tplc="B21EDF40">
      <w:numFmt w:val="bullet"/>
      <w:lvlText w:val="•"/>
      <w:lvlJc w:val="left"/>
      <w:pPr>
        <w:ind w:left="904" w:hanging="341"/>
      </w:pPr>
      <w:rPr>
        <w:rFonts w:hint="default"/>
        <w:lang w:val="en-US" w:eastAsia="en-US" w:bidi="en-US"/>
      </w:rPr>
    </w:lvl>
    <w:lvl w:ilvl="3" w:tplc="501CC8CC">
      <w:numFmt w:val="bullet"/>
      <w:lvlText w:val="•"/>
      <w:lvlJc w:val="left"/>
      <w:pPr>
        <w:ind w:left="1126" w:hanging="341"/>
      </w:pPr>
      <w:rPr>
        <w:rFonts w:hint="default"/>
        <w:lang w:val="en-US" w:eastAsia="en-US" w:bidi="en-US"/>
      </w:rPr>
    </w:lvl>
    <w:lvl w:ilvl="4" w:tplc="E15C1B2C">
      <w:numFmt w:val="bullet"/>
      <w:lvlText w:val="•"/>
      <w:lvlJc w:val="left"/>
      <w:pPr>
        <w:ind w:left="1349" w:hanging="341"/>
      </w:pPr>
      <w:rPr>
        <w:rFonts w:hint="default"/>
        <w:lang w:val="en-US" w:eastAsia="en-US" w:bidi="en-US"/>
      </w:rPr>
    </w:lvl>
    <w:lvl w:ilvl="5" w:tplc="C4DCB16E">
      <w:numFmt w:val="bullet"/>
      <w:lvlText w:val="•"/>
      <w:lvlJc w:val="left"/>
      <w:pPr>
        <w:ind w:left="1571" w:hanging="341"/>
      </w:pPr>
      <w:rPr>
        <w:rFonts w:hint="default"/>
        <w:lang w:val="en-US" w:eastAsia="en-US" w:bidi="en-US"/>
      </w:rPr>
    </w:lvl>
    <w:lvl w:ilvl="6" w:tplc="4E6AA342">
      <w:numFmt w:val="bullet"/>
      <w:lvlText w:val="•"/>
      <w:lvlJc w:val="left"/>
      <w:pPr>
        <w:ind w:left="1793" w:hanging="341"/>
      </w:pPr>
      <w:rPr>
        <w:rFonts w:hint="default"/>
        <w:lang w:val="en-US" w:eastAsia="en-US" w:bidi="en-US"/>
      </w:rPr>
    </w:lvl>
    <w:lvl w:ilvl="7" w:tplc="C3B0C758">
      <w:numFmt w:val="bullet"/>
      <w:lvlText w:val="•"/>
      <w:lvlJc w:val="left"/>
      <w:pPr>
        <w:ind w:left="2016" w:hanging="341"/>
      </w:pPr>
      <w:rPr>
        <w:rFonts w:hint="default"/>
        <w:lang w:val="en-US" w:eastAsia="en-US" w:bidi="en-US"/>
      </w:rPr>
    </w:lvl>
    <w:lvl w:ilvl="8" w:tplc="FC40CDB4">
      <w:numFmt w:val="bullet"/>
      <w:lvlText w:val="•"/>
      <w:lvlJc w:val="left"/>
      <w:pPr>
        <w:ind w:left="2238" w:hanging="341"/>
      </w:pPr>
      <w:rPr>
        <w:rFonts w:hint="default"/>
        <w:lang w:val="en-US" w:eastAsia="en-US" w:bidi="en-US"/>
      </w:rPr>
    </w:lvl>
  </w:abstractNum>
  <w:abstractNum w:abstractNumId="80" w15:restartNumberingAfterBreak="0">
    <w:nsid w:val="395E7F42"/>
    <w:multiLevelType w:val="hybridMultilevel"/>
    <w:tmpl w:val="B5F02E68"/>
    <w:lvl w:ilvl="0" w:tplc="C2188FC4">
      <w:start w:val="3"/>
      <w:numFmt w:val="decimal"/>
      <w:lvlText w:val="%1"/>
      <w:lvlJc w:val="left"/>
      <w:pPr>
        <w:ind w:left="1801" w:hanging="794"/>
        <w:jc w:val="left"/>
      </w:pPr>
      <w:rPr>
        <w:rFonts w:ascii="Raleway" w:eastAsia="Raleway" w:hAnsi="Raleway" w:cs="Raleway" w:hint="default"/>
        <w:color w:val="231F20"/>
        <w:spacing w:val="-1"/>
        <w:w w:val="99"/>
        <w:sz w:val="13"/>
        <w:szCs w:val="13"/>
        <w:lang w:val="en-US" w:eastAsia="en-US" w:bidi="en-US"/>
      </w:rPr>
    </w:lvl>
    <w:lvl w:ilvl="1" w:tplc="BCF47F4A">
      <w:numFmt w:val="bullet"/>
      <w:lvlText w:val="•"/>
      <w:lvlJc w:val="left"/>
      <w:pPr>
        <w:ind w:left="2141" w:hanging="341"/>
      </w:pPr>
      <w:rPr>
        <w:rFonts w:ascii="Raleway" w:eastAsia="Raleway" w:hAnsi="Raleway" w:cs="Raleway" w:hint="default"/>
        <w:color w:val="231F20"/>
        <w:spacing w:val="-7"/>
        <w:w w:val="88"/>
        <w:sz w:val="20"/>
        <w:szCs w:val="20"/>
        <w:lang w:val="en-US" w:eastAsia="en-US" w:bidi="en-US"/>
      </w:rPr>
    </w:lvl>
    <w:lvl w:ilvl="2" w:tplc="C19297C2">
      <w:numFmt w:val="bullet"/>
      <w:lvlText w:val="•"/>
      <w:lvlJc w:val="left"/>
      <w:pPr>
        <w:ind w:left="2995" w:hanging="341"/>
      </w:pPr>
      <w:rPr>
        <w:rFonts w:hint="default"/>
        <w:lang w:val="en-US" w:eastAsia="en-US" w:bidi="en-US"/>
      </w:rPr>
    </w:lvl>
    <w:lvl w:ilvl="3" w:tplc="6AC0D1E2">
      <w:numFmt w:val="bullet"/>
      <w:lvlText w:val="•"/>
      <w:lvlJc w:val="left"/>
      <w:pPr>
        <w:ind w:left="3851" w:hanging="341"/>
      </w:pPr>
      <w:rPr>
        <w:rFonts w:hint="default"/>
        <w:lang w:val="en-US" w:eastAsia="en-US" w:bidi="en-US"/>
      </w:rPr>
    </w:lvl>
    <w:lvl w:ilvl="4" w:tplc="89C492B2">
      <w:numFmt w:val="bullet"/>
      <w:lvlText w:val="•"/>
      <w:lvlJc w:val="left"/>
      <w:pPr>
        <w:ind w:left="4707" w:hanging="341"/>
      </w:pPr>
      <w:rPr>
        <w:rFonts w:hint="default"/>
        <w:lang w:val="en-US" w:eastAsia="en-US" w:bidi="en-US"/>
      </w:rPr>
    </w:lvl>
    <w:lvl w:ilvl="5" w:tplc="654C6AB8">
      <w:numFmt w:val="bullet"/>
      <w:lvlText w:val="•"/>
      <w:lvlJc w:val="left"/>
      <w:pPr>
        <w:ind w:left="5563" w:hanging="341"/>
      </w:pPr>
      <w:rPr>
        <w:rFonts w:hint="default"/>
        <w:lang w:val="en-US" w:eastAsia="en-US" w:bidi="en-US"/>
      </w:rPr>
    </w:lvl>
    <w:lvl w:ilvl="6" w:tplc="79E6D4CE">
      <w:numFmt w:val="bullet"/>
      <w:lvlText w:val="•"/>
      <w:lvlJc w:val="left"/>
      <w:pPr>
        <w:ind w:left="6419" w:hanging="341"/>
      </w:pPr>
      <w:rPr>
        <w:rFonts w:hint="default"/>
        <w:lang w:val="en-US" w:eastAsia="en-US" w:bidi="en-US"/>
      </w:rPr>
    </w:lvl>
    <w:lvl w:ilvl="7" w:tplc="82A21C50">
      <w:numFmt w:val="bullet"/>
      <w:lvlText w:val="•"/>
      <w:lvlJc w:val="left"/>
      <w:pPr>
        <w:ind w:left="7275" w:hanging="341"/>
      </w:pPr>
      <w:rPr>
        <w:rFonts w:hint="default"/>
        <w:lang w:val="en-US" w:eastAsia="en-US" w:bidi="en-US"/>
      </w:rPr>
    </w:lvl>
    <w:lvl w:ilvl="8" w:tplc="6FD00ED0">
      <w:numFmt w:val="bullet"/>
      <w:lvlText w:val="•"/>
      <w:lvlJc w:val="left"/>
      <w:pPr>
        <w:ind w:left="8131" w:hanging="341"/>
      </w:pPr>
      <w:rPr>
        <w:rFonts w:hint="default"/>
        <w:lang w:val="en-US" w:eastAsia="en-US" w:bidi="en-US"/>
      </w:rPr>
    </w:lvl>
  </w:abstractNum>
  <w:abstractNum w:abstractNumId="81" w15:restartNumberingAfterBreak="0">
    <w:nsid w:val="3A02160F"/>
    <w:multiLevelType w:val="hybridMultilevel"/>
    <w:tmpl w:val="F6E68EC8"/>
    <w:lvl w:ilvl="0" w:tplc="1F824810">
      <w:numFmt w:val="bullet"/>
      <w:lvlText w:val="•"/>
      <w:lvlJc w:val="left"/>
      <w:pPr>
        <w:ind w:left="453" w:hanging="341"/>
      </w:pPr>
      <w:rPr>
        <w:rFonts w:ascii="Raleway" w:eastAsia="Raleway" w:hAnsi="Raleway" w:cs="Raleway" w:hint="default"/>
        <w:color w:val="231F20"/>
        <w:spacing w:val="-7"/>
        <w:w w:val="100"/>
        <w:sz w:val="20"/>
        <w:szCs w:val="20"/>
        <w:lang w:val="en-US" w:eastAsia="en-US" w:bidi="en-US"/>
      </w:rPr>
    </w:lvl>
    <w:lvl w:ilvl="1" w:tplc="15D036A6">
      <w:numFmt w:val="bullet"/>
      <w:lvlText w:val="•"/>
      <w:lvlJc w:val="left"/>
      <w:pPr>
        <w:ind w:left="702" w:hanging="341"/>
      </w:pPr>
      <w:rPr>
        <w:rFonts w:hint="default"/>
        <w:lang w:val="en-US" w:eastAsia="en-US" w:bidi="en-US"/>
      </w:rPr>
    </w:lvl>
    <w:lvl w:ilvl="2" w:tplc="079A15C0">
      <w:numFmt w:val="bullet"/>
      <w:lvlText w:val="•"/>
      <w:lvlJc w:val="left"/>
      <w:pPr>
        <w:ind w:left="944" w:hanging="341"/>
      </w:pPr>
      <w:rPr>
        <w:rFonts w:hint="default"/>
        <w:lang w:val="en-US" w:eastAsia="en-US" w:bidi="en-US"/>
      </w:rPr>
    </w:lvl>
    <w:lvl w:ilvl="3" w:tplc="EC1A5EB4">
      <w:numFmt w:val="bullet"/>
      <w:lvlText w:val="•"/>
      <w:lvlJc w:val="left"/>
      <w:pPr>
        <w:ind w:left="1186" w:hanging="341"/>
      </w:pPr>
      <w:rPr>
        <w:rFonts w:hint="default"/>
        <w:lang w:val="en-US" w:eastAsia="en-US" w:bidi="en-US"/>
      </w:rPr>
    </w:lvl>
    <w:lvl w:ilvl="4" w:tplc="94DAE600">
      <w:numFmt w:val="bullet"/>
      <w:lvlText w:val="•"/>
      <w:lvlJc w:val="left"/>
      <w:pPr>
        <w:ind w:left="1428" w:hanging="341"/>
      </w:pPr>
      <w:rPr>
        <w:rFonts w:hint="default"/>
        <w:lang w:val="en-US" w:eastAsia="en-US" w:bidi="en-US"/>
      </w:rPr>
    </w:lvl>
    <w:lvl w:ilvl="5" w:tplc="50E4B43E">
      <w:numFmt w:val="bullet"/>
      <w:lvlText w:val="•"/>
      <w:lvlJc w:val="left"/>
      <w:pPr>
        <w:ind w:left="1670" w:hanging="341"/>
      </w:pPr>
      <w:rPr>
        <w:rFonts w:hint="default"/>
        <w:lang w:val="en-US" w:eastAsia="en-US" w:bidi="en-US"/>
      </w:rPr>
    </w:lvl>
    <w:lvl w:ilvl="6" w:tplc="3FB469D0">
      <w:numFmt w:val="bullet"/>
      <w:lvlText w:val="•"/>
      <w:lvlJc w:val="left"/>
      <w:pPr>
        <w:ind w:left="1912" w:hanging="341"/>
      </w:pPr>
      <w:rPr>
        <w:rFonts w:hint="default"/>
        <w:lang w:val="en-US" w:eastAsia="en-US" w:bidi="en-US"/>
      </w:rPr>
    </w:lvl>
    <w:lvl w:ilvl="7" w:tplc="EFC4CBF0">
      <w:numFmt w:val="bullet"/>
      <w:lvlText w:val="•"/>
      <w:lvlJc w:val="left"/>
      <w:pPr>
        <w:ind w:left="2154" w:hanging="341"/>
      </w:pPr>
      <w:rPr>
        <w:rFonts w:hint="default"/>
        <w:lang w:val="en-US" w:eastAsia="en-US" w:bidi="en-US"/>
      </w:rPr>
    </w:lvl>
    <w:lvl w:ilvl="8" w:tplc="6D48004C">
      <w:numFmt w:val="bullet"/>
      <w:lvlText w:val="•"/>
      <w:lvlJc w:val="left"/>
      <w:pPr>
        <w:ind w:left="2396" w:hanging="341"/>
      </w:pPr>
      <w:rPr>
        <w:rFonts w:hint="default"/>
        <w:lang w:val="en-US" w:eastAsia="en-US" w:bidi="en-US"/>
      </w:rPr>
    </w:lvl>
  </w:abstractNum>
  <w:abstractNum w:abstractNumId="82" w15:restartNumberingAfterBreak="0">
    <w:nsid w:val="3B492105"/>
    <w:multiLevelType w:val="hybridMultilevel"/>
    <w:tmpl w:val="EF60E582"/>
    <w:lvl w:ilvl="0" w:tplc="4F584EFE">
      <w:start w:val="227"/>
      <w:numFmt w:val="decimal"/>
      <w:lvlText w:val="%1"/>
      <w:lvlJc w:val="left"/>
      <w:pPr>
        <w:ind w:left="933" w:hanging="794"/>
        <w:jc w:val="left"/>
      </w:pPr>
      <w:rPr>
        <w:rFonts w:ascii="Raleway" w:eastAsia="Raleway" w:hAnsi="Raleway" w:cs="Raleway" w:hint="default"/>
        <w:color w:val="231F20"/>
        <w:spacing w:val="-1"/>
        <w:w w:val="100"/>
        <w:sz w:val="13"/>
        <w:szCs w:val="13"/>
        <w:lang w:val="en-US" w:eastAsia="en-US" w:bidi="en-US"/>
      </w:rPr>
    </w:lvl>
    <w:lvl w:ilvl="1" w:tplc="DE74C8D6">
      <w:numFmt w:val="bullet"/>
      <w:lvlText w:val="•"/>
      <w:lvlJc w:val="left"/>
      <w:pPr>
        <w:ind w:left="1849" w:hanging="794"/>
      </w:pPr>
      <w:rPr>
        <w:rFonts w:hint="default"/>
        <w:lang w:val="en-US" w:eastAsia="en-US" w:bidi="en-US"/>
      </w:rPr>
    </w:lvl>
    <w:lvl w:ilvl="2" w:tplc="48321366">
      <w:numFmt w:val="bullet"/>
      <w:lvlText w:val="•"/>
      <w:lvlJc w:val="left"/>
      <w:pPr>
        <w:ind w:left="2759" w:hanging="794"/>
      </w:pPr>
      <w:rPr>
        <w:rFonts w:hint="default"/>
        <w:lang w:val="en-US" w:eastAsia="en-US" w:bidi="en-US"/>
      </w:rPr>
    </w:lvl>
    <w:lvl w:ilvl="3" w:tplc="A6B62542">
      <w:numFmt w:val="bullet"/>
      <w:lvlText w:val="•"/>
      <w:lvlJc w:val="left"/>
      <w:pPr>
        <w:ind w:left="3669" w:hanging="794"/>
      </w:pPr>
      <w:rPr>
        <w:rFonts w:hint="default"/>
        <w:lang w:val="en-US" w:eastAsia="en-US" w:bidi="en-US"/>
      </w:rPr>
    </w:lvl>
    <w:lvl w:ilvl="4" w:tplc="97C62AA4">
      <w:numFmt w:val="bullet"/>
      <w:lvlText w:val="•"/>
      <w:lvlJc w:val="left"/>
      <w:pPr>
        <w:ind w:left="4579" w:hanging="794"/>
      </w:pPr>
      <w:rPr>
        <w:rFonts w:hint="default"/>
        <w:lang w:val="en-US" w:eastAsia="en-US" w:bidi="en-US"/>
      </w:rPr>
    </w:lvl>
    <w:lvl w:ilvl="5" w:tplc="3DE854C2">
      <w:numFmt w:val="bullet"/>
      <w:lvlText w:val="•"/>
      <w:lvlJc w:val="left"/>
      <w:pPr>
        <w:ind w:left="5489" w:hanging="794"/>
      </w:pPr>
      <w:rPr>
        <w:rFonts w:hint="default"/>
        <w:lang w:val="en-US" w:eastAsia="en-US" w:bidi="en-US"/>
      </w:rPr>
    </w:lvl>
    <w:lvl w:ilvl="6" w:tplc="1F4AE35A">
      <w:numFmt w:val="bullet"/>
      <w:lvlText w:val="•"/>
      <w:lvlJc w:val="left"/>
      <w:pPr>
        <w:ind w:left="6398" w:hanging="794"/>
      </w:pPr>
      <w:rPr>
        <w:rFonts w:hint="default"/>
        <w:lang w:val="en-US" w:eastAsia="en-US" w:bidi="en-US"/>
      </w:rPr>
    </w:lvl>
    <w:lvl w:ilvl="7" w:tplc="93468F10">
      <w:numFmt w:val="bullet"/>
      <w:lvlText w:val="•"/>
      <w:lvlJc w:val="left"/>
      <w:pPr>
        <w:ind w:left="7308" w:hanging="794"/>
      </w:pPr>
      <w:rPr>
        <w:rFonts w:hint="default"/>
        <w:lang w:val="en-US" w:eastAsia="en-US" w:bidi="en-US"/>
      </w:rPr>
    </w:lvl>
    <w:lvl w:ilvl="8" w:tplc="CE809970">
      <w:numFmt w:val="bullet"/>
      <w:lvlText w:val="•"/>
      <w:lvlJc w:val="left"/>
      <w:pPr>
        <w:ind w:left="8218" w:hanging="794"/>
      </w:pPr>
      <w:rPr>
        <w:rFonts w:hint="default"/>
        <w:lang w:val="en-US" w:eastAsia="en-US" w:bidi="en-US"/>
      </w:rPr>
    </w:lvl>
  </w:abstractNum>
  <w:abstractNum w:abstractNumId="83" w15:restartNumberingAfterBreak="0">
    <w:nsid w:val="3B903F65"/>
    <w:multiLevelType w:val="hybridMultilevel"/>
    <w:tmpl w:val="687CFA40"/>
    <w:lvl w:ilvl="0" w:tplc="2F2E6A94">
      <w:start w:val="37"/>
      <w:numFmt w:val="decimal"/>
      <w:lvlText w:val="%1"/>
      <w:lvlJc w:val="left"/>
      <w:pPr>
        <w:ind w:left="1801" w:hanging="794"/>
        <w:jc w:val="left"/>
      </w:pPr>
      <w:rPr>
        <w:rFonts w:ascii="Raleway" w:eastAsia="Raleway" w:hAnsi="Raleway" w:cs="Raleway" w:hint="default"/>
        <w:color w:val="231F20"/>
        <w:spacing w:val="-9"/>
        <w:w w:val="99"/>
        <w:sz w:val="13"/>
        <w:szCs w:val="13"/>
        <w:lang w:val="en-US" w:eastAsia="en-US" w:bidi="en-US"/>
      </w:rPr>
    </w:lvl>
    <w:lvl w:ilvl="1" w:tplc="3FCE3528">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2" w:tplc="D1E26BB4">
      <w:numFmt w:val="bullet"/>
      <w:lvlText w:val="•"/>
      <w:lvlJc w:val="left"/>
      <w:pPr>
        <w:ind w:left="3113" w:hanging="341"/>
      </w:pPr>
      <w:rPr>
        <w:rFonts w:hint="default"/>
        <w:lang w:val="en-US" w:eastAsia="en-US" w:bidi="en-US"/>
      </w:rPr>
    </w:lvl>
    <w:lvl w:ilvl="3" w:tplc="5E3A3772">
      <w:numFmt w:val="bullet"/>
      <w:lvlText w:val="•"/>
      <w:lvlJc w:val="left"/>
      <w:pPr>
        <w:ind w:left="4087" w:hanging="341"/>
      </w:pPr>
      <w:rPr>
        <w:rFonts w:hint="default"/>
        <w:lang w:val="en-US" w:eastAsia="en-US" w:bidi="en-US"/>
      </w:rPr>
    </w:lvl>
    <w:lvl w:ilvl="4" w:tplc="5BE4BE46">
      <w:numFmt w:val="bullet"/>
      <w:lvlText w:val="•"/>
      <w:lvlJc w:val="left"/>
      <w:pPr>
        <w:ind w:left="5061" w:hanging="341"/>
      </w:pPr>
      <w:rPr>
        <w:rFonts w:hint="default"/>
        <w:lang w:val="en-US" w:eastAsia="en-US" w:bidi="en-US"/>
      </w:rPr>
    </w:lvl>
    <w:lvl w:ilvl="5" w:tplc="251AD280">
      <w:numFmt w:val="bullet"/>
      <w:lvlText w:val="•"/>
      <w:lvlJc w:val="left"/>
      <w:pPr>
        <w:ind w:left="6035" w:hanging="341"/>
      </w:pPr>
      <w:rPr>
        <w:rFonts w:hint="default"/>
        <w:lang w:val="en-US" w:eastAsia="en-US" w:bidi="en-US"/>
      </w:rPr>
    </w:lvl>
    <w:lvl w:ilvl="6" w:tplc="1CAAF4C6">
      <w:numFmt w:val="bullet"/>
      <w:lvlText w:val="•"/>
      <w:lvlJc w:val="left"/>
      <w:pPr>
        <w:ind w:left="7009" w:hanging="341"/>
      </w:pPr>
      <w:rPr>
        <w:rFonts w:hint="default"/>
        <w:lang w:val="en-US" w:eastAsia="en-US" w:bidi="en-US"/>
      </w:rPr>
    </w:lvl>
    <w:lvl w:ilvl="7" w:tplc="0130CF88">
      <w:numFmt w:val="bullet"/>
      <w:lvlText w:val="•"/>
      <w:lvlJc w:val="left"/>
      <w:pPr>
        <w:ind w:left="7983" w:hanging="341"/>
      </w:pPr>
      <w:rPr>
        <w:rFonts w:hint="default"/>
        <w:lang w:val="en-US" w:eastAsia="en-US" w:bidi="en-US"/>
      </w:rPr>
    </w:lvl>
    <w:lvl w:ilvl="8" w:tplc="0FA0CFEA">
      <w:numFmt w:val="bullet"/>
      <w:lvlText w:val="•"/>
      <w:lvlJc w:val="left"/>
      <w:pPr>
        <w:ind w:left="8957" w:hanging="341"/>
      </w:pPr>
      <w:rPr>
        <w:rFonts w:hint="default"/>
        <w:lang w:val="en-US" w:eastAsia="en-US" w:bidi="en-US"/>
      </w:rPr>
    </w:lvl>
  </w:abstractNum>
  <w:abstractNum w:abstractNumId="84" w15:restartNumberingAfterBreak="0">
    <w:nsid w:val="3BFE2FE5"/>
    <w:multiLevelType w:val="hybridMultilevel"/>
    <w:tmpl w:val="5B4E3502"/>
    <w:lvl w:ilvl="0" w:tplc="EAC0629A">
      <w:start w:val="136"/>
      <w:numFmt w:val="decimal"/>
      <w:lvlText w:val="%1"/>
      <w:lvlJc w:val="left"/>
      <w:pPr>
        <w:ind w:left="1801" w:hanging="794"/>
        <w:jc w:val="left"/>
      </w:pPr>
      <w:rPr>
        <w:rFonts w:ascii="Raleway" w:eastAsia="Raleway" w:hAnsi="Raleway" w:cs="Raleway" w:hint="default"/>
        <w:color w:val="231F20"/>
        <w:spacing w:val="-7"/>
        <w:w w:val="100"/>
        <w:sz w:val="13"/>
        <w:szCs w:val="13"/>
        <w:lang w:val="en-US" w:eastAsia="en-US" w:bidi="en-US"/>
      </w:rPr>
    </w:lvl>
    <w:lvl w:ilvl="1" w:tplc="3592AC08">
      <w:numFmt w:val="bullet"/>
      <w:lvlText w:val="•"/>
      <w:lvlJc w:val="left"/>
      <w:pPr>
        <w:ind w:left="2710" w:hanging="794"/>
      </w:pPr>
      <w:rPr>
        <w:rFonts w:hint="default"/>
        <w:lang w:val="en-US" w:eastAsia="en-US" w:bidi="en-US"/>
      </w:rPr>
    </w:lvl>
    <w:lvl w:ilvl="2" w:tplc="422E46FE">
      <w:numFmt w:val="bullet"/>
      <w:lvlText w:val="•"/>
      <w:lvlJc w:val="left"/>
      <w:pPr>
        <w:ind w:left="3621" w:hanging="794"/>
      </w:pPr>
      <w:rPr>
        <w:rFonts w:hint="default"/>
        <w:lang w:val="en-US" w:eastAsia="en-US" w:bidi="en-US"/>
      </w:rPr>
    </w:lvl>
    <w:lvl w:ilvl="3" w:tplc="1554B97A">
      <w:numFmt w:val="bullet"/>
      <w:lvlText w:val="•"/>
      <w:lvlJc w:val="left"/>
      <w:pPr>
        <w:ind w:left="4531" w:hanging="794"/>
      </w:pPr>
      <w:rPr>
        <w:rFonts w:hint="default"/>
        <w:lang w:val="en-US" w:eastAsia="en-US" w:bidi="en-US"/>
      </w:rPr>
    </w:lvl>
    <w:lvl w:ilvl="4" w:tplc="0450E0F8">
      <w:numFmt w:val="bullet"/>
      <w:lvlText w:val="•"/>
      <w:lvlJc w:val="left"/>
      <w:pPr>
        <w:ind w:left="5442" w:hanging="794"/>
      </w:pPr>
      <w:rPr>
        <w:rFonts w:hint="default"/>
        <w:lang w:val="en-US" w:eastAsia="en-US" w:bidi="en-US"/>
      </w:rPr>
    </w:lvl>
    <w:lvl w:ilvl="5" w:tplc="4EA6B0FA">
      <w:numFmt w:val="bullet"/>
      <w:lvlText w:val="•"/>
      <w:lvlJc w:val="left"/>
      <w:pPr>
        <w:ind w:left="6352" w:hanging="794"/>
      </w:pPr>
      <w:rPr>
        <w:rFonts w:hint="default"/>
        <w:lang w:val="en-US" w:eastAsia="en-US" w:bidi="en-US"/>
      </w:rPr>
    </w:lvl>
    <w:lvl w:ilvl="6" w:tplc="188E4A76">
      <w:numFmt w:val="bullet"/>
      <w:lvlText w:val="•"/>
      <w:lvlJc w:val="left"/>
      <w:pPr>
        <w:ind w:left="7263" w:hanging="794"/>
      </w:pPr>
      <w:rPr>
        <w:rFonts w:hint="default"/>
        <w:lang w:val="en-US" w:eastAsia="en-US" w:bidi="en-US"/>
      </w:rPr>
    </w:lvl>
    <w:lvl w:ilvl="7" w:tplc="E53CEBF2">
      <w:numFmt w:val="bullet"/>
      <w:lvlText w:val="•"/>
      <w:lvlJc w:val="left"/>
      <w:pPr>
        <w:ind w:left="8173" w:hanging="794"/>
      </w:pPr>
      <w:rPr>
        <w:rFonts w:hint="default"/>
        <w:lang w:val="en-US" w:eastAsia="en-US" w:bidi="en-US"/>
      </w:rPr>
    </w:lvl>
    <w:lvl w:ilvl="8" w:tplc="21701CB2">
      <w:numFmt w:val="bullet"/>
      <w:lvlText w:val="•"/>
      <w:lvlJc w:val="left"/>
      <w:pPr>
        <w:ind w:left="9084" w:hanging="794"/>
      </w:pPr>
      <w:rPr>
        <w:rFonts w:hint="default"/>
        <w:lang w:val="en-US" w:eastAsia="en-US" w:bidi="en-US"/>
      </w:rPr>
    </w:lvl>
  </w:abstractNum>
  <w:abstractNum w:abstractNumId="85" w15:restartNumberingAfterBreak="0">
    <w:nsid w:val="3CA96E2E"/>
    <w:multiLevelType w:val="hybridMultilevel"/>
    <w:tmpl w:val="689EEC12"/>
    <w:lvl w:ilvl="0" w:tplc="2CB227B6">
      <w:start w:val="1"/>
      <w:numFmt w:val="decimal"/>
      <w:lvlText w:val="%1"/>
      <w:lvlJc w:val="left"/>
      <w:pPr>
        <w:ind w:left="1806" w:hanging="794"/>
        <w:jc w:val="left"/>
      </w:pPr>
      <w:rPr>
        <w:rFonts w:ascii="Raleway" w:eastAsia="Raleway" w:hAnsi="Raleway" w:cs="Raleway" w:hint="default"/>
        <w:color w:val="231F20"/>
        <w:spacing w:val="-6"/>
        <w:w w:val="100"/>
        <w:sz w:val="20"/>
        <w:szCs w:val="20"/>
        <w:lang w:val="en-US" w:eastAsia="en-US" w:bidi="en-US"/>
      </w:rPr>
    </w:lvl>
    <w:lvl w:ilvl="1" w:tplc="FE8CEC54">
      <w:numFmt w:val="bullet"/>
      <w:lvlText w:val="•"/>
      <w:lvlJc w:val="left"/>
      <w:pPr>
        <w:ind w:left="2203" w:hanging="397"/>
      </w:pPr>
      <w:rPr>
        <w:rFonts w:ascii="Raleway" w:eastAsia="Raleway" w:hAnsi="Raleway" w:cs="Raleway" w:hint="default"/>
        <w:color w:val="231F20"/>
        <w:spacing w:val="-5"/>
        <w:w w:val="100"/>
        <w:sz w:val="20"/>
        <w:szCs w:val="20"/>
        <w:lang w:val="en-US" w:eastAsia="en-US" w:bidi="en-US"/>
      </w:rPr>
    </w:lvl>
    <w:lvl w:ilvl="2" w:tplc="1C0EC1AC">
      <w:numFmt w:val="bullet"/>
      <w:lvlText w:val="•"/>
      <w:lvlJc w:val="left"/>
      <w:pPr>
        <w:ind w:left="2220" w:hanging="397"/>
      </w:pPr>
      <w:rPr>
        <w:rFonts w:hint="default"/>
        <w:lang w:val="en-US" w:eastAsia="en-US" w:bidi="en-US"/>
      </w:rPr>
    </w:lvl>
    <w:lvl w:ilvl="3" w:tplc="567E8110">
      <w:numFmt w:val="bullet"/>
      <w:lvlText w:val="•"/>
      <w:lvlJc w:val="left"/>
      <w:pPr>
        <w:ind w:left="3305" w:hanging="397"/>
      </w:pPr>
      <w:rPr>
        <w:rFonts w:hint="default"/>
        <w:lang w:val="en-US" w:eastAsia="en-US" w:bidi="en-US"/>
      </w:rPr>
    </w:lvl>
    <w:lvl w:ilvl="4" w:tplc="AB4C1308">
      <w:numFmt w:val="bullet"/>
      <w:lvlText w:val="•"/>
      <w:lvlJc w:val="left"/>
      <w:pPr>
        <w:ind w:left="4391" w:hanging="397"/>
      </w:pPr>
      <w:rPr>
        <w:rFonts w:hint="default"/>
        <w:lang w:val="en-US" w:eastAsia="en-US" w:bidi="en-US"/>
      </w:rPr>
    </w:lvl>
    <w:lvl w:ilvl="5" w:tplc="642089C4">
      <w:numFmt w:val="bullet"/>
      <w:lvlText w:val="•"/>
      <w:lvlJc w:val="left"/>
      <w:pPr>
        <w:ind w:left="5477" w:hanging="397"/>
      </w:pPr>
      <w:rPr>
        <w:rFonts w:hint="default"/>
        <w:lang w:val="en-US" w:eastAsia="en-US" w:bidi="en-US"/>
      </w:rPr>
    </w:lvl>
    <w:lvl w:ilvl="6" w:tplc="C41CDF9E">
      <w:numFmt w:val="bullet"/>
      <w:lvlText w:val="•"/>
      <w:lvlJc w:val="left"/>
      <w:pPr>
        <w:ind w:left="6562" w:hanging="397"/>
      </w:pPr>
      <w:rPr>
        <w:rFonts w:hint="default"/>
        <w:lang w:val="en-US" w:eastAsia="en-US" w:bidi="en-US"/>
      </w:rPr>
    </w:lvl>
    <w:lvl w:ilvl="7" w:tplc="38743852">
      <w:numFmt w:val="bullet"/>
      <w:lvlText w:val="•"/>
      <w:lvlJc w:val="left"/>
      <w:pPr>
        <w:ind w:left="7648" w:hanging="397"/>
      </w:pPr>
      <w:rPr>
        <w:rFonts w:hint="default"/>
        <w:lang w:val="en-US" w:eastAsia="en-US" w:bidi="en-US"/>
      </w:rPr>
    </w:lvl>
    <w:lvl w:ilvl="8" w:tplc="32123CF0">
      <w:numFmt w:val="bullet"/>
      <w:lvlText w:val="•"/>
      <w:lvlJc w:val="left"/>
      <w:pPr>
        <w:ind w:left="8734" w:hanging="397"/>
      </w:pPr>
      <w:rPr>
        <w:rFonts w:hint="default"/>
        <w:lang w:val="en-US" w:eastAsia="en-US" w:bidi="en-US"/>
      </w:rPr>
    </w:lvl>
  </w:abstractNum>
  <w:abstractNum w:abstractNumId="86" w15:restartNumberingAfterBreak="0">
    <w:nsid w:val="3D871616"/>
    <w:multiLevelType w:val="hybridMultilevel"/>
    <w:tmpl w:val="1C62627C"/>
    <w:lvl w:ilvl="0" w:tplc="C7CC5494">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1" w:tplc="2AF43E82">
      <w:numFmt w:val="bullet"/>
      <w:lvlText w:val="•"/>
      <w:lvlJc w:val="left"/>
      <w:pPr>
        <w:ind w:left="3016" w:hanging="341"/>
      </w:pPr>
      <w:rPr>
        <w:rFonts w:hint="default"/>
        <w:lang w:val="en-US" w:eastAsia="en-US" w:bidi="en-US"/>
      </w:rPr>
    </w:lvl>
    <w:lvl w:ilvl="2" w:tplc="7CE0F9B8">
      <w:numFmt w:val="bullet"/>
      <w:lvlText w:val="•"/>
      <w:lvlJc w:val="left"/>
      <w:pPr>
        <w:ind w:left="3893" w:hanging="341"/>
      </w:pPr>
      <w:rPr>
        <w:rFonts w:hint="default"/>
        <w:lang w:val="en-US" w:eastAsia="en-US" w:bidi="en-US"/>
      </w:rPr>
    </w:lvl>
    <w:lvl w:ilvl="3" w:tplc="A2FE7432">
      <w:numFmt w:val="bullet"/>
      <w:lvlText w:val="•"/>
      <w:lvlJc w:val="left"/>
      <w:pPr>
        <w:ind w:left="4769" w:hanging="341"/>
      </w:pPr>
      <w:rPr>
        <w:rFonts w:hint="default"/>
        <w:lang w:val="en-US" w:eastAsia="en-US" w:bidi="en-US"/>
      </w:rPr>
    </w:lvl>
    <w:lvl w:ilvl="4" w:tplc="17E406F2">
      <w:numFmt w:val="bullet"/>
      <w:lvlText w:val="•"/>
      <w:lvlJc w:val="left"/>
      <w:pPr>
        <w:ind w:left="5646" w:hanging="341"/>
      </w:pPr>
      <w:rPr>
        <w:rFonts w:hint="default"/>
        <w:lang w:val="en-US" w:eastAsia="en-US" w:bidi="en-US"/>
      </w:rPr>
    </w:lvl>
    <w:lvl w:ilvl="5" w:tplc="AB6CE676">
      <w:numFmt w:val="bullet"/>
      <w:lvlText w:val="•"/>
      <w:lvlJc w:val="left"/>
      <w:pPr>
        <w:ind w:left="6522" w:hanging="341"/>
      </w:pPr>
      <w:rPr>
        <w:rFonts w:hint="default"/>
        <w:lang w:val="en-US" w:eastAsia="en-US" w:bidi="en-US"/>
      </w:rPr>
    </w:lvl>
    <w:lvl w:ilvl="6" w:tplc="D2966AA6">
      <w:numFmt w:val="bullet"/>
      <w:lvlText w:val="•"/>
      <w:lvlJc w:val="left"/>
      <w:pPr>
        <w:ind w:left="7399" w:hanging="341"/>
      </w:pPr>
      <w:rPr>
        <w:rFonts w:hint="default"/>
        <w:lang w:val="en-US" w:eastAsia="en-US" w:bidi="en-US"/>
      </w:rPr>
    </w:lvl>
    <w:lvl w:ilvl="7" w:tplc="D2C8E03A">
      <w:numFmt w:val="bullet"/>
      <w:lvlText w:val="•"/>
      <w:lvlJc w:val="left"/>
      <w:pPr>
        <w:ind w:left="8275" w:hanging="341"/>
      </w:pPr>
      <w:rPr>
        <w:rFonts w:hint="default"/>
        <w:lang w:val="en-US" w:eastAsia="en-US" w:bidi="en-US"/>
      </w:rPr>
    </w:lvl>
    <w:lvl w:ilvl="8" w:tplc="A8D8EFB2">
      <w:numFmt w:val="bullet"/>
      <w:lvlText w:val="•"/>
      <w:lvlJc w:val="left"/>
      <w:pPr>
        <w:ind w:left="9152" w:hanging="341"/>
      </w:pPr>
      <w:rPr>
        <w:rFonts w:hint="default"/>
        <w:lang w:val="en-US" w:eastAsia="en-US" w:bidi="en-US"/>
      </w:rPr>
    </w:lvl>
  </w:abstractNum>
  <w:abstractNum w:abstractNumId="87" w15:restartNumberingAfterBreak="0">
    <w:nsid w:val="3EEC17CD"/>
    <w:multiLevelType w:val="hybridMultilevel"/>
    <w:tmpl w:val="8D5ED21A"/>
    <w:lvl w:ilvl="0" w:tplc="B0924538">
      <w:numFmt w:val="bullet"/>
      <w:lvlText w:val="-"/>
      <w:lvlJc w:val="left"/>
      <w:pPr>
        <w:ind w:left="1347" w:hanging="341"/>
      </w:pPr>
      <w:rPr>
        <w:rFonts w:ascii="Raleway" w:eastAsia="Raleway" w:hAnsi="Raleway" w:cs="Raleway" w:hint="default"/>
        <w:color w:val="231F20"/>
        <w:spacing w:val="-16"/>
        <w:w w:val="100"/>
        <w:sz w:val="20"/>
        <w:szCs w:val="20"/>
        <w:lang w:val="en-US" w:eastAsia="en-US" w:bidi="en-US"/>
      </w:rPr>
    </w:lvl>
    <w:lvl w:ilvl="1" w:tplc="DA1CEB26">
      <w:numFmt w:val="bullet"/>
      <w:lvlText w:val="•"/>
      <w:lvlJc w:val="left"/>
      <w:pPr>
        <w:ind w:left="2296" w:hanging="341"/>
      </w:pPr>
      <w:rPr>
        <w:rFonts w:hint="default"/>
        <w:lang w:val="en-US" w:eastAsia="en-US" w:bidi="en-US"/>
      </w:rPr>
    </w:lvl>
    <w:lvl w:ilvl="2" w:tplc="AA8402B6">
      <w:numFmt w:val="bullet"/>
      <w:lvlText w:val="•"/>
      <w:lvlJc w:val="left"/>
      <w:pPr>
        <w:ind w:left="3253" w:hanging="341"/>
      </w:pPr>
      <w:rPr>
        <w:rFonts w:hint="default"/>
        <w:lang w:val="en-US" w:eastAsia="en-US" w:bidi="en-US"/>
      </w:rPr>
    </w:lvl>
    <w:lvl w:ilvl="3" w:tplc="4384AB18">
      <w:numFmt w:val="bullet"/>
      <w:lvlText w:val="•"/>
      <w:lvlJc w:val="left"/>
      <w:pPr>
        <w:ind w:left="4209" w:hanging="341"/>
      </w:pPr>
      <w:rPr>
        <w:rFonts w:hint="default"/>
        <w:lang w:val="en-US" w:eastAsia="en-US" w:bidi="en-US"/>
      </w:rPr>
    </w:lvl>
    <w:lvl w:ilvl="4" w:tplc="6D085AF8">
      <w:numFmt w:val="bullet"/>
      <w:lvlText w:val="•"/>
      <w:lvlJc w:val="left"/>
      <w:pPr>
        <w:ind w:left="5166" w:hanging="341"/>
      </w:pPr>
      <w:rPr>
        <w:rFonts w:hint="default"/>
        <w:lang w:val="en-US" w:eastAsia="en-US" w:bidi="en-US"/>
      </w:rPr>
    </w:lvl>
    <w:lvl w:ilvl="5" w:tplc="588ED54C">
      <w:numFmt w:val="bullet"/>
      <w:lvlText w:val="•"/>
      <w:lvlJc w:val="left"/>
      <w:pPr>
        <w:ind w:left="6122" w:hanging="341"/>
      </w:pPr>
      <w:rPr>
        <w:rFonts w:hint="default"/>
        <w:lang w:val="en-US" w:eastAsia="en-US" w:bidi="en-US"/>
      </w:rPr>
    </w:lvl>
    <w:lvl w:ilvl="6" w:tplc="65F87852">
      <w:numFmt w:val="bullet"/>
      <w:lvlText w:val="•"/>
      <w:lvlJc w:val="left"/>
      <w:pPr>
        <w:ind w:left="7079" w:hanging="341"/>
      </w:pPr>
      <w:rPr>
        <w:rFonts w:hint="default"/>
        <w:lang w:val="en-US" w:eastAsia="en-US" w:bidi="en-US"/>
      </w:rPr>
    </w:lvl>
    <w:lvl w:ilvl="7" w:tplc="6C86E282">
      <w:numFmt w:val="bullet"/>
      <w:lvlText w:val="•"/>
      <w:lvlJc w:val="left"/>
      <w:pPr>
        <w:ind w:left="8035" w:hanging="341"/>
      </w:pPr>
      <w:rPr>
        <w:rFonts w:hint="default"/>
        <w:lang w:val="en-US" w:eastAsia="en-US" w:bidi="en-US"/>
      </w:rPr>
    </w:lvl>
    <w:lvl w:ilvl="8" w:tplc="45785BF2">
      <w:numFmt w:val="bullet"/>
      <w:lvlText w:val="•"/>
      <w:lvlJc w:val="left"/>
      <w:pPr>
        <w:ind w:left="8992" w:hanging="341"/>
      </w:pPr>
      <w:rPr>
        <w:rFonts w:hint="default"/>
        <w:lang w:val="en-US" w:eastAsia="en-US" w:bidi="en-US"/>
      </w:rPr>
    </w:lvl>
  </w:abstractNum>
  <w:abstractNum w:abstractNumId="88" w15:restartNumberingAfterBreak="0">
    <w:nsid w:val="3FBE0F61"/>
    <w:multiLevelType w:val="hybridMultilevel"/>
    <w:tmpl w:val="47DE6E1A"/>
    <w:lvl w:ilvl="0" w:tplc="7D94099C">
      <w:start w:val="1"/>
      <w:numFmt w:val="decimal"/>
      <w:lvlText w:val="%1"/>
      <w:lvlJc w:val="left"/>
      <w:pPr>
        <w:ind w:left="933" w:hanging="794"/>
        <w:jc w:val="right"/>
      </w:pPr>
      <w:rPr>
        <w:rFonts w:ascii="Raleway" w:eastAsia="Raleway" w:hAnsi="Raleway" w:cs="Raleway" w:hint="default"/>
        <w:color w:val="231F20"/>
        <w:spacing w:val="-3"/>
        <w:w w:val="91"/>
        <w:sz w:val="20"/>
        <w:szCs w:val="20"/>
        <w:lang w:val="en-US" w:eastAsia="en-US" w:bidi="en-US"/>
      </w:rPr>
    </w:lvl>
    <w:lvl w:ilvl="1" w:tplc="102E3356">
      <w:numFmt w:val="bullet"/>
      <w:lvlText w:val="•"/>
      <w:lvlJc w:val="left"/>
      <w:pPr>
        <w:ind w:left="1849" w:hanging="794"/>
      </w:pPr>
      <w:rPr>
        <w:rFonts w:hint="default"/>
        <w:lang w:val="en-US" w:eastAsia="en-US" w:bidi="en-US"/>
      </w:rPr>
    </w:lvl>
    <w:lvl w:ilvl="2" w:tplc="B3E29888">
      <w:numFmt w:val="bullet"/>
      <w:lvlText w:val="•"/>
      <w:lvlJc w:val="left"/>
      <w:pPr>
        <w:ind w:left="2759" w:hanging="794"/>
      </w:pPr>
      <w:rPr>
        <w:rFonts w:hint="default"/>
        <w:lang w:val="en-US" w:eastAsia="en-US" w:bidi="en-US"/>
      </w:rPr>
    </w:lvl>
    <w:lvl w:ilvl="3" w:tplc="224C3D40">
      <w:numFmt w:val="bullet"/>
      <w:lvlText w:val="•"/>
      <w:lvlJc w:val="left"/>
      <w:pPr>
        <w:ind w:left="3669" w:hanging="794"/>
      </w:pPr>
      <w:rPr>
        <w:rFonts w:hint="default"/>
        <w:lang w:val="en-US" w:eastAsia="en-US" w:bidi="en-US"/>
      </w:rPr>
    </w:lvl>
    <w:lvl w:ilvl="4" w:tplc="10249A42">
      <w:numFmt w:val="bullet"/>
      <w:lvlText w:val="•"/>
      <w:lvlJc w:val="left"/>
      <w:pPr>
        <w:ind w:left="4579" w:hanging="794"/>
      </w:pPr>
      <w:rPr>
        <w:rFonts w:hint="default"/>
        <w:lang w:val="en-US" w:eastAsia="en-US" w:bidi="en-US"/>
      </w:rPr>
    </w:lvl>
    <w:lvl w:ilvl="5" w:tplc="82767D18">
      <w:numFmt w:val="bullet"/>
      <w:lvlText w:val="•"/>
      <w:lvlJc w:val="left"/>
      <w:pPr>
        <w:ind w:left="5489" w:hanging="794"/>
      </w:pPr>
      <w:rPr>
        <w:rFonts w:hint="default"/>
        <w:lang w:val="en-US" w:eastAsia="en-US" w:bidi="en-US"/>
      </w:rPr>
    </w:lvl>
    <w:lvl w:ilvl="6" w:tplc="70760210">
      <w:numFmt w:val="bullet"/>
      <w:lvlText w:val="•"/>
      <w:lvlJc w:val="left"/>
      <w:pPr>
        <w:ind w:left="6398" w:hanging="794"/>
      </w:pPr>
      <w:rPr>
        <w:rFonts w:hint="default"/>
        <w:lang w:val="en-US" w:eastAsia="en-US" w:bidi="en-US"/>
      </w:rPr>
    </w:lvl>
    <w:lvl w:ilvl="7" w:tplc="8B0CE0E2">
      <w:numFmt w:val="bullet"/>
      <w:lvlText w:val="•"/>
      <w:lvlJc w:val="left"/>
      <w:pPr>
        <w:ind w:left="7308" w:hanging="794"/>
      </w:pPr>
      <w:rPr>
        <w:rFonts w:hint="default"/>
        <w:lang w:val="en-US" w:eastAsia="en-US" w:bidi="en-US"/>
      </w:rPr>
    </w:lvl>
    <w:lvl w:ilvl="8" w:tplc="F84E8500">
      <w:numFmt w:val="bullet"/>
      <w:lvlText w:val="•"/>
      <w:lvlJc w:val="left"/>
      <w:pPr>
        <w:ind w:left="8218" w:hanging="794"/>
      </w:pPr>
      <w:rPr>
        <w:rFonts w:hint="default"/>
        <w:lang w:val="en-US" w:eastAsia="en-US" w:bidi="en-US"/>
      </w:rPr>
    </w:lvl>
  </w:abstractNum>
  <w:abstractNum w:abstractNumId="89" w15:restartNumberingAfterBreak="0">
    <w:nsid w:val="40332258"/>
    <w:multiLevelType w:val="hybridMultilevel"/>
    <w:tmpl w:val="84682E78"/>
    <w:lvl w:ilvl="0" w:tplc="01B617A8">
      <w:start w:val="1"/>
      <w:numFmt w:val="decimal"/>
      <w:lvlText w:val="%1"/>
      <w:lvlJc w:val="left"/>
      <w:pPr>
        <w:ind w:left="933" w:hanging="794"/>
        <w:jc w:val="left"/>
      </w:pPr>
      <w:rPr>
        <w:rFonts w:ascii="Raleway" w:eastAsia="Raleway" w:hAnsi="Raleway" w:cs="Raleway" w:hint="default"/>
        <w:color w:val="231F20"/>
        <w:spacing w:val="-9"/>
        <w:w w:val="88"/>
        <w:sz w:val="13"/>
        <w:szCs w:val="13"/>
        <w:lang w:val="en-US" w:eastAsia="en-US" w:bidi="en-US"/>
      </w:rPr>
    </w:lvl>
    <w:lvl w:ilvl="1" w:tplc="E5EE8976">
      <w:numFmt w:val="bullet"/>
      <w:lvlText w:val="•"/>
      <w:lvlJc w:val="left"/>
      <w:pPr>
        <w:ind w:left="1849" w:hanging="794"/>
      </w:pPr>
      <w:rPr>
        <w:rFonts w:hint="default"/>
        <w:lang w:val="en-US" w:eastAsia="en-US" w:bidi="en-US"/>
      </w:rPr>
    </w:lvl>
    <w:lvl w:ilvl="2" w:tplc="12B876F0">
      <w:numFmt w:val="bullet"/>
      <w:lvlText w:val="•"/>
      <w:lvlJc w:val="left"/>
      <w:pPr>
        <w:ind w:left="2759" w:hanging="794"/>
      </w:pPr>
      <w:rPr>
        <w:rFonts w:hint="default"/>
        <w:lang w:val="en-US" w:eastAsia="en-US" w:bidi="en-US"/>
      </w:rPr>
    </w:lvl>
    <w:lvl w:ilvl="3" w:tplc="774C1994">
      <w:numFmt w:val="bullet"/>
      <w:lvlText w:val="•"/>
      <w:lvlJc w:val="left"/>
      <w:pPr>
        <w:ind w:left="3669" w:hanging="794"/>
      </w:pPr>
      <w:rPr>
        <w:rFonts w:hint="default"/>
        <w:lang w:val="en-US" w:eastAsia="en-US" w:bidi="en-US"/>
      </w:rPr>
    </w:lvl>
    <w:lvl w:ilvl="4" w:tplc="ACE8BCD6">
      <w:numFmt w:val="bullet"/>
      <w:lvlText w:val="•"/>
      <w:lvlJc w:val="left"/>
      <w:pPr>
        <w:ind w:left="4579" w:hanging="794"/>
      </w:pPr>
      <w:rPr>
        <w:rFonts w:hint="default"/>
        <w:lang w:val="en-US" w:eastAsia="en-US" w:bidi="en-US"/>
      </w:rPr>
    </w:lvl>
    <w:lvl w:ilvl="5" w:tplc="010679BE">
      <w:numFmt w:val="bullet"/>
      <w:lvlText w:val="•"/>
      <w:lvlJc w:val="left"/>
      <w:pPr>
        <w:ind w:left="5489" w:hanging="794"/>
      </w:pPr>
      <w:rPr>
        <w:rFonts w:hint="default"/>
        <w:lang w:val="en-US" w:eastAsia="en-US" w:bidi="en-US"/>
      </w:rPr>
    </w:lvl>
    <w:lvl w:ilvl="6" w:tplc="E2DEE0E6">
      <w:numFmt w:val="bullet"/>
      <w:lvlText w:val="•"/>
      <w:lvlJc w:val="left"/>
      <w:pPr>
        <w:ind w:left="6398" w:hanging="794"/>
      </w:pPr>
      <w:rPr>
        <w:rFonts w:hint="default"/>
        <w:lang w:val="en-US" w:eastAsia="en-US" w:bidi="en-US"/>
      </w:rPr>
    </w:lvl>
    <w:lvl w:ilvl="7" w:tplc="6BBA18C6">
      <w:numFmt w:val="bullet"/>
      <w:lvlText w:val="•"/>
      <w:lvlJc w:val="left"/>
      <w:pPr>
        <w:ind w:left="7308" w:hanging="794"/>
      </w:pPr>
      <w:rPr>
        <w:rFonts w:hint="default"/>
        <w:lang w:val="en-US" w:eastAsia="en-US" w:bidi="en-US"/>
      </w:rPr>
    </w:lvl>
    <w:lvl w:ilvl="8" w:tplc="DA92C2DA">
      <w:numFmt w:val="bullet"/>
      <w:lvlText w:val="•"/>
      <w:lvlJc w:val="left"/>
      <w:pPr>
        <w:ind w:left="8218" w:hanging="794"/>
      </w:pPr>
      <w:rPr>
        <w:rFonts w:hint="default"/>
        <w:lang w:val="en-US" w:eastAsia="en-US" w:bidi="en-US"/>
      </w:rPr>
    </w:lvl>
  </w:abstractNum>
  <w:abstractNum w:abstractNumId="90" w15:restartNumberingAfterBreak="0">
    <w:nsid w:val="41DB2EE9"/>
    <w:multiLevelType w:val="hybridMultilevel"/>
    <w:tmpl w:val="B0821822"/>
    <w:lvl w:ilvl="0" w:tplc="31AE5DA0">
      <w:start w:val="2"/>
      <w:numFmt w:val="lowerLetter"/>
      <w:lvlText w:val="%1."/>
      <w:lvlJc w:val="left"/>
      <w:pPr>
        <w:ind w:left="2367" w:hanging="554"/>
        <w:jc w:val="left"/>
      </w:pPr>
      <w:rPr>
        <w:rFonts w:ascii="Trebuchet MS" w:eastAsia="Trebuchet MS" w:hAnsi="Trebuchet MS" w:cs="Trebuchet MS" w:hint="default"/>
        <w:color w:val="231F20"/>
        <w:spacing w:val="-3"/>
        <w:w w:val="55"/>
        <w:sz w:val="20"/>
        <w:szCs w:val="20"/>
        <w:lang w:val="en-US" w:eastAsia="en-US" w:bidi="en-US"/>
      </w:rPr>
    </w:lvl>
    <w:lvl w:ilvl="1" w:tplc="5566A582">
      <w:numFmt w:val="bullet"/>
      <w:lvlText w:val="•"/>
      <w:lvlJc w:val="left"/>
      <w:pPr>
        <w:ind w:left="2934" w:hanging="567"/>
      </w:pPr>
      <w:rPr>
        <w:rFonts w:ascii="Trebuchet MS" w:eastAsia="Trebuchet MS" w:hAnsi="Trebuchet MS" w:cs="Trebuchet MS" w:hint="default"/>
        <w:color w:val="231F20"/>
        <w:w w:val="67"/>
        <w:sz w:val="20"/>
        <w:szCs w:val="20"/>
        <w:lang w:val="en-US" w:eastAsia="en-US" w:bidi="en-US"/>
      </w:rPr>
    </w:lvl>
    <w:lvl w:ilvl="2" w:tplc="1FC2959C">
      <w:numFmt w:val="bullet"/>
      <w:lvlText w:val="•"/>
      <w:lvlJc w:val="left"/>
      <w:pPr>
        <w:ind w:left="3825" w:hanging="567"/>
      </w:pPr>
      <w:rPr>
        <w:rFonts w:hint="default"/>
        <w:lang w:val="en-US" w:eastAsia="en-US" w:bidi="en-US"/>
      </w:rPr>
    </w:lvl>
    <w:lvl w:ilvl="3" w:tplc="1090A8CC">
      <w:numFmt w:val="bullet"/>
      <w:lvlText w:val="•"/>
      <w:lvlJc w:val="left"/>
      <w:pPr>
        <w:ind w:left="4710" w:hanging="567"/>
      </w:pPr>
      <w:rPr>
        <w:rFonts w:hint="default"/>
        <w:lang w:val="en-US" w:eastAsia="en-US" w:bidi="en-US"/>
      </w:rPr>
    </w:lvl>
    <w:lvl w:ilvl="4" w:tplc="08061B4A">
      <w:numFmt w:val="bullet"/>
      <w:lvlText w:val="•"/>
      <w:lvlJc w:val="left"/>
      <w:pPr>
        <w:ind w:left="5595" w:hanging="567"/>
      </w:pPr>
      <w:rPr>
        <w:rFonts w:hint="default"/>
        <w:lang w:val="en-US" w:eastAsia="en-US" w:bidi="en-US"/>
      </w:rPr>
    </w:lvl>
    <w:lvl w:ilvl="5" w:tplc="526EA8B2">
      <w:numFmt w:val="bullet"/>
      <w:lvlText w:val="•"/>
      <w:lvlJc w:val="left"/>
      <w:pPr>
        <w:ind w:left="6480" w:hanging="567"/>
      </w:pPr>
      <w:rPr>
        <w:rFonts w:hint="default"/>
        <w:lang w:val="en-US" w:eastAsia="en-US" w:bidi="en-US"/>
      </w:rPr>
    </w:lvl>
    <w:lvl w:ilvl="6" w:tplc="3934C82E">
      <w:numFmt w:val="bullet"/>
      <w:lvlText w:val="•"/>
      <w:lvlJc w:val="left"/>
      <w:pPr>
        <w:ind w:left="7365" w:hanging="567"/>
      </w:pPr>
      <w:rPr>
        <w:rFonts w:hint="default"/>
        <w:lang w:val="en-US" w:eastAsia="en-US" w:bidi="en-US"/>
      </w:rPr>
    </w:lvl>
    <w:lvl w:ilvl="7" w:tplc="02EC8B7A">
      <w:numFmt w:val="bullet"/>
      <w:lvlText w:val="•"/>
      <w:lvlJc w:val="left"/>
      <w:pPr>
        <w:ind w:left="8250" w:hanging="567"/>
      </w:pPr>
      <w:rPr>
        <w:rFonts w:hint="default"/>
        <w:lang w:val="en-US" w:eastAsia="en-US" w:bidi="en-US"/>
      </w:rPr>
    </w:lvl>
    <w:lvl w:ilvl="8" w:tplc="508C9866">
      <w:numFmt w:val="bullet"/>
      <w:lvlText w:val="•"/>
      <w:lvlJc w:val="left"/>
      <w:pPr>
        <w:ind w:left="9135" w:hanging="567"/>
      </w:pPr>
      <w:rPr>
        <w:rFonts w:hint="default"/>
        <w:lang w:val="en-US" w:eastAsia="en-US" w:bidi="en-US"/>
      </w:rPr>
    </w:lvl>
  </w:abstractNum>
  <w:abstractNum w:abstractNumId="91" w15:restartNumberingAfterBreak="0">
    <w:nsid w:val="41DC4BD8"/>
    <w:multiLevelType w:val="hybridMultilevel"/>
    <w:tmpl w:val="A00A1554"/>
    <w:lvl w:ilvl="0" w:tplc="91A0395A">
      <w:start w:val="17"/>
      <w:numFmt w:val="decimal"/>
      <w:lvlText w:val="%1"/>
      <w:lvlJc w:val="left"/>
      <w:pPr>
        <w:ind w:left="1801" w:hanging="794"/>
        <w:jc w:val="right"/>
      </w:pPr>
      <w:rPr>
        <w:rFonts w:ascii="Raleway" w:eastAsia="Raleway" w:hAnsi="Raleway" w:cs="Raleway" w:hint="default"/>
        <w:color w:val="231F20"/>
        <w:spacing w:val="-9"/>
        <w:w w:val="99"/>
        <w:sz w:val="13"/>
        <w:szCs w:val="13"/>
        <w:lang w:val="en-US" w:eastAsia="en-US" w:bidi="en-US"/>
      </w:rPr>
    </w:lvl>
    <w:lvl w:ilvl="1" w:tplc="B8926A92">
      <w:numFmt w:val="bullet"/>
      <w:lvlText w:val="•"/>
      <w:lvlJc w:val="left"/>
      <w:pPr>
        <w:ind w:left="2589" w:hanging="794"/>
      </w:pPr>
      <w:rPr>
        <w:rFonts w:hint="default"/>
        <w:lang w:val="en-US" w:eastAsia="en-US" w:bidi="en-US"/>
      </w:rPr>
    </w:lvl>
    <w:lvl w:ilvl="2" w:tplc="F106006C">
      <w:numFmt w:val="bullet"/>
      <w:lvlText w:val="•"/>
      <w:lvlJc w:val="left"/>
      <w:pPr>
        <w:ind w:left="3378" w:hanging="794"/>
      </w:pPr>
      <w:rPr>
        <w:rFonts w:hint="default"/>
        <w:lang w:val="en-US" w:eastAsia="en-US" w:bidi="en-US"/>
      </w:rPr>
    </w:lvl>
    <w:lvl w:ilvl="3" w:tplc="69A68938">
      <w:numFmt w:val="bullet"/>
      <w:lvlText w:val="•"/>
      <w:lvlJc w:val="left"/>
      <w:pPr>
        <w:ind w:left="4167" w:hanging="794"/>
      </w:pPr>
      <w:rPr>
        <w:rFonts w:hint="default"/>
        <w:lang w:val="en-US" w:eastAsia="en-US" w:bidi="en-US"/>
      </w:rPr>
    </w:lvl>
    <w:lvl w:ilvl="4" w:tplc="A1A6C49C">
      <w:numFmt w:val="bullet"/>
      <w:lvlText w:val="•"/>
      <w:lvlJc w:val="left"/>
      <w:pPr>
        <w:ind w:left="4957" w:hanging="794"/>
      </w:pPr>
      <w:rPr>
        <w:rFonts w:hint="default"/>
        <w:lang w:val="en-US" w:eastAsia="en-US" w:bidi="en-US"/>
      </w:rPr>
    </w:lvl>
    <w:lvl w:ilvl="5" w:tplc="117AEB00">
      <w:numFmt w:val="bullet"/>
      <w:lvlText w:val="•"/>
      <w:lvlJc w:val="left"/>
      <w:pPr>
        <w:ind w:left="5746" w:hanging="794"/>
      </w:pPr>
      <w:rPr>
        <w:rFonts w:hint="default"/>
        <w:lang w:val="en-US" w:eastAsia="en-US" w:bidi="en-US"/>
      </w:rPr>
    </w:lvl>
    <w:lvl w:ilvl="6" w:tplc="EF3C6B6C">
      <w:numFmt w:val="bullet"/>
      <w:lvlText w:val="•"/>
      <w:lvlJc w:val="left"/>
      <w:pPr>
        <w:ind w:left="6535" w:hanging="794"/>
      </w:pPr>
      <w:rPr>
        <w:rFonts w:hint="default"/>
        <w:lang w:val="en-US" w:eastAsia="en-US" w:bidi="en-US"/>
      </w:rPr>
    </w:lvl>
    <w:lvl w:ilvl="7" w:tplc="6E0E8202">
      <w:numFmt w:val="bullet"/>
      <w:lvlText w:val="•"/>
      <w:lvlJc w:val="left"/>
      <w:pPr>
        <w:ind w:left="7324" w:hanging="794"/>
      </w:pPr>
      <w:rPr>
        <w:rFonts w:hint="default"/>
        <w:lang w:val="en-US" w:eastAsia="en-US" w:bidi="en-US"/>
      </w:rPr>
    </w:lvl>
    <w:lvl w:ilvl="8" w:tplc="2A80EB6C">
      <w:numFmt w:val="bullet"/>
      <w:lvlText w:val="•"/>
      <w:lvlJc w:val="left"/>
      <w:pPr>
        <w:ind w:left="8114" w:hanging="794"/>
      </w:pPr>
      <w:rPr>
        <w:rFonts w:hint="default"/>
        <w:lang w:val="en-US" w:eastAsia="en-US" w:bidi="en-US"/>
      </w:rPr>
    </w:lvl>
  </w:abstractNum>
  <w:abstractNum w:abstractNumId="92" w15:restartNumberingAfterBreak="0">
    <w:nsid w:val="41F06383"/>
    <w:multiLevelType w:val="hybridMultilevel"/>
    <w:tmpl w:val="C0ACFC74"/>
    <w:lvl w:ilvl="0" w:tplc="94727550">
      <w:start w:val="158"/>
      <w:numFmt w:val="decimal"/>
      <w:lvlText w:val="%1"/>
      <w:lvlJc w:val="left"/>
      <w:pPr>
        <w:ind w:left="1801" w:hanging="794"/>
        <w:jc w:val="right"/>
      </w:pPr>
      <w:rPr>
        <w:rFonts w:ascii="Raleway" w:eastAsia="Raleway" w:hAnsi="Raleway" w:cs="Raleway" w:hint="default"/>
        <w:color w:val="231F20"/>
        <w:spacing w:val="-7"/>
        <w:w w:val="99"/>
        <w:sz w:val="13"/>
        <w:szCs w:val="13"/>
        <w:lang w:val="en-US" w:eastAsia="en-US" w:bidi="en-US"/>
      </w:rPr>
    </w:lvl>
    <w:lvl w:ilvl="1" w:tplc="23A49E4C">
      <w:numFmt w:val="bullet"/>
      <w:lvlText w:val="•"/>
      <w:lvlJc w:val="left"/>
      <w:pPr>
        <w:ind w:left="2590" w:hanging="794"/>
      </w:pPr>
      <w:rPr>
        <w:rFonts w:hint="default"/>
        <w:lang w:val="en-US" w:eastAsia="en-US" w:bidi="en-US"/>
      </w:rPr>
    </w:lvl>
    <w:lvl w:ilvl="2" w:tplc="66D8DF84">
      <w:numFmt w:val="bullet"/>
      <w:lvlText w:val="•"/>
      <w:lvlJc w:val="left"/>
      <w:pPr>
        <w:ind w:left="3380" w:hanging="794"/>
      </w:pPr>
      <w:rPr>
        <w:rFonts w:hint="default"/>
        <w:lang w:val="en-US" w:eastAsia="en-US" w:bidi="en-US"/>
      </w:rPr>
    </w:lvl>
    <w:lvl w:ilvl="3" w:tplc="8782EA42">
      <w:numFmt w:val="bullet"/>
      <w:lvlText w:val="•"/>
      <w:lvlJc w:val="left"/>
      <w:pPr>
        <w:ind w:left="4171" w:hanging="794"/>
      </w:pPr>
      <w:rPr>
        <w:rFonts w:hint="default"/>
        <w:lang w:val="en-US" w:eastAsia="en-US" w:bidi="en-US"/>
      </w:rPr>
    </w:lvl>
    <w:lvl w:ilvl="4" w:tplc="81C867B2">
      <w:numFmt w:val="bullet"/>
      <w:lvlText w:val="•"/>
      <w:lvlJc w:val="left"/>
      <w:pPr>
        <w:ind w:left="4961" w:hanging="794"/>
      </w:pPr>
      <w:rPr>
        <w:rFonts w:hint="default"/>
        <w:lang w:val="en-US" w:eastAsia="en-US" w:bidi="en-US"/>
      </w:rPr>
    </w:lvl>
    <w:lvl w:ilvl="5" w:tplc="A6FE0E90">
      <w:numFmt w:val="bullet"/>
      <w:lvlText w:val="•"/>
      <w:lvlJc w:val="left"/>
      <w:pPr>
        <w:ind w:left="5752" w:hanging="794"/>
      </w:pPr>
      <w:rPr>
        <w:rFonts w:hint="default"/>
        <w:lang w:val="en-US" w:eastAsia="en-US" w:bidi="en-US"/>
      </w:rPr>
    </w:lvl>
    <w:lvl w:ilvl="6" w:tplc="FED6097C">
      <w:numFmt w:val="bullet"/>
      <w:lvlText w:val="•"/>
      <w:lvlJc w:val="left"/>
      <w:pPr>
        <w:ind w:left="6542" w:hanging="794"/>
      </w:pPr>
      <w:rPr>
        <w:rFonts w:hint="default"/>
        <w:lang w:val="en-US" w:eastAsia="en-US" w:bidi="en-US"/>
      </w:rPr>
    </w:lvl>
    <w:lvl w:ilvl="7" w:tplc="445E406C">
      <w:numFmt w:val="bullet"/>
      <w:lvlText w:val="•"/>
      <w:lvlJc w:val="left"/>
      <w:pPr>
        <w:ind w:left="7333" w:hanging="794"/>
      </w:pPr>
      <w:rPr>
        <w:rFonts w:hint="default"/>
        <w:lang w:val="en-US" w:eastAsia="en-US" w:bidi="en-US"/>
      </w:rPr>
    </w:lvl>
    <w:lvl w:ilvl="8" w:tplc="FAFC3D9C">
      <w:numFmt w:val="bullet"/>
      <w:lvlText w:val="•"/>
      <w:lvlJc w:val="left"/>
      <w:pPr>
        <w:ind w:left="8123" w:hanging="794"/>
      </w:pPr>
      <w:rPr>
        <w:rFonts w:hint="default"/>
        <w:lang w:val="en-US" w:eastAsia="en-US" w:bidi="en-US"/>
      </w:rPr>
    </w:lvl>
  </w:abstractNum>
  <w:abstractNum w:abstractNumId="93" w15:restartNumberingAfterBreak="0">
    <w:nsid w:val="42E454B9"/>
    <w:multiLevelType w:val="hybridMultilevel"/>
    <w:tmpl w:val="28861612"/>
    <w:lvl w:ilvl="0" w:tplc="39E2E566">
      <w:start w:val="97"/>
      <w:numFmt w:val="decimal"/>
      <w:lvlText w:val="%1"/>
      <w:lvlJc w:val="left"/>
      <w:pPr>
        <w:ind w:left="1801" w:hanging="794"/>
        <w:jc w:val="right"/>
      </w:pPr>
      <w:rPr>
        <w:rFonts w:ascii="Raleway" w:eastAsia="Raleway" w:hAnsi="Raleway" w:cs="Raleway" w:hint="default"/>
        <w:color w:val="231F20"/>
        <w:spacing w:val="-7"/>
        <w:w w:val="88"/>
        <w:sz w:val="13"/>
        <w:szCs w:val="13"/>
        <w:lang w:val="en-US" w:eastAsia="en-US" w:bidi="en-US"/>
      </w:rPr>
    </w:lvl>
    <w:lvl w:ilvl="1" w:tplc="0FEE8A82">
      <w:numFmt w:val="bullet"/>
      <w:lvlText w:val="•"/>
      <w:lvlJc w:val="left"/>
      <w:pPr>
        <w:ind w:left="2141" w:hanging="341"/>
      </w:pPr>
      <w:rPr>
        <w:rFonts w:ascii="Raleway" w:eastAsia="Raleway" w:hAnsi="Raleway" w:cs="Raleway" w:hint="default"/>
        <w:color w:val="231F20"/>
        <w:spacing w:val="-6"/>
        <w:w w:val="88"/>
        <w:sz w:val="20"/>
        <w:szCs w:val="20"/>
        <w:lang w:val="en-US" w:eastAsia="en-US" w:bidi="en-US"/>
      </w:rPr>
    </w:lvl>
    <w:lvl w:ilvl="2" w:tplc="186ADADC">
      <w:numFmt w:val="bullet"/>
      <w:lvlText w:val="•"/>
      <w:lvlJc w:val="left"/>
      <w:pPr>
        <w:ind w:left="2946" w:hanging="341"/>
      </w:pPr>
      <w:rPr>
        <w:rFonts w:hint="default"/>
        <w:lang w:val="en-US" w:eastAsia="en-US" w:bidi="en-US"/>
      </w:rPr>
    </w:lvl>
    <w:lvl w:ilvl="3" w:tplc="AF1667D2">
      <w:numFmt w:val="bullet"/>
      <w:lvlText w:val="•"/>
      <w:lvlJc w:val="left"/>
      <w:pPr>
        <w:ind w:left="3752" w:hanging="341"/>
      </w:pPr>
      <w:rPr>
        <w:rFonts w:hint="default"/>
        <w:lang w:val="en-US" w:eastAsia="en-US" w:bidi="en-US"/>
      </w:rPr>
    </w:lvl>
    <w:lvl w:ilvl="4" w:tplc="6A4420BC">
      <w:numFmt w:val="bullet"/>
      <w:lvlText w:val="•"/>
      <w:lvlJc w:val="left"/>
      <w:pPr>
        <w:ind w:left="4559" w:hanging="341"/>
      </w:pPr>
      <w:rPr>
        <w:rFonts w:hint="default"/>
        <w:lang w:val="en-US" w:eastAsia="en-US" w:bidi="en-US"/>
      </w:rPr>
    </w:lvl>
    <w:lvl w:ilvl="5" w:tplc="4D4834EE">
      <w:numFmt w:val="bullet"/>
      <w:lvlText w:val="•"/>
      <w:lvlJc w:val="left"/>
      <w:pPr>
        <w:ind w:left="5365" w:hanging="341"/>
      </w:pPr>
      <w:rPr>
        <w:rFonts w:hint="default"/>
        <w:lang w:val="en-US" w:eastAsia="en-US" w:bidi="en-US"/>
      </w:rPr>
    </w:lvl>
    <w:lvl w:ilvl="6" w:tplc="E968EE0E">
      <w:numFmt w:val="bullet"/>
      <w:lvlText w:val="•"/>
      <w:lvlJc w:val="left"/>
      <w:pPr>
        <w:ind w:left="6172" w:hanging="341"/>
      </w:pPr>
      <w:rPr>
        <w:rFonts w:hint="default"/>
        <w:lang w:val="en-US" w:eastAsia="en-US" w:bidi="en-US"/>
      </w:rPr>
    </w:lvl>
    <w:lvl w:ilvl="7" w:tplc="4216AE74">
      <w:numFmt w:val="bullet"/>
      <w:lvlText w:val="•"/>
      <w:lvlJc w:val="left"/>
      <w:pPr>
        <w:ind w:left="6978" w:hanging="341"/>
      </w:pPr>
      <w:rPr>
        <w:rFonts w:hint="default"/>
        <w:lang w:val="en-US" w:eastAsia="en-US" w:bidi="en-US"/>
      </w:rPr>
    </w:lvl>
    <w:lvl w:ilvl="8" w:tplc="2D9C126C">
      <w:numFmt w:val="bullet"/>
      <w:lvlText w:val="•"/>
      <w:lvlJc w:val="left"/>
      <w:pPr>
        <w:ind w:left="7785" w:hanging="341"/>
      </w:pPr>
      <w:rPr>
        <w:rFonts w:hint="default"/>
        <w:lang w:val="en-US" w:eastAsia="en-US" w:bidi="en-US"/>
      </w:rPr>
    </w:lvl>
  </w:abstractNum>
  <w:abstractNum w:abstractNumId="94" w15:restartNumberingAfterBreak="0">
    <w:nsid w:val="435C5DE2"/>
    <w:multiLevelType w:val="hybridMultilevel"/>
    <w:tmpl w:val="D758F076"/>
    <w:lvl w:ilvl="0" w:tplc="6B7C0458">
      <w:start w:val="23"/>
      <w:numFmt w:val="decimal"/>
      <w:lvlText w:val="%1"/>
      <w:lvlJc w:val="left"/>
      <w:pPr>
        <w:ind w:left="1588" w:hanging="567"/>
        <w:jc w:val="left"/>
      </w:pPr>
      <w:rPr>
        <w:rFonts w:ascii="Raleway" w:eastAsia="Raleway" w:hAnsi="Raleway" w:cs="Raleway" w:hint="default"/>
        <w:b/>
        <w:bCs/>
        <w:color w:val="FFFFFF"/>
        <w:spacing w:val="-5"/>
        <w:w w:val="100"/>
        <w:sz w:val="24"/>
        <w:szCs w:val="24"/>
        <w:lang w:val="en-US" w:eastAsia="en-US" w:bidi="en-US"/>
      </w:rPr>
    </w:lvl>
    <w:lvl w:ilvl="1" w:tplc="E67E1674">
      <w:numFmt w:val="bullet"/>
      <w:lvlText w:val="•"/>
      <w:lvlJc w:val="left"/>
      <w:pPr>
        <w:ind w:left="2512" w:hanging="567"/>
      </w:pPr>
      <w:rPr>
        <w:rFonts w:hint="default"/>
        <w:lang w:val="en-US" w:eastAsia="en-US" w:bidi="en-US"/>
      </w:rPr>
    </w:lvl>
    <w:lvl w:ilvl="2" w:tplc="9FA89168">
      <w:numFmt w:val="bullet"/>
      <w:lvlText w:val="•"/>
      <w:lvlJc w:val="left"/>
      <w:pPr>
        <w:ind w:left="3445" w:hanging="567"/>
      </w:pPr>
      <w:rPr>
        <w:rFonts w:hint="default"/>
        <w:lang w:val="en-US" w:eastAsia="en-US" w:bidi="en-US"/>
      </w:rPr>
    </w:lvl>
    <w:lvl w:ilvl="3" w:tplc="CF349FB8">
      <w:numFmt w:val="bullet"/>
      <w:lvlText w:val="•"/>
      <w:lvlJc w:val="left"/>
      <w:pPr>
        <w:ind w:left="4377" w:hanging="567"/>
      </w:pPr>
      <w:rPr>
        <w:rFonts w:hint="default"/>
        <w:lang w:val="en-US" w:eastAsia="en-US" w:bidi="en-US"/>
      </w:rPr>
    </w:lvl>
    <w:lvl w:ilvl="4" w:tplc="E57C46E2">
      <w:numFmt w:val="bullet"/>
      <w:lvlText w:val="•"/>
      <w:lvlJc w:val="left"/>
      <w:pPr>
        <w:ind w:left="5310" w:hanging="567"/>
      </w:pPr>
      <w:rPr>
        <w:rFonts w:hint="default"/>
        <w:lang w:val="en-US" w:eastAsia="en-US" w:bidi="en-US"/>
      </w:rPr>
    </w:lvl>
    <w:lvl w:ilvl="5" w:tplc="AC56155E">
      <w:numFmt w:val="bullet"/>
      <w:lvlText w:val="•"/>
      <w:lvlJc w:val="left"/>
      <w:pPr>
        <w:ind w:left="6242" w:hanging="567"/>
      </w:pPr>
      <w:rPr>
        <w:rFonts w:hint="default"/>
        <w:lang w:val="en-US" w:eastAsia="en-US" w:bidi="en-US"/>
      </w:rPr>
    </w:lvl>
    <w:lvl w:ilvl="6" w:tplc="0F04700C">
      <w:numFmt w:val="bullet"/>
      <w:lvlText w:val="•"/>
      <w:lvlJc w:val="left"/>
      <w:pPr>
        <w:ind w:left="7175" w:hanging="567"/>
      </w:pPr>
      <w:rPr>
        <w:rFonts w:hint="default"/>
        <w:lang w:val="en-US" w:eastAsia="en-US" w:bidi="en-US"/>
      </w:rPr>
    </w:lvl>
    <w:lvl w:ilvl="7" w:tplc="DF8A5A8A">
      <w:numFmt w:val="bullet"/>
      <w:lvlText w:val="•"/>
      <w:lvlJc w:val="left"/>
      <w:pPr>
        <w:ind w:left="8107" w:hanging="567"/>
      </w:pPr>
      <w:rPr>
        <w:rFonts w:hint="default"/>
        <w:lang w:val="en-US" w:eastAsia="en-US" w:bidi="en-US"/>
      </w:rPr>
    </w:lvl>
    <w:lvl w:ilvl="8" w:tplc="BE96F902">
      <w:numFmt w:val="bullet"/>
      <w:lvlText w:val="•"/>
      <w:lvlJc w:val="left"/>
      <w:pPr>
        <w:ind w:left="9040" w:hanging="567"/>
      </w:pPr>
      <w:rPr>
        <w:rFonts w:hint="default"/>
        <w:lang w:val="en-US" w:eastAsia="en-US" w:bidi="en-US"/>
      </w:rPr>
    </w:lvl>
  </w:abstractNum>
  <w:abstractNum w:abstractNumId="95" w15:restartNumberingAfterBreak="0">
    <w:nsid w:val="468926D9"/>
    <w:multiLevelType w:val="hybridMultilevel"/>
    <w:tmpl w:val="16BEC21A"/>
    <w:lvl w:ilvl="0" w:tplc="10780F24">
      <w:start w:val="142"/>
      <w:numFmt w:val="decimal"/>
      <w:lvlText w:val="%1"/>
      <w:lvlJc w:val="left"/>
      <w:pPr>
        <w:ind w:left="933" w:hanging="794"/>
        <w:jc w:val="left"/>
      </w:pPr>
      <w:rPr>
        <w:rFonts w:ascii="Raleway" w:eastAsia="Raleway" w:hAnsi="Raleway" w:cs="Raleway" w:hint="default"/>
        <w:color w:val="231F20"/>
        <w:spacing w:val="-2"/>
        <w:w w:val="99"/>
        <w:sz w:val="13"/>
        <w:szCs w:val="13"/>
        <w:lang w:val="en-US" w:eastAsia="en-US" w:bidi="en-US"/>
      </w:rPr>
    </w:lvl>
    <w:lvl w:ilvl="1" w:tplc="215C5252">
      <w:numFmt w:val="bullet"/>
      <w:lvlText w:val="•"/>
      <w:lvlJc w:val="left"/>
      <w:pPr>
        <w:ind w:left="1849" w:hanging="794"/>
      </w:pPr>
      <w:rPr>
        <w:rFonts w:hint="default"/>
        <w:lang w:val="en-US" w:eastAsia="en-US" w:bidi="en-US"/>
      </w:rPr>
    </w:lvl>
    <w:lvl w:ilvl="2" w:tplc="8C30AC52">
      <w:numFmt w:val="bullet"/>
      <w:lvlText w:val="•"/>
      <w:lvlJc w:val="left"/>
      <w:pPr>
        <w:ind w:left="2759" w:hanging="794"/>
      </w:pPr>
      <w:rPr>
        <w:rFonts w:hint="default"/>
        <w:lang w:val="en-US" w:eastAsia="en-US" w:bidi="en-US"/>
      </w:rPr>
    </w:lvl>
    <w:lvl w:ilvl="3" w:tplc="3252BA52">
      <w:numFmt w:val="bullet"/>
      <w:lvlText w:val="•"/>
      <w:lvlJc w:val="left"/>
      <w:pPr>
        <w:ind w:left="3669" w:hanging="794"/>
      </w:pPr>
      <w:rPr>
        <w:rFonts w:hint="default"/>
        <w:lang w:val="en-US" w:eastAsia="en-US" w:bidi="en-US"/>
      </w:rPr>
    </w:lvl>
    <w:lvl w:ilvl="4" w:tplc="708AFB10">
      <w:numFmt w:val="bullet"/>
      <w:lvlText w:val="•"/>
      <w:lvlJc w:val="left"/>
      <w:pPr>
        <w:ind w:left="4579" w:hanging="794"/>
      </w:pPr>
      <w:rPr>
        <w:rFonts w:hint="default"/>
        <w:lang w:val="en-US" w:eastAsia="en-US" w:bidi="en-US"/>
      </w:rPr>
    </w:lvl>
    <w:lvl w:ilvl="5" w:tplc="46EAE6D2">
      <w:numFmt w:val="bullet"/>
      <w:lvlText w:val="•"/>
      <w:lvlJc w:val="left"/>
      <w:pPr>
        <w:ind w:left="5489" w:hanging="794"/>
      </w:pPr>
      <w:rPr>
        <w:rFonts w:hint="default"/>
        <w:lang w:val="en-US" w:eastAsia="en-US" w:bidi="en-US"/>
      </w:rPr>
    </w:lvl>
    <w:lvl w:ilvl="6" w:tplc="88E2E65C">
      <w:numFmt w:val="bullet"/>
      <w:lvlText w:val="•"/>
      <w:lvlJc w:val="left"/>
      <w:pPr>
        <w:ind w:left="6398" w:hanging="794"/>
      </w:pPr>
      <w:rPr>
        <w:rFonts w:hint="default"/>
        <w:lang w:val="en-US" w:eastAsia="en-US" w:bidi="en-US"/>
      </w:rPr>
    </w:lvl>
    <w:lvl w:ilvl="7" w:tplc="0A96770A">
      <w:numFmt w:val="bullet"/>
      <w:lvlText w:val="•"/>
      <w:lvlJc w:val="left"/>
      <w:pPr>
        <w:ind w:left="7308" w:hanging="794"/>
      </w:pPr>
      <w:rPr>
        <w:rFonts w:hint="default"/>
        <w:lang w:val="en-US" w:eastAsia="en-US" w:bidi="en-US"/>
      </w:rPr>
    </w:lvl>
    <w:lvl w:ilvl="8" w:tplc="4BAEC596">
      <w:numFmt w:val="bullet"/>
      <w:lvlText w:val="•"/>
      <w:lvlJc w:val="left"/>
      <w:pPr>
        <w:ind w:left="8218" w:hanging="794"/>
      </w:pPr>
      <w:rPr>
        <w:rFonts w:hint="default"/>
        <w:lang w:val="en-US" w:eastAsia="en-US" w:bidi="en-US"/>
      </w:rPr>
    </w:lvl>
  </w:abstractNum>
  <w:abstractNum w:abstractNumId="96" w15:restartNumberingAfterBreak="0">
    <w:nsid w:val="46DF1072"/>
    <w:multiLevelType w:val="hybridMultilevel"/>
    <w:tmpl w:val="56626F28"/>
    <w:lvl w:ilvl="0" w:tplc="AC5A8E9C">
      <w:numFmt w:val="bullet"/>
      <w:lvlText w:val="•"/>
      <w:lvlJc w:val="left"/>
      <w:pPr>
        <w:ind w:left="453" w:hanging="341"/>
      </w:pPr>
      <w:rPr>
        <w:rFonts w:ascii="Raleway" w:eastAsia="Raleway" w:hAnsi="Raleway" w:cs="Raleway" w:hint="default"/>
        <w:color w:val="231F20"/>
        <w:spacing w:val="-8"/>
        <w:w w:val="100"/>
        <w:sz w:val="20"/>
        <w:szCs w:val="20"/>
        <w:lang w:val="en-US" w:eastAsia="en-US" w:bidi="en-US"/>
      </w:rPr>
    </w:lvl>
    <w:lvl w:ilvl="1" w:tplc="A21A54D2">
      <w:numFmt w:val="bullet"/>
      <w:lvlText w:val="•"/>
      <w:lvlJc w:val="left"/>
      <w:pPr>
        <w:ind w:left="795" w:hanging="341"/>
      </w:pPr>
      <w:rPr>
        <w:rFonts w:hint="default"/>
        <w:lang w:val="en-US" w:eastAsia="en-US" w:bidi="en-US"/>
      </w:rPr>
    </w:lvl>
    <w:lvl w:ilvl="2" w:tplc="5698812C">
      <w:numFmt w:val="bullet"/>
      <w:lvlText w:val="•"/>
      <w:lvlJc w:val="left"/>
      <w:pPr>
        <w:ind w:left="1130" w:hanging="341"/>
      </w:pPr>
      <w:rPr>
        <w:rFonts w:hint="default"/>
        <w:lang w:val="en-US" w:eastAsia="en-US" w:bidi="en-US"/>
      </w:rPr>
    </w:lvl>
    <w:lvl w:ilvl="3" w:tplc="D3AE393A">
      <w:numFmt w:val="bullet"/>
      <w:lvlText w:val="•"/>
      <w:lvlJc w:val="left"/>
      <w:pPr>
        <w:ind w:left="1466" w:hanging="341"/>
      </w:pPr>
      <w:rPr>
        <w:rFonts w:hint="default"/>
        <w:lang w:val="en-US" w:eastAsia="en-US" w:bidi="en-US"/>
      </w:rPr>
    </w:lvl>
    <w:lvl w:ilvl="4" w:tplc="F84AFAAC">
      <w:numFmt w:val="bullet"/>
      <w:lvlText w:val="•"/>
      <w:lvlJc w:val="left"/>
      <w:pPr>
        <w:ind w:left="1801" w:hanging="341"/>
      </w:pPr>
      <w:rPr>
        <w:rFonts w:hint="default"/>
        <w:lang w:val="en-US" w:eastAsia="en-US" w:bidi="en-US"/>
      </w:rPr>
    </w:lvl>
    <w:lvl w:ilvl="5" w:tplc="3126C446">
      <w:numFmt w:val="bullet"/>
      <w:lvlText w:val="•"/>
      <w:lvlJc w:val="left"/>
      <w:pPr>
        <w:ind w:left="2137" w:hanging="341"/>
      </w:pPr>
      <w:rPr>
        <w:rFonts w:hint="default"/>
        <w:lang w:val="en-US" w:eastAsia="en-US" w:bidi="en-US"/>
      </w:rPr>
    </w:lvl>
    <w:lvl w:ilvl="6" w:tplc="3CB8EE36">
      <w:numFmt w:val="bullet"/>
      <w:lvlText w:val="•"/>
      <w:lvlJc w:val="left"/>
      <w:pPr>
        <w:ind w:left="2472" w:hanging="341"/>
      </w:pPr>
      <w:rPr>
        <w:rFonts w:hint="default"/>
        <w:lang w:val="en-US" w:eastAsia="en-US" w:bidi="en-US"/>
      </w:rPr>
    </w:lvl>
    <w:lvl w:ilvl="7" w:tplc="35021796">
      <w:numFmt w:val="bullet"/>
      <w:lvlText w:val="•"/>
      <w:lvlJc w:val="left"/>
      <w:pPr>
        <w:ind w:left="2807" w:hanging="341"/>
      </w:pPr>
      <w:rPr>
        <w:rFonts w:hint="default"/>
        <w:lang w:val="en-US" w:eastAsia="en-US" w:bidi="en-US"/>
      </w:rPr>
    </w:lvl>
    <w:lvl w:ilvl="8" w:tplc="5422FF58">
      <w:numFmt w:val="bullet"/>
      <w:lvlText w:val="•"/>
      <w:lvlJc w:val="left"/>
      <w:pPr>
        <w:ind w:left="3143" w:hanging="341"/>
      </w:pPr>
      <w:rPr>
        <w:rFonts w:hint="default"/>
        <w:lang w:val="en-US" w:eastAsia="en-US" w:bidi="en-US"/>
      </w:rPr>
    </w:lvl>
  </w:abstractNum>
  <w:abstractNum w:abstractNumId="97" w15:restartNumberingAfterBreak="0">
    <w:nsid w:val="46F560F8"/>
    <w:multiLevelType w:val="hybridMultilevel"/>
    <w:tmpl w:val="91FE2458"/>
    <w:lvl w:ilvl="0" w:tplc="93188CFC">
      <w:start w:val="124"/>
      <w:numFmt w:val="decimal"/>
      <w:lvlText w:val="%1"/>
      <w:lvlJc w:val="left"/>
      <w:pPr>
        <w:ind w:left="1801" w:hanging="794"/>
        <w:jc w:val="left"/>
      </w:pPr>
      <w:rPr>
        <w:rFonts w:ascii="Raleway" w:eastAsia="Raleway" w:hAnsi="Raleway" w:cs="Raleway" w:hint="default"/>
        <w:color w:val="231F20"/>
        <w:spacing w:val="-8"/>
        <w:w w:val="99"/>
        <w:sz w:val="13"/>
        <w:szCs w:val="13"/>
        <w:lang w:val="en-US" w:eastAsia="en-US" w:bidi="en-US"/>
      </w:rPr>
    </w:lvl>
    <w:lvl w:ilvl="1" w:tplc="255C84D8">
      <w:numFmt w:val="bullet"/>
      <w:lvlText w:val="•"/>
      <w:lvlJc w:val="left"/>
      <w:pPr>
        <w:ind w:left="2710" w:hanging="794"/>
      </w:pPr>
      <w:rPr>
        <w:rFonts w:hint="default"/>
        <w:lang w:val="en-US" w:eastAsia="en-US" w:bidi="en-US"/>
      </w:rPr>
    </w:lvl>
    <w:lvl w:ilvl="2" w:tplc="EE409A8C">
      <w:numFmt w:val="bullet"/>
      <w:lvlText w:val="•"/>
      <w:lvlJc w:val="left"/>
      <w:pPr>
        <w:ind w:left="3621" w:hanging="794"/>
      </w:pPr>
      <w:rPr>
        <w:rFonts w:hint="default"/>
        <w:lang w:val="en-US" w:eastAsia="en-US" w:bidi="en-US"/>
      </w:rPr>
    </w:lvl>
    <w:lvl w:ilvl="3" w:tplc="75385918">
      <w:numFmt w:val="bullet"/>
      <w:lvlText w:val="•"/>
      <w:lvlJc w:val="left"/>
      <w:pPr>
        <w:ind w:left="4531" w:hanging="794"/>
      </w:pPr>
      <w:rPr>
        <w:rFonts w:hint="default"/>
        <w:lang w:val="en-US" w:eastAsia="en-US" w:bidi="en-US"/>
      </w:rPr>
    </w:lvl>
    <w:lvl w:ilvl="4" w:tplc="8182F226">
      <w:numFmt w:val="bullet"/>
      <w:lvlText w:val="•"/>
      <w:lvlJc w:val="left"/>
      <w:pPr>
        <w:ind w:left="5442" w:hanging="794"/>
      </w:pPr>
      <w:rPr>
        <w:rFonts w:hint="default"/>
        <w:lang w:val="en-US" w:eastAsia="en-US" w:bidi="en-US"/>
      </w:rPr>
    </w:lvl>
    <w:lvl w:ilvl="5" w:tplc="1D349D4E">
      <w:numFmt w:val="bullet"/>
      <w:lvlText w:val="•"/>
      <w:lvlJc w:val="left"/>
      <w:pPr>
        <w:ind w:left="6352" w:hanging="794"/>
      </w:pPr>
      <w:rPr>
        <w:rFonts w:hint="default"/>
        <w:lang w:val="en-US" w:eastAsia="en-US" w:bidi="en-US"/>
      </w:rPr>
    </w:lvl>
    <w:lvl w:ilvl="6" w:tplc="6540E23E">
      <w:numFmt w:val="bullet"/>
      <w:lvlText w:val="•"/>
      <w:lvlJc w:val="left"/>
      <w:pPr>
        <w:ind w:left="7263" w:hanging="794"/>
      </w:pPr>
      <w:rPr>
        <w:rFonts w:hint="default"/>
        <w:lang w:val="en-US" w:eastAsia="en-US" w:bidi="en-US"/>
      </w:rPr>
    </w:lvl>
    <w:lvl w:ilvl="7" w:tplc="E5E87F3E">
      <w:numFmt w:val="bullet"/>
      <w:lvlText w:val="•"/>
      <w:lvlJc w:val="left"/>
      <w:pPr>
        <w:ind w:left="8173" w:hanging="794"/>
      </w:pPr>
      <w:rPr>
        <w:rFonts w:hint="default"/>
        <w:lang w:val="en-US" w:eastAsia="en-US" w:bidi="en-US"/>
      </w:rPr>
    </w:lvl>
    <w:lvl w:ilvl="8" w:tplc="0FD4AEF6">
      <w:numFmt w:val="bullet"/>
      <w:lvlText w:val="•"/>
      <w:lvlJc w:val="left"/>
      <w:pPr>
        <w:ind w:left="9084" w:hanging="794"/>
      </w:pPr>
      <w:rPr>
        <w:rFonts w:hint="default"/>
        <w:lang w:val="en-US" w:eastAsia="en-US" w:bidi="en-US"/>
      </w:rPr>
    </w:lvl>
  </w:abstractNum>
  <w:abstractNum w:abstractNumId="98" w15:restartNumberingAfterBreak="0">
    <w:nsid w:val="47176F95"/>
    <w:multiLevelType w:val="hybridMultilevel"/>
    <w:tmpl w:val="E306F552"/>
    <w:lvl w:ilvl="0" w:tplc="08DC5290">
      <w:numFmt w:val="bullet"/>
      <w:lvlText w:val="-"/>
      <w:lvlJc w:val="left"/>
      <w:pPr>
        <w:ind w:left="1347" w:hanging="341"/>
      </w:pPr>
      <w:rPr>
        <w:rFonts w:ascii="Raleway" w:eastAsia="Raleway" w:hAnsi="Raleway" w:cs="Raleway" w:hint="default"/>
        <w:color w:val="231F20"/>
        <w:spacing w:val="-8"/>
        <w:w w:val="99"/>
        <w:sz w:val="20"/>
        <w:szCs w:val="20"/>
        <w:lang w:val="en-US" w:eastAsia="en-US" w:bidi="en-US"/>
      </w:rPr>
    </w:lvl>
    <w:lvl w:ilvl="1" w:tplc="F6827C24">
      <w:numFmt w:val="bullet"/>
      <w:lvlText w:val="•"/>
      <w:lvlJc w:val="left"/>
      <w:pPr>
        <w:ind w:left="2296" w:hanging="341"/>
      </w:pPr>
      <w:rPr>
        <w:rFonts w:hint="default"/>
        <w:lang w:val="en-US" w:eastAsia="en-US" w:bidi="en-US"/>
      </w:rPr>
    </w:lvl>
    <w:lvl w:ilvl="2" w:tplc="EF80C37C">
      <w:numFmt w:val="bullet"/>
      <w:lvlText w:val="•"/>
      <w:lvlJc w:val="left"/>
      <w:pPr>
        <w:ind w:left="3253" w:hanging="341"/>
      </w:pPr>
      <w:rPr>
        <w:rFonts w:hint="default"/>
        <w:lang w:val="en-US" w:eastAsia="en-US" w:bidi="en-US"/>
      </w:rPr>
    </w:lvl>
    <w:lvl w:ilvl="3" w:tplc="E94A73C6">
      <w:numFmt w:val="bullet"/>
      <w:lvlText w:val="•"/>
      <w:lvlJc w:val="left"/>
      <w:pPr>
        <w:ind w:left="4209" w:hanging="341"/>
      </w:pPr>
      <w:rPr>
        <w:rFonts w:hint="default"/>
        <w:lang w:val="en-US" w:eastAsia="en-US" w:bidi="en-US"/>
      </w:rPr>
    </w:lvl>
    <w:lvl w:ilvl="4" w:tplc="0B36786A">
      <w:numFmt w:val="bullet"/>
      <w:lvlText w:val="•"/>
      <w:lvlJc w:val="left"/>
      <w:pPr>
        <w:ind w:left="5166" w:hanging="341"/>
      </w:pPr>
      <w:rPr>
        <w:rFonts w:hint="default"/>
        <w:lang w:val="en-US" w:eastAsia="en-US" w:bidi="en-US"/>
      </w:rPr>
    </w:lvl>
    <w:lvl w:ilvl="5" w:tplc="00E84278">
      <w:numFmt w:val="bullet"/>
      <w:lvlText w:val="•"/>
      <w:lvlJc w:val="left"/>
      <w:pPr>
        <w:ind w:left="6122" w:hanging="341"/>
      </w:pPr>
      <w:rPr>
        <w:rFonts w:hint="default"/>
        <w:lang w:val="en-US" w:eastAsia="en-US" w:bidi="en-US"/>
      </w:rPr>
    </w:lvl>
    <w:lvl w:ilvl="6" w:tplc="7572F83C">
      <w:numFmt w:val="bullet"/>
      <w:lvlText w:val="•"/>
      <w:lvlJc w:val="left"/>
      <w:pPr>
        <w:ind w:left="7079" w:hanging="341"/>
      </w:pPr>
      <w:rPr>
        <w:rFonts w:hint="default"/>
        <w:lang w:val="en-US" w:eastAsia="en-US" w:bidi="en-US"/>
      </w:rPr>
    </w:lvl>
    <w:lvl w:ilvl="7" w:tplc="D4543536">
      <w:numFmt w:val="bullet"/>
      <w:lvlText w:val="•"/>
      <w:lvlJc w:val="left"/>
      <w:pPr>
        <w:ind w:left="8035" w:hanging="341"/>
      </w:pPr>
      <w:rPr>
        <w:rFonts w:hint="default"/>
        <w:lang w:val="en-US" w:eastAsia="en-US" w:bidi="en-US"/>
      </w:rPr>
    </w:lvl>
    <w:lvl w:ilvl="8" w:tplc="E85E152A">
      <w:numFmt w:val="bullet"/>
      <w:lvlText w:val="•"/>
      <w:lvlJc w:val="left"/>
      <w:pPr>
        <w:ind w:left="8992" w:hanging="341"/>
      </w:pPr>
      <w:rPr>
        <w:rFonts w:hint="default"/>
        <w:lang w:val="en-US" w:eastAsia="en-US" w:bidi="en-US"/>
      </w:rPr>
    </w:lvl>
  </w:abstractNum>
  <w:abstractNum w:abstractNumId="99" w15:restartNumberingAfterBreak="0">
    <w:nsid w:val="47792152"/>
    <w:multiLevelType w:val="hybridMultilevel"/>
    <w:tmpl w:val="10C23982"/>
    <w:lvl w:ilvl="0" w:tplc="A5CAAED6">
      <w:start w:val="142"/>
      <w:numFmt w:val="decimal"/>
      <w:lvlText w:val="%1"/>
      <w:lvlJc w:val="left"/>
      <w:pPr>
        <w:ind w:left="1801" w:hanging="794"/>
        <w:jc w:val="left"/>
      </w:pPr>
      <w:rPr>
        <w:rFonts w:ascii="Raleway" w:eastAsia="Raleway" w:hAnsi="Raleway" w:cs="Raleway" w:hint="default"/>
        <w:color w:val="231F20"/>
        <w:spacing w:val="-9"/>
        <w:w w:val="99"/>
        <w:sz w:val="13"/>
        <w:szCs w:val="13"/>
        <w:lang w:val="en-US" w:eastAsia="en-US" w:bidi="en-US"/>
      </w:rPr>
    </w:lvl>
    <w:lvl w:ilvl="1" w:tplc="DC9A8AA8">
      <w:numFmt w:val="bullet"/>
      <w:lvlText w:val="•"/>
      <w:lvlJc w:val="left"/>
      <w:pPr>
        <w:ind w:left="2710" w:hanging="794"/>
      </w:pPr>
      <w:rPr>
        <w:rFonts w:hint="default"/>
        <w:lang w:val="en-US" w:eastAsia="en-US" w:bidi="en-US"/>
      </w:rPr>
    </w:lvl>
    <w:lvl w:ilvl="2" w:tplc="E40C326A">
      <w:numFmt w:val="bullet"/>
      <w:lvlText w:val="•"/>
      <w:lvlJc w:val="left"/>
      <w:pPr>
        <w:ind w:left="3621" w:hanging="794"/>
      </w:pPr>
      <w:rPr>
        <w:rFonts w:hint="default"/>
        <w:lang w:val="en-US" w:eastAsia="en-US" w:bidi="en-US"/>
      </w:rPr>
    </w:lvl>
    <w:lvl w:ilvl="3" w:tplc="9CEA3F2C">
      <w:numFmt w:val="bullet"/>
      <w:lvlText w:val="•"/>
      <w:lvlJc w:val="left"/>
      <w:pPr>
        <w:ind w:left="4531" w:hanging="794"/>
      </w:pPr>
      <w:rPr>
        <w:rFonts w:hint="default"/>
        <w:lang w:val="en-US" w:eastAsia="en-US" w:bidi="en-US"/>
      </w:rPr>
    </w:lvl>
    <w:lvl w:ilvl="4" w:tplc="E0CA44EA">
      <w:numFmt w:val="bullet"/>
      <w:lvlText w:val="•"/>
      <w:lvlJc w:val="left"/>
      <w:pPr>
        <w:ind w:left="5442" w:hanging="794"/>
      </w:pPr>
      <w:rPr>
        <w:rFonts w:hint="default"/>
        <w:lang w:val="en-US" w:eastAsia="en-US" w:bidi="en-US"/>
      </w:rPr>
    </w:lvl>
    <w:lvl w:ilvl="5" w:tplc="265CDD7C">
      <w:numFmt w:val="bullet"/>
      <w:lvlText w:val="•"/>
      <w:lvlJc w:val="left"/>
      <w:pPr>
        <w:ind w:left="6352" w:hanging="794"/>
      </w:pPr>
      <w:rPr>
        <w:rFonts w:hint="default"/>
        <w:lang w:val="en-US" w:eastAsia="en-US" w:bidi="en-US"/>
      </w:rPr>
    </w:lvl>
    <w:lvl w:ilvl="6" w:tplc="6BE24432">
      <w:numFmt w:val="bullet"/>
      <w:lvlText w:val="•"/>
      <w:lvlJc w:val="left"/>
      <w:pPr>
        <w:ind w:left="7263" w:hanging="794"/>
      </w:pPr>
      <w:rPr>
        <w:rFonts w:hint="default"/>
        <w:lang w:val="en-US" w:eastAsia="en-US" w:bidi="en-US"/>
      </w:rPr>
    </w:lvl>
    <w:lvl w:ilvl="7" w:tplc="9758AD42">
      <w:numFmt w:val="bullet"/>
      <w:lvlText w:val="•"/>
      <w:lvlJc w:val="left"/>
      <w:pPr>
        <w:ind w:left="8173" w:hanging="794"/>
      </w:pPr>
      <w:rPr>
        <w:rFonts w:hint="default"/>
        <w:lang w:val="en-US" w:eastAsia="en-US" w:bidi="en-US"/>
      </w:rPr>
    </w:lvl>
    <w:lvl w:ilvl="8" w:tplc="4F9EDF38">
      <w:numFmt w:val="bullet"/>
      <w:lvlText w:val="•"/>
      <w:lvlJc w:val="left"/>
      <w:pPr>
        <w:ind w:left="9084" w:hanging="794"/>
      </w:pPr>
      <w:rPr>
        <w:rFonts w:hint="default"/>
        <w:lang w:val="en-US" w:eastAsia="en-US" w:bidi="en-US"/>
      </w:rPr>
    </w:lvl>
  </w:abstractNum>
  <w:abstractNum w:abstractNumId="100" w15:restartNumberingAfterBreak="0">
    <w:nsid w:val="47A2462A"/>
    <w:multiLevelType w:val="hybridMultilevel"/>
    <w:tmpl w:val="F80472CA"/>
    <w:lvl w:ilvl="0" w:tplc="24089188">
      <w:start w:val="4"/>
      <w:numFmt w:val="decimal"/>
      <w:lvlText w:val="%1"/>
      <w:lvlJc w:val="left"/>
      <w:pPr>
        <w:ind w:left="1801" w:hanging="794"/>
        <w:jc w:val="left"/>
      </w:pPr>
      <w:rPr>
        <w:rFonts w:ascii="Raleway" w:eastAsia="Raleway" w:hAnsi="Raleway" w:cs="Raleway" w:hint="default"/>
        <w:color w:val="231F20"/>
        <w:spacing w:val="-9"/>
        <w:w w:val="88"/>
        <w:sz w:val="13"/>
        <w:szCs w:val="13"/>
        <w:lang w:val="en-US" w:eastAsia="en-US" w:bidi="en-US"/>
      </w:rPr>
    </w:lvl>
    <w:lvl w:ilvl="1" w:tplc="978EC662">
      <w:numFmt w:val="bullet"/>
      <w:lvlText w:val="•"/>
      <w:lvlJc w:val="left"/>
      <w:pPr>
        <w:ind w:left="2710" w:hanging="794"/>
      </w:pPr>
      <w:rPr>
        <w:rFonts w:hint="default"/>
        <w:lang w:val="en-US" w:eastAsia="en-US" w:bidi="en-US"/>
      </w:rPr>
    </w:lvl>
    <w:lvl w:ilvl="2" w:tplc="123A7B3A">
      <w:numFmt w:val="bullet"/>
      <w:lvlText w:val="•"/>
      <w:lvlJc w:val="left"/>
      <w:pPr>
        <w:ind w:left="3621" w:hanging="794"/>
      </w:pPr>
      <w:rPr>
        <w:rFonts w:hint="default"/>
        <w:lang w:val="en-US" w:eastAsia="en-US" w:bidi="en-US"/>
      </w:rPr>
    </w:lvl>
    <w:lvl w:ilvl="3" w:tplc="E29610A0">
      <w:numFmt w:val="bullet"/>
      <w:lvlText w:val="•"/>
      <w:lvlJc w:val="left"/>
      <w:pPr>
        <w:ind w:left="4531" w:hanging="794"/>
      </w:pPr>
      <w:rPr>
        <w:rFonts w:hint="default"/>
        <w:lang w:val="en-US" w:eastAsia="en-US" w:bidi="en-US"/>
      </w:rPr>
    </w:lvl>
    <w:lvl w:ilvl="4" w:tplc="2C82F3EC">
      <w:numFmt w:val="bullet"/>
      <w:lvlText w:val="•"/>
      <w:lvlJc w:val="left"/>
      <w:pPr>
        <w:ind w:left="5442" w:hanging="794"/>
      </w:pPr>
      <w:rPr>
        <w:rFonts w:hint="default"/>
        <w:lang w:val="en-US" w:eastAsia="en-US" w:bidi="en-US"/>
      </w:rPr>
    </w:lvl>
    <w:lvl w:ilvl="5" w:tplc="2DF2E812">
      <w:numFmt w:val="bullet"/>
      <w:lvlText w:val="•"/>
      <w:lvlJc w:val="left"/>
      <w:pPr>
        <w:ind w:left="6352" w:hanging="794"/>
      </w:pPr>
      <w:rPr>
        <w:rFonts w:hint="default"/>
        <w:lang w:val="en-US" w:eastAsia="en-US" w:bidi="en-US"/>
      </w:rPr>
    </w:lvl>
    <w:lvl w:ilvl="6" w:tplc="B6FC7A18">
      <w:numFmt w:val="bullet"/>
      <w:lvlText w:val="•"/>
      <w:lvlJc w:val="left"/>
      <w:pPr>
        <w:ind w:left="7263" w:hanging="794"/>
      </w:pPr>
      <w:rPr>
        <w:rFonts w:hint="default"/>
        <w:lang w:val="en-US" w:eastAsia="en-US" w:bidi="en-US"/>
      </w:rPr>
    </w:lvl>
    <w:lvl w:ilvl="7" w:tplc="71F8951C">
      <w:numFmt w:val="bullet"/>
      <w:lvlText w:val="•"/>
      <w:lvlJc w:val="left"/>
      <w:pPr>
        <w:ind w:left="8173" w:hanging="794"/>
      </w:pPr>
      <w:rPr>
        <w:rFonts w:hint="default"/>
        <w:lang w:val="en-US" w:eastAsia="en-US" w:bidi="en-US"/>
      </w:rPr>
    </w:lvl>
    <w:lvl w:ilvl="8" w:tplc="F6B416E4">
      <w:numFmt w:val="bullet"/>
      <w:lvlText w:val="•"/>
      <w:lvlJc w:val="left"/>
      <w:pPr>
        <w:ind w:left="9084" w:hanging="794"/>
      </w:pPr>
      <w:rPr>
        <w:rFonts w:hint="default"/>
        <w:lang w:val="en-US" w:eastAsia="en-US" w:bidi="en-US"/>
      </w:rPr>
    </w:lvl>
  </w:abstractNum>
  <w:abstractNum w:abstractNumId="101" w15:restartNumberingAfterBreak="0">
    <w:nsid w:val="48121319"/>
    <w:multiLevelType w:val="hybridMultilevel"/>
    <w:tmpl w:val="992EED76"/>
    <w:lvl w:ilvl="0" w:tplc="8E526EFE">
      <w:start w:val="176"/>
      <w:numFmt w:val="decimal"/>
      <w:lvlText w:val="%1"/>
      <w:lvlJc w:val="left"/>
      <w:pPr>
        <w:ind w:left="1801" w:hanging="794"/>
        <w:jc w:val="left"/>
      </w:pPr>
      <w:rPr>
        <w:rFonts w:ascii="Raleway" w:eastAsia="Raleway" w:hAnsi="Raleway" w:cs="Raleway" w:hint="default"/>
        <w:color w:val="231F20"/>
        <w:spacing w:val="-9"/>
        <w:w w:val="99"/>
        <w:sz w:val="13"/>
        <w:szCs w:val="13"/>
        <w:lang w:val="en-US" w:eastAsia="en-US" w:bidi="en-US"/>
      </w:rPr>
    </w:lvl>
    <w:lvl w:ilvl="1" w:tplc="94143F6E">
      <w:numFmt w:val="bullet"/>
      <w:lvlText w:val="•"/>
      <w:lvlJc w:val="left"/>
      <w:pPr>
        <w:ind w:left="2710" w:hanging="794"/>
      </w:pPr>
      <w:rPr>
        <w:rFonts w:hint="default"/>
        <w:lang w:val="en-US" w:eastAsia="en-US" w:bidi="en-US"/>
      </w:rPr>
    </w:lvl>
    <w:lvl w:ilvl="2" w:tplc="D9343DDC">
      <w:numFmt w:val="bullet"/>
      <w:lvlText w:val="•"/>
      <w:lvlJc w:val="left"/>
      <w:pPr>
        <w:ind w:left="3621" w:hanging="794"/>
      </w:pPr>
      <w:rPr>
        <w:rFonts w:hint="default"/>
        <w:lang w:val="en-US" w:eastAsia="en-US" w:bidi="en-US"/>
      </w:rPr>
    </w:lvl>
    <w:lvl w:ilvl="3" w:tplc="921A6C9C">
      <w:numFmt w:val="bullet"/>
      <w:lvlText w:val="•"/>
      <w:lvlJc w:val="left"/>
      <w:pPr>
        <w:ind w:left="4531" w:hanging="794"/>
      </w:pPr>
      <w:rPr>
        <w:rFonts w:hint="default"/>
        <w:lang w:val="en-US" w:eastAsia="en-US" w:bidi="en-US"/>
      </w:rPr>
    </w:lvl>
    <w:lvl w:ilvl="4" w:tplc="358EEDA8">
      <w:numFmt w:val="bullet"/>
      <w:lvlText w:val="•"/>
      <w:lvlJc w:val="left"/>
      <w:pPr>
        <w:ind w:left="5442" w:hanging="794"/>
      </w:pPr>
      <w:rPr>
        <w:rFonts w:hint="default"/>
        <w:lang w:val="en-US" w:eastAsia="en-US" w:bidi="en-US"/>
      </w:rPr>
    </w:lvl>
    <w:lvl w:ilvl="5" w:tplc="CE52D8B2">
      <w:numFmt w:val="bullet"/>
      <w:lvlText w:val="•"/>
      <w:lvlJc w:val="left"/>
      <w:pPr>
        <w:ind w:left="6352" w:hanging="794"/>
      </w:pPr>
      <w:rPr>
        <w:rFonts w:hint="default"/>
        <w:lang w:val="en-US" w:eastAsia="en-US" w:bidi="en-US"/>
      </w:rPr>
    </w:lvl>
    <w:lvl w:ilvl="6" w:tplc="A3A2F7C4">
      <w:numFmt w:val="bullet"/>
      <w:lvlText w:val="•"/>
      <w:lvlJc w:val="left"/>
      <w:pPr>
        <w:ind w:left="7263" w:hanging="794"/>
      </w:pPr>
      <w:rPr>
        <w:rFonts w:hint="default"/>
        <w:lang w:val="en-US" w:eastAsia="en-US" w:bidi="en-US"/>
      </w:rPr>
    </w:lvl>
    <w:lvl w:ilvl="7" w:tplc="CB5ACE44">
      <w:numFmt w:val="bullet"/>
      <w:lvlText w:val="•"/>
      <w:lvlJc w:val="left"/>
      <w:pPr>
        <w:ind w:left="8173" w:hanging="794"/>
      </w:pPr>
      <w:rPr>
        <w:rFonts w:hint="default"/>
        <w:lang w:val="en-US" w:eastAsia="en-US" w:bidi="en-US"/>
      </w:rPr>
    </w:lvl>
    <w:lvl w:ilvl="8" w:tplc="C1AC78F8">
      <w:numFmt w:val="bullet"/>
      <w:lvlText w:val="•"/>
      <w:lvlJc w:val="left"/>
      <w:pPr>
        <w:ind w:left="9084" w:hanging="794"/>
      </w:pPr>
      <w:rPr>
        <w:rFonts w:hint="default"/>
        <w:lang w:val="en-US" w:eastAsia="en-US" w:bidi="en-US"/>
      </w:rPr>
    </w:lvl>
  </w:abstractNum>
  <w:abstractNum w:abstractNumId="102" w15:restartNumberingAfterBreak="0">
    <w:nsid w:val="494237CC"/>
    <w:multiLevelType w:val="hybridMultilevel"/>
    <w:tmpl w:val="B1DE3EDA"/>
    <w:lvl w:ilvl="0" w:tplc="9008243E">
      <w:start w:val="24"/>
      <w:numFmt w:val="decimal"/>
      <w:lvlText w:val="%1"/>
      <w:lvlJc w:val="left"/>
      <w:pPr>
        <w:ind w:left="1801" w:hanging="794"/>
        <w:jc w:val="right"/>
      </w:pPr>
      <w:rPr>
        <w:rFonts w:ascii="Raleway" w:eastAsia="Raleway" w:hAnsi="Raleway" w:cs="Raleway" w:hint="default"/>
        <w:color w:val="231F20"/>
        <w:spacing w:val="-1"/>
        <w:w w:val="100"/>
        <w:sz w:val="13"/>
        <w:szCs w:val="13"/>
        <w:lang w:val="en-US" w:eastAsia="en-US" w:bidi="en-US"/>
      </w:rPr>
    </w:lvl>
    <w:lvl w:ilvl="1" w:tplc="E042D246">
      <w:numFmt w:val="bullet"/>
      <w:lvlText w:val="•"/>
      <w:lvlJc w:val="left"/>
      <w:pPr>
        <w:ind w:left="2566" w:hanging="794"/>
      </w:pPr>
      <w:rPr>
        <w:rFonts w:hint="default"/>
        <w:lang w:val="en-US" w:eastAsia="en-US" w:bidi="en-US"/>
      </w:rPr>
    </w:lvl>
    <w:lvl w:ilvl="2" w:tplc="553A0BA0">
      <w:numFmt w:val="bullet"/>
      <w:lvlText w:val="•"/>
      <w:lvlJc w:val="left"/>
      <w:pPr>
        <w:ind w:left="3332" w:hanging="794"/>
      </w:pPr>
      <w:rPr>
        <w:rFonts w:hint="default"/>
        <w:lang w:val="en-US" w:eastAsia="en-US" w:bidi="en-US"/>
      </w:rPr>
    </w:lvl>
    <w:lvl w:ilvl="3" w:tplc="46163B46">
      <w:numFmt w:val="bullet"/>
      <w:lvlText w:val="•"/>
      <w:lvlJc w:val="left"/>
      <w:pPr>
        <w:ind w:left="4099" w:hanging="794"/>
      </w:pPr>
      <w:rPr>
        <w:rFonts w:hint="default"/>
        <w:lang w:val="en-US" w:eastAsia="en-US" w:bidi="en-US"/>
      </w:rPr>
    </w:lvl>
    <w:lvl w:ilvl="4" w:tplc="684A480C">
      <w:numFmt w:val="bullet"/>
      <w:lvlText w:val="•"/>
      <w:lvlJc w:val="left"/>
      <w:pPr>
        <w:ind w:left="4865" w:hanging="794"/>
      </w:pPr>
      <w:rPr>
        <w:rFonts w:hint="default"/>
        <w:lang w:val="en-US" w:eastAsia="en-US" w:bidi="en-US"/>
      </w:rPr>
    </w:lvl>
    <w:lvl w:ilvl="5" w:tplc="7B2848AE">
      <w:numFmt w:val="bullet"/>
      <w:lvlText w:val="•"/>
      <w:lvlJc w:val="left"/>
      <w:pPr>
        <w:ind w:left="5632" w:hanging="794"/>
      </w:pPr>
      <w:rPr>
        <w:rFonts w:hint="default"/>
        <w:lang w:val="en-US" w:eastAsia="en-US" w:bidi="en-US"/>
      </w:rPr>
    </w:lvl>
    <w:lvl w:ilvl="6" w:tplc="871A97A4">
      <w:numFmt w:val="bullet"/>
      <w:lvlText w:val="•"/>
      <w:lvlJc w:val="left"/>
      <w:pPr>
        <w:ind w:left="6398" w:hanging="794"/>
      </w:pPr>
      <w:rPr>
        <w:rFonts w:hint="default"/>
        <w:lang w:val="en-US" w:eastAsia="en-US" w:bidi="en-US"/>
      </w:rPr>
    </w:lvl>
    <w:lvl w:ilvl="7" w:tplc="DF94AC44">
      <w:numFmt w:val="bullet"/>
      <w:lvlText w:val="•"/>
      <w:lvlJc w:val="left"/>
      <w:pPr>
        <w:ind w:left="7165" w:hanging="794"/>
      </w:pPr>
      <w:rPr>
        <w:rFonts w:hint="default"/>
        <w:lang w:val="en-US" w:eastAsia="en-US" w:bidi="en-US"/>
      </w:rPr>
    </w:lvl>
    <w:lvl w:ilvl="8" w:tplc="3148036C">
      <w:numFmt w:val="bullet"/>
      <w:lvlText w:val="•"/>
      <w:lvlJc w:val="left"/>
      <w:pPr>
        <w:ind w:left="7931" w:hanging="794"/>
      </w:pPr>
      <w:rPr>
        <w:rFonts w:hint="default"/>
        <w:lang w:val="en-US" w:eastAsia="en-US" w:bidi="en-US"/>
      </w:rPr>
    </w:lvl>
  </w:abstractNum>
  <w:abstractNum w:abstractNumId="103" w15:restartNumberingAfterBreak="0">
    <w:nsid w:val="49CF420D"/>
    <w:multiLevelType w:val="hybridMultilevel"/>
    <w:tmpl w:val="44BAFBC4"/>
    <w:lvl w:ilvl="0" w:tplc="2506E20E">
      <w:numFmt w:val="bullet"/>
      <w:lvlText w:val="•"/>
      <w:lvlJc w:val="left"/>
      <w:pPr>
        <w:ind w:left="3155" w:hanging="681"/>
      </w:pPr>
      <w:rPr>
        <w:rFonts w:ascii="Trebuchet MS" w:eastAsia="Trebuchet MS" w:hAnsi="Trebuchet MS" w:cs="Trebuchet MS" w:hint="default"/>
        <w:color w:val="231F20"/>
        <w:w w:val="67"/>
        <w:sz w:val="20"/>
        <w:szCs w:val="20"/>
        <w:lang w:val="en-US" w:eastAsia="en-US" w:bidi="en-US"/>
      </w:rPr>
    </w:lvl>
    <w:lvl w:ilvl="1" w:tplc="C9C05A42">
      <w:numFmt w:val="bullet"/>
      <w:lvlText w:val="•"/>
      <w:lvlJc w:val="left"/>
      <w:pPr>
        <w:ind w:left="3934" w:hanging="681"/>
      </w:pPr>
      <w:rPr>
        <w:rFonts w:hint="default"/>
        <w:lang w:val="en-US" w:eastAsia="en-US" w:bidi="en-US"/>
      </w:rPr>
    </w:lvl>
    <w:lvl w:ilvl="2" w:tplc="ECAE7F36">
      <w:numFmt w:val="bullet"/>
      <w:lvlText w:val="•"/>
      <w:lvlJc w:val="left"/>
      <w:pPr>
        <w:ind w:left="4709" w:hanging="681"/>
      </w:pPr>
      <w:rPr>
        <w:rFonts w:hint="default"/>
        <w:lang w:val="en-US" w:eastAsia="en-US" w:bidi="en-US"/>
      </w:rPr>
    </w:lvl>
    <w:lvl w:ilvl="3" w:tplc="B71402DE">
      <w:numFmt w:val="bullet"/>
      <w:lvlText w:val="•"/>
      <w:lvlJc w:val="left"/>
      <w:pPr>
        <w:ind w:left="5483" w:hanging="681"/>
      </w:pPr>
      <w:rPr>
        <w:rFonts w:hint="default"/>
        <w:lang w:val="en-US" w:eastAsia="en-US" w:bidi="en-US"/>
      </w:rPr>
    </w:lvl>
    <w:lvl w:ilvl="4" w:tplc="69ECF4C2">
      <w:numFmt w:val="bullet"/>
      <w:lvlText w:val="•"/>
      <w:lvlJc w:val="left"/>
      <w:pPr>
        <w:ind w:left="6258" w:hanging="681"/>
      </w:pPr>
      <w:rPr>
        <w:rFonts w:hint="default"/>
        <w:lang w:val="en-US" w:eastAsia="en-US" w:bidi="en-US"/>
      </w:rPr>
    </w:lvl>
    <w:lvl w:ilvl="5" w:tplc="44167D72">
      <w:numFmt w:val="bullet"/>
      <w:lvlText w:val="•"/>
      <w:lvlJc w:val="left"/>
      <w:pPr>
        <w:ind w:left="7032" w:hanging="681"/>
      </w:pPr>
      <w:rPr>
        <w:rFonts w:hint="default"/>
        <w:lang w:val="en-US" w:eastAsia="en-US" w:bidi="en-US"/>
      </w:rPr>
    </w:lvl>
    <w:lvl w:ilvl="6" w:tplc="105ABEC2">
      <w:numFmt w:val="bullet"/>
      <w:lvlText w:val="•"/>
      <w:lvlJc w:val="left"/>
      <w:pPr>
        <w:ind w:left="7807" w:hanging="681"/>
      </w:pPr>
      <w:rPr>
        <w:rFonts w:hint="default"/>
        <w:lang w:val="en-US" w:eastAsia="en-US" w:bidi="en-US"/>
      </w:rPr>
    </w:lvl>
    <w:lvl w:ilvl="7" w:tplc="C68ED712">
      <w:numFmt w:val="bullet"/>
      <w:lvlText w:val="•"/>
      <w:lvlJc w:val="left"/>
      <w:pPr>
        <w:ind w:left="8581" w:hanging="681"/>
      </w:pPr>
      <w:rPr>
        <w:rFonts w:hint="default"/>
        <w:lang w:val="en-US" w:eastAsia="en-US" w:bidi="en-US"/>
      </w:rPr>
    </w:lvl>
    <w:lvl w:ilvl="8" w:tplc="60A05A4A">
      <w:numFmt w:val="bullet"/>
      <w:lvlText w:val="•"/>
      <w:lvlJc w:val="left"/>
      <w:pPr>
        <w:ind w:left="9356" w:hanging="681"/>
      </w:pPr>
      <w:rPr>
        <w:rFonts w:hint="default"/>
        <w:lang w:val="en-US" w:eastAsia="en-US" w:bidi="en-US"/>
      </w:rPr>
    </w:lvl>
  </w:abstractNum>
  <w:abstractNum w:abstractNumId="104" w15:restartNumberingAfterBreak="0">
    <w:nsid w:val="4BA122B9"/>
    <w:multiLevelType w:val="hybridMultilevel"/>
    <w:tmpl w:val="77BA7BC6"/>
    <w:lvl w:ilvl="0" w:tplc="DDDCD292">
      <w:start w:val="148"/>
      <w:numFmt w:val="decimal"/>
      <w:lvlText w:val="%1"/>
      <w:lvlJc w:val="left"/>
      <w:pPr>
        <w:ind w:left="1801" w:hanging="794"/>
        <w:jc w:val="left"/>
      </w:pPr>
      <w:rPr>
        <w:rFonts w:ascii="Raleway" w:eastAsia="Raleway" w:hAnsi="Raleway" w:cs="Raleway" w:hint="default"/>
        <w:color w:val="231F20"/>
        <w:spacing w:val="-1"/>
        <w:w w:val="100"/>
        <w:sz w:val="13"/>
        <w:szCs w:val="13"/>
        <w:lang w:val="en-US" w:eastAsia="en-US" w:bidi="en-US"/>
      </w:rPr>
    </w:lvl>
    <w:lvl w:ilvl="1" w:tplc="A38830CC">
      <w:numFmt w:val="bullet"/>
      <w:lvlText w:val="•"/>
      <w:lvlJc w:val="left"/>
      <w:pPr>
        <w:ind w:left="2710" w:hanging="794"/>
      </w:pPr>
      <w:rPr>
        <w:rFonts w:hint="default"/>
        <w:lang w:val="en-US" w:eastAsia="en-US" w:bidi="en-US"/>
      </w:rPr>
    </w:lvl>
    <w:lvl w:ilvl="2" w:tplc="566621C8">
      <w:numFmt w:val="bullet"/>
      <w:lvlText w:val="•"/>
      <w:lvlJc w:val="left"/>
      <w:pPr>
        <w:ind w:left="3621" w:hanging="794"/>
      </w:pPr>
      <w:rPr>
        <w:rFonts w:hint="default"/>
        <w:lang w:val="en-US" w:eastAsia="en-US" w:bidi="en-US"/>
      </w:rPr>
    </w:lvl>
    <w:lvl w:ilvl="3" w:tplc="46DCED38">
      <w:numFmt w:val="bullet"/>
      <w:lvlText w:val="•"/>
      <w:lvlJc w:val="left"/>
      <w:pPr>
        <w:ind w:left="4531" w:hanging="794"/>
      </w:pPr>
      <w:rPr>
        <w:rFonts w:hint="default"/>
        <w:lang w:val="en-US" w:eastAsia="en-US" w:bidi="en-US"/>
      </w:rPr>
    </w:lvl>
    <w:lvl w:ilvl="4" w:tplc="17D48C9C">
      <w:numFmt w:val="bullet"/>
      <w:lvlText w:val="•"/>
      <w:lvlJc w:val="left"/>
      <w:pPr>
        <w:ind w:left="5442" w:hanging="794"/>
      </w:pPr>
      <w:rPr>
        <w:rFonts w:hint="default"/>
        <w:lang w:val="en-US" w:eastAsia="en-US" w:bidi="en-US"/>
      </w:rPr>
    </w:lvl>
    <w:lvl w:ilvl="5" w:tplc="B1F0F6EA">
      <w:numFmt w:val="bullet"/>
      <w:lvlText w:val="•"/>
      <w:lvlJc w:val="left"/>
      <w:pPr>
        <w:ind w:left="6352" w:hanging="794"/>
      </w:pPr>
      <w:rPr>
        <w:rFonts w:hint="default"/>
        <w:lang w:val="en-US" w:eastAsia="en-US" w:bidi="en-US"/>
      </w:rPr>
    </w:lvl>
    <w:lvl w:ilvl="6" w:tplc="F2C06F16">
      <w:numFmt w:val="bullet"/>
      <w:lvlText w:val="•"/>
      <w:lvlJc w:val="left"/>
      <w:pPr>
        <w:ind w:left="7263" w:hanging="794"/>
      </w:pPr>
      <w:rPr>
        <w:rFonts w:hint="default"/>
        <w:lang w:val="en-US" w:eastAsia="en-US" w:bidi="en-US"/>
      </w:rPr>
    </w:lvl>
    <w:lvl w:ilvl="7" w:tplc="31E6D612">
      <w:numFmt w:val="bullet"/>
      <w:lvlText w:val="•"/>
      <w:lvlJc w:val="left"/>
      <w:pPr>
        <w:ind w:left="8173" w:hanging="794"/>
      </w:pPr>
      <w:rPr>
        <w:rFonts w:hint="default"/>
        <w:lang w:val="en-US" w:eastAsia="en-US" w:bidi="en-US"/>
      </w:rPr>
    </w:lvl>
    <w:lvl w:ilvl="8" w:tplc="167E571E">
      <w:numFmt w:val="bullet"/>
      <w:lvlText w:val="•"/>
      <w:lvlJc w:val="left"/>
      <w:pPr>
        <w:ind w:left="9084" w:hanging="794"/>
      </w:pPr>
      <w:rPr>
        <w:rFonts w:hint="default"/>
        <w:lang w:val="en-US" w:eastAsia="en-US" w:bidi="en-US"/>
      </w:rPr>
    </w:lvl>
  </w:abstractNum>
  <w:abstractNum w:abstractNumId="105" w15:restartNumberingAfterBreak="0">
    <w:nsid w:val="4C6D255F"/>
    <w:multiLevelType w:val="hybridMultilevel"/>
    <w:tmpl w:val="D56E7CB0"/>
    <w:lvl w:ilvl="0" w:tplc="F72A91FC">
      <w:start w:val="31"/>
      <w:numFmt w:val="decimal"/>
      <w:lvlText w:val="%1"/>
      <w:lvlJc w:val="left"/>
      <w:pPr>
        <w:ind w:left="933" w:hanging="794"/>
        <w:jc w:val="left"/>
      </w:pPr>
      <w:rPr>
        <w:rFonts w:ascii="Raleway" w:eastAsia="Raleway" w:hAnsi="Raleway" w:cs="Raleway" w:hint="default"/>
        <w:color w:val="231F20"/>
        <w:spacing w:val="-1"/>
        <w:w w:val="100"/>
        <w:sz w:val="13"/>
        <w:szCs w:val="13"/>
        <w:lang w:val="en-US" w:eastAsia="en-US" w:bidi="en-US"/>
      </w:rPr>
    </w:lvl>
    <w:lvl w:ilvl="1" w:tplc="05E8D9B6">
      <w:numFmt w:val="bullet"/>
      <w:lvlText w:val="•"/>
      <w:lvlJc w:val="left"/>
      <w:pPr>
        <w:ind w:left="1849" w:hanging="794"/>
      </w:pPr>
      <w:rPr>
        <w:rFonts w:hint="default"/>
        <w:lang w:val="en-US" w:eastAsia="en-US" w:bidi="en-US"/>
      </w:rPr>
    </w:lvl>
    <w:lvl w:ilvl="2" w:tplc="D5E670AC">
      <w:numFmt w:val="bullet"/>
      <w:lvlText w:val="•"/>
      <w:lvlJc w:val="left"/>
      <w:pPr>
        <w:ind w:left="2759" w:hanging="794"/>
      </w:pPr>
      <w:rPr>
        <w:rFonts w:hint="default"/>
        <w:lang w:val="en-US" w:eastAsia="en-US" w:bidi="en-US"/>
      </w:rPr>
    </w:lvl>
    <w:lvl w:ilvl="3" w:tplc="064AB520">
      <w:numFmt w:val="bullet"/>
      <w:lvlText w:val="•"/>
      <w:lvlJc w:val="left"/>
      <w:pPr>
        <w:ind w:left="3669" w:hanging="794"/>
      </w:pPr>
      <w:rPr>
        <w:rFonts w:hint="default"/>
        <w:lang w:val="en-US" w:eastAsia="en-US" w:bidi="en-US"/>
      </w:rPr>
    </w:lvl>
    <w:lvl w:ilvl="4" w:tplc="302C848E">
      <w:numFmt w:val="bullet"/>
      <w:lvlText w:val="•"/>
      <w:lvlJc w:val="left"/>
      <w:pPr>
        <w:ind w:left="4579" w:hanging="794"/>
      </w:pPr>
      <w:rPr>
        <w:rFonts w:hint="default"/>
        <w:lang w:val="en-US" w:eastAsia="en-US" w:bidi="en-US"/>
      </w:rPr>
    </w:lvl>
    <w:lvl w:ilvl="5" w:tplc="DD024FD6">
      <w:numFmt w:val="bullet"/>
      <w:lvlText w:val="•"/>
      <w:lvlJc w:val="left"/>
      <w:pPr>
        <w:ind w:left="5489" w:hanging="794"/>
      </w:pPr>
      <w:rPr>
        <w:rFonts w:hint="default"/>
        <w:lang w:val="en-US" w:eastAsia="en-US" w:bidi="en-US"/>
      </w:rPr>
    </w:lvl>
    <w:lvl w:ilvl="6" w:tplc="5C50EDFE">
      <w:numFmt w:val="bullet"/>
      <w:lvlText w:val="•"/>
      <w:lvlJc w:val="left"/>
      <w:pPr>
        <w:ind w:left="6398" w:hanging="794"/>
      </w:pPr>
      <w:rPr>
        <w:rFonts w:hint="default"/>
        <w:lang w:val="en-US" w:eastAsia="en-US" w:bidi="en-US"/>
      </w:rPr>
    </w:lvl>
    <w:lvl w:ilvl="7" w:tplc="D7F6A030">
      <w:numFmt w:val="bullet"/>
      <w:lvlText w:val="•"/>
      <w:lvlJc w:val="left"/>
      <w:pPr>
        <w:ind w:left="7308" w:hanging="794"/>
      </w:pPr>
      <w:rPr>
        <w:rFonts w:hint="default"/>
        <w:lang w:val="en-US" w:eastAsia="en-US" w:bidi="en-US"/>
      </w:rPr>
    </w:lvl>
    <w:lvl w:ilvl="8" w:tplc="EC96CCA6">
      <w:numFmt w:val="bullet"/>
      <w:lvlText w:val="•"/>
      <w:lvlJc w:val="left"/>
      <w:pPr>
        <w:ind w:left="8218" w:hanging="794"/>
      </w:pPr>
      <w:rPr>
        <w:rFonts w:hint="default"/>
        <w:lang w:val="en-US" w:eastAsia="en-US" w:bidi="en-US"/>
      </w:rPr>
    </w:lvl>
  </w:abstractNum>
  <w:abstractNum w:abstractNumId="106" w15:restartNumberingAfterBreak="0">
    <w:nsid w:val="4CFE72A4"/>
    <w:multiLevelType w:val="hybridMultilevel"/>
    <w:tmpl w:val="B7CCA4F6"/>
    <w:lvl w:ilvl="0" w:tplc="EE5011F0">
      <w:start w:val="112"/>
      <w:numFmt w:val="decimal"/>
      <w:lvlText w:val="%1"/>
      <w:lvlJc w:val="left"/>
      <w:pPr>
        <w:ind w:left="1801" w:hanging="794"/>
        <w:jc w:val="left"/>
      </w:pPr>
      <w:rPr>
        <w:rFonts w:ascii="Raleway" w:eastAsia="Raleway" w:hAnsi="Raleway" w:cs="Raleway" w:hint="default"/>
        <w:color w:val="231F20"/>
        <w:spacing w:val="-1"/>
        <w:w w:val="99"/>
        <w:sz w:val="13"/>
        <w:szCs w:val="13"/>
        <w:lang w:val="en-US" w:eastAsia="en-US" w:bidi="en-US"/>
      </w:rPr>
    </w:lvl>
    <w:lvl w:ilvl="1" w:tplc="84E4A7E6">
      <w:numFmt w:val="bullet"/>
      <w:lvlText w:val="•"/>
      <w:lvlJc w:val="left"/>
      <w:pPr>
        <w:ind w:left="2590" w:hanging="794"/>
      </w:pPr>
      <w:rPr>
        <w:rFonts w:hint="default"/>
        <w:lang w:val="en-US" w:eastAsia="en-US" w:bidi="en-US"/>
      </w:rPr>
    </w:lvl>
    <w:lvl w:ilvl="2" w:tplc="B0682AA0">
      <w:numFmt w:val="bullet"/>
      <w:lvlText w:val="•"/>
      <w:lvlJc w:val="left"/>
      <w:pPr>
        <w:ind w:left="3380" w:hanging="794"/>
      </w:pPr>
      <w:rPr>
        <w:rFonts w:hint="default"/>
        <w:lang w:val="en-US" w:eastAsia="en-US" w:bidi="en-US"/>
      </w:rPr>
    </w:lvl>
    <w:lvl w:ilvl="3" w:tplc="AB2AEB06">
      <w:numFmt w:val="bullet"/>
      <w:lvlText w:val="•"/>
      <w:lvlJc w:val="left"/>
      <w:pPr>
        <w:ind w:left="4170" w:hanging="794"/>
      </w:pPr>
      <w:rPr>
        <w:rFonts w:hint="default"/>
        <w:lang w:val="en-US" w:eastAsia="en-US" w:bidi="en-US"/>
      </w:rPr>
    </w:lvl>
    <w:lvl w:ilvl="4" w:tplc="F8440BE2">
      <w:numFmt w:val="bullet"/>
      <w:lvlText w:val="•"/>
      <w:lvlJc w:val="left"/>
      <w:pPr>
        <w:ind w:left="4960" w:hanging="794"/>
      </w:pPr>
      <w:rPr>
        <w:rFonts w:hint="default"/>
        <w:lang w:val="en-US" w:eastAsia="en-US" w:bidi="en-US"/>
      </w:rPr>
    </w:lvl>
    <w:lvl w:ilvl="5" w:tplc="36FCD3D8">
      <w:numFmt w:val="bullet"/>
      <w:lvlText w:val="•"/>
      <w:lvlJc w:val="left"/>
      <w:pPr>
        <w:ind w:left="5750" w:hanging="794"/>
      </w:pPr>
      <w:rPr>
        <w:rFonts w:hint="default"/>
        <w:lang w:val="en-US" w:eastAsia="en-US" w:bidi="en-US"/>
      </w:rPr>
    </w:lvl>
    <w:lvl w:ilvl="6" w:tplc="BDFE3CDC">
      <w:numFmt w:val="bullet"/>
      <w:lvlText w:val="•"/>
      <w:lvlJc w:val="left"/>
      <w:pPr>
        <w:ind w:left="6540" w:hanging="794"/>
      </w:pPr>
      <w:rPr>
        <w:rFonts w:hint="default"/>
        <w:lang w:val="en-US" w:eastAsia="en-US" w:bidi="en-US"/>
      </w:rPr>
    </w:lvl>
    <w:lvl w:ilvl="7" w:tplc="152EDEBE">
      <w:numFmt w:val="bullet"/>
      <w:lvlText w:val="•"/>
      <w:lvlJc w:val="left"/>
      <w:pPr>
        <w:ind w:left="7330" w:hanging="794"/>
      </w:pPr>
      <w:rPr>
        <w:rFonts w:hint="default"/>
        <w:lang w:val="en-US" w:eastAsia="en-US" w:bidi="en-US"/>
      </w:rPr>
    </w:lvl>
    <w:lvl w:ilvl="8" w:tplc="B658DA6E">
      <w:numFmt w:val="bullet"/>
      <w:lvlText w:val="•"/>
      <w:lvlJc w:val="left"/>
      <w:pPr>
        <w:ind w:left="8120" w:hanging="794"/>
      </w:pPr>
      <w:rPr>
        <w:rFonts w:hint="default"/>
        <w:lang w:val="en-US" w:eastAsia="en-US" w:bidi="en-US"/>
      </w:rPr>
    </w:lvl>
  </w:abstractNum>
  <w:abstractNum w:abstractNumId="107" w15:restartNumberingAfterBreak="0">
    <w:nsid w:val="4F263903"/>
    <w:multiLevelType w:val="hybridMultilevel"/>
    <w:tmpl w:val="E2C2C3EE"/>
    <w:lvl w:ilvl="0" w:tplc="FFC4B3E8">
      <w:start w:val="60"/>
      <w:numFmt w:val="decimal"/>
      <w:lvlText w:val="%1"/>
      <w:lvlJc w:val="left"/>
      <w:pPr>
        <w:ind w:left="1801" w:hanging="794"/>
        <w:jc w:val="left"/>
      </w:pPr>
      <w:rPr>
        <w:rFonts w:ascii="Raleway" w:eastAsia="Raleway" w:hAnsi="Raleway" w:cs="Raleway" w:hint="default"/>
        <w:color w:val="231F20"/>
        <w:spacing w:val="-1"/>
        <w:w w:val="100"/>
        <w:sz w:val="13"/>
        <w:szCs w:val="13"/>
        <w:lang w:val="en-US" w:eastAsia="en-US" w:bidi="en-US"/>
      </w:rPr>
    </w:lvl>
    <w:lvl w:ilvl="1" w:tplc="490226E0">
      <w:numFmt w:val="bullet"/>
      <w:lvlText w:val="•"/>
      <w:lvlJc w:val="left"/>
      <w:pPr>
        <w:ind w:left="2710" w:hanging="794"/>
      </w:pPr>
      <w:rPr>
        <w:rFonts w:hint="default"/>
        <w:lang w:val="en-US" w:eastAsia="en-US" w:bidi="en-US"/>
      </w:rPr>
    </w:lvl>
    <w:lvl w:ilvl="2" w:tplc="BB04FB00">
      <w:numFmt w:val="bullet"/>
      <w:lvlText w:val="•"/>
      <w:lvlJc w:val="left"/>
      <w:pPr>
        <w:ind w:left="3621" w:hanging="794"/>
      </w:pPr>
      <w:rPr>
        <w:rFonts w:hint="default"/>
        <w:lang w:val="en-US" w:eastAsia="en-US" w:bidi="en-US"/>
      </w:rPr>
    </w:lvl>
    <w:lvl w:ilvl="3" w:tplc="B92448BE">
      <w:numFmt w:val="bullet"/>
      <w:lvlText w:val="•"/>
      <w:lvlJc w:val="left"/>
      <w:pPr>
        <w:ind w:left="4531" w:hanging="794"/>
      </w:pPr>
      <w:rPr>
        <w:rFonts w:hint="default"/>
        <w:lang w:val="en-US" w:eastAsia="en-US" w:bidi="en-US"/>
      </w:rPr>
    </w:lvl>
    <w:lvl w:ilvl="4" w:tplc="F3747236">
      <w:numFmt w:val="bullet"/>
      <w:lvlText w:val="•"/>
      <w:lvlJc w:val="left"/>
      <w:pPr>
        <w:ind w:left="5442" w:hanging="794"/>
      </w:pPr>
      <w:rPr>
        <w:rFonts w:hint="default"/>
        <w:lang w:val="en-US" w:eastAsia="en-US" w:bidi="en-US"/>
      </w:rPr>
    </w:lvl>
    <w:lvl w:ilvl="5" w:tplc="02560DB4">
      <w:numFmt w:val="bullet"/>
      <w:lvlText w:val="•"/>
      <w:lvlJc w:val="left"/>
      <w:pPr>
        <w:ind w:left="6352" w:hanging="794"/>
      </w:pPr>
      <w:rPr>
        <w:rFonts w:hint="default"/>
        <w:lang w:val="en-US" w:eastAsia="en-US" w:bidi="en-US"/>
      </w:rPr>
    </w:lvl>
    <w:lvl w:ilvl="6" w:tplc="EDC2E2CA">
      <w:numFmt w:val="bullet"/>
      <w:lvlText w:val="•"/>
      <w:lvlJc w:val="left"/>
      <w:pPr>
        <w:ind w:left="7263" w:hanging="794"/>
      </w:pPr>
      <w:rPr>
        <w:rFonts w:hint="default"/>
        <w:lang w:val="en-US" w:eastAsia="en-US" w:bidi="en-US"/>
      </w:rPr>
    </w:lvl>
    <w:lvl w:ilvl="7" w:tplc="DCD8DD4A">
      <w:numFmt w:val="bullet"/>
      <w:lvlText w:val="•"/>
      <w:lvlJc w:val="left"/>
      <w:pPr>
        <w:ind w:left="8173" w:hanging="794"/>
      </w:pPr>
      <w:rPr>
        <w:rFonts w:hint="default"/>
        <w:lang w:val="en-US" w:eastAsia="en-US" w:bidi="en-US"/>
      </w:rPr>
    </w:lvl>
    <w:lvl w:ilvl="8" w:tplc="E578AC8A">
      <w:numFmt w:val="bullet"/>
      <w:lvlText w:val="•"/>
      <w:lvlJc w:val="left"/>
      <w:pPr>
        <w:ind w:left="9084" w:hanging="794"/>
      </w:pPr>
      <w:rPr>
        <w:rFonts w:hint="default"/>
        <w:lang w:val="en-US" w:eastAsia="en-US" w:bidi="en-US"/>
      </w:rPr>
    </w:lvl>
  </w:abstractNum>
  <w:abstractNum w:abstractNumId="108" w15:restartNumberingAfterBreak="0">
    <w:nsid w:val="4FA71003"/>
    <w:multiLevelType w:val="hybridMultilevel"/>
    <w:tmpl w:val="CA70E9D4"/>
    <w:lvl w:ilvl="0" w:tplc="153AA85A">
      <w:numFmt w:val="bullet"/>
      <w:lvlText w:val="•"/>
      <w:lvlJc w:val="left"/>
      <w:pPr>
        <w:ind w:left="453" w:hanging="341"/>
      </w:pPr>
      <w:rPr>
        <w:rFonts w:ascii="Raleway" w:eastAsia="Raleway" w:hAnsi="Raleway" w:cs="Raleway" w:hint="default"/>
        <w:color w:val="231F20"/>
        <w:spacing w:val="-6"/>
        <w:w w:val="100"/>
        <w:sz w:val="20"/>
        <w:szCs w:val="20"/>
        <w:lang w:val="en-US" w:eastAsia="en-US" w:bidi="en-US"/>
      </w:rPr>
    </w:lvl>
    <w:lvl w:ilvl="1" w:tplc="2B860C7A">
      <w:numFmt w:val="bullet"/>
      <w:lvlText w:val="•"/>
      <w:lvlJc w:val="left"/>
      <w:pPr>
        <w:ind w:left="722" w:hanging="341"/>
      </w:pPr>
      <w:rPr>
        <w:rFonts w:hint="default"/>
        <w:lang w:val="en-US" w:eastAsia="en-US" w:bidi="en-US"/>
      </w:rPr>
    </w:lvl>
    <w:lvl w:ilvl="2" w:tplc="1966BE6A">
      <w:numFmt w:val="bullet"/>
      <w:lvlText w:val="•"/>
      <w:lvlJc w:val="left"/>
      <w:pPr>
        <w:ind w:left="985" w:hanging="341"/>
      </w:pPr>
      <w:rPr>
        <w:rFonts w:hint="default"/>
        <w:lang w:val="en-US" w:eastAsia="en-US" w:bidi="en-US"/>
      </w:rPr>
    </w:lvl>
    <w:lvl w:ilvl="3" w:tplc="94AAD776">
      <w:numFmt w:val="bullet"/>
      <w:lvlText w:val="•"/>
      <w:lvlJc w:val="left"/>
      <w:pPr>
        <w:ind w:left="1248" w:hanging="341"/>
      </w:pPr>
      <w:rPr>
        <w:rFonts w:hint="default"/>
        <w:lang w:val="en-US" w:eastAsia="en-US" w:bidi="en-US"/>
      </w:rPr>
    </w:lvl>
    <w:lvl w:ilvl="4" w:tplc="84D681A0">
      <w:numFmt w:val="bullet"/>
      <w:lvlText w:val="•"/>
      <w:lvlJc w:val="left"/>
      <w:pPr>
        <w:ind w:left="1511" w:hanging="341"/>
      </w:pPr>
      <w:rPr>
        <w:rFonts w:hint="default"/>
        <w:lang w:val="en-US" w:eastAsia="en-US" w:bidi="en-US"/>
      </w:rPr>
    </w:lvl>
    <w:lvl w:ilvl="5" w:tplc="4058C2AA">
      <w:numFmt w:val="bullet"/>
      <w:lvlText w:val="•"/>
      <w:lvlJc w:val="left"/>
      <w:pPr>
        <w:ind w:left="1774" w:hanging="341"/>
      </w:pPr>
      <w:rPr>
        <w:rFonts w:hint="default"/>
        <w:lang w:val="en-US" w:eastAsia="en-US" w:bidi="en-US"/>
      </w:rPr>
    </w:lvl>
    <w:lvl w:ilvl="6" w:tplc="6F7443CE">
      <w:numFmt w:val="bullet"/>
      <w:lvlText w:val="•"/>
      <w:lvlJc w:val="left"/>
      <w:pPr>
        <w:ind w:left="2037" w:hanging="341"/>
      </w:pPr>
      <w:rPr>
        <w:rFonts w:hint="default"/>
        <w:lang w:val="en-US" w:eastAsia="en-US" w:bidi="en-US"/>
      </w:rPr>
    </w:lvl>
    <w:lvl w:ilvl="7" w:tplc="85325E62">
      <w:numFmt w:val="bullet"/>
      <w:lvlText w:val="•"/>
      <w:lvlJc w:val="left"/>
      <w:pPr>
        <w:ind w:left="2300" w:hanging="341"/>
      </w:pPr>
      <w:rPr>
        <w:rFonts w:hint="default"/>
        <w:lang w:val="en-US" w:eastAsia="en-US" w:bidi="en-US"/>
      </w:rPr>
    </w:lvl>
    <w:lvl w:ilvl="8" w:tplc="5F56ED1C">
      <w:numFmt w:val="bullet"/>
      <w:lvlText w:val="•"/>
      <w:lvlJc w:val="left"/>
      <w:pPr>
        <w:ind w:left="2563" w:hanging="341"/>
      </w:pPr>
      <w:rPr>
        <w:rFonts w:hint="default"/>
        <w:lang w:val="en-US" w:eastAsia="en-US" w:bidi="en-US"/>
      </w:rPr>
    </w:lvl>
  </w:abstractNum>
  <w:abstractNum w:abstractNumId="109" w15:restartNumberingAfterBreak="0">
    <w:nsid w:val="50004464"/>
    <w:multiLevelType w:val="hybridMultilevel"/>
    <w:tmpl w:val="CD42DE44"/>
    <w:lvl w:ilvl="0" w:tplc="89B42A22">
      <w:start w:val="1"/>
      <w:numFmt w:val="lowerLetter"/>
      <w:lvlText w:val="(%1)"/>
      <w:lvlJc w:val="left"/>
      <w:pPr>
        <w:ind w:left="2594" w:hanging="341"/>
        <w:jc w:val="left"/>
      </w:pPr>
      <w:rPr>
        <w:rFonts w:ascii="Raleway" w:eastAsia="Raleway" w:hAnsi="Raleway" w:cs="Raleway" w:hint="default"/>
        <w:color w:val="231F20"/>
        <w:spacing w:val="-10"/>
        <w:w w:val="100"/>
        <w:sz w:val="19"/>
        <w:szCs w:val="19"/>
        <w:lang w:val="en-US" w:eastAsia="en-US" w:bidi="en-US"/>
      </w:rPr>
    </w:lvl>
    <w:lvl w:ilvl="1" w:tplc="D6FAAB8E">
      <w:numFmt w:val="bullet"/>
      <w:lvlText w:val="•"/>
      <w:lvlJc w:val="left"/>
      <w:pPr>
        <w:ind w:left="3430" w:hanging="341"/>
      </w:pPr>
      <w:rPr>
        <w:rFonts w:hint="default"/>
        <w:lang w:val="en-US" w:eastAsia="en-US" w:bidi="en-US"/>
      </w:rPr>
    </w:lvl>
    <w:lvl w:ilvl="2" w:tplc="D43CA776">
      <w:numFmt w:val="bullet"/>
      <w:lvlText w:val="•"/>
      <w:lvlJc w:val="left"/>
      <w:pPr>
        <w:ind w:left="4261" w:hanging="341"/>
      </w:pPr>
      <w:rPr>
        <w:rFonts w:hint="default"/>
        <w:lang w:val="en-US" w:eastAsia="en-US" w:bidi="en-US"/>
      </w:rPr>
    </w:lvl>
    <w:lvl w:ilvl="3" w:tplc="DEB66F30">
      <w:numFmt w:val="bullet"/>
      <w:lvlText w:val="•"/>
      <w:lvlJc w:val="left"/>
      <w:pPr>
        <w:ind w:left="5091" w:hanging="341"/>
      </w:pPr>
      <w:rPr>
        <w:rFonts w:hint="default"/>
        <w:lang w:val="en-US" w:eastAsia="en-US" w:bidi="en-US"/>
      </w:rPr>
    </w:lvl>
    <w:lvl w:ilvl="4" w:tplc="0CFA25EE">
      <w:numFmt w:val="bullet"/>
      <w:lvlText w:val="•"/>
      <w:lvlJc w:val="left"/>
      <w:pPr>
        <w:ind w:left="5922" w:hanging="341"/>
      </w:pPr>
      <w:rPr>
        <w:rFonts w:hint="default"/>
        <w:lang w:val="en-US" w:eastAsia="en-US" w:bidi="en-US"/>
      </w:rPr>
    </w:lvl>
    <w:lvl w:ilvl="5" w:tplc="6554D790">
      <w:numFmt w:val="bullet"/>
      <w:lvlText w:val="•"/>
      <w:lvlJc w:val="left"/>
      <w:pPr>
        <w:ind w:left="6752" w:hanging="341"/>
      </w:pPr>
      <w:rPr>
        <w:rFonts w:hint="default"/>
        <w:lang w:val="en-US" w:eastAsia="en-US" w:bidi="en-US"/>
      </w:rPr>
    </w:lvl>
    <w:lvl w:ilvl="6" w:tplc="5DF4D42E">
      <w:numFmt w:val="bullet"/>
      <w:lvlText w:val="•"/>
      <w:lvlJc w:val="left"/>
      <w:pPr>
        <w:ind w:left="7583" w:hanging="341"/>
      </w:pPr>
      <w:rPr>
        <w:rFonts w:hint="default"/>
        <w:lang w:val="en-US" w:eastAsia="en-US" w:bidi="en-US"/>
      </w:rPr>
    </w:lvl>
    <w:lvl w:ilvl="7" w:tplc="7A3E12D8">
      <w:numFmt w:val="bullet"/>
      <w:lvlText w:val="•"/>
      <w:lvlJc w:val="left"/>
      <w:pPr>
        <w:ind w:left="8413" w:hanging="341"/>
      </w:pPr>
      <w:rPr>
        <w:rFonts w:hint="default"/>
        <w:lang w:val="en-US" w:eastAsia="en-US" w:bidi="en-US"/>
      </w:rPr>
    </w:lvl>
    <w:lvl w:ilvl="8" w:tplc="42A06CFC">
      <w:numFmt w:val="bullet"/>
      <w:lvlText w:val="•"/>
      <w:lvlJc w:val="left"/>
      <w:pPr>
        <w:ind w:left="9244" w:hanging="341"/>
      </w:pPr>
      <w:rPr>
        <w:rFonts w:hint="default"/>
        <w:lang w:val="en-US" w:eastAsia="en-US" w:bidi="en-US"/>
      </w:rPr>
    </w:lvl>
  </w:abstractNum>
  <w:abstractNum w:abstractNumId="110" w15:restartNumberingAfterBreak="0">
    <w:nsid w:val="50632E98"/>
    <w:multiLevelType w:val="hybridMultilevel"/>
    <w:tmpl w:val="7082A540"/>
    <w:lvl w:ilvl="0" w:tplc="289EA86A">
      <w:start w:val="169"/>
      <w:numFmt w:val="decimal"/>
      <w:lvlText w:val="%1"/>
      <w:lvlJc w:val="left"/>
      <w:pPr>
        <w:ind w:left="1801" w:hanging="794"/>
        <w:jc w:val="right"/>
      </w:pPr>
      <w:rPr>
        <w:rFonts w:ascii="Raleway" w:eastAsia="Raleway" w:hAnsi="Raleway" w:cs="Raleway" w:hint="default"/>
        <w:color w:val="231F20"/>
        <w:spacing w:val="-1"/>
        <w:w w:val="100"/>
        <w:sz w:val="13"/>
        <w:szCs w:val="13"/>
        <w:lang w:val="en-US" w:eastAsia="en-US" w:bidi="en-US"/>
      </w:rPr>
    </w:lvl>
    <w:lvl w:ilvl="1" w:tplc="5A7824F6">
      <w:numFmt w:val="bullet"/>
      <w:lvlText w:val="•"/>
      <w:lvlJc w:val="left"/>
      <w:pPr>
        <w:ind w:left="2593" w:hanging="794"/>
      </w:pPr>
      <w:rPr>
        <w:rFonts w:hint="default"/>
        <w:lang w:val="en-US" w:eastAsia="en-US" w:bidi="en-US"/>
      </w:rPr>
    </w:lvl>
    <w:lvl w:ilvl="2" w:tplc="5B202C6A">
      <w:numFmt w:val="bullet"/>
      <w:lvlText w:val="•"/>
      <w:lvlJc w:val="left"/>
      <w:pPr>
        <w:ind w:left="3387" w:hanging="794"/>
      </w:pPr>
      <w:rPr>
        <w:rFonts w:hint="default"/>
        <w:lang w:val="en-US" w:eastAsia="en-US" w:bidi="en-US"/>
      </w:rPr>
    </w:lvl>
    <w:lvl w:ilvl="3" w:tplc="4AFE7BC4">
      <w:numFmt w:val="bullet"/>
      <w:lvlText w:val="•"/>
      <w:lvlJc w:val="left"/>
      <w:pPr>
        <w:ind w:left="4181" w:hanging="794"/>
      </w:pPr>
      <w:rPr>
        <w:rFonts w:hint="default"/>
        <w:lang w:val="en-US" w:eastAsia="en-US" w:bidi="en-US"/>
      </w:rPr>
    </w:lvl>
    <w:lvl w:ilvl="4" w:tplc="843ED678">
      <w:numFmt w:val="bullet"/>
      <w:lvlText w:val="•"/>
      <w:lvlJc w:val="left"/>
      <w:pPr>
        <w:ind w:left="4975" w:hanging="794"/>
      </w:pPr>
      <w:rPr>
        <w:rFonts w:hint="default"/>
        <w:lang w:val="en-US" w:eastAsia="en-US" w:bidi="en-US"/>
      </w:rPr>
    </w:lvl>
    <w:lvl w:ilvl="5" w:tplc="587E5DBE">
      <w:numFmt w:val="bullet"/>
      <w:lvlText w:val="•"/>
      <w:lvlJc w:val="left"/>
      <w:pPr>
        <w:ind w:left="5769" w:hanging="794"/>
      </w:pPr>
      <w:rPr>
        <w:rFonts w:hint="default"/>
        <w:lang w:val="en-US" w:eastAsia="en-US" w:bidi="en-US"/>
      </w:rPr>
    </w:lvl>
    <w:lvl w:ilvl="6" w:tplc="A6F0E01E">
      <w:numFmt w:val="bullet"/>
      <w:lvlText w:val="•"/>
      <w:lvlJc w:val="left"/>
      <w:pPr>
        <w:ind w:left="6563" w:hanging="794"/>
      </w:pPr>
      <w:rPr>
        <w:rFonts w:hint="default"/>
        <w:lang w:val="en-US" w:eastAsia="en-US" w:bidi="en-US"/>
      </w:rPr>
    </w:lvl>
    <w:lvl w:ilvl="7" w:tplc="8C587A44">
      <w:numFmt w:val="bullet"/>
      <w:lvlText w:val="•"/>
      <w:lvlJc w:val="left"/>
      <w:pPr>
        <w:ind w:left="7357" w:hanging="794"/>
      </w:pPr>
      <w:rPr>
        <w:rFonts w:hint="default"/>
        <w:lang w:val="en-US" w:eastAsia="en-US" w:bidi="en-US"/>
      </w:rPr>
    </w:lvl>
    <w:lvl w:ilvl="8" w:tplc="128CE20E">
      <w:numFmt w:val="bullet"/>
      <w:lvlText w:val="•"/>
      <w:lvlJc w:val="left"/>
      <w:pPr>
        <w:ind w:left="8151" w:hanging="794"/>
      </w:pPr>
      <w:rPr>
        <w:rFonts w:hint="default"/>
        <w:lang w:val="en-US" w:eastAsia="en-US" w:bidi="en-US"/>
      </w:rPr>
    </w:lvl>
  </w:abstractNum>
  <w:abstractNum w:abstractNumId="111" w15:restartNumberingAfterBreak="0">
    <w:nsid w:val="513D6648"/>
    <w:multiLevelType w:val="hybridMultilevel"/>
    <w:tmpl w:val="368E5830"/>
    <w:lvl w:ilvl="0" w:tplc="9874FE40">
      <w:start w:val="1"/>
      <w:numFmt w:val="decimal"/>
      <w:lvlText w:val="%1"/>
      <w:lvlJc w:val="left"/>
      <w:pPr>
        <w:ind w:left="1801" w:hanging="794"/>
        <w:jc w:val="left"/>
      </w:pPr>
      <w:rPr>
        <w:rFonts w:ascii="Raleway" w:eastAsia="Raleway" w:hAnsi="Raleway" w:cs="Raleway" w:hint="default"/>
        <w:color w:val="231F20"/>
        <w:spacing w:val="-1"/>
        <w:w w:val="100"/>
        <w:sz w:val="13"/>
        <w:szCs w:val="13"/>
        <w:lang w:val="en-US" w:eastAsia="en-US" w:bidi="en-US"/>
      </w:rPr>
    </w:lvl>
    <w:lvl w:ilvl="1" w:tplc="6F8E32AC">
      <w:numFmt w:val="bullet"/>
      <w:lvlText w:val="•"/>
      <w:lvlJc w:val="left"/>
      <w:pPr>
        <w:ind w:left="2710" w:hanging="794"/>
      </w:pPr>
      <w:rPr>
        <w:rFonts w:hint="default"/>
        <w:lang w:val="en-US" w:eastAsia="en-US" w:bidi="en-US"/>
      </w:rPr>
    </w:lvl>
    <w:lvl w:ilvl="2" w:tplc="4A0AEE92">
      <w:numFmt w:val="bullet"/>
      <w:lvlText w:val="•"/>
      <w:lvlJc w:val="left"/>
      <w:pPr>
        <w:ind w:left="3621" w:hanging="794"/>
      </w:pPr>
      <w:rPr>
        <w:rFonts w:hint="default"/>
        <w:lang w:val="en-US" w:eastAsia="en-US" w:bidi="en-US"/>
      </w:rPr>
    </w:lvl>
    <w:lvl w:ilvl="3" w:tplc="FDBA564C">
      <w:numFmt w:val="bullet"/>
      <w:lvlText w:val="•"/>
      <w:lvlJc w:val="left"/>
      <w:pPr>
        <w:ind w:left="4531" w:hanging="794"/>
      </w:pPr>
      <w:rPr>
        <w:rFonts w:hint="default"/>
        <w:lang w:val="en-US" w:eastAsia="en-US" w:bidi="en-US"/>
      </w:rPr>
    </w:lvl>
    <w:lvl w:ilvl="4" w:tplc="FA2272F2">
      <w:numFmt w:val="bullet"/>
      <w:lvlText w:val="•"/>
      <w:lvlJc w:val="left"/>
      <w:pPr>
        <w:ind w:left="5442" w:hanging="794"/>
      </w:pPr>
      <w:rPr>
        <w:rFonts w:hint="default"/>
        <w:lang w:val="en-US" w:eastAsia="en-US" w:bidi="en-US"/>
      </w:rPr>
    </w:lvl>
    <w:lvl w:ilvl="5" w:tplc="0C0C628E">
      <w:numFmt w:val="bullet"/>
      <w:lvlText w:val="•"/>
      <w:lvlJc w:val="left"/>
      <w:pPr>
        <w:ind w:left="6352" w:hanging="794"/>
      </w:pPr>
      <w:rPr>
        <w:rFonts w:hint="default"/>
        <w:lang w:val="en-US" w:eastAsia="en-US" w:bidi="en-US"/>
      </w:rPr>
    </w:lvl>
    <w:lvl w:ilvl="6" w:tplc="3FA2A65A">
      <w:numFmt w:val="bullet"/>
      <w:lvlText w:val="•"/>
      <w:lvlJc w:val="left"/>
      <w:pPr>
        <w:ind w:left="7263" w:hanging="794"/>
      </w:pPr>
      <w:rPr>
        <w:rFonts w:hint="default"/>
        <w:lang w:val="en-US" w:eastAsia="en-US" w:bidi="en-US"/>
      </w:rPr>
    </w:lvl>
    <w:lvl w:ilvl="7" w:tplc="3B7EBE62">
      <w:numFmt w:val="bullet"/>
      <w:lvlText w:val="•"/>
      <w:lvlJc w:val="left"/>
      <w:pPr>
        <w:ind w:left="8173" w:hanging="794"/>
      </w:pPr>
      <w:rPr>
        <w:rFonts w:hint="default"/>
        <w:lang w:val="en-US" w:eastAsia="en-US" w:bidi="en-US"/>
      </w:rPr>
    </w:lvl>
    <w:lvl w:ilvl="8" w:tplc="5BCE7222">
      <w:numFmt w:val="bullet"/>
      <w:lvlText w:val="•"/>
      <w:lvlJc w:val="left"/>
      <w:pPr>
        <w:ind w:left="9084" w:hanging="794"/>
      </w:pPr>
      <w:rPr>
        <w:rFonts w:hint="default"/>
        <w:lang w:val="en-US" w:eastAsia="en-US" w:bidi="en-US"/>
      </w:rPr>
    </w:lvl>
  </w:abstractNum>
  <w:abstractNum w:abstractNumId="112" w15:restartNumberingAfterBreak="0">
    <w:nsid w:val="521421B6"/>
    <w:multiLevelType w:val="hybridMultilevel"/>
    <w:tmpl w:val="F1A4AD18"/>
    <w:lvl w:ilvl="0" w:tplc="174647CA">
      <w:numFmt w:val="bullet"/>
      <w:lvlText w:val="•"/>
      <w:lvlJc w:val="left"/>
      <w:pPr>
        <w:ind w:left="453" w:hanging="341"/>
      </w:pPr>
      <w:rPr>
        <w:rFonts w:ascii="Raleway" w:eastAsia="Raleway" w:hAnsi="Raleway" w:cs="Raleway" w:hint="default"/>
        <w:color w:val="231F20"/>
        <w:spacing w:val="-5"/>
        <w:w w:val="100"/>
        <w:sz w:val="20"/>
        <w:szCs w:val="20"/>
        <w:lang w:val="en-US" w:eastAsia="en-US" w:bidi="en-US"/>
      </w:rPr>
    </w:lvl>
    <w:lvl w:ilvl="1" w:tplc="A8567EB2">
      <w:numFmt w:val="bullet"/>
      <w:lvlText w:val="•"/>
      <w:lvlJc w:val="left"/>
      <w:pPr>
        <w:ind w:left="702" w:hanging="341"/>
      </w:pPr>
      <w:rPr>
        <w:rFonts w:hint="default"/>
        <w:lang w:val="en-US" w:eastAsia="en-US" w:bidi="en-US"/>
      </w:rPr>
    </w:lvl>
    <w:lvl w:ilvl="2" w:tplc="02A4875C">
      <w:numFmt w:val="bullet"/>
      <w:lvlText w:val="•"/>
      <w:lvlJc w:val="left"/>
      <w:pPr>
        <w:ind w:left="944" w:hanging="341"/>
      </w:pPr>
      <w:rPr>
        <w:rFonts w:hint="default"/>
        <w:lang w:val="en-US" w:eastAsia="en-US" w:bidi="en-US"/>
      </w:rPr>
    </w:lvl>
    <w:lvl w:ilvl="3" w:tplc="650AA0DE">
      <w:numFmt w:val="bullet"/>
      <w:lvlText w:val="•"/>
      <w:lvlJc w:val="left"/>
      <w:pPr>
        <w:ind w:left="1186" w:hanging="341"/>
      </w:pPr>
      <w:rPr>
        <w:rFonts w:hint="default"/>
        <w:lang w:val="en-US" w:eastAsia="en-US" w:bidi="en-US"/>
      </w:rPr>
    </w:lvl>
    <w:lvl w:ilvl="4" w:tplc="F83222EC">
      <w:numFmt w:val="bullet"/>
      <w:lvlText w:val="•"/>
      <w:lvlJc w:val="left"/>
      <w:pPr>
        <w:ind w:left="1428" w:hanging="341"/>
      </w:pPr>
      <w:rPr>
        <w:rFonts w:hint="default"/>
        <w:lang w:val="en-US" w:eastAsia="en-US" w:bidi="en-US"/>
      </w:rPr>
    </w:lvl>
    <w:lvl w:ilvl="5" w:tplc="0D2CBA56">
      <w:numFmt w:val="bullet"/>
      <w:lvlText w:val="•"/>
      <w:lvlJc w:val="left"/>
      <w:pPr>
        <w:ind w:left="1670" w:hanging="341"/>
      </w:pPr>
      <w:rPr>
        <w:rFonts w:hint="default"/>
        <w:lang w:val="en-US" w:eastAsia="en-US" w:bidi="en-US"/>
      </w:rPr>
    </w:lvl>
    <w:lvl w:ilvl="6" w:tplc="1DDCC12E">
      <w:numFmt w:val="bullet"/>
      <w:lvlText w:val="•"/>
      <w:lvlJc w:val="left"/>
      <w:pPr>
        <w:ind w:left="1912" w:hanging="341"/>
      </w:pPr>
      <w:rPr>
        <w:rFonts w:hint="default"/>
        <w:lang w:val="en-US" w:eastAsia="en-US" w:bidi="en-US"/>
      </w:rPr>
    </w:lvl>
    <w:lvl w:ilvl="7" w:tplc="AA7E55B4">
      <w:numFmt w:val="bullet"/>
      <w:lvlText w:val="•"/>
      <w:lvlJc w:val="left"/>
      <w:pPr>
        <w:ind w:left="2154" w:hanging="341"/>
      </w:pPr>
      <w:rPr>
        <w:rFonts w:hint="default"/>
        <w:lang w:val="en-US" w:eastAsia="en-US" w:bidi="en-US"/>
      </w:rPr>
    </w:lvl>
    <w:lvl w:ilvl="8" w:tplc="3266F1FA">
      <w:numFmt w:val="bullet"/>
      <w:lvlText w:val="•"/>
      <w:lvlJc w:val="left"/>
      <w:pPr>
        <w:ind w:left="2396" w:hanging="341"/>
      </w:pPr>
      <w:rPr>
        <w:rFonts w:hint="default"/>
        <w:lang w:val="en-US" w:eastAsia="en-US" w:bidi="en-US"/>
      </w:rPr>
    </w:lvl>
  </w:abstractNum>
  <w:abstractNum w:abstractNumId="113" w15:restartNumberingAfterBreak="0">
    <w:nsid w:val="527C2152"/>
    <w:multiLevelType w:val="hybridMultilevel"/>
    <w:tmpl w:val="F03028BA"/>
    <w:lvl w:ilvl="0" w:tplc="E892E7C8">
      <w:start w:val="1"/>
      <w:numFmt w:val="decimal"/>
      <w:lvlText w:val="%1."/>
      <w:lvlJc w:val="left"/>
      <w:pPr>
        <w:ind w:left="1361" w:hanging="341"/>
        <w:jc w:val="left"/>
      </w:pPr>
      <w:rPr>
        <w:rFonts w:ascii="Raleway" w:eastAsia="Raleway" w:hAnsi="Raleway" w:cs="Raleway" w:hint="default"/>
        <w:b/>
        <w:bCs/>
        <w:color w:val="EA5B50"/>
        <w:spacing w:val="-3"/>
        <w:w w:val="100"/>
        <w:sz w:val="20"/>
        <w:szCs w:val="20"/>
        <w:lang w:val="en-US" w:eastAsia="en-US" w:bidi="en-US"/>
      </w:rPr>
    </w:lvl>
    <w:lvl w:ilvl="1" w:tplc="9A040A04">
      <w:numFmt w:val="bullet"/>
      <w:lvlText w:val="•"/>
      <w:lvlJc w:val="left"/>
      <w:pPr>
        <w:ind w:left="2314" w:hanging="341"/>
      </w:pPr>
      <w:rPr>
        <w:rFonts w:hint="default"/>
        <w:lang w:val="en-US" w:eastAsia="en-US" w:bidi="en-US"/>
      </w:rPr>
    </w:lvl>
    <w:lvl w:ilvl="2" w:tplc="89F28878">
      <w:numFmt w:val="bullet"/>
      <w:lvlText w:val="•"/>
      <w:lvlJc w:val="left"/>
      <w:pPr>
        <w:ind w:left="3269" w:hanging="341"/>
      </w:pPr>
      <w:rPr>
        <w:rFonts w:hint="default"/>
        <w:lang w:val="en-US" w:eastAsia="en-US" w:bidi="en-US"/>
      </w:rPr>
    </w:lvl>
    <w:lvl w:ilvl="3" w:tplc="0EECC9E2">
      <w:numFmt w:val="bullet"/>
      <w:lvlText w:val="•"/>
      <w:lvlJc w:val="left"/>
      <w:pPr>
        <w:ind w:left="4223" w:hanging="341"/>
      </w:pPr>
      <w:rPr>
        <w:rFonts w:hint="default"/>
        <w:lang w:val="en-US" w:eastAsia="en-US" w:bidi="en-US"/>
      </w:rPr>
    </w:lvl>
    <w:lvl w:ilvl="4" w:tplc="75D008C6">
      <w:numFmt w:val="bullet"/>
      <w:lvlText w:val="•"/>
      <w:lvlJc w:val="left"/>
      <w:pPr>
        <w:ind w:left="5178" w:hanging="341"/>
      </w:pPr>
      <w:rPr>
        <w:rFonts w:hint="default"/>
        <w:lang w:val="en-US" w:eastAsia="en-US" w:bidi="en-US"/>
      </w:rPr>
    </w:lvl>
    <w:lvl w:ilvl="5" w:tplc="EB2C8A12">
      <w:numFmt w:val="bullet"/>
      <w:lvlText w:val="•"/>
      <w:lvlJc w:val="left"/>
      <w:pPr>
        <w:ind w:left="6132" w:hanging="341"/>
      </w:pPr>
      <w:rPr>
        <w:rFonts w:hint="default"/>
        <w:lang w:val="en-US" w:eastAsia="en-US" w:bidi="en-US"/>
      </w:rPr>
    </w:lvl>
    <w:lvl w:ilvl="6" w:tplc="6888BBEC">
      <w:numFmt w:val="bullet"/>
      <w:lvlText w:val="•"/>
      <w:lvlJc w:val="left"/>
      <w:pPr>
        <w:ind w:left="7087" w:hanging="341"/>
      </w:pPr>
      <w:rPr>
        <w:rFonts w:hint="default"/>
        <w:lang w:val="en-US" w:eastAsia="en-US" w:bidi="en-US"/>
      </w:rPr>
    </w:lvl>
    <w:lvl w:ilvl="7" w:tplc="F79A9016">
      <w:numFmt w:val="bullet"/>
      <w:lvlText w:val="•"/>
      <w:lvlJc w:val="left"/>
      <w:pPr>
        <w:ind w:left="8041" w:hanging="341"/>
      </w:pPr>
      <w:rPr>
        <w:rFonts w:hint="default"/>
        <w:lang w:val="en-US" w:eastAsia="en-US" w:bidi="en-US"/>
      </w:rPr>
    </w:lvl>
    <w:lvl w:ilvl="8" w:tplc="45DC7FD8">
      <w:numFmt w:val="bullet"/>
      <w:lvlText w:val="•"/>
      <w:lvlJc w:val="left"/>
      <w:pPr>
        <w:ind w:left="8996" w:hanging="341"/>
      </w:pPr>
      <w:rPr>
        <w:rFonts w:hint="default"/>
        <w:lang w:val="en-US" w:eastAsia="en-US" w:bidi="en-US"/>
      </w:rPr>
    </w:lvl>
  </w:abstractNum>
  <w:abstractNum w:abstractNumId="114" w15:restartNumberingAfterBreak="0">
    <w:nsid w:val="52A66982"/>
    <w:multiLevelType w:val="hybridMultilevel"/>
    <w:tmpl w:val="DF62557C"/>
    <w:lvl w:ilvl="0" w:tplc="DCE6207E">
      <w:start w:val="44"/>
      <w:numFmt w:val="decimal"/>
      <w:lvlText w:val="%1"/>
      <w:lvlJc w:val="left"/>
      <w:pPr>
        <w:ind w:left="1801" w:hanging="794"/>
        <w:jc w:val="left"/>
      </w:pPr>
      <w:rPr>
        <w:rFonts w:ascii="Raleway" w:eastAsia="Raleway" w:hAnsi="Raleway" w:cs="Raleway" w:hint="default"/>
        <w:color w:val="231F20"/>
        <w:spacing w:val="-9"/>
        <w:w w:val="99"/>
        <w:sz w:val="13"/>
        <w:szCs w:val="13"/>
        <w:lang w:val="en-US" w:eastAsia="en-US" w:bidi="en-US"/>
      </w:rPr>
    </w:lvl>
    <w:lvl w:ilvl="1" w:tplc="FA867F6E">
      <w:numFmt w:val="bullet"/>
      <w:lvlText w:val="•"/>
      <w:lvlJc w:val="left"/>
      <w:pPr>
        <w:ind w:left="2710" w:hanging="794"/>
      </w:pPr>
      <w:rPr>
        <w:rFonts w:hint="default"/>
        <w:lang w:val="en-US" w:eastAsia="en-US" w:bidi="en-US"/>
      </w:rPr>
    </w:lvl>
    <w:lvl w:ilvl="2" w:tplc="1C3A391E">
      <w:numFmt w:val="bullet"/>
      <w:lvlText w:val="•"/>
      <w:lvlJc w:val="left"/>
      <w:pPr>
        <w:ind w:left="3621" w:hanging="794"/>
      </w:pPr>
      <w:rPr>
        <w:rFonts w:hint="default"/>
        <w:lang w:val="en-US" w:eastAsia="en-US" w:bidi="en-US"/>
      </w:rPr>
    </w:lvl>
    <w:lvl w:ilvl="3" w:tplc="C396FF84">
      <w:numFmt w:val="bullet"/>
      <w:lvlText w:val="•"/>
      <w:lvlJc w:val="left"/>
      <w:pPr>
        <w:ind w:left="4531" w:hanging="794"/>
      </w:pPr>
      <w:rPr>
        <w:rFonts w:hint="default"/>
        <w:lang w:val="en-US" w:eastAsia="en-US" w:bidi="en-US"/>
      </w:rPr>
    </w:lvl>
    <w:lvl w:ilvl="4" w:tplc="FB54693C">
      <w:numFmt w:val="bullet"/>
      <w:lvlText w:val="•"/>
      <w:lvlJc w:val="left"/>
      <w:pPr>
        <w:ind w:left="5442" w:hanging="794"/>
      </w:pPr>
      <w:rPr>
        <w:rFonts w:hint="default"/>
        <w:lang w:val="en-US" w:eastAsia="en-US" w:bidi="en-US"/>
      </w:rPr>
    </w:lvl>
    <w:lvl w:ilvl="5" w:tplc="BA6C68CC">
      <w:numFmt w:val="bullet"/>
      <w:lvlText w:val="•"/>
      <w:lvlJc w:val="left"/>
      <w:pPr>
        <w:ind w:left="6352" w:hanging="794"/>
      </w:pPr>
      <w:rPr>
        <w:rFonts w:hint="default"/>
        <w:lang w:val="en-US" w:eastAsia="en-US" w:bidi="en-US"/>
      </w:rPr>
    </w:lvl>
    <w:lvl w:ilvl="6" w:tplc="B3925C76">
      <w:numFmt w:val="bullet"/>
      <w:lvlText w:val="•"/>
      <w:lvlJc w:val="left"/>
      <w:pPr>
        <w:ind w:left="7263" w:hanging="794"/>
      </w:pPr>
      <w:rPr>
        <w:rFonts w:hint="default"/>
        <w:lang w:val="en-US" w:eastAsia="en-US" w:bidi="en-US"/>
      </w:rPr>
    </w:lvl>
    <w:lvl w:ilvl="7" w:tplc="A5D2DDDC">
      <w:numFmt w:val="bullet"/>
      <w:lvlText w:val="•"/>
      <w:lvlJc w:val="left"/>
      <w:pPr>
        <w:ind w:left="8173" w:hanging="794"/>
      </w:pPr>
      <w:rPr>
        <w:rFonts w:hint="default"/>
        <w:lang w:val="en-US" w:eastAsia="en-US" w:bidi="en-US"/>
      </w:rPr>
    </w:lvl>
    <w:lvl w:ilvl="8" w:tplc="F75077BC">
      <w:numFmt w:val="bullet"/>
      <w:lvlText w:val="•"/>
      <w:lvlJc w:val="left"/>
      <w:pPr>
        <w:ind w:left="9084" w:hanging="794"/>
      </w:pPr>
      <w:rPr>
        <w:rFonts w:hint="default"/>
        <w:lang w:val="en-US" w:eastAsia="en-US" w:bidi="en-US"/>
      </w:rPr>
    </w:lvl>
  </w:abstractNum>
  <w:abstractNum w:abstractNumId="115" w15:restartNumberingAfterBreak="0">
    <w:nsid w:val="52DA38F0"/>
    <w:multiLevelType w:val="hybridMultilevel"/>
    <w:tmpl w:val="1D6E76C8"/>
    <w:lvl w:ilvl="0" w:tplc="5D52727E">
      <w:start w:val="65"/>
      <w:numFmt w:val="decimal"/>
      <w:lvlText w:val="%1"/>
      <w:lvlJc w:val="left"/>
      <w:pPr>
        <w:ind w:left="1801" w:hanging="794"/>
        <w:jc w:val="left"/>
      </w:pPr>
      <w:rPr>
        <w:rFonts w:ascii="Raleway" w:eastAsia="Raleway" w:hAnsi="Raleway" w:cs="Raleway" w:hint="default"/>
        <w:color w:val="231F20"/>
        <w:spacing w:val="-2"/>
        <w:w w:val="88"/>
        <w:sz w:val="13"/>
        <w:szCs w:val="13"/>
        <w:lang w:val="en-US" w:eastAsia="en-US" w:bidi="en-US"/>
      </w:rPr>
    </w:lvl>
    <w:lvl w:ilvl="1" w:tplc="D55A9EA4">
      <w:numFmt w:val="bullet"/>
      <w:lvlText w:val="•"/>
      <w:lvlJc w:val="left"/>
      <w:pPr>
        <w:ind w:left="2710" w:hanging="794"/>
      </w:pPr>
      <w:rPr>
        <w:rFonts w:hint="default"/>
        <w:lang w:val="en-US" w:eastAsia="en-US" w:bidi="en-US"/>
      </w:rPr>
    </w:lvl>
    <w:lvl w:ilvl="2" w:tplc="713C6734">
      <w:numFmt w:val="bullet"/>
      <w:lvlText w:val="•"/>
      <w:lvlJc w:val="left"/>
      <w:pPr>
        <w:ind w:left="3621" w:hanging="794"/>
      </w:pPr>
      <w:rPr>
        <w:rFonts w:hint="default"/>
        <w:lang w:val="en-US" w:eastAsia="en-US" w:bidi="en-US"/>
      </w:rPr>
    </w:lvl>
    <w:lvl w:ilvl="3" w:tplc="CFAC947E">
      <w:numFmt w:val="bullet"/>
      <w:lvlText w:val="•"/>
      <w:lvlJc w:val="left"/>
      <w:pPr>
        <w:ind w:left="4531" w:hanging="794"/>
      </w:pPr>
      <w:rPr>
        <w:rFonts w:hint="default"/>
        <w:lang w:val="en-US" w:eastAsia="en-US" w:bidi="en-US"/>
      </w:rPr>
    </w:lvl>
    <w:lvl w:ilvl="4" w:tplc="4E765442">
      <w:numFmt w:val="bullet"/>
      <w:lvlText w:val="•"/>
      <w:lvlJc w:val="left"/>
      <w:pPr>
        <w:ind w:left="5442" w:hanging="794"/>
      </w:pPr>
      <w:rPr>
        <w:rFonts w:hint="default"/>
        <w:lang w:val="en-US" w:eastAsia="en-US" w:bidi="en-US"/>
      </w:rPr>
    </w:lvl>
    <w:lvl w:ilvl="5" w:tplc="D74630AC">
      <w:numFmt w:val="bullet"/>
      <w:lvlText w:val="•"/>
      <w:lvlJc w:val="left"/>
      <w:pPr>
        <w:ind w:left="6352" w:hanging="794"/>
      </w:pPr>
      <w:rPr>
        <w:rFonts w:hint="default"/>
        <w:lang w:val="en-US" w:eastAsia="en-US" w:bidi="en-US"/>
      </w:rPr>
    </w:lvl>
    <w:lvl w:ilvl="6" w:tplc="BAB44046">
      <w:numFmt w:val="bullet"/>
      <w:lvlText w:val="•"/>
      <w:lvlJc w:val="left"/>
      <w:pPr>
        <w:ind w:left="7263" w:hanging="794"/>
      </w:pPr>
      <w:rPr>
        <w:rFonts w:hint="default"/>
        <w:lang w:val="en-US" w:eastAsia="en-US" w:bidi="en-US"/>
      </w:rPr>
    </w:lvl>
    <w:lvl w:ilvl="7" w:tplc="2FA65DD6">
      <w:numFmt w:val="bullet"/>
      <w:lvlText w:val="•"/>
      <w:lvlJc w:val="left"/>
      <w:pPr>
        <w:ind w:left="8173" w:hanging="794"/>
      </w:pPr>
      <w:rPr>
        <w:rFonts w:hint="default"/>
        <w:lang w:val="en-US" w:eastAsia="en-US" w:bidi="en-US"/>
      </w:rPr>
    </w:lvl>
    <w:lvl w:ilvl="8" w:tplc="55D89E4E">
      <w:numFmt w:val="bullet"/>
      <w:lvlText w:val="•"/>
      <w:lvlJc w:val="left"/>
      <w:pPr>
        <w:ind w:left="9084" w:hanging="794"/>
      </w:pPr>
      <w:rPr>
        <w:rFonts w:hint="default"/>
        <w:lang w:val="en-US" w:eastAsia="en-US" w:bidi="en-US"/>
      </w:rPr>
    </w:lvl>
  </w:abstractNum>
  <w:abstractNum w:abstractNumId="116" w15:restartNumberingAfterBreak="0">
    <w:nsid w:val="53082931"/>
    <w:multiLevelType w:val="hybridMultilevel"/>
    <w:tmpl w:val="E4D8D494"/>
    <w:lvl w:ilvl="0" w:tplc="E1AE8B9C">
      <w:start w:val="1"/>
      <w:numFmt w:val="lowerLetter"/>
      <w:lvlText w:val="%1."/>
      <w:lvlJc w:val="left"/>
      <w:pPr>
        <w:ind w:left="2032" w:hanging="794"/>
        <w:jc w:val="left"/>
      </w:pPr>
      <w:rPr>
        <w:rFonts w:ascii="Raleway" w:eastAsia="Raleway" w:hAnsi="Raleway" w:cs="Raleway" w:hint="default"/>
        <w:color w:val="231F20"/>
        <w:spacing w:val="-5"/>
        <w:w w:val="88"/>
        <w:sz w:val="20"/>
        <w:szCs w:val="20"/>
        <w:lang w:val="en-US" w:eastAsia="en-US" w:bidi="en-US"/>
      </w:rPr>
    </w:lvl>
    <w:lvl w:ilvl="1" w:tplc="6DA24264">
      <w:numFmt w:val="bullet"/>
      <w:lvlText w:val="•"/>
      <w:lvlJc w:val="left"/>
      <w:pPr>
        <w:ind w:left="2926" w:hanging="794"/>
      </w:pPr>
      <w:rPr>
        <w:rFonts w:hint="default"/>
        <w:lang w:val="en-US" w:eastAsia="en-US" w:bidi="en-US"/>
      </w:rPr>
    </w:lvl>
    <w:lvl w:ilvl="2" w:tplc="7E8071F6">
      <w:numFmt w:val="bullet"/>
      <w:lvlText w:val="•"/>
      <w:lvlJc w:val="left"/>
      <w:pPr>
        <w:ind w:left="3813" w:hanging="794"/>
      </w:pPr>
      <w:rPr>
        <w:rFonts w:hint="default"/>
        <w:lang w:val="en-US" w:eastAsia="en-US" w:bidi="en-US"/>
      </w:rPr>
    </w:lvl>
    <w:lvl w:ilvl="3" w:tplc="7ABE380A">
      <w:numFmt w:val="bullet"/>
      <w:lvlText w:val="•"/>
      <w:lvlJc w:val="left"/>
      <w:pPr>
        <w:ind w:left="4699" w:hanging="794"/>
      </w:pPr>
      <w:rPr>
        <w:rFonts w:hint="default"/>
        <w:lang w:val="en-US" w:eastAsia="en-US" w:bidi="en-US"/>
      </w:rPr>
    </w:lvl>
    <w:lvl w:ilvl="4" w:tplc="5A9214F4">
      <w:numFmt w:val="bullet"/>
      <w:lvlText w:val="•"/>
      <w:lvlJc w:val="left"/>
      <w:pPr>
        <w:ind w:left="5586" w:hanging="794"/>
      </w:pPr>
      <w:rPr>
        <w:rFonts w:hint="default"/>
        <w:lang w:val="en-US" w:eastAsia="en-US" w:bidi="en-US"/>
      </w:rPr>
    </w:lvl>
    <w:lvl w:ilvl="5" w:tplc="56F43B96">
      <w:numFmt w:val="bullet"/>
      <w:lvlText w:val="•"/>
      <w:lvlJc w:val="left"/>
      <w:pPr>
        <w:ind w:left="6472" w:hanging="794"/>
      </w:pPr>
      <w:rPr>
        <w:rFonts w:hint="default"/>
        <w:lang w:val="en-US" w:eastAsia="en-US" w:bidi="en-US"/>
      </w:rPr>
    </w:lvl>
    <w:lvl w:ilvl="6" w:tplc="3636FE46">
      <w:numFmt w:val="bullet"/>
      <w:lvlText w:val="•"/>
      <w:lvlJc w:val="left"/>
      <w:pPr>
        <w:ind w:left="7359" w:hanging="794"/>
      </w:pPr>
      <w:rPr>
        <w:rFonts w:hint="default"/>
        <w:lang w:val="en-US" w:eastAsia="en-US" w:bidi="en-US"/>
      </w:rPr>
    </w:lvl>
    <w:lvl w:ilvl="7" w:tplc="54BE689A">
      <w:numFmt w:val="bullet"/>
      <w:lvlText w:val="•"/>
      <w:lvlJc w:val="left"/>
      <w:pPr>
        <w:ind w:left="8245" w:hanging="794"/>
      </w:pPr>
      <w:rPr>
        <w:rFonts w:hint="default"/>
        <w:lang w:val="en-US" w:eastAsia="en-US" w:bidi="en-US"/>
      </w:rPr>
    </w:lvl>
    <w:lvl w:ilvl="8" w:tplc="583A0CE8">
      <w:numFmt w:val="bullet"/>
      <w:lvlText w:val="•"/>
      <w:lvlJc w:val="left"/>
      <w:pPr>
        <w:ind w:left="9132" w:hanging="794"/>
      </w:pPr>
      <w:rPr>
        <w:rFonts w:hint="default"/>
        <w:lang w:val="en-US" w:eastAsia="en-US" w:bidi="en-US"/>
      </w:rPr>
    </w:lvl>
  </w:abstractNum>
  <w:abstractNum w:abstractNumId="117" w15:restartNumberingAfterBreak="0">
    <w:nsid w:val="53441CE1"/>
    <w:multiLevelType w:val="hybridMultilevel"/>
    <w:tmpl w:val="15C69AD0"/>
    <w:lvl w:ilvl="0" w:tplc="AD7260FE">
      <w:start w:val="101"/>
      <w:numFmt w:val="decimal"/>
      <w:lvlText w:val="%1"/>
      <w:lvlJc w:val="left"/>
      <w:pPr>
        <w:ind w:left="1801" w:hanging="794"/>
        <w:jc w:val="left"/>
      </w:pPr>
      <w:rPr>
        <w:rFonts w:ascii="Raleway" w:eastAsia="Raleway" w:hAnsi="Raleway" w:cs="Raleway" w:hint="default"/>
        <w:color w:val="231F20"/>
        <w:spacing w:val="-19"/>
        <w:w w:val="99"/>
        <w:sz w:val="13"/>
        <w:szCs w:val="13"/>
        <w:lang w:val="en-US" w:eastAsia="en-US" w:bidi="en-US"/>
      </w:rPr>
    </w:lvl>
    <w:lvl w:ilvl="1" w:tplc="8F066BA4">
      <w:numFmt w:val="bullet"/>
      <w:lvlText w:val="•"/>
      <w:lvlJc w:val="left"/>
      <w:pPr>
        <w:ind w:left="2710" w:hanging="794"/>
      </w:pPr>
      <w:rPr>
        <w:rFonts w:hint="default"/>
        <w:lang w:val="en-US" w:eastAsia="en-US" w:bidi="en-US"/>
      </w:rPr>
    </w:lvl>
    <w:lvl w:ilvl="2" w:tplc="E830035A">
      <w:numFmt w:val="bullet"/>
      <w:lvlText w:val="•"/>
      <w:lvlJc w:val="left"/>
      <w:pPr>
        <w:ind w:left="3621" w:hanging="794"/>
      </w:pPr>
      <w:rPr>
        <w:rFonts w:hint="default"/>
        <w:lang w:val="en-US" w:eastAsia="en-US" w:bidi="en-US"/>
      </w:rPr>
    </w:lvl>
    <w:lvl w:ilvl="3" w:tplc="0BE261B6">
      <w:numFmt w:val="bullet"/>
      <w:lvlText w:val="•"/>
      <w:lvlJc w:val="left"/>
      <w:pPr>
        <w:ind w:left="4531" w:hanging="794"/>
      </w:pPr>
      <w:rPr>
        <w:rFonts w:hint="default"/>
        <w:lang w:val="en-US" w:eastAsia="en-US" w:bidi="en-US"/>
      </w:rPr>
    </w:lvl>
    <w:lvl w:ilvl="4" w:tplc="11A07528">
      <w:numFmt w:val="bullet"/>
      <w:lvlText w:val="•"/>
      <w:lvlJc w:val="left"/>
      <w:pPr>
        <w:ind w:left="5442" w:hanging="794"/>
      </w:pPr>
      <w:rPr>
        <w:rFonts w:hint="default"/>
        <w:lang w:val="en-US" w:eastAsia="en-US" w:bidi="en-US"/>
      </w:rPr>
    </w:lvl>
    <w:lvl w:ilvl="5" w:tplc="13C6FF68">
      <w:numFmt w:val="bullet"/>
      <w:lvlText w:val="•"/>
      <w:lvlJc w:val="left"/>
      <w:pPr>
        <w:ind w:left="6352" w:hanging="794"/>
      </w:pPr>
      <w:rPr>
        <w:rFonts w:hint="default"/>
        <w:lang w:val="en-US" w:eastAsia="en-US" w:bidi="en-US"/>
      </w:rPr>
    </w:lvl>
    <w:lvl w:ilvl="6" w:tplc="0524B38A">
      <w:numFmt w:val="bullet"/>
      <w:lvlText w:val="•"/>
      <w:lvlJc w:val="left"/>
      <w:pPr>
        <w:ind w:left="7263" w:hanging="794"/>
      </w:pPr>
      <w:rPr>
        <w:rFonts w:hint="default"/>
        <w:lang w:val="en-US" w:eastAsia="en-US" w:bidi="en-US"/>
      </w:rPr>
    </w:lvl>
    <w:lvl w:ilvl="7" w:tplc="6CE03994">
      <w:numFmt w:val="bullet"/>
      <w:lvlText w:val="•"/>
      <w:lvlJc w:val="left"/>
      <w:pPr>
        <w:ind w:left="8173" w:hanging="794"/>
      </w:pPr>
      <w:rPr>
        <w:rFonts w:hint="default"/>
        <w:lang w:val="en-US" w:eastAsia="en-US" w:bidi="en-US"/>
      </w:rPr>
    </w:lvl>
    <w:lvl w:ilvl="8" w:tplc="747E6E70">
      <w:numFmt w:val="bullet"/>
      <w:lvlText w:val="•"/>
      <w:lvlJc w:val="left"/>
      <w:pPr>
        <w:ind w:left="9084" w:hanging="794"/>
      </w:pPr>
      <w:rPr>
        <w:rFonts w:hint="default"/>
        <w:lang w:val="en-US" w:eastAsia="en-US" w:bidi="en-US"/>
      </w:rPr>
    </w:lvl>
  </w:abstractNum>
  <w:abstractNum w:abstractNumId="118" w15:restartNumberingAfterBreak="0">
    <w:nsid w:val="535829A3"/>
    <w:multiLevelType w:val="hybridMultilevel"/>
    <w:tmpl w:val="FD36C582"/>
    <w:lvl w:ilvl="0" w:tplc="955ECB82">
      <w:numFmt w:val="none"/>
      <w:lvlText w:val=""/>
      <w:lvlJc w:val="left"/>
      <w:pPr>
        <w:tabs>
          <w:tab w:val="num" w:pos="360"/>
        </w:tabs>
      </w:pPr>
    </w:lvl>
    <w:lvl w:ilvl="1" w:tplc="B476C188">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2" w:tplc="1410F548">
      <w:numFmt w:val="bullet"/>
      <w:lvlText w:val="•"/>
      <w:lvlJc w:val="left"/>
      <w:pPr>
        <w:ind w:left="3113" w:hanging="341"/>
      </w:pPr>
      <w:rPr>
        <w:rFonts w:hint="default"/>
        <w:lang w:val="en-US" w:eastAsia="en-US" w:bidi="en-US"/>
      </w:rPr>
    </w:lvl>
    <w:lvl w:ilvl="3" w:tplc="4CB4ED82">
      <w:numFmt w:val="bullet"/>
      <w:lvlText w:val="•"/>
      <w:lvlJc w:val="left"/>
      <w:pPr>
        <w:ind w:left="4087" w:hanging="341"/>
      </w:pPr>
      <w:rPr>
        <w:rFonts w:hint="default"/>
        <w:lang w:val="en-US" w:eastAsia="en-US" w:bidi="en-US"/>
      </w:rPr>
    </w:lvl>
    <w:lvl w:ilvl="4" w:tplc="23689FAC">
      <w:numFmt w:val="bullet"/>
      <w:lvlText w:val="•"/>
      <w:lvlJc w:val="left"/>
      <w:pPr>
        <w:ind w:left="5061" w:hanging="341"/>
      </w:pPr>
      <w:rPr>
        <w:rFonts w:hint="default"/>
        <w:lang w:val="en-US" w:eastAsia="en-US" w:bidi="en-US"/>
      </w:rPr>
    </w:lvl>
    <w:lvl w:ilvl="5" w:tplc="35D82E8C">
      <w:numFmt w:val="bullet"/>
      <w:lvlText w:val="•"/>
      <w:lvlJc w:val="left"/>
      <w:pPr>
        <w:ind w:left="6035" w:hanging="341"/>
      </w:pPr>
      <w:rPr>
        <w:rFonts w:hint="default"/>
        <w:lang w:val="en-US" w:eastAsia="en-US" w:bidi="en-US"/>
      </w:rPr>
    </w:lvl>
    <w:lvl w:ilvl="6" w:tplc="0170A154">
      <w:numFmt w:val="bullet"/>
      <w:lvlText w:val="•"/>
      <w:lvlJc w:val="left"/>
      <w:pPr>
        <w:ind w:left="7009" w:hanging="341"/>
      </w:pPr>
      <w:rPr>
        <w:rFonts w:hint="default"/>
        <w:lang w:val="en-US" w:eastAsia="en-US" w:bidi="en-US"/>
      </w:rPr>
    </w:lvl>
    <w:lvl w:ilvl="7" w:tplc="BEA2C7B2">
      <w:numFmt w:val="bullet"/>
      <w:lvlText w:val="•"/>
      <w:lvlJc w:val="left"/>
      <w:pPr>
        <w:ind w:left="7983" w:hanging="341"/>
      </w:pPr>
      <w:rPr>
        <w:rFonts w:hint="default"/>
        <w:lang w:val="en-US" w:eastAsia="en-US" w:bidi="en-US"/>
      </w:rPr>
    </w:lvl>
    <w:lvl w:ilvl="8" w:tplc="B630DCB2">
      <w:numFmt w:val="bullet"/>
      <w:lvlText w:val="•"/>
      <w:lvlJc w:val="left"/>
      <w:pPr>
        <w:ind w:left="8957" w:hanging="341"/>
      </w:pPr>
      <w:rPr>
        <w:rFonts w:hint="default"/>
        <w:lang w:val="en-US" w:eastAsia="en-US" w:bidi="en-US"/>
      </w:rPr>
    </w:lvl>
  </w:abstractNum>
  <w:abstractNum w:abstractNumId="119" w15:restartNumberingAfterBreak="0">
    <w:nsid w:val="55137CB5"/>
    <w:multiLevelType w:val="multilevel"/>
    <w:tmpl w:val="1E286032"/>
    <w:lvl w:ilvl="0">
      <w:start w:val="1"/>
      <w:numFmt w:val="decimal"/>
      <w:lvlText w:val="%1."/>
      <w:lvlJc w:val="left"/>
      <w:pPr>
        <w:ind w:left="761" w:hanging="511"/>
        <w:jc w:val="right"/>
      </w:pPr>
      <w:rPr>
        <w:rFonts w:hint="default"/>
        <w:b/>
        <w:bCs/>
        <w:spacing w:val="0"/>
        <w:w w:val="100"/>
        <w:lang w:val="en-US" w:eastAsia="en-US" w:bidi="en-US"/>
      </w:rPr>
    </w:lvl>
    <w:lvl w:ilvl="1">
      <w:start w:val="1"/>
      <w:numFmt w:val="decimal"/>
      <w:lvlText w:val="%1.%2"/>
      <w:lvlJc w:val="left"/>
      <w:pPr>
        <w:ind w:left="1801" w:hanging="794"/>
        <w:jc w:val="left"/>
      </w:pPr>
      <w:rPr>
        <w:rFonts w:ascii="Raleway" w:eastAsia="Raleway" w:hAnsi="Raleway" w:cs="Raleway" w:hint="default"/>
        <w:color w:val="231F20"/>
        <w:spacing w:val="-7"/>
        <w:w w:val="100"/>
        <w:sz w:val="20"/>
        <w:szCs w:val="20"/>
        <w:lang w:val="en-US" w:eastAsia="en-US" w:bidi="en-US"/>
      </w:rPr>
    </w:lvl>
    <w:lvl w:ilvl="2">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3">
      <w:numFmt w:val="bullet"/>
      <w:lvlText w:val="•"/>
      <w:lvlJc w:val="left"/>
      <w:pPr>
        <w:ind w:left="2140" w:hanging="341"/>
      </w:pPr>
      <w:rPr>
        <w:rFonts w:hint="default"/>
        <w:lang w:val="en-US" w:eastAsia="en-US" w:bidi="en-US"/>
      </w:rPr>
    </w:lvl>
    <w:lvl w:ilvl="4">
      <w:numFmt w:val="bullet"/>
      <w:lvlText w:val="•"/>
      <w:lvlJc w:val="left"/>
      <w:pPr>
        <w:ind w:left="3392" w:hanging="341"/>
      </w:pPr>
      <w:rPr>
        <w:rFonts w:hint="default"/>
        <w:lang w:val="en-US" w:eastAsia="en-US" w:bidi="en-US"/>
      </w:rPr>
    </w:lvl>
    <w:lvl w:ilvl="5">
      <w:numFmt w:val="bullet"/>
      <w:lvlText w:val="•"/>
      <w:lvlJc w:val="left"/>
      <w:pPr>
        <w:ind w:left="4644" w:hanging="341"/>
      </w:pPr>
      <w:rPr>
        <w:rFonts w:hint="default"/>
        <w:lang w:val="en-US" w:eastAsia="en-US" w:bidi="en-US"/>
      </w:rPr>
    </w:lvl>
    <w:lvl w:ilvl="6">
      <w:numFmt w:val="bullet"/>
      <w:lvlText w:val="•"/>
      <w:lvlJc w:val="left"/>
      <w:pPr>
        <w:ind w:left="5896" w:hanging="341"/>
      </w:pPr>
      <w:rPr>
        <w:rFonts w:hint="default"/>
        <w:lang w:val="en-US" w:eastAsia="en-US" w:bidi="en-US"/>
      </w:rPr>
    </w:lvl>
    <w:lvl w:ilvl="7">
      <w:numFmt w:val="bullet"/>
      <w:lvlText w:val="•"/>
      <w:lvlJc w:val="left"/>
      <w:pPr>
        <w:ind w:left="7148" w:hanging="341"/>
      </w:pPr>
      <w:rPr>
        <w:rFonts w:hint="default"/>
        <w:lang w:val="en-US" w:eastAsia="en-US" w:bidi="en-US"/>
      </w:rPr>
    </w:lvl>
    <w:lvl w:ilvl="8">
      <w:numFmt w:val="bullet"/>
      <w:lvlText w:val="•"/>
      <w:lvlJc w:val="left"/>
      <w:pPr>
        <w:ind w:left="8401" w:hanging="341"/>
      </w:pPr>
      <w:rPr>
        <w:rFonts w:hint="default"/>
        <w:lang w:val="en-US" w:eastAsia="en-US" w:bidi="en-US"/>
      </w:rPr>
    </w:lvl>
  </w:abstractNum>
  <w:abstractNum w:abstractNumId="120" w15:restartNumberingAfterBreak="0">
    <w:nsid w:val="55C06B96"/>
    <w:multiLevelType w:val="hybridMultilevel"/>
    <w:tmpl w:val="6BB46AC0"/>
    <w:lvl w:ilvl="0" w:tplc="B72EE5F0">
      <w:numFmt w:val="bullet"/>
      <w:lvlText w:val="•"/>
      <w:lvlJc w:val="left"/>
      <w:pPr>
        <w:ind w:left="453" w:hanging="341"/>
      </w:pPr>
      <w:rPr>
        <w:rFonts w:ascii="Raleway" w:eastAsia="Raleway" w:hAnsi="Raleway" w:cs="Raleway" w:hint="default"/>
        <w:color w:val="231F20"/>
        <w:spacing w:val="-6"/>
        <w:w w:val="100"/>
        <w:sz w:val="20"/>
        <w:szCs w:val="20"/>
        <w:lang w:val="en-US" w:eastAsia="en-US" w:bidi="en-US"/>
      </w:rPr>
    </w:lvl>
    <w:lvl w:ilvl="1" w:tplc="B1443552">
      <w:numFmt w:val="bullet"/>
      <w:lvlText w:val="•"/>
      <w:lvlJc w:val="left"/>
      <w:pPr>
        <w:ind w:left="993" w:hanging="341"/>
      </w:pPr>
      <w:rPr>
        <w:rFonts w:hint="default"/>
        <w:lang w:val="en-US" w:eastAsia="en-US" w:bidi="en-US"/>
      </w:rPr>
    </w:lvl>
    <w:lvl w:ilvl="2" w:tplc="D638AB80">
      <w:numFmt w:val="bullet"/>
      <w:lvlText w:val="•"/>
      <w:lvlJc w:val="left"/>
      <w:pPr>
        <w:ind w:left="1527" w:hanging="341"/>
      </w:pPr>
      <w:rPr>
        <w:rFonts w:hint="default"/>
        <w:lang w:val="en-US" w:eastAsia="en-US" w:bidi="en-US"/>
      </w:rPr>
    </w:lvl>
    <w:lvl w:ilvl="3" w:tplc="C8D0698E">
      <w:numFmt w:val="bullet"/>
      <w:lvlText w:val="•"/>
      <w:lvlJc w:val="left"/>
      <w:pPr>
        <w:ind w:left="2061" w:hanging="341"/>
      </w:pPr>
      <w:rPr>
        <w:rFonts w:hint="default"/>
        <w:lang w:val="en-US" w:eastAsia="en-US" w:bidi="en-US"/>
      </w:rPr>
    </w:lvl>
    <w:lvl w:ilvl="4" w:tplc="D1BA543A">
      <w:numFmt w:val="bullet"/>
      <w:lvlText w:val="•"/>
      <w:lvlJc w:val="left"/>
      <w:pPr>
        <w:ind w:left="2595" w:hanging="341"/>
      </w:pPr>
      <w:rPr>
        <w:rFonts w:hint="default"/>
        <w:lang w:val="en-US" w:eastAsia="en-US" w:bidi="en-US"/>
      </w:rPr>
    </w:lvl>
    <w:lvl w:ilvl="5" w:tplc="BC84A964">
      <w:numFmt w:val="bullet"/>
      <w:lvlText w:val="•"/>
      <w:lvlJc w:val="left"/>
      <w:pPr>
        <w:ind w:left="3129" w:hanging="341"/>
      </w:pPr>
      <w:rPr>
        <w:rFonts w:hint="default"/>
        <w:lang w:val="en-US" w:eastAsia="en-US" w:bidi="en-US"/>
      </w:rPr>
    </w:lvl>
    <w:lvl w:ilvl="6" w:tplc="16644848">
      <w:numFmt w:val="bullet"/>
      <w:lvlText w:val="•"/>
      <w:lvlJc w:val="left"/>
      <w:pPr>
        <w:ind w:left="3662" w:hanging="341"/>
      </w:pPr>
      <w:rPr>
        <w:rFonts w:hint="default"/>
        <w:lang w:val="en-US" w:eastAsia="en-US" w:bidi="en-US"/>
      </w:rPr>
    </w:lvl>
    <w:lvl w:ilvl="7" w:tplc="6F522D12">
      <w:numFmt w:val="bullet"/>
      <w:lvlText w:val="•"/>
      <w:lvlJc w:val="left"/>
      <w:pPr>
        <w:ind w:left="4196" w:hanging="341"/>
      </w:pPr>
      <w:rPr>
        <w:rFonts w:hint="default"/>
        <w:lang w:val="en-US" w:eastAsia="en-US" w:bidi="en-US"/>
      </w:rPr>
    </w:lvl>
    <w:lvl w:ilvl="8" w:tplc="75DE2D8A">
      <w:numFmt w:val="bullet"/>
      <w:lvlText w:val="•"/>
      <w:lvlJc w:val="left"/>
      <w:pPr>
        <w:ind w:left="4730" w:hanging="341"/>
      </w:pPr>
      <w:rPr>
        <w:rFonts w:hint="default"/>
        <w:lang w:val="en-US" w:eastAsia="en-US" w:bidi="en-US"/>
      </w:rPr>
    </w:lvl>
  </w:abstractNum>
  <w:abstractNum w:abstractNumId="121" w15:restartNumberingAfterBreak="0">
    <w:nsid w:val="56E72F7C"/>
    <w:multiLevelType w:val="hybridMultilevel"/>
    <w:tmpl w:val="D9D66BF0"/>
    <w:lvl w:ilvl="0" w:tplc="5560B2EE">
      <w:numFmt w:val="bullet"/>
      <w:lvlText w:val="-"/>
      <w:lvlJc w:val="left"/>
      <w:pPr>
        <w:ind w:left="1347" w:hanging="341"/>
      </w:pPr>
      <w:rPr>
        <w:rFonts w:ascii="Raleway" w:eastAsia="Raleway" w:hAnsi="Raleway" w:cs="Raleway" w:hint="default"/>
        <w:color w:val="231F20"/>
        <w:spacing w:val="-9"/>
        <w:w w:val="99"/>
        <w:sz w:val="20"/>
        <w:szCs w:val="20"/>
        <w:lang w:val="en-US" w:eastAsia="en-US" w:bidi="en-US"/>
      </w:rPr>
    </w:lvl>
    <w:lvl w:ilvl="1" w:tplc="CF406E92">
      <w:numFmt w:val="bullet"/>
      <w:lvlText w:val="•"/>
      <w:lvlJc w:val="left"/>
      <w:pPr>
        <w:ind w:left="2179" w:hanging="341"/>
      </w:pPr>
      <w:rPr>
        <w:rFonts w:hint="default"/>
        <w:lang w:val="en-US" w:eastAsia="en-US" w:bidi="en-US"/>
      </w:rPr>
    </w:lvl>
    <w:lvl w:ilvl="2" w:tplc="67DCDA9E">
      <w:numFmt w:val="bullet"/>
      <w:lvlText w:val="•"/>
      <w:lvlJc w:val="left"/>
      <w:pPr>
        <w:ind w:left="3018" w:hanging="341"/>
      </w:pPr>
      <w:rPr>
        <w:rFonts w:hint="default"/>
        <w:lang w:val="en-US" w:eastAsia="en-US" w:bidi="en-US"/>
      </w:rPr>
    </w:lvl>
    <w:lvl w:ilvl="3" w:tplc="92843F34">
      <w:numFmt w:val="bullet"/>
      <w:lvlText w:val="•"/>
      <w:lvlJc w:val="left"/>
      <w:pPr>
        <w:ind w:left="3857" w:hanging="341"/>
      </w:pPr>
      <w:rPr>
        <w:rFonts w:hint="default"/>
        <w:lang w:val="en-US" w:eastAsia="en-US" w:bidi="en-US"/>
      </w:rPr>
    </w:lvl>
    <w:lvl w:ilvl="4" w:tplc="0A002182">
      <w:numFmt w:val="bullet"/>
      <w:lvlText w:val="•"/>
      <w:lvlJc w:val="left"/>
      <w:pPr>
        <w:ind w:left="4696" w:hanging="341"/>
      </w:pPr>
      <w:rPr>
        <w:rFonts w:hint="default"/>
        <w:lang w:val="en-US" w:eastAsia="en-US" w:bidi="en-US"/>
      </w:rPr>
    </w:lvl>
    <w:lvl w:ilvl="5" w:tplc="DDD4D170">
      <w:numFmt w:val="bullet"/>
      <w:lvlText w:val="•"/>
      <w:lvlJc w:val="left"/>
      <w:pPr>
        <w:ind w:left="5535" w:hanging="341"/>
      </w:pPr>
      <w:rPr>
        <w:rFonts w:hint="default"/>
        <w:lang w:val="en-US" w:eastAsia="en-US" w:bidi="en-US"/>
      </w:rPr>
    </w:lvl>
    <w:lvl w:ilvl="6" w:tplc="7298919E">
      <w:numFmt w:val="bullet"/>
      <w:lvlText w:val="•"/>
      <w:lvlJc w:val="left"/>
      <w:pPr>
        <w:ind w:left="6374" w:hanging="341"/>
      </w:pPr>
      <w:rPr>
        <w:rFonts w:hint="default"/>
        <w:lang w:val="en-US" w:eastAsia="en-US" w:bidi="en-US"/>
      </w:rPr>
    </w:lvl>
    <w:lvl w:ilvl="7" w:tplc="BF747946">
      <w:numFmt w:val="bullet"/>
      <w:lvlText w:val="•"/>
      <w:lvlJc w:val="left"/>
      <w:pPr>
        <w:ind w:left="7213" w:hanging="341"/>
      </w:pPr>
      <w:rPr>
        <w:rFonts w:hint="default"/>
        <w:lang w:val="en-US" w:eastAsia="en-US" w:bidi="en-US"/>
      </w:rPr>
    </w:lvl>
    <w:lvl w:ilvl="8" w:tplc="0BF078A2">
      <w:numFmt w:val="bullet"/>
      <w:lvlText w:val="•"/>
      <w:lvlJc w:val="left"/>
      <w:pPr>
        <w:ind w:left="8052" w:hanging="341"/>
      </w:pPr>
      <w:rPr>
        <w:rFonts w:hint="default"/>
        <w:lang w:val="en-US" w:eastAsia="en-US" w:bidi="en-US"/>
      </w:rPr>
    </w:lvl>
  </w:abstractNum>
  <w:abstractNum w:abstractNumId="122" w15:restartNumberingAfterBreak="0">
    <w:nsid w:val="56F77C1A"/>
    <w:multiLevelType w:val="hybridMultilevel"/>
    <w:tmpl w:val="6BF862EE"/>
    <w:lvl w:ilvl="0" w:tplc="984E574C">
      <w:numFmt w:val="bullet"/>
      <w:lvlText w:val="•"/>
      <w:lvlJc w:val="left"/>
      <w:pPr>
        <w:ind w:left="2934" w:hanging="567"/>
      </w:pPr>
      <w:rPr>
        <w:rFonts w:ascii="Trebuchet MS" w:eastAsia="Trebuchet MS" w:hAnsi="Trebuchet MS" w:cs="Trebuchet MS" w:hint="default"/>
        <w:color w:val="231F20"/>
        <w:w w:val="67"/>
        <w:sz w:val="20"/>
        <w:szCs w:val="20"/>
        <w:lang w:val="en-US" w:eastAsia="en-US" w:bidi="en-US"/>
      </w:rPr>
    </w:lvl>
    <w:lvl w:ilvl="1" w:tplc="625269E4">
      <w:numFmt w:val="bullet"/>
      <w:lvlText w:val="•"/>
      <w:lvlJc w:val="left"/>
      <w:pPr>
        <w:ind w:left="3736" w:hanging="567"/>
      </w:pPr>
      <w:rPr>
        <w:rFonts w:hint="default"/>
        <w:lang w:val="en-US" w:eastAsia="en-US" w:bidi="en-US"/>
      </w:rPr>
    </w:lvl>
    <w:lvl w:ilvl="2" w:tplc="EBC44AFC">
      <w:numFmt w:val="bullet"/>
      <w:lvlText w:val="•"/>
      <w:lvlJc w:val="left"/>
      <w:pPr>
        <w:ind w:left="4533" w:hanging="567"/>
      </w:pPr>
      <w:rPr>
        <w:rFonts w:hint="default"/>
        <w:lang w:val="en-US" w:eastAsia="en-US" w:bidi="en-US"/>
      </w:rPr>
    </w:lvl>
    <w:lvl w:ilvl="3" w:tplc="23AE3F94">
      <w:numFmt w:val="bullet"/>
      <w:lvlText w:val="•"/>
      <w:lvlJc w:val="left"/>
      <w:pPr>
        <w:ind w:left="5329" w:hanging="567"/>
      </w:pPr>
      <w:rPr>
        <w:rFonts w:hint="default"/>
        <w:lang w:val="en-US" w:eastAsia="en-US" w:bidi="en-US"/>
      </w:rPr>
    </w:lvl>
    <w:lvl w:ilvl="4" w:tplc="81621420">
      <w:numFmt w:val="bullet"/>
      <w:lvlText w:val="•"/>
      <w:lvlJc w:val="left"/>
      <w:pPr>
        <w:ind w:left="6126" w:hanging="567"/>
      </w:pPr>
      <w:rPr>
        <w:rFonts w:hint="default"/>
        <w:lang w:val="en-US" w:eastAsia="en-US" w:bidi="en-US"/>
      </w:rPr>
    </w:lvl>
    <w:lvl w:ilvl="5" w:tplc="984AD618">
      <w:numFmt w:val="bullet"/>
      <w:lvlText w:val="•"/>
      <w:lvlJc w:val="left"/>
      <w:pPr>
        <w:ind w:left="6922" w:hanging="567"/>
      </w:pPr>
      <w:rPr>
        <w:rFonts w:hint="default"/>
        <w:lang w:val="en-US" w:eastAsia="en-US" w:bidi="en-US"/>
      </w:rPr>
    </w:lvl>
    <w:lvl w:ilvl="6" w:tplc="EA62626C">
      <w:numFmt w:val="bullet"/>
      <w:lvlText w:val="•"/>
      <w:lvlJc w:val="left"/>
      <w:pPr>
        <w:ind w:left="7719" w:hanging="567"/>
      </w:pPr>
      <w:rPr>
        <w:rFonts w:hint="default"/>
        <w:lang w:val="en-US" w:eastAsia="en-US" w:bidi="en-US"/>
      </w:rPr>
    </w:lvl>
    <w:lvl w:ilvl="7" w:tplc="3F344344">
      <w:numFmt w:val="bullet"/>
      <w:lvlText w:val="•"/>
      <w:lvlJc w:val="left"/>
      <w:pPr>
        <w:ind w:left="8515" w:hanging="567"/>
      </w:pPr>
      <w:rPr>
        <w:rFonts w:hint="default"/>
        <w:lang w:val="en-US" w:eastAsia="en-US" w:bidi="en-US"/>
      </w:rPr>
    </w:lvl>
    <w:lvl w:ilvl="8" w:tplc="074A03DC">
      <w:numFmt w:val="bullet"/>
      <w:lvlText w:val="•"/>
      <w:lvlJc w:val="left"/>
      <w:pPr>
        <w:ind w:left="9312" w:hanging="567"/>
      </w:pPr>
      <w:rPr>
        <w:rFonts w:hint="default"/>
        <w:lang w:val="en-US" w:eastAsia="en-US" w:bidi="en-US"/>
      </w:rPr>
    </w:lvl>
  </w:abstractNum>
  <w:abstractNum w:abstractNumId="123" w15:restartNumberingAfterBreak="0">
    <w:nsid w:val="575361ED"/>
    <w:multiLevelType w:val="hybridMultilevel"/>
    <w:tmpl w:val="FF22835A"/>
    <w:lvl w:ilvl="0" w:tplc="BB6CC50A">
      <w:start w:val="1"/>
      <w:numFmt w:val="decimal"/>
      <w:lvlText w:val="%1"/>
      <w:lvlJc w:val="left"/>
      <w:pPr>
        <w:ind w:left="933" w:hanging="794"/>
        <w:jc w:val="left"/>
      </w:pPr>
      <w:rPr>
        <w:rFonts w:ascii="Raleway" w:eastAsia="Raleway" w:hAnsi="Raleway" w:cs="Raleway" w:hint="default"/>
        <w:color w:val="231F20"/>
        <w:spacing w:val="-1"/>
        <w:w w:val="99"/>
        <w:sz w:val="13"/>
        <w:szCs w:val="13"/>
        <w:lang w:val="en-US" w:eastAsia="en-US" w:bidi="en-US"/>
      </w:rPr>
    </w:lvl>
    <w:lvl w:ilvl="1" w:tplc="C944E602">
      <w:numFmt w:val="bullet"/>
      <w:lvlText w:val="•"/>
      <w:lvlJc w:val="left"/>
      <w:pPr>
        <w:ind w:left="1849" w:hanging="794"/>
      </w:pPr>
      <w:rPr>
        <w:rFonts w:hint="default"/>
        <w:lang w:val="en-US" w:eastAsia="en-US" w:bidi="en-US"/>
      </w:rPr>
    </w:lvl>
    <w:lvl w:ilvl="2" w:tplc="6BAAAF84">
      <w:numFmt w:val="bullet"/>
      <w:lvlText w:val="•"/>
      <w:lvlJc w:val="left"/>
      <w:pPr>
        <w:ind w:left="2759" w:hanging="794"/>
      </w:pPr>
      <w:rPr>
        <w:rFonts w:hint="default"/>
        <w:lang w:val="en-US" w:eastAsia="en-US" w:bidi="en-US"/>
      </w:rPr>
    </w:lvl>
    <w:lvl w:ilvl="3" w:tplc="C9206218">
      <w:numFmt w:val="bullet"/>
      <w:lvlText w:val="•"/>
      <w:lvlJc w:val="left"/>
      <w:pPr>
        <w:ind w:left="3669" w:hanging="794"/>
      </w:pPr>
      <w:rPr>
        <w:rFonts w:hint="default"/>
        <w:lang w:val="en-US" w:eastAsia="en-US" w:bidi="en-US"/>
      </w:rPr>
    </w:lvl>
    <w:lvl w:ilvl="4" w:tplc="C5F4B7D4">
      <w:numFmt w:val="bullet"/>
      <w:lvlText w:val="•"/>
      <w:lvlJc w:val="left"/>
      <w:pPr>
        <w:ind w:left="4579" w:hanging="794"/>
      </w:pPr>
      <w:rPr>
        <w:rFonts w:hint="default"/>
        <w:lang w:val="en-US" w:eastAsia="en-US" w:bidi="en-US"/>
      </w:rPr>
    </w:lvl>
    <w:lvl w:ilvl="5" w:tplc="AE964C54">
      <w:numFmt w:val="bullet"/>
      <w:lvlText w:val="•"/>
      <w:lvlJc w:val="left"/>
      <w:pPr>
        <w:ind w:left="5489" w:hanging="794"/>
      </w:pPr>
      <w:rPr>
        <w:rFonts w:hint="default"/>
        <w:lang w:val="en-US" w:eastAsia="en-US" w:bidi="en-US"/>
      </w:rPr>
    </w:lvl>
    <w:lvl w:ilvl="6" w:tplc="8B8849A2">
      <w:numFmt w:val="bullet"/>
      <w:lvlText w:val="•"/>
      <w:lvlJc w:val="left"/>
      <w:pPr>
        <w:ind w:left="6398" w:hanging="794"/>
      </w:pPr>
      <w:rPr>
        <w:rFonts w:hint="default"/>
        <w:lang w:val="en-US" w:eastAsia="en-US" w:bidi="en-US"/>
      </w:rPr>
    </w:lvl>
    <w:lvl w:ilvl="7" w:tplc="1DEE954C">
      <w:numFmt w:val="bullet"/>
      <w:lvlText w:val="•"/>
      <w:lvlJc w:val="left"/>
      <w:pPr>
        <w:ind w:left="7308" w:hanging="794"/>
      </w:pPr>
      <w:rPr>
        <w:rFonts w:hint="default"/>
        <w:lang w:val="en-US" w:eastAsia="en-US" w:bidi="en-US"/>
      </w:rPr>
    </w:lvl>
    <w:lvl w:ilvl="8" w:tplc="04BA8F80">
      <w:numFmt w:val="bullet"/>
      <w:lvlText w:val="•"/>
      <w:lvlJc w:val="left"/>
      <w:pPr>
        <w:ind w:left="8218" w:hanging="794"/>
      </w:pPr>
      <w:rPr>
        <w:rFonts w:hint="default"/>
        <w:lang w:val="en-US" w:eastAsia="en-US" w:bidi="en-US"/>
      </w:rPr>
    </w:lvl>
  </w:abstractNum>
  <w:abstractNum w:abstractNumId="124" w15:restartNumberingAfterBreak="0">
    <w:nsid w:val="588D55B7"/>
    <w:multiLevelType w:val="hybridMultilevel"/>
    <w:tmpl w:val="39F4C904"/>
    <w:lvl w:ilvl="0" w:tplc="373E946A">
      <w:start w:val="38"/>
      <w:numFmt w:val="decimal"/>
      <w:lvlText w:val="%1."/>
      <w:lvlJc w:val="left"/>
      <w:pPr>
        <w:ind w:left="1801" w:hanging="794"/>
        <w:jc w:val="left"/>
      </w:pPr>
      <w:rPr>
        <w:rFonts w:ascii="Trebuchet MS" w:eastAsia="Trebuchet MS" w:hAnsi="Trebuchet MS" w:cs="Trebuchet MS" w:hint="default"/>
        <w:color w:val="231F20"/>
        <w:w w:val="55"/>
        <w:sz w:val="20"/>
        <w:szCs w:val="20"/>
        <w:lang w:val="en-US" w:eastAsia="en-US" w:bidi="en-US"/>
      </w:rPr>
    </w:lvl>
    <w:lvl w:ilvl="1" w:tplc="0F0A470E">
      <w:start w:val="1"/>
      <w:numFmt w:val="lowerLetter"/>
      <w:lvlText w:val="%2."/>
      <w:lvlJc w:val="left"/>
      <w:pPr>
        <w:ind w:left="2481" w:hanging="674"/>
        <w:jc w:val="left"/>
      </w:pPr>
      <w:rPr>
        <w:rFonts w:ascii="Trebuchet MS" w:eastAsia="Trebuchet MS" w:hAnsi="Trebuchet MS" w:cs="Trebuchet MS" w:hint="default"/>
        <w:color w:val="231F20"/>
        <w:spacing w:val="0"/>
        <w:w w:val="55"/>
        <w:sz w:val="20"/>
        <w:szCs w:val="20"/>
        <w:lang w:val="en-US" w:eastAsia="en-US" w:bidi="en-US"/>
      </w:rPr>
    </w:lvl>
    <w:lvl w:ilvl="2" w:tplc="542EE940">
      <w:numFmt w:val="bullet"/>
      <w:lvlText w:val="•"/>
      <w:lvlJc w:val="left"/>
      <w:pPr>
        <w:ind w:left="3416" w:hanging="674"/>
      </w:pPr>
      <w:rPr>
        <w:rFonts w:hint="default"/>
        <w:lang w:val="en-US" w:eastAsia="en-US" w:bidi="en-US"/>
      </w:rPr>
    </w:lvl>
    <w:lvl w:ilvl="3" w:tplc="F89AC67E">
      <w:numFmt w:val="bullet"/>
      <w:lvlText w:val="•"/>
      <w:lvlJc w:val="left"/>
      <w:pPr>
        <w:ind w:left="4352" w:hanging="674"/>
      </w:pPr>
      <w:rPr>
        <w:rFonts w:hint="default"/>
        <w:lang w:val="en-US" w:eastAsia="en-US" w:bidi="en-US"/>
      </w:rPr>
    </w:lvl>
    <w:lvl w:ilvl="4" w:tplc="770CAC58">
      <w:numFmt w:val="bullet"/>
      <w:lvlText w:val="•"/>
      <w:lvlJc w:val="left"/>
      <w:pPr>
        <w:ind w:left="5288" w:hanging="674"/>
      </w:pPr>
      <w:rPr>
        <w:rFonts w:hint="default"/>
        <w:lang w:val="en-US" w:eastAsia="en-US" w:bidi="en-US"/>
      </w:rPr>
    </w:lvl>
    <w:lvl w:ilvl="5" w:tplc="49A829CE">
      <w:numFmt w:val="bullet"/>
      <w:lvlText w:val="•"/>
      <w:lvlJc w:val="left"/>
      <w:pPr>
        <w:ind w:left="6224" w:hanging="674"/>
      </w:pPr>
      <w:rPr>
        <w:rFonts w:hint="default"/>
        <w:lang w:val="en-US" w:eastAsia="en-US" w:bidi="en-US"/>
      </w:rPr>
    </w:lvl>
    <w:lvl w:ilvl="6" w:tplc="40069190">
      <w:numFmt w:val="bullet"/>
      <w:lvlText w:val="•"/>
      <w:lvlJc w:val="left"/>
      <w:pPr>
        <w:ind w:left="7160" w:hanging="674"/>
      </w:pPr>
      <w:rPr>
        <w:rFonts w:hint="default"/>
        <w:lang w:val="en-US" w:eastAsia="en-US" w:bidi="en-US"/>
      </w:rPr>
    </w:lvl>
    <w:lvl w:ilvl="7" w:tplc="C4E8B14C">
      <w:numFmt w:val="bullet"/>
      <w:lvlText w:val="•"/>
      <w:lvlJc w:val="left"/>
      <w:pPr>
        <w:ind w:left="8097" w:hanging="674"/>
      </w:pPr>
      <w:rPr>
        <w:rFonts w:hint="default"/>
        <w:lang w:val="en-US" w:eastAsia="en-US" w:bidi="en-US"/>
      </w:rPr>
    </w:lvl>
    <w:lvl w:ilvl="8" w:tplc="21CE442E">
      <w:numFmt w:val="bullet"/>
      <w:lvlText w:val="•"/>
      <w:lvlJc w:val="left"/>
      <w:pPr>
        <w:ind w:left="9033" w:hanging="674"/>
      </w:pPr>
      <w:rPr>
        <w:rFonts w:hint="default"/>
        <w:lang w:val="en-US" w:eastAsia="en-US" w:bidi="en-US"/>
      </w:rPr>
    </w:lvl>
  </w:abstractNum>
  <w:abstractNum w:abstractNumId="125" w15:restartNumberingAfterBreak="0">
    <w:nsid w:val="59D10243"/>
    <w:multiLevelType w:val="hybridMultilevel"/>
    <w:tmpl w:val="ED8A8B9E"/>
    <w:lvl w:ilvl="0" w:tplc="AB9892BE">
      <w:start w:val="102"/>
      <w:numFmt w:val="decimal"/>
      <w:lvlText w:val="%1"/>
      <w:lvlJc w:val="left"/>
      <w:pPr>
        <w:ind w:left="1801" w:hanging="794"/>
        <w:jc w:val="left"/>
      </w:pPr>
      <w:rPr>
        <w:rFonts w:ascii="Raleway" w:eastAsia="Raleway" w:hAnsi="Raleway" w:cs="Raleway" w:hint="default"/>
        <w:color w:val="231F20"/>
        <w:spacing w:val="-1"/>
        <w:w w:val="100"/>
        <w:sz w:val="13"/>
        <w:szCs w:val="13"/>
        <w:lang w:val="en-US" w:eastAsia="en-US" w:bidi="en-US"/>
      </w:rPr>
    </w:lvl>
    <w:lvl w:ilvl="1" w:tplc="2F02DEA0">
      <w:numFmt w:val="bullet"/>
      <w:lvlText w:val="•"/>
      <w:lvlJc w:val="left"/>
      <w:pPr>
        <w:ind w:left="2385" w:hanging="794"/>
      </w:pPr>
      <w:rPr>
        <w:rFonts w:hint="default"/>
        <w:lang w:val="en-US" w:eastAsia="en-US" w:bidi="en-US"/>
      </w:rPr>
    </w:lvl>
    <w:lvl w:ilvl="2" w:tplc="30E42726">
      <w:numFmt w:val="bullet"/>
      <w:lvlText w:val="•"/>
      <w:lvlJc w:val="left"/>
      <w:pPr>
        <w:ind w:left="2971" w:hanging="794"/>
      </w:pPr>
      <w:rPr>
        <w:rFonts w:hint="default"/>
        <w:lang w:val="en-US" w:eastAsia="en-US" w:bidi="en-US"/>
      </w:rPr>
    </w:lvl>
    <w:lvl w:ilvl="3" w:tplc="5F76A5D4">
      <w:numFmt w:val="bullet"/>
      <w:lvlText w:val="•"/>
      <w:lvlJc w:val="left"/>
      <w:pPr>
        <w:ind w:left="3557" w:hanging="794"/>
      </w:pPr>
      <w:rPr>
        <w:rFonts w:hint="default"/>
        <w:lang w:val="en-US" w:eastAsia="en-US" w:bidi="en-US"/>
      </w:rPr>
    </w:lvl>
    <w:lvl w:ilvl="4" w:tplc="2AE27E16">
      <w:numFmt w:val="bullet"/>
      <w:lvlText w:val="•"/>
      <w:lvlJc w:val="left"/>
      <w:pPr>
        <w:ind w:left="4142" w:hanging="794"/>
      </w:pPr>
      <w:rPr>
        <w:rFonts w:hint="default"/>
        <w:lang w:val="en-US" w:eastAsia="en-US" w:bidi="en-US"/>
      </w:rPr>
    </w:lvl>
    <w:lvl w:ilvl="5" w:tplc="B6E29EB6">
      <w:numFmt w:val="bullet"/>
      <w:lvlText w:val="•"/>
      <w:lvlJc w:val="left"/>
      <w:pPr>
        <w:ind w:left="4728" w:hanging="794"/>
      </w:pPr>
      <w:rPr>
        <w:rFonts w:hint="default"/>
        <w:lang w:val="en-US" w:eastAsia="en-US" w:bidi="en-US"/>
      </w:rPr>
    </w:lvl>
    <w:lvl w:ilvl="6" w:tplc="2BA84440">
      <w:numFmt w:val="bullet"/>
      <w:lvlText w:val="•"/>
      <w:lvlJc w:val="left"/>
      <w:pPr>
        <w:ind w:left="5314" w:hanging="794"/>
      </w:pPr>
      <w:rPr>
        <w:rFonts w:hint="default"/>
        <w:lang w:val="en-US" w:eastAsia="en-US" w:bidi="en-US"/>
      </w:rPr>
    </w:lvl>
    <w:lvl w:ilvl="7" w:tplc="B2CA9110">
      <w:numFmt w:val="bullet"/>
      <w:lvlText w:val="•"/>
      <w:lvlJc w:val="left"/>
      <w:pPr>
        <w:ind w:left="5900" w:hanging="794"/>
      </w:pPr>
      <w:rPr>
        <w:rFonts w:hint="default"/>
        <w:lang w:val="en-US" w:eastAsia="en-US" w:bidi="en-US"/>
      </w:rPr>
    </w:lvl>
    <w:lvl w:ilvl="8" w:tplc="801AF4FA">
      <w:numFmt w:val="bullet"/>
      <w:lvlText w:val="•"/>
      <w:lvlJc w:val="left"/>
      <w:pPr>
        <w:ind w:left="6485" w:hanging="794"/>
      </w:pPr>
      <w:rPr>
        <w:rFonts w:hint="default"/>
        <w:lang w:val="en-US" w:eastAsia="en-US" w:bidi="en-US"/>
      </w:rPr>
    </w:lvl>
  </w:abstractNum>
  <w:abstractNum w:abstractNumId="126" w15:restartNumberingAfterBreak="0">
    <w:nsid w:val="5B5D3873"/>
    <w:multiLevelType w:val="hybridMultilevel"/>
    <w:tmpl w:val="BD2CDDCA"/>
    <w:lvl w:ilvl="0" w:tplc="308E13D6">
      <w:start w:val="44"/>
      <w:numFmt w:val="decimal"/>
      <w:lvlText w:val="%1"/>
      <w:lvlJc w:val="left"/>
      <w:pPr>
        <w:ind w:left="1801" w:hanging="794"/>
        <w:jc w:val="left"/>
      </w:pPr>
      <w:rPr>
        <w:rFonts w:ascii="Raleway" w:eastAsia="Raleway" w:hAnsi="Raleway" w:cs="Raleway" w:hint="default"/>
        <w:color w:val="231F20"/>
        <w:spacing w:val="-1"/>
        <w:w w:val="100"/>
        <w:sz w:val="13"/>
        <w:szCs w:val="13"/>
        <w:lang w:val="en-US" w:eastAsia="en-US" w:bidi="en-US"/>
      </w:rPr>
    </w:lvl>
    <w:lvl w:ilvl="1" w:tplc="76AE7116">
      <w:numFmt w:val="bullet"/>
      <w:lvlText w:val="•"/>
      <w:lvlJc w:val="left"/>
      <w:pPr>
        <w:ind w:left="2585" w:hanging="794"/>
      </w:pPr>
      <w:rPr>
        <w:rFonts w:hint="default"/>
        <w:lang w:val="en-US" w:eastAsia="en-US" w:bidi="en-US"/>
      </w:rPr>
    </w:lvl>
    <w:lvl w:ilvl="2" w:tplc="DFBEFCE6">
      <w:numFmt w:val="bullet"/>
      <w:lvlText w:val="•"/>
      <w:lvlJc w:val="left"/>
      <w:pPr>
        <w:ind w:left="3370" w:hanging="794"/>
      </w:pPr>
      <w:rPr>
        <w:rFonts w:hint="default"/>
        <w:lang w:val="en-US" w:eastAsia="en-US" w:bidi="en-US"/>
      </w:rPr>
    </w:lvl>
    <w:lvl w:ilvl="3" w:tplc="C80AC9D2">
      <w:numFmt w:val="bullet"/>
      <w:lvlText w:val="•"/>
      <w:lvlJc w:val="left"/>
      <w:pPr>
        <w:ind w:left="4155" w:hanging="794"/>
      </w:pPr>
      <w:rPr>
        <w:rFonts w:hint="default"/>
        <w:lang w:val="en-US" w:eastAsia="en-US" w:bidi="en-US"/>
      </w:rPr>
    </w:lvl>
    <w:lvl w:ilvl="4" w:tplc="F9BC41AA">
      <w:numFmt w:val="bullet"/>
      <w:lvlText w:val="•"/>
      <w:lvlJc w:val="left"/>
      <w:pPr>
        <w:ind w:left="4940" w:hanging="794"/>
      </w:pPr>
      <w:rPr>
        <w:rFonts w:hint="default"/>
        <w:lang w:val="en-US" w:eastAsia="en-US" w:bidi="en-US"/>
      </w:rPr>
    </w:lvl>
    <w:lvl w:ilvl="5" w:tplc="721AD518">
      <w:numFmt w:val="bullet"/>
      <w:lvlText w:val="•"/>
      <w:lvlJc w:val="left"/>
      <w:pPr>
        <w:ind w:left="5726" w:hanging="794"/>
      </w:pPr>
      <w:rPr>
        <w:rFonts w:hint="default"/>
        <w:lang w:val="en-US" w:eastAsia="en-US" w:bidi="en-US"/>
      </w:rPr>
    </w:lvl>
    <w:lvl w:ilvl="6" w:tplc="B65A1416">
      <w:numFmt w:val="bullet"/>
      <w:lvlText w:val="•"/>
      <w:lvlJc w:val="left"/>
      <w:pPr>
        <w:ind w:left="6511" w:hanging="794"/>
      </w:pPr>
      <w:rPr>
        <w:rFonts w:hint="default"/>
        <w:lang w:val="en-US" w:eastAsia="en-US" w:bidi="en-US"/>
      </w:rPr>
    </w:lvl>
    <w:lvl w:ilvl="7" w:tplc="0FBA8F18">
      <w:numFmt w:val="bullet"/>
      <w:lvlText w:val="•"/>
      <w:lvlJc w:val="left"/>
      <w:pPr>
        <w:ind w:left="7296" w:hanging="794"/>
      </w:pPr>
      <w:rPr>
        <w:rFonts w:hint="default"/>
        <w:lang w:val="en-US" w:eastAsia="en-US" w:bidi="en-US"/>
      </w:rPr>
    </w:lvl>
    <w:lvl w:ilvl="8" w:tplc="1ED65DF6">
      <w:numFmt w:val="bullet"/>
      <w:lvlText w:val="•"/>
      <w:lvlJc w:val="left"/>
      <w:pPr>
        <w:ind w:left="8081" w:hanging="794"/>
      </w:pPr>
      <w:rPr>
        <w:rFonts w:hint="default"/>
        <w:lang w:val="en-US" w:eastAsia="en-US" w:bidi="en-US"/>
      </w:rPr>
    </w:lvl>
  </w:abstractNum>
  <w:abstractNum w:abstractNumId="127" w15:restartNumberingAfterBreak="0">
    <w:nsid w:val="5BC152D0"/>
    <w:multiLevelType w:val="multilevel"/>
    <w:tmpl w:val="69C63850"/>
    <w:lvl w:ilvl="0">
      <w:start w:val="8"/>
      <w:numFmt w:val="decimal"/>
      <w:lvlText w:val="%1"/>
      <w:lvlJc w:val="left"/>
      <w:pPr>
        <w:ind w:left="1801" w:hanging="794"/>
        <w:jc w:val="left"/>
      </w:pPr>
      <w:rPr>
        <w:rFonts w:hint="default"/>
        <w:lang w:val="en-US" w:eastAsia="en-US" w:bidi="en-US"/>
      </w:rPr>
    </w:lvl>
    <w:lvl w:ilvl="1">
      <w:start w:val="21"/>
      <w:numFmt w:val="decimal"/>
      <w:lvlText w:val="%1.%2"/>
      <w:lvlJc w:val="left"/>
      <w:pPr>
        <w:ind w:left="1801" w:hanging="794"/>
        <w:jc w:val="left"/>
      </w:pPr>
      <w:rPr>
        <w:rFonts w:ascii="Raleway" w:eastAsia="Raleway" w:hAnsi="Raleway" w:cs="Raleway" w:hint="default"/>
        <w:color w:val="231F20"/>
        <w:spacing w:val="-6"/>
        <w:w w:val="100"/>
        <w:sz w:val="20"/>
        <w:szCs w:val="20"/>
        <w:lang w:val="en-US" w:eastAsia="en-US" w:bidi="en-US"/>
      </w:rPr>
    </w:lvl>
    <w:lvl w:ilvl="2">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3">
      <w:numFmt w:val="bullet"/>
      <w:lvlText w:val="•"/>
      <w:lvlJc w:val="left"/>
      <w:pPr>
        <w:ind w:left="3235" w:hanging="341"/>
      </w:pPr>
      <w:rPr>
        <w:rFonts w:hint="default"/>
        <w:lang w:val="en-US" w:eastAsia="en-US" w:bidi="en-US"/>
      </w:rPr>
    </w:lvl>
    <w:lvl w:ilvl="4">
      <w:numFmt w:val="bullet"/>
      <w:lvlText w:val="•"/>
      <w:lvlJc w:val="left"/>
      <w:pPr>
        <w:ind w:left="4331" w:hanging="341"/>
      </w:pPr>
      <w:rPr>
        <w:rFonts w:hint="default"/>
        <w:lang w:val="en-US" w:eastAsia="en-US" w:bidi="en-US"/>
      </w:rPr>
    </w:lvl>
    <w:lvl w:ilvl="5">
      <w:numFmt w:val="bullet"/>
      <w:lvlText w:val="•"/>
      <w:lvlJc w:val="left"/>
      <w:pPr>
        <w:ind w:left="5427" w:hanging="341"/>
      </w:pPr>
      <w:rPr>
        <w:rFonts w:hint="default"/>
        <w:lang w:val="en-US" w:eastAsia="en-US" w:bidi="en-US"/>
      </w:rPr>
    </w:lvl>
    <w:lvl w:ilvl="6">
      <w:numFmt w:val="bullet"/>
      <w:lvlText w:val="•"/>
      <w:lvlJc w:val="left"/>
      <w:pPr>
        <w:ind w:left="6522" w:hanging="341"/>
      </w:pPr>
      <w:rPr>
        <w:rFonts w:hint="default"/>
        <w:lang w:val="en-US" w:eastAsia="en-US" w:bidi="en-US"/>
      </w:rPr>
    </w:lvl>
    <w:lvl w:ilvl="7">
      <w:numFmt w:val="bullet"/>
      <w:lvlText w:val="•"/>
      <w:lvlJc w:val="left"/>
      <w:pPr>
        <w:ind w:left="7618" w:hanging="341"/>
      </w:pPr>
      <w:rPr>
        <w:rFonts w:hint="default"/>
        <w:lang w:val="en-US" w:eastAsia="en-US" w:bidi="en-US"/>
      </w:rPr>
    </w:lvl>
    <w:lvl w:ilvl="8">
      <w:numFmt w:val="bullet"/>
      <w:lvlText w:val="•"/>
      <w:lvlJc w:val="left"/>
      <w:pPr>
        <w:ind w:left="8714" w:hanging="341"/>
      </w:pPr>
      <w:rPr>
        <w:rFonts w:hint="default"/>
        <w:lang w:val="en-US" w:eastAsia="en-US" w:bidi="en-US"/>
      </w:rPr>
    </w:lvl>
  </w:abstractNum>
  <w:abstractNum w:abstractNumId="128" w15:restartNumberingAfterBreak="0">
    <w:nsid w:val="5C2B3A47"/>
    <w:multiLevelType w:val="hybridMultilevel"/>
    <w:tmpl w:val="D24644C2"/>
    <w:lvl w:ilvl="0" w:tplc="56626C12">
      <w:start w:val="1"/>
      <w:numFmt w:val="lowerLetter"/>
      <w:lvlText w:val="%1."/>
      <w:lvlJc w:val="left"/>
      <w:pPr>
        <w:ind w:left="566" w:hanging="554"/>
        <w:jc w:val="left"/>
      </w:pPr>
      <w:rPr>
        <w:rFonts w:ascii="Trebuchet MS" w:eastAsia="Trebuchet MS" w:hAnsi="Trebuchet MS" w:cs="Trebuchet MS" w:hint="default"/>
        <w:color w:val="231F20"/>
        <w:spacing w:val="0"/>
        <w:w w:val="55"/>
        <w:sz w:val="20"/>
        <w:szCs w:val="20"/>
        <w:lang w:val="en-US" w:eastAsia="en-US" w:bidi="en-US"/>
      </w:rPr>
    </w:lvl>
    <w:lvl w:ilvl="1" w:tplc="4E5A44A0">
      <w:numFmt w:val="bullet"/>
      <w:lvlText w:val="•"/>
      <w:lvlJc w:val="left"/>
      <w:pPr>
        <w:ind w:left="1270" w:hanging="554"/>
      </w:pPr>
      <w:rPr>
        <w:rFonts w:hint="default"/>
        <w:lang w:val="en-US" w:eastAsia="en-US" w:bidi="en-US"/>
      </w:rPr>
    </w:lvl>
    <w:lvl w:ilvl="2" w:tplc="21D40F82">
      <w:numFmt w:val="bullet"/>
      <w:lvlText w:val="•"/>
      <w:lvlJc w:val="left"/>
      <w:pPr>
        <w:ind w:left="1981" w:hanging="554"/>
      </w:pPr>
      <w:rPr>
        <w:rFonts w:hint="default"/>
        <w:lang w:val="en-US" w:eastAsia="en-US" w:bidi="en-US"/>
      </w:rPr>
    </w:lvl>
    <w:lvl w:ilvl="3" w:tplc="702A6CF4">
      <w:numFmt w:val="bullet"/>
      <w:lvlText w:val="•"/>
      <w:lvlJc w:val="left"/>
      <w:pPr>
        <w:ind w:left="2692" w:hanging="554"/>
      </w:pPr>
      <w:rPr>
        <w:rFonts w:hint="default"/>
        <w:lang w:val="en-US" w:eastAsia="en-US" w:bidi="en-US"/>
      </w:rPr>
    </w:lvl>
    <w:lvl w:ilvl="4" w:tplc="5BC887FC">
      <w:numFmt w:val="bullet"/>
      <w:lvlText w:val="•"/>
      <w:lvlJc w:val="left"/>
      <w:pPr>
        <w:ind w:left="3403" w:hanging="554"/>
      </w:pPr>
      <w:rPr>
        <w:rFonts w:hint="default"/>
        <w:lang w:val="en-US" w:eastAsia="en-US" w:bidi="en-US"/>
      </w:rPr>
    </w:lvl>
    <w:lvl w:ilvl="5" w:tplc="36780DE2">
      <w:numFmt w:val="bullet"/>
      <w:lvlText w:val="•"/>
      <w:lvlJc w:val="left"/>
      <w:pPr>
        <w:ind w:left="4114" w:hanging="554"/>
      </w:pPr>
      <w:rPr>
        <w:rFonts w:hint="default"/>
        <w:lang w:val="en-US" w:eastAsia="en-US" w:bidi="en-US"/>
      </w:rPr>
    </w:lvl>
    <w:lvl w:ilvl="6" w:tplc="D9FE73C8">
      <w:numFmt w:val="bullet"/>
      <w:lvlText w:val="•"/>
      <w:lvlJc w:val="left"/>
      <w:pPr>
        <w:ind w:left="4825" w:hanging="554"/>
      </w:pPr>
      <w:rPr>
        <w:rFonts w:hint="default"/>
        <w:lang w:val="en-US" w:eastAsia="en-US" w:bidi="en-US"/>
      </w:rPr>
    </w:lvl>
    <w:lvl w:ilvl="7" w:tplc="1F8CB21A">
      <w:numFmt w:val="bullet"/>
      <w:lvlText w:val="•"/>
      <w:lvlJc w:val="left"/>
      <w:pPr>
        <w:ind w:left="5536" w:hanging="554"/>
      </w:pPr>
      <w:rPr>
        <w:rFonts w:hint="default"/>
        <w:lang w:val="en-US" w:eastAsia="en-US" w:bidi="en-US"/>
      </w:rPr>
    </w:lvl>
    <w:lvl w:ilvl="8" w:tplc="07FC9230">
      <w:numFmt w:val="bullet"/>
      <w:lvlText w:val="•"/>
      <w:lvlJc w:val="left"/>
      <w:pPr>
        <w:ind w:left="6246" w:hanging="554"/>
      </w:pPr>
      <w:rPr>
        <w:rFonts w:hint="default"/>
        <w:lang w:val="en-US" w:eastAsia="en-US" w:bidi="en-US"/>
      </w:rPr>
    </w:lvl>
  </w:abstractNum>
  <w:abstractNum w:abstractNumId="129" w15:restartNumberingAfterBreak="0">
    <w:nsid w:val="5C3A53F7"/>
    <w:multiLevelType w:val="hybridMultilevel"/>
    <w:tmpl w:val="D6BA227C"/>
    <w:lvl w:ilvl="0" w:tplc="581696FA">
      <w:start w:val="2"/>
      <w:numFmt w:val="decimal"/>
      <w:lvlText w:val="(%1)"/>
      <w:lvlJc w:val="left"/>
      <w:pPr>
        <w:ind w:left="1801" w:hanging="794"/>
        <w:jc w:val="left"/>
      </w:pPr>
      <w:rPr>
        <w:rFonts w:ascii="Raleway" w:eastAsia="Raleway" w:hAnsi="Raleway" w:cs="Raleway" w:hint="default"/>
        <w:color w:val="231F20"/>
        <w:spacing w:val="-5"/>
        <w:w w:val="88"/>
        <w:sz w:val="20"/>
        <w:szCs w:val="20"/>
        <w:lang w:val="en-US" w:eastAsia="en-US" w:bidi="en-US"/>
      </w:rPr>
    </w:lvl>
    <w:lvl w:ilvl="1" w:tplc="626EAAC2">
      <w:start w:val="1"/>
      <w:numFmt w:val="lowerLetter"/>
      <w:lvlText w:val="(%2)"/>
      <w:lvlJc w:val="left"/>
      <w:pPr>
        <w:ind w:left="2197" w:hanging="397"/>
        <w:jc w:val="left"/>
      </w:pPr>
      <w:rPr>
        <w:rFonts w:ascii="Raleway" w:eastAsia="Raleway" w:hAnsi="Raleway" w:cs="Raleway" w:hint="default"/>
        <w:color w:val="231F20"/>
        <w:spacing w:val="-21"/>
        <w:w w:val="100"/>
        <w:sz w:val="20"/>
        <w:szCs w:val="20"/>
        <w:lang w:val="en-US" w:eastAsia="en-US" w:bidi="en-US"/>
      </w:rPr>
    </w:lvl>
    <w:lvl w:ilvl="2" w:tplc="6D3891C6">
      <w:start w:val="1"/>
      <w:numFmt w:val="lowerRoman"/>
      <w:lvlText w:val="(%3)"/>
      <w:lvlJc w:val="left"/>
      <w:pPr>
        <w:ind w:left="2594" w:hanging="397"/>
        <w:jc w:val="left"/>
      </w:pPr>
      <w:rPr>
        <w:rFonts w:ascii="Raleway" w:eastAsia="Raleway" w:hAnsi="Raleway" w:cs="Raleway" w:hint="default"/>
        <w:color w:val="231F20"/>
        <w:spacing w:val="-5"/>
        <w:w w:val="100"/>
        <w:sz w:val="20"/>
        <w:szCs w:val="20"/>
        <w:lang w:val="en-US" w:eastAsia="en-US" w:bidi="en-US"/>
      </w:rPr>
    </w:lvl>
    <w:lvl w:ilvl="3" w:tplc="CE3E9B8A">
      <w:numFmt w:val="bullet"/>
      <w:lvlText w:val="•"/>
      <w:lvlJc w:val="left"/>
      <w:pPr>
        <w:ind w:left="3638" w:hanging="397"/>
      </w:pPr>
      <w:rPr>
        <w:rFonts w:hint="default"/>
        <w:lang w:val="en-US" w:eastAsia="en-US" w:bidi="en-US"/>
      </w:rPr>
    </w:lvl>
    <w:lvl w:ilvl="4" w:tplc="A8F2D542">
      <w:numFmt w:val="bullet"/>
      <w:lvlText w:val="•"/>
      <w:lvlJc w:val="left"/>
      <w:pPr>
        <w:ind w:left="4676" w:hanging="397"/>
      </w:pPr>
      <w:rPr>
        <w:rFonts w:hint="default"/>
        <w:lang w:val="en-US" w:eastAsia="en-US" w:bidi="en-US"/>
      </w:rPr>
    </w:lvl>
    <w:lvl w:ilvl="5" w:tplc="E7EAA9BC">
      <w:numFmt w:val="bullet"/>
      <w:lvlText w:val="•"/>
      <w:lvlJc w:val="left"/>
      <w:pPr>
        <w:ind w:left="5714" w:hanging="397"/>
      </w:pPr>
      <w:rPr>
        <w:rFonts w:hint="default"/>
        <w:lang w:val="en-US" w:eastAsia="en-US" w:bidi="en-US"/>
      </w:rPr>
    </w:lvl>
    <w:lvl w:ilvl="6" w:tplc="1A548628">
      <w:numFmt w:val="bullet"/>
      <w:lvlText w:val="•"/>
      <w:lvlJc w:val="left"/>
      <w:pPr>
        <w:ind w:left="6752" w:hanging="397"/>
      </w:pPr>
      <w:rPr>
        <w:rFonts w:hint="default"/>
        <w:lang w:val="en-US" w:eastAsia="en-US" w:bidi="en-US"/>
      </w:rPr>
    </w:lvl>
    <w:lvl w:ilvl="7" w:tplc="3432E234">
      <w:numFmt w:val="bullet"/>
      <w:lvlText w:val="•"/>
      <w:lvlJc w:val="left"/>
      <w:pPr>
        <w:ind w:left="7790" w:hanging="397"/>
      </w:pPr>
      <w:rPr>
        <w:rFonts w:hint="default"/>
        <w:lang w:val="en-US" w:eastAsia="en-US" w:bidi="en-US"/>
      </w:rPr>
    </w:lvl>
    <w:lvl w:ilvl="8" w:tplc="A5B830A8">
      <w:numFmt w:val="bullet"/>
      <w:lvlText w:val="•"/>
      <w:lvlJc w:val="left"/>
      <w:pPr>
        <w:ind w:left="8829" w:hanging="397"/>
      </w:pPr>
      <w:rPr>
        <w:rFonts w:hint="default"/>
        <w:lang w:val="en-US" w:eastAsia="en-US" w:bidi="en-US"/>
      </w:rPr>
    </w:lvl>
  </w:abstractNum>
  <w:abstractNum w:abstractNumId="130" w15:restartNumberingAfterBreak="0">
    <w:nsid w:val="5C976188"/>
    <w:multiLevelType w:val="hybridMultilevel"/>
    <w:tmpl w:val="C2D04990"/>
    <w:lvl w:ilvl="0" w:tplc="76A6601E">
      <w:start w:val="109"/>
      <w:numFmt w:val="decimal"/>
      <w:lvlText w:val="%1"/>
      <w:lvlJc w:val="left"/>
      <w:pPr>
        <w:ind w:left="1801" w:hanging="794"/>
        <w:jc w:val="left"/>
      </w:pPr>
      <w:rPr>
        <w:rFonts w:ascii="Raleway" w:eastAsia="Raleway" w:hAnsi="Raleway" w:cs="Raleway" w:hint="default"/>
        <w:color w:val="231F20"/>
        <w:spacing w:val="-1"/>
        <w:w w:val="100"/>
        <w:sz w:val="13"/>
        <w:szCs w:val="13"/>
        <w:lang w:val="en-US" w:eastAsia="en-US" w:bidi="en-US"/>
      </w:rPr>
    </w:lvl>
    <w:lvl w:ilvl="1" w:tplc="EAA2E982">
      <w:numFmt w:val="bullet"/>
      <w:lvlText w:val="•"/>
      <w:lvlJc w:val="left"/>
      <w:pPr>
        <w:ind w:left="2710" w:hanging="794"/>
      </w:pPr>
      <w:rPr>
        <w:rFonts w:hint="default"/>
        <w:lang w:val="en-US" w:eastAsia="en-US" w:bidi="en-US"/>
      </w:rPr>
    </w:lvl>
    <w:lvl w:ilvl="2" w:tplc="B2DAF91E">
      <w:numFmt w:val="bullet"/>
      <w:lvlText w:val="•"/>
      <w:lvlJc w:val="left"/>
      <w:pPr>
        <w:ind w:left="3621" w:hanging="794"/>
      </w:pPr>
      <w:rPr>
        <w:rFonts w:hint="default"/>
        <w:lang w:val="en-US" w:eastAsia="en-US" w:bidi="en-US"/>
      </w:rPr>
    </w:lvl>
    <w:lvl w:ilvl="3" w:tplc="97B4839C">
      <w:numFmt w:val="bullet"/>
      <w:lvlText w:val="•"/>
      <w:lvlJc w:val="left"/>
      <w:pPr>
        <w:ind w:left="4531" w:hanging="794"/>
      </w:pPr>
      <w:rPr>
        <w:rFonts w:hint="default"/>
        <w:lang w:val="en-US" w:eastAsia="en-US" w:bidi="en-US"/>
      </w:rPr>
    </w:lvl>
    <w:lvl w:ilvl="4" w:tplc="6DFCBDD6">
      <w:numFmt w:val="bullet"/>
      <w:lvlText w:val="•"/>
      <w:lvlJc w:val="left"/>
      <w:pPr>
        <w:ind w:left="5442" w:hanging="794"/>
      </w:pPr>
      <w:rPr>
        <w:rFonts w:hint="default"/>
        <w:lang w:val="en-US" w:eastAsia="en-US" w:bidi="en-US"/>
      </w:rPr>
    </w:lvl>
    <w:lvl w:ilvl="5" w:tplc="2F0A21D8">
      <w:numFmt w:val="bullet"/>
      <w:lvlText w:val="•"/>
      <w:lvlJc w:val="left"/>
      <w:pPr>
        <w:ind w:left="6352" w:hanging="794"/>
      </w:pPr>
      <w:rPr>
        <w:rFonts w:hint="default"/>
        <w:lang w:val="en-US" w:eastAsia="en-US" w:bidi="en-US"/>
      </w:rPr>
    </w:lvl>
    <w:lvl w:ilvl="6" w:tplc="D1960E60">
      <w:numFmt w:val="bullet"/>
      <w:lvlText w:val="•"/>
      <w:lvlJc w:val="left"/>
      <w:pPr>
        <w:ind w:left="7263" w:hanging="794"/>
      </w:pPr>
      <w:rPr>
        <w:rFonts w:hint="default"/>
        <w:lang w:val="en-US" w:eastAsia="en-US" w:bidi="en-US"/>
      </w:rPr>
    </w:lvl>
    <w:lvl w:ilvl="7" w:tplc="F3A4783A">
      <w:numFmt w:val="bullet"/>
      <w:lvlText w:val="•"/>
      <w:lvlJc w:val="left"/>
      <w:pPr>
        <w:ind w:left="8173" w:hanging="794"/>
      </w:pPr>
      <w:rPr>
        <w:rFonts w:hint="default"/>
        <w:lang w:val="en-US" w:eastAsia="en-US" w:bidi="en-US"/>
      </w:rPr>
    </w:lvl>
    <w:lvl w:ilvl="8" w:tplc="C31C9E9E">
      <w:numFmt w:val="bullet"/>
      <w:lvlText w:val="•"/>
      <w:lvlJc w:val="left"/>
      <w:pPr>
        <w:ind w:left="9084" w:hanging="794"/>
      </w:pPr>
      <w:rPr>
        <w:rFonts w:hint="default"/>
        <w:lang w:val="en-US" w:eastAsia="en-US" w:bidi="en-US"/>
      </w:rPr>
    </w:lvl>
  </w:abstractNum>
  <w:abstractNum w:abstractNumId="131" w15:restartNumberingAfterBreak="0">
    <w:nsid w:val="5CBA1057"/>
    <w:multiLevelType w:val="hybridMultilevel"/>
    <w:tmpl w:val="0D6068BA"/>
    <w:lvl w:ilvl="0" w:tplc="3668880E">
      <w:start w:val="1"/>
      <w:numFmt w:val="lowerLetter"/>
      <w:lvlText w:val="%1."/>
      <w:lvlJc w:val="left"/>
      <w:pPr>
        <w:ind w:left="566" w:hanging="554"/>
        <w:jc w:val="left"/>
      </w:pPr>
      <w:rPr>
        <w:rFonts w:ascii="Trebuchet MS" w:eastAsia="Trebuchet MS" w:hAnsi="Trebuchet MS" w:cs="Trebuchet MS" w:hint="default"/>
        <w:color w:val="231F20"/>
        <w:spacing w:val="0"/>
        <w:w w:val="55"/>
        <w:sz w:val="20"/>
        <w:szCs w:val="20"/>
        <w:lang w:val="en-US" w:eastAsia="en-US" w:bidi="en-US"/>
      </w:rPr>
    </w:lvl>
    <w:lvl w:ilvl="1" w:tplc="09FC6B3E">
      <w:numFmt w:val="bullet"/>
      <w:lvlText w:val="•"/>
      <w:lvlJc w:val="left"/>
      <w:pPr>
        <w:ind w:left="1263" w:hanging="554"/>
      </w:pPr>
      <w:rPr>
        <w:rFonts w:hint="default"/>
        <w:lang w:val="en-US" w:eastAsia="en-US" w:bidi="en-US"/>
      </w:rPr>
    </w:lvl>
    <w:lvl w:ilvl="2" w:tplc="C062E55E">
      <w:numFmt w:val="bullet"/>
      <w:lvlText w:val="•"/>
      <w:lvlJc w:val="left"/>
      <w:pPr>
        <w:ind w:left="1966" w:hanging="554"/>
      </w:pPr>
      <w:rPr>
        <w:rFonts w:hint="default"/>
        <w:lang w:val="en-US" w:eastAsia="en-US" w:bidi="en-US"/>
      </w:rPr>
    </w:lvl>
    <w:lvl w:ilvl="3" w:tplc="DB806546">
      <w:numFmt w:val="bullet"/>
      <w:lvlText w:val="•"/>
      <w:lvlJc w:val="left"/>
      <w:pPr>
        <w:ind w:left="2670" w:hanging="554"/>
      </w:pPr>
      <w:rPr>
        <w:rFonts w:hint="default"/>
        <w:lang w:val="en-US" w:eastAsia="en-US" w:bidi="en-US"/>
      </w:rPr>
    </w:lvl>
    <w:lvl w:ilvl="4" w:tplc="A9747682">
      <w:numFmt w:val="bullet"/>
      <w:lvlText w:val="•"/>
      <w:lvlJc w:val="left"/>
      <w:pPr>
        <w:ind w:left="3373" w:hanging="554"/>
      </w:pPr>
      <w:rPr>
        <w:rFonts w:hint="default"/>
        <w:lang w:val="en-US" w:eastAsia="en-US" w:bidi="en-US"/>
      </w:rPr>
    </w:lvl>
    <w:lvl w:ilvl="5" w:tplc="FB0C8ADC">
      <w:numFmt w:val="bullet"/>
      <w:lvlText w:val="•"/>
      <w:lvlJc w:val="left"/>
      <w:pPr>
        <w:ind w:left="4077" w:hanging="554"/>
      </w:pPr>
      <w:rPr>
        <w:rFonts w:hint="default"/>
        <w:lang w:val="en-US" w:eastAsia="en-US" w:bidi="en-US"/>
      </w:rPr>
    </w:lvl>
    <w:lvl w:ilvl="6" w:tplc="7C647248">
      <w:numFmt w:val="bullet"/>
      <w:lvlText w:val="•"/>
      <w:lvlJc w:val="left"/>
      <w:pPr>
        <w:ind w:left="4780" w:hanging="554"/>
      </w:pPr>
      <w:rPr>
        <w:rFonts w:hint="default"/>
        <w:lang w:val="en-US" w:eastAsia="en-US" w:bidi="en-US"/>
      </w:rPr>
    </w:lvl>
    <w:lvl w:ilvl="7" w:tplc="B86CB420">
      <w:numFmt w:val="bullet"/>
      <w:lvlText w:val="•"/>
      <w:lvlJc w:val="left"/>
      <w:pPr>
        <w:ind w:left="5484" w:hanging="554"/>
      </w:pPr>
      <w:rPr>
        <w:rFonts w:hint="default"/>
        <w:lang w:val="en-US" w:eastAsia="en-US" w:bidi="en-US"/>
      </w:rPr>
    </w:lvl>
    <w:lvl w:ilvl="8" w:tplc="E10ABC00">
      <w:numFmt w:val="bullet"/>
      <w:lvlText w:val="•"/>
      <w:lvlJc w:val="left"/>
      <w:pPr>
        <w:ind w:left="6187" w:hanging="554"/>
      </w:pPr>
      <w:rPr>
        <w:rFonts w:hint="default"/>
        <w:lang w:val="en-US" w:eastAsia="en-US" w:bidi="en-US"/>
      </w:rPr>
    </w:lvl>
  </w:abstractNum>
  <w:abstractNum w:abstractNumId="132" w15:restartNumberingAfterBreak="0">
    <w:nsid w:val="5CC94563"/>
    <w:multiLevelType w:val="multilevel"/>
    <w:tmpl w:val="4BF20AC4"/>
    <w:lvl w:ilvl="0">
      <w:start w:val="7"/>
      <w:numFmt w:val="decimal"/>
      <w:lvlText w:val="%1"/>
      <w:lvlJc w:val="left"/>
      <w:pPr>
        <w:ind w:left="1801" w:hanging="794"/>
        <w:jc w:val="right"/>
      </w:pPr>
      <w:rPr>
        <w:rFonts w:hint="default"/>
        <w:lang w:val="en-US" w:eastAsia="en-US" w:bidi="en-US"/>
      </w:rPr>
    </w:lvl>
    <w:lvl w:ilvl="1">
      <w:start w:val="1"/>
      <w:numFmt w:val="decimal"/>
      <w:lvlText w:val="%1.%2"/>
      <w:lvlJc w:val="left"/>
      <w:pPr>
        <w:ind w:left="1801" w:hanging="794"/>
        <w:jc w:val="left"/>
      </w:pPr>
      <w:rPr>
        <w:rFonts w:ascii="Raleway" w:eastAsia="Raleway" w:hAnsi="Raleway" w:cs="Raleway" w:hint="default"/>
        <w:color w:val="231F20"/>
        <w:spacing w:val="-16"/>
        <w:w w:val="88"/>
        <w:sz w:val="20"/>
        <w:szCs w:val="20"/>
        <w:lang w:val="en-US" w:eastAsia="en-US" w:bidi="en-US"/>
      </w:rPr>
    </w:lvl>
    <w:lvl w:ilvl="2">
      <w:numFmt w:val="bullet"/>
      <w:lvlText w:val="•"/>
      <w:lvlJc w:val="left"/>
      <w:pPr>
        <w:ind w:left="2141" w:hanging="341"/>
      </w:pPr>
      <w:rPr>
        <w:rFonts w:ascii="Raleway" w:eastAsia="Raleway" w:hAnsi="Raleway" w:cs="Raleway" w:hint="default"/>
        <w:color w:val="231F20"/>
        <w:spacing w:val="-7"/>
        <w:w w:val="88"/>
        <w:sz w:val="20"/>
        <w:szCs w:val="20"/>
        <w:lang w:val="en-US" w:eastAsia="en-US" w:bidi="en-US"/>
      </w:rPr>
    </w:lvl>
    <w:lvl w:ilvl="3">
      <w:numFmt w:val="bullet"/>
      <w:lvlText w:val="•"/>
      <w:lvlJc w:val="left"/>
      <w:pPr>
        <w:ind w:left="4087" w:hanging="341"/>
      </w:pPr>
      <w:rPr>
        <w:rFonts w:hint="default"/>
        <w:lang w:val="en-US" w:eastAsia="en-US" w:bidi="en-US"/>
      </w:rPr>
    </w:lvl>
    <w:lvl w:ilvl="4">
      <w:numFmt w:val="bullet"/>
      <w:lvlText w:val="•"/>
      <w:lvlJc w:val="left"/>
      <w:pPr>
        <w:ind w:left="5061" w:hanging="341"/>
      </w:pPr>
      <w:rPr>
        <w:rFonts w:hint="default"/>
        <w:lang w:val="en-US" w:eastAsia="en-US" w:bidi="en-US"/>
      </w:rPr>
    </w:lvl>
    <w:lvl w:ilvl="5">
      <w:numFmt w:val="bullet"/>
      <w:lvlText w:val="•"/>
      <w:lvlJc w:val="left"/>
      <w:pPr>
        <w:ind w:left="6035" w:hanging="341"/>
      </w:pPr>
      <w:rPr>
        <w:rFonts w:hint="default"/>
        <w:lang w:val="en-US" w:eastAsia="en-US" w:bidi="en-US"/>
      </w:rPr>
    </w:lvl>
    <w:lvl w:ilvl="6">
      <w:numFmt w:val="bullet"/>
      <w:lvlText w:val="•"/>
      <w:lvlJc w:val="left"/>
      <w:pPr>
        <w:ind w:left="7009" w:hanging="341"/>
      </w:pPr>
      <w:rPr>
        <w:rFonts w:hint="default"/>
        <w:lang w:val="en-US" w:eastAsia="en-US" w:bidi="en-US"/>
      </w:rPr>
    </w:lvl>
    <w:lvl w:ilvl="7">
      <w:numFmt w:val="bullet"/>
      <w:lvlText w:val="•"/>
      <w:lvlJc w:val="left"/>
      <w:pPr>
        <w:ind w:left="7983" w:hanging="341"/>
      </w:pPr>
      <w:rPr>
        <w:rFonts w:hint="default"/>
        <w:lang w:val="en-US" w:eastAsia="en-US" w:bidi="en-US"/>
      </w:rPr>
    </w:lvl>
    <w:lvl w:ilvl="8">
      <w:numFmt w:val="bullet"/>
      <w:lvlText w:val="•"/>
      <w:lvlJc w:val="left"/>
      <w:pPr>
        <w:ind w:left="8957" w:hanging="341"/>
      </w:pPr>
      <w:rPr>
        <w:rFonts w:hint="default"/>
        <w:lang w:val="en-US" w:eastAsia="en-US" w:bidi="en-US"/>
      </w:rPr>
    </w:lvl>
  </w:abstractNum>
  <w:abstractNum w:abstractNumId="133" w15:restartNumberingAfterBreak="0">
    <w:nsid w:val="5CF20622"/>
    <w:multiLevelType w:val="hybridMultilevel"/>
    <w:tmpl w:val="E9365EEA"/>
    <w:lvl w:ilvl="0" w:tplc="D1AC4CAE">
      <w:numFmt w:val="bullet"/>
      <w:lvlText w:val="•"/>
      <w:lvlJc w:val="left"/>
      <w:pPr>
        <w:ind w:left="453" w:hanging="341"/>
      </w:pPr>
      <w:rPr>
        <w:rFonts w:ascii="Raleway" w:eastAsia="Raleway" w:hAnsi="Raleway" w:cs="Raleway" w:hint="default"/>
        <w:color w:val="231F20"/>
        <w:spacing w:val="-8"/>
        <w:w w:val="88"/>
        <w:sz w:val="20"/>
        <w:szCs w:val="20"/>
        <w:lang w:val="en-US" w:eastAsia="en-US" w:bidi="en-US"/>
      </w:rPr>
    </w:lvl>
    <w:lvl w:ilvl="1" w:tplc="3B627D22">
      <w:numFmt w:val="bullet"/>
      <w:lvlText w:val="•"/>
      <w:lvlJc w:val="left"/>
      <w:pPr>
        <w:ind w:left="594" w:hanging="341"/>
      </w:pPr>
      <w:rPr>
        <w:rFonts w:hint="default"/>
        <w:lang w:val="en-US" w:eastAsia="en-US" w:bidi="en-US"/>
      </w:rPr>
    </w:lvl>
    <w:lvl w:ilvl="2" w:tplc="FD7C0B5A">
      <w:numFmt w:val="bullet"/>
      <w:lvlText w:val="•"/>
      <w:lvlJc w:val="left"/>
      <w:pPr>
        <w:ind w:left="728" w:hanging="341"/>
      </w:pPr>
      <w:rPr>
        <w:rFonts w:hint="default"/>
        <w:lang w:val="en-US" w:eastAsia="en-US" w:bidi="en-US"/>
      </w:rPr>
    </w:lvl>
    <w:lvl w:ilvl="3" w:tplc="B7DE3278">
      <w:numFmt w:val="bullet"/>
      <w:lvlText w:val="•"/>
      <w:lvlJc w:val="left"/>
      <w:pPr>
        <w:ind w:left="863" w:hanging="341"/>
      </w:pPr>
      <w:rPr>
        <w:rFonts w:hint="default"/>
        <w:lang w:val="en-US" w:eastAsia="en-US" w:bidi="en-US"/>
      </w:rPr>
    </w:lvl>
    <w:lvl w:ilvl="4" w:tplc="B3CE5ADA">
      <w:numFmt w:val="bullet"/>
      <w:lvlText w:val="•"/>
      <w:lvlJc w:val="left"/>
      <w:pPr>
        <w:ind w:left="997" w:hanging="341"/>
      </w:pPr>
      <w:rPr>
        <w:rFonts w:hint="default"/>
        <w:lang w:val="en-US" w:eastAsia="en-US" w:bidi="en-US"/>
      </w:rPr>
    </w:lvl>
    <w:lvl w:ilvl="5" w:tplc="ED3A7520">
      <w:numFmt w:val="bullet"/>
      <w:lvlText w:val="•"/>
      <w:lvlJc w:val="left"/>
      <w:pPr>
        <w:ind w:left="1132" w:hanging="341"/>
      </w:pPr>
      <w:rPr>
        <w:rFonts w:hint="default"/>
        <w:lang w:val="en-US" w:eastAsia="en-US" w:bidi="en-US"/>
      </w:rPr>
    </w:lvl>
    <w:lvl w:ilvl="6" w:tplc="ACE6A774">
      <w:numFmt w:val="bullet"/>
      <w:lvlText w:val="•"/>
      <w:lvlJc w:val="left"/>
      <w:pPr>
        <w:ind w:left="1266" w:hanging="341"/>
      </w:pPr>
      <w:rPr>
        <w:rFonts w:hint="default"/>
        <w:lang w:val="en-US" w:eastAsia="en-US" w:bidi="en-US"/>
      </w:rPr>
    </w:lvl>
    <w:lvl w:ilvl="7" w:tplc="853CC07A">
      <w:numFmt w:val="bullet"/>
      <w:lvlText w:val="•"/>
      <w:lvlJc w:val="left"/>
      <w:pPr>
        <w:ind w:left="1400" w:hanging="341"/>
      </w:pPr>
      <w:rPr>
        <w:rFonts w:hint="default"/>
        <w:lang w:val="en-US" w:eastAsia="en-US" w:bidi="en-US"/>
      </w:rPr>
    </w:lvl>
    <w:lvl w:ilvl="8" w:tplc="B492BF64">
      <w:numFmt w:val="bullet"/>
      <w:lvlText w:val="•"/>
      <w:lvlJc w:val="left"/>
      <w:pPr>
        <w:ind w:left="1535" w:hanging="341"/>
      </w:pPr>
      <w:rPr>
        <w:rFonts w:hint="default"/>
        <w:lang w:val="en-US" w:eastAsia="en-US" w:bidi="en-US"/>
      </w:rPr>
    </w:lvl>
  </w:abstractNum>
  <w:abstractNum w:abstractNumId="134" w15:restartNumberingAfterBreak="0">
    <w:nsid w:val="5D816EE6"/>
    <w:multiLevelType w:val="hybridMultilevel"/>
    <w:tmpl w:val="75166B7C"/>
    <w:lvl w:ilvl="0" w:tplc="F80A22FC">
      <w:start w:val="3"/>
      <w:numFmt w:val="decimal"/>
      <w:lvlText w:val="%1"/>
      <w:lvlJc w:val="left"/>
      <w:pPr>
        <w:ind w:left="1801" w:hanging="794"/>
        <w:jc w:val="left"/>
      </w:pPr>
      <w:rPr>
        <w:rFonts w:ascii="Raleway" w:eastAsia="Raleway" w:hAnsi="Raleway" w:cs="Raleway" w:hint="default"/>
        <w:color w:val="231F20"/>
        <w:spacing w:val="-2"/>
        <w:w w:val="88"/>
        <w:sz w:val="13"/>
        <w:szCs w:val="13"/>
        <w:lang w:val="en-US" w:eastAsia="en-US" w:bidi="en-US"/>
      </w:rPr>
    </w:lvl>
    <w:lvl w:ilvl="1" w:tplc="5EE870DA">
      <w:numFmt w:val="bullet"/>
      <w:lvlText w:val="•"/>
      <w:lvlJc w:val="left"/>
      <w:pPr>
        <w:ind w:left="2710" w:hanging="794"/>
      </w:pPr>
      <w:rPr>
        <w:rFonts w:hint="default"/>
        <w:lang w:val="en-US" w:eastAsia="en-US" w:bidi="en-US"/>
      </w:rPr>
    </w:lvl>
    <w:lvl w:ilvl="2" w:tplc="D5D4B7BE">
      <w:numFmt w:val="bullet"/>
      <w:lvlText w:val="•"/>
      <w:lvlJc w:val="left"/>
      <w:pPr>
        <w:ind w:left="3621" w:hanging="794"/>
      </w:pPr>
      <w:rPr>
        <w:rFonts w:hint="default"/>
        <w:lang w:val="en-US" w:eastAsia="en-US" w:bidi="en-US"/>
      </w:rPr>
    </w:lvl>
    <w:lvl w:ilvl="3" w:tplc="801ADB50">
      <w:numFmt w:val="bullet"/>
      <w:lvlText w:val="•"/>
      <w:lvlJc w:val="left"/>
      <w:pPr>
        <w:ind w:left="4531" w:hanging="794"/>
      </w:pPr>
      <w:rPr>
        <w:rFonts w:hint="default"/>
        <w:lang w:val="en-US" w:eastAsia="en-US" w:bidi="en-US"/>
      </w:rPr>
    </w:lvl>
    <w:lvl w:ilvl="4" w:tplc="168C435A">
      <w:numFmt w:val="bullet"/>
      <w:lvlText w:val="•"/>
      <w:lvlJc w:val="left"/>
      <w:pPr>
        <w:ind w:left="5442" w:hanging="794"/>
      </w:pPr>
      <w:rPr>
        <w:rFonts w:hint="default"/>
        <w:lang w:val="en-US" w:eastAsia="en-US" w:bidi="en-US"/>
      </w:rPr>
    </w:lvl>
    <w:lvl w:ilvl="5" w:tplc="51104EDE">
      <w:numFmt w:val="bullet"/>
      <w:lvlText w:val="•"/>
      <w:lvlJc w:val="left"/>
      <w:pPr>
        <w:ind w:left="6352" w:hanging="794"/>
      </w:pPr>
      <w:rPr>
        <w:rFonts w:hint="default"/>
        <w:lang w:val="en-US" w:eastAsia="en-US" w:bidi="en-US"/>
      </w:rPr>
    </w:lvl>
    <w:lvl w:ilvl="6" w:tplc="14A20F7C">
      <w:numFmt w:val="bullet"/>
      <w:lvlText w:val="•"/>
      <w:lvlJc w:val="left"/>
      <w:pPr>
        <w:ind w:left="7263" w:hanging="794"/>
      </w:pPr>
      <w:rPr>
        <w:rFonts w:hint="default"/>
        <w:lang w:val="en-US" w:eastAsia="en-US" w:bidi="en-US"/>
      </w:rPr>
    </w:lvl>
    <w:lvl w:ilvl="7" w:tplc="7B5CEA6E">
      <w:numFmt w:val="bullet"/>
      <w:lvlText w:val="•"/>
      <w:lvlJc w:val="left"/>
      <w:pPr>
        <w:ind w:left="8173" w:hanging="794"/>
      </w:pPr>
      <w:rPr>
        <w:rFonts w:hint="default"/>
        <w:lang w:val="en-US" w:eastAsia="en-US" w:bidi="en-US"/>
      </w:rPr>
    </w:lvl>
    <w:lvl w:ilvl="8" w:tplc="FE3CC78C">
      <w:numFmt w:val="bullet"/>
      <w:lvlText w:val="•"/>
      <w:lvlJc w:val="left"/>
      <w:pPr>
        <w:ind w:left="9084" w:hanging="794"/>
      </w:pPr>
      <w:rPr>
        <w:rFonts w:hint="default"/>
        <w:lang w:val="en-US" w:eastAsia="en-US" w:bidi="en-US"/>
      </w:rPr>
    </w:lvl>
  </w:abstractNum>
  <w:abstractNum w:abstractNumId="135" w15:restartNumberingAfterBreak="0">
    <w:nsid w:val="5E0F2C12"/>
    <w:multiLevelType w:val="hybridMultilevel"/>
    <w:tmpl w:val="E3B0672E"/>
    <w:lvl w:ilvl="0" w:tplc="A896127A">
      <w:start w:val="1"/>
      <w:numFmt w:val="decimal"/>
      <w:lvlText w:val="%1"/>
      <w:lvlJc w:val="left"/>
      <w:pPr>
        <w:ind w:left="1801" w:hanging="794"/>
        <w:jc w:val="left"/>
      </w:pPr>
      <w:rPr>
        <w:rFonts w:ascii="Raleway" w:eastAsia="Raleway" w:hAnsi="Raleway" w:cs="Raleway" w:hint="default"/>
        <w:color w:val="231F20"/>
        <w:spacing w:val="-1"/>
        <w:w w:val="99"/>
        <w:sz w:val="13"/>
        <w:szCs w:val="13"/>
        <w:lang w:val="en-US" w:eastAsia="en-US" w:bidi="en-US"/>
      </w:rPr>
    </w:lvl>
    <w:lvl w:ilvl="1" w:tplc="16AC14C2">
      <w:numFmt w:val="bullet"/>
      <w:lvlText w:val="•"/>
      <w:lvlJc w:val="left"/>
      <w:pPr>
        <w:ind w:left="2710" w:hanging="794"/>
      </w:pPr>
      <w:rPr>
        <w:rFonts w:hint="default"/>
        <w:lang w:val="en-US" w:eastAsia="en-US" w:bidi="en-US"/>
      </w:rPr>
    </w:lvl>
    <w:lvl w:ilvl="2" w:tplc="B76E7522">
      <w:numFmt w:val="bullet"/>
      <w:lvlText w:val="•"/>
      <w:lvlJc w:val="left"/>
      <w:pPr>
        <w:ind w:left="3621" w:hanging="794"/>
      </w:pPr>
      <w:rPr>
        <w:rFonts w:hint="default"/>
        <w:lang w:val="en-US" w:eastAsia="en-US" w:bidi="en-US"/>
      </w:rPr>
    </w:lvl>
    <w:lvl w:ilvl="3" w:tplc="3B6887CA">
      <w:numFmt w:val="bullet"/>
      <w:lvlText w:val="•"/>
      <w:lvlJc w:val="left"/>
      <w:pPr>
        <w:ind w:left="4531" w:hanging="794"/>
      </w:pPr>
      <w:rPr>
        <w:rFonts w:hint="default"/>
        <w:lang w:val="en-US" w:eastAsia="en-US" w:bidi="en-US"/>
      </w:rPr>
    </w:lvl>
    <w:lvl w:ilvl="4" w:tplc="EC786070">
      <w:numFmt w:val="bullet"/>
      <w:lvlText w:val="•"/>
      <w:lvlJc w:val="left"/>
      <w:pPr>
        <w:ind w:left="5442" w:hanging="794"/>
      </w:pPr>
      <w:rPr>
        <w:rFonts w:hint="default"/>
        <w:lang w:val="en-US" w:eastAsia="en-US" w:bidi="en-US"/>
      </w:rPr>
    </w:lvl>
    <w:lvl w:ilvl="5" w:tplc="22F807CA">
      <w:numFmt w:val="bullet"/>
      <w:lvlText w:val="•"/>
      <w:lvlJc w:val="left"/>
      <w:pPr>
        <w:ind w:left="6352" w:hanging="794"/>
      </w:pPr>
      <w:rPr>
        <w:rFonts w:hint="default"/>
        <w:lang w:val="en-US" w:eastAsia="en-US" w:bidi="en-US"/>
      </w:rPr>
    </w:lvl>
    <w:lvl w:ilvl="6" w:tplc="34FC3284">
      <w:numFmt w:val="bullet"/>
      <w:lvlText w:val="•"/>
      <w:lvlJc w:val="left"/>
      <w:pPr>
        <w:ind w:left="7263" w:hanging="794"/>
      </w:pPr>
      <w:rPr>
        <w:rFonts w:hint="default"/>
        <w:lang w:val="en-US" w:eastAsia="en-US" w:bidi="en-US"/>
      </w:rPr>
    </w:lvl>
    <w:lvl w:ilvl="7" w:tplc="67B2796C">
      <w:numFmt w:val="bullet"/>
      <w:lvlText w:val="•"/>
      <w:lvlJc w:val="left"/>
      <w:pPr>
        <w:ind w:left="8173" w:hanging="794"/>
      </w:pPr>
      <w:rPr>
        <w:rFonts w:hint="default"/>
        <w:lang w:val="en-US" w:eastAsia="en-US" w:bidi="en-US"/>
      </w:rPr>
    </w:lvl>
    <w:lvl w:ilvl="8" w:tplc="8DF45CF0">
      <w:numFmt w:val="bullet"/>
      <w:lvlText w:val="•"/>
      <w:lvlJc w:val="left"/>
      <w:pPr>
        <w:ind w:left="9084" w:hanging="794"/>
      </w:pPr>
      <w:rPr>
        <w:rFonts w:hint="default"/>
        <w:lang w:val="en-US" w:eastAsia="en-US" w:bidi="en-US"/>
      </w:rPr>
    </w:lvl>
  </w:abstractNum>
  <w:abstractNum w:abstractNumId="136" w15:restartNumberingAfterBreak="0">
    <w:nsid w:val="5F9C2850"/>
    <w:multiLevelType w:val="multilevel"/>
    <w:tmpl w:val="7AA6A20C"/>
    <w:lvl w:ilvl="0">
      <w:start w:val="8"/>
      <w:numFmt w:val="decimal"/>
      <w:lvlText w:val="%1"/>
      <w:lvlJc w:val="left"/>
      <w:pPr>
        <w:ind w:left="1801" w:hanging="794"/>
        <w:jc w:val="right"/>
      </w:pPr>
      <w:rPr>
        <w:rFonts w:hint="default"/>
        <w:lang w:val="en-US" w:eastAsia="en-US" w:bidi="en-US"/>
      </w:rPr>
    </w:lvl>
    <w:lvl w:ilvl="1">
      <w:start w:val="1"/>
      <w:numFmt w:val="decimal"/>
      <w:lvlText w:val="%1.%2"/>
      <w:lvlJc w:val="left"/>
      <w:pPr>
        <w:ind w:left="1801" w:hanging="794"/>
        <w:jc w:val="left"/>
      </w:pPr>
      <w:rPr>
        <w:rFonts w:ascii="Raleway" w:eastAsia="Raleway" w:hAnsi="Raleway" w:cs="Raleway" w:hint="default"/>
        <w:color w:val="231F20"/>
        <w:spacing w:val="-7"/>
        <w:w w:val="100"/>
        <w:sz w:val="20"/>
        <w:szCs w:val="20"/>
        <w:lang w:val="en-US" w:eastAsia="en-US" w:bidi="en-US"/>
      </w:rPr>
    </w:lvl>
    <w:lvl w:ilvl="2">
      <w:numFmt w:val="bullet"/>
      <w:lvlText w:val="•"/>
      <w:lvlJc w:val="left"/>
      <w:pPr>
        <w:ind w:left="2141" w:hanging="341"/>
      </w:pPr>
      <w:rPr>
        <w:rFonts w:ascii="Raleway" w:eastAsia="Raleway" w:hAnsi="Raleway" w:cs="Raleway" w:hint="default"/>
        <w:color w:val="231F20"/>
        <w:spacing w:val="-4"/>
        <w:w w:val="100"/>
        <w:sz w:val="20"/>
        <w:szCs w:val="20"/>
        <w:lang w:val="en-US" w:eastAsia="en-US" w:bidi="en-US"/>
      </w:rPr>
    </w:lvl>
    <w:lvl w:ilvl="3">
      <w:numFmt w:val="bullet"/>
      <w:lvlText w:val="•"/>
      <w:lvlJc w:val="left"/>
      <w:pPr>
        <w:ind w:left="4087" w:hanging="341"/>
      </w:pPr>
      <w:rPr>
        <w:rFonts w:hint="default"/>
        <w:lang w:val="en-US" w:eastAsia="en-US" w:bidi="en-US"/>
      </w:rPr>
    </w:lvl>
    <w:lvl w:ilvl="4">
      <w:numFmt w:val="bullet"/>
      <w:lvlText w:val="•"/>
      <w:lvlJc w:val="left"/>
      <w:pPr>
        <w:ind w:left="5061" w:hanging="341"/>
      </w:pPr>
      <w:rPr>
        <w:rFonts w:hint="default"/>
        <w:lang w:val="en-US" w:eastAsia="en-US" w:bidi="en-US"/>
      </w:rPr>
    </w:lvl>
    <w:lvl w:ilvl="5">
      <w:numFmt w:val="bullet"/>
      <w:lvlText w:val="•"/>
      <w:lvlJc w:val="left"/>
      <w:pPr>
        <w:ind w:left="6035" w:hanging="341"/>
      </w:pPr>
      <w:rPr>
        <w:rFonts w:hint="default"/>
        <w:lang w:val="en-US" w:eastAsia="en-US" w:bidi="en-US"/>
      </w:rPr>
    </w:lvl>
    <w:lvl w:ilvl="6">
      <w:numFmt w:val="bullet"/>
      <w:lvlText w:val="•"/>
      <w:lvlJc w:val="left"/>
      <w:pPr>
        <w:ind w:left="7009" w:hanging="341"/>
      </w:pPr>
      <w:rPr>
        <w:rFonts w:hint="default"/>
        <w:lang w:val="en-US" w:eastAsia="en-US" w:bidi="en-US"/>
      </w:rPr>
    </w:lvl>
    <w:lvl w:ilvl="7">
      <w:numFmt w:val="bullet"/>
      <w:lvlText w:val="•"/>
      <w:lvlJc w:val="left"/>
      <w:pPr>
        <w:ind w:left="7983" w:hanging="341"/>
      </w:pPr>
      <w:rPr>
        <w:rFonts w:hint="default"/>
        <w:lang w:val="en-US" w:eastAsia="en-US" w:bidi="en-US"/>
      </w:rPr>
    </w:lvl>
    <w:lvl w:ilvl="8">
      <w:numFmt w:val="bullet"/>
      <w:lvlText w:val="•"/>
      <w:lvlJc w:val="left"/>
      <w:pPr>
        <w:ind w:left="8957" w:hanging="341"/>
      </w:pPr>
      <w:rPr>
        <w:rFonts w:hint="default"/>
        <w:lang w:val="en-US" w:eastAsia="en-US" w:bidi="en-US"/>
      </w:rPr>
    </w:lvl>
  </w:abstractNum>
  <w:abstractNum w:abstractNumId="137" w15:restartNumberingAfterBreak="0">
    <w:nsid w:val="60224D01"/>
    <w:multiLevelType w:val="hybridMultilevel"/>
    <w:tmpl w:val="EA6CDF6E"/>
    <w:lvl w:ilvl="0" w:tplc="26947988">
      <w:start w:val="9"/>
      <w:numFmt w:val="decimal"/>
      <w:lvlText w:val="%1"/>
      <w:lvlJc w:val="left"/>
      <w:pPr>
        <w:ind w:left="1801" w:hanging="794"/>
        <w:jc w:val="left"/>
      </w:pPr>
      <w:rPr>
        <w:rFonts w:ascii="Raleway" w:eastAsia="Raleway" w:hAnsi="Raleway" w:cs="Raleway" w:hint="default"/>
        <w:color w:val="231F20"/>
        <w:w w:val="100"/>
        <w:sz w:val="13"/>
        <w:szCs w:val="13"/>
        <w:lang w:val="en-US" w:eastAsia="en-US" w:bidi="en-US"/>
      </w:rPr>
    </w:lvl>
    <w:lvl w:ilvl="1" w:tplc="EF646BB8">
      <w:numFmt w:val="bullet"/>
      <w:lvlText w:val="•"/>
      <w:lvlJc w:val="left"/>
      <w:pPr>
        <w:ind w:left="2141" w:hanging="341"/>
      </w:pPr>
      <w:rPr>
        <w:rFonts w:ascii="Raleway" w:eastAsia="Raleway" w:hAnsi="Raleway" w:cs="Raleway" w:hint="default"/>
        <w:color w:val="231F20"/>
        <w:spacing w:val="-7"/>
        <w:w w:val="100"/>
        <w:sz w:val="20"/>
        <w:szCs w:val="20"/>
        <w:lang w:val="en-US" w:eastAsia="en-US" w:bidi="en-US"/>
      </w:rPr>
    </w:lvl>
    <w:lvl w:ilvl="2" w:tplc="CF60408A">
      <w:numFmt w:val="bullet"/>
      <w:lvlText w:val="•"/>
      <w:lvlJc w:val="left"/>
      <w:pPr>
        <w:ind w:left="3113" w:hanging="341"/>
      </w:pPr>
      <w:rPr>
        <w:rFonts w:hint="default"/>
        <w:lang w:val="en-US" w:eastAsia="en-US" w:bidi="en-US"/>
      </w:rPr>
    </w:lvl>
    <w:lvl w:ilvl="3" w:tplc="5582E148">
      <w:numFmt w:val="bullet"/>
      <w:lvlText w:val="•"/>
      <w:lvlJc w:val="left"/>
      <w:pPr>
        <w:ind w:left="4087" w:hanging="341"/>
      </w:pPr>
      <w:rPr>
        <w:rFonts w:hint="default"/>
        <w:lang w:val="en-US" w:eastAsia="en-US" w:bidi="en-US"/>
      </w:rPr>
    </w:lvl>
    <w:lvl w:ilvl="4" w:tplc="2F202942">
      <w:numFmt w:val="bullet"/>
      <w:lvlText w:val="•"/>
      <w:lvlJc w:val="left"/>
      <w:pPr>
        <w:ind w:left="5061" w:hanging="341"/>
      </w:pPr>
      <w:rPr>
        <w:rFonts w:hint="default"/>
        <w:lang w:val="en-US" w:eastAsia="en-US" w:bidi="en-US"/>
      </w:rPr>
    </w:lvl>
    <w:lvl w:ilvl="5" w:tplc="4D4A7ABE">
      <w:numFmt w:val="bullet"/>
      <w:lvlText w:val="•"/>
      <w:lvlJc w:val="left"/>
      <w:pPr>
        <w:ind w:left="6035" w:hanging="341"/>
      </w:pPr>
      <w:rPr>
        <w:rFonts w:hint="default"/>
        <w:lang w:val="en-US" w:eastAsia="en-US" w:bidi="en-US"/>
      </w:rPr>
    </w:lvl>
    <w:lvl w:ilvl="6" w:tplc="433E22BC">
      <w:numFmt w:val="bullet"/>
      <w:lvlText w:val="•"/>
      <w:lvlJc w:val="left"/>
      <w:pPr>
        <w:ind w:left="7009" w:hanging="341"/>
      </w:pPr>
      <w:rPr>
        <w:rFonts w:hint="default"/>
        <w:lang w:val="en-US" w:eastAsia="en-US" w:bidi="en-US"/>
      </w:rPr>
    </w:lvl>
    <w:lvl w:ilvl="7" w:tplc="05445E84">
      <w:numFmt w:val="bullet"/>
      <w:lvlText w:val="•"/>
      <w:lvlJc w:val="left"/>
      <w:pPr>
        <w:ind w:left="7983" w:hanging="341"/>
      </w:pPr>
      <w:rPr>
        <w:rFonts w:hint="default"/>
        <w:lang w:val="en-US" w:eastAsia="en-US" w:bidi="en-US"/>
      </w:rPr>
    </w:lvl>
    <w:lvl w:ilvl="8" w:tplc="849CE1C2">
      <w:numFmt w:val="bullet"/>
      <w:lvlText w:val="•"/>
      <w:lvlJc w:val="left"/>
      <w:pPr>
        <w:ind w:left="8957" w:hanging="341"/>
      </w:pPr>
      <w:rPr>
        <w:rFonts w:hint="default"/>
        <w:lang w:val="en-US" w:eastAsia="en-US" w:bidi="en-US"/>
      </w:rPr>
    </w:lvl>
  </w:abstractNum>
  <w:abstractNum w:abstractNumId="138" w15:restartNumberingAfterBreak="0">
    <w:nsid w:val="60270F62"/>
    <w:multiLevelType w:val="hybridMultilevel"/>
    <w:tmpl w:val="ADC8639E"/>
    <w:lvl w:ilvl="0" w:tplc="286AE25C">
      <w:start w:val="2"/>
      <w:numFmt w:val="lowerLetter"/>
      <w:lvlText w:val="%1."/>
      <w:lvlJc w:val="left"/>
      <w:pPr>
        <w:ind w:left="2368" w:hanging="554"/>
        <w:jc w:val="left"/>
      </w:pPr>
      <w:rPr>
        <w:rFonts w:ascii="Trebuchet MS" w:eastAsia="Trebuchet MS" w:hAnsi="Trebuchet MS" w:cs="Trebuchet MS" w:hint="default"/>
        <w:color w:val="231F20"/>
        <w:spacing w:val="-3"/>
        <w:w w:val="55"/>
        <w:sz w:val="20"/>
        <w:szCs w:val="20"/>
        <w:lang w:val="en-US" w:eastAsia="en-US" w:bidi="en-US"/>
      </w:rPr>
    </w:lvl>
    <w:lvl w:ilvl="1" w:tplc="98AC701C">
      <w:numFmt w:val="bullet"/>
      <w:lvlText w:val="•"/>
      <w:lvlJc w:val="left"/>
      <w:pPr>
        <w:ind w:left="2934" w:hanging="567"/>
      </w:pPr>
      <w:rPr>
        <w:rFonts w:ascii="Trebuchet MS" w:eastAsia="Trebuchet MS" w:hAnsi="Trebuchet MS" w:cs="Trebuchet MS" w:hint="default"/>
        <w:color w:val="231F20"/>
        <w:w w:val="67"/>
        <w:sz w:val="20"/>
        <w:szCs w:val="20"/>
        <w:lang w:val="en-US" w:eastAsia="en-US" w:bidi="en-US"/>
      </w:rPr>
    </w:lvl>
    <w:lvl w:ilvl="2" w:tplc="7DF6ED00">
      <w:numFmt w:val="bullet"/>
      <w:lvlText w:val="•"/>
      <w:lvlJc w:val="left"/>
      <w:pPr>
        <w:ind w:left="3825" w:hanging="567"/>
      </w:pPr>
      <w:rPr>
        <w:rFonts w:hint="default"/>
        <w:lang w:val="en-US" w:eastAsia="en-US" w:bidi="en-US"/>
      </w:rPr>
    </w:lvl>
    <w:lvl w:ilvl="3" w:tplc="CDC6E354">
      <w:numFmt w:val="bullet"/>
      <w:lvlText w:val="•"/>
      <w:lvlJc w:val="left"/>
      <w:pPr>
        <w:ind w:left="4710" w:hanging="567"/>
      </w:pPr>
      <w:rPr>
        <w:rFonts w:hint="default"/>
        <w:lang w:val="en-US" w:eastAsia="en-US" w:bidi="en-US"/>
      </w:rPr>
    </w:lvl>
    <w:lvl w:ilvl="4" w:tplc="9A96EADC">
      <w:numFmt w:val="bullet"/>
      <w:lvlText w:val="•"/>
      <w:lvlJc w:val="left"/>
      <w:pPr>
        <w:ind w:left="5595" w:hanging="567"/>
      </w:pPr>
      <w:rPr>
        <w:rFonts w:hint="default"/>
        <w:lang w:val="en-US" w:eastAsia="en-US" w:bidi="en-US"/>
      </w:rPr>
    </w:lvl>
    <w:lvl w:ilvl="5" w:tplc="BCA0EEC6">
      <w:numFmt w:val="bullet"/>
      <w:lvlText w:val="•"/>
      <w:lvlJc w:val="left"/>
      <w:pPr>
        <w:ind w:left="6480" w:hanging="567"/>
      </w:pPr>
      <w:rPr>
        <w:rFonts w:hint="default"/>
        <w:lang w:val="en-US" w:eastAsia="en-US" w:bidi="en-US"/>
      </w:rPr>
    </w:lvl>
    <w:lvl w:ilvl="6" w:tplc="C54226C6">
      <w:numFmt w:val="bullet"/>
      <w:lvlText w:val="•"/>
      <w:lvlJc w:val="left"/>
      <w:pPr>
        <w:ind w:left="7365" w:hanging="567"/>
      </w:pPr>
      <w:rPr>
        <w:rFonts w:hint="default"/>
        <w:lang w:val="en-US" w:eastAsia="en-US" w:bidi="en-US"/>
      </w:rPr>
    </w:lvl>
    <w:lvl w:ilvl="7" w:tplc="C8388654">
      <w:numFmt w:val="bullet"/>
      <w:lvlText w:val="•"/>
      <w:lvlJc w:val="left"/>
      <w:pPr>
        <w:ind w:left="8250" w:hanging="567"/>
      </w:pPr>
      <w:rPr>
        <w:rFonts w:hint="default"/>
        <w:lang w:val="en-US" w:eastAsia="en-US" w:bidi="en-US"/>
      </w:rPr>
    </w:lvl>
    <w:lvl w:ilvl="8" w:tplc="A3380CFE">
      <w:numFmt w:val="bullet"/>
      <w:lvlText w:val="•"/>
      <w:lvlJc w:val="left"/>
      <w:pPr>
        <w:ind w:left="9135" w:hanging="567"/>
      </w:pPr>
      <w:rPr>
        <w:rFonts w:hint="default"/>
        <w:lang w:val="en-US" w:eastAsia="en-US" w:bidi="en-US"/>
      </w:rPr>
    </w:lvl>
  </w:abstractNum>
  <w:abstractNum w:abstractNumId="139" w15:restartNumberingAfterBreak="0">
    <w:nsid w:val="60334255"/>
    <w:multiLevelType w:val="hybridMultilevel"/>
    <w:tmpl w:val="09E879D4"/>
    <w:lvl w:ilvl="0" w:tplc="444A47D2">
      <w:start w:val="1"/>
      <w:numFmt w:val="decimal"/>
      <w:lvlText w:val="%1"/>
      <w:lvlJc w:val="left"/>
      <w:pPr>
        <w:ind w:left="1801" w:hanging="794"/>
        <w:jc w:val="left"/>
      </w:pPr>
      <w:rPr>
        <w:rFonts w:ascii="Raleway" w:eastAsia="Raleway" w:hAnsi="Raleway" w:cs="Raleway" w:hint="default"/>
        <w:color w:val="231F20"/>
        <w:spacing w:val="-5"/>
        <w:w w:val="100"/>
        <w:sz w:val="13"/>
        <w:szCs w:val="13"/>
        <w:lang w:val="en-US" w:eastAsia="en-US" w:bidi="en-US"/>
      </w:rPr>
    </w:lvl>
    <w:lvl w:ilvl="1" w:tplc="AAEEF11A">
      <w:numFmt w:val="bullet"/>
      <w:lvlText w:val="•"/>
      <w:lvlJc w:val="left"/>
      <w:pPr>
        <w:ind w:left="2710" w:hanging="794"/>
      </w:pPr>
      <w:rPr>
        <w:rFonts w:hint="default"/>
        <w:lang w:val="en-US" w:eastAsia="en-US" w:bidi="en-US"/>
      </w:rPr>
    </w:lvl>
    <w:lvl w:ilvl="2" w:tplc="2034BD00">
      <w:numFmt w:val="bullet"/>
      <w:lvlText w:val="•"/>
      <w:lvlJc w:val="left"/>
      <w:pPr>
        <w:ind w:left="3621" w:hanging="794"/>
      </w:pPr>
      <w:rPr>
        <w:rFonts w:hint="default"/>
        <w:lang w:val="en-US" w:eastAsia="en-US" w:bidi="en-US"/>
      </w:rPr>
    </w:lvl>
    <w:lvl w:ilvl="3" w:tplc="5CD247C4">
      <w:numFmt w:val="bullet"/>
      <w:lvlText w:val="•"/>
      <w:lvlJc w:val="left"/>
      <w:pPr>
        <w:ind w:left="4531" w:hanging="794"/>
      </w:pPr>
      <w:rPr>
        <w:rFonts w:hint="default"/>
        <w:lang w:val="en-US" w:eastAsia="en-US" w:bidi="en-US"/>
      </w:rPr>
    </w:lvl>
    <w:lvl w:ilvl="4" w:tplc="AD0C52CE">
      <w:numFmt w:val="bullet"/>
      <w:lvlText w:val="•"/>
      <w:lvlJc w:val="left"/>
      <w:pPr>
        <w:ind w:left="5442" w:hanging="794"/>
      </w:pPr>
      <w:rPr>
        <w:rFonts w:hint="default"/>
        <w:lang w:val="en-US" w:eastAsia="en-US" w:bidi="en-US"/>
      </w:rPr>
    </w:lvl>
    <w:lvl w:ilvl="5" w:tplc="F9DE725C">
      <w:numFmt w:val="bullet"/>
      <w:lvlText w:val="•"/>
      <w:lvlJc w:val="left"/>
      <w:pPr>
        <w:ind w:left="6352" w:hanging="794"/>
      </w:pPr>
      <w:rPr>
        <w:rFonts w:hint="default"/>
        <w:lang w:val="en-US" w:eastAsia="en-US" w:bidi="en-US"/>
      </w:rPr>
    </w:lvl>
    <w:lvl w:ilvl="6" w:tplc="A66CF0F8">
      <w:numFmt w:val="bullet"/>
      <w:lvlText w:val="•"/>
      <w:lvlJc w:val="left"/>
      <w:pPr>
        <w:ind w:left="7263" w:hanging="794"/>
      </w:pPr>
      <w:rPr>
        <w:rFonts w:hint="default"/>
        <w:lang w:val="en-US" w:eastAsia="en-US" w:bidi="en-US"/>
      </w:rPr>
    </w:lvl>
    <w:lvl w:ilvl="7" w:tplc="F7344594">
      <w:numFmt w:val="bullet"/>
      <w:lvlText w:val="•"/>
      <w:lvlJc w:val="left"/>
      <w:pPr>
        <w:ind w:left="8173" w:hanging="794"/>
      </w:pPr>
      <w:rPr>
        <w:rFonts w:hint="default"/>
        <w:lang w:val="en-US" w:eastAsia="en-US" w:bidi="en-US"/>
      </w:rPr>
    </w:lvl>
    <w:lvl w:ilvl="8" w:tplc="D646DE56">
      <w:numFmt w:val="bullet"/>
      <w:lvlText w:val="•"/>
      <w:lvlJc w:val="left"/>
      <w:pPr>
        <w:ind w:left="9084" w:hanging="794"/>
      </w:pPr>
      <w:rPr>
        <w:rFonts w:hint="default"/>
        <w:lang w:val="en-US" w:eastAsia="en-US" w:bidi="en-US"/>
      </w:rPr>
    </w:lvl>
  </w:abstractNum>
  <w:abstractNum w:abstractNumId="140" w15:restartNumberingAfterBreak="0">
    <w:nsid w:val="607252A4"/>
    <w:multiLevelType w:val="hybridMultilevel"/>
    <w:tmpl w:val="3AA64530"/>
    <w:lvl w:ilvl="0" w:tplc="CC2EA352">
      <w:start w:val="2"/>
      <w:numFmt w:val="decimal"/>
      <w:lvlText w:val="%1"/>
      <w:lvlJc w:val="left"/>
      <w:pPr>
        <w:ind w:left="1568" w:hanging="567"/>
        <w:jc w:val="left"/>
      </w:pPr>
      <w:rPr>
        <w:rFonts w:ascii="Raleway" w:eastAsia="Raleway" w:hAnsi="Raleway" w:cs="Raleway" w:hint="default"/>
        <w:b/>
        <w:bCs/>
        <w:color w:val="FFFFFF"/>
        <w:spacing w:val="-4"/>
        <w:w w:val="100"/>
        <w:sz w:val="24"/>
        <w:szCs w:val="24"/>
        <w:lang w:val="en-US" w:eastAsia="en-US" w:bidi="en-US"/>
      </w:rPr>
    </w:lvl>
    <w:lvl w:ilvl="1" w:tplc="2D1CEFA4">
      <w:numFmt w:val="bullet"/>
      <w:lvlText w:val="•"/>
      <w:lvlJc w:val="left"/>
      <w:pPr>
        <w:ind w:left="2494" w:hanging="567"/>
      </w:pPr>
      <w:rPr>
        <w:rFonts w:hint="default"/>
        <w:lang w:val="en-US" w:eastAsia="en-US" w:bidi="en-US"/>
      </w:rPr>
    </w:lvl>
    <w:lvl w:ilvl="2" w:tplc="0AAA5A06">
      <w:numFmt w:val="bullet"/>
      <w:lvlText w:val="•"/>
      <w:lvlJc w:val="left"/>
      <w:pPr>
        <w:ind w:left="3429" w:hanging="567"/>
      </w:pPr>
      <w:rPr>
        <w:rFonts w:hint="default"/>
        <w:lang w:val="en-US" w:eastAsia="en-US" w:bidi="en-US"/>
      </w:rPr>
    </w:lvl>
    <w:lvl w:ilvl="3" w:tplc="2D928778">
      <w:numFmt w:val="bullet"/>
      <w:lvlText w:val="•"/>
      <w:lvlJc w:val="left"/>
      <w:pPr>
        <w:ind w:left="4363" w:hanging="567"/>
      </w:pPr>
      <w:rPr>
        <w:rFonts w:hint="default"/>
        <w:lang w:val="en-US" w:eastAsia="en-US" w:bidi="en-US"/>
      </w:rPr>
    </w:lvl>
    <w:lvl w:ilvl="4" w:tplc="9C723B8C">
      <w:numFmt w:val="bullet"/>
      <w:lvlText w:val="•"/>
      <w:lvlJc w:val="left"/>
      <w:pPr>
        <w:ind w:left="5298" w:hanging="567"/>
      </w:pPr>
      <w:rPr>
        <w:rFonts w:hint="default"/>
        <w:lang w:val="en-US" w:eastAsia="en-US" w:bidi="en-US"/>
      </w:rPr>
    </w:lvl>
    <w:lvl w:ilvl="5" w:tplc="F8DA7790">
      <w:numFmt w:val="bullet"/>
      <w:lvlText w:val="•"/>
      <w:lvlJc w:val="left"/>
      <w:pPr>
        <w:ind w:left="6232" w:hanging="567"/>
      </w:pPr>
      <w:rPr>
        <w:rFonts w:hint="default"/>
        <w:lang w:val="en-US" w:eastAsia="en-US" w:bidi="en-US"/>
      </w:rPr>
    </w:lvl>
    <w:lvl w:ilvl="6" w:tplc="53DEF336">
      <w:numFmt w:val="bullet"/>
      <w:lvlText w:val="•"/>
      <w:lvlJc w:val="left"/>
      <w:pPr>
        <w:ind w:left="7167" w:hanging="567"/>
      </w:pPr>
      <w:rPr>
        <w:rFonts w:hint="default"/>
        <w:lang w:val="en-US" w:eastAsia="en-US" w:bidi="en-US"/>
      </w:rPr>
    </w:lvl>
    <w:lvl w:ilvl="7" w:tplc="0E566CA0">
      <w:numFmt w:val="bullet"/>
      <w:lvlText w:val="•"/>
      <w:lvlJc w:val="left"/>
      <w:pPr>
        <w:ind w:left="8101" w:hanging="567"/>
      </w:pPr>
      <w:rPr>
        <w:rFonts w:hint="default"/>
        <w:lang w:val="en-US" w:eastAsia="en-US" w:bidi="en-US"/>
      </w:rPr>
    </w:lvl>
    <w:lvl w:ilvl="8" w:tplc="9F46D6FA">
      <w:numFmt w:val="bullet"/>
      <w:lvlText w:val="•"/>
      <w:lvlJc w:val="left"/>
      <w:pPr>
        <w:ind w:left="9036" w:hanging="567"/>
      </w:pPr>
      <w:rPr>
        <w:rFonts w:hint="default"/>
        <w:lang w:val="en-US" w:eastAsia="en-US" w:bidi="en-US"/>
      </w:rPr>
    </w:lvl>
  </w:abstractNum>
  <w:abstractNum w:abstractNumId="141" w15:restartNumberingAfterBreak="0">
    <w:nsid w:val="60880EC4"/>
    <w:multiLevelType w:val="hybridMultilevel"/>
    <w:tmpl w:val="4B5EC900"/>
    <w:lvl w:ilvl="0" w:tplc="9DF08C66">
      <w:numFmt w:val="bullet"/>
      <w:lvlText w:val="•"/>
      <w:lvlJc w:val="left"/>
      <w:pPr>
        <w:ind w:left="3161" w:hanging="681"/>
      </w:pPr>
      <w:rPr>
        <w:rFonts w:ascii="Trebuchet MS" w:eastAsia="Trebuchet MS" w:hAnsi="Trebuchet MS" w:cs="Trebuchet MS" w:hint="default"/>
        <w:color w:val="231F20"/>
        <w:w w:val="67"/>
        <w:sz w:val="20"/>
        <w:szCs w:val="20"/>
        <w:lang w:val="en-US" w:eastAsia="en-US" w:bidi="en-US"/>
      </w:rPr>
    </w:lvl>
    <w:lvl w:ilvl="1" w:tplc="9376A62C">
      <w:numFmt w:val="bullet"/>
      <w:lvlText w:val="•"/>
      <w:lvlJc w:val="left"/>
      <w:pPr>
        <w:ind w:left="3934" w:hanging="681"/>
      </w:pPr>
      <w:rPr>
        <w:rFonts w:hint="default"/>
        <w:lang w:val="en-US" w:eastAsia="en-US" w:bidi="en-US"/>
      </w:rPr>
    </w:lvl>
    <w:lvl w:ilvl="2" w:tplc="5296A464">
      <w:numFmt w:val="bullet"/>
      <w:lvlText w:val="•"/>
      <w:lvlJc w:val="left"/>
      <w:pPr>
        <w:ind w:left="4709" w:hanging="681"/>
      </w:pPr>
      <w:rPr>
        <w:rFonts w:hint="default"/>
        <w:lang w:val="en-US" w:eastAsia="en-US" w:bidi="en-US"/>
      </w:rPr>
    </w:lvl>
    <w:lvl w:ilvl="3" w:tplc="26A6143A">
      <w:numFmt w:val="bullet"/>
      <w:lvlText w:val="•"/>
      <w:lvlJc w:val="left"/>
      <w:pPr>
        <w:ind w:left="5483" w:hanging="681"/>
      </w:pPr>
      <w:rPr>
        <w:rFonts w:hint="default"/>
        <w:lang w:val="en-US" w:eastAsia="en-US" w:bidi="en-US"/>
      </w:rPr>
    </w:lvl>
    <w:lvl w:ilvl="4" w:tplc="7C02D9C6">
      <w:numFmt w:val="bullet"/>
      <w:lvlText w:val="•"/>
      <w:lvlJc w:val="left"/>
      <w:pPr>
        <w:ind w:left="6258" w:hanging="681"/>
      </w:pPr>
      <w:rPr>
        <w:rFonts w:hint="default"/>
        <w:lang w:val="en-US" w:eastAsia="en-US" w:bidi="en-US"/>
      </w:rPr>
    </w:lvl>
    <w:lvl w:ilvl="5" w:tplc="37C875F8">
      <w:numFmt w:val="bullet"/>
      <w:lvlText w:val="•"/>
      <w:lvlJc w:val="left"/>
      <w:pPr>
        <w:ind w:left="7032" w:hanging="681"/>
      </w:pPr>
      <w:rPr>
        <w:rFonts w:hint="default"/>
        <w:lang w:val="en-US" w:eastAsia="en-US" w:bidi="en-US"/>
      </w:rPr>
    </w:lvl>
    <w:lvl w:ilvl="6" w:tplc="23FCD900">
      <w:numFmt w:val="bullet"/>
      <w:lvlText w:val="•"/>
      <w:lvlJc w:val="left"/>
      <w:pPr>
        <w:ind w:left="7807" w:hanging="681"/>
      </w:pPr>
      <w:rPr>
        <w:rFonts w:hint="default"/>
        <w:lang w:val="en-US" w:eastAsia="en-US" w:bidi="en-US"/>
      </w:rPr>
    </w:lvl>
    <w:lvl w:ilvl="7" w:tplc="6E88CF80">
      <w:numFmt w:val="bullet"/>
      <w:lvlText w:val="•"/>
      <w:lvlJc w:val="left"/>
      <w:pPr>
        <w:ind w:left="8581" w:hanging="681"/>
      </w:pPr>
      <w:rPr>
        <w:rFonts w:hint="default"/>
        <w:lang w:val="en-US" w:eastAsia="en-US" w:bidi="en-US"/>
      </w:rPr>
    </w:lvl>
    <w:lvl w:ilvl="8" w:tplc="F8522DD6">
      <w:numFmt w:val="bullet"/>
      <w:lvlText w:val="•"/>
      <w:lvlJc w:val="left"/>
      <w:pPr>
        <w:ind w:left="9356" w:hanging="681"/>
      </w:pPr>
      <w:rPr>
        <w:rFonts w:hint="default"/>
        <w:lang w:val="en-US" w:eastAsia="en-US" w:bidi="en-US"/>
      </w:rPr>
    </w:lvl>
  </w:abstractNum>
  <w:abstractNum w:abstractNumId="142" w15:restartNumberingAfterBreak="0">
    <w:nsid w:val="61D451FC"/>
    <w:multiLevelType w:val="hybridMultilevel"/>
    <w:tmpl w:val="DCA40B60"/>
    <w:lvl w:ilvl="0" w:tplc="C324C494">
      <w:start w:val="97"/>
      <w:numFmt w:val="decimal"/>
      <w:lvlText w:val="%1"/>
      <w:lvlJc w:val="left"/>
      <w:pPr>
        <w:ind w:left="1801" w:hanging="794"/>
        <w:jc w:val="right"/>
      </w:pPr>
      <w:rPr>
        <w:rFonts w:ascii="Raleway" w:eastAsia="Raleway" w:hAnsi="Raleway" w:cs="Raleway" w:hint="default"/>
        <w:color w:val="231F20"/>
        <w:spacing w:val="-2"/>
        <w:w w:val="100"/>
        <w:sz w:val="13"/>
        <w:szCs w:val="13"/>
        <w:lang w:val="en-US" w:eastAsia="en-US" w:bidi="en-US"/>
      </w:rPr>
    </w:lvl>
    <w:lvl w:ilvl="1" w:tplc="154EA1C8">
      <w:numFmt w:val="bullet"/>
      <w:lvlText w:val="•"/>
      <w:lvlJc w:val="left"/>
      <w:pPr>
        <w:ind w:left="2141" w:hanging="341"/>
      </w:pPr>
      <w:rPr>
        <w:rFonts w:ascii="Raleway" w:eastAsia="Raleway" w:hAnsi="Raleway" w:cs="Raleway" w:hint="default"/>
        <w:color w:val="231F20"/>
        <w:spacing w:val="-8"/>
        <w:w w:val="83"/>
        <w:sz w:val="20"/>
        <w:szCs w:val="20"/>
        <w:lang w:val="en-US" w:eastAsia="en-US" w:bidi="en-US"/>
      </w:rPr>
    </w:lvl>
    <w:lvl w:ilvl="2" w:tplc="0700048A">
      <w:numFmt w:val="bullet"/>
      <w:lvlText w:val="•"/>
      <w:lvlJc w:val="left"/>
      <w:pPr>
        <w:ind w:left="2825" w:hanging="341"/>
      </w:pPr>
      <w:rPr>
        <w:rFonts w:hint="default"/>
        <w:lang w:val="en-US" w:eastAsia="en-US" w:bidi="en-US"/>
      </w:rPr>
    </w:lvl>
    <w:lvl w:ilvl="3" w:tplc="8DAA21F6">
      <w:numFmt w:val="bullet"/>
      <w:lvlText w:val="•"/>
      <w:lvlJc w:val="left"/>
      <w:pPr>
        <w:ind w:left="3511" w:hanging="341"/>
      </w:pPr>
      <w:rPr>
        <w:rFonts w:hint="default"/>
        <w:lang w:val="en-US" w:eastAsia="en-US" w:bidi="en-US"/>
      </w:rPr>
    </w:lvl>
    <w:lvl w:ilvl="4" w:tplc="368CEF48">
      <w:numFmt w:val="bullet"/>
      <w:lvlText w:val="•"/>
      <w:lvlJc w:val="left"/>
      <w:pPr>
        <w:ind w:left="4197" w:hanging="341"/>
      </w:pPr>
      <w:rPr>
        <w:rFonts w:hint="default"/>
        <w:lang w:val="en-US" w:eastAsia="en-US" w:bidi="en-US"/>
      </w:rPr>
    </w:lvl>
    <w:lvl w:ilvl="5" w:tplc="20B629DC">
      <w:numFmt w:val="bullet"/>
      <w:lvlText w:val="•"/>
      <w:lvlJc w:val="left"/>
      <w:pPr>
        <w:ind w:left="4882" w:hanging="341"/>
      </w:pPr>
      <w:rPr>
        <w:rFonts w:hint="default"/>
        <w:lang w:val="en-US" w:eastAsia="en-US" w:bidi="en-US"/>
      </w:rPr>
    </w:lvl>
    <w:lvl w:ilvl="6" w:tplc="6C461736">
      <w:numFmt w:val="bullet"/>
      <w:lvlText w:val="•"/>
      <w:lvlJc w:val="left"/>
      <w:pPr>
        <w:ind w:left="5568" w:hanging="341"/>
      </w:pPr>
      <w:rPr>
        <w:rFonts w:hint="default"/>
        <w:lang w:val="en-US" w:eastAsia="en-US" w:bidi="en-US"/>
      </w:rPr>
    </w:lvl>
    <w:lvl w:ilvl="7" w:tplc="FB28E45C">
      <w:numFmt w:val="bullet"/>
      <w:lvlText w:val="•"/>
      <w:lvlJc w:val="left"/>
      <w:pPr>
        <w:ind w:left="6254" w:hanging="341"/>
      </w:pPr>
      <w:rPr>
        <w:rFonts w:hint="default"/>
        <w:lang w:val="en-US" w:eastAsia="en-US" w:bidi="en-US"/>
      </w:rPr>
    </w:lvl>
    <w:lvl w:ilvl="8" w:tplc="6478DC32">
      <w:numFmt w:val="bullet"/>
      <w:lvlText w:val="•"/>
      <w:lvlJc w:val="left"/>
      <w:pPr>
        <w:ind w:left="6939" w:hanging="341"/>
      </w:pPr>
      <w:rPr>
        <w:rFonts w:hint="default"/>
        <w:lang w:val="en-US" w:eastAsia="en-US" w:bidi="en-US"/>
      </w:rPr>
    </w:lvl>
  </w:abstractNum>
  <w:abstractNum w:abstractNumId="143" w15:restartNumberingAfterBreak="0">
    <w:nsid w:val="63BA1723"/>
    <w:multiLevelType w:val="hybridMultilevel"/>
    <w:tmpl w:val="7CAE8CC8"/>
    <w:lvl w:ilvl="0" w:tplc="36E8D5FA">
      <w:start w:val="76"/>
      <w:numFmt w:val="decimal"/>
      <w:lvlText w:val="%1"/>
      <w:lvlJc w:val="left"/>
      <w:pPr>
        <w:ind w:left="1801" w:hanging="794"/>
        <w:jc w:val="right"/>
      </w:pPr>
      <w:rPr>
        <w:rFonts w:ascii="Raleway" w:eastAsia="Raleway" w:hAnsi="Raleway" w:cs="Raleway" w:hint="default"/>
        <w:color w:val="231F20"/>
        <w:spacing w:val="-3"/>
        <w:w w:val="100"/>
        <w:sz w:val="13"/>
        <w:szCs w:val="13"/>
        <w:lang w:val="en-US" w:eastAsia="en-US" w:bidi="en-US"/>
      </w:rPr>
    </w:lvl>
    <w:lvl w:ilvl="1" w:tplc="5AD87750">
      <w:numFmt w:val="bullet"/>
      <w:lvlText w:val="•"/>
      <w:lvlJc w:val="left"/>
      <w:pPr>
        <w:ind w:left="2568" w:hanging="794"/>
      </w:pPr>
      <w:rPr>
        <w:rFonts w:hint="default"/>
        <w:lang w:val="en-US" w:eastAsia="en-US" w:bidi="en-US"/>
      </w:rPr>
    </w:lvl>
    <w:lvl w:ilvl="2" w:tplc="93E8C37E">
      <w:numFmt w:val="bullet"/>
      <w:lvlText w:val="•"/>
      <w:lvlJc w:val="left"/>
      <w:pPr>
        <w:ind w:left="3336" w:hanging="794"/>
      </w:pPr>
      <w:rPr>
        <w:rFonts w:hint="default"/>
        <w:lang w:val="en-US" w:eastAsia="en-US" w:bidi="en-US"/>
      </w:rPr>
    </w:lvl>
    <w:lvl w:ilvl="3" w:tplc="74EC1B6E">
      <w:numFmt w:val="bullet"/>
      <w:lvlText w:val="•"/>
      <w:lvlJc w:val="left"/>
      <w:pPr>
        <w:ind w:left="4104" w:hanging="794"/>
      </w:pPr>
      <w:rPr>
        <w:rFonts w:hint="default"/>
        <w:lang w:val="en-US" w:eastAsia="en-US" w:bidi="en-US"/>
      </w:rPr>
    </w:lvl>
    <w:lvl w:ilvl="4" w:tplc="8A4035C4">
      <w:numFmt w:val="bullet"/>
      <w:lvlText w:val="•"/>
      <w:lvlJc w:val="left"/>
      <w:pPr>
        <w:ind w:left="4872" w:hanging="794"/>
      </w:pPr>
      <w:rPr>
        <w:rFonts w:hint="default"/>
        <w:lang w:val="en-US" w:eastAsia="en-US" w:bidi="en-US"/>
      </w:rPr>
    </w:lvl>
    <w:lvl w:ilvl="5" w:tplc="F3B40104">
      <w:numFmt w:val="bullet"/>
      <w:lvlText w:val="•"/>
      <w:lvlJc w:val="left"/>
      <w:pPr>
        <w:ind w:left="5640" w:hanging="794"/>
      </w:pPr>
      <w:rPr>
        <w:rFonts w:hint="default"/>
        <w:lang w:val="en-US" w:eastAsia="en-US" w:bidi="en-US"/>
      </w:rPr>
    </w:lvl>
    <w:lvl w:ilvl="6" w:tplc="4F2CDE04">
      <w:numFmt w:val="bullet"/>
      <w:lvlText w:val="•"/>
      <w:lvlJc w:val="left"/>
      <w:pPr>
        <w:ind w:left="6408" w:hanging="794"/>
      </w:pPr>
      <w:rPr>
        <w:rFonts w:hint="default"/>
        <w:lang w:val="en-US" w:eastAsia="en-US" w:bidi="en-US"/>
      </w:rPr>
    </w:lvl>
    <w:lvl w:ilvl="7" w:tplc="CCC89F9E">
      <w:numFmt w:val="bullet"/>
      <w:lvlText w:val="•"/>
      <w:lvlJc w:val="left"/>
      <w:pPr>
        <w:ind w:left="7176" w:hanging="794"/>
      </w:pPr>
      <w:rPr>
        <w:rFonts w:hint="default"/>
        <w:lang w:val="en-US" w:eastAsia="en-US" w:bidi="en-US"/>
      </w:rPr>
    </w:lvl>
    <w:lvl w:ilvl="8" w:tplc="1BCE0772">
      <w:numFmt w:val="bullet"/>
      <w:lvlText w:val="•"/>
      <w:lvlJc w:val="left"/>
      <w:pPr>
        <w:ind w:left="7944" w:hanging="794"/>
      </w:pPr>
      <w:rPr>
        <w:rFonts w:hint="default"/>
        <w:lang w:val="en-US" w:eastAsia="en-US" w:bidi="en-US"/>
      </w:rPr>
    </w:lvl>
  </w:abstractNum>
  <w:abstractNum w:abstractNumId="144" w15:restartNumberingAfterBreak="0">
    <w:nsid w:val="63CC55E6"/>
    <w:multiLevelType w:val="hybridMultilevel"/>
    <w:tmpl w:val="60646218"/>
    <w:lvl w:ilvl="0" w:tplc="A4D63EB0">
      <w:start w:val="118"/>
      <w:numFmt w:val="decimal"/>
      <w:lvlText w:val="%1"/>
      <w:lvlJc w:val="left"/>
      <w:pPr>
        <w:ind w:left="1801" w:hanging="794"/>
        <w:jc w:val="right"/>
      </w:pPr>
      <w:rPr>
        <w:rFonts w:ascii="Raleway" w:eastAsia="Raleway" w:hAnsi="Raleway" w:cs="Raleway" w:hint="default"/>
        <w:color w:val="231F20"/>
        <w:spacing w:val="-1"/>
        <w:w w:val="100"/>
        <w:sz w:val="13"/>
        <w:szCs w:val="13"/>
        <w:lang w:val="en-US" w:eastAsia="en-US" w:bidi="en-US"/>
      </w:rPr>
    </w:lvl>
    <w:lvl w:ilvl="1" w:tplc="627C8A62">
      <w:numFmt w:val="bullet"/>
      <w:lvlText w:val="•"/>
      <w:lvlJc w:val="left"/>
      <w:pPr>
        <w:ind w:left="2577" w:hanging="794"/>
      </w:pPr>
      <w:rPr>
        <w:rFonts w:hint="default"/>
        <w:lang w:val="en-US" w:eastAsia="en-US" w:bidi="en-US"/>
      </w:rPr>
    </w:lvl>
    <w:lvl w:ilvl="2" w:tplc="48F2CC52">
      <w:numFmt w:val="bullet"/>
      <w:lvlText w:val="•"/>
      <w:lvlJc w:val="left"/>
      <w:pPr>
        <w:ind w:left="3354" w:hanging="794"/>
      </w:pPr>
      <w:rPr>
        <w:rFonts w:hint="default"/>
        <w:lang w:val="en-US" w:eastAsia="en-US" w:bidi="en-US"/>
      </w:rPr>
    </w:lvl>
    <w:lvl w:ilvl="3" w:tplc="E88ABBFC">
      <w:numFmt w:val="bullet"/>
      <w:lvlText w:val="•"/>
      <w:lvlJc w:val="left"/>
      <w:pPr>
        <w:ind w:left="4131" w:hanging="794"/>
      </w:pPr>
      <w:rPr>
        <w:rFonts w:hint="default"/>
        <w:lang w:val="en-US" w:eastAsia="en-US" w:bidi="en-US"/>
      </w:rPr>
    </w:lvl>
    <w:lvl w:ilvl="4" w:tplc="5CCC68E0">
      <w:numFmt w:val="bullet"/>
      <w:lvlText w:val="•"/>
      <w:lvlJc w:val="left"/>
      <w:pPr>
        <w:ind w:left="4908" w:hanging="794"/>
      </w:pPr>
      <w:rPr>
        <w:rFonts w:hint="default"/>
        <w:lang w:val="en-US" w:eastAsia="en-US" w:bidi="en-US"/>
      </w:rPr>
    </w:lvl>
    <w:lvl w:ilvl="5" w:tplc="BA1C3B0C">
      <w:numFmt w:val="bullet"/>
      <w:lvlText w:val="•"/>
      <w:lvlJc w:val="left"/>
      <w:pPr>
        <w:ind w:left="5685" w:hanging="794"/>
      </w:pPr>
      <w:rPr>
        <w:rFonts w:hint="default"/>
        <w:lang w:val="en-US" w:eastAsia="en-US" w:bidi="en-US"/>
      </w:rPr>
    </w:lvl>
    <w:lvl w:ilvl="6" w:tplc="A344F546">
      <w:numFmt w:val="bullet"/>
      <w:lvlText w:val="•"/>
      <w:lvlJc w:val="left"/>
      <w:pPr>
        <w:ind w:left="6462" w:hanging="794"/>
      </w:pPr>
      <w:rPr>
        <w:rFonts w:hint="default"/>
        <w:lang w:val="en-US" w:eastAsia="en-US" w:bidi="en-US"/>
      </w:rPr>
    </w:lvl>
    <w:lvl w:ilvl="7" w:tplc="21DA0758">
      <w:numFmt w:val="bullet"/>
      <w:lvlText w:val="•"/>
      <w:lvlJc w:val="left"/>
      <w:pPr>
        <w:ind w:left="7239" w:hanging="794"/>
      </w:pPr>
      <w:rPr>
        <w:rFonts w:hint="default"/>
        <w:lang w:val="en-US" w:eastAsia="en-US" w:bidi="en-US"/>
      </w:rPr>
    </w:lvl>
    <w:lvl w:ilvl="8" w:tplc="1E200BC6">
      <w:numFmt w:val="bullet"/>
      <w:lvlText w:val="•"/>
      <w:lvlJc w:val="left"/>
      <w:pPr>
        <w:ind w:left="8016" w:hanging="794"/>
      </w:pPr>
      <w:rPr>
        <w:rFonts w:hint="default"/>
        <w:lang w:val="en-US" w:eastAsia="en-US" w:bidi="en-US"/>
      </w:rPr>
    </w:lvl>
  </w:abstractNum>
  <w:abstractNum w:abstractNumId="145" w15:restartNumberingAfterBreak="0">
    <w:nsid w:val="643E742E"/>
    <w:multiLevelType w:val="hybridMultilevel"/>
    <w:tmpl w:val="CCE0608A"/>
    <w:lvl w:ilvl="0" w:tplc="13B0BDAA">
      <w:numFmt w:val="bullet"/>
      <w:lvlText w:val="•"/>
      <w:lvlJc w:val="left"/>
      <w:pPr>
        <w:ind w:left="2141" w:hanging="341"/>
      </w:pPr>
      <w:rPr>
        <w:rFonts w:ascii="Raleway" w:eastAsia="Raleway" w:hAnsi="Raleway" w:cs="Raleway" w:hint="default"/>
        <w:color w:val="231F20"/>
        <w:spacing w:val="-6"/>
        <w:w w:val="83"/>
        <w:sz w:val="20"/>
        <w:szCs w:val="20"/>
        <w:lang w:val="en-US" w:eastAsia="en-US" w:bidi="en-US"/>
      </w:rPr>
    </w:lvl>
    <w:lvl w:ilvl="1" w:tplc="B1F82DB0">
      <w:numFmt w:val="bullet"/>
      <w:lvlText w:val="•"/>
      <w:lvlJc w:val="left"/>
      <w:pPr>
        <w:ind w:left="3016" w:hanging="341"/>
      </w:pPr>
      <w:rPr>
        <w:rFonts w:hint="default"/>
        <w:lang w:val="en-US" w:eastAsia="en-US" w:bidi="en-US"/>
      </w:rPr>
    </w:lvl>
    <w:lvl w:ilvl="2" w:tplc="46DCBDF4">
      <w:numFmt w:val="bullet"/>
      <w:lvlText w:val="•"/>
      <w:lvlJc w:val="left"/>
      <w:pPr>
        <w:ind w:left="3893" w:hanging="341"/>
      </w:pPr>
      <w:rPr>
        <w:rFonts w:hint="default"/>
        <w:lang w:val="en-US" w:eastAsia="en-US" w:bidi="en-US"/>
      </w:rPr>
    </w:lvl>
    <w:lvl w:ilvl="3" w:tplc="ADF8966E">
      <w:numFmt w:val="bullet"/>
      <w:lvlText w:val="•"/>
      <w:lvlJc w:val="left"/>
      <w:pPr>
        <w:ind w:left="4769" w:hanging="341"/>
      </w:pPr>
      <w:rPr>
        <w:rFonts w:hint="default"/>
        <w:lang w:val="en-US" w:eastAsia="en-US" w:bidi="en-US"/>
      </w:rPr>
    </w:lvl>
    <w:lvl w:ilvl="4" w:tplc="5D261634">
      <w:numFmt w:val="bullet"/>
      <w:lvlText w:val="•"/>
      <w:lvlJc w:val="left"/>
      <w:pPr>
        <w:ind w:left="5646" w:hanging="341"/>
      </w:pPr>
      <w:rPr>
        <w:rFonts w:hint="default"/>
        <w:lang w:val="en-US" w:eastAsia="en-US" w:bidi="en-US"/>
      </w:rPr>
    </w:lvl>
    <w:lvl w:ilvl="5" w:tplc="4AF2B426">
      <w:numFmt w:val="bullet"/>
      <w:lvlText w:val="•"/>
      <w:lvlJc w:val="left"/>
      <w:pPr>
        <w:ind w:left="6522" w:hanging="341"/>
      </w:pPr>
      <w:rPr>
        <w:rFonts w:hint="default"/>
        <w:lang w:val="en-US" w:eastAsia="en-US" w:bidi="en-US"/>
      </w:rPr>
    </w:lvl>
    <w:lvl w:ilvl="6" w:tplc="C8DADD98">
      <w:numFmt w:val="bullet"/>
      <w:lvlText w:val="•"/>
      <w:lvlJc w:val="left"/>
      <w:pPr>
        <w:ind w:left="7399" w:hanging="341"/>
      </w:pPr>
      <w:rPr>
        <w:rFonts w:hint="default"/>
        <w:lang w:val="en-US" w:eastAsia="en-US" w:bidi="en-US"/>
      </w:rPr>
    </w:lvl>
    <w:lvl w:ilvl="7" w:tplc="CC72BC5E">
      <w:numFmt w:val="bullet"/>
      <w:lvlText w:val="•"/>
      <w:lvlJc w:val="left"/>
      <w:pPr>
        <w:ind w:left="8275" w:hanging="341"/>
      </w:pPr>
      <w:rPr>
        <w:rFonts w:hint="default"/>
        <w:lang w:val="en-US" w:eastAsia="en-US" w:bidi="en-US"/>
      </w:rPr>
    </w:lvl>
    <w:lvl w:ilvl="8" w:tplc="06E022AC">
      <w:numFmt w:val="bullet"/>
      <w:lvlText w:val="•"/>
      <w:lvlJc w:val="left"/>
      <w:pPr>
        <w:ind w:left="9152" w:hanging="341"/>
      </w:pPr>
      <w:rPr>
        <w:rFonts w:hint="default"/>
        <w:lang w:val="en-US" w:eastAsia="en-US" w:bidi="en-US"/>
      </w:rPr>
    </w:lvl>
  </w:abstractNum>
  <w:abstractNum w:abstractNumId="146" w15:restartNumberingAfterBreak="0">
    <w:nsid w:val="669127E8"/>
    <w:multiLevelType w:val="hybridMultilevel"/>
    <w:tmpl w:val="3934D42E"/>
    <w:lvl w:ilvl="0" w:tplc="A180457C">
      <w:start w:val="122"/>
      <w:numFmt w:val="decimal"/>
      <w:lvlText w:val="%1"/>
      <w:lvlJc w:val="left"/>
      <w:pPr>
        <w:ind w:left="1801" w:hanging="794"/>
        <w:jc w:val="right"/>
      </w:pPr>
      <w:rPr>
        <w:rFonts w:ascii="Raleway" w:eastAsia="Raleway" w:hAnsi="Raleway" w:cs="Raleway" w:hint="default"/>
        <w:color w:val="231F20"/>
        <w:spacing w:val="-1"/>
        <w:w w:val="99"/>
        <w:sz w:val="13"/>
        <w:szCs w:val="13"/>
        <w:lang w:val="en-US" w:eastAsia="en-US" w:bidi="en-US"/>
      </w:rPr>
    </w:lvl>
    <w:lvl w:ilvl="1" w:tplc="227096A8">
      <w:numFmt w:val="bullet"/>
      <w:lvlText w:val="•"/>
      <w:lvlJc w:val="left"/>
      <w:pPr>
        <w:ind w:left="2587" w:hanging="794"/>
      </w:pPr>
      <w:rPr>
        <w:rFonts w:hint="default"/>
        <w:lang w:val="en-US" w:eastAsia="en-US" w:bidi="en-US"/>
      </w:rPr>
    </w:lvl>
    <w:lvl w:ilvl="2" w:tplc="3C840586">
      <w:numFmt w:val="bullet"/>
      <w:lvlText w:val="•"/>
      <w:lvlJc w:val="left"/>
      <w:pPr>
        <w:ind w:left="3374" w:hanging="794"/>
      </w:pPr>
      <w:rPr>
        <w:rFonts w:hint="default"/>
        <w:lang w:val="en-US" w:eastAsia="en-US" w:bidi="en-US"/>
      </w:rPr>
    </w:lvl>
    <w:lvl w:ilvl="3" w:tplc="59C0A2BC">
      <w:numFmt w:val="bullet"/>
      <w:lvlText w:val="•"/>
      <w:lvlJc w:val="left"/>
      <w:pPr>
        <w:ind w:left="4161" w:hanging="794"/>
      </w:pPr>
      <w:rPr>
        <w:rFonts w:hint="default"/>
        <w:lang w:val="en-US" w:eastAsia="en-US" w:bidi="en-US"/>
      </w:rPr>
    </w:lvl>
    <w:lvl w:ilvl="4" w:tplc="A9CA2A22">
      <w:numFmt w:val="bullet"/>
      <w:lvlText w:val="•"/>
      <w:lvlJc w:val="left"/>
      <w:pPr>
        <w:ind w:left="4949" w:hanging="794"/>
      </w:pPr>
      <w:rPr>
        <w:rFonts w:hint="default"/>
        <w:lang w:val="en-US" w:eastAsia="en-US" w:bidi="en-US"/>
      </w:rPr>
    </w:lvl>
    <w:lvl w:ilvl="5" w:tplc="9F62FAB6">
      <w:numFmt w:val="bullet"/>
      <w:lvlText w:val="•"/>
      <w:lvlJc w:val="left"/>
      <w:pPr>
        <w:ind w:left="5736" w:hanging="794"/>
      </w:pPr>
      <w:rPr>
        <w:rFonts w:hint="default"/>
        <w:lang w:val="en-US" w:eastAsia="en-US" w:bidi="en-US"/>
      </w:rPr>
    </w:lvl>
    <w:lvl w:ilvl="6" w:tplc="D5B05A32">
      <w:numFmt w:val="bullet"/>
      <w:lvlText w:val="•"/>
      <w:lvlJc w:val="left"/>
      <w:pPr>
        <w:ind w:left="6523" w:hanging="794"/>
      </w:pPr>
      <w:rPr>
        <w:rFonts w:hint="default"/>
        <w:lang w:val="en-US" w:eastAsia="en-US" w:bidi="en-US"/>
      </w:rPr>
    </w:lvl>
    <w:lvl w:ilvl="7" w:tplc="9FBA2476">
      <w:numFmt w:val="bullet"/>
      <w:lvlText w:val="•"/>
      <w:lvlJc w:val="left"/>
      <w:pPr>
        <w:ind w:left="7311" w:hanging="794"/>
      </w:pPr>
      <w:rPr>
        <w:rFonts w:hint="default"/>
        <w:lang w:val="en-US" w:eastAsia="en-US" w:bidi="en-US"/>
      </w:rPr>
    </w:lvl>
    <w:lvl w:ilvl="8" w:tplc="2F9E26AC">
      <w:numFmt w:val="bullet"/>
      <w:lvlText w:val="•"/>
      <w:lvlJc w:val="left"/>
      <w:pPr>
        <w:ind w:left="8098" w:hanging="794"/>
      </w:pPr>
      <w:rPr>
        <w:rFonts w:hint="default"/>
        <w:lang w:val="en-US" w:eastAsia="en-US" w:bidi="en-US"/>
      </w:rPr>
    </w:lvl>
  </w:abstractNum>
  <w:abstractNum w:abstractNumId="147" w15:restartNumberingAfterBreak="0">
    <w:nsid w:val="66CC6CD7"/>
    <w:multiLevelType w:val="hybridMultilevel"/>
    <w:tmpl w:val="9C863EE8"/>
    <w:lvl w:ilvl="0" w:tplc="CFE068A0">
      <w:start w:val="52"/>
      <w:numFmt w:val="decimal"/>
      <w:lvlText w:val="%1"/>
      <w:lvlJc w:val="left"/>
      <w:pPr>
        <w:ind w:left="1801" w:hanging="794"/>
        <w:jc w:val="left"/>
      </w:pPr>
      <w:rPr>
        <w:rFonts w:ascii="Raleway" w:eastAsia="Raleway" w:hAnsi="Raleway" w:cs="Raleway" w:hint="default"/>
        <w:color w:val="231F20"/>
        <w:spacing w:val="-7"/>
        <w:w w:val="100"/>
        <w:sz w:val="13"/>
        <w:szCs w:val="13"/>
        <w:lang w:val="en-US" w:eastAsia="en-US" w:bidi="en-US"/>
      </w:rPr>
    </w:lvl>
    <w:lvl w:ilvl="1" w:tplc="325AEFC4">
      <w:numFmt w:val="bullet"/>
      <w:lvlText w:val="•"/>
      <w:lvlJc w:val="left"/>
      <w:pPr>
        <w:ind w:left="2141" w:hanging="341"/>
      </w:pPr>
      <w:rPr>
        <w:rFonts w:ascii="Raleway" w:eastAsia="Raleway" w:hAnsi="Raleway" w:cs="Raleway" w:hint="default"/>
        <w:color w:val="231F20"/>
        <w:spacing w:val="-6"/>
        <w:w w:val="88"/>
        <w:sz w:val="20"/>
        <w:szCs w:val="20"/>
        <w:lang w:val="en-US" w:eastAsia="en-US" w:bidi="en-US"/>
      </w:rPr>
    </w:lvl>
    <w:lvl w:ilvl="2" w:tplc="C0FAD86E">
      <w:numFmt w:val="bullet"/>
      <w:lvlText w:val="•"/>
      <w:lvlJc w:val="left"/>
      <w:pPr>
        <w:ind w:left="3113" w:hanging="341"/>
      </w:pPr>
      <w:rPr>
        <w:rFonts w:hint="default"/>
        <w:lang w:val="en-US" w:eastAsia="en-US" w:bidi="en-US"/>
      </w:rPr>
    </w:lvl>
    <w:lvl w:ilvl="3" w:tplc="8BBAE0F0">
      <w:numFmt w:val="bullet"/>
      <w:lvlText w:val="•"/>
      <w:lvlJc w:val="left"/>
      <w:pPr>
        <w:ind w:left="4087" w:hanging="341"/>
      </w:pPr>
      <w:rPr>
        <w:rFonts w:hint="default"/>
        <w:lang w:val="en-US" w:eastAsia="en-US" w:bidi="en-US"/>
      </w:rPr>
    </w:lvl>
    <w:lvl w:ilvl="4" w:tplc="1B9EEBA2">
      <w:numFmt w:val="bullet"/>
      <w:lvlText w:val="•"/>
      <w:lvlJc w:val="left"/>
      <w:pPr>
        <w:ind w:left="5061" w:hanging="341"/>
      </w:pPr>
      <w:rPr>
        <w:rFonts w:hint="default"/>
        <w:lang w:val="en-US" w:eastAsia="en-US" w:bidi="en-US"/>
      </w:rPr>
    </w:lvl>
    <w:lvl w:ilvl="5" w:tplc="3D6A9EF0">
      <w:numFmt w:val="bullet"/>
      <w:lvlText w:val="•"/>
      <w:lvlJc w:val="left"/>
      <w:pPr>
        <w:ind w:left="6035" w:hanging="341"/>
      </w:pPr>
      <w:rPr>
        <w:rFonts w:hint="default"/>
        <w:lang w:val="en-US" w:eastAsia="en-US" w:bidi="en-US"/>
      </w:rPr>
    </w:lvl>
    <w:lvl w:ilvl="6" w:tplc="FAA638C6">
      <w:numFmt w:val="bullet"/>
      <w:lvlText w:val="•"/>
      <w:lvlJc w:val="left"/>
      <w:pPr>
        <w:ind w:left="7009" w:hanging="341"/>
      </w:pPr>
      <w:rPr>
        <w:rFonts w:hint="default"/>
        <w:lang w:val="en-US" w:eastAsia="en-US" w:bidi="en-US"/>
      </w:rPr>
    </w:lvl>
    <w:lvl w:ilvl="7" w:tplc="87A8ABBC">
      <w:numFmt w:val="bullet"/>
      <w:lvlText w:val="•"/>
      <w:lvlJc w:val="left"/>
      <w:pPr>
        <w:ind w:left="7983" w:hanging="341"/>
      </w:pPr>
      <w:rPr>
        <w:rFonts w:hint="default"/>
        <w:lang w:val="en-US" w:eastAsia="en-US" w:bidi="en-US"/>
      </w:rPr>
    </w:lvl>
    <w:lvl w:ilvl="8" w:tplc="F3828DC0">
      <w:numFmt w:val="bullet"/>
      <w:lvlText w:val="•"/>
      <w:lvlJc w:val="left"/>
      <w:pPr>
        <w:ind w:left="8957" w:hanging="341"/>
      </w:pPr>
      <w:rPr>
        <w:rFonts w:hint="default"/>
        <w:lang w:val="en-US" w:eastAsia="en-US" w:bidi="en-US"/>
      </w:rPr>
    </w:lvl>
  </w:abstractNum>
  <w:abstractNum w:abstractNumId="148" w15:restartNumberingAfterBreak="0">
    <w:nsid w:val="66D0098A"/>
    <w:multiLevelType w:val="hybridMultilevel"/>
    <w:tmpl w:val="5BDC7A50"/>
    <w:lvl w:ilvl="0" w:tplc="EA6E3C58">
      <w:start w:val="122"/>
      <w:numFmt w:val="decimal"/>
      <w:lvlText w:val="%1"/>
      <w:lvlJc w:val="left"/>
      <w:pPr>
        <w:ind w:left="1801" w:hanging="794"/>
        <w:jc w:val="left"/>
      </w:pPr>
      <w:rPr>
        <w:rFonts w:ascii="Raleway" w:eastAsia="Raleway" w:hAnsi="Raleway" w:cs="Raleway" w:hint="default"/>
        <w:color w:val="231F20"/>
        <w:spacing w:val="-9"/>
        <w:w w:val="99"/>
        <w:sz w:val="13"/>
        <w:szCs w:val="13"/>
        <w:lang w:val="en-US" w:eastAsia="en-US" w:bidi="en-US"/>
      </w:rPr>
    </w:lvl>
    <w:lvl w:ilvl="1" w:tplc="8DCE93F0">
      <w:numFmt w:val="bullet"/>
      <w:lvlText w:val="•"/>
      <w:lvlJc w:val="left"/>
      <w:pPr>
        <w:ind w:left="2710" w:hanging="794"/>
      </w:pPr>
      <w:rPr>
        <w:rFonts w:hint="default"/>
        <w:lang w:val="en-US" w:eastAsia="en-US" w:bidi="en-US"/>
      </w:rPr>
    </w:lvl>
    <w:lvl w:ilvl="2" w:tplc="D96A4EA2">
      <w:numFmt w:val="bullet"/>
      <w:lvlText w:val="•"/>
      <w:lvlJc w:val="left"/>
      <w:pPr>
        <w:ind w:left="3621" w:hanging="794"/>
      </w:pPr>
      <w:rPr>
        <w:rFonts w:hint="default"/>
        <w:lang w:val="en-US" w:eastAsia="en-US" w:bidi="en-US"/>
      </w:rPr>
    </w:lvl>
    <w:lvl w:ilvl="3" w:tplc="2552172E">
      <w:numFmt w:val="bullet"/>
      <w:lvlText w:val="•"/>
      <w:lvlJc w:val="left"/>
      <w:pPr>
        <w:ind w:left="4531" w:hanging="794"/>
      </w:pPr>
      <w:rPr>
        <w:rFonts w:hint="default"/>
        <w:lang w:val="en-US" w:eastAsia="en-US" w:bidi="en-US"/>
      </w:rPr>
    </w:lvl>
    <w:lvl w:ilvl="4" w:tplc="A2867B64">
      <w:numFmt w:val="bullet"/>
      <w:lvlText w:val="•"/>
      <w:lvlJc w:val="left"/>
      <w:pPr>
        <w:ind w:left="5442" w:hanging="794"/>
      </w:pPr>
      <w:rPr>
        <w:rFonts w:hint="default"/>
        <w:lang w:val="en-US" w:eastAsia="en-US" w:bidi="en-US"/>
      </w:rPr>
    </w:lvl>
    <w:lvl w:ilvl="5" w:tplc="0B1C9A60">
      <w:numFmt w:val="bullet"/>
      <w:lvlText w:val="•"/>
      <w:lvlJc w:val="left"/>
      <w:pPr>
        <w:ind w:left="6352" w:hanging="794"/>
      </w:pPr>
      <w:rPr>
        <w:rFonts w:hint="default"/>
        <w:lang w:val="en-US" w:eastAsia="en-US" w:bidi="en-US"/>
      </w:rPr>
    </w:lvl>
    <w:lvl w:ilvl="6" w:tplc="C6AC69E6">
      <w:numFmt w:val="bullet"/>
      <w:lvlText w:val="•"/>
      <w:lvlJc w:val="left"/>
      <w:pPr>
        <w:ind w:left="7263" w:hanging="794"/>
      </w:pPr>
      <w:rPr>
        <w:rFonts w:hint="default"/>
        <w:lang w:val="en-US" w:eastAsia="en-US" w:bidi="en-US"/>
      </w:rPr>
    </w:lvl>
    <w:lvl w:ilvl="7" w:tplc="05F4BF30">
      <w:numFmt w:val="bullet"/>
      <w:lvlText w:val="•"/>
      <w:lvlJc w:val="left"/>
      <w:pPr>
        <w:ind w:left="8173" w:hanging="794"/>
      </w:pPr>
      <w:rPr>
        <w:rFonts w:hint="default"/>
        <w:lang w:val="en-US" w:eastAsia="en-US" w:bidi="en-US"/>
      </w:rPr>
    </w:lvl>
    <w:lvl w:ilvl="8" w:tplc="0B004750">
      <w:numFmt w:val="bullet"/>
      <w:lvlText w:val="•"/>
      <w:lvlJc w:val="left"/>
      <w:pPr>
        <w:ind w:left="9084" w:hanging="794"/>
      </w:pPr>
      <w:rPr>
        <w:rFonts w:hint="default"/>
        <w:lang w:val="en-US" w:eastAsia="en-US" w:bidi="en-US"/>
      </w:rPr>
    </w:lvl>
  </w:abstractNum>
  <w:abstractNum w:abstractNumId="149" w15:restartNumberingAfterBreak="0">
    <w:nsid w:val="67057CE8"/>
    <w:multiLevelType w:val="hybridMultilevel"/>
    <w:tmpl w:val="3116966A"/>
    <w:lvl w:ilvl="0" w:tplc="EA240678">
      <w:numFmt w:val="bullet"/>
      <w:lvlText w:val="•"/>
      <w:lvlJc w:val="left"/>
      <w:pPr>
        <w:ind w:left="2934" w:hanging="567"/>
      </w:pPr>
      <w:rPr>
        <w:rFonts w:ascii="Trebuchet MS" w:eastAsia="Trebuchet MS" w:hAnsi="Trebuchet MS" w:cs="Trebuchet MS" w:hint="default"/>
        <w:color w:val="231F20"/>
        <w:w w:val="67"/>
        <w:sz w:val="20"/>
        <w:szCs w:val="20"/>
        <w:lang w:val="en-US" w:eastAsia="en-US" w:bidi="en-US"/>
      </w:rPr>
    </w:lvl>
    <w:lvl w:ilvl="1" w:tplc="9B546AD8">
      <w:numFmt w:val="bullet"/>
      <w:lvlText w:val="•"/>
      <w:lvlJc w:val="left"/>
      <w:pPr>
        <w:ind w:left="3736" w:hanging="567"/>
      </w:pPr>
      <w:rPr>
        <w:rFonts w:hint="default"/>
        <w:lang w:val="en-US" w:eastAsia="en-US" w:bidi="en-US"/>
      </w:rPr>
    </w:lvl>
    <w:lvl w:ilvl="2" w:tplc="54943D5A">
      <w:numFmt w:val="bullet"/>
      <w:lvlText w:val="•"/>
      <w:lvlJc w:val="left"/>
      <w:pPr>
        <w:ind w:left="4533" w:hanging="567"/>
      </w:pPr>
      <w:rPr>
        <w:rFonts w:hint="default"/>
        <w:lang w:val="en-US" w:eastAsia="en-US" w:bidi="en-US"/>
      </w:rPr>
    </w:lvl>
    <w:lvl w:ilvl="3" w:tplc="F5E0236A">
      <w:numFmt w:val="bullet"/>
      <w:lvlText w:val="•"/>
      <w:lvlJc w:val="left"/>
      <w:pPr>
        <w:ind w:left="5329" w:hanging="567"/>
      </w:pPr>
      <w:rPr>
        <w:rFonts w:hint="default"/>
        <w:lang w:val="en-US" w:eastAsia="en-US" w:bidi="en-US"/>
      </w:rPr>
    </w:lvl>
    <w:lvl w:ilvl="4" w:tplc="0E809670">
      <w:numFmt w:val="bullet"/>
      <w:lvlText w:val="•"/>
      <w:lvlJc w:val="left"/>
      <w:pPr>
        <w:ind w:left="6126" w:hanging="567"/>
      </w:pPr>
      <w:rPr>
        <w:rFonts w:hint="default"/>
        <w:lang w:val="en-US" w:eastAsia="en-US" w:bidi="en-US"/>
      </w:rPr>
    </w:lvl>
    <w:lvl w:ilvl="5" w:tplc="C78835C0">
      <w:numFmt w:val="bullet"/>
      <w:lvlText w:val="•"/>
      <w:lvlJc w:val="left"/>
      <w:pPr>
        <w:ind w:left="6922" w:hanging="567"/>
      </w:pPr>
      <w:rPr>
        <w:rFonts w:hint="default"/>
        <w:lang w:val="en-US" w:eastAsia="en-US" w:bidi="en-US"/>
      </w:rPr>
    </w:lvl>
    <w:lvl w:ilvl="6" w:tplc="948AE476">
      <w:numFmt w:val="bullet"/>
      <w:lvlText w:val="•"/>
      <w:lvlJc w:val="left"/>
      <w:pPr>
        <w:ind w:left="7719" w:hanging="567"/>
      </w:pPr>
      <w:rPr>
        <w:rFonts w:hint="default"/>
        <w:lang w:val="en-US" w:eastAsia="en-US" w:bidi="en-US"/>
      </w:rPr>
    </w:lvl>
    <w:lvl w:ilvl="7" w:tplc="272C374A">
      <w:numFmt w:val="bullet"/>
      <w:lvlText w:val="•"/>
      <w:lvlJc w:val="left"/>
      <w:pPr>
        <w:ind w:left="8515" w:hanging="567"/>
      </w:pPr>
      <w:rPr>
        <w:rFonts w:hint="default"/>
        <w:lang w:val="en-US" w:eastAsia="en-US" w:bidi="en-US"/>
      </w:rPr>
    </w:lvl>
    <w:lvl w:ilvl="8" w:tplc="8730B128">
      <w:numFmt w:val="bullet"/>
      <w:lvlText w:val="•"/>
      <w:lvlJc w:val="left"/>
      <w:pPr>
        <w:ind w:left="9312" w:hanging="567"/>
      </w:pPr>
      <w:rPr>
        <w:rFonts w:hint="default"/>
        <w:lang w:val="en-US" w:eastAsia="en-US" w:bidi="en-US"/>
      </w:rPr>
    </w:lvl>
  </w:abstractNum>
  <w:abstractNum w:abstractNumId="150" w15:restartNumberingAfterBreak="0">
    <w:nsid w:val="677840E8"/>
    <w:multiLevelType w:val="hybridMultilevel"/>
    <w:tmpl w:val="80EE9A54"/>
    <w:lvl w:ilvl="0" w:tplc="F2181E1E">
      <w:start w:val="150"/>
      <w:numFmt w:val="decimal"/>
      <w:lvlText w:val="%1"/>
      <w:lvlJc w:val="left"/>
      <w:pPr>
        <w:ind w:left="1801" w:hanging="794"/>
        <w:jc w:val="right"/>
      </w:pPr>
      <w:rPr>
        <w:rFonts w:ascii="Raleway" w:eastAsia="Raleway" w:hAnsi="Raleway" w:cs="Raleway" w:hint="default"/>
        <w:color w:val="231F20"/>
        <w:spacing w:val="-2"/>
        <w:w w:val="100"/>
        <w:sz w:val="13"/>
        <w:szCs w:val="13"/>
        <w:lang w:val="en-US" w:eastAsia="en-US" w:bidi="en-US"/>
      </w:rPr>
    </w:lvl>
    <w:lvl w:ilvl="1" w:tplc="D49ACF7C">
      <w:numFmt w:val="bullet"/>
      <w:lvlText w:val="•"/>
      <w:lvlJc w:val="left"/>
      <w:pPr>
        <w:ind w:left="2551" w:hanging="794"/>
      </w:pPr>
      <w:rPr>
        <w:rFonts w:hint="default"/>
        <w:lang w:val="en-US" w:eastAsia="en-US" w:bidi="en-US"/>
      </w:rPr>
    </w:lvl>
    <w:lvl w:ilvl="2" w:tplc="6C6E3836">
      <w:numFmt w:val="bullet"/>
      <w:lvlText w:val="•"/>
      <w:lvlJc w:val="left"/>
      <w:pPr>
        <w:ind w:left="3302" w:hanging="794"/>
      </w:pPr>
      <w:rPr>
        <w:rFonts w:hint="default"/>
        <w:lang w:val="en-US" w:eastAsia="en-US" w:bidi="en-US"/>
      </w:rPr>
    </w:lvl>
    <w:lvl w:ilvl="3" w:tplc="F5E02960">
      <w:numFmt w:val="bullet"/>
      <w:lvlText w:val="•"/>
      <w:lvlJc w:val="left"/>
      <w:pPr>
        <w:ind w:left="4053" w:hanging="794"/>
      </w:pPr>
      <w:rPr>
        <w:rFonts w:hint="default"/>
        <w:lang w:val="en-US" w:eastAsia="en-US" w:bidi="en-US"/>
      </w:rPr>
    </w:lvl>
    <w:lvl w:ilvl="4" w:tplc="B54A7F14">
      <w:numFmt w:val="bullet"/>
      <w:lvlText w:val="•"/>
      <w:lvlJc w:val="left"/>
      <w:pPr>
        <w:ind w:left="4804" w:hanging="794"/>
      </w:pPr>
      <w:rPr>
        <w:rFonts w:hint="default"/>
        <w:lang w:val="en-US" w:eastAsia="en-US" w:bidi="en-US"/>
      </w:rPr>
    </w:lvl>
    <w:lvl w:ilvl="5" w:tplc="8066651E">
      <w:numFmt w:val="bullet"/>
      <w:lvlText w:val="•"/>
      <w:lvlJc w:val="left"/>
      <w:pPr>
        <w:ind w:left="5555" w:hanging="794"/>
      </w:pPr>
      <w:rPr>
        <w:rFonts w:hint="default"/>
        <w:lang w:val="en-US" w:eastAsia="en-US" w:bidi="en-US"/>
      </w:rPr>
    </w:lvl>
    <w:lvl w:ilvl="6" w:tplc="91A88656">
      <w:numFmt w:val="bullet"/>
      <w:lvlText w:val="•"/>
      <w:lvlJc w:val="left"/>
      <w:pPr>
        <w:ind w:left="6306" w:hanging="794"/>
      </w:pPr>
      <w:rPr>
        <w:rFonts w:hint="default"/>
        <w:lang w:val="en-US" w:eastAsia="en-US" w:bidi="en-US"/>
      </w:rPr>
    </w:lvl>
    <w:lvl w:ilvl="7" w:tplc="1B1C8762">
      <w:numFmt w:val="bullet"/>
      <w:lvlText w:val="•"/>
      <w:lvlJc w:val="left"/>
      <w:pPr>
        <w:ind w:left="7057" w:hanging="794"/>
      </w:pPr>
      <w:rPr>
        <w:rFonts w:hint="default"/>
        <w:lang w:val="en-US" w:eastAsia="en-US" w:bidi="en-US"/>
      </w:rPr>
    </w:lvl>
    <w:lvl w:ilvl="8" w:tplc="5F165D38">
      <w:numFmt w:val="bullet"/>
      <w:lvlText w:val="•"/>
      <w:lvlJc w:val="left"/>
      <w:pPr>
        <w:ind w:left="7808" w:hanging="794"/>
      </w:pPr>
      <w:rPr>
        <w:rFonts w:hint="default"/>
        <w:lang w:val="en-US" w:eastAsia="en-US" w:bidi="en-US"/>
      </w:rPr>
    </w:lvl>
  </w:abstractNum>
  <w:abstractNum w:abstractNumId="151" w15:restartNumberingAfterBreak="0">
    <w:nsid w:val="682401EB"/>
    <w:multiLevelType w:val="hybridMultilevel"/>
    <w:tmpl w:val="84867980"/>
    <w:lvl w:ilvl="0" w:tplc="BE984E1E">
      <w:start w:val="4"/>
      <w:numFmt w:val="decimal"/>
      <w:lvlText w:val="%1"/>
      <w:lvlJc w:val="left"/>
      <w:pPr>
        <w:ind w:left="1568" w:hanging="567"/>
        <w:jc w:val="left"/>
      </w:pPr>
      <w:rPr>
        <w:rFonts w:ascii="Raleway" w:eastAsia="Raleway" w:hAnsi="Raleway" w:cs="Raleway" w:hint="default"/>
        <w:b/>
        <w:bCs/>
        <w:color w:val="FFFFFF"/>
        <w:spacing w:val="-8"/>
        <w:w w:val="100"/>
        <w:sz w:val="24"/>
        <w:szCs w:val="24"/>
        <w:lang w:val="en-US" w:eastAsia="en-US" w:bidi="en-US"/>
      </w:rPr>
    </w:lvl>
    <w:lvl w:ilvl="1" w:tplc="4D4481CA">
      <w:numFmt w:val="bullet"/>
      <w:lvlText w:val="•"/>
      <w:lvlJc w:val="left"/>
      <w:pPr>
        <w:ind w:left="2494" w:hanging="567"/>
      </w:pPr>
      <w:rPr>
        <w:rFonts w:hint="default"/>
        <w:lang w:val="en-US" w:eastAsia="en-US" w:bidi="en-US"/>
      </w:rPr>
    </w:lvl>
    <w:lvl w:ilvl="2" w:tplc="850E026C">
      <w:numFmt w:val="bullet"/>
      <w:lvlText w:val="•"/>
      <w:lvlJc w:val="left"/>
      <w:pPr>
        <w:ind w:left="3429" w:hanging="567"/>
      </w:pPr>
      <w:rPr>
        <w:rFonts w:hint="default"/>
        <w:lang w:val="en-US" w:eastAsia="en-US" w:bidi="en-US"/>
      </w:rPr>
    </w:lvl>
    <w:lvl w:ilvl="3" w:tplc="6A1C2502">
      <w:numFmt w:val="bullet"/>
      <w:lvlText w:val="•"/>
      <w:lvlJc w:val="left"/>
      <w:pPr>
        <w:ind w:left="4363" w:hanging="567"/>
      </w:pPr>
      <w:rPr>
        <w:rFonts w:hint="default"/>
        <w:lang w:val="en-US" w:eastAsia="en-US" w:bidi="en-US"/>
      </w:rPr>
    </w:lvl>
    <w:lvl w:ilvl="4" w:tplc="3A0E77D4">
      <w:numFmt w:val="bullet"/>
      <w:lvlText w:val="•"/>
      <w:lvlJc w:val="left"/>
      <w:pPr>
        <w:ind w:left="5298" w:hanging="567"/>
      </w:pPr>
      <w:rPr>
        <w:rFonts w:hint="default"/>
        <w:lang w:val="en-US" w:eastAsia="en-US" w:bidi="en-US"/>
      </w:rPr>
    </w:lvl>
    <w:lvl w:ilvl="5" w:tplc="9B4EA5CA">
      <w:numFmt w:val="bullet"/>
      <w:lvlText w:val="•"/>
      <w:lvlJc w:val="left"/>
      <w:pPr>
        <w:ind w:left="6232" w:hanging="567"/>
      </w:pPr>
      <w:rPr>
        <w:rFonts w:hint="default"/>
        <w:lang w:val="en-US" w:eastAsia="en-US" w:bidi="en-US"/>
      </w:rPr>
    </w:lvl>
    <w:lvl w:ilvl="6" w:tplc="DA4AF072">
      <w:numFmt w:val="bullet"/>
      <w:lvlText w:val="•"/>
      <w:lvlJc w:val="left"/>
      <w:pPr>
        <w:ind w:left="7167" w:hanging="567"/>
      </w:pPr>
      <w:rPr>
        <w:rFonts w:hint="default"/>
        <w:lang w:val="en-US" w:eastAsia="en-US" w:bidi="en-US"/>
      </w:rPr>
    </w:lvl>
    <w:lvl w:ilvl="7" w:tplc="D74891B6">
      <w:numFmt w:val="bullet"/>
      <w:lvlText w:val="•"/>
      <w:lvlJc w:val="left"/>
      <w:pPr>
        <w:ind w:left="8101" w:hanging="567"/>
      </w:pPr>
      <w:rPr>
        <w:rFonts w:hint="default"/>
        <w:lang w:val="en-US" w:eastAsia="en-US" w:bidi="en-US"/>
      </w:rPr>
    </w:lvl>
    <w:lvl w:ilvl="8" w:tplc="6ED664AA">
      <w:numFmt w:val="bullet"/>
      <w:lvlText w:val="•"/>
      <w:lvlJc w:val="left"/>
      <w:pPr>
        <w:ind w:left="9036" w:hanging="567"/>
      </w:pPr>
      <w:rPr>
        <w:rFonts w:hint="default"/>
        <w:lang w:val="en-US" w:eastAsia="en-US" w:bidi="en-US"/>
      </w:rPr>
    </w:lvl>
  </w:abstractNum>
  <w:abstractNum w:abstractNumId="152" w15:restartNumberingAfterBreak="0">
    <w:nsid w:val="68292E75"/>
    <w:multiLevelType w:val="hybridMultilevel"/>
    <w:tmpl w:val="EEACEA44"/>
    <w:lvl w:ilvl="0" w:tplc="B052C4D6">
      <w:numFmt w:val="bullet"/>
      <w:lvlText w:val="•"/>
      <w:lvlJc w:val="left"/>
      <w:pPr>
        <w:ind w:left="453" w:hanging="341"/>
      </w:pPr>
      <w:rPr>
        <w:rFonts w:ascii="Raleway" w:eastAsia="Raleway" w:hAnsi="Raleway" w:cs="Raleway" w:hint="default"/>
        <w:color w:val="231F20"/>
        <w:spacing w:val="-8"/>
        <w:w w:val="88"/>
        <w:sz w:val="20"/>
        <w:szCs w:val="20"/>
        <w:lang w:val="en-US" w:eastAsia="en-US" w:bidi="en-US"/>
      </w:rPr>
    </w:lvl>
    <w:lvl w:ilvl="1" w:tplc="EA649E36">
      <w:numFmt w:val="bullet"/>
      <w:lvlText w:val="•"/>
      <w:lvlJc w:val="left"/>
      <w:pPr>
        <w:ind w:left="594" w:hanging="341"/>
      </w:pPr>
      <w:rPr>
        <w:rFonts w:hint="default"/>
        <w:lang w:val="en-US" w:eastAsia="en-US" w:bidi="en-US"/>
      </w:rPr>
    </w:lvl>
    <w:lvl w:ilvl="2" w:tplc="02501C9E">
      <w:numFmt w:val="bullet"/>
      <w:lvlText w:val="•"/>
      <w:lvlJc w:val="left"/>
      <w:pPr>
        <w:ind w:left="728" w:hanging="341"/>
      </w:pPr>
      <w:rPr>
        <w:rFonts w:hint="default"/>
        <w:lang w:val="en-US" w:eastAsia="en-US" w:bidi="en-US"/>
      </w:rPr>
    </w:lvl>
    <w:lvl w:ilvl="3" w:tplc="252C5676">
      <w:numFmt w:val="bullet"/>
      <w:lvlText w:val="•"/>
      <w:lvlJc w:val="left"/>
      <w:pPr>
        <w:ind w:left="863" w:hanging="341"/>
      </w:pPr>
      <w:rPr>
        <w:rFonts w:hint="default"/>
        <w:lang w:val="en-US" w:eastAsia="en-US" w:bidi="en-US"/>
      </w:rPr>
    </w:lvl>
    <w:lvl w:ilvl="4" w:tplc="80A0114E">
      <w:numFmt w:val="bullet"/>
      <w:lvlText w:val="•"/>
      <w:lvlJc w:val="left"/>
      <w:pPr>
        <w:ind w:left="997" w:hanging="341"/>
      </w:pPr>
      <w:rPr>
        <w:rFonts w:hint="default"/>
        <w:lang w:val="en-US" w:eastAsia="en-US" w:bidi="en-US"/>
      </w:rPr>
    </w:lvl>
    <w:lvl w:ilvl="5" w:tplc="60E4815E">
      <w:numFmt w:val="bullet"/>
      <w:lvlText w:val="•"/>
      <w:lvlJc w:val="left"/>
      <w:pPr>
        <w:ind w:left="1132" w:hanging="341"/>
      </w:pPr>
      <w:rPr>
        <w:rFonts w:hint="default"/>
        <w:lang w:val="en-US" w:eastAsia="en-US" w:bidi="en-US"/>
      </w:rPr>
    </w:lvl>
    <w:lvl w:ilvl="6" w:tplc="8ABA90B6">
      <w:numFmt w:val="bullet"/>
      <w:lvlText w:val="•"/>
      <w:lvlJc w:val="left"/>
      <w:pPr>
        <w:ind w:left="1266" w:hanging="341"/>
      </w:pPr>
      <w:rPr>
        <w:rFonts w:hint="default"/>
        <w:lang w:val="en-US" w:eastAsia="en-US" w:bidi="en-US"/>
      </w:rPr>
    </w:lvl>
    <w:lvl w:ilvl="7" w:tplc="0516861A">
      <w:numFmt w:val="bullet"/>
      <w:lvlText w:val="•"/>
      <w:lvlJc w:val="left"/>
      <w:pPr>
        <w:ind w:left="1400" w:hanging="341"/>
      </w:pPr>
      <w:rPr>
        <w:rFonts w:hint="default"/>
        <w:lang w:val="en-US" w:eastAsia="en-US" w:bidi="en-US"/>
      </w:rPr>
    </w:lvl>
    <w:lvl w:ilvl="8" w:tplc="1BAACAF8">
      <w:numFmt w:val="bullet"/>
      <w:lvlText w:val="•"/>
      <w:lvlJc w:val="left"/>
      <w:pPr>
        <w:ind w:left="1535" w:hanging="341"/>
      </w:pPr>
      <w:rPr>
        <w:rFonts w:hint="default"/>
        <w:lang w:val="en-US" w:eastAsia="en-US" w:bidi="en-US"/>
      </w:rPr>
    </w:lvl>
  </w:abstractNum>
  <w:abstractNum w:abstractNumId="153" w15:restartNumberingAfterBreak="0">
    <w:nsid w:val="685833B9"/>
    <w:multiLevelType w:val="hybridMultilevel"/>
    <w:tmpl w:val="12EAE466"/>
    <w:lvl w:ilvl="0" w:tplc="AFC49EFC">
      <w:start w:val="13"/>
      <w:numFmt w:val="decimal"/>
      <w:lvlText w:val="%1"/>
      <w:lvlJc w:val="left"/>
      <w:pPr>
        <w:ind w:left="933" w:hanging="794"/>
        <w:jc w:val="left"/>
      </w:pPr>
      <w:rPr>
        <w:rFonts w:ascii="Raleway" w:eastAsia="Raleway" w:hAnsi="Raleway" w:cs="Raleway" w:hint="default"/>
        <w:color w:val="231F20"/>
        <w:spacing w:val="-1"/>
        <w:w w:val="100"/>
        <w:sz w:val="13"/>
        <w:szCs w:val="13"/>
        <w:lang w:val="en-US" w:eastAsia="en-US" w:bidi="en-US"/>
      </w:rPr>
    </w:lvl>
    <w:lvl w:ilvl="1" w:tplc="B5947818">
      <w:numFmt w:val="bullet"/>
      <w:lvlText w:val="•"/>
      <w:lvlJc w:val="left"/>
      <w:pPr>
        <w:ind w:left="1849" w:hanging="794"/>
      </w:pPr>
      <w:rPr>
        <w:rFonts w:hint="default"/>
        <w:lang w:val="en-US" w:eastAsia="en-US" w:bidi="en-US"/>
      </w:rPr>
    </w:lvl>
    <w:lvl w:ilvl="2" w:tplc="BE821FD2">
      <w:numFmt w:val="bullet"/>
      <w:lvlText w:val="•"/>
      <w:lvlJc w:val="left"/>
      <w:pPr>
        <w:ind w:left="2759" w:hanging="794"/>
      </w:pPr>
      <w:rPr>
        <w:rFonts w:hint="default"/>
        <w:lang w:val="en-US" w:eastAsia="en-US" w:bidi="en-US"/>
      </w:rPr>
    </w:lvl>
    <w:lvl w:ilvl="3" w:tplc="4326923C">
      <w:numFmt w:val="bullet"/>
      <w:lvlText w:val="•"/>
      <w:lvlJc w:val="left"/>
      <w:pPr>
        <w:ind w:left="3669" w:hanging="794"/>
      </w:pPr>
      <w:rPr>
        <w:rFonts w:hint="default"/>
        <w:lang w:val="en-US" w:eastAsia="en-US" w:bidi="en-US"/>
      </w:rPr>
    </w:lvl>
    <w:lvl w:ilvl="4" w:tplc="A356A5DE">
      <w:numFmt w:val="bullet"/>
      <w:lvlText w:val="•"/>
      <w:lvlJc w:val="left"/>
      <w:pPr>
        <w:ind w:left="4579" w:hanging="794"/>
      </w:pPr>
      <w:rPr>
        <w:rFonts w:hint="default"/>
        <w:lang w:val="en-US" w:eastAsia="en-US" w:bidi="en-US"/>
      </w:rPr>
    </w:lvl>
    <w:lvl w:ilvl="5" w:tplc="CAEE8F5A">
      <w:numFmt w:val="bullet"/>
      <w:lvlText w:val="•"/>
      <w:lvlJc w:val="left"/>
      <w:pPr>
        <w:ind w:left="5489" w:hanging="794"/>
      </w:pPr>
      <w:rPr>
        <w:rFonts w:hint="default"/>
        <w:lang w:val="en-US" w:eastAsia="en-US" w:bidi="en-US"/>
      </w:rPr>
    </w:lvl>
    <w:lvl w:ilvl="6" w:tplc="DC38EC84">
      <w:numFmt w:val="bullet"/>
      <w:lvlText w:val="•"/>
      <w:lvlJc w:val="left"/>
      <w:pPr>
        <w:ind w:left="6398" w:hanging="794"/>
      </w:pPr>
      <w:rPr>
        <w:rFonts w:hint="default"/>
        <w:lang w:val="en-US" w:eastAsia="en-US" w:bidi="en-US"/>
      </w:rPr>
    </w:lvl>
    <w:lvl w:ilvl="7" w:tplc="2618C750">
      <w:numFmt w:val="bullet"/>
      <w:lvlText w:val="•"/>
      <w:lvlJc w:val="left"/>
      <w:pPr>
        <w:ind w:left="7308" w:hanging="794"/>
      </w:pPr>
      <w:rPr>
        <w:rFonts w:hint="default"/>
        <w:lang w:val="en-US" w:eastAsia="en-US" w:bidi="en-US"/>
      </w:rPr>
    </w:lvl>
    <w:lvl w:ilvl="8" w:tplc="C0C002EC">
      <w:numFmt w:val="bullet"/>
      <w:lvlText w:val="•"/>
      <w:lvlJc w:val="left"/>
      <w:pPr>
        <w:ind w:left="8218" w:hanging="794"/>
      </w:pPr>
      <w:rPr>
        <w:rFonts w:hint="default"/>
        <w:lang w:val="en-US" w:eastAsia="en-US" w:bidi="en-US"/>
      </w:rPr>
    </w:lvl>
  </w:abstractNum>
  <w:abstractNum w:abstractNumId="154" w15:restartNumberingAfterBreak="0">
    <w:nsid w:val="68740334"/>
    <w:multiLevelType w:val="hybridMultilevel"/>
    <w:tmpl w:val="04E2D04A"/>
    <w:lvl w:ilvl="0" w:tplc="36582558">
      <w:start w:val="84"/>
      <w:numFmt w:val="decimal"/>
      <w:lvlText w:val="%1"/>
      <w:lvlJc w:val="left"/>
      <w:pPr>
        <w:ind w:left="1801" w:hanging="794"/>
        <w:jc w:val="right"/>
      </w:pPr>
      <w:rPr>
        <w:rFonts w:ascii="Raleway" w:eastAsia="Raleway" w:hAnsi="Raleway" w:cs="Raleway" w:hint="default"/>
        <w:color w:val="231F20"/>
        <w:spacing w:val="-2"/>
        <w:w w:val="100"/>
        <w:sz w:val="13"/>
        <w:szCs w:val="13"/>
        <w:lang w:val="en-US" w:eastAsia="en-US" w:bidi="en-US"/>
      </w:rPr>
    </w:lvl>
    <w:lvl w:ilvl="1" w:tplc="FD6E29D0">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2" w:tplc="947E437C">
      <w:numFmt w:val="bullet"/>
      <w:lvlText w:val="•"/>
      <w:lvlJc w:val="left"/>
      <w:pPr>
        <w:ind w:left="2979" w:hanging="341"/>
      </w:pPr>
      <w:rPr>
        <w:rFonts w:hint="default"/>
        <w:lang w:val="en-US" w:eastAsia="en-US" w:bidi="en-US"/>
      </w:rPr>
    </w:lvl>
    <w:lvl w:ilvl="3" w:tplc="687A6D3A">
      <w:numFmt w:val="bullet"/>
      <w:lvlText w:val="•"/>
      <w:lvlJc w:val="left"/>
      <w:pPr>
        <w:ind w:left="3818" w:hanging="341"/>
      </w:pPr>
      <w:rPr>
        <w:rFonts w:hint="default"/>
        <w:lang w:val="en-US" w:eastAsia="en-US" w:bidi="en-US"/>
      </w:rPr>
    </w:lvl>
    <w:lvl w:ilvl="4" w:tplc="D3061812">
      <w:numFmt w:val="bullet"/>
      <w:lvlText w:val="•"/>
      <w:lvlJc w:val="left"/>
      <w:pPr>
        <w:ind w:left="4657" w:hanging="341"/>
      </w:pPr>
      <w:rPr>
        <w:rFonts w:hint="default"/>
        <w:lang w:val="en-US" w:eastAsia="en-US" w:bidi="en-US"/>
      </w:rPr>
    </w:lvl>
    <w:lvl w:ilvl="5" w:tplc="EF460C26">
      <w:numFmt w:val="bullet"/>
      <w:lvlText w:val="•"/>
      <w:lvlJc w:val="left"/>
      <w:pPr>
        <w:ind w:left="5496" w:hanging="341"/>
      </w:pPr>
      <w:rPr>
        <w:rFonts w:hint="default"/>
        <w:lang w:val="en-US" w:eastAsia="en-US" w:bidi="en-US"/>
      </w:rPr>
    </w:lvl>
    <w:lvl w:ilvl="6" w:tplc="7AB25F86">
      <w:numFmt w:val="bullet"/>
      <w:lvlText w:val="•"/>
      <w:lvlJc w:val="left"/>
      <w:pPr>
        <w:ind w:left="6335" w:hanging="341"/>
      </w:pPr>
      <w:rPr>
        <w:rFonts w:hint="default"/>
        <w:lang w:val="en-US" w:eastAsia="en-US" w:bidi="en-US"/>
      </w:rPr>
    </w:lvl>
    <w:lvl w:ilvl="7" w:tplc="2D5A42B0">
      <w:numFmt w:val="bullet"/>
      <w:lvlText w:val="•"/>
      <w:lvlJc w:val="left"/>
      <w:pPr>
        <w:ind w:left="7174" w:hanging="341"/>
      </w:pPr>
      <w:rPr>
        <w:rFonts w:hint="default"/>
        <w:lang w:val="en-US" w:eastAsia="en-US" w:bidi="en-US"/>
      </w:rPr>
    </w:lvl>
    <w:lvl w:ilvl="8" w:tplc="DED8A3D0">
      <w:numFmt w:val="bullet"/>
      <w:lvlText w:val="•"/>
      <w:lvlJc w:val="left"/>
      <w:pPr>
        <w:ind w:left="8013" w:hanging="341"/>
      </w:pPr>
      <w:rPr>
        <w:rFonts w:hint="default"/>
        <w:lang w:val="en-US" w:eastAsia="en-US" w:bidi="en-US"/>
      </w:rPr>
    </w:lvl>
  </w:abstractNum>
  <w:abstractNum w:abstractNumId="155" w15:restartNumberingAfterBreak="0">
    <w:nsid w:val="68F429A2"/>
    <w:multiLevelType w:val="hybridMultilevel"/>
    <w:tmpl w:val="F03CC41E"/>
    <w:lvl w:ilvl="0" w:tplc="2CC4BFB8">
      <w:start w:val="80"/>
      <w:numFmt w:val="decimal"/>
      <w:lvlText w:val="%1"/>
      <w:lvlJc w:val="left"/>
      <w:pPr>
        <w:ind w:left="1801" w:hanging="794"/>
        <w:jc w:val="left"/>
      </w:pPr>
      <w:rPr>
        <w:rFonts w:ascii="Raleway" w:eastAsia="Raleway" w:hAnsi="Raleway" w:cs="Raleway" w:hint="default"/>
        <w:color w:val="231F20"/>
        <w:spacing w:val="-9"/>
        <w:w w:val="99"/>
        <w:sz w:val="13"/>
        <w:szCs w:val="13"/>
        <w:lang w:val="en-US" w:eastAsia="en-US" w:bidi="en-US"/>
      </w:rPr>
    </w:lvl>
    <w:lvl w:ilvl="1" w:tplc="8E8C0A98">
      <w:numFmt w:val="bullet"/>
      <w:lvlText w:val="•"/>
      <w:lvlJc w:val="left"/>
      <w:pPr>
        <w:ind w:left="2710" w:hanging="794"/>
      </w:pPr>
      <w:rPr>
        <w:rFonts w:hint="default"/>
        <w:lang w:val="en-US" w:eastAsia="en-US" w:bidi="en-US"/>
      </w:rPr>
    </w:lvl>
    <w:lvl w:ilvl="2" w:tplc="A380E4A8">
      <w:numFmt w:val="bullet"/>
      <w:lvlText w:val="•"/>
      <w:lvlJc w:val="left"/>
      <w:pPr>
        <w:ind w:left="3621" w:hanging="794"/>
      </w:pPr>
      <w:rPr>
        <w:rFonts w:hint="default"/>
        <w:lang w:val="en-US" w:eastAsia="en-US" w:bidi="en-US"/>
      </w:rPr>
    </w:lvl>
    <w:lvl w:ilvl="3" w:tplc="8898BB7A">
      <w:numFmt w:val="bullet"/>
      <w:lvlText w:val="•"/>
      <w:lvlJc w:val="left"/>
      <w:pPr>
        <w:ind w:left="4531" w:hanging="794"/>
      </w:pPr>
      <w:rPr>
        <w:rFonts w:hint="default"/>
        <w:lang w:val="en-US" w:eastAsia="en-US" w:bidi="en-US"/>
      </w:rPr>
    </w:lvl>
    <w:lvl w:ilvl="4" w:tplc="B7F84752">
      <w:numFmt w:val="bullet"/>
      <w:lvlText w:val="•"/>
      <w:lvlJc w:val="left"/>
      <w:pPr>
        <w:ind w:left="5442" w:hanging="794"/>
      </w:pPr>
      <w:rPr>
        <w:rFonts w:hint="default"/>
        <w:lang w:val="en-US" w:eastAsia="en-US" w:bidi="en-US"/>
      </w:rPr>
    </w:lvl>
    <w:lvl w:ilvl="5" w:tplc="9FE6DDFE">
      <w:numFmt w:val="bullet"/>
      <w:lvlText w:val="•"/>
      <w:lvlJc w:val="left"/>
      <w:pPr>
        <w:ind w:left="6352" w:hanging="794"/>
      </w:pPr>
      <w:rPr>
        <w:rFonts w:hint="default"/>
        <w:lang w:val="en-US" w:eastAsia="en-US" w:bidi="en-US"/>
      </w:rPr>
    </w:lvl>
    <w:lvl w:ilvl="6" w:tplc="13922AFC">
      <w:numFmt w:val="bullet"/>
      <w:lvlText w:val="•"/>
      <w:lvlJc w:val="left"/>
      <w:pPr>
        <w:ind w:left="7263" w:hanging="794"/>
      </w:pPr>
      <w:rPr>
        <w:rFonts w:hint="default"/>
        <w:lang w:val="en-US" w:eastAsia="en-US" w:bidi="en-US"/>
      </w:rPr>
    </w:lvl>
    <w:lvl w:ilvl="7" w:tplc="81A29944">
      <w:numFmt w:val="bullet"/>
      <w:lvlText w:val="•"/>
      <w:lvlJc w:val="left"/>
      <w:pPr>
        <w:ind w:left="8173" w:hanging="794"/>
      </w:pPr>
      <w:rPr>
        <w:rFonts w:hint="default"/>
        <w:lang w:val="en-US" w:eastAsia="en-US" w:bidi="en-US"/>
      </w:rPr>
    </w:lvl>
    <w:lvl w:ilvl="8" w:tplc="632E3DA4">
      <w:numFmt w:val="bullet"/>
      <w:lvlText w:val="•"/>
      <w:lvlJc w:val="left"/>
      <w:pPr>
        <w:ind w:left="9084" w:hanging="794"/>
      </w:pPr>
      <w:rPr>
        <w:rFonts w:hint="default"/>
        <w:lang w:val="en-US" w:eastAsia="en-US" w:bidi="en-US"/>
      </w:rPr>
    </w:lvl>
  </w:abstractNum>
  <w:abstractNum w:abstractNumId="156" w15:restartNumberingAfterBreak="0">
    <w:nsid w:val="692E50C0"/>
    <w:multiLevelType w:val="hybridMultilevel"/>
    <w:tmpl w:val="410AA1F4"/>
    <w:lvl w:ilvl="0" w:tplc="79366E40">
      <w:start w:val="6"/>
      <w:numFmt w:val="decimal"/>
      <w:lvlText w:val="%1."/>
      <w:lvlJc w:val="left"/>
      <w:pPr>
        <w:ind w:left="270" w:hanging="603"/>
        <w:jc w:val="left"/>
      </w:pPr>
      <w:rPr>
        <w:rFonts w:ascii="Raleway ExtraBold" w:eastAsia="Raleway ExtraBold" w:hAnsi="Raleway ExtraBold" w:cs="Raleway ExtraBold" w:hint="default"/>
        <w:b/>
        <w:bCs/>
        <w:color w:val="EA5B50"/>
        <w:spacing w:val="-16"/>
        <w:w w:val="100"/>
        <w:sz w:val="56"/>
        <w:szCs w:val="56"/>
        <w:lang w:val="en-US" w:eastAsia="en-US" w:bidi="en-US"/>
      </w:rPr>
    </w:lvl>
    <w:lvl w:ilvl="1" w:tplc="26D2ACAA">
      <w:numFmt w:val="bullet"/>
      <w:lvlText w:val="•"/>
      <w:lvlJc w:val="left"/>
      <w:pPr>
        <w:ind w:left="2141" w:hanging="341"/>
      </w:pPr>
      <w:rPr>
        <w:rFonts w:ascii="Raleway" w:eastAsia="Raleway" w:hAnsi="Raleway" w:cs="Raleway" w:hint="default"/>
        <w:color w:val="231F20"/>
        <w:spacing w:val="-7"/>
        <w:w w:val="100"/>
        <w:sz w:val="20"/>
        <w:szCs w:val="20"/>
        <w:lang w:val="en-US" w:eastAsia="en-US" w:bidi="en-US"/>
      </w:rPr>
    </w:lvl>
    <w:lvl w:ilvl="2" w:tplc="8E049D88">
      <w:numFmt w:val="bullet"/>
      <w:lvlText w:val="-"/>
      <w:lvlJc w:val="left"/>
      <w:pPr>
        <w:ind w:left="2481" w:hanging="360"/>
      </w:pPr>
      <w:rPr>
        <w:rFonts w:ascii="Raleway" w:eastAsia="Raleway" w:hAnsi="Raleway" w:cs="Raleway" w:hint="default"/>
        <w:color w:val="231F20"/>
        <w:spacing w:val="-11"/>
        <w:w w:val="100"/>
        <w:sz w:val="20"/>
        <w:szCs w:val="20"/>
        <w:lang w:val="en-US" w:eastAsia="en-US" w:bidi="en-US"/>
      </w:rPr>
    </w:lvl>
    <w:lvl w:ilvl="3" w:tplc="DFAC6DB4">
      <w:numFmt w:val="bullet"/>
      <w:lvlText w:val="•"/>
      <w:lvlJc w:val="left"/>
      <w:pPr>
        <w:ind w:left="3533" w:hanging="360"/>
      </w:pPr>
      <w:rPr>
        <w:rFonts w:hint="default"/>
        <w:lang w:val="en-US" w:eastAsia="en-US" w:bidi="en-US"/>
      </w:rPr>
    </w:lvl>
    <w:lvl w:ilvl="4" w:tplc="1C008EA4">
      <w:numFmt w:val="bullet"/>
      <w:lvlText w:val="•"/>
      <w:lvlJc w:val="left"/>
      <w:pPr>
        <w:ind w:left="4586" w:hanging="360"/>
      </w:pPr>
      <w:rPr>
        <w:rFonts w:hint="default"/>
        <w:lang w:val="en-US" w:eastAsia="en-US" w:bidi="en-US"/>
      </w:rPr>
    </w:lvl>
    <w:lvl w:ilvl="5" w:tplc="95242680">
      <w:numFmt w:val="bullet"/>
      <w:lvlText w:val="•"/>
      <w:lvlJc w:val="left"/>
      <w:pPr>
        <w:ind w:left="5639" w:hanging="360"/>
      </w:pPr>
      <w:rPr>
        <w:rFonts w:hint="default"/>
        <w:lang w:val="en-US" w:eastAsia="en-US" w:bidi="en-US"/>
      </w:rPr>
    </w:lvl>
    <w:lvl w:ilvl="6" w:tplc="44A4B81E">
      <w:numFmt w:val="bullet"/>
      <w:lvlText w:val="•"/>
      <w:lvlJc w:val="left"/>
      <w:pPr>
        <w:ind w:left="6692" w:hanging="360"/>
      </w:pPr>
      <w:rPr>
        <w:rFonts w:hint="default"/>
        <w:lang w:val="en-US" w:eastAsia="en-US" w:bidi="en-US"/>
      </w:rPr>
    </w:lvl>
    <w:lvl w:ilvl="7" w:tplc="C49E7A98">
      <w:numFmt w:val="bullet"/>
      <w:lvlText w:val="•"/>
      <w:lvlJc w:val="left"/>
      <w:pPr>
        <w:ind w:left="7745" w:hanging="360"/>
      </w:pPr>
      <w:rPr>
        <w:rFonts w:hint="default"/>
        <w:lang w:val="en-US" w:eastAsia="en-US" w:bidi="en-US"/>
      </w:rPr>
    </w:lvl>
    <w:lvl w:ilvl="8" w:tplc="77709E56">
      <w:numFmt w:val="bullet"/>
      <w:lvlText w:val="•"/>
      <w:lvlJc w:val="left"/>
      <w:pPr>
        <w:ind w:left="8799" w:hanging="360"/>
      </w:pPr>
      <w:rPr>
        <w:rFonts w:hint="default"/>
        <w:lang w:val="en-US" w:eastAsia="en-US" w:bidi="en-US"/>
      </w:rPr>
    </w:lvl>
  </w:abstractNum>
  <w:abstractNum w:abstractNumId="157" w15:restartNumberingAfterBreak="0">
    <w:nsid w:val="6B6E350E"/>
    <w:multiLevelType w:val="hybridMultilevel"/>
    <w:tmpl w:val="3B4EA812"/>
    <w:lvl w:ilvl="0" w:tplc="28AE2798">
      <w:start w:val="32"/>
      <w:numFmt w:val="decimal"/>
      <w:lvlText w:val="%1"/>
      <w:lvlJc w:val="left"/>
      <w:pPr>
        <w:ind w:left="1545" w:hanging="567"/>
        <w:jc w:val="left"/>
      </w:pPr>
      <w:rPr>
        <w:rFonts w:ascii="Raleway" w:eastAsia="Raleway" w:hAnsi="Raleway" w:cs="Raleway" w:hint="default"/>
        <w:b/>
        <w:bCs/>
        <w:color w:val="FFFFFF"/>
        <w:spacing w:val="-6"/>
        <w:w w:val="99"/>
        <w:sz w:val="24"/>
        <w:szCs w:val="24"/>
        <w:lang w:val="en-US" w:eastAsia="en-US" w:bidi="en-US"/>
      </w:rPr>
    </w:lvl>
    <w:lvl w:ilvl="1" w:tplc="6A1ACCC8">
      <w:numFmt w:val="bullet"/>
      <w:lvlText w:val="•"/>
      <w:lvlJc w:val="left"/>
      <w:pPr>
        <w:ind w:left="2476" w:hanging="567"/>
      </w:pPr>
      <w:rPr>
        <w:rFonts w:hint="default"/>
        <w:lang w:val="en-US" w:eastAsia="en-US" w:bidi="en-US"/>
      </w:rPr>
    </w:lvl>
    <w:lvl w:ilvl="2" w:tplc="A47CC6D6">
      <w:numFmt w:val="bullet"/>
      <w:lvlText w:val="•"/>
      <w:lvlJc w:val="left"/>
      <w:pPr>
        <w:ind w:left="3413" w:hanging="567"/>
      </w:pPr>
      <w:rPr>
        <w:rFonts w:hint="default"/>
        <w:lang w:val="en-US" w:eastAsia="en-US" w:bidi="en-US"/>
      </w:rPr>
    </w:lvl>
    <w:lvl w:ilvl="3" w:tplc="A6EC5788">
      <w:numFmt w:val="bullet"/>
      <w:lvlText w:val="•"/>
      <w:lvlJc w:val="left"/>
      <w:pPr>
        <w:ind w:left="4349" w:hanging="567"/>
      </w:pPr>
      <w:rPr>
        <w:rFonts w:hint="default"/>
        <w:lang w:val="en-US" w:eastAsia="en-US" w:bidi="en-US"/>
      </w:rPr>
    </w:lvl>
    <w:lvl w:ilvl="4" w:tplc="783E42CA">
      <w:numFmt w:val="bullet"/>
      <w:lvlText w:val="•"/>
      <w:lvlJc w:val="left"/>
      <w:pPr>
        <w:ind w:left="5286" w:hanging="567"/>
      </w:pPr>
      <w:rPr>
        <w:rFonts w:hint="default"/>
        <w:lang w:val="en-US" w:eastAsia="en-US" w:bidi="en-US"/>
      </w:rPr>
    </w:lvl>
    <w:lvl w:ilvl="5" w:tplc="D0029970">
      <w:numFmt w:val="bullet"/>
      <w:lvlText w:val="•"/>
      <w:lvlJc w:val="left"/>
      <w:pPr>
        <w:ind w:left="6222" w:hanging="567"/>
      </w:pPr>
      <w:rPr>
        <w:rFonts w:hint="default"/>
        <w:lang w:val="en-US" w:eastAsia="en-US" w:bidi="en-US"/>
      </w:rPr>
    </w:lvl>
    <w:lvl w:ilvl="6" w:tplc="DEBC60D2">
      <w:numFmt w:val="bullet"/>
      <w:lvlText w:val="•"/>
      <w:lvlJc w:val="left"/>
      <w:pPr>
        <w:ind w:left="7159" w:hanging="567"/>
      </w:pPr>
      <w:rPr>
        <w:rFonts w:hint="default"/>
        <w:lang w:val="en-US" w:eastAsia="en-US" w:bidi="en-US"/>
      </w:rPr>
    </w:lvl>
    <w:lvl w:ilvl="7" w:tplc="AD202604">
      <w:numFmt w:val="bullet"/>
      <w:lvlText w:val="•"/>
      <w:lvlJc w:val="left"/>
      <w:pPr>
        <w:ind w:left="8095" w:hanging="567"/>
      </w:pPr>
      <w:rPr>
        <w:rFonts w:hint="default"/>
        <w:lang w:val="en-US" w:eastAsia="en-US" w:bidi="en-US"/>
      </w:rPr>
    </w:lvl>
    <w:lvl w:ilvl="8" w:tplc="DF08D36A">
      <w:numFmt w:val="bullet"/>
      <w:lvlText w:val="•"/>
      <w:lvlJc w:val="left"/>
      <w:pPr>
        <w:ind w:left="9032" w:hanging="567"/>
      </w:pPr>
      <w:rPr>
        <w:rFonts w:hint="default"/>
        <w:lang w:val="en-US" w:eastAsia="en-US" w:bidi="en-US"/>
      </w:rPr>
    </w:lvl>
  </w:abstractNum>
  <w:abstractNum w:abstractNumId="158" w15:restartNumberingAfterBreak="0">
    <w:nsid w:val="6BC10AB2"/>
    <w:multiLevelType w:val="hybridMultilevel"/>
    <w:tmpl w:val="15A24D2E"/>
    <w:lvl w:ilvl="0" w:tplc="5DEECA74">
      <w:start w:val="55"/>
      <w:numFmt w:val="decimal"/>
      <w:lvlText w:val="%1"/>
      <w:lvlJc w:val="left"/>
      <w:pPr>
        <w:ind w:left="1801" w:hanging="794"/>
        <w:jc w:val="left"/>
      </w:pPr>
      <w:rPr>
        <w:rFonts w:ascii="Raleway" w:eastAsia="Raleway" w:hAnsi="Raleway" w:cs="Raleway" w:hint="default"/>
        <w:color w:val="231F20"/>
        <w:spacing w:val="-8"/>
        <w:w w:val="99"/>
        <w:sz w:val="13"/>
        <w:szCs w:val="13"/>
        <w:lang w:val="en-US" w:eastAsia="en-US" w:bidi="en-US"/>
      </w:rPr>
    </w:lvl>
    <w:lvl w:ilvl="1" w:tplc="7564156A">
      <w:numFmt w:val="bullet"/>
      <w:lvlText w:val="•"/>
      <w:lvlJc w:val="left"/>
      <w:pPr>
        <w:ind w:left="2710" w:hanging="794"/>
      </w:pPr>
      <w:rPr>
        <w:rFonts w:hint="default"/>
        <w:lang w:val="en-US" w:eastAsia="en-US" w:bidi="en-US"/>
      </w:rPr>
    </w:lvl>
    <w:lvl w:ilvl="2" w:tplc="E35E5256">
      <w:numFmt w:val="bullet"/>
      <w:lvlText w:val="•"/>
      <w:lvlJc w:val="left"/>
      <w:pPr>
        <w:ind w:left="3621" w:hanging="794"/>
      </w:pPr>
      <w:rPr>
        <w:rFonts w:hint="default"/>
        <w:lang w:val="en-US" w:eastAsia="en-US" w:bidi="en-US"/>
      </w:rPr>
    </w:lvl>
    <w:lvl w:ilvl="3" w:tplc="18FA7282">
      <w:numFmt w:val="bullet"/>
      <w:lvlText w:val="•"/>
      <w:lvlJc w:val="left"/>
      <w:pPr>
        <w:ind w:left="4531" w:hanging="794"/>
      </w:pPr>
      <w:rPr>
        <w:rFonts w:hint="default"/>
        <w:lang w:val="en-US" w:eastAsia="en-US" w:bidi="en-US"/>
      </w:rPr>
    </w:lvl>
    <w:lvl w:ilvl="4" w:tplc="5C7C71EE">
      <w:numFmt w:val="bullet"/>
      <w:lvlText w:val="•"/>
      <w:lvlJc w:val="left"/>
      <w:pPr>
        <w:ind w:left="5442" w:hanging="794"/>
      </w:pPr>
      <w:rPr>
        <w:rFonts w:hint="default"/>
        <w:lang w:val="en-US" w:eastAsia="en-US" w:bidi="en-US"/>
      </w:rPr>
    </w:lvl>
    <w:lvl w:ilvl="5" w:tplc="264CA6D4">
      <w:numFmt w:val="bullet"/>
      <w:lvlText w:val="•"/>
      <w:lvlJc w:val="left"/>
      <w:pPr>
        <w:ind w:left="6352" w:hanging="794"/>
      </w:pPr>
      <w:rPr>
        <w:rFonts w:hint="default"/>
        <w:lang w:val="en-US" w:eastAsia="en-US" w:bidi="en-US"/>
      </w:rPr>
    </w:lvl>
    <w:lvl w:ilvl="6" w:tplc="96FA84B0">
      <w:numFmt w:val="bullet"/>
      <w:lvlText w:val="•"/>
      <w:lvlJc w:val="left"/>
      <w:pPr>
        <w:ind w:left="7263" w:hanging="794"/>
      </w:pPr>
      <w:rPr>
        <w:rFonts w:hint="default"/>
        <w:lang w:val="en-US" w:eastAsia="en-US" w:bidi="en-US"/>
      </w:rPr>
    </w:lvl>
    <w:lvl w:ilvl="7" w:tplc="DC7059E0">
      <w:numFmt w:val="bullet"/>
      <w:lvlText w:val="•"/>
      <w:lvlJc w:val="left"/>
      <w:pPr>
        <w:ind w:left="8173" w:hanging="794"/>
      </w:pPr>
      <w:rPr>
        <w:rFonts w:hint="default"/>
        <w:lang w:val="en-US" w:eastAsia="en-US" w:bidi="en-US"/>
      </w:rPr>
    </w:lvl>
    <w:lvl w:ilvl="8" w:tplc="4600E75E">
      <w:numFmt w:val="bullet"/>
      <w:lvlText w:val="•"/>
      <w:lvlJc w:val="left"/>
      <w:pPr>
        <w:ind w:left="9084" w:hanging="794"/>
      </w:pPr>
      <w:rPr>
        <w:rFonts w:hint="default"/>
        <w:lang w:val="en-US" w:eastAsia="en-US" w:bidi="en-US"/>
      </w:rPr>
    </w:lvl>
  </w:abstractNum>
  <w:abstractNum w:abstractNumId="159" w15:restartNumberingAfterBreak="0">
    <w:nsid w:val="6C14142B"/>
    <w:multiLevelType w:val="hybridMultilevel"/>
    <w:tmpl w:val="F96C719C"/>
    <w:lvl w:ilvl="0" w:tplc="D0EEBF2A">
      <w:start w:val="233"/>
      <w:numFmt w:val="decimal"/>
      <w:lvlText w:val="%1"/>
      <w:lvlJc w:val="left"/>
      <w:pPr>
        <w:ind w:left="1801" w:hanging="794"/>
        <w:jc w:val="left"/>
      </w:pPr>
      <w:rPr>
        <w:rFonts w:ascii="Raleway" w:eastAsia="Raleway" w:hAnsi="Raleway" w:cs="Raleway" w:hint="default"/>
        <w:color w:val="231F20"/>
        <w:spacing w:val="-6"/>
        <w:w w:val="99"/>
        <w:sz w:val="13"/>
        <w:szCs w:val="13"/>
        <w:lang w:val="en-US" w:eastAsia="en-US" w:bidi="en-US"/>
      </w:rPr>
    </w:lvl>
    <w:lvl w:ilvl="1" w:tplc="5E766B08">
      <w:numFmt w:val="bullet"/>
      <w:lvlText w:val="•"/>
      <w:lvlJc w:val="left"/>
      <w:pPr>
        <w:ind w:left="2584" w:hanging="794"/>
      </w:pPr>
      <w:rPr>
        <w:rFonts w:hint="default"/>
        <w:lang w:val="en-US" w:eastAsia="en-US" w:bidi="en-US"/>
      </w:rPr>
    </w:lvl>
    <w:lvl w:ilvl="2" w:tplc="77A6A414">
      <w:numFmt w:val="bullet"/>
      <w:lvlText w:val="•"/>
      <w:lvlJc w:val="left"/>
      <w:pPr>
        <w:ind w:left="3369" w:hanging="794"/>
      </w:pPr>
      <w:rPr>
        <w:rFonts w:hint="default"/>
        <w:lang w:val="en-US" w:eastAsia="en-US" w:bidi="en-US"/>
      </w:rPr>
    </w:lvl>
    <w:lvl w:ilvl="3" w:tplc="2056D046">
      <w:numFmt w:val="bullet"/>
      <w:lvlText w:val="•"/>
      <w:lvlJc w:val="left"/>
      <w:pPr>
        <w:ind w:left="4154" w:hanging="794"/>
      </w:pPr>
      <w:rPr>
        <w:rFonts w:hint="default"/>
        <w:lang w:val="en-US" w:eastAsia="en-US" w:bidi="en-US"/>
      </w:rPr>
    </w:lvl>
    <w:lvl w:ilvl="4" w:tplc="BBC03696">
      <w:numFmt w:val="bullet"/>
      <w:lvlText w:val="•"/>
      <w:lvlJc w:val="left"/>
      <w:pPr>
        <w:ind w:left="4939" w:hanging="794"/>
      </w:pPr>
      <w:rPr>
        <w:rFonts w:hint="default"/>
        <w:lang w:val="en-US" w:eastAsia="en-US" w:bidi="en-US"/>
      </w:rPr>
    </w:lvl>
    <w:lvl w:ilvl="5" w:tplc="65167AB0">
      <w:numFmt w:val="bullet"/>
      <w:lvlText w:val="•"/>
      <w:lvlJc w:val="left"/>
      <w:pPr>
        <w:ind w:left="5724" w:hanging="794"/>
      </w:pPr>
      <w:rPr>
        <w:rFonts w:hint="default"/>
        <w:lang w:val="en-US" w:eastAsia="en-US" w:bidi="en-US"/>
      </w:rPr>
    </w:lvl>
    <w:lvl w:ilvl="6" w:tplc="16F8A414">
      <w:numFmt w:val="bullet"/>
      <w:lvlText w:val="•"/>
      <w:lvlJc w:val="left"/>
      <w:pPr>
        <w:ind w:left="6509" w:hanging="794"/>
      </w:pPr>
      <w:rPr>
        <w:rFonts w:hint="default"/>
        <w:lang w:val="en-US" w:eastAsia="en-US" w:bidi="en-US"/>
      </w:rPr>
    </w:lvl>
    <w:lvl w:ilvl="7" w:tplc="3B6E78CE">
      <w:numFmt w:val="bullet"/>
      <w:lvlText w:val="•"/>
      <w:lvlJc w:val="left"/>
      <w:pPr>
        <w:ind w:left="7294" w:hanging="794"/>
      </w:pPr>
      <w:rPr>
        <w:rFonts w:hint="default"/>
        <w:lang w:val="en-US" w:eastAsia="en-US" w:bidi="en-US"/>
      </w:rPr>
    </w:lvl>
    <w:lvl w:ilvl="8" w:tplc="1512AF60">
      <w:numFmt w:val="bullet"/>
      <w:lvlText w:val="•"/>
      <w:lvlJc w:val="left"/>
      <w:pPr>
        <w:ind w:left="8079" w:hanging="794"/>
      </w:pPr>
      <w:rPr>
        <w:rFonts w:hint="default"/>
        <w:lang w:val="en-US" w:eastAsia="en-US" w:bidi="en-US"/>
      </w:rPr>
    </w:lvl>
  </w:abstractNum>
  <w:abstractNum w:abstractNumId="160" w15:restartNumberingAfterBreak="0">
    <w:nsid w:val="6CA54125"/>
    <w:multiLevelType w:val="hybridMultilevel"/>
    <w:tmpl w:val="D4C04472"/>
    <w:lvl w:ilvl="0" w:tplc="4D2E4D7E">
      <w:start w:val="2"/>
      <w:numFmt w:val="lowerLetter"/>
      <w:lvlText w:val="%1."/>
      <w:lvlJc w:val="left"/>
      <w:pPr>
        <w:ind w:left="2367" w:hanging="554"/>
        <w:jc w:val="left"/>
      </w:pPr>
      <w:rPr>
        <w:rFonts w:ascii="Trebuchet MS" w:eastAsia="Trebuchet MS" w:hAnsi="Trebuchet MS" w:cs="Trebuchet MS" w:hint="default"/>
        <w:color w:val="231F20"/>
        <w:spacing w:val="-3"/>
        <w:w w:val="55"/>
        <w:sz w:val="20"/>
        <w:szCs w:val="20"/>
        <w:lang w:val="en-US" w:eastAsia="en-US" w:bidi="en-US"/>
      </w:rPr>
    </w:lvl>
    <w:lvl w:ilvl="1" w:tplc="3314F1AE">
      <w:numFmt w:val="bullet"/>
      <w:lvlText w:val="•"/>
      <w:lvlJc w:val="left"/>
      <w:pPr>
        <w:ind w:left="2934" w:hanging="567"/>
      </w:pPr>
      <w:rPr>
        <w:rFonts w:ascii="Trebuchet MS" w:eastAsia="Trebuchet MS" w:hAnsi="Trebuchet MS" w:cs="Trebuchet MS" w:hint="default"/>
        <w:color w:val="231F20"/>
        <w:w w:val="67"/>
        <w:sz w:val="20"/>
        <w:szCs w:val="20"/>
        <w:lang w:val="en-US" w:eastAsia="en-US" w:bidi="en-US"/>
      </w:rPr>
    </w:lvl>
    <w:lvl w:ilvl="2" w:tplc="237EE69E">
      <w:numFmt w:val="bullet"/>
      <w:lvlText w:val="•"/>
      <w:lvlJc w:val="left"/>
      <w:pPr>
        <w:ind w:left="3825" w:hanging="567"/>
      </w:pPr>
      <w:rPr>
        <w:rFonts w:hint="default"/>
        <w:lang w:val="en-US" w:eastAsia="en-US" w:bidi="en-US"/>
      </w:rPr>
    </w:lvl>
    <w:lvl w:ilvl="3" w:tplc="F58A5F6C">
      <w:numFmt w:val="bullet"/>
      <w:lvlText w:val="•"/>
      <w:lvlJc w:val="left"/>
      <w:pPr>
        <w:ind w:left="4710" w:hanging="567"/>
      </w:pPr>
      <w:rPr>
        <w:rFonts w:hint="default"/>
        <w:lang w:val="en-US" w:eastAsia="en-US" w:bidi="en-US"/>
      </w:rPr>
    </w:lvl>
    <w:lvl w:ilvl="4" w:tplc="1D7215DA">
      <w:numFmt w:val="bullet"/>
      <w:lvlText w:val="•"/>
      <w:lvlJc w:val="left"/>
      <w:pPr>
        <w:ind w:left="5595" w:hanging="567"/>
      </w:pPr>
      <w:rPr>
        <w:rFonts w:hint="default"/>
        <w:lang w:val="en-US" w:eastAsia="en-US" w:bidi="en-US"/>
      </w:rPr>
    </w:lvl>
    <w:lvl w:ilvl="5" w:tplc="9B601BC0">
      <w:numFmt w:val="bullet"/>
      <w:lvlText w:val="•"/>
      <w:lvlJc w:val="left"/>
      <w:pPr>
        <w:ind w:left="6480" w:hanging="567"/>
      </w:pPr>
      <w:rPr>
        <w:rFonts w:hint="default"/>
        <w:lang w:val="en-US" w:eastAsia="en-US" w:bidi="en-US"/>
      </w:rPr>
    </w:lvl>
    <w:lvl w:ilvl="6" w:tplc="DE469D08">
      <w:numFmt w:val="bullet"/>
      <w:lvlText w:val="•"/>
      <w:lvlJc w:val="left"/>
      <w:pPr>
        <w:ind w:left="7365" w:hanging="567"/>
      </w:pPr>
      <w:rPr>
        <w:rFonts w:hint="default"/>
        <w:lang w:val="en-US" w:eastAsia="en-US" w:bidi="en-US"/>
      </w:rPr>
    </w:lvl>
    <w:lvl w:ilvl="7" w:tplc="D36EC816">
      <w:numFmt w:val="bullet"/>
      <w:lvlText w:val="•"/>
      <w:lvlJc w:val="left"/>
      <w:pPr>
        <w:ind w:left="8250" w:hanging="567"/>
      </w:pPr>
      <w:rPr>
        <w:rFonts w:hint="default"/>
        <w:lang w:val="en-US" w:eastAsia="en-US" w:bidi="en-US"/>
      </w:rPr>
    </w:lvl>
    <w:lvl w:ilvl="8" w:tplc="999C80E8">
      <w:numFmt w:val="bullet"/>
      <w:lvlText w:val="•"/>
      <w:lvlJc w:val="left"/>
      <w:pPr>
        <w:ind w:left="9135" w:hanging="567"/>
      </w:pPr>
      <w:rPr>
        <w:rFonts w:hint="default"/>
        <w:lang w:val="en-US" w:eastAsia="en-US" w:bidi="en-US"/>
      </w:rPr>
    </w:lvl>
  </w:abstractNum>
  <w:abstractNum w:abstractNumId="161" w15:restartNumberingAfterBreak="0">
    <w:nsid w:val="6DA94D5A"/>
    <w:multiLevelType w:val="hybridMultilevel"/>
    <w:tmpl w:val="728E0E40"/>
    <w:lvl w:ilvl="0" w:tplc="221A8D96">
      <w:start w:val="1"/>
      <w:numFmt w:val="lowerLetter"/>
      <w:lvlText w:val="(%1)"/>
      <w:lvlJc w:val="left"/>
      <w:pPr>
        <w:ind w:left="907" w:hanging="794"/>
        <w:jc w:val="left"/>
      </w:pPr>
      <w:rPr>
        <w:rFonts w:ascii="Raleway" w:eastAsia="Raleway" w:hAnsi="Raleway" w:cs="Raleway" w:hint="default"/>
        <w:color w:val="231F20"/>
        <w:spacing w:val="-5"/>
        <w:w w:val="100"/>
        <w:sz w:val="20"/>
        <w:szCs w:val="20"/>
        <w:lang w:val="en-US" w:eastAsia="en-US" w:bidi="en-US"/>
      </w:rPr>
    </w:lvl>
    <w:lvl w:ilvl="1" w:tplc="19BE1226">
      <w:numFmt w:val="bullet"/>
      <w:lvlText w:val="•"/>
      <w:lvlJc w:val="left"/>
      <w:pPr>
        <w:ind w:left="1289" w:hanging="794"/>
      </w:pPr>
      <w:rPr>
        <w:rFonts w:hint="default"/>
        <w:lang w:val="en-US" w:eastAsia="en-US" w:bidi="en-US"/>
      </w:rPr>
    </w:lvl>
    <w:lvl w:ilvl="2" w:tplc="C256FFC2">
      <w:numFmt w:val="bullet"/>
      <w:lvlText w:val="•"/>
      <w:lvlJc w:val="left"/>
      <w:pPr>
        <w:ind w:left="1679" w:hanging="794"/>
      </w:pPr>
      <w:rPr>
        <w:rFonts w:hint="default"/>
        <w:lang w:val="en-US" w:eastAsia="en-US" w:bidi="en-US"/>
      </w:rPr>
    </w:lvl>
    <w:lvl w:ilvl="3" w:tplc="4F7A5FB8">
      <w:numFmt w:val="bullet"/>
      <w:lvlText w:val="•"/>
      <w:lvlJc w:val="left"/>
      <w:pPr>
        <w:ind w:left="2069" w:hanging="794"/>
      </w:pPr>
      <w:rPr>
        <w:rFonts w:hint="default"/>
        <w:lang w:val="en-US" w:eastAsia="en-US" w:bidi="en-US"/>
      </w:rPr>
    </w:lvl>
    <w:lvl w:ilvl="4" w:tplc="AD542608">
      <w:numFmt w:val="bullet"/>
      <w:lvlText w:val="•"/>
      <w:lvlJc w:val="left"/>
      <w:pPr>
        <w:ind w:left="2459" w:hanging="794"/>
      </w:pPr>
      <w:rPr>
        <w:rFonts w:hint="default"/>
        <w:lang w:val="en-US" w:eastAsia="en-US" w:bidi="en-US"/>
      </w:rPr>
    </w:lvl>
    <w:lvl w:ilvl="5" w:tplc="4F5C0936">
      <w:numFmt w:val="bullet"/>
      <w:lvlText w:val="•"/>
      <w:lvlJc w:val="left"/>
      <w:pPr>
        <w:ind w:left="2849" w:hanging="794"/>
      </w:pPr>
      <w:rPr>
        <w:rFonts w:hint="default"/>
        <w:lang w:val="en-US" w:eastAsia="en-US" w:bidi="en-US"/>
      </w:rPr>
    </w:lvl>
    <w:lvl w:ilvl="6" w:tplc="C18A4778">
      <w:numFmt w:val="bullet"/>
      <w:lvlText w:val="•"/>
      <w:lvlJc w:val="left"/>
      <w:pPr>
        <w:ind w:left="3238" w:hanging="794"/>
      </w:pPr>
      <w:rPr>
        <w:rFonts w:hint="default"/>
        <w:lang w:val="en-US" w:eastAsia="en-US" w:bidi="en-US"/>
      </w:rPr>
    </w:lvl>
    <w:lvl w:ilvl="7" w:tplc="379CABD2">
      <w:numFmt w:val="bullet"/>
      <w:lvlText w:val="•"/>
      <w:lvlJc w:val="left"/>
      <w:pPr>
        <w:ind w:left="3628" w:hanging="794"/>
      </w:pPr>
      <w:rPr>
        <w:rFonts w:hint="default"/>
        <w:lang w:val="en-US" w:eastAsia="en-US" w:bidi="en-US"/>
      </w:rPr>
    </w:lvl>
    <w:lvl w:ilvl="8" w:tplc="4D9830A8">
      <w:numFmt w:val="bullet"/>
      <w:lvlText w:val="•"/>
      <w:lvlJc w:val="left"/>
      <w:pPr>
        <w:ind w:left="4018" w:hanging="794"/>
      </w:pPr>
      <w:rPr>
        <w:rFonts w:hint="default"/>
        <w:lang w:val="en-US" w:eastAsia="en-US" w:bidi="en-US"/>
      </w:rPr>
    </w:lvl>
  </w:abstractNum>
  <w:abstractNum w:abstractNumId="162" w15:restartNumberingAfterBreak="0">
    <w:nsid w:val="6DF81DDE"/>
    <w:multiLevelType w:val="hybridMultilevel"/>
    <w:tmpl w:val="2A98916E"/>
    <w:lvl w:ilvl="0" w:tplc="8B560DCC">
      <w:start w:val="217"/>
      <w:numFmt w:val="decimal"/>
      <w:lvlText w:val="%1"/>
      <w:lvlJc w:val="left"/>
      <w:pPr>
        <w:ind w:left="1801" w:hanging="794"/>
        <w:jc w:val="left"/>
      </w:pPr>
      <w:rPr>
        <w:rFonts w:ascii="Raleway" w:eastAsia="Raleway" w:hAnsi="Raleway" w:cs="Raleway" w:hint="default"/>
        <w:color w:val="231F20"/>
        <w:spacing w:val="-2"/>
        <w:w w:val="99"/>
        <w:sz w:val="13"/>
        <w:szCs w:val="13"/>
        <w:lang w:val="en-US" w:eastAsia="en-US" w:bidi="en-US"/>
      </w:rPr>
    </w:lvl>
    <w:lvl w:ilvl="1" w:tplc="CE52AD50">
      <w:numFmt w:val="bullet"/>
      <w:lvlText w:val="•"/>
      <w:lvlJc w:val="left"/>
      <w:pPr>
        <w:ind w:left="2591" w:hanging="794"/>
      </w:pPr>
      <w:rPr>
        <w:rFonts w:hint="default"/>
        <w:lang w:val="en-US" w:eastAsia="en-US" w:bidi="en-US"/>
      </w:rPr>
    </w:lvl>
    <w:lvl w:ilvl="2" w:tplc="5E704B1A">
      <w:numFmt w:val="bullet"/>
      <w:lvlText w:val="•"/>
      <w:lvlJc w:val="left"/>
      <w:pPr>
        <w:ind w:left="3382" w:hanging="794"/>
      </w:pPr>
      <w:rPr>
        <w:rFonts w:hint="default"/>
        <w:lang w:val="en-US" w:eastAsia="en-US" w:bidi="en-US"/>
      </w:rPr>
    </w:lvl>
    <w:lvl w:ilvl="3" w:tplc="AAA86A88">
      <w:numFmt w:val="bullet"/>
      <w:lvlText w:val="•"/>
      <w:lvlJc w:val="left"/>
      <w:pPr>
        <w:ind w:left="4174" w:hanging="794"/>
      </w:pPr>
      <w:rPr>
        <w:rFonts w:hint="default"/>
        <w:lang w:val="en-US" w:eastAsia="en-US" w:bidi="en-US"/>
      </w:rPr>
    </w:lvl>
    <w:lvl w:ilvl="4" w:tplc="753CE75E">
      <w:numFmt w:val="bullet"/>
      <w:lvlText w:val="•"/>
      <w:lvlJc w:val="left"/>
      <w:pPr>
        <w:ind w:left="4965" w:hanging="794"/>
      </w:pPr>
      <w:rPr>
        <w:rFonts w:hint="default"/>
        <w:lang w:val="en-US" w:eastAsia="en-US" w:bidi="en-US"/>
      </w:rPr>
    </w:lvl>
    <w:lvl w:ilvl="5" w:tplc="C298E484">
      <w:numFmt w:val="bullet"/>
      <w:lvlText w:val="•"/>
      <w:lvlJc w:val="left"/>
      <w:pPr>
        <w:ind w:left="5756" w:hanging="794"/>
      </w:pPr>
      <w:rPr>
        <w:rFonts w:hint="default"/>
        <w:lang w:val="en-US" w:eastAsia="en-US" w:bidi="en-US"/>
      </w:rPr>
    </w:lvl>
    <w:lvl w:ilvl="6" w:tplc="361C3642">
      <w:numFmt w:val="bullet"/>
      <w:lvlText w:val="•"/>
      <w:lvlJc w:val="left"/>
      <w:pPr>
        <w:ind w:left="6548" w:hanging="794"/>
      </w:pPr>
      <w:rPr>
        <w:rFonts w:hint="default"/>
        <w:lang w:val="en-US" w:eastAsia="en-US" w:bidi="en-US"/>
      </w:rPr>
    </w:lvl>
    <w:lvl w:ilvl="7" w:tplc="F8486D0C">
      <w:numFmt w:val="bullet"/>
      <w:lvlText w:val="•"/>
      <w:lvlJc w:val="left"/>
      <w:pPr>
        <w:ind w:left="7339" w:hanging="794"/>
      </w:pPr>
      <w:rPr>
        <w:rFonts w:hint="default"/>
        <w:lang w:val="en-US" w:eastAsia="en-US" w:bidi="en-US"/>
      </w:rPr>
    </w:lvl>
    <w:lvl w:ilvl="8" w:tplc="EFEA78F0">
      <w:numFmt w:val="bullet"/>
      <w:lvlText w:val="•"/>
      <w:lvlJc w:val="left"/>
      <w:pPr>
        <w:ind w:left="8131" w:hanging="794"/>
      </w:pPr>
      <w:rPr>
        <w:rFonts w:hint="default"/>
        <w:lang w:val="en-US" w:eastAsia="en-US" w:bidi="en-US"/>
      </w:rPr>
    </w:lvl>
  </w:abstractNum>
  <w:abstractNum w:abstractNumId="163" w15:restartNumberingAfterBreak="0">
    <w:nsid w:val="6FC106D8"/>
    <w:multiLevelType w:val="multilevel"/>
    <w:tmpl w:val="96663C52"/>
    <w:lvl w:ilvl="0">
      <w:start w:val="3"/>
      <w:numFmt w:val="decimal"/>
      <w:lvlText w:val="%1"/>
      <w:lvlJc w:val="left"/>
      <w:pPr>
        <w:ind w:left="1801" w:hanging="794"/>
        <w:jc w:val="left"/>
      </w:pPr>
      <w:rPr>
        <w:rFonts w:hint="default"/>
        <w:lang w:val="en-US" w:eastAsia="en-US" w:bidi="en-US"/>
      </w:rPr>
    </w:lvl>
    <w:lvl w:ilvl="1">
      <w:start w:val="10"/>
      <w:numFmt w:val="decimal"/>
      <w:lvlText w:val="%1.%2"/>
      <w:lvlJc w:val="left"/>
      <w:pPr>
        <w:ind w:left="1801" w:hanging="794"/>
        <w:jc w:val="left"/>
      </w:pPr>
      <w:rPr>
        <w:rFonts w:ascii="Raleway" w:eastAsia="Raleway" w:hAnsi="Raleway" w:cs="Raleway" w:hint="default"/>
        <w:color w:val="231F20"/>
        <w:spacing w:val="-6"/>
        <w:w w:val="87"/>
        <w:sz w:val="20"/>
        <w:szCs w:val="20"/>
        <w:lang w:val="en-US" w:eastAsia="en-US" w:bidi="en-US"/>
      </w:rPr>
    </w:lvl>
    <w:lvl w:ilvl="2">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3">
      <w:numFmt w:val="bullet"/>
      <w:lvlText w:val="•"/>
      <w:lvlJc w:val="left"/>
      <w:pPr>
        <w:ind w:left="3288" w:hanging="341"/>
      </w:pPr>
      <w:rPr>
        <w:rFonts w:hint="default"/>
        <w:lang w:val="en-US" w:eastAsia="en-US" w:bidi="en-US"/>
      </w:rPr>
    </w:lvl>
    <w:lvl w:ilvl="4">
      <w:numFmt w:val="bullet"/>
      <w:lvlText w:val="•"/>
      <w:lvlJc w:val="left"/>
      <w:pPr>
        <w:ind w:left="4376" w:hanging="341"/>
      </w:pPr>
      <w:rPr>
        <w:rFonts w:hint="default"/>
        <w:lang w:val="en-US" w:eastAsia="en-US" w:bidi="en-US"/>
      </w:rPr>
    </w:lvl>
    <w:lvl w:ilvl="5">
      <w:numFmt w:val="bullet"/>
      <w:lvlText w:val="•"/>
      <w:lvlJc w:val="left"/>
      <w:pPr>
        <w:ind w:left="5464" w:hanging="341"/>
      </w:pPr>
      <w:rPr>
        <w:rFonts w:hint="default"/>
        <w:lang w:val="en-US" w:eastAsia="en-US" w:bidi="en-US"/>
      </w:rPr>
    </w:lvl>
    <w:lvl w:ilvl="6">
      <w:numFmt w:val="bullet"/>
      <w:lvlText w:val="•"/>
      <w:lvlJc w:val="left"/>
      <w:pPr>
        <w:ind w:left="6552" w:hanging="341"/>
      </w:pPr>
      <w:rPr>
        <w:rFonts w:hint="default"/>
        <w:lang w:val="en-US" w:eastAsia="en-US" w:bidi="en-US"/>
      </w:rPr>
    </w:lvl>
    <w:lvl w:ilvl="7">
      <w:numFmt w:val="bullet"/>
      <w:lvlText w:val="•"/>
      <w:lvlJc w:val="left"/>
      <w:pPr>
        <w:ind w:left="7640" w:hanging="341"/>
      </w:pPr>
      <w:rPr>
        <w:rFonts w:hint="default"/>
        <w:lang w:val="en-US" w:eastAsia="en-US" w:bidi="en-US"/>
      </w:rPr>
    </w:lvl>
    <w:lvl w:ilvl="8">
      <w:numFmt w:val="bullet"/>
      <w:lvlText w:val="•"/>
      <w:lvlJc w:val="left"/>
      <w:pPr>
        <w:ind w:left="8729" w:hanging="341"/>
      </w:pPr>
      <w:rPr>
        <w:rFonts w:hint="default"/>
        <w:lang w:val="en-US" w:eastAsia="en-US" w:bidi="en-US"/>
      </w:rPr>
    </w:lvl>
  </w:abstractNum>
  <w:abstractNum w:abstractNumId="164" w15:restartNumberingAfterBreak="0">
    <w:nsid w:val="6FF66D14"/>
    <w:multiLevelType w:val="hybridMultilevel"/>
    <w:tmpl w:val="EE524532"/>
    <w:lvl w:ilvl="0" w:tplc="2494BC2E">
      <w:start w:val="203"/>
      <w:numFmt w:val="decimal"/>
      <w:lvlText w:val="%1"/>
      <w:lvlJc w:val="left"/>
      <w:pPr>
        <w:ind w:left="933" w:hanging="794"/>
        <w:jc w:val="left"/>
      </w:pPr>
      <w:rPr>
        <w:rFonts w:ascii="Raleway" w:eastAsia="Raleway" w:hAnsi="Raleway" w:cs="Raleway" w:hint="default"/>
        <w:color w:val="231F20"/>
        <w:spacing w:val="-2"/>
        <w:w w:val="99"/>
        <w:sz w:val="13"/>
        <w:szCs w:val="13"/>
        <w:lang w:val="en-US" w:eastAsia="en-US" w:bidi="en-US"/>
      </w:rPr>
    </w:lvl>
    <w:lvl w:ilvl="1" w:tplc="D4C2A5AE">
      <w:numFmt w:val="bullet"/>
      <w:lvlText w:val="•"/>
      <w:lvlJc w:val="left"/>
      <w:pPr>
        <w:ind w:left="1849" w:hanging="794"/>
      </w:pPr>
      <w:rPr>
        <w:rFonts w:hint="default"/>
        <w:lang w:val="en-US" w:eastAsia="en-US" w:bidi="en-US"/>
      </w:rPr>
    </w:lvl>
    <w:lvl w:ilvl="2" w:tplc="8160BBFC">
      <w:numFmt w:val="bullet"/>
      <w:lvlText w:val="•"/>
      <w:lvlJc w:val="left"/>
      <w:pPr>
        <w:ind w:left="2759" w:hanging="794"/>
      </w:pPr>
      <w:rPr>
        <w:rFonts w:hint="default"/>
        <w:lang w:val="en-US" w:eastAsia="en-US" w:bidi="en-US"/>
      </w:rPr>
    </w:lvl>
    <w:lvl w:ilvl="3" w:tplc="52DC546E">
      <w:numFmt w:val="bullet"/>
      <w:lvlText w:val="•"/>
      <w:lvlJc w:val="left"/>
      <w:pPr>
        <w:ind w:left="3669" w:hanging="794"/>
      </w:pPr>
      <w:rPr>
        <w:rFonts w:hint="default"/>
        <w:lang w:val="en-US" w:eastAsia="en-US" w:bidi="en-US"/>
      </w:rPr>
    </w:lvl>
    <w:lvl w:ilvl="4" w:tplc="530A3DA6">
      <w:numFmt w:val="bullet"/>
      <w:lvlText w:val="•"/>
      <w:lvlJc w:val="left"/>
      <w:pPr>
        <w:ind w:left="4579" w:hanging="794"/>
      </w:pPr>
      <w:rPr>
        <w:rFonts w:hint="default"/>
        <w:lang w:val="en-US" w:eastAsia="en-US" w:bidi="en-US"/>
      </w:rPr>
    </w:lvl>
    <w:lvl w:ilvl="5" w:tplc="9CB2C1F4">
      <w:numFmt w:val="bullet"/>
      <w:lvlText w:val="•"/>
      <w:lvlJc w:val="left"/>
      <w:pPr>
        <w:ind w:left="5489" w:hanging="794"/>
      </w:pPr>
      <w:rPr>
        <w:rFonts w:hint="default"/>
        <w:lang w:val="en-US" w:eastAsia="en-US" w:bidi="en-US"/>
      </w:rPr>
    </w:lvl>
    <w:lvl w:ilvl="6" w:tplc="5E94D6D4">
      <w:numFmt w:val="bullet"/>
      <w:lvlText w:val="•"/>
      <w:lvlJc w:val="left"/>
      <w:pPr>
        <w:ind w:left="6398" w:hanging="794"/>
      </w:pPr>
      <w:rPr>
        <w:rFonts w:hint="default"/>
        <w:lang w:val="en-US" w:eastAsia="en-US" w:bidi="en-US"/>
      </w:rPr>
    </w:lvl>
    <w:lvl w:ilvl="7" w:tplc="0A386D0C">
      <w:numFmt w:val="bullet"/>
      <w:lvlText w:val="•"/>
      <w:lvlJc w:val="left"/>
      <w:pPr>
        <w:ind w:left="7308" w:hanging="794"/>
      </w:pPr>
      <w:rPr>
        <w:rFonts w:hint="default"/>
        <w:lang w:val="en-US" w:eastAsia="en-US" w:bidi="en-US"/>
      </w:rPr>
    </w:lvl>
    <w:lvl w:ilvl="8" w:tplc="D21C0F9A">
      <w:numFmt w:val="bullet"/>
      <w:lvlText w:val="•"/>
      <w:lvlJc w:val="left"/>
      <w:pPr>
        <w:ind w:left="8218" w:hanging="794"/>
      </w:pPr>
      <w:rPr>
        <w:rFonts w:hint="default"/>
        <w:lang w:val="en-US" w:eastAsia="en-US" w:bidi="en-US"/>
      </w:rPr>
    </w:lvl>
  </w:abstractNum>
  <w:abstractNum w:abstractNumId="165" w15:restartNumberingAfterBreak="0">
    <w:nsid w:val="7014758F"/>
    <w:multiLevelType w:val="hybridMultilevel"/>
    <w:tmpl w:val="9CFA9D1C"/>
    <w:lvl w:ilvl="0" w:tplc="CD9453B8">
      <w:start w:val="35"/>
      <w:numFmt w:val="decimal"/>
      <w:lvlText w:val="%1"/>
      <w:lvlJc w:val="left"/>
      <w:pPr>
        <w:ind w:left="1801" w:hanging="794"/>
        <w:jc w:val="right"/>
      </w:pPr>
      <w:rPr>
        <w:rFonts w:ascii="Raleway" w:eastAsia="Raleway" w:hAnsi="Raleway" w:cs="Raleway" w:hint="default"/>
        <w:color w:val="231F20"/>
        <w:spacing w:val="-1"/>
        <w:w w:val="100"/>
        <w:sz w:val="13"/>
        <w:szCs w:val="13"/>
        <w:lang w:val="en-US" w:eastAsia="en-US" w:bidi="en-US"/>
      </w:rPr>
    </w:lvl>
    <w:lvl w:ilvl="1" w:tplc="10E6A836">
      <w:numFmt w:val="bullet"/>
      <w:lvlText w:val="•"/>
      <w:lvlJc w:val="left"/>
      <w:pPr>
        <w:ind w:left="2587" w:hanging="794"/>
      </w:pPr>
      <w:rPr>
        <w:rFonts w:hint="default"/>
        <w:lang w:val="en-US" w:eastAsia="en-US" w:bidi="en-US"/>
      </w:rPr>
    </w:lvl>
    <w:lvl w:ilvl="2" w:tplc="B8169F68">
      <w:numFmt w:val="bullet"/>
      <w:lvlText w:val="•"/>
      <w:lvlJc w:val="left"/>
      <w:pPr>
        <w:ind w:left="3375" w:hanging="794"/>
      </w:pPr>
      <w:rPr>
        <w:rFonts w:hint="default"/>
        <w:lang w:val="en-US" w:eastAsia="en-US" w:bidi="en-US"/>
      </w:rPr>
    </w:lvl>
    <w:lvl w:ilvl="3" w:tplc="C266532E">
      <w:numFmt w:val="bullet"/>
      <w:lvlText w:val="•"/>
      <w:lvlJc w:val="left"/>
      <w:pPr>
        <w:ind w:left="4163" w:hanging="794"/>
      </w:pPr>
      <w:rPr>
        <w:rFonts w:hint="default"/>
        <w:lang w:val="en-US" w:eastAsia="en-US" w:bidi="en-US"/>
      </w:rPr>
    </w:lvl>
    <w:lvl w:ilvl="4" w:tplc="7B503C54">
      <w:numFmt w:val="bullet"/>
      <w:lvlText w:val="•"/>
      <w:lvlJc w:val="left"/>
      <w:pPr>
        <w:ind w:left="4951" w:hanging="794"/>
      </w:pPr>
      <w:rPr>
        <w:rFonts w:hint="default"/>
        <w:lang w:val="en-US" w:eastAsia="en-US" w:bidi="en-US"/>
      </w:rPr>
    </w:lvl>
    <w:lvl w:ilvl="5" w:tplc="B61278D0">
      <w:numFmt w:val="bullet"/>
      <w:lvlText w:val="•"/>
      <w:lvlJc w:val="left"/>
      <w:pPr>
        <w:ind w:left="5739" w:hanging="794"/>
      </w:pPr>
      <w:rPr>
        <w:rFonts w:hint="default"/>
        <w:lang w:val="en-US" w:eastAsia="en-US" w:bidi="en-US"/>
      </w:rPr>
    </w:lvl>
    <w:lvl w:ilvl="6" w:tplc="400675F0">
      <w:numFmt w:val="bullet"/>
      <w:lvlText w:val="•"/>
      <w:lvlJc w:val="left"/>
      <w:pPr>
        <w:ind w:left="6527" w:hanging="794"/>
      </w:pPr>
      <w:rPr>
        <w:rFonts w:hint="default"/>
        <w:lang w:val="en-US" w:eastAsia="en-US" w:bidi="en-US"/>
      </w:rPr>
    </w:lvl>
    <w:lvl w:ilvl="7" w:tplc="159C7A82">
      <w:numFmt w:val="bullet"/>
      <w:lvlText w:val="•"/>
      <w:lvlJc w:val="left"/>
      <w:pPr>
        <w:ind w:left="7315" w:hanging="794"/>
      </w:pPr>
      <w:rPr>
        <w:rFonts w:hint="default"/>
        <w:lang w:val="en-US" w:eastAsia="en-US" w:bidi="en-US"/>
      </w:rPr>
    </w:lvl>
    <w:lvl w:ilvl="8" w:tplc="5F4663FC">
      <w:numFmt w:val="bullet"/>
      <w:lvlText w:val="•"/>
      <w:lvlJc w:val="left"/>
      <w:pPr>
        <w:ind w:left="8102" w:hanging="794"/>
      </w:pPr>
      <w:rPr>
        <w:rFonts w:hint="default"/>
        <w:lang w:val="en-US" w:eastAsia="en-US" w:bidi="en-US"/>
      </w:rPr>
    </w:lvl>
  </w:abstractNum>
  <w:abstractNum w:abstractNumId="166" w15:restartNumberingAfterBreak="0">
    <w:nsid w:val="71994574"/>
    <w:multiLevelType w:val="hybridMultilevel"/>
    <w:tmpl w:val="7544294C"/>
    <w:lvl w:ilvl="0" w:tplc="A45CFCC8">
      <w:start w:val="77"/>
      <w:numFmt w:val="decimal"/>
      <w:lvlText w:val="%1"/>
      <w:lvlJc w:val="left"/>
      <w:pPr>
        <w:ind w:left="1801" w:hanging="794"/>
        <w:jc w:val="left"/>
      </w:pPr>
      <w:rPr>
        <w:rFonts w:ascii="Raleway" w:eastAsia="Raleway" w:hAnsi="Raleway" w:cs="Raleway" w:hint="default"/>
        <w:color w:val="231F20"/>
        <w:spacing w:val="-19"/>
        <w:w w:val="83"/>
        <w:sz w:val="13"/>
        <w:szCs w:val="13"/>
        <w:lang w:val="en-US" w:eastAsia="en-US" w:bidi="en-US"/>
      </w:rPr>
    </w:lvl>
    <w:lvl w:ilvl="1" w:tplc="27F89A3E">
      <w:numFmt w:val="bullet"/>
      <w:lvlText w:val="•"/>
      <w:lvlJc w:val="left"/>
      <w:pPr>
        <w:ind w:left="2710" w:hanging="794"/>
      </w:pPr>
      <w:rPr>
        <w:rFonts w:hint="default"/>
        <w:lang w:val="en-US" w:eastAsia="en-US" w:bidi="en-US"/>
      </w:rPr>
    </w:lvl>
    <w:lvl w:ilvl="2" w:tplc="C5F02F30">
      <w:numFmt w:val="bullet"/>
      <w:lvlText w:val="•"/>
      <w:lvlJc w:val="left"/>
      <w:pPr>
        <w:ind w:left="3621" w:hanging="794"/>
      </w:pPr>
      <w:rPr>
        <w:rFonts w:hint="default"/>
        <w:lang w:val="en-US" w:eastAsia="en-US" w:bidi="en-US"/>
      </w:rPr>
    </w:lvl>
    <w:lvl w:ilvl="3" w:tplc="AF04A1C4">
      <w:numFmt w:val="bullet"/>
      <w:lvlText w:val="•"/>
      <w:lvlJc w:val="left"/>
      <w:pPr>
        <w:ind w:left="4531" w:hanging="794"/>
      </w:pPr>
      <w:rPr>
        <w:rFonts w:hint="default"/>
        <w:lang w:val="en-US" w:eastAsia="en-US" w:bidi="en-US"/>
      </w:rPr>
    </w:lvl>
    <w:lvl w:ilvl="4" w:tplc="63427204">
      <w:numFmt w:val="bullet"/>
      <w:lvlText w:val="•"/>
      <w:lvlJc w:val="left"/>
      <w:pPr>
        <w:ind w:left="5442" w:hanging="794"/>
      </w:pPr>
      <w:rPr>
        <w:rFonts w:hint="default"/>
        <w:lang w:val="en-US" w:eastAsia="en-US" w:bidi="en-US"/>
      </w:rPr>
    </w:lvl>
    <w:lvl w:ilvl="5" w:tplc="767043D8">
      <w:numFmt w:val="bullet"/>
      <w:lvlText w:val="•"/>
      <w:lvlJc w:val="left"/>
      <w:pPr>
        <w:ind w:left="6352" w:hanging="794"/>
      </w:pPr>
      <w:rPr>
        <w:rFonts w:hint="default"/>
        <w:lang w:val="en-US" w:eastAsia="en-US" w:bidi="en-US"/>
      </w:rPr>
    </w:lvl>
    <w:lvl w:ilvl="6" w:tplc="11040950">
      <w:numFmt w:val="bullet"/>
      <w:lvlText w:val="•"/>
      <w:lvlJc w:val="left"/>
      <w:pPr>
        <w:ind w:left="7263" w:hanging="794"/>
      </w:pPr>
      <w:rPr>
        <w:rFonts w:hint="default"/>
        <w:lang w:val="en-US" w:eastAsia="en-US" w:bidi="en-US"/>
      </w:rPr>
    </w:lvl>
    <w:lvl w:ilvl="7" w:tplc="8BBE9760">
      <w:numFmt w:val="bullet"/>
      <w:lvlText w:val="•"/>
      <w:lvlJc w:val="left"/>
      <w:pPr>
        <w:ind w:left="8173" w:hanging="794"/>
      </w:pPr>
      <w:rPr>
        <w:rFonts w:hint="default"/>
        <w:lang w:val="en-US" w:eastAsia="en-US" w:bidi="en-US"/>
      </w:rPr>
    </w:lvl>
    <w:lvl w:ilvl="8" w:tplc="D5DAA630">
      <w:numFmt w:val="bullet"/>
      <w:lvlText w:val="•"/>
      <w:lvlJc w:val="left"/>
      <w:pPr>
        <w:ind w:left="9084" w:hanging="794"/>
      </w:pPr>
      <w:rPr>
        <w:rFonts w:hint="default"/>
        <w:lang w:val="en-US" w:eastAsia="en-US" w:bidi="en-US"/>
      </w:rPr>
    </w:lvl>
  </w:abstractNum>
  <w:abstractNum w:abstractNumId="167" w15:restartNumberingAfterBreak="0">
    <w:nsid w:val="71F17306"/>
    <w:multiLevelType w:val="hybridMultilevel"/>
    <w:tmpl w:val="0B90ED7E"/>
    <w:lvl w:ilvl="0" w:tplc="9416A4CE">
      <w:start w:val="103"/>
      <w:numFmt w:val="decimal"/>
      <w:lvlText w:val="%1"/>
      <w:lvlJc w:val="left"/>
      <w:pPr>
        <w:ind w:left="1801" w:hanging="794"/>
        <w:jc w:val="left"/>
      </w:pPr>
      <w:rPr>
        <w:rFonts w:ascii="Raleway" w:eastAsia="Raleway" w:hAnsi="Raleway" w:cs="Raleway" w:hint="default"/>
        <w:color w:val="231F20"/>
        <w:spacing w:val="-7"/>
        <w:w w:val="100"/>
        <w:sz w:val="13"/>
        <w:szCs w:val="13"/>
        <w:lang w:val="en-US" w:eastAsia="en-US" w:bidi="en-US"/>
      </w:rPr>
    </w:lvl>
    <w:lvl w:ilvl="1" w:tplc="047C571A">
      <w:numFmt w:val="bullet"/>
      <w:lvlText w:val="•"/>
      <w:lvlJc w:val="left"/>
      <w:pPr>
        <w:ind w:left="2710" w:hanging="794"/>
      </w:pPr>
      <w:rPr>
        <w:rFonts w:hint="default"/>
        <w:lang w:val="en-US" w:eastAsia="en-US" w:bidi="en-US"/>
      </w:rPr>
    </w:lvl>
    <w:lvl w:ilvl="2" w:tplc="DBD06D28">
      <w:numFmt w:val="bullet"/>
      <w:lvlText w:val="•"/>
      <w:lvlJc w:val="left"/>
      <w:pPr>
        <w:ind w:left="3621" w:hanging="794"/>
      </w:pPr>
      <w:rPr>
        <w:rFonts w:hint="default"/>
        <w:lang w:val="en-US" w:eastAsia="en-US" w:bidi="en-US"/>
      </w:rPr>
    </w:lvl>
    <w:lvl w:ilvl="3" w:tplc="2FCACB78">
      <w:numFmt w:val="bullet"/>
      <w:lvlText w:val="•"/>
      <w:lvlJc w:val="left"/>
      <w:pPr>
        <w:ind w:left="4531" w:hanging="794"/>
      </w:pPr>
      <w:rPr>
        <w:rFonts w:hint="default"/>
        <w:lang w:val="en-US" w:eastAsia="en-US" w:bidi="en-US"/>
      </w:rPr>
    </w:lvl>
    <w:lvl w:ilvl="4" w:tplc="30D00586">
      <w:numFmt w:val="bullet"/>
      <w:lvlText w:val="•"/>
      <w:lvlJc w:val="left"/>
      <w:pPr>
        <w:ind w:left="5442" w:hanging="794"/>
      </w:pPr>
      <w:rPr>
        <w:rFonts w:hint="default"/>
        <w:lang w:val="en-US" w:eastAsia="en-US" w:bidi="en-US"/>
      </w:rPr>
    </w:lvl>
    <w:lvl w:ilvl="5" w:tplc="64DCDD14">
      <w:numFmt w:val="bullet"/>
      <w:lvlText w:val="•"/>
      <w:lvlJc w:val="left"/>
      <w:pPr>
        <w:ind w:left="6352" w:hanging="794"/>
      </w:pPr>
      <w:rPr>
        <w:rFonts w:hint="default"/>
        <w:lang w:val="en-US" w:eastAsia="en-US" w:bidi="en-US"/>
      </w:rPr>
    </w:lvl>
    <w:lvl w:ilvl="6" w:tplc="D3144B58">
      <w:numFmt w:val="bullet"/>
      <w:lvlText w:val="•"/>
      <w:lvlJc w:val="left"/>
      <w:pPr>
        <w:ind w:left="7263" w:hanging="794"/>
      </w:pPr>
      <w:rPr>
        <w:rFonts w:hint="default"/>
        <w:lang w:val="en-US" w:eastAsia="en-US" w:bidi="en-US"/>
      </w:rPr>
    </w:lvl>
    <w:lvl w:ilvl="7" w:tplc="F3A216F6">
      <w:numFmt w:val="bullet"/>
      <w:lvlText w:val="•"/>
      <w:lvlJc w:val="left"/>
      <w:pPr>
        <w:ind w:left="8173" w:hanging="794"/>
      </w:pPr>
      <w:rPr>
        <w:rFonts w:hint="default"/>
        <w:lang w:val="en-US" w:eastAsia="en-US" w:bidi="en-US"/>
      </w:rPr>
    </w:lvl>
    <w:lvl w:ilvl="8" w:tplc="4BE60764">
      <w:numFmt w:val="bullet"/>
      <w:lvlText w:val="•"/>
      <w:lvlJc w:val="left"/>
      <w:pPr>
        <w:ind w:left="9084" w:hanging="794"/>
      </w:pPr>
      <w:rPr>
        <w:rFonts w:hint="default"/>
        <w:lang w:val="en-US" w:eastAsia="en-US" w:bidi="en-US"/>
      </w:rPr>
    </w:lvl>
  </w:abstractNum>
  <w:abstractNum w:abstractNumId="168" w15:restartNumberingAfterBreak="0">
    <w:nsid w:val="72A1510B"/>
    <w:multiLevelType w:val="hybridMultilevel"/>
    <w:tmpl w:val="C5F01A1E"/>
    <w:lvl w:ilvl="0" w:tplc="3B2451F8">
      <w:start w:val="25"/>
      <w:numFmt w:val="decimal"/>
      <w:lvlText w:val="%1"/>
      <w:lvlJc w:val="left"/>
      <w:pPr>
        <w:ind w:left="1801" w:hanging="794"/>
        <w:jc w:val="left"/>
      </w:pPr>
      <w:rPr>
        <w:rFonts w:ascii="Raleway" w:eastAsia="Raleway" w:hAnsi="Raleway" w:cs="Raleway" w:hint="default"/>
        <w:color w:val="231F20"/>
        <w:spacing w:val="0"/>
        <w:w w:val="100"/>
        <w:sz w:val="13"/>
        <w:szCs w:val="13"/>
        <w:lang w:val="en-US" w:eastAsia="en-US" w:bidi="en-US"/>
      </w:rPr>
    </w:lvl>
    <w:lvl w:ilvl="1" w:tplc="FDAC43AA">
      <w:numFmt w:val="bullet"/>
      <w:lvlText w:val="•"/>
      <w:lvlJc w:val="left"/>
      <w:pPr>
        <w:ind w:left="2710" w:hanging="794"/>
      </w:pPr>
      <w:rPr>
        <w:rFonts w:hint="default"/>
        <w:lang w:val="en-US" w:eastAsia="en-US" w:bidi="en-US"/>
      </w:rPr>
    </w:lvl>
    <w:lvl w:ilvl="2" w:tplc="3C3894A8">
      <w:numFmt w:val="bullet"/>
      <w:lvlText w:val="•"/>
      <w:lvlJc w:val="left"/>
      <w:pPr>
        <w:ind w:left="3621" w:hanging="794"/>
      </w:pPr>
      <w:rPr>
        <w:rFonts w:hint="default"/>
        <w:lang w:val="en-US" w:eastAsia="en-US" w:bidi="en-US"/>
      </w:rPr>
    </w:lvl>
    <w:lvl w:ilvl="3" w:tplc="9C2487E0">
      <w:numFmt w:val="bullet"/>
      <w:lvlText w:val="•"/>
      <w:lvlJc w:val="left"/>
      <w:pPr>
        <w:ind w:left="4531" w:hanging="794"/>
      </w:pPr>
      <w:rPr>
        <w:rFonts w:hint="default"/>
        <w:lang w:val="en-US" w:eastAsia="en-US" w:bidi="en-US"/>
      </w:rPr>
    </w:lvl>
    <w:lvl w:ilvl="4" w:tplc="2CAAD196">
      <w:numFmt w:val="bullet"/>
      <w:lvlText w:val="•"/>
      <w:lvlJc w:val="left"/>
      <w:pPr>
        <w:ind w:left="5442" w:hanging="794"/>
      </w:pPr>
      <w:rPr>
        <w:rFonts w:hint="default"/>
        <w:lang w:val="en-US" w:eastAsia="en-US" w:bidi="en-US"/>
      </w:rPr>
    </w:lvl>
    <w:lvl w:ilvl="5" w:tplc="E0A80802">
      <w:numFmt w:val="bullet"/>
      <w:lvlText w:val="•"/>
      <w:lvlJc w:val="left"/>
      <w:pPr>
        <w:ind w:left="6352" w:hanging="794"/>
      </w:pPr>
      <w:rPr>
        <w:rFonts w:hint="default"/>
        <w:lang w:val="en-US" w:eastAsia="en-US" w:bidi="en-US"/>
      </w:rPr>
    </w:lvl>
    <w:lvl w:ilvl="6" w:tplc="AD8A1292">
      <w:numFmt w:val="bullet"/>
      <w:lvlText w:val="•"/>
      <w:lvlJc w:val="left"/>
      <w:pPr>
        <w:ind w:left="7263" w:hanging="794"/>
      </w:pPr>
      <w:rPr>
        <w:rFonts w:hint="default"/>
        <w:lang w:val="en-US" w:eastAsia="en-US" w:bidi="en-US"/>
      </w:rPr>
    </w:lvl>
    <w:lvl w:ilvl="7" w:tplc="E7A6562A">
      <w:numFmt w:val="bullet"/>
      <w:lvlText w:val="•"/>
      <w:lvlJc w:val="left"/>
      <w:pPr>
        <w:ind w:left="8173" w:hanging="794"/>
      </w:pPr>
      <w:rPr>
        <w:rFonts w:hint="default"/>
        <w:lang w:val="en-US" w:eastAsia="en-US" w:bidi="en-US"/>
      </w:rPr>
    </w:lvl>
    <w:lvl w:ilvl="8" w:tplc="00728140">
      <w:numFmt w:val="bullet"/>
      <w:lvlText w:val="•"/>
      <w:lvlJc w:val="left"/>
      <w:pPr>
        <w:ind w:left="9084" w:hanging="794"/>
      </w:pPr>
      <w:rPr>
        <w:rFonts w:hint="default"/>
        <w:lang w:val="en-US" w:eastAsia="en-US" w:bidi="en-US"/>
      </w:rPr>
    </w:lvl>
  </w:abstractNum>
  <w:abstractNum w:abstractNumId="169" w15:restartNumberingAfterBreak="0">
    <w:nsid w:val="731D61A3"/>
    <w:multiLevelType w:val="hybridMultilevel"/>
    <w:tmpl w:val="EF764364"/>
    <w:lvl w:ilvl="0" w:tplc="DD46486C">
      <w:numFmt w:val="bullet"/>
      <w:lvlText w:val="-"/>
      <w:lvlJc w:val="left"/>
      <w:pPr>
        <w:ind w:left="1347" w:hanging="341"/>
      </w:pPr>
      <w:rPr>
        <w:rFonts w:ascii="Raleway" w:eastAsia="Raleway" w:hAnsi="Raleway" w:cs="Raleway" w:hint="default"/>
        <w:color w:val="231F20"/>
        <w:spacing w:val="-6"/>
        <w:w w:val="99"/>
        <w:sz w:val="20"/>
        <w:szCs w:val="20"/>
        <w:lang w:val="en-US" w:eastAsia="en-US" w:bidi="en-US"/>
      </w:rPr>
    </w:lvl>
    <w:lvl w:ilvl="1" w:tplc="DBE0D54A">
      <w:numFmt w:val="bullet"/>
      <w:lvlText w:val="•"/>
      <w:lvlJc w:val="left"/>
      <w:pPr>
        <w:ind w:left="2296" w:hanging="341"/>
      </w:pPr>
      <w:rPr>
        <w:rFonts w:hint="default"/>
        <w:lang w:val="en-US" w:eastAsia="en-US" w:bidi="en-US"/>
      </w:rPr>
    </w:lvl>
    <w:lvl w:ilvl="2" w:tplc="13F4DAE4">
      <w:numFmt w:val="bullet"/>
      <w:lvlText w:val="•"/>
      <w:lvlJc w:val="left"/>
      <w:pPr>
        <w:ind w:left="3253" w:hanging="341"/>
      </w:pPr>
      <w:rPr>
        <w:rFonts w:hint="default"/>
        <w:lang w:val="en-US" w:eastAsia="en-US" w:bidi="en-US"/>
      </w:rPr>
    </w:lvl>
    <w:lvl w:ilvl="3" w:tplc="FECEE3CE">
      <w:numFmt w:val="bullet"/>
      <w:lvlText w:val="•"/>
      <w:lvlJc w:val="left"/>
      <w:pPr>
        <w:ind w:left="4209" w:hanging="341"/>
      </w:pPr>
      <w:rPr>
        <w:rFonts w:hint="default"/>
        <w:lang w:val="en-US" w:eastAsia="en-US" w:bidi="en-US"/>
      </w:rPr>
    </w:lvl>
    <w:lvl w:ilvl="4" w:tplc="EB20D48C">
      <w:numFmt w:val="bullet"/>
      <w:lvlText w:val="•"/>
      <w:lvlJc w:val="left"/>
      <w:pPr>
        <w:ind w:left="5166" w:hanging="341"/>
      </w:pPr>
      <w:rPr>
        <w:rFonts w:hint="default"/>
        <w:lang w:val="en-US" w:eastAsia="en-US" w:bidi="en-US"/>
      </w:rPr>
    </w:lvl>
    <w:lvl w:ilvl="5" w:tplc="B9BABD6C">
      <w:numFmt w:val="bullet"/>
      <w:lvlText w:val="•"/>
      <w:lvlJc w:val="left"/>
      <w:pPr>
        <w:ind w:left="6122" w:hanging="341"/>
      </w:pPr>
      <w:rPr>
        <w:rFonts w:hint="default"/>
        <w:lang w:val="en-US" w:eastAsia="en-US" w:bidi="en-US"/>
      </w:rPr>
    </w:lvl>
    <w:lvl w:ilvl="6" w:tplc="920EADFE">
      <w:numFmt w:val="bullet"/>
      <w:lvlText w:val="•"/>
      <w:lvlJc w:val="left"/>
      <w:pPr>
        <w:ind w:left="7079" w:hanging="341"/>
      </w:pPr>
      <w:rPr>
        <w:rFonts w:hint="default"/>
        <w:lang w:val="en-US" w:eastAsia="en-US" w:bidi="en-US"/>
      </w:rPr>
    </w:lvl>
    <w:lvl w:ilvl="7" w:tplc="8C9E13FA">
      <w:numFmt w:val="bullet"/>
      <w:lvlText w:val="•"/>
      <w:lvlJc w:val="left"/>
      <w:pPr>
        <w:ind w:left="8035" w:hanging="341"/>
      </w:pPr>
      <w:rPr>
        <w:rFonts w:hint="default"/>
        <w:lang w:val="en-US" w:eastAsia="en-US" w:bidi="en-US"/>
      </w:rPr>
    </w:lvl>
    <w:lvl w:ilvl="8" w:tplc="D6A884CC">
      <w:numFmt w:val="bullet"/>
      <w:lvlText w:val="•"/>
      <w:lvlJc w:val="left"/>
      <w:pPr>
        <w:ind w:left="8992" w:hanging="341"/>
      </w:pPr>
      <w:rPr>
        <w:rFonts w:hint="default"/>
        <w:lang w:val="en-US" w:eastAsia="en-US" w:bidi="en-US"/>
      </w:rPr>
    </w:lvl>
  </w:abstractNum>
  <w:abstractNum w:abstractNumId="170" w15:restartNumberingAfterBreak="0">
    <w:nsid w:val="73722E63"/>
    <w:multiLevelType w:val="multilevel"/>
    <w:tmpl w:val="B1801B92"/>
    <w:lvl w:ilvl="0">
      <w:start w:val="1"/>
      <w:numFmt w:val="decimal"/>
      <w:lvlText w:val="%1"/>
      <w:lvlJc w:val="left"/>
      <w:pPr>
        <w:ind w:left="1801" w:hanging="794"/>
        <w:jc w:val="left"/>
      </w:pPr>
      <w:rPr>
        <w:rFonts w:ascii="Raleway" w:eastAsia="Raleway" w:hAnsi="Raleway" w:cs="Raleway" w:hint="default"/>
        <w:color w:val="231F20"/>
        <w:spacing w:val="-3"/>
        <w:w w:val="99"/>
        <w:sz w:val="13"/>
        <w:szCs w:val="13"/>
        <w:lang w:val="en-US" w:eastAsia="en-US" w:bidi="en-US"/>
      </w:rPr>
    </w:lvl>
    <w:lvl w:ilvl="1">
      <w:start w:val="1"/>
      <w:numFmt w:val="decimal"/>
      <w:lvlText w:val="%1.%2"/>
      <w:lvlJc w:val="left"/>
      <w:pPr>
        <w:ind w:left="1801" w:hanging="794"/>
        <w:jc w:val="left"/>
      </w:pPr>
      <w:rPr>
        <w:rFonts w:ascii="Raleway" w:eastAsia="Raleway" w:hAnsi="Raleway" w:cs="Raleway" w:hint="default"/>
        <w:color w:val="231F20"/>
        <w:spacing w:val="-12"/>
        <w:w w:val="100"/>
        <w:sz w:val="20"/>
        <w:szCs w:val="20"/>
        <w:lang w:val="en-US" w:eastAsia="en-US" w:bidi="en-US"/>
      </w:rPr>
    </w:lvl>
    <w:lvl w:ilvl="2">
      <w:numFmt w:val="bullet"/>
      <w:lvlText w:val="•"/>
      <w:lvlJc w:val="left"/>
      <w:pPr>
        <w:ind w:left="2141" w:hanging="341"/>
      </w:pPr>
      <w:rPr>
        <w:rFonts w:ascii="Raleway" w:eastAsia="Raleway" w:hAnsi="Raleway" w:cs="Raleway" w:hint="default"/>
        <w:color w:val="231F20"/>
        <w:spacing w:val="-8"/>
        <w:w w:val="83"/>
        <w:sz w:val="20"/>
        <w:szCs w:val="20"/>
        <w:lang w:val="en-US" w:eastAsia="en-US" w:bidi="en-US"/>
      </w:rPr>
    </w:lvl>
    <w:lvl w:ilvl="3">
      <w:numFmt w:val="bullet"/>
      <w:lvlText w:val="•"/>
      <w:lvlJc w:val="left"/>
      <w:pPr>
        <w:ind w:left="4087" w:hanging="341"/>
      </w:pPr>
      <w:rPr>
        <w:rFonts w:hint="default"/>
        <w:lang w:val="en-US" w:eastAsia="en-US" w:bidi="en-US"/>
      </w:rPr>
    </w:lvl>
    <w:lvl w:ilvl="4">
      <w:numFmt w:val="bullet"/>
      <w:lvlText w:val="•"/>
      <w:lvlJc w:val="left"/>
      <w:pPr>
        <w:ind w:left="5061" w:hanging="341"/>
      </w:pPr>
      <w:rPr>
        <w:rFonts w:hint="default"/>
        <w:lang w:val="en-US" w:eastAsia="en-US" w:bidi="en-US"/>
      </w:rPr>
    </w:lvl>
    <w:lvl w:ilvl="5">
      <w:numFmt w:val="bullet"/>
      <w:lvlText w:val="•"/>
      <w:lvlJc w:val="left"/>
      <w:pPr>
        <w:ind w:left="6035" w:hanging="341"/>
      </w:pPr>
      <w:rPr>
        <w:rFonts w:hint="default"/>
        <w:lang w:val="en-US" w:eastAsia="en-US" w:bidi="en-US"/>
      </w:rPr>
    </w:lvl>
    <w:lvl w:ilvl="6">
      <w:numFmt w:val="bullet"/>
      <w:lvlText w:val="•"/>
      <w:lvlJc w:val="left"/>
      <w:pPr>
        <w:ind w:left="7009" w:hanging="341"/>
      </w:pPr>
      <w:rPr>
        <w:rFonts w:hint="default"/>
        <w:lang w:val="en-US" w:eastAsia="en-US" w:bidi="en-US"/>
      </w:rPr>
    </w:lvl>
    <w:lvl w:ilvl="7">
      <w:numFmt w:val="bullet"/>
      <w:lvlText w:val="•"/>
      <w:lvlJc w:val="left"/>
      <w:pPr>
        <w:ind w:left="7983" w:hanging="341"/>
      </w:pPr>
      <w:rPr>
        <w:rFonts w:hint="default"/>
        <w:lang w:val="en-US" w:eastAsia="en-US" w:bidi="en-US"/>
      </w:rPr>
    </w:lvl>
    <w:lvl w:ilvl="8">
      <w:numFmt w:val="bullet"/>
      <w:lvlText w:val="•"/>
      <w:lvlJc w:val="left"/>
      <w:pPr>
        <w:ind w:left="8957" w:hanging="341"/>
      </w:pPr>
      <w:rPr>
        <w:rFonts w:hint="default"/>
        <w:lang w:val="en-US" w:eastAsia="en-US" w:bidi="en-US"/>
      </w:rPr>
    </w:lvl>
  </w:abstractNum>
  <w:abstractNum w:abstractNumId="171" w15:restartNumberingAfterBreak="0">
    <w:nsid w:val="73857E3B"/>
    <w:multiLevelType w:val="hybridMultilevel"/>
    <w:tmpl w:val="029A07FC"/>
    <w:lvl w:ilvl="0" w:tplc="BDDC4448">
      <w:start w:val="92"/>
      <w:numFmt w:val="decimal"/>
      <w:lvlText w:val="%1"/>
      <w:lvlJc w:val="left"/>
      <w:pPr>
        <w:ind w:left="1801" w:hanging="794"/>
        <w:jc w:val="left"/>
      </w:pPr>
      <w:rPr>
        <w:rFonts w:ascii="Raleway" w:eastAsia="Raleway" w:hAnsi="Raleway" w:cs="Raleway" w:hint="default"/>
        <w:color w:val="231F20"/>
        <w:spacing w:val="-1"/>
        <w:w w:val="99"/>
        <w:sz w:val="13"/>
        <w:szCs w:val="13"/>
        <w:lang w:val="en-US" w:eastAsia="en-US" w:bidi="en-US"/>
      </w:rPr>
    </w:lvl>
    <w:lvl w:ilvl="1" w:tplc="CFF8D2B2">
      <w:numFmt w:val="bullet"/>
      <w:lvlText w:val="•"/>
      <w:lvlJc w:val="left"/>
      <w:pPr>
        <w:ind w:left="2710" w:hanging="794"/>
      </w:pPr>
      <w:rPr>
        <w:rFonts w:hint="default"/>
        <w:lang w:val="en-US" w:eastAsia="en-US" w:bidi="en-US"/>
      </w:rPr>
    </w:lvl>
    <w:lvl w:ilvl="2" w:tplc="AF7A86FC">
      <w:numFmt w:val="bullet"/>
      <w:lvlText w:val="•"/>
      <w:lvlJc w:val="left"/>
      <w:pPr>
        <w:ind w:left="3621" w:hanging="794"/>
      </w:pPr>
      <w:rPr>
        <w:rFonts w:hint="default"/>
        <w:lang w:val="en-US" w:eastAsia="en-US" w:bidi="en-US"/>
      </w:rPr>
    </w:lvl>
    <w:lvl w:ilvl="3" w:tplc="DE8ADEA8">
      <w:numFmt w:val="bullet"/>
      <w:lvlText w:val="•"/>
      <w:lvlJc w:val="left"/>
      <w:pPr>
        <w:ind w:left="4531" w:hanging="794"/>
      </w:pPr>
      <w:rPr>
        <w:rFonts w:hint="default"/>
        <w:lang w:val="en-US" w:eastAsia="en-US" w:bidi="en-US"/>
      </w:rPr>
    </w:lvl>
    <w:lvl w:ilvl="4" w:tplc="5582E214">
      <w:numFmt w:val="bullet"/>
      <w:lvlText w:val="•"/>
      <w:lvlJc w:val="left"/>
      <w:pPr>
        <w:ind w:left="5442" w:hanging="794"/>
      </w:pPr>
      <w:rPr>
        <w:rFonts w:hint="default"/>
        <w:lang w:val="en-US" w:eastAsia="en-US" w:bidi="en-US"/>
      </w:rPr>
    </w:lvl>
    <w:lvl w:ilvl="5" w:tplc="AE683C8C">
      <w:numFmt w:val="bullet"/>
      <w:lvlText w:val="•"/>
      <w:lvlJc w:val="left"/>
      <w:pPr>
        <w:ind w:left="6352" w:hanging="794"/>
      </w:pPr>
      <w:rPr>
        <w:rFonts w:hint="default"/>
        <w:lang w:val="en-US" w:eastAsia="en-US" w:bidi="en-US"/>
      </w:rPr>
    </w:lvl>
    <w:lvl w:ilvl="6" w:tplc="1E5867EC">
      <w:numFmt w:val="bullet"/>
      <w:lvlText w:val="•"/>
      <w:lvlJc w:val="left"/>
      <w:pPr>
        <w:ind w:left="7263" w:hanging="794"/>
      </w:pPr>
      <w:rPr>
        <w:rFonts w:hint="default"/>
        <w:lang w:val="en-US" w:eastAsia="en-US" w:bidi="en-US"/>
      </w:rPr>
    </w:lvl>
    <w:lvl w:ilvl="7" w:tplc="2014F740">
      <w:numFmt w:val="bullet"/>
      <w:lvlText w:val="•"/>
      <w:lvlJc w:val="left"/>
      <w:pPr>
        <w:ind w:left="8173" w:hanging="794"/>
      </w:pPr>
      <w:rPr>
        <w:rFonts w:hint="default"/>
        <w:lang w:val="en-US" w:eastAsia="en-US" w:bidi="en-US"/>
      </w:rPr>
    </w:lvl>
    <w:lvl w:ilvl="8" w:tplc="DDEC5372">
      <w:numFmt w:val="bullet"/>
      <w:lvlText w:val="•"/>
      <w:lvlJc w:val="left"/>
      <w:pPr>
        <w:ind w:left="9084" w:hanging="794"/>
      </w:pPr>
      <w:rPr>
        <w:rFonts w:hint="default"/>
        <w:lang w:val="en-US" w:eastAsia="en-US" w:bidi="en-US"/>
      </w:rPr>
    </w:lvl>
  </w:abstractNum>
  <w:abstractNum w:abstractNumId="172" w15:restartNumberingAfterBreak="0">
    <w:nsid w:val="75FE60FA"/>
    <w:multiLevelType w:val="hybridMultilevel"/>
    <w:tmpl w:val="306CE478"/>
    <w:lvl w:ilvl="0" w:tplc="5C42AF52">
      <w:numFmt w:val="bullet"/>
      <w:lvlText w:val="•"/>
      <w:lvlJc w:val="left"/>
      <w:pPr>
        <w:ind w:left="453" w:hanging="341"/>
      </w:pPr>
      <w:rPr>
        <w:rFonts w:ascii="Raleway" w:eastAsia="Raleway" w:hAnsi="Raleway" w:cs="Raleway" w:hint="default"/>
        <w:color w:val="231F20"/>
        <w:spacing w:val="-6"/>
        <w:w w:val="100"/>
        <w:sz w:val="20"/>
        <w:szCs w:val="20"/>
        <w:lang w:val="en-US" w:eastAsia="en-US" w:bidi="en-US"/>
      </w:rPr>
    </w:lvl>
    <w:lvl w:ilvl="1" w:tplc="587C246C">
      <w:numFmt w:val="bullet"/>
      <w:lvlText w:val="•"/>
      <w:lvlJc w:val="left"/>
      <w:pPr>
        <w:ind w:left="821" w:hanging="341"/>
      </w:pPr>
      <w:rPr>
        <w:rFonts w:hint="default"/>
        <w:lang w:val="en-US" w:eastAsia="en-US" w:bidi="en-US"/>
      </w:rPr>
    </w:lvl>
    <w:lvl w:ilvl="2" w:tplc="A9EA2ADE">
      <w:numFmt w:val="bullet"/>
      <w:lvlText w:val="•"/>
      <w:lvlJc w:val="left"/>
      <w:pPr>
        <w:ind w:left="1182" w:hanging="341"/>
      </w:pPr>
      <w:rPr>
        <w:rFonts w:hint="default"/>
        <w:lang w:val="en-US" w:eastAsia="en-US" w:bidi="en-US"/>
      </w:rPr>
    </w:lvl>
    <w:lvl w:ilvl="3" w:tplc="EE6AFF7E">
      <w:numFmt w:val="bullet"/>
      <w:lvlText w:val="•"/>
      <w:lvlJc w:val="left"/>
      <w:pPr>
        <w:ind w:left="1543" w:hanging="341"/>
      </w:pPr>
      <w:rPr>
        <w:rFonts w:hint="default"/>
        <w:lang w:val="en-US" w:eastAsia="en-US" w:bidi="en-US"/>
      </w:rPr>
    </w:lvl>
    <w:lvl w:ilvl="4" w:tplc="44ACDF26">
      <w:numFmt w:val="bullet"/>
      <w:lvlText w:val="•"/>
      <w:lvlJc w:val="left"/>
      <w:pPr>
        <w:ind w:left="1904" w:hanging="341"/>
      </w:pPr>
      <w:rPr>
        <w:rFonts w:hint="default"/>
        <w:lang w:val="en-US" w:eastAsia="en-US" w:bidi="en-US"/>
      </w:rPr>
    </w:lvl>
    <w:lvl w:ilvl="5" w:tplc="349249AA">
      <w:numFmt w:val="bullet"/>
      <w:lvlText w:val="•"/>
      <w:lvlJc w:val="left"/>
      <w:pPr>
        <w:ind w:left="2266" w:hanging="341"/>
      </w:pPr>
      <w:rPr>
        <w:rFonts w:hint="default"/>
        <w:lang w:val="en-US" w:eastAsia="en-US" w:bidi="en-US"/>
      </w:rPr>
    </w:lvl>
    <w:lvl w:ilvl="6" w:tplc="86562B26">
      <w:numFmt w:val="bullet"/>
      <w:lvlText w:val="•"/>
      <w:lvlJc w:val="left"/>
      <w:pPr>
        <w:ind w:left="2627" w:hanging="341"/>
      </w:pPr>
      <w:rPr>
        <w:rFonts w:hint="default"/>
        <w:lang w:val="en-US" w:eastAsia="en-US" w:bidi="en-US"/>
      </w:rPr>
    </w:lvl>
    <w:lvl w:ilvl="7" w:tplc="DA5469B6">
      <w:numFmt w:val="bullet"/>
      <w:lvlText w:val="•"/>
      <w:lvlJc w:val="left"/>
      <w:pPr>
        <w:ind w:left="2988" w:hanging="341"/>
      </w:pPr>
      <w:rPr>
        <w:rFonts w:hint="default"/>
        <w:lang w:val="en-US" w:eastAsia="en-US" w:bidi="en-US"/>
      </w:rPr>
    </w:lvl>
    <w:lvl w:ilvl="8" w:tplc="E65016B4">
      <w:numFmt w:val="bullet"/>
      <w:lvlText w:val="•"/>
      <w:lvlJc w:val="left"/>
      <w:pPr>
        <w:ind w:left="3349" w:hanging="341"/>
      </w:pPr>
      <w:rPr>
        <w:rFonts w:hint="default"/>
        <w:lang w:val="en-US" w:eastAsia="en-US" w:bidi="en-US"/>
      </w:rPr>
    </w:lvl>
  </w:abstractNum>
  <w:abstractNum w:abstractNumId="173" w15:restartNumberingAfterBreak="0">
    <w:nsid w:val="763E7310"/>
    <w:multiLevelType w:val="hybridMultilevel"/>
    <w:tmpl w:val="F9C837A2"/>
    <w:lvl w:ilvl="0" w:tplc="96A6F6D8">
      <w:start w:val="110"/>
      <w:numFmt w:val="decimal"/>
      <w:lvlText w:val="%1"/>
      <w:lvlJc w:val="left"/>
      <w:pPr>
        <w:ind w:left="1801" w:hanging="794"/>
        <w:jc w:val="right"/>
      </w:pPr>
      <w:rPr>
        <w:rFonts w:ascii="Raleway" w:eastAsia="Raleway" w:hAnsi="Raleway" w:cs="Raleway" w:hint="default"/>
        <w:color w:val="231F20"/>
        <w:spacing w:val="-5"/>
        <w:w w:val="100"/>
        <w:sz w:val="13"/>
        <w:szCs w:val="13"/>
        <w:lang w:val="en-US" w:eastAsia="en-US" w:bidi="en-US"/>
      </w:rPr>
    </w:lvl>
    <w:lvl w:ilvl="1" w:tplc="62CA4912">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2" w:tplc="94749536">
      <w:numFmt w:val="bullet"/>
      <w:lvlText w:val="•"/>
      <w:lvlJc w:val="left"/>
      <w:pPr>
        <w:ind w:left="2977" w:hanging="341"/>
      </w:pPr>
      <w:rPr>
        <w:rFonts w:hint="default"/>
        <w:lang w:val="en-US" w:eastAsia="en-US" w:bidi="en-US"/>
      </w:rPr>
    </w:lvl>
    <w:lvl w:ilvl="3" w:tplc="B87AC92A">
      <w:numFmt w:val="bullet"/>
      <w:lvlText w:val="•"/>
      <w:lvlJc w:val="left"/>
      <w:pPr>
        <w:ind w:left="3815" w:hanging="341"/>
      </w:pPr>
      <w:rPr>
        <w:rFonts w:hint="default"/>
        <w:lang w:val="en-US" w:eastAsia="en-US" w:bidi="en-US"/>
      </w:rPr>
    </w:lvl>
    <w:lvl w:ilvl="4" w:tplc="D5BE7A48">
      <w:numFmt w:val="bullet"/>
      <w:lvlText w:val="•"/>
      <w:lvlJc w:val="left"/>
      <w:pPr>
        <w:ind w:left="4653" w:hanging="341"/>
      </w:pPr>
      <w:rPr>
        <w:rFonts w:hint="default"/>
        <w:lang w:val="en-US" w:eastAsia="en-US" w:bidi="en-US"/>
      </w:rPr>
    </w:lvl>
    <w:lvl w:ilvl="5" w:tplc="B304523A">
      <w:numFmt w:val="bullet"/>
      <w:lvlText w:val="•"/>
      <w:lvlJc w:val="left"/>
      <w:pPr>
        <w:ind w:left="5491" w:hanging="341"/>
      </w:pPr>
      <w:rPr>
        <w:rFonts w:hint="default"/>
        <w:lang w:val="en-US" w:eastAsia="en-US" w:bidi="en-US"/>
      </w:rPr>
    </w:lvl>
    <w:lvl w:ilvl="6" w:tplc="F4948B7A">
      <w:numFmt w:val="bullet"/>
      <w:lvlText w:val="•"/>
      <w:lvlJc w:val="left"/>
      <w:pPr>
        <w:ind w:left="6329" w:hanging="341"/>
      </w:pPr>
      <w:rPr>
        <w:rFonts w:hint="default"/>
        <w:lang w:val="en-US" w:eastAsia="en-US" w:bidi="en-US"/>
      </w:rPr>
    </w:lvl>
    <w:lvl w:ilvl="7" w:tplc="4B42889E">
      <w:numFmt w:val="bullet"/>
      <w:lvlText w:val="•"/>
      <w:lvlJc w:val="left"/>
      <w:pPr>
        <w:ind w:left="7167" w:hanging="341"/>
      </w:pPr>
      <w:rPr>
        <w:rFonts w:hint="default"/>
        <w:lang w:val="en-US" w:eastAsia="en-US" w:bidi="en-US"/>
      </w:rPr>
    </w:lvl>
    <w:lvl w:ilvl="8" w:tplc="BAE44386">
      <w:numFmt w:val="bullet"/>
      <w:lvlText w:val="•"/>
      <w:lvlJc w:val="left"/>
      <w:pPr>
        <w:ind w:left="8005" w:hanging="341"/>
      </w:pPr>
      <w:rPr>
        <w:rFonts w:hint="default"/>
        <w:lang w:val="en-US" w:eastAsia="en-US" w:bidi="en-US"/>
      </w:rPr>
    </w:lvl>
  </w:abstractNum>
  <w:abstractNum w:abstractNumId="174" w15:restartNumberingAfterBreak="0">
    <w:nsid w:val="77AF5841"/>
    <w:multiLevelType w:val="hybridMultilevel"/>
    <w:tmpl w:val="D772EA10"/>
    <w:lvl w:ilvl="0" w:tplc="E590739E">
      <w:numFmt w:val="bullet"/>
      <w:lvlText w:val="-"/>
      <w:lvlJc w:val="left"/>
      <w:pPr>
        <w:ind w:left="1347" w:hanging="341"/>
      </w:pPr>
      <w:rPr>
        <w:rFonts w:ascii="Raleway" w:eastAsia="Raleway" w:hAnsi="Raleway" w:cs="Raleway" w:hint="default"/>
        <w:color w:val="231F20"/>
        <w:spacing w:val="-19"/>
        <w:w w:val="99"/>
        <w:sz w:val="20"/>
        <w:szCs w:val="20"/>
        <w:lang w:val="en-US" w:eastAsia="en-US" w:bidi="en-US"/>
      </w:rPr>
    </w:lvl>
    <w:lvl w:ilvl="1" w:tplc="E8548C28">
      <w:numFmt w:val="bullet"/>
      <w:lvlText w:val="•"/>
      <w:lvlJc w:val="left"/>
      <w:pPr>
        <w:ind w:left="2296" w:hanging="341"/>
      </w:pPr>
      <w:rPr>
        <w:rFonts w:hint="default"/>
        <w:lang w:val="en-US" w:eastAsia="en-US" w:bidi="en-US"/>
      </w:rPr>
    </w:lvl>
    <w:lvl w:ilvl="2" w:tplc="7BC84724">
      <w:numFmt w:val="bullet"/>
      <w:lvlText w:val="•"/>
      <w:lvlJc w:val="left"/>
      <w:pPr>
        <w:ind w:left="3253" w:hanging="341"/>
      </w:pPr>
      <w:rPr>
        <w:rFonts w:hint="default"/>
        <w:lang w:val="en-US" w:eastAsia="en-US" w:bidi="en-US"/>
      </w:rPr>
    </w:lvl>
    <w:lvl w:ilvl="3" w:tplc="9D22CE6A">
      <w:numFmt w:val="bullet"/>
      <w:lvlText w:val="•"/>
      <w:lvlJc w:val="left"/>
      <w:pPr>
        <w:ind w:left="4209" w:hanging="341"/>
      </w:pPr>
      <w:rPr>
        <w:rFonts w:hint="default"/>
        <w:lang w:val="en-US" w:eastAsia="en-US" w:bidi="en-US"/>
      </w:rPr>
    </w:lvl>
    <w:lvl w:ilvl="4" w:tplc="646AC188">
      <w:numFmt w:val="bullet"/>
      <w:lvlText w:val="•"/>
      <w:lvlJc w:val="left"/>
      <w:pPr>
        <w:ind w:left="5166" w:hanging="341"/>
      </w:pPr>
      <w:rPr>
        <w:rFonts w:hint="default"/>
        <w:lang w:val="en-US" w:eastAsia="en-US" w:bidi="en-US"/>
      </w:rPr>
    </w:lvl>
    <w:lvl w:ilvl="5" w:tplc="2160A6D4">
      <w:numFmt w:val="bullet"/>
      <w:lvlText w:val="•"/>
      <w:lvlJc w:val="left"/>
      <w:pPr>
        <w:ind w:left="6122" w:hanging="341"/>
      </w:pPr>
      <w:rPr>
        <w:rFonts w:hint="default"/>
        <w:lang w:val="en-US" w:eastAsia="en-US" w:bidi="en-US"/>
      </w:rPr>
    </w:lvl>
    <w:lvl w:ilvl="6" w:tplc="A82ACCB2">
      <w:numFmt w:val="bullet"/>
      <w:lvlText w:val="•"/>
      <w:lvlJc w:val="left"/>
      <w:pPr>
        <w:ind w:left="7079" w:hanging="341"/>
      </w:pPr>
      <w:rPr>
        <w:rFonts w:hint="default"/>
        <w:lang w:val="en-US" w:eastAsia="en-US" w:bidi="en-US"/>
      </w:rPr>
    </w:lvl>
    <w:lvl w:ilvl="7" w:tplc="56264602">
      <w:numFmt w:val="bullet"/>
      <w:lvlText w:val="•"/>
      <w:lvlJc w:val="left"/>
      <w:pPr>
        <w:ind w:left="8035" w:hanging="341"/>
      </w:pPr>
      <w:rPr>
        <w:rFonts w:hint="default"/>
        <w:lang w:val="en-US" w:eastAsia="en-US" w:bidi="en-US"/>
      </w:rPr>
    </w:lvl>
    <w:lvl w:ilvl="8" w:tplc="34923C48">
      <w:numFmt w:val="bullet"/>
      <w:lvlText w:val="•"/>
      <w:lvlJc w:val="left"/>
      <w:pPr>
        <w:ind w:left="8992" w:hanging="341"/>
      </w:pPr>
      <w:rPr>
        <w:rFonts w:hint="default"/>
        <w:lang w:val="en-US" w:eastAsia="en-US" w:bidi="en-US"/>
      </w:rPr>
    </w:lvl>
  </w:abstractNum>
  <w:abstractNum w:abstractNumId="175" w15:restartNumberingAfterBreak="0">
    <w:nsid w:val="77DB51D4"/>
    <w:multiLevelType w:val="hybridMultilevel"/>
    <w:tmpl w:val="08982DDC"/>
    <w:lvl w:ilvl="0" w:tplc="B79A00C6">
      <w:numFmt w:val="bullet"/>
      <w:lvlText w:val="•"/>
      <w:lvlJc w:val="left"/>
      <w:pPr>
        <w:ind w:left="453" w:hanging="341"/>
      </w:pPr>
      <w:rPr>
        <w:rFonts w:ascii="Raleway" w:eastAsia="Raleway" w:hAnsi="Raleway" w:cs="Raleway" w:hint="default"/>
        <w:color w:val="231F20"/>
        <w:spacing w:val="-6"/>
        <w:w w:val="100"/>
        <w:sz w:val="20"/>
        <w:szCs w:val="20"/>
        <w:lang w:val="en-US" w:eastAsia="en-US" w:bidi="en-US"/>
      </w:rPr>
    </w:lvl>
    <w:lvl w:ilvl="1" w:tplc="F788DA48">
      <w:numFmt w:val="bullet"/>
      <w:lvlText w:val="•"/>
      <w:lvlJc w:val="left"/>
      <w:pPr>
        <w:ind w:left="993" w:hanging="341"/>
      </w:pPr>
      <w:rPr>
        <w:rFonts w:hint="default"/>
        <w:lang w:val="en-US" w:eastAsia="en-US" w:bidi="en-US"/>
      </w:rPr>
    </w:lvl>
    <w:lvl w:ilvl="2" w:tplc="AE7C6E9C">
      <w:numFmt w:val="bullet"/>
      <w:lvlText w:val="•"/>
      <w:lvlJc w:val="left"/>
      <w:pPr>
        <w:ind w:left="1527" w:hanging="341"/>
      </w:pPr>
      <w:rPr>
        <w:rFonts w:hint="default"/>
        <w:lang w:val="en-US" w:eastAsia="en-US" w:bidi="en-US"/>
      </w:rPr>
    </w:lvl>
    <w:lvl w:ilvl="3" w:tplc="CDEA316C">
      <w:numFmt w:val="bullet"/>
      <w:lvlText w:val="•"/>
      <w:lvlJc w:val="left"/>
      <w:pPr>
        <w:ind w:left="2061" w:hanging="341"/>
      </w:pPr>
      <w:rPr>
        <w:rFonts w:hint="default"/>
        <w:lang w:val="en-US" w:eastAsia="en-US" w:bidi="en-US"/>
      </w:rPr>
    </w:lvl>
    <w:lvl w:ilvl="4" w:tplc="5F966DCE">
      <w:numFmt w:val="bullet"/>
      <w:lvlText w:val="•"/>
      <w:lvlJc w:val="left"/>
      <w:pPr>
        <w:ind w:left="2595" w:hanging="341"/>
      </w:pPr>
      <w:rPr>
        <w:rFonts w:hint="default"/>
        <w:lang w:val="en-US" w:eastAsia="en-US" w:bidi="en-US"/>
      </w:rPr>
    </w:lvl>
    <w:lvl w:ilvl="5" w:tplc="F7D8B400">
      <w:numFmt w:val="bullet"/>
      <w:lvlText w:val="•"/>
      <w:lvlJc w:val="left"/>
      <w:pPr>
        <w:ind w:left="3129" w:hanging="341"/>
      </w:pPr>
      <w:rPr>
        <w:rFonts w:hint="default"/>
        <w:lang w:val="en-US" w:eastAsia="en-US" w:bidi="en-US"/>
      </w:rPr>
    </w:lvl>
    <w:lvl w:ilvl="6" w:tplc="D876ACCA">
      <w:numFmt w:val="bullet"/>
      <w:lvlText w:val="•"/>
      <w:lvlJc w:val="left"/>
      <w:pPr>
        <w:ind w:left="3662" w:hanging="341"/>
      </w:pPr>
      <w:rPr>
        <w:rFonts w:hint="default"/>
        <w:lang w:val="en-US" w:eastAsia="en-US" w:bidi="en-US"/>
      </w:rPr>
    </w:lvl>
    <w:lvl w:ilvl="7" w:tplc="3E42F876">
      <w:numFmt w:val="bullet"/>
      <w:lvlText w:val="•"/>
      <w:lvlJc w:val="left"/>
      <w:pPr>
        <w:ind w:left="4196" w:hanging="341"/>
      </w:pPr>
      <w:rPr>
        <w:rFonts w:hint="default"/>
        <w:lang w:val="en-US" w:eastAsia="en-US" w:bidi="en-US"/>
      </w:rPr>
    </w:lvl>
    <w:lvl w:ilvl="8" w:tplc="633A3E40">
      <w:numFmt w:val="bullet"/>
      <w:lvlText w:val="•"/>
      <w:lvlJc w:val="left"/>
      <w:pPr>
        <w:ind w:left="4730" w:hanging="341"/>
      </w:pPr>
      <w:rPr>
        <w:rFonts w:hint="default"/>
        <w:lang w:val="en-US" w:eastAsia="en-US" w:bidi="en-US"/>
      </w:rPr>
    </w:lvl>
  </w:abstractNum>
  <w:abstractNum w:abstractNumId="176" w15:restartNumberingAfterBreak="0">
    <w:nsid w:val="780E140F"/>
    <w:multiLevelType w:val="hybridMultilevel"/>
    <w:tmpl w:val="76C622D2"/>
    <w:lvl w:ilvl="0" w:tplc="144CF198">
      <w:start w:val="236"/>
      <w:numFmt w:val="decimal"/>
      <w:lvlText w:val="%1"/>
      <w:lvlJc w:val="left"/>
      <w:pPr>
        <w:ind w:left="1801" w:hanging="794"/>
        <w:jc w:val="right"/>
      </w:pPr>
      <w:rPr>
        <w:rFonts w:ascii="Raleway" w:eastAsia="Raleway" w:hAnsi="Raleway" w:cs="Raleway" w:hint="default"/>
        <w:color w:val="231F20"/>
        <w:spacing w:val="-6"/>
        <w:w w:val="99"/>
        <w:sz w:val="13"/>
        <w:szCs w:val="13"/>
        <w:lang w:val="en-US" w:eastAsia="en-US" w:bidi="en-US"/>
      </w:rPr>
    </w:lvl>
    <w:lvl w:ilvl="1" w:tplc="D6EEF36E">
      <w:numFmt w:val="bullet"/>
      <w:lvlText w:val="•"/>
      <w:lvlJc w:val="left"/>
      <w:pPr>
        <w:ind w:left="2584" w:hanging="794"/>
      </w:pPr>
      <w:rPr>
        <w:rFonts w:hint="default"/>
        <w:lang w:val="en-US" w:eastAsia="en-US" w:bidi="en-US"/>
      </w:rPr>
    </w:lvl>
    <w:lvl w:ilvl="2" w:tplc="73562380">
      <w:numFmt w:val="bullet"/>
      <w:lvlText w:val="•"/>
      <w:lvlJc w:val="left"/>
      <w:pPr>
        <w:ind w:left="3369" w:hanging="794"/>
      </w:pPr>
      <w:rPr>
        <w:rFonts w:hint="default"/>
        <w:lang w:val="en-US" w:eastAsia="en-US" w:bidi="en-US"/>
      </w:rPr>
    </w:lvl>
    <w:lvl w:ilvl="3" w:tplc="45C61A08">
      <w:numFmt w:val="bullet"/>
      <w:lvlText w:val="•"/>
      <w:lvlJc w:val="left"/>
      <w:pPr>
        <w:ind w:left="4154" w:hanging="794"/>
      </w:pPr>
      <w:rPr>
        <w:rFonts w:hint="default"/>
        <w:lang w:val="en-US" w:eastAsia="en-US" w:bidi="en-US"/>
      </w:rPr>
    </w:lvl>
    <w:lvl w:ilvl="4" w:tplc="22F2268E">
      <w:numFmt w:val="bullet"/>
      <w:lvlText w:val="•"/>
      <w:lvlJc w:val="left"/>
      <w:pPr>
        <w:ind w:left="4939" w:hanging="794"/>
      </w:pPr>
      <w:rPr>
        <w:rFonts w:hint="default"/>
        <w:lang w:val="en-US" w:eastAsia="en-US" w:bidi="en-US"/>
      </w:rPr>
    </w:lvl>
    <w:lvl w:ilvl="5" w:tplc="7ECAA6F4">
      <w:numFmt w:val="bullet"/>
      <w:lvlText w:val="•"/>
      <w:lvlJc w:val="left"/>
      <w:pPr>
        <w:ind w:left="5724" w:hanging="794"/>
      </w:pPr>
      <w:rPr>
        <w:rFonts w:hint="default"/>
        <w:lang w:val="en-US" w:eastAsia="en-US" w:bidi="en-US"/>
      </w:rPr>
    </w:lvl>
    <w:lvl w:ilvl="6" w:tplc="725238F4">
      <w:numFmt w:val="bullet"/>
      <w:lvlText w:val="•"/>
      <w:lvlJc w:val="left"/>
      <w:pPr>
        <w:ind w:left="6509" w:hanging="794"/>
      </w:pPr>
      <w:rPr>
        <w:rFonts w:hint="default"/>
        <w:lang w:val="en-US" w:eastAsia="en-US" w:bidi="en-US"/>
      </w:rPr>
    </w:lvl>
    <w:lvl w:ilvl="7" w:tplc="30F4671C">
      <w:numFmt w:val="bullet"/>
      <w:lvlText w:val="•"/>
      <w:lvlJc w:val="left"/>
      <w:pPr>
        <w:ind w:left="7294" w:hanging="794"/>
      </w:pPr>
      <w:rPr>
        <w:rFonts w:hint="default"/>
        <w:lang w:val="en-US" w:eastAsia="en-US" w:bidi="en-US"/>
      </w:rPr>
    </w:lvl>
    <w:lvl w:ilvl="8" w:tplc="3B326764">
      <w:numFmt w:val="bullet"/>
      <w:lvlText w:val="•"/>
      <w:lvlJc w:val="left"/>
      <w:pPr>
        <w:ind w:left="8079" w:hanging="794"/>
      </w:pPr>
      <w:rPr>
        <w:rFonts w:hint="default"/>
        <w:lang w:val="en-US" w:eastAsia="en-US" w:bidi="en-US"/>
      </w:rPr>
    </w:lvl>
  </w:abstractNum>
  <w:abstractNum w:abstractNumId="177" w15:restartNumberingAfterBreak="0">
    <w:nsid w:val="786164A3"/>
    <w:multiLevelType w:val="hybridMultilevel"/>
    <w:tmpl w:val="3B8E250E"/>
    <w:lvl w:ilvl="0" w:tplc="F426D998">
      <w:start w:val="17"/>
      <w:numFmt w:val="decimal"/>
      <w:lvlText w:val="%1"/>
      <w:lvlJc w:val="left"/>
      <w:pPr>
        <w:ind w:left="1801" w:hanging="794"/>
        <w:jc w:val="left"/>
      </w:pPr>
      <w:rPr>
        <w:rFonts w:ascii="Raleway" w:eastAsia="Raleway" w:hAnsi="Raleway" w:cs="Raleway" w:hint="default"/>
        <w:color w:val="231F20"/>
        <w:spacing w:val="-2"/>
        <w:w w:val="100"/>
        <w:sz w:val="13"/>
        <w:szCs w:val="13"/>
        <w:lang w:val="en-US" w:eastAsia="en-US" w:bidi="en-US"/>
      </w:rPr>
    </w:lvl>
    <w:lvl w:ilvl="1" w:tplc="2098E4A0">
      <w:numFmt w:val="bullet"/>
      <w:lvlText w:val="•"/>
      <w:lvlJc w:val="left"/>
      <w:pPr>
        <w:ind w:left="2710" w:hanging="794"/>
      </w:pPr>
      <w:rPr>
        <w:rFonts w:hint="default"/>
        <w:lang w:val="en-US" w:eastAsia="en-US" w:bidi="en-US"/>
      </w:rPr>
    </w:lvl>
    <w:lvl w:ilvl="2" w:tplc="8B641DD4">
      <w:numFmt w:val="bullet"/>
      <w:lvlText w:val="•"/>
      <w:lvlJc w:val="left"/>
      <w:pPr>
        <w:ind w:left="3621" w:hanging="794"/>
      </w:pPr>
      <w:rPr>
        <w:rFonts w:hint="default"/>
        <w:lang w:val="en-US" w:eastAsia="en-US" w:bidi="en-US"/>
      </w:rPr>
    </w:lvl>
    <w:lvl w:ilvl="3" w:tplc="9F588DF8">
      <w:numFmt w:val="bullet"/>
      <w:lvlText w:val="•"/>
      <w:lvlJc w:val="left"/>
      <w:pPr>
        <w:ind w:left="4531" w:hanging="794"/>
      </w:pPr>
      <w:rPr>
        <w:rFonts w:hint="default"/>
        <w:lang w:val="en-US" w:eastAsia="en-US" w:bidi="en-US"/>
      </w:rPr>
    </w:lvl>
    <w:lvl w:ilvl="4" w:tplc="02A24B02">
      <w:numFmt w:val="bullet"/>
      <w:lvlText w:val="•"/>
      <w:lvlJc w:val="left"/>
      <w:pPr>
        <w:ind w:left="5442" w:hanging="794"/>
      </w:pPr>
      <w:rPr>
        <w:rFonts w:hint="default"/>
        <w:lang w:val="en-US" w:eastAsia="en-US" w:bidi="en-US"/>
      </w:rPr>
    </w:lvl>
    <w:lvl w:ilvl="5" w:tplc="0ED8BDC6">
      <w:numFmt w:val="bullet"/>
      <w:lvlText w:val="•"/>
      <w:lvlJc w:val="left"/>
      <w:pPr>
        <w:ind w:left="6352" w:hanging="794"/>
      </w:pPr>
      <w:rPr>
        <w:rFonts w:hint="default"/>
        <w:lang w:val="en-US" w:eastAsia="en-US" w:bidi="en-US"/>
      </w:rPr>
    </w:lvl>
    <w:lvl w:ilvl="6" w:tplc="D6E48FE0">
      <w:numFmt w:val="bullet"/>
      <w:lvlText w:val="•"/>
      <w:lvlJc w:val="left"/>
      <w:pPr>
        <w:ind w:left="7263" w:hanging="794"/>
      </w:pPr>
      <w:rPr>
        <w:rFonts w:hint="default"/>
        <w:lang w:val="en-US" w:eastAsia="en-US" w:bidi="en-US"/>
      </w:rPr>
    </w:lvl>
    <w:lvl w:ilvl="7" w:tplc="0E788B84">
      <w:numFmt w:val="bullet"/>
      <w:lvlText w:val="•"/>
      <w:lvlJc w:val="left"/>
      <w:pPr>
        <w:ind w:left="8173" w:hanging="794"/>
      </w:pPr>
      <w:rPr>
        <w:rFonts w:hint="default"/>
        <w:lang w:val="en-US" w:eastAsia="en-US" w:bidi="en-US"/>
      </w:rPr>
    </w:lvl>
    <w:lvl w:ilvl="8" w:tplc="C2FA8A9C">
      <w:numFmt w:val="bullet"/>
      <w:lvlText w:val="•"/>
      <w:lvlJc w:val="left"/>
      <w:pPr>
        <w:ind w:left="9084" w:hanging="794"/>
      </w:pPr>
      <w:rPr>
        <w:rFonts w:hint="default"/>
        <w:lang w:val="en-US" w:eastAsia="en-US" w:bidi="en-US"/>
      </w:rPr>
    </w:lvl>
  </w:abstractNum>
  <w:abstractNum w:abstractNumId="178" w15:restartNumberingAfterBreak="0">
    <w:nsid w:val="786A5076"/>
    <w:multiLevelType w:val="hybridMultilevel"/>
    <w:tmpl w:val="24D0A886"/>
    <w:lvl w:ilvl="0" w:tplc="940409C2">
      <w:start w:val="2"/>
      <w:numFmt w:val="lowerLetter"/>
      <w:lvlText w:val="%1."/>
      <w:lvlJc w:val="left"/>
      <w:pPr>
        <w:ind w:left="2481" w:hanging="674"/>
        <w:jc w:val="left"/>
      </w:pPr>
      <w:rPr>
        <w:rFonts w:ascii="Trebuchet MS" w:eastAsia="Trebuchet MS" w:hAnsi="Trebuchet MS" w:cs="Trebuchet MS" w:hint="default"/>
        <w:color w:val="231F20"/>
        <w:spacing w:val="-3"/>
        <w:w w:val="55"/>
        <w:sz w:val="20"/>
        <w:szCs w:val="20"/>
        <w:lang w:val="en-US" w:eastAsia="en-US" w:bidi="en-US"/>
      </w:rPr>
    </w:lvl>
    <w:lvl w:ilvl="1" w:tplc="BEE4DF52">
      <w:numFmt w:val="bullet"/>
      <w:lvlText w:val="•"/>
      <w:lvlJc w:val="left"/>
      <w:pPr>
        <w:ind w:left="3161" w:hanging="681"/>
      </w:pPr>
      <w:rPr>
        <w:rFonts w:ascii="Trebuchet MS" w:eastAsia="Trebuchet MS" w:hAnsi="Trebuchet MS" w:cs="Trebuchet MS" w:hint="default"/>
        <w:color w:val="231F20"/>
        <w:w w:val="67"/>
        <w:sz w:val="20"/>
        <w:szCs w:val="20"/>
        <w:lang w:val="en-US" w:eastAsia="en-US" w:bidi="en-US"/>
      </w:rPr>
    </w:lvl>
    <w:lvl w:ilvl="2" w:tplc="C9A0ACCE">
      <w:numFmt w:val="bullet"/>
      <w:lvlText w:val="•"/>
      <w:lvlJc w:val="left"/>
      <w:pPr>
        <w:ind w:left="4020" w:hanging="681"/>
      </w:pPr>
      <w:rPr>
        <w:rFonts w:hint="default"/>
        <w:lang w:val="en-US" w:eastAsia="en-US" w:bidi="en-US"/>
      </w:rPr>
    </w:lvl>
    <w:lvl w:ilvl="3" w:tplc="DE88B31C">
      <w:numFmt w:val="bullet"/>
      <w:lvlText w:val="•"/>
      <w:lvlJc w:val="left"/>
      <w:pPr>
        <w:ind w:left="4881" w:hanging="681"/>
      </w:pPr>
      <w:rPr>
        <w:rFonts w:hint="default"/>
        <w:lang w:val="en-US" w:eastAsia="en-US" w:bidi="en-US"/>
      </w:rPr>
    </w:lvl>
    <w:lvl w:ilvl="4" w:tplc="A9549CFC">
      <w:numFmt w:val="bullet"/>
      <w:lvlText w:val="•"/>
      <w:lvlJc w:val="left"/>
      <w:pPr>
        <w:ind w:left="5741" w:hanging="681"/>
      </w:pPr>
      <w:rPr>
        <w:rFonts w:hint="default"/>
        <w:lang w:val="en-US" w:eastAsia="en-US" w:bidi="en-US"/>
      </w:rPr>
    </w:lvl>
    <w:lvl w:ilvl="5" w:tplc="0B66ABD2">
      <w:numFmt w:val="bullet"/>
      <w:lvlText w:val="•"/>
      <w:lvlJc w:val="left"/>
      <w:pPr>
        <w:ind w:left="6602" w:hanging="681"/>
      </w:pPr>
      <w:rPr>
        <w:rFonts w:hint="default"/>
        <w:lang w:val="en-US" w:eastAsia="en-US" w:bidi="en-US"/>
      </w:rPr>
    </w:lvl>
    <w:lvl w:ilvl="6" w:tplc="1800309A">
      <w:numFmt w:val="bullet"/>
      <w:lvlText w:val="•"/>
      <w:lvlJc w:val="left"/>
      <w:pPr>
        <w:ind w:left="7463" w:hanging="681"/>
      </w:pPr>
      <w:rPr>
        <w:rFonts w:hint="default"/>
        <w:lang w:val="en-US" w:eastAsia="en-US" w:bidi="en-US"/>
      </w:rPr>
    </w:lvl>
    <w:lvl w:ilvl="7" w:tplc="D5C8FE5C">
      <w:numFmt w:val="bullet"/>
      <w:lvlText w:val="•"/>
      <w:lvlJc w:val="left"/>
      <w:pPr>
        <w:ind w:left="8323" w:hanging="681"/>
      </w:pPr>
      <w:rPr>
        <w:rFonts w:hint="default"/>
        <w:lang w:val="en-US" w:eastAsia="en-US" w:bidi="en-US"/>
      </w:rPr>
    </w:lvl>
    <w:lvl w:ilvl="8" w:tplc="9940972E">
      <w:numFmt w:val="bullet"/>
      <w:lvlText w:val="•"/>
      <w:lvlJc w:val="left"/>
      <w:pPr>
        <w:ind w:left="9184" w:hanging="681"/>
      </w:pPr>
      <w:rPr>
        <w:rFonts w:hint="default"/>
        <w:lang w:val="en-US" w:eastAsia="en-US" w:bidi="en-US"/>
      </w:rPr>
    </w:lvl>
  </w:abstractNum>
  <w:abstractNum w:abstractNumId="179" w15:restartNumberingAfterBreak="0">
    <w:nsid w:val="79045EA7"/>
    <w:multiLevelType w:val="hybridMultilevel"/>
    <w:tmpl w:val="D5A25BE6"/>
    <w:lvl w:ilvl="0" w:tplc="F3407376">
      <w:start w:val="213"/>
      <w:numFmt w:val="decimal"/>
      <w:lvlText w:val="%1"/>
      <w:lvlJc w:val="left"/>
      <w:pPr>
        <w:ind w:left="1801" w:hanging="794"/>
        <w:jc w:val="right"/>
      </w:pPr>
      <w:rPr>
        <w:rFonts w:ascii="Raleway" w:eastAsia="Raleway" w:hAnsi="Raleway" w:cs="Raleway" w:hint="default"/>
        <w:color w:val="231F20"/>
        <w:spacing w:val="-1"/>
        <w:w w:val="99"/>
        <w:sz w:val="13"/>
        <w:szCs w:val="13"/>
        <w:lang w:val="en-US" w:eastAsia="en-US" w:bidi="en-US"/>
      </w:rPr>
    </w:lvl>
    <w:lvl w:ilvl="1" w:tplc="E30CD800">
      <w:numFmt w:val="bullet"/>
      <w:lvlText w:val="•"/>
      <w:lvlJc w:val="left"/>
      <w:pPr>
        <w:ind w:left="2586" w:hanging="794"/>
      </w:pPr>
      <w:rPr>
        <w:rFonts w:hint="default"/>
        <w:lang w:val="en-US" w:eastAsia="en-US" w:bidi="en-US"/>
      </w:rPr>
    </w:lvl>
    <w:lvl w:ilvl="2" w:tplc="0BA0719A">
      <w:numFmt w:val="bullet"/>
      <w:lvlText w:val="•"/>
      <w:lvlJc w:val="left"/>
      <w:pPr>
        <w:ind w:left="3372" w:hanging="794"/>
      </w:pPr>
      <w:rPr>
        <w:rFonts w:hint="default"/>
        <w:lang w:val="en-US" w:eastAsia="en-US" w:bidi="en-US"/>
      </w:rPr>
    </w:lvl>
    <w:lvl w:ilvl="3" w:tplc="8F0C58F2">
      <w:numFmt w:val="bullet"/>
      <w:lvlText w:val="•"/>
      <w:lvlJc w:val="left"/>
      <w:pPr>
        <w:ind w:left="4159" w:hanging="794"/>
      </w:pPr>
      <w:rPr>
        <w:rFonts w:hint="default"/>
        <w:lang w:val="en-US" w:eastAsia="en-US" w:bidi="en-US"/>
      </w:rPr>
    </w:lvl>
    <w:lvl w:ilvl="4" w:tplc="C3BE088A">
      <w:numFmt w:val="bullet"/>
      <w:lvlText w:val="•"/>
      <w:lvlJc w:val="left"/>
      <w:pPr>
        <w:ind w:left="4945" w:hanging="794"/>
      </w:pPr>
      <w:rPr>
        <w:rFonts w:hint="default"/>
        <w:lang w:val="en-US" w:eastAsia="en-US" w:bidi="en-US"/>
      </w:rPr>
    </w:lvl>
    <w:lvl w:ilvl="5" w:tplc="EC3A0AFE">
      <w:numFmt w:val="bullet"/>
      <w:lvlText w:val="•"/>
      <w:lvlJc w:val="left"/>
      <w:pPr>
        <w:ind w:left="5731" w:hanging="794"/>
      </w:pPr>
      <w:rPr>
        <w:rFonts w:hint="default"/>
        <w:lang w:val="en-US" w:eastAsia="en-US" w:bidi="en-US"/>
      </w:rPr>
    </w:lvl>
    <w:lvl w:ilvl="6" w:tplc="0B04E806">
      <w:numFmt w:val="bullet"/>
      <w:lvlText w:val="•"/>
      <w:lvlJc w:val="left"/>
      <w:pPr>
        <w:ind w:left="6518" w:hanging="794"/>
      </w:pPr>
      <w:rPr>
        <w:rFonts w:hint="default"/>
        <w:lang w:val="en-US" w:eastAsia="en-US" w:bidi="en-US"/>
      </w:rPr>
    </w:lvl>
    <w:lvl w:ilvl="7" w:tplc="E8BC0B54">
      <w:numFmt w:val="bullet"/>
      <w:lvlText w:val="•"/>
      <w:lvlJc w:val="left"/>
      <w:pPr>
        <w:ind w:left="7304" w:hanging="794"/>
      </w:pPr>
      <w:rPr>
        <w:rFonts w:hint="default"/>
        <w:lang w:val="en-US" w:eastAsia="en-US" w:bidi="en-US"/>
      </w:rPr>
    </w:lvl>
    <w:lvl w:ilvl="8" w:tplc="EAEABB0A">
      <w:numFmt w:val="bullet"/>
      <w:lvlText w:val="•"/>
      <w:lvlJc w:val="left"/>
      <w:pPr>
        <w:ind w:left="8090" w:hanging="794"/>
      </w:pPr>
      <w:rPr>
        <w:rFonts w:hint="default"/>
        <w:lang w:val="en-US" w:eastAsia="en-US" w:bidi="en-US"/>
      </w:rPr>
    </w:lvl>
  </w:abstractNum>
  <w:abstractNum w:abstractNumId="180" w15:restartNumberingAfterBreak="0">
    <w:nsid w:val="79563C0B"/>
    <w:multiLevelType w:val="hybridMultilevel"/>
    <w:tmpl w:val="65725AF8"/>
    <w:lvl w:ilvl="0" w:tplc="5FEC602C">
      <w:start w:val="161"/>
      <w:numFmt w:val="decimal"/>
      <w:lvlText w:val="%1"/>
      <w:lvlJc w:val="left"/>
      <w:pPr>
        <w:ind w:left="1801" w:hanging="794"/>
        <w:jc w:val="right"/>
      </w:pPr>
      <w:rPr>
        <w:rFonts w:ascii="Raleway" w:eastAsia="Raleway" w:hAnsi="Raleway" w:cs="Raleway" w:hint="default"/>
        <w:color w:val="231F20"/>
        <w:spacing w:val="-1"/>
        <w:w w:val="100"/>
        <w:sz w:val="13"/>
        <w:szCs w:val="13"/>
        <w:lang w:val="en-US" w:eastAsia="en-US" w:bidi="en-US"/>
      </w:rPr>
    </w:lvl>
    <w:lvl w:ilvl="1" w:tplc="D72E7A80">
      <w:numFmt w:val="bullet"/>
      <w:lvlText w:val="•"/>
      <w:lvlJc w:val="left"/>
      <w:pPr>
        <w:ind w:left="2580" w:hanging="794"/>
      </w:pPr>
      <w:rPr>
        <w:rFonts w:hint="default"/>
        <w:lang w:val="en-US" w:eastAsia="en-US" w:bidi="en-US"/>
      </w:rPr>
    </w:lvl>
    <w:lvl w:ilvl="2" w:tplc="E344535A">
      <w:numFmt w:val="bullet"/>
      <w:lvlText w:val="•"/>
      <w:lvlJc w:val="left"/>
      <w:pPr>
        <w:ind w:left="3360" w:hanging="794"/>
      </w:pPr>
      <w:rPr>
        <w:rFonts w:hint="default"/>
        <w:lang w:val="en-US" w:eastAsia="en-US" w:bidi="en-US"/>
      </w:rPr>
    </w:lvl>
    <w:lvl w:ilvl="3" w:tplc="FC92F9DE">
      <w:numFmt w:val="bullet"/>
      <w:lvlText w:val="•"/>
      <w:lvlJc w:val="left"/>
      <w:pPr>
        <w:ind w:left="4140" w:hanging="794"/>
      </w:pPr>
      <w:rPr>
        <w:rFonts w:hint="default"/>
        <w:lang w:val="en-US" w:eastAsia="en-US" w:bidi="en-US"/>
      </w:rPr>
    </w:lvl>
    <w:lvl w:ilvl="4" w:tplc="7682FD40">
      <w:numFmt w:val="bullet"/>
      <w:lvlText w:val="•"/>
      <w:lvlJc w:val="left"/>
      <w:pPr>
        <w:ind w:left="4921" w:hanging="794"/>
      </w:pPr>
      <w:rPr>
        <w:rFonts w:hint="default"/>
        <w:lang w:val="en-US" w:eastAsia="en-US" w:bidi="en-US"/>
      </w:rPr>
    </w:lvl>
    <w:lvl w:ilvl="5" w:tplc="255EFF52">
      <w:numFmt w:val="bullet"/>
      <w:lvlText w:val="•"/>
      <w:lvlJc w:val="left"/>
      <w:pPr>
        <w:ind w:left="5701" w:hanging="794"/>
      </w:pPr>
      <w:rPr>
        <w:rFonts w:hint="default"/>
        <w:lang w:val="en-US" w:eastAsia="en-US" w:bidi="en-US"/>
      </w:rPr>
    </w:lvl>
    <w:lvl w:ilvl="6" w:tplc="B178FE44">
      <w:numFmt w:val="bullet"/>
      <w:lvlText w:val="•"/>
      <w:lvlJc w:val="left"/>
      <w:pPr>
        <w:ind w:left="6481" w:hanging="794"/>
      </w:pPr>
      <w:rPr>
        <w:rFonts w:hint="default"/>
        <w:lang w:val="en-US" w:eastAsia="en-US" w:bidi="en-US"/>
      </w:rPr>
    </w:lvl>
    <w:lvl w:ilvl="7" w:tplc="42B6C018">
      <w:numFmt w:val="bullet"/>
      <w:lvlText w:val="•"/>
      <w:lvlJc w:val="left"/>
      <w:pPr>
        <w:ind w:left="7261" w:hanging="794"/>
      </w:pPr>
      <w:rPr>
        <w:rFonts w:hint="default"/>
        <w:lang w:val="en-US" w:eastAsia="en-US" w:bidi="en-US"/>
      </w:rPr>
    </w:lvl>
    <w:lvl w:ilvl="8" w:tplc="0F940CEC">
      <w:numFmt w:val="bullet"/>
      <w:lvlText w:val="•"/>
      <w:lvlJc w:val="left"/>
      <w:pPr>
        <w:ind w:left="8042" w:hanging="794"/>
      </w:pPr>
      <w:rPr>
        <w:rFonts w:hint="default"/>
        <w:lang w:val="en-US" w:eastAsia="en-US" w:bidi="en-US"/>
      </w:rPr>
    </w:lvl>
  </w:abstractNum>
  <w:abstractNum w:abstractNumId="181" w15:restartNumberingAfterBreak="0">
    <w:nsid w:val="7A962E70"/>
    <w:multiLevelType w:val="hybridMultilevel"/>
    <w:tmpl w:val="51221060"/>
    <w:lvl w:ilvl="0" w:tplc="9506AAD0">
      <w:start w:val="1"/>
      <w:numFmt w:val="decimal"/>
      <w:lvlText w:val="%1"/>
      <w:lvlJc w:val="left"/>
      <w:pPr>
        <w:ind w:left="1801" w:hanging="794"/>
        <w:jc w:val="left"/>
      </w:pPr>
      <w:rPr>
        <w:rFonts w:ascii="Raleway" w:eastAsia="Raleway" w:hAnsi="Raleway" w:cs="Raleway" w:hint="default"/>
        <w:color w:val="231F20"/>
        <w:spacing w:val="-5"/>
        <w:w w:val="100"/>
        <w:sz w:val="20"/>
        <w:szCs w:val="20"/>
        <w:lang w:val="en-US" w:eastAsia="en-US" w:bidi="en-US"/>
      </w:rPr>
    </w:lvl>
    <w:lvl w:ilvl="1" w:tplc="95C2A092">
      <w:numFmt w:val="bullet"/>
      <w:lvlText w:val="•"/>
      <w:lvlJc w:val="left"/>
      <w:pPr>
        <w:ind w:left="2514" w:hanging="794"/>
      </w:pPr>
      <w:rPr>
        <w:rFonts w:hint="default"/>
        <w:lang w:val="en-US" w:eastAsia="en-US" w:bidi="en-US"/>
      </w:rPr>
    </w:lvl>
    <w:lvl w:ilvl="2" w:tplc="9270613E">
      <w:numFmt w:val="bullet"/>
      <w:lvlText w:val="•"/>
      <w:lvlJc w:val="left"/>
      <w:pPr>
        <w:ind w:left="3229" w:hanging="794"/>
      </w:pPr>
      <w:rPr>
        <w:rFonts w:hint="default"/>
        <w:lang w:val="en-US" w:eastAsia="en-US" w:bidi="en-US"/>
      </w:rPr>
    </w:lvl>
    <w:lvl w:ilvl="3" w:tplc="EEDAC392">
      <w:numFmt w:val="bullet"/>
      <w:lvlText w:val="•"/>
      <w:lvlJc w:val="left"/>
      <w:pPr>
        <w:ind w:left="3944" w:hanging="794"/>
      </w:pPr>
      <w:rPr>
        <w:rFonts w:hint="default"/>
        <w:lang w:val="en-US" w:eastAsia="en-US" w:bidi="en-US"/>
      </w:rPr>
    </w:lvl>
    <w:lvl w:ilvl="4" w:tplc="5BE4B8CA">
      <w:numFmt w:val="bullet"/>
      <w:lvlText w:val="•"/>
      <w:lvlJc w:val="left"/>
      <w:pPr>
        <w:ind w:left="4659" w:hanging="794"/>
      </w:pPr>
      <w:rPr>
        <w:rFonts w:hint="default"/>
        <w:lang w:val="en-US" w:eastAsia="en-US" w:bidi="en-US"/>
      </w:rPr>
    </w:lvl>
    <w:lvl w:ilvl="5" w:tplc="D540895C">
      <w:numFmt w:val="bullet"/>
      <w:lvlText w:val="•"/>
      <w:lvlJc w:val="left"/>
      <w:pPr>
        <w:ind w:left="5374" w:hanging="794"/>
      </w:pPr>
      <w:rPr>
        <w:rFonts w:hint="default"/>
        <w:lang w:val="en-US" w:eastAsia="en-US" w:bidi="en-US"/>
      </w:rPr>
    </w:lvl>
    <w:lvl w:ilvl="6" w:tplc="13CCDC18">
      <w:numFmt w:val="bullet"/>
      <w:lvlText w:val="•"/>
      <w:lvlJc w:val="left"/>
      <w:pPr>
        <w:ind w:left="6089" w:hanging="794"/>
      </w:pPr>
      <w:rPr>
        <w:rFonts w:hint="default"/>
        <w:lang w:val="en-US" w:eastAsia="en-US" w:bidi="en-US"/>
      </w:rPr>
    </w:lvl>
    <w:lvl w:ilvl="7" w:tplc="021092AE">
      <w:numFmt w:val="bullet"/>
      <w:lvlText w:val="•"/>
      <w:lvlJc w:val="left"/>
      <w:pPr>
        <w:ind w:left="6803" w:hanging="794"/>
      </w:pPr>
      <w:rPr>
        <w:rFonts w:hint="default"/>
        <w:lang w:val="en-US" w:eastAsia="en-US" w:bidi="en-US"/>
      </w:rPr>
    </w:lvl>
    <w:lvl w:ilvl="8" w:tplc="84C86C48">
      <w:numFmt w:val="bullet"/>
      <w:lvlText w:val="•"/>
      <w:lvlJc w:val="left"/>
      <w:pPr>
        <w:ind w:left="7518" w:hanging="794"/>
      </w:pPr>
      <w:rPr>
        <w:rFonts w:hint="default"/>
        <w:lang w:val="en-US" w:eastAsia="en-US" w:bidi="en-US"/>
      </w:rPr>
    </w:lvl>
  </w:abstractNum>
  <w:abstractNum w:abstractNumId="182" w15:restartNumberingAfterBreak="0">
    <w:nsid w:val="7ACB1725"/>
    <w:multiLevelType w:val="multilevel"/>
    <w:tmpl w:val="47981B76"/>
    <w:lvl w:ilvl="0">
      <w:start w:val="5"/>
      <w:numFmt w:val="decimal"/>
      <w:lvlText w:val="%1"/>
      <w:lvlJc w:val="left"/>
      <w:pPr>
        <w:ind w:left="1801" w:hanging="794"/>
        <w:jc w:val="left"/>
      </w:pPr>
      <w:rPr>
        <w:rFonts w:hint="default"/>
        <w:lang w:val="en-US" w:eastAsia="en-US" w:bidi="en-US"/>
      </w:rPr>
    </w:lvl>
    <w:lvl w:ilvl="1">
      <w:start w:val="1"/>
      <w:numFmt w:val="decimal"/>
      <w:lvlText w:val="%1.%2"/>
      <w:lvlJc w:val="left"/>
      <w:pPr>
        <w:ind w:left="1801" w:hanging="794"/>
        <w:jc w:val="left"/>
      </w:pPr>
      <w:rPr>
        <w:rFonts w:ascii="Raleway" w:eastAsia="Raleway" w:hAnsi="Raleway" w:cs="Raleway" w:hint="default"/>
        <w:color w:val="231F20"/>
        <w:spacing w:val="-7"/>
        <w:w w:val="100"/>
        <w:sz w:val="20"/>
        <w:szCs w:val="20"/>
        <w:lang w:val="en-US" w:eastAsia="en-US" w:bidi="en-US"/>
      </w:rPr>
    </w:lvl>
    <w:lvl w:ilvl="2">
      <w:numFmt w:val="bullet"/>
      <w:lvlText w:val="•"/>
      <w:lvlJc w:val="left"/>
      <w:pPr>
        <w:ind w:left="2141" w:hanging="341"/>
      </w:pPr>
      <w:rPr>
        <w:rFonts w:ascii="Raleway" w:eastAsia="Raleway" w:hAnsi="Raleway" w:cs="Raleway" w:hint="default"/>
        <w:color w:val="231F20"/>
        <w:spacing w:val="-6"/>
        <w:w w:val="100"/>
        <w:sz w:val="20"/>
        <w:szCs w:val="20"/>
        <w:lang w:val="en-US" w:eastAsia="en-US" w:bidi="en-US"/>
      </w:rPr>
    </w:lvl>
    <w:lvl w:ilvl="3">
      <w:numFmt w:val="bullet"/>
      <w:lvlText w:val="•"/>
      <w:lvlJc w:val="left"/>
      <w:pPr>
        <w:ind w:left="3235" w:hanging="341"/>
      </w:pPr>
      <w:rPr>
        <w:rFonts w:hint="default"/>
        <w:lang w:val="en-US" w:eastAsia="en-US" w:bidi="en-US"/>
      </w:rPr>
    </w:lvl>
    <w:lvl w:ilvl="4">
      <w:numFmt w:val="bullet"/>
      <w:lvlText w:val="•"/>
      <w:lvlJc w:val="left"/>
      <w:pPr>
        <w:ind w:left="4331" w:hanging="341"/>
      </w:pPr>
      <w:rPr>
        <w:rFonts w:hint="default"/>
        <w:lang w:val="en-US" w:eastAsia="en-US" w:bidi="en-US"/>
      </w:rPr>
    </w:lvl>
    <w:lvl w:ilvl="5">
      <w:numFmt w:val="bullet"/>
      <w:lvlText w:val="•"/>
      <w:lvlJc w:val="left"/>
      <w:pPr>
        <w:ind w:left="5427" w:hanging="341"/>
      </w:pPr>
      <w:rPr>
        <w:rFonts w:hint="default"/>
        <w:lang w:val="en-US" w:eastAsia="en-US" w:bidi="en-US"/>
      </w:rPr>
    </w:lvl>
    <w:lvl w:ilvl="6">
      <w:numFmt w:val="bullet"/>
      <w:lvlText w:val="•"/>
      <w:lvlJc w:val="left"/>
      <w:pPr>
        <w:ind w:left="6522" w:hanging="341"/>
      </w:pPr>
      <w:rPr>
        <w:rFonts w:hint="default"/>
        <w:lang w:val="en-US" w:eastAsia="en-US" w:bidi="en-US"/>
      </w:rPr>
    </w:lvl>
    <w:lvl w:ilvl="7">
      <w:numFmt w:val="bullet"/>
      <w:lvlText w:val="•"/>
      <w:lvlJc w:val="left"/>
      <w:pPr>
        <w:ind w:left="7618" w:hanging="341"/>
      </w:pPr>
      <w:rPr>
        <w:rFonts w:hint="default"/>
        <w:lang w:val="en-US" w:eastAsia="en-US" w:bidi="en-US"/>
      </w:rPr>
    </w:lvl>
    <w:lvl w:ilvl="8">
      <w:numFmt w:val="bullet"/>
      <w:lvlText w:val="•"/>
      <w:lvlJc w:val="left"/>
      <w:pPr>
        <w:ind w:left="8714" w:hanging="341"/>
      </w:pPr>
      <w:rPr>
        <w:rFonts w:hint="default"/>
        <w:lang w:val="en-US" w:eastAsia="en-US" w:bidi="en-US"/>
      </w:rPr>
    </w:lvl>
  </w:abstractNum>
  <w:abstractNum w:abstractNumId="183" w15:restartNumberingAfterBreak="0">
    <w:nsid w:val="7B6367F1"/>
    <w:multiLevelType w:val="hybridMultilevel"/>
    <w:tmpl w:val="A192FA0C"/>
    <w:lvl w:ilvl="0" w:tplc="596009FA">
      <w:start w:val="143"/>
      <w:numFmt w:val="decimal"/>
      <w:lvlText w:val="%1"/>
      <w:lvlJc w:val="left"/>
      <w:pPr>
        <w:ind w:left="1801" w:hanging="794"/>
        <w:jc w:val="left"/>
      </w:pPr>
      <w:rPr>
        <w:rFonts w:ascii="Raleway" w:eastAsia="Raleway" w:hAnsi="Raleway" w:cs="Raleway" w:hint="default"/>
        <w:color w:val="231F20"/>
        <w:spacing w:val="-1"/>
        <w:w w:val="99"/>
        <w:sz w:val="13"/>
        <w:szCs w:val="13"/>
        <w:lang w:val="en-US" w:eastAsia="en-US" w:bidi="en-US"/>
      </w:rPr>
    </w:lvl>
    <w:lvl w:ilvl="1" w:tplc="0EB0BF1A">
      <w:numFmt w:val="bullet"/>
      <w:lvlText w:val="•"/>
      <w:lvlJc w:val="left"/>
      <w:pPr>
        <w:ind w:left="2710" w:hanging="794"/>
      </w:pPr>
      <w:rPr>
        <w:rFonts w:hint="default"/>
        <w:lang w:val="en-US" w:eastAsia="en-US" w:bidi="en-US"/>
      </w:rPr>
    </w:lvl>
    <w:lvl w:ilvl="2" w:tplc="C6FA1234">
      <w:numFmt w:val="bullet"/>
      <w:lvlText w:val="•"/>
      <w:lvlJc w:val="left"/>
      <w:pPr>
        <w:ind w:left="3621" w:hanging="794"/>
      </w:pPr>
      <w:rPr>
        <w:rFonts w:hint="default"/>
        <w:lang w:val="en-US" w:eastAsia="en-US" w:bidi="en-US"/>
      </w:rPr>
    </w:lvl>
    <w:lvl w:ilvl="3" w:tplc="CC58ED2C">
      <w:numFmt w:val="bullet"/>
      <w:lvlText w:val="•"/>
      <w:lvlJc w:val="left"/>
      <w:pPr>
        <w:ind w:left="4531" w:hanging="794"/>
      </w:pPr>
      <w:rPr>
        <w:rFonts w:hint="default"/>
        <w:lang w:val="en-US" w:eastAsia="en-US" w:bidi="en-US"/>
      </w:rPr>
    </w:lvl>
    <w:lvl w:ilvl="4" w:tplc="63F4EE62">
      <w:numFmt w:val="bullet"/>
      <w:lvlText w:val="•"/>
      <w:lvlJc w:val="left"/>
      <w:pPr>
        <w:ind w:left="5442" w:hanging="794"/>
      </w:pPr>
      <w:rPr>
        <w:rFonts w:hint="default"/>
        <w:lang w:val="en-US" w:eastAsia="en-US" w:bidi="en-US"/>
      </w:rPr>
    </w:lvl>
    <w:lvl w:ilvl="5" w:tplc="AD1A2CEC">
      <w:numFmt w:val="bullet"/>
      <w:lvlText w:val="•"/>
      <w:lvlJc w:val="left"/>
      <w:pPr>
        <w:ind w:left="6352" w:hanging="794"/>
      </w:pPr>
      <w:rPr>
        <w:rFonts w:hint="default"/>
        <w:lang w:val="en-US" w:eastAsia="en-US" w:bidi="en-US"/>
      </w:rPr>
    </w:lvl>
    <w:lvl w:ilvl="6" w:tplc="CF207A4C">
      <w:numFmt w:val="bullet"/>
      <w:lvlText w:val="•"/>
      <w:lvlJc w:val="left"/>
      <w:pPr>
        <w:ind w:left="7263" w:hanging="794"/>
      </w:pPr>
      <w:rPr>
        <w:rFonts w:hint="default"/>
        <w:lang w:val="en-US" w:eastAsia="en-US" w:bidi="en-US"/>
      </w:rPr>
    </w:lvl>
    <w:lvl w:ilvl="7" w:tplc="2F96DE42">
      <w:numFmt w:val="bullet"/>
      <w:lvlText w:val="•"/>
      <w:lvlJc w:val="left"/>
      <w:pPr>
        <w:ind w:left="8173" w:hanging="794"/>
      </w:pPr>
      <w:rPr>
        <w:rFonts w:hint="default"/>
        <w:lang w:val="en-US" w:eastAsia="en-US" w:bidi="en-US"/>
      </w:rPr>
    </w:lvl>
    <w:lvl w:ilvl="8" w:tplc="2E9A1768">
      <w:numFmt w:val="bullet"/>
      <w:lvlText w:val="•"/>
      <w:lvlJc w:val="left"/>
      <w:pPr>
        <w:ind w:left="9084" w:hanging="794"/>
      </w:pPr>
      <w:rPr>
        <w:rFonts w:hint="default"/>
        <w:lang w:val="en-US" w:eastAsia="en-US" w:bidi="en-US"/>
      </w:rPr>
    </w:lvl>
  </w:abstractNum>
  <w:abstractNum w:abstractNumId="184" w15:restartNumberingAfterBreak="0">
    <w:nsid w:val="7B8F6975"/>
    <w:multiLevelType w:val="hybridMultilevel"/>
    <w:tmpl w:val="0C4C1D3E"/>
    <w:lvl w:ilvl="0" w:tplc="1B3ACD9C">
      <w:start w:val="1"/>
      <w:numFmt w:val="lowerLetter"/>
      <w:lvlText w:val="%1."/>
      <w:lvlJc w:val="left"/>
      <w:pPr>
        <w:ind w:left="2032" w:hanging="794"/>
        <w:jc w:val="left"/>
      </w:pPr>
      <w:rPr>
        <w:rFonts w:ascii="Raleway" w:eastAsia="Raleway" w:hAnsi="Raleway" w:cs="Raleway" w:hint="default"/>
        <w:color w:val="231F20"/>
        <w:spacing w:val="-5"/>
        <w:w w:val="100"/>
        <w:sz w:val="20"/>
        <w:szCs w:val="20"/>
        <w:lang w:val="en-US" w:eastAsia="en-US" w:bidi="en-US"/>
      </w:rPr>
    </w:lvl>
    <w:lvl w:ilvl="1" w:tplc="69625658">
      <w:numFmt w:val="bullet"/>
      <w:lvlText w:val="•"/>
      <w:lvlJc w:val="left"/>
      <w:pPr>
        <w:ind w:left="2420" w:hanging="794"/>
      </w:pPr>
      <w:rPr>
        <w:rFonts w:hint="default"/>
        <w:lang w:val="en-US" w:eastAsia="en-US" w:bidi="en-US"/>
      </w:rPr>
    </w:lvl>
    <w:lvl w:ilvl="2" w:tplc="0394A16E">
      <w:numFmt w:val="bullet"/>
      <w:lvlText w:val="•"/>
      <w:lvlJc w:val="left"/>
      <w:pPr>
        <w:ind w:left="3362" w:hanging="794"/>
      </w:pPr>
      <w:rPr>
        <w:rFonts w:hint="default"/>
        <w:lang w:val="en-US" w:eastAsia="en-US" w:bidi="en-US"/>
      </w:rPr>
    </w:lvl>
    <w:lvl w:ilvl="3" w:tplc="64F6A1F6">
      <w:numFmt w:val="bullet"/>
      <w:lvlText w:val="•"/>
      <w:lvlJc w:val="left"/>
      <w:pPr>
        <w:ind w:left="4305" w:hanging="794"/>
      </w:pPr>
      <w:rPr>
        <w:rFonts w:hint="default"/>
        <w:lang w:val="en-US" w:eastAsia="en-US" w:bidi="en-US"/>
      </w:rPr>
    </w:lvl>
    <w:lvl w:ilvl="4" w:tplc="C9A2D27E">
      <w:numFmt w:val="bullet"/>
      <w:lvlText w:val="•"/>
      <w:lvlJc w:val="left"/>
      <w:pPr>
        <w:ind w:left="5248" w:hanging="794"/>
      </w:pPr>
      <w:rPr>
        <w:rFonts w:hint="default"/>
        <w:lang w:val="en-US" w:eastAsia="en-US" w:bidi="en-US"/>
      </w:rPr>
    </w:lvl>
    <w:lvl w:ilvl="5" w:tplc="DA2EC926">
      <w:numFmt w:val="bullet"/>
      <w:lvlText w:val="•"/>
      <w:lvlJc w:val="left"/>
      <w:pPr>
        <w:ind w:left="6191" w:hanging="794"/>
      </w:pPr>
      <w:rPr>
        <w:rFonts w:hint="default"/>
        <w:lang w:val="en-US" w:eastAsia="en-US" w:bidi="en-US"/>
      </w:rPr>
    </w:lvl>
    <w:lvl w:ilvl="6" w:tplc="2D44F57C">
      <w:numFmt w:val="bullet"/>
      <w:lvlText w:val="•"/>
      <w:lvlJc w:val="left"/>
      <w:pPr>
        <w:ind w:left="7134" w:hanging="794"/>
      </w:pPr>
      <w:rPr>
        <w:rFonts w:hint="default"/>
        <w:lang w:val="en-US" w:eastAsia="en-US" w:bidi="en-US"/>
      </w:rPr>
    </w:lvl>
    <w:lvl w:ilvl="7" w:tplc="5E5A1CB2">
      <w:numFmt w:val="bullet"/>
      <w:lvlText w:val="•"/>
      <w:lvlJc w:val="left"/>
      <w:pPr>
        <w:ind w:left="8077" w:hanging="794"/>
      </w:pPr>
      <w:rPr>
        <w:rFonts w:hint="default"/>
        <w:lang w:val="en-US" w:eastAsia="en-US" w:bidi="en-US"/>
      </w:rPr>
    </w:lvl>
    <w:lvl w:ilvl="8" w:tplc="4CDAD0FA">
      <w:numFmt w:val="bullet"/>
      <w:lvlText w:val="•"/>
      <w:lvlJc w:val="left"/>
      <w:pPr>
        <w:ind w:left="9019" w:hanging="794"/>
      </w:pPr>
      <w:rPr>
        <w:rFonts w:hint="default"/>
        <w:lang w:val="en-US" w:eastAsia="en-US" w:bidi="en-US"/>
      </w:rPr>
    </w:lvl>
  </w:abstractNum>
  <w:abstractNum w:abstractNumId="185" w15:restartNumberingAfterBreak="0">
    <w:nsid w:val="7C441ADB"/>
    <w:multiLevelType w:val="hybridMultilevel"/>
    <w:tmpl w:val="EA70498A"/>
    <w:lvl w:ilvl="0" w:tplc="AF748690">
      <w:start w:val="133"/>
      <w:numFmt w:val="decimal"/>
      <w:lvlText w:val="%1"/>
      <w:lvlJc w:val="left"/>
      <w:pPr>
        <w:ind w:left="1801" w:hanging="794"/>
        <w:jc w:val="left"/>
      </w:pPr>
      <w:rPr>
        <w:rFonts w:ascii="Raleway" w:eastAsia="Raleway" w:hAnsi="Raleway" w:cs="Raleway" w:hint="default"/>
        <w:color w:val="231F20"/>
        <w:spacing w:val="-1"/>
        <w:w w:val="100"/>
        <w:sz w:val="13"/>
        <w:szCs w:val="13"/>
        <w:lang w:val="en-US" w:eastAsia="en-US" w:bidi="en-US"/>
      </w:rPr>
    </w:lvl>
    <w:lvl w:ilvl="1" w:tplc="B6C07416">
      <w:numFmt w:val="bullet"/>
      <w:lvlText w:val="•"/>
      <w:lvlJc w:val="left"/>
      <w:pPr>
        <w:ind w:left="2710" w:hanging="794"/>
      </w:pPr>
      <w:rPr>
        <w:rFonts w:hint="default"/>
        <w:lang w:val="en-US" w:eastAsia="en-US" w:bidi="en-US"/>
      </w:rPr>
    </w:lvl>
    <w:lvl w:ilvl="2" w:tplc="FBBAA998">
      <w:numFmt w:val="bullet"/>
      <w:lvlText w:val="•"/>
      <w:lvlJc w:val="left"/>
      <w:pPr>
        <w:ind w:left="3621" w:hanging="794"/>
      </w:pPr>
      <w:rPr>
        <w:rFonts w:hint="default"/>
        <w:lang w:val="en-US" w:eastAsia="en-US" w:bidi="en-US"/>
      </w:rPr>
    </w:lvl>
    <w:lvl w:ilvl="3" w:tplc="98A096F8">
      <w:numFmt w:val="bullet"/>
      <w:lvlText w:val="•"/>
      <w:lvlJc w:val="left"/>
      <w:pPr>
        <w:ind w:left="4531" w:hanging="794"/>
      </w:pPr>
      <w:rPr>
        <w:rFonts w:hint="default"/>
        <w:lang w:val="en-US" w:eastAsia="en-US" w:bidi="en-US"/>
      </w:rPr>
    </w:lvl>
    <w:lvl w:ilvl="4" w:tplc="116E2858">
      <w:numFmt w:val="bullet"/>
      <w:lvlText w:val="•"/>
      <w:lvlJc w:val="left"/>
      <w:pPr>
        <w:ind w:left="5442" w:hanging="794"/>
      </w:pPr>
      <w:rPr>
        <w:rFonts w:hint="default"/>
        <w:lang w:val="en-US" w:eastAsia="en-US" w:bidi="en-US"/>
      </w:rPr>
    </w:lvl>
    <w:lvl w:ilvl="5" w:tplc="454CDF9A">
      <w:numFmt w:val="bullet"/>
      <w:lvlText w:val="•"/>
      <w:lvlJc w:val="left"/>
      <w:pPr>
        <w:ind w:left="6352" w:hanging="794"/>
      </w:pPr>
      <w:rPr>
        <w:rFonts w:hint="default"/>
        <w:lang w:val="en-US" w:eastAsia="en-US" w:bidi="en-US"/>
      </w:rPr>
    </w:lvl>
    <w:lvl w:ilvl="6" w:tplc="CE540984">
      <w:numFmt w:val="bullet"/>
      <w:lvlText w:val="•"/>
      <w:lvlJc w:val="left"/>
      <w:pPr>
        <w:ind w:left="7263" w:hanging="794"/>
      </w:pPr>
      <w:rPr>
        <w:rFonts w:hint="default"/>
        <w:lang w:val="en-US" w:eastAsia="en-US" w:bidi="en-US"/>
      </w:rPr>
    </w:lvl>
    <w:lvl w:ilvl="7" w:tplc="585EA7E8">
      <w:numFmt w:val="bullet"/>
      <w:lvlText w:val="•"/>
      <w:lvlJc w:val="left"/>
      <w:pPr>
        <w:ind w:left="8173" w:hanging="794"/>
      </w:pPr>
      <w:rPr>
        <w:rFonts w:hint="default"/>
        <w:lang w:val="en-US" w:eastAsia="en-US" w:bidi="en-US"/>
      </w:rPr>
    </w:lvl>
    <w:lvl w:ilvl="8" w:tplc="DD70BF1E">
      <w:numFmt w:val="bullet"/>
      <w:lvlText w:val="•"/>
      <w:lvlJc w:val="left"/>
      <w:pPr>
        <w:ind w:left="9084" w:hanging="794"/>
      </w:pPr>
      <w:rPr>
        <w:rFonts w:hint="default"/>
        <w:lang w:val="en-US" w:eastAsia="en-US" w:bidi="en-US"/>
      </w:rPr>
    </w:lvl>
  </w:abstractNum>
  <w:abstractNum w:abstractNumId="186" w15:restartNumberingAfterBreak="0">
    <w:nsid w:val="7C9E14CB"/>
    <w:multiLevelType w:val="hybridMultilevel"/>
    <w:tmpl w:val="E09086F8"/>
    <w:lvl w:ilvl="0" w:tplc="51AEF7CE">
      <w:start w:val="1"/>
      <w:numFmt w:val="decimal"/>
      <w:lvlText w:val="%1"/>
      <w:lvlJc w:val="left"/>
      <w:pPr>
        <w:ind w:left="506" w:hanging="250"/>
        <w:jc w:val="right"/>
      </w:pPr>
      <w:rPr>
        <w:rFonts w:ascii="Raleway" w:eastAsia="Raleway" w:hAnsi="Raleway" w:cs="Raleway" w:hint="default"/>
        <w:color w:val="231F20"/>
        <w:w w:val="96"/>
        <w:sz w:val="18"/>
        <w:szCs w:val="18"/>
        <w:lang w:val="en-US" w:eastAsia="en-US" w:bidi="en-US"/>
      </w:rPr>
    </w:lvl>
    <w:lvl w:ilvl="1" w:tplc="42648438">
      <w:numFmt w:val="bullet"/>
      <w:lvlText w:val="•"/>
      <w:lvlJc w:val="left"/>
      <w:pPr>
        <w:ind w:left="913" w:hanging="250"/>
      </w:pPr>
      <w:rPr>
        <w:rFonts w:hint="default"/>
        <w:lang w:val="en-US" w:eastAsia="en-US" w:bidi="en-US"/>
      </w:rPr>
    </w:lvl>
    <w:lvl w:ilvl="2" w:tplc="DF847668">
      <w:numFmt w:val="bullet"/>
      <w:lvlText w:val="•"/>
      <w:lvlJc w:val="left"/>
      <w:pPr>
        <w:ind w:left="1327" w:hanging="250"/>
      </w:pPr>
      <w:rPr>
        <w:rFonts w:hint="default"/>
        <w:lang w:val="en-US" w:eastAsia="en-US" w:bidi="en-US"/>
      </w:rPr>
    </w:lvl>
    <w:lvl w:ilvl="3" w:tplc="DF28BD0A">
      <w:numFmt w:val="bullet"/>
      <w:lvlText w:val="•"/>
      <w:lvlJc w:val="left"/>
      <w:pPr>
        <w:ind w:left="1741" w:hanging="250"/>
      </w:pPr>
      <w:rPr>
        <w:rFonts w:hint="default"/>
        <w:lang w:val="en-US" w:eastAsia="en-US" w:bidi="en-US"/>
      </w:rPr>
    </w:lvl>
    <w:lvl w:ilvl="4" w:tplc="AF42132E">
      <w:numFmt w:val="bullet"/>
      <w:lvlText w:val="•"/>
      <w:lvlJc w:val="left"/>
      <w:pPr>
        <w:ind w:left="2155" w:hanging="250"/>
      </w:pPr>
      <w:rPr>
        <w:rFonts w:hint="default"/>
        <w:lang w:val="en-US" w:eastAsia="en-US" w:bidi="en-US"/>
      </w:rPr>
    </w:lvl>
    <w:lvl w:ilvl="5" w:tplc="4D2AC7D6">
      <w:numFmt w:val="bullet"/>
      <w:lvlText w:val="•"/>
      <w:lvlJc w:val="left"/>
      <w:pPr>
        <w:ind w:left="2569" w:hanging="250"/>
      </w:pPr>
      <w:rPr>
        <w:rFonts w:hint="default"/>
        <w:lang w:val="en-US" w:eastAsia="en-US" w:bidi="en-US"/>
      </w:rPr>
    </w:lvl>
    <w:lvl w:ilvl="6" w:tplc="D7822C0A">
      <w:numFmt w:val="bullet"/>
      <w:lvlText w:val="•"/>
      <w:lvlJc w:val="left"/>
      <w:pPr>
        <w:ind w:left="2983" w:hanging="250"/>
      </w:pPr>
      <w:rPr>
        <w:rFonts w:hint="default"/>
        <w:lang w:val="en-US" w:eastAsia="en-US" w:bidi="en-US"/>
      </w:rPr>
    </w:lvl>
    <w:lvl w:ilvl="7" w:tplc="E66C83E8">
      <w:numFmt w:val="bullet"/>
      <w:lvlText w:val="•"/>
      <w:lvlJc w:val="left"/>
      <w:pPr>
        <w:ind w:left="3396" w:hanging="250"/>
      </w:pPr>
      <w:rPr>
        <w:rFonts w:hint="default"/>
        <w:lang w:val="en-US" w:eastAsia="en-US" w:bidi="en-US"/>
      </w:rPr>
    </w:lvl>
    <w:lvl w:ilvl="8" w:tplc="CAC8D618">
      <w:numFmt w:val="bullet"/>
      <w:lvlText w:val="•"/>
      <w:lvlJc w:val="left"/>
      <w:pPr>
        <w:ind w:left="3810" w:hanging="250"/>
      </w:pPr>
      <w:rPr>
        <w:rFonts w:hint="default"/>
        <w:lang w:val="en-US" w:eastAsia="en-US" w:bidi="en-US"/>
      </w:rPr>
    </w:lvl>
  </w:abstractNum>
  <w:abstractNum w:abstractNumId="187" w15:restartNumberingAfterBreak="0">
    <w:nsid w:val="7CB329B8"/>
    <w:multiLevelType w:val="hybridMultilevel"/>
    <w:tmpl w:val="445E2B4A"/>
    <w:lvl w:ilvl="0" w:tplc="404ACCE4">
      <w:start w:val="35"/>
      <w:numFmt w:val="decimal"/>
      <w:lvlText w:val="%1"/>
      <w:lvlJc w:val="left"/>
      <w:pPr>
        <w:ind w:left="1801" w:hanging="794"/>
        <w:jc w:val="left"/>
      </w:pPr>
      <w:rPr>
        <w:rFonts w:ascii="Raleway" w:eastAsia="Raleway" w:hAnsi="Raleway" w:cs="Raleway" w:hint="default"/>
        <w:color w:val="231F20"/>
        <w:spacing w:val="-9"/>
        <w:w w:val="99"/>
        <w:sz w:val="13"/>
        <w:szCs w:val="13"/>
        <w:lang w:val="en-US" w:eastAsia="en-US" w:bidi="en-US"/>
      </w:rPr>
    </w:lvl>
    <w:lvl w:ilvl="1" w:tplc="0018ED28">
      <w:numFmt w:val="bullet"/>
      <w:lvlText w:val="•"/>
      <w:lvlJc w:val="left"/>
      <w:pPr>
        <w:ind w:left="2710" w:hanging="794"/>
      </w:pPr>
      <w:rPr>
        <w:rFonts w:hint="default"/>
        <w:lang w:val="en-US" w:eastAsia="en-US" w:bidi="en-US"/>
      </w:rPr>
    </w:lvl>
    <w:lvl w:ilvl="2" w:tplc="CFA81E26">
      <w:numFmt w:val="bullet"/>
      <w:lvlText w:val="•"/>
      <w:lvlJc w:val="left"/>
      <w:pPr>
        <w:ind w:left="3621" w:hanging="794"/>
      </w:pPr>
      <w:rPr>
        <w:rFonts w:hint="default"/>
        <w:lang w:val="en-US" w:eastAsia="en-US" w:bidi="en-US"/>
      </w:rPr>
    </w:lvl>
    <w:lvl w:ilvl="3" w:tplc="2390D65E">
      <w:numFmt w:val="bullet"/>
      <w:lvlText w:val="•"/>
      <w:lvlJc w:val="left"/>
      <w:pPr>
        <w:ind w:left="4531" w:hanging="794"/>
      </w:pPr>
      <w:rPr>
        <w:rFonts w:hint="default"/>
        <w:lang w:val="en-US" w:eastAsia="en-US" w:bidi="en-US"/>
      </w:rPr>
    </w:lvl>
    <w:lvl w:ilvl="4" w:tplc="7E66A71C">
      <w:numFmt w:val="bullet"/>
      <w:lvlText w:val="•"/>
      <w:lvlJc w:val="left"/>
      <w:pPr>
        <w:ind w:left="5442" w:hanging="794"/>
      </w:pPr>
      <w:rPr>
        <w:rFonts w:hint="default"/>
        <w:lang w:val="en-US" w:eastAsia="en-US" w:bidi="en-US"/>
      </w:rPr>
    </w:lvl>
    <w:lvl w:ilvl="5" w:tplc="7F962B96">
      <w:numFmt w:val="bullet"/>
      <w:lvlText w:val="•"/>
      <w:lvlJc w:val="left"/>
      <w:pPr>
        <w:ind w:left="6352" w:hanging="794"/>
      </w:pPr>
      <w:rPr>
        <w:rFonts w:hint="default"/>
        <w:lang w:val="en-US" w:eastAsia="en-US" w:bidi="en-US"/>
      </w:rPr>
    </w:lvl>
    <w:lvl w:ilvl="6" w:tplc="7A800444">
      <w:numFmt w:val="bullet"/>
      <w:lvlText w:val="•"/>
      <w:lvlJc w:val="left"/>
      <w:pPr>
        <w:ind w:left="7263" w:hanging="794"/>
      </w:pPr>
      <w:rPr>
        <w:rFonts w:hint="default"/>
        <w:lang w:val="en-US" w:eastAsia="en-US" w:bidi="en-US"/>
      </w:rPr>
    </w:lvl>
    <w:lvl w:ilvl="7" w:tplc="06E01BFC">
      <w:numFmt w:val="bullet"/>
      <w:lvlText w:val="•"/>
      <w:lvlJc w:val="left"/>
      <w:pPr>
        <w:ind w:left="8173" w:hanging="794"/>
      </w:pPr>
      <w:rPr>
        <w:rFonts w:hint="default"/>
        <w:lang w:val="en-US" w:eastAsia="en-US" w:bidi="en-US"/>
      </w:rPr>
    </w:lvl>
    <w:lvl w:ilvl="8" w:tplc="17D21BDC">
      <w:numFmt w:val="bullet"/>
      <w:lvlText w:val="•"/>
      <w:lvlJc w:val="left"/>
      <w:pPr>
        <w:ind w:left="9084" w:hanging="794"/>
      </w:pPr>
      <w:rPr>
        <w:rFonts w:hint="default"/>
        <w:lang w:val="en-US" w:eastAsia="en-US" w:bidi="en-US"/>
      </w:rPr>
    </w:lvl>
  </w:abstractNum>
  <w:abstractNum w:abstractNumId="188" w15:restartNumberingAfterBreak="0">
    <w:nsid w:val="7D9E5D38"/>
    <w:multiLevelType w:val="hybridMultilevel"/>
    <w:tmpl w:val="CEEA6EAE"/>
    <w:lvl w:ilvl="0" w:tplc="988A4B4C">
      <w:start w:val="96"/>
      <w:numFmt w:val="decimal"/>
      <w:lvlText w:val="%1"/>
      <w:lvlJc w:val="left"/>
      <w:pPr>
        <w:ind w:left="1588" w:hanging="567"/>
        <w:jc w:val="left"/>
      </w:pPr>
      <w:rPr>
        <w:rFonts w:ascii="Raleway" w:eastAsia="Raleway" w:hAnsi="Raleway" w:cs="Raleway" w:hint="default"/>
        <w:b/>
        <w:bCs/>
        <w:color w:val="FFFFFF"/>
        <w:spacing w:val="-4"/>
        <w:w w:val="100"/>
        <w:sz w:val="24"/>
        <w:szCs w:val="24"/>
        <w:lang w:val="en-US" w:eastAsia="en-US" w:bidi="en-US"/>
      </w:rPr>
    </w:lvl>
    <w:lvl w:ilvl="1" w:tplc="35A8F0EE">
      <w:numFmt w:val="bullet"/>
      <w:lvlText w:val="•"/>
      <w:lvlJc w:val="left"/>
      <w:pPr>
        <w:ind w:left="2512" w:hanging="567"/>
      </w:pPr>
      <w:rPr>
        <w:rFonts w:hint="default"/>
        <w:lang w:val="en-US" w:eastAsia="en-US" w:bidi="en-US"/>
      </w:rPr>
    </w:lvl>
    <w:lvl w:ilvl="2" w:tplc="946EAEA2">
      <w:numFmt w:val="bullet"/>
      <w:lvlText w:val="•"/>
      <w:lvlJc w:val="left"/>
      <w:pPr>
        <w:ind w:left="3445" w:hanging="567"/>
      </w:pPr>
      <w:rPr>
        <w:rFonts w:hint="default"/>
        <w:lang w:val="en-US" w:eastAsia="en-US" w:bidi="en-US"/>
      </w:rPr>
    </w:lvl>
    <w:lvl w:ilvl="3" w:tplc="00DE8868">
      <w:numFmt w:val="bullet"/>
      <w:lvlText w:val="•"/>
      <w:lvlJc w:val="left"/>
      <w:pPr>
        <w:ind w:left="4377" w:hanging="567"/>
      </w:pPr>
      <w:rPr>
        <w:rFonts w:hint="default"/>
        <w:lang w:val="en-US" w:eastAsia="en-US" w:bidi="en-US"/>
      </w:rPr>
    </w:lvl>
    <w:lvl w:ilvl="4" w:tplc="73808334">
      <w:numFmt w:val="bullet"/>
      <w:lvlText w:val="•"/>
      <w:lvlJc w:val="left"/>
      <w:pPr>
        <w:ind w:left="5310" w:hanging="567"/>
      </w:pPr>
      <w:rPr>
        <w:rFonts w:hint="default"/>
        <w:lang w:val="en-US" w:eastAsia="en-US" w:bidi="en-US"/>
      </w:rPr>
    </w:lvl>
    <w:lvl w:ilvl="5" w:tplc="C0CE59FA">
      <w:numFmt w:val="bullet"/>
      <w:lvlText w:val="•"/>
      <w:lvlJc w:val="left"/>
      <w:pPr>
        <w:ind w:left="6242" w:hanging="567"/>
      </w:pPr>
      <w:rPr>
        <w:rFonts w:hint="default"/>
        <w:lang w:val="en-US" w:eastAsia="en-US" w:bidi="en-US"/>
      </w:rPr>
    </w:lvl>
    <w:lvl w:ilvl="6" w:tplc="3D08C678">
      <w:numFmt w:val="bullet"/>
      <w:lvlText w:val="•"/>
      <w:lvlJc w:val="left"/>
      <w:pPr>
        <w:ind w:left="7175" w:hanging="567"/>
      </w:pPr>
      <w:rPr>
        <w:rFonts w:hint="default"/>
        <w:lang w:val="en-US" w:eastAsia="en-US" w:bidi="en-US"/>
      </w:rPr>
    </w:lvl>
    <w:lvl w:ilvl="7" w:tplc="7068BE22">
      <w:numFmt w:val="bullet"/>
      <w:lvlText w:val="•"/>
      <w:lvlJc w:val="left"/>
      <w:pPr>
        <w:ind w:left="8107" w:hanging="567"/>
      </w:pPr>
      <w:rPr>
        <w:rFonts w:hint="default"/>
        <w:lang w:val="en-US" w:eastAsia="en-US" w:bidi="en-US"/>
      </w:rPr>
    </w:lvl>
    <w:lvl w:ilvl="8" w:tplc="A9FA681E">
      <w:numFmt w:val="bullet"/>
      <w:lvlText w:val="•"/>
      <w:lvlJc w:val="left"/>
      <w:pPr>
        <w:ind w:left="9040" w:hanging="567"/>
      </w:pPr>
      <w:rPr>
        <w:rFonts w:hint="default"/>
        <w:lang w:val="en-US" w:eastAsia="en-US" w:bidi="en-US"/>
      </w:rPr>
    </w:lvl>
  </w:abstractNum>
  <w:abstractNum w:abstractNumId="189" w15:restartNumberingAfterBreak="0">
    <w:nsid w:val="7E4562D6"/>
    <w:multiLevelType w:val="hybridMultilevel"/>
    <w:tmpl w:val="FCF84BF0"/>
    <w:lvl w:ilvl="0" w:tplc="8E56F460">
      <w:start w:val="195"/>
      <w:numFmt w:val="decimal"/>
      <w:lvlText w:val="%1"/>
      <w:lvlJc w:val="left"/>
      <w:pPr>
        <w:ind w:left="1801" w:hanging="794"/>
        <w:jc w:val="right"/>
      </w:pPr>
      <w:rPr>
        <w:rFonts w:ascii="Raleway" w:eastAsia="Raleway" w:hAnsi="Raleway" w:cs="Raleway" w:hint="default"/>
        <w:color w:val="231F20"/>
        <w:spacing w:val="-2"/>
        <w:w w:val="100"/>
        <w:sz w:val="13"/>
        <w:szCs w:val="13"/>
        <w:lang w:val="en-US" w:eastAsia="en-US" w:bidi="en-US"/>
      </w:rPr>
    </w:lvl>
    <w:lvl w:ilvl="1" w:tplc="96E8DDA8">
      <w:numFmt w:val="bullet"/>
      <w:lvlText w:val="•"/>
      <w:lvlJc w:val="left"/>
      <w:pPr>
        <w:ind w:left="2590" w:hanging="794"/>
      </w:pPr>
      <w:rPr>
        <w:rFonts w:hint="default"/>
        <w:lang w:val="en-US" w:eastAsia="en-US" w:bidi="en-US"/>
      </w:rPr>
    </w:lvl>
    <w:lvl w:ilvl="2" w:tplc="0492C836">
      <w:numFmt w:val="bullet"/>
      <w:lvlText w:val="•"/>
      <w:lvlJc w:val="left"/>
      <w:pPr>
        <w:ind w:left="3380" w:hanging="794"/>
      </w:pPr>
      <w:rPr>
        <w:rFonts w:hint="default"/>
        <w:lang w:val="en-US" w:eastAsia="en-US" w:bidi="en-US"/>
      </w:rPr>
    </w:lvl>
    <w:lvl w:ilvl="3" w:tplc="36B2D0FC">
      <w:numFmt w:val="bullet"/>
      <w:lvlText w:val="•"/>
      <w:lvlJc w:val="left"/>
      <w:pPr>
        <w:ind w:left="4171" w:hanging="794"/>
      </w:pPr>
      <w:rPr>
        <w:rFonts w:hint="default"/>
        <w:lang w:val="en-US" w:eastAsia="en-US" w:bidi="en-US"/>
      </w:rPr>
    </w:lvl>
    <w:lvl w:ilvl="4" w:tplc="F6965CA2">
      <w:numFmt w:val="bullet"/>
      <w:lvlText w:val="•"/>
      <w:lvlJc w:val="left"/>
      <w:pPr>
        <w:ind w:left="4961" w:hanging="794"/>
      </w:pPr>
      <w:rPr>
        <w:rFonts w:hint="default"/>
        <w:lang w:val="en-US" w:eastAsia="en-US" w:bidi="en-US"/>
      </w:rPr>
    </w:lvl>
    <w:lvl w:ilvl="5" w:tplc="3BB29790">
      <w:numFmt w:val="bullet"/>
      <w:lvlText w:val="•"/>
      <w:lvlJc w:val="left"/>
      <w:pPr>
        <w:ind w:left="5752" w:hanging="794"/>
      </w:pPr>
      <w:rPr>
        <w:rFonts w:hint="default"/>
        <w:lang w:val="en-US" w:eastAsia="en-US" w:bidi="en-US"/>
      </w:rPr>
    </w:lvl>
    <w:lvl w:ilvl="6" w:tplc="F424AC78">
      <w:numFmt w:val="bullet"/>
      <w:lvlText w:val="•"/>
      <w:lvlJc w:val="left"/>
      <w:pPr>
        <w:ind w:left="6542" w:hanging="794"/>
      </w:pPr>
      <w:rPr>
        <w:rFonts w:hint="default"/>
        <w:lang w:val="en-US" w:eastAsia="en-US" w:bidi="en-US"/>
      </w:rPr>
    </w:lvl>
    <w:lvl w:ilvl="7" w:tplc="FE34A536">
      <w:numFmt w:val="bullet"/>
      <w:lvlText w:val="•"/>
      <w:lvlJc w:val="left"/>
      <w:pPr>
        <w:ind w:left="7333" w:hanging="794"/>
      </w:pPr>
      <w:rPr>
        <w:rFonts w:hint="default"/>
        <w:lang w:val="en-US" w:eastAsia="en-US" w:bidi="en-US"/>
      </w:rPr>
    </w:lvl>
    <w:lvl w:ilvl="8" w:tplc="BA58679A">
      <w:numFmt w:val="bullet"/>
      <w:lvlText w:val="•"/>
      <w:lvlJc w:val="left"/>
      <w:pPr>
        <w:ind w:left="8123" w:hanging="794"/>
      </w:pPr>
      <w:rPr>
        <w:rFonts w:hint="default"/>
        <w:lang w:val="en-US" w:eastAsia="en-US" w:bidi="en-US"/>
      </w:rPr>
    </w:lvl>
  </w:abstractNum>
  <w:abstractNum w:abstractNumId="190" w15:restartNumberingAfterBreak="0">
    <w:nsid w:val="7E8206F3"/>
    <w:multiLevelType w:val="hybridMultilevel"/>
    <w:tmpl w:val="B12684A0"/>
    <w:lvl w:ilvl="0" w:tplc="93C8C950">
      <w:numFmt w:val="bullet"/>
      <w:lvlText w:val="•"/>
      <w:lvlJc w:val="left"/>
      <w:pPr>
        <w:ind w:left="453" w:hanging="341"/>
      </w:pPr>
      <w:rPr>
        <w:rFonts w:ascii="Raleway" w:eastAsia="Raleway" w:hAnsi="Raleway" w:cs="Raleway" w:hint="default"/>
        <w:color w:val="231F20"/>
        <w:spacing w:val="-6"/>
        <w:w w:val="100"/>
        <w:sz w:val="20"/>
        <w:szCs w:val="20"/>
        <w:lang w:val="en-US" w:eastAsia="en-US" w:bidi="en-US"/>
      </w:rPr>
    </w:lvl>
    <w:lvl w:ilvl="1" w:tplc="BBCC1202">
      <w:numFmt w:val="bullet"/>
      <w:lvlText w:val="•"/>
      <w:lvlJc w:val="left"/>
      <w:pPr>
        <w:ind w:left="599" w:hanging="341"/>
      </w:pPr>
      <w:rPr>
        <w:rFonts w:hint="default"/>
        <w:lang w:val="en-US" w:eastAsia="en-US" w:bidi="en-US"/>
      </w:rPr>
    </w:lvl>
    <w:lvl w:ilvl="2" w:tplc="484C056A">
      <w:numFmt w:val="bullet"/>
      <w:lvlText w:val="•"/>
      <w:lvlJc w:val="left"/>
      <w:pPr>
        <w:ind w:left="739" w:hanging="341"/>
      </w:pPr>
      <w:rPr>
        <w:rFonts w:hint="default"/>
        <w:lang w:val="en-US" w:eastAsia="en-US" w:bidi="en-US"/>
      </w:rPr>
    </w:lvl>
    <w:lvl w:ilvl="3" w:tplc="EE7839B0">
      <w:numFmt w:val="bullet"/>
      <w:lvlText w:val="•"/>
      <w:lvlJc w:val="left"/>
      <w:pPr>
        <w:ind w:left="878" w:hanging="341"/>
      </w:pPr>
      <w:rPr>
        <w:rFonts w:hint="default"/>
        <w:lang w:val="en-US" w:eastAsia="en-US" w:bidi="en-US"/>
      </w:rPr>
    </w:lvl>
    <w:lvl w:ilvl="4" w:tplc="854E9E72">
      <w:numFmt w:val="bullet"/>
      <w:lvlText w:val="•"/>
      <w:lvlJc w:val="left"/>
      <w:pPr>
        <w:ind w:left="1018" w:hanging="341"/>
      </w:pPr>
      <w:rPr>
        <w:rFonts w:hint="default"/>
        <w:lang w:val="en-US" w:eastAsia="en-US" w:bidi="en-US"/>
      </w:rPr>
    </w:lvl>
    <w:lvl w:ilvl="5" w:tplc="03CCFD04">
      <w:numFmt w:val="bullet"/>
      <w:lvlText w:val="•"/>
      <w:lvlJc w:val="left"/>
      <w:pPr>
        <w:ind w:left="1158" w:hanging="341"/>
      </w:pPr>
      <w:rPr>
        <w:rFonts w:hint="default"/>
        <w:lang w:val="en-US" w:eastAsia="en-US" w:bidi="en-US"/>
      </w:rPr>
    </w:lvl>
    <w:lvl w:ilvl="6" w:tplc="3F8C3C8A">
      <w:numFmt w:val="bullet"/>
      <w:lvlText w:val="•"/>
      <w:lvlJc w:val="left"/>
      <w:pPr>
        <w:ind w:left="1297" w:hanging="341"/>
      </w:pPr>
      <w:rPr>
        <w:rFonts w:hint="default"/>
        <w:lang w:val="en-US" w:eastAsia="en-US" w:bidi="en-US"/>
      </w:rPr>
    </w:lvl>
    <w:lvl w:ilvl="7" w:tplc="0212EBAE">
      <w:numFmt w:val="bullet"/>
      <w:lvlText w:val="•"/>
      <w:lvlJc w:val="left"/>
      <w:pPr>
        <w:ind w:left="1437" w:hanging="341"/>
      </w:pPr>
      <w:rPr>
        <w:rFonts w:hint="default"/>
        <w:lang w:val="en-US" w:eastAsia="en-US" w:bidi="en-US"/>
      </w:rPr>
    </w:lvl>
    <w:lvl w:ilvl="8" w:tplc="31ECA8B8">
      <w:numFmt w:val="bullet"/>
      <w:lvlText w:val="•"/>
      <w:lvlJc w:val="left"/>
      <w:pPr>
        <w:ind w:left="1576" w:hanging="341"/>
      </w:pPr>
      <w:rPr>
        <w:rFonts w:hint="default"/>
        <w:lang w:val="en-US" w:eastAsia="en-US" w:bidi="en-US"/>
      </w:rPr>
    </w:lvl>
  </w:abstractNum>
  <w:abstractNum w:abstractNumId="191" w15:restartNumberingAfterBreak="0">
    <w:nsid w:val="7E8F7F21"/>
    <w:multiLevelType w:val="hybridMultilevel"/>
    <w:tmpl w:val="F1C47D5E"/>
    <w:lvl w:ilvl="0" w:tplc="119C03C2">
      <w:start w:val="2"/>
      <w:numFmt w:val="lowerLetter"/>
      <w:lvlText w:val="%1."/>
      <w:lvlJc w:val="left"/>
      <w:pPr>
        <w:ind w:left="2368" w:hanging="554"/>
        <w:jc w:val="left"/>
      </w:pPr>
      <w:rPr>
        <w:rFonts w:ascii="Trebuchet MS" w:eastAsia="Trebuchet MS" w:hAnsi="Trebuchet MS" w:cs="Trebuchet MS" w:hint="default"/>
        <w:color w:val="231F20"/>
        <w:spacing w:val="-3"/>
        <w:w w:val="55"/>
        <w:sz w:val="20"/>
        <w:szCs w:val="20"/>
        <w:lang w:val="en-US" w:eastAsia="en-US" w:bidi="en-US"/>
      </w:rPr>
    </w:lvl>
    <w:lvl w:ilvl="1" w:tplc="82A09440">
      <w:numFmt w:val="bullet"/>
      <w:lvlText w:val="•"/>
      <w:lvlJc w:val="left"/>
      <w:pPr>
        <w:ind w:left="2934" w:hanging="567"/>
      </w:pPr>
      <w:rPr>
        <w:rFonts w:ascii="Trebuchet MS" w:eastAsia="Trebuchet MS" w:hAnsi="Trebuchet MS" w:cs="Trebuchet MS" w:hint="default"/>
        <w:color w:val="231F20"/>
        <w:w w:val="67"/>
        <w:sz w:val="20"/>
        <w:szCs w:val="20"/>
        <w:lang w:val="en-US" w:eastAsia="en-US" w:bidi="en-US"/>
      </w:rPr>
    </w:lvl>
    <w:lvl w:ilvl="2" w:tplc="BF92BFE2">
      <w:numFmt w:val="bullet"/>
      <w:lvlText w:val="•"/>
      <w:lvlJc w:val="left"/>
      <w:pPr>
        <w:ind w:left="3825" w:hanging="567"/>
      </w:pPr>
      <w:rPr>
        <w:rFonts w:hint="default"/>
        <w:lang w:val="en-US" w:eastAsia="en-US" w:bidi="en-US"/>
      </w:rPr>
    </w:lvl>
    <w:lvl w:ilvl="3" w:tplc="D1C61168">
      <w:numFmt w:val="bullet"/>
      <w:lvlText w:val="•"/>
      <w:lvlJc w:val="left"/>
      <w:pPr>
        <w:ind w:left="4710" w:hanging="567"/>
      </w:pPr>
      <w:rPr>
        <w:rFonts w:hint="default"/>
        <w:lang w:val="en-US" w:eastAsia="en-US" w:bidi="en-US"/>
      </w:rPr>
    </w:lvl>
    <w:lvl w:ilvl="4" w:tplc="219E119E">
      <w:numFmt w:val="bullet"/>
      <w:lvlText w:val="•"/>
      <w:lvlJc w:val="left"/>
      <w:pPr>
        <w:ind w:left="5595" w:hanging="567"/>
      </w:pPr>
      <w:rPr>
        <w:rFonts w:hint="default"/>
        <w:lang w:val="en-US" w:eastAsia="en-US" w:bidi="en-US"/>
      </w:rPr>
    </w:lvl>
    <w:lvl w:ilvl="5" w:tplc="4D5C2B40">
      <w:numFmt w:val="bullet"/>
      <w:lvlText w:val="•"/>
      <w:lvlJc w:val="left"/>
      <w:pPr>
        <w:ind w:left="6480" w:hanging="567"/>
      </w:pPr>
      <w:rPr>
        <w:rFonts w:hint="default"/>
        <w:lang w:val="en-US" w:eastAsia="en-US" w:bidi="en-US"/>
      </w:rPr>
    </w:lvl>
    <w:lvl w:ilvl="6" w:tplc="86AE27DE">
      <w:numFmt w:val="bullet"/>
      <w:lvlText w:val="•"/>
      <w:lvlJc w:val="left"/>
      <w:pPr>
        <w:ind w:left="7365" w:hanging="567"/>
      </w:pPr>
      <w:rPr>
        <w:rFonts w:hint="default"/>
        <w:lang w:val="en-US" w:eastAsia="en-US" w:bidi="en-US"/>
      </w:rPr>
    </w:lvl>
    <w:lvl w:ilvl="7" w:tplc="F5A2CB0A">
      <w:numFmt w:val="bullet"/>
      <w:lvlText w:val="•"/>
      <w:lvlJc w:val="left"/>
      <w:pPr>
        <w:ind w:left="8250" w:hanging="567"/>
      </w:pPr>
      <w:rPr>
        <w:rFonts w:hint="default"/>
        <w:lang w:val="en-US" w:eastAsia="en-US" w:bidi="en-US"/>
      </w:rPr>
    </w:lvl>
    <w:lvl w:ilvl="8" w:tplc="E416D974">
      <w:numFmt w:val="bullet"/>
      <w:lvlText w:val="•"/>
      <w:lvlJc w:val="left"/>
      <w:pPr>
        <w:ind w:left="9135" w:hanging="567"/>
      </w:pPr>
      <w:rPr>
        <w:rFonts w:hint="default"/>
        <w:lang w:val="en-US" w:eastAsia="en-US" w:bidi="en-US"/>
      </w:rPr>
    </w:lvl>
  </w:abstractNum>
  <w:abstractNum w:abstractNumId="192" w15:restartNumberingAfterBreak="0">
    <w:nsid w:val="7F1D47C7"/>
    <w:multiLevelType w:val="hybridMultilevel"/>
    <w:tmpl w:val="AA5639DA"/>
    <w:lvl w:ilvl="0" w:tplc="D8D60306">
      <w:start w:val="166"/>
      <w:numFmt w:val="decimal"/>
      <w:lvlText w:val="%1"/>
      <w:lvlJc w:val="left"/>
      <w:pPr>
        <w:ind w:left="1801" w:hanging="794"/>
        <w:jc w:val="right"/>
      </w:pPr>
      <w:rPr>
        <w:rFonts w:ascii="Raleway" w:eastAsia="Raleway" w:hAnsi="Raleway" w:cs="Raleway" w:hint="default"/>
        <w:color w:val="231F20"/>
        <w:spacing w:val="0"/>
        <w:w w:val="100"/>
        <w:sz w:val="13"/>
        <w:szCs w:val="13"/>
        <w:lang w:val="en-US" w:eastAsia="en-US" w:bidi="en-US"/>
      </w:rPr>
    </w:lvl>
    <w:lvl w:ilvl="1" w:tplc="37145BFE">
      <w:numFmt w:val="bullet"/>
      <w:lvlText w:val="•"/>
      <w:lvlJc w:val="left"/>
      <w:pPr>
        <w:ind w:left="2141" w:hanging="341"/>
      </w:pPr>
      <w:rPr>
        <w:rFonts w:ascii="Raleway" w:eastAsia="Raleway" w:hAnsi="Raleway" w:cs="Raleway" w:hint="default"/>
        <w:color w:val="231F20"/>
        <w:spacing w:val="-14"/>
        <w:w w:val="100"/>
        <w:sz w:val="20"/>
        <w:szCs w:val="20"/>
        <w:lang w:val="en-US" w:eastAsia="en-US" w:bidi="en-US"/>
      </w:rPr>
    </w:lvl>
    <w:lvl w:ilvl="2" w:tplc="929269E2">
      <w:numFmt w:val="bullet"/>
      <w:lvlText w:val="•"/>
      <w:lvlJc w:val="left"/>
      <w:pPr>
        <w:ind w:left="2980" w:hanging="341"/>
      </w:pPr>
      <w:rPr>
        <w:rFonts w:hint="default"/>
        <w:lang w:val="en-US" w:eastAsia="en-US" w:bidi="en-US"/>
      </w:rPr>
    </w:lvl>
    <w:lvl w:ilvl="3" w:tplc="9E48B594">
      <w:numFmt w:val="bullet"/>
      <w:lvlText w:val="•"/>
      <w:lvlJc w:val="left"/>
      <w:pPr>
        <w:ind w:left="3820" w:hanging="341"/>
      </w:pPr>
      <w:rPr>
        <w:rFonts w:hint="default"/>
        <w:lang w:val="en-US" w:eastAsia="en-US" w:bidi="en-US"/>
      </w:rPr>
    </w:lvl>
    <w:lvl w:ilvl="4" w:tplc="6066BE86">
      <w:numFmt w:val="bullet"/>
      <w:lvlText w:val="•"/>
      <w:lvlJc w:val="left"/>
      <w:pPr>
        <w:ind w:left="4661" w:hanging="341"/>
      </w:pPr>
      <w:rPr>
        <w:rFonts w:hint="default"/>
        <w:lang w:val="en-US" w:eastAsia="en-US" w:bidi="en-US"/>
      </w:rPr>
    </w:lvl>
    <w:lvl w:ilvl="5" w:tplc="9E1E8644">
      <w:numFmt w:val="bullet"/>
      <w:lvlText w:val="•"/>
      <w:lvlJc w:val="left"/>
      <w:pPr>
        <w:ind w:left="5501" w:hanging="341"/>
      </w:pPr>
      <w:rPr>
        <w:rFonts w:hint="default"/>
        <w:lang w:val="en-US" w:eastAsia="en-US" w:bidi="en-US"/>
      </w:rPr>
    </w:lvl>
    <w:lvl w:ilvl="6" w:tplc="5D7825DA">
      <w:numFmt w:val="bullet"/>
      <w:lvlText w:val="•"/>
      <w:lvlJc w:val="left"/>
      <w:pPr>
        <w:ind w:left="6342" w:hanging="341"/>
      </w:pPr>
      <w:rPr>
        <w:rFonts w:hint="default"/>
        <w:lang w:val="en-US" w:eastAsia="en-US" w:bidi="en-US"/>
      </w:rPr>
    </w:lvl>
    <w:lvl w:ilvl="7" w:tplc="6820146C">
      <w:numFmt w:val="bullet"/>
      <w:lvlText w:val="•"/>
      <w:lvlJc w:val="left"/>
      <w:pPr>
        <w:ind w:left="7182" w:hanging="341"/>
      </w:pPr>
      <w:rPr>
        <w:rFonts w:hint="default"/>
        <w:lang w:val="en-US" w:eastAsia="en-US" w:bidi="en-US"/>
      </w:rPr>
    </w:lvl>
    <w:lvl w:ilvl="8" w:tplc="C6380C8A">
      <w:numFmt w:val="bullet"/>
      <w:lvlText w:val="•"/>
      <w:lvlJc w:val="left"/>
      <w:pPr>
        <w:ind w:left="8023" w:hanging="341"/>
      </w:pPr>
      <w:rPr>
        <w:rFonts w:hint="default"/>
        <w:lang w:val="en-US" w:eastAsia="en-US" w:bidi="en-US"/>
      </w:rPr>
    </w:lvl>
  </w:abstractNum>
  <w:num w:numId="1">
    <w:abstractNumId w:val="113"/>
  </w:num>
  <w:num w:numId="2">
    <w:abstractNumId w:val="186"/>
  </w:num>
  <w:num w:numId="3">
    <w:abstractNumId w:val="169"/>
  </w:num>
  <w:num w:numId="4">
    <w:abstractNumId w:val="32"/>
  </w:num>
  <w:num w:numId="5">
    <w:abstractNumId w:val="98"/>
  </w:num>
  <w:num w:numId="6">
    <w:abstractNumId w:val="58"/>
  </w:num>
  <w:num w:numId="7">
    <w:abstractNumId w:val="87"/>
  </w:num>
  <w:num w:numId="8">
    <w:abstractNumId w:val="174"/>
  </w:num>
  <w:num w:numId="9">
    <w:abstractNumId w:val="20"/>
  </w:num>
  <w:num w:numId="10">
    <w:abstractNumId w:val="121"/>
  </w:num>
  <w:num w:numId="11">
    <w:abstractNumId w:val="66"/>
  </w:num>
  <w:num w:numId="12">
    <w:abstractNumId w:val="56"/>
  </w:num>
  <w:num w:numId="13">
    <w:abstractNumId w:val="26"/>
  </w:num>
  <w:num w:numId="14">
    <w:abstractNumId w:val="129"/>
  </w:num>
  <w:num w:numId="15">
    <w:abstractNumId w:val="181"/>
  </w:num>
  <w:num w:numId="16">
    <w:abstractNumId w:val="88"/>
  </w:num>
  <w:num w:numId="17">
    <w:abstractNumId w:val="162"/>
  </w:num>
  <w:num w:numId="18">
    <w:abstractNumId w:val="189"/>
  </w:num>
  <w:num w:numId="19">
    <w:abstractNumId w:val="192"/>
  </w:num>
  <w:num w:numId="20">
    <w:abstractNumId w:val="64"/>
  </w:num>
  <w:num w:numId="21">
    <w:abstractNumId w:val="55"/>
  </w:num>
  <w:num w:numId="22">
    <w:abstractNumId w:val="144"/>
  </w:num>
  <w:num w:numId="23">
    <w:abstractNumId w:val="24"/>
  </w:num>
  <w:num w:numId="24">
    <w:abstractNumId w:val="125"/>
  </w:num>
  <w:num w:numId="25">
    <w:abstractNumId w:val="143"/>
  </w:num>
  <w:num w:numId="26">
    <w:abstractNumId w:val="18"/>
  </w:num>
  <w:num w:numId="27">
    <w:abstractNumId w:val="74"/>
  </w:num>
  <w:num w:numId="28">
    <w:abstractNumId w:val="102"/>
  </w:num>
  <w:num w:numId="29">
    <w:abstractNumId w:val="127"/>
  </w:num>
  <w:num w:numId="30">
    <w:abstractNumId w:val="153"/>
  </w:num>
  <w:num w:numId="31">
    <w:abstractNumId w:val="80"/>
  </w:num>
  <w:num w:numId="32">
    <w:abstractNumId w:val="89"/>
  </w:num>
  <w:num w:numId="33">
    <w:abstractNumId w:val="136"/>
  </w:num>
  <w:num w:numId="34">
    <w:abstractNumId w:val="71"/>
  </w:num>
  <w:num w:numId="35">
    <w:abstractNumId w:val="110"/>
  </w:num>
  <w:num w:numId="36">
    <w:abstractNumId w:val="184"/>
  </w:num>
  <w:num w:numId="37">
    <w:abstractNumId w:val="116"/>
  </w:num>
  <w:num w:numId="38">
    <w:abstractNumId w:val="92"/>
  </w:num>
  <w:num w:numId="39">
    <w:abstractNumId w:val="21"/>
  </w:num>
  <w:num w:numId="40">
    <w:abstractNumId w:val="133"/>
  </w:num>
  <w:num w:numId="41">
    <w:abstractNumId w:val="190"/>
  </w:num>
  <w:num w:numId="42">
    <w:abstractNumId w:val="6"/>
  </w:num>
  <w:num w:numId="43">
    <w:abstractNumId w:val="152"/>
  </w:num>
  <w:num w:numId="44">
    <w:abstractNumId w:val="7"/>
  </w:num>
  <w:num w:numId="45">
    <w:abstractNumId w:val="118"/>
  </w:num>
  <w:num w:numId="46">
    <w:abstractNumId w:val="23"/>
  </w:num>
  <w:num w:numId="47">
    <w:abstractNumId w:val="8"/>
  </w:num>
  <w:num w:numId="48">
    <w:abstractNumId w:val="72"/>
  </w:num>
  <w:num w:numId="49">
    <w:abstractNumId w:val="106"/>
  </w:num>
  <w:num w:numId="50">
    <w:abstractNumId w:val="46"/>
  </w:num>
  <w:num w:numId="51">
    <w:abstractNumId w:val="93"/>
  </w:num>
  <w:num w:numId="52">
    <w:abstractNumId w:val="45"/>
  </w:num>
  <w:num w:numId="53">
    <w:abstractNumId w:val="65"/>
  </w:num>
  <w:num w:numId="54">
    <w:abstractNumId w:val="154"/>
  </w:num>
  <w:num w:numId="55">
    <w:abstractNumId w:val="16"/>
  </w:num>
  <w:num w:numId="56">
    <w:abstractNumId w:val="69"/>
  </w:num>
  <w:num w:numId="57">
    <w:abstractNumId w:val="33"/>
  </w:num>
  <w:num w:numId="58">
    <w:abstractNumId w:val="161"/>
  </w:num>
  <w:num w:numId="59">
    <w:abstractNumId w:val="11"/>
  </w:num>
  <w:num w:numId="60">
    <w:abstractNumId w:val="165"/>
  </w:num>
  <w:num w:numId="61">
    <w:abstractNumId w:val="15"/>
  </w:num>
  <w:num w:numId="62">
    <w:abstractNumId w:val="105"/>
  </w:num>
  <w:num w:numId="63">
    <w:abstractNumId w:val="109"/>
  </w:num>
  <w:num w:numId="64">
    <w:abstractNumId w:val="91"/>
  </w:num>
  <w:num w:numId="65">
    <w:abstractNumId w:val="28"/>
  </w:num>
  <w:num w:numId="66">
    <w:abstractNumId w:val="96"/>
  </w:num>
  <w:num w:numId="67">
    <w:abstractNumId w:val="79"/>
  </w:num>
  <w:num w:numId="68">
    <w:abstractNumId w:val="5"/>
  </w:num>
  <w:num w:numId="69">
    <w:abstractNumId w:val="123"/>
  </w:num>
  <w:num w:numId="70">
    <w:abstractNumId w:val="132"/>
  </w:num>
  <w:num w:numId="71">
    <w:abstractNumId w:val="75"/>
  </w:num>
  <w:num w:numId="72">
    <w:abstractNumId w:val="77"/>
  </w:num>
  <w:num w:numId="73">
    <w:abstractNumId w:val="13"/>
  </w:num>
  <w:num w:numId="74">
    <w:abstractNumId w:val="43"/>
  </w:num>
  <w:num w:numId="75">
    <w:abstractNumId w:val="176"/>
  </w:num>
  <w:num w:numId="76">
    <w:abstractNumId w:val="159"/>
  </w:num>
  <w:num w:numId="77">
    <w:abstractNumId w:val="82"/>
  </w:num>
  <w:num w:numId="78">
    <w:abstractNumId w:val="179"/>
  </w:num>
  <w:num w:numId="79">
    <w:abstractNumId w:val="1"/>
  </w:num>
  <w:num w:numId="80">
    <w:abstractNumId w:val="164"/>
  </w:num>
  <w:num w:numId="81">
    <w:abstractNumId w:val="9"/>
  </w:num>
  <w:num w:numId="82">
    <w:abstractNumId w:val="180"/>
  </w:num>
  <w:num w:numId="83">
    <w:abstractNumId w:val="42"/>
  </w:num>
  <w:num w:numId="84">
    <w:abstractNumId w:val="34"/>
  </w:num>
  <w:num w:numId="85">
    <w:abstractNumId w:val="150"/>
  </w:num>
  <w:num w:numId="86">
    <w:abstractNumId w:val="95"/>
  </w:num>
  <w:num w:numId="87">
    <w:abstractNumId w:val="128"/>
  </w:num>
  <w:num w:numId="88">
    <w:abstractNumId w:val="146"/>
  </w:num>
  <w:num w:numId="89">
    <w:abstractNumId w:val="173"/>
  </w:num>
  <w:num w:numId="90">
    <w:abstractNumId w:val="131"/>
  </w:num>
  <w:num w:numId="91">
    <w:abstractNumId w:val="142"/>
  </w:num>
  <w:num w:numId="92">
    <w:abstractNumId w:val="30"/>
  </w:num>
  <w:num w:numId="93">
    <w:abstractNumId w:val="29"/>
  </w:num>
  <w:num w:numId="94">
    <w:abstractNumId w:val="12"/>
  </w:num>
  <w:num w:numId="95">
    <w:abstractNumId w:val="126"/>
  </w:num>
  <w:num w:numId="96">
    <w:abstractNumId w:val="19"/>
  </w:num>
  <w:num w:numId="97">
    <w:abstractNumId w:val="3"/>
  </w:num>
  <w:num w:numId="98">
    <w:abstractNumId w:val="177"/>
  </w:num>
  <w:num w:numId="99">
    <w:abstractNumId w:val="31"/>
  </w:num>
  <w:num w:numId="100">
    <w:abstractNumId w:val="134"/>
  </w:num>
  <w:num w:numId="101">
    <w:abstractNumId w:val="139"/>
  </w:num>
  <w:num w:numId="102">
    <w:abstractNumId w:val="40"/>
  </w:num>
  <w:num w:numId="103">
    <w:abstractNumId w:val="156"/>
  </w:num>
  <w:num w:numId="104">
    <w:abstractNumId w:val="188"/>
  </w:num>
  <w:num w:numId="105">
    <w:abstractNumId w:val="160"/>
  </w:num>
  <w:num w:numId="106">
    <w:abstractNumId w:val="149"/>
  </w:num>
  <w:num w:numId="107">
    <w:abstractNumId w:val="183"/>
  </w:num>
  <w:num w:numId="108">
    <w:abstractNumId w:val="84"/>
  </w:num>
  <w:num w:numId="109">
    <w:abstractNumId w:val="37"/>
  </w:num>
  <w:num w:numId="110">
    <w:abstractNumId w:val="148"/>
  </w:num>
  <w:num w:numId="111">
    <w:abstractNumId w:val="51"/>
  </w:num>
  <w:num w:numId="112">
    <w:abstractNumId w:val="191"/>
  </w:num>
  <w:num w:numId="113">
    <w:abstractNumId w:val="167"/>
  </w:num>
  <w:num w:numId="114">
    <w:abstractNumId w:val="171"/>
  </w:num>
  <w:num w:numId="115">
    <w:abstractNumId w:val="155"/>
  </w:num>
  <w:num w:numId="116">
    <w:abstractNumId w:val="25"/>
  </w:num>
  <w:num w:numId="117">
    <w:abstractNumId w:val="48"/>
  </w:num>
  <w:num w:numId="118">
    <w:abstractNumId w:val="107"/>
  </w:num>
  <w:num w:numId="119">
    <w:abstractNumId w:val="147"/>
  </w:num>
  <w:num w:numId="120">
    <w:abstractNumId w:val="83"/>
  </w:num>
  <w:num w:numId="121">
    <w:abstractNumId w:val="168"/>
  </w:num>
  <w:num w:numId="122">
    <w:abstractNumId w:val="0"/>
  </w:num>
  <w:num w:numId="123">
    <w:abstractNumId w:val="137"/>
  </w:num>
  <w:num w:numId="124">
    <w:abstractNumId w:val="100"/>
  </w:num>
  <w:num w:numId="125">
    <w:abstractNumId w:val="111"/>
  </w:num>
  <w:num w:numId="126">
    <w:abstractNumId w:val="182"/>
  </w:num>
  <w:num w:numId="127">
    <w:abstractNumId w:val="50"/>
  </w:num>
  <w:num w:numId="128">
    <w:abstractNumId w:val="2"/>
  </w:num>
  <w:num w:numId="129">
    <w:abstractNumId w:val="138"/>
  </w:num>
  <w:num w:numId="130">
    <w:abstractNumId w:val="122"/>
  </w:num>
  <w:num w:numId="131">
    <w:abstractNumId w:val="62"/>
  </w:num>
  <w:num w:numId="132">
    <w:abstractNumId w:val="90"/>
  </w:num>
  <w:num w:numId="133">
    <w:abstractNumId w:val="14"/>
  </w:num>
  <w:num w:numId="134">
    <w:abstractNumId w:val="52"/>
  </w:num>
  <w:num w:numId="135">
    <w:abstractNumId w:val="86"/>
  </w:num>
  <w:num w:numId="136">
    <w:abstractNumId w:val="44"/>
  </w:num>
  <w:num w:numId="137">
    <w:abstractNumId w:val="4"/>
  </w:num>
  <w:num w:numId="138">
    <w:abstractNumId w:val="36"/>
  </w:num>
  <w:num w:numId="139">
    <w:abstractNumId w:val="101"/>
  </w:num>
  <w:num w:numId="140">
    <w:abstractNumId w:val="27"/>
  </w:num>
  <w:num w:numId="141">
    <w:abstractNumId w:val="104"/>
  </w:num>
  <w:num w:numId="142">
    <w:abstractNumId w:val="99"/>
  </w:num>
  <w:num w:numId="143">
    <w:abstractNumId w:val="185"/>
  </w:num>
  <w:num w:numId="144">
    <w:abstractNumId w:val="97"/>
  </w:num>
  <w:num w:numId="145">
    <w:abstractNumId w:val="108"/>
  </w:num>
  <w:num w:numId="146">
    <w:abstractNumId w:val="172"/>
  </w:num>
  <w:num w:numId="147">
    <w:abstractNumId w:val="63"/>
  </w:num>
  <w:num w:numId="148">
    <w:abstractNumId w:val="76"/>
  </w:num>
  <w:num w:numId="149">
    <w:abstractNumId w:val="47"/>
  </w:num>
  <w:num w:numId="150">
    <w:abstractNumId w:val="54"/>
  </w:num>
  <w:num w:numId="151">
    <w:abstractNumId w:val="130"/>
  </w:num>
  <w:num w:numId="152">
    <w:abstractNumId w:val="117"/>
  </w:num>
  <w:num w:numId="153">
    <w:abstractNumId w:val="38"/>
  </w:num>
  <w:num w:numId="154">
    <w:abstractNumId w:val="166"/>
  </w:num>
  <w:num w:numId="155">
    <w:abstractNumId w:val="10"/>
  </w:num>
  <w:num w:numId="156">
    <w:abstractNumId w:val="158"/>
  </w:num>
  <w:num w:numId="157">
    <w:abstractNumId w:val="114"/>
  </w:num>
  <w:num w:numId="158">
    <w:abstractNumId w:val="187"/>
  </w:num>
  <w:num w:numId="159">
    <w:abstractNumId w:val="35"/>
  </w:num>
  <w:num w:numId="160">
    <w:abstractNumId w:val="60"/>
  </w:num>
  <w:num w:numId="161">
    <w:abstractNumId w:val="163"/>
  </w:num>
  <w:num w:numId="162">
    <w:abstractNumId w:val="170"/>
  </w:num>
  <w:num w:numId="163">
    <w:abstractNumId w:val="73"/>
  </w:num>
  <w:num w:numId="164">
    <w:abstractNumId w:val="157"/>
  </w:num>
  <w:num w:numId="165">
    <w:abstractNumId w:val="41"/>
  </w:num>
  <w:num w:numId="166">
    <w:abstractNumId w:val="17"/>
  </w:num>
  <w:num w:numId="167">
    <w:abstractNumId w:val="175"/>
  </w:num>
  <w:num w:numId="168">
    <w:abstractNumId w:val="120"/>
  </w:num>
  <w:num w:numId="169">
    <w:abstractNumId w:val="81"/>
  </w:num>
  <w:num w:numId="170">
    <w:abstractNumId w:val="112"/>
  </w:num>
  <w:num w:numId="171">
    <w:abstractNumId w:val="115"/>
  </w:num>
  <w:num w:numId="172">
    <w:abstractNumId w:val="135"/>
  </w:num>
  <w:num w:numId="173">
    <w:abstractNumId w:val="145"/>
  </w:num>
  <w:num w:numId="174">
    <w:abstractNumId w:val="94"/>
  </w:num>
  <w:num w:numId="175">
    <w:abstractNumId w:val="70"/>
  </w:num>
  <w:num w:numId="176">
    <w:abstractNumId w:val="67"/>
  </w:num>
  <w:num w:numId="177">
    <w:abstractNumId w:val="119"/>
  </w:num>
  <w:num w:numId="178">
    <w:abstractNumId w:val="151"/>
  </w:num>
  <w:num w:numId="179">
    <w:abstractNumId w:val="57"/>
  </w:num>
  <w:num w:numId="180">
    <w:abstractNumId w:val="140"/>
  </w:num>
  <w:num w:numId="181">
    <w:abstractNumId w:val="124"/>
  </w:num>
  <w:num w:numId="182">
    <w:abstractNumId w:val="22"/>
  </w:num>
  <w:num w:numId="183">
    <w:abstractNumId w:val="78"/>
  </w:num>
  <w:num w:numId="184">
    <w:abstractNumId w:val="68"/>
  </w:num>
  <w:num w:numId="185">
    <w:abstractNumId w:val="141"/>
  </w:num>
  <w:num w:numId="186">
    <w:abstractNumId w:val="178"/>
  </w:num>
  <w:num w:numId="187">
    <w:abstractNumId w:val="49"/>
  </w:num>
  <w:num w:numId="188">
    <w:abstractNumId w:val="39"/>
  </w:num>
  <w:num w:numId="189">
    <w:abstractNumId w:val="53"/>
  </w:num>
  <w:num w:numId="190">
    <w:abstractNumId w:val="103"/>
  </w:num>
  <w:num w:numId="191">
    <w:abstractNumId w:val="59"/>
  </w:num>
  <w:num w:numId="192">
    <w:abstractNumId w:val="85"/>
  </w:num>
  <w:num w:numId="193">
    <w:abstractNumId w:val="61"/>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IQazuBEPBrWMEi24zuytnVNNcx/8VpcX4WBm4qx+Bh3hujFTigz+Gk/68b+qHlJLUEq9ie+QhRcqFeO8QtPO+A==" w:salt="ysm0i/WWgAshAs3wlcQyPA=="/>
  <w:defaultTabStop w:val="720"/>
  <w:evenAndOddHeaders/>
  <w:drawingGridHorizontalSpacing w:val="110"/>
  <w:displayHorizontalDrawingGridEvery w:val="2"/>
  <w:characterSpacingControl w:val="doNotCompress"/>
  <w:hdrShapeDefaults>
    <o:shapedefaults v:ext="edit" spidmax="213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894070"/>
    <w:rsid w:val="007C3BD6"/>
    <w:rsid w:val="00894070"/>
    <w:rsid w:val="009B7AFD"/>
    <w:rsid w:val="009F6793"/>
    <w:rsid w:val="00DD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1"/>
    </o:shapelayout>
  </w:shapeDefaults>
  <w:decimalSymbol w:val="."/>
  <w:listSeparator w:val=","/>
  <w14:docId w14:val="7AFFC12C"/>
  <w15:docId w15:val="{4543B4A6-392A-47D3-B2D1-DCA898D45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aleway" w:eastAsia="Raleway" w:hAnsi="Raleway" w:cs="Raleway"/>
      <w:lang w:bidi="en-US"/>
    </w:rPr>
  </w:style>
  <w:style w:type="paragraph" w:styleId="Heading1">
    <w:name w:val="heading 1"/>
    <w:basedOn w:val="Normal"/>
    <w:uiPriority w:val="9"/>
    <w:qFormat/>
    <w:pPr>
      <w:outlineLvl w:val="0"/>
    </w:pPr>
    <w:rPr>
      <w:rFonts w:ascii="Raleway Thin" w:eastAsia="Raleway Thin" w:hAnsi="Raleway Thin" w:cs="Raleway Thin"/>
      <w:sz w:val="205"/>
      <w:szCs w:val="205"/>
    </w:rPr>
  </w:style>
  <w:style w:type="paragraph" w:styleId="Heading2">
    <w:name w:val="heading 2"/>
    <w:basedOn w:val="Normal"/>
    <w:uiPriority w:val="9"/>
    <w:unhideWhenUsed/>
    <w:qFormat/>
    <w:pPr>
      <w:ind w:left="1007"/>
      <w:outlineLvl w:val="1"/>
    </w:pPr>
    <w:rPr>
      <w:rFonts w:ascii="Raleway ExtraBold" w:eastAsia="Raleway ExtraBold" w:hAnsi="Raleway ExtraBold" w:cs="Raleway ExtraBold"/>
      <w:b/>
      <w:bCs/>
      <w:sz w:val="88"/>
      <w:szCs w:val="88"/>
    </w:rPr>
  </w:style>
  <w:style w:type="paragraph" w:styleId="Heading3">
    <w:name w:val="heading 3"/>
    <w:basedOn w:val="Normal"/>
    <w:uiPriority w:val="9"/>
    <w:unhideWhenUsed/>
    <w:qFormat/>
    <w:pPr>
      <w:spacing w:line="758" w:lineRule="exact"/>
      <w:ind w:left="270"/>
      <w:outlineLvl w:val="2"/>
    </w:pPr>
    <w:rPr>
      <w:rFonts w:ascii="Raleway ExtraBold" w:eastAsia="Raleway ExtraBold" w:hAnsi="Raleway ExtraBold" w:cs="Raleway ExtraBold"/>
      <w:b/>
      <w:bCs/>
      <w:sz w:val="56"/>
      <w:szCs w:val="56"/>
    </w:rPr>
  </w:style>
  <w:style w:type="paragraph" w:styleId="Heading4">
    <w:name w:val="heading 4"/>
    <w:basedOn w:val="Normal"/>
    <w:uiPriority w:val="9"/>
    <w:unhideWhenUsed/>
    <w:qFormat/>
    <w:pPr>
      <w:spacing w:line="688" w:lineRule="exact"/>
      <w:ind w:right="705"/>
      <w:jc w:val="right"/>
      <w:outlineLvl w:val="3"/>
    </w:pPr>
    <w:rPr>
      <w:rFonts w:ascii="Raleway SemiBold" w:eastAsia="Raleway SemiBold" w:hAnsi="Raleway SemiBold" w:cs="Raleway SemiBold"/>
      <w:sz w:val="50"/>
      <w:szCs w:val="50"/>
    </w:rPr>
  </w:style>
  <w:style w:type="paragraph" w:styleId="Heading5">
    <w:name w:val="heading 5"/>
    <w:basedOn w:val="Normal"/>
    <w:uiPriority w:val="9"/>
    <w:unhideWhenUsed/>
    <w:qFormat/>
    <w:pPr>
      <w:spacing w:before="31"/>
      <w:ind w:left="1234"/>
      <w:outlineLvl w:val="4"/>
    </w:pPr>
    <w:rPr>
      <w:rFonts w:ascii="Raleway ExtraBold" w:eastAsia="Raleway ExtraBold" w:hAnsi="Raleway ExtraBold" w:cs="Raleway ExtraBold"/>
      <w:b/>
      <w:bCs/>
      <w:sz w:val="32"/>
      <w:szCs w:val="32"/>
    </w:rPr>
  </w:style>
  <w:style w:type="paragraph" w:styleId="Heading6">
    <w:name w:val="heading 6"/>
    <w:basedOn w:val="Normal"/>
    <w:uiPriority w:val="9"/>
    <w:unhideWhenUsed/>
    <w:qFormat/>
    <w:pPr>
      <w:spacing w:before="120"/>
      <w:ind w:left="145"/>
      <w:outlineLvl w:val="5"/>
    </w:pPr>
    <w:rPr>
      <w:rFonts w:ascii="Trebuchet MS" w:eastAsia="Trebuchet MS" w:hAnsi="Trebuchet MS" w:cs="Trebuchet MS"/>
      <w:sz w:val="32"/>
      <w:szCs w:val="32"/>
    </w:rPr>
  </w:style>
  <w:style w:type="paragraph" w:styleId="Heading7">
    <w:name w:val="heading 7"/>
    <w:basedOn w:val="Normal"/>
    <w:uiPriority w:val="1"/>
    <w:qFormat/>
    <w:pPr>
      <w:ind w:left="1007"/>
      <w:outlineLvl w:val="6"/>
    </w:pPr>
    <w:rPr>
      <w:rFonts w:ascii="Raleway ExtraBold" w:eastAsia="Raleway ExtraBold" w:hAnsi="Raleway ExtraBold" w:cs="Raleway ExtraBold"/>
      <w:b/>
      <w:bCs/>
      <w:sz w:val="28"/>
      <w:szCs w:val="28"/>
    </w:rPr>
  </w:style>
  <w:style w:type="paragraph" w:styleId="Heading8">
    <w:name w:val="heading 8"/>
    <w:basedOn w:val="Normal"/>
    <w:uiPriority w:val="1"/>
    <w:qFormat/>
    <w:pPr>
      <w:outlineLvl w:val="7"/>
    </w:pPr>
    <w:rPr>
      <w:b/>
      <w:bCs/>
      <w:sz w:val="24"/>
      <w:szCs w:val="24"/>
    </w:rPr>
  </w:style>
  <w:style w:type="paragraph" w:styleId="Heading9">
    <w:name w:val="heading 9"/>
    <w:basedOn w:val="Normal"/>
    <w:uiPriority w:val="1"/>
    <w:qFormat/>
    <w:pPr>
      <w:spacing w:before="119"/>
      <w:ind w:left="1007"/>
      <w:outlineLvl w:val="8"/>
    </w:pPr>
    <w:rPr>
      <w:rFonts w:ascii="Raleway SemiBold" w:eastAsia="Raleway SemiBold" w:hAnsi="Raleway SemiBold" w:cs="Raleway SemiBol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
      <w:ind w:left="1347" w:hanging="340"/>
    </w:pPr>
    <w:rPr>
      <w:b/>
      <w:bCs/>
      <w:sz w:val="20"/>
      <w:szCs w:val="20"/>
    </w:rPr>
  </w:style>
  <w:style w:type="paragraph" w:styleId="TOC2">
    <w:name w:val="toc 2"/>
    <w:basedOn w:val="Normal"/>
    <w:uiPriority w:val="1"/>
    <w:qFormat/>
    <w:pPr>
      <w:spacing w:before="47"/>
      <w:ind w:left="1574"/>
    </w:pPr>
    <w:rPr>
      <w:sz w:val="20"/>
      <w:szCs w:val="20"/>
    </w:rPr>
  </w:style>
  <w:style w:type="paragraph" w:styleId="TOC3">
    <w:name w:val="toc 3"/>
    <w:basedOn w:val="Normal"/>
    <w:uiPriority w:val="1"/>
    <w:qFormat/>
    <w:pPr>
      <w:spacing w:before="41"/>
      <w:ind w:left="1857"/>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801" w:hanging="794"/>
    </w:pPr>
  </w:style>
  <w:style w:type="paragraph" w:customStyle="1" w:styleId="TableParagraph">
    <w:name w:val="Table Paragraph"/>
    <w:basedOn w:val="Normal"/>
    <w:uiPriority w:val="1"/>
    <w:qFormat/>
    <w:pPr>
      <w:ind w:left="113"/>
    </w:pPr>
  </w:style>
  <w:style w:type="paragraph" w:styleId="Header">
    <w:name w:val="header"/>
    <w:basedOn w:val="Normal"/>
    <w:link w:val="HeaderChar"/>
    <w:uiPriority w:val="99"/>
    <w:unhideWhenUsed/>
    <w:rsid w:val="007C3BD6"/>
    <w:pPr>
      <w:tabs>
        <w:tab w:val="center" w:pos="4513"/>
        <w:tab w:val="right" w:pos="9026"/>
      </w:tabs>
    </w:pPr>
  </w:style>
  <w:style w:type="character" w:customStyle="1" w:styleId="HeaderChar">
    <w:name w:val="Header Char"/>
    <w:basedOn w:val="DefaultParagraphFont"/>
    <w:link w:val="Header"/>
    <w:uiPriority w:val="99"/>
    <w:rsid w:val="007C3BD6"/>
    <w:rPr>
      <w:rFonts w:ascii="Raleway" w:eastAsia="Raleway" w:hAnsi="Raleway" w:cs="Raleway"/>
      <w:lang w:bidi="en-US"/>
    </w:rPr>
  </w:style>
  <w:style w:type="paragraph" w:styleId="Footer">
    <w:name w:val="footer"/>
    <w:basedOn w:val="Normal"/>
    <w:link w:val="FooterChar"/>
    <w:uiPriority w:val="99"/>
    <w:unhideWhenUsed/>
    <w:rsid w:val="007C3BD6"/>
    <w:pPr>
      <w:tabs>
        <w:tab w:val="center" w:pos="4513"/>
        <w:tab w:val="right" w:pos="9026"/>
      </w:tabs>
    </w:pPr>
  </w:style>
  <w:style w:type="character" w:customStyle="1" w:styleId="FooterChar">
    <w:name w:val="Footer Char"/>
    <w:basedOn w:val="DefaultParagraphFont"/>
    <w:link w:val="Footer"/>
    <w:uiPriority w:val="99"/>
    <w:rsid w:val="007C3BD6"/>
    <w:rPr>
      <w:rFonts w:ascii="Raleway" w:eastAsia="Raleway" w:hAnsi="Raleway" w:cs="Raleway"/>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victimsupport.org.uk/crime-info/types-crime/stalking-and-harassment/" TargetMode="External"/><Relationship Id="rId299" Type="http://schemas.openxmlformats.org/officeDocument/2006/relationships/hyperlink" Target="https://www.crimestatistics.vic.gov.au/crime-statistics/latest-victorian-crime-data/recorded-offences-2" TargetMode="External"/><Relationship Id="rId303" Type="http://schemas.openxmlformats.org/officeDocument/2006/relationships/hyperlink" Target="https://www.1800respect.org.au/help-and-support/safety-planning/checklist" TargetMode="External"/><Relationship Id="rId21" Type="http://schemas.openxmlformats.org/officeDocument/2006/relationships/header" Target="header7.xml"/><Relationship Id="rId42" Type="http://schemas.openxmlformats.org/officeDocument/2006/relationships/hyperlink" Target="https://www.crimestatistics.vic.gov.au/crime-statistics/latest-victorian-crime-data/recorded-offences-2" TargetMode="External"/><Relationship Id="rId63" Type="http://schemas.openxmlformats.org/officeDocument/2006/relationships/hyperlink" Target="https://www.crimestatistics.vic.gov.au/crime-statistics/latest-victorian-crime-data/recorded-offences-2" TargetMode="External"/><Relationship Id="rId84" Type="http://schemas.openxmlformats.org/officeDocument/2006/relationships/hyperlink" Target="https://www.esafety.gov.au/report/what-you-can-report-to-esafety" TargetMode="External"/><Relationship Id="rId138" Type="http://schemas.openxmlformats.org/officeDocument/2006/relationships/header" Target="header27.xml"/><Relationship Id="rId159" Type="http://schemas.openxmlformats.org/officeDocument/2006/relationships/hyperlink" Target="http://www.fvrim.vic.gov.au/" TargetMode="External"/><Relationship Id="rId324" Type="http://schemas.openxmlformats.org/officeDocument/2006/relationships/hyperlink" Target="https://www.victimsofcrime.vic.gov.au/going-to-court/applying-for-financial-assistance-from-victims-of-crime-assistance-tribunal" TargetMode="External"/><Relationship Id="rId170" Type="http://schemas.openxmlformats.org/officeDocument/2006/relationships/header" Target="header37.xml"/><Relationship Id="rId191" Type="http://schemas.openxmlformats.org/officeDocument/2006/relationships/hyperlink" Target="https://www.sentencingcouncil.vic.gov.au/about-sentencing/mental-impairment-and-sentencing" TargetMode="External"/><Relationship Id="rId205" Type="http://schemas.openxmlformats.org/officeDocument/2006/relationships/hyperlink" Target="https://www.judicialcollege.vic.edu.au/eManuals/FVBB" TargetMode="External"/><Relationship Id="rId226" Type="http://schemas.openxmlformats.org/officeDocument/2006/relationships/hyperlink" Target="https://www.abs.gov.au/statistics/people/aboriginal-and-torres-strait-islander-peoples/estimates-aboriginal-and-torres-strait-islander-australians/latest-release" TargetMode="External"/><Relationship Id="rId247" Type="http://schemas.openxmlformats.org/officeDocument/2006/relationships/hyperlink" Target="http://WA.Gov.Au/" TargetMode="External"/><Relationship Id="rId107" Type="http://schemas.openxmlformats.org/officeDocument/2006/relationships/hyperlink" Target="https://www.theage.com.au/national/victoria/cyber-cops-the-new-frontier-20211014-p58zuv.html" TargetMode="External"/><Relationship Id="rId268" Type="http://schemas.openxmlformats.org/officeDocument/2006/relationships/hyperlink" Target="https://www.judicialcollege.vic.edu.au/eManuals/CCB" TargetMode="External"/><Relationship Id="rId289" Type="http://schemas.openxmlformats.org/officeDocument/2006/relationships/hyperlink" Target="http://www.fvrim.vic.gov.au/" TargetMode="External"/><Relationship Id="rId11" Type="http://schemas.openxmlformats.org/officeDocument/2006/relationships/footer" Target="footer2.xml"/><Relationship Id="rId32" Type="http://schemas.openxmlformats.org/officeDocument/2006/relationships/hyperlink" Target="https://www.abs.gov.au/statistics/people/crime-and-justice/personal-safety-australia/latest-release" TargetMode="External"/><Relationship Id="rId53" Type="http://schemas.openxmlformats.org/officeDocument/2006/relationships/hyperlink" Target="https://www.crimestatistics.vic.gov.au/crime-statistics/latest-victorian-crime-data/recorded-offences-2" TargetMode="External"/><Relationship Id="rId74" Type="http://schemas.openxmlformats.org/officeDocument/2006/relationships/hyperlink" Target="https://www.justice.vic.gov.au/saynotobullying" TargetMode="External"/><Relationship Id="rId128" Type="http://schemas.openxmlformats.org/officeDocument/2006/relationships/hyperlink" Target="http://www.health.vic.gov.au/mental-health-reform/recommendation-17" TargetMode="External"/><Relationship Id="rId149" Type="http://schemas.openxmlformats.org/officeDocument/2006/relationships/hyperlink" Target="https://www.1800respect.org.au/help-and-support/safety-planning/checklist" TargetMode="External"/><Relationship Id="rId314" Type="http://schemas.openxmlformats.org/officeDocument/2006/relationships/hyperlink" Target="https://www.techsafetyapp.org/home" TargetMode="External"/><Relationship Id="rId335" Type="http://schemas.openxmlformats.org/officeDocument/2006/relationships/hyperlink" Target="https://www.police.vic.gov.au/stalking" TargetMode="External"/><Relationship Id="rId5" Type="http://schemas.openxmlformats.org/officeDocument/2006/relationships/footnotes" Target="footnotes.xml"/><Relationship Id="rId95" Type="http://schemas.openxmlformats.org/officeDocument/2006/relationships/hyperlink" Target="https://digitallicenceplus.org/" TargetMode="External"/><Relationship Id="rId160" Type="http://schemas.openxmlformats.org/officeDocument/2006/relationships/hyperlink" Target="https://www.heraldsun.com.au/news/victoria/new-changes-introduced-to-provide-protection-to-victims-of-stalking-and-threats-to-kill/news-story/cd9d2339eb8b2c5d3d74ebc62ec9a8bc" TargetMode="External"/><Relationship Id="rId181" Type="http://schemas.openxmlformats.org/officeDocument/2006/relationships/hyperlink" Target="https://www.cps.gov.uk/legal-guidance/stalking-protection-orders" TargetMode="External"/><Relationship Id="rId216" Type="http://schemas.openxmlformats.org/officeDocument/2006/relationships/header" Target="header51.xml"/><Relationship Id="rId237" Type="http://schemas.openxmlformats.org/officeDocument/2006/relationships/header" Target="header53.xml"/><Relationship Id="rId258" Type="http://schemas.openxmlformats.org/officeDocument/2006/relationships/hyperlink" Target="https://www.abc.net.au/news/2017-04-18/domestic-violence-offenders-to-be-gps-tracked-in-sa/8448666" TargetMode="External"/><Relationship Id="rId279" Type="http://schemas.openxmlformats.org/officeDocument/2006/relationships/hyperlink" Target="https://www.esafety.gov.au/educators/classroom-resources" TargetMode="External"/><Relationship Id="rId22" Type="http://schemas.openxmlformats.org/officeDocument/2006/relationships/header" Target="header8.xml"/><Relationship Id="rId43" Type="http://schemas.openxmlformats.org/officeDocument/2006/relationships/hyperlink" Target="https://www.abs.gov.au/statistics/people/crime-and-justice/personal-safety-australia/latest-release" TargetMode="External"/><Relationship Id="rId64" Type="http://schemas.openxmlformats.org/officeDocument/2006/relationships/hyperlink" Target="https://www.abs.gov.au/statistics/people/aboriginal-and-torres-strait-islander-peoples/estimates-aboriginal-and-torres-strait-islander-australians/latest-release" TargetMode="External"/><Relationship Id="rId118" Type="http://schemas.openxmlformats.org/officeDocument/2006/relationships/hyperlink" Target="https://www.victimsofcrime.vic.gov.au/the-crime/types-of-crime/stalking" TargetMode="External"/><Relationship Id="rId139" Type="http://schemas.openxmlformats.org/officeDocument/2006/relationships/header" Target="header28.xml"/><Relationship Id="rId290" Type="http://schemas.openxmlformats.org/officeDocument/2006/relationships/hyperlink" Target="https://www.paladinservice.co.uk/our-mission" TargetMode="External"/><Relationship Id="rId304" Type="http://schemas.openxmlformats.org/officeDocument/2006/relationships/hyperlink" Target="https://www.1800respect.org.au/help-and-support/safety-planning/checklist" TargetMode="External"/><Relationship Id="rId325" Type="http://schemas.openxmlformats.org/officeDocument/2006/relationships/hyperlink" Target="https://www.victimsofcrime.vic.gov.au/going-to-court/applying-for-financial-assistance-from-victims-of-crime-assistance-tribunal" TargetMode="External"/><Relationship Id="rId85" Type="http://schemas.openxmlformats.org/officeDocument/2006/relationships/hyperlink" Target="https://www.esafety.gov.au/key-issues/domestic-family-violence/online-safety-planning" TargetMode="External"/><Relationship Id="rId150" Type="http://schemas.openxmlformats.org/officeDocument/2006/relationships/hyperlink" Target="https://www.1800respect.org.au/help-and-support/safety-planning/checklist" TargetMode="External"/><Relationship Id="rId171" Type="http://schemas.openxmlformats.org/officeDocument/2006/relationships/hyperlink" Target="https://www.justice.vic.gov.au/saynotobullying" TargetMode="External"/><Relationship Id="rId192" Type="http://schemas.openxmlformats.org/officeDocument/2006/relationships/hyperlink" Target="https://www.sentencingcouncil.vic.gov.au/about-sentencing/mental-impairment-and-sentencing" TargetMode="External"/><Relationship Id="rId206" Type="http://schemas.openxmlformats.org/officeDocument/2006/relationships/hyperlink" Target="https://www.judicialcollege.vic.edu.au/eManuals/FVBB" TargetMode="External"/><Relationship Id="rId227" Type="http://schemas.openxmlformats.org/officeDocument/2006/relationships/hyperlink" Target="https://www.abs.gov.au/statistics/people/aboriginal-and-torres-strait-islander-peoples/estimates-aboriginal-and-torres-strait-islander-australians/latest-release" TargetMode="External"/><Relationship Id="rId248" Type="http://schemas.openxmlformats.org/officeDocument/2006/relationships/hyperlink" Target="https://www.wa.gov.au/government/announcements/family-and-domestic-violence-offenders-face-gps-tracking" TargetMode="External"/><Relationship Id="rId269" Type="http://schemas.openxmlformats.org/officeDocument/2006/relationships/hyperlink" Target="https://www.judicialcollege.vic.edu.au/eManuals/CCB" TargetMode="External"/><Relationship Id="rId12" Type="http://schemas.openxmlformats.org/officeDocument/2006/relationships/header" Target="header3.xml"/><Relationship Id="rId33" Type="http://schemas.openxmlformats.org/officeDocument/2006/relationships/hyperlink" Target="https://www.abs.gov.au/statistics/people/crime-and-justice/personal-safety-australia/latest-release" TargetMode="External"/><Relationship Id="rId108" Type="http://schemas.openxmlformats.org/officeDocument/2006/relationships/header" Target="header21.xml"/><Relationship Id="rId129" Type="http://schemas.openxmlformats.org/officeDocument/2006/relationships/hyperlink" Target="https://www.judicialcollege.vic.edu.au/resources/victims-crime-courtroom" TargetMode="External"/><Relationship Id="rId280" Type="http://schemas.openxmlformats.org/officeDocument/2006/relationships/hyperlink" Target="https://www.esafety.gov.au/educators/classroom-resources" TargetMode="External"/><Relationship Id="rId315" Type="http://schemas.openxmlformats.org/officeDocument/2006/relationships/hyperlink" Target="https://www.techsafety.org/" TargetMode="External"/><Relationship Id="rId336" Type="http://schemas.openxmlformats.org/officeDocument/2006/relationships/hyperlink" Target="https://www.victimsofcrime.vic.gov.au/the-crime/types-of-crime/stalking" TargetMode="External"/><Relationship Id="rId54" Type="http://schemas.openxmlformats.org/officeDocument/2006/relationships/hyperlink" Target="https://www.crimestatistics.vic.gov.au/crime-statistics/latest-victorian-crime-data/recorded-offences-2" TargetMode="External"/><Relationship Id="rId75" Type="http://schemas.openxmlformats.org/officeDocument/2006/relationships/hyperlink" Target="https://www.plan.org.au/publications/free-to-be-online/" TargetMode="External"/><Relationship Id="rId96" Type="http://schemas.openxmlformats.org/officeDocument/2006/relationships/hyperlink" Target="https://nnedv.org/content/technology-safety/" TargetMode="External"/><Relationship Id="rId140" Type="http://schemas.openxmlformats.org/officeDocument/2006/relationships/header" Target="header29.xml"/><Relationship Id="rId161" Type="http://schemas.openxmlformats.org/officeDocument/2006/relationships/hyperlink" Target="https://www.heraldsun.com.au/news/victoria/new-changes-introduced-to-provide-protection-to-victims-of-stalking-and-threats-to-kill/news-story/cd9d2339eb8b2c5d3d74ebc62ec9a8bc" TargetMode="External"/><Relationship Id="rId182" Type="http://schemas.openxmlformats.org/officeDocument/2006/relationships/hyperlink" Target="https://www.cps.gov.uk/legal-guidance/stalking-protection-orders" TargetMode="External"/><Relationship Id="rId217" Type="http://schemas.openxmlformats.org/officeDocument/2006/relationships/hyperlink" Target="https://www.esmart.org.au/esmart-libraries/cyber-and-digital-literacy-resources/" TargetMode="External"/><Relationship Id="rId6" Type="http://schemas.openxmlformats.org/officeDocument/2006/relationships/endnotes" Target="endnotes.xml"/><Relationship Id="rId238" Type="http://schemas.openxmlformats.org/officeDocument/2006/relationships/hyperlink" Target="http://www.victimsofcrime.vic.gov.au/going-to-court/child-witness-service" TargetMode="External"/><Relationship Id="rId259" Type="http://schemas.openxmlformats.org/officeDocument/2006/relationships/hyperlink" Target="https://papers.ssrn.com/abstract%3D3772042" TargetMode="External"/><Relationship Id="rId23" Type="http://schemas.openxmlformats.org/officeDocument/2006/relationships/header" Target="header9.xml"/><Relationship Id="rId119" Type="http://schemas.openxmlformats.org/officeDocument/2006/relationships/hyperlink" Target="http://respect.org.au/violence-and-abuse/stalking" TargetMode="External"/><Relationship Id="rId270" Type="http://schemas.openxmlformats.org/officeDocument/2006/relationships/hyperlink" Target="https://crimestoppers-uk.org/campaigns-media/campaigns/lincolnshire-stalking-campaign" TargetMode="External"/><Relationship Id="rId291" Type="http://schemas.openxmlformats.org/officeDocument/2006/relationships/hyperlink" Target="https://www.paladinservice.co.uk/our-mission" TargetMode="External"/><Relationship Id="rId305" Type="http://schemas.openxmlformats.org/officeDocument/2006/relationships/hyperlink" Target="https://www.humanrights.vic.gov.au/for-individuals/sexual-harassment/" TargetMode="External"/><Relationship Id="rId326" Type="http://schemas.openxmlformats.org/officeDocument/2006/relationships/hyperlink" Target="https://www.handbook.vla.vic.gov.au/" TargetMode="External"/><Relationship Id="rId44" Type="http://schemas.openxmlformats.org/officeDocument/2006/relationships/hyperlink" Target="https://www.abs.gov.au/statistics/people/crime-and-justice/personal-safety-australia/latest-release" TargetMode="External"/><Relationship Id="rId65" Type="http://schemas.openxmlformats.org/officeDocument/2006/relationships/hyperlink" Target="https://www.abs.gov.au/statistics/people/aboriginal-and-torres-strait-islander-peoples/estimates-aboriginal-and-torres-strait-islander-australians/latest-release" TargetMode="External"/><Relationship Id="rId86" Type="http://schemas.openxmlformats.org/officeDocument/2006/relationships/hyperlink" Target="https://www.esafety.gov.au/key-issues/domestic-family-violence/online-safety-planning" TargetMode="External"/><Relationship Id="rId130" Type="http://schemas.openxmlformats.org/officeDocument/2006/relationships/hyperlink" Target="https://www.judicialcollege.vic.edu.au/eManuals/CCB" TargetMode="External"/><Relationship Id="rId151" Type="http://schemas.openxmlformats.org/officeDocument/2006/relationships/hyperlink" Target="http://www.victimsofcrime.vic.gov.au/going-to-court/child-witness-service" TargetMode="External"/><Relationship Id="rId172" Type="http://schemas.openxmlformats.org/officeDocument/2006/relationships/hyperlink" Target="https://www.justice.vic.gov.au/saynotobullying" TargetMode="External"/><Relationship Id="rId193" Type="http://schemas.openxmlformats.org/officeDocument/2006/relationships/hyperlink" Target="https://www.forensicare.vic.gov.au/an-evaluation-of-the-problem-behaviour-program-a-community-based-model-for-the-assessment-and-treatment-of-problem-behaviours/" TargetMode="External"/><Relationship Id="rId207" Type="http://schemas.openxmlformats.org/officeDocument/2006/relationships/header" Target="header42.xml"/><Relationship Id="rId228" Type="http://schemas.openxmlformats.org/officeDocument/2006/relationships/hyperlink" Target="https://www.abs.gov.au/statistics/people/crime-and-justice/personal-safety-australia/latest-release" TargetMode="External"/><Relationship Id="rId249" Type="http://schemas.openxmlformats.org/officeDocument/2006/relationships/hyperlink" Target="https://www.wa.gov.au/government/announcements/family-and-domestic-violence-offenders-face-gps-tracking" TargetMode="External"/><Relationship Id="rId13" Type="http://schemas.openxmlformats.org/officeDocument/2006/relationships/footer" Target="footer3.xml"/><Relationship Id="rId109" Type="http://schemas.openxmlformats.org/officeDocument/2006/relationships/header" Target="header22.xml"/><Relationship Id="rId260" Type="http://schemas.openxmlformats.org/officeDocument/2006/relationships/hyperlink" Target="https://www.suzylamplugh.org/Pages/Category/get-stalking-advice-and-help" TargetMode="External"/><Relationship Id="rId281" Type="http://schemas.openxmlformats.org/officeDocument/2006/relationships/hyperlink" Target="https://www.esafety.gov.au/key-issues/domestic-family-violence/technology-facilitated-abuse/cyberstalking" TargetMode="External"/><Relationship Id="rId316" Type="http://schemas.openxmlformats.org/officeDocument/2006/relationships/hyperlink" Target="https://www.techsafety.org/resources-survivors" TargetMode="External"/><Relationship Id="rId337" Type="http://schemas.openxmlformats.org/officeDocument/2006/relationships/hyperlink" Target="https://phones.wesnet.org.au/safeconnections/" TargetMode="External"/><Relationship Id="rId34" Type="http://schemas.openxmlformats.org/officeDocument/2006/relationships/header" Target="header14.xml"/><Relationship Id="rId55" Type="http://schemas.openxmlformats.org/officeDocument/2006/relationships/hyperlink" Target="https://www.crimestatistics.vic.gov.au/crime-statistics/latest-victorian-crime-data/recorded-offences-2" TargetMode="External"/><Relationship Id="rId76" Type="http://schemas.openxmlformats.org/officeDocument/2006/relationships/hyperlink" Target="https://www.plan.org.au/publications/free-to-be-online/" TargetMode="External"/><Relationship Id="rId97" Type="http://schemas.openxmlformats.org/officeDocument/2006/relationships/hyperlink" Target="https://nnedv.org/content/technology-safety/" TargetMode="External"/><Relationship Id="rId120" Type="http://schemas.openxmlformats.org/officeDocument/2006/relationships/hyperlink" Target="https://www.victimsofcrime.vic.gov.au/the-crime/types-of-crime/stalking" TargetMode="External"/><Relationship Id="rId141" Type="http://schemas.openxmlformats.org/officeDocument/2006/relationships/hyperlink" Target="https://www.victimsofcrime.vic.gov.au/going-to-court/applying-for-financial-assistance-from-victims-of-crime-assistance-tribunal" TargetMode="External"/><Relationship Id="rId7" Type="http://schemas.openxmlformats.org/officeDocument/2006/relationships/image" Target="media/image1.png"/><Relationship Id="rId162" Type="http://schemas.openxmlformats.org/officeDocument/2006/relationships/hyperlink" Target="https://www.heraldsun.com.au/news/victoria/new-changes-introduced-to-provide-protection-to-victims-of-stalking-and-threats-to-kill/news-story/cd9d2339eb8b2c5d3d74ebc62ec9a8bc" TargetMode="External"/><Relationship Id="rId183" Type="http://schemas.openxmlformats.org/officeDocument/2006/relationships/hyperlink" Target="https://www.cps.gov.uk/legal-guidance/stalking-and-harassment" TargetMode="External"/><Relationship Id="rId218" Type="http://schemas.openxmlformats.org/officeDocument/2006/relationships/hyperlink" Target="https://www.esmart.org.au/esmart-libraries/cyber-and-digital-literacy-resources/" TargetMode="External"/><Relationship Id="rId239" Type="http://schemas.openxmlformats.org/officeDocument/2006/relationships/hyperlink" Target="http://www.victimsofcrime.vic.gov.au/going-to-court/child-witness-service" TargetMode="External"/><Relationship Id="rId250" Type="http://schemas.openxmlformats.org/officeDocument/2006/relationships/hyperlink" Target="https://www.justice.vic.gov.au/saynotobullying" TargetMode="External"/><Relationship Id="rId271" Type="http://schemas.openxmlformats.org/officeDocument/2006/relationships/hyperlink" Target="https://crimestoppers-uk.org/campaigns-media/campaigns/lincolnshire-stalking-campaign" TargetMode="External"/><Relationship Id="rId292" Type="http://schemas.openxmlformats.org/officeDocument/2006/relationships/hyperlink" Target="https://www.adultparoleboard.vic.gov.au/parole-process/parole-conditions" TargetMode="External"/><Relationship Id="rId306" Type="http://schemas.openxmlformats.org/officeDocument/2006/relationships/hyperlink" Target="https://www.theage.com.au/national/victoria/cyber-cops-the-new-frontier-20211014-p58zuv.html" TargetMode="External"/><Relationship Id="rId24" Type="http://schemas.openxmlformats.org/officeDocument/2006/relationships/header" Target="header10.xml"/><Relationship Id="rId45" Type="http://schemas.openxmlformats.org/officeDocument/2006/relationships/hyperlink" Target="https://www.abs.gov.au/statistics/people/crime-and-justice/personal-safety-australia/latest-release" TargetMode="External"/><Relationship Id="rId66" Type="http://schemas.openxmlformats.org/officeDocument/2006/relationships/hyperlink" Target="https://www.abs.gov.au/statistics/people/crime-and-justice/personal-safety-australia/latest-release" TargetMode="External"/><Relationship Id="rId87" Type="http://schemas.openxmlformats.org/officeDocument/2006/relationships/hyperlink" Target="https://www.aic.gov.au/publications/tandi/tandi635" TargetMode="External"/><Relationship Id="rId110" Type="http://schemas.openxmlformats.org/officeDocument/2006/relationships/hyperlink" Target="https://www.humanrights.vic.gov.au/for-individuals/sexual-harassment/" TargetMode="External"/><Relationship Id="rId131" Type="http://schemas.openxmlformats.org/officeDocument/2006/relationships/hyperlink" Target="https://www.judicialcollege.vic.edu.au/eManuals/CCB" TargetMode="External"/><Relationship Id="rId327" Type="http://schemas.openxmlformats.org/officeDocument/2006/relationships/hyperlink" Target="http://www.legalaid.vic.gov.au/node/9836" TargetMode="External"/><Relationship Id="rId152" Type="http://schemas.openxmlformats.org/officeDocument/2006/relationships/hyperlink" Target="http://www.victimsofcrime.vic.gov.au/going-to-court/child-witness-service" TargetMode="External"/><Relationship Id="rId173" Type="http://schemas.openxmlformats.org/officeDocument/2006/relationships/hyperlink" Target="https://www.judicialcollege.vic.edu.au/eManuals/CCB" TargetMode="External"/><Relationship Id="rId194" Type="http://schemas.openxmlformats.org/officeDocument/2006/relationships/hyperlink" Target="https://www.forensicare.vic.gov.au/an-evaluation-of-the-problem-behaviour-program-a-community-based-model-for-the-assessment-and-treatment-of-problem-behaviours/" TargetMode="External"/><Relationship Id="rId208" Type="http://schemas.openxmlformats.org/officeDocument/2006/relationships/header" Target="header43.xml"/><Relationship Id="rId229" Type="http://schemas.openxmlformats.org/officeDocument/2006/relationships/hyperlink" Target="https://www.abs.gov.au/statistics/people/crime-and-justice/personal-safety-australia/latest-release" TargetMode="External"/><Relationship Id="rId240" Type="http://schemas.openxmlformats.org/officeDocument/2006/relationships/hyperlink" Target="https://www.corrections.vic.gov.au/transition-and-reintegration-unit-brochures" TargetMode="External"/><Relationship Id="rId261" Type="http://schemas.openxmlformats.org/officeDocument/2006/relationships/hyperlink" Target="https://www.idcare.org/support-services/individual-support-services" TargetMode="External"/><Relationship Id="rId14" Type="http://schemas.openxmlformats.org/officeDocument/2006/relationships/image" Target="media/image2.png"/><Relationship Id="rId35" Type="http://schemas.openxmlformats.org/officeDocument/2006/relationships/header" Target="header15.xml"/><Relationship Id="rId56" Type="http://schemas.openxmlformats.org/officeDocument/2006/relationships/hyperlink" Target="https://www.abs.gov.au/methodologies/personal-safety-australia-methodology/2016" TargetMode="External"/><Relationship Id="rId77" Type="http://schemas.openxmlformats.org/officeDocument/2006/relationships/hyperlink" Target="https://papers.ssrn.com/abstract%3D3772042" TargetMode="External"/><Relationship Id="rId100" Type="http://schemas.openxmlformats.org/officeDocument/2006/relationships/hyperlink" Target="https://www.techsafetyapp.org/home" TargetMode="External"/><Relationship Id="rId282" Type="http://schemas.openxmlformats.org/officeDocument/2006/relationships/hyperlink" Target="https://www.esafety.gov.au/key-issues/domestic-family-violence/technology-facilitated-abuse/cyberstalking" TargetMode="External"/><Relationship Id="rId317" Type="http://schemas.openxmlformats.org/officeDocument/2006/relationships/hyperlink" Target="https://nnedv.org/content/technology-safety/" TargetMode="External"/><Relationship Id="rId338" Type="http://schemas.openxmlformats.org/officeDocument/2006/relationships/hyperlink" Target="https://phones.wesnet.org.au/safeconnections/" TargetMode="External"/><Relationship Id="rId8" Type="http://schemas.openxmlformats.org/officeDocument/2006/relationships/header" Target="header1.xml"/><Relationship Id="rId98" Type="http://schemas.openxmlformats.org/officeDocument/2006/relationships/hyperlink" Target="https://techsafety.org.au/about/" TargetMode="External"/><Relationship Id="rId121" Type="http://schemas.openxmlformats.org/officeDocument/2006/relationships/hyperlink" Target="http://respect.org.au/violence-and-abuse/stalking" TargetMode="External"/><Relationship Id="rId142" Type="http://schemas.openxmlformats.org/officeDocument/2006/relationships/hyperlink" Target="https://www.victimsofcrime.vic.gov.au/going-to-court/applying-for-financial-assistance-from-victims-of-crime-assistance-tribunal" TargetMode="External"/><Relationship Id="rId163" Type="http://schemas.openxmlformats.org/officeDocument/2006/relationships/hyperlink" Target="https://www.handbook.vla.vic.gov.au/" TargetMode="External"/><Relationship Id="rId184" Type="http://schemas.openxmlformats.org/officeDocument/2006/relationships/hyperlink" Target="https://www.cps.gov.uk/legal-guidance/stalking-and-harassment" TargetMode="External"/><Relationship Id="rId219" Type="http://schemas.openxmlformats.org/officeDocument/2006/relationships/hyperlink" Target="https://digitallicenceplus.org/" TargetMode="External"/><Relationship Id="rId230" Type="http://schemas.openxmlformats.org/officeDocument/2006/relationships/hyperlink" Target="https://www.abs.gov.au/methodologies/personal-safety-australia-methodology/2016" TargetMode="External"/><Relationship Id="rId251" Type="http://schemas.openxmlformats.org/officeDocument/2006/relationships/hyperlink" Target="https://www.justice.vic.gov.au/saynotobullying" TargetMode="External"/><Relationship Id="rId25" Type="http://schemas.openxmlformats.org/officeDocument/2006/relationships/hyperlink" Target="https://www.ag.gov.au/families-and-marriage/publications/development-national-principles-addressing-coercive-control" TargetMode="External"/><Relationship Id="rId46" Type="http://schemas.openxmlformats.org/officeDocument/2006/relationships/hyperlink" Target="https://www.abs.gov.au/statistics/people/crime-and-justice/personal-safety-australia/latest-release" TargetMode="External"/><Relationship Id="rId67" Type="http://schemas.openxmlformats.org/officeDocument/2006/relationships/header" Target="header16.xml"/><Relationship Id="rId116" Type="http://schemas.openxmlformats.org/officeDocument/2006/relationships/hyperlink" Target="https://www.victimsupport.org.uk/crime-info/types-crime/stalking-and-harassment/" TargetMode="External"/><Relationship Id="rId137" Type="http://schemas.openxmlformats.org/officeDocument/2006/relationships/header" Target="header26.xml"/><Relationship Id="rId158" Type="http://schemas.openxmlformats.org/officeDocument/2006/relationships/image" Target="media/image6.jpeg"/><Relationship Id="rId272" Type="http://schemas.openxmlformats.org/officeDocument/2006/relationships/hyperlink" Target="https://www.forensicare.vic.gov.au/an-evaluation-of-the-problem-behaviour-program-a-community-based-model-for-the-assessment-and-treatment-of-problem-behaviours/" TargetMode="External"/><Relationship Id="rId293" Type="http://schemas.openxmlformats.org/officeDocument/2006/relationships/hyperlink" Target="https://www.adultparoleboard.vic.gov.au/parole-process/parole-conditions" TargetMode="External"/><Relationship Id="rId302" Type="http://schemas.openxmlformats.org/officeDocument/2006/relationships/hyperlink" Target="https://www.heraldsun.com.au/news/victoria/new-changes-introduced-to-provide-protection-to-victims-of-stalking-and-threats-to-kill/news-story/cd9d2339eb8b2c5d3d74ebc62ec9a8bc" TargetMode="External"/><Relationship Id="rId307" Type="http://schemas.openxmlformats.org/officeDocument/2006/relationships/hyperlink" Target="https://www.theage.com.au/national/victoria/cyber-cops-the-new-frontier-20211014-p58zuv.html" TargetMode="External"/><Relationship Id="rId323" Type="http://schemas.openxmlformats.org/officeDocument/2006/relationships/hyperlink" Target="https://www.victimsofcrime.vic.gov.au/going-to-court/applying-for-financial-assistance-from-victims-of-crime-assistance-tribunal" TargetMode="External"/><Relationship Id="rId328" Type="http://schemas.openxmlformats.org/officeDocument/2006/relationships/hyperlink" Target="http://www.legalaid.vic.gov.au/node/9836" TargetMode="External"/><Relationship Id="rId344"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s://www.crimestatistics.vic.gov.au/crime-statistics/latest-victorian-crime-data/recorded-offences-2" TargetMode="External"/><Relationship Id="rId62" Type="http://schemas.openxmlformats.org/officeDocument/2006/relationships/hyperlink" Target="https://www.crimestatistics.vic.gov.au/crime-statistics/latest-victorian-crime-data/recorded-offences-2" TargetMode="External"/><Relationship Id="rId83" Type="http://schemas.openxmlformats.org/officeDocument/2006/relationships/hyperlink" Target="https://www.esafety.gov.au/report/what-you-can-report-to-esafety" TargetMode="External"/><Relationship Id="rId88" Type="http://schemas.openxmlformats.org/officeDocument/2006/relationships/hyperlink" Target="https://www.aic.gov.au/publications/tandi/tandi635" TargetMode="External"/><Relationship Id="rId111" Type="http://schemas.openxmlformats.org/officeDocument/2006/relationships/hyperlink" Target="https://www.humanrights.vic.gov.au/for-individuals/sexual-harassment/" TargetMode="External"/><Relationship Id="rId132" Type="http://schemas.openxmlformats.org/officeDocument/2006/relationships/hyperlink" Target="https://www.judicialcollege.vic.edu.au/eManuals/PSIO" TargetMode="External"/><Relationship Id="rId153" Type="http://schemas.openxmlformats.org/officeDocument/2006/relationships/header" Target="header30.xml"/><Relationship Id="rId174" Type="http://schemas.openxmlformats.org/officeDocument/2006/relationships/hyperlink" Target="https://www.judicialcollege.vic.edu.au/eManuals/CCB" TargetMode="External"/><Relationship Id="rId179" Type="http://schemas.openxmlformats.org/officeDocument/2006/relationships/hyperlink" Target="https://www.cps.gov.uk/legal-guidance/stalking-and-harassment" TargetMode="External"/><Relationship Id="rId195" Type="http://schemas.openxmlformats.org/officeDocument/2006/relationships/hyperlink" Target="https://www.gov.uk/government/publications/early-intervention-smart-investment-massive-savings" TargetMode="External"/><Relationship Id="rId209" Type="http://schemas.openxmlformats.org/officeDocument/2006/relationships/header" Target="header44.xml"/><Relationship Id="rId190" Type="http://schemas.openxmlformats.org/officeDocument/2006/relationships/hyperlink" Target="http://www.health.vic.gov.au/mental-health-reform/a-new-mental-health-and-wellbeing-act-for-victoria" TargetMode="External"/><Relationship Id="rId204" Type="http://schemas.openxmlformats.org/officeDocument/2006/relationships/hyperlink" Target="https://www.wa.gov.au/government/announcements/family-and-domestic-violence-offenders-face-gps-tracking" TargetMode="External"/><Relationship Id="rId220" Type="http://schemas.openxmlformats.org/officeDocument/2006/relationships/hyperlink" Target="https://www.gov.uk/government/publications/early-intervention-smart-investment-massive-savings" TargetMode="External"/><Relationship Id="rId225" Type="http://schemas.openxmlformats.org/officeDocument/2006/relationships/hyperlink" Target="https://www.abs.gov.au/statistics/people/crime-and-justice/personal-safety-australia/latest-release" TargetMode="External"/><Relationship Id="rId241" Type="http://schemas.openxmlformats.org/officeDocument/2006/relationships/hyperlink" Target="https://www.corrections.vic.gov.au/transition-and-reintegration-unit-brochures" TargetMode="External"/><Relationship Id="rId246" Type="http://schemas.openxmlformats.org/officeDocument/2006/relationships/hyperlink" Target="http://www.health.vic.gov.au/mental-health-reform/recommendation-17" TargetMode="External"/><Relationship Id="rId267" Type="http://schemas.openxmlformats.org/officeDocument/2006/relationships/hyperlink" Target="https://www.judicialcollege.vic.edu.au/resources/victims-crime-courtroom" TargetMode="External"/><Relationship Id="rId288" Type="http://schemas.openxmlformats.org/officeDocument/2006/relationships/hyperlink" Target="https://www.esafety.gov.au/report/what-you-can-report-to-esafety" TargetMode="External"/><Relationship Id="rId15" Type="http://schemas.openxmlformats.org/officeDocument/2006/relationships/image" Target="media/image3.png"/><Relationship Id="rId36" Type="http://schemas.openxmlformats.org/officeDocument/2006/relationships/hyperlink" Target="https://www.abs.gov.au/statistics/people/crime-and-justice/personal-safety-australia/latest-release" TargetMode="External"/><Relationship Id="rId57" Type="http://schemas.openxmlformats.org/officeDocument/2006/relationships/hyperlink" Target="https://www.abs.gov.au/methodologies/personal-safety-australia-methodology/2016" TargetMode="External"/><Relationship Id="rId106" Type="http://schemas.openxmlformats.org/officeDocument/2006/relationships/hyperlink" Target="https://www.theage.com.au/national/victoria/cyber-cops-the-new-frontier-20211014-p58zuv.html" TargetMode="External"/><Relationship Id="rId127" Type="http://schemas.openxmlformats.org/officeDocument/2006/relationships/hyperlink" Target="https://crimestoppers-uk.org/campaigns-media/campaigns/lincolnshire-stalking-campaign" TargetMode="External"/><Relationship Id="rId262" Type="http://schemas.openxmlformats.org/officeDocument/2006/relationships/hyperlink" Target="https://www.idcare.org/support-services/individual-support-services" TargetMode="External"/><Relationship Id="rId283" Type="http://schemas.openxmlformats.org/officeDocument/2006/relationships/hyperlink" Target="https://www.esafety.gov.au/key-issues/domestic-family-violence" TargetMode="External"/><Relationship Id="rId313" Type="http://schemas.openxmlformats.org/officeDocument/2006/relationships/hyperlink" Target="https://www.victimsupport.org.uk/crime-info/types-crime/stalking-and-harassment/" TargetMode="External"/><Relationship Id="rId318" Type="http://schemas.openxmlformats.org/officeDocument/2006/relationships/hyperlink" Target="https://www.smh.com.au/national/debate-rages-among-family-violence-campaigners-over-criminalising-coercive-control-20201126-p56i9l.html" TargetMode="External"/><Relationship Id="rId339" Type="http://schemas.openxmlformats.org/officeDocument/2006/relationships/hyperlink" Target="https://techsafety.org.au/about/" TargetMode="External"/><Relationship Id="rId10" Type="http://schemas.openxmlformats.org/officeDocument/2006/relationships/footer" Target="footer1.xml"/><Relationship Id="rId31" Type="http://schemas.openxmlformats.org/officeDocument/2006/relationships/header" Target="header13.xml"/><Relationship Id="rId52" Type="http://schemas.openxmlformats.org/officeDocument/2006/relationships/hyperlink" Target="https://www.crimestatistics.vic.gov.au/crime-statistics/latest-victorian-crime-data/recorded-offences-2" TargetMode="External"/><Relationship Id="rId73" Type="http://schemas.openxmlformats.org/officeDocument/2006/relationships/header" Target="header20.xml"/><Relationship Id="rId78" Type="http://schemas.openxmlformats.org/officeDocument/2006/relationships/hyperlink" Target="https://papers.ssrn.com/abstract%3D3772042" TargetMode="External"/><Relationship Id="rId94" Type="http://schemas.openxmlformats.org/officeDocument/2006/relationships/hyperlink" Target="https://www.esmart.org.au/esmart-libraries/cyber-and-digital-literacy-resources/" TargetMode="External"/><Relationship Id="rId99" Type="http://schemas.openxmlformats.org/officeDocument/2006/relationships/hyperlink" Target="https://www.techsafety.org/" TargetMode="External"/><Relationship Id="rId101" Type="http://schemas.openxmlformats.org/officeDocument/2006/relationships/hyperlink" Target="https://www.techsafety.org/resources-survivors" TargetMode="External"/><Relationship Id="rId122" Type="http://schemas.openxmlformats.org/officeDocument/2006/relationships/hyperlink" Target="https://www.legalaid.vic.gov.au/violence-abuse-and-personal-safety" TargetMode="External"/><Relationship Id="rId143" Type="http://schemas.openxmlformats.org/officeDocument/2006/relationships/hyperlink" Target="https://www.sccjr.ac.uk/publications/evaluation-of-the-rape-crisis-scotland-national-advocacy-project-summary-report-jan-2018/" TargetMode="External"/><Relationship Id="rId148" Type="http://schemas.openxmlformats.org/officeDocument/2006/relationships/hyperlink" Target="https://www.paladinservice.co.uk/our-mission" TargetMode="External"/><Relationship Id="rId164" Type="http://schemas.openxmlformats.org/officeDocument/2006/relationships/hyperlink" Target="https://www.judicialcollege.vic.edu.au/eManuals/PSIO" TargetMode="External"/><Relationship Id="rId169" Type="http://schemas.openxmlformats.org/officeDocument/2006/relationships/header" Target="header36.xml"/><Relationship Id="rId185" Type="http://schemas.openxmlformats.org/officeDocument/2006/relationships/header" Target="header38.xml"/><Relationship Id="rId334" Type="http://schemas.openxmlformats.org/officeDocument/2006/relationships/hyperlink" Target="https://www.legalaid.vic.gov.au/violence-abuse-and-personal-safety"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s://www.cps.gov.uk/legal-guidance/stalking-and-harassment" TargetMode="External"/><Relationship Id="rId210" Type="http://schemas.openxmlformats.org/officeDocument/2006/relationships/header" Target="header45.xml"/><Relationship Id="rId215" Type="http://schemas.openxmlformats.org/officeDocument/2006/relationships/header" Target="header50.xml"/><Relationship Id="rId236" Type="http://schemas.openxmlformats.org/officeDocument/2006/relationships/header" Target="header52.xml"/><Relationship Id="rId257" Type="http://schemas.openxmlformats.org/officeDocument/2006/relationships/hyperlink" Target="https://www.abc.net.au/news/2017-04-18/domestic-violence-offenders-to-be-gps-tracked-in-sa/8448666" TargetMode="External"/><Relationship Id="rId278" Type="http://schemas.openxmlformats.org/officeDocument/2006/relationships/hyperlink" Target="https://www.stop-stalking-berlin.de/en/general-information-2/mission-statement-2/" TargetMode="External"/><Relationship Id="rId26" Type="http://schemas.openxmlformats.org/officeDocument/2006/relationships/hyperlink" Target="https://www.ag.gov.au/families-and-marriage/publications/development-national-principles-addressing-coercive-control" TargetMode="External"/><Relationship Id="rId231" Type="http://schemas.openxmlformats.org/officeDocument/2006/relationships/hyperlink" Target="https://www.abs.gov.au/methodologies/personal-safety-australia-methodology/2016" TargetMode="External"/><Relationship Id="rId252" Type="http://schemas.openxmlformats.org/officeDocument/2006/relationships/hyperlink" Target="https://www.vic.gov.au/victorias-cyber-strategy-2021-introduction" TargetMode="External"/><Relationship Id="rId273" Type="http://schemas.openxmlformats.org/officeDocument/2006/relationships/hyperlink" Target="https://www.forensicare.vic.gov.au/an-evaluation-of-the-problem-behaviour-program-a-community-based-model-for-the-assessment-and-treatment-of-problem-behaviours/" TargetMode="External"/><Relationship Id="rId294" Type="http://schemas.openxmlformats.org/officeDocument/2006/relationships/hyperlink" Target="https://www.plan.org.au/publications/free-to-be-online/" TargetMode="External"/><Relationship Id="rId308" Type="http://schemas.openxmlformats.org/officeDocument/2006/relationships/hyperlink" Target="http://respect.org.au/violence-and-abuse/stalking" TargetMode="External"/><Relationship Id="rId329" Type="http://schemas.openxmlformats.org/officeDocument/2006/relationships/hyperlink" Target="https://www.legalaid.vic.gov.au/find-legal-answers/free-publications-and-resources/personal-safety-intervention-order-mention-hearings-self-help-guide-for-applicants" TargetMode="External"/><Relationship Id="rId47" Type="http://schemas.openxmlformats.org/officeDocument/2006/relationships/hyperlink" Target="https://www.abs.gov.au/statistics/people/crime-and-justice/personal-safety-australia/latest-release" TargetMode="External"/><Relationship Id="rId68" Type="http://schemas.openxmlformats.org/officeDocument/2006/relationships/header" Target="header17.xml"/><Relationship Id="rId89" Type="http://schemas.openxmlformats.org/officeDocument/2006/relationships/hyperlink" Target="https://www.esafety.gov.au/key-issues/domestic-family-violence/technology-facilitated-abuse/cyberstalking" TargetMode="External"/><Relationship Id="rId112" Type="http://schemas.openxmlformats.org/officeDocument/2006/relationships/header" Target="header23.xml"/><Relationship Id="rId133" Type="http://schemas.openxmlformats.org/officeDocument/2006/relationships/hyperlink" Target="https://www.judicialcollege.vic.edu.au/eManuals/PSIO" TargetMode="External"/><Relationship Id="rId154" Type="http://schemas.openxmlformats.org/officeDocument/2006/relationships/header" Target="header31.xml"/><Relationship Id="rId175" Type="http://schemas.openxmlformats.org/officeDocument/2006/relationships/hyperlink" Target="https://www.judicialcollege.vic.edu.au/eManuals/CCB" TargetMode="External"/><Relationship Id="rId340" Type="http://schemas.openxmlformats.org/officeDocument/2006/relationships/image" Target="media/image7.png"/><Relationship Id="rId196" Type="http://schemas.openxmlformats.org/officeDocument/2006/relationships/hyperlink" Target="https://www.corrections.vic.gov.au/transition-and-reintegration-unit-brochures" TargetMode="External"/><Relationship Id="rId200" Type="http://schemas.openxmlformats.org/officeDocument/2006/relationships/hyperlink" Target="https://www.adultparoleboard.vic.gov.au/parole-process/parole-conditions" TargetMode="External"/><Relationship Id="rId16" Type="http://schemas.openxmlformats.org/officeDocument/2006/relationships/hyperlink" Target="mailto:law.reform@lawreform.vic.gov.au" TargetMode="External"/><Relationship Id="rId221" Type="http://schemas.openxmlformats.org/officeDocument/2006/relationships/hyperlink" Target="https://www.gov.uk/government/publications/early-intervention-smart-investment-massive-savings" TargetMode="External"/><Relationship Id="rId242" Type="http://schemas.openxmlformats.org/officeDocument/2006/relationships/hyperlink" Target="https://www.aic.gov.au/publications/tandi/tandi635" TargetMode="External"/><Relationship Id="rId263" Type="http://schemas.openxmlformats.org/officeDocument/2006/relationships/hyperlink" Target="https://www.judicialcollege.vic.edu.au/eManuals/CCB" TargetMode="External"/><Relationship Id="rId284" Type="http://schemas.openxmlformats.org/officeDocument/2006/relationships/hyperlink" Target="https://www.esafety.gov.au/key-issues/domestic-family-violence" TargetMode="External"/><Relationship Id="rId319" Type="http://schemas.openxmlformats.org/officeDocument/2006/relationships/hyperlink" Target="https://www.smh.com.au/national/debate-rages-among-family-violence-campaigners-over-criminalising-coercive-control-20201126-p56i9l.html" TargetMode="External"/><Relationship Id="rId37" Type="http://schemas.openxmlformats.org/officeDocument/2006/relationships/hyperlink" Target="https://www.abs.gov.au/methodologies/personal-safety-australia-methodology/2016" TargetMode="External"/><Relationship Id="rId58" Type="http://schemas.openxmlformats.org/officeDocument/2006/relationships/hyperlink" Target="https://www.abs.gov.au/statistics/people/crime-and-justice/personal-safety-australia/latest-release" TargetMode="External"/><Relationship Id="rId79" Type="http://schemas.openxmlformats.org/officeDocument/2006/relationships/hyperlink" Target="https://www.esafety.gov.au/key-issues/domestic-family-violence" TargetMode="External"/><Relationship Id="rId102" Type="http://schemas.openxmlformats.org/officeDocument/2006/relationships/hyperlink" Target="https://www.techsafety.org/resources-survivors" TargetMode="External"/><Relationship Id="rId123" Type="http://schemas.openxmlformats.org/officeDocument/2006/relationships/hyperlink" Target="https://www.esafety.gov.au/report/how-to-report-serious-online-abuse-illegal-restricted-content" TargetMode="External"/><Relationship Id="rId144" Type="http://schemas.openxmlformats.org/officeDocument/2006/relationships/hyperlink" Target="https://www.sccjr.ac.uk/publications/evaluation-of-the-rape-crisis-scotland-national-advocacy-project-summary-report-jan-2018/" TargetMode="External"/><Relationship Id="rId330" Type="http://schemas.openxmlformats.org/officeDocument/2006/relationships/hyperlink" Target="https://www.legalaid.vic.gov.au/find-legal-answers/free-publications-and-resources/personal-safety-intervention-order-mention-hearings-self-help-guide-for-applicants" TargetMode="External"/><Relationship Id="rId90" Type="http://schemas.openxmlformats.org/officeDocument/2006/relationships/hyperlink" Target="https://www.esafety.gov.au/key-issues/domestic-family-violence/technology-facilitated-abuse/cyberstalking" TargetMode="External"/><Relationship Id="rId165" Type="http://schemas.openxmlformats.org/officeDocument/2006/relationships/hyperlink" Target="https://www.judicialcollege.vic.edu.au/eManuals/PSIO" TargetMode="External"/><Relationship Id="rId186" Type="http://schemas.openxmlformats.org/officeDocument/2006/relationships/header" Target="header39.xml"/><Relationship Id="rId211" Type="http://schemas.openxmlformats.org/officeDocument/2006/relationships/header" Target="header46.xml"/><Relationship Id="rId232" Type="http://schemas.openxmlformats.org/officeDocument/2006/relationships/hyperlink" Target="https://www.abs.gov.au/statistics/people/crime-and-justice/focus-crime-and-justice-statistics/june-2017" TargetMode="External"/><Relationship Id="rId253" Type="http://schemas.openxmlformats.org/officeDocument/2006/relationships/hyperlink" Target="https://www.ag.gov.au/families-and-marriage/publications/development-national-principles-addressing-coercive-control" TargetMode="External"/><Relationship Id="rId274" Type="http://schemas.openxmlformats.org/officeDocument/2006/relationships/hyperlink" Target="https://www.forensicare.vic.gov.au/an-evaluation-of-the-problem-behaviour-program-a-community-based-model-for-the-assessment-and-treatment-of-problem-behaviours/" TargetMode="External"/><Relationship Id="rId295" Type="http://schemas.openxmlformats.org/officeDocument/2006/relationships/hyperlink" Target="https://www.plan.org.au/publications/free-to-be-online/" TargetMode="External"/><Relationship Id="rId309" Type="http://schemas.openxmlformats.org/officeDocument/2006/relationships/hyperlink" Target="http://respect.org.au/violence-and-abuse/stalking" TargetMode="External"/><Relationship Id="rId27" Type="http://schemas.openxmlformats.org/officeDocument/2006/relationships/hyperlink" Target="https://www.smh.com.au/national/debate-rages-among-family-violence-campaigners-over-criminalising-coercive-control-20201126-p56i9l.html" TargetMode="External"/><Relationship Id="rId48" Type="http://schemas.openxmlformats.org/officeDocument/2006/relationships/hyperlink" Target="https://www.abs.gov.au/statistics/people/crime-and-justice/personal-safety-australia/latest-release" TargetMode="External"/><Relationship Id="rId69" Type="http://schemas.openxmlformats.org/officeDocument/2006/relationships/header" Target="header18.xml"/><Relationship Id="rId113" Type="http://schemas.openxmlformats.org/officeDocument/2006/relationships/header" Target="header24.xml"/><Relationship Id="rId134" Type="http://schemas.openxmlformats.org/officeDocument/2006/relationships/hyperlink" Target="https://www.judicialcollege.vic.edu.au/resources/victims-crime-courtroom" TargetMode="External"/><Relationship Id="rId320" Type="http://schemas.openxmlformats.org/officeDocument/2006/relationships/hyperlink" Target="https://www.smh.com.au/national/debate-rages-among-family-violence-campaigners-over-criminalising-coercive-control-20201126-p56i9l.html" TargetMode="External"/><Relationship Id="rId80" Type="http://schemas.openxmlformats.org/officeDocument/2006/relationships/hyperlink" Target="https://www.esafety.gov.au/key-issues/domestic-family-violence" TargetMode="External"/><Relationship Id="rId155" Type="http://schemas.openxmlformats.org/officeDocument/2006/relationships/header" Target="header32.xml"/><Relationship Id="rId176" Type="http://schemas.openxmlformats.org/officeDocument/2006/relationships/hyperlink" Target="https://www.judicialcollege.vic.edu.au/eManuals/CCB" TargetMode="External"/><Relationship Id="rId197" Type="http://schemas.openxmlformats.org/officeDocument/2006/relationships/hyperlink" Target="https://www.corrections.vic.gov.au/transition-and-reintegration-unit-brochures" TargetMode="External"/><Relationship Id="rId341" Type="http://schemas.openxmlformats.org/officeDocument/2006/relationships/header" Target="header54.xml"/><Relationship Id="rId201" Type="http://schemas.openxmlformats.org/officeDocument/2006/relationships/hyperlink" Target="https://www.abc.net.au/news/2017-04-18/domestic-violence-offenders-to-be-gps-tracked-in-sa/8448666" TargetMode="External"/><Relationship Id="rId222" Type="http://schemas.openxmlformats.org/officeDocument/2006/relationships/hyperlink" Target="https://www.abs.gov.au/statistics/people/crime-and-justice/crime-victimisation-australia/latest-release" TargetMode="External"/><Relationship Id="rId243" Type="http://schemas.openxmlformats.org/officeDocument/2006/relationships/hyperlink" Target="http://www.health.vic.gov.au/mental-health-reform/a-new-mental-health-and-wellbeing-act-for-victoria" TargetMode="External"/><Relationship Id="rId264" Type="http://schemas.openxmlformats.org/officeDocument/2006/relationships/hyperlink" Target="https://www.judicialcollege.vic.edu.au/eManuals/FVBB" TargetMode="External"/><Relationship Id="rId285" Type="http://schemas.openxmlformats.org/officeDocument/2006/relationships/hyperlink" Target="https://www.esafety.gov.au/key-issues/domestic-family-violence/online-safety-planning" TargetMode="External"/><Relationship Id="rId17" Type="http://schemas.openxmlformats.org/officeDocument/2006/relationships/header" Target="header4.xml"/><Relationship Id="rId38" Type="http://schemas.openxmlformats.org/officeDocument/2006/relationships/hyperlink" Target="https://www.abs.gov.au/methodologies/personal-safety-australia-methodology/2016" TargetMode="External"/><Relationship Id="rId59" Type="http://schemas.openxmlformats.org/officeDocument/2006/relationships/hyperlink" Target="https://www.abs.gov.au/statistics/people/crime-and-justice/personal-safety-australia/latest-release" TargetMode="External"/><Relationship Id="rId103" Type="http://schemas.openxmlformats.org/officeDocument/2006/relationships/hyperlink" Target="https://phones.wesnet.org.au/safeconnections/" TargetMode="External"/><Relationship Id="rId124" Type="http://schemas.openxmlformats.org/officeDocument/2006/relationships/hyperlink" Target="https://www.esafety.gov.au/report/how-to-report-serious-online-abuse-illegal-restricted-content" TargetMode="External"/><Relationship Id="rId310" Type="http://schemas.openxmlformats.org/officeDocument/2006/relationships/hyperlink" Target="https://victimconnect.org/learn/types-of-crime/stalking/" TargetMode="External"/><Relationship Id="rId70" Type="http://schemas.openxmlformats.org/officeDocument/2006/relationships/hyperlink" Target="https://www.esafety.gov.au/key-issues/domestic-family-violence/technology-facilitated-abuse/cyberstalking" TargetMode="External"/><Relationship Id="rId91" Type="http://schemas.openxmlformats.org/officeDocument/2006/relationships/hyperlink" Target="https://www.esafety.gov.au/educators/classroom-resources" TargetMode="External"/><Relationship Id="rId145" Type="http://schemas.openxmlformats.org/officeDocument/2006/relationships/hyperlink" Target="https://victimscommissioner.org.uk/published-reviews/victim-advocates-a-rapid-evidence-assessment/" TargetMode="External"/><Relationship Id="rId166" Type="http://schemas.openxmlformats.org/officeDocument/2006/relationships/hyperlink" Target="https://www.legalaid.vic.gov.au/prioritising-help-children-personal-safety-intervention-order-matters" TargetMode="External"/><Relationship Id="rId187" Type="http://schemas.openxmlformats.org/officeDocument/2006/relationships/header" Target="header40.xml"/><Relationship Id="rId331" Type="http://schemas.openxmlformats.org/officeDocument/2006/relationships/hyperlink" Target="https://www.legalaid.vic.gov.au/find-legal-answers/free-publications-and-resources/personal-safety-intervention-order-mention-hearings-self-help-guide-for-applicants" TargetMode="External"/><Relationship Id="rId1" Type="http://schemas.openxmlformats.org/officeDocument/2006/relationships/numbering" Target="numbering.xml"/><Relationship Id="rId212" Type="http://schemas.openxmlformats.org/officeDocument/2006/relationships/header" Target="header47.xml"/><Relationship Id="rId233" Type="http://schemas.openxmlformats.org/officeDocument/2006/relationships/hyperlink" Target="https://www.abs.gov.au/statistics/people/crime-and-justice/focus-crime-and-justice-statistics/june-2017" TargetMode="External"/><Relationship Id="rId254" Type="http://schemas.openxmlformats.org/officeDocument/2006/relationships/hyperlink" Target="https://www.ag.gov.au/families-and-marriage/publications/development-national-principles-addressing-coercive-control" TargetMode="External"/><Relationship Id="rId28" Type="http://schemas.openxmlformats.org/officeDocument/2006/relationships/hyperlink" Target="https://www.smh.com.au/national/debate-rages-among-family-violence-campaigners-over-criminalising-coercive-control-20201126-p56i9l.html" TargetMode="External"/><Relationship Id="rId49" Type="http://schemas.openxmlformats.org/officeDocument/2006/relationships/hyperlink" Target="https://www.abs.gov.au/methodologies/personal-safety-australia-methodology/2016" TargetMode="External"/><Relationship Id="rId114" Type="http://schemas.openxmlformats.org/officeDocument/2006/relationships/hyperlink" Target="https://www.suzylamplugh.org/Pages/Category/get-stalking-advice-and-help" TargetMode="External"/><Relationship Id="rId275" Type="http://schemas.openxmlformats.org/officeDocument/2006/relationships/hyperlink" Target="https://www.sentencingcouncil.vic.gov.au/about-sentencing/mental-impairment-and-sentencing" TargetMode="External"/><Relationship Id="rId296" Type="http://schemas.openxmlformats.org/officeDocument/2006/relationships/hyperlink" Target="https://www.crimestatistics.vic.gov.au/crime-statistics/latest-victorian-crime-data/recorded-offences-2" TargetMode="External"/><Relationship Id="rId300" Type="http://schemas.openxmlformats.org/officeDocument/2006/relationships/hyperlink" Target="https://www.heraldsun.com.au/news/victoria/new-changes-introduced-to-provide-protection-to-victims-of-stalking-and-threats-to-kill/news-story/cd9d2339eb8b2c5d3d74ebc62ec9a8bc" TargetMode="External"/><Relationship Id="rId60" Type="http://schemas.openxmlformats.org/officeDocument/2006/relationships/hyperlink" Target="https://www.abs.gov.au/statistics/people/crime-and-justice/crime-victimisation-australia/latest-release" TargetMode="External"/><Relationship Id="rId81" Type="http://schemas.openxmlformats.org/officeDocument/2006/relationships/hyperlink" Target="https://papers.ssrn.com/abstract%3D3772042" TargetMode="External"/><Relationship Id="rId135" Type="http://schemas.openxmlformats.org/officeDocument/2006/relationships/hyperlink" Target="https://www.judicialcollege.vic.edu.au/resources/victims-crime-courtroom" TargetMode="External"/><Relationship Id="rId156" Type="http://schemas.openxmlformats.org/officeDocument/2006/relationships/header" Target="header33.xml"/><Relationship Id="rId177" Type="http://schemas.openxmlformats.org/officeDocument/2006/relationships/hyperlink" Target="https://www.judicialcollege.vic.edu.au/eManuals/CCB" TargetMode="External"/><Relationship Id="rId198" Type="http://schemas.openxmlformats.org/officeDocument/2006/relationships/hyperlink" Target="http://www.legalaid.vic.gov.au/node/9836" TargetMode="External"/><Relationship Id="rId321" Type="http://schemas.openxmlformats.org/officeDocument/2006/relationships/hyperlink" Target="https://victimscommissioner.org.uk/published-reviews/victim-advocates-a-rapid-evidence-assessment/" TargetMode="External"/><Relationship Id="rId342" Type="http://schemas.openxmlformats.org/officeDocument/2006/relationships/hyperlink" Target="http://www.lawreform.vic.gov.au/" TargetMode="External"/><Relationship Id="rId202" Type="http://schemas.openxmlformats.org/officeDocument/2006/relationships/hyperlink" Target="https://www.abc.net.au/news/2017-04-18/domestic-violence-offenders-to-be-gps-tracked-in-sa/8448666" TargetMode="External"/><Relationship Id="rId223" Type="http://schemas.openxmlformats.org/officeDocument/2006/relationships/hyperlink" Target="https://www.abs.gov.au/statistics/people/crime-and-justice/crime-victimisation-australia/latest-release" TargetMode="External"/><Relationship Id="rId244" Type="http://schemas.openxmlformats.org/officeDocument/2006/relationships/hyperlink" Target="http://www.health.vic.gov.au/mental-health-reform/a-new-mental-health-and-wellbeing-act-for-victoria" TargetMode="External"/><Relationship Id="rId18" Type="http://schemas.openxmlformats.org/officeDocument/2006/relationships/header" Target="header5.xml"/><Relationship Id="rId39" Type="http://schemas.openxmlformats.org/officeDocument/2006/relationships/hyperlink" Target="https://www.abs.gov.au/statistics/people/crime-and-justice/focus-crime-and-justice-statistics/june-2017" TargetMode="External"/><Relationship Id="rId265" Type="http://schemas.openxmlformats.org/officeDocument/2006/relationships/hyperlink" Target="https://www.judicialcollege.vic.edu.au/eManuals/FVBB" TargetMode="External"/><Relationship Id="rId286" Type="http://schemas.openxmlformats.org/officeDocument/2006/relationships/hyperlink" Target="https://www.esafety.gov.au/key-issues/domestic-family-violence/online-safety-planning" TargetMode="External"/><Relationship Id="rId50" Type="http://schemas.openxmlformats.org/officeDocument/2006/relationships/hyperlink" Target="https://www.abs.gov.au/methodologies/personal-safety-australia-methodology/2016" TargetMode="External"/><Relationship Id="rId104" Type="http://schemas.openxmlformats.org/officeDocument/2006/relationships/hyperlink" Target="https://phones.wesnet.org.au/safeconnections/" TargetMode="External"/><Relationship Id="rId125" Type="http://schemas.openxmlformats.org/officeDocument/2006/relationships/hyperlink" Target="https://www.stop-stalking-berlin.de/en/general-information-2/mission-statement-2/" TargetMode="External"/><Relationship Id="rId146" Type="http://schemas.openxmlformats.org/officeDocument/2006/relationships/hyperlink" Target="https://victimscommissioner.org.uk/published-reviews/victim-advocates-a-rapid-evidence-assessment/" TargetMode="External"/><Relationship Id="rId167" Type="http://schemas.openxmlformats.org/officeDocument/2006/relationships/header" Target="header34.xml"/><Relationship Id="rId188" Type="http://schemas.openxmlformats.org/officeDocument/2006/relationships/header" Target="header41.xml"/><Relationship Id="rId311" Type="http://schemas.openxmlformats.org/officeDocument/2006/relationships/hyperlink" Target="https://victimconnect.org/learn/types-of-crime/stalking/" TargetMode="External"/><Relationship Id="rId332" Type="http://schemas.openxmlformats.org/officeDocument/2006/relationships/hyperlink" Target="https://www.legalaid.vic.gov.au/prioritising-help-children-personal-safety-intervention-order-matters" TargetMode="External"/><Relationship Id="rId71" Type="http://schemas.openxmlformats.org/officeDocument/2006/relationships/hyperlink" Target="https://www.esafety.gov.au/key-issues/domestic-family-violence/technology-facilitated-abuse/cyberstalking" TargetMode="External"/><Relationship Id="rId92" Type="http://schemas.openxmlformats.org/officeDocument/2006/relationships/hyperlink" Target="https://www.esafety.gov.au/educators/classroom-resources" TargetMode="External"/><Relationship Id="rId213" Type="http://schemas.openxmlformats.org/officeDocument/2006/relationships/header" Target="header48.xml"/><Relationship Id="rId234" Type="http://schemas.openxmlformats.org/officeDocument/2006/relationships/hyperlink" Target="https://www.sccjr.ac.uk/publications/evaluation-of-the-rape-crisis-scotland-national-advocacy-project-summary-report-jan-2018/" TargetMode="Externa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hyperlink" Target="https://www.cps.gov.uk/legal-guidance/stalking-and-harassment" TargetMode="External"/><Relationship Id="rId276" Type="http://schemas.openxmlformats.org/officeDocument/2006/relationships/hyperlink" Target="https://www.sentencingcouncil.vic.gov.au/about-sentencing/mental-impairment-and-sentencing" TargetMode="External"/><Relationship Id="rId297" Type="http://schemas.openxmlformats.org/officeDocument/2006/relationships/hyperlink" Target="https://www.crimestatistics.vic.gov.au/crime-statistics/latest-victorian-crime-data/recorded-offences-2" TargetMode="External"/><Relationship Id="rId40" Type="http://schemas.openxmlformats.org/officeDocument/2006/relationships/hyperlink" Target="https://www.abs.gov.au/statistics/people/crime-and-justice/focus-crime-and-justice-statistics/june-2017" TargetMode="External"/><Relationship Id="rId115" Type="http://schemas.openxmlformats.org/officeDocument/2006/relationships/hyperlink" Target="https://www.suzylamplugh.org/Pages/Category/get-stalking-advice-and-help" TargetMode="External"/><Relationship Id="rId136" Type="http://schemas.openxmlformats.org/officeDocument/2006/relationships/header" Target="header25.xml"/><Relationship Id="rId157" Type="http://schemas.openxmlformats.org/officeDocument/2006/relationships/hyperlink" Target="https://www.police.vic.gov.au/stalking" TargetMode="External"/><Relationship Id="rId178" Type="http://schemas.openxmlformats.org/officeDocument/2006/relationships/hyperlink" Target="https://www.judicialcollege.vic.edu.au/eManuals/CCB" TargetMode="External"/><Relationship Id="rId301" Type="http://schemas.openxmlformats.org/officeDocument/2006/relationships/hyperlink" Target="https://www.heraldsun.com.au/news/victoria/new-changes-introduced-to-provide-protection-to-victims-of-stalking-and-threats-to-kill/news-story/cd9d2339eb8b2c5d3d74ebc62ec9a8bc" TargetMode="External"/><Relationship Id="rId322" Type="http://schemas.openxmlformats.org/officeDocument/2006/relationships/hyperlink" Target="https://victimscommissioner.org.uk/published-reviews/victim-advocates-a-rapid-evidence-assessment/" TargetMode="External"/><Relationship Id="rId343" Type="http://schemas.openxmlformats.org/officeDocument/2006/relationships/fontTable" Target="fontTable.xml"/><Relationship Id="rId61" Type="http://schemas.openxmlformats.org/officeDocument/2006/relationships/hyperlink" Target="https://www.abs.gov.au/statistics/people/crime-and-justice/crime-victimisation-australia/latest-release" TargetMode="External"/><Relationship Id="rId82" Type="http://schemas.openxmlformats.org/officeDocument/2006/relationships/hyperlink" Target="https://www.esafety.gov.au/about-us/who-we-are/regulatory-schemes" TargetMode="External"/><Relationship Id="rId199" Type="http://schemas.openxmlformats.org/officeDocument/2006/relationships/hyperlink" Target="https://www.adultparoleboard.vic.gov.au/parole-process/parole-conditions" TargetMode="External"/><Relationship Id="rId203" Type="http://schemas.openxmlformats.org/officeDocument/2006/relationships/hyperlink" Target="http://WA.Gov.Au/" TargetMode="External"/><Relationship Id="rId19" Type="http://schemas.openxmlformats.org/officeDocument/2006/relationships/image" Target="media/image4.png"/><Relationship Id="rId224" Type="http://schemas.openxmlformats.org/officeDocument/2006/relationships/hyperlink" Target="https://www.abs.gov.au/statistics/people/crime-and-justice/personal-safety-australia/latest-release" TargetMode="External"/><Relationship Id="rId245" Type="http://schemas.openxmlformats.org/officeDocument/2006/relationships/hyperlink" Target="http://www.health.vic.gov.au/mental-health-reform/recommendation-17" TargetMode="External"/><Relationship Id="rId266" Type="http://schemas.openxmlformats.org/officeDocument/2006/relationships/hyperlink" Target="https://www.judicialcollege.vic.edu.au/eManuals/PSIO" TargetMode="External"/><Relationship Id="rId287" Type="http://schemas.openxmlformats.org/officeDocument/2006/relationships/hyperlink" Target="https://www.esafety.gov.au/report/what-you-can-report-to-esafety" TargetMode="External"/><Relationship Id="rId30" Type="http://schemas.openxmlformats.org/officeDocument/2006/relationships/header" Target="header12.xml"/><Relationship Id="rId105" Type="http://schemas.openxmlformats.org/officeDocument/2006/relationships/hyperlink" Target="https://www.idcare.org/support-services/individual-support-services" TargetMode="External"/><Relationship Id="rId126" Type="http://schemas.openxmlformats.org/officeDocument/2006/relationships/hyperlink" Target="https://www.stop-stalking-berlin.de/en/general-information-2/mission-statement-2/" TargetMode="External"/><Relationship Id="rId147" Type="http://schemas.openxmlformats.org/officeDocument/2006/relationships/hyperlink" Target="https://victimconnect.org/learn/types-of-crime/stalking/" TargetMode="External"/><Relationship Id="rId168" Type="http://schemas.openxmlformats.org/officeDocument/2006/relationships/header" Target="header35.xml"/><Relationship Id="rId312" Type="http://schemas.openxmlformats.org/officeDocument/2006/relationships/hyperlink" Target="https://www.victimsupport.org.uk/crime-info/types-crime/stalking-and-harassment/" TargetMode="External"/><Relationship Id="rId333" Type="http://schemas.openxmlformats.org/officeDocument/2006/relationships/hyperlink" Target="https://www.legalaid.vic.gov.au/prioritising-help-children-personal-safety-intervention-order-matters" TargetMode="External"/><Relationship Id="rId51" Type="http://schemas.openxmlformats.org/officeDocument/2006/relationships/image" Target="media/image5.jpeg"/><Relationship Id="rId72" Type="http://schemas.openxmlformats.org/officeDocument/2006/relationships/header" Target="header19.xml"/><Relationship Id="rId93" Type="http://schemas.openxmlformats.org/officeDocument/2006/relationships/hyperlink" Target="https://www.esmart.org.au/esmart-libraries/cyber-and-digital-literacy-resources/" TargetMode="External"/><Relationship Id="rId189" Type="http://schemas.openxmlformats.org/officeDocument/2006/relationships/hyperlink" Target="http://www.health.vic.gov.au/mental-health-reform/a-new-mental-health-and-wellbeing-act-for-victoria" TargetMode="External"/><Relationship Id="rId3" Type="http://schemas.openxmlformats.org/officeDocument/2006/relationships/settings" Target="settings.xml"/><Relationship Id="rId214" Type="http://schemas.openxmlformats.org/officeDocument/2006/relationships/header" Target="header49.xml"/><Relationship Id="rId235" Type="http://schemas.openxmlformats.org/officeDocument/2006/relationships/hyperlink" Target="https://www.sccjr.ac.uk/publications/evaluation-of-the-rape-crisis-scotland-national-advocacy-project-summary-report-jan-2018/" TargetMode="External"/><Relationship Id="rId256" Type="http://schemas.openxmlformats.org/officeDocument/2006/relationships/hyperlink" Target="https://www.cps.gov.uk/legal-guidance/stalking-protection-orders" TargetMode="External"/><Relationship Id="rId277" Type="http://schemas.openxmlformats.org/officeDocument/2006/relationships/hyperlink" Target="https://www.stop-stalking-berlin.de/en/general-information-2/mission-statement-2/" TargetMode="External"/><Relationship Id="rId298" Type="http://schemas.openxmlformats.org/officeDocument/2006/relationships/hyperlink" Target="https://www.crimestatistics.vic.gov.au/crime-statistics/latest-victorian-crime-data/recorded-offen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238</Pages>
  <Words>105367</Words>
  <Characters>600592</Characters>
  <Application>Microsoft Office Word</Application>
  <DocSecurity>8</DocSecurity>
  <Lines>5004</Lines>
  <Paragraphs>1409</Paragraphs>
  <ScaleCrop>false</ScaleCrop>
  <Company/>
  <LinksUpToDate>false</LinksUpToDate>
  <CharactersWithSpaces>704550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 J Gadd (DJCS)</cp:lastModifiedBy>
  <cp:revision>4</cp:revision>
  <dcterms:created xsi:type="dcterms:W3CDTF">2022-08-22T07:47:00Z</dcterms:created>
  <dcterms:modified xsi:type="dcterms:W3CDTF">2022-08-22T08:16:00Z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2022-06-30T00:00:00Z</vt:filetime>
  </property>
  <property fmtid="{D5CDD505-2E9C-101B-9397-08002B2CF9AE}" pid="3" name="Creator">
    <vt:lpwstr>Adobe InDesign 17.3 (Macintosh)</vt:lpwstr>
  </property>
  <property fmtid="{D5CDD505-2E9C-101B-9397-08002B2CF9AE}" pid="4" name="LastSaved">
    <vt:filetime>2022-08-22T00:00:00Z</vt:filetime>
  </property>
</Properties>
</file>